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8BF9809" w14:textId="77777777" w:rsidR="0055605A" w:rsidRPr="00DD5619" w:rsidRDefault="0055605A" w:rsidP="0055605A">
      <w:pPr>
        <w:pStyle w:val="TOC"/>
        <w:spacing w:line="240" w:lineRule="auto"/>
        <w:jc w:val="center"/>
        <w:rPr>
          <w:rFonts w:ascii="Calibri" w:hAnsi="Calibri"/>
          <w:color w:val="auto"/>
          <w:sz w:val="44"/>
          <w:szCs w:val="44"/>
        </w:rPr>
      </w:pPr>
      <w:r w:rsidRPr="00DD5619">
        <w:rPr>
          <w:rFonts w:ascii="Calibri" w:hAnsi="Calibri"/>
          <w:color w:val="auto"/>
          <w:sz w:val="44"/>
          <w:szCs w:val="44"/>
          <w:lang w:val="zh-CN"/>
        </w:rPr>
        <w:t>目</w:t>
      </w:r>
      <w:r w:rsidR="00991B3A" w:rsidRPr="00DD5619">
        <w:rPr>
          <w:rFonts w:ascii="Calibri" w:hAnsi="Calibri" w:hint="eastAsia"/>
          <w:color w:val="auto"/>
          <w:sz w:val="44"/>
          <w:szCs w:val="44"/>
          <w:lang w:val="zh-CN"/>
        </w:rPr>
        <w:t xml:space="preserve"> </w:t>
      </w:r>
      <w:r w:rsidR="00991B3A" w:rsidRPr="00DD5619">
        <w:rPr>
          <w:rFonts w:ascii="Calibri" w:hAnsi="Calibri"/>
          <w:color w:val="auto"/>
          <w:sz w:val="44"/>
          <w:szCs w:val="44"/>
          <w:lang w:val="zh-CN"/>
        </w:rPr>
        <w:t xml:space="preserve"> </w:t>
      </w:r>
      <w:r w:rsidRPr="00DD5619">
        <w:rPr>
          <w:rFonts w:ascii="Calibri" w:hAnsi="Calibri"/>
          <w:color w:val="auto"/>
          <w:sz w:val="44"/>
          <w:szCs w:val="44"/>
          <w:lang w:val="zh-CN"/>
        </w:rPr>
        <w:t>录</w:t>
      </w:r>
      <w:bookmarkStart w:id="0" w:name="_GoBack"/>
      <w:bookmarkEnd w:id="0"/>
    </w:p>
    <w:p w14:paraId="49388868" w14:textId="0BF2D0D6" w:rsidR="00DD5619" w:rsidRPr="00DD5619" w:rsidRDefault="002766DF">
      <w:pPr>
        <w:pStyle w:val="13"/>
        <w:rPr>
          <w:rFonts w:eastAsiaTheme="minorEastAsia" w:cstheme="minorBidi"/>
          <w:b w:val="0"/>
          <w:color w:val="auto"/>
          <w:sz w:val="21"/>
          <w:szCs w:val="22"/>
        </w:rPr>
      </w:pPr>
      <w:r w:rsidRPr="00DD5619">
        <w:rPr>
          <w:color w:val="auto"/>
        </w:rPr>
        <w:fldChar w:fldCharType="begin"/>
      </w:r>
      <w:r w:rsidR="0055605A" w:rsidRPr="00DD5619">
        <w:rPr>
          <w:color w:val="auto"/>
        </w:rPr>
        <w:instrText xml:space="preserve"> TOC \o "1-3" \h \z \u </w:instrText>
      </w:r>
      <w:r w:rsidRPr="00DD5619">
        <w:rPr>
          <w:color w:val="auto"/>
        </w:rPr>
        <w:fldChar w:fldCharType="separate"/>
      </w:r>
      <w:hyperlink w:anchor="_Toc112999887" w:history="1">
        <w:r w:rsidR="00DD5619" w:rsidRPr="00DD5619">
          <w:rPr>
            <w:rStyle w:val="aff0"/>
          </w:rPr>
          <w:t>概述</w:t>
        </w:r>
        <w:r w:rsidR="00DD5619" w:rsidRPr="00DD5619">
          <w:rPr>
            <w:webHidden/>
          </w:rPr>
          <w:tab/>
        </w:r>
        <w:r w:rsidR="00DD5619" w:rsidRPr="00DD5619">
          <w:rPr>
            <w:webHidden/>
          </w:rPr>
          <w:fldChar w:fldCharType="begin"/>
        </w:r>
        <w:r w:rsidR="00DD5619" w:rsidRPr="00DD5619">
          <w:rPr>
            <w:webHidden/>
          </w:rPr>
          <w:instrText xml:space="preserve"> PAGEREF _Toc112999887 \h </w:instrText>
        </w:r>
        <w:r w:rsidR="00DD5619" w:rsidRPr="00DD5619">
          <w:rPr>
            <w:webHidden/>
          </w:rPr>
        </w:r>
        <w:r w:rsidR="00DD5619" w:rsidRPr="00DD5619">
          <w:rPr>
            <w:webHidden/>
          </w:rPr>
          <w:fldChar w:fldCharType="separate"/>
        </w:r>
        <w:r w:rsidR="006E18F7">
          <w:rPr>
            <w:webHidden/>
          </w:rPr>
          <w:t>1</w:t>
        </w:r>
        <w:r w:rsidR="00DD5619" w:rsidRPr="00DD5619">
          <w:rPr>
            <w:webHidden/>
          </w:rPr>
          <w:fldChar w:fldCharType="end"/>
        </w:r>
      </w:hyperlink>
    </w:p>
    <w:p w14:paraId="18D5D048" w14:textId="0B713A19" w:rsidR="00DD5619" w:rsidRPr="00DD5619" w:rsidRDefault="00217891">
      <w:pPr>
        <w:pStyle w:val="25"/>
        <w:rPr>
          <w:rFonts w:ascii="Calibri" w:eastAsiaTheme="minorEastAsia" w:hAnsi="Calibri" w:cstheme="minorBidi"/>
          <w:noProof/>
          <w:color w:val="auto"/>
          <w:sz w:val="21"/>
          <w:szCs w:val="22"/>
        </w:rPr>
      </w:pPr>
      <w:hyperlink w:anchor="_Toc112999888" w:history="1">
        <w:r w:rsidR="00DD5619" w:rsidRPr="00DD5619">
          <w:rPr>
            <w:rStyle w:val="aff0"/>
            <w:rFonts w:ascii="Calibri" w:hAnsi="Calibri"/>
            <w:noProof/>
          </w:rPr>
          <w:t>1</w:t>
        </w:r>
        <w:r w:rsidR="00DD5619" w:rsidRPr="00DD5619">
          <w:rPr>
            <w:rStyle w:val="aff0"/>
            <w:rFonts w:ascii="Calibri" w:hAnsi="Calibri"/>
            <w:noProof/>
          </w:rPr>
          <w:t>、建设项目由来</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_Toc112999888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w:t>
        </w:r>
        <w:r w:rsidR="00DD5619" w:rsidRPr="00DD5619">
          <w:rPr>
            <w:rFonts w:ascii="Calibri" w:hAnsi="Calibri"/>
            <w:noProof/>
            <w:webHidden/>
          </w:rPr>
          <w:fldChar w:fldCharType="end"/>
        </w:r>
      </w:hyperlink>
    </w:p>
    <w:p w14:paraId="5DA40D1B" w14:textId="39194DB1" w:rsidR="00DD5619" w:rsidRPr="00DD5619" w:rsidRDefault="00217891">
      <w:pPr>
        <w:pStyle w:val="25"/>
        <w:rPr>
          <w:rFonts w:ascii="Calibri" w:eastAsiaTheme="minorEastAsia" w:hAnsi="Calibri" w:cstheme="minorBidi"/>
          <w:noProof/>
          <w:color w:val="auto"/>
          <w:sz w:val="21"/>
          <w:szCs w:val="22"/>
        </w:rPr>
      </w:pPr>
      <w:hyperlink w:anchor="_Toc112999889" w:history="1">
        <w:r w:rsidR="00DD5619" w:rsidRPr="00DD5619">
          <w:rPr>
            <w:rStyle w:val="aff0"/>
            <w:rFonts w:ascii="Calibri" w:hAnsi="Calibri"/>
            <w:noProof/>
          </w:rPr>
          <w:t>2</w:t>
        </w:r>
        <w:r w:rsidR="00DD5619" w:rsidRPr="00DD5619">
          <w:rPr>
            <w:rStyle w:val="aff0"/>
            <w:rFonts w:ascii="Calibri" w:hAnsi="Calibri"/>
            <w:noProof/>
          </w:rPr>
          <w:t>、建设项目的特点</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_Toc112999889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w:t>
        </w:r>
        <w:r w:rsidR="00DD5619" w:rsidRPr="00DD5619">
          <w:rPr>
            <w:rFonts w:ascii="Calibri" w:hAnsi="Calibri"/>
            <w:noProof/>
            <w:webHidden/>
          </w:rPr>
          <w:fldChar w:fldCharType="end"/>
        </w:r>
      </w:hyperlink>
    </w:p>
    <w:p w14:paraId="7997B26D" w14:textId="5BC2F0C0" w:rsidR="00DD5619" w:rsidRPr="00DD5619" w:rsidRDefault="00217891">
      <w:pPr>
        <w:pStyle w:val="25"/>
        <w:rPr>
          <w:rFonts w:ascii="Calibri" w:eastAsiaTheme="minorEastAsia" w:hAnsi="Calibri" w:cstheme="minorBidi"/>
          <w:noProof/>
          <w:color w:val="auto"/>
          <w:sz w:val="21"/>
          <w:szCs w:val="22"/>
        </w:rPr>
      </w:pPr>
      <w:hyperlink w:anchor="_Toc112999890" w:history="1">
        <w:r w:rsidR="00DD5619" w:rsidRPr="00DD5619">
          <w:rPr>
            <w:rStyle w:val="aff0"/>
            <w:rFonts w:ascii="Calibri" w:hAnsi="Calibri"/>
            <w:noProof/>
          </w:rPr>
          <w:t>3</w:t>
        </w:r>
        <w:r w:rsidR="00DD5619" w:rsidRPr="00DD5619">
          <w:rPr>
            <w:rStyle w:val="aff0"/>
            <w:rFonts w:ascii="Calibri" w:hAnsi="Calibri"/>
            <w:noProof/>
          </w:rPr>
          <w:t>、分析判定相关情况</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_Toc112999890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w:t>
        </w:r>
        <w:r w:rsidR="00DD5619" w:rsidRPr="00DD5619">
          <w:rPr>
            <w:rFonts w:ascii="Calibri" w:hAnsi="Calibri"/>
            <w:noProof/>
            <w:webHidden/>
          </w:rPr>
          <w:fldChar w:fldCharType="end"/>
        </w:r>
      </w:hyperlink>
    </w:p>
    <w:p w14:paraId="4BA4F5D6" w14:textId="4F4D056F" w:rsidR="00DD5619" w:rsidRPr="00DD5619" w:rsidRDefault="00217891">
      <w:pPr>
        <w:pStyle w:val="25"/>
        <w:rPr>
          <w:rFonts w:ascii="Calibri" w:eastAsiaTheme="minorEastAsia" w:hAnsi="Calibri" w:cstheme="minorBidi"/>
          <w:noProof/>
          <w:color w:val="auto"/>
          <w:sz w:val="21"/>
          <w:szCs w:val="22"/>
        </w:rPr>
      </w:pPr>
      <w:hyperlink w:anchor="_Toc112999891" w:history="1">
        <w:r w:rsidR="00DD5619" w:rsidRPr="00DD5619">
          <w:rPr>
            <w:rStyle w:val="aff0"/>
            <w:rFonts w:ascii="Calibri" w:hAnsi="Calibri"/>
            <w:noProof/>
          </w:rPr>
          <w:t>4</w:t>
        </w:r>
        <w:r w:rsidR="00DD5619" w:rsidRPr="00DD5619">
          <w:rPr>
            <w:rStyle w:val="aff0"/>
            <w:rFonts w:ascii="Calibri" w:hAnsi="Calibri"/>
            <w:noProof/>
          </w:rPr>
          <w:t>、环境影响评价过程</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_Toc112999891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w:t>
        </w:r>
        <w:r w:rsidR="00DD5619" w:rsidRPr="00DD5619">
          <w:rPr>
            <w:rFonts w:ascii="Calibri" w:hAnsi="Calibri"/>
            <w:noProof/>
            <w:webHidden/>
          </w:rPr>
          <w:fldChar w:fldCharType="end"/>
        </w:r>
      </w:hyperlink>
    </w:p>
    <w:p w14:paraId="1277DE7F" w14:textId="6CC307CC" w:rsidR="00DD5619" w:rsidRPr="00DD5619" w:rsidRDefault="00217891">
      <w:pPr>
        <w:pStyle w:val="25"/>
        <w:rPr>
          <w:rFonts w:ascii="Calibri" w:eastAsiaTheme="minorEastAsia" w:hAnsi="Calibri" w:cstheme="minorBidi"/>
          <w:noProof/>
          <w:color w:val="auto"/>
          <w:sz w:val="21"/>
          <w:szCs w:val="22"/>
        </w:rPr>
      </w:pPr>
      <w:hyperlink w:anchor="_Toc112999892" w:history="1">
        <w:r w:rsidR="00DD5619" w:rsidRPr="00DD5619">
          <w:rPr>
            <w:rStyle w:val="aff0"/>
            <w:rFonts w:ascii="Calibri" w:hAnsi="Calibri"/>
            <w:noProof/>
          </w:rPr>
          <w:t>5</w:t>
        </w:r>
        <w:r w:rsidR="00DD5619" w:rsidRPr="00DD5619">
          <w:rPr>
            <w:rStyle w:val="aff0"/>
            <w:rFonts w:ascii="Calibri" w:hAnsi="Calibri"/>
            <w:noProof/>
          </w:rPr>
          <w:t>、本项目主要关注的环境问题</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_Toc112999892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5</w:t>
        </w:r>
        <w:r w:rsidR="00DD5619" w:rsidRPr="00DD5619">
          <w:rPr>
            <w:rFonts w:ascii="Calibri" w:hAnsi="Calibri"/>
            <w:noProof/>
            <w:webHidden/>
          </w:rPr>
          <w:fldChar w:fldCharType="end"/>
        </w:r>
      </w:hyperlink>
    </w:p>
    <w:p w14:paraId="1B9F7A1E" w14:textId="43109A43" w:rsidR="00DD5619" w:rsidRPr="00DD5619" w:rsidRDefault="00217891">
      <w:pPr>
        <w:pStyle w:val="25"/>
        <w:rPr>
          <w:rFonts w:ascii="Calibri" w:eastAsiaTheme="minorEastAsia" w:hAnsi="Calibri" w:cstheme="minorBidi"/>
          <w:noProof/>
          <w:color w:val="auto"/>
          <w:sz w:val="21"/>
          <w:szCs w:val="22"/>
        </w:rPr>
      </w:pPr>
      <w:hyperlink w:anchor="_Toc112999893" w:history="1">
        <w:r w:rsidR="00DD5619" w:rsidRPr="00DD5619">
          <w:rPr>
            <w:rStyle w:val="aff0"/>
            <w:rFonts w:ascii="Calibri" w:hAnsi="Calibri"/>
            <w:noProof/>
          </w:rPr>
          <w:t>6</w:t>
        </w:r>
        <w:r w:rsidR="00DD5619" w:rsidRPr="00DD5619">
          <w:rPr>
            <w:rStyle w:val="aff0"/>
            <w:rFonts w:ascii="Calibri" w:hAnsi="Calibri"/>
            <w:noProof/>
          </w:rPr>
          <w:t>、环境影响报告书主要结论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_Toc112999893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7</w:t>
        </w:r>
        <w:r w:rsidR="00DD5619" w:rsidRPr="00DD5619">
          <w:rPr>
            <w:rFonts w:ascii="Calibri" w:hAnsi="Calibri"/>
            <w:noProof/>
            <w:webHidden/>
          </w:rPr>
          <w:fldChar w:fldCharType="end"/>
        </w:r>
      </w:hyperlink>
    </w:p>
    <w:p w14:paraId="501C8B6B" w14:textId="4DE870B1" w:rsidR="00DD5619" w:rsidRPr="00DD5619" w:rsidRDefault="00217891">
      <w:pPr>
        <w:pStyle w:val="13"/>
        <w:rPr>
          <w:rFonts w:eastAsiaTheme="minorEastAsia" w:cstheme="minorBidi"/>
          <w:b w:val="0"/>
          <w:color w:val="auto"/>
          <w:sz w:val="21"/>
          <w:szCs w:val="22"/>
        </w:rPr>
      </w:pPr>
      <w:hyperlink w:anchor="_Toc112999894" w:history="1">
        <w:r w:rsidR="00DD5619" w:rsidRPr="00DD5619">
          <w:rPr>
            <w:rStyle w:val="aff0"/>
          </w:rPr>
          <w:t>第一章</w:t>
        </w:r>
        <w:r w:rsidR="00DD5619" w:rsidRPr="00DD5619">
          <w:rPr>
            <w:rStyle w:val="aff0"/>
          </w:rPr>
          <w:t xml:space="preserve">    </w:t>
        </w:r>
        <w:r w:rsidR="00DD5619" w:rsidRPr="00DD5619">
          <w:rPr>
            <w:rStyle w:val="aff0"/>
          </w:rPr>
          <w:t>总则</w:t>
        </w:r>
        <w:r w:rsidR="00DD5619" w:rsidRPr="00DD5619">
          <w:rPr>
            <w:webHidden/>
          </w:rPr>
          <w:tab/>
        </w:r>
        <w:r w:rsidR="00DD5619" w:rsidRPr="00DD5619">
          <w:rPr>
            <w:webHidden/>
          </w:rPr>
          <w:fldChar w:fldCharType="begin"/>
        </w:r>
        <w:r w:rsidR="00DD5619" w:rsidRPr="00DD5619">
          <w:rPr>
            <w:webHidden/>
          </w:rPr>
          <w:instrText xml:space="preserve"> PAGEREF _Toc112999894 \h </w:instrText>
        </w:r>
        <w:r w:rsidR="00DD5619" w:rsidRPr="00DD5619">
          <w:rPr>
            <w:webHidden/>
          </w:rPr>
        </w:r>
        <w:r w:rsidR="00DD5619" w:rsidRPr="00DD5619">
          <w:rPr>
            <w:webHidden/>
          </w:rPr>
          <w:fldChar w:fldCharType="separate"/>
        </w:r>
        <w:r w:rsidR="006E18F7">
          <w:rPr>
            <w:webHidden/>
          </w:rPr>
          <w:t>8</w:t>
        </w:r>
        <w:r w:rsidR="00DD5619" w:rsidRPr="00DD5619">
          <w:rPr>
            <w:webHidden/>
          </w:rPr>
          <w:fldChar w:fldCharType="end"/>
        </w:r>
      </w:hyperlink>
    </w:p>
    <w:p w14:paraId="721D5C63" w14:textId="5410C992" w:rsidR="00DD5619" w:rsidRPr="00DD5619" w:rsidRDefault="00217891">
      <w:pPr>
        <w:pStyle w:val="25"/>
        <w:rPr>
          <w:rFonts w:ascii="Calibri" w:eastAsiaTheme="minorEastAsia" w:hAnsi="Calibri" w:cstheme="minorBidi"/>
          <w:noProof/>
          <w:color w:val="auto"/>
          <w:sz w:val="21"/>
          <w:szCs w:val="22"/>
        </w:rPr>
      </w:pPr>
      <w:hyperlink w:anchor="_Toc112999895" w:history="1">
        <w:r w:rsidR="00DD5619" w:rsidRPr="00DD5619">
          <w:rPr>
            <w:rStyle w:val="aff0"/>
            <w:rFonts w:ascii="Calibri" w:hAnsi="Calibri"/>
            <w:noProof/>
          </w:rPr>
          <w:t>1.1</w:t>
        </w:r>
        <w:r w:rsidR="00DD5619" w:rsidRPr="00DD5619">
          <w:rPr>
            <w:rStyle w:val="aff0"/>
            <w:rFonts w:ascii="Calibri" w:hAnsi="Calibri"/>
            <w:noProof/>
          </w:rPr>
          <w:t>编制依据</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_Toc112999895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8</w:t>
        </w:r>
        <w:r w:rsidR="00DD5619" w:rsidRPr="00DD5619">
          <w:rPr>
            <w:rFonts w:ascii="Calibri" w:hAnsi="Calibri"/>
            <w:noProof/>
            <w:webHidden/>
          </w:rPr>
          <w:fldChar w:fldCharType="end"/>
        </w:r>
      </w:hyperlink>
    </w:p>
    <w:p w14:paraId="6B6E3DF8" w14:textId="6137929C" w:rsidR="00DD5619" w:rsidRPr="00DD5619" w:rsidRDefault="00217891">
      <w:pPr>
        <w:pStyle w:val="25"/>
        <w:rPr>
          <w:rFonts w:ascii="Calibri" w:eastAsiaTheme="minorEastAsia" w:hAnsi="Calibri" w:cstheme="minorBidi"/>
          <w:noProof/>
          <w:color w:val="auto"/>
          <w:sz w:val="21"/>
          <w:szCs w:val="22"/>
        </w:rPr>
      </w:pPr>
      <w:hyperlink w:anchor="_Toc112999896" w:history="1">
        <w:r w:rsidR="00DD5619" w:rsidRPr="00DD5619">
          <w:rPr>
            <w:rStyle w:val="aff0"/>
            <w:rFonts w:ascii="Calibri" w:hAnsi="Calibri"/>
            <w:bCs/>
            <w:noProof/>
          </w:rPr>
          <w:t>1.2</w:t>
        </w:r>
        <w:r w:rsidR="00DD5619" w:rsidRPr="00DD5619">
          <w:rPr>
            <w:rStyle w:val="aff0"/>
            <w:rFonts w:ascii="Calibri" w:hAnsi="Calibri"/>
            <w:bCs/>
            <w:noProof/>
          </w:rPr>
          <w:t>评价对象及基本构成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_Toc112999896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12</w:t>
        </w:r>
        <w:r w:rsidR="00DD5619" w:rsidRPr="00DD5619">
          <w:rPr>
            <w:rFonts w:ascii="Calibri" w:hAnsi="Calibri"/>
            <w:noProof/>
            <w:webHidden/>
          </w:rPr>
          <w:fldChar w:fldCharType="end"/>
        </w:r>
      </w:hyperlink>
    </w:p>
    <w:p w14:paraId="7F4C449B" w14:textId="061D48E5" w:rsidR="00DD5619" w:rsidRPr="00DD5619" w:rsidRDefault="00217891">
      <w:pPr>
        <w:pStyle w:val="25"/>
        <w:rPr>
          <w:rFonts w:ascii="Calibri" w:eastAsiaTheme="minorEastAsia" w:hAnsi="Calibri" w:cstheme="minorBidi"/>
          <w:noProof/>
          <w:color w:val="auto"/>
          <w:sz w:val="21"/>
          <w:szCs w:val="22"/>
        </w:rPr>
      </w:pPr>
      <w:hyperlink w:anchor="_Toc112999897" w:history="1">
        <w:r w:rsidR="00DD5619" w:rsidRPr="00DD5619">
          <w:rPr>
            <w:rStyle w:val="aff0"/>
            <w:rFonts w:ascii="Calibri" w:hAnsi="Calibri"/>
            <w:bCs/>
            <w:noProof/>
          </w:rPr>
          <w:t>1.3</w:t>
        </w:r>
        <w:r w:rsidR="00DD5619" w:rsidRPr="00DD5619">
          <w:rPr>
            <w:rStyle w:val="aff0"/>
            <w:rFonts w:ascii="Calibri" w:hAnsi="Calibri"/>
            <w:bCs/>
            <w:noProof/>
          </w:rPr>
          <w:t>评价目的与原则</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_Toc112999897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12</w:t>
        </w:r>
        <w:r w:rsidR="00DD5619" w:rsidRPr="00DD5619">
          <w:rPr>
            <w:rFonts w:ascii="Calibri" w:hAnsi="Calibri"/>
            <w:noProof/>
            <w:webHidden/>
          </w:rPr>
          <w:fldChar w:fldCharType="end"/>
        </w:r>
      </w:hyperlink>
    </w:p>
    <w:p w14:paraId="2BF0F5B5" w14:textId="13E91BDD" w:rsidR="00DD5619" w:rsidRPr="00DD5619" w:rsidRDefault="00217891">
      <w:pPr>
        <w:pStyle w:val="25"/>
        <w:rPr>
          <w:rFonts w:ascii="Calibri" w:eastAsiaTheme="minorEastAsia" w:hAnsi="Calibri" w:cstheme="minorBidi"/>
          <w:noProof/>
          <w:color w:val="auto"/>
          <w:sz w:val="21"/>
          <w:szCs w:val="22"/>
        </w:rPr>
      </w:pPr>
      <w:hyperlink w:anchor="_Toc112999898" w:history="1">
        <w:r w:rsidR="00DD5619" w:rsidRPr="00DD5619">
          <w:rPr>
            <w:rStyle w:val="aff0"/>
            <w:rFonts w:ascii="Calibri" w:hAnsi="Calibri"/>
            <w:bCs/>
            <w:noProof/>
          </w:rPr>
          <w:t>1.4</w:t>
        </w:r>
        <w:r w:rsidR="00DD5619" w:rsidRPr="00DD5619">
          <w:rPr>
            <w:rStyle w:val="aff0"/>
            <w:rFonts w:ascii="Calibri" w:hAnsi="Calibri"/>
            <w:bCs/>
            <w:noProof/>
          </w:rPr>
          <w:t>评价标准</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_Toc112999898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13</w:t>
        </w:r>
        <w:r w:rsidR="00DD5619" w:rsidRPr="00DD5619">
          <w:rPr>
            <w:rFonts w:ascii="Calibri" w:hAnsi="Calibri"/>
            <w:noProof/>
            <w:webHidden/>
          </w:rPr>
          <w:fldChar w:fldCharType="end"/>
        </w:r>
      </w:hyperlink>
    </w:p>
    <w:p w14:paraId="560EDCEC" w14:textId="13382CC5" w:rsidR="00DD5619" w:rsidRPr="00DD5619" w:rsidRDefault="00217891">
      <w:pPr>
        <w:pStyle w:val="25"/>
        <w:rPr>
          <w:rFonts w:ascii="Calibri" w:eastAsiaTheme="minorEastAsia" w:hAnsi="Calibri" w:cstheme="minorBidi"/>
          <w:noProof/>
          <w:color w:val="auto"/>
          <w:sz w:val="21"/>
          <w:szCs w:val="22"/>
        </w:rPr>
      </w:pPr>
      <w:hyperlink w:anchor="_Toc112999899" w:history="1">
        <w:r w:rsidR="00DD5619" w:rsidRPr="00DD5619">
          <w:rPr>
            <w:rStyle w:val="aff0"/>
            <w:rFonts w:ascii="Calibri" w:hAnsi="Calibri"/>
            <w:bCs/>
            <w:noProof/>
          </w:rPr>
          <w:t>1.5</w:t>
        </w:r>
        <w:r w:rsidR="00DD5619" w:rsidRPr="00DD5619">
          <w:rPr>
            <w:rStyle w:val="aff0"/>
            <w:rFonts w:ascii="Calibri" w:hAnsi="Calibri"/>
            <w:bCs/>
            <w:noProof/>
          </w:rPr>
          <w:t>环境影响识别与评价因子筛选</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_Toc112999899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20</w:t>
        </w:r>
        <w:r w:rsidR="00DD5619" w:rsidRPr="00DD5619">
          <w:rPr>
            <w:rFonts w:ascii="Calibri" w:hAnsi="Calibri"/>
            <w:noProof/>
            <w:webHidden/>
          </w:rPr>
          <w:fldChar w:fldCharType="end"/>
        </w:r>
      </w:hyperlink>
    </w:p>
    <w:p w14:paraId="133E1E1B" w14:textId="5DE5FA51" w:rsidR="00DD5619" w:rsidRPr="00DD5619" w:rsidRDefault="00217891">
      <w:pPr>
        <w:pStyle w:val="25"/>
        <w:rPr>
          <w:rFonts w:ascii="Calibri" w:eastAsiaTheme="minorEastAsia" w:hAnsi="Calibri" w:cstheme="minorBidi"/>
          <w:noProof/>
          <w:color w:val="auto"/>
          <w:sz w:val="21"/>
          <w:szCs w:val="22"/>
        </w:rPr>
      </w:pPr>
      <w:hyperlink w:anchor="_Toc112999900" w:history="1">
        <w:r w:rsidR="00DD5619" w:rsidRPr="00DD5619">
          <w:rPr>
            <w:rStyle w:val="aff0"/>
            <w:rFonts w:ascii="Calibri" w:hAnsi="Calibri"/>
            <w:bCs/>
            <w:noProof/>
          </w:rPr>
          <w:t>1.6</w:t>
        </w:r>
        <w:r w:rsidR="00DD5619" w:rsidRPr="00DD5619">
          <w:rPr>
            <w:rStyle w:val="aff0"/>
            <w:rFonts w:ascii="Calibri" w:hAnsi="Calibri"/>
            <w:bCs/>
            <w:noProof/>
          </w:rPr>
          <w:t>评价等级与评价范围</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_Toc112999900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21</w:t>
        </w:r>
        <w:r w:rsidR="00DD5619" w:rsidRPr="00DD5619">
          <w:rPr>
            <w:rFonts w:ascii="Calibri" w:hAnsi="Calibri"/>
            <w:noProof/>
            <w:webHidden/>
          </w:rPr>
          <w:fldChar w:fldCharType="end"/>
        </w:r>
      </w:hyperlink>
    </w:p>
    <w:p w14:paraId="5115B984" w14:textId="675CEBBA" w:rsidR="00DD5619" w:rsidRPr="00DD5619" w:rsidRDefault="00217891">
      <w:pPr>
        <w:pStyle w:val="25"/>
        <w:rPr>
          <w:rFonts w:ascii="Calibri" w:eastAsiaTheme="minorEastAsia" w:hAnsi="Calibri" w:cstheme="minorBidi"/>
          <w:noProof/>
          <w:color w:val="auto"/>
          <w:sz w:val="21"/>
          <w:szCs w:val="22"/>
        </w:rPr>
      </w:pPr>
      <w:hyperlink w:anchor="_Toc112999901" w:history="1">
        <w:r w:rsidR="00DD5619" w:rsidRPr="00DD5619">
          <w:rPr>
            <w:rStyle w:val="aff0"/>
            <w:rFonts w:ascii="Calibri" w:hAnsi="Calibri"/>
            <w:bCs/>
            <w:noProof/>
          </w:rPr>
          <w:t>1.7</w:t>
        </w:r>
        <w:r w:rsidR="00DD5619" w:rsidRPr="00DD5619">
          <w:rPr>
            <w:rStyle w:val="aff0"/>
            <w:rFonts w:ascii="Calibri" w:hAnsi="Calibri"/>
            <w:bCs/>
            <w:noProof/>
          </w:rPr>
          <w:t>环境保护目标</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_Toc112999901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27</w:t>
        </w:r>
        <w:r w:rsidR="00DD5619" w:rsidRPr="00DD5619">
          <w:rPr>
            <w:rFonts w:ascii="Calibri" w:hAnsi="Calibri"/>
            <w:noProof/>
            <w:webHidden/>
          </w:rPr>
          <w:fldChar w:fldCharType="end"/>
        </w:r>
      </w:hyperlink>
    </w:p>
    <w:p w14:paraId="497AD046" w14:textId="081CB78E" w:rsidR="00DD5619" w:rsidRPr="00DD5619" w:rsidRDefault="00217891">
      <w:pPr>
        <w:pStyle w:val="25"/>
        <w:rPr>
          <w:rFonts w:ascii="Calibri" w:eastAsiaTheme="minorEastAsia" w:hAnsi="Calibri" w:cstheme="minorBidi"/>
          <w:noProof/>
          <w:color w:val="auto"/>
          <w:sz w:val="21"/>
          <w:szCs w:val="22"/>
        </w:rPr>
      </w:pPr>
      <w:hyperlink w:anchor="_Toc112999902" w:history="1">
        <w:r w:rsidR="00DD5619" w:rsidRPr="00DD5619">
          <w:rPr>
            <w:rStyle w:val="aff0"/>
            <w:rFonts w:ascii="Calibri" w:hAnsi="Calibri"/>
            <w:bCs/>
            <w:noProof/>
          </w:rPr>
          <w:t>1.8</w:t>
        </w:r>
        <w:r w:rsidR="00DD5619" w:rsidRPr="00DD5619">
          <w:rPr>
            <w:rStyle w:val="aff0"/>
            <w:rFonts w:ascii="Calibri" w:hAnsi="Calibri"/>
            <w:bCs/>
            <w:noProof/>
          </w:rPr>
          <w:t>评价区域相关规划</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_Toc112999902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29</w:t>
        </w:r>
        <w:r w:rsidR="00DD5619" w:rsidRPr="00DD5619">
          <w:rPr>
            <w:rFonts w:ascii="Calibri" w:hAnsi="Calibri"/>
            <w:noProof/>
            <w:webHidden/>
          </w:rPr>
          <w:fldChar w:fldCharType="end"/>
        </w:r>
      </w:hyperlink>
    </w:p>
    <w:p w14:paraId="0794E6AC" w14:textId="68C23A7B" w:rsidR="00DD5619" w:rsidRPr="00DD5619" w:rsidRDefault="00217891">
      <w:pPr>
        <w:pStyle w:val="13"/>
        <w:rPr>
          <w:rFonts w:eastAsiaTheme="minorEastAsia" w:cstheme="minorBidi"/>
          <w:b w:val="0"/>
          <w:color w:val="auto"/>
          <w:sz w:val="21"/>
          <w:szCs w:val="22"/>
        </w:rPr>
      </w:pPr>
      <w:hyperlink w:anchor="_Toc112999903" w:history="1">
        <w:r w:rsidR="00DD5619" w:rsidRPr="00DD5619">
          <w:rPr>
            <w:rStyle w:val="aff0"/>
          </w:rPr>
          <w:t>第二章</w:t>
        </w:r>
        <w:r w:rsidR="00DD5619" w:rsidRPr="00DD5619">
          <w:rPr>
            <w:rStyle w:val="aff0"/>
          </w:rPr>
          <w:t xml:space="preserve">    </w:t>
        </w:r>
        <w:r w:rsidR="00DD5619" w:rsidRPr="00DD5619">
          <w:rPr>
            <w:rStyle w:val="aff0"/>
          </w:rPr>
          <w:t>工程分析</w:t>
        </w:r>
        <w:r w:rsidR="00DD5619" w:rsidRPr="00DD5619">
          <w:rPr>
            <w:webHidden/>
          </w:rPr>
          <w:tab/>
        </w:r>
        <w:r w:rsidR="00DD5619" w:rsidRPr="00DD5619">
          <w:rPr>
            <w:webHidden/>
          </w:rPr>
          <w:fldChar w:fldCharType="begin"/>
        </w:r>
        <w:r w:rsidR="00DD5619" w:rsidRPr="00DD5619">
          <w:rPr>
            <w:webHidden/>
          </w:rPr>
          <w:instrText xml:space="preserve"> PAGEREF _Toc112999903 \h </w:instrText>
        </w:r>
        <w:r w:rsidR="00DD5619" w:rsidRPr="00DD5619">
          <w:rPr>
            <w:webHidden/>
          </w:rPr>
        </w:r>
        <w:r w:rsidR="00DD5619" w:rsidRPr="00DD5619">
          <w:rPr>
            <w:webHidden/>
          </w:rPr>
          <w:fldChar w:fldCharType="separate"/>
        </w:r>
        <w:r w:rsidR="006E18F7">
          <w:rPr>
            <w:webHidden/>
          </w:rPr>
          <w:t>81</w:t>
        </w:r>
        <w:r w:rsidR="00DD5619" w:rsidRPr="00DD5619">
          <w:rPr>
            <w:webHidden/>
          </w:rPr>
          <w:fldChar w:fldCharType="end"/>
        </w:r>
      </w:hyperlink>
    </w:p>
    <w:p w14:paraId="766214C5" w14:textId="7A581070" w:rsidR="00DD5619" w:rsidRPr="00DD5619" w:rsidRDefault="00217891">
      <w:pPr>
        <w:pStyle w:val="25"/>
        <w:rPr>
          <w:rFonts w:ascii="Calibri" w:eastAsiaTheme="minorEastAsia" w:hAnsi="Calibri" w:cstheme="minorBidi"/>
          <w:noProof/>
          <w:color w:val="auto"/>
          <w:sz w:val="21"/>
          <w:szCs w:val="22"/>
        </w:rPr>
      </w:pPr>
      <w:hyperlink w:anchor="_Toc112999904" w:history="1">
        <w:r w:rsidR="00DD5619" w:rsidRPr="00DD5619">
          <w:rPr>
            <w:rStyle w:val="aff0"/>
            <w:rFonts w:ascii="Calibri" w:hAnsi="Calibri"/>
            <w:bCs/>
            <w:noProof/>
          </w:rPr>
          <w:t>2.1</w:t>
        </w:r>
        <w:r w:rsidR="00DD5619" w:rsidRPr="00DD5619">
          <w:rPr>
            <w:rStyle w:val="aff0"/>
            <w:rFonts w:ascii="Calibri" w:hAnsi="Calibri"/>
            <w:bCs/>
            <w:noProof/>
          </w:rPr>
          <w:t>建设项目概况</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_Toc112999904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81</w:t>
        </w:r>
        <w:r w:rsidR="00DD5619" w:rsidRPr="00DD5619">
          <w:rPr>
            <w:rFonts w:ascii="Calibri" w:hAnsi="Calibri"/>
            <w:noProof/>
            <w:webHidden/>
          </w:rPr>
          <w:fldChar w:fldCharType="end"/>
        </w:r>
      </w:hyperlink>
    </w:p>
    <w:p w14:paraId="2BC3C3ED" w14:textId="1AE7212D" w:rsidR="00DD5619" w:rsidRPr="00DD5619" w:rsidRDefault="00217891">
      <w:pPr>
        <w:pStyle w:val="25"/>
        <w:rPr>
          <w:rFonts w:ascii="Calibri" w:eastAsiaTheme="minorEastAsia" w:hAnsi="Calibri" w:cstheme="minorBidi"/>
          <w:noProof/>
          <w:color w:val="auto"/>
          <w:sz w:val="21"/>
          <w:szCs w:val="22"/>
        </w:rPr>
      </w:pPr>
      <w:hyperlink w:anchor="_Toc112999905" w:history="1">
        <w:r w:rsidR="00DD5619" w:rsidRPr="00DD5619">
          <w:rPr>
            <w:rStyle w:val="aff0"/>
            <w:rFonts w:ascii="Calibri" w:hAnsi="Calibri"/>
            <w:bCs/>
            <w:noProof/>
          </w:rPr>
          <w:t>2.2</w:t>
        </w:r>
        <w:r w:rsidR="00DD5619" w:rsidRPr="00DD5619">
          <w:rPr>
            <w:rStyle w:val="aff0"/>
            <w:rFonts w:ascii="Calibri" w:hAnsi="Calibri"/>
            <w:noProof/>
          </w:rPr>
          <w:t>营运期工艺流程及产污环节分析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_Toc112999905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90</w:t>
        </w:r>
        <w:r w:rsidR="00DD5619" w:rsidRPr="00DD5619">
          <w:rPr>
            <w:rFonts w:ascii="Calibri" w:hAnsi="Calibri"/>
            <w:noProof/>
            <w:webHidden/>
          </w:rPr>
          <w:fldChar w:fldCharType="end"/>
        </w:r>
      </w:hyperlink>
    </w:p>
    <w:p w14:paraId="10402667" w14:textId="1FB99647" w:rsidR="00DD5619" w:rsidRPr="00DD5619" w:rsidRDefault="00217891">
      <w:pPr>
        <w:pStyle w:val="25"/>
        <w:rPr>
          <w:rFonts w:ascii="Calibri" w:eastAsiaTheme="minorEastAsia" w:hAnsi="Calibri" w:cstheme="minorBidi"/>
          <w:noProof/>
          <w:color w:val="auto"/>
          <w:sz w:val="21"/>
          <w:szCs w:val="22"/>
        </w:rPr>
      </w:pPr>
      <w:hyperlink w:anchor="_Toc112999906" w:history="1">
        <w:r w:rsidR="00DD5619" w:rsidRPr="00DD5619">
          <w:rPr>
            <w:rStyle w:val="aff0"/>
            <w:rFonts w:ascii="Calibri" w:hAnsi="Calibri"/>
            <w:bCs/>
            <w:noProof/>
          </w:rPr>
          <w:t>2.3</w:t>
        </w:r>
        <w:r w:rsidR="00DD5619" w:rsidRPr="00DD5619">
          <w:rPr>
            <w:rStyle w:val="aff0"/>
            <w:rFonts w:ascii="Calibri" w:hAnsi="Calibri"/>
            <w:noProof/>
          </w:rPr>
          <w:t>营运期污染源分析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_Toc112999906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101</w:t>
        </w:r>
        <w:r w:rsidR="00DD5619" w:rsidRPr="00DD5619">
          <w:rPr>
            <w:rFonts w:ascii="Calibri" w:hAnsi="Calibri"/>
            <w:noProof/>
            <w:webHidden/>
          </w:rPr>
          <w:fldChar w:fldCharType="end"/>
        </w:r>
      </w:hyperlink>
    </w:p>
    <w:p w14:paraId="080E05F4" w14:textId="4C1FB59C" w:rsidR="00DD5619" w:rsidRPr="00DD5619" w:rsidRDefault="00217891">
      <w:pPr>
        <w:pStyle w:val="25"/>
        <w:rPr>
          <w:rFonts w:ascii="Calibri" w:eastAsiaTheme="minorEastAsia" w:hAnsi="Calibri" w:cstheme="minorBidi"/>
          <w:noProof/>
          <w:color w:val="auto"/>
          <w:sz w:val="21"/>
          <w:szCs w:val="22"/>
        </w:rPr>
      </w:pPr>
      <w:hyperlink w:anchor="_Toc112999907" w:history="1">
        <w:r w:rsidR="00DD5619" w:rsidRPr="00DD5619">
          <w:rPr>
            <w:rStyle w:val="aff0"/>
            <w:rFonts w:ascii="Calibri" w:hAnsi="Calibri"/>
            <w:bCs/>
            <w:noProof/>
          </w:rPr>
          <w:t>2.4</w:t>
        </w:r>
        <w:r w:rsidR="00DD5619" w:rsidRPr="00DD5619">
          <w:rPr>
            <w:rStyle w:val="aff0"/>
            <w:rFonts w:ascii="Calibri" w:hAnsi="Calibri"/>
            <w:noProof/>
          </w:rPr>
          <w:t>非正常工况</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_Toc112999907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136</w:t>
        </w:r>
        <w:r w:rsidR="00DD5619" w:rsidRPr="00DD5619">
          <w:rPr>
            <w:rFonts w:ascii="Calibri" w:hAnsi="Calibri"/>
            <w:noProof/>
            <w:webHidden/>
          </w:rPr>
          <w:fldChar w:fldCharType="end"/>
        </w:r>
      </w:hyperlink>
    </w:p>
    <w:p w14:paraId="1D070E86" w14:textId="6C591F92" w:rsidR="00DD5619" w:rsidRPr="00DD5619" w:rsidRDefault="00217891">
      <w:pPr>
        <w:pStyle w:val="25"/>
        <w:rPr>
          <w:rFonts w:ascii="Calibri" w:eastAsiaTheme="minorEastAsia" w:hAnsi="Calibri" w:cstheme="minorBidi"/>
          <w:noProof/>
          <w:color w:val="auto"/>
          <w:sz w:val="21"/>
          <w:szCs w:val="22"/>
        </w:rPr>
      </w:pPr>
      <w:hyperlink w:anchor="_Toc112999908" w:history="1">
        <w:r w:rsidR="00DD5619" w:rsidRPr="00DD5619">
          <w:rPr>
            <w:rStyle w:val="aff0"/>
            <w:rFonts w:ascii="Calibri" w:hAnsi="Calibri"/>
            <w:bCs/>
            <w:noProof/>
          </w:rPr>
          <w:t>2.5</w:t>
        </w:r>
        <w:r w:rsidR="00DD5619" w:rsidRPr="00DD5619">
          <w:rPr>
            <w:rStyle w:val="aff0"/>
            <w:rFonts w:ascii="Calibri" w:hAnsi="Calibri"/>
            <w:bCs/>
            <w:noProof/>
          </w:rPr>
          <w:t>清洁生产分析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_Toc112999908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137</w:t>
        </w:r>
        <w:r w:rsidR="00DD5619" w:rsidRPr="00DD5619">
          <w:rPr>
            <w:rFonts w:ascii="Calibri" w:hAnsi="Calibri"/>
            <w:noProof/>
            <w:webHidden/>
          </w:rPr>
          <w:fldChar w:fldCharType="end"/>
        </w:r>
      </w:hyperlink>
    </w:p>
    <w:p w14:paraId="32C4FCF4" w14:textId="142CB259" w:rsidR="00DD5619" w:rsidRPr="00DD5619" w:rsidRDefault="00217891">
      <w:pPr>
        <w:pStyle w:val="25"/>
        <w:rPr>
          <w:rFonts w:ascii="Calibri" w:eastAsiaTheme="minorEastAsia" w:hAnsi="Calibri" w:cstheme="minorBidi"/>
          <w:noProof/>
          <w:color w:val="auto"/>
          <w:sz w:val="21"/>
          <w:szCs w:val="22"/>
        </w:rPr>
      </w:pPr>
      <w:hyperlink w:anchor="_Toc112999909" w:history="1">
        <w:r w:rsidR="00DD5619" w:rsidRPr="00DD5619">
          <w:rPr>
            <w:rStyle w:val="aff0"/>
            <w:rFonts w:ascii="Calibri" w:hAnsi="Calibri"/>
            <w:bCs/>
            <w:noProof/>
          </w:rPr>
          <w:t>2.6</w:t>
        </w:r>
        <w:r w:rsidR="00DD5619" w:rsidRPr="00DD5619">
          <w:rPr>
            <w:rStyle w:val="aff0"/>
            <w:rFonts w:ascii="Calibri" w:hAnsi="Calibri"/>
            <w:noProof/>
          </w:rPr>
          <w:t>施工期污染源分析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_Toc112999909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144</w:t>
        </w:r>
        <w:r w:rsidR="00DD5619" w:rsidRPr="00DD5619">
          <w:rPr>
            <w:rFonts w:ascii="Calibri" w:hAnsi="Calibri"/>
            <w:noProof/>
            <w:webHidden/>
          </w:rPr>
          <w:fldChar w:fldCharType="end"/>
        </w:r>
      </w:hyperlink>
    </w:p>
    <w:p w14:paraId="4A28E10D" w14:textId="3922C79E" w:rsidR="00DD5619" w:rsidRPr="00DD5619" w:rsidRDefault="00217891">
      <w:pPr>
        <w:pStyle w:val="13"/>
        <w:rPr>
          <w:rFonts w:eastAsiaTheme="minorEastAsia" w:cstheme="minorBidi"/>
          <w:b w:val="0"/>
          <w:color w:val="auto"/>
          <w:sz w:val="21"/>
          <w:szCs w:val="22"/>
        </w:rPr>
      </w:pPr>
      <w:hyperlink w:anchor="_Toc112999910" w:history="1">
        <w:r w:rsidR="00DD5619" w:rsidRPr="00DD5619">
          <w:rPr>
            <w:rStyle w:val="aff0"/>
          </w:rPr>
          <w:t>第三章</w:t>
        </w:r>
        <w:r w:rsidR="00DD5619" w:rsidRPr="00DD5619">
          <w:rPr>
            <w:rStyle w:val="aff0"/>
          </w:rPr>
          <w:t xml:space="preserve">    </w:t>
        </w:r>
        <w:r w:rsidR="00DD5619" w:rsidRPr="00DD5619">
          <w:rPr>
            <w:rStyle w:val="aff0"/>
          </w:rPr>
          <w:t>环境现状调查与评价</w:t>
        </w:r>
        <w:r w:rsidR="00DD5619" w:rsidRPr="00DD5619">
          <w:rPr>
            <w:webHidden/>
          </w:rPr>
          <w:tab/>
        </w:r>
        <w:r w:rsidR="00DD5619" w:rsidRPr="00DD5619">
          <w:rPr>
            <w:webHidden/>
          </w:rPr>
          <w:fldChar w:fldCharType="begin"/>
        </w:r>
        <w:r w:rsidR="00DD5619" w:rsidRPr="00DD5619">
          <w:rPr>
            <w:webHidden/>
          </w:rPr>
          <w:instrText xml:space="preserve"> PAGEREF _Toc112999910 \h </w:instrText>
        </w:r>
        <w:r w:rsidR="00DD5619" w:rsidRPr="00DD5619">
          <w:rPr>
            <w:webHidden/>
          </w:rPr>
        </w:r>
        <w:r w:rsidR="00DD5619" w:rsidRPr="00DD5619">
          <w:rPr>
            <w:webHidden/>
          </w:rPr>
          <w:fldChar w:fldCharType="separate"/>
        </w:r>
        <w:r w:rsidR="006E18F7">
          <w:rPr>
            <w:webHidden/>
          </w:rPr>
          <w:t>150</w:t>
        </w:r>
        <w:r w:rsidR="00DD5619" w:rsidRPr="00DD5619">
          <w:rPr>
            <w:webHidden/>
          </w:rPr>
          <w:fldChar w:fldCharType="end"/>
        </w:r>
      </w:hyperlink>
    </w:p>
    <w:p w14:paraId="1D4E8358" w14:textId="3AB2DFB2" w:rsidR="00DD5619" w:rsidRPr="00DD5619" w:rsidRDefault="00217891">
      <w:pPr>
        <w:pStyle w:val="25"/>
        <w:rPr>
          <w:rFonts w:ascii="Calibri" w:eastAsiaTheme="minorEastAsia" w:hAnsi="Calibri" w:cstheme="minorBidi"/>
          <w:noProof/>
          <w:color w:val="auto"/>
          <w:sz w:val="21"/>
          <w:szCs w:val="22"/>
        </w:rPr>
      </w:pPr>
      <w:hyperlink w:anchor="_Toc112999911" w:history="1">
        <w:r w:rsidR="00DD5619" w:rsidRPr="00DD5619">
          <w:rPr>
            <w:rStyle w:val="aff0"/>
            <w:rFonts w:ascii="Calibri" w:hAnsi="Calibri"/>
            <w:bCs/>
            <w:noProof/>
          </w:rPr>
          <w:t>3.1</w:t>
        </w:r>
        <w:r w:rsidR="00DD5619" w:rsidRPr="00DD5619">
          <w:rPr>
            <w:rStyle w:val="aff0"/>
            <w:rFonts w:ascii="Calibri" w:hAnsi="Calibri"/>
            <w:bCs/>
            <w:noProof/>
          </w:rPr>
          <w:t>自然环境现状调查</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_Toc112999911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150</w:t>
        </w:r>
        <w:r w:rsidR="00DD5619" w:rsidRPr="00DD5619">
          <w:rPr>
            <w:rFonts w:ascii="Calibri" w:hAnsi="Calibri"/>
            <w:noProof/>
            <w:webHidden/>
          </w:rPr>
          <w:fldChar w:fldCharType="end"/>
        </w:r>
      </w:hyperlink>
    </w:p>
    <w:p w14:paraId="681195B7" w14:textId="5E6512DF" w:rsidR="00DD5619" w:rsidRPr="00DD5619" w:rsidRDefault="00217891">
      <w:pPr>
        <w:pStyle w:val="25"/>
        <w:rPr>
          <w:rFonts w:ascii="Calibri" w:eastAsiaTheme="minorEastAsia" w:hAnsi="Calibri" w:cstheme="minorBidi"/>
          <w:noProof/>
          <w:color w:val="auto"/>
          <w:sz w:val="21"/>
          <w:szCs w:val="22"/>
        </w:rPr>
      </w:pPr>
      <w:hyperlink w:anchor="_Toc112999912" w:history="1">
        <w:r w:rsidR="00DD5619" w:rsidRPr="00DD5619">
          <w:rPr>
            <w:rStyle w:val="aff0"/>
            <w:rFonts w:ascii="Calibri" w:hAnsi="Calibri"/>
            <w:bCs/>
            <w:noProof/>
          </w:rPr>
          <w:t>3.2</w:t>
        </w:r>
        <w:r w:rsidR="00DD5619" w:rsidRPr="00DD5619">
          <w:rPr>
            <w:rStyle w:val="aff0"/>
            <w:rFonts w:ascii="Calibri" w:hAnsi="Calibri"/>
            <w:noProof/>
          </w:rPr>
          <w:t>环境保护目标调查</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_Toc112999912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157</w:t>
        </w:r>
        <w:r w:rsidR="00DD5619" w:rsidRPr="00DD5619">
          <w:rPr>
            <w:rFonts w:ascii="Calibri" w:hAnsi="Calibri"/>
            <w:noProof/>
            <w:webHidden/>
          </w:rPr>
          <w:fldChar w:fldCharType="end"/>
        </w:r>
      </w:hyperlink>
    </w:p>
    <w:p w14:paraId="05A98A04" w14:textId="4BCDA806" w:rsidR="00DD5619" w:rsidRPr="00DD5619" w:rsidRDefault="00217891">
      <w:pPr>
        <w:pStyle w:val="25"/>
        <w:rPr>
          <w:rFonts w:ascii="Calibri" w:eastAsiaTheme="minorEastAsia" w:hAnsi="Calibri" w:cstheme="minorBidi"/>
          <w:noProof/>
          <w:color w:val="auto"/>
          <w:sz w:val="21"/>
          <w:szCs w:val="22"/>
        </w:rPr>
      </w:pPr>
      <w:hyperlink w:anchor="_Toc112999913" w:history="1">
        <w:r w:rsidR="00DD5619" w:rsidRPr="00DD5619">
          <w:rPr>
            <w:rStyle w:val="aff0"/>
            <w:rFonts w:ascii="Calibri" w:hAnsi="Calibri"/>
            <w:bCs/>
            <w:noProof/>
          </w:rPr>
          <w:t>3.3</w:t>
        </w:r>
        <w:r w:rsidR="00DD5619" w:rsidRPr="00DD5619">
          <w:rPr>
            <w:rStyle w:val="aff0"/>
            <w:rFonts w:ascii="Calibri" w:hAnsi="Calibri"/>
            <w:bCs/>
            <w:noProof/>
          </w:rPr>
          <w:t>环境质量现状调查</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_Toc112999913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157</w:t>
        </w:r>
        <w:r w:rsidR="00DD5619" w:rsidRPr="00DD5619">
          <w:rPr>
            <w:rFonts w:ascii="Calibri" w:hAnsi="Calibri"/>
            <w:noProof/>
            <w:webHidden/>
          </w:rPr>
          <w:fldChar w:fldCharType="end"/>
        </w:r>
      </w:hyperlink>
    </w:p>
    <w:p w14:paraId="54206A95" w14:textId="6664ECAD" w:rsidR="00DD5619" w:rsidRPr="00DD5619" w:rsidRDefault="00217891">
      <w:pPr>
        <w:pStyle w:val="13"/>
        <w:rPr>
          <w:rFonts w:eastAsiaTheme="minorEastAsia" w:cstheme="minorBidi"/>
          <w:b w:val="0"/>
          <w:color w:val="auto"/>
          <w:sz w:val="21"/>
          <w:szCs w:val="22"/>
        </w:rPr>
      </w:pPr>
      <w:hyperlink w:anchor="_Toc112999914" w:history="1">
        <w:r w:rsidR="00DD5619" w:rsidRPr="00DD5619">
          <w:rPr>
            <w:rStyle w:val="aff0"/>
          </w:rPr>
          <w:t>第四章</w:t>
        </w:r>
        <w:r w:rsidR="00DD5619" w:rsidRPr="00DD5619">
          <w:rPr>
            <w:rStyle w:val="aff0"/>
          </w:rPr>
          <w:t xml:space="preserve">    </w:t>
        </w:r>
        <w:r w:rsidR="00DD5619" w:rsidRPr="00DD5619">
          <w:rPr>
            <w:rStyle w:val="aff0"/>
          </w:rPr>
          <w:t>环境影响预测与评价</w:t>
        </w:r>
        <w:r w:rsidR="00DD5619" w:rsidRPr="00DD5619">
          <w:rPr>
            <w:webHidden/>
          </w:rPr>
          <w:tab/>
        </w:r>
        <w:r w:rsidR="00DD5619" w:rsidRPr="00DD5619">
          <w:rPr>
            <w:webHidden/>
          </w:rPr>
          <w:fldChar w:fldCharType="begin"/>
        </w:r>
        <w:r w:rsidR="00DD5619" w:rsidRPr="00DD5619">
          <w:rPr>
            <w:webHidden/>
          </w:rPr>
          <w:instrText xml:space="preserve"> PAGEREF _Toc112999914 \h </w:instrText>
        </w:r>
        <w:r w:rsidR="00DD5619" w:rsidRPr="00DD5619">
          <w:rPr>
            <w:webHidden/>
          </w:rPr>
        </w:r>
        <w:r w:rsidR="00DD5619" w:rsidRPr="00DD5619">
          <w:rPr>
            <w:webHidden/>
          </w:rPr>
          <w:fldChar w:fldCharType="separate"/>
        </w:r>
        <w:r w:rsidR="006E18F7">
          <w:rPr>
            <w:webHidden/>
          </w:rPr>
          <w:t>184</w:t>
        </w:r>
        <w:r w:rsidR="00DD5619" w:rsidRPr="00DD5619">
          <w:rPr>
            <w:webHidden/>
          </w:rPr>
          <w:fldChar w:fldCharType="end"/>
        </w:r>
      </w:hyperlink>
    </w:p>
    <w:p w14:paraId="7AA5B9A1" w14:textId="02052A69" w:rsidR="00DD5619" w:rsidRPr="00DD5619" w:rsidRDefault="00217891">
      <w:pPr>
        <w:pStyle w:val="25"/>
        <w:rPr>
          <w:rFonts w:ascii="Calibri" w:eastAsiaTheme="minorEastAsia" w:hAnsi="Calibri" w:cstheme="minorBidi"/>
          <w:noProof/>
          <w:color w:val="auto"/>
          <w:sz w:val="21"/>
          <w:szCs w:val="22"/>
        </w:rPr>
      </w:pPr>
      <w:hyperlink w:anchor="_Toc112999915" w:history="1">
        <w:r w:rsidR="00DD5619" w:rsidRPr="00DD5619">
          <w:rPr>
            <w:rStyle w:val="aff0"/>
            <w:rFonts w:ascii="Calibri" w:hAnsi="Calibri"/>
            <w:bCs/>
            <w:noProof/>
          </w:rPr>
          <w:t>4.1</w:t>
        </w:r>
        <w:r w:rsidR="00DD5619" w:rsidRPr="00DD5619">
          <w:rPr>
            <w:rStyle w:val="aff0"/>
            <w:rFonts w:ascii="Calibri" w:hAnsi="Calibri"/>
            <w:bCs/>
            <w:noProof/>
          </w:rPr>
          <w:t>施工期环境影响分析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_Toc112999915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184</w:t>
        </w:r>
        <w:r w:rsidR="00DD5619" w:rsidRPr="00DD5619">
          <w:rPr>
            <w:rFonts w:ascii="Calibri" w:hAnsi="Calibri"/>
            <w:noProof/>
            <w:webHidden/>
          </w:rPr>
          <w:fldChar w:fldCharType="end"/>
        </w:r>
      </w:hyperlink>
    </w:p>
    <w:p w14:paraId="42CF5E15" w14:textId="2B289650" w:rsidR="00DD5619" w:rsidRPr="00DD5619" w:rsidRDefault="00217891">
      <w:pPr>
        <w:pStyle w:val="25"/>
        <w:rPr>
          <w:rFonts w:ascii="Calibri" w:eastAsiaTheme="minorEastAsia" w:hAnsi="Calibri" w:cstheme="minorBidi"/>
          <w:noProof/>
          <w:color w:val="auto"/>
          <w:sz w:val="21"/>
          <w:szCs w:val="22"/>
        </w:rPr>
      </w:pPr>
      <w:hyperlink w:anchor="_Toc112999916" w:history="1">
        <w:r w:rsidR="00DD5619" w:rsidRPr="00DD5619">
          <w:rPr>
            <w:rStyle w:val="aff0"/>
            <w:rFonts w:ascii="Calibri" w:hAnsi="Calibri"/>
            <w:bCs/>
            <w:noProof/>
          </w:rPr>
          <w:t>4.2</w:t>
        </w:r>
        <w:r w:rsidR="00DD5619" w:rsidRPr="00DD5619">
          <w:rPr>
            <w:rStyle w:val="aff0"/>
            <w:rFonts w:ascii="Calibri" w:hAnsi="Calibri"/>
            <w:bCs/>
            <w:noProof/>
          </w:rPr>
          <w:t>营运期环境影响分析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_Toc112999916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189</w:t>
        </w:r>
        <w:r w:rsidR="00DD5619" w:rsidRPr="00DD5619">
          <w:rPr>
            <w:rFonts w:ascii="Calibri" w:hAnsi="Calibri"/>
            <w:noProof/>
            <w:webHidden/>
          </w:rPr>
          <w:fldChar w:fldCharType="end"/>
        </w:r>
      </w:hyperlink>
    </w:p>
    <w:p w14:paraId="28592A91" w14:textId="79A91764" w:rsidR="00DD5619" w:rsidRPr="00DD5619" w:rsidRDefault="00217891">
      <w:pPr>
        <w:pStyle w:val="25"/>
        <w:rPr>
          <w:rFonts w:ascii="Calibri" w:eastAsiaTheme="minorEastAsia" w:hAnsi="Calibri" w:cstheme="minorBidi"/>
          <w:noProof/>
          <w:color w:val="auto"/>
          <w:sz w:val="21"/>
          <w:szCs w:val="22"/>
        </w:rPr>
      </w:pPr>
      <w:hyperlink w:anchor="_Toc112999917" w:history="1">
        <w:r w:rsidR="00DD5619" w:rsidRPr="00DD5619">
          <w:rPr>
            <w:rStyle w:val="aff0"/>
            <w:rFonts w:ascii="Calibri" w:hAnsi="Calibri"/>
            <w:bCs/>
            <w:noProof/>
          </w:rPr>
          <w:t>4.3</w:t>
        </w:r>
        <w:r w:rsidR="00DD5619" w:rsidRPr="00DD5619">
          <w:rPr>
            <w:rStyle w:val="aff0"/>
            <w:rFonts w:ascii="Calibri" w:hAnsi="Calibri"/>
            <w:bCs/>
            <w:noProof/>
          </w:rPr>
          <w:t>环境风险评价</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_Toc112999917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242</w:t>
        </w:r>
        <w:r w:rsidR="00DD5619" w:rsidRPr="00DD5619">
          <w:rPr>
            <w:rFonts w:ascii="Calibri" w:hAnsi="Calibri"/>
            <w:noProof/>
            <w:webHidden/>
          </w:rPr>
          <w:fldChar w:fldCharType="end"/>
        </w:r>
      </w:hyperlink>
    </w:p>
    <w:p w14:paraId="7FC2B578" w14:textId="15BB9023" w:rsidR="00DD5619" w:rsidRPr="00DD5619" w:rsidRDefault="00217891">
      <w:pPr>
        <w:pStyle w:val="25"/>
        <w:rPr>
          <w:rFonts w:ascii="Calibri" w:eastAsiaTheme="minorEastAsia" w:hAnsi="Calibri" w:cstheme="minorBidi"/>
          <w:noProof/>
          <w:color w:val="auto"/>
          <w:sz w:val="21"/>
          <w:szCs w:val="22"/>
        </w:rPr>
      </w:pPr>
      <w:hyperlink w:anchor="_Toc112999918" w:history="1">
        <w:r w:rsidR="00DD5619" w:rsidRPr="00DD5619">
          <w:rPr>
            <w:rStyle w:val="aff0"/>
            <w:rFonts w:ascii="Calibri" w:hAnsi="Calibri"/>
            <w:bCs/>
            <w:noProof/>
          </w:rPr>
          <w:t>4.4</w:t>
        </w:r>
        <w:r w:rsidR="00DD5619" w:rsidRPr="00DD5619">
          <w:rPr>
            <w:rStyle w:val="aff0"/>
            <w:rFonts w:ascii="Calibri" w:hAnsi="Calibri"/>
            <w:bCs/>
            <w:noProof/>
          </w:rPr>
          <w:t>土壤影响影响分析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_Toc112999918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252</w:t>
        </w:r>
        <w:r w:rsidR="00DD5619" w:rsidRPr="00DD5619">
          <w:rPr>
            <w:rFonts w:ascii="Calibri" w:hAnsi="Calibri"/>
            <w:noProof/>
            <w:webHidden/>
          </w:rPr>
          <w:fldChar w:fldCharType="end"/>
        </w:r>
      </w:hyperlink>
    </w:p>
    <w:p w14:paraId="6BB8B0A8" w14:textId="7C31BDFF" w:rsidR="00DD5619" w:rsidRPr="00DD5619" w:rsidRDefault="00217891">
      <w:pPr>
        <w:pStyle w:val="13"/>
        <w:rPr>
          <w:rFonts w:eastAsiaTheme="minorEastAsia" w:cstheme="minorBidi"/>
          <w:b w:val="0"/>
          <w:color w:val="auto"/>
          <w:sz w:val="21"/>
          <w:szCs w:val="22"/>
        </w:rPr>
      </w:pPr>
      <w:hyperlink w:anchor="_Toc112999919" w:history="1">
        <w:r w:rsidR="00DD5619" w:rsidRPr="00DD5619">
          <w:rPr>
            <w:rStyle w:val="aff0"/>
          </w:rPr>
          <w:t>第五章</w:t>
        </w:r>
        <w:r w:rsidR="00DD5619" w:rsidRPr="00DD5619">
          <w:rPr>
            <w:rStyle w:val="aff0"/>
          </w:rPr>
          <w:t xml:space="preserve">    </w:t>
        </w:r>
        <w:r w:rsidR="00DD5619" w:rsidRPr="00DD5619">
          <w:rPr>
            <w:rStyle w:val="aff0"/>
          </w:rPr>
          <w:t>环境保护措施及其可行性论证</w:t>
        </w:r>
        <w:r w:rsidR="00DD5619" w:rsidRPr="00DD5619">
          <w:rPr>
            <w:webHidden/>
          </w:rPr>
          <w:tab/>
        </w:r>
        <w:r w:rsidR="00DD5619" w:rsidRPr="00DD5619">
          <w:rPr>
            <w:webHidden/>
          </w:rPr>
          <w:fldChar w:fldCharType="begin"/>
        </w:r>
        <w:r w:rsidR="00DD5619" w:rsidRPr="00DD5619">
          <w:rPr>
            <w:webHidden/>
          </w:rPr>
          <w:instrText xml:space="preserve"> PAGEREF _Toc112999919 \h </w:instrText>
        </w:r>
        <w:r w:rsidR="00DD5619" w:rsidRPr="00DD5619">
          <w:rPr>
            <w:webHidden/>
          </w:rPr>
        </w:r>
        <w:r w:rsidR="00DD5619" w:rsidRPr="00DD5619">
          <w:rPr>
            <w:webHidden/>
          </w:rPr>
          <w:fldChar w:fldCharType="separate"/>
        </w:r>
        <w:r w:rsidR="006E18F7">
          <w:rPr>
            <w:webHidden/>
          </w:rPr>
          <w:t>264</w:t>
        </w:r>
        <w:r w:rsidR="00DD5619" w:rsidRPr="00DD5619">
          <w:rPr>
            <w:webHidden/>
          </w:rPr>
          <w:fldChar w:fldCharType="end"/>
        </w:r>
      </w:hyperlink>
    </w:p>
    <w:p w14:paraId="275E04CF" w14:textId="3183ACA9" w:rsidR="00DD5619" w:rsidRPr="00DD5619" w:rsidRDefault="00217891">
      <w:pPr>
        <w:pStyle w:val="25"/>
        <w:rPr>
          <w:rFonts w:ascii="Calibri" w:eastAsiaTheme="minorEastAsia" w:hAnsi="Calibri" w:cstheme="minorBidi"/>
          <w:noProof/>
          <w:color w:val="auto"/>
          <w:sz w:val="21"/>
          <w:szCs w:val="22"/>
        </w:rPr>
      </w:pPr>
      <w:hyperlink w:anchor="_Toc112999920" w:history="1">
        <w:r w:rsidR="00DD5619" w:rsidRPr="00DD5619">
          <w:rPr>
            <w:rStyle w:val="aff0"/>
            <w:rFonts w:ascii="Calibri" w:hAnsi="Calibri"/>
            <w:bCs/>
            <w:noProof/>
          </w:rPr>
          <w:t>5.1</w:t>
        </w:r>
        <w:r w:rsidR="00DD5619" w:rsidRPr="00DD5619">
          <w:rPr>
            <w:rStyle w:val="aff0"/>
            <w:rFonts w:ascii="Calibri" w:hAnsi="Calibri"/>
            <w:bCs/>
            <w:noProof/>
          </w:rPr>
          <w:t>施工期污染防治措施</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_Toc112999920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264</w:t>
        </w:r>
        <w:r w:rsidR="00DD5619" w:rsidRPr="00DD5619">
          <w:rPr>
            <w:rFonts w:ascii="Calibri" w:hAnsi="Calibri"/>
            <w:noProof/>
            <w:webHidden/>
          </w:rPr>
          <w:fldChar w:fldCharType="end"/>
        </w:r>
      </w:hyperlink>
    </w:p>
    <w:p w14:paraId="5CEB42B4" w14:textId="48A69621" w:rsidR="00DD5619" w:rsidRPr="00DD5619" w:rsidRDefault="00217891">
      <w:pPr>
        <w:pStyle w:val="25"/>
        <w:rPr>
          <w:rFonts w:ascii="Calibri" w:eastAsiaTheme="minorEastAsia" w:hAnsi="Calibri" w:cstheme="minorBidi"/>
          <w:noProof/>
          <w:color w:val="auto"/>
          <w:sz w:val="21"/>
          <w:szCs w:val="22"/>
        </w:rPr>
      </w:pPr>
      <w:hyperlink w:anchor="_Toc112999921" w:history="1">
        <w:r w:rsidR="00DD5619" w:rsidRPr="00DD5619">
          <w:rPr>
            <w:rStyle w:val="aff0"/>
            <w:rFonts w:ascii="Calibri" w:hAnsi="Calibri"/>
            <w:bCs/>
            <w:noProof/>
          </w:rPr>
          <w:t>5.2</w:t>
        </w:r>
        <w:r w:rsidR="00DD5619" w:rsidRPr="00DD5619">
          <w:rPr>
            <w:rStyle w:val="aff0"/>
            <w:rFonts w:ascii="Calibri" w:hAnsi="Calibri"/>
            <w:bCs/>
            <w:noProof/>
          </w:rPr>
          <w:t>营运期污染防治措施</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_Toc112999921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270</w:t>
        </w:r>
        <w:r w:rsidR="00DD5619" w:rsidRPr="00DD5619">
          <w:rPr>
            <w:rFonts w:ascii="Calibri" w:hAnsi="Calibri"/>
            <w:noProof/>
            <w:webHidden/>
          </w:rPr>
          <w:fldChar w:fldCharType="end"/>
        </w:r>
      </w:hyperlink>
    </w:p>
    <w:p w14:paraId="486AD47F" w14:textId="256F9512" w:rsidR="00DD5619" w:rsidRPr="00DD5619" w:rsidRDefault="00217891">
      <w:pPr>
        <w:pStyle w:val="25"/>
        <w:rPr>
          <w:rFonts w:ascii="Calibri" w:eastAsiaTheme="minorEastAsia" w:hAnsi="Calibri" w:cstheme="minorBidi"/>
          <w:noProof/>
          <w:color w:val="auto"/>
          <w:sz w:val="21"/>
          <w:szCs w:val="22"/>
        </w:rPr>
      </w:pPr>
      <w:hyperlink w:anchor="_Toc112999922" w:history="1">
        <w:r w:rsidR="00DD5619" w:rsidRPr="00DD5619">
          <w:rPr>
            <w:rStyle w:val="aff0"/>
            <w:rFonts w:ascii="Calibri" w:hAnsi="Calibri"/>
            <w:bCs/>
            <w:noProof/>
          </w:rPr>
          <w:t>5.3</w:t>
        </w:r>
        <w:r w:rsidR="00DD5619" w:rsidRPr="00DD5619">
          <w:rPr>
            <w:rStyle w:val="aff0"/>
            <w:rFonts w:ascii="Calibri" w:hAnsi="Calibri"/>
            <w:bCs/>
            <w:noProof/>
          </w:rPr>
          <w:t>环境风险防范措施</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_Toc112999922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294</w:t>
        </w:r>
        <w:r w:rsidR="00DD5619" w:rsidRPr="00DD5619">
          <w:rPr>
            <w:rFonts w:ascii="Calibri" w:hAnsi="Calibri"/>
            <w:noProof/>
            <w:webHidden/>
          </w:rPr>
          <w:fldChar w:fldCharType="end"/>
        </w:r>
      </w:hyperlink>
    </w:p>
    <w:p w14:paraId="4566F590" w14:textId="11085DA9" w:rsidR="00DD5619" w:rsidRPr="00DD5619" w:rsidRDefault="00217891">
      <w:pPr>
        <w:pStyle w:val="25"/>
        <w:rPr>
          <w:rFonts w:ascii="Calibri" w:eastAsiaTheme="minorEastAsia" w:hAnsi="Calibri" w:cstheme="minorBidi"/>
          <w:noProof/>
          <w:color w:val="auto"/>
          <w:sz w:val="21"/>
          <w:szCs w:val="22"/>
        </w:rPr>
      </w:pPr>
      <w:hyperlink w:anchor="_Toc112999923" w:history="1">
        <w:r w:rsidR="00DD5619" w:rsidRPr="00DD5619">
          <w:rPr>
            <w:rStyle w:val="aff0"/>
            <w:rFonts w:ascii="Calibri" w:hAnsi="Calibri"/>
            <w:bCs/>
            <w:noProof/>
          </w:rPr>
          <w:t>5.4</w:t>
        </w:r>
        <w:r w:rsidR="00DD5619" w:rsidRPr="00DD5619">
          <w:rPr>
            <w:rStyle w:val="aff0"/>
            <w:rFonts w:ascii="Calibri" w:hAnsi="Calibri"/>
            <w:bCs/>
            <w:noProof/>
          </w:rPr>
          <w:t>土壤环境影响防范措施</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_Toc112999923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304</w:t>
        </w:r>
        <w:r w:rsidR="00DD5619" w:rsidRPr="00DD5619">
          <w:rPr>
            <w:rFonts w:ascii="Calibri" w:hAnsi="Calibri"/>
            <w:noProof/>
            <w:webHidden/>
          </w:rPr>
          <w:fldChar w:fldCharType="end"/>
        </w:r>
      </w:hyperlink>
    </w:p>
    <w:p w14:paraId="19E75E98" w14:textId="51256E0D" w:rsidR="00DD5619" w:rsidRPr="00DD5619" w:rsidRDefault="00217891">
      <w:pPr>
        <w:pStyle w:val="25"/>
        <w:rPr>
          <w:rFonts w:ascii="Calibri" w:eastAsiaTheme="minorEastAsia" w:hAnsi="Calibri" w:cstheme="minorBidi"/>
          <w:noProof/>
          <w:color w:val="auto"/>
          <w:sz w:val="21"/>
          <w:szCs w:val="22"/>
        </w:rPr>
      </w:pPr>
      <w:hyperlink w:anchor="_Toc112999924" w:history="1">
        <w:r w:rsidR="00DD5619" w:rsidRPr="00DD5619">
          <w:rPr>
            <w:rStyle w:val="aff0"/>
            <w:rFonts w:ascii="Calibri" w:hAnsi="Calibri"/>
            <w:bCs/>
            <w:noProof/>
          </w:rPr>
          <w:t>5.5</w:t>
        </w:r>
        <w:r w:rsidR="00DD5619" w:rsidRPr="00DD5619">
          <w:rPr>
            <w:rStyle w:val="aff0"/>
            <w:rFonts w:ascii="Calibri" w:hAnsi="Calibri"/>
            <w:bCs/>
            <w:noProof/>
          </w:rPr>
          <w:t>环保投资及竣工验收</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_Toc112999924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305</w:t>
        </w:r>
        <w:r w:rsidR="00DD5619" w:rsidRPr="00DD5619">
          <w:rPr>
            <w:rFonts w:ascii="Calibri" w:hAnsi="Calibri"/>
            <w:noProof/>
            <w:webHidden/>
          </w:rPr>
          <w:fldChar w:fldCharType="end"/>
        </w:r>
      </w:hyperlink>
    </w:p>
    <w:p w14:paraId="5C24B96B" w14:textId="043B1B49" w:rsidR="00DD5619" w:rsidRPr="00DD5619" w:rsidRDefault="00217891">
      <w:pPr>
        <w:pStyle w:val="13"/>
        <w:rPr>
          <w:rFonts w:eastAsiaTheme="minorEastAsia" w:cstheme="minorBidi"/>
          <w:b w:val="0"/>
          <w:color w:val="auto"/>
          <w:sz w:val="21"/>
          <w:szCs w:val="22"/>
        </w:rPr>
      </w:pPr>
      <w:hyperlink w:anchor="_Toc112999925" w:history="1">
        <w:r w:rsidR="00DD5619" w:rsidRPr="00DD5619">
          <w:rPr>
            <w:rStyle w:val="aff0"/>
          </w:rPr>
          <w:t>第六章</w:t>
        </w:r>
        <w:r w:rsidR="00DD5619" w:rsidRPr="00DD5619">
          <w:rPr>
            <w:rStyle w:val="aff0"/>
          </w:rPr>
          <w:t xml:space="preserve">   </w:t>
        </w:r>
        <w:r w:rsidR="00DD5619" w:rsidRPr="00DD5619">
          <w:rPr>
            <w:rStyle w:val="aff0"/>
          </w:rPr>
          <w:t>环境经济损益分析</w:t>
        </w:r>
        <w:r w:rsidR="00DD5619" w:rsidRPr="00DD5619">
          <w:rPr>
            <w:webHidden/>
          </w:rPr>
          <w:tab/>
        </w:r>
        <w:r w:rsidR="00DD5619" w:rsidRPr="00DD5619">
          <w:rPr>
            <w:webHidden/>
          </w:rPr>
          <w:fldChar w:fldCharType="begin"/>
        </w:r>
        <w:r w:rsidR="00DD5619" w:rsidRPr="00DD5619">
          <w:rPr>
            <w:webHidden/>
          </w:rPr>
          <w:instrText xml:space="preserve"> PAGEREF _Toc112999925 \h </w:instrText>
        </w:r>
        <w:r w:rsidR="00DD5619" w:rsidRPr="00DD5619">
          <w:rPr>
            <w:webHidden/>
          </w:rPr>
        </w:r>
        <w:r w:rsidR="00DD5619" w:rsidRPr="00DD5619">
          <w:rPr>
            <w:webHidden/>
          </w:rPr>
          <w:fldChar w:fldCharType="separate"/>
        </w:r>
        <w:r w:rsidR="006E18F7">
          <w:rPr>
            <w:webHidden/>
          </w:rPr>
          <w:t>307</w:t>
        </w:r>
        <w:r w:rsidR="00DD5619" w:rsidRPr="00DD5619">
          <w:rPr>
            <w:webHidden/>
          </w:rPr>
          <w:fldChar w:fldCharType="end"/>
        </w:r>
      </w:hyperlink>
    </w:p>
    <w:p w14:paraId="07EA33AA" w14:textId="109665C2" w:rsidR="00DD5619" w:rsidRPr="00DD5619" w:rsidRDefault="00217891">
      <w:pPr>
        <w:pStyle w:val="25"/>
        <w:rPr>
          <w:rFonts w:ascii="Calibri" w:eastAsiaTheme="minorEastAsia" w:hAnsi="Calibri" w:cstheme="minorBidi"/>
          <w:noProof/>
          <w:color w:val="auto"/>
          <w:sz w:val="21"/>
          <w:szCs w:val="22"/>
        </w:rPr>
      </w:pPr>
      <w:hyperlink w:anchor="_Toc112999926" w:history="1">
        <w:r w:rsidR="00DD5619" w:rsidRPr="00DD5619">
          <w:rPr>
            <w:rStyle w:val="aff0"/>
            <w:rFonts w:ascii="Calibri" w:hAnsi="Calibri"/>
            <w:bCs/>
            <w:noProof/>
          </w:rPr>
          <w:t>6.1</w:t>
        </w:r>
        <w:r w:rsidR="00DD5619" w:rsidRPr="00DD5619">
          <w:rPr>
            <w:rStyle w:val="aff0"/>
            <w:rFonts w:ascii="Calibri" w:hAnsi="Calibri"/>
            <w:bCs/>
            <w:noProof/>
          </w:rPr>
          <w:t>经济效益分析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_Toc112999926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307</w:t>
        </w:r>
        <w:r w:rsidR="00DD5619" w:rsidRPr="00DD5619">
          <w:rPr>
            <w:rFonts w:ascii="Calibri" w:hAnsi="Calibri"/>
            <w:noProof/>
            <w:webHidden/>
          </w:rPr>
          <w:fldChar w:fldCharType="end"/>
        </w:r>
      </w:hyperlink>
    </w:p>
    <w:p w14:paraId="3ECCA28D" w14:textId="21C703ED" w:rsidR="00DD5619" w:rsidRPr="00DD5619" w:rsidRDefault="00217891">
      <w:pPr>
        <w:pStyle w:val="25"/>
        <w:rPr>
          <w:rFonts w:ascii="Calibri" w:eastAsiaTheme="minorEastAsia" w:hAnsi="Calibri" w:cstheme="minorBidi"/>
          <w:noProof/>
          <w:color w:val="auto"/>
          <w:sz w:val="21"/>
          <w:szCs w:val="22"/>
        </w:rPr>
      </w:pPr>
      <w:hyperlink w:anchor="_Toc112999927" w:history="1">
        <w:r w:rsidR="00DD5619" w:rsidRPr="00DD5619">
          <w:rPr>
            <w:rStyle w:val="aff0"/>
            <w:rFonts w:ascii="Calibri" w:hAnsi="Calibri"/>
            <w:bCs/>
            <w:noProof/>
          </w:rPr>
          <w:t>6.2</w:t>
        </w:r>
        <w:r w:rsidR="00DD5619" w:rsidRPr="00DD5619">
          <w:rPr>
            <w:rStyle w:val="aff0"/>
            <w:rFonts w:ascii="Calibri" w:hAnsi="Calibri"/>
            <w:bCs/>
            <w:noProof/>
          </w:rPr>
          <w:t>社会效益分析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_Toc112999927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307</w:t>
        </w:r>
        <w:r w:rsidR="00DD5619" w:rsidRPr="00DD5619">
          <w:rPr>
            <w:rFonts w:ascii="Calibri" w:hAnsi="Calibri"/>
            <w:noProof/>
            <w:webHidden/>
          </w:rPr>
          <w:fldChar w:fldCharType="end"/>
        </w:r>
      </w:hyperlink>
    </w:p>
    <w:p w14:paraId="4B84D1FD" w14:textId="020FAA8D" w:rsidR="00DD5619" w:rsidRPr="00DD5619" w:rsidRDefault="00217891">
      <w:pPr>
        <w:pStyle w:val="25"/>
        <w:rPr>
          <w:rFonts w:ascii="Calibri" w:eastAsiaTheme="minorEastAsia" w:hAnsi="Calibri" w:cstheme="minorBidi"/>
          <w:noProof/>
          <w:color w:val="auto"/>
          <w:sz w:val="21"/>
          <w:szCs w:val="22"/>
        </w:rPr>
      </w:pPr>
      <w:hyperlink w:anchor="_Toc112999928" w:history="1">
        <w:r w:rsidR="00DD5619" w:rsidRPr="00DD5619">
          <w:rPr>
            <w:rStyle w:val="aff0"/>
            <w:rFonts w:ascii="Calibri" w:hAnsi="Calibri"/>
            <w:bCs/>
            <w:noProof/>
          </w:rPr>
          <w:t>6.3</w:t>
        </w:r>
        <w:r w:rsidR="00DD5619" w:rsidRPr="00DD5619">
          <w:rPr>
            <w:rStyle w:val="aff0"/>
            <w:rFonts w:ascii="Calibri" w:hAnsi="Calibri"/>
            <w:bCs/>
            <w:noProof/>
          </w:rPr>
          <w:t>环境损益分析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_Toc112999928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308</w:t>
        </w:r>
        <w:r w:rsidR="00DD5619" w:rsidRPr="00DD5619">
          <w:rPr>
            <w:rFonts w:ascii="Calibri" w:hAnsi="Calibri"/>
            <w:noProof/>
            <w:webHidden/>
          </w:rPr>
          <w:fldChar w:fldCharType="end"/>
        </w:r>
      </w:hyperlink>
    </w:p>
    <w:p w14:paraId="4178BDC9" w14:textId="4E926210" w:rsidR="00DD5619" w:rsidRPr="00DD5619" w:rsidRDefault="00217891">
      <w:pPr>
        <w:pStyle w:val="25"/>
        <w:rPr>
          <w:rFonts w:ascii="Calibri" w:eastAsiaTheme="minorEastAsia" w:hAnsi="Calibri" w:cstheme="minorBidi"/>
          <w:noProof/>
          <w:color w:val="auto"/>
          <w:sz w:val="21"/>
          <w:szCs w:val="22"/>
        </w:rPr>
      </w:pPr>
      <w:hyperlink w:anchor="_Toc112999929" w:history="1">
        <w:r w:rsidR="00DD5619" w:rsidRPr="00DD5619">
          <w:rPr>
            <w:rStyle w:val="aff0"/>
            <w:rFonts w:ascii="Calibri" w:hAnsi="Calibri"/>
            <w:bCs/>
            <w:noProof/>
          </w:rPr>
          <w:t>6.4</w:t>
        </w:r>
        <w:r w:rsidR="00DD5619" w:rsidRPr="00DD5619">
          <w:rPr>
            <w:rStyle w:val="aff0"/>
            <w:rFonts w:ascii="Calibri" w:hAnsi="Calibri"/>
            <w:bCs/>
            <w:noProof/>
          </w:rPr>
          <w:t>环境经济效益分析</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_Toc112999929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309</w:t>
        </w:r>
        <w:r w:rsidR="00DD5619" w:rsidRPr="00DD5619">
          <w:rPr>
            <w:rFonts w:ascii="Calibri" w:hAnsi="Calibri"/>
            <w:noProof/>
            <w:webHidden/>
          </w:rPr>
          <w:fldChar w:fldCharType="end"/>
        </w:r>
      </w:hyperlink>
    </w:p>
    <w:p w14:paraId="5015B0EB" w14:textId="6A01B598" w:rsidR="00DD5619" w:rsidRPr="00DD5619" w:rsidRDefault="00217891">
      <w:pPr>
        <w:pStyle w:val="25"/>
        <w:rPr>
          <w:rFonts w:ascii="Calibri" w:eastAsiaTheme="minorEastAsia" w:hAnsi="Calibri" w:cstheme="minorBidi"/>
          <w:noProof/>
          <w:color w:val="auto"/>
          <w:sz w:val="21"/>
          <w:szCs w:val="22"/>
        </w:rPr>
      </w:pPr>
      <w:hyperlink w:anchor="_Toc112999930" w:history="1">
        <w:r w:rsidR="00DD5619" w:rsidRPr="00DD5619">
          <w:rPr>
            <w:rStyle w:val="aff0"/>
            <w:rFonts w:ascii="Calibri" w:hAnsi="Calibri"/>
            <w:bCs/>
            <w:noProof/>
          </w:rPr>
          <w:t>6.5</w:t>
        </w:r>
        <w:r w:rsidR="00DD5619" w:rsidRPr="00DD5619">
          <w:rPr>
            <w:rStyle w:val="aff0"/>
            <w:rFonts w:ascii="Calibri" w:hAnsi="Calibri"/>
            <w:bCs/>
            <w:noProof/>
          </w:rPr>
          <w:t>环境经济损益分析结论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_Toc112999930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310</w:t>
        </w:r>
        <w:r w:rsidR="00DD5619" w:rsidRPr="00DD5619">
          <w:rPr>
            <w:rFonts w:ascii="Calibri" w:hAnsi="Calibri"/>
            <w:noProof/>
            <w:webHidden/>
          </w:rPr>
          <w:fldChar w:fldCharType="end"/>
        </w:r>
      </w:hyperlink>
    </w:p>
    <w:p w14:paraId="6B310C99" w14:textId="7F64B5F7" w:rsidR="00DD5619" w:rsidRPr="00DD5619" w:rsidRDefault="00217891">
      <w:pPr>
        <w:pStyle w:val="13"/>
        <w:rPr>
          <w:rFonts w:eastAsiaTheme="minorEastAsia" w:cstheme="minorBidi"/>
          <w:b w:val="0"/>
          <w:color w:val="auto"/>
          <w:sz w:val="21"/>
          <w:szCs w:val="22"/>
        </w:rPr>
      </w:pPr>
      <w:hyperlink w:anchor="_Toc112999931" w:history="1">
        <w:r w:rsidR="00DD5619" w:rsidRPr="00DD5619">
          <w:rPr>
            <w:rStyle w:val="aff0"/>
          </w:rPr>
          <w:t>第七章</w:t>
        </w:r>
        <w:r w:rsidR="00DD5619" w:rsidRPr="00DD5619">
          <w:rPr>
            <w:rStyle w:val="aff0"/>
          </w:rPr>
          <w:t xml:space="preserve">  </w:t>
        </w:r>
        <w:r w:rsidR="00DD5619" w:rsidRPr="00DD5619">
          <w:rPr>
            <w:rStyle w:val="aff0"/>
          </w:rPr>
          <w:t>环境管理与监测计划</w:t>
        </w:r>
        <w:r w:rsidR="00DD5619" w:rsidRPr="00DD5619">
          <w:rPr>
            <w:webHidden/>
          </w:rPr>
          <w:tab/>
        </w:r>
        <w:r w:rsidR="00DD5619" w:rsidRPr="00DD5619">
          <w:rPr>
            <w:webHidden/>
          </w:rPr>
          <w:fldChar w:fldCharType="begin"/>
        </w:r>
        <w:r w:rsidR="00DD5619" w:rsidRPr="00DD5619">
          <w:rPr>
            <w:webHidden/>
          </w:rPr>
          <w:instrText xml:space="preserve"> PAGEREF _Toc112999931 \h </w:instrText>
        </w:r>
        <w:r w:rsidR="00DD5619" w:rsidRPr="00DD5619">
          <w:rPr>
            <w:webHidden/>
          </w:rPr>
        </w:r>
        <w:r w:rsidR="00DD5619" w:rsidRPr="00DD5619">
          <w:rPr>
            <w:webHidden/>
          </w:rPr>
          <w:fldChar w:fldCharType="separate"/>
        </w:r>
        <w:r w:rsidR="006E18F7">
          <w:rPr>
            <w:webHidden/>
          </w:rPr>
          <w:t>311</w:t>
        </w:r>
        <w:r w:rsidR="00DD5619" w:rsidRPr="00DD5619">
          <w:rPr>
            <w:webHidden/>
          </w:rPr>
          <w:fldChar w:fldCharType="end"/>
        </w:r>
      </w:hyperlink>
    </w:p>
    <w:p w14:paraId="53BD32A1" w14:textId="1130F3D4" w:rsidR="00DD5619" w:rsidRPr="00DD5619" w:rsidRDefault="00217891">
      <w:pPr>
        <w:pStyle w:val="25"/>
        <w:rPr>
          <w:rFonts w:ascii="Calibri" w:eastAsiaTheme="minorEastAsia" w:hAnsi="Calibri" w:cstheme="minorBidi"/>
          <w:noProof/>
          <w:color w:val="auto"/>
          <w:sz w:val="21"/>
          <w:szCs w:val="22"/>
        </w:rPr>
      </w:pPr>
      <w:hyperlink w:anchor="_Toc112999932" w:history="1">
        <w:r w:rsidR="00DD5619" w:rsidRPr="00DD5619">
          <w:rPr>
            <w:rStyle w:val="aff0"/>
            <w:rFonts w:ascii="Calibri" w:hAnsi="Calibri"/>
            <w:bCs/>
            <w:noProof/>
          </w:rPr>
          <w:t>7.1</w:t>
        </w:r>
        <w:r w:rsidR="00DD5619" w:rsidRPr="00DD5619">
          <w:rPr>
            <w:rStyle w:val="aff0"/>
            <w:rFonts w:ascii="Calibri" w:hAnsi="Calibri"/>
            <w:bCs/>
            <w:noProof/>
          </w:rPr>
          <w:t>环境管理</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_Toc112999932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311</w:t>
        </w:r>
        <w:r w:rsidR="00DD5619" w:rsidRPr="00DD5619">
          <w:rPr>
            <w:rFonts w:ascii="Calibri" w:hAnsi="Calibri"/>
            <w:noProof/>
            <w:webHidden/>
          </w:rPr>
          <w:fldChar w:fldCharType="end"/>
        </w:r>
      </w:hyperlink>
    </w:p>
    <w:p w14:paraId="1C4C3DCE" w14:textId="6CA9ADF5" w:rsidR="00DD5619" w:rsidRPr="00DD5619" w:rsidRDefault="00217891">
      <w:pPr>
        <w:pStyle w:val="25"/>
        <w:rPr>
          <w:rFonts w:ascii="Calibri" w:eastAsiaTheme="minorEastAsia" w:hAnsi="Calibri" w:cstheme="minorBidi"/>
          <w:noProof/>
          <w:color w:val="auto"/>
          <w:sz w:val="21"/>
          <w:szCs w:val="22"/>
        </w:rPr>
      </w:pPr>
      <w:hyperlink w:anchor="_Toc112999933" w:history="1">
        <w:r w:rsidR="00DD5619" w:rsidRPr="00DD5619">
          <w:rPr>
            <w:rStyle w:val="aff0"/>
            <w:rFonts w:ascii="Calibri" w:hAnsi="Calibri"/>
            <w:bCs/>
            <w:noProof/>
          </w:rPr>
          <w:t>7.2</w:t>
        </w:r>
        <w:r w:rsidR="00DD5619" w:rsidRPr="00DD5619">
          <w:rPr>
            <w:rStyle w:val="aff0"/>
            <w:rFonts w:ascii="Calibri" w:hAnsi="Calibri"/>
            <w:bCs/>
            <w:noProof/>
          </w:rPr>
          <w:t>环境监测</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_Toc112999933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326</w:t>
        </w:r>
        <w:r w:rsidR="00DD5619" w:rsidRPr="00DD5619">
          <w:rPr>
            <w:rFonts w:ascii="Calibri" w:hAnsi="Calibri"/>
            <w:noProof/>
            <w:webHidden/>
          </w:rPr>
          <w:fldChar w:fldCharType="end"/>
        </w:r>
      </w:hyperlink>
    </w:p>
    <w:p w14:paraId="33EBD038" w14:textId="1E484FF7" w:rsidR="00DD5619" w:rsidRPr="00DD5619" w:rsidRDefault="00217891">
      <w:pPr>
        <w:pStyle w:val="13"/>
        <w:rPr>
          <w:rFonts w:eastAsiaTheme="minorEastAsia" w:cstheme="minorBidi"/>
          <w:b w:val="0"/>
          <w:color w:val="auto"/>
          <w:sz w:val="21"/>
          <w:szCs w:val="22"/>
        </w:rPr>
      </w:pPr>
      <w:hyperlink w:anchor="_Toc112999934" w:history="1">
        <w:r w:rsidR="00DD5619" w:rsidRPr="00DD5619">
          <w:rPr>
            <w:rStyle w:val="aff0"/>
          </w:rPr>
          <w:t>第八章</w:t>
        </w:r>
        <w:r w:rsidR="00DD5619" w:rsidRPr="00DD5619">
          <w:rPr>
            <w:rStyle w:val="aff0"/>
          </w:rPr>
          <w:t xml:space="preserve">    </w:t>
        </w:r>
        <w:r w:rsidR="00DD5619" w:rsidRPr="00DD5619">
          <w:rPr>
            <w:rStyle w:val="aff0"/>
          </w:rPr>
          <w:t>环境影响评价结论</w:t>
        </w:r>
        <w:r w:rsidR="00DD5619" w:rsidRPr="00DD5619">
          <w:rPr>
            <w:webHidden/>
          </w:rPr>
          <w:tab/>
        </w:r>
        <w:r w:rsidR="00DD5619" w:rsidRPr="00DD5619">
          <w:rPr>
            <w:webHidden/>
          </w:rPr>
          <w:fldChar w:fldCharType="begin"/>
        </w:r>
        <w:r w:rsidR="00DD5619" w:rsidRPr="00DD5619">
          <w:rPr>
            <w:webHidden/>
          </w:rPr>
          <w:instrText xml:space="preserve"> PAGEREF _Toc112999934 \h </w:instrText>
        </w:r>
        <w:r w:rsidR="00DD5619" w:rsidRPr="00DD5619">
          <w:rPr>
            <w:webHidden/>
          </w:rPr>
        </w:r>
        <w:r w:rsidR="00DD5619" w:rsidRPr="00DD5619">
          <w:rPr>
            <w:webHidden/>
          </w:rPr>
          <w:fldChar w:fldCharType="separate"/>
        </w:r>
        <w:r w:rsidR="006E18F7">
          <w:rPr>
            <w:webHidden/>
          </w:rPr>
          <w:t>329</w:t>
        </w:r>
        <w:r w:rsidR="00DD5619" w:rsidRPr="00DD5619">
          <w:rPr>
            <w:webHidden/>
          </w:rPr>
          <w:fldChar w:fldCharType="end"/>
        </w:r>
      </w:hyperlink>
    </w:p>
    <w:p w14:paraId="789FB9A6" w14:textId="5D5A8826" w:rsidR="00DD5619" w:rsidRPr="00DD5619" w:rsidRDefault="00217891">
      <w:pPr>
        <w:pStyle w:val="25"/>
        <w:rPr>
          <w:rFonts w:ascii="Calibri" w:eastAsiaTheme="minorEastAsia" w:hAnsi="Calibri" w:cstheme="minorBidi"/>
          <w:noProof/>
          <w:color w:val="auto"/>
          <w:sz w:val="21"/>
          <w:szCs w:val="22"/>
        </w:rPr>
      </w:pPr>
      <w:hyperlink w:anchor="_Toc112999935" w:history="1">
        <w:r w:rsidR="00DD5619" w:rsidRPr="00DD5619">
          <w:rPr>
            <w:rStyle w:val="aff0"/>
            <w:rFonts w:ascii="Calibri" w:hAnsi="Calibri"/>
            <w:bCs/>
            <w:noProof/>
          </w:rPr>
          <w:t>8.1</w:t>
        </w:r>
        <w:r w:rsidR="00DD5619" w:rsidRPr="00DD5619">
          <w:rPr>
            <w:rStyle w:val="aff0"/>
            <w:rFonts w:ascii="Calibri" w:hAnsi="Calibri"/>
            <w:bCs/>
            <w:noProof/>
          </w:rPr>
          <w:t>项目概况</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_Toc112999935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329</w:t>
        </w:r>
        <w:r w:rsidR="00DD5619" w:rsidRPr="00DD5619">
          <w:rPr>
            <w:rFonts w:ascii="Calibri" w:hAnsi="Calibri"/>
            <w:noProof/>
            <w:webHidden/>
          </w:rPr>
          <w:fldChar w:fldCharType="end"/>
        </w:r>
      </w:hyperlink>
    </w:p>
    <w:p w14:paraId="22A2162F" w14:textId="373580B3" w:rsidR="00DD5619" w:rsidRPr="00DD5619" w:rsidRDefault="00217891">
      <w:pPr>
        <w:pStyle w:val="25"/>
        <w:rPr>
          <w:rFonts w:ascii="Calibri" w:eastAsiaTheme="minorEastAsia" w:hAnsi="Calibri" w:cstheme="minorBidi"/>
          <w:noProof/>
          <w:color w:val="auto"/>
          <w:sz w:val="21"/>
          <w:szCs w:val="22"/>
        </w:rPr>
      </w:pPr>
      <w:hyperlink w:anchor="_Toc112999936" w:history="1">
        <w:r w:rsidR="00DD5619" w:rsidRPr="00DD5619">
          <w:rPr>
            <w:rStyle w:val="aff0"/>
            <w:rFonts w:ascii="Calibri" w:hAnsi="Calibri"/>
            <w:bCs/>
            <w:noProof/>
          </w:rPr>
          <w:t>8.2</w:t>
        </w:r>
        <w:r w:rsidR="00DD5619" w:rsidRPr="00DD5619">
          <w:rPr>
            <w:rStyle w:val="aff0"/>
            <w:rFonts w:ascii="Calibri" w:hAnsi="Calibri"/>
            <w:bCs/>
            <w:noProof/>
          </w:rPr>
          <w:t>选址及产业政策结论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_Toc112999936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329</w:t>
        </w:r>
        <w:r w:rsidR="00DD5619" w:rsidRPr="00DD5619">
          <w:rPr>
            <w:rFonts w:ascii="Calibri" w:hAnsi="Calibri"/>
            <w:noProof/>
            <w:webHidden/>
          </w:rPr>
          <w:fldChar w:fldCharType="end"/>
        </w:r>
      </w:hyperlink>
    </w:p>
    <w:p w14:paraId="3F39CCBC" w14:textId="5FCBAE67" w:rsidR="00DD5619" w:rsidRPr="00DD5619" w:rsidRDefault="00217891">
      <w:pPr>
        <w:pStyle w:val="25"/>
        <w:rPr>
          <w:rFonts w:ascii="Calibri" w:eastAsiaTheme="minorEastAsia" w:hAnsi="Calibri" w:cstheme="minorBidi"/>
          <w:noProof/>
          <w:color w:val="auto"/>
          <w:sz w:val="21"/>
          <w:szCs w:val="22"/>
        </w:rPr>
      </w:pPr>
      <w:hyperlink w:anchor="_Toc112999937" w:history="1">
        <w:r w:rsidR="00DD5619" w:rsidRPr="00DD5619">
          <w:rPr>
            <w:rStyle w:val="aff0"/>
            <w:rFonts w:ascii="Calibri" w:hAnsi="Calibri"/>
            <w:bCs/>
            <w:noProof/>
          </w:rPr>
          <w:t>8.3</w:t>
        </w:r>
        <w:r w:rsidR="00DD5619" w:rsidRPr="00DD5619">
          <w:rPr>
            <w:rStyle w:val="aff0"/>
            <w:rFonts w:ascii="Calibri" w:hAnsi="Calibri"/>
            <w:bCs/>
            <w:noProof/>
          </w:rPr>
          <w:t>环境质量现状结论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_Toc112999937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329</w:t>
        </w:r>
        <w:r w:rsidR="00DD5619" w:rsidRPr="00DD5619">
          <w:rPr>
            <w:rFonts w:ascii="Calibri" w:hAnsi="Calibri"/>
            <w:noProof/>
            <w:webHidden/>
          </w:rPr>
          <w:fldChar w:fldCharType="end"/>
        </w:r>
      </w:hyperlink>
    </w:p>
    <w:p w14:paraId="277022F6" w14:textId="71B072D2" w:rsidR="00DD5619" w:rsidRPr="00DD5619" w:rsidRDefault="00217891">
      <w:pPr>
        <w:pStyle w:val="25"/>
        <w:rPr>
          <w:rFonts w:ascii="Calibri" w:eastAsiaTheme="minorEastAsia" w:hAnsi="Calibri" w:cstheme="minorBidi"/>
          <w:noProof/>
          <w:color w:val="auto"/>
          <w:sz w:val="21"/>
          <w:szCs w:val="22"/>
        </w:rPr>
      </w:pPr>
      <w:hyperlink w:anchor="_Toc112999938" w:history="1">
        <w:r w:rsidR="00DD5619" w:rsidRPr="00DD5619">
          <w:rPr>
            <w:rStyle w:val="aff0"/>
            <w:rFonts w:ascii="Calibri" w:hAnsi="Calibri"/>
            <w:bCs/>
            <w:noProof/>
          </w:rPr>
          <w:t>8.4</w:t>
        </w:r>
        <w:r w:rsidR="00DD5619" w:rsidRPr="00DD5619">
          <w:rPr>
            <w:rStyle w:val="aff0"/>
            <w:rFonts w:ascii="Calibri" w:hAnsi="Calibri"/>
            <w:bCs/>
            <w:noProof/>
          </w:rPr>
          <w:t>主要环境影响结论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_Toc112999938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330</w:t>
        </w:r>
        <w:r w:rsidR="00DD5619" w:rsidRPr="00DD5619">
          <w:rPr>
            <w:rFonts w:ascii="Calibri" w:hAnsi="Calibri"/>
            <w:noProof/>
            <w:webHidden/>
          </w:rPr>
          <w:fldChar w:fldCharType="end"/>
        </w:r>
      </w:hyperlink>
    </w:p>
    <w:p w14:paraId="13FA08F8" w14:textId="7DCBC861" w:rsidR="00DD5619" w:rsidRPr="00DD5619" w:rsidRDefault="00217891">
      <w:pPr>
        <w:pStyle w:val="25"/>
        <w:rPr>
          <w:rFonts w:ascii="Calibri" w:eastAsiaTheme="minorEastAsia" w:hAnsi="Calibri" w:cstheme="minorBidi"/>
          <w:noProof/>
          <w:color w:val="auto"/>
          <w:sz w:val="21"/>
          <w:szCs w:val="22"/>
        </w:rPr>
      </w:pPr>
      <w:hyperlink w:anchor="_Toc112999939" w:history="1">
        <w:r w:rsidR="00DD5619" w:rsidRPr="00DD5619">
          <w:rPr>
            <w:rStyle w:val="aff0"/>
            <w:rFonts w:ascii="Calibri" w:hAnsi="Calibri"/>
            <w:bCs/>
            <w:noProof/>
          </w:rPr>
          <w:t>8.5</w:t>
        </w:r>
        <w:r w:rsidR="00DD5619" w:rsidRPr="00DD5619">
          <w:rPr>
            <w:rStyle w:val="aff0"/>
            <w:rFonts w:ascii="Calibri" w:hAnsi="Calibri"/>
            <w:bCs/>
            <w:noProof/>
          </w:rPr>
          <w:t>环境保护措施结论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_Toc112999939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333</w:t>
        </w:r>
        <w:r w:rsidR="00DD5619" w:rsidRPr="00DD5619">
          <w:rPr>
            <w:rFonts w:ascii="Calibri" w:hAnsi="Calibri"/>
            <w:noProof/>
            <w:webHidden/>
          </w:rPr>
          <w:fldChar w:fldCharType="end"/>
        </w:r>
      </w:hyperlink>
    </w:p>
    <w:p w14:paraId="7A36BE26" w14:textId="6FB7714E" w:rsidR="00DD5619" w:rsidRPr="00DD5619" w:rsidRDefault="00217891">
      <w:pPr>
        <w:pStyle w:val="25"/>
        <w:rPr>
          <w:rFonts w:ascii="Calibri" w:eastAsiaTheme="minorEastAsia" w:hAnsi="Calibri" w:cstheme="minorBidi"/>
          <w:noProof/>
          <w:color w:val="auto"/>
          <w:sz w:val="21"/>
          <w:szCs w:val="22"/>
        </w:rPr>
      </w:pPr>
      <w:hyperlink w:anchor="_Toc112999940" w:history="1">
        <w:r w:rsidR="00DD5619" w:rsidRPr="00DD5619">
          <w:rPr>
            <w:rStyle w:val="aff0"/>
            <w:rFonts w:ascii="Calibri" w:hAnsi="Calibri"/>
            <w:bCs/>
            <w:noProof/>
          </w:rPr>
          <w:t>8.6</w:t>
        </w:r>
        <w:r w:rsidR="00DD5619" w:rsidRPr="00DD5619">
          <w:rPr>
            <w:rStyle w:val="aff0"/>
            <w:rFonts w:ascii="Calibri" w:hAnsi="Calibri"/>
            <w:bCs/>
            <w:noProof/>
          </w:rPr>
          <w:t>环境影响经济损益分析结论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_Toc112999940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337</w:t>
        </w:r>
        <w:r w:rsidR="00DD5619" w:rsidRPr="00DD5619">
          <w:rPr>
            <w:rFonts w:ascii="Calibri" w:hAnsi="Calibri"/>
            <w:noProof/>
            <w:webHidden/>
          </w:rPr>
          <w:fldChar w:fldCharType="end"/>
        </w:r>
      </w:hyperlink>
    </w:p>
    <w:p w14:paraId="2129B084" w14:textId="20ADE85B" w:rsidR="00DD5619" w:rsidRPr="00DD5619" w:rsidRDefault="00217891">
      <w:pPr>
        <w:pStyle w:val="25"/>
        <w:rPr>
          <w:rFonts w:ascii="Calibri" w:eastAsiaTheme="minorEastAsia" w:hAnsi="Calibri" w:cstheme="minorBidi"/>
          <w:noProof/>
          <w:color w:val="auto"/>
          <w:sz w:val="21"/>
          <w:szCs w:val="22"/>
        </w:rPr>
      </w:pPr>
      <w:hyperlink w:anchor="_Toc112999941" w:history="1">
        <w:r w:rsidR="00DD5619" w:rsidRPr="00DD5619">
          <w:rPr>
            <w:rStyle w:val="aff0"/>
            <w:rFonts w:ascii="Calibri" w:hAnsi="Calibri"/>
            <w:bCs/>
            <w:noProof/>
          </w:rPr>
          <w:t>8.7</w:t>
        </w:r>
        <w:r w:rsidR="00DD5619" w:rsidRPr="00DD5619">
          <w:rPr>
            <w:rStyle w:val="aff0"/>
            <w:rFonts w:ascii="Calibri" w:hAnsi="Calibri"/>
            <w:bCs/>
            <w:noProof/>
          </w:rPr>
          <w:t>环境管理与监测计划</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_Toc112999941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337</w:t>
        </w:r>
        <w:r w:rsidR="00DD5619" w:rsidRPr="00DD5619">
          <w:rPr>
            <w:rFonts w:ascii="Calibri" w:hAnsi="Calibri"/>
            <w:noProof/>
            <w:webHidden/>
          </w:rPr>
          <w:fldChar w:fldCharType="end"/>
        </w:r>
      </w:hyperlink>
    </w:p>
    <w:p w14:paraId="57658368" w14:textId="75313F2E" w:rsidR="00DD5619" w:rsidRPr="00DD5619" w:rsidRDefault="00217891">
      <w:pPr>
        <w:pStyle w:val="25"/>
        <w:rPr>
          <w:rFonts w:ascii="Calibri" w:eastAsiaTheme="minorEastAsia" w:hAnsi="Calibri" w:cstheme="minorBidi"/>
          <w:noProof/>
          <w:color w:val="auto"/>
          <w:sz w:val="21"/>
          <w:szCs w:val="22"/>
        </w:rPr>
      </w:pPr>
      <w:hyperlink w:anchor="_Toc112999942" w:history="1">
        <w:r w:rsidR="00DD5619" w:rsidRPr="00DD5619">
          <w:rPr>
            <w:rStyle w:val="aff0"/>
            <w:rFonts w:ascii="Calibri" w:hAnsi="Calibri"/>
            <w:bCs/>
            <w:noProof/>
          </w:rPr>
          <w:t>8.8</w:t>
        </w:r>
        <w:r w:rsidR="00DD5619" w:rsidRPr="00DD5619">
          <w:rPr>
            <w:rStyle w:val="aff0"/>
            <w:rFonts w:ascii="Calibri" w:hAnsi="Calibri"/>
            <w:bCs/>
            <w:noProof/>
          </w:rPr>
          <w:t>公众意见采纳情况</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_Toc112999942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338</w:t>
        </w:r>
        <w:r w:rsidR="00DD5619" w:rsidRPr="00DD5619">
          <w:rPr>
            <w:rFonts w:ascii="Calibri" w:hAnsi="Calibri"/>
            <w:noProof/>
            <w:webHidden/>
          </w:rPr>
          <w:fldChar w:fldCharType="end"/>
        </w:r>
      </w:hyperlink>
    </w:p>
    <w:p w14:paraId="6C6F033F" w14:textId="2A0C7396" w:rsidR="00DD5619" w:rsidRPr="00DD5619" w:rsidRDefault="00217891">
      <w:pPr>
        <w:pStyle w:val="25"/>
        <w:rPr>
          <w:rFonts w:ascii="Calibri" w:eastAsiaTheme="minorEastAsia" w:hAnsi="Calibri" w:cstheme="minorBidi"/>
          <w:noProof/>
          <w:color w:val="auto"/>
          <w:sz w:val="21"/>
          <w:szCs w:val="22"/>
        </w:rPr>
      </w:pPr>
      <w:hyperlink w:anchor="_Toc112999943" w:history="1">
        <w:r w:rsidR="00DD5619" w:rsidRPr="00DD5619">
          <w:rPr>
            <w:rStyle w:val="aff0"/>
            <w:rFonts w:ascii="Calibri" w:hAnsi="Calibri"/>
            <w:bCs/>
            <w:noProof/>
          </w:rPr>
          <w:t>8.9</w:t>
        </w:r>
        <w:r w:rsidR="00DD5619" w:rsidRPr="00DD5619">
          <w:rPr>
            <w:rStyle w:val="aff0"/>
            <w:rFonts w:ascii="Calibri" w:hAnsi="Calibri"/>
            <w:bCs/>
            <w:noProof/>
          </w:rPr>
          <w:t>建议</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_Toc112999943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338</w:t>
        </w:r>
        <w:r w:rsidR="00DD5619" w:rsidRPr="00DD5619">
          <w:rPr>
            <w:rFonts w:ascii="Calibri" w:hAnsi="Calibri"/>
            <w:noProof/>
            <w:webHidden/>
          </w:rPr>
          <w:fldChar w:fldCharType="end"/>
        </w:r>
      </w:hyperlink>
    </w:p>
    <w:p w14:paraId="79DC7940" w14:textId="68B28F4E" w:rsidR="00DD5619" w:rsidRPr="00DD5619" w:rsidRDefault="00217891">
      <w:pPr>
        <w:pStyle w:val="25"/>
        <w:rPr>
          <w:rFonts w:ascii="Calibri" w:eastAsiaTheme="minorEastAsia" w:hAnsi="Calibri" w:cstheme="minorBidi"/>
          <w:noProof/>
          <w:color w:val="auto"/>
          <w:sz w:val="21"/>
          <w:szCs w:val="22"/>
        </w:rPr>
      </w:pPr>
      <w:hyperlink w:anchor="_Toc112999944" w:history="1">
        <w:r w:rsidR="00DD5619" w:rsidRPr="00DD5619">
          <w:rPr>
            <w:rStyle w:val="aff0"/>
            <w:rFonts w:ascii="Calibri" w:hAnsi="Calibri"/>
            <w:bCs/>
            <w:noProof/>
          </w:rPr>
          <w:t>8.10</w:t>
        </w:r>
        <w:r w:rsidR="00DD5619" w:rsidRPr="00DD5619">
          <w:rPr>
            <w:rStyle w:val="aff0"/>
            <w:rFonts w:ascii="Calibri" w:hAnsi="Calibri"/>
            <w:bCs/>
            <w:noProof/>
          </w:rPr>
          <w:t>环评总结论</w:t>
        </w:r>
        <w:r w:rsidR="00DD5619" w:rsidRPr="00DD5619">
          <w:rPr>
            <w:rFonts w:ascii="Calibri" w:hAnsi="Calibri"/>
            <w:noProof/>
            <w:webHidden/>
          </w:rPr>
          <w:tab/>
        </w:r>
        <w:r w:rsidR="00DD5619" w:rsidRPr="00DD5619">
          <w:rPr>
            <w:rFonts w:ascii="Calibri" w:hAnsi="Calibri"/>
            <w:noProof/>
            <w:webHidden/>
          </w:rPr>
          <w:fldChar w:fldCharType="begin"/>
        </w:r>
        <w:r w:rsidR="00DD5619" w:rsidRPr="00DD5619">
          <w:rPr>
            <w:rFonts w:ascii="Calibri" w:hAnsi="Calibri"/>
            <w:noProof/>
            <w:webHidden/>
          </w:rPr>
          <w:instrText xml:space="preserve"> PAGEREF _Toc112999944 \h </w:instrText>
        </w:r>
        <w:r w:rsidR="00DD5619" w:rsidRPr="00DD5619">
          <w:rPr>
            <w:rFonts w:ascii="Calibri" w:hAnsi="Calibri"/>
            <w:noProof/>
            <w:webHidden/>
          </w:rPr>
        </w:r>
        <w:r w:rsidR="00DD5619" w:rsidRPr="00DD5619">
          <w:rPr>
            <w:rFonts w:ascii="Calibri" w:hAnsi="Calibri"/>
            <w:noProof/>
            <w:webHidden/>
          </w:rPr>
          <w:fldChar w:fldCharType="separate"/>
        </w:r>
        <w:r w:rsidR="006E18F7">
          <w:rPr>
            <w:rFonts w:ascii="Calibri" w:hAnsi="Calibri"/>
            <w:noProof/>
            <w:webHidden/>
          </w:rPr>
          <w:t>339</w:t>
        </w:r>
        <w:r w:rsidR="00DD5619" w:rsidRPr="00DD5619">
          <w:rPr>
            <w:rFonts w:ascii="Calibri" w:hAnsi="Calibri"/>
            <w:noProof/>
            <w:webHidden/>
          </w:rPr>
          <w:fldChar w:fldCharType="end"/>
        </w:r>
      </w:hyperlink>
    </w:p>
    <w:p w14:paraId="1A2485B6" w14:textId="77777777" w:rsidR="0055605A" w:rsidRPr="00A964FF" w:rsidRDefault="002766DF" w:rsidP="003F0808">
      <w:pPr>
        <w:spacing w:line="360" w:lineRule="auto"/>
        <w:rPr>
          <w:rFonts w:ascii="Calibri" w:hAnsi="Calibri"/>
          <w:color w:val="auto"/>
        </w:rPr>
      </w:pPr>
      <w:r w:rsidRPr="00DD5619">
        <w:rPr>
          <w:rFonts w:ascii="Calibri" w:hAnsi="Calibri"/>
          <w:color w:val="auto"/>
        </w:rPr>
        <w:fldChar w:fldCharType="end"/>
      </w:r>
    </w:p>
    <w:p w14:paraId="062A5B88" w14:textId="77777777" w:rsidR="002900E2" w:rsidRPr="00A964FF" w:rsidRDefault="002900E2" w:rsidP="003F0808">
      <w:pPr>
        <w:spacing w:line="360" w:lineRule="auto"/>
        <w:rPr>
          <w:rFonts w:ascii="Calibri" w:hAnsi="Calibri"/>
          <w:color w:val="auto"/>
        </w:rPr>
      </w:pPr>
    </w:p>
    <w:p w14:paraId="22061DAA" w14:textId="77777777" w:rsidR="00C41ADF" w:rsidRPr="00A964FF" w:rsidRDefault="00C41ADF" w:rsidP="003F0808">
      <w:pPr>
        <w:spacing w:line="360" w:lineRule="auto"/>
        <w:rPr>
          <w:rFonts w:ascii="Calibri" w:hAnsi="Calibri"/>
          <w:color w:val="auto"/>
        </w:rPr>
      </w:pPr>
    </w:p>
    <w:p w14:paraId="5FACD181" w14:textId="77777777" w:rsidR="00C41ADF" w:rsidRPr="00A964FF" w:rsidRDefault="00C41ADF" w:rsidP="003F0808">
      <w:pPr>
        <w:spacing w:line="360" w:lineRule="auto"/>
        <w:rPr>
          <w:rFonts w:ascii="Calibri" w:hAnsi="Calibri"/>
          <w:color w:val="auto"/>
        </w:rPr>
      </w:pPr>
    </w:p>
    <w:p w14:paraId="03EE3E66" w14:textId="77777777" w:rsidR="00332ADB" w:rsidRPr="00A964FF" w:rsidRDefault="00332ADB" w:rsidP="003F0808">
      <w:pPr>
        <w:spacing w:line="360" w:lineRule="auto"/>
        <w:rPr>
          <w:rFonts w:ascii="Calibri" w:eastAsia="黑体" w:hAnsi="Calibri"/>
          <w:b/>
          <w:color w:val="auto"/>
          <w:sz w:val="30"/>
          <w:szCs w:val="30"/>
        </w:rPr>
      </w:pPr>
    </w:p>
    <w:p w14:paraId="65DC7E2F" w14:textId="77777777" w:rsidR="00614BC7" w:rsidRPr="00A964FF" w:rsidRDefault="00614BC7" w:rsidP="0055605A">
      <w:pPr>
        <w:spacing w:line="360" w:lineRule="auto"/>
        <w:jc w:val="center"/>
        <w:rPr>
          <w:rFonts w:ascii="Calibri" w:eastAsia="黑体" w:hAnsi="Calibri"/>
          <w:b/>
          <w:color w:val="auto"/>
          <w:sz w:val="30"/>
          <w:szCs w:val="30"/>
        </w:rPr>
      </w:pPr>
    </w:p>
    <w:p w14:paraId="56E1B494" w14:textId="77777777" w:rsidR="0055605A" w:rsidRPr="00A964FF" w:rsidRDefault="0055605A" w:rsidP="0055605A">
      <w:pPr>
        <w:spacing w:line="360" w:lineRule="auto"/>
        <w:jc w:val="center"/>
        <w:rPr>
          <w:rFonts w:ascii="Calibri" w:eastAsia="黑体" w:hAnsi="Calibri"/>
          <w:b/>
          <w:color w:val="auto"/>
          <w:sz w:val="30"/>
          <w:szCs w:val="30"/>
        </w:rPr>
      </w:pPr>
      <w:r w:rsidRPr="00A964FF">
        <w:rPr>
          <w:rFonts w:ascii="Calibri" w:eastAsia="黑体" w:hAnsi="Calibri"/>
          <w:b/>
          <w:color w:val="auto"/>
          <w:sz w:val="30"/>
          <w:szCs w:val="30"/>
        </w:rPr>
        <w:t>附</w:t>
      </w:r>
      <w:r w:rsidRPr="00A964FF">
        <w:rPr>
          <w:rFonts w:ascii="Calibri" w:eastAsia="黑体" w:hAnsi="Calibri" w:hint="eastAsia"/>
          <w:b/>
          <w:color w:val="auto"/>
          <w:sz w:val="30"/>
          <w:szCs w:val="30"/>
        </w:rPr>
        <w:t xml:space="preserve">  </w:t>
      </w:r>
      <w:r w:rsidRPr="00A964FF">
        <w:rPr>
          <w:rFonts w:ascii="Calibri" w:eastAsia="黑体" w:hAnsi="Calibri"/>
          <w:b/>
          <w:color w:val="auto"/>
          <w:sz w:val="30"/>
          <w:szCs w:val="30"/>
        </w:rPr>
        <w:t>图</w:t>
      </w:r>
    </w:p>
    <w:p w14:paraId="2BD97400" w14:textId="77777777" w:rsidR="0055605A" w:rsidRPr="00A964FF" w:rsidRDefault="0055605A" w:rsidP="0055605A">
      <w:pPr>
        <w:spacing w:line="360" w:lineRule="auto"/>
        <w:jc w:val="center"/>
        <w:rPr>
          <w:rFonts w:ascii="Calibri" w:eastAsia="黑体" w:hAnsi="Calibri"/>
          <w:b/>
          <w:color w:val="auto"/>
          <w:sz w:val="30"/>
          <w:szCs w:val="30"/>
        </w:rPr>
      </w:pPr>
    </w:p>
    <w:p w14:paraId="5043DC7F" w14:textId="77777777" w:rsidR="005979CE" w:rsidRPr="00A964FF" w:rsidRDefault="005979CE" w:rsidP="005979CE">
      <w:pPr>
        <w:spacing w:line="360" w:lineRule="auto"/>
        <w:ind w:firstLineChars="200" w:firstLine="480"/>
        <w:rPr>
          <w:rFonts w:ascii="Calibri"/>
          <w:color w:val="auto"/>
          <w:sz w:val="24"/>
        </w:rPr>
      </w:pPr>
      <w:r w:rsidRPr="00A964FF">
        <w:rPr>
          <w:rFonts w:ascii="Calibri" w:hint="eastAsia"/>
          <w:color w:val="auto"/>
          <w:sz w:val="24"/>
        </w:rPr>
        <w:t>附图一：建设项目地理位置图</w:t>
      </w:r>
    </w:p>
    <w:p w14:paraId="566ECC54" w14:textId="77777777" w:rsidR="0055605A" w:rsidRPr="00A964FF" w:rsidRDefault="0055605A" w:rsidP="005979CE">
      <w:pPr>
        <w:spacing w:line="360" w:lineRule="auto"/>
        <w:ind w:firstLineChars="200" w:firstLine="480"/>
        <w:rPr>
          <w:rFonts w:ascii="Calibri"/>
          <w:color w:val="auto"/>
          <w:sz w:val="24"/>
        </w:rPr>
      </w:pPr>
      <w:r w:rsidRPr="00A964FF">
        <w:rPr>
          <w:rFonts w:ascii="Calibri" w:hint="eastAsia"/>
          <w:color w:val="auto"/>
          <w:sz w:val="24"/>
        </w:rPr>
        <w:t>附图二：</w:t>
      </w:r>
      <w:r w:rsidR="005979CE" w:rsidRPr="00A964FF">
        <w:rPr>
          <w:rFonts w:ascii="Calibri" w:hint="eastAsia"/>
          <w:color w:val="auto"/>
          <w:sz w:val="24"/>
        </w:rPr>
        <w:t>叶县城乡发展总体规划图</w:t>
      </w:r>
    </w:p>
    <w:p w14:paraId="73A18456" w14:textId="77777777" w:rsidR="0055605A" w:rsidRPr="00A964FF" w:rsidRDefault="0055605A" w:rsidP="0055605A">
      <w:pPr>
        <w:spacing w:line="360" w:lineRule="auto"/>
        <w:ind w:firstLineChars="200" w:firstLine="480"/>
        <w:rPr>
          <w:rFonts w:ascii="Calibri"/>
          <w:color w:val="auto"/>
          <w:sz w:val="24"/>
        </w:rPr>
      </w:pPr>
      <w:r w:rsidRPr="00A964FF">
        <w:rPr>
          <w:rFonts w:ascii="Calibri" w:hint="eastAsia"/>
          <w:color w:val="auto"/>
          <w:sz w:val="24"/>
        </w:rPr>
        <w:t>附图</w:t>
      </w:r>
      <w:r w:rsidR="00991B3A">
        <w:rPr>
          <w:rFonts w:ascii="Calibri" w:hint="eastAsia"/>
          <w:color w:val="auto"/>
          <w:sz w:val="24"/>
        </w:rPr>
        <w:t>三</w:t>
      </w:r>
      <w:r w:rsidRPr="00A964FF">
        <w:rPr>
          <w:rFonts w:ascii="Calibri" w:hint="eastAsia"/>
          <w:color w:val="auto"/>
          <w:sz w:val="24"/>
        </w:rPr>
        <w:t>：</w:t>
      </w:r>
      <w:r w:rsidR="005979CE" w:rsidRPr="00A964FF">
        <w:rPr>
          <w:rFonts w:ascii="Calibri" w:hint="eastAsia"/>
          <w:color w:val="auto"/>
          <w:sz w:val="24"/>
        </w:rPr>
        <w:t>本项目在中国尼龙城（一期）规划中的位置</w:t>
      </w:r>
    </w:p>
    <w:p w14:paraId="165EBE92" w14:textId="77777777" w:rsidR="0055605A" w:rsidRPr="00A964FF" w:rsidRDefault="0055605A" w:rsidP="0055605A">
      <w:pPr>
        <w:spacing w:line="360" w:lineRule="auto"/>
        <w:ind w:firstLineChars="200" w:firstLine="480"/>
        <w:rPr>
          <w:rFonts w:ascii="Calibri"/>
          <w:color w:val="auto"/>
          <w:sz w:val="24"/>
        </w:rPr>
      </w:pPr>
      <w:r w:rsidRPr="00A964FF">
        <w:rPr>
          <w:rFonts w:ascii="Calibri" w:hint="eastAsia"/>
          <w:color w:val="auto"/>
          <w:sz w:val="24"/>
        </w:rPr>
        <w:t>附图</w:t>
      </w:r>
      <w:r w:rsidR="00991B3A">
        <w:rPr>
          <w:rFonts w:ascii="Calibri" w:hint="eastAsia"/>
          <w:color w:val="auto"/>
          <w:sz w:val="24"/>
        </w:rPr>
        <w:t>四</w:t>
      </w:r>
      <w:r w:rsidRPr="00A964FF">
        <w:rPr>
          <w:rFonts w:ascii="Calibri" w:hint="eastAsia"/>
          <w:color w:val="auto"/>
          <w:sz w:val="24"/>
        </w:rPr>
        <w:t>：</w:t>
      </w:r>
      <w:r w:rsidR="005979CE" w:rsidRPr="00A964FF">
        <w:rPr>
          <w:rFonts w:ascii="Calibri" w:hint="eastAsia"/>
          <w:color w:val="auto"/>
          <w:sz w:val="24"/>
        </w:rPr>
        <w:t>建设项目周围环境示意图</w:t>
      </w:r>
    </w:p>
    <w:p w14:paraId="4BC1AD19" w14:textId="77777777" w:rsidR="00D55623" w:rsidRDefault="00D55623" w:rsidP="00D55623">
      <w:pPr>
        <w:spacing w:line="360" w:lineRule="auto"/>
        <w:ind w:firstLineChars="200" w:firstLine="480"/>
        <w:rPr>
          <w:rFonts w:ascii="Calibri"/>
          <w:color w:val="auto"/>
          <w:sz w:val="24"/>
        </w:rPr>
      </w:pPr>
      <w:r w:rsidRPr="00A964FF">
        <w:rPr>
          <w:rFonts w:ascii="Calibri" w:hint="eastAsia"/>
          <w:color w:val="auto"/>
          <w:sz w:val="24"/>
        </w:rPr>
        <w:t>附图</w:t>
      </w:r>
      <w:r w:rsidR="00991B3A">
        <w:rPr>
          <w:rFonts w:ascii="Calibri" w:hint="eastAsia"/>
          <w:color w:val="auto"/>
          <w:sz w:val="24"/>
        </w:rPr>
        <w:t>五</w:t>
      </w:r>
      <w:r w:rsidRPr="00A964FF">
        <w:rPr>
          <w:rFonts w:ascii="Calibri" w:hint="eastAsia"/>
          <w:color w:val="auto"/>
          <w:sz w:val="24"/>
        </w:rPr>
        <w:t>：项目区域地下水流向示意图</w:t>
      </w:r>
    </w:p>
    <w:p w14:paraId="601A6B8D" w14:textId="77777777" w:rsidR="004D0CAA" w:rsidRPr="004D0CAA" w:rsidRDefault="004D0CAA" w:rsidP="004D0CAA">
      <w:pPr>
        <w:spacing w:line="360" w:lineRule="auto"/>
        <w:ind w:firstLineChars="200" w:firstLine="480"/>
        <w:rPr>
          <w:rFonts w:ascii="Calibri"/>
          <w:color w:val="auto"/>
          <w:sz w:val="24"/>
        </w:rPr>
      </w:pPr>
      <w:r w:rsidRPr="00A964FF">
        <w:rPr>
          <w:rFonts w:ascii="Calibri" w:hint="eastAsia"/>
          <w:color w:val="auto"/>
          <w:sz w:val="24"/>
        </w:rPr>
        <w:t>附图</w:t>
      </w:r>
      <w:r>
        <w:rPr>
          <w:rFonts w:ascii="Calibri" w:hint="eastAsia"/>
          <w:color w:val="auto"/>
          <w:sz w:val="24"/>
        </w:rPr>
        <w:t>六</w:t>
      </w:r>
      <w:r w:rsidRPr="00A964FF">
        <w:rPr>
          <w:rFonts w:ascii="Calibri" w:hint="eastAsia"/>
          <w:color w:val="auto"/>
          <w:sz w:val="24"/>
        </w:rPr>
        <w:t>：</w:t>
      </w:r>
      <w:r>
        <w:rPr>
          <w:rFonts w:ascii="Calibri" w:hint="eastAsia"/>
          <w:color w:val="auto"/>
          <w:sz w:val="24"/>
        </w:rPr>
        <w:t>地下水</w:t>
      </w:r>
      <w:r>
        <w:rPr>
          <w:rFonts w:ascii="Calibri"/>
          <w:color w:val="auto"/>
          <w:sz w:val="24"/>
        </w:rPr>
        <w:t>评价范围</w:t>
      </w:r>
      <w:r w:rsidRPr="00A964FF">
        <w:rPr>
          <w:rFonts w:ascii="Calibri" w:hint="eastAsia"/>
          <w:color w:val="auto"/>
          <w:sz w:val="24"/>
        </w:rPr>
        <w:t>图</w:t>
      </w:r>
    </w:p>
    <w:p w14:paraId="709CE765" w14:textId="77777777" w:rsidR="0055605A" w:rsidRPr="00A964FF" w:rsidRDefault="0055605A" w:rsidP="0055605A">
      <w:pPr>
        <w:spacing w:line="360" w:lineRule="auto"/>
        <w:ind w:firstLineChars="200" w:firstLine="480"/>
        <w:rPr>
          <w:rFonts w:ascii="Calibri"/>
          <w:color w:val="auto"/>
          <w:sz w:val="24"/>
        </w:rPr>
      </w:pPr>
      <w:r w:rsidRPr="00A964FF">
        <w:rPr>
          <w:rFonts w:ascii="Calibri" w:hint="eastAsia"/>
          <w:color w:val="auto"/>
          <w:sz w:val="24"/>
        </w:rPr>
        <w:t>附图</w:t>
      </w:r>
      <w:r w:rsidR="004D0CAA">
        <w:rPr>
          <w:rFonts w:ascii="Calibri" w:hint="eastAsia"/>
          <w:color w:val="auto"/>
          <w:sz w:val="24"/>
        </w:rPr>
        <w:t>七</w:t>
      </w:r>
      <w:r w:rsidRPr="00A964FF">
        <w:rPr>
          <w:rFonts w:ascii="Calibri" w:hint="eastAsia"/>
          <w:color w:val="auto"/>
          <w:sz w:val="24"/>
        </w:rPr>
        <w:t>：</w:t>
      </w:r>
      <w:r w:rsidR="004D0CAA">
        <w:rPr>
          <w:rFonts w:ascii="Calibri" w:hint="eastAsia"/>
          <w:color w:val="auto"/>
          <w:sz w:val="24"/>
        </w:rPr>
        <w:t>厂区总平面及</w:t>
      </w:r>
      <w:r w:rsidR="004D0CAA">
        <w:rPr>
          <w:rFonts w:ascii="Calibri"/>
          <w:color w:val="auto"/>
          <w:sz w:val="24"/>
        </w:rPr>
        <w:t>环保设施</w:t>
      </w:r>
      <w:r w:rsidR="004D0CAA">
        <w:rPr>
          <w:rFonts w:ascii="Calibri" w:hint="eastAsia"/>
          <w:color w:val="auto"/>
          <w:sz w:val="24"/>
        </w:rPr>
        <w:t>布</w:t>
      </w:r>
      <w:r w:rsidR="005979CE" w:rsidRPr="00A964FF">
        <w:rPr>
          <w:rFonts w:ascii="Calibri" w:hint="eastAsia"/>
          <w:color w:val="auto"/>
          <w:sz w:val="24"/>
        </w:rPr>
        <w:t>置图</w:t>
      </w:r>
    </w:p>
    <w:p w14:paraId="4E661277" w14:textId="77777777" w:rsidR="0055605A" w:rsidRPr="00A964FF" w:rsidRDefault="0055605A" w:rsidP="0055605A">
      <w:pPr>
        <w:spacing w:line="360" w:lineRule="auto"/>
        <w:ind w:firstLineChars="200" w:firstLine="480"/>
        <w:rPr>
          <w:rFonts w:ascii="Calibri"/>
          <w:color w:val="auto"/>
          <w:sz w:val="24"/>
        </w:rPr>
      </w:pPr>
      <w:r w:rsidRPr="00A964FF">
        <w:rPr>
          <w:rFonts w:ascii="Calibri" w:hint="eastAsia"/>
          <w:color w:val="auto"/>
          <w:sz w:val="24"/>
        </w:rPr>
        <w:t>附图</w:t>
      </w:r>
      <w:r w:rsidR="004D0CAA">
        <w:rPr>
          <w:rFonts w:ascii="Calibri" w:hint="eastAsia"/>
          <w:color w:val="auto"/>
          <w:sz w:val="24"/>
        </w:rPr>
        <w:t>八</w:t>
      </w:r>
      <w:r w:rsidRPr="00A964FF">
        <w:rPr>
          <w:rFonts w:ascii="Calibri" w:hint="eastAsia"/>
          <w:color w:val="auto"/>
          <w:sz w:val="24"/>
        </w:rPr>
        <w:t>：</w:t>
      </w:r>
      <w:r w:rsidR="005979CE" w:rsidRPr="00A964FF">
        <w:rPr>
          <w:rFonts w:ascii="Calibri" w:hint="eastAsia"/>
          <w:color w:val="auto"/>
          <w:sz w:val="24"/>
        </w:rPr>
        <w:t>厂区分区防渗图</w:t>
      </w:r>
    </w:p>
    <w:p w14:paraId="3CDF33FA" w14:textId="77777777" w:rsidR="004D0CAA" w:rsidRPr="004D0CAA" w:rsidRDefault="004D0CAA" w:rsidP="004D0CAA">
      <w:pPr>
        <w:spacing w:line="360" w:lineRule="auto"/>
        <w:ind w:firstLineChars="200" w:firstLine="480"/>
        <w:rPr>
          <w:rFonts w:ascii="Calibri"/>
          <w:color w:val="auto"/>
          <w:sz w:val="24"/>
        </w:rPr>
      </w:pPr>
      <w:r w:rsidRPr="004D0CAA">
        <w:rPr>
          <w:rFonts w:ascii="Calibri" w:hint="eastAsia"/>
          <w:color w:val="auto"/>
          <w:sz w:val="24"/>
        </w:rPr>
        <w:t>附图</w:t>
      </w:r>
      <w:r>
        <w:rPr>
          <w:rFonts w:ascii="Calibri" w:hint="eastAsia"/>
          <w:color w:val="auto"/>
          <w:sz w:val="24"/>
        </w:rPr>
        <w:t>九</w:t>
      </w:r>
      <w:r w:rsidRPr="004D0CAA">
        <w:rPr>
          <w:rFonts w:ascii="Calibri" w:hint="eastAsia"/>
          <w:color w:val="auto"/>
          <w:sz w:val="24"/>
        </w:rPr>
        <w:t>：</w:t>
      </w:r>
      <w:r>
        <w:rPr>
          <w:rFonts w:ascii="Calibri" w:hint="eastAsia"/>
          <w:color w:val="auto"/>
          <w:sz w:val="24"/>
        </w:rPr>
        <w:t>车间楼层</w:t>
      </w:r>
      <w:r>
        <w:rPr>
          <w:rFonts w:ascii="Calibri"/>
          <w:color w:val="auto"/>
          <w:sz w:val="24"/>
        </w:rPr>
        <w:t>布置图</w:t>
      </w:r>
    </w:p>
    <w:p w14:paraId="59D9C201" w14:textId="77777777" w:rsidR="0055605A" w:rsidRPr="00A964FF" w:rsidRDefault="0055605A" w:rsidP="0055605A">
      <w:pPr>
        <w:spacing w:line="360" w:lineRule="auto"/>
        <w:ind w:firstLineChars="200" w:firstLine="480"/>
        <w:rPr>
          <w:rFonts w:ascii="Calibri"/>
          <w:color w:val="auto"/>
          <w:sz w:val="24"/>
        </w:rPr>
      </w:pPr>
      <w:r w:rsidRPr="00A964FF">
        <w:rPr>
          <w:rFonts w:ascii="Calibri" w:hint="eastAsia"/>
          <w:color w:val="auto"/>
          <w:sz w:val="24"/>
        </w:rPr>
        <w:t>附图</w:t>
      </w:r>
      <w:r w:rsidR="004D0CAA">
        <w:rPr>
          <w:rFonts w:ascii="Calibri" w:hint="eastAsia"/>
          <w:color w:val="auto"/>
          <w:sz w:val="24"/>
        </w:rPr>
        <w:t>十</w:t>
      </w:r>
      <w:r w:rsidRPr="00A964FF">
        <w:rPr>
          <w:rFonts w:ascii="Calibri" w:hint="eastAsia"/>
          <w:color w:val="auto"/>
          <w:sz w:val="24"/>
        </w:rPr>
        <w:t>：</w:t>
      </w:r>
      <w:r w:rsidR="005979CE" w:rsidRPr="00A964FF">
        <w:rPr>
          <w:rFonts w:ascii="Calibri" w:hint="eastAsia"/>
          <w:color w:val="auto"/>
          <w:sz w:val="24"/>
        </w:rPr>
        <w:t>项目区域地表水系图及灰河控制断面</w:t>
      </w:r>
    </w:p>
    <w:p w14:paraId="11F48572" w14:textId="77777777" w:rsidR="0055605A" w:rsidRPr="00A964FF" w:rsidRDefault="005979CE" w:rsidP="0055605A">
      <w:pPr>
        <w:spacing w:line="360" w:lineRule="auto"/>
        <w:ind w:firstLineChars="200" w:firstLine="480"/>
        <w:rPr>
          <w:rFonts w:ascii="Calibri"/>
          <w:color w:val="auto"/>
          <w:sz w:val="24"/>
        </w:rPr>
      </w:pPr>
      <w:r w:rsidRPr="00A964FF">
        <w:rPr>
          <w:rFonts w:ascii="Calibri" w:hint="eastAsia"/>
          <w:color w:val="auto"/>
          <w:sz w:val="24"/>
        </w:rPr>
        <w:t>附图十</w:t>
      </w:r>
      <w:r w:rsidR="00991B3A">
        <w:rPr>
          <w:rFonts w:ascii="Calibri" w:hint="eastAsia"/>
          <w:color w:val="auto"/>
          <w:sz w:val="24"/>
        </w:rPr>
        <w:t>一</w:t>
      </w:r>
      <w:r w:rsidRPr="00A964FF">
        <w:rPr>
          <w:rFonts w:ascii="Calibri" w:hint="eastAsia"/>
          <w:color w:val="auto"/>
          <w:sz w:val="24"/>
        </w:rPr>
        <w:t>：声环境、土壤环境现状检测布点图</w:t>
      </w:r>
    </w:p>
    <w:p w14:paraId="6CB01B29" w14:textId="77777777" w:rsidR="0055605A" w:rsidRPr="00A964FF" w:rsidRDefault="005979CE" w:rsidP="0055605A">
      <w:pPr>
        <w:spacing w:line="360" w:lineRule="auto"/>
        <w:ind w:firstLineChars="200" w:firstLine="480"/>
        <w:rPr>
          <w:rFonts w:ascii="Calibri"/>
          <w:color w:val="auto"/>
          <w:sz w:val="24"/>
        </w:rPr>
      </w:pPr>
      <w:r w:rsidRPr="00A964FF">
        <w:rPr>
          <w:rFonts w:ascii="Calibri" w:hint="eastAsia"/>
          <w:color w:val="auto"/>
          <w:sz w:val="24"/>
        </w:rPr>
        <w:t>附图十</w:t>
      </w:r>
      <w:r w:rsidR="00991B3A">
        <w:rPr>
          <w:rFonts w:ascii="Calibri" w:hint="eastAsia"/>
          <w:color w:val="auto"/>
          <w:sz w:val="24"/>
        </w:rPr>
        <w:t>二</w:t>
      </w:r>
      <w:r w:rsidRPr="00A964FF">
        <w:rPr>
          <w:rFonts w:ascii="Calibri" w:hint="eastAsia"/>
          <w:color w:val="auto"/>
          <w:sz w:val="24"/>
        </w:rPr>
        <w:t>：建设项目周围环境实景图</w:t>
      </w:r>
    </w:p>
    <w:p w14:paraId="3B0EEF4D" w14:textId="77777777" w:rsidR="0055605A" w:rsidRPr="00A964FF" w:rsidRDefault="0055605A" w:rsidP="0055605A">
      <w:pPr>
        <w:spacing w:line="360" w:lineRule="auto"/>
        <w:ind w:firstLineChars="200" w:firstLine="480"/>
        <w:rPr>
          <w:rFonts w:ascii="Calibri"/>
          <w:color w:val="auto"/>
          <w:sz w:val="24"/>
        </w:rPr>
      </w:pPr>
    </w:p>
    <w:p w14:paraId="46FF3D1B" w14:textId="77777777" w:rsidR="0055605A" w:rsidRPr="00A964FF" w:rsidRDefault="0055605A" w:rsidP="0055605A">
      <w:pPr>
        <w:spacing w:line="360" w:lineRule="auto"/>
        <w:ind w:firstLineChars="200" w:firstLine="480"/>
        <w:rPr>
          <w:rFonts w:ascii="Calibri"/>
          <w:color w:val="auto"/>
          <w:sz w:val="24"/>
        </w:rPr>
      </w:pPr>
    </w:p>
    <w:p w14:paraId="48D8105F" w14:textId="77777777" w:rsidR="0055605A" w:rsidRPr="00A964FF" w:rsidRDefault="0055605A" w:rsidP="0055605A">
      <w:pPr>
        <w:spacing w:line="360" w:lineRule="auto"/>
        <w:ind w:firstLineChars="200" w:firstLine="480"/>
        <w:rPr>
          <w:rFonts w:ascii="Calibri"/>
          <w:color w:val="auto"/>
          <w:sz w:val="24"/>
        </w:rPr>
      </w:pPr>
    </w:p>
    <w:p w14:paraId="23F8E501" w14:textId="77777777" w:rsidR="0055605A" w:rsidRPr="00991B3A" w:rsidRDefault="0055605A" w:rsidP="00512823">
      <w:pPr>
        <w:tabs>
          <w:tab w:val="center" w:pos="4396"/>
        </w:tabs>
        <w:spacing w:line="360" w:lineRule="auto"/>
        <w:rPr>
          <w:rFonts w:ascii="Calibri"/>
          <w:color w:val="auto"/>
          <w:sz w:val="24"/>
        </w:rPr>
      </w:pPr>
    </w:p>
    <w:p w14:paraId="1E761EB3" w14:textId="77777777" w:rsidR="0055605A" w:rsidRPr="00A964FF" w:rsidRDefault="0055605A" w:rsidP="0055605A">
      <w:pPr>
        <w:spacing w:line="360" w:lineRule="auto"/>
        <w:jc w:val="center"/>
        <w:rPr>
          <w:rFonts w:ascii="Calibri" w:eastAsia="黑体" w:hAnsi="Calibri"/>
          <w:b/>
          <w:color w:val="auto"/>
          <w:sz w:val="30"/>
          <w:szCs w:val="30"/>
        </w:rPr>
      </w:pPr>
      <w:r w:rsidRPr="00A964FF">
        <w:rPr>
          <w:rFonts w:ascii="Calibri" w:eastAsia="黑体" w:hAnsi="Calibri"/>
          <w:b/>
          <w:color w:val="auto"/>
          <w:sz w:val="30"/>
          <w:szCs w:val="30"/>
        </w:rPr>
        <w:t>附</w:t>
      </w:r>
      <w:r w:rsidRPr="00A964FF">
        <w:rPr>
          <w:rFonts w:ascii="Calibri" w:eastAsia="黑体" w:hAnsi="Calibri" w:hint="eastAsia"/>
          <w:b/>
          <w:color w:val="auto"/>
          <w:sz w:val="30"/>
          <w:szCs w:val="30"/>
        </w:rPr>
        <w:t xml:space="preserve">  </w:t>
      </w:r>
      <w:r w:rsidRPr="00A964FF">
        <w:rPr>
          <w:rFonts w:ascii="Calibri" w:eastAsia="黑体" w:hAnsi="Calibri"/>
          <w:b/>
          <w:color w:val="auto"/>
          <w:sz w:val="30"/>
          <w:szCs w:val="30"/>
        </w:rPr>
        <w:t>件</w:t>
      </w:r>
    </w:p>
    <w:p w14:paraId="34846982" w14:textId="77777777" w:rsidR="0055605A" w:rsidRPr="00A964FF" w:rsidRDefault="0055605A" w:rsidP="0055605A">
      <w:pPr>
        <w:spacing w:line="360" w:lineRule="auto"/>
        <w:ind w:firstLineChars="200" w:firstLine="480"/>
        <w:rPr>
          <w:rFonts w:ascii="Calibri" w:hAnsi="Calibri"/>
          <w:color w:val="auto"/>
          <w:sz w:val="24"/>
        </w:rPr>
      </w:pPr>
      <w:r w:rsidRPr="00A964FF">
        <w:rPr>
          <w:rFonts w:ascii="Calibri" w:hAnsi="Calibri" w:hint="eastAsia"/>
          <w:color w:val="auto"/>
          <w:sz w:val="24"/>
        </w:rPr>
        <w:t>附件</w:t>
      </w:r>
      <w:r w:rsidRPr="00A964FF">
        <w:rPr>
          <w:rFonts w:ascii="Calibri" w:hAnsi="Calibri" w:hint="eastAsia"/>
          <w:color w:val="auto"/>
          <w:sz w:val="24"/>
        </w:rPr>
        <w:t>1</w:t>
      </w:r>
      <w:r w:rsidRPr="00A964FF">
        <w:rPr>
          <w:rFonts w:ascii="Calibri" w:hAnsi="Calibri" w:hint="eastAsia"/>
          <w:color w:val="auto"/>
          <w:sz w:val="24"/>
        </w:rPr>
        <w:t>：委托书</w:t>
      </w:r>
    </w:p>
    <w:p w14:paraId="56D067B5" w14:textId="77777777" w:rsidR="0055605A" w:rsidRPr="00A964FF" w:rsidRDefault="0055605A" w:rsidP="0055605A">
      <w:pPr>
        <w:spacing w:line="360" w:lineRule="auto"/>
        <w:ind w:leftChars="228" w:left="1439" w:hangingChars="400" w:hanging="960"/>
        <w:rPr>
          <w:rFonts w:ascii="Calibri" w:hAnsi="Calibri"/>
          <w:color w:val="auto"/>
          <w:sz w:val="24"/>
        </w:rPr>
      </w:pPr>
      <w:r w:rsidRPr="00A964FF">
        <w:rPr>
          <w:rFonts w:ascii="Calibri" w:hAnsi="Calibri" w:hint="eastAsia"/>
          <w:color w:val="auto"/>
          <w:sz w:val="24"/>
        </w:rPr>
        <w:t>附件</w:t>
      </w:r>
      <w:r w:rsidRPr="00A964FF">
        <w:rPr>
          <w:rFonts w:ascii="Calibri" w:hAnsi="Calibri" w:hint="eastAsia"/>
          <w:color w:val="auto"/>
          <w:sz w:val="24"/>
        </w:rPr>
        <w:t>2</w:t>
      </w:r>
      <w:r w:rsidRPr="00A964FF">
        <w:rPr>
          <w:rFonts w:ascii="Calibri" w:hAnsi="Calibri" w:hint="eastAsia"/>
          <w:color w:val="auto"/>
          <w:sz w:val="24"/>
        </w:rPr>
        <w:t>：备案</w:t>
      </w:r>
      <w:r w:rsidR="00E26591" w:rsidRPr="00A964FF">
        <w:rPr>
          <w:rFonts w:ascii="Calibri" w:hAnsi="Calibri" w:hint="eastAsia"/>
          <w:color w:val="auto"/>
          <w:sz w:val="24"/>
        </w:rPr>
        <w:t>证明</w:t>
      </w:r>
    </w:p>
    <w:p w14:paraId="14276F89" w14:textId="77777777" w:rsidR="0055605A" w:rsidRPr="00A964FF" w:rsidRDefault="00E26591" w:rsidP="00D55623">
      <w:pPr>
        <w:spacing w:line="360" w:lineRule="auto"/>
        <w:ind w:leftChars="228" w:left="1439" w:hangingChars="400" w:hanging="960"/>
        <w:rPr>
          <w:rFonts w:ascii="Calibri" w:hAnsi="Calibri"/>
          <w:color w:val="auto"/>
          <w:sz w:val="24"/>
        </w:rPr>
      </w:pPr>
      <w:r w:rsidRPr="00A964FF">
        <w:rPr>
          <w:rFonts w:ascii="Calibri" w:hAnsi="Calibri" w:hint="eastAsia"/>
          <w:color w:val="auto"/>
          <w:sz w:val="24"/>
        </w:rPr>
        <w:t>附件</w:t>
      </w:r>
      <w:r w:rsidRPr="00A964FF">
        <w:rPr>
          <w:rFonts w:ascii="Calibri" w:hAnsi="Calibri" w:hint="eastAsia"/>
          <w:color w:val="auto"/>
          <w:sz w:val="24"/>
        </w:rPr>
        <w:t>3</w:t>
      </w:r>
      <w:r w:rsidRPr="00A964FF">
        <w:rPr>
          <w:rFonts w:ascii="Calibri" w:hAnsi="Calibri" w:hint="eastAsia"/>
          <w:color w:val="auto"/>
          <w:sz w:val="24"/>
        </w:rPr>
        <w:t>：</w:t>
      </w:r>
      <w:r w:rsidR="00DE5259">
        <w:rPr>
          <w:rFonts w:ascii="Calibri" w:hAnsi="Calibri" w:hint="eastAsia"/>
          <w:color w:val="auto"/>
          <w:sz w:val="24"/>
        </w:rPr>
        <w:t>土地证</w:t>
      </w:r>
    </w:p>
    <w:p w14:paraId="47EE9A02" w14:textId="77777777" w:rsidR="0055605A" w:rsidRPr="00A964FF" w:rsidRDefault="0055605A" w:rsidP="0055605A">
      <w:pPr>
        <w:spacing w:line="360" w:lineRule="auto"/>
        <w:ind w:firstLineChars="200" w:firstLine="480"/>
        <w:rPr>
          <w:rFonts w:ascii="Calibri" w:hAnsi="Calibri"/>
          <w:color w:val="auto"/>
          <w:sz w:val="24"/>
        </w:rPr>
      </w:pPr>
      <w:r w:rsidRPr="00A964FF">
        <w:rPr>
          <w:rFonts w:ascii="Calibri" w:hAnsi="Calibri" w:hint="eastAsia"/>
          <w:color w:val="auto"/>
          <w:sz w:val="24"/>
        </w:rPr>
        <w:t>附件</w:t>
      </w:r>
      <w:r w:rsidR="00D55623">
        <w:rPr>
          <w:rFonts w:ascii="Calibri" w:hAnsi="Calibri" w:hint="eastAsia"/>
          <w:color w:val="auto"/>
          <w:sz w:val="24"/>
        </w:rPr>
        <w:t>4</w:t>
      </w:r>
      <w:r w:rsidRPr="00A964FF">
        <w:rPr>
          <w:rFonts w:ascii="Calibri" w:hAnsi="Calibri" w:hint="eastAsia"/>
          <w:color w:val="auto"/>
          <w:sz w:val="24"/>
        </w:rPr>
        <w:t>：</w:t>
      </w:r>
      <w:r w:rsidR="00252F63" w:rsidRPr="00A964FF">
        <w:rPr>
          <w:rFonts w:ascii="Calibri" w:hAnsi="Calibri" w:hint="eastAsia"/>
          <w:color w:val="auto"/>
          <w:sz w:val="24"/>
        </w:rPr>
        <w:t>检测报告</w:t>
      </w:r>
    </w:p>
    <w:p w14:paraId="27972442" w14:textId="77777777" w:rsidR="001D30BE" w:rsidRPr="00DE5259" w:rsidRDefault="001D30BE" w:rsidP="005D12A6">
      <w:pPr>
        <w:spacing w:line="360" w:lineRule="auto"/>
        <w:rPr>
          <w:rFonts w:ascii="Calibri" w:hAnsi="Calibri"/>
          <w:color w:val="auto"/>
          <w:sz w:val="24"/>
        </w:rPr>
        <w:sectPr w:rsidR="001D30BE" w:rsidRPr="00DE5259" w:rsidSect="001D30BE">
          <w:headerReference w:type="even" r:id="rId8"/>
          <w:headerReference w:type="default" r:id="rId9"/>
          <w:footerReference w:type="even" r:id="rId10"/>
          <w:footerReference w:type="default" r:id="rId11"/>
          <w:pgSz w:w="11906" w:h="16838" w:code="9"/>
          <w:pgMar w:top="1440" w:right="1588" w:bottom="1440" w:left="1588" w:header="851" w:footer="992" w:gutter="0"/>
          <w:pgNumType w:fmt="upperRoman"/>
          <w:cols w:space="720"/>
          <w:docGrid w:linePitch="312"/>
        </w:sectPr>
      </w:pPr>
    </w:p>
    <w:p w14:paraId="6C56B02C" w14:textId="77777777" w:rsidR="008F4839" w:rsidRPr="00A964FF" w:rsidRDefault="008F4839" w:rsidP="008F4839">
      <w:pPr>
        <w:pStyle w:val="afffff7"/>
        <w:spacing w:line="360" w:lineRule="auto"/>
        <w:rPr>
          <w:color w:val="auto"/>
        </w:rPr>
      </w:pPr>
      <w:bookmarkStart w:id="1" w:name="_Toc471771534"/>
      <w:bookmarkStart w:id="2" w:name="_Toc20552"/>
      <w:bookmarkStart w:id="3" w:name="_Toc112999887"/>
      <w:r w:rsidRPr="00A964FF">
        <w:rPr>
          <w:rFonts w:hint="eastAsia"/>
          <w:color w:val="auto"/>
        </w:rPr>
        <w:lastRenderedPageBreak/>
        <w:t>概述</w:t>
      </w:r>
      <w:bookmarkEnd w:id="1"/>
      <w:bookmarkEnd w:id="2"/>
      <w:bookmarkEnd w:id="3"/>
    </w:p>
    <w:p w14:paraId="54B16AAA" w14:textId="77777777" w:rsidR="002F190B" w:rsidRPr="002F190B" w:rsidRDefault="008F4839" w:rsidP="002F190B">
      <w:pPr>
        <w:pStyle w:val="2f0"/>
        <w:rPr>
          <w:color w:val="auto"/>
        </w:rPr>
      </w:pPr>
      <w:bookmarkStart w:id="4" w:name="_Toc14793"/>
      <w:bookmarkStart w:id="5" w:name="_Toc112999888"/>
      <w:r w:rsidRPr="00D55623">
        <w:rPr>
          <w:color w:val="auto"/>
        </w:rPr>
        <w:t>1</w:t>
      </w:r>
      <w:r w:rsidRPr="00D55623">
        <w:rPr>
          <w:color w:val="auto"/>
        </w:rPr>
        <w:t>、建设项目由来</w:t>
      </w:r>
      <w:bookmarkEnd w:id="4"/>
      <w:bookmarkEnd w:id="5"/>
    </w:p>
    <w:p w14:paraId="3555DE24" w14:textId="77777777" w:rsidR="002F190B" w:rsidRPr="00517F10" w:rsidRDefault="00430E40" w:rsidP="00517F10">
      <w:pPr>
        <w:pStyle w:val="00"/>
        <w:ind w:firstLine="482"/>
        <w:rPr>
          <w:rFonts w:ascii="Calibri" w:hAnsi="Calibri"/>
          <w:caps/>
          <w:color w:val="auto"/>
        </w:rPr>
      </w:pPr>
      <w:r>
        <w:rPr>
          <w:rFonts w:ascii="Calibri" w:hAnsi="Calibri" w:hint="eastAsia"/>
          <w:caps/>
          <w:color w:val="auto"/>
        </w:rPr>
        <w:t>透明尼龙是一种</w:t>
      </w:r>
      <w:r w:rsidRPr="00430E40">
        <w:rPr>
          <w:rFonts w:ascii="Calibri" w:hAnsi="Calibri" w:hint="eastAsia"/>
          <w:caps/>
          <w:color w:val="auto"/>
        </w:rPr>
        <w:t>透光率高，与光学玻璃相近，高阻隔性、优良的耐蒸煮性的尼龙材</w:t>
      </w:r>
      <w:r>
        <w:rPr>
          <w:rFonts w:ascii="Calibri" w:hAnsi="Calibri" w:hint="eastAsia"/>
          <w:caps/>
          <w:color w:val="auto"/>
        </w:rPr>
        <w:t>料，</w:t>
      </w:r>
      <w:r w:rsidRPr="00430E40">
        <w:rPr>
          <w:rFonts w:ascii="Calibri" w:hAnsi="Calibri" w:hint="eastAsia"/>
          <w:caps/>
          <w:color w:val="auto"/>
        </w:rPr>
        <w:t>对氧的渗透率是</w:t>
      </w:r>
      <w:r w:rsidRPr="00430E40">
        <w:rPr>
          <w:rFonts w:ascii="Calibri" w:hAnsi="Calibri" w:hint="eastAsia"/>
          <w:caps/>
          <w:color w:val="auto"/>
        </w:rPr>
        <w:t>PET</w:t>
      </w:r>
      <w:r w:rsidRPr="00430E40">
        <w:rPr>
          <w:rFonts w:ascii="Calibri" w:hAnsi="Calibri" w:hint="eastAsia"/>
          <w:caps/>
          <w:color w:val="auto"/>
        </w:rPr>
        <w:t>的</w:t>
      </w:r>
      <w:r w:rsidRPr="00430E40">
        <w:rPr>
          <w:rFonts w:ascii="Calibri" w:hAnsi="Calibri" w:hint="eastAsia"/>
          <w:caps/>
          <w:color w:val="auto"/>
        </w:rPr>
        <w:t>1/20</w:t>
      </w:r>
      <w:r w:rsidRPr="00430E40">
        <w:rPr>
          <w:rFonts w:ascii="Calibri" w:hAnsi="Calibri" w:hint="eastAsia"/>
          <w:caps/>
          <w:color w:val="auto"/>
        </w:rPr>
        <w:t>–</w:t>
      </w:r>
      <w:r w:rsidRPr="00430E40">
        <w:rPr>
          <w:rFonts w:ascii="Calibri" w:hAnsi="Calibri" w:hint="eastAsia"/>
          <w:caps/>
          <w:color w:val="auto"/>
        </w:rPr>
        <w:t>1/25</w:t>
      </w:r>
      <w:r w:rsidRPr="00430E40">
        <w:rPr>
          <w:rFonts w:ascii="Calibri" w:hAnsi="Calibri" w:hint="eastAsia"/>
          <w:caps/>
          <w:color w:val="auto"/>
        </w:rPr>
        <w:t>；对</w:t>
      </w:r>
      <w:hyperlink r:id="rId12" w:tgtFrame="https://baike.baidu.com/item/%E9%80%8F%E6%98%8E%E5%B0%BC%E9%BE%99/_blank" w:history="1">
        <w:r w:rsidRPr="00430E40">
          <w:rPr>
            <w:rFonts w:ascii="Calibri" w:hAnsi="Calibri" w:hint="eastAsia"/>
            <w:caps/>
            <w:color w:val="auto"/>
          </w:rPr>
          <w:t>二氧化碳</w:t>
        </w:r>
      </w:hyperlink>
      <w:r w:rsidRPr="00430E40">
        <w:rPr>
          <w:rFonts w:ascii="Calibri" w:hAnsi="Calibri" w:hint="eastAsia"/>
          <w:caps/>
          <w:color w:val="auto"/>
        </w:rPr>
        <w:t>的渗透率是</w:t>
      </w:r>
      <w:r w:rsidRPr="00430E40">
        <w:rPr>
          <w:rFonts w:ascii="Calibri" w:hAnsi="Calibri" w:hint="eastAsia"/>
          <w:caps/>
          <w:color w:val="auto"/>
        </w:rPr>
        <w:t>PET</w:t>
      </w:r>
      <w:r w:rsidRPr="00430E40">
        <w:rPr>
          <w:rFonts w:ascii="Calibri" w:hAnsi="Calibri" w:hint="eastAsia"/>
          <w:caps/>
          <w:color w:val="auto"/>
        </w:rPr>
        <w:t>的</w:t>
      </w:r>
      <w:r w:rsidRPr="00430E40">
        <w:rPr>
          <w:rFonts w:ascii="Calibri" w:hAnsi="Calibri" w:hint="eastAsia"/>
          <w:caps/>
          <w:color w:val="auto"/>
        </w:rPr>
        <w:t>1/5</w:t>
      </w:r>
      <w:r w:rsidRPr="00430E40">
        <w:rPr>
          <w:rFonts w:ascii="Calibri" w:hAnsi="Calibri" w:hint="eastAsia"/>
          <w:caps/>
          <w:color w:val="auto"/>
        </w:rPr>
        <w:t>；透水率与</w:t>
      </w:r>
      <w:r w:rsidRPr="00430E40">
        <w:rPr>
          <w:rFonts w:ascii="Calibri" w:hAnsi="Calibri" w:hint="eastAsia"/>
          <w:caps/>
          <w:color w:val="auto"/>
        </w:rPr>
        <w:t>PET</w:t>
      </w:r>
      <w:r w:rsidRPr="00430E40">
        <w:rPr>
          <w:rFonts w:ascii="Calibri" w:hAnsi="Calibri" w:hint="eastAsia"/>
          <w:caps/>
          <w:color w:val="auto"/>
        </w:rPr>
        <w:t>相当，不仅可用于饮料和食品包装，还可用作</w:t>
      </w:r>
      <w:hyperlink r:id="rId13" w:tgtFrame="https://baike.baidu.com/item/%E9%80%8F%E6%98%8E%E5%B0%BC%E9%BE%99/_blank" w:history="1">
        <w:r w:rsidRPr="00430E40">
          <w:rPr>
            <w:rFonts w:ascii="Calibri" w:hAnsi="Calibri" w:hint="eastAsia"/>
            <w:caps/>
            <w:color w:val="auto"/>
          </w:rPr>
          <w:t>精密仪器</w:t>
        </w:r>
      </w:hyperlink>
      <w:r w:rsidRPr="00430E40">
        <w:rPr>
          <w:rFonts w:ascii="Calibri" w:hAnsi="Calibri" w:hint="eastAsia"/>
          <w:caps/>
          <w:color w:val="auto"/>
        </w:rPr>
        <w:t>、仪表、医药化工的包装材料</w:t>
      </w:r>
      <w:r>
        <w:rPr>
          <w:rFonts w:ascii="Calibri" w:hAnsi="Calibri" w:hint="eastAsia"/>
          <w:caps/>
          <w:color w:val="auto"/>
        </w:rPr>
        <w:t>，</w:t>
      </w:r>
      <w:r w:rsidRPr="00430E40">
        <w:rPr>
          <w:rFonts w:ascii="Calibri" w:hAnsi="Calibri" w:hint="eastAsia"/>
          <w:caps/>
          <w:color w:val="auto"/>
        </w:rPr>
        <w:t>具有良好的拉伸强度、耐冲击强度、刚性、耐磨性、</w:t>
      </w:r>
      <w:hyperlink r:id="rId14" w:tgtFrame="https://baike.baidu.com/item/%E9%80%8F%E6%98%8E%E5%B0%BC%E9%BE%99/_blank" w:history="1">
        <w:r w:rsidRPr="00430E40">
          <w:rPr>
            <w:rFonts w:ascii="Calibri" w:hAnsi="Calibri" w:hint="eastAsia"/>
            <w:caps/>
            <w:color w:val="auto"/>
          </w:rPr>
          <w:t>耐化学性</w:t>
        </w:r>
      </w:hyperlink>
      <w:r w:rsidRPr="00430E40">
        <w:rPr>
          <w:rFonts w:ascii="Calibri" w:hAnsi="Calibri" w:hint="eastAsia"/>
          <w:caps/>
          <w:color w:val="auto"/>
        </w:rPr>
        <w:t>、表面硬度等性能。</w:t>
      </w:r>
      <w:r w:rsidR="002F190B" w:rsidRPr="002F190B">
        <w:rPr>
          <w:rFonts w:ascii="Calibri" w:hAnsi="Calibri" w:hint="eastAsia"/>
          <w:caps/>
          <w:color w:val="auto"/>
        </w:rPr>
        <w:t>为了顺应目前市场和政策方向，</w:t>
      </w:r>
      <w:r w:rsidR="00517F10" w:rsidRPr="0088215F">
        <w:rPr>
          <w:rFonts w:ascii="Calibri" w:hAnsi="Calibri" w:hint="eastAsia"/>
          <w:caps/>
        </w:rPr>
        <w:t>平顶山倍安德塑化有限公司</w:t>
      </w:r>
      <w:r w:rsidR="002F190B" w:rsidRPr="002F190B">
        <w:rPr>
          <w:rFonts w:ascii="Calibri" w:hAnsi="Calibri" w:hint="eastAsia"/>
          <w:caps/>
          <w:color w:val="auto"/>
        </w:rPr>
        <w:t>拟在</w:t>
      </w:r>
      <w:r w:rsidR="002F190B" w:rsidRPr="00A964FF">
        <w:rPr>
          <w:rFonts w:ascii="Calibri" w:hAnsi="Calibri" w:hint="eastAsia"/>
          <w:color w:val="auto"/>
        </w:rPr>
        <w:t>平顶山尼龙新材料产业集聚区</w:t>
      </w:r>
      <w:r w:rsidR="00C33A3F">
        <w:rPr>
          <w:rFonts w:ascii="Calibri" w:hAnsi="Calibri" w:hint="eastAsia"/>
          <w:color w:val="auto"/>
        </w:rPr>
        <w:t>（</w:t>
      </w:r>
      <w:r w:rsidR="00C33A3F">
        <w:rPr>
          <w:rFonts w:ascii="Calibri" w:hAnsi="Calibri" w:hint="eastAsia"/>
          <w:color w:val="auto"/>
        </w:rPr>
        <w:t>2022</w:t>
      </w:r>
      <w:r w:rsidR="00C33A3F">
        <w:rPr>
          <w:rFonts w:ascii="Calibri" w:hAnsi="Calibri" w:hint="eastAsia"/>
          <w:color w:val="auto"/>
        </w:rPr>
        <w:t>年</w:t>
      </w:r>
      <w:r w:rsidR="00C33A3F">
        <w:rPr>
          <w:rFonts w:ascii="Calibri" w:hAnsi="Calibri" w:hint="eastAsia"/>
          <w:color w:val="auto"/>
        </w:rPr>
        <w:t>6</w:t>
      </w:r>
      <w:r w:rsidR="00C33A3F">
        <w:rPr>
          <w:rFonts w:ascii="Calibri" w:hAnsi="Calibri" w:hint="eastAsia"/>
          <w:color w:val="auto"/>
        </w:rPr>
        <w:t>月</w:t>
      </w:r>
      <w:r w:rsidR="00C33A3F">
        <w:rPr>
          <w:rFonts w:ascii="Calibri" w:hAnsi="Calibri"/>
          <w:color w:val="auto"/>
        </w:rPr>
        <w:t>更名为</w:t>
      </w:r>
      <w:r w:rsidR="00C33A3F" w:rsidRPr="00C33A3F">
        <w:rPr>
          <w:rFonts w:ascii="Calibri" w:hAnsi="Calibri" w:hint="eastAsia"/>
          <w:color w:val="auto"/>
        </w:rPr>
        <w:t>平顶山尼龙新材料开发区</w:t>
      </w:r>
      <w:r w:rsidR="00C33A3F">
        <w:rPr>
          <w:rFonts w:ascii="Calibri" w:hAnsi="Calibri" w:hint="eastAsia"/>
          <w:color w:val="auto"/>
        </w:rPr>
        <w:t>）</w:t>
      </w:r>
      <w:r w:rsidR="002F190B">
        <w:rPr>
          <w:rFonts w:ascii="Calibri" w:hAnsi="Calibri" w:hint="eastAsia"/>
          <w:color w:val="auto"/>
        </w:rPr>
        <w:t>投资</w:t>
      </w:r>
      <w:r w:rsidR="002F190B">
        <w:rPr>
          <w:rFonts w:ascii="Calibri" w:hAnsi="Calibri" w:hint="eastAsia"/>
          <w:color w:val="auto"/>
        </w:rPr>
        <w:t>30461</w:t>
      </w:r>
      <w:r w:rsidR="002F190B" w:rsidRPr="002F190B">
        <w:rPr>
          <w:rFonts w:ascii="Calibri" w:hAnsi="Calibri" w:hint="eastAsia"/>
          <w:caps/>
          <w:color w:val="auto"/>
        </w:rPr>
        <w:t>万元，建设</w:t>
      </w:r>
      <w:r w:rsidR="00C33A3F" w:rsidRPr="0088215F">
        <w:rPr>
          <w:rFonts w:ascii="Calibri" w:hAnsi="Calibri" w:hint="eastAsia"/>
          <w:caps/>
        </w:rPr>
        <w:t>年产</w:t>
      </w:r>
      <w:r w:rsidR="00C33A3F" w:rsidRPr="0088215F">
        <w:rPr>
          <w:rFonts w:ascii="Calibri" w:hAnsi="Calibri" w:hint="eastAsia"/>
          <w:caps/>
        </w:rPr>
        <w:t>5000</w:t>
      </w:r>
      <w:r w:rsidR="00C33A3F" w:rsidRPr="0088215F">
        <w:rPr>
          <w:rFonts w:ascii="Calibri" w:hAnsi="Calibri" w:hint="eastAsia"/>
          <w:caps/>
        </w:rPr>
        <w:t>吨透明尼龙合成制造项目</w:t>
      </w:r>
      <w:r w:rsidR="002F190B" w:rsidRPr="002F190B">
        <w:rPr>
          <w:rFonts w:ascii="Calibri" w:hAnsi="Calibri" w:hint="eastAsia"/>
          <w:caps/>
          <w:color w:val="auto"/>
        </w:rPr>
        <w:t>，</w:t>
      </w:r>
      <w:r w:rsidR="002F190B">
        <w:rPr>
          <w:rFonts w:asciiTheme="minorHAnsi" w:hAnsi="Calibri" w:hint="eastAsia"/>
          <w:caps/>
          <w:color w:val="000000" w:themeColor="text1"/>
        </w:rPr>
        <w:t>项目分三期建设，</w:t>
      </w:r>
      <w:r w:rsidR="002F190B">
        <w:rPr>
          <w:rFonts w:asciiTheme="minorHAnsi" w:hAnsi="Calibri" w:cstheme="minorHAnsi" w:hint="eastAsia"/>
          <w:color w:val="auto"/>
        </w:rPr>
        <w:t>其中一期</w:t>
      </w:r>
      <w:r w:rsidR="002F190B">
        <w:rPr>
          <w:rFonts w:asciiTheme="minorHAnsi" w:hAnsi="Calibri" w:cstheme="minorHAnsi"/>
          <w:color w:val="auto"/>
        </w:rPr>
        <w:t>年产</w:t>
      </w:r>
      <w:r w:rsidR="002F190B" w:rsidRPr="009274EB">
        <w:rPr>
          <w:rFonts w:asciiTheme="minorHAnsi" w:hAnsi="Calibri" w:cstheme="minorHAnsi" w:hint="eastAsia"/>
          <w:color w:val="auto"/>
        </w:rPr>
        <w:t>透明尼龙</w:t>
      </w:r>
      <w:r w:rsidR="002F190B">
        <w:rPr>
          <w:rFonts w:asciiTheme="minorHAnsi" w:hAnsi="Calibri" w:cstheme="minorHAnsi" w:hint="eastAsia"/>
          <w:color w:val="auto"/>
        </w:rPr>
        <w:t>25</w:t>
      </w:r>
      <w:r w:rsidR="002F190B">
        <w:rPr>
          <w:rFonts w:asciiTheme="minorHAnsi" w:hAnsi="Calibri" w:cstheme="minorHAnsi"/>
          <w:color w:val="auto"/>
        </w:rPr>
        <w:t>00</w:t>
      </w:r>
      <w:r w:rsidR="002F190B">
        <w:rPr>
          <w:rFonts w:asciiTheme="minorHAnsi" w:hAnsi="Calibri" w:cstheme="minorHAnsi" w:hint="eastAsia"/>
          <w:color w:val="auto"/>
        </w:rPr>
        <w:t>吨；二期</w:t>
      </w:r>
      <w:r w:rsidR="002F190B">
        <w:rPr>
          <w:rFonts w:asciiTheme="minorHAnsi" w:hAnsi="Calibri" w:cstheme="minorHAnsi"/>
          <w:color w:val="auto"/>
        </w:rPr>
        <w:t>年</w:t>
      </w:r>
      <w:r w:rsidR="002F190B" w:rsidRPr="009274EB">
        <w:rPr>
          <w:rFonts w:asciiTheme="minorHAnsi" w:hAnsi="Calibri" w:cstheme="minorHAnsi" w:hint="eastAsia"/>
          <w:color w:val="auto"/>
        </w:rPr>
        <w:t>产透明尼龙</w:t>
      </w:r>
      <w:r w:rsidR="002F190B">
        <w:rPr>
          <w:rFonts w:asciiTheme="minorHAnsi" w:hAnsi="Calibri" w:cstheme="minorHAnsi"/>
          <w:color w:val="auto"/>
        </w:rPr>
        <w:t>1</w:t>
      </w:r>
      <w:r w:rsidR="002F190B" w:rsidRPr="009274EB">
        <w:rPr>
          <w:rFonts w:asciiTheme="minorHAnsi" w:hAnsi="Calibri" w:cstheme="minorHAnsi" w:hint="eastAsia"/>
          <w:color w:val="auto"/>
        </w:rPr>
        <w:t>500</w:t>
      </w:r>
      <w:r w:rsidR="002F190B" w:rsidRPr="009274EB">
        <w:rPr>
          <w:rFonts w:asciiTheme="minorHAnsi" w:hAnsi="Calibri" w:cstheme="minorHAnsi" w:hint="eastAsia"/>
          <w:color w:val="auto"/>
        </w:rPr>
        <w:t>吨</w:t>
      </w:r>
      <w:r w:rsidR="002F190B">
        <w:rPr>
          <w:rFonts w:asciiTheme="minorHAnsi" w:hAnsi="Calibri" w:cstheme="minorHAnsi" w:hint="eastAsia"/>
          <w:color w:val="auto"/>
        </w:rPr>
        <w:t>；三期</w:t>
      </w:r>
      <w:r w:rsidR="002F190B" w:rsidRPr="009274EB">
        <w:rPr>
          <w:rFonts w:asciiTheme="minorHAnsi" w:hAnsi="Calibri" w:cstheme="minorHAnsi" w:hint="eastAsia"/>
          <w:color w:val="auto"/>
        </w:rPr>
        <w:t>年产透明尼龙</w:t>
      </w:r>
      <w:r w:rsidR="002F190B">
        <w:rPr>
          <w:rFonts w:asciiTheme="minorHAnsi" w:hAnsi="Calibri" w:cstheme="minorHAnsi"/>
          <w:color w:val="auto"/>
        </w:rPr>
        <w:t>10</w:t>
      </w:r>
      <w:r w:rsidR="002F190B" w:rsidRPr="009274EB">
        <w:rPr>
          <w:rFonts w:asciiTheme="minorHAnsi" w:hAnsi="Calibri" w:cstheme="minorHAnsi" w:hint="eastAsia"/>
          <w:color w:val="auto"/>
        </w:rPr>
        <w:t>00</w:t>
      </w:r>
      <w:r w:rsidR="002F190B" w:rsidRPr="009274EB">
        <w:rPr>
          <w:rFonts w:asciiTheme="minorHAnsi" w:hAnsi="Calibri" w:cstheme="minorHAnsi" w:hint="eastAsia"/>
          <w:color w:val="auto"/>
        </w:rPr>
        <w:t>吨</w:t>
      </w:r>
      <w:r w:rsidR="002F190B">
        <w:rPr>
          <w:rFonts w:asciiTheme="minorHAnsi" w:hAnsi="Calibri" w:cstheme="minorHAnsi" w:hint="eastAsia"/>
          <w:color w:val="auto"/>
        </w:rPr>
        <w:t>，</w:t>
      </w:r>
      <w:r w:rsidR="002F190B">
        <w:rPr>
          <w:rFonts w:asciiTheme="minorHAnsi" w:hAnsi="Calibri" w:cstheme="minorHAnsi"/>
          <w:color w:val="auto"/>
        </w:rPr>
        <w:t>本次仅针对一期、二期进行评价</w:t>
      </w:r>
      <w:r w:rsidR="002F190B">
        <w:rPr>
          <w:rFonts w:asciiTheme="minorHAnsi" w:hAnsi="Calibri" w:cstheme="minorHAnsi" w:hint="eastAsia"/>
          <w:color w:val="auto"/>
        </w:rPr>
        <w:t>。</w:t>
      </w:r>
    </w:p>
    <w:p w14:paraId="3A37D183" w14:textId="1BA47A3A" w:rsidR="008D32F2" w:rsidRPr="007E2CD4" w:rsidRDefault="00131D53" w:rsidP="009448F0">
      <w:pPr>
        <w:pStyle w:val="00"/>
        <w:rPr>
          <w:rFonts w:ascii="Calibri" w:hAnsi="Calibri"/>
          <w:color w:val="auto"/>
        </w:rPr>
      </w:pPr>
      <w:r>
        <w:rPr>
          <w:rFonts w:ascii="Calibri" w:hAnsi="Calibri" w:hint="eastAsia"/>
          <w:color w:val="auto"/>
        </w:rPr>
        <w:t>经比对</w:t>
      </w:r>
      <w:r w:rsidR="008F4839" w:rsidRPr="00A964FF">
        <w:rPr>
          <w:rFonts w:ascii="Calibri" w:hAnsi="Calibri"/>
          <w:color w:val="auto"/>
        </w:rPr>
        <w:t>《产业结构调整指导目录（</w:t>
      </w:r>
      <w:r w:rsidR="008F4839" w:rsidRPr="00A964FF">
        <w:rPr>
          <w:rFonts w:ascii="Calibri" w:hAnsi="Calibri"/>
          <w:color w:val="auto"/>
        </w:rPr>
        <w:t>2019</w:t>
      </w:r>
      <w:r w:rsidR="008F4839" w:rsidRPr="00A964FF">
        <w:rPr>
          <w:rFonts w:ascii="Calibri" w:hAnsi="Calibri"/>
          <w:color w:val="auto"/>
        </w:rPr>
        <w:t>年本）》，</w:t>
      </w:r>
      <w:r w:rsidR="008D32F2" w:rsidRPr="00A964FF">
        <w:rPr>
          <w:rFonts w:ascii="Calibri" w:hAnsi="Calibri"/>
          <w:color w:val="auto"/>
        </w:rPr>
        <w:t>本项目</w:t>
      </w:r>
      <w:r w:rsidR="007E2CD4">
        <w:rPr>
          <w:rFonts w:ascii="Calibri" w:hAnsi="Calibri" w:hint="eastAsia"/>
          <w:color w:val="auto"/>
        </w:rPr>
        <w:t>属于鼓励类</w:t>
      </w:r>
      <w:r w:rsidR="009448F0">
        <w:rPr>
          <w:rFonts w:ascii="Calibri" w:hAnsi="Calibri" w:hint="eastAsia"/>
          <w:color w:val="auto"/>
        </w:rPr>
        <w:t>第十一条</w:t>
      </w:r>
      <w:r w:rsidR="009448F0">
        <w:rPr>
          <w:rFonts w:ascii="Calibri" w:hAnsi="Calibri"/>
          <w:color w:val="auto"/>
        </w:rPr>
        <w:t>，第</w:t>
      </w:r>
      <w:r w:rsidR="009448F0">
        <w:rPr>
          <w:rFonts w:ascii="Calibri" w:hAnsi="Calibri" w:hint="eastAsia"/>
          <w:color w:val="auto"/>
        </w:rPr>
        <w:t>10</w:t>
      </w:r>
      <w:r w:rsidR="009448F0">
        <w:rPr>
          <w:rFonts w:ascii="Calibri" w:hAnsi="Calibri" w:hint="eastAsia"/>
          <w:color w:val="auto"/>
        </w:rPr>
        <w:t>款“</w:t>
      </w:r>
      <w:r w:rsidR="009448F0" w:rsidRPr="009448F0">
        <w:rPr>
          <w:rFonts w:ascii="Calibri" w:hAnsi="Calibri" w:hint="eastAsia"/>
          <w:color w:val="auto"/>
        </w:rPr>
        <w:t>长碳链尼龙、耐高温尼龙等新型聚酰胺开发与生产</w:t>
      </w:r>
      <w:r w:rsidR="009448F0">
        <w:rPr>
          <w:rFonts w:ascii="Calibri" w:hAnsi="Calibri" w:hint="eastAsia"/>
          <w:color w:val="auto"/>
        </w:rPr>
        <w:t>”项目</w:t>
      </w:r>
      <w:r w:rsidR="007E2CD4">
        <w:rPr>
          <w:rFonts w:ascii="Calibri" w:hAnsi="Calibri" w:hint="eastAsia"/>
          <w:color w:val="auto"/>
        </w:rPr>
        <w:t>。同时，项目不在《市场准入负面清单》（</w:t>
      </w:r>
      <w:r w:rsidR="007E2CD4">
        <w:rPr>
          <w:rFonts w:ascii="Calibri" w:hAnsi="Calibri" w:hint="eastAsia"/>
          <w:color w:val="auto"/>
        </w:rPr>
        <w:t>2020</w:t>
      </w:r>
      <w:r w:rsidR="007E2CD4">
        <w:rPr>
          <w:rFonts w:ascii="Calibri" w:hAnsi="Calibri" w:hint="eastAsia"/>
          <w:color w:val="auto"/>
        </w:rPr>
        <w:t>年版）中禁止准入事项之列，</w:t>
      </w:r>
      <w:r w:rsidR="00172F8C" w:rsidRPr="00A964FF">
        <w:rPr>
          <w:rFonts w:ascii="Calibri" w:hAnsi="Calibri" w:hint="eastAsia"/>
          <w:color w:val="auto"/>
        </w:rPr>
        <w:t>且该项目已经通过平顶山尼龙新材料产业集聚区管理委员会备案，</w:t>
      </w:r>
      <w:r w:rsidR="007E2CD4">
        <w:rPr>
          <w:rFonts w:ascii="Calibri" w:hAnsi="Calibri" w:hint="eastAsia"/>
          <w:color w:val="auto"/>
        </w:rPr>
        <w:t>项目</w:t>
      </w:r>
      <w:r w:rsidR="00172F8C" w:rsidRPr="00A964FF">
        <w:rPr>
          <w:rFonts w:ascii="Calibri" w:hAnsi="Calibri" w:hint="eastAsia"/>
          <w:color w:val="auto"/>
        </w:rPr>
        <w:t>代码为</w:t>
      </w:r>
      <w:r>
        <w:rPr>
          <w:rFonts w:ascii="Calibri" w:hAnsi="Calibri" w:hint="eastAsia"/>
          <w:color w:val="auto"/>
        </w:rPr>
        <w:t>2112-410422-04-</w:t>
      </w:r>
      <w:r>
        <w:rPr>
          <w:rFonts w:ascii="Calibri" w:hAnsi="Calibri"/>
          <w:color w:val="auto"/>
        </w:rPr>
        <w:t>01-510771</w:t>
      </w:r>
      <w:r w:rsidR="00172F8C" w:rsidRPr="00A964FF">
        <w:rPr>
          <w:rFonts w:ascii="Calibri" w:hAnsi="Calibri" w:hint="eastAsia"/>
          <w:color w:val="auto"/>
        </w:rPr>
        <w:t>；</w:t>
      </w:r>
      <w:r w:rsidR="008D32F2" w:rsidRPr="00A964FF">
        <w:rPr>
          <w:rFonts w:ascii="Calibri" w:hAnsi="Calibri"/>
          <w:color w:val="auto"/>
        </w:rPr>
        <w:t>由此可知，本项目建设符合国家当前产业政策。</w:t>
      </w:r>
    </w:p>
    <w:p w14:paraId="0A6D5E8B" w14:textId="77777777" w:rsidR="00131D53" w:rsidRPr="005A572A" w:rsidRDefault="00131D53" w:rsidP="009B4F57">
      <w:pPr>
        <w:pStyle w:val="00"/>
        <w:ind w:firstLineChars="200"/>
        <w:rPr>
          <w:rStyle w:val="00Char"/>
          <w:rFonts w:asciiTheme="minorHAnsi" w:hAnsi="Calibri"/>
          <w:caps/>
          <w:color w:val="000000" w:themeColor="text1"/>
        </w:rPr>
      </w:pPr>
      <w:r>
        <w:rPr>
          <w:rFonts w:asciiTheme="minorHAnsi" w:hAnsi="Calibri" w:hint="eastAsia"/>
          <w:caps/>
          <w:color w:val="000000" w:themeColor="text1"/>
        </w:rPr>
        <w:t>根据中华人民共和国国务院令第</w:t>
      </w:r>
      <w:r>
        <w:rPr>
          <w:rFonts w:asciiTheme="minorHAnsi" w:hAnsi="Calibri" w:hint="eastAsia"/>
          <w:caps/>
          <w:color w:val="000000" w:themeColor="text1"/>
        </w:rPr>
        <w:t>682</w:t>
      </w:r>
      <w:r>
        <w:rPr>
          <w:rFonts w:asciiTheme="minorHAnsi" w:hAnsi="Calibri" w:hint="eastAsia"/>
          <w:caps/>
          <w:color w:val="000000" w:themeColor="text1"/>
        </w:rPr>
        <w:t>号根据中华人民共和国国务院令第</w:t>
      </w:r>
      <w:r>
        <w:rPr>
          <w:rFonts w:asciiTheme="minorHAnsi" w:hAnsi="Calibri" w:hint="eastAsia"/>
          <w:caps/>
          <w:color w:val="000000" w:themeColor="text1"/>
        </w:rPr>
        <w:t>682</w:t>
      </w:r>
      <w:r>
        <w:rPr>
          <w:rFonts w:asciiTheme="minorHAnsi" w:hAnsi="Calibri" w:hint="eastAsia"/>
          <w:caps/>
          <w:color w:val="000000" w:themeColor="text1"/>
        </w:rPr>
        <w:t>号《建设项目环境保护管理条例》中的有关规定，建设项目须履行环境影响评价制度。依据《建设项目环境影响评价分类管理名录》（</w:t>
      </w:r>
      <w:r>
        <w:rPr>
          <w:rFonts w:asciiTheme="minorHAnsi" w:hAnsi="Calibri" w:hint="eastAsia"/>
          <w:caps/>
          <w:color w:val="000000" w:themeColor="text1"/>
        </w:rPr>
        <w:t>2021</w:t>
      </w:r>
      <w:r>
        <w:rPr>
          <w:rFonts w:asciiTheme="minorHAnsi" w:hAnsi="Calibri" w:hint="eastAsia"/>
          <w:caps/>
          <w:color w:val="000000" w:themeColor="text1"/>
        </w:rPr>
        <w:t>），</w:t>
      </w:r>
      <w:r w:rsidRPr="00131D53">
        <w:rPr>
          <w:rFonts w:asciiTheme="minorHAnsi" w:hAnsi="Calibri" w:hint="eastAsia"/>
          <w:caps/>
          <w:color w:val="000000" w:themeColor="text1"/>
        </w:rPr>
        <w:t>本项目属于“二十三、化学原料和化学制品制造业</w:t>
      </w:r>
      <w:r w:rsidRPr="00131D53">
        <w:rPr>
          <w:rFonts w:asciiTheme="minorHAnsi" w:hAnsi="Calibri" w:hint="eastAsia"/>
          <w:caps/>
          <w:color w:val="000000" w:themeColor="text1"/>
        </w:rPr>
        <w:t>26</w:t>
      </w:r>
      <w:r>
        <w:rPr>
          <w:rFonts w:asciiTheme="minorHAnsi" w:hAnsi="Calibri" w:hint="eastAsia"/>
          <w:caps/>
          <w:color w:val="000000" w:themeColor="text1"/>
        </w:rPr>
        <w:t>中</w:t>
      </w:r>
      <w:r>
        <w:rPr>
          <w:rFonts w:asciiTheme="minorHAnsi" w:hAnsi="Calibri"/>
          <w:caps/>
          <w:color w:val="000000" w:themeColor="text1"/>
        </w:rPr>
        <w:t>第</w:t>
      </w:r>
      <w:r>
        <w:rPr>
          <w:rFonts w:asciiTheme="minorHAnsi" w:hAnsi="Calibri" w:hint="eastAsia"/>
          <w:caps/>
          <w:color w:val="000000" w:themeColor="text1"/>
        </w:rPr>
        <w:t>44</w:t>
      </w:r>
      <w:r>
        <w:rPr>
          <w:rFonts w:asciiTheme="minorHAnsi" w:hAnsi="Calibri" w:hint="eastAsia"/>
          <w:caps/>
          <w:color w:val="000000" w:themeColor="text1"/>
        </w:rPr>
        <w:t>小</w:t>
      </w:r>
      <w:r>
        <w:rPr>
          <w:rFonts w:asciiTheme="minorHAnsi" w:hAnsi="Calibri"/>
          <w:caps/>
          <w:color w:val="000000" w:themeColor="text1"/>
        </w:rPr>
        <w:t>项</w:t>
      </w:r>
      <w:r w:rsidRPr="00131D53">
        <w:rPr>
          <w:rFonts w:asciiTheme="minorHAnsi" w:hAnsi="Calibri" w:hint="eastAsia"/>
          <w:caps/>
          <w:color w:val="000000" w:themeColor="text1"/>
        </w:rPr>
        <w:t>合成材料制造</w:t>
      </w:r>
      <w:r w:rsidRPr="00131D53">
        <w:rPr>
          <w:rFonts w:asciiTheme="minorHAnsi" w:hAnsi="Calibri" w:hint="eastAsia"/>
          <w:caps/>
          <w:color w:val="000000" w:themeColor="text1"/>
        </w:rPr>
        <w:t>265</w:t>
      </w:r>
      <w:r>
        <w:rPr>
          <w:rFonts w:asciiTheme="minorHAnsi" w:hAnsi="Calibri" w:hint="eastAsia"/>
          <w:caps/>
          <w:color w:val="000000" w:themeColor="text1"/>
        </w:rPr>
        <w:t>”，该</w:t>
      </w:r>
      <w:r>
        <w:rPr>
          <w:rFonts w:asciiTheme="minorHAnsi" w:hAnsi="Calibri"/>
          <w:caps/>
          <w:color w:val="000000" w:themeColor="text1"/>
        </w:rPr>
        <w:t>类别中</w:t>
      </w:r>
      <w:r>
        <w:rPr>
          <w:rFonts w:asciiTheme="minorHAnsi" w:hAnsi="Calibri" w:hint="eastAsia"/>
          <w:caps/>
          <w:color w:val="000000" w:themeColor="text1"/>
        </w:rPr>
        <w:t>“</w:t>
      </w:r>
      <w:r w:rsidRPr="00131D53">
        <w:rPr>
          <w:rFonts w:asciiTheme="minorHAnsi" w:hAnsi="Calibri" w:hint="eastAsia"/>
          <w:caps/>
          <w:color w:val="000000" w:themeColor="text1"/>
        </w:rPr>
        <w:t>全部（含研发中试；不含单纯物理分离、物理提纯、混合、分装的）</w:t>
      </w:r>
      <w:r>
        <w:rPr>
          <w:rFonts w:asciiTheme="minorHAnsi" w:hAnsi="Calibri" w:hint="eastAsia"/>
          <w:caps/>
          <w:color w:val="000000" w:themeColor="text1"/>
        </w:rPr>
        <w:t>”编制</w:t>
      </w:r>
      <w:r>
        <w:rPr>
          <w:rFonts w:asciiTheme="minorHAnsi" w:hAnsi="Calibri"/>
          <w:caps/>
          <w:color w:val="000000" w:themeColor="text1"/>
        </w:rPr>
        <w:t>报告书；</w:t>
      </w:r>
      <w:r>
        <w:rPr>
          <w:rFonts w:asciiTheme="minorHAnsi" w:hAnsi="Calibri" w:hint="eastAsia"/>
          <w:caps/>
          <w:color w:val="000000" w:themeColor="text1"/>
        </w:rPr>
        <w:t>“</w:t>
      </w:r>
      <w:r w:rsidRPr="00131D53">
        <w:rPr>
          <w:rFonts w:asciiTheme="minorHAnsi" w:hAnsi="Calibri" w:hint="eastAsia"/>
          <w:caps/>
          <w:color w:val="000000" w:themeColor="text1"/>
        </w:rPr>
        <w:t>单纯物理分离、物理提纯、混合、分装的（不产生废水或挥发性有机物的除外）</w:t>
      </w:r>
      <w:r>
        <w:rPr>
          <w:rFonts w:asciiTheme="minorHAnsi" w:hAnsi="Calibri" w:hint="eastAsia"/>
          <w:caps/>
          <w:color w:val="000000" w:themeColor="text1"/>
        </w:rPr>
        <w:t>”编制</w:t>
      </w:r>
      <w:r>
        <w:rPr>
          <w:rFonts w:asciiTheme="minorHAnsi" w:hAnsi="Calibri"/>
          <w:caps/>
          <w:color w:val="000000" w:themeColor="text1"/>
        </w:rPr>
        <w:t>报告表。</w:t>
      </w:r>
      <w:r>
        <w:rPr>
          <w:rFonts w:asciiTheme="minorHAnsi" w:hAnsi="Calibri" w:hint="eastAsia"/>
          <w:caps/>
          <w:color w:val="000000" w:themeColor="text1"/>
        </w:rPr>
        <w:t>本项目</w:t>
      </w:r>
      <w:r>
        <w:rPr>
          <w:rFonts w:asciiTheme="minorHAnsi" w:hAnsi="Calibri"/>
          <w:caps/>
          <w:color w:val="000000" w:themeColor="text1"/>
        </w:rPr>
        <w:t>生产过程中涉及化学反应，属于报告书编制范畴，应编制环境影响报告书。</w:t>
      </w:r>
    </w:p>
    <w:p w14:paraId="20D0A6B5" w14:textId="77777777" w:rsidR="008F4839" w:rsidRPr="00A964FF" w:rsidRDefault="008F4839" w:rsidP="00FA18E8">
      <w:pPr>
        <w:pStyle w:val="00"/>
        <w:rPr>
          <w:rFonts w:ascii="Calibri" w:hAnsi="Calibri"/>
          <w:color w:val="auto"/>
        </w:rPr>
      </w:pPr>
      <w:bookmarkStart w:id="6" w:name="_Toc18360"/>
      <w:r w:rsidRPr="00A964FF">
        <w:rPr>
          <w:rFonts w:ascii="Calibri" w:hAnsi="Calibri" w:hint="eastAsia"/>
          <w:color w:val="auto"/>
        </w:rPr>
        <w:t>受</w:t>
      </w:r>
      <w:r w:rsidR="00131D53" w:rsidRPr="0088215F">
        <w:rPr>
          <w:rFonts w:ascii="Calibri" w:hAnsi="Calibri" w:hint="eastAsia"/>
          <w:caps/>
        </w:rPr>
        <w:t>平顶山倍安德塑化有限公司</w:t>
      </w:r>
      <w:r w:rsidRPr="00A964FF">
        <w:rPr>
          <w:rFonts w:ascii="Calibri" w:hAnsi="Calibri" w:hint="eastAsia"/>
          <w:color w:val="auto"/>
        </w:rPr>
        <w:t>委托，</w:t>
      </w:r>
      <w:r w:rsidR="00FA18E8" w:rsidRPr="00FA18E8">
        <w:rPr>
          <w:rFonts w:ascii="Calibri" w:hAnsi="Calibri" w:hint="eastAsia"/>
          <w:color w:val="auto"/>
        </w:rPr>
        <w:t>河南启新环保科技有限公司</w:t>
      </w:r>
      <w:r w:rsidRPr="00A964FF">
        <w:rPr>
          <w:rFonts w:ascii="Calibri" w:hAnsi="Calibri" w:hint="eastAsia"/>
          <w:color w:val="auto"/>
        </w:rPr>
        <w:t>承担了本项目的环境影响评价工作。我单位接受委托后，立即对该项目进行实地踏勘，对建设地点</w:t>
      </w:r>
      <w:r w:rsidRPr="00A964FF">
        <w:rPr>
          <w:rFonts w:ascii="Calibri" w:hAnsi="Calibri" w:hint="eastAsia"/>
          <w:color w:val="auto"/>
        </w:rPr>
        <w:lastRenderedPageBreak/>
        <w:t>周围环境进行了调查分析，在充分收集和分析相关资料的基础上，根据本项目的特点及其所在地区的环境特征，分析项目建设存在的主要环境问题，筛选确定评价因子和主要评价内容，制定评价工作实施方案，依据环评导则和有关技术规范，编制完成了《</w:t>
      </w:r>
      <w:r w:rsidR="00131D53" w:rsidRPr="0088215F">
        <w:rPr>
          <w:rFonts w:ascii="Calibri" w:hAnsi="Calibri" w:hint="eastAsia"/>
          <w:caps/>
        </w:rPr>
        <w:t>平顶山倍安德塑化有限公司年产</w:t>
      </w:r>
      <w:r w:rsidR="00131D53" w:rsidRPr="0088215F">
        <w:rPr>
          <w:rFonts w:ascii="Calibri" w:hAnsi="Calibri" w:hint="eastAsia"/>
          <w:caps/>
        </w:rPr>
        <w:t>5000</w:t>
      </w:r>
      <w:r w:rsidR="00131D53" w:rsidRPr="0088215F">
        <w:rPr>
          <w:rFonts w:ascii="Calibri" w:hAnsi="Calibri" w:hint="eastAsia"/>
          <w:caps/>
        </w:rPr>
        <w:t>吨透明尼龙合成制造项目</w:t>
      </w:r>
      <w:r w:rsidR="00FA18E8">
        <w:rPr>
          <w:rFonts w:ascii="Calibri" w:hAnsi="Calibri" w:hint="eastAsia"/>
          <w:color w:val="auto"/>
        </w:rPr>
        <w:t>环境影响报告书</w:t>
      </w:r>
      <w:r w:rsidRPr="00A964FF">
        <w:rPr>
          <w:rFonts w:ascii="Calibri" w:hAnsi="Calibri" w:hint="eastAsia"/>
          <w:color w:val="auto"/>
        </w:rPr>
        <w:t>》。</w:t>
      </w:r>
    </w:p>
    <w:p w14:paraId="7F9827AC" w14:textId="77777777" w:rsidR="008F4839" w:rsidRPr="00A964FF" w:rsidRDefault="008F4839" w:rsidP="003F0808">
      <w:pPr>
        <w:pStyle w:val="2f0"/>
        <w:rPr>
          <w:color w:val="auto"/>
        </w:rPr>
      </w:pPr>
      <w:bookmarkStart w:id="7" w:name="_Toc112999889"/>
      <w:r w:rsidRPr="00ED72C1">
        <w:rPr>
          <w:color w:val="auto"/>
        </w:rPr>
        <w:t>2</w:t>
      </w:r>
      <w:r w:rsidRPr="00ED72C1">
        <w:rPr>
          <w:color w:val="auto"/>
        </w:rPr>
        <w:t>、建设项目的特点</w:t>
      </w:r>
      <w:bookmarkEnd w:id="6"/>
      <w:bookmarkEnd w:id="7"/>
    </w:p>
    <w:p w14:paraId="0B36DAFD" w14:textId="15B5558A" w:rsidR="005A572A" w:rsidRDefault="00FB78E6" w:rsidP="000A0585">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w:t>
      </w:r>
      <w:r w:rsidR="005A572A">
        <w:rPr>
          <w:rFonts w:ascii="Calibri" w:hAnsi="Calibri" w:hint="eastAsia"/>
          <w:color w:val="auto"/>
        </w:rPr>
        <w:t>本项目</w:t>
      </w:r>
      <w:r w:rsidR="005A572A">
        <w:rPr>
          <w:rFonts w:ascii="Calibri" w:hAnsi="Calibri"/>
          <w:color w:val="auto"/>
        </w:rPr>
        <w:t>属于新建，</w:t>
      </w:r>
      <w:r w:rsidR="005A572A">
        <w:rPr>
          <w:rFonts w:ascii="Calibri" w:hAnsi="Calibri" w:hint="eastAsia"/>
          <w:color w:val="auto"/>
        </w:rPr>
        <w:t>项目</w:t>
      </w:r>
      <w:r w:rsidR="005A572A">
        <w:rPr>
          <w:rFonts w:ascii="Calibri" w:hAnsi="Calibri"/>
          <w:color w:val="auto"/>
        </w:rPr>
        <w:t>厂址位于</w:t>
      </w:r>
      <w:r w:rsidR="0089454A" w:rsidRPr="0089454A">
        <w:rPr>
          <w:rFonts w:ascii="Calibri" w:hAnsi="Calibri" w:hint="eastAsia"/>
          <w:color w:val="auto"/>
        </w:rPr>
        <w:t>平顶山尼龙新材料产业集聚区</w:t>
      </w:r>
      <w:r w:rsidR="0089454A">
        <w:rPr>
          <w:rFonts w:ascii="Calibri" w:hAnsi="Calibri" w:hint="eastAsia"/>
          <w:color w:val="auto"/>
        </w:rPr>
        <w:t>化工三路</w:t>
      </w:r>
      <w:r w:rsidR="0089454A">
        <w:rPr>
          <w:rFonts w:ascii="Calibri" w:hAnsi="Calibri"/>
          <w:color w:val="auto"/>
        </w:rPr>
        <w:t>西侧，</w:t>
      </w:r>
      <w:r w:rsidR="0089454A">
        <w:rPr>
          <w:rFonts w:ascii="Calibri" w:hAnsi="Calibri" w:hint="eastAsia"/>
          <w:color w:val="auto"/>
        </w:rPr>
        <w:t>厂区总</w:t>
      </w:r>
      <w:r w:rsidR="0089454A">
        <w:rPr>
          <w:rFonts w:ascii="Calibri" w:hAnsi="Calibri"/>
          <w:color w:val="auto"/>
        </w:rPr>
        <w:t>占地面积</w:t>
      </w:r>
      <w:r w:rsidR="0089454A">
        <w:rPr>
          <w:rFonts w:ascii="Calibri" w:hAnsi="Calibri" w:hint="eastAsia"/>
          <w:color w:val="auto"/>
        </w:rPr>
        <w:t>78033.8</w:t>
      </w:r>
      <w:r w:rsidR="0089454A">
        <w:rPr>
          <w:rFonts w:ascii="Calibri" w:hAnsi="Calibri"/>
          <w:color w:val="auto"/>
        </w:rPr>
        <w:t>m</w:t>
      </w:r>
      <w:r w:rsidR="0089454A" w:rsidRPr="0089454A">
        <w:rPr>
          <w:rFonts w:ascii="Calibri" w:hAnsi="Calibri"/>
          <w:color w:val="auto"/>
          <w:vertAlign w:val="superscript"/>
        </w:rPr>
        <w:t>2</w:t>
      </w:r>
      <w:r w:rsidR="0089454A">
        <w:rPr>
          <w:rFonts w:ascii="Calibri" w:hAnsi="Calibri" w:hint="eastAsia"/>
          <w:color w:val="auto"/>
        </w:rPr>
        <w:t>，本次</w:t>
      </w:r>
      <w:r w:rsidR="0089454A">
        <w:rPr>
          <w:rFonts w:ascii="Calibri" w:hAnsi="Calibri"/>
          <w:color w:val="auto"/>
        </w:rPr>
        <w:t>仅针对一期、二期进行评价，</w:t>
      </w:r>
      <w:r w:rsidR="000A0585">
        <w:rPr>
          <w:rFonts w:ascii="Calibri" w:hAnsi="Calibri" w:hint="eastAsia"/>
          <w:color w:val="auto"/>
        </w:rPr>
        <w:t>预留</w:t>
      </w:r>
      <w:r w:rsidR="000A0585">
        <w:rPr>
          <w:rFonts w:ascii="Calibri" w:hAnsi="Calibri"/>
          <w:color w:val="auto"/>
        </w:rPr>
        <w:t>三期工程占地</w:t>
      </w:r>
      <w:r w:rsidR="0003785A">
        <w:rPr>
          <w:rFonts w:hint="eastAsia"/>
        </w:rPr>
        <w:t>，根据市场情况择时进行建设，另行评价。</w:t>
      </w:r>
      <w:r w:rsidR="0089454A" w:rsidRPr="0089454A">
        <w:rPr>
          <w:rFonts w:ascii="Calibri" w:hAnsi="Calibri" w:hint="eastAsia"/>
          <w:color w:val="auto"/>
        </w:rPr>
        <w:t>根据比对平顶山尼龙新材料产业集聚区土地利用总体规划，项目用地性质为工业用地，项目建设符合规划要求。</w:t>
      </w:r>
    </w:p>
    <w:p w14:paraId="527BC5CB" w14:textId="77777777" w:rsidR="00ED72C1" w:rsidRPr="00ED72C1" w:rsidRDefault="008F4839" w:rsidP="00ED72C1">
      <w:pPr>
        <w:spacing w:line="520" w:lineRule="exact"/>
        <w:ind w:firstLine="480"/>
        <w:rPr>
          <w:spacing w:val="8"/>
          <w:sz w:val="24"/>
        </w:rPr>
      </w:pPr>
      <w:r w:rsidRPr="00ED72C1">
        <w:rPr>
          <w:rFonts w:ascii="Calibri" w:hAnsi="Calibri"/>
          <w:color w:val="auto"/>
          <w:sz w:val="24"/>
        </w:rPr>
        <w:t>（</w:t>
      </w:r>
      <w:r w:rsidR="00FB78E6" w:rsidRPr="00ED72C1">
        <w:rPr>
          <w:rFonts w:ascii="Calibri" w:hAnsi="Calibri" w:hint="eastAsia"/>
          <w:color w:val="auto"/>
          <w:sz w:val="24"/>
        </w:rPr>
        <w:t>2</w:t>
      </w:r>
      <w:r w:rsidRPr="00ED72C1">
        <w:rPr>
          <w:rFonts w:ascii="Calibri" w:hAnsi="Calibri"/>
          <w:color w:val="auto"/>
          <w:sz w:val="24"/>
        </w:rPr>
        <w:t>）</w:t>
      </w:r>
      <w:r w:rsidR="00ED72C1" w:rsidRPr="00ED72C1">
        <w:rPr>
          <w:rFonts w:ascii="Calibri" w:hAnsi="宋体" w:hint="eastAsia"/>
          <w:color w:val="auto"/>
          <w:sz w:val="24"/>
        </w:rPr>
        <w:t>本项目建成</w:t>
      </w:r>
      <w:r w:rsidR="00ED72C1" w:rsidRPr="00ED72C1">
        <w:rPr>
          <w:rFonts w:ascii="Calibri" w:hAnsi="Calibri" w:hint="eastAsia"/>
          <w:color w:val="auto"/>
          <w:sz w:val="24"/>
        </w:rPr>
        <w:t>后一期</w:t>
      </w:r>
      <w:r w:rsidR="00ED72C1" w:rsidRPr="00ED72C1">
        <w:rPr>
          <w:rFonts w:ascii="Calibri" w:hAnsi="Calibri"/>
          <w:color w:val="auto"/>
          <w:sz w:val="24"/>
        </w:rPr>
        <w:t>年产</w:t>
      </w:r>
      <w:r w:rsidR="00ED72C1" w:rsidRPr="00ED72C1">
        <w:rPr>
          <w:rFonts w:ascii="Calibri" w:hAnsi="Calibri" w:hint="eastAsia"/>
          <w:color w:val="auto"/>
          <w:sz w:val="24"/>
        </w:rPr>
        <w:t>透明尼龙</w:t>
      </w:r>
      <w:r w:rsidR="00ED72C1" w:rsidRPr="00ED72C1">
        <w:rPr>
          <w:rFonts w:ascii="Calibri" w:hAnsi="Calibri" w:hint="eastAsia"/>
          <w:color w:val="auto"/>
          <w:sz w:val="24"/>
        </w:rPr>
        <w:t>25</w:t>
      </w:r>
      <w:r w:rsidR="00ED72C1" w:rsidRPr="00ED72C1">
        <w:rPr>
          <w:rFonts w:ascii="Calibri" w:hAnsi="Calibri"/>
          <w:color w:val="auto"/>
          <w:sz w:val="24"/>
        </w:rPr>
        <w:t>00</w:t>
      </w:r>
      <w:r w:rsidR="00ED72C1" w:rsidRPr="00ED72C1">
        <w:rPr>
          <w:rFonts w:ascii="Calibri" w:hAnsi="Calibri" w:hint="eastAsia"/>
          <w:color w:val="auto"/>
          <w:sz w:val="24"/>
        </w:rPr>
        <w:t>吨；二期</w:t>
      </w:r>
      <w:r w:rsidR="00ED72C1" w:rsidRPr="00ED72C1">
        <w:rPr>
          <w:rFonts w:ascii="Calibri" w:hAnsi="Calibri"/>
          <w:color w:val="auto"/>
          <w:sz w:val="24"/>
        </w:rPr>
        <w:t>年</w:t>
      </w:r>
      <w:r w:rsidR="00ED72C1" w:rsidRPr="00ED72C1">
        <w:rPr>
          <w:rFonts w:ascii="Calibri" w:hAnsi="Calibri" w:hint="eastAsia"/>
          <w:color w:val="auto"/>
          <w:sz w:val="24"/>
        </w:rPr>
        <w:t>产透明尼龙</w:t>
      </w:r>
      <w:r w:rsidR="00ED72C1" w:rsidRPr="00ED72C1">
        <w:rPr>
          <w:rFonts w:ascii="Calibri" w:hAnsi="Calibri"/>
          <w:color w:val="auto"/>
          <w:sz w:val="24"/>
        </w:rPr>
        <w:t>1</w:t>
      </w:r>
      <w:r w:rsidR="00ED72C1" w:rsidRPr="00ED72C1">
        <w:rPr>
          <w:rFonts w:ascii="Calibri" w:hAnsi="Calibri" w:hint="eastAsia"/>
          <w:color w:val="auto"/>
          <w:sz w:val="24"/>
        </w:rPr>
        <w:t>500</w:t>
      </w:r>
      <w:r w:rsidR="00ED72C1" w:rsidRPr="00ED72C1">
        <w:rPr>
          <w:rFonts w:ascii="Calibri" w:hAnsi="Calibri" w:hint="eastAsia"/>
          <w:color w:val="auto"/>
          <w:sz w:val="24"/>
        </w:rPr>
        <w:t>吨。</w:t>
      </w:r>
      <w:r w:rsidR="00ED72C1" w:rsidRPr="00ED72C1">
        <w:rPr>
          <w:rFonts w:hint="eastAsia"/>
          <w:spacing w:val="8"/>
          <w:sz w:val="24"/>
        </w:rPr>
        <w:t>生产工艺为配料</w:t>
      </w:r>
      <w:r w:rsidR="00ED72C1" w:rsidRPr="00ED72C1">
        <w:rPr>
          <w:rFonts w:hint="eastAsia"/>
          <w:sz w:val="24"/>
        </w:rPr>
        <w:t>→聚合→冷却→切粒→干</w:t>
      </w:r>
      <w:r w:rsidR="00ED72C1" w:rsidRPr="00ED72C1">
        <w:rPr>
          <w:sz w:val="24"/>
        </w:rPr>
        <w:t>燥</w:t>
      </w:r>
      <w:r w:rsidR="00ED72C1" w:rsidRPr="00ED72C1">
        <w:rPr>
          <w:rFonts w:hint="eastAsia"/>
          <w:sz w:val="24"/>
        </w:rPr>
        <w:t>→包装</w:t>
      </w:r>
      <w:r w:rsidR="00ED72C1" w:rsidRPr="00ED72C1">
        <w:rPr>
          <w:rFonts w:hint="eastAsia"/>
          <w:spacing w:val="8"/>
          <w:sz w:val="24"/>
        </w:rPr>
        <w:t>。项目所用工艺及装备达到国内清洁生产先进水平。</w:t>
      </w:r>
    </w:p>
    <w:p w14:paraId="715FEB30" w14:textId="3CDDECD9" w:rsidR="0089454A" w:rsidRPr="00ED72C1" w:rsidRDefault="00ED72C1" w:rsidP="00ED72C1">
      <w:pPr>
        <w:spacing w:line="520" w:lineRule="exact"/>
        <w:ind w:firstLine="480"/>
        <w:rPr>
          <w:spacing w:val="8"/>
          <w:sz w:val="24"/>
        </w:rPr>
      </w:pPr>
      <w:r>
        <w:rPr>
          <w:rFonts w:ascii="Calibri" w:hAnsi="Calibri" w:hint="eastAsia"/>
          <w:color w:val="auto"/>
          <w:sz w:val="24"/>
        </w:rPr>
        <w:t>（</w:t>
      </w:r>
      <w:r>
        <w:rPr>
          <w:rFonts w:ascii="Calibri" w:hAnsi="Calibri" w:hint="eastAsia"/>
          <w:color w:val="auto"/>
          <w:sz w:val="24"/>
        </w:rPr>
        <w:t>3</w:t>
      </w:r>
      <w:r>
        <w:rPr>
          <w:rFonts w:ascii="Calibri" w:hAnsi="Calibri" w:hint="eastAsia"/>
          <w:color w:val="auto"/>
          <w:sz w:val="24"/>
        </w:rPr>
        <w:t>）</w:t>
      </w:r>
      <w:r w:rsidRPr="006F5544">
        <w:rPr>
          <w:rFonts w:hint="eastAsia"/>
          <w:spacing w:val="8"/>
          <w:sz w:val="24"/>
        </w:rPr>
        <w:t>项目供水</w:t>
      </w:r>
      <w:r>
        <w:rPr>
          <w:rFonts w:hint="eastAsia"/>
          <w:spacing w:val="8"/>
          <w:sz w:val="24"/>
        </w:rPr>
        <w:t>由集聚区供水管网提供，</w:t>
      </w:r>
      <w:r w:rsidRPr="006F5544">
        <w:rPr>
          <w:rFonts w:hint="eastAsia"/>
          <w:spacing w:val="8"/>
          <w:sz w:val="24"/>
        </w:rPr>
        <w:t>供电</w:t>
      </w:r>
      <w:r>
        <w:rPr>
          <w:rFonts w:hint="eastAsia"/>
          <w:spacing w:val="8"/>
          <w:sz w:val="24"/>
        </w:rPr>
        <w:t>由集聚区供电系统提供</w:t>
      </w:r>
      <w:r w:rsidRPr="006F5544">
        <w:rPr>
          <w:rFonts w:hint="eastAsia"/>
          <w:spacing w:val="8"/>
          <w:sz w:val="24"/>
        </w:rPr>
        <w:t>。</w:t>
      </w:r>
      <w:r w:rsidR="00E01926">
        <w:rPr>
          <w:rFonts w:hint="eastAsia"/>
          <w:spacing w:val="8"/>
          <w:sz w:val="24"/>
        </w:rPr>
        <w:t>生产生活废水经厂区自建污水处理系统处理达标后排入平顶山</w:t>
      </w:r>
      <w:r>
        <w:rPr>
          <w:rFonts w:hint="eastAsia"/>
          <w:spacing w:val="8"/>
          <w:sz w:val="24"/>
        </w:rPr>
        <w:t>第三污水处理厂。</w:t>
      </w:r>
    </w:p>
    <w:p w14:paraId="07CE869A" w14:textId="77777777" w:rsidR="00ED72C1" w:rsidRPr="00B3084E" w:rsidRDefault="00614BC7" w:rsidP="0003785A">
      <w:pPr>
        <w:spacing w:line="520" w:lineRule="exact"/>
        <w:ind w:firstLineChars="200" w:firstLine="480"/>
        <w:rPr>
          <w:spacing w:val="8"/>
          <w:sz w:val="24"/>
        </w:rPr>
      </w:pPr>
      <w:r w:rsidRPr="00ED72C1">
        <w:rPr>
          <w:rFonts w:ascii="Calibri" w:hAnsi="Calibri" w:hint="eastAsia"/>
          <w:color w:val="auto"/>
          <w:sz w:val="24"/>
        </w:rPr>
        <w:t>（</w:t>
      </w:r>
      <w:r w:rsidR="00ED6632" w:rsidRPr="00ED72C1">
        <w:rPr>
          <w:rFonts w:ascii="Calibri" w:hAnsi="Calibri" w:hint="eastAsia"/>
          <w:color w:val="auto"/>
          <w:sz w:val="24"/>
        </w:rPr>
        <w:t>4</w:t>
      </w:r>
      <w:r w:rsidR="00137A37" w:rsidRPr="00ED72C1">
        <w:rPr>
          <w:rFonts w:ascii="Calibri" w:hAnsi="Calibri" w:hint="eastAsia"/>
          <w:color w:val="auto"/>
          <w:sz w:val="24"/>
        </w:rPr>
        <w:t>）</w:t>
      </w:r>
      <w:r w:rsidR="00531E68" w:rsidRPr="00ED72C1">
        <w:rPr>
          <w:rFonts w:hint="eastAsia"/>
          <w:spacing w:val="8"/>
          <w:sz w:val="24"/>
        </w:rPr>
        <w:t>项目运营过程中的能源消耗种类为电力、</w:t>
      </w:r>
      <w:r w:rsidR="00ED72C1" w:rsidRPr="00ED72C1">
        <w:rPr>
          <w:rFonts w:hint="eastAsia"/>
          <w:spacing w:val="8"/>
          <w:sz w:val="24"/>
        </w:rPr>
        <w:t>天然气</w:t>
      </w:r>
      <w:r w:rsidR="00531E68" w:rsidRPr="00ED72C1">
        <w:rPr>
          <w:rFonts w:hint="eastAsia"/>
          <w:spacing w:val="8"/>
          <w:sz w:val="24"/>
        </w:rPr>
        <w:t>，耗能工质为水，电力主要用于动力设备，</w:t>
      </w:r>
      <w:r w:rsidR="00ED72C1" w:rsidRPr="00ED72C1">
        <w:rPr>
          <w:rFonts w:hint="eastAsia"/>
          <w:spacing w:val="8"/>
          <w:sz w:val="24"/>
        </w:rPr>
        <w:t>天然气</w:t>
      </w:r>
      <w:r w:rsidR="00531E68" w:rsidRPr="00ED72C1">
        <w:rPr>
          <w:rFonts w:hint="eastAsia"/>
          <w:spacing w:val="8"/>
          <w:sz w:val="24"/>
        </w:rPr>
        <w:t>主要用于生产设备加热。</w:t>
      </w:r>
      <w:r w:rsidR="0003785A">
        <w:rPr>
          <w:rFonts w:hint="eastAsia"/>
          <w:spacing w:val="8"/>
          <w:sz w:val="24"/>
        </w:rPr>
        <w:t>根据</w:t>
      </w:r>
      <w:r w:rsidR="0003785A" w:rsidRPr="0003785A">
        <w:rPr>
          <w:rFonts w:hint="eastAsia"/>
          <w:spacing w:val="8"/>
          <w:sz w:val="24"/>
        </w:rPr>
        <w:t>《平顶山倍安德塑化有限公司年产</w:t>
      </w:r>
      <w:r w:rsidR="0003785A" w:rsidRPr="0003785A">
        <w:rPr>
          <w:rFonts w:asciiTheme="minorHAnsi" w:hAnsiTheme="minorHAnsi"/>
          <w:spacing w:val="8"/>
          <w:sz w:val="24"/>
        </w:rPr>
        <w:t>5000</w:t>
      </w:r>
      <w:r w:rsidR="0003785A" w:rsidRPr="0003785A">
        <w:rPr>
          <w:rFonts w:asciiTheme="minorHAnsi" w:hAnsiTheme="minorHAnsi"/>
          <w:spacing w:val="8"/>
          <w:sz w:val="24"/>
        </w:rPr>
        <w:t>吨透明</w:t>
      </w:r>
      <w:r w:rsidR="0003785A" w:rsidRPr="0003785A">
        <w:rPr>
          <w:rFonts w:hint="eastAsia"/>
          <w:spacing w:val="8"/>
          <w:sz w:val="24"/>
        </w:rPr>
        <w:t>尼龙合成制造项目</w:t>
      </w:r>
      <w:r w:rsidR="0003785A">
        <w:rPr>
          <w:rFonts w:hint="eastAsia"/>
          <w:spacing w:val="8"/>
          <w:sz w:val="24"/>
        </w:rPr>
        <w:t>节能报告》可知</w:t>
      </w:r>
      <w:r w:rsidR="0003785A">
        <w:rPr>
          <w:spacing w:val="8"/>
          <w:sz w:val="24"/>
        </w:rPr>
        <w:t>，</w:t>
      </w:r>
      <w:r w:rsidR="0003785A">
        <w:rPr>
          <w:rFonts w:hint="eastAsia"/>
          <w:spacing w:val="8"/>
          <w:sz w:val="24"/>
        </w:rPr>
        <w:t>本</w:t>
      </w:r>
      <w:r w:rsidR="00ED72C1" w:rsidRPr="00B3084E">
        <w:rPr>
          <w:spacing w:val="8"/>
          <w:sz w:val="24"/>
        </w:rPr>
        <w:t>项目年综合能源消费量当量值为</w:t>
      </w:r>
      <w:r w:rsidR="008448B0">
        <w:rPr>
          <w:rFonts w:asciiTheme="minorHAnsi" w:hAnsiTheme="minorHAnsi"/>
          <w:spacing w:val="8"/>
          <w:sz w:val="24"/>
        </w:rPr>
        <w:t>3457.81</w:t>
      </w:r>
      <w:r w:rsidR="00ED72C1" w:rsidRPr="00B3084E">
        <w:rPr>
          <w:rFonts w:asciiTheme="minorHAnsi" w:hAnsiTheme="minorHAnsi"/>
          <w:spacing w:val="8"/>
          <w:sz w:val="24"/>
        </w:rPr>
        <w:t>吨标煤</w:t>
      </w:r>
      <w:r w:rsidR="00ED72C1" w:rsidRPr="00B3084E">
        <w:rPr>
          <w:spacing w:val="8"/>
          <w:sz w:val="24"/>
        </w:rPr>
        <w:t>，不属于河南省</w:t>
      </w:r>
      <w:r w:rsidR="00ED72C1" w:rsidRPr="00B3084E">
        <w:rPr>
          <w:rFonts w:hint="eastAsia"/>
          <w:spacing w:val="8"/>
          <w:sz w:val="24"/>
        </w:rPr>
        <w:t>“两高”</w:t>
      </w:r>
      <w:r w:rsidR="00ED72C1" w:rsidRPr="00B3084E">
        <w:rPr>
          <w:spacing w:val="8"/>
          <w:sz w:val="24"/>
        </w:rPr>
        <w:t>项目范畴。</w:t>
      </w:r>
    </w:p>
    <w:p w14:paraId="190E86A8" w14:textId="77777777" w:rsidR="008F4839" w:rsidRPr="00A964FF" w:rsidRDefault="008F4839" w:rsidP="003F0808">
      <w:pPr>
        <w:pStyle w:val="2f0"/>
        <w:rPr>
          <w:color w:val="auto"/>
        </w:rPr>
      </w:pPr>
      <w:bookmarkStart w:id="8" w:name="_Toc9344"/>
      <w:bookmarkStart w:id="9" w:name="_Toc525313830"/>
      <w:bookmarkStart w:id="10" w:name="_Toc112999890"/>
      <w:r w:rsidRPr="00A964FF">
        <w:rPr>
          <w:rFonts w:hint="eastAsia"/>
          <w:color w:val="auto"/>
        </w:rPr>
        <w:t>3</w:t>
      </w:r>
      <w:r w:rsidRPr="00A964FF">
        <w:rPr>
          <w:rFonts w:hint="eastAsia"/>
          <w:color w:val="auto"/>
        </w:rPr>
        <w:t>、分析判定相关情况</w:t>
      </w:r>
      <w:bookmarkEnd w:id="8"/>
      <w:bookmarkEnd w:id="9"/>
      <w:bookmarkEnd w:id="10"/>
    </w:p>
    <w:p w14:paraId="5D50A429" w14:textId="77777777" w:rsidR="0069581A" w:rsidRPr="0069581A" w:rsidRDefault="008F4839" w:rsidP="0069581A">
      <w:pPr>
        <w:pStyle w:val="00"/>
        <w:rPr>
          <w:rFonts w:ascii="Calibri" w:hAnsi="Calibri"/>
          <w:color w:val="auto"/>
        </w:rPr>
      </w:pPr>
      <w:r w:rsidRPr="00A964FF">
        <w:rPr>
          <w:rFonts w:ascii="Calibri" w:hAnsi="Calibri"/>
          <w:color w:val="auto"/>
        </w:rPr>
        <w:t>（</w:t>
      </w:r>
      <w:r w:rsidRPr="00A964FF">
        <w:rPr>
          <w:rFonts w:ascii="Calibri" w:hAnsi="Calibri"/>
          <w:color w:val="auto"/>
        </w:rPr>
        <w:t>1</w:t>
      </w:r>
      <w:r w:rsidRPr="00A964FF">
        <w:rPr>
          <w:rFonts w:ascii="Calibri" w:hAnsi="Calibri"/>
          <w:color w:val="auto"/>
        </w:rPr>
        <w:t>）本</w:t>
      </w:r>
      <w:r w:rsidR="00ED1159" w:rsidRPr="00A964FF">
        <w:rPr>
          <w:rFonts w:ascii="Calibri" w:hAnsi="Calibri" w:hint="eastAsia"/>
          <w:color w:val="auto"/>
        </w:rPr>
        <w:t>项目产品未列入《环境保护综合名录（</w:t>
      </w:r>
      <w:r w:rsidR="00ED1159" w:rsidRPr="00A964FF">
        <w:rPr>
          <w:rFonts w:ascii="Calibri" w:hAnsi="Calibri" w:hint="eastAsia"/>
          <w:color w:val="auto"/>
        </w:rPr>
        <w:t>2021</w:t>
      </w:r>
      <w:r w:rsidR="00ED1159" w:rsidRPr="00A964FF">
        <w:rPr>
          <w:rFonts w:ascii="Calibri" w:hAnsi="Calibri" w:hint="eastAsia"/>
          <w:color w:val="auto"/>
        </w:rPr>
        <w:t>年版）》中“高污染、高环境风险”产品名录</w:t>
      </w:r>
      <w:r w:rsidR="0069581A">
        <w:rPr>
          <w:rFonts w:ascii="Calibri" w:hAnsi="Calibri" w:hint="eastAsia"/>
          <w:color w:val="auto"/>
        </w:rPr>
        <w:t xml:space="preserve"> </w:t>
      </w:r>
      <w:r w:rsidR="0069581A">
        <w:rPr>
          <w:rFonts w:ascii="Calibri" w:hAnsi="Calibri" w:hint="eastAsia"/>
          <w:color w:val="auto"/>
        </w:rPr>
        <w:t>。</w:t>
      </w:r>
    </w:p>
    <w:p w14:paraId="79B69D85" w14:textId="0864EA22" w:rsidR="00ED1159" w:rsidRPr="00A964FF" w:rsidRDefault="00ED1159" w:rsidP="0069581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）本</w:t>
      </w:r>
      <w:r w:rsidRPr="00A964FF">
        <w:rPr>
          <w:rFonts w:ascii="Calibri" w:hAnsi="Calibri"/>
          <w:color w:val="auto"/>
        </w:rPr>
        <w:t>项目已通过平顶山尼龙新材料产业集聚区备案，项目代码为</w:t>
      </w:r>
      <w:r w:rsidR="00ED72C1">
        <w:rPr>
          <w:rFonts w:ascii="Calibri" w:hAnsi="Calibri" w:hint="eastAsia"/>
          <w:color w:val="auto"/>
        </w:rPr>
        <w:t>2112-410422-04-</w:t>
      </w:r>
      <w:r w:rsidR="00ED72C1">
        <w:rPr>
          <w:rFonts w:ascii="Calibri" w:hAnsi="Calibri"/>
          <w:color w:val="auto"/>
        </w:rPr>
        <w:t>01-510771</w:t>
      </w:r>
      <w:r w:rsidRPr="00A964FF">
        <w:rPr>
          <w:rFonts w:ascii="Calibri" w:hAnsi="Calibri" w:hint="eastAsia"/>
          <w:color w:val="auto"/>
        </w:rPr>
        <w:t>。根据项目备案证明，本项目</w:t>
      </w:r>
      <w:r w:rsidRPr="00A964FF">
        <w:rPr>
          <w:rFonts w:ascii="Calibri" w:hAnsi="Calibri"/>
          <w:color w:val="auto"/>
        </w:rPr>
        <w:t>属于</w:t>
      </w:r>
      <w:r w:rsidRPr="00A964FF">
        <w:rPr>
          <w:rFonts w:ascii="Calibri" w:hAnsi="Calibri" w:hint="eastAsia"/>
          <w:color w:val="auto"/>
        </w:rPr>
        <w:t>《产业结构调整指导目录（</w:t>
      </w:r>
      <w:r w:rsidRPr="00A964FF">
        <w:rPr>
          <w:rFonts w:ascii="Calibri" w:hAnsi="Calibri" w:hint="eastAsia"/>
          <w:color w:val="auto"/>
        </w:rPr>
        <w:t>2019</w:t>
      </w:r>
      <w:r w:rsidRPr="00A964FF">
        <w:rPr>
          <w:rFonts w:ascii="Calibri" w:hAnsi="Calibri" w:hint="eastAsia"/>
          <w:color w:val="auto"/>
        </w:rPr>
        <w:t>年本）》</w:t>
      </w:r>
      <w:r w:rsidR="0069581A">
        <w:rPr>
          <w:rFonts w:ascii="Calibri" w:hAnsi="Calibri" w:hint="eastAsia"/>
          <w:color w:val="auto"/>
        </w:rPr>
        <w:t>，</w:t>
      </w:r>
      <w:r w:rsidR="0069581A" w:rsidRPr="00A964FF">
        <w:rPr>
          <w:rFonts w:ascii="Calibri" w:hAnsi="Calibri"/>
          <w:color w:val="auto"/>
        </w:rPr>
        <w:t>本项目</w:t>
      </w:r>
      <w:r w:rsidR="0069581A">
        <w:rPr>
          <w:rFonts w:ascii="Calibri" w:hAnsi="Calibri" w:hint="eastAsia"/>
          <w:color w:val="auto"/>
        </w:rPr>
        <w:t>属于鼓励类项目</w:t>
      </w:r>
      <w:r w:rsidRPr="00A964FF">
        <w:rPr>
          <w:rFonts w:ascii="Calibri" w:hAnsi="Calibri"/>
          <w:color w:val="auto"/>
        </w:rPr>
        <w:t>，符合国家当前产业政策。</w:t>
      </w:r>
    </w:p>
    <w:p w14:paraId="6DC5F558" w14:textId="77777777" w:rsidR="00ED72C1" w:rsidRPr="00ED72C1" w:rsidRDefault="008F4839" w:rsidP="00ED72C1">
      <w:pPr>
        <w:spacing w:line="520" w:lineRule="exact"/>
        <w:ind w:firstLineChars="200" w:firstLine="480"/>
        <w:rPr>
          <w:rFonts w:ascii="Calibri" w:hAnsi="Calibri"/>
          <w:color w:val="auto"/>
          <w:sz w:val="24"/>
        </w:rPr>
      </w:pPr>
      <w:r w:rsidRPr="00ED72C1">
        <w:rPr>
          <w:rFonts w:ascii="Calibri" w:hAnsi="Calibri"/>
          <w:color w:val="auto"/>
          <w:sz w:val="24"/>
        </w:rPr>
        <w:t>（</w:t>
      </w:r>
      <w:r w:rsidR="00ED1159" w:rsidRPr="00ED72C1">
        <w:rPr>
          <w:rFonts w:ascii="Calibri" w:hAnsi="Calibri" w:hint="eastAsia"/>
          <w:color w:val="auto"/>
          <w:sz w:val="24"/>
        </w:rPr>
        <w:t>3</w:t>
      </w:r>
      <w:r w:rsidRPr="00ED72C1">
        <w:rPr>
          <w:rFonts w:ascii="Calibri" w:hAnsi="Calibri"/>
          <w:color w:val="auto"/>
          <w:sz w:val="24"/>
        </w:rPr>
        <w:t>）本项目选址位于</w:t>
      </w:r>
      <w:r w:rsidR="008C7A91" w:rsidRPr="00ED72C1">
        <w:rPr>
          <w:rFonts w:ascii="Calibri" w:hAnsi="Calibri" w:hint="eastAsia"/>
          <w:color w:val="auto"/>
          <w:sz w:val="24"/>
        </w:rPr>
        <w:t>平顶山尼龙新材料产业集聚区</w:t>
      </w:r>
      <w:r w:rsidRPr="00ED72C1">
        <w:rPr>
          <w:rFonts w:ascii="Calibri" w:hAnsi="Calibri"/>
          <w:color w:val="auto"/>
          <w:sz w:val="24"/>
        </w:rPr>
        <w:t>，</w:t>
      </w:r>
      <w:r w:rsidR="00ED72C1" w:rsidRPr="00ED72C1">
        <w:rPr>
          <w:rFonts w:ascii="Calibri" w:hAnsi="Calibri" w:hint="eastAsia"/>
          <w:color w:val="auto"/>
          <w:sz w:val="24"/>
        </w:rPr>
        <w:t>用地为规划中的工业用地，符合《叶县城乡总体规划》（</w:t>
      </w:r>
      <w:r w:rsidR="00ED72C1" w:rsidRPr="00ED72C1">
        <w:rPr>
          <w:rFonts w:ascii="Calibri" w:hAnsi="Calibri" w:hint="eastAsia"/>
          <w:color w:val="auto"/>
          <w:sz w:val="24"/>
        </w:rPr>
        <w:t>2017-2035</w:t>
      </w:r>
      <w:r w:rsidR="00ED72C1" w:rsidRPr="00ED72C1">
        <w:rPr>
          <w:rFonts w:ascii="Calibri" w:hAnsi="Calibri" w:hint="eastAsia"/>
          <w:color w:val="auto"/>
          <w:sz w:val="24"/>
        </w:rPr>
        <w:t>）要求；项目属集聚区主导产业，项目用地属</w:t>
      </w:r>
      <w:r w:rsidR="00ED72C1" w:rsidRPr="00ED72C1">
        <w:rPr>
          <w:rFonts w:ascii="Calibri" w:hAnsi="Calibri" w:hint="eastAsia"/>
          <w:color w:val="auto"/>
          <w:sz w:val="24"/>
        </w:rPr>
        <w:lastRenderedPageBreak/>
        <w:t>工业用地，项目建设符合《平顶山尼龙新材料产业集聚区总体发展规划》（</w:t>
      </w:r>
      <w:r w:rsidR="00ED72C1" w:rsidRPr="00ED72C1">
        <w:rPr>
          <w:rFonts w:ascii="Calibri" w:hAnsi="Calibri" w:hint="eastAsia"/>
          <w:color w:val="auto"/>
          <w:sz w:val="24"/>
        </w:rPr>
        <w:t>2021</w:t>
      </w:r>
      <w:r w:rsidR="003B2977" w:rsidRPr="00ED72C1">
        <w:rPr>
          <w:rFonts w:ascii="Calibri" w:hAnsi="Calibri"/>
          <w:color w:val="auto"/>
          <w:sz w:val="24"/>
        </w:rPr>
        <w:t>-</w:t>
      </w:r>
      <w:r w:rsidR="00ED72C1" w:rsidRPr="00ED72C1">
        <w:rPr>
          <w:rFonts w:ascii="Calibri" w:hAnsi="Calibri" w:hint="eastAsia"/>
          <w:color w:val="auto"/>
          <w:sz w:val="24"/>
        </w:rPr>
        <w:t>2030</w:t>
      </w:r>
      <w:r w:rsidR="00ED72C1" w:rsidRPr="00ED72C1">
        <w:rPr>
          <w:rFonts w:ascii="Calibri" w:hAnsi="Calibri" w:hint="eastAsia"/>
          <w:color w:val="auto"/>
          <w:sz w:val="24"/>
        </w:rPr>
        <w:t>）要求。本项目</w:t>
      </w:r>
      <w:r w:rsidR="00ED72C1" w:rsidRPr="00ED72C1">
        <w:rPr>
          <w:rFonts w:ascii="Calibri" w:hAnsi="Calibri"/>
          <w:color w:val="auto"/>
          <w:sz w:val="24"/>
        </w:rPr>
        <w:t>建设符合《平顶山尼龙新材料产业集聚区总体发展规划（</w:t>
      </w:r>
      <w:r w:rsidR="00ED72C1" w:rsidRPr="00ED72C1">
        <w:rPr>
          <w:rFonts w:ascii="Calibri" w:hAnsi="Calibri"/>
          <w:color w:val="auto"/>
          <w:sz w:val="24"/>
        </w:rPr>
        <w:t>2021-2030</w:t>
      </w:r>
      <w:r w:rsidR="00ED72C1" w:rsidRPr="00ED72C1">
        <w:rPr>
          <w:rFonts w:ascii="Calibri" w:hAnsi="Calibri"/>
          <w:color w:val="auto"/>
          <w:sz w:val="24"/>
        </w:rPr>
        <w:t>）环境影响报告书》中的生态环境准入和审查意见的要求。</w:t>
      </w:r>
    </w:p>
    <w:p w14:paraId="5E621EE3" w14:textId="77777777" w:rsidR="00ED72C1" w:rsidRPr="00ED72C1" w:rsidRDefault="00ED72C1" w:rsidP="00ED72C1">
      <w:pPr>
        <w:spacing w:line="520" w:lineRule="exact"/>
        <w:ind w:firstLineChars="200" w:firstLine="480"/>
        <w:rPr>
          <w:rFonts w:ascii="Calibri" w:hAnsi="Calibri"/>
          <w:color w:val="auto"/>
          <w:sz w:val="24"/>
        </w:rPr>
      </w:pPr>
      <w:r>
        <w:rPr>
          <w:rFonts w:ascii="Calibri" w:hAnsi="Calibri" w:hint="eastAsia"/>
          <w:color w:val="auto"/>
          <w:sz w:val="24"/>
        </w:rPr>
        <w:t>（</w:t>
      </w:r>
      <w:r>
        <w:rPr>
          <w:rFonts w:ascii="Calibri" w:hAnsi="Calibri" w:hint="eastAsia"/>
          <w:color w:val="auto"/>
          <w:sz w:val="24"/>
        </w:rPr>
        <w:t>4</w:t>
      </w:r>
      <w:r>
        <w:rPr>
          <w:rFonts w:ascii="Calibri" w:hAnsi="Calibri" w:hint="eastAsia"/>
          <w:color w:val="auto"/>
          <w:sz w:val="24"/>
        </w:rPr>
        <w:t>）</w:t>
      </w:r>
      <w:r w:rsidRPr="00ED72C1">
        <w:rPr>
          <w:rFonts w:ascii="Calibri" w:hAnsi="Calibri" w:hint="eastAsia"/>
          <w:color w:val="auto"/>
          <w:sz w:val="24"/>
        </w:rPr>
        <w:t>经比对《平顶山市“三线一单”生态环境分区管控准入清单》中平顶山尼龙新材料产业集聚区环境管控单元生态准入清单，项目符合准入清单要求。</w:t>
      </w:r>
    </w:p>
    <w:p w14:paraId="7547D649" w14:textId="77777777" w:rsidR="00ED72C1" w:rsidRPr="00ED72C1" w:rsidRDefault="00ED72C1" w:rsidP="00ED72C1">
      <w:pPr>
        <w:spacing w:line="520" w:lineRule="exact"/>
        <w:ind w:firstLineChars="200" w:firstLine="480"/>
        <w:rPr>
          <w:rFonts w:ascii="Calibri" w:hAnsi="Calibri"/>
          <w:color w:val="auto"/>
          <w:sz w:val="24"/>
        </w:rPr>
      </w:pPr>
      <w:r>
        <w:rPr>
          <w:rFonts w:ascii="Calibri" w:hAnsi="Calibri" w:hint="eastAsia"/>
          <w:color w:val="auto"/>
          <w:sz w:val="24"/>
        </w:rPr>
        <w:t>（</w:t>
      </w:r>
      <w:r>
        <w:rPr>
          <w:rFonts w:ascii="Calibri" w:hAnsi="Calibri" w:hint="eastAsia"/>
          <w:color w:val="auto"/>
          <w:sz w:val="24"/>
        </w:rPr>
        <w:t>5</w:t>
      </w:r>
      <w:r>
        <w:rPr>
          <w:rFonts w:ascii="Calibri" w:hAnsi="Calibri" w:hint="eastAsia"/>
          <w:color w:val="auto"/>
          <w:sz w:val="24"/>
        </w:rPr>
        <w:t>）</w:t>
      </w:r>
      <w:r w:rsidRPr="00ED72C1">
        <w:rPr>
          <w:rFonts w:ascii="Calibri" w:hAnsi="Calibri" w:hint="eastAsia"/>
          <w:color w:val="auto"/>
          <w:sz w:val="24"/>
        </w:rPr>
        <w:t>经比对，项目符合《平顶山市</w:t>
      </w:r>
      <w:r w:rsidRPr="00ED72C1">
        <w:rPr>
          <w:rFonts w:ascii="Calibri" w:hAnsi="Calibri" w:hint="eastAsia"/>
          <w:color w:val="auto"/>
          <w:sz w:val="24"/>
        </w:rPr>
        <w:t>2022</w:t>
      </w:r>
      <w:r w:rsidRPr="00ED72C1">
        <w:rPr>
          <w:rFonts w:ascii="Calibri" w:hAnsi="Calibri" w:hint="eastAsia"/>
          <w:color w:val="auto"/>
          <w:sz w:val="24"/>
        </w:rPr>
        <w:t>年大气、水、土壤污染防治攻坚实施方案》要求，符合《河南省“十四五”生态环境保护和生态经济发展</w:t>
      </w:r>
      <w:r w:rsidR="00FF629A">
        <w:rPr>
          <w:rFonts w:ascii="Calibri" w:hAnsi="Calibri" w:hint="eastAsia"/>
          <w:color w:val="auto"/>
          <w:sz w:val="24"/>
        </w:rPr>
        <w:t>规划》要求，同时符合相关《全面加强挥发性有机物污染治理的通知》</w:t>
      </w:r>
      <w:r w:rsidRPr="00ED72C1">
        <w:rPr>
          <w:rFonts w:ascii="Calibri" w:hAnsi="Calibri" w:hint="eastAsia"/>
          <w:color w:val="auto"/>
          <w:sz w:val="24"/>
        </w:rPr>
        <w:t>要求。</w:t>
      </w:r>
    </w:p>
    <w:p w14:paraId="5FF496F8" w14:textId="77777777" w:rsidR="00ED72C1" w:rsidRPr="00ED72C1" w:rsidRDefault="00ED72C1" w:rsidP="00ED72C1">
      <w:pPr>
        <w:spacing w:line="520" w:lineRule="exact"/>
        <w:ind w:firstLineChars="200" w:firstLine="480"/>
        <w:rPr>
          <w:rFonts w:ascii="Calibri" w:hAnsi="Calibri"/>
          <w:color w:val="auto"/>
          <w:sz w:val="24"/>
        </w:rPr>
      </w:pPr>
      <w:r w:rsidRPr="00ED72C1">
        <w:rPr>
          <w:rFonts w:ascii="Calibri" w:hAnsi="Calibri" w:hint="eastAsia"/>
          <w:color w:val="auto"/>
          <w:sz w:val="24"/>
        </w:rPr>
        <w:t>（</w:t>
      </w:r>
      <w:r w:rsidR="00725300">
        <w:rPr>
          <w:rFonts w:ascii="Calibri" w:hAnsi="Calibri"/>
          <w:color w:val="auto"/>
          <w:sz w:val="24"/>
        </w:rPr>
        <w:t>6</w:t>
      </w:r>
      <w:r w:rsidRPr="00ED72C1">
        <w:rPr>
          <w:rFonts w:ascii="Calibri" w:hAnsi="Calibri" w:hint="eastAsia"/>
          <w:color w:val="auto"/>
          <w:sz w:val="24"/>
        </w:rPr>
        <w:t>）保护区相符性</w:t>
      </w:r>
    </w:p>
    <w:p w14:paraId="45508A06" w14:textId="77777777" w:rsidR="00ED72C1" w:rsidRPr="00ED72C1" w:rsidRDefault="00ED72C1" w:rsidP="00ED72C1">
      <w:pPr>
        <w:spacing w:line="520" w:lineRule="exact"/>
        <w:ind w:firstLineChars="200" w:firstLine="480"/>
        <w:rPr>
          <w:rFonts w:ascii="Calibri" w:hAnsi="Calibri"/>
          <w:color w:val="auto"/>
          <w:sz w:val="24"/>
        </w:rPr>
      </w:pPr>
      <w:r w:rsidRPr="00ED72C1">
        <w:rPr>
          <w:rFonts w:ascii="Calibri" w:hAnsi="Calibri" w:hint="eastAsia"/>
          <w:color w:val="auto"/>
          <w:sz w:val="24"/>
        </w:rPr>
        <w:t>①项目区西南距南水北调总干渠最近距离为</w:t>
      </w:r>
      <w:r w:rsidRPr="00ED72C1">
        <w:rPr>
          <w:rFonts w:ascii="Calibri" w:hAnsi="Calibri" w:hint="eastAsia"/>
          <w:color w:val="auto"/>
          <w:sz w:val="24"/>
        </w:rPr>
        <w:t>29</w:t>
      </w:r>
      <w:r>
        <w:rPr>
          <w:rFonts w:ascii="Calibri" w:hAnsi="Calibri"/>
          <w:color w:val="auto"/>
          <w:sz w:val="24"/>
        </w:rPr>
        <w:t>.9</w:t>
      </w:r>
      <w:r w:rsidRPr="00ED72C1">
        <w:rPr>
          <w:rFonts w:ascii="Calibri" w:hAnsi="Calibri" w:hint="eastAsia"/>
          <w:color w:val="auto"/>
          <w:sz w:val="24"/>
        </w:rPr>
        <w:t>km</w:t>
      </w:r>
      <w:r w:rsidRPr="00ED72C1">
        <w:rPr>
          <w:rFonts w:ascii="Calibri" w:hAnsi="Calibri" w:hint="eastAsia"/>
          <w:color w:val="auto"/>
          <w:sz w:val="24"/>
        </w:rPr>
        <w:t>，不在南水北调中线一期工程总干渠两侧水源保护区内。</w:t>
      </w:r>
    </w:p>
    <w:p w14:paraId="3DCBF188" w14:textId="77777777" w:rsidR="00ED72C1" w:rsidRPr="00ED72C1" w:rsidRDefault="00ED72C1" w:rsidP="00ED72C1">
      <w:pPr>
        <w:spacing w:line="520" w:lineRule="exact"/>
        <w:ind w:firstLineChars="200" w:firstLine="480"/>
        <w:rPr>
          <w:rFonts w:ascii="Calibri" w:hAnsi="Calibri"/>
          <w:color w:val="auto"/>
          <w:sz w:val="24"/>
        </w:rPr>
      </w:pPr>
      <w:r w:rsidRPr="00ED72C1">
        <w:rPr>
          <w:rFonts w:ascii="Calibri" w:hAnsi="Calibri" w:hint="eastAsia"/>
          <w:color w:val="auto"/>
          <w:sz w:val="24"/>
        </w:rPr>
        <w:t>②本项目位于平顶山尼龙新材料产业集聚区内，距平顶山市饮用水源准保护区最近直线距离</w:t>
      </w:r>
      <w:r>
        <w:rPr>
          <w:rFonts w:ascii="Calibri" w:hAnsi="Calibri"/>
          <w:color w:val="auto"/>
          <w:sz w:val="24"/>
        </w:rPr>
        <w:t>18.8</w:t>
      </w:r>
      <w:r w:rsidRPr="00ED72C1">
        <w:rPr>
          <w:rFonts w:ascii="Calibri" w:hAnsi="Calibri" w:hint="eastAsia"/>
          <w:color w:val="auto"/>
          <w:sz w:val="24"/>
        </w:rPr>
        <w:t>km</w:t>
      </w:r>
      <w:r w:rsidRPr="00ED72C1">
        <w:rPr>
          <w:rFonts w:ascii="Calibri" w:hAnsi="Calibri" w:hint="eastAsia"/>
          <w:color w:val="auto"/>
          <w:sz w:val="24"/>
        </w:rPr>
        <w:t>，距叶县县城</w:t>
      </w:r>
      <w:r>
        <w:rPr>
          <w:rFonts w:ascii="Calibri" w:hAnsi="Calibri"/>
          <w:color w:val="auto"/>
          <w:sz w:val="24"/>
        </w:rPr>
        <w:t>8.</w:t>
      </w:r>
      <w:r w:rsidR="00A81919">
        <w:rPr>
          <w:rFonts w:ascii="Calibri" w:hAnsi="Calibri"/>
          <w:color w:val="auto"/>
          <w:sz w:val="24"/>
        </w:rPr>
        <w:t>46</w:t>
      </w:r>
      <w:r w:rsidRPr="00ED72C1">
        <w:rPr>
          <w:rFonts w:ascii="Calibri" w:hAnsi="Calibri" w:hint="eastAsia"/>
          <w:color w:val="auto"/>
          <w:sz w:val="24"/>
        </w:rPr>
        <w:t>km</w:t>
      </w:r>
      <w:r w:rsidRPr="00ED72C1">
        <w:rPr>
          <w:rFonts w:ascii="Calibri" w:hAnsi="Calibri" w:hint="eastAsia"/>
          <w:color w:val="auto"/>
          <w:sz w:val="24"/>
        </w:rPr>
        <w:t>，龚店镇未划定乡镇级饮用水源保护区，选址不在平顶山市、叶县县级及乡镇级集中式饮用水水源保护区范围内。</w:t>
      </w:r>
    </w:p>
    <w:p w14:paraId="53FDB0B8" w14:textId="77777777" w:rsidR="008F4839" w:rsidRPr="00A964FF" w:rsidRDefault="008F4839" w:rsidP="003F0808">
      <w:pPr>
        <w:pStyle w:val="2f0"/>
        <w:rPr>
          <w:color w:val="auto"/>
        </w:rPr>
      </w:pPr>
      <w:bookmarkStart w:id="11" w:name="_Toc446627684"/>
      <w:bookmarkStart w:id="12" w:name="_Toc4357"/>
      <w:bookmarkStart w:id="13" w:name="_Toc112999891"/>
      <w:r w:rsidRPr="00A964FF">
        <w:rPr>
          <w:rFonts w:hint="eastAsia"/>
          <w:color w:val="auto"/>
        </w:rPr>
        <w:t>4</w:t>
      </w:r>
      <w:r w:rsidRPr="00A964FF">
        <w:rPr>
          <w:color w:val="auto"/>
        </w:rPr>
        <w:t>、环境影响评价过程</w:t>
      </w:r>
      <w:bookmarkEnd w:id="11"/>
      <w:bookmarkEnd w:id="12"/>
      <w:bookmarkEnd w:id="13"/>
    </w:p>
    <w:p w14:paraId="4671532B" w14:textId="77777777" w:rsidR="008F4839" w:rsidRPr="00A964FF" w:rsidRDefault="008F4839" w:rsidP="008F4839">
      <w:pPr>
        <w:pStyle w:val="00"/>
        <w:rPr>
          <w:rFonts w:ascii="Calibri" w:hAnsi="Calibri"/>
          <w:color w:val="auto"/>
        </w:rPr>
      </w:pPr>
      <w:r w:rsidRPr="00A964FF">
        <w:rPr>
          <w:rFonts w:ascii="Calibri" w:hAnsi="Calibri"/>
          <w:color w:val="auto"/>
        </w:rPr>
        <w:t>本次环评根据环境影响评价技术导则的要求，环境现状评价主要采用资料收集、现场</w:t>
      </w:r>
      <w:r w:rsidRPr="00A964FF">
        <w:rPr>
          <w:rFonts w:ascii="Calibri" w:hAnsi="Calibri" w:hint="eastAsia"/>
          <w:color w:val="auto"/>
        </w:rPr>
        <w:t>监测</w:t>
      </w:r>
      <w:r w:rsidRPr="00A964FF">
        <w:rPr>
          <w:rFonts w:ascii="Calibri" w:hAnsi="Calibri"/>
          <w:color w:val="auto"/>
        </w:rPr>
        <w:t>等技术方法；环境影响预测和评价主要采用数据模型和类比调查等技术方法。根据《</w:t>
      </w:r>
      <w:r w:rsidRPr="00A964FF">
        <w:rPr>
          <w:rFonts w:ascii="Calibri" w:hAnsi="Calibri" w:hint="eastAsia"/>
          <w:color w:val="auto"/>
        </w:rPr>
        <w:t>建设项目</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color w:val="auto"/>
        </w:rPr>
        <w:t>总纲》（</w:t>
      </w:r>
      <w:r w:rsidRPr="00A964FF">
        <w:rPr>
          <w:rFonts w:ascii="Calibri" w:hAnsi="Calibri"/>
          <w:color w:val="auto"/>
        </w:rPr>
        <w:t>HJ2.1-201</w:t>
      </w:r>
      <w:r w:rsidRPr="00A964FF">
        <w:rPr>
          <w:rFonts w:ascii="Calibri" w:hAnsi="Calibri" w:hint="eastAsia"/>
          <w:color w:val="auto"/>
        </w:rPr>
        <w:t>6</w:t>
      </w:r>
      <w:r w:rsidRPr="00A964FF">
        <w:rPr>
          <w:rFonts w:ascii="Calibri" w:hAnsi="Calibri"/>
          <w:color w:val="auto"/>
        </w:rPr>
        <w:t>）等相关规定的要求，环境影响评价过程具体如下：</w:t>
      </w:r>
    </w:p>
    <w:p w14:paraId="049067AD" w14:textId="77777777" w:rsidR="008F4839" w:rsidRPr="00F01D05" w:rsidRDefault="008F4839" w:rsidP="00F01D05">
      <w:pPr>
        <w:pStyle w:val="00"/>
        <w:rPr>
          <w:rFonts w:ascii="Calibri" w:hAnsi="Calibri"/>
          <w:bCs/>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w:t>
      </w:r>
      <w:r w:rsidRPr="00A964FF">
        <w:rPr>
          <w:rFonts w:ascii="Calibri" w:hAnsi="Calibri"/>
          <w:color w:val="auto"/>
        </w:rPr>
        <w:t>20</w:t>
      </w:r>
      <w:r w:rsidRPr="00A964FF">
        <w:rPr>
          <w:rFonts w:ascii="Calibri" w:hAnsi="Calibri" w:hint="eastAsia"/>
          <w:color w:val="auto"/>
        </w:rPr>
        <w:t>2</w:t>
      </w:r>
      <w:r w:rsidR="00F01D05">
        <w:rPr>
          <w:rFonts w:ascii="Calibri" w:hAnsi="Calibri" w:hint="eastAsia"/>
          <w:color w:val="auto"/>
        </w:rPr>
        <w:t>2</w:t>
      </w:r>
      <w:r w:rsidRPr="00A964FF">
        <w:rPr>
          <w:rFonts w:ascii="Calibri" w:hAnsi="Calibri"/>
          <w:color w:val="auto"/>
        </w:rPr>
        <w:t>年</w:t>
      </w:r>
      <w:r w:rsidR="00ED72C1">
        <w:rPr>
          <w:rFonts w:ascii="Calibri" w:hAnsi="Calibri"/>
          <w:color w:val="auto"/>
        </w:rPr>
        <w:t>6</w:t>
      </w:r>
      <w:r w:rsidRPr="00A964FF">
        <w:rPr>
          <w:rFonts w:ascii="Calibri" w:hAnsi="Calibri"/>
          <w:color w:val="auto"/>
        </w:rPr>
        <w:t>月</w:t>
      </w:r>
      <w:r w:rsidR="00ED72C1">
        <w:rPr>
          <w:rFonts w:ascii="Calibri" w:hAnsi="Calibri"/>
          <w:color w:val="auto"/>
        </w:rPr>
        <w:t>20</w:t>
      </w:r>
      <w:r w:rsidRPr="00A964FF">
        <w:rPr>
          <w:rFonts w:ascii="Calibri" w:hAnsi="Calibri"/>
          <w:color w:val="auto"/>
        </w:rPr>
        <w:t>日</w:t>
      </w:r>
      <w:r w:rsidR="00F01D05" w:rsidRPr="00FA18E8">
        <w:rPr>
          <w:rFonts w:ascii="Calibri" w:hAnsi="Calibri" w:hint="eastAsia"/>
          <w:color w:val="auto"/>
        </w:rPr>
        <w:t>河南启新环保科技有限公司</w:t>
      </w:r>
      <w:r w:rsidRPr="00A964FF">
        <w:rPr>
          <w:rFonts w:ascii="Calibri" w:hAnsi="Calibri"/>
          <w:bCs/>
          <w:color w:val="auto"/>
        </w:rPr>
        <w:t>接受委托承担</w:t>
      </w:r>
      <w:r w:rsidRPr="00A964FF">
        <w:rPr>
          <w:rFonts w:ascii="Calibri" w:hAnsi="Calibri" w:hint="eastAsia"/>
          <w:bCs/>
          <w:color w:val="auto"/>
        </w:rPr>
        <w:t>“</w:t>
      </w:r>
      <w:r w:rsidR="00ED72C1" w:rsidRPr="0088215F">
        <w:rPr>
          <w:rFonts w:ascii="Calibri" w:hAnsi="Calibri" w:hint="eastAsia"/>
          <w:caps/>
        </w:rPr>
        <w:t>平顶山倍安德塑化有限公司年产</w:t>
      </w:r>
      <w:r w:rsidR="00ED72C1" w:rsidRPr="0088215F">
        <w:rPr>
          <w:rFonts w:ascii="Calibri" w:hAnsi="Calibri" w:hint="eastAsia"/>
          <w:caps/>
        </w:rPr>
        <w:t>5000</w:t>
      </w:r>
      <w:r w:rsidR="00ED72C1" w:rsidRPr="0088215F">
        <w:rPr>
          <w:rFonts w:ascii="Calibri" w:hAnsi="Calibri" w:hint="eastAsia"/>
          <w:caps/>
        </w:rPr>
        <w:t>吨透明尼龙合成制造项目</w:t>
      </w:r>
      <w:r w:rsidRPr="00A964FF">
        <w:rPr>
          <w:rFonts w:ascii="Calibri" w:hAnsi="Calibri" w:hint="eastAsia"/>
          <w:color w:val="auto"/>
        </w:rPr>
        <w:t>”</w:t>
      </w:r>
      <w:r w:rsidRPr="00A964FF">
        <w:rPr>
          <w:rFonts w:ascii="Calibri" w:hAnsi="Calibri"/>
          <w:bCs/>
          <w:color w:val="auto"/>
        </w:rPr>
        <w:t>环境影响报告书的编制工作。</w:t>
      </w:r>
    </w:p>
    <w:p w14:paraId="32E5FD2A" w14:textId="77777777" w:rsidR="008F4839" w:rsidRPr="00A964FF" w:rsidRDefault="008F4839" w:rsidP="008F4839">
      <w:pPr>
        <w:pStyle w:val="00"/>
        <w:rPr>
          <w:rFonts w:ascii="Calibri" w:hAnsi="Calibri"/>
          <w:bCs/>
          <w:color w:val="auto"/>
        </w:rPr>
      </w:pPr>
      <w:r w:rsidRPr="00A964FF">
        <w:rPr>
          <w:rFonts w:ascii="Calibri" w:hAnsi="Calibri" w:hint="eastAsia"/>
          <w:bCs/>
          <w:color w:val="auto"/>
        </w:rPr>
        <w:t>（</w:t>
      </w:r>
      <w:r w:rsidRPr="00A964FF">
        <w:rPr>
          <w:rFonts w:ascii="Calibri" w:hAnsi="Calibri" w:hint="eastAsia"/>
          <w:bCs/>
          <w:color w:val="auto"/>
        </w:rPr>
        <w:t>2</w:t>
      </w:r>
      <w:r w:rsidRPr="00A964FF">
        <w:rPr>
          <w:rFonts w:ascii="Calibri" w:hAnsi="Calibri" w:hint="eastAsia"/>
          <w:bCs/>
          <w:color w:val="auto"/>
        </w:rPr>
        <w:t>）</w:t>
      </w:r>
      <w:r w:rsidRPr="00A964FF">
        <w:rPr>
          <w:rFonts w:ascii="Calibri" w:hAnsi="Calibri"/>
          <w:bCs/>
          <w:color w:val="auto"/>
        </w:rPr>
        <w:t>20</w:t>
      </w:r>
      <w:r w:rsidRPr="00A964FF">
        <w:rPr>
          <w:rFonts w:ascii="Calibri" w:hAnsi="Calibri" w:hint="eastAsia"/>
          <w:bCs/>
          <w:color w:val="auto"/>
        </w:rPr>
        <w:t>2</w:t>
      </w:r>
      <w:r w:rsidR="00F01D05">
        <w:rPr>
          <w:rFonts w:ascii="Calibri" w:hAnsi="Calibri" w:hint="eastAsia"/>
          <w:bCs/>
          <w:color w:val="auto"/>
        </w:rPr>
        <w:t>2</w:t>
      </w:r>
      <w:r w:rsidRPr="00A964FF">
        <w:rPr>
          <w:rFonts w:ascii="Calibri" w:hAnsi="Calibri"/>
          <w:bCs/>
          <w:color w:val="auto"/>
        </w:rPr>
        <w:t>年</w:t>
      </w:r>
      <w:r w:rsidR="00ED72C1">
        <w:rPr>
          <w:rFonts w:ascii="Calibri" w:hAnsi="Calibri"/>
          <w:bCs/>
          <w:color w:val="auto"/>
        </w:rPr>
        <w:t>6</w:t>
      </w:r>
      <w:r w:rsidRPr="00A964FF">
        <w:rPr>
          <w:rFonts w:ascii="Calibri" w:hAnsi="Calibri"/>
          <w:bCs/>
          <w:color w:val="auto"/>
        </w:rPr>
        <w:t>月</w:t>
      </w:r>
      <w:r w:rsidR="00ED72C1">
        <w:rPr>
          <w:rFonts w:ascii="Calibri" w:hAnsi="Calibri"/>
          <w:bCs/>
          <w:color w:val="auto"/>
        </w:rPr>
        <w:t>22</w:t>
      </w:r>
      <w:r w:rsidRPr="00A964FF">
        <w:rPr>
          <w:rFonts w:ascii="Calibri" w:hAnsi="Calibri"/>
          <w:bCs/>
          <w:color w:val="auto"/>
        </w:rPr>
        <w:t>日</w:t>
      </w:r>
      <w:r w:rsidRPr="00A964FF">
        <w:rPr>
          <w:rFonts w:ascii="Calibri" w:hAnsi="Calibri" w:hint="eastAsia"/>
          <w:bCs/>
          <w:color w:val="auto"/>
        </w:rPr>
        <w:t>～</w:t>
      </w:r>
      <w:r w:rsidR="00ED72C1">
        <w:rPr>
          <w:rFonts w:ascii="Calibri" w:hAnsi="Calibri"/>
          <w:bCs/>
          <w:color w:val="auto"/>
        </w:rPr>
        <w:t>6</w:t>
      </w:r>
      <w:r w:rsidRPr="00A964FF">
        <w:rPr>
          <w:rFonts w:ascii="Calibri" w:hAnsi="Calibri" w:hint="eastAsia"/>
          <w:bCs/>
          <w:color w:val="auto"/>
        </w:rPr>
        <w:t>月</w:t>
      </w:r>
      <w:r w:rsidR="00ED72C1">
        <w:rPr>
          <w:rFonts w:ascii="Calibri" w:hAnsi="Calibri"/>
          <w:bCs/>
          <w:color w:val="auto"/>
        </w:rPr>
        <w:t>25</w:t>
      </w:r>
      <w:r w:rsidRPr="00A964FF">
        <w:rPr>
          <w:rFonts w:ascii="Calibri" w:hAnsi="Calibri" w:hint="eastAsia"/>
          <w:bCs/>
          <w:color w:val="auto"/>
        </w:rPr>
        <w:t>日</w:t>
      </w:r>
      <w:r w:rsidRPr="00A964FF">
        <w:rPr>
          <w:rFonts w:ascii="Calibri" w:hAnsi="Calibri"/>
          <w:bCs/>
          <w:color w:val="auto"/>
        </w:rPr>
        <w:t>，</w:t>
      </w:r>
      <w:r w:rsidRPr="00A964FF">
        <w:rPr>
          <w:rFonts w:ascii="Calibri" w:hAnsi="Calibri" w:hint="eastAsia"/>
          <w:bCs/>
          <w:color w:val="auto"/>
        </w:rPr>
        <w:t>研究了相关技术文件和其他有关文件，进行初步工程分析、开展初步的环境现状调查；</w:t>
      </w:r>
    </w:p>
    <w:p w14:paraId="3C2DF944" w14:textId="77777777" w:rsidR="008F4839" w:rsidRPr="00A964FF" w:rsidRDefault="008F4839" w:rsidP="008F4839">
      <w:pPr>
        <w:pStyle w:val="00"/>
        <w:rPr>
          <w:rFonts w:ascii="Calibri" w:hAnsi="Calibri"/>
          <w:bCs/>
          <w:color w:val="auto"/>
        </w:rPr>
      </w:pPr>
      <w:r w:rsidRPr="00A964FF">
        <w:rPr>
          <w:rFonts w:ascii="Calibri" w:hAnsi="Calibri" w:hint="eastAsia"/>
          <w:bCs/>
          <w:color w:val="auto"/>
        </w:rPr>
        <w:t>（</w:t>
      </w:r>
      <w:r w:rsidRPr="00A964FF">
        <w:rPr>
          <w:rFonts w:ascii="Calibri" w:hAnsi="Calibri" w:hint="eastAsia"/>
          <w:bCs/>
          <w:color w:val="auto"/>
        </w:rPr>
        <w:t>3</w:t>
      </w:r>
      <w:r w:rsidRPr="00A964FF">
        <w:rPr>
          <w:rFonts w:ascii="Calibri" w:hAnsi="Calibri" w:hint="eastAsia"/>
          <w:bCs/>
          <w:color w:val="auto"/>
        </w:rPr>
        <w:t>）</w:t>
      </w:r>
      <w:r w:rsidRPr="00A964FF">
        <w:rPr>
          <w:rFonts w:ascii="Calibri" w:hAnsi="Calibri"/>
          <w:bCs/>
          <w:color w:val="auto"/>
        </w:rPr>
        <w:t>20</w:t>
      </w:r>
      <w:r w:rsidRPr="00A964FF">
        <w:rPr>
          <w:rFonts w:ascii="Calibri" w:hAnsi="Calibri" w:hint="eastAsia"/>
          <w:bCs/>
          <w:color w:val="auto"/>
        </w:rPr>
        <w:t>2</w:t>
      </w:r>
      <w:r w:rsidR="00F01D05">
        <w:rPr>
          <w:rFonts w:ascii="Calibri" w:hAnsi="Calibri" w:hint="eastAsia"/>
          <w:bCs/>
          <w:color w:val="auto"/>
        </w:rPr>
        <w:t>2</w:t>
      </w:r>
      <w:r w:rsidRPr="00A964FF">
        <w:rPr>
          <w:rFonts w:ascii="Calibri" w:hAnsi="Calibri"/>
          <w:bCs/>
          <w:color w:val="auto"/>
        </w:rPr>
        <w:t>年</w:t>
      </w:r>
      <w:r w:rsidR="00ED72C1">
        <w:rPr>
          <w:rFonts w:ascii="Calibri" w:hAnsi="Calibri"/>
          <w:bCs/>
          <w:color w:val="auto"/>
        </w:rPr>
        <w:t>6</w:t>
      </w:r>
      <w:r w:rsidRPr="00A964FF">
        <w:rPr>
          <w:rFonts w:ascii="Calibri" w:hAnsi="Calibri" w:hint="eastAsia"/>
          <w:bCs/>
          <w:color w:val="auto"/>
        </w:rPr>
        <w:t>月</w:t>
      </w:r>
      <w:r w:rsidR="00ED72C1">
        <w:rPr>
          <w:rFonts w:ascii="Calibri" w:hAnsi="Calibri"/>
          <w:bCs/>
          <w:color w:val="auto"/>
        </w:rPr>
        <w:t>26</w:t>
      </w:r>
      <w:r w:rsidRPr="00A964FF">
        <w:rPr>
          <w:rFonts w:ascii="Calibri" w:hAnsi="Calibri" w:hint="eastAsia"/>
          <w:bCs/>
          <w:color w:val="auto"/>
        </w:rPr>
        <w:t>日～</w:t>
      </w:r>
      <w:r w:rsidR="0003785A">
        <w:rPr>
          <w:rFonts w:ascii="Calibri" w:hAnsi="Calibri"/>
          <w:bCs/>
          <w:color w:val="auto"/>
        </w:rPr>
        <w:t>6</w:t>
      </w:r>
      <w:r w:rsidRPr="00A964FF">
        <w:rPr>
          <w:rFonts w:ascii="Calibri" w:hAnsi="Calibri" w:hint="eastAsia"/>
          <w:bCs/>
          <w:color w:val="auto"/>
        </w:rPr>
        <w:t>月</w:t>
      </w:r>
      <w:r w:rsidR="0003785A">
        <w:rPr>
          <w:rFonts w:ascii="Calibri" w:hAnsi="Calibri"/>
          <w:bCs/>
          <w:color w:val="auto"/>
        </w:rPr>
        <w:t>30</w:t>
      </w:r>
      <w:r w:rsidRPr="00A964FF">
        <w:rPr>
          <w:rFonts w:ascii="Calibri" w:hAnsi="Calibri"/>
          <w:bCs/>
          <w:color w:val="auto"/>
        </w:rPr>
        <w:t>日，</w:t>
      </w:r>
      <w:r w:rsidRPr="00A964FF">
        <w:rPr>
          <w:rFonts w:ascii="Calibri" w:hAnsi="Calibri" w:hint="eastAsia"/>
          <w:bCs/>
          <w:color w:val="auto"/>
        </w:rPr>
        <w:t>进行环境影响识别和评价因子筛选，明确评价重点和环境保护目标，确定评价工作等级、评价范围和评价标准，制定工作方案</w:t>
      </w:r>
      <w:r w:rsidRPr="00A964FF">
        <w:rPr>
          <w:rFonts w:ascii="Calibri" w:hAnsi="Calibri"/>
          <w:bCs/>
          <w:color w:val="auto"/>
        </w:rPr>
        <w:t>。</w:t>
      </w:r>
    </w:p>
    <w:p w14:paraId="4AC08AB5" w14:textId="77777777" w:rsidR="008F4839" w:rsidRPr="00A964FF" w:rsidRDefault="008F4839" w:rsidP="008F4839">
      <w:pPr>
        <w:pStyle w:val="00"/>
        <w:rPr>
          <w:rFonts w:ascii="Calibri" w:hAnsi="Calibri"/>
          <w:bCs/>
          <w:color w:val="auto"/>
        </w:rPr>
      </w:pPr>
      <w:r w:rsidRPr="00A964FF">
        <w:rPr>
          <w:rFonts w:ascii="Calibri" w:hAnsi="Calibri" w:hint="eastAsia"/>
          <w:bCs/>
          <w:color w:val="auto"/>
        </w:rPr>
        <w:t>（</w:t>
      </w:r>
      <w:r w:rsidRPr="00A964FF">
        <w:rPr>
          <w:rFonts w:ascii="Calibri" w:hAnsi="Calibri" w:hint="eastAsia"/>
          <w:bCs/>
          <w:color w:val="auto"/>
        </w:rPr>
        <w:t>4</w:t>
      </w:r>
      <w:r w:rsidRPr="00A964FF">
        <w:rPr>
          <w:rFonts w:ascii="Calibri" w:hAnsi="Calibri" w:hint="eastAsia"/>
          <w:bCs/>
          <w:color w:val="auto"/>
        </w:rPr>
        <w:t>）</w:t>
      </w:r>
      <w:r w:rsidRPr="00A964FF">
        <w:rPr>
          <w:rFonts w:ascii="Calibri" w:hAnsi="Calibri"/>
          <w:bCs/>
          <w:color w:val="auto"/>
        </w:rPr>
        <w:t>20</w:t>
      </w:r>
      <w:r w:rsidRPr="00A964FF">
        <w:rPr>
          <w:rFonts w:ascii="Calibri" w:hAnsi="Calibri" w:hint="eastAsia"/>
          <w:bCs/>
          <w:color w:val="auto"/>
        </w:rPr>
        <w:t>2</w:t>
      </w:r>
      <w:r w:rsidR="00F01D05">
        <w:rPr>
          <w:rFonts w:ascii="Calibri" w:hAnsi="Calibri" w:hint="eastAsia"/>
          <w:bCs/>
          <w:color w:val="auto"/>
        </w:rPr>
        <w:t>2</w:t>
      </w:r>
      <w:r w:rsidRPr="00A964FF">
        <w:rPr>
          <w:rFonts w:ascii="Calibri" w:hAnsi="Calibri"/>
          <w:bCs/>
          <w:color w:val="auto"/>
        </w:rPr>
        <w:t>年</w:t>
      </w:r>
      <w:r w:rsidR="00ED72C1">
        <w:rPr>
          <w:rFonts w:ascii="Calibri" w:hAnsi="Calibri"/>
          <w:bCs/>
          <w:color w:val="auto"/>
        </w:rPr>
        <w:t>7</w:t>
      </w:r>
      <w:r w:rsidRPr="00A964FF">
        <w:rPr>
          <w:rFonts w:ascii="Calibri" w:hAnsi="Calibri"/>
          <w:bCs/>
          <w:color w:val="auto"/>
        </w:rPr>
        <w:t>月</w:t>
      </w:r>
      <w:r w:rsidR="0003785A">
        <w:rPr>
          <w:rFonts w:ascii="Calibri" w:hAnsi="Calibri"/>
          <w:bCs/>
          <w:color w:val="auto"/>
        </w:rPr>
        <w:t>1</w:t>
      </w:r>
      <w:r w:rsidRPr="00A964FF">
        <w:rPr>
          <w:rFonts w:ascii="Calibri" w:hAnsi="Calibri"/>
          <w:bCs/>
          <w:color w:val="auto"/>
        </w:rPr>
        <w:t>日</w:t>
      </w:r>
      <w:r w:rsidRPr="00A964FF">
        <w:rPr>
          <w:rFonts w:ascii="Calibri" w:hAnsi="Calibri" w:hint="eastAsia"/>
          <w:bCs/>
          <w:color w:val="auto"/>
        </w:rPr>
        <w:t>～</w:t>
      </w:r>
      <w:r w:rsidR="0003785A">
        <w:rPr>
          <w:rFonts w:ascii="Calibri" w:hAnsi="Calibri"/>
          <w:bCs/>
          <w:color w:val="auto"/>
        </w:rPr>
        <w:t>7</w:t>
      </w:r>
      <w:r w:rsidRPr="00A964FF">
        <w:rPr>
          <w:rFonts w:ascii="Calibri" w:hAnsi="Calibri" w:hint="eastAsia"/>
          <w:bCs/>
          <w:color w:val="auto"/>
        </w:rPr>
        <w:t>月</w:t>
      </w:r>
      <w:r w:rsidR="0003785A">
        <w:rPr>
          <w:rFonts w:ascii="Calibri" w:hAnsi="Calibri"/>
          <w:bCs/>
          <w:color w:val="auto"/>
        </w:rPr>
        <w:t>25</w:t>
      </w:r>
      <w:r w:rsidRPr="00A964FF">
        <w:rPr>
          <w:rFonts w:ascii="Calibri" w:hAnsi="Calibri" w:hint="eastAsia"/>
          <w:bCs/>
          <w:color w:val="auto"/>
        </w:rPr>
        <w:t>日</w:t>
      </w:r>
      <w:r w:rsidRPr="00A964FF">
        <w:rPr>
          <w:rFonts w:ascii="Calibri" w:hAnsi="Calibri"/>
          <w:bCs/>
          <w:color w:val="auto"/>
        </w:rPr>
        <w:t>，</w:t>
      </w:r>
      <w:r w:rsidRPr="00A964FF">
        <w:rPr>
          <w:rFonts w:ascii="Calibri" w:hAnsi="Calibri" w:hint="eastAsia"/>
          <w:bCs/>
          <w:color w:val="auto"/>
        </w:rPr>
        <w:t>开始进行建设项目工程分析，同时开展环</w:t>
      </w:r>
      <w:r w:rsidRPr="00A964FF">
        <w:rPr>
          <w:rFonts w:ascii="Calibri" w:hAnsi="Calibri" w:hint="eastAsia"/>
          <w:bCs/>
          <w:color w:val="auto"/>
        </w:rPr>
        <w:lastRenderedPageBreak/>
        <w:t>境现状调查、监测与评价，进行各环境要素环境影响预测与评价，各专题环境影响分析与评价</w:t>
      </w:r>
      <w:r w:rsidRPr="00A964FF">
        <w:rPr>
          <w:rFonts w:ascii="Calibri" w:hAnsi="Calibri"/>
          <w:bCs/>
          <w:color w:val="auto"/>
        </w:rPr>
        <w:t>。</w:t>
      </w:r>
    </w:p>
    <w:p w14:paraId="579615E6" w14:textId="77777777" w:rsidR="008F4839" w:rsidRPr="00A964FF" w:rsidRDefault="008F4839" w:rsidP="008F4839">
      <w:pPr>
        <w:pStyle w:val="00"/>
        <w:rPr>
          <w:rFonts w:ascii="Calibri" w:hAnsi="Calibri"/>
          <w:color w:val="auto"/>
        </w:rPr>
      </w:pPr>
      <w:r w:rsidRPr="00A964FF">
        <w:rPr>
          <w:rFonts w:ascii="Calibri" w:hAnsi="Calibri" w:hint="eastAsia"/>
          <w:bCs/>
          <w:color w:val="auto"/>
        </w:rPr>
        <w:t>（</w:t>
      </w:r>
      <w:r w:rsidRPr="00A964FF">
        <w:rPr>
          <w:rFonts w:ascii="Calibri" w:hAnsi="Calibri" w:hint="eastAsia"/>
          <w:bCs/>
          <w:color w:val="auto"/>
        </w:rPr>
        <w:t>5</w:t>
      </w:r>
      <w:r w:rsidRPr="00A964FF">
        <w:rPr>
          <w:rFonts w:ascii="Calibri" w:hAnsi="Calibri" w:hint="eastAsia"/>
          <w:bCs/>
          <w:color w:val="auto"/>
        </w:rPr>
        <w:t>）</w:t>
      </w:r>
      <w:r w:rsidRPr="00A964FF">
        <w:rPr>
          <w:rFonts w:ascii="Calibri" w:hAnsi="Calibri"/>
          <w:color w:val="auto"/>
        </w:rPr>
        <w:t>20</w:t>
      </w:r>
      <w:r w:rsidRPr="00A964FF">
        <w:rPr>
          <w:rFonts w:ascii="Calibri" w:hAnsi="Calibri" w:hint="eastAsia"/>
          <w:color w:val="auto"/>
        </w:rPr>
        <w:t>2</w:t>
      </w:r>
      <w:r w:rsidR="00A619FF">
        <w:rPr>
          <w:rFonts w:ascii="Calibri" w:hAnsi="Calibri" w:hint="eastAsia"/>
          <w:color w:val="auto"/>
        </w:rPr>
        <w:t>2</w:t>
      </w:r>
      <w:r w:rsidRPr="00A964FF">
        <w:rPr>
          <w:rFonts w:ascii="Calibri" w:hAnsi="Calibri"/>
          <w:color w:val="auto"/>
        </w:rPr>
        <w:t>年</w:t>
      </w:r>
      <w:r w:rsidR="0003785A">
        <w:rPr>
          <w:rFonts w:ascii="Calibri" w:hAnsi="Calibri"/>
          <w:color w:val="auto"/>
        </w:rPr>
        <w:t>7</w:t>
      </w:r>
      <w:r w:rsidRPr="00A964FF">
        <w:rPr>
          <w:rFonts w:ascii="Calibri" w:hAnsi="Calibri"/>
          <w:color w:val="auto"/>
        </w:rPr>
        <w:t>月</w:t>
      </w:r>
      <w:r w:rsidR="0003785A">
        <w:rPr>
          <w:rFonts w:ascii="Calibri" w:hAnsi="Calibri"/>
          <w:color w:val="auto"/>
        </w:rPr>
        <w:t>26</w:t>
      </w:r>
      <w:r w:rsidRPr="00A964FF">
        <w:rPr>
          <w:rFonts w:ascii="Calibri" w:hAnsi="Calibri"/>
          <w:color w:val="auto"/>
        </w:rPr>
        <w:t>日</w:t>
      </w:r>
      <w:r w:rsidRPr="00A964FF">
        <w:rPr>
          <w:rFonts w:ascii="Calibri" w:hAnsi="Calibri" w:hint="eastAsia"/>
          <w:color w:val="auto"/>
        </w:rPr>
        <w:t>～</w:t>
      </w:r>
      <w:r w:rsidR="0003785A">
        <w:rPr>
          <w:rFonts w:ascii="Calibri" w:hAnsi="Calibri"/>
          <w:color w:val="auto"/>
        </w:rPr>
        <w:t>8</w:t>
      </w:r>
      <w:r w:rsidRPr="00A964FF">
        <w:rPr>
          <w:rFonts w:ascii="Calibri" w:hAnsi="Calibri" w:hint="eastAsia"/>
          <w:color w:val="auto"/>
        </w:rPr>
        <w:t>月</w:t>
      </w:r>
      <w:r w:rsidR="0003785A">
        <w:rPr>
          <w:rFonts w:ascii="Calibri" w:hAnsi="Calibri"/>
          <w:color w:val="auto"/>
        </w:rPr>
        <w:t>5</w:t>
      </w:r>
      <w:r w:rsidRPr="00A964FF">
        <w:rPr>
          <w:rFonts w:ascii="Calibri" w:hAnsi="Calibri" w:hint="eastAsia"/>
          <w:color w:val="auto"/>
        </w:rPr>
        <w:t>日</w:t>
      </w:r>
      <w:r w:rsidRPr="00A964FF">
        <w:rPr>
          <w:rFonts w:ascii="Calibri" w:hAnsi="Calibri"/>
          <w:color w:val="auto"/>
        </w:rPr>
        <w:t>，</w:t>
      </w:r>
      <w:r w:rsidRPr="00A964FF">
        <w:rPr>
          <w:rFonts w:ascii="Calibri" w:hAnsi="Calibri" w:hint="eastAsia"/>
          <w:color w:val="auto"/>
        </w:rPr>
        <w:t>提出环境保护措施，进行技术经济论证，给出污染物排放清单，给出建设项目环境影响评价结论</w:t>
      </w:r>
      <w:r w:rsidRPr="00A964FF">
        <w:rPr>
          <w:rFonts w:ascii="Calibri" w:hAnsi="Calibri"/>
          <w:color w:val="auto"/>
        </w:rPr>
        <w:t>。</w:t>
      </w:r>
    </w:p>
    <w:p w14:paraId="33D2F1B8" w14:textId="77777777" w:rsidR="008F4839" w:rsidRPr="00A964FF" w:rsidRDefault="008F4839" w:rsidP="008F4839">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6</w:t>
      </w:r>
      <w:r w:rsidRPr="00A964FF">
        <w:rPr>
          <w:rFonts w:ascii="Calibri" w:hAnsi="Calibri" w:hint="eastAsia"/>
          <w:color w:val="auto"/>
        </w:rPr>
        <w:t>）</w:t>
      </w:r>
      <w:r w:rsidRPr="00A964FF">
        <w:rPr>
          <w:rFonts w:ascii="Calibri" w:hAnsi="Calibri"/>
          <w:color w:val="auto"/>
        </w:rPr>
        <w:t>20</w:t>
      </w:r>
      <w:r w:rsidR="009D1D1F" w:rsidRPr="00A964FF">
        <w:rPr>
          <w:rFonts w:ascii="Calibri" w:hAnsi="Calibri" w:hint="eastAsia"/>
          <w:color w:val="auto"/>
        </w:rPr>
        <w:t>2</w:t>
      </w:r>
      <w:r w:rsidR="00A619FF">
        <w:rPr>
          <w:rFonts w:ascii="Calibri" w:hAnsi="Calibri" w:hint="eastAsia"/>
          <w:color w:val="auto"/>
        </w:rPr>
        <w:t>2</w:t>
      </w:r>
      <w:r w:rsidRPr="00A964FF">
        <w:rPr>
          <w:rFonts w:ascii="Calibri" w:hAnsi="Calibri"/>
          <w:color w:val="auto"/>
        </w:rPr>
        <w:t>年</w:t>
      </w:r>
      <w:r w:rsidR="00ED72C1">
        <w:rPr>
          <w:rFonts w:ascii="Calibri" w:hAnsi="Calibri"/>
          <w:color w:val="auto"/>
        </w:rPr>
        <w:t>8</w:t>
      </w:r>
      <w:r w:rsidRPr="00A964FF">
        <w:rPr>
          <w:rFonts w:ascii="Calibri" w:hAnsi="Calibri"/>
          <w:color w:val="auto"/>
        </w:rPr>
        <w:t>月</w:t>
      </w:r>
      <w:r w:rsidR="0003785A">
        <w:rPr>
          <w:rFonts w:ascii="Calibri" w:hAnsi="Calibri"/>
          <w:color w:val="auto"/>
        </w:rPr>
        <w:t>5</w:t>
      </w:r>
      <w:r w:rsidR="001947E0" w:rsidRPr="00A964FF">
        <w:rPr>
          <w:rFonts w:ascii="Calibri" w:hAnsi="Calibri"/>
          <w:color w:val="auto"/>
        </w:rPr>
        <w:t>日</w:t>
      </w:r>
      <w:r w:rsidR="001947E0" w:rsidRPr="00A964FF">
        <w:rPr>
          <w:rFonts w:ascii="Calibri" w:hAnsi="Calibri" w:hint="eastAsia"/>
          <w:color w:val="auto"/>
        </w:rPr>
        <w:t>～</w:t>
      </w:r>
      <w:r w:rsidR="00ED72C1">
        <w:rPr>
          <w:rFonts w:ascii="Calibri" w:hAnsi="Calibri"/>
          <w:color w:val="auto"/>
        </w:rPr>
        <w:t>8</w:t>
      </w:r>
      <w:r w:rsidR="001947E0" w:rsidRPr="00A964FF">
        <w:rPr>
          <w:rFonts w:ascii="Calibri" w:hAnsi="Calibri" w:hint="eastAsia"/>
          <w:color w:val="auto"/>
        </w:rPr>
        <w:t>月</w:t>
      </w:r>
      <w:r w:rsidR="0003785A">
        <w:rPr>
          <w:rFonts w:ascii="Calibri" w:hAnsi="Calibri"/>
          <w:color w:val="auto"/>
        </w:rPr>
        <w:t>9</w:t>
      </w:r>
      <w:r w:rsidR="001947E0" w:rsidRPr="00A964FF">
        <w:rPr>
          <w:rFonts w:ascii="Calibri" w:hAnsi="Calibri" w:hint="eastAsia"/>
          <w:color w:val="auto"/>
        </w:rPr>
        <w:t>日</w:t>
      </w:r>
      <w:r w:rsidRPr="00A964FF">
        <w:rPr>
          <w:rFonts w:ascii="Calibri" w:hAnsi="Calibri"/>
          <w:color w:val="auto"/>
        </w:rPr>
        <w:t>，报告书进入环评单位内审程序、经校核、审核、审定后定稿。</w:t>
      </w:r>
    </w:p>
    <w:p w14:paraId="3E8FFF87" w14:textId="77777777" w:rsidR="00B76767" w:rsidRPr="00A964FF" w:rsidRDefault="00B76767" w:rsidP="008F4839">
      <w:pPr>
        <w:pStyle w:val="00"/>
        <w:rPr>
          <w:rFonts w:ascii="Calibri" w:hAnsi="Calibri"/>
          <w:color w:val="auto"/>
        </w:rPr>
      </w:pPr>
      <w:r w:rsidRPr="00A964FF">
        <w:rPr>
          <w:rFonts w:ascii="Calibri" w:hAnsi="Calibri"/>
          <w:color w:val="auto"/>
        </w:rPr>
        <w:t>本项目评价工作程序见下图</w:t>
      </w:r>
      <w:r w:rsidRPr="00A964FF">
        <w:rPr>
          <w:rFonts w:ascii="Calibri" w:hAnsi="Calibri" w:hint="eastAsia"/>
          <w:color w:val="auto"/>
        </w:rPr>
        <w:t>：</w:t>
      </w:r>
    </w:p>
    <w:p w14:paraId="354AB629" w14:textId="77777777" w:rsidR="008F4839" w:rsidRPr="00A964FF" w:rsidRDefault="00B76767" w:rsidP="008F4839">
      <w:pPr>
        <w:pStyle w:val="00"/>
        <w:rPr>
          <w:rFonts w:ascii="Calibri" w:hAnsi="Calibri"/>
          <w:color w:val="auto"/>
        </w:rPr>
      </w:pPr>
      <w:r w:rsidRPr="00A964FF">
        <w:rPr>
          <w:rFonts w:ascii="Calibri" w:eastAsia="黑体" w:hAnsi="Calibri" w:hint="eastAsia"/>
          <w:color w:val="auto"/>
        </w:rPr>
        <w:lastRenderedPageBreak/>
        <w:t>图</w:t>
      </w:r>
      <w:r w:rsidRPr="00A964FF">
        <w:rPr>
          <w:rFonts w:ascii="Calibri" w:eastAsia="黑体" w:hAnsi="Calibri"/>
          <w:color w:val="auto"/>
        </w:rPr>
        <w:t xml:space="preserve">1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黑体"/>
          <w:color w:val="auto"/>
        </w:rPr>
        <w:t>环境影响评价工作程序图</w:t>
      </w:r>
      <w:r w:rsidR="00971B8B">
        <w:rPr>
          <w:rFonts w:ascii="Calibri" w:hAnsi="Calibri"/>
          <w:noProof/>
          <w:color w:val="auto"/>
        </w:rPr>
        <mc:AlternateContent>
          <mc:Choice Requires="wpc">
            <w:drawing>
              <wp:anchor distT="0" distB="0" distL="114300" distR="114300" simplePos="0" relativeHeight="251446784" behindDoc="0" locked="0" layoutInCell="1" allowOverlap="1" wp14:anchorId="1F1567F5" wp14:editId="1341EB5D">
                <wp:simplePos x="0" y="0"/>
                <wp:positionH relativeFrom="column">
                  <wp:posOffset>-203200</wp:posOffset>
                </wp:positionH>
                <wp:positionV relativeFrom="paragraph">
                  <wp:posOffset>139065</wp:posOffset>
                </wp:positionV>
                <wp:extent cx="5852160" cy="6682740"/>
                <wp:effectExtent l="0" t="0" r="635" b="0"/>
                <wp:wrapTopAndBottom/>
                <wp:docPr id="11592" name="画布 115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476" name="Rectangle 11594"/>
                        <wps:cNvSpPr>
                          <a:spLocks noChangeArrowheads="1"/>
                        </wps:cNvSpPr>
                        <wps:spPr bwMode="auto">
                          <a:xfrm>
                            <a:off x="1518285" y="257175"/>
                            <a:ext cx="3187065" cy="35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79544" w14:textId="77777777" w:rsidR="00217891" w:rsidRDefault="00217891" w:rsidP="008F4839">
                              <w:pPr>
                                <w:jc w:val="center"/>
                              </w:pPr>
                              <w:r>
                                <w:rPr>
                                  <w:rFonts w:hint="eastAsia"/>
                                </w:rPr>
                                <w:t>根据相关规定确定环境影响评价文件类型</w:t>
                              </w:r>
                            </w:p>
                          </w:txbxContent>
                        </wps:txbx>
                        <wps:bodyPr rot="0" vert="horz" wrap="square" lIns="91440" tIns="82800" rIns="91440" bIns="45720" anchor="t" anchorCtr="0" upright="1">
                          <a:noAutofit/>
                        </wps:bodyPr>
                      </wps:wsp>
                      <wps:wsp>
                        <wps:cNvPr id="27477" name="Rectangle 11595"/>
                        <wps:cNvSpPr>
                          <a:spLocks noChangeArrowheads="1"/>
                        </wps:cNvSpPr>
                        <wps:spPr bwMode="auto">
                          <a:xfrm>
                            <a:off x="1793240" y="826770"/>
                            <a:ext cx="2590165" cy="668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601058" w14:textId="77777777" w:rsidR="00217891" w:rsidRPr="00040EF4" w:rsidRDefault="00217891" w:rsidP="008F4839">
                              <w:pPr>
                                <w:rPr>
                                  <w:rFonts w:ascii="Calibri" w:hAnsi="Calibri"/>
                                </w:rPr>
                              </w:pPr>
                              <w:r w:rsidRPr="00040EF4">
                                <w:rPr>
                                  <w:rFonts w:ascii="Calibri" w:hAnsi="Calibri"/>
                                </w:rPr>
                                <w:t>1</w:t>
                              </w:r>
                              <w:r w:rsidRPr="00040EF4">
                                <w:rPr>
                                  <w:rFonts w:ascii="Calibri"/>
                                </w:rPr>
                                <w:t>、研究相关技术文件和其他有关文件</w:t>
                              </w:r>
                            </w:p>
                            <w:p w14:paraId="305FF47C" w14:textId="77777777" w:rsidR="00217891" w:rsidRPr="00040EF4" w:rsidRDefault="00217891" w:rsidP="008F4839">
                              <w:pPr>
                                <w:rPr>
                                  <w:rFonts w:ascii="Calibri" w:hAnsi="Calibri"/>
                                </w:rPr>
                              </w:pPr>
                              <w:r w:rsidRPr="00040EF4">
                                <w:rPr>
                                  <w:rFonts w:ascii="Calibri" w:hAnsi="Calibri"/>
                                </w:rPr>
                                <w:t>2</w:t>
                              </w:r>
                              <w:r w:rsidRPr="00040EF4">
                                <w:rPr>
                                  <w:rFonts w:ascii="Calibri"/>
                                </w:rPr>
                                <w:t>、进行初步工程分析</w:t>
                              </w:r>
                            </w:p>
                            <w:p w14:paraId="6C32FDE7" w14:textId="77777777" w:rsidR="00217891" w:rsidRPr="00040EF4" w:rsidRDefault="00217891" w:rsidP="008F4839">
                              <w:pPr>
                                <w:rPr>
                                  <w:rFonts w:ascii="Calibri" w:hAnsi="Calibri"/>
                                </w:rPr>
                              </w:pPr>
                              <w:r w:rsidRPr="00040EF4">
                                <w:rPr>
                                  <w:rFonts w:ascii="Calibri" w:hAnsi="Calibri"/>
                                </w:rPr>
                                <w:t>3</w:t>
                              </w:r>
                              <w:r w:rsidRPr="00040EF4">
                                <w:rPr>
                                  <w:rFonts w:ascii="Calibri"/>
                                </w:rPr>
                                <w:t>、开展初步的环境现状调查</w:t>
                              </w:r>
                            </w:p>
                          </w:txbxContent>
                        </wps:txbx>
                        <wps:bodyPr rot="0" vert="horz" wrap="square" lIns="91440" tIns="82800" rIns="91440" bIns="45720" anchor="t" anchorCtr="0" upright="1">
                          <a:noAutofit/>
                        </wps:bodyPr>
                      </wps:wsp>
                      <wps:wsp>
                        <wps:cNvPr id="27478" name="Rectangle 11596"/>
                        <wps:cNvSpPr>
                          <a:spLocks noChangeArrowheads="1"/>
                        </wps:cNvSpPr>
                        <wps:spPr bwMode="auto">
                          <a:xfrm>
                            <a:off x="1793240" y="1708785"/>
                            <a:ext cx="2590165" cy="721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3926DE" w14:textId="77777777" w:rsidR="00217891" w:rsidRPr="00040EF4" w:rsidRDefault="00217891" w:rsidP="008F4839">
                              <w:pPr>
                                <w:rPr>
                                  <w:rFonts w:ascii="Calibri" w:hAnsi="Calibri"/>
                                </w:rPr>
                              </w:pPr>
                              <w:r w:rsidRPr="00040EF4">
                                <w:rPr>
                                  <w:rFonts w:ascii="Calibri" w:hAnsi="Calibri"/>
                                </w:rPr>
                                <w:t>1</w:t>
                              </w:r>
                              <w:r w:rsidRPr="00040EF4">
                                <w:rPr>
                                  <w:rFonts w:ascii="Calibri"/>
                                </w:rPr>
                                <w:t>、环境影响识别和评价因子筛选</w:t>
                              </w:r>
                            </w:p>
                            <w:p w14:paraId="7394F913" w14:textId="77777777" w:rsidR="00217891" w:rsidRPr="00040EF4" w:rsidRDefault="00217891" w:rsidP="008F4839">
                              <w:pPr>
                                <w:rPr>
                                  <w:rFonts w:ascii="Calibri" w:hAnsi="Calibri"/>
                                </w:rPr>
                              </w:pPr>
                              <w:r w:rsidRPr="00040EF4">
                                <w:rPr>
                                  <w:rFonts w:ascii="Calibri" w:hAnsi="Calibri"/>
                                </w:rPr>
                                <w:t>2</w:t>
                              </w:r>
                              <w:r w:rsidRPr="00040EF4">
                                <w:rPr>
                                  <w:rFonts w:ascii="Calibri"/>
                                </w:rPr>
                                <w:t>、明确评价重点和环境保护目标</w:t>
                              </w:r>
                            </w:p>
                            <w:p w14:paraId="3524335B" w14:textId="77777777" w:rsidR="00217891" w:rsidRPr="00040EF4" w:rsidRDefault="00217891" w:rsidP="008F4839">
                              <w:pPr>
                                <w:rPr>
                                  <w:rFonts w:ascii="Calibri" w:hAnsi="Calibri"/>
                                </w:rPr>
                              </w:pPr>
                              <w:r w:rsidRPr="00040EF4">
                                <w:rPr>
                                  <w:rFonts w:ascii="Calibri" w:hAnsi="Calibri"/>
                                </w:rPr>
                                <w:t>3</w:t>
                              </w:r>
                              <w:r w:rsidRPr="00040EF4">
                                <w:rPr>
                                  <w:rFonts w:ascii="Calibri"/>
                                </w:rPr>
                                <w:t>、确定工作等级、评价范围和评价标准</w:t>
                              </w:r>
                            </w:p>
                          </w:txbxContent>
                        </wps:txbx>
                        <wps:bodyPr rot="0" vert="horz" wrap="square" lIns="91440" tIns="82800" rIns="91440" bIns="45720" anchor="t" anchorCtr="0" upright="1">
                          <a:noAutofit/>
                        </wps:bodyPr>
                      </wps:wsp>
                      <wps:wsp>
                        <wps:cNvPr id="27482" name="Rectangle 11597"/>
                        <wps:cNvSpPr>
                          <a:spLocks noChangeArrowheads="1"/>
                        </wps:cNvSpPr>
                        <wps:spPr bwMode="auto">
                          <a:xfrm>
                            <a:off x="2343785" y="2644140"/>
                            <a:ext cx="1524635"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F8E3D9" w14:textId="77777777" w:rsidR="00217891" w:rsidRDefault="00217891" w:rsidP="008F4839">
                              <w:pPr>
                                <w:jc w:val="center"/>
                              </w:pPr>
                              <w:r>
                                <w:rPr>
                                  <w:rFonts w:hint="eastAsia"/>
                                </w:rPr>
                                <w:t>制定工作方案</w:t>
                              </w:r>
                            </w:p>
                          </w:txbxContent>
                        </wps:txbx>
                        <wps:bodyPr rot="0" vert="horz" wrap="square" lIns="91440" tIns="82800" rIns="91440" bIns="45720" anchor="t" anchorCtr="0" upright="1">
                          <a:noAutofit/>
                        </wps:bodyPr>
                      </wps:wsp>
                      <wps:wsp>
                        <wps:cNvPr id="27483" name="Rectangle 11598"/>
                        <wps:cNvSpPr>
                          <a:spLocks noChangeArrowheads="1"/>
                        </wps:cNvSpPr>
                        <wps:spPr bwMode="auto">
                          <a:xfrm>
                            <a:off x="1316990" y="3434715"/>
                            <a:ext cx="1325245"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1396A" w14:textId="77777777" w:rsidR="00217891" w:rsidRDefault="00217891" w:rsidP="008F4839">
                              <w:pPr>
                                <w:jc w:val="center"/>
                              </w:pPr>
                              <w:r>
                                <w:rPr>
                                  <w:rFonts w:hint="eastAsia"/>
                                </w:rPr>
                                <w:t>环境现状调查</w:t>
                              </w:r>
                            </w:p>
                            <w:p w14:paraId="41547924" w14:textId="77777777" w:rsidR="00217891" w:rsidRDefault="00217891" w:rsidP="008F4839">
                              <w:pPr>
                                <w:jc w:val="center"/>
                              </w:pPr>
                              <w:r>
                                <w:rPr>
                                  <w:rFonts w:hint="eastAsia"/>
                                </w:rPr>
                                <w:t>监测与评价</w:t>
                              </w:r>
                            </w:p>
                          </w:txbxContent>
                        </wps:txbx>
                        <wps:bodyPr rot="0" vert="horz" wrap="square" lIns="91440" tIns="82800" rIns="91440" bIns="45720" anchor="t" anchorCtr="0" upright="1">
                          <a:noAutofit/>
                        </wps:bodyPr>
                      </wps:wsp>
                      <wps:wsp>
                        <wps:cNvPr id="27484" name="Rectangle 11599"/>
                        <wps:cNvSpPr>
                          <a:spLocks noChangeArrowheads="1"/>
                        </wps:cNvSpPr>
                        <wps:spPr bwMode="auto">
                          <a:xfrm>
                            <a:off x="3779520" y="3434715"/>
                            <a:ext cx="977900" cy="504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D24562" w14:textId="77777777" w:rsidR="00217891" w:rsidRDefault="00217891" w:rsidP="008F4839">
                              <w:pPr>
                                <w:jc w:val="center"/>
                              </w:pPr>
                              <w:r>
                                <w:rPr>
                                  <w:rFonts w:hint="eastAsia"/>
                                </w:rPr>
                                <w:t>建设项目</w:t>
                              </w:r>
                            </w:p>
                            <w:p w14:paraId="04BC8F6E" w14:textId="77777777" w:rsidR="00217891" w:rsidRDefault="00217891" w:rsidP="008F4839">
                              <w:pPr>
                                <w:jc w:val="center"/>
                              </w:pPr>
                              <w:r>
                                <w:rPr>
                                  <w:rFonts w:hint="eastAsia"/>
                                </w:rPr>
                                <w:t>工程分析</w:t>
                              </w:r>
                            </w:p>
                          </w:txbxContent>
                        </wps:txbx>
                        <wps:bodyPr rot="0" vert="horz" wrap="square" lIns="91440" tIns="82800" rIns="91440" bIns="45720" anchor="t" anchorCtr="0" upright="1">
                          <a:noAutofit/>
                        </wps:bodyPr>
                      </wps:wsp>
                      <wps:wsp>
                        <wps:cNvPr id="27485" name="Line 11600"/>
                        <wps:cNvCnPr>
                          <a:cxnSpLocks noChangeShapeType="1"/>
                        </wps:cNvCnPr>
                        <wps:spPr bwMode="auto">
                          <a:xfrm>
                            <a:off x="3080385" y="2996565"/>
                            <a:ext cx="635"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86" name="Line 11601"/>
                        <wps:cNvCnPr>
                          <a:cxnSpLocks noChangeShapeType="1"/>
                        </wps:cNvCnPr>
                        <wps:spPr bwMode="auto">
                          <a:xfrm flipV="1">
                            <a:off x="1991995" y="3272790"/>
                            <a:ext cx="22879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87" name="Line 11602"/>
                        <wps:cNvCnPr>
                          <a:cxnSpLocks noChangeShapeType="1"/>
                        </wps:cNvCnPr>
                        <wps:spPr bwMode="auto">
                          <a:xfrm flipV="1">
                            <a:off x="1993265" y="3274060"/>
                            <a:ext cx="635" cy="16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8" name="Rectangle 11603"/>
                        <wps:cNvSpPr>
                          <a:spLocks noChangeArrowheads="1"/>
                        </wps:cNvSpPr>
                        <wps:spPr bwMode="auto">
                          <a:xfrm>
                            <a:off x="1736090" y="4312920"/>
                            <a:ext cx="2761615" cy="519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CF6EAB" w14:textId="77777777" w:rsidR="00217891" w:rsidRPr="00040EF4" w:rsidRDefault="00217891" w:rsidP="008F4839">
                              <w:pPr>
                                <w:jc w:val="center"/>
                                <w:rPr>
                                  <w:rFonts w:ascii="Calibri" w:hAnsi="Calibri"/>
                                </w:rPr>
                              </w:pPr>
                              <w:r w:rsidRPr="00040EF4">
                                <w:rPr>
                                  <w:rFonts w:ascii="Calibri" w:hAnsi="Calibri"/>
                                </w:rPr>
                                <w:t>1</w:t>
                              </w:r>
                              <w:r w:rsidRPr="00040EF4">
                                <w:rPr>
                                  <w:rFonts w:ascii="Calibri"/>
                                </w:rPr>
                                <w:t>、各环境要素环境影响预测与评价</w:t>
                              </w:r>
                            </w:p>
                            <w:p w14:paraId="78D579FF" w14:textId="77777777" w:rsidR="00217891" w:rsidRPr="00040EF4" w:rsidRDefault="00217891" w:rsidP="000E33B8">
                              <w:pPr>
                                <w:ind w:firstLineChars="200" w:firstLine="420"/>
                                <w:rPr>
                                  <w:rFonts w:ascii="Calibri" w:hAnsi="Calibri"/>
                                </w:rPr>
                              </w:pPr>
                              <w:r w:rsidRPr="00040EF4">
                                <w:rPr>
                                  <w:rFonts w:ascii="Calibri" w:hAnsi="Calibri"/>
                                </w:rPr>
                                <w:t>2</w:t>
                              </w:r>
                              <w:r w:rsidRPr="00040EF4">
                                <w:rPr>
                                  <w:rFonts w:ascii="Calibri"/>
                                </w:rPr>
                                <w:t>、各专题环境影响分析与评价</w:t>
                              </w:r>
                            </w:p>
                            <w:p w14:paraId="30B630B6" w14:textId="77777777" w:rsidR="00217891" w:rsidRDefault="00217891" w:rsidP="008F4839"/>
                          </w:txbxContent>
                        </wps:txbx>
                        <wps:bodyPr rot="0" vert="horz" wrap="square" lIns="91440" tIns="82800" rIns="91440" bIns="45720" anchor="t" anchorCtr="0" upright="1">
                          <a:noAutofit/>
                        </wps:bodyPr>
                      </wps:wsp>
                      <wps:wsp>
                        <wps:cNvPr id="37409" name="Rectangle 11604"/>
                        <wps:cNvSpPr>
                          <a:spLocks noChangeArrowheads="1"/>
                        </wps:cNvSpPr>
                        <wps:spPr bwMode="auto">
                          <a:xfrm>
                            <a:off x="1736090" y="5160010"/>
                            <a:ext cx="2761615" cy="729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49692" w14:textId="77777777" w:rsidR="00217891" w:rsidRPr="00040EF4" w:rsidRDefault="00217891" w:rsidP="008F4839">
                              <w:pPr>
                                <w:rPr>
                                  <w:rFonts w:ascii="Calibri" w:hAnsi="Calibri"/>
                                </w:rPr>
                              </w:pPr>
                              <w:r w:rsidRPr="00040EF4">
                                <w:rPr>
                                  <w:rFonts w:ascii="Calibri" w:hAnsi="Calibri"/>
                                </w:rPr>
                                <w:t>1</w:t>
                              </w:r>
                              <w:r w:rsidRPr="00040EF4">
                                <w:rPr>
                                  <w:rFonts w:ascii="Calibri"/>
                                </w:rPr>
                                <w:t>、提出环境保护措施，进行技术经济论证</w:t>
                              </w:r>
                            </w:p>
                            <w:p w14:paraId="28916BFB" w14:textId="77777777" w:rsidR="00217891" w:rsidRPr="00040EF4" w:rsidRDefault="00217891" w:rsidP="008F4839">
                              <w:pPr>
                                <w:rPr>
                                  <w:rFonts w:ascii="Calibri" w:hAnsi="Calibri"/>
                                </w:rPr>
                              </w:pPr>
                              <w:r w:rsidRPr="00040EF4">
                                <w:rPr>
                                  <w:rFonts w:ascii="Calibri" w:hAnsi="Calibri"/>
                                </w:rPr>
                                <w:t>2</w:t>
                              </w:r>
                              <w:r w:rsidRPr="00040EF4">
                                <w:rPr>
                                  <w:rFonts w:ascii="Calibri"/>
                                </w:rPr>
                                <w:t>、给出污染物排放清单</w:t>
                              </w:r>
                            </w:p>
                            <w:p w14:paraId="6DE84948" w14:textId="77777777" w:rsidR="00217891" w:rsidRPr="00040EF4" w:rsidRDefault="00217891" w:rsidP="008F4839">
                              <w:pPr>
                                <w:rPr>
                                  <w:rFonts w:ascii="Calibri" w:hAnsi="Calibri"/>
                                </w:rPr>
                              </w:pPr>
                              <w:r w:rsidRPr="00040EF4">
                                <w:rPr>
                                  <w:rFonts w:ascii="Calibri" w:hAnsi="Calibri"/>
                                </w:rPr>
                                <w:t>3</w:t>
                              </w:r>
                              <w:r w:rsidRPr="00040EF4">
                                <w:rPr>
                                  <w:rFonts w:ascii="Calibri"/>
                                </w:rPr>
                                <w:t>、给出建设项目环境影响评价结论</w:t>
                              </w:r>
                            </w:p>
                          </w:txbxContent>
                        </wps:txbx>
                        <wps:bodyPr rot="0" vert="horz" wrap="square" lIns="91440" tIns="82800" rIns="91440" bIns="45720" anchor="t" anchorCtr="0" upright="1">
                          <a:noAutofit/>
                        </wps:bodyPr>
                      </wps:wsp>
                      <wps:wsp>
                        <wps:cNvPr id="37410" name="Line 11605"/>
                        <wps:cNvCnPr>
                          <a:cxnSpLocks noChangeShapeType="1"/>
                        </wps:cNvCnPr>
                        <wps:spPr bwMode="auto">
                          <a:xfrm>
                            <a:off x="1993265" y="4100195"/>
                            <a:ext cx="228917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11" name="Line 11606"/>
                        <wps:cNvCnPr>
                          <a:cxnSpLocks noChangeShapeType="1"/>
                        </wps:cNvCnPr>
                        <wps:spPr bwMode="auto">
                          <a:xfrm>
                            <a:off x="3067685" y="4832350"/>
                            <a:ext cx="635"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12" name="Rectangle 11607"/>
                        <wps:cNvSpPr>
                          <a:spLocks noChangeArrowheads="1"/>
                        </wps:cNvSpPr>
                        <wps:spPr bwMode="auto">
                          <a:xfrm>
                            <a:off x="2079625" y="6102985"/>
                            <a:ext cx="2026285" cy="357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7A342C" w14:textId="77777777" w:rsidR="00217891" w:rsidRDefault="00217891" w:rsidP="008F4839">
                              <w:pPr>
                                <w:jc w:val="center"/>
                              </w:pPr>
                              <w:r>
                                <w:rPr>
                                  <w:rFonts w:hint="eastAsia"/>
                                </w:rPr>
                                <w:t>编制环境影响报告书</w:t>
                              </w:r>
                            </w:p>
                            <w:p w14:paraId="7D30573F" w14:textId="77777777" w:rsidR="00217891" w:rsidRDefault="00217891" w:rsidP="008F4839"/>
                          </w:txbxContent>
                        </wps:txbx>
                        <wps:bodyPr rot="0" vert="horz" wrap="square" lIns="91440" tIns="82800" rIns="91440" bIns="45720" anchor="t" anchorCtr="0" upright="1">
                          <a:noAutofit/>
                        </wps:bodyPr>
                      </wps:wsp>
                      <wps:wsp>
                        <wps:cNvPr id="37413" name="Rectangle 11608"/>
                        <wps:cNvSpPr>
                          <a:spLocks noChangeArrowheads="1"/>
                        </wps:cNvSpPr>
                        <wps:spPr bwMode="auto">
                          <a:xfrm>
                            <a:off x="411480" y="139700"/>
                            <a:ext cx="5072380" cy="639254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4" name="AutoShape 11609"/>
                        <wps:cNvCnPr>
                          <a:cxnSpLocks noChangeShapeType="1"/>
                        </wps:cNvCnPr>
                        <wps:spPr bwMode="auto">
                          <a:xfrm>
                            <a:off x="411480" y="3116580"/>
                            <a:ext cx="507238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416" name="AutoShape 11610"/>
                        <wps:cNvCnPr>
                          <a:cxnSpLocks noChangeShapeType="1"/>
                        </wps:cNvCnPr>
                        <wps:spPr bwMode="auto">
                          <a:xfrm>
                            <a:off x="414020" y="4972685"/>
                            <a:ext cx="507238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417" name="Rectangle 11611"/>
                        <wps:cNvSpPr>
                          <a:spLocks noChangeArrowheads="1"/>
                        </wps:cNvSpPr>
                        <wps:spPr bwMode="auto">
                          <a:xfrm>
                            <a:off x="411480" y="1339215"/>
                            <a:ext cx="33210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0AC3" w14:textId="77777777" w:rsidR="00217891" w:rsidRDefault="00217891" w:rsidP="008F4839">
                              <w:pPr>
                                <w:jc w:val="center"/>
                              </w:pPr>
                              <w:r>
                                <w:rPr>
                                  <w:rFonts w:hint="eastAsia"/>
                                </w:rPr>
                                <w:t>第一阶段</w:t>
                              </w:r>
                            </w:p>
                          </w:txbxContent>
                        </wps:txbx>
                        <wps:bodyPr rot="0" vert="horz" wrap="square" lIns="91440" tIns="82800" rIns="91440" bIns="45720" anchor="t" anchorCtr="0" upright="1">
                          <a:noAutofit/>
                        </wps:bodyPr>
                      </wps:wsp>
                      <wps:wsp>
                        <wps:cNvPr id="37418" name="Rectangle 11612"/>
                        <wps:cNvSpPr>
                          <a:spLocks noChangeArrowheads="1"/>
                        </wps:cNvSpPr>
                        <wps:spPr bwMode="auto">
                          <a:xfrm>
                            <a:off x="411480" y="3716655"/>
                            <a:ext cx="33210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6F39" w14:textId="77777777" w:rsidR="00217891" w:rsidRDefault="00217891" w:rsidP="008F4839">
                              <w:pPr>
                                <w:jc w:val="center"/>
                              </w:pPr>
                              <w:r>
                                <w:rPr>
                                  <w:rFonts w:hint="eastAsia"/>
                                </w:rPr>
                                <w:t>第二阶段</w:t>
                              </w:r>
                            </w:p>
                          </w:txbxContent>
                        </wps:txbx>
                        <wps:bodyPr rot="0" vert="horz" wrap="square" lIns="91440" tIns="82800" rIns="91440" bIns="45720" anchor="t" anchorCtr="0" upright="1">
                          <a:noAutofit/>
                        </wps:bodyPr>
                      </wps:wsp>
                      <wps:wsp>
                        <wps:cNvPr id="37419" name="Rectangle 11613"/>
                        <wps:cNvSpPr>
                          <a:spLocks noChangeArrowheads="1"/>
                        </wps:cNvSpPr>
                        <wps:spPr bwMode="auto">
                          <a:xfrm>
                            <a:off x="411480" y="5343525"/>
                            <a:ext cx="332105"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5910" w14:textId="77777777" w:rsidR="00217891" w:rsidRDefault="00217891" w:rsidP="008F4839">
                              <w:pPr>
                                <w:jc w:val="center"/>
                              </w:pPr>
                              <w:r>
                                <w:rPr>
                                  <w:rFonts w:hint="eastAsia"/>
                                </w:rPr>
                                <w:t>第三阶段</w:t>
                              </w:r>
                            </w:p>
                          </w:txbxContent>
                        </wps:txbx>
                        <wps:bodyPr rot="0" vert="horz" wrap="square" lIns="91440" tIns="82800" rIns="91440" bIns="45720" anchor="t" anchorCtr="0" upright="1">
                          <a:noAutofit/>
                        </wps:bodyPr>
                      </wps:wsp>
                      <wps:wsp>
                        <wps:cNvPr id="37420" name="Line 11614"/>
                        <wps:cNvCnPr>
                          <a:cxnSpLocks noChangeShapeType="1"/>
                        </wps:cNvCnPr>
                        <wps:spPr bwMode="auto">
                          <a:xfrm>
                            <a:off x="3063875" y="608965"/>
                            <a:ext cx="127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21" name="Line 11615"/>
                        <wps:cNvCnPr>
                          <a:cxnSpLocks noChangeShapeType="1"/>
                        </wps:cNvCnPr>
                        <wps:spPr bwMode="auto">
                          <a:xfrm>
                            <a:off x="3081020" y="1495425"/>
                            <a:ext cx="127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22" name="Line 11616"/>
                        <wps:cNvCnPr>
                          <a:cxnSpLocks noChangeShapeType="1"/>
                        </wps:cNvCnPr>
                        <wps:spPr bwMode="auto">
                          <a:xfrm>
                            <a:off x="3082290" y="2430780"/>
                            <a:ext cx="635"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23" name="Line 11617"/>
                        <wps:cNvCnPr>
                          <a:cxnSpLocks noChangeShapeType="1"/>
                        </wps:cNvCnPr>
                        <wps:spPr bwMode="auto">
                          <a:xfrm>
                            <a:off x="3085465" y="4099560"/>
                            <a:ext cx="127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24" name="Line 11618"/>
                        <wps:cNvCnPr>
                          <a:cxnSpLocks noChangeShapeType="1"/>
                        </wps:cNvCnPr>
                        <wps:spPr bwMode="auto">
                          <a:xfrm>
                            <a:off x="3084195" y="5889625"/>
                            <a:ext cx="127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25" name="Line 11619"/>
                        <wps:cNvCnPr>
                          <a:cxnSpLocks noChangeShapeType="1"/>
                        </wps:cNvCnPr>
                        <wps:spPr bwMode="auto">
                          <a:xfrm flipV="1">
                            <a:off x="4279265" y="3274060"/>
                            <a:ext cx="635" cy="16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26" name="Line 11620"/>
                        <wps:cNvCnPr>
                          <a:cxnSpLocks noChangeShapeType="1"/>
                        </wps:cNvCnPr>
                        <wps:spPr bwMode="auto">
                          <a:xfrm flipV="1">
                            <a:off x="1991360" y="3938905"/>
                            <a:ext cx="635" cy="16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27" name="Line 11621"/>
                        <wps:cNvCnPr>
                          <a:cxnSpLocks noChangeShapeType="1"/>
                        </wps:cNvCnPr>
                        <wps:spPr bwMode="auto">
                          <a:xfrm flipV="1">
                            <a:off x="4282440" y="3939540"/>
                            <a:ext cx="635" cy="16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F1567F5" id="画布 11592" o:spid="_x0000_s1026" editas="canvas" style="position:absolute;left:0;text-align:left;margin-left:-16pt;margin-top:10.95pt;width:460.8pt;height:526.2pt;z-index:251446784" coordsize="58521,6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">
                <v:shape id="_x0000_s1027" type="#_x0000_t75" style="position:absolute;width:58521;height:66827;visibility:visible;mso-wrap-style:square">
                  <v:fill o:detectmouseclick="t"/>
                  <v:path o:connecttype="none"/>
                </v:shape>
                <v:rect id="Rectangle 11594" o:spid="_x0000_s1028" style="position:absolute;left:15182;top:2571;width:31871;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" filled="f">
                  <v:textbox inset=",2.3mm">
                    <w:txbxContent>
                      <w:p w14:paraId="61A79544" w14:textId="77777777" w:rsidR="00217891" w:rsidRDefault="00217891" w:rsidP="008F4839">
                        <w:pPr>
                          <w:jc w:val="center"/>
                        </w:pPr>
                        <w:r>
                          <w:rPr>
                            <w:rFonts w:hint="eastAsia"/>
                          </w:rPr>
                          <w:t>根据相关规定确定环境影响评价文件类型</w:t>
                        </w:r>
                      </w:p>
                    </w:txbxContent>
                  </v:textbox>
                </v:rect>
                <v:rect id="Rectangle 11595" o:spid="_x0000_s1029" style="position:absolute;left:17932;top:8267;width:25902;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" filled="f">
                  <v:textbox inset=",2.3mm">
                    <w:txbxContent>
                      <w:p w14:paraId="70601058" w14:textId="77777777" w:rsidR="00217891" w:rsidRPr="00040EF4" w:rsidRDefault="00217891" w:rsidP="008F4839">
                        <w:pPr>
                          <w:rPr>
                            <w:rFonts w:ascii="Calibri" w:hAnsi="Calibri"/>
                          </w:rPr>
                        </w:pPr>
                        <w:r w:rsidRPr="00040EF4">
                          <w:rPr>
                            <w:rFonts w:ascii="Calibri" w:hAnsi="Calibri"/>
                          </w:rPr>
                          <w:t>1</w:t>
                        </w:r>
                        <w:r w:rsidRPr="00040EF4">
                          <w:rPr>
                            <w:rFonts w:ascii="Calibri"/>
                          </w:rPr>
                          <w:t>、研究相关技术文件和其他有关文件</w:t>
                        </w:r>
                      </w:p>
                      <w:p w14:paraId="305FF47C" w14:textId="77777777" w:rsidR="00217891" w:rsidRPr="00040EF4" w:rsidRDefault="00217891" w:rsidP="008F4839">
                        <w:pPr>
                          <w:rPr>
                            <w:rFonts w:ascii="Calibri" w:hAnsi="Calibri"/>
                          </w:rPr>
                        </w:pPr>
                        <w:r w:rsidRPr="00040EF4">
                          <w:rPr>
                            <w:rFonts w:ascii="Calibri" w:hAnsi="Calibri"/>
                          </w:rPr>
                          <w:t>2</w:t>
                        </w:r>
                        <w:r w:rsidRPr="00040EF4">
                          <w:rPr>
                            <w:rFonts w:ascii="Calibri"/>
                          </w:rPr>
                          <w:t>、进行初步工程分析</w:t>
                        </w:r>
                      </w:p>
                      <w:p w14:paraId="6C32FDE7" w14:textId="77777777" w:rsidR="00217891" w:rsidRPr="00040EF4" w:rsidRDefault="00217891" w:rsidP="008F4839">
                        <w:pPr>
                          <w:rPr>
                            <w:rFonts w:ascii="Calibri" w:hAnsi="Calibri"/>
                          </w:rPr>
                        </w:pPr>
                        <w:r w:rsidRPr="00040EF4">
                          <w:rPr>
                            <w:rFonts w:ascii="Calibri" w:hAnsi="Calibri"/>
                          </w:rPr>
                          <w:t>3</w:t>
                        </w:r>
                        <w:r w:rsidRPr="00040EF4">
                          <w:rPr>
                            <w:rFonts w:ascii="Calibri"/>
                          </w:rPr>
                          <w:t>、开展初步的环境现状调查</w:t>
                        </w:r>
                      </w:p>
                    </w:txbxContent>
                  </v:textbox>
                </v:rect>
                <v:rect id="Rectangle 11596" o:spid="_x0000_s1030" style="position:absolute;left:17932;top:17087;width:25902;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" filled="f">
                  <v:textbox inset=",2.3mm">
                    <w:txbxContent>
                      <w:p w14:paraId="683926DE" w14:textId="77777777" w:rsidR="00217891" w:rsidRPr="00040EF4" w:rsidRDefault="00217891" w:rsidP="008F4839">
                        <w:pPr>
                          <w:rPr>
                            <w:rFonts w:ascii="Calibri" w:hAnsi="Calibri"/>
                          </w:rPr>
                        </w:pPr>
                        <w:r w:rsidRPr="00040EF4">
                          <w:rPr>
                            <w:rFonts w:ascii="Calibri" w:hAnsi="Calibri"/>
                          </w:rPr>
                          <w:t>1</w:t>
                        </w:r>
                        <w:r w:rsidRPr="00040EF4">
                          <w:rPr>
                            <w:rFonts w:ascii="Calibri"/>
                          </w:rPr>
                          <w:t>、环境影响识别和评价因子筛选</w:t>
                        </w:r>
                      </w:p>
                      <w:p w14:paraId="7394F913" w14:textId="77777777" w:rsidR="00217891" w:rsidRPr="00040EF4" w:rsidRDefault="00217891" w:rsidP="008F4839">
                        <w:pPr>
                          <w:rPr>
                            <w:rFonts w:ascii="Calibri" w:hAnsi="Calibri"/>
                          </w:rPr>
                        </w:pPr>
                        <w:r w:rsidRPr="00040EF4">
                          <w:rPr>
                            <w:rFonts w:ascii="Calibri" w:hAnsi="Calibri"/>
                          </w:rPr>
                          <w:t>2</w:t>
                        </w:r>
                        <w:r w:rsidRPr="00040EF4">
                          <w:rPr>
                            <w:rFonts w:ascii="Calibri"/>
                          </w:rPr>
                          <w:t>、明确评价重点和环境保护目标</w:t>
                        </w:r>
                      </w:p>
                      <w:p w14:paraId="3524335B" w14:textId="77777777" w:rsidR="00217891" w:rsidRPr="00040EF4" w:rsidRDefault="00217891" w:rsidP="008F4839">
                        <w:pPr>
                          <w:rPr>
                            <w:rFonts w:ascii="Calibri" w:hAnsi="Calibri"/>
                          </w:rPr>
                        </w:pPr>
                        <w:r w:rsidRPr="00040EF4">
                          <w:rPr>
                            <w:rFonts w:ascii="Calibri" w:hAnsi="Calibri"/>
                          </w:rPr>
                          <w:t>3</w:t>
                        </w:r>
                        <w:r w:rsidRPr="00040EF4">
                          <w:rPr>
                            <w:rFonts w:ascii="Calibri"/>
                          </w:rPr>
                          <w:t>、确定工作等级、评价范围和评价标准</w:t>
                        </w:r>
                      </w:p>
                    </w:txbxContent>
                  </v:textbox>
                </v:rect>
                <v:rect id="Rectangle 11597" o:spid="_x0000_s1031" style="position:absolute;left:23437;top:26441;width:152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" filled="f">
                  <v:textbox inset=",2.3mm">
                    <w:txbxContent>
                      <w:p w14:paraId="61F8E3D9" w14:textId="77777777" w:rsidR="00217891" w:rsidRDefault="00217891" w:rsidP="008F4839">
                        <w:pPr>
                          <w:jc w:val="center"/>
                        </w:pPr>
                        <w:r>
                          <w:rPr>
                            <w:rFonts w:hint="eastAsia"/>
                          </w:rPr>
                          <w:t>制定工作方案</w:t>
                        </w:r>
                      </w:p>
                    </w:txbxContent>
                  </v:textbox>
                </v:rect>
                <v:rect id="Rectangle 11598" o:spid="_x0000_s1032" style="position:absolute;left:13169;top:34347;width:1325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" filled="f">
                  <v:textbox inset=",2.3mm">
                    <w:txbxContent>
                      <w:p w14:paraId="3F91396A" w14:textId="77777777" w:rsidR="00217891" w:rsidRDefault="00217891" w:rsidP="008F4839">
                        <w:pPr>
                          <w:jc w:val="center"/>
                        </w:pPr>
                        <w:r>
                          <w:rPr>
                            <w:rFonts w:hint="eastAsia"/>
                          </w:rPr>
                          <w:t>环境现状调查</w:t>
                        </w:r>
                      </w:p>
                      <w:p w14:paraId="41547924" w14:textId="77777777" w:rsidR="00217891" w:rsidRDefault="00217891" w:rsidP="008F4839">
                        <w:pPr>
                          <w:jc w:val="center"/>
                        </w:pPr>
                        <w:r>
                          <w:rPr>
                            <w:rFonts w:hint="eastAsia"/>
                          </w:rPr>
                          <w:t>监测与评价</w:t>
                        </w:r>
                      </w:p>
                    </w:txbxContent>
                  </v:textbox>
                </v:rect>
                <v:rect id="Rectangle 11599" o:spid="_x0000_s1033" style="position:absolute;left:37795;top:34347;width:9779;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" filled="f">
                  <v:textbox inset=",2.3mm">
                    <w:txbxContent>
                      <w:p w14:paraId="13D24562" w14:textId="77777777" w:rsidR="00217891" w:rsidRDefault="00217891" w:rsidP="008F4839">
                        <w:pPr>
                          <w:jc w:val="center"/>
                        </w:pPr>
                        <w:r>
                          <w:rPr>
                            <w:rFonts w:hint="eastAsia"/>
                          </w:rPr>
                          <w:t>建设项目</w:t>
                        </w:r>
                      </w:p>
                      <w:p w14:paraId="04BC8F6E" w14:textId="77777777" w:rsidR="00217891" w:rsidRDefault="00217891" w:rsidP="008F4839">
                        <w:pPr>
                          <w:jc w:val="center"/>
                        </w:pPr>
                        <w:r>
                          <w:rPr>
                            <w:rFonts w:hint="eastAsia"/>
                          </w:rPr>
                          <w:t>工程分析</w:t>
                        </w:r>
                      </w:p>
                    </w:txbxContent>
                  </v:textbox>
                </v:rect>
                <v:line id="Line 11600" o:spid="_x0000_s1034" style="position:absolute;visibility:visible;mso-wrap-style:square" from="30803,29965" to="30810,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">
                  <v:stroke endarrow="block"/>
                </v:line>
                <v:line id="Line 11601" o:spid="_x0000_s1035" style="position:absolute;flip:y;visibility:visible;mso-wrap-style:square" from="19919,32727" to="42799,3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"/>
                <v:line id="Line 11602" o:spid="_x0000_s1036" style="position:absolute;flip:y;visibility:visible;mso-wrap-style:square" from="19932,32740" to="19939,3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"/>
                <v:rect id="Rectangle 11603" o:spid="_x0000_s1037" style="position:absolute;left:17360;top:43129;width:27617;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" filled="f">
                  <v:textbox inset=",2.3mm">
                    <w:txbxContent>
                      <w:p w14:paraId="68CF6EAB" w14:textId="77777777" w:rsidR="00217891" w:rsidRPr="00040EF4" w:rsidRDefault="00217891" w:rsidP="008F4839">
                        <w:pPr>
                          <w:jc w:val="center"/>
                          <w:rPr>
                            <w:rFonts w:ascii="Calibri" w:hAnsi="Calibri"/>
                          </w:rPr>
                        </w:pPr>
                        <w:r w:rsidRPr="00040EF4">
                          <w:rPr>
                            <w:rFonts w:ascii="Calibri" w:hAnsi="Calibri"/>
                          </w:rPr>
                          <w:t>1</w:t>
                        </w:r>
                        <w:r w:rsidRPr="00040EF4">
                          <w:rPr>
                            <w:rFonts w:ascii="Calibri"/>
                          </w:rPr>
                          <w:t>、各环境要素环境影响预测与评价</w:t>
                        </w:r>
                      </w:p>
                      <w:p w14:paraId="78D579FF" w14:textId="77777777" w:rsidR="00217891" w:rsidRPr="00040EF4" w:rsidRDefault="00217891" w:rsidP="000E33B8">
                        <w:pPr>
                          <w:ind w:firstLineChars="200" w:firstLine="420"/>
                          <w:rPr>
                            <w:rFonts w:ascii="Calibri" w:hAnsi="Calibri"/>
                          </w:rPr>
                        </w:pPr>
                        <w:r w:rsidRPr="00040EF4">
                          <w:rPr>
                            <w:rFonts w:ascii="Calibri" w:hAnsi="Calibri"/>
                          </w:rPr>
                          <w:t>2</w:t>
                        </w:r>
                        <w:r w:rsidRPr="00040EF4">
                          <w:rPr>
                            <w:rFonts w:ascii="Calibri"/>
                          </w:rPr>
                          <w:t>、各专题环境影响分析与评价</w:t>
                        </w:r>
                      </w:p>
                      <w:p w14:paraId="30B630B6" w14:textId="77777777" w:rsidR="00217891" w:rsidRDefault="00217891" w:rsidP="008F4839"/>
                    </w:txbxContent>
                  </v:textbox>
                </v:rect>
                <v:rect id="Rectangle 11604" o:spid="_x0000_s1038" style="position:absolute;left:17360;top:51600;width:27617;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" filled="f">
                  <v:textbox inset=",2.3mm">
                    <w:txbxContent>
                      <w:p w14:paraId="7B849692" w14:textId="77777777" w:rsidR="00217891" w:rsidRPr="00040EF4" w:rsidRDefault="00217891" w:rsidP="008F4839">
                        <w:pPr>
                          <w:rPr>
                            <w:rFonts w:ascii="Calibri" w:hAnsi="Calibri"/>
                          </w:rPr>
                        </w:pPr>
                        <w:r w:rsidRPr="00040EF4">
                          <w:rPr>
                            <w:rFonts w:ascii="Calibri" w:hAnsi="Calibri"/>
                          </w:rPr>
                          <w:t>1</w:t>
                        </w:r>
                        <w:r w:rsidRPr="00040EF4">
                          <w:rPr>
                            <w:rFonts w:ascii="Calibri"/>
                          </w:rPr>
                          <w:t>、提出环境保护措施，进行技术经济论证</w:t>
                        </w:r>
                      </w:p>
                      <w:p w14:paraId="28916BFB" w14:textId="77777777" w:rsidR="00217891" w:rsidRPr="00040EF4" w:rsidRDefault="00217891" w:rsidP="008F4839">
                        <w:pPr>
                          <w:rPr>
                            <w:rFonts w:ascii="Calibri" w:hAnsi="Calibri"/>
                          </w:rPr>
                        </w:pPr>
                        <w:r w:rsidRPr="00040EF4">
                          <w:rPr>
                            <w:rFonts w:ascii="Calibri" w:hAnsi="Calibri"/>
                          </w:rPr>
                          <w:t>2</w:t>
                        </w:r>
                        <w:r w:rsidRPr="00040EF4">
                          <w:rPr>
                            <w:rFonts w:ascii="Calibri"/>
                          </w:rPr>
                          <w:t>、给出污染物排放清单</w:t>
                        </w:r>
                      </w:p>
                      <w:p w14:paraId="6DE84948" w14:textId="77777777" w:rsidR="00217891" w:rsidRPr="00040EF4" w:rsidRDefault="00217891" w:rsidP="008F4839">
                        <w:pPr>
                          <w:rPr>
                            <w:rFonts w:ascii="Calibri" w:hAnsi="Calibri"/>
                          </w:rPr>
                        </w:pPr>
                        <w:r w:rsidRPr="00040EF4">
                          <w:rPr>
                            <w:rFonts w:ascii="Calibri" w:hAnsi="Calibri"/>
                          </w:rPr>
                          <w:t>3</w:t>
                        </w:r>
                        <w:r w:rsidRPr="00040EF4">
                          <w:rPr>
                            <w:rFonts w:ascii="Calibri"/>
                          </w:rPr>
                          <w:t>、给出建设项目环境影响评价结论</w:t>
                        </w:r>
                      </w:p>
                    </w:txbxContent>
                  </v:textbox>
                </v:rect>
                <v:line id="Line 11605" o:spid="_x0000_s1039" style="position:absolute;visibility:visible;mso-wrap-style:square" from="19932,41001" to="42824,4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"/>
                <v:line id="Line 11606" o:spid="_x0000_s1040" style="position:absolute;visibility:visible;mso-wrap-style:square" from="30676,48323" to="30683,5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">
                  <v:stroke endarrow="block"/>
                </v:line>
                <v:rect id="Rectangle 11607" o:spid="_x0000_s1041" style="position:absolute;left:20796;top:61029;width:2026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" filled="f">
                  <v:textbox inset=",2.3mm">
                    <w:txbxContent>
                      <w:p w14:paraId="3A7A342C" w14:textId="77777777" w:rsidR="00217891" w:rsidRDefault="00217891" w:rsidP="008F4839">
                        <w:pPr>
                          <w:jc w:val="center"/>
                        </w:pPr>
                        <w:r>
                          <w:rPr>
                            <w:rFonts w:hint="eastAsia"/>
                          </w:rPr>
                          <w:t>编制环境影响报告书</w:t>
                        </w:r>
                      </w:p>
                      <w:p w14:paraId="7D30573F" w14:textId="77777777" w:rsidR="00217891" w:rsidRDefault="00217891" w:rsidP="008F4839"/>
                    </w:txbxContent>
                  </v:textbox>
                </v:rect>
                <v:rect id="Rectangle 11608" o:spid="_x0000_s1042" style="position:absolute;left:4114;top:1397;width:50724;height:6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" filled="f">
                  <v:stroke dashstyle="dash"/>
                </v:rect>
                <v:shapetype id="_x0000_t32" coordsize="21600,21600" o:spt="32" o:oned="t" path="m,l21600,21600e" filled="f">
                  <v:path arrowok="t" fillok="f" o:connecttype="none"/>
                  <o:lock v:ext="edit" shapetype="t"/>
                </v:shapetype>
                <v:shape id="AutoShape 11609" o:spid="_x0000_s1043" type="#_x0000_t32" style="position:absolute;left:4114;top:31165;width:5072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">
                  <v:stroke dashstyle="dash"/>
                </v:shape>
                <v:shape id="AutoShape 11610" o:spid="_x0000_s1044" type="#_x0000_t32" style="position:absolute;left:4140;top:49726;width:5072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">
                  <v:stroke dashstyle="dash"/>
                </v:shape>
                <v:rect id="Rectangle 11611" o:spid="_x0000_s1045" style="position:absolute;left:4114;top:13392;width:3321;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" filled="f" stroked="f">
                  <v:textbox inset=",2.3mm">
                    <w:txbxContent>
                      <w:p w14:paraId="2A3E0AC3" w14:textId="77777777" w:rsidR="00217891" w:rsidRDefault="00217891" w:rsidP="008F4839">
                        <w:pPr>
                          <w:jc w:val="center"/>
                        </w:pPr>
                        <w:r>
                          <w:rPr>
                            <w:rFonts w:hint="eastAsia"/>
                          </w:rPr>
                          <w:t>第一阶段</w:t>
                        </w:r>
                      </w:p>
                    </w:txbxContent>
                  </v:textbox>
                </v:rect>
                <v:rect id="Rectangle 11612" o:spid="_x0000_s1046" style="position:absolute;left:4114;top:37166;width:3321;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" filled="f" stroked="f">
                  <v:textbox inset=",2.3mm">
                    <w:txbxContent>
                      <w:p w14:paraId="25A66F39" w14:textId="77777777" w:rsidR="00217891" w:rsidRDefault="00217891" w:rsidP="008F4839">
                        <w:pPr>
                          <w:jc w:val="center"/>
                        </w:pPr>
                        <w:r>
                          <w:rPr>
                            <w:rFonts w:hint="eastAsia"/>
                          </w:rPr>
                          <w:t>第二阶段</w:t>
                        </w:r>
                      </w:p>
                    </w:txbxContent>
                  </v:textbox>
                </v:rect>
                <v:rect id="Rectangle 11613" o:spid="_x0000_s1047" style="position:absolute;left:4114;top:53435;width:3321;height:9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" filled="f" stroked="f">
                  <v:textbox inset=",2.3mm">
                    <w:txbxContent>
                      <w:p w14:paraId="5B125910" w14:textId="77777777" w:rsidR="00217891" w:rsidRDefault="00217891" w:rsidP="008F4839">
                        <w:pPr>
                          <w:jc w:val="center"/>
                        </w:pPr>
                        <w:r>
                          <w:rPr>
                            <w:rFonts w:hint="eastAsia"/>
                          </w:rPr>
                          <w:t>第三阶段</w:t>
                        </w:r>
                      </w:p>
                    </w:txbxContent>
                  </v:textbox>
                </v:rect>
                <v:line id="Line 11614" o:spid="_x0000_s1048" style="position:absolute;visibility:visible;mso-wrap-style:square" from="30638,6089" to="3065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">
                  <v:stroke endarrow="block"/>
                </v:line>
                <v:line id="Line 11615" o:spid="_x0000_s1049" style="position:absolute;visibility:visible;mso-wrap-style:square" from="30810,14954" to="30822,1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">
                  <v:stroke endarrow="block"/>
                </v:line>
                <v:line id="Line 11616" o:spid="_x0000_s1050" style="position:absolute;visibility:visible;mso-wrap-style:square" from="30822,24307" to="30829,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">
                  <v:stroke endarrow="block"/>
                </v:line>
                <v:line id="Line 11617" o:spid="_x0000_s1051" style="position:absolute;visibility:visible;mso-wrap-style:square" from="30854,40995" to="30867,4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">
                  <v:stroke endarrow="block"/>
                </v:line>
                <v:line id="Line 11618" o:spid="_x0000_s1052" style="position:absolute;visibility:visible;mso-wrap-style:square" from="30841,58896" to="30854,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">
                  <v:stroke endarrow="block"/>
                </v:line>
                <v:line id="Line 11619" o:spid="_x0000_s1053" style="position:absolute;flip:y;visibility:visible;mso-wrap-style:square" from="42792,32740" to="42799,3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"/>
                <v:line id="Line 11620" o:spid="_x0000_s1054" style="position:absolute;flip:y;visibility:visible;mso-wrap-style:square" from="19913,39389" to="19919,4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"/>
                <v:line id="Line 11621" o:spid="_x0000_s1055" style="position:absolute;flip:y;visibility:visible;mso-wrap-style:square" from="42824,39395" to="42830,4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"/>
                <w10:wrap type="topAndBottom"/>
              </v:group>
            </w:pict>
          </mc:Fallback>
        </mc:AlternateContent>
      </w:r>
    </w:p>
    <w:p w14:paraId="0E3B0DC0" w14:textId="77777777" w:rsidR="008F4839" w:rsidRPr="00A964FF" w:rsidRDefault="008F4839" w:rsidP="003F0808">
      <w:pPr>
        <w:pStyle w:val="2f0"/>
        <w:rPr>
          <w:color w:val="auto"/>
        </w:rPr>
      </w:pPr>
      <w:bookmarkStart w:id="14" w:name="_Toc446627685"/>
      <w:bookmarkStart w:id="15" w:name="_Toc12430"/>
      <w:bookmarkStart w:id="16" w:name="_Toc112999892"/>
      <w:r w:rsidRPr="00A964FF">
        <w:rPr>
          <w:rFonts w:hint="eastAsia"/>
          <w:color w:val="auto"/>
        </w:rPr>
        <w:t>5</w:t>
      </w:r>
      <w:r w:rsidRPr="00A964FF">
        <w:rPr>
          <w:color w:val="auto"/>
        </w:rPr>
        <w:t>、本项目主要关注的环境问题</w:t>
      </w:r>
      <w:bookmarkEnd w:id="14"/>
      <w:bookmarkEnd w:id="15"/>
      <w:bookmarkEnd w:id="16"/>
    </w:p>
    <w:p w14:paraId="0A8B43D6" w14:textId="77777777" w:rsidR="00ED72C1" w:rsidRPr="00237422" w:rsidRDefault="00ED72C1" w:rsidP="00ED72C1">
      <w:pPr>
        <w:spacing w:line="520" w:lineRule="exact"/>
        <w:ind w:firstLine="480"/>
        <w:rPr>
          <w:sz w:val="24"/>
        </w:rPr>
      </w:pPr>
      <w:bookmarkStart w:id="17" w:name="_Toc471771584"/>
      <w:bookmarkStart w:id="18" w:name="_Toc471771536"/>
      <w:bookmarkStart w:id="19" w:name="_Toc446627686"/>
      <w:r w:rsidRPr="00AD7079">
        <w:rPr>
          <w:rFonts w:hint="eastAsia"/>
          <w:sz w:val="24"/>
        </w:rPr>
        <w:t>根据工程特点，项目运营过程中主要环境问题主要表现为废气、废水、噪声、固废等方面。</w:t>
      </w:r>
      <w:r w:rsidRPr="00237422">
        <w:rPr>
          <w:rFonts w:hint="eastAsia"/>
          <w:sz w:val="24"/>
        </w:rPr>
        <w:t>本次环评重点关注运营后废气、废水、噪声治理措施是否可行，污染物排放是否能够实现稳定达标和满足总量控制指标要求；各类危险废物临时贮存及处置</w:t>
      </w:r>
      <w:r w:rsidRPr="00237422">
        <w:rPr>
          <w:rFonts w:hint="eastAsia"/>
          <w:sz w:val="24"/>
        </w:rPr>
        <w:lastRenderedPageBreak/>
        <w:t>措施是否规范、合理，环境风险防范措施是否有效，环境风险水平是否在环境可接受范围之内等环境问题。</w:t>
      </w:r>
    </w:p>
    <w:p w14:paraId="1BB62E5A" w14:textId="77777777" w:rsidR="00ED72C1" w:rsidRPr="00AD7079" w:rsidRDefault="00ED72C1" w:rsidP="00ED72C1">
      <w:pPr>
        <w:spacing w:line="520" w:lineRule="exact"/>
        <w:ind w:firstLine="480"/>
        <w:rPr>
          <w:sz w:val="24"/>
        </w:rPr>
      </w:pPr>
      <w:r w:rsidRPr="00237422">
        <w:rPr>
          <w:rFonts w:hint="eastAsia"/>
          <w:sz w:val="24"/>
        </w:rPr>
        <w:t>根据项目特征，环评重点分析工程排放废气、废水、噪声以及危险废物处置对环境的影响以及存在的潜在环境风险，提出优化项目污染防治和环境风险防范措施的对策建议，进一步减轻或减缓项目建设的环境影响。</w:t>
      </w:r>
    </w:p>
    <w:p w14:paraId="371D02B8" w14:textId="5F92FCE1" w:rsidR="00ED72C1" w:rsidRPr="00790CFB" w:rsidRDefault="00ED72C1" w:rsidP="0003785A">
      <w:pPr>
        <w:spacing w:line="520" w:lineRule="exact"/>
        <w:ind w:firstLine="480"/>
        <w:rPr>
          <w:rFonts w:asciiTheme="minorHAnsi" w:hAnsiTheme="minorHAnsi"/>
          <w:sz w:val="24"/>
        </w:rPr>
      </w:pPr>
      <w:r w:rsidRPr="00790CFB">
        <w:rPr>
          <w:rFonts w:asciiTheme="minorHAnsi" w:hAnsiTheme="minorHAnsi"/>
          <w:sz w:val="24"/>
        </w:rPr>
        <w:t>（</w:t>
      </w:r>
      <w:r w:rsidRPr="00790CFB">
        <w:rPr>
          <w:rFonts w:asciiTheme="minorHAnsi" w:hAnsiTheme="minorHAnsi"/>
          <w:sz w:val="24"/>
        </w:rPr>
        <w:t>1</w:t>
      </w:r>
      <w:r w:rsidRPr="00790CFB">
        <w:rPr>
          <w:rFonts w:asciiTheme="minorHAnsi" w:hAnsiTheme="minorHAnsi"/>
          <w:sz w:val="24"/>
        </w:rPr>
        <w:t>）废气</w:t>
      </w:r>
      <w:r w:rsidR="006833CA">
        <w:rPr>
          <w:rFonts w:asciiTheme="minorHAnsi" w:hAnsiTheme="minorHAnsi" w:hint="eastAsia"/>
          <w:sz w:val="24"/>
        </w:rPr>
        <w:t>：</w:t>
      </w:r>
      <w:r w:rsidR="00430E40" w:rsidRPr="00430E40">
        <w:rPr>
          <w:sz w:val="24"/>
        </w:rPr>
        <w:t>生产车间聚合及</w:t>
      </w:r>
      <w:r w:rsidR="00430E40" w:rsidRPr="00430E40">
        <w:rPr>
          <w:rFonts w:hint="eastAsia"/>
          <w:sz w:val="24"/>
        </w:rPr>
        <w:t>聚合釜下料</w:t>
      </w:r>
      <w:r w:rsidR="00430E40" w:rsidRPr="00430E40">
        <w:rPr>
          <w:sz w:val="24"/>
        </w:rPr>
        <w:t>有机废气</w:t>
      </w:r>
      <w:r w:rsidRPr="00430E40">
        <w:rPr>
          <w:sz w:val="24"/>
        </w:rPr>
        <w:t>进</w:t>
      </w:r>
      <w:r w:rsidRPr="00790CFB">
        <w:rPr>
          <w:rFonts w:asciiTheme="minorHAnsi" w:hAnsiTheme="minorHAnsi"/>
          <w:sz w:val="24"/>
        </w:rPr>
        <w:t>入</w:t>
      </w:r>
      <w:r w:rsidR="0075760C" w:rsidRPr="0075760C">
        <w:rPr>
          <w:rFonts w:asciiTheme="minorHAnsi" w:hAnsiTheme="minorHAnsi" w:hint="eastAsia"/>
          <w:sz w:val="24"/>
        </w:rPr>
        <w:t>水喷淋</w:t>
      </w:r>
      <w:r w:rsidR="0075760C" w:rsidRPr="0075760C">
        <w:rPr>
          <w:rFonts w:asciiTheme="minorHAnsi" w:hAnsiTheme="minorHAnsi" w:hint="eastAsia"/>
          <w:sz w:val="24"/>
        </w:rPr>
        <w:t>+</w:t>
      </w:r>
      <w:r w:rsidR="0075760C" w:rsidRPr="0075760C">
        <w:rPr>
          <w:rFonts w:asciiTheme="minorHAnsi" w:hAnsiTheme="minorHAnsi" w:hint="eastAsia"/>
          <w:sz w:val="24"/>
        </w:rPr>
        <w:t>活性炭吸附装置</w:t>
      </w:r>
      <w:r w:rsidRPr="00790CFB">
        <w:rPr>
          <w:rFonts w:asciiTheme="minorHAnsi" w:hAnsiTheme="minorHAnsi"/>
          <w:sz w:val="24"/>
        </w:rPr>
        <w:t>处理后经</w:t>
      </w:r>
      <w:r w:rsidRPr="00790CFB">
        <w:rPr>
          <w:rFonts w:asciiTheme="minorHAnsi" w:hAnsiTheme="minorHAnsi"/>
          <w:sz w:val="24"/>
        </w:rPr>
        <w:t>1</w:t>
      </w:r>
      <w:r w:rsidRPr="00790CFB">
        <w:rPr>
          <w:rFonts w:asciiTheme="minorHAnsi" w:hAnsiTheme="minorHAnsi"/>
          <w:sz w:val="24"/>
        </w:rPr>
        <w:t>根</w:t>
      </w:r>
      <w:r w:rsidRPr="00790CFB">
        <w:rPr>
          <w:rFonts w:asciiTheme="minorHAnsi" w:hAnsiTheme="minorHAnsi"/>
          <w:sz w:val="24"/>
        </w:rPr>
        <w:t>25m</w:t>
      </w:r>
      <w:r w:rsidRPr="00790CFB">
        <w:rPr>
          <w:rFonts w:asciiTheme="minorHAnsi" w:hAnsiTheme="minorHAnsi"/>
          <w:sz w:val="24"/>
        </w:rPr>
        <w:t>高排气筒排放；</w:t>
      </w:r>
      <w:r w:rsidR="0003785A" w:rsidRPr="0003785A">
        <w:rPr>
          <w:rFonts w:asciiTheme="minorHAnsi" w:hAnsiTheme="minorHAnsi" w:hint="eastAsia"/>
          <w:sz w:val="24"/>
        </w:rPr>
        <w:t>导热油炉以天然气为燃料，采用低氮燃烧技术；</w:t>
      </w:r>
      <w:r w:rsidRPr="00790CFB">
        <w:rPr>
          <w:rFonts w:asciiTheme="minorHAnsi" w:hAnsiTheme="minorHAnsi"/>
          <w:sz w:val="24"/>
        </w:rPr>
        <w:t>污水处理站恶臭气体收集后经光氧催化</w:t>
      </w:r>
      <w:r w:rsidRPr="00790CFB">
        <w:rPr>
          <w:rFonts w:asciiTheme="minorHAnsi" w:hAnsiTheme="minorHAnsi"/>
          <w:sz w:val="24"/>
        </w:rPr>
        <w:t>+</w:t>
      </w:r>
      <w:r w:rsidRPr="00790CFB">
        <w:rPr>
          <w:rFonts w:asciiTheme="minorHAnsi" w:hAnsiTheme="minorHAnsi"/>
          <w:sz w:val="24"/>
        </w:rPr>
        <w:t>活性炭吸附装置处理后通过</w:t>
      </w:r>
      <w:r w:rsidRPr="00790CFB">
        <w:rPr>
          <w:rFonts w:asciiTheme="minorHAnsi" w:hAnsiTheme="minorHAnsi"/>
          <w:sz w:val="24"/>
        </w:rPr>
        <w:t>15m</w:t>
      </w:r>
      <w:r w:rsidRPr="00790CFB">
        <w:rPr>
          <w:rFonts w:asciiTheme="minorHAnsi" w:hAnsiTheme="minorHAnsi"/>
          <w:sz w:val="24"/>
        </w:rPr>
        <w:t>高排气筒排放</w:t>
      </w:r>
      <w:r w:rsidR="00CE7021">
        <w:rPr>
          <w:rFonts w:asciiTheme="minorHAnsi" w:hAnsiTheme="minorHAnsi" w:hint="eastAsia"/>
          <w:sz w:val="24"/>
        </w:rPr>
        <w:t>；</w:t>
      </w:r>
      <w:r w:rsidR="0092085C">
        <w:rPr>
          <w:rFonts w:asciiTheme="minorHAnsi" w:hAnsiTheme="minorHAnsi" w:hint="eastAsia"/>
          <w:sz w:val="24"/>
        </w:rPr>
        <w:t>品控中心</w:t>
      </w:r>
      <w:r w:rsidR="00CE7021">
        <w:rPr>
          <w:rFonts w:asciiTheme="minorHAnsi" w:hAnsiTheme="minorHAnsi"/>
          <w:sz w:val="24"/>
        </w:rPr>
        <w:t>废气经活性炭吸附装置处理后</w:t>
      </w:r>
      <w:r w:rsidR="00CE7021">
        <w:rPr>
          <w:rFonts w:asciiTheme="minorHAnsi" w:hAnsiTheme="minorHAnsi" w:hint="eastAsia"/>
          <w:sz w:val="24"/>
        </w:rPr>
        <w:t>楼顶排放</w:t>
      </w:r>
      <w:r w:rsidR="00CE7021">
        <w:rPr>
          <w:rFonts w:asciiTheme="minorHAnsi" w:hAnsiTheme="minorHAnsi"/>
          <w:sz w:val="24"/>
        </w:rPr>
        <w:t>。</w:t>
      </w:r>
    </w:p>
    <w:p w14:paraId="6EFE2661" w14:textId="4367AE8F" w:rsidR="00ED72C1" w:rsidRPr="00790CFB" w:rsidRDefault="00ED72C1" w:rsidP="0003785A">
      <w:pPr>
        <w:spacing w:line="520" w:lineRule="exact"/>
        <w:ind w:firstLine="480"/>
        <w:rPr>
          <w:rFonts w:asciiTheme="minorHAnsi" w:hAnsiTheme="minorHAnsi"/>
          <w:sz w:val="24"/>
        </w:rPr>
      </w:pPr>
      <w:r w:rsidRPr="00790CFB">
        <w:rPr>
          <w:rFonts w:asciiTheme="minorHAnsi" w:hAnsiTheme="minorHAnsi"/>
          <w:sz w:val="24"/>
        </w:rPr>
        <w:t>（</w:t>
      </w:r>
      <w:r w:rsidRPr="00790CFB">
        <w:rPr>
          <w:rFonts w:asciiTheme="minorHAnsi" w:hAnsiTheme="minorHAnsi"/>
          <w:sz w:val="24"/>
        </w:rPr>
        <w:t>2</w:t>
      </w:r>
      <w:r w:rsidR="0003785A">
        <w:rPr>
          <w:rFonts w:asciiTheme="minorHAnsi" w:hAnsiTheme="minorHAnsi"/>
          <w:sz w:val="24"/>
        </w:rPr>
        <w:t>）废水：</w:t>
      </w:r>
      <w:r w:rsidRPr="00790CFB">
        <w:rPr>
          <w:rFonts w:asciiTheme="minorHAnsi" w:hAnsiTheme="minorHAnsi"/>
          <w:sz w:val="24"/>
        </w:rPr>
        <w:t>工艺废水、废气喷淋系统废水、制粒系统冷却废水、聚合真空</w:t>
      </w:r>
      <w:r w:rsidR="00A52365">
        <w:rPr>
          <w:rFonts w:asciiTheme="minorHAnsi" w:hAnsiTheme="minorHAnsi" w:hint="eastAsia"/>
          <w:sz w:val="24"/>
        </w:rPr>
        <w:t>及冷凝</w:t>
      </w:r>
      <w:r w:rsidR="00A52365">
        <w:rPr>
          <w:rFonts w:asciiTheme="minorHAnsi" w:hAnsiTheme="minorHAnsi"/>
          <w:sz w:val="24"/>
        </w:rPr>
        <w:t>循环</w:t>
      </w:r>
      <w:r w:rsidRPr="00790CFB">
        <w:rPr>
          <w:rFonts w:asciiTheme="minorHAnsi" w:hAnsiTheme="minorHAnsi"/>
          <w:sz w:val="24"/>
        </w:rPr>
        <w:t>系统废水、地面</w:t>
      </w:r>
      <w:r w:rsidR="00E01926">
        <w:rPr>
          <w:rFonts w:asciiTheme="minorHAnsi" w:hAnsiTheme="minorHAnsi"/>
          <w:sz w:val="24"/>
        </w:rPr>
        <w:t>冲洗废水废水及生活污水，经管道输送至污水处理站处理后进入平顶山</w:t>
      </w:r>
      <w:r w:rsidRPr="00790CFB">
        <w:rPr>
          <w:rFonts w:asciiTheme="minorHAnsi" w:hAnsiTheme="minorHAnsi"/>
          <w:sz w:val="24"/>
        </w:rPr>
        <w:t>第三污水处理厂再次处理达标后排放，本次配套污水处理站规模</w:t>
      </w:r>
      <w:r w:rsidR="00217891">
        <w:rPr>
          <w:rFonts w:asciiTheme="minorHAnsi" w:hAnsiTheme="minorHAnsi"/>
          <w:sz w:val="24"/>
        </w:rPr>
        <w:t>100t</w:t>
      </w:r>
      <w:r w:rsidRPr="00790CFB">
        <w:rPr>
          <w:rFonts w:asciiTheme="minorHAnsi" w:hAnsiTheme="minorHAnsi"/>
          <w:sz w:val="24"/>
        </w:rPr>
        <w:t>/d</w:t>
      </w:r>
      <w:r w:rsidRPr="00790CFB">
        <w:rPr>
          <w:rFonts w:asciiTheme="minorHAnsi" w:hAnsiTheme="minorHAnsi"/>
          <w:sz w:val="24"/>
        </w:rPr>
        <w:t>，处理工艺</w:t>
      </w:r>
      <w:r w:rsidR="00790CFB">
        <w:rPr>
          <w:rFonts w:asciiTheme="minorHAnsi" w:hAnsiTheme="minorHAnsi" w:hint="eastAsia"/>
          <w:sz w:val="24"/>
        </w:rPr>
        <w:t>“</w:t>
      </w:r>
      <w:r w:rsidR="00790CFB" w:rsidRPr="00790CFB">
        <w:rPr>
          <w:rFonts w:asciiTheme="minorHAnsi" w:hAnsiTheme="minorHAnsi"/>
          <w:sz w:val="24"/>
        </w:rPr>
        <w:t>水解酸化</w:t>
      </w:r>
      <w:r w:rsidR="00790CFB">
        <w:rPr>
          <w:rFonts w:asciiTheme="minorHAnsi" w:hAnsiTheme="minorHAnsi"/>
          <w:sz w:val="24"/>
        </w:rPr>
        <w:t>+A/O</w:t>
      </w:r>
      <w:r w:rsidR="00790CFB" w:rsidRPr="00790CFB">
        <w:rPr>
          <w:rFonts w:asciiTheme="minorHAnsi" w:hAnsiTheme="minorHAnsi"/>
          <w:sz w:val="24"/>
        </w:rPr>
        <w:t>+</w:t>
      </w:r>
      <w:r w:rsidR="00790CFB" w:rsidRPr="00790CFB">
        <w:rPr>
          <w:rFonts w:asciiTheme="minorHAnsi" w:hAnsiTheme="minorHAnsi"/>
          <w:sz w:val="24"/>
        </w:rPr>
        <w:t>沉淀</w:t>
      </w:r>
      <w:r w:rsidR="00790CFB">
        <w:rPr>
          <w:rFonts w:asciiTheme="minorHAnsi" w:hAnsiTheme="minorHAnsi" w:hint="eastAsia"/>
          <w:sz w:val="24"/>
        </w:rPr>
        <w:t>”</w:t>
      </w:r>
      <w:r w:rsidRPr="00790CFB">
        <w:rPr>
          <w:rFonts w:asciiTheme="minorHAnsi" w:hAnsiTheme="minorHAnsi"/>
          <w:sz w:val="24"/>
        </w:rPr>
        <w:t>，满足生产需求；生产区初期雨水经初期雨水收集池收集后导排至污水处理站处理；</w:t>
      </w:r>
      <w:r w:rsidR="001E163D" w:rsidRPr="00790CFB">
        <w:rPr>
          <w:rFonts w:asciiTheme="minorHAnsi" w:hAnsiTheme="minorHAnsi"/>
          <w:sz w:val="24"/>
        </w:rPr>
        <w:t>循环水站</w:t>
      </w:r>
      <w:r w:rsidR="0003785A">
        <w:rPr>
          <w:rFonts w:asciiTheme="minorHAnsi" w:hAnsiTheme="minorHAnsi" w:hint="eastAsia"/>
          <w:sz w:val="24"/>
        </w:rPr>
        <w:t>及纯水</w:t>
      </w:r>
      <w:r w:rsidRPr="00790CFB">
        <w:rPr>
          <w:rFonts w:asciiTheme="minorHAnsi" w:hAnsiTheme="minorHAnsi"/>
          <w:sz w:val="24"/>
        </w:rPr>
        <w:t>制备系统排水</w:t>
      </w:r>
      <w:r w:rsidR="0003785A">
        <w:rPr>
          <w:rFonts w:asciiTheme="minorHAnsi" w:hAnsiTheme="minorHAnsi" w:hint="eastAsia"/>
          <w:sz w:val="24"/>
        </w:rPr>
        <w:t>污染物</w:t>
      </w:r>
      <w:r w:rsidR="0003785A">
        <w:rPr>
          <w:rFonts w:asciiTheme="minorHAnsi" w:hAnsiTheme="minorHAnsi"/>
          <w:sz w:val="24"/>
        </w:rPr>
        <w:t>含量少，</w:t>
      </w:r>
      <w:r w:rsidRPr="00790CFB">
        <w:rPr>
          <w:rFonts w:asciiTheme="minorHAnsi" w:hAnsiTheme="minorHAnsi"/>
          <w:sz w:val="24"/>
        </w:rPr>
        <w:t>直接从厂区总排口排放。</w:t>
      </w:r>
    </w:p>
    <w:p w14:paraId="271359C4" w14:textId="4B0955E7" w:rsidR="00ED72C1" w:rsidRPr="00790CFB" w:rsidRDefault="00E01926" w:rsidP="00ED72C1">
      <w:pPr>
        <w:spacing w:line="520" w:lineRule="exact"/>
        <w:ind w:firstLine="480"/>
        <w:rPr>
          <w:rFonts w:asciiTheme="minorHAnsi" w:hAnsiTheme="minorHAnsi"/>
          <w:sz w:val="24"/>
        </w:rPr>
      </w:pPr>
      <w:r>
        <w:rPr>
          <w:rFonts w:asciiTheme="minorHAnsi" w:hAnsiTheme="minorHAnsi"/>
          <w:sz w:val="24"/>
        </w:rPr>
        <w:t>项目在平顶山</w:t>
      </w:r>
      <w:r w:rsidR="00ED72C1" w:rsidRPr="00790CFB">
        <w:rPr>
          <w:rFonts w:asciiTheme="minorHAnsi" w:hAnsiTheme="minorHAnsi"/>
          <w:sz w:val="24"/>
        </w:rPr>
        <w:t>第三污水处理厂的收水范围之内，排水水质满足污水处理厂进水设计指标要求，不会对污水处理厂造成冲击，也不会影响其处理效率，从排水路径上项目排入该污水处理厂是可行的。</w:t>
      </w:r>
    </w:p>
    <w:p w14:paraId="2C6777DD" w14:textId="77777777" w:rsidR="00ED72C1" w:rsidRPr="00790CFB" w:rsidRDefault="00ED72C1" w:rsidP="000461B1">
      <w:pPr>
        <w:spacing w:line="520" w:lineRule="exact"/>
        <w:ind w:firstLine="480"/>
        <w:rPr>
          <w:rFonts w:asciiTheme="minorHAnsi" w:hAnsiTheme="minorHAnsi"/>
          <w:sz w:val="24"/>
          <w:szCs w:val="28"/>
        </w:rPr>
      </w:pPr>
      <w:r w:rsidRPr="00790CFB">
        <w:rPr>
          <w:rFonts w:asciiTheme="minorHAnsi" w:hAnsiTheme="minorHAnsi"/>
          <w:sz w:val="24"/>
        </w:rPr>
        <w:t>（</w:t>
      </w:r>
      <w:r w:rsidRPr="00790CFB">
        <w:rPr>
          <w:rFonts w:asciiTheme="minorHAnsi" w:hAnsiTheme="minorHAnsi"/>
          <w:sz w:val="24"/>
        </w:rPr>
        <w:t>3</w:t>
      </w:r>
      <w:r w:rsidRPr="00790CFB">
        <w:rPr>
          <w:rFonts w:asciiTheme="minorHAnsi" w:hAnsiTheme="minorHAnsi"/>
          <w:sz w:val="24"/>
        </w:rPr>
        <w:t>）噪声：工程噪声源主要为</w:t>
      </w:r>
      <w:r w:rsidR="001E163D" w:rsidRPr="00790CFB">
        <w:rPr>
          <w:rFonts w:asciiTheme="minorHAnsi" w:hAnsiTheme="minorHAnsi"/>
          <w:sz w:val="24"/>
        </w:rPr>
        <w:t>生产车间内</w:t>
      </w:r>
      <w:r w:rsidRPr="00790CFB">
        <w:rPr>
          <w:rFonts w:asciiTheme="minorHAnsi" w:hAnsiTheme="minorHAnsi"/>
          <w:sz w:val="24"/>
          <w:szCs w:val="28"/>
        </w:rPr>
        <w:t>各类泵机</w:t>
      </w:r>
      <w:r w:rsidR="001E163D" w:rsidRPr="00790CFB">
        <w:rPr>
          <w:rFonts w:asciiTheme="minorHAnsi" w:hAnsiTheme="minorHAnsi"/>
          <w:sz w:val="24"/>
          <w:szCs w:val="28"/>
        </w:rPr>
        <w:t>、空压机、鼓风机、引风机</w:t>
      </w:r>
      <w:r w:rsidRPr="00790CFB">
        <w:rPr>
          <w:rFonts w:asciiTheme="minorHAnsi" w:hAnsiTheme="minorHAnsi"/>
          <w:sz w:val="24"/>
          <w:szCs w:val="28"/>
        </w:rPr>
        <w:t>以及</w:t>
      </w:r>
      <w:r w:rsidR="001E163D" w:rsidRPr="00790CFB">
        <w:rPr>
          <w:rFonts w:asciiTheme="minorHAnsi" w:hAnsiTheme="minorHAnsi"/>
          <w:sz w:val="24"/>
          <w:szCs w:val="28"/>
        </w:rPr>
        <w:t>生产车间外的泵机、鼓风机、风机等</w:t>
      </w:r>
      <w:r w:rsidRPr="00790CFB">
        <w:rPr>
          <w:rFonts w:asciiTheme="minorHAnsi" w:hAnsiTheme="minorHAnsi"/>
          <w:sz w:val="24"/>
          <w:szCs w:val="28"/>
        </w:rPr>
        <w:t>，噪声级在</w:t>
      </w:r>
      <w:r w:rsidR="001E163D" w:rsidRPr="00790CFB">
        <w:rPr>
          <w:rFonts w:asciiTheme="minorHAnsi" w:hAnsiTheme="minorHAnsi"/>
          <w:sz w:val="24"/>
          <w:szCs w:val="28"/>
        </w:rPr>
        <w:t>85</w:t>
      </w:r>
      <w:r w:rsidR="00790CFB" w:rsidRPr="00790CFB">
        <w:rPr>
          <w:rFonts w:asciiTheme="minorHAnsi" w:hAnsiTheme="minorHAnsi" w:hint="eastAsia"/>
          <w:sz w:val="24"/>
          <w:szCs w:val="28"/>
        </w:rPr>
        <w:t>～</w:t>
      </w:r>
      <w:r w:rsidR="001E163D" w:rsidRPr="00790CFB">
        <w:rPr>
          <w:rFonts w:asciiTheme="minorHAnsi" w:hAnsiTheme="minorHAnsi"/>
          <w:sz w:val="24"/>
          <w:szCs w:val="28"/>
        </w:rPr>
        <w:t>90</w:t>
      </w:r>
      <w:r w:rsidRPr="00790CFB">
        <w:rPr>
          <w:rFonts w:asciiTheme="minorHAnsi" w:hAnsiTheme="minorHAnsi"/>
          <w:sz w:val="24"/>
          <w:szCs w:val="28"/>
        </w:rPr>
        <w:t>dB</w:t>
      </w:r>
      <w:r w:rsidRPr="00790CFB">
        <w:rPr>
          <w:rFonts w:asciiTheme="minorHAnsi" w:hAnsiTheme="minorHAnsi"/>
          <w:sz w:val="24"/>
          <w:szCs w:val="28"/>
        </w:rPr>
        <w:t>左右</w:t>
      </w:r>
      <w:r w:rsidRPr="00790CFB">
        <w:rPr>
          <w:rFonts w:asciiTheme="minorHAnsi" w:hAnsiTheme="minorHAnsi"/>
          <w:sz w:val="24"/>
        </w:rPr>
        <w:t>，经采取相应的隔声、减振、消声等措施后，预测噪声能够达标排放。</w:t>
      </w:r>
    </w:p>
    <w:p w14:paraId="186E33F3" w14:textId="77777777" w:rsidR="00ED72C1" w:rsidRPr="00790CFB" w:rsidRDefault="00ED72C1" w:rsidP="00DA2F07">
      <w:pPr>
        <w:spacing w:line="520" w:lineRule="exact"/>
        <w:ind w:firstLine="480"/>
        <w:rPr>
          <w:rFonts w:asciiTheme="minorHAnsi" w:hAnsiTheme="minorHAnsi"/>
          <w:sz w:val="24"/>
        </w:rPr>
      </w:pPr>
      <w:r w:rsidRPr="00790CFB">
        <w:rPr>
          <w:rFonts w:asciiTheme="minorHAnsi" w:hAnsiTheme="minorHAnsi"/>
          <w:sz w:val="24"/>
        </w:rPr>
        <w:t>（</w:t>
      </w:r>
      <w:r w:rsidRPr="00790CFB">
        <w:rPr>
          <w:rFonts w:asciiTheme="minorHAnsi" w:hAnsiTheme="minorHAnsi"/>
          <w:sz w:val="24"/>
        </w:rPr>
        <w:t>4</w:t>
      </w:r>
      <w:r w:rsidRPr="00790CFB">
        <w:rPr>
          <w:rFonts w:asciiTheme="minorHAnsi" w:hAnsiTheme="minorHAnsi"/>
          <w:sz w:val="24"/>
        </w:rPr>
        <w:t>）固体废物：</w:t>
      </w:r>
      <w:r w:rsidR="0003785A">
        <w:rPr>
          <w:rFonts w:asciiTheme="minorHAnsi" w:hAnsiTheme="minorHAnsi" w:hint="eastAsia"/>
          <w:sz w:val="24"/>
        </w:rPr>
        <w:t>生产过程产生</w:t>
      </w:r>
      <w:r w:rsidR="0003785A">
        <w:rPr>
          <w:rFonts w:asciiTheme="minorHAnsi" w:hAnsiTheme="minorHAnsi"/>
          <w:sz w:val="24"/>
        </w:rPr>
        <w:t>的</w:t>
      </w:r>
      <w:r w:rsidR="0003785A" w:rsidRPr="0003785A">
        <w:rPr>
          <w:rFonts w:asciiTheme="minorHAnsi" w:hAnsiTheme="minorHAnsi" w:hint="eastAsia"/>
          <w:sz w:val="24"/>
        </w:rPr>
        <w:t>瑕疵品</w:t>
      </w:r>
      <w:r w:rsidR="0003785A">
        <w:rPr>
          <w:rFonts w:asciiTheme="minorHAnsi" w:hAnsiTheme="minorHAnsi" w:hint="eastAsia"/>
          <w:sz w:val="24"/>
        </w:rPr>
        <w:t>作为</w:t>
      </w:r>
      <w:r w:rsidRPr="00790CFB">
        <w:rPr>
          <w:rFonts w:asciiTheme="minorHAnsi" w:hAnsiTheme="minorHAnsi"/>
          <w:sz w:val="24"/>
        </w:rPr>
        <w:t>较低级的产品出售；</w:t>
      </w:r>
      <w:r w:rsidR="00CA2479" w:rsidRPr="00CA2479">
        <w:rPr>
          <w:rFonts w:asciiTheme="minorHAnsi" w:hAnsiTheme="minorHAnsi" w:hint="eastAsia"/>
          <w:sz w:val="24"/>
        </w:rPr>
        <w:t>废导热油、</w:t>
      </w:r>
      <w:r w:rsidR="00DA2F07">
        <w:rPr>
          <w:rFonts w:asciiTheme="minorHAnsi" w:hAnsiTheme="minorHAnsi" w:hint="eastAsia"/>
          <w:sz w:val="24"/>
        </w:rPr>
        <w:t>废机油</w:t>
      </w:r>
      <w:r w:rsidR="00DA2F07">
        <w:rPr>
          <w:rFonts w:asciiTheme="minorHAnsi" w:hAnsiTheme="minorHAnsi"/>
          <w:sz w:val="24"/>
        </w:rPr>
        <w:t>、</w:t>
      </w:r>
      <w:r w:rsidR="0092085C" w:rsidRPr="0092085C">
        <w:rPr>
          <w:rFonts w:asciiTheme="minorHAnsi" w:hAnsiTheme="minorHAnsi" w:hint="eastAsia"/>
          <w:sz w:val="24"/>
        </w:rPr>
        <w:t>品控中心</w:t>
      </w:r>
      <w:r w:rsidR="00DA2F07">
        <w:rPr>
          <w:rFonts w:asciiTheme="minorHAnsi" w:hAnsiTheme="minorHAnsi"/>
          <w:sz w:val="24"/>
        </w:rPr>
        <w:t>废物、</w:t>
      </w:r>
      <w:r w:rsidR="00CA2479" w:rsidRPr="00CA2479">
        <w:rPr>
          <w:rFonts w:asciiTheme="minorHAnsi" w:hAnsiTheme="minorHAnsi"/>
          <w:sz w:val="24"/>
        </w:rPr>
        <w:t>废灯管</w:t>
      </w:r>
      <w:r w:rsidR="00CA2479" w:rsidRPr="00CA2479">
        <w:rPr>
          <w:rFonts w:asciiTheme="minorHAnsi" w:hAnsiTheme="minorHAnsi" w:hint="eastAsia"/>
          <w:sz w:val="24"/>
        </w:rPr>
        <w:t>、</w:t>
      </w:r>
      <w:r w:rsidR="00CA2479" w:rsidRPr="00CA2479">
        <w:rPr>
          <w:rFonts w:asciiTheme="minorHAnsi" w:hAnsiTheme="minorHAnsi"/>
          <w:sz w:val="24"/>
        </w:rPr>
        <w:t>废活性炭</w:t>
      </w:r>
      <w:r w:rsidR="00CA2479" w:rsidRPr="00CA2479">
        <w:rPr>
          <w:rFonts w:asciiTheme="minorHAnsi" w:hAnsiTheme="minorHAnsi" w:hint="eastAsia"/>
          <w:sz w:val="24"/>
        </w:rPr>
        <w:t>为危险废物</w:t>
      </w:r>
      <w:r w:rsidR="00CA2479">
        <w:rPr>
          <w:rFonts w:asciiTheme="minorHAnsi" w:hAnsiTheme="minorHAnsi" w:hint="eastAsia"/>
          <w:sz w:val="24"/>
        </w:rPr>
        <w:t>，</w:t>
      </w:r>
      <w:r w:rsidR="00CA2479" w:rsidRPr="00790CFB">
        <w:rPr>
          <w:rFonts w:asciiTheme="minorHAnsi" w:hAnsiTheme="minorHAnsi"/>
          <w:sz w:val="24"/>
        </w:rPr>
        <w:t>定期交有资质单位处置；</w:t>
      </w:r>
      <w:r w:rsidRPr="00790CFB">
        <w:rPr>
          <w:rFonts w:asciiTheme="minorHAnsi" w:hAnsiTheme="minorHAnsi"/>
          <w:sz w:val="24"/>
        </w:rPr>
        <w:t>纯水制备废反渗透膜经厂家回收处理，</w:t>
      </w:r>
      <w:r w:rsidR="00DA2F07">
        <w:rPr>
          <w:rFonts w:asciiTheme="minorHAnsi" w:hAnsiTheme="minorHAnsi" w:hint="eastAsia"/>
          <w:sz w:val="24"/>
        </w:rPr>
        <w:t>原料</w:t>
      </w:r>
      <w:r w:rsidR="00DA2F07" w:rsidRPr="00CA2479">
        <w:rPr>
          <w:rFonts w:asciiTheme="minorHAnsi" w:hAnsiTheme="minorHAnsi" w:hint="eastAsia"/>
          <w:sz w:val="24"/>
        </w:rPr>
        <w:t>拆包产生的废包装材料</w:t>
      </w:r>
      <w:r w:rsidR="00DA2F07">
        <w:rPr>
          <w:rFonts w:asciiTheme="minorHAnsi" w:hAnsiTheme="minorHAnsi" w:hint="eastAsia"/>
          <w:sz w:val="24"/>
        </w:rPr>
        <w:t>交由废品</w:t>
      </w:r>
      <w:r w:rsidR="00DA2F07">
        <w:rPr>
          <w:rFonts w:asciiTheme="minorHAnsi" w:hAnsiTheme="minorHAnsi"/>
          <w:sz w:val="24"/>
        </w:rPr>
        <w:t>回收公司处理</w:t>
      </w:r>
      <w:r w:rsidR="00DA2F07">
        <w:rPr>
          <w:rFonts w:asciiTheme="minorHAnsi" w:hAnsiTheme="minorHAnsi" w:hint="eastAsia"/>
          <w:sz w:val="24"/>
        </w:rPr>
        <w:t>，</w:t>
      </w:r>
      <w:r w:rsidR="00DA2F07" w:rsidRPr="00DA2F07">
        <w:rPr>
          <w:rFonts w:asciiTheme="minorHAnsi" w:hAnsiTheme="minorHAnsi" w:hint="eastAsia"/>
          <w:sz w:val="24"/>
        </w:rPr>
        <w:t>污水处理站污泥在厂区暂存后交由叶县生活垃圾焚烧发电厂处理</w:t>
      </w:r>
      <w:r w:rsidR="007D4A47">
        <w:rPr>
          <w:rFonts w:asciiTheme="minorHAnsi" w:hAnsiTheme="minorHAnsi" w:hint="eastAsia"/>
          <w:sz w:val="24"/>
        </w:rPr>
        <w:t>，</w:t>
      </w:r>
      <w:r w:rsidRPr="00790CFB">
        <w:rPr>
          <w:rFonts w:asciiTheme="minorHAnsi" w:hAnsiTheme="minorHAnsi"/>
          <w:sz w:val="24"/>
        </w:rPr>
        <w:t>生活垃圾经环卫人员转运至产业集聚区垃圾中转站。</w:t>
      </w:r>
    </w:p>
    <w:p w14:paraId="56CBC2E0" w14:textId="77777777" w:rsidR="00790CFB" w:rsidRPr="00790CFB" w:rsidRDefault="003220FD" w:rsidP="003220FD">
      <w:pPr>
        <w:pStyle w:val="00"/>
        <w:rPr>
          <w:rFonts w:asciiTheme="minorHAnsi" w:hAnsiTheme="minorHAnsi"/>
        </w:rPr>
      </w:pPr>
      <w:r w:rsidRPr="00790CFB">
        <w:rPr>
          <w:rFonts w:asciiTheme="minorHAnsi" w:hAnsiTheme="minorHAnsi"/>
          <w:color w:val="auto"/>
        </w:rPr>
        <w:lastRenderedPageBreak/>
        <w:t>（</w:t>
      </w:r>
      <w:r w:rsidR="00CA2479">
        <w:rPr>
          <w:rFonts w:asciiTheme="minorHAnsi" w:hAnsiTheme="minorHAnsi"/>
          <w:color w:val="auto"/>
        </w:rPr>
        <w:t>5</w:t>
      </w:r>
      <w:r w:rsidRPr="00790CFB">
        <w:rPr>
          <w:rFonts w:asciiTheme="minorHAnsi" w:hAnsiTheme="minorHAnsi"/>
          <w:color w:val="auto"/>
        </w:rPr>
        <w:t>）环境风险：</w:t>
      </w:r>
      <w:r w:rsidR="001E163D" w:rsidRPr="00790CFB">
        <w:rPr>
          <w:rFonts w:asciiTheme="minorHAnsi" w:hAnsiTheme="minorHAnsi"/>
          <w:color w:val="auto"/>
        </w:rPr>
        <w:t>本项目风险简单分析，</w:t>
      </w:r>
      <w:r w:rsidR="00790CFB" w:rsidRPr="00790CFB">
        <w:rPr>
          <w:rFonts w:asciiTheme="minorHAnsi" w:hAnsiTheme="minorHAnsi"/>
        </w:rPr>
        <w:t>本项目环境风险处于可接受水平。</w:t>
      </w:r>
    </w:p>
    <w:p w14:paraId="61FFDDCB" w14:textId="77777777" w:rsidR="003220FD" w:rsidRPr="00790CFB" w:rsidRDefault="003220FD" w:rsidP="003220FD">
      <w:pPr>
        <w:pStyle w:val="00"/>
        <w:rPr>
          <w:rFonts w:asciiTheme="minorHAnsi" w:hAnsiTheme="minorHAnsi"/>
          <w:color w:val="auto"/>
        </w:rPr>
      </w:pPr>
      <w:r w:rsidRPr="00790CFB">
        <w:rPr>
          <w:rFonts w:asciiTheme="minorHAnsi" w:hAnsiTheme="minorHAnsi"/>
          <w:color w:val="auto"/>
        </w:rPr>
        <w:t>（</w:t>
      </w:r>
      <w:r w:rsidR="00CA2479">
        <w:rPr>
          <w:rFonts w:asciiTheme="minorHAnsi" w:hAnsiTheme="minorHAnsi"/>
          <w:color w:val="auto"/>
        </w:rPr>
        <w:t>6</w:t>
      </w:r>
      <w:r w:rsidRPr="00790CFB">
        <w:rPr>
          <w:rFonts w:asciiTheme="minorHAnsi" w:hAnsiTheme="minorHAnsi"/>
          <w:color w:val="auto"/>
        </w:rPr>
        <w:t>）地下水和土壤：本次评价重点关注</w:t>
      </w:r>
      <w:r w:rsidR="001E163D" w:rsidRPr="00790CFB">
        <w:rPr>
          <w:rFonts w:asciiTheme="minorHAnsi" w:hAnsiTheme="minorHAnsi"/>
          <w:color w:val="auto"/>
        </w:rPr>
        <w:t>原料</w:t>
      </w:r>
      <w:r w:rsidR="005B58F2" w:rsidRPr="00790CFB">
        <w:rPr>
          <w:rFonts w:asciiTheme="minorHAnsi" w:hAnsiTheme="minorHAnsi"/>
          <w:color w:val="auto"/>
        </w:rPr>
        <w:t>仓库、</w:t>
      </w:r>
      <w:r w:rsidR="003025E9" w:rsidRPr="00790CFB">
        <w:rPr>
          <w:rFonts w:asciiTheme="minorHAnsi" w:hAnsiTheme="minorHAnsi"/>
          <w:color w:val="auto"/>
        </w:rPr>
        <w:t>危废暂存间</w:t>
      </w:r>
      <w:r w:rsidRPr="00790CFB">
        <w:rPr>
          <w:rFonts w:asciiTheme="minorHAnsi" w:hAnsiTheme="minorHAnsi"/>
          <w:color w:val="auto"/>
        </w:rPr>
        <w:t>和废水处理站的防渗措施和防渗要求。</w:t>
      </w:r>
    </w:p>
    <w:p w14:paraId="2FECAD75" w14:textId="77777777" w:rsidR="008F4839" w:rsidRPr="00A964FF" w:rsidRDefault="008F4839" w:rsidP="003F0808">
      <w:pPr>
        <w:pStyle w:val="2f0"/>
        <w:rPr>
          <w:color w:val="auto"/>
        </w:rPr>
      </w:pPr>
      <w:bookmarkStart w:id="20" w:name="_Toc26006"/>
      <w:bookmarkStart w:id="21" w:name="_Toc112999893"/>
      <w:bookmarkEnd w:id="17"/>
      <w:bookmarkEnd w:id="18"/>
      <w:r w:rsidRPr="00A964FF">
        <w:rPr>
          <w:rFonts w:hint="eastAsia"/>
          <w:color w:val="auto"/>
        </w:rPr>
        <w:t>6</w:t>
      </w:r>
      <w:r w:rsidRPr="00A964FF">
        <w:rPr>
          <w:color w:val="auto"/>
        </w:rPr>
        <w:t>、环境影响报告书主要结论</w:t>
      </w:r>
      <w:bookmarkEnd w:id="19"/>
      <w:bookmarkEnd w:id="20"/>
      <w:bookmarkEnd w:id="21"/>
    </w:p>
    <w:p w14:paraId="25C72CE2" w14:textId="106349E7" w:rsidR="008F4839" w:rsidRPr="00CF2D4A" w:rsidRDefault="008F4839" w:rsidP="00CF2D4A">
      <w:pPr>
        <w:pStyle w:val="00"/>
        <w:rPr>
          <w:rFonts w:hAnsi="Calibri"/>
          <w:bCs/>
          <w:color w:val="auto"/>
        </w:rPr>
      </w:pPr>
      <w:r w:rsidRPr="00A964FF">
        <w:rPr>
          <w:rFonts w:ascii="Calibri" w:hint="eastAsia"/>
          <w:color w:val="auto"/>
        </w:rPr>
        <w:t>本项目为</w:t>
      </w:r>
      <w:r w:rsidR="00790CFB" w:rsidRPr="0088215F">
        <w:rPr>
          <w:rFonts w:ascii="Calibri" w:hAnsi="Calibri" w:hint="eastAsia"/>
          <w:caps/>
        </w:rPr>
        <w:t>平顶山倍安德塑化有限公司年产</w:t>
      </w:r>
      <w:r w:rsidR="00790CFB" w:rsidRPr="0088215F">
        <w:rPr>
          <w:rFonts w:ascii="Calibri" w:hAnsi="Calibri" w:hint="eastAsia"/>
          <w:caps/>
        </w:rPr>
        <w:t>5000</w:t>
      </w:r>
      <w:r w:rsidR="00790CFB" w:rsidRPr="0088215F">
        <w:rPr>
          <w:rFonts w:ascii="Calibri" w:hAnsi="Calibri" w:hint="eastAsia"/>
          <w:caps/>
        </w:rPr>
        <w:t>吨透明尼龙合成制造项目</w:t>
      </w:r>
      <w:r w:rsidRPr="00A964FF">
        <w:rPr>
          <w:rFonts w:ascii="Calibri" w:hint="eastAsia"/>
          <w:color w:val="auto"/>
        </w:rPr>
        <w:t>，</w:t>
      </w:r>
      <w:r w:rsidR="009448F0">
        <w:rPr>
          <w:rFonts w:ascii="Calibri" w:hAnsi="Calibri"/>
          <w:color w:val="auto"/>
        </w:rPr>
        <w:t>本项</w:t>
      </w:r>
      <w:r w:rsidR="00165ACC">
        <w:rPr>
          <w:rFonts w:ascii="Calibri" w:hAnsi="Calibri" w:hint="eastAsia"/>
          <w:color w:val="auto"/>
        </w:rPr>
        <w:t>属于鼓励类项目，</w:t>
      </w:r>
      <w:r w:rsidR="009238D6" w:rsidRPr="00A964FF">
        <w:rPr>
          <w:rFonts w:ascii="Calibri" w:hint="eastAsia"/>
          <w:color w:val="auto"/>
        </w:rPr>
        <w:t>符合国家当前产业政策，</w:t>
      </w:r>
      <w:r w:rsidRPr="00A964FF">
        <w:rPr>
          <w:rFonts w:ascii="Calibri" w:hint="eastAsia"/>
          <w:color w:val="auto"/>
        </w:rPr>
        <w:t>选址</w:t>
      </w:r>
      <w:r w:rsidR="003220FD" w:rsidRPr="00A964FF">
        <w:rPr>
          <w:rFonts w:ascii="Calibri" w:hint="eastAsia"/>
          <w:color w:val="auto"/>
        </w:rPr>
        <w:t>位于</w:t>
      </w:r>
      <w:r w:rsidR="008C7A91" w:rsidRPr="00A964FF">
        <w:rPr>
          <w:rFonts w:ascii="Calibri" w:hAnsi="Calibri" w:hint="eastAsia"/>
          <w:color w:val="auto"/>
        </w:rPr>
        <w:t>平顶山尼龙新材料产业集聚区</w:t>
      </w:r>
      <w:r w:rsidRPr="00A964FF">
        <w:rPr>
          <w:rFonts w:ascii="Calibri" w:hint="eastAsia"/>
          <w:color w:val="auto"/>
        </w:rPr>
        <w:t>，符合</w:t>
      </w:r>
      <w:r w:rsidR="003220FD" w:rsidRPr="00A964FF">
        <w:rPr>
          <w:rFonts w:ascii="Calibri" w:hint="eastAsia"/>
          <w:color w:val="auto"/>
        </w:rPr>
        <w:t>平顶山尼龙新材料产业集聚区</w:t>
      </w:r>
      <w:r w:rsidRPr="00A964FF">
        <w:rPr>
          <w:rFonts w:ascii="Calibri" w:hint="eastAsia"/>
          <w:color w:val="auto"/>
        </w:rPr>
        <w:t>产业定位</w:t>
      </w:r>
      <w:r w:rsidR="009238D6" w:rsidRPr="00A964FF">
        <w:rPr>
          <w:rFonts w:ascii="Calibri" w:hint="eastAsia"/>
          <w:color w:val="auto"/>
        </w:rPr>
        <w:t>和集聚区发展规划</w:t>
      </w:r>
      <w:r w:rsidRPr="00A964FF">
        <w:rPr>
          <w:rFonts w:ascii="Calibri" w:hint="eastAsia"/>
          <w:color w:val="auto"/>
        </w:rPr>
        <w:t>，符合</w:t>
      </w:r>
      <w:r w:rsidR="005B58F2" w:rsidRPr="00A964FF">
        <w:rPr>
          <w:rFonts w:hAnsi="Calibri" w:hint="eastAsia"/>
          <w:bCs/>
          <w:color w:val="auto"/>
        </w:rPr>
        <w:t>叶县土地利用总体规划</w:t>
      </w:r>
      <w:r w:rsidRPr="00A964FF">
        <w:rPr>
          <w:rFonts w:ascii="Calibri" w:hAnsi="Calibri" w:hint="eastAsia"/>
          <w:color w:val="auto"/>
        </w:rPr>
        <w:t>，符合</w:t>
      </w:r>
      <w:r w:rsidR="00D73BCD" w:rsidRPr="00A964FF">
        <w:rPr>
          <w:rFonts w:ascii="Calibri" w:hAnsi="Calibri" w:hint="eastAsia"/>
          <w:color w:val="auto"/>
        </w:rPr>
        <w:t>河南省生态环境分区管控总体要求</w:t>
      </w:r>
      <w:r w:rsidR="00D73BCD">
        <w:rPr>
          <w:rFonts w:ascii="Calibri" w:hAnsi="Calibri" w:hint="eastAsia"/>
          <w:color w:val="auto"/>
        </w:rPr>
        <w:t>和叶县</w:t>
      </w:r>
      <w:r w:rsidRPr="00A964FF">
        <w:rPr>
          <w:rFonts w:ascii="Calibri" w:hAnsi="Calibri" w:hint="eastAsia"/>
          <w:color w:val="auto"/>
        </w:rPr>
        <w:t>“三线一单”</w:t>
      </w:r>
      <w:r w:rsidR="0040793F" w:rsidRPr="00A964FF">
        <w:rPr>
          <w:rFonts w:ascii="Calibri" w:hAnsi="Calibri" w:hint="eastAsia"/>
          <w:color w:val="auto"/>
        </w:rPr>
        <w:t>管控</w:t>
      </w:r>
      <w:r w:rsidRPr="00A964FF">
        <w:rPr>
          <w:rFonts w:ascii="Calibri" w:hAnsi="Calibri" w:hint="eastAsia"/>
          <w:color w:val="auto"/>
        </w:rPr>
        <w:t>要求。</w:t>
      </w:r>
    </w:p>
    <w:p w14:paraId="6511A999" w14:textId="77777777" w:rsidR="008F4839" w:rsidRPr="00A964FF" w:rsidRDefault="0024099A" w:rsidP="008F4839">
      <w:pPr>
        <w:pStyle w:val="00"/>
        <w:rPr>
          <w:rFonts w:ascii="Calibri"/>
          <w:color w:val="auto"/>
        </w:rPr>
      </w:pPr>
      <w:r w:rsidRPr="00A964FF">
        <w:rPr>
          <w:rFonts w:ascii="Calibri"/>
          <w:color w:val="auto"/>
        </w:rPr>
        <w:t>本项目</w:t>
      </w:r>
      <w:r w:rsidR="008F4839" w:rsidRPr="00A964FF">
        <w:rPr>
          <w:rFonts w:ascii="Calibri"/>
          <w:color w:val="auto"/>
        </w:rPr>
        <w:t>建成运营后具有较明显的社会、经济、环境综合效益</w:t>
      </w:r>
      <w:r w:rsidR="008F4839" w:rsidRPr="00A964FF">
        <w:rPr>
          <w:rFonts w:ascii="Calibri" w:hint="eastAsia"/>
          <w:color w:val="auto"/>
        </w:rPr>
        <w:t>，其</w:t>
      </w:r>
      <w:r w:rsidR="008F4839" w:rsidRPr="00A964FF">
        <w:rPr>
          <w:rFonts w:ascii="Calibri"/>
          <w:color w:val="auto"/>
        </w:rPr>
        <w:t>建成投入使用后，在采取相应的治理措施后，可满足相应的国家排放标准；项目实施后能满足区域环境质量与环境功能的要求。建设</w:t>
      </w:r>
      <w:r w:rsidR="008F4839" w:rsidRPr="00A964FF">
        <w:rPr>
          <w:rFonts w:ascii="Calibri" w:hint="eastAsia"/>
          <w:color w:val="auto"/>
        </w:rPr>
        <w:t>单位</w:t>
      </w:r>
      <w:r w:rsidR="008F4839" w:rsidRPr="00A964FF">
        <w:rPr>
          <w:rFonts w:ascii="Calibri"/>
          <w:color w:val="auto"/>
        </w:rPr>
        <w:t>在施工期、运营期应当在</w:t>
      </w:r>
      <w:r w:rsidR="008F4839" w:rsidRPr="00A964FF">
        <w:rPr>
          <w:color w:val="auto"/>
        </w:rPr>
        <w:t>执行“三同时”原则的基</w:t>
      </w:r>
      <w:r w:rsidR="008F4839" w:rsidRPr="00A964FF">
        <w:rPr>
          <w:rFonts w:ascii="Calibri"/>
          <w:color w:val="auto"/>
        </w:rPr>
        <w:t>础上，严格执行国家的环保法律法规，切实落实本环评中提出的各项污染防治和生态保护措施，将对周围环境的影响降低到可接受的程度，从环保角度看，</w:t>
      </w:r>
      <w:r w:rsidR="008F4839" w:rsidRPr="00A964FF">
        <w:rPr>
          <w:rFonts w:ascii="Calibri" w:hint="eastAsia"/>
          <w:color w:val="auto"/>
        </w:rPr>
        <w:t>在当前环保政策前提下，</w:t>
      </w:r>
      <w:r w:rsidR="008F4839" w:rsidRPr="00A964FF">
        <w:rPr>
          <w:rFonts w:ascii="Calibri"/>
          <w:color w:val="auto"/>
        </w:rPr>
        <w:t>本项目的建设可行。</w:t>
      </w:r>
    </w:p>
    <w:p w14:paraId="71A44811" w14:textId="77777777" w:rsidR="008F4839" w:rsidRPr="00A964FF" w:rsidRDefault="008F4839" w:rsidP="00CF2D4A">
      <w:pPr>
        <w:pStyle w:val="00"/>
        <w:rPr>
          <w:rFonts w:ascii="Calibri" w:hAnsi="Calibri"/>
          <w:color w:val="auto"/>
        </w:rPr>
      </w:pPr>
      <w:r w:rsidRPr="00A964FF">
        <w:rPr>
          <w:rFonts w:ascii="Calibri" w:hAnsi="Calibri" w:hint="eastAsia"/>
          <w:color w:val="auto"/>
        </w:rPr>
        <w:t>本次评价工作得到了</w:t>
      </w:r>
      <w:r w:rsidR="00790CFB" w:rsidRPr="0088215F">
        <w:rPr>
          <w:rFonts w:ascii="Calibri" w:hAnsi="Calibri" w:hint="eastAsia"/>
          <w:caps/>
        </w:rPr>
        <w:t>平顶山倍安德塑化有限公司</w:t>
      </w:r>
      <w:r w:rsidRPr="00A964FF">
        <w:rPr>
          <w:rFonts w:ascii="Calibri" w:hAnsi="Calibri" w:hint="eastAsia"/>
          <w:color w:val="auto"/>
        </w:rPr>
        <w:t>有关人员的积极配合和支持，也得到了平顶山市</w:t>
      </w:r>
      <w:r w:rsidR="00B274C5" w:rsidRPr="00A964FF">
        <w:rPr>
          <w:rFonts w:ascii="Calibri" w:hAnsi="Calibri" w:hint="eastAsia"/>
          <w:color w:val="auto"/>
        </w:rPr>
        <w:t>生态环境局叶县分局、</w:t>
      </w:r>
      <w:r w:rsidR="00467FA8" w:rsidRPr="00467FA8">
        <w:rPr>
          <w:rFonts w:ascii="Calibri" w:hint="eastAsia"/>
          <w:color w:val="auto"/>
        </w:rPr>
        <w:t>平顶山尼龙新材料开发区</w:t>
      </w:r>
      <w:r w:rsidR="000758CD" w:rsidRPr="00A964FF">
        <w:rPr>
          <w:rFonts w:ascii="Calibri" w:hint="eastAsia"/>
          <w:color w:val="auto"/>
        </w:rPr>
        <w:t>管理委员会</w:t>
      </w:r>
      <w:r w:rsidRPr="00A964FF">
        <w:rPr>
          <w:rFonts w:ascii="Calibri" w:hAnsi="Calibri" w:hint="eastAsia"/>
          <w:color w:val="auto"/>
        </w:rPr>
        <w:t>等单位的技术指导和大力支持，在此一并致谢。</w:t>
      </w:r>
    </w:p>
    <w:p w14:paraId="466DAD2F" w14:textId="77777777" w:rsidR="0055605A" w:rsidRPr="00A964FF" w:rsidRDefault="0055605A" w:rsidP="0055605A">
      <w:pPr>
        <w:pStyle w:val="1"/>
        <w:spacing w:line="240" w:lineRule="auto"/>
        <w:jc w:val="center"/>
        <w:rPr>
          <w:rFonts w:ascii="Calibri" w:hAnsi="Calibri"/>
          <w:color w:val="auto"/>
        </w:rPr>
      </w:pPr>
      <w:r w:rsidRPr="00A964FF">
        <w:rPr>
          <w:rFonts w:ascii="Calibri" w:hAnsi="Calibri"/>
          <w:color w:val="auto"/>
        </w:rPr>
        <w:br w:type="page"/>
      </w:r>
      <w:bookmarkStart w:id="22" w:name="_Toc447804100"/>
      <w:bookmarkStart w:id="23" w:name="_Toc112999894"/>
      <w:r w:rsidRPr="00A964FF">
        <w:rPr>
          <w:rFonts w:ascii="Calibri" w:hAnsi="Calibri"/>
          <w:color w:val="auto"/>
        </w:rPr>
        <w:lastRenderedPageBreak/>
        <w:t>第一章</w:t>
      </w:r>
      <w:r w:rsidRPr="00A964FF">
        <w:rPr>
          <w:rFonts w:ascii="Calibri" w:hAnsi="Calibri"/>
          <w:color w:val="auto"/>
        </w:rPr>
        <w:t xml:space="preserve">    </w:t>
      </w:r>
      <w:bookmarkEnd w:id="22"/>
      <w:r w:rsidRPr="00A964FF">
        <w:rPr>
          <w:rFonts w:ascii="Calibri" w:hAnsi="Calibri" w:hint="eastAsia"/>
          <w:color w:val="auto"/>
        </w:rPr>
        <w:t>总则</w:t>
      </w:r>
      <w:bookmarkEnd w:id="23"/>
    </w:p>
    <w:p w14:paraId="7899CB66" w14:textId="77777777" w:rsidR="0055605A" w:rsidRPr="00A964FF" w:rsidRDefault="0055605A" w:rsidP="0055605A">
      <w:pPr>
        <w:pStyle w:val="2f0"/>
        <w:rPr>
          <w:color w:val="auto"/>
        </w:rPr>
      </w:pPr>
      <w:bookmarkStart w:id="24" w:name="_Toc447804101"/>
      <w:bookmarkStart w:id="25" w:name="_Toc112999895"/>
      <w:r w:rsidRPr="00FC28EF">
        <w:rPr>
          <w:color w:val="auto"/>
        </w:rPr>
        <w:t>1.</w:t>
      </w:r>
      <w:r w:rsidRPr="00FC28EF">
        <w:rPr>
          <w:rFonts w:hint="eastAsia"/>
          <w:color w:val="auto"/>
        </w:rPr>
        <w:t>1</w:t>
      </w:r>
      <w:r w:rsidRPr="00FC28EF">
        <w:rPr>
          <w:color w:val="auto"/>
        </w:rPr>
        <w:t>编制依据</w:t>
      </w:r>
      <w:bookmarkEnd w:id="24"/>
      <w:bookmarkEnd w:id="25"/>
    </w:p>
    <w:p w14:paraId="3F1CF467" w14:textId="77777777" w:rsidR="0055605A" w:rsidRPr="00A964FF" w:rsidRDefault="0055605A" w:rsidP="0055605A">
      <w:pPr>
        <w:pStyle w:val="ad"/>
        <w:rPr>
          <w:rFonts w:ascii="Calibri" w:hAnsi="Calibri"/>
          <w:color w:val="auto"/>
        </w:rPr>
      </w:pPr>
      <w:smartTag w:uri="urn:schemas-microsoft-com:office:smarttags" w:element="chsdate">
        <w:smartTagPr>
          <w:attr w:name="Year" w:val="1899"/>
          <w:attr w:name="Month" w:val="12"/>
          <w:attr w:name="Day" w:val="30"/>
          <w:attr w:name="IsLunarDate" w:val="False"/>
          <w:attr w:name="IsROCDate" w:val="False"/>
        </w:smartTagPr>
        <w:r w:rsidRPr="00FC28EF">
          <w:rPr>
            <w:rFonts w:ascii="Calibri" w:hAnsi="Calibri"/>
            <w:color w:val="auto"/>
          </w:rPr>
          <w:t>1.</w:t>
        </w:r>
        <w:r w:rsidRPr="00FC28EF">
          <w:rPr>
            <w:rFonts w:ascii="Calibri" w:hAnsi="Calibri" w:hint="eastAsia"/>
            <w:color w:val="auto"/>
          </w:rPr>
          <w:t>1.</w:t>
        </w:r>
        <w:r w:rsidRPr="00FC28EF">
          <w:rPr>
            <w:rFonts w:ascii="Calibri" w:hAnsi="Calibri"/>
            <w:color w:val="auto"/>
          </w:rPr>
          <w:t>1</w:t>
        </w:r>
      </w:smartTag>
      <w:r w:rsidRPr="00FC28EF">
        <w:rPr>
          <w:rFonts w:ascii="Calibri" w:hAnsi="Calibri"/>
          <w:color w:val="auto"/>
        </w:rPr>
        <w:t>法律</w:t>
      </w:r>
      <w:r w:rsidRPr="00FC28EF">
        <w:rPr>
          <w:rFonts w:ascii="Calibri" w:hAnsi="Calibri" w:hint="eastAsia"/>
          <w:color w:val="auto"/>
        </w:rPr>
        <w:t>、</w:t>
      </w:r>
      <w:r w:rsidRPr="00FC28EF">
        <w:rPr>
          <w:rFonts w:ascii="Calibri" w:hAnsi="Calibri"/>
          <w:color w:val="auto"/>
        </w:rPr>
        <w:t>法规</w:t>
      </w:r>
    </w:p>
    <w:p w14:paraId="54D8E012"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1</w:t>
      </w:r>
      <w:r w:rsidRPr="00A964FF">
        <w:rPr>
          <w:rFonts w:ascii="Calibri" w:hAnsi="Times New Roman" w:hint="eastAsia"/>
          <w:color w:val="auto"/>
        </w:rPr>
        <w:t>）《中华人民共和国环境保护法》（</w:t>
      </w:r>
      <w:r w:rsidRPr="00A964FF">
        <w:rPr>
          <w:rFonts w:ascii="Calibri" w:hAnsi="Times New Roman" w:hint="eastAsia"/>
          <w:color w:val="auto"/>
        </w:rPr>
        <w:t>2014</w:t>
      </w:r>
      <w:r w:rsidRPr="00A964FF">
        <w:rPr>
          <w:rFonts w:ascii="Calibri" w:hAnsi="Times New Roman" w:hint="eastAsia"/>
          <w:color w:val="auto"/>
        </w:rPr>
        <w:t>年修订），</w:t>
      </w:r>
      <w:r w:rsidRPr="00A964FF">
        <w:rPr>
          <w:rFonts w:ascii="Calibri" w:hAnsi="Times New Roman" w:hint="eastAsia"/>
          <w:color w:val="auto"/>
        </w:rPr>
        <w:t>2015</w:t>
      </w:r>
      <w:r w:rsidRPr="00A964FF">
        <w:rPr>
          <w:rFonts w:ascii="Calibri" w:hAnsi="Times New Roman" w:hint="eastAsia"/>
          <w:color w:val="auto"/>
        </w:rPr>
        <w:t>年</w:t>
      </w:r>
      <w:r w:rsidRPr="00A964FF">
        <w:rPr>
          <w:rFonts w:ascii="Calibri" w:hAnsi="Times New Roman" w:hint="eastAsia"/>
          <w:color w:val="auto"/>
        </w:rPr>
        <w:t>1</w:t>
      </w:r>
      <w:r w:rsidRPr="00A964FF">
        <w:rPr>
          <w:rFonts w:ascii="Calibri" w:hAnsi="Times New Roman" w:hint="eastAsia"/>
          <w:color w:val="auto"/>
        </w:rPr>
        <w:t>月</w:t>
      </w:r>
      <w:r w:rsidRPr="00A964FF">
        <w:rPr>
          <w:rFonts w:ascii="Calibri" w:hAnsi="Times New Roman" w:hint="eastAsia"/>
          <w:color w:val="auto"/>
        </w:rPr>
        <w:t>1</w:t>
      </w:r>
      <w:r w:rsidRPr="00A964FF">
        <w:rPr>
          <w:rFonts w:ascii="Calibri" w:hAnsi="Times New Roman" w:hint="eastAsia"/>
          <w:color w:val="auto"/>
        </w:rPr>
        <w:t>日起施行；</w:t>
      </w:r>
    </w:p>
    <w:p w14:paraId="1F18E569"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2</w:t>
      </w:r>
      <w:r w:rsidRPr="00A964FF">
        <w:rPr>
          <w:rFonts w:ascii="Calibri" w:hAnsi="Times New Roman" w:hint="eastAsia"/>
          <w:color w:val="auto"/>
        </w:rPr>
        <w:t>）《中华人民共和国环境影响评价法》（</w:t>
      </w:r>
      <w:r w:rsidRPr="00A964FF">
        <w:rPr>
          <w:rFonts w:ascii="Calibri" w:hAnsi="Times New Roman" w:hint="eastAsia"/>
          <w:color w:val="auto"/>
        </w:rPr>
        <w:t>2018</w:t>
      </w:r>
      <w:r w:rsidRPr="00A964FF">
        <w:rPr>
          <w:rFonts w:ascii="Calibri" w:hAnsi="Times New Roman" w:hint="eastAsia"/>
          <w:color w:val="auto"/>
        </w:rPr>
        <w:t>年修正），</w:t>
      </w:r>
      <w:r w:rsidRPr="00A964FF">
        <w:rPr>
          <w:rFonts w:ascii="Calibri" w:hAnsi="Times New Roman" w:hint="eastAsia"/>
          <w:color w:val="auto"/>
        </w:rPr>
        <w:t>2018</w:t>
      </w:r>
      <w:r w:rsidRPr="00A964FF">
        <w:rPr>
          <w:rFonts w:ascii="Calibri" w:hAnsi="Times New Roman" w:hint="eastAsia"/>
          <w:color w:val="auto"/>
        </w:rPr>
        <w:t>年</w:t>
      </w:r>
      <w:r w:rsidRPr="00A964FF">
        <w:rPr>
          <w:rFonts w:ascii="Calibri" w:hAnsi="Times New Roman" w:hint="eastAsia"/>
          <w:color w:val="auto"/>
        </w:rPr>
        <w:t>12</w:t>
      </w:r>
      <w:r w:rsidRPr="00A964FF">
        <w:rPr>
          <w:rFonts w:ascii="Calibri" w:hAnsi="Times New Roman" w:hint="eastAsia"/>
          <w:color w:val="auto"/>
        </w:rPr>
        <w:t>月</w:t>
      </w:r>
      <w:r w:rsidRPr="00A964FF">
        <w:rPr>
          <w:rFonts w:ascii="Calibri" w:hAnsi="Times New Roman" w:hint="eastAsia"/>
          <w:color w:val="auto"/>
        </w:rPr>
        <w:t>29</w:t>
      </w:r>
      <w:r w:rsidRPr="00A964FF">
        <w:rPr>
          <w:rFonts w:ascii="Calibri" w:hAnsi="Times New Roman" w:hint="eastAsia"/>
          <w:color w:val="auto"/>
        </w:rPr>
        <w:t>日起施行；</w:t>
      </w:r>
    </w:p>
    <w:p w14:paraId="1925C2F1"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color w:val="auto"/>
        </w:rPr>
        <w:t>3</w:t>
      </w:r>
      <w:r w:rsidRPr="00A964FF">
        <w:rPr>
          <w:rFonts w:ascii="Calibri" w:hAnsi="Calibri"/>
          <w:color w:val="auto"/>
        </w:rPr>
        <w:t>）</w:t>
      </w:r>
      <w:r w:rsidR="001A28A1" w:rsidRPr="00A964FF">
        <w:rPr>
          <w:rFonts w:ascii="Calibri" w:hAnsi="Times New Roman"/>
          <w:color w:val="auto"/>
        </w:rPr>
        <w:t>《中华人民共和国土地管理法》（</w:t>
      </w:r>
      <w:r w:rsidR="001A28A1" w:rsidRPr="00A964FF">
        <w:rPr>
          <w:rFonts w:ascii="Calibri" w:hAnsi="Calibri"/>
          <w:color w:val="auto"/>
        </w:rPr>
        <w:t>2019</w:t>
      </w:r>
      <w:r w:rsidR="001A28A1" w:rsidRPr="00A964FF">
        <w:rPr>
          <w:rFonts w:ascii="Calibri" w:hAnsi="Times New Roman"/>
          <w:color w:val="auto"/>
        </w:rPr>
        <w:t>年修正），</w:t>
      </w:r>
      <w:r w:rsidR="001A28A1" w:rsidRPr="00A964FF">
        <w:rPr>
          <w:rFonts w:ascii="Calibri" w:hAnsi="Calibri"/>
          <w:color w:val="auto"/>
        </w:rPr>
        <w:t>2020</w:t>
      </w:r>
      <w:r w:rsidR="001A28A1" w:rsidRPr="00A964FF">
        <w:rPr>
          <w:rFonts w:ascii="Calibri" w:hAnsi="Times New Roman"/>
          <w:color w:val="auto"/>
        </w:rPr>
        <w:t>年</w:t>
      </w:r>
      <w:r w:rsidR="001A28A1" w:rsidRPr="00A964FF">
        <w:rPr>
          <w:rFonts w:ascii="Calibri" w:hAnsi="Calibri"/>
          <w:color w:val="auto"/>
        </w:rPr>
        <w:t>1</w:t>
      </w:r>
      <w:r w:rsidR="001A28A1" w:rsidRPr="00A964FF">
        <w:rPr>
          <w:rFonts w:ascii="Calibri" w:hAnsi="Times New Roman"/>
          <w:color w:val="auto"/>
        </w:rPr>
        <w:t>月</w:t>
      </w:r>
      <w:r w:rsidR="001A28A1" w:rsidRPr="00A964FF">
        <w:rPr>
          <w:rFonts w:ascii="Calibri" w:hAnsi="Calibri"/>
          <w:color w:val="auto"/>
        </w:rPr>
        <w:t>1</w:t>
      </w:r>
      <w:r w:rsidR="001A28A1" w:rsidRPr="00A964FF">
        <w:rPr>
          <w:rFonts w:ascii="Calibri" w:hAnsi="Times New Roman"/>
          <w:color w:val="auto"/>
        </w:rPr>
        <w:t>日起施行；</w:t>
      </w:r>
    </w:p>
    <w:p w14:paraId="58B44A33" w14:textId="77777777" w:rsidR="0089454A" w:rsidRPr="00A964FF" w:rsidRDefault="0055605A" w:rsidP="0089454A">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4</w:t>
      </w:r>
      <w:r w:rsidR="0089454A">
        <w:rPr>
          <w:rFonts w:ascii="Calibri" w:hAnsi="Times New Roman" w:hint="eastAsia"/>
          <w:color w:val="auto"/>
        </w:rPr>
        <w:t>）</w:t>
      </w:r>
      <w:r w:rsidR="0089454A" w:rsidRPr="00A964FF">
        <w:rPr>
          <w:rFonts w:ascii="Calibri" w:hAnsi="Times New Roman" w:hint="eastAsia"/>
          <w:color w:val="auto"/>
        </w:rPr>
        <w:t>《中华人民共和国环境噪声污染防治法》（</w:t>
      </w:r>
      <w:r w:rsidR="0089454A">
        <w:rPr>
          <w:rFonts w:ascii="Calibri" w:hAnsi="Times New Roman" w:hint="eastAsia"/>
          <w:color w:val="auto"/>
        </w:rPr>
        <w:t>2021</w:t>
      </w:r>
      <w:r w:rsidR="0089454A" w:rsidRPr="00A964FF">
        <w:rPr>
          <w:rFonts w:ascii="Calibri" w:hAnsi="Times New Roman" w:hint="eastAsia"/>
          <w:color w:val="auto"/>
        </w:rPr>
        <w:t>年修正），</w:t>
      </w:r>
      <w:r w:rsidR="0089454A" w:rsidRPr="00A964FF">
        <w:rPr>
          <w:rFonts w:ascii="Calibri" w:hAnsi="Times New Roman" w:hint="eastAsia"/>
          <w:color w:val="auto"/>
        </w:rPr>
        <w:t>20</w:t>
      </w:r>
      <w:r w:rsidR="0089454A">
        <w:rPr>
          <w:rFonts w:ascii="Calibri" w:hAnsi="Times New Roman" w:hint="eastAsia"/>
          <w:color w:val="auto"/>
        </w:rPr>
        <w:t>22</w:t>
      </w:r>
      <w:r w:rsidR="0089454A" w:rsidRPr="00A964FF">
        <w:rPr>
          <w:rFonts w:ascii="Calibri" w:hAnsi="Times New Roman" w:hint="eastAsia"/>
          <w:color w:val="auto"/>
        </w:rPr>
        <w:t>年</w:t>
      </w:r>
      <w:r w:rsidR="0089454A">
        <w:rPr>
          <w:rFonts w:ascii="Calibri" w:hAnsi="Times New Roman" w:hint="eastAsia"/>
          <w:color w:val="auto"/>
        </w:rPr>
        <w:t>6</w:t>
      </w:r>
      <w:r w:rsidR="0089454A" w:rsidRPr="00A964FF">
        <w:rPr>
          <w:rFonts w:ascii="Calibri" w:hAnsi="Times New Roman" w:hint="eastAsia"/>
          <w:color w:val="auto"/>
        </w:rPr>
        <w:t>月</w:t>
      </w:r>
      <w:r w:rsidR="0089454A">
        <w:rPr>
          <w:rFonts w:ascii="Calibri" w:hAnsi="Times New Roman" w:hint="eastAsia"/>
          <w:color w:val="auto"/>
        </w:rPr>
        <w:t>5</w:t>
      </w:r>
      <w:r w:rsidR="0089454A" w:rsidRPr="00A964FF">
        <w:rPr>
          <w:rFonts w:ascii="Calibri" w:hAnsi="Times New Roman" w:hint="eastAsia"/>
          <w:color w:val="auto"/>
        </w:rPr>
        <w:t>日起施行；</w:t>
      </w:r>
    </w:p>
    <w:p w14:paraId="178F7EA4" w14:textId="77777777" w:rsidR="0089454A" w:rsidRPr="00A964FF" w:rsidRDefault="0055605A" w:rsidP="0089454A">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5</w:t>
      </w:r>
      <w:r w:rsidRPr="00A964FF">
        <w:rPr>
          <w:rFonts w:ascii="Calibri" w:hAnsi="Times New Roman" w:hint="eastAsia"/>
          <w:color w:val="auto"/>
        </w:rPr>
        <w:t>）</w:t>
      </w:r>
      <w:r w:rsidR="0089454A" w:rsidRPr="00A964FF">
        <w:rPr>
          <w:rFonts w:ascii="Calibri" w:hAnsi="Times New Roman" w:hint="eastAsia"/>
          <w:color w:val="auto"/>
        </w:rPr>
        <w:t>《中华人民共和国大气污染防治法》（</w:t>
      </w:r>
      <w:r w:rsidR="0089454A" w:rsidRPr="00A964FF">
        <w:rPr>
          <w:rFonts w:ascii="Calibri" w:hAnsi="Times New Roman" w:hint="eastAsia"/>
          <w:color w:val="auto"/>
        </w:rPr>
        <w:t>2018</w:t>
      </w:r>
      <w:r w:rsidR="0089454A" w:rsidRPr="00A964FF">
        <w:rPr>
          <w:rFonts w:ascii="Calibri" w:hAnsi="Times New Roman" w:hint="eastAsia"/>
          <w:color w:val="auto"/>
        </w:rPr>
        <w:t>年修订），</w:t>
      </w:r>
      <w:r w:rsidR="0089454A" w:rsidRPr="00A964FF">
        <w:rPr>
          <w:rFonts w:ascii="Calibri" w:hAnsi="Times New Roman" w:hint="eastAsia"/>
          <w:color w:val="auto"/>
        </w:rPr>
        <w:t>2018</w:t>
      </w:r>
      <w:r w:rsidR="0089454A" w:rsidRPr="00A964FF">
        <w:rPr>
          <w:rFonts w:ascii="Calibri" w:hAnsi="Times New Roman" w:hint="eastAsia"/>
          <w:color w:val="auto"/>
        </w:rPr>
        <w:t>年</w:t>
      </w:r>
      <w:r w:rsidR="0089454A" w:rsidRPr="00A964FF">
        <w:rPr>
          <w:rFonts w:ascii="Calibri" w:hAnsi="Times New Roman" w:hint="eastAsia"/>
          <w:color w:val="auto"/>
        </w:rPr>
        <w:t>10</w:t>
      </w:r>
      <w:r w:rsidR="0089454A" w:rsidRPr="00A964FF">
        <w:rPr>
          <w:rFonts w:ascii="Calibri" w:hAnsi="Times New Roman" w:hint="eastAsia"/>
          <w:color w:val="auto"/>
        </w:rPr>
        <w:t>月</w:t>
      </w:r>
      <w:r w:rsidR="0089454A" w:rsidRPr="00A964FF">
        <w:rPr>
          <w:rFonts w:ascii="Calibri" w:hAnsi="Times New Roman" w:hint="eastAsia"/>
          <w:color w:val="auto"/>
        </w:rPr>
        <w:t>26</w:t>
      </w:r>
      <w:r w:rsidR="0089454A" w:rsidRPr="00A964FF">
        <w:rPr>
          <w:rFonts w:ascii="Calibri" w:hAnsi="Times New Roman" w:hint="eastAsia"/>
          <w:color w:val="auto"/>
        </w:rPr>
        <w:t>日起施行；</w:t>
      </w:r>
    </w:p>
    <w:p w14:paraId="76FA1392"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6</w:t>
      </w:r>
      <w:r w:rsidRPr="00A964FF">
        <w:rPr>
          <w:rFonts w:ascii="Calibri" w:hAnsi="Times New Roman" w:hint="eastAsia"/>
          <w:color w:val="auto"/>
        </w:rPr>
        <w:t>）《中华人民共和国固体废物污染环境防治法》（</w:t>
      </w:r>
      <w:r w:rsidRPr="00A964FF">
        <w:rPr>
          <w:rFonts w:ascii="Calibri" w:hAnsi="Times New Roman" w:hint="eastAsia"/>
          <w:color w:val="auto"/>
        </w:rPr>
        <w:t>2020</w:t>
      </w:r>
      <w:r w:rsidRPr="00A964FF">
        <w:rPr>
          <w:rFonts w:ascii="Calibri" w:hAnsi="Times New Roman" w:hint="eastAsia"/>
          <w:color w:val="auto"/>
        </w:rPr>
        <w:t>年修订），</w:t>
      </w:r>
      <w:r w:rsidRPr="00A964FF">
        <w:rPr>
          <w:rFonts w:ascii="Calibri" w:hAnsi="Times New Roman" w:hint="eastAsia"/>
          <w:color w:val="auto"/>
        </w:rPr>
        <w:t>2020</w:t>
      </w:r>
      <w:r w:rsidRPr="00A964FF">
        <w:rPr>
          <w:rFonts w:ascii="Calibri" w:hAnsi="Times New Roman" w:hint="eastAsia"/>
          <w:color w:val="auto"/>
        </w:rPr>
        <w:t>年</w:t>
      </w:r>
      <w:r w:rsidRPr="00A964FF">
        <w:rPr>
          <w:rFonts w:ascii="Calibri" w:hAnsi="Times New Roman" w:hint="eastAsia"/>
          <w:color w:val="auto"/>
        </w:rPr>
        <w:t>9</w:t>
      </w:r>
      <w:r w:rsidRPr="00A964FF">
        <w:rPr>
          <w:rFonts w:ascii="Calibri" w:hAnsi="Times New Roman" w:hint="eastAsia"/>
          <w:color w:val="auto"/>
        </w:rPr>
        <w:t>月</w:t>
      </w:r>
      <w:r w:rsidRPr="00A964FF">
        <w:rPr>
          <w:rFonts w:ascii="Calibri" w:hAnsi="Times New Roman" w:hint="eastAsia"/>
          <w:color w:val="auto"/>
        </w:rPr>
        <w:t>1</w:t>
      </w:r>
      <w:r w:rsidRPr="00A964FF">
        <w:rPr>
          <w:rFonts w:ascii="Calibri" w:hAnsi="Times New Roman" w:hint="eastAsia"/>
          <w:color w:val="auto"/>
        </w:rPr>
        <w:t>日起施行；</w:t>
      </w:r>
    </w:p>
    <w:p w14:paraId="72CDB881"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7</w:t>
      </w:r>
      <w:r w:rsidRPr="00A964FF">
        <w:rPr>
          <w:rFonts w:ascii="Calibri" w:hAnsi="Times New Roman" w:hint="eastAsia"/>
          <w:color w:val="auto"/>
        </w:rPr>
        <w:t>）《中华人民共和国水污染防治法》（</w:t>
      </w:r>
      <w:r w:rsidRPr="00A964FF">
        <w:rPr>
          <w:rFonts w:ascii="Calibri" w:hAnsi="Times New Roman" w:hint="eastAsia"/>
          <w:color w:val="auto"/>
        </w:rPr>
        <w:t>2017</w:t>
      </w:r>
      <w:r w:rsidRPr="00A964FF">
        <w:rPr>
          <w:rFonts w:ascii="Calibri" w:hAnsi="Times New Roman" w:hint="eastAsia"/>
          <w:color w:val="auto"/>
        </w:rPr>
        <w:t>年修正），</w:t>
      </w:r>
      <w:r w:rsidRPr="00A964FF">
        <w:rPr>
          <w:rFonts w:ascii="Calibri" w:hAnsi="Times New Roman" w:hint="eastAsia"/>
          <w:color w:val="auto"/>
        </w:rPr>
        <w:t>2018</w:t>
      </w:r>
      <w:r w:rsidRPr="00A964FF">
        <w:rPr>
          <w:rFonts w:ascii="Calibri" w:hAnsi="Times New Roman" w:hint="eastAsia"/>
          <w:color w:val="auto"/>
        </w:rPr>
        <w:t>年</w:t>
      </w:r>
      <w:r w:rsidRPr="00A964FF">
        <w:rPr>
          <w:rFonts w:ascii="Calibri" w:hAnsi="Times New Roman" w:hint="eastAsia"/>
          <w:color w:val="auto"/>
        </w:rPr>
        <w:t>1</w:t>
      </w:r>
      <w:r w:rsidRPr="00A964FF">
        <w:rPr>
          <w:rFonts w:ascii="Calibri" w:hAnsi="Times New Roman" w:hint="eastAsia"/>
          <w:color w:val="auto"/>
        </w:rPr>
        <w:t>月</w:t>
      </w:r>
      <w:r w:rsidRPr="00A964FF">
        <w:rPr>
          <w:rFonts w:ascii="Calibri" w:hAnsi="Times New Roman" w:hint="eastAsia"/>
          <w:color w:val="auto"/>
        </w:rPr>
        <w:t>1</w:t>
      </w:r>
      <w:r w:rsidRPr="00A964FF">
        <w:rPr>
          <w:rFonts w:ascii="Calibri" w:hAnsi="Times New Roman" w:hint="eastAsia"/>
          <w:color w:val="auto"/>
        </w:rPr>
        <w:t>日起施行；</w:t>
      </w:r>
    </w:p>
    <w:p w14:paraId="592C1F6D" w14:textId="77777777" w:rsidR="001A28A1" w:rsidRPr="00A964FF" w:rsidRDefault="001A28A1" w:rsidP="001A28A1">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8</w:t>
      </w:r>
      <w:r w:rsidRPr="00A964FF">
        <w:rPr>
          <w:rFonts w:ascii="Calibri" w:hAnsi="Times New Roman" w:hint="eastAsia"/>
          <w:color w:val="auto"/>
        </w:rPr>
        <w:t>）《中华人民共和国土壤污染防治法》，</w:t>
      </w:r>
      <w:r w:rsidRPr="00A964FF">
        <w:rPr>
          <w:rFonts w:ascii="Calibri" w:hAnsi="Times New Roman" w:hint="eastAsia"/>
          <w:color w:val="auto"/>
        </w:rPr>
        <w:t>2019</w:t>
      </w:r>
      <w:r w:rsidRPr="00A964FF">
        <w:rPr>
          <w:rFonts w:ascii="Calibri" w:hAnsi="Times New Roman" w:hint="eastAsia"/>
          <w:color w:val="auto"/>
        </w:rPr>
        <w:t>年</w:t>
      </w:r>
      <w:r w:rsidRPr="00A964FF">
        <w:rPr>
          <w:rFonts w:ascii="Calibri" w:hAnsi="Times New Roman" w:hint="eastAsia"/>
          <w:color w:val="auto"/>
        </w:rPr>
        <w:t>1</w:t>
      </w:r>
      <w:r w:rsidRPr="00A964FF">
        <w:rPr>
          <w:rFonts w:ascii="Calibri" w:hAnsi="Times New Roman" w:hint="eastAsia"/>
          <w:color w:val="auto"/>
        </w:rPr>
        <w:t>月</w:t>
      </w:r>
      <w:r w:rsidRPr="00A964FF">
        <w:rPr>
          <w:rFonts w:ascii="Calibri" w:hAnsi="Times New Roman" w:hint="eastAsia"/>
          <w:color w:val="auto"/>
        </w:rPr>
        <w:t>1</w:t>
      </w:r>
      <w:r w:rsidRPr="00A964FF">
        <w:rPr>
          <w:rFonts w:ascii="Calibri" w:hAnsi="Times New Roman" w:hint="eastAsia"/>
          <w:color w:val="auto"/>
        </w:rPr>
        <w:t>日起施行；</w:t>
      </w:r>
    </w:p>
    <w:p w14:paraId="0CBE8E77"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001A28A1" w:rsidRPr="00A964FF">
        <w:rPr>
          <w:rFonts w:ascii="Calibri" w:hAnsi="Times New Roman" w:hint="eastAsia"/>
          <w:color w:val="auto"/>
        </w:rPr>
        <w:t>9</w:t>
      </w:r>
      <w:r w:rsidRPr="00A964FF">
        <w:rPr>
          <w:rFonts w:ascii="Calibri" w:hAnsi="Times New Roman" w:hint="eastAsia"/>
          <w:color w:val="auto"/>
        </w:rPr>
        <w:t>）《中华人民共和国水法》（</w:t>
      </w:r>
      <w:r w:rsidRPr="00A964FF">
        <w:rPr>
          <w:rFonts w:ascii="Calibri" w:hAnsi="Times New Roman" w:hint="eastAsia"/>
          <w:color w:val="auto"/>
        </w:rPr>
        <w:t>2016</w:t>
      </w:r>
      <w:r w:rsidRPr="00A964FF">
        <w:rPr>
          <w:rFonts w:ascii="Calibri" w:hAnsi="Times New Roman" w:hint="eastAsia"/>
          <w:color w:val="auto"/>
        </w:rPr>
        <w:t>年修正），</w:t>
      </w:r>
      <w:r w:rsidRPr="00A964FF">
        <w:rPr>
          <w:rFonts w:ascii="Calibri" w:hAnsi="Times New Roman" w:hint="eastAsia"/>
          <w:color w:val="auto"/>
        </w:rPr>
        <w:t>2016</w:t>
      </w:r>
      <w:r w:rsidRPr="00A964FF">
        <w:rPr>
          <w:rFonts w:ascii="Calibri" w:hAnsi="Times New Roman" w:hint="eastAsia"/>
          <w:color w:val="auto"/>
        </w:rPr>
        <w:t>年</w:t>
      </w:r>
      <w:r w:rsidRPr="00A964FF">
        <w:rPr>
          <w:rFonts w:ascii="Calibri" w:hAnsi="Times New Roman" w:hint="eastAsia"/>
          <w:color w:val="auto"/>
        </w:rPr>
        <w:t>7</w:t>
      </w:r>
      <w:r w:rsidRPr="00A964FF">
        <w:rPr>
          <w:rFonts w:ascii="Calibri" w:hAnsi="Times New Roman" w:hint="eastAsia"/>
          <w:color w:val="auto"/>
        </w:rPr>
        <w:t>月</w:t>
      </w:r>
      <w:r w:rsidRPr="00A964FF">
        <w:rPr>
          <w:rFonts w:ascii="Calibri" w:hAnsi="Times New Roman" w:hint="eastAsia"/>
          <w:color w:val="auto"/>
        </w:rPr>
        <w:t>2</w:t>
      </w:r>
      <w:r w:rsidRPr="00A964FF">
        <w:rPr>
          <w:rFonts w:ascii="Calibri" w:hAnsi="Times New Roman" w:hint="eastAsia"/>
          <w:color w:val="auto"/>
        </w:rPr>
        <w:t>日起施行；</w:t>
      </w:r>
    </w:p>
    <w:p w14:paraId="056C13FF"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001A28A1" w:rsidRPr="00A964FF">
        <w:rPr>
          <w:rFonts w:ascii="Calibri" w:hAnsi="Times New Roman" w:hint="eastAsia"/>
          <w:color w:val="auto"/>
        </w:rPr>
        <w:t>10</w:t>
      </w:r>
      <w:r w:rsidRPr="00A964FF">
        <w:rPr>
          <w:rFonts w:ascii="Calibri" w:hAnsi="Times New Roman" w:hint="eastAsia"/>
          <w:color w:val="auto"/>
        </w:rPr>
        <w:t>）《中华人民共和国清洁生产促进法》（</w:t>
      </w:r>
      <w:r w:rsidRPr="00A964FF">
        <w:rPr>
          <w:rFonts w:ascii="Calibri" w:hAnsi="Times New Roman" w:hint="eastAsia"/>
          <w:color w:val="auto"/>
        </w:rPr>
        <w:t>2012</w:t>
      </w:r>
      <w:r w:rsidRPr="00A964FF">
        <w:rPr>
          <w:rFonts w:ascii="Calibri" w:hAnsi="Times New Roman" w:hint="eastAsia"/>
          <w:color w:val="auto"/>
        </w:rPr>
        <w:t>年修正），</w:t>
      </w:r>
      <w:r w:rsidRPr="00A964FF">
        <w:rPr>
          <w:rFonts w:ascii="Calibri" w:hAnsi="Times New Roman" w:hint="eastAsia"/>
          <w:color w:val="auto"/>
        </w:rPr>
        <w:t>2012</w:t>
      </w:r>
      <w:r w:rsidRPr="00A964FF">
        <w:rPr>
          <w:rFonts w:ascii="Calibri" w:hAnsi="Times New Roman" w:hint="eastAsia"/>
          <w:color w:val="auto"/>
        </w:rPr>
        <w:t>年</w:t>
      </w:r>
      <w:r w:rsidRPr="00A964FF">
        <w:rPr>
          <w:rFonts w:ascii="Calibri" w:hAnsi="Times New Roman" w:hint="eastAsia"/>
          <w:color w:val="auto"/>
        </w:rPr>
        <w:t>7</w:t>
      </w:r>
      <w:r w:rsidRPr="00A964FF">
        <w:rPr>
          <w:rFonts w:ascii="Calibri" w:hAnsi="Times New Roman" w:hint="eastAsia"/>
          <w:color w:val="auto"/>
        </w:rPr>
        <w:t>月</w:t>
      </w:r>
      <w:r w:rsidRPr="00A964FF">
        <w:rPr>
          <w:rFonts w:ascii="Calibri" w:hAnsi="Times New Roman" w:hint="eastAsia"/>
          <w:color w:val="auto"/>
        </w:rPr>
        <w:t>1</w:t>
      </w:r>
      <w:r w:rsidRPr="00A964FF">
        <w:rPr>
          <w:rFonts w:ascii="Calibri" w:hAnsi="Times New Roman" w:hint="eastAsia"/>
          <w:color w:val="auto"/>
        </w:rPr>
        <w:t>日起施行；</w:t>
      </w:r>
    </w:p>
    <w:p w14:paraId="1E47C9EC"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1</w:t>
      </w:r>
      <w:r w:rsidR="001A28A1" w:rsidRPr="00A964FF">
        <w:rPr>
          <w:rFonts w:ascii="Calibri" w:hAnsi="Times New Roman" w:hint="eastAsia"/>
          <w:color w:val="auto"/>
        </w:rPr>
        <w:t>1</w:t>
      </w:r>
      <w:r w:rsidRPr="00A964FF">
        <w:rPr>
          <w:rFonts w:ascii="Calibri" w:hAnsi="Times New Roman" w:hint="eastAsia"/>
          <w:color w:val="auto"/>
        </w:rPr>
        <w:t>）《中华人民共和国节约能源法》（</w:t>
      </w:r>
      <w:r w:rsidRPr="00A964FF">
        <w:rPr>
          <w:rFonts w:ascii="Calibri" w:hAnsi="Times New Roman" w:hint="eastAsia"/>
          <w:color w:val="auto"/>
        </w:rPr>
        <w:t>2018</w:t>
      </w:r>
      <w:r w:rsidRPr="00A964FF">
        <w:rPr>
          <w:rFonts w:ascii="Calibri" w:hAnsi="Times New Roman" w:hint="eastAsia"/>
          <w:color w:val="auto"/>
        </w:rPr>
        <w:t>年修正），</w:t>
      </w:r>
      <w:r w:rsidRPr="00A964FF">
        <w:rPr>
          <w:rFonts w:ascii="Calibri" w:hAnsi="Times New Roman" w:hint="eastAsia"/>
          <w:color w:val="auto"/>
        </w:rPr>
        <w:t>2018</w:t>
      </w:r>
      <w:r w:rsidRPr="00A964FF">
        <w:rPr>
          <w:rFonts w:ascii="Calibri" w:hAnsi="Times New Roman" w:hint="eastAsia"/>
          <w:color w:val="auto"/>
        </w:rPr>
        <w:t>年</w:t>
      </w:r>
      <w:r w:rsidRPr="00A964FF">
        <w:rPr>
          <w:rFonts w:ascii="Calibri" w:hAnsi="Times New Roman" w:hint="eastAsia"/>
          <w:color w:val="auto"/>
        </w:rPr>
        <w:t>10</w:t>
      </w:r>
      <w:r w:rsidRPr="00A964FF">
        <w:rPr>
          <w:rFonts w:ascii="Calibri" w:hAnsi="Times New Roman" w:hint="eastAsia"/>
          <w:color w:val="auto"/>
        </w:rPr>
        <w:t>月</w:t>
      </w:r>
      <w:r w:rsidRPr="00A964FF">
        <w:rPr>
          <w:rFonts w:ascii="Calibri" w:hAnsi="Times New Roman" w:hint="eastAsia"/>
          <w:color w:val="auto"/>
        </w:rPr>
        <w:t>26</w:t>
      </w:r>
      <w:r w:rsidRPr="00A964FF">
        <w:rPr>
          <w:rFonts w:ascii="Calibri" w:hAnsi="Times New Roman" w:hint="eastAsia"/>
          <w:color w:val="auto"/>
        </w:rPr>
        <w:t>日起施行；</w:t>
      </w:r>
    </w:p>
    <w:p w14:paraId="431A239F" w14:textId="77777777" w:rsidR="0055605A" w:rsidRPr="00A964FF" w:rsidRDefault="0055605A" w:rsidP="008F4839">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1</w:t>
      </w:r>
      <w:r w:rsidR="001A28A1" w:rsidRPr="00A964FF">
        <w:rPr>
          <w:rFonts w:ascii="Calibri" w:hAnsi="Times New Roman" w:hint="eastAsia"/>
          <w:color w:val="auto"/>
        </w:rPr>
        <w:t>2</w:t>
      </w:r>
      <w:r w:rsidRPr="00A964FF">
        <w:rPr>
          <w:rFonts w:ascii="Calibri" w:hAnsi="Times New Roman" w:hint="eastAsia"/>
          <w:color w:val="auto"/>
        </w:rPr>
        <w:t>）《中华人民共和国循环经济促进法》（</w:t>
      </w:r>
      <w:r w:rsidRPr="00A964FF">
        <w:rPr>
          <w:rFonts w:ascii="Calibri" w:hAnsi="Times New Roman" w:hint="eastAsia"/>
          <w:color w:val="auto"/>
        </w:rPr>
        <w:t>2018</w:t>
      </w:r>
      <w:r w:rsidRPr="00A964FF">
        <w:rPr>
          <w:rFonts w:ascii="Calibri" w:hAnsi="Times New Roman" w:hint="eastAsia"/>
          <w:color w:val="auto"/>
        </w:rPr>
        <w:t>年修正），</w:t>
      </w:r>
      <w:r w:rsidRPr="00A964FF">
        <w:rPr>
          <w:rFonts w:ascii="Calibri" w:hAnsi="Times New Roman" w:hint="eastAsia"/>
          <w:color w:val="auto"/>
        </w:rPr>
        <w:t>20</w:t>
      </w:r>
      <w:r w:rsidR="00B274C5" w:rsidRPr="00A964FF">
        <w:rPr>
          <w:rFonts w:ascii="Calibri" w:hAnsi="Times New Roman" w:hint="eastAsia"/>
          <w:color w:val="auto"/>
        </w:rPr>
        <w:t>1</w:t>
      </w:r>
      <w:r w:rsidRPr="00A964FF">
        <w:rPr>
          <w:rFonts w:ascii="Calibri" w:hAnsi="Times New Roman" w:hint="eastAsia"/>
          <w:color w:val="auto"/>
        </w:rPr>
        <w:t>8</w:t>
      </w:r>
      <w:r w:rsidRPr="00A964FF">
        <w:rPr>
          <w:rFonts w:ascii="Calibri" w:hAnsi="Times New Roman" w:hint="eastAsia"/>
          <w:color w:val="auto"/>
        </w:rPr>
        <w:t>年</w:t>
      </w:r>
      <w:r w:rsidRPr="00A964FF">
        <w:rPr>
          <w:rFonts w:ascii="Calibri" w:hAnsi="Times New Roman" w:hint="eastAsia"/>
          <w:color w:val="auto"/>
        </w:rPr>
        <w:t>1</w:t>
      </w:r>
      <w:r w:rsidR="00EB0583" w:rsidRPr="00A964FF">
        <w:rPr>
          <w:rFonts w:ascii="Calibri" w:hAnsi="Times New Roman" w:hint="eastAsia"/>
          <w:color w:val="auto"/>
        </w:rPr>
        <w:t>0</w:t>
      </w:r>
      <w:r w:rsidRPr="00A964FF">
        <w:rPr>
          <w:rFonts w:ascii="Calibri" w:hAnsi="Times New Roman" w:hint="eastAsia"/>
          <w:color w:val="auto"/>
        </w:rPr>
        <w:t>月</w:t>
      </w:r>
      <w:r w:rsidR="00EB0583" w:rsidRPr="00A964FF">
        <w:rPr>
          <w:rFonts w:ascii="Calibri" w:hAnsi="Times New Roman" w:hint="eastAsia"/>
          <w:color w:val="auto"/>
        </w:rPr>
        <w:t>26</w:t>
      </w:r>
      <w:r w:rsidRPr="00A964FF">
        <w:rPr>
          <w:rFonts w:ascii="Calibri" w:hAnsi="Times New Roman" w:hint="eastAsia"/>
          <w:color w:val="auto"/>
        </w:rPr>
        <w:t>日起施行。</w:t>
      </w:r>
    </w:p>
    <w:p w14:paraId="5CD57023" w14:textId="77777777" w:rsidR="0055605A" w:rsidRPr="00A964FF" w:rsidRDefault="0055605A" w:rsidP="0055605A">
      <w:pPr>
        <w:pStyle w:val="ad"/>
        <w:rPr>
          <w:rFonts w:ascii="Calibri" w:hAnsi="Calibri"/>
          <w:color w:val="auto"/>
        </w:rPr>
      </w:pPr>
      <w:r w:rsidRPr="00FC28EF">
        <w:rPr>
          <w:rFonts w:ascii="Calibri" w:hAnsi="Calibri"/>
          <w:color w:val="auto"/>
        </w:rPr>
        <w:t>1.</w:t>
      </w:r>
      <w:r w:rsidRPr="00FC28EF">
        <w:rPr>
          <w:rFonts w:ascii="Calibri" w:hAnsi="Calibri" w:hint="eastAsia"/>
          <w:color w:val="auto"/>
        </w:rPr>
        <w:t>1</w:t>
      </w:r>
      <w:r w:rsidRPr="00FC28EF">
        <w:rPr>
          <w:rFonts w:ascii="Calibri" w:hAnsi="Calibri"/>
          <w:color w:val="auto"/>
        </w:rPr>
        <w:t>.2</w:t>
      </w:r>
      <w:r w:rsidRPr="00FC28EF">
        <w:rPr>
          <w:rFonts w:ascii="Calibri" w:hAnsi="Calibri" w:hint="eastAsia"/>
          <w:color w:val="auto"/>
        </w:rPr>
        <w:t>部门规章</w:t>
      </w:r>
    </w:p>
    <w:p w14:paraId="033BE5B4"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color w:val="auto"/>
        </w:rPr>
        <w:t>1</w:t>
      </w:r>
      <w:r w:rsidRPr="00A964FF">
        <w:rPr>
          <w:rFonts w:ascii="Calibri" w:hAnsi="Calibri"/>
          <w:color w:val="auto"/>
        </w:rPr>
        <w:t>）</w:t>
      </w:r>
      <w:r w:rsidR="001A28A1" w:rsidRPr="00A964FF">
        <w:rPr>
          <w:rFonts w:ascii="Calibri" w:hAnsi="Calibri"/>
          <w:color w:val="auto"/>
        </w:rPr>
        <w:t>生态环境部令第</w:t>
      </w:r>
      <w:r w:rsidR="001A28A1" w:rsidRPr="00A964FF">
        <w:rPr>
          <w:rFonts w:ascii="Calibri" w:hAnsi="Calibri"/>
          <w:color w:val="auto"/>
        </w:rPr>
        <w:t>16</w:t>
      </w:r>
      <w:r w:rsidR="001A28A1" w:rsidRPr="00A964FF">
        <w:rPr>
          <w:rFonts w:ascii="Calibri" w:hAnsi="Calibri"/>
          <w:color w:val="auto"/>
        </w:rPr>
        <w:t>号《建设项目环境影响评价分类管理名录（</w:t>
      </w:r>
      <w:r w:rsidR="001A28A1" w:rsidRPr="00A964FF">
        <w:rPr>
          <w:rFonts w:ascii="Calibri" w:hAnsi="Calibri"/>
          <w:color w:val="auto"/>
        </w:rPr>
        <w:t>2021</w:t>
      </w:r>
      <w:r w:rsidR="001A28A1" w:rsidRPr="00A964FF">
        <w:rPr>
          <w:rFonts w:ascii="Calibri" w:hAnsi="Calibri"/>
          <w:color w:val="auto"/>
        </w:rPr>
        <w:t>年版）》，</w:t>
      </w:r>
      <w:r w:rsidR="001A28A1" w:rsidRPr="00A964FF">
        <w:rPr>
          <w:rFonts w:ascii="Calibri" w:hAnsi="Calibri"/>
          <w:color w:val="auto"/>
        </w:rPr>
        <w:t>2021</w:t>
      </w:r>
      <w:r w:rsidR="001A28A1" w:rsidRPr="00A964FF">
        <w:rPr>
          <w:rFonts w:ascii="Calibri" w:hAnsi="Calibri"/>
          <w:color w:val="auto"/>
        </w:rPr>
        <w:t>年</w:t>
      </w:r>
      <w:r w:rsidR="001A28A1" w:rsidRPr="00A964FF">
        <w:rPr>
          <w:rFonts w:ascii="Calibri" w:hAnsi="Calibri"/>
          <w:color w:val="auto"/>
        </w:rPr>
        <w:t>1</w:t>
      </w:r>
      <w:r w:rsidR="001A28A1" w:rsidRPr="00A964FF">
        <w:rPr>
          <w:rFonts w:ascii="Calibri" w:hAnsi="Calibri"/>
          <w:color w:val="auto"/>
        </w:rPr>
        <w:t>月</w:t>
      </w:r>
      <w:r w:rsidR="001A28A1" w:rsidRPr="00A964FF">
        <w:rPr>
          <w:rFonts w:ascii="Calibri" w:hAnsi="Calibri"/>
          <w:color w:val="auto"/>
        </w:rPr>
        <w:t>1</w:t>
      </w:r>
      <w:r w:rsidR="001A28A1" w:rsidRPr="00A964FF">
        <w:rPr>
          <w:rFonts w:ascii="Calibri" w:hAnsi="Calibri"/>
          <w:color w:val="auto"/>
        </w:rPr>
        <w:t>日起施行；</w:t>
      </w:r>
    </w:p>
    <w:p w14:paraId="2BE7EEF4" w14:textId="77777777" w:rsidR="0055605A" w:rsidRPr="00A964FF" w:rsidRDefault="0055605A" w:rsidP="0055605A">
      <w:pPr>
        <w:pStyle w:val="00"/>
        <w:rPr>
          <w:rFonts w:ascii="Calibri" w:hAnsi="Calibri"/>
          <w:color w:val="auto"/>
        </w:rPr>
      </w:pPr>
      <w:r w:rsidRPr="00A964FF">
        <w:rPr>
          <w:rFonts w:ascii="Calibri" w:hAnsi="Calibri"/>
          <w:color w:val="auto"/>
        </w:rPr>
        <w:t>（</w:t>
      </w:r>
      <w:r w:rsidR="001A28A1" w:rsidRPr="00A964FF">
        <w:rPr>
          <w:rFonts w:ascii="Calibri" w:hAnsi="Calibri"/>
          <w:color w:val="auto"/>
        </w:rPr>
        <w:t>2</w:t>
      </w:r>
      <w:r w:rsidRPr="00A964FF">
        <w:rPr>
          <w:rFonts w:ascii="Calibri" w:hAnsi="Calibri"/>
          <w:color w:val="auto"/>
        </w:rPr>
        <w:t>）中华人民共和国务院第</w:t>
      </w:r>
      <w:r w:rsidRPr="00A964FF">
        <w:rPr>
          <w:rFonts w:ascii="Calibri" w:hAnsi="Calibri"/>
          <w:color w:val="auto"/>
        </w:rPr>
        <w:t>682</w:t>
      </w:r>
      <w:r w:rsidRPr="00A964FF">
        <w:rPr>
          <w:rFonts w:ascii="Calibri" w:hAnsi="Calibri"/>
          <w:color w:val="auto"/>
        </w:rPr>
        <w:t>号令《</w:t>
      </w:r>
      <w:r w:rsidRPr="00A964FF">
        <w:rPr>
          <w:rFonts w:ascii="Calibri" w:hAnsi="Calibri"/>
          <w:color w:val="auto"/>
          <w:spacing w:val="8"/>
        </w:rPr>
        <w:t>国务院关于修改〈建设项目环境保护</w:t>
      </w:r>
      <w:r w:rsidRPr="00A964FF">
        <w:rPr>
          <w:rFonts w:ascii="Calibri" w:hAnsi="Calibri"/>
          <w:color w:val="auto"/>
          <w:spacing w:val="8"/>
        </w:rPr>
        <w:lastRenderedPageBreak/>
        <w:t>管理条例〉的决定</w:t>
      </w:r>
      <w:r w:rsidRPr="00A964FF">
        <w:rPr>
          <w:rFonts w:ascii="Calibri" w:hAnsi="Calibri"/>
          <w:color w:val="auto"/>
        </w:rPr>
        <w:t>》，</w:t>
      </w:r>
      <w:r w:rsidRPr="00A964FF">
        <w:rPr>
          <w:rFonts w:ascii="Calibri" w:hAnsi="Calibri"/>
          <w:color w:val="auto"/>
        </w:rPr>
        <w:t>2017</w:t>
      </w:r>
      <w:r w:rsidRPr="00A964FF">
        <w:rPr>
          <w:rFonts w:ascii="Calibri" w:hAnsi="Calibri"/>
          <w:color w:val="auto"/>
        </w:rPr>
        <w:t>年</w:t>
      </w:r>
      <w:r w:rsidRPr="00A964FF">
        <w:rPr>
          <w:rFonts w:ascii="Calibri" w:hAnsi="Calibri"/>
          <w:color w:val="auto"/>
        </w:rPr>
        <w:t>10</w:t>
      </w:r>
      <w:r w:rsidRPr="00A964FF">
        <w:rPr>
          <w:rFonts w:ascii="Calibri" w:hAnsi="Calibri"/>
          <w:color w:val="auto"/>
        </w:rPr>
        <w:t>月</w:t>
      </w:r>
      <w:r w:rsidRPr="00A964FF">
        <w:rPr>
          <w:rFonts w:ascii="Calibri" w:hAnsi="Calibri"/>
          <w:color w:val="auto"/>
        </w:rPr>
        <w:t>1</w:t>
      </w:r>
      <w:r w:rsidRPr="00A964FF">
        <w:rPr>
          <w:rFonts w:ascii="Calibri" w:hAnsi="Calibri"/>
          <w:color w:val="auto"/>
        </w:rPr>
        <w:t>日施行；</w:t>
      </w:r>
    </w:p>
    <w:p w14:paraId="7BC6C1D5" w14:textId="77777777" w:rsidR="001A28A1" w:rsidRPr="00A964FF" w:rsidRDefault="001A28A1" w:rsidP="0055605A">
      <w:pPr>
        <w:pStyle w:val="00"/>
        <w:rPr>
          <w:rFonts w:ascii="Calibri" w:hAnsi="Calibri"/>
          <w:color w:val="auto"/>
        </w:rPr>
      </w:pPr>
      <w:r w:rsidRPr="00A964FF">
        <w:rPr>
          <w:rFonts w:ascii="Calibri" w:hAnsi="Calibri"/>
          <w:color w:val="auto"/>
        </w:rPr>
        <w:t>（</w:t>
      </w:r>
      <w:r w:rsidRPr="00A964FF">
        <w:rPr>
          <w:rFonts w:ascii="Calibri" w:hAnsi="Calibri"/>
          <w:color w:val="auto"/>
        </w:rPr>
        <w:t>3</w:t>
      </w:r>
      <w:r w:rsidRPr="00A964FF">
        <w:rPr>
          <w:rFonts w:ascii="Calibri" w:hAnsi="Calibri"/>
          <w:color w:val="auto"/>
        </w:rPr>
        <w:t>）中华人民共和国国家发展和改革委员会令第</w:t>
      </w:r>
      <w:r w:rsidRPr="00A964FF">
        <w:rPr>
          <w:rFonts w:ascii="Calibri" w:hAnsi="Calibri"/>
          <w:color w:val="auto"/>
        </w:rPr>
        <w:t>29</w:t>
      </w:r>
      <w:r w:rsidRPr="00A964FF">
        <w:rPr>
          <w:rFonts w:ascii="Calibri" w:hAnsi="Calibri"/>
          <w:color w:val="auto"/>
        </w:rPr>
        <w:t>号《产业结构调整指导目录（</w:t>
      </w:r>
      <w:r w:rsidRPr="00A964FF">
        <w:rPr>
          <w:rFonts w:ascii="Calibri" w:hAnsi="Calibri"/>
          <w:color w:val="auto"/>
        </w:rPr>
        <w:t>2019</w:t>
      </w:r>
      <w:r w:rsidRPr="00A964FF">
        <w:rPr>
          <w:rFonts w:ascii="Calibri" w:hAnsi="Calibri"/>
          <w:color w:val="auto"/>
        </w:rPr>
        <w:t>年本）》，</w:t>
      </w:r>
      <w:r w:rsidRPr="00A964FF">
        <w:rPr>
          <w:rFonts w:ascii="Calibri" w:hAnsi="Calibri"/>
          <w:color w:val="auto"/>
        </w:rPr>
        <w:t>2020</w:t>
      </w:r>
      <w:r w:rsidRPr="00A964FF">
        <w:rPr>
          <w:rFonts w:ascii="Calibri" w:hAnsi="Calibri"/>
          <w:color w:val="auto"/>
        </w:rPr>
        <w:t>年</w:t>
      </w:r>
      <w:r w:rsidRPr="00A964FF">
        <w:rPr>
          <w:rFonts w:ascii="Calibri" w:hAnsi="Calibri"/>
          <w:color w:val="auto"/>
        </w:rPr>
        <w:t>1</w:t>
      </w:r>
      <w:r w:rsidRPr="00A964FF">
        <w:rPr>
          <w:rFonts w:ascii="Calibri" w:hAnsi="Calibri"/>
          <w:color w:val="auto"/>
        </w:rPr>
        <w:t>月</w:t>
      </w:r>
      <w:r w:rsidRPr="00A964FF">
        <w:rPr>
          <w:rFonts w:ascii="Calibri" w:hAnsi="Calibri"/>
          <w:color w:val="auto"/>
        </w:rPr>
        <w:t>1</w:t>
      </w:r>
      <w:r w:rsidRPr="00A964FF">
        <w:rPr>
          <w:rFonts w:ascii="Calibri" w:hAnsi="Calibri"/>
          <w:color w:val="auto"/>
        </w:rPr>
        <w:t>日起施行；</w:t>
      </w:r>
    </w:p>
    <w:p w14:paraId="13070C41" w14:textId="77777777" w:rsidR="00870431" w:rsidRPr="00A964FF" w:rsidRDefault="00870431" w:rsidP="00870431">
      <w:pPr>
        <w:pStyle w:val="00"/>
        <w:rPr>
          <w:rFonts w:ascii="Calibri" w:hAnsi="Calibri"/>
          <w:color w:val="auto"/>
        </w:rPr>
      </w:pPr>
      <w:r w:rsidRPr="00A964FF">
        <w:rPr>
          <w:rFonts w:ascii="Calibri" w:hAnsi="Calibri"/>
          <w:color w:val="auto"/>
        </w:rPr>
        <w:t>（</w:t>
      </w:r>
      <w:r w:rsidRPr="00A964FF">
        <w:rPr>
          <w:rFonts w:ascii="Calibri" w:hAnsi="Calibri" w:hint="eastAsia"/>
          <w:color w:val="auto"/>
        </w:rPr>
        <w:t>4</w:t>
      </w:r>
      <w:r w:rsidRPr="00A964FF">
        <w:rPr>
          <w:rFonts w:ascii="Calibri" w:hAnsi="Calibri"/>
          <w:color w:val="auto"/>
        </w:rPr>
        <w:t>）中华人民共和国国家发展和改革委员会令第</w:t>
      </w:r>
      <w:r w:rsidRPr="00A964FF">
        <w:rPr>
          <w:rFonts w:ascii="Calibri" w:hAnsi="Calibri" w:hint="eastAsia"/>
          <w:color w:val="auto"/>
        </w:rPr>
        <w:t>4</w:t>
      </w:r>
      <w:r w:rsidRPr="00A964FF">
        <w:rPr>
          <w:rFonts w:ascii="Calibri" w:hAnsi="Calibri"/>
          <w:color w:val="auto"/>
        </w:rPr>
        <w:t>9</w:t>
      </w:r>
      <w:r w:rsidRPr="00A964FF">
        <w:rPr>
          <w:rFonts w:ascii="Calibri" w:hAnsi="Calibri"/>
          <w:color w:val="auto"/>
        </w:rPr>
        <w:t>号《</w:t>
      </w:r>
      <w:r w:rsidRPr="00A964FF">
        <w:rPr>
          <w:rFonts w:ascii="Calibri" w:hAnsi="Calibri" w:hint="eastAsia"/>
          <w:color w:val="auto"/>
        </w:rPr>
        <w:t>国家发展改革委关于修改</w:t>
      </w:r>
      <w:r w:rsidRPr="00A964FF">
        <w:rPr>
          <w:rFonts w:ascii="Calibri" w:hAnsi="Calibri" w:hint="eastAsia"/>
          <w:color w:val="auto"/>
        </w:rPr>
        <w:t>&lt;</w:t>
      </w:r>
      <w:r w:rsidRPr="00A964FF">
        <w:rPr>
          <w:rFonts w:ascii="Calibri" w:hAnsi="Calibri" w:hint="eastAsia"/>
          <w:color w:val="auto"/>
        </w:rPr>
        <w:t>产业结构调整指导目录（</w:t>
      </w:r>
      <w:r w:rsidRPr="00A964FF">
        <w:rPr>
          <w:rFonts w:ascii="Calibri" w:hAnsi="Calibri" w:hint="eastAsia"/>
          <w:color w:val="auto"/>
        </w:rPr>
        <w:t>2019</w:t>
      </w:r>
      <w:r w:rsidRPr="00A964FF">
        <w:rPr>
          <w:rFonts w:ascii="Calibri" w:hAnsi="Calibri" w:hint="eastAsia"/>
          <w:color w:val="auto"/>
        </w:rPr>
        <w:t>年本）</w:t>
      </w:r>
      <w:r w:rsidRPr="00A964FF">
        <w:rPr>
          <w:rFonts w:ascii="Calibri" w:hAnsi="Calibri" w:hint="eastAsia"/>
          <w:color w:val="auto"/>
        </w:rPr>
        <w:t>&gt;</w:t>
      </w:r>
      <w:r w:rsidRPr="00A964FF">
        <w:rPr>
          <w:rFonts w:ascii="Calibri" w:hAnsi="Calibri" w:hint="eastAsia"/>
          <w:color w:val="auto"/>
        </w:rPr>
        <w:t>的决定</w:t>
      </w:r>
      <w:r w:rsidRPr="00A964FF">
        <w:rPr>
          <w:rFonts w:ascii="Calibri" w:hAnsi="Calibri"/>
          <w:color w:val="auto"/>
        </w:rPr>
        <w:t>》，</w:t>
      </w:r>
      <w:r w:rsidRPr="00A964FF">
        <w:rPr>
          <w:rFonts w:ascii="Calibri" w:hAnsi="Calibri"/>
          <w:color w:val="auto"/>
        </w:rPr>
        <w:t>202</w:t>
      </w:r>
      <w:r w:rsidRPr="00A964FF">
        <w:rPr>
          <w:rFonts w:ascii="Calibri" w:hAnsi="Calibri" w:hint="eastAsia"/>
          <w:color w:val="auto"/>
        </w:rPr>
        <w:t>1</w:t>
      </w:r>
      <w:r w:rsidRPr="00A964FF">
        <w:rPr>
          <w:rFonts w:ascii="Calibri" w:hAnsi="Calibri"/>
          <w:color w:val="auto"/>
        </w:rPr>
        <w:t>年</w:t>
      </w:r>
      <w:r w:rsidRPr="00A964FF">
        <w:rPr>
          <w:rFonts w:ascii="Calibri" w:hAnsi="Calibri"/>
          <w:color w:val="auto"/>
        </w:rPr>
        <w:t>1</w:t>
      </w:r>
      <w:r w:rsidRPr="00A964FF">
        <w:rPr>
          <w:rFonts w:ascii="Calibri" w:hAnsi="Calibri" w:hint="eastAsia"/>
          <w:color w:val="auto"/>
        </w:rPr>
        <w:t>2</w:t>
      </w:r>
      <w:r w:rsidRPr="00A964FF">
        <w:rPr>
          <w:rFonts w:ascii="Calibri" w:hAnsi="Calibri"/>
          <w:color w:val="auto"/>
        </w:rPr>
        <w:t>月</w:t>
      </w:r>
      <w:r w:rsidRPr="00A964FF">
        <w:rPr>
          <w:rFonts w:ascii="Calibri" w:hAnsi="Calibri" w:hint="eastAsia"/>
          <w:color w:val="auto"/>
        </w:rPr>
        <w:t>30</w:t>
      </w:r>
      <w:r w:rsidRPr="00A964FF">
        <w:rPr>
          <w:rFonts w:ascii="Calibri" w:hAnsi="Calibri"/>
          <w:color w:val="auto"/>
        </w:rPr>
        <w:t>日起施行；</w:t>
      </w:r>
    </w:p>
    <w:p w14:paraId="106DE778"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00870431" w:rsidRPr="00A964FF">
        <w:rPr>
          <w:rFonts w:ascii="Calibri" w:hAnsi="Times New Roman" w:hint="eastAsia"/>
          <w:color w:val="auto"/>
        </w:rPr>
        <w:t>5</w:t>
      </w:r>
      <w:r w:rsidRPr="00A964FF">
        <w:rPr>
          <w:rFonts w:ascii="Calibri" w:hAnsi="Times New Roman" w:hint="eastAsia"/>
          <w:color w:val="auto"/>
        </w:rPr>
        <w:t>）《国务院关于印发大气污染防治行动计划的通知》（国发【</w:t>
      </w:r>
      <w:r w:rsidRPr="00A964FF">
        <w:rPr>
          <w:rFonts w:ascii="Calibri" w:hAnsi="Times New Roman" w:hint="eastAsia"/>
          <w:color w:val="auto"/>
        </w:rPr>
        <w:t>2013</w:t>
      </w:r>
      <w:r w:rsidRPr="00A964FF">
        <w:rPr>
          <w:rFonts w:ascii="Calibri" w:hAnsi="Times New Roman" w:hint="eastAsia"/>
          <w:color w:val="auto"/>
        </w:rPr>
        <w:t>】</w:t>
      </w:r>
      <w:r w:rsidRPr="00A964FF">
        <w:rPr>
          <w:rFonts w:ascii="Calibri" w:hAnsi="Times New Roman" w:hint="eastAsia"/>
          <w:color w:val="auto"/>
        </w:rPr>
        <w:t>37</w:t>
      </w:r>
      <w:r w:rsidRPr="00A964FF">
        <w:rPr>
          <w:rFonts w:ascii="Calibri" w:hAnsi="Times New Roman" w:hint="eastAsia"/>
          <w:color w:val="auto"/>
        </w:rPr>
        <w:t>号）；</w:t>
      </w:r>
    </w:p>
    <w:p w14:paraId="63558F81" w14:textId="77777777" w:rsidR="0055605A" w:rsidRPr="00A964FF" w:rsidRDefault="0055605A" w:rsidP="0055605A">
      <w:pPr>
        <w:pStyle w:val="00"/>
        <w:rPr>
          <w:rFonts w:ascii="Calibri" w:hAnsi="Times New Roman"/>
          <w:color w:val="auto"/>
        </w:rPr>
      </w:pPr>
      <w:r w:rsidRPr="00A964FF">
        <w:rPr>
          <w:rFonts w:ascii="Calibri" w:hAnsi="Times New Roman" w:hint="eastAsia"/>
          <w:color w:val="auto"/>
        </w:rPr>
        <w:t>（</w:t>
      </w:r>
      <w:r w:rsidR="00870431" w:rsidRPr="00A964FF">
        <w:rPr>
          <w:rFonts w:ascii="Calibri" w:hAnsi="Times New Roman" w:hint="eastAsia"/>
          <w:color w:val="auto"/>
        </w:rPr>
        <w:t>6</w:t>
      </w:r>
      <w:r w:rsidRPr="00A964FF">
        <w:rPr>
          <w:rFonts w:ascii="Calibri" w:hAnsi="Times New Roman" w:hint="eastAsia"/>
          <w:color w:val="auto"/>
        </w:rPr>
        <w:t>）《国务院关于印发水污染防治行动计划的通知》（国发【</w:t>
      </w:r>
      <w:r w:rsidRPr="00A964FF">
        <w:rPr>
          <w:rFonts w:ascii="Calibri" w:hAnsi="Times New Roman" w:hint="eastAsia"/>
          <w:color w:val="auto"/>
        </w:rPr>
        <w:t>2015</w:t>
      </w:r>
      <w:r w:rsidRPr="00A964FF">
        <w:rPr>
          <w:rFonts w:ascii="Calibri" w:hAnsi="Times New Roman" w:hint="eastAsia"/>
          <w:color w:val="auto"/>
        </w:rPr>
        <w:t>】</w:t>
      </w:r>
      <w:r w:rsidRPr="00A964FF">
        <w:rPr>
          <w:rFonts w:ascii="Calibri" w:hAnsi="Times New Roman" w:hint="eastAsia"/>
          <w:color w:val="auto"/>
        </w:rPr>
        <w:t>17</w:t>
      </w:r>
      <w:r w:rsidRPr="00A964FF">
        <w:rPr>
          <w:rFonts w:ascii="Calibri" w:hAnsi="Times New Roman" w:hint="eastAsia"/>
          <w:color w:val="auto"/>
        </w:rPr>
        <w:t>号）；</w:t>
      </w:r>
    </w:p>
    <w:p w14:paraId="646F2872" w14:textId="77777777" w:rsidR="00C870B0" w:rsidRPr="00A964FF" w:rsidRDefault="00C870B0" w:rsidP="00C870B0">
      <w:pPr>
        <w:pStyle w:val="00"/>
        <w:rPr>
          <w:rFonts w:ascii="Calibri" w:hAnsi="Calibri"/>
          <w:color w:val="auto"/>
        </w:rPr>
      </w:pPr>
      <w:r w:rsidRPr="00A964FF">
        <w:rPr>
          <w:rFonts w:ascii="Calibri" w:hAnsi="Calibri" w:hint="eastAsia"/>
          <w:color w:val="auto"/>
        </w:rPr>
        <w:t>（</w:t>
      </w:r>
      <w:r w:rsidR="00870431" w:rsidRPr="00A964FF">
        <w:rPr>
          <w:rFonts w:ascii="Calibri" w:hAnsi="Calibri" w:hint="eastAsia"/>
          <w:color w:val="auto"/>
        </w:rPr>
        <w:t>7</w:t>
      </w:r>
      <w:r w:rsidRPr="00A964FF">
        <w:rPr>
          <w:rFonts w:ascii="Calibri" w:hAnsi="Calibri" w:hint="eastAsia"/>
          <w:color w:val="auto"/>
        </w:rPr>
        <w:t>）《国务院关于印发土壤污染防治行动计划的通知》国发【</w:t>
      </w:r>
      <w:r w:rsidRPr="00A964FF">
        <w:rPr>
          <w:rFonts w:ascii="Calibri" w:hAnsi="Calibri"/>
          <w:color w:val="auto"/>
        </w:rPr>
        <w:t>2016</w:t>
      </w:r>
      <w:r w:rsidRPr="00A964FF">
        <w:rPr>
          <w:rFonts w:ascii="Calibri" w:hAnsi="Calibri" w:hint="eastAsia"/>
          <w:color w:val="auto"/>
        </w:rPr>
        <w:t>】</w:t>
      </w:r>
      <w:r w:rsidRPr="00A964FF">
        <w:rPr>
          <w:rFonts w:ascii="Calibri" w:hAnsi="Calibri"/>
          <w:color w:val="auto"/>
        </w:rPr>
        <w:t>31</w:t>
      </w:r>
      <w:r w:rsidRPr="00A964FF">
        <w:rPr>
          <w:rFonts w:ascii="Calibri" w:hAnsi="Calibri" w:hint="eastAsia"/>
          <w:color w:val="auto"/>
        </w:rPr>
        <w:t>号文，</w:t>
      </w:r>
      <w:r w:rsidRPr="00A964FF">
        <w:rPr>
          <w:rFonts w:ascii="Calibri" w:hAnsi="Calibri"/>
          <w:color w:val="auto"/>
        </w:rPr>
        <w:t>2016</w:t>
      </w:r>
      <w:r w:rsidRPr="00A964FF">
        <w:rPr>
          <w:rFonts w:ascii="Calibri" w:hAnsi="Calibri" w:hint="eastAsia"/>
          <w:color w:val="auto"/>
        </w:rPr>
        <w:t>年</w:t>
      </w:r>
      <w:r w:rsidRPr="00A964FF">
        <w:rPr>
          <w:rFonts w:ascii="Calibri" w:hAnsi="Calibri"/>
          <w:color w:val="auto"/>
        </w:rPr>
        <w:t>5</w:t>
      </w:r>
      <w:r w:rsidRPr="00A964FF">
        <w:rPr>
          <w:rFonts w:ascii="Calibri" w:hAnsi="Calibri" w:hint="eastAsia"/>
          <w:color w:val="auto"/>
        </w:rPr>
        <w:t>月</w:t>
      </w:r>
      <w:r w:rsidRPr="00A964FF">
        <w:rPr>
          <w:rFonts w:ascii="Calibri" w:hAnsi="Calibri"/>
          <w:color w:val="auto"/>
        </w:rPr>
        <w:t>28</w:t>
      </w:r>
      <w:r w:rsidRPr="00A964FF">
        <w:rPr>
          <w:rFonts w:ascii="Calibri" w:hAnsi="Calibri" w:hint="eastAsia"/>
          <w:color w:val="auto"/>
        </w:rPr>
        <w:t>日；</w:t>
      </w:r>
    </w:p>
    <w:p w14:paraId="176F7C6D"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00870431" w:rsidRPr="00A964FF">
        <w:rPr>
          <w:rFonts w:ascii="Calibri" w:hAnsi="Calibri" w:hint="eastAsia"/>
          <w:color w:val="auto"/>
        </w:rPr>
        <w:t>8</w:t>
      </w:r>
      <w:r w:rsidRPr="00A964FF">
        <w:rPr>
          <w:rFonts w:ascii="Calibri" w:hAnsi="Calibri" w:hint="eastAsia"/>
          <w:color w:val="auto"/>
        </w:rPr>
        <w:t>）《关于加强建设项目危险废物环境管理工作的通知》（豫环办【</w:t>
      </w:r>
      <w:r w:rsidRPr="00A964FF">
        <w:rPr>
          <w:rFonts w:ascii="Calibri" w:hAnsi="Calibri" w:hint="eastAsia"/>
          <w:color w:val="auto"/>
        </w:rPr>
        <w:t>2012</w:t>
      </w:r>
      <w:r w:rsidRPr="00A964FF">
        <w:rPr>
          <w:rFonts w:ascii="Calibri" w:hAnsi="Calibri" w:hint="eastAsia"/>
          <w:color w:val="auto"/>
        </w:rPr>
        <w:t>】</w:t>
      </w:r>
      <w:r w:rsidRPr="00A964FF">
        <w:rPr>
          <w:rFonts w:ascii="Calibri" w:hAnsi="Calibri" w:hint="eastAsia"/>
          <w:color w:val="auto"/>
        </w:rPr>
        <w:t>5</w:t>
      </w:r>
      <w:r w:rsidRPr="00A964FF">
        <w:rPr>
          <w:rFonts w:ascii="Calibri" w:hAnsi="Calibri" w:hint="eastAsia"/>
          <w:color w:val="auto"/>
        </w:rPr>
        <w:t>号）；</w:t>
      </w:r>
    </w:p>
    <w:p w14:paraId="2B05215D"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00870431" w:rsidRPr="00A964FF">
        <w:rPr>
          <w:rFonts w:ascii="Calibri" w:hAnsi="Calibri" w:hint="eastAsia"/>
          <w:color w:val="auto"/>
        </w:rPr>
        <w:t>9</w:t>
      </w:r>
      <w:r w:rsidRPr="00A964FF">
        <w:rPr>
          <w:rFonts w:ascii="Calibri" w:hAnsi="Calibri" w:hint="eastAsia"/>
          <w:color w:val="auto"/>
        </w:rPr>
        <w:t>）</w:t>
      </w:r>
      <w:r w:rsidR="001A28A1" w:rsidRPr="00A964FF">
        <w:rPr>
          <w:rFonts w:ascii="Calibri" w:hAnsi="Calibri" w:hint="eastAsia"/>
          <w:color w:val="auto"/>
        </w:rPr>
        <w:t>生态环境部令第</w:t>
      </w:r>
      <w:r w:rsidR="001A28A1" w:rsidRPr="00A964FF">
        <w:rPr>
          <w:rFonts w:ascii="Calibri" w:hAnsi="Calibri" w:hint="eastAsia"/>
          <w:color w:val="auto"/>
        </w:rPr>
        <w:t>15</w:t>
      </w:r>
      <w:r w:rsidR="001A28A1" w:rsidRPr="00A964FF">
        <w:rPr>
          <w:rFonts w:ascii="Calibri" w:hAnsi="Calibri" w:hint="eastAsia"/>
          <w:color w:val="auto"/>
        </w:rPr>
        <w:t>号《国家危险废物名录》（</w:t>
      </w:r>
      <w:r w:rsidR="001A28A1" w:rsidRPr="00A964FF">
        <w:rPr>
          <w:rFonts w:ascii="Calibri" w:hAnsi="Calibri" w:hint="eastAsia"/>
          <w:color w:val="auto"/>
        </w:rPr>
        <w:t>2021</w:t>
      </w:r>
      <w:r w:rsidR="001A28A1" w:rsidRPr="00A964FF">
        <w:rPr>
          <w:rFonts w:ascii="Calibri" w:hAnsi="Calibri" w:hint="eastAsia"/>
          <w:color w:val="auto"/>
        </w:rPr>
        <w:t>年版），</w:t>
      </w:r>
      <w:r w:rsidR="001A28A1" w:rsidRPr="00A964FF">
        <w:rPr>
          <w:rFonts w:ascii="Calibri" w:hAnsi="Calibri" w:hint="eastAsia"/>
          <w:color w:val="auto"/>
        </w:rPr>
        <w:t>2021</w:t>
      </w:r>
      <w:r w:rsidR="001A28A1" w:rsidRPr="00A964FF">
        <w:rPr>
          <w:rFonts w:ascii="Calibri" w:hAnsi="Calibri" w:hint="eastAsia"/>
          <w:color w:val="auto"/>
        </w:rPr>
        <w:t>年</w:t>
      </w:r>
      <w:r w:rsidR="001A28A1" w:rsidRPr="00A964FF">
        <w:rPr>
          <w:rFonts w:ascii="Calibri" w:hAnsi="Calibri" w:hint="eastAsia"/>
          <w:color w:val="auto"/>
        </w:rPr>
        <w:t>1</w:t>
      </w:r>
      <w:r w:rsidR="001A28A1" w:rsidRPr="00A964FF">
        <w:rPr>
          <w:rFonts w:ascii="Calibri" w:hAnsi="Calibri" w:hint="eastAsia"/>
          <w:color w:val="auto"/>
        </w:rPr>
        <w:t>月</w:t>
      </w:r>
      <w:r w:rsidR="001A28A1" w:rsidRPr="00A964FF">
        <w:rPr>
          <w:rFonts w:ascii="Calibri" w:hAnsi="Calibri" w:hint="eastAsia"/>
          <w:color w:val="auto"/>
        </w:rPr>
        <w:t>1</w:t>
      </w:r>
      <w:r w:rsidR="001A28A1" w:rsidRPr="00A964FF">
        <w:rPr>
          <w:rFonts w:ascii="Calibri" w:hAnsi="Calibri" w:hint="eastAsia"/>
          <w:color w:val="auto"/>
        </w:rPr>
        <w:t>日起实施；</w:t>
      </w:r>
    </w:p>
    <w:p w14:paraId="7EDDB65C" w14:textId="77777777" w:rsidR="002728E2" w:rsidRPr="00A964FF" w:rsidRDefault="002728E2" w:rsidP="0055605A">
      <w:pPr>
        <w:pStyle w:val="00"/>
        <w:rPr>
          <w:rFonts w:ascii="Calibri" w:hAnsi="Times New Roman"/>
          <w:color w:val="auto"/>
        </w:rPr>
      </w:pPr>
      <w:r w:rsidRPr="00A964FF">
        <w:rPr>
          <w:rFonts w:ascii="Calibri" w:hAnsi="Times New Roman" w:hint="eastAsia"/>
          <w:color w:val="auto"/>
        </w:rPr>
        <w:t>（</w:t>
      </w:r>
      <w:r w:rsidR="00870431" w:rsidRPr="00A964FF">
        <w:rPr>
          <w:rFonts w:ascii="Calibri" w:hAnsi="Times New Roman" w:hint="eastAsia"/>
          <w:color w:val="auto"/>
        </w:rPr>
        <w:t>10</w:t>
      </w:r>
      <w:r w:rsidRPr="00A964FF">
        <w:rPr>
          <w:rFonts w:ascii="Calibri" w:hAnsi="Times New Roman" w:hint="eastAsia"/>
          <w:color w:val="auto"/>
        </w:rPr>
        <w:t>）《河南省大气污染防治条例》，</w:t>
      </w:r>
      <w:r w:rsidRPr="00A964FF">
        <w:rPr>
          <w:rFonts w:ascii="Calibri" w:hAnsi="Times New Roman" w:hint="eastAsia"/>
          <w:color w:val="auto"/>
        </w:rPr>
        <w:t>2018</w:t>
      </w:r>
      <w:r w:rsidRPr="00A964FF">
        <w:rPr>
          <w:rFonts w:ascii="Calibri" w:hAnsi="Times New Roman" w:hint="eastAsia"/>
          <w:color w:val="auto"/>
        </w:rPr>
        <w:t>年</w:t>
      </w:r>
      <w:r w:rsidRPr="00A964FF">
        <w:rPr>
          <w:rFonts w:ascii="Calibri" w:hAnsi="Times New Roman" w:hint="eastAsia"/>
          <w:color w:val="auto"/>
        </w:rPr>
        <w:t>3</w:t>
      </w:r>
      <w:r w:rsidRPr="00A964FF">
        <w:rPr>
          <w:rFonts w:ascii="Calibri" w:hAnsi="Times New Roman" w:hint="eastAsia"/>
          <w:color w:val="auto"/>
        </w:rPr>
        <w:t>月</w:t>
      </w:r>
      <w:r w:rsidRPr="00A964FF">
        <w:rPr>
          <w:rFonts w:ascii="Calibri" w:hAnsi="Times New Roman" w:hint="eastAsia"/>
          <w:color w:val="auto"/>
        </w:rPr>
        <w:t>1</w:t>
      </w:r>
      <w:r w:rsidRPr="00A964FF">
        <w:rPr>
          <w:rFonts w:ascii="Calibri" w:hAnsi="Times New Roman" w:hint="eastAsia"/>
          <w:color w:val="auto"/>
        </w:rPr>
        <w:t>日起施行；</w:t>
      </w:r>
    </w:p>
    <w:p w14:paraId="1AA9F5DD" w14:textId="77777777" w:rsidR="00C870B0" w:rsidRPr="00A964FF" w:rsidRDefault="00C870B0" w:rsidP="00C870B0">
      <w:pPr>
        <w:pStyle w:val="00"/>
        <w:rPr>
          <w:rFonts w:ascii="Calibri" w:hAnsi="Times New Roman"/>
          <w:color w:val="auto"/>
        </w:rPr>
      </w:pPr>
      <w:r w:rsidRPr="00A964FF">
        <w:rPr>
          <w:rFonts w:ascii="Calibri" w:hAnsi="Calibri" w:hint="eastAsia"/>
          <w:color w:val="auto"/>
        </w:rPr>
        <w:t>（</w:t>
      </w:r>
      <w:r w:rsidRPr="00A964FF">
        <w:rPr>
          <w:rFonts w:ascii="Calibri" w:hAnsi="Calibri" w:hint="eastAsia"/>
          <w:color w:val="auto"/>
        </w:rPr>
        <w:t>1</w:t>
      </w:r>
      <w:r w:rsidR="00870431" w:rsidRPr="00A964FF">
        <w:rPr>
          <w:rFonts w:ascii="Calibri" w:hAnsi="Calibri" w:hint="eastAsia"/>
          <w:color w:val="auto"/>
        </w:rPr>
        <w:t>1</w:t>
      </w:r>
      <w:r w:rsidRPr="00A964FF">
        <w:rPr>
          <w:rFonts w:ascii="Calibri" w:hAnsi="Calibri" w:hint="eastAsia"/>
          <w:color w:val="auto"/>
        </w:rPr>
        <w:t>）《河南省水污染防治条例》，</w:t>
      </w:r>
      <w:r w:rsidRPr="00A964FF">
        <w:rPr>
          <w:rFonts w:ascii="Calibri" w:hAnsi="Times New Roman"/>
          <w:color w:val="auto"/>
        </w:rPr>
        <w:t>2019</w:t>
      </w:r>
      <w:r w:rsidRPr="00A964FF">
        <w:rPr>
          <w:rFonts w:ascii="Calibri" w:hAnsi="Times New Roman" w:hint="eastAsia"/>
          <w:color w:val="auto"/>
        </w:rPr>
        <w:t>年</w:t>
      </w:r>
      <w:r w:rsidRPr="00A964FF">
        <w:rPr>
          <w:rFonts w:ascii="Calibri" w:hAnsi="Times New Roman"/>
          <w:color w:val="auto"/>
        </w:rPr>
        <w:t>10</w:t>
      </w:r>
      <w:r w:rsidRPr="00A964FF">
        <w:rPr>
          <w:rFonts w:ascii="Calibri" w:hAnsi="Times New Roman" w:hint="eastAsia"/>
          <w:color w:val="auto"/>
        </w:rPr>
        <w:t>月</w:t>
      </w:r>
      <w:r w:rsidRPr="00A964FF">
        <w:rPr>
          <w:rFonts w:ascii="Calibri" w:hAnsi="Times New Roman"/>
          <w:color w:val="auto"/>
        </w:rPr>
        <w:t>1</w:t>
      </w:r>
      <w:r w:rsidRPr="00A964FF">
        <w:rPr>
          <w:rFonts w:ascii="Calibri" w:hAnsi="Times New Roman" w:hint="eastAsia"/>
          <w:color w:val="auto"/>
        </w:rPr>
        <w:t>日起施行；</w:t>
      </w:r>
    </w:p>
    <w:p w14:paraId="0549DE4E"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00C870B0" w:rsidRPr="00A964FF">
        <w:rPr>
          <w:rFonts w:ascii="Calibri" w:hAnsi="Calibri" w:hint="eastAsia"/>
          <w:color w:val="auto"/>
        </w:rPr>
        <w:t>1</w:t>
      </w:r>
      <w:r w:rsidR="00870431" w:rsidRPr="00A964FF">
        <w:rPr>
          <w:rFonts w:ascii="Calibri" w:hAnsi="Calibri" w:hint="eastAsia"/>
          <w:color w:val="auto"/>
        </w:rPr>
        <w:t>2</w:t>
      </w:r>
      <w:r w:rsidRPr="00A964FF">
        <w:rPr>
          <w:rFonts w:ascii="Calibri" w:hAnsi="Calibri" w:hint="eastAsia"/>
          <w:color w:val="auto"/>
        </w:rPr>
        <w:t>）《危险废物转移联单管理办法》（国家环境保护总局令第</w:t>
      </w:r>
      <w:r w:rsidRPr="00A964FF">
        <w:rPr>
          <w:rFonts w:ascii="Calibri" w:hAnsi="Calibri" w:hint="eastAsia"/>
          <w:color w:val="auto"/>
        </w:rPr>
        <w:t>5</w:t>
      </w:r>
      <w:r w:rsidRPr="00A964FF">
        <w:rPr>
          <w:rFonts w:ascii="Calibri" w:hAnsi="Calibri" w:hint="eastAsia"/>
          <w:color w:val="auto"/>
        </w:rPr>
        <w:t>号，</w:t>
      </w:r>
      <w:r w:rsidRPr="00A964FF">
        <w:rPr>
          <w:rFonts w:ascii="Calibri" w:hAnsi="Calibri" w:hint="eastAsia"/>
          <w:color w:val="auto"/>
        </w:rPr>
        <w:t>1999</w:t>
      </w:r>
      <w:r w:rsidRPr="00A964FF">
        <w:rPr>
          <w:rFonts w:ascii="Calibri" w:hAnsi="Calibri" w:hint="eastAsia"/>
          <w:color w:val="auto"/>
        </w:rPr>
        <w:t>年</w:t>
      </w:r>
      <w:r w:rsidRPr="00A964FF">
        <w:rPr>
          <w:rFonts w:ascii="Calibri" w:hAnsi="Calibri" w:hint="eastAsia"/>
          <w:color w:val="auto"/>
        </w:rPr>
        <w:t>10</w:t>
      </w:r>
      <w:r w:rsidRPr="00A964FF">
        <w:rPr>
          <w:rFonts w:ascii="Calibri" w:hAnsi="Calibri" w:hint="eastAsia"/>
          <w:color w:val="auto"/>
        </w:rPr>
        <w:t>月</w:t>
      </w:r>
      <w:r w:rsidRPr="00A964FF">
        <w:rPr>
          <w:rFonts w:ascii="Calibri" w:hAnsi="Calibri" w:hint="eastAsia"/>
          <w:color w:val="auto"/>
        </w:rPr>
        <w:t>1</w:t>
      </w:r>
      <w:r w:rsidRPr="00A964FF">
        <w:rPr>
          <w:rFonts w:ascii="Calibri" w:hAnsi="Calibri" w:hint="eastAsia"/>
          <w:color w:val="auto"/>
        </w:rPr>
        <w:t>日起施行）；</w:t>
      </w:r>
    </w:p>
    <w:p w14:paraId="7DE20098" w14:textId="77777777" w:rsidR="002728E2" w:rsidRPr="00A964FF" w:rsidRDefault="002728E2" w:rsidP="002728E2">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00870431" w:rsidRPr="00A964FF">
        <w:rPr>
          <w:rFonts w:ascii="Calibri" w:hAnsi="Calibri" w:hint="eastAsia"/>
          <w:color w:val="auto"/>
        </w:rPr>
        <w:t>3</w:t>
      </w:r>
      <w:r w:rsidRPr="00A964FF">
        <w:rPr>
          <w:rFonts w:ascii="Calibri" w:hAnsi="Calibri" w:hint="eastAsia"/>
          <w:color w:val="auto"/>
        </w:rPr>
        <w:t>）环境保护部《关于印</w:t>
      </w:r>
      <w:r w:rsidR="001E6756" w:rsidRPr="00A964FF">
        <w:rPr>
          <w:rFonts w:ascii="Calibri" w:hAnsi="Calibri" w:hint="eastAsia"/>
          <w:color w:val="auto"/>
        </w:rPr>
        <w:t>发（建设项目主要污染物排放总量指标审核及管理暂行办法）的通知》（</w:t>
      </w:r>
      <w:r w:rsidRPr="00A964FF">
        <w:rPr>
          <w:rFonts w:ascii="Calibri" w:hAnsi="Calibri" w:hint="eastAsia"/>
          <w:color w:val="auto"/>
        </w:rPr>
        <w:t>环发【</w:t>
      </w:r>
      <w:r w:rsidRPr="00A964FF">
        <w:rPr>
          <w:rFonts w:ascii="Calibri" w:hAnsi="Calibri"/>
          <w:color w:val="auto"/>
        </w:rPr>
        <w:t>2014</w:t>
      </w:r>
      <w:r w:rsidRPr="00A964FF">
        <w:rPr>
          <w:rFonts w:ascii="Calibri" w:hAnsi="Calibri"/>
          <w:color w:val="auto"/>
        </w:rPr>
        <w:t>】</w:t>
      </w:r>
      <w:r w:rsidRPr="00A964FF">
        <w:rPr>
          <w:rFonts w:ascii="Calibri" w:hAnsi="Calibri"/>
          <w:color w:val="auto"/>
        </w:rPr>
        <w:t>197</w:t>
      </w:r>
      <w:r w:rsidRPr="00A964FF">
        <w:rPr>
          <w:rFonts w:ascii="Calibri" w:hAnsi="Calibri"/>
          <w:color w:val="auto"/>
        </w:rPr>
        <w:t>号）</w:t>
      </w:r>
      <w:r w:rsidRPr="00A964FF">
        <w:rPr>
          <w:rFonts w:ascii="Calibri" w:hAnsi="Calibri" w:hint="eastAsia"/>
          <w:color w:val="auto"/>
        </w:rPr>
        <w:t>；</w:t>
      </w:r>
    </w:p>
    <w:p w14:paraId="623DB224" w14:textId="77777777" w:rsidR="00C85A1E" w:rsidRPr="00A964FF" w:rsidRDefault="002728E2" w:rsidP="00C85A1E">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00467FA8">
        <w:rPr>
          <w:rFonts w:ascii="Calibri" w:hAnsi="Calibri"/>
          <w:color w:val="auto"/>
        </w:rPr>
        <w:t>4</w:t>
      </w:r>
      <w:r w:rsidRPr="00A964FF">
        <w:rPr>
          <w:rFonts w:ascii="Calibri" w:hAnsi="Calibri" w:hint="eastAsia"/>
          <w:color w:val="auto"/>
        </w:rPr>
        <w:t>）</w:t>
      </w:r>
      <w:r w:rsidR="00C85A1E" w:rsidRPr="00A964FF">
        <w:rPr>
          <w:rFonts w:ascii="Calibri" w:hAnsi="Calibri" w:hint="eastAsia"/>
          <w:color w:val="auto"/>
        </w:rPr>
        <w:t>《平顶山市生态环境局关于向各县（市）下放部分省辖市经济社会管理权限的通知》（平环【</w:t>
      </w:r>
      <w:r w:rsidR="00C85A1E" w:rsidRPr="00A964FF">
        <w:rPr>
          <w:rFonts w:ascii="Calibri" w:hAnsi="Calibri" w:hint="eastAsia"/>
          <w:color w:val="auto"/>
        </w:rPr>
        <w:t>2021</w:t>
      </w:r>
      <w:r w:rsidR="00C85A1E" w:rsidRPr="00A964FF">
        <w:rPr>
          <w:rFonts w:ascii="Calibri" w:hAnsi="Calibri" w:hint="eastAsia"/>
          <w:color w:val="auto"/>
        </w:rPr>
        <w:t>】</w:t>
      </w:r>
      <w:r w:rsidR="00C85A1E" w:rsidRPr="00A964FF">
        <w:rPr>
          <w:rFonts w:ascii="Calibri" w:hAnsi="Calibri" w:hint="eastAsia"/>
          <w:color w:val="auto"/>
        </w:rPr>
        <w:t>169</w:t>
      </w:r>
      <w:r w:rsidR="00C85A1E" w:rsidRPr="00A964FF">
        <w:rPr>
          <w:rFonts w:ascii="Calibri" w:hAnsi="Calibri" w:hint="eastAsia"/>
          <w:color w:val="auto"/>
        </w:rPr>
        <w:t>号）；</w:t>
      </w:r>
    </w:p>
    <w:p w14:paraId="73E7F0B5" w14:textId="77777777" w:rsidR="0055605A" w:rsidRPr="00A964FF" w:rsidRDefault="0055605A" w:rsidP="000E33B8">
      <w:pPr>
        <w:spacing w:line="500" w:lineRule="exact"/>
        <w:ind w:firstLineChars="200" w:firstLine="480"/>
        <w:rPr>
          <w:rFonts w:ascii="Calibri" w:hAnsi="Calibri"/>
          <w:color w:val="auto"/>
          <w:sz w:val="24"/>
        </w:rPr>
      </w:pPr>
      <w:r w:rsidRPr="00A964FF">
        <w:rPr>
          <w:rFonts w:ascii="Calibri"/>
          <w:color w:val="auto"/>
          <w:sz w:val="24"/>
        </w:rPr>
        <w:t>（</w:t>
      </w:r>
      <w:r w:rsidRPr="00A964FF">
        <w:rPr>
          <w:rFonts w:ascii="Calibri" w:hint="eastAsia"/>
          <w:color w:val="auto"/>
          <w:sz w:val="24"/>
        </w:rPr>
        <w:t>1</w:t>
      </w:r>
      <w:r w:rsidR="00467FA8">
        <w:rPr>
          <w:rFonts w:ascii="Calibri"/>
          <w:color w:val="auto"/>
          <w:sz w:val="24"/>
        </w:rPr>
        <w:t>5</w:t>
      </w:r>
      <w:r w:rsidRPr="00A964FF">
        <w:rPr>
          <w:rFonts w:ascii="Calibri"/>
          <w:color w:val="auto"/>
          <w:sz w:val="24"/>
        </w:rPr>
        <w:t>）《河南省环境污染防治设施监督管理办法》（河南省人民政府令第</w:t>
      </w:r>
      <w:r w:rsidRPr="00A964FF">
        <w:rPr>
          <w:rFonts w:ascii="Calibri" w:hAnsi="Calibri" w:hint="eastAsia"/>
          <w:color w:val="auto"/>
          <w:sz w:val="24"/>
        </w:rPr>
        <w:t>157</w:t>
      </w:r>
      <w:r w:rsidRPr="00A964FF">
        <w:rPr>
          <w:rFonts w:ascii="Calibri"/>
          <w:color w:val="auto"/>
          <w:sz w:val="24"/>
        </w:rPr>
        <w:t>号</w:t>
      </w:r>
      <w:r w:rsidRPr="00A964FF">
        <w:rPr>
          <w:rFonts w:ascii="Calibri" w:hint="eastAsia"/>
          <w:color w:val="auto"/>
          <w:sz w:val="24"/>
        </w:rPr>
        <w:t>），</w:t>
      </w:r>
      <w:r w:rsidRPr="00A964FF">
        <w:rPr>
          <w:rFonts w:ascii="Calibri" w:hint="eastAsia"/>
          <w:color w:val="auto"/>
          <w:sz w:val="24"/>
        </w:rPr>
        <w:t>2013</w:t>
      </w:r>
      <w:r w:rsidRPr="00A964FF">
        <w:rPr>
          <w:rFonts w:ascii="Calibri" w:hint="eastAsia"/>
          <w:color w:val="auto"/>
          <w:sz w:val="24"/>
        </w:rPr>
        <w:t>年</w:t>
      </w:r>
      <w:r w:rsidRPr="00A964FF">
        <w:rPr>
          <w:rFonts w:ascii="Calibri" w:hint="eastAsia"/>
          <w:color w:val="auto"/>
          <w:sz w:val="24"/>
        </w:rPr>
        <w:t>12</w:t>
      </w:r>
      <w:r w:rsidRPr="00A964FF">
        <w:rPr>
          <w:rFonts w:ascii="Calibri" w:hint="eastAsia"/>
          <w:color w:val="auto"/>
          <w:sz w:val="24"/>
        </w:rPr>
        <w:t>月</w:t>
      </w:r>
      <w:r w:rsidRPr="00A964FF">
        <w:rPr>
          <w:rFonts w:ascii="Calibri" w:hint="eastAsia"/>
          <w:color w:val="auto"/>
          <w:sz w:val="24"/>
        </w:rPr>
        <w:t>15</w:t>
      </w:r>
      <w:r w:rsidRPr="00A964FF">
        <w:rPr>
          <w:rFonts w:ascii="Calibri" w:hint="eastAsia"/>
          <w:color w:val="auto"/>
          <w:sz w:val="24"/>
        </w:rPr>
        <w:t>日起施行；</w:t>
      </w:r>
    </w:p>
    <w:p w14:paraId="240A4398"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00467FA8">
        <w:rPr>
          <w:rFonts w:ascii="Calibri" w:hAnsi="Calibri"/>
          <w:color w:val="auto"/>
        </w:rPr>
        <w:t>6</w:t>
      </w:r>
      <w:r w:rsidRPr="00A964FF">
        <w:rPr>
          <w:rFonts w:ascii="Calibri" w:hAnsi="Calibri" w:hint="eastAsia"/>
          <w:color w:val="auto"/>
        </w:rPr>
        <w:t>）河南省环境污染防治攻坚战领导小组办公室《关于全省开展工业企业挥发性有机物专项治理工作中排放建议值的通知》（豫环攻坚办【</w:t>
      </w:r>
      <w:r w:rsidRPr="00A964FF">
        <w:rPr>
          <w:rFonts w:ascii="Calibri" w:hAnsi="Calibri" w:hint="eastAsia"/>
          <w:color w:val="auto"/>
        </w:rPr>
        <w:t>2017</w:t>
      </w:r>
      <w:r w:rsidRPr="00A964FF">
        <w:rPr>
          <w:rFonts w:ascii="Calibri" w:hAnsi="Calibri" w:hint="eastAsia"/>
          <w:color w:val="auto"/>
        </w:rPr>
        <w:t>】</w:t>
      </w:r>
      <w:r w:rsidRPr="00A964FF">
        <w:rPr>
          <w:rFonts w:ascii="Calibri" w:hAnsi="Calibri" w:hint="eastAsia"/>
          <w:color w:val="auto"/>
        </w:rPr>
        <w:t>162</w:t>
      </w:r>
      <w:r w:rsidRPr="00A964FF">
        <w:rPr>
          <w:rFonts w:ascii="Calibri" w:hAnsi="Calibri" w:hint="eastAsia"/>
          <w:color w:val="auto"/>
        </w:rPr>
        <w:t>号）；</w:t>
      </w:r>
    </w:p>
    <w:p w14:paraId="38CFF12A" w14:textId="77777777" w:rsidR="00C870B0" w:rsidRPr="00A964FF" w:rsidRDefault="00C870B0" w:rsidP="00C870B0">
      <w:pPr>
        <w:pStyle w:val="00"/>
        <w:ind w:firstLineChars="2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00467FA8">
        <w:rPr>
          <w:rFonts w:ascii="Calibri" w:hAnsi="Calibri"/>
          <w:color w:val="auto"/>
        </w:rPr>
        <w:t>7</w:t>
      </w:r>
      <w:r w:rsidRPr="00A964FF">
        <w:rPr>
          <w:rFonts w:ascii="Calibri" w:hAnsi="Calibri" w:hint="eastAsia"/>
          <w:color w:val="auto"/>
        </w:rPr>
        <w:t>）</w:t>
      </w:r>
      <w:r w:rsidRPr="00A964FF">
        <w:rPr>
          <w:rFonts w:ascii="Calibri" w:hAnsi="Calibri"/>
          <w:color w:val="auto"/>
        </w:rPr>
        <w:t>《</w:t>
      </w:r>
      <w:r w:rsidRPr="00A964FF">
        <w:rPr>
          <w:rFonts w:ascii="Calibri" w:hAnsi="Calibri" w:hint="eastAsia"/>
          <w:color w:val="auto"/>
        </w:rPr>
        <w:t>河南省人民政府</w:t>
      </w:r>
      <w:r w:rsidRPr="00A964FF">
        <w:rPr>
          <w:rFonts w:ascii="Calibri" w:hAnsi="Calibri"/>
          <w:color w:val="auto"/>
        </w:rPr>
        <w:t>办公厅关于石化产业调结构促转型增效益的指导意见》</w:t>
      </w:r>
      <w:r w:rsidRPr="00A964FF">
        <w:rPr>
          <w:rFonts w:ascii="Calibri" w:hAnsi="Calibri" w:hint="eastAsia"/>
          <w:color w:val="auto"/>
        </w:rPr>
        <w:t>（豫政办【</w:t>
      </w:r>
      <w:r w:rsidRPr="00A964FF">
        <w:rPr>
          <w:rFonts w:ascii="Calibri" w:hAnsi="Calibri"/>
          <w:color w:val="auto"/>
        </w:rPr>
        <w:t>201</w:t>
      </w:r>
      <w:r w:rsidRPr="00A964FF">
        <w:rPr>
          <w:rFonts w:ascii="Calibri" w:hAnsi="Calibri" w:hint="eastAsia"/>
          <w:color w:val="auto"/>
        </w:rPr>
        <w:t>7</w:t>
      </w:r>
      <w:r w:rsidRPr="00A964FF">
        <w:rPr>
          <w:rFonts w:ascii="Calibri" w:hAnsi="Calibri" w:hint="eastAsia"/>
          <w:color w:val="auto"/>
        </w:rPr>
        <w:t>】</w:t>
      </w:r>
      <w:r w:rsidRPr="00A964FF">
        <w:rPr>
          <w:rFonts w:ascii="Calibri" w:hAnsi="Calibri" w:hint="eastAsia"/>
          <w:color w:val="auto"/>
        </w:rPr>
        <w:t>31</w:t>
      </w:r>
      <w:r w:rsidRPr="00A964FF">
        <w:rPr>
          <w:rFonts w:ascii="Calibri" w:hAnsi="Calibri"/>
          <w:color w:val="auto"/>
        </w:rPr>
        <w:t>号</w:t>
      </w:r>
      <w:r w:rsidRPr="00A964FF">
        <w:rPr>
          <w:rFonts w:ascii="Calibri" w:hAnsi="Calibri" w:hint="eastAsia"/>
          <w:color w:val="auto"/>
        </w:rPr>
        <w:t>）；</w:t>
      </w:r>
    </w:p>
    <w:p w14:paraId="1C63B506" w14:textId="77777777" w:rsidR="00C870B0" w:rsidRPr="00A964FF" w:rsidRDefault="00C870B0" w:rsidP="0055605A">
      <w:pPr>
        <w:pStyle w:val="00"/>
        <w:rPr>
          <w:rFonts w:ascii="Calibri" w:hAnsi="Calibri"/>
          <w:color w:val="auto"/>
        </w:rPr>
      </w:pPr>
      <w:r w:rsidRPr="00A964FF">
        <w:rPr>
          <w:rFonts w:ascii="Calibri" w:hAnsi="Calibri" w:hint="eastAsia"/>
          <w:color w:val="auto"/>
        </w:rPr>
        <w:lastRenderedPageBreak/>
        <w:t>（</w:t>
      </w:r>
      <w:r w:rsidR="00467FA8">
        <w:rPr>
          <w:rFonts w:ascii="Calibri" w:hAnsi="Calibri"/>
          <w:color w:val="auto"/>
        </w:rPr>
        <w:t>18</w:t>
      </w:r>
      <w:r w:rsidRPr="00A964FF">
        <w:rPr>
          <w:rFonts w:ascii="Calibri" w:hAnsi="Calibri" w:hint="eastAsia"/>
          <w:color w:val="auto"/>
        </w:rPr>
        <w:t>）生态环境部《关于加强高耗能、高排放建设项目生态环境源头防控的指导意见》（环环评【</w:t>
      </w:r>
      <w:r w:rsidRPr="00A964FF">
        <w:rPr>
          <w:rFonts w:ascii="Calibri" w:hAnsi="Calibri" w:hint="eastAsia"/>
          <w:color w:val="auto"/>
        </w:rPr>
        <w:t>2021</w:t>
      </w:r>
      <w:r w:rsidRPr="00A964FF">
        <w:rPr>
          <w:rFonts w:ascii="Calibri" w:hAnsi="Calibri" w:hint="eastAsia"/>
          <w:color w:val="auto"/>
        </w:rPr>
        <w:t>】</w:t>
      </w:r>
      <w:r w:rsidRPr="00A964FF">
        <w:rPr>
          <w:rFonts w:ascii="Calibri" w:hAnsi="Calibri" w:hint="eastAsia"/>
          <w:color w:val="auto"/>
        </w:rPr>
        <w:t>45</w:t>
      </w:r>
      <w:r w:rsidRPr="00A964FF">
        <w:rPr>
          <w:rFonts w:ascii="Calibri" w:hAnsi="Calibri" w:hint="eastAsia"/>
          <w:color w:val="auto"/>
        </w:rPr>
        <w:t>号）；</w:t>
      </w:r>
    </w:p>
    <w:p w14:paraId="382455B6" w14:textId="77777777" w:rsidR="00C870B0" w:rsidRPr="00A964FF" w:rsidRDefault="00C870B0" w:rsidP="0055605A">
      <w:pPr>
        <w:pStyle w:val="00"/>
        <w:rPr>
          <w:rFonts w:ascii="Calibri" w:hAnsi="Calibri"/>
          <w:color w:val="auto"/>
        </w:rPr>
      </w:pPr>
      <w:r w:rsidRPr="00A964FF">
        <w:rPr>
          <w:rFonts w:ascii="Calibri" w:hAnsi="Calibri" w:hint="eastAsia"/>
          <w:color w:val="auto"/>
        </w:rPr>
        <w:t>（</w:t>
      </w:r>
      <w:r w:rsidR="00467FA8">
        <w:rPr>
          <w:rFonts w:ascii="Calibri" w:hAnsi="Calibri"/>
          <w:color w:val="auto"/>
        </w:rPr>
        <w:t>19</w:t>
      </w:r>
      <w:r w:rsidRPr="00A964FF">
        <w:rPr>
          <w:rFonts w:ascii="Calibri" w:hAnsi="Calibri" w:hint="eastAsia"/>
          <w:color w:val="auto"/>
        </w:rPr>
        <w:t>）河南省生态环境厅《河南省生态环境厅关于加强“两高”项目生态环境源头防控的实施意见》（豫环文【</w:t>
      </w:r>
      <w:r w:rsidRPr="00A964FF">
        <w:rPr>
          <w:rFonts w:ascii="Calibri" w:hAnsi="Calibri" w:hint="eastAsia"/>
          <w:color w:val="auto"/>
        </w:rPr>
        <w:t>2021</w:t>
      </w:r>
      <w:r w:rsidRPr="00A964FF">
        <w:rPr>
          <w:rFonts w:ascii="Calibri" w:hAnsi="Calibri" w:hint="eastAsia"/>
          <w:color w:val="auto"/>
        </w:rPr>
        <w:t>】</w:t>
      </w:r>
      <w:r w:rsidRPr="00A964FF">
        <w:rPr>
          <w:rFonts w:ascii="Calibri" w:hAnsi="Calibri" w:hint="eastAsia"/>
          <w:color w:val="auto"/>
        </w:rPr>
        <w:t>100</w:t>
      </w:r>
      <w:r w:rsidRPr="00A964FF">
        <w:rPr>
          <w:rFonts w:ascii="Calibri" w:hAnsi="Calibri" w:hint="eastAsia"/>
          <w:color w:val="auto"/>
        </w:rPr>
        <w:t>号）；</w:t>
      </w:r>
    </w:p>
    <w:p w14:paraId="64F8F93D" w14:textId="77777777" w:rsidR="00BC544F" w:rsidRPr="00A964FF" w:rsidRDefault="00BC544F" w:rsidP="00BC544F">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00467FA8">
        <w:rPr>
          <w:rFonts w:ascii="Calibri" w:hAnsi="Calibri"/>
          <w:color w:val="auto"/>
        </w:rPr>
        <w:t>0</w:t>
      </w:r>
      <w:r w:rsidRPr="00A964FF">
        <w:rPr>
          <w:rFonts w:ascii="Calibri" w:hAnsi="Calibri" w:hint="eastAsia"/>
          <w:color w:val="auto"/>
        </w:rPr>
        <w:t>）《河南省人民政府办公厅关于印发河南省坚决遏制“两高”项目盲目发展行动方案的通知》（豫政办【</w:t>
      </w:r>
      <w:r w:rsidRPr="00A964FF">
        <w:rPr>
          <w:rFonts w:ascii="Calibri" w:hAnsi="Calibri" w:hint="eastAsia"/>
          <w:color w:val="auto"/>
        </w:rPr>
        <w:t>2021</w:t>
      </w:r>
      <w:r w:rsidRPr="00A964FF">
        <w:rPr>
          <w:rFonts w:ascii="Calibri" w:hAnsi="Calibri" w:hint="eastAsia"/>
          <w:color w:val="auto"/>
        </w:rPr>
        <w:t>】</w:t>
      </w:r>
      <w:r w:rsidRPr="00A964FF">
        <w:rPr>
          <w:rFonts w:ascii="Calibri" w:hAnsi="Calibri" w:hint="eastAsia"/>
          <w:color w:val="auto"/>
        </w:rPr>
        <w:t>65</w:t>
      </w:r>
      <w:r w:rsidRPr="00A964FF">
        <w:rPr>
          <w:rFonts w:ascii="Calibri" w:hAnsi="Calibri" w:hint="eastAsia"/>
          <w:color w:val="auto"/>
        </w:rPr>
        <w:t>号）；</w:t>
      </w:r>
    </w:p>
    <w:p w14:paraId="3E7E75FF" w14:textId="77777777" w:rsidR="00467FA8" w:rsidRDefault="00A6037B" w:rsidP="00467FA8">
      <w:pPr>
        <w:pStyle w:val="00"/>
        <w:rPr>
          <w:rFonts w:ascii="Calibri" w:hAnsi="Calibri"/>
          <w:color w:val="auto"/>
        </w:rPr>
      </w:pPr>
      <w:r>
        <w:rPr>
          <w:rFonts w:ascii="Calibri" w:hAnsi="Calibri" w:hint="eastAsia"/>
          <w:color w:val="auto"/>
        </w:rPr>
        <w:t>（</w:t>
      </w:r>
      <w:r>
        <w:rPr>
          <w:rFonts w:ascii="Calibri" w:hAnsi="Calibri" w:hint="eastAsia"/>
          <w:color w:val="auto"/>
        </w:rPr>
        <w:t>2</w:t>
      </w:r>
      <w:r w:rsidR="00467FA8">
        <w:rPr>
          <w:rFonts w:ascii="Calibri" w:hAnsi="Calibri"/>
          <w:color w:val="auto"/>
        </w:rPr>
        <w:t>1</w:t>
      </w:r>
      <w:r>
        <w:rPr>
          <w:rFonts w:ascii="Calibri" w:hAnsi="Calibri" w:hint="eastAsia"/>
          <w:color w:val="auto"/>
        </w:rPr>
        <w:t>）</w:t>
      </w:r>
      <w:r w:rsidR="00467FA8" w:rsidRPr="00467FA8">
        <w:rPr>
          <w:rFonts w:ascii="Calibri" w:hAnsi="Calibri" w:hint="eastAsia"/>
          <w:color w:val="auto"/>
        </w:rPr>
        <w:t>《平顶山市</w:t>
      </w:r>
      <w:r w:rsidR="00467FA8" w:rsidRPr="00467FA8">
        <w:rPr>
          <w:rFonts w:ascii="Calibri" w:hAnsi="Calibri" w:hint="eastAsia"/>
          <w:color w:val="auto"/>
        </w:rPr>
        <w:t>2021</w:t>
      </w:r>
      <w:r w:rsidR="00467FA8" w:rsidRPr="00467FA8">
        <w:rPr>
          <w:rFonts w:ascii="Calibri" w:hAnsi="Calibri" w:hint="eastAsia"/>
          <w:color w:val="auto"/>
        </w:rPr>
        <w:t>年重污染天气通用行业应急减排措施制定技术指南（试行）》</w:t>
      </w:r>
      <w:r w:rsidR="00467FA8">
        <w:rPr>
          <w:rFonts w:ascii="Calibri" w:hAnsi="Calibri" w:hint="eastAsia"/>
          <w:color w:val="auto"/>
        </w:rPr>
        <w:t>；</w:t>
      </w:r>
    </w:p>
    <w:p w14:paraId="14819380" w14:textId="77777777" w:rsidR="00496C47" w:rsidRPr="00496C47" w:rsidRDefault="00496C47" w:rsidP="00BC544F">
      <w:pPr>
        <w:pStyle w:val="00"/>
        <w:rPr>
          <w:rFonts w:ascii="Calibri" w:hAnsi="Calibri"/>
          <w:color w:val="auto"/>
        </w:rPr>
      </w:pPr>
      <w:r>
        <w:rPr>
          <w:rFonts w:ascii="Calibri" w:hAnsi="Calibri" w:hint="eastAsia"/>
          <w:color w:val="auto"/>
        </w:rPr>
        <w:t>（</w:t>
      </w:r>
      <w:r>
        <w:rPr>
          <w:rFonts w:ascii="Calibri" w:hAnsi="Calibri" w:hint="eastAsia"/>
          <w:color w:val="auto"/>
        </w:rPr>
        <w:t>2</w:t>
      </w:r>
      <w:r w:rsidR="00467FA8">
        <w:rPr>
          <w:rFonts w:ascii="Calibri" w:hAnsi="Calibri"/>
          <w:color w:val="auto"/>
        </w:rPr>
        <w:t>2</w:t>
      </w:r>
      <w:r>
        <w:rPr>
          <w:rFonts w:ascii="Calibri" w:hAnsi="Calibri" w:hint="eastAsia"/>
          <w:color w:val="auto"/>
        </w:rPr>
        <w:t>）</w:t>
      </w:r>
      <w:r w:rsidRPr="00496C47">
        <w:rPr>
          <w:rFonts w:ascii="Calibri" w:hAnsi="Calibri" w:hint="eastAsia"/>
          <w:color w:val="auto"/>
        </w:rPr>
        <w:t>《南水北调中线一期工程总干渠（河南段）两侧水源保护区划定方案》（</w:t>
      </w:r>
      <w:r w:rsidRPr="00496C47">
        <w:rPr>
          <w:rFonts w:ascii="Calibri" w:hAnsi="Calibri" w:hint="eastAsia"/>
          <w:color w:val="auto"/>
        </w:rPr>
        <w:t>2018</w:t>
      </w:r>
      <w:r w:rsidRPr="00496C47">
        <w:rPr>
          <w:rFonts w:ascii="Calibri" w:hAnsi="Calibri" w:hint="eastAsia"/>
          <w:color w:val="auto"/>
        </w:rPr>
        <w:t>年</w:t>
      </w:r>
      <w:r w:rsidRPr="00496C47">
        <w:rPr>
          <w:rFonts w:ascii="Calibri" w:hAnsi="Calibri" w:hint="eastAsia"/>
          <w:color w:val="auto"/>
        </w:rPr>
        <w:t>6</w:t>
      </w:r>
      <w:r w:rsidRPr="00496C47">
        <w:rPr>
          <w:rFonts w:ascii="Calibri" w:hAnsi="Calibri" w:hint="eastAsia"/>
          <w:color w:val="auto"/>
        </w:rPr>
        <w:t>月</w:t>
      </w:r>
      <w:r w:rsidRPr="00496C47">
        <w:rPr>
          <w:rFonts w:ascii="Calibri" w:hAnsi="Calibri" w:hint="eastAsia"/>
          <w:color w:val="auto"/>
        </w:rPr>
        <w:t>25</w:t>
      </w:r>
      <w:r w:rsidRPr="00496C47">
        <w:rPr>
          <w:rFonts w:ascii="Calibri" w:hAnsi="Calibri" w:hint="eastAsia"/>
          <w:color w:val="auto"/>
        </w:rPr>
        <w:t>日）；</w:t>
      </w:r>
    </w:p>
    <w:p w14:paraId="4A046380" w14:textId="77777777" w:rsidR="00496C47" w:rsidRPr="00496C47" w:rsidRDefault="00496C47" w:rsidP="00BC544F">
      <w:pPr>
        <w:pStyle w:val="00"/>
        <w:rPr>
          <w:rFonts w:ascii="Calibri" w:hAnsi="Calibri"/>
          <w:color w:val="auto"/>
        </w:rPr>
      </w:pPr>
      <w:r w:rsidRPr="00496C47">
        <w:rPr>
          <w:rFonts w:ascii="Calibri" w:hAnsi="Calibri" w:hint="eastAsia"/>
          <w:color w:val="auto"/>
        </w:rPr>
        <w:t>（</w:t>
      </w:r>
      <w:r>
        <w:rPr>
          <w:rFonts w:ascii="Calibri" w:hAnsi="Calibri"/>
          <w:color w:val="auto"/>
        </w:rPr>
        <w:t>2</w:t>
      </w:r>
      <w:r w:rsidR="00467FA8">
        <w:rPr>
          <w:rFonts w:ascii="Calibri" w:hAnsi="Calibri"/>
          <w:color w:val="auto"/>
        </w:rPr>
        <w:t>3</w:t>
      </w:r>
      <w:r w:rsidRPr="00496C47">
        <w:rPr>
          <w:rFonts w:ascii="Calibri" w:hAnsi="Calibri" w:hint="eastAsia"/>
          <w:color w:val="auto"/>
        </w:rPr>
        <w:t>）河南省南水北调饮用水源保护条例（</w:t>
      </w:r>
      <w:r w:rsidRPr="00496C47">
        <w:rPr>
          <w:rFonts w:ascii="Calibri" w:hAnsi="Calibri" w:hint="eastAsia"/>
          <w:color w:val="auto"/>
        </w:rPr>
        <w:t>2022</w:t>
      </w:r>
      <w:r w:rsidRPr="00496C47">
        <w:rPr>
          <w:rFonts w:ascii="Calibri" w:hAnsi="Calibri" w:hint="eastAsia"/>
          <w:color w:val="auto"/>
        </w:rPr>
        <w:t>年</w:t>
      </w:r>
      <w:r w:rsidRPr="00496C47">
        <w:rPr>
          <w:rFonts w:ascii="Calibri" w:hAnsi="Calibri" w:hint="eastAsia"/>
          <w:color w:val="auto"/>
        </w:rPr>
        <w:t>3</w:t>
      </w:r>
      <w:r w:rsidRPr="00496C47">
        <w:rPr>
          <w:rFonts w:ascii="Calibri" w:hAnsi="Calibri" w:hint="eastAsia"/>
          <w:color w:val="auto"/>
        </w:rPr>
        <w:t>月</w:t>
      </w:r>
      <w:r w:rsidRPr="00496C47">
        <w:rPr>
          <w:rFonts w:ascii="Calibri" w:hAnsi="Calibri" w:hint="eastAsia"/>
          <w:color w:val="auto"/>
        </w:rPr>
        <w:t>1</w:t>
      </w:r>
      <w:r w:rsidRPr="00496C47">
        <w:rPr>
          <w:rFonts w:ascii="Calibri" w:hAnsi="Calibri" w:hint="eastAsia"/>
          <w:color w:val="auto"/>
        </w:rPr>
        <w:t>日起施行）；</w:t>
      </w:r>
    </w:p>
    <w:p w14:paraId="256A02B6" w14:textId="77777777" w:rsidR="00496C47" w:rsidRPr="00496C47" w:rsidRDefault="00496C47" w:rsidP="00496C47">
      <w:pPr>
        <w:pStyle w:val="00"/>
        <w:rPr>
          <w:rFonts w:ascii="Calibri" w:hAnsi="Calibri"/>
          <w:color w:val="auto"/>
        </w:rPr>
      </w:pPr>
      <w:r w:rsidRPr="00496C47">
        <w:rPr>
          <w:rFonts w:ascii="Calibri" w:hAnsi="Calibri" w:hint="eastAsia"/>
          <w:color w:val="auto"/>
        </w:rPr>
        <w:t>（</w:t>
      </w:r>
      <w:r>
        <w:rPr>
          <w:rFonts w:ascii="Calibri" w:hAnsi="Calibri"/>
          <w:color w:val="auto"/>
        </w:rPr>
        <w:t>2</w:t>
      </w:r>
      <w:r w:rsidR="00467FA8">
        <w:rPr>
          <w:rFonts w:ascii="Calibri" w:hAnsi="Calibri"/>
          <w:color w:val="auto"/>
        </w:rPr>
        <w:t>4</w:t>
      </w:r>
      <w:r w:rsidRPr="00496C47">
        <w:rPr>
          <w:rFonts w:ascii="Calibri" w:hAnsi="Calibri" w:hint="eastAsia"/>
          <w:color w:val="auto"/>
        </w:rPr>
        <w:t>）《河南省人民政府办公厅关于印发河南省县级集中式饮用水水源保护区划的通知》（豫政办〔</w:t>
      </w:r>
      <w:r w:rsidRPr="00496C47">
        <w:rPr>
          <w:rFonts w:ascii="Calibri" w:hAnsi="Calibri" w:hint="eastAsia"/>
          <w:color w:val="auto"/>
        </w:rPr>
        <w:t>2013</w:t>
      </w:r>
      <w:r w:rsidRPr="00496C47">
        <w:rPr>
          <w:rFonts w:ascii="Calibri" w:hAnsi="Calibri" w:hint="eastAsia"/>
          <w:color w:val="auto"/>
        </w:rPr>
        <w:t>〕</w:t>
      </w:r>
      <w:r w:rsidRPr="00496C47">
        <w:rPr>
          <w:rFonts w:ascii="Calibri" w:hAnsi="Calibri" w:hint="eastAsia"/>
          <w:color w:val="auto"/>
        </w:rPr>
        <w:t>107</w:t>
      </w:r>
      <w:r w:rsidRPr="00496C47">
        <w:rPr>
          <w:rFonts w:ascii="Calibri" w:hAnsi="Calibri" w:hint="eastAsia"/>
          <w:color w:val="auto"/>
        </w:rPr>
        <w:t>号）；</w:t>
      </w:r>
    </w:p>
    <w:p w14:paraId="6EF6D875" w14:textId="77777777" w:rsidR="00496C47" w:rsidRDefault="00496C47" w:rsidP="00496C47">
      <w:pPr>
        <w:pStyle w:val="00"/>
        <w:rPr>
          <w:rFonts w:ascii="Calibri" w:hAnsi="Calibri"/>
          <w:color w:val="auto"/>
        </w:rPr>
      </w:pPr>
      <w:r w:rsidRPr="00496C47">
        <w:rPr>
          <w:rFonts w:ascii="Calibri" w:hAnsi="Calibri" w:hint="eastAsia"/>
          <w:color w:val="auto"/>
        </w:rPr>
        <w:t>（</w:t>
      </w:r>
      <w:r>
        <w:rPr>
          <w:rFonts w:ascii="Calibri" w:hAnsi="Calibri"/>
          <w:color w:val="auto"/>
        </w:rPr>
        <w:t>2</w:t>
      </w:r>
      <w:r w:rsidR="00467FA8">
        <w:rPr>
          <w:rFonts w:ascii="Calibri" w:hAnsi="Calibri"/>
          <w:color w:val="auto"/>
        </w:rPr>
        <w:t>5</w:t>
      </w:r>
      <w:r w:rsidRPr="00496C47">
        <w:rPr>
          <w:rFonts w:ascii="Calibri" w:hAnsi="Calibri" w:hint="eastAsia"/>
          <w:color w:val="auto"/>
        </w:rPr>
        <w:t>）《河南省人民政府办公厅关于印发河南省乡镇集中式饮用水水源保护区划的通知》（豫政办〔</w:t>
      </w:r>
      <w:r w:rsidRPr="00496C47">
        <w:rPr>
          <w:rFonts w:ascii="Calibri" w:hAnsi="Calibri" w:hint="eastAsia"/>
          <w:color w:val="auto"/>
        </w:rPr>
        <w:t>2016</w:t>
      </w:r>
      <w:r w:rsidRPr="00496C47">
        <w:rPr>
          <w:rFonts w:ascii="Calibri" w:hAnsi="Calibri" w:hint="eastAsia"/>
          <w:color w:val="auto"/>
        </w:rPr>
        <w:t>〕</w:t>
      </w:r>
      <w:r w:rsidRPr="00496C47">
        <w:rPr>
          <w:rFonts w:ascii="Calibri" w:hAnsi="Calibri" w:hint="eastAsia"/>
          <w:color w:val="auto"/>
        </w:rPr>
        <w:t>23</w:t>
      </w:r>
      <w:r w:rsidRPr="00496C47">
        <w:rPr>
          <w:rFonts w:ascii="Calibri" w:hAnsi="Calibri" w:hint="eastAsia"/>
          <w:color w:val="auto"/>
        </w:rPr>
        <w:t>号）；</w:t>
      </w:r>
    </w:p>
    <w:p w14:paraId="0EDAE044" w14:textId="77777777" w:rsidR="00BC544F" w:rsidRPr="00A964FF" w:rsidRDefault="00BC544F" w:rsidP="00BC544F">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00467FA8">
        <w:rPr>
          <w:rFonts w:ascii="Calibri" w:hAnsi="Calibri"/>
          <w:color w:val="auto"/>
        </w:rPr>
        <w:t>6</w:t>
      </w:r>
      <w:r w:rsidRPr="00A964FF">
        <w:rPr>
          <w:rFonts w:ascii="Calibri" w:hAnsi="Calibri" w:hint="eastAsia"/>
          <w:color w:val="auto"/>
        </w:rPr>
        <w:t>）《河南省人民政府关于实施“三线一单”生态环境分区管控的意见》（豫政【</w:t>
      </w:r>
      <w:r w:rsidRPr="00A964FF">
        <w:rPr>
          <w:rFonts w:ascii="Calibri" w:hAnsi="Calibri" w:hint="eastAsia"/>
          <w:color w:val="auto"/>
        </w:rPr>
        <w:t>2021</w:t>
      </w:r>
      <w:r w:rsidRPr="00A964FF">
        <w:rPr>
          <w:rFonts w:ascii="Calibri" w:hAnsi="Calibri" w:hint="eastAsia"/>
          <w:color w:val="auto"/>
        </w:rPr>
        <w:t>】</w:t>
      </w:r>
      <w:r w:rsidRPr="00A964FF">
        <w:rPr>
          <w:rFonts w:ascii="Calibri" w:hAnsi="Calibri" w:hint="eastAsia"/>
          <w:color w:val="auto"/>
        </w:rPr>
        <w:t>37</w:t>
      </w:r>
      <w:r w:rsidRPr="00A964FF">
        <w:rPr>
          <w:rFonts w:ascii="Calibri" w:hAnsi="Calibri" w:hint="eastAsia"/>
          <w:color w:val="auto"/>
        </w:rPr>
        <w:t>号）；</w:t>
      </w:r>
    </w:p>
    <w:p w14:paraId="7DDA4992" w14:textId="77777777" w:rsidR="00BC544F" w:rsidRPr="00A964FF" w:rsidRDefault="00BC544F" w:rsidP="00BC544F">
      <w:pPr>
        <w:pStyle w:val="00"/>
        <w:rPr>
          <w:rFonts w:ascii="Calibri" w:hAnsi="Calibri"/>
          <w:color w:val="auto"/>
        </w:rPr>
      </w:pPr>
      <w:r w:rsidRPr="00A964FF">
        <w:rPr>
          <w:rFonts w:ascii="Calibri" w:hAnsi="Calibri" w:hint="eastAsia"/>
          <w:color w:val="auto"/>
        </w:rPr>
        <w:t>（</w:t>
      </w:r>
      <w:r w:rsidR="00467FA8">
        <w:rPr>
          <w:rFonts w:ascii="Calibri" w:hAnsi="Calibri"/>
          <w:color w:val="auto"/>
        </w:rPr>
        <w:t>27</w:t>
      </w:r>
      <w:r w:rsidRPr="00A964FF">
        <w:rPr>
          <w:rFonts w:ascii="Calibri" w:hAnsi="Calibri" w:hint="eastAsia"/>
          <w:color w:val="auto"/>
        </w:rPr>
        <w:t>）《平顶山市人民政府关于实施“三线一单”生态环境分区管控的意见》（平政【</w:t>
      </w:r>
      <w:r w:rsidRPr="00A964FF">
        <w:rPr>
          <w:rFonts w:ascii="Calibri" w:hAnsi="Calibri" w:hint="eastAsia"/>
          <w:color w:val="auto"/>
        </w:rPr>
        <w:t>2021</w:t>
      </w:r>
      <w:r w:rsidRPr="00A964FF">
        <w:rPr>
          <w:rFonts w:ascii="Calibri" w:hAnsi="Calibri" w:hint="eastAsia"/>
          <w:color w:val="auto"/>
        </w:rPr>
        <w:t>】</w:t>
      </w:r>
      <w:r w:rsidRPr="00A964FF">
        <w:rPr>
          <w:rFonts w:ascii="Calibri" w:hAnsi="Calibri" w:hint="eastAsia"/>
          <w:color w:val="auto"/>
        </w:rPr>
        <w:t>10</w:t>
      </w:r>
      <w:r w:rsidRPr="00A964FF">
        <w:rPr>
          <w:rFonts w:ascii="Calibri" w:hAnsi="Calibri" w:hint="eastAsia"/>
          <w:color w:val="auto"/>
        </w:rPr>
        <w:t>号）；</w:t>
      </w:r>
    </w:p>
    <w:p w14:paraId="3A456112" w14:textId="77777777" w:rsidR="001A28A1" w:rsidRDefault="00BC544F" w:rsidP="00A6037B">
      <w:pPr>
        <w:pStyle w:val="00"/>
        <w:rPr>
          <w:rFonts w:ascii="Calibri" w:hAnsi="Calibri"/>
          <w:color w:val="auto"/>
        </w:rPr>
      </w:pPr>
      <w:r w:rsidRPr="00A964FF">
        <w:rPr>
          <w:rFonts w:ascii="Calibri" w:hAnsi="Calibri" w:hint="eastAsia"/>
          <w:color w:val="auto"/>
        </w:rPr>
        <w:t>（</w:t>
      </w:r>
      <w:r w:rsidR="00467FA8">
        <w:rPr>
          <w:rFonts w:ascii="Calibri" w:hAnsi="Calibri"/>
          <w:color w:val="auto"/>
        </w:rPr>
        <w:t>28</w:t>
      </w:r>
      <w:r w:rsidRPr="00A964FF">
        <w:rPr>
          <w:rFonts w:ascii="Calibri" w:hAnsi="Calibri" w:hint="eastAsia"/>
          <w:color w:val="auto"/>
        </w:rPr>
        <w:t>）《河南省生态环境分区管控总体要求（试行）》（豫环函【</w:t>
      </w:r>
      <w:r w:rsidRPr="00A964FF">
        <w:rPr>
          <w:rFonts w:ascii="Calibri" w:hAnsi="Calibri" w:hint="eastAsia"/>
          <w:color w:val="auto"/>
        </w:rPr>
        <w:t>2021</w:t>
      </w:r>
      <w:r w:rsidRPr="00A964FF">
        <w:rPr>
          <w:rFonts w:ascii="Calibri" w:hAnsi="Calibri" w:hint="eastAsia"/>
          <w:color w:val="auto"/>
        </w:rPr>
        <w:t>】</w:t>
      </w:r>
      <w:r w:rsidRPr="00A964FF">
        <w:rPr>
          <w:rFonts w:ascii="Calibri" w:hAnsi="Calibri" w:hint="eastAsia"/>
          <w:color w:val="auto"/>
        </w:rPr>
        <w:t>171</w:t>
      </w:r>
      <w:r w:rsidR="00A6037B">
        <w:rPr>
          <w:rFonts w:ascii="Calibri" w:hAnsi="Calibri" w:hint="eastAsia"/>
          <w:color w:val="auto"/>
        </w:rPr>
        <w:t>号）</w:t>
      </w:r>
      <w:r w:rsidR="00E04C65">
        <w:rPr>
          <w:rFonts w:ascii="Calibri" w:hAnsi="Calibri" w:hint="eastAsia"/>
          <w:color w:val="auto"/>
        </w:rPr>
        <w:t>；</w:t>
      </w:r>
    </w:p>
    <w:p w14:paraId="12A9D346" w14:textId="77777777" w:rsidR="00E04C65" w:rsidRDefault="00E04C65" w:rsidP="00E04C65">
      <w:pPr>
        <w:pStyle w:val="00"/>
        <w:rPr>
          <w:rFonts w:ascii="Calibri" w:hAnsi="Calibri"/>
          <w:color w:val="auto"/>
        </w:rPr>
      </w:pPr>
      <w:r>
        <w:rPr>
          <w:rFonts w:ascii="Calibri" w:hAnsi="Calibri" w:hint="eastAsia"/>
        </w:rPr>
        <w:t>（</w:t>
      </w:r>
      <w:r w:rsidR="00467FA8">
        <w:rPr>
          <w:rFonts w:ascii="Calibri" w:hAnsi="Calibri"/>
        </w:rPr>
        <w:t>29</w:t>
      </w:r>
      <w:r>
        <w:rPr>
          <w:rFonts w:ascii="Calibri" w:hAnsi="Calibri" w:hint="eastAsia"/>
        </w:rPr>
        <w:t>）</w:t>
      </w:r>
      <w:r>
        <w:rPr>
          <w:rFonts w:ascii="Calibri" w:hAnsi="Calibri"/>
        </w:rPr>
        <w:t>河南省发展和改革委员会发布的《关于做好</w:t>
      </w:r>
      <w:r>
        <w:rPr>
          <w:rFonts w:ascii="Calibri" w:hAnsi="Calibri" w:hint="eastAsia"/>
        </w:rPr>
        <w:t>“</w:t>
      </w:r>
      <w:r>
        <w:rPr>
          <w:rFonts w:ascii="Calibri" w:hAnsi="Calibri"/>
        </w:rPr>
        <w:t>两高</w:t>
      </w:r>
      <w:r>
        <w:rPr>
          <w:rFonts w:ascii="Calibri" w:hAnsi="Calibri" w:hint="eastAsia"/>
        </w:rPr>
        <w:t>”</w:t>
      </w:r>
      <w:r>
        <w:rPr>
          <w:rFonts w:ascii="Calibri" w:hAnsi="Calibri"/>
        </w:rPr>
        <w:t>项目会商联审机制有关事项的通知》</w:t>
      </w:r>
      <w:r>
        <w:rPr>
          <w:rFonts w:ascii="Calibri" w:hAnsi="Calibri" w:hint="eastAsia"/>
        </w:rPr>
        <w:t>（</w:t>
      </w:r>
      <w:r w:rsidRPr="00AD7758">
        <w:rPr>
          <w:rFonts w:ascii="Calibri" w:hAnsi="Calibri" w:hint="eastAsia"/>
          <w:color w:val="auto"/>
        </w:rPr>
        <w:t>豫发改环资〔</w:t>
      </w:r>
      <w:r w:rsidRPr="00AD7758">
        <w:rPr>
          <w:rFonts w:ascii="Calibri" w:hAnsi="Calibri" w:hint="eastAsia"/>
          <w:color w:val="auto"/>
        </w:rPr>
        <w:t>2021</w:t>
      </w:r>
      <w:r w:rsidRPr="00AD7758">
        <w:rPr>
          <w:rFonts w:ascii="Calibri" w:hAnsi="Calibri" w:hint="eastAsia"/>
          <w:color w:val="auto"/>
        </w:rPr>
        <w:t>〕</w:t>
      </w:r>
      <w:r w:rsidRPr="00AD7758">
        <w:rPr>
          <w:rFonts w:ascii="Calibri" w:hAnsi="Calibri" w:hint="eastAsia"/>
          <w:color w:val="auto"/>
        </w:rPr>
        <w:t>977</w:t>
      </w:r>
      <w:r w:rsidRPr="00AD7758">
        <w:rPr>
          <w:rFonts w:ascii="Calibri" w:hAnsi="Calibri" w:hint="eastAsia"/>
          <w:color w:val="auto"/>
        </w:rPr>
        <w:t>号）</w:t>
      </w:r>
      <w:r w:rsidR="006208D0">
        <w:rPr>
          <w:rFonts w:ascii="Calibri" w:hAnsi="Calibri" w:hint="eastAsia"/>
          <w:color w:val="auto"/>
        </w:rPr>
        <w:t>；</w:t>
      </w:r>
    </w:p>
    <w:p w14:paraId="181ACED8" w14:textId="77777777" w:rsidR="007D4A47" w:rsidRPr="007D4A47" w:rsidRDefault="007D4A47" w:rsidP="007D4A47">
      <w:pPr>
        <w:pStyle w:val="00"/>
        <w:rPr>
          <w:rFonts w:ascii="Calibri" w:hAnsi="Calibri"/>
          <w:color w:val="auto"/>
        </w:rPr>
      </w:pPr>
      <w:r w:rsidRPr="007D4A47">
        <w:rPr>
          <w:rFonts w:ascii="Calibri" w:hAnsi="Calibri" w:hint="eastAsia"/>
          <w:color w:val="auto"/>
        </w:rPr>
        <w:t>（</w:t>
      </w:r>
      <w:r w:rsidRPr="007D4A47">
        <w:rPr>
          <w:rFonts w:ascii="Calibri" w:hAnsi="Calibri" w:hint="eastAsia"/>
          <w:color w:val="auto"/>
        </w:rPr>
        <w:t>30</w:t>
      </w:r>
      <w:r w:rsidRPr="007D4A47">
        <w:rPr>
          <w:rFonts w:ascii="Calibri" w:hAnsi="Calibri" w:hint="eastAsia"/>
          <w:color w:val="auto"/>
        </w:rPr>
        <w:t>）《平顶山市生态环境局关于向各县（市）下放部分省辖市级经济社会管理权限的通知》（平环〔</w:t>
      </w:r>
      <w:r w:rsidRPr="007D4A47">
        <w:rPr>
          <w:rFonts w:ascii="Calibri" w:hAnsi="Calibri" w:hint="eastAsia"/>
          <w:color w:val="auto"/>
        </w:rPr>
        <w:t>2021</w:t>
      </w:r>
      <w:r w:rsidRPr="007D4A47">
        <w:rPr>
          <w:rFonts w:ascii="Calibri" w:hAnsi="Calibri" w:hint="eastAsia"/>
          <w:color w:val="auto"/>
        </w:rPr>
        <w:t>〕</w:t>
      </w:r>
      <w:r w:rsidRPr="007D4A47">
        <w:rPr>
          <w:rFonts w:ascii="Calibri" w:hAnsi="Calibri" w:hint="eastAsia"/>
          <w:color w:val="auto"/>
        </w:rPr>
        <w:t>169</w:t>
      </w:r>
      <w:r w:rsidRPr="007D4A47">
        <w:rPr>
          <w:rFonts w:ascii="Calibri" w:hAnsi="Calibri" w:hint="eastAsia"/>
          <w:color w:val="auto"/>
        </w:rPr>
        <w:t>号）</w:t>
      </w:r>
      <w:r>
        <w:rPr>
          <w:rFonts w:ascii="Calibri" w:hAnsi="Calibri" w:hint="eastAsia"/>
          <w:color w:val="auto"/>
        </w:rPr>
        <w:t>；</w:t>
      </w:r>
    </w:p>
    <w:p w14:paraId="577DE09A" w14:textId="77777777" w:rsidR="006208D0" w:rsidRDefault="006208D0" w:rsidP="006208D0">
      <w:pPr>
        <w:pStyle w:val="00"/>
        <w:rPr>
          <w:rFonts w:ascii="Calibri" w:hAnsi="Calibri"/>
        </w:rPr>
      </w:pPr>
      <w:r>
        <w:rPr>
          <w:rFonts w:ascii="Calibri" w:hAnsi="Calibri" w:hint="eastAsia"/>
        </w:rPr>
        <w:t>（</w:t>
      </w:r>
      <w:r w:rsidR="00467FA8">
        <w:rPr>
          <w:rFonts w:ascii="Calibri" w:hAnsi="Calibri"/>
        </w:rPr>
        <w:t>3</w:t>
      </w:r>
      <w:r w:rsidR="007D4A47">
        <w:rPr>
          <w:rFonts w:ascii="Calibri" w:hAnsi="Calibri"/>
        </w:rPr>
        <w:t>1</w:t>
      </w:r>
      <w:r>
        <w:rPr>
          <w:rFonts w:ascii="Calibri" w:hAnsi="Calibri" w:hint="eastAsia"/>
        </w:rPr>
        <w:t>）河南省</w:t>
      </w:r>
      <w:r>
        <w:rPr>
          <w:rFonts w:ascii="Calibri" w:hAnsi="Calibri"/>
        </w:rPr>
        <w:t>生态环境保护</w:t>
      </w:r>
      <w:r>
        <w:rPr>
          <w:rFonts w:ascii="Calibri" w:hAnsi="Calibri" w:hint="eastAsia"/>
        </w:rPr>
        <w:t>委员会</w:t>
      </w:r>
      <w:r>
        <w:rPr>
          <w:rFonts w:ascii="Calibri" w:hAnsi="Calibri"/>
        </w:rPr>
        <w:t>办公室</w:t>
      </w:r>
      <w:r>
        <w:rPr>
          <w:rFonts w:ascii="Calibri" w:hAnsi="Calibri" w:hint="eastAsia"/>
        </w:rPr>
        <w:t>《</w:t>
      </w:r>
      <w:r>
        <w:rPr>
          <w:rFonts w:ascii="Calibri" w:hAnsi="Calibri"/>
        </w:rPr>
        <w:t>关于</w:t>
      </w:r>
      <w:r>
        <w:rPr>
          <w:rFonts w:ascii="Calibri" w:hAnsi="Calibri" w:hint="eastAsia"/>
        </w:rPr>
        <w:t>印发河南省</w:t>
      </w:r>
      <w:r>
        <w:rPr>
          <w:rFonts w:ascii="Calibri" w:hAnsi="Calibri" w:hint="eastAsia"/>
        </w:rPr>
        <w:t>2022</w:t>
      </w:r>
      <w:r>
        <w:rPr>
          <w:rFonts w:ascii="Calibri" w:hAnsi="Calibri" w:hint="eastAsia"/>
        </w:rPr>
        <w:t>年</w:t>
      </w:r>
      <w:r>
        <w:rPr>
          <w:rFonts w:ascii="Calibri" w:hAnsi="Calibri"/>
        </w:rPr>
        <w:t>大气、水、土壤污染防治攻坚战</w:t>
      </w:r>
      <w:r>
        <w:rPr>
          <w:rFonts w:ascii="Calibri" w:hAnsi="Calibri" w:hint="eastAsia"/>
        </w:rPr>
        <w:t>及</w:t>
      </w:r>
      <w:r>
        <w:rPr>
          <w:rFonts w:ascii="Calibri" w:hAnsi="Calibri"/>
        </w:rPr>
        <w:t>农业农村污染治理攻坚实施方案的通知</w:t>
      </w:r>
      <w:r>
        <w:rPr>
          <w:rFonts w:ascii="Calibri" w:hAnsi="Calibri" w:hint="eastAsia"/>
        </w:rPr>
        <w:t>》（豫</w:t>
      </w:r>
      <w:r>
        <w:rPr>
          <w:rFonts w:ascii="Calibri" w:hAnsi="Calibri"/>
        </w:rPr>
        <w:t>环委</w:t>
      </w:r>
      <w:r>
        <w:rPr>
          <w:rFonts w:ascii="Calibri" w:hAnsi="Calibri" w:hint="eastAsia"/>
        </w:rPr>
        <w:t>办【</w:t>
      </w:r>
      <w:r>
        <w:rPr>
          <w:rFonts w:ascii="Calibri" w:hAnsi="Calibri" w:hint="eastAsia"/>
        </w:rPr>
        <w:t>2022</w:t>
      </w:r>
      <w:r>
        <w:rPr>
          <w:rFonts w:ascii="Calibri" w:hAnsi="Calibri" w:hint="eastAsia"/>
        </w:rPr>
        <w:t>】</w:t>
      </w:r>
      <w:r>
        <w:rPr>
          <w:rFonts w:ascii="Calibri" w:hAnsi="Calibri" w:hint="eastAsia"/>
        </w:rPr>
        <w:lastRenderedPageBreak/>
        <w:t>9</w:t>
      </w:r>
      <w:r>
        <w:rPr>
          <w:rFonts w:ascii="Calibri" w:hAnsi="Calibri" w:hint="eastAsia"/>
        </w:rPr>
        <w:t>号）；</w:t>
      </w:r>
    </w:p>
    <w:p w14:paraId="131E4D43" w14:textId="77777777" w:rsidR="00AD7758" w:rsidRPr="00E04C65" w:rsidRDefault="00AD7758" w:rsidP="006208D0">
      <w:pPr>
        <w:pStyle w:val="00"/>
        <w:ind w:firstLineChars="200"/>
        <w:rPr>
          <w:rFonts w:ascii="Calibri" w:hAnsi="Calibri"/>
        </w:rPr>
      </w:pPr>
      <w:r>
        <w:rPr>
          <w:rFonts w:ascii="Calibri" w:hAnsi="Calibri" w:hint="eastAsia"/>
        </w:rPr>
        <w:t>（</w:t>
      </w:r>
      <w:r w:rsidR="006208D0">
        <w:rPr>
          <w:rFonts w:ascii="Calibri" w:hAnsi="Calibri"/>
        </w:rPr>
        <w:t>3</w:t>
      </w:r>
      <w:r w:rsidR="007D4A47">
        <w:rPr>
          <w:rFonts w:ascii="Calibri" w:hAnsi="Calibri"/>
        </w:rPr>
        <w:t>2</w:t>
      </w:r>
      <w:r>
        <w:rPr>
          <w:rFonts w:ascii="Calibri" w:hAnsi="Calibri" w:hint="eastAsia"/>
        </w:rPr>
        <w:t>）</w:t>
      </w:r>
      <w:r w:rsidR="006208D0">
        <w:rPr>
          <w:rFonts w:ascii="Calibri" w:hAnsi="Calibri" w:hint="eastAsia"/>
        </w:rPr>
        <w:t>平顶山</w:t>
      </w:r>
      <w:r w:rsidR="006208D0">
        <w:rPr>
          <w:rFonts w:ascii="Calibri" w:hAnsi="Calibri"/>
        </w:rPr>
        <w:t>市生态环境保护</w:t>
      </w:r>
      <w:r w:rsidR="006208D0">
        <w:rPr>
          <w:rFonts w:ascii="Calibri" w:hAnsi="Calibri" w:hint="eastAsia"/>
        </w:rPr>
        <w:t>委员会</w:t>
      </w:r>
      <w:r w:rsidR="006208D0">
        <w:rPr>
          <w:rFonts w:ascii="Calibri" w:hAnsi="Calibri"/>
        </w:rPr>
        <w:t>办公室</w:t>
      </w:r>
      <w:r w:rsidR="006208D0">
        <w:rPr>
          <w:rFonts w:ascii="Calibri" w:hAnsi="Calibri" w:hint="eastAsia"/>
        </w:rPr>
        <w:t>《</w:t>
      </w:r>
      <w:r w:rsidR="006208D0">
        <w:rPr>
          <w:rFonts w:ascii="Calibri" w:hAnsi="Calibri"/>
        </w:rPr>
        <w:t>关于</w:t>
      </w:r>
      <w:r w:rsidR="006208D0">
        <w:rPr>
          <w:rFonts w:ascii="Calibri" w:hAnsi="Calibri" w:hint="eastAsia"/>
        </w:rPr>
        <w:t>印发</w:t>
      </w:r>
      <w:r w:rsidR="006208D0">
        <w:rPr>
          <w:rFonts w:ascii="Calibri" w:hAnsi="Calibri"/>
        </w:rPr>
        <w:t>平顶山市</w:t>
      </w:r>
      <w:r w:rsidR="006208D0">
        <w:rPr>
          <w:rFonts w:ascii="Calibri" w:hAnsi="Calibri" w:hint="eastAsia"/>
        </w:rPr>
        <w:t>2022</w:t>
      </w:r>
      <w:r w:rsidR="006208D0">
        <w:rPr>
          <w:rFonts w:ascii="Calibri" w:hAnsi="Calibri" w:hint="eastAsia"/>
        </w:rPr>
        <w:t>年</w:t>
      </w:r>
      <w:r w:rsidR="006208D0">
        <w:rPr>
          <w:rFonts w:ascii="Calibri" w:hAnsi="Calibri"/>
        </w:rPr>
        <w:t>大气、水、土壤污染防治攻坚战</w:t>
      </w:r>
      <w:r w:rsidR="006208D0">
        <w:rPr>
          <w:rFonts w:ascii="Calibri" w:hAnsi="Calibri" w:hint="eastAsia"/>
        </w:rPr>
        <w:t>及</w:t>
      </w:r>
      <w:r w:rsidR="006208D0">
        <w:rPr>
          <w:rFonts w:ascii="Calibri" w:hAnsi="Calibri"/>
        </w:rPr>
        <w:t>农业农村污染治理攻坚实施方案的通知</w:t>
      </w:r>
      <w:r w:rsidR="006208D0">
        <w:rPr>
          <w:rFonts w:ascii="Calibri" w:hAnsi="Calibri" w:hint="eastAsia"/>
        </w:rPr>
        <w:t>》（平</w:t>
      </w:r>
      <w:r w:rsidR="006208D0">
        <w:rPr>
          <w:rFonts w:ascii="Calibri" w:hAnsi="Calibri"/>
        </w:rPr>
        <w:t>环委</w:t>
      </w:r>
      <w:r w:rsidR="006208D0">
        <w:rPr>
          <w:rFonts w:ascii="Calibri" w:hAnsi="Calibri" w:hint="eastAsia"/>
        </w:rPr>
        <w:t>办【</w:t>
      </w:r>
      <w:r w:rsidR="006208D0">
        <w:rPr>
          <w:rFonts w:ascii="Calibri" w:hAnsi="Calibri" w:hint="eastAsia"/>
        </w:rPr>
        <w:t>2022</w:t>
      </w:r>
      <w:r w:rsidR="006208D0">
        <w:rPr>
          <w:rFonts w:ascii="Calibri" w:hAnsi="Calibri" w:hint="eastAsia"/>
        </w:rPr>
        <w:t>】</w:t>
      </w:r>
      <w:r w:rsidR="006208D0">
        <w:rPr>
          <w:rFonts w:ascii="Calibri" w:hAnsi="Calibri" w:hint="eastAsia"/>
        </w:rPr>
        <w:t>19</w:t>
      </w:r>
      <w:r w:rsidR="006208D0">
        <w:rPr>
          <w:rFonts w:ascii="Calibri" w:hAnsi="Calibri" w:hint="eastAsia"/>
        </w:rPr>
        <w:t>号）。</w:t>
      </w:r>
    </w:p>
    <w:p w14:paraId="0C86CA9A" w14:textId="77777777" w:rsidR="0055605A" w:rsidRPr="00A964FF" w:rsidRDefault="0055605A" w:rsidP="0055605A">
      <w:pPr>
        <w:pStyle w:val="ad"/>
        <w:rPr>
          <w:rFonts w:ascii="Calibri" w:hAnsi="Calibri"/>
          <w:color w:val="auto"/>
        </w:rPr>
      </w:pPr>
      <w:r w:rsidRPr="00FC28EF">
        <w:rPr>
          <w:rFonts w:ascii="Calibri" w:hAnsi="Calibri"/>
          <w:color w:val="auto"/>
        </w:rPr>
        <w:t>1.</w:t>
      </w:r>
      <w:r w:rsidRPr="00FC28EF">
        <w:rPr>
          <w:rFonts w:ascii="Calibri" w:hAnsi="Calibri" w:hint="eastAsia"/>
          <w:color w:val="auto"/>
        </w:rPr>
        <w:t>1</w:t>
      </w:r>
      <w:r w:rsidRPr="00FC28EF">
        <w:rPr>
          <w:rFonts w:ascii="Calibri" w:hAnsi="Calibri"/>
          <w:color w:val="auto"/>
        </w:rPr>
        <w:t>.3</w:t>
      </w:r>
      <w:r w:rsidRPr="00FC28EF">
        <w:rPr>
          <w:rFonts w:ascii="Calibri" w:hAnsi="Calibri"/>
          <w:color w:val="auto"/>
        </w:rPr>
        <w:t>评价导则与技术规范</w:t>
      </w:r>
    </w:p>
    <w:p w14:paraId="2A171F75"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color w:val="auto"/>
        </w:rPr>
        <w:t>1</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color w:val="auto"/>
        </w:rPr>
        <w:t>总纲》</w:t>
      </w:r>
      <w:r w:rsidRPr="00A964FF">
        <w:rPr>
          <w:rFonts w:ascii="Calibri" w:hAnsi="Calibri" w:hint="eastAsia"/>
          <w:color w:val="auto"/>
        </w:rPr>
        <w:t>（</w:t>
      </w:r>
      <w:r w:rsidRPr="00A964FF">
        <w:rPr>
          <w:rFonts w:ascii="Calibri" w:hAnsi="Calibri"/>
          <w:color w:val="auto"/>
        </w:rPr>
        <w:t>HJ2.1-</w:t>
      </w:r>
      <w:r w:rsidRPr="00A964FF">
        <w:rPr>
          <w:rFonts w:ascii="Calibri" w:hAnsi="Calibri" w:hint="eastAsia"/>
          <w:color w:val="auto"/>
        </w:rPr>
        <w:t>2016</w:t>
      </w:r>
      <w:r w:rsidRPr="00A964FF">
        <w:rPr>
          <w:rFonts w:ascii="Calibri" w:hAnsi="Calibri" w:hint="eastAsia"/>
          <w:color w:val="auto"/>
        </w:rPr>
        <w:t>）</w:t>
      </w:r>
      <w:r w:rsidRPr="00A964FF">
        <w:rPr>
          <w:rFonts w:ascii="Calibri" w:hAnsi="Calibri"/>
          <w:color w:val="auto"/>
        </w:rPr>
        <w:t>；</w:t>
      </w:r>
    </w:p>
    <w:p w14:paraId="541E971B"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color w:val="auto"/>
        </w:rPr>
        <w:t>2</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color w:val="auto"/>
        </w:rPr>
        <w:t>大气环境》</w:t>
      </w:r>
      <w:r w:rsidRPr="00A964FF">
        <w:rPr>
          <w:rFonts w:ascii="Calibri" w:hAnsi="Calibri" w:hint="eastAsia"/>
          <w:color w:val="auto"/>
        </w:rPr>
        <w:t>（</w:t>
      </w:r>
      <w:r w:rsidRPr="00A964FF">
        <w:rPr>
          <w:rFonts w:ascii="Calibri" w:hAnsi="Calibri"/>
          <w:color w:val="auto"/>
        </w:rPr>
        <w:t>HJ2.2-20</w:t>
      </w:r>
      <w:r w:rsidRPr="00A964FF">
        <w:rPr>
          <w:rFonts w:ascii="Calibri" w:hAnsi="Calibri" w:hint="eastAsia"/>
          <w:color w:val="auto"/>
        </w:rPr>
        <w:t>1</w:t>
      </w:r>
      <w:r w:rsidRPr="00A964FF">
        <w:rPr>
          <w:rFonts w:ascii="Calibri" w:hAnsi="Calibri"/>
          <w:color w:val="auto"/>
        </w:rPr>
        <w:t>8</w:t>
      </w:r>
      <w:r w:rsidRPr="00A964FF">
        <w:rPr>
          <w:rFonts w:ascii="Calibri" w:hAnsi="Calibri" w:hint="eastAsia"/>
          <w:color w:val="auto"/>
        </w:rPr>
        <w:t>）</w:t>
      </w:r>
      <w:r w:rsidRPr="00A964FF">
        <w:rPr>
          <w:rFonts w:ascii="Calibri" w:hAnsi="Calibri"/>
          <w:color w:val="auto"/>
        </w:rPr>
        <w:t>；</w:t>
      </w:r>
    </w:p>
    <w:p w14:paraId="3497CB37"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color w:val="auto"/>
        </w:rPr>
        <w:t>3</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color w:val="auto"/>
        </w:rPr>
        <w:t>地</w:t>
      </w:r>
      <w:r w:rsidRPr="00A964FF">
        <w:rPr>
          <w:rFonts w:ascii="Calibri" w:hAnsi="Calibri" w:hint="eastAsia"/>
          <w:color w:val="auto"/>
        </w:rPr>
        <w:t>表</w:t>
      </w:r>
      <w:r w:rsidRPr="00A964FF">
        <w:rPr>
          <w:rFonts w:ascii="Calibri" w:hAnsi="Calibri"/>
          <w:color w:val="auto"/>
        </w:rPr>
        <w:t>水环境》</w:t>
      </w:r>
      <w:r w:rsidRPr="00A964FF">
        <w:rPr>
          <w:rFonts w:ascii="Calibri" w:hAnsi="Calibri" w:hint="eastAsia"/>
          <w:color w:val="auto"/>
        </w:rPr>
        <w:t>（</w:t>
      </w:r>
      <w:r w:rsidRPr="00A964FF">
        <w:rPr>
          <w:rFonts w:ascii="Calibri" w:hAnsi="Calibri"/>
          <w:color w:val="auto"/>
        </w:rPr>
        <w:t>HJ2.</w:t>
      </w:r>
      <w:r w:rsidRPr="00A964FF">
        <w:rPr>
          <w:rFonts w:ascii="Calibri" w:hAnsi="Calibri" w:hint="eastAsia"/>
          <w:color w:val="auto"/>
        </w:rPr>
        <w:t>3</w:t>
      </w:r>
      <w:r w:rsidRPr="00A964FF">
        <w:rPr>
          <w:rFonts w:ascii="Calibri" w:hAnsi="Calibri"/>
          <w:color w:val="auto"/>
        </w:rPr>
        <w:t>-</w:t>
      </w:r>
      <w:r w:rsidRPr="00A964FF">
        <w:rPr>
          <w:rFonts w:ascii="Calibri" w:hAnsi="Calibri" w:hint="eastAsia"/>
          <w:color w:val="auto"/>
        </w:rPr>
        <w:t>2018</w:t>
      </w:r>
      <w:r w:rsidRPr="00A964FF">
        <w:rPr>
          <w:rFonts w:ascii="Calibri" w:hAnsi="Calibri" w:hint="eastAsia"/>
          <w:color w:val="auto"/>
        </w:rPr>
        <w:t>）</w:t>
      </w:r>
      <w:r w:rsidRPr="00A964FF">
        <w:rPr>
          <w:rFonts w:ascii="Calibri" w:hAnsi="Calibri"/>
          <w:color w:val="auto"/>
        </w:rPr>
        <w:t>；</w:t>
      </w:r>
    </w:p>
    <w:p w14:paraId="3E5BBFBE"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hint="eastAsia"/>
          <w:color w:val="auto"/>
        </w:rPr>
        <w:t>4</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color w:val="auto"/>
        </w:rPr>
        <w:t>地</w:t>
      </w:r>
      <w:r w:rsidRPr="00A964FF">
        <w:rPr>
          <w:rFonts w:ascii="Calibri" w:hAnsi="Calibri" w:hint="eastAsia"/>
          <w:color w:val="auto"/>
        </w:rPr>
        <w:t>下</w:t>
      </w:r>
      <w:r w:rsidRPr="00A964FF">
        <w:rPr>
          <w:rFonts w:ascii="Calibri" w:hAnsi="Calibri"/>
          <w:color w:val="auto"/>
        </w:rPr>
        <w:t>水环境》</w:t>
      </w:r>
      <w:r w:rsidRPr="00A964FF">
        <w:rPr>
          <w:rFonts w:ascii="Calibri" w:hAnsi="Calibri" w:hint="eastAsia"/>
          <w:color w:val="auto"/>
        </w:rPr>
        <w:t>（</w:t>
      </w:r>
      <w:r w:rsidRPr="00A964FF">
        <w:rPr>
          <w:rFonts w:ascii="Calibri" w:hAnsi="Calibri"/>
          <w:color w:val="auto"/>
        </w:rPr>
        <w:t>HJ</w:t>
      </w:r>
      <w:r w:rsidRPr="00A964FF">
        <w:rPr>
          <w:rFonts w:ascii="Calibri" w:hAnsi="Calibri" w:hint="eastAsia"/>
          <w:color w:val="auto"/>
        </w:rPr>
        <w:t>610</w:t>
      </w:r>
      <w:r w:rsidRPr="00A964FF">
        <w:rPr>
          <w:rFonts w:ascii="Calibri" w:hAnsi="Calibri"/>
          <w:color w:val="auto"/>
        </w:rPr>
        <w:t>-</w:t>
      </w:r>
      <w:r w:rsidRPr="00A964FF">
        <w:rPr>
          <w:rFonts w:ascii="Calibri" w:hAnsi="Calibri" w:hint="eastAsia"/>
          <w:color w:val="auto"/>
        </w:rPr>
        <w:t>2016</w:t>
      </w:r>
      <w:r w:rsidRPr="00A964FF">
        <w:rPr>
          <w:rFonts w:ascii="Calibri" w:hAnsi="Calibri" w:hint="eastAsia"/>
          <w:color w:val="auto"/>
        </w:rPr>
        <w:t>）</w:t>
      </w:r>
      <w:r w:rsidRPr="00A964FF">
        <w:rPr>
          <w:rFonts w:ascii="Calibri" w:hAnsi="Calibri"/>
          <w:color w:val="auto"/>
        </w:rPr>
        <w:t>；</w:t>
      </w:r>
    </w:p>
    <w:p w14:paraId="60D7AFCB"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hint="eastAsia"/>
          <w:color w:val="auto"/>
        </w:rPr>
        <w:t>5</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color w:val="auto"/>
        </w:rPr>
        <w:t>声环境》</w:t>
      </w:r>
      <w:r w:rsidRPr="00A964FF">
        <w:rPr>
          <w:rFonts w:ascii="Calibri" w:hAnsi="Calibri" w:hint="eastAsia"/>
          <w:color w:val="auto"/>
        </w:rPr>
        <w:t>（</w:t>
      </w:r>
      <w:r w:rsidRPr="00A964FF">
        <w:rPr>
          <w:rFonts w:ascii="Calibri" w:hAnsi="Calibri"/>
          <w:color w:val="auto"/>
        </w:rPr>
        <w:t>HJ2.4-20</w:t>
      </w:r>
      <w:r w:rsidR="006208D0">
        <w:rPr>
          <w:rFonts w:ascii="Calibri" w:hAnsi="Calibri"/>
          <w:color w:val="auto"/>
        </w:rPr>
        <w:t>21</w:t>
      </w:r>
      <w:r w:rsidRPr="00A964FF">
        <w:rPr>
          <w:rFonts w:ascii="Calibri" w:hAnsi="Calibri" w:hint="eastAsia"/>
          <w:color w:val="auto"/>
        </w:rPr>
        <w:t>）</w:t>
      </w:r>
      <w:r w:rsidRPr="00A964FF">
        <w:rPr>
          <w:rFonts w:ascii="Calibri" w:hAnsi="Calibri"/>
          <w:color w:val="auto"/>
        </w:rPr>
        <w:t>；</w:t>
      </w:r>
    </w:p>
    <w:p w14:paraId="4D7FDB6F"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hint="eastAsia"/>
          <w:color w:val="auto"/>
        </w:rPr>
        <w:t>6</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hint="eastAsia"/>
          <w:color w:val="auto"/>
        </w:rPr>
        <w:t>生态影响</w:t>
      </w:r>
      <w:r w:rsidRPr="00A964FF">
        <w:rPr>
          <w:rFonts w:ascii="Calibri" w:hAnsi="Calibri"/>
          <w:color w:val="auto"/>
        </w:rPr>
        <w:t>》</w:t>
      </w:r>
      <w:r w:rsidRPr="00A964FF">
        <w:rPr>
          <w:rFonts w:ascii="Calibri" w:hAnsi="Calibri" w:hint="eastAsia"/>
          <w:color w:val="auto"/>
        </w:rPr>
        <w:t>（</w:t>
      </w:r>
      <w:r w:rsidRPr="00A964FF">
        <w:rPr>
          <w:rFonts w:ascii="Calibri" w:hAnsi="Calibri"/>
          <w:color w:val="auto"/>
        </w:rPr>
        <w:t>HJ19-</w:t>
      </w:r>
      <w:r w:rsidRPr="00A964FF">
        <w:rPr>
          <w:rFonts w:ascii="Calibri" w:hAnsi="Calibri" w:hint="eastAsia"/>
          <w:color w:val="auto"/>
        </w:rPr>
        <w:t>20</w:t>
      </w:r>
      <w:r w:rsidR="00E04C65">
        <w:rPr>
          <w:rFonts w:ascii="Calibri" w:hAnsi="Calibri"/>
          <w:color w:val="auto"/>
        </w:rPr>
        <w:t>2</w:t>
      </w:r>
      <w:r w:rsidR="0089454A">
        <w:rPr>
          <w:rFonts w:ascii="Calibri" w:hAnsi="Calibri"/>
          <w:color w:val="auto"/>
        </w:rPr>
        <w:t>2</w:t>
      </w:r>
      <w:r w:rsidRPr="00A964FF">
        <w:rPr>
          <w:rFonts w:ascii="Calibri" w:hAnsi="Calibri" w:hint="eastAsia"/>
          <w:color w:val="auto"/>
        </w:rPr>
        <w:t>）</w:t>
      </w:r>
      <w:r w:rsidRPr="00A964FF">
        <w:rPr>
          <w:rFonts w:ascii="Calibri" w:hAnsi="Calibri"/>
          <w:color w:val="auto"/>
        </w:rPr>
        <w:t>；</w:t>
      </w:r>
    </w:p>
    <w:p w14:paraId="3D11FF40"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7</w:t>
      </w:r>
      <w:r w:rsidRPr="00A964FF">
        <w:rPr>
          <w:rFonts w:ascii="Calibri" w:hAnsi="Calibri" w:hint="eastAsia"/>
          <w:color w:val="auto"/>
        </w:rPr>
        <w:t>）《</w:t>
      </w:r>
      <w:r w:rsidRPr="00A964FF">
        <w:rPr>
          <w:rFonts w:ascii="Calibri" w:hAnsi="Calibri"/>
          <w:color w:val="auto"/>
        </w:rPr>
        <w:t>环境影响评价技术导则</w:t>
      </w:r>
      <w:r w:rsidRPr="00A964FF">
        <w:rPr>
          <w:rFonts w:ascii="Calibri" w:hAnsi="Calibri"/>
          <w:color w:val="auto"/>
        </w:rPr>
        <w:t xml:space="preserve"> </w:t>
      </w:r>
      <w:r w:rsidRPr="00A964FF">
        <w:rPr>
          <w:rFonts w:ascii="Calibri" w:hAnsi="Calibri" w:hint="eastAsia"/>
          <w:color w:val="auto"/>
        </w:rPr>
        <w:t>土壤导则（试行）</w:t>
      </w:r>
      <w:r w:rsidRPr="00A964FF">
        <w:rPr>
          <w:rFonts w:ascii="Calibri" w:hAnsi="Calibri"/>
          <w:color w:val="auto"/>
        </w:rPr>
        <w:t>》</w:t>
      </w:r>
      <w:r w:rsidRPr="00A964FF">
        <w:rPr>
          <w:rFonts w:ascii="Calibri" w:hAnsi="Calibri" w:hint="eastAsia"/>
          <w:color w:val="auto"/>
        </w:rPr>
        <w:t>（</w:t>
      </w:r>
      <w:r w:rsidRPr="00A964FF">
        <w:rPr>
          <w:rFonts w:ascii="Calibri" w:hAnsi="Calibri"/>
          <w:color w:val="auto"/>
        </w:rPr>
        <w:t>HJ</w:t>
      </w:r>
      <w:r w:rsidRPr="00A964FF">
        <w:rPr>
          <w:rFonts w:ascii="Calibri" w:hAnsi="Calibri" w:hint="eastAsia"/>
          <w:color w:val="auto"/>
        </w:rPr>
        <w:t>964</w:t>
      </w:r>
      <w:r w:rsidRPr="00A964FF">
        <w:rPr>
          <w:rFonts w:ascii="Calibri" w:hAnsi="Calibri"/>
          <w:color w:val="auto"/>
        </w:rPr>
        <w:t>-</w:t>
      </w:r>
      <w:r w:rsidRPr="00A964FF">
        <w:rPr>
          <w:rFonts w:ascii="Calibri" w:hAnsi="Calibri" w:hint="eastAsia"/>
          <w:color w:val="auto"/>
        </w:rPr>
        <w:t>2018</w:t>
      </w:r>
      <w:r w:rsidRPr="00A964FF">
        <w:rPr>
          <w:rFonts w:ascii="Calibri" w:hAnsi="Calibri" w:hint="eastAsia"/>
          <w:color w:val="auto"/>
        </w:rPr>
        <w:t>）</w:t>
      </w:r>
      <w:r w:rsidRPr="00A964FF">
        <w:rPr>
          <w:rFonts w:ascii="Calibri" w:hAnsi="Calibri"/>
          <w:color w:val="auto"/>
        </w:rPr>
        <w:t>；</w:t>
      </w:r>
    </w:p>
    <w:p w14:paraId="767A107D"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8</w:t>
      </w:r>
      <w:r w:rsidRPr="00A964FF">
        <w:rPr>
          <w:rFonts w:ascii="Calibri" w:hAnsi="Calibri" w:hint="eastAsia"/>
          <w:color w:val="auto"/>
        </w:rPr>
        <w:t>）《建设项目环境风险评价技术导则》（</w:t>
      </w:r>
      <w:r w:rsidRPr="00A964FF">
        <w:rPr>
          <w:rFonts w:ascii="Calibri" w:hAnsi="Calibri" w:hint="eastAsia"/>
          <w:color w:val="auto"/>
        </w:rPr>
        <w:t>HJ169-20</w:t>
      </w:r>
      <w:r w:rsidR="006208D0">
        <w:rPr>
          <w:rFonts w:ascii="Calibri" w:hAnsi="Calibri"/>
          <w:color w:val="auto"/>
        </w:rPr>
        <w:t>18</w:t>
      </w:r>
      <w:r w:rsidRPr="00A964FF">
        <w:rPr>
          <w:rFonts w:ascii="Calibri" w:hAnsi="Calibri" w:hint="eastAsia"/>
          <w:color w:val="auto"/>
        </w:rPr>
        <w:t>）；</w:t>
      </w:r>
    </w:p>
    <w:p w14:paraId="43D78E3C"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9</w:t>
      </w:r>
      <w:r w:rsidRPr="00A964FF">
        <w:rPr>
          <w:rFonts w:ascii="Calibri" w:hAnsi="Calibri" w:hint="eastAsia"/>
          <w:color w:val="auto"/>
        </w:rPr>
        <w:t>）《环境噪声与振动控制工程技术导则》（</w:t>
      </w:r>
      <w:r w:rsidRPr="00A964FF">
        <w:rPr>
          <w:rFonts w:ascii="Calibri" w:hAnsi="Calibri" w:hint="eastAsia"/>
          <w:color w:val="auto"/>
        </w:rPr>
        <w:t>HJ2034-2013</w:t>
      </w:r>
      <w:r w:rsidRPr="00A964FF">
        <w:rPr>
          <w:rFonts w:ascii="Calibri" w:hAnsi="Calibri" w:hint="eastAsia"/>
          <w:color w:val="auto"/>
        </w:rPr>
        <w:t>）；</w:t>
      </w:r>
    </w:p>
    <w:p w14:paraId="3F787355"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10</w:t>
      </w:r>
      <w:r w:rsidRPr="00A964FF">
        <w:rPr>
          <w:rFonts w:ascii="Calibri" w:hAnsi="Calibri" w:hint="eastAsia"/>
          <w:color w:val="auto"/>
        </w:rPr>
        <w:t>）《危险废物收集、贮存、运输技术规范》（</w:t>
      </w:r>
      <w:r w:rsidRPr="00A964FF">
        <w:rPr>
          <w:rFonts w:ascii="Calibri" w:hAnsi="Calibri" w:hint="eastAsia"/>
          <w:color w:val="auto"/>
        </w:rPr>
        <w:t>HJ2025-2012</w:t>
      </w:r>
      <w:r w:rsidRPr="00A964FF">
        <w:rPr>
          <w:rFonts w:ascii="Calibri" w:hAnsi="Calibri" w:hint="eastAsia"/>
          <w:color w:val="auto"/>
        </w:rPr>
        <w:t>）；</w:t>
      </w:r>
    </w:p>
    <w:p w14:paraId="0AED4E10" w14:textId="77777777" w:rsidR="002728E2" w:rsidRDefault="002728E2" w:rsidP="002728E2">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11</w:t>
      </w:r>
      <w:r w:rsidRPr="00A964FF">
        <w:rPr>
          <w:rFonts w:ascii="Calibri" w:hAnsi="Calibri" w:hint="eastAsia"/>
          <w:color w:val="auto"/>
        </w:rPr>
        <w:t>）《建设项目危险废物环境影响评价指南》（环境保护部公告</w:t>
      </w:r>
      <w:r w:rsidRPr="00A964FF">
        <w:rPr>
          <w:rFonts w:ascii="Calibri" w:hAnsi="Calibri" w:hint="eastAsia"/>
          <w:color w:val="auto"/>
        </w:rPr>
        <w:t>2017</w:t>
      </w:r>
      <w:r w:rsidRPr="00A964FF">
        <w:rPr>
          <w:rFonts w:ascii="Calibri" w:hAnsi="Calibri" w:hint="eastAsia"/>
          <w:color w:val="auto"/>
        </w:rPr>
        <w:t>年第</w:t>
      </w:r>
      <w:r w:rsidRPr="00A964FF">
        <w:rPr>
          <w:rFonts w:ascii="Calibri" w:hAnsi="Calibri" w:hint="eastAsia"/>
          <w:color w:val="auto"/>
        </w:rPr>
        <w:t>43</w:t>
      </w:r>
      <w:r w:rsidRPr="00A964FF">
        <w:rPr>
          <w:rFonts w:ascii="Calibri" w:hAnsi="Calibri" w:hint="eastAsia"/>
          <w:color w:val="auto"/>
        </w:rPr>
        <w:t>号）；</w:t>
      </w:r>
    </w:p>
    <w:p w14:paraId="4CD8688B" w14:textId="77777777" w:rsidR="0089454A" w:rsidRPr="0089454A" w:rsidRDefault="0089454A" w:rsidP="0089454A">
      <w:pPr>
        <w:pStyle w:val="00"/>
        <w:rPr>
          <w:rFonts w:ascii="Calibri" w:hAnsi="Calibri"/>
          <w:color w:val="auto"/>
        </w:rPr>
      </w:pPr>
      <w:r>
        <w:rPr>
          <w:rFonts w:ascii="Calibri" w:hAnsi="Calibri" w:hint="eastAsia"/>
          <w:color w:val="auto"/>
        </w:rPr>
        <w:t>（</w:t>
      </w:r>
      <w:r>
        <w:rPr>
          <w:rFonts w:ascii="Calibri" w:hAnsi="Calibri" w:hint="eastAsia"/>
          <w:color w:val="auto"/>
        </w:rPr>
        <w:t>12</w:t>
      </w:r>
      <w:r>
        <w:rPr>
          <w:rFonts w:ascii="Calibri" w:hAnsi="Calibri" w:hint="eastAsia"/>
          <w:color w:val="auto"/>
        </w:rPr>
        <w:t>）</w:t>
      </w:r>
      <w:r w:rsidRPr="0089454A">
        <w:rPr>
          <w:rFonts w:ascii="Calibri" w:hAnsi="Calibri" w:hint="eastAsia"/>
          <w:color w:val="auto"/>
        </w:rPr>
        <w:t>《国家危险废物名录》（</w:t>
      </w:r>
      <w:r>
        <w:rPr>
          <w:rFonts w:ascii="Calibri" w:hAnsi="Calibri" w:hint="eastAsia"/>
          <w:color w:val="auto"/>
        </w:rPr>
        <w:t>2021</w:t>
      </w:r>
      <w:r w:rsidRPr="0089454A">
        <w:rPr>
          <w:rFonts w:ascii="Calibri" w:hAnsi="Calibri" w:hint="eastAsia"/>
          <w:color w:val="auto"/>
        </w:rPr>
        <w:t>年版，</w:t>
      </w:r>
      <w:r>
        <w:rPr>
          <w:rFonts w:ascii="Calibri" w:hAnsi="Calibri" w:hint="eastAsia"/>
          <w:color w:val="auto"/>
        </w:rPr>
        <w:t>2021</w:t>
      </w:r>
      <w:r w:rsidRPr="0089454A">
        <w:rPr>
          <w:rFonts w:ascii="Calibri" w:hAnsi="Calibri" w:hint="eastAsia"/>
          <w:color w:val="auto"/>
        </w:rPr>
        <w:t>年</w:t>
      </w:r>
      <w:r>
        <w:rPr>
          <w:rFonts w:ascii="Calibri" w:hAnsi="Calibri" w:hint="eastAsia"/>
          <w:color w:val="auto"/>
        </w:rPr>
        <w:t>1</w:t>
      </w:r>
      <w:r w:rsidRPr="0089454A">
        <w:rPr>
          <w:rFonts w:ascii="Calibri" w:hAnsi="Calibri" w:hint="eastAsia"/>
          <w:color w:val="auto"/>
        </w:rPr>
        <w:t>月</w:t>
      </w:r>
      <w:r>
        <w:rPr>
          <w:rFonts w:ascii="Calibri" w:hAnsi="Calibri" w:hint="eastAsia"/>
          <w:color w:val="auto"/>
        </w:rPr>
        <w:t>1</w:t>
      </w:r>
      <w:r w:rsidRPr="0089454A">
        <w:rPr>
          <w:rFonts w:ascii="Calibri" w:hAnsi="Calibri" w:hint="eastAsia"/>
          <w:color w:val="auto"/>
        </w:rPr>
        <w:t>日）；</w:t>
      </w:r>
    </w:p>
    <w:p w14:paraId="252F8732" w14:textId="77777777" w:rsidR="0089454A" w:rsidRDefault="0089454A" w:rsidP="0089454A">
      <w:pPr>
        <w:pStyle w:val="00"/>
        <w:rPr>
          <w:rFonts w:ascii="Calibri" w:hAnsi="Calibri"/>
          <w:color w:val="auto"/>
        </w:rPr>
      </w:pPr>
      <w:r w:rsidRPr="0089454A">
        <w:rPr>
          <w:rFonts w:ascii="Calibri" w:hAnsi="Calibri" w:hint="eastAsia"/>
          <w:color w:val="auto"/>
        </w:rPr>
        <w:t>（</w:t>
      </w:r>
      <w:r w:rsidRPr="0089454A">
        <w:rPr>
          <w:rFonts w:ascii="Calibri" w:hAnsi="Calibri" w:hint="eastAsia"/>
          <w:color w:val="auto"/>
        </w:rPr>
        <w:t>13</w:t>
      </w:r>
      <w:r w:rsidRPr="0089454A">
        <w:rPr>
          <w:rFonts w:ascii="Calibri" w:hAnsi="Calibri" w:hint="eastAsia"/>
          <w:color w:val="auto"/>
        </w:rPr>
        <w:t>）《危险化学品名录（</w:t>
      </w:r>
      <w:r>
        <w:rPr>
          <w:rFonts w:ascii="Calibri" w:hAnsi="Calibri" w:hint="eastAsia"/>
          <w:color w:val="auto"/>
        </w:rPr>
        <w:t>2015</w:t>
      </w:r>
      <w:r w:rsidRPr="0089454A">
        <w:rPr>
          <w:rFonts w:ascii="Calibri" w:hAnsi="Calibri" w:hint="eastAsia"/>
          <w:color w:val="auto"/>
        </w:rPr>
        <w:t>版）》（公告</w:t>
      </w:r>
      <w:r>
        <w:rPr>
          <w:rFonts w:ascii="Calibri" w:hAnsi="Calibri" w:hint="eastAsia"/>
          <w:color w:val="auto"/>
        </w:rPr>
        <w:t>2015</w:t>
      </w:r>
      <w:r w:rsidRPr="0089454A">
        <w:rPr>
          <w:rFonts w:ascii="Calibri" w:hAnsi="Calibri" w:hint="eastAsia"/>
          <w:color w:val="auto"/>
        </w:rPr>
        <w:t>年第</w:t>
      </w:r>
      <w:r>
        <w:rPr>
          <w:rFonts w:ascii="Calibri" w:hAnsi="Calibri" w:hint="eastAsia"/>
          <w:color w:val="auto"/>
        </w:rPr>
        <w:t>5</w:t>
      </w:r>
      <w:r w:rsidRPr="0089454A">
        <w:rPr>
          <w:rFonts w:ascii="Calibri" w:hAnsi="Calibri" w:hint="eastAsia"/>
          <w:color w:val="auto"/>
        </w:rPr>
        <w:t>号）；</w:t>
      </w:r>
    </w:p>
    <w:p w14:paraId="2B6255D1" w14:textId="77777777" w:rsidR="00A6037B" w:rsidRDefault="00A6037B" w:rsidP="00191D86">
      <w:pPr>
        <w:pStyle w:val="00"/>
        <w:rPr>
          <w:rFonts w:ascii="Calibri" w:hAnsi="Calibri"/>
          <w:color w:val="auto"/>
        </w:rPr>
      </w:pPr>
      <w:r>
        <w:rPr>
          <w:rFonts w:ascii="Calibri" w:hAnsi="Calibri" w:hint="eastAsia"/>
          <w:color w:val="auto"/>
        </w:rPr>
        <w:t>（</w:t>
      </w:r>
      <w:r>
        <w:rPr>
          <w:rFonts w:ascii="Calibri" w:hAnsi="Calibri" w:hint="eastAsia"/>
          <w:color w:val="auto"/>
        </w:rPr>
        <w:t>1</w:t>
      </w:r>
      <w:r w:rsidR="0089454A">
        <w:rPr>
          <w:rFonts w:ascii="Calibri" w:hAnsi="Calibri"/>
          <w:color w:val="auto"/>
        </w:rPr>
        <w:t>4</w:t>
      </w:r>
      <w:r>
        <w:rPr>
          <w:rFonts w:ascii="Calibri" w:hAnsi="Calibri" w:hint="eastAsia"/>
          <w:color w:val="auto"/>
        </w:rPr>
        <w:t>）</w:t>
      </w:r>
      <w:r w:rsidRPr="00A6037B">
        <w:rPr>
          <w:rFonts w:ascii="Calibri" w:hAnsi="Calibri" w:hint="eastAsia"/>
          <w:color w:val="auto"/>
        </w:rPr>
        <w:t>《大气污染治理工程技术导则》</w:t>
      </w:r>
      <w:r w:rsidR="00191D86">
        <w:rPr>
          <w:rFonts w:ascii="Calibri" w:hAnsi="Calibri" w:hint="eastAsia"/>
          <w:color w:val="auto"/>
        </w:rPr>
        <w:t>（</w:t>
      </w:r>
      <w:r w:rsidR="00191D86" w:rsidRPr="00A6037B">
        <w:rPr>
          <w:rFonts w:ascii="Calibri" w:hAnsi="Calibri" w:hint="eastAsia"/>
          <w:color w:val="auto"/>
        </w:rPr>
        <w:t>HJ2000-2010</w:t>
      </w:r>
      <w:r w:rsidR="00191D86">
        <w:rPr>
          <w:rFonts w:ascii="Calibri" w:hAnsi="Calibri" w:hint="eastAsia"/>
          <w:color w:val="auto"/>
        </w:rPr>
        <w:t>）</w:t>
      </w:r>
      <w:r w:rsidRPr="00A6037B">
        <w:rPr>
          <w:rFonts w:ascii="Calibri" w:hAnsi="Calibri" w:hint="eastAsia"/>
          <w:color w:val="auto"/>
        </w:rPr>
        <w:t>；</w:t>
      </w:r>
    </w:p>
    <w:p w14:paraId="768305CB" w14:textId="77777777" w:rsidR="00A6037B" w:rsidRDefault="00A6037B" w:rsidP="00191D86">
      <w:pPr>
        <w:pStyle w:val="00"/>
        <w:rPr>
          <w:rFonts w:ascii="Calibri" w:hAnsi="Calibri"/>
          <w:color w:val="auto"/>
        </w:rPr>
      </w:pPr>
      <w:r>
        <w:rPr>
          <w:rFonts w:ascii="Calibri" w:hAnsi="Calibri" w:hint="eastAsia"/>
          <w:color w:val="auto"/>
        </w:rPr>
        <w:t>（</w:t>
      </w:r>
      <w:r>
        <w:rPr>
          <w:rFonts w:ascii="Calibri" w:hAnsi="Calibri" w:hint="eastAsia"/>
          <w:color w:val="auto"/>
        </w:rPr>
        <w:t>1</w:t>
      </w:r>
      <w:r w:rsidR="0089454A">
        <w:rPr>
          <w:rFonts w:ascii="Calibri" w:hAnsi="Calibri"/>
          <w:color w:val="auto"/>
        </w:rPr>
        <w:t>5</w:t>
      </w:r>
      <w:r>
        <w:rPr>
          <w:rFonts w:ascii="Calibri" w:hAnsi="Calibri" w:hint="eastAsia"/>
          <w:color w:val="auto"/>
        </w:rPr>
        <w:t>）</w:t>
      </w:r>
      <w:r w:rsidRPr="00A6037B">
        <w:rPr>
          <w:rFonts w:ascii="Calibri" w:hAnsi="Calibri" w:hint="eastAsia"/>
          <w:color w:val="auto"/>
        </w:rPr>
        <w:t>《水污染治理工程技术导则》</w:t>
      </w:r>
      <w:r w:rsidR="00191D86">
        <w:rPr>
          <w:rFonts w:ascii="Calibri" w:hAnsi="Calibri" w:hint="eastAsia"/>
          <w:color w:val="auto"/>
        </w:rPr>
        <w:t>（</w:t>
      </w:r>
      <w:r w:rsidR="00191D86" w:rsidRPr="00A6037B">
        <w:rPr>
          <w:rFonts w:ascii="Calibri" w:hAnsi="Calibri" w:hint="eastAsia"/>
          <w:color w:val="auto"/>
        </w:rPr>
        <w:t>HJ2015-2012</w:t>
      </w:r>
      <w:r w:rsidR="00191D86">
        <w:rPr>
          <w:rFonts w:ascii="Calibri" w:hAnsi="Calibri" w:hint="eastAsia"/>
          <w:color w:val="auto"/>
        </w:rPr>
        <w:t>）</w:t>
      </w:r>
      <w:r w:rsidRPr="00A6037B">
        <w:rPr>
          <w:rFonts w:ascii="Calibri" w:hAnsi="Calibri" w:hint="eastAsia"/>
          <w:color w:val="auto"/>
        </w:rPr>
        <w:t>；</w:t>
      </w:r>
    </w:p>
    <w:p w14:paraId="1B8238E8" w14:textId="77777777" w:rsidR="0055605A" w:rsidRPr="00A964FF" w:rsidRDefault="002728E2" w:rsidP="002728E2">
      <w:pPr>
        <w:pStyle w:val="00"/>
        <w:rPr>
          <w:rFonts w:ascii="Calibri" w:hAnsi="Calibri"/>
          <w:color w:val="auto"/>
        </w:rPr>
      </w:pPr>
      <w:r w:rsidRPr="00A964FF">
        <w:rPr>
          <w:rFonts w:ascii="Calibri" w:hAnsi="Calibri" w:hint="eastAsia"/>
          <w:color w:val="auto"/>
        </w:rPr>
        <w:t>（</w:t>
      </w:r>
      <w:r w:rsidR="0089454A">
        <w:rPr>
          <w:rFonts w:ascii="Calibri" w:hAnsi="Calibri"/>
          <w:color w:val="auto"/>
        </w:rPr>
        <w:t>16</w:t>
      </w:r>
      <w:r w:rsidRPr="00A964FF">
        <w:rPr>
          <w:rFonts w:ascii="Calibri" w:hAnsi="Calibri" w:hint="eastAsia"/>
          <w:color w:val="auto"/>
        </w:rPr>
        <w:t>）《化工建设项目环境保护设计规范》（</w:t>
      </w:r>
      <w:r w:rsidRPr="00A964FF">
        <w:rPr>
          <w:rFonts w:ascii="Calibri" w:hAnsi="Calibri" w:hint="eastAsia"/>
          <w:color w:val="auto"/>
        </w:rPr>
        <w:t>GB50483-2009</w:t>
      </w:r>
      <w:r w:rsidRPr="00A964FF">
        <w:rPr>
          <w:rFonts w:ascii="Calibri" w:hAnsi="Calibri" w:hint="eastAsia"/>
          <w:color w:val="auto"/>
        </w:rPr>
        <w:t>）</w:t>
      </w:r>
      <w:r w:rsidR="0089454A">
        <w:rPr>
          <w:rFonts w:ascii="Calibri" w:hAnsi="Calibri" w:hint="eastAsia"/>
          <w:color w:val="auto"/>
        </w:rPr>
        <w:t>；</w:t>
      </w:r>
    </w:p>
    <w:p w14:paraId="6DCDCF01" w14:textId="77777777" w:rsidR="0089454A" w:rsidRPr="0089454A" w:rsidRDefault="0089454A" w:rsidP="0089454A">
      <w:pPr>
        <w:pStyle w:val="ad"/>
        <w:ind w:firstLineChars="200" w:firstLine="480"/>
        <w:rPr>
          <w:rFonts w:ascii="Calibri" w:eastAsia="宋体" w:hAnsi="Calibri"/>
          <w:b w:val="0"/>
          <w:color w:val="auto"/>
          <w:sz w:val="24"/>
        </w:rPr>
      </w:pPr>
      <w:r w:rsidRPr="0089454A">
        <w:rPr>
          <w:rFonts w:ascii="Calibri" w:eastAsia="宋体" w:hAnsi="Calibri" w:hint="eastAsia"/>
          <w:b w:val="0"/>
          <w:color w:val="auto"/>
          <w:sz w:val="24"/>
        </w:rPr>
        <w:t>（</w:t>
      </w:r>
      <w:r w:rsidRPr="0089454A">
        <w:rPr>
          <w:rFonts w:ascii="Calibri" w:eastAsia="宋体" w:hAnsi="Calibri" w:hint="eastAsia"/>
          <w:b w:val="0"/>
          <w:color w:val="auto"/>
          <w:sz w:val="24"/>
        </w:rPr>
        <w:t>17</w:t>
      </w:r>
      <w:r w:rsidRPr="0089454A">
        <w:rPr>
          <w:rFonts w:ascii="Calibri" w:eastAsia="宋体" w:hAnsi="Calibri" w:hint="eastAsia"/>
          <w:b w:val="0"/>
          <w:color w:val="auto"/>
          <w:sz w:val="24"/>
        </w:rPr>
        <w:t>）《污染源源强核算技术指南准则》（</w:t>
      </w:r>
      <w:r w:rsidRPr="0089454A">
        <w:rPr>
          <w:rFonts w:ascii="Calibri" w:eastAsia="宋体" w:hAnsi="Calibri" w:hint="eastAsia"/>
          <w:b w:val="0"/>
          <w:color w:val="auto"/>
          <w:sz w:val="24"/>
        </w:rPr>
        <w:t>HJ884</w:t>
      </w:r>
      <w:r w:rsidRPr="0089454A">
        <w:rPr>
          <w:rFonts w:ascii="Calibri" w:eastAsia="宋体" w:hAnsi="Calibri" w:hint="eastAsia"/>
          <w:b w:val="0"/>
          <w:color w:val="auto"/>
          <w:sz w:val="24"/>
        </w:rPr>
        <w:t>—</w:t>
      </w:r>
      <w:r w:rsidRPr="0089454A">
        <w:rPr>
          <w:rFonts w:ascii="Calibri" w:eastAsia="宋体" w:hAnsi="Calibri" w:hint="eastAsia"/>
          <w:b w:val="0"/>
          <w:color w:val="auto"/>
          <w:sz w:val="24"/>
        </w:rPr>
        <w:t>2018</w:t>
      </w:r>
      <w:r w:rsidRPr="0089454A">
        <w:rPr>
          <w:rFonts w:ascii="Calibri" w:eastAsia="宋体" w:hAnsi="Calibri" w:hint="eastAsia"/>
          <w:b w:val="0"/>
          <w:color w:val="auto"/>
          <w:sz w:val="24"/>
        </w:rPr>
        <w:t>）。</w:t>
      </w:r>
    </w:p>
    <w:p w14:paraId="0B8B5872" w14:textId="77777777" w:rsidR="0055605A" w:rsidRPr="00A964FF" w:rsidRDefault="0055605A" w:rsidP="0055605A">
      <w:pPr>
        <w:pStyle w:val="ad"/>
        <w:rPr>
          <w:rFonts w:ascii="Calibri" w:hAnsi="Calibri"/>
          <w:color w:val="auto"/>
        </w:rPr>
      </w:pPr>
      <w:r w:rsidRPr="00A964FF">
        <w:rPr>
          <w:rFonts w:ascii="Calibri" w:hAnsi="Calibri"/>
          <w:color w:val="auto"/>
        </w:rPr>
        <w:t>1.</w:t>
      </w:r>
      <w:r w:rsidRPr="00A964FF">
        <w:rPr>
          <w:rFonts w:ascii="Calibri" w:hAnsi="Calibri" w:hint="eastAsia"/>
          <w:color w:val="auto"/>
        </w:rPr>
        <w:t>1</w:t>
      </w:r>
      <w:r w:rsidRPr="00A964FF">
        <w:rPr>
          <w:rFonts w:ascii="Calibri" w:hAnsi="Calibri"/>
          <w:color w:val="auto"/>
        </w:rPr>
        <w:t>.4</w:t>
      </w:r>
      <w:r w:rsidRPr="00A964FF">
        <w:rPr>
          <w:rFonts w:ascii="Calibri" w:hAnsi="Calibri"/>
          <w:color w:val="auto"/>
        </w:rPr>
        <w:t>相关的规划、文件</w:t>
      </w:r>
    </w:p>
    <w:p w14:paraId="7BCCC349"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）关于本项目的环境影响评价工作委托书；</w:t>
      </w:r>
    </w:p>
    <w:p w14:paraId="796CB85C"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）可行性研究报告及备案</w:t>
      </w:r>
      <w:r w:rsidR="005B7A02" w:rsidRPr="00A964FF">
        <w:rPr>
          <w:rFonts w:ascii="Calibri" w:hAnsi="Calibri" w:hint="eastAsia"/>
          <w:color w:val="auto"/>
        </w:rPr>
        <w:t>证明</w:t>
      </w:r>
      <w:r w:rsidRPr="00A964FF">
        <w:rPr>
          <w:rFonts w:ascii="Calibri" w:hAnsi="Calibri" w:hint="eastAsia"/>
          <w:color w:val="auto"/>
        </w:rPr>
        <w:t>；</w:t>
      </w:r>
    </w:p>
    <w:p w14:paraId="5AE9908A" w14:textId="77777777" w:rsidR="0050779B" w:rsidRPr="00FF742F" w:rsidRDefault="0050779B" w:rsidP="00FF742F">
      <w:pPr>
        <w:pStyle w:val="00"/>
        <w:rPr>
          <w:rFonts w:ascii="Calibri" w:hAnsi="Calibri"/>
          <w:color w:val="auto"/>
        </w:rPr>
      </w:pPr>
      <w:r w:rsidRPr="00A964FF">
        <w:rPr>
          <w:rFonts w:ascii="Calibri" w:hAnsi="Calibri" w:hint="eastAsia"/>
          <w:color w:val="auto"/>
        </w:rPr>
        <w:lastRenderedPageBreak/>
        <w:t>（</w:t>
      </w:r>
      <w:r w:rsidRPr="00A964FF">
        <w:rPr>
          <w:rFonts w:ascii="Calibri" w:hAnsi="Calibri" w:hint="eastAsia"/>
          <w:color w:val="auto"/>
        </w:rPr>
        <w:t>3</w:t>
      </w:r>
      <w:r w:rsidRPr="00A964FF">
        <w:rPr>
          <w:rFonts w:ascii="Calibri" w:hAnsi="Calibri" w:hint="eastAsia"/>
          <w:color w:val="auto"/>
        </w:rPr>
        <w:t>）</w:t>
      </w:r>
      <w:r w:rsidR="00FF742F" w:rsidRPr="00FF742F">
        <w:rPr>
          <w:rFonts w:ascii="Calibri" w:hAnsi="Calibri" w:hint="eastAsia"/>
          <w:color w:val="auto"/>
        </w:rPr>
        <w:t>平顶山尼龙新材料产业集聚区总体发展规划（</w:t>
      </w:r>
      <w:r w:rsidR="00FF742F" w:rsidRPr="00FF742F">
        <w:rPr>
          <w:rFonts w:ascii="Calibri" w:hAnsi="Calibri" w:hint="eastAsia"/>
          <w:color w:val="auto"/>
        </w:rPr>
        <w:t>2021-2030</w:t>
      </w:r>
      <w:r w:rsidR="00FF742F" w:rsidRPr="00FF742F">
        <w:rPr>
          <w:rFonts w:ascii="Calibri" w:hAnsi="Calibri" w:hint="eastAsia"/>
          <w:color w:val="auto"/>
        </w:rPr>
        <w:t>）环境影响报告书</w:t>
      </w:r>
      <w:r w:rsidRPr="00A964FF">
        <w:rPr>
          <w:rFonts w:ascii="Calibri" w:hAnsi="Calibri" w:hint="eastAsia"/>
          <w:bCs/>
          <w:color w:val="auto"/>
        </w:rPr>
        <w:t>及审查意见；</w:t>
      </w:r>
    </w:p>
    <w:p w14:paraId="4D5AE65C" w14:textId="77777777" w:rsidR="0089454A" w:rsidRDefault="0055605A" w:rsidP="001824DE">
      <w:pPr>
        <w:pStyle w:val="00"/>
        <w:rPr>
          <w:rFonts w:ascii="Calibri" w:hAnsi="Calibri"/>
          <w:color w:val="auto"/>
        </w:rPr>
      </w:pPr>
      <w:r w:rsidRPr="00A964FF">
        <w:rPr>
          <w:rFonts w:ascii="Calibri" w:hAnsi="Calibri" w:hint="eastAsia"/>
          <w:color w:val="auto"/>
        </w:rPr>
        <w:t>（</w:t>
      </w:r>
      <w:r w:rsidR="00FF742F">
        <w:rPr>
          <w:rFonts w:ascii="Calibri" w:hAnsi="Calibri" w:hint="eastAsia"/>
          <w:color w:val="auto"/>
        </w:rPr>
        <w:t>4</w:t>
      </w:r>
      <w:r w:rsidRPr="00A964FF">
        <w:rPr>
          <w:rFonts w:ascii="Calibri" w:hAnsi="Calibri" w:hint="eastAsia"/>
          <w:color w:val="auto"/>
        </w:rPr>
        <w:t>）</w:t>
      </w:r>
      <w:r w:rsidR="0089454A">
        <w:rPr>
          <w:rFonts w:ascii="Calibri" w:hAnsi="Calibri" w:hint="eastAsia"/>
          <w:color w:val="auto"/>
        </w:rPr>
        <w:t>本项目不动</w:t>
      </w:r>
      <w:r w:rsidR="0089454A">
        <w:rPr>
          <w:rFonts w:ascii="Calibri" w:hAnsi="Calibri"/>
          <w:color w:val="auto"/>
        </w:rPr>
        <w:t>产权证书；</w:t>
      </w:r>
    </w:p>
    <w:p w14:paraId="3344244D" w14:textId="77777777" w:rsidR="0055605A" w:rsidRPr="00A964FF" w:rsidRDefault="0055605A" w:rsidP="0055605A">
      <w:pPr>
        <w:pStyle w:val="00"/>
        <w:spacing w:line="520" w:lineRule="atLeast"/>
        <w:rPr>
          <w:rFonts w:ascii="Calibri" w:hAnsi="Calibri"/>
          <w:color w:val="auto"/>
        </w:rPr>
      </w:pPr>
      <w:r w:rsidRPr="00A964FF">
        <w:rPr>
          <w:rFonts w:ascii="Calibri" w:hAnsi="Calibri" w:hint="eastAsia"/>
          <w:color w:val="auto"/>
        </w:rPr>
        <w:t>（</w:t>
      </w:r>
      <w:r w:rsidR="00FF742F">
        <w:rPr>
          <w:rFonts w:ascii="Calibri" w:hAnsi="Calibri" w:hint="eastAsia"/>
          <w:color w:val="auto"/>
        </w:rPr>
        <w:t>5</w:t>
      </w:r>
      <w:r w:rsidRPr="00A964FF">
        <w:rPr>
          <w:rFonts w:ascii="Calibri" w:hAnsi="Calibri" w:hint="eastAsia"/>
          <w:color w:val="auto"/>
        </w:rPr>
        <w:t>）建设单位提供的项目其他相关资料。</w:t>
      </w:r>
    </w:p>
    <w:p w14:paraId="58315F62" w14:textId="77777777" w:rsidR="0055605A" w:rsidRPr="00A964FF" w:rsidRDefault="0055605A" w:rsidP="0055605A">
      <w:pPr>
        <w:pStyle w:val="2"/>
        <w:spacing w:before="200" w:after="100"/>
        <w:rPr>
          <w:rFonts w:ascii="Calibri" w:hAnsi="Calibri"/>
          <w:bCs/>
          <w:color w:val="auto"/>
          <w:szCs w:val="28"/>
        </w:rPr>
      </w:pPr>
      <w:bookmarkStart w:id="26" w:name="_Toc447804102"/>
      <w:bookmarkStart w:id="27" w:name="_Toc112999896"/>
      <w:r w:rsidRPr="00A964FF">
        <w:rPr>
          <w:rFonts w:ascii="Calibri" w:hAnsi="Calibri"/>
          <w:bCs/>
          <w:color w:val="auto"/>
          <w:szCs w:val="28"/>
        </w:rPr>
        <w:t>1.</w:t>
      </w:r>
      <w:r w:rsidRPr="00A964FF">
        <w:rPr>
          <w:rFonts w:ascii="Calibri" w:hAnsi="Calibri" w:hint="eastAsia"/>
          <w:bCs/>
          <w:color w:val="auto"/>
          <w:szCs w:val="28"/>
        </w:rPr>
        <w:t>2</w:t>
      </w:r>
      <w:r w:rsidRPr="00A964FF">
        <w:rPr>
          <w:rFonts w:ascii="Calibri" w:hAnsi="Calibri" w:hint="eastAsia"/>
          <w:bCs/>
          <w:color w:val="auto"/>
          <w:szCs w:val="28"/>
        </w:rPr>
        <w:t>评价对象及基本构成</w:t>
      </w:r>
      <w:bookmarkEnd w:id="26"/>
      <w:bookmarkEnd w:id="27"/>
    </w:p>
    <w:p w14:paraId="79252264" w14:textId="77777777" w:rsidR="00BC544F" w:rsidRPr="00A964FF" w:rsidRDefault="0055605A" w:rsidP="00191D86">
      <w:pPr>
        <w:pStyle w:val="00"/>
        <w:spacing w:line="520" w:lineRule="atLeast"/>
        <w:rPr>
          <w:rFonts w:ascii="Calibri" w:hAnsi="Calibri"/>
          <w:color w:val="auto"/>
        </w:rPr>
      </w:pPr>
      <w:r w:rsidRPr="00A964FF">
        <w:rPr>
          <w:rFonts w:ascii="Calibri" w:hAnsi="Calibri" w:hint="eastAsia"/>
          <w:color w:val="auto"/>
        </w:rPr>
        <w:t>本次评价对象为</w:t>
      </w:r>
      <w:r w:rsidR="001824DE" w:rsidRPr="0088215F">
        <w:rPr>
          <w:rFonts w:ascii="Calibri" w:hAnsi="Calibri" w:hint="eastAsia"/>
          <w:caps/>
        </w:rPr>
        <w:t>平顶山倍安德塑化有限公司年产</w:t>
      </w:r>
      <w:r w:rsidR="001824DE" w:rsidRPr="0088215F">
        <w:rPr>
          <w:rFonts w:ascii="Calibri" w:hAnsi="Calibri" w:hint="eastAsia"/>
          <w:caps/>
        </w:rPr>
        <w:t>5000</w:t>
      </w:r>
      <w:r w:rsidR="001824DE" w:rsidRPr="0088215F">
        <w:rPr>
          <w:rFonts w:ascii="Calibri" w:hAnsi="Calibri" w:hint="eastAsia"/>
          <w:caps/>
        </w:rPr>
        <w:t>吨透明尼龙合成制造项目</w:t>
      </w:r>
      <w:r w:rsidRPr="00A964FF">
        <w:rPr>
          <w:rFonts w:ascii="Calibri" w:hAnsi="Calibri" w:hint="eastAsia"/>
          <w:color w:val="auto"/>
        </w:rPr>
        <w:t>，</w:t>
      </w:r>
      <w:r w:rsidR="001E0489" w:rsidRPr="00A964FF">
        <w:rPr>
          <w:rFonts w:ascii="Calibri" w:hAnsi="Calibri" w:hint="eastAsia"/>
          <w:color w:val="auto"/>
        </w:rPr>
        <w:t>本</w:t>
      </w:r>
      <w:r w:rsidRPr="00A964FF">
        <w:rPr>
          <w:rFonts w:ascii="Calibri" w:hAnsi="Calibri" w:hint="eastAsia"/>
          <w:color w:val="auto"/>
        </w:rPr>
        <w:t>项目基本构成见表</w:t>
      </w:r>
      <w:r w:rsidRPr="00A964FF">
        <w:rPr>
          <w:rFonts w:ascii="Calibri" w:hAnsi="Calibri" w:hint="eastAsia"/>
          <w:color w:val="auto"/>
        </w:rPr>
        <w:t>1</w:t>
      </w:r>
      <w:r w:rsidR="005B7A02" w:rsidRPr="00A964FF">
        <w:rPr>
          <w:rFonts w:ascii="Calibri" w:hAnsi="Calibri" w:hint="eastAsia"/>
          <w:color w:val="auto"/>
        </w:rPr>
        <w:t>.</w:t>
      </w:r>
      <w:r w:rsidR="006669D1" w:rsidRPr="00A964FF">
        <w:rPr>
          <w:rFonts w:ascii="Calibri" w:hAnsi="Calibri" w:hint="eastAsia"/>
          <w:color w:val="auto"/>
        </w:rPr>
        <w:t>2</w:t>
      </w:r>
      <w:r w:rsidRPr="00A964FF">
        <w:rPr>
          <w:rFonts w:ascii="Calibri" w:hAnsi="Calibri" w:hint="eastAsia"/>
          <w:color w:val="auto"/>
        </w:rPr>
        <w:t>-1</w:t>
      </w:r>
      <w:r w:rsidRPr="00A964FF">
        <w:rPr>
          <w:rFonts w:ascii="Calibri" w:hAnsi="Calibri" w:hint="eastAsia"/>
          <w:color w:val="auto"/>
        </w:rPr>
        <w:t>。</w:t>
      </w:r>
    </w:p>
    <w:p w14:paraId="20A556D5" w14:textId="77777777" w:rsidR="0055605A" w:rsidRPr="00A964FF" w:rsidRDefault="0055605A" w:rsidP="0055605A">
      <w:pPr>
        <w:pStyle w:val="00"/>
        <w:spacing w:line="520" w:lineRule="atLeast"/>
        <w:rPr>
          <w:rFonts w:ascii="Calibri" w:eastAsia="黑体" w:hAnsi="Calibri"/>
          <w:color w:val="auto"/>
        </w:rPr>
      </w:pPr>
      <w:r w:rsidRPr="00A964FF">
        <w:rPr>
          <w:rFonts w:ascii="Calibri" w:eastAsia="黑体" w:hAnsi="Calibri" w:hint="eastAsia"/>
          <w:color w:val="auto"/>
        </w:rPr>
        <w:t>表</w:t>
      </w:r>
      <w:r w:rsidRPr="00A964FF">
        <w:rPr>
          <w:rFonts w:ascii="Calibri" w:eastAsia="黑体" w:hAnsi="Calibri"/>
          <w:color w:val="auto"/>
        </w:rPr>
        <w:t>1</w:t>
      </w:r>
      <w:r w:rsidR="005B7A02" w:rsidRPr="00A964FF">
        <w:rPr>
          <w:rFonts w:ascii="Calibri" w:eastAsia="黑体" w:hAnsi="Calibri" w:hint="eastAsia"/>
          <w:color w:val="auto"/>
        </w:rPr>
        <w:t>.</w:t>
      </w:r>
      <w:r w:rsidR="006669D1" w:rsidRPr="00A964FF">
        <w:rPr>
          <w:rFonts w:ascii="Calibri" w:eastAsia="黑体" w:hAnsi="Calibri" w:hint="eastAsia"/>
          <w:color w:val="auto"/>
        </w:rPr>
        <w:t>2</w:t>
      </w:r>
      <w:r w:rsidRPr="00A964FF">
        <w:rPr>
          <w:rFonts w:ascii="Calibri" w:eastAsia="黑体" w:hAnsi="Calibri"/>
          <w:color w:val="auto"/>
        </w:rPr>
        <w:t xml:space="preserve">-1           </w:t>
      </w:r>
      <w:r w:rsidRPr="00A964FF">
        <w:rPr>
          <w:rFonts w:ascii="Calibri" w:eastAsia="黑体" w:hAnsi="Calibri" w:hint="eastAsia"/>
          <w:color w:val="auto"/>
        </w:rPr>
        <w:t xml:space="preserve">    </w:t>
      </w:r>
      <w:r w:rsidRPr="00A964FF">
        <w:rPr>
          <w:rFonts w:ascii="Calibri" w:eastAsia="黑体" w:hAnsi="Calibri"/>
          <w:color w:val="auto"/>
        </w:rPr>
        <w:t xml:space="preserve"> </w:t>
      </w:r>
      <w:r w:rsidR="00770CBF"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项目基本构成情况</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000" w:firstRow="0" w:lastRow="0" w:firstColumn="0" w:lastColumn="0" w:noHBand="0" w:noVBand="0"/>
      </w:tblPr>
      <w:tblGrid>
        <w:gridCol w:w="2173"/>
        <w:gridCol w:w="6527"/>
      </w:tblGrid>
      <w:tr w:rsidR="0055605A" w:rsidRPr="00A964FF" w14:paraId="5291D6F6" w14:textId="77777777" w:rsidTr="00F37328">
        <w:trPr>
          <w:trHeight w:val="340"/>
        </w:trPr>
        <w:tc>
          <w:tcPr>
            <w:tcW w:w="1249" w:type="pct"/>
            <w:vAlign w:val="center"/>
          </w:tcPr>
          <w:p w14:paraId="0200F0A4" w14:textId="77777777" w:rsidR="0055605A" w:rsidRPr="00A964FF" w:rsidRDefault="0055605A" w:rsidP="003E0795">
            <w:pPr>
              <w:jc w:val="center"/>
              <w:rPr>
                <w:rFonts w:ascii="Calibri" w:hAnsi="Calibri"/>
                <w:caps/>
                <w:color w:val="auto"/>
              </w:rPr>
            </w:pPr>
            <w:r w:rsidRPr="00A964FF">
              <w:rPr>
                <w:rFonts w:ascii="Calibri" w:hAnsi="Calibri" w:hint="eastAsia"/>
                <w:caps/>
                <w:color w:val="auto"/>
              </w:rPr>
              <w:t>项目名称</w:t>
            </w:r>
          </w:p>
        </w:tc>
        <w:tc>
          <w:tcPr>
            <w:tcW w:w="3751" w:type="pct"/>
            <w:vAlign w:val="center"/>
          </w:tcPr>
          <w:p w14:paraId="791C6D16" w14:textId="77777777" w:rsidR="0055605A" w:rsidRPr="00A964FF" w:rsidRDefault="001824DE" w:rsidP="001824DE">
            <w:pPr>
              <w:ind w:firstLineChars="700" w:firstLine="1470"/>
              <w:rPr>
                <w:rFonts w:ascii="Calibri" w:hAnsi="Calibri"/>
                <w:caps/>
                <w:color w:val="auto"/>
              </w:rPr>
            </w:pPr>
            <w:r w:rsidRPr="0088215F">
              <w:rPr>
                <w:rFonts w:ascii="Calibri" w:hAnsi="Calibri" w:hint="eastAsia"/>
                <w:caps/>
              </w:rPr>
              <w:t>年产</w:t>
            </w:r>
            <w:r w:rsidRPr="0088215F">
              <w:rPr>
                <w:rFonts w:ascii="Calibri" w:hAnsi="Calibri" w:hint="eastAsia"/>
                <w:caps/>
              </w:rPr>
              <w:t>5000</w:t>
            </w:r>
            <w:r w:rsidRPr="0088215F">
              <w:rPr>
                <w:rFonts w:ascii="Calibri" w:hAnsi="Calibri" w:hint="eastAsia"/>
                <w:caps/>
              </w:rPr>
              <w:t>吨透明尼龙合成制造项目</w:t>
            </w:r>
          </w:p>
        </w:tc>
      </w:tr>
      <w:tr w:rsidR="0055605A" w:rsidRPr="00A964FF" w14:paraId="7A193B7B" w14:textId="77777777" w:rsidTr="00F37328">
        <w:trPr>
          <w:trHeight w:val="340"/>
        </w:trPr>
        <w:tc>
          <w:tcPr>
            <w:tcW w:w="1249" w:type="pct"/>
            <w:vAlign w:val="center"/>
          </w:tcPr>
          <w:p w14:paraId="3FF07069" w14:textId="77777777" w:rsidR="0055605A" w:rsidRPr="00A964FF" w:rsidRDefault="0055605A" w:rsidP="003E0795">
            <w:pPr>
              <w:jc w:val="center"/>
              <w:rPr>
                <w:rFonts w:ascii="Calibri" w:hAnsi="Calibri"/>
                <w:caps/>
                <w:color w:val="auto"/>
              </w:rPr>
            </w:pPr>
            <w:r w:rsidRPr="00A964FF">
              <w:rPr>
                <w:rFonts w:ascii="Calibri" w:hAnsi="Calibri" w:hint="eastAsia"/>
                <w:caps/>
                <w:color w:val="auto"/>
              </w:rPr>
              <w:t>建设单位</w:t>
            </w:r>
          </w:p>
        </w:tc>
        <w:tc>
          <w:tcPr>
            <w:tcW w:w="3751" w:type="pct"/>
            <w:vAlign w:val="center"/>
          </w:tcPr>
          <w:p w14:paraId="06154C35" w14:textId="77777777" w:rsidR="0055605A" w:rsidRPr="00A964FF" w:rsidRDefault="001824DE" w:rsidP="001824DE">
            <w:pPr>
              <w:ind w:firstLineChars="950" w:firstLine="1995"/>
              <w:rPr>
                <w:rFonts w:ascii="Calibri" w:hAnsi="Calibri"/>
                <w:caps/>
                <w:color w:val="auto"/>
              </w:rPr>
            </w:pPr>
            <w:r w:rsidRPr="0088215F">
              <w:rPr>
                <w:rFonts w:ascii="Calibri" w:hAnsi="Calibri" w:hint="eastAsia"/>
                <w:caps/>
              </w:rPr>
              <w:t>平顶山倍安德塑化有限公司</w:t>
            </w:r>
          </w:p>
        </w:tc>
      </w:tr>
      <w:tr w:rsidR="0055605A" w:rsidRPr="00A964FF" w14:paraId="2A80A90F" w14:textId="77777777" w:rsidTr="00F37328">
        <w:trPr>
          <w:trHeight w:val="340"/>
        </w:trPr>
        <w:tc>
          <w:tcPr>
            <w:tcW w:w="1249" w:type="pct"/>
            <w:vAlign w:val="center"/>
          </w:tcPr>
          <w:p w14:paraId="350BE0A9" w14:textId="77777777" w:rsidR="0055605A" w:rsidRPr="00A964FF" w:rsidRDefault="0055605A" w:rsidP="003E0795">
            <w:pPr>
              <w:jc w:val="center"/>
              <w:rPr>
                <w:rFonts w:ascii="Calibri" w:hAnsi="Calibri"/>
                <w:caps/>
                <w:color w:val="auto"/>
              </w:rPr>
            </w:pPr>
            <w:r w:rsidRPr="00A964FF">
              <w:rPr>
                <w:rFonts w:ascii="Calibri" w:hAnsi="Calibri" w:hint="eastAsia"/>
                <w:caps/>
                <w:color w:val="auto"/>
              </w:rPr>
              <w:t>建设地点</w:t>
            </w:r>
          </w:p>
        </w:tc>
        <w:tc>
          <w:tcPr>
            <w:tcW w:w="3751" w:type="pct"/>
            <w:vAlign w:val="center"/>
          </w:tcPr>
          <w:p w14:paraId="23B67A5B" w14:textId="77777777" w:rsidR="0055605A" w:rsidRPr="00A964FF" w:rsidRDefault="003B048A" w:rsidP="003E0795">
            <w:pPr>
              <w:jc w:val="center"/>
              <w:rPr>
                <w:rFonts w:ascii="Calibri" w:hAnsi="Calibri"/>
                <w:caps/>
                <w:color w:val="auto"/>
              </w:rPr>
            </w:pPr>
            <w:r w:rsidRPr="00A964FF">
              <w:rPr>
                <w:rFonts w:ascii="Calibri" w:hAnsi="Calibri" w:hint="eastAsia"/>
                <w:color w:val="auto"/>
              </w:rPr>
              <w:t>平顶山尼龙新材料产业集聚区</w:t>
            </w:r>
          </w:p>
        </w:tc>
      </w:tr>
      <w:tr w:rsidR="0055605A" w:rsidRPr="00A964FF" w14:paraId="1A5CBFB3" w14:textId="77777777" w:rsidTr="00F37328">
        <w:trPr>
          <w:trHeight w:val="340"/>
        </w:trPr>
        <w:tc>
          <w:tcPr>
            <w:tcW w:w="1249" w:type="pct"/>
            <w:vAlign w:val="center"/>
          </w:tcPr>
          <w:p w14:paraId="24E2808A" w14:textId="77777777" w:rsidR="0055605A" w:rsidRPr="00A964FF" w:rsidRDefault="0055605A" w:rsidP="003E0795">
            <w:pPr>
              <w:jc w:val="center"/>
              <w:rPr>
                <w:rFonts w:ascii="Calibri" w:hAnsi="Calibri"/>
                <w:caps/>
                <w:color w:val="auto"/>
              </w:rPr>
            </w:pPr>
            <w:r w:rsidRPr="00A964FF">
              <w:rPr>
                <w:rFonts w:ascii="Calibri" w:hAnsi="Calibri" w:hint="eastAsia"/>
                <w:caps/>
                <w:color w:val="auto"/>
              </w:rPr>
              <w:t>建设性质</w:t>
            </w:r>
          </w:p>
        </w:tc>
        <w:tc>
          <w:tcPr>
            <w:tcW w:w="3751" w:type="pct"/>
            <w:vAlign w:val="center"/>
          </w:tcPr>
          <w:p w14:paraId="2069EAAD" w14:textId="77777777" w:rsidR="0055605A" w:rsidRPr="00A964FF" w:rsidRDefault="0055605A" w:rsidP="003E0795">
            <w:pPr>
              <w:jc w:val="center"/>
              <w:rPr>
                <w:rFonts w:ascii="Calibri" w:hAnsi="Calibri"/>
                <w:caps/>
                <w:color w:val="auto"/>
              </w:rPr>
            </w:pPr>
            <w:r w:rsidRPr="00A964FF">
              <w:rPr>
                <w:rFonts w:ascii="Calibri" w:hAnsi="Calibri" w:hint="eastAsia"/>
                <w:caps/>
                <w:color w:val="auto"/>
              </w:rPr>
              <w:t>新建</w:t>
            </w:r>
          </w:p>
        </w:tc>
      </w:tr>
      <w:tr w:rsidR="0055605A" w:rsidRPr="00A964FF" w14:paraId="74110EC7" w14:textId="77777777" w:rsidTr="00F37328">
        <w:trPr>
          <w:trHeight w:val="340"/>
        </w:trPr>
        <w:tc>
          <w:tcPr>
            <w:tcW w:w="1249" w:type="pct"/>
            <w:vAlign w:val="center"/>
          </w:tcPr>
          <w:p w14:paraId="7332E920" w14:textId="77777777" w:rsidR="0055605A" w:rsidRPr="00A964FF" w:rsidRDefault="0055605A" w:rsidP="003E0795">
            <w:pPr>
              <w:jc w:val="center"/>
              <w:rPr>
                <w:rFonts w:ascii="Calibri" w:hAnsi="Calibri"/>
                <w:caps/>
                <w:color w:val="auto"/>
              </w:rPr>
            </w:pPr>
            <w:r w:rsidRPr="00A964FF">
              <w:rPr>
                <w:rFonts w:ascii="Calibri" w:hAnsi="Calibri" w:hint="eastAsia"/>
                <w:caps/>
                <w:color w:val="auto"/>
              </w:rPr>
              <w:t>建设规模</w:t>
            </w:r>
          </w:p>
        </w:tc>
        <w:tc>
          <w:tcPr>
            <w:tcW w:w="3751" w:type="pct"/>
            <w:vAlign w:val="center"/>
          </w:tcPr>
          <w:p w14:paraId="03266C30" w14:textId="77777777" w:rsidR="00F40108" w:rsidRPr="00FC28EF" w:rsidRDefault="001824DE" w:rsidP="00FC28EF">
            <w:pPr>
              <w:jc w:val="left"/>
              <w:rPr>
                <w:rFonts w:asciiTheme="minorHAnsi" w:hAnsi="Calibri" w:cstheme="minorHAnsi"/>
                <w:color w:val="auto"/>
              </w:rPr>
            </w:pPr>
            <w:r w:rsidRPr="009274EB">
              <w:rPr>
                <w:rFonts w:asciiTheme="minorHAnsi" w:hAnsi="Calibri" w:cstheme="minorHAnsi" w:hint="eastAsia"/>
                <w:color w:val="auto"/>
              </w:rPr>
              <w:t>根据项目备案内容，</w:t>
            </w:r>
            <w:r>
              <w:rPr>
                <w:rFonts w:asciiTheme="minorHAnsi" w:hAnsi="Calibri" w:cstheme="minorHAnsi" w:hint="eastAsia"/>
                <w:color w:val="auto"/>
              </w:rPr>
              <w:t>本项目</w:t>
            </w:r>
            <w:r>
              <w:rPr>
                <w:rFonts w:asciiTheme="minorHAnsi" w:hAnsi="Calibri" w:cstheme="minorHAnsi"/>
                <w:color w:val="auto"/>
              </w:rPr>
              <w:t>分三期建设，</w:t>
            </w:r>
            <w:r>
              <w:rPr>
                <w:rFonts w:asciiTheme="minorHAnsi" w:hAnsi="Calibri" w:cstheme="minorHAnsi" w:hint="eastAsia"/>
                <w:color w:val="auto"/>
              </w:rPr>
              <w:t>总规模</w:t>
            </w:r>
            <w:r>
              <w:rPr>
                <w:rFonts w:asciiTheme="minorHAnsi" w:hAnsi="Calibri" w:cstheme="minorHAnsi"/>
                <w:color w:val="auto"/>
              </w:rPr>
              <w:t>为年产</w:t>
            </w:r>
            <w:r w:rsidRPr="009274EB">
              <w:rPr>
                <w:rFonts w:asciiTheme="minorHAnsi" w:hAnsi="Calibri" w:cstheme="minorHAnsi" w:hint="eastAsia"/>
                <w:color w:val="auto"/>
              </w:rPr>
              <w:t>透明尼龙</w:t>
            </w:r>
            <w:r w:rsidRPr="009274EB">
              <w:rPr>
                <w:rFonts w:asciiTheme="minorHAnsi" w:hAnsi="Calibri" w:cstheme="minorHAnsi" w:hint="eastAsia"/>
                <w:color w:val="auto"/>
              </w:rPr>
              <w:t>5000</w:t>
            </w:r>
            <w:r w:rsidRPr="009274EB">
              <w:rPr>
                <w:rFonts w:asciiTheme="minorHAnsi" w:hAnsi="Calibri" w:cstheme="minorHAnsi" w:hint="eastAsia"/>
                <w:color w:val="auto"/>
              </w:rPr>
              <w:t>吨</w:t>
            </w:r>
            <w:r>
              <w:rPr>
                <w:rFonts w:asciiTheme="minorHAnsi" w:hAnsi="Calibri" w:cstheme="minorHAnsi" w:hint="eastAsia"/>
                <w:color w:val="auto"/>
              </w:rPr>
              <w:t>，其中一期</w:t>
            </w:r>
            <w:r>
              <w:rPr>
                <w:rFonts w:asciiTheme="minorHAnsi" w:hAnsi="Calibri" w:cstheme="minorHAnsi"/>
                <w:color w:val="auto"/>
              </w:rPr>
              <w:t>年产</w:t>
            </w:r>
            <w:r w:rsidRPr="009274EB">
              <w:rPr>
                <w:rFonts w:asciiTheme="minorHAnsi" w:hAnsi="Calibri" w:cstheme="minorHAnsi" w:hint="eastAsia"/>
                <w:color w:val="auto"/>
              </w:rPr>
              <w:t>透明尼龙</w:t>
            </w:r>
            <w:r>
              <w:rPr>
                <w:rFonts w:asciiTheme="minorHAnsi" w:hAnsi="Calibri" w:cstheme="minorHAnsi" w:hint="eastAsia"/>
                <w:color w:val="auto"/>
              </w:rPr>
              <w:t>25</w:t>
            </w:r>
            <w:r>
              <w:rPr>
                <w:rFonts w:asciiTheme="minorHAnsi" w:hAnsi="Calibri" w:cstheme="minorHAnsi"/>
                <w:color w:val="auto"/>
              </w:rPr>
              <w:t>00</w:t>
            </w:r>
            <w:r>
              <w:rPr>
                <w:rFonts w:asciiTheme="minorHAnsi" w:hAnsi="Calibri" w:cstheme="minorHAnsi" w:hint="eastAsia"/>
                <w:color w:val="auto"/>
              </w:rPr>
              <w:t>吨；二期</w:t>
            </w:r>
            <w:r>
              <w:rPr>
                <w:rFonts w:asciiTheme="minorHAnsi" w:hAnsi="Calibri" w:cstheme="minorHAnsi"/>
                <w:color w:val="auto"/>
              </w:rPr>
              <w:t>年</w:t>
            </w:r>
            <w:r w:rsidRPr="009274EB">
              <w:rPr>
                <w:rFonts w:asciiTheme="minorHAnsi" w:hAnsi="Calibri" w:cstheme="minorHAnsi" w:hint="eastAsia"/>
                <w:color w:val="auto"/>
              </w:rPr>
              <w:t>产透明尼龙</w:t>
            </w:r>
            <w:r>
              <w:rPr>
                <w:rFonts w:asciiTheme="minorHAnsi" w:hAnsi="Calibri" w:cstheme="minorHAnsi"/>
                <w:color w:val="auto"/>
              </w:rPr>
              <w:t>1</w:t>
            </w:r>
            <w:r w:rsidRPr="009274EB">
              <w:rPr>
                <w:rFonts w:asciiTheme="minorHAnsi" w:hAnsi="Calibri" w:cstheme="minorHAnsi" w:hint="eastAsia"/>
                <w:color w:val="auto"/>
              </w:rPr>
              <w:t>500</w:t>
            </w:r>
            <w:r w:rsidRPr="009274EB">
              <w:rPr>
                <w:rFonts w:asciiTheme="minorHAnsi" w:hAnsi="Calibri" w:cstheme="minorHAnsi" w:hint="eastAsia"/>
                <w:color w:val="auto"/>
              </w:rPr>
              <w:t>吨</w:t>
            </w:r>
            <w:r>
              <w:rPr>
                <w:rFonts w:asciiTheme="minorHAnsi" w:hAnsi="Calibri" w:cstheme="minorHAnsi" w:hint="eastAsia"/>
                <w:color w:val="auto"/>
              </w:rPr>
              <w:t>；三期</w:t>
            </w:r>
            <w:r w:rsidRPr="009274EB">
              <w:rPr>
                <w:rFonts w:asciiTheme="minorHAnsi" w:hAnsi="Calibri" w:cstheme="minorHAnsi" w:hint="eastAsia"/>
                <w:color w:val="auto"/>
              </w:rPr>
              <w:t>年产透明尼龙</w:t>
            </w:r>
            <w:r>
              <w:rPr>
                <w:rFonts w:asciiTheme="minorHAnsi" w:hAnsi="Calibri" w:cstheme="minorHAnsi"/>
                <w:color w:val="auto"/>
              </w:rPr>
              <w:t>10</w:t>
            </w:r>
            <w:r w:rsidRPr="009274EB">
              <w:rPr>
                <w:rFonts w:asciiTheme="minorHAnsi" w:hAnsi="Calibri" w:cstheme="minorHAnsi" w:hint="eastAsia"/>
                <w:color w:val="auto"/>
              </w:rPr>
              <w:t>00</w:t>
            </w:r>
            <w:r w:rsidRPr="009274EB">
              <w:rPr>
                <w:rFonts w:asciiTheme="minorHAnsi" w:hAnsi="Calibri" w:cstheme="minorHAnsi" w:hint="eastAsia"/>
                <w:color w:val="auto"/>
              </w:rPr>
              <w:t>吨</w:t>
            </w:r>
            <w:r>
              <w:rPr>
                <w:rFonts w:asciiTheme="minorHAnsi" w:hAnsi="Calibri" w:cstheme="minorHAnsi" w:hint="eastAsia"/>
                <w:color w:val="auto"/>
              </w:rPr>
              <w:t>，</w:t>
            </w:r>
            <w:r>
              <w:rPr>
                <w:rFonts w:asciiTheme="minorHAnsi" w:hAnsi="Calibri" w:cstheme="minorHAnsi"/>
                <w:color w:val="auto"/>
              </w:rPr>
              <w:t>本次仅针对一期、二期进行评价</w:t>
            </w:r>
            <w:r>
              <w:rPr>
                <w:rFonts w:asciiTheme="minorHAnsi" w:hAnsi="Calibri" w:cstheme="minorHAnsi" w:hint="eastAsia"/>
                <w:color w:val="auto"/>
              </w:rPr>
              <w:t>。</w:t>
            </w:r>
          </w:p>
        </w:tc>
      </w:tr>
    </w:tbl>
    <w:p w14:paraId="4D70E1FA" w14:textId="77777777" w:rsidR="0055605A" w:rsidRPr="00A964FF" w:rsidRDefault="0055605A" w:rsidP="0055605A">
      <w:pPr>
        <w:pStyle w:val="2"/>
        <w:spacing w:before="200" w:after="100"/>
        <w:rPr>
          <w:rFonts w:ascii="Calibri" w:hAnsi="Calibri"/>
          <w:bCs/>
          <w:color w:val="auto"/>
          <w:szCs w:val="28"/>
        </w:rPr>
      </w:pPr>
      <w:bookmarkStart w:id="28" w:name="_Toc447804103"/>
      <w:bookmarkStart w:id="29" w:name="_Toc112999897"/>
      <w:r w:rsidRPr="00FC28EF">
        <w:rPr>
          <w:rFonts w:ascii="Calibri" w:hAnsi="Calibri"/>
          <w:bCs/>
          <w:color w:val="auto"/>
          <w:szCs w:val="28"/>
        </w:rPr>
        <w:t>1.</w:t>
      </w:r>
      <w:r w:rsidRPr="00FC28EF">
        <w:rPr>
          <w:rFonts w:ascii="Calibri" w:hAnsi="Calibri" w:hint="eastAsia"/>
          <w:bCs/>
          <w:color w:val="auto"/>
          <w:szCs w:val="28"/>
        </w:rPr>
        <w:t>3</w:t>
      </w:r>
      <w:r w:rsidRPr="00FC28EF">
        <w:rPr>
          <w:rFonts w:ascii="Calibri" w:hAnsi="Calibri"/>
          <w:bCs/>
          <w:color w:val="auto"/>
          <w:szCs w:val="28"/>
        </w:rPr>
        <w:t>评价目的与</w:t>
      </w:r>
      <w:r w:rsidRPr="00FC28EF">
        <w:rPr>
          <w:rFonts w:ascii="Calibri" w:hAnsi="Calibri" w:hint="eastAsia"/>
          <w:bCs/>
          <w:color w:val="auto"/>
          <w:szCs w:val="28"/>
        </w:rPr>
        <w:t>原则</w:t>
      </w:r>
      <w:bookmarkEnd w:id="28"/>
      <w:bookmarkEnd w:id="29"/>
    </w:p>
    <w:p w14:paraId="7E9A2422" w14:textId="77777777" w:rsidR="0055605A" w:rsidRPr="00A964FF" w:rsidRDefault="0055605A" w:rsidP="0055605A">
      <w:pPr>
        <w:pStyle w:val="ad"/>
        <w:rPr>
          <w:rFonts w:ascii="Calibri" w:hAnsi="Calibri"/>
          <w:color w:val="auto"/>
        </w:rPr>
      </w:pPr>
      <w:smartTag w:uri="urn:schemas-microsoft-com:office:smarttags" w:element="chsdate">
        <w:smartTagPr>
          <w:attr w:name="Year" w:val="1899"/>
          <w:attr w:name="Month" w:val="12"/>
          <w:attr w:name="Day" w:val="30"/>
          <w:attr w:name="IsLunarDate" w:val="False"/>
          <w:attr w:name="IsROCDate" w:val="False"/>
        </w:smartTagPr>
        <w:r w:rsidRPr="00A964FF">
          <w:rPr>
            <w:rFonts w:ascii="Calibri" w:hAnsi="Calibri"/>
            <w:color w:val="auto"/>
          </w:rPr>
          <w:t>1.</w:t>
        </w:r>
        <w:r w:rsidRPr="00A964FF">
          <w:rPr>
            <w:rFonts w:ascii="Calibri" w:hAnsi="Calibri" w:hint="eastAsia"/>
            <w:color w:val="auto"/>
          </w:rPr>
          <w:t>3</w:t>
        </w:r>
        <w:r w:rsidRPr="00A964FF">
          <w:rPr>
            <w:rFonts w:ascii="Calibri" w:hAnsi="Calibri"/>
            <w:color w:val="auto"/>
          </w:rPr>
          <w:t>.1</w:t>
        </w:r>
      </w:smartTag>
      <w:r w:rsidRPr="00A964FF">
        <w:rPr>
          <w:rFonts w:ascii="Calibri" w:hAnsi="Calibri"/>
          <w:color w:val="auto"/>
        </w:rPr>
        <w:t>评价目的</w:t>
      </w:r>
    </w:p>
    <w:p w14:paraId="7A693744" w14:textId="77777777" w:rsidR="0055605A" w:rsidRPr="00A964FF" w:rsidRDefault="0055605A" w:rsidP="000E33B8">
      <w:pPr>
        <w:pStyle w:val="ad"/>
        <w:ind w:firstLineChars="200" w:firstLine="480"/>
        <w:rPr>
          <w:rFonts w:ascii="Calibri" w:eastAsia="宋体" w:hAnsi="Times New Roman"/>
          <w:b w:val="0"/>
          <w:bCs/>
          <w:color w:val="auto"/>
          <w:sz w:val="24"/>
        </w:rPr>
      </w:pPr>
      <w:r w:rsidRPr="00A964FF">
        <w:rPr>
          <w:rFonts w:ascii="Calibri" w:eastAsia="宋体" w:hAnsi="Times New Roman" w:hint="eastAsia"/>
          <w:b w:val="0"/>
          <w:bCs/>
          <w:color w:val="auto"/>
          <w:sz w:val="24"/>
        </w:rPr>
        <w:t>本次评价通过现场调查、监测，摸清项目所在地环境质量状况及周围环境特征。通过类比调查，摸清项目运营期的污染物排放情况，评价其采用的污染防治措施的可行性，得出项目的环境可行性结论，提出有关污染防治措施的对策与建议。根据环境保护审批原则综合分析得出项目在拟建地建设可行与否的结论，为项目环境管理提供审批依据，为项目工程设计提供支持。</w:t>
      </w:r>
    </w:p>
    <w:p w14:paraId="317A22EA" w14:textId="77777777" w:rsidR="0055605A" w:rsidRPr="00A964FF" w:rsidRDefault="0055605A" w:rsidP="0055605A">
      <w:pPr>
        <w:pStyle w:val="ad"/>
        <w:rPr>
          <w:rFonts w:ascii="Calibri" w:hAnsi="Calibri"/>
          <w:color w:val="auto"/>
        </w:rPr>
      </w:pPr>
      <w:r w:rsidRPr="00A964FF">
        <w:rPr>
          <w:rFonts w:ascii="Calibri" w:hAnsi="Calibri"/>
          <w:color w:val="auto"/>
        </w:rPr>
        <w:t>1</w:t>
      </w:r>
      <w:r w:rsidRPr="00A964FF">
        <w:rPr>
          <w:rFonts w:ascii="Calibri" w:hAnsi="Calibri" w:hint="eastAsia"/>
          <w:color w:val="auto"/>
        </w:rPr>
        <w:t>.3</w:t>
      </w:r>
      <w:r w:rsidRPr="00A964FF">
        <w:rPr>
          <w:rFonts w:ascii="Calibri" w:hAnsi="Calibri"/>
          <w:color w:val="auto"/>
        </w:rPr>
        <w:t>.2</w:t>
      </w:r>
      <w:r w:rsidRPr="00A964FF">
        <w:rPr>
          <w:rFonts w:ascii="Calibri" w:hAnsi="Calibri" w:hint="eastAsia"/>
          <w:color w:val="auto"/>
        </w:rPr>
        <w:t>评价原则</w:t>
      </w:r>
    </w:p>
    <w:p w14:paraId="359A448C" w14:textId="77777777" w:rsidR="0055605A" w:rsidRPr="00A964FF" w:rsidRDefault="0055605A" w:rsidP="000E33B8">
      <w:pPr>
        <w:pStyle w:val="ad"/>
        <w:ind w:firstLineChars="200" w:firstLine="480"/>
        <w:rPr>
          <w:rFonts w:ascii="Calibri" w:eastAsia="宋体" w:hAnsi="Calibri"/>
          <w:b w:val="0"/>
          <w:color w:val="auto"/>
          <w:sz w:val="24"/>
        </w:rPr>
      </w:pPr>
      <w:bookmarkStart w:id="30" w:name="_Toc447804104"/>
      <w:r w:rsidRPr="00A964FF">
        <w:rPr>
          <w:rFonts w:ascii="Calibri" w:eastAsia="宋体" w:hAnsi="Calibri"/>
          <w:b w:val="0"/>
          <w:color w:val="auto"/>
          <w:sz w:val="24"/>
        </w:rPr>
        <w:t>突出环境影响评价的源头预防作用，坚持保护和改善环境质量。</w:t>
      </w:r>
    </w:p>
    <w:p w14:paraId="7A448B05" w14:textId="77777777" w:rsidR="0055605A" w:rsidRPr="00A964FF" w:rsidRDefault="0055605A" w:rsidP="000E33B8">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1</w:t>
      </w:r>
      <w:r w:rsidRPr="00A964FF">
        <w:rPr>
          <w:rFonts w:ascii="Calibri" w:eastAsia="宋体" w:hAnsi="Calibri" w:hint="eastAsia"/>
          <w:b w:val="0"/>
          <w:color w:val="auto"/>
          <w:sz w:val="24"/>
        </w:rPr>
        <w:t>）</w:t>
      </w:r>
      <w:r w:rsidRPr="00A964FF">
        <w:rPr>
          <w:rFonts w:ascii="Calibri" w:eastAsia="宋体" w:hAnsi="Calibri"/>
          <w:b w:val="0"/>
          <w:color w:val="auto"/>
          <w:sz w:val="24"/>
        </w:rPr>
        <w:t>依法评价</w:t>
      </w:r>
      <w:r w:rsidRPr="00A964FF">
        <w:rPr>
          <w:rFonts w:ascii="Calibri" w:eastAsia="宋体" w:hAnsi="Calibri" w:hint="eastAsia"/>
          <w:b w:val="0"/>
          <w:color w:val="auto"/>
          <w:sz w:val="24"/>
        </w:rPr>
        <w:t>：</w:t>
      </w:r>
      <w:r w:rsidRPr="00A964FF">
        <w:rPr>
          <w:rFonts w:ascii="Calibri" w:eastAsia="宋体" w:hAnsi="Calibri"/>
          <w:b w:val="0"/>
          <w:color w:val="auto"/>
          <w:sz w:val="24"/>
        </w:rPr>
        <w:t>贯彻执行我国环境保护相关法律法规、标准、政策和规划等，优化项目建设，服务环境管理。</w:t>
      </w:r>
    </w:p>
    <w:p w14:paraId="329628B1" w14:textId="77777777" w:rsidR="0055605A" w:rsidRPr="00A964FF" w:rsidRDefault="0055605A" w:rsidP="000E33B8">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2</w:t>
      </w:r>
      <w:r w:rsidRPr="00A964FF">
        <w:rPr>
          <w:rFonts w:ascii="Calibri" w:eastAsia="宋体" w:hAnsi="Calibri" w:hint="eastAsia"/>
          <w:b w:val="0"/>
          <w:color w:val="auto"/>
          <w:sz w:val="24"/>
        </w:rPr>
        <w:t>）</w:t>
      </w:r>
      <w:r w:rsidRPr="00A964FF">
        <w:rPr>
          <w:rFonts w:ascii="Calibri" w:eastAsia="宋体" w:hAnsi="Calibri"/>
          <w:b w:val="0"/>
          <w:color w:val="auto"/>
          <w:sz w:val="24"/>
        </w:rPr>
        <w:t>科学评价</w:t>
      </w:r>
      <w:r w:rsidRPr="00A964FF">
        <w:rPr>
          <w:rFonts w:ascii="Calibri" w:eastAsia="宋体" w:hAnsi="Calibri" w:hint="eastAsia"/>
          <w:b w:val="0"/>
          <w:color w:val="auto"/>
          <w:sz w:val="24"/>
        </w:rPr>
        <w:t>：</w:t>
      </w:r>
      <w:r w:rsidRPr="00A964FF">
        <w:rPr>
          <w:rFonts w:ascii="Calibri" w:eastAsia="宋体" w:hAnsi="Calibri"/>
          <w:b w:val="0"/>
          <w:color w:val="auto"/>
          <w:sz w:val="24"/>
        </w:rPr>
        <w:t>规范环境影响评价方法，科学分析项目建设对环境质量的影响。</w:t>
      </w:r>
    </w:p>
    <w:p w14:paraId="45A3DB1A" w14:textId="77777777" w:rsidR="0055605A" w:rsidRPr="00A964FF" w:rsidRDefault="0055605A" w:rsidP="000E33B8">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3</w:t>
      </w:r>
      <w:r w:rsidRPr="00A964FF">
        <w:rPr>
          <w:rFonts w:ascii="Calibri" w:eastAsia="宋体" w:hAnsi="Calibri" w:hint="eastAsia"/>
          <w:b w:val="0"/>
          <w:color w:val="auto"/>
          <w:sz w:val="24"/>
        </w:rPr>
        <w:t>）</w:t>
      </w:r>
      <w:r w:rsidRPr="00A964FF">
        <w:rPr>
          <w:rFonts w:ascii="Calibri" w:eastAsia="宋体" w:hAnsi="Calibri"/>
          <w:b w:val="0"/>
          <w:color w:val="auto"/>
          <w:sz w:val="24"/>
        </w:rPr>
        <w:t>突出重点</w:t>
      </w:r>
      <w:r w:rsidRPr="00A964FF">
        <w:rPr>
          <w:rFonts w:ascii="Calibri" w:eastAsia="宋体" w:hAnsi="Calibri" w:hint="eastAsia"/>
          <w:b w:val="0"/>
          <w:color w:val="auto"/>
          <w:sz w:val="24"/>
        </w:rPr>
        <w:t>：</w:t>
      </w:r>
      <w:r w:rsidRPr="00A964FF">
        <w:rPr>
          <w:rFonts w:ascii="Calibri" w:eastAsia="宋体" w:hAnsi="Calibri"/>
          <w:b w:val="0"/>
          <w:color w:val="auto"/>
          <w:sz w:val="24"/>
        </w:rPr>
        <w:t>根据建设项目的工程内容及其特点，明确与环境要素间的作用</w:t>
      </w:r>
      <w:r w:rsidRPr="00A964FF">
        <w:rPr>
          <w:rFonts w:ascii="Calibri" w:eastAsia="宋体" w:hAnsi="Calibri"/>
          <w:b w:val="0"/>
          <w:color w:val="auto"/>
          <w:sz w:val="24"/>
        </w:rPr>
        <w:lastRenderedPageBreak/>
        <w:t>效应关系，根据规划环境影响评价结论和审查意见，充分利用符合时效的数据资料及成果，对建设项目主要环境影响</w:t>
      </w:r>
      <w:r w:rsidRPr="00A964FF">
        <w:rPr>
          <w:rFonts w:ascii="Calibri" w:eastAsia="宋体" w:hAnsi="Calibri" w:hint="eastAsia"/>
          <w:b w:val="0"/>
          <w:color w:val="auto"/>
          <w:sz w:val="24"/>
        </w:rPr>
        <w:t>予以重点分析和评价。</w:t>
      </w:r>
    </w:p>
    <w:p w14:paraId="3A195541" w14:textId="77777777" w:rsidR="0055605A" w:rsidRPr="00A964FF" w:rsidRDefault="0055605A" w:rsidP="0055605A">
      <w:pPr>
        <w:pStyle w:val="2"/>
        <w:spacing w:before="200" w:after="100"/>
        <w:rPr>
          <w:rFonts w:ascii="Calibri" w:hAnsi="Calibri"/>
          <w:bCs/>
          <w:color w:val="auto"/>
          <w:szCs w:val="28"/>
        </w:rPr>
      </w:pPr>
      <w:bookmarkStart w:id="31" w:name="_Toc112999898"/>
      <w:r w:rsidRPr="00A964FF">
        <w:rPr>
          <w:rFonts w:ascii="Calibri" w:hAnsi="Calibri"/>
          <w:bCs/>
          <w:color w:val="auto"/>
          <w:szCs w:val="28"/>
        </w:rPr>
        <w:t>1.</w:t>
      </w:r>
      <w:r w:rsidRPr="00A964FF">
        <w:rPr>
          <w:rFonts w:ascii="Calibri" w:hAnsi="Calibri" w:hint="eastAsia"/>
          <w:bCs/>
          <w:color w:val="auto"/>
          <w:szCs w:val="28"/>
        </w:rPr>
        <w:t>4</w:t>
      </w:r>
      <w:r w:rsidRPr="00A964FF">
        <w:rPr>
          <w:rFonts w:ascii="Calibri" w:hAnsi="Calibri"/>
          <w:bCs/>
          <w:color w:val="auto"/>
          <w:szCs w:val="28"/>
        </w:rPr>
        <w:t>评价标准</w:t>
      </w:r>
      <w:bookmarkEnd w:id="30"/>
      <w:bookmarkEnd w:id="31"/>
    </w:p>
    <w:p w14:paraId="78E86C29" w14:textId="77777777" w:rsidR="007E06A4" w:rsidRPr="00A964FF" w:rsidRDefault="0055605A" w:rsidP="00FC28EF">
      <w:pPr>
        <w:spacing w:line="520" w:lineRule="exact"/>
        <w:ind w:firstLineChars="200" w:firstLine="480"/>
        <w:rPr>
          <w:rFonts w:ascii="Calibri"/>
          <w:color w:val="auto"/>
          <w:sz w:val="24"/>
        </w:rPr>
      </w:pPr>
      <w:r w:rsidRPr="00A964FF">
        <w:rPr>
          <w:rFonts w:ascii="Calibri" w:hint="eastAsia"/>
          <w:color w:val="auto"/>
          <w:sz w:val="24"/>
        </w:rPr>
        <w:t>根据</w:t>
      </w:r>
      <w:r w:rsidR="003B048A" w:rsidRPr="00A964FF">
        <w:rPr>
          <w:rFonts w:ascii="Calibri" w:hint="eastAsia"/>
          <w:color w:val="auto"/>
          <w:sz w:val="24"/>
        </w:rPr>
        <w:t>平顶山市</w:t>
      </w:r>
      <w:r w:rsidR="0050779B" w:rsidRPr="00A964FF">
        <w:rPr>
          <w:rFonts w:ascii="Calibri" w:hint="eastAsia"/>
          <w:color w:val="auto"/>
          <w:sz w:val="24"/>
        </w:rPr>
        <w:t>叶县</w:t>
      </w:r>
      <w:r w:rsidRPr="00A964FF">
        <w:rPr>
          <w:rFonts w:ascii="Calibri" w:hint="eastAsia"/>
          <w:color w:val="auto"/>
          <w:sz w:val="24"/>
        </w:rPr>
        <w:t>环境功能区划和环境管理要求，确定本项目评价所执行的环境质量标准和排放标准。</w:t>
      </w:r>
    </w:p>
    <w:p w14:paraId="078A6107" w14:textId="77777777" w:rsidR="0055605A" w:rsidRPr="00A964FF" w:rsidRDefault="0055605A" w:rsidP="0055605A">
      <w:pPr>
        <w:pStyle w:val="ad"/>
        <w:rPr>
          <w:rFonts w:ascii="Calibri" w:hAnsi="Calibri"/>
          <w:color w:val="auto"/>
        </w:rPr>
      </w:pPr>
      <w:r w:rsidRPr="00A964FF">
        <w:rPr>
          <w:rFonts w:ascii="Calibri" w:hAnsi="Calibri" w:hint="eastAsia"/>
          <w:color w:val="auto"/>
        </w:rPr>
        <w:t>1.4.1</w:t>
      </w:r>
      <w:r w:rsidRPr="00A964FF">
        <w:rPr>
          <w:rFonts w:ascii="Calibri" w:hAnsi="Calibri" w:hint="eastAsia"/>
          <w:color w:val="auto"/>
        </w:rPr>
        <w:t>环境质量标准</w:t>
      </w:r>
    </w:p>
    <w:p w14:paraId="62B8EE08" w14:textId="77777777" w:rsidR="0055605A" w:rsidRPr="00A964FF" w:rsidRDefault="0055605A" w:rsidP="0055605A">
      <w:pPr>
        <w:spacing w:line="520" w:lineRule="exact"/>
        <w:ind w:firstLineChars="200" w:firstLine="482"/>
        <w:rPr>
          <w:rFonts w:ascii="Calibri"/>
          <w:b/>
          <w:color w:val="auto"/>
          <w:sz w:val="24"/>
        </w:rPr>
      </w:pPr>
      <w:r w:rsidRPr="00A964FF">
        <w:rPr>
          <w:rFonts w:ascii="Calibri" w:hint="eastAsia"/>
          <w:b/>
          <w:color w:val="auto"/>
          <w:sz w:val="24"/>
        </w:rPr>
        <w:t>1</w:t>
      </w:r>
      <w:r w:rsidRPr="00A964FF">
        <w:rPr>
          <w:rFonts w:ascii="Calibri" w:hint="eastAsia"/>
          <w:b/>
          <w:color w:val="auto"/>
          <w:sz w:val="24"/>
        </w:rPr>
        <w:t>、环境空气</w:t>
      </w:r>
    </w:p>
    <w:p w14:paraId="6B90945A" w14:textId="77777777" w:rsidR="0031704D" w:rsidRPr="0031704D" w:rsidRDefault="00912179" w:rsidP="005E58DF">
      <w:pPr>
        <w:spacing w:line="520" w:lineRule="exact"/>
        <w:ind w:firstLineChars="200" w:firstLine="480"/>
        <w:rPr>
          <w:rFonts w:ascii="Calibri"/>
          <w:color w:val="auto"/>
          <w:sz w:val="24"/>
        </w:rPr>
      </w:pPr>
      <w:r w:rsidRPr="00A964FF">
        <w:rPr>
          <w:rFonts w:ascii="Calibri" w:hint="eastAsia"/>
          <w:color w:val="auto"/>
          <w:sz w:val="24"/>
        </w:rPr>
        <w:t>本项目</w:t>
      </w:r>
      <w:r w:rsidR="0055605A" w:rsidRPr="00A964FF">
        <w:rPr>
          <w:rFonts w:ascii="Calibri" w:hint="eastAsia"/>
          <w:color w:val="auto"/>
          <w:sz w:val="24"/>
        </w:rPr>
        <w:t>PM</w:t>
      </w:r>
      <w:r w:rsidR="0055605A" w:rsidRPr="00A964FF">
        <w:rPr>
          <w:rFonts w:ascii="Calibri" w:hint="eastAsia"/>
          <w:color w:val="auto"/>
          <w:sz w:val="24"/>
          <w:vertAlign w:val="subscript"/>
        </w:rPr>
        <w:t>10</w:t>
      </w:r>
      <w:r w:rsidR="0055605A" w:rsidRPr="00A964FF">
        <w:rPr>
          <w:rFonts w:ascii="Calibri" w:hint="eastAsia"/>
          <w:color w:val="auto"/>
          <w:sz w:val="24"/>
        </w:rPr>
        <w:t>、</w:t>
      </w:r>
      <w:r w:rsidR="0055605A" w:rsidRPr="00A964FF">
        <w:rPr>
          <w:rFonts w:ascii="Calibri" w:hint="eastAsia"/>
          <w:color w:val="auto"/>
          <w:sz w:val="24"/>
        </w:rPr>
        <w:t>PM</w:t>
      </w:r>
      <w:r w:rsidR="0055605A" w:rsidRPr="00A964FF">
        <w:rPr>
          <w:rFonts w:ascii="Calibri" w:hint="eastAsia"/>
          <w:color w:val="auto"/>
          <w:sz w:val="24"/>
          <w:vertAlign w:val="subscript"/>
        </w:rPr>
        <w:t>2.5</w:t>
      </w:r>
      <w:r w:rsidR="0055605A" w:rsidRPr="00A964FF">
        <w:rPr>
          <w:rFonts w:ascii="Calibri" w:hint="eastAsia"/>
          <w:color w:val="auto"/>
          <w:sz w:val="24"/>
        </w:rPr>
        <w:t>、</w:t>
      </w:r>
      <w:r w:rsidR="0055605A" w:rsidRPr="00A964FF">
        <w:rPr>
          <w:rFonts w:ascii="Calibri" w:hint="eastAsia"/>
          <w:color w:val="auto"/>
          <w:sz w:val="24"/>
        </w:rPr>
        <w:t>SO</w:t>
      </w:r>
      <w:r w:rsidR="0055605A" w:rsidRPr="00A964FF">
        <w:rPr>
          <w:rFonts w:ascii="Calibri" w:hint="eastAsia"/>
          <w:color w:val="auto"/>
          <w:sz w:val="24"/>
          <w:vertAlign w:val="subscript"/>
        </w:rPr>
        <w:t>2</w:t>
      </w:r>
      <w:r w:rsidR="0055605A" w:rsidRPr="00A964FF">
        <w:rPr>
          <w:rFonts w:ascii="Calibri" w:hint="eastAsia"/>
          <w:color w:val="auto"/>
          <w:sz w:val="24"/>
        </w:rPr>
        <w:t>、</w:t>
      </w:r>
      <w:r w:rsidR="0055605A" w:rsidRPr="00A964FF">
        <w:rPr>
          <w:rFonts w:ascii="Calibri" w:hint="eastAsia"/>
          <w:color w:val="auto"/>
          <w:sz w:val="24"/>
        </w:rPr>
        <w:t>NO</w:t>
      </w:r>
      <w:r w:rsidR="0055605A" w:rsidRPr="00A964FF">
        <w:rPr>
          <w:rFonts w:ascii="Calibri" w:hint="eastAsia"/>
          <w:color w:val="auto"/>
          <w:sz w:val="24"/>
          <w:vertAlign w:val="subscript"/>
        </w:rPr>
        <w:t>2</w:t>
      </w:r>
      <w:r w:rsidR="0055605A" w:rsidRPr="00A964FF">
        <w:rPr>
          <w:rFonts w:ascii="Calibri" w:hint="eastAsia"/>
          <w:color w:val="auto"/>
          <w:sz w:val="24"/>
        </w:rPr>
        <w:t>、</w:t>
      </w:r>
      <w:r w:rsidR="005A5569" w:rsidRPr="00A964FF">
        <w:rPr>
          <w:rFonts w:ascii="Calibri" w:hint="eastAsia"/>
          <w:color w:val="auto"/>
          <w:sz w:val="24"/>
        </w:rPr>
        <w:t>NOx</w:t>
      </w:r>
      <w:r w:rsidR="005A5569" w:rsidRPr="00A964FF">
        <w:rPr>
          <w:rFonts w:ascii="Calibri" w:hint="eastAsia"/>
          <w:color w:val="auto"/>
          <w:sz w:val="24"/>
        </w:rPr>
        <w:t>、</w:t>
      </w:r>
      <w:r w:rsidR="0055605A" w:rsidRPr="00A964FF">
        <w:rPr>
          <w:rFonts w:ascii="Calibri" w:hint="eastAsia"/>
          <w:color w:val="auto"/>
          <w:sz w:val="24"/>
        </w:rPr>
        <w:t>CO</w:t>
      </w:r>
      <w:r w:rsidR="008916CF">
        <w:rPr>
          <w:rFonts w:ascii="Calibri" w:hint="eastAsia"/>
          <w:color w:val="auto"/>
          <w:sz w:val="24"/>
        </w:rPr>
        <w:t>、</w:t>
      </w:r>
      <w:r w:rsidR="008916CF">
        <w:rPr>
          <w:rFonts w:ascii="Calibri" w:hint="eastAsia"/>
          <w:color w:val="auto"/>
          <w:sz w:val="24"/>
        </w:rPr>
        <w:t>O</w:t>
      </w:r>
      <w:r w:rsidR="008916CF" w:rsidRPr="008916CF">
        <w:rPr>
          <w:rFonts w:ascii="Calibri" w:hint="eastAsia"/>
          <w:color w:val="auto"/>
          <w:sz w:val="24"/>
          <w:vertAlign w:val="subscript"/>
        </w:rPr>
        <w:t>3</w:t>
      </w:r>
      <w:r w:rsidR="0055605A" w:rsidRPr="00A964FF">
        <w:rPr>
          <w:rFonts w:ascii="Calibri" w:hint="eastAsia"/>
          <w:color w:val="auto"/>
          <w:sz w:val="24"/>
        </w:rPr>
        <w:t>执行《环境空气质量标准》（</w:t>
      </w:r>
      <w:r w:rsidR="0055605A" w:rsidRPr="00A964FF">
        <w:rPr>
          <w:rFonts w:ascii="Calibri" w:hint="eastAsia"/>
          <w:color w:val="auto"/>
          <w:sz w:val="24"/>
        </w:rPr>
        <w:t>GB3095-2012</w:t>
      </w:r>
      <w:r w:rsidR="0055605A" w:rsidRPr="00A964FF">
        <w:rPr>
          <w:rFonts w:ascii="Calibri" w:hint="eastAsia"/>
          <w:color w:val="auto"/>
          <w:sz w:val="24"/>
        </w:rPr>
        <w:t>）中的二级标准；</w:t>
      </w:r>
      <w:r w:rsidR="001824DE">
        <w:rPr>
          <w:rFonts w:ascii="Calibri" w:hint="eastAsia"/>
          <w:color w:val="auto"/>
          <w:sz w:val="24"/>
        </w:rPr>
        <w:t>氨</w:t>
      </w:r>
      <w:r w:rsidR="0031704D">
        <w:rPr>
          <w:rFonts w:ascii="Calibri" w:hint="eastAsia"/>
          <w:color w:val="auto"/>
          <w:sz w:val="24"/>
        </w:rPr>
        <w:t>、</w:t>
      </w:r>
      <w:r w:rsidR="001824DE">
        <w:rPr>
          <w:rFonts w:ascii="Calibri" w:hint="eastAsia"/>
          <w:color w:val="auto"/>
          <w:sz w:val="24"/>
        </w:rPr>
        <w:t>硫化氢</w:t>
      </w:r>
      <w:r w:rsidR="004534B0">
        <w:rPr>
          <w:rFonts w:ascii="Calibri" w:hint="eastAsia"/>
          <w:color w:val="auto"/>
          <w:sz w:val="24"/>
        </w:rPr>
        <w:t>参照</w:t>
      </w:r>
      <w:r w:rsidR="00B04A9B" w:rsidRPr="00B04A9B">
        <w:rPr>
          <w:rFonts w:ascii="Calibri" w:hint="eastAsia"/>
          <w:color w:val="auto"/>
          <w:sz w:val="24"/>
        </w:rPr>
        <w:t>《环境影响评价技术导则</w:t>
      </w:r>
      <w:r w:rsidR="00B04A9B" w:rsidRPr="00B04A9B">
        <w:rPr>
          <w:rFonts w:ascii="Calibri" w:hint="eastAsia"/>
          <w:color w:val="auto"/>
          <w:sz w:val="24"/>
        </w:rPr>
        <w:t>-</w:t>
      </w:r>
      <w:r w:rsidR="00B04A9B" w:rsidRPr="00B04A9B">
        <w:rPr>
          <w:rFonts w:ascii="Calibri" w:hint="eastAsia"/>
          <w:color w:val="auto"/>
          <w:sz w:val="24"/>
        </w:rPr>
        <w:t>大气环境》</w:t>
      </w:r>
      <w:r w:rsidR="001824DE">
        <w:rPr>
          <w:rFonts w:ascii="Calibri" w:hint="eastAsia"/>
          <w:color w:val="auto"/>
          <w:sz w:val="24"/>
        </w:rPr>
        <w:t>HJ 2.2-2018</w:t>
      </w:r>
      <w:r w:rsidR="00B04A9B" w:rsidRPr="00B04A9B">
        <w:rPr>
          <w:rFonts w:ascii="Calibri" w:hint="eastAsia"/>
          <w:color w:val="auto"/>
          <w:sz w:val="24"/>
        </w:rPr>
        <w:t>附录</w:t>
      </w:r>
      <w:r w:rsidR="00B04A9B" w:rsidRPr="00B04A9B">
        <w:rPr>
          <w:rFonts w:ascii="Calibri" w:hint="eastAsia"/>
          <w:color w:val="auto"/>
          <w:sz w:val="24"/>
        </w:rPr>
        <w:t>D</w:t>
      </w:r>
      <w:r w:rsidR="004534B0" w:rsidRPr="00A964FF">
        <w:rPr>
          <w:rFonts w:ascii="Calibri" w:hint="eastAsia"/>
          <w:color w:val="auto"/>
          <w:sz w:val="24"/>
        </w:rPr>
        <w:t>中其他污染物空气质量浓度参考限值；</w:t>
      </w:r>
      <w:r w:rsidR="001824DE" w:rsidRPr="00A964FF">
        <w:rPr>
          <w:rFonts w:ascii="Calibri" w:hint="eastAsia"/>
          <w:color w:val="auto"/>
          <w:sz w:val="24"/>
        </w:rPr>
        <w:t>非甲烷总烃参考《大气污染物综合排放标准详解》；</w:t>
      </w:r>
      <w:r w:rsidR="00834FF9" w:rsidRPr="00A964FF">
        <w:rPr>
          <w:rFonts w:ascii="Calibri" w:hint="eastAsia"/>
          <w:color w:val="auto"/>
          <w:sz w:val="24"/>
        </w:rPr>
        <w:t>其</w:t>
      </w:r>
      <w:r w:rsidR="0055605A" w:rsidRPr="00A964FF">
        <w:rPr>
          <w:rFonts w:ascii="Calibri" w:hint="eastAsia"/>
          <w:color w:val="auto"/>
          <w:sz w:val="24"/>
        </w:rPr>
        <w:t>具体标准限值见表</w:t>
      </w:r>
      <w:r w:rsidR="0055605A" w:rsidRPr="00A964FF">
        <w:rPr>
          <w:rFonts w:ascii="Calibri" w:hint="eastAsia"/>
          <w:color w:val="auto"/>
          <w:sz w:val="24"/>
        </w:rPr>
        <w:t>1</w:t>
      </w:r>
      <w:r w:rsidR="005B7A02" w:rsidRPr="00A964FF">
        <w:rPr>
          <w:rFonts w:ascii="Calibri" w:hint="eastAsia"/>
          <w:color w:val="auto"/>
          <w:sz w:val="24"/>
        </w:rPr>
        <w:t>.</w:t>
      </w:r>
      <w:r w:rsidR="006669D1" w:rsidRPr="00A964FF">
        <w:rPr>
          <w:rFonts w:ascii="Calibri" w:hint="eastAsia"/>
          <w:color w:val="auto"/>
          <w:sz w:val="24"/>
        </w:rPr>
        <w:t>4</w:t>
      </w:r>
      <w:r w:rsidR="0055605A" w:rsidRPr="00A964FF">
        <w:rPr>
          <w:rFonts w:ascii="Calibri" w:hint="eastAsia"/>
          <w:color w:val="auto"/>
          <w:sz w:val="24"/>
        </w:rPr>
        <w:t>-</w:t>
      </w:r>
      <w:r w:rsidR="006669D1" w:rsidRPr="00A964FF">
        <w:rPr>
          <w:rFonts w:ascii="Calibri" w:hint="eastAsia"/>
          <w:color w:val="auto"/>
          <w:sz w:val="24"/>
        </w:rPr>
        <w:t>1</w:t>
      </w:r>
      <w:r w:rsidR="0055605A" w:rsidRPr="00A964FF">
        <w:rPr>
          <w:rFonts w:ascii="Calibri" w:hint="eastAsia"/>
          <w:color w:val="auto"/>
          <w:sz w:val="24"/>
        </w:rPr>
        <w:t>。</w:t>
      </w:r>
    </w:p>
    <w:p w14:paraId="24982CAB" w14:textId="77777777" w:rsidR="005B7A02" w:rsidRPr="00A964FF" w:rsidRDefault="0055605A" w:rsidP="005E3D6B">
      <w:pPr>
        <w:pStyle w:val="00"/>
        <w:ind w:firstLineChars="350" w:firstLine="840"/>
        <w:rPr>
          <w:rFonts w:ascii="Calibri" w:hAnsi="Calibri"/>
          <w:color w:val="auto"/>
          <w:sz w:val="21"/>
          <w:szCs w:val="21"/>
        </w:rPr>
      </w:pPr>
      <w:r w:rsidRPr="00A964FF">
        <w:rPr>
          <w:rFonts w:ascii="Calibri" w:eastAsia="黑体" w:hAnsi="Calibri" w:hint="eastAsia"/>
          <w:color w:val="auto"/>
        </w:rPr>
        <w:t>表</w:t>
      </w:r>
      <w:r w:rsidRPr="00A964FF">
        <w:rPr>
          <w:rFonts w:ascii="Calibri" w:eastAsia="黑体" w:hAnsi="Calibri"/>
          <w:color w:val="auto"/>
        </w:rPr>
        <w:t>1</w:t>
      </w:r>
      <w:r w:rsidR="005B7A02" w:rsidRPr="00A964FF">
        <w:rPr>
          <w:rFonts w:ascii="Calibri" w:eastAsia="黑体" w:hAnsi="Calibri" w:hint="eastAsia"/>
          <w:color w:val="auto"/>
        </w:rPr>
        <w:t>.</w:t>
      </w:r>
      <w:r w:rsidR="006669D1" w:rsidRPr="00A964FF">
        <w:rPr>
          <w:rFonts w:ascii="Calibri" w:eastAsia="黑体" w:hAnsi="Calibri" w:hint="eastAsia"/>
          <w:color w:val="auto"/>
        </w:rPr>
        <w:t>4</w:t>
      </w:r>
      <w:r w:rsidRPr="00A964FF">
        <w:rPr>
          <w:rFonts w:ascii="Calibri" w:eastAsia="黑体" w:hAnsi="Calibri"/>
          <w:color w:val="auto"/>
        </w:rPr>
        <w:t>-</w:t>
      </w:r>
      <w:r w:rsidR="006669D1" w:rsidRPr="00A964FF">
        <w:rPr>
          <w:rFonts w:ascii="Calibri" w:eastAsia="黑体" w:hAnsi="Calibri" w:hint="eastAsia"/>
          <w:color w:val="auto"/>
        </w:rPr>
        <w:t>1</w:t>
      </w:r>
      <w:r w:rsidRPr="00A964FF">
        <w:rPr>
          <w:rFonts w:ascii="Calibri" w:eastAsia="黑体" w:hAnsi="Calibri"/>
          <w:color w:val="auto"/>
        </w:rPr>
        <w:t xml:space="preserve">           </w:t>
      </w:r>
      <w:r w:rsidR="00BC544F" w:rsidRPr="00A964FF">
        <w:rPr>
          <w:rFonts w:ascii="Calibri" w:eastAsia="黑体" w:hAnsi="Calibri" w:hint="eastAsia"/>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环境空气质量标准</w:t>
      </w:r>
    </w:p>
    <w:tbl>
      <w:tblPr>
        <w:tblW w:w="919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526"/>
        <w:gridCol w:w="1559"/>
        <w:gridCol w:w="1276"/>
        <w:gridCol w:w="992"/>
        <w:gridCol w:w="3846"/>
      </w:tblGrid>
      <w:tr w:rsidR="005B7A02" w:rsidRPr="00A964FF" w14:paraId="6B6DD7E8" w14:textId="77777777" w:rsidTr="00D423C2">
        <w:trPr>
          <w:trHeight w:val="340"/>
        </w:trPr>
        <w:tc>
          <w:tcPr>
            <w:tcW w:w="1526" w:type="dxa"/>
            <w:vAlign w:val="center"/>
          </w:tcPr>
          <w:p w14:paraId="7CF66C37" w14:textId="77777777" w:rsidR="005B7A02" w:rsidRPr="00A964FF" w:rsidRDefault="005B7A02" w:rsidP="004320F7">
            <w:pPr>
              <w:jc w:val="center"/>
              <w:rPr>
                <w:rFonts w:ascii="Calibri" w:hAnsi="Calibri"/>
                <w:color w:val="auto"/>
                <w:szCs w:val="21"/>
              </w:rPr>
            </w:pPr>
            <w:r w:rsidRPr="00A964FF">
              <w:rPr>
                <w:rFonts w:ascii="Calibri"/>
                <w:color w:val="auto"/>
                <w:szCs w:val="21"/>
              </w:rPr>
              <w:t>污染物名称</w:t>
            </w:r>
          </w:p>
        </w:tc>
        <w:tc>
          <w:tcPr>
            <w:tcW w:w="1559" w:type="dxa"/>
            <w:vAlign w:val="center"/>
          </w:tcPr>
          <w:p w14:paraId="14A280DB" w14:textId="77777777" w:rsidR="005B7A02" w:rsidRPr="00A964FF" w:rsidRDefault="005B7A02" w:rsidP="004320F7">
            <w:pPr>
              <w:jc w:val="center"/>
              <w:rPr>
                <w:rFonts w:ascii="Calibri" w:hAnsi="Calibri"/>
                <w:color w:val="auto"/>
                <w:szCs w:val="21"/>
              </w:rPr>
            </w:pPr>
            <w:r w:rsidRPr="00A964FF">
              <w:rPr>
                <w:rFonts w:ascii="Calibri"/>
                <w:color w:val="auto"/>
                <w:szCs w:val="21"/>
              </w:rPr>
              <w:t>取值时间</w:t>
            </w:r>
          </w:p>
        </w:tc>
        <w:tc>
          <w:tcPr>
            <w:tcW w:w="1276" w:type="dxa"/>
            <w:vAlign w:val="center"/>
          </w:tcPr>
          <w:p w14:paraId="3936033D" w14:textId="77777777" w:rsidR="005B7A02" w:rsidRPr="00A964FF" w:rsidRDefault="005B7A02" w:rsidP="004320F7">
            <w:pPr>
              <w:jc w:val="center"/>
              <w:rPr>
                <w:rFonts w:ascii="Calibri" w:hAnsi="Calibri"/>
                <w:color w:val="auto"/>
                <w:szCs w:val="21"/>
              </w:rPr>
            </w:pPr>
            <w:r w:rsidRPr="00A964FF">
              <w:rPr>
                <w:rFonts w:ascii="Calibri"/>
                <w:color w:val="auto"/>
                <w:szCs w:val="21"/>
              </w:rPr>
              <w:t>标准限值</w:t>
            </w:r>
          </w:p>
        </w:tc>
        <w:tc>
          <w:tcPr>
            <w:tcW w:w="992" w:type="dxa"/>
            <w:vAlign w:val="center"/>
          </w:tcPr>
          <w:p w14:paraId="6826FF0B" w14:textId="77777777" w:rsidR="005B7A02" w:rsidRPr="00A964FF" w:rsidRDefault="005B7A02" w:rsidP="004320F7">
            <w:pPr>
              <w:jc w:val="center"/>
              <w:rPr>
                <w:rFonts w:ascii="Calibri" w:hAnsi="Calibri"/>
                <w:color w:val="auto"/>
                <w:szCs w:val="21"/>
              </w:rPr>
            </w:pPr>
            <w:r w:rsidRPr="00A964FF">
              <w:rPr>
                <w:rFonts w:ascii="Calibri"/>
                <w:color w:val="auto"/>
                <w:szCs w:val="21"/>
              </w:rPr>
              <w:t>单位</w:t>
            </w:r>
          </w:p>
        </w:tc>
        <w:tc>
          <w:tcPr>
            <w:tcW w:w="3846" w:type="dxa"/>
            <w:vAlign w:val="center"/>
          </w:tcPr>
          <w:p w14:paraId="3B133891" w14:textId="77777777" w:rsidR="005B7A02" w:rsidRPr="00A964FF" w:rsidRDefault="005B7A02" w:rsidP="004320F7">
            <w:pPr>
              <w:jc w:val="center"/>
              <w:rPr>
                <w:rFonts w:ascii="Calibri" w:hAnsi="Calibri"/>
                <w:color w:val="auto"/>
                <w:szCs w:val="21"/>
              </w:rPr>
            </w:pPr>
            <w:r w:rsidRPr="00A964FF">
              <w:rPr>
                <w:rFonts w:ascii="Calibri"/>
                <w:color w:val="auto"/>
                <w:szCs w:val="21"/>
              </w:rPr>
              <w:t>标准来源</w:t>
            </w:r>
          </w:p>
        </w:tc>
      </w:tr>
      <w:tr w:rsidR="00BE3D8D" w:rsidRPr="00A964FF" w14:paraId="4B37881F" w14:textId="77777777" w:rsidTr="00D423C2">
        <w:trPr>
          <w:trHeight w:val="340"/>
        </w:trPr>
        <w:tc>
          <w:tcPr>
            <w:tcW w:w="1526" w:type="dxa"/>
            <w:vMerge w:val="restart"/>
            <w:vAlign w:val="center"/>
          </w:tcPr>
          <w:p w14:paraId="7000D930"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PM</w:t>
            </w:r>
            <w:r w:rsidRPr="00A964FF">
              <w:rPr>
                <w:rFonts w:ascii="Calibri" w:hAnsi="Calibri"/>
                <w:color w:val="auto"/>
                <w:szCs w:val="21"/>
                <w:vertAlign w:val="subscript"/>
              </w:rPr>
              <w:t>10</w:t>
            </w:r>
          </w:p>
        </w:tc>
        <w:tc>
          <w:tcPr>
            <w:tcW w:w="1559" w:type="dxa"/>
            <w:vAlign w:val="center"/>
          </w:tcPr>
          <w:p w14:paraId="6B98F4A8"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65EEB25C"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150</w:t>
            </w:r>
          </w:p>
        </w:tc>
        <w:tc>
          <w:tcPr>
            <w:tcW w:w="992" w:type="dxa"/>
            <w:vMerge w:val="restart"/>
            <w:vAlign w:val="center"/>
          </w:tcPr>
          <w:p w14:paraId="113D71D4"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μg/m³</w:t>
            </w:r>
          </w:p>
        </w:tc>
        <w:tc>
          <w:tcPr>
            <w:tcW w:w="3846" w:type="dxa"/>
            <w:vMerge w:val="restart"/>
            <w:vAlign w:val="center"/>
          </w:tcPr>
          <w:p w14:paraId="7D4495E6" w14:textId="77777777" w:rsidR="00BE3D8D" w:rsidRPr="00A964FF" w:rsidRDefault="00BE3D8D" w:rsidP="004320F7">
            <w:pPr>
              <w:spacing w:line="240" w:lineRule="atLeast"/>
              <w:jc w:val="center"/>
              <w:rPr>
                <w:rFonts w:ascii="Calibri" w:hAnsi="Calibri"/>
                <w:color w:val="auto"/>
                <w:szCs w:val="21"/>
              </w:rPr>
            </w:pPr>
            <w:r w:rsidRPr="00A964FF">
              <w:rPr>
                <w:rFonts w:ascii="Calibri" w:hAnsi="Calibri"/>
                <w:color w:val="auto"/>
              </w:rPr>
              <w:t>《环境空气质量标准》（</w:t>
            </w:r>
            <w:r w:rsidRPr="00A964FF">
              <w:rPr>
                <w:rFonts w:ascii="Calibri" w:hAnsi="Calibri"/>
                <w:color w:val="auto"/>
              </w:rPr>
              <w:t>GB3095-2012</w:t>
            </w:r>
            <w:r w:rsidRPr="00A964FF">
              <w:rPr>
                <w:rFonts w:ascii="Calibri" w:hAnsi="Calibri"/>
                <w:color w:val="auto"/>
              </w:rPr>
              <w:t>）二级标准</w:t>
            </w:r>
            <w:r w:rsidRPr="00A964FF">
              <w:rPr>
                <w:rFonts w:ascii="Calibri" w:hAnsi="Calibri" w:hint="eastAsia"/>
                <w:color w:val="auto"/>
              </w:rPr>
              <w:t>及修改单</w:t>
            </w:r>
          </w:p>
        </w:tc>
      </w:tr>
      <w:tr w:rsidR="00BE3D8D" w:rsidRPr="00A964FF" w14:paraId="319033CF" w14:textId="77777777" w:rsidTr="00D423C2">
        <w:trPr>
          <w:trHeight w:val="340"/>
        </w:trPr>
        <w:tc>
          <w:tcPr>
            <w:tcW w:w="1526" w:type="dxa"/>
            <w:vMerge/>
            <w:vAlign w:val="center"/>
          </w:tcPr>
          <w:p w14:paraId="2C6DF8EF" w14:textId="77777777" w:rsidR="00BE3D8D" w:rsidRPr="00A964FF" w:rsidRDefault="00BE3D8D" w:rsidP="004320F7">
            <w:pPr>
              <w:jc w:val="center"/>
              <w:rPr>
                <w:rFonts w:ascii="Calibri" w:hAnsi="Calibri"/>
                <w:color w:val="auto"/>
                <w:szCs w:val="21"/>
              </w:rPr>
            </w:pPr>
          </w:p>
        </w:tc>
        <w:tc>
          <w:tcPr>
            <w:tcW w:w="1559" w:type="dxa"/>
            <w:vAlign w:val="center"/>
          </w:tcPr>
          <w:p w14:paraId="11F3C357"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4F99A444"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70</w:t>
            </w:r>
          </w:p>
        </w:tc>
        <w:tc>
          <w:tcPr>
            <w:tcW w:w="992" w:type="dxa"/>
            <w:vMerge/>
            <w:vAlign w:val="center"/>
          </w:tcPr>
          <w:p w14:paraId="543F9F5E" w14:textId="77777777" w:rsidR="00BE3D8D" w:rsidRPr="00A964FF" w:rsidRDefault="00BE3D8D" w:rsidP="004320F7">
            <w:pPr>
              <w:jc w:val="center"/>
              <w:rPr>
                <w:rFonts w:ascii="Calibri" w:hAnsi="Calibri"/>
                <w:color w:val="auto"/>
                <w:szCs w:val="21"/>
              </w:rPr>
            </w:pPr>
          </w:p>
        </w:tc>
        <w:tc>
          <w:tcPr>
            <w:tcW w:w="3846" w:type="dxa"/>
            <w:vMerge/>
            <w:vAlign w:val="center"/>
          </w:tcPr>
          <w:p w14:paraId="27D1AABF" w14:textId="77777777" w:rsidR="00BE3D8D" w:rsidRPr="00A964FF" w:rsidRDefault="00BE3D8D" w:rsidP="004320F7">
            <w:pPr>
              <w:spacing w:line="240" w:lineRule="atLeast"/>
              <w:jc w:val="center"/>
              <w:rPr>
                <w:rFonts w:ascii="Calibri" w:hAnsi="Calibri"/>
                <w:color w:val="auto"/>
              </w:rPr>
            </w:pPr>
          </w:p>
        </w:tc>
      </w:tr>
      <w:tr w:rsidR="00BE3D8D" w:rsidRPr="00A964FF" w14:paraId="1723A1A0" w14:textId="77777777" w:rsidTr="00D423C2">
        <w:trPr>
          <w:trHeight w:val="340"/>
        </w:trPr>
        <w:tc>
          <w:tcPr>
            <w:tcW w:w="1526" w:type="dxa"/>
            <w:vMerge w:val="restart"/>
            <w:vAlign w:val="center"/>
          </w:tcPr>
          <w:p w14:paraId="04205E8D"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PM</w:t>
            </w:r>
            <w:r w:rsidRPr="00A964FF">
              <w:rPr>
                <w:rFonts w:ascii="Calibri" w:hAnsi="Calibri" w:hint="eastAsia"/>
                <w:color w:val="auto"/>
                <w:szCs w:val="21"/>
                <w:vertAlign w:val="subscript"/>
              </w:rPr>
              <w:t>2.5</w:t>
            </w:r>
          </w:p>
        </w:tc>
        <w:tc>
          <w:tcPr>
            <w:tcW w:w="1559" w:type="dxa"/>
            <w:vAlign w:val="center"/>
          </w:tcPr>
          <w:p w14:paraId="68D7EC3C"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3E8EAFA9"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75</w:t>
            </w:r>
          </w:p>
        </w:tc>
        <w:tc>
          <w:tcPr>
            <w:tcW w:w="992" w:type="dxa"/>
            <w:vMerge w:val="restart"/>
            <w:vAlign w:val="center"/>
          </w:tcPr>
          <w:p w14:paraId="02F5B586"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μg/m³</w:t>
            </w:r>
          </w:p>
        </w:tc>
        <w:tc>
          <w:tcPr>
            <w:tcW w:w="3846" w:type="dxa"/>
            <w:vMerge/>
            <w:vAlign w:val="center"/>
          </w:tcPr>
          <w:p w14:paraId="274181F7" w14:textId="77777777" w:rsidR="00BE3D8D" w:rsidRPr="00A964FF" w:rsidRDefault="00BE3D8D" w:rsidP="004320F7">
            <w:pPr>
              <w:spacing w:line="240" w:lineRule="atLeast"/>
              <w:jc w:val="center"/>
              <w:rPr>
                <w:rFonts w:ascii="Calibri" w:hAnsi="Calibri"/>
                <w:color w:val="auto"/>
              </w:rPr>
            </w:pPr>
          </w:p>
        </w:tc>
      </w:tr>
      <w:tr w:rsidR="00BE3D8D" w:rsidRPr="00A964FF" w14:paraId="768D1083" w14:textId="77777777" w:rsidTr="00D423C2">
        <w:trPr>
          <w:trHeight w:val="340"/>
        </w:trPr>
        <w:tc>
          <w:tcPr>
            <w:tcW w:w="1526" w:type="dxa"/>
            <w:vMerge/>
            <w:vAlign w:val="center"/>
          </w:tcPr>
          <w:p w14:paraId="4CFC26C7" w14:textId="77777777" w:rsidR="00BE3D8D" w:rsidRPr="00A964FF" w:rsidRDefault="00BE3D8D" w:rsidP="004320F7">
            <w:pPr>
              <w:jc w:val="center"/>
              <w:rPr>
                <w:rFonts w:ascii="Calibri" w:hAnsi="Calibri"/>
                <w:color w:val="auto"/>
                <w:szCs w:val="21"/>
              </w:rPr>
            </w:pPr>
          </w:p>
        </w:tc>
        <w:tc>
          <w:tcPr>
            <w:tcW w:w="1559" w:type="dxa"/>
            <w:vAlign w:val="center"/>
          </w:tcPr>
          <w:p w14:paraId="00688E38"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4624995D"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35</w:t>
            </w:r>
          </w:p>
        </w:tc>
        <w:tc>
          <w:tcPr>
            <w:tcW w:w="992" w:type="dxa"/>
            <w:vMerge/>
            <w:vAlign w:val="center"/>
          </w:tcPr>
          <w:p w14:paraId="051C6646" w14:textId="77777777" w:rsidR="00BE3D8D" w:rsidRPr="00A964FF" w:rsidRDefault="00BE3D8D" w:rsidP="004320F7">
            <w:pPr>
              <w:jc w:val="center"/>
              <w:rPr>
                <w:rFonts w:ascii="Calibri" w:hAnsi="Calibri"/>
                <w:color w:val="auto"/>
                <w:szCs w:val="21"/>
              </w:rPr>
            </w:pPr>
          </w:p>
        </w:tc>
        <w:tc>
          <w:tcPr>
            <w:tcW w:w="3846" w:type="dxa"/>
            <w:vMerge/>
            <w:vAlign w:val="center"/>
          </w:tcPr>
          <w:p w14:paraId="2D8C32FE" w14:textId="77777777" w:rsidR="00BE3D8D" w:rsidRPr="00A964FF" w:rsidRDefault="00BE3D8D" w:rsidP="004320F7">
            <w:pPr>
              <w:spacing w:line="240" w:lineRule="atLeast"/>
              <w:jc w:val="center"/>
              <w:rPr>
                <w:rFonts w:ascii="Calibri" w:hAnsi="Calibri"/>
                <w:color w:val="auto"/>
              </w:rPr>
            </w:pPr>
          </w:p>
        </w:tc>
      </w:tr>
      <w:tr w:rsidR="00BE3D8D" w:rsidRPr="00A964FF" w14:paraId="44ED0A2F" w14:textId="77777777" w:rsidTr="00D423C2">
        <w:trPr>
          <w:trHeight w:val="340"/>
        </w:trPr>
        <w:tc>
          <w:tcPr>
            <w:tcW w:w="1526" w:type="dxa"/>
            <w:vMerge w:val="restart"/>
            <w:vAlign w:val="center"/>
          </w:tcPr>
          <w:p w14:paraId="1CBF746B"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SO</w:t>
            </w:r>
            <w:r w:rsidRPr="00A964FF">
              <w:rPr>
                <w:rFonts w:ascii="Calibri" w:hAnsi="Calibri"/>
                <w:color w:val="auto"/>
                <w:szCs w:val="21"/>
                <w:vertAlign w:val="subscript"/>
              </w:rPr>
              <w:t>2</w:t>
            </w:r>
          </w:p>
        </w:tc>
        <w:tc>
          <w:tcPr>
            <w:tcW w:w="1559" w:type="dxa"/>
            <w:vAlign w:val="center"/>
          </w:tcPr>
          <w:p w14:paraId="77E1E60A"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3042FE2D"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500</w:t>
            </w:r>
          </w:p>
        </w:tc>
        <w:tc>
          <w:tcPr>
            <w:tcW w:w="992" w:type="dxa"/>
            <w:vMerge w:val="restart"/>
            <w:vAlign w:val="center"/>
          </w:tcPr>
          <w:p w14:paraId="151DD799" w14:textId="77777777" w:rsidR="00BE3D8D" w:rsidRPr="00A964FF" w:rsidRDefault="00BE3D8D" w:rsidP="004320F7">
            <w:pPr>
              <w:spacing w:line="240" w:lineRule="atLeast"/>
              <w:jc w:val="center"/>
              <w:rPr>
                <w:rFonts w:ascii="Calibri" w:hAnsi="Calibri"/>
                <w:color w:val="auto"/>
                <w:szCs w:val="21"/>
              </w:rPr>
            </w:pPr>
            <w:r w:rsidRPr="00A964FF">
              <w:rPr>
                <w:rFonts w:ascii="Calibri" w:hAnsi="Calibri"/>
                <w:color w:val="auto"/>
                <w:szCs w:val="21"/>
              </w:rPr>
              <w:t>μg/m³</w:t>
            </w:r>
          </w:p>
        </w:tc>
        <w:tc>
          <w:tcPr>
            <w:tcW w:w="3846" w:type="dxa"/>
            <w:vMerge/>
            <w:vAlign w:val="center"/>
          </w:tcPr>
          <w:p w14:paraId="34E4B47E" w14:textId="77777777" w:rsidR="00BE3D8D" w:rsidRPr="00A964FF" w:rsidRDefault="00BE3D8D" w:rsidP="004320F7">
            <w:pPr>
              <w:spacing w:line="240" w:lineRule="atLeast"/>
              <w:jc w:val="center"/>
              <w:rPr>
                <w:rFonts w:ascii="Calibri" w:hAnsi="Calibri"/>
                <w:color w:val="auto"/>
                <w:szCs w:val="21"/>
              </w:rPr>
            </w:pPr>
          </w:p>
        </w:tc>
      </w:tr>
      <w:tr w:rsidR="00BE3D8D" w:rsidRPr="00A964FF" w14:paraId="7499D62E" w14:textId="77777777" w:rsidTr="00D423C2">
        <w:trPr>
          <w:trHeight w:val="340"/>
        </w:trPr>
        <w:tc>
          <w:tcPr>
            <w:tcW w:w="1526" w:type="dxa"/>
            <w:vMerge/>
            <w:vAlign w:val="center"/>
          </w:tcPr>
          <w:p w14:paraId="54AC80B1" w14:textId="77777777" w:rsidR="00BE3D8D" w:rsidRPr="00A964FF" w:rsidRDefault="00BE3D8D" w:rsidP="004320F7">
            <w:pPr>
              <w:jc w:val="center"/>
              <w:rPr>
                <w:rFonts w:ascii="Calibri" w:hAnsi="Calibri"/>
                <w:color w:val="auto"/>
                <w:szCs w:val="21"/>
              </w:rPr>
            </w:pPr>
          </w:p>
        </w:tc>
        <w:tc>
          <w:tcPr>
            <w:tcW w:w="1559" w:type="dxa"/>
            <w:vAlign w:val="center"/>
          </w:tcPr>
          <w:p w14:paraId="78D1FB69"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2AA6E7AD"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150</w:t>
            </w:r>
          </w:p>
        </w:tc>
        <w:tc>
          <w:tcPr>
            <w:tcW w:w="992" w:type="dxa"/>
            <w:vMerge/>
            <w:vAlign w:val="center"/>
          </w:tcPr>
          <w:p w14:paraId="6012AD7D" w14:textId="77777777" w:rsidR="00BE3D8D" w:rsidRPr="00A964FF" w:rsidRDefault="00BE3D8D" w:rsidP="004320F7">
            <w:pPr>
              <w:spacing w:line="240" w:lineRule="atLeast"/>
              <w:jc w:val="center"/>
              <w:rPr>
                <w:rFonts w:ascii="Calibri" w:hAnsi="Calibri"/>
                <w:color w:val="auto"/>
                <w:szCs w:val="21"/>
              </w:rPr>
            </w:pPr>
          </w:p>
        </w:tc>
        <w:tc>
          <w:tcPr>
            <w:tcW w:w="3846" w:type="dxa"/>
            <w:vMerge/>
            <w:vAlign w:val="center"/>
          </w:tcPr>
          <w:p w14:paraId="479685DA" w14:textId="77777777" w:rsidR="00BE3D8D" w:rsidRPr="00A964FF" w:rsidRDefault="00BE3D8D" w:rsidP="004320F7">
            <w:pPr>
              <w:spacing w:line="240" w:lineRule="atLeast"/>
              <w:jc w:val="center"/>
              <w:rPr>
                <w:rFonts w:ascii="Calibri" w:hAnsi="Calibri"/>
                <w:color w:val="auto"/>
                <w:szCs w:val="21"/>
              </w:rPr>
            </w:pPr>
          </w:p>
        </w:tc>
      </w:tr>
      <w:tr w:rsidR="00BE3D8D" w:rsidRPr="00A964FF" w14:paraId="6196BF6F" w14:textId="77777777" w:rsidTr="00D423C2">
        <w:trPr>
          <w:trHeight w:val="340"/>
        </w:trPr>
        <w:tc>
          <w:tcPr>
            <w:tcW w:w="1526" w:type="dxa"/>
            <w:vMerge/>
            <w:vAlign w:val="center"/>
          </w:tcPr>
          <w:p w14:paraId="4CBAA8AF" w14:textId="77777777" w:rsidR="00BE3D8D" w:rsidRPr="00A964FF" w:rsidRDefault="00BE3D8D" w:rsidP="004320F7">
            <w:pPr>
              <w:jc w:val="center"/>
              <w:rPr>
                <w:rFonts w:ascii="Calibri" w:hAnsi="Calibri"/>
                <w:color w:val="auto"/>
                <w:szCs w:val="21"/>
              </w:rPr>
            </w:pPr>
          </w:p>
        </w:tc>
        <w:tc>
          <w:tcPr>
            <w:tcW w:w="1559" w:type="dxa"/>
            <w:vAlign w:val="center"/>
          </w:tcPr>
          <w:p w14:paraId="2FE612B9"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2869122F"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60</w:t>
            </w:r>
          </w:p>
        </w:tc>
        <w:tc>
          <w:tcPr>
            <w:tcW w:w="992" w:type="dxa"/>
            <w:vMerge/>
            <w:vAlign w:val="center"/>
          </w:tcPr>
          <w:p w14:paraId="61EB59C8" w14:textId="77777777" w:rsidR="00BE3D8D" w:rsidRPr="00A964FF" w:rsidRDefault="00BE3D8D" w:rsidP="004320F7">
            <w:pPr>
              <w:spacing w:line="240" w:lineRule="atLeast"/>
              <w:jc w:val="center"/>
              <w:rPr>
                <w:rFonts w:ascii="Calibri" w:hAnsi="Calibri"/>
                <w:color w:val="auto"/>
                <w:szCs w:val="21"/>
              </w:rPr>
            </w:pPr>
          </w:p>
        </w:tc>
        <w:tc>
          <w:tcPr>
            <w:tcW w:w="3846" w:type="dxa"/>
            <w:vMerge/>
            <w:vAlign w:val="center"/>
          </w:tcPr>
          <w:p w14:paraId="1CE03D27" w14:textId="77777777" w:rsidR="00BE3D8D" w:rsidRPr="00A964FF" w:rsidRDefault="00BE3D8D" w:rsidP="004320F7">
            <w:pPr>
              <w:spacing w:line="240" w:lineRule="atLeast"/>
              <w:jc w:val="center"/>
              <w:rPr>
                <w:rFonts w:ascii="Calibri" w:hAnsi="Calibri"/>
                <w:color w:val="auto"/>
                <w:szCs w:val="21"/>
              </w:rPr>
            </w:pPr>
          </w:p>
        </w:tc>
      </w:tr>
      <w:tr w:rsidR="00BE3D8D" w:rsidRPr="00A964FF" w14:paraId="3B0222CE" w14:textId="77777777" w:rsidTr="00D423C2">
        <w:trPr>
          <w:trHeight w:val="340"/>
        </w:trPr>
        <w:tc>
          <w:tcPr>
            <w:tcW w:w="1526" w:type="dxa"/>
            <w:vMerge w:val="restart"/>
            <w:vAlign w:val="center"/>
          </w:tcPr>
          <w:p w14:paraId="6F3ADCFD" w14:textId="77777777" w:rsidR="00BE3D8D" w:rsidRPr="00A964FF" w:rsidRDefault="00BE3D8D" w:rsidP="004320F7">
            <w:pPr>
              <w:jc w:val="center"/>
              <w:rPr>
                <w:rFonts w:ascii="Calibri" w:hAnsi="Calibri"/>
                <w:color w:val="auto"/>
                <w:szCs w:val="21"/>
              </w:rPr>
            </w:pPr>
            <w:r w:rsidRPr="00A964FF">
              <w:rPr>
                <w:rFonts w:ascii="Calibri" w:hint="eastAsia"/>
                <w:color w:val="auto"/>
                <w:sz w:val="24"/>
              </w:rPr>
              <w:t>NO</w:t>
            </w:r>
            <w:r w:rsidRPr="00A964FF">
              <w:rPr>
                <w:rFonts w:ascii="Calibri" w:hint="eastAsia"/>
                <w:color w:val="auto"/>
                <w:sz w:val="24"/>
                <w:vertAlign w:val="subscript"/>
              </w:rPr>
              <w:t>2</w:t>
            </w:r>
          </w:p>
        </w:tc>
        <w:tc>
          <w:tcPr>
            <w:tcW w:w="1559" w:type="dxa"/>
            <w:vAlign w:val="center"/>
          </w:tcPr>
          <w:p w14:paraId="403CC3AE"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762BC818"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200</w:t>
            </w:r>
          </w:p>
        </w:tc>
        <w:tc>
          <w:tcPr>
            <w:tcW w:w="992" w:type="dxa"/>
            <w:vMerge w:val="restart"/>
            <w:vAlign w:val="center"/>
          </w:tcPr>
          <w:p w14:paraId="08A8316A" w14:textId="77777777" w:rsidR="00BE3D8D" w:rsidRPr="00A964FF" w:rsidRDefault="00BE3D8D" w:rsidP="004320F7">
            <w:pPr>
              <w:spacing w:line="240" w:lineRule="atLeast"/>
              <w:jc w:val="center"/>
              <w:rPr>
                <w:rFonts w:ascii="Calibri" w:hAnsi="Calibri"/>
                <w:color w:val="auto"/>
                <w:szCs w:val="21"/>
              </w:rPr>
            </w:pPr>
            <w:r w:rsidRPr="00A964FF">
              <w:rPr>
                <w:rFonts w:ascii="Calibri" w:hAnsi="Calibri"/>
                <w:color w:val="auto"/>
                <w:szCs w:val="21"/>
              </w:rPr>
              <w:t>μg/m³</w:t>
            </w:r>
          </w:p>
        </w:tc>
        <w:tc>
          <w:tcPr>
            <w:tcW w:w="3846" w:type="dxa"/>
            <w:vMerge/>
            <w:vAlign w:val="center"/>
          </w:tcPr>
          <w:p w14:paraId="377C6A2D" w14:textId="77777777" w:rsidR="00BE3D8D" w:rsidRPr="00A964FF" w:rsidRDefault="00BE3D8D" w:rsidP="004320F7">
            <w:pPr>
              <w:spacing w:line="240" w:lineRule="atLeast"/>
              <w:jc w:val="center"/>
              <w:rPr>
                <w:rFonts w:ascii="Calibri" w:hAnsi="Calibri"/>
                <w:color w:val="auto"/>
                <w:szCs w:val="21"/>
              </w:rPr>
            </w:pPr>
          </w:p>
        </w:tc>
      </w:tr>
      <w:tr w:rsidR="00BE3D8D" w:rsidRPr="00A964FF" w14:paraId="4996A883" w14:textId="77777777" w:rsidTr="00D423C2">
        <w:trPr>
          <w:trHeight w:val="340"/>
        </w:trPr>
        <w:tc>
          <w:tcPr>
            <w:tcW w:w="1526" w:type="dxa"/>
            <w:vMerge/>
            <w:vAlign w:val="center"/>
          </w:tcPr>
          <w:p w14:paraId="5BFE063C" w14:textId="77777777" w:rsidR="00BE3D8D" w:rsidRPr="00A964FF" w:rsidRDefault="00BE3D8D" w:rsidP="004320F7">
            <w:pPr>
              <w:jc w:val="center"/>
              <w:rPr>
                <w:rFonts w:ascii="Calibri" w:hAnsi="Calibri"/>
                <w:color w:val="auto"/>
                <w:szCs w:val="21"/>
              </w:rPr>
            </w:pPr>
          </w:p>
        </w:tc>
        <w:tc>
          <w:tcPr>
            <w:tcW w:w="1559" w:type="dxa"/>
            <w:vAlign w:val="center"/>
          </w:tcPr>
          <w:p w14:paraId="3B421DFD"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728545DA"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80</w:t>
            </w:r>
          </w:p>
        </w:tc>
        <w:tc>
          <w:tcPr>
            <w:tcW w:w="992" w:type="dxa"/>
            <w:vMerge/>
            <w:vAlign w:val="center"/>
          </w:tcPr>
          <w:p w14:paraId="7DD5BF51" w14:textId="77777777" w:rsidR="00BE3D8D" w:rsidRPr="00A964FF" w:rsidRDefault="00BE3D8D" w:rsidP="004320F7">
            <w:pPr>
              <w:spacing w:line="240" w:lineRule="atLeast"/>
              <w:jc w:val="center"/>
              <w:rPr>
                <w:rFonts w:ascii="Calibri" w:hAnsi="Calibri"/>
                <w:color w:val="auto"/>
                <w:szCs w:val="21"/>
              </w:rPr>
            </w:pPr>
          </w:p>
        </w:tc>
        <w:tc>
          <w:tcPr>
            <w:tcW w:w="3846" w:type="dxa"/>
            <w:vMerge/>
            <w:vAlign w:val="center"/>
          </w:tcPr>
          <w:p w14:paraId="0C1981D6" w14:textId="77777777" w:rsidR="00BE3D8D" w:rsidRPr="00A964FF" w:rsidRDefault="00BE3D8D" w:rsidP="004320F7">
            <w:pPr>
              <w:spacing w:line="240" w:lineRule="atLeast"/>
              <w:jc w:val="center"/>
              <w:rPr>
                <w:rFonts w:ascii="Calibri" w:hAnsi="Calibri"/>
                <w:color w:val="auto"/>
                <w:szCs w:val="21"/>
              </w:rPr>
            </w:pPr>
          </w:p>
        </w:tc>
      </w:tr>
      <w:tr w:rsidR="00BE3D8D" w:rsidRPr="00A964FF" w14:paraId="093D6CB1" w14:textId="77777777" w:rsidTr="00D423C2">
        <w:trPr>
          <w:trHeight w:val="340"/>
        </w:trPr>
        <w:tc>
          <w:tcPr>
            <w:tcW w:w="1526" w:type="dxa"/>
            <w:vMerge/>
            <w:vAlign w:val="center"/>
          </w:tcPr>
          <w:p w14:paraId="33CB8527" w14:textId="77777777" w:rsidR="00BE3D8D" w:rsidRPr="00A964FF" w:rsidRDefault="00BE3D8D" w:rsidP="004320F7">
            <w:pPr>
              <w:jc w:val="center"/>
              <w:rPr>
                <w:rFonts w:ascii="Calibri" w:hAnsi="Calibri"/>
                <w:color w:val="auto"/>
                <w:szCs w:val="21"/>
              </w:rPr>
            </w:pPr>
          </w:p>
        </w:tc>
        <w:tc>
          <w:tcPr>
            <w:tcW w:w="1559" w:type="dxa"/>
            <w:vAlign w:val="center"/>
          </w:tcPr>
          <w:p w14:paraId="21C001A9"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5E0C77BA"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40</w:t>
            </w:r>
          </w:p>
        </w:tc>
        <w:tc>
          <w:tcPr>
            <w:tcW w:w="992" w:type="dxa"/>
            <w:vMerge/>
            <w:vAlign w:val="center"/>
          </w:tcPr>
          <w:p w14:paraId="1F59F16A" w14:textId="77777777" w:rsidR="00BE3D8D" w:rsidRPr="00A964FF" w:rsidRDefault="00BE3D8D" w:rsidP="004320F7">
            <w:pPr>
              <w:spacing w:line="240" w:lineRule="atLeast"/>
              <w:jc w:val="center"/>
              <w:rPr>
                <w:rFonts w:ascii="Calibri" w:hAnsi="Calibri"/>
                <w:color w:val="auto"/>
                <w:szCs w:val="21"/>
              </w:rPr>
            </w:pPr>
          </w:p>
        </w:tc>
        <w:tc>
          <w:tcPr>
            <w:tcW w:w="3846" w:type="dxa"/>
            <w:vMerge/>
            <w:vAlign w:val="center"/>
          </w:tcPr>
          <w:p w14:paraId="588F36FD" w14:textId="77777777" w:rsidR="00BE3D8D" w:rsidRPr="00A964FF" w:rsidRDefault="00BE3D8D" w:rsidP="004320F7">
            <w:pPr>
              <w:spacing w:line="240" w:lineRule="atLeast"/>
              <w:jc w:val="center"/>
              <w:rPr>
                <w:rFonts w:ascii="Calibri" w:hAnsi="Calibri"/>
                <w:color w:val="auto"/>
                <w:szCs w:val="21"/>
              </w:rPr>
            </w:pPr>
          </w:p>
        </w:tc>
      </w:tr>
      <w:tr w:rsidR="00BE3D8D" w:rsidRPr="00A964FF" w14:paraId="4962DE33" w14:textId="77777777" w:rsidTr="00D423C2">
        <w:trPr>
          <w:trHeight w:val="340"/>
        </w:trPr>
        <w:tc>
          <w:tcPr>
            <w:tcW w:w="1526" w:type="dxa"/>
            <w:vMerge w:val="restart"/>
            <w:vAlign w:val="center"/>
          </w:tcPr>
          <w:p w14:paraId="147F818B"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NO</w:t>
            </w:r>
            <w:r w:rsidRPr="00A964FF">
              <w:rPr>
                <w:rFonts w:ascii="Calibri" w:hAnsi="Calibri" w:hint="eastAsia"/>
                <w:color w:val="auto"/>
                <w:szCs w:val="21"/>
              </w:rPr>
              <w:t>x</w:t>
            </w:r>
          </w:p>
        </w:tc>
        <w:tc>
          <w:tcPr>
            <w:tcW w:w="1559" w:type="dxa"/>
            <w:vAlign w:val="center"/>
          </w:tcPr>
          <w:p w14:paraId="7A9970A8"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6B83E1F4"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250</w:t>
            </w:r>
          </w:p>
        </w:tc>
        <w:tc>
          <w:tcPr>
            <w:tcW w:w="992" w:type="dxa"/>
            <w:vMerge w:val="restart"/>
            <w:vAlign w:val="center"/>
          </w:tcPr>
          <w:p w14:paraId="3D803079"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μg/m³</w:t>
            </w:r>
          </w:p>
        </w:tc>
        <w:tc>
          <w:tcPr>
            <w:tcW w:w="3846" w:type="dxa"/>
            <w:vMerge/>
            <w:vAlign w:val="center"/>
          </w:tcPr>
          <w:p w14:paraId="79D05BE8" w14:textId="77777777" w:rsidR="00BE3D8D" w:rsidRPr="00A964FF" w:rsidRDefault="00BE3D8D" w:rsidP="004320F7">
            <w:pPr>
              <w:spacing w:line="240" w:lineRule="atLeast"/>
              <w:jc w:val="center"/>
              <w:rPr>
                <w:rFonts w:ascii="Calibri" w:hAnsi="Calibri"/>
                <w:color w:val="auto"/>
                <w:szCs w:val="21"/>
              </w:rPr>
            </w:pPr>
          </w:p>
        </w:tc>
      </w:tr>
      <w:tr w:rsidR="00BE3D8D" w:rsidRPr="00A964FF" w14:paraId="29B6EBAA" w14:textId="77777777" w:rsidTr="00D423C2">
        <w:trPr>
          <w:trHeight w:val="340"/>
        </w:trPr>
        <w:tc>
          <w:tcPr>
            <w:tcW w:w="1526" w:type="dxa"/>
            <w:vMerge/>
            <w:vAlign w:val="center"/>
          </w:tcPr>
          <w:p w14:paraId="70F31B5F" w14:textId="77777777" w:rsidR="00BE3D8D" w:rsidRPr="00A964FF" w:rsidRDefault="00BE3D8D" w:rsidP="004320F7">
            <w:pPr>
              <w:jc w:val="center"/>
              <w:rPr>
                <w:rFonts w:ascii="Calibri" w:hAnsi="Calibri"/>
                <w:color w:val="auto"/>
                <w:szCs w:val="21"/>
              </w:rPr>
            </w:pPr>
          </w:p>
        </w:tc>
        <w:tc>
          <w:tcPr>
            <w:tcW w:w="1559" w:type="dxa"/>
            <w:vAlign w:val="center"/>
          </w:tcPr>
          <w:p w14:paraId="396E0B57"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4DB5DDF3"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100</w:t>
            </w:r>
          </w:p>
        </w:tc>
        <w:tc>
          <w:tcPr>
            <w:tcW w:w="992" w:type="dxa"/>
            <w:vMerge/>
            <w:vAlign w:val="center"/>
          </w:tcPr>
          <w:p w14:paraId="551088D8" w14:textId="77777777" w:rsidR="00BE3D8D" w:rsidRPr="00A964FF" w:rsidRDefault="00BE3D8D" w:rsidP="004320F7">
            <w:pPr>
              <w:jc w:val="center"/>
              <w:rPr>
                <w:rFonts w:ascii="Calibri" w:hAnsi="Calibri"/>
                <w:color w:val="auto"/>
                <w:szCs w:val="21"/>
              </w:rPr>
            </w:pPr>
          </w:p>
        </w:tc>
        <w:tc>
          <w:tcPr>
            <w:tcW w:w="3846" w:type="dxa"/>
            <w:vMerge/>
            <w:vAlign w:val="center"/>
          </w:tcPr>
          <w:p w14:paraId="765EB0F0" w14:textId="77777777" w:rsidR="00BE3D8D" w:rsidRPr="00A964FF" w:rsidRDefault="00BE3D8D" w:rsidP="004320F7">
            <w:pPr>
              <w:spacing w:line="240" w:lineRule="atLeast"/>
              <w:jc w:val="center"/>
              <w:rPr>
                <w:rFonts w:ascii="Calibri" w:hAnsi="Calibri"/>
                <w:color w:val="auto"/>
                <w:szCs w:val="21"/>
              </w:rPr>
            </w:pPr>
          </w:p>
        </w:tc>
      </w:tr>
      <w:tr w:rsidR="00BE3D8D" w:rsidRPr="00A964FF" w14:paraId="2943A9D1" w14:textId="77777777" w:rsidTr="00D423C2">
        <w:trPr>
          <w:trHeight w:val="340"/>
        </w:trPr>
        <w:tc>
          <w:tcPr>
            <w:tcW w:w="1526" w:type="dxa"/>
            <w:vMerge/>
            <w:vAlign w:val="center"/>
          </w:tcPr>
          <w:p w14:paraId="697B91A0" w14:textId="77777777" w:rsidR="00BE3D8D" w:rsidRPr="00A964FF" w:rsidRDefault="00BE3D8D" w:rsidP="004320F7">
            <w:pPr>
              <w:jc w:val="center"/>
              <w:rPr>
                <w:rFonts w:ascii="Calibri" w:hAnsi="Calibri"/>
                <w:color w:val="auto"/>
                <w:szCs w:val="21"/>
              </w:rPr>
            </w:pPr>
          </w:p>
        </w:tc>
        <w:tc>
          <w:tcPr>
            <w:tcW w:w="1559" w:type="dxa"/>
            <w:vAlign w:val="center"/>
          </w:tcPr>
          <w:p w14:paraId="448EA228"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2EEFBC1D"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50</w:t>
            </w:r>
          </w:p>
        </w:tc>
        <w:tc>
          <w:tcPr>
            <w:tcW w:w="992" w:type="dxa"/>
            <w:vMerge/>
            <w:vAlign w:val="center"/>
          </w:tcPr>
          <w:p w14:paraId="3E10675F" w14:textId="77777777" w:rsidR="00BE3D8D" w:rsidRPr="00A964FF" w:rsidRDefault="00BE3D8D" w:rsidP="004320F7">
            <w:pPr>
              <w:jc w:val="center"/>
              <w:rPr>
                <w:rFonts w:ascii="Calibri" w:hAnsi="Calibri"/>
                <w:color w:val="auto"/>
                <w:szCs w:val="21"/>
              </w:rPr>
            </w:pPr>
          </w:p>
        </w:tc>
        <w:tc>
          <w:tcPr>
            <w:tcW w:w="3846" w:type="dxa"/>
            <w:vMerge/>
            <w:vAlign w:val="center"/>
          </w:tcPr>
          <w:p w14:paraId="165A8241" w14:textId="77777777" w:rsidR="00BE3D8D" w:rsidRPr="00A964FF" w:rsidRDefault="00BE3D8D" w:rsidP="004320F7">
            <w:pPr>
              <w:spacing w:line="240" w:lineRule="atLeast"/>
              <w:jc w:val="center"/>
              <w:rPr>
                <w:rFonts w:ascii="Calibri" w:hAnsi="Calibri"/>
                <w:color w:val="auto"/>
                <w:szCs w:val="21"/>
              </w:rPr>
            </w:pPr>
          </w:p>
        </w:tc>
      </w:tr>
      <w:tr w:rsidR="00BE3D8D" w:rsidRPr="00A964FF" w14:paraId="274A14C2" w14:textId="77777777" w:rsidTr="00D423C2">
        <w:trPr>
          <w:trHeight w:val="340"/>
        </w:trPr>
        <w:tc>
          <w:tcPr>
            <w:tcW w:w="1526" w:type="dxa"/>
            <w:vMerge w:val="restart"/>
            <w:vAlign w:val="center"/>
          </w:tcPr>
          <w:p w14:paraId="23D6853A" w14:textId="77777777" w:rsidR="00BE3D8D" w:rsidRPr="00A964FF" w:rsidRDefault="00BE3D8D" w:rsidP="004320F7">
            <w:pPr>
              <w:jc w:val="center"/>
              <w:rPr>
                <w:rFonts w:ascii="Calibri" w:hAnsi="Calibri"/>
                <w:caps/>
                <w:color w:val="auto"/>
                <w:szCs w:val="21"/>
              </w:rPr>
            </w:pPr>
            <w:r>
              <w:rPr>
                <w:rFonts w:ascii="Calibri" w:hAnsi="Calibri" w:hint="eastAsia"/>
                <w:caps/>
                <w:color w:val="auto"/>
                <w:szCs w:val="21"/>
              </w:rPr>
              <w:t>O</w:t>
            </w:r>
            <w:r w:rsidRPr="004534B0">
              <w:rPr>
                <w:rFonts w:ascii="Calibri" w:hAnsi="Calibri" w:hint="eastAsia"/>
                <w:caps/>
                <w:color w:val="auto"/>
                <w:szCs w:val="21"/>
                <w:vertAlign w:val="subscript"/>
              </w:rPr>
              <w:t>3</w:t>
            </w:r>
          </w:p>
        </w:tc>
        <w:tc>
          <w:tcPr>
            <w:tcW w:w="1559" w:type="dxa"/>
            <w:vAlign w:val="center"/>
          </w:tcPr>
          <w:p w14:paraId="77C1D4CA"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620D379A" w14:textId="77777777" w:rsidR="00BE3D8D" w:rsidRPr="00A964FF" w:rsidRDefault="00BE3D8D" w:rsidP="004320F7">
            <w:pPr>
              <w:jc w:val="center"/>
              <w:rPr>
                <w:rFonts w:ascii="Calibri" w:hAnsi="Calibri"/>
                <w:color w:val="auto"/>
                <w:szCs w:val="21"/>
              </w:rPr>
            </w:pPr>
            <w:r>
              <w:rPr>
                <w:rFonts w:ascii="Calibri" w:hAnsi="Calibri" w:hint="eastAsia"/>
                <w:color w:val="auto"/>
                <w:szCs w:val="21"/>
              </w:rPr>
              <w:t>200</w:t>
            </w:r>
          </w:p>
        </w:tc>
        <w:tc>
          <w:tcPr>
            <w:tcW w:w="992" w:type="dxa"/>
            <w:vMerge w:val="restart"/>
            <w:vAlign w:val="center"/>
          </w:tcPr>
          <w:p w14:paraId="301AF047"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μg/m³</w:t>
            </w:r>
          </w:p>
        </w:tc>
        <w:tc>
          <w:tcPr>
            <w:tcW w:w="3846" w:type="dxa"/>
            <w:vMerge/>
            <w:vAlign w:val="center"/>
          </w:tcPr>
          <w:p w14:paraId="1480ABC3" w14:textId="77777777" w:rsidR="00BE3D8D" w:rsidRPr="00A964FF" w:rsidRDefault="00BE3D8D" w:rsidP="004320F7">
            <w:pPr>
              <w:spacing w:line="240" w:lineRule="atLeast"/>
              <w:jc w:val="center"/>
              <w:rPr>
                <w:rFonts w:ascii="Calibri" w:hAnsi="Calibri"/>
                <w:color w:val="auto"/>
                <w:szCs w:val="21"/>
              </w:rPr>
            </w:pPr>
          </w:p>
        </w:tc>
      </w:tr>
      <w:tr w:rsidR="00BE3D8D" w:rsidRPr="00A964FF" w14:paraId="2C8B869E" w14:textId="77777777" w:rsidTr="00D423C2">
        <w:trPr>
          <w:trHeight w:val="340"/>
        </w:trPr>
        <w:tc>
          <w:tcPr>
            <w:tcW w:w="1526" w:type="dxa"/>
            <w:vMerge/>
            <w:vAlign w:val="center"/>
          </w:tcPr>
          <w:p w14:paraId="600B23CD" w14:textId="77777777" w:rsidR="00BE3D8D" w:rsidRPr="00A964FF" w:rsidRDefault="00BE3D8D" w:rsidP="004320F7">
            <w:pPr>
              <w:jc w:val="center"/>
              <w:rPr>
                <w:rFonts w:ascii="Calibri" w:hAnsi="Calibri"/>
                <w:caps/>
                <w:color w:val="auto"/>
                <w:szCs w:val="21"/>
              </w:rPr>
            </w:pPr>
          </w:p>
        </w:tc>
        <w:tc>
          <w:tcPr>
            <w:tcW w:w="1559" w:type="dxa"/>
            <w:vAlign w:val="center"/>
          </w:tcPr>
          <w:p w14:paraId="26695AB2" w14:textId="77777777" w:rsidR="00BE3D8D" w:rsidRPr="00A964FF" w:rsidRDefault="00BE3D8D" w:rsidP="004320F7">
            <w:pPr>
              <w:jc w:val="center"/>
              <w:rPr>
                <w:rFonts w:ascii="Calibri" w:hAnsi="Calibri"/>
                <w:color w:val="auto"/>
                <w:szCs w:val="21"/>
              </w:rPr>
            </w:pPr>
            <w:r>
              <w:rPr>
                <w:rFonts w:ascii="Calibri" w:hAnsi="Calibri" w:hint="eastAsia"/>
                <w:color w:val="auto"/>
                <w:szCs w:val="21"/>
              </w:rPr>
              <w:t>日最大</w:t>
            </w:r>
            <w:r>
              <w:rPr>
                <w:rFonts w:ascii="Calibri" w:hAnsi="Calibri" w:hint="eastAsia"/>
                <w:color w:val="auto"/>
                <w:szCs w:val="21"/>
              </w:rPr>
              <w:t>8</w:t>
            </w:r>
            <w:r>
              <w:rPr>
                <w:rFonts w:ascii="Calibri" w:hAnsi="Calibri" w:hint="eastAsia"/>
                <w:color w:val="auto"/>
                <w:szCs w:val="21"/>
              </w:rPr>
              <w:t>小时</w:t>
            </w:r>
          </w:p>
        </w:tc>
        <w:tc>
          <w:tcPr>
            <w:tcW w:w="1276" w:type="dxa"/>
            <w:vAlign w:val="center"/>
          </w:tcPr>
          <w:p w14:paraId="32C935BB" w14:textId="77777777" w:rsidR="00BE3D8D" w:rsidRPr="00A964FF" w:rsidRDefault="00BE3D8D" w:rsidP="004320F7">
            <w:pPr>
              <w:jc w:val="center"/>
              <w:rPr>
                <w:rFonts w:ascii="Calibri" w:hAnsi="Calibri"/>
                <w:color w:val="auto"/>
                <w:szCs w:val="21"/>
              </w:rPr>
            </w:pPr>
            <w:r>
              <w:rPr>
                <w:rFonts w:ascii="Calibri" w:hAnsi="Calibri" w:hint="eastAsia"/>
                <w:color w:val="auto"/>
                <w:szCs w:val="21"/>
              </w:rPr>
              <w:t>160</w:t>
            </w:r>
          </w:p>
        </w:tc>
        <w:tc>
          <w:tcPr>
            <w:tcW w:w="992" w:type="dxa"/>
            <w:vMerge/>
            <w:vAlign w:val="center"/>
          </w:tcPr>
          <w:p w14:paraId="6C1F2351" w14:textId="77777777" w:rsidR="00BE3D8D" w:rsidRPr="00A964FF" w:rsidRDefault="00BE3D8D" w:rsidP="004320F7">
            <w:pPr>
              <w:jc w:val="center"/>
              <w:rPr>
                <w:rFonts w:ascii="Calibri" w:hAnsi="Calibri"/>
                <w:color w:val="auto"/>
                <w:szCs w:val="21"/>
              </w:rPr>
            </w:pPr>
          </w:p>
        </w:tc>
        <w:tc>
          <w:tcPr>
            <w:tcW w:w="3846" w:type="dxa"/>
            <w:vMerge/>
            <w:vAlign w:val="center"/>
          </w:tcPr>
          <w:p w14:paraId="019AD935" w14:textId="77777777" w:rsidR="00BE3D8D" w:rsidRPr="00A964FF" w:rsidRDefault="00BE3D8D" w:rsidP="004320F7">
            <w:pPr>
              <w:spacing w:line="240" w:lineRule="atLeast"/>
              <w:jc w:val="center"/>
              <w:rPr>
                <w:rFonts w:ascii="Calibri" w:hAnsi="Calibri"/>
                <w:color w:val="auto"/>
                <w:szCs w:val="21"/>
              </w:rPr>
            </w:pPr>
          </w:p>
        </w:tc>
      </w:tr>
      <w:tr w:rsidR="00BE3D8D" w:rsidRPr="00A964FF" w14:paraId="0AD59186" w14:textId="77777777" w:rsidTr="00D423C2">
        <w:trPr>
          <w:trHeight w:val="340"/>
        </w:trPr>
        <w:tc>
          <w:tcPr>
            <w:tcW w:w="1526" w:type="dxa"/>
            <w:vMerge w:val="restart"/>
            <w:vAlign w:val="center"/>
          </w:tcPr>
          <w:p w14:paraId="7FB8365C" w14:textId="77777777" w:rsidR="00BE3D8D" w:rsidRPr="00A964FF" w:rsidRDefault="00BE3D8D" w:rsidP="004320F7">
            <w:pPr>
              <w:jc w:val="center"/>
              <w:rPr>
                <w:rFonts w:ascii="Calibri" w:hAnsi="Calibri"/>
                <w:caps/>
                <w:color w:val="auto"/>
                <w:szCs w:val="21"/>
              </w:rPr>
            </w:pPr>
            <w:r w:rsidRPr="00A964FF">
              <w:rPr>
                <w:rFonts w:ascii="Calibri" w:hAnsi="Calibri" w:hint="eastAsia"/>
                <w:caps/>
                <w:color w:val="auto"/>
                <w:szCs w:val="21"/>
              </w:rPr>
              <w:t>CO</w:t>
            </w:r>
          </w:p>
        </w:tc>
        <w:tc>
          <w:tcPr>
            <w:tcW w:w="1559" w:type="dxa"/>
            <w:vAlign w:val="center"/>
          </w:tcPr>
          <w:p w14:paraId="590A6064"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7E20D363"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10</w:t>
            </w:r>
          </w:p>
        </w:tc>
        <w:tc>
          <w:tcPr>
            <w:tcW w:w="992" w:type="dxa"/>
            <w:vMerge w:val="restart"/>
            <w:vAlign w:val="center"/>
          </w:tcPr>
          <w:p w14:paraId="4C5A6EDB"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m</w:t>
            </w:r>
            <w:r w:rsidRPr="00A964FF">
              <w:rPr>
                <w:rFonts w:ascii="Calibri" w:hAnsi="Calibri"/>
                <w:color w:val="auto"/>
                <w:szCs w:val="21"/>
              </w:rPr>
              <w:t>g/m³</w:t>
            </w:r>
          </w:p>
        </w:tc>
        <w:tc>
          <w:tcPr>
            <w:tcW w:w="3846" w:type="dxa"/>
            <w:vMerge/>
            <w:vAlign w:val="center"/>
          </w:tcPr>
          <w:p w14:paraId="445BA4FF" w14:textId="77777777" w:rsidR="00BE3D8D" w:rsidRPr="00A964FF" w:rsidRDefault="00BE3D8D" w:rsidP="004320F7">
            <w:pPr>
              <w:spacing w:line="240" w:lineRule="atLeast"/>
              <w:jc w:val="center"/>
              <w:rPr>
                <w:rFonts w:ascii="Calibri" w:hAnsi="Calibri"/>
                <w:color w:val="auto"/>
                <w:szCs w:val="21"/>
              </w:rPr>
            </w:pPr>
          </w:p>
        </w:tc>
      </w:tr>
      <w:tr w:rsidR="00BE3D8D" w:rsidRPr="00A964FF" w14:paraId="583910D2" w14:textId="77777777" w:rsidTr="00D423C2">
        <w:trPr>
          <w:trHeight w:val="340"/>
        </w:trPr>
        <w:tc>
          <w:tcPr>
            <w:tcW w:w="1526" w:type="dxa"/>
            <w:vMerge/>
            <w:vAlign w:val="center"/>
          </w:tcPr>
          <w:p w14:paraId="3E3C6EB6" w14:textId="77777777" w:rsidR="00BE3D8D" w:rsidRPr="00A964FF" w:rsidRDefault="00BE3D8D" w:rsidP="004320F7">
            <w:pPr>
              <w:jc w:val="center"/>
              <w:rPr>
                <w:rFonts w:ascii="Calibri" w:hAnsi="Calibri"/>
                <w:color w:val="auto"/>
                <w:szCs w:val="21"/>
              </w:rPr>
            </w:pPr>
          </w:p>
        </w:tc>
        <w:tc>
          <w:tcPr>
            <w:tcW w:w="1559" w:type="dxa"/>
            <w:vAlign w:val="center"/>
          </w:tcPr>
          <w:p w14:paraId="2F701C54" w14:textId="77777777" w:rsidR="00BE3D8D" w:rsidRPr="00A964FF" w:rsidRDefault="00BE3D8D" w:rsidP="004320F7">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7AFB7EAE" w14:textId="77777777" w:rsidR="00BE3D8D" w:rsidRPr="00A964FF" w:rsidRDefault="00BE3D8D" w:rsidP="004320F7">
            <w:pPr>
              <w:jc w:val="center"/>
              <w:rPr>
                <w:rFonts w:ascii="Calibri" w:hAnsi="Calibri"/>
                <w:color w:val="auto"/>
                <w:szCs w:val="21"/>
              </w:rPr>
            </w:pPr>
            <w:r w:rsidRPr="00A964FF">
              <w:rPr>
                <w:rFonts w:ascii="Calibri" w:hAnsi="Calibri" w:hint="eastAsia"/>
                <w:color w:val="auto"/>
                <w:szCs w:val="21"/>
              </w:rPr>
              <w:t>4</w:t>
            </w:r>
          </w:p>
        </w:tc>
        <w:tc>
          <w:tcPr>
            <w:tcW w:w="992" w:type="dxa"/>
            <w:vMerge/>
            <w:vAlign w:val="center"/>
          </w:tcPr>
          <w:p w14:paraId="1D37D3F2" w14:textId="77777777" w:rsidR="00BE3D8D" w:rsidRPr="00A964FF" w:rsidRDefault="00BE3D8D" w:rsidP="004320F7">
            <w:pPr>
              <w:jc w:val="center"/>
              <w:rPr>
                <w:rFonts w:ascii="Calibri" w:hAnsi="Calibri"/>
                <w:color w:val="auto"/>
                <w:szCs w:val="21"/>
              </w:rPr>
            </w:pPr>
          </w:p>
        </w:tc>
        <w:tc>
          <w:tcPr>
            <w:tcW w:w="3846" w:type="dxa"/>
            <w:vMerge/>
            <w:vAlign w:val="center"/>
          </w:tcPr>
          <w:p w14:paraId="01CAB2C6" w14:textId="77777777" w:rsidR="00BE3D8D" w:rsidRPr="00A964FF" w:rsidRDefault="00BE3D8D" w:rsidP="004320F7">
            <w:pPr>
              <w:spacing w:line="240" w:lineRule="atLeast"/>
              <w:jc w:val="center"/>
              <w:rPr>
                <w:rFonts w:ascii="Calibri" w:hAnsi="Calibri"/>
                <w:color w:val="auto"/>
                <w:szCs w:val="21"/>
              </w:rPr>
            </w:pPr>
          </w:p>
        </w:tc>
      </w:tr>
      <w:tr w:rsidR="00772EFD" w:rsidRPr="00A964FF" w14:paraId="6FFA08F9" w14:textId="77777777" w:rsidTr="00D423C2">
        <w:trPr>
          <w:trHeight w:val="340"/>
        </w:trPr>
        <w:tc>
          <w:tcPr>
            <w:tcW w:w="1526" w:type="dxa"/>
            <w:vAlign w:val="center"/>
          </w:tcPr>
          <w:p w14:paraId="20473FA8" w14:textId="77777777" w:rsidR="00772EFD" w:rsidRPr="00A71F50" w:rsidRDefault="00772EFD" w:rsidP="001824DE">
            <w:pPr>
              <w:jc w:val="center"/>
              <w:rPr>
                <w:rFonts w:ascii="Calibri" w:hAnsi="Calibri"/>
                <w:caps/>
                <w:color w:val="auto"/>
                <w:szCs w:val="21"/>
              </w:rPr>
            </w:pPr>
            <w:r w:rsidRPr="00A71F50">
              <w:rPr>
                <w:rFonts w:ascii="Calibri" w:hAnsi="Calibri" w:hint="eastAsia"/>
                <w:caps/>
                <w:color w:val="auto"/>
                <w:szCs w:val="21"/>
              </w:rPr>
              <w:t>氨</w:t>
            </w:r>
          </w:p>
        </w:tc>
        <w:tc>
          <w:tcPr>
            <w:tcW w:w="1559" w:type="dxa"/>
            <w:vAlign w:val="center"/>
          </w:tcPr>
          <w:p w14:paraId="6861C1B5" w14:textId="77777777" w:rsidR="00772EFD" w:rsidRPr="00A71F50" w:rsidRDefault="00772EFD" w:rsidP="001824DE">
            <w:pPr>
              <w:jc w:val="center"/>
              <w:rPr>
                <w:rFonts w:ascii="Calibri" w:hAnsi="Calibri"/>
                <w:color w:val="auto"/>
                <w:szCs w:val="21"/>
              </w:rPr>
            </w:pPr>
            <w:r w:rsidRPr="00A71F50">
              <w:rPr>
                <w:rFonts w:ascii="Calibri" w:hAnsi="Calibri"/>
                <w:color w:val="auto"/>
                <w:szCs w:val="21"/>
              </w:rPr>
              <w:t>1</w:t>
            </w:r>
            <w:r w:rsidRPr="00A71F50">
              <w:rPr>
                <w:rFonts w:ascii="Calibri" w:hAnsi="Calibri"/>
                <w:color w:val="auto"/>
                <w:szCs w:val="21"/>
              </w:rPr>
              <w:t>小时平均</w:t>
            </w:r>
          </w:p>
        </w:tc>
        <w:tc>
          <w:tcPr>
            <w:tcW w:w="1276" w:type="dxa"/>
            <w:vAlign w:val="center"/>
          </w:tcPr>
          <w:p w14:paraId="09512702" w14:textId="77777777" w:rsidR="00772EFD" w:rsidRPr="00A71F50" w:rsidRDefault="00772EFD" w:rsidP="001824DE">
            <w:pPr>
              <w:jc w:val="center"/>
              <w:rPr>
                <w:rFonts w:ascii="Calibri" w:hAnsi="Calibri"/>
                <w:color w:val="auto"/>
                <w:szCs w:val="21"/>
              </w:rPr>
            </w:pPr>
            <w:r w:rsidRPr="00A71F50">
              <w:rPr>
                <w:rFonts w:ascii="Calibri" w:hAnsi="Calibri" w:hint="eastAsia"/>
                <w:color w:val="auto"/>
                <w:szCs w:val="21"/>
              </w:rPr>
              <w:t>200</w:t>
            </w:r>
          </w:p>
        </w:tc>
        <w:tc>
          <w:tcPr>
            <w:tcW w:w="992" w:type="dxa"/>
            <w:vAlign w:val="center"/>
          </w:tcPr>
          <w:p w14:paraId="09521A92" w14:textId="77777777" w:rsidR="00772EFD" w:rsidRPr="00A71F50" w:rsidRDefault="00772EFD" w:rsidP="001824DE">
            <w:pPr>
              <w:spacing w:line="240" w:lineRule="atLeast"/>
              <w:jc w:val="center"/>
              <w:rPr>
                <w:rFonts w:ascii="Calibri" w:hAnsi="Calibri"/>
                <w:color w:val="auto"/>
                <w:szCs w:val="21"/>
              </w:rPr>
            </w:pPr>
            <w:r w:rsidRPr="00A71F50">
              <w:rPr>
                <w:rFonts w:ascii="Calibri" w:hAnsi="Calibri"/>
                <w:color w:val="auto"/>
                <w:szCs w:val="21"/>
              </w:rPr>
              <w:t>μg/m³</w:t>
            </w:r>
          </w:p>
        </w:tc>
        <w:tc>
          <w:tcPr>
            <w:tcW w:w="3846" w:type="dxa"/>
            <w:vMerge w:val="restart"/>
            <w:vAlign w:val="center"/>
          </w:tcPr>
          <w:p w14:paraId="2DD21846" w14:textId="77777777" w:rsidR="00772EFD" w:rsidRPr="00225E52" w:rsidRDefault="00772EFD" w:rsidP="001824DE">
            <w:pPr>
              <w:spacing w:line="240" w:lineRule="atLeast"/>
              <w:jc w:val="center"/>
              <w:rPr>
                <w:rFonts w:ascii="Calibri"/>
                <w:color w:val="auto"/>
              </w:rPr>
            </w:pPr>
            <w:r w:rsidRPr="001824DE">
              <w:rPr>
                <w:rFonts w:ascii="Calibri" w:hint="eastAsia"/>
                <w:color w:val="auto"/>
              </w:rPr>
              <w:t>参考《环境影响评价技术导则</w:t>
            </w:r>
            <w:r w:rsidRPr="001824DE">
              <w:rPr>
                <w:rFonts w:ascii="Calibri" w:hint="eastAsia"/>
                <w:color w:val="auto"/>
              </w:rPr>
              <w:t xml:space="preserve"> </w:t>
            </w:r>
            <w:r w:rsidRPr="001824DE">
              <w:rPr>
                <w:rFonts w:ascii="Calibri" w:hint="eastAsia"/>
                <w:color w:val="auto"/>
              </w:rPr>
              <w:t>大气环境》（</w:t>
            </w:r>
            <w:r w:rsidRPr="001824DE">
              <w:rPr>
                <w:rFonts w:ascii="Calibri" w:hint="eastAsia"/>
                <w:color w:val="auto"/>
              </w:rPr>
              <w:t>HJ2.2-2018</w:t>
            </w:r>
            <w:r w:rsidRPr="001824DE">
              <w:rPr>
                <w:rFonts w:ascii="Calibri" w:hint="eastAsia"/>
                <w:color w:val="auto"/>
              </w:rPr>
              <w:t>）附录</w:t>
            </w:r>
            <w:r w:rsidRPr="001824DE">
              <w:rPr>
                <w:rFonts w:ascii="Calibri" w:hint="eastAsia"/>
                <w:color w:val="auto"/>
              </w:rPr>
              <w:t>D</w:t>
            </w:r>
          </w:p>
        </w:tc>
      </w:tr>
      <w:tr w:rsidR="00772EFD" w:rsidRPr="00A964FF" w14:paraId="397F0B88" w14:textId="77777777" w:rsidTr="00D423C2">
        <w:trPr>
          <w:trHeight w:val="340"/>
        </w:trPr>
        <w:tc>
          <w:tcPr>
            <w:tcW w:w="1526" w:type="dxa"/>
            <w:vAlign w:val="center"/>
          </w:tcPr>
          <w:p w14:paraId="6637269A" w14:textId="77777777" w:rsidR="00772EFD" w:rsidRPr="00A71F50" w:rsidRDefault="00772EFD" w:rsidP="001824DE">
            <w:pPr>
              <w:jc w:val="center"/>
              <w:rPr>
                <w:rFonts w:ascii="Calibri" w:hAnsi="Calibri"/>
                <w:color w:val="auto"/>
                <w:szCs w:val="21"/>
              </w:rPr>
            </w:pPr>
            <w:r w:rsidRPr="00A71F50">
              <w:rPr>
                <w:rFonts w:ascii="Calibri"/>
                <w:color w:val="auto"/>
                <w:szCs w:val="21"/>
              </w:rPr>
              <w:t>硫化氢</w:t>
            </w:r>
          </w:p>
        </w:tc>
        <w:tc>
          <w:tcPr>
            <w:tcW w:w="1559" w:type="dxa"/>
            <w:vAlign w:val="center"/>
          </w:tcPr>
          <w:p w14:paraId="6CD0BC62" w14:textId="77777777" w:rsidR="00772EFD" w:rsidRPr="00A71F50" w:rsidRDefault="00772EFD" w:rsidP="001824DE">
            <w:pPr>
              <w:jc w:val="center"/>
              <w:rPr>
                <w:rFonts w:ascii="Calibri" w:hAnsi="Calibri"/>
                <w:color w:val="auto"/>
                <w:szCs w:val="21"/>
              </w:rPr>
            </w:pPr>
            <w:r w:rsidRPr="00A71F50">
              <w:rPr>
                <w:rFonts w:ascii="Calibri" w:hAnsi="Calibri"/>
                <w:color w:val="auto"/>
                <w:szCs w:val="21"/>
              </w:rPr>
              <w:t>1</w:t>
            </w:r>
            <w:r w:rsidRPr="00A71F50">
              <w:rPr>
                <w:rFonts w:ascii="Calibri" w:hAnsi="Calibri"/>
                <w:color w:val="auto"/>
                <w:szCs w:val="21"/>
              </w:rPr>
              <w:t>小时平均</w:t>
            </w:r>
          </w:p>
        </w:tc>
        <w:tc>
          <w:tcPr>
            <w:tcW w:w="1276" w:type="dxa"/>
            <w:vAlign w:val="center"/>
          </w:tcPr>
          <w:p w14:paraId="1ED7DEA9" w14:textId="77777777" w:rsidR="00772EFD" w:rsidRPr="00A71F50" w:rsidRDefault="00772EFD" w:rsidP="001824DE">
            <w:pPr>
              <w:jc w:val="center"/>
              <w:rPr>
                <w:rFonts w:ascii="Calibri" w:hAnsi="Calibri"/>
                <w:color w:val="auto"/>
                <w:szCs w:val="21"/>
              </w:rPr>
            </w:pPr>
            <w:r w:rsidRPr="00A71F50">
              <w:rPr>
                <w:rFonts w:ascii="Calibri" w:hAnsi="Calibri" w:hint="eastAsia"/>
                <w:color w:val="auto"/>
                <w:szCs w:val="21"/>
              </w:rPr>
              <w:t>10</w:t>
            </w:r>
          </w:p>
        </w:tc>
        <w:tc>
          <w:tcPr>
            <w:tcW w:w="992" w:type="dxa"/>
            <w:vAlign w:val="center"/>
          </w:tcPr>
          <w:p w14:paraId="5A85B1F7" w14:textId="77777777" w:rsidR="00772EFD" w:rsidRPr="00A71F50" w:rsidRDefault="00772EFD" w:rsidP="001824DE">
            <w:pPr>
              <w:jc w:val="center"/>
              <w:rPr>
                <w:rFonts w:ascii="Calibri" w:hAnsi="Calibri"/>
                <w:color w:val="auto"/>
                <w:szCs w:val="21"/>
              </w:rPr>
            </w:pPr>
            <w:r w:rsidRPr="00A71F50">
              <w:rPr>
                <w:rFonts w:ascii="Calibri" w:hAnsi="Calibri"/>
                <w:color w:val="auto"/>
                <w:szCs w:val="21"/>
              </w:rPr>
              <w:t>μg/m³</w:t>
            </w:r>
          </w:p>
        </w:tc>
        <w:tc>
          <w:tcPr>
            <w:tcW w:w="3846" w:type="dxa"/>
            <w:vMerge/>
            <w:vAlign w:val="center"/>
          </w:tcPr>
          <w:p w14:paraId="56092FE3" w14:textId="77777777" w:rsidR="00772EFD" w:rsidRPr="00225E52" w:rsidRDefault="00772EFD" w:rsidP="001824DE">
            <w:pPr>
              <w:spacing w:line="240" w:lineRule="atLeast"/>
              <w:jc w:val="center"/>
              <w:rPr>
                <w:rFonts w:ascii="Calibri"/>
                <w:color w:val="auto"/>
              </w:rPr>
            </w:pPr>
          </w:p>
        </w:tc>
      </w:tr>
      <w:tr w:rsidR="009034DA" w:rsidRPr="00A964FF" w14:paraId="392CAEEC" w14:textId="77777777" w:rsidTr="00D423C2">
        <w:trPr>
          <w:trHeight w:val="340"/>
        </w:trPr>
        <w:tc>
          <w:tcPr>
            <w:tcW w:w="1526" w:type="dxa"/>
            <w:vAlign w:val="center"/>
          </w:tcPr>
          <w:p w14:paraId="59EA21BE" w14:textId="77777777" w:rsidR="009034DA" w:rsidRPr="00237271" w:rsidRDefault="009034DA" w:rsidP="004320F7">
            <w:pPr>
              <w:jc w:val="center"/>
              <w:rPr>
                <w:rFonts w:ascii="Calibri"/>
                <w:color w:val="auto"/>
                <w:szCs w:val="21"/>
              </w:rPr>
            </w:pPr>
            <w:r w:rsidRPr="00A964FF">
              <w:rPr>
                <w:rFonts w:ascii="Calibri"/>
                <w:color w:val="auto"/>
                <w:szCs w:val="21"/>
              </w:rPr>
              <w:t>非甲烷总烃</w:t>
            </w:r>
          </w:p>
        </w:tc>
        <w:tc>
          <w:tcPr>
            <w:tcW w:w="1559" w:type="dxa"/>
            <w:vAlign w:val="center"/>
          </w:tcPr>
          <w:p w14:paraId="061D5EDA" w14:textId="77777777" w:rsidR="009034DA" w:rsidRPr="00A964FF" w:rsidRDefault="009034DA" w:rsidP="004320F7">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2FCC8918" w14:textId="77777777" w:rsidR="009034DA" w:rsidRPr="00A964FF" w:rsidRDefault="009034DA" w:rsidP="004320F7">
            <w:pPr>
              <w:jc w:val="center"/>
              <w:rPr>
                <w:rFonts w:ascii="Calibri" w:hAnsi="Calibri"/>
                <w:color w:val="auto"/>
                <w:szCs w:val="21"/>
              </w:rPr>
            </w:pPr>
            <w:r w:rsidRPr="00A964FF">
              <w:rPr>
                <w:rFonts w:ascii="Calibri" w:hAnsi="Calibri" w:hint="eastAsia"/>
                <w:color w:val="auto"/>
                <w:szCs w:val="21"/>
              </w:rPr>
              <w:t>2000</w:t>
            </w:r>
          </w:p>
        </w:tc>
        <w:tc>
          <w:tcPr>
            <w:tcW w:w="992" w:type="dxa"/>
            <w:vAlign w:val="center"/>
          </w:tcPr>
          <w:p w14:paraId="54B42486" w14:textId="77777777" w:rsidR="009034DA" w:rsidRPr="00A964FF" w:rsidRDefault="009034DA" w:rsidP="004320F7">
            <w:pPr>
              <w:spacing w:line="240" w:lineRule="atLeast"/>
              <w:jc w:val="center"/>
              <w:rPr>
                <w:rFonts w:ascii="Calibri" w:hAnsi="Calibri"/>
                <w:color w:val="auto"/>
                <w:szCs w:val="21"/>
              </w:rPr>
            </w:pPr>
            <w:r w:rsidRPr="00A964FF">
              <w:rPr>
                <w:rFonts w:ascii="Calibri" w:hAnsi="Calibri"/>
                <w:color w:val="auto"/>
                <w:szCs w:val="21"/>
              </w:rPr>
              <w:t>μg/m³</w:t>
            </w:r>
          </w:p>
        </w:tc>
        <w:tc>
          <w:tcPr>
            <w:tcW w:w="3846" w:type="dxa"/>
            <w:vAlign w:val="center"/>
          </w:tcPr>
          <w:p w14:paraId="1DEA1B79" w14:textId="77777777" w:rsidR="009034DA" w:rsidRPr="00A964FF" w:rsidRDefault="009034DA" w:rsidP="004320F7">
            <w:pPr>
              <w:spacing w:line="240" w:lineRule="atLeast"/>
              <w:jc w:val="center"/>
              <w:rPr>
                <w:rFonts w:ascii="Calibri" w:hAnsi="Calibri"/>
                <w:color w:val="auto"/>
              </w:rPr>
            </w:pPr>
            <w:r w:rsidRPr="00A964FF">
              <w:rPr>
                <w:rFonts w:ascii="Calibri"/>
                <w:color w:val="auto"/>
              </w:rPr>
              <w:t>参考《大气污染物综合排放标准详解》</w:t>
            </w:r>
          </w:p>
        </w:tc>
      </w:tr>
    </w:tbl>
    <w:p w14:paraId="023F75E5" w14:textId="77777777" w:rsidR="0055605A" w:rsidRPr="00A964FF" w:rsidRDefault="0055605A" w:rsidP="00435100">
      <w:pPr>
        <w:pStyle w:val="00"/>
        <w:ind w:firstLineChars="199" w:firstLine="479"/>
        <w:rPr>
          <w:rFonts w:ascii="Calibri"/>
          <w:b/>
          <w:color w:val="auto"/>
        </w:rPr>
      </w:pPr>
      <w:r w:rsidRPr="00A964FF">
        <w:rPr>
          <w:rFonts w:ascii="Calibri" w:hint="eastAsia"/>
          <w:b/>
          <w:color w:val="auto"/>
        </w:rPr>
        <w:lastRenderedPageBreak/>
        <w:t>2</w:t>
      </w:r>
      <w:r w:rsidRPr="00A964FF">
        <w:rPr>
          <w:rFonts w:ascii="Calibri" w:hint="eastAsia"/>
          <w:b/>
          <w:color w:val="auto"/>
        </w:rPr>
        <w:t>、地表水环境</w:t>
      </w:r>
    </w:p>
    <w:p w14:paraId="579A83B8" w14:textId="77777777" w:rsidR="006E4A45" w:rsidRPr="005C4969" w:rsidRDefault="0055605A" w:rsidP="00F53EDD">
      <w:pPr>
        <w:spacing w:line="520" w:lineRule="exact"/>
        <w:ind w:firstLineChars="200" w:firstLine="480"/>
        <w:rPr>
          <w:rFonts w:ascii="Calibri" w:hAnsi="Calibri"/>
          <w:color w:val="auto"/>
          <w:sz w:val="24"/>
        </w:rPr>
      </w:pPr>
      <w:r w:rsidRPr="00A964FF">
        <w:rPr>
          <w:rFonts w:ascii="Calibri" w:hAnsi="Calibri" w:hint="eastAsia"/>
          <w:color w:val="auto"/>
          <w:sz w:val="24"/>
        </w:rPr>
        <w:t>本项目</w:t>
      </w:r>
      <w:r w:rsidR="00B87028" w:rsidRPr="00A964FF">
        <w:rPr>
          <w:rFonts w:ascii="Calibri" w:hAnsi="Calibri" w:hint="eastAsia"/>
          <w:color w:val="auto"/>
          <w:sz w:val="24"/>
        </w:rPr>
        <w:t>废水经厂区自建废水处理站预处理达标后排入集聚区市政污水管网，进入集聚区污水处理厂集中处理，最终排入关庙沟。关庙沟为灰河支流，灰河为沙河支流。本</w:t>
      </w:r>
      <w:r w:rsidRPr="00A964FF">
        <w:rPr>
          <w:rFonts w:ascii="Calibri" w:hAnsi="Calibri" w:hint="eastAsia"/>
          <w:color w:val="auto"/>
          <w:sz w:val="24"/>
        </w:rPr>
        <w:t>区域</w:t>
      </w:r>
      <w:r w:rsidR="00CD4191" w:rsidRPr="00A964FF">
        <w:rPr>
          <w:rFonts w:ascii="Calibri" w:hAnsi="Calibri" w:hint="eastAsia"/>
          <w:color w:val="auto"/>
          <w:sz w:val="24"/>
        </w:rPr>
        <w:t>地表水体沙河执行《地表水环境质量标准》（</w:t>
      </w:r>
      <w:r w:rsidR="00CD4191" w:rsidRPr="00A964FF">
        <w:rPr>
          <w:rFonts w:ascii="Calibri" w:hAnsi="Calibri" w:hint="eastAsia"/>
          <w:color w:val="auto"/>
          <w:sz w:val="24"/>
        </w:rPr>
        <w:t>GB3838-2002</w:t>
      </w:r>
      <w:r w:rsidR="00CD4191" w:rsidRPr="00A964FF">
        <w:rPr>
          <w:rFonts w:ascii="Calibri" w:hAnsi="Calibri" w:hint="eastAsia"/>
          <w:color w:val="auto"/>
          <w:sz w:val="24"/>
        </w:rPr>
        <w:t>）</w:t>
      </w:r>
      <w:r w:rsidR="00CD4191" w:rsidRPr="00A964FF">
        <w:rPr>
          <w:rFonts w:ascii="Calibri" w:hAnsi="Calibri" w:hint="eastAsia"/>
          <w:color w:val="auto"/>
          <w:sz w:val="24"/>
        </w:rPr>
        <w:t>III</w:t>
      </w:r>
      <w:r w:rsidR="00CD4191" w:rsidRPr="00A964FF">
        <w:rPr>
          <w:rFonts w:ascii="Calibri" w:hAnsi="Calibri" w:hint="eastAsia"/>
          <w:color w:val="auto"/>
          <w:sz w:val="24"/>
        </w:rPr>
        <w:t>类标准；灰河</w:t>
      </w:r>
      <w:r w:rsidRPr="00A964FF">
        <w:rPr>
          <w:rFonts w:ascii="Calibri" w:hAnsi="Calibri" w:hint="eastAsia"/>
          <w:color w:val="auto"/>
          <w:sz w:val="24"/>
        </w:rPr>
        <w:t>执行</w:t>
      </w:r>
      <w:r w:rsidR="00FF2C46" w:rsidRPr="00A964FF">
        <w:rPr>
          <w:rFonts w:ascii="Calibri" w:hAnsi="Calibri" w:hint="eastAsia"/>
          <w:color w:val="auto"/>
          <w:sz w:val="24"/>
        </w:rPr>
        <w:t>《</w:t>
      </w:r>
      <w:r w:rsidRPr="00A964FF">
        <w:rPr>
          <w:rFonts w:ascii="Calibri" w:hAnsi="Calibri" w:hint="eastAsia"/>
          <w:color w:val="auto"/>
          <w:sz w:val="24"/>
        </w:rPr>
        <w:t>地表水环境质量标准》（</w:t>
      </w:r>
      <w:r w:rsidRPr="00A964FF">
        <w:rPr>
          <w:rFonts w:ascii="Calibri" w:hAnsi="Calibri" w:hint="eastAsia"/>
          <w:color w:val="auto"/>
          <w:sz w:val="24"/>
        </w:rPr>
        <w:t>GB3838-2002</w:t>
      </w:r>
      <w:r w:rsidRPr="00A964FF">
        <w:rPr>
          <w:rFonts w:ascii="Calibri" w:hAnsi="Calibri" w:hint="eastAsia"/>
          <w:color w:val="auto"/>
          <w:sz w:val="24"/>
        </w:rPr>
        <w:t>）</w:t>
      </w:r>
      <w:r w:rsidR="00D4370C" w:rsidRPr="00A964FF">
        <w:rPr>
          <w:rFonts w:ascii="Calibri" w:hAnsi="Calibri" w:hint="eastAsia"/>
          <w:color w:val="auto"/>
          <w:sz w:val="24"/>
        </w:rPr>
        <w:t>IV</w:t>
      </w:r>
      <w:r w:rsidR="00FF2C46" w:rsidRPr="00A964FF">
        <w:rPr>
          <w:rFonts w:ascii="Calibri" w:hAnsi="Calibri" w:hint="eastAsia"/>
          <w:color w:val="auto"/>
          <w:sz w:val="24"/>
        </w:rPr>
        <w:t>类标准，</w:t>
      </w:r>
      <w:r w:rsidRPr="00A964FF">
        <w:rPr>
          <w:rFonts w:ascii="Calibri" w:hAnsi="Calibri" w:hint="eastAsia"/>
          <w:color w:val="auto"/>
          <w:sz w:val="24"/>
        </w:rPr>
        <w:t>具体限值见表</w:t>
      </w:r>
      <w:r w:rsidRPr="00A964FF">
        <w:rPr>
          <w:rFonts w:ascii="Calibri" w:hAnsi="Calibri" w:hint="eastAsia"/>
          <w:color w:val="auto"/>
          <w:sz w:val="24"/>
        </w:rPr>
        <w:t>1</w:t>
      </w:r>
      <w:r w:rsidR="007C0E29" w:rsidRPr="00A964FF">
        <w:rPr>
          <w:rFonts w:ascii="Calibri" w:hAnsi="Calibri" w:hint="eastAsia"/>
          <w:color w:val="auto"/>
          <w:sz w:val="24"/>
        </w:rPr>
        <w:t>.</w:t>
      </w:r>
      <w:r w:rsidR="006669D1" w:rsidRPr="00A964FF">
        <w:rPr>
          <w:rFonts w:ascii="Calibri" w:hAnsi="Calibri" w:hint="eastAsia"/>
          <w:color w:val="auto"/>
          <w:sz w:val="24"/>
        </w:rPr>
        <w:t>4</w:t>
      </w:r>
      <w:r w:rsidRPr="00A964FF">
        <w:rPr>
          <w:rFonts w:ascii="Calibri" w:hAnsi="Calibri" w:hint="eastAsia"/>
          <w:color w:val="auto"/>
          <w:sz w:val="24"/>
        </w:rPr>
        <w:t>-</w:t>
      </w:r>
      <w:r w:rsidR="006669D1" w:rsidRPr="00A964FF">
        <w:rPr>
          <w:rFonts w:ascii="Calibri" w:hAnsi="Calibri" w:hint="eastAsia"/>
          <w:color w:val="auto"/>
          <w:sz w:val="24"/>
        </w:rPr>
        <w:t>2</w:t>
      </w:r>
      <w:r w:rsidRPr="00A964FF">
        <w:rPr>
          <w:rFonts w:ascii="Calibri" w:hAnsi="Calibri" w:hint="eastAsia"/>
          <w:color w:val="auto"/>
          <w:sz w:val="24"/>
        </w:rPr>
        <w:t>。</w:t>
      </w:r>
    </w:p>
    <w:p w14:paraId="5DBC0628" w14:textId="77777777" w:rsidR="0055605A" w:rsidRPr="00A964FF" w:rsidRDefault="0055605A" w:rsidP="000E33B8">
      <w:pPr>
        <w:spacing w:line="520" w:lineRule="exact"/>
        <w:ind w:firstLineChars="200" w:firstLine="480"/>
        <w:rPr>
          <w:rFonts w:ascii="Calibri" w:hAnsi="Calibri"/>
          <w:color w:val="auto"/>
          <w:sz w:val="24"/>
        </w:rPr>
      </w:pPr>
      <w:r w:rsidRPr="00A964FF">
        <w:rPr>
          <w:rFonts w:ascii="Calibri" w:eastAsia="黑体" w:hAnsi="Calibri"/>
          <w:color w:val="auto"/>
          <w:sz w:val="24"/>
        </w:rPr>
        <w:t>表</w:t>
      </w:r>
      <w:r w:rsidRPr="00A964FF">
        <w:rPr>
          <w:rFonts w:ascii="Calibri" w:eastAsia="黑体" w:hAnsi="Calibri"/>
          <w:color w:val="auto"/>
          <w:sz w:val="24"/>
        </w:rPr>
        <w:t>1</w:t>
      </w:r>
      <w:r w:rsidR="007C0E29" w:rsidRPr="00A964FF">
        <w:rPr>
          <w:rFonts w:ascii="Calibri" w:eastAsia="黑体" w:hAnsi="Calibri" w:hint="eastAsia"/>
          <w:color w:val="auto"/>
          <w:sz w:val="24"/>
        </w:rPr>
        <w:t>.</w:t>
      </w:r>
      <w:r w:rsidR="006669D1" w:rsidRPr="00A964FF">
        <w:rPr>
          <w:rFonts w:ascii="Calibri" w:eastAsia="黑体" w:hAnsi="Calibri" w:hint="eastAsia"/>
          <w:color w:val="auto"/>
          <w:sz w:val="24"/>
        </w:rPr>
        <w:t>4</w:t>
      </w:r>
      <w:r w:rsidRPr="00A964FF">
        <w:rPr>
          <w:rFonts w:ascii="Calibri" w:eastAsia="黑体" w:hAnsi="Calibri"/>
          <w:color w:val="auto"/>
          <w:sz w:val="24"/>
        </w:rPr>
        <w:t>-</w:t>
      </w:r>
      <w:r w:rsidR="006669D1" w:rsidRPr="00A964FF">
        <w:rPr>
          <w:rFonts w:ascii="Calibri" w:eastAsia="黑体" w:hAnsi="Calibri" w:hint="eastAsia"/>
          <w:color w:val="auto"/>
          <w:sz w:val="24"/>
        </w:rPr>
        <w:t>2</w:t>
      </w:r>
      <w:r w:rsidR="007D28F3" w:rsidRPr="00A964FF">
        <w:rPr>
          <w:rFonts w:ascii="黑体" w:eastAsia="黑体" w:hAnsi="Calibri" w:hint="eastAsia"/>
          <w:color w:val="auto"/>
          <w:sz w:val="24"/>
        </w:rPr>
        <w:t xml:space="preserve">             </w:t>
      </w:r>
      <w:r w:rsidRPr="00A964FF">
        <w:rPr>
          <w:rFonts w:ascii="黑体" w:eastAsia="黑体" w:hAnsi="Calibri" w:hint="eastAsia"/>
          <w:color w:val="auto"/>
          <w:sz w:val="24"/>
        </w:rPr>
        <w:t xml:space="preserve">   地表水环境质量标准     </w:t>
      </w:r>
      <w:r w:rsidR="007D28F3" w:rsidRPr="00A964FF">
        <w:rPr>
          <w:rFonts w:ascii="黑体" w:eastAsia="黑体" w:hint="eastAsia"/>
          <w:color w:val="auto"/>
        </w:rPr>
        <w:t xml:space="preserve">        </w:t>
      </w:r>
      <w:r w:rsidRPr="00A964FF">
        <w:rPr>
          <w:rFonts w:ascii="黑体" w:eastAsia="黑体" w:hint="eastAsia"/>
          <w:color w:val="auto"/>
        </w:rPr>
        <w:t xml:space="preserve">   </w:t>
      </w:r>
      <w:r w:rsidRPr="00A964FF">
        <w:rPr>
          <w:rFonts w:ascii="Calibri" w:eastAsia="黑体" w:hAnsi="Calibri"/>
          <w:color w:val="auto"/>
        </w:rPr>
        <w:t xml:space="preserve"> </w:t>
      </w:r>
      <w:r w:rsidRPr="00A964FF">
        <w:rPr>
          <w:rFonts w:ascii="Calibri" w:hAnsi="Calibri"/>
          <w:color w:val="auto"/>
          <w:szCs w:val="21"/>
        </w:rPr>
        <w:t>单位：</w:t>
      </w:r>
      <w:r w:rsidR="00CC55BB" w:rsidRPr="00A964FF">
        <w:rPr>
          <w:rFonts w:ascii="Calibri" w:hAnsi="Calibri"/>
          <w:color w:val="auto"/>
          <w:szCs w:val="21"/>
        </w:rPr>
        <w:t>mg/L</w:t>
      </w:r>
    </w:p>
    <w:tbl>
      <w:tblPr>
        <w:tblW w:w="86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737"/>
        <w:gridCol w:w="2823"/>
        <w:gridCol w:w="3062"/>
      </w:tblGrid>
      <w:tr w:rsidR="0055605A" w:rsidRPr="00A964FF" w14:paraId="50EEAAFF" w14:textId="77777777" w:rsidTr="005A5569">
        <w:trPr>
          <w:trHeight w:val="312"/>
          <w:jc w:val="center"/>
        </w:trPr>
        <w:tc>
          <w:tcPr>
            <w:tcW w:w="2737" w:type="dxa"/>
            <w:vAlign w:val="center"/>
          </w:tcPr>
          <w:p w14:paraId="114514FC"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color w:val="auto"/>
                <w:szCs w:val="21"/>
              </w:rPr>
              <w:t>项目</w:t>
            </w:r>
          </w:p>
        </w:tc>
        <w:tc>
          <w:tcPr>
            <w:tcW w:w="2823" w:type="dxa"/>
            <w:vAlign w:val="center"/>
          </w:tcPr>
          <w:p w14:paraId="2242C2F8" w14:textId="77777777" w:rsidR="0055605A" w:rsidRPr="00A964FF" w:rsidRDefault="00D4370C" w:rsidP="00CD4191">
            <w:pPr>
              <w:spacing w:line="240" w:lineRule="exact"/>
              <w:jc w:val="center"/>
              <w:rPr>
                <w:rFonts w:ascii="Calibri" w:hAnsi="Calibri"/>
                <w:color w:val="auto"/>
                <w:szCs w:val="21"/>
              </w:rPr>
            </w:pPr>
            <w:r w:rsidRPr="00A964FF">
              <w:rPr>
                <w:rFonts w:ascii="Calibri" w:hAnsi="Calibri" w:hint="eastAsia"/>
                <w:color w:val="auto"/>
                <w:szCs w:val="21"/>
              </w:rPr>
              <w:t>I</w:t>
            </w:r>
            <w:r w:rsidR="00CD4191" w:rsidRPr="00A964FF">
              <w:rPr>
                <w:rFonts w:ascii="Calibri" w:hAnsi="Calibri" w:hint="eastAsia"/>
                <w:color w:val="auto"/>
                <w:szCs w:val="21"/>
              </w:rPr>
              <w:t>II</w:t>
            </w:r>
            <w:r w:rsidR="00FF2C46" w:rsidRPr="00A964FF">
              <w:rPr>
                <w:rFonts w:ascii="Calibri" w:hAnsi="Calibri" w:hint="eastAsia"/>
                <w:color w:val="auto"/>
                <w:szCs w:val="21"/>
              </w:rPr>
              <w:t>类标准限值</w:t>
            </w:r>
          </w:p>
        </w:tc>
        <w:tc>
          <w:tcPr>
            <w:tcW w:w="3062" w:type="dxa"/>
            <w:vAlign w:val="center"/>
          </w:tcPr>
          <w:p w14:paraId="763E5924" w14:textId="77777777" w:rsidR="0055605A" w:rsidRPr="00A964FF" w:rsidRDefault="00CD4191" w:rsidP="003E0795">
            <w:pPr>
              <w:spacing w:line="240" w:lineRule="exact"/>
              <w:jc w:val="center"/>
              <w:rPr>
                <w:rFonts w:ascii="Calibri" w:hAnsi="Calibri"/>
                <w:color w:val="auto"/>
                <w:szCs w:val="21"/>
              </w:rPr>
            </w:pPr>
            <w:r w:rsidRPr="00A964FF">
              <w:rPr>
                <w:rFonts w:ascii="Calibri" w:hAnsi="Calibri" w:hint="eastAsia"/>
                <w:color w:val="auto"/>
                <w:szCs w:val="21"/>
              </w:rPr>
              <w:t>IV</w:t>
            </w:r>
            <w:r w:rsidRPr="00A964FF">
              <w:rPr>
                <w:rFonts w:ascii="Calibri" w:hAnsi="Calibri" w:hint="eastAsia"/>
                <w:color w:val="auto"/>
                <w:szCs w:val="21"/>
              </w:rPr>
              <w:t>类标准限值</w:t>
            </w:r>
          </w:p>
        </w:tc>
      </w:tr>
      <w:tr w:rsidR="00FF2C46" w:rsidRPr="00A964FF" w14:paraId="2853CC26" w14:textId="77777777" w:rsidTr="00CD4191">
        <w:trPr>
          <w:trHeight w:val="312"/>
          <w:jc w:val="center"/>
        </w:trPr>
        <w:tc>
          <w:tcPr>
            <w:tcW w:w="2737" w:type="dxa"/>
            <w:vAlign w:val="center"/>
          </w:tcPr>
          <w:p w14:paraId="6F22C848" w14:textId="77777777" w:rsidR="00FF2C46" w:rsidRPr="00A964FF" w:rsidRDefault="00FF2C46" w:rsidP="003E0795">
            <w:pPr>
              <w:pStyle w:val="a1"/>
              <w:tabs>
                <w:tab w:val="left" w:pos="7560"/>
              </w:tabs>
              <w:ind w:firstLine="0"/>
              <w:jc w:val="center"/>
              <w:rPr>
                <w:rFonts w:ascii="Calibri" w:hAnsi="Calibri"/>
                <w:bCs/>
                <w:color w:val="auto"/>
                <w:szCs w:val="21"/>
              </w:rPr>
            </w:pPr>
            <w:r w:rsidRPr="00A964FF">
              <w:rPr>
                <w:rFonts w:ascii="Calibri" w:hAnsi="Calibri"/>
                <w:color w:val="auto"/>
                <w:szCs w:val="21"/>
              </w:rPr>
              <w:t>pH</w:t>
            </w:r>
          </w:p>
        </w:tc>
        <w:tc>
          <w:tcPr>
            <w:tcW w:w="2823" w:type="dxa"/>
            <w:vAlign w:val="center"/>
          </w:tcPr>
          <w:p w14:paraId="246A7595"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6</w:t>
            </w:r>
            <w:r w:rsidRPr="00A964FF">
              <w:rPr>
                <w:rFonts w:ascii="Calibri" w:hAnsi="Calibri" w:hint="eastAsia"/>
                <w:color w:val="auto"/>
                <w:szCs w:val="21"/>
              </w:rPr>
              <w:t>～</w:t>
            </w:r>
            <w:r w:rsidRPr="00A964FF">
              <w:rPr>
                <w:rFonts w:ascii="Calibri" w:hAnsi="Calibri" w:hint="eastAsia"/>
                <w:color w:val="auto"/>
                <w:szCs w:val="21"/>
              </w:rPr>
              <w:t>9</w:t>
            </w:r>
          </w:p>
        </w:tc>
        <w:tc>
          <w:tcPr>
            <w:tcW w:w="3062" w:type="dxa"/>
            <w:tcBorders>
              <w:bottom w:val="single" w:sz="4" w:space="0" w:color="auto"/>
            </w:tcBorders>
            <w:vAlign w:val="center"/>
          </w:tcPr>
          <w:p w14:paraId="232D9FAF" w14:textId="77777777" w:rsidR="00FF2C46" w:rsidRPr="00A964FF" w:rsidRDefault="00CD4191" w:rsidP="00D4370C">
            <w:pPr>
              <w:jc w:val="center"/>
              <w:rPr>
                <w:rFonts w:ascii="Calibri" w:hAnsi="Calibri"/>
                <w:color w:val="auto"/>
                <w:szCs w:val="21"/>
              </w:rPr>
            </w:pPr>
            <w:r w:rsidRPr="00A964FF">
              <w:rPr>
                <w:rFonts w:ascii="Calibri" w:hAnsi="Calibri" w:hint="eastAsia"/>
                <w:color w:val="auto"/>
                <w:szCs w:val="21"/>
              </w:rPr>
              <w:t>6</w:t>
            </w:r>
            <w:r w:rsidRPr="00A964FF">
              <w:rPr>
                <w:rFonts w:ascii="Calibri" w:hAnsi="Calibri" w:hint="eastAsia"/>
                <w:color w:val="auto"/>
                <w:szCs w:val="21"/>
              </w:rPr>
              <w:t>～</w:t>
            </w:r>
            <w:r w:rsidRPr="00A964FF">
              <w:rPr>
                <w:rFonts w:ascii="Calibri" w:hAnsi="Calibri" w:hint="eastAsia"/>
                <w:color w:val="auto"/>
                <w:szCs w:val="21"/>
              </w:rPr>
              <w:t>9</w:t>
            </w:r>
          </w:p>
        </w:tc>
      </w:tr>
      <w:tr w:rsidR="00FF2C46" w:rsidRPr="00A964FF" w14:paraId="2E37BFC3" w14:textId="77777777" w:rsidTr="00CD4191">
        <w:trPr>
          <w:trHeight w:val="312"/>
          <w:jc w:val="center"/>
        </w:trPr>
        <w:tc>
          <w:tcPr>
            <w:tcW w:w="2737" w:type="dxa"/>
            <w:vAlign w:val="center"/>
          </w:tcPr>
          <w:p w14:paraId="31CBA3E6" w14:textId="77777777" w:rsidR="00FF2C46" w:rsidRPr="00A964FF" w:rsidRDefault="00FF2C46" w:rsidP="003E0795">
            <w:pPr>
              <w:pStyle w:val="a1"/>
              <w:tabs>
                <w:tab w:val="left" w:pos="7560"/>
              </w:tabs>
              <w:ind w:firstLine="0"/>
              <w:jc w:val="center"/>
              <w:rPr>
                <w:rFonts w:ascii="Calibri" w:hAnsi="Calibri"/>
                <w:color w:val="auto"/>
                <w:szCs w:val="21"/>
              </w:rPr>
            </w:pPr>
            <w:r w:rsidRPr="00A964FF">
              <w:rPr>
                <w:rFonts w:ascii="Calibri" w:hAnsi="Calibri" w:hint="eastAsia"/>
                <w:color w:val="auto"/>
                <w:szCs w:val="21"/>
              </w:rPr>
              <w:t>高锰酸盐指数</w:t>
            </w:r>
          </w:p>
        </w:tc>
        <w:tc>
          <w:tcPr>
            <w:tcW w:w="2823" w:type="dxa"/>
            <w:vAlign w:val="center"/>
          </w:tcPr>
          <w:p w14:paraId="6C5B7D14"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6</w:t>
            </w:r>
          </w:p>
        </w:tc>
        <w:tc>
          <w:tcPr>
            <w:tcW w:w="3062" w:type="dxa"/>
            <w:tcBorders>
              <w:top w:val="single" w:sz="4" w:space="0" w:color="auto"/>
              <w:bottom w:val="single" w:sz="4" w:space="0" w:color="auto"/>
            </w:tcBorders>
            <w:vAlign w:val="center"/>
          </w:tcPr>
          <w:p w14:paraId="0CDA4FE5"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10</w:t>
            </w:r>
          </w:p>
        </w:tc>
      </w:tr>
      <w:tr w:rsidR="00FF2C46" w:rsidRPr="00A964FF" w14:paraId="6571EA27" w14:textId="77777777" w:rsidTr="00CD4191">
        <w:trPr>
          <w:trHeight w:val="312"/>
          <w:jc w:val="center"/>
        </w:trPr>
        <w:tc>
          <w:tcPr>
            <w:tcW w:w="2737" w:type="dxa"/>
            <w:vAlign w:val="center"/>
          </w:tcPr>
          <w:p w14:paraId="2BC45ED4"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COD</w:t>
            </w:r>
          </w:p>
        </w:tc>
        <w:tc>
          <w:tcPr>
            <w:tcW w:w="2823" w:type="dxa"/>
            <w:tcBorders>
              <w:bottom w:val="single" w:sz="4" w:space="0" w:color="auto"/>
            </w:tcBorders>
            <w:vAlign w:val="center"/>
          </w:tcPr>
          <w:p w14:paraId="2776AD54"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20</w:t>
            </w:r>
          </w:p>
        </w:tc>
        <w:tc>
          <w:tcPr>
            <w:tcW w:w="3062" w:type="dxa"/>
            <w:tcBorders>
              <w:top w:val="single" w:sz="4" w:space="0" w:color="auto"/>
              <w:bottom w:val="single" w:sz="4" w:space="0" w:color="auto"/>
            </w:tcBorders>
            <w:vAlign w:val="center"/>
          </w:tcPr>
          <w:p w14:paraId="0EE43FD8"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30</w:t>
            </w:r>
          </w:p>
        </w:tc>
      </w:tr>
      <w:tr w:rsidR="00FF2C46" w:rsidRPr="00A964FF" w14:paraId="58B18122" w14:textId="77777777" w:rsidTr="00CD4191">
        <w:trPr>
          <w:trHeight w:val="312"/>
          <w:jc w:val="center"/>
        </w:trPr>
        <w:tc>
          <w:tcPr>
            <w:tcW w:w="2737" w:type="dxa"/>
            <w:vAlign w:val="center"/>
          </w:tcPr>
          <w:p w14:paraId="5E30CC35"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BOD</w:t>
            </w:r>
            <w:r w:rsidRPr="00A964FF">
              <w:rPr>
                <w:rFonts w:ascii="Calibri" w:hAnsi="Calibri" w:hint="eastAsia"/>
                <w:color w:val="auto"/>
                <w:szCs w:val="21"/>
                <w:vertAlign w:val="subscript"/>
              </w:rPr>
              <w:t>5</w:t>
            </w:r>
          </w:p>
        </w:tc>
        <w:tc>
          <w:tcPr>
            <w:tcW w:w="2823" w:type="dxa"/>
            <w:tcBorders>
              <w:top w:val="single" w:sz="4" w:space="0" w:color="auto"/>
            </w:tcBorders>
            <w:vAlign w:val="center"/>
          </w:tcPr>
          <w:p w14:paraId="1116F8A1"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4</w:t>
            </w:r>
          </w:p>
        </w:tc>
        <w:tc>
          <w:tcPr>
            <w:tcW w:w="3062" w:type="dxa"/>
            <w:tcBorders>
              <w:top w:val="single" w:sz="4" w:space="0" w:color="auto"/>
              <w:bottom w:val="single" w:sz="4" w:space="0" w:color="auto"/>
            </w:tcBorders>
            <w:vAlign w:val="center"/>
          </w:tcPr>
          <w:p w14:paraId="394CF721"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6</w:t>
            </w:r>
          </w:p>
        </w:tc>
      </w:tr>
      <w:tr w:rsidR="00FF2C46" w:rsidRPr="00A964FF" w14:paraId="2342BDBC" w14:textId="77777777" w:rsidTr="00CD4191">
        <w:trPr>
          <w:trHeight w:val="312"/>
          <w:jc w:val="center"/>
        </w:trPr>
        <w:tc>
          <w:tcPr>
            <w:tcW w:w="2737" w:type="dxa"/>
            <w:vAlign w:val="center"/>
          </w:tcPr>
          <w:p w14:paraId="2CB3CE85"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color w:val="auto"/>
                <w:szCs w:val="21"/>
              </w:rPr>
              <w:t>氨氮</w:t>
            </w:r>
          </w:p>
        </w:tc>
        <w:tc>
          <w:tcPr>
            <w:tcW w:w="2823" w:type="dxa"/>
            <w:vAlign w:val="center"/>
          </w:tcPr>
          <w:p w14:paraId="09067DA4"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1.0</w:t>
            </w:r>
          </w:p>
        </w:tc>
        <w:tc>
          <w:tcPr>
            <w:tcW w:w="3062" w:type="dxa"/>
            <w:tcBorders>
              <w:top w:val="single" w:sz="4" w:space="0" w:color="auto"/>
              <w:bottom w:val="single" w:sz="4" w:space="0" w:color="auto"/>
            </w:tcBorders>
            <w:vAlign w:val="center"/>
          </w:tcPr>
          <w:p w14:paraId="590EAE54"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1.5</w:t>
            </w:r>
          </w:p>
        </w:tc>
      </w:tr>
      <w:tr w:rsidR="00FF2C46" w:rsidRPr="00A964FF" w14:paraId="4F93371E" w14:textId="77777777" w:rsidTr="00CD4191">
        <w:trPr>
          <w:trHeight w:val="312"/>
          <w:jc w:val="center"/>
        </w:trPr>
        <w:tc>
          <w:tcPr>
            <w:tcW w:w="2737" w:type="dxa"/>
            <w:vAlign w:val="center"/>
          </w:tcPr>
          <w:p w14:paraId="52759A61"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铜</w:t>
            </w:r>
          </w:p>
        </w:tc>
        <w:tc>
          <w:tcPr>
            <w:tcW w:w="2823" w:type="dxa"/>
            <w:vAlign w:val="center"/>
          </w:tcPr>
          <w:p w14:paraId="04B06737"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1.0</w:t>
            </w:r>
          </w:p>
        </w:tc>
        <w:tc>
          <w:tcPr>
            <w:tcW w:w="3062" w:type="dxa"/>
            <w:tcBorders>
              <w:top w:val="single" w:sz="4" w:space="0" w:color="auto"/>
              <w:bottom w:val="single" w:sz="4" w:space="0" w:color="auto"/>
            </w:tcBorders>
            <w:vAlign w:val="center"/>
          </w:tcPr>
          <w:p w14:paraId="7E7452A3"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1.0</w:t>
            </w:r>
          </w:p>
        </w:tc>
      </w:tr>
      <w:tr w:rsidR="00FF2C46" w:rsidRPr="00A964FF" w14:paraId="66798CC7" w14:textId="77777777" w:rsidTr="00CD4191">
        <w:trPr>
          <w:trHeight w:val="312"/>
          <w:jc w:val="center"/>
        </w:trPr>
        <w:tc>
          <w:tcPr>
            <w:tcW w:w="2737" w:type="dxa"/>
            <w:vAlign w:val="center"/>
          </w:tcPr>
          <w:p w14:paraId="5DB65622"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锌</w:t>
            </w:r>
          </w:p>
        </w:tc>
        <w:tc>
          <w:tcPr>
            <w:tcW w:w="2823" w:type="dxa"/>
            <w:tcBorders>
              <w:bottom w:val="single" w:sz="4" w:space="0" w:color="auto"/>
            </w:tcBorders>
            <w:vAlign w:val="center"/>
          </w:tcPr>
          <w:p w14:paraId="37134732"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1.0</w:t>
            </w:r>
          </w:p>
        </w:tc>
        <w:tc>
          <w:tcPr>
            <w:tcW w:w="3062" w:type="dxa"/>
            <w:tcBorders>
              <w:top w:val="single" w:sz="4" w:space="0" w:color="auto"/>
              <w:bottom w:val="single" w:sz="4" w:space="0" w:color="auto"/>
            </w:tcBorders>
            <w:vAlign w:val="center"/>
          </w:tcPr>
          <w:p w14:paraId="799F11C4"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2.0</w:t>
            </w:r>
          </w:p>
        </w:tc>
      </w:tr>
      <w:tr w:rsidR="00FF2C46" w:rsidRPr="00A964FF" w14:paraId="5331FC86" w14:textId="77777777" w:rsidTr="00CD4191">
        <w:trPr>
          <w:trHeight w:val="312"/>
          <w:jc w:val="center"/>
        </w:trPr>
        <w:tc>
          <w:tcPr>
            <w:tcW w:w="2737" w:type="dxa"/>
            <w:vAlign w:val="center"/>
          </w:tcPr>
          <w:p w14:paraId="601AA2CE"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氟化物</w:t>
            </w:r>
          </w:p>
        </w:tc>
        <w:tc>
          <w:tcPr>
            <w:tcW w:w="2823" w:type="dxa"/>
            <w:tcBorders>
              <w:top w:val="single" w:sz="4" w:space="0" w:color="auto"/>
            </w:tcBorders>
            <w:vAlign w:val="center"/>
          </w:tcPr>
          <w:p w14:paraId="78E4A3FB"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1.0</w:t>
            </w:r>
          </w:p>
        </w:tc>
        <w:tc>
          <w:tcPr>
            <w:tcW w:w="3062" w:type="dxa"/>
            <w:tcBorders>
              <w:top w:val="single" w:sz="4" w:space="0" w:color="auto"/>
              <w:bottom w:val="single" w:sz="4" w:space="0" w:color="auto"/>
            </w:tcBorders>
            <w:vAlign w:val="center"/>
          </w:tcPr>
          <w:p w14:paraId="7673CAA4"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1.5</w:t>
            </w:r>
          </w:p>
        </w:tc>
      </w:tr>
      <w:tr w:rsidR="00FF2C46" w:rsidRPr="00A964FF" w14:paraId="5AD97664" w14:textId="77777777" w:rsidTr="00CD4191">
        <w:trPr>
          <w:trHeight w:val="312"/>
          <w:jc w:val="center"/>
        </w:trPr>
        <w:tc>
          <w:tcPr>
            <w:tcW w:w="2737" w:type="dxa"/>
            <w:vAlign w:val="center"/>
          </w:tcPr>
          <w:p w14:paraId="3FB17FC4"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硒</w:t>
            </w:r>
          </w:p>
        </w:tc>
        <w:tc>
          <w:tcPr>
            <w:tcW w:w="2823" w:type="dxa"/>
            <w:vAlign w:val="center"/>
          </w:tcPr>
          <w:p w14:paraId="177F48F0"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0.01</w:t>
            </w:r>
          </w:p>
        </w:tc>
        <w:tc>
          <w:tcPr>
            <w:tcW w:w="3062" w:type="dxa"/>
            <w:tcBorders>
              <w:top w:val="single" w:sz="4" w:space="0" w:color="auto"/>
              <w:bottom w:val="single" w:sz="4" w:space="0" w:color="auto"/>
            </w:tcBorders>
            <w:vAlign w:val="center"/>
          </w:tcPr>
          <w:p w14:paraId="091DE4A6"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0.02</w:t>
            </w:r>
          </w:p>
        </w:tc>
      </w:tr>
      <w:tr w:rsidR="00FF2C46" w:rsidRPr="00A964FF" w14:paraId="6E178DEF" w14:textId="77777777" w:rsidTr="00CD4191">
        <w:trPr>
          <w:trHeight w:val="312"/>
          <w:jc w:val="center"/>
        </w:trPr>
        <w:tc>
          <w:tcPr>
            <w:tcW w:w="2737" w:type="dxa"/>
            <w:vAlign w:val="center"/>
          </w:tcPr>
          <w:p w14:paraId="639FBC1C"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砷</w:t>
            </w:r>
          </w:p>
        </w:tc>
        <w:tc>
          <w:tcPr>
            <w:tcW w:w="2823" w:type="dxa"/>
            <w:vAlign w:val="center"/>
          </w:tcPr>
          <w:p w14:paraId="02005997"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0.05</w:t>
            </w:r>
          </w:p>
        </w:tc>
        <w:tc>
          <w:tcPr>
            <w:tcW w:w="3062" w:type="dxa"/>
            <w:tcBorders>
              <w:top w:val="single" w:sz="4" w:space="0" w:color="auto"/>
              <w:bottom w:val="single" w:sz="4" w:space="0" w:color="auto"/>
            </w:tcBorders>
            <w:vAlign w:val="center"/>
          </w:tcPr>
          <w:p w14:paraId="62799A0B"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0.1</w:t>
            </w:r>
          </w:p>
        </w:tc>
      </w:tr>
      <w:tr w:rsidR="00FF2C46" w:rsidRPr="00A964FF" w14:paraId="50250208" w14:textId="77777777" w:rsidTr="00CD4191">
        <w:trPr>
          <w:trHeight w:val="312"/>
          <w:jc w:val="center"/>
        </w:trPr>
        <w:tc>
          <w:tcPr>
            <w:tcW w:w="2737" w:type="dxa"/>
            <w:vAlign w:val="center"/>
          </w:tcPr>
          <w:p w14:paraId="18ACF6EC"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汞</w:t>
            </w:r>
          </w:p>
        </w:tc>
        <w:tc>
          <w:tcPr>
            <w:tcW w:w="2823" w:type="dxa"/>
            <w:vAlign w:val="center"/>
          </w:tcPr>
          <w:p w14:paraId="3E898131"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0.0001</w:t>
            </w:r>
          </w:p>
        </w:tc>
        <w:tc>
          <w:tcPr>
            <w:tcW w:w="3062" w:type="dxa"/>
            <w:tcBorders>
              <w:top w:val="single" w:sz="4" w:space="0" w:color="auto"/>
              <w:bottom w:val="single" w:sz="4" w:space="0" w:color="auto"/>
            </w:tcBorders>
            <w:vAlign w:val="center"/>
          </w:tcPr>
          <w:p w14:paraId="3C2E1D40"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0.001</w:t>
            </w:r>
          </w:p>
        </w:tc>
      </w:tr>
      <w:tr w:rsidR="00FF2C46" w:rsidRPr="00A964FF" w14:paraId="241CE997" w14:textId="77777777" w:rsidTr="00CD4191">
        <w:trPr>
          <w:trHeight w:val="312"/>
          <w:jc w:val="center"/>
        </w:trPr>
        <w:tc>
          <w:tcPr>
            <w:tcW w:w="2737" w:type="dxa"/>
            <w:vAlign w:val="center"/>
          </w:tcPr>
          <w:p w14:paraId="36CBC852"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镉</w:t>
            </w:r>
          </w:p>
        </w:tc>
        <w:tc>
          <w:tcPr>
            <w:tcW w:w="2823" w:type="dxa"/>
            <w:vAlign w:val="center"/>
          </w:tcPr>
          <w:p w14:paraId="42D0BC58"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0.005</w:t>
            </w:r>
          </w:p>
        </w:tc>
        <w:tc>
          <w:tcPr>
            <w:tcW w:w="3062" w:type="dxa"/>
            <w:tcBorders>
              <w:top w:val="single" w:sz="4" w:space="0" w:color="auto"/>
              <w:bottom w:val="single" w:sz="4" w:space="0" w:color="auto"/>
            </w:tcBorders>
            <w:vAlign w:val="center"/>
          </w:tcPr>
          <w:p w14:paraId="5CD64B8B"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0.005</w:t>
            </w:r>
          </w:p>
        </w:tc>
      </w:tr>
      <w:tr w:rsidR="00FF2C46" w:rsidRPr="00A964FF" w14:paraId="59C59B75" w14:textId="77777777" w:rsidTr="00CD4191">
        <w:trPr>
          <w:trHeight w:val="312"/>
          <w:jc w:val="center"/>
        </w:trPr>
        <w:tc>
          <w:tcPr>
            <w:tcW w:w="2737" w:type="dxa"/>
            <w:vAlign w:val="center"/>
          </w:tcPr>
          <w:p w14:paraId="043A1462"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铅</w:t>
            </w:r>
          </w:p>
        </w:tc>
        <w:tc>
          <w:tcPr>
            <w:tcW w:w="2823" w:type="dxa"/>
            <w:vAlign w:val="center"/>
          </w:tcPr>
          <w:p w14:paraId="432CB4DD"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0.05</w:t>
            </w:r>
          </w:p>
        </w:tc>
        <w:tc>
          <w:tcPr>
            <w:tcW w:w="3062" w:type="dxa"/>
            <w:tcBorders>
              <w:top w:val="single" w:sz="4" w:space="0" w:color="auto"/>
              <w:bottom w:val="single" w:sz="4" w:space="0" w:color="auto"/>
            </w:tcBorders>
            <w:vAlign w:val="center"/>
          </w:tcPr>
          <w:p w14:paraId="25236425"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0.05</w:t>
            </w:r>
          </w:p>
        </w:tc>
      </w:tr>
      <w:tr w:rsidR="00FF2C46" w:rsidRPr="00A964FF" w14:paraId="373DB5C5" w14:textId="77777777" w:rsidTr="00CD4191">
        <w:trPr>
          <w:trHeight w:val="312"/>
          <w:jc w:val="center"/>
        </w:trPr>
        <w:tc>
          <w:tcPr>
            <w:tcW w:w="2737" w:type="dxa"/>
            <w:vAlign w:val="center"/>
          </w:tcPr>
          <w:p w14:paraId="0CE9C44E"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六价铬</w:t>
            </w:r>
          </w:p>
        </w:tc>
        <w:tc>
          <w:tcPr>
            <w:tcW w:w="2823" w:type="dxa"/>
            <w:vAlign w:val="center"/>
          </w:tcPr>
          <w:p w14:paraId="7F1C8DEB"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0.05</w:t>
            </w:r>
          </w:p>
        </w:tc>
        <w:tc>
          <w:tcPr>
            <w:tcW w:w="3062" w:type="dxa"/>
            <w:tcBorders>
              <w:top w:val="single" w:sz="4" w:space="0" w:color="auto"/>
              <w:bottom w:val="single" w:sz="4" w:space="0" w:color="auto"/>
            </w:tcBorders>
            <w:vAlign w:val="center"/>
          </w:tcPr>
          <w:p w14:paraId="057D694F"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0.05</w:t>
            </w:r>
          </w:p>
        </w:tc>
      </w:tr>
      <w:tr w:rsidR="00FF2C46" w:rsidRPr="00A964FF" w14:paraId="069575E9" w14:textId="77777777" w:rsidTr="00CD4191">
        <w:trPr>
          <w:trHeight w:val="312"/>
          <w:jc w:val="center"/>
        </w:trPr>
        <w:tc>
          <w:tcPr>
            <w:tcW w:w="2737" w:type="dxa"/>
            <w:vAlign w:val="center"/>
          </w:tcPr>
          <w:p w14:paraId="557317A3"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氰化物</w:t>
            </w:r>
          </w:p>
        </w:tc>
        <w:tc>
          <w:tcPr>
            <w:tcW w:w="2823" w:type="dxa"/>
            <w:vAlign w:val="center"/>
          </w:tcPr>
          <w:p w14:paraId="3B5EB696"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0.2</w:t>
            </w:r>
          </w:p>
        </w:tc>
        <w:tc>
          <w:tcPr>
            <w:tcW w:w="3062" w:type="dxa"/>
            <w:tcBorders>
              <w:top w:val="single" w:sz="4" w:space="0" w:color="auto"/>
              <w:bottom w:val="single" w:sz="4" w:space="0" w:color="auto"/>
            </w:tcBorders>
            <w:vAlign w:val="center"/>
          </w:tcPr>
          <w:p w14:paraId="3B8F6153"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0.2</w:t>
            </w:r>
          </w:p>
        </w:tc>
      </w:tr>
      <w:tr w:rsidR="00FF2C46" w:rsidRPr="00A964FF" w14:paraId="7137E5EE" w14:textId="77777777" w:rsidTr="00CD4191">
        <w:trPr>
          <w:trHeight w:val="312"/>
          <w:jc w:val="center"/>
        </w:trPr>
        <w:tc>
          <w:tcPr>
            <w:tcW w:w="2737" w:type="dxa"/>
            <w:vAlign w:val="center"/>
          </w:tcPr>
          <w:p w14:paraId="2ED92D6F"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挥发酚</w:t>
            </w:r>
          </w:p>
        </w:tc>
        <w:tc>
          <w:tcPr>
            <w:tcW w:w="2823" w:type="dxa"/>
            <w:vAlign w:val="center"/>
          </w:tcPr>
          <w:p w14:paraId="5CB0C13B"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0.005</w:t>
            </w:r>
          </w:p>
        </w:tc>
        <w:tc>
          <w:tcPr>
            <w:tcW w:w="3062" w:type="dxa"/>
            <w:tcBorders>
              <w:top w:val="single" w:sz="4" w:space="0" w:color="auto"/>
              <w:bottom w:val="single" w:sz="4" w:space="0" w:color="auto"/>
            </w:tcBorders>
            <w:vAlign w:val="center"/>
          </w:tcPr>
          <w:p w14:paraId="03F1E056"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0.01</w:t>
            </w:r>
          </w:p>
        </w:tc>
      </w:tr>
      <w:tr w:rsidR="00FF2C46" w:rsidRPr="00A964FF" w14:paraId="1619240C" w14:textId="77777777" w:rsidTr="00CD4191">
        <w:trPr>
          <w:trHeight w:val="312"/>
          <w:jc w:val="center"/>
        </w:trPr>
        <w:tc>
          <w:tcPr>
            <w:tcW w:w="2737" w:type="dxa"/>
            <w:vAlign w:val="center"/>
          </w:tcPr>
          <w:p w14:paraId="087CDF7D"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石油类</w:t>
            </w:r>
          </w:p>
        </w:tc>
        <w:tc>
          <w:tcPr>
            <w:tcW w:w="2823" w:type="dxa"/>
            <w:vAlign w:val="center"/>
          </w:tcPr>
          <w:p w14:paraId="399673FC"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0.05</w:t>
            </w:r>
          </w:p>
        </w:tc>
        <w:tc>
          <w:tcPr>
            <w:tcW w:w="3062" w:type="dxa"/>
            <w:tcBorders>
              <w:top w:val="single" w:sz="4" w:space="0" w:color="auto"/>
              <w:bottom w:val="single" w:sz="4" w:space="0" w:color="auto"/>
            </w:tcBorders>
            <w:vAlign w:val="center"/>
          </w:tcPr>
          <w:p w14:paraId="5BEC5F84"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0.5</w:t>
            </w:r>
          </w:p>
        </w:tc>
      </w:tr>
      <w:tr w:rsidR="00FF2C46" w:rsidRPr="00A964FF" w14:paraId="0D409BBE" w14:textId="77777777" w:rsidTr="00CD4191">
        <w:trPr>
          <w:trHeight w:val="312"/>
          <w:jc w:val="center"/>
        </w:trPr>
        <w:tc>
          <w:tcPr>
            <w:tcW w:w="2737" w:type="dxa"/>
            <w:vAlign w:val="center"/>
          </w:tcPr>
          <w:p w14:paraId="5D8892B6" w14:textId="77777777" w:rsidR="00FF2C46" w:rsidRPr="00A964FF" w:rsidRDefault="00FF2C46" w:rsidP="003E0795">
            <w:pPr>
              <w:pStyle w:val="a1"/>
              <w:ind w:firstLine="0"/>
              <w:jc w:val="center"/>
              <w:rPr>
                <w:rFonts w:ascii="Calibri" w:hAnsi="Calibri"/>
                <w:color w:val="auto"/>
                <w:szCs w:val="21"/>
              </w:rPr>
            </w:pPr>
            <w:r w:rsidRPr="00A964FF">
              <w:rPr>
                <w:rFonts w:ascii="Calibri" w:hAnsi="Calibri" w:hint="eastAsia"/>
                <w:color w:val="auto"/>
                <w:szCs w:val="21"/>
              </w:rPr>
              <w:t>阴离子表面活性剂</w:t>
            </w:r>
          </w:p>
        </w:tc>
        <w:tc>
          <w:tcPr>
            <w:tcW w:w="2823" w:type="dxa"/>
            <w:vAlign w:val="center"/>
          </w:tcPr>
          <w:p w14:paraId="5B712C5A" w14:textId="77777777" w:rsidR="00FF2C46" w:rsidRPr="00A964FF" w:rsidRDefault="00FF2C46" w:rsidP="003E0795">
            <w:pPr>
              <w:jc w:val="center"/>
              <w:rPr>
                <w:rFonts w:ascii="Calibri" w:hAnsi="Calibri"/>
                <w:color w:val="auto"/>
                <w:szCs w:val="21"/>
              </w:rPr>
            </w:pPr>
            <w:r w:rsidRPr="00A964FF">
              <w:rPr>
                <w:rFonts w:ascii="Calibri" w:hAnsi="Calibri" w:hint="eastAsia"/>
                <w:color w:val="auto"/>
                <w:szCs w:val="21"/>
              </w:rPr>
              <w:t>0.2</w:t>
            </w:r>
          </w:p>
        </w:tc>
        <w:tc>
          <w:tcPr>
            <w:tcW w:w="3062" w:type="dxa"/>
            <w:tcBorders>
              <w:top w:val="single" w:sz="4" w:space="0" w:color="auto"/>
              <w:bottom w:val="single" w:sz="4" w:space="0" w:color="auto"/>
            </w:tcBorders>
            <w:vAlign w:val="center"/>
          </w:tcPr>
          <w:p w14:paraId="1FBF698A" w14:textId="77777777" w:rsidR="00FF2C46" w:rsidRPr="00A964FF" w:rsidRDefault="00CD4191" w:rsidP="003E0795">
            <w:pPr>
              <w:jc w:val="center"/>
              <w:rPr>
                <w:rFonts w:ascii="Calibri" w:hAnsi="Calibri"/>
                <w:color w:val="auto"/>
                <w:szCs w:val="21"/>
              </w:rPr>
            </w:pPr>
            <w:r w:rsidRPr="00A964FF">
              <w:rPr>
                <w:rFonts w:ascii="Calibri" w:hAnsi="Calibri" w:hint="eastAsia"/>
                <w:color w:val="auto"/>
                <w:szCs w:val="21"/>
              </w:rPr>
              <w:t>0.3</w:t>
            </w:r>
          </w:p>
        </w:tc>
      </w:tr>
      <w:tr w:rsidR="00C96EDA" w:rsidRPr="00A964FF" w14:paraId="76D84D1D" w14:textId="77777777" w:rsidTr="00CD4191">
        <w:trPr>
          <w:trHeight w:val="312"/>
          <w:jc w:val="center"/>
        </w:trPr>
        <w:tc>
          <w:tcPr>
            <w:tcW w:w="2737" w:type="dxa"/>
            <w:vAlign w:val="center"/>
          </w:tcPr>
          <w:p w14:paraId="02A37BE1" w14:textId="77777777" w:rsidR="00C96EDA" w:rsidRPr="00A964FF" w:rsidRDefault="00C96EDA" w:rsidP="006A7BA8">
            <w:pPr>
              <w:pStyle w:val="a1"/>
              <w:ind w:firstLine="0"/>
              <w:jc w:val="center"/>
              <w:rPr>
                <w:rFonts w:ascii="Calibri" w:hAnsi="Calibri"/>
                <w:color w:val="auto"/>
                <w:szCs w:val="21"/>
              </w:rPr>
            </w:pPr>
            <w:r w:rsidRPr="00A964FF">
              <w:rPr>
                <w:rFonts w:ascii="Calibri" w:hAnsi="Calibri" w:hint="eastAsia"/>
                <w:color w:val="auto"/>
                <w:szCs w:val="21"/>
              </w:rPr>
              <w:t>硫化物</w:t>
            </w:r>
          </w:p>
        </w:tc>
        <w:tc>
          <w:tcPr>
            <w:tcW w:w="2823" w:type="dxa"/>
            <w:vAlign w:val="center"/>
          </w:tcPr>
          <w:p w14:paraId="54D40E86" w14:textId="77777777" w:rsidR="00C96EDA" w:rsidRPr="00A964FF" w:rsidRDefault="00C96EDA" w:rsidP="006A7BA8">
            <w:pPr>
              <w:jc w:val="center"/>
              <w:rPr>
                <w:rFonts w:ascii="Calibri" w:hAnsi="Calibri"/>
                <w:color w:val="auto"/>
                <w:szCs w:val="21"/>
              </w:rPr>
            </w:pPr>
            <w:r w:rsidRPr="00A964FF">
              <w:rPr>
                <w:rFonts w:ascii="Calibri" w:hAnsi="Calibri" w:hint="eastAsia"/>
                <w:color w:val="auto"/>
                <w:szCs w:val="21"/>
              </w:rPr>
              <w:t>0.2</w:t>
            </w:r>
          </w:p>
        </w:tc>
        <w:tc>
          <w:tcPr>
            <w:tcW w:w="3062" w:type="dxa"/>
            <w:tcBorders>
              <w:top w:val="single" w:sz="4" w:space="0" w:color="auto"/>
              <w:bottom w:val="single" w:sz="4" w:space="0" w:color="auto"/>
            </w:tcBorders>
            <w:vAlign w:val="center"/>
          </w:tcPr>
          <w:p w14:paraId="663E15D4" w14:textId="77777777" w:rsidR="00C96EDA" w:rsidRPr="00A964FF" w:rsidRDefault="00CD4191" w:rsidP="003E0795">
            <w:pPr>
              <w:jc w:val="center"/>
              <w:rPr>
                <w:rFonts w:ascii="Calibri" w:hAnsi="Calibri"/>
                <w:color w:val="auto"/>
                <w:szCs w:val="21"/>
              </w:rPr>
            </w:pPr>
            <w:r w:rsidRPr="00A964FF">
              <w:rPr>
                <w:rFonts w:ascii="Calibri" w:hAnsi="Calibri" w:hint="eastAsia"/>
                <w:color w:val="auto"/>
                <w:szCs w:val="21"/>
              </w:rPr>
              <w:t>0.5</w:t>
            </w:r>
          </w:p>
        </w:tc>
      </w:tr>
      <w:tr w:rsidR="00C96EDA" w:rsidRPr="00A964FF" w14:paraId="1CECDFD9" w14:textId="77777777" w:rsidTr="00CD4191">
        <w:trPr>
          <w:trHeight w:val="312"/>
          <w:jc w:val="center"/>
        </w:trPr>
        <w:tc>
          <w:tcPr>
            <w:tcW w:w="2737" w:type="dxa"/>
            <w:vAlign w:val="center"/>
          </w:tcPr>
          <w:p w14:paraId="63134F57" w14:textId="77777777" w:rsidR="00C96EDA" w:rsidRPr="00A964FF" w:rsidRDefault="00C96EDA" w:rsidP="003E0795">
            <w:pPr>
              <w:pStyle w:val="a1"/>
              <w:ind w:firstLine="0"/>
              <w:jc w:val="center"/>
              <w:rPr>
                <w:rFonts w:ascii="Calibri" w:hAnsi="Calibri"/>
                <w:color w:val="auto"/>
                <w:szCs w:val="21"/>
              </w:rPr>
            </w:pPr>
            <w:r w:rsidRPr="00A964FF">
              <w:rPr>
                <w:rFonts w:ascii="Calibri" w:hAnsi="Calibri" w:hint="eastAsia"/>
                <w:color w:val="auto"/>
                <w:szCs w:val="21"/>
              </w:rPr>
              <w:t>粪大肠菌群</w:t>
            </w:r>
          </w:p>
        </w:tc>
        <w:tc>
          <w:tcPr>
            <w:tcW w:w="2823" w:type="dxa"/>
            <w:vAlign w:val="center"/>
          </w:tcPr>
          <w:p w14:paraId="76D7958B" w14:textId="77777777" w:rsidR="00C96EDA" w:rsidRPr="00A964FF" w:rsidRDefault="00C96EDA" w:rsidP="003E0795">
            <w:pPr>
              <w:jc w:val="center"/>
              <w:rPr>
                <w:rFonts w:ascii="Calibri" w:hAnsi="Calibri"/>
                <w:color w:val="auto"/>
                <w:szCs w:val="21"/>
              </w:rPr>
            </w:pPr>
            <w:r w:rsidRPr="00A964FF">
              <w:rPr>
                <w:rFonts w:ascii="Calibri" w:hAnsi="Calibri" w:hint="eastAsia"/>
                <w:color w:val="auto"/>
                <w:szCs w:val="21"/>
              </w:rPr>
              <w:t>10000</w:t>
            </w:r>
            <w:r w:rsidRPr="00A964FF">
              <w:rPr>
                <w:rFonts w:ascii="Calibri" w:hAnsi="Calibri" w:hint="eastAsia"/>
                <w:color w:val="auto"/>
                <w:szCs w:val="21"/>
              </w:rPr>
              <w:t>个</w:t>
            </w:r>
            <w:r w:rsidRPr="00A964FF">
              <w:rPr>
                <w:rFonts w:ascii="Calibri" w:hAnsi="Calibri" w:hint="eastAsia"/>
                <w:color w:val="auto"/>
                <w:szCs w:val="21"/>
              </w:rPr>
              <w:t>/L</w:t>
            </w:r>
          </w:p>
        </w:tc>
        <w:tc>
          <w:tcPr>
            <w:tcW w:w="3062" w:type="dxa"/>
            <w:tcBorders>
              <w:top w:val="single" w:sz="4" w:space="0" w:color="auto"/>
            </w:tcBorders>
            <w:vAlign w:val="center"/>
          </w:tcPr>
          <w:p w14:paraId="4790E6A3" w14:textId="77777777" w:rsidR="00C96EDA" w:rsidRPr="00A964FF" w:rsidRDefault="00CD4191" w:rsidP="003E0795">
            <w:pPr>
              <w:jc w:val="center"/>
              <w:rPr>
                <w:rFonts w:ascii="Calibri" w:hAnsi="Calibri"/>
                <w:color w:val="auto"/>
                <w:szCs w:val="21"/>
              </w:rPr>
            </w:pPr>
            <w:r w:rsidRPr="00A964FF">
              <w:rPr>
                <w:rFonts w:ascii="Calibri" w:hAnsi="Calibri" w:hint="eastAsia"/>
                <w:color w:val="auto"/>
                <w:szCs w:val="21"/>
              </w:rPr>
              <w:t>20000</w:t>
            </w:r>
            <w:r w:rsidRPr="00A964FF">
              <w:rPr>
                <w:rFonts w:ascii="Calibri" w:hAnsi="Calibri" w:hint="eastAsia"/>
                <w:color w:val="auto"/>
                <w:szCs w:val="21"/>
              </w:rPr>
              <w:t>个</w:t>
            </w:r>
            <w:r w:rsidRPr="00A964FF">
              <w:rPr>
                <w:rFonts w:ascii="Calibri" w:hAnsi="Calibri" w:hint="eastAsia"/>
                <w:color w:val="auto"/>
                <w:szCs w:val="21"/>
              </w:rPr>
              <w:t>/L</w:t>
            </w:r>
          </w:p>
        </w:tc>
      </w:tr>
    </w:tbl>
    <w:p w14:paraId="46543923" w14:textId="77777777" w:rsidR="0055605A" w:rsidRPr="00A964FF" w:rsidRDefault="0055605A" w:rsidP="004320F7">
      <w:pPr>
        <w:spacing w:line="520" w:lineRule="exact"/>
        <w:ind w:firstLineChars="196" w:firstLine="472"/>
        <w:rPr>
          <w:rFonts w:ascii="Calibri" w:hAnsi="Calibri"/>
          <w:b/>
          <w:color w:val="auto"/>
          <w:sz w:val="24"/>
        </w:rPr>
      </w:pPr>
      <w:r w:rsidRPr="00A964FF">
        <w:rPr>
          <w:rFonts w:ascii="Calibri" w:hAnsi="Calibri" w:hint="eastAsia"/>
          <w:b/>
          <w:color w:val="auto"/>
          <w:sz w:val="24"/>
        </w:rPr>
        <w:t>3</w:t>
      </w:r>
      <w:r w:rsidRPr="00A964FF">
        <w:rPr>
          <w:rFonts w:ascii="Calibri" w:hAnsi="Calibri"/>
          <w:b/>
          <w:color w:val="auto"/>
          <w:sz w:val="24"/>
        </w:rPr>
        <w:t>、地下水</w:t>
      </w:r>
    </w:p>
    <w:p w14:paraId="2820BB20" w14:textId="77777777" w:rsidR="00CA2479" w:rsidRPr="00BF0D68" w:rsidRDefault="0055605A" w:rsidP="00BF0D68">
      <w:pPr>
        <w:spacing w:line="520" w:lineRule="exact"/>
        <w:ind w:firstLineChars="200" w:firstLine="480"/>
        <w:rPr>
          <w:rFonts w:ascii="Calibri"/>
          <w:bCs/>
          <w:color w:val="auto"/>
          <w:sz w:val="24"/>
        </w:rPr>
      </w:pPr>
      <w:r w:rsidRPr="00A964FF">
        <w:rPr>
          <w:rFonts w:ascii="Calibri" w:hint="eastAsia"/>
          <w:bCs/>
          <w:color w:val="auto"/>
          <w:sz w:val="24"/>
        </w:rPr>
        <w:t>评价区域</w:t>
      </w:r>
      <w:r w:rsidRPr="00A964FF">
        <w:rPr>
          <w:rFonts w:ascii="Calibri"/>
          <w:bCs/>
          <w:color w:val="auto"/>
          <w:sz w:val="24"/>
        </w:rPr>
        <w:t>地下水执行《地下水质量标准》（</w:t>
      </w:r>
      <w:r w:rsidRPr="00A964FF">
        <w:rPr>
          <w:rFonts w:ascii="Calibri" w:hAnsi="Calibri"/>
          <w:bCs/>
          <w:color w:val="auto"/>
          <w:sz w:val="24"/>
        </w:rPr>
        <w:t>GB/T14848-</w:t>
      </w:r>
      <w:r w:rsidRPr="00A964FF">
        <w:rPr>
          <w:rFonts w:ascii="Calibri" w:hAnsi="Calibri" w:hint="eastAsia"/>
          <w:bCs/>
          <w:color w:val="auto"/>
          <w:sz w:val="24"/>
        </w:rPr>
        <w:t>2017</w:t>
      </w:r>
      <w:r w:rsidRPr="00A964FF">
        <w:rPr>
          <w:rFonts w:ascii="Calibri"/>
          <w:bCs/>
          <w:color w:val="auto"/>
          <w:sz w:val="24"/>
        </w:rPr>
        <w:t>）</w:t>
      </w:r>
      <w:r w:rsidRPr="00A964FF">
        <w:rPr>
          <w:rFonts w:ascii="Calibri" w:hAnsi="Calibri"/>
          <w:bCs/>
          <w:color w:val="auto"/>
          <w:sz w:val="24"/>
        </w:rPr>
        <w:t>III</w:t>
      </w:r>
      <w:r w:rsidRPr="00A964FF">
        <w:rPr>
          <w:rFonts w:ascii="Calibri"/>
          <w:bCs/>
          <w:color w:val="auto"/>
          <w:sz w:val="24"/>
        </w:rPr>
        <w:t>类标准规定限值，具体限值见表</w:t>
      </w:r>
      <w:r w:rsidRPr="00A964FF">
        <w:rPr>
          <w:rFonts w:ascii="Calibri" w:hAnsi="Calibri"/>
          <w:bCs/>
          <w:color w:val="auto"/>
          <w:sz w:val="24"/>
        </w:rPr>
        <w:t>1</w:t>
      </w:r>
      <w:r w:rsidR="007C0E29" w:rsidRPr="00A964FF">
        <w:rPr>
          <w:rFonts w:ascii="Calibri" w:hAnsi="Calibri" w:hint="eastAsia"/>
          <w:bCs/>
          <w:color w:val="auto"/>
          <w:sz w:val="24"/>
        </w:rPr>
        <w:t>.</w:t>
      </w:r>
      <w:r w:rsidR="006669D1" w:rsidRPr="00A964FF">
        <w:rPr>
          <w:rFonts w:ascii="Calibri" w:hAnsi="Calibri" w:hint="eastAsia"/>
          <w:bCs/>
          <w:color w:val="auto"/>
          <w:sz w:val="24"/>
        </w:rPr>
        <w:t>4</w:t>
      </w:r>
      <w:r w:rsidRPr="00A964FF">
        <w:rPr>
          <w:rFonts w:ascii="Calibri" w:hAnsi="Calibri"/>
          <w:bCs/>
          <w:color w:val="auto"/>
          <w:sz w:val="24"/>
        </w:rPr>
        <w:t>-</w:t>
      </w:r>
      <w:r w:rsidR="006669D1" w:rsidRPr="00A964FF">
        <w:rPr>
          <w:rFonts w:ascii="Calibri" w:hAnsi="Calibri" w:hint="eastAsia"/>
          <w:bCs/>
          <w:color w:val="auto"/>
          <w:sz w:val="24"/>
        </w:rPr>
        <w:t>3</w:t>
      </w:r>
      <w:r w:rsidRPr="00A964FF">
        <w:rPr>
          <w:rFonts w:ascii="Calibri"/>
          <w:bCs/>
          <w:color w:val="auto"/>
          <w:sz w:val="24"/>
        </w:rPr>
        <w:t>。</w:t>
      </w:r>
    </w:p>
    <w:p w14:paraId="0AB77213" w14:textId="77777777" w:rsidR="0055605A" w:rsidRPr="00A964FF" w:rsidRDefault="0055605A" w:rsidP="000E33B8">
      <w:pPr>
        <w:spacing w:line="520" w:lineRule="exact"/>
        <w:ind w:firstLineChars="200" w:firstLine="480"/>
        <w:rPr>
          <w:rFonts w:ascii="Calibri" w:hAnsi="Calibri"/>
          <w:color w:val="auto"/>
          <w:sz w:val="24"/>
        </w:rPr>
      </w:pPr>
      <w:r w:rsidRPr="00A964FF">
        <w:rPr>
          <w:rFonts w:ascii="Calibri" w:eastAsia="黑体"/>
          <w:color w:val="auto"/>
          <w:sz w:val="24"/>
        </w:rPr>
        <w:t>表</w:t>
      </w:r>
      <w:r w:rsidRPr="00A964FF">
        <w:rPr>
          <w:rFonts w:ascii="Calibri" w:eastAsia="黑体" w:hAnsi="Calibri"/>
          <w:color w:val="auto"/>
          <w:sz w:val="24"/>
        </w:rPr>
        <w:t>1</w:t>
      </w:r>
      <w:r w:rsidR="007C0E29" w:rsidRPr="00A964FF">
        <w:rPr>
          <w:rFonts w:ascii="Calibri" w:eastAsia="黑体" w:hAnsi="Calibri" w:hint="eastAsia"/>
          <w:color w:val="auto"/>
          <w:sz w:val="24"/>
        </w:rPr>
        <w:t>.</w:t>
      </w:r>
      <w:r w:rsidR="006669D1" w:rsidRPr="00A964FF">
        <w:rPr>
          <w:rFonts w:ascii="Calibri" w:eastAsia="黑体" w:hAnsi="Calibri" w:hint="eastAsia"/>
          <w:color w:val="auto"/>
          <w:sz w:val="24"/>
        </w:rPr>
        <w:t>4</w:t>
      </w:r>
      <w:r w:rsidRPr="00A964FF">
        <w:rPr>
          <w:rFonts w:ascii="Calibri" w:eastAsia="黑体" w:hAnsi="Calibri"/>
          <w:color w:val="auto"/>
          <w:sz w:val="24"/>
        </w:rPr>
        <w:t>-</w:t>
      </w:r>
      <w:r w:rsidR="006669D1" w:rsidRPr="00A964FF">
        <w:rPr>
          <w:rFonts w:ascii="Calibri" w:eastAsia="黑体" w:hAnsi="Calibri" w:hint="eastAsia"/>
          <w:color w:val="auto"/>
          <w:sz w:val="24"/>
        </w:rPr>
        <w:t>3</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00034B7B"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00034B7B" w:rsidRPr="00A964FF">
        <w:rPr>
          <w:rFonts w:ascii="Calibri" w:eastAsia="黑体" w:hAnsi="Calibri" w:hint="eastAsia"/>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color w:val="auto"/>
          <w:sz w:val="24"/>
        </w:rPr>
        <w:t>地下水质量标准</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00034B7B" w:rsidRPr="00A964FF">
        <w:rPr>
          <w:rFonts w:ascii="Calibri" w:eastAsia="黑体" w:hAnsi="Calibri" w:hint="eastAsia"/>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color w:val="auto"/>
          <w:szCs w:val="21"/>
        </w:rPr>
        <w:t>单位：</w:t>
      </w:r>
      <w:r w:rsidR="00CC55BB" w:rsidRPr="00A964FF">
        <w:rPr>
          <w:rFonts w:ascii="Calibri" w:hAnsi="Calibri"/>
          <w:color w:val="auto"/>
          <w:szCs w:val="21"/>
        </w:rP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91"/>
        <w:gridCol w:w="2760"/>
        <w:gridCol w:w="3149"/>
      </w:tblGrid>
      <w:tr w:rsidR="0055605A" w:rsidRPr="00A964FF" w14:paraId="4CEE3E7B" w14:textId="77777777" w:rsidTr="003E0795">
        <w:trPr>
          <w:trHeight w:val="340"/>
          <w:jc w:val="center"/>
        </w:trPr>
        <w:tc>
          <w:tcPr>
            <w:tcW w:w="1604" w:type="pct"/>
            <w:vAlign w:val="center"/>
          </w:tcPr>
          <w:p w14:paraId="3AA00643"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color w:val="auto"/>
                <w:szCs w:val="21"/>
              </w:rPr>
              <w:t>项目</w:t>
            </w:r>
          </w:p>
        </w:tc>
        <w:tc>
          <w:tcPr>
            <w:tcW w:w="1586" w:type="pct"/>
            <w:vAlign w:val="center"/>
          </w:tcPr>
          <w:p w14:paraId="281D1D7F"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color w:val="auto"/>
                <w:szCs w:val="21"/>
              </w:rPr>
              <w:t>标准限值</w:t>
            </w:r>
          </w:p>
        </w:tc>
        <w:tc>
          <w:tcPr>
            <w:tcW w:w="1810" w:type="pct"/>
            <w:vAlign w:val="center"/>
          </w:tcPr>
          <w:p w14:paraId="00014CDC" w14:textId="77777777" w:rsidR="0055605A" w:rsidRPr="00A964FF" w:rsidRDefault="0055605A" w:rsidP="003E0795">
            <w:pPr>
              <w:spacing w:line="240" w:lineRule="exact"/>
              <w:jc w:val="center"/>
              <w:rPr>
                <w:rFonts w:ascii="Calibri" w:hAnsi="Calibri"/>
                <w:color w:val="auto"/>
                <w:szCs w:val="21"/>
              </w:rPr>
            </w:pPr>
            <w:r w:rsidRPr="00A964FF">
              <w:rPr>
                <w:rFonts w:ascii="Calibri"/>
                <w:color w:val="auto"/>
                <w:szCs w:val="21"/>
              </w:rPr>
              <w:t>标准来源</w:t>
            </w:r>
          </w:p>
        </w:tc>
      </w:tr>
      <w:tr w:rsidR="00421E4C" w:rsidRPr="00A964FF" w14:paraId="289A3BF9" w14:textId="77777777" w:rsidTr="003E0795">
        <w:trPr>
          <w:trHeight w:val="340"/>
          <w:jc w:val="center"/>
        </w:trPr>
        <w:tc>
          <w:tcPr>
            <w:tcW w:w="1604" w:type="pct"/>
            <w:vAlign w:val="center"/>
          </w:tcPr>
          <w:p w14:paraId="6ADFD51E" w14:textId="77777777" w:rsidR="00421E4C" w:rsidRPr="00A964FF" w:rsidRDefault="00421E4C" w:rsidP="003E0795">
            <w:pPr>
              <w:spacing w:line="240" w:lineRule="exact"/>
              <w:jc w:val="center"/>
              <w:rPr>
                <w:rFonts w:ascii="Calibri" w:hAnsi="Calibri"/>
                <w:color w:val="auto"/>
                <w:szCs w:val="21"/>
              </w:rPr>
            </w:pPr>
            <w:r w:rsidRPr="00A964FF">
              <w:rPr>
                <w:rFonts w:ascii="Calibri" w:hAnsi="Calibri"/>
                <w:color w:val="auto"/>
                <w:szCs w:val="21"/>
              </w:rPr>
              <w:t>pH</w:t>
            </w:r>
            <w:r w:rsidRPr="00A964FF">
              <w:rPr>
                <w:rFonts w:ascii="Calibri"/>
                <w:color w:val="auto"/>
                <w:szCs w:val="21"/>
              </w:rPr>
              <w:t>（无量纲）</w:t>
            </w:r>
          </w:p>
        </w:tc>
        <w:tc>
          <w:tcPr>
            <w:tcW w:w="1586" w:type="pct"/>
            <w:vAlign w:val="center"/>
          </w:tcPr>
          <w:p w14:paraId="27FFBED6"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6.5</w:t>
            </w:r>
            <w:r w:rsidRPr="00A964FF">
              <w:rPr>
                <w:rFonts w:ascii="Calibri" w:hAnsi="Calibri" w:hint="eastAsia"/>
                <w:color w:val="auto"/>
                <w:szCs w:val="21"/>
              </w:rPr>
              <w:t>～</w:t>
            </w:r>
            <w:r w:rsidRPr="00A964FF">
              <w:rPr>
                <w:rFonts w:ascii="Calibri" w:hAnsi="Calibri" w:hint="eastAsia"/>
                <w:color w:val="auto"/>
                <w:szCs w:val="21"/>
              </w:rPr>
              <w:t>8.5</w:t>
            </w:r>
            <w:r w:rsidRPr="00A964FF">
              <w:rPr>
                <w:rFonts w:ascii="Calibri" w:hAnsi="Calibri" w:hint="eastAsia"/>
                <w:color w:val="auto"/>
                <w:szCs w:val="21"/>
              </w:rPr>
              <w:t>（无量纲）</w:t>
            </w:r>
          </w:p>
        </w:tc>
        <w:tc>
          <w:tcPr>
            <w:tcW w:w="1810" w:type="pct"/>
            <w:vMerge w:val="restart"/>
            <w:vAlign w:val="center"/>
          </w:tcPr>
          <w:p w14:paraId="5B5499AE" w14:textId="77777777" w:rsidR="00217891" w:rsidRDefault="00217891" w:rsidP="003E0795">
            <w:pPr>
              <w:spacing w:line="240" w:lineRule="exact"/>
              <w:jc w:val="center"/>
              <w:rPr>
                <w:rFonts w:ascii="Calibri"/>
                <w:color w:val="auto"/>
                <w:szCs w:val="21"/>
              </w:rPr>
            </w:pPr>
          </w:p>
          <w:p w14:paraId="362588DF" w14:textId="77777777" w:rsidR="00217891" w:rsidRDefault="00217891" w:rsidP="003E0795">
            <w:pPr>
              <w:spacing w:line="240" w:lineRule="exact"/>
              <w:jc w:val="center"/>
              <w:rPr>
                <w:rFonts w:ascii="Calibri"/>
                <w:color w:val="auto"/>
                <w:szCs w:val="21"/>
              </w:rPr>
            </w:pPr>
          </w:p>
          <w:p w14:paraId="4D3B13ED" w14:textId="77777777" w:rsidR="00217891" w:rsidRDefault="00217891" w:rsidP="003E0795">
            <w:pPr>
              <w:spacing w:line="240" w:lineRule="exact"/>
              <w:jc w:val="center"/>
              <w:rPr>
                <w:rFonts w:ascii="Calibri"/>
                <w:color w:val="auto"/>
                <w:szCs w:val="21"/>
              </w:rPr>
            </w:pPr>
          </w:p>
          <w:p w14:paraId="420D8048" w14:textId="77777777" w:rsidR="00217891" w:rsidRDefault="00217891" w:rsidP="003E0795">
            <w:pPr>
              <w:spacing w:line="240" w:lineRule="exact"/>
              <w:jc w:val="center"/>
              <w:rPr>
                <w:rFonts w:ascii="Calibri"/>
                <w:color w:val="auto"/>
                <w:szCs w:val="21"/>
              </w:rPr>
            </w:pPr>
          </w:p>
          <w:p w14:paraId="47E4ECCB" w14:textId="77777777" w:rsidR="00217891" w:rsidRDefault="00217891" w:rsidP="003E0795">
            <w:pPr>
              <w:spacing w:line="240" w:lineRule="exact"/>
              <w:jc w:val="center"/>
              <w:rPr>
                <w:rFonts w:ascii="Calibri"/>
                <w:color w:val="auto"/>
                <w:szCs w:val="21"/>
              </w:rPr>
            </w:pPr>
          </w:p>
          <w:p w14:paraId="79E4CD32" w14:textId="77777777" w:rsidR="00217891" w:rsidRDefault="00217891" w:rsidP="003E0795">
            <w:pPr>
              <w:spacing w:line="240" w:lineRule="exact"/>
              <w:jc w:val="center"/>
              <w:rPr>
                <w:rFonts w:ascii="Calibri"/>
                <w:color w:val="auto"/>
                <w:szCs w:val="21"/>
              </w:rPr>
            </w:pPr>
          </w:p>
          <w:p w14:paraId="5BCDF004" w14:textId="77777777" w:rsidR="00217891" w:rsidRDefault="00217891" w:rsidP="003E0795">
            <w:pPr>
              <w:spacing w:line="240" w:lineRule="exact"/>
              <w:jc w:val="center"/>
              <w:rPr>
                <w:rFonts w:ascii="Calibri"/>
                <w:color w:val="auto"/>
                <w:szCs w:val="21"/>
              </w:rPr>
            </w:pPr>
          </w:p>
          <w:p w14:paraId="180F1B38" w14:textId="77777777" w:rsidR="00217891" w:rsidRDefault="00217891" w:rsidP="003E0795">
            <w:pPr>
              <w:spacing w:line="240" w:lineRule="exact"/>
              <w:jc w:val="center"/>
              <w:rPr>
                <w:rFonts w:ascii="Calibri"/>
                <w:color w:val="auto"/>
                <w:szCs w:val="21"/>
              </w:rPr>
            </w:pPr>
          </w:p>
          <w:p w14:paraId="37FE4390" w14:textId="77777777" w:rsidR="00217891" w:rsidRDefault="00217891" w:rsidP="003E0795">
            <w:pPr>
              <w:spacing w:line="240" w:lineRule="exact"/>
              <w:jc w:val="center"/>
              <w:rPr>
                <w:rFonts w:ascii="Calibri"/>
                <w:color w:val="auto"/>
                <w:szCs w:val="21"/>
              </w:rPr>
            </w:pPr>
          </w:p>
          <w:p w14:paraId="45511166" w14:textId="77777777" w:rsidR="00217891" w:rsidRDefault="00217891" w:rsidP="003E0795">
            <w:pPr>
              <w:spacing w:line="240" w:lineRule="exact"/>
              <w:jc w:val="center"/>
              <w:rPr>
                <w:rFonts w:ascii="Calibri"/>
                <w:color w:val="auto"/>
                <w:szCs w:val="21"/>
              </w:rPr>
            </w:pPr>
          </w:p>
          <w:p w14:paraId="1948D09E" w14:textId="750B15D2" w:rsidR="00421E4C" w:rsidRPr="00A964FF" w:rsidRDefault="00421E4C" w:rsidP="003E0795">
            <w:pPr>
              <w:spacing w:line="240" w:lineRule="exact"/>
              <w:jc w:val="center"/>
              <w:rPr>
                <w:rFonts w:ascii="Calibri"/>
                <w:color w:val="auto"/>
                <w:szCs w:val="21"/>
              </w:rPr>
            </w:pPr>
            <w:r w:rsidRPr="00A964FF">
              <w:rPr>
                <w:rFonts w:ascii="Calibri" w:hint="eastAsia"/>
                <w:color w:val="auto"/>
                <w:szCs w:val="21"/>
              </w:rPr>
              <w:t>《地下水质量标准》（</w:t>
            </w:r>
            <w:r w:rsidRPr="00A964FF">
              <w:rPr>
                <w:rFonts w:ascii="Calibri" w:hint="eastAsia"/>
                <w:color w:val="auto"/>
                <w:szCs w:val="21"/>
              </w:rPr>
              <w:t>GB/T14848-2017</w:t>
            </w:r>
            <w:r w:rsidRPr="00A964FF">
              <w:rPr>
                <w:rFonts w:ascii="Calibri"/>
                <w:color w:val="auto"/>
                <w:szCs w:val="21"/>
              </w:rPr>
              <w:t>）</w:t>
            </w:r>
          </w:p>
          <w:p w14:paraId="1977EBB5" w14:textId="77777777" w:rsidR="00421E4C" w:rsidRPr="00A964FF" w:rsidRDefault="00421E4C" w:rsidP="003E0795">
            <w:pPr>
              <w:spacing w:line="240" w:lineRule="exact"/>
              <w:jc w:val="center"/>
              <w:rPr>
                <w:rFonts w:ascii="Calibri" w:hAnsi="Calibri"/>
                <w:color w:val="auto"/>
                <w:szCs w:val="21"/>
              </w:rPr>
            </w:pPr>
            <w:r w:rsidRPr="00A964FF">
              <w:rPr>
                <w:rFonts w:ascii="Calibri" w:hAnsi="Calibri"/>
                <w:color w:val="auto"/>
                <w:szCs w:val="21"/>
              </w:rPr>
              <w:t>III</w:t>
            </w:r>
            <w:r w:rsidRPr="00A964FF">
              <w:rPr>
                <w:rFonts w:ascii="Calibri"/>
                <w:color w:val="auto"/>
                <w:szCs w:val="21"/>
              </w:rPr>
              <w:t>类标准</w:t>
            </w:r>
          </w:p>
        </w:tc>
      </w:tr>
      <w:tr w:rsidR="00421E4C" w:rsidRPr="00A964FF" w14:paraId="1AFA6BD6" w14:textId="77777777" w:rsidTr="003E0795">
        <w:trPr>
          <w:trHeight w:val="340"/>
          <w:jc w:val="center"/>
        </w:trPr>
        <w:tc>
          <w:tcPr>
            <w:tcW w:w="1604" w:type="pct"/>
            <w:vAlign w:val="center"/>
          </w:tcPr>
          <w:p w14:paraId="3FFB824B" w14:textId="77777777" w:rsidR="00421E4C" w:rsidRPr="00A964FF" w:rsidRDefault="00421E4C" w:rsidP="003E0795">
            <w:pPr>
              <w:spacing w:line="240" w:lineRule="exact"/>
              <w:jc w:val="center"/>
              <w:rPr>
                <w:rFonts w:ascii="Calibri" w:hAnsi="Calibri"/>
                <w:color w:val="auto"/>
                <w:szCs w:val="21"/>
              </w:rPr>
            </w:pPr>
            <w:r w:rsidRPr="00A964FF">
              <w:rPr>
                <w:rFonts w:ascii="Calibri" w:hAnsi="Calibri" w:hint="eastAsia"/>
                <w:color w:val="auto"/>
                <w:szCs w:val="21"/>
              </w:rPr>
              <w:t>氨氮</w:t>
            </w:r>
          </w:p>
        </w:tc>
        <w:tc>
          <w:tcPr>
            <w:tcW w:w="1586" w:type="pct"/>
            <w:vAlign w:val="center"/>
          </w:tcPr>
          <w:p w14:paraId="2EC251FC"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0.50</w:t>
            </w:r>
          </w:p>
        </w:tc>
        <w:tc>
          <w:tcPr>
            <w:tcW w:w="1810" w:type="pct"/>
            <w:vMerge/>
            <w:vAlign w:val="center"/>
          </w:tcPr>
          <w:p w14:paraId="6FD0091C" w14:textId="77777777" w:rsidR="00421E4C" w:rsidRPr="00A964FF" w:rsidRDefault="00421E4C" w:rsidP="003E0795">
            <w:pPr>
              <w:jc w:val="center"/>
              <w:rPr>
                <w:rFonts w:ascii="Calibri" w:hAnsi="Calibri"/>
                <w:color w:val="auto"/>
              </w:rPr>
            </w:pPr>
          </w:p>
        </w:tc>
      </w:tr>
      <w:tr w:rsidR="00421E4C" w:rsidRPr="00A964FF" w14:paraId="0F622574" w14:textId="77777777" w:rsidTr="003E0795">
        <w:trPr>
          <w:trHeight w:val="340"/>
          <w:jc w:val="center"/>
        </w:trPr>
        <w:tc>
          <w:tcPr>
            <w:tcW w:w="1604" w:type="pct"/>
            <w:vAlign w:val="center"/>
          </w:tcPr>
          <w:p w14:paraId="1407C38A"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硝酸盐</w:t>
            </w:r>
          </w:p>
        </w:tc>
        <w:tc>
          <w:tcPr>
            <w:tcW w:w="1586" w:type="pct"/>
            <w:vAlign w:val="center"/>
          </w:tcPr>
          <w:p w14:paraId="08E553F6"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20.0</w:t>
            </w:r>
          </w:p>
        </w:tc>
        <w:tc>
          <w:tcPr>
            <w:tcW w:w="1810" w:type="pct"/>
            <w:vMerge/>
            <w:vAlign w:val="center"/>
          </w:tcPr>
          <w:p w14:paraId="60D2BB23" w14:textId="77777777" w:rsidR="00421E4C" w:rsidRPr="00A964FF" w:rsidRDefault="00421E4C" w:rsidP="003E0795">
            <w:pPr>
              <w:jc w:val="center"/>
              <w:rPr>
                <w:rFonts w:ascii="Calibri" w:hAnsi="Calibri"/>
                <w:color w:val="auto"/>
              </w:rPr>
            </w:pPr>
          </w:p>
        </w:tc>
      </w:tr>
      <w:tr w:rsidR="00421E4C" w:rsidRPr="00A964FF" w14:paraId="7DD647DA" w14:textId="77777777" w:rsidTr="003E0795">
        <w:trPr>
          <w:trHeight w:val="340"/>
          <w:jc w:val="center"/>
        </w:trPr>
        <w:tc>
          <w:tcPr>
            <w:tcW w:w="1604" w:type="pct"/>
            <w:vAlign w:val="center"/>
          </w:tcPr>
          <w:p w14:paraId="434390A8"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亚硝酸盐</w:t>
            </w:r>
          </w:p>
        </w:tc>
        <w:tc>
          <w:tcPr>
            <w:tcW w:w="1586" w:type="pct"/>
            <w:vAlign w:val="center"/>
          </w:tcPr>
          <w:p w14:paraId="12115BBE"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1.00</w:t>
            </w:r>
          </w:p>
        </w:tc>
        <w:tc>
          <w:tcPr>
            <w:tcW w:w="1810" w:type="pct"/>
            <w:vMerge/>
            <w:vAlign w:val="center"/>
          </w:tcPr>
          <w:p w14:paraId="3EF95247" w14:textId="77777777" w:rsidR="00421E4C" w:rsidRPr="00A964FF" w:rsidRDefault="00421E4C" w:rsidP="003E0795">
            <w:pPr>
              <w:jc w:val="center"/>
              <w:rPr>
                <w:rFonts w:ascii="Calibri" w:hAnsi="Calibri"/>
                <w:color w:val="auto"/>
              </w:rPr>
            </w:pPr>
          </w:p>
        </w:tc>
      </w:tr>
      <w:tr w:rsidR="00421E4C" w:rsidRPr="00A964FF" w14:paraId="0A7FE7F5" w14:textId="77777777" w:rsidTr="003E0795">
        <w:trPr>
          <w:trHeight w:val="340"/>
          <w:jc w:val="center"/>
        </w:trPr>
        <w:tc>
          <w:tcPr>
            <w:tcW w:w="1604" w:type="pct"/>
            <w:vAlign w:val="center"/>
          </w:tcPr>
          <w:p w14:paraId="208F8323"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lastRenderedPageBreak/>
              <w:t>挥发性酚类</w:t>
            </w:r>
          </w:p>
        </w:tc>
        <w:tc>
          <w:tcPr>
            <w:tcW w:w="1586" w:type="pct"/>
            <w:vAlign w:val="center"/>
          </w:tcPr>
          <w:p w14:paraId="3CA6A2D1"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0.002</w:t>
            </w:r>
          </w:p>
        </w:tc>
        <w:tc>
          <w:tcPr>
            <w:tcW w:w="1810" w:type="pct"/>
            <w:vMerge/>
            <w:vAlign w:val="center"/>
          </w:tcPr>
          <w:p w14:paraId="5FC1023E" w14:textId="77777777" w:rsidR="00421E4C" w:rsidRPr="00A964FF" w:rsidRDefault="00421E4C" w:rsidP="003E0795">
            <w:pPr>
              <w:jc w:val="center"/>
              <w:rPr>
                <w:rFonts w:ascii="Calibri" w:hAnsi="Calibri"/>
                <w:color w:val="auto"/>
              </w:rPr>
            </w:pPr>
          </w:p>
        </w:tc>
      </w:tr>
      <w:tr w:rsidR="00421E4C" w:rsidRPr="00A964FF" w14:paraId="27BBF2DB" w14:textId="77777777" w:rsidTr="003E0795">
        <w:trPr>
          <w:trHeight w:val="340"/>
          <w:jc w:val="center"/>
        </w:trPr>
        <w:tc>
          <w:tcPr>
            <w:tcW w:w="1604" w:type="pct"/>
            <w:vAlign w:val="center"/>
          </w:tcPr>
          <w:p w14:paraId="67F256E7"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氰化物</w:t>
            </w:r>
          </w:p>
        </w:tc>
        <w:tc>
          <w:tcPr>
            <w:tcW w:w="1586" w:type="pct"/>
            <w:vAlign w:val="center"/>
          </w:tcPr>
          <w:p w14:paraId="56FCBEE6"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0.05</w:t>
            </w:r>
          </w:p>
        </w:tc>
        <w:tc>
          <w:tcPr>
            <w:tcW w:w="1810" w:type="pct"/>
            <w:vMerge/>
            <w:vAlign w:val="center"/>
          </w:tcPr>
          <w:p w14:paraId="3934555F" w14:textId="77777777" w:rsidR="00421E4C" w:rsidRPr="00A964FF" w:rsidRDefault="00421E4C" w:rsidP="003E0795">
            <w:pPr>
              <w:jc w:val="center"/>
              <w:rPr>
                <w:rFonts w:ascii="Calibri" w:hAnsi="Calibri"/>
                <w:color w:val="auto"/>
              </w:rPr>
            </w:pPr>
          </w:p>
        </w:tc>
      </w:tr>
      <w:tr w:rsidR="00421E4C" w:rsidRPr="00A964FF" w14:paraId="2BDEDAE8" w14:textId="77777777" w:rsidTr="003E0795">
        <w:trPr>
          <w:trHeight w:val="340"/>
          <w:jc w:val="center"/>
        </w:trPr>
        <w:tc>
          <w:tcPr>
            <w:tcW w:w="1604" w:type="pct"/>
            <w:vAlign w:val="center"/>
          </w:tcPr>
          <w:p w14:paraId="70609120"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砷</w:t>
            </w:r>
          </w:p>
        </w:tc>
        <w:tc>
          <w:tcPr>
            <w:tcW w:w="1586" w:type="pct"/>
            <w:vAlign w:val="center"/>
          </w:tcPr>
          <w:p w14:paraId="43AC6319"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0.01</w:t>
            </w:r>
          </w:p>
        </w:tc>
        <w:tc>
          <w:tcPr>
            <w:tcW w:w="1810" w:type="pct"/>
            <w:vMerge/>
            <w:vAlign w:val="center"/>
          </w:tcPr>
          <w:p w14:paraId="47629444" w14:textId="77777777" w:rsidR="00421E4C" w:rsidRPr="00A964FF" w:rsidRDefault="00421E4C" w:rsidP="003E0795">
            <w:pPr>
              <w:jc w:val="center"/>
              <w:rPr>
                <w:rFonts w:ascii="Calibri" w:hAnsi="Calibri"/>
                <w:color w:val="auto"/>
              </w:rPr>
            </w:pPr>
          </w:p>
        </w:tc>
      </w:tr>
      <w:tr w:rsidR="00421E4C" w:rsidRPr="00A964FF" w14:paraId="7ADFAB0F" w14:textId="77777777" w:rsidTr="003E0795">
        <w:trPr>
          <w:trHeight w:val="340"/>
          <w:jc w:val="center"/>
        </w:trPr>
        <w:tc>
          <w:tcPr>
            <w:tcW w:w="1604" w:type="pct"/>
            <w:vAlign w:val="center"/>
          </w:tcPr>
          <w:p w14:paraId="1F80C6D5"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汞</w:t>
            </w:r>
          </w:p>
        </w:tc>
        <w:tc>
          <w:tcPr>
            <w:tcW w:w="1586" w:type="pct"/>
            <w:vAlign w:val="center"/>
          </w:tcPr>
          <w:p w14:paraId="2A5896F9"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0.001</w:t>
            </w:r>
          </w:p>
        </w:tc>
        <w:tc>
          <w:tcPr>
            <w:tcW w:w="1810" w:type="pct"/>
            <w:vMerge/>
            <w:vAlign w:val="center"/>
          </w:tcPr>
          <w:p w14:paraId="23A48DC6" w14:textId="77777777" w:rsidR="00421E4C" w:rsidRPr="00A964FF" w:rsidRDefault="00421E4C" w:rsidP="003E0795">
            <w:pPr>
              <w:jc w:val="center"/>
              <w:rPr>
                <w:rFonts w:ascii="Calibri" w:hAnsi="Calibri"/>
                <w:color w:val="auto"/>
              </w:rPr>
            </w:pPr>
          </w:p>
        </w:tc>
      </w:tr>
      <w:tr w:rsidR="00421E4C" w:rsidRPr="00A964FF" w14:paraId="48EC583F" w14:textId="77777777" w:rsidTr="003E0795">
        <w:trPr>
          <w:trHeight w:val="340"/>
          <w:jc w:val="center"/>
        </w:trPr>
        <w:tc>
          <w:tcPr>
            <w:tcW w:w="1604" w:type="pct"/>
            <w:vAlign w:val="center"/>
          </w:tcPr>
          <w:p w14:paraId="71B25F40"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铬（六价）</w:t>
            </w:r>
          </w:p>
        </w:tc>
        <w:tc>
          <w:tcPr>
            <w:tcW w:w="1586" w:type="pct"/>
            <w:vAlign w:val="center"/>
          </w:tcPr>
          <w:p w14:paraId="62FCFD61"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0.05</w:t>
            </w:r>
          </w:p>
        </w:tc>
        <w:tc>
          <w:tcPr>
            <w:tcW w:w="1810" w:type="pct"/>
            <w:vMerge/>
            <w:vAlign w:val="center"/>
          </w:tcPr>
          <w:p w14:paraId="1E915811" w14:textId="77777777" w:rsidR="00421E4C" w:rsidRPr="00A964FF" w:rsidRDefault="00421E4C" w:rsidP="003E0795">
            <w:pPr>
              <w:jc w:val="center"/>
              <w:rPr>
                <w:rFonts w:ascii="Calibri" w:hAnsi="Calibri"/>
                <w:color w:val="auto"/>
              </w:rPr>
            </w:pPr>
          </w:p>
        </w:tc>
      </w:tr>
      <w:tr w:rsidR="00421E4C" w:rsidRPr="00A964FF" w14:paraId="673FE48C" w14:textId="77777777" w:rsidTr="003E0795">
        <w:trPr>
          <w:trHeight w:val="340"/>
          <w:jc w:val="center"/>
        </w:trPr>
        <w:tc>
          <w:tcPr>
            <w:tcW w:w="1604" w:type="pct"/>
            <w:vAlign w:val="center"/>
          </w:tcPr>
          <w:p w14:paraId="2E023B16"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总硬度</w:t>
            </w:r>
          </w:p>
        </w:tc>
        <w:tc>
          <w:tcPr>
            <w:tcW w:w="1586" w:type="pct"/>
            <w:vAlign w:val="center"/>
          </w:tcPr>
          <w:p w14:paraId="26A1786F"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450</w:t>
            </w:r>
          </w:p>
        </w:tc>
        <w:tc>
          <w:tcPr>
            <w:tcW w:w="1810" w:type="pct"/>
            <w:vMerge/>
            <w:vAlign w:val="center"/>
          </w:tcPr>
          <w:p w14:paraId="1B961211" w14:textId="77777777" w:rsidR="00421E4C" w:rsidRPr="00A964FF" w:rsidRDefault="00421E4C" w:rsidP="003E0795">
            <w:pPr>
              <w:jc w:val="center"/>
              <w:rPr>
                <w:rFonts w:ascii="Calibri" w:hAnsi="Calibri"/>
                <w:color w:val="auto"/>
              </w:rPr>
            </w:pPr>
          </w:p>
        </w:tc>
      </w:tr>
      <w:tr w:rsidR="00421E4C" w:rsidRPr="00A964FF" w14:paraId="11782683" w14:textId="77777777" w:rsidTr="003E0795">
        <w:trPr>
          <w:trHeight w:val="340"/>
          <w:jc w:val="center"/>
        </w:trPr>
        <w:tc>
          <w:tcPr>
            <w:tcW w:w="1604" w:type="pct"/>
            <w:vAlign w:val="center"/>
          </w:tcPr>
          <w:p w14:paraId="192FCEEA"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铅</w:t>
            </w:r>
          </w:p>
        </w:tc>
        <w:tc>
          <w:tcPr>
            <w:tcW w:w="1586" w:type="pct"/>
            <w:vAlign w:val="center"/>
          </w:tcPr>
          <w:p w14:paraId="5A21AABE"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0.01</w:t>
            </w:r>
          </w:p>
        </w:tc>
        <w:tc>
          <w:tcPr>
            <w:tcW w:w="1810" w:type="pct"/>
            <w:vMerge/>
            <w:vAlign w:val="center"/>
          </w:tcPr>
          <w:p w14:paraId="58A01CA7" w14:textId="77777777" w:rsidR="00421E4C" w:rsidRPr="00A964FF" w:rsidRDefault="00421E4C" w:rsidP="003E0795">
            <w:pPr>
              <w:jc w:val="center"/>
              <w:rPr>
                <w:rFonts w:ascii="Calibri" w:hAnsi="Calibri"/>
                <w:color w:val="auto"/>
              </w:rPr>
            </w:pPr>
          </w:p>
        </w:tc>
      </w:tr>
      <w:tr w:rsidR="00421E4C" w:rsidRPr="00A964FF" w14:paraId="2DA2BFE0" w14:textId="77777777" w:rsidTr="003E0795">
        <w:trPr>
          <w:trHeight w:val="340"/>
          <w:jc w:val="center"/>
        </w:trPr>
        <w:tc>
          <w:tcPr>
            <w:tcW w:w="1604" w:type="pct"/>
            <w:vAlign w:val="center"/>
          </w:tcPr>
          <w:p w14:paraId="496A1C06"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氟</w:t>
            </w:r>
          </w:p>
        </w:tc>
        <w:tc>
          <w:tcPr>
            <w:tcW w:w="1586" w:type="pct"/>
            <w:vAlign w:val="center"/>
          </w:tcPr>
          <w:p w14:paraId="06C1E102"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1.0</w:t>
            </w:r>
          </w:p>
        </w:tc>
        <w:tc>
          <w:tcPr>
            <w:tcW w:w="1810" w:type="pct"/>
            <w:vMerge/>
            <w:vAlign w:val="center"/>
          </w:tcPr>
          <w:p w14:paraId="56E1C080" w14:textId="77777777" w:rsidR="00421E4C" w:rsidRPr="00A964FF" w:rsidRDefault="00421E4C" w:rsidP="003E0795">
            <w:pPr>
              <w:jc w:val="center"/>
              <w:rPr>
                <w:rFonts w:ascii="Calibri" w:hAnsi="Calibri"/>
                <w:color w:val="auto"/>
              </w:rPr>
            </w:pPr>
          </w:p>
        </w:tc>
      </w:tr>
      <w:tr w:rsidR="00421E4C" w:rsidRPr="00A964FF" w14:paraId="5235CE07" w14:textId="77777777" w:rsidTr="003E0795">
        <w:trPr>
          <w:trHeight w:val="340"/>
          <w:jc w:val="center"/>
        </w:trPr>
        <w:tc>
          <w:tcPr>
            <w:tcW w:w="1604" w:type="pct"/>
            <w:vAlign w:val="center"/>
          </w:tcPr>
          <w:p w14:paraId="57A7B1E4"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镉</w:t>
            </w:r>
          </w:p>
        </w:tc>
        <w:tc>
          <w:tcPr>
            <w:tcW w:w="1586" w:type="pct"/>
            <w:vAlign w:val="center"/>
          </w:tcPr>
          <w:p w14:paraId="57605689"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0.005</w:t>
            </w:r>
          </w:p>
        </w:tc>
        <w:tc>
          <w:tcPr>
            <w:tcW w:w="1810" w:type="pct"/>
            <w:vMerge/>
            <w:vAlign w:val="center"/>
          </w:tcPr>
          <w:p w14:paraId="25E4B663" w14:textId="77777777" w:rsidR="00421E4C" w:rsidRPr="00A964FF" w:rsidRDefault="00421E4C" w:rsidP="003E0795">
            <w:pPr>
              <w:jc w:val="center"/>
              <w:rPr>
                <w:rFonts w:ascii="Calibri" w:hAnsi="Calibri"/>
                <w:color w:val="auto"/>
              </w:rPr>
            </w:pPr>
          </w:p>
        </w:tc>
      </w:tr>
      <w:tr w:rsidR="00421E4C" w:rsidRPr="00A964FF" w14:paraId="68B1BC0F" w14:textId="77777777" w:rsidTr="003E0795">
        <w:trPr>
          <w:trHeight w:val="340"/>
          <w:jc w:val="center"/>
        </w:trPr>
        <w:tc>
          <w:tcPr>
            <w:tcW w:w="1604" w:type="pct"/>
            <w:vAlign w:val="center"/>
          </w:tcPr>
          <w:p w14:paraId="752DC91E"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铁</w:t>
            </w:r>
          </w:p>
        </w:tc>
        <w:tc>
          <w:tcPr>
            <w:tcW w:w="1586" w:type="pct"/>
            <w:vAlign w:val="center"/>
          </w:tcPr>
          <w:p w14:paraId="78897749"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0.3</w:t>
            </w:r>
          </w:p>
        </w:tc>
        <w:tc>
          <w:tcPr>
            <w:tcW w:w="1810" w:type="pct"/>
            <w:vMerge/>
            <w:vAlign w:val="center"/>
          </w:tcPr>
          <w:p w14:paraId="4CB2213B" w14:textId="77777777" w:rsidR="00421E4C" w:rsidRPr="00A964FF" w:rsidRDefault="00421E4C" w:rsidP="003E0795">
            <w:pPr>
              <w:jc w:val="center"/>
              <w:rPr>
                <w:rFonts w:ascii="Calibri" w:hAnsi="Calibri"/>
                <w:color w:val="auto"/>
              </w:rPr>
            </w:pPr>
          </w:p>
        </w:tc>
      </w:tr>
      <w:tr w:rsidR="00421E4C" w:rsidRPr="00A964FF" w14:paraId="55DC8BBE" w14:textId="77777777" w:rsidTr="003E0795">
        <w:trPr>
          <w:trHeight w:val="340"/>
          <w:jc w:val="center"/>
        </w:trPr>
        <w:tc>
          <w:tcPr>
            <w:tcW w:w="1604" w:type="pct"/>
            <w:vAlign w:val="center"/>
          </w:tcPr>
          <w:p w14:paraId="05886D4F"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锰</w:t>
            </w:r>
          </w:p>
        </w:tc>
        <w:tc>
          <w:tcPr>
            <w:tcW w:w="1586" w:type="pct"/>
            <w:vAlign w:val="center"/>
          </w:tcPr>
          <w:p w14:paraId="5DD62BB7"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0.10</w:t>
            </w:r>
          </w:p>
        </w:tc>
        <w:tc>
          <w:tcPr>
            <w:tcW w:w="1810" w:type="pct"/>
            <w:vMerge/>
            <w:vAlign w:val="center"/>
          </w:tcPr>
          <w:p w14:paraId="7C57F846" w14:textId="77777777" w:rsidR="00421E4C" w:rsidRPr="00A964FF" w:rsidRDefault="00421E4C" w:rsidP="003E0795">
            <w:pPr>
              <w:jc w:val="center"/>
              <w:rPr>
                <w:rFonts w:ascii="Calibri" w:hAnsi="Calibri"/>
                <w:color w:val="auto"/>
              </w:rPr>
            </w:pPr>
          </w:p>
        </w:tc>
      </w:tr>
      <w:tr w:rsidR="00421E4C" w:rsidRPr="00A964FF" w14:paraId="473BE973" w14:textId="77777777" w:rsidTr="003E0795">
        <w:trPr>
          <w:trHeight w:val="340"/>
          <w:jc w:val="center"/>
        </w:trPr>
        <w:tc>
          <w:tcPr>
            <w:tcW w:w="1604" w:type="pct"/>
            <w:vAlign w:val="center"/>
          </w:tcPr>
          <w:p w14:paraId="08E9CAAC"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溶解性总固体</w:t>
            </w:r>
          </w:p>
        </w:tc>
        <w:tc>
          <w:tcPr>
            <w:tcW w:w="1586" w:type="pct"/>
            <w:vAlign w:val="center"/>
          </w:tcPr>
          <w:p w14:paraId="0C10E960"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1000</w:t>
            </w:r>
          </w:p>
        </w:tc>
        <w:tc>
          <w:tcPr>
            <w:tcW w:w="1810" w:type="pct"/>
            <w:vMerge/>
            <w:vAlign w:val="center"/>
          </w:tcPr>
          <w:p w14:paraId="7FD5C6E3" w14:textId="77777777" w:rsidR="00421E4C" w:rsidRPr="00A964FF" w:rsidRDefault="00421E4C" w:rsidP="003E0795">
            <w:pPr>
              <w:jc w:val="center"/>
              <w:rPr>
                <w:rFonts w:ascii="Calibri" w:hAnsi="Calibri"/>
                <w:color w:val="auto"/>
              </w:rPr>
            </w:pPr>
          </w:p>
        </w:tc>
      </w:tr>
      <w:tr w:rsidR="00421E4C" w:rsidRPr="00A964FF" w14:paraId="6A80BEFD" w14:textId="77777777" w:rsidTr="003E0795">
        <w:trPr>
          <w:trHeight w:val="340"/>
          <w:jc w:val="center"/>
        </w:trPr>
        <w:tc>
          <w:tcPr>
            <w:tcW w:w="1604" w:type="pct"/>
            <w:vAlign w:val="center"/>
          </w:tcPr>
          <w:p w14:paraId="6077CBB3"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耗氧量（</w:t>
            </w:r>
            <w:r w:rsidRPr="00A964FF">
              <w:rPr>
                <w:rFonts w:ascii="Calibri" w:hAnsi="Calibri" w:hint="eastAsia"/>
                <w:color w:val="auto"/>
                <w:szCs w:val="21"/>
              </w:rPr>
              <w:t>COD</w:t>
            </w:r>
            <w:r w:rsidRPr="00A964FF">
              <w:rPr>
                <w:rFonts w:ascii="Calibri" w:hAnsi="Calibri" w:hint="eastAsia"/>
                <w:color w:val="auto"/>
                <w:szCs w:val="21"/>
                <w:vertAlign w:val="subscript"/>
              </w:rPr>
              <w:t>Mn</w:t>
            </w:r>
            <w:r w:rsidRPr="00A964FF">
              <w:rPr>
                <w:rFonts w:ascii="Calibri" w:hAnsi="Calibri" w:hint="eastAsia"/>
                <w:color w:val="auto"/>
                <w:szCs w:val="21"/>
              </w:rPr>
              <w:t>法，以</w:t>
            </w:r>
            <w:r w:rsidRPr="00A964FF">
              <w:rPr>
                <w:rFonts w:ascii="Calibri" w:hAnsi="Calibri" w:hint="eastAsia"/>
                <w:color w:val="auto"/>
                <w:szCs w:val="21"/>
              </w:rPr>
              <w:t>O</w:t>
            </w:r>
            <w:r w:rsidRPr="00A964FF">
              <w:rPr>
                <w:rFonts w:ascii="Calibri" w:hAnsi="Calibri" w:hint="eastAsia"/>
                <w:color w:val="auto"/>
                <w:szCs w:val="21"/>
                <w:vertAlign w:val="subscript"/>
              </w:rPr>
              <w:t>2</w:t>
            </w:r>
            <w:r w:rsidRPr="00A964FF">
              <w:rPr>
                <w:rFonts w:ascii="Calibri" w:hAnsi="Calibri" w:hint="eastAsia"/>
                <w:color w:val="auto"/>
                <w:szCs w:val="21"/>
              </w:rPr>
              <w:t>计）</w:t>
            </w:r>
          </w:p>
        </w:tc>
        <w:tc>
          <w:tcPr>
            <w:tcW w:w="1586" w:type="pct"/>
            <w:vAlign w:val="center"/>
          </w:tcPr>
          <w:p w14:paraId="6ECE7395"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3.0</w:t>
            </w:r>
          </w:p>
        </w:tc>
        <w:tc>
          <w:tcPr>
            <w:tcW w:w="1810" w:type="pct"/>
            <w:vMerge/>
            <w:vAlign w:val="center"/>
          </w:tcPr>
          <w:p w14:paraId="01350801" w14:textId="77777777" w:rsidR="00421E4C" w:rsidRPr="00A964FF" w:rsidRDefault="00421E4C" w:rsidP="003E0795">
            <w:pPr>
              <w:jc w:val="center"/>
              <w:rPr>
                <w:rFonts w:ascii="Calibri" w:hAnsi="Calibri"/>
                <w:color w:val="auto"/>
              </w:rPr>
            </w:pPr>
          </w:p>
        </w:tc>
      </w:tr>
      <w:tr w:rsidR="00421E4C" w:rsidRPr="00A964FF" w14:paraId="1C05618D" w14:textId="77777777" w:rsidTr="003E0795">
        <w:trPr>
          <w:trHeight w:val="340"/>
          <w:jc w:val="center"/>
        </w:trPr>
        <w:tc>
          <w:tcPr>
            <w:tcW w:w="1604" w:type="pct"/>
            <w:vAlign w:val="center"/>
          </w:tcPr>
          <w:p w14:paraId="682BEBB1"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硫酸盐</w:t>
            </w:r>
          </w:p>
        </w:tc>
        <w:tc>
          <w:tcPr>
            <w:tcW w:w="1586" w:type="pct"/>
            <w:vAlign w:val="center"/>
          </w:tcPr>
          <w:p w14:paraId="77FDCD4C"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250</w:t>
            </w:r>
          </w:p>
        </w:tc>
        <w:tc>
          <w:tcPr>
            <w:tcW w:w="1810" w:type="pct"/>
            <w:vMerge/>
            <w:vAlign w:val="center"/>
          </w:tcPr>
          <w:p w14:paraId="5EB9E14E" w14:textId="77777777" w:rsidR="00421E4C" w:rsidRPr="00A964FF" w:rsidRDefault="00421E4C" w:rsidP="003E0795">
            <w:pPr>
              <w:jc w:val="center"/>
              <w:rPr>
                <w:rFonts w:ascii="Calibri" w:hAnsi="Calibri"/>
                <w:color w:val="auto"/>
              </w:rPr>
            </w:pPr>
          </w:p>
        </w:tc>
      </w:tr>
      <w:tr w:rsidR="00421E4C" w:rsidRPr="00A964FF" w14:paraId="718EA752" w14:textId="77777777" w:rsidTr="003E0795">
        <w:trPr>
          <w:trHeight w:val="340"/>
          <w:jc w:val="center"/>
        </w:trPr>
        <w:tc>
          <w:tcPr>
            <w:tcW w:w="1604" w:type="pct"/>
            <w:vAlign w:val="center"/>
          </w:tcPr>
          <w:p w14:paraId="157C2D80" w14:textId="77777777" w:rsidR="00421E4C" w:rsidRPr="00A964FF" w:rsidRDefault="00421E4C" w:rsidP="003E0795">
            <w:pPr>
              <w:pStyle w:val="a1"/>
              <w:ind w:firstLine="0"/>
              <w:jc w:val="center"/>
              <w:rPr>
                <w:rFonts w:ascii="Calibri" w:hAnsi="Calibri"/>
                <w:color w:val="auto"/>
                <w:szCs w:val="21"/>
              </w:rPr>
            </w:pPr>
            <w:r w:rsidRPr="00A964FF">
              <w:rPr>
                <w:rFonts w:ascii="Calibri" w:hAnsi="Calibri" w:hint="eastAsia"/>
                <w:color w:val="auto"/>
                <w:szCs w:val="21"/>
              </w:rPr>
              <w:t>氯化物</w:t>
            </w:r>
          </w:p>
        </w:tc>
        <w:tc>
          <w:tcPr>
            <w:tcW w:w="1586" w:type="pct"/>
            <w:vAlign w:val="center"/>
          </w:tcPr>
          <w:p w14:paraId="57EA41B8" w14:textId="77777777" w:rsidR="00421E4C" w:rsidRPr="00A964FF" w:rsidRDefault="00421E4C" w:rsidP="003E0795">
            <w:pPr>
              <w:jc w:val="center"/>
              <w:rPr>
                <w:rFonts w:ascii="Calibri" w:hAnsi="Calibri"/>
                <w:color w:val="auto"/>
                <w:szCs w:val="21"/>
              </w:rPr>
            </w:pPr>
            <w:r w:rsidRPr="00A964FF">
              <w:rPr>
                <w:rFonts w:ascii="Calibri" w:hAnsi="Calibri" w:hint="eastAsia"/>
                <w:color w:val="auto"/>
                <w:szCs w:val="21"/>
              </w:rPr>
              <w:t>250</w:t>
            </w:r>
          </w:p>
        </w:tc>
        <w:tc>
          <w:tcPr>
            <w:tcW w:w="1810" w:type="pct"/>
            <w:vMerge/>
            <w:vAlign w:val="center"/>
          </w:tcPr>
          <w:p w14:paraId="50E80EDA" w14:textId="77777777" w:rsidR="00421E4C" w:rsidRPr="00A964FF" w:rsidRDefault="00421E4C" w:rsidP="003E0795">
            <w:pPr>
              <w:jc w:val="center"/>
              <w:rPr>
                <w:rFonts w:ascii="Calibri" w:hAnsi="Calibri"/>
                <w:color w:val="auto"/>
              </w:rPr>
            </w:pPr>
          </w:p>
        </w:tc>
      </w:tr>
      <w:tr w:rsidR="00421E4C" w:rsidRPr="00A964FF" w14:paraId="0F584C58" w14:textId="77777777" w:rsidTr="003E0795">
        <w:trPr>
          <w:trHeight w:val="340"/>
          <w:jc w:val="center"/>
        </w:trPr>
        <w:tc>
          <w:tcPr>
            <w:tcW w:w="1604" w:type="pct"/>
            <w:vAlign w:val="center"/>
          </w:tcPr>
          <w:p w14:paraId="08B5E4BC" w14:textId="77777777" w:rsidR="00421E4C" w:rsidRPr="00A964FF" w:rsidRDefault="00421E4C" w:rsidP="00315092">
            <w:pPr>
              <w:pStyle w:val="a1"/>
              <w:ind w:firstLine="0"/>
              <w:jc w:val="center"/>
              <w:rPr>
                <w:rFonts w:ascii="Calibri" w:hAnsi="Calibri"/>
                <w:color w:val="auto"/>
                <w:szCs w:val="21"/>
              </w:rPr>
            </w:pPr>
            <w:r w:rsidRPr="00A964FF">
              <w:rPr>
                <w:rFonts w:ascii="Calibri" w:hAnsi="Calibri" w:hint="eastAsia"/>
                <w:color w:val="auto"/>
                <w:szCs w:val="21"/>
              </w:rPr>
              <w:t>总大肠菌群（</w:t>
            </w:r>
            <w:r w:rsidRPr="00A964FF">
              <w:rPr>
                <w:rFonts w:ascii="Calibri" w:hAnsi="Calibri" w:hint="eastAsia"/>
                <w:color w:val="auto"/>
                <w:szCs w:val="21"/>
              </w:rPr>
              <w:t>CFU/100mL</w:t>
            </w:r>
            <w:r w:rsidRPr="00A964FF">
              <w:rPr>
                <w:rFonts w:ascii="Calibri" w:hAnsi="Calibri" w:hint="eastAsia"/>
                <w:color w:val="auto"/>
                <w:szCs w:val="21"/>
              </w:rPr>
              <w:t>）</w:t>
            </w:r>
          </w:p>
        </w:tc>
        <w:tc>
          <w:tcPr>
            <w:tcW w:w="1586" w:type="pct"/>
            <w:vAlign w:val="center"/>
          </w:tcPr>
          <w:p w14:paraId="4514C229" w14:textId="77777777" w:rsidR="00421E4C" w:rsidRPr="00A964FF" w:rsidRDefault="00421E4C" w:rsidP="00315092">
            <w:pPr>
              <w:jc w:val="center"/>
              <w:rPr>
                <w:rFonts w:ascii="Calibri" w:hAnsi="Calibri"/>
                <w:color w:val="auto"/>
                <w:szCs w:val="21"/>
              </w:rPr>
            </w:pPr>
            <w:r w:rsidRPr="00A964FF">
              <w:rPr>
                <w:rFonts w:ascii="Calibri" w:hAnsi="Calibri" w:hint="eastAsia"/>
                <w:color w:val="auto"/>
                <w:szCs w:val="21"/>
              </w:rPr>
              <w:t>3.0</w:t>
            </w:r>
          </w:p>
        </w:tc>
        <w:tc>
          <w:tcPr>
            <w:tcW w:w="1810" w:type="pct"/>
            <w:vMerge/>
            <w:vAlign w:val="center"/>
          </w:tcPr>
          <w:p w14:paraId="48696BC5" w14:textId="77777777" w:rsidR="00421E4C" w:rsidRPr="00A964FF" w:rsidRDefault="00421E4C" w:rsidP="003E0795">
            <w:pPr>
              <w:jc w:val="center"/>
              <w:rPr>
                <w:rFonts w:ascii="Calibri" w:hAnsi="Calibri"/>
                <w:color w:val="auto"/>
              </w:rPr>
            </w:pPr>
          </w:p>
        </w:tc>
      </w:tr>
      <w:tr w:rsidR="00421E4C" w:rsidRPr="00A964FF" w14:paraId="3A57943D" w14:textId="77777777" w:rsidTr="003E0795">
        <w:trPr>
          <w:trHeight w:val="340"/>
          <w:jc w:val="center"/>
        </w:trPr>
        <w:tc>
          <w:tcPr>
            <w:tcW w:w="1604" w:type="pct"/>
            <w:vAlign w:val="center"/>
          </w:tcPr>
          <w:p w14:paraId="49759566" w14:textId="77777777" w:rsidR="00421E4C" w:rsidRPr="00A964FF" w:rsidRDefault="00421E4C" w:rsidP="00315092">
            <w:pPr>
              <w:pStyle w:val="a1"/>
              <w:ind w:firstLine="0"/>
              <w:jc w:val="center"/>
              <w:rPr>
                <w:rFonts w:ascii="Calibri" w:hAnsi="Calibri"/>
                <w:color w:val="auto"/>
                <w:szCs w:val="21"/>
              </w:rPr>
            </w:pPr>
            <w:r w:rsidRPr="00A964FF">
              <w:rPr>
                <w:rFonts w:ascii="Calibri" w:hAnsi="Calibri" w:hint="eastAsia"/>
                <w:color w:val="auto"/>
                <w:szCs w:val="21"/>
              </w:rPr>
              <w:t>细菌总数（</w:t>
            </w:r>
            <w:r w:rsidRPr="00A964FF">
              <w:rPr>
                <w:rFonts w:ascii="Calibri" w:hAnsi="Calibri" w:hint="eastAsia"/>
                <w:color w:val="auto"/>
                <w:szCs w:val="21"/>
              </w:rPr>
              <w:t>CFU/mL</w:t>
            </w:r>
            <w:r w:rsidRPr="00A964FF">
              <w:rPr>
                <w:rFonts w:ascii="Calibri" w:hAnsi="Calibri" w:hint="eastAsia"/>
                <w:color w:val="auto"/>
                <w:szCs w:val="21"/>
              </w:rPr>
              <w:t>）</w:t>
            </w:r>
          </w:p>
        </w:tc>
        <w:tc>
          <w:tcPr>
            <w:tcW w:w="1586" w:type="pct"/>
            <w:vAlign w:val="center"/>
          </w:tcPr>
          <w:p w14:paraId="3EF14432" w14:textId="77777777" w:rsidR="00421E4C" w:rsidRPr="00A964FF" w:rsidRDefault="00421E4C" w:rsidP="00315092">
            <w:pPr>
              <w:jc w:val="center"/>
              <w:rPr>
                <w:rFonts w:ascii="Calibri" w:hAnsi="Calibri"/>
                <w:color w:val="auto"/>
                <w:szCs w:val="21"/>
              </w:rPr>
            </w:pPr>
            <w:r w:rsidRPr="00A964FF">
              <w:rPr>
                <w:rFonts w:ascii="Calibri" w:hAnsi="Calibri" w:hint="eastAsia"/>
                <w:color w:val="auto"/>
                <w:szCs w:val="21"/>
              </w:rPr>
              <w:t>100</w:t>
            </w:r>
          </w:p>
        </w:tc>
        <w:tc>
          <w:tcPr>
            <w:tcW w:w="1810" w:type="pct"/>
            <w:vMerge/>
            <w:vAlign w:val="center"/>
          </w:tcPr>
          <w:p w14:paraId="48D1F959" w14:textId="77777777" w:rsidR="00421E4C" w:rsidRPr="00A964FF" w:rsidRDefault="00421E4C" w:rsidP="003E0795">
            <w:pPr>
              <w:jc w:val="center"/>
              <w:rPr>
                <w:rFonts w:ascii="Calibri" w:hAnsi="Calibri"/>
                <w:color w:val="auto"/>
              </w:rPr>
            </w:pPr>
          </w:p>
        </w:tc>
      </w:tr>
      <w:tr w:rsidR="00421E4C" w:rsidRPr="00A964FF" w14:paraId="06D8BA3B" w14:textId="77777777" w:rsidTr="008A5076">
        <w:trPr>
          <w:trHeight w:val="288"/>
          <w:jc w:val="center"/>
        </w:trPr>
        <w:tc>
          <w:tcPr>
            <w:tcW w:w="1604" w:type="pct"/>
            <w:vAlign w:val="center"/>
          </w:tcPr>
          <w:p w14:paraId="4CDEB7E2" w14:textId="77777777" w:rsidR="00421E4C" w:rsidRPr="00352B89" w:rsidRDefault="00421E4C" w:rsidP="00352B89">
            <w:pPr>
              <w:pStyle w:val="a1"/>
              <w:ind w:firstLine="0"/>
              <w:jc w:val="center"/>
              <w:rPr>
                <w:rFonts w:ascii="Calibri" w:hAnsi="Calibri"/>
                <w:color w:val="auto"/>
                <w:szCs w:val="21"/>
              </w:rPr>
            </w:pPr>
            <w:r w:rsidRPr="00A964FF">
              <w:rPr>
                <w:rFonts w:ascii="Calibri" w:hAnsi="Calibri" w:hint="eastAsia"/>
                <w:color w:val="auto"/>
                <w:szCs w:val="21"/>
              </w:rPr>
              <w:t>石油类</w:t>
            </w:r>
          </w:p>
        </w:tc>
        <w:tc>
          <w:tcPr>
            <w:tcW w:w="1586" w:type="pct"/>
            <w:vAlign w:val="center"/>
          </w:tcPr>
          <w:p w14:paraId="17413D22" w14:textId="77777777" w:rsidR="00421E4C" w:rsidRPr="00A964FF" w:rsidRDefault="00421E4C" w:rsidP="00C76560">
            <w:pPr>
              <w:jc w:val="center"/>
              <w:rPr>
                <w:rFonts w:ascii="Calibri" w:hAnsi="Calibri"/>
                <w:color w:val="auto"/>
                <w:szCs w:val="21"/>
              </w:rPr>
            </w:pPr>
            <w:r w:rsidRPr="00A964FF">
              <w:rPr>
                <w:rFonts w:ascii="Calibri" w:hAnsi="Calibri" w:hint="eastAsia"/>
                <w:color w:val="auto"/>
                <w:szCs w:val="21"/>
              </w:rPr>
              <w:t>0.05</w:t>
            </w:r>
          </w:p>
        </w:tc>
        <w:tc>
          <w:tcPr>
            <w:tcW w:w="1810" w:type="pct"/>
            <w:vAlign w:val="center"/>
          </w:tcPr>
          <w:p w14:paraId="3CD307A3" w14:textId="77777777" w:rsidR="00421E4C" w:rsidRPr="00A964FF" w:rsidRDefault="00421E4C" w:rsidP="00C76560">
            <w:pPr>
              <w:jc w:val="center"/>
              <w:rPr>
                <w:rFonts w:ascii="Calibri" w:hAnsi="Calibri"/>
                <w:color w:val="auto"/>
              </w:rPr>
            </w:pPr>
            <w:r w:rsidRPr="00A964FF">
              <w:rPr>
                <w:rFonts w:ascii="Calibri" w:hAnsi="Calibri" w:hint="eastAsia"/>
                <w:color w:val="auto"/>
                <w:szCs w:val="21"/>
              </w:rPr>
              <w:t>参考</w:t>
            </w:r>
            <w:r w:rsidRPr="00A964FF">
              <w:rPr>
                <w:rFonts w:ascii="Calibri"/>
                <w:color w:val="auto"/>
                <w:szCs w:val="21"/>
              </w:rPr>
              <w:t>《地表水环境质量标准》（</w:t>
            </w:r>
            <w:r w:rsidRPr="00A964FF">
              <w:rPr>
                <w:rFonts w:ascii="Calibri" w:hAnsi="Calibri"/>
                <w:color w:val="auto"/>
                <w:szCs w:val="21"/>
              </w:rPr>
              <w:t>GB3838-2002</w:t>
            </w:r>
            <w:r w:rsidRPr="00A964FF">
              <w:rPr>
                <w:rFonts w:ascii="Calibri"/>
                <w:color w:val="auto"/>
                <w:szCs w:val="21"/>
              </w:rPr>
              <w:t>）</w:t>
            </w:r>
            <w:r w:rsidRPr="00A964FF">
              <w:rPr>
                <w:rFonts w:ascii="Calibri" w:hAnsi="Calibri" w:hint="eastAsia"/>
                <w:color w:val="auto"/>
                <w:szCs w:val="21"/>
              </w:rPr>
              <w:t>III</w:t>
            </w:r>
            <w:r w:rsidRPr="00A964FF">
              <w:rPr>
                <w:rFonts w:ascii="Calibri"/>
                <w:color w:val="auto"/>
                <w:szCs w:val="21"/>
              </w:rPr>
              <w:t>类标准</w:t>
            </w:r>
          </w:p>
        </w:tc>
      </w:tr>
    </w:tbl>
    <w:p w14:paraId="436D1DE2" w14:textId="77777777" w:rsidR="0055605A" w:rsidRPr="00A964FF" w:rsidRDefault="0055605A" w:rsidP="0055605A">
      <w:pPr>
        <w:spacing w:line="520" w:lineRule="exact"/>
        <w:ind w:firstLineChars="200" w:firstLine="482"/>
        <w:rPr>
          <w:rFonts w:ascii="Calibri" w:hAnsi="Calibri"/>
          <w:b/>
          <w:bCs/>
          <w:color w:val="auto"/>
          <w:sz w:val="24"/>
        </w:rPr>
      </w:pPr>
      <w:r w:rsidRPr="00A964FF">
        <w:rPr>
          <w:rFonts w:ascii="Calibri" w:hAnsi="Calibri" w:hint="eastAsia"/>
          <w:b/>
          <w:bCs/>
          <w:color w:val="auto"/>
          <w:sz w:val="24"/>
        </w:rPr>
        <w:t>4</w:t>
      </w:r>
      <w:r w:rsidRPr="00A964FF">
        <w:rPr>
          <w:rFonts w:ascii="Calibri" w:hAnsi="Calibri" w:hint="eastAsia"/>
          <w:b/>
          <w:bCs/>
          <w:color w:val="auto"/>
          <w:sz w:val="24"/>
        </w:rPr>
        <w:t>、声环境</w:t>
      </w:r>
    </w:p>
    <w:p w14:paraId="4C2046A2" w14:textId="77777777" w:rsidR="00772EFD" w:rsidRPr="009A49D6" w:rsidRDefault="0055605A" w:rsidP="009A49D6">
      <w:pPr>
        <w:spacing w:line="520" w:lineRule="exact"/>
        <w:ind w:firstLineChars="200" w:firstLine="480"/>
        <w:rPr>
          <w:rFonts w:ascii="Calibri"/>
          <w:bCs/>
          <w:color w:val="auto"/>
          <w:sz w:val="24"/>
        </w:rPr>
      </w:pPr>
      <w:r w:rsidRPr="00A964FF">
        <w:rPr>
          <w:rFonts w:ascii="Calibri" w:hint="eastAsia"/>
          <w:bCs/>
          <w:color w:val="auto"/>
          <w:sz w:val="24"/>
        </w:rPr>
        <w:t>本</w:t>
      </w:r>
      <w:r w:rsidRPr="00A964FF">
        <w:rPr>
          <w:rFonts w:ascii="Calibri"/>
          <w:bCs/>
          <w:color w:val="auto"/>
          <w:sz w:val="24"/>
        </w:rPr>
        <w:t>项目</w:t>
      </w:r>
      <w:r w:rsidRPr="00A964FF">
        <w:rPr>
          <w:rFonts w:ascii="Calibri" w:hint="eastAsia"/>
          <w:bCs/>
          <w:color w:val="auto"/>
          <w:sz w:val="24"/>
        </w:rPr>
        <w:t>选址</w:t>
      </w:r>
      <w:r w:rsidR="00376AC9" w:rsidRPr="00A964FF">
        <w:rPr>
          <w:rFonts w:ascii="Calibri" w:hint="eastAsia"/>
          <w:bCs/>
          <w:color w:val="auto"/>
          <w:sz w:val="24"/>
        </w:rPr>
        <w:t>在</w:t>
      </w:r>
      <w:r w:rsidR="003B048A" w:rsidRPr="00A964FF">
        <w:rPr>
          <w:rFonts w:ascii="Calibri" w:hint="eastAsia"/>
          <w:bCs/>
          <w:color w:val="auto"/>
          <w:sz w:val="24"/>
        </w:rPr>
        <w:t>平顶山尼龙新材料产业集聚区</w:t>
      </w:r>
      <w:r w:rsidR="006B7E8F" w:rsidRPr="00A964FF">
        <w:rPr>
          <w:rFonts w:ascii="Calibri" w:hint="eastAsia"/>
          <w:bCs/>
          <w:color w:val="auto"/>
          <w:sz w:val="24"/>
        </w:rPr>
        <w:t>内</w:t>
      </w:r>
      <w:r w:rsidR="00FF2C46" w:rsidRPr="00A964FF">
        <w:rPr>
          <w:rFonts w:ascii="Calibri" w:hint="eastAsia"/>
          <w:bCs/>
          <w:color w:val="auto"/>
          <w:sz w:val="24"/>
        </w:rPr>
        <w:t>，</w:t>
      </w:r>
      <w:r w:rsidRPr="00A964FF">
        <w:rPr>
          <w:rFonts w:ascii="Calibri" w:hint="eastAsia"/>
          <w:bCs/>
          <w:color w:val="auto"/>
          <w:sz w:val="24"/>
        </w:rPr>
        <w:t>声环境</w:t>
      </w:r>
      <w:r w:rsidRPr="00A964FF">
        <w:rPr>
          <w:rFonts w:ascii="Calibri"/>
          <w:bCs/>
          <w:color w:val="auto"/>
          <w:sz w:val="24"/>
        </w:rPr>
        <w:t>执行《声环境质量标准》（</w:t>
      </w:r>
      <w:r w:rsidRPr="00A964FF">
        <w:rPr>
          <w:rFonts w:ascii="Calibri" w:hAnsi="Calibri"/>
          <w:bCs/>
          <w:color w:val="auto"/>
          <w:sz w:val="24"/>
        </w:rPr>
        <w:t>GB3096-2008</w:t>
      </w:r>
      <w:r w:rsidRPr="00A964FF">
        <w:rPr>
          <w:rFonts w:ascii="Calibri"/>
          <w:bCs/>
          <w:color w:val="auto"/>
          <w:sz w:val="24"/>
        </w:rPr>
        <w:t>）</w:t>
      </w:r>
      <w:r w:rsidRPr="00A964FF">
        <w:rPr>
          <w:rFonts w:ascii="Calibri" w:hint="eastAsia"/>
          <w:bCs/>
          <w:color w:val="auto"/>
          <w:sz w:val="24"/>
        </w:rPr>
        <w:t>中</w:t>
      </w:r>
      <w:r w:rsidR="00421E4C">
        <w:rPr>
          <w:rFonts w:ascii="Calibri" w:hAnsi="Calibri" w:hint="eastAsia"/>
          <w:bCs/>
          <w:color w:val="auto"/>
          <w:sz w:val="24"/>
        </w:rPr>
        <w:t>3</w:t>
      </w:r>
      <w:r w:rsidR="00B87028" w:rsidRPr="00A964FF">
        <w:rPr>
          <w:rFonts w:ascii="Calibri"/>
          <w:bCs/>
          <w:color w:val="auto"/>
          <w:sz w:val="24"/>
        </w:rPr>
        <w:t>类标准，</w:t>
      </w:r>
      <w:r w:rsidRPr="00A964FF">
        <w:rPr>
          <w:rFonts w:ascii="Calibri"/>
          <w:bCs/>
          <w:color w:val="auto"/>
          <w:sz w:val="24"/>
        </w:rPr>
        <w:t>具体限值见表</w:t>
      </w:r>
      <w:r w:rsidRPr="00A964FF">
        <w:rPr>
          <w:rFonts w:ascii="Calibri" w:hAnsi="Calibri"/>
          <w:bCs/>
          <w:color w:val="auto"/>
          <w:sz w:val="24"/>
        </w:rPr>
        <w:t>1</w:t>
      </w:r>
      <w:r w:rsidR="007C0E29" w:rsidRPr="00A964FF">
        <w:rPr>
          <w:rFonts w:ascii="Calibri" w:hAnsi="Calibri" w:hint="eastAsia"/>
          <w:bCs/>
          <w:color w:val="auto"/>
          <w:sz w:val="24"/>
        </w:rPr>
        <w:t>.</w:t>
      </w:r>
      <w:r w:rsidR="006669D1" w:rsidRPr="00A964FF">
        <w:rPr>
          <w:rFonts w:ascii="Calibri" w:hAnsi="Calibri" w:hint="eastAsia"/>
          <w:bCs/>
          <w:color w:val="auto"/>
          <w:sz w:val="24"/>
        </w:rPr>
        <w:t>4</w:t>
      </w:r>
      <w:r w:rsidRPr="00A964FF">
        <w:rPr>
          <w:rFonts w:ascii="Calibri" w:hAnsi="Calibri"/>
          <w:bCs/>
          <w:color w:val="auto"/>
          <w:sz w:val="24"/>
        </w:rPr>
        <w:t>-</w:t>
      </w:r>
      <w:r w:rsidR="006669D1" w:rsidRPr="00A964FF">
        <w:rPr>
          <w:rFonts w:ascii="Calibri" w:hAnsi="Calibri" w:hint="eastAsia"/>
          <w:bCs/>
          <w:color w:val="auto"/>
          <w:sz w:val="24"/>
        </w:rPr>
        <w:t>4</w:t>
      </w:r>
      <w:r w:rsidRPr="00A964FF">
        <w:rPr>
          <w:rFonts w:ascii="Calibri"/>
          <w:bCs/>
          <w:color w:val="auto"/>
          <w:sz w:val="24"/>
        </w:rPr>
        <w:t>。</w:t>
      </w:r>
    </w:p>
    <w:p w14:paraId="0D42A566" w14:textId="77777777" w:rsidR="0055605A" w:rsidRPr="00A964FF" w:rsidRDefault="0055605A" w:rsidP="0055605A">
      <w:pPr>
        <w:spacing w:line="520" w:lineRule="exact"/>
        <w:ind w:firstLine="482"/>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1</w:t>
      </w:r>
      <w:r w:rsidR="007C0E29" w:rsidRPr="00A964FF">
        <w:rPr>
          <w:rFonts w:ascii="Calibri" w:eastAsia="黑体" w:hAnsi="Calibri" w:hint="eastAsia"/>
          <w:color w:val="auto"/>
          <w:sz w:val="24"/>
        </w:rPr>
        <w:t>.</w:t>
      </w:r>
      <w:r w:rsidR="006669D1" w:rsidRPr="00A964FF">
        <w:rPr>
          <w:rFonts w:ascii="Calibri" w:eastAsia="黑体" w:hAnsi="Calibri" w:hint="eastAsia"/>
          <w:color w:val="auto"/>
          <w:sz w:val="24"/>
        </w:rPr>
        <w:t>4</w:t>
      </w:r>
      <w:r w:rsidRPr="00A964FF">
        <w:rPr>
          <w:rFonts w:ascii="Calibri" w:eastAsia="黑体" w:hAnsi="Calibri"/>
          <w:color w:val="auto"/>
          <w:sz w:val="24"/>
        </w:rPr>
        <w:t>-</w:t>
      </w:r>
      <w:r w:rsidR="006669D1" w:rsidRPr="00A964FF">
        <w:rPr>
          <w:rFonts w:ascii="Calibri" w:eastAsia="黑体" w:hAnsi="Calibri" w:hint="eastAsia"/>
          <w:color w:val="auto"/>
          <w:sz w:val="24"/>
        </w:rPr>
        <w:t>4</w:t>
      </w:r>
      <w:r w:rsidRPr="00A964FF">
        <w:rPr>
          <w:rFonts w:ascii="Calibri" w:eastAsia="黑体" w:hAnsi="Calibri"/>
          <w:color w:val="auto"/>
          <w:sz w:val="24"/>
        </w:rPr>
        <w:t xml:space="preserve">           </w:t>
      </w:r>
      <w:r w:rsidR="00264ACC"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color w:val="auto"/>
          <w:sz w:val="24"/>
        </w:rPr>
        <w:t>声环境质量标准</w:t>
      </w:r>
      <w:r w:rsidRPr="00A964FF">
        <w:rPr>
          <w:rFonts w:ascii="Calibri" w:eastAsia="黑体" w:hAnsi="Calibri"/>
          <w:color w:val="auto"/>
          <w:sz w:val="24"/>
        </w:rPr>
        <w:t xml:space="preserve">   </w:t>
      </w:r>
      <w:r w:rsidR="00264ACC"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hAnsi="Calibri"/>
          <w:color w:val="auto"/>
          <w:szCs w:val="21"/>
        </w:rPr>
        <w:t xml:space="preserve"> </w:t>
      </w:r>
      <w:r w:rsidRPr="00A964FF">
        <w:rPr>
          <w:rFonts w:ascii="Calibri"/>
          <w:color w:val="auto"/>
          <w:szCs w:val="21"/>
        </w:rPr>
        <w:t>单位：</w:t>
      </w:r>
      <w:r w:rsidRPr="00A964FF">
        <w:rPr>
          <w:rFonts w:ascii="Calibri" w:hAnsi="Calibri"/>
          <w:color w:val="auto"/>
          <w:szCs w:val="21"/>
        </w:rPr>
        <w:t>dB</w:t>
      </w:r>
      <w:r w:rsidRPr="00A964FF">
        <w:rPr>
          <w:rFonts w:ascii="Calibri" w:hAnsi="Calibri" w:hint="eastAsia"/>
          <w:color w:val="auto"/>
          <w:szCs w:val="21"/>
        </w:rPr>
        <w:t>（</w:t>
      </w:r>
      <w:r w:rsidRPr="00A964FF">
        <w:rPr>
          <w:rFonts w:ascii="Calibri" w:hAnsi="Calibri" w:hint="eastAsia"/>
          <w:color w:val="auto"/>
          <w:szCs w:val="21"/>
        </w:rPr>
        <w:t>A</w:t>
      </w:r>
      <w:r w:rsidRPr="00A964FF">
        <w:rPr>
          <w:rFonts w:ascii="Calibri" w:hAnsi="Calibri" w:hint="eastAsia"/>
          <w:color w:val="auto"/>
          <w:szCs w:val="21"/>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227"/>
        <w:gridCol w:w="3238"/>
        <w:gridCol w:w="3235"/>
      </w:tblGrid>
      <w:tr w:rsidR="0055605A" w:rsidRPr="00A964FF" w14:paraId="5A12ED02" w14:textId="77777777" w:rsidTr="003E0795">
        <w:trPr>
          <w:trHeight w:val="340"/>
          <w:jc w:val="center"/>
        </w:trPr>
        <w:tc>
          <w:tcPr>
            <w:tcW w:w="1280" w:type="pct"/>
            <w:vAlign w:val="center"/>
          </w:tcPr>
          <w:p w14:paraId="50CFE6C9" w14:textId="77777777" w:rsidR="0055605A" w:rsidRPr="00A964FF" w:rsidRDefault="0055605A" w:rsidP="003E0795">
            <w:pPr>
              <w:jc w:val="center"/>
              <w:rPr>
                <w:rFonts w:ascii="Calibri" w:hAnsi="Calibri"/>
                <w:caps/>
                <w:color w:val="auto"/>
              </w:rPr>
            </w:pPr>
            <w:r w:rsidRPr="00A964FF">
              <w:rPr>
                <w:rFonts w:ascii="Calibri"/>
                <w:caps/>
                <w:color w:val="auto"/>
              </w:rPr>
              <w:t>类别</w:t>
            </w:r>
          </w:p>
        </w:tc>
        <w:tc>
          <w:tcPr>
            <w:tcW w:w="1861" w:type="pct"/>
            <w:vAlign w:val="center"/>
          </w:tcPr>
          <w:p w14:paraId="52D597B7" w14:textId="77777777" w:rsidR="0055605A" w:rsidRPr="00A964FF" w:rsidRDefault="0055605A" w:rsidP="003E0795">
            <w:pPr>
              <w:jc w:val="center"/>
              <w:rPr>
                <w:rFonts w:ascii="Calibri" w:hAnsi="Calibri"/>
                <w:caps/>
                <w:color w:val="auto"/>
              </w:rPr>
            </w:pPr>
            <w:r w:rsidRPr="00A964FF">
              <w:rPr>
                <w:rFonts w:ascii="Calibri"/>
                <w:caps/>
                <w:color w:val="auto"/>
              </w:rPr>
              <w:t>昼间</w:t>
            </w:r>
          </w:p>
        </w:tc>
        <w:tc>
          <w:tcPr>
            <w:tcW w:w="1859" w:type="pct"/>
            <w:vAlign w:val="center"/>
          </w:tcPr>
          <w:p w14:paraId="672A3A7E" w14:textId="77777777" w:rsidR="0055605A" w:rsidRPr="00A964FF" w:rsidRDefault="0055605A" w:rsidP="003E0795">
            <w:pPr>
              <w:jc w:val="center"/>
              <w:rPr>
                <w:rFonts w:ascii="Calibri" w:hAnsi="Calibri"/>
                <w:caps/>
                <w:color w:val="auto"/>
              </w:rPr>
            </w:pPr>
            <w:r w:rsidRPr="00A964FF">
              <w:rPr>
                <w:rFonts w:ascii="Calibri"/>
                <w:caps/>
                <w:color w:val="auto"/>
              </w:rPr>
              <w:t>夜间</w:t>
            </w:r>
          </w:p>
        </w:tc>
      </w:tr>
      <w:tr w:rsidR="00B87028" w:rsidRPr="00A964FF" w14:paraId="4DC8D67B" w14:textId="77777777" w:rsidTr="003E0795">
        <w:trPr>
          <w:trHeight w:val="340"/>
          <w:jc w:val="center"/>
        </w:trPr>
        <w:tc>
          <w:tcPr>
            <w:tcW w:w="1280" w:type="pct"/>
            <w:vAlign w:val="center"/>
          </w:tcPr>
          <w:p w14:paraId="231B3B86" w14:textId="77777777" w:rsidR="00B87028" w:rsidRPr="00A964FF" w:rsidRDefault="00421E4C" w:rsidP="00315092">
            <w:pPr>
              <w:jc w:val="center"/>
              <w:rPr>
                <w:rFonts w:ascii="Calibri" w:hAnsi="Calibri"/>
                <w:color w:val="auto"/>
              </w:rPr>
            </w:pPr>
            <w:r>
              <w:rPr>
                <w:rFonts w:ascii="Calibri" w:hAnsi="Calibri" w:hint="eastAsia"/>
                <w:color w:val="auto"/>
              </w:rPr>
              <w:t>3</w:t>
            </w:r>
            <w:r w:rsidR="00B87028" w:rsidRPr="00A964FF">
              <w:rPr>
                <w:rFonts w:ascii="Calibri" w:hAnsi="Calibri"/>
                <w:color w:val="auto"/>
              </w:rPr>
              <w:t>类</w:t>
            </w:r>
          </w:p>
        </w:tc>
        <w:tc>
          <w:tcPr>
            <w:tcW w:w="1861" w:type="pct"/>
            <w:vAlign w:val="center"/>
          </w:tcPr>
          <w:p w14:paraId="66C73654" w14:textId="77777777" w:rsidR="00B87028" w:rsidRPr="00A964FF" w:rsidRDefault="00421E4C" w:rsidP="00315092">
            <w:pPr>
              <w:jc w:val="center"/>
              <w:rPr>
                <w:rFonts w:ascii="Calibri" w:hAnsi="Calibri"/>
                <w:color w:val="auto"/>
              </w:rPr>
            </w:pPr>
            <w:r>
              <w:rPr>
                <w:rFonts w:ascii="Calibri" w:hAnsi="Calibri" w:hint="eastAsia"/>
                <w:color w:val="auto"/>
              </w:rPr>
              <w:t>65</w:t>
            </w:r>
          </w:p>
        </w:tc>
        <w:tc>
          <w:tcPr>
            <w:tcW w:w="1859" w:type="pct"/>
            <w:vAlign w:val="center"/>
          </w:tcPr>
          <w:p w14:paraId="037C2CA1" w14:textId="77777777" w:rsidR="00B87028" w:rsidRPr="00A964FF" w:rsidRDefault="00421E4C" w:rsidP="00315092">
            <w:pPr>
              <w:jc w:val="center"/>
              <w:rPr>
                <w:rFonts w:ascii="Calibri" w:hAnsi="Calibri"/>
                <w:color w:val="auto"/>
              </w:rPr>
            </w:pPr>
            <w:r>
              <w:rPr>
                <w:rFonts w:ascii="Calibri" w:hAnsi="Calibri" w:hint="eastAsia"/>
                <w:color w:val="auto"/>
              </w:rPr>
              <w:t>55</w:t>
            </w:r>
          </w:p>
        </w:tc>
      </w:tr>
    </w:tbl>
    <w:p w14:paraId="2CD91D27" w14:textId="77777777" w:rsidR="0055605A" w:rsidRPr="00A964FF" w:rsidRDefault="0055605A" w:rsidP="0055605A">
      <w:pPr>
        <w:spacing w:line="520" w:lineRule="exact"/>
        <w:ind w:firstLineChars="200" w:firstLine="482"/>
        <w:rPr>
          <w:rFonts w:ascii="Calibri"/>
          <w:b/>
          <w:bCs/>
          <w:color w:val="auto"/>
          <w:sz w:val="24"/>
        </w:rPr>
      </w:pPr>
      <w:r w:rsidRPr="00A964FF">
        <w:rPr>
          <w:rFonts w:ascii="Calibri" w:hint="eastAsia"/>
          <w:b/>
          <w:bCs/>
          <w:color w:val="auto"/>
          <w:sz w:val="24"/>
        </w:rPr>
        <w:t>5</w:t>
      </w:r>
      <w:r w:rsidRPr="00A964FF">
        <w:rPr>
          <w:rFonts w:ascii="Calibri" w:hint="eastAsia"/>
          <w:b/>
          <w:bCs/>
          <w:color w:val="auto"/>
          <w:sz w:val="24"/>
        </w:rPr>
        <w:t>、土壤环境</w:t>
      </w:r>
    </w:p>
    <w:p w14:paraId="20402D4C" w14:textId="77777777" w:rsidR="008A5076" w:rsidRDefault="0055605A" w:rsidP="008A5076">
      <w:pPr>
        <w:spacing w:line="520" w:lineRule="exact"/>
        <w:ind w:firstLineChars="200" w:firstLine="480"/>
        <w:rPr>
          <w:rFonts w:ascii="Calibri"/>
          <w:bCs/>
          <w:color w:val="auto"/>
          <w:sz w:val="24"/>
        </w:rPr>
      </w:pPr>
      <w:r w:rsidRPr="00A964FF">
        <w:rPr>
          <w:rFonts w:ascii="Calibri" w:hint="eastAsia"/>
          <w:bCs/>
          <w:color w:val="auto"/>
          <w:sz w:val="24"/>
        </w:rPr>
        <w:t>本项目选址</w:t>
      </w:r>
      <w:r w:rsidR="00376AC9" w:rsidRPr="00A964FF">
        <w:rPr>
          <w:rFonts w:ascii="Calibri" w:hint="eastAsia"/>
          <w:bCs/>
          <w:color w:val="auto"/>
          <w:sz w:val="24"/>
        </w:rPr>
        <w:t>在</w:t>
      </w:r>
      <w:r w:rsidR="003B048A" w:rsidRPr="00A964FF">
        <w:rPr>
          <w:rFonts w:ascii="Calibri" w:hint="eastAsia"/>
          <w:bCs/>
          <w:color w:val="auto"/>
          <w:sz w:val="24"/>
        </w:rPr>
        <w:t>平顶山尼龙新材料产业集聚区</w:t>
      </w:r>
      <w:r w:rsidR="006B7E8F" w:rsidRPr="00A964FF">
        <w:rPr>
          <w:rFonts w:ascii="Calibri" w:hint="eastAsia"/>
          <w:bCs/>
          <w:color w:val="auto"/>
          <w:sz w:val="24"/>
        </w:rPr>
        <w:t>内</w:t>
      </w:r>
      <w:r w:rsidR="00FF2C46" w:rsidRPr="00A964FF">
        <w:rPr>
          <w:rFonts w:ascii="Calibri" w:hint="eastAsia"/>
          <w:bCs/>
          <w:color w:val="auto"/>
          <w:sz w:val="24"/>
        </w:rPr>
        <w:t>，</w:t>
      </w:r>
      <w:r w:rsidR="008A5076" w:rsidRPr="00A964FF">
        <w:rPr>
          <w:rFonts w:ascii="Calibri" w:hint="eastAsia"/>
          <w:bCs/>
          <w:color w:val="auto"/>
          <w:sz w:val="24"/>
        </w:rPr>
        <w:t>用地为</w:t>
      </w:r>
      <w:r w:rsidR="008A5076">
        <w:rPr>
          <w:rFonts w:ascii="Calibri" w:hint="eastAsia"/>
          <w:bCs/>
          <w:color w:val="auto"/>
          <w:sz w:val="24"/>
        </w:rPr>
        <w:t>工业用地</w:t>
      </w:r>
      <w:r w:rsidR="008A5076" w:rsidRPr="00A964FF">
        <w:rPr>
          <w:rFonts w:ascii="Calibri" w:hint="eastAsia"/>
          <w:bCs/>
          <w:color w:val="auto"/>
          <w:sz w:val="24"/>
        </w:rPr>
        <w:t>，项目</w:t>
      </w:r>
      <w:r w:rsidR="008A5076">
        <w:rPr>
          <w:rFonts w:ascii="Calibri" w:hint="eastAsia"/>
          <w:bCs/>
          <w:color w:val="auto"/>
          <w:sz w:val="24"/>
        </w:rPr>
        <w:t>厂区</w:t>
      </w:r>
      <w:r w:rsidR="008A5076" w:rsidRPr="00A964FF">
        <w:rPr>
          <w:rFonts w:ascii="Calibri" w:hint="eastAsia"/>
          <w:bCs/>
          <w:color w:val="auto"/>
          <w:sz w:val="24"/>
        </w:rPr>
        <w:t>土壤环境质量执行《土壤环境质量标准</w:t>
      </w:r>
      <w:r w:rsidR="008A5076" w:rsidRPr="00A964FF">
        <w:rPr>
          <w:rFonts w:ascii="Calibri" w:hint="eastAsia"/>
          <w:bCs/>
          <w:color w:val="auto"/>
          <w:sz w:val="24"/>
        </w:rPr>
        <w:t xml:space="preserve"> </w:t>
      </w:r>
      <w:r w:rsidR="008A5076" w:rsidRPr="00A964FF">
        <w:rPr>
          <w:rFonts w:ascii="Calibri" w:hint="eastAsia"/>
          <w:bCs/>
          <w:color w:val="auto"/>
          <w:sz w:val="24"/>
        </w:rPr>
        <w:t>建设用地土壤污染风险管控标准（试行）》（</w:t>
      </w:r>
      <w:r w:rsidR="008A5076" w:rsidRPr="00A964FF">
        <w:rPr>
          <w:rFonts w:ascii="Calibri" w:hint="eastAsia"/>
          <w:bCs/>
          <w:color w:val="auto"/>
          <w:sz w:val="24"/>
        </w:rPr>
        <w:t>GB36600-2018</w:t>
      </w:r>
      <w:r w:rsidR="008A5076" w:rsidRPr="00A964FF">
        <w:rPr>
          <w:rFonts w:ascii="Calibri" w:hint="eastAsia"/>
          <w:bCs/>
          <w:color w:val="auto"/>
          <w:sz w:val="24"/>
        </w:rPr>
        <w:t>）中第二类用地</w:t>
      </w:r>
      <w:r w:rsidR="008A5076">
        <w:rPr>
          <w:rFonts w:ascii="Calibri" w:hint="eastAsia"/>
          <w:bCs/>
          <w:color w:val="auto"/>
          <w:sz w:val="24"/>
        </w:rPr>
        <w:t>筛选值</w:t>
      </w:r>
      <w:r w:rsidR="008A5076" w:rsidRPr="00A964FF">
        <w:rPr>
          <w:rFonts w:ascii="Calibri" w:hint="eastAsia"/>
          <w:bCs/>
          <w:color w:val="auto"/>
          <w:sz w:val="24"/>
        </w:rPr>
        <w:t>，具体标准限值见表</w:t>
      </w:r>
      <w:r w:rsidR="008A5076" w:rsidRPr="00A964FF">
        <w:rPr>
          <w:rFonts w:ascii="Calibri" w:hint="eastAsia"/>
          <w:bCs/>
          <w:color w:val="auto"/>
          <w:sz w:val="24"/>
        </w:rPr>
        <w:t>1.4</w:t>
      </w:r>
      <w:r w:rsidR="008A5076">
        <w:rPr>
          <w:rFonts w:ascii="Calibri"/>
          <w:bCs/>
          <w:color w:val="auto"/>
          <w:sz w:val="24"/>
        </w:rPr>
        <w:t>.1</w:t>
      </w:r>
      <w:r w:rsidR="008A5076" w:rsidRPr="00A964FF">
        <w:rPr>
          <w:rFonts w:ascii="Calibri" w:hint="eastAsia"/>
          <w:bCs/>
          <w:color w:val="auto"/>
          <w:sz w:val="24"/>
        </w:rPr>
        <w:t>-5</w:t>
      </w:r>
      <w:r w:rsidR="008A5076" w:rsidRPr="00A964FF">
        <w:rPr>
          <w:rFonts w:ascii="Calibri" w:hint="eastAsia"/>
          <w:bCs/>
          <w:color w:val="auto"/>
          <w:sz w:val="24"/>
        </w:rPr>
        <w:t>。</w:t>
      </w:r>
    </w:p>
    <w:p w14:paraId="59168510" w14:textId="77777777" w:rsidR="00FF2C46" w:rsidRPr="00A964FF" w:rsidRDefault="00FF2C46" w:rsidP="000E33B8">
      <w:pPr>
        <w:spacing w:line="520" w:lineRule="exact"/>
        <w:ind w:firstLineChars="200" w:firstLine="480"/>
        <w:rPr>
          <w:rFonts w:ascii="Calibri"/>
          <w:bCs/>
          <w:color w:val="auto"/>
          <w:sz w:val="24"/>
        </w:rPr>
      </w:pPr>
      <w:r w:rsidRPr="00A964FF">
        <w:rPr>
          <w:rFonts w:ascii="Calibri" w:eastAsia="黑体"/>
          <w:color w:val="auto"/>
          <w:sz w:val="24"/>
        </w:rPr>
        <w:t>表</w:t>
      </w:r>
      <w:r w:rsidRPr="00A964FF">
        <w:rPr>
          <w:rFonts w:ascii="Calibri" w:eastAsia="黑体" w:hAnsi="Calibri"/>
          <w:color w:val="auto"/>
          <w:sz w:val="24"/>
        </w:rPr>
        <w:t>1</w:t>
      </w:r>
      <w:r w:rsidR="007C0E29" w:rsidRPr="00A964FF">
        <w:rPr>
          <w:rFonts w:ascii="Calibri" w:eastAsia="黑体" w:hAnsi="Calibri" w:hint="eastAsia"/>
          <w:color w:val="auto"/>
          <w:sz w:val="24"/>
        </w:rPr>
        <w:t>.</w:t>
      </w:r>
      <w:r w:rsidR="006669D1" w:rsidRPr="00A964FF">
        <w:rPr>
          <w:rFonts w:ascii="Calibri" w:eastAsia="黑体" w:hAnsi="Calibri" w:hint="eastAsia"/>
          <w:color w:val="auto"/>
          <w:sz w:val="24"/>
        </w:rPr>
        <w:t>4</w:t>
      </w:r>
      <w:r w:rsidRPr="00A964FF">
        <w:rPr>
          <w:rFonts w:ascii="Calibri" w:eastAsia="黑体" w:hAnsi="Calibri" w:hint="eastAsia"/>
          <w:color w:val="auto"/>
          <w:sz w:val="24"/>
        </w:rPr>
        <w:t>-</w:t>
      </w:r>
      <w:r w:rsidR="006669D1" w:rsidRPr="00A964FF">
        <w:rPr>
          <w:rFonts w:ascii="Calibri" w:eastAsia="黑体" w:hAnsi="Calibri" w:hint="eastAsia"/>
          <w:color w:val="auto"/>
          <w:sz w:val="24"/>
        </w:rPr>
        <w:t>5</w:t>
      </w:r>
      <w:r w:rsidRPr="00A964FF">
        <w:rPr>
          <w:rFonts w:ascii="Calibri" w:eastAsia="黑体" w:hAnsi="Calibri" w:hint="eastAsia"/>
          <w:color w:val="auto"/>
          <w:sz w:val="24"/>
        </w:rPr>
        <w:t xml:space="preserve">       </w:t>
      </w:r>
      <w:r w:rsidRPr="00A964FF">
        <w:rPr>
          <w:rFonts w:ascii="Calibri" w:eastAsia="黑体" w:hAnsi="Calibri" w:hint="eastAsia"/>
          <w:color w:val="auto"/>
          <w:sz w:val="24"/>
        </w:rPr>
        <w:t>建设用地土壤污染风险管控标准（基本项目）</w:t>
      </w:r>
      <w:r w:rsidRPr="00A964FF">
        <w:rPr>
          <w:rFonts w:ascii="Calibri" w:eastAsia="黑体" w:hAnsi="Calibri" w:hint="eastAsia"/>
          <w:color w:val="auto"/>
          <w:sz w:val="24"/>
        </w:rPr>
        <w:t xml:space="preserve">     </w:t>
      </w:r>
      <w:r w:rsidRPr="00A964FF">
        <w:rPr>
          <w:rFonts w:ascii="Calibri"/>
          <w:color w:val="auto"/>
          <w:szCs w:val="21"/>
        </w:rPr>
        <w:t>单位：</w:t>
      </w:r>
      <w:r w:rsidRPr="00A964FF">
        <w:rPr>
          <w:rFonts w:ascii="Calibri" w:hAnsi="Calibri" w:hint="eastAsia"/>
          <w:color w:val="auto"/>
          <w:szCs w:val="21"/>
        </w:rPr>
        <w:t>mg/kg</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95"/>
        <w:gridCol w:w="2210"/>
        <w:gridCol w:w="2210"/>
        <w:gridCol w:w="2185"/>
      </w:tblGrid>
      <w:tr w:rsidR="00FF2C46" w:rsidRPr="00A964FF" w14:paraId="463F0F2D" w14:textId="77777777" w:rsidTr="0092085C">
        <w:trPr>
          <w:trHeight w:val="312"/>
          <w:jc w:val="center"/>
        </w:trPr>
        <w:tc>
          <w:tcPr>
            <w:tcW w:w="1204" w:type="pct"/>
            <w:vMerge w:val="restart"/>
            <w:vAlign w:val="center"/>
          </w:tcPr>
          <w:p w14:paraId="4FFBA974" w14:textId="77777777" w:rsidR="00FF2C46" w:rsidRPr="00A964FF" w:rsidRDefault="00FF2C46" w:rsidP="00FF2C46">
            <w:pPr>
              <w:spacing w:line="240" w:lineRule="exact"/>
              <w:jc w:val="center"/>
              <w:rPr>
                <w:rFonts w:ascii="Calibri" w:hAnsi="Calibri"/>
                <w:color w:val="auto"/>
                <w:szCs w:val="21"/>
              </w:rPr>
            </w:pPr>
            <w:r w:rsidRPr="00A964FF">
              <w:rPr>
                <w:rFonts w:ascii="Calibri" w:hAnsi="Calibri" w:hint="eastAsia"/>
                <w:color w:val="auto"/>
                <w:szCs w:val="21"/>
              </w:rPr>
              <w:t>污染</w:t>
            </w:r>
            <w:r w:rsidRPr="00A964FF">
              <w:rPr>
                <w:rFonts w:ascii="Calibri" w:hAnsi="Calibri"/>
                <w:color w:val="auto"/>
                <w:szCs w:val="21"/>
              </w:rPr>
              <w:t>项目</w:t>
            </w:r>
          </w:p>
        </w:tc>
        <w:tc>
          <w:tcPr>
            <w:tcW w:w="1270" w:type="pct"/>
            <w:vAlign w:val="center"/>
          </w:tcPr>
          <w:p w14:paraId="04A09D89" w14:textId="77777777" w:rsidR="00FF2C46" w:rsidRPr="00A964FF" w:rsidRDefault="00FF2C46" w:rsidP="00FF2C46">
            <w:pPr>
              <w:spacing w:line="240" w:lineRule="exact"/>
              <w:jc w:val="center"/>
              <w:rPr>
                <w:rFonts w:ascii="Calibri" w:hAnsi="Calibri"/>
                <w:color w:val="auto"/>
                <w:szCs w:val="21"/>
              </w:rPr>
            </w:pPr>
            <w:r w:rsidRPr="00A964FF">
              <w:rPr>
                <w:rFonts w:ascii="Calibri" w:hAnsi="Calibri" w:hint="eastAsia"/>
                <w:color w:val="auto"/>
                <w:szCs w:val="21"/>
              </w:rPr>
              <w:t>筛选值</w:t>
            </w:r>
          </w:p>
        </w:tc>
        <w:tc>
          <w:tcPr>
            <w:tcW w:w="1270" w:type="pct"/>
            <w:vMerge w:val="restart"/>
            <w:vAlign w:val="center"/>
          </w:tcPr>
          <w:p w14:paraId="20C854CF" w14:textId="77777777" w:rsidR="00FF2C46" w:rsidRPr="00A964FF" w:rsidRDefault="00FF2C46" w:rsidP="00FF2C46">
            <w:pPr>
              <w:spacing w:line="240" w:lineRule="exact"/>
              <w:jc w:val="center"/>
              <w:rPr>
                <w:rFonts w:ascii="Calibri" w:hAnsi="Calibri"/>
                <w:color w:val="auto"/>
                <w:szCs w:val="21"/>
              </w:rPr>
            </w:pPr>
            <w:r w:rsidRPr="00A964FF">
              <w:rPr>
                <w:rFonts w:ascii="Calibri" w:hAnsi="Calibri" w:hint="eastAsia"/>
                <w:color w:val="auto"/>
                <w:szCs w:val="21"/>
              </w:rPr>
              <w:t>污染</w:t>
            </w:r>
            <w:r w:rsidRPr="00A964FF">
              <w:rPr>
                <w:rFonts w:ascii="Calibri" w:hAnsi="Calibri"/>
                <w:color w:val="auto"/>
                <w:szCs w:val="21"/>
              </w:rPr>
              <w:t>项目</w:t>
            </w:r>
          </w:p>
        </w:tc>
        <w:tc>
          <w:tcPr>
            <w:tcW w:w="1256" w:type="pct"/>
            <w:vAlign w:val="center"/>
          </w:tcPr>
          <w:p w14:paraId="406A39FA" w14:textId="77777777" w:rsidR="00FF2C46" w:rsidRPr="00A964FF" w:rsidRDefault="00FF2C46" w:rsidP="00FF2C46">
            <w:pPr>
              <w:spacing w:line="240" w:lineRule="exact"/>
              <w:jc w:val="center"/>
              <w:rPr>
                <w:rFonts w:ascii="Calibri" w:hAnsi="Calibri"/>
                <w:color w:val="auto"/>
                <w:szCs w:val="21"/>
              </w:rPr>
            </w:pPr>
            <w:r w:rsidRPr="00A964FF">
              <w:rPr>
                <w:rFonts w:ascii="Calibri" w:hAnsi="Calibri" w:hint="eastAsia"/>
                <w:color w:val="auto"/>
                <w:szCs w:val="21"/>
              </w:rPr>
              <w:t>筛选值</w:t>
            </w:r>
          </w:p>
        </w:tc>
      </w:tr>
      <w:tr w:rsidR="00FF2C46" w:rsidRPr="00A964FF" w14:paraId="5A757F94" w14:textId="77777777" w:rsidTr="0092085C">
        <w:trPr>
          <w:trHeight w:val="312"/>
          <w:jc w:val="center"/>
        </w:trPr>
        <w:tc>
          <w:tcPr>
            <w:tcW w:w="1204" w:type="pct"/>
            <w:vMerge/>
            <w:vAlign w:val="center"/>
          </w:tcPr>
          <w:p w14:paraId="7C3605A3" w14:textId="77777777" w:rsidR="00FF2C46" w:rsidRPr="00A964FF" w:rsidRDefault="00FF2C46" w:rsidP="00FF2C46">
            <w:pPr>
              <w:spacing w:line="240" w:lineRule="exact"/>
              <w:jc w:val="center"/>
              <w:rPr>
                <w:rFonts w:ascii="Calibri" w:hAnsi="Calibri"/>
                <w:color w:val="auto"/>
                <w:szCs w:val="21"/>
              </w:rPr>
            </w:pPr>
          </w:p>
        </w:tc>
        <w:tc>
          <w:tcPr>
            <w:tcW w:w="1270" w:type="pct"/>
            <w:vAlign w:val="center"/>
          </w:tcPr>
          <w:p w14:paraId="3F834BAE" w14:textId="77777777" w:rsidR="00FF2C46" w:rsidRPr="00A964FF" w:rsidRDefault="00FF2C46" w:rsidP="00FF2C46">
            <w:pPr>
              <w:spacing w:line="240" w:lineRule="exact"/>
              <w:jc w:val="center"/>
              <w:rPr>
                <w:rFonts w:ascii="Calibri" w:hAnsi="Calibri"/>
                <w:color w:val="auto"/>
                <w:szCs w:val="21"/>
              </w:rPr>
            </w:pPr>
            <w:r w:rsidRPr="00A964FF">
              <w:rPr>
                <w:rFonts w:ascii="Calibri" w:hAnsi="Calibri" w:hint="eastAsia"/>
                <w:color w:val="auto"/>
                <w:szCs w:val="21"/>
              </w:rPr>
              <w:t>第二类用地</w:t>
            </w:r>
          </w:p>
        </w:tc>
        <w:tc>
          <w:tcPr>
            <w:tcW w:w="1270" w:type="pct"/>
            <w:vMerge/>
            <w:vAlign w:val="center"/>
          </w:tcPr>
          <w:p w14:paraId="2AFB29A7" w14:textId="77777777" w:rsidR="00FF2C46" w:rsidRPr="00A964FF" w:rsidRDefault="00FF2C46" w:rsidP="00FF2C46">
            <w:pPr>
              <w:spacing w:line="240" w:lineRule="exact"/>
              <w:jc w:val="center"/>
              <w:rPr>
                <w:rFonts w:ascii="Calibri" w:hAnsi="Calibri"/>
                <w:color w:val="auto"/>
                <w:szCs w:val="21"/>
              </w:rPr>
            </w:pPr>
          </w:p>
        </w:tc>
        <w:tc>
          <w:tcPr>
            <w:tcW w:w="1256" w:type="pct"/>
            <w:vAlign w:val="center"/>
          </w:tcPr>
          <w:p w14:paraId="0079C48A" w14:textId="77777777" w:rsidR="00FF2C46" w:rsidRPr="00A964FF" w:rsidRDefault="00FF2C46" w:rsidP="00FF2C46">
            <w:pPr>
              <w:spacing w:line="240" w:lineRule="exact"/>
              <w:jc w:val="center"/>
              <w:rPr>
                <w:rFonts w:ascii="Calibri" w:hAnsi="Calibri"/>
                <w:color w:val="auto"/>
                <w:szCs w:val="21"/>
              </w:rPr>
            </w:pPr>
            <w:r w:rsidRPr="00A964FF">
              <w:rPr>
                <w:rFonts w:ascii="Calibri" w:hAnsi="Calibri" w:hint="eastAsia"/>
                <w:color w:val="auto"/>
                <w:szCs w:val="21"/>
              </w:rPr>
              <w:t>第二类用地</w:t>
            </w:r>
          </w:p>
        </w:tc>
      </w:tr>
      <w:tr w:rsidR="00B87028" w:rsidRPr="00A964FF" w14:paraId="15491EF6" w14:textId="77777777" w:rsidTr="0092085C">
        <w:trPr>
          <w:trHeight w:val="312"/>
          <w:jc w:val="center"/>
        </w:trPr>
        <w:tc>
          <w:tcPr>
            <w:tcW w:w="1204" w:type="pct"/>
            <w:vAlign w:val="center"/>
          </w:tcPr>
          <w:p w14:paraId="68AC395D" w14:textId="77777777" w:rsidR="00B87028" w:rsidRPr="00A964FF" w:rsidRDefault="00B87028" w:rsidP="00FF2C46">
            <w:pPr>
              <w:spacing w:line="240" w:lineRule="exact"/>
              <w:jc w:val="center"/>
              <w:rPr>
                <w:rFonts w:ascii="Calibri" w:hAnsi="Calibri"/>
                <w:color w:val="auto"/>
                <w:szCs w:val="21"/>
              </w:rPr>
            </w:pPr>
            <w:r w:rsidRPr="00A964FF">
              <w:rPr>
                <w:rFonts w:ascii="Calibri" w:hAnsi="Calibri" w:hint="eastAsia"/>
                <w:color w:val="auto"/>
                <w:szCs w:val="21"/>
              </w:rPr>
              <w:t>砷</w:t>
            </w:r>
          </w:p>
        </w:tc>
        <w:tc>
          <w:tcPr>
            <w:tcW w:w="1270" w:type="pct"/>
            <w:vAlign w:val="center"/>
          </w:tcPr>
          <w:p w14:paraId="32219FF8"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60</w:t>
            </w:r>
          </w:p>
        </w:tc>
        <w:tc>
          <w:tcPr>
            <w:tcW w:w="1270" w:type="pct"/>
            <w:vAlign w:val="center"/>
          </w:tcPr>
          <w:p w14:paraId="4F02B83F" w14:textId="77777777" w:rsidR="00B87028" w:rsidRPr="00A964FF" w:rsidRDefault="00B87028" w:rsidP="00315092">
            <w:pPr>
              <w:jc w:val="center"/>
              <w:rPr>
                <w:rFonts w:ascii="Calibri" w:hAnsi="Calibri"/>
                <w:color w:val="auto"/>
              </w:rPr>
            </w:pPr>
            <w:r w:rsidRPr="00A964FF">
              <w:rPr>
                <w:rFonts w:ascii="Calibri" w:hAnsi="Calibri" w:hint="eastAsia"/>
                <w:color w:val="auto"/>
              </w:rPr>
              <w:t>氯乙烯</w:t>
            </w:r>
          </w:p>
        </w:tc>
        <w:tc>
          <w:tcPr>
            <w:tcW w:w="1256" w:type="pct"/>
            <w:vAlign w:val="center"/>
          </w:tcPr>
          <w:p w14:paraId="366329D8" w14:textId="77777777" w:rsidR="00B87028" w:rsidRPr="00A964FF" w:rsidRDefault="00B87028" w:rsidP="00315092">
            <w:pPr>
              <w:jc w:val="center"/>
              <w:rPr>
                <w:rFonts w:ascii="Calibri" w:hAnsi="Calibri"/>
                <w:color w:val="auto"/>
              </w:rPr>
            </w:pPr>
            <w:r w:rsidRPr="00A964FF">
              <w:rPr>
                <w:rFonts w:ascii="Calibri" w:hAnsi="Calibri" w:hint="eastAsia"/>
                <w:color w:val="auto"/>
              </w:rPr>
              <w:t>0.43</w:t>
            </w:r>
          </w:p>
        </w:tc>
      </w:tr>
      <w:tr w:rsidR="00B87028" w:rsidRPr="00A964FF" w14:paraId="770DDB14" w14:textId="77777777" w:rsidTr="0092085C">
        <w:trPr>
          <w:trHeight w:val="312"/>
          <w:jc w:val="center"/>
        </w:trPr>
        <w:tc>
          <w:tcPr>
            <w:tcW w:w="1204" w:type="pct"/>
            <w:vAlign w:val="center"/>
          </w:tcPr>
          <w:p w14:paraId="31356E87" w14:textId="77777777" w:rsidR="00B87028" w:rsidRPr="00A964FF" w:rsidRDefault="00B87028" w:rsidP="00FF2C46">
            <w:pPr>
              <w:spacing w:line="240" w:lineRule="exact"/>
              <w:jc w:val="center"/>
              <w:rPr>
                <w:rFonts w:ascii="Calibri" w:hAnsi="Calibri"/>
                <w:color w:val="auto"/>
                <w:szCs w:val="21"/>
              </w:rPr>
            </w:pPr>
            <w:r w:rsidRPr="00A964FF">
              <w:rPr>
                <w:rFonts w:ascii="Calibri" w:hAnsi="Calibri" w:hint="eastAsia"/>
                <w:color w:val="auto"/>
                <w:szCs w:val="21"/>
              </w:rPr>
              <w:t>镉</w:t>
            </w:r>
          </w:p>
        </w:tc>
        <w:tc>
          <w:tcPr>
            <w:tcW w:w="1270" w:type="pct"/>
            <w:vAlign w:val="center"/>
          </w:tcPr>
          <w:p w14:paraId="69DDFC7E"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65</w:t>
            </w:r>
          </w:p>
        </w:tc>
        <w:tc>
          <w:tcPr>
            <w:tcW w:w="1270" w:type="pct"/>
            <w:vAlign w:val="center"/>
          </w:tcPr>
          <w:p w14:paraId="042C6A9C" w14:textId="77777777" w:rsidR="00B87028" w:rsidRPr="00A964FF" w:rsidRDefault="00B87028" w:rsidP="00315092">
            <w:pPr>
              <w:jc w:val="center"/>
              <w:rPr>
                <w:rFonts w:ascii="Calibri" w:hAnsi="Calibri"/>
                <w:color w:val="auto"/>
              </w:rPr>
            </w:pPr>
            <w:r w:rsidRPr="00A964FF">
              <w:rPr>
                <w:rFonts w:ascii="Calibri" w:hAnsi="Calibri" w:hint="eastAsia"/>
                <w:color w:val="auto"/>
              </w:rPr>
              <w:t>苯</w:t>
            </w:r>
          </w:p>
        </w:tc>
        <w:tc>
          <w:tcPr>
            <w:tcW w:w="1256" w:type="pct"/>
            <w:vAlign w:val="center"/>
          </w:tcPr>
          <w:p w14:paraId="37028750" w14:textId="77777777" w:rsidR="00B87028" w:rsidRPr="00A964FF" w:rsidRDefault="00B87028" w:rsidP="00315092">
            <w:pPr>
              <w:jc w:val="center"/>
              <w:rPr>
                <w:rFonts w:ascii="Calibri" w:hAnsi="Calibri"/>
                <w:color w:val="auto"/>
              </w:rPr>
            </w:pPr>
            <w:r w:rsidRPr="00A964FF">
              <w:rPr>
                <w:rFonts w:ascii="Calibri" w:hAnsi="Calibri" w:hint="eastAsia"/>
                <w:color w:val="auto"/>
              </w:rPr>
              <w:t>4</w:t>
            </w:r>
          </w:p>
        </w:tc>
      </w:tr>
      <w:tr w:rsidR="00B87028" w:rsidRPr="00A964FF" w14:paraId="40160352" w14:textId="77777777" w:rsidTr="0092085C">
        <w:trPr>
          <w:trHeight w:val="312"/>
          <w:jc w:val="center"/>
        </w:trPr>
        <w:tc>
          <w:tcPr>
            <w:tcW w:w="1204" w:type="pct"/>
            <w:vAlign w:val="center"/>
          </w:tcPr>
          <w:p w14:paraId="699A985B"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lastRenderedPageBreak/>
              <w:t>铬（六价）</w:t>
            </w:r>
          </w:p>
        </w:tc>
        <w:tc>
          <w:tcPr>
            <w:tcW w:w="1270" w:type="pct"/>
            <w:vAlign w:val="center"/>
          </w:tcPr>
          <w:p w14:paraId="6AD3D244"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5.7</w:t>
            </w:r>
          </w:p>
        </w:tc>
        <w:tc>
          <w:tcPr>
            <w:tcW w:w="1270" w:type="pct"/>
            <w:vAlign w:val="center"/>
          </w:tcPr>
          <w:p w14:paraId="5B367A88" w14:textId="77777777" w:rsidR="00B87028" w:rsidRPr="00A964FF" w:rsidRDefault="00B87028" w:rsidP="00315092">
            <w:pPr>
              <w:jc w:val="center"/>
              <w:rPr>
                <w:rFonts w:ascii="Calibri" w:hAnsi="Calibri"/>
                <w:color w:val="auto"/>
              </w:rPr>
            </w:pPr>
            <w:r w:rsidRPr="00A964FF">
              <w:rPr>
                <w:rFonts w:ascii="Calibri" w:hAnsi="Calibri" w:hint="eastAsia"/>
                <w:color w:val="auto"/>
              </w:rPr>
              <w:t>氯苯</w:t>
            </w:r>
          </w:p>
        </w:tc>
        <w:tc>
          <w:tcPr>
            <w:tcW w:w="1256" w:type="pct"/>
            <w:vAlign w:val="center"/>
          </w:tcPr>
          <w:p w14:paraId="540788C0" w14:textId="77777777" w:rsidR="00B87028" w:rsidRPr="00A964FF" w:rsidRDefault="00B87028" w:rsidP="00315092">
            <w:pPr>
              <w:jc w:val="center"/>
              <w:rPr>
                <w:rFonts w:ascii="Calibri" w:hAnsi="Calibri"/>
                <w:color w:val="auto"/>
              </w:rPr>
            </w:pPr>
            <w:r w:rsidRPr="00A964FF">
              <w:rPr>
                <w:rFonts w:ascii="Calibri" w:hAnsi="Calibri" w:hint="eastAsia"/>
                <w:color w:val="auto"/>
              </w:rPr>
              <w:t>270</w:t>
            </w:r>
          </w:p>
        </w:tc>
      </w:tr>
      <w:tr w:rsidR="00B87028" w:rsidRPr="00A964FF" w14:paraId="4033DA00" w14:textId="77777777" w:rsidTr="0092085C">
        <w:trPr>
          <w:trHeight w:val="312"/>
          <w:jc w:val="center"/>
        </w:trPr>
        <w:tc>
          <w:tcPr>
            <w:tcW w:w="1204" w:type="pct"/>
            <w:vAlign w:val="center"/>
          </w:tcPr>
          <w:p w14:paraId="278A24E7"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铜</w:t>
            </w:r>
          </w:p>
        </w:tc>
        <w:tc>
          <w:tcPr>
            <w:tcW w:w="1270" w:type="pct"/>
            <w:vAlign w:val="center"/>
          </w:tcPr>
          <w:p w14:paraId="79B669A9"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18000</w:t>
            </w:r>
          </w:p>
        </w:tc>
        <w:tc>
          <w:tcPr>
            <w:tcW w:w="1270" w:type="pct"/>
            <w:vAlign w:val="center"/>
          </w:tcPr>
          <w:p w14:paraId="66007DFD" w14:textId="77777777" w:rsidR="00B87028" w:rsidRPr="00A964FF" w:rsidRDefault="00B87028" w:rsidP="00315092">
            <w:pPr>
              <w:jc w:val="center"/>
              <w:rPr>
                <w:rFonts w:ascii="Calibri" w:hAnsi="Calibri"/>
                <w:color w:val="auto"/>
              </w:rPr>
            </w:pPr>
            <w:r w:rsidRPr="00A964FF">
              <w:rPr>
                <w:rFonts w:ascii="Calibri" w:hAnsi="Calibri" w:hint="eastAsia"/>
                <w:color w:val="auto"/>
              </w:rPr>
              <w:t>1,2-</w:t>
            </w:r>
            <w:r w:rsidRPr="00A964FF">
              <w:rPr>
                <w:rFonts w:ascii="Calibri" w:hAnsi="Calibri" w:hint="eastAsia"/>
                <w:color w:val="auto"/>
              </w:rPr>
              <w:t>二氯苯</w:t>
            </w:r>
          </w:p>
        </w:tc>
        <w:tc>
          <w:tcPr>
            <w:tcW w:w="1256" w:type="pct"/>
            <w:vAlign w:val="center"/>
          </w:tcPr>
          <w:p w14:paraId="3BEE4E05" w14:textId="77777777" w:rsidR="00B87028" w:rsidRPr="00A964FF" w:rsidRDefault="00B87028" w:rsidP="00315092">
            <w:pPr>
              <w:jc w:val="center"/>
              <w:rPr>
                <w:rFonts w:ascii="Calibri" w:hAnsi="Calibri"/>
                <w:color w:val="auto"/>
              </w:rPr>
            </w:pPr>
            <w:r w:rsidRPr="00A964FF">
              <w:rPr>
                <w:rFonts w:ascii="Calibri" w:hAnsi="Calibri" w:hint="eastAsia"/>
                <w:color w:val="auto"/>
              </w:rPr>
              <w:t>560</w:t>
            </w:r>
          </w:p>
        </w:tc>
      </w:tr>
      <w:tr w:rsidR="00B87028" w:rsidRPr="00A964FF" w14:paraId="422EAB93" w14:textId="77777777" w:rsidTr="0092085C">
        <w:trPr>
          <w:trHeight w:val="312"/>
          <w:jc w:val="center"/>
        </w:trPr>
        <w:tc>
          <w:tcPr>
            <w:tcW w:w="1204" w:type="pct"/>
            <w:vAlign w:val="center"/>
          </w:tcPr>
          <w:p w14:paraId="203F1715"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铅</w:t>
            </w:r>
          </w:p>
        </w:tc>
        <w:tc>
          <w:tcPr>
            <w:tcW w:w="1270" w:type="pct"/>
            <w:vAlign w:val="center"/>
          </w:tcPr>
          <w:p w14:paraId="2F653561"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800</w:t>
            </w:r>
          </w:p>
        </w:tc>
        <w:tc>
          <w:tcPr>
            <w:tcW w:w="1270" w:type="pct"/>
            <w:vAlign w:val="center"/>
          </w:tcPr>
          <w:p w14:paraId="58BD9F48" w14:textId="77777777" w:rsidR="00B87028" w:rsidRPr="00A964FF" w:rsidRDefault="00B87028" w:rsidP="00315092">
            <w:pPr>
              <w:jc w:val="center"/>
              <w:rPr>
                <w:rFonts w:ascii="Calibri" w:hAnsi="Calibri"/>
                <w:color w:val="auto"/>
              </w:rPr>
            </w:pPr>
            <w:r w:rsidRPr="00A964FF">
              <w:rPr>
                <w:rFonts w:ascii="Calibri" w:hAnsi="Calibri" w:hint="eastAsia"/>
                <w:color w:val="auto"/>
              </w:rPr>
              <w:t>1,4-</w:t>
            </w:r>
            <w:r w:rsidRPr="00A964FF">
              <w:rPr>
                <w:rFonts w:ascii="Calibri" w:hAnsi="Calibri" w:hint="eastAsia"/>
                <w:color w:val="auto"/>
              </w:rPr>
              <w:t>二氯苯</w:t>
            </w:r>
          </w:p>
        </w:tc>
        <w:tc>
          <w:tcPr>
            <w:tcW w:w="1256" w:type="pct"/>
            <w:vAlign w:val="center"/>
          </w:tcPr>
          <w:p w14:paraId="7D946D36" w14:textId="77777777" w:rsidR="00B87028" w:rsidRPr="00A964FF" w:rsidRDefault="00B87028" w:rsidP="00315092">
            <w:pPr>
              <w:jc w:val="center"/>
              <w:rPr>
                <w:rFonts w:ascii="Calibri" w:hAnsi="Calibri"/>
                <w:color w:val="auto"/>
              </w:rPr>
            </w:pPr>
            <w:r w:rsidRPr="00A964FF">
              <w:rPr>
                <w:rFonts w:ascii="Calibri" w:hAnsi="Calibri" w:hint="eastAsia"/>
                <w:color w:val="auto"/>
              </w:rPr>
              <w:t>20</w:t>
            </w:r>
          </w:p>
        </w:tc>
      </w:tr>
      <w:tr w:rsidR="00B87028" w:rsidRPr="00A964FF" w14:paraId="27D66B57" w14:textId="77777777" w:rsidTr="0092085C">
        <w:trPr>
          <w:trHeight w:val="312"/>
          <w:jc w:val="center"/>
        </w:trPr>
        <w:tc>
          <w:tcPr>
            <w:tcW w:w="1204" w:type="pct"/>
            <w:vAlign w:val="center"/>
          </w:tcPr>
          <w:p w14:paraId="13790317"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汞</w:t>
            </w:r>
          </w:p>
        </w:tc>
        <w:tc>
          <w:tcPr>
            <w:tcW w:w="1270" w:type="pct"/>
            <w:vAlign w:val="center"/>
          </w:tcPr>
          <w:p w14:paraId="24785748"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38</w:t>
            </w:r>
          </w:p>
        </w:tc>
        <w:tc>
          <w:tcPr>
            <w:tcW w:w="1270" w:type="pct"/>
            <w:vAlign w:val="center"/>
          </w:tcPr>
          <w:p w14:paraId="37B93B66" w14:textId="77777777" w:rsidR="00B87028" w:rsidRPr="00A964FF" w:rsidRDefault="00B87028" w:rsidP="00315092">
            <w:pPr>
              <w:jc w:val="center"/>
              <w:rPr>
                <w:rFonts w:ascii="Calibri" w:hAnsi="Calibri"/>
                <w:color w:val="auto"/>
              </w:rPr>
            </w:pPr>
            <w:r w:rsidRPr="00A964FF">
              <w:rPr>
                <w:rFonts w:ascii="Calibri" w:hAnsi="Calibri" w:hint="eastAsia"/>
                <w:color w:val="auto"/>
              </w:rPr>
              <w:t>乙苯</w:t>
            </w:r>
          </w:p>
        </w:tc>
        <w:tc>
          <w:tcPr>
            <w:tcW w:w="1256" w:type="pct"/>
            <w:vAlign w:val="center"/>
          </w:tcPr>
          <w:p w14:paraId="58289484" w14:textId="77777777" w:rsidR="00B87028" w:rsidRPr="00A964FF" w:rsidRDefault="00B87028" w:rsidP="00315092">
            <w:pPr>
              <w:jc w:val="center"/>
              <w:rPr>
                <w:rFonts w:ascii="Calibri" w:hAnsi="Calibri"/>
                <w:color w:val="auto"/>
              </w:rPr>
            </w:pPr>
            <w:r w:rsidRPr="00A964FF">
              <w:rPr>
                <w:rFonts w:ascii="Calibri" w:hAnsi="Calibri" w:hint="eastAsia"/>
                <w:color w:val="auto"/>
              </w:rPr>
              <w:t>28</w:t>
            </w:r>
          </w:p>
        </w:tc>
      </w:tr>
      <w:tr w:rsidR="00B87028" w:rsidRPr="00A964FF" w14:paraId="5A229D17" w14:textId="77777777" w:rsidTr="0092085C">
        <w:trPr>
          <w:trHeight w:val="312"/>
          <w:jc w:val="center"/>
        </w:trPr>
        <w:tc>
          <w:tcPr>
            <w:tcW w:w="1204" w:type="pct"/>
            <w:vAlign w:val="center"/>
          </w:tcPr>
          <w:p w14:paraId="67E0A4D9"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镍</w:t>
            </w:r>
          </w:p>
        </w:tc>
        <w:tc>
          <w:tcPr>
            <w:tcW w:w="1270" w:type="pct"/>
            <w:vAlign w:val="center"/>
          </w:tcPr>
          <w:p w14:paraId="3020F42C"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900</w:t>
            </w:r>
          </w:p>
        </w:tc>
        <w:tc>
          <w:tcPr>
            <w:tcW w:w="1270" w:type="pct"/>
            <w:vAlign w:val="center"/>
          </w:tcPr>
          <w:p w14:paraId="7B43FF91" w14:textId="77777777" w:rsidR="00B87028" w:rsidRPr="00A964FF" w:rsidRDefault="00B87028" w:rsidP="00315092">
            <w:pPr>
              <w:jc w:val="center"/>
              <w:rPr>
                <w:rFonts w:ascii="Calibri" w:hAnsi="Calibri"/>
                <w:color w:val="auto"/>
              </w:rPr>
            </w:pPr>
            <w:r w:rsidRPr="00A964FF">
              <w:rPr>
                <w:rFonts w:ascii="Calibri" w:hAnsi="Calibri" w:hint="eastAsia"/>
                <w:color w:val="auto"/>
              </w:rPr>
              <w:t>苯乙烯</w:t>
            </w:r>
          </w:p>
        </w:tc>
        <w:tc>
          <w:tcPr>
            <w:tcW w:w="1256" w:type="pct"/>
            <w:vAlign w:val="center"/>
          </w:tcPr>
          <w:p w14:paraId="7AB057BB" w14:textId="77777777" w:rsidR="00B87028" w:rsidRPr="00A964FF" w:rsidRDefault="00B87028" w:rsidP="00315092">
            <w:pPr>
              <w:jc w:val="center"/>
              <w:rPr>
                <w:rFonts w:ascii="Calibri" w:hAnsi="Calibri"/>
                <w:color w:val="auto"/>
              </w:rPr>
            </w:pPr>
            <w:r w:rsidRPr="00A964FF">
              <w:rPr>
                <w:rFonts w:ascii="Calibri" w:hAnsi="Calibri" w:hint="eastAsia"/>
                <w:color w:val="auto"/>
              </w:rPr>
              <w:t>1290</w:t>
            </w:r>
          </w:p>
        </w:tc>
      </w:tr>
      <w:tr w:rsidR="00B87028" w:rsidRPr="00A964FF" w14:paraId="679990D3" w14:textId="77777777" w:rsidTr="0092085C">
        <w:trPr>
          <w:trHeight w:val="312"/>
          <w:jc w:val="center"/>
        </w:trPr>
        <w:tc>
          <w:tcPr>
            <w:tcW w:w="1204" w:type="pct"/>
            <w:vAlign w:val="center"/>
          </w:tcPr>
          <w:p w14:paraId="7CF15471"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四氯化碳</w:t>
            </w:r>
          </w:p>
        </w:tc>
        <w:tc>
          <w:tcPr>
            <w:tcW w:w="1270" w:type="pct"/>
            <w:vAlign w:val="center"/>
          </w:tcPr>
          <w:p w14:paraId="51417221"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2.8</w:t>
            </w:r>
          </w:p>
        </w:tc>
        <w:tc>
          <w:tcPr>
            <w:tcW w:w="1270" w:type="pct"/>
            <w:vAlign w:val="center"/>
          </w:tcPr>
          <w:p w14:paraId="56C43839" w14:textId="77777777" w:rsidR="00B87028" w:rsidRPr="00643331" w:rsidRDefault="00B87028" w:rsidP="00315092">
            <w:pPr>
              <w:jc w:val="center"/>
              <w:rPr>
                <w:rFonts w:ascii="Calibri" w:hAnsi="Calibri"/>
                <w:color w:val="auto"/>
              </w:rPr>
            </w:pPr>
            <w:r w:rsidRPr="00643331">
              <w:rPr>
                <w:rFonts w:ascii="Calibri" w:hAnsi="Calibri" w:hint="eastAsia"/>
                <w:color w:val="auto"/>
              </w:rPr>
              <w:t>甲苯</w:t>
            </w:r>
          </w:p>
        </w:tc>
        <w:tc>
          <w:tcPr>
            <w:tcW w:w="1256" w:type="pct"/>
            <w:vAlign w:val="center"/>
          </w:tcPr>
          <w:p w14:paraId="40ADD38D" w14:textId="77777777" w:rsidR="00B87028" w:rsidRPr="00643331" w:rsidRDefault="00B87028" w:rsidP="00315092">
            <w:pPr>
              <w:jc w:val="center"/>
              <w:rPr>
                <w:rFonts w:ascii="Calibri" w:hAnsi="Calibri"/>
                <w:color w:val="auto"/>
              </w:rPr>
            </w:pPr>
            <w:r w:rsidRPr="00643331">
              <w:rPr>
                <w:rFonts w:ascii="Calibri" w:hAnsi="Calibri" w:hint="eastAsia"/>
                <w:color w:val="auto"/>
              </w:rPr>
              <w:t>1200</w:t>
            </w:r>
          </w:p>
        </w:tc>
      </w:tr>
      <w:tr w:rsidR="00B87028" w:rsidRPr="00A964FF" w14:paraId="449AA156" w14:textId="77777777" w:rsidTr="0092085C">
        <w:trPr>
          <w:trHeight w:val="312"/>
          <w:jc w:val="center"/>
        </w:trPr>
        <w:tc>
          <w:tcPr>
            <w:tcW w:w="1204" w:type="pct"/>
            <w:vAlign w:val="center"/>
          </w:tcPr>
          <w:p w14:paraId="0955EF3C"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氯仿</w:t>
            </w:r>
          </w:p>
        </w:tc>
        <w:tc>
          <w:tcPr>
            <w:tcW w:w="1270" w:type="pct"/>
            <w:vAlign w:val="center"/>
          </w:tcPr>
          <w:p w14:paraId="40C77896"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0.9</w:t>
            </w:r>
          </w:p>
        </w:tc>
        <w:tc>
          <w:tcPr>
            <w:tcW w:w="1270" w:type="pct"/>
            <w:vAlign w:val="center"/>
          </w:tcPr>
          <w:p w14:paraId="3F69D747" w14:textId="77777777" w:rsidR="00B87028" w:rsidRPr="00A964FF" w:rsidRDefault="00B87028" w:rsidP="00315092">
            <w:pPr>
              <w:jc w:val="center"/>
              <w:rPr>
                <w:rFonts w:ascii="Calibri" w:hAnsi="Calibri"/>
                <w:color w:val="auto"/>
              </w:rPr>
            </w:pPr>
            <w:r w:rsidRPr="00A964FF">
              <w:rPr>
                <w:rFonts w:ascii="Calibri" w:hAnsi="Calibri" w:hint="eastAsia"/>
                <w:color w:val="auto"/>
              </w:rPr>
              <w:t>间二甲苯</w:t>
            </w:r>
            <w:r w:rsidRPr="00A964FF">
              <w:rPr>
                <w:rFonts w:ascii="Calibri" w:hAnsi="Calibri" w:hint="eastAsia"/>
                <w:color w:val="auto"/>
              </w:rPr>
              <w:t>+</w:t>
            </w:r>
            <w:r w:rsidRPr="00A964FF">
              <w:rPr>
                <w:rFonts w:ascii="Calibri" w:hAnsi="Calibri" w:hint="eastAsia"/>
                <w:color w:val="auto"/>
              </w:rPr>
              <w:t>对二甲苯</w:t>
            </w:r>
          </w:p>
        </w:tc>
        <w:tc>
          <w:tcPr>
            <w:tcW w:w="1256" w:type="pct"/>
            <w:vAlign w:val="center"/>
          </w:tcPr>
          <w:p w14:paraId="5A748EE4" w14:textId="77777777" w:rsidR="00B87028" w:rsidRPr="00A964FF" w:rsidRDefault="00B87028" w:rsidP="00315092">
            <w:pPr>
              <w:jc w:val="center"/>
              <w:rPr>
                <w:rFonts w:ascii="Calibri" w:hAnsi="Calibri"/>
                <w:color w:val="auto"/>
              </w:rPr>
            </w:pPr>
            <w:r w:rsidRPr="00A964FF">
              <w:rPr>
                <w:rFonts w:ascii="Calibri" w:hAnsi="Calibri" w:hint="eastAsia"/>
                <w:color w:val="auto"/>
              </w:rPr>
              <w:t>570</w:t>
            </w:r>
          </w:p>
        </w:tc>
      </w:tr>
      <w:tr w:rsidR="00B87028" w:rsidRPr="00A964FF" w14:paraId="7D66CFC4" w14:textId="77777777" w:rsidTr="0092085C">
        <w:trPr>
          <w:trHeight w:val="312"/>
          <w:jc w:val="center"/>
        </w:trPr>
        <w:tc>
          <w:tcPr>
            <w:tcW w:w="1204" w:type="pct"/>
            <w:vAlign w:val="center"/>
          </w:tcPr>
          <w:p w14:paraId="7B2C3848"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氯甲烷</w:t>
            </w:r>
          </w:p>
        </w:tc>
        <w:tc>
          <w:tcPr>
            <w:tcW w:w="1270" w:type="pct"/>
            <w:vAlign w:val="center"/>
          </w:tcPr>
          <w:p w14:paraId="6A780C67"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37</w:t>
            </w:r>
          </w:p>
        </w:tc>
        <w:tc>
          <w:tcPr>
            <w:tcW w:w="1270" w:type="pct"/>
            <w:vAlign w:val="center"/>
          </w:tcPr>
          <w:p w14:paraId="1A80BB23" w14:textId="77777777" w:rsidR="00B87028" w:rsidRPr="00A964FF" w:rsidRDefault="00B87028" w:rsidP="00315092">
            <w:pPr>
              <w:jc w:val="center"/>
              <w:rPr>
                <w:rFonts w:ascii="Calibri" w:hAnsi="Calibri"/>
                <w:color w:val="auto"/>
              </w:rPr>
            </w:pPr>
            <w:r w:rsidRPr="00A964FF">
              <w:rPr>
                <w:rFonts w:ascii="Calibri" w:hAnsi="Calibri" w:hint="eastAsia"/>
                <w:color w:val="auto"/>
              </w:rPr>
              <w:t>邻二甲苯</w:t>
            </w:r>
          </w:p>
        </w:tc>
        <w:tc>
          <w:tcPr>
            <w:tcW w:w="1256" w:type="pct"/>
            <w:vAlign w:val="center"/>
          </w:tcPr>
          <w:p w14:paraId="579800E2" w14:textId="77777777" w:rsidR="00B87028" w:rsidRPr="00A964FF" w:rsidRDefault="00B87028" w:rsidP="00315092">
            <w:pPr>
              <w:jc w:val="center"/>
              <w:rPr>
                <w:rFonts w:ascii="Calibri" w:hAnsi="Calibri"/>
                <w:color w:val="auto"/>
              </w:rPr>
            </w:pPr>
            <w:r w:rsidRPr="00A964FF">
              <w:rPr>
                <w:rFonts w:ascii="Calibri" w:hAnsi="Calibri" w:hint="eastAsia"/>
                <w:color w:val="auto"/>
              </w:rPr>
              <w:t>640</w:t>
            </w:r>
          </w:p>
        </w:tc>
      </w:tr>
      <w:tr w:rsidR="00B87028" w:rsidRPr="00A964FF" w14:paraId="78A4C141" w14:textId="77777777" w:rsidTr="0092085C">
        <w:trPr>
          <w:trHeight w:val="312"/>
          <w:jc w:val="center"/>
        </w:trPr>
        <w:tc>
          <w:tcPr>
            <w:tcW w:w="1204" w:type="pct"/>
            <w:vAlign w:val="center"/>
          </w:tcPr>
          <w:p w14:paraId="6C3D8118"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1,1-</w:t>
            </w:r>
            <w:r w:rsidRPr="00A964FF">
              <w:rPr>
                <w:rFonts w:ascii="Calibri" w:hAnsi="Calibri" w:hint="eastAsia"/>
                <w:color w:val="auto"/>
                <w:szCs w:val="21"/>
              </w:rPr>
              <w:t>二氯乙烷</w:t>
            </w:r>
          </w:p>
        </w:tc>
        <w:tc>
          <w:tcPr>
            <w:tcW w:w="1270" w:type="pct"/>
            <w:vAlign w:val="center"/>
          </w:tcPr>
          <w:p w14:paraId="0E8E6F55"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9</w:t>
            </w:r>
          </w:p>
        </w:tc>
        <w:tc>
          <w:tcPr>
            <w:tcW w:w="1270" w:type="pct"/>
            <w:vAlign w:val="center"/>
          </w:tcPr>
          <w:p w14:paraId="0951BBDE" w14:textId="77777777" w:rsidR="00B87028" w:rsidRPr="00A964FF" w:rsidRDefault="00B87028" w:rsidP="00315092">
            <w:pPr>
              <w:jc w:val="center"/>
              <w:rPr>
                <w:rFonts w:ascii="Calibri" w:hAnsi="Calibri"/>
                <w:color w:val="auto"/>
              </w:rPr>
            </w:pPr>
            <w:r w:rsidRPr="00A964FF">
              <w:rPr>
                <w:rFonts w:ascii="Calibri" w:hAnsi="Calibri" w:hint="eastAsia"/>
                <w:color w:val="auto"/>
              </w:rPr>
              <w:t>硝基苯</w:t>
            </w:r>
          </w:p>
        </w:tc>
        <w:tc>
          <w:tcPr>
            <w:tcW w:w="1256" w:type="pct"/>
            <w:vAlign w:val="center"/>
          </w:tcPr>
          <w:p w14:paraId="1FA0D8AA" w14:textId="77777777" w:rsidR="00B87028" w:rsidRPr="00A964FF" w:rsidRDefault="00B87028" w:rsidP="00315092">
            <w:pPr>
              <w:jc w:val="center"/>
              <w:rPr>
                <w:rFonts w:ascii="Calibri" w:hAnsi="Calibri"/>
                <w:color w:val="auto"/>
              </w:rPr>
            </w:pPr>
            <w:r w:rsidRPr="00A964FF">
              <w:rPr>
                <w:rFonts w:ascii="Calibri" w:hAnsi="Calibri" w:hint="eastAsia"/>
                <w:color w:val="auto"/>
              </w:rPr>
              <w:t>76</w:t>
            </w:r>
          </w:p>
        </w:tc>
      </w:tr>
      <w:tr w:rsidR="00B87028" w:rsidRPr="00A964FF" w14:paraId="474EBC8F" w14:textId="77777777" w:rsidTr="0092085C">
        <w:trPr>
          <w:trHeight w:val="312"/>
          <w:jc w:val="center"/>
        </w:trPr>
        <w:tc>
          <w:tcPr>
            <w:tcW w:w="1204" w:type="pct"/>
            <w:vAlign w:val="center"/>
          </w:tcPr>
          <w:p w14:paraId="6396D019"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1,2-</w:t>
            </w:r>
            <w:r w:rsidRPr="00A964FF">
              <w:rPr>
                <w:rFonts w:ascii="Calibri" w:hAnsi="Calibri" w:hint="eastAsia"/>
                <w:color w:val="auto"/>
                <w:szCs w:val="21"/>
              </w:rPr>
              <w:t>二氯乙烷</w:t>
            </w:r>
          </w:p>
        </w:tc>
        <w:tc>
          <w:tcPr>
            <w:tcW w:w="1270" w:type="pct"/>
            <w:vAlign w:val="center"/>
          </w:tcPr>
          <w:p w14:paraId="2BBA4818"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5</w:t>
            </w:r>
          </w:p>
        </w:tc>
        <w:tc>
          <w:tcPr>
            <w:tcW w:w="1270" w:type="pct"/>
            <w:vAlign w:val="center"/>
          </w:tcPr>
          <w:p w14:paraId="246C819C" w14:textId="77777777" w:rsidR="00B87028" w:rsidRPr="00A964FF" w:rsidRDefault="00B87028" w:rsidP="00315092">
            <w:pPr>
              <w:jc w:val="center"/>
              <w:rPr>
                <w:rFonts w:ascii="Calibri" w:hAnsi="Calibri"/>
                <w:color w:val="auto"/>
              </w:rPr>
            </w:pPr>
            <w:r w:rsidRPr="00A964FF">
              <w:rPr>
                <w:rFonts w:ascii="Calibri" w:hAnsi="Calibri" w:hint="eastAsia"/>
                <w:color w:val="auto"/>
              </w:rPr>
              <w:t>苯胺</w:t>
            </w:r>
          </w:p>
        </w:tc>
        <w:tc>
          <w:tcPr>
            <w:tcW w:w="1256" w:type="pct"/>
            <w:vAlign w:val="center"/>
          </w:tcPr>
          <w:p w14:paraId="71B4FCAF" w14:textId="77777777" w:rsidR="00B87028" w:rsidRPr="00A964FF" w:rsidRDefault="00B87028" w:rsidP="00315092">
            <w:pPr>
              <w:jc w:val="center"/>
              <w:rPr>
                <w:rFonts w:ascii="Calibri" w:hAnsi="Calibri"/>
                <w:color w:val="auto"/>
              </w:rPr>
            </w:pPr>
            <w:r w:rsidRPr="00A964FF">
              <w:rPr>
                <w:rFonts w:ascii="Calibri" w:hAnsi="Calibri" w:hint="eastAsia"/>
                <w:color w:val="auto"/>
              </w:rPr>
              <w:t>260</w:t>
            </w:r>
          </w:p>
        </w:tc>
      </w:tr>
      <w:tr w:rsidR="00B87028" w:rsidRPr="00A964FF" w14:paraId="65A9EC9D" w14:textId="77777777" w:rsidTr="0092085C">
        <w:trPr>
          <w:trHeight w:val="312"/>
          <w:jc w:val="center"/>
        </w:trPr>
        <w:tc>
          <w:tcPr>
            <w:tcW w:w="1204" w:type="pct"/>
            <w:vAlign w:val="center"/>
          </w:tcPr>
          <w:p w14:paraId="32A4A4DF"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1,1-</w:t>
            </w:r>
            <w:r w:rsidRPr="00A964FF">
              <w:rPr>
                <w:rFonts w:ascii="Calibri" w:hAnsi="Calibri" w:hint="eastAsia"/>
                <w:color w:val="auto"/>
                <w:szCs w:val="21"/>
              </w:rPr>
              <w:t>二氯乙烯</w:t>
            </w:r>
          </w:p>
        </w:tc>
        <w:tc>
          <w:tcPr>
            <w:tcW w:w="1270" w:type="pct"/>
            <w:vAlign w:val="center"/>
          </w:tcPr>
          <w:p w14:paraId="7155E091"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66</w:t>
            </w:r>
          </w:p>
        </w:tc>
        <w:tc>
          <w:tcPr>
            <w:tcW w:w="1270" w:type="pct"/>
            <w:vAlign w:val="center"/>
          </w:tcPr>
          <w:p w14:paraId="0695078D" w14:textId="77777777" w:rsidR="00B87028" w:rsidRPr="00A964FF" w:rsidRDefault="00B87028" w:rsidP="00315092">
            <w:pPr>
              <w:jc w:val="center"/>
              <w:rPr>
                <w:rFonts w:ascii="Calibri" w:hAnsi="Calibri"/>
                <w:color w:val="auto"/>
              </w:rPr>
            </w:pPr>
            <w:r w:rsidRPr="00A964FF">
              <w:rPr>
                <w:rFonts w:ascii="Calibri" w:hAnsi="Calibri" w:hint="eastAsia"/>
                <w:color w:val="auto"/>
              </w:rPr>
              <w:t>2-</w:t>
            </w:r>
            <w:r w:rsidRPr="00A964FF">
              <w:rPr>
                <w:rFonts w:ascii="Calibri" w:hAnsi="Calibri" w:hint="eastAsia"/>
                <w:color w:val="auto"/>
              </w:rPr>
              <w:t>氯酚</w:t>
            </w:r>
          </w:p>
        </w:tc>
        <w:tc>
          <w:tcPr>
            <w:tcW w:w="1256" w:type="pct"/>
            <w:vAlign w:val="center"/>
          </w:tcPr>
          <w:p w14:paraId="1E4F5CDA" w14:textId="77777777" w:rsidR="00B87028" w:rsidRPr="00A964FF" w:rsidRDefault="00B87028" w:rsidP="00315092">
            <w:pPr>
              <w:jc w:val="center"/>
              <w:rPr>
                <w:rFonts w:ascii="Calibri" w:hAnsi="Calibri"/>
                <w:color w:val="auto"/>
              </w:rPr>
            </w:pPr>
            <w:r w:rsidRPr="00A964FF">
              <w:rPr>
                <w:rFonts w:ascii="Calibri" w:hAnsi="Calibri" w:hint="eastAsia"/>
                <w:color w:val="auto"/>
              </w:rPr>
              <w:t>2256</w:t>
            </w:r>
          </w:p>
        </w:tc>
      </w:tr>
      <w:tr w:rsidR="00B87028" w:rsidRPr="00A964FF" w14:paraId="363F4ADC" w14:textId="77777777" w:rsidTr="0092085C">
        <w:trPr>
          <w:trHeight w:val="312"/>
          <w:jc w:val="center"/>
        </w:trPr>
        <w:tc>
          <w:tcPr>
            <w:tcW w:w="1204" w:type="pct"/>
            <w:vAlign w:val="center"/>
          </w:tcPr>
          <w:p w14:paraId="42E71F92"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顺</w:t>
            </w:r>
            <w:r w:rsidRPr="00A964FF">
              <w:rPr>
                <w:rFonts w:ascii="Calibri" w:hAnsi="Calibri" w:hint="eastAsia"/>
                <w:color w:val="auto"/>
                <w:szCs w:val="21"/>
              </w:rPr>
              <w:t>-1,2-</w:t>
            </w:r>
            <w:r w:rsidRPr="00A964FF">
              <w:rPr>
                <w:rFonts w:ascii="Calibri" w:hAnsi="Calibri" w:hint="eastAsia"/>
                <w:color w:val="auto"/>
                <w:szCs w:val="21"/>
              </w:rPr>
              <w:t>二氯乙烯</w:t>
            </w:r>
          </w:p>
        </w:tc>
        <w:tc>
          <w:tcPr>
            <w:tcW w:w="1270" w:type="pct"/>
            <w:vAlign w:val="center"/>
          </w:tcPr>
          <w:p w14:paraId="37B30A64"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596</w:t>
            </w:r>
          </w:p>
        </w:tc>
        <w:tc>
          <w:tcPr>
            <w:tcW w:w="1270" w:type="pct"/>
            <w:vAlign w:val="center"/>
          </w:tcPr>
          <w:p w14:paraId="6AA27CCF" w14:textId="77777777" w:rsidR="00B87028" w:rsidRPr="00A964FF" w:rsidRDefault="00B87028" w:rsidP="00315092">
            <w:pPr>
              <w:jc w:val="center"/>
              <w:rPr>
                <w:rFonts w:ascii="Calibri" w:hAnsi="Calibri"/>
                <w:color w:val="auto"/>
              </w:rPr>
            </w:pPr>
            <w:r w:rsidRPr="00A964FF">
              <w:rPr>
                <w:rFonts w:ascii="Calibri" w:hAnsi="Calibri" w:hint="eastAsia"/>
                <w:color w:val="auto"/>
              </w:rPr>
              <w:t>苯并</w:t>
            </w:r>
            <w:r w:rsidRPr="00A964FF">
              <w:rPr>
                <w:rFonts w:ascii="Calibri" w:hAnsi="Calibri" w:hint="eastAsia"/>
                <w:color w:val="auto"/>
              </w:rPr>
              <w:t>[a]</w:t>
            </w:r>
            <w:r w:rsidRPr="00A964FF">
              <w:rPr>
                <w:rFonts w:ascii="Calibri" w:hAnsi="Calibri" w:hint="eastAsia"/>
                <w:color w:val="auto"/>
              </w:rPr>
              <w:t>蒽</w:t>
            </w:r>
          </w:p>
        </w:tc>
        <w:tc>
          <w:tcPr>
            <w:tcW w:w="1256" w:type="pct"/>
            <w:vAlign w:val="center"/>
          </w:tcPr>
          <w:p w14:paraId="769B1346" w14:textId="77777777" w:rsidR="00B87028" w:rsidRPr="00A964FF" w:rsidRDefault="00B87028" w:rsidP="00315092">
            <w:pPr>
              <w:jc w:val="center"/>
              <w:rPr>
                <w:rFonts w:ascii="Calibri" w:hAnsi="Calibri"/>
                <w:color w:val="auto"/>
              </w:rPr>
            </w:pPr>
            <w:r w:rsidRPr="00A964FF">
              <w:rPr>
                <w:rFonts w:ascii="Calibri" w:hAnsi="Calibri" w:hint="eastAsia"/>
                <w:color w:val="auto"/>
              </w:rPr>
              <w:t>15</w:t>
            </w:r>
          </w:p>
        </w:tc>
      </w:tr>
      <w:tr w:rsidR="00B87028" w:rsidRPr="00A964FF" w14:paraId="69460688" w14:textId="77777777" w:rsidTr="0092085C">
        <w:trPr>
          <w:trHeight w:val="312"/>
          <w:jc w:val="center"/>
        </w:trPr>
        <w:tc>
          <w:tcPr>
            <w:tcW w:w="1204" w:type="pct"/>
            <w:vAlign w:val="center"/>
          </w:tcPr>
          <w:p w14:paraId="35279916"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反</w:t>
            </w:r>
            <w:r w:rsidRPr="00A964FF">
              <w:rPr>
                <w:rFonts w:ascii="Calibri" w:hAnsi="Calibri" w:hint="eastAsia"/>
                <w:color w:val="auto"/>
                <w:szCs w:val="21"/>
              </w:rPr>
              <w:t>-1,2-</w:t>
            </w:r>
            <w:r w:rsidRPr="00A964FF">
              <w:rPr>
                <w:rFonts w:ascii="Calibri" w:hAnsi="Calibri" w:hint="eastAsia"/>
                <w:color w:val="auto"/>
                <w:szCs w:val="21"/>
              </w:rPr>
              <w:t>二氯乙烯</w:t>
            </w:r>
          </w:p>
        </w:tc>
        <w:tc>
          <w:tcPr>
            <w:tcW w:w="1270" w:type="pct"/>
            <w:vAlign w:val="center"/>
          </w:tcPr>
          <w:p w14:paraId="4B28BF8D"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54</w:t>
            </w:r>
          </w:p>
        </w:tc>
        <w:tc>
          <w:tcPr>
            <w:tcW w:w="1270" w:type="pct"/>
            <w:vAlign w:val="center"/>
          </w:tcPr>
          <w:p w14:paraId="754966E6" w14:textId="77777777" w:rsidR="00B87028" w:rsidRPr="00A964FF" w:rsidRDefault="00B87028" w:rsidP="00315092">
            <w:pPr>
              <w:jc w:val="center"/>
              <w:rPr>
                <w:rFonts w:ascii="Calibri" w:hAnsi="Calibri"/>
                <w:color w:val="auto"/>
              </w:rPr>
            </w:pPr>
            <w:r w:rsidRPr="00A964FF">
              <w:rPr>
                <w:rFonts w:ascii="Calibri" w:hAnsi="Calibri" w:hint="eastAsia"/>
                <w:color w:val="auto"/>
              </w:rPr>
              <w:t>苯并</w:t>
            </w:r>
            <w:r w:rsidRPr="00A964FF">
              <w:rPr>
                <w:rFonts w:ascii="Calibri" w:hAnsi="Calibri" w:hint="eastAsia"/>
                <w:color w:val="auto"/>
              </w:rPr>
              <w:t>[a]</w:t>
            </w:r>
            <w:r w:rsidRPr="00A964FF">
              <w:rPr>
                <w:rFonts w:ascii="Calibri" w:hAnsi="Calibri" w:hint="eastAsia"/>
                <w:color w:val="auto"/>
              </w:rPr>
              <w:t>芘</w:t>
            </w:r>
          </w:p>
        </w:tc>
        <w:tc>
          <w:tcPr>
            <w:tcW w:w="1256" w:type="pct"/>
            <w:vAlign w:val="center"/>
          </w:tcPr>
          <w:p w14:paraId="1BFD8E3A" w14:textId="77777777" w:rsidR="00B87028" w:rsidRPr="00A964FF" w:rsidRDefault="00B87028" w:rsidP="00315092">
            <w:pPr>
              <w:jc w:val="center"/>
              <w:rPr>
                <w:rFonts w:ascii="Calibri" w:hAnsi="Calibri"/>
                <w:color w:val="auto"/>
              </w:rPr>
            </w:pPr>
            <w:r w:rsidRPr="00A964FF">
              <w:rPr>
                <w:rFonts w:ascii="Calibri" w:hAnsi="Calibri" w:hint="eastAsia"/>
                <w:color w:val="auto"/>
              </w:rPr>
              <w:t>1.5</w:t>
            </w:r>
          </w:p>
        </w:tc>
      </w:tr>
      <w:tr w:rsidR="00B87028" w:rsidRPr="00A964FF" w14:paraId="4E3589A5" w14:textId="77777777" w:rsidTr="0092085C">
        <w:trPr>
          <w:trHeight w:val="312"/>
          <w:jc w:val="center"/>
        </w:trPr>
        <w:tc>
          <w:tcPr>
            <w:tcW w:w="1204" w:type="pct"/>
            <w:vAlign w:val="center"/>
          </w:tcPr>
          <w:p w14:paraId="3E7589D7" w14:textId="77777777" w:rsidR="00B87028" w:rsidRPr="00643331" w:rsidRDefault="00B87028" w:rsidP="00FF2C46">
            <w:pPr>
              <w:pStyle w:val="a1"/>
              <w:ind w:firstLine="0"/>
              <w:jc w:val="center"/>
              <w:rPr>
                <w:rFonts w:ascii="Calibri" w:hAnsi="Calibri"/>
                <w:color w:val="auto"/>
                <w:szCs w:val="21"/>
              </w:rPr>
            </w:pPr>
            <w:r w:rsidRPr="00643331">
              <w:rPr>
                <w:rFonts w:ascii="Calibri" w:hAnsi="Calibri" w:hint="eastAsia"/>
                <w:color w:val="auto"/>
                <w:szCs w:val="21"/>
              </w:rPr>
              <w:t>二氯甲烷</w:t>
            </w:r>
          </w:p>
        </w:tc>
        <w:tc>
          <w:tcPr>
            <w:tcW w:w="1270" w:type="pct"/>
            <w:vAlign w:val="center"/>
          </w:tcPr>
          <w:p w14:paraId="3E35CF4D" w14:textId="77777777" w:rsidR="00B87028" w:rsidRPr="00643331" w:rsidRDefault="00B87028" w:rsidP="00FF2C46">
            <w:pPr>
              <w:jc w:val="center"/>
              <w:rPr>
                <w:rFonts w:ascii="Calibri" w:hAnsi="Calibri"/>
                <w:color w:val="auto"/>
                <w:szCs w:val="21"/>
              </w:rPr>
            </w:pPr>
            <w:r w:rsidRPr="00643331">
              <w:rPr>
                <w:rFonts w:ascii="Calibri" w:hAnsi="Calibri" w:hint="eastAsia"/>
                <w:color w:val="auto"/>
                <w:szCs w:val="21"/>
              </w:rPr>
              <w:t>616</w:t>
            </w:r>
          </w:p>
        </w:tc>
        <w:tc>
          <w:tcPr>
            <w:tcW w:w="1270" w:type="pct"/>
            <w:vAlign w:val="center"/>
          </w:tcPr>
          <w:p w14:paraId="315EA0C7" w14:textId="77777777" w:rsidR="00B87028" w:rsidRPr="00A964FF" w:rsidRDefault="00B87028" w:rsidP="00315092">
            <w:pPr>
              <w:jc w:val="center"/>
              <w:rPr>
                <w:rFonts w:ascii="Calibri" w:hAnsi="Calibri"/>
                <w:color w:val="auto"/>
              </w:rPr>
            </w:pPr>
            <w:r w:rsidRPr="00A964FF">
              <w:rPr>
                <w:rFonts w:ascii="Calibri" w:hAnsi="Calibri" w:hint="eastAsia"/>
                <w:color w:val="auto"/>
              </w:rPr>
              <w:t>苯并</w:t>
            </w:r>
            <w:r w:rsidRPr="00A964FF">
              <w:rPr>
                <w:rFonts w:ascii="Calibri" w:hAnsi="Calibri" w:hint="eastAsia"/>
                <w:color w:val="auto"/>
              </w:rPr>
              <w:t>[b]</w:t>
            </w:r>
            <w:r w:rsidRPr="00A964FF">
              <w:rPr>
                <w:rFonts w:ascii="Calibri" w:hAnsi="Calibri" w:hint="eastAsia"/>
                <w:color w:val="auto"/>
              </w:rPr>
              <w:t>荧蒽</w:t>
            </w:r>
          </w:p>
        </w:tc>
        <w:tc>
          <w:tcPr>
            <w:tcW w:w="1256" w:type="pct"/>
            <w:vAlign w:val="center"/>
          </w:tcPr>
          <w:p w14:paraId="164ACA09" w14:textId="77777777" w:rsidR="00B87028" w:rsidRPr="00A964FF" w:rsidRDefault="00B87028" w:rsidP="00315092">
            <w:pPr>
              <w:jc w:val="center"/>
              <w:rPr>
                <w:rFonts w:ascii="Calibri" w:hAnsi="Calibri"/>
                <w:color w:val="auto"/>
              </w:rPr>
            </w:pPr>
            <w:r w:rsidRPr="00A964FF">
              <w:rPr>
                <w:rFonts w:ascii="Calibri" w:hAnsi="Calibri" w:hint="eastAsia"/>
                <w:color w:val="auto"/>
              </w:rPr>
              <w:t>15</w:t>
            </w:r>
          </w:p>
        </w:tc>
      </w:tr>
      <w:tr w:rsidR="00B87028" w:rsidRPr="00A964FF" w14:paraId="4E619364" w14:textId="77777777" w:rsidTr="0092085C">
        <w:trPr>
          <w:trHeight w:val="312"/>
          <w:jc w:val="center"/>
        </w:trPr>
        <w:tc>
          <w:tcPr>
            <w:tcW w:w="1204" w:type="pct"/>
            <w:vAlign w:val="center"/>
          </w:tcPr>
          <w:p w14:paraId="76EE58A1"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1,2-</w:t>
            </w:r>
            <w:r w:rsidRPr="00A964FF">
              <w:rPr>
                <w:rFonts w:ascii="Calibri" w:hAnsi="Calibri" w:hint="eastAsia"/>
                <w:color w:val="auto"/>
                <w:szCs w:val="21"/>
              </w:rPr>
              <w:t>二氯丙烷</w:t>
            </w:r>
          </w:p>
        </w:tc>
        <w:tc>
          <w:tcPr>
            <w:tcW w:w="1270" w:type="pct"/>
            <w:vAlign w:val="center"/>
          </w:tcPr>
          <w:p w14:paraId="30CB0297"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5</w:t>
            </w:r>
          </w:p>
        </w:tc>
        <w:tc>
          <w:tcPr>
            <w:tcW w:w="1270" w:type="pct"/>
            <w:vAlign w:val="center"/>
          </w:tcPr>
          <w:p w14:paraId="772F161F" w14:textId="77777777" w:rsidR="00B87028" w:rsidRPr="00A964FF" w:rsidRDefault="00B87028" w:rsidP="00315092">
            <w:pPr>
              <w:jc w:val="center"/>
              <w:rPr>
                <w:rFonts w:ascii="Calibri" w:hAnsi="Calibri"/>
                <w:color w:val="auto"/>
              </w:rPr>
            </w:pPr>
            <w:r w:rsidRPr="00A964FF">
              <w:rPr>
                <w:rFonts w:ascii="Calibri" w:hAnsi="Calibri" w:hint="eastAsia"/>
                <w:color w:val="auto"/>
              </w:rPr>
              <w:t>苯并</w:t>
            </w:r>
            <w:r w:rsidRPr="00A964FF">
              <w:rPr>
                <w:rFonts w:ascii="Calibri" w:hAnsi="Calibri" w:hint="eastAsia"/>
                <w:color w:val="auto"/>
              </w:rPr>
              <w:t>[k]</w:t>
            </w:r>
            <w:r w:rsidRPr="00A964FF">
              <w:rPr>
                <w:rFonts w:ascii="Calibri" w:hAnsi="Calibri" w:hint="eastAsia"/>
                <w:color w:val="auto"/>
              </w:rPr>
              <w:t>荧蒽</w:t>
            </w:r>
          </w:p>
        </w:tc>
        <w:tc>
          <w:tcPr>
            <w:tcW w:w="1256" w:type="pct"/>
            <w:vAlign w:val="center"/>
          </w:tcPr>
          <w:p w14:paraId="64709719" w14:textId="77777777" w:rsidR="00B87028" w:rsidRPr="00A964FF" w:rsidRDefault="00B87028" w:rsidP="00315092">
            <w:pPr>
              <w:jc w:val="center"/>
              <w:rPr>
                <w:rFonts w:ascii="Calibri" w:hAnsi="Calibri"/>
                <w:color w:val="auto"/>
              </w:rPr>
            </w:pPr>
            <w:r w:rsidRPr="00A964FF">
              <w:rPr>
                <w:rFonts w:ascii="Calibri" w:hAnsi="Calibri" w:hint="eastAsia"/>
                <w:color w:val="auto"/>
              </w:rPr>
              <w:t>151</w:t>
            </w:r>
          </w:p>
        </w:tc>
      </w:tr>
      <w:tr w:rsidR="00B87028" w:rsidRPr="00A964FF" w14:paraId="7CE35B31" w14:textId="77777777" w:rsidTr="0092085C">
        <w:trPr>
          <w:trHeight w:val="312"/>
          <w:jc w:val="center"/>
        </w:trPr>
        <w:tc>
          <w:tcPr>
            <w:tcW w:w="1204" w:type="pct"/>
            <w:vAlign w:val="center"/>
          </w:tcPr>
          <w:p w14:paraId="10604018"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1,1,1,2-</w:t>
            </w:r>
            <w:r w:rsidRPr="00A964FF">
              <w:rPr>
                <w:rFonts w:ascii="Calibri" w:hAnsi="Calibri" w:hint="eastAsia"/>
                <w:color w:val="auto"/>
                <w:szCs w:val="21"/>
              </w:rPr>
              <w:t>四氯乙烷</w:t>
            </w:r>
          </w:p>
        </w:tc>
        <w:tc>
          <w:tcPr>
            <w:tcW w:w="1270" w:type="pct"/>
            <w:vAlign w:val="center"/>
          </w:tcPr>
          <w:p w14:paraId="57878740"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10</w:t>
            </w:r>
          </w:p>
        </w:tc>
        <w:tc>
          <w:tcPr>
            <w:tcW w:w="1270" w:type="pct"/>
            <w:vAlign w:val="center"/>
          </w:tcPr>
          <w:p w14:paraId="055C7460" w14:textId="77777777" w:rsidR="00B87028" w:rsidRPr="00A964FF" w:rsidRDefault="00B87028" w:rsidP="00315092">
            <w:pPr>
              <w:jc w:val="center"/>
              <w:rPr>
                <w:rFonts w:ascii="Calibri" w:hAnsi="Calibri"/>
                <w:color w:val="auto"/>
              </w:rPr>
            </w:pPr>
            <w:r w:rsidRPr="00A964FF">
              <w:rPr>
                <w:rFonts w:ascii="Calibri" w:hAnsi="Calibri" w:hint="eastAsia"/>
                <w:color w:val="auto"/>
              </w:rPr>
              <w:t>䓛</w:t>
            </w:r>
          </w:p>
        </w:tc>
        <w:tc>
          <w:tcPr>
            <w:tcW w:w="1256" w:type="pct"/>
            <w:vAlign w:val="center"/>
          </w:tcPr>
          <w:p w14:paraId="46E93D59" w14:textId="77777777" w:rsidR="00B87028" w:rsidRPr="00A964FF" w:rsidRDefault="00B87028" w:rsidP="00315092">
            <w:pPr>
              <w:jc w:val="center"/>
              <w:rPr>
                <w:rFonts w:ascii="Calibri" w:hAnsi="Calibri"/>
                <w:color w:val="auto"/>
              </w:rPr>
            </w:pPr>
            <w:r w:rsidRPr="00A964FF">
              <w:rPr>
                <w:rFonts w:ascii="Calibri" w:hAnsi="Calibri" w:hint="eastAsia"/>
                <w:color w:val="auto"/>
              </w:rPr>
              <w:t>1293</w:t>
            </w:r>
          </w:p>
        </w:tc>
      </w:tr>
      <w:tr w:rsidR="00B87028" w:rsidRPr="00A964FF" w14:paraId="5F4F316A" w14:textId="77777777" w:rsidTr="0092085C">
        <w:trPr>
          <w:trHeight w:val="312"/>
          <w:jc w:val="center"/>
        </w:trPr>
        <w:tc>
          <w:tcPr>
            <w:tcW w:w="1204" w:type="pct"/>
            <w:vAlign w:val="center"/>
          </w:tcPr>
          <w:p w14:paraId="392E5B2A"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1,1,2,2-</w:t>
            </w:r>
            <w:r w:rsidRPr="00A964FF">
              <w:rPr>
                <w:rFonts w:ascii="Calibri" w:hAnsi="Calibri" w:hint="eastAsia"/>
                <w:color w:val="auto"/>
                <w:szCs w:val="21"/>
              </w:rPr>
              <w:t>四氯乙烷</w:t>
            </w:r>
          </w:p>
        </w:tc>
        <w:tc>
          <w:tcPr>
            <w:tcW w:w="1270" w:type="pct"/>
            <w:vAlign w:val="center"/>
          </w:tcPr>
          <w:p w14:paraId="426C378B"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6.8</w:t>
            </w:r>
          </w:p>
        </w:tc>
        <w:tc>
          <w:tcPr>
            <w:tcW w:w="1270" w:type="pct"/>
            <w:vAlign w:val="center"/>
          </w:tcPr>
          <w:p w14:paraId="4C9BAECE" w14:textId="77777777" w:rsidR="00B87028" w:rsidRPr="00A964FF" w:rsidRDefault="00B87028" w:rsidP="00315092">
            <w:pPr>
              <w:jc w:val="center"/>
              <w:rPr>
                <w:rFonts w:ascii="Calibri" w:hAnsi="Calibri"/>
                <w:color w:val="auto"/>
              </w:rPr>
            </w:pPr>
            <w:r w:rsidRPr="00A964FF">
              <w:rPr>
                <w:rFonts w:ascii="Calibri" w:hAnsi="Calibri" w:hint="eastAsia"/>
                <w:color w:val="auto"/>
              </w:rPr>
              <w:t>二苯并</w:t>
            </w:r>
            <w:r w:rsidRPr="00A964FF">
              <w:rPr>
                <w:rFonts w:ascii="Calibri" w:hAnsi="Calibri" w:hint="eastAsia"/>
                <w:color w:val="auto"/>
              </w:rPr>
              <w:t>[a,h]</w:t>
            </w:r>
            <w:r w:rsidRPr="00A964FF">
              <w:rPr>
                <w:rFonts w:ascii="Calibri" w:hAnsi="Calibri" w:hint="eastAsia"/>
                <w:color w:val="auto"/>
              </w:rPr>
              <w:t>蒽</w:t>
            </w:r>
          </w:p>
        </w:tc>
        <w:tc>
          <w:tcPr>
            <w:tcW w:w="1256" w:type="pct"/>
            <w:vAlign w:val="center"/>
          </w:tcPr>
          <w:p w14:paraId="0B8DF07A" w14:textId="77777777" w:rsidR="00B87028" w:rsidRPr="00A964FF" w:rsidRDefault="00B87028" w:rsidP="00315092">
            <w:pPr>
              <w:jc w:val="center"/>
              <w:rPr>
                <w:rFonts w:ascii="Calibri" w:hAnsi="Calibri"/>
                <w:color w:val="auto"/>
              </w:rPr>
            </w:pPr>
            <w:r w:rsidRPr="00A964FF">
              <w:rPr>
                <w:rFonts w:ascii="Calibri" w:hAnsi="Calibri" w:hint="eastAsia"/>
                <w:color w:val="auto"/>
              </w:rPr>
              <w:t>1.5</w:t>
            </w:r>
          </w:p>
        </w:tc>
      </w:tr>
      <w:tr w:rsidR="00B87028" w:rsidRPr="00A964FF" w14:paraId="046EEADA" w14:textId="77777777" w:rsidTr="0092085C">
        <w:trPr>
          <w:trHeight w:val="312"/>
          <w:jc w:val="center"/>
        </w:trPr>
        <w:tc>
          <w:tcPr>
            <w:tcW w:w="1204" w:type="pct"/>
            <w:vAlign w:val="center"/>
          </w:tcPr>
          <w:p w14:paraId="7C279914"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四氯乙烯</w:t>
            </w:r>
          </w:p>
        </w:tc>
        <w:tc>
          <w:tcPr>
            <w:tcW w:w="1270" w:type="pct"/>
            <w:vAlign w:val="center"/>
          </w:tcPr>
          <w:p w14:paraId="162891D9"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53</w:t>
            </w:r>
          </w:p>
        </w:tc>
        <w:tc>
          <w:tcPr>
            <w:tcW w:w="1270" w:type="pct"/>
            <w:vAlign w:val="center"/>
          </w:tcPr>
          <w:p w14:paraId="2D6FF5CB" w14:textId="77777777" w:rsidR="00B87028" w:rsidRPr="00A964FF" w:rsidRDefault="00B87028" w:rsidP="00315092">
            <w:pPr>
              <w:jc w:val="center"/>
              <w:rPr>
                <w:rFonts w:ascii="Calibri" w:hAnsi="Calibri"/>
                <w:color w:val="auto"/>
              </w:rPr>
            </w:pPr>
            <w:r w:rsidRPr="00A964FF">
              <w:rPr>
                <w:rFonts w:ascii="Calibri" w:hAnsi="Calibri" w:hint="eastAsia"/>
                <w:color w:val="auto"/>
              </w:rPr>
              <w:t>茚并</w:t>
            </w:r>
            <w:r w:rsidRPr="00A964FF">
              <w:rPr>
                <w:rFonts w:ascii="Calibri" w:hAnsi="Calibri" w:hint="eastAsia"/>
                <w:color w:val="auto"/>
              </w:rPr>
              <w:t>[1,2,3-cd]</w:t>
            </w:r>
            <w:r w:rsidRPr="00A964FF">
              <w:rPr>
                <w:rFonts w:ascii="Calibri" w:hAnsi="Calibri" w:hint="eastAsia"/>
                <w:color w:val="auto"/>
              </w:rPr>
              <w:t>芘</w:t>
            </w:r>
          </w:p>
        </w:tc>
        <w:tc>
          <w:tcPr>
            <w:tcW w:w="1256" w:type="pct"/>
            <w:vAlign w:val="center"/>
          </w:tcPr>
          <w:p w14:paraId="3B353CEC" w14:textId="77777777" w:rsidR="00B87028" w:rsidRPr="00A964FF" w:rsidRDefault="00B87028" w:rsidP="00315092">
            <w:pPr>
              <w:jc w:val="center"/>
              <w:rPr>
                <w:rFonts w:ascii="Calibri" w:hAnsi="Calibri"/>
                <w:color w:val="auto"/>
              </w:rPr>
            </w:pPr>
            <w:r w:rsidRPr="00A964FF">
              <w:rPr>
                <w:rFonts w:ascii="Calibri" w:hAnsi="Calibri" w:hint="eastAsia"/>
                <w:color w:val="auto"/>
              </w:rPr>
              <w:t>15</w:t>
            </w:r>
          </w:p>
        </w:tc>
      </w:tr>
      <w:tr w:rsidR="00B87028" w:rsidRPr="00A964FF" w14:paraId="6BD9F8F7" w14:textId="77777777" w:rsidTr="0092085C">
        <w:trPr>
          <w:trHeight w:val="312"/>
          <w:jc w:val="center"/>
        </w:trPr>
        <w:tc>
          <w:tcPr>
            <w:tcW w:w="1204" w:type="pct"/>
            <w:vAlign w:val="center"/>
          </w:tcPr>
          <w:p w14:paraId="2E345AC1" w14:textId="77777777" w:rsidR="00B87028" w:rsidRPr="00A964FF" w:rsidRDefault="00B87028" w:rsidP="00FF2C46">
            <w:pPr>
              <w:pStyle w:val="a1"/>
              <w:ind w:firstLine="0"/>
              <w:jc w:val="center"/>
              <w:rPr>
                <w:rFonts w:ascii="Calibri" w:hAnsi="Calibri"/>
                <w:color w:val="auto"/>
                <w:szCs w:val="21"/>
              </w:rPr>
            </w:pPr>
            <w:r w:rsidRPr="00A964FF">
              <w:rPr>
                <w:rFonts w:ascii="Calibri" w:hAnsi="Calibri" w:hint="eastAsia"/>
                <w:color w:val="auto"/>
                <w:szCs w:val="21"/>
              </w:rPr>
              <w:t>1,1,1-</w:t>
            </w:r>
            <w:r w:rsidRPr="00A964FF">
              <w:rPr>
                <w:rFonts w:ascii="Calibri" w:hAnsi="Calibri" w:hint="eastAsia"/>
                <w:color w:val="auto"/>
                <w:szCs w:val="21"/>
              </w:rPr>
              <w:t>三氯乙烷</w:t>
            </w:r>
          </w:p>
        </w:tc>
        <w:tc>
          <w:tcPr>
            <w:tcW w:w="1270" w:type="pct"/>
            <w:vAlign w:val="center"/>
          </w:tcPr>
          <w:p w14:paraId="298A6260" w14:textId="77777777" w:rsidR="00B87028" w:rsidRPr="00A964FF" w:rsidRDefault="00B87028" w:rsidP="00FF2C46">
            <w:pPr>
              <w:jc w:val="center"/>
              <w:rPr>
                <w:rFonts w:ascii="Calibri" w:hAnsi="Calibri"/>
                <w:color w:val="auto"/>
                <w:szCs w:val="21"/>
              </w:rPr>
            </w:pPr>
            <w:r w:rsidRPr="00A964FF">
              <w:rPr>
                <w:rFonts w:ascii="Calibri" w:hAnsi="Calibri" w:hint="eastAsia"/>
                <w:color w:val="auto"/>
                <w:szCs w:val="21"/>
              </w:rPr>
              <w:t>840</w:t>
            </w:r>
          </w:p>
        </w:tc>
        <w:tc>
          <w:tcPr>
            <w:tcW w:w="1270" w:type="pct"/>
            <w:vAlign w:val="center"/>
          </w:tcPr>
          <w:p w14:paraId="3CECC28F" w14:textId="77777777" w:rsidR="00B87028" w:rsidRPr="00A964FF" w:rsidRDefault="00B87028" w:rsidP="00315092">
            <w:pPr>
              <w:jc w:val="center"/>
              <w:rPr>
                <w:rFonts w:ascii="Calibri" w:hAnsi="Calibri"/>
                <w:color w:val="auto"/>
              </w:rPr>
            </w:pPr>
            <w:r w:rsidRPr="00A964FF">
              <w:rPr>
                <w:rFonts w:ascii="Calibri" w:hAnsi="Calibri" w:hint="eastAsia"/>
                <w:color w:val="auto"/>
              </w:rPr>
              <w:t>萘</w:t>
            </w:r>
          </w:p>
        </w:tc>
        <w:tc>
          <w:tcPr>
            <w:tcW w:w="1256" w:type="pct"/>
            <w:vAlign w:val="center"/>
          </w:tcPr>
          <w:p w14:paraId="61F0BEF0" w14:textId="77777777" w:rsidR="00B87028" w:rsidRPr="00A964FF" w:rsidRDefault="00B87028" w:rsidP="00315092">
            <w:pPr>
              <w:jc w:val="center"/>
              <w:rPr>
                <w:rFonts w:ascii="Calibri" w:hAnsi="Calibri"/>
                <w:color w:val="auto"/>
              </w:rPr>
            </w:pPr>
            <w:r w:rsidRPr="00A964FF">
              <w:rPr>
                <w:rFonts w:ascii="Calibri" w:hAnsi="Calibri" w:hint="eastAsia"/>
                <w:color w:val="auto"/>
              </w:rPr>
              <w:t>70</w:t>
            </w:r>
          </w:p>
        </w:tc>
      </w:tr>
      <w:tr w:rsidR="00D70365" w:rsidRPr="00A964FF" w14:paraId="3DF3DF4E" w14:textId="77777777" w:rsidTr="0092085C">
        <w:trPr>
          <w:trHeight w:val="312"/>
          <w:jc w:val="center"/>
        </w:trPr>
        <w:tc>
          <w:tcPr>
            <w:tcW w:w="1204" w:type="pct"/>
            <w:vAlign w:val="center"/>
          </w:tcPr>
          <w:p w14:paraId="24311EA2" w14:textId="77777777" w:rsidR="00D70365" w:rsidRPr="00A964FF" w:rsidRDefault="00D70365" w:rsidP="00FF2C46">
            <w:pPr>
              <w:pStyle w:val="a1"/>
              <w:ind w:firstLine="0"/>
              <w:jc w:val="center"/>
              <w:rPr>
                <w:rFonts w:ascii="Calibri" w:hAnsi="Calibri"/>
                <w:color w:val="auto"/>
                <w:szCs w:val="21"/>
              </w:rPr>
            </w:pPr>
            <w:r w:rsidRPr="00A964FF">
              <w:rPr>
                <w:rFonts w:ascii="Calibri" w:hAnsi="Calibri" w:hint="eastAsia"/>
                <w:color w:val="auto"/>
                <w:szCs w:val="21"/>
              </w:rPr>
              <w:t>1,1,2-</w:t>
            </w:r>
            <w:r w:rsidRPr="00A964FF">
              <w:rPr>
                <w:rFonts w:ascii="Calibri" w:hAnsi="Calibri" w:hint="eastAsia"/>
                <w:color w:val="auto"/>
                <w:szCs w:val="21"/>
              </w:rPr>
              <w:t>三氯乙烷</w:t>
            </w:r>
          </w:p>
        </w:tc>
        <w:tc>
          <w:tcPr>
            <w:tcW w:w="1270" w:type="pct"/>
            <w:vAlign w:val="center"/>
          </w:tcPr>
          <w:p w14:paraId="0B70ECEB" w14:textId="77777777" w:rsidR="00D70365" w:rsidRPr="00A964FF" w:rsidRDefault="00D70365" w:rsidP="00FF2C46">
            <w:pPr>
              <w:jc w:val="center"/>
              <w:rPr>
                <w:rFonts w:ascii="Calibri" w:hAnsi="Calibri"/>
                <w:color w:val="auto"/>
                <w:szCs w:val="21"/>
              </w:rPr>
            </w:pPr>
            <w:r w:rsidRPr="00A964FF">
              <w:rPr>
                <w:rFonts w:ascii="Calibri" w:hAnsi="Calibri" w:hint="eastAsia"/>
                <w:color w:val="auto"/>
                <w:szCs w:val="21"/>
              </w:rPr>
              <w:t>2.8</w:t>
            </w:r>
          </w:p>
        </w:tc>
        <w:tc>
          <w:tcPr>
            <w:tcW w:w="1270" w:type="pct"/>
            <w:vAlign w:val="center"/>
          </w:tcPr>
          <w:p w14:paraId="063DB277" w14:textId="77777777" w:rsidR="00D70365" w:rsidRPr="00A964FF" w:rsidRDefault="00D70365" w:rsidP="00BE363F">
            <w:pPr>
              <w:spacing w:line="240" w:lineRule="exact"/>
              <w:jc w:val="center"/>
              <w:rPr>
                <w:rFonts w:ascii="Calibri" w:hAnsi="Calibri"/>
                <w:color w:val="auto"/>
                <w:szCs w:val="21"/>
              </w:rPr>
            </w:pPr>
            <w:r w:rsidRPr="00A964FF">
              <w:rPr>
                <w:rFonts w:ascii="Calibri" w:hAnsi="Calibri" w:hint="eastAsia"/>
                <w:color w:val="auto"/>
                <w:szCs w:val="21"/>
              </w:rPr>
              <w:t>1,2,3-</w:t>
            </w:r>
            <w:r w:rsidRPr="00A964FF">
              <w:rPr>
                <w:rFonts w:ascii="Calibri" w:hAnsi="Calibri" w:hint="eastAsia"/>
                <w:color w:val="auto"/>
                <w:szCs w:val="21"/>
              </w:rPr>
              <w:t>三氯丙烷</w:t>
            </w:r>
          </w:p>
        </w:tc>
        <w:tc>
          <w:tcPr>
            <w:tcW w:w="1256" w:type="pct"/>
            <w:vAlign w:val="center"/>
          </w:tcPr>
          <w:p w14:paraId="07F43076" w14:textId="77777777" w:rsidR="00D70365" w:rsidRPr="00A964FF" w:rsidRDefault="00D70365" w:rsidP="00BE363F">
            <w:pPr>
              <w:spacing w:line="240" w:lineRule="exact"/>
              <w:jc w:val="center"/>
              <w:rPr>
                <w:rFonts w:ascii="Calibri" w:hAnsi="Calibri"/>
                <w:color w:val="auto"/>
                <w:szCs w:val="21"/>
              </w:rPr>
            </w:pPr>
            <w:r w:rsidRPr="00A964FF">
              <w:rPr>
                <w:rFonts w:ascii="Calibri" w:hAnsi="Calibri" w:hint="eastAsia"/>
                <w:color w:val="auto"/>
                <w:szCs w:val="21"/>
              </w:rPr>
              <w:t>0.5</w:t>
            </w:r>
          </w:p>
        </w:tc>
      </w:tr>
      <w:tr w:rsidR="00D70365" w:rsidRPr="00A964FF" w14:paraId="0379874B" w14:textId="77777777" w:rsidTr="0092085C">
        <w:trPr>
          <w:trHeight w:val="312"/>
          <w:jc w:val="center"/>
        </w:trPr>
        <w:tc>
          <w:tcPr>
            <w:tcW w:w="1204" w:type="pct"/>
            <w:vAlign w:val="center"/>
          </w:tcPr>
          <w:p w14:paraId="4FCA9544" w14:textId="77777777" w:rsidR="00D70365" w:rsidRPr="00A964FF" w:rsidRDefault="00D70365" w:rsidP="00FF2C46">
            <w:pPr>
              <w:pStyle w:val="a1"/>
              <w:ind w:firstLine="0"/>
              <w:jc w:val="center"/>
              <w:rPr>
                <w:rFonts w:ascii="Calibri" w:hAnsi="Calibri"/>
                <w:color w:val="auto"/>
                <w:szCs w:val="21"/>
              </w:rPr>
            </w:pPr>
            <w:r w:rsidRPr="00A964FF">
              <w:rPr>
                <w:rFonts w:ascii="Calibri" w:hAnsi="Calibri" w:hint="eastAsia"/>
                <w:color w:val="auto"/>
                <w:szCs w:val="21"/>
              </w:rPr>
              <w:t>三氯乙烯</w:t>
            </w:r>
          </w:p>
        </w:tc>
        <w:tc>
          <w:tcPr>
            <w:tcW w:w="1270" w:type="pct"/>
            <w:vAlign w:val="center"/>
          </w:tcPr>
          <w:p w14:paraId="29CD3B0E" w14:textId="77777777" w:rsidR="00D70365" w:rsidRPr="00A964FF" w:rsidRDefault="00D70365" w:rsidP="00FF2C46">
            <w:pPr>
              <w:jc w:val="center"/>
              <w:rPr>
                <w:rFonts w:ascii="Calibri" w:hAnsi="Calibri"/>
                <w:color w:val="auto"/>
                <w:szCs w:val="21"/>
              </w:rPr>
            </w:pPr>
            <w:r w:rsidRPr="00A964FF">
              <w:rPr>
                <w:rFonts w:ascii="Calibri" w:hAnsi="Calibri" w:hint="eastAsia"/>
                <w:color w:val="auto"/>
                <w:szCs w:val="21"/>
              </w:rPr>
              <w:t>2.8</w:t>
            </w:r>
          </w:p>
        </w:tc>
        <w:tc>
          <w:tcPr>
            <w:tcW w:w="1270" w:type="pct"/>
            <w:vAlign w:val="center"/>
          </w:tcPr>
          <w:p w14:paraId="415F4A66" w14:textId="77777777" w:rsidR="00D70365" w:rsidRPr="00A964FF" w:rsidRDefault="00D70365" w:rsidP="00BE363F">
            <w:pPr>
              <w:jc w:val="center"/>
              <w:rPr>
                <w:rFonts w:ascii="Calibri" w:hAnsi="Calibri"/>
                <w:color w:val="auto"/>
              </w:rPr>
            </w:pPr>
            <w:r w:rsidRPr="00A964FF">
              <w:rPr>
                <w:rFonts w:ascii="Calibri" w:hint="eastAsia"/>
                <w:color w:val="auto"/>
                <w:szCs w:val="21"/>
              </w:rPr>
              <w:t>石油烃（</w:t>
            </w:r>
            <w:r w:rsidRPr="00A964FF">
              <w:rPr>
                <w:rFonts w:ascii="Calibri" w:hint="eastAsia"/>
                <w:color w:val="auto"/>
                <w:szCs w:val="21"/>
              </w:rPr>
              <w:t>C</w:t>
            </w:r>
            <w:r w:rsidRPr="00A964FF">
              <w:rPr>
                <w:rFonts w:ascii="Calibri" w:hint="eastAsia"/>
                <w:color w:val="auto"/>
                <w:szCs w:val="21"/>
                <w:vertAlign w:val="subscript"/>
              </w:rPr>
              <w:t>10-</w:t>
            </w:r>
            <w:r w:rsidRPr="00A964FF">
              <w:rPr>
                <w:rFonts w:ascii="Calibri" w:hint="eastAsia"/>
                <w:color w:val="auto"/>
                <w:szCs w:val="21"/>
              </w:rPr>
              <w:t>C</w:t>
            </w:r>
            <w:r w:rsidRPr="00A964FF">
              <w:rPr>
                <w:rFonts w:ascii="Calibri" w:hint="eastAsia"/>
                <w:color w:val="auto"/>
                <w:szCs w:val="21"/>
                <w:vertAlign w:val="subscript"/>
              </w:rPr>
              <w:t>40</w:t>
            </w:r>
            <w:r w:rsidRPr="00A964FF">
              <w:rPr>
                <w:rFonts w:ascii="Calibri" w:hint="eastAsia"/>
                <w:color w:val="auto"/>
                <w:szCs w:val="21"/>
              </w:rPr>
              <w:t>）</w:t>
            </w:r>
          </w:p>
        </w:tc>
        <w:tc>
          <w:tcPr>
            <w:tcW w:w="1256" w:type="pct"/>
            <w:vAlign w:val="center"/>
          </w:tcPr>
          <w:p w14:paraId="7FB5FB60" w14:textId="77777777" w:rsidR="00D70365" w:rsidRPr="00A964FF" w:rsidRDefault="00D70365" w:rsidP="00BE363F">
            <w:pPr>
              <w:jc w:val="center"/>
              <w:rPr>
                <w:rFonts w:ascii="Calibri" w:hAnsi="Calibri"/>
                <w:color w:val="auto"/>
              </w:rPr>
            </w:pPr>
            <w:r w:rsidRPr="00A964FF">
              <w:rPr>
                <w:rFonts w:ascii="Calibri" w:hint="eastAsia"/>
                <w:color w:val="auto"/>
                <w:szCs w:val="21"/>
              </w:rPr>
              <w:t>4500</w:t>
            </w:r>
          </w:p>
        </w:tc>
      </w:tr>
      <w:tr w:rsidR="00D066C2" w:rsidRPr="00A964FF" w14:paraId="2A745232" w14:textId="77777777" w:rsidTr="0092085C">
        <w:trPr>
          <w:trHeight w:val="312"/>
          <w:jc w:val="center"/>
        </w:trPr>
        <w:tc>
          <w:tcPr>
            <w:tcW w:w="5000" w:type="pct"/>
            <w:gridSpan w:val="4"/>
            <w:vAlign w:val="center"/>
          </w:tcPr>
          <w:p w14:paraId="6847EDA2" w14:textId="77777777" w:rsidR="00D066C2" w:rsidRPr="00A964FF" w:rsidRDefault="00D066C2" w:rsidP="00FF2C46">
            <w:pPr>
              <w:jc w:val="center"/>
              <w:rPr>
                <w:rFonts w:ascii="Calibri"/>
                <w:color w:val="auto"/>
                <w:szCs w:val="21"/>
              </w:rPr>
            </w:pPr>
            <w:r w:rsidRPr="00A964FF">
              <w:rPr>
                <w:rFonts w:ascii="Calibri" w:hint="eastAsia"/>
                <w:color w:val="auto"/>
                <w:szCs w:val="21"/>
              </w:rPr>
              <w:t>备注：土壤污染风险筛选值：指在特定土地利用方式下，建设用地土壤中污染物含量等于或者低于该值的，对人体健康的风险可忽略；超过该值的，对人体健康可能存在风险，应当开展进一步的详细调查和风险评估，确定具体污染范围和风险水平。</w:t>
            </w:r>
          </w:p>
        </w:tc>
      </w:tr>
    </w:tbl>
    <w:p w14:paraId="4B8202AF" w14:textId="77777777" w:rsidR="00CA2479" w:rsidRPr="0092085C" w:rsidRDefault="008A5076" w:rsidP="0092085C">
      <w:pPr>
        <w:spacing w:line="520" w:lineRule="exact"/>
        <w:ind w:firstLineChars="200" w:firstLine="480"/>
        <w:rPr>
          <w:rFonts w:ascii="Calibri" w:hAnsi="Calibri"/>
          <w:sz w:val="24"/>
        </w:rPr>
      </w:pPr>
      <w:r>
        <w:rPr>
          <w:rFonts w:ascii="Calibri" w:hint="eastAsia"/>
          <w:bCs/>
          <w:sz w:val="24"/>
        </w:rPr>
        <w:t>本项目</w:t>
      </w:r>
      <w:r>
        <w:rPr>
          <w:rFonts w:ascii="Calibri"/>
          <w:bCs/>
          <w:sz w:val="24"/>
        </w:rPr>
        <w:t>厂界外</w:t>
      </w:r>
      <w:r>
        <w:rPr>
          <w:rFonts w:ascii="Calibri" w:hint="eastAsia"/>
          <w:bCs/>
          <w:sz w:val="24"/>
        </w:rPr>
        <w:t>现状农田</w:t>
      </w:r>
      <w:r>
        <w:rPr>
          <w:rFonts w:ascii="Calibri"/>
          <w:bCs/>
          <w:sz w:val="24"/>
        </w:rPr>
        <w:t>执行</w:t>
      </w:r>
      <w:r w:rsidRPr="00A964FF">
        <w:rPr>
          <w:rFonts w:ascii="Calibri" w:hAnsi="Calibri"/>
          <w:sz w:val="24"/>
        </w:rPr>
        <w:t>《土壤环境质量</w:t>
      </w:r>
      <w:r w:rsidRPr="00A964FF">
        <w:rPr>
          <w:rFonts w:ascii="Calibri" w:hAnsi="Calibri"/>
          <w:sz w:val="24"/>
        </w:rPr>
        <w:t xml:space="preserve"> </w:t>
      </w:r>
      <w:r w:rsidRPr="00A964FF">
        <w:rPr>
          <w:rFonts w:ascii="Calibri" w:hAnsi="Calibri"/>
          <w:sz w:val="24"/>
        </w:rPr>
        <w:t>农用地土壤污染风险管控标准（试行）》（</w:t>
      </w:r>
      <w:r w:rsidRPr="00A964FF">
        <w:rPr>
          <w:rFonts w:ascii="Calibri" w:hAnsi="Calibri"/>
          <w:sz w:val="24"/>
        </w:rPr>
        <w:t>GB15618-2018</w:t>
      </w:r>
      <w:r w:rsidRPr="00A964FF">
        <w:rPr>
          <w:rFonts w:ascii="Calibri" w:hAnsi="Calibri"/>
          <w:sz w:val="24"/>
        </w:rPr>
        <w:t>）</w:t>
      </w:r>
      <w:r>
        <w:rPr>
          <w:rFonts w:ascii="Calibri" w:hAnsi="Calibri" w:hint="eastAsia"/>
          <w:sz w:val="24"/>
        </w:rPr>
        <w:t>中</w:t>
      </w:r>
      <w:r w:rsidRPr="00A964FF">
        <w:rPr>
          <w:rFonts w:ascii="Calibri" w:hAnsi="Calibri"/>
          <w:sz w:val="24"/>
        </w:rPr>
        <w:t>筛选值</w:t>
      </w:r>
      <w:r>
        <w:rPr>
          <w:rFonts w:ascii="Calibri" w:hAnsi="Calibri" w:hint="eastAsia"/>
          <w:sz w:val="24"/>
        </w:rPr>
        <w:t>，</w:t>
      </w:r>
      <w:r>
        <w:rPr>
          <w:rFonts w:ascii="Calibri" w:hAnsi="Calibri"/>
          <w:sz w:val="24"/>
        </w:rPr>
        <w:t>具体标准限值见表</w:t>
      </w:r>
      <w:r>
        <w:rPr>
          <w:rFonts w:ascii="Calibri" w:hAnsi="Calibri" w:hint="eastAsia"/>
          <w:sz w:val="24"/>
        </w:rPr>
        <w:t>1.4-6</w:t>
      </w:r>
      <w:r>
        <w:rPr>
          <w:rFonts w:ascii="Calibri" w:hAnsi="Calibri" w:hint="eastAsia"/>
          <w:sz w:val="24"/>
        </w:rPr>
        <w:t>。</w:t>
      </w:r>
    </w:p>
    <w:p w14:paraId="55ADC818" w14:textId="77777777" w:rsidR="008A5076" w:rsidRPr="00A964FF" w:rsidRDefault="008A5076" w:rsidP="008A5076">
      <w:pPr>
        <w:spacing w:line="520" w:lineRule="exact"/>
        <w:ind w:firstLineChars="200" w:firstLine="480"/>
        <w:rPr>
          <w:rFonts w:ascii="Calibri" w:eastAsia="黑体" w:hAnsi="Calibri"/>
          <w:bCs/>
          <w:sz w:val="24"/>
        </w:rPr>
      </w:pPr>
      <w:r w:rsidRPr="00A964FF">
        <w:rPr>
          <w:rFonts w:ascii="Calibri" w:eastAsia="黑体" w:hint="eastAsia"/>
          <w:bCs/>
          <w:sz w:val="24"/>
        </w:rPr>
        <w:t>表</w:t>
      </w:r>
      <w:r w:rsidR="00FC1E23">
        <w:rPr>
          <w:rFonts w:ascii="Calibri" w:eastAsia="黑体" w:hAnsi="Calibri"/>
          <w:bCs/>
          <w:sz w:val="24"/>
        </w:rPr>
        <w:t>1.4</w:t>
      </w:r>
      <w:r>
        <w:rPr>
          <w:rFonts w:ascii="Calibri" w:eastAsia="黑体" w:hAnsi="Calibri" w:hint="eastAsia"/>
          <w:bCs/>
          <w:sz w:val="24"/>
        </w:rPr>
        <w:t>-</w:t>
      </w:r>
      <w:r>
        <w:rPr>
          <w:rFonts w:ascii="Calibri" w:eastAsia="黑体" w:hAnsi="Calibri"/>
          <w:bCs/>
          <w:sz w:val="24"/>
        </w:rPr>
        <w:t>6</w:t>
      </w:r>
      <w:r w:rsidRPr="00A964FF">
        <w:rPr>
          <w:rFonts w:ascii="Calibri" w:eastAsia="黑体" w:hAnsi="Calibri" w:hint="eastAsia"/>
          <w:bCs/>
          <w:sz w:val="24"/>
        </w:rPr>
        <w:t xml:space="preserve">     </w:t>
      </w:r>
      <w:r>
        <w:rPr>
          <w:rFonts w:ascii="Calibri" w:eastAsia="黑体" w:hAnsi="Calibri"/>
          <w:bCs/>
          <w:sz w:val="24"/>
        </w:rPr>
        <w:t xml:space="preserve">  </w:t>
      </w:r>
      <w:r w:rsidRPr="00A964FF">
        <w:rPr>
          <w:rFonts w:ascii="Calibri" w:eastAsia="黑体" w:hAnsi="Calibri" w:hint="eastAsia"/>
          <w:bCs/>
          <w:sz w:val="24"/>
        </w:rPr>
        <w:t xml:space="preserve">    </w:t>
      </w:r>
      <w:r w:rsidR="009819CE">
        <w:rPr>
          <w:rFonts w:ascii="Calibri" w:eastAsia="黑体" w:hAnsi="Calibri"/>
          <w:bCs/>
          <w:sz w:val="24"/>
        </w:rPr>
        <w:t xml:space="preserve">    </w:t>
      </w:r>
      <w:r w:rsidRPr="00A964FF">
        <w:rPr>
          <w:rFonts w:ascii="Calibri" w:eastAsia="黑体" w:hAnsi="Calibri" w:hint="eastAsia"/>
          <w:bCs/>
          <w:sz w:val="24"/>
        </w:rPr>
        <w:t>农用地土壤污染风险筛选值</w:t>
      </w:r>
      <w:r w:rsidRPr="00A964FF">
        <w:rPr>
          <w:rFonts w:ascii="Calibri" w:eastAsia="黑体" w:hAnsi="Calibri" w:hint="eastAsia"/>
          <w:bCs/>
          <w:sz w:val="24"/>
        </w:rPr>
        <w:t xml:space="preserve">  </w:t>
      </w:r>
      <w:r>
        <w:rPr>
          <w:rFonts w:ascii="Calibri" w:eastAsia="黑体" w:hAnsi="Calibri"/>
          <w:bCs/>
          <w:sz w:val="24"/>
        </w:rPr>
        <w:t xml:space="preserve">  </w:t>
      </w:r>
      <w:r w:rsidRPr="00A964FF">
        <w:rPr>
          <w:rFonts w:ascii="Calibri" w:eastAsia="黑体" w:hAnsi="Calibri" w:hint="eastAsia"/>
          <w:bCs/>
          <w:sz w:val="24"/>
        </w:rPr>
        <w:t xml:space="preserve"> </w:t>
      </w:r>
      <w:r>
        <w:rPr>
          <w:rFonts w:ascii="Calibri" w:eastAsia="黑体" w:hAnsi="Calibri" w:hint="eastAsia"/>
          <w:bCs/>
          <w:sz w:val="24"/>
        </w:rPr>
        <w:t xml:space="preserve">  </w:t>
      </w:r>
      <w:r w:rsidRPr="00A964FF">
        <w:rPr>
          <w:rFonts w:ascii="Calibri" w:eastAsia="黑体" w:hAnsi="Calibri" w:hint="eastAsia"/>
          <w:bCs/>
          <w:sz w:val="24"/>
        </w:rPr>
        <w:t xml:space="preserve">    </w:t>
      </w:r>
      <w:r w:rsidRPr="00A964FF">
        <w:rPr>
          <w:rFonts w:ascii="Calibri" w:hAnsi="宋体"/>
          <w:bCs/>
        </w:rPr>
        <w:t>单位：</w:t>
      </w:r>
      <w:r w:rsidRPr="00A964FF">
        <w:rPr>
          <w:rFonts w:ascii="Calibri" w:hAnsi="Calibri"/>
          <w:bCs/>
        </w:rPr>
        <w:t>mg/kg</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54"/>
        <w:gridCol w:w="1533"/>
        <w:gridCol w:w="1604"/>
        <w:gridCol w:w="1604"/>
        <w:gridCol w:w="1604"/>
        <w:gridCol w:w="1601"/>
      </w:tblGrid>
      <w:tr w:rsidR="008A5076" w:rsidRPr="00A964FF" w14:paraId="7C82ED09" w14:textId="77777777" w:rsidTr="008A5076">
        <w:trPr>
          <w:trHeight w:val="340"/>
          <w:jc w:val="center"/>
        </w:trPr>
        <w:tc>
          <w:tcPr>
            <w:tcW w:w="433" w:type="pct"/>
            <w:vMerge w:val="restart"/>
            <w:tcMar>
              <w:left w:w="57" w:type="dxa"/>
              <w:right w:w="57" w:type="dxa"/>
            </w:tcMar>
            <w:vAlign w:val="center"/>
          </w:tcPr>
          <w:p w14:paraId="06E2165E" w14:textId="77777777" w:rsidR="008A5076" w:rsidRPr="00A964FF" w:rsidRDefault="008A5076" w:rsidP="008A5076">
            <w:pPr>
              <w:jc w:val="center"/>
              <w:rPr>
                <w:rFonts w:ascii="Calibri" w:hAnsi="Calibri"/>
                <w:bCs/>
              </w:rPr>
            </w:pPr>
            <w:r w:rsidRPr="00A964FF">
              <w:rPr>
                <w:rFonts w:ascii="Calibri" w:hAnsi="宋体"/>
                <w:bCs/>
              </w:rPr>
              <w:t>序号</w:t>
            </w:r>
          </w:p>
        </w:tc>
        <w:tc>
          <w:tcPr>
            <w:tcW w:w="881" w:type="pct"/>
            <w:vMerge w:val="restart"/>
            <w:tcMar>
              <w:left w:w="57" w:type="dxa"/>
              <w:right w:w="57" w:type="dxa"/>
            </w:tcMar>
            <w:vAlign w:val="center"/>
          </w:tcPr>
          <w:p w14:paraId="2A80B8DD" w14:textId="77777777" w:rsidR="008A5076" w:rsidRPr="00A964FF" w:rsidRDefault="008A5076" w:rsidP="008A5076">
            <w:pPr>
              <w:jc w:val="center"/>
              <w:rPr>
                <w:rFonts w:ascii="Calibri" w:hAnsi="Calibri"/>
                <w:bCs/>
              </w:rPr>
            </w:pPr>
            <w:r w:rsidRPr="00A964FF">
              <w:rPr>
                <w:rFonts w:ascii="Calibri" w:hAnsi="宋体"/>
                <w:bCs/>
              </w:rPr>
              <w:t>污染物</w:t>
            </w:r>
          </w:p>
        </w:tc>
        <w:tc>
          <w:tcPr>
            <w:tcW w:w="3686" w:type="pct"/>
            <w:gridSpan w:val="4"/>
            <w:tcMar>
              <w:left w:w="57" w:type="dxa"/>
              <w:right w:w="57" w:type="dxa"/>
            </w:tcMar>
            <w:vAlign w:val="center"/>
          </w:tcPr>
          <w:p w14:paraId="2740D047" w14:textId="77777777" w:rsidR="008A5076" w:rsidRPr="00A964FF" w:rsidRDefault="008A5076" w:rsidP="008A5076">
            <w:pPr>
              <w:jc w:val="center"/>
              <w:rPr>
                <w:rFonts w:ascii="Calibri" w:hAnsi="Calibri"/>
                <w:bCs/>
              </w:rPr>
            </w:pPr>
            <w:r w:rsidRPr="00A964FF">
              <w:rPr>
                <w:rFonts w:ascii="Calibri" w:hAnsi="宋体"/>
                <w:bCs/>
              </w:rPr>
              <w:t>《土壤环境质量农用地土壤污染风险管控标准（试行）》（</w:t>
            </w:r>
            <w:r w:rsidRPr="00A964FF">
              <w:rPr>
                <w:rFonts w:ascii="Calibri" w:hAnsi="Calibri"/>
                <w:bCs/>
              </w:rPr>
              <w:t>mg/kg</w:t>
            </w:r>
            <w:r w:rsidRPr="00A964FF">
              <w:rPr>
                <w:rFonts w:ascii="Calibri" w:hAnsi="宋体"/>
                <w:bCs/>
              </w:rPr>
              <w:t>）</w:t>
            </w:r>
          </w:p>
        </w:tc>
      </w:tr>
      <w:tr w:rsidR="008A5076" w:rsidRPr="00A964FF" w14:paraId="62071255" w14:textId="77777777" w:rsidTr="008A5076">
        <w:trPr>
          <w:trHeight w:val="340"/>
          <w:jc w:val="center"/>
        </w:trPr>
        <w:tc>
          <w:tcPr>
            <w:tcW w:w="433" w:type="pct"/>
            <w:vMerge/>
            <w:tcMar>
              <w:left w:w="57" w:type="dxa"/>
              <w:right w:w="57" w:type="dxa"/>
            </w:tcMar>
            <w:vAlign w:val="center"/>
          </w:tcPr>
          <w:p w14:paraId="45CC69C8" w14:textId="77777777" w:rsidR="008A5076" w:rsidRPr="00A964FF" w:rsidRDefault="008A5076" w:rsidP="008A5076">
            <w:pPr>
              <w:jc w:val="center"/>
              <w:rPr>
                <w:rFonts w:ascii="Calibri" w:hAnsi="Calibri"/>
                <w:bCs/>
              </w:rPr>
            </w:pPr>
          </w:p>
        </w:tc>
        <w:tc>
          <w:tcPr>
            <w:tcW w:w="881" w:type="pct"/>
            <w:vMerge/>
            <w:tcMar>
              <w:left w:w="57" w:type="dxa"/>
              <w:right w:w="57" w:type="dxa"/>
            </w:tcMar>
            <w:vAlign w:val="center"/>
          </w:tcPr>
          <w:p w14:paraId="4E02ECB4" w14:textId="77777777" w:rsidR="008A5076" w:rsidRPr="00A964FF" w:rsidRDefault="008A5076" w:rsidP="008A5076">
            <w:pPr>
              <w:jc w:val="center"/>
              <w:rPr>
                <w:rFonts w:ascii="Calibri" w:hAnsi="Calibri"/>
                <w:bCs/>
              </w:rPr>
            </w:pPr>
          </w:p>
        </w:tc>
        <w:tc>
          <w:tcPr>
            <w:tcW w:w="3686" w:type="pct"/>
            <w:gridSpan w:val="4"/>
            <w:tcMar>
              <w:left w:w="57" w:type="dxa"/>
              <w:right w:w="57" w:type="dxa"/>
            </w:tcMar>
            <w:vAlign w:val="center"/>
          </w:tcPr>
          <w:p w14:paraId="613FA76E" w14:textId="77777777" w:rsidR="008A5076" w:rsidRPr="00A964FF" w:rsidRDefault="008A5076" w:rsidP="008A5076">
            <w:pPr>
              <w:jc w:val="center"/>
              <w:rPr>
                <w:rFonts w:ascii="Calibri" w:hAnsi="Calibri"/>
                <w:bCs/>
              </w:rPr>
            </w:pPr>
            <w:r w:rsidRPr="00A964FF">
              <w:rPr>
                <w:rFonts w:ascii="Calibri" w:hAnsi="宋体"/>
                <w:bCs/>
              </w:rPr>
              <w:t>风险筛选值</w:t>
            </w:r>
          </w:p>
        </w:tc>
      </w:tr>
      <w:tr w:rsidR="008A5076" w:rsidRPr="00A964FF" w14:paraId="674E5D71" w14:textId="77777777" w:rsidTr="008A5076">
        <w:trPr>
          <w:trHeight w:val="340"/>
          <w:jc w:val="center"/>
        </w:trPr>
        <w:tc>
          <w:tcPr>
            <w:tcW w:w="433" w:type="pct"/>
            <w:vMerge/>
            <w:tcMar>
              <w:left w:w="57" w:type="dxa"/>
              <w:right w:w="57" w:type="dxa"/>
            </w:tcMar>
            <w:vAlign w:val="center"/>
          </w:tcPr>
          <w:p w14:paraId="44572BE2" w14:textId="77777777" w:rsidR="008A5076" w:rsidRPr="00A964FF" w:rsidRDefault="008A5076" w:rsidP="008A5076">
            <w:pPr>
              <w:jc w:val="center"/>
              <w:rPr>
                <w:rFonts w:ascii="Calibri" w:hAnsi="Calibri"/>
                <w:bCs/>
              </w:rPr>
            </w:pPr>
          </w:p>
        </w:tc>
        <w:tc>
          <w:tcPr>
            <w:tcW w:w="881" w:type="pct"/>
            <w:vMerge/>
            <w:tcMar>
              <w:left w:w="57" w:type="dxa"/>
              <w:right w:w="57" w:type="dxa"/>
            </w:tcMar>
            <w:vAlign w:val="center"/>
          </w:tcPr>
          <w:p w14:paraId="5F3B513F" w14:textId="77777777" w:rsidR="008A5076" w:rsidRPr="00A964FF" w:rsidRDefault="008A5076" w:rsidP="008A5076">
            <w:pPr>
              <w:jc w:val="center"/>
              <w:rPr>
                <w:rFonts w:ascii="Calibri" w:hAnsi="Calibri"/>
                <w:bCs/>
              </w:rPr>
            </w:pPr>
          </w:p>
        </w:tc>
        <w:tc>
          <w:tcPr>
            <w:tcW w:w="922" w:type="pct"/>
            <w:tcBorders>
              <w:right w:val="single" w:sz="4" w:space="0" w:color="auto"/>
            </w:tcBorders>
            <w:tcMar>
              <w:left w:w="57" w:type="dxa"/>
              <w:right w:w="57" w:type="dxa"/>
            </w:tcMar>
            <w:vAlign w:val="center"/>
          </w:tcPr>
          <w:p w14:paraId="01A8B70E" w14:textId="77777777" w:rsidR="008A5076" w:rsidRPr="00A964FF" w:rsidRDefault="008A5076" w:rsidP="008A5076">
            <w:pPr>
              <w:jc w:val="center"/>
              <w:rPr>
                <w:rFonts w:ascii="Calibri" w:hAnsi="Calibri"/>
                <w:bCs/>
              </w:rPr>
            </w:pPr>
            <w:r w:rsidRPr="00A964FF">
              <w:rPr>
                <w:rFonts w:ascii="Calibri" w:hAnsi="Calibri"/>
                <w:bCs/>
              </w:rPr>
              <w:t>pH≤5.5</w:t>
            </w:r>
          </w:p>
        </w:tc>
        <w:tc>
          <w:tcPr>
            <w:tcW w:w="922" w:type="pct"/>
            <w:tcBorders>
              <w:left w:val="single" w:sz="4" w:space="0" w:color="auto"/>
            </w:tcBorders>
            <w:vAlign w:val="center"/>
          </w:tcPr>
          <w:p w14:paraId="40834D68" w14:textId="77777777" w:rsidR="008A5076" w:rsidRPr="00A964FF" w:rsidRDefault="008A5076" w:rsidP="008A5076">
            <w:pPr>
              <w:jc w:val="center"/>
              <w:rPr>
                <w:rFonts w:ascii="Calibri" w:hAnsi="Calibri"/>
                <w:bCs/>
              </w:rPr>
            </w:pPr>
            <w:r w:rsidRPr="00A964FF">
              <w:rPr>
                <w:rFonts w:ascii="Calibri" w:hAnsi="Calibri"/>
                <w:bCs/>
              </w:rPr>
              <w:t>5.5</w:t>
            </w:r>
            <w:r w:rsidRPr="00A964FF">
              <w:rPr>
                <w:rFonts w:ascii="Calibri" w:hAnsi="宋体"/>
                <w:bCs/>
              </w:rPr>
              <w:t>＜</w:t>
            </w:r>
            <w:r w:rsidRPr="00A964FF">
              <w:rPr>
                <w:rFonts w:ascii="Calibri" w:hAnsi="Calibri"/>
                <w:bCs/>
              </w:rPr>
              <w:t>pH≤6.5</w:t>
            </w:r>
          </w:p>
        </w:tc>
        <w:tc>
          <w:tcPr>
            <w:tcW w:w="922" w:type="pct"/>
            <w:tcBorders>
              <w:left w:val="single" w:sz="4" w:space="0" w:color="auto"/>
            </w:tcBorders>
            <w:vAlign w:val="center"/>
          </w:tcPr>
          <w:p w14:paraId="083D66E7" w14:textId="77777777" w:rsidR="008A5076" w:rsidRPr="00A964FF" w:rsidRDefault="008A5076" w:rsidP="008A5076">
            <w:pPr>
              <w:jc w:val="center"/>
              <w:rPr>
                <w:rFonts w:ascii="Calibri" w:hAnsi="Calibri"/>
                <w:bCs/>
              </w:rPr>
            </w:pPr>
            <w:r w:rsidRPr="00A964FF">
              <w:rPr>
                <w:rFonts w:ascii="Calibri" w:hAnsi="Calibri"/>
                <w:bCs/>
              </w:rPr>
              <w:t>6.5</w:t>
            </w:r>
            <w:r w:rsidRPr="00A964FF">
              <w:rPr>
                <w:rFonts w:ascii="Calibri" w:hAnsi="宋体"/>
                <w:bCs/>
              </w:rPr>
              <w:t>＜</w:t>
            </w:r>
            <w:r w:rsidRPr="00A964FF">
              <w:rPr>
                <w:rFonts w:ascii="Calibri" w:hAnsi="Calibri"/>
                <w:bCs/>
              </w:rPr>
              <w:t>pH≤7.5</w:t>
            </w:r>
          </w:p>
        </w:tc>
        <w:tc>
          <w:tcPr>
            <w:tcW w:w="922" w:type="pct"/>
            <w:tcBorders>
              <w:left w:val="single" w:sz="4" w:space="0" w:color="auto"/>
            </w:tcBorders>
            <w:vAlign w:val="center"/>
          </w:tcPr>
          <w:p w14:paraId="36A15BDF" w14:textId="77777777" w:rsidR="008A5076" w:rsidRPr="00A964FF" w:rsidRDefault="008A5076" w:rsidP="008A5076">
            <w:pPr>
              <w:jc w:val="center"/>
              <w:rPr>
                <w:rFonts w:ascii="Calibri" w:hAnsi="Calibri"/>
                <w:bCs/>
              </w:rPr>
            </w:pPr>
            <w:r w:rsidRPr="00A964FF">
              <w:rPr>
                <w:rFonts w:ascii="Calibri" w:hAnsi="Calibri"/>
                <w:bCs/>
              </w:rPr>
              <w:t>pH</w:t>
            </w:r>
            <w:r w:rsidRPr="00A964FF">
              <w:rPr>
                <w:rFonts w:ascii="Calibri" w:hAnsi="宋体"/>
                <w:bCs/>
              </w:rPr>
              <w:t>＞</w:t>
            </w:r>
            <w:r w:rsidRPr="00A964FF">
              <w:rPr>
                <w:rFonts w:ascii="Calibri" w:hAnsi="Calibri"/>
                <w:bCs/>
              </w:rPr>
              <w:t>7.5</w:t>
            </w:r>
          </w:p>
        </w:tc>
      </w:tr>
      <w:tr w:rsidR="008A5076" w:rsidRPr="00A964FF" w14:paraId="5E13CA72" w14:textId="77777777" w:rsidTr="008A5076">
        <w:trPr>
          <w:trHeight w:val="340"/>
          <w:jc w:val="center"/>
        </w:trPr>
        <w:tc>
          <w:tcPr>
            <w:tcW w:w="433" w:type="pct"/>
            <w:tcMar>
              <w:left w:w="57" w:type="dxa"/>
              <w:right w:w="57" w:type="dxa"/>
            </w:tcMar>
            <w:vAlign w:val="center"/>
          </w:tcPr>
          <w:p w14:paraId="44639350" w14:textId="77777777" w:rsidR="008A5076" w:rsidRPr="00A964FF" w:rsidRDefault="008A5076" w:rsidP="008A5076">
            <w:pPr>
              <w:jc w:val="center"/>
              <w:rPr>
                <w:rFonts w:ascii="Calibri" w:hAnsi="Calibri"/>
                <w:bCs/>
              </w:rPr>
            </w:pPr>
            <w:r w:rsidRPr="00A964FF">
              <w:rPr>
                <w:rFonts w:ascii="Calibri" w:hAnsi="Calibri"/>
                <w:bCs/>
              </w:rPr>
              <w:t>1</w:t>
            </w:r>
          </w:p>
        </w:tc>
        <w:tc>
          <w:tcPr>
            <w:tcW w:w="881" w:type="pct"/>
            <w:tcMar>
              <w:left w:w="57" w:type="dxa"/>
              <w:right w:w="57" w:type="dxa"/>
            </w:tcMar>
            <w:vAlign w:val="center"/>
          </w:tcPr>
          <w:p w14:paraId="3B17470B" w14:textId="77777777" w:rsidR="008A5076" w:rsidRPr="00A964FF" w:rsidRDefault="008A5076" w:rsidP="008A5076">
            <w:pPr>
              <w:jc w:val="center"/>
              <w:rPr>
                <w:rFonts w:ascii="Calibri" w:hAnsi="Calibri"/>
                <w:bCs/>
              </w:rPr>
            </w:pPr>
            <w:r w:rsidRPr="00A964FF">
              <w:rPr>
                <w:rFonts w:ascii="Calibri" w:hAnsi="宋体"/>
                <w:bCs/>
              </w:rPr>
              <w:t>汞（其他）</w:t>
            </w:r>
          </w:p>
        </w:tc>
        <w:tc>
          <w:tcPr>
            <w:tcW w:w="922" w:type="pct"/>
            <w:tcBorders>
              <w:right w:val="single" w:sz="4" w:space="0" w:color="auto"/>
            </w:tcBorders>
            <w:tcMar>
              <w:left w:w="57" w:type="dxa"/>
              <w:right w:w="57" w:type="dxa"/>
            </w:tcMar>
            <w:vAlign w:val="center"/>
          </w:tcPr>
          <w:p w14:paraId="070D48D1" w14:textId="77777777" w:rsidR="008A5076" w:rsidRPr="00A964FF" w:rsidRDefault="008A5076" w:rsidP="008A5076">
            <w:pPr>
              <w:jc w:val="center"/>
              <w:rPr>
                <w:rFonts w:ascii="Calibri" w:hAnsi="Calibri"/>
                <w:bCs/>
              </w:rPr>
            </w:pPr>
            <w:r w:rsidRPr="00A964FF">
              <w:rPr>
                <w:rFonts w:ascii="Calibri" w:hAnsi="Calibri"/>
                <w:bCs/>
              </w:rPr>
              <w:t>1.3</w:t>
            </w:r>
          </w:p>
        </w:tc>
        <w:tc>
          <w:tcPr>
            <w:tcW w:w="922" w:type="pct"/>
            <w:tcBorders>
              <w:left w:val="single" w:sz="4" w:space="0" w:color="auto"/>
            </w:tcBorders>
            <w:vAlign w:val="center"/>
          </w:tcPr>
          <w:p w14:paraId="23AF28E8" w14:textId="77777777" w:rsidR="008A5076" w:rsidRPr="00A964FF" w:rsidRDefault="008A5076" w:rsidP="008A5076">
            <w:pPr>
              <w:jc w:val="center"/>
              <w:rPr>
                <w:rFonts w:ascii="Calibri" w:hAnsi="Calibri"/>
                <w:bCs/>
              </w:rPr>
            </w:pPr>
            <w:r w:rsidRPr="00A964FF">
              <w:rPr>
                <w:rFonts w:ascii="Calibri" w:hAnsi="Calibri"/>
                <w:bCs/>
              </w:rPr>
              <w:t>1.8</w:t>
            </w:r>
          </w:p>
        </w:tc>
        <w:tc>
          <w:tcPr>
            <w:tcW w:w="922" w:type="pct"/>
            <w:tcBorders>
              <w:left w:val="single" w:sz="4" w:space="0" w:color="auto"/>
            </w:tcBorders>
            <w:vAlign w:val="center"/>
          </w:tcPr>
          <w:p w14:paraId="11C121DA" w14:textId="77777777" w:rsidR="008A5076" w:rsidRPr="00A964FF" w:rsidRDefault="008A5076" w:rsidP="008A5076">
            <w:pPr>
              <w:jc w:val="center"/>
              <w:rPr>
                <w:rFonts w:ascii="Calibri" w:hAnsi="Calibri"/>
                <w:bCs/>
              </w:rPr>
            </w:pPr>
            <w:r w:rsidRPr="00A964FF">
              <w:rPr>
                <w:rFonts w:ascii="Calibri" w:hAnsi="Calibri"/>
                <w:bCs/>
              </w:rPr>
              <w:t>2.4</w:t>
            </w:r>
          </w:p>
        </w:tc>
        <w:tc>
          <w:tcPr>
            <w:tcW w:w="922" w:type="pct"/>
            <w:tcBorders>
              <w:left w:val="single" w:sz="4" w:space="0" w:color="auto"/>
            </w:tcBorders>
            <w:vAlign w:val="center"/>
          </w:tcPr>
          <w:p w14:paraId="393C6C4E" w14:textId="77777777" w:rsidR="008A5076" w:rsidRPr="00A964FF" w:rsidRDefault="008A5076" w:rsidP="008A5076">
            <w:pPr>
              <w:jc w:val="center"/>
              <w:rPr>
                <w:rFonts w:ascii="Calibri" w:hAnsi="Calibri"/>
                <w:bCs/>
              </w:rPr>
            </w:pPr>
            <w:r w:rsidRPr="00A964FF">
              <w:rPr>
                <w:rFonts w:ascii="Calibri" w:hAnsi="Calibri"/>
                <w:bCs/>
              </w:rPr>
              <w:t>3.4</w:t>
            </w:r>
          </w:p>
        </w:tc>
      </w:tr>
      <w:tr w:rsidR="008A5076" w:rsidRPr="00A964FF" w14:paraId="2DB7B296" w14:textId="77777777" w:rsidTr="008A5076">
        <w:trPr>
          <w:trHeight w:val="340"/>
          <w:jc w:val="center"/>
        </w:trPr>
        <w:tc>
          <w:tcPr>
            <w:tcW w:w="433" w:type="pct"/>
            <w:tcMar>
              <w:left w:w="57" w:type="dxa"/>
              <w:right w:w="57" w:type="dxa"/>
            </w:tcMar>
            <w:vAlign w:val="center"/>
          </w:tcPr>
          <w:p w14:paraId="384A56A6" w14:textId="77777777" w:rsidR="008A5076" w:rsidRPr="00A964FF" w:rsidRDefault="008A5076" w:rsidP="008A5076">
            <w:pPr>
              <w:jc w:val="center"/>
              <w:rPr>
                <w:rFonts w:ascii="Calibri" w:hAnsi="Calibri"/>
                <w:bCs/>
              </w:rPr>
            </w:pPr>
            <w:r w:rsidRPr="00A964FF">
              <w:rPr>
                <w:rFonts w:ascii="Calibri" w:hAnsi="Calibri"/>
                <w:bCs/>
              </w:rPr>
              <w:t>2</w:t>
            </w:r>
          </w:p>
        </w:tc>
        <w:tc>
          <w:tcPr>
            <w:tcW w:w="881" w:type="pct"/>
            <w:tcMar>
              <w:left w:w="57" w:type="dxa"/>
              <w:right w:w="57" w:type="dxa"/>
            </w:tcMar>
            <w:vAlign w:val="center"/>
          </w:tcPr>
          <w:p w14:paraId="16EAF2FA" w14:textId="77777777" w:rsidR="008A5076" w:rsidRPr="00A964FF" w:rsidRDefault="008A5076" w:rsidP="008A5076">
            <w:pPr>
              <w:jc w:val="center"/>
              <w:rPr>
                <w:rFonts w:ascii="Calibri" w:hAnsi="Calibri"/>
                <w:bCs/>
              </w:rPr>
            </w:pPr>
            <w:r w:rsidRPr="00A964FF">
              <w:rPr>
                <w:rFonts w:ascii="Calibri" w:hAnsi="宋体"/>
                <w:bCs/>
              </w:rPr>
              <w:t>镉（其他）</w:t>
            </w:r>
          </w:p>
        </w:tc>
        <w:tc>
          <w:tcPr>
            <w:tcW w:w="922" w:type="pct"/>
            <w:tcBorders>
              <w:right w:val="single" w:sz="4" w:space="0" w:color="auto"/>
            </w:tcBorders>
            <w:tcMar>
              <w:left w:w="57" w:type="dxa"/>
              <w:right w:w="57" w:type="dxa"/>
            </w:tcMar>
            <w:vAlign w:val="center"/>
          </w:tcPr>
          <w:p w14:paraId="4E781E09" w14:textId="77777777" w:rsidR="008A5076" w:rsidRPr="00A964FF" w:rsidRDefault="008A5076" w:rsidP="008A5076">
            <w:pPr>
              <w:jc w:val="center"/>
              <w:rPr>
                <w:rFonts w:ascii="Calibri" w:hAnsi="Calibri"/>
                <w:bCs/>
              </w:rPr>
            </w:pPr>
            <w:r w:rsidRPr="00A964FF">
              <w:rPr>
                <w:rFonts w:ascii="Calibri" w:hAnsi="Calibri"/>
                <w:bCs/>
              </w:rPr>
              <w:t>0.3</w:t>
            </w:r>
          </w:p>
        </w:tc>
        <w:tc>
          <w:tcPr>
            <w:tcW w:w="922" w:type="pct"/>
            <w:tcBorders>
              <w:left w:val="single" w:sz="4" w:space="0" w:color="auto"/>
            </w:tcBorders>
            <w:vAlign w:val="center"/>
          </w:tcPr>
          <w:p w14:paraId="71252877" w14:textId="77777777" w:rsidR="008A5076" w:rsidRPr="00A964FF" w:rsidRDefault="008A5076" w:rsidP="008A5076">
            <w:pPr>
              <w:jc w:val="center"/>
              <w:rPr>
                <w:rFonts w:ascii="Calibri" w:hAnsi="Calibri"/>
                <w:bCs/>
              </w:rPr>
            </w:pPr>
            <w:r w:rsidRPr="00A964FF">
              <w:rPr>
                <w:rFonts w:ascii="Calibri" w:hAnsi="Calibri"/>
                <w:bCs/>
              </w:rPr>
              <w:t>0.3</w:t>
            </w:r>
          </w:p>
        </w:tc>
        <w:tc>
          <w:tcPr>
            <w:tcW w:w="922" w:type="pct"/>
            <w:tcBorders>
              <w:left w:val="single" w:sz="4" w:space="0" w:color="auto"/>
            </w:tcBorders>
            <w:vAlign w:val="center"/>
          </w:tcPr>
          <w:p w14:paraId="398E5E55" w14:textId="77777777" w:rsidR="008A5076" w:rsidRPr="00A964FF" w:rsidRDefault="008A5076" w:rsidP="008A5076">
            <w:pPr>
              <w:jc w:val="center"/>
              <w:rPr>
                <w:rFonts w:ascii="Calibri" w:hAnsi="Calibri"/>
                <w:bCs/>
              </w:rPr>
            </w:pPr>
            <w:r w:rsidRPr="00A964FF">
              <w:rPr>
                <w:rFonts w:ascii="Calibri" w:hAnsi="Calibri"/>
                <w:bCs/>
              </w:rPr>
              <w:t>0.3</w:t>
            </w:r>
          </w:p>
        </w:tc>
        <w:tc>
          <w:tcPr>
            <w:tcW w:w="922" w:type="pct"/>
            <w:tcBorders>
              <w:left w:val="single" w:sz="4" w:space="0" w:color="auto"/>
            </w:tcBorders>
            <w:vAlign w:val="center"/>
          </w:tcPr>
          <w:p w14:paraId="25C5BB85" w14:textId="77777777" w:rsidR="008A5076" w:rsidRPr="00A964FF" w:rsidRDefault="008A5076" w:rsidP="008A5076">
            <w:pPr>
              <w:jc w:val="center"/>
              <w:rPr>
                <w:rFonts w:ascii="Calibri" w:hAnsi="Calibri"/>
                <w:bCs/>
              </w:rPr>
            </w:pPr>
            <w:r w:rsidRPr="00A964FF">
              <w:rPr>
                <w:rFonts w:ascii="Calibri" w:hAnsi="Calibri"/>
                <w:bCs/>
              </w:rPr>
              <w:t>0.6</w:t>
            </w:r>
          </w:p>
        </w:tc>
      </w:tr>
      <w:tr w:rsidR="008A5076" w:rsidRPr="00A964FF" w14:paraId="64CB6E74" w14:textId="77777777" w:rsidTr="008A5076">
        <w:trPr>
          <w:trHeight w:val="340"/>
          <w:jc w:val="center"/>
        </w:trPr>
        <w:tc>
          <w:tcPr>
            <w:tcW w:w="433" w:type="pct"/>
            <w:tcMar>
              <w:left w:w="57" w:type="dxa"/>
              <w:right w:w="57" w:type="dxa"/>
            </w:tcMar>
            <w:vAlign w:val="center"/>
          </w:tcPr>
          <w:p w14:paraId="7B4AF317" w14:textId="77777777" w:rsidR="008A5076" w:rsidRPr="00A964FF" w:rsidRDefault="008A5076" w:rsidP="008A5076">
            <w:pPr>
              <w:jc w:val="center"/>
              <w:rPr>
                <w:rFonts w:ascii="Calibri" w:hAnsi="Calibri"/>
                <w:bCs/>
              </w:rPr>
            </w:pPr>
            <w:r w:rsidRPr="00A964FF">
              <w:rPr>
                <w:rFonts w:ascii="Calibri" w:hAnsi="Calibri"/>
                <w:bCs/>
              </w:rPr>
              <w:t>3</w:t>
            </w:r>
          </w:p>
        </w:tc>
        <w:tc>
          <w:tcPr>
            <w:tcW w:w="881" w:type="pct"/>
            <w:tcMar>
              <w:left w:w="57" w:type="dxa"/>
              <w:right w:w="57" w:type="dxa"/>
            </w:tcMar>
            <w:vAlign w:val="center"/>
          </w:tcPr>
          <w:p w14:paraId="055CA7F4" w14:textId="77777777" w:rsidR="008A5076" w:rsidRPr="00A964FF" w:rsidRDefault="008A5076" w:rsidP="008A5076">
            <w:pPr>
              <w:jc w:val="center"/>
              <w:rPr>
                <w:rFonts w:ascii="Calibri" w:hAnsi="Calibri"/>
                <w:bCs/>
              </w:rPr>
            </w:pPr>
            <w:r w:rsidRPr="00A964FF">
              <w:rPr>
                <w:rFonts w:ascii="Calibri" w:hAnsi="宋体"/>
                <w:bCs/>
              </w:rPr>
              <w:t>铬（其他）</w:t>
            </w:r>
          </w:p>
        </w:tc>
        <w:tc>
          <w:tcPr>
            <w:tcW w:w="922" w:type="pct"/>
            <w:tcBorders>
              <w:right w:val="single" w:sz="4" w:space="0" w:color="auto"/>
            </w:tcBorders>
            <w:tcMar>
              <w:left w:w="57" w:type="dxa"/>
              <w:right w:w="57" w:type="dxa"/>
            </w:tcMar>
            <w:vAlign w:val="center"/>
          </w:tcPr>
          <w:p w14:paraId="4EA3F303" w14:textId="77777777" w:rsidR="008A5076" w:rsidRPr="00A964FF" w:rsidRDefault="008A5076" w:rsidP="008A5076">
            <w:pPr>
              <w:jc w:val="center"/>
              <w:rPr>
                <w:rFonts w:ascii="Calibri" w:hAnsi="Calibri"/>
                <w:bCs/>
              </w:rPr>
            </w:pPr>
            <w:r>
              <w:rPr>
                <w:rFonts w:ascii="Calibri" w:hAnsi="Calibri" w:hint="eastAsia"/>
                <w:bCs/>
              </w:rPr>
              <w:t>150</w:t>
            </w:r>
          </w:p>
        </w:tc>
        <w:tc>
          <w:tcPr>
            <w:tcW w:w="922" w:type="pct"/>
            <w:tcBorders>
              <w:left w:val="single" w:sz="4" w:space="0" w:color="auto"/>
            </w:tcBorders>
            <w:vAlign w:val="center"/>
          </w:tcPr>
          <w:p w14:paraId="02AE9CD9" w14:textId="77777777" w:rsidR="008A5076" w:rsidRPr="00A964FF" w:rsidRDefault="008A5076" w:rsidP="008A5076">
            <w:pPr>
              <w:jc w:val="center"/>
              <w:rPr>
                <w:rFonts w:ascii="Calibri" w:hAnsi="Calibri"/>
                <w:bCs/>
              </w:rPr>
            </w:pPr>
            <w:r>
              <w:rPr>
                <w:rFonts w:ascii="Calibri" w:hAnsi="Calibri" w:hint="eastAsia"/>
                <w:bCs/>
              </w:rPr>
              <w:t>150</w:t>
            </w:r>
          </w:p>
        </w:tc>
        <w:tc>
          <w:tcPr>
            <w:tcW w:w="922" w:type="pct"/>
            <w:tcBorders>
              <w:left w:val="single" w:sz="4" w:space="0" w:color="auto"/>
            </w:tcBorders>
            <w:vAlign w:val="center"/>
          </w:tcPr>
          <w:p w14:paraId="7FC3F3BD" w14:textId="77777777" w:rsidR="008A5076" w:rsidRPr="00A964FF" w:rsidRDefault="008A5076" w:rsidP="008A5076">
            <w:pPr>
              <w:jc w:val="center"/>
              <w:rPr>
                <w:rFonts w:ascii="Calibri" w:hAnsi="Calibri"/>
                <w:bCs/>
              </w:rPr>
            </w:pPr>
            <w:r>
              <w:rPr>
                <w:rFonts w:ascii="Calibri" w:hAnsi="Calibri" w:hint="eastAsia"/>
                <w:bCs/>
              </w:rPr>
              <w:t>200</w:t>
            </w:r>
          </w:p>
        </w:tc>
        <w:tc>
          <w:tcPr>
            <w:tcW w:w="922" w:type="pct"/>
            <w:tcBorders>
              <w:left w:val="single" w:sz="4" w:space="0" w:color="auto"/>
            </w:tcBorders>
            <w:vAlign w:val="center"/>
          </w:tcPr>
          <w:p w14:paraId="1B6AA1BC" w14:textId="77777777" w:rsidR="008A5076" w:rsidRPr="00A964FF" w:rsidRDefault="008A5076" w:rsidP="008A5076">
            <w:pPr>
              <w:jc w:val="center"/>
              <w:rPr>
                <w:rFonts w:ascii="Calibri" w:hAnsi="Calibri"/>
                <w:bCs/>
              </w:rPr>
            </w:pPr>
            <w:r>
              <w:rPr>
                <w:rFonts w:ascii="Calibri" w:hAnsi="Calibri" w:hint="eastAsia"/>
                <w:bCs/>
              </w:rPr>
              <w:t>250</w:t>
            </w:r>
          </w:p>
        </w:tc>
      </w:tr>
      <w:tr w:rsidR="008A5076" w:rsidRPr="00A964FF" w14:paraId="325424DF" w14:textId="77777777" w:rsidTr="008A5076">
        <w:trPr>
          <w:trHeight w:val="340"/>
          <w:jc w:val="center"/>
        </w:trPr>
        <w:tc>
          <w:tcPr>
            <w:tcW w:w="433" w:type="pct"/>
            <w:tcMar>
              <w:left w:w="57" w:type="dxa"/>
              <w:right w:w="57" w:type="dxa"/>
            </w:tcMar>
            <w:vAlign w:val="center"/>
          </w:tcPr>
          <w:p w14:paraId="6B594B14" w14:textId="77777777" w:rsidR="008A5076" w:rsidRPr="00A964FF" w:rsidRDefault="008A5076" w:rsidP="008A5076">
            <w:pPr>
              <w:jc w:val="center"/>
              <w:rPr>
                <w:rFonts w:ascii="Calibri" w:hAnsi="Calibri"/>
                <w:bCs/>
              </w:rPr>
            </w:pPr>
            <w:r w:rsidRPr="00A964FF">
              <w:rPr>
                <w:rFonts w:ascii="Calibri" w:hAnsi="Calibri"/>
                <w:bCs/>
              </w:rPr>
              <w:t>4</w:t>
            </w:r>
          </w:p>
        </w:tc>
        <w:tc>
          <w:tcPr>
            <w:tcW w:w="881" w:type="pct"/>
            <w:tcMar>
              <w:left w:w="57" w:type="dxa"/>
              <w:right w:w="57" w:type="dxa"/>
            </w:tcMar>
            <w:vAlign w:val="center"/>
          </w:tcPr>
          <w:p w14:paraId="5BA23088" w14:textId="77777777" w:rsidR="008A5076" w:rsidRPr="00A964FF" w:rsidRDefault="008A5076" w:rsidP="008A5076">
            <w:pPr>
              <w:jc w:val="center"/>
              <w:rPr>
                <w:rFonts w:ascii="Calibri" w:hAnsi="Calibri"/>
                <w:bCs/>
              </w:rPr>
            </w:pPr>
            <w:r w:rsidRPr="00A964FF">
              <w:rPr>
                <w:rFonts w:ascii="Calibri" w:hAnsi="宋体"/>
                <w:bCs/>
              </w:rPr>
              <w:t>砷（其他）</w:t>
            </w:r>
          </w:p>
        </w:tc>
        <w:tc>
          <w:tcPr>
            <w:tcW w:w="922" w:type="pct"/>
            <w:tcBorders>
              <w:right w:val="single" w:sz="4" w:space="0" w:color="auto"/>
            </w:tcBorders>
            <w:tcMar>
              <w:left w:w="57" w:type="dxa"/>
              <w:right w:w="57" w:type="dxa"/>
            </w:tcMar>
            <w:vAlign w:val="center"/>
          </w:tcPr>
          <w:p w14:paraId="782CAB64" w14:textId="77777777" w:rsidR="008A5076" w:rsidRPr="00A964FF" w:rsidRDefault="008A5076" w:rsidP="008A5076">
            <w:pPr>
              <w:jc w:val="center"/>
              <w:rPr>
                <w:rFonts w:ascii="Calibri" w:hAnsi="Calibri"/>
                <w:bCs/>
              </w:rPr>
            </w:pPr>
            <w:r w:rsidRPr="00A964FF">
              <w:rPr>
                <w:rFonts w:ascii="Calibri" w:hAnsi="Calibri"/>
                <w:bCs/>
              </w:rPr>
              <w:t>40</w:t>
            </w:r>
          </w:p>
        </w:tc>
        <w:tc>
          <w:tcPr>
            <w:tcW w:w="922" w:type="pct"/>
            <w:tcBorders>
              <w:left w:val="single" w:sz="4" w:space="0" w:color="auto"/>
            </w:tcBorders>
            <w:vAlign w:val="center"/>
          </w:tcPr>
          <w:p w14:paraId="64B8214C" w14:textId="77777777" w:rsidR="008A5076" w:rsidRPr="00A964FF" w:rsidRDefault="008A5076" w:rsidP="008A5076">
            <w:pPr>
              <w:jc w:val="center"/>
              <w:rPr>
                <w:rFonts w:ascii="Calibri" w:hAnsi="Calibri"/>
                <w:bCs/>
              </w:rPr>
            </w:pPr>
            <w:r w:rsidRPr="00A964FF">
              <w:rPr>
                <w:rFonts w:ascii="Calibri" w:hAnsi="Calibri"/>
                <w:bCs/>
              </w:rPr>
              <w:t>40</w:t>
            </w:r>
          </w:p>
        </w:tc>
        <w:tc>
          <w:tcPr>
            <w:tcW w:w="922" w:type="pct"/>
            <w:tcBorders>
              <w:left w:val="single" w:sz="4" w:space="0" w:color="auto"/>
            </w:tcBorders>
            <w:vAlign w:val="center"/>
          </w:tcPr>
          <w:p w14:paraId="06E25820" w14:textId="77777777" w:rsidR="008A5076" w:rsidRPr="00A964FF" w:rsidRDefault="008A5076" w:rsidP="008A5076">
            <w:pPr>
              <w:jc w:val="center"/>
              <w:rPr>
                <w:rFonts w:ascii="Calibri" w:hAnsi="Calibri"/>
                <w:bCs/>
              </w:rPr>
            </w:pPr>
            <w:r w:rsidRPr="00A964FF">
              <w:rPr>
                <w:rFonts w:ascii="Calibri" w:hAnsi="Calibri"/>
                <w:bCs/>
              </w:rPr>
              <w:t>30</w:t>
            </w:r>
          </w:p>
        </w:tc>
        <w:tc>
          <w:tcPr>
            <w:tcW w:w="922" w:type="pct"/>
            <w:tcBorders>
              <w:left w:val="single" w:sz="4" w:space="0" w:color="auto"/>
            </w:tcBorders>
            <w:vAlign w:val="center"/>
          </w:tcPr>
          <w:p w14:paraId="345B6C3D" w14:textId="77777777" w:rsidR="008A5076" w:rsidRPr="00A964FF" w:rsidRDefault="008A5076" w:rsidP="008A5076">
            <w:pPr>
              <w:jc w:val="center"/>
              <w:rPr>
                <w:rFonts w:ascii="Calibri" w:hAnsi="Calibri"/>
                <w:bCs/>
              </w:rPr>
            </w:pPr>
            <w:r w:rsidRPr="00A964FF">
              <w:rPr>
                <w:rFonts w:ascii="Calibri" w:hAnsi="Calibri"/>
                <w:bCs/>
              </w:rPr>
              <w:t>25</w:t>
            </w:r>
          </w:p>
        </w:tc>
      </w:tr>
      <w:tr w:rsidR="008A5076" w:rsidRPr="00A964FF" w14:paraId="497A732A" w14:textId="77777777" w:rsidTr="008A5076">
        <w:trPr>
          <w:trHeight w:val="340"/>
          <w:jc w:val="center"/>
        </w:trPr>
        <w:tc>
          <w:tcPr>
            <w:tcW w:w="433" w:type="pct"/>
            <w:tcMar>
              <w:left w:w="57" w:type="dxa"/>
              <w:right w:w="57" w:type="dxa"/>
            </w:tcMar>
            <w:vAlign w:val="center"/>
          </w:tcPr>
          <w:p w14:paraId="61174824" w14:textId="77777777" w:rsidR="008A5076" w:rsidRPr="00A964FF" w:rsidRDefault="008A5076" w:rsidP="008A5076">
            <w:pPr>
              <w:jc w:val="center"/>
              <w:rPr>
                <w:rFonts w:ascii="Calibri" w:hAnsi="Calibri"/>
                <w:bCs/>
              </w:rPr>
            </w:pPr>
            <w:r w:rsidRPr="00A964FF">
              <w:rPr>
                <w:rFonts w:ascii="Calibri" w:hAnsi="Calibri"/>
                <w:bCs/>
              </w:rPr>
              <w:t>5</w:t>
            </w:r>
          </w:p>
        </w:tc>
        <w:tc>
          <w:tcPr>
            <w:tcW w:w="881" w:type="pct"/>
            <w:tcMar>
              <w:left w:w="57" w:type="dxa"/>
              <w:right w:w="57" w:type="dxa"/>
            </w:tcMar>
            <w:vAlign w:val="center"/>
          </w:tcPr>
          <w:p w14:paraId="553771B5" w14:textId="77777777" w:rsidR="008A5076" w:rsidRPr="00A964FF" w:rsidRDefault="008A5076" w:rsidP="008A5076">
            <w:pPr>
              <w:jc w:val="center"/>
              <w:rPr>
                <w:rFonts w:ascii="Calibri" w:hAnsi="Calibri"/>
                <w:bCs/>
              </w:rPr>
            </w:pPr>
            <w:r w:rsidRPr="00A964FF">
              <w:rPr>
                <w:rFonts w:ascii="Calibri" w:hAnsi="宋体"/>
                <w:bCs/>
              </w:rPr>
              <w:t>铅（其他）</w:t>
            </w:r>
          </w:p>
        </w:tc>
        <w:tc>
          <w:tcPr>
            <w:tcW w:w="922" w:type="pct"/>
            <w:tcBorders>
              <w:right w:val="single" w:sz="4" w:space="0" w:color="auto"/>
            </w:tcBorders>
            <w:tcMar>
              <w:left w:w="57" w:type="dxa"/>
              <w:right w:w="57" w:type="dxa"/>
            </w:tcMar>
            <w:vAlign w:val="center"/>
          </w:tcPr>
          <w:p w14:paraId="4B12046B" w14:textId="77777777" w:rsidR="008A5076" w:rsidRPr="00A964FF" w:rsidRDefault="008A5076" w:rsidP="008A5076">
            <w:pPr>
              <w:jc w:val="center"/>
              <w:rPr>
                <w:rFonts w:ascii="Calibri" w:hAnsi="Calibri"/>
                <w:bCs/>
              </w:rPr>
            </w:pPr>
            <w:r w:rsidRPr="00A964FF">
              <w:rPr>
                <w:rFonts w:ascii="Calibri" w:hAnsi="Calibri"/>
                <w:bCs/>
              </w:rPr>
              <w:t>70</w:t>
            </w:r>
          </w:p>
        </w:tc>
        <w:tc>
          <w:tcPr>
            <w:tcW w:w="922" w:type="pct"/>
            <w:tcBorders>
              <w:left w:val="single" w:sz="4" w:space="0" w:color="auto"/>
            </w:tcBorders>
            <w:vAlign w:val="center"/>
          </w:tcPr>
          <w:p w14:paraId="0D406AA5" w14:textId="77777777" w:rsidR="008A5076" w:rsidRPr="00A964FF" w:rsidRDefault="008A5076" w:rsidP="008A5076">
            <w:pPr>
              <w:jc w:val="center"/>
              <w:rPr>
                <w:rFonts w:ascii="Calibri" w:hAnsi="Calibri"/>
                <w:bCs/>
              </w:rPr>
            </w:pPr>
            <w:r w:rsidRPr="00A964FF">
              <w:rPr>
                <w:rFonts w:ascii="Calibri" w:hAnsi="Calibri"/>
                <w:bCs/>
              </w:rPr>
              <w:t>90</w:t>
            </w:r>
          </w:p>
        </w:tc>
        <w:tc>
          <w:tcPr>
            <w:tcW w:w="922" w:type="pct"/>
            <w:tcBorders>
              <w:left w:val="single" w:sz="4" w:space="0" w:color="auto"/>
            </w:tcBorders>
            <w:vAlign w:val="center"/>
          </w:tcPr>
          <w:p w14:paraId="7B47F363" w14:textId="77777777" w:rsidR="008A5076" w:rsidRPr="00A964FF" w:rsidRDefault="008A5076" w:rsidP="008A5076">
            <w:pPr>
              <w:jc w:val="center"/>
              <w:rPr>
                <w:rFonts w:ascii="Calibri" w:hAnsi="Calibri"/>
                <w:bCs/>
              </w:rPr>
            </w:pPr>
            <w:r w:rsidRPr="00A964FF">
              <w:rPr>
                <w:rFonts w:ascii="Calibri" w:hAnsi="Calibri"/>
                <w:bCs/>
              </w:rPr>
              <w:t>120</w:t>
            </w:r>
          </w:p>
        </w:tc>
        <w:tc>
          <w:tcPr>
            <w:tcW w:w="922" w:type="pct"/>
            <w:tcBorders>
              <w:left w:val="single" w:sz="4" w:space="0" w:color="auto"/>
            </w:tcBorders>
            <w:vAlign w:val="center"/>
          </w:tcPr>
          <w:p w14:paraId="125106B1" w14:textId="77777777" w:rsidR="008A5076" w:rsidRPr="00A964FF" w:rsidRDefault="008A5076" w:rsidP="008A5076">
            <w:pPr>
              <w:jc w:val="center"/>
              <w:rPr>
                <w:rFonts w:ascii="Calibri" w:hAnsi="Calibri"/>
                <w:bCs/>
              </w:rPr>
            </w:pPr>
            <w:r w:rsidRPr="00A964FF">
              <w:rPr>
                <w:rFonts w:ascii="Calibri" w:hAnsi="Calibri"/>
                <w:bCs/>
              </w:rPr>
              <w:t>170</w:t>
            </w:r>
          </w:p>
        </w:tc>
      </w:tr>
      <w:tr w:rsidR="008A5076" w:rsidRPr="00A964FF" w14:paraId="01709D6A" w14:textId="77777777" w:rsidTr="008A5076">
        <w:trPr>
          <w:trHeight w:val="340"/>
          <w:jc w:val="center"/>
        </w:trPr>
        <w:tc>
          <w:tcPr>
            <w:tcW w:w="433" w:type="pct"/>
            <w:tcMar>
              <w:left w:w="57" w:type="dxa"/>
              <w:right w:w="57" w:type="dxa"/>
            </w:tcMar>
            <w:vAlign w:val="center"/>
          </w:tcPr>
          <w:p w14:paraId="79A0FB4E" w14:textId="77777777" w:rsidR="008A5076" w:rsidRPr="00A964FF" w:rsidRDefault="008A5076" w:rsidP="008A5076">
            <w:pPr>
              <w:jc w:val="center"/>
              <w:rPr>
                <w:rFonts w:ascii="Calibri" w:hAnsi="Calibri"/>
                <w:bCs/>
              </w:rPr>
            </w:pPr>
            <w:r w:rsidRPr="00A964FF">
              <w:rPr>
                <w:rFonts w:ascii="Calibri" w:hAnsi="Calibri"/>
                <w:bCs/>
              </w:rPr>
              <w:t>6</w:t>
            </w:r>
          </w:p>
        </w:tc>
        <w:tc>
          <w:tcPr>
            <w:tcW w:w="881" w:type="pct"/>
            <w:tcMar>
              <w:left w:w="57" w:type="dxa"/>
              <w:right w:w="57" w:type="dxa"/>
            </w:tcMar>
            <w:vAlign w:val="center"/>
          </w:tcPr>
          <w:p w14:paraId="2FD5D281" w14:textId="77777777" w:rsidR="008A5076" w:rsidRPr="00A964FF" w:rsidRDefault="008A5076" w:rsidP="008A5076">
            <w:pPr>
              <w:jc w:val="center"/>
              <w:rPr>
                <w:rFonts w:ascii="Calibri" w:hAnsi="Calibri"/>
                <w:bCs/>
              </w:rPr>
            </w:pPr>
            <w:r w:rsidRPr="00A964FF">
              <w:rPr>
                <w:rFonts w:ascii="Calibri" w:hAnsi="宋体"/>
                <w:bCs/>
              </w:rPr>
              <w:t>铜（其他）</w:t>
            </w:r>
          </w:p>
        </w:tc>
        <w:tc>
          <w:tcPr>
            <w:tcW w:w="922" w:type="pct"/>
            <w:tcBorders>
              <w:right w:val="single" w:sz="4" w:space="0" w:color="auto"/>
            </w:tcBorders>
            <w:tcMar>
              <w:left w:w="57" w:type="dxa"/>
              <w:right w:w="57" w:type="dxa"/>
            </w:tcMar>
            <w:vAlign w:val="center"/>
          </w:tcPr>
          <w:p w14:paraId="38F95962" w14:textId="77777777" w:rsidR="008A5076" w:rsidRPr="00A964FF" w:rsidRDefault="008A5076" w:rsidP="008A5076">
            <w:pPr>
              <w:jc w:val="center"/>
              <w:rPr>
                <w:rFonts w:ascii="Calibri" w:hAnsi="Calibri"/>
                <w:bCs/>
              </w:rPr>
            </w:pPr>
            <w:r w:rsidRPr="00A964FF">
              <w:rPr>
                <w:rFonts w:ascii="Calibri" w:hAnsi="Calibri"/>
                <w:bCs/>
              </w:rPr>
              <w:t>50</w:t>
            </w:r>
          </w:p>
        </w:tc>
        <w:tc>
          <w:tcPr>
            <w:tcW w:w="922" w:type="pct"/>
            <w:tcBorders>
              <w:left w:val="single" w:sz="4" w:space="0" w:color="auto"/>
            </w:tcBorders>
            <w:vAlign w:val="center"/>
          </w:tcPr>
          <w:p w14:paraId="50E6D91F" w14:textId="77777777" w:rsidR="008A5076" w:rsidRPr="00A964FF" w:rsidRDefault="008A5076" w:rsidP="008A5076">
            <w:pPr>
              <w:jc w:val="center"/>
              <w:rPr>
                <w:rFonts w:ascii="Calibri" w:hAnsi="Calibri"/>
                <w:bCs/>
              </w:rPr>
            </w:pPr>
            <w:r w:rsidRPr="00A964FF">
              <w:rPr>
                <w:rFonts w:ascii="Calibri" w:hAnsi="Calibri"/>
                <w:bCs/>
              </w:rPr>
              <w:t>50</w:t>
            </w:r>
          </w:p>
        </w:tc>
        <w:tc>
          <w:tcPr>
            <w:tcW w:w="922" w:type="pct"/>
            <w:tcBorders>
              <w:left w:val="single" w:sz="4" w:space="0" w:color="auto"/>
            </w:tcBorders>
            <w:vAlign w:val="center"/>
          </w:tcPr>
          <w:p w14:paraId="43244FE8" w14:textId="77777777" w:rsidR="008A5076" w:rsidRPr="00A964FF" w:rsidRDefault="008A5076" w:rsidP="008A5076">
            <w:pPr>
              <w:jc w:val="center"/>
              <w:rPr>
                <w:rFonts w:ascii="Calibri" w:hAnsi="Calibri"/>
                <w:bCs/>
              </w:rPr>
            </w:pPr>
            <w:r w:rsidRPr="00A964FF">
              <w:rPr>
                <w:rFonts w:ascii="Calibri" w:hAnsi="Calibri"/>
                <w:bCs/>
              </w:rPr>
              <w:t>100</w:t>
            </w:r>
          </w:p>
        </w:tc>
        <w:tc>
          <w:tcPr>
            <w:tcW w:w="922" w:type="pct"/>
            <w:tcBorders>
              <w:left w:val="single" w:sz="4" w:space="0" w:color="auto"/>
            </w:tcBorders>
            <w:vAlign w:val="center"/>
          </w:tcPr>
          <w:p w14:paraId="631A425C" w14:textId="77777777" w:rsidR="008A5076" w:rsidRPr="00A964FF" w:rsidRDefault="008A5076" w:rsidP="008A5076">
            <w:pPr>
              <w:jc w:val="center"/>
              <w:rPr>
                <w:rFonts w:ascii="Calibri" w:hAnsi="Calibri"/>
                <w:bCs/>
              </w:rPr>
            </w:pPr>
            <w:r w:rsidRPr="00A964FF">
              <w:rPr>
                <w:rFonts w:ascii="Calibri" w:hAnsi="Calibri"/>
                <w:bCs/>
              </w:rPr>
              <w:t>100</w:t>
            </w:r>
          </w:p>
        </w:tc>
      </w:tr>
      <w:tr w:rsidR="008A5076" w:rsidRPr="00A964FF" w14:paraId="2174D235" w14:textId="77777777" w:rsidTr="008A5076">
        <w:trPr>
          <w:trHeight w:val="340"/>
          <w:jc w:val="center"/>
        </w:trPr>
        <w:tc>
          <w:tcPr>
            <w:tcW w:w="433" w:type="pct"/>
            <w:tcMar>
              <w:left w:w="57" w:type="dxa"/>
              <w:right w:w="57" w:type="dxa"/>
            </w:tcMar>
            <w:vAlign w:val="center"/>
          </w:tcPr>
          <w:p w14:paraId="5853A4C0" w14:textId="77777777" w:rsidR="008A5076" w:rsidRPr="00A964FF" w:rsidRDefault="008A5076" w:rsidP="008A5076">
            <w:pPr>
              <w:jc w:val="center"/>
              <w:rPr>
                <w:rFonts w:ascii="Calibri" w:hAnsi="Calibri"/>
                <w:bCs/>
              </w:rPr>
            </w:pPr>
            <w:r w:rsidRPr="00A964FF">
              <w:rPr>
                <w:rFonts w:ascii="Calibri" w:hAnsi="Calibri"/>
                <w:bCs/>
              </w:rPr>
              <w:t>7</w:t>
            </w:r>
          </w:p>
        </w:tc>
        <w:tc>
          <w:tcPr>
            <w:tcW w:w="881" w:type="pct"/>
            <w:tcMar>
              <w:left w:w="57" w:type="dxa"/>
              <w:right w:w="57" w:type="dxa"/>
            </w:tcMar>
            <w:vAlign w:val="center"/>
          </w:tcPr>
          <w:p w14:paraId="1BE45144" w14:textId="77777777" w:rsidR="008A5076" w:rsidRPr="00A964FF" w:rsidRDefault="008A5076" w:rsidP="008A5076">
            <w:pPr>
              <w:jc w:val="center"/>
              <w:rPr>
                <w:rFonts w:ascii="Calibri" w:hAnsi="Calibri"/>
                <w:bCs/>
              </w:rPr>
            </w:pPr>
            <w:r w:rsidRPr="00A964FF">
              <w:rPr>
                <w:rFonts w:ascii="Calibri" w:hAnsi="宋体"/>
                <w:bCs/>
              </w:rPr>
              <w:t>锌</w:t>
            </w:r>
          </w:p>
        </w:tc>
        <w:tc>
          <w:tcPr>
            <w:tcW w:w="922" w:type="pct"/>
            <w:tcBorders>
              <w:right w:val="single" w:sz="4" w:space="0" w:color="auto"/>
            </w:tcBorders>
            <w:tcMar>
              <w:left w:w="57" w:type="dxa"/>
              <w:right w:w="57" w:type="dxa"/>
            </w:tcMar>
            <w:vAlign w:val="center"/>
          </w:tcPr>
          <w:p w14:paraId="210E51C8" w14:textId="77777777" w:rsidR="008A5076" w:rsidRPr="00A964FF" w:rsidRDefault="008A5076" w:rsidP="008A5076">
            <w:pPr>
              <w:jc w:val="center"/>
              <w:rPr>
                <w:rFonts w:ascii="Calibri" w:hAnsi="Calibri"/>
                <w:bCs/>
              </w:rPr>
            </w:pPr>
            <w:r w:rsidRPr="00A964FF">
              <w:rPr>
                <w:rFonts w:ascii="Calibri" w:hAnsi="Calibri"/>
                <w:bCs/>
              </w:rPr>
              <w:t>200</w:t>
            </w:r>
          </w:p>
        </w:tc>
        <w:tc>
          <w:tcPr>
            <w:tcW w:w="922" w:type="pct"/>
            <w:tcBorders>
              <w:left w:val="single" w:sz="4" w:space="0" w:color="auto"/>
            </w:tcBorders>
            <w:vAlign w:val="center"/>
          </w:tcPr>
          <w:p w14:paraId="3D642259" w14:textId="77777777" w:rsidR="008A5076" w:rsidRPr="00A964FF" w:rsidRDefault="008A5076" w:rsidP="008A5076">
            <w:pPr>
              <w:jc w:val="center"/>
              <w:rPr>
                <w:rFonts w:ascii="Calibri" w:hAnsi="Calibri"/>
                <w:bCs/>
              </w:rPr>
            </w:pPr>
            <w:r w:rsidRPr="00A964FF">
              <w:rPr>
                <w:rFonts w:ascii="Calibri" w:hAnsi="Calibri"/>
                <w:bCs/>
              </w:rPr>
              <w:t>200</w:t>
            </w:r>
          </w:p>
        </w:tc>
        <w:tc>
          <w:tcPr>
            <w:tcW w:w="922" w:type="pct"/>
            <w:tcBorders>
              <w:left w:val="single" w:sz="4" w:space="0" w:color="auto"/>
            </w:tcBorders>
            <w:vAlign w:val="center"/>
          </w:tcPr>
          <w:p w14:paraId="45868F1E" w14:textId="77777777" w:rsidR="008A5076" w:rsidRPr="00A964FF" w:rsidRDefault="008A5076" w:rsidP="008A5076">
            <w:pPr>
              <w:jc w:val="center"/>
              <w:rPr>
                <w:rFonts w:ascii="Calibri" w:hAnsi="Calibri"/>
                <w:bCs/>
              </w:rPr>
            </w:pPr>
            <w:r w:rsidRPr="00A964FF">
              <w:rPr>
                <w:rFonts w:ascii="Calibri" w:hAnsi="Calibri"/>
                <w:bCs/>
              </w:rPr>
              <w:t>250</w:t>
            </w:r>
          </w:p>
        </w:tc>
        <w:tc>
          <w:tcPr>
            <w:tcW w:w="922" w:type="pct"/>
            <w:tcBorders>
              <w:left w:val="single" w:sz="4" w:space="0" w:color="auto"/>
            </w:tcBorders>
            <w:vAlign w:val="center"/>
          </w:tcPr>
          <w:p w14:paraId="562D431F" w14:textId="77777777" w:rsidR="008A5076" w:rsidRPr="00A964FF" w:rsidRDefault="008A5076" w:rsidP="008A5076">
            <w:pPr>
              <w:jc w:val="center"/>
              <w:rPr>
                <w:rFonts w:ascii="Calibri" w:hAnsi="Calibri"/>
                <w:bCs/>
              </w:rPr>
            </w:pPr>
            <w:r w:rsidRPr="00A964FF">
              <w:rPr>
                <w:rFonts w:ascii="Calibri" w:hAnsi="Calibri"/>
                <w:bCs/>
              </w:rPr>
              <w:t>300</w:t>
            </w:r>
          </w:p>
        </w:tc>
      </w:tr>
      <w:tr w:rsidR="008A5076" w:rsidRPr="00A964FF" w14:paraId="1E68A38A" w14:textId="77777777" w:rsidTr="008A5076">
        <w:trPr>
          <w:trHeight w:val="340"/>
          <w:jc w:val="center"/>
        </w:trPr>
        <w:tc>
          <w:tcPr>
            <w:tcW w:w="433" w:type="pct"/>
            <w:tcMar>
              <w:left w:w="57" w:type="dxa"/>
              <w:right w:w="57" w:type="dxa"/>
            </w:tcMar>
            <w:vAlign w:val="center"/>
          </w:tcPr>
          <w:p w14:paraId="19B0FBD8" w14:textId="77777777" w:rsidR="008A5076" w:rsidRPr="00A964FF" w:rsidRDefault="008A5076" w:rsidP="008A5076">
            <w:pPr>
              <w:jc w:val="center"/>
              <w:rPr>
                <w:rFonts w:ascii="Calibri" w:hAnsi="Calibri"/>
                <w:bCs/>
              </w:rPr>
            </w:pPr>
            <w:r w:rsidRPr="00A964FF">
              <w:rPr>
                <w:rFonts w:ascii="Calibri" w:hAnsi="Calibri"/>
                <w:bCs/>
              </w:rPr>
              <w:t>8</w:t>
            </w:r>
          </w:p>
        </w:tc>
        <w:tc>
          <w:tcPr>
            <w:tcW w:w="881" w:type="pct"/>
            <w:tcMar>
              <w:left w:w="57" w:type="dxa"/>
              <w:right w:w="57" w:type="dxa"/>
            </w:tcMar>
            <w:vAlign w:val="center"/>
          </w:tcPr>
          <w:p w14:paraId="35BA56F9" w14:textId="77777777" w:rsidR="008A5076" w:rsidRPr="00A964FF" w:rsidRDefault="008A5076" w:rsidP="008A5076">
            <w:pPr>
              <w:jc w:val="center"/>
              <w:rPr>
                <w:rFonts w:ascii="Calibri" w:hAnsi="Calibri"/>
                <w:bCs/>
              </w:rPr>
            </w:pPr>
            <w:r w:rsidRPr="00A964FF">
              <w:rPr>
                <w:rFonts w:ascii="Calibri" w:hAnsi="宋体"/>
                <w:bCs/>
              </w:rPr>
              <w:t>镍</w:t>
            </w:r>
          </w:p>
        </w:tc>
        <w:tc>
          <w:tcPr>
            <w:tcW w:w="922" w:type="pct"/>
            <w:tcBorders>
              <w:right w:val="single" w:sz="4" w:space="0" w:color="auto"/>
            </w:tcBorders>
            <w:tcMar>
              <w:left w:w="57" w:type="dxa"/>
              <w:right w:w="57" w:type="dxa"/>
            </w:tcMar>
            <w:vAlign w:val="center"/>
          </w:tcPr>
          <w:p w14:paraId="48A76F90" w14:textId="77777777" w:rsidR="008A5076" w:rsidRPr="00A964FF" w:rsidRDefault="008A5076" w:rsidP="008A5076">
            <w:pPr>
              <w:jc w:val="center"/>
              <w:rPr>
                <w:rFonts w:ascii="Calibri" w:hAnsi="Calibri"/>
                <w:bCs/>
              </w:rPr>
            </w:pPr>
            <w:r w:rsidRPr="00A964FF">
              <w:rPr>
                <w:rFonts w:ascii="Calibri" w:hAnsi="Calibri"/>
                <w:bCs/>
              </w:rPr>
              <w:t>60</w:t>
            </w:r>
          </w:p>
        </w:tc>
        <w:tc>
          <w:tcPr>
            <w:tcW w:w="922" w:type="pct"/>
            <w:tcBorders>
              <w:left w:val="single" w:sz="4" w:space="0" w:color="auto"/>
            </w:tcBorders>
            <w:vAlign w:val="center"/>
          </w:tcPr>
          <w:p w14:paraId="5A6FD0BC" w14:textId="77777777" w:rsidR="008A5076" w:rsidRPr="00A964FF" w:rsidRDefault="008A5076" w:rsidP="008A5076">
            <w:pPr>
              <w:jc w:val="center"/>
              <w:rPr>
                <w:rFonts w:ascii="Calibri" w:hAnsi="Calibri"/>
                <w:bCs/>
              </w:rPr>
            </w:pPr>
            <w:r w:rsidRPr="00A964FF">
              <w:rPr>
                <w:rFonts w:ascii="Calibri" w:hAnsi="Calibri"/>
                <w:bCs/>
              </w:rPr>
              <w:t>70</w:t>
            </w:r>
          </w:p>
        </w:tc>
        <w:tc>
          <w:tcPr>
            <w:tcW w:w="922" w:type="pct"/>
            <w:tcBorders>
              <w:left w:val="single" w:sz="4" w:space="0" w:color="auto"/>
            </w:tcBorders>
            <w:vAlign w:val="center"/>
          </w:tcPr>
          <w:p w14:paraId="0EA7ABF2" w14:textId="77777777" w:rsidR="008A5076" w:rsidRPr="00A964FF" w:rsidRDefault="008A5076" w:rsidP="008A5076">
            <w:pPr>
              <w:jc w:val="center"/>
              <w:rPr>
                <w:rFonts w:ascii="Calibri" w:hAnsi="Calibri"/>
                <w:bCs/>
              </w:rPr>
            </w:pPr>
            <w:r w:rsidRPr="00A964FF">
              <w:rPr>
                <w:rFonts w:ascii="Calibri" w:hAnsi="Calibri"/>
                <w:bCs/>
              </w:rPr>
              <w:t>100</w:t>
            </w:r>
          </w:p>
        </w:tc>
        <w:tc>
          <w:tcPr>
            <w:tcW w:w="922" w:type="pct"/>
            <w:tcBorders>
              <w:left w:val="single" w:sz="4" w:space="0" w:color="auto"/>
            </w:tcBorders>
            <w:vAlign w:val="center"/>
          </w:tcPr>
          <w:p w14:paraId="517C08C1" w14:textId="77777777" w:rsidR="008A5076" w:rsidRPr="00A964FF" w:rsidRDefault="008A5076" w:rsidP="008A5076">
            <w:pPr>
              <w:jc w:val="center"/>
              <w:rPr>
                <w:rFonts w:ascii="Calibri" w:hAnsi="Calibri"/>
                <w:bCs/>
              </w:rPr>
            </w:pPr>
            <w:r w:rsidRPr="00A964FF">
              <w:rPr>
                <w:rFonts w:ascii="Calibri" w:hAnsi="Calibri"/>
                <w:bCs/>
              </w:rPr>
              <w:t>190</w:t>
            </w:r>
          </w:p>
        </w:tc>
      </w:tr>
    </w:tbl>
    <w:p w14:paraId="2F56AD4A" w14:textId="77777777" w:rsidR="004765E1" w:rsidRDefault="004765E1" w:rsidP="0055605A">
      <w:pPr>
        <w:pStyle w:val="ad"/>
        <w:rPr>
          <w:rFonts w:ascii="Calibri" w:hAnsi="Calibri"/>
          <w:color w:val="auto"/>
        </w:rPr>
      </w:pPr>
    </w:p>
    <w:p w14:paraId="2B42C6A7" w14:textId="77777777" w:rsidR="0055605A" w:rsidRPr="00A964FF" w:rsidRDefault="0055605A" w:rsidP="0055605A">
      <w:pPr>
        <w:pStyle w:val="ad"/>
        <w:rPr>
          <w:rFonts w:ascii="Calibri" w:hAnsi="Calibri"/>
          <w:color w:val="auto"/>
        </w:rPr>
      </w:pPr>
      <w:r w:rsidRPr="00A964FF">
        <w:rPr>
          <w:rFonts w:ascii="Calibri" w:hAnsi="Calibri" w:hint="eastAsia"/>
          <w:color w:val="auto"/>
        </w:rPr>
        <w:lastRenderedPageBreak/>
        <w:t>1.4.2</w:t>
      </w:r>
      <w:r w:rsidRPr="00A964FF">
        <w:rPr>
          <w:rFonts w:ascii="Calibri" w:hAnsi="Calibri" w:hint="eastAsia"/>
          <w:color w:val="auto"/>
        </w:rPr>
        <w:t>污染物排放标准</w:t>
      </w:r>
    </w:p>
    <w:p w14:paraId="3BCBB52F" w14:textId="77777777" w:rsidR="0055605A" w:rsidRPr="00A964FF" w:rsidRDefault="0055605A" w:rsidP="0055605A">
      <w:pPr>
        <w:spacing w:line="520" w:lineRule="exact"/>
        <w:ind w:firstLineChars="200" w:firstLine="482"/>
        <w:rPr>
          <w:rFonts w:ascii="Calibri" w:hAnsi="Calibri"/>
          <w:b/>
          <w:color w:val="auto"/>
          <w:sz w:val="24"/>
        </w:rPr>
      </w:pPr>
      <w:r w:rsidRPr="00A964FF">
        <w:rPr>
          <w:rFonts w:ascii="Calibri" w:hAnsi="Calibri"/>
          <w:b/>
          <w:color w:val="auto"/>
          <w:sz w:val="24"/>
        </w:rPr>
        <w:t>1</w:t>
      </w:r>
      <w:r w:rsidRPr="00A964FF">
        <w:rPr>
          <w:rFonts w:ascii="Calibri" w:hAnsi="Calibri"/>
          <w:b/>
          <w:color w:val="auto"/>
          <w:sz w:val="24"/>
        </w:rPr>
        <w:t>、废气污染物排放标准</w:t>
      </w:r>
    </w:p>
    <w:p w14:paraId="10F28E9D" w14:textId="77777777" w:rsidR="004765E1" w:rsidRDefault="00D423C2" w:rsidP="006760FE">
      <w:pPr>
        <w:spacing w:line="520" w:lineRule="exact"/>
        <w:ind w:firstLineChars="200" w:firstLine="480"/>
        <w:rPr>
          <w:rFonts w:ascii="Calibri"/>
          <w:b/>
          <w:bCs/>
          <w:color w:val="auto"/>
          <w:sz w:val="24"/>
          <w:u w:val="single"/>
        </w:rPr>
      </w:pPr>
      <w:r w:rsidRPr="00D423C2">
        <w:rPr>
          <w:rFonts w:ascii="Calibri" w:hint="eastAsia"/>
          <w:bCs/>
          <w:color w:val="auto"/>
          <w:sz w:val="24"/>
        </w:rPr>
        <w:t>①生产废气颗粒物、非甲烷总烃</w:t>
      </w:r>
      <w:r>
        <w:rPr>
          <w:rFonts w:ascii="Calibri" w:hint="eastAsia"/>
          <w:bCs/>
          <w:color w:val="auto"/>
          <w:sz w:val="24"/>
        </w:rPr>
        <w:t>、</w:t>
      </w:r>
      <w:r>
        <w:rPr>
          <w:rFonts w:ascii="Calibri"/>
          <w:bCs/>
          <w:color w:val="auto"/>
          <w:sz w:val="24"/>
        </w:rPr>
        <w:t>氨</w:t>
      </w:r>
      <w:r w:rsidRPr="00D423C2">
        <w:rPr>
          <w:rFonts w:ascii="Calibri" w:hint="eastAsia"/>
          <w:bCs/>
          <w:color w:val="auto"/>
          <w:sz w:val="24"/>
        </w:rPr>
        <w:t>执行《合成树脂工业污染物排放标准》（</w:t>
      </w:r>
      <w:r w:rsidRPr="00D423C2">
        <w:rPr>
          <w:rFonts w:ascii="Calibri" w:hint="eastAsia"/>
          <w:bCs/>
          <w:color w:val="auto"/>
          <w:sz w:val="24"/>
        </w:rPr>
        <w:t>GB31572-2015</w:t>
      </w:r>
      <w:r w:rsidRPr="00D423C2">
        <w:rPr>
          <w:rFonts w:ascii="Calibri" w:hint="eastAsia"/>
          <w:bCs/>
          <w:color w:val="auto"/>
          <w:sz w:val="24"/>
        </w:rPr>
        <w:t>）；</w:t>
      </w:r>
      <w:r w:rsidR="00A73882" w:rsidRPr="00A73882">
        <w:rPr>
          <w:rFonts w:ascii="Calibri" w:hint="eastAsia"/>
          <w:bCs/>
          <w:color w:val="auto"/>
          <w:sz w:val="24"/>
        </w:rPr>
        <w:t>非甲烷总烃同时执行《</w:t>
      </w:r>
      <w:r w:rsidR="008822BC" w:rsidRPr="008822BC">
        <w:rPr>
          <w:rFonts w:ascii="Calibri" w:hint="eastAsia"/>
          <w:bCs/>
          <w:color w:val="auto"/>
          <w:sz w:val="24"/>
        </w:rPr>
        <w:t>平顶山市</w:t>
      </w:r>
      <w:r w:rsidR="008822BC" w:rsidRPr="008822BC">
        <w:rPr>
          <w:rFonts w:ascii="Calibri" w:hint="eastAsia"/>
          <w:bCs/>
          <w:color w:val="auto"/>
          <w:sz w:val="24"/>
        </w:rPr>
        <w:t>2021</w:t>
      </w:r>
      <w:r w:rsidR="008822BC" w:rsidRPr="008822BC">
        <w:rPr>
          <w:rFonts w:ascii="Calibri" w:hint="eastAsia"/>
          <w:bCs/>
          <w:color w:val="auto"/>
          <w:sz w:val="24"/>
        </w:rPr>
        <w:t>年重污染天气通用行业应急减排措施制定技术指南（试行）</w:t>
      </w:r>
      <w:r w:rsidR="00A73882" w:rsidRPr="00A73882">
        <w:rPr>
          <w:rFonts w:ascii="Calibri" w:hint="eastAsia"/>
          <w:bCs/>
          <w:color w:val="auto"/>
          <w:sz w:val="24"/>
        </w:rPr>
        <w:t>》中“绩效</w:t>
      </w:r>
      <w:r w:rsidR="00A73882" w:rsidRPr="00A73882">
        <w:rPr>
          <w:rFonts w:ascii="Calibri" w:hint="eastAsia"/>
          <w:bCs/>
          <w:color w:val="auto"/>
          <w:sz w:val="24"/>
        </w:rPr>
        <w:t>B</w:t>
      </w:r>
      <w:r w:rsidR="00A73882" w:rsidRPr="00A73882">
        <w:rPr>
          <w:rFonts w:ascii="Calibri" w:hint="eastAsia"/>
          <w:bCs/>
          <w:color w:val="auto"/>
          <w:sz w:val="24"/>
        </w:rPr>
        <w:t>级”企业管控要求和《关于全省开展工业企业挥发性有机物专项治理工作中排放建议值的通知》（豫环攻坚办</w:t>
      </w:r>
      <w:r w:rsidR="00A73882">
        <w:rPr>
          <w:rFonts w:ascii="Calibri" w:hint="eastAsia"/>
          <w:bCs/>
          <w:color w:val="auto"/>
          <w:sz w:val="24"/>
        </w:rPr>
        <w:t>【</w:t>
      </w:r>
      <w:r w:rsidR="00A73882">
        <w:rPr>
          <w:rFonts w:ascii="Calibri" w:hint="eastAsia"/>
          <w:bCs/>
          <w:color w:val="auto"/>
          <w:sz w:val="24"/>
        </w:rPr>
        <w:t>2017</w:t>
      </w:r>
      <w:r w:rsidR="00A73882">
        <w:rPr>
          <w:rFonts w:ascii="Calibri" w:hint="eastAsia"/>
          <w:bCs/>
          <w:color w:val="auto"/>
          <w:sz w:val="24"/>
        </w:rPr>
        <w:t>】</w:t>
      </w:r>
      <w:r w:rsidR="00A73882" w:rsidRPr="00A73882">
        <w:rPr>
          <w:rFonts w:ascii="Calibri" w:hint="eastAsia"/>
          <w:bCs/>
          <w:color w:val="auto"/>
          <w:sz w:val="24"/>
        </w:rPr>
        <w:t>162</w:t>
      </w:r>
      <w:r w:rsidR="00A73882" w:rsidRPr="00A73882">
        <w:rPr>
          <w:rFonts w:ascii="Calibri" w:hint="eastAsia"/>
          <w:bCs/>
          <w:color w:val="auto"/>
          <w:sz w:val="24"/>
        </w:rPr>
        <w:t>号）规定的排放建议值；</w:t>
      </w:r>
      <w:r w:rsidRPr="0092085C">
        <w:rPr>
          <w:rFonts w:ascii="Calibri" w:hint="eastAsia"/>
          <w:b/>
          <w:bCs/>
          <w:color w:val="auto"/>
          <w:sz w:val="24"/>
          <w:u w:val="single"/>
        </w:rPr>
        <w:t>己二胺</w:t>
      </w:r>
      <w:r w:rsidR="0092085C" w:rsidRPr="0092085C">
        <w:rPr>
          <w:rFonts w:ascii="Calibri" w:hint="eastAsia"/>
          <w:b/>
          <w:bCs/>
          <w:color w:val="auto"/>
          <w:sz w:val="24"/>
          <w:u w:val="single"/>
        </w:rPr>
        <w:t>、己二酸</w:t>
      </w:r>
      <w:r w:rsidR="004765E1">
        <w:rPr>
          <w:rFonts w:ascii="Calibri" w:hint="eastAsia"/>
          <w:b/>
          <w:bCs/>
          <w:color w:val="auto"/>
          <w:sz w:val="24"/>
          <w:u w:val="single"/>
        </w:rPr>
        <w:t>参照</w:t>
      </w:r>
      <w:r w:rsidR="004765E1">
        <w:rPr>
          <w:rFonts w:ascii="Calibri"/>
          <w:b/>
          <w:bCs/>
          <w:color w:val="auto"/>
          <w:sz w:val="24"/>
          <w:u w:val="single"/>
        </w:rPr>
        <w:t>执行</w:t>
      </w:r>
      <w:r w:rsidR="004765E1" w:rsidRPr="004765E1">
        <w:rPr>
          <w:rFonts w:ascii="Calibri" w:hint="eastAsia"/>
          <w:b/>
          <w:bCs/>
          <w:color w:val="auto"/>
          <w:sz w:val="24"/>
          <w:u w:val="single"/>
        </w:rPr>
        <w:t>上海《大气污染物综合排放标准》（</w:t>
      </w:r>
      <w:r w:rsidR="004765E1" w:rsidRPr="004765E1">
        <w:rPr>
          <w:rFonts w:ascii="Calibri" w:hint="eastAsia"/>
          <w:b/>
          <w:bCs/>
          <w:color w:val="auto"/>
          <w:sz w:val="24"/>
          <w:u w:val="single"/>
        </w:rPr>
        <w:t>DB31/933-2015</w:t>
      </w:r>
      <w:r w:rsidR="004765E1" w:rsidRPr="004765E1">
        <w:rPr>
          <w:rFonts w:ascii="Calibri" w:hint="eastAsia"/>
          <w:b/>
          <w:bCs/>
          <w:color w:val="auto"/>
          <w:sz w:val="24"/>
          <w:u w:val="single"/>
        </w:rPr>
        <w:t>）</w:t>
      </w:r>
      <w:r w:rsidR="004765E1">
        <w:rPr>
          <w:rFonts w:ascii="Calibri" w:hint="eastAsia"/>
          <w:b/>
          <w:bCs/>
          <w:color w:val="auto"/>
          <w:sz w:val="24"/>
          <w:u w:val="single"/>
        </w:rPr>
        <w:t>；</w:t>
      </w:r>
    </w:p>
    <w:p w14:paraId="4455DBE6" w14:textId="77777777" w:rsidR="00D423C2" w:rsidRPr="00D423C2" w:rsidRDefault="00D423C2" w:rsidP="00D423C2">
      <w:pPr>
        <w:spacing w:line="520" w:lineRule="exact"/>
        <w:ind w:firstLineChars="200" w:firstLine="480"/>
        <w:rPr>
          <w:rFonts w:ascii="Calibri"/>
          <w:bCs/>
          <w:color w:val="auto"/>
          <w:sz w:val="24"/>
        </w:rPr>
      </w:pPr>
      <w:r w:rsidRPr="00D423C2">
        <w:rPr>
          <w:rFonts w:ascii="Calibri" w:hint="eastAsia"/>
          <w:bCs/>
          <w:color w:val="auto"/>
          <w:sz w:val="24"/>
        </w:rPr>
        <w:t>②导热油炉燃烧废气颗粒物、</w:t>
      </w:r>
      <w:r w:rsidRPr="00D423C2">
        <w:rPr>
          <w:rFonts w:ascii="Calibri" w:hint="eastAsia"/>
          <w:bCs/>
          <w:color w:val="auto"/>
          <w:sz w:val="24"/>
        </w:rPr>
        <w:t>SO</w:t>
      </w:r>
      <w:r w:rsidRPr="00D423C2">
        <w:rPr>
          <w:rFonts w:ascii="Calibri" w:hint="eastAsia"/>
          <w:bCs/>
          <w:color w:val="auto"/>
          <w:sz w:val="24"/>
          <w:vertAlign w:val="subscript"/>
        </w:rPr>
        <w:t>2</w:t>
      </w:r>
      <w:r w:rsidRPr="00D423C2">
        <w:rPr>
          <w:rFonts w:ascii="Calibri" w:hint="eastAsia"/>
          <w:bCs/>
          <w:color w:val="auto"/>
          <w:sz w:val="24"/>
        </w:rPr>
        <w:t>、</w:t>
      </w:r>
      <w:r w:rsidRPr="00D423C2">
        <w:rPr>
          <w:rFonts w:ascii="Calibri" w:hint="eastAsia"/>
          <w:bCs/>
          <w:color w:val="auto"/>
          <w:sz w:val="24"/>
        </w:rPr>
        <w:t>NO</w:t>
      </w:r>
      <w:r w:rsidRPr="00D423C2">
        <w:rPr>
          <w:rFonts w:ascii="Calibri" w:hint="eastAsia"/>
          <w:bCs/>
          <w:color w:val="auto"/>
          <w:sz w:val="24"/>
          <w:vertAlign w:val="subscript"/>
        </w:rPr>
        <w:t>X</w:t>
      </w:r>
      <w:r w:rsidRPr="00D423C2">
        <w:rPr>
          <w:rFonts w:ascii="Calibri" w:hint="eastAsia"/>
          <w:bCs/>
          <w:color w:val="auto"/>
          <w:sz w:val="24"/>
        </w:rPr>
        <w:t>执行河南省地方标准《锅炉大气污染物排放标准》（</w:t>
      </w:r>
      <w:r w:rsidRPr="00D423C2">
        <w:rPr>
          <w:rFonts w:ascii="Calibri" w:hint="eastAsia"/>
          <w:bCs/>
          <w:color w:val="auto"/>
          <w:sz w:val="24"/>
        </w:rPr>
        <w:t>DB41/2089-2021</w:t>
      </w:r>
      <w:r w:rsidRPr="00D423C2">
        <w:rPr>
          <w:rFonts w:ascii="Calibri" w:hint="eastAsia"/>
          <w:bCs/>
          <w:color w:val="auto"/>
          <w:sz w:val="24"/>
        </w:rPr>
        <w:t>）；</w:t>
      </w:r>
    </w:p>
    <w:p w14:paraId="2CE1EF9B" w14:textId="77777777" w:rsidR="00D423C2" w:rsidRPr="00D423C2" w:rsidRDefault="00D423C2" w:rsidP="00D423C2">
      <w:pPr>
        <w:spacing w:line="520" w:lineRule="exact"/>
        <w:ind w:firstLineChars="200" w:firstLine="480"/>
        <w:rPr>
          <w:rFonts w:ascii="Calibri"/>
          <w:bCs/>
          <w:color w:val="auto"/>
          <w:sz w:val="24"/>
        </w:rPr>
      </w:pPr>
      <w:r w:rsidRPr="00D423C2">
        <w:rPr>
          <w:rFonts w:ascii="Calibri" w:hint="eastAsia"/>
          <w:bCs/>
          <w:color w:val="auto"/>
          <w:sz w:val="24"/>
        </w:rPr>
        <w:t>③</w:t>
      </w:r>
      <w:r w:rsidRPr="00D423C2">
        <w:rPr>
          <w:rFonts w:ascii="Calibri" w:hint="eastAsia"/>
          <w:bCs/>
          <w:color w:val="auto"/>
          <w:sz w:val="24"/>
        </w:rPr>
        <w:t>H</w:t>
      </w:r>
      <w:r w:rsidRPr="00D423C2">
        <w:rPr>
          <w:rFonts w:ascii="Calibri" w:hint="eastAsia"/>
          <w:bCs/>
          <w:color w:val="auto"/>
          <w:sz w:val="24"/>
          <w:vertAlign w:val="subscript"/>
        </w:rPr>
        <w:t>2</w:t>
      </w:r>
      <w:r w:rsidRPr="00D423C2">
        <w:rPr>
          <w:rFonts w:ascii="Calibri" w:hint="eastAsia"/>
          <w:bCs/>
          <w:color w:val="auto"/>
          <w:sz w:val="24"/>
        </w:rPr>
        <w:t>S</w:t>
      </w:r>
      <w:r w:rsidRPr="00D423C2">
        <w:rPr>
          <w:rFonts w:ascii="Calibri" w:hint="eastAsia"/>
          <w:bCs/>
          <w:color w:val="auto"/>
          <w:sz w:val="24"/>
        </w:rPr>
        <w:t>、</w:t>
      </w:r>
      <w:r w:rsidRPr="00D423C2">
        <w:rPr>
          <w:rFonts w:ascii="Calibri" w:hint="eastAsia"/>
          <w:bCs/>
          <w:color w:val="auto"/>
          <w:sz w:val="24"/>
        </w:rPr>
        <w:t>NH</w:t>
      </w:r>
      <w:r w:rsidRPr="00D423C2">
        <w:rPr>
          <w:rFonts w:ascii="Calibri" w:hint="eastAsia"/>
          <w:bCs/>
          <w:color w:val="auto"/>
          <w:sz w:val="24"/>
          <w:vertAlign w:val="subscript"/>
        </w:rPr>
        <w:t>3</w:t>
      </w:r>
      <w:r w:rsidRPr="00D423C2">
        <w:rPr>
          <w:rFonts w:ascii="Calibri" w:hint="eastAsia"/>
          <w:bCs/>
          <w:color w:val="auto"/>
          <w:sz w:val="24"/>
        </w:rPr>
        <w:t>执行《恶臭污染物排放标准》（</w:t>
      </w:r>
      <w:r w:rsidRPr="00D423C2">
        <w:rPr>
          <w:rFonts w:ascii="Calibri" w:hint="eastAsia"/>
          <w:bCs/>
          <w:color w:val="auto"/>
          <w:sz w:val="24"/>
        </w:rPr>
        <w:t>GB14554-93</w:t>
      </w:r>
      <w:r w:rsidRPr="00D423C2">
        <w:rPr>
          <w:rFonts w:ascii="Calibri" w:hint="eastAsia"/>
          <w:bCs/>
          <w:color w:val="auto"/>
          <w:sz w:val="24"/>
        </w:rPr>
        <w:t>）；</w:t>
      </w:r>
    </w:p>
    <w:p w14:paraId="72B1DA1B" w14:textId="77777777" w:rsidR="0092085C" w:rsidRPr="0092085C" w:rsidRDefault="00D423C2" w:rsidP="006760FE">
      <w:pPr>
        <w:spacing w:line="520" w:lineRule="exact"/>
        <w:ind w:firstLineChars="200" w:firstLine="480"/>
        <w:rPr>
          <w:rFonts w:ascii="Calibri" w:eastAsia="黑体" w:hAnsi="Calibri"/>
          <w:color w:val="auto"/>
          <w:sz w:val="24"/>
        </w:rPr>
      </w:pPr>
      <w:r w:rsidRPr="00D423C2">
        <w:rPr>
          <w:rFonts w:ascii="Calibri" w:hint="eastAsia"/>
          <w:bCs/>
          <w:color w:val="auto"/>
          <w:sz w:val="24"/>
        </w:rPr>
        <w:t>④食堂油烟执行河南省地方标准《餐饮业油烟污染物排放标准》（</w:t>
      </w:r>
      <w:r w:rsidR="009819CE">
        <w:rPr>
          <w:rFonts w:ascii="Calibri" w:hint="eastAsia"/>
          <w:bCs/>
          <w:color w:val="auto"/>
          <w:sz w:val="24"/>
        </w:rPr>
        <w:t>DB</w:t>
      </w:r>
      <w:r w:rsidRPr="00D423C2">
        <w:rPr>
          <w:rFonts w:ascii="Calibri" w:hint="eastAsia"/>
          <w:bCs/>
          <w:color w:val="auto"/>
          <w:sz w:val="24"/>
        </w:rPr>
        <w:t>41/1604-2018</w:t>
      </w:r>
      <w:r w:rsidRPr="00D423C2">
        <w:rPr>
          <w:rFonts w:ascii="Calibri" w:hint="eastAsia"/>
          <w:bCs/>
          <w:color w:val="auto"/>
          <w:sz w:val="24"/>
        </w:rPr>
        <w:t>）。</w:t>
      </w:r>
    </w:p>
    <w:p w14:paraId="2C0944FB" w14:textId="77777777" w:rsidR="0055605A" w:rsidRDefault="0055605A" w:rsidP="00A7690B">
      <w:pPr>
        <w:spacing w:line="520" w:lineRule="exact"/>
        <w:ind w:firstLineChars="550" w:firstLine="1320"/>
        <w:rPr>
          <w:rFonts w:ascii="黑体" w:eastAsia="黑体" w:hAnsi="Calibri"/>
          <w:color w:val="auto"/>
          <w:spacing w:val="10"/>
          <w:sz w:val="24"/>
        </w:rPr>
      </w:pPr>
      <w:r w:rsidRPr="00A964FF">
        <w:rPr>
          <w:rFonts w:ascii="Calibri" w:eastAsia="黑体" w:hAnsi="Calibri"/>
          <w:color w:val="auto"/>
          <w:sz w:val="24"/>
        </w:rPr>
        <w:t>表</w:t>
      </w:r>
      <w:r w:rsidRPr="00A964FF">
        <w:rPr>
          <w:rFonts w:ascii="Calibri" w:eastAsia="黑体" w:hAnsi="Calibri"/>
          <w:color w:val="auto"/>
          <w:sz w:val="24"/>
        </w:rPr>
        <w:t>1</w:t>
      </w:r>
      <w:r w:rsidR="00160598" w:rsidRPr="00A964FF">
        <w:rPr>
          <w:rFonts w:ascii="Calibri" w:eastAsia="黑体" w:hAnsi="Calibri" w:hint="eastAsia"/>
          <w:color w:val="auto"/>
          <w:sz w:val="24"/>
        </w:rPr>
        <w:t>.</w:t>
      </w:r>
      <w:r w:rsidR="006669D1" w:rsidRPr="00A964FF">
        <w:rPr>
          <w:rFonts w:ascii="Calibri" w:eastAsia="黑体" w:hAnsi="Calibri" w:hint="eastAsia"/>
          <w:color w:val="auto"/>
          <w:sz w:val="24"/>
        </w:rPr>
        <w:t>4</w:t>
      </w:r>
      <w:r w:rsidRPr="00A964FF">
        <w:rPr>
          <w:rFonts w:ascii="Calibri" w:eastAsia="黑体" w:hAnsi="Calibri" w:hint="eastAsia"/>
          <w:color w:val="auto"/>
          <w:sz w:val="24"/>
        </w:rPr>
        <w:t>-</w:t>
      </w:r>
      <w:r w:rsidR="007B05F0">
        <w:rPr>
          <w:rFonts w:ascii="Calibri" w:eastAsia="黑体" w:hAnsi="Calibri"/>
          <w:color w:val="auto"/>
          <w:sz w:val="24"/>
        </w:rPr>
        <w:t>7</w:t>
      </w:r>
      <w:r w:rsidR="00413DBB" w:rsidRPr="00A964FF">
        <w:rPr>
          <w:rFonts w:ascii="黑体" w:eastAsia="黑体" w:hAnsi="Calibri" w:hint="eastAsia"/>
          <w:color w:val="auto"/>
          <w:spacing w:val="10"/>
          <w:sz w:val="24"/>
        </w:rPr>
        <w:t xml:space="preserve">    </w:t>
      </w:r>
      <w:r w:rsidR="00AF6CC0" w:rsidRPr="00A964FF">
        <w:rPr>
          <w:rFonts w:ascii="黑体" w:eastAsia="黑体" w:hAnsi="Calibri" w:hint="eastAsia"/>
          <w:color w:val="auto"/>
          <w:spacing w:val="10"/>
          <w:sz w:val="24"/>
        </w:rPr>
        <w:t xml:space="preserve"> </w:t>
      </w:r>
      <w:r w:rsidR="00413DBB" w:rsidRPr="00A964FF">
        <w:rPr>
          <w:rFonts w:ascii="黑体" w:eastAsia="黑体" w:hAnsi="Calibri" w:hint="eastAsia"/>
          <w:color w:val="auto"/>
          <w:spacing w:val="10"/>
          <w:sz w:val="24"/>
        </w:rPr>
        <w:t xml:space="preserve">    </w:t>
      </w:r>
      <w:r w:rsidR="00F6089E" w:rsidRPr="00A964FF">
        <w:rPr>
          <w:rFonts w:ascii="黑体" w:eastAsia="黑体" w:hAnsi="Calibri" w:hint="eastAsia"/>
          <w:color w:val="auto"/>
          <w:spacing w:val="10"/>
          <w:sz w:val="24"/>
        </w:rPr>
        <w:t>大气</w:t>
      </w:r>
      <w:r w:rsidR="000174BB" w:rsidRPr="00A964FF">
        <w:rPr>
          <w:rFonts w:ascii="黑体" w:eastAsia="黑体" w:hAnsi="Calibri" w:hint="eastAsia"/>
          <w:color w:val="auto"/>
          <w:spacing w:val="10"/>
          <w:sz w:val="24"/>
        </w:rPr>
        <w:t>污染物排放标准</w:t>
      </w:r>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8"/>
        <w:gridCol w:w="689"/>
        <w:gridCol w:w="693"/>
        <w:gridCol w:w="1522"/>
        <w:gridCol w:w="3163"/>
      </w:tblGrid>
      <w:tr w:rsidR="00D423C2" w:rsidRPr="00FC1E23" w14:paraId="7E31B3DC" w14:textId="77777777" w:rsidTr="00FC1E23">
        <w:trPr>
          <w:trHeight w:val="340"/>
          <w:tblHeader/>
          <w:jc w:val="center"/>
        </w:trPr>
        <w:tc>
          <w:tcPr>
            <w:tcW w:w="494" w:type="pct"/>
            <w:tcBorders>
              <w:top w:val="single" w:sz="12" w:space="0" w:color="auto"/>
              <w:left w:val="single" w:sz="12" w:space="0" w:color="auto"/>
            </w:tcBorders>
            <w:vAlign w:val="center"/>
          </w:tcPr>
          <w:p w14:paraId="7AA81EBB"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污染物</w:t>
            </w:r>
          </w:p>
        </w:tc>
        <w:tc>
          <w:tcPr>
            <w:tcW w:w="1970" w:type="pct"/>
            <w:gridSpan w:val="3"/>
            <w:tcBorders>
              <w:top w:val="single" w:sz="12" w:space="0" w:color="auto"/>
            </w:tcBorders>
            <w:vAlign w:val="center"/>
          </w:tcPr>
          <w:p w14:paraId="1EAFEC10"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标准名称及级</w:t>
            </w:r>
            <w:r w:rsidRPr="00FC1E23">
              <w:rPr>
                <w:rFonts w:asciiTheme="minorHAnsi" w:hAnsiTheme="minorHAnsi"/>
                <w:szCs w:val="21"/>
              </w:rPr>
              <w:t>(</w:t>
            </w:r>
            <w:r w:rsidRPr="00FC1E23">
              <w:rPr>
                <w:rFonts w:asciiTheme="minorHAnsi" w:hAnsiTheme="minorHAnsi"/>
                <w:szCs w:val="21"/>
              </w:rPr>
              <w:t>类</w:t>
            </w:r>
            <w:r w:rsidRPr="00FC1E23">
              <w:rPr>
                <w:rFonts w:asciiTheme="minorHAnsi" w:hAnsiTheme="minorHAnsi"/>
                <w:szCs w:val="21"/>
              </w:rPr>
              <w:t>)</w:t>
            </w:r>
            <w:r w:rsidRPr="00FC1E23">
              <w:rPr>
                <w:rFonts w:asciiTheme="minorHAnsi" w:hAnsiTheme="minorHAnsi"/>
                <w:szCs w:val="21"/>
              </w:rPr>
              <w:t>别</w:t>
            </w:r>
          </w:p>
        </w:tc>
        <w:tc>
          <w:tcPr>
            <w:tcW w:w="824" w:type="pct"/>
            <w:tcBorders>
              <w:top w:val="single" w:sz="12" w:space="0" w:color="auto"/>
            </w:tcBorders>
            <w:vAlign w:val="center"/>
          </w:tcPr>
          <w:p w14:paraId="5DFFECAA"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污染因子</w:t>
            </w:r>
          </w:p>
        </w:tc>
        <w:tc>
          <w:tcPr>
            <w:tcW w:w="1712" w:type="pct"/>
            <w:tcBorders>
              <w:top w:val="single" w:sz="12" w:space="0" w:color="auto"/>
              <w:right w:val="single" w:sz="12" w:space="0" w:color="auto"/>
            </w:tcBorders>
            <w:vAlign w:val="center"/>
          </w:tcPr>
          <w:p w14:paraId="3E272135"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标</w:t>
            </w:r>
            <w:r w:rsidRPr="00FC1E23">
              <w:rPr>
                <w:rFonts w:asciiTheme="minorHAnsi" w:hAnsiTheme="minorHAnsi"/>
                <w:szCs w:val="21"/>
              </w:rPr>
              <w:t xml:space="preserve"> </w:t>
            </w:r>
            <w:r w:rsidRPr="00FC1E23">
              <w:rPr>
                <w:rFonts w:asciiTheme="minorHAnsi" w:hAnsiTheme="minorHAnsi"/>
                <w:szCs w:val="21"/>
              </w:rPr>
              <w:t>准</w:t>
            </w:r>
            <w:r w:rsidRPr="00FC1E23">
              <w:rPr>
                <w:rFonts w:asciiTheme="minorHAnsi" w:hAnsiTheme="minorHAnsi"/>
                <w:szCs w:val="21"/>
              </w:rPr>
              <w:t xml:space="preserve"> </w:t>
            </w:r>
            <w:r w:rsidRPr="00FC1E23">
              <w:rPr>
                <w:rFonts w:asciiTheme="minorHAnsi" w:hAnsiTheme="minorHAnsi"/>
                <w:szCs w:val="21"/>
              </w:rPr>
              <w:t>限</w:t>
            </w:r>
            <w:r w:rsidRPr="00FC1E23">
              <w:rPr>
                <w:rFonts w:asciiTheme="minorHAnsi" w:hAnsiTheme="minorHAnsi"/>
                <w:szCs w:val="21"/>
              </w:rPr>
              <w:t xml:space="preserve"> </w:t>
            </w:r>
            <w:r w:rsidRPr="00FC1E23">
              <w:rPr>
                <w:rFonts w:asciiTheme="minorHAnsi" w:hAnsiTheme="minorHAnsi"/>
                <w:szCs w:val="21"/>
              </w:rPr>
              <w:t>值</w:t>
            </w:r>
          </w:p>
        </w:tc>
      </w:tr>
      <w:tr w:rsidR="00D423C2" w:rsidRPr="00FC1E23" w14:paraId="7CD9427B" w14:textId="77777777" w:rsidTr="00FC1E23">
        <w:trPr>
          <w:trHeight w:val="340"/>
          <w:jc w:val="center"/>
        </w:trPr>
        <w:tc>
          <w:tcPr>
            <w:tcW w:w="494" w:type="pct"/>
            <w:vMerge w:val="restart"/>
            <w:tcBorders>
              <w:left w:val="single" w:sz="12" w:space="0" w:color="auto"/>
            </w:tcBorders>
            <w:shd w:val="clear" w:color="auto" w:fill="auto"/>
            <w:vAlign w:val="center"/>
          </w:tcPr>
          <w:p w14:paraId="53CDF54F"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废气</w:t>
            </w:r>
          </w:p>
        </w:tc>
        <w:tc>
          <w:tcPr>
            <w:tcW w:w="1970" w:type="pct"/>
            <w:gridSpan w:val="3"/>
            <w:vMerge w:val="restart"/>
            <w:vAlign w:val="center"/>
          </w:tcPr>
          <w:p w14:paraId="1F48B13E"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《合成树脂工业污染物排放标准》（</w:t>
            </w:r>
            <w:r w:rsidRPr="00FC1E23">
              <w:rPr>
                <w:rFonts w:asciiTheme="minorHAnsi" w:hAnsiTheme="minorHAnsi"/>
                <w:szCs w:val="21"/>
              </w:rPr>
              <w:t>GB31572-2015</w:t>
            </w:r>
            <w:r w:rsidRPr="00FC1E23">
              <w:rPr>
                <w:rFonts w:asciiTheme="minorHAnsi" w:hAnsiTheme="minorHAnsi"/>
                <w:szCs w:val="21"/>
              </w:rPr>
              <w:t>）表</w:t>
            </w:r>
            <w:r w:rsidRPr="00FC1E23">
              <w:rPr>
                <w:rFonts w:asciiTheme="minorHAnsi" w:hAnsiTheme="minorHAnsi"/>
                <w:szCs w:val="21"/>
              </w:rPr>
              <w:t>4</w:t>
            </w:r>
            <w:r w:rsidRPr="00FC1E23">
              <w:rPr>
                <w:rFonts w:asciiTheme="minorHAnsi" w:hAnsiTheme="minorHAnsi"/>
                <w:szCs w:val="21"/>
              </w:rPr>
              <w:t>、表</w:t>
            </w:r>
            <w:r w:rsidRPr="00FC1E23">
              <w:rPr>
                <w:rFonts w:asciiTheme="minorHAnsi" w:hAnsiTheme="minorHAnsi"/>
                <w:szCs w:val="21"/>
              </w:rPr>
              <w:t>9</w:t>
            </w:r>
            <w:r w:rsidRPr="00FC1E23">
              <w:rPr>
                <w:rFonts w:asciiTheme="minorHAnsi" w:hAnsiTheme="minorHAnsi"/>
                <w:szCs w:val="21"/>
              </w:rPr>
              <w:t>中标准</w:t>
            </w:r>
          </w:p>
        </w:tc>
        <w:tc>
          <w:tcPr>
            <w:tcW w:w="824" w:type="pct"/>
            <w:vMerge w:val="restart"/>
            <w:vAlign w:val="center"/>
          </w:tcPr>
          <w:p w14:paraId="42C44D52"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颗粒物</w:t>
            </w:r>
          </w:p>
        </w:tc>
        <w:tc>
          <w:tcPr>
            <w:tcW w:w="1712" w:type="pct"/>
            <w:tcBorders>
              <w:right w:val="single" w:sz="12" w:space="0" w:color="auto"/>
            </w:tcBorders>
            <w:vAlign w:val="center"/>
          </w:tcPr>
          <w:p w14:paraId="7FD72CA9"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排放限值</w:t>
            </w:r>
            <w:r w:rsidRPr="00FC1E23">
              <w:rPr>
                <w:rFonts w:asciiTheme="minorHAnsi" w:hAnsiTheme="minorHAnsi"/>
                <w:szCs w:val="21"/>
              </w:rPr>
              <w:t>30mg/m</w:t>
            </w:r>
            <w:r w:rsidRPr="00FC1E23">
              <w:rPr>
                <w:rFonts w:asciiTheme="minorHAnsi" w:hAnsiTheme="minorHAnsi"/>
                <w:szCs w:val="21"/>
                <w:vertAlign w:val="superscript"/>
              </w:rPr>
              <w:t>3</w:t>
            </w:r>
          </w:p>
        </w:tc>
      </w:tr>
      <w:tr w:rsidR="00D423C2" w:rsidRPr="00FC1E23" w14:paraId="0161953B" w14:textId="77777777" w:rsidTr="00FC1E23">
        <w:trPr>
          <w:trHeight w:val="340"/>
          <w:jc w:val="center"/>
        </w:trPr>
        <w:tc>
          <w:tcPr>
            <w:tcW w:w="494" w:type="pct"/>
            <w:vMerge/>
            <w:tcBorders>
              <w:left w:val="single" w:sz="12" w:space="0" w:color="auto"/>
            </w:tcBorders>
            <w:shd w:val="clear" w:color="auto" w:fill="auto"/>
            <w:vAlign w:val="center"/>
          </w:tcPr>
          <w:p w14:paraId="35D868E3"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4A3C9E36" w14:textId="77777777" w:rsidR="00D423C2" w:rsidRPr="00FC1E23" w:rsidRDefault="00D423C2" w:rsidP="00CE7021">
            <w:pPr>
              <w:spacing w:line="240" w:lineRule="atLeast"/>
              <w:jc w:val="center"/>
              <w:rPr>
                <w:rFonts w:asciiTheme="minorHAnsi" w:hAnsiTheme="minorHAnsi"/>
                <w:szCs w:val="21"/>
              </w:rPr>
            </w:pPr>
          </w:p>
        </w:tc>
        <w:tc>
          <w:tcPr>
            <w:tcW w:w="824" w:type="pct"/>
            <w:vMerge/>
            <w:vAlign w:val="center"/>
          </w:tcPr>
          <w:p w14:paraId="128E5DFA" w14:textId="77777777" w:rsidR="00D423C2" w:rsidRPr="00FC1E23" w:rsidRDefault="00D423C2" w:rsidP="00CE7021">
            <w:pPr>
              <w:spacing w:line="240" w:lineRule="atLeast"/>
              <w:jc w:val="center"/>
              <w:rPr>
                <w:rFonts w:asciiTheme="minorHAnsi" w:hAnsiTheme="minorHAnsi"/>
                <w:szCs w:val="21"/>
              </w:rPr>
            </w:pPr>
          </w:p>
        </w:tc>
        <w:tc>
          <w:tcPr>
            <w:tcW w:w="1712" w:type="pct"/>
            <w:tcBorders>
              <w:right w:val="single" w:sz="12" w:space="0" w:color="auto"/>
            </w:tcBorders>
            <w:vAlign w:val="center"/>
          </w:tcPr>
          <w:p w14:paraId="7AB809EC"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企业边界浓度限值</w:t>
            </w:r>
            <w:r w:rsidRPr="00FC1E23">
              <w:rPr>
                <w:rFonts w:asciiTheme="minorHAnsi" w:hAnsiTheme="minorHAnsi"/>
                <w:szCs w:val="21"/>
              </w:rPr>
              <w:t>1.0mg/m</w:t>
            </w:r>
            <w:r w:rsidRPr="00FC1E23">
              <w:rPr>
                <w:rFonts w:asciiTheme="minorHAnsi" w:hAnsiTheme="minorHAnsi"/>
                <w:szCs w:val="21"/>
                <w:vertAlign w:val="superscript"/>
              </w:rPr>
              <w:t>3</w:t>
            </w:r>
          </w:p>
        </w:tc>
      </w:tr>
      <w:tr w:rsidR="00D423C2" w:rsidRPr="00FC1E23" w14:paraId="65AB0756" w14:textId="77777777" w:rsidTr="00FC1E23">
        <w:trPr>
          <w:trHeight w:val="340"/>
          <w:jc w:val="center"/>
        </w:trPr>
        <w:tc>
          <w:tcPr>
            <w:tcW w:w="494" w:type="pct"/>
            <w:vMerge/>
            <w:tcBorders>
              <w:left w:val="single" w:sz="12" w:space="0" w:color="auto"/>
            </w:tcBorders>
            <w:shd w:val="clear" w:color="auto" w:fill="auto"/>
            <w:vAlign w:val="center"/>
          </w:tcPr>
          <w:p w14:paraId="17A69A87"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6D82F952" w14:textId="77777777" w:rsidR="00D423C2" w:rsidRPr="00FC1E23" w:rsidRDefault="00D423C2" w:rsidP="00CE7021">
            <w:pPr>
              <w:spacing w:line="240" w:lineRule="atLeast"/>
              <w:jc w:val="center"/>
              <w:rPr>
                <w:rFonts w:asciiTheme="minorHAnsi" w:hAnsiTheme="minorHAnsi"/>
                <w:szCs w:val="21"/>
              </w:rPr>
            </w:pPr>
          </w:p>
        </w:tc>
        <w:tc>
          <w:tcPr>
            <w:tcW w:w="824" w:type="pct"/>
            <w:vMerge w:val="restart"/>
            <w:vAlign w:val="center"/>
          </w:tcPr>
          <w:p w14:paraId="54A3A0AF"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非甲烷总烃</w:t>
            </w:r>
          </w:p>
        </w:tc>
        <w:tc>
          <w:tcPr>
            <w:tcW w:w="1712" w:type="pct"/>
            <w:tcBorders>
              <w:right w:val="single" w:sz="12" w:space="0" w:color="auto"/>
            </w:tcBorders>
            <w:vAlign w:val="center"/>
          </w:tcPr>
          <w:p w14:paraId="24582C5F"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排放限值</w:t>
            </w:r>
            <w:r w:rsidRPr="00FC1E23">
              <w:rPr>
                <w:rFonts w:asciiTheme="minorHAnsi" w:hAnsiTheme="minorHAnsi"/>
                <w:szCs w:val="21"/>
              </w:rPr>
              <w:t>100mg/m</w:t>
            </w:r>
            <w:r w:rsidRPr="00FC1E23">
              <w:rPr>
                <w:rFonts w:asciiTheme="minorHAnsi" w:hAnsiTheme="minorHAnsi"/>
                <w:szCs w:val="21"/>
                <w:vertAlign w:val="superscript"/>
              </w:rPr>
              <w:t>3</w:t>
            </w:r>
          </w:p>
        </w:tc>
      </w:tr>
      <w:tr w:rsidR="00D423C2" w:rsidRPr="00FC1E23" w14:paraId="3B367303" w14:textId="77777777" w:rsidTr="00FC1E23">
        <w:trPr>
          <w:trHeight w:val="340"/>
          <w:jc w:val="center"/>
        </w:trPr>
        <w:tc>
          <w:tcPr>
            <w:tcW w:w="494" w:type="pct"/>
            <w:vMerge/>
            <w:tcBorders>
              <w:left w:val="single" w:sz="12" w:space="0" w:color="auto"/>
            </w:tcBorders>
            <w:shd w:val="clear" w:color="auto" w:fill="auto"/>
            <w:vAlign w:val="center"/>
          </w:tcPr>
          <w:p w14:paraId="6D454B60"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1669999D" w14:textId="77777777" w:rsidR="00D423C2" w:rsidRPr="00FC1E23" w:rsidRDefault="00D423C2" w:rsidP="00CE7021">
            <w:pPr>
              <w:spacing w:line="240" w:lineRule="atLeast"/>
              <w:jc w:val="center"/>
              <w:rPr>
                <w:rFonts w:asciiTheme="minorHAnsi" w:hAnsiTheme="minorHAnsi"/>
                <w:szCs w:val="21"/>
              </w:rPr>
            </w:pPr>
          </w:p>
        </w:tc>
        <w:tc>
          <w:tcPr>
            <w:tcW w:w="824" w:type="pct"/>
            <w:vMerge/>
            <w:vAlign w:val="center"/>
          </w:tcPr>
          <w:p w14:paraId="6C36D9B3" w14:textId="77777777" w:rsidR="00D423C2" w:rsidRPr="00FC1E23" w:rsidRDefault="00D423C2" w:rsidP="00CE7021">
            <w:pPr>
              <w:spacing w:line="240" w:lineRule="atLeast"/>
              <w:jc w:val="center"/>
              <w:rPr>
                <w:rFonts w:asciiTheme="minorHAnsi" w:hAnsiTheme="minorHAnsi"/>
                <w:szCs w:val="21"/>
              </w:rPr>
            </w:pPr>
          </w:p>
        </w:tc>
        <w:tc>
          <w:tcPr>
            <w:tcW w:w="1712" w:type="pct"/>
            <w:tcBorders>
              <w:right w:val="single" w:sz="12" w:space="0" w:color="auto"/>
            </w:tcBorders>
            <w:vAlign w:val="center"/>
          </w:tcPr>
          <w:p w14:paraId="0F4A94AD"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企业边界浓度限值</w:t>
            </w:r>
            <w:r w:rsidRPr="00FC1E23">
              <w:rPr>
                <w:rFonts w:asciiTheme="minorHAnsi" w:hAnsiTheme="minorHAnsi"/>
                <w:szCs w:val="21"/>
              </w:rPr>
              <w:t>4.0mg/m</w:t>
            </w:r>
            <w:r w:rsidRPr="00FC1E23">
              <w:rPr>
                <w:rFonts w:asciiTheme="minorHAnsi" w:hAnsiTheme="minorHAnsi"/>
                <w:szCs w:val="21"/>
                <w:vertAlign w:val="superscript"/>
              </w:rPr>
              <w:t>3</w:t>
            </w:r>
          </w:p>
        </w:tc>
      </w:tr>
      <w:tr w:rsidR="00D423C2" w:rsidRPr="00FC1E23" w14:paraId="52190382" w14:textId="77777777" w:rsidTr="00FC1E23">
        <w:trPr>
          <w:trHeight w:val="340"/>
          <w:jc w:val="center"/>
        </w:trPr>
        <w:tc>
          <w:tcPr>
            <w:tcW w:w="494" w:type="pct"/>
            <w:vMerge/>
            <w:tcBorders>
              <w:left w:val="single" w:sz="12" w:space="0" w:color="auto"/>
            </w:tcBorders>
            <w:shd w:val="clear" w:color="auto" w:fill="auto"/>
            <w:vAlign w:val="center"/>
          </w:tcPr>
          <w:p w14:paraId="32E6FC7A"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6270AB9C" w14:textId="77777777" w:rsidR="00D423C2" w:rsidRPr="00FC1E23" w:rsidRDefault="00D423C2" w:rsidP="00CE7021">
            <w:pPr>
              <w:spacing w:line="240" w:lineRule="atLeast"/>
              <w:jc w:val="center"/>
              <w:rPr>
                <w:rFonts w:asciiTheme="minorHAnsi" w:hAnsiTheme="minorHAnsi"/>
                <w:szCs w:val="21"/>
              </w:rPr>
            </w:pPr>
          </w:p>
        </w:tc>
        <w:tc>
          <w:tcPr>
            <w:tcW w:w="824" w:type="pct"/>
            <w:vAlign w:val="center"/>
          </w:tcPr>
          <w:p w14:paraId="177470F7"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color w:val="000000" w:themeColor="text1"/>
                <w:szCs w:val="21"/>
              </w:rPr>
              <w:t>氨</w:t>
            </w:r>
          </w:p>
        </w:tc>
        <w:tc>
          <w:tcPr>
            <w:tcW w:w="1712" w:type="pct"/>
            <w:tcBorders>
              <w:right w:val="single" w:sz="12" w:space="0" w:color="auto"/>
            </w:tcBorders>
            <w:vAlign w:val="center"/>
          </w:tcPr>
          <w:p w14:paraId="691E7FC8"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color w:val="000000" w:themeColor="text1"/>
                <w:szCs w:val="21"/>
              </w:rPr>
              <w:t>30</w:t>
            </w:r>
            <w:r w:rsidRPr="00FC1E23">
              <w:rPr>
                <w:rFonts w:asciiTheme="minorHAnsi" w:hAnsiTheme="minorHAnsi"/>
                <w:szCs w:val="21"/>
              </w:rPr>
              <w:t>mg/m</w:t>
            </w:r>
            <w:r w:rsidRPr="00FC1E23">
              <w:rPr>
                <w:rFonts w:asciiTheme="minorHAnsi" w:hAnsiTheme="minorHAnsi"/>
                <w:szCs w:val="21"/>
                <w:vertAlign w:val="superscript"/>
              </w:rPr>
              <w:t>3</w:t>
            </w:r>
          </w:p>
        </w:tc>
      </w:tr>
      <w:tr w:rsidR="00D423C2" w:rsidRPr="00FC1E23" w14:paraId="60582675" w14:textId="77777777" w:rsidTr="00FC1E23">
        <w:trPr>
          <w:trHeight w:val="340"/>
          <w:jc w:val="center"/>
        </w:trPr>
        <w:tc>
          <w:tcPr>
            <w:tcW w:w="494" w:type="pct"/>
            <w:vMerge/>
            <w:tcBorders>
              <w:left w:val="single" w:sz="12" w:space="0" w:color="auto"/>
            </w:tcBorders>
            <w:shd w:val="clear" w:color="auto" w:fill="auto"/>
            <w:vAlign w:val="center"/>
          </w:tcPr>
          <w:p w14:paraId="24A862A0"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6ADC6A24" w14:textId="77777777" w:rsidR="00D423C2" w:rsidRPr="00FC1E23" w:rsidRDefault="00D423C2" w:rsidP="00CE7021">
            <w:pPr>
              <w:spacing w:line="240" w:lineRule="atLeast"/>
              <w:jc w:val="center"/>
              <w:rPr>
                <w:rFonts w:asciiTheme="minorHAnsi" w:hAnsiTheme="minorHAnsi"/>
                <w:szCs w:val="21"/>
              </w:rPr>
            </w:pPr>
          </w:p>
        </w:tc>
        <w:tc>
          <w:tcPr>
            <w:tcW w:w="2536" w:type="pct"/>
            <w:gridSpan w:val="2"/>
            <w:tcBorders>
              <w:right w:val="single" w:sz="12" w:space="0" w:color="auto"/>
            </w:tcBorders>
            <w:vAlign w:val="center"/>
          </w:tcPr>
          <w:p w14:paraId="24E0D500"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bCs/>
                <w:szCs w:val="21"/>
              </w:rPr>
              <w:t>单位产品非甲烷总烃排放量</w:t>
            </w:r>
            <w:r w:rsidRPr="00FC1E23">
              <w:rPr>
                <w:rFonts w:asciiTheme="minorHAnsi" w:hAnsiTheme="minorHAnsi"/>
                <w:bCs/>
                <w:szCs w:val="21"/>
              </w:rPr>
              <w:t>0.5kg/t</w:t>
            </w:r>
            <w:r w:rsidRPr="00FC1E23">
              <w:rPr>
                <w:rFonts w:asciiTheme="minorHAnsi" w:hAnsiTheme="minorHAnsi"/>
                <w:bCs/>
                <w:szCs w:val="21"/>
              </w:rPr>
              <w:t>产品</w:t>
            </w:r>
          </w:p>
        </w:tc>
      </w:tr>
      <w:tr w:rsidR="00D423C2" w:rsidRPr="00FC1E23" w14:paraId="02BB3B80" w14:textId="77777777" w:rsidTr="00FC1E23">
        <w:trPr>
          <w:trHeight w:val="340"/>
          <w:jc w:val="center"/>
        </w:trPr>
        <w:tc>
          <w:tcPr>
            <w:tcW w:w="494" w:type="pct"/>
            <w:vMerge/>
            <w:tcBorders>
              <w:left w:val="single" w:sz="12" w:space="0" w:color="auto"/>
            </w:tcBorders>
            <w:shd w:val="clear" w:color="auto" w:fill="auto"/>
            <w:vAlign w:val="center"/>
          </w:tcPr>
          <w:p w14:paraId="30C83EF5"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restart"/>
            <w:vAlign w:val="center"/>
          </w:tcPr>
          <w:p w14:paraId="0D23F86D"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《关于全省开展工业企业挥发性有机物专项治理工作中排放建议值的通知》（豫环攻坚办</w:t>
            </w:r>
            <w:r w:rsidRPr="00FC1E23">
              <w:rPr>
                <w:rFonts w:asciiTheme="minorHAnsi" w:hAnsiTheme="minorHAnsi"/>
                <w:szCs w:val="21"/>
              </w:rPr>
              <w:t>[2017]162</w:t>
            </w:r>
            <w:r w:rsidRPr="00FC1E23">
              <w:rPr>
                <w:rFonts w:asciiTheme="minorHAnsi" w:hAnsiTheme="minorHAnsi"/>
                <w:szCs w:val="21"/>
              </w:rPr>
              <w:t>号）</w:t>
            </w:r>
          </w:p>
        </w:tc>
        <w:tc>
          <w:tcPr>
            <w:tcW w:w="824" w:type="pct"/>
            <w:vMerge w:val="restart"/>
            <w:vAlign w:val="center"/>
          </w:tcPr>
          <w:p w14:paraId="37FE22A6"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非甲烷总烃</w:t>
            </w:r>
          </w:p>
        </w:tc>
        <w:tc>
          <w:tcPr>
            <w:tcW w:w="1712" w:type="pct"/>
            <w:tcBorders>
              <w:right w:val="single" w:sz="12" w:space="0" w:color="auto"/>
            </w:tcBorders>
            <w:vAlign w:val="center"/>
          </w:tcPr>
          <w:p w14:paraId="2B8404DC" w14:textId="77777777" w:rsidR="00D423C2" w:rsidRPr="00FC1E23" w:rsidRDefault="00D423C2" w:rsidP="00FC1E23">
            <w:pPr>
              <w:spacing w:line="240" w:lineRule="atLeast"/>
              <w:jc w:val="center"/>
              <w:rPr>
                <w:rFonts w:asciiTheme="minorHAnsi" w:hAnsiTheme="minorHAnsi"/>
                <w:szCs w:val="21"/>
              </w:rPr>
            </w:pPr>
            <w:r w:rsidRPr="00FC1E23">
              <w:rPr>
                <w:rFonts w:asciiTheme="minorHAnsi" w:hAnsiTheme="minorHAnsi"/>
                <w:szCs w:val="21"/>
              </w:rPr>
              <w:t>建议排放浓度</w:t>
            </w:r>
            <w:r w:rsidR="00FC1E23" w:rsidRPr="00FC1E23">
              <w:rPr>
                <w:rFonts w:asciiTheme="minorHAnsi" w:hAnsiTheme="minorHAnsi"/>
                <w:szCs w:val="21"/>
              </w:rPr>
              <w:t>80</w:t>
            </w:r>
            <w:r w:rsidRPr="00FC1E23">
              <w:rPr>
                <w:rFonts w:asciiTheme="minorHAnsi" w:hAnsiTheme="minorHAnsi"/>
                <w:szCs w:val="21"/>
              </w:rPr>
              <w:t>mg/m</w:t>
            </w:r>
            <w:r w:rsidRPr="00FC1E23">
              <w:rPr>
                <w:rFonts w:asciiTheme="minorHAnsi" w:hAnsiTheme="minorHAnsi"/>
                <w:szCs w:val="21"/>
                <w:vertAlign w:val="superscript"/>
              </w:rPr>
              <w:t>3</w:t>
            </w:r>
          </w:p>
        </w:tc>
      </w:tr>
      <w:tr w:rsidR="00D423C2" w:rsidRPr="00FC1E23" w14:paraId="5937ECC8" w14:textId="77777777" w:rsidTr="00FC1E23">
        <w:trPr>
          <w:trHeight w:val="340"/>
          <w:jc w:val="center"/>
        </w:trPr>
        <w:tc>
          <w:tcPr>
            <w:tcW w:w="494" w:type="pct"/>
            <w:vMerge/>
            <w:tcBorders>
              <w:left w:val="single" w:sz="12" w:space="0" w:color="auto"/>
            </w:tcBorders>
            <w:shd w:val="clear" w:color="auto" w:fill="auto"/>
            <w:vAlign w:val="center"/>
          </w:tcPr>
          <w:p w14:paraId="63E64D3A"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152D9EF7" w14:textId="77777777" w:rsidR="00D423C2" w:rsidRPr="00FC1E23" w:rsidRDefault="00D423C2" w:rsidP="00CE7021">
            <w:pPr>
              <w:spacing w:line="240" w:lineRule="atLeast"/>
              <w:jc w:val="center"/>
              <w:rPr>
                <w:rFonts w:asciiTheme="minorHAnsi" w:hAnsiTheme="minorHAnsi"/>
                <w:szCs w:val="21"/>
              </w:rPr>
            </w:pPr>
          </w:p>
        </w:tc>
        <w:tc>
          <w:tcPr>
            <w:tcW w:w="824" w:type="pct"/>
            <w:vMerge/>
            <w:vAlign w:val="center"/>
          </w:tcPr>
          <w:p w14:paraId="12381BA3" w14:textId="77777777" w:rsidR="00D423C2" w:rsidRPr="00FC1E23" w:rsidRDefault="00D423C2" w:rsidP="00CE7021">
            <w:pPr>
              <w:spacing w:line="240" w:lineRule="atLeast"/>
              <w:jc w:val="center"/>
              <w:rPr>
                <w:rFonts w:asciiTheme="minorHAnsi" w:hAnsiTheme="minorHAnsi"/>
                <w:szCs w:val="21"/>
              </w:rPr>
            </w:pPr>
          </w:p>
        </w:tc>
        <w:tc>
          <w:tcPr>
            <w:tcW w:w="1712" w:type="pct"/>
            <w:tcBorders>
              <w:right w:val="single" w:sz="12" w:space="0" w:color="auto"/>
            </w:tcBorders>
            <w:vAlign w:val="center"/>
          </w:tcPr>
          <w:p w14:paraId="0D88EEA5"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企业边界浓度限值</w:t>
            </w:r>
            <w:r w:rsidRPr="00FC1E23">
              <w:rPr>
                <w:rFonts w:asciiTheme="minorHAnsi" w:hAnsiTheme="minorHAnsi"/>
                <w:szCs w:val="21"/>
              </w:rPr>
              <w:t>2.0mg/m</w:t>
            </w:r>
            <w:r w:rsidRPr="00FC1E23">
              <w:rPr>
                <w:rFonts w:asciiTheme="minorHAnsi" w:hAnsiTheme="minorHAnsi"/>
                <w:szCs w:val="21"/>
                <w:vertAlign w:val="superscript"/>
              </w:rPr>
              <w:t>3</w:t>
            </w:r>
          </w:p>
        </w:tc>
      </w:tr>
      <w:tr w:rsidR="00A73882" w:rsidRPr="00FC1E23" w14:paraId="18C4BE5F" w14:textId="77777777" w:rsidTr="00FC1E23">
        <w:trPr>
          <w:trHeight w:val="340"/>
          <w:jc w:val="center"/>
        </w:trPr>
        <w:tc>
          <w:tcPr>
            <w:tcW w:w="494" w:type="pct"/>
            <w:vMerge/>
            <w:tcBorders>
              <w:left w:val="single" w:sz="12" w:space="0" w:color="auto"/>
            </w:tcBorders>
            <w:shd w:val="clear" w:color="auto" w:fill="auto"/>
            <w:vAlign w:val="center"/>
          </w:tcPr>
          <w:p w14:paraId="5183A160" w14:textId="77777777" w:rsidR="00A73882" w:rsidRPr="00FC1E23" w:rsidRDefault="00A73882" w:rsidP="00A73882">
            <w:pPr>
              <w:spacing w:line="240" w:lineRule="atLeast"/>
              <w:jc w:val="center"/>
              <w:rPr>
                <w:rFonts w:asciiTheme="minorHAnsi" w:hAnsiTheme="minorHAnsi"/>
                <w:szCs w:val="21"/>
              </w:rPr>
            </w:pPr>
          </w:p>
        </w:tc>
        <w:tc>
          <w:tcPr>
            <w:tcW w:w="1970" w:type="pct"/>
            <w:gridSpan w:val="3"/>
            <w:vMerge w:val="restart"/>
            <w:vAlign w:val="center"/>
          </w:tcPr>
          <w:p w14:paraId="41D2CF38" w14:textId="77777777" w:rsidR="00A73882" w:rsidRPr="00FC1E23" w:rsidRDefault="00A73882" w:rsidP="00A73882">
            <w:pPr>
              <w:spacing w:line="240" w:lineRule="atLeast"/>
              <w:jc w:val="center"/>
              <w:rPr>
                <w:rFonts w:asciiTheme="minorHAnsi" w:hAnsiTheme="minorHAnsi"/>
                <w:szCs w:val="21"/>
              </w:rPr>
            </w:pPr>
            <w:r w:rsidRPr="00A73882">
              <w:rPr>
                <w:rFonts w:asciiTheme="minorHAnsi" w:hAnsiTheme="minorHAnsi" w:hint="eastAsia"/>
                <w:szCs w:val="21"/>
              </w:rPr>
              <w:t>《</w:t>
            </w:r>
            <w:r w:rsidR="008822BC" w:rsidRPr="008822BC">
              <w:rPr>
                <w:rFonts w:asciiTheme="minorHAnsi" w:hAnsiTheme="minorHAnsi" w:hint="eastAsia"/>
                <w:szCs w:val="21"/>
              </w:rPr>
              <w:t>平顶山市</w:t>
            </w:r>
            <w:r w:rsidR="008822BC" w:rsidRPr="008822BC">
              <w:rPr>
                <w:rFonts w:asciiTheme="minorHAnsi" w:hAnsiTheme="minorHAnsi" w:hint="eastAsia"/>
                <w:szCs w:val="21"/>
              </w:rPr>
              <w:t>2021</w:t>
            </w:r>
            <w:r w:rsidR="008822BC" w:rsidRPr="008822BC">
              <w:rPr>
                <w:rFonts w:asciiTheme="minorHAnsi" w:hAnsiTheme="minorHAnsi" w:hint="eastAsia"/>
                <w:szCs w:val="21"/>
              </w:rPr>
              <w:t>年重污染天气通用行业应急减排措施制定技术指南（试行）</w:t>
            </w:r>
            <w:r w:rsidRPr="00A73882">
              <w:rPr>
                <w:rFonts w:asciiTheme="minorHAnsi" w:hAnsiTheme="minorHAnsi" w:hint="eastAsia"/>
                <w:szCs w:val="21"/>
              </w:rPr>
              <w:t>》中</w:t>
            </w:r>
            <w:r w:rsidRPr="00A73882">
              <w:rPr>
                <w:rFonts w:asciiTheme="minorHAnsi" w:hAnsiTheme="minorHAnsi" w:hint="eastAsia"/>
                <w:szCs w:val="21"/>
              </w:rPr>
              <w:t xml:space="preserve"> </w:t>
            </w:r>
            <w:r w:rsidRPr="00A73882">
              <w:rPr>
                <w:rFonts w:asciiTheme="minorHAnsi" w:hAnsiTheme="minorHAnsi" w:hint="eastAsia"/>
                <w:szCs w:val="21"/>
              </w:rPr>
              <w:t>“绩效</w:t>
            </w:r>
            <w:r w:rsidRPr="00A73882">
              <w:rPr>
                <w:rFonts w:asciiTheme="minorHAnsi" w:hAnsiTheme="minorHAnsi" w:hint="eastAsia"/>
                <w:szCs w:val="21"/>
              </w:rPr>
              <w:t>B</w:t>
            </w:r>
            <w:r w:rsidRPr="00A73882">
              <w:rPr>
                <w:rFonts w:asciiTheme="minorHAnsi" w:hAnsiTheme="minorHAnsi"/>
                <w:szCs w:val="21"/>
              </w:rPr>
              <w:t>级</w:t>
            </w:r>
            <w:r w:rsidRPr="00A73882">
              <w:rPr>
                <w:rFonts w:asciiTheme="minorHAnsi" w:hAnsiTheme="minorHAnsi" w:hint="eastAsia"/>
                <w:szCs w:val="21"/>
              </w:rPr>
              <w:t>”企业</w:t>
            </w:r>
            <w:r w:rsidRPr="00A73882">
              <w:rPr>
                <w:rFonts w:asciiTheme="minorHAnsi" w:hAnsiTheme="minorHAnsi"/>
                <w:szCs w:val="21"/>
              </w:rPr>
              <w:t>管控要求</w:t>
            </w:r>
          </w:p>
        </w:tc>
        <w:tc>
          <w:tcPr>
            <w:tcW w:w="824" w:type="pct"/>
            <w:vAlign w:val="center"/>
          </w:tcPr>
          <w:p w14:paraId="4F646E09" w14:textId="77777777" w:rsidR="00A73882" w:rsidRPr="005D3E4A" w:rsidRDefault="00A73882" w:rsidP="00A73882">
            <w:pPr>
              <w:spacing w:line="240" w:lineRule="atLeast"/>
              <w:jc w:val="center"/>
              <w:rPr>
                <w:szCs w:val="21"/>
              </w:rPr>
            </w:pPr>
            <w:r w:rsidRPr="005D3E4A">
              <w:rPr>
                <w:rFonts w:hint="eastAsia"/>
                <w:szCs w:val="21"/>
              </w:rPr>
              <w:t>颗粒物</w:t>
            </w:r>
          </w:p>
        </w:tc>
        <w:tc>
          <w:tcPr>
            <w:tcW w:w="1712" w:type="pct"/>
            <w:tcBorders>
              <w:right w:val="single" w:sz="12" w:space="0" w:color="auto"/>
            </w:tcBorders>
            <w:vAlign w:val="center"/>
          </w:tcPr>
          <w:p w14:paraId="5ADE2F2D" w14:textId="77777777" w:rsidR="00A73882" w:rsidRPr="00A73882" w:rsidRDefault="00A73882" w:rsidP="00A73882">
            <w:pPr>
              <w:spacing w:line="240" w:lineRule="atLeast"/>
              <w:jc w:val="center"/>
              <w:rPr>
                <w:rFonts w:asciiTheme="minorHAnsi" w:hAnsiTheme="minorHAnsi"/>
                <w:szCs w:val="21"/>
              </w:rPr>
            </w:pPr>
            <w:r w:rsidRPr="00A73882">
              <w:rPr>
                <w:rFonts w:asciiTheme="minorHAnsi" w:hAnsiTheme="minorHAnsi"/>
                <w:szCs w:val="21"/>
              </w:rPr>
              <w:t>有组织排放限值</w:t>
            </w:r>
            <w:r w:rsidRPr="00A73882">
              <w:rPr>
                <w:rFonts w:asciiTheme="minorHAnsi" w:hAnsiTheme="minorHAnsi"/>
                <w:szCs w:val="21"/>
              </w:rPr>
              <w:t>10mg/m</w:t>
            </w:r>
            <w:r w:rsidRPr="00A73882">
              <w:rPr>
                <w:rFonts w:asciiTheme="minorHAnsi" w:hAnsiTheme="minorHAnsi"/>
                <w:szCs w:val="21"/>
                <w:vertAlign w:val="superscript"/>
              </w:rPr>
              <w:t>3</w:t>
            </w:r>
          </w:p>
        </w:tc>
      </w:tr>
      <w:tr w:rsidR="00A73882" w:rsidRPr="00FC1E23" w14:paraId="2A08987E" w14:textId="77777777" w:rsidTr="00FC1E23">
        <w:trPr>
          <w:trHeight w:val="340"/>
          <w:jc w:val="center"/>
        </w:trPr>
        <w:tc>
          <w:tcPr>
            <w:tcW w:w="494" w:type="pct"/>
            <w:vMerge/>
            <w:tcBorders>
              <w:left w:val="single" w:sz="12" w:space="0" w:color="auto"/>
            </w:tcBorders>
            <w:shd w:val="clear" w:color="auto" w:fill="auto"/>
            <w:vAlign w:val="center"/>
          </w:tcPr>
          <w:p w14:paraId="4EC80100" w14:textId="77777777" w:rsidR="00A73882" w:rsidRPr="00FC1E23" w:rsidRDefault="00A73882" w:rsidP="00A73882">
            <w:pPr>
              <w:spacing w:line="240" w:lineRule="atLeast"/>
              <w:jc w:val="center"/>
              <w:rPr>
                <w:rFonts w:asciiTheme="minorHAnsi" w:hAnsiTheme="minorHAnsi"/>
                <w:szCs w:val="21"/>
              </w:rPr>
            </w:pPr>
          </w:p>
        </w:tc>
        <w:tc>
          <w:tcPr>
            <w:tcW w:w="1970" w:type="pct"/>
            <w:gridSpan w:val="3"/>
            <w:vMerge/>
            <w:vAlign w:val="center"/>
          </w:tcPr>
          <w:p w14:paraId="69DB4992" w14:textId="77777777" w:rsidR="00A73882" w:rsidRPr="00FC1E23" w:rsidRDefault="00A73882" w:rsidP="00A73882">
            <w:pPr>
              <w:spacing w:line="240" w:lineRule="atLeast"/>
              <w:jc w:val="center"/>
              <w:rPr>
                <w:rFonts w:asciiTheme="minorHAnsi" w:hAnsiTheme="minorHAnsi"/>
                <w:szCs w:val="21"/>
              </w:rPr>
            </w:pPr>
          </w:p>
        </w:tc>
        <w:tc>
          <w:tcPr>
            <w:tcW w:w="824" w:type="pct"/>
            <w:vAlign w:val="center"/>
          </w:tcPr>
          <w:p w14:paraId="1CA24773" w14:textId="77777777" w:rsidR="00A73882" w:rsidRPr="005D3E4A" w:rsidRDefault="00A73882" w:rsidP="00A73882">
            <w:pPr>
              <w:spacing w:line="240" w:lineRule="atLeast"/>
              <w:jc w:val="center"/>
              <w:rPr>
                <w:szCs w:val="21"/>
              </w:rPr>
            </w:pPr>
            <w:r w:rsidRPr="005D3E4A">
              <w:rPr>
                <w:rFonts w:hint="eastAsia"/>
                <w:szCs w:val="21"/>
              </w:rPr>
              <w:t>非甲烷总烃</w:t>
            </w:r>
          </w:p>
        </w:tc>
        <w:tc>
          <w:tcPr>
            <w:tcW w:w="1712" w:type="pct"/>
            <w:tcBorders>
              <w:right w:val="single" w:sz="12" w:space="0" w:color="auto"/>
            </w:tcBorders>
            <w:vAlign w:val="center"/>
          </w:tcPr>
          <w:p w14:paraId="189BBF5A" w14:textId="77777777" w:rsidR="00A73882" w:rsidRPr="00A73882" w:rsidRDefault="00A73882" w:rsidP="00A73882">
            <w:pPr>
              <w:spacing w:line="240" w:lineRule="atLeast"/>
              <w:jc w:val="center"/>
              <w:rPr>
                <w:rFonts w:asciiTheme="minorHAnsi" w:hAnsiTheme="minorHAnsi"/>
                <w:szCs w:val="21"/>
              </w:rPr>
            </w:pPr>
            <w:r w:rsidRPr="00A73882">
              <w:rPr>
                <w:rFonts w:asciiTheme="minorHAnsi" w:hAnsiTheme="minorHAnsi"/>
                <w:szCs w:val="21"/>
              </w:rPr>
              <w:t>有组织排放限值</w:t>
            </w:r>
            <w:r w:rsidRPr="00A73882">
              <w:rPr>
                <w:rFonts w:asciiTheme="minorHAnsi" w:hAnsiTheme="minorHAnsi"/>
                <w:szCs w:val="21"/>
              </w:rPr>
              <w:t>40mg/m</w:t>
            </w:r>
            <w:r w:rsidRPr="00A73882">
              <w:rPr>
                <w:rFonts w:asciiTheme="minorHAnsi" w:hAnsiTheme="minorHAnsi"/>
                <w:szCs w:val="21"/>
                <w:vertAlign w:val="superscript"/>
              </w:rPr>
              <w:t>3</w:t>
            </w:r>
          </w:p>
        </w:tc>
      </w:tr>
      <w:tr w:rsidR="00EC15C4" w:rsidRPr="00FC1E23" w14:paraId="5BA51318" w14:textId="77777777" w:rsidTr="00FC1E23">
        <w:trPr>
          <w:trHeight w:val="340"/>
          <w:jc w:val="center"/>
        </w:trPr>
        <w:tc>
          <w:tcPr>
            <w:tcW w:w="494" w:type="pct"/>
            <w:vMerge/>
            <w:tcBorders>
              <w:left w:val="single" w:sz="12" w:space="0" w:color="auto"/>
            </w:tcBorders>
            <w:shd w:val="clear" w:color="auto" w:fill="auto"/>
            <w:vAlign w:val="center"/>
          </w:tcPr>
          <w:p w14:paraId="26CEE77A" w14:textId="77777777" w:rsidR="00EC15C4" w:rsidRPr="00FC1E23" w:rsidRDefault="00EC15C4" w:rsidP="00CE7021">
            <w:pPr>
              <w:spacing w:line="240" w:lineRule="atLeast"/>
              <w:jc w:val="center"/>
              <w:rPr>
                <w:rFonts w:asciiTheme="minorHAnsi" w:hAnsiTheme="minorHAnsi"/>
                <w:szCs w:val="21"/>
              </w:rPr>
            </w:pPr>
          </w:p>
        </w:tc>
        <w:tc>
          <w:tcPr>
            <w:tcW w:w="1970" w:type="pct"/>
            <w:gridSpan w:val="3"/>
            <w:vMerge w:val="restart"/>
            <w:vAlign w:val="center"/>
          </w:tcPr>
          <w:p w14:paraId="6A92F4A8" w14:textId="77777777" w:rsidR="00EC15C4" w:rsidRPr="000E5BC2" w:rsidRDefault="004765E1" w:rsidP="00CE7021">
            <w:pPr>
              <w:spacing w:line="240" w:lineRule="atLeast"/>
              <w:jc w:val="center"/>
              <w:rPr>
                <w:rFonts w:asciiTheme="minorHAnsi" w:hAnsiTheme="minorHAnsi"/>
                <w:b/>
                <w:bCs/>
                <w:szCs w:val="21"/>
                <w:u w:val="single"/>
              </w:rPr>
            </w:pPr>
            <w:r w:rsidRPr="000E5BC2">
              <w:rPr>
                <w:rFonts w:asciiTheme="minorHAnsi" w:hAnsiTheme="minorHAnsi" w:hint="eastAsia"/>
                <w:b/>
                <w:bCs/>
                <w:szCs w:val="21"/>
                <w:u w:val="single"/>
              </w:rPr>
              <w:t>上海《大气污染物综合排放标准》（</w:t>
            </w:r>
            <w:r w:rsidRPr="000E5BC2">
              <w:rPr>
                <w:rFonts w:asciiTheme="minorHAnsi" w:hAnsiTheme="minorHAnsi" w:hint="eastAsia"/>
                <w:b/>
                <w:bCs/>
                <w:szCs w:val="21"/>
                <w:u w:val="single"/>
              </w:rPr>
              <w:t>DB31/933-2015</w:t>
            </w:r>
            <w:r w:rsidRPr="000E5BC2">
              <w:rPr>
                <w:rFonts w:asciiTheme="minorHAnsi" w:hAnsiTheme="minorHAnsi" w:hint="eastAsia"/>
                <w:b/>
                <w:bCs/>
                <w:szCs w:val="21"/>
                <w:u w:val="single"/>
              </w:rPr>
              <w:t>）</w:t>
            </w:r>
          </w:p>
        </w:tc>
        <w:tc>
          <w:tcPr>
            <w:tcW w:w="824" w:type="pct"/>
            <w:vAlign w:val="center"/>
          </w:tcPr>
          <w:p w14:paraId="22C0B9DC" w14:textId="77777777" w:rsidR="00EC15C4" w:rsidRPr="000E5BC2" w:rsidRDefault="00EC15C4" w:rsidP="00CE7021">
            <w:pPr>
              <w:spacing w:line="240" w:lineRule="atLeast"/>
              <w:jc w:val="center"/>
              <w:rPr>
                <w:rFonts w:asciiTheme="minorHAnsi" w:hAnsiTheme="minorHAnsi"/>
                <w:b/>
                <w:szCs w:val="21"/>
                <w:u w:val="single"/>
              </w:rPr>
            </w:pPr>
            <w:r w:rsidRPr="000E5BC2">
              <w:rPr>
                <w:rFonts w:asciiTheme="minorHAnsi" w:hAnsiTheme="minorHAnsi"/>
                <w:b/>
                <w:szCs w:val="21"/>
                <w:u w:val="single"/>
              </w:rPr>
              <w:t>己二胺</w:t>
            </w:r>
          </w:p>
        </w:tc>
        <w:tc>
          <w:tcPr>
            <w:tcW w:w="1712" w:type="pct"/>
            <w:tcBorders>
              <w:right w:val="single" w:sz="12" w:space="0" w:color="auto"/>
            </w:tcBorders>
            <w:vAlign w:val="center"/>
          </w:tcPr>
          <w:p w14:paraId="56A6E4D1" w14:textId="77777777" w:rsidR="00EC15C4" w:rsidRPr="000E5BC2" w:rsidRDefault="00EC15C4" w:rsidP="004765E1">
            <w:pPr>
              <w:spacing w:line="240" w:lineRule="atLeast"/>
              <w:jc w:val="center"/>
              <w:rPr>
                <w:rFonts w:asciiTheme="minorHAnsi" w:hAnsiTheme="minorHAnsi"/>
                <w:b/>
                <w:szCs w:val="21"/>
                <w:u w:val="single"/>
              </w:rPr>
            </w:pPr>
            <w:r w:rsidRPr="000E5BC2">
              <w:rPr>
                <w:rFonts w:asciiTheme="minorHAnsi" w:hAnsiTheme="minorHAnsi"/>
                <w:b/>
                <w:szCs w:val="21"/>
                <w:u w:val="single"/>
              </w:rPr>
              <w:t>最高允许排放浓度</w:t>
            </w:r>
            <w:r w:rsidR="004765E1" w:rsidRPr="000E5BC2">
              <w:rPr>
                <w:rFonts w:asciiTheme="minorHAnsi" w:hAnsiTheme="minorHAnsi"/>
                <w:b/>
                <w:szCs w:val="21"/>
                <w:u w:val="single"/>
              </w:rPr>
              <w:t>80</w:t>
            </w:r>
            <w:r w:rsidRPr="000E5BC2">
              <w:rPr>
                <w:rFonts w:asciiTheme="minorHAnsi" w:hAnsiTheme="minorHAnsi"/>
                <w:b/>
                <w:szCs w:val="21"/>
                <w:u w:val="single"/>
              </w:rPr>
              <w:t>mg/m</w:t>
            </w:r>
            <w:r w:rsidRPr="000E5BC2">
              <w:rPr>
                <w:rFonts w:asciiTheme="minorHAnsi" w:hAnsiTheme="minorHAnsi"/>
                <w:b/>
                <w:szCs w:val="21"/>
                <w:u w:val="single"/>
                <w:vertAlign w:val="superscript"/>
              </w:rPr>
              <w:t>3</w:t>
            </w:r>
          </w:p>
        </w:tc>
      </w:tr>
      <w:tr w:rsidR="0092085C" w:rsidRPr="00FC1E23" w14:paraId="73381B51" w14:textId="77777777" w:rsidTr="00FC1E23">
        <w:trPr>
          <w:trHeight w:val="340"/>
          <w:jc w:val="center"/>
        </w:trPr>
        <w:tc>
          <w:tcPr>
            <w:tcW w:w="494" w:type="pct"/>
            <w:vMerge/>
            <w:tcBorders>
              <w:left w:val="single" w:sz="12" w:space="0" w:color="auto"/>
            </w:tcBorders>
            <w:shd w:val="clear" w:color="auto" w:fill="auto"/>
            <w:vAlign w:val="center"/>
          </w:tcPr>
          <w:p w14:paraId="66DA7282" w14:textId="77777777" w:rsidR="0092085C" w:rsidRPr="00FC1E23" w:rsidRDefault="0092085C" w:rsidP="00CE7021">
            <w:pPr>
              <w:spacing w:line="240" w:lineRule="atLeast"/>
              <w:jc w:val="center"/>
              <w:rPr>
                <w:rFonts w:asciiTheme="minorHAnsi" w:hAnsiTheme="minorHAnsi"/>
                <w:szCs w:val="21"/>
              </w:rPr>
            </w:pPr>
          </w:p>
        </w:tc>
        <w:tc>
          <w:tcPr>
            <w:tcW w:w="1970" w:type="pct"/>
            <w:gridSpan w:val="3"/>
            <w:vMerge/>
            <w:vAlign w:val="center"/>
          </w:tcPr>
          <w:p w14:paraId="6567C98E" w14:textId="77777777" w:rsidR="0092085C" w:rsidRPr="000E5BC2" w:rsidRDefault="0092085C" w:rsidP="00CE7021">
            <w:pPr>
              <w:spacing w:line="240" w:lineRule="atLeast"/>
              <w:jc w:val="center"/>
              <w:rPr>
                <w:rFonts w:asciiTheme="minorHAnsi" w:hAnsiTheme="minorHAnsi"/>
                <w:b/>
                <w:bCs/>
                <w:szCs w:val="21"/>
                <w:u w:val="single"/>
              </w:rPr>
            </w:pPr>
          </w:p>
        </w:tc>
        <w:tc>
          <w:tcPr>
            <w:tcW w:w="824" w:type="pct"/>
            <w:vAlign w:val="center"/>
          </w:tcPr>
          <w:p w14:paraId="59AC2EBE" w14:textId="77777777" w:rsidR="0092085C" w:rsidRPr="000E5BC2" w:rsidRDefault="0092085C" w:rsidP="00CE7021">
            <w:pPr>
              <w:spacing w:line="240" w:lineRule="atLeast"/>
              <w:jc w:val="center"/>
              <w:rPr>
                <w:rFonts w:asciiTheme="minorHAnsi" w:hAnsiTheme="minorHAnsi"/>
                <w:b/>
                <w:szCs w:val="21"/>
                <w:u w:val="single"/>
              </w:rPr>
            </w:pPr>
            <w:r w:rsidRPr="000E5BC2">
              <w:rPr>
                <w:rFonts w:asciiTheme="minorHAnsi" w:hAnsiTheme="minorHAnsi" w:hint="eastAsia"/>
                <w:b/>
                <w:szCs w:val="21"/>
                <w:u w:val="single"/>
              </w:rPr>
              <w:t>己二酸</w:t>
            </w:r>
          </w:p>
        </w:tc>
        <w:tc>
          <w:tcPr>
            <w:tcW w:w="1712" w:type="pct"/>
            <w:tcBorders>
              <w:right w:val="single" w:sz="12" w:space="0" w:color="auto"/>
            </w:tcBorders>
            <w:vAlign w:val="center"/>
          </w:tcPr>
          <w:p w14:paraId="3D8A06EA" w14:textId="77777777" w:rsidR="0092085C" w:rsidRPr="000E5BC2" w:rsidRDefault="0092085C" w:rsidP="004765E1">
            <w:pPr>
              <w:spacing w:line="240" w:lineRule="atLeast"/>
              <w:jc w:val="center"/>
              <w:rPr>
                <w:rFonts w:asciiTheme="minorHAnsi" w:hAnsiTheme="minorHAnsi"/>
                <w:b/>
                <w:szCs w:val="21"/>
                <w:u w:val="single"/>
              </w:rPr>
            </w:pPr>
            <w:r w:rsidRPr="000E5BC2">
              <w:rPr>
                <w:rFonts w:asciiTheme="minorHAnsi" w:hAnsiTheme="minorHAnsi"/>
                <w:b/>
                <w:szCs w:val="21"/>
                <w:u w:val="single"/>
              </w:rPr>
              <w:t>最高允许排放浓度</w:t>
            </w:r>
            <w:r w:rsidR="004765E1" w:rsidRPr="000E5BC2">
              <w:rPr>
                <w:rFonts w:asciiTheme="minorHAnsi" w:hAnsiTheme="minorHAnsi"/>
                <w:b/>
                <w:szCs w:val="21"/>
                <w:u w:val="single"/>
              </w:rPr>
              <w:t>80</w:t>
            </w:r>
            <w:r w:rsidRPr="000E5BC2">
              <w:rPr>
                <w:rFonts w:asciiTheme="minorHAnsi" w:hAnsiTheme="minorHAnsi"/>
                <w:b/>
                <w:szCs w:val="21"/>
                <w:u w:val="single"/>
              </w:rPr>
              <w:t>mg/m</w:t>
            </w:r>
            <w:r w:rsidRPr="000E5BC2">
              <w:rPr>
                <w:rFonts w:asciiTheme="minorHAnsi" w:hAnsiTheme="minorHAnsi"/>
                <w:b/>
                <w:szCs w:val="21"/>
                <w:u w:val="single"/>
                <w:vertAlign w:val="superscript"/>
              </w:rPr>
              <w:t>3</w:t>
            </w:r>
          </w:p>
        </w:tc>
      </w:tr>
      <w:tr w:rsidR="00D423C2" w:rsidRPr="00FC1E23" w14:paraId="0F834218" w14:textId="77777777" w:rsidTr="00FC1E23">
        <w:trPr>
          <w:trHeight w:val="340"/>
          <w:jc w:val="center"/>
        </w:trPr>
        <w:tc>
          <w:tcPr>
            <w:tcW w:w="494" w:type="pct"/>
            <w:vMerge/>
            <w:tcBorders>
              <w:left w:val="single" w:sz="12" w:space="0" w:color="auto"/>
            </w:tcBorders>
            <w:shd w:val="clear" w:color="auto" w:fill="auto"/>
            <w:vAlign w:val="center"/>
          </w:tcPr>
          <w:p w14:paraId="4A7CEA3C"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restart"/>
            <w:vAlign w:val="center"/>
          </w:tcPr>
          <w:p w14:paraId="3532EAB8"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河南省地方标准《锅炉大气污染物排放标准》（</w:t>
            </w:r>
            <w:r w:rsidRPr="00FC1E23">
              <w:rPr>
                <w:rFonts w:asciiTheme="minorHAnsi" w:hAnsiTheme="minorHAnsi"/>
                <w:szCs w:val="21"/>
              </w:rPr>
              <w:t>DB41/2089-2021</w:t>
            </w:r>
            <w:r w:rsidRPr="00FC1E23">
              <w:rPr>
                <w:rFonts w:asciiTheme="minorHAnsi" w:hAnsiTheme="minorHAnsi"/>
                <w:szCs w:val="21"/>
              </w:rPr>
              <w:t>）表</w:t>
            </w:r>
            <w:r w:rsidRPr="00FC1E23">
              <w:rPr>
                <w:rFonts w:asciiTheme="minorHAnsi" w:hAnsiTheme="minorHAnsi"/>
                <w:szCs w:val="21"/>
              </w:rPr>
              <w:t>1</w:t>
            </w:r>
            <w:r w:rsidRPr="00FC1E23">
              <w:rPr>
                <w:rFonts w:asciiTheme="minorHAnsi" w:hAnsiTheme="minorHAnsi"/>
                <w:szCs w:val="21"/>
              </w:rPr>
              <w:t>中标准</w:t>
            </w:r>
          </w:p>
        </w:tc>
        <w:tc>
          <w:tcPr>
            <w:tcW w:w="824" w:type="pct"/>
            <w:vAlign w:val="center"/>
          </w:tcPr>
          <w:p w14:paraId="7D637666"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颗粒物</w:t>
            </w:r>
          </w:p>
        </w:tc>
        <w:tc>
          <w:tcPr>
            <w:tcW w:w="1712" w:type="pct"/>
            <w:tcBorders>
              <w:right w:val="single" w:sz="12" w:space="0" w:color="auto"/>
            </w:tcBorders>
            <w:vAlign w:val="center"/>
          </w:tcPr>
          <w:p w14:paraId="6BC213EC"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5mg/m</w:t>
            </w:r>
            <w:r w:rsidRPr="00FC1E23">
              <w:rPr>
                <w:rFonts w:asciiTheme="minorHAnsi" w:hAnsiTheme="minorHAnsi"/>
                <w:szCs w:val="21"/>
                <w:vertAlign w:val="superscript"/>
              </w:rPr>
              <w:t>3</w:t>
            </w:r>
          </w:p>
        </w:tc>
      </w:tr>
      <w:tr w:rsidR="00D423C2" w:rsidRPr="00FC1E23" w14:paraId="3315F01E" w14:textId="77777777" w:rsidTr="00FC1E23">
        <w:trPr>
          <w:trHeight w:val="340"/>
          <w:jc w:val="center"/>
        </w:trPr>
        <w:tc>
          <w:tcPr>
            <w:tcW w:w="494" w:type="pct"/>
            <w:vMerge/>
            <w:tcBorders>
              <w:left w:val="single" w:sz="12" w:space="0" w:color="auto"/>
            </w:tcBorders>
            <w:shd w:val="clear" w:color="auto" w:fill="auto"/>
            <w:vAlign w:val="center"/>
          </w:tcPr>
          <w:p w14:paraId="398B41D9"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2E6A0557" w14:textId="77777777" w:rsidR="00D423C2" w:rsidRPr="00FC1E23" w:rsidRDefault="00D423C2" w:rsidP="00CE7021">
            <w:pPr>
              <w:spacing w:line="240" w:lineRule="atLeast"/>
              <w:jc w:val="center"/>
              <w:rPr>
                <w:rFonts w:asciiTheme="minorHAnsi" w:hAnsiTheme="minorHAnsi"/>
                <w:szCs w:val="21"/>
              </w:rPr>
            </w:pPr>
          </w:p>
        </w:tc>
        <w:tc>
          <w:tcPr>
            <w:tcW w:w="824" w:type="pct"/>
            <w:vAlign w:val="center"/>
          </w:tcPr>
          <w:p w14:paraId="345B9679"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SO</w:t>
            </w:r>
            <w:r w:rsidRPr="00FC1E23">
              <w:rPr>
                <w:rFonts w:asciiTheme="minorHAnsi" w:hAnsiTheme="minorHAnsi"/>
                <w:szCs w:val="21"/>
                <w:vertAlign w:val="subscript"/>
              </w:rPr>
              <w:t>2</w:t>
            </w:r>
          </w:p>
        </w:tc>
        <w:tc>
          <w:tcPr>
            <w:tcW w:w="1712" w:type="pct"/>
            <w:tcBorders>
              <w:right w:val="single" w:sz="12" w:space="0" w:color="auto"/>
            </w:tcBorders>
            <w:vAlign w:val="center"/>
          </w:tcPr>
          <w:p w14:paraId="38A87ED1"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10mg/m</w:t>
            </w:r>
            <w:r w:rsidRPr="00FC1E23">
              <w:rPr>
                <w:rFonts w:asciiTheme="minorHAnsi" w:hAnsiTheme="minorHAnsi"/>
                <w:szCs w:val="21"/>
                <w:vertAlign w:val="superscript"/>
              </w:rPr>
              <w:t>3</w:t>
            </w:r>
          </w:p>
        </w:tc>
      </w:tr>
      <w:tr w:rsidR="00D423C2" w:rsidRPr="00FC1E23" w14:paraId="12ED6169" w14:textId="77777777" w:rsidTr="00FC1E23">
        <w:trPr>
          <w:trHeight w:val="340"/>
          <w:jc w:val="center"/>
        </w:trPr>
        <w:tc>
          <w:tcPr>
            <w:tcW w:w="494" w:type="pct"/>
            <w:vMerge/>
            <w:tcBorders>
              <w:left w:val="single" w:sz="12" w:space="0" w:color="auto"/>
            </w:tcBorders>
            <w:shd w:val="clear" w:color="auto" w:fill="auto"/>
            <w:vAlign w:val="center"/>
          </w:tcPr>
          <w:p w14:paraId="6BA980B8"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60BBFA2B" w14:textId="77777777" w:rsidR="00D423C2" w:rsidRPr="00FC1E23" w:rsidRDefault="00D423C2" w:rsidP="00CE7021">
            <w:pPr>
              <w:spacing w:line="240" w:lineRule="atLeast"/>
              <w:jc w:val="center"/>
              <w:rPr>
                <w:rFonts w:asciiTheme="minorHAnsi" w:hAnsiTheme="minorHAnsi"/>
                <w:szCs w:val="21"/>
              </w:rPr>
            </w:pPr>
          </w:p>
        </w:tc>
        <w:tc>
          <w:tcPr>
            <w:tcW w:w="824" w:type="pct"/>
            <w:vAlign w:val="center"/>
          </w:tcPr>
          <w:p w14:paraId="2679300B"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NOx</w:t>
            </w:r>
          </w:p>
        </w:tc>
        <w:tc>
          <w:tcPr>
            <w:tcW w:w="1712" w:type="pct"/>
            <w:tcBorders>
              <w:right w:val="single" w:sz="12" w:space="0" w:color="auto"/>
            </w:tcBorders>
            <w:vAlign w:val="center"/>
          </w:tcPr>
          <w:p w14:paraId="1234E978"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30mg/m</w:t>
            </w:r>
            <w:r w:rsidRPr="00FC1E23">
              <w:rPr>
                <w:rFonts w:asciiTheme="minorHAnsi" w:hAnsiTheme="minorHAnsi"/>
                <w:szCs w:val="21"/>
                <w:vertAlign w:val="superscript"/>
              </w:rPr>
              <w:t>3</w:t>
            </w:r>
          </w:p>
        </w:tc>
      </w:tr>
      <w:tr w:rsidR="00D423C2" w:rsidRPr="00FC1E23" w14:paraId="3A268704" w14:textId="77777777" w:rsidTr="00FC1E23">
        <w:trPr>
          <w:trHeight w:val="340"/>
          <w:jc w:val="center"/>
        </w:trPr>
        <w:tc>
          <w:tcPr>
            <w:tcW w:w="494" w:type="pct"/>
            <w:vMerge/>
            <w:tcBorders>
              <w:left w:val="single" w:sz="12" w:space="0" w:color="auto"/>
            </w:tcBorders>
            <w:shd w:val="clear" w:color="auto" w:fill="auto"/>
            <w:vAlign w:val="center"/>
          </w:tcPr>
          <w:p w14:paraId="37BEB131"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restart"/>
            <w:vAlign w:val="center"/>
          </w:tcPr>
          <w:p w14:paraId="29A0798C"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《恶臭污染物排放标准》（</w:t>
            </w:r>
            <w:r w:rsidRPr="00FC1E23">
              <w:rPr>
                <w:rFonts w:asciiTheme="minorHAnsi" w:hAnsiTheme="minorHAnsi"/>
                <w:szCs w:val="21"/>
              </w:rPr>
              <w:t>GB14554-93</w:t>
            </w:r>
            <w:r w:rsidRPr="00FC1E23">
              <w:rPr>
                <w:rFonts w:asciiTheme="minorHAnsi" w:hAnsiTheme="minorHAnsi"/>
                <w:szCs w:val="21"/>
              </w:rPr>
              <w:t>）表</w:t>
            </w:r>
            <w:r w:rsidRPr="00FC1E23">
              <w:rPr>
                <w:rFonts w:asciiTheme="minorHAnsi" w:hAnsiTheme="minorHAnsi"/>
                <w:szCs w:val="21"/>
              </w:rPr>
              <w:t>1</w:t>
            </w:r>
            <w:r w:rsidRPr="00FC1E23">
              <w:rPr>
                <w:rFonts w:asciiTheme="minorHAnsi" w:hAnsiTheme="minorHAnsi"/>
                <w:szCs w:val="21"/>
              </w:rPr>
              <w:t>、</w:t>
            </w:r>
            <w:r w:rsidRPr="00FC1E23">
              <w:rPr>
                <w:rFonts w:asciiTheme="minorHAnsi" w:hAnsiTheme="minorHAnsi"/>
                <w:szCs w:val="21"/>
              </w:rPr>
              <w:t>2</w:t>
            </w:r>
            <w:r w:rsidRPr="00FC1E23">
              <w:rPr>
                <w:rFonts w:asciiTheme="minorHAnsi" w:hAnsiTheme="minorHAnsi"/>
                <w:szCs w:val="21"/>
              </w:rPr>
              <w:t>中标准</w:t>
            </w:r>
          </w:p>
        </w:tc>
        <w:tc>
          <w:tcPr>
            <w:tcW w:w="824" w:type="pct"/>
            <w:vMerge w:val="restart"/>
            <w:vAlign w:val="center"/>
          </w:tcPr>
          <w:p w14:paraId="0C63B40C"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NH</w:t>
            </w:r>
            <w:r w:rsidRPr="00FC1E23">
              <w:rPr>
                <w:rFonts w:asciiTheme="minorHAnsi" w:hAnsiTheme="minorHAnsi"/>
                <w:szCs w:val="21"/>
                <w:vertAlign w:val="subscript"/>
              </w:rPr>
              <w:t>3</w:t>
            </w:r>
          </w:p>
        </w:tc>
        <w:tc>
          <w:tcPr>
            <w:tcW w:w="1712" w:type="pct"/>
            <w:tcBorders>
              <w:right w:val="single" w:sz="12" w:space="0" w:color="auto"/>
            </w:tcBorders>
            <w:vAlign w:val="center"/>
          </w:tcPr>
          <w:p w14:paraId="67FEEF12"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排气筒</w:t>
            </w:r>
            <w:r w:rsidRPr="00FC1E23">
              <w:rPr>
                <w:rFonts w:asciiTheme="minorHAnsi" w:hAnsiTheme="minorHAnsi"/>
                <w:szCs w:val="21"/>
              </w:rPr>
              <w:t>15m</w:t>
            </w:r>
            <w:r w:rsidRPr="00FC1E23">
              <w:rPr>
                <w:rFonts w:asciiTheme="minorHAnsi" w:hAnsiTheme="minorHAnsi"/>
                <w:szCs w:val="21"/>
              </w:rPr>
              <w:t>，</w:t>
            </w:r>
            <w:r w:rsidRPr="00FC1E23">
              <w:rPr>
                <w:rFonts w:asciiTheme="minorHAnsi" w:hAnsiTheme="minorHAnsi"/>
                <w:szCs w:val="21"/>
              </w:rPr>
              <w:t>4.9kg/h</w:t>
            </w:r>
          </w:p>
        </w:tc>
      </w:tr>
      <w:tr w:rsidR="00D423C2" w:rsidRPr="00FC1E23" w14:paraId="4DB8933E" w14:textId="77777777" w:rsidTr="00FC1E23">
        <w:trPr>
          <w:trHeight w:val="340"/>
          <w:jc w:val="center"/>
        </w:trPr>
        <w:tc>
          <w:tcPr>
            <w:tcW w:w="494" w:type="pct"/>
            <w:vMerge/>
            <w:tcBorders>
              <w:left w:val="single" w:sz="12" w:space="0" w:color="auto"/>
            </w:tcBorders>
            <w:shd w:val="clear" w:color="auto" w:fill="auto"/>
            <w:vAlign w:val="center"/>
          </w:tcPr>
          <w:p w14:paraId="7316797E"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403FDD32" w14:textId="77777777" w:rsidR="00D423C2" w:rsidRPr="00FC1E23" w:rsidRDefault="00D423C2" w:rsidP="00CE7021">
            <w:pPr>
              <w:spacing w:line="240" w:lineRule="atLeast"/>
              <w:jc w:val="center"/>
              <w:rPr>
                <w:rFonts w:asciiTheme="minorHAnsi" w:hAnsiTheme="minorHAnsi"/>
                <w:szCs w:val="21"/>
              </w:rPr>
            </w:pPr>
          </w:p>
        </w:tc>
        <w:tc>
          <w:tcPr>
            <w:tcW w:w="824" w:type="pct"/>
            <w:vMerge/>
            <w:vAlign w:val="center"/>
          </w:tcPr>
          <w:p w14:paraId="6D159BE8" w14:textId="77777777" w:rsidR="00D423C2" w:rsidRPr="00FC1E23" w:rsidRDefault="00D423C2" w:rsidP="00CE7021">
            <w:pPr>
              <w:spacing w:line="240" w:lineRule="atLeast"/>
              <w:jc w:val="center"/>
              <w:rPr>
                <w:rFonts w:asciiTheme="minorHAnsi" w:hAnsiTheme="minorHAnsi"/>
                <w:szCs w:val="21"/>
              </w:rPr>
            </w:pPr>
          </w:p>
        </w:tc>
        <w:tc>
          <w:tcPr>
            <w:tcW w:w="1712" w:type="pct"/>
            <w:tcBorders>
              <w:right w:val="single" w:sz="12" w:space="0" w:color="auto"/>
            </w:tcBorders>
            <w:vAlign w:val="center"/>
          </w:tcPr>
          <w:p w14:paraId="710AFDD4"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厂界标准值</w:t>
            </w:r>
            <w:r w:rsidRPr="00FC1E23">
              <w:rPr>
                <w:rFonts w:asciiTheme="minorHAnsi" w:hAnsiTheme="minorHAnsi"/>
                <w:szCs w:val="21"/>
              </w:rPr>
              <w:t>1.5mg/m</w:t>
            </w:r>
            <w:r w:rsidRPr="00FC1E23">
              <w:rPr>
                <w:rFonts w:asciiTheme="minorHAnsi" w:hAnsiTheme="minorHAnsi"/>
                <w:szCs w:val="21"/>
                <w:vertAlign w:val="superscript"/>
              </w:rPr>
              <w:t>3</w:t>
            </w:r>
          </w:p>
        </w:tc>
      </w:tr>
      <w:tr w:rsidR="00D423C2" w:rsidRPr="00FC1E23" w14:paraId="4A291FE6" w14:textId="77777777" w:rsidTr="00FC1E23">
        <w:trPr>
          <w:trHeight w:val="340"/>
          <w:jc w:val="center"/>
        </w:trPr>
        <w:tc>
          <w:tcPr>
            <w:tcW w:w="494" w:type="pct"/>
            <w:vMerge/>
            <w:tcBorders>
              <w:left w:val="single" w:sz="12" w:space="0" w:color="auto"/>
            </w:tcBorders>
            <w:shd w:val="clear" w:color="auto" w:fill="auto"/>
            <w:vAlign w:val="center"/>
          </w:tcPr>
          <w:p w14:paraId="3CF59AA6"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353AA613" w14:textId="77777777" w:rsidR="00D423C2" w:rsidRPr="00FC1E23" w:rsidRDefault="00D423C2" w:rsidP="00CE7021">
            <w:pPr>
              <w:spacing w:line="240" w:lineRule="atLeast"/>
              <w:jc w:val="center"/>
              <w:rPr>
                <w:rFonts w:asciiTheme="minorHAnsi" w:hAnsiTheme="minorHAnsi"/>
                <w:szCs w:val="21"/>
              </w:rPr>
            </w:pPr>
          </w:p>
        </w:tc>
        <w:tc>
          <w:tcPr>
            <w:tcW w:w="824" w:type="pct"/>
            <w:vMerge w:val="restart"/>
            <w:vAlign w:val="center"/>
          </w:tcPr>
          <w:p w14:paraId="26020397"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H</w:t>
            </w:r>
            <w:r w:rsidRPr="00FC1E23">
              <w:rPr>
                <w:rFonts w:asciiTheme="minorHAnsi" w:hAnsiTheme="minorHAnsi"/>
                <w:szCs w:val="21"/>
                <w:vertAlign w:val="subscript"/>
              </w:rPr>
              <w:t>2</w:t>
            </w:r>
            <w:r w:rsidRPr="00FC1E23">
              <w:rPr>
                <w:rFonts w:asciiTheme="minorHAnsi" w:hAnsiTheme="minorHAnsi"/>
                <w:szCs w:val="21"/>
              </w:rPr>
              <w:t>S</w:t>
            </w:r>
          </w:p>
        </w:tc>
        <w:tc>
          <w:tcPr>
            <w:tcW w:w="1712" w:type="pct"/>
            <w:tcBorders>
              <w:right w:val="single" w:sz="12" w:space="0" w:color="auto"/>
            </w:tcBorders>
            <w:vAlign w:val="center"/>
          </w:tcPr>
          <w:p w14:paraId="365085C8"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排气筒</w:t>
            </w:r>
            <w:r w:rsidRPr="00FC1E23">
              <w:rPr>
                <w:rFonts w:asciiTheme="minorHAnsi" w:hAnsiTheme="minorHAnsi"/>
                <w:szCs w:val="21"/>
              </w:rPr>
              <w:t>15m</w:t>
            </w:r>
            <w:r w:rsidRPr="00FC1E23">
              <w:rPr>
                <w:rFonts w:asciiTheme="minorHAnsi" w:hAnsiTheme="minorHAnsi"/>
                <w:szCs w:val="21"/>
              </w:rPr>
              <w:t>，</w:t>
            </w:r>
            <w:r w:rsidRPr="00FC1E23">
              <w:rPr>
                <w:rFonts w:asciiTheme="minorHAnsi" w:hAnsiTheme="minorHAnsi"/>
                <w:szCs w:val="21"/>
              </w:rPr>
              <w:t>0.33kg/h</w:t>
            </w:r>
          </w:p>
        </w:tc>
      </w:tr>
      <w:tr w:rsidR="00D423C2" w:rsidRPr="00FC1E23" w14:paraId="07A88A13" w14:textId="77777777" w:rsidTr="00FC1E23">
        <w:trPr>
          <w:trHeight w:val="340"/>
          <w:jc w:val="center"/>
        </w:trPr>
        <w:tc>
          <w:tcPr>
            <w:tcW w:w="494" w:type="pct"/>
            <w:vMerge/>
            <w:tcBorders>
              <w:left w:val="single" w:sz="12" w:space="0" w:color="auto"/>
            </w:tcBorders>
            <w:shd w:val="clear" w:color="auto" w:fill="auto"/>
            <w:vAlign w:val="center"/>
          </w:tcPr>
          <w:p w14:paraId="26B99705" w14:textId="77777777" w:rsidR="00D423C2" w:rsidRPr="00FC1E23" w:rsidRDefault="00D423C2" w:rsidP="00CE7021">
            <w:pPr>
              <w:spacing w:line="240" w:lineRule="atLeast"/>
              <w:jc w:val="center"/>
              <w:rPr>
                <w:rFonts w:asciiTheme="minorHAnsi" w:hAnsiTheme="minorHAnsi"/>
                <w:szCs w:val="21"/>
              </w:rPr>
            </w:pPr>
          </w:p>
        </w:tc>
        <w:tc>
          <w:tcPr>
            <w:tcW w:w="1970" w:type="pct"/>
            <w:gridSpan w:val="3"/>
            <w:vMerge/>
            <w:vAlign w:val="center"/>
          </w:tcPr>
          <w:p w14:paraId="38E353D6" w14:textId="77777777" w:rsidR="00D423C2" w:rsidRPr="00FC1E23" w:rsidRDefault="00D423C2" w:rsidP="00CE7021">
            <w:pPr>
              <w:spacing w:line="240" w:lineRule="atLeast"/>
              <w:jc w:val="center"/>
              <w:rPr>
                <w:rFonts w:asciiTheme="minorHAnsi" w:hAnsiTheme="minorHAnsi"/>
                <w:szCs w:val="21"/>
              </w:rPr>
            </w:pPr>
          </w:p>
        </w:tc>
        <w:tc>
          <w:tcPr>
            <w:tcW w:w="824" w:type="pct"/>
            <w:vMerge/>
            <w:vAlign w:val="center"/>
          </w:tcPr>
          <w:p w14:paraId="04141B5A" w14:textId="77777777" w:rsidR="00D423C2" w:rsidRPr="00FC1E23" w:rsidRDefault="00D423C2" w:rsidP="00CE7021">
            <w:pPr>
              <w:spacing w:line="240" w:lineRule="atLeast"/>
              <w:jc w:val="center"/>
              <w:rPr>
                <w:rFonts w:asciiTheme="minorHAnsi" w:hAnsiTheme="minorHAnsi"/>
                <w:szCs w:val="21"/>
              </w:rPr>
            </w:pPr>
          </w:p>
        </w:tc>
        <w:tc>
          <w:tcPr>
            <w:tcW w:w="1712" w:type="pct"/>
            <w:tcBorders>
              <w:right w:val="single" w:sz="12" w:space="0" w:color="auto"/>
            </w:tcBorders>
            <w:vAlign w:val="center"/>
          </w:tcPr>
          <w:p w14:paraId="126A00AC"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厂界标准值</w:t>
            </w:r>
            <w:r w:rsidRPr="00FC1E23">
              <w:rPr>
                <w:rFonts w:asciiTheme="minorHAnsi" w:hAnsiTheme="minorHAnsi"/>
                <w:szCs w:val="21"/>
              </w:rPr>
              <w:t>0.06mg/m</w:t>
            </w:r>
            <w:r w:rsidRPr="00FC1E23">
              <w:rPr>
                <w:rFonts w:asciiTheme="minorHAnsi" w:hAnsiTheme="minorHAnsi"/>
                <w:szCs w:val="21"/>
                <w:vertAlign w:val="superscript"/>
              </w:rPr>
              <w:t>3</w:t>
            </w:r>
          </w:p>
        </w:tc>
      </w:tr>
      <w:tr w:rsidR="00D423C2" w:rsidRPr="00FC1E23" w14:paraId="56FBB6C8" w14:textId="77777777" w:rsidTr="00FC1E23">
        <w:trPr>
          <w:trHeight w:val="340"/>
          <w:jc w:val="center"/>
        </w:trPr>
        <w:tc>
          <w:tcPr>
            <w:tcW w:w="494" w:type="pct"/>
            <w:vMerge/>
            <w:tcBorders>
              <w:left w:val="single" w:sz="12" w:space="0" w:color="auto"/>
            </w:tcBorders>
            <w:shd w:val="clear" w:color="auto" w:fill="auto"/>
            <w:vAlign w:val="center"/>
          </w:tcPr>
          <w:p w14:paraId="67C5A83B" w14:textId="77777777" w:rsidR="00D423C2" w:rsidRPr="00FC1E23" w:rsidRDefault="00D423C2" w:rsidP="00CE7021">
            <w:pPr>
              <w:spacing w:line="240" w:lineRule="atLeast"/>
              <w:jc w:val="center"/>
              <w:rPr>
                <w:rFonts w:asciiTheme="minorHAnsi" w:hAnsiTheme="minorHAnsi"/>
                <w:szCs w:val="21"/>
              </w:rPr>
            </w:pPr>
          </w:p>
        </w:tc>
        <w:tc>
          <w:tcPr>
            <w:tcW w:w="1970" w:type="pct"/>
            <w:gridSpan w:val="3"/>
            <w:vAlign w:val="center"/>
          </w:tcPr>
          <w:p w14:paraId="24D3DB84"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《餐饮业油烟污染物排放标准》（</w:t>
            </w:r>
            <w:r w:rsidRPr="00FC1E23">
              <w:rPr>
                <w:rFonts w:asciiTheme="minorHAnsi" w:hAnsiTheme="minorHAnsi"/>
                <w:szCs w:val="21"/>
              </w:rPr>
              <w:t>DB41/1604-2018</w:t>
            </w:r>
            <w:r w:rsidRPr="00FC1E23">
              <w:rPr>
                <w:rFonts w:asciiTheme="minorHAnsi" w:hAnsiTheme="minorHAnsi"/>
                <w:szCs w:val="21"/>
              </w:rPr>
              <w:t>）</w:t>
            </w:r>
          </w:p>
        </w:tc>
        <w:tc>
          <w:tcPr>
            <w:tcW w:w="824" w:type="pct"/>
            <w:vAlign w:val="center"/>
          </w:tcPr>
          <w:p w14:paraId="6E9928FF" w14:textId="77777777" w:rsidR="00D423C2" w:rsidRPr="00FC1E23" w:rsidRDefault="00D423C2" w:rsidP="00CE7021">
            <w:pPr>
              <w:spacing w:line="240" w:lineRule="atLeast"/>
              <w:jc w:val="center"/>
              <w:rPr>
                <w:rFonts w:asciiTheme="minorHAnsi" w:hAnsiTheme="minorHAnsi"/>
                <w:szCs w:val="21"/>
              </w:rPr>
            </w:pPr>
            <w:r w:rsidRPr="00FC1E23">
              <w:rPr>
                <w:rFonts w:asciiTheme="minorHAnsi" w:hAnsiTheme="minorHAnsi"/>
                <w:szCs w:val="21"/>
              </w:rPr>
              <w:t>食堂油烟</w:t>
            </w:r>
          </w:p>
        </w:tc>
        <w:tc>
          <w:tcPr>
            <w:tcW w:w="1712" w:type="pct"/>
            <w:tcBorders>
              <w:right w:val="single" w:sz="12" w:space="0" w:color="auto"/>
            </w:tcBorders>
            <w:vAlign w:val="center"/>
          </w:tcPr>
          <w:p w14:paraId="04C6BADF" w14:textId="77777777" w:rsidR="00D423C2" w:rsidRPr="00FC1E23" w:rsidRDefault="00FC1E23" w:rsidP="00FC1E23">
            <w:pPr>
              <w:spacing w:line="240" w:lineRule="atLeast"/>
              <w:jc w:val="center"/>
              <w:rPr>
                <w:rFonts w:asciiTheme="minorHAnsi" w:hAnsiTheme="minorHAnsi"/>
                <w:szCs w:val="21"/>
              </w:rPr>
            </w:pPr>
            <w:r w:rsidRPr="00FC1E23">
              <w:rPr>
                <w:rFonts w:asciiTheme="minorHAnsi" w:hAnsiTheme="minorHAnsi"/>
                <w:color w:val="auto"/>
                <w:szCs w:val="21"/>
              </w:rPr>
              <w:t>油烟</w:t>
            </w:r>
            <w:r w:rsidR="00D423C2" w:rsidRPr="00FC1E23">
              <w:rPr>
                <w:rFonts w:asciiTheme="minorHAnsi" w:hAnsiTheme="minorHAnsi"/>
                <w:szCs w:val="21"/>
              </w:rPr>
              <w:t>1.0 mg/m</w:t>
            </w:r>
            <w:r w:rsidR="00D423C2" w:rsidRPr="00FC1E23">
              <w:rPr>
                <w:rFonts w:asciiTheme="minorHAnsi" w:hAnsiTheme="minorHAnsi"/>
                <w:szCs w:val="21"/>
                <w:vertAlign w:val="superscript"/>
              </w:rPr>
              <w:t>3</w:t>
            </w:r>
            <w:r w:rsidR="00D423C2" w:rsidRPr="00FC1E23">
              <w:rPr>
                <w:rFonts w:asciiTheme="minorHAnsi" w:hAnsiTheme="minorHAnsi"/>
                <w:szCs w:val="21"/>
              </w:rPr>
              <w:t>，</w:t>
            </w:r>
            <w:r w:rsidRPr="00FC1E23">
              <w:rPr>
                <w:rFonts w:asciiTheme="minorHAnsi" w:hAnsiTheme="minorHAnsi"/>
                <w:szCs w:val="21"/>
              </w:rPr>
              <w:t>非甲烷总烃</w:t>
            </w:r>
            <w:r w:rsidRPr="00FC1E23">
              <w:rPr>
                <w:rFonts w:asciiTheme="minorHAnsi" w:hAnsiTheme="minorHAnsi"/>
                <w:szCs w:val="21"/>
              </w:rPr>
              <w:t>10 mg/m</w:t>
            </w:r>
            <w:r w:rsidRPr="00FC1E23">
              <w:rPr>
                <w:rFonts w:asciiTheme="minorHAnsi" w:hAnsiTheme="minorHAnsi"/>
                <w:szCs w:val="21"/>
                <w:vertAlign w:val="superscript"/>
              </w:rPr>
              <w:t>3</w:t>
            </w:r>
            <w:r w:rsidRPr="00FC1E23">
              <w:rPr>
                <w:rFonts w:asciiTheme="minorHAnsi" w:hAnsiTheme="minorHAnsi"/>
                <w:szCs w:val="21"/>
              </w:rPr>
              <w:t>，</w:t>
            </w:r>
            <w:r w:rsidR="00D423C2" w:rsidRPr="00FC1E23">
              <w:rPr>
                <w:rFonts w:asciiTheme="minorHAnsi" w:hAnsiTheme="minorHAnsi"/>
                <w:szCs w:val="21"/>
              </w:rPr>
              <w:t>处理效率</w:t>
            </w:r>
            <w:r w:rsidR="00D423C2" w:rsidRPr="00FC1E23">
              <w:rPr>
                <w:rFonts w:asciiTheme="minorHAnsi" w:hAnsiTheme="minorHAnsi"/>
                <w:szCs w:val="21"/>
              </w:rPr>
              <w:t>≥90%</w:t>
            </w:r>
          </w:p>
        </w:tc>
      </w:tr>
      <w:tr w:rsidR="008C1537" w:rsidRPr="00435100" w14:paraId="0CB0F834" w14:textId="77777777" w:rsidTr="00FC1E23">
        <w:trPr>
          <w:trHeight w:val="340"/>
          <w:jc w:val="center"/>
        </w:trPr>
        <w:tc>
          <w:tcPr>
            <w:tcW w:w="494" w:type="pct"/>
            <w:vMerge/>
            <w:tcBorders>
              <w:left w:val="single" w:sz="12" w:space="0" w:color="auto"/>
            </w:tcBorders>
            <w:shd w:val="clear" w:color="auto" w:fill="auto"/>
            <w:vAlign w:val="center"/>
          </w:tcPr>
          <w:p w14:paraId="119FF239" w14:textId="77777777" w:rsidR="008C1537" w:rsidRPr="00435100" w:rsidRDefault="008C1537" w:rsidP="00CE7021">
            <w:pPr>
              <w:spacing w:line="240" w:lineRule="atLeast"/>
              <w:jc w:val="center"/>
              <w:rPr>
                <w:rFonts w:asciiTheme="minorHAnsi" w:hAnsiTheme="minorHAnsi"/>
                <w:b/>
                <w:szCs w:val="21"/>
                <w:u w:val="single"/>
              </w:rPr>
            </w:pPr>
          </w:p>
        </w:tc>
        <w:tc>
          <w:tcPr>
            <w:tcW w:w="1222" w:type="pct"/>
            <w:vMerge w:val="restart"/>
            <w:tcBorders>
              <w:right w:val="single" w:sz="6" w:space="0" w:color="auto"/>
            </w:tcBorders>
            <w:vAlign w:val="center"/>
          </w:tcPr>
          <w:p w14:paraId="401C26D6"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本项目最终执行标准</w:t>
            </w:r>
          </w:p>
        </w:tc>
        <w:tc>
          <w:tcPr>
            <w:tcW w:w="373" w:type="pct"/>
            <w:vMerge w:val="restart"/>
            <w:tcBorders>
              <w:right w:val="single" w:sz="6" w:space="0" w:color="auto"/>
            </w:tcBorders>
            <w:vAlign w:val="center"/>
          </w:tcPr>
          <w:p w14:paraId="130AA714"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有组织</w:t>
            </w:r>
          </w:p>
        </w:tc>
        <w:tc>
          <w:tcPr>
            <w:tcW w:w="375" w:type="pct"/>
            <w:vMerge w:val="restart"/>
            <w:tcBorders>
              <w:left w:val="single" w:sz="6" w:space="0" w:color="auto"/>
            </w:tcBorders>
            <w:vAlign w:val="center"/>
          </w:tcPr>
          <w:p w14:paraId="1AB85ABF"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工艺废气</w:t>
            </w:r>
          </w:p>
        </w:tc>
        <w:tc>
          <w:tcPr>
            <w:tcW w:w="824" w:type="pct"/>
            <w:vAlign w:val="center"/>
          </w:tcPr>
          <w:p w14:paraId="2D7E18DF"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颗粒物</w:t>
            </w:r>
          </w:p>
        </w:tc>
        <w:tc>
          <w:tcPr>
            <w:tcW w:w="1712" w:type="pct"/>
            <w:tcBorders>
              <w:right w:val="single" w:sz="12" w:space="0" w:color="auto"/>
            </w:tcBorders>
            <w:vAlign w:val="center"/>
          </w:tcPr>
          <w:p w14:paraId="598CE16D"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有组织排放限值</w:t>
            </w:r>
            <w:r w:rsidRPr="00435100">
              <w:rPr>
                <w:rFonts w:asciiTheme="minorHAnsi" w:hAnsiTheme="minorHAnsi"/>
                <w:b/>
                <w:szCs w:val="21"/>
                <w:u w:val="single"/>
              </w:rPr>
              <w:t>10mg/m</w:t>
            </w:r>
            <w:r w:rsidRPr="00435100">
              <w:rPr>
                <w:rFonts w:asciiTheme="minorHAnsi" w:hAnsiTheme="minorHAnsi"/>
                <w:b/>
                <w:szCs w:val="21"/>
                <w:u w:val="single"/>
                <w:vertAlign w:val="superscript"/>
              </w:rPr>
              <w:t>3</w:t>
            </w:r>
          </w:p>
        </w:tc>
      </w:tr>
      <w:tr w:rsidR="008C1537" w:rsidRPr="00435100" w14:paraId="17D5C91F" w14:textId="77777777" w:rsidTr="00FC1E23">
        <w:trPr>
          <w:trHeight w:val="340"/>
          <w:jc w:val="center"/>
        </w:trPr>
        <w:tc>
          <w:tcPr>
            <w:tcW w:w="494" w:type="pct"/>
            <w:vMerge/>
            <w:tcBorders>
              <w:left w:val="single" w:sz="12" w:space="0" w:color="auto"/>
            </w:tcBorders>
            <w:shd w:val="clear" w:color="auto" w:fill="auto"/>
            <w:vAlign w:val="center"/>
          </w:tcPr>
          <w:p w14:paraId="7C2EA20D" w14:textId="77777777" w:rsidR="008C1537" w:rsidRPr="00435100" w:rsidRDefault="008C1537"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240BD1A6" w14:textId="77777777" w:rsidR="008C1537" w:rsidRPr="00435100" w:rsidRDefault="008C1537"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747689C5" w14:textId="77777777" w:rsidR="008C1537" w:rsidRPr="00435100" w:rsidRDefault="008C1537"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02903AD0" w14:textId="77777777" w:rsidR="008C1537" w:rsidRPr="00435100" w:rsidRDefault="008C1537" w:rsidP="00CE7021">
            <w:pPr>
              <w:spacing w:line="240" w:lineRule="atLeast"/>
              <w:jc w:val="center"/>
              <w:rPr>
                <w:rFonts w:asciiTheme="minorHAnsi" w:hAnsiTheme="minorHAnsi"/>
                <w:b/>
                <w:szCs w:val="21"/>
                <w:u w:val="single"/>
              </w:rPr>
            </w:pPr>
          </w:p>
        </w:tc>
        <w:tc>
          <w:tcPr>
            <w:tcW w:w="824" w:type="pct"/>
            <w:vAlign w:val="center"/>
          </w:tcPr>
          <w:p w14:paraId="722CF4EF"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非甲烷总烃</w:t>
            </w:r>
          </w:p>
        </w:tc>
        <w:tc>
          <w:tcPr>
            <w:tcW w:w="1712" w:type="pct"/>
            <w:tcBorders>
              <w:right w:val="single" w:sz="12" w:space="0" w:color="auto"/>
            </w:tcBorders>
            <w:vAlign w:val="center"/>
          </w:tcPr>
          <w:p w14:paraId="41BD5795" w14:textId="77777777" w:rsidR="008C1537" w:rsidRPr="00435100" w:rsidRDefault="008C1537" w:rsidP="00A73882">
            <w:pPr>
              <w:spacing w:line="240" w:lineRule="atLeast"/>
              <w:jc w:val="center"/>
              <w:rPr>
                <w:rFonts w:asciiTheme="minorHAnsi" w:hAnsiTheme="minorHAnsi"/>
                <w:b/>
                <w:szCs w:val="21"/>
                <w:u w:val="single"/>
              </w:rPr>
            </w:pPr>
            <w:r w:rsidRPr="00435100">
              <w:rPr>
                <w:rFonts w:asciiTheme="minorHAnsi" w:hAnsiTheme="minorHAnsi"/>
                <w:b/>
                <w:szCs w:val="21"/>
                <w:u w:val="single"/>
              </w:rPr>
              <w:t>有组织排放限值</w:t>
            </w:r>
            <w:r w:rsidRPr="00435100">
              <w:rPr>
                <w:rFonts w:asciiTheme="minorHAnsi" w:hAnsiTheme="minorHAnsi"/>
                <w:b/>
                <w:szCs w:val="21"/>
                <w:u w:val="single"/>
              </w:rPr>
              <w:t>40mg/m</w:t>
            </w:r>
            <w:r w:rsidRPr="00435100">
              <w:rPr>
                <w:rFonts w:asciiTheme="minorHAnsi" w:hAnsiTheme="minorHAnsi"/>
                <w:b/>
                <w:szCs w:val="21"/>
                <w:u w:val="single"/>
                <w:vertAlign w:val="superscript"/>
              </w:rPr>
              <w:t>3</w:t>
            </w:r>
          </w:p>
        </w:tc>
      </w:tr>
      <w:tr w:rsidR="008C1537" w:rsidRPr="00435100" w14:paraId="183E7A0C" w14:textId="77777777" w:rsidTr="00FC1E23">
        <w:trPr>
          <w:trHeight w:val="340"/>
          <w:jc w:val="center"/>
        </w:trPr>
        <w:tc>
          <w:tcPr>
            <w:tcW w:w="494" w:type="pct"/>
            <w:vMerge/>
            <w:tcBorders>
              <w:left w:val="single" w:sz="12" w:space="0" w:color="auto"/>
            </w:tcBorders>
            <w:shd w:val="clear" w:color="auto" w:fill="auto"/>
            <w:vAlign w:val="center"/>
          </w:tcPr>
          <w:p w14:paraId="7F916381" w14:textId="77777777" w:rsidR="008C1537" w:rsidRPr="00435100" w:rsidRDefault="008C1537"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07A34361" w14:textId="77777777" w:rsidR="008C1537" w:rsidRPr="00435100" w:rsidRDefault="008C1537"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1D5C88ED" w14:textId="77777777" w:rsidR="008C1537" w:rsidRPr="00435100" w:rsidRDefault="008C1537"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01FDB7C8" w14:textId="77777777" w:rsidR="008C1537" w:rsidRPr="00435100" w:rsidRDefault="008C1537" w:rsidP="00CE7021">
            <w:pPr>
              <w:spacing w:line="240" w:lineRule="atLeast"/>
              <w:jc w:val="center"/>
              <w:rPr>
                <w:rFonts w:asciiTheme="minorHAnsi" w:hAnsiTheme="minorHAnsi"/>
                <w:b/>
                <w:szCs w:val="21"/>
                <w:u w:val="single"/>
              </w:rPr>
            </w:pPr>
          </w:p>
        </w:tc>
        <w:tc>
          <w:tcPr>
            <w:tcW w:w="824" w:type="pct"/>
            <w:vAlign w:val="center"/>
          </w:tcPr>
          <w:p w14:paraId="7D80124C"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己二胺</w:t>
            </w:r>
          </w:p>
        </w:tc>
        <w:tc>
          <w:tcPr>
            <w:tcW w:w="1712" w:type="pct"/>
            <w:tcBorders>
              <w:right w:val="single" w:sz="12" w:space="0" w:color="auto"/>
            </w:tcBorders>
            <w:vAlign w:val="center"/>
          </w:tcPr>
          <w:p w14:paraId="354AF8FB" w14:textId="77777777" w:rsidR="008C1537" w:rsidRPr="00435100" w:rsidRDefault="008C1537" w:rsidP="006760FE">
            <w:pPr>
              <w:spacing w:line="240" w:lineRule="atLeast"/>
              <w:jc w:val="center"/>
              <w:rPr>
                <w:rFonts w:asciiTheme="minorHAnsi" w:hAnsiTheme="minorHAnsi"/>
                <w:b/>
                <w:szCs w:val="21"/>
                <w:u w:val="single"/>
              </w:rPr>
            </w:pPr>
            <w:r w:rsidRPr="00435100">
              <w:rPr>
                <w:rFonts w:asciiTheme="minorHAnsi" w:hAnsiTheme="minorHAnsi"/>
                <w:b/>
                <w:szCs w:val="21"/>
                <w:u w:val="single"/>
              </w:rPr>
              <w:t>最高允许排放浓度</w:t>
            </w:r>
            <w:r>
              <w:rPr>
                <w:rFonts w:asciiTheme="minorHAnsi" w:hAnsiTheme="minorHAnsi"/>
                <w:b/>
                <w:szCs w:val="21"/>
                <w:u w:val="single"/>
              </w:rPr>
              <w:t>80</w:t>
            </w:r>
            <w:r w:rsidRPr="00435100">
              <w:rPr>
                <w:rFonts w:asciiTheme="minorHAnsi" w:hAnsiTheme="minorHAnsi"/>
                <w:b/>
                <w:szCs w:val="21"/>
                <w:u w:val="single"/>
              </w:rPr>
              <w:t>mg/m</w:t>
            </w:r>
            <w:r w:rsidRPr="00435100">
              <w:rPr>
                <w:rFonts w:asciiTheme="minorHAnsi" w:hAnsiTheme="minorHAnsi"/>
                <w:b/>
                <w:szCs w:val="21"/>
                <w:u w:val="single"/>
                <w:vertAlign w:val="superscript"/>
              </w:rPr>
              <w:t>3</w:t>
            </w:r>
          </w:p>
        </w:tc>
      </w:tr>
      <w:tr w:rsidR="008C1537" w:rsidRPr="00435100" w14:paraId="050FA06F" w14:textId="77777777" w:rsidTr="00FC1E23">
        <w:trPr>
          <w:trHeight w:val="340"/>
          <w:jc w:val="center"/>
        </w:trPr>
        <w:tc>
          <w:tcPr>
            <w:tcW w:w="494" w:type="pct"/>
            <w:vMerge/>
            <w:tcBorders>
              <w:left w:val="single" w:sz="12" w:space="0" w:color="auto"/>
            </w:tcBorders>
            <w:shd w:val="clear" w:color="auto" w:fill="auto"/>
            <w:vAlign w:val="center"/>
          </w:tcPr>
          <w:p w14:paraId="2FDCCF10" w14:textId="77777777" w:rsidR="008C1537" w:rsidRPr="00435100" w:rsidRDefault="008C1537"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45007533" w14:textId="77777777" w:rsidR="008C1537" w:rsidRPr="00435100" w:rsidRDefault="008C1537"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3D9CFDF1" w14:textId="77777777" w:rsidR="008C1537" w:rsidRPr="00435100" w:rsidRDefault="008C1537"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4AC6ED47" w14:textId="77777777" w:rsidR="008C1537" w:rsidRPr="00435100" w:rsidRDefault="008C1537" w:rsidP="00CE7021">
            <w:pPr>
              <w:spacing w:line="240" w:lineRule="atLeast"/>
              <w:jc w:val="center"/>
              <w:rPr>
                <w:rFonts w:asciiTheme="minorHAnsi" w:hAnsiTheme="minorHAnsi"/>
                <w:b/>
                <w:szCs w:val="21"/>
                <w:u w:val="single"/>
              </w:rPr>
            </w:pPr>
          </w:p>
        </w:tc>
        <w:tc>
          <w:tcPr>
            <w:tcW w:w="824" w:type="pct"/>
            <w:vAlign w:val="center"/>
          </w:tcPr>
          <w:p w14:paraId="4C8997C1" w14:textId="77777777" w:rsidR="008C1537" w:rsidRPr="00435100" w:rsidRDefault="008C1537" w:rsidP="00CE7021">
            <w:pPr>
              <w:spacing w:line="240" w:lineRule="atLeast"/>
              <w:jc w:val="center"/>
              <w:rPr>
                <w:rFonts w:asciiTheme="minorHAnsi" w:hAnsiTheme="minorHAnsi"/>
                <w:b/>
                <w:szCs w:val="21"/>
                <w:u w:val="single"/>
              </w:rPr>
            </w:pPr>
            <w:r w:rsidRPr="00435100">
              <w:rPr>
                <w:rFonts w:asciiTheme="minorHAnsi" w:hAnsiTheme="minorHAnsi" w:hint="eastAsia"/>
                <w:b/>
                <w:szCs w:val="21"/>
                <w:u w:val="single"/>
              </w:rPr>
              <w:t>己二酸</w:t>
            </w:r>
          </w:p>
        </w:tc>
        <w:tc>
          <w:tcPr>
            <w:tcW w:w="1712" w:type="pct"/>
            <w:tcBorders>
              <w:right w:val="single" w:sz="12" w:space="0" w:color="auto"/>
            </w:tcBorders>
            <w:vAlign w:val="center"/>
          </w:tcPr>
          <w:p w14:paraId="558FB495" w14:textId="77777777" w:rsidR="008C1537" w:rsidRPr="00435100" w:rsidRDefault="008C1537" w:rsidP="006760FE">
            <w:pPr>
              <w:spacing w:line="240" w:lineRule="atLeast"/>
              <w:jc w:val="center"/>
              <w:rPr>
                <w:rFonts w:asciiTheme="minorHAnsi" w:hAnsiTheme="minorHAnsi"/>
                <w:b/>
                <w:szCs w:val="21"/>
                <w:u w:val="single"/>
              </w:rPr>
            </w:pPr>
            <w:r w:rsidRPr="00435100">
              <w:rPr>
                <w:rFonts w:asciiTheme="minorHAnsi" w:hAnsiTheme="minorHAnsi"/>
                <w:b/>
                <w:szCs w:val="21"/>
                <w:u w:val="single"/>
              </w:rPr>
              <w:t>最高允许排放浓度</w:t>
            </w:r>
            <w:r>
              <w:rPr>
                <w:rFonts w:asciiTheme="minorHAnsi" w:hAnsiTheme="minorHAnsi"/>
                <w:b/>
                <w:szCs w:val="21"/>
                <w:u w:val="single"/>
              </w:rPr>
              <w:t>80</w:t>
            </w:r>
            <w:r w:rsidRPr="00435100">
              <w:rPr>
                <w:rFonts w:asciiTheme="minorHAnsi" w:hAnsiTheme="minorHAnsi"/>
                <w:b/>
                <w:szCs w:val="21"/>
                <w:u w:val="single"/>
              </w:rPr>
              <w:t>mg/m</w:t>
            </w:r>
            <w:r w:rsidRPr="00435100">
              <w:rPr>
                <w:rFonts w:asciiTheme="minorHAnsi" w:hAnsiTheme="minorHAnsi"/>
                <w:b/>
                <w:szCs w:val="21"/>
                <w:u w:val="single"/>
                <w:vertAlign w:val="superscript"/>
              </w:rPr>
              <w:t>3</w:t>
            </w:r>
          </w:p>
        </w:tc>
      </w:tr>
      <w:tr w:rsidR="008C1537" w:rsidRPr="00435100" w14:paraId="5E9B42D3" w14:textId="77777777" w:rsidTr="00FC1E23">
        <w:trPr>
          <w:trHeight w:val="340"/>
          <w:jc w:val="center"/>
        </w:trPr>
        <w:tc>
          <w:tcPr>
            <w:tcW w:w="494" w:type="pct"/>
            <w:vMerge/>
            <w:tcBorders>
              <w:left w:val="single" w:sz="12" w:space="0" w:color="auto"/>
            </w:tcBorders>
            <w:shd w:val="clear" w:color="auto" w:fill="auto"/>
            <w:vAlign w:val="center"/>
          </w:tcPr>
          <w:p w14:paraId="4CDC13D2" w14:textId="77777777" w:rsidR="008C1537" w:rsidRPr="00435100" w:rsidRDefault="008C1537"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31F140EC" w14:textId="77777777" w:rsidR="008C1537" w:rsidRPr="00435100" w:rsidRDefault="008C1537"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0F546B37" w14:textId="77777777" w:rsidR="008C1537" w:rsidRPr="00435100" w:rsidRDefault="008C1537"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34A1C96A" w14:textId="77777777" w:rsidR="008C1537" w:rsidRPr="00435100" w:rsidRDefault="008C1537" w:rsidP="00CE7021">
            <w:pPr>
              <w:spacing w:line="240" w:lineRule="atLeast"/>
              <w:jc w:val="center"/>
              <w:rPr>
                <w:rFonts w:asciiTheme="minorHAnsi" w:hAnsiTheme="minorHAnsi"/>
                <w:b/>
                <w:szCs w:val="21"/>
                <w:u w:val="single"/>
              </w:rPr>
            </w:pPr>
          </w:p>
        </w:tc>
        <w:tc>
          <w:tcPr>
            <w:tcW w:w="824" w:type="pct"/>
            <w:vAlign w:val="center"/>
          </w:tcPr>
          <w:p w14:paraId="3DB8B655" w14:textId="28B4C5A5" w:rsidR="008C1537" w:rsidRPr="00435100" w:rsidRDefault="008C1537" w:rsidP="00CE7021">
            <w:pPr>
              <w:spacing w:line="240" w:lineRule="atLeast"/>
              <w:jc w:val="center"/>
              <w:rPr>
                <w:rFonts w:asciiTheme="minorHAnsi" w:hAnsiTheme="minorHAnsi"/>
                <w:b/>
                <w:szCs w:val="21"/>
                <w:u w:val="single"/>
              </w:rPr>
            </w:pPr>
            <w:r>
              <w:rPr>
                <w:rFonts w:asciiTheme="minorHAnsi" w:hAnsiTheme="minorHAnsi" w:hint="eastAsia"/>
                <w:b/>
                <w:szCs w:val="21"/>
                <w:u w:val="single"/>
              </w:rPr>
              <w:t>氨</w:t>
            </w:r>
          </w:p>
        </w:tc>
        <w:tc>
          <w:tcPr>
            <w:tcW w:w="1712" w:type="pct"/>
            <w:tcBorders>
              <w:right w:val="single" w:sz="12" w:space="0" w:color="auto"/>
            </w:tcBorders>
            <w:vAlign w:val="center"/>
          </w:tcPr>
          <w:p w14:paraId="7237B803" w14:textId="0CAE8167" w:rsidR="008C1537" w:rsidRPr="00435100" w:rsidRDefault="008C1537" w:rsidP="006760FE">
            <w:pPr>
              <w:spacing w:line="240" w:lineRule="atLeast"/>
              <w:jc w:val="center"/>
              <w:rPr>
                <w:rFonts w:asciiTheme="minorHAnsi" w:hAnsiTheme="minorHAnsi"/>
                <w:b/>
                <w:szCs w:val="21"/>
                <w:u w:val="single"/>
              </w:rPr>
            </w:pPr>
            <w:r w:rsidRPr="008C1537">
              <w:rPr>
                <w:rFonts w:asciiTheme="minorHAnsi" w:hAnsiTheme="minorHAnsi"/>
                <w:b/>
                <w:szCs w:val="21"/>
                <w:u w:val="single"/>
              </w:rPr>
              <w:t>30mg/m</w:t>
            </w:r>
            <w:r w:rsidRPr="008C1537">
              <w:rPr>
                <w:rFonts w:asciiTheme="minorHAnsi" w:hAnsiTheme="minorHAnsi"/>
                <w:b/>
                <w:szCs w:val="21"/>
                <w:u w:val="single"/>
                <w:vertAlign w:val="superscript"/>
              </w:rPr>
              <w:t>3</w:t>
            </w:r>
          </w:p>
        </w:tc>
      </w:tr>
      <w:tr w:rsidR="00D423C2" w:rsidRPr="00435100" w14:paraId="5D141A8B" w14:textId="77777777" w:rsidTr="00FC1E23">
        <w:trPr>
          <w:trHeight w:val="340"/>
          <w:jc w:val="center"/>
        </w:trPr>
        <w:tc>
          <w:tcPr>
            <w:tcW w:w="494" w:type="pct"/>
            <w:vMerge/>
            <w:tcBorders>
              <w:left w:val="single" w:sz="12" w:space="0" w:color="auto"/>
            </w:tcBorders>
            <w:shd w:val="clear" w:color="auto" w:fill="auto"/>
            <w:vAlign w:val="center"/>
          </w:tcPr>
          <w:p w14:paraId="438A6FCE"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30F0157E"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05754C95" w14:textId="77777777" w:rsidR="00D423C2" w:rsidRPr="00435100" w:rsidRDefault="00D423C2" w:rsidP="00CE7021">
            <w:pPr>
              <w:spacing w:line="240" w:lineRule="atLeast"/>
              <w:jc w:val="center"/>
              <w:rPr>
                <w:rFonts w:asciiTheme="minorHAnsi" w:hAnsiTheme="minorHAnsi"/>
                <w:b/>
                <w:szCs w:val="21"/>
                <w:u w:val="single"/>
              </w:rPr>
            </w:pPr>
          </w:p>
        </w:tc>
        <w:tc>
          <w:tcPr>
            <w:tcW w:w="375" w:type="pct"/>
            <w:vMerge w:val="restart"/>
            <w:tcBorders>
              <w:left w:val="single" w:sz="6" w:space="0" w:color="auto"/>
            </w:tcBorders>
            <w:vAlign w:val="center"/>
          </w:tcPr>
          <w:p w14:paraId="0007A063"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锅炉废气</w:t>
            </w:r>
          </w:p>
        </w:tc>
        <w:tc>
          <w:tcPr>
            <w:tcW w:w="824" w:type="pct"/>
            <w:vAlign w:val="center"/>
          </w:tcPr>
          <w:p w14:paraId="3FA0A88B"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颗粒物</w:t>
            </w:r>
          </w:p>
        </w:tc>
        <w:tc>
          <w:tcPr>
            <w:tcW w:w="1712" w:type="pct"/>
            <w:tcBorders>
              <w:right w:val="single" w:sz="12" w:space="0" w:color="auto"/>
            </w:tcBorders>
            <w:vAlign w:val="center"/>
          </w:tcPr>
          <w:p w14:paraId="116EA747"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5mg/m</w:t>
            </w:r>
            <w:r w:rsidRPr="00435100">
              <w:rPr>
                <w:rFonts w:asciiTheme="minorHAnsi" w:hAnsiTheme="minorHAnsi"/>
                <w:b/>
                <w:szCs w:val="21"/>
                <w:u w:val="single"/>
                <w:vertAlign w:val="superscript"/>
              </w:rPr>
              <w:t>3</w:t>
            </w:r>
          </w:p>
        </w:tc>
      </w:tr>
      <w:tr w:rsidR="00D423C2" w:rsidRPr="00435100" w14:paraId="58A442F7" w14:textId="77777777" w:rsidTr="00FC1E23">
        <w:trPr>
          <w:trHeight w:val="340"/>
          <w:jc w:val="center"/>
        </w:trPr>
        <w:tc>
          <w:tcPr>
            <w:tcW w:w="494" w:type="pct"/>
            <w:vMerge/>
            <w:tcBorders>
              <w:left w:val="single" w:sz="12" w:space="0" w:color="auto"/>
            </w:tcBorders>
            <w:shd w:val="clear" w:color="auto" w:fill="auto"/>
            <w:vAlign w:val="center"/>
          </w:tcPr>
          <w:p w14:paraId="674B38D6"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4BD04AA0"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10CBB0A6" w14:textId="77777777" w:rsidR="00D423C2" w:rsidRPr="00435100" w:rsidRDefault="00D423C2"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71447F95" w14:textId="77777777" w:rsidR="00D423C2" w:rsidRPr="00435100" w:rsidRDefault="00D423C2" w:rsidP="00CE7021">
            <w:pPr>
              <w:spacing w:line="240" w:lineRule="atLeast"/>
              <w:jc w:val="center"/>
              <w:rPr>
                <w:rFonts w:asciiTheme="minorHAnsi" w:hAnsiTheme="minorHAnsi"/>
                <w:b/>
                <w:szCs w:val="21"/>
                <w:u w:val="single"/>
              </w:rPr>
            </w:pPr>
          </w:p>
        </w:tc>
        <w:tc>
          <w:tcPr>
            <w:tcW w:w="824" w:type="pct"/>
            <w:vAlign w:val="center"/>
          </w:tcPr>
          <w:p w14:paraId="6BDF6891"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SO</w:t>
            </w:r>
            <w:r w:rsidRPr="00435100">
              <w:rPr>
                <w:rFonts w:asciiTheme="minorHAnsi" w:hAnsiTheme="minorHAnsi"/>
                <w:b/>
                <w:szCs w:val="21"/>
                <w:u w:val="single"/>
                <w:vertAlign w:val="subscript"/>
              </w:rPr>
              <w:t>2</w:t>
            </w:r>
          </w:p>
        </w:tc>
        <w:tc>
          <w:tcPr>
            <w:tcW w:w="1712" w:type="pct"/>
            <w:tcBorders>
              <w:right w:val="single" w:sz="12" w:space="0" w:color="auto"/>
            </w:tcBorders>
            <w:vAlign w:val="center"/>
          </w:tcPr>
          <w:p w14:paraId="74BB832D"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10mg/m</w:t>
            </w:r>
            <w:r w:rsidRPr="00435100">
              <w:rPr>
                <w:rFonts w:asciiTheme="minorHAnsi" w:hAnsiTheme="minorHAnsi"/>
                <w:b/>
                <w:szCs w:val="21"/>
                <w:u w:val="single"/>
                <w:vertAlign w:val="superscript"/>
              </w:rPr>
              <w:t>3</w:t>
            </w:r>
          </w:p>
        </w:tc>
      </w:tr>
      <w:tr w:rsidR="00D423C2" w:rsidRPr="00435100" w14:paraId="33A7ECB5" w14:textId="77777777" w:rsidTr="00FC1E23">
        <w:trPr>
          <w:trHeight w:val="340"/>
          <w:jc w:val="center"/>
        </w:trPr>
        <w:tc>
          <w:tcPr>
            <w:tcW w:w="494" w:type="pct"/>
            <w:vMerge/>
            <w:tcBorders>
              <w:left w:val="single" w:sz="12" w:space="0" w:color="auto"/>
            </w:tcBorders>
            <w:shd w:val="clear" w:color="auto" w:fill="auto"/>
            <w:vAlign w:val="center"/>
          </w:tcPr>
          <w:p w14:paraId="30A9F40B"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03041C92"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4FC8C6F5" w14:textId="77777777" w:rsidR="00D423C2" w:rsidRPr="00435100" w:rsidRDefault="00D423C2"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64858E81" w14:textId="77777777" w:rsidR="00D423C2" w:rsidRPr="00435100" w:rsidRDefault="00D423C2" w:rsidP="00CE7021">
            <w:pPr>
              <w:spacing w:line="240" w:lineRule="atLeast"/>
              <w:jc w:val="center"/>
              <w:rPr>
                <w:rFonts w:asciiTheme="minorHAnsi" w:hAnsiTheme="minorHAnsi"/>
                <w:b/>
                <w:szCs w:val="21"/>
                <w:u w:val="single"/>
              </w:rPr>
            </w:pPr>
          </w:p>
        </w:tc>
        <w:tc>
          <w:tcPr>
            <w:tcW w:w="824" w:type="pct"/>
            <w:vAlign w:val="center"/>
          </w:tcPr>
          <w:p w14:paraId="72B8D21D"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NOx</w:t>
            </w:r>
          </w:p>
        </w:tc>
        <w:tc>
          <w:tcPr>
            <w:tcW w:w="1712" w:type="pct"/>
            <w:tcBorders>
              <w:right w:val="single" w:sz="12" w:space="0" w:color="auto"/>
            </w:tcBorders>
            <w:vAlign w:val="center"/>
          </w:tcPr>
          <w:p w14:paraId="376187EA"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30mg/m</w:t>
            </w:r>
            <w:r w:rsidRPr="00435100">
              <w:rPr>
                <w:rFonts w:asciiTheme="minorHAnsi" w:hAnsiTheme="minorHAnsi"/>
                <w:b/>
                <w:szCs w:val="21"/>
                <w:u w:val="single"/>
                <w:vertAlign w:val="superscript"/>
              </w:rPr>
              <w:t>3</w:t>
            </w:r>
          </w:p>
        </w:tc>
      </w:tr>
      <w:tr w:rsidR="00217891" w:rsidRPr="00435100" w14:paraId="3BB22FDC" w14:textId="77777777" w:rsidTr="00FC1E23">
        <w:trPr>
          <w:trHeight w:val="340"/>
          <w:jc w:val="center"/>
        </w:trPr>
        <w:tc>
          <w:tcPr>
            <w:tcW w:w="494" w:type="pct"/>
            <w:vMerge/>
            <w:tcBorders>
              <w:left w:val="single" w:sz="12" w:space="0" w:color="auto"/>
            </w:tcBorders>
            <w:shd w:val="clear" w:color="auto" w:fill="auto"/>
            <w:vAlign w:val="center"/>
          </w:tcPr>
          <w:p w14:paraId="4C30A748" w14:textId="77777777" w:rsidR="00217891" w:rsidRPr="00435100" w:rsidRDefault="00217891"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018E5299" w14:textId="77777777" w:rsidR="00217891" w:rsidRPr="00435100" w:rsidRDefault="00217891"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4C03581A" w14:textId="77777777" w:rsidR="00217891" w:rsidRPr="00435100" w:rsidRDefault="00217891" w:rsidP="00CE7021">
            <w:pPr>
              <w:spacing w:line="240" w:lineRule="atLeast"/>
              <w:jc w:val="center"/>
              <w:rPr>
                <w:rFonts w:asciiTheme="minorHAnsi" w:hAnsiTheme="minorHAnsi"/>
                <w:b/>
                <w:szCs w:val="21"/>
                <w:u w:val="single"/>
              </w:rPr>
            </w:pPr>
          </w:p>
        </w:tc>
        <w:tc>
          <w:tcPr>
            <w:tcW w:w="375" w:type="pct"/>
            <w:vMerge w:val="restart"/>
            <w:tcBorders>
              <w:left w:val="single" w:sz="6" w:space="0" w:color="auto"/>
            </w:tcBorders>
            <w:vAlign w:val="center"/>
          </w:tcPr>
          <w:p w14:paraId="3757B0D8" w14:textId="77777777" w:rsidR="00217891" w:rsidRPr="00435100" w:rsidRDefault="00217891"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污水站</w:t>
            </w:r>
          </w:p>
        </w:tc>
        <w:tc>
          <w:tcPr>
            <w:tcW w:w="824" w:type="pct"/>
            <w:vAlign w:val="center"/>
          </w:tcPr>
          <w:p w14:paraId="3A2813C7" w14:textId="77777777" w:rsidR="00217891" w:rsidRPr="00435100" w:rsidRDefault="00217891"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NH</w:t>
            </w:r>
            <w:r w:rsidRPr="00435100">
              <w:rPr>
                <w:rFonts w:asciiTheme="minorHAnsi" w:hAnsiTheme="minorHAnsi"/>
                <w:b/>
                <w:szCs w:val="21"/>
                <w:u w:val="single"/>
                <w:vertAlign w:val="subscript"/>
              </w:rPr>
              <w:t>3</w:t>
            </w:r>
          </w:p>
        </w:tc>
        <w:tc>
          <w:tcPr>
            <w:tcW w:w="1712" w:type="pct"/>
            <w:tcBorders>
              <w:right w:val="single" w:sz="12" w:space="0" w:color="auto"/>
            </w:tcBorders>
            <w:vAlign w:val="center"/>
          </w:tcPr>
          <w:p w14:paraId="2E8B93CF" w14:textId="77777777" w:rsidR="00217891" w:rsidRPr="00435100" w:rsidRDefault="00217891"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排气筒</w:t>
            </w:r>
            <w:r w:rsidRPr="00435100">
              <w:rPr>
                <w:rFonts w:asciiTheme="minorHAnsi" w:hAnsiTheme="minorHAnsi"/>
                <w:b/>
                <w:szCs w:val="21"/>
                <w:u w:val="single"/>
              </w:rPr>
              <w:t>15m</w:t>
            </w:r>
            <w:r w:rsidRPr="00435100">
              <w:rPr>
                <w:rFonts w:asciiTheme="minorHAnsi" w:hAnsiTheme="minorHAnsi"/>
                <w:b/>
                <w:szCs w:val="21"/>
                <w:u w:val="single"/>
              </w:rPr>
              <w:t>，</w:t>
            </w:r>
            <w:r w:rsidRPr="00435100">
              <w:rPr>
                <w:rFonts w:asciiTheme="minorHAnsi" w:hAnsiTheme="minorHAnsi"/>
                <w:b/>
                <w:szCs w:val="21"/>
                <w:u w:val="single"/>
              </w:rPr>
              <w:t>4.9kg/h</w:t>
            </w:r>
          </w:p>
        </w:tc>
      </w:tr>
      <w:tr w:rsidR="00217891" w:rsidRPr="00435100" w14:paraId="180D1111" w14:textId="77777777" w:rsidTr="00FC1E23">
        <w:trPr>
          <w:trHeight w:val="340"/>
          <w:jc w:val="center"/>
        </w:trPr>
        <w:tc>
          <w:tcPr>
            <w:tcW w:w="494" w:type="pct"/>
            <w:vMerge/>
            <w:tcBorders>
              <w:left w:val="single" w:sz="12" w:space="0" w:color="auto"/>
            </w:tcBorders>
            <w:shd w:val="clear" w:color="auto" w:fill="auto"/>
            <w:vAlign w:val="center"/>
          </w:tcPr>
          <w:p w14:paraId="3DE2E596" w14:textId="77777777" w:rsidR="00217891" w:rsidRPr="00435100" w:rsidRDefault="00217891"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448E7D17" w14:textId="77777777" w:rsidR="00217891" w:rsidRPr="00435100" w:rsidRDefault="00217891"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2961ADC7" w14:textId="77777777" w:rsidR="00217891" w:rsidRPr="00435100" w:rsidRDefault="00217891"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23547DA4" w14:textId="77777777" w:rsidR="00217891" w:rsidRPr="00435100" w:rsidRDefault="00217891" w:rsidP="00CE7021">
            <w:pPr>
              <w:spacing w:line="240" w:lineRule="atLeast"/>
              <w:jc w:val="center"/>
              <w:rPr>
                <w:rFonts w:asciiTheme="minorHAnsi" w:hAnsiTheme="minorHAnsi"/>
                <w:b/>
                <w:szCs w:val="21"/>
                <w:u w:val="single"/>
              </w:rPr>
            </w:pPr>
          </w:p>
        </w:tc>
        <w:tc>
          <w:tcPr>
            <w:tcW w:w="824" w:type="pct"/>
            <w:vAlign w:val="center"/>
          </w:tcPr>
          <w:p w14:paraId="7B64C7F4" w14:textId="77777777" w:rsidR="00217891" w:rsidRPr="00435100" w:rsidRDefault="00217891"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H</w:t>
            </w:r>
            <w:r w:rsidRPr="00435100">
              <w:rPr>
                <w:rFonts w:asciiTheme="minorHAnsi" w:hAnsiTheme="minorHAnsi"/>
                <w:b/>
                <w:szCs w:val="21"/>
                <w:u w:val="single"/>
                <w:vertAlign w:val="subscript"/>
              </w:rPr>
              <w:t>2</w:t>
            </w:r>
            <w:r w:rsidRPr="00435100">
              <w:rPr>
                <w:rFonts w:asciiTheme="minorHAnsi" w:hAnsiTheme="minorHAnsi"/>
                <w:b/>
                <w:szCs w:val="21"/>
                <w:u w:val="single"/>
              </w:rPr>
              <w:t>S</w:t>
            </w:r>
          </w:p>
        </w:tc>
        <w:tc>
          <w:tcPr>
            <w:tcW w:w="1712" w:type="pct"/>
            <w:tcBorders>
              <w:right w:val="single" w:sz="12" w:space="0" w:color="auto"/>
            </w:tcBorders>
            <w:vAlign w:val="center"/>
          </w:tcPr>
          <w:p w14:paraId="6457D180" w14:textId="77777777" w:rsidR="00217891" w:rsidRPr="00435100" w:rsidRDefault="00217891"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排气筒</w:t>
            </w:r>
            <w:r w:rsidRPr="00435100">
              <w:rPr>
                <w:rFonts w:asciiTheme="minorHAnsi" w:hAnsiTheme="minorHAnsi"/>
                <w:b/>
                <w:szCs w:val="21"/>
                <w:u w:val="single"/>
              </w:rPr>
              <w:t>15m</w:t>
            </w:r>
            <w:r w:rsidRPr="00435100">
              <w:rPr>
                <w:rFonts w:asciiTheme="minorHAnsi" w:hAnsiTheme="minorHAnsi"/>
                <w:b/>
                <w:szCs w:val="21"/>
                <w:u w:val="single"/>
              </w:rPr>
              <w:t>，</w:t>
            </w:r>
            <w:r w:rsidRPr="00435100">
              <w:rPr>
                <w:rFonts w:asciiTheme="minorHAnsi" w:hAnsiTheme="minorHAnsi"/>
                <w:b/>
                <w:szCs w:val="21"/>
                <w:u w:val="single"/>
              </w:rPr>
              <w:t>0.33kg/h</w:t>
            </w:r>
          </w:p>
        </w:tc>
      </w:tr>
      <w:tr w:rsidR="00217891" w:rsidRPr="00435100" w14:paraId="2C8ECA9C" w14:textId="77777777" w:rsidTr="00FC1E23">
        <w:trPr>
          <w:trHeight w:val="340"/>
          <w:jc w:val="center"/>
        </w:trPr>
        <w:tc>
          <w:tcPr>
            <w:tcW w:w="494" w:type="pct"/>
            <w:vMerge/>
            <w:tcBorders>
              <w:left w:val="single" w:sz="12" w:space="0" w:color="auto"/>
            </w:tcBorders>
            <w:shd w:val="clear" w:color="auto" w:fill="auto"/>
            <w:vAlign w:val="center"/>
          </w:tcPr>
          <w:p w14:paraId="30472E2A" w14:textId="77777777" w:rsidR="00217891" w:rsidRPr="00435100" w:rsidRDefault="00217891" w:rsidP="0021789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35C2CB83" w14:textId="77777777" w:rsidR="00217891" w:rsidRPr="00435100" w:rsidRDefault="00217891" w:rsidP="0021789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0D063AA8" w14:textId="77777777" w:rsidR="00217891" w:rsidRPr="00435100" w:rsidRDefault="00217891" w:rsidP="0021789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4304FF3F" w14:textId="77777777" w:rsidR="00217891" w:rsidRPr="00435100" w:rsidRDefault="00217891" w:rsidP="00217891">
            <w:pPr>
              <w:spacing w:line="240" w:lineRule="atLeast"/>
              <w:jc w:val="center"/>
              <w:rPr>
                <w:rFonts w:asciiTheme="minorHAnsi" w:hAnsiTheme="minorHAnsi"/>
                <w:b/>
                <w:szCs w:val="21"/>
                <w:u w:val="single"/>
              </w:rPr>
            </w:pPr>
          </w:p>
        </w:tc>
        <w:tc>
          <w:tcPr>
            <w:tcW w:w="824" w:type="pct"/>
            <w:vAlign w:val="center"/>
          </w:tcPr>
          <w:p w14:paraId="31C0E0EA" w14:textId="528E9AF4" w:rsidR="00217891" w:rsidRPr="00435100" w:rsidRDefault="00217891" w:rsidP="00217891">
            <w:pPr>
              <w:spacing w:line="240" w:lineRule="atLeast"/>
              <w:jc w:val="center"/>
              <w:rPr>
                <w:rFonts w:asciiTheme="minorHAnsi" w:hAnsiTheme="minorHAnsi"/>
                <w:b/>
                <w:szCs w:val="21"/>
                <w:u w:val="single"/>
              </w:rPr>
            </w:pPr>
            <w:r w:rsidRPr="00435100">
              <w:rPr>
                <w:rFonts w:asciiTheme="minorHAnsi" w:hAnsiTheme="minorHAnsi"/>
                <w:b/>
                <w:szCs w:val="21"/>
                <w:u w:val="single"/>
              </w:rPr>
              <w:t>非甲烷总烃</w:t>
            </w:r>
          </w:p>
        </w:tc>
        <w:tc>
          <w:tcPr>
            <w:tcW w:w="1712" w:type="pct"/>
            <w:tcBorders>
              <w:right w:val="single" w:sz="12" w:space="0" w:color="auto"/>
            </w:tcBorders>
            <w:vAlign w:val="center"/>
          </w:tcPr>
          <w:p w14:paraId="4F81405B" w14:textId="43DB5703" w:rsidR="00217891" w:rsidRPr="00435100" w:rsidRDefault="00217891" w:rsidP="00217891">
            <w:pPr>
              <w:spacing w:line="240" w:lineRule="atLeast"/>
              <w:jc w:val="center"/>
              <w:rPr>
                <w:rFonts w:asciiTheme="minorHAnsi" w:hAnsiTheme="minorHAnsi"/>
                <w:b/>
                <w:szCs w:val="21"/>
                <w:u w:val="single"/>
              </w:rPr>
            </w:pPr>
            <w:r w:rsidRPr="00435100">
              <w:rPr>
                <w:rFonts w:asciiTheme="minorHAnsi" w:hAnsiTheme="minorHAnsi"/>
                <w:b/>
                <w:szCs w:val="21"/>
                <w:u w:val="single"/>
              </w:rPr>
              <w:t>有组织排放限值</w:t>
            </w:r>
            <w:r w:rsidRPr="00435100">
              <w:rPr>
                <w:rFonts w:asciiTheme="minorHAnsi" w:hAnsiTheme="minorHAnsi"/>
                <w:b/>
                <w:szCs w:val="21"/>
                <w:u w:val="single"/>
              </w:rPr>
              <w:t>40mg/m</w:t>
            </w:r>
            <w:r w:rsidRPr="00435100">
              <w:rPr>
                <w:rFonts w:asciiTheme="minorHAnsi" w:hAnsiTheme="minorHAnsi"/>
                <w:b/>
                <w:szCs w:val="21"/>
                <w:u w:val="single"/>
                <w:vertAlign w:val="superscript"/>
              </w:rPr>
              <w:t>3</w:t>
            </w:r>
          </w:p>
        </w:tc>
      </w:tr>
      <w:tr w:rsidR="00D423C2" w:rsidRPr="00435100" w14:paraId="58247DFB" w14:textId="77777777" w:rsidTr="00FC1E23">
        <w:trPr>
          <w:trHeight w:val="340"/>
          <w:jc w:val="center"/>
        </w:trPr>
        <w:tc>
          <w:tcPr>
            <w:tcW w:w="494" w:type="pct"/>
            <w:vMerge/>
            <w:tcBorders>
              <w:left w:val="single" w:sz="12" w:space="0" w:color="auto"/>
            </w:tcBorders>
            <w:shd w:val="clear" w:color="auto" w:fill="auto"/>
            <w:vAlign w:val="center"/>
          </w:tcPr>
          <w:p w14:paraId="48546C6D"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69D074BA"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7D1AE952" w14:textId="77777777" w:rsidR="00D423C2" w:rsidRPr="00435100" w:rsidRDefault="00D423C2" w:rsidP="00CE7021">
            <w:pPr>
              <w:spacing w:line="240" w:lineRule="atLeast"/>
              <w:jc w:val="center"/>
              <w:rPr>
                <w:rFonts w:asciiTheme="minorHAnsi" w:hAnsiTheme="minorHAnsi"/>
                <w:b/>
                <w:szCs w:val="21"/>
                <w:u w:val="single"/>
              </w:rPr>
            </w:pPr>
          </w:p>
        </w:tc>
        <w:tc>
          <w:tcPr>
            <w:tcW w:w="375" w:type="pct"/>
            <w:tcBorders>
              <w:left w:val="single" w:sz="6" w:space="0" w:color="auto"/>
            </w:tcBorders>
            <w:vAlign w:val="center"/>
          </w:tcPr>
          <w:p w14:paraId="0C75E242"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食堂</w:t>
            </w:r>
          </w:p>
        </w:tc>
        <w:tc>
          <w:tcPr>
            <w:tcW w:w="824" w:type="pct"/>
            <w:vAlign w:val="center"/>
          </w:tcPr>
          <w:p w14:paraId="2175AE02"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食堂油烟</w:t>
            </w:r>
          </w:p>
        </w:tc>
        <w:tc>
          <w:tcPr>
            <w:tcW w:w="1712" w:type="pct"/>
            <w:tcBorders>
              <w:right w:val="single" w:sz="12" w:space="0" w:color="auto"/>
            </w:tcBorders>
            <w:vAlign w:val="center"/>
          </w:tcPr>
          <w:p w14:paraId="3AA146C3" w14:textId="77777777" w:rsidR="00D423C2" w:rsidRPr="00435100" w:rsidRDefault="00FC1E23"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油烟</w:t>
            </w:r>
            <w:r w:rsidRPr="00435100">
              <w:rPr>
                <w:rFonts w:asciiTheme="minorHAnsi" w:hAnsiTheme="minorHAnsi"/>
                <w:b/>
                <w:szCs w:val="21"/>
                <w:u w:val="single"/>
              </w:rPr>
              <w:t>1.0 mg/m</w:t>
            </w:r>
            <w:r w:rsidRPr="00435100">
              <w:rPr>
                <w:rFonts w:asciiTheme="minorHAnsi" w:hAnsiTheme="minorHAnsi"/>
                <w:b/>
                <w:szCs w:val="21"/>
                <w:u w:val="single"/>
                <w:vertAlign w:val="superscript"/>
              </w:rPr>
              <w:t>3</w:t>
            </w:r>
            <w:r w:rsidRPr="00435100">
              <w:rPr>
                <w:rFonts w:asciiTheme="minorHAnsi" w:hAnsiTheme="minorHAnsi"/>
                <w:b/>
                <w:szCs w:val="21"/>
                <w:u w:val="single"/>
              </w:rPr>
              <w:t>，非甲烷总烃</w:t>
            </w:r>
            <w:r w:rsidRPr="00435100">
              <w:rPr>
                <w:rFonts w:asciiTheme="minorHAnsi" w:hAnsiTheme="minorHAnsi"/>
                <w:b/>
                <w:szCs w:val="21"/>
                <w:u w:val="single"/>
              </w:rPr>
              <w:t>10 mg/m</w:t>
            </w:r>
            <w:r w:rsidRPr="00435100">
              <w:rPr>
                <w:rFonts w:asciiTheme="minorHAnsi" w:hAnsiTheme="minorHAnsi"/>
                <w:b/>
                <w:szCs w:val="21"/>
                <w:u w:val="single"/>
                <w:vertAlign w:val="superscript"/>
              </w:rPr>
              <w:t>3</w:t>
            </w:r>
            <w:r w:rsidRPr="00435100">
              <w:rPr>
                <w:rFonts w:asciiTheme="minorHAnsi" w:hAnsiTheme="minorHAnsi"/>
                <w:b/>
                <w:szCs w:val="21"/>
                <w:u w:val="single"/>
              </w:rPr>
              <w:t>，处理效率</w:t>
            </w:r>
            <w:r w:rsidRPr="00435100">
              <w:rPr>
                <w:rFonts w:asciiTheme="minorHAnsi" w:hAnsiTheme="minorHAnsi"/>
                <w:b/>
                <w:szCs w:val="21"/>
                <w:u w:val="single"/>
              </w:rPr>
              <w:t>≥90%</w:t>
            </w:r>
          </w:p>
        </w:tc>
      </w:tr>
      <w:tr w:rsidR="00D423C2" w:rsidRPr="00435100" w14:paraId="7F701C72" w14:textId="77777777" w:rsidTr="00FC1E23">
        <w:trPr>
          <w:trHeight w:val="340"/>
          <w:jc w:val="center"/>
        </w:trPr>
        <w:tc>
          <w:tcPr>
            <w:tcW w:w="494" w:type="pct"/>
            <w:vMerge/>
            <w:tcBorders>
              <w:left w:val="single" w:sz="12" w:space="0" w:color="auto"/>
            </w:tcBorders>
            <w:shd w:val="clear" w:color="auto" w:fill="auto"/>
            <w:vAlign w:val="center"/>
          </w:tcPr>
          <w:p w14:paraId="0B01E98B"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6369276D"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val="restart"/>
            <w:tcBorders>
              <w:right w:val="single" w:sz="6" w:space="0" w:color="auto"/>
            </w:tcBorders>
            <w:vAlign w:val="center"/>
          </w:tcPr>
          <w:p w14:paraId="541A67B3"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无组织</w:t>
            </w:r>
          </w:p>
        </w:tc>
        <w:tc>
          <w:tcPr>
            <w:tcW w:w="375" w:type="pct"/>
            <w:vMerge w:val="restart"/>
            <w:tcBorders>
              <w:left w:val="single" w:sz="6" w:space="0" w:color="auto"/>
            </w:tcBorders>
            <w:vAlign w:val="center"/>
          </w:tcPr>
          <w:p w14:paraId="14091579"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厂界</w:t>
            </w:r>
          </w:p>
        </w:tc>
        <w:tc>
          <w:tcPr>
            <w:tcW w:w="824" w:type="pct"/>
            <w:vAlign w:val="center"/>
          </w:tcPr>
          <w:p w14:paraId="3B897576"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颗粒物</w:t>
            </w:r>
          </w:p>
        </w:tc>
        <w:tc>
          <w:tcPr>
            <w:tcW w:w="1712" w:type="pct"/>
            <w:tcBorders>
              <w:right w:val="single" w:sz="12" w:space="0" w:color="auto"/>
            </w:tcBorders>
            <w:vAlign w:val="center"/>
          </w:tcPr>
          <w:p w14:paraId="236BF3AE"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企业边界浓度限值</w:t>
            </w:r>
            <w:r w:rsidRPr="00435100">
              <w:rPr>
                <w:rFonts w:asciiTheme="minorHAnsi" w:hAnsiTheme="minorHAnsi"/>
                <w:b/>
                <w:szCs w:val="21"/>
                <w:u w:val="single"/>
              </w:rPr>
              <w:t>1.0mg/m</w:t>
            </w:r>
            <w:r w:rsidRPr="00435100">
              <w:rPr>
                <w:rFonts w:asciiTheme="minorHAnsi" w:hAnsiTheme="minorHAnsi"/>
                <w:b/>
                <w:szCs w:val="21"/>
                <w:u w:val="single"/>
                <w:vertAlign w:val="superscript"/>
              </w:rPr>
              <w:t>3</w:t>
            </w:r>
          </w:p>
        </w:tc>
      </w:tr>
      <w:tr w:rsidR="00D423C2" w:rsidRPr="00435100" w14:paraId="64175B7D" w14:textId="77777777" w:rsidTr="00FC1E23">
        <w:trPr>
          <w:trHeight w:val="340"/>
          <w:jc w:val="center"/>
        </w:trPr>
        <w:tc>
          <w:tcPr>
            <w:tcW w:w="494" w:type="pct"/>
            <w:vMerge/>
            <w:tcBorders>
              <w:left w:val="single" w:sz="12" w:space="0" w:color="auto"/>
            </w:tcBorders>
            <w:shd w:val="clear" w:color="auto" w:fill="auto"/>
            <w:vAlign w:val="center"/>
          </w:tcPr>
          <w:p w14:paraId="0B003123"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2169B899"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6FDB97DA" w14:textId="77777777" w:rsidR="00D423C2" w:rsidRPr="00435100" w:rsidRDefault="00D423C2"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565D70F8" w14:textId="77777777" w:rsidR="00D423C2" w:rsidRPr="00435100" w:rsidRDefault="00D423C2" w:rsidP="00CE7021">
            <w:pPr>
              <w:spacing w:line="240" w:lineRule="atLeast"/>
              <w:jc w:val="center"/>
              <w:rPr>
                <w:rFonts w:asciiTheme="minorHAnsi" w:hAnsiTheme="minorHAnsi"/>
                <w:b/>
                <w:szCs w:val="21"/>
                <w:u w:val="single"/>
              </w:rPr>
            </w:pPr>
          </w:p>
        </w:tc>
        <w:tc>
          <w:tcPr>
            <w:tcW w:w="824" w:type="pct"/>
            <w:vAlign w:val="center"/>
          </w:tcPr>
          <w:p w14:paraId="59C3ADCA"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非甲烷总烃</w:t>
            </w:r>
          </w:p>
        </w:tc>
        <w:tc>
          <w:tcPr>
            <w:tcW w:w="1712" w:type="pct"/>
            <w:tcBorders>
              <w:right w:val="single" w:sz="12" w:space="0" w:color="auto"/>
            </w:tcBorders>
            <w:vAlign w:val="center"/>
          </w:tcPr>
          <w:p w14:paraId="42EEF41A"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企业边界浓度限值</w:t>
            </w:r>
            <w:r w:rsidRPr="00435100">
              <w:rPr>
                <w:rFonts w:asciiTheme="minorHAnsi" w:hAnsiTheme="minorHAnsi"/>
                <w:b/>
                <w:szCs w:val="21"/>
                <w:u w:val="single"/>
              </w:rPr>
              <w:t>2.0mg/m</w:t>
            </w:r>
            <w:r w:rsidRPr="00435100">
              <w:rPr>
                <w:rFonts w:asciiTheme="minorHAnsi" w:hAnsiTheme="minorHAnsi"/>
                <w:b/>
                <w:szCs w:val="21"/>
                <w:u w:val="single"/>
                <w:vertAlign w:val="superscript"/>
              </w:rPr>
              <w:t>3</w:t>
            </w:r>
          </w:p>
        </w:tc>
      </w:tr>
      <w:tr w:rsidR="00D423C2" w:rsidRPr="00435100" w14:paraId="254450A2" w14:textId="77777777" w:rsidTr="00FC1E23">
        <w:trPr>
          <w:trHeight w:val="340"/>
          <w:jc w:val="center"/>
        </w:trPr>
        <w:tc>
          <w:tcPr>
            <w:tcW w:w="494" w:type="pct"/>
            <w:vMerge/>
            <w:tcBorders>
              <w:left w:val="single" w:sz="12" w:space="0" w:color="auto"/>
            </w:tcBorders>
            <w:shd w:val="clear" w:color="auto" w:fill="auto"/>
            <w:vAlign w:val="center"/>
          </w:tcPr>
          <w:p w14:paraId="6F1DC6A4"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right w:val="single" w:sz="6" w:space="0" w:color="auto"/>
            </w:tcBorders>
            <w:vAlign w:val="center"/>
          </w:tcPr>
          <w:p w14:paraId="645A618F"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tcBorders>
              <w:right w:val="single" w:sz="6" w:space="0" w:color="auto"/>
            </w:tcBorders>
            <w:vAlign w:val="center"/>
          </w:tcPr>
          <w:p w14:paraId="7A5D9F03" w14:textId="77777777" w:rsidR="00D423C2" w:rsidRPr="00435100" w:rsidRDefault="00D423C2" w:rsidP="00CE7021">
            <w:pPr>
              <w:spacing w:line="240" w:lineRule="atLeast"/>
              <w:jc w:val="center"/>
              <w:rPr>
                <w:rFonts w:asciiTheme="minorHAnsi" w:hAnsiTheme="minorHAnsi"/>
                <w:b/>
                <w:szCs w:val="21"/>
                <w:u w:val="single"/>
              </w:rPr>
            </w:pPr>
          </w:p>
        </w:tc>
        <w:tc>
          <w:tcPr>
            <w:tcW w:w="375" w:type="pct"/>
            <w:vMerge/>
            <w:tcBorders>
              <w:left w:val="single" w:sz="6" w:space="0" w:color="auto"/>
            </w:tcBorders>
            <w:vAlign w:val="center"/>
          </w:tcPr>
          <w:p w14:paraId="74AA1DCA" w14:textId="77777777" w:rsidR="00D423C2" w:rsidRPr="00435100" w:rsidRDefault="00D423C2" w:rsidP="00CE7021">
            <w:pPr>
              <w:spacing w:line="240" w:lineRule="atLeast"/>
              <w:jc w:val="center"/>
              <w:rPr>
                <w:rFonts w:asciiTheme="minorHAnsi" w:hAnsiTheme="minorHAnsi"/>
                <w:b/>
                <w:szCs w:val="21"/>
                <w:u w:val="single"/>
              </w:rPr>
            </w:pPr>
          </w:p>
        </w:tc>
        <w:tc>
          <w:tcPr>
            <w:tcW w:w="824" w:type="pct"/>
            <w:vAlign w:val="center"/>
          </w:tcPr>
          <w:p w14:paraId="3D45B735"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NH</w:t>
            </w:r>
            <w:r w:rsidRPr="00435100">
              <w:rPr>
                <w:rFonts w:asciiTheme="minorHAnsi" w:hAnsiTheme="minorHAnsi"/>
                <w:b/>
                <w:szCs w:val="21"/>
                <w:u w:val="single"/>
                <w:vertAlign w:val="subscript"/>
              </w:rPr>
              <w:t>3</w:t>
            </w:r>
          </w:p>
        </w:tc>
        <w:tc>
          <w:tcPr>
            <w:tcW w:w="1712" w:type="pct"/>
            <w:tcBorders>
              <w:right w:val="single" w:sz="12" w:space="0" w:color="auto"/>
            </w:tcBorders>
            <w:vAlign w:val="center"/>
          </w:tcPr>
          <w:p w14:paraId="36924A97"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厂界标准值</w:t>
            </w:r>
            <w:r w:rsidRPr="00435100">
              <w:rPr>
                <w:rFonts w:asciiTheme="minorHAnsi" w:hAnsiTheme="minorHAnsi"/>
                <w:b/>
                <w:szCs w:val="21"/>
                <w:u w:val="single"/>
              </w:rPr>
              <w:t>1.5mg/m</w:t>
            </w:r>
            <w:r w:rsidRPr="00435100">
              <w:rPr>
                <w:rFonts w:asciiTheme="minorHAnsi" w:hAnsiTheme="minorHAnsi"/>
                <w:b/>
                <w:szCs w:val="21"/>
                <w:u w:val="single"/>
                <w:vertAlign w:val="superscript"/>
              </w:rPr>
              <w:t>3</w:t>
            </w:r>
          </w:p>
        </w:tc>
      </w:tr>
      <w:tr w:rsidR="00D423C2" w:rsidRPr="00435100" w14:paraId="274B0C65" w14:textId="77777777" w:rsidTr="006760FE">
        <w:trPr>
          <w:trHeight w:val="340"/>
          <w:jc w:val="center"/>
        </w:trPr>
        <w:tc>
          <w:tcPr>
            <w:tcW w:w="494" w:type="pct"/>
            <w:vMerge/>
            <w:tcBorders>
              <w:left w:val="single" w:sz="12" w:space="0" w:color="auto"/>
              <w:bottom w:val="single" w:sz="12" w:space="0" w:color="auto"/>
            </w:tcBorders>
            <w:shd w:val="clear" w:color="auto" w:fill="auto"/>
            <w:vAlign w:val="center"/>
          </w:tcPr>
          <w:p w14:paraId="48D61F28" w14:textId="77777777" w:rsidR="00D423C2" w:rsidRPr="00435100" w:rsidRDefault="00D423C2" w:rsidP="00CE7021">
            <w:pPr>
              <w:spacing w:line="240" w:lineRule="atLeast"/>
              <w:jc w:val="center"/>
              <w:rPr>
                <w:rFonts w:asciiTheme="minorHAnsi" w:hAnsiTheme="minorHAnsi"/>
                <w:b/>
                <w:szCs w:val="21"/>
                <w:u w:val="single"/>
              </w:rPr>
            </w:pPr>
          </w:p>
        </w:tc>
        <w:tc>
          <w:tcPr>
            <w:tcW w:w="1222" w:type="pct"/>
            <w:vMerge/>
            <w:tcBorders>
              <w:bottom w:val="single" w:sz="12" w:space="0" w:color="auto"/>
              <w:right w:val="single" w:sz="6" w:space="0" w:color="auto"/>
            </w:tcBorders>
            <w:vAlign w:val="center"/>
          </w:tcPr>
          <w:p w14:paraId="5976263C" w14:textId="77777777" w:rsidR="00D423C2" w:rsidRPr="00435100" w:rsidRDefault="00D423C2" w:rsidP="00CE7021">
            <w:pPr>
              <w:spacing w:line="240" w:lineRule="atLeast"/>
              <w:jc w:val="center"/>
              <w:rPr>
                <w:rFonts w:asciiTheme="minorHAnsi" w:hAnsiTheme="minorHAnsi"/>
                <w:b/>
                <w:szCs w:val="21"/>
                <w:u w:val="single"/>
              </w:rPr>
            </w:pPr>
          </w:p>
        </w:tc>
        <w:tc>
          <w:tcPr>
            <w:tcW w:w="373" w:type="pct"/>
            <w:vMerge/>
            <w:tcBorders>
              <w:bottom w:val="single" w:sz="12" w:space="0" w:color="auto"/>
              <w:right w:val="single" w:sz="6" w:space="0" w:color="auto"/>
            </w:tcBorders>
            <w:vAlign w:val="center"/>
          </w:tcPr>
          <w:p w14:paraId="24A5AA6F" w14:textId="77777777" w:rsidR="00D423C2" w:rsidRPr="00435100" w:rsidRDefault="00D423C2" w:rsidP="00CE7021">
            <w:pPr>
              <w:spacing w:line="240" w:lineRule="atLeast"/>
              <w:jc w:val="center"/>
              <w:rPr>
                <w:rFonts w:asciiTheme="minorHAnsi" w:hAnsiTheme="minorHAnsi"/>
                <w:b/>
                <w:szCs w:val="21"/>
                <w:u w:val="single"/>
              </w:rPr>
            </w:pPr>
          </w:p>
        </w:tc>
        <w:tc>
          <w:tcPr>
            <w:tcW w:w="375" w:type="pct"/>
            <w:vMerge/>
            <w:tcBorders>
              <w:left w:val="single" w:sz="6" w:space="0" w:color="auto"/>
              <w:bottom w:val="single" w:sz="12" w:space="0" w:color="auto"/>
            </w:tcBorders>
            <w:vAlign w:val="center"/>
          </w:tcPr>
          <w:p w14:paraId="0288279D" w14:textId="77777777" w:rsidR="00D423C2" w:rsidRPr="00435100" w:rsidRDefault="00D423C2" w:rsidP="00CE7021">
            <w:pPr>
              <w:spacing w:line="240" w:lineRule="atLeast"/>
              <w:jc w:val="center"/>
              <w:rPr>
                <w:rFonts w:asciiTheme="minorHAnsi" w:hAnsiTheme="minorHAnsi"/>
                <w:b/>
                <w:szCs w:val="21"/>
                <w:u w:val="single"/>
              </w:rPr>
            </w:pPr>
          </w:p>
        </w:tc>
        <w:tc>
          <w:tcPr>
            <w:tcW w:w="824" w:type="pct"/>
            <w:tcBorders>
              <w:bottom w:val="single" w:sz="12" w:space="0" w:color="auto"/>
            </w:tcBorders>
            <w:vAlign w:val="center"/>
          </w:tcPr>
          <w:p w14:paraId="3C6469DB"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H</w:t>
            </w:r>
            <w:r w:rsidRPr="00435100">
              <w:rPr>
                <w:rFonts w:asciiTheme="minorHAnsi" w:hAnsiTheme="minorHAnsi"/>
                <w:b/>
                <w:szCs w:val="21"/>
                <w:u w:val="single"/>
                <w:vertAlign w:val="subscript"/>
              </w:rPr>
              <w:t>2</w:t>
            </w:r>
            <w:r w:rsidRPr="00435100">
              <w:rPr>
                <w:rFonts w:asciiTheme="minorHAnsi" w:hAnsiTheme="minorHAnsi"/>
                <w:b/>
                <w:szCs w:val="21"/>
                <w:u w:val="single"/>
              </w:rPr>
              <w:t>S</w:t>
            </w:r>
          </w:p>
        </w:tc>
        <w:tc>
          <w:tcPr>
            <w:tcW w:w="1712" w:type="pct"/>
            <w:tcBorders>
              <w:bottom w:val="single" w:sz="12" w:space="0" w:color="auto"/>
              <w:right w:val="single" w:sz="12" w:space="0" w:color="auto"/>
            </w:tcBorders>
            <w:vAlign w:val="center"/>
          </w:tcPr>
          <w:p w14:paraId="733DDCC3" w14:textId="77777777" w:rsidR="00D423C2" w:rsidRPr="00435100" w:rsidRDefault="00D423C2" w:rsidP="00CE7021">
            <w:pPr>
              <w:spacing w:line="240" w:lineRule="atLeast"/>
              <w:jc w:val="center"/>
              <w:rPr>
                <w:rFonts w:asciiTheme="minorHAnsi" w:hAnsiTheme="minorHAnsi"/>
                <w:b/>
                <w:szCs w:val="21"/>
                <w:u w:val="single"/>
              </w:rPr>
            </w:pPr>
            <w:r w:rsidRPr="00435100">
              <w:rPr>
                <w:rFonts w:asciiTheme="minorHAnsi" w:hAnsiTheme="minorHAnsi"/>
                <w:b/>
                <w:szCs w:val="21"/>
                <w:u w:val="single"/>
              </w:rPr>
              <w:t>厂界标准值</w:t>
            </w:r>
            <w:r w:rsidRPr="00435100">
              <w:rPr>
                <w:rFonts w:asciiTheme="minorHAnsi" w:hAnsiTheme="minorHAnsi"/>
                <w:b/>
                <w:szCs w:val="21"/>
                <w:u w:val="single"/>
              </w:rPr>
              <w:t>0.06mg/m</w:t>
            </w:r>
            <w:r w:rsidRPr="00435100">
              <w:rPr>
                <w:rFonts w:asciiTheme="minorHAnsi" w:hAnsiTheme="minorHAnsi"/>
                <w:b/>
                <w:szCs w:val="21"/>
                <w:u w:val="single"/>
                <w:vertAlign w:val="superscript"/>
              </w:rPr>
              <w:t>3</w:t>
            </w:r>
          </w:p>
        </w:tc>
      </w:tr>
    </w:tbl>
    <w:p w14:paraId="0527335F" w14:textId="77777777" w:rsidR="0055605A" w:rsidRPr="00A964FF" w:rsidRDefault="0055605A" w:rsidP="00FC1E23">
      <w:pPr>
        <w:spacing w:line="520" w:lineRule="exact"/>
        <w:ind w:firstLineChars="200" w:firstLine="482"/>
        <w:rPr>
          <w:rFonts w:ascii="Calibri" w:hAnsi="Calibri"/>
          <w:b/>
          <w:color w:val="auto"/>
          <w:sz w:val="24"/>
        </w:rPr>
      </w:pPr>
      <w:r w:rsidRPr="00A964FF">
        <w:rPr>
          <w:rFonts w:ascii="Calibri" w:hAnsi="Calibri"/>
          <w:b/>
          <w:color w:val="auto"/>
          <w:sz w:val="24"/>
        </w:rPr>
        <w:t>2</w:t>
      </w:r>
      <w:r w:rsidRPr="00A964FF">
        <w:rPr>
          <w:rFonts w:ascii="Calibri" w:hAnsi="Calibri"/>
          <w:b/>
          <w:color w:val="auto"/>
          <w:sz w:val="24"/>
        </w:rPr>
        <w:t>、废水污染物排放标准</w:t>
      </w:r>
    </w:p>
    <w:p w14:paraId="4BEA6B39" w14:textId="30780362" w:rsidR="00FC1E23" w:rsidRPr="00FC1E23" w:rsidRDefault="00FC1E23" w:rsidP="00FC1E23">
      <w:pPr>
        <w:spacing w:line="520" w:lineRule="exact"/>
        <w:ind w:firstLineChars="200" w:firstLine="480"/>
        <w:rPr>
          <w:rFonts w:ascii="Calibri" w:hAnsi="Calibri"/>
          <w:color w:val="auto"/>
          <w:sz w:val="24"/>
        </w:rPr>
      </w:pPr>
      <w:r w:rsidRPr="00A964FF">
        <w:rPr>
          <w:rFonts w:ascii="Calibri" w:hAnsi="Calibri" w:hint="eastAsia"/>
          <w:color w:val="auto"/>
          <w:sz w:val="24"/>
        </w:rPr>
        <w:t>本项目工艺废水和生活污水经厂区自建废水处理站处理达标后排入集聚区污水处理厂集中处理。因此，</w:t>
      </w:r>
      <w:r w:rsidRPr="00A964FF">
        <w:rPr>
          <w:rFonts w:ascii="Calibri" w:hAnsi="Calibri"/>
          <w:color w:val="auto"/>
          <w:sz w:val="24"/>
        </w:rPr>
        <w:t>本项目</w:t>
      </w:r>
      <w:r w:rsidRPr="00CA798E">
        <w:rPr>
          <w:rFonts w:ascii="Calibri" w:hAnsi="Calibri" w:hint="eastAsia"/>
          <w:color w:val="auto"/>
          <w:sz w:val="24"/>
        </w:rPr>
        <w:t>生产、生活废水执行《合成树脂工业污染物排放标准》（</w:t>
      </w:r>
      <w:r w:rsidRPr="00CA798E">
        <w:rPr>
          <w:rFonts w:ascii="Calibri" w:hAnsi="Calibri" w:hint="eastAsia"/>
          <w:color w:val="auto"/>
          <w:sz w:val="24"/>
        </w:rPr>
        <w:t>GB31572-2015</w:t>
      </w:r>
      <w:r w:rsidRPr="00CA798E">
        <w:rPr>
          <w:rFonts w:ascii="Calibri" w:hAnsi="Calibri" w:hint="eastAsia"/>
          <w:color w:val="auto"/>
          <w:sz w:val="24"/>
        </w:rPr>
        <w:t>）间接排放限值</w:t>
      </w:r>
      <w:r>
        <w:rPr>
          <w:rFonts w:ascii="Calibri" w:hAnsi="Calibri" w:hint="eastAsia"/>
          <w:color w:val="auto"/>
          <w:sz w:val="24"/>
        </w:rPr>
        <w:t>，</w:t>
      </w:r>
      <w:r w:rsidRPr="00FC1E23">
        <w:rPr>
          <w:rFonts w:ascii="Calibri" w:hAnsi="Calibri" w:hint="eastAsia"/>
          <w:color w:val="auto"/>
          <w:sz w:val="24"/>
        </w:rPr>
        <w:t>同时执行《化工行业水污染物间接排放标准》（</w:t>
      </w:r>
      <w:r w:rsidRPr="00FC1E23">
        <w:rPr>
          <w:rFonts w:ascii="Calibri" w:hAnsi="Calibri" w:hint="eastAsia"/>
          <w:color w:val="auto"/>
          <w:sz w:val="24"/>
        </w:rPr>
        <w:t>DB41/1135-2016</w:t>
      </w:r>
      <w:r w:rsidRPr="00FC1E23">
        <w:rPr>
          <w:rFonts w:ascii="Calibri" w:hAnsi="Calibri" w:hint="eastAsia"/>
          <w:color w:val="auto"/>
          <w:sz w:val="24"/>
        </w:rPr>
        <w:t>）和</w:t>
      </w:r>
      <w:r w:rsidR="00E01926">
        <w:rPr>
          <w:rFonts w:ascii="Calibri" w:hAnsi="Calibri" w:hint="eastAsia"/>
          <w:color w:val="auto"/>
          <w:sz w:val="24"/>
        </w:rPr>
        <w:t>平顶山</w:t>
      </w:r>
      <w:r w:rsidRPr="00CA798E">
        <w:rPr>
          <w:rFonts w:ascii="Calibri" w:hAnsi="Calibri" w:hint="eastAsia"/>
          <w:color w:val="auto"/>
          <w:sz w:val="24"/>
        </w:rPr>
        <w:t>第三污水处理厂进水</w:t>
      </w:r>
      <w:r w:rsidRPr="00A964FF">
        <w:rPr>
          <w:rFonts w:ascii="Calibri" w:hAnsi="Calibri" w:hint="eastAsia"/>
          <w:color w:val="auto"/>
          <w:sz w:val="24"/>
        </w:rPr>
        <w:t>指标，具体标准限值见</w:t>
      </w:r>
      <w:r w:rsidRPr="00A964FF">
        <w:rPr>
          <w:rFonts w:ascii="Calibri" w:hAnsi="宋体" w:hint="eastAsia"/>
          <w:color w:val="auto"/>
          <w:sz w:val="24"/>
        </w:rPr>
        <w:t>表</w:t>
      </w:r>
      <w:r w:rsidRPr="00A964FF">
        <w:rPr>
          <w:rFonts w:ascii="Calibri" w:hAnsi="宋体" w:hint="eastAsia"/>
          <w:color w:val="auto"/>
          <w:sz w:val="24"/>
        </w:rPr>
        <w:t>1.4-</w:t>
      </w:r>
      <w:r>
        <w:rPr>
          <w:rFonts w:ascii="Calibri" w:hAnsi="宋体" w:hint="eastAsia"/>
          <w:color w:val="auto"/>
          <w:sz w:val="24"/>
        </w:rPr>
        <w:t>8</w:t>
      </w:r>
      <w:r w:rsidRPr="00A964FF">
        <w:rPr>
          <w:rFonts w:ascii="Calibri" w:hAnsi="宋体" w:hint="eastAsia"/>
          <w:color w:val="auto"/>
          <w:sz w:val="24"/>
        </w:rPr>
        <w:t>。</w:t>
      </w:r>
    </w:p>
    <w:p w14:paraId="7B204DE2" w14:textId="77777777" w:rsidR="00CA798E" w:rsidRDefault="0055605A" w:rsidP="00CA798E">
      <w:pPr>
        <w:snapToGrid w:val="0"/>
        <w:spacing w:line="520" w:lineRule="exact"/>
        <w:ind w:leftChars="228" w:left="479" w:firstLineChars="5" w:firstLine="12"/>
        <w:jc w:val="left"/>
        <w:rPr>
          <w:rFonts w:ascii="Calibri" w:hAnsi="Calibri"/>
          <w:color w:val="auto"/>
          <w:szCs w:val="21"/>
        </w:rPr>
      </w:pPr>
      <w:r w:rsidRPr="00A964FF">
        <w:rPr>
          <w:rFonts w:ascii="Calibri" w:eastAsia="黑体"/>
          <w:color w:val="auto"/>
          <w:sz w:val="24"/>
        </w:rPr>
        <w:t>表</w:t>
      </w:r>
      <w:r w:rsidRPr="00A964FF">
        <w:rPr>
          <w:rFonts w:ascii="Calibri" w:eastAsia="黑体" w:hAnsi="Calibri"/>
          <w:color w:val="auto"/>
          <w:sz w:val="24"/>
        </w:rPr>
        <w:t>1</w:t>
      </w:r>
      <w:r w:rsidR="008C5049" w:rsidRPr="00A964FF">
        <w:rPr>
          <w:rFonts w:ascii="Calibri" w:eastAsia="黑体" w:hAnsi="Calibri" w:hint="eastAsia"/>
          <w:color w:val="auto"/>
          <w:sz w:val="24"/>
        </w:rPr>
        <w:t>.</w:t>
      </w:r>
      <w:r w:rsidR="006669D1" w:rsidRPr="00A964FF">
        <w:rPr>
          <w:rFonts w:ascii="Calibri" w:eastAsia="黑体" w:hAnsi="Calibri" w:hint="eastAsia"/>
          <w:color w:val="auto"/>
          <w:sz w:val="24"/>
        </w:rPr>
        <w:t>4</w:t>
      </w:r>
      <w:r w:rsidRPr="00A964FF">
        <w:rPr>
          <w:rFonts w:ascii="Calibri" w:eastAsia="黑体" w:hAnsi="Calibri"/>
          <w:color w:val="auto"/>
          <w:sz w:val="24"/>
        </w:rPr>
        <w:t>-</w:t>
      </w:r>
      <w:r w:rsidR="006841F3">
        <w:rPr>
          <w:rFonts w:ascii="Calibri" w:eastAsia="黑体" w:hAnsi="Calibri" w:hint="eastAsia"/>
          <w:color w:val="auto"/>
          <w:sz w:val="24"/>
        </w:rPr>
        <w:t>1</w:t>
      </w:r>
      <w:r w:rsidR="00CA798E">
        <w:rPr>
          <w:rFonts w:ascii="Calibri" w:eastAsia="黑体" w:hAnsi="Calibri" w:hint="eastAsia"/>
          <w:color w:val="auto"/>
          <w:sz w:val="24"/>
        </w:rPr>
        <w:t>3</w:t>
      </w:r>
      <w:r w:rsidR="003577AD" w:rsidRPr="00A964FF">
        <w:rPr>
          <w:rFonts w:ascii="Calibri" w:eastAsia="黑体" w:hint="eastAsia"/>
          <w:color w:val="auto"/>
          <w:sz w:val="24"/>
        </w:rPr>
        <w:t xml:space="preserve">      </w:t>
      </w:r>
      <w:r w:rsidR="006669D1" w:rsidRPr="00A964FF">
        <w:rPr>
          <w:rFonts w:ascii="Calibri" w:eastAsia="黑体" w:hint="eastAsia"/>
          <w:color w:val="auto"/>
          <w:sz w:val="24"/>
        </w:rPr>
        <w:t xml:space="preserve"> </w:t>
      </w:r>
      <w:r w:rsidR="00907583" w:rsidRPr="00A964FF">
        <w:rPr>
          <w:rFonts w:ascii="Calibri" w:eastAsia="黑体" w:hint="eastAsia"/>
          <w:color w:val="auto"/>
          <w:sz w:val="24"/>
        </w:rPr>
        <w:t xml:space="preserve"> </w:t>
      </w:r>
      <w:r w:rsidRPr="00A964FF">
        <w:rPr>
          <w:rFonts w:ascii="Calibri" w:eastAsia="黑体" w:hint="eastAsia"/>
          <w:color w:val="auto"/>
          <w:sz w:val="24"/>
        </w:rPr>
        <w:t xml:space="preserve">  </w:t>
      </w:r>
      <w:r w:rsidR="00907583" w:rsidRPr="00A964FF">
        <w:rPr>
          <w:rFonts w:ascii="Calibri" w:eastAsia="黑体" w:hint="eastAsia"/>
          <w:color w:val="auto"/>
          <w:sz w:val="24"/>
        </w:rPr>
        <w:t>本项目废水排放执行标准限值</w:t>
      </w:r>
      <w:r w:rsidR="00034B7B" w:rsidRPr="00A964FF">
        <w:rPr>
          <w:rFonts w:ascii="Calibri" w:eastAsia="黑体" w:hint="eastAsia"/>
          <w:color w:val="auto"/>
          <w:sz w:val="24"/>
        </w:rPr>
        <w:t xml:space="preserve">  </w:t>
      </w:r>
      <w:r w:rsidR="006669D1" w:rsidRPr="00A964FF">
        <w:rPr>
          <w:rFonts w:ascii="Calibri" w:eastAsia="黑体" w:hint="eastAsia"/>
          <w:color w:val="auto"/>
          <w:sz w:val="24"/>
        </w:rPr>
        <w:t xml:space="preserve"> </w:t>
      </w:r>
      <w:r w:rsidR="003577AD" w:rsidRPr="00A964FF">
        <w:rPr>
          <w:rFonts w:ascii="Calibri" w:eastAsia="黑体" w:hint="eastAsia"/>
          <w:color w:val="auto"/>
          <w:sz w:val="24"/>
        </w:rPr>
        <w:t xml:space="preserve">  </w:t>
      </w:r>
      <w:r w:rsidR="00034B7B" w:rsidRPr="00A964FF">
        <w:rPr>
          <w:rFonts w:ascii="Calibri" w:eastAsia="黑体" w:hint="eastAsia"/>
          <w:color w:val="auto"/>
          <w:sz w:val="24"/>
        </w:rPr>
        <w:t xml:space="preserve">   </w:t>
      </w:r>
      <w:r w:rsidR="00907583" w:rsidRPr="00A964FF">
        <w:rPr>
          <w:rFonts w:ascii="Calibri" w:eastAsia="黑体" w:hint="eastAsia"/>
          <w:color w:val="auto"/>
          <w:sz w:val="24"/>
        </w:rPr>
        <w:t xml:space="preserve">   </w:t>
      </w:r>
      <w:r w:rsidR="00907583" w:rsidRPr="00A964FF">
        <w:rPr>
          <w:rFonts w:ascii="Calibri" w:hAnsi="宋体"/>
          <w:color w:val="auto"/>
          <w:szCs w:val="21"/>
        </w:rPr>
        <w:t>单位：</w:t>
      </w:r>
      <w:r w:rsidR="00CC55BB" w:rsidRPr="00A964FF">
        <w:rPr>
          <w:rFonts w:ascii="Calibri" w:hAnsi="Calibri"/>
          <w:color w:val="auto"/>
          <w:szCs w:val="21"/>
        </w:rPr>
        <w:t>mg/L</w:t>
      </w:r>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3640"/>
        <w:gridCol w:w="1953"/>
        <w:gridCol w:w="2733"/>
      </w:tblGrid>
      <w:tr w:rsidR="00FC1E23" w:rsidRPr="00FC1E23" w14:paraId="081D5EC8" w14:textId="77777777" w:rsidTr="00FC1E23">
        <w:trPr>
          <w:trHeight w:val="340"/>
          <w:tblHeader/>
          <w:jc w:val="center"/>
        </w:trPr>
        <w:tc>
          <w:tcPr>
            <w:tcW w:w="494" w:type="pct"/>
            <w:tcBorders>
              <w:top w:val="single" w:sz="12" w:space="0" w:color="auto"/>
              <w:left w:val="single" w:sz="12" w:space="0" w:color="auto"/>
            </w:tcBorders>
            <w:vAlign w:val="center"/>
          </w:tcPr>
          <w:p w14:paraId="2158D1B0" w14:textId="77777777" w:rsidR="00FC1E23" w:rsidRPr="00FC1E23" w:rsidRDefault="00FC1E23" w:rsidP="00CE7021">
            <w:pPr>
              <w:spacing w:line="240" w:lineRule="atLeast"/>
              <w:jc w:val="center"/>
              <w:rPr>
                <w:rFonts w:asciiTheme="minorHAnsi" w:hAnsiTheme="minorHAnsi"/>
                <w:szCs w:val="21"/>
              </w:rPr>
            </w:pPr>
            <w:r w:rsidRPr="00FC1E23">
              <w:rPr>
                <w:rFonts w:asciiTheme="minorHAnsi" w:hAnsiTheme="minorHAnsi"/>
                <w:szCs w:val="21"/>
              </w:rPr>
              <w:t>污染物</w:t>
            </w:r>
          </w:p>
        </w:tc>
        <w:tc>
          <w:tcPr>
            <w:tcW w:w="1970" w:type="pct"/>
            <w:tcBorders>
              <w:top w:val="single" w:sz="12" w:space="0" w:color="auto"/>
            </w:tcBorders>
            <w:vAlign w:val="center"/>
          </w:tcPr>
          <w:p w14:paraId="677106B5" w14:textId="77777777" w:rsidR="00FC1E23" w:rsidRPr="00FC1E23" w:rsidRDefault="00FC1E23" w:rsidP="00CE7021">
            <w:pPr>
              <w:spacing w:line="240" w:lineRule="atLeast"/>
              <w:jc w:val="center"/>
              <w:rPr>
                <w:rFonts w:asciiTheme="minorHAnsi" w:hAnsiTheme="minorHAnsi"/>
                <w:szCs w:val="21"/>
              </w:rPr>
            </w:pPr>
            <w:r w:rsidRPr="00FC1E23">
              <w:rPr>
                <w:rFonts w:asciiTheme="minorHAnsi" w:hAnsiTheme="minorHAnsi"/>
                <w:szCs w:val="21"/>
              </w:rPr>
              <w:t>标准名称及级</w:t>
            </w:r>
            <w:r w:rsidRPr="00FC1E23">
              <w:rPr>
                <w:rFonts w:asciiTheme="minorHAnsi" w:hAnsiTheme="minorHAnsi"/>
                <w:szCs w:val="21"/>
              </w:rPr>
              <w:t>(</w:t>
            </w:r>
            <w:r w:rsidRPr="00FC1E23">
              <w:rPr>
                <w:rFonts w:asciiTheme="minorHAnsi" w:hAnsiTheme="minorHAnsi"/>
                <w:szCs w:val="21"/>
              </w:rPr>
              <w:t>类</w:t>
            </w:r>
            <w:r w:rsidRPr="00FC1E23">
              <w:rPr>
                <w:rFonts w:asciiTheme="minorHAnsi" w:hAnsiTheme="minorHAnsi"/>
                <w:szCs w:val="21"/>
              </w:rPr>
              <w:t>)</w:t>
            </w:r>
            <w:r w:rsidRPr="00FC1E23">
              <w:rPr>
                <w:rFonts w:asciiTheme="minorHAnsi" w:hAnsiTheme="minorHAnsi"/>
                <w:szCs w:val="21"/>
              </w:rPr>
              <w:t>别</w:t>
            </w:r>
          </w:p>
        </w:tc>
        <w:tc>
          <w:tcPr>
            <w:tcW w:w="1057" w:type="pct"/>
            <w:tcBorders>
              <w:top w:val="single" w:sz="12" w:space="0" w:color="auto"/>
            </w:tcBorders>
            <w:vAlign w:val="center"/>
          </w:tcPr>
          <w:p w14:paraId="761B2950" w14:textId="77777777" w:rsidR="00FC1E23" w:rsidRPr="00FC1E23" w:rsidRDefault="00FC1E23" w:rsidP="00CE7021">
            <w:pPr>
              <w:spacing w:line="240" w:lineRule="atLeast"/>
              <w:jc w:val="center"/>
              <w:rPr>
                <w:rFonts w:asciiTheme="minorHAnsi" w:hAnsiTheme="minorHAnsi"/>
                <w:szCs w:val="21"/>
              </w:rPr>
            </w:pPr>
            <w:r w:rsidRPr="00FC1E23">
              <w:rPr>
                <w:rFonts w:asciiTheme="minorHAnsi" w:hAnsiTheme="minorHAnsi"/>
                <w:szCs w:val="21"/>
              </w:rPr>
              <w:t>污染因子</w:t>
            </w:r>
          </w:p>
        </w:tc>
        <w:tc>
          <w:tcPr>
            <w:tcW w:w="1479" w:type="pct"/>
            <w:tcBorders>
              <w:top w:val="single" w:sz="12" w:space="0" w:color="auto"/>
              <w:right w:val="single" w:sz="12" w:space="0" w:color="auto"/>
            </w:tcBorders>
            <w:vAlign w:val="center"/>
          </w:tcPr>
          <w:p w14:paraId="0B0CE0EB" w14:textId="77777777" w:rsidR="00FC1E23" w:rsidRPr="00FC1E23" w:rsidRDefault="00FC1E23" w:rsidP="00CE7021">
            <w:pPr>
              <w:spacing w:line="240" w:lineRule="atLeast"/>
              <w:jc w:val="center"/>
              <w:rPr>
                <w:rFonts w:asciiTheme="minorHAnsi" w:hAnsiTheme="minorHAnsi"/>
                <w:szCs w:val="21"/>
              </w:rPr>
            </w:pPr>
            <w:r w:rsidRPr="00FC1E23">
              <w:rPr>
                <w:rFonts w:asciiTheme="minorHAnsi" w:hAnsiTheme="minorHAnsi"/>
                <w:szCs w:val="21"/>
              </w:rPr>
              <w:t>标准限值</w:t>
            </w:r>
          </w:p>
        </w:tc>
      </w:tr>
      <w:tr w:rsidR="00217891" w:rsidRPr="00FC1E23" w14:paraId="1636E0C2" w14:textId="77777777" w:rsidTr="00FC1E23">
        <w:trPr>
          <w:trHeight w:val="340"/>
          <w:jc w:val="center"/>
        </w:trPr>
        <w:tc>
          <w:tcPr>
            <w:tcW w:w="494" w:type="pct"/>
            <w:vMerge w:val="restart"/>
            <w:tcBorders>
              <w:left w:val="single" w:sz="12" w:space="0" w:color="auto"/>
            </w:tcBorders>
            <w:shd w:val="clear" w:color="auto" w:fill="auto"/>
            <w:vAlign w:val="center"/>
          </w:tcPr>
          <w:p w14:paraId="69C9D61A"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废水</w:t>
            </w:r>
          </w:p>
        </w:tc>
        <w:tc>
          <w:tcPr>
            <w:tcW w:w="1970" w:type="pct"/>
            <w:vMerge w:val="restart"/>
            <w:vAlign w:val="center"/>
          </w:tcPr>
          <w:p w14:paraId="7F278D2A" w14:textId="446ADD5A" w:rsidR="00217891" w:rsidRPr="00FC1E23" w:rsidRDefault="00217891" w:rsidP="00CE7021">
            <w:pPr>
              <w:spacing w:line="240" w:lineRule="atLeast"/>
              <w:jc w:val="center"/>
              <w:rPr>
                <w:rFonts w:asciiTheme="minorHAnsi" w:hAnsiTheme="minorHAnsi"/>
                <w:szCs w:val="21"/>
              </w:rPr>
            </w:pPr>
            <w:r>
              <w:rPr>
                <w:rFonts w:asciiTheme="minorHAnsi" w:hAnsiTheme="minorHAnsi"/>
                <w:szCs w:val="21"/>
              </w:rPr>
              <w:t>平顶山</w:t>
            </w:r>
            <w:r w:rsidRPr="00FC1E23">
              <w:rPr>
                <w:rFonts w:asciiTheme="minorHAnsi" w:hAnsiTheme="minorHAnsi"/>
                <w:szCs w:val="21"/>
              </w:rPr>
              <w:t>第三污水处理厂进水水质指标</w:t>
            </w:r>
          </w:p>
        </w:tc>
        <w:tc>
          <w:tcPr>
            <w:tcW w:w="1057" w:type="pct"/>
            <w:vAlign w:val="center"/>
          </w:tcPr>
          <w:p w14:paraId="2B5F8FC7"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pH</w:t>
            </w:r>
          </w:p>
        </w:tc>
        <w:tc>
          <w:tcPr>
            <w:tcW w:w="1479" w:type="pct"/>
            <w:tcBorders>
              <w:right w:val="single" w:sz="12" w:space="0" w:color="auto"/>
            </w:tcBorders>
            <w:vAlign w:val="center"/>
          </w:tcPr>
          <w:p w14:paraId="0C1B812A"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6</w:t>
            </w:r>
            <w:r w:rsidRPr="00FC1E23">
              <w:rPr>
                <w:rFonts w:asciiTheme="minorHAnsi" w:hAnsiTheme="minorHAnsi" w:hint="eastAsia"/>
                <w:bCs/>
                <w:szCs w:val="21"/>
              </w:rPr>
              <w:t>～</w:t>
            </w:r>
            <w:r w:rsidRPr="00FC1E23">
              <w:rPr>
                <w:rFonts w:asciiTheme="minorHAnsi" w:hAnsiTheme="minorHAnsi"/>
                <w:bCs/>
                <w:szCs w:val="21"/>
              </w:rPr>
              <w:t>9</w:t>
            </w:r>
          </w:p>
        </w:tc>
      </w:tr>
      <w:tr w:rsidR="00217891" w:rsidRPr="00FC1E23" w14:paraId="400EF4C9" w14:textId="77777777" w:rsidTr="00FC1E23">
        <w:trPr>
          <w:trHeight w:val="340"/>
          <w:jc w:val="center"/>
        </w:trPr>
        <w:tc>
          <w:tcPr>
            <w:tcW w:w="494" w:type="pct"/>
            <w:vMerge/>
            <w:tcBorders>
              <w:left w:val="single" w:sz="12" w:space="0" w:color="auto"/>
            </w:tcBorders>
            <w:shd w:val="clear" w:color="auto" w:fill="auto"/>
            <w:vAlign w:val="center"/>
          </w:tcPr>
          <w:p w14:paraId="5259244E"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40D29628"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69D763DB"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COD</w:t>
            </w:r>
          </w:p>
        </w:tc>
        <w:tc>
          <w:tcPr>
            <w:tcW w:w="1479" w:type="pct"/>
            <w:tcBorders>
              <w:right w:val="single" w:sz="12" w:space="0" w:color="auto"/>
            </w:tcBorders>
            <w:vAlign w:val="center"/>
          </w:tcPr>
          <w:p w14:paraId="071EB4E9"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400mg/L</w:t>
            </w:r>
          </w:p>
        </w:tc>
      </w:tr>
      <w:tr w:rsidR="00217891" w:rsidRPr="00FC1E23" w14:paraId="29C72A5C" w14:textId="77777777" w:rsidTr="00FC1E23">
        <w:trPr>
          <w:trHeight w:val="340"/>
          <w:jc w:val="center"/>
        </w:trPr>
        <w:tc>
          <w:tcPr>
            <w:tcW w:w="494" w:type="pct"/>
            <w:vMerge/>
            <w:tcBorders>
              <w:left w:val="single" w:sz="12" w:space="0" w:color="auto"/>
            </w:tcBorders>
            <w:shd w:val="clear" w:color="auto" w:fill="auto"/>
            <w:vAlign w:val="center"/>
          </w:tcPr>
          <w:p w14:paraId="18D187F5"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395979AD"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389DBA1D"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BOD</w:t>
            </w:r>
            <w:r w:rsidRPr="00FC1E23">
              <w:rPr>
                <w:rFonts w:asciiTheme="minorHAnsi" w:hAnsiTheme="minorHAnsi"/>
                <w:szCs w:val="21"/>
                <w:vertAlign w:val="subscript"/>
              </w:rPr>
              <w:t>5</w:t>
            </w:r>
          </w:p>
        </w:tc>
        <w:tc>
          <w:tcPr>
            <w:tcW w:w="1479" w:type="pct"/>
            <w:tcBorders>
              <w:right w:val="single" w:sz="12" w:space="0" w:color="auto"/>
            </w:tcBorders>
            <w:vAlign w:val="center"/>
          </w:tcPr>
          <w:p w14:paraId="15F9C354"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bCs/>
                <w:szCs w:val="21"/>
              </w:rPr>
              <w:t>150mg/L</w:t>
            </w:r>
          </w:p>
        </w:tc>
      </w:tr>
      <w:tr w:rsidR="00217891" w:rsidRPr="00FC1E23" w14:paraId="0B82B376" w14:textId="77777777" w:rsidTr="00FC1E23">
        <w:trPr>
          <w:trHeight w:val="340"/>
          <w:jc w:val="center"/>
        </w:trPr>
        <w:tc>
          <w:tcPr>
            <w:tcW w:w="494" w:type="pct"/>
            <w:vMerge/>
            <w:tcBorders>
              <w:left w:val="single" w:sz="12" w:space="0" w:color="auto"/>
            </w:tcBorders>
            <w:shd w:val="clear" w:color="auto" w:fill="auto"/>
            <w:vAlign w:val="center"/>
          </w:tcPr>
          <w:p w14:paraId="58B0D1C7"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126CAEA4"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6E7479E8"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NH</w:t>
            </w:r>
            <w:r w:rsidRPr="00FC1E23">
              <w:rPr>
                <w:rFonts w:asciiTheme="minorHAnsi" w:hAnsiTheme="minorHAnsi"/>
                <w:szCs w:val="21"/>
                <w:vertAlign w:val="subscript"/>
              </w:rPr>
              <w:t>3</w:t>
            </w:r>
            <w:r w:rsidRPr="00FC1E23">
              <w:rPr>
                <w:rFonts w:asciiTheme="minorHAnsi" w:hAnsiTheme="minorHAnsi"/>
                <w:szCs w:val="21"/>
              </w:rPr>
              <w:t>-N</w:t>
            </w:r>
          </w:p>
        </w:tc>
        <w:tc>
          <w:tcPr>
            <w:tcW w:w="1479" w:type="pct"/>
            <w:tcBorders>
              <w:right w:val="single" w:sz="12" w:space="0" w:color="auto"/>
            </w:tcBorders>
            <w:vAlign w:val="center"/>
          </w:tcPr>
          <w:p w14:paraId="05759932"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bCs/>
                <w:szCs w:val="21"/>
              </w:rPr>
              <w:t>35mg/L</w:t>
            </w:r>
          </w:p>
        </w:tc>
      </w:tr>
      <w:tr w:rsidR="00217891" w:rsidRPr="00FC1E23" w14:paraId="508362C9" w14:textId="77777777" w:rsidTr="00FC1E23">
        <w:trPr>
          <w:trHeight w:val="340"/>
          <w:jc w:val="center"/>
        </w:trPr>
        <w:tc>
          <w:tcPr>
            <w:tcW w:w="494" w:type="pct"/>
            <w:vMerge/>
            <w:tcBorders>
              <w:left w:val="single" w:sz="12" w:space="0" w:color="auto"/>
            </w:tcBorders>
            <w:shd w:val="clear" w:color="auto" w:fill="auto"/>
            <w:vAlign w:val="center"/>
          </w:tcPr>
          <w:p w14:paraId="302B745C"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0E1BB3A2"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57C708E5"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SS</w:t>
            </w:r>
          </w:p>
        </w:tc>
        <w:tc>
          <w:tcPr>
            <w:tcW w:w="1479" w:type="pct"/>
            <w:tcBorders>
              <w:right w:val="single" w:sz="12" w:space="0" w:color="auto"/>
            </w:tcBorders>
            <w:vAlign w:val="center"/>
          </w:tcPr>
          <w:p w14:paraId="09AD1821"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bCs/>
                <w:szCs w:val="21"/>
              </w:rPr>
              <w:t>300mg/L</w:t>
            </w:r>
          </w:p>
        </w:tc>
      </w:tr>
      <w:tr w:rsidR="00217891" w:rsidRPr="00FC1E23" w14:paraId="31DB6E88" w14:textId="77777777" w:rsidTr="00FC1E23">
        <w:trPr>
          <w:trHeight w:val="340"/>
          <w:jc w:val="center"/>
        </w:trPr>
        <w:tc>
          <w:tcPr>
            <w:tcW w:w="494" w:type="pct"/>
            <w:vMerge/>
            <w:tcBorders>
              <w:left w:val="single" w:sz="12" w:space="0" w:color="auto"/>
            </w:tcBorders>
            <w:shd w:val="clear" w:color="auto" w:fill="auto"/>
            <w:vAlign w:val="center"/>
          </w:tcPr>
          <w:p w14:paraId="5B7186B8" w14:textId="77777777" w:rsidR="00217891" w:rsidRPr="00FC1E23" w:rsidRDefault="00217891" w:rsidP="00CE7021">
            <w:pPr>
              <w:spacing w:line="240" w:lineRule="atLeast"/>
              <w:jc w:val="center"/>
              <w:rPr>
                <w:rFonts w:asciiTheme="minorHAnsi" w:hAnsiTheme="minorHAnsi"/>
                <w:szCs w:val="21"/>
              </w:rPr>
            </w:pPr>
          </w:p>
        </w:tc>
        <w:tc>
          <w:tcPr>
            <w:tcW w:w="1970" w:type="pct"/>
            <w:vMerge w:val="restart"/>
            <w:vAlign w:val="center"/>
          </w:tcPr>
          <w:p w14:paraId="2D4A288C"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《合成树脂工业污染物排放标准》（</w:t>
            </w:r>
            <w:r w:rsidRPr="00FC1E23">
              <w:rPr>
                <w:rFonts w:asciiTheme="minorHAnsi" w:hAnsiTheme="minorHAnsi"/>
                <w:szCs w:val="21"/>
              </w:rPr>
              <w:t>GB31572-2015</w:t>
            </w:r>
            <w:r w:rsidRPr="00FC1E23">
              <w:rPr>
                <w:rFonts w:asciiTheme="minorHAnsi" w:hAnsiTheme="minorHAnsi"/>
                <w:szCs w:val="21"/>
              </w:rPr>
              <w:t>）表</w:t>
            </w:r>
            <w:r w:rsidRPr="00FC1E23">
              <w:rPr>
                <w:rFonts w:asciiTheme="minorHAnsi" w:hAnsiTheme="minorHAnsi"/>
                <w:szCs w:val="21"/>
              </w:rPr>
              <w:t>1</w:t>
            </w:r>
            <w:r w:rsidRPr="00FC1E23">
              <w:rPr>
                <w:rFonts w:asciiTheme="minorHAnsi" w:hAnsiTheme="minorHAnsi"/>
                <w:szCs w:val="21"/>
              </w:rPr>
              <w:t>间接排放标准</w:t>
            </w:r>
          </w:p>
        </w:tc>
        <w:tc>
          <w:tcPr>
            <w:tcW w:w="1057" w:type="pct"/>
            <w:vAlign w:val="center"/>
          </w:tcPr>
          <w:p w14:paraId="11024553"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pH</w:t>
            </w:r>
          </w:p>
        </w:tc>
        <w:tc>
          <w:tcPr>
            <w:tcW w:w="1479" w:type="pct"/>
            <w:tcBorders>
              <w:right w:val="single" w:sz="12" w:space="0" w:color="auto"/>
            </w:tcBorders>
            <w:vAlign w:val="center"/>
          </w:tcPr>
          <w:p w14:paraId="1F2A390D"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softHyphen/>
              <w:t>--</w:t>
            </w:r>
          </w:p>
        </w:tc>
      </w:tr>
      <w:tr w:rsidR="00217891" w:rsidRPr="00FC1E23" w14:paraId="03224516" w14:textId="77777777" w:rsidTr="00FC1E23">
        <w:trPr>
          <w:trHeight w:val="340"/>
          <w:jc w:val="center"/>
        </w:trPr>
        <w:tc>
          <w:tcPr>
            <w:tcW w:w="494" w:type="pct"/>
            <w:vMerge/>
            <w:tcBorders>
              <w:left w:val="single" w:sz="12" w:space="0" w:color="auto"/>
            </w:tcBorders>
            <w:shd w:val="clear" w:color="auto" w:fill="auto"/>
            <w:vAlign w:val="center"/>
          </w:tcPr>
          <w:p w14:paraId="4A2C23D5"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1A6786B6"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10A7AFEA"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COD</w:t>
            </w:r>
          </w:p>
        </w:tc>
        <w:tc>
          <w:tcPr>
            <w:tcW w:w="1479" w:type="pct"/>
            <w:tcBorders>
              <w:right w:val="single" w:sz="12" w:space="0" w:color="auto"/>
            </w:tcBorders>
            <w:vAlign w:val="center"/>
          </w:tcPr>
          <w:p w14:paraId="0C14558A"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w:t>
            </w:r>
          </w:p>
        </w:tc>
      </w:tr>
      <w:tr w:rsidR="00217891" w:rsidRPr="00FC1E23" w14:paraId="62A5CBC5" w14:textId="77777777" w:rsidTr="00FC1E23">
        <w:trPr>
          <w:trHeight w:val="340"/>
          <w:jc w:val="center"/>
        </w:trPr>
        <w:tc>
          <w:tcPr>
            <w:tcW w:w="494" w:type="pct"/>
            <w:vMerge/>
            <w:tcBorders>
              <w:left w:val="single" w:sz="12" w:space="0" w:color="auto"/>
            </w:tcBorders>
            <w:shd w:val="clear" w:color="auto" w:fill="auto"/>
            <w:vAlign w:val="center"/>
          </w:tcPr>
          <w:p w14:paraId="54C10813"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0C5FABC2"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4D4CD657"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BOD</w:t>
            </w:r>
            <w:r w:rsidRPr="00FC1E23">
              <w:rPr>
                <w:rFonts w:asciiTheme="minorHAnsi" w:hAnsiTheme="minorHAnsi"/>
                <w:szCs w:val="21"/>
                <w:vertAlign w:val="subscript"/>
              </w:rPr>
              <w:t>5</w:t>
            </w:r>
          </w:p>
        </w:tc>
        <w:tc>
          <w:tcPr>
            <w:tcW w:w="1479" w:type="pct"/>
            <w:tcBorders>
              <w:right w:val="single" w:sz="12" w:space="0" w:color="auto"/>
            </w:tcBorders>
            <w:vAlign w:val="center"/>
          </w:tcPr>
          <w:p w14:paraId="17C7AF89"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w:t>
            </w:r>
          </w:p>
        </w:tc>
      </w:tr>
      <w:tr w:rsidR="00217891" w:rsidRPr="00FC1E23" w14:paraId="4CF5896A" w14:textId="77777777" w:rsidTr="00FC1E23">
        <w:trPr>
          <w:trHeight w:val="340"/>
          <w:jc w:val="center"/>
        </w:trPr>
        <w:tc>
          <w:tcPr>
            <w:tcW w:w="494" w:type="pct"/>
            <w:vMerge/>
            <w:tcBorders>
              <w:left w:val="single" w:sz="12" w:space="0" w:color="auto"/>
            </w:tcBorders>
            <w:shd w:val="clear" w:color="auto" w:fill="auto"/>
            <w:vAlign w:val="center"/>
          </w:tcPr>
          <w:p w14:paraId="0D873CD4"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183558F3"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51A22423"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NH</w:t>
            </w:r>
            <w:r w:rsidRPr="00FC1E23">
              <w:rPr>
                <w:rFonts w:asciiTheme="minorHAnsi" w:hAnsiTheme="minorHAnsi"/>
                <w:szCs w:val="21"/>
                <w:vertAlign w:val="subscript"/>
              </w:rPr>
              <w:t>3</w:t>
            </w:r>
            <w:r w:rsidRPr="00FC1E23">
              <w:rPr>
                <w:rFonts w:asciiTheme="minorHAnsi" w:hAnsiTheme="minorHAnsi"/>
                <w:szCs w:val="21"/>
              </w:rPr>
              <w:t>-N</w:t>
            </w:r>
          </w:p>
        </w:tc>
        <w:tc>
          <w:tcPr>
            <w:tcW w:w="1479" w:type="pct"/>
            <w:tcBorders>
              <w:right w:val="single" w:sz="12" w:space="0" w:color="auto"/>
            </w:tcBorders>
            <w:vAlign w:val="center"/>
          </w:tcPr>
          <w:p w14:paraId="545145F4"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w:t>
            </w:r>
          </w:p>
        </w:tc>
      </w:tr>
      <w:tr w:rsidR="00217891" w:rsidRPr="00FC1E23" w14:paraId="29A6AEC6" w14:textId="77777777" w:rsidTr="00FC1E23">
        <w:trPr>
          <w:trHeight w:val="340"/>
          <w:jc w:val="center"/>
        </w:trPr>
        <w:tc>
          <w:tcPr>
            <w:tcW w:w="494" w:type="pct"/>
            <w:vMerge/>
            <w:tcBorders>
              <w:left w:val="single" w:sz="12" w:space="0" w:color="auto"/>
            </w:tcBorders>
            <w:shd w:val="clear" w:color="auto" w:fill="auto"/>
            <w:vAlign w:val="center"/>
          </w:tcPr>
          <w:p w14:paraId="02A5974E"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25AA3F1D"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0F4402B9"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SS</w:t>
            </w:r>
          </w:p>
        </w:tc>
        <w:tc>
          <w:tcPr>
            <w:tcW w:w="1479" w:type="pct"/>
            <w:tcBorders>
              <w:right w:val="single" w:sz="12" w:space="0" w:color="auto"/>
            </w:tcBorders>
            <w:vAlign w:val="center"/>
          </w:tcPr>
          <w:p w14:paraId="3F292CC1"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w:t>
            </w:r>
          </w:p>
        </w:tc>
      </w:tr>
      <w:tr w:rsidR="00217891" w:rsidRPr="00FC1E23" w14:paraId="312D544F" w14:textId="77777777" w:rsidTr="00FC1E23">
        <w:trPr>
          <w:trHeight w:val="340"/>
          <w:jc w:val="center"/>
        </w:trPr>
        <w:tc>
          <w:tcPr>
            <w:tcW w:w="494" w:type="pct"/>
            <w:vMerge/>
            <w:tcBorders>
              <w:left w:val="single" w:sz="12" w:space="0" w:color="auto"/>
            </w:tcBorders>
            <w:shd w:val="clear" w:color="auto" w:fill="auto"/>
            <w:vAlign w:val="center"/>
          </w:tcPr>
          <w:p w14:paraId="7A8BA06B" w14:textId="77777777" w:rsidR="00217891" w:rsidRPr="00FC1E23" w:rsidRDefault="00217891" w:rsidP="00CE7021">
            <w:pPr>
              <w:spacing w:line="240" w:lineRule="atLeast"/>
              <w:jc w:val="center"/>
              <w:rPr>
                <w:rFonts w:asciiTheme="minorHAnsi" w:hAnsiTheme="minorHAnsi"/>
                <w:szCs w:val="21"/>
              </w:rPr>
            </w:pPr>
          </w:p>
        </w:tc>
        <w:tc>
          <w:tcPr>
            <w:tcW w:w="1970" w:type="pct"/>
            <w:vAlign w:val="center"/>
          </w:tcPr>
          <w:p w14:paraId="59961571"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《合成树脂工业污染物排放标准》（</w:t>
            </w:r>
            <w:r w:rsidRPr="00FC1E23">
              <w:rPr>
                <w:rFonts w:asciiTheme="minorHAnsi" w:hAnsiTheme="minorHAnsi"/>
                <w:szCs w:val="21"/>
              </w:rPr>
              <w:t>GB31572-2015</w:t>
            </w:r>
            <w:r w:rsidRPr="00FC1E23">
              <w:rPr>
                <w:rFonts w:asciiTheme="minorHAnsi" w:hAnsiTheme="minorHAnsi"/>
                <w:szCs w:val="21"/>
              </w:rPr>
              <w:t>）表</w:t>
            </w:r>
            <w:r w:rsidRPr="00FC1E23">
              <w:rPr>
                <w:rFonts w:asciiTheme="minorHAnsi" w:hAnsiTheme="minorHAnsi"/>
                <w:szCs w:val="21"/>
              </w:rPr>
              <w:t>3</w:t>
            </w:r>
          </w:p>
        </w:tc>
        <w:tc>
          <w:tcPr>
            <w:tcW w:w="2536" w:type="pct"/>
            <w:gridSpan w:val="2"/>
            <w:tcBorders>
              <w:right w:val="single" w:sz="12" w:space="0" w:color="auto"/>
            </w:tcBorders>
            <w:vAlign w:val="center"/>
          </w:tcPr>
          <w:p w14:paraId="6DC17188"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单位产品基准排水量限值</w:t>
            </w:r>
            <w:r w:rsidRPr="00FC1E23">
              <w:rPr>
                <w:rFonts w:asciiTheme="minorHAnsi" w:hAnsiTheme="minorHAnsi"/>
                <w:bCs/>
                <w:szCs w:val="21"/>
              </w:rPr>
              <w:t>4.0m</w:t>
            </w:r>
            <w:r w:rsidRPr="00FC1E23">
              <w:rPr>
                <w:rFonts w:asciiTheme="minorHAnsi" w:hAnsiTheme="minorHAnsi"/>
                <w:bCs/>
                <w:szCs w:val="21"/>
                <w:vertAlign w:val="superscript"/>
              </w:rPr>
              <w:t>3</w:t>
            </w:r>
            <w:r w:rsidRPr="00FC1E23">
              <w:rPr>
                <w:rFonts w:asciiTheme="minorHAnsi" w:hAnsiTheme="minorHAnsi"/>
                <w:bCs/>
                <w:szCs w:val="21"/>
              </w:rPr>
              <w:t>/t</w:t>
            </w:r>
            <w:r w:rsidRPr="00FC1E23">
              <w:rPr>
                <w:rFonts w:asciiTheme="minorHAnsi" w:hAnsiTheme="minorHAnsi"/>
                <w:bCs/>
                <w:szCs w:val="21"/>
              </w:rPr>
              <w:t>产品</w:t>
            </w:r>
          </w:p>
        </w:tc>
      </w:tr>
      <w:tr w:rsidR="00217891" w:rsidRPr="00FC1E23" w14:paraId="47782F44" w14:textId="77777777" w:rsidTr="00FC1E23">
        <w:trPr>
          <w:trHeight w:val="340"/>
          <w:jc w:val="center"/>
        </w:trPr>
        <w:tc>
          <w:tcPr>
            <w:tcW w:w="494" w:type="pct"/>
            <w:vMerge/>
            <w:tcBorders>
              <w:left w:val="single" w:sz="12" w:space="0" w:color="auto"/>
            </w:tcBorders>
            <w:shd w:val="clear" w:color="auto" w:fill="auto"/>
            <w:vAlign w:val="center"/>
          </w:tcPr>
          <w:p w14:paraId="330835BD" w14:textId="77777777" w:rsidR="00217891" w:rsidRPr="00FC1E23" w:rsidRDefault="00217891" w:rsidP="00CE7021">
            <w:pPr>
              <w:spacing w:line="240" w:lineRule="atLeast"/>
              <w:jc w:val="center"/>
              <w:rPr>
                <w:rFonts w:asciiTheme="minorHAnsi" w:hAnsiTheme="minorHAnsi"/>
                <w:szCs w:val="21"/>
              </w:rPr>
            </w:pPr>
          </w:p>
        </w:tc>
        <w:tc>
          <w:tcPr>
            <w:tcW w:w="1970" w:type="pct"/>
            <w:vMerge w:val="restart"/>
            <w:vAlign w:val="center"/>
          </w:tcPr>
          <w:p w14:paraId="5D0261BC"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《化工行业水污染物间接排放标准》（</w:t>
            </w:r>
            <w:r w:rsidRPr="00FC1E23">
              <w:rPr>
                <w:rFonts w:asciiTheme="minorHAnsi" w:hAnsiTheme="minorHAnsi"/>
                <w:szCs w:val="21"/>
              </w:rPr>
              <w:t>DB41/1135-2016</w:t>
            </w:r>
            <w:r w:rsidRPr="00FC1E23">
              <w:rPr>
                <w:rFonts w:asciiTheme="minorHAnsi" w:hAnsiTheme="minorHAnsi"/>
                <w:szCs w:val="21"/>
              </w:rPr>
              <w:t>）</w:t>
            </w:r>
          </w:p>
        </w:tc>
        <w:tc>
          <w:tcPr>
            <w:tcW w:w="1057" w:type="pct"/>
            <w:vAlign w:val="center"/>
          </w:tcPr>
          <w:p w14:paraId="3F6C4D7A"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pH</w:t>
            </w:r>
          </w:p>
        </w:tc>
        <w:tc>
          <w:tcPr>
            <w:tcW w:w="1479" w:type="pct"/>
            <w:tcBorders>
              <w:right w:val="single" w:sz="12" w:space="0" w:color="auto"/>
            </w:tcBorders>
            <w:vAlign w:val="center"/>
          </w:tcPr>
          <w:p w14:paraId="38E5158A"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hint="eastAsia"/>
                <w:bCs/>
                <w:szCs w:val="21"/>
              </w:rPr>
              <w:t>6</w:t>
            </w:r>
            <w:r w:rsidRPr="00FC1E23">
              <w:rPr>
                <w:rFonts w:asciiTheme="minorHAnsi" w:hAnsiTheme="minorHAnsi" w:hint="eastAsia"/>
                <w:bCs/>
                <w:szCs w:val="21"/>
              </w:rPr>
              <w:t>～</w:t>
            </w:r>
            <w:r w:rsidRPr="00FC1E23">
              <w:rPr>
                <w:rFonts w:asciiTheme="minorHAnsi" w:hAnsiTheme="minorHAnsi" w:hint="eastAsia"/>
                <w:bCs/>
                <w:szCs w:val="21"/>
              </w:rPr>
              <w:t>9</w:t>
            </w:r>
          </w:p>
        </w:tc>
      </w:tr>
      <w:tr w:rsidR="00217891" w:rsidRPr="00FC1E23" w14:paraId="197CB3AB" w14:textId="77777777" w:rsidTr="00FC1E23">
        <w:trPr>
          <w:trHeight w:val="340"/>
          <w:jc w:val="center"/>
        </w:trPr>
        <w:tc>
          <w:tcPr>
            <w:tcW w:w="494" w:type="pct"/>
            <w:vMerge/>
            <w:tcBorders>
              <w:left w:val="single" w:sz="12" w:space="0" w:color="auto"/>
            </w:tcBorders>
            <w:shd w:val="clear" w:color="auto" w:fill="auto"/>
            <w:vAlign w:val="center"/>
          </w:tcPr>
          <w:p w14:paraId="68BA1F43"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474E4C31"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21CDE17F"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COD</w:t>
            </w:r>
          </w:p>
        </w:tc>
        <w:tc>
          <w:tcPr>
            <w:tcW w:w="1479" w:type="pct"/>
            <w:tcBorders>
              <w:right w:val="single" w:sz="12" w:space="0" w:color="auto"/>
            </w:tcBorders>
            <w:vAlign w:val="center"/>
          </w:tcPr>
          <w:p w14:paraId="72509BFA"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300mg/L</w:t>
            </w:r>
          </w:p>
        </w:tc>
      </w:tr>
      <w:tr w:rsidR="00217891" w:rsidRPr="00FC1E23" w14:paraId="78C35737" w14:textId="77777777" w:rsidTr="00FC1E23">
        <w:trPr>
          <w:trHeight w:val="340"/>
          <w:jc w:val="center"/>
        </w:trPr>
        <w:tc>
          <w:tcPr>
            <w:tcW w:w="494" w:type="pct"/>
            <w:vMerge/>
            <w:tcBorders>
              <w:left w:val="single" w:sz="12" w:space="0" w:color="auto"/>
            </w:tcBorders>
            <w:shd w:val="clear" w:color="auto" w:fill="auto"/>
            <w:vAlign w:val="center"/>
          </w:tcPr>
          <w:p w14:paraId="600565AF"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4A1ADE1D"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03C7DBD3"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BOD</w:t>
            </w:r>
            <w:r w:rsidRPr="009819CE">
              <w:rPr>
                <w:rFonts w:asciiTheme="minorHAnsi" w:hAnsiTheme="minorHAnsi"/>
                <w:bCs/>
                <w:szCs w:val="21"/>
                <w:vertAlign w:val="subscript"/>
              </w:rPr>
              <w:t>5</w:t>
            </w:r>
          </w:p>
        </w:tc>
        <w:tc>
          <w:tcPr>
            <w:tcW w:w="1479" w:type="pct"/>
            <w:tcBorders>
              <w:right w:val="single" w:sz="12" w:space="0" w:color="auto"/>
            </w:tcBorders>
            <w:vAlign w:val="center"/>
          </w:tcPr>
          <w:p w14:paraId="2548E69A"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150mg/L</w:t>
            </w:r>
          </w:p>
        </w:tc>
      </w:tr>
      <w:tr w:rsidR="00217891" w:rsidRPr="00FC1E23" w14:paraId="56CAAA0A" w14:textId="77777777" w:rsidTr="00FC1E23">
        <w:trPr>
          <w:trHeight w:val="340"/>
          <w:jc w:val="center"/>
        </w:trPr>
        <w:tc>
          <w:tcPr>
            <w:tcW w:w="494" w:type="pct"/>
            <w:vMerge/>
            <w:tcBorders>
              <w:left w:val="single" w:sz="12" w:space="0" w:color="auto"/>
            </w:tcBorders>
            <w:shd w:val="clear" w:color="auto" w:fill="auto"/>
            <w:vAlign w:val="center"/>
          </w:tcPr>
          <w:p w14:paraId="78F5DECD"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0B714833"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13EB8B65"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NH</w:t>
            </w:r>
            <w:r w:rsidRPr="009819CE">
              <w:rPr>
                <w:rFonts w:asciiTheme="minorHAnsi" w:hAnsiTheme="minorHAnsi"/>
                <w:bCs/>
                <w:szCs w:val="21"/>
                <w:vertAlign w:val="subscript"/>
              </w:rPr>
              <w:t>3</w:t>
            </w:r>
            <w:r w:rsidRPr="00FC1E23">
              <w:rPr>
                <w:rFonts w:asciiTheme="minorHAnsi" w:hAnsiTheme="minorHAnsi"/>
                <w:bCs/>
                <w:szCs w:val="21"/>
              </w:rPr>
              <w:t>-N</w:t>
            </w:r>
          </w:p>
        </w:tc>
        <w:tc>
          <w:tcPr>
            <w:tcW w:w="1479" w:type="pct"/>
            <w:tcBorders>
              <w:right w:val="single" w:sz="12" w:space="0" w:color="auto"/>
            </w:tcBorders>
            <w:vAlign w:val="center"/>
          </w:tcPr>
          <w:p w14:paraId="4E4F6461"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30mg/L</w:t>
            </w:r>
          </w:p>
        </w:tc>
      </w:tr>
      <w:tr w:rsidR="00217891" w:rsidRPr="00FC1E23" w14:paraId="6390A8DF" w14:textId="77777777" w:rsidTr="00FC1E23">
        <w:trPr>
          <w:trHeight w:val="340"/>
          <w:jc w:val="center"/>
        </w:trPr>
        <w:tc>
          <w:tcPr>
            <w:tcW w:w="494" w:type="pct"/>
            <w:vMerge/>
            <w:tcBorders>
              <w:left w:val="single" w:sz="12" w:space="0" w:color="auto"/>
            </w:tcBorders>
            <w:shd w:val="clear" w:color="auto" w:fill="auto"/>
            <w:vAlign w:val="center"/>
          </w:tcPr>
          <w:p w14:paraId="37EA2271"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2C38169A"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7EC7EBB5"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SS</w:t>
            </w:r>
          </w:p>
        </w:tc>
        <w:tc>
          <w:tcPr>
            <w:tcW w:w="1479" w:type="pct"/>
            <w:tcBorders>
              <w:right w:val="single" w:sz="12" w:space="0" w:color="auto"/>
            </w:tcBorders>
            <w:vAlign w:val="center"/>
          </w:tcPr>
          <w:p w14:paraId="56AA6FD2"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150mg/L</w:t>
            </w:r>
          </w:p>
        </w:tc>
      </w:tr>
      <w:tr w:rsidR="00217891" w:rsidRPr="00FC1E23" w14:paraId="61E20E74" w14:textId="77777777" w:rsidTr="00FC1E23">
        <w:trPr>
          <w:trHeight w:val="340"/>
          <w:jc w:val="center"/>
        </w:trPr>
        <w:tc>
          <w:tcPr>
            <w:tcW w:w="494" w:type="pct"/>
            <w:vMerge/>
            <w:tcBorders>
              <w:left w:val="single" w:sz="12" w:space="0" w:color="auto"/>
            </w:tcBorders>
            <w:shd w:val="clear" w:color="auto" w:fill="auto"/>
            <w:vAlign w:val="center"/>
          </w:tcPr>
          <w:p w14:paraId="0F818415"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76B4E262" w14:textId="77777777" w:rsidR="00217891" w:rsidRPr="00FC1E23" w:rsidRDefault="00217891" w:rsidP="00CE7021">
            <w:pPr>
              <w:spacing w:line="240" w:lineRule="atLeast"/>
              <w:jc w:val="center"/>
              <w:rPr>
                <w:rFonts w:asciiTheme="minorHAnsi" w:hAnsiTheme="minorHAnsi"/>
                <w:szCs w:val="21"/>
              </w:rPr>
            </w:pPr>
          </w:p>
        </w:tc>
        <w:tc>
          <w:tcPr>
            <w:tcW w:w="1057" w:type="pct"/>
            <w:vAlign w:val="center"/>
          </w:tcPr>
          <w:p w14:paraId="145DB1C1" w14:textId="606E3871" w:rsidR="00217891" w:rsidRPr="00FC1E23" w:rsidRDefault="00217891" w:rsidP="00CE7021">
            <w:pPr>
              <w:spacing w:line="240" w:lineRule="atLeast"/>
              <w:jc w:val="center"/>
              <w:rPr>
                <w:rFonts w:asciiTheme="minorHAnsi" w:hAnsiTheme="minorHAnsi"/>
                <w:bCs/>
                <w:szCs w:val="21"/>
              </w:rPr>
            </w:pPr>
            <w:r>
              <w:rPr>
                <w:rFonts w:asciiTheme="minorHAnsi" w:hAnsiTheme="minorHAnsi" w:hint="eastAsia"/>
                <w:bCs/>
                <w:szCs w:val="21"/>
              </w:rPr>
              <w:t>TN</w:t>
            </w:r>
          </w:p>
        </w:tc>
        <w:tc>
          <w:tcPr>
            <w:tcW w:w="1479" w:type="pct"/>
            <w:tcBorders>
              <w:right w:val="single" w:sz="12" w:space="0" w:color="auto"/>
            </w:tcBorders>
            <w:vAlign w:val="center"/>
          </w:tcPr>
          <w:p w14:paraId="6978FF2B" w14:textId="17D57A6F" w:rsidR="00217891" w:rsidRPr="00FC1E23" w:rsidRDefault="00217891" w:rsidP="00CE7021">
            <w:pPr>
              <w:spacing w:line="240" w:lineRule="atLeast"/>
              <w:jc w:val="center"/>
              <w:rPr>
                <w:rFonts w:asciiTheme="minorHAnsi" w:hAnsiTheme="minorHAnsi"/>
                <w:bCs/>
                <w:szCs w:val="21"/>
              </w:rPr>
            </w:pPr>
            <w:r>
              <w:rPr>
                <w:rFonts w:asciiTheme="minorHAnsi" w:hAnsiTheme="minorHAnsi" w:hint="eastAsia"/>
                <w:bCs/>
                <w:szCs w:val="21"/>
              </w:rPr>
              <w:t>50</w:t>
            </w:r>
            <w:r w:rsidRPr="00FC1E23">
              <w:rPr>
                <w:rFonts w:asciiTheme="minorHAnsi" w:hAnsiTheme="minorHAnsi"/>
                <w:bCs/>
                <w:szCs w:val="21"/>
              </w:rPr>
              <w:t>mg/L</w:t>
            </w:r>
          </w:p>
        </w:tc>
      </w:tr>
      <w:tr w:rsidR="00217891" w:rsidRPr="00FC1E23" w14:paraId="04F021E2" w14:textId="77777777" w:rsidTr="00FC1E23">
        <w:trPr>
          <w:trHeight w:val="340"/>
          <w:jc w:val="center"/>
        </w:trPr>
        <w:tc>
          <w:tcPr>
            <w:tcW w:w="494" w:type="pct"/>
            <w:vMerge/>
            <w:tcBorders>
              <w:left w:val="single" w:sz="12" w:space="0" w:color="auto"/>
            </w:tcBorders>
            <w:shd w:val="clear" w:color="auto" w:fill="auto"/>
            <w:vAlign w:val="center"/>
          </w:tcPr>
          <w:p w14:paraId="3FAB6E32" w14:textId="77777777" w:rsidR="00217891" w:rsidRPr="00FC1E23" w:rsidRDefault="00217891" w:rsidP="00CE7021">
            <w:pPr>
              <w:spacing w:line="240" w:lineRule="atLeast"/>
              <w:jc w:val="center"/>
              <w:rPr>
                <w:rFonts w:asciiTheme="minorHAnsi" w:hAnsiTheme="minorHAnsi"/>
                <w:szCs w:val="21"/>
              </w:rPr>
            </w:pPr>
          </w:p>
        </w:tc>
        <w:tc>
          <w:tcPr>
            <w:tcW w:w="1970" w:type="pct"/>
            <w:vMerge w:val="restart"/>
            <w:vAlign w:val="center"/>
          </w:tcPr>
          <w:p w14:paraId="2EAF3F52" w14:textId="77777777" w:rsidR="00217891" w:rsidRPr="00FC1E23" w:rsidRDefault="00217891" w:rsidP="00CE7021">
            <w:pPr>
              <w:spacing w:line="240" w:lineRule="atLeast"/>
              <w:jc w:val="center"/>
              <w:rPr>
                <w:rFonts w:asciiTheme="minorHAnsi" w:hAnsiTheme="minorHAnsi"/>
                <w:szCs w:val="21"/>
              </w:rPr>
            </w:pPr>
            <w:r w:rsidRPr="00FC1E23">
              <w:rPr>
                <w:rFonts w:asciiTheme="minorHAnsi" w:hAnsiTheme="minorHAnsi"/>
                <w:szCs w:val="21"/>
              </w:rPr>
              <w:t>厂区总排口最终执行标准</w:t>
            </w:r>
          </w:p>
        </w:tc>
        <w:tc>
          <w:tcPr>
            <w:tcW w:w="1057" w:type="pct"/>
            <w:tcBorders>
              <w:right w:val="single" w:sz="6" w:space="0" w:color="auto"/>
            </w:tcBorders>
            <w:vAlign w:val="center"/>
          </w:tcPr>
          <w:p w14:paraId="141CE763"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pH</w:t>
            </w:r>
          </w:p>
        </w:tc>
        <w:tc>
          <w:tcPr>
            <w:tcW w:w="1479" w:type="pct"/>
            <w:tcBorders>
              <w:left w:val="single" w:sz="6" w:space="0" w:color="auto"/>
              <w:right w:val="single" w:sz="12" w:space="0" w:color="auto"/>
            </w:tcBorders>
            <w:vAlign w:val="center"/>
          </w:tcPr>
          <w:p w14:paraId="33E57617"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hint="eastAsia"/>
                <w:bCs/>
                <w:szCs w:val="21"/>
              </w:rPr>
              <w:t>6</w:t>
            </w:r>
            <w:r w:rsidRPr="00FC1E23">
              <w:rPr>
                <w:rFonts w:asciiTheme="minorHAnsi" w:hAnsiTheme="minorHAnsi" w:hint="eastAsia"/>
                <w:bCs/>
                <w:szCs w:val="21"/>
              </w:rPr>
              <w:t>～</w:t>
            </w:r>
            <w:r w:rsidRPr="00FC1E23">
              <w:rPr>
                <w:rFonts w:asciiTheme="minorHAnsi" w:hAnsiTheme="minorHAnsi" w:hint="eastAsia"/>
                <w:bCs/>
                <w:szCs w:val="21"/>
              </w:rPr>
              <w:t>9</w:t>
            </w:r>
          </w:p>
        </w:tc>
      </w:tr>
      <w:tr w:rsidR="00217891" w:rsidRPr="00FC1E23" w14:paraId="4A54BAAE" w14:textId="77777777" w:rsidTr="00FC1E23">
        <w:trPr>
          <w:trHeight w:val="340"/>
          <w:jc w:val="center"/>
        </w:trPr>
        <w:tc>
          <w:tcPr>
            <w:tcW w:w="494" w:type="pct"/>
            <w:vMerge/>
            <w:tcBorders>
              <w:left w:val="single" w:sz="12" w:space="0" w:color="auto"/>
            </w:tcBorders>
            <w:shd w:val="clear" w:color="auto" w:fill="auto"/>
            <w:vAlign w:val="center"/>
          </w:tcPr>
          <w:p w14:paraId="0B508032"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2A52AE45" w14:textId="77777777" w:rsidR="00217891" w:rsidRPr="00FC1E23" w:rsidRDefault="00217891" w:rsidP="00CE7021">
            <w:pPr>
              <w:spacing w:line="240" w:lineRule="atLeast"/>
              <w:jc w:val="center"/>
              <w:rPr>
                <w:rFonts w:asciiTheme="minorHAnsi" w:hAnsiTheme="minorHAnsi"/>
                <w:szCs w:val="21"/>
                <w:u w:val="single"/>
              </w:rPr>
            </w:pPr>
          </w:p>
        </w:tc>
        <w:tc>
          <w:tcPr>
            <w:tcW w:w="1057" w:type="pct"/>
            <w:tcBorders>
              <w:right w:val="single" w:sz="6" w:space="0" w:color="auto"/>
            </w:tcBorders>
            <w:vAlign w:val="center"/>
          </w:tcPr>
          <w:p w14:paraId="40F45812"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COD</w:t>
            </w:r>
          </w:p>
        </w:tc>
        <w:tc>
          <w:tcPr>
            <w:tcW w:w="1479" w:type="pct"/>
            <w:tcBorders>
              <w:left w:val="single" w:sz="6" w:space="0" w:color="auto"/>
              <w:right w:val="single" w:sz="12" w:space="0" w:color="auto"/>
            </w:tcBorders>
            <w:vAlign w:val="center"/>
          </w:tcPr>
          <w:p w14:paraId="78E37D8E"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300mg/L</w:t>
            </w:r>
          </w:p>
        </w:tc>
      </w:tr>
      <w:tr w:rsidR="00217891" w:rsidRPr="00FC1E23" w14:paraId="2E422EE7" w14:textId="77777777" w:rsidTr="00FC1E23">
        <w:trPr>
          <w:trHeight w:val="340"/>
          <w:jc w:val="center"/>
        </w:trPr>
        <w:tc>
          <w:tcPr>
            <w:tcW w:w="494" w:type="pct"/>
            <w:vMerge/>
            <w:tcBorders>
              <w:left w:val="single" w:sz="12" w:space="0" w:color="auto"/>
            </w:tcBorders>
            <w:shd w:val="clear" w:color="auto" w:fill="auto"/>
            <w:vAlign w:val="center"/>
          </w:tcPr>
          <w:p w14:paraId="2F8A760F"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6DDFF6E9" w14:textId="77777777" w:rsidR="00217891" w:rsidRPr="00FC1E23" w:rsidRDefault="00217891" w:rsidP="00CE7021">
            <w:pPr>
              <w:spacing w:line="240" w:lineRule="atLeast"/>
              <w:jc w:val="center"/>
              <w:rPr>
                <w:rFonts w:asciiTheme="minorHAnsi" w:hAnsiTheme="minorHAnsi"/>
                <w:szCs w:val="21"/>
                <w:u w:val="single"/>
              </w:rPr>
            </w:pPr>
          </w:p>
        </w:tc>
        <w:tc>
          <w:tcPr>
            <w:tcW w:w="1057" w:type="pct"/>
            <w:tcBorders>
              <w:right w:val="single" w:sz="6" w:space="0" w:color="auto"/>
            </w:tcBorders>
            <w:vAlign w:val="center"/>
          </w:tcPr>
          <w:p w14:paraId="44104434"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BOD</w:t>
            </w:r>
            <w:r w:rsidRPr="009819CE">
              <w:rPr>
                <w:rFonts w:asciiTheme="minorHAnsi" w:hAnsiTheme="minorHAnsi"/>
                <w:bCs/>
                <w:szCs w:val="21"/>
                <w:vertAlign w:val="subscript"/>
              </w:rPr>
              <w:t>5</w:t>
            </w:r>
          </w:p>
        </w:tc>
        <w:tc>
          <w:tcPr>
            <w:tcW w:w="1479" w:type="pct"/>
            <w:tcBorders>
              <w:left w:val="single" w:sz="6" w:space="0" w:color="auto"/>
              <w:right w:val="single" w:sz="12" w:space="0" w:color="auto"/>
            </w:tcBorders>
            <w:vAlign w:val="center"/>
          </w:tcPr>
          <w:p w14:paraId="3F154699"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150mg/L</w:t>
            </w:r>
          </w:p>
        </w:tc>
      </w:tr>
      <w:tr w:rsidR="00217891" w:rsidRPr="00FC1E23" w14:paraId="7089FD20" w14:textId="77777777" w:rsidTr="00FC1E23">
        <w:trPr>
          <w:trHeight w:val="340"/>
          <w:jc w:val="center"/>
        </w:trPr>
        <w:tc>
          <w:tcPr>
            <w:tcW w:w="494" w:type="pct"/>
            <w:vMerge/>
            <w:tcBorders>
              <w:left w:val="single" w:sz="12" w:space="0" w:color="auto"/>
            </w:tcBorders>
            <w:shd w:val="clear" w:color="auto" w:fill="auto"/>
            <w:vAlign w:val="center"/>
          </w:tcPr>
          <w:p w14:paraId="3C0E2D28"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06E73E30" w14:textId="77777777" w:rsidR="00217891" w:rsidRPr="00FC1E23" w:rsidRDefault="00217891" w:rsidP="00CE7021">
            <w:pPr>
              <w:spacing w:line="240" w:lineRule="atLeast"/>
              <w:jc w:val="center"/>
              <w:rPr>
                <w:rFonts w:asciiTheme="minorHAnsi" w:hAnsiTheme="minorHAnsi"/>
                <w:szCs w:val="21"/>
                <w:u w:val="single"/>
              </w:rPr>
            </w:pPr>
          </w:p>
        </w:tc>
        <w:tc>
          <w:tcPr>
            <w:tcW w:w="1057" w:type="pct"/>
            <w:tcBorders>
              <w:right w:val="single" w:sz="6" w:space="0" w:color="auto"/>
            </w:tcBorders>
            <w:vAlign w:val="center"/>
          </w:tcPr>
          <w:p w14:paraId="70496511"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NH</w:t>
            </w:r>
            <w:r w:rsidRPr="00A37141">
              <w:rPr>
                <w:rFonts w:asciiTheme="minorHAnsi" w:hAnsiTheme="minorHAnsi"/>
                <w:bCs/>
                <w:szCs w:val="21"/>
                <w:vertAlign w:val="subscript"/>
              </w:rPr>
              <w:t>3</w:t>
            </w:r>
            <w:r w:rsidRPr="00FC1E23">
              <w:rPr>
                <w:rFonts w:asciiTheme="minorHAnsi" w:hAnsiTheme="minorHAnsi"/>
                <w:bCs/>
                <w:szCs w:val="21"/>
              </w:rPr>
              <w:t>-N</w:t>
            </w:r>
          </w:p>
        </w:tc>
        <w:tc>
          <w:tcPr>
            <w:tcW w:w="1479" w:type="pct"/>
            <w:tcBorders>
              <w:left w:val="single" w:sz="6" w:space="0" w:color="auto"/>
              <w:right w:val="single" w:sz="12" w:space="0" w:color="auto"/>
            </w:tcBorders>
            <w:vAlign w:val="center"/>
          </w:tcPr>
          <w:p w14:paraId="4AB72EC4"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30mg/L</w:t>
            </w:r>
          </w:p>
        </w:tc>
      </w:tr>
      <w:tr w:rsidR="00217891" w:rsidRPr="00FC1E23" w14:paraId="3D0C82E5" w14:textId="77777777" w:rsidTr="00217891">
        <w:trPr>
          <w:trHeight w:val="340"/>
          <w:jc w:val="center"/>
        </w:trPr>
        <w:tc>
          <w:tcPr>
            <w:tcW w:w="494" w:type="pct"/>
            <w:vMerge/>
            <w:tcBorders>
              <w:left w:val="single" w:sz="12" w:space="0" w:color="auto"/>
            </w:tcBorders>
            <w:shd w:val="clear" w:color="auto" w:fill="auto"/>
            <w:vAlign w:val="center"/>
          </w:tcPr>
          <w:p w14:paraId="78C0B25A" w14:textId="77777777" w:rsidR="00217891" w:rsidRPr="00FC1E23" w:rsidRDefault="00217891" w:rsidP="00CE7021">
            <w:pPr>
              <w:spacing w:line="240" w:lineRule="atLeast"/>
              <w:jc w:val="center"/>
              <w:rPr>
                <w:rFonts w:asciiTheme="minorHAnsi" w:hAnsiTheme="minorHAnsi"/>
                <w:szCs w:val="21"/>
              </w:rPr>
            </w:pPr>
          </w:p>
        </w:tc>
        <w:tc>
          <w:tcPr>
            <w:tcW w:w="1970" w:type="pct"/>
            <w:vMerge/>
            <w:vAlign w:val="center"/>
          </w:tcPr>
          <w:p w14:paraId="13871F1C" w14:textId="77777777" w:rsidR="00217891" w:rsidRPr="00FC1E23" w:rsidRDefault="00217891" w:rsidP="00CE7021">
            <w:pPr>
              <w:spacing w:line="240" w:lineRule="atLeast"/>
              <w:jc w:val="center"/>
              <w:rPr>
                <w:rFonts w:asciiTheme="minorHAnsi" w:hAnsiTheme="minorHAnsi"/>
                <w:szCs w:val="21"/>
                <w:u w:val="single"/>
              </w:rPr>
            </w:pPr>
          </w:p>
        </w:tc>
        <w:tc>
          <w:tcPr>
            <w:tcW w:w="1057" w:type="pct"/>
            <w:tcBorders>
              <w:right w:val="single" w:sz="6" w:space="0" w:color="auto"/>
            </w:tcBorders>
            <w:vAlign w:val="center"/>
          </w:tcPr>
          <w:p w14:paraId="41C124C0"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SS</w:t>
            </w:r>
          </w:p>
        </w:tc>
        <w:tc>
          <w:tcPr>
            <w:tcW w:w="1479" w:type="pct"/>
            <w:tcBorders>
              <w:left w:val="single" w:sz="6" w:space="0" w:color="auto"/>
              <w:right w:val="single" w:sz="12" w:space="0" w:color="auto"/>
            </w:tcBorders>
            <w:vAlign w:val="center"/>
          </w:tcPr>
          <w:p w14:paraId="29ABC0B4" w14:textId="77777777" w:rsidR="00217891" w:rsidRPr="00FC1E23" w:rsidRDefault="00217891" w:rsidP="00CE7021">
            <w:pPr>
              <w:spacing w:line="240" w:lineRule="atLeast"/>
              <w:jc w:val="center"/>
              <w:rPr>
                <w:rFonts w:asciiTheme="minorHAnsi" w:hAnsiTheme="minorHAnsi"/>
                <w:bCs/>
                <w:szCs w:val="21"/>
              </w:rPr>
            </w:pPr>
            <w:r w:rsidRPr="00FC1E23">
              <w:rPr>
                <w:rFonts w:asciiTheme="minorHAnsi" w:hAnsiTheme="minorHAnsi"/>
                <w:bCs/>
                <w:szCs w:val="21"/>
              </w:rPr>
              <w:t>150mg/L</w:t>
            </w:r>
          </w:p>
        </w:tc>
      </w:tr>
      <w:tr w:rsidR="00217891" w:rsidRPr="00FC1E23" w14:paraId="07FFF364" w14:textId="77777777" w:rsidTr="00FC1E23">
        <w:trPr>
          <w:trHeight w:val="340"/>
          <w:jc w:val="center"/>
        </w:trPr>
        <w:tc>
          <w:tcPr>
            <w:tcW w:w="494" w:type="pct"/>
            <w:vMerge/>
            <w:tcBorders>
              <w:left w:val="single" w:sz="12" w:space="0" w:color="auto"/>
              <w:bottom w:val="single" w:sz="12" w:space="0" w:color="auto"/>
            </w:tcBorders>
            <w:shd w:val="clear" w:color="auto" w:fill="auto"/>
            <w:vAlign w:val="center"/>
          </w:tcPr>
          <w:p w14:paraId="44886499" w14:textId="77777777" w:rsidR="00217891" w:rsidRPr="00FC1E23" w:rsidRDefault="00217891" w:rsidP="00217891">
            <w:pPr>
              <w:spacing w:line="240" w:lineRule="atLeast"/>
              <w:jc w:val="center"/>
              <w:rPr>
                <w:rFonts w:asciiTheme="minorHAnsi" w:hAnsiTheme="minorHAnsi"/>
                <w:szCs w:val="21"/>
              </w:rPr>
            </w:pPr>
          </w:p>
        </w:tc>
        <w:tc>
          <w:tcPr>
            <w:tcW w:w="1970" w:type="pct"/>
            <w:vMerge/>
            <w:tcBorders>
              <w:bottom w:val="single" w:sz="12" w:space="0" w:color="auto"/>
            </w:tcBorders>
            <w:vAlign w:val="center"/>
          </w:tcPr>
          <w:p w14:paraId="3F8822B1" w14:textId="77777777" w:rsidR="00217891" w:rsidRPr="00FC1E23" w:rsidRDefault="00217891" w:rsidP="00217891">
            <w:pPr>
              <w:spacing w:line="240" w:lineRule="atLeast"/>
              <w:jc w:val="center"/>
              <w:rPr>
                <w:rFonts w:asciiTheme="minorHAnsi" w:hAnsiTheme="minorHAnsi"/>
                <w:szCs w:val="21"/>
                <w:u w:val="single"/>
              </w:rPr>
            </w:pPr>
          </w:p>
        </w:tc>
        <w:tc>
          <w:tcPr>
            <w:tcW w:w="1057" w:type="pct"/>
            <w:tcBorders>
              <w:bottom w:val="single" w:sz="12" w:space="0" w:color="auto"/>
              <w:right w:val="single" w:sz="6" w:space="0" w:color="auto"/>
            </w:tcBorders>
            <w:vAlign w:val="center"/>
          </w:tcPr>
          <w:p w14:paraId="64A7B1BF" w14:textId="062DF0F9" w:rsidR="00217891" w:rsidRPr="00FC1E23" w:rsidRDefault="00217891" w:rsidP="00217891">
            <w:pPr>
              <w:spacing w:line="240" w:lineRule="atLeast"/>
              <w:jc w:val="center"/>
              <w:rPr>
                <w:rFonts w:asciiTheme="minorHAnsi" w:hAnsiTheme="minorHAnsi"/>
                <w:bCs/>
                <w:szCs w:val="21"/>
              </w:rPr>
            </w:pPr>
            <w:r>
              <w:rPr>
                <w:rFonts w:asciiTheme="minorHAnsi" w:hAnsiTheme="minorHAnsi" w:hint="eastAsia"/>
                <w:bCs/>
                <w:szCs w:val="21"/>
              </w:rPr>
              <w:t>TN</w:t>
            </w:r>
          </w:p>
        </w:tc>
        <w:tc>
          <w:tcPr>
            <w:tcW w:w="1479" w:type="pct"/>
            <w:tcBorders>
              <w:left w:val="single" w:sz="6" w:space="0" w:color="auto"/>
              <w:bottom w:val="single" w:sz="12" w:space="0" w:color="auto"/>
              <w:right w:val="single" w:sz="12" w:space="0" w:color="auto"/>
            </w:tcBorders>
            <w:vAlign w:val="center"/>
          </w:tcPr>
          <w:p w14:paraId="105AD73D" w14:textId="2B822553" w:rsidR="00217891" w:rsidRPr="00FC1E23" w:rsidRDefault="00217891" w:rsidP="00217891">
            <w:pPr>
              <w:spacing w:line="240" w:lineRule="atLeast"/>
              <w:jc w:val="center"/>
              <w:rPr>
                <w:rFonts w:asciiTheme="minorHAnsi" w:hAnsiTheme="minorHAnsi"/>
                <w:bCs/>
                <w:szCs w:val="21"/>
              </w:rPr>
            </w:pPr>
            <w:r>
              <w:rPr>
                <w:rFonts w:asciiTheme="minorHAnsi" w:hAnsiTheme="minorHAnsi" w:hint="eastAsia"/>
                <w:bCs/>
                <w:szCs w:val="21"/>
              </w:rPr>
              <w:t>50</w:t>
            </w:r>
            <w:r w:rsidRPr="00FC1E23">
              <w:rPr>
                <w:rFonts w:asciiTheme="minorHAnsi" w:hAnsiTheme="minorHAnsi"/>
                <w:bCs/>
                <w:szCs w:val="21"/>
              </w:rPr>
              <w:t>mg/L</w:t>
            </w:r>
          </w:p>
        </w:tc>
      </w:tr>
    </w:tbl>
    <w:p w14:paraId="24066C4D" w14:textId="77777777" w:rsidR="0055605A" w:rsidRPr="00A964FF" w:rsidRDefault="0055605A" w:rsidP="00FC1E23">
      <w:pPr>
        <w:spacing w:line="520" w:lineRule="exact"/>
        <w:ind w:firstLineChars="200" w:firstLine="482"/>
        <w:rPr>
          <w:rFonts w:ascii="Calibri" w:hAnsi="Calibri"/>
          <w:b/>
          <w:color w:val="auto"/>
          <w:sz w:val="24"/>
        </w:rPr>
      </w:pPr>
      <w:r w:rsidRPr="00A964FF">
        <w:rPr>
          <w:rFonts w:ascii="Calibri" w:hAnsi="Calibri" w:hint="eastAsia"/>
          <w:b/>
          <w:color w:val="auto"/>
          <w:sz w:val="24"/>
        </w:rPr>
        <w:t>3</w:t>
      </w:r>
      <w:r w:rsidRPr="00A964FF">
        <w:rPr>
          <w:rFonts w:ascii="Calibri" w:hAnsi="Calibri" w:hint="eastAsia"/>
          <w:b/>
          <w:color w:val="auto"/>
          <w:sz w:val="24"/>
        </w:rPr>
        <w:t>、噪声排放标准</w:t>
      </w:r>
    </w:p>
    <w:p w14:paraId="25758909" w14:textId="77777777" w:rsidR="00FC1E23" w:rsidRPr="00A73882" w:rsidRDefault="0055605A" w:rsidP="00A73882">
      <w:pPr>
        <w:spacing w:line="520" w:lineRule="exact"/>
        <w:ind w:firstLineChars="200" w:firstLine="480"/>
        <w:rPr>
          <w:rFonts w:ascii="Calibri"/>
          <w:bCs/>
          <w:color w:val="auto"/>
          <w:sz w:val="24"/>
        </w:rPr>
      </w:pPr>
      <w:r w:rsidRPr="00A964FF">
        <w:rPr>
          <w:rFonts w:ascii="Calibri"/>
          <w:bCs/>
          <w:color w:val="auto"/>
          <w:sz w:val="24"/>
        </w:rPr>
        <w:t>（</w:t>
      </w:r>
      <w:r w:rsidRPr="00A964FF">
        <w:rPr>
          <w:rFonts w:ascii="Calibri" w:hAnsi="Calibri"/>
          <w:bCs/>
          <w:color w:val="auto"/>
          <w:sz w:val="24"/>
        </w:rPr>
        <w:t>1</w:t>
      </w:r>
      <w:r w:rsidRPr="00A964FF">
        <w:rPr>
          <w:rFonts w:ascii="Calibri"/>
          <w:bCs/>
          <w:color w:val="auto"/>
          <w:sz w:val="24"/>
        </w:rPr>
        <w:t>）施工期噪声执行《建筑施工场界环境噪声排放标准》（</w:t>
      </w:r>
      <w:r w:rsidRPr="00A964FF">
        <w:rPr>
          <w:rFonts w:ascii="Calibri" w:hAnsi="Calibri"/>
          <w:bCs/>
          <w:color w:val="auto"/>
          <w:sz w:val="24"/>
        </w:rPr>
        <w:t>GB12523-2011</w:t>
      </w:r>
      <w:r w:rsidRPr="00A964FF">
        <w:rPr>
          <w:rFonts w:ascii="Calibri"/>
          <w:bCs/>
          <w:color w:val="auto"/>
          <w:sz w:val="24"/>
        </w:rPr>
        <w:t>）中规定的排放限值，具体限值见表</w:t>
      </w:r>
      <w:r w:rsidRPr="00A964FF">
        <w:rPr>
          <w:rFonts w:ascii="Calibri" w:hAnsi="Calibri"/>
          <w:bCs/>
          <w:color w:val="auto"/>
          <w:sz w:val="24"/>
        </w:rPr>
        <w:t>1</w:t>
      </w:r>
      <w:r w:rsidR="006669D1" w:rsidRPr="00A964FF">
        <w:rPr>
          <w:rFonts w:ascii="Calibri" w:hAnsi="Calibri" w:hint="eastAsia"/>
          <w:bCs/>
          <w:color w:val="auto"/>
          <w:sz w:val="24"/>
        </w:rPr>
        <w:t>.4</w:t>
      </w:r>
      <w:r w:rsidRPr="00A964FF">
        <w:rPr>
          <w:rFonts w:ascii="Calibri" w:hAnsi="Calibri"/>
          <w:bCs/>
          <w:color w:val="auto"/>
          <w:sz w:val="24"/>
        </w:rPr>
        <w:t>-</w:t>
      </w:r>
      <w:r w:rsidR="00CA798E">
        <w:rPr>
          <w:rFonts w:ascii="Calibri" w:hAnsi="Calibri" w:hint="eastAsia"/>
          <w:bCs/>
          <w:color w:val="auto"/>
          <w:sz w:val="24"/>
        </w:rPr>
        <w:t>1</w:t>
      </w:r>
      <w:r w:rsidR="00CA798E">
        <w:rPr>
          <w:rFonts w:ascii="Calibri" w:hAnsi="Calibri"/>
          <w:bCs/>
          <w:color w:val="auto"/>
          <w:sz w:val="24"/>
        </w:rPr>
        <w:t>4</w:t>
      </w:r>
      <w:r w:rsidRPr="00A964FF">
        <w:rPr>
          <w:rFonts w:ascii="Calibri"/>
          <w:bCs/>
          <w:color w:val="auto"/>
          <w:sz w:val="24"/>
        </w:rPr>
        <w:t>。</w:t>
      </w:r>
    </w:p>
    <w:p w14:paraId="2916E78D" w14:textId="77777777" w:rsidR="0055605A" w:rsidRPr="00A964FF" w:rsidRDefault="0055605A" w:rsidP="000E33B8">
      <w:pPr>
        <w:spacing w:line="520" w:lineRule="exact"/>
        <w:ind w:firstLineChars="196" w:firstLine="470"/>
        <w:jc w:val="left"/>
        <w:rPr>
          <w:rFonts w:ascii="Calibri" w:hAnsi="Calibri"/>
          <w:color w:val="auto"/>
          <w:sz w:val="24"/>
        </w:rPr>
      </w:pPr>
      <w:r w:rsidRPr="00A964FF">
        <w:rPr>
          <w:rFonts w:ascii="Calibri" w:eastAsia="黑体"/>
          <w:color w:val="auto"/>
          <w:sz w:val="24"/>
        </w:rPr>
        <w:t>表</w:t>
      </w:r>
      <w:r w:rsidRPr="00A964FF">
        <w:rPr>
          <w:rFonts w:ascii="Calibri" w:eastAsia="黑体" w:hAnsi="Calibri"/>
          <w:color w:val="auto"/>
          <w:sz w:val="24"/>
        </w:rPr>
        <w:t>1</w:t>
      </w:r>
      <w:r w:rsidR="006669D1" w:rsidRPr="00A964FF">
        <w:rPr>
          <w:rFonts w:ascii="Calibri" w:eastAsia="黑体" w:hAnsi="Calibri" w:hint="eastAsia"/>
          <w:color w:val="auto"/>
          <w:sz w:val="24"/>
        </w:rPr>
        <w:t>.4</w:t>
      </w:r>
      <w:r w:rsidRPr="00A964FF">
        <w:rPr>
          <w:rFonts w:ascii="Calibri" w:eastAsia="黑体" w:hAnsi="Calibri"/>
          <w:color w:val="auto"/>
          <w:sz w:val="24"/>
        </w:rPr>
        <w:t>-</w:t>
      </w:r>
      <w:r w:rsidR="006841F3">
        <w:rPr>
          <w:rFonts w:ascii="Calibri" w:eastAsia="黑体" w:hAnsi="Calibri" w:hint="eastAsia"/>
          <w:color w:val="auto"/>
          <w:sz w:val="24"/>
        </w:rPr>
        <w:t>1</w:t>
      </w:r>
      <w:r w:rsidR="00CA798E">
        <w:rPr>
          <w:rFonts w:ascii="Calibri" w:eastAsia="黑体" w:hAnsi="Calibri"/>
          <w:color w:val="auto"/>
          <w:sz w:val="24"/>
        </w:rPr>
        <w:t>4</w:t>
      </w:r>
      <w:r w:rsidRPr="00A964FF">
        <w:rPr>
          <w:rFonts w:ascii="Calibri" w:eastAsia="黑体" w:hint="eastAsia"/>
          <w:color w:val="auto"/>
          <w:sz w:val="24"/>
        </w:rPr>
        <w:t xml:space="preserve">  </w:t>
      </w:r>
      <w:r w:rsidRPr="00A964FF">
        <w:rPr>
          <w:rFonts w:ascii="Calibri" w:eastAsia="黑体" w:hAnsi="Calibri"/>
          <w:color w:val="auto"/>
          <w:sz w:val="24"/>
        </w:rPr>
        <w:t xml:space="preserve">     </w:t>
      </w:r>
      <w:r w:rsidRPr="00A964FF">
        <w:rPr>
          <w:rFonts w:ascii="Calibri" w:eastAsia="黑体"/>
          <w:color w:val="auto"/>
          <w:sz w:val="24"/>
        </w:rPr>
        <w:t>建筑施工场界环境噪声排放标准</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hAnsi="Calibri"/>
          <w:color w:val="auto"/>
          <w:szCs w:val="21"/>
        </w:rPr>
        <w:t>单位：</w:t>
      </w:r>
      <w:r w:rsidRPr="00A964FF">
        <w:rPr>
          <w:rFonts w:ascii="Calibri" w:hAnsi="Calibri"/>
          <w:color w:val="auto"/>
          <w:szCs w:val="21"/>
        </w:rPr>
        <w:t>dB</w:t>
      </w:r>
      <w:r w:rsidRPr="00A964FF">
        <w:rPr>
          <w:rFonts w:ascii="Calibri"/>
          <w:color w:val="auto"/>
          <w:szCs w:val="21"/>
        </w:rPr>
        <w:t>（</w:t>
      </w:r>
      <w:r w:rsidRPr="00A964FF">
        <w:rPr>
          <w:rFonts w:ascii="Calibri" w:hAnsi="Calibri"/>
          <w:color w:val="auto"/>
          <w:szCs w:val="21"/>
        </w:rPr>
        <w:t>A</w:t>
      </w:r>
      <w:r w:rsidRPr="00A964FF">
        <w:rPr>
          <w:rFonts w:ascii="Calibri"/>
          <w:color w:val="auto"/>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07"/>
        <w:gridCol w:w="4493"/>
      </w:tblGrid>
      <w:tr w:rsidR="0055605A" w:rsidRPr="00A964FF" w14:paraId="0BA8B757" w14:textId="77777777" w:rsidTr="003E0795">
        <w:trPr>
          <w:trHeight w:val="369"/>
          <w:jc w:val="center"/>
        </w:trPr>
        <w:tc>
          <w:tcPr>
            <w:tcW w:w="2418" w:type="pct"/>
            <w:vAlign w:val="center"/>
          </w:tcPr>
          <w:p w14:paraId="6EBDD86C" w14:textId="77777777" w:rsidR="0055605A" w:rsidRPr="00A964FF" w:rsidRDefault="0055605A" w:rsidP="003E0795">
            <w:pPr>
              <w:jc w:val="center"/>
              <w:textAlignment w:val="baseline"/>
              <w:rPr>
                <w:rFonts w:ascii="Calibri" w:hAnsi="Calibri"/>
                <w:color w:val="auto"/>
                <w:szCs w:val="21"/>
              </w:rPr>
            </w:pPr>
            <w:r w:rsidRPr="00A964FF">
              <w:rPr>
                <w:rFonts w:ascii="Calibri"/>
                <w:color w:val="auto"/>
                <w:szCs w:val="21"/>
              </w:rPr>
              <w:t>昼间</w:t>
            </w:r>
          </w:p>
        </w:tc>
        <w:tc>
          <w:tcPr>
            <w:tcW w:w="2582" w:type="pct"/>
            <w:vAlign w:val="center"/>
          </w:tcPr>
          <w:p w14:paraId="04249D07" w14:textId="77777777" w:rsidR="0055605A" w:rsidRPr="00A964FF" w:rsidRDefault="0055605A" w:rsidP="003E0795">
            <w:pPr>
              <w:jc w:val="center"/>
              <w:textAlignment w:val="baseline"/>
              <w:rPr>
                <w:rFonts w:ascii="Calibri" w:hAnsi="Calibri"/>
                <w:color w:val="auto"/>
                <w:szCs w:val="21"/>
              </w:rPr>
            </w:pPr>
            <w:r w:rsidRPr="00A964FF">
              <w:rPr>
                <w:rFonts w:ascii="Calibri"/>
                <w:color w:val="auto"/>
                <w:szCs w:val="21"/>
              </w:rPr>
              <w:t>夜间</w:t>
            </w:r>
          </w:p>
        </w:tc>
      </w:tr>
      <w:tr w:rsidR="0055605A" w:rsidRPr="00A964FF" w14:paraId="4E4A20D8" w14:textId="77777777" w:rsidTr="003E0795">
        <w:trPr>
          <w:trHeight w:val="369"/>
          <w:jc w:val="center"/>
        </w:trPr>
        <w:tc>
          <w:tcPr>
            <w:tcW w:w="2418" w:type="pct"/>
            <w:vAlign w:val="center"/>
          </w:tcPr>
          <w:p w14:paraId="628E3502" w14:textId="77777777" w:rsidR="0055605A" w:rsidRPr="00A964FF" w:rsidRDefault="0055605A" w:rsidP="003E0795">
            <w:pPr>
              <w:jc w:val="center"/>
              <w:textAlignment w:val="baseline"/>
              <w:rPr>
                <w:rFonts w:ascii="Calibri" w:hAnsi="Calibri"/>
                <w:color w:val="auto"/>
                <w:szCs w:val="21"/>
              </w:rPr>
            </w:pPr>
            <w:r w:rsidRPr="00A964FF">
              <w:rPr>
                <w:rFonts w:ascii="Calibri" w:hAnsi="Calibri"/>
                <w:color w:val="auto"/>
                <w:szCs w:val="21"/>
              </w:rPr>
              <w:t>70</w:t>
            </w:r>
          </w:p>
        </w:tc>
        <w:tc>
          <w:tcPr>
            <w:tcW w:w="2582" w:type="pct"/>
            <w:vAlign w:val="center"/>
          </w:tcPr>
          <w:p w14:paraId="0494749B" w14:textId="77777777" w:rsidR="0055605A" w:rsidRPr="00A964FF" w:rsidRDefault="0055605A" w:rsidP="003E0795">
            <w:pPr>
              <w:jc w:val="center"/>
              <w:textAlignment w:val="baseline"/>
              <w:rPr>
                <w:rFonts w:ascii="Calibri" w:hAnsi="Calibri"/>
                <w:color w:val="auto"/>
                <w:szCs w:val="21"/>
              </w:rPr>
            </w:pPr>
            <w:r w:rsidRPr="00A964FF">
              <w:rPr>
                <w:rFonts w:ascii="Calibri" w:hAnsi="Calibri"/>
                <w:color w:val="auto"/>
                <w:szCs w:val="21"/>
              </w:rPr>
              <w:t>55</w:t>
            </w:r>
          </w:p>
        </w:tc>
      </w:tr>
    </w:tbl>
    <w:p w14:paraId="0CDAE3B3" w14:textId="77777777" w:rsidR="0055605A" w:rsidRPr="00A964FF" w:rsidRDefault="0055605A" w:rsidP="000E33B8">
      <w:pPr>
        <w:spacing w:line="520" w:lineRule="exact"/>
        <w:ind w:firstLineChars="200" w:firstLine="480"/>
        <w:rPr>
          <w:rFonts w:ascii="Calibri"/>
          <w:bCs/>
          <w:color w:val="auto"/>
          <w:sz w:val="24"/>
        </w:rPr>
      </w:pPr>
      <w:r w:rsidRPr="00A964FF">
        <w:rPr>
          <w:rFonts w:ascii="Calibri" w:hAnsi="Calibri"/>
          <w:bCs/>
          <w:color w:val="auto"/>
          <w:sz w:val="24"/>
        </w:rPr>
        <w:t>（</w:t>
      </w:r>
      <w:r w:rsidRPr="00A964FF">
        <w:rPr>
          <w:rFonts w:ascii="Calibri" w:hAnsi="Calibri"/>
          <w:bCs/>
          <w:color w:val="auto"/>
          <w:sz w:val="24"/>
        </w:rPr>
        <w:t>2</w:t>
      </w:r>
      <w:r w:rsidRPr="00A964FF">
        <w:rPr>
          <w:rFonts w:ascii="Calibri" w:hAnsi="Calibri"/>
          <w:bCs/>
          <w:color w:val="auto"/>
          <w:sz w:val="24"/>
        </w:rPr>
        <w:t>）</w:t>
      </w:r>
      <w:r w:rsidRPr="00A964FF">
        <w:rPr>
          <w:rFonts w:ascii="Calibri"/>
          <w:bCs/>
          <w:color w:val="auto"/>
          <w:sz w:val="24"/>
        </w:rPr>
        <w:t>运营期噪声执行《工业企业厂界环境噪声排放标准》（</w:t>
      </w:r>
      <w:r w:rsidRPr="00A964FF">
        <w:rPr>
          <w:rFonts w:ascii="Calibri" w:hAnsi="Calibri"/>
          <w:bCs/>
          <w:color w:val="auto"/>
          <w:sz w:val="24"/>
        </w:rPr>
        <w:t>GB12348-2008</w:t>
      </w:r>
      <w:r w:rsidRPr="00A964FF">
        <w:rPr>
          <w:rFonts w:ascii="Calibri"/>
          <w:bCs/>
          <w:color w:val="auto"/>
          <w:sz w:val="24"/>
        </w:rPr>
        <w:t>）中</w:t>
      </w:r>
      <w:r w:rsidR="00CA798E">
        <w:rPr>
          <w:rFonts w:ascii="Calibri" w:hAnsi="Calibri"/>
          <w:bCs/>
          <w:color w:val="auto"/>
          <w:sz w:val="24"/>
        </w:rPr>
        <w:t>3</w:t>
      </w:r>
      <w:r w:rsidRPr="00A964FF">
        <w:rPr>
          <w:rFonts w:ascii="Calibri"/>
          <w:bCs/>
          <w:color w:val="auto"/>
          <w:sz w:val="24"/>
        </w:rPr>
        <w:t>类标准</w:t>
      </w:r>
      <w:r w:rsidRPr="00A964FF">
        <w:rPr>
          <w:rFonts w:ascii="Calibri" w:hint="eastAsia"/>
          <w:bCs/>
          <w:color w:val="auto"/>
          <w:sz w:val="24"/>
        </w:rPr>
        <w:t>，</w:t>
      </w:r>
      <w:r w:rsidRPr="00A964FF">
        <w:rPr>
          <w:rFonts w:ascii="Calibri"/>
          <w:bCs/>
          <w:color w:val="auto"/>
          <w:sz w:val="24"/>
        </w:rPr>
        <w:t>具体限值见表</w:t>
      </w:r>
      <w:r w:rsidRPr="00A964FF">
        <w:rPr>
          <w:rFonts w:ascii="Calibri" w:hAnsi="Calibri"/>
          <w:bCs/>
          <w:color w:val="auto"/>
          <w:sz w:val="24"/>
        </w:rPr>
        <w:t>1</w:t>
      </w:r>
      <w:r w:rsidR="006669D1" w:rsidRPr="00A964FF">
        <w:rPr>
          <w:rFonts w:ascii="Calibri" w:hAnsi="Calibri" w:hint="eastAsia"/>
          <w:bCs/>
          <w:color w:val="auto"/>
          <w:sz w:val="24"/>
        </w:rPr>
        <w:t>.4</w:t>
      </w:r>
      <w:r w:rsidRPr="00A964FF">
        <w:rPr>
          <w:rFonts w:ascii="Calibri" w:hAnsi="Calibri"/>
          <w:bCs/>
          <w:color w:val="auto"/>
          <w:sz w:val="24"/>
        </w:rPr>
        <w:t>-</w:t>
      </w:r>
      <w:r w:rsidR="00CA798E">
        <w:rPr>
          <w:rFonts w:ascii="Calibri" w:hAnsi="Calibri" w:hint="eastAsia"/>
          <w:bCs/>
          <w:color w:val="auto"/>
          <w:sz w:val="24"/>
        </w:rPr>
        <w:t>15</w:t>
      </w:r>
      <w:r w:rsidRPr="00A964FF">
        <w:rPr>
          <w:rFonts w:ascii="Calibri"/>
          <w:bCs/>
          <w:color w:val="auto"/>
          <w:sz w:val="24"/>
        </w:rPr>
        <w:t>。</w:t>
      </w:r>
    </w:p>
    <w:p w14:paraId="445E0CB7" w14:textId="77777777" w:rsidR="0055605A" w:rsidRPr="00A964FF" w:rsidRDefault="0055605A" w:rsidP="000E33B8">
      <w:pPr>
        <w:spacing w:line="520" w:lineRule="exact"/>
        <w:ind w:firstLineChars="196" w:firstLine="470"/>
        <w:jc w:val="left"/>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1</w:t>
      </w:r>
      <w:r w:rsidR="006669D1" w:rsidRPr="00A964FF">
        <w:rPr>
          <w:rFonts w:ascii="Calibri" w:eastAsia="黑体" w:hAnsi="Calibri" w:hint="eastAsia"/>
          <w:color w:val="auto"/>
          <w:sz w:val="24"/>
        </w:rPr>
        <w:t>.4</w:t>
      </w:r>
      <w:r w:rsidRPr="00A964FF">
        <w:rPr>
          <w:rFonts w:ascii="Calibri" w:eastAsia="黑体" w:hAnsi="Calibri"/>
          <w:color w:val="auto"/>
          <w:sz w:val="24"/>
        </w:rPr>
        <w:t>-</w:t>
      </w:r>
      <w:r w:rsidR="00CA798E">
        <w:rPr>
          <w:rFonts w:ascii="Calibri" w:eastAsia="黑体" w:hAnsi="Calibri" w:hint="eastAsia"/>
          <w:color w:val="auto"/>
          <w:sz w:val="24"/>
        </w:rPr>
        <w:t>15</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color w:val="auto"/>
          <w:sz w:val="24"/>
        </w:rPr>
        <w:t>工业企业厂界环境噪声排放标准</w:t>
      </w:r>
      <w:r w:rsidRPr="00A964FF">
        <w:rPr>
          <w:rFonts w:ascii="Calibri" w:eastAsia="黑体" w:hAnsi="Calibri"/>
          <w:color w:val="auto"/>
          <w:sz w:val="24"/>
        </w:rPr>
        <w:t xml:space="preserve">        </w:t>
      </w:r>
      <w:r w:rsidRPr="00A964FF">
        <w:rPr>
          <w:rFonts w:ascii="Calibri" w:hAnsi="Calibri"/>
          <w:color w:val="auto"/>
          <w:szCs w:val="21"/>
        </w:rPr>
        <w:t>单位：</w:t>
      </w:r>
      <w:r w:rsidRPr="00A964FF">
        <w:rPr>
          <w:rFonts w:ascii="Calibri" w:hAnsi="Calibri"/>
          <w:color w:val="auto"/>
          <w:szCs w:val="21"/>
        </w:rPr>
        <w:t>dB</w:t>
      </w:r>
      <w:r w:rsidRPr="00A964FF">
        <w:rPr>
          <w:rFonts w:ascii="Calibri" w:hAnsi="Calibri"/>
          <w:color w:val="auto"/>
          <w:szCs w:val="21"/>
        </w:rPr>
        <w:t>（</w:t>
      </w:r>
      <w:r w:rsidRPr="00A964FF">
        <w:rPr>
          <w:rFonts w:ascii="Calibri" w:hAnsi="Calibri"/>
          <w:color w:val="auto"/>
          <w:szCs w:val="21"/>
        </w:rPr>
        <w:t>A</w:t>
      </w:r>
      <w:r w:rsidRPr="00A964FF">
        <w:rPr>
          <w:rFonts w:ascii="Calibri" w:hAnsi="Calibri"/>
          <w:color w:val="auto"/>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43"/>
        <w:gridCol w:w="2977"/>
        <w:gridCol w:w="3080"/>
      </w:tblGrid>
      <w:tr w:rsidR="0055605A" w:rsidRPr="00A964FF" w14:paraId="0C39F3ED" w14:textId="77777777" w:rsidTr="003E0795">
        <w:trPr>
          <w:trHeight w:val="340"/>
          <w:jc w:val="center"/>
        </w:trPr>
        <w:tc>
          <w:tcPr>
            <w:tcW w:w="1519" w:type="pct"/>
            <w:vAlign w:val="center"/>
          </w:tcPr>
          <w:p w14:paraId="671A9548" w14:textId="77777777" w:rsidR="0055605A" w:rsidRPr="00A964FF" w:rsidRDefault="0055605A" w:rsidP="003E0795">
            <w:pPr>
              <w:jc w:val="center"/>
              <w:textAlignment w:val="baseline"/>
              <w:rPr>
                <w:rFonts w:ascii="Calibri" w:hAnsi="Calibri"/>
                <w:color w:val="auto"/>
                <w:szCs w:val="21"/>
              </w:rPr>
            </w:pPr>
            <w:r w:rsidRPr="00A964FF">
              <w:rPr>
                <w:rFonts w:ascii="Calibri" w:hAnsi="Calibri"/>
                <w:color w:val="auto"/>
                <w:szCs w:val="21"/>
              </w:rPr>
              <w:t>类别</w:t>
            </w:r>
          </w:p>
        </w:tc>
        <w:tc>
          <w:tcPr>
            <w:tcW w:w="1711" w:type="pct"/>
            <w:vAlign w:val="center"/>
          </w:tcPr>
          <w:p w14:paraId="01DDCBF8" w14:textId="77777777" w:rsidR="0055605A" w:rsidRPr="00A964FF" w:rsidRDefault="0055605A" w:rsidP="003E0795">
            <w:pPr>
              <w:jc w:val="center"/>
              <w:textAlignment w:val="baseline"/>
              <w:rPr>
                <w:rFonts w:ascii="Calibri" w:hAnsi="Calibri"/>
                <w:color w:val="auto"/>
                <w:szCs w:val="21"/>
              </w:rPr>
            </w:pPr>
            <w:r w:rsidRPr="00A964FF">
              <w:rPr>
                <w:rFonts w:ascii="Calibri" w:hAnsi="Calibri"/>
                <w:color w:val="auto"/>
                <w:szCs w:val="21"/>
              </w:rPr>
              <w:t>昼间</w:t>
            </w:r>
          </w:p>
        </w:tc>
        <w:tc>
          <w:tcPr>
            <w:tcW w:w="1770" w:type="pct"/>
            <w:vAlign w:val="center"/>
          </w:tcPr>
          <w:p w14:paraId="34E69048" w14:textId="77777777" w:rsidR="0055605A" w:rsidRPr="00A964FF" w:rsidRDefault="0055605A" w:rsidP="003E0795">
            <w:pPr>
              <w:jc w:val="center"/>
              <w:textAlignment w:val="baseline"/>
              <w:rPr>
                <w:rFonts w:ascii="Calibri" w:hAnsi="Calibri"/>
                <w:color w:val="auto"/>
                <w:szCs w:val="21"/>
              </w:rPr>
            </w:pPr>
            <w:r w:rsidRPr="00A964FF">
              <w:rPr>
                <w:rFonts w:ascii="Calibri" w:hAnsi="Calibri"/>
                <w:color w:val="auto"/>
                <w:szCs w:val="21"/>
              </w:rPr>
              <w:t>夜间</w:t>
            </w:r>
          </w:p>
        </w:tc>
      </w:tr>
      <w:tr w:rsidR="0055605A" w:rsidRPr="00A964FF" w14:paraId="421371C3" w14:textId="77777777" w:rsidTr="003E0795">
        <w:trPr>
          <w:trHeight w:val="340"/>
          <w:jc w:val="center"/>
        </w:trPr>
        <w:tc>
          <w:tcPr>
            <w:tcW w:w="1519" w:type="pct"/>
            <w:vAlign w:val="center"/>
          </w:tcPr>
          <w:p w14:paraId="264F8671" w14:textId="77777777" w:rsidR="0055605A" w:rsidRPr="00A964FF" w:rsidRDefault="00B80114" w:rsidP="003E0795">
            <w:pPr>
              <w:jc w:val="center"/>
              <w:textAlignment w:val="baseline"/>
              <w:rPr>
                <w:rFonts w:ascii="Calibri" w:hAnsi="Calibri"/>
                <w:color w:val="auto"/>
                <w:szCs w:val="21"/>
              </w:rPr>
            </w:pPr>
            <w:r>
              <w:rPr>
                <w:rFonts w:ascii="Calibri" w:hAnsi="Calibri" w:hint="eastAsia"/>
                <w:color w:val="auto"/>
                <w:szCs w:val="21"/>
              </w:rPr>
              <w:t>3</w:t>
            </w:r>
            <w:r w:rsidR="0055605A" w:rsidRPr="00A964FF">
              <w:rPr>
                <w:rFonts w:ascii="Calibri" w:hAnsi="Calibri"/>
                <w:color w:val="auto"/>
                <w:szCs w:val="21"/>
              </w:rPr>
              <w:t>类</w:t>
            </w:r>
          </w:p>
        </w:tc>
        <w:tc>
          <w:tcPr>
            <w:tcW w:w="1711" w:type="pct"/>
            <w:vAlign w:val="center"/>
          </w:tcPr>
          <w:p w14:paraId="53E5717E" w14:textId="77777777" w:rsidR="0055605A" w:rsidRPr="00A964FF" w:rsidRDefault="00B80114" w:rsidP="003577AD">
            <w:pPr>
              <w:jc w:val="center"/>
              <w:textAlignment w:val="baseline"/>
              <w:rPr>
                <w:rFonts w:ascii="Calibri" w:hAnsi="Calibri"/>
                <w:color w:val="auto"/>
                <w:szCs w:val="21"/>
              </w:rPr>
            </w:pPr>
            <w:r>
              <w:rPr>
                <w:rFonts w:ascii="Calibri" w:hAnsi="Calibri" w:hint="eastAsia"/>
                <w:color w:val="auto"/>
                <w:szCs w:val="21"/>
              </w:rPr>
              <w:t>65</w:t>
            </w:r>
          </w:p>
        </w:tc>
        <w:tc>
          <w:tcPr>
            <w:tcW w:w="1770" w:type="pct"/>
            <w:vAlign w:val="center"/>
          </w:tcPr>
          <w:p w14:paraId="243FE3D0" w14:textId="77777777" w:rsidR="0055605A" w:rsidRPr="00A964FF" w:rsidRDefault="00B80114" w:rsidP="003E0795">
            <w:pPr>
              <w:jc w:val="center"/>
              <w:textAlignment w:val="baseline"/>
              <w:rPr>
                <w:rFonts w:ascii="Calibri" w:hAnsi="Calibri"/>
                <w:color w:val="auto"/>
                <w:szCs w:val="21"/>
              </w:rPr>
            </w:pPr>
            <w:r>
              <w:rPr>
                <w:rFonts w:ascii="Calibri" w:hAnsi="Calibri" w:hint="eastAsia"/>
                <w:color w:val="auto"/>
                <w:szCs w:val="21"/>
              </w:rPr>
              <w:t>55</w:t>
            </w:r>
          </w:p>
        </w:tc>
      </w:tr>
    </w:tbl>
    <w:p w14:paraId="7F001F73" w14:textId="77777777" w:rsidR="0055605A" w:rsidRPr="00A964FF" w:rsidRDefault="0055605A" w:rsidP="0055605A">
      <w:pPr>
        <w:spacing w:line="520" w:lineRule="exact"/>
        <w:ind w:firstLineChars="200" w:firstLine="482"/>
        <w:rPr>
          <w:rFonts w:ascii="Calibri" w:hAnsi="Calibri"/>
          <w:b/>
          <w:color w:val="auto"/>
          <w:sz w:val="24"/>
        </w:rPr>
      </w:pPr>
      <w:r w:rsidRPr="00A964FF">
        <w:rPr>
          <w:rFonts w:ascii="Calibri" w:hAnsi="Calibri" w:hint="eastAsia"/>
          <w:b/>
          <w:color w:val="auto"/>
          <w:sz w:val="24"/>
        </w:rPr>
        <w:t>4</w:t>
      </w:r>
      <w:r w:rsidRPr="00A964FF">
        <w:rPr>
          <w:rFonts w:ascii="Calibri" w:hAnsi="Calibri" w:hint="eastAsia"/>
          <w:b/>
          <w:color w:val="auto"/>
          <w:sz w:val="24"/>
        </w:rPr>
        <w:t>、固废执行标准</w:t>
      </w:r>
    </w:p>
    <w:p w14:paraId="42C38845" w14:textId="77777777" w:rsidR="0055605A" w:rsidRPr="00A964FF" w:rsidRDefault="0055605A" w:rsidP="000E33B8">
      <w:pPr>
        <w:spacing w:line="520" w:lineRule="exact"/>
        <w:ind w:firstLineChars="200" w:firstLine="480"/>
        <w:rPr>
          <w:rFonts w:ascii="Calibri" w:hAnsi="Calibri"/>
          <w:bCs/>
          <w:color w:val="auto"/>
          <w:sz w:val="24"/>
        </w:rPr>
      </w:pPr>
      <w:r w:rsidRPr="00A964FF">
        <w:rPr>
          <w:rFonts w:ascii="Calibri"/>
          <w:bCs/>
          <w:color w:val="auto"/>
          <w:sz w:val="24"/>
        </w:rPr>
        <w:t>一般工业固体废物的贮存和处置方法执行</w:t>
      </w:r>
      <w:r w:rsidR="00333928" w:rsidRPr="00A964FF">
        <w:rPr>
          <w:rFonts w:ascii="Calibri" w:hint="eastAsia"/>
          <w:bCs/>
          <w:color w:val="auto"/>
          <w:sz w:val="24"/>
        </w:rPr>
        <w:t>《一般工业固体废物贮存和填埋污染控制标准》（</w:t>
      </w:r>
      <w:r w:rsidR="00333928" w:rsidRPr="00A964FF">
        <w:rPr>
          <w:rFonts w:ascii="Calibri" w:hint="eastAsia"/>
          <w:bCs/>
          <w:color w:val="auto"/>
          <w:sz w:val="24"/>
        </w:rPr>
        <w:t>GB18599-2020</w:t>
      </w:r>
      <w:r w:rsidR="00333928" w:rsidRPr="00A964FF">
        <w:rPr>
          <w:rFonts w:ascii="Calibri" w:hint="eastAsia"/>
          <w:bCs/>
          <w:color w:val="auto"/>
          <w:sz w:val="24"/>
        </w:rPr>
        <w:t>）中规定</w:t>
      </w:r>
      <w:r w:rsidRPr="00A964FF">
        <w:rPr>
          <w:rFonts w:ascii="Calibri"/>
          <w:bCs/>
          <w:color w:val="auto"/>
          <w:sz w:val="24"/>
        </w:rPr>
        <w:t>。</w:t>
      </w:r>
    </w:p>
    <w:p w14:paraId="624FA4E4" w14:textId="77777777" w:rsidR="0055605A" w:rsidRPr="00A964FF" w:rsidRDefault="0055605A" w:rsidP="000E33B8">
      <w:pPr>
        <w:spacing w:line="520" w:lineRule="exact"/>
        <w:ind w:firstLineChars="250" w:firstLine="600"/>
        <w:rPr>
          <w:rFonts w:ascii="Calibri" w:hAnsi="Calibri"/>
          <w:bCs/>
          <w:color w:val="auto"/>
          <w:sz w:val="24"/>
        </w:rPr>
      </w:pPr>
      <w:r w:rsidRPr="00A964FF">
        <w:rPr>
          <w:rFonts w:ascii="Calibri" w:hint="eastAsia"/>
          <w:bCs/>
          <w:color w:val="auto"/>
          <w:sz w:val="24"/>
        </w:rPr>
        <w:t>危险固废</w:t>
      </w:r>
      <w:r w:rsidRPr="00A964FF">
        <w:rPr>
          <w:rFonts w:ascii="Calibri"/>
          <w:bCs/>
          <w:color w:val="auto"/>
          <w:sz w:val="24"/>
        </w:rPr>
        <w:t>的贮存和处置方法执行《危险废物贮存污染控制标准》（</w:t>
      </w:r>
      <w:r w:rsidRPr="00A964FF">
        <w:rPr>
          <w:rFonts w:ascii="Calibri" w:hAnsi="Calibri"/>
          <w:bCs/>
          <w:color w:val="auto"/>
          <w:sz w:val="24"/>
        </w:rPr>
        <w:t>GB18597-2001</w:t>
      </w:r>
      <w:r w:rsidRPr="00A964FF">
        <w:rPr>
          <w:rFonts w:ascii="Calibri"/>
          <w:bCs/>
          <w:color w:val="auto"/>
          <w:sz w:val="24"/>
        </w:rPr>
        <w:t>）</w:t>
      </w:r>
      <w:r w:rsidRPr="00A964FF">
        <w:rPr>
          <w:rFonts w:ascii="Calibri" w:hint="eastAsia"/>
          <w:bCs/>
          <w:color w:val="auto"/>
          <w:sz w:val="24"/>
        </w:rPr>
        <w:t>及修改单标准</w:t>
      </w:r>
      <w:r w:rsidRPr="00A964FF">
        <w:rPr>
          <w:rFonts w:ascii="Calibri"/>
          <w:bCs/>
          <w:color w:val="auto"/>
          <w:sz w:val="24"/>
        </w:rPr>
        <w:t>中的规定。</w:t>
      </w:r>
    </w:p>
    <w:p w14:paraId="2475B943" w14:textId="77777777" w:rsidR="0055605A" w:rsidRPr="009C3FCB" w:rsidRDefault="0055605A" w:rsidP="0055605A">
      <w:pPr>
        <w:pStyle w:val="2"/>
        <w:spacing w:before="200" w:after="100"/>
        <w:rPr>
          <w:rFonts w:ascii="Calibri" w:hAnsi="Calibri"/>
          <w:bCs/>
          <w:color w:val="auto"/>
          <w:szCs w:val="28"/>
        </w:rPr>
      </w:pPr>
      <w:bookmarkStart w:id="32" w:name="_Toc447804106"/>
      <w:bookmarkStart w:id="33" w:name="_Toc112999899"/>
      <w:r w:rsidRPr="009C3FCB">
        <w:rPr>
          <w:rFonts w:ascii="Calibri" w:hAnsi="Calibri"/>
          <w:bCs/>
          <w:color w:val="auto"/>
          <w:szCs w:val="28"/>
        </w:rPr>
        <w:lastRenderedPageBreak/>
        <w:t>1.</w:t>
      </w:r>
      <w:r w:rsidRPr="009C3FCB">
        <w:rPr>
          <w:rFonts w:ascii="Calibri" w:hAnsi="Calibri" w:hint="eastAsia"/>
          <w:bCs/>
          <w:color w:val="auto"/>
          <w:szCs w:val="28"/>
        </w:rPr>
        <w:t>5</w:t>
      </w:r>
      <w:r w:rsidRPr="009C3FCB">
        <w:rPr>
          <w:rFonts w:ascii="Calibri" w:hAnsi="Calibri"/>
          <w:bCs/>
          <w:color w:val="auto"/>
          <w:szCs w:val="28"/>
        </w:rPr>
        <w:t>环境影响识别与评价因子筛选</w:t>
      </w:r>
      <w:bookmarkEnd w:id="32"/>
      <w:bookmarkEnd w:id="33"/>
    </w:p>
    <w:p w14:paraId="53511189" w14:textId="77777777" w:rsidR="0055605A" w:rsidRPr="00A964FF" w:rsidRDefault="0055605A" w:rsidP="0055605A">
      <w:pPr>
        <w:pStyle w:val="ad"/>
        <w:rPr>
          <w:rFonts w:ascii="Calibri" w:hAnsi="Calibri"/>
          <w:color w:val="auto"/>
        </w:rPr>
      </w:pPr>
      <w:r w:rsidRPr="009C3FCB">
        <w:rPr>
          <w:rFonts w:ascii="Calibri" w:hAnsi="Calibri"/>
          <w:color w:val="auto"/>
        </w:rPr>
        <w:t>1.</w:t>
      </w:r>
      <w:r w:rsidRPr="009C3FCB">
        <w:rPr>
          <w:rFonts w:ascii="Calibri" w:hAnsi="Calibri" w:hint="eastAsia"/>
          <w:color w:val="auto"/>
        </w:rPr>
        <w:t>5</w:t>
      </w:r>
      <w:r w:rsidRPr="009C3FCB">
        <w:rPr>
          <w:rFonts w:ascii="Calibri" w:hAnsi="Calibri"/>
          <w:color w:val="auto"/>
        </w:rPr>
        <w:t>.1</w:t>
      </w:r>
      <w:r w:rsidRPr="009C3FCB">
        <w:rPr>
          <w:rFonts w:ascii="Calibri" w:hAnsi="Calibri"/>
          <w:color w:val="auto"/>
        </w:rPr>
        <w:t>环境影响因素识别</w:t>
      </w:r>
    </w:p>
    <w:p w14:paraId="681A9892" w14:textId="77777777" w:rsidR="00A00645" w:rsidRPr="00A964FF" w:rsidRDefault="00A00645" w:rsidP="000E33B8">
      <w:pPr>
        <w:spacing w:line="520" w:lineRule="exact"/>
        <w:ind w:firstLineChars="200" w:firstLine="480"/>
        <w:rPr>
          <w:rFonts w:ascii="Calibri" w:hAnsi="Calibri"/>
          <w:color w:val="auto"/>
          <w:sz w:val="24"/>
        </w:rPr>
      </w:pPr>
      <w:r w:rsidRPr="00A964FF">
        <w:rPr>
          <w:rFonts w:ascii="Calibri" w:hAnsi="Calibri" w:hint="eastAsia"/>
          <w:color w:val="auto"/>
          <w:sz w:val="24"/>
        </w:rPr>
        <w:t>根据对本项目工程分析与周围环境现状分析，本项目的施工和运营将会对周围的自然环境和生态环境产生不同程度的影响，其主要影响有：项目施工期间场地开挖会形成裸露土地，在干燥大风天气易形成扬尘，运输车辆亦会产生扬尘影响环境空气，项目施工机械运行产生的噪声对周围敏感点的影响可能持续整个施工期。项目运营期主要环境影响有运营期废气、废水、固废、噪声等对周围环境的影响。</w:t>
      </w:r>
    </w:p>
    <w:p w14:paraId="5F5C1724" w14:textId="77777777" w:rsidR="00FC1E23" w:rsidRPr="006760FE" w:rsidRDefault="00A00645" w:rsidP="006760FE">
      <w:pPr>
        <w:spacing w:line="520" w:lineRule="exact"/>
        <w:ind w:firstLineChars="200" w:firstLine="480"/>
        <w:rPr>
          <w:rFonts w:ascii="Calibri" w:hAnsi="Calibri"/>
          <w:color w:val="auto"/>
          <w:sz w:val="24"/>
        </w:rPr>
      </w:pPr>
      <w:r w:rsidRPr="00A964FF">
        <w:rPr>
          <w:rFonts w:ascii="Calibri" w:hAnsi="Calibri" w:hint="eastAsia"/>
          <w:color w:val="auto"/>
          <w:sz w:val="24"/>
        </w:rPr>
        <w:t>本项目</w:t>
      </w:r>
      <w:r w:rsidR="0055605A" w:rsidRPr="00A964FF">
        <w:rPr>
          <w:rFonts w:ascii="Calibri" w:hAnsi="Calibri"/>
          <w:color w:val="auto"/>
          <w:sz w:val="24"/>
        </w:rPr>
        <w:t>环境影响因素识别内容见表</w:t>
      </w:r>
      <w:r w:rsidR="0055605A" w:rsidRPr="00A964FF">
        <w:rPr>
          <w:rFonts w:ascii="Calibri" w:hAnsi="Calibri"/>
          <w:color w:val="auto"/>
          <w:sz w:val="24"/>
        </w:rPr>
        <w:t>1</w:t>
      </w:r>
      <w:r w:rsidR="006669D1" w:rsidRPr="00A964FF">
        <w:rPr>
          <w:rFonts w:ascii="Calibri" w:hAnsi="Calibri" w:hint="eastAsia"/>
          <w:color w:val="auto"/>
          <w:sz w:val="24"/>
        </w:rPr>
        <w:t>.</w:t>
      </w:r>
      <w:r w:rsidR="00E81130" w:rsidRPr="00A964FF">
        <w:rPr>
          <w:rFonts w:ascii="Calibri" w:hAnsi="Calibri" w:hint="eastAsia"/>
          <w:color w:val="auto"/>
          <w:sz w:val="24"/>
        </w:rPr>
        <w:t>5</w:t>
      </w:r>
      <w:r w:rsidR="006669D1" w:rsidRPr="00A964FF">
        <w:rPr>
          <w:rFonts w:ascii="Calibri" w:hAnsi="Calibri" w:hint="eastAsia"/>
          <w:color w:val="auto"/>
          <w:sz w:val="24"/>
        </w:rPr>
        <w:t>-</w:t>
      </w:r>
      <w:r w:rsidR="00E81130" w:rsidRPr="00A964FF">
        <w:rPr>
          <w:rFonts w:ascii="Calibri" w:hAnsi="Calibri" w:hint="eastAsia"/>
          <w:color w:val="auto"/>
          <w:sz w:val="24"/>
        </w:rPr>
        <w:t>1</w:t>
      </w:r>
      <w:r w:rsidR="0055605A" w:rsidRPr="00A964FF">
        <w:rPr>
          <w:rFonts w:ascii="Calibri" w:hAnsi="Calibri"/>
          <w:color w:val="auto"/>
          <w:sz w:val="24"/>
        </w:rPr>
        <w:t>。</w:t>
      </w:r>
    </w:p>
    <w:p w14:paraId="6AF0B4D0" w14:textId="77777777" w:rsidR="00A00645" w:rsidRPr="00A964FF" w:rsidRDefault="0055605A" w:rsidP="000E33B8">
      <w:pPr>
        <w:spacing w:line="520" w:lineRule="exact"/>
        <w:ind w:firstLineChars="196" w:firstLine="470"/>
        <w:rPr>
          <w:rFonts w:ascii="Calibri" w:eastAsia="黑体" w:hAnsi="Calibri"/>
          <w:color w:val="auto"/>
          <w:sz w:val="24"/>
        </w:rPr>
      </w:pPr>
      <w:r w:rsidRPr="00A964FF">
        <w:rPr>
          <w:rFonts w:ascii="Calibri" w:eastAsia="黑体" w:hAnsi="Calibri"/>
          <w:color w:val="auto"/>
          <w:sz w:val="24"/>
        </w:rPr>
        <w:t>表</w:t>
      </w:r>
      <w:r w:rsidRPr="00A964FF">
        <w:rPr>
          <w:rFonts w:ascii="Calibri" w:eastAsia="黑体" w:hAnsi="Calibri"/>
          <w:bCs/>
          <w:color w:val="auto"/>
          <w:sz w:val="24"/>
        </w:rPr>
        <w:t>1</w:t>
      </w:r>
      <w:r w:rsidR="006669D1" w:rsidRPr="00A964FF">
        <w:rPr>
          <w:rFonts w:ascii="Calibri" w:eastAsia="黑体" w:hAnsi="Calibri" w:hint="eastAsia"/>
          <w:bCs/>
          <w:color w:val="auto"/>
          <w:sz w:val="24"/>
        </w:rPr>
        <w:t>.</w:t>
      </w:r>
      <w:r w:rsidR="00E81130" w:rsidRPr="00A964FF">
        <w:rPr>
          <w:rFonts w:ascii="Calibri" w:eastAsia="黑体" w:hAnsi="Calibri" w:hint="eastAsia"/>
          <w:bCs/>
          <w:color w:val="auto"/>
          <w:sz w:val="24"/>
        </w:rPr>
        <w:t>5</w:t>
      </w:r>
      <w:r w:rsidRPr="00A964FF">
        <w:rPr>
          <w:rFonts w:ascii="Calibri" w:eastAsia="黑体" w:hAnsi="Calibri"/>
          <w:bCs/>
          <w:color w:val="auto"/>
          <w:sz w:val="24"/>
        </w:rPr>
        <w:t>-</w:t>
      </w:r>
      <w:r w:rsidR="00E81130" w:rsidRPr="00A964FF">
        <w:rPr>
          <w:rFonts w:ascii="Calibri" w:eastAsia="黑体" w:hAnsi="Calibri" w:hint="eastAsia"/>
          <w:bCs/>
          <w:color w:val="auto"/>
          <w:sz w:val="24"/>
        </w:rPr>
        <w:t>1</w:t>
      </w:r>
      <w:r w:rsidRPr="00A964FF">
        <w:rPr>
          <w:rFonts w:ascii="Calibri" w:eastAsia="黑体" w:hAnsi="Calibri"/>
          <w:bCs/>
          <w:color w:val="auto"/>
          <w:sz w:val="24"/>
        </w:rPr>
        <w:t xml:space="preserve">  </w:t>
      </w:r>
      <w:r w:rsidRPr="00A964FF">
        <w:rPr>
          <w:rFonts w:ascii="Calibri" w:eastAsia="黑体" w:hAnsi="Calibri"/>
          <w:color w:val="auto"/>
          <w:sz w:val="24"/>
        </w:rPr>
        <w:t xml:space="preserve">               </w:t>
      </w:r>
      <w:r w:rsidRPr="00A964FF">
        <w:rPr>
          <w:rFonts w:ascii="Calibri" w:eastAsia="黑体" w:hAnsi="Calibri"/>
          <w:color w:val="auto"/>
          <w:sz w:val="24"/>
        </w:rPr>
        <w:t>环境影响因素识别一览表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1164"/>
        <w:gridCol w:w="781"/>
        <w:gridCol w:w="781"/>
        <w:gridCol w:w="781"/>
        <w:gridCol w:w="781"/>
        <w:gridCol w:w="785"/>
        <w:gridCol w:w="736"/>
        <w:gridCol w:w="736"/>
        <w:gridCol w:w="736"/>
        <w:gridCol w:w="729"/>
      </w:tblGrid>
      <w:tr w:rsidR="00A00645" w:rsidRPr="00A964FF" w14:paraId="77EA1B39" w14:textId="77777777" w:rsidTr="00A00645">
        <w:trPr>
          <w:trHeight w:val="369"/>
        </w:trPr>
        <w:tc>
          <w:tcPr>
            <w:tcW w:w="1065" w:type="pct"/>
            <w:gridSpan w:val="2"/>
            <w:vMerge w:val="restart"/>
            <w:tcBorders>
              <w:top w:val="single" w:sz="12" w:space="0" w:color="auto"/>
              <w:left w:val="single" w:sz="12" w:space="0" w:color="auto"/>
              <w:bottom w:val="single" w:sz="4" w:space="0" w:color="auto"/>
              <w:right w:val="single" w:sz="4" w:space="0" w:color="auto"/>
              <w:tl2br w:val="single" w:sz="4" w:space="0" w:color="auto"/>
            </w:tcBorders>
            <w:vAlign w:val="center"/>
          </w:tcPr>
          <w:p w14:paraId="2F558F9E" w14:textId="77777777" w:rsidR="00A00645" w:rsidRPr="00A964FF" w:rsidRDefault="00A00645" w:rsidP="000E33B8">
            <w:pPr>
              <w:snapToGrid w:val="0"/>
              <w:ind w:leftChars="150" w:left="315" w:firstLineChars="50" w:firstLine="105"/>
              <w:rPr>
                <w:rFonts w:ascii="Calibri" w:hAnsi="Calibri"/>
                <w:color w:val="auto"/>
                <w:szCs w:val="21"/>
              </w:rPr>
            </w:pPr>
            <w:r w:rsidRPr="00A964FF">
              <w:rPr>
                <w:rFonts w:ascii="Calibri" w:hAnsi="Calibri"/>
                <w:color w:val="auto"/>
                <w:szCs w:val="21"/>
              </w:rPr>
              <w:t>影响因素</w:t>
            </w:r>
          </w:p>
          <w:p w14:paraId="00736436" w14:textId="77777777" w:rsidR="00A00645" w:rsidRPr="00A964FF" w:rsidRDefault="00A00645" w:rsidP="00301176">
            <w:pPr>
              <w:snapToGrid w:val="0"/>
              <w:rPr>
                <w:rFonts w:ascii="Calibri" w:hAnsi="Calibri"/>
                <w:color w:val="auto"/>
                <w:szCs w:val="21"/>
              </w:rPr>
            </w:pPr>
          </w:p>
          <w:p w14:paraId="65D82DDA" w14:textId="77777777" w:rsidR="00A00645" w:rsidRPr="00A964FF" w:rsidRDefault="00A00645" w:rsidP="00301176">
            <w:pPr>
              <w:snapToGrid w:val="0"/>
              <w:rPr>
                <w:rFonts w:ascii="Calibri" w:hAnsi="Calibri"/>
                <w:color w:val="auto"/>
                <w:szCs w:val="21"/>
              </w:rPr>
            </w:pPr>
            <w:r w:rsidRPr="00A964FF">
              <w:rPr>
                <w:rFonts w:ascii="Calibri" w:hAnsi="Calibri"/>
                <w:color w:val="auto"/>
                <w:szCs w:val="21"/>
              </w:rPr>
              <w:t>类别</w:t>
            </w:r>
          </w:p>
        </w:tc>
        <w:tc>
          <w:tcPr>
            <w:tcW w:w="2246" w:type="pct"/>
            <w:gridSpan w:val="5"/>
            <w:tcBorders>
              <w:top w:val="single" w:sz="12" w:space="0" w:color="auto"/>
              <w:left w:val="single" w:sz="4" w:space="0" w:color="auto"/>
              <w:bottom w:val="single" w:sz="4" w:space="0" w:color="auto"/>
              <w:right w:val="single" w:sz="4" w:space="0" w:color="auto"/>
            </w:tcBorders>
            <w:vAlign w:val="center"/>
          </w:tcPr>
          <w:p w14:paraId="3163F3EA"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施工期</w:t>
            </w:r>
          </w:p>
        </w:tc>
        <w:tc>
          <w:tcPr>
            <w:tcW w:w="1688" w:type="pct"/>
            <w:gridSpan w:val="4"/>
            <w:tcBorders>
              <w:top w:val="single" w:sz="12" w:space="0" w:color="auto"/>
              <w:left w:val="single" w:sz="4" w:space="0" w:color="auto"/>
              <w:bottom w:val="single" w:sz="4" w:space="0" w:color="auto"/>
              <w:right w:val="single" w:sz="12" w:space="0" w:color="auto"/>
            </w:tcBorders>
            <w:vAlign w:val="center"/>
          </w:tcPr>
          <w:p w14:paraId="629136A4" w14:textId="77777777" w:rsidR="00A00645" w:rsidRPr="00A964FF" w:rsidRDefault="00A00645" w:rsidP="00301176">
            <w:pPr>
              <w:snapToGrid w:val="0"/>
              <w:ind w:left="912"/>
              <w:rPr>
                <w:rFonts w:ascii="Calibri" w:hAnsi="Calibri"/>
                <w:color w:val="auto"/>
                <w:szCs w:val="21"/>
              </w:rPr>
            </w:pPr>
            <w:r w:rsidRPr="00A964FF">
              <w:rPr>
                <w:rFonts w:ascii="Calibri" w:hAnsi="Calibri"/>
                <w:color w:val="auto"/>
                <w:szCs w:val="21"/>
              </w:rPr>
              <w:t>营运期</w:t>
            </w:r>
          </w:p>
        </w:tc>
      </w:tr>
      <w:tr w:rsidR="00A00645" w:rsidRPr="00A964FF" w14:paraId="17FD048C" w14:textId="77777777" w:rsidTr="00301176">
        <w:trPr>
          <w:trHeight w:val="369"/>
        </w:trPr>
        <w:tc>
          <w:tcPr>
            <w:tcW w:w="1065" w:type="pct"/>
            <w:gridSpan w:val="2"/>
            <w:vMerge/>
            <w:tcBorders>
              <w:top w:val="single" w:sz="4" w:space="0" w:color="auto"/>
              <w:left w:val="single" w:sz="12" w:space="0" w:color="auto"/>
              <w:bottom w:val="single" w:sz="4" w:space="0" w:color="auto"/>
              <w:right w:val="single" w:sz="4" w:space="0" w:color="auto"/>
              <w:tl2br w:val="single" w:sz="4" w:space="0" w:color="auto"/>
            </w:tcBorders>
            <w:vAlign w:val="center"/>
          </w:tcPr>
          <w:p w14:paraId="6B235E41" w14:textId="77777777" w:rsidR="00A00645" w:rsidRPr="00A964FF" w:rsidRDefault="00A00645" w:rsidP="000E33B8">
            <w:pPr>
              <w:snapToGrid w:val="0"/>
              <w:ind w:left="315" w:hangingChars="150" w:hanging="315"/>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46E3C9E4"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土建</w:t>
            </w:r>
          </w:p>
          <w:p w14:paraId="2BC5076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工程</w:t>
            </w:r>
          </w:p>
        </w:tc>
        <w:tc>
          <w:tcPr>
            <w:tcW w:w="449" w:type="pct"/>
            <w:tcBorders>
              <w:top w:val="single" w:sz="4" w:space="0" w:color="auto"/>
              <w:left w:val="single" w:sz="4" w:space="0" w:color="auto"/>
              <w:bottom w:val="single" w:sz="4" w:space="0" w:color="auto"/>
              <w:right w:val="single" w:sz="4" w:space="0" w:color="auto"/>
            </w:tcBorders>
            <w:vAlign w:val="center"/>
          </w:tcPr>
          <w:p w14:paraId="40BA7AA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安装</w:t>
            </w:r>
          </w:p>
          <w:p w14:paraId="4D00FA6A"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工程</w:t>
            </w:r>
          </w:p>
        </w:tc>
        <w:tc>
          <w:tcPr>
            <w:tcW w:w="449" w:type="pct"/>
            <w:tcBorders>
              <w:top w:val="single" w:sz="4" w:space="0" w:color="auto"/>
              <w:left w:val="single" w:sz="4" w:space="0" w:color="auto"/>
              <w:bottom w:val="single" w:sz="4" w:space="0" w:color="auto"/>
              <w:right w:val="single" w:sz="4" w:space="0" w:color="auto"/>
            </w:tcBorders>
            <w:vAlign w:val="center"/>
          </w:tcPr>
          <w:p w14:paraId="39939DD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施工</w:t>
            </w:r>
          </w:p>
          <w:p w14:paraId="6F1BC33B"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噪声</w:t>
            </w:r>
          </w:p>
        </w:tc>
        <w:tc>
          <w:tcPr>
            <w:tcW w:w="449" w:type="pct"/>
            <w:tcBorders>
              <w:top w:val="single" w:sz="4" w:space="0" w:color="auto"/>
              <w:left w:val="single" w:sz="4" w:space="0" w:color="auto"/>
              <w:bottom w:val="single" w:sz="4" w:space="0" w:color="auto"/>
              <w:right w:val="single" w:sz="4" w:space="0" w:color="auto"/>
            </w:tcBorders>
            <w:vAlign w:val="center"/>
          </w:tcPr>
          <w:p w14:paraId="171DA51F"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施工</w:t>
            </w:r>
          </w:p>
          <w:p w14:paraId="6754654F"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扬尘</w:t>
            </w:r>
          </w:p>
        </w:tc>
        <w:tc>
          <w:tcPr>
            <w:tcW w:w="451" w:type="pct"/>
            <w:tcBorders>
              <w:top w:val="single" w:sz="4" w:space="0" w:color="auto"/>
              <w:left w:val="single" w:sz="4" w:space="0" w:color="auto"/>
              <w:bottom w:val="single" w:sz="4" w:space="0" w:color="auto"/>
              <w:right w:val="single" w:sz="4" w:space="0" w:color="auto"/>
            </w:tcBorders>
            <w:vAlign w:val="center"/>
          </w:tcPr>
          <w:p w14:paraId="2BBF79BE" w14:textId="77777777" w:rsidR="00A00645" w:rsidRPr="00A964FF" w:rsidRDefault="00A00645" w:rsidP="00301176">
            <w:pPr>
              <w:snapToGrid w:val="0"/>
              <w:jc w:val="center"/>
              <w:rPr>
                <w:rFonts w:ascii="Calibri" w:hAnsi="Calibri"/>
                <w:color w:val="auto"/>
                <w:szCs w:val="21"/>
              </w:rPr>
            </w:pPr>
            <w:r w:rsidRPr="00A964FF">
              <w:rPr>
                <w:rFonts w:ascii="Calibri" w:hAnsi="Calibri" w:hint="eastAsia"/>
                <w:color w:val="auto"/>
                <w:szCs w:val="21"/>
              </w:rPr>
              <w:t>施工废水</w:t>
            </w:r>
          </w:p>
        </w:tc>
        <w:tc>
          <w:tcPr>
            <w:tcW w:w="423" w:type="pct"/>
            <w:tcBorders>
              <w:top w:val="single" w:sz="4" w:space="0" w:color="auto"/>
              <w:left w:val="single" w:sz="4" w:space="0" w:color="auto"/>
              <w:bottom w:val="single" w:sz="4" w:space="0" w:color="auto"/>
              <w:right w:val="single" w:sz="4" w:space="0" w:color="auto"/>
            </w:tcBorders>
            <w:vAlign w:val="center"/>
          </w:tcPr>
          <w:p w14:paraId="6BAE3308"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废气</w:t>
            </w:r>
          </w:p>
        </w:tc>
        <w:tc>
          <w:tcPr>
            <w:tcW w:w="423" w:type="pct"/>
            <w:tcBorders>
              <w:top w:val="single" w:sz="4" w:space="0" w:color="auto"/>
              <w:left w:val="single" w:sz="4" w:space="0" w:color="auto"/>
              <w:bottom w:val="single" w:sz="4" w:space="0" w:color="auto"/>
              <w:right w:val="single" w:sz="4" w:space="0" w:color="auto"/>
            </w:tcBorders>
            <w:vAlign w:val="center"/>
          </w:tcPr>
          <w:p w14:paraId="14E89EEA"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噪声</w:t>
            </w:r>
          </w:p>
        </w:tc>
        <w:tc>
          <w:tcPr>
            <w:tcW w:w="423" w:type="pct"/>
            <w:tcBorders>
              <w:top w:val="single" w:sz="4" w:space="0" w:color="auto"/>
              <w:left w:val="single" w:sz="4" w:space="0" w:color="auto"/>
              <w:bottom w:val="single" w:sz="4" w:space="0" w:color="auto"/>
              <w:right w:val="single" w:sz="4" w:space="0" w:color="auto"/>
            </w:tcBorders>
            <w:vAlign w:val="center"/>
          </w:tcPr>
          <w:p w14:paraId="3B2524CA"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固废</w:t>
            </w:r>
          </w:p>
        </w:tc>
        <w:tc>
          <w:tcPr>
            <w:tcW w:w="419" w:type="pct"/>
            <w:tcBorders>
              <w:top w:val="single" w:sz="4" w:space="0" w:color="auto"/>
              <w:left w:val="single" w:sz="4" w:space="0" w:color="auto"/>
              <w:bottom w:val="single" w:sz="4" w:space="0" w:color="auto"/>
              <w:right w:val="single" w:sz="12" w:space="0" w:color="auto"/>
            </w:tcBorders>
            <w:vAlign w:val="center"/>
          </w:tcPr>
          <w:p w14:paraId="1B01328D"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废水</w:t>
            </w:r>
          </w:p>
        </w:tc>
      </w:tr>
      <w:tr w:rsidR="00A00645" w:rsidRPr="00A964FF" w14:paraId="274FAC4D" w14:textId="77777777" w:rsidTr="00301176">
        <w:trPr>
          <w:trHeight w:val="369"/>
        </w:trPr>
        <w:tc>
          <w:tcPr>
            <w:tcW w:w="396" w:type="pct"/>
            <w:vMerge w:val="restart"/>
            <w:tcBorders>
              <w:top w:val="single" w:sz="4" w:space="0" w:color="auto"/>
              <w:left w:val="single" w:sz="12" w:space="0" w:color="auto"/>
              <w:bottom w:val="single" w:sz="4" w:space="0" w:color="auto"/>
              <w:right w:val="single" w:sz="4" w:space="0" w:color="auto"/>
            </w:tcBorders>
            <w:vAlign w:val="center"/>
          </w:tcPr>
          <w:p w14:paraId="60A4209C" w14:textId="77777777" w:rsidR="00CD145F" w:rsidRPr="00A964FF" w:rsidRDefault="00CD145F" w:rsidP="00CD145F">
            <w:pPr>
              <w:snapToGrid w:val="0"/>
              <w:jc w:val="center"/>
              <w:rPr>
                <w:rFonts w:ascii="Calibri" w:hAnsi="Calibri"/>
                <w:color w:val="auto"/>
                <w:szCs w:val="21"/>
              </w:rPr>
            </w:pPr>
            <w:r w:rsidRPr="00A964FF">
              <w:rPr>
                <w:rFonts w:ascii="Calibri" w:hAnsi="Calibri"/>
                <w:color w:val="auto"/>
                <w:szCs w:val="21"/>
              </w:rPr>
              <w:t>生态</w:t>
            </w:r>
          </w:p>
          <w:p w14:paraId="1383F1E4" w14:textId="77777777" w:rsidR="00A00645" w:rsidRPr="00A964FF" w:rsidRDefault="00CD145F" w:rsidP="00CD145F">
            <w:pPr>
              <w:snapToGrid w:val="0"/>
              <w:jc w:val="center"/>
              <w:rPr>
                <w:rFonts w:ascii="Calibri" w:hAnsi="Calibri"/>
                <w:color w:val="auto"/>
                <w:szCs w:val="21"/>
              </w:rPr>
            </w:pPr>
            <w:r w:rsidRPr="00A964FF">
              <w:rPr>
                <w:rFonts w:ascii="Calibri" w:hAnsi="Calibri" w:hint="eastAsia"/>
                <w:color w:val="auto"/>
                <w:szCs w:val="21"/>
              </w:rPr>
              <w:t>环境</w:t>
            </w:r>
          </w:p>
        </w:tc>
        <w:tc>
          <w:tcPr>
            <w:tcW w:w="669" w:type="pct"/>
            <w:tcBorders>
              <w:top w:val="single" w:sz="4" w:space="0" w:color="auto"/>
              <w:left w:val="single" w:sz="4" w:space="0" w:color="auto"/>
              <w:bottom w:val="single" w:sz="4" w:space="0" w:color="auto"/>
              <w:right w:val="single" w:sz="4" w:space="0" w:color="auto"/>
            </w:tcBorders>
            <w:vAlign w:val="center"/>
          </w:tcPr>
          <w:p w14:paraId="47E37CE9"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地表水</w:t>
            </w:r>
          </w:p>
        </w:tc>
        <w:tc>
          <w:tcPr>
            <w:tcW w:w="449" w:type="pct"/>
            <w:tcBorders>
              <w:top w:val="single" w:sz="4" w:space="0" w:color="auto"/>
              <w:left w:val="single" w:sz="4" w:space="0" w:color="auto"/>
              <w:bottom w:val="single" w:sz="4" w:space="0" w:color="auto"/>
              <w:right w:val="single" w:sz="4" w:space="0" w:color="auto"/>
            </w:tcBorders>
            <w:vAlign w:val="center"/>
          </w:tcPr>
          <w:p w14:paraId="7D3BE29D"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7D71976B"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09CAE3C7"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4790FF2B" w14:textId="77777777" w:rsidR="00A00645" w:rsidRPr="00A964FF" w:rsidRDefault="00A00645" w:rsidP="00301176">
            <w:pPr>
              <w:snapToGrid w:val="0"/>
              <w:jc w:val="center"/>
              <w:rPr>
                <w:rFonts w:ascii="Calibri" w:hAnsi="Calibri"/>
                <w:color w:val="auto"/>
                <w:szCs w:val="21"/>
              </w:rPr>
            </w:pPr>
          </w:p>
        </w:tc>
        <w:tc>
          <w:tcPr>
            <w:tcW w:w="451" w:type="pct"/>
            <w:tcBorders>
              <w:top w:val="single" w:sz="4" w:space="0" w:color="auto"/>
              <w:left w:val="single" w:sz="4" w:space="0" w:color="auto"/>
              <w:bottom w:val="single" w:sz="4" w:space="0" w:color="auto"/>
              <w:right w:val="single" w:sz="4" w:space="0" w:color="auto"/>
            </w:tcBorders>
            <w:vAlign w:val="center"/>
          </w:tcPr>
          <w:p w14:paraId="2099DF1A"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23" w:type="pct"/>
            <w:tcBorders>
              <w:top w:val="single" w:sz="4" w:space="0" w:color="auto"/>
              <w:left w:val="single" w:sz="4" w:space="0" w:color="auto"/>
              <w:bottom w:val="single" w:sz="4" w:space="0" w:color="auto"/>
              <w:right w:val="single" w:sz="4" w:space="0" w:color="auto"/>
            </w:tcBorders>
            <w:vAlign w:val="center"/>
          </w:tcPr>
          <w:p w14:paraId="4A10B10D"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7D6519EF"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2AA0DA57" w14:textId="77777777" w:rsidR="00A00645" w:rsidRPr="00A964FF" w:rsidRDefault="00A00645" w:rsidP="00301176">
            <w:pPr>
              <w:snapToGrid w:val="0"/>
              <w:jc w:val="center"/>
              <w:rPr>
                <w:rFonts w:ascii="Calibri" w:hAnsi="Calibri"/>
                <w:color w:val="auto"/>
                <w:szCs w:val="21"/>
              </w:rPr>
            </w:pPr>
          </w:p>
        </w:tc>
        <w:tc>
          <w:tcPr>
            <w:tcW w:w="419" w:type="pct"/>
            <w:tcBorders>
              <w:top w:val="single" w:sz="4" w:space="0" w:color="auto"/>
              <w:left w:val="single" w:sz="4" w:space="0" w:color="auto"/>
              <w:bottom w:val="single" w:sz="4" w:space="0" w:color="auto"/>
              <w:right w:val="single" w:sz="12" w:space="0" w:color="auto"/>
            </w:tcBorders>
            <w:vAlign w:val="center"/>
          </w:tcPr>
          <w:p w14:paraId="77E50076"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r>
      <w:tr w:rsidR="00A00645" w:rsidRPr="00A964FF" w14:paraId="1C99B638" w14:textId="77777777" w:rsidTr="00301176">
        <w:trPr>
          <w:trHeight w:val="369"/>
        </w:trPr>
        <w:tc>
          <w:tcPr>
            <w:tcW w:w="396" w:type="pct"/>
            <w:vMerge/>
            <w:tcBorders>
              <w:top w:val="single" w:sz="4" w:space="0" w:color="auto"/>
              <w:left w:val="single" w:sz="12" w:space="0" w:color="auto"/>
              <w:bottom w:val="single" w:sz="4" w:space="0" w:color="auto"/>
              <w:right w:val="single" w:sz="4" w:space="0" w:color="auto"/>
            </w:tcBorders>
            <w:vAlign w:val="center"/>
          </w:tcPr>
          <w:p w14:paraId="3691BC26" w14:textId="77777777" w:rsidR="00A00645" w:rsidRPr="00A964FF" w:rsidRDefault="00A00645" w:rsidP="00CD145F">
            <w:pPr>
              <w:snapToGrid w:val="0"/>
              <w:jc w:val="center"/>
              <w:rPr>
                <w:rFonts w:ascii="Calibri" w:hAnsi="Calibri"/>
                <w:color w:val="auto"/>
                <w:szCs w:val="21"/>
              </w:rPr>
            </w:pPr>
          </w:p>
        </w:tc>
        <w:tc>
          <w:tcPr>
            <w:tcW w:w="669" w:type="pct"/>
            <w:tcBorders>
              <w:top w:val="single" w:sz="4" w:space="0" w:color="auto"/>
              <w:left w:val="single" w:sz="4" w:space="0" w:color="auto"/>
              <w:bottom w:val="single" w:sz="4" w:space="0" w:color="auto"/>
              <w:right w:val="single" w:sz="4" w:space="0" w:color="auto"/>
            </w:tcBorders>
            <w:vAlign w:val="center"/>
          </w:tcPr>
          <w:p w14:paraId="0FEBBDC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地下水</w:t>
            </w:r>
          </w:p>
        </w:tc>
        <w:tc>
          <w:tcPr>
            <w:tcW w:w="449" w:type="pct"/>
            <w:tcBorders>
              <w:top w:val="single" w:sz="4" w:space="0" w:color="auto"/>
              <w:left w:val="single" w:sz="4" w:space="0" w:color="auto"/>
              <w:bottom w:val="single" w:sz="4" w:space="0" w:color="auto"/>
              <w:right w:val="single" w:sz="4" w:space="0" w:color="auto"/>
            </w:tcBorders>
            <w:vAlign w:val="center"/>
          </w:tcPr>
          <w:p w14:paraId="61DCF33B"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746BFA25"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6D6843DE"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5400812D" w14:textId="77777777" w:rsidR="00A00645" w:rsidRPr="00A964FF" w:rsidRDefault="00A00645" w:rsidP="00301176">
            <w:pPr>
              <w:snapToGrid w:val="0"/>
              <w:jc w:val="center"/>
              <w:rPr>
                <w:rFonts w:ascii="Calibri" w:hAnsi="Calibri"/>
                <w:color w:val="auto"/>
                <w:szCs w:val="21"/>
              </w:rPr>
            </w:pPr>
          </w:p>
        </w:tc>
        <w:tc>
          <w:tcPr>
            <w:tcW w:w="451" w:type="pct"/>
            <w:tcBorders>
              <w:top w:val="single" w:sz="4" w:space="0" w:color="auto"/>
              <w:left w:val="single" w:sz="4" w:space="0" w:color="auto"/>
              <w:bottom w:val="single" w:sz="4" w:space="0" w:color="auto"/>
              <w:right w:val="single" w:sz="4" w:space="0" w:color="auto"/>
            </w:tcBorders>
            <w:vAlign w:val="center"/>
          </w:tcPr>
          <w:p w14:paraId="326879F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23" w:type="pct"/>
            <w:tcBorders>
              <w:top w:val="single" w:sz="4" w:space="0" w:color="auto"/>
              <w:left w:val="single" w:sz="4" w:space="0" w:color="auto"/>
              <w:bottom w:val="single" w:sz="4" w:space="0" w:color="auto"/>
              <w:right w:val="single" w:sz="4" w:space="0" w:color="auto"/>
            </w:tcBorders>
            <w:vAlign w:val="center"/>
          </w:tcPr>
          <w:p w14:paraId="6D1C7BD4"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78C77890"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17691298"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c>
          <w:tcPr>
            <w:tcW w:w="419" w:type="pct"/>
            <w:tcBorders>
              <w:top w:val="single" w:sz="4" w:space="0" w:color="auto"/>
              <w:left w:val="single" w:sz="4" w:space="0" w:color="auto"/>
              <w:bottom w:val="single" w:sz="4" w:space="0" w:color="auto"/>
              <w:right w:val="single" w:sz="12" w:space="0" w:color="auto"/>
            </w:tcBorders>
            <w:vAlign w:val="center"/>
          </w:tcPr>
          <w:p w14:paraId="34FB0273"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r>
      <w:tr w:rsidR="00A00645" w:rsidRPr="00A964FF" w14:paraId="23515EF8" w14:textId="77777777" w:rsidTr="00301176">
        <w:trPr>
          <w:trHeight w:val="369"/>
        </w:trPr>
        <w:tc>
          <w:tcPr>
            <w:tcW w:w="396" w:type="pct"/>
            <w:vMerge/>
            <w:tcBorders>
              <w:top w:val="single" w:sz="4" w:space="0" w:color="auto"/>
              <w:left w:val="single" w:sz="12" w:space="0" w:color="auto"/>
              <w:bottom w:val="single" w:sz="4" w:space="0" w:color="auto"/>
              <w:right w:val="single" w:sz="4" w:space="0" w:color="auto"/>
            </w:tcBorders>
            <w:vAlign w:val="center"/>
          </w:tcPr>
          <w:p w14:paraId="4FF03DE9" w14:textId="77777777" w:rsidR="00A00645" w:rsidRPr="00A964FF" w:rsidRDefault="00A00645" w:rsidP="00CD145F">
            <w:pPr>
              <w:snapToGrid w:val="0"/>
              <w:jc w:val="center"/>
              <w:rPr>
                <w:rFonts w:ascii="Calibri" w:hAnsi="Calibri"/>
                <w:color w:val="auto"/>
                <w:szCs w:val="21"/>
              </w:rPr>
            </w:pPr>
          </w:p>
        </w:tc>
        <w:tc>
          <w:tcPr>
            <w:tcW w:w="669" w:type="pct"/>
            <w:tcBorders>
              <w:top w:val="single" w:sz="4" w:space="0" w:color="auto"/>
              <w:left w:val="single" w:sz="4" w:space="0" w:color="auto"/>
              <w:bottom w:val="single" w:sz="4" w:space="0" w:color="auto"/>
              <w:right w:val="single" w:sz="4" w:space="0" w:color="auto"/>
            </w:tcBorders>
            <w:vAlign w:val="center"/>
          </w:tcPr>
          <w:p w14:paraId="4E83FCFE"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环境空气</w:t>
            </w:r>
          </w:p>
        </w:tc>
        <w:tc>
          <w:tcPr>
            <w:tcW w:w="449" w:type="pct"/>
            <w:tcBorders>
              <w:top w:val="single" w:sz="4" w:space="0" w:color="auto"/>
              <w:left w:val="single" w:sz="4" w:space="0" w:color="auto"/>
              <w:bottom w:val="single" w:sz="4" w:space="0" w:color="auto"/>
              <w:right w:val="single" w:sz="4" w:space="0" w:color="auto"/>
            </w:tcBorders>
            <w:vAlign w:val="center"/>
          </w:tcPr>
          <w:p w14:paraId="388D84F3"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28322E9A"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283298FF"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38243A51"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51" w:type="pct"/>
            <w:tcBorders>
              <w:top w:val="single" w:sz="4" w:space="0" w:color="auto"/>
              <w:left w:val="single" w:sz="4" w:space="0" w:color="auto"/>
              <w:bottom w:val="single" w:sz="4" w:space="0" w:color="auto"/>
              <w:right w:val="single" w:sz="4" w:space="0" w:color="auto"/>
            </w:tcBorders>
            <w:vAlign w:val="center"/>
          </w:tcPr>
          <w:p w14:paraId="60DDFA6F"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3EDD5954" w14:textId="77777777" w:rsidR="00A00645" w:rsidRPr="00A964FF" w:rsidRDefault="00A00645" w:rsidP="00301176">
            <w:pPr>
              <w:snapToGrid w:val="0"/>
              <w:jc w:val="center"/>
              <w:rPr>
                <w:rFonts w:ascii="Calibri" w:hAnsi="Calibri"/>
                <w:color w:val="auto"/>
                <w:szCs w:val="21"/>
              </w:rPr>
            </w:pPr>
            <w:r w:rsidRPr="00A964FF">
              <w:rPr>
                <w:rFonts w:ascii="Calibri" w:hAnsi="Calibri" w:hint="eastAsia"/>
                <w:color w:val="auto"/>
                <w:szCs w:val="21"/>
              </w:rPr>
              <w:t>2</w:t>
            </w:r>
            <w:r w:rsidRPr="00A964FF">
              <w:rPr>
                <w:rFonts w:ascii="Calibri" w:hAnsi="Calibri"/>
                <w:color w:val="auto"/>
                <w:szCs w:val="21"/>
              </w:rPr>
              <w:t>LP</w:t>
            </w:r>
          </w:p>
        </w:tc>
        <w:tc>
          <w:tcPr>
            <w:tcW w:w="423" w:type="pct"/>
            <w:tcBorders>
              <w:top w:val="single" w:sz="4" w:space="0" w:color="auto"/>
              <w:left w:val="single" w:sz="4" w:space="0" w:color="auto"/>
              <w:bottom w:val="single" w:sz="4" w:space="0" w:color="auto"/>
              <w:right w:val="single" w:sz="4" w:space="0" w:color="auto"/>
            </w:tcBorders>
            <w:vAlign w:val="center"/>
          </w:tcPr>
          <w:p w14:paraId="4CB8BFA9"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669D8F8F" w14:textId="77777777" w:rsidR="00A00645" w:rsidRPr="00A964FF" w:rsidRDefault="00A00645" w:rsidP="00301176">
            <w:pPr>
              <w:snapToGrid w:val="0"/>
              <w:jc w:val="center"/>
              <w:rPr>
                <w:rFonts w:ascii="Calibri" w:hAnsi="Calibri"/>
                <w:color w:val="auto"/>
                <w:szCs w:val="21"/>
              </w:rPr>
            </w:pPr>
          </w:p>
        </w:tc>
        <w:tc>
          <w:tcPr>
            <w:tcW w:w="419" w:type="pct"/>
            <w:tcBorders>
              <w:top w:val="single" w:sz="4" w:space="0" w:color="auto"/>
              <w:left w:val="single" w:sz="4" w:space="0" w:color="auto"/>
              <w:bottom w:val="single" w:sz="4" w:space="0" w:color="auto"/>
              <w:right w:val="single" w:sz="12" w:space="0" w:color="auto"/>
            </w:tcBorders>
            <w:vAlign w:val="center"/>
          </w:tcPr>
          <w:p w14:paraId="459940A2" w14:textId="77777777" w:rsidR="00A00645" w:rsidRPr="00A964FF" w:rsidRDefault="00A00645" w:rsidP="00301176">
            <w:pPr>
              <w:snapToGrid w:val="0"/>
              <w:jc w:val="center"/>
              <w:rPr>
                <w:rFonts w:ascii="Calibri" w:hAnsi="Calibri"/>
                <w:color w:val="auto"/>
                <w:szCs w:val="21"/>
              </w:rPr>
            </w:pPr>
          </w:p>
        </w:tc>
      </w:tr>
      <w:tr w:rsidR="00A00645" w:rsidRPr="00A964FF" w14:paraId="14AC6592" w14:textId="77777777" w:rsidTr="00301176">
        <w:trPr>
          <w:trHeight w:val="369"/>
        </w:trPr>
        <w:tc>
          <w:tcPr>
            <w:tcW w:w="396" w:type="pct"/>
            <w:vMerge/>
            <w:tcBorders>
              <w:top w:val="single" w:sz="4" w:space="0" w:color="auto"/>
              <w:left w:val="single" w:sz="12" w:space="0" w:color="auto"/>
              <w:bottom w:val="single" w:sz="4" w:space="0" w:color="auto"/>
              <w:right w:val="single" w:sz="4" w:space="0" w:color="auto"/>
            </w:tcBorders>
            <w:vAlign w:val="center"/>
          </w:tcPr>
          <w:p w14:paraId="03B51AF3" w14:textId="77777777" w:rsidR="00A00645" w:rsidRPr="00A964FF" w:rsidRDefault="00A00645" w:rsidP="00CD145F">
            <w:pPr>
              <w:snapToGrid w:val="0"/>
              <w:jc w:val="center"/>
              <w:rPr>
                <w:rFonts w:ascii="Calibri" w:hAnsi="Calibri"/>
                <w:color w:val="auto"/>
                <w:szCs w:val="21"/>
              </w:rPr>
            </w:pPr>
          </w:p>
        </w:tc>
        <w:tc>
          <w:tcPr>
            <w:tcW w:w="669" w:type="pct"/>
            <w:tcBorders>
              <w:top w:val="single" w:sz="4" w:space="0" w:color="auto"/>
              <w:left w:val="single" w:sz="4" w:space="0" w:color="auto"/>
              <w:bottom w:val="single" w:sz="4" w:space="0" w:color="auto"/>
              <w:right w:val="single" w:sz="4" w:space="0" w:color="auto"/>
            </w:tcBorders>
            <w:vAlign w:val="center"/>
          </w:tcPr>
          <w:p w14:paraId="55D7A15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声环境</w:t>
            </w:r>
          </w:p>
        </w:tc>
        <w:tc>
          <w:tcPr>
            <w:tcW w:w="449" w:type="pct"/>
            <w:tcBorders>
              <w:top w:val="single" w:sz="4" w:space="0" w:color="auto"/>
              <w:left w:val="single" w:sz="4" w:space="0" w:color="auto"/>
              <w:bottom w:val="single" w:sz="4" w:space="0" w:color="auto"/>
              <w:right w:val="single" w:sz="4" w:space="0" w:color="auto"/>
            </w:tcBorders>
            <w:vAlign w:val="center"/>
          </w:tcPr>
          <w:p w14:paraId="4C563265"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49" w:type="pct"/>
            <w:tcBorders>
              <w:top w:val="single" w:sz="4" w:space="0" w:color="auto"/>
              <w:left w:val="single" w:sz="4" w:space="0" w:color="auto"/>
              <w:bottom w:val="single" w:sz="4" w:space="0" w:color="auto"/>
              <w:right w:val="single" w:sz="4" w:space="0" w:color="auto"/>
            </w:tcBorders>
            <w:vAlign w:val="center"/>
          </w:tcPr>
          <w:p w14:paraId="21D81CB8"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49" w:type="pct"/>
            <w:tcBorders>
              <w:top w:val="single" w:sz="4" w:space="0" w:color="auto"/>
              <w:left w:val="single" w:sz="4" w:space="0" w:color="auto"/>
              <w:bottom w:val="single" w:sz="4" w:space="0" w:color="auto"/>
              <w:right w:val="single" w:sz="4" w:space="0" w:color="auto"/>
            </w:tcBorders>
            <w:vAlign w:val="center"/>
          </w:tcPr>
          <w:p w14:paraId="7AD27204"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49" w:type="pct"/>
            <w:tcBorders>
              <w:top w:val="single" w:sz="4" w:space="0" w:color="auto"/>
              <w:left w:val="single" w:sz="4" w:space="0" w:color="auto"/>
              <w:bottom w:val="single" w:sz="4" w:space="0" w:color="auto"/>
              <w:right w:val="single" w:sz="4" w:space="0" w:color="auto"/>
            </w:tcBorders>
            <w:vAlign w:val="center"/>
          </w:tcPr>
          <w:p w14:paraId="766D05FA" w14:textId="77777777" w:rsidR="00A00645" w:rsidRPr="00A964FF" w:rsidRDefault="00A00645" w:rsidP="00301176">
            <w:pPr>
              <w:snapToGrid w:val="0"/>
              <w:jc w:val="center"/>
              <w:rPr>
                <w:rFonts w:ascii="Calibri" w:hAnsi="Calibri"/>
                <w:color w:val="auto"/>
                <w:szCs w:val="21"/>
              </w:rPr>
            </w:pPr>
          </w:p>
        </w:tc>
        <w:tc>
          <w:tcPr>
            <w:tcW w:w="451" w:type="pct"/>
            <w:tcBorders>
              <w:top w:val="single" w:sz="4" w:space="0" w:color="auto"/>
              <w:left w:val="single" w:sz="4" w:space="0" w:color="auto"/>
              <w:bottom w:val="single" w:sz="4" w:space="0" w:color="auto"/>
              <w:right w:val="single" w:sz="4" w:space="0" w:color="auto"/>
            </w:tcBorders>
            <w:vAlign w:val="center"/>
          </w:tcPr>
          <w:p w14:paraId="4F8B31D8"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2A040635"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776EF7D1"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c>
          <w:tcPr>
            <w:tcW w:w="423" w:type="pct"/>
            <w:tcBorders>
              <w:top w:val="single" w:sz="4" w:space="0" w:color="auto"/>
              <w:left w:val="single" w:sz="4" w:space="0" w:color="auto"/>
              <w:bottom w:val="single" w:sz="4" w:space="0" w:color="auto"/>
              <w:right w:val="single" w:sz="4" w:space="0" w:color="auto"/>
            </w:tcBorders>
            <w:vAlign w:val="center"/>
          </w:tcPr>
          <w:p w14:paraId="77260196" w14:textId="77777777" w:rsidR="00A00645" w:rsidRPr="00A964FF" w:rsidRDefault="00A00645" w:rsidP="00301176">
            <w:pPr>
              <w:snapToGrid w:val="0"/>
              <w:jc w:val="center"/>
              <w:rPr>
                <w:rFonts w:ascii="Calibri" w:hAnsi="Calibri"/>
                <w:color w:val="auto"/>
                <w:szCs w:val="21"/>
              </w:rPr>
            </w:pPr>
          </w:p>
        </w:tc>
        <w:tc>
          <w:tcPr>
            <w:tcW w:w="419" w:type="pct"/>
            <w:tcBorders>
              <w:top w:val="single" w:sz="4" w:space="0" w:color="auto"/>
              <w:left w:val="single" w:sz="4" w:space="0" w:color="auto"/>
              <w:bottom w:val="single" w:sz="4" w:space="0" w:color="auto"/>
              <w:right w:val="single" w:sz="12" w:space="0" w:color="auto"/>
            </w:tcBorders>
            <w:vAlign w:val="center"/>
          </w:tcPr>
          <w:p w14:paraId="0817D0A8" w14:textId="77777777" w:rsidR="00A00645" w:rsidRPr="00A964FF" w:rsidRDefault="00A00645" w:rsidP="00301176">
            <w:pPr>
              <w:snapToGrid w:val="0"/>
              <w:jc w:val="center"/>
              <w:rPr>
                <w:rFonts w:ascii="Calibri" w:hAnsi="Calibri"/>
                <w:color w:val="auto"/>
                <w:szCs w:val="21"/>
              </w:rPr>
            </w:pPr>
          </w:p>
        </w:tc>
      </w:tr>
      <w:tr w:rsidR="00A00645" w:rsidRPr="00A964FF" w14:paraId="3987D7BB" w14:textId="77777777" w:rsidTr="00301176">
        <w:trPr>
          <w:trHeight w:val="369"/>
        </w:trPr>
        <w:tc>
          <w:tcPr>
            <w:tcW w:w="396" w:type="pct"/>
            <w:vMerge w:val="restart"/>
            <w:tcBorders>
              <w:top w:val="single" w:sz="4" w:space="0" w:color="auto"/>
              <w:left w:val="single" w:sz="12" w:space="0" w:color="auto"/>
              <w:right w:val="single" w:sz="4" w:space="0" w:color="auto"/>
            </w:tcBorders>
            <w:vAlign w:val="center"/>
          </w:tcPr>
          <w:p w14:paraId="34C14FC8" w14:textId="77777777" w:rsidR="00CD145F" w:rsidRPr="00A964FF" w:rsidRDefault="00CD145F" w:rsidP="00CD145F">
            <w:pPr>
              <w:snapToGrid w:val="0"/>
              <w:jc w:val="center"/>
              <w:rPr>
                <w:rFonts w:ascii="Calibri" w:hAnsi="Calibri"/>
                <w:color w:val="auto"/>
                <w:szCs w:val="21"/>
              </w:rPr>
            </w:pPr>
            <w:r w:rsidRPr="00A964FF">
              <w:rPr>
                <w:rFonts w:ascii="Calibri" w:hAnsi="Calibri"/>
                <w:color w:val="auto"/>
                <w:szCs w:val="21"/>
              </w:rPr>
              <w:t>自然</w:t>
            </w:r>
          </w:p>
          <w:p w14:paraId="771E78E7" w14:textId="77777777" w:rsidR="00A00645" w:rsidRPr="00A964FF" w:rsidRDefault="00CD145F" w:rsidP="00CD145F">
            <w:pPr>
              <w:snapToGrid w:val="0"/>
              <w:jc w:val="center"/>
              <w:rPr>
                <w:rFonts w:ascii="Calibri" w:hAnsi="Calibri"/>
                <w:color w:val="auto"/>
                <w:szCs w:val="21"/>
              </w:rPr>
            </w:pPr>
            <w:r w:rsidRPr="00A964FF">
              <w:rPr>
                <w:rFonts w:ascii="Calibri" w:hAnsi="Calibri"/>
                <w:color w:val="auto"/>
                <w:szCs w:val="21"/>
              </w:rPr>
              <w:t>环境</w:t>
            </w:r>
          </w:p>
        </w:tc>
        <w:tc>
          <w:tcPr>
            <w:tcW w:w="669" w:type="pct"/>
            <w:tcBorders>
              <w:top w:val="single" w:sz="4" w:space="0" w:color="auto"/>
              <w:left w:val="single" w:sz="4" w:space="0" w:color="auto"/>
              <w:bottom w:val="single" w:sz="4" w:space="0" w:color="auto"/>
              <w:right w:val="single" w:sz="4" w:space="0" w:color="auto"/>
            </w:tcBorders>
            <w:vAlign w:val="center"/>
          </w:tcPr>
          <w:p w14:paraId="67114089"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植被</w:t>
            </w:r>
          </w:p>
        </w:tc>
        <w:tc>
          <w:tcPr>
            <w:tcW w:w="449" w:type="pct"/>
            <w:tcBorders>
              <w:top w:val="single" w:sz="4" w:space="0" w:color="auto"/>
              <w:left w:val="single" w:sz="4" w:space="0" w:color="auto"/>
              <w:bottom w:val="single" w:sz="4" w:space="0" w:color="auto"/>
              <w:right w:val="single" w:sz="4" w:space="0" w:color="auto"/>
            </w:tcBorders>
            <w:vAlign w:val="center"/>
          </w:tcPr>
          <w:p w14:paraId="1BE5A31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49" w:type="pct"/>
            <w:tcBorders>
              <w:top w:val="single" w:sz="4" w:space="0" w:color="auto"/>
              <w:left w:val="single" w:sz="4" w:space="0" w:color="auto"/>
              <w:bottom w:val="single" w:sz="4" w:space="0" w:color="auto"/>
              <w:right w:val="single" w:sz="4" w:space="0" w:color="auto"/>
            </w:tcBorders>
            <w:vAlign w:val="center"/>
          </w:tcPr>
          <w:p w14:paraId="53AF2CC2"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0254E22D"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0D7587B5"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51" w:type="pct"/>
            <w:tcBorders>
              <w:top w:val="single" w:sz="4" w:space="0" w:color="auto"/>
              <w:left w:val="single" w:sz="4" w:space="0" w:color="auto"/>
              <w:bottom w:val="single" w:sz="4" w:space="0" w:color="auto"/>
              <w:right w:val="single" w:sz="4" w:space="0" w:color="auto"/>
            </w:tcBorders>
            <w:vAlign w:val="center"/>
          </w:tcPr>
          <w:p w14:paraId="70E3D670"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6FA6738E"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c>
          <w:tcPr>
            <w:tcW w:w="423" w:type="pct"/>
            <w:tcBorders>
              <w:top w:val="single" w:sz="4" w:space="0" w:color="auto"/>
              <w:left w:val="single" w:sz="4" w:space="0" w:color="auto"/>
              <w:bottom w:val="single" w:sz="4" w:space="0" w:color="auto"/>
              <w:right w:val="single" w:sz="4" w:space="0" w:color="auto"/>
            </w:tcBorders>
            <w:vAlign w:val="center"/>
          </w:tcPr>
          <w:p w14:paraId="5FAC0BF0"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6652F20B" w14:textId="77777777" w:rsidR="00A00645" w:rsidRPr="00A964FF" w:rsidRDefault="00A00645" w:rsidP="00301176">
            <w:pPr>
              <w:snapToGrid w:val="0"/>
              <w:jc w:val="center"/>
              <w:rPr>
                <w:rFonts w:ascii="Calibri" w:hAnsi="Calibri"/>
                <w:color w:val="auto"/>
                <w:szCs w:val="21"/>
              </w:rPr>
            </w:pPr>
          </w:p>
        </w:tc>
        <w:tc>
          <w:tcPr>
            <w:tcW w:w="419" w:type="pct"/>
            <w:tcBorders>
              <w:top w:val="single" w:sz="4" w:space="0" w:color="auto"/>
              <w:left w:val="single" w:sz="4" w:space="0" w:color="auto"/>
              <w:bottom w:val="single" w:sz="4" w:space="0" w:color="auto"/>
              <w:right w:val="single" w:sz="12" w:space="0" w:color="auto"/>
            </w:tcBorders>
            <w:vAlign w:val="center"/>
          </w:tcPr>
          <w:p w14:paraId="171C7381" w14:textId="77777777" w:rsidR="00A00645" w:rsidRPr="00A964FF" w:rsidRDefault="00A00645" w:rsidP="00301176">
            <w:pPr>
              <w:snapToGrid w:val="0"/>
              <w:jc w:val="center"/>
              <w:rPr>
                <w:rFonts w:ascii="Calibri" w:hAnsi="Calibri"/>
                <w:color w:val="auto"/>
                <w:szCs w:val="21"/>
              </w:rPr>
            </w:pPr>
          </w:p>
        </w:tc>
      </w:tr>
      <w:tr w:rsidR="00A00645" w:rsidRPr="00A964FF" w14:paraId="5305830A" w14:textId="77777777" w:rsidTr="00301176">
        <w:trPr>
          <w:trHeight w:val="369"/>
        </w:trPr>
        <w:tc>
          <w:tcPr>
            <w:tcW w:w="396" w:type="pct"/>
            <w:vMerge/>
            <w:tcBorders>
              <w:left w:val="single" w:sz="12" w:space="0" w:color="auto"/>
              <w:right w:val="single" w:sz="4" w:space="0" w:color="auto"/>
            </w:tcBorders>
            <w:vAlign w:val="center"/>
          </w:tcPr>
          <w:p w14:paraId="2B6BFFCB" w14:textId="77777777" w:rsidR="00A00645" w:rsidRPr="00A964FF" w:rsidRDefault="00A00645" w:rsidP="00301176">
            <w:pPr>
              <w:snapToGrid w:val="0"/>
              <w:rPr>
                <w:rFonts w:ascii="Calibri" w:hAnsi="Calibri"/>
                <w:color w:val="auto"/>
                <w:szCs w:val="21"/>
              </w:rPr>
            </w:pPr>
          </w:p>
        </w:tc>
        <w:tc>
          <w:tcPr>
            <w:tcW w:w="669" w:type="pct"/>
            <w:tcBorders>
              <w:top w:val="single" w:sz="4" w:space="0" w:color="auto"/>
              <w:left w:val="single" w:sz="4" w:space="0" w:color="auto"/>
              <w:bottom w:val="single" w:sz="4" w:space="0" w:color="auto"/>
              <w:right w:val="single" w:sz="4" w:space="0" w:color="auto"/>
            </w:tcBorders>
            <w:vAlign w:val="center"/>
          </w:tcPr>
          <w:p w14:paraId="6940E6EF" w14:textId="77777777" w:rsidR="00A00645" w:rsidRPr="00A964FF" w:rsidRDefault="00A00645" w:rsidP="00301176">
            <w:pPr>
              <w:snapToGrid w:val="0"/>
              <w:jc w:val="center"/>
              <w:rPr>
                <w:rFonts w:ascii="Calibri" w:hAnsi="Calibri"/>
                <w:color w:val="auto"/>
                <w:szCs w:val="21"/>
              </w:rPr>
            </w:pPr>
            <w:r w:rsidRPr="00A964FF">
              <w:rPr>
                <w:rFonts w:ascii="Calibri" w:hAnsi="Calibri" w:hint="eastAsia"/>
                <w:color w:val="auto"/>
                <w:szCs w:val="21"/>
              </w:rPr>
              <w:t>土壤</w:t>
            </w:r>
          </w:p>
        </w:tc>
        <w:tc>
          <w:tcPr>
            <w:tcW w:w="449" w:type="pct"/>
            <w:tcBorders>
              <w:top w:val="single" w:sz="4" w:space="0" w:color="auto"/>
              <w:left w:val="single" w:sz="4" w:space="0" w:color="auto"/>
              <w:bottom w:val="single" w:sz="4" w:space="0" w:color="auto"/>
              <w:right w:val="single" w:sz="4" w:space="0" w:color="auto"/>
            </w:tcBorders>
            <w:vAlign w:val="center"/>
          </w:tcPr>
          <w:p w14:paraId="79E85702"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49" w:type="pct"/>
            <w:tcBorders>
              <w:top w:val="single" w:sz="4" w:space="0" w:color="auto"/>
              <w:left w:val="single" w:sz="4" w:space="0" w:color="auto"/>
              <w:bottom w:val="single" w:sz="4" w:space="0" w:color="auto"/>
              <w:right w:val="single" w:sz="4" w:space="0" w:color="auto"/>
            </w:tcBorders>
            <w:vAlign w:val="center"/>
          </w:tcPr>
          <w:p w14:paraId="615ECF0D"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0D3A1226"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07D6E8EA" w14:textId="77777777" w:rsidR="00A00645" w:rsidRPr="00A964FF" w:rsidRDefault="00A00645" w:rsidP="00301176">
            <w:pPr>
              <w:snapToGrid w:val="0"/>
              <w:jc w:val="center"/>
              <w:rPr>
                <w:rFonts w:ascii="Calibri" w:hAnsi="Calibri"/>
                <w:color w:val="auto"/>
                <w:szCs w:val="21"/>
              </w:rPr>
            </w:pPr>
          </w:p>
        </w:tc>
        <w:tc>
          <w:tcPr>
            <w:tcW w:w="451" w:type="pct"/>
            <w:tcBorders>
              <w:top w:val="single" w:sz="4" w:space="0" w:color="auto"/>
              <w:left w:val="single" w:sz="4" w:space="0" w:color="auto"/>
              <w:bottom w:val="single" w:sz="4" w:space="0" w:color="auto"/>
              <w:right w:val="single" w:sz="4" w:space="0" w:color="auto"/>
            </w:tcBorders>
            <w:vAlign w:val="center"/>
          </w:tcPr>
          <w:p w14:paraId="5AB219D2"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23" w:type="pct"/>
            <w:tcBorders>
              <w:top w:val="single" w:sz="4" w:space="0" w:color="auto"/>
              <w:left w:val="single" w:sz="4" w:space="0" w:color="auto"/>
              <w:bottom w:val="single" w:sz="4" w:space="0" w:color="auto"/>
              <w:right w:val="single" w:sz="4" w:space="0" w:color="auto"/>
            </w:tcBorders>
            <w:vAlign w:val="center"/>
          </w:tcPr>
          <w:p w14:paraId="7D956BB2"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c>
          <w:tcPr>
            <w:tcW w:w="423" w:type="pct"/>
            <w:tcBorders>
              <w:top w:val="single" w:sz="4" w:space="0" w:color="auto"/>
              <w:left w:val="single" w:sz="4" w:space="0" w:color="auto"/>
              <w:bottom w:val="single" w:sz="4" w:space="0" w:color="auto"/>
              <w:right w:val="single" w:sz="4" w:space="0" w:color="auto"/>
            </w:tcBorders>
            <w:vAlign w:val="center"/>
          </w:tcPr>
          <w:p w14:paraId="685186C5"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1AAC1E31"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c>
          <w:tcPr>
            <w:tcW w:w="419" w:type="pct"/>
            <w:tcBorders>
              <w:top w:val="single" w:sz="4" w:space="0" w:color="auto"/>
              <w:left w:val="single" w:sz="4" w:space="0" w:color="auto"/>
              <w:bottom w:val="single" w:sz="4" w:space="0" w:color="auto"/>
              <w:right w:val="single" w:sz="12" w:space="0" w:color="auto"/>
            </w:tcBorders>
            <w:vAlign w:val="center"/>
          </w:tcPr>
          <w:p w14:paraId="580F037C"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r>
      <w:tr w:rsidR="00A00645" w:rsidRPr="00A964FF" w14:paraId="2E4230DC" w14:textId="77777777" w:rsidTr="00301176">
        <w:trPr>
          <w:trHeight w:val="369"/>
        </w:trPr>
        <w:tc>
          <w:tcPr>
            <w:tcW w:w="396" w:type="pct"/>
            <w:vMerge/>
            <w:tcBorders>
              <w:left w:val="single" w:sz="12" w:space="0" w:color="auto"/>
              <w:right w:val="single" w:sz="4" w:space="0" w:color="auto"/>
            </w:tcBorders>
            <w:vAlign w:val="center"/>
          </w:tcPr>
          <w:p w14:paraId="1580EC0E" w14:textId="77777777" w:rsidR="00A00645" w:rsidRPr="00A964FF" w:rsidRDefault="00A00645" w:rsidP="00301176">
            <w:pPr>
              <w:snapToGrid w:val="0"/>
              <w:rPr>
                <w:rFonts w:ascii="Calibri" w:hAnsi="Calibri"/>
                <w:color w:val="auto"/>
                <w:szCs w:val="21"/>
              </w:rPr>
            </w:pPr>
          </w:p>
        </w:tc>
        <w:tc>
          <w:tcPr>
            <w:tcW w:w="669" w:type="pct"/>
            <w:tcBorders>
              <w:top w:val="single" w:sz="4" w:space="0" w:color="auto"/>
              <w:left w:val="single" w:sz="4" w:space="0" w:color="auto"/>
              <w:bottom w:val="single" w:sz="4" w:space="0" w:color="auto"/>
              <w:right w:val="single" w:sz="4" w:space="0" w:color="auto"/>
            </w:tcBorders>
            <w:vAlign w:val="center"/>
          </w:tcPr>
          <w:p w14:paraId="0DEC8B43" w14:textId="77777777" w:rsidR="00A00645" w:rsidRPr="00A964FF" w:rsidRDefault="00A00645" w:rsidP="00301176">
            <w:pPr>
              <w:snapToGrid w:val="0"/>
              <w:jc w:val="center"/>
              <w:rPr>
                <w:rFonts w:ascii="Calibri" w:hAnsi="Calibri"/>
                <w:color w:val="auto"/>
                <w:szCs w:val="21"/>
              </w:rPr>
            </w:pPr>
            <w:r w:rsidRPr="00A964FF">
              <w:rPr>
                <w:rFonts w:ascii="Calibri" w:hAnsi="Calibri" w:hint="eastAsia"/>
                <w:color w:val="auto"/>
                <w:szCs w:val="21"/>
              </w:rPr>
              <w:t>农作物</w:t>
            </w:r>
          </w:p>
        </w:tc>
        <w:tc>
          <w:tcPr>
            <w:tcW w:w="449" w:type="pct"/>
            <w:tcBorders>
              <w:top w:val="single" w:sz="4" w:space="0" w:color="auto"/>
              <w:left w:val="single" w:sz="4" w:space="0" w:color="auto"/>
              <w:bottom w:val="single" w:sz="4" w:space="0" w:color="auto"/>
              <w:right w:val="single" w:sz="4" w:space="0" w:color="auto"/>
            </w:tcBorders>
            <w:vAlign w:val="center"/>
          </w:tcPr>
          <w:p w14:paraId="46A74954"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1AB4FA01"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2BE7ADB7"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4" w:space="0" w:color="auto"/>
              <w:right w:val="single" w:sz="4" w:space="0" w:color="auto"/>
            </w:tcBorders>
            <w:vAlign w:val="center"/>
          </w:tcPr>
          <w:p w14:paraId="7200058B"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51" w:type="pct"/>
            <w:tcBorders>
              <w:top w:val="single" w:sz="4" w:space="0" w:color="auto"/>
              <w:left w:val="single" w:sz="4" w:space="0" w:color="auto"/>
              <w:bottom w:val="single" w:sz="4" w:space="0" w:color="auto"/>
              <w:right w:val="single" w:sz="4" w:space="0" w:color="auto"/>
            </w:tcBorders>
            <w:vAlign w:val="center"/>
          </w:tcPr>
          <w:p w14:paraId="05E18AF4"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389C6405"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1LP</w:t>
            </w:r>
          </w:p>
        </w:tc>
        <w:tc>
          <w:tcPr>
            <w:tcW w:w="423" w:type="pct"/>
            <w:tcBorders>
              <w:top w:val="single" w:sz="4" w:space="0" w:color="auto"/>
              <w:left w:val="single" w:sz="4" w:space="0" w:color="auto"/>
              <w:bottom w:val="single" w:sz="4" w:space="0" w:color="auto"/>
              <w:right w:val="single" w:sz="4" w:space="0" w:color="auto"/>
            </w:tcBorders>
            <w:vAlign w:val="center"/>
          </w:tcPr>
          <w:p w14:paraId="62B5E231"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4" w:space="0" w:color="auto"/>
              <w:right w:val="single" w:sz="4" w:space="0" w:color="auto"/>
            </w:tcBorders>
            <w:vAlign w:val="center"/>
          </w:tcPr>
          <w:p w14:paraId="76B34B7D" w14:textId="77777777" w:rsidR="00A00645" w:rsidRPr="00A964FF" w:rsidRDefault="00A00645" w:rsidP="00301176">
            <w:pPr>
              <w:snapToGrid w:val="0"/>
              <w:jc w:val="center"/>
              <w:rPr>
                <w:rFonts w:ascii="Calibri" w:hAnsi="Calibri"/>
                <w:color w:val="auto"/>
                <w:szCs w:val="21"/>
              </w:rPr>
            </w:pPr>
          </w:p>
        </w:tc>
        <w:tc>
          <w:tcPr>
            <w:tcW w:w="419" w:type="pct"/>
            <w:tcBorders>
              <w:top w:val="single" w:sz="4" w:space="0" w:color="auto"/>
              <w:left w:val="single" w:sz="4" w:space="0" w:color="auto"/>
              <w:bottom w:val="single" w:sz="4" w:space="0" w:color="auto"/>
              <w:right w:val="single" w:sz="12" w:space="0" w:color="auto"/>
            </w:tcBorders>
            <w:vAlign w:val="center"/>
          </w:tcPr>
          <w:p w14:paraId="5763E482" w14:textId="77777777" w:rsidR="00A00645" w:rsidRPr="00A964FF" w:rsidRDefault="00A00645" w:rsidP="00301176">
            <w:pPr>
              <w:snapToGrid w:val="0"/>
              <w:jc w:val="center"/>
              <w:rPr>
                <w:rFonts w:ascii="Calibri" w:hAnsi="Calibri"/>
                <w:color w:val="auto"/>
                <w:szCs w:val="21"/>
              </w:rPr>
            </w:pPr>
          </w:p>
        </w:tc>
      </w:tr>
      <w:tr w:rsidR="00A00645" w:rsidRPr="00A964FF" w14:paraId="01C7012A" w14:textId="77777777" w:rsidTr="00301176">
        <w:trPr>
          <w:trHeight w:val="369"/>
        </w:trPr>
        <w:tc>
          <w:tcPr>
            <w:tcW w:w="396" w:type="pct"/>
            <w:vMerge/>
            <w:tcBorders>
              <w:left w:val="single" w:sz="12" w:space="0" w:color="auto"/>
              <w:bottom w:val="single" w:sz="12" w:space="0" w:color="auto"/>
              <w:right w:val="single" w:sz="4" w:space="0" w:color="auto"/>
            </w:tcBorders>
            <w:vAlign w:val="center"/>
          </w:tcPr>
          <w:p w14:paraId="3C593566" w14:textId="77777777" w:rsidR="00A00645" w:rsidRPr="00A964FF" w:rsidRDefault="00A00645" w:rsidP="00301176">
            <w:pPr>
              <w:snapToGrid w:val="0"/>
              <w:rPr>
                <w:rFonts w:ascii="Calibri" w:hAnsi="Calibri"/>
                <w:color w:val="auto"/>
                <w:szCs w:val="21"/>
              </w:rPr>
            </w:pPr>
          </w:p>
        </w:tc>
        <w:tc>
          <w:tcPr>
            <w:tcW w:w="669" w:type="pct"/>
            <w:tcBorders>
              <w:top w:val="single" w:sz="4" w:space="0" w:color="auto"/>
              <w:left w:val="single" w:sz="4" w:space="0" w:color="auto"/>
              <w:bottom w:val="single" w:sz="12" w:space="0" w:color="auto"/>
              <w:right w:val="single" w:sz="4" w:space="0" w:color="auto"/>
            </w:tcBorders>
            <w:vAlign w:val="center"/>
          </w:tcPr>
          <w:p w14:paraId="45625CDA" w14:textId="77777777" w:rsidR="00A00645" w:rsidRPr="00A964FF" w:rsidRDefault="00A00645" w:rsidP="00301176">
            <w:pPr>
              <w:snapToGrid w:val="0"/>
              <w:jc w:val="center"/>
              <w:rPr>
                <w:rFonts w:ascii="Calibri" w:hAnsi="Calibri"/>
                <w:color w:val="auto"/>
                <w:szCs w:val="21"/>
              </w:rPr>
            </w:pPr>
            <w:r w:rsidRPr="00A964FF">
              <w:rPr>
                <w:rFonts w:ascii="Calibri" w:hAnsi="Calibri" w:hint="eastAsia"/>
                <w:color w:val="auto"/>
                <w:szCs w:val="21"/>
              </w:rPr>
              <w:t>水土流失</w:t>
            </w:r>
          </w:p>
        </w:tc>
        <w:tc>
          <w:tcPr>
            <w:tcW w:w="449" w:type="pct"/>
            <w:tcBorders>
              <w:top w:val="single" w:sz="4" w:space="0" w:color="auto"/>
              <w:left w:val="single" w:sz="4" w:space="0" w:color="auto"/>
              <w:bottom w:val="single" w:sz="12" w:space="0" w:color="auto"/>
              <w:right w:val="single" w:sz="4" w:space="0" w:color="auto"/>
            </w:tcBorders>
            <w:vAlign w:val="center"/>
          </w:tcPr>
          <w:p w14:paraId="6990E605" w14:textId="77777777" w:rsidR="00A00645" w:rsidRPr="00A964FF" w:rsidRDefault="00A00645" w:rsidP="00301176">
            <w:pPr>
              <w:snapToGrid w:val="0"/>
              <w:jc w:val="center"/>
              <w:rPr>
                <w:rFonts w:ascii="Calibri" w:hAnsi="Calibri"/>
                <w:color w:val="auto"/>
                <w:szCs w:val="21"/>
              </w:rPr>
            </w:pPr>
            <w:r w:rsidRPr="00A964FF">
              <w:rPr>
                <w:rFonts w:ascii="Calibri" w:hAnsi="Calibri"/>
                <w:color w:val="auto"/>
                <w:szCs w:val="21"/>
              </w:rPr>
              <w:t>1SP</w:t>
            </w:r>
          </w:p>
        </w:tc>
        <w:tc>
          <w:tcPr>
            <w:tcW w:w="449" w:type="pct"/>
            <w:tcBorders>
              <w:top w:val="single" w:sz="4" w:space="0" w:color="auto"/>
              <w:left w:val="single" w:sz="4" w:space="0" w:color="auto"/>
              <w:bottom w:val="single" w:sz="12" w:space="0" w:color="auto"/>
              <w:right w:val="single" w:sz="4" w:space="0" w:color="auto"/>
            </w:tcBorders>
            <w:vAlign w:val="center"/>
          </w:tcPr>
          <w:p w14:paraId="76D52AF3"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12" w:space="0" w:color="auto"/>
              <w:right w:val="single" w:sz="4" w:space="0" w:color="auto"/>
            </w:tcBorders>
            <w:vAlign w:val="center"/>
          </w:tcPr>
          <w:p w14:paraId="6ADDA403" w14:textId="77777777" w:rsidR="00A00645" w:rsidRPr="00A964FF" w:rsidRDefault="00A00645" w:rsidP="00301176">
            <w:pPr>
              <w:snapToGrid w:val="0"/>
              <w:jc w:val="center"/>
              <w:rPr>
                <w:rFonts w:ascii="Calibri" w:hAnsi="Calibri"/>
                <w:color w:val="auto"/>
                <w:szCs w:val="21"/>
              </w:rPr>
            </w:pPr>
          </w:p>
        </w:tc>
        <w:tc>
          <w:tcPr>
            <w:tcW w:w="449" w:type="pct"/>
            <w:tcBorders>
              <w:top w:val="single" w:sz="4" w:space="0" w:color="auto"/>
              <w:left w:val="single" w:sz="4" w:space="0" w:color="auto"/>
              <w:bottom w:val="single" w:sz="12" w:space="0" w:color="auto"/>
              <w:right w:val="single" w:sz="4" w:space="0" w:color="auto"/>
            </w:tcBorders>
            <w:vAlign w:val="center"/>
          </w:tcPr>
          <w:p w14:paraId="53E9EB1E" w14:textId="77777777" w:rsidR="00A00645" w:rsidRPr="00A964FF" w:rsidRDefault="00A00645" w:rsidP="00301176">
            <w:pPr>
              <w:snapToGrid w:val="0"/>
              <w:jc w:val="center"/>
              <w:rPr>
                <w:rFonts w:ascii="Calibri" w:hAnsi="Calibri"/>
                <w:color w:val="auto"/>
                <w:szCs w:val="21"/>
              </w:rPr>
            </w:pPr>
          </w:p>
        </w:tc>
        <w:tc>
          <w:tcPr>
            <w:tcW w:w="451" w:type="pct"/>
            <w:tcBorders>
              <w:top w:val="single" w:sz="4" w:space="0" w:color="auto"/>
              <w:left w:val="single" w:sz="4" w:space="0" w:color="auto"/>
              <w:bottom w:val="single" w:sz="12" w:space="0" w:color="auto"/>
              <w:right w:val="single" w:sz="4" w:space="0" w:color="auto"/>
            </w:tcBorders>
            <w:vAlign w:val="center"/>
          </w:tcPr>
          <w:p w14:paraId="4FEDCA9E"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12" w:space="0" w:color="auto"/>
              <w:right w:val="single" w:sz="4" w:space="0" w:color="auto"/>
            </w:tcBorders>
            <w:vAlign w:val="center"/>
          </w:tcPr>
          <w:p w14:paraId="7082FEBD"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12" w:space="0" w:color="auto"/>
              <w:right w:val="single" w:sz="4" w:space="0" w:color="auto"/>
            </w:tcBorders>
            <w:vAlign w:val="center"/>
          </w:tcPr>
          <w:p w14:paraId="6C7395B7" w14:textId="77777777" w:rsidR="00A00645" w:rsidRPr="00A964FF" w:rsidRDefault="00A00645" w:rsidP="00301176">
            <w:pPr>
              <w:snapToGrid w:val="0"/>
              <w:jc w:val="center"/>
              <w:rPr>
                <w:rFonts w:ascii="Calibri" w:hAnsi="Calibri"/>
                <w:color w:val="auto"/>
                <w:szCs w:val="21"/>
              </w:rPr>
            </w:pPr>
          </w:p>
        </w:tc>
        <w:tc>
          <w:tcPr>
            <w:tcW w:w="423" w:type="pct"/>
            <w:tcBorders>
              <w:top w:val="single" w:sz="4" w:space="0" w:color="auto"/>
              <w:left w:val="single" w:sz="4" w:space="0" w:color="auto"/>
              <w:bottom w:val="single" w:sz="12" w:space="0" w:color="auto"/>
              <w:right w:val="single" w:sz="4" w:space="0" w:color="auto"/>
            </w:tcBorders>
            <w:vAlign w:val="center"/>
          </w:tcPr>
          <w:p w14:paraId="29436D77" w14:textId="77777777" w:rsidR="00A00645" w:rsidRPr="00A964FF" w:rsidRDefault="00A00645" w:rsidP="00301176">
            <w:pPr>
              <w:snapToGrid w:val="0"/>
              <w:jc w:val="center"/>
              <w:rPr>
                <w:rFonts w:ascii="Calibri" w:hAnsi="Calibri"/>
                <w:color w:val="auto"/>
                <w:szCs w:val="21"/>
              </w:rPr>
            </w:pPr>
          </w:p>
        </w:tc>
        <w:tc>
          <w:tcPr>
            <w:tcW w:w="419" w:type="pct"/>
            <w:tcBorders>
              <w:top w:val="single" w:sz="4" w:space="0" w:color="auto"/>
              <w:left w:val="single" w:sz="4" w:space="0" w:color="auto"/>
              <w:bottom w:val="single" w:sz="12" w:space="0" w:color="auto"/>
              <w:right w:val="single" w:sz="12" w:space="0" w:color="auto"/>
            </w:tcBorders>
            <w:vAlign w:val="center"/>
          </w:tcPr>
          <w:p w14:paraId="1ACB3BEF" w14:textId="77777777" w:rsidR="00A00645" w:rsidRPr="00A964FF" w:rsidRDefault="00A00645" w:rsidP="00301176">
            <w:pPr>
              <w:snapToGrid w:val="0"/>
              <w:jc w:val="center"/>
              <w:rPr>
                <w:rFonts w:ascii="Calibri" w:hAnsi="Calibri"/>
                <w:color w:val="auto"/>
                <w:szCs w:val="21"/>
              </w:rPr>
            </w:pPr>
          </w:p>
        </w:tc>
      </w:tr>
    </w:tbl>
    <w:p w14:paraId="4A846AB8" w14:textId="77777777" w:rsidR="0055605A" w:rsidRPr="00A964FF" w:rsidRDefault="0055605A" w:rsidP="000E33B8">
      <w:pPr>
        <w:spacing w:line="520" w:lineRule="exact"/>
        <w:ind w:firstLineChars="196" w:firstLine="412"/>
        <w:rPr>
          <w:rFonts w:ascii="Calibri" w:hAnsi="Calibri"/>
          <w:color w:val="auto"/>
          <w:szCs w:val="21"/>
        </w:rPr>
      </w:pPr>
      <w:r w:rsidRPr="00A964FF">
        <w:rPr>
          <w:rFonts w:ascii="Calibri" w:hAnsi="Calibri"/>
          <w:color w:val="auto"/>
          <w:szCs w:val="21"/>
        </w:rPr>
        <w:t>备注：影响程度：</w:t>
      </w:r>
      <w:r w:rsidRPr="00A964FF">
        <w:rPr>
          <w:rFonts w:ascii="Calibri" w:hAnsi="Calibri"/>
          <w:color w:val="auto"/>
          <w:szCs w:val="21"/>
        </w:rPr>
        <w:t>1—</w:t>
      </w:r>
      <w:r w:rsidRPr="00A964FF">
        <w:rPr>
          <w:rFonts w:ascii="Calibri" w:hAnsi="Calibri"/>
          <w:color w:val="auto"/>
          <w:szCs w:val="21"/>
        </w:rPr>
        <w:t>轻微；</w:t>
      </w:r>
      <w:r w:rsidRPr="00A964FF">
        <w:rPr>
          <w:rFonts w:ascii="Calibri" w:hAnsi="Calibri"/>
          <w:color w:val="auto"/>
          <w:szCs w:val="21"/>
        </w:rPr>
        <w:t>2—</w:t>
      </w:r>
      <w:r w:rsidRPr="00A964FF">
        <w:rPr>
          <w:rFonts w:ascii="Calibri" w:hAnsi="Calibri"/>
          <w:color w:val="auto"/>
          <w:szCs w:val="21"/>
        </w:rPr>
        <w:t>一般；</w:t>
      </w:r>
      <w:r w:rsidRPr="00A964FF">
        <w:rPr>
          <w:rFonts w:ascii="Calibri" w:hAnsi="Calibri"/>
          <w:color w:val="auto"/>
          <w:szCs w:val="21"/>
        </w:rPr>
        <w:t>3—</w:t>
      </w:r>
      <w:r w:rsidRPr="00A964FF">
        <w:rPr>
          <w:rFonts w:ascii="Calibri" w:hAnsi="Calibri"/>
          <w:color w:val="auto"/>
          <w:szCs w:val="21"/>
        </w:rPr>
        <w:t>显著</w:t>
      </w:r>
      <w:r w:rsidRPr="00A964FF">
        <w:rPr>
          <w:rFonts w:ascii="Calibri" w:hAnsi="Calibri"/>
          <w:color w:val="auto"/>
          <w:szCs w:val="21"/>
        </w:rPr>
        <w:t xml:space="preserve"> </w:t>
      </w:r>
    </w:p>
    <w:p w14:paraId="54FEF31B" w14:textId="77777777" w:rsidR="0055605A" w:rsidRPr="00A964FF" w:rsidRDefault="0055605A" w:rsidP="000E33B8">
      <w:pPr>
        <w:snapToGrid w:val="0"/>
        <w:spacing w:line="520" w:lineRule="exact"/>
        <w:ind w:firstLineChars="500" w:firstLine="1050"/>
        <w:rPr>
          <w:rFonts w:ascii="Calibri" w:hAnsi="Calibri"/>
          <w:color w:val="auto"/>
          <w:szCs w:val="21"/>
        </w:rPr>
      </w:pPr>
      <w:r w:rsidRPr="00A964FF">
        <w:rPr>
          <w:rFonts w:ascii="Calibri" w:hAnsi="Calibri"/>
          <w:color w:val="auto"/>
          <w:szCs w:val="21"/>
        </w:rPr>
        <w:t>影响时段：</w:t>
      </w:r>
      <w:r w:rsidRPr="00A964FF">
        <w:rPr>
          <w:rFonts w:ascii="Calibri" w:hAnsi="Calibri"/>
          <w:color w:val="auto"/>
          <w:szCs w:val="21"/>
        </w:rPr>
        <w:t>S—</w:t>
      </w:r>
      <w:r w:rsidRPr="00A964FF">
        <w:rPr>
          <w:rFonts w:ascii="Calibri" w:hAnsi="Calibri"/>
          <w:color w:val="auto"/>
          <w:szCs w:val="21"/>
        </w:rPr>
        <w:t>短期；</w:t>
      </w:r>
      <w:r w:rsidRPr="00A964FF">
        <w:rPr>
          <w:rFonts w:ascii="Calibri" w:hAnsi="Calibri"/>
          <w:color w:val="auto"/>
          <w:szCs w:val="21"/>
        </w:rPr>
        <w:t>L—</w:t>
      </w:r>
      <w:r w:rsidRPr="00A964FF">
        <w:rPr>
          <w:rFonts w:ascii="Calibri" w:hAnsi="Calibri"/>
          <w:color w:val="auto"/>
          <w:szCs w:val="21"/>
        </w:rPr>
        <w:t>长期</w:t>
      </w:r>
    </w:p>
    <w:p w14:paraId="53C1309E" w14:textId="77777777" w:rsidR="0055605A" w:rsidRPr="00A964FF" w:rsidRDefault="0055605A" w:rsidP="000E33B8">
      <w:pPr>
        <w:spacing w:line="520" w:lineRule="exact"/>
        <w:ind w:firstLineChars="200" w:firstLine="420"/>
        <w:rPr>
          <w:rFonts w:ascii="Calibri"/>
          <w:color w:val="auto"/>
          <w:sz w:val="24"/>
        </w:rPr>
      </w:pPr>
      <w:r w:rsidRPr="00A964FF">
        <w:rPr>
          <w:rFonts w:ascii="Calibri" w:hAnsi="Calibri"/>
          <w:color w:val="auto"/>
          <w:szCs w:val="21"/>
        </w:rPr>
        <w:t xml:space="preserve">      </w:t>
      </w:r>
      <w:r w:rsidRPr="00A964FF">
        <w:rPr>
          <w:rFonts w:ascii="Calibri" w:hAnsi="Calibri"/>
          <w:color w:val="auto"/>
          <w:szCs w:val="21"/>
        </w:rPr>
        <w:t>影响范围：</w:t>
      </w:r>
      <w:r w:rsidRPr="00A964FF">
        <w:rPr>
          <w:rFonts w:ascii="Calibri" w:hAnsi="Calibri"/>
          <w:color w:val="auto"/>
          <w:szCs w:val="21"/>
        </w:rPr>
        <w:t>P—</w:t>
      </w:r>
      <w:r w:rsidRPr="00A964FF">
        <w:rPr>
          <w:rFonts w:ascii="Calibri" w:hAnsi="Calibri"/>
          <w:color w:val="auto"/>
          <w:szCs w:val="21"/>
        </w:rPr>
        <w:t>局部；</w:t>
      </w:r>
      <w:r w:rsidRPr="00A964FF">
        <w:rPr>
          <w:rFonts w:ascii="Calibri" w:hAnsi="Calibri"/>
          <w:color w:val="auto"/>
          <w:szCs w:val="21"/>
        </w:rPr>
        <w:t>W—</w:t>
      </w:r>
      <w:r w:rsidRPr="00A964FF">
        <w:rPr>
          <w:rFonts w:ascii="Calibri" w:hAnsi="Calibri"/>
          <w:color w:val="auto"/>
          <w:szCs w:val="21"/>
        </w:rPr>
        <w:t>大范围</w:t>
      </w:r>
    </w:p>
    <w:p w14:paraId="35730720" w14:textId="77777777" w:rsidR="0055605A" w:rsidRPr="00A964FF" w:rsidRDefault="0055605A" w:rsidP="000E33B8">
      <w:pPr>
        <w:pStyle w:val="00"/>
        <w:ind w:firstLineChars="200"/>
        <w:rPr>
          <w:rFonts w:ascii="Calibri" w:hAnsi="Calibri"/>
          <w:color w:val="auto"/>
        </w:rPr>
      </w:pPr>
      <w:r w:rsidRPr="00A964FF">
        <w:rPr>
          <w:rFonts w:ascii="Calibri" w:hAnsi="Calibri" w:hint="eastAsia"/>
          <w:color w:val="auto"/>
        </w:rPr>
        <w:t>从上表可以看出，本项目对环境的影响因素是多方面的，既存在短期、局部、可恢复的影响，也存在长期的影响。</w:t>
      </w:r>
    </w:p>
    <w:p w14:paraId="18E5156B" w14:textId="77777777" w:rsidR="0055605A" w:rsidRPr="00A964FF" w:rsidRDefault="00A00645" w:rsidP="000E33B8">
      <w:pPr>
        <w:pStyle w:val="00"/>
        <w:ind w:firstLineChars="200"/>
        <w:rPr>
          <w:rFonts w:ascii="Calibri" w:hAnsi="Calibri"/>
          <w:color w:val="auto"/>
        </w:rPr>
      </w:pPr>
      <w:r w:rsidRPr="00A964FF">
        <w:rPr>
          <w:rFonts w:ascii="Calibri" w:hAnsi="Calibri" w:hint="eastAsia"/>
          <w:color w:val="auto"/>
        </w:rPr>
        <w:t>本项目</w:t>
      </w:r>
      <w:r w:rsidR="0055605A" w:rsidRPr="00A964FF">
        <w:rPr>
          <w:rFonts w:ascii="Calibri" w:hAnsi="Calibri" w:hint="eastAsia"/>
          <w:color w:val="auto"/>
        </w:rPr>
        <w:t>营运期各种环境影响是长期和持续的，在严格环境管理和做好相应污染控制措施的条件下，可将对环境的影响降低到最小。项目营运期主要环境影响因素包括：废水、废气、噪声、固废。</w:t>
      </w:r>
    </w:p>
    <w:p w14:paraId="27736597" w14:textId="77777777" w:rsidR="0055605A" w:rsidRPr="00A964FF" w:rsidRDefault="0055605A" w:rsidP="0055605A">
      <w:pPr>
        <w:pStyle w:val="ad"/>
        <w:rPr>
          <w:rFonts w:ascii="Calibri" w:hAnsi="Calibri"/>
          <w:color w:val="auto"/>
        </w:rPr>
      </w:pPr>
      <w:r w:rsidRPr="00790CFB">
        <w:rPr>
          <w:rFonts w:ascii="Calibri" w:hAnsi="Calibri"/>
          <w:color w:val="auto"/>
        </w:rPr>
        <w:t>1.</w:t>
      </w:r>
      <w:r w:rsidRPr="00790CFB">
        <w:rPr>
          <w:rFonts w:ascii="Calibri" w:hAnsi="Calibri" w:hint="eastAsia"/>
          <w:color w:val="auto"/>
        </w:rPr>
        <w:t>5</w:t>
      </w:r>
      <w:r w:rsidRPr="00790CFB">
        <w:rPr>
          <w:rFonts w:ascii="Calibri" w:hAnsi="Calibri"/>
          <w:color w:val="auto"/>
        </w:rPr>
        <w:t>.2</w:t>
      </w:r>
      <w:r w:rsidRPr="00790CFB">
        <w:rPr>
          <w:rFonts w:ascii="Calibri" w:hAnsi="Calibri"/>
          <w:color w:val="auto"/>
        </w:rPr>
        <w:t>评价因子筛选</w:t>
      </w:r>
    </w:p>
    <w:p w14:paraId="110D22C8" w14:textId="77777777" w:rsidR="00BD4720" w:rsidRPr="00464385" w:rsidRDefault="0055605A" w:rsidP="00464385">
      <w:pPr>
        <w:pStyle w:val="00"/>
        <w:rPr>
          <w:rFonts w:ascii="Calibri" w:hAnsi="Calibri"/>
          <w:color w:val="auto"/>
        </w:rPr>
      </w:pPr>
      <w:r w:rsidRPr="00A964FF">
        <w:rPr>
          <w:rFonts w:ascii="Calibri" w:hAnsi="Calibri"/>
          <w:color w:val="auto"/>
        </w:rPr>
        <w:t>根据对项目工程情况的分析，本项目评价因子识别与筛选见表</w:t>
      </w:r>
      <w:r w:rsidRPr="00A964FF">
        <w:rPr>
          <w:rFonts w:ascii="Calibri" w:hAnsi="Calibri" w:hint="eastAsia"/>
          <w:color w:val="auto"/>
        </w:rPr>
        <w:t>1</w:t>
      </w:r>
      <w:r w:rsidR="001E0BBA" w:rsidRPr="00A964FF">
        <w:rPr>
          <w:rFonts w:ascii="Calibri" w:hAnsi="Calibri" w:hint="eastAsia"/>
          <w:color w:val="auto"/>
        </w:rPr>
        <w:t>.5</w:t>
      </w:r>
      <w:r w:rsidRPr="00A964FF">
        <w:rPr>
          <w:rFonts w:ascii="Calibri" w:hAnsi="Calibri" w:hint="eastAsia"/>
          <w:color w:val="auto"/>
        </w:rPr>
        <w:t>-</w:t>
      </w:r>
      <w:r w:rsidR="001E0BBA" w:rsidRPr="00A964FF">
        <w:rPr>
          <w:rFonts w:ascii="Calibri" w:hAnsi="Calibri" w:hint="eastAsia"/>
          <w:color w:val="auto"/>
        </w:rPr>
        <w:t>2</w:t>
      </w:r>
      <w:r w:rsidRPr="00A964FF">
        <w:rPr>
          <w:rFonts w:ascii="Calibri" w:hAnsi="Calibri" w:hint="eastAsia"/>
          <w:color w:val="auto"/>
        </w:rPr>
        <w:t>。</w:t>
      </w:r>
    </w:p>
    <w:p w14:paraId="48CEDDF3" w14:textId="77777777" w:rsidR="0055605A" w:rsidRPr="00A964FF" w:rsidRDefault="0055605A" w:rsidP="00217891">
      <w:pPr>
        <w:pStyle w:val="00"/>
        <w:ind w:firstLineChars="450" w:firstLine="1080"/>
        <w:rPr>
          <w:rFonts w:ascii="Calibri" w:eastAsia="黑体" w:hAnsi="Calibri"/>
          <w:color w:val="auto"/>
        </w:rPr>
      </w:pPr>
      <w:r w:rsidRPr="00A964FF">
        <w:rPr>
          <w:rFonts w:ascii="Calibri" w:eastAsia="黑体" w:hAnsi="Calibri"/>
          <w:color w:val="auto"/>
        </w:rPr>
        <w:lastRenderedPageBreak/>
        <w:t>表</w:t>
      </w:r>
      <w:r w:rsidRPr="00A964FF">
        <w:rPr>
          <w:rFonts w:ascii="Calibri" w:eastAsia="黑体" w:hAnsi="Calibri"/>
          <w:color w:val="auto"/>
        </w:rPr>
        <w:t>1</w:t>
      </w:r>
      <w:r w:rsidR="001E0BBA" w:rsidRPr="00A964FF">
        <w:rPr>
          <w:rFonts w:ascii="Calibri" w:eastAsia="黑体" w:hAnsi="Calibri" w:hint="eastAsia"/>
          <w:color w:val="auto"/>
        </w:rPr>
        <w:t>.5</w:t>
      </w:r>
      <w:r w:rsidRPr="00A964FF">
        <w:rPr>
          <w:rFonts w:ascii="Calibri" w:eastAsia="黑体" w:hAnsi="Calibri"/>
          <w:color w:val="auto"/>
        </w:rPr>
        <w:t>-</w:t>
      </w:r>
      <w:r w:rsidR="001E0BBA" w:rsidRPr="00A964FF">
        <w:rPr>
          <w:rFonts w:ascii="Calibri" w:eastAsia="黑体" w:hAnsi="Calibri" w:hint="eastAsia"/>
          <w:color w:val="auto"/>
        </w:rPr>
        <w:t>2</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评价因子筛选</w:t>
      </w:r>
      <w:bookmarkStart w:id="34" w:name="_Toc447804107"/>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237"/>
        <w:gridCol w:w="1556"/>
        <w:gridCol w:w="5907"/>
      </w:tblGrid>
      <w:tr w:rsidR="0055605A" w:rsidRPr="00A964FF" w14:paraId="5E719A3F" w14:textId="77777777" w:rsidTr="003E0795">
        <w:trPr>
          <w:trHeight w:val="340"/>
          <w:jc w:val="center"/>
        </w:trPr>
        <w:tc>
          <w:tcPr>
            <w:tcW w:w="1605" w:type="pct"/>
            <w:gridSpan w:val="2"/>
            <w:vAlign w:val="center"/>
          </w:tcPr>
          <w:p w14:paraId="43257C1C"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项目</w:t>
            </w:r>
          </w:p>
        </w:tc>
        <w:tc>
          <w:tcPr>
            <w:tcW w:w="3395" w:type="pct"/>
            <w:vAlign w:val="center"/>
          </w:tcPr>
          <w:p w14:paraId="101706EE"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评价因子</w:t>
            </w:r>
          </w:p>
        </w:tc>
      </w:tr>
      <w:tr w:rsidR="0055605A" w:rsidRPr="00A964FF" w14:paraId="5255CD1D" w14:textId="77777777" w:rsidTr="003E0795">
        <w:trPr>
          <w:trHeight w:val="340"/>
          <w:jc w:val="center"/>
        </w:trPr>
        <w:tc>
          <w:tcPr>
            <w:tcW w:w="711" w:type="pct"/>
            <w:vMerge w:val="restart"/>
            <w:vAlign w:val="center"/>
          </w:tcPr>
          <w:p w14:paraId="47374F28"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大气环境</w:t>
            </w:r>
          </w:p>
        </w:tc>
        <w:tc>
          <w:tcPr>
            <w:tcW w:w="894" w:type="pct"/>
            <w:vAlign w:val="center"/>
          </w:tcPr>
          <w:p w14:paraId="2FE49D6E" w14:textId="77777777" w:rsidR="0055605A" w:rsidRPr="0092085C" w:rsidRDefault="0055605A" w:rsidP="003E0795">
            <w:pPr>
              <w:jc w:val="center"/>
              <w:rPr>
                <w:rFonts w:ascii="Calibri" w:hAnsi="Calibri"/>
                <w:b/>
                <w:color w:val="auto"/>
                <w:szCs w:val="21"/>
                <w:u w:val="single"/>
              </w:rPr>
            </w:pPr>
            <w:r w:rsidRPr="0092085C">
              <w:rPr>
                <w:rFonts w:ascii="Calibri" w:hAnsi="Calibri"/>
                <w:b/>
                <w:color w:val="auto"/>
                <w:szCs w:val="21"/>
                <w:u w:val="single"/>
              </w:rPr>
              <w:t>现状评价</w:t>
            </w:r>
          </w:p>
        </w:tc>
        <w:tc>
          <w:tcPr>
            <w:tcW w:w="3395" w:type="pct"/>
            <w:vAlign w:val="center"/>
          </w:tcPr>
          <w:p w14:paraId="70784E03" w14:textId="77777777" w:rsidR="0055605A" w:rsidRPr="0092085C" w:rsidRDefault="0055605A" w:rsidP="00BF0D68">
            <w:pPr>
              <w:jc w:val="center"/>
              <w:rPr>
                <w:rFonts w:ascii="Calibri" w:hAnsi="Calibri"/>
                <w:b/>
                <w:caps/>
                <w:color w:val="FF0000"/>
                <w:szCs w:val="21"/>
                <w:u w:val="single"/>
              </w:rPr>
            </w:pPr>
            <w:r w:rsidRPr="0092085C">
              <w:rPr>
                <w:rFonts w:ascii="Calibri" w:hAnsi="Calibri" w:hint="eastAsia"/>
                <w:b/>
                <w:caps/>
                <w:color w:val="auto"/>
                <w:szCs w:val="21"/>
                <w:u w:val="single"/>
              </w:rPr>
              <w:t>PM</w:t>
            </w:r>
            <w:r w:rsidRPr="0092085C">
              <w:rPr>
                <w:rFonts w:ascii="Calibri" w:hAnsi="Calibri" w:hint="eastAsia"/>
                <w:b/>
                <w:caps/>
                <w:color w:val="auto"/>
                <w:szCs w:val="21"/>
                <w:u w:val="single"/>
                <w:vertAlign w:val="subscript"/>
              </w:rPr>
              <w:t>10</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PM</w:t>
            </w:r>
            <w:r w:rsidRPr="0092085C">
              <w:rPr>
                <w:rFonts w:ascii="Calibri" w:hAnsi="Calibri" w:hint="eastAsia"/>
                <w:b/>
                <w:caps/>
                <w:color w:val="auto"/>
                <w:szCs w:val="21"/>
                <w:u w:val="single"/>
                <w:vertAlign w:val="subscript"/>
              </w:rPr>
              <w:t>2.5</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SO</w:t>
            </w:r>
            <w:r w:rsidRPr="0092085C">
              <w:rPr>
                <w:rFonts w:ascii="Calibri" w:hAnsi="Calibri" w:hint="eastAsia"/>
                <w:b/>
                <w:caps/>
                <w:color w:val="auto"/>
                <w:szCs w:val="21"/>
                <w:u w:val="single"/>
                <w:vertAlign w:val="subscript"/>
              </w:rPr>
              <w:t>2</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NO</w:t>
            </w:r>
            <w:r w:rsidRPr="0092085C">
              <w:rPr>
                <w:rFonts w:ascii="Calibri" w:hAnsi="Calibri" w:hint="eastAsia"/>
                <w:b/>
                <w:caps/>
                <w:color w:val="auto"/>
                <w:szCs w:val="21"/>
                <w:u w:val="single"/>
                <w:vertAlign w:val="subscript"/>
              </w:rPr>
              <w:t>2</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CO</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O</w:t>
            </w:r>
            <w:r w:rsidRPr="0092085C">
              <w:rPr>
                <w:rFonts w:ascii="Calibri" w:hAnsi="Calibri" w:hint="eastAsia"/>
                <w:b/>
                <w:caps/>
                <w:color w:val="auto"/>
                <w:szCs w:val="21"/>
                <w:u w:val="single"/>
                <w:vertAlign w:val="subscript"/>
              </w:rPr>
              <w:t>3</w:t>
            </w:r>
            <w:r w:rsidR="00117DB4" w:rsidRPr="0092085C">
              <w:rPr>
                <w:rFonts w:ascii="Calibri" w:hAnsi="Calibri" w:hint="eastAsia"/>
                <w:b/>
                <w:caps/>
                <w:color w:val="auto"/>
                <w:szCs w:val="21"/>
                <w:u w:val="single"/>
              </w:rPr>
              <w:t>、</w:t>
            </w:r>
            <w:r w:rsidR="00352B89" w:rsidRPr="0092085C">
              <w:rPr>
                <w:rFonts w:ascii="Calibri" w:hAnsi="Calibri" w:hint="eastAsia"/>
                <w:b/>
                <w:caps/>
                <w:color w:val="auto"/>
                <w:szCs w:val="21"/>
                <w:u w:val="single"/>
              </w:rPr>
              <w:t>NH</w:t>
            </w:r>
            <w:r w:rsidR="00352B89" w:rsidRPr="0092085C">
              <w:rPr>
                <w:rFonts w:ascii="Calibri" w:hAnsi="Calibri" w:hint="eastAsia"/>
                <w:b/>
                <w:caps/>
                <w:color w:val="auto"/>
                <w:szCs w:val="21"/>
                <w:u w:val="single"/>
                <w:vertAlign w:val="subscript"/>
              </w:rPr>
              <w:t>3</w:t>
            </w:r>
            <w:r w:rsidR="00352B89" w:rsidRPr="0092085C">
              <w:rPr>
                <w:rFonts w:ascii="Calibri" w:hAnsi="Calibri" w:hint="eastAsia"/>
                <w:b/>
                <w:caps/>
                <w:color w:val="auto"/>
                <w:szCs w:val="21"/>
                <w:u w:val="single"/>
              </w:rPr>
              <w:t>、</w:t>
            </w:r>
            <w:r w:rsidR="00352B89" w:rsidRPr="0092085C">
              <w:rPr>
                <w:rFonts w:ascii="Calibri" w:hAnsi="Calibri" w:hint="eastAsia"/>
                <w:b/>
                <w:caps/>
                <w:color w:val="auto"/>
                <w:szCs w:val="21"/>
                <w:u w:val="single"/>
              </w:rPr>
              <w:t>H</w:t>
            </w:r>
            <w:r w:rsidR="00352B89" w:rsidRPr="0092085C">
              <w:rPr>
                <w:rFonts w:ascii="Calibri" w:hAnsi="Calibri" w:hint="eastAsia"/>
                <w:b/>
                <w:caps/>
                <w:color w:val="auto"/>
                <w:szCs w:val="21"/>
                <w:u w:val="single"/>
                <w:vertAlign w:val="subscript"/>
              </w:rPr>
              <w:t>2</w:t>
            </w:r>
            <w:r w:rsidR="00352B89" w:rsidRPr="0092085C">
              <w:rPr>
                <w:rFonts w:ascii="Calibri" w:hAnsi="Calibri" w:hint="eastAsia"/>
                <w:b/>
                <w:caps/>
                <w:color w:val="auto"/>
                <w:szCs w:val="21"/>
                <w:u w:val="single"/>
              </w:rPr>
              <w:t>S</w:t>
            </w:r>
            <w:r w:rsidR="001E0903" w:rsidRPr="0092085C">
              <w:rPr>
                <w:rFonts w:ascii="Calibri" w:hAnsi="Calibri" w:hint="eastAsia"/>
                <w:b/>
                <w:caps/>
                <w:color w:val="auto"/>
                <w:szCs w:val="21"/>
                <w:u w:val="single"/>
              </w:rPr>
              <w:t>、</w:t>
            </w:r>
            <w:r w:rsidR="009C3FCB" w:rsidRPr="0092085C">
              <w:rPr>
                <w:rFonts w:ascii="Calibri" w:hAnsi="Calibri" w:hint="eastAsia"/>
                <w:b/>
                <w:caps/>
                <w:color w:val="auto"/>
                <w:szCs w:val="21"/>
                <w:u w:val="single"/>
              </w:rPr>
              <w:t>非甲烷总烃</w:t>
            </w:r>
          </w:p>
        </w:tc>
      </w:tr>
      <w:tr w:rsidR="0055605A" w:rsidRPr="00A964FF" w14:paraId="0BDE5A3B" w14:textId="77777777" w:rsidTr="003E0795">
        <w:trPr>
          <w:trHeight w:val="340"/>
          <w:jc w:val="center"/>
        </w:trPr>
        <w:tc>
          <w:tcPr>
            <w:tcW w:w="711" w:type="pct"/>
            <w:vMerge/>
            <w:vAlign w:val="center"/>
          </w:tcPr>
          <w:p w14:paraId="40AAAD79" w14:textId="77777777" w:rsidR="0055605A" w:rsidRPr="00A964FF" w:rsidRDefault="0055605A" w:rsidP="003E0795">
            <w:pPr>
              <w:jc w:val="center"/>
              <w:rPr>
                <w:rFonts w:ascii="Calibri" w:hAnsi="Calibri"/>
                <w:color w:val="auto"/>
                <w:szCs w:val="21"/>
              </w:rPr>
            </w:pPr>
          </w:p>
        </w:tc>
        <w:tc>
          <w:tcPr>
            <w:tcW w:w="894" w:type="pct"/>
            <w:vAlign w:val="center"/>
          </w:tcPr>
          <w:p w14:paraId="6ECDCFEC" w14:textId="77777777" w:rsidR="0055605A" w:rsidRPr="0092085C" w:rsidRDefault="0055605A" w:rsidP="003E0795">
            <w:pPr>
              <w:jc w:val="center"/>
              <w:rPr>
                <w:rFonts w:ascii="Calibri" w:hAnsi="Calibri"/>
                <w:b/>
                <w:color w:val="auto"/>
                <w:szCs w:val="21"/>
                <w:u w:val="single"/>
              </w:rPr>
            </w:pPr>
            <w:r w:rsidRPr="0092085C">
              <w:rPr>
                <w:rFonts w:ascii="Calibri" w:hAnsi="Calibri"/>
                <w:b/>
                <w:color w:val="auto"/>
                <w:szCs w:val="21"/>
                <w:u w:val="single"/>
              </w:rPr>
              <w:t>影响评价</w:t>
            </w:r>
          </w:p>
        </w:tc>
        <w:tc>
          <w:tcPr>
            <w:tcW w:w="3395" w:type="pct"/>
            <w:vAlign w:val="center"/>
          </w:tcPr>
          <w:p w14:paraId="68AE902F" w14:textId="77777777" w:rsidR="0055605A" w:rsidRPr="006760FE" w:rsidRDefault="00895210" w:rsidP="006760FE">
            <w:pPr>
              <w:jc w:val="center"/>
              <w:rPr>
                <w:rFonts w:ascii="Calibri" w:hAnsi="Calibri"/>
                <w:b/>
                <w:color w:val="auto"/>
                <w:kern w:val="0"/>
                <w:szCs w:val="21"/>
                <w:u w:val="single"/>
              </w:rPr>
            </w:pPr>
            <w:r w:rsidRPr="0092085C">
              <w:rPr>
                <w:rFonts w:ascii="Calibri" w:hAnsi="Calibri" w:hint="eastAsia"/>
                <w:b/>
                <w:caps/>
                <w:color w:val="auto"/>
                <w:szCs w:val="21"/>
                <w:u w:val="single"/>
              </w:rPr>
              <w:t>颗粒物（</w:t>
            </w:r>
            <w:r w:rsidRPr="0092085C">
              <w:rPr>
                <w:rFonts w:ascii="Calibri" w:hAnsi="Calibri" w:hint="eastAsia"/>
                <w:b/>
                <w:caps/>
                <w:color w:val="auto"/>
                <w:szCs w:val="21"/>
                <w:u w:val="single"/>
              </w:rPr>
              <w:t>PM</w:t>
            </w:r>
            <w:r w:rsidRPr="0092085C">
              <w:rPr>
                <w:rFonts w:ascii="Calibri" w:hAnsi="Calibri" w:hint="eastAsia"/>
                <w:b/>
                <w:caps/>
                <w:color w:val="auto"/>
                <w:szCs w:val="21"/>
                <w:u w:val="single"/>
                <w:vertAlign w:val="subscript"/>
              </w:rPr>
              <w:t>10</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PM</w:t>
            </w:r>
            <w:r w:rsidRPr="0092085C">
              <w:rPr>
                <w:rFonts w:ascii="Calibri" w:hAnsi="Calibri" w:hint="eastAsia"/>
                <w:b/>
                <w:caps/>
                <w:color w:val="auto"/>
                <w:szCs w:val="21"/>
                <w:u w:val="single"/>
                <w:vertAlign w:val="subscript"/>
              </w:rPr>
              <w:t>2.5</w:t>
            </w:r>
            <w:r w:rsidRPr="0092085C">
              <w:rPr>
                <w:rFonts w:ascii="Calibri" w:hAnsi="Calibri" w:hint="eastAsia"/>
                <w:b/>
                <w:caps/>
                <w:color w:val="auto"/>
                <w:szCs w:val="21"/>
                <w:u w:val="single"/>
              </w:rPr>
              <w:t>）、</w:t>
            </w:r>
            <w:r w:rsidR="00FC1E23" w:rsidRPr="0092085C">
              <w:rPr>
                <w:rFonts w:ascii="Calibri" w:hAnsi="Calibri" w:hint="eastAsia"/>
                <w:b/>
                <w:caps/>
                <w:color w:val="auto"/>
                <w:szCs w:val="21"/>
                <w:u w:val="single"/>
              </w:rPr>
              <w:t>SO</w:t>
            </w:r>
            <w:r w:rsidR="00FC1E23" w:rsidRPr="0092085C">
              <w:rPr>
                <w:rFonts w:ascii="Calibri" w:hAnsi="Calibri" w:hint="eastAsia"/>
                <w:b/>
                <w:caps/>
                <w:color w:val="auto"/>
                <w:szCs w:val="21"/>
                <w:u w:val="single"/>
                <w:vertAlign w:val="subscript"/>
              </w:rPr>
              <w:t>2</w:t>
            </w:r>
            <w:r w:rsidR="00FC1E23" w:rsidRPr="0092085C">
              <w:rPr>
                <w:rFonts w:ascii="Calibri" w:hAnsi="Calibri" w:hint="eastAsia"/>
                <w:b/>
                <w:caps/>
                <w:color w:val="auto"/>
                <w:szCs w:val="21"/>
                <w:u w:val="single"/>
              </w:rPr>
              <w:t>、</w:t>
            </w:r>
            <w:r w:rsidR="00FC1E23" w:rsidRPr="0092085C">
              <w:rPr>
                <w:rFonts w:ascii="Calibri" w:hAnsi="Calibri" w:hint="eastAsia"/>
                <w:b/>
                <w:caps/>
                <w:color w:val="auto"/>
                <w:szCs w:val="21"/>
                <w:u w:val="single"/>
              </w:rPr>
              <w:t>NO</w:t>
            </w:r>
            <w:r w:rsidR="00FC1E23" w:rsidRPr="0092085C">
              <w:rPr>
                <w:rFonts w:ascii="Calibri" w:hAnsi="Calibri"/>
                <w:b/>
                <w:caps/>
                <w:color w:val="auto"/>
                <w:szCs w:val="21"/>
                <w:u w:val="single"/>
                <w:vertAlign w:val="subscript"/>
              </w:rPr>
              <w:t>X</w:t>
            </w:r>
            <w:r w:rsidR="00FC1E23" w:rsidRPr="0092085C">
              <w:rPr>
                <w:rFonts w:ascii="Calibri" w:hAnsi="Calibri" w:hint="eastAsia"/>
                <w:b/>
                <w:caps/>
                <w:color w:val="auto"/>
                <w:szCs w:val="21"/>
                <w:u w:val="single"/>
              </w:rPr>
              <w:t>、</w:t>
            </w:r>
            <w:r w:rsidR="001E0903" w:rsidRPr="0092085C">
              <w:rPr>
                <w:rFonts w:ascii="Calibri" w:hAnsi="Calibri" w:hint="eastAsia"/>
                <w:b/>
                <w:caps/>
                <w:color w:val="auto"/>
                <w:szCs w:val="21"/>
                <w:u w:val="single"/>
              </w:rPr>
              <w:t>己二胺</w:t>
            </w:r>
            <w:r w:rsidR="001E0903" w:rsidRPr="0092085C">
              <w:rPr>
                <w:rFonts w:ascii="Calibri" w:hAnsi="Calibri"/>
                <w:b/>
                <w:caps/>
                <w:color w:val="auto"/>
                <w:szCs w:val="21"/>
                <w:u w:val="single"/>
              </w:rPr>
              <w:t>、</w:t>
            </w:r>
            <w:r w:rsidR="0092085C" w:rsidRPr="0092085C">
              <w:rPr>
                <w:rFonts w:ascii="Calibri" w:hAnsi="Calibri" w:hint="eastAsia"/>
                <w:b/>
                <w:caps/>
                <w:color w:val="auto"/>
                <w:szCs w:val="21"/>
                <w:u w:val="single"/>
              </w:rPr>
              <w:t>己二酸</w:t>
            </w:r>
            <w:r w:rsidR="0092085C" w:rsidRPr="0092085C">
              <w:rPr>
                <w:rFonts w:ascii="Calibri" w:hAnsi="Calibri"/>
                <w:b/>
                <w:caps/>
                <w:color w:val="auto"/>
                <w:szCs w:val="21"/>
                <w:u w:val="single"/>
              </w:rPr>
              <w:t>、</w:t>
            </w:r>
            <w:r w:rsidRPr="0092085C">
              <w:rPr>
                <w:rFonts w:ascii="Calibri" w:hAnsi="Calibri" w:hint="eastAsia"/>
                <w:b/>
                <w:caps/>
                <w:color w:val="auto"/>
                <w:szCs w:val="21"/>
                <w:u w:val="single"/>
              </w:rPr>
              <w:t>非甲烷总烃</w:t>
            </w:r>
            <w:r w:rsidR="00E71265" w:rsidRPr="0092085C">
              <w:rPr>
                <w:rFonts w:ascii="Calibri" w:hAnsi="Calibri" w:hint="eastAsia"/>
                <w:b/>
                <w:caps/>
                <w:color w:val="auto"/>
                <w:szCs w:val="21"/>
                <w:u w:val="single"/>
              </w:rPr>
              <w:t>（</w:t>
            </w:r>
            <w:r w:rsidR="006760FE">
              <w:rPr>
                <w:rFonts w:ascii="Calibri" w:hAnsi="Calibri" w:hint="eastAsia"/>
                <w:b/>
                <w:caps/>
                <w:color w:val="auto"/>
                <w:szCs w:val="21"/>
                <w:u w:val="single"/>
              </w:rPr>
              <w:t>包含</w:t>
            </w:r>
            <w:r w:rsidR="00E71265" w:rsidRPr="0092085C">
              <w:rPr>
                <w:rFonts w:ascii="Calibri" w:hAnsi="Calibri" w:hint="eastAsia"/>
                <w:b/>
                <w:color w:val="auto"/>
                <w:kern w:val="0"/>
                <w:szCs w:val="21"/>
                <w:u w:val="single"/>
              </w:rPr>
              <w:t>己二胺、己二酸、环戊酮、环己亚胺</w:t>
            </w:r>
            <w:r w:rsidR="006760FE">
              <w:rPr>
                <w:rFonts w:ascii="Calibri" w:hAnsi="Calibri" w:hint="eastAsia"/>
                <w:b/>
                <w:color w:val="auto"/>
                <w:kern w:val="0"/>
                <w:szCs w:val="21"/>
                <w:u w:val="single"/>
              </w:rPr>
              <w:t>、</w:t>
            </w:r>
            <w:r w:rsidR="006760FE">
              <w:rPr>
                <w:rFonts w:ascii="Calibri" w:hAnsi="Calibri"/>
                <w:b/>
                <w:color w:val="auto"/>
                <w:kern w:val="0"/>
                <w:szCs w:val="21"/>
                <w:u w:val="single"/>
              </w:rPr>
              <w:t>癸二酸、癸二胺</w:t>
            </w:r>
            <w:r w:rsidR="006760FE">
              <w:rPr>
                <w:rFonts w:ascii="Calibri" w:hAnsi="Calibri" w:hint="eastAsia"/>
                <w:b/>
                <w:color w:val="auto"/>
                <w:kern w:val="0"/>
                <w:szCs w:val="21"/>
                <w:u w:val="single"/>
              </w:rPr>
              <w:t>、十二</w:t>
            </w:r>
            <w:r w:rsidR="006760FE">
              <w:rPr>
                <w:rFonts w:ascii="Calibri" w:hAnsi="Calibri"/>
                <w:b/>
                <w:color w:val="auto"/>
                <w:kern w:val="0"/>
                <w:szCs w:val="21"/>
                <w:u w:val="single"/>
              </w:rPr>
              <w:t>内酰胺</w:t>
            </w:r>
            <w:r w:rsidR="00E71265" w:rsidRPr="0092085C">
              <w:rPr>
                <w:rFonts w:ascii="Calibri" w:hAnsi="Calibri" w:hint="eastAsia"/>
                <w:b/>
                <w:caps/>
                <w:color w:val="auto"/>
                <w:szCs w:val="21"/>
                <w:u w:val="single"/>
              </w:rPr>
              <w:t>）</w:t>
            </w:r>
            <w:r w:rsidRPr="0092085C">
              <w:rPr>
                <w:rFonts w:ascii="Calibri" w:hAnsi="Calibri" w:hint="eastAsia"/>
                <w:b/>
                <w:caps/>
                <w:color w:val="auto"/>
                <w:szCs w:val="21"/>
                <w:u w:val="single"/>
              </w:rPr>
              <w:t>、氨、</w:t>
            </w:r>
            <w:r w:rsidRPr="0092085C">
              <w:rPr>
                <w:rFonts w:ascii="Calibri" w:hAnsi="Calibri"/>
                <w:b/>
                <w:caps/>
                <w:color w:val="auto"/>
                <w:szCs w:val="21"/>
                <w:u w:val="single"/>
              </w:rPr>
              <w:t>H</w:t>
            </w:r>
            <w:r w:rsidRPr="0092085C">
              <w:rPr>
                <w:rFonts w:ascii="Calibri" w:hAnsi="Calibri"/>
                <w:b/>
                <w:caps/>
                <w:color w:val="auto"/>
                <w:szCs w:val="21"/>
                <w:u w:val="single"/>
                <w:vertAlign w:val="subscript"/>
              </w:rPr>
              <w:t>2</w:t>
            </w:r>
            <w:r w:rsidRPr="0092085C">
              <w:rPr>
                <w:rFonts w:ascii="Calibri" w:hAnsi="Calibri"/>
                <w:b/>
                <w:caps/>
                <w:color w:val="auto"/>
                <w:szCs w:val="21"/>
                <w:u w:val="single"/>
              </w:rPr>
              <w:t>S</w:t>
            </w:r>
          </w:p>
        </w:tc>
      </w:tr>
      <w:tr w:rsidR="00540DBA" w:rsidRPr="00A964FF" w14:paraId="507CFE29" w14:textId="77777777" w:rsidTr="003E0795">
        <w:trPr>
          <w:trHeight w:val="340"/>
          <w:jc w:val="center"/>
        </w:trPr>
        <w:tc>
          <w:tcPr>
            <w:tcW w:w="711" w:type="pct"/>
            <w:vMerge/>
            <w:vAlign w:val="center"/>
          </w:tcPr>
          <w:p w14:paraId="7BC818B1" w14:textId="77777777" w:rsidR="00540DBA" w:rsidRPr="00A964FF" w:rsidRDefault="00540DBA" w:rsidP="003E0795">
            <w:pPr>
              <w:jc w:val="center"/>
              <w:rPr>
                <w:rFonts w:ascii="Calibri" w:hAnsi="Calibri"/>
                <w:color w:val="auto"/>
                <w:szCs w:val="21"/>
              </w:rPr>
            </w:pPr>
          </w:p>
        </w:tc>
        <w:tc>
          <w:tcPr>
            <w:tcW w:w="894" w:type="pct"/>
            <w:vAlign w:val="center"/>
          </w:tcPr>
          <w:p w14:paraId="466848B1" w14:textId="4BFCAC88" w:rsidR="00540DBA" w:rsidRPr="0092085C" w:rsidRDefault="00540DBA" w:rsidP="003E0795">
            <w:pPr>
              <w:jc w:val="center"/>
              <w:rPr>
                <w:rFonts w:ascii="Calibri" w:hAnsi="Calibri"/>
                <w:b/>
                <w:color w:val="auto"/>
                <w:szCs w:val="21"/>
                <w:u w:val="single"/>
              </w:rPr>
            </w:pPr>
            <w:r>
              <w:rPr>
                <w:rFonts w:ascii="Calibri" w:hAnsi="Calibri" w:hint="eastAsia"/>
                <w:b/>
                <w:color w:val="auto"/>
                <w:szCs w:val="21"/>
                <w:u w:val="single"/>
              </w:rPr>
              <w:t>预测</w:t>
            </w:r>
            <w:r>
              <w:rPr>
                <w:rFonts w:ascii="Calibri" w:hAnsi="Calibri"/>
                <w:b/>
                <w:color w:val="auto"/>
                <w:szCs w:val="21"/>
                <w:u w:val="single"/>
              </w:rPr>
              <w:t>因子</w:t>
            </w:r>
          </w:p>
        </w:tc>
        <w:tc>
          <w:tcPr>
            <w:tcW w:w="3395" w:type="pct"/>
            <w:vAlign w:val="center"/>
          </w:tcPr>
          <w:p w14:paraId="29B99B06" w14:textId="5D13EBA2" w:rsidR="00540DBA" w:rsidRPr="0092085C" w:rsidRDefault="00540DBA" w:rsidP="00540DBA">
            <w:pPr>
              <w:jc w:val="center"/>
              <w:rPr>
                <w:rFonts w:ascii="Calibri" w:hAnsi="Calibri"/>
                <w:b/>
                <w:caps/>
                <w:color w:val="auto"/>
                <w:szCs w:val="21"/>
                <w:u w:val="single"/>
              </w:rPr>
            </w:pPr>
            <w:r w:rsidRPr="0092085C">
              <w:rPr>
                <w:rFonts w:ascii="Calibri" w:hAnsi="Calibri" w:hint="eastAsia"/>
                <w:b/>
                <w:caps/>
                <w:color w:val="auto"/>
                <w:szCs w:val="21"/>
                <w:u w:val="single"/>
              </w:rPr>
              <w:t>颗粒物（</w:t>
            </w:r>
            <w:r w:rsidRPr="0092085C">
              <w:rPr>
                <w:rFonts w:ascii="Calibri" w:hAnsi="Calibri" w:hint="eastAsia"/>
                <w:b/>
                <w:caps/>
                <w:color w:val="auto"/>
                <w:szCs w:val="21"/>
                <w:u w:val="single"/>
              </w:rPr>
              <w:t>PM</w:t>
            </w:r>
            <w:r w:rsidRPr="0092085C">
              <w:rPr>
                <w:rFonts w:ascii="Calibri" w:hAnsi="Calibri" w:hint="eastAsia"/>
                <w:b/>
                <w:caps/>
                <w:color w:val="auto"/>
                <w:szCs w:val="21"/>
                <w:u w:val="single"/>
                <w:vertAlign w:val="subscript"/>
              </w:rPr>
              <w:t>10</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PM</w:t>
            </w:r>
            <w:r w:rsidRPr="0092085C">
              <w:rPr>
                <w:rFonts w:ascii="Calibri" w:hAnsi="Calibri" w:hint="eastAsia"/>
                <w:b/>
                <w:caps/>
                <w:color w:val="auto"/>
                <w:szCs w:val="21"/>
                <w:u w:val="single"/>
                <w:vertAlign w:val="subscript"/>
              </w:rPr>
              <w:t>2.5</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SO</w:t>
            </w:r>
            <w:r w:rsidRPr="0092085C">
              <w:rPr>
                <w:rFonts w:ascii="Calibri" w:hAnsi="Calibri" w:hint="eastAsia"/>
                <w:b/>
                <w:caps/>
                <w:color w:val="auto"/>
                <w:szCs w:val="21"/>
                <w:u w:val="single"/>
                <w:vertAlign w:val="subscript"/>
              </w:rPr>
              <w:t>2</w:t>
            </w:r>
            <w:r w:rsidRPr="0092085C">
              <w:rPr>
                <w:rFonts w:ascii="Calibri" w:hAnsi="Calibri" w:hint="eastAsia"/>
                <w:b/>
                <w:caps/>
                <w:color w:val="auto"/>
                <w:szCs w:val="21"/>
                <w:u w:val="single"/>
              </w:rPr>
              <w:t>、</w:t>
            </w:r>
            <w:r w:rsidRPr="0092085C">
              <w:rPr>
                <w:rFonts w:ascii="Calibri" w:hAnsi="Calibri" w:hint="eastAsia"/>
                <w:b/>
                <w:caps/>
                <w:color w:val="auto"/>
                <w:szCs w:val="21"/>
                <w:u w:val="single"/>
              </w:rPr>
              <w:t>NO</w:t>
            </w:r>
            <w:r w:rsidRPr="0092085C">
              <w:rPr>
                <w:rFonts w:ascii="Calibri" w:hAnsi="Calibri"/>
                <w:b/>
                <w:caps/>
                <w:color w:val="auto"/>
                <w:szCs w:val="21"/>
                <w:u w:val="single"/>
                <w:vertAlign w:val="subscript"/>
              </w:rPr>
              <w:t>X</w:t>
            </w:r>
            <w:r w:rsidRPr="0092085C">
              <w:rPr>
                <w:rFonts w:ascii="Calibri" w:hAnsi="Calibri" w:hint="eastAsia"/>
                <w:b/>
                <w:caps/>
                <w:color w:val="auto"/>
                <w:szCs w:val="21"/>
                <w:u w:val="single"/>
              </w:rPr>
              <w:t>、非甲烷总烃（</w:t>
            </w:r>
            <w:r>
              <w:rPr>
                <w:rFonts w:ascii="Calibri" w:hAnsi="Calibri" w:hint="eastAsia"/>
                <w:b/>
                <w:caps/>
                <w:color w:val="auto"/>
                <w:szCs w:val="21"/>
                <w:u w:val="single"/>
              </w:rPr>
              <w:t>包含</w:t>
            </w:r>
            <w:r w:rsidRPr="0092085C">
              <w:rPr>
                <w:rFonts w:ascii="Calibri" w:hAnsi="Calibri" w:hint="eastAsia"/>
                <w:b/>
                <w:color w:val="auto"/>
                <w:kern w:val="0"/>
                <w:szCs w:val="21"/>
                <w:u w:val="single"/>
              </w:rPr>
              <w:t>己二胺、己二酸、环戊酮、环己亚胺</w:t>
            </w:r>
            <w:r>
              <w:rPr>
                <w:rFonts w:ascii="Calibri" w:hAnsi="Calibri" w:hint="eastAsia"/>
                <w:b/>
                <w:color w:val="auto"/>
                <w:kern w:val="0"/>
                <w:szCs w:val="21"/>
                <w:u w:val="single"/>
              </w:rPr>
              <w:t>、</w:t>
            </w:r>
            <w:r>
              <w:rPr>
                <w:rFonts w:ascii="Calibri" w:hAnsi="Calibri"/>
                <w:b/>
                <w:color w:val="auto"/>
                <w:kern w:val="0"/>
                <w:szCs w:val="21"/>
                <w:u w:val="single"/>
              </w:rPr>
              <w:t>癸二酸、癸二胺</w:t>
            </w:r>
            <w:r>
              <w:rPr>
                <w:rFonts w:ascii="Calibri" w:hAnsi="Calibri" w:hint="eastAsia"/>
                <w:b/>
                <w:color w:val="auto"/>
                <w:kern w:val="0"/>
                <w:szCs w:val="21"/>
                <w:u w:val="single"/>
              </w:rPr>
              <w:t>、十二</w:t>
            </w:r>
            <w:r>
              <w:rPr>
                <w:rFonts w:ascii="Calibri" w:hAnsi="Calibri"/>
                <w:b/>
                <w:color w:val="auto"/>
                <w:kern w:val="0"/>
                <w:szCs w:val="21"/>
                <w:u w:val="single"/>
              </w:rPr>
              <w:t>内酰胺</w:t>
            </w:r>
            <w:r w:rsidRPr="0092085C">
              <w:rPr>
                <w:rFonts w:ascii="Calibri" w:hAnsi="Calibri" w:hint="eastAsia"/>
                <w:b/>
                <w:caps/>
                <w:color w:val="auto"/>
                <w:szCs w:val="21"/>
                <w:u w:val="single"/>
              </w:rPr>
              <w:t>）、氨、</w:t>
            </w:r>
            <w:r w:rsidRPr="0092085C">
              <w:rPr>
                <w:rFonts w:ascii="Calibri" w:hAnsi="Calibri"/>
                <w:b/>
                <w:caps/>
                <w:color w:val="auto"/>
                <w:szCs w:val="21"/>
                <w:u w:val="single"/>
              </w:rPr>
              <w:t>H</w:t>
            </w:r>
            <w:r w:rsidRPr="0092085C">
              <w:rPr>
                <w:rFonts w:ascii="Calibri" w:hAnsi="Calibri"/>
                <w:b/>
                <w:caps/>
                <w:color w:val="auto"/>
                <w:szCs w:val="21"/>
                <w:u w:val="single"/>
                <w:vertAlign w:val="subscript"/>
              </w:rPr>
              <w:t>2</w:t>
            </w:r>
            <w:r w:rsidRPr="0092085C">
              <w:rPr>
                <w:rFonts w:ascii="Calibri" w:hAnsi="Calibri"/>
                <w:b/>
                <w:caps/>
                <w:color w:val="auto"/>
                <w:szCs w:val="21"/>
                <w:u w:val="single"/>
              </w:rPr>
              <w:t>S</w:t>
            </w:r>
          </w:p>
        </w:tc>
      </w:tr>
      <w:tr w:rsidR="0055605A" w:rsidRPr="00A964FF" w14:paraId="1F2D7D5F" w14:textId="77777777" w:rsidTr="003E0795">
        <w:trPr>
          <w:trHeight w:val="340"/>
          <w:jc w:val="center"/>
        </w:trPr>
        <w:tc>
          <w:tcPr>
            <w:tcW w:w="711" w:type="pct"/>
            <w:vMerge/>
            <w:vAlign w:val="center"/>
          </w:tcPr>
          <w:p w14:paraId="6C384646" w14:textId="77777777" w:rsidR="0055605A" w:rsidRPr="00A964FF" w:rsidRDefault="0055605A" w:rsidP="003E0795">
            <w:pPr>
              <w:jc w:val="center"/>
              <w:rPr>
                <w:rFonts w:ascii="Calibri" w:hAnsi="Calibri"/>
                <w:color w:val="auto"/>
                <w:szCs w:val="21"/>
              </w:rPr>
            </w:pPr>
          </w:p>
        </w:tc>
        <w:tc>
          <w:tcPr>
            <w:tcW w:w="894" w:type="pct"/>
            <w:vAlign w:val="center"/>
          </w:tcPr>
          <w:p w14:paraId="45ECD827" w14:textId="77777777" w:rsidR="0055605A" w:rsidRPr="0092085C" w:rsidRDefault="0055605A" w:rsidP="003E0795">
            <w:pPr>
              <w:jc w:val="center"/>
              <w:rPr>
                <w:rFonts w:ascii="Calibri" w:hAnsi="Calibri"/>
                <w:b/>
                <w:color w:val="auto"/>
                <w:szCs w:val="21"/>
                <w:u w:val="single"/>
              </w:rPr>
            </w:pPr>
            <w:r w:rsidRPr="0092085C">
              <w:rPr>
                <w:rFonts w:ascii="Calibri" w:hAnsi="Calibri" w:hint="eastAsia"/>
                <w:b/>
                <w:color w:val="auto"/>
                <w:szCs w:val="21"/>
                <w:u w:val="single"/>
              </w:rPr>
              <w:t>总量控制因子</w:t>
            </w:r>
          </w:p>
        </w:tc>
        <w:tc>
          <w:tcPr>
            <w:tcW w:w="3395" w:type="pct"/>
            <w:vAlign w:val="center"/>
          </w:tcPr>
          <w:p w14:paraId="2A2D193A" w14:textId="77777777" w:rsidR="0055605A" w:rsidRPr="0092085C" w:rsidRDefault="00FC1E23" w:rsidP="00FC1E23">
            <w:pPr>
              <w:jc w:val="center"/>
              <w:rPr>
                <w:rFonts w:ascii="Calibri" w:hAnsi="Calibri"/>
                <w:b/>
                <w:color w:val="auto"/>
                <w:szCs w:val="21"/>
                <w:u w:val="single"/>
              </w:rPr>
            </w:pPr>
            <w:r w:rsidRPr="0092085C">
              <w:rPr>
                <w:rFonts w:ascii="Calibri" w:hAnsi="Calibri"/>
                <w:b/>
                <w:caps/>
                <w:color w:val="auto"/>
                <w:szCs w:val="21"/>
                <w:u w:val="single"/>
              </w:rPr>
              <w:t>颗粒物、</w:t>
            </w:r>
            <w:r w:rsidR="00790CFB" w:rsidRPr="0092085C">
              <w:rPr>
                <w:rFonts w:ascii="Calibri" w:hAnsi="Calibri" w:hint="eastAsia"/>
                <w:b/>
                <w:caps/>
                <w:color w:val="auto"/>
                <w:szCs w:val="21"/>
                <w:u w:val="single"/>
              </w:rPr>
              <w:t>SO</w:t>
            </w:r>
            <w:r w:rsidR="00790CFB" w:rsidRPr="0092085C">
              <w:rPr>
                <w:rFonts w:ascii="Calibri" w:hAnsi="Calibri" w:hint="eastAsia"/>
                <w:b/>
                <w:caps/>
                <w:color w:val="auto"/>
                <w:szCs w:val="21"/>
                <w:u w:val="single"/>
                <w:vertAlign w:val="subscript"/>
              </w:rPr>
              <w:t>2</w:t>
            </w:r>
            <w:r w:rsidR="00790CFB" w:rsidRPr="0092085C">
              <w:rPr>
                <w:rFonts w:ascii="Calibri" w:hAnsi="Calibri" w:hint="eastAsia"/>
                <w:b/>
                <w:caps/>
                <w:color w:val="auto"/>
                <w:szCs w:val="21"/>
                <w:u w:val="single"/>
              </w:rPr>
              <w:t>、</w:t>
            </w:r>
            <w:r w:rsidR="00790CFB" w:rsidRPr="0092085C">
              <w:rPr>
                <w:rFonts w:ascii="Calibri" w:hAnsi="Calibri" w:hint="eastAsia"/>
                <w:b/>
                <w:caps/>
                <w:color w:val="auto"/>
                <w:szCs w:val="21"/>
                <w:u w:val="single"/>
              </w:rPr>
              <w:t>NO</w:t>
            </w:r>
            <w:r w:rsidRPr="0092085C">
              <w:rPr>
                <w:rFonts w:ascii="Calibri" w:hAnsi="Calibri"/>
                <w:b/>
                <w:caps/>
                <w:color w:val="auto"/>
                <w:szCs w:val="21"/>
                <w:u w:val="single"/>
                <w:vertAlign w:val="subscript"/>
              </w:rPr>
              <w:t>X</w:t>
            </w:r>
            <w:r w:rsidR="00790CFB" w:rsidRPr="0092085C">
              <w:rPr>
                <w:rFonts w:ascii="Calibri" w:hAnsi="Calibri" w:hint="eastAsia"/>
                <w:b/>
                <w:caps/>
                <w:color w:val="auto"/>
                <w:szCs w:val="21"/>
                <w:u w:val="single"/>
              </w:rPr>
              <w:t>、</w:t>
            </w:r>
            <w:r w:rsidR="001E0903" w:rsidRPr="0092085C">
              <w:rPr>
                <w:rFonts w:ascii="Calibri" w:hAnsi="Calibri" w:hint="eastAsia"/>
                <w:b/>
                <w:caps/>
                <w:color w:val="auto"/>
                <w:szCs w:val="21"/>
                <w:u w:val="single"/>
              </w:rPr>
              <w:t>非甲烷总烃</w:t>
            </w:r>
          </w:p>
        </w:tc>
      </w:tr>
      <w:tr w:rsidR="0055605A" w:rsidRPr="00A964FF" w14:paraId="353F9FD8" w14:textId="77777777" w:rsidTr="003E0795">
        <w:trPr>
          <w:trHeight w:val="340"/>
          <w:jc w:val="center"/>
        </w:trPr>
        <w:tc>
          <w:tcPr>
            <w:tcW w:w="711" w:type="pct"/>
            <w:vMerge w:val="restart"/>
            <w:vAlign w:val="center"/>
          </w:tcPr>
          <w:p w14:paraId="2F2F5AF0"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地表水</w:t>
            </w:r>
          </w:p>
          <w:p w14:paraId="46C07038"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环境</w:t>
            </w:r>
          </w:p>
        </w:tc>
        <w:tc>
          <w:tcPr>
            <w:tcW w:w="894" w:type="pct"/>
            <w:vAlign w:val="center"/>
          </w:tcPr>
          <w:p w14:paraId="5F9DF5AD"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现状评价</w:t>
            </w:r>
          </w:p>
        </w:tc>
        <w:tc>
          <w:tcPr>
            <w:tcW w:w="3395" w:type="pct"/>
            <w:vAlign w:val="center"/>
          </w:tcPr>
          <w:p w14:paraId="49E6C5D0"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pH</w:t>
            </w:r>
            <w:r w:rsidRPr="00A964FF">
              <w:rPr>
                <w:rFonts w:ascii="Calibri" w:hAnsi="Calibri"/>
                <w:color w:val="auto"/>
                <w:szCs w:val="21"/>
              </w:rPr>
              <w:t>、</w:t>
            </w:r>
            <w:r w:rsidRPr="00A964FF">
              <w:rPr>
                <w:rFonts w:ascii="Calibri" w:hAnsi="Calibri" w:hint="eastAsia"/>
                <w:color w:val="auto"/>
                <w:szCs w:val="21"/>
              </w:rPr>
              <w:t>高锰酸盐指数、</w:t>
            </w:r>
            <w:r w:rsidRPr="00A964FF">
              <w:rPr>
                <w:rFonts w:ascii="Calibri" w:hAnsi="Calibri" w:hint="eastAsia"/>
                <w:color w:val="auto"/>
                <w:szCs w:val="21"/>
              </w:rPr>
              <w:t>COD</w:t>
            </w:r>
            <w:r w:rsidRPr="00A964FF">
              <w:rPr>
                <w:rFonts w:ascii="Calibri" w:hAnsi="Calibri" w:hint="eastAsia"/>
                <w:color w:val="auto"/>
                <w:szCs w:val="21"/>
              </w:rPr>
              <w:t>、</w:t>
            </w:r>
            <w:r w:rsidRPr="00A964FF">
              <w:rPr>
                <w:rFonts w:ascii="Calibri" w:hAnsi="Calibri" w:hint="eastAsia"/>
                <w:color w:val="auto"/>
                <w:szCs w:val="21"/>
              </w:rPr>
              <w:t>BOD</w:t>
            </w:r>
            <w:r w:rsidRPr="00A964FF">
              <w:rPr>
                <w:rFonts w:ascii="Calibri" w:hAnsi="Calibri" w:hint="eastAsia"/>
                <w:color w:val="auto"/>
                <w:szCs w:val="21"/>
                <w:vertAlign w:val="subscript"/>
              </w:rPr>
              <w:t>5</w:t>
            </w:r>
            <w:r w:rsidRPr="00A964FF">
              <w:rPr>
                <w:rFonts w:ascii="Calibri" w:hAnsi="Calibri" w:hint="eastAsia"/>
                <w:color w:val="auto"/>
                <w:szCs w:val="21"/>
              </w:rPr>
              <w:t>、氨氮、总磷、铜、锌、氟化物、硒、砷、汞、镉、铅、六价铬、氰化物、挥发酚、石油类、阴离子表面活性剂、硫化物</w:t>
            </w:r>
          </w:p>
        </w:tc>
      </w:tr>
      <w:tr w:rsidR="0055605A" w:rsidRPr="00A964FF" w14:paraId="1A4B8A49" w14:textId="77777777" w:rsidTr="003E0795">
        <w:trPr>
          <w:trHeight w:val="340"/>
          <w:jc w:val="center"/>
        </w:trPr>
        <w:tc>
          <w:tcPr>
            <w:tcW w:w="711" w:type="pct"/>
            <w:vMerge/>
            <w:vAlign w:val="center"/>
          </w:tcPr>
          <w:p w14:paraId="64E3EECB" w14:textId="77777777" w:rsidR="0055605A" w:rsidRPr="00A964FF" w:rsidRDefault="0055605A" w:rsidP="003E0795">
            <w:pPr>
              <w:jc w:val="center"/>
              <w:rPr>
                <w:rFonts w:ascii="Calibri" w:hAnsi="Calibri"/>
                <w:color w:val="auto"/>
                <w:szCs w:val="21"/>
              </w:rPr>
            </w:pPr>
          </w:p>
        </w:tc>
        <w:tc>
          <w:tcPr>
            <w:tcW w:w="894" w:type="pct"/>
            <w:vAlign w:val="center"/>
          </w:tcPr>
          <w:p w14:paraId="174CCCF9"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影响评价</w:t>
            </w:r>
          </w:p>
        </w:tc>
        <w:tc>
          <w:tcPr>
            <w:tcW w:w="3395" w:type="pct"/>
            <w:vAlign w:val="center"/>
          </w:tcPr>
          <w:p w14:paraId="78601D28" w14:textId="77777777" w:rsidR="0055605A" w:rsidRPr="00A964FF" w:rsidRDefault="00FC1E23" w:rsidP="001E0903">
            <w:pPr>
              <w:jc w:val="center"/>
              <w:rPr>
                <w:rFonts w:ascii="Calibri" w:hAnsi="Calibri"/>
                <w:color w:val="auto"/>
                <w:szCs w:val="21"/>
              </w:rPr>
            </w:pPr>
            <w:r w:rsidRPr="00A964FF">
              <w:rPr>
                <w:rFonts w:ascii="Calibri" w:hAnsi="Calibri"/>
                <w:color w:val="auto"/>
                <w:szCs w:val="21"/>
              </w:rPr>
              <w:t>pH</w:t>
            </w:r>
            <w:r w:rsidRPr="00A964FF">
              <w:rPr>
                <w:rFonts w:ascii="Calibri" w:hAnsi="Calibri"/>
                <w:color w:val="auto"/>
                <w:szCs w:val="21"/>
              </w:rPr>
              <w:t>、</w:t>
            </w:r>
            <w:r w:rsidR="0055605A" w:rsidRPr="00A964FF">
              <w:rPr>
                <w:rFonts w:ascii="Calibri" w:hAnsi="Calibri"/>
                <w:color w:val="auto"/>
                <w:szCs w:val="21"/>
              </w:rPr>
              <w:t>COD</w:t>
            </w:r>
            <w:r w:rsidR="0055605A" w:rsidRPr="00A964FF">
              <w:rPr>
                <w:rFonts w:ascii="Calibri" w:hAnsi="Calibri" w:hint="eastAsia"/>
                <w:color w:val="auto"/>
                <w:szCs w:val="21"/>
              </w:rPr>
              <w:t>、</w:t>
            </w:r>
            <w:r w:rsidR="0055605A" w:rsidRPr="00A964FF">
              <w:rPr>
                <w:rFonts w:ascii="Calibri" w:hAnsi="Calibri" w:hint="eastAsia"/>
                <w:color w:val="auto"/>
                <w:szCs w:val="21"/>
              </w:rPr>
              <w:t>BOD</w:t>
            </w:r>
            <w:r w:rsidR="0055605A" w:rsidRPr="00A964FF">
              <w:rPr>
                <w:rFonts w:ascii="Calibri" w:hAnsi="Calibri" w:hint="eastAsia"/>
                <w:color w:val="auto"/>
                <w:szCs w:val="21"/>
                <w:vertAlign w:val="subscript"/>
              </w:rPr>
              <w:t>5</w:t>
            </w:r>
            <w:r w:rsidR="0055605A" w:rsidRPr="00A964FF">
              <w:rPr>
                <w:rFonts w:ascii="Calibri" w:hAnsi="Calibri" w:hint="eastAsia"/>
                <w:color w:val="auto"/>
                <w:szCs w:val="21"/>
              </w:rPr>
              <w:t>、</w:t>
            </w:r>
            <w:r w:rsidR="0055605A" w:rsidRPr="00A964FF">
              <w:rPr>
                <w:rFonts w:ascii="Calibri" w:hAnsi="Calibri"/>
                <w:color w:val="auto"/>
                <w:szCs w:val="21"/>
              </w:rPr>
              <w:t>SS</w:t>
            </w:r>
            <w:r w:rsidR="0055605A" w:rsidRPr="00A964FF">
              <w:rPr>
                <w:rFonts w:ascii="Calibri"/>
                <w:color w:val="auto"/>
                <w:szCs w:val="21"/>
              </w:rPr>
              <w:t>、</w:t>
            </w:r>
            <w:r w:rsidR="0055605A" w:rsidRPr="00A964FF">
              <w:rPr>
                <w:rFonts w:ascii="Calibri" w:hAnsi="Calibri"/>
                <w:color w:val="auto"/>
                <w:szCs w:val="21"/>
              </w:rPr>
              <w:t>NH</w:t>
            </w:r>
            <w:r w:rsidR="0055605A" w:rsidRPr="00A964FF">
              <w:rPr>
                <w:rFonts w:ascii="Calibri" w:hAnsi="Calibri"/>
                <w:color w:val="auto"/>
                <w:szCs w:val="21"/>
                <w:vertAlign w:val="subscript"/>
              </w:rPr>
              <w:t>3</w:t>
            </w:r>
            <w:r w:rsidR="0055605A" w:rsidRPr="00A964FF">
              <w:rPr>
                <w:rFonts w:ascii="Calibri" w:hAnsi="Calibri"/>
                <w:color w:val="auto"/>
                <w:szCs w:val="21"/>
              </w:rPr>
              <w:t>-N</w:t>
            </w:r>
            <w:r w:rsidR="001E0903" w:rsidRPr="00A964FF">
              <w:rPr>
                <w:rFonts w:ascii="Calibri" w:hAnsi="Calibri"/>
                <w:color w:val="auto"/>
                <w:szCs w:val="21"/>
              </w:rPr>
              <w:t xml:space="preserve"> </w:t>
            </w:r>
          </w:p>
        </w:tc>
      </w:tr>
      <w:tr w:rsidR="0055605A" w:rsidRPr="00A964FF" w14:paraId="55C3ADEE" w14:textId="77777777" w:rsidTr="003E0795">
        <w:trPr>
          <w:trHeight w:val="340"/>
          <w:jc w:val="center"/>
        </w:trPr>
        <w:tc>
          <w:tcPr>
            <w:tcW w:w="711" w:type="pct"/>
            <w:vMerge/>
            <w:vAlign w:val="center"/>
          </w:tcPr>
          <w:p w14:paraId="5F04C4A5" w14:textId="77777777" w:rsidR="0055605A" w:rsidRPr="00A964FF" w:rsidRDefault="0055605A" w:rsidP="003E0795">
            <w:pPr>
              <w:jc w:val="center"/>
              <w:rPr>
                <w:rFonts w:ascii="Calibri" w:hAnsi="Calibri"/>
                <w:color w:val="auto"/>
                <w:szCs w:val="21"/>
              </w:rPr>
            </w:pPr>
          </w:p>
        </w:tc>
        <w:tc>
          <w:tcPr>
            <w:tcW w:w="894" w:type="pct"/>
            <w:vAlign w:val="center"/>
          </w:tcPr>
          <w:p w14:paraId="54F8DBA3"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总量控制因子</w:t>
            </w:r>
          </w:p>
        </w:tc>
        <w:tc>
          <w:tcPr>
            <w:tcW w:w="3395" w:type="pct"/>
            <w:vAlign w:val="center"/>
          </w:tcPr>
          <w:p w14:paraId="6A0ED30E" w14:textId="77777777" w:rsidR="0055605A" w:rsidRPr="00A964FF" w:rsidRDefault="00301176" w:rsidP="00301176">
            <w:pPr>
              <w:jc w:val="center"/>
              <w:rPr>
                <w:rFonts w:ascii="Calibri" w:hAnsi="Calibri"/>
                <w:color w:val="auto"/>
                <w:szCs w:val="21"/>
              </w:rPr>
            </w:pPr>
            <w:r w:rsidRPr="00A964FF">
              <w:rPr>
                <w:rFonts w:ascii="Calibri" w:hAnsi="Calibri"/>
                <w:color w:val="auto"/>
                <w:szCs w:val="21"/>
              </w:rPr>
              <w:t>COD</w:t>
            </w:r>
            <w:r w:rsidRPr="00A964FF">
              <w:rPr>
                <w:rFonts w:ascii="Calibri" w:hAnsi="Calibri" w:hint="eastAsia"/>
                <w:color w:val="auto"/>
                <w:szCs w:val="21"/>
              </w:rPr>
              <w:t>、</w:t>
            </w:r>
            <w:r w:rsidRPr="00A964FF">
              <w:rPr>
                <w:rFonts w:ascii="Calibri" w:hAnsi="Calibri"/>
                <w:color w:val="auto"/>
                <w:szCs w:val="21"/>
              </w:rPr>
              <w:t>NH</w:t>
            </w:r>
            <w:r w:rsidRPr="00A964FF">
              <w:rPr>
                <w:rFonts w:ascii="Calibri" w:hAnsi="Calibri"/>
                <w:color w:val="auto"/>
                <w:szCs w:val="21"/>
                <w:vertAlign w:val="subscript"/>
              </w:rPr>
              <w:t>3</w:t>
            </w:r>
            <w:r w:rsidRPr="00A964FF">
              <w:rPr>
                <w:rFonts w:ascii="Calibri" w:hAnsi="Calibri"/>
                <w:color w:val="auto"/>
                <w:szCs w:val="21"/>
              </w:rPr>
              <w:t>-N</w:t>
            </w:r>
          </w:p>
        </w:tc>
      </w:tr>
      <w:tr w:rsidR="0055605A" w:rsidRPr="00A964FF" w14:paraId="3739496F" w14:textId="77777777" w:rsidTr="00464385">
        <w:trPr>
          <w:trHeight w:val="913"/>
          <w:jc w:val="center"/>
        </w:trPr>
        <w:tc>
          <w:tcPr>
            <w:tcW w:w="711" w:type="pct"/>
            <w:vMerge w:val="restart"/>
            <w:vAlign w:val="center"/>
          </w:tcPr>
          <w:p w14:paraId="4EF4683D"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地下水</w:t>
            </w:r>
          </w:p>
          <w:p w14:paraId="114FD1C4"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环境</w:t>
            </w:r>
          </w:p>
        </w:tc>
        <w:tc>
          <w:tcPr>
            <w:tcW w:w="894" w:type="pct"/>
            <w:vAlign w:val="center"/>
          </w:tcPr>
          <w:p w14:paraId="3E2F0B5E"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现状评价</w:t>
            </w:r>
          </w:p>
        </w:tc>
        <w:tc>
          <w:tcPr>
            <w:tcW w:w="3395" w:type="pct"/>
            <w:vAlign w:val="center"/>
          </w:tcPr>
          <w:p w14:paraId="2DD3F3B6" w14:textId="77777777" w:rsidR="0055605A" w:rsidRPr="00A964FF" w:rsidRDefault="0055605A" w:rsidP="001E0903">
            <w:pPr>
              <w:jc w:val="center"/>
              <w:rPr>
                <w:rFonts w:ascii="Calibri" w:hAnsi="Calibri"/>
                <w:color w:val="auto"/>
                <w:szCs w:val="21"/>
              </w:rPr>
            </w:pPr>
            <w:r w:rsidRPr="00A964FF">
              <w:rPr>
                <w:rFonts w:ascii="Calibri" w:hAnsi="Calibri" w:hint="eastAsia"/>
                <w:color w:val="auto"/>
                <w:szCs w:val="21"/>
              </w:rPr>
              <w:t>pH</w:t>
            </w:r>
            <w:r w:rsidRPr="00A964FF">
              <w:rPr>
                <w:rFonts w:ascii="Calibri" w:hAnsi="Calibri" w:hint="eastAsia"/>
                <w:color w:val="auto"/>
                <w:szCs w:val="21"/>
              </w:rPr>
              <w:t>、氨氮、硝酸盐、亚硝酸盐、挥发性酚类、氰化物、砷、汞、铬（六价）、总硬度、铅、氟化物、镉、铁、锰、溶解性总固体、耗氧量、硫酸盐、氯化物、总大肠菌群、细菌总数</w:t>
            </w:r>
            <w:r w:rsidR="00352B89">
              <w:rPr>
                <w:rFonts w:ascii="Calibri" w:hAnsi="Calibri" w:hint="eastAsia"/>
                <w:color w:val="auto"/>
                <w:szCs w:val="21"/>
              </w:rPr>
              <w:t>、</w:t>
            </w:r>
            <w:r w:rsidR="00686980" w:rsidRPr="00A964FF">
              <w:rPr>
                <w:rFonts w:ascii="Calibri" w:hAnsi="Calibri" w:hint="eastAsia"/>
                <w:color w:val="auto"/>
                <w:szCs w:val="21"/>
              </w:rPr>
              <w:t>石油类</w:t>
            </w:r>
            <w:r w:rsidR="00686980" w:rsidRPr="00A964FF">
              <w:rPr>
                <w:rFonts w:ascii="Calibri" w:hAnsi="Calibri"/>
                <w:color w:val="auto"/>
                <w:szCs w:val="21"/>
              </w:rPr>
              <w:t xml:space="preserve"> </w:t>
            </w:r>
          </w:p>
        </w:tc>
      </w:tr>
      <w:tr w:rsidR="0055605A" w:rsidRPr="00A964FF" w14:paraId="6C32787B" w14:textId="77777777" w:rsidTr="003E0795">
        <w:trPr>
          <w:trHeight w:val="340"/>
          <w:jc w:val="center"/>
        </w:trPr>
        <w:tc>
          <w:tcPr>
            <w:tcW w:w="711" w:type="pct"/>
            <w:vMerge/>
            <w:vAlign w:val="center"/>
          </w:tcPr>
          <w:p w14:paraId="2BC309A2" w14:textId="77777777" w:rsidR="0055605A" w:rsidRPr="00A964FF" w:rsidRDefault="0055605A" w:rsidP="003E0795">
            <w:pPr>
              <w:jc w:val="center"/>
              <w:rPr>
                <w:rFonts w:ascii="Calibri" w:hAnsi="Calibri"/>
                <w:color w:val="auto"/>
                <w:szCs w:val="21"/>
              </w:rPr>
            </w:pPr>
          </w:p>
        </w:tc>
        <w:tc>
          <w:tcPr>
            <w:tcW w:w="894" w:type="pct"/>
            <w:vAlign w:val="center"/>
          </w:tcPr>
          <w:p w14:paraId="74554B50"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影响评价</w:t>
            </w:r>
          </w:p>
        </w:tc>
        <w:tc>
          <w:tcPr>
            <w:tcW w:w="3395" w:type="pct"/>
            <w:vAlign w:val="center"/>
          </w:tcPr>
          <w:p w14:paraId="07373680" w14:textId="77777777" w:rsidR="000D2512" w:rsidRPr="00A964FF" w:rsidRDefault="00F60014" w:rsidP="001E0903">
            <w:pPr>
              <w:jc w:val="center"/>
              <w:rPr>
                <w:rFonts w:ascii="Calibri" w:hAnsi="Calibri"/>
                <w:color w:val="auto"/>
                <w:szCs w:val="21"/>
              </w:rPr>
            </w:pPr>
            <w:r w:rsidRPr="00A964FF">
              <w:rPr>
                <w:rFonts w:ascii="Calibri" w:hAnsi="Calibri" w:hint="eastAsia"/>
                <w:color w:val="auto"/>
                <w:szCs w:val="21"/>
              </w:rPr>
              <w:t>耗氧量、氨氮</w:t>
            </w:r>
            <w:r w:rsidR="00686980" w:rsidRPr="00A964FF">
              <w:rPr>
                <w:rFonts w:ascii="Calibri" w:hAnsi="Calibri" w:hint="eastAsia"/>
                <w:color w:val="auto"/>
                <w:szCs w:val="21"/>
              </w:rPr>
              <w:t>、</w:t>
            </w:r>
            <w:r w:rsidR="0019156F" w:rsidRPr="00A964FF">
              <w:rPr>
                <w:rFonts w:ascii="Calibri" w:hAnsi="Calibri" w:hint="eastAsia"/>
                <w:color w:val="auto"/>
                <w:szCs w:val="21"/>
              </w:rPr>
              <w:t>石油类</w:t>
            </w:r>
          </w:p>
        </w:tc>
      </w:tr>
      <w:tr w:rsidR="0055605A" w:rsidRPr="00A964FF" w14:paraId="790512AE" w14:textId="77777777" w:rsidTr="003E0795">
        <w:trPr>
          <w:trHeight w:val="340"/>
          <w:jc w:val="center"/>
        </w:trPr>
        <w:tc>
          <w:tcPr>
            <w:tcW w:w="711" w:type="pct"/>
            <w:vMerge w:val="restart"/>
            <w:tcBorders>
              <w:top w:val="single" w:sz="4" w:space="0" w:color="auto"/>
            </w:tcBorders>
            <w:vAlign w:val="center"/>
          </w:tcPr>
          <w:p w14:paraId="6744F86C"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声环境</w:t>
            </w:r>
          </w:p>
        </w:tc>
        <w:tc>
          <w:tcPr>
            <w:tcW w:w="894" w:type="pct"/>
            <w:tcBorders>
              <w:top w:val="single" w:sz="4" w:space="0" w:color="auto"/>
            </w:tcBorders>
            <w:vAlign w:val="center"/>
          </w:tcPr>
          <w:p w14:paraId="5BFB3D3F"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现状评价</w:t>
            </w:r>
          </w:p>
        </w:tc>
        <w:tc>
          <w:tcPr>
            <w:tcW w:w="3395" w:type="pct"/>
            <w:vMerge w:val="restart"/>
            <w:tcBorders>
              <w:top w:val="single" w:sz="4" w:space="0" w:color="auto"/>
            </w:tcBorders>
            <w:vAlign w:val="center"/>
          </w:tcPr>
          <w:p w14:paraId="506976F2"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Leq dB</w:t>
            </w:r>
            <w:r w:rsidRPr="00A964FF">
              <w:rPr>
                <w:rFonts w:ascii="Calibri" w:hAnsi="Calibri" w:hint="eastAsia"/>
                <w:color w:val="auto"/>
                <w:szCs w:val="21"/>
              </w:rPr>
              <w:t>（</w:t>
            </w:r>
            <w:r w:rsidRPr="00A964FF">
              <w:rPr>
                <w:rFonts w:ascii="Calibri" w:hAnsi="Calibri"/>
                <w:color w:val="auto"/>
                <w:szCs w:val="21"/>
              </w:rPr>
              <w:t>A</w:t>
            </w:r>
            <w:r w:rsidRPr="00A964FF">
              <w:rPr>
                <w:rFonts w:ascii="Calibri" w:hAnsi="Calibri" w:hint="eastAsia"/>
                <w:color w:val="auto"/>
                <w:szCs w:val="21"/>
              </w:rPr>
              <w:t>）</w:t>
            </w:r>
          </w:p>
        </w:tc>
      </w:tr>
      <w:tr w:rsidR="0055605A" w:rsidRPr="00A964FF" w14:paraId="4B91ED54" w14:textId="77777777" w:rsidTr="003E0795">
        <w:trPr>
          <w:trHeight w:val="340"/>
          <w:jc w:val="center"/>
        </w:trPr>
        <w:tc>
          <w:tcPr>
            <w:tcW w:w="711" w:type="pct"/>
            <w:vMerge/>
            <w:vAlign w:val="center"/>
          </w:tcPr>
          <w:p w14:paraId="52AA8536" w14:textId="77777777" w:rsidR="0055605A" w:rsidRPr="00A964FF" w:rsidRDefault="0055605A" w:rsidP="003E0795">
            <w:pPr>
              <w:jc w:val="center"/>
              <w:rPr>
                <w:rFonts w:ascii="Calibri" w:hAnsi="Calibri"/>
                <w:color w:val="auto"/>
                <w:szCs w:val="21"/>
              </w:rPr>
            </w:pPr>
          </w:p>
        </w:tc>
        <w:tc>
          <w:tcPr>
            <w:tcW w:w="894" w:type="pct"/>
            <w:vAlign w:val="center"/>
          </w:tcPr>
          <w:p w14:paraId="72C546F3"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影响评价</w:t>
            </w:r>
          </w:p>
        </w:tc>
        <w:tc>
          <w:tcPr>
            <w:tcW w:w="3395" w:type="pct"/>
            <w:vMerge/>
            <w:vAlign w:val="center"/>
          </w:tcPr>
          <w:p w14:paraId="153FCC6B" w14:textId="77777777" w:rsidR="0055605A" w:rsidRPr="00A964FF" w:rsidRDefault="0055605A" w:rsidP="003E0795">
            <w:pPr>
              <w:jc w:val="center"/>
              <w:rPr>
                <w:rFonts w:ascii="Calibri" w:hAnsi="Calibri"/>
                <w:color w:val="auto"/>
                <w:szCs w:val="21"/>
              </w:rPr>
            </w:pPr>
          </w:p>
        </w:tc>
      </w:tr>
      <w:tr w:rsidR="0055605A" w:rsidRPr="00A964FF" w14:paraId="4FFD4DAD" w14:textId="77777777" w:rsidTr="003E0795">
        <w:trPr>
          <w:trHeight w:val="340"/>
          <w:jc w:val="center"/>
        </w:trPr>
        <w:tc>
          <w:tcPr>
            <w:tcW w:w="711" w:type="pct"/>
            <w:vAlign w:val="center"/>
          </w:tcPr>
          <w:p w14:paraId="384A7BCB"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固体废物</w:t>
            </w:r>
          </w:p>
        </w:tc>
        <w:tc>
          <w:tcPr>
            <w:tcW w:w="894" w:type="pct"/>
            <w:vAlign w:val="center"/>
          </w:tcPr>
          <w:p w14:paraId="1C7BF124"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影响评价</w:t>
            </w:r>
          </w:p>
        </w:tc>
        <w:tc>
          <w:tcPr>
            <w:tcW w:w="3395" w:type="pct"/>
            <w:vAlign w:val="center"/>
          </w:tcPr>
          <w:p w14:paraId="59DEB61D" w14:textId="77777777" w:rsidR="0055605A" w:rsidRPr="00A964FF" w:rsidRDefault="0055605A" w:rsidP="003E0795">
            <w:pPr>
              <w:jc w:val="center"/>
              <w:rPr>
                <w:rFonts w:ascii="Calibri" w:hAnsi="Calibri"/>
                <w:color w:val="auto"/>
                <w:szCs w:val="21"/>
              </w:rPr>
            </w:pPr>
            <w:r w:rsidRPr="00A964FF">
              <w:rPr>
                <w:rFonts w:ascii="Calibri" w:hint="eastAsia"/>
                <w:color w:val="auto"/>
                <w:szCs w:val="21"/>
              </w:rPr>
              <w:t>一般工业固废、危险固废、生活垃圾</w:t>
            </w:r>
          </w:p>
        </w:tc>
      </w:tr>
      <w:tr w:rsidR="00301176" w:rsidRPr="00A964FF" w14:paraId="26DB43CA" w14:textId="77777777" w:rsidTr="003E0795">
        <w:trPr>
          <w:trHeight w:val="340"/>
          <w:jc w:val="center"/>
        </w:trPr>
        <w:tc>
          <w:tcPr>
            <w:tcW w:w="711" w:type="pct"/>
            <w:vMerge w:val="restart"/>
            <w:vAlign w:val="center"/>
          </w:tcPr>
          <w:p w14:paraId="4399C934" w14:textId="77777777" w:rsidR="00301176" w:rsidRPr="00A964FF" w:rsidRDefault="00301176" w:rsidP="003E0795">
            <w:pPr>
              <w:jc w:val="center"/>
              <w:rPr>
                <w:rFonts w:ascii="Calibri" w:hAnsi="Calibri"/>
                <w:color w:val="auto"/>
                <w:szCs w:val="21"/>
              </w:rPr>
            </w:pPr>
            <w:r w:rsidRPr="00A964FF">
              <w:rPr>
                <w:rFonts w:ascii="Calibri" w:hAnsi="Calibri" w:hint="eastAsia"/>
                <w:color w:val="auto"/>
                <w:szCs w:val="21"/>
              </w:rPr>
              <w:t>土壤</w:t>
            </w:r>
          </w:p>
        </w:tc>
        <w:tc>
          <w:tcPr>
            <w:tcW w:w="894" w:type="pct"/>
            <w:vAlign w:val="center"/>
          </w:tcPr>
          <w:p w14:paraId="7DC8A42E" w14:textId="77777777" w:rsidR="00301176" w:rsidRPr="00A964FF" w:rsidRDefault="00301176" w:rsidP="00301176">
            <w:pPr>
              <w:jc w:val="center"/>
              <w:rPr>
                <w:rFonts w:ascii="Calibri" w:hAnsi="Calibri"/>
                <w:color w:val="auto"/>
                <w:sz w:val="24"/>
                <w:szCs w:val="21"/>
              </w:rPr>
            </w:pPr>
            <w:r w:rsidRPr="00A964FF">
              <w:rPr>
                <w:rFonts w:ascii="Calibri" w:hAnsi="Calibri" w:hint="eastAsia"/>
                <w:color w:val="auto"/>
                <w:szCs w:val="21"/>
              </w:rPr>
              <w:t>现状评价</w:t>
            </w:r>
          </w:p>
        </w:tc>
        <w:tc>
          <w:tcPr>
            <w:tcW w:w="3395" w:type="pct"/>
            <w:vAlign w:val="center"/>
          </w:tcPr>
          <w:p w14:paraId="154F862E" w14:textId="77777777" w:rsidR="00301176" w:rsidRPr="00A964FF" w:rsidRDefault="00301176" w:rsidP="00466230">
            <w:pPr>
              <w:jc w:val="center"/>
              <w:rPr>
                <w:rFonts w:ascii="Calibri"/>
                <w:color w:val="auto"/>
                <w:szCs w:val="21"/>
              </w:rPr>
            </w:pPr>
            <w:r w:rsidRPr="00A964FF">
              <w:rPr>
                <w:rFonts w:ascii="Calibri" w:hint="eastAsia"/>
                <w:color w:val="auto"/>
              </w:rPr>
              <w:t>砷、镉、铬（六价）、铜、铅、汞、镍、四氯化碳、氯仿、氯甲烷、</w:t>
            </w:r>
            <w:r w:rsidRPr="00A964FF">
              <w:rPr>
                <w:rFonts w:ascii="Calibri"/>
                <w:color w:val="auto"/>
              </w:rPr>
              <w:t>1,1-</w:t>
            </w:r>
            <w:r w:rsidRPr="00A964FF">
              <w:rPr>
                <w:rFonts w:ascii="Calibri" w:hint="eastAsia"/>
                <w:color w:val="auto"/>
              </w:rPr>
              <w:t>二氯乙烷、</w:t>
            </w:r>
            <w:r w:rsidRPr="00A964FF">
              <w:rPr>
                <w:rFonts w:ascii="Calibri"/>
                <w:color w:val="auto"/>
              </w:rPr>
              <w:t>1,2-</w:t>
            </w:r>
            <w:r w:rsidRPr="00A964FF">
              <w:rPr>
                <w:rFonts w:ascii="Calibri" w:hint="eastAsia"/>
                <w:color w:val="auto"/>
              </w:rPr>
              <w:t>二氯乙烷、</w:t>
            </w:r>
            <w:r w:rsidRPr="00A964FF">
              <w:rPr>
                <w:rFonts w:ascii="Calibri"/>
                <w:color w:val="auto"/>
              </w:rPr>
              <w:t>1,1-</w:t>
            </w:r>
            <w:r w:rsidRPr="00A964FF">
              <w:rPr>
                <w:rFonts w:ascii="Calibri" w:hint="eastAsia"/>
                <w:color w:val="auto"/>
              </w:rPr>
              <w:t>二氯乙烯、顺</w:t>
            </w:r>
            <w:r w:rsidRPr="00A964FF">
              <w:rPr>
                <w:rFonts w:ascii="Calibri"/>
                <w:color w:val="auto"/>
              </w:rPr>
              <w:t>-1,2-</w:t>
            </w:r>
            <w:r w:rsidRPr="00A964FF">
              <w:rPr>
                <w:rFonts w:ascii="Calibri" w:hint="eastAsia"/>
                <w:color w:val="auto"/>
              </w:rPr>
              <w:t>二氯乙烯、反</w:t>
            </w:r>
            <w:r w:rsidRPr="00A964FF">
              <w:rPr>
                <w:rFonts w:ascii="Calibri"/>
                <w:color w:val="auto"/>
              </w:rPr>
              <w:t>-1,2-</w:t>
            </w:r>
            <w:r w:rsidRPr="00A964FF">
              <w:rPr>
                <w:rFonts w:ascii="Calibri" w:hint="eastAsia"/>
                <w:color w:val="auto"/>
              </w:rPr>
              <w:t>二氯乙烯、二氯甲烷、</w:t>
            </w:r>
            <w:r w:rsidRPr="00A964FF">
              <w:rPr>
                <w:rFonts w:ascii="Calibri"/>
                <w:color w:val="auto"/>
              </w:rPr>
              <w:t>1,2-</w:t>
            </w:r>
            <w:r w:rsidRPr="00A964FF">
              <w:rPr>
                <w:rFonts w:ascii="Calibri" w:hint="eastAsia"/>
                <w:color w:val="auto"/>
              </w:rPr>
              <w:t>二氯丙烷、</w:t>
            </w:r>
            <w:r w:rsidRPr="00A964FF">
              <w:rPr>
                <w:rFonts w:ascii="Calibri"/>
                <w:color w:val="auto"/>
              </w:rPr>
              <w:t>1,1,1,2-</w:t>
            </w:r>
            <w:r w:rsidRPr="00A964FF">
              <w:rPr>
                <w:rFonts w:ascii="Calibri" w:hint="eastAsia"/>
                <w:color w:val="auto"/>
              </w:rPr>
              <w:t>四氯乙烷、</w:t>
            </w:r>
            <w:r w:rsidRPr="00A964FF">
              <w:rPr>
                <w:rFonts w:ascii="Calibri" w:hAnsi="Calibri" w:hint="eastAsia"/>
                <w:color w:val="auto"/>
                <w:szCs w:val="21"/>
              </w:rPr>
              <w:t>1,1,2,2-</w:t>
            </w:r>
            <w:r w:rsidRPr="00A964FF">
              <w:rPr>
                <w:rFonts w:ascii="Calibri" w:hAnsi="Calibri" w:hint="eastAsia"/>
                <w:color w:val="auto"/>
                <w:szCs w:val="21"/>
              </w:rPr>
              <w:t>四氯乙烷、</w:t>
            </w:r>
            <w:r w:rsidRPr="00A964FF">
              <w:rPr>
                <w:rFonts w:ascii="Calibri" w:hint="eastAsia"/>
                <w:color w:val="auto"/>
              </w:rPr>
              <w:t>四氯乙烯、</w:t>
            </w:r>
            <w:r w:rsidRPr="00A964FF">
              <w:rPr>
                <w:rFonts w:ascii="Calibri"/>
                <w:color w:val="auto"/>
              </w:rPr>
              <w:t>1,1,1-</w:t>
            </w:r>
            <w:r w:rsidRPr="00A964FF">
              <w:rPr>
                <w:rFonts w:ascii="Calibri" w:hint="eastAsia"/>
                <w:color w:val="auto"/>
              </w:rPr>
              <w:t>三氯乙烷、</w:t>
            </w:r>
            <w:r w:rsidRPr="00A964FF">
              <w:rPr>
                <w:rFonts w:ascii="Calibri"/>
                <w:color w:val="auto"/>
              </w:rPr>
              <w:t>1,1,2-</w:t>
            </w:r>
            <w:r w:rsidRPr="00A964FF">
              <w:rPr>
                <w:rFonts w:ascii="Calibri" w:hint="eastAsia"/>
                <w:color w:val="auto"/>
              </w:rPr>
              <w:t>三氯乙烷、三氯乙烯、</w:t>
            </w:r>
            <w:r w:rsidRPr="00A964FF">
              <w:rPr>
                <w:rFonts w:ascii="Calibri"/>
                <w:color w:val="auto"/>
              </w:rPr>
              <w:t>1,2.3-</w:t>
            </w:r>
            <w:r w:rsidRPr="00A964FF">
              <w:rPr>
                <w:rFonts w:ascii="Calibri" w:hint="eastAsia"/>
                <w:color w:val="auto"/>
              </w:rPr>
              <w:t>三氯丙烷、氯乙烯、苯、氯苯、</w:t>
            </w:r>
            <w:r w:rsidRPr="00A964FF">
              <w:rPr>
                <w:rFonts w:ascii="Calibri"/>
                <w:color w:val="auto"/>
              </w:rPr>
              <w:t>1,2-</w:t>
            </w:r>
            <w:r w:rsidRPr="00A964FF">
              <w:rPr>
                <w:rFonts w:ascii="Calibri" w:hint="eastAsia"/>
                <w:color w:val="auto"/>
              </w:rPr>
              <w:t>二氯苯、</w:t>
            </w:r>
            <w:r w:rsidRPr="00A964FF">
              <w:rPr>
                <w:rFonts w:ascii="Calibri"/>
                <w:color w:val="auto"/>
              </w:rPr>
              <w:t>1,4-</w:t>
            </w:r>
            <w:r w:rsidRPr="00A964FF">
              <w:rPr>
                <w:rFonts w:ascii="Calibri" w:hint="eastAsia"/>
                <w:color w:val="auto"/>
              </w:rPr>
              <w:t>二氯苯、乙苯、苯乙烯、甲苯、间二甲苯</w:t>
            </w:r>
            <w:r w:rsidRPr="00A964FF">
              <w:rPr>
                <w:rFonts w:ascii="Calibri"/>
                <w:color w:val="auto"/>
              </w:rPr>
              <w:t>+</w:t>
            </w:r>
            <w:r w:rsidRPr="00A964FF">
              <w:rPr>
                <w:rFonts w:ascii="Calibri" w:hint="eastAsia"/>
                <w:color w:val="auto"/>
              </w:rPr>
              <w:t>对二甲苯、邻二甲苯、硝基苯、苯胺、</w:t>
            </w:r>
            <w:r w:rsidRPr="00A964FF">
              <w:rPr>
                <w:rFonts w:ascii="Calibri"/>
                <w:color w:val="auto"/>
              </w:rPr>
              <w:t>2-</w:t>
            </w:r>
            <w:r w:rsidRPr="00A964FF">
              <w:rPr>
                <w:rFonts w:ascii="Calibri" w:hint="eastAsia"/>
                <w:color w:val="auto"/>
              </w:rPr>
              <w:t>氯酚、苯并</w:t>
            </w:r>
            <w:r w:rsidRPr="00A964FF">
              <w:rPr>
                <w:rFonts w:ascii="Calibri"/>
                <w:color w:val="auto"/>
              </w:rPr>
              <w:t>[a]</w:t>
            </w:r>
            <w:r w:rsidRPr="00A964FF">
              <w:rPr>
                <w:rFonts w:ascii="Calibri" w:hint="eastAsia"/>
                <w:color w:val="auto"/>
              </w:rPr>
              <w:t>蒽、苯并</w:t>
            </w:r>
            <w:r w:rsidRPr="00A964FF">
              <w:rPr>
                <w:rFonts w:ascii="Calibri"/>
                <w:color w:val="auto"/>
              </w:rPr>
              <w:t>[a]</w:t>
            </w:r>
            <w:r w:rsidRPr="00A964FF">
              <w:rPr>
                <w:rFonts w:ascii="Calibri" w:hint="eastAsia"/>
                <w:color w:val="auto"/>
              </w:rPr>
              <w:t>芘、苯并</w:t>
            </w:r>
            <w:r w:rsidRPr="00A964FF">
              <w:rPr>
                <w:rFonts w:ascii="Calibri"/>
                <w:color w:val="auto"/>
              </w:rPr>
              <w:t>[b]</w:t>
            </w:r>
            <w:r w:rsidRPr="00A964FF">
              <w:rPr>
                <w:rFonts w:ascii="Calibri" w:hint="eastAsia"/>
                <w:color w:val="auto"/>
              </w:rPr>
              <w:t>荧蒽、苯并</w:t>
            </w:r>
            <w:r w:rsidRPr="00A964FF">
              <w:rPr>
                <w:rFonts w:ascii="Calibri"/>
                <w:color w:val="auto"/>
              </w:rPr>
              <w:t>[k]</w:t>
            </w:r>
            <w:r w:rsidRPr="00A964FF">
              <w:rPr>
                <w:rFonts w:ascii="Calibri" w:hint="eastAsia"/>
                <w:color w:val="auto"/>
              </w:rPr>
              <w:t>荧蒽、䓛、二苯并</w:t>
            </w:r>
            <w:r w:rsidRPr="00A964FF">
              <w:rPr>
                <w:rFonts w:ascii="Calibri"/>
                <w:color w:val="auto"/>
              </w:rPr>
              <w:t>[a,h]</w:t>
            </w:r>
            <w:r w:rsidRPr="00A964FF">
              <w:rPr>
                <w:rFonts w:ascii="Calibri" w:hint="eastAsia"/>
                <w:color w:val="auto"/>
              </w:rPr>
              <w:t>蒽、茚并</w:t>
            </w:r>
            <w:r w:rsidRPr="00A964FF">
              <w:rPr>
                <w:rFonts w:ascii="Calibri"/>
                <w:color w:val="auto"/>
              </w:rPr>
              <w:t>[1,2,3-cd]</w:t>
            </w:r>
            <w:r w:rsidRPr="00A964FF">
              <w:rPr>
                <w:rFonts w:ascii="Calibri" w:hint="eastAsia"/>
                <w:color w:val="auto"/>
              </w:rPr>
              <w:t>芘、萘、</w:t>
            </w:r>
            <w:r w:rsidR="00483713" w:rsidRPr="00A964FF">
              <w:rPr>
                <w:rFonts w:ascii="Calibri" w:hint="eastAsia"/>
                <w:color w:val="auto"/>
              </w:rPr>
              <w:t>石油烃</w:t>
            </w:r>
          </w:p>
        </w:tc>
      </w:tr>
      <w:tr w:rsidR="00301176" w:rsidRPr="00A964FF" w14:paraId="1C7B0014" w14:textId="77777777" w:rsidTr="003E0795">
        <w:trPr>
          <w:trHeight w:val="340"/>
          <w:jc w:val="center"/>
        </w:trPr>
        <w:tc>
          <w:tcPr>
            <w:tcW w:w="711" w:type="pct"/>
            <w:vMerge/>
            <w:vAlign w:val="center"/>
          </w:tcPr>
          <w:p w14:paraId="44C4753F" w14:textId="77777777" w:rsidR="00301176" w:rsidRPr="00A964FF" w:rsidRDefault="00301176" w:rsidP="003E0795">
            <w:pPr>
              <w:jc w:val="center"/>
              <w:rPr>
                <w:rFonts w:ascii="Calibri" w:hAnsi="Calibri"/>
                <w:color w:val="auto"/>
                <w:szCs w:val="21"/>
              </w:rPr>
            </w:pPr>
          </w:p>
        </w:tc>
        <w:tc>
          <w:tcPr>
            <w:tcW w:w="894" w:type="pct"/>
            <w:vAlign w:val="center"/>
          </w:tcPr>
          <w:p w14:paraId="3FD2DC0F" w14:textId="77777777" w:rsidR="00301176" w:rsidRPr="00A964FF" w:rsidRDefault="00301176" w:rsidP="003E0795">
            <w:pPr>
              <w:jc w:val="center"/>
              <w:rPr>
                <w:rFonts w:ascii="Calibri" w:hAnsi="Calibri"/>
                <w:color w:val="auto"/>
                <w:szCs w:val="21"/>
              </w:rPr>
            </w:pPr>
            <w:r w:rsidRPr="00A964FF">
              <w:rPr>
                <w:rFonts w:ascii="Calibri" w:hAnsi="Calibri" w:hint="eastAsia"/>
                <w:color w:val="auto"/>
                <w:szCs w:val="21"/>
              </w:rPr>
              <w:t>影响评价</w:t>
            </w:r>
          </w:p>
        </w:tc>
        <w:tc>
          <w:tcPr>
            <w:tcW w:w="3395" w:type="pct"/>
            <w:vAlign w:val="center"/>
          </w:tcPr>
          <w:p w14:paraId="1751140D" w14:textId="77777777" w:rsidR="00301176" w:rsidRPr="00A964FF" w:rsidRDefault="00464385" w:rsidP="003E0795">
            <w:pPr>
              <w:jc w:val="center"/>
              <w:rPr>
                <w:rFonts w:ascii="Calibri"/>
                <w:color w:val="auto"/>
                <w:szCs w:val="21"/>
              </w:rPr>
            </w:pPr>
            <w:r>
              <w:rPr>
                <w:rFonts w:ascii="Calibri" w:hint="eastAsia"/>
                <w:color w:val="auto"/>
                <w:szCs w:val="21"/>
              </w:rPr>
              <w:t>石油烃</w:t>
            </w:r>
          </w:p>
        </w:tc>
      </w:tr>
      <w:tr w:rsidR="00483713" w:rsidRPr="00A964FF" w14:paraId="0C3DAF16" w14:textId="77777777" w:rsidTr="003E0795">
        <w:trPr>
          <w:trHeight w:val="340"/>
          <w:jc w:val="center"/>
        </w:trPr>
        <w:tc>
          <w:tcPr>
            <w:tcW w:w="711" w:type="pct"/>
            <w:vAlign w:val="center"/>
          </w:tcPr>
          <w:p w14:paraId="35BED270" w14:textId="77777777" w:rsidR="00483713" w:rsidRPr="00A964FF" w:rsidRDefault="00483713" w:rsidP="003E0795">
            <w:pPr>
              <w:jc w:val="center"/>
              <w:rPr>
                <w:rFonts w:ascii="Calibri" w:hAnsi="Calibri"/>
                <w:color w:val="auto"/>
                <w:szCs w:val="21"/>
              </w:rPr>
            </w:pPr>
            <w:r w:rsidRPr="00A964FF">
              <w:rPr>
                <w:rFonts w:ascii="Calibri" w:hAnsi="Calibri" w:hint="eastAsia"/>
                <w:color w:val="auto"/>
                <w:szCs w:val="21"/>
              </w:rPr>
              <w:t>环境风险</w:t>
            </w:r>
          </w:p>
        </w:tc>
        <w:tc>
          <w:tcPr>
            <w:tcW w:w="894" w:type="pct"/>
            <w:vAlign w:val="center"/>
          </w:tcPr>
          <w:p w14:paraId="749BDDFD" w14:textId="77777777" w:rsidR="00483713" w:rsidRPr="00A964FF" w:rsidRDefault="00483713" w:rsidP="003E0795">
            <w:pPr>
              <w:jc w:val="center"/>
              <w:rPr>
                <w:rFonts w:ascii="Calibri" w:hAnsi="Calibri"/>
                <w:color w:val="auto"/>
                <w:szCs w:val="21"/>
              </w:rPr>
            </w:pPr>
            <w:r w:rsidRPr="00A964FF">
              <w:rPr>
                <w:rFonts w:ascii="Calibri" w:hAnsi="Calibri" w:hint="eastAsia"/>
                <w:color w:val="auto"/>
                <w:szCs w:val="21"/>
              </w:rPr>
              <w:t>影响评价</w:t>
            </w:r>
          </w:p>
        </w:tc>
        <w:tc>
          <w:tcPr>
            <w:tcW w:w="3395" w:type="pct"/>
            <w:vAlign w:val="center"/>
          </w:tcPr>
          <w:p w14:paraId="1AA021CE" w14:textId="77777777" w:rsidR="00483713" w:rsidRPr="00A964FF" w:rsidRDefault="00AF4624" w:rsidP="00CA2479">
            <w:pPr>
              <w:jc w:val="center"/>
              <w:rPr>
                <w:rFonts w:ascii="Calibri"/>
                <w:color w:val="auto"/>
                <w:szCs w:val="21"/>
                <w:highlight w:val="yellow"/>
              </w:rPr>
            </w:pPr>
            <w:r w:rsidRPr="00AF4624">
              <w:rPr>
                <w:rFonts w:ascii="Calibri" w:hint="eastAsia"/>
                <w:color w:val="auto"/>
              </w:rPr>
              <w:t>风险物质为</w:t>
            </w:r>
            <w:r w:rsidR="001E0903">
              <w:rPr>
                <w:rFonts w:ascii="Calibri"/>
                <w:color w:val="auto"/>
              </w:rPr>
              <w:t>天然气</w:t>
            </w:r>
            <w:r w:rsidR="00790CFB">
              <w:rPr>
                <w:rFonts w:ascii="Calibri" w:hint="eastAsia"/>
                <w:color w:val="auto"/>
              </w:rPr>
              <w:t>、</w:t>
            </w:r>
            <w:r w:rsidR="001E0903">
              <w:rPr>
                <w:rFonts w:ascii="Calibri"/>
                <w:color w:val="auto"/>
              </w:rPr>
              <w:t>导热油</w:t>
            </w:r>
            <w:r w:rsidR="00CA2479">
              <w:rPr>
                <w:rFonts w:ascii="Calibri" w:hint="eastAsia"/>
                <w:color w:val="auto"/>
              </w:rPr>
              <w:t>、废机油</w:t>
            </w:r>
            <w:r w:rsidR="00CA2479">
              <w:rPr>
                <w:rFonts w:ascii="Calibri"/>
                <w:color w:val="auto"/>
              </w:rPr>
              <w:t>、甲酸</w:t>
            </w:r>
            <w:r w:rsidR="00CA2479">
              <w:rPr>
                <w:rFonts w:ascii="Calibri" w:hint="eastAsia"/>
                <w:color w:val="auto"/>
              </w:rPr>
              <w:t>等</w:t>
            </w:r>
          </w:p>
        </w:tc>
      </w:tr>
    </w:tbl>
    <w:p w14:paraId="35728AE7" w14:textId="77777777" w:rsidR="0055605A" w:rsidRPr="00A964FF" w:rsidRDefault="0055605A" w:rsidP="0055605A">
      <w:pPr>
        <w:pStyle w:val="2"/>
        <w:spacing w:before="200" w:after="100"/>
        <w:rPr>
          <w:rFonts w:ascii="Calibri" w:hAnsi="Calibri"/>
          <w:bCs/>
          <w:color w:val="auto"/>
          <w:szCs w:val="28"/>
        </w:rPr>
      </w:pPr>
      <w:bookmarkStart w:id="35" w:name="_Toc112999900"/>
      <w:r w:rsidRPr="00A964FF">
        <w:rPr>
          <w:rFonts w:ascii="Calibri" w:hAnsi="Calibri"/>
          <w:bCs/>
          <w:color w:val="auto"/>
          <w:szCs w:val="28"/>
        </w:rPr>
        <w:t>1.</w:t>
      </w:r>
      <w:r w:rsidRPr="00A964FF">
        <w:rPr>
          <w:rFonts w:ascii="Calibri" w:hAnsi="Calibri" w:hint="eastAsia"/>
          <w:bCs/>
          <w:color w:val="auto"/>
          <w:szCs w:val="28"/>
        </w:rPr>
        <w:t>6</w:t>
      </w:r>
      <w:r w:rsidRPr="00A964FF">
        <w:rPr>
          <w:rFonts w:ascii="Calibri" w:hAnsi="Calibri"/>
          <w:bCs/>
          <w:color w:val="auto"/>
          <w:szCs w:val="28"/>
        </w:rPr>
        <w:t>评价等级与评价范围</w:t>
      </w:r>
      <w:bookmarkEnd w:id="34"/>
      <w:bookmarkEnd w:id="35"/>
    </w:p>
    <w:p w14:paraId="06478455" w14:textId="77777777" w:rsidR="0055605A" w:rsidRPr="00A964FF" w:rsidRDefault="0055605A" w:rsidP="0055605A">
      <w:pPr>
        <w:pStyle w:val="ad"/>
        <w:rPr>
          <w:rFonts w:ascii="Calibri" w:hAnsi="Calibri"/>
          <w:color w:val="auto"/>
        </w:rPr>
      </w:pPr>
      <w:r w:rsidRPr="00A964FF">
        <w:rPr>
          <w:rFonts w:ascii="Calibri" w:hAnsi="Calibri"/>
          <w:color w:val="auto"/>
        </w:rPr>
        <w:t>1.</w:t>
      </w:r>
      <w:r w:rsidRPr="00A964FF">
        <w:rPr>
          <w:rFonts w:ascii="Calibri" w:hAnsi="Calibri" w:hint="eastAsia"/>
          <w:color w:val="auto"/>
        </w:rPr>
        <w:t>6</w:t>
      </w:r>
      <w:r w:rsidRPr="00A964FF">
        <w:rPr>
          <w:rFonts w:ascii="Calibri" w:hAnsi="Calibri"/>
          <w:color w:val="auto"/>
        </w:rPr>
        <w:t>.1</w:t>
      </w:r>
      <w:r w:rsidRPr="00A964FF">
        <w:rPr>
          <w:rFonts w:ascii="Calibri" w:hAnsi="Calibri"/>
          <w:color w:val="auto"/>
        </w:rPr>
        <w:t>评价等级</w:t>
      </w:r>
    </w:p>
    <w:p w14:paraId="00AC5E24" w14:textId="77777777" w:rsidR="0055605A" w:rsidRPr="00A964FF" w:rsidRDefault="0055605A" w:rsidP="0055605A">
      <w:pPr>
        <w:pStyle w:val="00"/>
        <w:rPr>
          <w:rFonts w:ascii="Calibri" w:hAnsi="Calibri"/>
          <w:color w:val="auto"/>
        </w:rPr>
      </w:pPr>
      <w:r w:rsidRPr="00A964FF">
        <w:rPr>
          <w:rFonts w:ascii="Calibri" w:hAnsi="Calibri"/>
          <w:color w:val="auto"/>
        </w:rPr>
        <w:t>根据环境影响评价技术导则中关于评价等级划分的规定，本项目大气环境、地表水环境、</w:t>
      </w:r>
      <w:r w:rsidRPr="00A964FF">
        <w:rPr>
          <w:rFonts w:ascii="Calibri" w:hAnsi="Calibri" w:hint="eastAsia"/>
          <w:color w:val="auto"/>
        </w:rPr>
        <w:t>地下水、</w:t>
      </w:r>
      <w:r w:rsidRPr="00A964FF">
        <w:rPr>
          <w:rFonts w:ascii="Calibri" w:hAnsi="Calibri"/>
          <w:color w:val="auto"/>
        </w:rPr>
        <w:t>声环境</w:t>
      </w:r>
      <w:r w:rsidRPr="00A964FF">
        <w:rPr>
          <w:rFonts w:ascii="Calibri" w:hAnsi="Calibri" w:hint="eastAsia"/>
          <w:color w:val="auto"/>
        </w:rPr>
        <w:t>、土壤环境、环境风险</w:t>
      </w:r>
      <w:r w:rsidRPr="00A964FF">
        <w:rPr>
          <w:rFonts w:ascii="Calibri" w:hAnsi="Calibri"/>
          <w:color w:val="auto"/>
        </w:rPr>
        <w:t>评价等级的划分如下：</w:t>
      </w:r>
    </w:p>
    <w:p w14:paraId="6FA43376" w14:textId="77777777" w:rsidR="0055605A" w:rsidRPr="00A964FF" w:rsidRDefault="0055605A" w:rsidP="0055605A">
      <w:pPr>
        <w:pStyle w:val="00"/>
        <w:rPr>
          <w:rFonts w:ascii="Calibri" w:hAnsi="Calibri"/>
          <w:b/>
          <w:color w:val="auto"/>
        </w:rPr>
      </w:pPr>
      <w:r w:rsidRPr="00A964FF">
        <w:rPr>
          <w:rFonts w:ascii="Calibri" w:hAnsi="Calibri" w:hint="eastAsia"/>
          <w:b/>
          <w:color w:val="auto"/>
        </w:rPr>
        <w:t>1</w:t>
      </w:r>
      <w:r w:rsidRPr="00A964FF">
        <w:rPr>
          <w:rFonts w:ascii="Calibri" w:hAnsi="Calibri" w:hint="eastAsia"/>
          <w:b/>
          <w:color w:val="auto"/>
        </w:rPr>
        <w:t>、环境空气评价等级</w:t>
      </w:r>
    </w:p>
    <w:p w14:paraId="09573267" w14:textId="77777777" w:rsidR="0055605A" w:rsidRPr="00FC1E23" w:rsidRDefault="0055605A" w:rsidP="00FC1E23">
      <w:pPr>
        <w:pStyle w:val="00"/>
        <w:rPr>
          <w:rFonts w:ascii="Calibri" w:hAnsi="Calibri"/>
          <w:caps/>
          <w:color w:val="auto"/>
          <w:szCs w:val="21"/>
        </w:rPr>
      </w:pPr>
      <w:r w:rsidRPr="00A964FF">
        <w:rPr>
          <w:rFonts w:ascii="Calibri" w:hAnsi="Calibri"/>
          <w:color w:val="auto"/>
        </w:rPr>
        <w:t>根据《环境影响评价技术导则</w:t>
      </w:r>
      <w:r w:rsidRPr="00A964FF">
        <w:rPr>
          <w:rFonts w:ascii="Calibri" w:hAnsi="Calibri"/>
          <w:color w:val="auto"/>
        </w:rPr>
        <w:t xml:space="preserve"> </w:t>
      </w:r>
      <w:r w:rsidRPr="00A964FF">
        <w:rPr>
          <w:rFonts w:ascii="Calibri" w:hAnsi="Calibri"/>
          <w:color w:val="auto"/>
        </w:rPr>
        <w:t>大气环境》（</w:t>
      </w:r>
      <w:r w:rsidRPr="00A964FF">
        <w:rPr>
          <w:rFonts w:ascii="Calibri" w:hAnsi="Calibri"/>
          <w:color w:val="auto"/>
        </w:rPr>
        <w:t>HJ2.2-2018</w:t>
      </w:r>
      <w:r w:rsidRPr="00A964FF">
        <w:rPr>
          <w:rFonts w:ascii="Calibri" w:hAnsi="Calibri"/>
          <w:color w:val="auto"/>
        </w:rPr>
        <w:t>）</w:t>
      </w:r>
      <w:r w:rsidRPr="00A964FF">
        <w:rPr>
          <w:rFonts w:ascii="Calibri" w:hAnsi="Calibri" w:hint="eastAsia"/>
          <w:color w:val="auto"/>
        </w:rPr>
        <w:t>规定，进行环境空气评</w:t>
      </w:r>
      <w:r w:rsidRPr="00A964FF">
        <w:rPr>
          <w:rFonts w:ascii="Calibri" w:hAnsi="Calibri" w:hint="eastAsia"/>
          <w:color w:val="auto"/>
        </w:rPr>
        <w:lastRenderedPageBreak/>
        <w:t>价工作等级的划分。根据项目污染源初步调查结果，</w:t>
      </w:r>
      <w:r w:rsidRPr="00AF4624">
        <w:rPr>
          <w:rFonts w:ascii="Calibri" w:hAnsi="Calibri" w:hint="eastAsia"/>
          <w:color w:val="auto"/>
        </w:rPr>
        <w:t>选择主要大气污染物为</w:t>
      </w:r>
      <w:r w:rsidR="00895210" w:rsidRPr="00895210">
        <w:rPr>
          <w:rFonts w:ascii="Calibri" w:hAnsi="Calibri" w:hint="eastAsia"/>
          <w:caps/>
          <w:color w:val="auto"/>
          <w:szCs w:val="21"/>
        </w:rPr>
        <w:t>颗粒物（</w:t>
      </w:r>
      <w:r w:rsidR="00895210" w:rsidRPr="00895210">
        <w:rPr>
          <w:rFonts w:ascii="Calibri" w:hAnsi="Calibri" w:hint="eastAsia"/>
          <w:caps/>
          <w:color w:val="auto"/>
          <w:szCs w:val="21"/>
        </w:rPr>
        <w:t>PM</w:t>
      </w:r>
      <w:r w:rsidR="00895210" w:rsidRPr="00895210">
        <w:rPr>
          <w:rFonts w:ascii="Calibri" w:hAnsi="Calibri" w:hint="eastAsia"/>
          <w:caps/>
          <w:color w:val="auto"/>
          <w:szCs w:val="21"/>
          <w:vertAlign w:val="subscript"/>
        </w:rPr>
        <w:t>10</w:t>
      </w:r>
      <w:r w:rsidR="00895210" w:rsidRPr="00895210">
        <w:rPr>
          <w:rFonts w:ascii="Calibri" w:hAnsi="Calibri" w:hint="eastAsia"/>
          <w:caps/>
          <w:color w:val="auto"/>
          <w:szCs w:val="21"/>
        </w:rPr>
        <w:t>、</w:t>
      </w:r>
      <w:r w:rsidR="00895210" w:rsidRPr="00895210">
        <w:rPr>
          <w:rFonts w:ascii="Calibri" w:hAnsi="Calibri" w:hint="eastAsia"/>
          <w:caps/>
          <w:color w:val="auto"/>
          <w:szCs w:val="21"/>
        </w:rPr>
        <w:t>PM</w:t>
      </w:r>
      <w:r w:rsidR="00895210" w:rsidRPr="00895210">
        <w:rPr>
          <w:rFonts w:ascii="Calibri" w:hAnsi="Calibri" w:hint="eastAsia"/>
          <w:caps/>
          <w:color w:val="auto"/>
          <w:szCs w:val="21"/>
          <w:vertAlign w:val="subscript"/>
        </w:rPr>
        <w:t>2.5</w:t>
      </w:r>
      <w:r w:rsidR="00895210" w:rsidRPr="00895210">
        <w:rPr>
          <w:rFonts w:ascii="Calibri" w:hAnsi="Calibri" w:hint="eastAsia"/>
          <w:caps/>
          <w:color w:val="auto"/>
          <w:szCs w:val="21"/>
        </w:rPr>
        <w:t>）、非甲烷总烃、</w:t>
      </w:r>
      <w:r w:rsidR="00FC1E23">
        <w:rPr>
          <w:rFonts w:ascii="Calibri" w:hAnsi="Calibri" w:hint="eastAsia"/>
          <w:caps/>
          <w:color w:val="auto"/>
          <w:szCs w:val="21"/>
        </w:rPr>
        <w:t>己二胺、</w:t>
      </w:r>
      <w:r w:rsidR="00895210" w:rsidRPr="00895210">
        <w:rPr>
          <w:rFonts w:ascii="Calibri" w:hAnsi="Calibri" w:hint="eastAsia"/>
          <w:caps/>
          <w:color w:val="auto"/>
          <w:szCs w:val="21"/>
        </w:rPr>
        <w:t>氨、</w:t>
      </w:r>
      <w:r w:rsidR="00895210" w:rsidRPr="00895210">
        <w:rPr>
          <w:rFonts w:ascii="Calibri" w:hAnsi="Calibri"/>
          <w:caps/>
          <w:color w:val="auto"/>
          <w:szCs w:val="21"/>
        </w:rPr>
        <w:t>H</w:t>
      </w:r>
      <w:r w:rsidR="00895210" w:rsidRPr="00895210">
        <w:rPr>
          <w:rFonts w:ascii="Calibri" w:hAnsi="Calibri"/>
          <w:caps/>
          <w:color w:val="auto"/>
          <w:szCs w:val="21"/>
          <w:vertAlign w:val="subscript"/>
        </w:rPr>
        <w:t>2</w:t>
      </w:r>
      <w:r w:rsidR="00895210" w:rsidRPr="00895210">
        <w:rPr>
          <w:rFonts w:ascii="Calibri" w:hAnsi="Calibri"/>
          <w:caps/>
          <w:color w:val="auto"/>
          <w:szCs w:val="21"/>
        </w:rPr>
        <w:t>S</w:t>
      </w:r>
      <w:r w:rsidR="00A42E0F" w:rsidRPr="00AF4624">
        <w:rPr>
          <w:rFonts w:ascii="Calibri" w:hAnsi="Calibri" w:hint="eastAsia"/>
          <w:caps/>
          <w:color w:val="auto"/>
          <w:szCs w:val="21"/>
        </w:rPr>
        <w:t>，</w:t>
      </w:r>
      <w:r w:rsidR="00F60014" w:rsidRPr="00AF4624">
        <w:rPr>
          <w:rFonts w:ascii="Calibri" w:hAnsi="Calibri" w:hint="eastAsia"/>
          <w:caps/>
          <w:color w:val="auto"/>
          <w:szCs w:val="21"/>
        </w:rPr>
        <w:t>分</w:t>
      </w:r>
      <w:r w:rsidRPr="00A964FF">
        <w:rPr>
          <w:rFonts w:ascii="Calibri" w:hAnsi="Calibri" w:hint="eastAsia"/>
          <w:color w:val="auto"/>
        </w:rPr>
        <w:t>别计算每一种污染物的最大地面空气质量浓度占标率</w:t>
      </w:r>
      <w:r w:rsidRPr="00A964FF">
        <w:rPr>
          <w:rFonts w:ascii="Calibri" w:hAnsi="Calibri" w:hint="eastAsia"/>
          <w:color w:val="auto"/>
        </w:rPr>
        <w:t>P</w:t>
      </w:r>
      <w:r w:rsidRPr="00A964FF">
        <w:rPr>
          <w:rFonts w:ascii="Calibri" w:hAnsi="Calibri" w:hint="eastAsia"/>
          <w:color w:val="auto"/>
          <w:vertAlign w:val="subscript"/>
        </w:rPr>
        <w:t>i</w:t>
      </w:r>
      <w:r w:rsidRPr="00A964FF">
        <w:rPr>
          <w:rFonts w:ascii="Calibri" w:hAnsi="Calibri" w:hint="eastAsia"/>
          <w:color w:val="auto"/>
        </w:rPr>
        <w:t>（第</w:t>
      </w:r>
      <w:r w:rsidRPr="00A964FF">
        <w:rPr>
          <w:rFonts w:ascii="Calibri" w:hAnsi="Calibri" w:hint="eastAsia"/>
          <w:color w:val="auto"/>
        </w:rPr>
        <w:t>i</w:t>
      </w:r>
      <w:r w:rsidRPr="00A964FF">
        <w:rPr>
          <w:rFonts w:ascii="Calibri" w:hAnsi="Calibri" w:hint="eastAsia"/>
          <w:color w:val="auto"/>
        </w:rPr>
        <w:t>个污染物，简称“最大浓度占标率”），及第</w:t>
      </w:r>
      <w:r w:rsidRPr="00A964FF">
        <w:rPr>
          <w:rFonts w:ascii="Calibri" w:hAnsi="Calibri" w:hint="eastAsia"/>
          <w:color w:val="auto"/>
        </w:rPr>
        <w:t>i</w:t>
      </w:r>
      <w:r w:rsidRPr="00A964FF">
        <w:rPr>
          <w:rFonts w:ascii="Calibri" w:hAnsi="Calibri" w:hint="eastAsia"/>
          <w:color w:val="auto"/>
        </w:rPr>
        <w:t>个污染物的地面空气质量浓度达到标准值的</w:t>
      </w:r>
      <w:r w:rsidRPr="00A964FF">
        <w:rPr>
          <w:rFonts w:ascii="Calibri" w:hAnsi="Calibri" w:hint="eastAsia"/>
          <w:color w:val="auto"/>
        </w:rPr>
        <w:t>10%</w:t>
      </w:r>
      <w:r w:rsidRPr="00A964FF">
        <w:rPr>
          <w:rFonts w:ascii="Calibri" w:hAnsi="Calibri" w:hint="eastAsia"/>
          <w:color w:val="auto"/>
        </w:rPr>
        <w:t>时所对应的最远距离</w:t>
      </w:r>
      <w:r w:rsidRPr="00A964FF">
        <w:rPr>
          <w:rFonts w:ascii="Calibri" w:hAnsi="Calibri" w:hint="eastAsia"/>
          <w:color w:val="auto"/>
        </w:rPr>
        <w:t>D</w:t>
      </w:r>
      <w:r w:rsidRPr="00A964FF">
        <w:rPr>
          <w:rFonts w:ascii="Calibri" w:hAnsi="Calibri" w:hint="eastAsia"/>
          <w:color w:val="auto"/>
          <w:vertAlign w:val="subscript"/>
        </w:rPr>
        <w:t>10%</w:t>
      </w:r>
      <w:r w:rsidRPr="00A964FF">
        <w:rPr>
          <w:rFonts w:ascii="Calibri" w:hAnsi="Calibri" w:hint="eastAsia"/>
          <w:color w:val="auto"/>
        </w:rPr>
        <w:t>。其中</w:t>
      </w:r>
      <w:r w:rsidRPr="00A964FF">
        <w:rPr>
          <w:rFonts w:ascii="Calibri" w:hAnsi="Calibri" w:hint="eastAsia"/>
          <w:color w:val="auto"/>
        </w:rPr>
        <w:t>P</w:t>
      </w:r>
      <w:r w:rsidRPr="00A964FF">
        <w:rPr>
          <w:rFonts w:ascii="Calibri" w:hAnsi="Calibri" w:hint="eastAsia"/>
          <w:color w:val="auto"/>
          <w:vertAlign w:val="subscript"/>
        </w:rPr>
        <w:t>i</w:t>
      </w:r>
      <w:r w:rsidRPr="00A964FF">
        <w:rPr>
          <w:rFonts w:ascii="Calibri" w:hAnsi="Calibri" w:hint="eastAsia"/>
          <w:color w:val="auto"/>
        </w:rPr>
        <w:t>定义为：</w:t>
      </w:r>
    </w:p>
    <w:p w14:paraId="71355416" w14:textId="77777777" w:rsidR="0055605A" w:rsidRPr="00A964FF" w:rsidRDefault="0055605A" w:rsidP="000E33B8">
      <w:pPr>
        <w:pStyle w:val="00"/>
        <w:ind w:firstLineChars="500" w:firstLine="1200"/>
        <w:rPr>
          <w:rFonts w:ascii="Calibri" w:hAnsi="Calibri"/>
          <w:color w:val="auto"/>
        </w:rPr>
      </w:pPr>
      <w:r w:rsidRPr="00A964FF">
        <w:rPr>
          <w:rFonts w:ascii="Calibri" w:hAnsi="Calibri"/>
          <w:color w:val="auto"/>
        </w:rPr>
        <w:t>P</w:t>
      </w:r>
      <w:r w:rsidRPr="00A964FF">
        <w:rPr>
          <w:rFonts w:ascii="Calibri" w:hAnsi="Calibri"/>
          <w:color w:val="auto"/>
          <w:vertAlign w:val="subscript"/>
        </w:rPr>
        <w:t>i</w:t>
      </w:r>
      <w:r w:rsidRPr="00A964FF">
        <w:rPr>
          <w:rFonts w:ascii="Calibri" w:hAnsi="Calibri"/>
          <w:color w:val="auto"/>
        </w:rPr>
        <w:t xml:space="preserve"> =</w:t>
      </w:r>
      <w:r w:rsidRPr="00A964FF">
        <w:rPr>
          <w:rFonts w:ascii="Calibri" w:hAnsi="Calibri" w:hint="eastAsia"/>
          <w:color w:val="auto"/>
        </w:rPr>
        <w:t>（</w:t>
      </w:r>
      <w:r w:rsidRPr="00A964FF">
        <w:rPr>
          <w:rFonts w:ascii="Calibri" w:hAnsi="Calibri"/>
          <w:color w:val="auto"/>
        </w:rPr>
        <w:t>C</w:t>
      </w:r>
      <w:r w:rsidRPr="00A964FF">
        <w:rPr>
          <w:rFonts w:ascii="Calibri" w:hAnsi="Calibri"/>
          <w:color w:val="auto"/>
          <w:vertAlign w:val="subscript"/>
        </w:rPr>
        <w:t>i</w:t>
      </w:r>
      <w:r w:rsidRPr="00A964FF">
        <w:rPr>
          <w:rFonts w:ascii="Calibri" w:hAnsi="Calibri"/>
          <w:color w:val="auto"/>
        </w:rPr>
        <w:t>/C</w:t>
      </w:r>
      <w:r w:rsidRPr="00A964FF">
        <w:rPr>
          <w:rFonts w:ascii="Calibri" w:hAnsi="Calibri" w:hint="eastAsia"/>
          <w:color w:val="auto"/>
          <w:vertAlign w:val="subscript"/>
        </w:rPr>
        <w:t>0</w:t>
      </w:r>
      <w:r w:rsidRPr="00A964FF">
        <w:rPr>
          <w:rFonts w:ascii="Calibri" w:hAnsi="Calibri"/>
          <w:color w:val="auto"/>
          <w:vertAlign w:val="subscript"/>
        </w:rPr>
        <w:t>i</w:t>
      </w:r>
      <w:r w:rsidRPr="00A964FF">
        <w:rPr>
          <w:rFonts w:ascii="Calibri" w:hAnsi="Calibri" w:hint="eastAsia"/>
          <w:color w:val="auto"/>
        </w:rPr>
        <w:t>）</w:t>
      </w:r>
      <w:r w:rsidRPr="00A964FF">
        <w:rPr>
          <w:rFonts w:ascii="Calibri" w:hAnsi="Calibri"/>
          <w:color w:val="auto"/>
        </w:rPr>
        <w:t>×100%</w:t>
      </w:r>
    </w:p>
    <w:p w14:paraId="25E7B273" w14:textId="77777777" w:rsidR="0055605A" w:rsidRPr="00A964FF" w:rsidRDefault="0055605A" w:rsidP="0055605A">
      <w:pPr>
        <w:pStyle w:val="00"/>
        <w:rPr>
          <w:rFonts w:ascii="Calibri" w:hAnsi="Calibri"/>
          <w:color w:val="auto"/>
        </w:rPr>
      </w:pPr>
      <w:r w:rsidRPr="00A964FF">
        <w:rPr>
          <w:rFonts w:ascii="Calibri" w:hAnsi="Calibri" w:hint="eastAsia"/>
          <w:color w:val="auto"/>
        </w:rPr>
        <w:t>式中：</w:t>
      </w:r>
      <w:r w:rsidRPr="00A964FF">
        <w:rPr>
          <w:rFonts w:ascii="Calibri" w:hAnsi="Calibri" w:hint="eastAsia"/>
          <w:color w:val="auto"/>
        </w:rPr>
        <w:t>P</w:t>
      </w:r>
      <w:r w:rsidRPr="00A964FF">
        <w:rPr>
          <w:rFonts w:ascii="Calibri" w:hAnsi="Calibri" w:hint="eastAsia"/>
          <w:color w:val="auto"/>
          <w:vertAlign w:val="subscript"/>
        </w:rPr>
        <w:t>i</w:t>
      </w:r>
      <w:r w:rsidRPr="00A964FF">
        <w:rPr>
          <w:rFonts w:ascii="Calibri" w:hAnsi="Calibri" w:hint="eastAsia"/>
          <w:color w:val="auto"/>
        </w:rPr>
        <w:t>——第</w:t>
      </w:r>
      <w:r w:rsidRPr="00A964FF">
        <w:rPr>
          <w:rFonts w:ascii="Calibri" w:hAnsi="Calibri" w:hint="eastAsia"/>
          <w:color w:val="auto"/>
        </w:rPr>
        <w:t>i</w:t>
      </w:r>
      <w:r w:rsidRPr="00A964FF">
        <w:rPr>
          <w:rFonts w:ascii="Calibri" w:hAnsi="Calibri" w:hint="eastAsia"/>
          <w:color w:val="auto"/>
        </w:rPr>
        <w:t>个污染物的最大地面空气质量浓度占标率，</w:t>
      </w:r>
      <w:r w:rsidRPr="00A964FF">
        <w:rPr>
          <w:rFonts w:ascii="Calibri" w:hAnsi="Calibri" w:hint="eastAsia"/>
          <w:color w:val="auto"/>
        </w:rPr>
        <w:t>%</w:t>
      </w:r>
      <w:r w:rsidRPr="00A964FF">
        <w:rPr>
          <w:rFonts w:ascii="Calibri" w:hAnsi="Calibri" w:hint="eastAsia"/>
          <w:color w:val="auto"/>
        </w:rPr>
        <w:t>；</w:t>
      </w:r>
    </w:p>
    <w:p w14:paraId="44B5B354" w14:textId="77777777" w:rsidR="0055605A" w:rsidRPr="00A964FF" w:rsidRDefault="0055605A" w:rsidP="000E33B8">
      <w:pPr>
        <w:pStyle w:val="00"/>
        <w:ind w:firstLineChars="500" w:firstLine="1200"/>
        <w:rPr>
          <w:rFonts w:ascii="Calibri" w:hAnsi="Calibri"/>
          <w:color w:val="auto"/>
        </w:rPr>
      </w:pPr>
      <w:r w:rsidRPr="00A964FF">
        <w:rPr>
          <w:rFonts w:ascii="Calibri" w:hAnsi="Calibri" w:hint="eastAsia"/>
          <w:color w:val="auto"/>
        </w:rPr>
        <w:t>C</w:t>
      </w:r>
      <w:r w:rsidRPr="00A964FF">
        <w:rPr>
          <w:rFonts w:ascii="Calibri" w:hAnsi="Calibri" w:hint="eastAsia"/>
          <w:color w:val="auto"/>
          <w:vertAlign w:val="subscript"/>
        </w:rPr>
        <w:t>i</w:t>
      </w:r>
      <w:r w:rsidRPr="00A964FF">
        <w:rPr>
          <w:rFonts w:ascii="Calibri" w:hAnsi="Calibri" w:hint="eastAsia"/>
          <w:color w:val="auto"/>
        </w:rPr>
        <w:t>——采用估算模型计算出的第</w:t>
      </w:r>
      <w:r w:rsidRPr="00A964FF">
        <w:rPr>
          <w:rFonts w:ascii="Calibri" w:hAnsi="Calibri" w:hint="eastAsia"/>
          <w:color w:val="auto"/>
        </w:rPr>
        <w:t>i</w:t>
      </w:r>
      <w:r w:rsidRPr="00A964FF">
        <w:rPr>
          <w:rFonts w:ascii="Calibri" w:hAnsi="Calibri" w:hint="eastAsia"/>
          <w:color w:val="auto"/>
        </w:rPr>
        <w:t>个污染物的最大</w:t>
      </w:r>
      <w:r w:rsidRPr="00A964FF">
        <w:rPr>
          <w:rFonts w:ascii="Calibri" w:hAnsi="Calibri" w:hint="eastAsia"/>
          <w:color w:val="auto"/>
        </w:rPr>
        <w:t>1h</w:t>
      </w:r>
      <w:r w:rsidRPr="00A964FF">
        <w:rPr>
          <w:rFonts w:ascii="Calibri" w:hAnsi="Calibri" w:hint="eastAsia"/>
          <w:color w:val="auto"/>
        </w:rPr>
        <w:t>地面空气质量浓</w:t>
      </w:r>
      <w:r w:rsidRPr="00A964FF">
        <w:rPr>
          <w:rFonts w:ascii="Calibri" w:hAnsi="Calibri"/>
          <w:color w:val="auto"/>
        </w:rPr>
        <w:t>度</w:t>
      </w:r>
      <w:r w:rsidRPr="00A964FF">
        <w:rPr>
          <w:rFonts w:ascii="Calibri"/>
          <w:color w:val="auto"/>
        </w:rPr>
        <w:t>，</w:t>
      </w:r>
      <w:r w:rsidRPr="00A964FF">
        <w:rPr>
          <w:rFonts w:ascii="Calibri" w:hAnsi="Calibri"/>
          <w:color w:val="auto"/>
        </w:rPr>
        <w:t>μg/m³</w:t>
      </w:r>
      <w:r w:rsidRPr="00A964FF">
        <w:rPr>
          <w:rFonts w:ascii="Calibri"/>
          <w:color w:val="auto"/>
        </w:rPr>
        <w:t>；</w:t>
      </w:r>
    </w:p>
    <w:p w14:paraId="09AD7749" w14:textId="77777777" w:rsidR="0055605A" w:rsidRPr="00A964FF" w:rsidRDefault="0055605A" w:rsidP="000E33B8">
      <w:pPr>
        <w:pStyle w:val="00"/>
        <w:ind w:firstLineChars="500" w:firstLine="1200"/>
        <w:rPr>
          <w:rFonts w:ascii="Calibri" w:hAnsi="Calibri"/>
          <w:color w:val="auto"/>
        </w:rPr>
      </w:pPr>
      <w:r w:rsidRPr="00A964FF">
        <w:rPr>
          <w:rFonts w:ascii="Calibri" w:hAnsi="Calibri" w:hint="eastAsia"/>
          <w:color w:val="auto"/>
        </w:rPr>
        <w:t>C</w:t>
      </w:r>
      <w:r w:rsidRPr="00A964FF">
        <w:rPr>
          <w:rFonts w:ascii="Calibri" w:hAnsi="Calibri" w:hint="eastAsia"/>
          <w:color w:val="auto"/>
          <w:vertAlign w:val="subscript"/>
        </w:rPr>
        <w:t>0i</w:t>
      </w:r>
      <w:r w:rsidRPr="00A964FF">
        <w:rPr>
          <w:rFonts w:ascii="Calibri" w:hAnsi="Calibri" w:hint="eastAsia"/>
          <w:color w:val="auto"/>
        </w:rPr>
        <w:t>——第</w:t>
      </w:r>
      <w:r w:rsidRPr="00A964FF">
        <w:rPr>
          <w:rFonts w:ascii="Calibri" w:hAnsi="Calibri" w:hint="eastAsia"/>
          <w:color w:val="auto"/>
        </w:rPr>
        <w:t>i</w:t>
      </w:r>
      <w:r w:rsidRPr="00A964FF">
        <w:rPr>
          <w:rFonts w:ascii="Calibri" w:hAnsi="Calibri" w:hint="eastAsia"/>
          <w:color w:val="auto"/>
        </w:rPr>
        <w:t>个污染物的环境空气质量浓度标准，</w:t>
      </w:r>
      <w:r w:rsidRPr="00A964FF">
        <w:rPr>
          <w:rFonts w:ascii="Calibri" w:eastAsia="PMingLiU" w:hAnsi="Calibri"/>
          <w:color w:val="auto"/>
        </w:rPr>
        <w:t>μ</w:t>
      </w:r>
      <w:r w:rsidRPr="00A964FF">
        <w:rPr>
          <w:rFonts w:ascii="Calibri" w:hAnsi="Calibri" w:hint="eastAsia"/>
          <w:color w:val="auto"/>
        </w:rPr>
        <w:t>g/m</w:t>
      </w:r>
      <w:r w:rsidRPr="00A964FF">
        <w:rPr>
          <w:rFonts w:ascii="Calibri" w:hAnsi="Calibri" w:hint="eastAsia"/>
          <w:color w:val="auto"/>
        </w:rPr>
        <w:t>³。</w:t>
      </w:r>
    </w:p>
    <w:p w14:paraId="5EC5CFDC" w14:textId="77777777" w:rsidR="0055605A" w:rsidRPr="00A964FF" w:rsidRDefault="0055605A" w:rsidP="0055605A">
      <w:pPr>
        <w:pStyle w:val="00"/>
        <w:rPr>
          <w:rFonts w:ascii="Calibri" w:hAnsi="Calibri"/>
          <w:color w:val="auto"/>
        </w:rPr>
      </w:pPr>
      <w:r w:rsidRPr="00A964FF">
        <w:rPr>
          <w:rFonts w:ascii="Calibri" w:hAnsi="Calibri" w:hint="eastAsia"/>
          <w:color w:val="auto"/>
        </w:rPr>
        <w:t>其中</w:t>
      </w:r>
      <w:r w:rsidRPr="00A964FF">
        <w:rPr>
          <w:rFonts w:ascii="Calibri" w:hAnsi="Calibri" w:hint="eastAsia"/>
          <w:color w:val="auto"/>
        </w:rPr>
        <w:t>C</w:t>
      </w:r>
      <w:r w:rsidRPr="00A964FF">
        <w:rPr>
          <w:rFonts w:ascii="Calibri" w:hAnsi="Calibri" w:hint="eastAsia"/>
          <w:color w:val="auto"/>
          <w:vertAlign w:val="subscript"/>
        </w:rPr>
        <w:t>0i</w:t>
      </w:r>
      <w:r w:rsidRPr="00A964FF">
        <w:rPr>
          <w:rFonts w:ascii="Calibri" w:hAnsi="Calibri" w:hint="eastAsia"/>
          <w:color w:val="auto"/>
        </w:rPr>
        <w:t>一般选用</w:t>
      </w:r>
      <w:r w:rsidRPr="00A964FF">
        <w:rPr>
          <w:rFonts w:ascii="Calibri" w:hAnsi="Calibri" w:hint="eastAsia"/>
          <w:color w:val="auto"/>
        </w:rPr>
        <w:t>GB3095</w:t>
      </w:r>
      <w:r w:rsidRPr="00A964FF">
        <w:rPr>
          <w:rFonts w:ascii="Calibri" w:hAnsi="Calibri" w:hint="eastAsia"/>
          <w:color w:val="auto"/>
        </w:rPr>
        <w:t>中</w:t>
      </w:r>
      <w:r w:rsidRPr="00A964FF">
        <w:rPr>
          <w:rFonts w:ascii="Calibri" w:hAnsi="Calibri" w:hint="eastAsia"/>
          <w:color w:val="auto"/>
        </w:rPr>
        <w:t>1h</w:t>
      </w:r>
      <w:r w:rsidRPr="00A964FF">
        <w:rPr>
          <w:rFonts w:ascii="Calibri" w:hAnsi="Calibri" w:hint="eastAsia"/>
          <w:color w:val="auto"/>
        </w:rPr>
        <w:t>平均质量浓度的二级标准浓度限值，平均取样时间的二级标准的浓度限值。对于该标准中未包含的污染物，使用</w:t>
      </w:r>
      <w:r w:rsidRPr="00A964FF">
        <w:rPr>
          <w:rFonts w:ascii="Calibri" w:hAnsi="Calibri"/>
          <w:color w:val="auto"/>
        </w:rPr>
        <w:t>HJ2.2-2018</w:t>
      </w:r>
      <w:r w:rsidRPr="00A964FF">
        <w:rPr>
          <w:rFonts w:ascii="Calibri" w:hAnsi="Calibri" w:hint="eastAsia"/>
          <w:color w:val="auto"/>
        </w:rPr>
        <w:t>中</w:t>
      </w:r>
      <w:r w:rsidRPr="00A964FF">
        <w:rPr>
          <w:rFonts w:ascii="Calibri" w:hAnsi="Calibri" w:hint="eastAsia"/>
          <w:color w:val="auto"/>
        </w:rPr>
        <w:t>5.2</w:t>
      </w:r>
      <w:r w:rsidRPr="00A964FF">
        <w:rPr>
          <w:rFonts w:ascii="Calibri" w:hAnsi="Calibri" w:hint="eastAsia"/>
          <w:color w:val="auto"/>
        </w:rPr>
        <w:t>（评价标准确定）确定的各评价因子</w:t>
      </w:r>
      <w:r w:rsidRPr="00A964FF">
        <w:rPr>
          <w:rFonts w:ascii="Calibri" w:hAnsi="Calibri" w:hint="eastAsia"/>
          <w:color w:val="auto"/>
        </w:rPr>
        <w:t>1h</w:t>
      </w:r>
      <w:r w:rsidRPr="00A964FF">
        <w:rPr>
          <w:rFonts w:ascii="Calibri" w:hAnsi="Calibri" w:hint="eastAsia"/>
          <w:color w:val="auto"/>
        </w:rPr>
        <w:t>平均质量浓度限值。对仅有</w:t>
      </w:r>
      <w:r w:rsidRPr="00A964FF">
        <w:rPr>
          <w:rFonts w:ascii="Calibri" w:hAnsi="Calibri" w:hint="eastAsia"/>
          <w:color w:val="auto"/>
        </w:rPr>
        <w:t>8h</w:t>
      </w:r>
      <w:r w:rsidRPr="00A964FF">
        <w:rPr>
          <w:rFonts w:ascii="Calibri" w:hAnsi="Calibri" w:hint="eastAsia"/>
          <w:color w:val="auto"/>
        </w:rPr>
        <w:t>平均质量浓度限值、日平均质量浓度限值或年平均质量浓度限值的，可分别按</w:t>
      </w:r>
      <w:r w:rsidRPr="00A964FF">
        <w:rPr>
          <w:rFonts w:ascii="Calibri" w:hAnsi="Calibri" w:hint="eastAsia"/>
          <w:color w:val="auto"/>
        </w:rPr>
        <w:t>2</w:t>
      </w:r>
      <w:r w:rsidRPr="00A964FF">
        <w:rPr>
          <w:rFonts w:ascii="Calibri" w:hAnsi="Calibri" w:hint="eastAsia"/>
          <w:color w:val="auto"/>
        </w:rPr>
        <w:t>倍、</w:t>
      </w:r>
      <w:r w:rsidRPr="00A964FF">
        <w:rPr>
          <w:rFonts w:ascii="Calibri" w:hAnsi="Calibri" w:hint="eastAsia"/>
          <w:color w:val="auto"/>
        </w:rPr>
        <w:t>3</w:t>
      </w:r>
      <w:r w:rsidRPr="00A964FF">
        <w:rPr>
          <w:rFonts w:ascii="Calibri" w:hAnsi="Calibri" w:hint="eastAsia"/>
          <w:color w:val="auto"/>
        </w:rPr>
        <w:t>倍、</w:t>
      </w:r>
      <w:r w:rsidRPr="00A964FF">
        <w:rPr>
          <w:rFonts w:ascii="Calibri" w:hAnsi="Calibri" w:hint="eastAsia"/>
          <w:color w:val="auto"/>
        </w:rPr>
        <w:t>6</w:t>
      </w:r>
      <w:r w:rsidRPr="00A964FF">
        <w:rPr>
          <w:rFonts w:ascii="Calibri" w:hAnsi="Calibri" w:hint="eastAsia"/>
          <w:color w:val="auto"/>
        </w:rPr>
        <w:t>倍折算为</w:t>
      </w:r>
      <w:r w:rsidRPr="00A964FF">
        <w:rPr>
          <w:rFonts w:ascii="Calibri" w:hAnsi="Calibri" w:hint="eastAsia"/>
          <w:color w:val="auto"/>
        </w:rPr>
        <w:t>1h</w:t>
      </w:r>
      <w:r w:rsidRPr="00A964FF">
        <w:rPr>
          <w:rFonts w:ascii="Calibri" w:hAnsi="Calibri" w:hint="eastAsia"/>
          <w:color w:val="auto"/>
        </w:rPr>
        <w:t>平均质量浓度限值。评价工作等级的划分依据见表</w:t>
      </w:r>
      <w:r w:rsidRPr="00A964FF">
        <w:rPr>
          <w:rFonts w:ascii="Calibri" w:hAnsi="Calibri" w:hint="eastAsia"/>
          <w:color w:val="auto"/>
        </w:rPr>
        <w:t>1</w:t>
      </w:r>
      <w:r w:rsidR="001E0BBA" w:rsidRPr="00A964FF">
        <w:rPr>
          <w:rFonts w:ascii="Calibri" w:hAnsi="Calibri" w:hint="eastAsia"/>
          <w:color w:val="auto"/>
        </w:rPr>
        <w:t>.6</w:t>
      </w:r>
      <w:r w:rsidRPr="00A964FF">
        <w:rPr>
          <w:rFonts w:ascii="Calibri" w:hAnsi="Calibri" w:hint="eastAsia"/>
          <w:color w:val="auto"/>
        </w:rPr>
        <w:t>-</w:t>
      </w:r>
      <w:r w:rsidR="001E0BBA" w:rsidRPr="00A964FF">
        <w:rPr>
          <w:rFonts w:ascii="Calibri" w:hAnsi="Calibri" w:hint="eastAsia"/>
          <w:color w:val="auto"/>
        </w:rPr>
        <w:t>1</w:t>
      </w:r>
      <w:r w:rsidRPr="00A964FF">
        <w:rPr>
          <w:rFonts w:ascii="Calibri" w:hAnsi="Calibri" w:hint="eastAsia"/>
          <w:color w:val="auto"/>
        </w:rPr>
        <w:t>。</w:t>
      </w:r>
    </w:p>
    <w:p w14:paraId="65C4086E" w14:textId="77777777" w:rsidR="0055605A" w:rsidRPr="00A964FF" w:rsidRDefault="0055605A" w:rsidP="0055605A">
      <w:pPr>
        <w:pStyle w:val="00"/>
        <w:rPr>
          <w:rFonts w:ascii="Calibri" w:eastAsia="黑体" w:hAnsi="Calibri"/>
          <w:color w:val="auto"/>
        </w:rPr>
      </w:pPr>
      <w:r w:rsidRPr="00A964FF">
        <w:rPr>
          <w:rFonts w:ascii="Calibri" w:eastAsia="黑体" w:hAnsi="Calibri"/>
          <w:color w:val="auto"/>
        </w:rPr>
        <w:t>表</w:t>
      </w:r>
      <w:r w:rsidRPr="00A964FF">
        <w:rPr>
          <w:rFonts w:ascii="Calibri" w:eastAsia="黑体" w:hAnsi="Calibri"/>
          <w:color w:val="auto"/>
        </w:rPr>
        <w:t>1</w:t>
      </w:r>
      <w:r w:rsidR="001E0BBA" w:rsidRPr="00A964FF">
        <w:rPr>
          <w:rFonts w:ascii="Calibri" w:eastAsia="黑体" w:hAnsi="Calibri" w:hint="eastAsia"/>
          <w:color w:val="auto"/>
        </w:rPr>
        <w:t>.6</w:t>
      </w:r>
      <w:r w:rsidRPr="00A964FF">
        <w:rPr>
          <w:rFonts w:ascii="Calibri" w:eastAsia="黑体" w:hAnsi="Calibri"/>
          <w:color w:val="auto"/>
        </w:rPr>
        <w:t>-</w:t>
      </w:r>
      <w:r w:rsidR="001E0BBA" w:rsidRPr="00A964FF">
        <w:rPr>
          <w:rFonts w:ascii="Calibri" w:eastAsia="黑体" w:hAnsi="Calibri" w:hint="eastAsia"/>
          <w:color w:val="auto"/>
        </w:rPr>
        <w:t>1</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大气环境影响评价工作等级划分依据</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000"/>
        <w:gridCol w:w="5700"/>
      </w:tblGrid>
      <w:tr w:rsidR="0055605A" w:rsidRPr="00A964FF" w14:paraId="290E0559" w14:textId="77777777" w:rsidTr="0068330E">
        <w:trPr>
          <w:trHeight w:val="340"/>
          <w:jc w:val="center"/>
        </w:trPr>
        <w:tc>
          <w:tcPr>
            <w:tcW w:w="1724" w:type="pct"/>
            <w:vAlign w:val="center"/>
          </w:tcPr>
          <w:p w14:paraId="2C84582D" w14:textId="77777777" w:rsidR="0055605A" w:rsidRPr="00A964FF" w:rsidRDefault="0055605A" w:rsidP="003E0795">
            <w:pPr>
              <w:pStyle w:val="af3"/>
              <w:rPr>
                <w:color w:val="auto"/>
              </w:rPr>
            </w:pPr>
            <w:r w:rsidRPr="00A964FF">
              <w:rPr>
                <w:color w:val="auto"/>
              </w:rPr>
              <w:t>评价工作等级</w:t>
            </w:r>
          </w:p>
        </w:tc>
        <w:tc>
          <w:tcPr>
            <w:tcW w:w="3276" w:type="pct"/>
            <w:vAlign w:val="center"/>
          </w:tcPr>
          <w:p w14:paraId="6C37859F" w14:textId="77777777" w:rsidR="0055605A" w:rsidRPr="00A964FF" w:rsidRDefault="0055605A" w:rsidP="003E0795">
            <w:pPr>
              <w:pStyle w:val="af3"/>
              <w:rPr>
                <w:color w:val="auto"/>
              </w:rPr>
            </w:pPr>
            <w:r w:rsidRPr="00A964FF">
              <w:rPr>
                <w:color w:val="auto"/>
              </w:rPr>
              <w:t>评价工作分级判据</w:t>
            </w:r>
          </w:p>
        </w:tc>
      </w:tr>
      <w:tr w:rsidR="0055605A" w:rsidRPr="00A964FF" w14:paraId="3A6420C0" w14:textId="77777777" w:rsidTr="0068330E">
        <w:trPr>
          <w:trHeight w:val="340"/>
          <w:jc w:val="center"/>
        </w:trPr>
        <w:tc>
          <w:tcPr>
            <w:tcW w:w="1724" w:type="pct"/>
            <w:vAlign w:val="center"/>
          </w:tcPr>
          <w:p w14:paraId="19EFE00E" w14:textId="77777777" w:rsidR="0055605A" w:rsidRPr="00A964FF" w:rsidRDefault="0055605A" w:rsidP="003E0795">
            <w:pPr>
              <w:pStyle w:val="af3"/>
              <w:rPr>
                <w:color w:val="auto"/>
              </w:rPr>
            </w:pPr>
            <w:r w:rsidRPr="00A964FF">
              <w:rPr>
                <w:color w:val="auto"/>
              </w:rPr>
              <w:t>一级</w:t>
            </w:r>
          </w:p>
        </w:tc>
        <w:tc>
          <w:tcPr>
            <w:tcW w:w="3276" w:type="pct"/>
            <w:vAlign w:val="center"/>
          </w:tcPr>
          <w:p w14:paraId="22733FD2" w14:textId="77777777" w:rsidR="0055605A" w:rsidRPr="00A964FF" w:rsidRDefault="0055605A" w:rsidP="003E0795">
            <w:pPr>
              <w:pStyle w:val="af3"/>
              <w:rPr>
                <w:color w:val="auto"/>
              </w:rPr>
            </w:pPr>
            <w:r w:rsidRPr="00A964FF">
              <w:rPr>
                <w:rStyle w:val="af5"/>
                <w:rFonts w:ascii="Calibri" w:hAnsi="Calibri"/>
                <w:color w:val="auto"/>
              </w:rPr>
              <w:t>P</w:t>
            </w:r>
            <w:r w:rsidRPr="00A964FF">
              <w:rPr>
                <w:color w:val="auto"/>
                <w:vertAlign w:val="subscript"/>
              </w:rPr>
              <w:t>max</w:t>
            </w:r>
            <w:r w:rsidRPr="00A964FF">
              <w:rPr>
                <w:rStyle w:val="af5"/>
                <w:rFonts w:ascii="Calibri" w:hAnsi="Calibri"/>
                <w:color w:val="auto"/>
              </w:rPr>
              <w:t>≥10%</w:t>
            </w:r>
          </w:p>
        </w:tc>
      </w:tr>
      <w:tr w:rsidR="0055605A" w:rsidRPr="00A964FF" w14:paraId="18C1D618" w14:textId="77777777" w:rsidTr="0068330E">
        <w:trPr>
          <w:trHeight w:val="340"/>
          <w:jc w:val="center"/>
        </w:trPr>
        <w:tc>
          <w:tcPr>
            <w:tcW w:w="1724" w:type="pct"/>
            <w:vAlign w:val="center"/>
          </w:tcPr>
          <w:p w14:paraId="2E4927D7" w14:textId="77777777" w:rsidR="0055605A" w:rsidRPr="00A964FF" w:rsidRDefault="0055605A" w:rsidP="003E0795">
            <w:pPr>
              <w:pStyle w:val="af3"/>
              <w:rPr>
                <w:color w:val="auto"/>
              </w:rPr>
            </w:pPr>
            <w:r w:rsidRPr="00A964FF">
              <w:rPr>
                <w:color w:val="auto"/>
              </w:rPr>
              <w:t>二级</w:t>
            </w:r>
          </w:p>
        </w:tc>
        <w:tc>
          <w:tcPr>
            <w:tcW w:w="3276" w:type="pct"/>
            <w:vAlign w:val="center"/>
          </w:tcPr>
          <w:p w14:paraId="478A1E86" w14:textId="77777777" w:rsidR="0055605A" w:rsidRPr="00A964FF" w:rsidRDefault="0055605A" w:rsidP="003E0795">
            <w:pPr>
              <w:pStyle w:val="af3"/>
              <w:rPr>
                <w:color w:val="auto"/>
              </w:rPr>
            </w:pPr>
            <w:r w:rsidRPr="00A964FF">
              <w:rPr>
                <w:color w:val="auto"/>
              </w:rPr>
              <w:t>1%≤Pmax</w:t>
            </w:r>
            <w:r w:rsidRPr="00A964FF">
              <w:rPr>
                <w:color w:val="auto"/>
              </w:rPr>
              <w:t>＜</w:t>
            </w:r>
            <w:r w:rsidRPr="00A964FF">
              <w:rPr>
                <w:color w:val="auto"/>
              </w:rPr>
              <w:t>10%</w:t>
            </w:r>
          </w:p>
        </w:tc>
      </w:tr>
      <w:tr w:rsidR="0055605A" w:rsidRPr="00A964FF" w14:paraId="6ADFDE74" w14:textId="77777777" w:rsidTr="0068330E">
        <w:trPr>
          <w:trHeight w:val="340"/>
          <w:jc w:val="center"/>
        </w:trPr>
        <w:tc>
          <w:tcPr>
            <w:tcW w:w="1724" w:type="pct"/>
            <w:vAlign w:val="center"/>
          </w:tcPr>
          <w:p w14:paraId="5F3F2145" w14:textId="77777777" w:rsidR="0055605A" w:rsidRPr="00A964FF" w:rsidRDefault="0055605A" w:rsidP="003E0795">
            <w:pPr>
              <w:pStyle w:val="af3"/>
              <w:rPr>
                <w:color w:val="auto"/>
              </w:rPr>
            </w:pPr>
            <w:r w:rsidRPr="00A964FF">
              <w:rPr>
                <w:color w:val="auto"/>
              </w:rPr>
              <w:t>三级</w:t>
            </w:r>
          </w:p>
        </w:tc>
        <w:tc>
          <w:tcPr>
            <w:tcW w:w="3276" w:type="pct"/>
            <w:vAlign w:val="center"/>
          </w:tcPr>
          <w:p w14:paraId="13EC4A02" w14:textId="77777777" w:rsidR="0055605A" w:rsidRPr="00A964FF" w:rsidRDefault="0055605A" w:rsidP="003E0795">
            <w:pPr>
              <w:pStyle w:val="af3"/>
              <w:rPr>
                <w:color w:val="auto"/>
              </w:rPr>
            </w:pPr>
            <w:r w:rsidRPr="00A964FF">
              <w:rPr>
                <w:rStyle w:val="af5"/>
                <w:rFonts w:ascii="Calibri" w:hAnsi="Calibri"/>
                <w:color w:val="auto"/>
              </w:rPr>
              <w:t>P</w:t>
            </w:r>
            <w:r w:rsidRPr="00A964FF">
              <w:rPr>
                <w:color w:val="auto"/>
                <w:vertAlign w:val="subscript"/>
              </w:rPr>
              <w:t>max</w:t>
            </w:r>
            <w:r w:rsidRPr="00A964FF">
              <w:rPr>
                <w:rStyle w:val="af5"/>
                <w:rFonts w:ascii="Calibri" w:hAnsi="Calibri"/>
                <w:color w:val="auto"/>
              </w:rPr>
              <w:t>&lt;1%</w:t>
            </w:r>
          </w:p>
        </w:tc>
      </w:tr>
    </w:tbl>
    <w:p w14:paraId="2965FD08" w14:textId="77777777" w:rsidR="0055605A" w:rsidRPr="00CA2479" w:rsidRDefault="0055605A" w:rsidP="0055605A">
      <w:pPr>
        <w:pStyle w:val="00"/>
        <w:rPr>
          <w:rFonts w:ascii="Calibri" w:hAnsi="Calibri"/>
          <w:color w:val="auto"/>
        </w:rPr>
      </w:pPr>
      <w:r w:rsidRPr="00CA2479">
        <w:rPr>
          <w:rFonts w:ascii="Calibri" w:hAnsi="Calibri" w:hint="eastAsia"/>
          <w:color w:val="auto"/>
        </w:rPr>
        <w:t>本项目主要污染物计算结果见表</w:t>
      </w:r>
      <w:r w:rsidR="001E0BBA" w:rsidRPr="00CA2479">
        <w:rPr>
          <w:rFonts w:ascii="Calibri" w:hAnsi="Calibri" w:hint="eastAsia"/>
          <w:color w:val="auto"/>
        </w:rPr>
        <w:t>1.6</w:t>
      </w:r>
      <w:r w:rsidRPr="00CA2479">
        <w:rPr>
          <w:rFonts w:ascii="Calibri" w:hAnsi="Calibri" w:hint="eastAsia"/>
          <w:color w:val="auto"/>
        </w:rPr>
        <w:t>-</w:t>
      </w:r>
      <w:r w:rsidR="001E0BBA" w:rsidRPr="00CA2479">
        <w:rPr>
          <w:rFonts w:ascii="Calibri" w:hAnsi="Calibri" w:hint="eastAsia"/>
          <w:color w:val="auto"/>
        </w:rPr>
        <w:t>2</w:t>
      </w:r>
      <w:r w:rsidRPr="00CA2479">
        <w:rPr>
          <w:rFonts w:ascii="Calibri" w:hAnsi="Calibri" w:hint="eastAsia"/>
          <w:color w:val="auto"/>
        </w:rPr>
        <w:t>。</w:t>
      </w:r>
    </w:p>
    <w:p w14:paraId="48A8DD2B" w14:textId="04DD4CC2" w:rsidR="0068330E" w:rsidRDefault="0055605A" w:rsidP="0068330E">
      <w:pPr>
        <w:pStyle w:val="00"/>
        <w:rPr>
          <w:rFonts w:ascii="Calibri" w:eastAsia="黑体" w:hAnsi="Calibri"/>
          <w:color w:val="auto"/>
        </w:rPr>
      </w:pPr>
      <w:r w:rsidRPr="00CA2479">
        <w:rPr>
          <w:rFonts w:ascii="Calibri" w:eastAsia="黑体" w:hAnsi="Calibri"/>
          <w:color w:val="auto"/>
        </w:rPr>
        <w:t>表</w:t>
      </w:r>
      <w:r w:rsidRPr="00CA2479">
        <w:rPr>
          <w:rFonts w:ascii="Calibri" w:eastAsia="黑体" w:hAnsi="Calibri" w:hint="eastAsia"/>
          <w:color w:val="auto"/>
        </w:rPr>
        <w:t>1</w:t>
      </w:r>
      <w:r w:rsidR="001E0BBA" w:rsidRPr="00CA2479">
        <w:rPr>
          <w:rFonts w:ascii="Calibri" w:eastAsia="黑体" w:hAnsi="Calibri" w:hint="eastAsia"/>
          <w:color w:val="auto"/>
        </w:rPr>
        <w:t>.6</w:t>
      </w:r>
      <w:r w:rsidRPr="00CA2479">
        <w:rPr>
          <w:rFonts w:ascii="Calibri" w:eastAsia="黑体" w:hAnsi="Calibri"/>
          <w:color w:val="auto"/>
        </w:rPr>
        <w:t>-</w:t>
      </w:r>
      <w:r w:rsidR="00BE2F04" w:rsidRPr="00CA2479">
        <w:rPr>
          <w:rFonts w:ascii="Calibri" w:eastAsia="黑体" w:hAnsi="Calibri" w:hint="eastAsia"/>
          <w:color w:val="auto"/>
        </w:rPr>
        <w:t>2</w:t>
      </w:r>
      <w:r w:rsidRPr="00CA2479">
        <w:rPr>
          <w:rFonts w:ascii="Calibri" w:eastAsia="黑体" w:hAnsi="Calibri"/>
          <w:color w:val="auto"/>
        </w:rPr>
        <w:t xml:space="preserve">   </w:t>
      </w:r>
      <w:r w:rsidR="00A40A35" w:rsidRPr="00CA2479">
        <w:rPr>
          <w:rFonts w:ascii="Calibri" w:eastAsia="黑体" w:hAnsi="Calibri" w:hint="eastAsia"/>
          <w:color w:val="auto"/>
        </w:rPr>
        <w:t xml:space="preserve">            </w:t>
      </w:r>
      <w:r w:rsidRPr="00CA2479">
        <w:rPr>
          <w:rFonts w:ascii="Calibri" w:eastAsia="黑体" w:hAnsi="Calibri" w:hint="eastAsia"/>
          <w:color w:val="auto"/>
        </w:rPr>
        <w:t>环境空气评价等级判别结果</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96"/>
        <w:gridCol w:w="995"/>
        <w:gridCol w:w="995"/>
        <w:gridCol w:w="1133"/>
        <w:gridCol w:w="1590"/>
        <w:gridCol w:w="1018"/>
        <w:gridCol w:w="1018"/>
        <w:gridCol w:w="955"/>
      </w:tblGrid>
      <w:tr w:rsidR="00BE467A" w:rsidRPr="008F5F67" w14:paraId="35510E7F" w14:textId="77777777" w:rsidTr="00C81F40">
        <w:trPr>
          <w:trHeight w:val="369"/>
        </w:trPr>
        <w:tc>
          <w:tcPr>
            <w:tcW w:w="572" w:type="pct"/>
            <w:vAlign w:val="center"/>
          </w:tcPr>
          <w:p w14:paraId="45DDD56D"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序号</w:t>
            </w:r>
          </w:p>
        </w:tc>
        <w:tc>
          <w:tcPr>
            <w:tcW w:w="572" w:type="pct"/>
            <w:vAlign w:val="center"/>
          </w:tcPr>
          <w:p w14:paraId="6A51886B"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污染源名称</w:t>
            </w:r>
          </w:p>
        </w:tc>
        <w:tc>
          <w:tcPr>
            <w:tcW w:w="572" w:type="pct"/>
            <w:vAlign w:val="center"/>
          </w:tcPr>
          <w:p w14:paraId="54EB5832"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评价因子</w:t>
            </w:r>
          </w:p>
        </w:tc>
        <w:tc>
          <w:tcPr>
            <w:tcW w:w="651" w:type="pct"/>
            <w:vAlign w:val="center"/>
          </w:tcPr>
          <w:p w14:paraId="63A36282"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评价标准</w:t>
            </w:r>
            <w:r w:rsidRPr="008F5F67">
              <w:rPr>
                <w:rFonts w:asciiTheme="minorHAnsi" w:hAnsiTheme="minorHAnsi"/>
                <w:szCs w:val="21"/>
              </w:rPr>
              <w:t>(μg/m³)</w:t>
            </w:r>
          </w:p>
        </w:tc>
        <w:tc>
          <w:tcPr>
            <w:tcW w:w="914" w:type="pct"/>
            <w:vAlign w:val="center"/>
          </w:tcPr>
          <w:p w14:paraId="0E070818"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Cmax(μg/m³)</w:t>
            </w:r>
          </w:p>
        </w:tc>
        <w:tc>
          <w:tcPr>
            <w:tcW w:w="585" w:type="pct"/>
            <w:vAlign w:val="center"/>
          </w:tcPr>
          <w:p w14:paraId="3ECE45A7"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Pmax(%)</w:t>
            </w:r>
          </w:p>
        </w:tc>
        <w:tc>
          <w:tcPr>
            <w:tcW w:w="585" w:type="pct"/>
            <w:vAlign w:val="center"/>
          </w:tcPr>
          <w:p w14:paraId="0A52F5B5"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D10%(m)</w:t>
            </w:r>
          </w:p>
        </w:tc>
        <w:tc>
          <w:tcPr>
            <w:tcW w:w="549" w:type="pct"/>
            <w:vAlign w:val="center"/>
          </w:tcPr>
          <w:p w14:paraId="2BA8D2A8" w14:textId="77777777" w:rsidR="00BE467A" w:rsidRPr="008F5F67" w:rsidRDefault="00BE467A" w:rsidP="00C81F40">
            <w:pPr>
              <w:pStyle w:val="af6"/>
              <w:rPr>
                <w:rFonts w:asciiTheme="minorHAnsi" w:hAnsiTheme="minorHAnsi"/>
                <w:color w:val="auto"/>
                <w:szCs w:val="21"/>
              </w:rPr>
            </w:pPr>
            <w:r w:rsidRPr="008F5F67">
              <w:rPr>
                <w:rFonts w:asciiTheme="minorHAnsi" w:hAnsiTheme="minorHAnsi"/>
                <w:color w:val="auto"/>
                <w:szCs w:val="21"/>
              </w:rPr>
              <w:t>评价</w:t>
            </w:r>
          </w:p>
          <w:p w14:paraId="06A64FD3" w14:textId="77777777" w:rsidR="00BE467A" w:rsidRPr="008F5F67" w:rsidRDefault="00BE467A" w:rsidP="00C81F40">
            <w:pPr>
              <w:jc w:val="center"/>
              <w:rPr>
                <w:rFonts w:asciiTheme="minorHAnsi" w:hAnsiTheme="minorHAnsi"/>
                <w:szCs w:val="21"/>
              </w:rPr>
            </w:pPr>
            <w:r w:rsidRPr="008F5F67">
              <w:rPr>
                <w:rFonts w:asciiTheme="minorHAnsi" w:hAnsiTheme="minorHAnsi"/>
                <w:color w:val="auto"/>
                <w:szCs w:val="21"/>
              </w:rPr>
              <w:t>等级</w:t>
            </w:r>
          </w:p>
        </w:tc>
      </w:tr>
      <w:tr w:rsidR="00BE467A" w:rsidRPr="008F5F67" w14:paraId="719BABCA" w14:textId="77777777" w:rsidTr="00C81F40">
        <w:trPr>
          <w:trHeight w:val="369"/>
        </w:trPr>
        <w:tc>
          <w:tcPr>
            <w:tcW w:w="572" w:type="pct"/>
            <w:vMerge w:val="restart"/>
            <w:vAlign w:val="center"/>
          </w:tcPr>
          <w:p w14:paraId="01A5E480"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1</w:t>
            </w:r>
          </w:p>
        </w:tc>
        <w:tc>
          <w:tcPr>
            <w:tcW w:w="572" w:type="pct"/>
            <w:vMerge w:val="restart"/>
            <w:vAlign w:val="center"/>
          </w:tcPr>
          <w:p w14:paraId="543BA51E"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聚合及聚合釜下料废气</w:t>
            </w:r>
          </w:p>
        </w:tc>
        <w:tc>
          <w:tcPr>
            <w:tcW w:w="572" w:type="pct"/>
            <w:vAlign w:val="center"/>
          </w:tcPr>
          <w:p w14:paraId="0F3A4698"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NH</w:t>
            </w:r>
            <w:r w:rsidRPr="008F5F67">
              <w:rPr>
                <w:rFonts w:asciiTheme="minorHAnsi" w:hAnsiTheme="minorHAnsi"/>
                <w:szCs w:val="21"/>
                <w:vertAlign w:val="subscript"/>
              </w:rPr>
              <w:t>3</w:t>
            </w:r>
          </w:p>
        </w:tc>
        <w:tc>
          <w:tcPr>
            <w:tcW w:w="651" w:type="pct"/>
            <w:vAlign w:val="center"/>
          </w:tcPr>
          <w:p w14:paraId="49B2FA3A"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200.0</w:t>
            </w:r>
          </w:p>
        </w:tc>
        <w:tc>
          <w:tcPr>
            <w:tcW w:w="914" w:type="pct"/>
            <w:vAlign w:val="center"/>
          </w:tcPr>
          <w:p w14:paraId="72366812"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0.0467</w:t>
            </w:r>
          </w:p>
        </w:tc>
        <w:tc>
          <w:tcPr>
            <w:tcW w:w="585" w:type="pct"/>
            <w:vAlign w:val="center"/>
          </w:tcPr>
          <w:p w14:paraId="2C43750C"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0.0233</w:t>
            </w:r>
          </w:p>
        </w:tc>
        <w:tc>
          <w:tcPr>
            <w:tcW w:w="585" w:type="pct"/>
            <w:vAlign w:val="center"/>
          </w:tcPr>
          <w:p w14:paraId="32EE269A"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754BA23B"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3166DF0F" w14:textId="77777777" w:rsidTr="00C81F40">
        <w:trPr>
          <w:trHeight w:val="369"/>
        </w:trPr>
        <w:tc>
          <w:tcPr>
            <w:tcW w:w="572" w:type="pct"/>
            <w:vMerge/>
            <w:vAlign w:val="center"/>
          </w:tcPr>
          <w:p w14:paraId="7C1A560C" w14:textId="77777777" w:rsidR="00BE467A" w:rsidRPr="008F5F67" w:rsidRDefault="00BE467A" w:rsidP="00C81F40">
            <w:pPr>
              <w:jc w:val="center"/>
              <w:rPr>
                <w:rFonts w:asciiTheme="minorHAnsi" w:hAnsiTheme="minorHAnsi"/>
                <w:szCs w:val="21"/>
              </w:rPr>
            </w:pPr>
          </w:p>
        </w:tc>
        <w:tc>
          <w:tcPr>
            <w:tcW w:w="572" w:type="pct"/>
            <w:vMerge/>
            <w:vAlign w:val="center"/>
          </w:tcPr>
          <w:p w14:paraId="1963F955" w14:textId="77777777" w:rsidR="00BE467A" w:rsidRPr="008F5F67" w:rsidRDefault="00BE467A" w:rsidP="00C81F40">
            <w:pPr>
              <w:jc w:val="center"/>
              <w:rPr>
                <w:rFonts w:asciiTheme="minorHAnsi" w:hAnsiTheme="minorHAnsi"/>
                <w:szCs w:val="21"/>
              </w:rPr>
            </w:pPr>
          </w:p>
        </w:tc>
        <w:tc>
          <w:tcPr>
            <w:tcW w:w="572" w:type="pct"/>
            <w:vAlign w:val="center"/>
          </w:tcPr>
          <w:p w14:paraId="2B60E5CE"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3F5CE4F4"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69C84BAA"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5.1555</w:t>
            </w:r>
          </w:p>
        </w:tc>
        <w:tc>
          <w:tcPr>
            <w:tcW w:w="585" w:type="pct"/>
            <w:vAlign w:val="center"/>
          </w:tcPr>
          <w:p w14:paraId="440BAF98"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0.2578</w:t>
            </w:r>
          </w:p>
        </w:tc>
        <w:tc>
          <w:tcPr>
            <w:tcW w:w="585" w:type="pct"/>
            <w:vAlign w:val="center"/>
          </w:tcPr>
          <w:p w14:paraId="0F5C3735"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5FBEAFB0"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35325DEB" w14:textId="77777777" w:rsidTr="00C81F40">
        <w:trPr>
          <w:trHeight w:val="369"/>
        </w:trPr>
        <w:tc>
          <w:tcPr>
            <w:tcW w:w="572" w:type="pct"/>
            <w:vMerge w:val="restart"/>
            <w:vAlign w:val="center"/>
          </w:tcPr>
          <w:p w14:paraId="52882069"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w:t>
            </w:r>
          </w:p>
        </w:tc>
        <w:tc>
          <w:tcPr>
            <w:tcW w:w="572" w:type="pct"/>
            <w:vMerge w:val="restart"/>
            <w:vAlign w:val="center"/>
          </w:tcPr>
          <w:p w14:paraId="4B502D71"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导热油炉</w:t>
            </w:r>
          </w:p>
        </w:tc>
        <w:tc>
          <w:tcPr>
            <w:tcW w:w="572" w:type="pct"/>
            <w:vAlign w:val="center"/>
          </w:tcPr>
          <w:p w14:paraId="5DEC24F6"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10</w:t>
            </w:r>
          </w:p>
        </w:tc>
        <w:tc>
          <w:tcPr>
            <w:tcW w:w="651" w:type="pct"/>
            <w:vAlign w:val="center"/>
          </w:tcPr>
          <w:p w14:paraId="4752D43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450.0</w:t>
            </w:r>
          </w:p>
        </w:tc>
        <w:tc>
          <w:tcPr>
            <w:tcW w:w="914" w:type="pct"/>
            <w:vAlign w:val="center"/>
          </w:tcPr>
          <w:p w14:paraId="4FA37268"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0.2687</w:t>
            </w:r>
          </w:p>
        </w:tc>
        <w:tc>
          <w:tcPr>
            <w:tcW w:w="585" w:type="pct"/>
            <w:vAlign w:val="center"/>
          </w:tcPr>
          <w:p w14:paraId="4C68DD5E"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0.0597</w:t>
            </w:r>
          </w:p>
        </w:tc>
        <w:tc>
          <w:tcPr>
            <w:tcW w:w="585" w:type="pct"/>
            <w:vAlign w:val="center"/>
          </w:tcPr>
          <w:p w14:paraId="6E0133F7"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3F337C3F"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33B46B8B" w14:textId="77777777" w:rsidTr="00C81F40">
        <w:trPr>
          <w:trHeight w:val="369"/>
        </w:trPr>
        <w:tc>
          <w:tcPr>
            <w:tcW w:w="572" w:type="pct"/>
            <w:vMerge/>
            <w:vAlign w:val="center"/>
          </w:tcPr>
          <w:p w14:paraId="6849E2D3" w14:textId="77777777" w:rsidR="00BE467A" w:rsidRPr="008F5F67" w:rsidRDefault="00BE467A" w:rsidP="00C81F40">
            <w:pPr>
              <w:jc w:val="center"/>
              <w:rPr>
                <w:rFonts w:asciiTheme="minorHAnsi" w:hAnsiTheme="minorHAnsi"/>
                <w:szCs w:val="21"/>
              </w:rPr>
            </w:pPr>
          </w:p>
        </w:tc>
        <w:tc>
          <w:tcPr>
            <w:tcW w:w="572" w:type="pct"/>
            <w:vMerge/>
            <w:vAlign w:val="center"/>
          </w:tcPr>
          <w:p w14:paraId="758FAC6A" w14:textId="77777777" w:rsidR="00BE467A" w:rsidRPr="008F5F67" w:rsidRDefault="00BE467A" w:rsidP="00C81F40">
            <w:pPr>
              <w:jc w:val="center"/>
              <w:rPr>
                <w:rFonts w:asciiTheme="minorHAnsi" w:hAnsiTheme="minorHAnsi"/>
                <w:szCs w:val="21"/>
              </w:rPr>
            </w:pPr>
          </w:p>
        </w:tc>
        <w:tc>
          <w:tcPr>
            <w:tcW w:w="572" w:type="pct"/>
            <w:vAlign w:val="center"/>
          </w:tcPr>
          <w:p w14:paraId="23D650B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2.5</w:t>
            </w:r>
          </w:p>
        </w:tc>
        <w:tc>
          <w:tcPr>
            <w:tcW w:w="651" w:type="pct"/>
            <w:vAlign w:val="center"/>
          </w:tcPr>
          <w:p w14:paraId="6FE2B5F8"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225.0</w:t>
            </w:r>
          </w:p>
        </w:tc>
        <w:tc>
          <w:tcPr>
            <w:tcW w:w="914" w:type="pct"/>
            <w:vAlign w:val="center"/>
          </w:tcPr>
          <w:p w14:paraId="676BEE37"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0.0820</w:t>
            </w:r>
          </w:p>
        </w:tc>
        <w:tc>
          <w:tcPr>
            <w:tcW w:w="585" w:type="pct"/>
            <w:vAlign w:val="center"/>
          </w:tcPr>
          <w:p w14:paraId="329EAF6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0.0365</w:t>
            </w:r>
          </w:p>
        </w:tc>
        <w:tc>
          <w:tcPr>
            <w:tcW w:w="585" w:type="pct"/>
            <w:vAlign w:val="center"/>
          </w:tcPr>
          <w:p w14:paraId="0CBB4907"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07ED3FC7"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2B661974" w14:textId="77777777" w:rsidTr="00C81F40">
        <w:trPr>
          <w:trHeight w:val="369"/>
        </w:trPr>
        <w:tc>
          <w:tcPr>
            <w:tcW w:w="572" w:type="pct"/>
            <w:vMerge/>
            <w:vAlign w:val="center"/>
          </w:tcPr>
          <w:p w14:paraId="2B8E7A74" w14:textId="77777777" w:rsidR="00BE467A" w:rsidRPr="008F5F67" w:rsidRDefault="00BE467A" w:rsidP="00C81F40">
            <w:pPr>
              <w:jc w:val="center"/>
              <w:rPr>
                <w:rFonts w:asciiTheme="minorHAnsi" w:hAnsiTheme="minorHAnsi"/>
                <w:szCs w:val="21"/>
              </w:rPr>
            </w:pPr>
          </w:p>
        </w:tc>
        <w:tc>
          <w:tcPr>
            <w:tcW w:w="572" w:type="pct"/>
            <w:vMerge/>
            <w:vAlign w:val="center"/>
          </w:tcPr>
          <w:p w14:paraId="13FC8E82" w14:textId="77777777" w:rsidR="00BE467A" w:rsidRPr="008F5F67" w:rsidRDefault="00BE467A" w:rsidP="00C81F40">
            <w:pPr>
              <w:jc w:val="center"/>
              <w:rPr>
                <w:rFonts w:asciiTheme="minorHAnsi" w:hAnsiTheme="minorHAnsi"/>
                <w:szCs w:val="21"/>
              </w:rPr>
            </w:pPr>
          </w:p>
        </w:tc>
        <w:tc>
          <w:tcPr>
            <w:tcW w:w="572" w:type="pct"/>
            <w:vAlign w:val="center"/>
          </w:tcPr>
          <w:p w14:paraId="5AF3C6F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SO</w:t>
            </w:r>
            <w:r w:rsidRPr="008F5F67">
              <w:rPr>
                <w:rFonts w:asciiTheme="minorHAnsi" w:hAnsiTheme="minorHAnsi"/>
                <w:szCs w:val="21"/>
                <w:vertAlign w:val="subscript"/>
              </w:rPr>
              <w:t>2</w:t>
            </w:r>
          </w:p>
        </w:tc>
        <w:tc>
          <w:tcPr>
            <w:tcW w:w="651" w:type="pct"/>
            <w:vAlign w:val="center"/>
          </w:tcPr>
          <w:p w14:paraId="55243B2F"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500.0</w:t>
            </w:r>
          </w:p>
        </w:tc>
        <w:tc>
          <w:tcPr>
            <w:tcW w:w="914" w:type="pct"/>
            <w:vAlign w:val="center"/>
          </w:tcPr>
          <w:p w14:paraId="69FF4AEB"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0.2630</w:t>
            </w:r>
          </w:p>
        </w:tc>
        <w:tc>
          <w:tcPr>
            <w:tcW w:w="585" w:type="pct"/>
            <w:vAlign w:val="center"/>
          </w:tcPr>
          <w:p w14:paraId="01EA1934"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0.0526</w:t>
            </w:r>
          </w:p>
        </w:tc>
        <w:tc>
          <w:tcPr>
            <w:tcW w:w="585" w:type="pct"/>
            <w:vAlign w:val="center"/>
          </w:tcPr>
          <w:p w14:paraId="0CD58EB9"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77D116D6"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79048E02" w14:textId="77777777" w:rsidTr="00C81F40">
        <w:trPr>
          <w:trHeight w:val="369"/>
        </w:trPr>
        <w:tc>
          <w:tcPr>
            <w:tcW w:w="572" w:type="pct"/>
            <w:vMerge/>
            <w:vAlign w:val="center"/>
          </w:tcPr>
          <w:p w14:paraId="06EB3C4E" w14:textId="77777777" w:rsidR="00BE467A" w:rsidRPr="008F5F67" w:rsidRDefault="00BE467A" w:rsidP="00C81F40">
            <w:pPr>
              <w:jc w:val="center"/>
              <w:rPr>
                <w:rFonts w:asciiTheme="minorHAnsi" w:hAnsiTheme="minorHAnsi"/>
                <w:szCs w:val="21"/>
              </w:rPr>
            </w:pPr>
          </w:p>
        </w:tc>
        <w:tc>
          <w:tcPr>
            <w:tcW w:w="572" w:type="pct"/>
            <w:vMerge/>
            <w:vAlign w:val="center"/>
          </w:tcPr>
          <w:p w14:paraId="0975228E" w14:textId="77777777" w:rsidR="00BE467A" w:rsidRPr="008F5F67" w:rsidRDefault="00BE467A" w:rsidP="00C81F40">
            <w:pPr>
              <w:jc w:val="center"/>
              <w:rPr>
                <w:rFonts w:asciiTheme="minorHAnsi" w:hAnsiTheme="minorHAnsi"/>
                <w:szCs w:val="21"/>
              </w:rPr>
            </w:pPr>
          </w:p>
        </w:tc>
        <w:tc>
          <w:tcPr>
            <w:tcW w:w="572" w:type="pct"/>
            <w:vAlign w:val="center"/>
          </w:tcPr>
          <w:p w14:paraId="6DBB471F"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NOx</w:t>
            </w:r>
          </w:p>
        </w:tc>
        <w:tc>
          <w:tcPr>
            <w:tcW w:w="651" w:type="pct"/>
            <w:vAlign w:val="center"/>
          </w:tcPr>
          <w:p w14:paraId="44A4708A"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250.0</w:t>
            </w:r>
          </w:p>
        </w:tc>
        <w:tc>
          <w:tcPr>
            <w:tcW w:w="914" w:type="pct"/>
            <w:vAlign w:val="center"/>
          </w:tcPr>
          <w:p w14:paraId="737E36C5"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2.0080</w:t>
            </w:r>
          </w:p>
        </w:tc>
        <w:tc>
          <w:tcPr>
            <w:tcW w:w="585" w:type="pct"/>
            <w:vAlign w:val="center"/>
          </w:tcPr>
          <w:p w14:paraId="4C081F3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0.8032</w:t>
            </w:r>
          </w:p>
        </w:tc>
        <w:tc>
          <w:tcPr>
            <w:tcW w:w="585" w:type="pct"/>
            <w:vAlign w:val="center"/>
          </w:tcPr>
          <w:p w14:paraId="6EA1B646"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4CDA97F6"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773ACFDA" w14:textId="77777777" w:rsidTr="00C81F40">
        <w:trPr>
          <w:trHeight w:val="369"/>
        </w:trPr>
        <w:tc>
          <w:tcPr>
            <w:tcW w:w="572" w:type="pct"/>
            <w:vMerge w:val="restart"/>
            <w:vAlign w:val="center"/>
          </w:tcPr>
          <w:p w14:paraId="3EC8D42B"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3</w:t>
            </w:r>
          </w:p>
        </w:tc>
        <w:tc>
          <w:tcPr>
            <w:tcW w:w="572" w:type="pct"/>
            <w:vMerge w:val="restart"/>
            <w:vAlign w:val="center"/>
          </w:tcPr>
          <w:p w14:paraId="39804FC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污水处</w:t>
            </w:r>
            <w:r w:rsidRPr="008F5F67">
              <w:rPr>
                <w:rFonts w:asciiTheme="minorHAnsi" w:hAnsiTheme="minorHAnsi"/>
                <w:szCs w:val="21"/>
              </w:rPr>
              <w:lastRenderedPageBreak/>
              <w:t>理站</w:t>
            </w:r>
          </w:p>
        </w:tc>
        <w:tc>
          <w:tcPr>
            <w:tcW w:w="572" w:type="pct"/>
            <w:vAlign w:val="center"/>
          </w:tcPr>
          <w:p w14:paraId="0A80B306"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lastRenderedPageBreak/>
              <w:t>NH</w:t>
            </w:r>
            <w:r w:rsidRPr="008F5F67">
              <w:rPr>
                <w:rFonts w:asciiTheme="minorHAnsi" w:hAnsiTheme="minorHAnsi"/>
                <w:szCs w:val="21"/>
                <w:vertAlign w:val="subscript"/>
              </w:rPr>
              <w:t>3</w:t>
            </w:r>
          </w:p>
        </w:tc>
        <w:tc>
          <w:tcPr>
            <w:tcW w:w="651" w:type="pct"/>
            <w:vAlign w:val="center"/>
          </w:tcPr>
          <w:p w14:paraId="0660B617"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200.0</w:t>
            </w:r>
          </w:p>
        </w:tc>
        <w:tc>
          <w:tcPr>
            <w:tcW w:w="914" w:type="pct"/>
            <w:vAlign w:val="center"/>
          </w:tcPr>
          <w:p w14:paraId="473639B7"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0.1263</w:t>
            </w:r>
          </w:p>
        </w:tc>
        <w:tc>
          <w:tcPr>
            <w:tcW w:w="585" w:type="pct"/>
            <w:vAlign w:val="center"/>
          </w:tcPr>
          <w:p w14:paraId="06510583"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0.0631</w:t>
            </w:r>
          </w:p>
        </w:tc>
        <w:tc>
          <w:tcPr>
            <w:tcW w:w="585" w:type="pct"/>
            <w:vAlign w:val="center"/>
          </w:tcPr>
          <w:p w14:paraId="6D4D38DF"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468BAB6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22048DA9" w14:textId="77777777" w:rsidTr="00C81F40">
        <w:trPr>
          <w:trHeight w:val="369"/>
        </w:trPr>
        <w:tc>
          <w:tcPr>
            <w:tcW w:w="572" w:type="pct"/>
            <w:vMerge/>
            <w:vAlign w:val="center"/>
          </w:tcPr>
          <w:p w14:paraId="2644C4B3" w14:textId="77777777" w:rsidR="00BE467A" w:rsidRPr="008F5F67" w:rsidRDefault="00BE467A" w:rsidP="00C81F40">
            <w:pPr>
              <w:jc w:val="center"/>
              <w:rPr>
                <w:rFonts w:asciiTheme="minorHAnsi" w:hAnsiTheme="minorHAnsi"/>
                <w:szCs w:val="21"/>
              </w:rPr>
            </w:pPr>
          </w:p>
        </w:tc>
        <w:tc>
          <w:tcPr>
            <w:tcW w:w="572" w:type="pct"/>
            <w:vMerge/>
            <w:vAlign w:val="center"/>
          </w:tcPr>
          <w:p w14:paraId="373ACD16" w14:textId="77777777" w:rsidR="00BE467A" w:rsidRPr="008F5F67" w:rsidRDefault="00BE467A" w:rsidP="00C81F40">
            <w:pPr>
              <w:jc w:val="center"/>
              <w:rPr>
                <w:rFonts w:asciiTheme="minorHAnsi" w:hAnsiTheme="minorHAnsi"/>
                <w:szCs w:val="21"/>
              </w:rPr>
            </w:pPr>
          </w:p>
        </w:tc>
        <w:tc>
          <w:tcPr>
            <w:tcW w:w="572" w:type="pct"/>
            <w:vAlign w:val="center"/>
          </w:tcPr>
          <w:p w14:paraId="65DA9876"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0E17CE0C"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42485A68"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0.1474</w:t>
            </w:r>
          </w:p>
        </w:tc>
        <w:tc>
          <w:tcPr>
            <w:tcW w:w="585" w:type="pct"/>
            <w:vAlign w:val="center"/>
          </w:tcPr>
          <w:p w14:paraId="6CC11C86"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0.0074</w:t>
            </w:r>
          </w:p>
        </w:tc>
        <w:tc>
          <w:tcPr>
            <w:tcW w:w="585" w:type="pct"/>
            <w:vAlign w:val="center"/>
          </w:tcPr>
          <w:p w14:paraId="47702B3A"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3537354D"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44E07F56" w14:textId="77777777" w:rsidTr="00C81F40">
        <w:trPr>
          <w:trHeight w:val="369"/>
        </w:trPr>
        <w:tc>
          <w:tcPr>
            <w:tcW w:w="572" w:type="pct"/>
            <w:vMerge/>
            <w:vAlign w:val="center"/>
          </w:tcPr>
          <w:p w14:paraId="23BB5933" w14:textId="77777777" w:rsidR="00BE467A" w:rsidRPr="008F5F67" w:rsidRDefault="00BE467A" w:rsidP="00C81F40">
            <w:pPr>
              <w:jc w:val="center"/>
              <w:rPr>
                <w:rFonts w:asciiTheme="minorHAnsi" w:hAnsiTheme="minorHAnsi"/>
                <w:szCs w:val="21"/>
              </w:rPr>
            </w:pPr>
          </w:p>
        </w:tc>
        <w:tc>
          <w:tcPr>
            <w:tcW w:w="572" w:type="pct"/>
            <w:vMerge/>
            <w:vAlign w:val="center"/>
          </w:tcPr>
          <w:p w14:paraId="6559B3F8" w14:textId="77777777" w:rsidR="00BE467A" w:rsidRPr="008F5F67" w:rsidRDefault="00BE467A" w:rsidP="00C81F40">
            <w:pPr>
              <w:jc w:val="center"/>
              <w:rPr>
                <w:rFonts w:asciiTheme="minorHAnsi" w:hAnsiTheme="minorHAnsi"/>
                <w:szCs w:val="21"/>
              </w:rPr>
            </w:pPr>
          </w:p>
        </w:tc>
        <w:tc>
          <w:tcPr>
            <w:tcW w:w="572" w:type="pct"/>
            <w:vAlign w:val="center"/>
          </w:tcPr>
          <w:p w14:paraId="3D5A2502"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H</w:t>
            </w:r>
            <w:r w:rsidRPr="008F5F67">
              <w:rPr>
                <w:rFonts w:asciiTheme="minorHAnsi" w:hAnsiTheme="minorHAnsi"/>
                <w:szCs w:val="21"/>
                <w:vertAlign w:val="subscript"/>
              </w:rPr>
              <w:t>2</w:t>
            </w:r>
            <w:r w:rsidRPr="008F5F67">
              <w:rPr>
                <w:rFonts w:asciiTheme="minorHAnsi" w:hAnsiTheme="minorHAnsi"/>
                <w:szCs w:val="21"/>
              </w:rPr>
              <w:t>S</w:t>
            </w:r>
          </w:p>
        </w:tc>
        <w:tc>
          <w:tcPr>
            <w:tcW w:w="651" w:type="pct"/>
            <w:vAlign w:val="center"/>
          </w:tcPr>
          <w:p w14:paraId="464A977E"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10.0</w:t>
            </w:r>
          </w:p>
        </w:tc>
        <w:tc>
          <w:tcPr>
            <w:tcW w:w="914" w:type="pct"/>
            <w:vAlign w:val="center"/>
          </w:tcPr>
          <w:p w14:paraId="36A2877A"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0.0046</w:t>
            </w:r>
          </w:p>
        </w:tc>
        <w:tc>
          <w:tcPr>
            <w:tcW w:w="585" w:type="pct"/>
            <w:vAlign w:val="center"/>
          </w:tcPr>
          <w:p w14:paraId="143430D5"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0.0463</w:t>
            </w:r>
          </w:p>
        </w:tc>
        <w:tc>
          <w:tcPr>
            <w:tcW w:w="585" w:type="pct"/>
            <w:vAlign w:val="center"/>
          </w:tcPr>
          <w:p w14:paraId="3142293B"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52348BB5"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263619D6" w14:textId="77777777" w:rsidTr="00C81F40">
        <w:trPr>
          <w:trHeight w:val="369"/>
        </w:trPr>
        <w:tc>
          <w:tcPr>
            <w:tcW w:w="572" w:type="pct"/>
            <w:vMerge w:val="restart"/>
            <w:vAlign w:val="center"/>
          </w:tcPr>
          <w:p w14:paraId="7381E540"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4</w:t>
            </w:r>
          </w:p>
        </w:tc>
        <w:tc>
          <w:tcPr>
            <w:tcW w:w="572" w:type="pct"/>
            <w:vMerge w:val="restart"/>
            <w:vAlign w:val="center"/>
          </w:tcPr>
          <w:p w14:paraId="5944AE60"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生产车间无组织</w:t>
            </w:r>
          </w:p>
        </w:tc>
        <w:tc>
          <w:tcPr>
            <w:tcW w:w="572" w:type="pct"/>
            <w:vAlign w:val="center"/>
          </w:tcPr>
          <w:p w14:paraId="3AE288E5"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1FAA81E0"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6B452931"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13.1260</w:t>
            </w:r>
          </w:p>
        </w:tc>
        <w:tc>
          <w:tcPr>
            <w:tcW w:w="585" w:type="pct"/>
            <w:vAlign w:val="center"/>
          </w:tcPr>
          <w:p w14:paraId="574A2D31"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0.6563</w:t>
            </w:r>
          </w:p>
        </w:tc>
        <w:tc>
          <w:tcPr>
            <w:tcW w:w="585" w:type="pct"/>
            <w:vAlign w:val="center"/>
          </w:tcPr>
          <w:p w14:paraId="53B49C52"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52DDE8BA"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10827FAC" w14:textId="77777777" w:rsidTr="00C81F40">
        <w:trPr>
          <w:trHeight w:val="369"/>
        </w:trPr>
        <w:tc>
          <w:tcPr>
            <w:tcW w:w="572" w:type="pct"/>
            <w:vMerge/>
            <w:vAlign w:val="center"/>
          </w:tcPr>
          <w:p w14:paraId="048A00A9" w14:textId="77777777" w:rsidR="00BE467A" w:rsidRPr="008F5F67" w:rsidRDefault="00BE467A" w:rsidP="00C81F40">
            <w:pPr>
              <w:jc w:val="center"/>
              <w:rPr>
                <w:rFonts w:asciiTheme="minorHAnsi" w:hAnsiTheme="minorHAnsi"/>
                <w:szCs w:val="21"/>
              </w:rPr>
            </w:pPr>
          </w:p>
        </w:tc>
        <w:tc>
          <w:tcPr>
            <w:tcW w:w="572" w:type="pct"/>
            <w:vMerge/>
            <w:vAlign w:val="center"/>
          </w:tcPr>
          <w:p w14:paraId="3D4805AC" w14:textId="77777777" w:rsidR="00BE467A" w:rsidRPr="008F5F67" w:rsidRDefault="00BE467A" w:rsidP="00C81F40">
            <w:pPr>
              <w:jc w:val="center"/>
              <w:rPr>
                <w:rFonts w:asciiTheme="minorHAnsi" w:hAnsiTheme="minorHAnsi"/>
                <w:szCs w:val="21"/>
              </w:rPr>
            </w:pPr>
          </w:p>
        </w:tc>
        <w:tc>
          <w:tcPr>
            <w:tcW w:w="572" w:type="pct"/>
            <w:vAlign w:val="center"/>
          </w:tcPr>
          <w:p w14:paraId="0F0E6CC2"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10</w:t>
            </w:r>
          </w:p>
        </w:tc>
        <w:tc>
          <w:tcPr>
            <w:tcW w:w="651" w:type="pct"/>
            <w:vAlign w:val="center"/>
          </w:tcPr>
          <w:p w14:paraId="376EF6B7"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450.0</w:t>
            </w:r>
          </w:p>
        </w:tc>
        <w:tc>
          <w:tcPr>
            <w:tcW w:w="914" w:type="pct"/>
            <w:vAlign w:val="center"/>
          </w:tcPr>
          <w:p w14:paraId="36FB92B6"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0.0574</w:t>
            </w:r>
          </w:p>
        </w:tc>
        <w:tc>
          <w:tcPr>
            <w:tcW w:w="585" w:type="pct"/>
            <w:vAlign w:val="center"/>
          </w:tcPr>
          <w:p w14:paraId="6C382DDA"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0.0127</w:t>
            </w:r>
          </w:p>
        </w:tc>
        <w:tc>
          <w:tcPr>
            <w:tcW w:w="585" w:type="pct"/>
            <w:vAlign w:val="center"/>
          </w:tcPr>
          <w:p w14:paraId="4243E6F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41FFE1B4"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5DCCF328" w14:textId="77777777" w:rsidTr="00C81F40">
        <w:trPr>
          <w:trHeight w:val="369"/>
        </w:trPr>
        <w:tc>
          <w:tcPr>
            <w:tcW w:w="572" w:type="pct"/>
            <w:vMerge/>
            <w:vAlign w:val="center"/>
          </w:tcPr>
          <w:p w14:paraId="7968B5AF" w14:textId="77777777" w:rsidR="00BE467A" w:rsidRPr="008F5F67" w:rsidRDefault="00BE467A" w:rsidP="00C81F40">
            <w:pPr>
              <w:jc w:val="center"/>
              <w:rPr>
                <w:rFonts w:asciiTheme="minorHAnsi" w:hAnsiTheme="minorHAnsi"/>
                <w:szCs w:val="21"/>
              </w:rPr>
            </w:pPr>
          </w:p>
        </w:tc>
        <w:tc>
          <w:tcPr>
            <w:tcW w:w="572" w:type="pct"/>
            <w:vMerge/>
            <w:vAlign w:val="center"/>
          </w:tcPr>
          <w:p w14:paraId="410EF05D" w14:textId="77777777" w:rsidR="00BE467A" w:rsidRPr="008F5F67" w:rsidRDefault="00BE467A" w:rsidP="00C81F40">
            <w:pPr>
              <w:jc w:val="center"/>
              <w:rPr>
                <w:rFonts w:asciiTheme="minorHAnsi" w:hAnsiTheme="minorHAnsi"/>
                <w:szCs w:val="21"/>
              </w:rPr>
            </w:pPr>
          </w:p>
        </w:tc>
        <w:tc>
          <w:tcPr>
            <w:tcW w:w="572" w:type="pct"/>
            <w:vAlign w:val="center"/>
          </w:tcPr>
          <w:p w14:paraId="7527E7F0"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2.5</w:t>
            </w:r>
          </w:p>
        </w:tc>
        <w:tc>
          <w:tcPr>
            <w:tcW w:w="651" w:type="pct"/>
            <w:vAlign w:val="center"/>
          </w:tcPr>
          <w:p w14:paraId="16F9DF52"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225.0</w:t>
            </w:r>
          </w:p>
        </w:tc>
        <w:tc>
          <w:tcPr>
            <w:tcW w:w="914" w:type="pct"/>
            <w:vAlign w:val="center"/>
          </w:tcPr>
          <w:p w14:paraId="0AF90D75"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0.0172</w:t>
            </w:r>
          </w:p>
        </w:tc>
        <w:tc>
          <w:tcPr>
            <w:tcW w:w="585" w:type="pct"/>
            <w:vAlign w:val="center"/>
          </w:tcPr>
          <w:p w14:paraId="0F85EB9E" w14:textId="77777777" w:rsidR="00BE467A" w:rsidRPr="008F5F67" w:rsidRDefault="00BE467A" w:rsidP="00C81F40">
            <w:pPr>
              <w:jc w:val="center"/>
              <w:rPr>
                <w:rFonts w:asciiTheme="minorHAnsi" w:hAnsiTheme="minorHAnsi"/>
              </w:rPr>
            </w:pPr>
            <w:r w:rsidRPr="008F5F67">
              <w:rPr>
                <w:rFonts w:asciiTheme="minorHAnsi" w:hAnsiTheme="minorHAnsi"/>
                <w:sz w:val="23"/>
                <w:szCs w:val="23"/>
              </w:rPr>
              <w:t>0.0076</w:t>
            </w:r>
          </w:p>
        </w:tc>
        <w:tc>
          <w:tcPr>
            <w:tcW w:w="585" w:type="pct"/>
            <w:vAlign w:val="center"/>
          </w:tcPr>
          <w:p w14:paraId="1FACC306"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41C2809E"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349B710F" w14:textId="77777777" w:rsidTr="00C81F40">
        <w:trPr>
          <w:trHeight w:val="369"/>
        </w:trPr>
        <w:tc>
          <w:tcPr>
            <w:tcW w:w="572" w:type="pct"/>
            <w:vMerge w:val="restart"/>
            <w:vAlign w:val="center"/>
          </w:tcPr>
          <w:p w14:paraId="1A99237E"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5</w:t>
            </w:r>
          </w:p>
        </w:tc>
        <w:tc>
          <w:tcPr>
            <w:tcW w:w="572" w:type="pct"/>
            <w:vMerge w:val="restart"/>
            <w:vAlign w:val="center"/>
          </w:tcPr>
          <w:p w14:paraId="7FF36A11"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污水区无组织</w:t>
            </w:r>
          </w:p>
        </w:tc>
        <w:tc>
          <w:tcPr>
            <w:tcW w:w="572" w:type="pct"/>
            <w:vAlign w:val="center"/>
          </w:tcPr>
          <w:p w14:paraId="3839117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NH</w:t>
            </w:r>
            <w:r w:rsidRPr="008F5F67">
              <w:rPr>
                <w:rFonts w:asciiTheme="minorHAnsi" w:hAnsiTheme="minorHAnsi"/>
                <w:szCs w:val="21"/>
                <w:vertAlign w:val="subscript"/>
              </w:rPr>
              <w:t>3</w:t>
            </w:r>
          </w:p>
        </w:tc>
        <w:tc>
          <w:tcPr>
            <w:tcW w:w="651" w:type="pct"/>
            <w:vAlign w:val="center"/>
          </w:tcPr>
          <w:p w14:paraId="005F4B9D"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200.0</w:t>
            </w:r>
          </w:p>
        </w:tc>
        <w:tc>
          <w:tcPr>
            <w:tcW w:w="914" w:type="pct"/>
            <w:vAlign w:val="center"/>
          </w:tcPr>
          <w:p w14:paraId="62E4698D"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1.1388</w:t>
            </w:r>
          </w:p>
        </w:tc>
        <w:tc>
          <w:tcPr>
            <w:tcW w:w="585" w:type="pct"/>
            <w:vAlign w:val="center"/>
          </w:tcPr>
          <w:p w14:paraId="6FB223CF"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0.5694</w:t>
            </w:r>
          </w:p>
        </w:tc>
        <w:tc>
          <w:tcPr>
            <w:tcW w:w="585" w:type="pct"/>
            <w:vAlign w:val="center"/>
          </w:tcPr>
          <w:p w14:paraId="20149F68"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52341F23"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075A9575" w14:textId="77777777" w:rsidTr="00C81F40">
        <w:trPr>
          <w:trHeight w:val="369"/>
        </w:trPr>
        <w:tc>
          <w:tcPr>
            <w:tcW w:w="572" w:type="pct"/>
            <w:vMerge/>
            <w:vAlign w:val="center"/>
          </w:tcPr>
          <w:p w14:paraId="4A4D2324" w14:textId="77777777" w:rsidR="00BE467A" w:rsidRPr="008F5F67" w:rsidRDefault="00BE467A" w:rsidP="00C81F40">
            <w:pPr>
              <w:jc w:val="center"/>
              <w:rPr>
                <w:rFonts w:asciiTheme="minorHAnsi" w:hAnsiTheme="minorHAnsi"/>
                <w:szCs w:val="21"/>
              </w:rPr>
            </w:pPr>
          </w:p>
        </w:tc>
        <w:tc>
          <w:tcPr>
            <w:tcW w:w="572" w:type="pct"/>
            <w:vMerge/>
            <w:vAlign w:val="center"/>
          </w:tcPr>
          <w:p w14:paraId="0C49FBFD" w14:textId="77777777" w:rsidR="00BE467A" w:rsidRPr="008F5F67" w:rsidRDefault="00BE467A" w:rsidP="00C81F40">
            <w:pPr>
              <w:jc w:val="center"/>
              <w:rPr>
                <w:rFonts w:asciiTheme="minorHAnsi" w:hAnsiTheme="minorHAnsi"/>
                <w:szCs w:val="21"/>
              </w:rPr>
            </w:pPr>
          </w:p>
        </w:tc>
        <w:tc>
          <w:tcPr>
            <w:tcW w:w="572" w:type="pct"/>
            <w:vAlign w:val="center"/>
          </w:tcPr>
          <w:p w14:paraId="0D54DF92"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0C11A288"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1B95019E"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2.2776</w:t>
            </w:r>
          </w:p>
        </w:tc>
        <w:tc>
          <w:tcPr>
            <w:tcW w:w="585" w:type="pct"/>
            <w:vAlign w:val="center"/>
          </w:tcPr>
          <w:p w14:paraId="3E6BC571"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0.1139</w:t>
            </w:r>
          </w:p>
        </w:tc>
        <w:tc>
          <w:tcPr>
            <w:tcW w:w="585" w:type="pct"/>
            <w:vAlign w:val="center"/>
          </w:tcPr>
          <w:p w14:paraId="47825EFC"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6F82C8B4"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r w:rsidR="00BE467A" w:rsidRPr="008F5F67" w14:paraId="0560B9CE" w14:textId="77777777" w:rsidTr="00C81F40">
        <w:trPr>
          <w:trHeight w:val="369"/>
        </w:trPr>
        <w:tc>
          <w:tcPr>
            <w:tcW w:w="572" w:type="pct"/>
            <w:vMerge/>
            <w:vAlign w:val="center"/>
          </w:tcPr>
          <w:p w14:paraId="39246AEB" w14:textId="77777777" w:rsidR="00BE467A" w:rsidRPr="008F5F67" w:rsidRDefault="00BE467A" w:rsidP="00C81F40">
            <w:pPr>
              <w:jc w:val="center"/>
              <w:rPr>
                <w:rFonts w:asciiTheme="minorHAnsi" w:hAnsiTheme="minorHAnsi"/>
                <w:szCs w:val="21"/>
              </w:rPr>
            </w:pPr>
          </w:p>
        </w:tc>
        <w:tc>
          <w:tcPr>
            <w:tcW w:w="572" w:type="pct"/>
            <w:vMerge/>
            <w:vAlign w:val="center"/>
          </w:tcPr>
          <w:p w14:paraId="452682CD" w14:textId="77777777" w:rsidR="00BE467A" w:rsidRPr="008F5F67" w:rsidRDefault="00BE467A" w:rsidP="00C81F40">
            <w:pPr>
              <w:jc w:val="center"/>
              <w:rPr>
                <w:rFonts w:asciiTheme="minorHAnsi" w:hAnsiTheme="minorHAnsi"/>
                <w:szCs w:val="21"/>
              </w:rPr>
            </w:pPr>
          </w:p>
        </w:tc>
        <w:tc>
          <w:tcPr>
            <w:tcW w:w="572" w:type="pct"/>
            <w:vAlign w:val="center"/>
          </w:tcPr>
          <w:p w14:paraId="7174CC9C"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H</w:t>
            </w:r>
            <w:r w:rsidRPr="008F5F67">
              <w:rPr>
                <w:rFonts w:asciiTheme="minorHAnsi" w:hAnsiTheme="minorHAnsi"/>
                <w:szCs w:val="21"/>
                <w:vertAlign w:val="subscript"/>
              </w:rPr>
              <w:t>2</w:t>
            </w:r>
            <w:r w:rsidRPr="008F5F67">
              <w:rPr>
                <w:rFonts w:asciiTheme="minorHAnsi" w:hAnsiTheme="minorHAnsi"/>
                <w:szCs w:val="21"/>
              </w:rPr>
              <w:t>S</w:t>
            </w:r>
          </w:p>
        </w:tc>
        <w:tc>
          <w:tcPr>
            <w:tcW w:w="651" w:type="pct"/>
            <w:vAlign w:val="center"/>
          </w:tcPr>
          <w:p w14:paraId="28DA6A38"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10.0</w:t>
            </w:r>
          </w:p>
        </w:tc>
        <w:tc>
          <w:tcPr>
            <w:tcW w:w="914" w:type="pct"/>
            <w:vAlign w:val="center"/>
          </w:tcPr>
          <w:p w14:paraId="5E29AF66"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0.0569</w:t>
            </w:r>
          </w:p>
        </w:tc>
        <w:tc>
          <w:tcPr>
            <w:tcW w:w="585" w:type="pct"/>
            <w:vAlign w:val="center"/>
          </w:tcPr>
          <w:p w14:paraId="003AB9B8" w14:textId="77777777" w:rsidR="00BE467A" w:rsidRPr="008F5F67" w:rsidRDefault="00BE467A" w:rsidP="00C81F40">
            <w:pPr>
              <w:jc w:val="center"/>
              <w:rPr>
                <w:rFonts w:asciiTheme="minorHAnsi" w:hAnsiTheme="minorHAnsi"/>
                <w:szCs w:val="21"/>
              </w:rPr>
            </w:pPr>
            <w:r w:rsidRPr="008F5F67">
              <w:rPr>
                <w:rFonts w:asciiTheme="minorHAnsi" w:hAnsiTheme="minorHAnsi"/>
                <w:sz w:val="23"/>
                <w:szCs w:val="23"/>
              </w:rPr>
              <w:t>0.5694</w:t>
            </w:r>
          </w:p>
        </w:tc>
        <w:tc>
          <w:tcPr>
            <w:tcW w:w="585" w:type="pct"/>
            <w:vAlign w:val="center"/>
          </w:tcPr>
          <w:p w14:paraId="67F37D44"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w:t>
            </w:r>
          </w:p>
        </w:tc>
        <w:tc>
          <w:tcPr>
            <w:tcW w:w="549" w:type="pct"/>
            <w:vAlign w:val="center"/>
          </w:tcPr>
          <w:p w14:paraId="0319871B" w14:textId="77777777" w:rsidR="00BE467A" w:rsidRPr="008F5F67" w:rsidRDefault="00BE467A" w:rsidP="00C81F40">
            <w:pPr>
              <w:jc w:val="center"/>
              <w:rPr>
                <w:rFonts w:asciiTheme="minorHAnsi" w:hAnsiTheme="minorHAnsi"/>
                <w:szCs w:val="21"/>
              </w:rPr>
            </w:pPr>
            <w:r w:rsidRPr="008F5F67">
              <w:rPr>
                <w:rFonts w:asciiTheme="minorHAnsi" w:hAnsiTheme="minorHAnsi"/>
                <w:szCs w:val="21"/>
              </w:rPr>
              <w:t>三级</w:t>
            </w:r>
          </w:p>
        </w:tc>
      </w:tr>
    </w:tbl>
    <w:p w14:paraId="53C6ABCF" w14:textId="57AA6943" w:rsidR="001A04B6" w:rsidRPr="001A04B6" w:rsidRDefault="00CA2479" w:rsidP="00BE467A">
      <w:pPr>
        <w:spacing w:line="520" w:lineRule="exact"/>
        <w:ind w:firstLineChars="200" w:firstLine="480"/>
        <w:rPr>
          <w:rFonts w:ascii="Calibri" w:hAnsi="Calibri"/>
          <w:color w:val="auto"/>
          <w:sz w:val="24"/>
        </w:rPr>
      </w:pPr>
      <w:r w:rsidRPr="007A31F6">
        <w:rPr>
          <w:rFonts w:ascii="Calibri" w:hAnsi="Calibri"/>
          <w:color w:val="auto"/>
          <w:sz w:val="24"/>
        </w:rPr>
        <w:t>本项目</w:t>
      </w:r>
      <w:r w:rsidRPr="007A31F6">
        <w:rPr>
          <w:rFonts w:ascii="Calibri" w:hAnsi="Calibri"/>
          <w:color w:val="auto"/>
          <w:sz w:val="24"/>
        </w:rPr>
        <w:t>Pmax</w:t>
      </w:r>
      <w:r w:rsidRPr="007A31F6">
        <w:rPr>
          <w:rFonts w:ascii="Calibri" w:hAnsi="Calibri"/>
          <w:color w:val="auto"/>
          <w:sz w:val="24"/>
        </w:rPr>
        <w:t>最大值出现为导热油炉排放的</w:t>
      </w:r>
      <w:r w:rsidRPr="007A31F6">
        <w:rPr>
          <w:rFonts w:ascii="Calibri" w:hAnsi="Calibri"/>
          <w:color w:val="auto"/>
          <w:sz w:val="24"/>
        </w:rPr>
        <w:t>NOxPmax</w:t>
      </w:r>
      <w:r w:rsidRPr="007A31F6">
        <w:rPr>
          <w:rFonts w:ascii="Calibri" w:hAnsi="Calibri"/>
          <w:color w:val="auto"/>
          <w:sz w:val="24"/>
        </w:rPr>
        <w:t>值为</w:t>
      </w:r>
      <w:r w:rsidRPr="007A31F6">
        <w:rPr>
          <w:rFonts w:ascii="Calibri" w:hAnsi="Calibri"/>
          <w:color w:val="auto"/>
          <w:sz w:val="24"/>
        </w:rPr>
        <w:t>0.8032%</w:t>
      </w:r>
      <w:r w:rsidRPr="007A31F6">
        <w:rPr>
          <w:rFonts w:ascii="Calibri" w:hAnsi="Calibri"/>
          <w:color w:val="auto"/>
          <w:sz w:val="24"/>
        </w:rPr>
        <w:t>，</w:t>
      </w:r>
      <w:r w:rsidRPr="007A31F6">
        <w:rPr>
          <w:rFonts w:ascii="Calibri" w:hAnsi="Calibri"/>
          <w:color w:val="auto"/>
          <w:sz w:val="24"/>
        </w:rPr>
        <w:t>Cmax</w:t>
      </w:r>
      <w:r w:rsidRPr="007A31F6">
        <w:rPr>
          <w:rFonts w:ascii="Calibri" w:hAnsi="Calibri"/>
          <w:color w:val="auto"/>
          <w:sz w:val="24"/>
        </w:rPr>
        <w:t>为</w:t>
      </w:r>
      <w:r w:rsidRPr="007A31F6">
        <w:rPr>
          <w:rFonts w:ascii="Calibri" w:hAnsi="Calibri"/>
          <w:color w:val="auto"/>
          <w:sz w:val="24"/>
        </w:rPr>
        <w:t>2.008μg/m³</w:t>
      </w:r>
      <w:r w:rsidRPr="007A31F6">
        <w:rPr>
          <w:rFonts w:ascii="Calibri" w:hAnsi="Calibri"/>
          <w:color w:val="auto"/>
          <w:sz w:val="24"/>
        </w:rPr>
        <w:t>。根据《环境影响评价技术导则</w:t>
      </w:r>
      <w:r w:rsidRPr="007A31F6">
        <w:rPr>
          <w:rFonts w:ascii="Calibri" w:hAnsi="Calibri"/>
          <w:color w:val="auto"/>
          <w:sz w:val="24"/>
        </w:rPr>
        <w:t xml:space="preserve"> </w:t>
      </w:r>
      <w:r w:rsidRPr="007A31F6">
        <w:rPr>
          <w:rFonts w:ascii="Calibri" w:hAnsi="Calibri"/>
          <w:color w:val="auto"/>
          <w:sz w:val="24"/>
        </w:rPr>
        <w:t>大气环境》（</w:t>
      </w:r>
      <w:r w:rsidRPr="007A31F6">
        <w:rPr>
          <w:rFonts w:ascii="Calibri" w:hAnsi="Calibri"/>
          <w:color w:val="auto"/>
          <w:sz w:val="24"/>
        </w:rPr>
        <w:t>HJ2.2-2018</w:t>
      </w:r>
      <w:r w:rsidR="001A04B6">
        <w:rPr>
          <w:rFonts w:ascii="Calibri" w:hAnsi="Calibri"/>
          <w:color w:val="auto"/>
          <w:sz w:val="24"/>
        </w:rPr>
        <w:t>）分级判据，本项目大气环境影响评价工作等级为三级</w:t>
      </w:r>
      <w:r w:rsidR="001A04B6">
        <w:rPr>
          <w:rFonts w:ascii="Calibri" w:hAnsi="Calibri" w:hint="eastAsia"/>
          <w:color w:val="auto"/>
          <w:sz w:val="24"/>
        </w:rPr>
        <w:t>。</w:t>
      </w:r>
      <w:r w:rsidR="001A04B6" w:rsidRPr="001A04B6">
        <w:rPr>
          <w:rFonts w:ascii="Calibri" w:hAnsi="Calibri" w:hint="eastAsia"/>
          <w:color w:val="auto"/>
          <w:sz w:val="24"/>
        </w:rPr>
        <w:t>根据《环境影响评价技术导则</w:t>
      </w:r>
      <w:r w:rsidR="001A04B6" w:rsidRPr="001A04B6">
        <w:rPr>
          <w:rFonts w:ascii="Calibri" w:hAnsi="Calibri" w:hint="eastAsia"/>
          <w:color w:val="auto"/>
          <w:sz w:val="24"/>
        </w:rPr>
        <w:t xml:space="preserve"> </w:t>
      </w:r>
      <w:r w:rsidR="001A04B6" w:rsidRPr="001A04B6">
        <w:rPr>
          <w:rFonts w:ascii="Calibri" w:hAnsi="Calibri" w:hint="eastAsia"/>
          <w:color w:val="auto"/>
          <w:sz w:val="24"/>
        </w:rPr>
        <w:t>大气环境》（</w:t>
      </w:r>
      <w:r w:rsidR="001A04B6" w:rsidRPr="001A04B6">
        <w:rPr>
          <w:rFonts w:ascii="Calibri" w:hAnsi="Calibri" w:hint="eastAsia"/>
          <w:color w:val="auto"/>
          <w:sz w:val="24"/>
        </w:rPr>
        <w:t>HJ2.2-2018</w:t>
      </w:r>
      <w:r w:rsidR="001A04B6" w:rsidRPr="001A04B6">
        <w:rPr>
          <w:rFonts w:ascii="Calibri" w:hAnsi="Calibri" w:hint="eastAsia"/>
          <w:color w:val="auto"/>
          <w:sz w:val="24"/>
        </w:rPr>
        <w:t>）</w:t>
      </w:r>
      <w:r w:rsidR="001A04B6">
        <w:rPr>
          <w:rFonts w:ascii="Calibri" w:hAnsi="Calibri" w:hint="eastAsia"/>
          <w:color w:val="auto"/>
          <w:sz w:val="24"/>
        </w:rPr>
        <w:t>5.3.3.2</w:t>
      </w:r>
      <w:r w:rsidR="001A04B6" w:rsidRPr="001A04B6">
        <w:rPr>
          <w:rFonts w:ascii="Calibri" w:hAnsi="Calibri" w:hint="eastAsia"/>
          <w:color w:val="auto"/>
          <w:sz w:val="24"/>
        </w:rPr>
        <w:t>对电力、钢铁、水泥、石化、化工、平板玻璃、有色等高耗能行业的多源项目或以使用高污染燃料为主的多源项目，并且编制环境影响报告书的项目评价等级提高一级</w:t>
      </w:r>
      <w:r w:rsidR="001A04B6">
        <w:rPr>
          <w:rFonts w:ascii="Calibri" w:hAnsi="Calibri" w:hint="eastAsia"/>
          <w:color w:val="auto"/>
          <w:sz w:val="24"/>
        </w:rPr>
        <w:t>，</w:t>
      </w:r>
      <w:r w:rsidR="001A04B6">
        <w:rPr>
          <w:rFonts w:ascii="Calibri" w:hAnsi="Calibri"/>
          <w:color w:val="auto"/>
          <w:sz w:val="24"/>
        </w:rPr>
        <w:t>则</w:t>
      </w:r>
      <w:r w:rsidR="001A04B6" w:rsidRPr="007A31F6">
        <w:rPr>
          <w:rFonts w:ascii="Calibri" w:hAnsi="Calibri"/>
          <w:color w:val="auto"/>
          <w:sz w:val="24"/>
        </w:rPr>
        <w:t>确定</w:t>
      </w:r>
      <w:r w:rsidR="001A04B6" w:rsidRPr="00F9700F">
        <w:rPr>
          <w:rFonts w:ascii="Calibri" w:hAnsi="Calibri"/>
          <w:color w:val="auto"/>
          <w:sz w:val="24"/>
        </w:rPr>
        <w:t>本项目大气环境影响评价工作等级为</w:t>
      </w:r>
      <w:r w:rsidR="001A04B6">
        <w:rPr>
          <w:rFonts w:ascii="Calibri" w:hAnsi="Calibri" w:hint="eastAsia"/>
          <w:color w:val="auto"/>
          <w:sz w:val="24"/>
        </w:rPr>
        <w:t>二</w:t>
      </w:r>
      <w:r w:rsidR="001A04B6" w:rsidRPr="00F9700F">
        <w:rPr>
          <w:rFonts w:ascii="Calibri" w:hAnsi="Calibri"/>
          <w:color w:val="auto"/>
          <w:sz w:val="24"/>
        </w:rPr>
        <w:t>级</w:t>
      </w:r>
      <w:r w:rsidR="001A04B6">
        <w:rPr>
          <w:rFonts w:ascii="Calibri" w:hAnsi="Calibri" w:hint="eastAsia"/>
          <w:color w:val="auto"/>
          <w:sz w:val="24"/>
        </w:rPr>
        <w:t>，</w:t>
      </w:r>
      <w:r w:rsidR="001A04B6">
        <w:rPr>
          <w:rFonts w:ascii="Calibri" w:hAnsi="Calibri" w:hint="eastAsia"/>
          <w:sz w:val="24"/>
        </w:rPr>
        <w:t>可不进行进一步的预测与评价。</w:t>
      </w:r>
    </w:p>
    <w:p w14:paraId="07BA0649" w14:textId="77777777" w:rsidR="0055605A" w:rsidRPr="00A964FF" w:rsidRDefault="0055605A" w:rsidP="001A04B6">
      <w:pPr>
        <w:pStyle w:val="00"/>
        <w:ind w:firstLineChars="200" w:firstLine="482"/>
        <w:rPr>
          <w:rFonts w:ascii="Calibri" w:hAnsi="Calibri"/>
          <w:b/>
          <w:color w:val="auto"/>
        </w:rPr>
      </w:pPr>
      <w:r w:rsidRPr="00A964FF">
        <w:rPr>
          <w:rFonts w:ascii="Calibri" w:hAnsi="Calibri" w:hint="eastAsia"/>
          <w:b/>
          <w:color w:val="auto"/>
        </w:rPr>
        <w:t>2</w:t>
      </w:r>
      <w:r w:rsidRPr="00A964FF">
        <w:rPr>
          <w:rFonts w:ascii="Calibri" w:hAnsi="Calibri" w:hint="eastAsia"/>
          <w:b/>
          <w:color w:val="auto"/>
        </w:rPr>
        <w:t>、</w:t>
      </w:r>
      <w:r w:rsidRPr="00A964FF">
        <w:rPr>
          <w:rFonts w:ascii="Calibri" w:hAnsi="Calibri"/>
          <w:b/>
          <w:color w:val="auto"/>
        </w:rPr>
        <w:t>地</w:t>
      </w:r>
      <w:r w:rsidRPr="00A964FF">
        <w:rPr>
          <w:rFonts w:ascii="Calibri" w:hAnsi="Calibri" w:hint="eastAsia"/>
          <w:b/>
          <w:color w:val="auto"/>
        </w:rPr>
        <w:t>表</w:t>
      </w:r>
      <w:r w:rsidRPr="00A964FF">
        <w:rPr>
          <w:rFonts w:ascii="Calibri" w:hAnsi="Calibri"/>
          <w:b/>
          <w:color w:val="auto"/>
        </w:rPr>
        <w:t>水环境评价等级</w:t>
      </w:r>
    </w:p>
    <w:p w14:paraId="068FC915" w14:textId="77777777" w:rsidR="00CA2479" w:rsidRPr="00FC1E23" w:rsidRDefault="0055605A" w:rsidP="00FC1E23">
      <w:pPr>
        <w:pStyle w:val="00"/>
        <w:rPr>
          <w:rFonts w:ascii="Calibri" w:hAnsi="Calibri"/>
          <w:color w:val="auto"/>
        </w:rPr>
      </w:pPr>
      <w:r w:rsidRPr="00A964FF">
        <w:rPr>
          <w:rFonts w:ascii="Calibri" w:hAnsi="Calibri"/>
          <w:color w:val="auto"/>
        </w:rPr>
        <w:t>根据《环境影响评价技术导则</w:t>
      </w:r>
      <w:r w:rsidRPr="00A964FF">
        <w:rPr>
          <w:rFonts w:ascii="Calibri" w:hAnsi="Calibri"/>
          <w:color w:val="auto"/>
        </w:rPr>
        <w:t xml:space="preserve"> </w:t>
      </w:r>
      <w:r w:rsidRPr="00A964FF">
        <w:rPr>
          <w:rFonts w:ascii="Calibri" w:hAnsi="Calibri" w:hint="eastAsia"/>
          <w:color w:val="auto"/>
        </w:rPr>
        <w:t>地表水</w:t>
      </w:r>
      <w:r w:rsidRPr="00A964FF">
        <w:rPr>
          <w:rFonts w:ascii="Calibri" w:hAnsi="Calibri"/>
          <w:color w:val="auto"/>
        </w:rPr>
        <w:t>环境》（</w:t>
      </w:r>
      <w:r w:rsidRPr="00A964FF">
        <w:rPr>
          <w:rFonts w:ascii="Calibri" w:hAnsi="Calibri"/>
          <w:color w:val="auto"/>
        </w:rPr>
        <w:t>HJ2.</w:t>
      </w:r>
      <w:r w:rsidRPr="00A964FF">
        <w:rPr>
          <w:rFonts w:ascii="Calibri" w:hAnsi="Calibri" w:hint="eastAsia"/>
          <w:color w:val="auto"/>
        </w:rPr>
        <w:t>3</w:t>
      </w:r>
      <w:r w:rsidRPr="00A964FF">
        <w:rPr>
          <w:rFonts w:ascii="Calibri" w:hAnsi="Calibri"/>
          <w:color w:val="auto"/>
        </w:rPr>
        <w:t>-2018</w:t>
      </w:r>
      <w:r w:rsidRPr="00A964FF">
        <w:rPr>
          <w:rFonts w:ascii="Calibri" w:hAnsi="Calibri"/>
          <w:color w:val="auto"/>
        </w:rPr>
        <w:t>）</w:t>
      </w:r>
      <w:r w:rsidRPr="00A964FF">
        <w:rPr>
          <w:rFonts w:ascii="Calibri" w:hAnsi="Calibri" w:hint="eastAsia"/>
          <w:color w:val="auto"/>
        </w:rPr>
        <w:t>规定，进行地表水评价工作等级的划分。本项目属于水污染影响型建设项目，根据排放方式和废水排放量划分评价等级，其评价等级判定见表</w:t>
      </w:r>
      <w:r w:rsidRPr="00A964FF">
        <w:rPr>
          <w:rFonts w:ascii="Calibri" w:hAnsi="Calibri" w:hint="eastAsia"/>
          <w:color w:val="auto"/>
        </w:rPr>
        <w:t>1</w:t>
      </w:r>
      <w:r w:rsidR="001E0BBA" w:rsidRPr="00A964FF">
        <w:rPr>
          <w:rFonts w:ascii="Calibri" w:hAnsi="Calibri" w:hint="eastAsia"/>
          <w:color w:val="auto"/>
        </w:rPr>
        <w:t>.6</w:t>
      </w:r>
      <w:r w:rsidRPr="00A964FF">
        <w:rPr>
          <w:rFonts w:ascii="Calibri" w:hAnsi="Calibri" w:hint="eastAsia"/>
          <w:color w:val="auto"/>
        </w:rPr>
        <w:t>-</w:t>
      </w:r>
      <w:r w:rsidR="001E0BBA" w:rsidRPr="00A964FF">
        <w:rPr>
          <w:rFonts w:ascii="Calibri" w:hAnsi="Calibri" w:hint="eastAsia"/>
          <w:color w:val="auto"/>
        </w:rPr>
        <w:t>3</w:t>
      </w:r>
      <w:r w:rsidRPr="00A964FF">
        <w:rPr>
          <w:rFonts w:ascii="Calibri" w:hAnsi="Calibri" w:hint="eastAsia"/>
          <w:color w:val="auto"/>
        </w:rPr>
        <w:t>。</w:t>
      </w:r>
    </w:p>
    <w:p w14:paraId="5521E4B3" w14:textId="77777777" w:rsidR="0055605A" w:rsidRPr="00A964FF" w:rsidRDefault="0055605A" w:rsidP="0055605A">
      <w:pPr>
        <w:pStyle w:val="00"/>
        <w:rPr>
          <w:rFonts w:ascii="Calibri" w:eastAsia="黑体" w:hAnsi="Calibri"/>
          <w:color w:val="auto"/>
        </w:rPr>
      </w:pPr>
      <w:r w:rsidRPr="00A964FF">
        <w:rPr>
          <w:rFonts w:ascii="Calibri" w:eastAsia="黑体" w:hAnsi="Calibri"/>
          <w:color w:val="auto"/>
        </w:rPr>
        <w:t>表</w:t>
      </w:r>
      <w:r w:rsidRPr="00A964FF">
        <w:rPr>
          <w:rFonts w:ascii="Calibri" w:eastAsia="黑体" w:hAnsi="Calibri"/>
          <w:color w:val="auto"/>
        </w:rPr>
        <w:t>1</w:t>
      </w:r>
      <w:r w:rsidR="001E0BBA" w:rsidRPr="00A964FF">
        <w:rPr>
          <w:rFonts w:ascii="Calibri" w:eastAsia="黑体" w:hAnsi="Calibri" w:hint="eastAsia"/>
          <w:color w:val="auto"/>
        </w:rPr>
        <w:t>.6</w:t>
      </w:r>
      <w:r w:rsidRPr="00A964FF">
        <w:rPr>
          <w:rFonts w:ascii="Calibri" w:eastAsia="黑体" w:hAnsi="Calibri"/>
          <w:color w:val="auto"/>
        </w:rPr>
        <w:t>-</w:t>
      </w:r>
      <w:r w:rsidR="001E0BBA" w:rsidRPr="00A964FF">
        <w:rPr>
          <w:rFonts w:ascii="Calibri" w:eastAsia="黑体" w:hAnsi="Calibri" w:hint="eastAsia"/>
          <w:color w:val="auto"/>
        </w:rPr>
        <w:t>3</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地表水环境影响评价等级划分依据</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569"/>
        <w:gridCol w:w="2132"/>
        <w:gridCol w:w="3999"/>
      </w:tblGrid>
      <w:tr w:rsidR="0055605A" w:rsidRPr="00A964FF" w14:paraId="6BD83BF8" w14:textId="77777777" w:rsidTr="0068330E">
        <w:trPr>
          <w:trHeight w:val="340"/>
          <w:jc w:val="center"/>
        </w:trPr>
        <w:tc>
          <w:tcPr>
            <w:tcW w:w="1477" w:type="pct"/>
            <w:vMerge w:val="restart"/>
            <w:vAlign w:val="center"/>
          </w:tcPr>
          <w:p w14:paraId="104F781A" w14:textId="77777777" w:rsidR="0055605A" w:rsidRPr="00A964FF" w:rsidRDefault="0055605A" w:rsidP="003E0795">
            <w:pPr>
              <w:pStyle w:val="af3"/>
              <w:rPr>
                <w:color w:val="auto"/>
              </w:rPr>
            </w:pPr>
            <w:r w:rsidRPr="00A964FF">
              <w:rPr>
                <w:rFonts w:hint="eastAsia"/>
                <w:color w:val="auto"/>
              </w:rPr>
              <w:t>评价等级</w:t>
            </w:r>
          </w:p>
        </w:tc>
        <w:tc>
          <w:tcPr>
            <w:tcW w:w="3523" w:type="pct"/>
            <w:gridSpan w:val="2"/>
            <w:vAlign w:val="center"/>
          </w:tcPr>
          <w:p w14:paraId="53BF4573" w14:textId="77777777" w:rsidR="0055605A" w:rsidRPr="00A964FF" w:rsidRDefault="0055605A" w:rsidP="003E0795">
            <w:pPr>
              <w:pStyle w:val="af3"/>
              <w:rPr>
                <w:color w:val="auto"/>
              </w:rPr>
            </w:pPr>
            <w:r w:rsidRPr="00A964FF">
              <w:rPr>
                <w:rFonts w:hint="eastAsia"/>
                <w:color w:val="auto"/>
              </w:rPr>
              <w:t>判定依据</w:t>
            </w:r>
          </w:p>
        </w:tc>
      </w:tr>
      <w:tr w:rsidR="0055605A" w:rsidRPr="00A964FF" w14:paraId="6B5C89D0" w14:textId="77777777" w:rsidTr="0068330E">
        <w:trPr>
          <w:trHeight w:val="340"/>
          <w:jc w:val="center"/>
        </w:trPr>
        <w:tc>
          <w:tcPr>
            <w:tcW w:w="1477" w:type="pct"/>
            <w:vMerge/>
            <w:vAlign w:val="center"/>
          </w:tcPr>
          <w:p w14:paraId="61818836" w14:textId="77777777" w:rsidR="0055605A" w:rsidRPr="00A964FF" w:rsidRDefault="0055605A" w:rsidP="003E0795">
            <w:pPr>
              <w:pStyle w:val="af3"/>
              <w:rPr>
                <w:color w:val="auto"/>
              </w:rPr>
            </w:pPr>
          </w:p>
        </w:tc>
        <w:tc>
          <w:tcPr>
            <w:tcW w:w="1225" w:type="pct"/>
            <w:tcBorders>
              <w:right w:val="single" w:sz="4" w:space="0" w:color="auto"/>
            </w:tcBorders>
            <w:vAlign w:val="center"/>
          </w:tcPr>
          <w:p w14:paraId="415367D8" w14:textId="77777777" w:rsidR="0055605A" w:rsidRPr="00A964FF" w:rsidRDefault="0055605A" w:rsidP="003E0795">
            <w:pPr>
              <w:pStyle w:val="af3"/>
              <w:rPr>
                <w:color w:val="auto"/>
              </w:rPr>
            </w:pPr>
            <w:r w:rsidRPr="00A964FF">
              <w:rPr>
                <w:rFonts w:hint="eastAsia"/>
                <w:color w:val="auto"/>
              </w:rPr>
              <w:t>排放方式</w:t>
            </w:r>
          </w:p>
        </w:tc>
        <w:tc>
          <w:tcPr>
            <w:tcW w:w="2298" w:type="pct"/>
            <w:tcBorders>
              <w:left w:val="single" w:sz="4" w:space="0" w:color="auto"/>
            </w:tcBorders>
            <w:vAlign w:val="center"/>
          </w:tcPr>
          <w:p w14:paraId="37C39659" w14:textId="77777777" w:rsidR="0055605A" w:rsidRPr="00A964FF" w:rsidRDefault="0055605A" w:rsidP="003E0795">
            <w:pPr>
              <w:pStyle w:val="af3"/>
              <w:rPr>
                <w:color w:val="auto"/>
              </w:rPr>
            </w:pPr>
            <w:r w:rsidRPr="00A964FF">
              <w:rPr>
                <w:rFonts w:hint="eastAsia"/>
                <w:color w:val="auto"/>
              </w:rPr>
              <w:t>废水排放量</w:t>
            </w:r>
            <w:r w:rsidRPr="00A964FF">
              <w:rPr>
                <w:rFonts w:hint="eastAsia"/>
                <w:color w:val="auto"/>
              </w:rPr>
              <w:t>Q/</w:t>
            </w:r>
            <w:r w:rsidRPr="00A964FF">
              <w:rPr>
                <w:rFonts w:hint="eastAsia"/>
                <w:color w:val="auto"/>
              </w:rPr>
              <w:t>（</w:t>
            </w:r>
            <w:r w:rsidRPr="00A964FF">
              <w:rPr>
                <w:rFonts w:hint="eastAsia"/>
                <w:color w:val="auto"/>
              </w:rPr>
              <w:t>m</w:t>
            </w:r>
            <w:r w:rsidRPr="00A964FF">
              <w:rPr>
                <w:rFonts w:hint="eastAsia"/>
                <w:color w:val="auto"/>
                <w:vertAlign w:val="superscript"/>
              </w:rPr>
              <w:t>3</w:t>
            </w:r>
            <w:r w:rsidRPr="00A964FF">
              <w:rPr>
                <w:rFonts w:hint="eastAsia"/>
                <w:color w:val="auto"/>
              </w:rPr>
              <w:t>/d</w:t>
            </w:r>
            <w:r w:rsidRPr="00A964FF">
              <w:rPr>
                <w:rFonts w:hint="eastAsia"/>
                <w:color w:val="auto"/>
              </w:rPr>
              <w:t>）；</w:t>
            </w:r>
          </w:p>
          <w:p w14:paraId="656B95BE" w14:textId="77777777" w:rsidR="0055605A" w:rsidRPr="00A964FF" w:rsidRDefault="0055605A" w:rsidP="003E0795">
            <w:pPr>
              <w:pStyle w:val="af3"/>
              <w:rPr>
                <w:color w:val="auto"/>
              </w:rPr>
            </w:pPr>
            <w:r w:rsidRPr="00A964FF">
              <w:rPr>
                <w:rFonts w:hint="eastAsia"/>
                <w:color w:val="auto"/>
              </w:rPr>
              <w:t>水污染物当量数</w:t>
            </w:r>
            <w:r w:rsidRPr="00A964FF">
              <w:rPr>
                <w:rFonts w:hint="eastAsia"/>
                <w:color w:val="auto"/>
              </w:rPr>
              <w:t>W/</w:t>
            </w:r>
            <w:r w:rsidRPr="00A964FF">
              <w:rPr>
                <w:rFonts w:hint="eastAsia"/>
                <w:color w:val="auto"/>
              </w:rPr>
              <w:t>（无量纲）</w:t>
            </w:r>
          </w:p>
        </w:tc>
      </w:tr>
      <w:tr w:rsidR="0055605A" w:rsidRPr="00A964FF" w14:paraId="1FE9BA22" w14:textId="77777777" w:rsidTr="0068330E">
        <w:trPr>
          <w:trHeight w:val="340"/>
          <w:jc w:val="center"/>
        </w:trPr>
        <w:tc>
          <w:tcPr>
            <w:tcW w:w="1477" w:type="pct"/>
            <w:vAlign w:val="center"/>
          </w:tcPr>
          <w:p w14:paraId="581FF110" w14:textId="77777777" w:rsidR="0055605A" w:rsidRPr="00A964FF" w:rsidRDefault="0055605A" w:rsidP="003E0795">
            <w:pPr>
              <w:pStyle w:val="af3"/>
              <w:rPr>
                <w:color w:val="auto"/>
              </w:rPr>
            </w:pPr>
            <w:r w:rsidRPr="00A964FF">
              <w:rPr>
                <w:rFonts w:hint="eastAsia"/>
                <w:color w:val="auto"/>
              </w:rPr>
              <w:t>一级</w:t>
            </w:r>
          </w:p>
        </w:tc>
        <w:tc>
          <w:tcPr>
            <w:tcW w:w="1225" w:type="pct"/>
            <w:tcBorders>
              <w:right w:val="single" w:sz="4" w:space="0" w:color="auto"/>
            </w:tcBorders>
            <w:vAlign w:val="center"/>
          </w:tcPr>
          <w:p w14:paraId="5C6FE06E" w14:textId="77777777" w:rsidR="0055605A" w:rsidRPr="00A964FF" w:rsidRDefault="0055605A" w:rsidP="003E0795">
            <w:pPr>
              <w:pStyle w:val="af3"/>
              <w:rPr>
                <w:color w:val="auto"/>
              </w:rPr>
            </w:pPr>
            <w:r w:rsidRPr="00A964FF">
              <w:rPr>
                <w:rFonts w:hint="eastAsia"/>
                <w:color w:val="auto"/>
              </w:rPr>
              <w:t>直接排放</w:t>
            </w:r>
          </w:p>
        </w:tc>
        <w:tc>
          <w:tcPr>
            <w:tcW w:w="2298" w:type="pct"/>
            <w:tcBorders>
              <w:left w:val="single" w:sz="4" w:space="0" w:color="auto"/>
            </w:tcBorders>
            <w:vAlign w:val="center"/>
          </w:tcPr>
          <w:p w14:paraId="4B01D233" w14:textId="77777777" w:rsidR="0055605A" w:rsidRPr="00A964FF" w:rsidRDefault="0055605A" w:rsidP="003E0795">
            <w:pPr>
              <w:pStyle w:val="af3"/>
              <w:rPr>
                <w:color w:val="auto"/>
              </w:rPr>
            </w:pPr>
            <w:r w:rsidRPr="00A964FF">
              <w:rPr>
                <w:rFonts w:hint="eastAsia"/>
                <w:color w:val="auto"/>
              </w:rPr>
              <w:t>Q</w:t>
            </w:r>
            <w:r w:rsidRPr="00A964FF">
              <w:rPr>
                <w:rFonts w:hint="eastAsia"/>
                <w:color w:val="auto"/>
              </w:rPr>
              <w:t>≥</w:t>
            </w:r>
            <w:r w:rsidRPr="00A964FF">
              <w:rPr>
                <w:rFonts w:hint="eastAsia"/>
                <w:color w:val="auto"/>
              </w:rPr>
              <w:t>20000</w:t>
            </w:r>
            <w:r w:rsidRPr="00A964FF">
              <w:rPr>
                <w:rFonts w:hint="eastAsia"/>
                <w:color w:val="auto"/>
              </w:rPr>
              <w:t>或</w:t>
            </w:r>
            <w:r w:rsidRPr="00A964FF">
              <w:rPr>
                <w:rFonts w:hint="eastAsia"/>
                <w:color w:val="auto"/>
              </w:rPr>
              <w:t>W</w:t>
            </w:r>
            <w:r w:rsidRPr="00A964FF">
              <w:rPr>
                <w:rFonts w:hint="eastAsia"/>
                <w:color w:val="auto"/>
              </w:rPr>
              <w:t>≥</w:t>
            </w:r>
            <w:r w:rsidRPr="00A964FF">
              <w:rPr>
                <w:rFonts w:hint="eastAsia"/>
                <w:color w:val="auto"/>
              </w:rPr>
              <w:t>600000</w:t>
            </w:r>
          </w:p>
        </w:tc>
      </w:tr>
      <w:tr w:rsidR="0055605A" w:rsidRPr="00A964FF" w14:paraId="5D2EDD7B" w14:textId="77777777" w:rsidTr="0068330E">
        <w:trPr>
          <w:trHeight w:val="340"/>
          <w:jc w:val="center"/>
        </w:trPr>
        <w:tc>
          <w:tcPr>
            <w:tcW w:w="1477" w:type="pct"/>
            <w:vAlign w:val="center"/>
          </w:tcPr>
          <w:p w14:paraId="64966864" w14:textId="77777777" w:rsidR="0055605A" w:rsidRPr="00A964FF" w:rsidRDefault="0055605A" w:rsidP="003E0795">
            <w:pPr>
              <w:pStyle w:val="af3"/>
              <w:rPr>
                <w:color w:val="auto"/>
              </w:rPr>
            </w:pPr>
            <w:r w:rsidRPr="00A964FF">
              <w:rPr>
                <w:rFonts w:hint="eastAsia"/>
                <w:color w:val="auto"/>
              </w:rPr>
              <w:t>二级</w:t>
            </w:r>
          </w:p>
        </w:tc>
        <w:tc>
          <w:tcPr>
            <w:tcW w:w="1225" w:type="pct"/>
            <w:tcBorders>
              <w:right w:val="single" w:sz="4" w:space="0" w:color="auto"/>
            </w:tcBorders>
            <w:vAlign w:val="center"/>
          </w:tcPr>
          <w:p w14:paraId="792FAD73" w14:textId="77777777" w:rsidR="0055605A" w:rsidRPr="00A964FF" w:rsidRDefault="0055605A" w:rsidP="003E0795">
            <w:pPr>
              <w:pStyle w:val="af3"/>
              <w:rPr>
                <w:color w:val="auto"/>
              </w:rPr>
            </w:pPr>
            <w:r w:rsidRPr="00A964FF">
              <w:rPr>
                <w:rFonts w:hint="eastAsia"/>
                <w:color w:val="auto"/>
              </w:rPr>
              <w:t>直接排放</w:t>
            </w:r>
          </w:p>
        </w:tc>
        <w:tc>
          <w:tcPr>
            <w:tcW w:w="2298" w:type="pct"/>
            <w:tcBorders>
              <w:left w:val="single" w:sz="4" w:space="0" w:color="auto"/>
            </w:tcBorders>
            <w:vAlign w:val="center"/>
          </w:tcPr>
          <w:p w14:paraId="351E0EE9" w14:textId="77777777" w:rsidR="0055605A" w:rsidRPr="00A964FF" w:rsidRDefault="0055605A" w:rsidP="003E0795">
            <w:pPr>
              <w:pStyle w:val="af3"/>
              <w:rPr>
                <w:color w:val="auto"/>
              </w:rPr>
            </w:pPr>
            <w:r w:rsidRPr="00A964FF">
              <w:rPr>
                <w:rFonts w:hint="eastAsia"/>
                <w:color w:val="auto"/>
              </w:rPr>
              <w:t>其他</w:t>
            </w:r>
          </w:p>
        </w:tc>
      </w:tr>
      <w:tr w:rsidR="0055605A" w:rsidRPr="00A964FF" w14:paraId="441E38B1" w14:textId="77777777" w:rsidTr="0068330E">
        <w:trPr>
          <w:trHeight w:val="340"/>
          <w:jc w:val="center"/>
        </w:trPr>
        <w:tc>
          <w:tcPr>
            <w:tcW w:w="1477" w:type="pct"/>
            <w:vAlign w:val="center"/>
          </w:tcPr>
          <w:p w14:paraId="69F3938B" w14:textId="77777777" w:rsidR="0055605A" w:rsidRPr="00A964FF" w:rsidRDefault="0055605A" w:rsidP="003E0795">
            <w:pPr>
              <w:pStyle w:val="af3"/>
              <w:rPr>
                <w:color w:val="auto"/>
              </w:rPr>
            </w:pPr>
            <w:r w:rsidRPr="00A964FF">
              <w:rPr>
                <w:rFonts w:hint="eastAsia"/>
                <w:color w:val="auto"/>
              </w:rPr>
              <w:t>三级</w:t>
            </w:r>
            <w:r w:rsidRPr="00A964FF">
              <w:rPr>
                <w:rFonts w:hint="eastAsia"/>
                <w:color w:val="auto"/>
              </w:rPr>
              <w:t>A</w:t>
            </w:r>
          </w:p>
        </w:tc>
        <w:tc>
          <w:tcPr>
            <w:tcW w:w="1225" w:type="pct"/>
            <w:tcBorders>
              <w:right w:val="single" w:sz="4" w:space="0" w:color="auto"/>
            </w:tcBorders>
            <w:vAlign w:val="center"/>
          </w:tcPr>
          <w:p w14:paraId="40702FDC" w14:textId="77777777" w:rsidR="0055605A" w:rsidRPr="00A964FF" w:rsidRDefault="0055605A" w:rsidP="003E0795">
            <w:pPr>
              <w:pStyle w:val="af3"/>
              <w:rPr>
                <w:color w:val="auto"/>
              </w:rPr>
            </w:pPr>
            <w:r w:rsidRPr="00A964FF">
              <w:rPr>
                <w:rFonts w:hint="eastAsia"/>
                <w:color w:val="auto"/>
              </w:rPr>
              <w:t>直接排放</w:t>
            </w:r>
          </w:p>
        </w:tc>
        <w:tc>
          <w:tcPr>
            <w:tcW w:w="2298" w:type="pct"/>
            <w:tcBorders>
              <w:left w:val="single" w:sz="4" w:space="0" w:color="auto"/>
            </w:tcBorders>
            <w:vAlign w:val="center"/>
          </w:tcPr>
          <w:p w14:paraId="2AE8E822" w14:textId="77777777" w:rsidR="0055605A" w:rsidRPr="00A964FF" w:rsidRDefault="0055605A" w:rsidP="003E0795">
            <w:pPr>
              <w:pStyle w:val="af3"/>
              <w:rPr>
                <w:color w:val="auto"/>
              </w:rPr>
            </w:pPr>
            <w:r w:rsidRPr="00A964FF">
              <w:rPr>
                <w:rFonts w:hint="eastAsia"/>
                <w:color w:val="auto"/>
              </w:rPr>
              <w:t>Q</w:t>
            </w:r>
            <w:r w:rsidRPr="00A964FF">
              <w:rPr>
                <w:rFonts w:hint="eastAsia"/>
                <w:color w:val="auto"/>
              </w:rPr>
              <w:t>＜</w:t>
            </w:r>
            <w:r w:rsidRPr="00A964FF">
              <w:rPr>
                <w:rFonts w:hint="eastAsia"/>
                <w:color w:val="auto"/>
              </w:rPr>
              <w:t>200</w:t>
            </w:r>
            <w:r w:rsidRPr="00A964FF">
              <w:rPr>
                <w:rFonts w:hint="eastAsia"/>
                <w:color w:val="auto"/>
              </w:rPr>
              <w:t>且</w:t>
            </w:r>
            <w:r w:rsidRPr="00A964FF">
              <w:rPr>
                <w:rFonts w:hint="eastAsia"/>
                <w:color w:val="auto"/>
              </w:rPr>
              <w:t>W</w:t>
            </w:r>
            <w:r w:rsidRPr="00A964FF">
              <w:rPr>
                <w:rFonts w:hint="eastAsia"/>
                <w:color w:val="auto"/>
              </w:rPr>
              <w:t>＜</w:t>
            </w:r>
            <w:r w:rsidRPr="00A964FF">
              <w:rPr>
                <w:rFonts w:hint="eastAsia"/>
                <w:color w:val="auto"/>
              </w:rPr>
              <w:t>600</w:t>
            </w:r>
          </w:p>
        </w:tc>
      </w:tr>
      <w:tr w:rsidR="0055605A" w:rsidRPr="00A964FF" w14:paraId="587AB452" w14:textId="77777777" w:rsidTr="0068330E">
        <w:trPr>
          <w:trHeight w:val="340"/>
          <w:jc w:val="center"/>
        </w:trPr>
        <w:tc>
          <w:tcPr>
            <w:tcW w:w="1477" w:type="pct"/>
            <w:vAlign w:val="center"/>
          </w:tcPr>
          <w:p w14:paraId="5671BE0F" w14:textId="77777777" w:rsidR="0055605A" w:rsidRPr="00A964FF" w:rsidRDefault="0055605A" w:rsidP="003E0795">
            <w:pPr>
              <w:pStyle w:val="af3"/>
              <w:rPr>
                <w:color w:val="auto"/>
              </w:rPr>
            </w:pPr>
            <w:r w:rsidRPr="00A964FF">
              <w:rPr>
                <w:rFonts w:hint="eastAsia"/>
                <w:color w:val="auto"/>
              </w:rPr>
              <w:t>三级</w:t>
            </w:r>
            <w:r w:rsidRPr="00A964FF">
              <w:rPr>
                <w:rFonts w:hint="eastAsia"/>
                <w:color w:val="auto"/>
              </w:rPr>
              <w:t>B</w:t>
            </w:r>
          </w:p>
        </w:tc>
        <w:tc>
          <w:tcPr>
            <w:tcW w:w="1225" w:type="pct"/>
            <w:tcBorders>
              <w:right w:val="single" w:sz="4" w:space="0" w:color="auto"/>
            </w:tcBorders>
            <w:vAlign w:val="center"/>
          </w:tcPr>
          <w:p w14:paraId="64952488" w14:textId="77777777" w:rsidR="0055605A" w:rsidRPr="00A964FF" w:rsidRDefault="0055605A" w:rsidP="003E0795">
            <w:pPr>
              <w:pStyle w:val="af3"/>
              <w:rPr>
                <w:color w:val="auto"/>
              </w:rPr>
            </w:pPr>
            <w:r w:rsidRPr="00A964FF">
              <w:rPr>
                <w:rFonts w:hint="eastAsia"/>
                <w:color w:val="auto"/>
              </w:rPr>
              <w:t>间接排放</w:t>
            </w:r>
          </w:p>
        </w:tc>
        <w:tc>
          <w:tcPr>
            <w:tcW w:w="2298" w:type="pct"/>
            <w:tcBorders>
              <w:left w:val="single" w:sz="4" w:space="0" w:color="auto"/>
            </w:tcBorders>
            <w:vAlign w:val="center"/>
          </w:tcPr>
          <w:p w14:paraId="48A76280" w14:textId="77777777" w:rsidR="0055605A" w:rsidRPr="00A964FF" w:rsidRDefault="0055605A" w:rsidP="003E0795">
            <w:pPr>
              <w:pStyle w:val="af3"/>
              <w:rPr>
                <w:color w:val="auto"/>
              </w:rPr>
            </w:pPr>
            <w:r w:rsidRPr="00A964FF">
              <w:rPr>
                <w:rFonts w:hint="eastAsia"/>
                <w:color w:val="auto"/>
              </w:rPr>
              <w:t>—</w:t>
            </w:r>
          </w:p>
        </w:tc>
      </w:tr>
    </w:tbl>
    <w:p w14:paraId="7664963C" w14:textId="77777777" w:rsidR="00A652C0" w:rsidRPr="00815F14" w:rsidRDefault="0055605A" w:rsidP="00815F14">
      <w:pPr>
        <w:pStyle w:val="00"/>
        <w:rPr>
          <w:rFonts w:ascii="Calibri"/>
          <w:bCs/>
          <w:color w:val="auto"/>
        </w:rPr>
      </w:pPr>
      <w:r w:rsidRPr="00A964FF">
        <w:rPr>
          <w:rFonts w:ascii="Calibri" w:hAnsi="Calibri" w:hint="eastAsia"/>
          <w:bCs/>
          <w:color w:val="auto"/>
        </w:rPr>
        <w:t>根据工程分析和现状调查，本项目</w:t>
      </w:r>
      <w:r w:rsidR="004F6C93" w:rsidRPr="00A964FF">
        <w:rPr>
          <w:rFonts w:ascii="Calibri" w:hint="eastAsia"/>
          <w:color w:val="auto"/>
        </w:rPr>
        <w:t>营运期生产废水、生活污水等经厂区自建废水处理站处理达到</w:t>
      </w:r>
      <w:r w:rsidR="00BF4CA5" w:rsidRPr="00BF4CA5">
        <w:rPr>
          <w:rFonts w:ascii="Calibri" w:hint="eastAsia"/>
          <w:color w:val="auto"/>
        </w:rPr>
        <w:t>《合成树脂工业污染物排放标准》（</w:t>
      </w:r>
      <w:r w:rsidR="00BF4CA5" w:rsidRPr="00BF4CA5">
        <w:rPr>
          <w:rFonts w:ascii="Calibri" w:hint="eastAsia"/>
          <w:color w:val="auto"/>
        </w:rPr>
        <w:t>GB31572-2015</w:t>
      </w:r>
      <w:r w:rsidR="00BF4CA5" w:rsidRPr="00BF4CA5">
        <w:rPr>
          <w:rFonts w:ascii="Calibri" w:hint="eastAsia"/>
          <w:color w:val="auto"/>
        </w:rPr>
        <w:t>）表</w:t>
      </w:r>
      <w:r w:rsidR="00BF4CA5">
        <w:rPr>
          <w:rFonts w:ascii="Calibri" w:hint="eastAsia"/>
          <w:color w:val="auto"/>
        </w:rPr>
        <w:t>1</w:t>
      </w:r>
      <w:r w:rsidR="00BF4CA5" w:rsidRPr="00BF4CA5">
        <w:rPr>
          <w:rFonts w:ascii="Calibri" w:hint="eastAsia"/>
          <w:color w:val="auto"/>
        </w:rPr>
        <w:t>间接排放标准</w:t>
      </w:r>
      <w:r w:rsidR="004F6C93" w:rsidRPr="00A964FF">
        <w:rPr>
          <w:rFonts w:ascii="Calibri" w:hint="eastAsia"/>
          <w:bCs/>
          <w:color w:val="auto"/>
        </w:rPr>
        <w:t>限值</w:t>
      </w:r>
      <w:r w:rsidR="00FC1E23">
        <w:rPr>
          <w:rFonts w:ascii="Calibri" w:hint="eastAsia"/>
          <w:bCs/>
          <w:color w:val="auto"/>
        </w:rPr>
        <w:t>，</w:t>
      </w:r>
      <w:r w:rsidR="00FC1E23" w:rsidRPr="00FC1E23">
        <w:rPr>
          <w:rFonts w:ascii="Calibri"/>
          <w:color w:val="auto"/>
        </w:rPr>
        <w:t>同时满足</w:t>
      </w:r>
      <w:r w:rsidR="00FC1E23" w:rsidRPr="00FC1E23">
        <w:rPr>
          <w:rFonts w:ascii="Calibri" w:hint="eastAsia"/>
          <w:color w:val="auto"/>
        </w:rPr>
        <w:t>《</w:t>
      </w:r>
      <w:r w:rsidR="00FC1E23" w:rsidRPr="00FC1E23">
        <w:rPr>
          <w:rFonts w:ascii="Calibri"/>
          <w:color w:val="auto"/>
        </w:rPr>
        <w:t>化工行业水污染物间接排放标准》（</w:t>
      </w:r>
      <w:r w:rsidR="00FC1E23" w:rsidRPr="00FC1E23">
        <w:rPr>
          <w:rFonts w:ascii="Calibri"/>
          <w:color w:val="auto"/>
        </w:rPr>
        <w:t>DB41/1135-2016</w:t>
      </w:r>
      <w:r w:rsidR="00FC1E23" w:rsidRPr="00FC1E23">
        <w:rPr>
          <w:rFonts w:ascii="Calibri"/>
          <w:color w:val="auto"/>
        </w:rPr>
        <w:t>）</w:t>
      </w:r>
      <w:r w:rsidR="00FC1E23" w:rsidRPr="00FC1E23">
        <w:rPr>
          <w:rFonts w:ascii="Calibri" w:hint="eastAsia"/>
          <w:color w:val="auto"/>
        </w:rPr>
        <w:t>标准</w:t>
      </w:r>
      <w:r w:rsidR="00FC1E23" w:rsidRPr="00FC1E23">
        <w:rPr>
          <w:rFonts w:ascii="Calibri"/>
          <w:color w:val="auto"/>
        </w:rPr>
        <w:t>限值</w:t>
      </w:r>
      <w:r w:rsidR="004F6C93" w:rsidRPr="00FC1E23">
        <w:rPr>
          <w:rFonts w:ascii="Calibri" w:hint="eastAsia"/>
          <w:color w:val="auto"/>
        </w:rPr>
        <w:t>后，排入</w:t>
      </w:r>
      <w:r w:rsidR="004F6C93" w:rsidRPr="00A964FF">
        <w:rPr>
          <w:rFonts w:ascii="Calibri" w:hint="eastAsia"/>
          <w:bCs/>
          <w:color w:val="auto"/>
        </w:rPr>
        <w:t>集聚区市政污水管网，进入</w:t>
      </w:r>
      <w:r w:rsidR="00E81130" w:rsidRPr="00A964FF">
        <w:rPr>
          <w:rFonts w:ascii="Calibri" w:hint="eastAsia"/>
          <w:bCs/>
          <w:color w:val="auto"/>
        </w:rPr>
        <w:t>集聚区</w:t>
      </w:r>
      <w:r w:rsidR="004F6C93" w:rsidRPr="00A964FF">
        <w:rPr>
          <w:rFonts w:ascii="Calibri" w:hint="eastAsia"/>
          <w:bCs/>
          <w:color w:val="auto"/>
        </w:rPr>
        <w:t>污水处理厂集中处理，最终排入</w:t>
      </w:r>
      <w:r w:rsidR="00F17F5C" w:rsidRPr="00A964FF">
        <w:rPr>
          <w:rFonts w:ascii="Calibri" w:hint="eastAsia"/>
          <w:bCs/>
          <w:color w:val="auto"/>
        </w:rPr>
        <w:t>关庙沟</w:t>
      </w:r>
      <w:r w:rsidR="004F6C93" w:rsidRPr="00A964FF">
        <w:rPr>
          <w:rFonts w:ascii="Calibri" w:hint="eastAsia"/>
          <w:bCs/>
          <w:color w:val="auto"/>
        </w:rPr>
        <w:t>。</w:t>
      </w:r>
      <w:r w:rsidR="00E81130" w:rsidRPr="00A964FF">
        <w:rPr>
          <w:rFonts w:ascii="Calibri" w:hint="eastAsia"/>
          <w:bCs/>
          <w:color w:val="auto"/>
        </w:rPr>
        <w:lastRenderedPageBreak/>
        <w:t>本项目废水属于间接排放，</w:t>
      </w:r>
      <w:r w:rsidRPr="00A964FF">
        <w:rPr>
          <w:rFonts w:ascii="Calibri" w:hAnsi="Calibri"/>
          <w:color w:val="auto"/>
        </w:rPr>
        <w:t>根据《环境影响评价技术导则</w:t>
      </w:r>
      <w:r w:rsidRPr="00A964FF">
        <w:rPr>
          <w:rFonts w:ascii="Calibri" w:hAnsi="Calibri"/>
          <w:color w:val="auto"/>
        </w:rPr>
        <w:t xml:space="preserve"> </w:t>
      </w:r>
      <w:r w:rsidRPr="00A964FF">
        <w:rPr>
          <w:rFonts w:ascii="Calibri" w:hAnsi="Calibri" w:hint="eastAsia"/>
          <w:color w:val="auto"/>
        </w:rPr>
        <w:t>地表水</w:t>
      </w:r>
      <w:r w:rsidRPr="00A964FF">
        <w:rPr>
          <w:rFonts w:ascii="Calibri" w:hAnsi="Calibri"/>
          <w:color w:val="auto"/>
        </w:rPr>
        <w:t>环境》（</w:t>
      </w:r>
      <w:r w:rsidRPr="00A964FF">
        <w:rPr>
          <w:rFonts w:ascii="Calibri" w:hAnsi="Calibri"/>
          <w:color w:val="auto"/>
        </w:rPr>
        <w:t>HJ2.</w:t>
      </w:r>
      <w:r w:rsidRPr="00A964FF">
        <w:rPr>
          <w:rFonts w:ascii="Calibri" w:hAnsi="Calibri" w:hint="eastAsia"/>
          <w:color w:val="auto"/>
        </w:rPr>
        <w:t>3</w:t>
      </w:r>
      <w:r w:rsidRPr="00A964FF">
        <w:rPr>
          <w:rFonts w:ascii="Calibri" w:hAnsi="Calibri"/>
          <w:color w:val="auto"/>
        </w:rPr>
        <w:t>-2018</w:t>
      </w:r>
      <w:r w:rsidRPr="00A964FF">
        <w:rPr>
          <w:rFonts w:ascii="Calibri" w:hAnsi="Calibri"/>
          <w:color w:val="auto"/>
        </w:rPr>
        <w:t>）</w:t>
      </w:r>
      <w:r w:rsidRPr="00A964FF">
        <w:rPr>
          <w:rFonts w:ascii="Calibri" w:hAnsi="Calibri" w:hint="eastAsia"/>
          <w:color w:val="auto"/>
        </w:rPr>
        <w:t>规定，地表水评价等级为三级</w:t>
      </w:r>
      <w:r w:rsidRPr="00A964FF">
        <w:rPr>
          <w:rFonts w:ascii="Calibri" w:hAnsi="Calibri" w:hint="eastAsia"/>
          <w:color w:val="auto"/>
        </w:rPr>
        <w:t>B</w:t>
      </w:r>
      <w:r w:rsidRPr="00A964FF">
        <w:rPr>
          <w:rFonts w:ascii="Calibri" w:hAnsi="Calibri" w:hint="eastAsia"/>
          <w:color w:val="auto"/>
        </w:rPr>
        <w:t>。</w:t>
      </w:r>
    </w:p>
    <w:p w14:paraId="0BE483F2" w14:textId="77777777" w:rsidR="0055605A" w:rsidRPr="00A964FF" w:rsidRDefault="0055605A" w:rsidP="0055605A">
      <w:pPr>
        <w:pStyle w:val="00"/>
        <w:rPr>
          <w:rFonts w:ascii="Calibri" w:hAnsi="Calibri"/>
          <w:b/>
          <w:color w:val="auto"/>
        </w:rPr>
      </w:pPr>
      <w:r w:rsidRPr="00A964FF">
        <w:rPr>
          <w:rFonts w:ascii="Calibri" w:hAnsi="Calibri" w:hint="eastAsia"/>
          <w:b/>
          <w:color w:val="auto"/>
        </w:rPr>
        <w:t>3</w:t>
      </w:r>
      <w:r w:rsidRPr="00A964FF">
        <w:rPr>
          <w:rFonts w:ascii="Calibri" w:hAnsi="Calibri" w:hint="eastAsia"/>
          <w:b/>
          <w:color w:val="auto"/>
        </w:rPr>
        <w:t>、地下水环境评价等级</w:t>
      </w:r>
    </w:p>
    <w:p w14:paraId="58A69009" w14:textId="77777777" w:rsidR="00F44CBD" w:rsidRPr="00BF4CA5" w:rsidRDefault="0055605A" w:rsidP="00BF4CA5">
      <w:pPr>
        <w:spacing w:line="520" w:lineRule="exact"/>
        <w:ind w:firstLineChars="200" w:firstLine="480"/>
        <w:jc w:val="left"/>
        <w:rPr>
          <w:rFonts w:ascii="Calibri"/>
          <w:color w:val="auto"/>
          <w:sz w:val="24"/>
        </w:rPr>
      </w:pPr>
      <w:r w:rsidRPr="00A964FF">
        <w:rPr>
          <w:rFonts w:ascii="Calibri"/>
          <w:color w:val="auto"/>
          <w:sz w:val="24"/>
        </w:rPr>
        <w:t>根据《环境影响评价技术导则</w:t>
      </w:r>
      <w:r w:rsidRPr="00A964FF">
        <w:rPr>
          <w:rFonts w:ascii="Calibri" w:hAnsi="Calibri"/>
          <w:color w:val="auto"/>
          <w:sz w:val="24"/>
        </w:rPr>
        <w:t xml:space="preserve">  </w:t>
      </w:r>
      <w:r w:rsidRPr="00A964FF">
        <w:rPr>
          <w:rFonts w:ascii="Calibri"/>
          <w:color w:val="auto"/>
          <w:sz w:val="24"/>
        </w:rPr>
        <w:t>地</w:t>
      </w:r>
      <w:r w:rsidRPr="00A964FF">
        <w:rPr>
          <w:rFonts w:ascii="Calibri" w:hint="eastAsia"/>
          <w:color w:val="auto"/>
          <w:sz w:val="24"/>
        </w:rPr>
        <w:t>下水</w:t>
      </w:r>
      <w:r w:rsidRPr="00A964FF">
        <w:rPr>
          <w:rFonts w:ascii="Calibri"/>
          <w:color w:val="auto"/>
          <w:sz w:val="24"/>
        </w:rPr>
        <w:t>环境》（</w:t>
      </w:r>
      <w:r w:rsidRPr="00A964FF">
        <w:rPr>
          <w:rFonts w:ascii="Calibri" w:hAnsi="Calibri"/>
          <w:color w:val="auto"/>
          <w:sz w:val="24"/>
        </w:rPr>
        <w:t>HJ610-2016</w:t>
      </w:r>
      <w:r w:rsidRPr="00A964FF">
        <w:rPr>
          <w:rFonts w:ascii="Calibri"/>
          <w:color w:val="auto"/>
          <w:sz w:val="24"/>
        </w:rPr>
        <w:t>）</w:t>
      </w:r>
      <w:r w:rsidRPr="00A964FF">
        <w:rPr>
          <w:rFonts w:ascii="Calibri" w:hint="eastAsia"/>
          <w:color w:val="auto"/>
          <w:sz w:val="24"/>
        </w:rPr>
        <w:t>中附录</w:t>
      </w:r>
      <w:r w:rsidRPr="00A964FF">
        <w:rPr>
          <w:rFonts w:ascii="Calibri" w:hint="eastAsia"/>
          <w:color w:val="auto"/>
          <w:sz w:val="24"/>
        </w:rPr>
        <w:t>A</w:t>
      </w:r>
      <w:r w:rsidRPr="00A964FF">
        <w:rPr>
          <w:rFonts w:ascii="Calibri" w:hint="eastAsia"/>
          <w:color w:val="auto"/>
          <w:sz w:val="24"/>
        </w:rPr>
        <w:t>相关内容，本项目属于</w:t>
      </w:r>
      <w:r w:rsidR="00F44CBD" w:rsidRPr="00A964FF">
        <w:rPr>
          <w:rFonts w:ascii="Calibri" w:hint="eastAsia"/>
          <w:color w:val="auto"/>
          <w:sz w:val="24"/>
        </w:rPr>
        <w:t>L</w:t>
      </w:r>
      <w:r w:rsidR="00F44CBD" w:rsidRPr="00A964FF">
        <w:rPr>
          <w:rFonts w:ascii="Calibri" w:hint="eastAsia"/>
          <w:color w:val="auto"/>
          <w:sz w:val="24"/>
        </w:rPr>
        <w:t>项“石化、化工”中第</w:t>
      </w:r>
      <w:r w:rsidR="00F44CBD" w:rsidRPr="00A964FF">
        <w:rPr>
          <w:rFonts w:ascii="Calibri" w:hint="eastAsia"/>
          <w:color w:val="auto"/>
          <w:sz w:val="24"/>
        </w:rPr>
        <w:t>85</w:t>
      </w:r>
      <w:r w:rsidR="00F44CBD" w:rsidRPr="00A964FF">
        <w:rPr>
          <w:rFonts w:ascii="Calibri" w:hint="eastAsia"/>
          <w:color w:val="auto"/>
          <w:sz w:val="24"/>
        </w:rPr>
        <w:t>小项“基本化学原料制造；化学肥料制造；农药制造；涂料、染料、颜料、油墨及其类似产品制造；合成材料制造；专用化学品制造；炸药、火工及焰火产品制造；饲料添加剂、食品添加剂及水处理剂等制造”，该类别报告书项目为</w:t>
      </w:r>
      <w:r w:rsidR="00F44CBD" w:rsidRPr="00A964FF">
        <w:rPr>
          <w:rFonts w:ascii="Calibri" w:hint="eastAsia"/>
          <w:color w:val="auto"/>
          <w:sz w:val="24"/>
        </w:rPr>
        <w:t>I</w:t>
      </w:r>
      <w:r w:rsidR="00F44CBD" w:rsidRPr="00A964FF">
        <w:rPr>
          <w:rFonts w:ascii="Calibri" w:hint="eastAsia"/>
          <w:color w:val="auto"/>
          <w:sz w:val="24"/>
        </w:rPr>
        <w:t>类，报告表为</w:t>
      </w:r>
      <w:r w:rsidR="00F44CBD" w:rsidRPr="00A964FF">
        <w:rPr>
          <w:rFonts w:ascii="Calibri" w:hint="eastAsia"/>
          <w:color w:val="auto"/>
          <w:sz w:val="24"/>
        </w:rPr>
        <w:t>III</w:t>
      </w:r>
      <w:r w:rsidR="00F44CBD" w:rsidRPr="00A964FF">
        <w:rPr>
          <w:rFonts w:ascii="Calibri" w:hint="eastAsia"/>
          <w:color w:val="auto"/>
          <w:sz w:val="24"/>
        </w:rPr>
        <w:t>类</w:t>
      </w:r>
      <w:r w:rsidR="00BF4CA5">
        <w:rPr>
          <w:rFonts w:ascii="Calibri" w:hint="eastAsia"/>
          <w:color w:val="auto"/>
          <w:sz w:val="24"/>
        </w:rPr>
        <w:t>。</w:t>
      </w:r>
      <w:r w:rsidR="00F44CBD" w:rsidRPr="00A964FF">
        <w:rPr>
          <w:rFonts w:ascii="Calibri" w:hint="eastAsia"/>
          <w:color w:val="auto"/>
          <w:sz w:val="24"/>
        </w:rPr>
        <w:t>本项目</w:t>
      </w:r>
      <w:r w:rsidR="00F44CBD" w:rsidRPr="00A964FF">
        <w:rPr>
          <w:rFonts w:ascii="Calibri"/>
          <w:color w:val="auto"/>
          <w:sz w:val="24"/>
        </w:rPr>
        <w:t>属于</w:t>
      </w:r>
      <w:r w:rsidR="00BF4CA5" w:rsidRPr="00A964FF">
        <w:rPr>
          <w:rFonts w:ascii="Calibri" w:hint="eastAsia"/>
          <w:color w:val="auto"/>
          <w:sz w:val="24"/>
        </w:rPr>
        <w:t>合成材料制造</w:t>
      </w:r>
      <w:r w:rsidR="00BF4CA5">
        <w:rPr>
          <w:rFonts w:ascii="Calibri" w:hint="eastAsia"/>
          <w:color w:val="auto"/>
          <w:sz w:val="24"/>
        </w:rPr>
        <w:t>项目，涉及</w:t>
      </w:r>
      <w:r w:rsidR="00BF4CA5">
        <w:rPr>
          <w:rFonts w:ascii="Calibri"/>
          <w:color w:val="auto"/>
          <w:sz w:val="24"/>
        </w:rPr>
        <w:t>聚合反应，</w:t>
      </w:r>
      <w:r w:rsidR="00F44CBD" w:rsidRPr="00A964FF">
        <w:rPr>
          <w:rFonts w:ascii="Calibri" w:hint="eastAsia"/>
          <w:color w:val="auto"/>
          <w:sz w:val="24"/>
        </w:rPr>
        <w:t>应</w:t>
      </w:r>
      <w:r w:rsidR="00F44CBD" w:rsidRPr="00A964FF">
        <w:rPr>
          <w:rFonts w:ascii="Calibri"/>
          <w:color w:val="auto"/>
          <w:sz w:val="24"/>
        </w:rPr>
        <w:t>编制报告书，由此确定，本项目为</w:t>
      </w:r>
      <w:r w:rsidR="00F44CBD" w:rsidRPr="00A964FF">
        <w:rPr>
          <w:rFonts w:ascii="Calibri" w:hAnsi="Calibri"/>
          <w:color w:val="auto"/>
          <w:sz w:val="24"/>
        </w:rPr>
        <w:t>I</w:t>
      </w:r>
      <w:r w:rsidR="00F44CBD" w:rsidRPr="00A964FF">
        <w:rPr>
          <w:rFonts w:ascii="Calibri"/>
          <w:color w:val="auto"/>
          <w:sz w:val="24"/>
        </w:rPr>
        <w:t>类建设项目。</w:t>
      </w:r>
    </w:p>
    <w:p w14:paraId="08F0A129" w14:textId="78485585" w:rsidR="00863205" w:rsidRPr="00B712A4" w:rsidRDefault="00264ACC" w:rsidP="001C75DE">
      <w:pPr>
        <w:spacing w:line="520" w:lineRule="exact"/>
        <w:ind w:firstLineChars="200" w:firstLine="480"/>
        <w:rPr>
          <w:rFonts w:ascii="Calibri" w:hAnsi="Calibri"/>
          <w:color w:val="auto"/>
          <w:sz w:val="24"/>
        </w:rPr>
      </w:pPr>
      <w:r w:rsidRPr="00A964FF">
        <w:rPr>
          <w:rFonts w:ascii="Calibri" w:hAnsi="Calibri" w:hint="eastAsia"/>
          <w:color w:val="auto"/>
          <w:sz w:val="24"/>
        </w:rPr>
        <w:t>本项目位于平顶山尼龙新材料产业集聚区，根据本项目地势情况及水文地质资料，</w:t>
      </w:r>
      <w:r w:rsidRPr="00A964FF">
        <w:rPr>
          <w:rFonts w:ascii="Calibri" w:hAnsi="Calibri"/>
          <w:color w:val="auto"/>
          <w:sz w:val="24"/>
        </w:rPr>
        <w:t>项目所在区域地貌单位属于河流冲洪积平原，水文地质结构较简单，</w:t>
      </w:r>
      <w:r w:rsidRPr="00A964FF">
        <w:rPr>
          <w:rFonts w:ascii="Calibri" w:hAnsi="Calibri" w:hint="eastAsia"/>
          <w:color w:val="auto"/>
          <w:sz w:val="24"/>
        </w:rPr>
        <w:t>项目区域地下水走向为自</w:t>
      </w:r>
      <w:r w:rsidR="000D2512" w:rsidRPr="00A964FF">
        <w:rPr>
          <w:rFonts w:ascii="Calibri" w:hAnsi="Calibri" w:hint="eastAsia"/>
          <w:color w:val="auto"/>
          <w:sz w:val="24"/>
        </w:rPr>
        <w:t>西南</w:t>
      </w:r>
      <w:r w:rsidRPr="00A964FF">
        <w:rPr>
          <w:rFonts w:ascii="Calibri" w:hAnsi="Calibri" w:hint="eastAsia"/>
          <w:color w:val="auto"/>
          <w:sz w:val="24"/>
        </w:rPr>
        <w:t>向</w:t>
      </w:r>
      <w:r w:rsidR="000D2512" w:rsidRPr="00A964FF">
        <w:rPr>
          <w:rFonts w:ascii="Calibri" w:hAnsi="Calibri" w:hint="eastAsia"/>
          <w:color w:val="auto"/>
          <w:sz w:val="24"/>
        </w:rPr>
        <w:t>东北</w:t>
      </w:r>
      <w:r w:rsidRPr="00A964FF">
        <w:rPr>
          <w:rFonts w:ascii="Calibri" w:hAnsi="Calibri" w:hint="eastAsia"/>
          <w:color w:val="auto"/>
          <w:sz w:val="24"/>
        </w:rPr>
        <w:t>，适用于公式法计算评价范围，经计算下游的迁移距离</w:t>
      </w:r>
      <w:r w:rsidRPr="00A964FF">
        <w:rPr>
          <w:rFonts w:ascii="Calibri" w:hAnsi="Calibri" w:hint="eastAsia"/>
          <w:color w:val="auto"/>
          <w:sz w:val="24"/>
        </w:rPr>
        <w:t>L</w:t>
      </w:r>
      <w:r w:rsidRPr="00EB3B5A">
        <w:rPr>
          <w:rFonts w:ascii="Calibri" w:hAnsi="Calibri" w:hint="eastAsia"/>
          <w:color w:val="auto"/>
          <w:sz w:val="24"/>
        </w:rPr>
        <w:t>为</w:t>
      </w:r>
      <w:r w:rsidR="002F07F7">
        <w:rPr>
          <w:rFonts w:ascii="Calibri" w:hAnsi="Calibri"/>
          <w:color w:val="auto"/>
          <w:sz w:val="24"/>
        </w:rPr>
        <w:t>373.3</w:t>
      </w:r>
      <w:r w:rsidRPr="00EB3B5A">
        <w:rPr>
          <w:rFonts w:ascii="Calibri" w:hAnsi="Calibri" w:hint="eastAsia"/>
          <w:color w:val="auto"/>
          <w:sz w:val="24"/>
        </w:rPr>
        <w:t>m</w:t>
      </w:r>
      <w:r w:rsidRPr="00EB3B5A">
        <w:rPr>
          <w:rFonts w:ascii="Calibri" w:hAnsi="Calibri" w:hint="eastAsia"/>
          <w:color w:val="auto"/>
          <w:sz w:val="24"/>
        </w:rPr>
        <w:t>，</w:t>
      </w:r>
      <w:r w:rsidR="00AC233F" w:rsidRPr="00EB3B5A">
        <w:rPr>
          <w:rFonts w:ascii="Calibri" w:hAnsi="Calibri" w:hint="eastAsia"/>
          <w:color w:val="auto"/>
          <w:sz w:val="24"/>
        </w:rPr>
        <w:t>结</w:t>
      </w:r>
      <w:r w:rsidR="00AC233F" w:rsidRPr="00A964FF">
        <w:rPr>
          <w:rFonts w:ascii="Calibri" w:hAnsi="Calibri" w:hint="eastAsia"/>
          <w:color w:val="auto"/>
          <w:sz w:val="24"/>
        </w:rPr>
        <w:t>合项目特点和地下水流向等情况，</w:t>
      </w:r>
      <w:r w:rsidR="001C75DE">
        <w:rPr>
          <w:rFonts w:ascii="Calibri" w:hAnsi="Calibri" w:hint="eastAsia"/>
          <w:color w:val="auto"/>
          <w:sz w:val="24"/>
        </w:rPr>
        <w:t>采用</w:t>
      </w:r>
      <w:r w:rsidR="001C75DE">
        <w:rPr>
          <w:rFonts w:ascii="Calibri" w:hAnsi="Calibri"/>
          <w:color w:val="auto"/>
          <w:sz w:val="24"/>
        </w:rPr>
        <w:t>自定义</w:t>
      </w:r>
      <w:r w:rsidR="001C75DE" w:rsidRPr="001C75DE">
        <w:rPr>
          <w:rFonts w:ascii="Calibri" w:hAnsi="Calibri" w:hint="eastAsia"/>
          <w:color w:val="auto"/>
          <w:sz w:val="24"/>
        </w:rPr>
        <w:t>确定评价范围为</w:t>
      </w:r>
      <w:r w:rsidR="001C75DE" w:rsidRPr="001C75DE">
        <w:rPr>
          <w:rFonts w:ascii="Calibri" w:hAnsi="Calibri" w:hint="eastAsia"/>
          <w:color w:val="auto"/>
          <w:sz w:val="24"/>
        </w:rPr>
        <w:t>6.</w:t>
      </w:r>
      <w:r w:rsidR="001C75DE" w:rsidRPr="001C75DE">
        <w:rPr>
          <w:rFonts w:ascii="Calibri" w:hAnsi="Calibri"/>
          <w:color w:val="auto"/>
          <w:sz w:val="24"/>
        </w:rPr>
        <w:t>18</w:t>
      </w:r>
      <w:r w:rsidR="001C75DE" w:rsidRPr="001C75DE">
        <w:rPr>
          <w:rFonts w:ascii="Calibri" w:hAnsi="Calibri" w:hint="eastAsia"/>
          <w:color w:val="auto"/>
          <w:sz w:val="24"/>
        </w:rPr>
        <w:t>km</w:t>
      </w:r>
      <w:r w:rsidR="001C75DE" w:rsidRPr="00217891">
        <w:rPr>
          <w:rFonts w:ascii="Calibri" w:hAnsi="Calibri" w:hint="eastAsia"/>
          <w:color w:val="auto"/>
          <w:sz w:val="24"/>
          <w:vertAlign w:val="superscript"/>
        </w:rPr>
        <w:t>2</w:t>
      </w:r>
      <w:r w:rsidR="001C75DE" w:rsidRPr="001C75DE">
        <w:rPr>
          <w:rFonts w:ascii="Calibri" w:hAnsi="Calibri" w:hint="eastAsia"/>
          <w:color w:val="auto"/>
          <w:sz w:val="24"/>
        </w:rPr>
        <w:t>，具体范围为：东至兰南</w:t>
      </w:r>
      <w:r w:rsidR="00C81F40">
        <w:rPr>
          <w:rFonts w:ascii="Calibri" w:hAnsi="Calibri" w:hint="eastAsia"/>
          <w:color w:val="auto"/>
          <w:sz w:val="24"/>
        </w:rPr>
        <w:t>高速</w:t>
      </w:r>
      <w:r w:rsidR="001C75DE" w:rsidRPr="001C75DE">
        <w:rPr>
          <w:rFonts w:ascii="Calibri" w:hAnsi="Calibri"/>
          <w:color w:val="auto"/>
          <w:sz w:val="24"/>
        </w:rPr>
        <w:t>，西</w:t>
      </w:r>
      <w:r w:rsidR="001C75DE" w:rsidRPr="001C75DE">
        <w:rPr>
          <w:rFonts w:ascii="Calibri" w:hAnsi="Calibri" w:hint="eastAsia"/>
          <w:color w:val="auto"/>
          <w:sz w:val="24"/>
        </w:rPr>
        <w:t>至规划化工一路，北至平孟</w:t>
      </w:r>
      <w:r w:rsidR="001C75DE" w:rsidRPr="001C75DE">
        <w:rPr>
          <w:rFonts w:ascii="Calibri" w:hAnsi="Calibri"/>
          <w:color w:val="auto"/>
          <w:sz w:val="24"/>
        </w:rPr>
        <w:t>铁路线</w:t>
      </w:r>
      <w:r w:rsidR="001C75DE" w:rsidRPr="001C75DE">
        <w:rPr>
          <w:rFonts w:ascii="Calibri" w:hAnsi="Calibri" w:hint="eastAsia"/>
          <w:color w:val="auto"/>
          <w:sz w:val="24"/>
        </w:rPr>
        <w:t>，项目</w:t>
      </w:r>
      <w:r w:rsidR="001C75DE" w:rsidRPr="001C75DE">
        <w:rPr>
          <w:rFonts w:ascii="Calibri" w:hAnsi="Calibri"/>
          <w:color w:val="auto"/>
          <w:sz w:val="24"/>
        </w:rPr>
        <w:t>侧游向南迁移</w:t>
      </w:r>
      <w:r w:rsidR="001C75DE" w:rsidRPr="001C75DE">
        <w:rPr>
          <w:rFonts w:ascii="Calibri" w:hAnsi="Calibri" w:hint="eastAsia"/>
          <w:color w:val="auto"/>
          <w:sz w:val="24"/>
        </w:rPr>
        <w:t>440</w:t>
      </w:r>
      <w:r w:rsidR="001C75DE" w:rsidRPr="001C75DE">
        <w:rPr>
          <w:rFonts w:ascii="Calibri" w:hAnsi="Calibri"/>
          <w:color w:val="auto"/>
          <w:sz w:val="24"/>
        </w:rPr>
        <w:t>m</w:t>
      </w:r>
      <w:r w:rsidR="001C75DE">
        <w:rPr>
          <w:rFonts w:ascii="Calibri" w:hAnsi="Calibri" w:hint="eastAsia"/>
          <w:b/>
          <w:sz w:val="24"/>
        </w:rPr>
        <w:t>。</w:t>
      </w:r>
      <w:r w:rsidR="00BF4CA5" w:rsidRPr="00623F1E">
        <w:rPr>
          <w:rFonts w:ascii="Calibri"/>
          <w:sz w:val="24"/>
        </w:rPr>
        <w:t>项目评价区域内不存在村庄等采用地下水作为水源的</w:t>
      </w:r>
      <w:r w:rsidR="00BF4CA5">
        <w:rPr>
          <w:rFonts w:ascii="Calibri" w:hint="eastAsia"/>
          <w:sz w:val="24"/>
        </w:rPr>
        <w:t>分散式饮用水源</w:t>
      </w:r>
      <w:r w:rsidR="00BF4CA5" w:rsidRPr="00623F1E">
        <w:rPr>
          <w:rFonts w:ascii="Calibri"/>
          <w:sz w:val="24"/>
        </w:rPr>
        <w:t>，</w:t>
      </w:r>
      <w:r w:rsidR="00BF4CA5" w:rsidRPr="00347D6E">
        <w:rPr>
          <w:rStyle w:val="00Char"/>
          <w:rFonts w:ascii="Calibri" w:hAnsi="Calibri" w:hint="eastAsia"/>
        </w:rPr>
        <w:t>无集中式饮用水水源准保护区、补给径流区、分散式饮用水源地、特殊地下水资源（如矿泉水、温泉等）保护区及保护区以外的分布区，</w:t>
      </w:r>
      <w:r w:rsidR="00BF4CA5" w:rsidRPr="00623F1E">
        <w:rPr>
          <w:rFonts w:ascii="Calibri"/>
          <w:sz w:val="24"/>
        </w:rPr>
        <w:t>所以项目所在地的地下水环境敏感程度为不</w:t>
      </w:r>
      <w:r w:rsidR="00BF4CA5" w:rsidRPr="00623F1E">
        <w:rPr>
          <w:rFonts w:ascii="Calibri" w:hAnsi="Calibri"/>
          <w:sz w:val="24"/>
        </w:rPr>
        <w:t>敏感。</w:t>
      </w:r>
      <w:r w:rsidR="00EB3B5A" w:rsidRPr="00347D6E">
        <w:rPr>
          <w:rStyle w:val="00Char"/>
          <w:rFonts w:ascii="Calibri" w:hAnsi="Calibri" w:hint="eastAsia"/>
        </w:rPr>
        <w:t>根据《环境影响评价技术导则地下水环境》（</w:t>
      </w:r>
      <w:r w:rsidR="00EB3B5A" w:rsidRPr="00347D6E">
        <w:rPr>
          <w:rStyle w:val="00Char"/>
          <w:rFonts w:ascii="Calibri" w:hAnsi="Calibri"/>
        </w:rPr>
        <w:t>HJ610-2016</w:t>
      </w:r>
      <w:r w:rsidR="00EB3B5A" w:rsidRPr="00347D6E">
        <w:rPr>
          <w:rStyle w:val="00Char"/>
          <w:rFonts w:ascii="Calibri" w:hAnsi="Calibri" w:hint="eastAsia"/>
        </w:rPr>
        <w:t>），本项目评价等级为二级评价</w:t>
      </w:r>
      <w:r w:rsidR="00F17F5C" w:rsidRPr="00A964FF">
        <w:rPr>
          <w:rFonts w:ascii="Calibri" w:hint="eastAsia"/>
          <w:color w:val="auto"/>
          <w:sz w:val="24"/>
        </w:rPr>
        <w:t>，</w:t>
      </w:r>
      <w:r w:rsidR="0055605A" w:rsidRPr="00A964FF">
        <w:rPr>
          <w:rFonts w:ascii="Calibri" w:hAnsi="Calibri"/>
          <w:color w:val="auto"/>
          <w:sz w:val="24"/>
        </w:rPr>
        <w:t>判定依据见表</w:t>
      </w:r>
      <w:r w:rsidR="0055605A" w:rsidRPr="00A964FF">
        <w:rPr>
          <w:rFonts w:ascii="Calibri" w:hAnsi="Calibri"/>
          <w:color w:val="auto"/>
          <w:sz w:val="24"/>
        </w:rPr>
        <w:t>1</w:t>
      </w:r>
      <w:r w:rsidR="001E0BBA" w:rsidRPr="00A964FF">
        <w:rPr>
          <w:rFonts w:ascii="Calibri" w:hAnsi="Calibri" w:hint="eastAsia"/>
          <w:color w:val="auto"/>
          <w:sz w:val="24"/>
        </w:rPr>
        <w:t>.6</w:t>
      </w:r>
      <w:r w:rsidR="0055605A" w:rsidRPr="00A964FF">
        <w:rPr>
          <w:rFonts w:ascii="Calibri" w:hAnsi="Calibri"/>
          <w:color w:val="auto"/>
          <w:sz w:val="24"/>
        </w:rPr>
        <w:t>-</w:t>
      </w:r>
      <w:r w:rsidR="001E0BBA" w:rsidRPr="00A964FF">
        <w:rPr>
          <w:rFonts w:ascii="Calibri" w:hAnsi="Calibri" w:hint="eastAsia"/>
          <w:color w:val="auto"/>
          <w:sz w:val="24"/>
        </w:rPr>
        <w:t>4</w:t>
      </w:r>
      <w:r w:rsidR="0055605A" w:rsidRPr="00A964FF">
        <w:rPr>
          <w:rFonts w:ascii="Calibri" w:hAnsi="Calibri"/>
          <w:color w:val="auto"/>
          <w:sz w:val="24"/>
        </w:rPr>
        <w:t>。</w:t>
      </w:r>
    </w:p>
    <w:p w14:paraId="126346FD" w14:textId="77777777" w:rsidR="0055605A" w:rsidRPr="00A964FF" w:rsidRDefault="0055605A" w:rsidP="000E33B8">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1</w:t>
      </w:r>
      <w:r w:rsidR="001E0BBA" w:rsidRPr="00A964FF">
        <w:rPr>
          <w:rFonts w:ascii="Calibri" w:eastAsia="黑体" w:hAnsi="Calibri" w:hint="eastAsia"/>
          <w:color w:val="auto"/>
          <w:sz w:val="24"/>
        </w:rPr>
        <w:t>.6</w:t>
      </w:r>
      <w:r w:rsidRPr="00A964FF">
        <w:rPr>
          <w:rFonts w:ascii="Calibri" w:eastAsia="黑体" w:hAnsi="Calibri"/>
          <w:color w:val="auto"/>
          <w:sz w:val="24"/>
        </w:rPr>
        <w:t>-</w:t>
      </w:r>
      <w:r w:rsidR="001E0BBA" w:rsidRPr="00A964FF">
        <w:rPr>
          <w:rFonts w:ascii="Calibri" w:eastAsia="黑体" w:hAnsi="Calibri" w:hint="eastAsia"/>
          <w:color w:val="auto"/>
          <w:sz w:val="24"/>
        </w:rPr>
        <w:t>4</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int="eastAsia"/>
          <w:color w:val="auto"/>
          <w:sz w:val="24"/>
        </w:rPr>
        <w:t>地下水</w:t>
      </w:r>
      <w:r w:rsidRPr="00A964FF">
        <w:rPr>
          <w:rFonts w:ascii="Calibri" w:eastAsia="黑体"/>
          <w:color w:val="auto"/>
          <w:sz w:val="24"/>
        </w:rPr>
        <w:t>环境影响评价等级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01"/>
        <w:gridCol w:w="2201"/>
        <w:gridCol w:w="2046"/>
        <w:gridCol w:w="2252"/>
      </w:tblGrid>
      <w:tr w:rsidR="0055605A" w:rsidRPr="00A964FF" w14:paraId="6BAE70DD" w14:textId="77777777" w:rsidTr="00A40A35">
        <w:trPr>
          <w:trHeight w:val="340"/>
          <w:jc w:val="center"/>
        </w:trPr>
        <w:tc>
          <w:tcPr>
            <w:tcW w:w="1265" w:type="pct"/>
            <w:tcBorders>
              <w:tl2br w:val="single" w:sz="4" w:space="0" w:color="auto"/>
            </w:tcBorders>
            <w:shd w:val="clear" w:color="auto" w:fill="auto"/>
            <w:vAlign w:val="center"/>
          </w:tcPr>
          <w:p w14:paraId="05A70805"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 xml:space="preserve">   </w:t>
            </w:r>
            <w:r w:rsidRPr="00A964FF">
              <w:rPr>
                <w:rFonts w:ascii="Calibri" w:hAnsi="Calibri" w:hint="eastAsia"/>
                <w:color w:val="auto"/>
                <w:szCs w:val="21"/>
              </w:rPr>
              <w:t>项目类别</w:t>
            </w:r>
          </w:p>
          <w:p w14:paraId="73EB4C74" w14:textId="77777777" w:rsidR="0055605A" w:rsidRPr="00A964FF" w:rsidRDefault="0055605A" w:rsidP="000E33B8">
            <w:pPr>
              <w:ind w:left="210" w:hangingChars="100" w:hanging="210"/>
              <w:rPr>
                <w:rFonts w:ascii="Calibri" w:hAnsi="Calibri"/>
                <w:color w:val="auto"/>
                <w:szCs w:val="21"/>
              </w:rPr>
            </w:pPr>
            <w:r w:rsidRPr="00A964FF">
              <w:rPr>
                <w:rFonts w:ascii="Calibri" w:hAnsi="Calibri" w:hint="eastAsia"/>
                <w:color w:val="auto"/>
                <w:szCs w:val="21"/>
              </w:rPr>
              <w:t xml:space="preserve"> </w:t>
            </w:r>
            <w:r w:rsidRPr="00A964FF">
              <w:rPr>
                <w:rFonts w:ascii="Calibri" w:hAnsi="Calibri" w:hint="eastAsia"/>
                <w:color w:val="auto"/>
                <w:szCs w:val="21"/>
              </w:rPr>
              <w:t>环境敏感程度</w:t>
            </w:r>
          </w:p>
        </w:tc>
        <w:tc>
          <w:tcPr>
            <w:tcW w:w="1265" w:type="pct"/>
            <w:shd w:val="clear" w:color="auto" w:fill="auto"/>
            <w:vAlign w:val="center"/>
          </w:tcPr>
          <w:p w14:paraId="24E0F787"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I</w:t>
            </w:r>
            <w:r w:rsidRPr="00A964FF">
              <w:rPr>
                <w:rFonts w:ascii="Calibri" w:hAnsi="Calibri" w:hint="eastAsia"/>
                <w:color w:val="auto"/>
                <w:szCs w:val="21"/>
              </w:rPr>
              <w:t>类项目</w:t>
            </w:r>
          </w:p>
        </w:tc>
        <w:tc>
          <w:tcPr>
            <w:tcW w:w="1176" w:type="pct"/>
            <w:shd w:val="clear" w:color="auto" w:fill="auto"/>
            <w:vAlign w:val="center"/>
          </w:tcPr>
          <w:p w14:paraId="6584B368"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II</w:t>
            </w:r>
            <w:r w:rsidRPr="00A964FF">
              <w:rPr>
                <w:rFonts w:ascii="Calibri" w:hAnsi="Calibri" w:hint="eastAsia"/>
                <w:color w:val="auto"/>
                <w:szCs w:val="21"/>
              </w:rPr>
              <w:t>类项目</w:t>
            </w:r>
          </w:p>
        </w:tc>
        <w:tc>
          <w:tcPr>
            <w:tcW w:w="1294" w:type="pct"/>
            <w:shd w:val="clear" w:color="auto" w:fill="auto"/>
            <w:vAlign w:val="center"/>
          </w:tcPr>
          <w:p w14:paraId="2EE393EB"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III</w:t>
            </w:r>
            <w:r w:rsidRPr="00A964FF">
              <w:rPr>
                <w:rFonts w:ascii="Calibri" w:hAnsi="Calibri" w:hint="eastAsia"/>
                <w:color w:val="auto"/>
                <w:szCs w:val="21"/>
              </w:rPr>
              <w:t>类项目</w:t>
            </w:r>
          </w:p>
        </w:tc>
      </w:tr>
      <w:tr w:rsidR="0055605A" w:rsidRPr="00A964FF" w14:paraId="61B74A2A" w14:textId="77777777" w:rsidTr="00A40A35">
        <w:trPr>
          <w:trHeight w:val="340"/>
          <w:jc w:val="center"/>
        </w:trPr>
        <w:tc>
          <w:tcPr>
            <w:tcW w:w="1265" w:type="pct"/>
            <w:shd w:val="clear" w:color="auto" w:fill="auto"/>
            <w:vAlign w:val="center"/>
          </w:tcPr>
          <w:p w14:paraId="1E2CCDF7"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敏感</w:t>
            </w:r>
          </w:p>
        </w:tc>
        <w:tc>
          <w:tcPr>
            <w:tcW w:w="1265" w:type="pct"/>
            <w:shd w:val="clear" w:color="auto" w:fill="auto"/>
            <w:vAlign w:val="center"/>
          </w:tcPr>
          <w:p w14:paraId="37E643FD"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一</w:t>
            </w:r>
          </w:p>
        </w:tc>
        <w:tc>
          <w:tcPr>
            <w:tcW w:w="1176" w:type="pct"/>
            <w:shd w:val="clear" w:color="auto" w:fill="auto"/>
            <w:vAlign w:val="center"/>
          </w:tcPr>
          <w:p w14:paraId="17CB10C9"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一</w:t>
            </w:r>
          </w:p>
        </w:tc>
        <w:tc>
          <w:tcPr>
            <w:tcW w:w="1294" w:type="pct"/>
            <w:shd w:val="clear" w:color="auto" w:fill="auto"/>
            <w:vAlign w:val="center"/>
          </w:tcPr>
          <w:p w14:paraId="644FBA9F"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二</w:t>
            </w:r>
          </w:p>
        </w:tc>
      </w:tr>
      <w:tr w:rsidR="0055605A" w:rsidRPr="00A964FF" w14:paraId="1BB5C863" w14:textId="77777777" w:rsidTr="00A40A35">
        <w:trPr>
          <w:trHeight w:val="340"/>
          <w:jc w:val="center"/>
        </w:trPr>
        <w:tc>
          <w:tcPr>
            <w:tcW w:w="1265" w:type="pct"/>
            <w:shd w:val="clear" w:color="auto" w:fill="auto"/>
            <w:vAlign w:val="center"/>
          </w:tcPr>
          <w:p w14:paraId="4FA51662"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较敏感</w:t>
            </w:r>
          </w:p>
        </w:tc>
        <w:tc>
          <w:tcPr>
            <w:tcW w:w="1265" w:type="pct"/>
            <w:shd w:val="clear" w:color="auto" w:fill="auto"/>
            <w:vAlign w:val="center"/>
          </w:tcPr>
          <w:p w14:paraId="0B588160"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一</w:t>
            </w:r>
          </w:p>
        </w:tc>
        <w:tc>
          <w:tcPr>
            <w:tcW w:w="1176" w:type="pct"/>
            <w:shd w:val="clear" w:color="auto" w:fill="auto"/>
            <w:vAlign w:val="center"/>
          </w:tcPr>
          <w:p w14:paraId="5D67F632"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二</w:t>
            </w:r>
          </w:p>
        </w:tc>
        <w:tc>
          <w:tcPr>
            <w:tcW w:w="1294" w:type="pct"/>
            <w:shd w:val="clear" w:color="auto" w:fill="auto"/>
            <w:vAlign w:val="center"/>
          </w:tcPr>
          <w:p w14:paraId="785CD073"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三</w:t>
            </w:r>
          </w:p>
        </w:tc>
      </w:tr>
      <w:tr w:rsidR="0055605A" w:rsidRPr="00A964FF" w14:paraId="59846C3C" w14:textId="77777777" w:rsidTr="00A40A35">
        <w:trPr>
          <w:trHeight w:val="340"/>
          <w:jc w:val="center"/>
        </w:trPr>
        <w:tc>
          <w:tcPr>
            <w:tcW w:w="1265" w:type="pct"/>
            <w:shd w:val="clear" w:color="auto" w:fill="auto"/>
            <w:vAlign w:val="center"/>
          </w:tcPr>
          <w:p w14:paraId="27D53424"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不敏感</w:t>
            </w:r>
          </w:p>
        </w:tc>
        <w:tc>
          <w:tcPr>
            <w:tcW w:w="1265" w:type="pct"/>
            <w:shd w:val="clear" w:color="auto" w:fill="auto"/>
            <w:vAlign w:val="center"/>
          </w:tcPr>
          <w:p w14:paraId="393E0911"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二</w:t>
            </w:r>
            <w:r w:rsidR="00B841FF" w:rsidRPr="00A964FF">
              <w:rPr>
                <w:rFonts w:ascii="Calibri" w:hAnsi="Calibri" w:hint="eastAsia"/>
                <w:color w:val="auto"/>
                <w:szCs w:val="21"/>
              </w:rPr>
              <w:t>（本项目）</w:t>
            </w:r>
          </w:p>
        </w:tc>
        <w:tc>
          <w:tcPr>
            <w:tcW w:w="1176" w:type="pct"/>
            <w:shd w:val="clear" w:color="auto" w:fill="auto"/>
            <w:vAlign w:val="center"/>
          </w:tcPr>
          <w:p w14:paraId="1BEEAFAA"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三</w:t>
            </w:r>
          </w:p>
        </w:tc>
        <w:tc>
          <w:tcPr>
            <w:tcW w:w="1294" w:type="pct"/>
            <w:shd w:val="clear" w:color="auto" w:fill="auto"/>
            <w:vAlign w:val="center"/>
          </w:tcPr>
          <w:p w14:paraId="2ED5C21C" w14:textId="77777777" w:rsidR="0055605A" w:rsidRPr="00A964FF" w:rsidRDefault="0055605A" w:rsidP="000E33B8">
            <w:pPr>
              <w:ind w:left="210" w:hangingChars="100" w:hanging="210"/>
              <w:jc w:val="center"/>
              <w:rPr>
                <w:rFonts w:ascii="Calibri" w:hAnsi="Calibri"/>
                <w:color w:val="auto"/>
                <w:szCs w:val="21"/>
              </w:rPr>
            </w:pPr>
            <w:r w:rsidRPr="00A964FF">
              <w:rPr>
                <w:rFonts w:ascii="Calibri" w:hAnsi="Calibri" w:hint="eastAsia"/>
                <w:color w:val="auto"/>
                <w:szCs w:val="21"/>
              </w:rPr>
              <w:t>三</w:t>
            </w:r>
          </w:p>
        </w:tc>
      </w:tr>
    </w:tbl>
    <w:p w14:paraId="48391F40" w14:textId="77777777" w:rsidR="0055605A" w:rsidRPr="00A964FF" w:rsidRDefault="0055605A" w:rsidP="0055605A">
      <w:pPr>
        <w:spacing w:line="520" w:lineRule="exact"/>
        <w:ind w:firstLineChars="200" w:firstLine="482"/>
        <w:rPr>
          <w:rFonts w:ascii="Calibri" w:hAnsi="Calibri"/>
          <w:b/>
          <w:color w:val="auto"/>
          <w:sz w:val="24"/>
        </w:rPr>
      </w:pPr>
      <w:r w:rsidRPr="00A964FF">
        <w:rPr>
          <w:rFonts w:ascii="Calibri" w:hAnsi="Calibri" w:hint="eastAsia"/>
          <w:b/>
          <w:color w:val="auto"/>
          <w:sz w:val="24"/>
        </w:rPr>
        <w:t>4</w:t>
      </w:r>
      <w:r w:rsidRPr="00A964FF">
        <w:rPr>
          <w:rFonts w:ascii="Calibri" w:hAnsi="Calibri" w:hint="eastAsia"/>
          <w:b/>
          <w:color w:val="auto"/>
          <w:sz w:val="24"/>
        </w:rPr>
        <w:t>、声环境评价等级</w:t>
      </w:r>
    </w:p>
    <w:p w14:paraId="5270B1D7" w14:textId="6A9B3CF7" w:rsidR="00F44CBD" w:rsidRPr="005C4969" w:rsidRDefault="00B841FF" w:rsidP="005C4969">
      <w:pPr>
        <w:spacing w:line="520" w:lineRule="exact"/>
        <w:ind w:firstLineChars="200" w:firstLine="480"/>
        <w:jc w:val="left"/>
        <w:rPr>
          <w:rFonts w:ascii="Calibri" w:hAnsi="Calibri"/>
          <w:color w:val="auto"/>
          <w:sz w:val="24"/>
        </w:rPr>
      </w:pPr>
      <w:r w:rsidRPr="00A964FF">
        <w:rPr>
          <w:rFonts w:ascii="Calibri" w:hAnsi="Calibri" w:hint="eastAsia"/>
          <w:color w:val="auto"/>
          <w:sz w:val="24"/>
        </w:rPr>
        <w:t>根据本项目特点，结合厂址周围环境概况，按照《环境影响评价技术导则</w:t>
      </w:r>
      <w:r w:rsidRPr="00A964FF">
        <w:rPr>
          <w:rFonts w:ascii="Calibri" w:hAnsi="Calibri" w:hint="eastAsia"/>
          <w:color w:val="auto"/>
          <w:sz w:val="24"/>
        </w:rPr>
        <w:t xml:space="preserve">  </w:t>
      </w:r>
      <w:r w:rsidRPr="00A964FF">
        <w:rPr>
          <w:rFonts w:ascii="Calibri" w:hAnsi="Calibri" w:hint="eastAsia"/>
          <w:color w:val="auto"/>
          <w:sz w:val="24"/>
        </w:rPr>
        <w:t>声环境》（</w:t>
      </w:r>
      <w:r w:rsidRPr="00A964FF">
        <w:rPr>
          <w:rFonts w:ascii="Calibri" w:hAnsi="Calibri" w:hint="eastAsia"/>
          <w:color w:val="auto"/>
          <w:sz w:val="24"/>
        </w:rPr>
        <w:t>HJ2.4-20</w:t>
      </w:r>
      <w:r w:rsidR="00D55A12">
        <w:rPr>
          <w:rFonts w:ascii="Calibri" w:hAnsi="Calibri" w:hint="eastAsia"/>
          <w:color w:val="auto"/>
          <w:sz w:val="24"/>
        </w:rPr>
        <w:t>21</w:t>
      </w:r>
      <w:r w:rsidRPr="00A964FF">
        <w:rPr>
          <w:rFonts w:ascii="Calibri" w:hAnsi="Calibri" w:hint="eastAsia"/>
          <w:color w:val="auto"/>
          <w:sz w:val="24"/>
        </w:rPr>
        <w:t>）要求</w:t>
      </w:r>
      <w:r w:rsidR="00D55A12">
        <w:rPr>
          <w:rFonts w:ascii="Calibri" w:hAnsi="Calibri" w:hint="eastAsia"/>
          <w:color w:val="auto"/>
          <w:sz w:val="24"/>
        </w:rPr>
        <w:t>“</w:t>
      </w:r>
      <w:r w:rsidR="00D55A12" w:rsidRPr="00D55A12">
        <w:rPr>
          <w:rFonts w:ascii="Calibri" w:hAnsi="Calibri" w:hint="eastAsia"/>
          <w:color w:val="auto"/>
          <w:sz w:val="24"/>
        </w:rPr>
        <w:t>建设项目所处的声环境功能区为</w:t>
      </w:r>
      <w:r w:rsidR="005B76D6">
        <w:rPr>
          <w:rFonts w:ascii="Calibri" w:hAnsi="Calibri" w:hint="eastAsia"/>
          <w:color w:val="auto"/>
          <w:sz w:val="24"/>
        </w:rPr>
        <w:t>GB 3096</w:t>
      </w:r>
      <w:r w:rsidR="00D55A12" w:rsidRPr="00D55A12">
        <w:rPr>
          <w:rFonts w:ascii="Calibri" w:hAnsi="Calibri" w:hint="eastAsia"/>
          <w:color w:val="auto"/>
          <w:sz w:val="24"/>
        </w:rPr>
        <w:t>规定的</w:t>
      </w:r>
      <w:r w:rsidR="00895210">
        <w:rPr>
          <w:rFonts w:ascii="Calibri" w:hAnsi="Calibri" w:hint="eastAsia"/>
          <w:color w:val="auto"/>
          <w:sz w:val="24"/>
        </w:rPr>
        <w:t>3</w:t>
      </w:r>
      <w:r w:rsidR="00D55A12" w:rsidRPr="00D55A12">
        <w:rPr>
          <w:rFonts w:ascii="Calibri" w:hAnsi="Calibri" w:hint="eastAsia"/>
          <w:color w:val="auto"/>
          <w:sz w:val="24"/>
        </w:rPr>
        <w:t>类、</w:t>
      </w:r>
      <w:r w:rsidR="00C81F40">
        <w:rPr>
          <w:rFonts w:ascii="Calibri" w:hAnsi="Calibri" w:hint="eastAsia"/>
          <w:color w:val="auto"/>
          <w:sz w:val="24"/>
        </w:rPr>
        <w:lastRenderedPageBreak/>
        <w:t>4</w:t>
      </w:r>
      <w:r w:rsidR="00D55A12" w:rsidRPr="00D55A12">
        <w:rPr>
          <w:rFonts w:ascii="Calibri" w:hAnsi="Calibri" w:hint="eastAsia"/>
          <w:color w:val="auto"/>
          <w:sz w:val="24"/>
        </w:rPr>
        <w:t>类地区，或建设项目建设前后评价范围内声环境保护目标噪声级增量在</w:t>
      </w:r>
      <w:r w:rsidR="00895210">
        <w:rPr>
          <w:rFonts w:ascii="Calibri" w:hAnsi="Calibri" w:hint="eastAsia"/>
          <w:color w:val="auto"/>
          <w:sz w:val="24"/>
        </w:rPr>
        <w:t>3</w:t>
      </w:r>
      <w:r w:rsidR="00D55A12" w:rsidRPr="00D55A12">
        <w:rPr>
          <w:rFonts w:ascii="Calibri" w:hAnsi="Calibri" w:hint="eastAsia"/>
          <w:color w:val="auto"/>
          <w:sz w:val="24"/>
        </w:rPr>
        <w:t>dB</w:t>
      </w:r>
      <w:r w:rsidR="00D55A12">
        <w:rPr>
          <w:rFonts w:ascii="Calibri" w:hAnsi="Calibri" w:hint="eastAsia"/>
          <w:color w:val="auto"/>
          <w:sz w:val="24"/>
        </w:rPr>
        <w:t>（</w:t>
      </w:r>
      <w:r w:rsidR="00D55A12" w:rsidRPr="00D55A12">
        <w:rPr>
          <w:rFonts w:ascii="Calibri" w:hAnsi="Calibri" w:hint="eastAsia"/>
          <w:color w:val="auto"/>
          <w:sz w:val="24"/>
        </w:rPr>
        <w:t>A</w:t>
      </w:r>
      <w:r w:rsidR="00D55A12">
        <w:rPr>
          <w:rFonts w:ascii="Calibri" w:hAnsi="Calibri" w:hint="eastAsia"/>
          <w:color w:val="auto"/>
          <w:sz w:val="24"/>
        </w:rPr>
        <w:t>）</w:t>
      </w:r>
      <w:r w:rsidR="00D55A12" w:rsidRPr="00D55A12">
        <w:rPr>
          <w:rFonts w:ascii="Calibri" w:hAnsi="Calibri" w:hint="eastAsia"/>
          <w:color w:val="auto"/>
          <w:sz w:val="24"/>
        </w:rPr>
        <w:t>以下（不含</w:t>
      </w:r>
      <w:r w:rsidR="00895210">
        <w:rPr>
          <w:rFonts w:ascii="Calibri" w:hAnsi="Calibri" w:hint="eastAsia"/>
          <w:color w:val="auto"/>
          <w:sz w:val="24"/>
        </w:rPr>
        <w:t>3</w:t>
      </w:r>
      <w:r w:rsidR="00D55A12" w:rsidRPr="00D55A12">
        <w:rPr>
          <w:rFonts w:ascii="Calibri" w:hAnsi="Calibri" w:hint="eastAsia"/>
          <w:color w:val="auto"/>
          <w:sz w:val="24"/>
        </w:rPr>
        <w:t>dB</w:t>
      </w:r>
      <w:r w:rsidR="007002BF">
        <w:rPr>
          <w:rFonts w:ascii="Calibri" w:hAnsi="Calibri" w:hint="eastAsia"/>
          <w:color w:val="auto"/>
          <w:sz w:val="24"/>
        </w:rPr>
        <w:t>（</w:t>
      </w:r>
      <w:r w:rsidR="007002BF">
        <w:rPr>
          <w:rFonts w:ascii="Calibri" w:hAnsi="Calibri" w:hint="eastAsia"/>
          <w:color w:val="auto"/>
          <w:sz w:val="24"/>
        </w:rPr>
        <w:t>A</w:t>
      </w:r>
      <w:r w:rsidR="007002BF">
        <w:rPr>
          <w:rFonts w:ascii="Calibri" w:hAnsi="Calibri" w:hint="eastAsia"/>
          <w:color w:val="auto"/>
          <w:sz w:val="24"/>
        </w:rPr>
        <w:t>）</w:t>
      </w:r>
      <w:r w:rsidR="00D55A12" w:rsidRPr="00D55A12">
        <w:rPr>
          <w:rFonts w:ascii="Calibri" w:hAnsi="Calibri" w:hint="eastAsia"/>
          <w:color w:val="auto"/>
          <w:sz w:val="24"/>
        </w:rPr>
        <w:t>），且受影响人口数量变化不大时，按三级评价。</w:t>
      </w:r>
      <w:r w:rsidR="00D55A12">
        <w:rPr>
          <w:rFonts w:ascii="Calibri" w:hAnsi="Calibri" w:hint="eastAsia"/>
          <w:color w:val="auto"/>
          <w:sz w:val="24"/>
        </w:rPr>
        <w:t>”</w:t>
      </w:r>
      <w:r w:rsidR="0055605A" w:rsidRPr="00A964FF">
        <w:rPr>
          <w:rFonts w:ascii="Calibri" w:hAnsi="宋体"/>
          <w:color w:val="auto"/>
          <w:sz w:val="24"/>
        </w:rPr>
        <w:t>本项</w:t>
      </w:r>
      <w:r w:rsidR="0055605A" w:rsidRPr="00A964FF">
        <w:rPr>
          <w:rFonts w:ascii="Calibri" w:hAnsi="Calibri"/>
          <w:color w:val="auto"/>
          <w:sz w:val="24"/>
        </w:rPr>
        <w:t>目</w:t>
      </w:r>
      <w:r w:rsidR="0055605A" w:rsidRPr="00A964FF">
        <w:rPr>
          <w:rFonts w:ascii="Calibri" w:hAnsi="Calibri" w:hint="eastAsia"/>
          <w:color w:val="auto"/>
          <w:sz w:val="24"/>
        </w:rPr>
        <w:t>选址</w:t>
      </w:r>
      <w:r w:rsidR="00376AC9" w:rsidRPr="00A964FF">
        <w:rPr>
          <w:rFonts w:ascii="Calibri" w:hAnsi="Calibri" w:hint="eastAsia"/>
          <w:color w:val="auto"/>
          <w:sz w:val="24"/>
        </w:rPr>
        <w:t>位于</w:t>
      </w:r>
      <w:r w:rsidR="008C7A91" w:rsidRPr="00A964FF">
        <w:rPr>
          <w:rFonts w:ascii="Calibri" w:hAnsi="Calibri" w:hint="eastAsia"/>
          <w:color w:val="auto"/>
          <w:sz w:val="24"/>
        </w:rPr>
        <w:t>平顶山尼龙新材料产业集聚区</w:t>
      </w:r>
      <w:r w:rsidR="0055605A" w:rsidRPr="00A964FF">
        <w:rPr>
          <w:rFonts w:ascii="Calibri" w:hAnsi="Calibri" w:hint="eastAsia"/>
          <w:color w:val="auto"/>
          <w:sz w:val="24"/>
        </w:rPr>
        <w:t>，</w:t>
      </w:r>
      <w:r w:rsidR="0055605A" w:rsidRPr="00A964FF">
        <w:rPr>
          <w:rFonts w:ascii="Calibri" w:hAnsi="Calibri"/>
          <w:color w:val="auto"/>
          <w:sz w:val="24"/>
        </w:rPr>
        <w:t>所在区域声功能区</w:t>
      </w:r>
      <w:r w:rsidR="0055605A" w:rsidRPr="00A964FF">
        <w:rPr>
          <w:rFonts w:ascii="Calibri" w:hAnsi="Calibri" w:hint="eastAsia"/>
          <w:color w:val="auto"/>
          <w:sz w:val="24"/>
        </w:rPr>
        <w:t>划</w:t>
      </w:r>
      <w:r w:rsidR="0055605A" w:rsidRPr="00A964FF">
        <w:rPr>
          <w:rFonts w:ascii="Calibri" w:hAnsi="Calibri"/>
          <w:color w:val="auto"/>
          <w:sz w:val="24"/>
        </w:rPr>
        <w:t>为</w:t>
      </w:r>
      <w:r w:rsidR="00D55A12">
        <w:rPr>
          <w:rFonts w:ascii="Calibri" w:hAnsi="Calibri" w:hint="eastAsia"/>
          <w:color w:val="auto"/>
          <w:sz w:val="24"/>
        </w:rPr>
        <w:t>3</w:t>
      </w:r>
      <w:r w:rsidR="0055605A" w:rsidRPr="00A964FF">
        <w:rPr>
          <w:rFonts w:ascii="Calibri" w:hAnsi="Calibri"/>
          <w:color w:val="auto"/>
          <w:sz w:val="24"/>
        </w:rPr>
        <w:t>类</w:t>
      </w:r>
      <w:r w:rsidR="0055605A" w:rsidRPr="00A964FF">
        <w:rPr>
          <w:rFonts w:ascii="Calibri" w:hAnsi="Calibri" w:hint="eastAsia"/>
          <w:color w:val="auto"/>
          <w:sz w:val="24"/>
        </w:rPr>
        <w:t>区域</w:t>
      </w:r>
      <w:r w:rsidR="0055605A" w:rsidRPr="00A964FF">
        <w:rPr>
          <w:rFonts w:ascii="Calibri" w:hAnsi="Calibri"/>
          <w:color w:val="auto"/>
          <w:sz w:val="24"/>
        </w:rPr>
        <w:t>，因此，确定本项目声环境影响评价工作等级为</w:t>
      </w:r>
      <w:r w:rsidR="00D55A12">
        <w:rPr>
          <w:rFonts w:ascii="Calibri" w:hAnsi="Calibri" w:hint="eastAsia"/>
          <w:color w:val="auto"/>
          <w:sz w:val="24"/>
        </w:rPr>
        <w:t>三</w:t>
      </w:r>
      <w:r w:rsidR="0055605A" w:rsidRPr="00A964FF">
        <w:rPr>
          <w:rFonts w:ascii="Calibri" w:hAnsi="Calibri"/>
          <w:color w:val="auto"/>
          <w:sz w:val="24"/>
        </w:rPr>
        <w:t>级，判定依据见表</w:t>
      </w:r>
      <w:r w:rsidR="0055605A" w:rsidRPr="00A964FF">
        <w:rPr>
          <w:rFonts w:ascii="Calibri" w:hAnsi="Calibri"/>
          <w:color w:val="auto"/>
          <w:sz w:val="24"/>
        </w:rPr>
        <w:t>1</w:t>
      </w:r>
      <w:r w:rsidR="001E0BBA" w:rsidRPr="00A964FF">
        <w:rPr>
          <w:rFonts w:ascii="Calibri" w:hAnsi="Calibri" w:hint="eastAsia"/>
          <w:color w:val="auto"/>
          <w:sz w:val="24"/>
        </w:rPr>
        <w:t>.6</w:t>
      </w:r>
      <w:r w:rsidR="0055605A" w:rsidRPr="00A964FF">
        <w:rPr>
          <w:rFonts w:ascii="Calibri" w:hAnsi="Calibri"/>
          <w:color w:val="auto"/>
          <w:sz w:val="24"/>
        </w:rPr>
        <w:t>-</w:t>
      </w:r>
      <w:r w:rsidR="001E0BBA" w:rsidRPr="00A964FF">
        <w:rPr>
          <w:rFonts w:ascii="Calibri" w:hAnsi="Calibri" w:hint="eastAsia"/>
          <w:color w:val="auto"/>
          <w:sz w:val="24"/>
        </w:rPr>
        <w:t>5</w:t>
      </w:r>
      <w:r w:rsidR="0055605A" w:rsidRPr="00A964FF">
        <w:rPr>
          <w:rFonts w:ascii="Calibri" w:hAnsi="Calibri"/>
          <w:color w:val="auto"/>
          <w:sz w:val="24"/>
        </w:rPr>
        <w:t>。</w:t>
      </w:r>
    </w:p>
    <w:p w14:paraId="48636BE8" w14:textId="77777777" w:rsidR="0055605A" w:rsidRPr="00A964FF" w:rsidRDefault="0055605A" w:rsidP="0055605A">
      <w:pPr>
        <w:pStyle w:val="00"/>
        <w:rPr>
          <w:rFonts w:ascii="Calibri" w:eastAsia="黑体" w:hAnsi="Calibri"/>
          <w:color w:val="auto"/>
        </w:rPr>
      </w:pPr>
      <w:r w:rsidRPr="00A964FF">
        <w:rPr>
          <w:rFonts w:ascii="Calibri" w:eastAsia="黑体"/>
          <w:color w:val="auto"/>
        </w:rPr>
        <w:t>表</w:t>
      </w:r>
      <w:r w:rsidRPr="00A964FF">
        <w:rPr>
          <w:rFonts w:ascii="Calibri" w:eastAsia="黑体" w:hAnsi="Calibri"/>
          <w:color w:val="auto"/>
        </w:rPr>
        <w:t>1</w:t>
      </w:r>
      <w:r w:rsidR="001E0BBA" w:rsidRPr="00A964FF">
        <w:rPr>
          <w:rFonts w:ascii="Calibri" w:eastAsia="黑体" w:hAnsi="Calibri" w:hint="eastAsia"/>
          <w:color w:val="auto"/>
        </w:rPr>
        <w:t>.6</w:t>
      </w:r>
      <w:r w:rsidRPr="00A964FF">
        <w:rPr>
          <w:rFonts w:ascii="Calibri" w:eastAsia="黑体" w:hAnsi="Calibri"/>
          <w:color w:val="auto"/>
        </w:rPr>
        <w:t>-</w:t>
      </w:r>
      <w:r w:rsidR="001E0BBA" w:rsidRPr="00A964FF">
        <w:rPr>
          <w:rFonts w:ascii="Calibri" w:eastAsia="黑体" w:hAnsi="Calibri" w:hint="eastAsia"/>
          <w:color w:val="auto"/>
        </w:rPr>
        <w:t>5</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color w:val="auto"/>
        </w:rPr>
        <w:t>声</w:t>
      </w:r>
      <w:r w:rsidRPr="00A964FF">
        <w:rPr>
          <w:rFonts w:ascii="Calibri" w:eastAsia="黑体" w:hint="eastAsia"/>
          <w:color w:val="auto"/>
        </w:rPr>
        <w:t>环境影</w:t>
      </w:r>
      <w:r w:rsidRPr="00A964FF">
        <w:rPr>
          <w:rFonts w:ascii="Calibri" w:eastAsia="黑体"/>
          <w:color w:val="auto"/>
        </w:rPr>
        <w:t>响评价等级</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164"/>
        <w:gridCol w:w="4536"/>
      </w:tblGrid>
      <w:tr w:rsidR="0055605A" w:rsidRPr="00A964FF" w14:paraId="36535968" w14:textId="77777777" w:rsidTr="00A40A35">
        <w:trPr>
          <w:trHeight w:val="340"/>
          <w:jc w:val="center"/>
        </w:trPr>
        <w:tc>
          <w:tcPr>
            <w:tcW w:w="2393" w:type="pct"/>
            <w:vAlign w:val="center"/>
          </w:tcPr>
          <w:p w14:paraId="292F8537" w14:textId="77777777" w:rsidR="0055605A" w:rsidRPr="00A964FF" w:rsidRDefault="0055605A" w:rsidP="003E0795">
            <w:pPr>
              <w:pStyle w:val="af3"/>
              <w:rPr>
                <w:color w:val="auto"/>
              </w:rPr>
            </w:pPr>
            <w:r w:rsidRPr="00A964FF">
              <w:rPr>
                <w:rFonts w:hint="eastAsia"/>
                <w:color w:val="auto"/>
              </w:rPr>
              <w:t>项目</w:t>
            </w:r>
          </w:p>
        </w:tc>
        <w:tc>
          <w:tcPr>
            <w:tcW w:w="2607" w:type="pct"/>
            <w:vAlign w:val="center"/>
          </w:tcPr>
          <w:p w14:paraId="1F1651F8" w14:textId="77777777" w:rsidR="0055605A" w:rsidRPr="00A964FF" w:rsidRDefault="0055605A" w:rsidP="003E0795">
            <w:pPr>
              <w:pStyle w:val="af3"/>
              <w:rPr>
                <w:color w:val="auto"/>
              </w:rPr>
            </w:pPr>
            <w:r w:rsidRPr="00A964FF">
              <w:rPr>
                <w:rFonts w:hint="eastAsia"/>
                <w:color w:val="auto"/>
              </w:rPr>
              <w:t>指标</w:t>
            </w:r>
          </w:p>
        </w:tc>
      </w:tr>
      <w:tr w:rsidR="00B841FF" w:rsidRPr="00A964FF" w14:paraId="536BC899" w14:textId="77777777" w:rsidTr="00A40A35">
        <w:trPr>
          <w:trHeight w:val="340"/>
          <w:jc w:val="center"/>
        </w:trPr>
        <w:tc>
          <w:tcPr>
            <w:tcW w:w="2393" w:type="pct"/>
            <w:vAlign w:val="center"/>
          </w:tcPr>
          <w:p w14:paraId="3699BB1B" w14:textId="77777777" w:rsidR="00B841FF" w:rsidRPr="00A964FF" w:rsidRDefault="00B841FF" w:rsidP="003E0795">
            <w:pPr>
              <w:pStyle w:val="af3"/>
              <w:rPr>
                <w:color w:val="auto"/>
              </w:rPr>
            </w:pPr>
            <w:r w:rsidRPr="00A964FF">
              <w:rPr>
                <w:rFonts w:hint="eastAsia"/>
                <w:color w:val="auto"/>
              </w:rPr>
              <w:t>项目所在区域声环境功能区类别</w:t>
            </w:r>
          </w:p>
        </w:tc>
        <w:tc>
          <w:tcPr>
            <w:tcW w:w="2607" w:type="pct"/>
            <w:vAlign w:val="center"/>
          </w:tcPr>
          <w:p w14:paraId="42ABC9DC" w14:textId="77777777" w:rsidR="00B841FF" w:rsidRPr="00A964FF" w:rsidRDefault="00D55A12" w:rsidP="00F17F5C">
            <w:pPr>
              <w:pStyle w:val="af3"/>
              <w:rPr>
                <w:color w:val="auto"/>
                <w:kern w:val="0"/>
              </w:rPr>
            </w:pPr>
            <w:r>
              <w:rPr>
                <w:rFonts w:hint="eastAsia"/>
                <w:color w:val="auto"/>
                <w:kern w:val="0"/>
              </w:rPr>
              <w:t>3</w:t>
            </w:r>
            <w:r w:rsidR="00B841FF" w:rsidRPr="00A964FF">
              <w:rPr>
                <w:rFonts w:hint="eastAsia"/>
                <w:color w:val="auto"/>
                <w:kern w:val="0"/>
              </w:rPr>
              <w:t>类功能区</w:t>
            </w:r>
          </w:p>
        </w:tc>
      </w:tr>
      <w:tr w:rsidR="00B841FF" w:rsidRPr="00A964FF" w14:paraId="6E728F15" w14:textId="77777777" w:rsidTr="00A40A35">
        <w:trPr>
          <w:trHeight w:val="340"/>
          <w:jc w:val="center"/>
        </w:trPr>
        <w:tc>
          <w:tcPr>
            <w:tcW w:w="2393" w:type="pct"/>
            <w:vAlign w:val="center"/>
          </w:tcPr>
          <w:p w14:paraId="68FB80F4" w14:textId="77777777" w:rsidR="00B841FF" w:rsidRPr="00A964FF" w:rsidRDefault="007002BF" w:rsidP="003E0795">
            <w:pPr>
              <w:pStyle w:val="af3"/>
              <w:rPr>
                <w:color w:val="auto"/>
              </w:rPr>
            </w:pPr>
            <w:r>
              <w:rPr>
                <w:rFonts w:hint="eastAsia"/>
              </w:rPr>
              <w:t>声环境</w:t>
            </w:r>
            <w:r>
              <w:t>保护</w:t>
            </w:r>
            <w:r>
              <w:rPr>
                <w:rFonts w:hint="eastAsia"/>
              </w:rPr>
              <w:t>目标</w:t>
            </w:r>
            <w:r w:rsidRPr="00A964FF">
              <w:rPr>
                <w:rFonts w:hint="eastAsia"/>
              </w:rPr>
              <w:t>噪声级</w:t>
            </w:r>
            <w:r>
              <w:rPr>
                <w:rFonts w:hint="eastAsia"/>
              </w:rPr>
              <w:t>增量</w:t>
            </w:r>
          </w:p>
        </w:tc>
        <w:tc>
          <w:tcPr>
            <w:tcW w:w="2607" w:type="pct"/>
            <w:vAlign w:val="center"/>
          </w:tcPr>
          <w:p w14:paraId="138EF5A6" w14:textId="77777777" w:rsidR="00B841FF" w:rsidRPr="00A964FF" w:rsidRDefault="007002BF" w:rsidP="001014AB">
            <w:pPr>
              <w:pStyle w:val="af3"/>
              <w:rPr>
                <w:color w:val="auto"/>
                <w:kern w:val="0"/>
              </w:rPr>
            </w:pPr>
            <w:r>
              <w:t>/</w:t>
            </w:r>
          </w:p>
        </w:tc>
      </w:tr>
      <w:tr w:rsidR="00B841FF" w:rsidRPr="00A964FF" w14:paraId="08DC53D7" w14:textId="77777777" w:rsidTr="00A40A35">
        <w:trPr>
          <w:trHeight w:val="340"/>
          <w:jc w:val="center"/>
        </w:trPr>
        <w:tc>
          <w:tcPr>
            <w:tcW w:w="2393" w:type="pct"/>
            <w:vAlign w:val="center"/>
          </w:tcPr>
          <w:p w14:paraId="3BE81828" w14:textId="77777777" w:rsidR="00B841FF" w:rsidRPr="00A964FF" w:rsidRDefault="007002BF" w:rsidP="003E0795">
            <w:pPr>
              <w:pStyle w:val="af3"/>
              <w:rPr>
                <w:color w:val="auto"/>
              </w:rPr>
            </w:pPr>
            <w:r w:rsidRPr="00A964FF">
              <w:rPr>
                <w:rFonts w:hint="eastAsia"/>
              </w:rPr>
              <w:t>受噪声影响的人口数量增加值</w:t>
            </w:r>
          </w:p>
        </w:tc>
        <w:tc>
          <w:tcPr>
            <w:tcW w:w="2607" w:type="pct"/>
            <w:vAlign w:val="center"/>
          </w:tcPr>
          <w:p w14:paraId="51F3965D" w14:textId="77777777" w:rsidR="00B841FF" w:rsidRPr="00A964FF" w:rsidRDefault="007002BF" w:rsidP="001014AB">
            <w:pPr>
              <w:pStyle w:val="af3"/>
              <w:rPr>
                <w:color w:val="auto"/>
                <w:kern w:val="0"/>
              </w:rPr>
            </w:pPr>
            <w:r>
              <w:t>/</w:t>
            </w:r>
          </w:p>
        </w:tc>
      </w:tr>
      <w:tr w:rsidR="0055605A" w:rsidRPr="00A964FF" w14:paraId="3CE6B2C7" w14:textId="77777777" w:rsidTr="00A40A35">
        <w:trPr>
          <w:trHeight w:val="340"/>
          <w:jc w:val="center"/>
        </w:trPr>
        <w:tc>
          <w:tcPr>
            <w:tcW w:w="2393" w:type="pct"/>
            <w:vAlign w:val="center"/>
          </w:tcPr>
          <w:p w14:paraId="078921B8" w14:textId="77777777" w:rsidR="0055605A" w:rsidRPr="00A964FF" w:rsidRDefault="0055605A" w:rsidP="003E0795">
            <w:pPr>
              <w:pStyle w:val="af3"/>
              <w:rPr>
                <w:color w:val="auto"/>
              </w:rPr>
            </w:pPr>
            <w:r w:rsidRPr="00A964FF">
              <w:rPr>
                <w:color w:val="auto"/>
              </w:rPr>
              <w:t>判定依据</w:t>
            </w:r>
          </w:p>
        </w:tc>
        <w:tc>
          <w:tcPr>
            <w:tcW w:w="2607" w:type="pct"/>
            <w:vAlign w:val="center"/>
          </w:tcPr>
          <w:p w14:paraId="32DF55AE" w14:textId="77777777" w:rsidR="0055605A" w:rsidRPr="00A964FF" w:rsidRDefault="0055605A" w:rsidP="00D55A12">
            <w:pPr>
              <w:pStyle w:val="af3"/>
              <w:rPr>
                <w:color w:val="auto"/>
              </w:rPr>
            </w:pPr>
            <w:r w:rsidRPr="00A964FF">
              <w:rPr>
                <w:color w:val="auto"/>
              </w:rPr>
              <w:t>HJ2.4-</w:t>
            </w:r>
            <w:r w:rsidR="00D55A12">
              <w:rPr>
                <w:rFonts w:hint="eastAsia"/>
                <w:color w:val="auto"/>
              </w:rPr>
              <w:t>2021</w:t>
            </w:r>
          </w:p>
        </w:tc>
      </w:tr>
      <w:tr w:rsidR="0055605A" w:rsidRPr="00A964FF" w14:paraId="17DE6020" w14:textId="77777777" w:rsidTr="00A40A35">
        <w:trPr>
          <w:trHeight w:val="340"/>
          <w:jc w:val="center"/>
        </w:trPr>
        <w:tc>
          <w:tcPr>
            <w:tcW w:w="2393" w:type="pct"/>
            <w:vAlign w:val="center"/>
          </w:tcPr>
          <w:p w14:paraId="79654977" w14:textId="77777777" w:rsidR="0055605A" w:rsidRPr="00A964FF" w:rsidRDefault="0055605A" w:rsidP="003E0795">
            <w:pPr>
              <w:pStyle w:val="af3"/>
              <w:rPr>
                <w:color w:val="auto"/>
              </w:rPr>
            </w:pPr>
            <w:r w:rsidRPr="00A964FF">
              <w:rPr>
                <w:rFonts w:hint="eastAsia"/>
                <w:color w:val="auto"/>
              </w:rPr>
              <w:t>评价等级</w:t>
            </w:r>
          </w:p>
        </w:tc>
        <w:tc>
          <w:tcPr>
            <w:tcW w:w="2607" w:type="pct"/>
            <w:vAlign w:val="center"/>
          </w:tcPr>
          <w:p w14:paraId="3DC05DE1" w14:textId="77777777" w:rsidR="0055605A" w:rsidRPr="00A964FF" w:rsidRDefault="00895210" w:rsidP="003E0795">
            <w:pPr>
              <w:pStyle w:val="af3"/>
              <w:rPr>
                <w:color w:val="auto"/>
              </w:rPr>
            </w:pPr>
            <w:r>
              <w:rPr>
                <w:rFonts w:hint="eastAsia"/>
                <w:color w:val="auto"/>
              </w:rPr>
              <w:t>三级</w:t>
            </w:r>
          </w:p>
        </w:tc>
      </w:tr>
    </w:tbl>
    <w:p w14:paraId="491A67DE" w14:textId="77777777" w:rsidR="0055605A" w:rsidRPr="00A964FF" w:rsidRDefault="0055605A" w:rsidP="0055605A">
      <w:pPr>
        <w:spacing w:line="520" w:lineRule="exact"/>
        <w:ind w:firstLineChars="200" w:firstLine="482"/>
        <w:jc w:val="left"/>
        <w:rPr>
          <w:rFonts w:ascii="Calibri" w:hAnsi="Calibri"/>
          <w:b/>
          <w:color w:val="auto"/>
          <w:sz w:val="24"/>
        </w:rPr>
      </w:pPr>
      <w:r w:rsidRPr="00A964FF">
        <w:rPr>
          <w:rFonts w:ascii="Calibri" w:hAnsi="Calibri" w:hint="eastAsia"/>
          <w:b/>
          <w:color w:val="auto"/>
          <w:sz w:val="24"/>
        </w:rPr>
        <w:t>5</w:t>
      </w:r>
      <w:r w:rsidRPr="00A964FF">
        <w:rPr>
          <w:rFonts w:ascii="Calibri" w:hAnsi="Calibri" w:hint="eastAsia"/>
          <w:b/>
          <w:color w:val="auto"/>
          <w:sz w:val="24"/>
        </w:rPr>
        <w:t>、土壤环境评级等级</w:t>
      </w:r>
    </w:p>
    <w:p w14:paraId="150F8AFD" w14:textId="77777777" w:rsidR="00B841FF" w:rsidRPr="007332D8" w:rsidRDefault="0055605A" w:rsidP="00BF4CA5">
      <w:pPr>
        <w:spacing w:line="520" w:lineRule="exact"/>
        <w:ind w:firstLineChars="200" w:firstLine="480"/>
        <w:jc w:val="left"/>
        <w:rPr>
          <w:rFonts w:ascii="Calibri" w:hAnsi="Calibri"/>
          <w:color w:val="auto"/>
          <w:sz w:val="24"/>
        </w:rPr>
      </w:pPr>
      <w:r w:rsidRPr="00A964FF">
        <w:rPr>
          <w:rFonts w:ascii="Calibri" w:hAnsi="Calibri" w:hint="eastAsia"/>
          <w:color w:val="auto"/>
          <w:sz w:val="24"/>
        </w:rPr>
        <w:t>本项目选址位于</w:t>
      </w:r>
      <w:r w:rsidR="008C7A91" w:rsidRPr="00A964FF">
        <w:rPr>
          <w:rFonts w:ascii="Calibri" w:hAnsi="Calibri" w:hint="eastAsia"/>
          <w:color w:val="auto"/>
          <w:sz w:val="24"/>
        </w:rPr>
        <w:t>平顶山尼龙新材料产业集聚区</w:t>
      </w:r>
      <w:r w:rsidRPr="00A964FF">
        <w:rPr>
          <w:rFonts w:ascii="Calibri" w:hint="eastAsia"/>
          <w:bCs/>
          <w:color w:val="auto"/>
          <w:sz w:val="24"/>
        </w:rPr>
        <w:t>，</w:t>
      </w:r>
      <w:r w:rsidR="00B841FF" w:rsidRPr="00A964FF">
        <w:rPr>
          <w:rFonts w:ascii="Calibri" w:hint="eastAsia"/>
          <w:bCs/>
          <w:color w:val="auto"/>
          <w:sz w:val="24"/>
        </w:rPr>
        <w:t>为化工类项目，</w:t>
      </w:r>
      <w:r w:rsidR="00F17F5C" w:rsidRPr="00A964FF">
        <w:rPr>
          <w:rFonts w:ascii="Calibri" w:hint="eastAsia"/>
          <w:bCs/>
          <w:color w:val="auto"/>
          <w:sz w:val="24"/>
        </w:rPr>
        <w:t>属于</w:t>
      </w:r>
      <w:r w:rsidR="00B841FF" w:rsidRPr="00A964FF">
        <w:rPr>
          <w:rFonts w:ascii="Calibri" w:hint="eastAsia"/>
          <w:bCs/>
          <w:color w:val="auto"/>
          <w:sz w:val="24"/>
        </w:rPr>
        <w:t>污染影响型项目</w:t>
      </w:r>
      <w:r w:rsidRPr="00A964FF">
        <w:rPr>
          <w:rFonts w:ascii="Calibri" w:hint="eastAsia"/>
          <w:bCs/>
          <w:color w:val="auto"/>
          <w:sz w:val="24"/>
        </w:rPr>
        <w:t>。</w:t>
      </w:r>
      <w:r w:rsidR="00B841FF" w:rsidRPr="00A964FF">
        <w:rPr>
          <w:rFonts w:ascii="Calibri" w:hAnsi="Calibri" w:hint="eastAsia"/>
          <w:color w:val="auto"/>
          <w:sz w:val="24"/>
        </w:rPr>
        <w:t>根据</w:t>
      </w:r>
      <w:r w:rsidR="00B841FF" w:rsidRPr="00A964FF">
        <w:rPr>
          <w:rFonts w:ascii="Calibri" w:hAnsi="Calibri"/>
          <w:color w:val="auto"/>
          <w:sz w:val="24"/>
        </w:rPr>
        <w:t>《环境影响评价技术导则</w:t>
      </w:r>
      <w:r w:rsidR="00B841FF" w:rsidRPr="00A964FF">
        <w:rPr>
          <w:rFonts w:ascii="Calibri" w:hAnsi="Calibri"/>
          <w:color w:val="auto"/>
          <w:sz w:val="24"/>
        </w:rPr>
        <w:t xml:space="preserve">  </w:t>
      </w:r>
      <w:r w:rsidR="00B841FF" w:rsidRPr="00A964FF">
        <w:rPr>
          <w:rFonts w:ascii="Calibri" w:hAnsi="Calibri" w:hint="eastAsia"/>
          <w:color w:val="auto"/>
          <w:sz w:val="24"/>
        </w:rPr>
        <w:t>土壤</w:t>
      </w:r>
      <w:r w:rsidR="00B841FF" w:rsidRPr="00A964FF">
        <w:rPr>
          <w:rFonts w:ascii="Calibri" w:hAnsi="Calibri"/>
          <w:color w:val="auto"/>
          <w:sz w:val="24"/>
        </w:rPr>
        <w:t>环境》（</w:t>
      </w:r>
      <w:r w:rsidR="00B841FF" w:rsidRPr="00A964FF">
        <w:rPr>
          <w:rFonts w:ascii="Calibri" w:hAnsi="Calibri"/>
          <w:color w:val="auto"/>
          <w:sz w:val="24"/>
        </w:rPr>
        <w:t>HJ</w:t>
      </w:r>
      <w:r w:rsidR="00B841FF" w:rsidRPr="00A964FF">
        <w:rPr>
          <w:rFonts w:ascii="Calibri" w:hAnsi="Calibri" w:hint="eastAsia"/>
          <w:color w:val="auto"/>
          <w:sz w:val="24"/>
        </w:rPr>
        <w:t>964</w:t>
      </w:r>
      <w:r w:rsidR="00B841FF" w:rsidRPr="00A964FF">
        <w:rPr>
          <w:rFonts w:ascii="Calibri" w:hAnsi="Calibri"/>
          <w:color w:val="auto"/>
          <w:sz w:val="24"/>
        </w:rPr>
        <w:t>-201</w:t>
      </w:r>
      <w:r w:rsidR="00B841FF" w:rsidRPr="00A964FF">
        <w:rPr>
          <w:rFonts w:ascii="Calibri" w:hAnsi="Calibri" w:hint="eastAsia"/>
          <w:color w:val="auto"/>
          <w:sz w:val="24"/>
        </w:rPr>
        <w:t>8</w:t>
      </w:r>
      <w:r w:rsidR="00B841FF" w:rsidRPr="00A964FF">
        <w:rPr>
          <w:rFonts w:ascii="Calibri" w:hAnsi="Calibri"/>
          <w:color w:val="auto"/>
          <w:sz w:val="24"/>
        </w:rPr>
        <w:t>）</w:t>
      </w:r>
      <w:r w:rsidR="00B841FF" w:rsidRPr="00A964FF">
        <w:rPr>
          <w:rFonts w:ascii="Calibri" w:hAnsi="Calibri" w:hint="eastAsia"/>
          <w:color w:val="auto"/>
          <w:sz w:val="24"/>
        </w:rPr>
        <w:t>中附录</w:t>
      </w:r>
      <w:r w:rsidR="00B841FF" w:rsidRPr="00A964FF">
        <w:rPr>
          <w:rFonts w:ascii="Calibri" w:hAnsi="Calibri" w:hint="eastAsia"/>
          <w:color w:val="auto"/>
          <w:sz w:val="24"/>
        </w:rPr>
        <w:t>A</w:t>
      </w:r>
      <w:r w:rsidR="00B841FF" w:rsidRPr="00A964FF">
        <w:rPr>
          <w:rFonts w:ascii="Calibri" w:hAnsi="Calibri" w:hint="eastAsia"/>
          <w:color w:val="auto"/>
          <w:sz w:val="24"/>
        </w:rPr>
        <w:t>相关内容，本项目为</w:t>
      </w:r>
      <w:r w:rsidR="00B841FF" w:rsidRPr="00A964FF">
        <w:rPr>
          <w:rFonts w:ascii="Calibri" w:hAnsi="Calibri"/>
          <w:color w:val="auto"/>
          <w:sz w:val="24"/>
        </w:rPr>
        <w:t>I</w:t>
      </w:r>
      <w:r w:rsidR="00B841FF" w:rsidRPr="00A964FF">
        <w:rPr>
          <w:rFonts w:ascii="Calibri" w:hAnsi="Calibri" w:hint="eastAsia"/>
          <w:color w:val="auto"/>
          <w:sz w:val="24"/>
        </w:rPr>
        <w:t>类建设项目</w:t>
      </w:r>
      <w:r w:rsidR="00F17F5C" w:rsidRPr="00A964FF">
        <w:rPr>
          <w:rFonts w:ascii="Calibri" w:hAnsi="Calibri" w:hint="eastAsia"/>
          <w:color w:val="auto"/>
          <w:sz w:val="24"/>
        </w:rPr>
        <w:t>。</w:t>
      </w:r>
      <w:r w:rsidR="00B841FF" w:rsidRPr="00A964FF">
        <w:rPr>
          <w:rFonts w:ascii="Calibri" w:hAnsi="Calibri" w:hint="eastAsia"/>
          <w:color w:val="auto"/>
          <w:sz w:val="24"/>
        </w:rPr>
        <w:t>项目占地面积</w:t>
      </w:r>
      <w:r w:rsidR="00BF4CA5">
        <w:rPr>
          <w:rFonts w:ascii="Calibri" w:hAnsi="Calibri" w:hint="eastAsia"/>
          <w:color w:val="auto"/>
          <w:sz w:val="24"/>
        </w:rPr>
        <w:t>78033.8</w:t>
      </w:r>
      <w:r w:rsidR="000667CF" w:rsidRPr="00A964FF">
        <w:rPr>
          <w:rFonts w:ascii="Calibri" w:hAnsi="Calibri" w:hint="eastAsia"/>
          <w:color w:val="auto"/>
          <w:sz w:val="24"/>
        </w:rPr>
        <w:t>m</w:t>
      </w:r>
      <w:r w:rsidR="000667CF" w:rsidRPr="00A964FF">
        <w:rPr>
          <w:rFonts w:ascii="Calibri" w:hAnsi="Calibri" w:hint="eastAsia"/>
          <w:color w:val="auto"/>
          <w:sz w:val="24"/>
          <w:vertAlign w:val="superscript"/>
        </w:rPr>
        <w:t>2</w:t>
      </w:r>
      <w:r w:rsidR="003036B7" w:rsidRPr="00A964FF">
        <w:rPr>
          <w:rFonts w:ascii="Calibri" w:hAnsi="Calibri" w:hint="eastAsia"/>
          <w:color w:val="auto"/>
          <w:sz w:val="24"/>
        </w:rPr>
        <w:t>，折合</w:t>
      </w:r>
      <w:r w:rsidR="00BF4CA5">
        <w:rPr>
          <w:rFonts w:ascii="Calibri" w:hAnsi="Calibri"/>
          <w:color w:val="auto"/>
          <w:sz w:val="24"/>
        </w:rPr>
        <w:t>7.80</w:t>
      </w:r>
      <w:r w:rsidR="00B841FF" w:rsidRPr="00A964FF">
        <w:rPr>
          <w:rFonts w:ascii="Calibri" w:hAnsi="Calibri" w:hint="eastAsia"/>
          <w:color w:val="auto"/>
          <w:sz w:val="24"/>
        </w:rPr>
        <w:t>hm</w:t>
      </w:r>
      <w:r w:rsidR="00B841FF" w:rsidRPr="00A964FF">
        <w:rPr>
          <w:rFonts w:ascii="Calibri" w:hAnsi="Calibri" w:hint="eastAsia"/>
          <w:color w:val="auto"/>
          <w:sz w:val="24"/>
          <w:vertAlign w:val="superscript"/>
        </w:rPr>
        <w:t>2</w:t>
      </w:r>
      <w:r w:rsidR="00F700CE" w:rsidRPr="00A964FF">
        <w:rPr>
          <w:rFonts w:ascii="Calibri" w:hAnsi="Calibri" w:hint="eastAsia"/>
          <w:color w:val="auto"/>
          <w:sz w:val="24"/>
        </w:rPr>
        <w:t>，</w:t>
      </w:r>
      <w:r w:rsidR="00B841FF" w:rsidRPr="00A964FF">
        <w:rPr>
          <w:rFonts w:ascii="Calibri" w:hAnsi="Calibri" w:hint="eastAsia"/>
          <w:color w:val="auto"/>
          <w:sz w:val="24"/>
        </w:rPr>
        <w:t>占地规模为</w:t>
      </w:r>
      <w:r w:rsidR="00BF4CA5">
        <w:rPr>
          <w:rFonts w:ascii="Calibri" w:hAnsi="Calibri" w:hint="eastAsia"/>
          <w:color w:val="auto"/>
          <w:sz w:val="24"/>
        </w:rPr>
        <w:t>中</w:t>
      </w:r>
      <w:r w:rsidR="007332D8">
        <w:rPr>
          <w:rFonts w:ascii="Calibri" w:hAnsi="Calibri" w:hint="eastAsia"/>
          <w:color w:val="auto"/>
          <w:sz w:val="24"/>
        </w:rPr>
        <w:t>型</w:t>
      </w:r>
      <w:r w:rsidR="00B841FF" w:rsidRPr="00A964FF">
        <w:rPr>
          <w:rFonts w:ascii="Calibri" w:hAnsi="Calibri" w:hint="eastAsia"/>
          <w:color w:val="auto"/>
          <w:sz w:val="24"/>
        </w:rPr>
        <w:t>；选址位于</w:t>
      </w:r>
      <w:r w:rsidR="003036B7" w:rsidRPr="00A964FF">
        <w:rPr>
          <w:rFonts w:ascii="Calibri" w:hAnsi="Calibri" w:hint="eastAsia"/>
          <w:color w:val="auto"/>
          <w:sz w:val="24"/>
        </w:rPr>
        <w:t>尼龙新材料</w:t>
      </w:r>
      <w:r w:rsidR="00B841FF" w:rsidRPr="00A964FF">
        <w:rPr>
          <w:rFonts w:ascii="Calibri" w:hAnsi="Calibri" w:hint="eastAsia"/>
          <w:color w:val="auto"/>
          <w:sz w:val="24"/>
        </w:rPr>
        <w:t>产业集聚区内，土壤敏感程度为不敏感。</w:t>
      </w:r>
    </w:p>
    <w:p w14:paraId="1053CF80" w14:textId="77777777" w:rsidR="00CA2479" w:rsidRPr="00A81745" w:rsidRDefault="0055605A" w:rsidP="00A81745">
      <w:pPr>
        <w:spacing w:line="520" w:lineRule="exact"/>
        <w:ind w:firstLineChars="200" w:firstLine="480"/>
        <w:jc w:val="left"/>
        <w:rPr>
          <w:rFonts w:ascii="Calibri"/>
          <w:bCs/>
          <w:color w:val="auto"/>
          <w:sz w:val="24"/>
        </w:rPr>
      </w:pPr>
      <w:r w:rsidRPr="00A964FF">
        <w:rPr>
          <w:rFonts w:ascii="Calibri" w:hint="eastAsia"/>
          <w:bCs/>
          <w:color w:val="auto"/>
          <w:sz w:val="24"/>
        </w:rPr>
        <w:t>根据《环境影响评价技术导则</w:t>
      </w:r>
      <w:r w:rsidRPr="00A964FF">
        <w:rPr>
          <w:rFonts w:ascii="Calibri" w:hint="eastAsia"/>
          <w:bCs/>
          <w:color w:val="auto"/>
          <w:sz w:val="24"/>
        </w:rPr>
        <w:t xml:space="preserve"> </w:t>
      </w:r>
      <w:r w:rsidRPr="00A964FF">
        <w:rPr>
          <w:rFonts w:ascii="Calibri" w:hint="eastAsia"/>
          <w:bCs/>
          <w:color w:val="auto"/>
          <w:sz w:val="24"/>
        </w:rPr>
        <w:t>土壤环境（试行）》（</w:t>
      </w:r>
      <w:r w:rsidRPr="00A964FF">
        <w:rPr>
          <w:rFonts w:ascii="Calibri" w:hint="eastAsia"/>
          <w:bCs/>
          <w:color w:val="auto"/>
          <w:sz w:val="24"/>
        </w:rPr>
        <w:t>HJ964-2018</w:t>
      </w:r>
      <w:r w:rsidRPr="00A964FF">
        <w:rPr>
          <w:rFonts w:ascii="Calibri" w:hint="eastAsia"/>
          <w:bCs/>
          <w:color w:val="auto"/>
          <w:sz w:val="24"/>
        </w:rPr>
        <w:t>），本项目</w:t>
      </w:r>
      <w:r w:rsidR="003367A5" w:rsidRPr="00A964FF">
        <w:rPr>
          <w:rFonts w:ascii="Calibri" w:hint="eastAsia"/>
          <w:bCs/>
          <w:color w:val="auto"/>
          <w:sz w:val="24"/>
        </w:rPr>
        <w:t>土壤评价等级为二级</w:t>
      </w:r>
      <w:r w:rsidRPr="00A964FF">
        <w:rPr>
          <w:rFonts w:ascii="Calibri" w:hint="eastAsia"/>
          <w:bCs/>
          <w:color w:val="auto"/>
          <w:sz w:val="24"/>
        </w:rPr>
        <w:t>，土壤评价工作等级判定依据见表</w:t>
      </w:r>
      <w:r w:rsidRPr="00A964FF">
        <w:rPr>
          <w:rFonts w:ascii="Calibri" w:hint="eastAsia"/>
          <w:bCs/>
          <w:color w:val="auto"/>
          <w:sz w:val="24"/>
        </w:rPr>
        <w:t>1</w:t>
      </w:r>
      <w:r w:rsidR="001E0BBA" w:rsidRPr="00A964FF">
        <w:rPr>
          <w:rFonts w:ascii="Calibri" w:hint="eastAsia"/>
          <w:bCs/>
          <w:color w:val="auto"/>
          <w:sz w:val="24"/>
        </w:rPr>
        <w:t>.6</w:t>
      </w:r>
      <w:r w:rsidRPr="00A964FF">
        <w:rPr>
          <w:rFonts w:ascii="Calibri" w:hint="eastAsia"/>
          <w:bCs/>
          <w:color w:val="auto"/>
          <w:sz w:val="24"/>
        </w:rPr>
        <w:t>-</w:t>
      </w:r>
      <w:r w:rsidR="00770CBF" w:rsidRPr="00A964FF">
        <w:rPr>
          <w:rFonts w:ascii="Calibri" w:hint="eastAsia"/>
          <w:bCs/>
          <w:color w:val="auto"/>
          <w:sz w:val="24"/>
        </w:rPr>
        <w:t>6</w:t>
      </w:r>
      <w:r w:rsidRPr="00A964FF">
        <w:rPr>
          <w:rFonts w:ascii="Calibri" w:hint="eastAsia"/>
          <w:bCs/>
          <w:color w:val="auto"/>
          <w:sz w:val="24"/>
        </w:rPr>
        <w:t>。</w:t>
      </w:r>
    </w:p>
    <w:p w14:paraId="7A4C0ED4" w14:textId="77777777" w:rsidR="0055605A" w:rsidRPr="00A964FF" w:rsidRDefault="0055605A" w:rsidP="0055605A">
      <w:pPr>
        <w:pStyle w:val="00"/>
        <w:rPr>
          <w:rFonts w:ascii="Calibri" w:eastAsia="黑体" w:hAnsi="Calibri"/>
          <w:color w:val="auto"/>
        </w:rPr>
      </w:pPr>
      <w:r w:rsidRPr="00A964FF">
        <w:rPr>
          <w:rFonts w:ascii="Calibri" w:eastAsia="黑体" w:hAnsi="Calibri"/>
          <w:color w:val="auto"/>
        </w:rPr>
        <w:t>表</w:t>
      </w:r>
      <w:r w:rsidRPr="00A964FF">
        <w:rPr>
          <w:rFonts w:ascii="Calibri" w:eastAsia="黑体" w:hAnsi="Calibri"/>
          <w:color w:val="auto"/>
        </w:rPr>
        <w:t>1</w:t>
      </w:r>
      <w:r w:rsidR="001E0BBA" w:rsidRPr="00A964FF">
        <w:rPr>
          <w:rFonts w:ascii="Calibri" w:eastAsia="黑体" w:hAnsi="Calibri" w:hint="eastAsia"/>
          <w:color w:val="auto"/>
        </w:rPr>
        <w:t>.6</w:t>
      </w:r>
      <w:r w:rsidRPr="00A964FF">
        <w:rPr>
          <w:rFonts w:ascii="Calibri" w:eastAsia="黑体" w:hAnsi="Calibri"/>
          <w:color w:val="auto"/>
        </w:rPr>
        <w:t>-</w:t>
      </w:r>
      <w:r w:rsidR="00770CBF" w:rsidRPr="00A964FF">
        <w:rPr>
          <w:rFonts w:ascii="Calibri" w:eastAsia="黑体" w:hAnsi="Calibri" w:hint="eastAsia"/>
          <w:color w:val="auto"/>
        </w:rPr>
        <w:t>6</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污染影响型评价工作等级划分表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682"/>
        <w:gridCol w:w="743"/>
        <w:gridCol w:w="1103"/>
        <w:gridCol w:w="731"/>
        <w:gridCol w:w="717"/>
        <w:gridCol w:w="858"/>
        <w:gridCol w:w="719"/>
        <w:gridCol w:w="717"/>
        <w:gridCol w:w="717"/>
        <w:gridCol w:w="713"/>
      </w:tblGrid>
      <w:tr w:rsidR="0055605A" w:rsidRPr="00A964FF" w14:paraId="58A1B3B8" w14:textId="77777777" w:rsidTr="00F700CE">
        <w:trPr>
          <w:trHeight w:val="340"/>
        </w:trPr>
        <w:tc>
          <w:tcPr>
            <w:tcW w:w="967" w:type="pct"/>
            <w:vMerge w:val="restart"/>
            <w:tcBorders>
              <w:top w:val="single" w:sz="12" w:space="0" w:color="000000"/>
              <w:bottom w:val="single" w:sz="2" w:space="0" w:color="000000"/>
              <w:right w:val="single" w:sz="2" w:space="0" w:color="000000"/>
              <w:tl2br w:val="nil"/>
            </w:tcBorders>
            <w:tcMar>
              <w:left w:w="28" w:type="dxa"/>
              <w:right w:w="28" w:type="dxa"/>
            </w:tcMar>
            <w:vAlign w:val="center"/>
          </w:tcPr>
          <w:p w14:paraId="52E1D719" w14:textId="77777777" w:rsidR="0055605A" w:rsidRPr="00A964FF" w:rsidRDefault="00971B8B" w:rsidP="003E0795">
            <w:pPr>
              <w:pStyle w:val="af3"/>
              <w:rPr>
                <w:color w:val="auto"/>
                <w:sz w:val="18"/>
                <w:szCs w:val="18"/>
              </w:rPr>
            </w:pPr>
            <w:r>
              <w:rPr>
                <w:noProof/>
                <w:color w:val="auto"/>
              </w:rPr>
              <mc:AlternateContent>
                <mc:Choice Requires="wpg">
                  <w:drawing>
                    <wp:anchor distT="0" distB="0" distL="114300" distR="114300" simplePos="0" relativeHeight="251445760" behindDoc="0" locked="0" layoutInCell="1" allowOverlap="1" wp14:anchorId="62EEFB97" wp14:editId="0536C187">
                      <wp:simplePos x="0" y="0"/>
                      <wp:positionH relativeFrom="column">
                        <wp:posOffset>-33655</wp:posOffset>
                      </wp:positionH>
                      <wp:positionV relativeFrom="paragraph">
                        <wp:posOffset>8255</wp:posOffset>
                      </wp:positionV>
                      <wp:extent cx="1038225" cy="465455"/>
                      <wp:effectExtent l="12700" t="11430" r="6350" b="8890"/>
                      <wp:wrapNone/>
                      <wp:docPr id="27473" name="__TH_G22五号10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65455"/>
                                <a:chOff x="1704" y="3030"/>
                                <a:chExt cx="1071" cy="487"/>
                              </a:xfrm>
                            </wpg:grpSpPr>
                            <wps:wsp>
                              <wps:cNvPr id="27474" name="__TH_L10044"/>
                              <wps:cNvCnPr>
                                <a:cxnSpLocks noChangeShapeType="1"/>
                              </wps:cNvCnPr>
                              <wps:spPr bwMode="auto">
                                <a:xfrm>
                                  <a:off x="2239" y="3030"/>
                                  <a:ext cx="536" cy="48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75" name="__TH_L10045"/>
                              <wps:cNvCnPr>
                                <a:cxnSpLocks noChangeShapeType="1"/>
                              </wps:cNvCnPr>
                              <wps:spPr bwMode="auto">
                                <a:xfrm>
                                  <a:off x="1704" y="3274"/>
                                  <a:ext cx="1071" cy="2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9235224" id="__TH_G22五号10046" o:spid="_x0000_s1026" style="position:absolute;left:0;text-align:left;margin-left:-2.65pt;margin-top:.65pt;width:81.75pt;height:36.65pt;z-index:251445760" coordorigin="1704,3030" coordsize="107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">
                      <v:line id="__TH_L10044" o:spid="_x0000_s1027" style="position:absolute;visibility:visible;mso-wrap-style:square" from="2239,3030" to="2775,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" strokeweight=".25pt"/>
                      <v:line id="__TH_L10045" o:spid="_x0000_s1028" style="position:absolute;visibility:visible;mso-wrap-style:square" from="1704,3274" to="2775,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" strokeweight=".25pt"/>
                    </v:group>
                  </w:pict>
                </mc:Fallback>
              </mc:AlternateContent>
            </w:r>
            <w:r w:rsidR="0055605A" w:rsidRPr="00A964FF">
              <w:rPr>
                <w:rFonts w:hint="eastAsia"/>
                <w:color w:val="auto"/>
              </w:rPr>
              <w:t xml:space="preserve">      </w:t>
            </w:r>
            <w:r w:rsidR="0055605A" w:rsidRPr="00A964FF">
              <w:rPr>
                <w:rFonts w:hint="eastAsia"/>
                <w:color w:val="auto"/>
                <w:sz w:val="18"/>
                <w:szCs w:val="18"/>
              </w:rPr>
              <w:t>占地规模</w:t>
            </w:r>
          </w:p>
          <w:p w14:paraId="3D05AC21" w14:textId="77777777" w:rsidR="0055605A" w:rsidRPr="00A964FF" w:rsidRDefault="0055605A" w:rsidP="003E0795">
            <w:pPr>
              <w:pStyle w:val="af3"/>
              <w:rPr>
                <w:color w:val="auto"/>
              </w:rPr>
            </w:pPr>
            <w:r w:rsidRPr="00A964FF">
              <w:rPr>
                <w:rFonts w:hint="eastAsia"/>
                <w:color w:val="auto"/>
              </w:rPr>
              <w:t>评价工作等级</w:t>
            </w:r>
          </w:p>
          <w:p w14:paraId="1DA943DC" w14:textId="77777777" w:rsidR="0055605A" w:rsidRPr="00A964FF" w:rsidRDefault="0055605A" w:rsidP="003E0795">
            <w:pPr>
              <w:pStyle w:val="af3"/>
              <w:rPr>
                <w:color w:val="auto"/>
              </w:rPr>
            </w:pPr>
            <w:r w:rsidRPr="00A964FF">
              <w:rPr>
                <w:rFonts w:hint="eastAsia"/>
                <w:color w:val="auto"/>
              </w:rPr>
              <w:t>敏感程度</w:t>
            </w:r>
          </w:p>
        </w:tc>
        <w:tc>
          <w:tcPr>
            <w:tcW w:w="1481" w:type="pct"/>
            <w:gridSpan w:val="3"/>
            <w:tcBorders>
              <w:top w:val="single" w:sz="12" w:space="0" w:color="000000"/>
              <w:left w:val="single" w:sz="2" w:space="0" w:color="000000"/>
              <w:bottom w:val="single" w:sz="2" w:space="0" w:color="000000"/>
              <w:right w:val="single" w:sz="2" w:space="0" w:color="000000"/>
            </w:tcBorders>
            <w:tcMar>
              <w:left w:w="28" w:type="dxa"/>
              <w:right w:w="28" w:type="dxa"/>
            </w:tcMar>
            <w:vAlign w:val="center"/>
          </w:tcPr>
          <w:p w14:paraId="019D088C" w14:textId="77777777" w:rsidR="0055605A" w:rsidRPr="00A964FF" w:rsidRDefault="0055605A" w:rsidP="003E0795">
            <w:pPr>
              <w:pStyle w:val="af3"/>
              <w:rPr>
                <w:color w:val="auto"/>
              </w:rPr>
            </w:pPr>
            <w:r w:rsidRPr="00A964FF">
              <w:rPr>
                <w:rFonts w:hint="eastAsia"/>
                <w:color w:val="auto"/>
              </w:rPr>
              <w:t>I</w:t>
            </w:r>
            <w:r w:rsidRPr="00A964FF">
              <w:rPr>
                <w:rFonts w:hint="eastAsia"/>
                <w:color w:val="auto"/>
              </w:rPr>
              <w:t>类</w:t>
            </w:r>
          </w:p>
        </w:tc>
        <w:tc>
          <w:tcPr>
            <w:tcW w:w="1318" w:type="pct"/>
            <w:gridSpan w:val="3"/>
            <w:tcBorders>
              <w:top w:val="single" w:sz="12" w:space="0" w:color="000000"/>
              <w:left w:val="single" w:sz="2" w:space="0" w:color="000000"/>
              <w:bottom w:val="single" w:sz="2" w:space="0" w:color="000000"/>
              <w:right w:val="single" w:sz="2" w:space="0" w:color="000000"/>
            </w:tcBorders>
            <w:tcMar>
              <w:left w:w="28" w:type="dxa"/>
              <w:right w:w="28" w:type="dxa"/>
            </w:tcMar>
            <w:vAlign w:val="center"/>
          </w:tcPr>
          <w:p w14:paraId="005D8A20" w14:textId="77777777" w:rsidR="0055605A" w:rsidRPr="00A964FF" w:rsidRDefault="0055605A" w:rsidP="003E0795">
            <w:pPr>
              <w:pStyle w:val="af3"/>
              <w:rPr>
                <w:color w:val="auto"/>
              </w:rPr>
            </w:pPr>
            <w:r w:rsidRPr="00A964FF">
              <w:rPr>
                <w:rFonts w:hint="eastAsia"/>
                <w:color w:val="auto"/>
              </w:rPr>
              <w:t>II</w:t>
            </w:r>
            <w:r w:rsidRPr="00A964FF">
              <w:rPr>
                <w:rFonts w:hint="eastAsia"/>
                <w:color w:val="auto"/>
              </w:rPr>
              <w:t>类</w:t>
            </w:r>
          </w:p>
        </w:tc>
        <w:tc>
          <w:tcPr>
            <w:tcW w:w="1234" w:type="pct"/>
            <w:gridSpan w:val="3"/>
            <w:tcBorders>
              <w:top w:val="single" w:sz="12" w:space="0" w:color="000000"/>
              <w:left w:val="single" w:sz="2" w:space="0" w:color="000000"/>
              <w:bottom w:val="single" w:sz="2" w:space="0" w:color="000000"/>
            </w:tcBorders>
            <w:tcMar>
              <w:left w:w="28" w:type="dxa"/>
              <w:right w:w="28" w:type="dxa"/>
            </w:tcMar>
            <w:vAlign w:val="center"/>
          </w:tcPr>
          <w:p w14:paraId="1F88A7FF" w14:textId="77777777" w:rsidR="0055605A" w:rsidRPr="00A964FF" w:rsidRDefault="0055605A" w:rsidP="003E0795">
            <w:pPr>
              <w:pStyle w:val="af3"/>
              <w:rPr>
                <w:color w:val="auto"/>
              </w:rPr>
            </w:pPr>
            <w:r w:rsidRPr="00A964FF">
              <w:rPr>
                <w:rFonts w:hint="eastAsia"/>
                <w:color w:val="auto"/>
              </w:rPr>
              <w:t>III</w:t>
            </w:r>
            <w:r w:rsidRPr="00A964FF">
              <w:rPr>
                <w:rFonts w:hint="eastAsia"/>
                <w:color w:val="auto"/>
              </w:rPr>
              <w:t>类</w:t>
            </w:r>
          </w:p>
        </w:tc>
      </w:tr>
      <w:tr w:rsidR="0055605A" w:rsidRPr="00A964FF" w14:paraId="5326597F" w14:textId="77777777" w:rsidTr="00BF4CA5">
        <w:trPr>
          <w:trHeight w:val="340"/>
        </w:trPr>
        <w:tc>
          <w:tcPr>
            <w:tcW w:w="967" w:type="pct"/>
            <w:vMerge/>
            <w:tcBorders>
              <w:top w:val="single" w:sz="2" w:space="0" w:color="000000"/>
              <w:bottom w:val="single" w:sz="2" w:space="0" w:color="000000"/>
              <w:right w:val="single" w:sz="2" w:space="0" w:color="000000"/>
              <w:tl2br w:val="nil"/>
            </w:tcBorders>
            <w:tcMar>
              <w:left w:w="28" w:type="dxa"/>
              <w:right w:w="28" w:type="dxa"/>
            </w:tcMar>
            <w:vAlign w:val="center"/>
          </w:tcPr>
          <w:p w14:paraId="4E787242" w14:textId="77777777" w:rsidR="0055605A" w:rsidRPr="00A964FF" w:rsidRDefault="0055605A" w:rsidP="003E0795">
            <w:pPr>
              <w:pStyle w:val="af3"/>
              <w:rPr>
                <w:color w:val="auto"/>
              </w:rPr>
            </w:pPr>
          </w:p>
        </w:tc>
        <w:tc>
          <w:tcPr>
            <w:tcW w:w="427"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7DC434B3" w14:textId="77777777" w:rsidR="0055605A" w:rsidRPr="00A964FF" w:rsidRDefault="0055605A" w:rsidP="003E0795">
            <w:pPr>
              <w:pStyle w:val="af3"/>
              <w:rPr>
                <w:color w:val="auto"/>
              </w:rPr>
            </w:pPr>
            <w:r w:rsidRPr="00A964FF">
              <w:rPr>
                <w:rFonts w:hint="eastAsia"/>
                <w:color w:val="auto"/>
              </w:rPr>
              <w:t>大</w:t>
            </w:r>
          </w:p>
        </w:tc>
        <w:tc>
          <w:tcPr>
            <w:tcW w:w="63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6B26B85A" w14:textId="77777777" w:rsidR="0055605A" w:rsidRPr="00A964FF" w:rsidRDefault="0055605A" w:rsidP="003E0795">
            <w:pPr>
              <w:pStyle w:val="af3"/>
              <w:rPr>
                <w:color w:val="auto"/>
              </w:rPr>
            </w:pPr>
            <w:r w:rsidRPr="00A964FF">
              <w:rPr>
                <w:rFonts w:hint="eastAsia"/>
                <w:color w:val="auto"/>
              </w:rPr>
              <w:t>中</w:t>
            </w:r>
          </w:p>
        </w:tc>
        <w:tc>
          <w:tcPr>
            <w:tcW w:w="420"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77B4251" w14:textId="77777777" w:rsidR="0055605A" w:rsidRPr="00A964FF" w:rsidRDefault="0055605A" w:rsidP="003E0795">
            <w:pPr>
              <w:pStyle w:val="af3"/>
              <w:rPr>
                <w:color w:val="auto"/>
              </w:rPr>
            </w:pPr>
            <w:r w:rsidRPr="00A964FF">
              <w:rPr>
                <w:rFonts w:hint="eastAsia"/>
                <w:color w:val="auto"/>
              </w:rPr>
              <w:t>小</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EABED5F" w14:textId="77777777" w:rsidR="0055605A" w:rsidRPr="00A964FF" w:rsidRDefault="0055605A" w:rsidP="003E0795">
            <w:pPr>
              <w:pStyle w:val="af3"/>
              <w:rPr>
                <w:color w:val="auto"/>
              </w:rPr>
            </w:pPr>
            <w:r w:rsidRPr="00A964FF">
              <w:rPr>
                <w:rFonts w:hint="eastAsia"/>
                <w:color w:val="auto"/>
              </w:rPr>
              <w:t>大</w:t>
            </w:r>
          </w:p>
        </w:tc>
        <w:tc>
          <w:tcPr>
            <w:tcW w:w="49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4BE4E73" w14:textId="77777777" w:rsidR="0055605A" w:rsidRPr="00A964FF" w:rsidRDefault="0055605A" w:rsidP="003E0795">
            <w:pPr>
              <w:pStyle w:val="af3"/>
              <w:rPr>
                <w:color w:val="auto"/>
              </w:rPr>
            </w:pPr>
            <w:r w:rsidRPr="00A964FF">
              <w:rPr>
                <w:rFonts w:hint="eastAsia"/>
                <w:color w:val="auto"/>
              </w:rPr>
              <w:t>中</w:t>
            </w:r>
          </w:p>
        </w:tc>
        <w:tc>
          <w:tcPr>
            <w:tcW w:w="41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3D44BB3" w14:textId="77777777" w:rsidR="0055605A" w:rsidRPr="00A964FF" w:rsidRDefault="0055605A" w:rsidP="003E0795">
            <w:pPr>
              <w:pStyle w:val="af3"/>
              <w:rPr>
                <w:color w:val="auto"/>
              </w:rPr>
            </w:pPr>
            <w:r w:rsidRPr="00A964FF">
              <w:rPr>
                <w:rFonts w:hint="eastAsia"/>
                <w:color w:val="auto"/>
              </w:rPr>
              <w:t>小</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268D52A" w14:textId="77777777" w:rsidR="0055605A" w:rsidRPr="00A964FF" w:rsidRDefault="0055605A" w:rsidP="003E0795">
            <w:pPr>
              <w:pStyle w:val="af3"/>
              <w:rPr>
                <w:color w:val="auto"/>
              </w:rPr>
            </w:pPr>
            <w:r w:rsidRPr="00A964FF">
              <w:rPr>
                <w:rFonts w:hint="eastAsia"/>
                <w:color w:val="auto"/>
              </w:rPr>
              <w:t>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AC67C82" w14:textId="77777777" w:rsidR="0055605A" w:rsidRPr="00A964FF" w:rsidRDefault="0055605A" w:rsidP="003E0795">
            <w:pPr>
              <w:pStyle w:val="af3"/>
              <w:rPr>
                <w:color w:val="auto"/>
              </w:rPr>
            </w:pPr>
            <w:r w:rsidRPr="00A964FF">
              <w:rPr>
                <w:rFonts w:hint="eastAsia"/>
                <w:color w:val="auto"/>
              </w:rPr>
              <w:t>中</w:t>
            </w:r>
          </w:p>
        </w:tc>
        <w:tc>
          <w:tcPr>
            <w:tcW w:w="410" w:type="pct"/>
            <w:tcBorders>
              <w:top w:val="single" w:sz="2" w:space="0" w:color="000000"/>
              <w:left w:val="single" w:sz="2" w:space="0" w:color="000000"/>
              <w:bottom w:val="single" w:sz="2" w:space="0" w:color="000000"/>
            </w:tcBorders>
            <w:tcMar>
              <w:left w:w="28" w:type="dxa"/>
              <w:right w:w="28" w:type="dxa"/>
            </w:tcMar>
            <w:vAlign w:val="center"/>
          </w:tcPr>
          <w:p w14:paraId="4BA34F4F" w14:textId="77777777" w:rsidR="0055605A" w:rsidRPr="00A964FF" w:rsidRDefault="0055605A" w:rsidP="003E0795">
            <w:pPr>
              <w:pStyle w:val="af3"/>
              <w:rPr>
                <w:color w:val="auto"/>
              </w:rPr>
            </w:pPr>
            <w:r w:rsidRPr="00A964FF">
              <w:rPr>
                <w:rFonts w:hint="eastAsia"/>
                <w:color w:val="auto"/>
              </w:rPr>
              <w:t>小</w:t>
            </w:r>
          </w:p>
        </w:tc>
      </w:tr>
      <w:tr w:rsidR="0055605A" w:rsidRPr="00A964FF" w14:paraId="0C9C538F" w14:textId="77777777" w:rsidTr="00BF4CA5">
        <w:trPr>
          <w:trHeight w:val="340"/>
        </w:trPr>
        <w:tc>
          <w:tcPr>
            <w:tcW w:w="967" w:type="pct"/>
            <w:tcBorders>
              <w:top w:val="single" w:sz="2" w:space="0" w:color="000000"/>
              <w:bottom w:val="single" w:sz="2" w:space="0" w:color="000000"/>
              <w:right w:val="single" w:sz="2" w:space="0" w:color="000000"/>
            </w:tcBorders>
            <w:tcMar>
              <w:left w:w="28" w:type="dxa"/>
              <w:right w:w="28" w:type="dxa"/>
            </w:tcMar>
            <w:vAlign w:val="center"/>
          </w:tcPr>
          <w:p w14:paraId="01444823" w14:textId="77777777" w:rsidR="0055605A" w:rsidRPr="00A964FF" w:rsidRDefault="0055605A" w:rsidP="003E0795">
            <w:pPr>
              <w:pStyle w:val="af3"/>
              <w:rPr>
                <w:color w:val="auto"/>
              </w:rPr>
            </w:pPr>
            <w:r w:rsidRPr="00A964FF">
              <w:rPr>
                <w:rFonts w:hint="eastAsia"/>
                <w:color w:val="auto"/>
              </w:rPr>
              <w:t>敏感</w:t>
            </w:r>
          </w:p>
        </w:tc>
        <w:tc>
          <w:tcPr>
            <w:tcW w:w="427"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39028E1" w14:textId="77777777" w:rsidR="0055605A" w:rsidRPr="00A964FF" w:rsidRDefault="0055605A" w:rsidP="003E0795">
            <w:pPr>
              <w:pStyle w:val="af3"/>
              <w:rPr>
                <w:color w:val="auto"/>
              </w:rPr>
            </w:pPr>
            <w:r w:rsidRPr="00A964FF">
              <w:rPr>
                <w:rFonts w:hint="eastAsia"/>
                <w:color w:val="auto"/>
              </w:rPr>
              <w:t>一级</w:t>
            </w:r>
          </w:p>
        </w:tc>
        <w:tc>
          <w:tcPr>
            <w:tcW w:w="63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C7D0220" w14:textId="77777777" w:rsidR="0055605A" w:rsidRPr="00A964FF" w:rsidRDefault="0055605A" w:rsidP="003E0795">
            <w:pPr>
              <w:pStyle w:val="af3"/>
              <w:rPr>
                <w:color w:val="auto"/>
              </w:rPr>
            </w:pPr>
            <w:r w:rsidRPr="00A964FF">
              <w:rPr>
                <w:rFonts w:hint="eastAsia"/>
                <w:color w:val="auto"/>
              </w:rPr>
              <w:t>一级</w:t>
            </w:r>
          </w:p>
        </w:tc>
        <w:tc>
          <w:tcPr>
            <w:tcW w:w="420"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22C7686C" w14:textId="77777777" w:rsidR="0055605A" w:rsidRPr="00A964FF" w:rsidRDefault="0055605A" w:rsidP="003E0795">
            <w:pPr>
              <w:pStyle w:val="af3"/>
              <w:rPr>
                <w:color w:val="auto"/>
              </w:rPr>
            </w:pPr>
            <w:r w:rsidRPr="00A964FF">
              <w:rPr>
                <w:rFonts w:hint="eastAsia"/>
                <w:color w:val="auto"/>
              </w:rPr>
              <w:t>一级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6FDAA7C" w14:textId="77777777" w:rsidR="0055605A" w:rsidRPr="00A964FF" w:rsidRDefault="0055605A" w:rsidP="003E0795">
            <w:pPr>
              <w:pStyle w:val="af3"/>
              <w:rPr>
                <w:color w:val="auto"/>
              </w:rPr>
            </w:pPr>
            <w:r w:rsidRPr="00A964FF">
              <w:rPr>
                <w:rFonts w:hint="eastAsia"/>
                <w:color w:val="auto"/>
              </w:rPr>
              <w:t>二级</w:t>
            </w:r>
          </w:p>
        </w:tc>
        <w:tc>
          <w:tcPr>
            <w:tcW w:w="49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C823A2D" w14:textId="77777777" w:rsidR="0055605A" w:rsidRPr="00A964FF" w:rsidRDefault="0055605A" w:rsidP="003E0795">
            <w:pPr>
              <w:pStyle w:val="af3"/>
              <w:rPr>
                <w:color w:val="auto"/>
              </w:rPr>
            </w:pPr>
            <w:r w:rsidRPr="00A964FF">
              <w:rPr>
                <w:rFonts w:hint="eastAsia"/>
                <w:color w:val="auto"/>
              </w:rPr>
              <w:t>二级</w:t>
            </w:r>
          </w:p>
        </w:tc>
        <w:tc>
          <w:tcPr>
            <w:tcW w:w="41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AFEB61B" w14:textId="77777777" w:rsidR="0055605A" w:rsidRPr="00A964FF" w:rsidRDefault="0055605A" w:rsidP="003E0795">
            <w:pPr>
              <w:pStyle w:val="af3"/>
              <w:rPr>
                <w:color w:val="auto"/>
              </w:rPr>
            </w:pPr>
            <w:r w:rsidRPr="00A964FF">
              <w:rPr>
                <w:rFonts w:hint="eastAsia"/>
                <w:color w:val="auto"/>
              </w:rPr>
              <w:t>二级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689CD08B" w14:textId="77777777" w:rsidR="0055605A" w:rsidRPr="00A964FF" w:rsidRDefault="0055605A" w:rsidP="003E0795">
            <w:pPr>
              <w:pStyle w:val="af3"/>
              <w:rPr>
                <w:color w:val="auto"/>
              </w:rPr>
            </w:pPr>
            <w:r w:rsidRPr="00A964FF">
              <w:rPr>
                <w:rFonts w:hint="eastAsia"/>
                <w:color w:val="auto"/>
              </w:rPr>
              <w:t>三级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62F9612D" w14:textId="77777777" w:rsidR="0055605A" w:rsidRPr="00A964FF" w:rsidRDefault="0055605A" w:rsidP="003E0795">
            <w:pPr>
              <w:pStyle w:val="af3"/>
              <w:rPr>
                <w:color w:val="auto"/>
              </w:rPr>
            </w:pPr>
            <w:r w:rsidRPr="00A964FF">
              <w:rPr>
                <w:rFonts w:hint="eastAsia"/>
                <w:color w:val="auto"/>
              </w:rPr>
              <w:t>三级</w:t>
            </w:r>
          </w:p>
        </w:tc>
        <w:tc>
          <w:tcPr>
            <w:tcW w:w="410" w:type="pct"/>
            <w:tcBorders>
              <w:top w:val="single" w:sz="2" w:space="0" w:color="000000"/>
              <w:left w:val="single" w:sz="2" w:space="0" w:color="000000"/>
              <w:bottom w:val="single" w:sz="2" w:space="0" w:color="000000"/>
            </w:tcBorders>
            <w:tcMar>
              <w:left w:w="28" w:type="dxa"/>
              <w:right w:w="28" w:type="dxa"/>
            </w:tcMar>
            <w:vAlign w:val="center"/>
          </w:tcPr>
          <w:p w14:paraId="1411DEC8" w14:textId="77777777" w:rsidR="0055605A" w:rsidRPr="00A964FF" w:rsidRDefault="0055605A" w:rsidP="003E0795">
            <w:pPr>
              <w:pStyle w:val="af3"/>
              <w:rPr>
                <w:color w:val="auto"/>
              </w:rPr>
            </w:pPr>
            <w:r w:rsidRPr="00A964FF">
              <w:rPr>
                <w:rFonts w:hint="eastAsia"/>
                <w:color w:val="auto"/>
              </w:rPr>
              <w:t>三级</w:t>
            </w:r>
          </w:p>
        </w:tc>
      </w:tr>
      <w:tr w:rsidR="0055605A" w:rsidRPr="00A964FF" w14:paraId="331EE14B" w14:textId="77777777" w:rsidTr="00BF4CA5">
        <w:trPr>
          <w:trHeight w:val="340"/>
        </w:trPr>
        <w:tc>
          <w:tcPr>
            <w:tcW w:w="967" w:type="pct"/>
            <w:tcBorders>
              <w:top w:val="single" w:sz="2" w:space="0" w:color="000000"/>
              <w:bottom w:val="single" w:sz="2" w:space="0" w:color="000000"/>
              <w:right w:val="single" w:sz="2" w:space="0" w:color="000000"/>
            </w:tcBorders>
            <w:tcMar>
              <w:left w:w="28" w:type="dxa"/>
              <w:right w:w="28" w:type="dxa"/>
            </w:tcMar>
            <w:vAlign w:val="center"/>
          </w:tcPr>
          <w:p w14:paraId="643E5190" w14:textId="77777777" w:rsidR="0055605A" w:rsidRPr="00A964FF" w:rsidRDefault="0055605A" w:rsidP="003E0795">
            <w:pPr>
              <w:pStyle w:val="af3"/>
              <w:rPr>
                <w:color w:val="auto"/>
              </w:rPr>
            </w:pPr>
            <w:r w:rsidRPr="00A964FF">
              <w:rPr>
                <w:rFonts w:hint="eastAsia"/>
                <w:color w:val="auto"/>
              </w:rPr>
              <w:t>较敏感</w:t>
            </w:r>
          </w:p>
        </w:tc>
        <w:tc>
          <w:tcPr>
            <w:tcW w:w="427"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5CBFF7E" w14:textId="77777777" w:rsidR="0055605A" w:rsidRPr="00A964FF" w:rsidRDefault="0055605A" w:rsidP="003E0795">
            <w:pPr>
              <w:pStyle w:val="af3"/>
              <w:rPr>
                <w:color w:val="auto"/>
              </w:rPr>
            </w:pPr>
            <w:r w:rsidRPr="00A964FF">
              <w:rPr>
                <w:rFonts w:hint="eastAsia"/>
                <w:color w:val="auto"/>
              </w:rPr>
              <w:t>一级</w:t>
            </w:r>
          </w:p>
        </w:tc>
        <w:tc>
          <w:tcPr>
            <w:tcW w:w="63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E155A1E" w14:textId="77777777" w:rsidR="0055605A" w:rsidRPr="00A964FF" w:rsidRDefault="0055605A" w:rsidP="003E0795">
            <w:pPr>
              <w:pStyle w:val="af3"/>
              <w:rPr>
                <w:color w:val="auto"/>
              </w:rPr>
            </w:pPr>
            <w:r w:rsidRPr="00A964FF">
              <w:rPr>
                <w:rFonts w:hint="eastAsia"/>
                <w:color w:val="auto"/>
              </w:rPr>
              <w:t>一级</w:t>
            </w:r>
          </w:p>
        </w:tc>
        <w:tc>
          <w:tcPr>
            <w:tcW w:w="420"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42F0677" w14:textId="77777777" w:rsidR="0055605A" w:rsidRPr="00A964FF" w:rsidRDefault="0055605A" w:rsidP="003E0795">
            <w:pPr>
              <w:pStyle w:val="af3"/>
              <w:rPr>
                <w:color w:val="auto"/>
              </w:rPr>
            </w:pPr>
            <w:r w:rsidRPr="00A964FF">
              <w:rPr>
                <w:rFonts w:hint="eastAsia"/>
                <w:color w:val="auto"/>
              </w:rPr>
              <w:t>二级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2B17EDB5" w14:textId="77777777" w:rsidR="0055605A" w:rsidRPr="00A964FF" w:rsidRDefault="0055605A" w:rsidP="003E0795">
            <w:pPr>
              <w:pStyle w:val="af3"/>
              <w:rPr>
                <w:color w:val="auto"/>
              </w:rPr>
            </w:pPr>
            <w:r w:rsidRPr="00A964FF">
              <w:rPr>
                <w:rFonts w:hint="eastAsia"/>
                <w:color w:val="auto"/>
              </w:rPr>
              <w:t>二级</w:t>
            </w:r>
          </w:p>
        </w:tc>
        <w:tc>
          <w:tcPr>
            <w:tcW w:w="49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006F080" w14:textId="77777777" w:rsidR="0055605A" w:rsidRPr="00A964FF" w:rsidRDefault="0055605A" w:rsidP="003E0795">
            <w:pPr>
              <w:pStyle w:val="af3"/>
              <w:rPr>
                <w:color w:val="auto"/>
              </w:rPr>
            </w:pPr>
            <w:r w:rsidRPr="00A964FF">
              <w:rPr>
                <w:rFonts w:hint="eastAsia"/>
                <w:color w:val="auto"/>
              </w:rPr>
              <w:t>二级</w:t>
            </w:r>
          </w:p>
        </w:tc>
        <w:tc>
          <w:tcPr>
            <w:tcW w:w="41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5453DBC" w14:textId="77777777" w:rsidR="0055605A" w:rsidRPr="00A964FF" w:rsidRDefault="0055605A" w:rsidP="003E0795">
            <w:pPr>
              <w:pStyle w:val="af3"/>
              <w:rPr>
                <w:color w:val="auto"/>
              </w:rPr>
            </w:pPr>
            <w:r w:rsidRPr="00A964FF">
              <w:rPr>
                <w:rFonts w:hint="eastAsia"/>
                <w:color w:val="auto"/>
              </w:rPr>
              <w:t>三级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C5E29F7" w14:textId="77777777" w:rsidR="0055605A" w:rsidRPr="00A964FF" w:rsidRDefault="0055605A" w:rsidP="003E0795">
            <w:pPr>
              <w:pStyle w:val="af3"/>
              <w:rPr>
                <w:color w:val="auto"/>
              </w:rPr>
            </w:pPr>
            <w:r w:rsidRPr="00A964FF">
              <w:rPr>
                <w:rFonts w:hint="eastAsia"/>
                <w:color w:val="auto"/>
              </w:rPr>
              <w:t>三级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37CCC50" w14:textId="77777777" w:rsidR="0055605A" w:rsidRPr="00A964FF" w:rsidRDefault="0055605A" w:rsidP="003E0795">
            <w:pPr>
              <w:pStyle w:val="af3"/>
              <w:rPr>
                <w:color w:val="auto"/>
              </w:rPr>
            </w:pPr>
            <w:r w:rsidRPr="00A964FF">
              <w:rPr>
                <w:rFonts w:hint="eastAsia"/>
                <w:color w:val="auto"/>
              </w:rPr>
              <w:t>三级</w:t>
            </w:r>
          </w:p>
        </w:tc>
        <w:tc>
          <w:tcPr>
            <w:tcW w:w="410" w:type="pct"/>
            <w:tcBorders>
              <w:top w:val="single" w:sz="2" w:space="0" w:color="000000"/>
              <w:left w:val="single" w:sz="2" w:space="0" w:color="000000"/>
              <w:bottom w:val="single" w:sz="2" w:space="0" w:color="000000"/>
            </w:tcBorders>
            <w:tcMar>
              <w:left w:w="28" w:type="dxa"/>
              <w:right w:w="28" w:type="dxa"/>
            </w:tcMar>
            <w:vAlign w:val="center"/>
          </w:tcPr>
          <w:p w14:paraId="65B6DBE6" w14:textId="77777777" w:rsidR="0055605A" w:rsidRPr="00A964FF" w:rsidRDefault="0055605A" w:rsidP="003E0795">
            <w:pPr>
              <w:pStyle w:val="af3"/>
              <w:rPr>
                <w:color w:val="auto"/>
              </w:rPr>
            </w:pPr>
            <w:r w:rsidRPr="00A964FF">
              <w:rPr>
                <w:rFonts w:hint="eastAsia"/>
                <w:color w:val="auto"/>
              </w:rPr>
              <w:t>—</w:t>
            </w:r>
          </w:p>
        </w:tc>
      </w:tr>
      <w:tr w:rsidR="0055605A" w:rsidRPr="00A964FF" w14:paraId="64D01820" w14:textId="77777777" w:rsidTr="00BF4CA5">
        <w:trPr>
          <w:trHeight w:val="340"/>
        </w:trPr>
        <w:tc>
          <w:tcPr>
            <w:tcW w:w="967" w:type="pct"/>
            <w:tcBorders>
              <w:top w:val="single" w:sz="2" w:space="0" w:color="000000"/>
              <w:bottom w:val="single" w:sz="2" w:space="0" w:color="000000"/>
              <w:right w:val="single" w:sz="2" w:space="0" w:color="000000"/>
            </w:tcBorders>
            <w:tcMar>
              <w:left w:w="28" w:type="dxa"/>
              <w:right w:w="28" w:type="dxa"/>
            </w:tcMar>
            <w:vAlign w:val="center"/>
          </w:tcPr>
          <w:p w14:paraId="42B5D2D0" w14:textId="77777777" w:rsidR="0055605A" w:rsidRPr="00A964FF" w:rsidRDefault="0055605A" w:rsidP="003E0795">
            <w:pPr>
              <w:pStyle w:val="af3"/>
              <w:rPr>
                <w:color w:val="auto"/>
              </w:rPr>
            </w:pPr>
            <w:r w:rsidRPr="00A964FF">
              <w:rPr>
                <w:rFonts w:hint="eastAsia"/>
                <w:color w:val="auto"/>
              </w:rPr>
              <w:t>不敏感</w:t>
            </w:r>
          </w:p>
        </w:tc>
        <w:tc>
          <w:tcPr>
            <w:tcW w:w="427"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46543DD" w14:textId="77777777" w:rsidR="0055605A" w:rsidRPr="00A964FF" w:rsidRDefault="0055605A" w:rsidP="003E0795">
            <w:pPr>
              <w:pStyle w:val="af3"/>
              <w:rPr>
                <w:color w:val="auto"/>
              </w:rPr>
            </w:pPr>
            <w:r w:rsidRPr="00A964FF">
              <w:rPr>
                <w:rFonts w:hint="eastAsia"/>
                <w:color w:val="auto"/>
              </w:rPr>
              <w:t>一级</w:t>
            </w:r>
          </w:p>
        </w:tc>
        <w:tc>
          <w:tcPr>
            <w:tcW w:w="63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BE94801" w14:textId="77777777" w:rsidR="0055605A" w:rsidRPr="00A964FF" w:rsidRDefault="0055605A" w:rsidP="007332D8">
            <w:pPr>
              <w:pStyle w:val="af3"/>
              <w:rPr>
                <w:color w:val="auto"/>
              </w:rPr>
            </w:pPr>
            <w:r w:rsidRPr="00A964FF">
              <w:rPr>
                <w:rFonts w:hint="eastAsia"/>
                <w:color w:val="auto"/>
              </w:rPr>
              <w:t>二级</w:t>
            </w:r>
            <w:r w:rsidR="00BF4CA5" w:rsidRPr="00A964FF">
              <w:rPr>
                <w:rFonts w:hint="eastAsia"/>
                <w:color w:val="auto"/>
              </w:rPr>
              <w:t>（本项目）</w:t>
            </w:r>
          </w:p>
        </w:tc>
        <w:tc>
          <w:tcPr>
            <w:tcW w:w="420"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F7C3C95" w14:textId="77777777" w:rsidR="007332D8" w:rsidRPr="00A964FF" w:rsidRDefault="0055605A" w:rsidP="00BF4CA5">
            <w:pPr>
              <w:pStyle w:val="af3"/>
              <w:rPr>
                <w:color w:val="auto"/>
              </w:rPr>
            </w:pPr>
            <w:r w:rsidRPr="00A964FF">
              <w:rPr>
                <w:rFonts w:hint="eastAsia"/>
                <w:color w:val="auto"/>
              </w:rPr>
              <w:t>二级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6C2D0162" w14:textId="77777777" w:rsidR="0055605A" w:rsidRPr="00A964FF" w:rsidRDefault="0055605A" w:rsidP="003E0795">
            <w:pPr>
              <w:pStyle w:val="af3"/>
              <w:rPr>
                <w:color w:val="auto"/>
              </w:rPr>
            </w:pPr>
            <w:r w:rsidRPr="00A964FF">
              <w:rPr>
                <w:rFonts w:hint="eastAsia"/>
                <w:color w:val="auto"/>
              </w:rPr>
              <w:t>二级</w:t>
            </w:r>
          </w:p>
        </w:tc>
        <w:tc>
          <w:tcPr>
            <w:tcW w:w="49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59B03F7" w14:textId="77777777" w:rsidR="0055605A" w:rsidRPr="00A964FF" w:rsidRDefault="0055605A" w:rsidP="003E0795">
            <w:pPr>
              <w:pStyle w:val="af3"/>
              <w:rPr>
                <w:color w:val="auto"/>
              </w:rPr>
            </w:pPr>
            <w:r w:rsidRPr="00A964FF">
              <w:rPr>
                <w:rFonts w:hint="eastAsia"/>
                <w:color w:val="auto"/>
              </w:rPr>
              <w:t>三级</w:t>
            </w:r>
          </w:p>
        </w:tc>
        <w:tc>
          <w:tcPr>
            <w:tcW w:w="41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76F3DBD7" w14:textId="77777777" w:rsidR="0055605A" w:rsidRPr="00A964FF" w:rsidRDefault="0055605A" w:rsidP="003E0795">
            <w:pPr>
              <w:pStyle w:val="af3"/>
              <w:rPr>
                <w:color w:val="auto"/>
              </w:rPr>
            </w:pPr>
            <w:r w:rsidRPr="00A964FF">
              <w:rPr>
                <w:rFonts w:hint="eastAsia"/>
                <w:color w:val="auto"/>
              </w:rPr>
              <w:t>三级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445C164" w14:textId="77777777" w:rsidR="0055605A" w:rsidRPr="00A964FF" w:rsidRDefault="0055605A" w:rsidP="003E0795">
            <w:pPr>
              <w:pStyle w:val="af3"/>
              <w:rPr>
                <w:color w:val="auto"/>
              </w:rPr>
            </w:pPr>
            <w:r w:rsidRPr="00A964FF">
              <w:rPr>
                <w:rFonts w:hint="eastAsia"/>
                <w:color w:val="auto"/>
              </w:rPr>
              <w:t>三级</w:t>
            </w:r>
          </w:p>
        </w:tc>
        <w:tc>
          <w:tcPr>
            <w:tcW w:w="412"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318DD98" w14:textId="77777777" w:rsidR="0055605A" w:rsidRPr="00A964FF" w:rsidRDefault="0055605A" w:rsidP="003E0795">
            <w:pPr>
              <w:pStyle w:val="af3"/>
              <w:rPr>
                <w:color w:val="auto"/>
              </w:rPr>
            </w:pPr>
            <w:r w:rsidRPr="00A964FF">
              <w:rPr>
                <w:rFonts w:hint="eastAsia"/>
                <w:color w:val="auto"/>
              </w:rPr>
              <w:t>—</w:t>
            </w:r>
          </w:p>
        </w:tc>
        <w:tc>
          <w:tcPr>
            <w:tcW w:w="410" w:type="pct"/>
            <w:tcBorders>
              <w:top w:val="single" w:sz="2" w:space="0" w:color="000000"/>
              <w:left w:val="single" w:sz="2" w:space="0" w:color="000000"/>
              <w:bottom w:val="single" w:sz="2" w:space="0" w:color="000000"/>
            </w:tcBorders>
            <w:tcMar>
              <w:left w:w="28" w:type="dxa"/>
              <w:right w:w="28" w:type="dxa"/>
            </w:tcMar>
            <w:vAlign w:val="center"/>
          </w:tcPr>
          <w:p w14:paraId="6BF9AF89" w14:textId="77777777" w:rsidR="0055605A" w:rsidRPr="00A964FF" w:rsidRDefault="0055605A" w:rsidP="003367A5">
            <w:pPr>
              <w:pStyle w:val="af3"/>
              <w:rPr>
                <w:color w:val="auto"/>
              </w:rPr>
            </w:pPr>
            <w:r w:rsidRPr="00A964FF">
              <w:rPr>
                <w:rFonts w:hint="eastAsia"/>
                <w:color w:val="auto"/>
              </w:rPr>
              <w:t>—</w:t>
            </w:r>
          </w:p>
        </w:tc>
      </w:tr>
      <w:tr w:rsidR="0055605A" w:rsidRPr="00A964FF" w14:paraId="42E94FD4" w14:textId="77777777" w:rsidTr="00B048FB">
        <w:trPr>
          <w:trHeight w:val="340"/>
        </w:trPr>
        <w:tc>
          <w:tcPr>
            <w:tcW w:w="5000" w:type="pct"/>
            <w:gridSpan w:val="10"/>
            <w:tcBorders>
              <w:top w:val="single" w:sz="2" w:space="0" w:color="000000"/>
              <w:bottom w:val="single" w:sz="12" w:space="0" w:color="000000"/>
            </w:tcBorders>
            <w:tcMar>
              <w:left w:w="28" w:type="dxa"/>
              <w:right w:w="28" w:type="dxa"/>
            </w:tcMar>
            <w:vAlign w:val="center"/>
          </w:tcPr>
          <w:p w14:paraId="1E3A700C" w14:textId="77777777" w:rsidR="0055605A" w:rsidRPr="00A964FF" w:rsidRDefault="0055605A" w:rsidP="003E0795">
            <w:pPr>
              <w:pStyle w:val="af3"/>
              <w:rPr>
                <w:color w:val="auto"/>
              </w:rPr>
            </w:pPr>
            <w:r w:rsidRPr="00A964FF">
              <w:rPr>
                <w:rFonts w:hint="eastAsia"/>
                <w:color w:val="auto"/>
              </w:rPr>
              <w:t>注：“—”表示可不开展土壤环境影响评价工作</w:t>
            </w:r>
          </w:p>
        </w:tc>
      </w:tr>
    </w:tbl>
    <w:p w14:paraId="0BA85F32" w14:textId="77777777" w:rsidR="0055605A" w:rsidRPr="00A964FF" w:rsidRDefault="0055605A" w:rsidP="0055605A">
      <w:pPr>
        <w:spacing w:line="520" w:lineRule="exact"/>
        <w:ind w:firstLineChars="200" w:firstLine="482"/>
        <w:jc w:val="left"/>
        <w:rPr>
          <w:rFonts w:ascii="Calibri" w:hAnsi="Calibri"/>
          <w:b/>
          <w:color w:val="auto"/>
          <w:sz w:val="24"/>
        </w:rPr>
      </w:pPr>
      <w:r w:rsidRPr="00A964FF">
        <w:rPr>
          <w:rFonts w:ascii="Calibri" w:hAnsi="Calibri" w:hint="eastAsia"/>
          <w:b/>
          <w:color w:val="auto"/>
          <w:sz w:val="24"/>
        </w:rPr>
        <w:t>6</w:t>
      </w:r>
      <w:r w:rsidRPr="00A964FF">
        <w:rPr>
          <w:rFonts w:ascii="Calibri" w:hAnsi="Calibri" w:hint="eastAsia"/>
          <w:b/>
          <w:color w:val="auto"/>
          <w:sz w:val="24"/>
        </w:rPr>
        <w:t>、环境风险评价等级</w:t>
      </w:r>
    </w:p>
    <w:p w14:paraId="5558B936" w14:textId="77777777" w:rsidR="00AD7758" w:rsidRPr="005C4969" w:rsidRDefault="00B048FB" w:rsidP="00BF4CA5">
      <w:pPr>
        <w:spacing w:line="520" w:lineRule="exact"/>
        <w:ind w:firstLineChars="200" w:firstLine="480"/>
        <w:jc w:val="left"/>
        <w:rPr>
          <w:rFonts w:ascii="Calibri" w:hAnsi="Calibri"/>
          <w:color w:val="auto"/>
          <w:sz w:val="24"/>
        </w:rPr>
      </w:pPr>
      <w:r w:rsidRPr="00A964FF">
        <w:rPr>
          <w:rFonts w:ascii="Calibri" w:hAnsi="Calibri"/>
          <w:color w:val="auto"/>
          <w:sz w:val="24"/>
        </w:rPr>
        <w:t>本项目</w:t>
      </w:r>
      <w:r w:rsidR="00BF4CA5">
        <w:rPr>
          <w:rFonts w:ascii="Calibri" w:hAnsi="Calibri" w:hint="eastAsia"/>
          <w:color w:val="auto"/>
          <w:sz w:val="24"/>
        </w:rPr>
        <w:t>风险</w:t>
      </w:r>
      <w:r w:rsidR="00BF4CA5">
        <w:rPr>
          <w:rFonts w:ascii="Calibri" w:hAnsi="Calibri"/>
          <w:color w:val="auto"/>
          <w:sz w:val="24"/>
        </w:rPr>
        <w:t>物质总量与临界</w:t>
      </w:r>
      <w:r w:rsidR="00BF4CA5">
        <w:rPr>
          <w:rFonts w:ascii="Calibri" w:hAnsi="Calibri" w:hint="eastAsia"/>
          <w:color w:val="auto"/>
          <w:sz w:val="24"/>
        </w:rPr>
        <w:t>量的</w:t>
      </w:r>
      <w:r w:rsidR="00BF4CA5">
        <w:rPr>
          <w:rFonts w:ascii="Calibri" w:hAnsi="Calibri"/>
          <w:color w:val="auto"/>
          <w:sz w:val="24"/>
        </w:rPr>
        <w:t>比值小于</w:t>
      </w:r>
      <w:r w:rsidR="00BF4CA5">
        <w:rPr>
          <w:rFonts w:ascii="Calibri" w:hAnsi="Calibri" w:hint="eastAsia"/>
          <w:color w:val="auto"/>
          <w:sz w:val="24"/>
        </w:rPr>
        <w:t>1</w:t>
      </w:r>
      <w:r w:rsidR="00BF4CA5">
        <w:rPr>
          <w:rFonts w:ascii="Calibri" w:hAnsi="Calibri" w:hint="eastAsia"/>
          <w:color w:val="auto"/>
          <w:sz w:val="24"/>
        </w:rPr>
        <w:t>，</w:t>
      </w:r>
      <w:r w:rsidRPr="00A964FF">
        <w:rPr>
          <w:rFonts w:ascii="Calibri" w:hAnsi="Calibri"/>
          <w:color w:val="auto"/>
          <w:sz w:val="24"/>
        </w:rPr>
        <w:t>根据《建设项目环境风险评价技术导则》（</w:t>
      </w:r>
      <w:r w:rsidRPr="00A964FF">
        <w:rPr>
          <w:rFonts w:ascii="Calibri" w:hAnsi="Calibri"/>
          <w:color w:val="auto"/>
          <w:sz w:val="24"/>
        </w:rPr>
        <w:t>HJ/T169-2018</w:t>
      </w:r>
      <w:r w:rsidRPr="00A964FF">
        <w:rPr>
          <w:rFonts w:ascii="Calibri" w:hAnsi="Calibri"/>
          <w:color w:val="auto"/>
          <w:sz w:val="24"/>
        </w:rPr>
        <w:t>）</w:t>
      </w:r>
      <w:r w:rsidRPr="00A964FF">
        <w:rPr>
          <w:rFonts w:ascii="Calibri" w:hAnsi="Calibri" w:hint="eastAsia"/>
          <w:color w:val="auto"/>
          <w:sz w:val="24"/>
        </w:rPr>
        <w:t>判定</w:t>
      </w:r>
      <w:r w:rsidRPr="00A964FF">
        <w:rPr>
          <w:rFonts w:ascii="Calibri" w:hAnsi="Calibri"/>
          <w:color w:val="auto"/>
          <w:sz w:val="24"/>
        </w:rPr>
        <w:t>，</w:t>
      </w:r>
      <w:r w:rsidR="00BF4CA5">
        <w:rPr>
          <w:rFonts w:ascii="Calibri" w:hAnsi="Calibri" w:hint="eastAsia"/>
          <w:color w:val="auto"/>
          <w:sz w:val="24"/>
        </w:rPr>
        <w:t>本项目</w:t>
      </w:r>
      <w:r w:rsidR="00BF4CA5">
        <w:rPr>
          <w:rFonts w:ascii="Calibri" w:hAnsi="Calibri"/>
          <w:color w:val="auto"/>
          <w:sz w:val="24"/>
        </w:rPr>
        <w:t>环境风险潜势</w:t>
      </w:r>
      <w:r w:rsidR="00BF4CA5">
        <w:rPr>
          <w:rFonts w:ascii="Calibri" w:hAnsi="Calibri" w:hint="eastAsia"/>
          <w:color w:val="auto"/>
          <w:sz w:val="24"/>
        </w:rPr>
        <w:t>为</w:t>
      </w:r>
      <w:r w:rsidR="00BF4CA5" w:rsidRPr="00A964FF">
        <w:rPr>
          <w:rFonts w:hAnsi="宋体"/>
          <w:color w:val="auto"/>
        </w:rPr>
        <w:t>Ⅰ</w:t>
      </w:r>
      <w:r w:rsidR="00BF4CA5">
        <w:rPr>
          <w:rFonts w:hAnsi="宋体" w:hint="eastAsia"/>
          <w:color w:val="auto"/>
        </w:rPr>
        <w:t>，</w:t>
      </w:r>
      <w:r w:rsidR="00BF4CA5" w:rsidRPr="00BF4CA5">
        <w:rPr>
          <w:rFonts w:ascii="Calibri" w:hAnsi="Calibri" w:hint="eastAsia"/>
          <w:color w:val="auto"/>
          <w:sz w:val="24"/>
        </w:rPr>
        <w:t>环境风险进行简单</w:t>
      </w:r>
      <w:r w:rsidR="00BF4CA5" w:rsidRPr="00BF4CA5">
        <w:rPr>
          <w:rFonts w:ascii="Calibri" w:hAnsi="Calibri"/>
          <w:color w:val="auto"/>
          <w:sz w:val="24"/>
        </w:rPr>
        <w:t>分析。</w:t>
      </w:r>
      <w:r w:rsidR="008E60DB" w:rsidRPr="00A964FF">
        <w:rPr>
          <w:rFonts w:ascii="Calibri" w:hAnsi="Calibri"/>
          <w:color w:val="auto"/>
          <w:sz w:val="24"/>
        </w:rPr>
        <w:t>环境风险评价工作等级判定依据见</w:t>
      </w:r>
      <w:r w:rsidRPr="00A964FF">
        <w:rPr>
          <w:rFonts w:ascii="Calibri" w:hAnsi="Calibri"/>
          <w:color w:val="auto"/>
          <w:sz w:val="24"/>
        </w:rPr>
        <w:t>表</w:t>
      </w:r>
      <w:r w:rsidR="008E60DB" w:rsidRPr="00A964FF">
        <w:rPr>
          <w:rFonts w:ascii="Calibri" w:hAnsi="Calibri" w:hint="eastAsia"/>
          <w:color w:val="auto"/>
          <w:sz w:val="24"/>
        </w:rPr>
        <w:t>1</w:t>
      </w:r>
      <w:r w:rsidR="001E0BBA" w:rsidRPr="00A964FF">
        <w:rPr>
          <w:rFonts w:ascii="Calibri" w:hAnsi="Calibri" w:hint="eastAsia"/>
          <w:color w:val="auto"/>
          <w:sz w:val="24"/>
        </w:rPr>
        <w:t>.6</w:t>
      </w:r>
      <w:r w:rsidR="008E60DB" w:rsidRPr="00A964FF">
        <w:rPr>
          <w:rFonts w:ascii="Calibri" w:hAnsi="Calibri" w:hint="eastAsia"/>
          <w:color w:val="auto"/>
          <w:sz w:val="24"/>
        </w:rPr>
        <w:t>-</w:t>
      </w:r>
      <w:r w:rsidR="00770CBF" w:rsidRPr="00A964FF">
        <w:rPr>
          <w:rFonts w:ascii="Calibri" w:hAnsi="Calibri" w:hint="eastAsia"/>
          <w:color w:val="auto"/>
          <w:sz w:val="24"/>
        </w:rPr>
        <w:t>7</w:t>
      </w:r>
      <w:r w:rsidR="008E60DB" w:rsidRPr="00A964FF">
        <w:rPr>
          <w:rFonts w:ascii="Calibri" w:hAnsi="Calibri" w:hint="eastAsia"/>
          <w:color w:val="auto"/>
          <w:sz w:val="24"/>
        </w:rPr>
        <w:t>。</w:t>
      </w:r>
    </w:p>
    <w:p w14:paraId="47C6215C" w14:textId="77777777" w:rsidR="00A81745" w:rsidRDefault="00A81745" w:rsidP="00B048FB">
      <w:pPr>
        <w:pStyle w:val="00"/>
        <w:rPr>
          <w:rFonts w:ascii="Calibri" w:eastAsia="黑体" w:hAnsi="黑体"/>
          <w:color w:val="auto"/>
        </w:rPr>
      </w:pPr>
    </w:p>
    <w:p w14:paraId="2A63FF2C" w14:textId="77777777" w:rsidR="00B048FB" w:rsidRPr="00A964FF" w:rsidRDefault="00B048FB" w:rsidP="00B048FB">
      <w:pPr>
        <w:pStyle w:val="00"/>
        <w:rPr>
          <w:rFonts w:ascii="Calibri" w:eastAsia="黑体" w:hAnsi="Calibri"/>
          <w:color w:val="auto"/>
        </w:rPr>
      </w:pPr>
      <w:r w:rsidRPr="00A964FF">
        <w:rPr>
          <w:rFonts w:ascii="Calibri" w:eastAsia="黑体" w:hAnsi="黑体"/>
          <w:color w:val="auto"/>
        </w:rPr>
        <w:lastRenderedPageBreak/>
        <w:t>表</w:t>
      </w:r>
      <w:r w:rsidRPr="00A964FF">
        <w:rPr>
          <w:rFonts w:ascii="Calibri" w:eastAsia="黑体" w:hAnsi="Calibri"/>
          <w:color w:val="auto"/>
        </w:rPr>
        <w:t>1</w:t>
      </w:r>
      <w:r w:rsidR="001E0BBA" w:rsidRPr="00A964FF">
        <w:rPr>
          <w:rFonts w:ascii="Calibri" w:eastAsia="黑体" w:hAnsi="Calibri" w:hint="eastAsia"/>
          <w:color w:val="auto"/>
        </w:rPr>
        <w:t>.6</w:t>
      </w:r>
      <w:r w:rsidRPr="00A964FF">
        <w:rPr>
          <w:rFonts w:ascii="Calibri" w:eastAsia="黑体" w:hAnsi="Calibri"/>
          <w:color w:val="auto"/>
        </w:rPr>
        <w:t>-</w:t>
      </w:r>
      <w:r w:rsidR="00770CBF" w:rsidRPr="00A964FF">
        <w:rPr>
          <w:rFonts w:ascii="Calibri" w:eastAsia="黑体" w:hAnsi="Calibri" w:hint="eastAsia"/>
          <w:color w:val="auto"/>
        </w:rPr>
        <w:t>7</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黑体"/>
          <w:color w:val="auto"/>
        </w:rPr>
        <w:t>环境风险评价工作等级表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695"/>
        <w:gridCol w:w="1644"/>
        <w:gridCol w:w="1829"/>
        <w:gridCol w:w="1905"/>
        <w:gridCol w:w="1627"/>
      </w:tblGrid>
      <w:tr w:rsidR="00B048FB" w:rsidRPr="00217891" w14:paraId="531E81A0" w14:textId="77777777" w:rsidTr="00B048FB">
        <w:trPr>
          <w:trHeight w:val="369"/>
        </w:trPr>
        <w:tc>
          <w:tcPr>
            <w:tcW w:w="974" w:type="pct"/>
            <w:vAlign w:val="center"/>
          </w:tcPr>
          <w:p w14:paraId="59411619" w14:textId="77777777" w:rsidR="00B048FB" w:rsidRPr="00217891" w:rsidRDefault="00B048FB" w:rsidP="001014AB">
            <w:pPr>
              <w:pStyle w:val="af3"/>
              <w:rPr>
                <w:rFonts w:asciiTheme="minorHAnsi" w:hAnsiTheme="minorHAnsi" w:cs="Calibri"/>
                <w:color w:val="auto"/>
              </w:rPr>
            </w:pPr>
            <w:r w:rsidRPr="00217891">
              <w:rPr>
                <w:rFonts w:asciiTheme="minorHAnsi" w:hAnsiTheme="minorHAnsi" w:cs="Calibri"/>
                <w:color w:val="auto"/>
              </w:rPr>
              <w:t>环境风险潜势</w:t>
            </w:r>
          </w:p>
        </w:tc>
        <w:tc>
          <w:tcPr>
            <w:tcW w:w="945" w:type="pct"/>
            <w:vAlign w:val="center"/>
          </w:tcPr>
          <w:p w14:paraId="30F99220" w14:textId="77777777" w:rsidR="00B048FB" w:rsidRPr="00217891" w:rsidRDefault="00B048FB" w:rsidP="001014AB">
            <w:pPr>
              <w:pStyle w:val="af3"/>
              <w:rPr>
                <w:rFonts w:asciiTheme="minorHAnsi" w:hAnsiTheme="minorHAnsi" w:cs="Calibri"/>
                <w:color w:val="auto"/>
              </w:rPr>
            </w:pPr>
            <w:r w:rsidRPr="00217891">
              <w:rPr>
                <w:rFonts w:ascii="微软雅黑" w:eastAsia="微软雅黑" w:hAnsi="微软雅黑" w:cs="微软雅黑" w:hint="eastAsia"/>
                <w:color w:val="auto"/>
              </w:rPr>
              <w:t>Ⅳ</w:t>
            </w:r>
            <w:r w:rsidRPr="00217891">
              <w:rPr>
                <w:rFonts w:asciiTheme="minorHAnsi" w:hAnsiTheme="minorHAnsi" w:cs="Calibri"/>
                <w:color w:val="auto"/>
              </w:rPr>
              <w:t>、</w:t>
            </w:r>
            <w:r w:rsidRPr="00217891">
              <w:rPr>
                <w:rFonts w:ascii="微软雅黑" w:eastAsia="微软雅黑" w:hAnsi="微软雅黑" w:cs="微软雅黑" w:hint="eastAsia"/>
                <w:color w:val="auto"/>
              </w:rPr>
              <w:t>Ⅳ</w:t>
            </w:r>
            <w:r w:rsidRPr="00217891">
              <w:rPr>
                <w:rFonts w:asciiTheme="minorHAnsi" w:hAnsiTheme="minorHAnsi" w:cs="Calibri"/>
                <w:color w:val="auto"/>
                <w:vertAlign w:val="superscript"/>
              </w:rPr>
              <w:t>+</w:t>
            </w:r>
          </w:p>
        </w:tc>
        <w:tc>
          <w:tcPr>
            <w:tcW w:w="1051" w:type="pct"/>
            <w:vAlign w:val="center"/>
          </w:tcPr>
          <w:p w14:paraId="7167B5AE" w14:textId="77777777" w:rsidR="00B048FB" w:rsidRPr="00217891" w:rsidRDefault="00B048FB" w:rsidP="001014AB">
            <w:pPr>
              <w:pStyle w:val="af3"/>
              <w:rPr>
                <w:rFonts w:asciiTheme="minorHAnsi" w:hAnsiTheme="minorHAnsi" w:cs="Calibri"/>
                <w:color w:val="auto"/>
              </w:rPr>
            </w:pPr>
            <w:r w:rsidRPr="00217891">
              <w:rPr>
                <w:rFonts w:ascii="微软雅黑" w:eastAsia="微软雅黑" w:hAnsi="微软雅黑" w:cs="微软雅黑" w:hint="eastAsia"/>
                <w:color w:val="auto"/>
              </w:rPr>
              <w:t>Ⅲ</w:t>
            </w:r>
          </w:p>
        </w:tc>
        <w:tc>
          <w:tcPr>
            <w:tcW w:w="1095" w:type="pct"/>
            <w:vAlign w:val="center"/>
          </w:tcPr>
          <w:p w14:paraId="32B1CF2B" w14:textId="77777777" w:rsidR="00B048FB" w:rsidRPr="00217891" w:rsidRDefault="00B048FB" w:rsidP="001014AB">
            <w:pPr>
              <w:pStyle w:val="af3"/>
              <w:rPr>
                <w:rFonts w:asciiTheme="minorHAnsi" w:hAnsiTheme="minorHAnsi" w:cs="Calibri"/>
                <w:color w:val="auto"/>
              </w:rPr>
            </w:pPr>
            <w:r w:rsidRPr="00217891">
              <w:rPr>
                <w:rFonts w:ascii="微软雅黑" w:eastAsia="微软雅黑" w:hAnsi="微软雅黑" w:cs="微软雅黑" w:hint="eastAsia"/>
                <w:color w:val="auto"/>
              </w:rPr>
              <w:t>Ⅱ</w:t>
            </w:r>
          </w:p>
        </w:tc>
        <w:tc>
          <w:tcPr>
            <w:tcW w:w="934" w:type="pct"/>
            <w:vAlign w:val="center"/>
          </w:tcPr>
          <w:p w14:paraId="6A65814E" w14:textId="77777777" w:rsidR="00B048FB" w:rsidRPr="00217891" w:rsidRDefault="00B048FB" w:rsidP="001014AB">
            <w:pPr>
              <w:pStyle w:val="af3"/>
              <w:rPr>
                <w:rFonts w:asciiTheme="minorHAnsi" w:hAnsiTheme="minorHAnsi" w:cs="Calibri"/>
                <w:color w:val="auto"/>
              </w:rPr>
            </w:pPr>
            <w:r w:rsidRPr="00217891">
              <w:rPr>
                <w:rFonts w:ascii="微软雅黑" w:eastAsia="微软雅黑" w:hAnsi="微软雅黑" w:cs="微软雅黑" w:hint="eastAsia"/>
                <w:color w:val="auto"/>
              </w:rPr>
              <w:t>Ⅰ</w:t>
            </w:r>
          </w:p>
        </w:tc>
      </w:tr>
      <w:tr w:rsidR="00B048FB" w:rsidRPr="00217891" w14:paraId="19E40C0F" w14:textId="77777777" w:rsidTr="00B048FB">
        <w:trPr>
          <w:trHeight w:val="369"/>
        </w:trPr>
        <w:tc>
          <w:tcPr>
            <w:tcW w:w="974" w:type="pct"/>
            <w:vAlign w:val="center"/>
          </w:tcPr>
          <w:p w14:paraId="545FAD5E" w14:textId="77777777" w:rsidR="00B048FB" w:rsidRPr="00217891" w:rsidRDefault="00B048FB" w:rsidP="001014AB">
            <w:pPr>
              <w:pStyle w:val="af3"/>
              <w:rPr>
                <w:rFonts w:asciiTheme="minorHAnsi" w:hAnsiTheme="minorHAnsi" w:cs="Calibri"/>
                <w:color w:val="auto"/>
              </w:rPr>
            </w:pPr>
            <w:r w:rsidRPr="00217891">
              <w:rPr>
                <w:rFonts w:asciiTheme="minorHAnsi" w:hAnsiTheme="minorHAnsi" w:cs="Calibri"/>
                <w:color w:val="auto"/>
              </w:rPr>
              <w:t>评价工作等级</w:t>
            </w:r>
          </w:p>
        </w:tc>
        <w:tc>
          <w:tcPr>
            <w:tcW w:w="945" w:type="pct"/>
            <w:vAlign w:val="center"/>
          </w:tcPr>
          <w:p w14:paraId="758ACB9B" w14:textId="77777777" w:rsidR="00B048FB" w:rsidRPr="00217891" w:rsidRDefault="00B048FB" w:rsidP="001014AB">
            <w:pPr>
              <w:pStyle w:val="af3"/>
              <w:rPr>
                <w:rFonts w:asciiTheme="minorHAnsi" w:hAnsiTheme="minorHAnsi" w:cs="Calibri"/>
                <w:color w:val="auto"/>
              </w:rPr>
            </w:pPr>
            <w:r w:rsidRPr="00217891">
              <w:rPr>
                <w:rFonts w:asciiTheme="minorHAnsi" w:hAnsiTheme="minorHAnsi" w:cs="Calibri"/>
                <w:color w:val="auto"/>
              </w:rPr>
              <w:t>一</w:t>
            </w:r>
          </w:p>
        </w:tc>
        <w:tc>
          <w:tcPr>
            <w:tcW w:w="1051" w:type="pct"/>
            <w:vAlign w:val="center"/>
          </w:tcPr>
          <w:p w14:paraId="68B1FF0E" w14:textId="77777777" w:rsidR="00B048FB" w:rsidRPr="00217891" w:rsidRDefault="00B048FB" w:rsidP="001014AB">
            <w:pPr>
              <w:pStyle w:val="af3"/>
              <w:rPr>
                <w:rFonts w:asciiTheme="minorHAnsi" w:hAnsiTheme="minorHAnsi" w:cs="Calibri"/>
                <w:color w:val="auto"/>
              </w:rPr>
            </w:pPr>
            <w:r w:rsidRPr="00217891">
              <w:rPr>
                <w:rFonts w:asciiTheme="minorHAnsi" w:hAnsiTheme="minorHAnsi" w:cs="Calibri"/>
                <w:color w:val="auto"/>
              </w:rPr>
              <w:t>二</w:t>
            </w:r>
          </w:p>
        </w:tc>
        <w:tc>
          <w:tcPr>
            <w:tcW w:w="1095" w:type="pct"/>
            <w:vAlign w:val="center"/>
          </w:tcPr>
          <w:p w14:paraId="0F929EC5" w14:textId="77777777" w:rsidR="00B048FB" w:rsidRPr="00217891" w:rsidRDefault="00B048FB" w:rsidP="001014AB">
            <w:pPr>
              <w:pStyle w:val="af3"/>
              <w:rPr>
                <w:rFonts w:asciiTheme="minorHAnsi" w:hAnsiTheme="minorHAnsi" w:cs="Calibri"/>
                <w:color w:val="auto"/>
              </w:rPr>
            </w:pPr>
            <w:r w:rsidRPr="00217891">
              <w:rPr>
                <w:rFonts w:asciiTheme="minorHAnsi" w:hAnsiTheme="minorHAnsi" w:cs="Calibri"/>
                <w:color w:val="auto"/>
              </w:rPr>
              <w:t>三</w:t>
            </w:r>
          </w:p>
        </w:tc>
        <w:tc>
          <w:tcPr>
            <w:tcW w:w="934" w:type="pct"/>
            <w:vAlign w:val="center"/>
          </w:tcPr>
          <w:p w14:paraId="06E1A783" w14:textId="77777777" w:rsidR="00B048FB" w:rsidRPr="00217891" w:rsidRDefault="00B048FB" w:rsidP="001014AB">
            <w:pPr>
              <w:pStyle w:val="af3"/>
              <w:rPr>
                <w:rFonts w:asciiTheme="minorHAnsi" w:hAnsiTheme="minorHAnsi" w:cs="Calibri"/>
                <w:color w:val="auto"/>
              </w:rPr>
            </w:pPr>
            <w:r w:rsidRPr="00217891">
              <w:rPr>
                <w:rFonts w:asciiTheme="minorHAnsi" w:hAnsiTheme="minorHAnsi" w:cs="Calibri"/>
                <w:color w:val="auto"/>
              </w:rPr>
              <w:t>简单分析</w:t>
            </w:r>
            <w:r w:rsidRPr="00217891">
              <w:rPr>
                <w:rFonts w:asciiTheme="minorHAnsi" w:hAnsiTheme="minorHAnsi" w:cs="Calibri"/>
                <w:color w:val="auto"/>
                <w:vertAlign w:val="superscript"/>
              </w:rPr>
              <w:t>a</w:t>
            </w:r>
          </w:p>
        </w:tc>
      </w:tr>
      <w:tr w:rsidR="00B048FB" w:rsidRPr="00217891" w14:paraId="6163A460" w14:textId="77777777" w:rsidTr="00B048FB">
        <w:trPr>
          <w:trHeight w:val="369"/>
        </w:trPr>
        <w:tc>
          <w:tcPr>
            <w:tcW w:w="5000" w:type="pct"/>
            <w:gridSpan w:val="5"/>
            <w:vAlign w:val="center"/>
          </w:tcPr>
          <w:p w14:paraId="5CAF4927" w14:textId="77777777" w:rsidR="00B048FB" w:rsidRPr="00217891" w:rsidRDefault="00B048FB" w:rsidP="001014AB">
            <w:pPr>
              <w:pStyle w:val="af3"/>
              <w:jc w:val="both"/>
              <w:rPr>
                <w:rFonts w:asciiTheme="minorHAnsi" w:hAnsiTheme="minorHAnsi" w:cs="Calibri"/>
                <w:color w:val="auto"/>
              </w:rPr>
            </w:pPr>
            <w:r w:rsidRPr="00217891">
              <w:rPr>
                <w:rFonts w:ascii="微软雅黑" w:eastAsia="微软雅黑" w:hAnsi="微软雅黑" w:cs="微软雅黑" w:hint="eastAsia"/>
                <w:color w:val="auto"/>
              </w:rPr>
              <w:t>Ⅳ</w:t>
            </w:r>
            <w:r w:rsidRPr="00217891">
              <w:rPr>
                <w:rFonts w:asciiTheme="minorHAnsi" w:hAnsiTheme="minorHAnsi" w:cs="Calibri"/>
                <w:color w:val="auto"/>
                <w:vertAlign w:val="superscript"/>
              </w:rPr>
              <w:t>+</w:t>
            </w:r>
            <w:r w:rsidRPr="00217891">
              <w:rPr>
                <w:rFonts w:asciiTheme="minorHAnsi" w:hAnsiTheme="minorHAnsi" w:cs="Calibri"/>
                <w:color w:val="auto"/>
              </w:rPr>
              <w:t>：为极高环境风险。</w:t>
            </w:r>
          </w:p>
          <w:p w14:paraId="4B9655BA" w14:textId="77777777" w:rsidR="00B048FB" w:rsidRPr="00217891" w:rsidRDefault="00B048FB" w:rsidP="001014AB">
            <w:pPr>
              <w:pStyle w:val="af3"/>
              <w:jc w:val="both"/>
              <w:rPr>
                <w:rFonts w:asciiTheme="minorHAnsi" w:hAnsiTheme="minorHAnsi" w:cs="Calibri"/>
                <w:color w:val="auto"/>
              </w:rPr>
            </w:pPr>
            <w:r w:rsidRPr="00217891">
              <w:rPr>
                <w:rFonts w:asciiTheme="minorHAnsi" w:hAnsiTheme="minorHAnsi" w:cs="Calibri"/>
                <w:color w:val="auto"/>
              </w:rPr>
              <w:t>a</w:t>
            </w:r>
            <w:r w:rsidRPr="00217891">
              <w:rPr>
                <w:rFonts w:asciiTheme="minorHAnsi" w:hAnsiTheme="minorHAnsi" w:cs="Calibri"/>
                <w:color w:val="auto"/>
              </w:rPr>
              <w:t>：是相对于详细评价工作内容而言，在描述危险物质、环境影响途径、环境危害后果、风险防范措施等方面给出定性的说明。见附录</w:t>
            </w:r>
            <w:r w:rsidRPr="00217891">
              <w:rPr>
                <w:rFonts w:asciiTheme="minorHAnsi" w:hAnsiTheme="minorHAnsi" w:cs="Calibri"/>
                <w:color w:val="auto"/>
              </w:rPr>
              <w:t>A</w:t>
            </w:r>
            <w:r w:rsidRPr="00217891">
              <w:rPr>
                <w:rFonts w:asciiTheme="minorHAnsi" w:hAnsiTheme="minorHAnsi" w:cs="Calibri"/>
                <w:color w:val="auto"/>
              </w:rPr>
              <w:t>。</w:t>
            </w:r>
          </w:p>
        </w:tc>
      </w:tr>
    </w:tbl>
    <w:p w14:paraId="46A5CE9E" w14:textId="77777777" w:rsidR="00264ACC" w:rsidRPr="00A964FF" w:rsidRDefault="00264ACC" w:rsidP="00AD7758">
      <w:pPr>
        <w:spacing w:line="520" w:lineRule="exact"/>
        <w:ind w:firstLineChars="200" w:firstLine="482"/>
        <w:jc w:val="left"/>
        <w:rPr>
          <w:rFonts w:ascii="Calibri" w:hAnsi="Calibri"/>
          <w:b/>
          <w:color w:val="auto"/>
          <w:sz w:val="24"/>
        </w:rPr>
      </w:pPr>
      <w:r w:rsidRPr="00A964FF">
        <w:rPr>
          <w:rFonts w:ascii="Calibri" w:hAnsi="Calibri" w:hint="eastAsia"/>
          <w:b/>
          <w:color w:val="auto"/>
          <w:sz w:val="24"/>
        </w:rPr>
        <w:t>7</w:t>
      </w:r>
      <w:r w:rsidRPr="00A964FF">
        <w:rPr>
          <w:rFonts w:ascii="Calibri" w:hAnsi="Calibri" w:hint="eastAsia"/>
          <w:b/>
          <w:color w:val="auto"/>
          <w:sz w:val="24"/>
        </w:rPr>
        <w:t>、生态影响评价等级</w:t>
      </w:r>
    </w:p>
    <w:p w14:paraId="61F451C6" w14:textId="77777777" w:rsidR="00BF4CA5" w:rsidRDefault="00BF4CA5" w:rsidP="00BF4CA5">
      <w:pPr>
        <w:spacing w:line="520" w:lineRule="exact"/>
        <w:ind w:firstLineChars="200" w:firstLine="480"/>
        <w:rPr>
          <w:rFonts w:ascii="Calibri" w:hAnsi="Calibri"/>
          <w:sz w:val="24"/>
          <w:szCs w:val="22"/>
        </w:rPr>
      </w:pPr>
      <w:r>
        <w:rPr>
          <w:rFonts w:ascii="Calibri" w:hAnsi="Calibri"/>
          <w:sz w:val="24"/>
          <w:szCs w:val="22"/>
        </w:rPr>
        <w:t>根据《环境影响评价技术导则</w:t>
      </w:r>
      <w:r>
        <w:rPr>
          <w:rFonts w:ascii="Calibri" w:hAnsi="Calibri"/>
          <w:sz w:val="24"/>
          <w:szCs w:val="22"/>
        </w:rPr>
        <w:t xml:space="preserve"> </w:t>
      </w:r>
      <w:r>
        <w:rPr>
          <w:rFonts w:ascii="Calibri" w:hAnsi="Calibri"/>
          <w:sz w:val="24"/>
          <w:szCs w:val="22"/>
        </w:rPr>
        <w:t>生态影响》（</w:t>
      </w:r>
      <w:r>
        <w:rPr>
          <w:rFonts w:ascii="Calibri" w:hAnsi="Calibri"/>
          <w:sz w:val="24"/>
          <w:szCs w:val="22"/>
        </w:rPr>
        <w:t>HJ19-2022</w:t>
      </w:r>
      <w:r>
        <w:rPr>
          <w:rFonts w:ascii="Calibri" w:hAnsi="Calibri"/>
          <w:sz w:val="24"/>
          <w:szCs w:val="22"/>
        </w:rPr>
        <w:t>），生态影响评价等级判定依据：</w:t>
      </w:r>
    </w:p>
    <w:p w14:paraId="74F1F29E" w14:textId="77777777" w:rsidR="00BF4CA5" w:rsidRDefault="00BF4CA5" w:rsidP="00BF4CA5">
      <w:pPr>
        <w:pStyle w:val="ad"/>
        <w:ind w:firstLineChars="200" w:firstLine="480"/>
        <w:rPr>
          <w:rFonts w:ascii="Calibri" w:eastAsia="宋体" w:hAnsi="Calibri"/>
          <w:b w:val="0"/>
          <w:bCs/>
          <w:color w:val="auto"/>
          <w:sz w:val="24"/>
        </w:rPr>
      </w:pPr>
      <w:r>
        <w:rPr>
          <w:rFonts w:ascii="Calibri" w:eastAsia="宋体" w:hAnsi="Calibri"/>
          <w:b w:val="0"/>
          <w:bCs/>
          <w:color w:val="auto"/>
          <w:sz w:val="24"/>
        </w:rPr>
        <w:t>A</w:t>
      </w:r>
      <w:r>
        <w:rPr>
          <w:rFonts w:ascii="Calibri" w:eastAsia="宋体" w:hAnsi="Calibri"/>
          <w:b w:val="0"/>
          <w:bCs/>
          <w:color w:val="auto"/>
          <w:sz w:val="24"/>
        </w:rPr>
        <w:t>）涉及国家公园、自然保护区、世界自然遗产、重要生境时，评价等级为一级</w:t>
      </w:r>
      <w:r>
        <w:rPr>
          <w:rFonts w:ascii="Calibri" w:eastAsia="宋体" w:hAnsi="Calibri"/>
          <w:b w:val="0"/>
          <w:bCs/>
          <w:color w:val="auto"/>
          <w:sz w:val="24"/>
        </w:rPr>
        <w:t>;</w:t>
      </w:r>
    </w:p>
    <w:p w14:paraId="00F58180" w14:textId="77777777" w:rsidR="00BF4CA5" w:rsidRDefault="00BF4CA5" w:rsidP="00BF4CA5">
      <w:pPr>
        <w:pStyle w:val="ad"/>
        <w:ind w:firstLineChars="200" w:firstLine="480"/>
        <w:rPr>
          <w:rFonts w:ascii="Calibri" w:eastAsia="宋体" w:hAnsi="Calibri"/>
          <w:b w:val="0"/>
          <w:bCs/>
          <w:color w:val="auto"/>
          <w:sz w:val="24"/>
        </w:rPr>
      </w:pPr>
      <w:r>
        <w:rPr>
          <w:rFonts w:ascii="Calibri" w:eastAsia="宋体" w:hAnsi="Calibri"/>
          <w:b w:val="0"/>
          <w:bCs/>
          <w:color w:val="auto"/>
          <w:sz w:val="24"/>
        </w:rPr>
        <w:t>B</w:t>
      </w:r>
      <w:r>
        <w:rPr>
          <w:rFonts w:ascii="Calibri" w:eastAsia="宋体" w:hAnsi="Calibri"/>
          <w:b w:val="0"/>
          <w:bCs/>
          <w:color w:val="auto"/>
          <w:sz w:val="24"/>
        </w:rPr>
        <w:t>）涉及自然公园时，评价等级为二级；</w:t>
      </w:r>
    </w:p>
    <w:p w14:paraId="6575C6C4" w14:textId="77777777" w:rsidR="00BF4CA5" w:rsidRDefault="00BF4CA5" w:rsidP="00BF4CA5">
      <w:pPr>
        <w:pStyle w:val="ad"/>
        <w:ind w:firstLineChars="200" w:firstLine="480"/>
        <w:rPr>
          <w:rFonts w:ascii="Calibri" w:eastAsia="宋体" w:hAnsi="Calibri"/>
          <w:b w:val="0"/>
          <w:bCs/>
          <w:color w:val="auto"/>
          <w:sz w:val="24"/>
        </w:rPr>
      </w:pPr>
      <w:r>
        <w:rPr>
          <w:rFonts w:ascii="Calibri" w:eastAsia="宋体" w:hAnsi="Calibri"/>
          <w:b w:val="0"/>
          <w:bCs/>
          <w:color w:val="auto"/>
          <w:sz w:val="24"/>
        </w:rPr>
        <w:t>C</w:t>
      </w:r>
      <w:r>
        <w:rPr>
          <w:rFonts w:ascii="Calibri" w:eastAsia="宋体" w:hAnsi="Calibri"/>
          <w:b w:val="0"/>
          <w:bCs/>
          <w:color w:val="auto"/>
          <w:sz w:val="24"/>
        </w:rPr>
        <w:t>）涉及生态保护红线时，评价等级不低于二级；</w:t>
      </w:r>
    </w:p>
    <w:p w14:paraId="7257410A" w14:textId="77777777" w:rsidR="00BF4CA5" w:rsidRDefault="00BF4CA5" w:rsidP="00BF4CA5">
      <w:pPr>
        <w:pStyle w:val="ad"/>
        <w:ind w:firstLineChars="200" w:firstLine="480"/>
        <w:rPr>
          <w:rFonts w:ascii="Calibri" w:eastAsia="宋体" w:hAnsi="Calibri"/>
          <w:b w:val="0"/>
          <w:bCs/>
          <w:color w:val="auto"/>
          <w:sz w:val="24"/>
        </w:rPr>
      </w:pPr>
      <w:r>
        <w:rPr>
          <w:rFonts w:ascii="Calibri" w:eastAsia="宋体" w:hAnsi="Calibri"/>
          <w:b w:val="0"/>
          <w:bCs/>
          <w:color w:val="auto"/>
          <w:sz w:val="24"/>
        </w:rPr>
        <w:t>D</w:t>
      </w:r>
      <w:r>
        <w:rPr>
          <w:rFonts w:ascii="Calibri" w:eastAsia="宋体" w:hAnsi="Calibri"/>
          <w:b w:val="0"/>
          <w:bCs/>
          <w:color w:val="auto"/>
          <w:sz w:val="24"/>
        </w:rPr>
        <w:t>）根据</w:t>
      </w:r>
      <w:r>
        <w:rPr>
          <w:rFonts w:ascii="Calibri" w:eastAsia="宋体" w:hAnsi="Calibri"/>
          <w:b w:val="0"/>
          <w:bCs/>
          <w:color w:val="auto"/>
          <w:sz w:val="24"/>
        </w:rPr>
        <w:t>HJ2.3</w:t>
      </w:r>
      <w:r>
        <w:rPr>
          <w:rFonts w:ascii="Calibri" w:eastAsia="宋体" w:hAnsi="Calibri"/>
          <w:b w:val="0"/>
          <w:bCs/>
          <w:color w:val="auto"/>
          <w:sz w:val="24"/>
        </w:rPr>
        <w:t>判断属于水文要素影响型目地表水评价等级不低于二级的建设项目，生态影响评价等级不低于二级；</w:t>
      </w:r>
    </w:p>
    <w:p w14:paraId="18672142" w14:textId="77777777" w:rsidR="00BF4CA5" w:rsidRDefault="00BF4CA5" w:rsidP="00BF4CA5">
      <w:pPr>
        <w:pStyle w:val="ad"/>
        <w:ind w:firstLineChars="200" w:firstLine="480"/>
        <w:rPr>
          <w:rFonts w:ascii="Calibri" w:eastAsia="宋体" w:hAnsi="Calibri"/>
          <w:b w:val="0"/>
          <w:bCs/>
          <w:color w:val="auto"/>
          <w:sz w:val="24"/>
        </w:rPr>
      </w:pPr>
      <w:r>
        <w:rPr>
          <w:rFonts w:ascii="Calibri" w:eastAsia="宋体" w:hAnsi="Calibri"/>
          <w:b w:val="0"/>
          <w:bCs/>
          <w:color w:val="auto"/>
          <w:sz w:val="24"/>
        </w:rPr>
        <w:t>E</w:t>
      </w:r>
      <w:r>
        <w:rPr>
          <w:rFonts w:ascii="Calibri" w:eastAsia="宋体" w:hAnsi="Calibri"/>
          <w:b w:val="0"/>
          <w:bCs/>
          <w:color w:val="auto"/>
          <w:sz w:val="24"/>
        </w:rPr>
        <w:t>）根据</w:t>
      </w:r>
      <w:r>
        <w:rPr>
          <w:rFonts w:ascii="Calibri" w:eastAsia="宋体" w:hAnsi="Calibri"/>
          <w:b w:val="0"/>
          <w:bCs/>
          <w:color w:val="auto"/>
          <w:sz w:val="24"/>
        </w:rPr>
        <w:t>HJ610</w:t>
      </w:r>
      <w:r>
        <w:rPr>
          <w:rFonts w:ascii="Calibri" w:eastAsia="宋体" w:hAnsi="Calibri"/>
          <w:b w:val="0"/>
          <w:bCs/>
          <w:color w:val="auto"/>
          <w:sz w:val="24"/>
        </w:rPr>
        <w:t>、</w:t>
      </w:r>
      <w:r>
        <w:rPr>
          <w:rFonts w:ascii="Calibri" w:eastAsia="宋体" w:hAnsi="Calibri"/>
          <w:b w:val="0"/>
          <w:bCs/>
          <w:color w:val="auto"/>
          <w:sz w:val="24"/>
        </w:rPr>
        <w:t>HJ964</w:t>
      </w:r>
      <w:r>
        <w:rPr>
          <w:rFonts w:ascii="Calibri" w:eastAsia="宋体" w:hAnsi="Calibri"/>
          <w:b w:val="0"/>
          <w:bCs/>
          <w:color w:val="auto"/>
          <w:sz w:val="24"/>
        </w:rPr>
        <w:t>判断地下水水位或土壤影响范围内分布有天然林、公益林、湿地等生态保护目标的建设项目，生态影响评价等级不低于二级；</w:t>
      </w:r>
    </w:p>
    <w:p w14:paraId="4773A7EF" w14:textId="77777777" w:rsidR="00BF4CA5" w:rsidRDefault="00BF4CA5" w:rsidP="00BF4CA5">
      <w:pPr>
        <w:pStyle w:val="ad"/>
        <w:ind w:firstLineChars="200" w:firstLine="480"/>
        <w:rPr>
          <w:rFonts w:ascii="Calibri" w:eastAsia="宋体" w:hAnsi="Calibri"/>
          <w:b w:val="0"/>
          <w:bCs/>
          <w:color w:val="auto"/>
          <w:sz w:val="24"/>
        </w:rPr>
      </w:pPr>
      <w:r>
        <w:rPr>
          <w:rFonts w:ascii="Calibri" w:eastAsia="宋体" w:hAnsi="Calibri"/>
          <w:b w:val="0"/>
          <w:bCs/>
          <w:color w:val="auto"/>
          <w:sz w:val="24"/>
        </w:rPr>
        <w:t>F</w:t>
      </w:r>
      <w:r>
        <w:rPr>
          <w:rFonts w:ascii="Calibri" w:eastAsia="宋体" w:hAnsi="Calibri"/>
          <w:b w:val="0"/>
          <w:bCs/>
          <w:color w:val="auto"/>
          <w:sz w:val="24"/>
        </w:rPr>
        <w:t>）当工程占地规模大于</w:t>
      </w:r>
      <w:r>
        <w:rPr>
          <w:rFonts w:ascii="Calibri" w:eastAsia="宋体" w:hAnsi="Calibri"/>
          <w:b w:val="0"/>
          <w:bCs/>
          <w:color w:val="auto"/>
          <w:sz w:val="24"/>
        </w:rPr>
        <w:t>20km</w:t>
      </w:r>
      <w:r>
        <w:rPr>
          <w:rFonts w:ascii="Calibri" w:eastAsia="宋体" w:hAnsi="Calibri" w:hint="eastAsia"/>
          <w:b w:val="0"/>
          <w:bCs/>
          <w:color w:val="auto"/>
          <w:sz w:val="24"/>
          <w:vertAlign w:val="superscript"/>
        </w:rPr>
        <w:t>2</w:t>
      </w:r>
      <w:r>
        <w:rPr>
          <w:rFonts w:ascii="Calibri" w:eastAsia="宋体" w:hAnsi="Calibri"/>
          <w:b w:val="0"/>
          <w:bCs/>
          <w:color w:val="auto"/>
          <w:sz w:val="24"/>
        </w:rPr>
        <w:t>时（包括永久和临时占用陆域和水域），评价等级不低于二级；改扩建项目的占地范围以新增占地（包括陆域和水域）确定；</w:t>
      </w:r>
    </w:p>
    <w:p w14:paraId="3AFE5630" w14:textId="77777777" w:rsidR="00BF4CA5" w:rsidRDefault="00BF4CA5" w:rsidP="00BF4CA5">
      <w:pPr>
        <w:pStyle w:val="ad"/>
        <w:ind w:firstLineChars="200" w:firstLine="480"/>
        <w:rPr>
          <w:rFonts w:ascii="Calibri" w:eastAsia="宋体" w:hAnsi="Calibri"/>
          <w:b w:val="0"/>
          <w:bCs/>
          <w:color w:val="auto"/>
          <w:sz w:val="24"/>
        </w:rPr>
      </w:pPr>
      <w:r>
        <w:rPr>
          <w:rFonts w:ascii="Calibri" w:eastAsia="宋体" w:hAnsi="Calibri"/>
          <w:b w:val="0"/>
          <w:bCs/>
          <w:color w:val="auto"/>
          <w:sz w:val="24"/>
        </w:rPr>
        <w:t>G</w:t>
      </w:r>
      <w:r>
        <w:rPr>
          <w:rFonts w:ascii="Calibri" w:eastAsia="宋体" w:hAnsi="Calibri"/>
          <w:b w:val="0"/>
          <w:bCs/>
          <w:color w:val="auto"/>
          <w:sz w:val="24"/>
        </w:rPr>
        <w:t>）除本条</w:t>
      </w:r>
      <w:r>
        <w:rPr>
          <w:rFonts w:ascii="Calibri" w:eastAsia="宋体" w:hAnsi="Calibri"/>
          <w:b w:val="0"/>
          <w:bCs/>
          <w:color w:val="auto"/>
          <w:sz w:val="24"/>
        </w:rPr>
        <w:t>a</w:t>
      </w:r>
      <w:r>
        <w:rPr>
          <w:rFonts w:ascii="Calibri" w:eastAsia="宋体" w:hAnsi="Calibri"/>
          <w:b w:val="0"/>
          <w:bCs/>
          <w:color w:val="auto"/>
          <w:sz w:val="24"/>
        </w:rPr>
        <w:t>）、</w:t>
      </w:r>
      <w:r>
        <w:rPr>
          <w:rFonts w:ascii="Calibri" w:eastAsia="宋体" w:hAnsi="Calibri"/>
          <w:b w:val="0"/>
          <w:bCs/>
          <w:color w:val="auto"/>
          <w:sz w:val="24"/>
        </w:rPr>
        <w:t>b</w:t>
      </w:r>
      <w:r>
        <w:rPr>
          <w:rFonts w:ascii="Calibri" w:eastAsia="宋体" w:hAnsi="Calibri"/>
          <w:b w:val="0"/>
          <w:bCs/>
          <w:color w:val="auto"/>
          <w:sz w:val="24"/>
        </w:rPr>
        <w:t>）、</w:t>
      </w:r>
      <w:r>
        <w:rPr>
          <w:rFonts w:ascii="Calibri" w:eastAsia="宋体" w:hAnsi="Calibri"/>
          <w:b w:val="0"/>
          <w:bCs/>
          <w:color w:val="auto"/>
          <w:sz w:val="24"/>
        </w:rPr>
        <w:t>c</w:t>
      </w:r>
      <w:r>
        <w:rPr>
          <w:rFonts w:ascii="Calibri" w:eastAsia="宋体" w:hAnsi="Calibri"/>
          <w:b w:val="0"/>
          <w:bCs/>
          <w:color w:val="auto"/>
          <w:sz w:val="24"/>
        </w:rPr>
        <w:t>）、</w:t>
      </w:r>
      <w:r>
        <w:rPr>
          <w:rFonts w:ascii="Calibri" w:eastAsia="宋体" w:hAnsi="Calibri"/>
          <w:b w:val="0"/>
          <w:bCs/>
          <w:color w:val="auto"/>
          <w:sz w:val="24"/>
        </w:rPr>
        <w:t>d</w:t>
      </w:r>
      <w:r>
        <w:rPr>
          <w:rFonts w:ascii="Calibri" w:eastAsia="宋体" w:hAnsi="Calibri"/>
          <w:b w:val="0"/>
          <w:bCs/>
          <w:color w:val="auto"/>
          <w:sz w:val="24"/>
        </w:rPr>
        <w:t>）、</w:t>
      </w:r>
      <w:r>
        <w:rPr>
          <w:rFonts w:ascii="Calibri" w:eastAsia="宋体" w:hAnsi="Calibri"/>
          <w:b w:val="0"/>
          <w:bCs/>
          <w:color w:val="auto"/>
          <w:sz w:val="24"/>
        </w:rPr>
        <w:t>e</w:t>
      </w:r>
      <w:r>
        <w:rPr>
          <w:rFonts w:ascii="Calibri" w:eastAsia="宋体" w:hAnsi="Calibri"/>
          <w:b w:val="0"/>
          <w:bCs/>
          <w:color w:val="auto"/>
          <w:sz w:val="24"/>
        </w:rPr>
        <w:t>）、</w:t>
      </w:r>
      <w:r>
        <w:rPr>
          <w:rFonts w:ascii="Calibri" w:eastAsia="宋体" w:hAnsi="Calibri"/>
          <w:b w:val="0"/>
          <w:bCs/>
          <w:color w:val="auto"/>
          <w:sz w:val="24"/>
        </w:rPr>
        <w:t>f</w:t>
      </w:r>
      <w:r>
        <w:rPr>
          <w:rFonts w:ascii="Calibri" w:eastAsia="宋体" w:hAnsi="Calibri"/>
          <w:b w:val="0"/>
          <w:bCs/>
          <w:color w:val="auto"/>
          <w:sz w:val="24"/>
        </w:rPr>
        <w:t>）以外的情况，评价等级为三级</w:t>
      </w:r>
      <w:r>
        <w:rPr>
          <w:rFonts w:ascii="Calibri" w:eastAsia="宋体" w:hAnsi="Calibri" w:hint="eastAsia"/>
          <w:b w:val="0"/>
          <w:bCs/>
          <w:color w:val="auto"/>
          <w:sz w:val="24"/>
        </w:rPr>
        <w:t>。</w:t>
      </w:r>
    </w:p>
    <w:p w14:paraId="4A3D4B86" w14:textId="35656A1F" w:rsidR="00BF4CA5" w:rsidRPr="00DB6CE9" w:rsidRDefault="00BF4CA5" w:rsidP="00BF4CA5">
      <w:pPr>
        <w:pStyle w:val="ad"/>
        <w:ind w:firstLineChars="200" w:firstLine="480"/>
        <w:rPr>
          <w:rFonts w:ascii="Calibri" w:eastAsia="宋体" w:hAnsi="Calibri"/>
          <w:b w:val="0"/>
          <w:bCs/>
          <w:color w:val="auto"/>
          <w:sz w:val="24"/>
        </w:rPr>
      </w:pPr>
      <w:r>
        <w:rPr>
          <w:rFonts w:ascii="Calibri" w:eastAsia="宋体" w:hAnsi="Calibri" w:hint="eastAsia"/>
          <w:b w:val="0"/>
          <w:bCs/>
          <w:color w:val="auto"/>
          <w:sz w:val="24"/>
        </w:rPr>
        <w:t>同时根据导则</w:t>
      </w:r>
      <w:r w:rsidR="00217891">
        <w:rPr>
          <w:rFonts w:ascii="Calibri" w:eastAsia="宋体" w:hAnsi="Calibri" w:hint="eastAsia"/>
          <w:b w:val="0"/>
          <w:bCs/>
          <w:color w:val="auto"/>
          <w:sz w:val="24"/>
        </w:rPr>
        <w:t>6.1.8</w:t>
      </w:r>
      <w:r>
        <w:rPr>
          <w:rFonts w:ascii="Calibri" w:eastAsia="宋体" w:hAnsi="Calibri" w:hint="eastAsia"/>
          <w:b w:val="0"/>
          <w:bCs/>
          <w:color w:val="auto"/>
          <w:sz w:val="24"/>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2C873696" w14:textId="77777777" w:rsidR="00BF4CA5" w:rsidRDefault="00BF4CA5" w:rsidP="00BF0D68">
      <w:pPr>
        <w:spacing w:line="520" w:lineRule="exact"/>
        <w:ind w:firstLineChars="200" w:firstLine="480"/>
        <w:jc w:val="left"/>
        <w:rPr>
          <w:rFonts w:ascii="Calibri" w:hAnsi="Calibri"/>
          <w:color w:val="auto"/>
          <w:sz w:val="24"/>
        </w:rPr>
      </w:pPr>
      <w:r w:rsidRPr="00A964FF">
        <w:rPr>
          <w:rFonts w:ascii="Calibri" w:hAnsi="Calibri" w:hint="eastAsia"/>
          <w:color w:val="auto"/>
          <w:sz w:val="24"/>
        </w:rPr>
        <w:t>本项目选址位于平顶山尼龙新材料产业集聚区，</w:t>
      </w:r>
      <w:r w:rsidRPr="006B6B3A">
        <w:rPr>
          <w:rFonts w:ascii="Calibri" w:hAnsi="Calibri" w:hint="eastAsia"/>
          <w:color w:val="auto"/>
          <w:sz w:val="24"/>
        </w:rPr>
        <w:t>该集聚区为已批准规划环评的产业园区</w:t>
      </w:r>
      <w:r>
        <w:rPr>
          <w:rFonts w:ascii="Calibri" w:hAnsi="Calibri" w:hint="eastAsia"/>
          <w:color w:val="auto"/>
          <w:sz w:val="24"/>
        </w:rPr>
        <w:t>，</w:t>
      </w:r>
      <w:r w:rsidRPr="00A964FF">
        <w:rPr>
          <w:rFonts w:ascii="Calibri" w:hAnsi="Calibri" w:hint="eastAsia"/>
          <w:color w:val="auto"/>
          <w:sz w:val="24"/>
        </w:rPr>
        <w:t>占地面积</w:t>
      </w:r>
      <w:r>
        <w:rPr>
          <w:rFonts w:ascii="Calibri" w:hAnsi="Calibri" w:hint="eastAsia"/>
          <w:color w:val="auto"/>
          <w:sz w:val="24"/>
        </w:rPr>
        <w:t>78033.8</w:t>
      </w:r>
      <w:r w:rsidRPr="00A964FF">
        <w:rPr>
          <w:rFonts w:ascii="Calibri" w:hAnsi="Calibri" w:hint="eastAsia"/>
          <w:color w:val="auto"/>
          <w:sz w:val="24"/>
        </w:rPr>
        <w:t>m</w:t>
      </w:r>
      <w:r w:rsidRPr="00A964FF">
        <w:rPr>
          <w:rFonts w:ascii="Calibri" w:hAnsi="Calibri" w:hint="eastAsia"/>
          <w:color w:val="auto"/>
          <w:sz w:val="24"/>
          <w:vertAlign w:val="superscript"/>
        </w:rPr>
        <w:t>2</w:t>
      </w:r>
      <w:r w:rsidRPr="00A964FF">
        <w:rPr>
          <w:rFonts w:ascii="Calibri" w:hAnsi="Calibri" w:hint="eastAsia"/>
          <w:color w:val="auto"/>
          <w:sz w:val="24"/>
        </w:rPr>
        <w:t>，折合</w:t>
      </w:r>
      <w:r>
        <w:rPr>
          <w:rFonts w:ascii="Calibri" w:hAnsi="Calibri"/>
          <w:color w:val="auto"/>
          <w:sz w:val="24"/>
        </w:rPr>
        <w:t>7.80</w:t>
      </w:r>
      <w:r w:rsidRPr="00A964FF">
        <w:rPr>
          <w:rFonts w:ascii="Calibri" w:hAnsi="Calibri" w:hint="eastAsia"/>
          <w:color w:val="auto"/>
          <w:sz w:val="24"/>
        </w:rPr>
        <w:t>hm</w:t>
      </w:r>
      <w:r w:rsidRPr="00A964FF">
        <w:rPr>
          <w:rFonts w:ascii="Calibri" w:hAnsi="Calibri" w:hint="eastAsia"/>
          <w:color w:val="auto"/>
          <w:sz w:val="24"/>
          <w:vertAlign w:val="superscript"/>
        </w:rPr>
        <w:t>2</w:t>
      </w:r>
      <w:r w:rsidRPr="00A964FF">
        <w:rPr>
          <w:rFonts w:ascii="Calibri" w:hAnsi="Calibri" w:hint="eastAsia"/>
          <w:color w:val="auto"/>
          <w:sz w:val="24"/>
        </w:rPr>
        <w:t>，用地现状为空地，厂址周边主要为集聚区已入驻企业和待建设用地，</w:t>
      </w:r>
      <w:r>
        <w:rPr>
          <w:rFonts w:ascii="Calibri" w:hAnsi="Calibri" w:hint="eastAsia"/>
          <w:color w:val="auto"/>
          <w:sz w:val="24"/>
        </w:rPr>
        <w:t>项目不涉及国家公园、自然保护区、世界自然遗产、重要生境、自然公园、生态保护红线；且本项目地表水</w:t>
      </w:r>
      <w:r w:rsidRPr="00134CE8">
        <w:rPr>
          <w:rFonts w:ascii="Calibri" w:hAnsi="Calibri" w:hint="eastAsia"/>
          <w:color w:val="auto"/>
          <w:sz w:val="24"/>
        </w:rPr>
        <w:t>属于水污染影响型建设项目</w:t>
      </w:r>
      <w:r>
        <w:rPr>
          <w:rFonts w:ascii="Calibri" w:hAnsi="Calibri" w:hint="eastAsia"/>
          <w:color w:val="auto"/>
          <w:sz w:val="24"/>
        </w:rPr>
        <w:t>；</w:t>
      </w:r>
      <w:r w:rsidRPr="00134CE8">
        <w:rPr>
          <w:rFonts w:ascii="Calibri" w:hAnsi="Calibri" w:hint="eastAsia"/>
          <w:color w:val="auto"/>
          <w:sz w:val="24"/>
        </w:rPr>
        <w:t>根据</w:t>
      </w:r>
      <w:r>
        <w:rPr>
          <w:rFonts w:ascii="Calibri" w:hAnsi="Calibri" w:hint="eastAsia"/>
          <w:color w:val="auto"/>
          <w:sz w:val="24"/>
        </w:rPr>
        <w:t>HJ</w:t>
      </w:r>
      <w:r w:rsidRPr="00134CE8">
        <w:rPr>
          <w:rFonts w:ascii="Calibri" w:hAnsi="Calibri" w:hint="eastAsia"/>
          <w:color w:val="auto"/>
          <w:sz w:val="24"/>
        </w:rPr>
        <w:t>610</w:t>
      </w:r>
      <w:r w:rsidRPr="00134CE8">
        <w:rPr>
          <w:rFonts w:ascii="Calibri" w:hAnsi="Calibri" w:hint="eastAsia"/>
          <w:color w:val="auto"/>
          <w:sz w:val="24"/>
        </w:rPr>
        <w:t>、</w:t>
      </w:r>
      <w:r>
        <w:rPr>
          <w:rFonts w:ascii="Calibri" w:hAnsi="Calibri" w:hint="eastAsia"/>
          <w:color w:val="auto"/>
          <w:sz w:val="24"/>
        </w:rPr>
        <w:t>HJ964</w:t>
      </w:r>
      <w:r w:rsidRPr="00134CE8">
        <w:rPr>
          <w:rFonts w:ascii="Calibri" w:hAnsi="Calibri" w:hint="eastAsia"/>
          <w:color w:val="auto"/>
          <w:sz w:val="24"/>
        </w:rPr>
        <w:t>判断地下水水位或土壤影响范围内</w:t>
      </w:r>
      <w:r>
        <w:rPr>
          <w:rFonts w:ascii="Calibri" w:hAnsi="Calibri" w:hint="eastAsia"/>
          <w:color w:val="auto"/>
          <w:sz w:val="24"/>
        </w:rPr>
        <w:t>无</w:t>
      </w:r>
      <w:r w:rsidRPr="00134CE8">
        <w:rPr>
          <w:rFonts w:ascii="Calibri" w:hAnsi="Calibri" w:hint="eastAsia"/>
          <w:color w:val="auto"/>
          <w:sz w:val="24"/>
        </w:rPr>
        <w:t>有天然林、公益</w:t>
      </w:r>
      <w:r w:rsidRPr="00134CE8">
        <w:rPr>
          <w:rFonts w:ascii="Calibri" w:hAnsi="Calibri" w:hint="eastAsia"/>
          <w:color w:val="auto"/>
          <w:sz w:val="24"/>
        </w:rPr>
        <w:lastRenderedPageBreak/>
        <w:t>林、湿地等生态保护目标</w:t>
      </w:r>
      <w:r>
        <w:rPr>
          <w:rFonts w:ascii="Calibri" w:hAnsi="Calibri" w:hint="eastAsia"/>
          <w:color w:val="auto"/>
          <w:sz w:val="24"/>
        </w:rPr>
        <w:t>，且本项目</w:t>
      </w:r>
      <w:r>
        <w:rPr>
          <w:rFonts w:ascii="Calibri" w:hAnsi="Calibri"/>
          <w:color w:val="auto"/>
          <w:sz w:val="24"/>
        </w:rPr>
        <w:t>符合集聚区规划环评的要求，</w:t>
      </w:r>
      <w:r>
        <w:rPr>
          <w:rFonts w:ascii="Calibri" w:hAnsi="Calibri" w:hint="eastAsia"/>
          <w:color w:val="auto"/>
          <w:sz w:val="24"/>
        </w:rPr>
        <w:t>选址</w:t>
      </w:r>
      <w:r>
        <w:rPr>
          <w:rFonts w:ascii="Calibri" w:hAnsi="Calibri"/>
          <w:color w:val="auto"/>
          <w:sz w:val="24"/>
        </w:rPr>
        <w:t>位于</w:t>
      </w:r>
      <w:r w:rsidRPr="006B6B3A">
        <w:rPr>
          <w:rFonts w:ascii="Calibri" w:hAnsi="Calibri" w:hint="eastAsia"/>
          <w:color w:val="auto"/>
          <w:sz w:val="24"/>
        </w:rPr>
        <w:t>已批准规划环评的产业园区</w:t>
      </w:r>
      <w:r>
        <w:rPr>
          <w:rFonts w:ascii="Calibri" w:hAnsi="Calibri" w:hint="eastAsia"/>
          <w:color w:val="auto"/>
          <w:sz w:val="24"/>
        </w:rPr>
        <w:t>内</w:t>
      </w:r>
      <w:r>
        <w:rPr>
          <w:rFonts w:ascii="Calibri" w:hAnsi="Calibri"/>
          <w:color w:val="auto"/>
          <w:sz w:val="24"/>
        </w:rPr>
        <w:t>，因此本项目可不确定评价等级，直接进行生态影响简单分析。</w:t>
      </w:r>
    </w:p>
    <w:p w14:paraId="5A45E957" w14:textId="77777777" w:rsidR="0055605A" w:rsidRPr="00A964FF" w:rsidRDefault="0055605A" w:rsidP="0055605A">
      <w:pPr>
        <w:pStyle w:val="ad"/>
        <w:rPr>
          <w:rFonts w:ascii="Calibri" w:hAnsi="Calibri"/>
          <w:color w:val="auto"/>
        </w:rPr>
      </w:pPr>
      <w:r w:rsidRPr="00A964FF">
        <w:rPr>
          <w:rFonts w:ascii="Calibri" w:hAnsi="Calibri"/>
          <w:color w:val="auto"/>
        </w:rPr>
        <w:t>1.</w:t>
      </w:r>
      <w:r w:rsidRPr="00A964FF">
        <w:rPr>
          <w:rFonts w:ascii="Calibri" w:hAnsi="Calibri" w:hint="eastAsia"/>
          <w:color w:val="auto"/>
        </w:rPr>
        <w:t>6</w:t>
      </w:r>
      <w:r w:rsidRPr="00A964FF">
        <w:rPr>
          <w:rFonts w:ascii="Calibri" w:hAnsi="Calibri"/>
          <w:color w:val="auto"/>
        </w:rPr>
        <w:t>.</w:t>
      </w:r>
      <w:r w:rsidRPr="00A964FF">
        <w:rPr>
          <w:rFonts w:ascii="Calibri" w:hAnsi="Calibri" w:hint="eastAsia"/>
          <w:color w:val="auto"/>
        </w:rPr>
        <w:t>2</w:t>
      </w:r>
      <w:r w:rsidRPr="00A964FF">
        <w:rPr>
          <w:rFonts w:ascii="Calibri" w:hAnsi="Calibri"/>
          <w:color w:val="auto"/>
        </w:rPr>
        <w:t>评价</w:t>
      </w:r>
      <w:r w:rsidRPr="00A964FF">
        <w:rPr>
          <w:rFonts w:ascii="Calibri" w:hAnsi="Calibri" w:hint="eastAsia"/>
          <w:color w:val="auto"/>
        </w:rPr>
        <w:t>范围</w:t>
      </w:r>
    </w:p>
    <w:p w14:paraId="47158812" w14:textId="77777777" w:rsidR="005C4969" w:rsidRPr="00A2375E" w:rsidRDefault="0055605A" w:rsidP="00A2375E">
      <w:pPr>
        <w:pStyle w:val="00"/>
        <w:rPr>
          <w:rFonts w:ascii="Calibri" w:hAnsi="Calibri"/>
          <w:color w:val="auto"/>
        </w:rPr>
      </w:pPr>
      <w:r w:rsidRPr="00A964FF">
        <w:rPr>
          <w:rFonts w:ascii="Calibri" w:hAnsi="Calibri"/>
          <w:color w:val="auto"/>
        </w:rPr>
        <w:t>根据本项目工程特点、项目所在区域的</w:t>
      </w:r>
      <w:r w:rsidRPr="00A964FF">
        <w:rPr>
          <w:rFonts w:ascii="Calibri" w:hAnsi="Calibri" w:hint="eastAsia"/>
          <w:color w:val="auto"/>
        </w:rPr>
        <w:t>自然环境状况</w:t>
      </w:r>
      <w:r w:rsidRPr="00A964FF">
        <w:rPr>
          <w:rFonts w:ascii="Calibri" w:hAnsi="Calibri"/>
          <w:color w:val="auto"/>
        </w:rPr>
        <w:t>和评价工作等级要求，确定各</w:t>
      </w:r>
      <w:r w:rsidRPr="00A964FF">
        <w:rPr>
          <w:rFonts w:ascii="Calibri" w:hAnsi="Calibri" w:hint="eastAsia"/>
          <w:color w:val="auto"/>
        </w:rPr>
        <w:t>环境要素</w:t>
      </w:r>
      <w:r w:rsidRPr="00A964FF">
        <w:rPr>
          <w:rFonts w:ascii="Calibri" w:hAnsi="Calibri"/>
          <w:color w:val="auto"/>
        </w:rPr>
        <w:t>环境影响评价范围见表</w:t>
      </w:r>
      <w:r w:rsidRPr="00A964FF">
        <w:rPr>
          <w:rFonts w:ascii="Calibri" w:hAnsi="Calibri"/>
          <w:color w:val="auto"/>
        </w:rPr>
        <w:t>1</w:t>
      </w:r>
      <w:r w:rsidR="001E0BBA" w:rsidRPr="00A964FF">
        <w:rPr>
          <w:rFonts w:ascii="Calibri" w:hAnsi="Calibri" w:hint="eastAsia"/>
          <w:color w:val="auto"/>
        </w:rPr>
        <w:t>.6</w:t>
      </w:r>
      <w:r w:rsidRPr="00A964FF">
        <w:rPr>
          <w:rFonts w:ascii="Calibri" w:hAnsi="Calibri"/>
          <w:color w:val="auto"/>
        </w:rPr>
        <w:t>-</w:t>
      </w:r>
      <w:r w:rsidR="00CA2479">
        <w:rPr>
          <w:rFonts w:ascii="Calibri" w:hAnsi="Calibri"/>
          <w:color w:val="auto"/>
        </w:rPr>
        <w:t>8</w:t>
      </w:r>
      <w:r w:rsidRPr="00A964FF">
        <w:rPr>
          <w:rFonts w:ascii="Calibri" w:hAnsi="Calibri"/>
          <w:color w:val="auto"/>
        </w:rPr>
        <w:t>。</w:t>
      </w:r>
      <w:bookmarkStart w:id="36" w:name="_Toc447804108"/>
    </w:p>
    <w:p w14:paraId="2011EFBC" w14:textId="77777777" w:rsidR="0055605A" w:rsidRPr="00A964FF" w:rsidRDefault="0055605A" w:rsidP="0055605A">
      <w:pPr>
        <w:pStyle w:val="00"/>
        <w:rPr>
          <w:rFonts w:ascii="Calibri" w:eastAsia="黑体" w:hAnsi="Calibri"/>
          <w:color w:val="auto"/>
        </w:rPr>
      </w:pPr>
      <w:r w:rsidRPr="00A964FF">
        <w:rPr>
          <w:rFonts w:ascii="Calibri" w:eastAsia="黑体" w:hAnsi="Calibri"/>
          <w:color w:val="auto"/>
        </w:rPr>
        <w:t>表</w:t>
      </w:r>
      <w:r w:rsidRPr="00A964FF">
        <w:rPr>
          <w:rFonts w:ascii="Calibri" w:eastAsia="黑体" w:hAnsi="Calibri"/>
          <w:color w:val="auto"/>
        </w:rPr>
        <w:t>1</w:t>
      </w:r>
      <w:r w:rsidR="001E0BBA" w:rsidRPr="00A964FF">
        <w:rPr>
          <w:rFonts w:ascii="Calibri" w:eastAsia="黑体" w:hAnsi="Calibri" w:hint="eastAsia"/>
          <w:color w:val="auto"/>
        </w:rPr>
        <w:t>.6</w:t>
      </w:r>
      <w:r w:rsidRPr="00A964FF">
        <w:rPr>
          <w:rFonts w:ascii="Calibri" w:eastAsia="黑体" w:hAnsi="Calibri"/>
          <w:color w:val="auto"/>
        </w:rPr>
        <w:t>-</w:t>
      </w:r>
      <w:r w:rsidR="00CA2479">
        <w:rPr>
          <w:rFonts w:ascii="Calibri" w:eastAsia="黑体" w:hAnsi="Calibri"/>
          <w:color w:val="auto"/>
        </w:rPr>
        <w:t>8</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本项目评价范围情况一览表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58"/>
        <w:gridCol w:w="1653"/>
        <w:gridCol w:w="1103"/>
        <w:gridCol w:w="5286"/>
      </w:tblGrid>
      <w:tr w:rsidR="0055605A" w:rsidRPr="00A964FF" w14:paraId="5DE2A47F" w14:textId="77777777" w:rsidTr="00264ACC">
        <w:trPr>
          <w:trHeight w:val="340"/>
        </w:trPr>
        <w:tc>
          <w:tcPr>
            <w:tcW w:w="378" w:type="pct"/>
            <w:tcBorders>
              <w:right w:val="single" w:sz="4" w:space="0" w:color="auto"/>
            </w:tcBorders>
            <w:vAlign w:val="center"/>
          </w:tcPr>
          <w:p w14:paraId="6B26C6ED" w14:textId="77777777" w:rsidR="0055605A" w:rsidRPr="00A964FF" w:rsidRDefault="0055605A" w:rsidP="003E0795">
            <w:pPr>
              <w:pStyle w:val="af3"/>
              <w:rPr>
                <w:color w:val="auto"/>
              </w:rPr>
            </w:pPr>
            <w:r w:rsidRPr="00A964FF">
              <w:rPr>
                <w:color w:val="auto"/>
              </w:rPr>
              <w:t>序号</w:t>
            </w:r>
          </w:p>
        </w:tc>
        <w:tc>
          <w:tcPr>
            <w:tcW w:w="950" w:type="pct"/>
            <w:tcBorders>
              <w:left w:val="single" w:sz="4" w:space="0" w:color="auto"/>
            </w:tcBorders>
            <w:vAlign w:val="center"/>
          </w:tcPr>
          <w:p w14:paraId="49AA64D0" w14:textId="77777777" w:rsidR="0055605A" w:rsidRPr="00A964FF" w:rsidRDefault="0055605A" w:rsidP="003E0795">
            <w:pPr>
              <w:pStyle w:val="af3"/>
              <w:rPr>
                <w:color w:val="auto"/>
              </w:rPr>
            </w:pPr>
            <w:r w:rsidRPr="00A964FF">
              <w:rPr>
                <w:color w:val="auto"/>
              </w:rPr>
              <w:t>环境要素</w:t>
            </w:r>
          </w:p>
        </w:tc>
        <w:tc>
          <w:tcPr>
            <w:tcW w:w="634" w:type="pct"/>
            <w:tcBorders>
              <w:right w:val="single" w:sz="4" w:space="0" w:color="auto"/>
            </w:tcBorders>
            <w:vAlign w:val="center"/>
          </w:tcPr>
          <w:p w14:paraId="28EA5D00" w14:textId="77777777" w:rsidR="0055605A" w:rsidRPr="00A964FF" w:rsidRDefault="0055605A" w:rsidP="003E0795">
            <w:pPr>
              <w:pStyle w:val="af3"/>
              <w:rPr>
                <w:color w:val="auto"/>
              </w:rPr>
            </w:pPr>
            <w:r w:rsidRPr="00A964FF">
              <w:rPr>
                <w:color w:val="auto"/>
              </w:rPr>
              <w:t>评价等级</w:t>
            </w:r>
          </w:p>
        </w:tc>
        <w:tc>
          <w:tcPr>
            <w:tcW w:w="3038" w:type="pct"/>
            <w:tcBorders>
              <w:left w:val="single" w:sz="4" w:space="0" w:color="auto"/>
            </w:tcBorders>
            <w:vAlign w:val="center"/>
          </w:tcPr>
          <w:p w14:paraId="41FE8FE2" w14:textId="77777777" w:rsidR="0055605A" w:rsidRPr="00A964FF" w:rsidRDefault="0055605A" w:rsidP="003E0795">
            <w:pPr>
              <w:pStyle w:val="af3"/>
              <w:rPr>
                <w:color w:val="auto"/>
              </w:rPr>
            </w:pPr>
            <w:r w:rsidRPr="00A964FF">
              <w:rPr>
                <w:color w:val="auto"/>
              </w:rPr>
              <w:t>评价范围</w:t>
            </w:r>
          </w:p>
        </w:tc>
      </w:tr>
      <w:tr w:rsidR="0055605A" w:rsidRPr="00A964FF" w14:paraId="4C30B82A" w14:textId="77777777" w:rsidTr="00264ACC">
        <w:trPr>
          <w:trHeight w:val="340"/>
        </w:trPr>
        <w:tc>
          <w:tcPr>
            <w:tcW w:w="378" w:type="pct"/>
            <w:tcBorders>
              <w:right w:val="single" w:sz="4" w:space="0" w:color="auto"/>
            </w:tcBorders>
            <w:vAlign w:val="center"/>
          </w:tcPr>
          <w:p w14:paraId="5ACD7C58" w14:textId="77777777" w:rsidR="0055605A" w:rsidRPr="00A964FF" w:rsidRDefault="0055605A" w:rsidP="003E0795">
            <w:pPr>
              <w:pStyle w:val="af3"/>
              <w:rPr>
                <w:color w:val="auto"/>
              </w:rPr>
            </w:pPr>
            <w:r w:rsidRPr="00A964FF">
              <w:rPr>
                <w:color w:val="auto"/>
              </w:rPr>
              <w:t>1</w:t>
            </w:r>
          </w:p>
        </w:tc>
        <w:tc>
          <w:tcPr>
            <w:tcW w:w="950" w:type="pct"/>
            <w:tcBorders>
              <w:left w:val="single" w:sz="4" w:space="0" w:color="auto"/>
            </w:tcBorders>
            <w:vAlign w:val="center"/>
          </w:tcPr>
          <w:p w14:paraId="18281E81" w14:textId="77777777" w:rsidR="0055605A" w:rsidRPr="00A964FF" w:rsidRDefault="0055605A" w:rsidP="003E0795">
            <w:pPr>
              <w:pStyle w:val="af3"/>
              <w:rPr>
                <w:color w:val="auto"/>
              </w:rPr>
            </w:pPr>
            <w:r w:rsidRPr="00A964FF">
              <w:rPr>
                <w:color w:val="auto"/>
              </w:rPr>
              <w:t>环境空气</w:t>
            </w:r>
          </w:p>
        </w:tc>
        <w:tc>
          <w:tcPr>
            <w:tcW w:w="634" w:type="pct"/>
            <w:tcBorders>
              <w:right w:val="single" w:sz="4" w:space="0" w:color="auto"/>
            </w:tcBorders>
            <w:vAlign w:val="center"/>
          </w:tcPr>
          <w:p w14:paraId="5626E8DE" w14:textId="77777777" w:rsidR="0055605A" w:rsidRPr="00A964FF" w:rsidRDefault="00A81745" w:rsidP="003E0795">
            <w:pPr>
              <w:pStyle w:val="af3"/>
              <w:rPr>
                <w:color w:val="auto"/>
              </w:rPr>
            </w:pPr>
            <w:r>
              <w:rPr>
                <w:rFonts w:hint="eastAsia"/>
                <w:color w:val="auto"/>
              </w:rPr>
              <w:t>二</w:t>
            </w:r>
            <w:r w:rsidR="0055605A" w:rsidRPr="00A964FF">
              <w:rPr>
                <w:color w:val="auto"/>
              </w:rPr>
              <w:t>级</w:t>
            </w:r>
          </w:p>
        </w:tc>
        <w:tc>
          <w:tcPr>
            <w:tcW w:w="3038" w:type="pct"/>
            <w:tcBorders>
              <w:left w:val="single" w:sz="4" w:space="0" w:color="auto"/>
            </w:tcBorders>
            <w:vAlign w:val="center"/>
          </w:tcPr>
          <w:p w14:paraId="2DC07AB8" w14:textId="77777777" w:rsidR="0055605A" w:rsidRPr="007143A7" w:rsidRDefault="0055605A" w:rsidP="001E0903">
            <w:pPr>
              <w:pStyle w:val="af6"/>
              <w:rPr>
                <w:rFonts w:ascii="Calibri" w:hAnsi="Calibri"/>
                <w:color w:val="auto"/>
                <w:highlight w:val="red"/>
              </w:rPr>
            </w:pPr>
            <w:r w:rsidRPr="007143A7">
              <w:rPr>
                <w:rFonts w:ascii="Calibri"/>
                <w:color w:val="auto"/>
              </w:rPr>
              <w:t>考虑到区域主导风向及附近环境功能环境特征，确定评价范围</w:t>
            </w:r>
            <w:r w:rsidRPr="007143A7">
              <w:rPr>
                <w:rFonts w:ascii="Calibri" w:hint="eastAsia"/>
                <w:color w:val="auto"/>
              </w:rPr>
              <w:t>以项目厂址</w:t>
            </w:r>
            <w:r w:rsidRPr="007143A7">
              <w:rPr>
                <w:rFonts w:ascii="Calibri"/>
                <w:color w:val="auto"/>
              </w:rPr>
              <w:t>为中心，</w:t>
            </w:r>
            <w:r w:rsidRPr="007143A7">
              <w:rPr>
                <w:rFonts w:ascii="Calibri" w:hint="eastAsia"/>
                <w:color w:val="auto"/>
              </w:rPr>
              <w:t>边长为</w:t>
            </w:r>
            <w:r w:rsidR="00895210" w:rsidRPr="007143A7">
              <w:rPr>
                <w:rFonts w:ascii="Calibri" w:hint="eastAsia"/>
                <w:color w:val="auto"/>
              </w:rPr>
              <w:t>5.0</w:t>
            </w:r>
            <w:r w:rsidRPr="007143A7">
              <w:rPr>
                <w:rFonts w:ascii="Calibri" w:hint="eastAsia"/>
                <w:color w:val="auto"/>
              </w:rPr>
              <w:t>km</w:t>
            </w:r>
            <w:r w:rsidRPr="007143A7">
              <w:rPr>
                <w:rFonts w:ascii="Calibri" w:hint="eastAsia"/>
                <w:color w:val="auto"/>
              </w:rPr>
              <w:t>的矩形区域</w:t>
            </w:r>
            <w:r w:rsidRPr="007143A7">
              <w:rPr>
                <w:rFonts w:ascii="Calibri"/>
                <w:color w:val="auto"/>
              </w:rPr>
              <w:t>，区域面积</w:t>
            </w:r>
            <w:r w:rsidRPr="007143A7">
              <w:rPr>
                <w:rFonts w:ascii="Calibri" w:hint="eastAsia"/>
                <w:color w:val="auto"/>
              </w:rPr>
              <w:t>约</w:t>
            </w:r>
            <w:r w:rsidR="001E0903">
              <w:rPr>
                <w:rFonts w:ascii="Calibri"/>
                <w:color w:val="auto"/>
              </w:rPr>
              <w:t>25</w:t>
            </w:r>
            <w:r w:rsidRPr="007143A7">
              <w:rPr>
                <w:rFonts w:ascii="Calibri" w:hint="eastAsia"/>
                <w:color w:val="auto"/>
              </w:rPr>
              <w:t>km</w:t>
            </w:r>
            <w:r w:rsidRPr="007143A7">
              <w:rPr>
                <w:rFonts w:ascii="Calibri" w:hint="eastAsia"/>
                <w:color w:val="auto"/>
                <w:vertAlign w:val="superscript"/>
              </w:rPr>
              <w:t>2</w:t>
            </w:r>
          </w:p>
        </w:tc>
      </w:tr>
      <w:tr w:rsidR="0055605A" w:rsidRPr="00A964FF" w14:paraId="21B64428" w14:textId="77777777" w:rsidTr="00264ACC">
        <w:trPr>
          <w:trHeight w:val="340"/>
        </w:trPr>
        <w:tc>
          <w:tcPr>
            <w:tcW w:w="378" w:type="pct"/>
            <w:tcBorders>
              <w:right w:val="single" w:sz="4" w:space="0" w:color="auto"/>
            </w:tcBorders>
            <w:vAlign w:val="center"/>
          </w:tcPr>
          <w:p w14:paraId="0415FC80" w14:textId="77777777" w:rsidR="0055605A" w:rsidRPr="00A964FF" w:rsidRDefault="0055605A" w:rsidP="003E0795">
            <w:pPr>
              <w:pStyle w:val="af3"/>
              <w:rPr>
                <w:color w:val="auto"/>
              </w:rPr>
            </w:pPr>
            <w:r w:rsidRPr="00A964FF">
              <w:rPr>
                <w:color w:val="auto"/>
              </w:rPr>
              <w:t>2</w:t>
            </w:r>
          </w:p>
        </w:tc>
        <w:tc>
          <w:tcPr>
            <w:tcW w:w="950" w:type="pct"/>
            <w:tcBorders>
              <w:left w:val="single" w:sz="4" w:space="0" w:color="auto"/>
            </w:tcBorders>
            <w:vAlign w:val="center"/>
          </w:tcPr>
          <w:p w14:paraId="5A847ACA" w14:textId="77777777" w:rsidR="0055605A" w:rsidRPr="00A964FF" w:rsidRDefault="0055605A" w:rsidP="003E0795">
            <w:pPr>
              <w:pStyle w:val="af3"/>
              <w:rPr>
                <w:color w:val="auto"/>
              </w:rPr>
            </w:pPr>
            <w:r w:rsidRPr="00A964FF">
              <w:rPr>
                <w:color w:val="auto"/>
              </w:rPr>
              <w:t>地表水环境</w:t>
            </w:r>
          </w:p>
        </w:tc>
        <w:tc>
          <w:tcPr>
            <w:tcW w:w="634" w:type="pct"/>
            <w:tcBorders>
              <w:right w:val="single" w:sz="4" w:space="0" w:color="auto"/>
            </w:tcBorders>
            <w:vAlign w:val="center"/>
          </w:tcPr>
          <w:p w14:paraId="27676B61" w14:textId="77777777" w:rsidR="0055605A" w:rsidRPr="00A964FF" w:rsidRDefault="0055605A" w:rsidP="003E0795">
            <w:pPr>
              <w:pStyle w:val="af3"/>
              <w:rPr>
                <w:color w:val="auto"/>
              </w:rPr>
            </w:pPr>
            <w:r w:rsidRPr="00A964FF">
              <w:rPr>
                <w:rFonts w:hint="eastAsia"/>
                <w:color w:val="auto"/>
              </w:rPr>
              <w:t>三级</w:t>
            </w:r>
            <w:r w:rsidRPr="00A964FF">
              <w:rPr>
                <w:rFonts w:hint="eastAsia"/>
                <w:color w:val="auto"/>
              </w:rPr>
              <w:t>B</w:t>
            </w:r>
          </w:p>
        </w:tc>
        <w:tc>
          <w:tcPr>
            <w:tcW w:w="3038" w:type="pct"/>
            <w:tcBorders>
              <w:left w:val="single" w:sz="4" w:space="0" w:color="auto"/>
            </w:tcBorders>
            <w:vAlign w:val="center"/>
          </w:tcPr>
          <w:p w14:paraId="458F3377" w14:textId="77777777" w:rsidR="0055605A" w:rsidRPr="00134CE8" w:rsidRDefault="0055605A" w:rsidP="00E81130">
            <w:pPr>
              <w:pStyle w:val="af6"/>
              <w:rPr>
                <w:rFonts w:ascii="Calibri" w:hAnsi="Calibri"/>
                <w:color w:val="auto"/>
                <w:highlight w:val="red"/>
              </w:rPr>
            </w:pPr>
            <w:r w:rsidRPr="007143A7">
              <w:rPr>
                <w:rFonts w:ascii="Calibri" w:hAnsi="Calibri" w:hint="eastAsia"/>
                <w:color w:val="auto"/>
              </w:rPr>
              <w:t>本项目废水</w:t>
            </w:r>
            <w:r w:rsidR="00273AAB" w:rsidRPr="007143A7">
              <w:rPr>
                <w:rFonts w:ascii="Calibri" w:hAnsi="Calibri" w:hint="eastAsia"/>
                <w:color w:val="auto"/>
              </w:rPr>
              <w:t>经厂区自建废水处理站处理达标后排入</w:t>
            </w:r>
            <w:r w:rsidR="00E81130" w:rsidRPr="007143A7">
              <w:rPr>
                <w:rFonts w:ascii="Calibri" w:hAnsi="Calibri" w:hint="eastAsia"/>
                <w:color w:val="auto"/>
              </w:rPr>
              <w:t>集聚区</w:t>
            </w:r>
            <w:r w:rsidR="00F700CE" w:rsidRPr="007143A7">
              <w:rPr>
                <w:rFonts w:ascii="Calibri" w:hAnsi="Calibri" w:hint="eastAsia"/>
                <w:color w:val="auto"/>
              </w:rPr>
              <w:t>污水处理厂</w:t>
            </w:r>
            <w:r w:rsidR="00273AAB" w:rsidRPr="007143A7">
              <w:rPr>
                <w:rFonts w:ascii="Calibri" w:hAnsi="Calibri" w:hint="eastAsia"/>
                <w:color w:val="auto"/>
              </w:rPr>
              <w:t>集中处理</w:t>
            </w:r>
            <w:r w:rsidRPr="007143A7">
              <w:rPr>
                <w:rFonts w:ascii="Calibri" w:hAnsi="Calibri" w:hint="eastAsia"/>
                <w:color w:val="auto"/>
              </w:rPr>
              <w:t>，不</w:t>
            </w:r>
            <w:r w:rsidR="00273AAB" w:rsidRPr="007143A7">
              <w:rPr>
                <w:rFonts w:ascii="Calibri" w:hAnsi="Calibri" w:hint="eastAsia"/>
                <w:color w:val="auto"/>
              </w:rPr>
              <w:t>直接</w:t>
            </w:r>
            <w:r w:rsidRPr="007143A7">
              <w:rPr>
                <w:rFonts w:ascii="Calibri" w:hAnsi="Calibri" w:hint="eastAsia"/>
                <w:color w:val="auto"/>
              </w:rPr>
              <w:t>排入地表水体，</w:t>
            </w:r>
            <w:r w:rsidR="00273AAB" w:rsidRPr="007143A7">
              <w:rPr>
                <w:rFonts w:ascii="Calibri" w:hAnsi="Calibri" w:hint="eastAsia"/>
                <w:color w:val="auto"/>
              </w:rPr>
              <w:t>主要分析废水处理措施的可行性和废水综合利用的可行性</w:t>
            </w:r>
          </w:p>
        </w:tc>
      </w:tr>
      <w:tr w:rsidR="0055605A" w:rsidRPr="00A964FF" w14:paraId="60166994" w14:textId="77777777" w:rsidTr="00264ACC">
        <w:trPr>
          <w:trHeight w:val="340"/>
        </w:trPr>
        <w:tc>
          <w:tcPr>
            <w:tcW w:w="378" w:type="pct"/>
            <w:tcBorders>
              <w:right w:val="single" w:sz="4" w:space="0" w:color="auto"/>
            </w:tcBorders>
            <w:vAlign w:val="center"/>
          </w:tcPr>
          <w:p w14:paraId="686189E5" w14:textId="77777777" w:rsidR="0055605A" w:rsidRPr="00A964FF" w:rsidRDefault="0055605A" w:rsidP="003E0795">
            <w:pPr>
              <w:pStyle w:val="af3"/>
              <w:rPr>
                <w:color w:val="auto"/>
              </w:rPr>
            </w:pPr>
            <w:r w:rsidRPr="00A964FF">
              <w:rPr>
                <w:color w:val="auto"/>
              </w:rPr>
              <w:t>3</w:t>
            </w:r>
          </w:p>
        </w:tc>
        <w:tc>
          <w:tcPr>
            <w:tcW w:w="950" w:type="pct"/>
            <w:tcBorders>
              <w:left w:val="single" w:sz="4" w:space="0" w:color="auto"/>
            </w:tcBorders>
            <w:vAlign w:val="center"/>
          </w:tcPr>
          <w:p w14:paraId="00F40E75" w14:textId="77777777" w:rsidR="0055605A" w:rsidRPr="00A964FF" w:rsidRDefault="0055605A" w:rsidP="003E0795">
            <w:pPr>
              <w:pStyle w:val="af3"/>
              <w:rPr>
                <w:color w:val="auto"/>
              </w:rPr>
            </w:pPr>
            <w:r w:rsidRPr="00A964FF">
              <w:rPr>
                <w:color w:val="auto"/>
              </w:rPr>
              <w:t>地下水</w:t>
            </w:r>
          </w:p>
        </w:tc>
        <w:tc>
          <w:tcPr>
            <w:tcW w:w="634" w:type="pct"/>
            <w:tcBorders>
              <w:right w:val="single" w:sz="4" w:space="0" w:color="auto"/>
            </w:tcBorders>
            <w:vAlign w:val="center"/>
          </w:tcPr>
          <w:p w14:paraId="2DDB4013" w14:textId="77777777" w:rsidR="0055605A" w:rsidRPr="00A964FF" w:rsidRDefault="00273AAB" w:rsidP="003E0795">
            <w:pPr>
              <w:pStyle w:val="af3"/>
              <w:rPr>
                <w:color w:val="auto"/>
              </w:rPr>
            </w:pPr>
            <w:r w:rsidRPr="00A964FF">
              <w:rPr>
                <w:rFonts w:hint="eastAsia"/>
                <w:color w:val="auto"/>
              </w:rPr>
              <w:t>二</w:t>
            </w:r>
            <w:r w:rsidR="0055605A" w:rsidRPr="00A964FF">
              <w:rPr>
                <w:rFonts w:hint="eastAsia"/>
                <w:color w:val="auto"/>
              </w:rPr>
              <w:t>级</w:t>
            </w:r>
          </w:p>
        </w:tc>
        <w:tc>
          <w:tcPr>
            <w:tcW w:w="3038" w:type="pct"/>
            <w:tcBorders>
              <w:left w:val="single" w:sz="4" w:space="0" w:color="auto"/>
            </w:tcBorders>
            <w:vAlign w:val="center"/>
          </w:tcPr>
          <w:p w14:paraId="4F35DAC4" w14:textId="1534CFB3" w:rsidR="0055605A" w:rsidRPr="00134CE8" w:rsidRDefault="001E0903" w:rsidP="00C81F40">
            <w:pPr>
              <w:pStyle w:val="af6"/>
              <w:jc w:val="left"/>
              <w:rPr>
                <w:rFonts w:ascii="Calibri" w:hAnsi="Calibri"/>
                <w:color w:val="auto"/>
                <w:highlight w:val="red"/>
              </w:rPr>
            </w:pPr>
            <w:r w:rsidRPr="00623F1E">
              <w:rPr>
                <w:rFonts w:ascii="Calibri" w:hAnsi="Calibri" w:hint="eastAsia"/>
              </w:rPr>
              <w:t>根据区域地下水流向，采用自定义法，</w:t>
            </w:r>
            <w:r w:rsidR="001C75DE" w:rsidRPr="001C75DE">
              <w:rPr>
                <w:rFonts w:ascii="Calibri" w:hAnsi="Calibri" w:hint="eastAsia"/>
              </w:rPr>
              <w:t>确定评价范围为</w:t>
            </w:r>
            <w:r w:rsidR="001C75DE" w:rsidRPr="001C75DE">
              <w:rPr>
                <w:rFonts w:ascii="Calibri" w:hAnsi="Calibri" w:hint="eastAsia"/>
              </w:rPr>
              <w:t>6.18km</w:t>
            </w:r>
            <w:r w:rsidR="001C75DE" w:rsidRPr="001C75DE">
              <w:rPr>
                <w:rFonts w:ascii="Calibri" w:hAnsi="Calibri" w:hint="eastAsia"/>
                <w:vertAlign w:val="superscript"/>
              </w:rPr>
              <w:t>2</w:t>
            </w:r>
            <w:r w:rsidR="001C75DE" w:rsidRPr="001C75DE">
              <w:rPr>
                <w:rFonts w:ascii="Calibri" w:hAnsi="Calibri" w:hint="eastAsia"/>
              </w:rPr>
              <w:t>，具体范围为：东至兰南</w:t>
            </w:r>
            <w:r w:rsidR="00C81F40">
              <w:rPr>
                <w:rFonts w:ascii="Calibri" w:hAnsi="Calibri" w:hint="eastAsia"/>
              </w:rPr>
              <w:t>高速</w:t>
            </w:r>
            <w:r w:rsidR="001C75DE" w:rsidRPr="001C75DE">
              <w:rPr>
                <w:rFonts w:ascii="Calibri" w:hAnsi="Calibri" w:hint="eastAsia"/>
              </w:rPr>
              <w:t>，西至规划化工一路，北至平孟铁路线，项目侧游向南迁移</w:t>
            </w:r>
            <w:r w:rsidR="001C75DE" w:rsidRPr="001C75DE">
              <w:rPr>
                <w:rFonts w:ascii="Calibri" w:hAnsi="Calibri" w:hint="eastAsia"/>
              </w:rPr>
              <w:t>440m</w:t>
            </w:r>
            <w:r w:rsidR="001C75DE">
              <w:rPr>
                <w:rFonts w:ascii="Calibri" w:hAnsi="Calibri" w:hint="eastAsia"/>
              </w:rPr>
              <w:t>。</w:t>
            </w:r>
          </w:p>
        </w:tc>
      </w:tr>
      <w:tr w:rsidR="0055605A" w:rsidRPr="00A964FF" w14:paraId="4E18B4D5" w14:textId="77777777" w:rsidTr="00264ACC">
        <w:trPr>
          <w:trHeight w:val="340"/>
        </w:trPr>
        <w:tc>
          <w:tcPr>
            <w:tcW w:w="378" w:type="pct"/>
            <w:tcBorders>
              <w:right w:val="single" w:sz="4" w:space="0" w:color="auto"/>
            </w:tcBorders>
            <w:vAlign w:val="center"/>
          </w:tcPr>
          <w:p w14:paraId="56DD4927" w14:textId="77777777" w:rsidR="0055605A" w:rsidRPr="00A964FF" w:rsidRDefault="0055605A" w:rsidP="003E0795">
            <w:pPr>
              <w:pStyle w:val="af3"/>
              <w:rPr>
                <w:color w:val="auto"/>
              </w:rPr>
            </w:pPr>
            <w:r w:rsidRPr="00A964FF">
              <w:rPr>
                <w:color w:val="auto"/>
              </w:rPr>
              <w:t>4</w:t>
            </w:r>
          </w:p>
        </w:tc>
        <w:tc>
          <w:tcPr>
            <w:tcW w:w="950" w:type="pct"/>
            <w:tcBorders>
              <w:left w:val="single" w:sz="4" w:space="0" w:color="auto"/>
            </w:tcBorders>
            <w:vAlign w:val="center"/>
          </w:tcPr>
          <w:p w14:paraId="024C36B6" w14:textId="77777777" w:rsidR="0055605A" w:rsidRPr="00A964FF" w:rsidRDefault="0055605A" w:rsidP="003E0795">
            <w:pPr>
              <w:pStyle w:val="af3"/>
              <w:rPr>
                <w:color w:val="auto"/>
              </w:rPr>
            </w:pPr>
            <w:r w:rsidRPr="00A964FF">
              <w:rPr>
                <w:color w:val="auto"/>
              </w:rPr>
              <w:t>声环境</w:t>
            </w:r>
          </w:p>
        </w:tc>
        <w:tc>
          <w:tcPr>
            <w:tcW w:w="634" w:type="pct"/>
            <w:tcBorders>
              <w:right w:val="single" w:sz="4" w:space="0" w:color="auto"/>
            </w:tcBorders>
            <w:vAlign w:val="center"/>
          </w:tcPr>
          <w:p w14:paraId="40DB99EA" w14:textId="77777777" w:rsidR="0055605A" w:rsidRPr="00A964FF" w:rsidRDefault="00134CE8" w:rsidP="003E0795">
            <w:pPr>
              <w:pStyle w:val="af3"/>
              <w:rPr>
                <w:color w:val="auto"/>
              </w:rPr>
            </w:pPr>
            <w:r>
              <w:rPr>
                <w:rFonts w:hint="eastAsia"/>
                <w:color w:val="auto"/>
              </w:rPr>
              <w:t>三</w:t>
            </w:r>
            <w:r w:rsidR="0055605A" w:rsidRPr="00A964FF">
              <w:rPr>
                <w:color w:val="auto"/>
              </w:rPr>
              <w:t>级</w:t>
            </w:r>
          </w:p>
        </w:tc>
        <w:tc>
          <w:tcPr>
            <w:tcW w:w="3038" w:type="pct"/>
            <w:tcBorders>
              <w:left w:val="single" w:sz="4" w:space="0" w:color="auto"/>
            </w:tcBorders>
            <w:vAlign w:val="center"/>
          </w:tcPr>
          <w:p w14:paraId="43AC8FE2" w14:textId="77777777" w:rsidR="0055605A" w:rsidRPr="00134CE8" w:rsidRDefault="0055605A" w:rsidP="003E0795">
            <w:pPr>
              <w:pStyle w:val="af6"/>
              <w:rPr>
                <w:rFonts w:ascii="Calibri" w:hAnsi="Calibri"/>
                <w:color w:val="auto"/>
                <w:highlight w:val="red"/>
              </w:rPr>
            </w:pPr>
            <w:r w:rsidRPr="007143A7">
              <w:rPr>
                <w:rFonts w:ascii="Calibri"/>
                <w:color w:val="auto"/>
              </w:rPr>
              <w:t>厂界四周</w:t>
            </w:r>
            <w:smartTag w:uri="urn:schemas-microsoft-com:office:smarttags" w:element="chmetcnv">
              <w:smartTagPr>
                <w:attr w:name="UnitName" w:val="m"/>
                <w:attr w:name="SourceValue" w:val="200"/>
                <w:attr w:name="HasSpace" w:val="False"/>
                <w:attr w:name="Negative" w:val="False"/>
                <w:attr w:name="NumberType" w:val="1"/>
                <w:attr w:name="TCSC" w:val="0"/>
              </w:smartTagPr>
              <w:r w:rsidRPr="007143A7">
                <w:rPr>
                  <w:rFonts w:ascii="Calibri" w:hAnsi="Calibri"/>
                  <w:color w:val="auto"/>
                </w:rPr>
                <w:t>200m</w:t>
              </w:r>
            </w:smartTag>
            <w:r w:rsidRPr="007143A7">
              <w:rPr>
                <w:rFonts w:ascii="Calibri"/>
                <w:color w:val="auto"/>
              </w:rPr>
              <w:t>以内的区域</w:t>
            </w:r>
          </w:p>
        </w:tc>
      </w:tr>
      <w:tr w:rsidR="00632C49" w:rsidRPr="00A964FF" w14:paraId="7D43B1C4" w14:textId="77777777" w:rsidTr="00264ACC">
        <w:trPr>
          <w:trHeight w:val="340"/>
        </w:trPr>
        <w:tc>
          <w:tcPr>
            <w:tcW w:w="378" w:type="pct"/>
            <w:tcBorders>
              <w:right w:val="single" w:sz="4" w:space="0" w:color="auto"/>
            </w:tcBorders>
            <w:vAlign w:val="center"/>
          </w:tcPr>
          <w:p w14:paraId="24DE2027" w14:textId="77777777" w:rsidR="00632C49" w:rsidRPr="00A964FF" w:rsidRDefault="00632C49" w:rsidP="003E0795">
            <w:pPr>
              <w:pStyle w:val="af3"/>
              <w:rPr>
                <w:color w:val="auto"/>
              </w:rPr>
            </w:pPr>
            <w:r w:rsidRPr="00A964FF">
              <w:rPr>
                <w:rFonts w:hint="eastAsia"/>
                <w:color w:val="auto"/>
              </w:rPr>
              <w:t>5</w:t>
            </w:r>
          </w:p>
        </w:tc>
        <w:tc>
          <w:tcPr>
            <w:tcW w:w="950" w:type="pct"/>
            <w:tcBorders>
              <w:left w:val="single" w:sz="4" w:space="0" w:color="auto"/>
            </w:tcBorders>
            <w:vAlign w:val="center"/>
          </w:tcPr>
          <w:p w14:paraId="78844AA9" w14:textId="77777777" w:rsidR="00632C49" w:rsidRPr="00A964FF" w:rsidRDefault="00632C49" w:rsidP="003E0795">
            <w:pPr>
              <w:pStyle w:val="af3"/>
              <w:rPr>
                <w:color w:val="auto"/>
              </w:rPr>
            </w:pPr>
            <w:r w:rsidRPr="00A964FF">
              <w:rPr>
                <w:rFonts w:hint="eastAsia"/>
                <w:color w:val="auto"/>
              </w:rPr>
              <w:t>土壤环境</w:t>
            </w:r>
          </w:p>
        </w:tc>
        <w:tc>
          <w:tcPr>
            <w:tcW w:w="634" w:type="pct"/>
            <w:tcBorders>
              <w:right w:val="single" w:sz="4" w:space="0" w:color="auto"/>
            </w:tcBorders>
            <w:vAlign w:val="center"/>
          </w:tcPr>
          <w:p w14:paraId="06313514" w14:textId="77777777" w:rsidR="00632C49" w:rsidRPr="00A964FF" w:rsidRDefault="00273AAB" w:rsidP="003E0795">
            <w:pPr>
              <w:pStyle w:val="af3"/>
              <w:rPr>
                <w:color w:val="auto"/>
              </w:rPr>
            </w:pPr>
            <w:r w:rsidRPr="00A964FF">
              <w:rPr>
                <w:rFonts w:hint="eastAsia"/>
                <w:color w:val="auto"/>
              </w:rPr>
              <w:t>二级</w:t>
            </w:r>
          </w:p>
        </w:tc>
        <w:tc>
          <w:tcPr>
            <w:tcW w:w="3038" w:type="pct"/>
            <w:tcBorders>
              <w:left w:val="single" w:sz="4" w:space="0" w:color="auto"/>
            </w:tcBorders>
            <w:vAlign w:val="center"/>
          </w:tcPr>
          <w:p w14:paraId="28CDE129" w14:textId="77777777" w:rsidR="00632C49" w:rsidRPr="00134CE8" w:rsidRDefault="00273AAB" w:rsidP="001E0903">
            <w:pPr>
              <w:pStyle w:val="af6"/>
              <w:rPr>
                <w:rFonts w:ascii="Calibri"/>
                <w:color w:val="auto"/>
                <w:highlight w:val="red"/>
              </w:rPr>
            </w:pPr>
            <w:r w:rsidRPr="007143A7">
              <w:rPr>
                <w:rFonts w:ascii="Calibri" w:hint="eastAsia"/>
                <w:color w:val="auto"/>
                <w:szCs w:val="21"/>
              </w:rPr>
              <w:t>厂址及周围</w:t>
            </w:r>
            <w:r w:rsidR="007143A7" w:rsidRPr="007143A7">
              <w:rPr>
                <w:rFonts w:ascii="Calibri" w:hint="eastAsia"/>
                <w:color w:val="auto"/>
                <w:szCs w:val="21"/>
              </w:rPr>
              <w:t>200</w:t>
            </w:r>
            <w:r w:rsidRPr="007143A7">
              <w:rPr>
                <w:rFonts w:ascii="Calibri" w:hint="eastAsia"/>
                <w:color w:val="auto"/>
                <w:szCs w:val="21"/>
              </w:rPr>
              <w:t>m</w:t>
            </w:r>
            <w:r w:rsidRPr="007143A7">
              <w:rPr>
                <w:rFonts w:ascii="Calibri" w:hint="eastAsia"/>
                <w:color w:val="auto"/>
                <w:szCs w:val="21"/>
              </w:rPr>
              <w:t>范围内</w:t>
            </w:r>
          </w:p>
        </w:tc>
      </w:tr>
      <w:tr w:rsidR="001E0903" w:rsidRPr="00A964FF" w14:paraId="4EE25FB2" w14:textId="77777777" w:rsidTr="001E0903">
        <w:trPr>
          <w:trHeight w:val="618"/>
        </w:trPr>
        <w:tc>
          <w:tcPr>
            <w:tcW w:w="378" w:type="pct"/>
            <w:tcBorders>
              <w:right w:val="single" w:sz="4" w:space="0" w:color="auto"/>
            </w:tcBorders>
            <w:vAlign w:val="center"/>
          </w:tcPr>
          <w:p w14:paraId="29079E2C" w14:textId="77777777" w:rsidR="001E0903" w:rsidRPr="00A964FF" w:rsidRDefault="001E0903" w:rsidP="003E0795">
            <w:pPr>
              <w:pStyle w:val="af3"/>
              <w:rPr>
                <w:color w:val="auto"/>
              </w:rPr>
            </w:pPr>
            <w:r w:rsidRPr="00A964FF">
              <w:rPr>
                <w:rFonts w:hint="eastAsia"/>
                <w:color w:val="auto"/>
              </w:rPr>
              <w:t>6</w:t>
            </w:r>
          </w:p>
        </w:tc>
        <w:tc>
          <w:tcPr>
            <w:tcW w:w="950" w:type="pct"/>
            <w:tcBorders>
              <w:left w:val="single" w:sz="4" w:space="0" w:color="auto"/>
            </w:tcBorders>
            <w:vAlign w:val="center"/>
          </w:tcPr>
          <w:p w14:paraId="244BBC1A" w14:textId="77777777" w:rsidR="001E0903" w:rsidRPr="00A964FF" w:rsidRDefault="001E0903" w:rsidP="003E0795">
            <w:pPr>
              <w:pStyle w:val="af3"/>
              <w:rPr>
                <w:color w:val="auto"/>
              </w:rPr>
            </w:pPr>
            <w:r w:rsidRPr="00A964FF">
              <w:rPr>
                <w:color w:val="auto"/>
              </w:rPr>
              <w:t>环境风险</w:t>
            </w:r>
          </w:p>
        </w:tc>
        <w:tc>
          <w:tcPr>
            <w:tcW w:w="634" w:type="pct"/>
            <w:tcBorders>
              <w:right w:val="single" w:sz="4" w:space="0" w:color="auto"/>
            </w:tcBorders>
            <w:vAlign w:val="center"/>
          </w:tcPr>
          <w:p w14:paraId="087BFB2E" w14:textId="77777777" w:rsidR="001E0903" w:rsidRPr="007143A7" w:rsidRDefault="001E0903" w:rsidP="003E0795">
            <w:pPr>
              <w:pStyle w:val="af3"/>
              <w:rPr>
                <w:color w:val="auto"/>
              </w:rPr>
            </w:pPr>
            <w:r>
              <w:rPr>
                <w:rFonts w:hint="eastAsia"/>
                <w:color w:val="auto"/>
              </w:rPr>
              <w:t>简单</w:t>
            </w:r>
            <w:r>
              <w:rPr>
                <w:color w:val="auto"/>
              </w:rPr>
              <w:t>分析</w:t>
            </w:r>
          </w:p>
        </w:tc>
        <w:tc>
          <w:tcPr>
            <w:tcW w:w="3038" w:type="pct"/>
            <w:tcBorders>
              <w:left w:val="single" w:sz="4" w:space="0" w:color="auto"/>
            </w:tcBorders>
            <w:vAlign w:val="center"/>
          </w:tcPr>
          <w:p w14:paraId="175FBD00" w14:textId="77777777" w:rsidR="001E0903" w:rsidRPr="007143A7" w:rsidRDefault="001E0903" w:rsidP="00CA2479">
            <w:pPr>
              <w:pStyle w:val="af6"/>
              <w:rPr>
                <w:rFonts w:ascii="Calibri" w:hAnsi="Calibri"/>
                <w:color w:val="auto"/>
              </w:rPr>
            </w:pPr>
            <w:r w:rsidRPr="007143A7">
              <w:rPr>
                <w:rFonts w:ascii="Calibri"/>
                <w:color w:val="auto"/>
              </w:rPr>
              <w:t>以事故源为中心，周围半径为</w:t>
            </w:r>
            <w:r w:rsidR="00CA2479">
              <w:rPr>
                <w:rFonts w:ascii="Calibri" w:hAnsi="Calibri"/>
                <w:color w:val="auto"/>
              </w:rPr>
              <w:t>5</w:t>
            </w:r>
            <w:r w:rsidRPr="007143A7">
              <w:rPr>
                <w:rFonts w:ascii="Calibri" w:hAnsi="Calibri"/>
                <w:color w:val="auto"/>
              </w:rPr>
              <w:t>km</w:t>
            </w:r>
            <w:r w:rsidRPr="007143A7">
              <w:rPr>
                <w:rFonts w:ascii="Calibri"/>
                <w:color w:val="auto"/>
              </w:rPr>
              <w:t>范围的</w:t>
            </w:r>
            <w:r>
              <w:rPr>
                <w:rFonts w:ascii="Calibri" w:hint="eastAsia"/>
                <w:color w:val="auto"/>
              </w:rPr>
              <w:t>圆形</w:t>
            </w:r>
            <w:r w:rsidRPr="007143A7">
              <w:rPr>
                <w:rFonts w:ascii="Calibri"/>
                <w:color w:val="auto"/>
              </w:rPr>
              <w:t>区域</w:t>
            </w:r>
          </w:p>
        </w:tc>
      </w:tr>
      <w:tr w:rsidR="00264ACC" w:rsidRPr="00A964FF" w14:paraId="1EEE66EE" w14:textId="77777777" w:rsidTr="00264ACC">
        <w:trPr>
          <w:trHeight w:val="340"/>
        </w:trPr>
        <w:tc>
          <w:tcPr>
            <w:tcW w:w="378" w:type="pct"/>
            <w:tcBorders>
              <w:right w:val="single" w:sz="4" w:space="0" w:color="auto"/>
            </w:tcBorders>
            <w:vAlign w:val="center"/>
          </w:tcPr>
          <w:p w14:paraId="5D7E206E" w14:textId="77777777" w:rsidR="00264ACC" w:rsidRPr="00A964FF" w:rsidRDefault="00264ACC" w:rsidP="003E0795">
            <w:pPr>
              <w:pStyle w:val="af3"/>
              <w:rPr>
                <w:color w:val="auto"/>
              </w:rPr>
            </w:pPr>
            <w:r w:rsidRPr="00A964FF">
              <w:rPr>
                <w:rFonts w:hint="eastAsia"/>
                <w:color w:val="auto"/>
              </w:rPr>
              <w:t>7</w:t>
            </w:r>
          </w:p>
        </w:tc>
        <w:tc>
          <w:tcPr>
            <w:tcW w:w="950" w:type="pct"/>
            <w:tcBorders>
              <w:left w:val="single" w:sz="4" w:space="0" w:color="auto"/>
            </w:tcBorders>
            <w:vAlign w:val="center"/>
          </w:tcPr>
          <w:p w14:paraId="4AAF03F6" w14:textId="77777777" w:rsidR="00264ACC" w:rsidRPr="00A964FF" w:rsidRDefault="000A78AD" w:rsidP="003E0795">
            <w:pPr>
              <w:pStyle w:val="af3"/>
              <w:rPr>
                <w:color w:val="auto"/>
              </w:rPr>
            </w:pPr>
            <w:r w:rsidRPr="00A964FF">
              <w:rPr>
                <w:rFonts w:hint="eastAsia"/>
                <w:color w:val="auto"/>
              </w:rPr>
              <w:t>生态环境</w:t>
            </w:r>
          </w:p>
        </w:tc>
        <w:tc>
          <w:tcPr>
            <w:tcW w:w="634" w:type="pct"/>
            <w:tcBorders>
              <w:right w:val="single" w:sz="4" w:space="0" w:color="auto"/>
            </w:tcBorders>
            <w:vAlign w:val="center"/>
          </w:tcPr>
          <w:p w14:paraId="3737D2B4" w14:textId="77777777" w:rsidR="00264ACC" w:rsidRPr="00A964FF" w:rsidRDefault="001E0903" w:rsidP="003E0795">
            <w:pPr>
              <w:pStyle w:val="af3"/>
              <w:rPr>
                <w:color w:val="auto"/>
              </w:rPr>
            </w:pPr>
            <w:r>
              <w:rPr>
                <w:rFonts w:hint="eastAsia"/>
                <w:color w:val="auto"/>
              </w:rPr>
              <w:t>简单分析</w:t>
            </w:r>
          </w:p>
        </w:tc>
        <w:tc>
          <w:tcPr>
            <w:tcW w:w="3038" w:type="pct"/>
            <w:tcBorders>
              <w:left w:val="single" w:sz="4" w:space="0" w:color="auto"/>
            </w:tcBorders>
            <w:vAlign w:val="center"/>
          </w:tcPr>
          <w:p w14:paraId="739B112A" w14:textId="77777777" w:rsidR="00264ACC" w:rsidRPr="00134CE8" w:rsidRDefault="000A78AD" w:rsidP="003E0795">
            <w:pPr>
              <w:pStyle w:val="af6"/>
              <w:rPr>
                <w:rFonts w:ascii="Calibri"/>
                <w:color w:val="auto"/>
                <w:highlight w:val="red"/>
              </w:rPr>
            </w:pPr>
            <w:r w:rsidRPr="007143A7">
              <w:rPr>
                <w:rFonts w:ascii="Calibri" w:hint="eastAsia"/>
                <w:color w:val="auto"/>
              </w:rPr>
              <w:t>项目占地范围内</w:t>
            </w:r>
          </w:p>
        </w:tc>
      </w:tr>
    </w:tbl>
    <w:p w14:paraId="3AEF76E0" w14:textId="77777777" w:rsidR="0055605A" w:rsidRPr="00A964FF" w:rsidRDefault="0055605A" w:rsidP="0055605A">
      <w:pPr>
        <w:pStyle w:val="2"/>
        <w:spacing w:before="200" w:after="100"/>
        <w:rPr>
          <w:rFonts w:ascii="Calibri" w:hAnsi="Calibri"/>
          <w:bCs/>
          <w:color w:val="auto"/>
          <w:szCs w:val="28"/>
        </w:rPr>
      </w:pPr>
      <w:bookmarkStart w:id="37" w:name="_Toc112999901"/>
      <w:r w:rsidRPr="00134CE8">
        <w:rPr>
          <w:rFonts w:ascii="Calibri" w:hAnsi="Calibri"/>
          <w:bCs/>
          <w:color w:val="auto"/>
          <w:szCs w:val="28"/>
        </w:rPr>
        <w:t>1.</w:t>
      </w:r>
      <w:r w:rsidRPr="00134CE8">
        <w:rPr>
          <w:rFonts w:ascii="Calibri" w:hAnsi="Calibri" w:hint="eastAsia"/>
          <w:bCs/>
          <w:color w:val="auto"/>
          <w:szCs w:val="28"/>
        </w:rPr>
        <w:t>7</w:t>
      </w:r>
      <w:r w:rsidRPr="00134CE8">
        <w:rPr>
          <w:rFonts w:ascii="Calibri" w:hAnsi="Calibri"/>
          <w:bCs/>
          <w:color w:val="auto"/>
          <w:szCs w:val="28"/>
        </w:rPr>
        <w:t>环境保护目标</w:t>
      </w:r>
      <w:bookmarkEnd w:id="36"/>
      <w:bookmarkEnd w:id="37"/>
    </w:p>
    <w:p w14:paraId="0FB054FB" w14:textId="77777777" w:rsidR="005C4969" w:rsidRPr="00A81745" w:rsidRDefault="0055605A" w:rsidP="00A81745">
      <w:pPr>
        <w:spacing w:line="520" w:lineRule="exact"/>
        <w:ind w:firstLine="482"/>
        <w:rPr>
          <w:rFonts w:ascii="Calibri"/>
          <w:color w:val="auto"/>
          <w:sz w:val="24"/>
        </w:rPr>
      </w:pPr>
      <w:r w:rsidRPr="00A964FF">
        <w:rPr>
          <w:rFonts w:ascii="Calibri" w:hint="eastAsia"/>
          <w:color w:val="auto"/>
          <w:sz w:val="24"/>
        </w:rPr>
        <w:t>根据</w:t>
      </w:r>
      <w:r w:rsidRPr="00A964FF">
        <w:rPr>
          <w:rFonts w:ascii="Calibri"/>
          <w:color w:val="auto"/>
          <w:sz w:val="24"/>
        </w:rPr>
        <w:t>工程性质和周围环境特征，确定评价范围内的主要</w:t>
      </w:r>
      <w:r w:rsidRPr="00A964FF">
        <w:rPr>
          <w:rFonts w:ascii="Calibri" w:hint="eastAsia"/>
          <w:color w:val="auto"/>
          <w:sz w:val="24"/>
        </w:rPr>
        <w:t>村庄</w:t>
      </w:r>
      <w:r w:rsidR="00273AAB" w:rsidRPr="00A964FF">
        <w:rPr>
          <w:rFonts w:ascii="Calibri" w:hint="eastAsia"/>
          <w:color w:val="auto"/>
          <w:sz w:val="24"/>
        </w:rPr>
        <w:t>、居民小区、企事业单位</w:t>
      </w:r>
      <w:r w:rsidRPr="00A964FF">
        <w:rPr>
          <w:rFonts w:ascii="Calibri"/>
          <w:color w:val="auto"/>
          <w:sz w:val="24"/>
        </w:rPr>
        <w:t>作为环境保护对象</w:t>
      </w:r>
      <w:r w:rsidRPr="00A964FF">
        <w:rPr>
          <w:rFonts w:ascii="Calibri" w:hint="eastAsia"/>
          <w:color w:val="auto"/>
          <w:sz w:val="24"/>
        </w:rPr>
        <w:t>，</w:t>
      </w:r>
      <w:r w:rsidRPr="00A964FF">
        <w:rPr>
          <w:rFonts w:ascii="Calibri" w:hAnsi="Calibri"/>
          <w:color w:val="auto"/>
          <w:sz w:val="24"/>
        </w:rPr>
        <w:t>主要保护目标及其保护级别根据环境功能区划确定，</w:t>
      </w:r>
      <w:r w:rsidRPr="00A964FF">
        <w:rPr>
          <w:rFonts w:ascii="Calibri" w:hAnsi="Calibri" w:hint="eastAsia"/>
          <w:color w:val="auto"/>
          <w:sz w:val="24"/>
        </w:rPr>
        <w:t>其中环境空</w:t>
      </w:r>
      <w:r w:rsidRPr="00A81745">
        <w:rPr>
          <w:rFonts w:ascii="Calibri" w:hint="eastAsia"/>
          <w:color w:val="auto"/>
          <w:sz w:val="24"/>
        </w:rPr>
        <w:t>气</w:t>
      </w:r>
      <w:r w:rsidR="00A81745" w:rsidRPr="00A81745">
        <w:rPr>
          <w:rFonts w:ascii="Calibri" w:hint="eastAsia"/>
          <w:color w:val="auto"/>
          <w:sz w:val="24"/>
        </w:rPr>
        <w:t>以厂区为中心，边长为</w:t>
      </w:r>
      <w:r w:rsidR="00A81745" w:rsidRPr="00A81745">
        <w:rPr>
          <w:rFonts w:ascii="Calibri" w:hint="eastAsia"/>
          <w:color w:val="auto"/>
          <w:sz w:val="24"/>
        </w:rPr>
        <w:t>5km</w:t>
      </w:r>
      <w:r w:rsidR="00A81745">
        <w:rPr>
          <w:rFonts w:ascii="Calibri" w:hint="eastAsia"/>
          <w:color w:val="auto"/>
          <w:sz w:val="24"/>
        </w:rPr>
        <w:t>的正方形区域范围内</w:t>
      </w:r>
      <w:r w:rsidRPr="00A81745">
        <w:rPr>
          <w:rFonts w:ascii="Calibri" w:hint="eastAsia"/>
          <w:color w:val="auto"/>
          <w:sz w:val="24"/>
        </w:rPr>
        <w:t>保护目标</w:t>
      </w:r>
      <w:r w:rsidRPr="00A964FF">
        <w:rPr>
          <w:rFonts w:ascii="Calibri" w:hAnsi="Calibri"/>
          <w:color w:val="auto"/>
          <w:sz w:val="24"/>
        </w:rPr>
        <w:t>详见表</w:t>
      </w:r>
      <w:r w:rsidRPr="00A964FF">
        <w:rPr>
          <w:rFonts w:ascii="Calibri" w:hAnsi="Calibri"/>
          <w:color w:val="auto"/>
          <w:sz w:val="24"/>
        </w:rPr>
        <w:t>1</w:t>
      </w:r>
      <w:r w:rsidR="001E0BBA" w:rsidRPr="00A964FF">
        <w:rPr>
          <w:rFonts w:ascii="Calibri" w:hAnsi="Calibri" w:hint="eastAsia"/>
          <w:color w:val="auto"/>
          <w:sz w:val="24"/>
        </w:rPr>
        <w:t>.7</w:t>
      </w:r>
      <w:r w:rsidR="000A78AD" w:rsidRPr="00A964FF">
        <w:rPr>
          <w:rFonts w:ascii="Calibri" w:hAnsi="Calibri" w:hint="eastAsia"/>
          <w:color w:val="auto"/>
          <w:sz w:val="24"/>
        </w:rPr>
        <w:t>-</w:t>
      </w:r>
      <w:r w:rsidR="001E0BBA" w:rsidRPr="00A964FF">
        <w:rPr>
          <w:rFonts w:ascii="Calibri" w:hAnsi="Calibri" w:hint="eastAsia"/>
          <w:color w:val="auto"/>
          <w:sz w:val="24"/>
        </w:rPr>
        <w:t>1</w:t>
      </w:r>
      <w:r w:rsidRPr="00A964FF">
        <w:rPr>
          <w:rFonts w:ascii="Calibri" w:hAnsi="Calibri" w:hint="eastAsia"/>
          <w:color w:val="auto"/>
          <w:sz w:val="24"/>
        </w:rPr>
        <w:t>，地表水、地下水</w:t>
      </w:r>
      <w:r w:rsidR="00824529" w:rsidRPr="00A964FF">
        <w:rPr>
          <w:rFonts w:ascii="Calibri" w:hAnsi="Calibri" w:hint="eastAsia"/>
          <w:color w:val="auto"/>
          <w:sz w:val="24"/>
        </w:rPr>
        <w:t>、土壤</w:t>
      </w:r>
      <w:r w:rsidRPr="00A964FF">
        <w:rPr>
          <w:rFonts w:ascii="Calibri" w:hAnsi="Calibri" w:hint="eastAsia"/>
          <w:color w:val="auto"/>
          <w:sz w:val="24"/>
        </w:rPr>
        <w:t>环保目标表</w:t>
      </w:r>
      <w:r w:rsidRPr="00A964FF">
        <w:rPr>
          <w:rFonts w:ascii="Calibri" w:hAnsi="Calibri" w:hint="eastAsia"/>
          <w:color w:val="auto"/>
          <w:sz w:val="24"/>
        </w:rPr>
        <w:t>1</w:t>
      </w:r>
      <w:r w:rsidR="001E0BBA" w:rsidRPr="00A964FF">
        <w:rPr>
          <w:rFonts w:ascii="Calibri" w:hAnsi="Calibri" w:hint="eastAsia"/>
          <w:color w:val="auto"/>
          <w:sz w:val="24"/>
        </w:rPr>
        <w:t>.7</w:t>
      </w:r>
      <w:r w:rsidRPr="00A964FF">
        <w:rPr>
          <w:rFonts w:ascii="Calibri" w:hAnsi="Calibri" w:hint="eastAsia"/>
          <w:color w:val="auto"/>
          <w:sz w:val="24"/>
        </w:rPr>
        <w:t>-</w:t>
      </w:r>
      <w:r w:rsidR="001E0BBA" w:rsidRPr="00A964FF">
        <w:rPr>
          <w:rFonts w:ascii="Calibri" w:hAnsi="Calibri" w:hint="eastAsia"/>
          <w:color w:val="auto"/>
          <w:sz w:val="24"/>
        </w:rPr>
        <w:t>2</w:t>
      </w:r>
      <w:r w:rsidRPr="00A964FF">
        <w:rPr>
          <w:rFonts w:ascii="Calibri" w:hAnsi="Calibri"/>
          <w:color w:val="auto"/>
          <w:sz w:val="24"/>
        </w:rPr>
        <w:t>。</w:t>
      </w:r>
    </w:p>
    <w:p w14:paraId="7AB8E058" w14:textId="77777777" w:rsidR="00A81745" w:rsidRDefault="00A81745" w:rsidP="000E33B8">
      <w:pPr>
        <w:spacing w:line="520" w:lineRule="exact"/>
        <w:ind w:firstLineChars="200" w:firstLine="480"/>
        <w:rPr>
          <w:rFonts w:ascii="Calibri" w:eastAsia="黑体"/>
          <w:color w:val="auto"/>
          <w:sz w:val="24"/>
        </w:rPr>
      </w:pPr>
    </w:p>
    <w:p w14:paraId="218394E5" w14:textId="77777777" w:rsidR="00A81745" w:rsidRDefault="00A81745" w:rsidP="00CE7021">
      <w:pPr>
        <w:spacing w:line="520" w:lineRule="exact"/>
        <w:rPr>
          <w:rFonts w:ascii="Calibri" w:eastAsia="黑体"/>
          <w:color w:val="auto"/>
          <w:sz w:val="24"/>
        </w:rPr>
      </w:pPr>
    </w:p>
    <w:p w14:paraId="4FF3D1A8" w14:textId="77777777" w:rsidR="00747088" w:rsidRDefault="00747088" w:rsidP="00CE7021">
      <w:pPr>
        <w:spacing w:line="520" w:lineRule="exact"/>
        <w:rPr>
          <w:rFonts w:ascii="Calibri" w:eastAsia="黑体"/>
          <w:color w:val="auto"/>
          <w:sz w:val="24"/>
        </w:rPr>
      </w:pPr>
    </w:p>
    <w:p w14:paraId="57BF0A46" w14:textId="77777777" w:rsidR="00747088" w:rsidRDefault="00747088" w:rsidP="00CE7021">
      <w:pPr>
        <w:spacing w:line="520" w:lineRule="exact"/>
        <w:rPr>
          <w:rFonts w:ascii="Calibri" w:eastAsia="黑体"/>
          <w:color w:val="auto"/>
          <w:sz w:val="24"/>
        </w:rPr>
      </w:pPr>
    </w:p>
    <w:p w14:paraId="56F9FD04" w14:textId="77777777" w:rsidR="00747088" w:rsidRDefault="00747088" w:rsidP="00CE7021">
      <w:pPr>
        <w:spacing w:line="520" w:lineRule="exact"/>
        <w:rPr>
          <w:rFonts w:ascii="Calibri" w:eastAsia="黑体"/>
          <w:color w:val="auto"/>
          <w:sz w:val="24"/>
        </w:rPr>
      </w:pPr>
    </w:p>
    <w:p w14:paraId="4F6C5745" w14:textId="77777777" w:rsidR="0055605A" w:rsidRPr="00A964FF" w:rsidRDefault="0055605A" w:rsidP="000E33B8">
      <w:pPr>
        <w:spacing w:line="520" w:lineRule="exact"/>
        <w:ind w:firstLineChars="200" w:firstLine="480"/>
        <w:rPr>
          <w:rFonts w:ascii="Calibri" w:eastAsia="黑体" w:hAnsi="Calibri"/>
          <w:bCs/>
          <w:color w:val="auto"/>
          <w:sz w:val="24"/>
        </w:rPr>
      </w:pPr>
      <w:r w:rsidRPr="00A964FF">
        <w:rPr>
          <w:rFonts w:ascii="Calibri" w:eastAsia="黑体"/>
          <w:color w:val="auto"/>
          <w:sz w:val="24"/>
        </w:rPr>
        <w:lastRenderedPageBreak/>
        <w:t>表</w:t>
      </w:r>
      <w:r w:rsidRPr="00A964FF">
        <w:rPr>
          <w:rFonts w:ascii="Calibri" w:eastAsia="黑体" w:hAnsi="Calibri"/>
          <w:color w:val="auto"/>
          <w:sz w:val="24"/>
        </w:rPr>
        <w:t>1</w:t>
      </w:r>
      <w:r w:rsidR="001E0BBA" w:rsidRPr="00A964FF">
        <w:rPr>
          <w:rFonts w:ascii="Calibri" w:eastAsia="黑体" w:hAnsi="Calibri" w:hint="eastAsia"/>
          <w:color w:val="auto"/>
          <w:sz w:val="24"/>
        </w:rPr>
        <w:t>.7</w:t>
      </w:r>
      <w:r w:rsidRPr="00A964FF">
        <w:rPr>
          <w:rFonts w:ascii="Calibri" w:eastAsia="黑体" w:hAnsi="Calibri"/>
          <w:color w:val="auto"/>
          <w:sz w:val="24"/>
        </w:rPr>
        <w:t>-</w:t>
      </w:r>
      <w:r w:rsidR="001E0BBA" w:rsidRPr="00A964FF">
        <w:rPr>
          <w:rFonts w:ascii="Calibri" w:eastAsia="黑体" w:hAnsi="Calibri" w:hint="eastAsia"/>
          <w:color w:val="auto"/>
          <w:sz w:val="24"/>
        </w:rPr>
        <w:t>1</w:t>
      </w:r>
      <w:r w:rsidRPr="00A964FF">
        <w:rPr>
          <w:rFonts w:ascii="Calibri" w:eastAsia="黑体" w:hAnsi="Calibri"/>
          <w:color w:val="auto"/>
          <w:sz w:val="24"/>
        </w:rPr>
        <w:t xml:space="preserve">       </w:t>
      </w:r>
      <w:r w:rsidR="00034B7B"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00F96231" w:rsidRPr="00A964FF">
        <w:rPr>
          <w:rFonts w:ascii="Calibri" w:eastAsia="黑体" w:hAnsi="Calibri" w:hint="eastAsia"/>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bCs/>
          <w:color w:val="auto"/>
          <w:sz w:val="24"/>
        </w:rPr>
        <w:t>环境</w:t>
      </w:r>
      <w:r w:rsidRPr="00A964FF">
        <w:rPr>
          <w:rFonts w:ascii="Calibri" w:eastAsia="黑体" w:hAnsi="Calibri" w:hint="eastAsia"/>
          <w:bCs/>
          <w:color w:val="auto"/>
          <w:sz w:val="24"/>
        </w:rPr>
        <w:t>空气</w:t>
      </w:r>
      <w:r w:rsidRPr="00A964FF">
        <w:rPr>
          <w:rFonts w:ascii="Calibri" w:eastAsia="黑体" w:hAnsi="Calibri"/>
          <w:bCs/>
          <w:color w:val="auto"/>
          <w:sz w:val="24"/>
        </w:rPr>
        <w:t>保护目标</w:t>
      </w:r>
      <w:r w:rsidR="00824529" w:rsidRPr="00A964FF">
        <w:rPr>
          <w:rFonts w:ascii="Calibri" w:eastAsia="黑体" w:hAnsi="Calibri" w:hint="eastAsia"/>
          <w:bCs/>
          <w:color w:val="auto"/>
          <w:sz w:val="24"/>
        </w:rPr>
        <w:t>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07"/>
        <w:gridCol w:w="1547"/>
        <w:gridCol w:w="1547"/>
        <w:gridCol w:w="1315"/>
        <w:gridCol w:w="1088"/>
        <w:gridCol w:w="849"/>
        <w:gridCol w:w="639"/>
        <w:gridCol w:w="1208"/>
      </w:tblGrid>
      <w:tr w:rsidR="00DC78F1" w:rsidRPr="00A964FF" w14:paraId="610E7513" w14:textId="77777777" w:rsidTr="0080219B">
        <w:trPr>
          <w:trHeight w:val="340"/>
        </w:trPr>
        <w:tc>
          <w:tcPr>
            <w:tcW w:w="291" w:type="pct"/>
            <w:vMerge w:val="restart"/>
            <w:vAlign w:val="center"/>
          </w:tcPr>
          <w:p w14:paraId="0A5CE396"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序号</w:t>
            </w:r>
          </w:p>
        </w:tc>
        <w:tc>
          <w:tcPr>
            <w:tcW w:w="1778" w:type="pct"/>
            <w:gridSpan w:val="2"/>
            <w:vAlign w:val="center"/>
          </w:tcPr>
          <w:p w14:paraId="2893AC16"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坐标</w:t>
            </w:r>
          </w:p>
        </w:tc>
        <w:tc>
          <w:tcPr>
            <w:tcW w:w="756" w:type="pct"/>
            <w:vMerge w:val="restart"/>
            <w:tcBorders>
              <w:right w:val="single" w:sz="2" w:space="0" w:color="auto"/>
            </w:tcBorders>
            <w:vAlign w:val="center"/>
          </w:tcPr>
          <w:p w14:paraId="443DA37B"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保护</w:t>
            </w:r>
            <w:r w:rsidRPr="00A964FF">
              <w:rPr>
                <w:rFonts w:ascii="Calibri" w:hAnsi="Calibri" w:hint="eastAsia"/>
                <w:color w:val="auto"/>
                <w:szCs w:val="21"/>
              </w:rPr>
              <w:t>对象</w:t>
            </w:r>
          </w:p>
        </w:tc>
        <w:tc>
          <w:tcPr>
            <w:tcW w:w="625" w:type="pct"/>
            <w:vMerge w:val="restart"/>
            <w:tcBorders>
              <w:left w:val="single" w:sz="2" w:space="0" w:color="auto"/>
            </w:tcBorders>
            <w:vAlign w:val="center"/>
          </w:tcPr>
          <w:p w14:paraId="0BB57736"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保护内容</w:t>
            </w:r>
          </w:p>
          <w:p w14:paraId="4BAAF7B5"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（人）</w:t>
            </w:r>
          </w:p>
        </w:tc>
        <w:tc>
          <w:tcPr>
            <w:tcW w:w="488" w:type="pct"/>
            <w:vMerge w:val="restart"/>
            <w:vAlign w:val="center"/>
          </w:tcPr>
          <w:p w14:paraId="78EDB138"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环境</w:t>
            </w:r>
          </w:p>
          <w:p w14:paraId="51B4A2B6"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功能区</w:t>
            </w:r>
          </w:p>
        </w:tc>
        <w:tc>
          <w:tcPr>
            <w:tcW w:w="367" w:type="pct"/>
            <w:vMerge w:val="restart"/>
            <w:vAlign w:val="center"/>
          </w:tcPr>
          <w:p w14:paraId="19D2F337"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方向</w:t>
            </w:r>
          </w:p>
        </w:tc>
        <w:tc>
          <w:tcPr>
            <w:tcW w:w="694" w:type="pct"/>
            <w:vMerge w:val="restart"/>
            <w:vAlign w:val="center"/>
          </w:tcPr>
          <w:p w14:paraId="4CC94951"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与项目用地边界</w:t>
            </w:r>
            <w:r w:rsidRPr="00A964FF">
              <w:rPr>
                <w:rFonts w:ascii="Calibri" w:hAnsi="Calibri"/>
                <w:color w:val="auto"/>
                <w:szCs w:val="21"/>
              </w:rPr>
              <w:t>距离</w:t>
            </w:r>
            <w:r w:rsidRPr="00A964FF">
              <w:rPr>
                <w:rFonts w:ascii="Calibri" w:hAnsi="Calibri" w:hint="eastAsia"/>
                <w:color w:val="auto"/>
                <w:szCs w:val="21"/>
              </w:rPr>
              <w:t>（</w:t>
            </w:r>
            <w:r w:rsidRPr="00A964FF">
              <w:rPr>
                <w:rFonts w:ascii="Calibri" w:hAnsi="Calibri" w:hint="eastAsia"/>
                <w:color w:val="auto"/>
                <w:szCs w:val="21"/>
              </w:rPr>
              <w:t>m</w:t>
            </w:r>
            <w:r w:rsidRPr="00A964FF">
              <w:rPr>
                <w:rFonts w:ascii="Calibri" w:hAnsi="Calibri" w:hint="eastAsia"/>
                <w:color w:val="auto"/>
                <w:szCs w:val="21"/>
              </w:rPr>
              <w:t>）</w:t>
            </w:r>
          </w:p>
        </w:tc>
      </w:tr>
      <w:tr w:rsidR="00DC78F1" w:rsidRPr="00A964FF" w14:paraId="084345B1" w14:textId="77777777" w:rsidTr="0080219B">
        <w:trPr>
          <w:trHeight w:val="340"/>
        </w:trPr>
        <w:tc>
          <w:tcPr>
            <w:tcW w:w="291" w:type="pct"/>
            <w:vMerge/>
            <w:vAlign w:val="center"/>
          </w:tcPr>
          <w:p w14:paraId="02AE5324" w14:textId="77777777" w:rsidR="0055605A" w:rsidRPr="00A964FF" w:rsidRDefault="0055605A" w:rsidP="003E0795">
            <w:pPr>
              <w:jc w:val="center"/>
              <w:rPr>
                <w:rFonts w:ascii="Calibri" w:hAnsi="Calibri"/>
                <w:color w:val="auto"/>
                <w:szCs w:val="21"/>
              </w:rPr>
            </w:pPr>
          </w:p>
        </w:tc>
        <w:tc>
          <w:tcPr>
            <w:tcW w:w="889" w:type="pct"/>
            <w:vAlign w:val="center"/>
          </w:tcPr>
          <w:p w14:paraId="74B83B81"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X</w:t>
            </w:r>
          </w:p>
        </w:tc>
        <w:tc>
          <w:tcPr>
            <w:tcW w:w="889" w:type="pct"/>
            <w:vAlign w:val="center"/>
          </w:tcPr>
          <w:p w14:paraId="5ACFC33E"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Y</w:t>
            </w:r>
          </w:p>
        </w:tc>
        <w:tc>
          <w:tcPr>
            <w:tcW w:w="756" w:type="pct"/>
            <w:vMerge/>
            <w:tcBorders>
              <w:right w:val="single" w:sz="2" w:space="0" w:color="auto"/>
            </w:tcBorders>
            <w:vAlign w:val="center"/>
          </w:tcPr>
          <w:p w14:paraId="6F820A58" w14:textId="77777777" w:rsidR="0055605A" w:rsidRPr="00A964FF" w:rsidRDefault="0055605A" w:rsidP="003E0795">
            <w:pPr>
              <w:jc w:val="center"/>
              <w:rPr>
                <w:rFonts w:ascii="Calibri" w:hAnsi="Calibri"/>
                <w:color w:val="auto"/>
                <w:szCs w:val="21"/>
              </w:rPr>
            </w:pPr>
          </w:p>
        </w:tc>
        <w:tc>
          <w:tcPr>
            <w:tcW w:w="625" w:type="pct"/>
            <w:vMerge/>
            <w:tcBorders>
              <w:left w:val="single" w:sz="2" w:space="0" w:color="auto"/>
            </w:tcBorders>
            <w:vAlign w:val="center"/>
          </w:tcPr>
          <w:p w14:paraId="6AD3D697" w14:textId="77777777" w:rsidR="0055605A" w:rsidRPr="00A964FF" w:rsidRDefault="0055605A" w:rsidP="003E0795">
            <w:pPr>
              <w:jc w:val="center"/>
              <w:rPr>
                <w:rFonts w:ascii="Calibri" w:hAnsi="Calibri"/>
                <w:color w:val="auto"/>
                <w:szCs w:val="21"/>
              </w:rPr>
            </w:pPr>
          </w:p>
        </w:tc>
        <w:tc>
          <w:tcPr>
            <w:tcW w:w="488" w:type="pct"/>
            <w:vMerge/>
            <w:vAlign w:val="center"/>
          </w:tcPr>
          <w:p w14:paraId="5BDC4C2D" w14:textId="77777777" w:rsidR="0055605A" w:rsidRPr="00A964FF" w:rsidRDefault="0055605A" w:rsidP="003E0795">
            <w:pPr>
              <w:jc w:val="center"/>
              <w:rPr>
                <w:rFonts w:ascii="Calibri" w:hAnsi="Calibri"/>
                <w:color w:val="auto"/>
                <w:szCs w:val="21"/>
              </w:rPr>
            </w:pPr>
          </w:p>
        </w:tc>
        <w:tc>
          <w:tcPr>
            <w:tcW w:w="367" w:type="pct"/>
            <w:vMerge/>
            <w:vAlign w:val="center"/>
          </w:tcPr>
          <w:p w14:paraId="2D6334CA" w14:textId="77777777" w:rsidR="0055605A" w:rsidRPr="00A964FF" w:rsidRDefault="0055605A" w:rsidP="003E0795">
            <w:pPr>
              <w:jc w:val="center"/>
              <w:rPr>
                <w:rFonts w:ascii="Calibri" w:hAnsi="Calibri"/>
                <w:color w:val="auto"/>
                <w:szCs w:val="21"/>
              </w:rPr>
            </w:pPr>
          </w:p>
        </w:tc>
        <w:tc>
          <w:tcPr>
            <w:tcW w:w="694" w:type="pct"/>
            <w:vMerge/>
            <w:vAlign w:val="center"/>
          </w:tcPr>
          <w:p w14:paraId="51ECE613" w14:textId="77777777" w:rsidR="0055605A" w:rsidRPr="00A964FF" w:rsidRDefault="0055605A" w:rsidP="003E0795">
            <w:pPr>
              <w:jc w:val="center"/>
              <w:rPr>
                <w:rFonts w:ascii="Calibri" w:hAnsi="Calibri"/>
                <w:color w:val="auto"/>
                <w:szCs w:val="21"/>
              </w:rPr>
            </w:pPr>
          </w:p>
        </w:tc>
      </w:tr>
      <w:tr w:rsidR="0080219B" w:rsidRPr="00A964FF" w14:paraId="1986FEB8" w14:textId="77777777" w:rsidTr="0080219B">
        <w:trPr>
          <w:trHeight w:val="340"/>
        </w:trPr>
        <w:tc>
          <w:tcPr>
            <w:tcW w:w="291" w:type="pct"/>
            <w:vAlign w:val="center"/>
          </w:tcPr>
          <w:p w14:paraId="17D5422A"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1</w:t>
            </w:r>
          </w:p>
        </w:tc>
        <w:tc>
          <w:tcPr>
            <w:tcW w:w="889" w:type="pct"/>
            <w:vAlign w:val="center"/>
          </w:tcPr>
          <w:p w14:paraId="6B57F4D6" w14:textId="77777777" w:rsidR="0080219B" w:rsidRPr="00623F1E" w:rsidRDefault="0080219B" w:rsidP="0080219B">
            <w:pPr>
              <w:jc w:val="center"/>
              <w:rPr>
                <w:rFonts w:ascii="Calibri" w:hAnsi="Calibri"/>
              </w:rPr>
            </w:pPr>
            <w:r w:rsidRPr="00623F1E">
              <w:rPr>
                <w:rFonts w:ascii="Calibri" w:hAnsi="Calibri"/>
              </w:rPr>
              <w:t>113.447761640</w:t>
            </w:r>
          </w:p>
        </w:tc>
        <w:tc>
          <w:tcPr>
            <w:tcW w:w="889" w:type="pct"/>
            <w:vAlign w:val="center"/>
          </w:tcPr>
          <w:p w14:paraId="28589CB2" w14:textId="77777777" w:rsidR="0080219B" w:rsidRPr="00623F1E" w:rsidRDefault="0080219B" w:rsidP="0080219B">
            <w:pPr>
              <w:jc w:val="center"/>
              <w:rPr>
                <w:rFonts w:ascii="Calibri" w:hAnsi="Calibri"/>
              </w:rPr>
            </w:pPr>
            <w:r w:rsidRPr="00623F1E">
              <w:rPr>
                <w:rFonts w:ascii="Calibri" w:hAnsi="Calibri"/>
              </w:rPr>
              <w:t>33.674184570</w:t>
            </w:r>
          </w:p>
        </w:tc>
        <w:tc>
          <w:tcPr>
            <w:tcW w:w="756" w:type="pct"/>
            <w:tcBorders>
              <w:right w:val="single" w:sz="2" w:space="0" w:color="auto"/>
            </w:tcBorders>
            <w:vAlign w:val="center"/>
          </w:tcPr>
          <w:p w14:paraId="6A802251" w14:textId="77777777" w:rsidR="0080219B" w:rsidRPr="00623F1E" w:rsidRDefault="0080219B" w:rsidP="0080219B">
            <w:pPr>
              <w:jc w:val="center"/>
              <w:rPr>
                <w:rFonts w:ascii="Calibri" w:hAnsi="Calibri"/>
                <w:szCs w:val="21"/>
              </w:rPr>
            </w:pPr>
            <w:r w:rsidRPr="00623F1E">
              <w:rPr>
                <w:rFonts w:ascii="Calibri" w:hAnsi="Calibri" w:hint="eastAsia"/>
                <w:szCs w:val="21"/>
              </w:rPr>
              <w:t>杨庄</w:t>
            </w:r>
          </w:p>
        </w:tc>
        <w:tc>
          <w:tcPr>
            <w:tcW w:w="625" w:type="pct"/>
            <w:tcBorders>
              <w:left w:val="single" w:sz="2" w:space="0" w:color="auto"/>
            </w:tcBorders>
            <w:vAlign w:val="center"/>
          </w:tcPr>
          <w:p w14:paraId="50B16C78" w14:textId="77777777" w:rsidR="0080219B" w:rsidRPr="00623F1E" w:rsidRDefault="0080219B" w:rsidP="0080219B">
            <w:pPr>
              <w:jc w:val="center"/>
              <w:rPr>
                <w:rFonts w:ascii="Calibri" w:hAnsi="Calibri"/>
                <w:szCs w:val="21"/>
              </w:rPr>
            </w:pPr>
            <w:r w:rsidRPr="00623F1E">
              <w:rPr>
                <w:rFonts w:ascii="Calibri" w:hAnsi="Calibri" w:hint="eastAsia"/>
                <w:szCs w:val="21"/>
              </w:rPr>
              <w:t>280</w:t>
            </w:r>
          </w:p>
        </w:tc>
        <w:tc>
          <w:tcPr>
            <w:tcW w:w="488" w:type="pct"/>
            <w:vAlign w:val="center"/>
          </w:tcPr>
          <w:p w14:paraId="419B18C7" w14:textId="77777777" w:rsidR="0080219B" w:rsidRPr="00A964FF" w:rsidRDefault="0080219B" w:rsidP="0080219B">
            <w:pPr>
              <w:jc w:val="center"/>
              <w:rPr>
                <w:rFonts w:ascii="Calibri" w:hAnsi="Calibri" w:cs="Times New Roman"/>
                <w:color w:val="auto"/>
                <w:szCs w:val="21"/>
              </w:rPr>
            </w:pPr>
            <w:r w:rsidRPr="00A964FF">
              <w:rPr>
                <w:rFonts w:ascii="Calibri" w:hAnsi="Calibri" w:hint="eastAsia"/>
                <w:color w:val="auto"/>
                <w:szCs w:val="21"/>
              </w:rPr>
              <w:t>二类区</w:t>
            </w:r>
          </w:p>
        </w:tc>
        <w:tc>
          <w:tcPr>
            <w:tcW w:w="367" w:type="pct"/>
            <w:vAlign w:val="center"/>
          </w:tcPr>
          <w:p w14:paraId="76125452"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3839B950"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553</w:t>
            </w:r>
          </w:p>
        </w:tc>
      </w:tr>
      <w:tr w:rsidR="0080219B" w:rsidRPr="00A964FF" w14:paraId="074578F4" w14:textId="77777777" w:rsidTr="0080219B">
        <w:trPr>
          <w:trHeight w:val="340"/>
        </w:trPr>
        <w:tc>
          <w:tcPr>
            <w:tcW w:w="291" w:type="pct"/>
            <w:vAlign w:val="center"/>
          </w:tcPr>
          <w:p w14:paraId="6AE68559"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2</w:t>
            </w:r>
          </w:p>
        </w:tc>
        <w:tc>
          <w:tcPr>
            <w:tcW w:w="889" w:type="pct"/>
            <w:vAlign w:val="center"/>
          </w:tcPr>
          <w:p w14:paraId="2896A37D" w14:textId="77777777" w:rsidR="0080219B" w:rsidRPr="00623F1E" w:rsidRDefault="0080219B" w:rsidP="0080219B">
            <w:pPr>
              <w:jc w:val="center"/>
              <w:rPr>
                <w:rFonts w:ascii="Calibri" w:hAnsi="Calibri"/>
              </w:rPr>
            </w:pPr>
            <w:r w:rsidRPr="00623F1E">
              <w:rPr>
                <w:rFonts w:ascii="Calibri" w:hAnsi="Calibri"/>
              </w:rPr>
              <w:t>113.443942175</w:t>
            </w:r>
          </w:p>
        </w:tc>
        <w:tc>
          <w:tcPr>
            <w:tcW w:w="889" w:type="pct"/>
            <w:vAlign w:val="center"/>
          </w:tcPr>
          <w:p w14:paraId="360ACB80" w14:textId="77777777" w:rsidR="0080219B" w:rsidRPr="00623F1E" w:rsidRDefault="0080219B" w:rsidP="0080219B">
            <w:pPr>
              <w:jc w:val="center"/>
              <w:rPr>
                <w:rFonts w:ascii="Calibri" w:hAnsi="Calibri"/>
              </w:rPr>
            </w:pPr>
            <w:r w:rsidRPr="00623F1E">
              <w:rPr>
                <w:rFonts w:ascii="Calibri" w:hAnsi="Calibri"/>
              </w:rPr>
              <w:t>33.670836287</w:t>
            </w:r>
          </w:p>
        </w:tc>
        <w:tc>
          <w:tcPr>
            <w:tcW w:w="756" w:type="pct"/>
            <w:tcBorders>
              <w:right w:val="single" w:sz="2" w:space="0" w:color="auto"/>
            </w:tcBorders>
            <w:vAlign w:val="center"/>
          </w:tcPr>
          <w:p w14:paraId="572DC637" w14:textId="77777777" w:rsidR="0080219B" w:rsidRPr="00623F1E" w:rsidRDefault="0080219B" w:rsidP="0080219B">
            <w:pPr>
              <w:jc w:val="center"/>
              <w:rPr>
                <w:rFonts w:ascii="Calibri" w:hAnsi="Calibri"/>
                <w:szCs w:val="21"/>
              </w:rPr>
            </w:pPr>
            <w:r w:rsidRPr="00623F1E">
              <w:rPr>
                <w:rFonts w:ascii="Calibri" w:hAnsi="Calibri" w:hint="eastAsia"/>
                <w:szCs w:val="21"/>
              </w:rPr>
              <w:t>周庄</w:t>
            </w:r>
          </w:p>
        </w:tc>
        <w:tc>
          <w:tcPr>
            <w:tcW w:w="625" w:type="pct"/>
            <w:tcBorders>
              <w:left w:val="single" w:sz="2" w:space="0" w:color="auto"/>
            </w:tcBorders>
            <w:vAlign w:val="center"/>
          </w:tcPr>
          <w:p w14:paraId="121A0838" w14:textId="77777777" w:rsidR="0080219B" w:rsidRPr="00623F1E" w:rsidRDefault="0080219B" w:rsidP="0080219B">
            <w:pPr>
              <w:jc w:val="center"/>
              <w:rPr>
                <w:rFonts w:ascii="Calibri" w:hAnsi="Calibri"/>
                <w:szCs w:val="21"/>
              </w:rPr>
            </w:pPr>
            <w:r w:rsidRPr="00623F1E">
              <w:rPr>
                <w:rFonts w:ascii="Calibri" w:hAnsi="Calibri" w:hint="eastAsia"/>
                <w:szCs w:val="21"/>
              </w:rPr>
              <w:t>170</w:t>
            </w:r>
          </w:p>
        </w:tc>
        <w:tc>
          <w:tcPr>
            <w:tcW w:w="488" w:type="pct"/>
            <w:vAlign w:val="center"/>
          </w:tcPr>
          <w:p w14:paraId="0BBA16D3"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7D0A6541"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w:t>
            </w:r>
          </w:p>
        </w:tc>
        <w:tc>
          <w:tcPr>
            <w:tcW w:w="694" w:type="pct"/>
            <w:vAlign w:val="center"/>
          </w:tcPr>
          <w:p w14:paraId="12DB6F31"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890</w:t>
            </w:r>
          </w:p>
        </w:tc>
      </w:tr>
      <w:tr w:rsidR="0080219B" w:rsidRPr="00A964FF" w14:paraId="59ECDE97" w14:textId="77777777" w:rsidTr="0080219B">
        <w:trPr>
          <w:trHeight w:val="340"/>
        </w:trPr>
        <w:tc>
          <w:tcPr>
            <w:tcW w:w="291" w:type="pct"/>
            <w:vAlign w:val="center"/>
          </w:tcPr>
          <w:p w14:paraId="0F3DED6E"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3</w:t>
            </w:r>
          </w:p>
        </w:tc>
        <w:tc>
          <w:tcPr>
            <w:tcW w:w="889" w:type="pct"/>
            <w:vAlign w:val="center"/>
          </w:tcPr>
          <w:p w14:paraId="55CA3EB2" w14:textId="77777777" w:rsidR="0080219B" w:rsidRPr="00623F1E" w:rsidRDefault="0080219B" w:rsidP="0080219B">
            <w:pPr>
              <w:jc w:val="center"/>
              <w:rPr>
                <w:rFonts w:ascii="Calibri" w:hAnsi="Calibri"/>
              </w:rPr>
            </w:pPr>
            <w:r w:rsidRPr="00623F1E">
              <w:rPr>
                <w:rFonts w:ascii="Calibri" w:hAnsi="Calibri"/>
              </w:rPr>
              <w:t>113.442912206</w:t>
            </w:r>
          </w:p>
        </w:tc>
        <w:tc>
          <w:tcPr>
            <w:tcW w:w="889" w:type="pct"/>
            <w:vAlign w:val="center"/>
          </w:tcPr>
          <w:p w14:paraId="4AD4132C" w14:textId="77777777" w:rsidR="0080219B" w:rsidRPr="00623F1E" w:rsidRDefault="0080219B" w:rsidP="0080219B">
            <w:pPr>
              <w:jc w:val="center"/>
              <w:rPr>
                <w:rFonts w:ascii="Calibri" w:hAnsi="Calibri"/>
              </w:rPr>
            </w:pPr>
            <w:r w:rsidRPr="00623F1E">
              <w:rPr>
                <w:rFonts w:ascii="Calibri" w:hAnsi="Calibri"/>
              </w:rPr>
              <w:t>33.666996762</w:t>
            </w:r>
          </w:p>
        </w:tc>
        <w:tc>
          <w:tcPr>
            <w:tcW w:w="756" w:type="pct"/>
            <w:tcBorders>
              <w:right w:val="single" w:sz="2" w:space="0" w:color="auto"/>
            </w:tcBorders>
            <w:vAlign w:val="center"/>
          </w:tcPr>
          <w:p w14:paraId="44F05706" w14:textId="77777777" w:rsidR="0080219B" w:rsidRPr="00623F1E" w:rsidRDefault="0080219B" w:rsidP="0080219B">
            <w:pPr>
              <w:jc w:val="center"/>
              <w:rPr>
                <w:rFonts w:ascii="Calibri" w:hAnsi="Calibri"/>
                <w:szCs w:val="21"/>
              </w:rPr>
            </w:pPr>
            <w:r w:rsidRPr="00623F1E">
              <w:rPr>
                <w:rFonts w:ascii="Calibri" w:hAnsi="Calibri" w:hint="eastAsia"/>
                <w:szCs w:val="21"/>
              </w:rPr>
              <w:t>尚庄</w:t>
            </w:r>
          </w:p>
        </w:tc>
        <w:tc>
          <w:tcPr>
            <w:tcW w:w="625" w:type="pct"/>
            <w:tcBorders>
              <w:left w:val="single" w:sz="2" w:space="0" w:color="auto"/>
            </w:tcBorders>
            <w:vAlign w:val="center"/>
          </w:tcPr>
          <w:p w14:paraId="53476B6D" w14:textId="77777777" w:rsidR="0080219B" w:rsidRPr="00623F1E" w:rsidRDefault="0080219B" w:rsidP="0080219B">
            <w:pPr>
              <w:jc w:val="center"/>
              <w:rPr>
                <w:rFonts w:ascii="Calibri" w:hAnsi="Calibri"/>
                <w:szCs w:val="21"/>
              </w:rPr>
            </w:pPr>
            <w:r w:rsidRPr="00623F1E">
              <w:rPr>
                <w:rFonts w:ascii="Calibri" w:hAnsi="Calibri" w:hint="eastAsia"/>
                <w:szCs w:val="21"/>
              </w:rPr>
              <w:t>320</w:t>
            </w:r>
          </w:p>
        </w:tc>
        <w:tc>
          <w:tcPr>
            <w:tcW w:w="488" w:type="pct"/>
            <w:vAlign w:val="center"/>
          </w:tcPr>
          <w:p w14:paraId="75F1242A"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3F054ADB"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694" w:type="pct"/>
            <w:vAlign w:val="center"/>
          </w:tcPr>
          <w:p w14:paraId="4915871A"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1415</w:t>
            </w:r>
          </w:p>
        </w:tc>
      </w:tr>
      <w:tr w:rsidR="0080219B" w:rsidRPr="00A964FF" w14:paraId="4D68E728" w14:textId="77777777" w:rsidTr="0080219B">
        <w:trPr>
          <w:trHeight w:val="340"/>
        </w:trPr>
        <w:tc>
          <w:tcPr>
            <w:tcW w:w="291" w:type="pct"/>
            <w:vAlign w:val="center"/>
          </w:tcPr>
          <w:p w14:paraId="6F242124"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4</w:t>
            </w:r>
          </w:p>
        </w:tc>
        <w:tc>
          <w:tcPr>
            <w:tcW w:w="889" w:type="pct"/>
            <w:vAlign w:val="center"/>
          </w:tcPr>
          <w:p w14:paraId="58185D8F" w14:textId="77777777" w:rsidR="0080219B" w:rsidRPr="00623F1E" w:rsidRDefault="0080219B" w:rsidP="0080219B">
            <w:pPr>
              <w:jc w:val="center"/>
              <w:rPr>
                <w:rFonts w:ascii="Calibri" w:hAnsi="Calibri"/>
              </w:rPr>
            </w:pPr>
            <w:r w:rsidRPr="00623F1E">
              <w:rPr>
                <w:rFonts w:ascii="Calibri" w:hAnsi="Calibri"/>
              </w:rPr>
              <w:t>113.456473455</w:t>
            </w:r>
          </w:p>
        </w:tc>
        <w:tc>
          <w:tcPr>
            <w:tcW w:w="889" w:type="pct"/>
            <w:vAlign w:val="center"/>
          </w:tcPr>
          <w:p w14:paraId="39CA1DFA" w14:textId="77777777" w:rsidR="0080219B" w:rsidRPr="00623F1E" w:rsidRDefault="0080219B" w:rsidP="0080219B">
            <w:pPr>
              <w:jc w:val="center"/>
              <w:rPr>
                <w:rFonts w:ascii="Calibri" w:hAnsi="Calibri"/>
              </w:rPr>
            </w:pPr>
            <w:r w:rsidRPr="00623F1E">
              <w:rPr>
                <w:rFonts w:ascii="Calibri" w:hAnsi="Calibri"/>
              </w:rPr>
              <w:t>33.676889887</w:t>
            </w:r>
          </w:p>
        </w:tc>
        <w:tc>
          <w:tcPr>
            <w:tcW w:w="756" w:type="pct"/>
            <w:tcBorders>
              <w:right w:val="single" w:sz="2" w:space="0" w:color="auto"/>
            </w:tcBorders>
            <w:vAlign w:val="center"/>
          </w:tcPr>
          <w:p w14:paraId="19ECD04C" w14:textId="77777777" w:rsidR="0080219B" w:rsidRPr="00623F1E" w:rsidRDefault="0080219B" w:rsidP="0080219B">
            <w:pPr>
              <w:jc w:val="center"/>
              <w:rPr>
                <w:rFonts w:ascii="Calibri" w:hAnsi="Calibri"/>
                <w:szCs w:val="21"/>
              </w:rPr>
            </w:pPr>
            <w:r w:rsidRPr="00623F1E">
              <w:rPr>
                <w:rFonts w:ascii="Calibri" w:hAnsi="Calibri" w:hint="eastAsia"/>
                <w:szCs w:val="21"/>
              </w:rPr>
              <w:t>余营新村</w:t>
            </w:r>
          </w:p>
        </w:tc>
        <w:tc>
          <w:tcPr>
            <w:tcW w:w="625" w:type="pct"/>
            <w:tcBorders>
              <w:left w:val="single" w:sz="2" w:space="0" w:color="auto"/>
            </w:tcBorders>
            <w:vAlign w:val="center"/>
          </w:tcPr>
          <w:p w14:paraId="2CFFAA3C" w14:textId="77777777" w:rsidR="0080219B" w:rsidRPr="00623F1E" w:rsidRDefault="0080219B" w:rsidP="0080219B">
            <w:pPr>
              <w:jc w:val="center"/>
              <w:rPr>
                <w:rFonts w:ascii="Calibri" w:hAnsi="Calibri"/>
                <w:szCs w:val="21"/>
              </w:rPr>
            </w:pPr>
            <w:r w:rsidRPr="00623F1E">
              <w:rPr>
                <w:rFonts w:ascii="Calibri" w:hAnsi="Calibri" w:hint="eastAsia"/>
                <w:szCs w:val="21"/>
              </w:rPr>
              <w:t>340</w:t>
            </w:r>
          </w:p>
        </w:tc>
        <w:tc>
          <w:tcPr>
            <w:tcW w:w="488" w:type="pct"/>
            <w:vAlign w:val="center"/>
          </w:tcPr>
          <w:p w14:paraId="6732833B"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17E15A8F"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3B5BD78C"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1020</w:t>
            </w:r>
          </w:p>
        </w:tc>
      </w:tr>
      <w:tr w:rsidR="0080219B" w:rsidRPr="00A964FF" w14:paraId="3EBD98E2" w14:textId="77777777" w:rsidTr="0080219B">
        <w:trPr>
          <w:trHeight w:val="340"/>
        </w:trPr>
        <w:tc>
          <w:tcPr>
            <w:tcW w:w="291" w:type="pct"/>
            <w:vAlign w:val="center"/>
          </w:tcPr>
          <w:p w14:paraId="4C78C671" w14:textId="77777777" w:rsidR="0080219B" w:rsidRPr="00A964FF" w:rsidRDefault="0080219B" w:rsidP="0080219B">
            <w:pPr>
              <w:jc w:val="center"/>
              <w:rPr>
                <w:rFonts w:ascii="Calibri" w:hAnsi="Calibri"/>
                <w:color w:val="auto"/>
                <w:szCs w:val="21"/>
              </w:rPr>
            </w:pPr>
            <w:r>
              <w:rPr>
                <w:rFonts w:ascii="Calibri" w:hAnsi="Calibri" w:hint="eastAsia"/>
                <w:color w:val="auto"/>
                <w:szCs w:val="21"/>
              </w:rPr>
              <w:t>5</w:t>
            </w:r>
          </w:p>
        </w:tc>
        <w:tc>
          <w:tcPr>
            <w:tcW w:w="889" w:type="pct"/>
            <w:vAlign w:val="center"/>
          </w:tcPr>
          <w:p w14:paraId="5061BFE1" w14:textId="77777777" w:rsidR="0080219B" w:rsidRPr="00623F1E" w:rsidRDefault="0080219B" w:rsidP="0080219B">
            <w:pPr>
              <w:jc w:val="center"/>
              <w:rPr>
                <w:rFonts w:ascii="Calibri" w:hAnsi="Calibri"/>
              </w:rPr>
            </w:pPr>
            <w:r w:rsidRPr="00623F1E">
              <w:rPr>
                <w:rFonts w:ascii="Calibri" w:hAnsi="Calibri"/>
              </w:rPr>
              <w:t>113.460781083</w:t>
            </w:r>
          </w:p>
        </w:tc>
        <w:tc>
          <w:tcPr>
            <w:tcW w:w="889" w:type="pct"/>
            <w:vAlign w:val="center"/>
          </w:tcPr>
          <w:p w14:paraId="510B0AFB" w14:textId="77777777" w:rsidR="0080219B" w:rsidRPr="00623F1E" w:rsidRDefault="0080219B" w:rsidP="0080219B">
            <w:pPr>
              <w:jc w:val="center"/>
              <w:rPr>
                <w:rFonts w:ascii="Calibri" w:hAnsi="Calibri"/>
              </w:rPr>
            </w:pPr>
            <w:r w:rsidRPr="00623F1E">
              <w:rPr>
                <w:rFonts w:ascii="Calibri" w:hAnsi="Calibri"/>
              </w:rPr>
              <w:t>33.677785146</w:t>
            </w:r>
          </w:p>
        </w:tc>
        <w:tc>
          <w:tcPr>
            <w:tcW w:w="756" w:type="pct"/>
            <w:tcBorders>
              <w:right w:val="single" w:sz="2" w:space="0" w:color="auto"/>
            </w:tcBorders>
            <w:vAlign w:val="center"/>
          </w:tcPr>
          <w:p w14:paraId="2FB11CC5" w14:textId="77777777" w:rsidR="0080219B" w:rsidRPr="00623F1E" w:rsidRDefault="0080219B" w:rsidP="0080219B">
            <w:pPr>
              <w:jc w:val="center"/>
              <w:rPr>
                <w:rFonts w:ascii="Calibri" w:hAnsi="Calibri"/>
                <w:szCs w:val="21"/>
              </w:rPr>
            </w:pPr>
            <w:r w:rsidRPr="00623F1E">
              <w:rPr>
                <w:rFonts w:ascii="Calibri" w:hAnsi="Calibri" w:hint="eastAsia"/>
                <w:szCs w:val="21"/>
              </w:rPr>
              <w:t>余营村</w:t>
            </w:r>
          </w:p>
        </w:tc>
        <w:tc>
          <w:tcPr>
            <w:tcW w:w="625" w:type="pct"/>
            <w:tcBorders>
              <w:left w:val="single" w:sz="2" w:space="0" w:color="auto"/>
            </w:tcBorders>
            <w:vAlign w:val="center"/>
          </w:tcPr>
          <w:p w14:paraId="38A98663" w14:textId="77777777" w:rsidR="0080219B" w:rsidRPr="00623F1E" w:rsidRDefault="0080219B" w:rsidP="0080219B">
            <w:pPr>
              <w:jc w:val="center"/>
              <w:rPr>
                <w:rFonts w:ascii="Calibri" w:hAnsi="Calibri"/>
                <w:szCs w:val="21"/>
              </w:rPr>
            </w:pPr>
            <w:r w:rsidRPr="00623F1E">
              <w:rPr>
                <w:rFonts w:ascii="Calibri" w:hAnsi="Calibri" w:hint="eastAsia"/>
                <w:szCs w:val="21"/>
              </w:rPr>
              <w:t>1960</w:t>
            </w:r>
          </w:p>
        </w:tc>
        <w:tc>
          <w:tcPr>
            <w:tcW w:w="488" w:type="pct"/>
            <w:vAlign w:val="center"/>
          </w:tcPr>
          <w:p w14:paraId="5A954F1E"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2D0912DB"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5025370C"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1407</w:t>
            </w:r>
          </w:p>
        </w:tc>
      </w:tr>
      <w:tr w:rsidR="0080219B" w:rsidRPr="00A964FF" w14:paraId="0A8FA9D0" w14:textId="77777777" w:rsidTr="0080219B">
        <w:trPr>
          <w:trHeight w:val="340"/>
        </w:trPr>
        <w:tc>
          <w:tcPr>
            <w:tcW w:w="291" w:type="pct"/>
            <w:vAlign w:val="center"/>
          </w:tcPr>
          <w:p w14:paraId="0A9EE18F" w14:textId="77777777" w:rsidR="0080219B" w:rsidRPr="00A964FF" w:rsidRDefault="0080219B" w:rsidP="0080219B">
            <w:pPr>
              <w:jc w:val="center"/>
              <w:rPr>
                <w:rFonts w:ascii="Calibri" w:hAnsi="Calibri"/>
                <w:color w:val="auto"/>
                <w:szCs w:val="21"/>
              </w:rPr>
            </w:pPr>
            <w:r>
              <w:rPr>
                <w:rFonts w:ascii="Calibri" w:hAnsi="Calibri" w:hint="eastAsia"/>
                <w:color w:val="auto"/>
                <w:szCs w:val="21"/>
              </w:rPr>
              <w:t>6</w:t>
            </w:r>
          </w:p>
        </w:tc>
        <w:tc>
          <w:tcPr>
            <w:tcW w:w="889" w:type="pct"/>
            <w:vAlign w:val="center"/>
          </w:tcPr>
          <w:p w14:paraId="0C3FDB0F" w14:textId="77777777" w:rsidR="0080219B" w:rsidRPr="00623F1E" w:rsidRDefault="0080219B" w:rsidP="0080219B">
            <w:pPr>
              <w:jc w:val="center"/>
              <w:rPr>
                <w:rFonts w:ascii="Calibri" w:hAnsi="Calibri"/>
              </w:rPr>
            </w:pPr>
            <w:r w:rsidRPr="00623F1E">
              <w:rPr>
                <w:rFonts w:ascii="Calibri" w:hAnsi="Calibri"/>
              </w:rPr>
              <w:t>113.468425379</w:t>
            </w:r>
          </w:p>
        </w:tc>
        <w:tc>
          <w:tcPr>
            <w:tcW w:w="889" w:type="pct"/>
            <w:vAlign w:val="center"/>
          </w:tcPr>
          <w:p w14:paraId="08C37318" w14:textId="77777777" w:rsidR="0080219B" w:rsidRPr="00623F1E" w:rsidRDefault="0080219B" w:rsidP="0080219B">
            <w:pPr>
              <w:jc w:val="center"/>
              <w:rPr>
                <w:rFonts w:ascii="Calibri" w:hAnsi="Calibri"/>
              </w:rPr>
            </w:pPr>
            <w:r w:rsidRPr="00623F1E">
              <w:rPr>
                <w:rFonts w:ascii="Calibri" w:hAnsi="Calibri"/>
              </w:rPr>
              <w:t>33.678291619</w:t>
            </w:r>
          </w:p>
        </w:tc>
        <w:tc>
          <w:tcPr>
            <w:tcW w:w="756" w:type="pct"/>
            <w:tcBorders>
              <w:right w:val="single" w:sz="2" w:space="0" w:color="auto"/>
            </w:tcBorders>
            <w:vAlign w:val="center"/>
          </w:tcPr>
          <w:p w14:paraId="4D230C60" w14:textId="77777777" w:rsidR="0080219B" w:rsidRPr="00623F1E" w:rsidRDefault="0080219B" w:rsidP="0080219B">
            <w:pPr>
              <w:jc w:val="center"/>
              <w:rPr>
                <w:rFonts w:ascii="Calibri" w:hAnsi="Calibri"/>
                <w:szCs w:val="21"/>
              </w:rPr>
            </w:pPr>
            <w:r w:rsidRPr="00623F1E">
              <w:rPr>
                <w:rFonts w:ascii="Calibri" w:hAnsi="Calibri" w:hint="eastAsia"/>
                <w:szCs w:val="21"/>
              </w:rPr>
              <w:t>王营村</w:t>
            </w:r>
          </w:p>
        </w:tc>
        <w:tc>
          <w:tcPr>
            <w:tcW w:w="625" w:type="pct"/>
            <w:tcBorders>
              <w:left w:val="single" w:sz="2" w:space="0" w:color="auto"/>
            </w:tcBorders>
            <w:vAlign w:val="center"/>
          </w:tcPr>
          <w:p w14:paraId="549EA29B" w14:textId="77777777" w:rsidR="0080219B" w:rsidRPr="00623F1E" w:rsidRDefault="0080219B" w:rsidP="0080219B">
            <w:pPr>
              <w:jc w:val="center"/>
              <w:rPr>
                <w:rFonts w:ascii="Calibri" w:hAnsi="Calibri"/>
                <w:szCs w:val="21"/>
              </w:rPr>
            </w:pPr>
            <w:r w:rsidRPr="00623F1E">
              <w:rPr>
                <w:rFonts w:ascii="Calibri" w:hAnsi="Calibri" w:hint="eastAsia"/>
                <w:szCs w:val="21"/>
              </w:rPr>
              <w:t>1024</w:t>
            </w:r>
          </w:p>
        </w:tc>
        <w:tc>
          <w:tcPr>
            <w:tcW w:w="488" w:type="pct"/>
            <w:vAlign w:val="center"/>
          </w:tcPr>
          <w:p w14:paraId="64D0E514"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3CF12920"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0AC389F1"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1934</w:t>
            </w:r>
          </w:p>
        </w:tc>
      </w:tr>
      <w:tr w:rsidR="0080219B" w:rsidRPr="00A964FF" w14:paraId="06CD057F" w14:textId="77777777" w:rsidTr="0080219B">
        <w:trPr>
          <w:trHeight w:val="340"/>
        </w:trPr>
        <w:tc>
          <w:tcPr>
            <w:tcW w:w="291" w:type="pct"/>
            <w:vAlign w:val="center"/>
          </w:tcPr>
          <w:p w14:paraId="44723A13" w14:textId="77777777" w:rsidR="0080219B" w:rsidRPr="00A964FF" w:rsidRDefault="0080219B" w:rsidP="0080219B">
            <w:pPr>
              <w:jc w:val="center"/>
              <w:rPr>
                <w:rFonts w:ascii="Calibri" w:hAnsi="Calibri"/>
                <w:color w:val="auto"/>
                <w:szCs w:val="21"/>
              </w:rPr>
            </w:pPr>
            <w:r>
              <w:rPr>
                <w:rFonts w:ascii="Calibri" w:hAnsi="Calibri" w:hint="eastAsia"/>
                <w:color w:val="auto"/>
                <w:szCs w:val="21"/>
              </w:rPr>
              <w:t>7</w:t>
            </w:r>
          </w:p>
        </w:tc>
        <w:tc>
          <w:tcPr>
            <w:tcW w:w="889" w:type="pct"/>
            <w:vAlign w:val="center"/>
          </w:tcPr>
          <w:p w14:paraId="6D2AB681" w14:textId="77777777" w:rsidR="0080219B" w:rsidRPr="00623F1E" w:rsidRDefault="0080219B" w:rsidP="0080219B">
            <w:pPr>
              <w:jc w:val="center"/>
              <w:rPr>
                <w:rFonts w:ascii="Calibri" w:hAnsi="Calibri"/>
              </w:rPr>
            </w:pPr>
            <w:r w:rsidRPr="00623F1E">
              <w:rPr>
                <w:rFonts w:ascii="Calibri" w:hAnsi="Calibri"/>
              </w:rPr>
              <w:t>113.450400934</w:t>
            </w:r>
          </w:p>
        </w:tc>
        <w:tc>
          <w:tcPr>
            <w:tcW w:w="889" w:type="pct"/>
            <w:vAlign w:val="center"/>
          </w:tcPr>
          <w:p w14:paraId="1AA85745" w14:textId="77777777" w:rsidR="0080219B" w:rsidRPr="00623F1E" w:rsidRDefault="0080219B" w:rsidP="0080219B">
            <w:pPr>
              <w:jc w:val="center"/>
              <w:rPr>
                <w:rFonts w:ascii="Calibri" w:hAnsi="Calibri"/>
              </w:rPr>
            </w:pPr>
            <w:r w:rsidRPr="00623F1E">
              <w:rPr>
                <w:rFonts w:ascii="Calibri" w:hAnsi="Calibri"/>
              </w:rPr>
              <w:t>33.675318492</w:t>
            </w:r>
          </w:p>
        </w:tc>
        <w:tc>
          <w:tcPr>
            <w:tcW w:w="756" w:type="pct"/>
            <w:tcBorders>
              <w:right w:val="single" w:sz="2" w:space="0" w:color="auto"/>
            </w:tcBorders>
            <w:vAlign w:val="center"/>
          </w:tcPr>
          <w:p w14:paraId="4728B4D4" w14:textId="77777777" w:rsidR="0080219B" w:rsidRPr="00623F1E" w:rsidRDefault="0080219B" w:rsidP="0080219B">
            <w:pPr>
              <w:jc w:val="center"/>
              <w:rPr>
                <w:rFonts w:ascii="Calibri" w:hAnsi="Calibri"/>
                <w:szCs w:val="21"/>
              </w:rPr>
            </w:pPr>
            <w:r w:rsidRPr="00623F1E">
              <w:rPr>
                <w:rFonts w:ascii="Calibri" w:hAnsi="Calibri" w:hint="eastAsia"/>
                <w:szCs w:val="21"/>
              </w:rPr>
              <w:t>泥河张村</w:t>
            </w:r>
          </w:p>
        </w:tc>
        <w:tc>
          <w:tcPr>
            <w:tcW w:w="625" w:type="pct"/>
            <w:tcBorders>
              <w:left w:val="single" w:sz="2" w:space="0" w:color="auto"/>
            </w:tcBorders>
            <w:vAlign w:val="center"/>
          </w:tcPr>
          <w:p w14:paraId="7FADFCC8" w14:textId="77777777" w:rsidR="0080219B" w:rsidRPr="00623F1E" w:rsidRDefault="0080219B" w:rsidP="0080219B">
            <w:pPr>
              <w:jc w:val="center"/>
              <w:rPr>
                <w:rFonts w:ascii="Calibri" w:hAnsi="Calibri"/>
                <w:szCs w:val="21"/>
              </w:rPr>
            </w:pPr>
            <w:r w:rsidRPr="00623F1E">
              <w:rPr>
                <w:rFonts w:ascii="Calibri" w:hAnsi="Calibri" w:hint="eastAsia"/>
                <w:szCs w:val="21"/>
              </w:rPr>
              <w:t>1089</w:t>
            </w:r>
          </w:p>
        </w:tc>
        <w:tc>
          <w:tcPr>
            <w:tcW w:w="488" w:type="pct"/>
            <w:vAlign w:val="center"/>
          </w:tcPr>
          <w:p w14:paraId="50C787B5"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11ADF8C2"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5A2CE153"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556</w:t>
            </w:r>
          </w:p>
        </w:tc>
      </w:tr>
      <w:tr w:rsidR="0080219B" w:rsidRPr="00A964FF" w14:paraId="5B41D19E" w14:textId="77777777" w:rsidTr="0080219B">
        <w:trPr>
          <w:trHeight w:val="340"/>
        </w:trPr>
        <w:tc>
          <w:tcPr>
            <w:tcW w:w="291" w:type="pct"/>
            <w:vAlign w:val="center"/>
          </w:tcPr>
          <w:p w14:paraId="02589289" w14:textId="77777777" w:rsidR="0080219B" w:rsidRPr="00A964FF" w:rsidRDefault="0080219B" w:rsidP="0080219B">
            <w:pPr>
              <w:jc w:val="center"/>
              <w:rPr>
                <w:rFonts w:ascii="Calibri" w:hAnsi="Calibri"/>
                <w:color w:val="auto"/>
                <w:szCs w:val="21"/>
              </w:rPr>
            </w:pPr>
            <w:r>
              <w:rPr>
                <w:rFonts w:ascii="Calibri" w:hAnsi="Calibri" w:hint="eastAsia"/>
                <w:color w:val="auto"/>
                <w:szCs w:val="21"/>
              </w:rPr>
              <w:t>8</w:t>
            </w:r>
          </w:p>
        </w:tc>
        <w:tc>
          <w:tcPr>
            <w:tcW w:w="889" w:type="pct"/>
            <w:vAlign w:val="center"/>
          </w:tcPr>
          <w:p w14:paraId="1AFA4A7E" w14:textId="77777777" w:rsidR="0080219B" w:rsidRPr="00623F1E" w:rsidRDefault="0080219B" w:rsidP="0080219B">
            <w:pPr>
              <w:jc w:val="center"/>
              <w:rPr>
                <w:rFonts w:ascii="Calibri" w:hAnsi="Calibri"/>
              </w:rPr>
            </w:pPr>
            <w:r w:rsidRPr="00623F1E">
              <w:rPr>
                <w:rFonts w:ascii="Calibri" w:hAnsi="Calibri"/>
              </w:rPr>
              <w:t>113.464498625</w:t>
            </w:r>
          </w:p>
        </w:tc>
        <w:tc>
          <w:tcPr>
            <w:tcW w:w="889" w:type="pct"/>
            <w:vAlign w:val="center"/>
          </w:tcPr>
          <w:p w14:paraId="0F088A83" w14:textId="77777777" w:rsidR="0080219B" w:rsidRPr="00623F1E" w:rsidRDefault="0080219B" w:rsidP="0080219B">
            <w:pPr>
              <w:jc w:val="center"/>
              <w:rPr>
                <w:rFonts w:ascii="Calibri" w:hAnsi="Calibri"/>
              </w:rPr>
            </w:pPr>
            <w:r w:rsidRPr="00623F1E">
              <w:rPr>
                <w:rFonts w:ascii="Calibri" w:hAnsi="Calibri"/>
              </w:rPr>
              <w:t>33.661817596</w:t>
            </w:r>
          </w:p>
        </w:tc>
        <w:tc>
          <w:tcPr>
            <w:tcW w:w="756" w:type="pct"/>
            <w:tcBorders>
              <w:right w:val="single" w:sz="2" w:space="0" w:color="auto"/>
            </w:tcBorders>
            <w:vAlign w:val="center"/>
          </w:tcPr>
          <w:p w14:paraId="55B679B0" w14:textId="77777777" w:rsidR="0080219B" w:rsidRPr="00623F1E" w:rsidRDefault="0080219B" w:rsidP="0080219B">
            <w:pPr>
              <w:jc w:val="center"/>
              <w:rPr>
                <w:rFonts w:ascii="Calibri" w:hAnsi="Calibri"/>
                <w:szCs w:val="21"/>
              </w:rPr>
            </w:pPr>
            <w:r w:rsidRPr="00623F1E">
              <w:rPr>
                <w:rFonts w:ascii="Calibri" w:hAnsi="Calibri" w:hint="eastAsia"/>
                <w:szCs w:val="21"/>
              </w:rPr>
              <w:t>台刘村</w:t>
            </w:r>
          </w:p>
        </w:tc>
        <w:tc>
          <w:tcPr>
            <w:tcW w:w="625" w:type="pct"/>
            <w:tcBorders>
              <w:left w:val="single" w:sz="2" w:space="0" w:color="auto"/>
            </w:tcBorders>
            <w:vAlign w:val="center"/>
          </w:tcPr>
          <w:p w14:paraId="54673452" w14:textId="77777777" w:rsidR="0080219B" w:rsidRPr="00623F1E" w:rsidRDefault="0080219B" w:rsidP="0080219B">
            <w:pPr>
              <w:jc w:val="center"/>
              <w:rPr>
                <w:rFonts w:ascii="Calibri" w:hAnsi="Calibri"/>
                <w:szCs w:val="21"/>
              </w:rPr>
            </w:pPr>
            <w:r w:rsidRPr="00623F1E">
              <w:rPr>
                <w:rFonts w:ascii="Calibri" w:hAnsi="Calibri" w:hint="eastAsia"/>
                <w:szCs w:val="21"/>
              </w:rPr>
              <w:t>1230</w:t>
            </w:r>
          </w:p>
        </w:tc>
        <w:tc>
          <w:tcPr>
            <w:tcW w:w="488" w:type="pct"/>
            <w:vAlign w:val="center"/>
          </w:tcPr>
          <w:p w14:paraId="164F1066"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7234CE07"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6ED0CC7D"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2</w:t>
            </w:r>
            <w:r>
              <w:rPr>
                <w:rFonts w:ascii="Calibri" w:hAnsi="Calibri"/>
                <w:color w:val="auto"/>
                <w:szCs w:val="21"/>
              </w:rPr>
              <w:t>635</w:t>
            </w:r>
          </w:p>
        </w:tc>
      </w:tr>
      <w:tr w:rsidR="0080219B" w:rsidRPr="00A964FF" w14:paraId="2775D41A" w14:textId="77777777" w:rsidTr="0080219B">
        <w:trPr>
          <w:trHeight w:val="340"/>
        </w:trPr>
        <w:tc>
          <w:tcPr>
            <w:tcW w:w="291" w:type="pct"/>
            <w:vAlign w:val="center"/>
          </w:tcPr>
          <w:p w14:paraId="07137E22"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9</w:t>
            </w:r>
          </w:p>
        </w:tc>
        <w:tc>
          <w:tcPr>
            <w:tcW w:w="889" w:type="pct"/>
            <w:vAlign w:val="center"/>
          </w:tcPr>
          <w:p w14:paraId="11DA88C4" w14:textId="77777777" w:rsidR="0080219B" w:rsidRPr="00623F1E" w:rsidRDefault="0080219B" w:rsidP="0080219B">
            <w:pPr>
              <w:jc w:val="center"/>
              <w:rPr>
                <w:rFonts w:ascii="Calibri" w:hAnsi="Calibri"/>
              </w:rPr>
            </w:pPr>
            <w:r w:rsidRPr="00623F1E">
              <w:rPr>
                <w:rFonts w:ascii="Calibri" w:hAnsi="Calibri"/>
              </w:rPr>
              <w:t>113.460786447</w:t>
            </w:r>
          </w:p>
        </w:tc>
        <w:tc>
          <w:tcPr>
            <w:tcW w:w="889" w:type="pct"/>
            <w:vAlign w:val="center"/>
          </w:tcPr>
          <w:p w14:paraId="07BD7357" w14:textId="77777777" w:rsidR="0080219B" w:rsidRPr="00623F1E" w:rsidRDefault="0080219B" w:rsidP="0080219B">
            <w:pPr>
              <w:jc w:val="center"/>
              <w:rPr>
                <w:rFonts w:ascii="Calibri" w:hAnsi="Calibri"/>
              </w:rPr>
            </w:pPr>
            <w:r w:rsidRPr="00623F1E">
              <w:rPr>
                <w:rFonts w:ascii="Calibri" w:hAnsi="Calibri"/>
              </w:rPr>
              <w:t>33.658959992</w:t>
            </w:r>
          </w:p>
        </w:tc>
        <w:tc>
          <w:tcPr>
            <w:tcW w:w="756" w:type="pct"/>
            <w:tcBorders>
              <w:right w:val="single" w:sz="2" w:space="0" w:color="auto"/>
            </w:tcBorders>
            <w:vAlign w:val="center"/>
          </w:tcPr>
          <w:p w14:paraId="09FE838F" w14:textId="77777777" w:rsidR="0080219B" w:rsidRPr="00623F1E" w:rsidRDefault="0080219B" w:rsidP="0080219B">
            <w:pPr>
              <w:jc w:val="center"/>
              <w:rPr>
                <w:rFonts w:ascii="Calibri" w:hAnsi="Calibri"/>
                <w:szCs w:val="21"/>
              </w:rPr>
            </w:pPr>
            <w:r w:rsidRPr="00623F1E">
              <w:rPr>
                <w:rFonts w:ascii="Calibri" w:hAnsi="Calibri" w:hint="eastAsia"/>
                <w:szCs w:val="21"/>
              </w:rPr>
              <w:t>台刘学校</w:t>
            </w:r>
          </w:p>
        </w:tc>
        <w:tc>
          <w:tcPr>
            <w:tcW w:w="625" w:type="pct"/>
            <w:tcBorders>
              <w:left w:val="single" w:sz="2" w:space="0" w:color="auto"/>
            </w:tcBorders>
            <w:vAlign w:val="center"/>
          </w:tcPr>
          <w:p w14:paraId="0409CC36" w14:textId="77777777" w:rsidR="0080219B" w:rsidRPr="00623F1E" w:rsidRDefault="0080219B" w:rsidP="0080219B">
            <w:pPr>
              <w:jc w:val="center"/>
              <w:rPr>
                <w:rFonts w:ascii="Calibri" w:hAnsi="Calibri"/>
                <w:szCs w:val="21"/>
              </w:rPr>
            </w:pPr>
            <w:r w:rsidRPr="00623F1E">
              <w:rPr>
                <w:rFonts w:ascii="Calibri" w:hAnsi="Calibri" w:hint="eastAsia"/>
                <w:szCs w:val="21"/>
              </w:rPr>
              <w:t>200</w:t>
            </w:r>
          </w:p>
        </w:tc>
        <w:tc>
          <w:tcPr>
            <w:tcW w:w="488" w:type="pct"/>
            <w:vAlign w:val="center"/>
          </w:tcPr>
          <w:p w14:paraId="06EBDD22"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218F0698"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06FCB343"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2610</w:t>
            </w:r>
          </w:p>
        </w:tc>
      </w:tr>
      <w:tr w:rsidR="0080219B" w:rsidRPr="00A964FF" w14:paraId="087237DE" w14:textId="77777777" w:rsidTr="0080219B">
        <w:trPr>
          <w:trHeight w:val="340"/>
        </w:trPr>
        <w:tc>
          <w:tcPr>
            <w:tcW w:w="291" w:type="pct"/>
            <w:vAlign w:val="center"/>
          </w:tcPr>
          <w:p w14:paraId="6E56BD36" w14:textId="77777777" w:rsidR="0080219B" w:rsidRPr="00A964FF" w:rsidRDefault="0080219B" w:rsidP="0080219B">
            <w:pPr>
              <w:jc w:val="center"/>
              <w:rPr>
                <w:rFonts w:ascii="Calibri" w:hAnsi="Calibri"/>
                <w:color w:val="auto"/>
                <w:szCs w:val="21"/>
              </w:rPr>
            </w:pPr>
            <w:r>
              <w:rPr>
                <w:rFonts w:ascii="Calibri" w:hAnsi="Calibri" w:hint="eastAsia"/>
                <w:color w:val="auto"/>
                <w:szCs w:val="21"/>
              </w:rPr>
              <w:t>10</w:t>
            </w:r>
          </w:p>
        </w:tc>
        <w:tc>
          <w:tcPr>
            <w:tcW w:w="889" w:type="pct"/>
            <w:vAlign w:val="center"/>
          </w:tcPr>
          <w:p w14:paraId="10A5C3AC" w14:textId="77777777" w:rsidR="0080219B" w:rsidRPr="00623F1E" w:rsidRDefault="0080219B" w:rsidP="0080219B">
            <w:pPr>
              <w:jc w:val="center"/>
              <w:rPr>
                <w:rFonts w:ascii="Calibri" w:hAnsi="Calibri"/>
              </w:rPr>
            </w:pPr>
            <w:r w:rsidRPr="00623F1E">
              <w:rPr>
                <w:rFonts w:ascii="Calibri" w:hAnsi="Calibri"/>
              </w:rPr>
              <w:t>113.457288847</w:t>
            </w:r>
          </w:p>
        </w:tc>
        <w:tc>
          <w:tcPr>
            <w:tcW w:w="889" w:type="pct"/>
            <w:vAlign w:val="center"/>
          </w:tcPr>
          <w:p w14:paraId="4250451F" w14:textId="77777777" w:rsidR="0080219B" w:rsidRPr="00623F1E" w:rsidRDefault="0080219B" w:rsidP="0080219B">
            <w:pPr>
              <w:jc w:val="center"/>
              <w:rPr>
                <w:rFonts w:ascii="Calibri" w:hAnsi="Calibri"/>
              </w:rPr>
            </w:pPr>
            <w:r w:rsidRPr="00623F1E">
              <w:rPr>
                <w:rFonts w:ascii="Calibri" w:hAnsi="Calibri"/>
              </w:rPr>
              <w:t>33.660386775</w:t>
            </w:r>
          </w:p>
        </w:tc>
        <w:tc>
          <w:tcPr>
            <w:tcW w:w="756" w:type="pct"/>
            <w:tcBorders>
              <w:right w:val="single" w:sz="2" w:space="0" w:color="auto"/>
            </w:tcBorders>
            <w:vAlign w:val="center"/>
          </w:tcPr>
          <w:p w14:paraId="1C78937A" w14:textId="77777777" w:rsidR="0080219B" w:rsidRPr="00623F1E" w:rsidRDefault="0080219B" w:rsidP="0080219B">
            <w:pPr>
              <w:jc w:val="center"/>
              <w:rPr>
                <w:rFonts w:ascii="Calibri" w:hAnsi="Calibri"/>
                <w:szCs w:val="21"/>
              </w:rPr>
            </w:pPr>
            <w:r w:rsidRPr="00623F1E">
              <w:rPr>
                <w:rFonts w:ascii="Calibri" w:hAnsi="Calibri" w:hint="eastAsia"/>
                <w:szCs w:val="21"/>
              </w:rPr>
              <w:t>台刘新村</w:t>
            </w:r>
          </w:p>
        </w:tc>
        <w:tc>
          <w:tcPr>
            <w:tcW w:w="625" w:type="pct"/>
            <w:tcBorders>
              <w:left w:val="single" w:sz="2" w:space="0" w:color="auto"/>
            </w:tcBorders>
            <w:vAlign w:val="center"/>
          </w:tcPr>
          <w:p w14:paraId="58BE614C" w14:textId="77777777" w:rsidR="0080219B" w:rsidRPr="00623F1E" w:rsidRDefault="0080219B" w:rsidP="0080219B">
            <w:pPr>
              <w:jc w:val="center"/>
              <w:rPr>
                <w:rFonts w:ascii="Calibri" w:hAnsi="Calibri"/>
                <w:szCs w:val="21"/>
              </w:rPr>
            </w:pPr>
            <w:r w:rsidRPr="00623F1E">
              <w:rPr>
                <w:rFonts w:ascii="Calibri" w:hAnsi="Calibri" w:hint="eastAsia"/>
                <w:szCs w:val="21"/>
              </w:rPr>
              <w:t>240</w:t>
            </w:r>
          </w:p>
        </w:tc>
        <w:tc>
          <w:tcPr>
            <w:tcW w:w="488" w:type="pct"/>
            <w:vAlign w:val="center"/>
          </w:tcPr>
          <w:p w14:paraId="1AA7805F"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26F4753C"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0B424588"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2475</w:t>
            </w:r>
          </w:p>
        </w:tc>
      </w:tr>
      <w:tr w:rsidR="0080219B" w:rsidRPr="00A964FF" w14:paraId="0E9EB621" w14:textId="77777777" w:rsidTr="0080219B">
        <w:trPr>
          <w:trHeight w:val="340"/>
        </w:trPr>
        <w:tc>
          <w:tcPr>
            <w:tcW w:w="291" w:type="pct"/>
            <w:vAlign w:val="center"/>
          </w:tcPr>
          <w:p w14:paraId="20D601BD" w14:textId="77777777" w:rsidR="0080219B" w:rsidRPr="00A964FF" w:rsidRDefault="0080219B" w:rsidP="0080219B">
            <w:pPr>
              <w:jc w:val="center"/>
              <w:rPr>
                <w:rFonts w:ascii="Calibri" w:hAnsi="Calibri"/>
                <w:color w:val="auto"/>
                <w:szCs w:val="21"/>
              </w:rPr>
            </w:pPr>
            <w:r>
              <w:rPr>
                <w:rFonts w:ascii="Calibri" w:hAnsi="Calibri" w:hint="eastAsia"/>
                <w:color w:val="auto"/>
                <w:szCs w:val="21"/>
              </w:rPr>
              <w:t>11</w:t>
            </w:r>
          </w:p>
        </w:tc>
        <w:tc>
          <w:tcPr>
            <w:tcW w:w="889" w:type="pct"/>
            <w:vAlign w:val="center"/>
          </w:tcPr>
          <w:p w14:paraId="4D0D6B14" w14:textId="77777777" w:rsidR="0080219B" w:rsidRPr="00623F1E" w:rsidRDefault="0080219B" w:rsidP="0080219B">
            <w:pPr>
              <w:jc w:val="center"/>
              <w:rPr>
                <w:rFonts w:ascii="Calibri" w:hAnsi="Calibri"/>
              </w:rPr>
            </w:pPr>
            <w:r w:rsidRPr="00623F1E">
              <w:rPr>
                <w:rFonts w:ascii="Calibri" w:hAnsi="Calibri"/>
              </w:rPr>
              <w:t>113.453748331</w:t>
            </w:r>
          </w:p>
        </w:tc>
        <w:tc>
          <w:tcPr>
            <w:tcW w:w="889" w:type="pct"/>
            <w:vAlign w:val="center"/>
          </w:tcPr>
          <w:p w14:paraId="16D1B9AE" w14:textId="77777777" w:rsidR="0080219B" w:rsidRPr="00623F1E" w:rsidRDefault="0080219B" w:rsidP="0080219B">
            <w:pPr>
              <w:jc w:val="center"/>
              <w:rPr>
                <w:rFonts w:ascii="Calibri" w:hAnsi="Calibri"/>
              </w:rPr>
            </w:pPr>
            <w:r w:rsidRPr="00623F1E">
              <w:rPr>
                <w:rFonts w:ascii="Calibri" w:hAnsi="Calibri"/>
              </w:rPr>
              <w:t>33.661960474</w:t>
            </w:r>
          </w:p>
        </w:tc>
        <w:tc>
          <w:tcPr>
            <w:tcW w:w="756" w:type="pct"/>
            <w:tcBorders>
              <w:right w:val="single" w:sz="2" w:space="0" w:color="auto"/>
            </w:tcBorders>
            <w:vAlign w:val="center"/>
          </w:tcPr>
          <w:p w14:paraId="06CD12C5" w14:textId="77777777" w:rsidR="0080219B" w:rsidRPr="00623F1E" w:rsidRDefault="0080219B" w:rsidP="0080219B">
            <w:pPr>
              <w:jc w:val="center"/>
              <w:rPr>
                <w:rFonts w:ascii="Calibri" w:hAnsi="Calibri"/>
                <w:szCs w:val="21"/>
              </w:rPr>
            </w:pPr>
            <w:r w:rsidRPr="00623F1E">
              <w:rPr>
                <w:rFonts w:ascii="Calibri" w:hAnsi="Calibri" w:hint="eastAsia"/>
                <w:szCs w:val="21"/>
              </w:rPr>
              <w:t>苏科村</w:t>
            </w:r>
          </w:p>
        </w:tc>
        <w:tc>
          <w:tcPr>
            <w:tcW w:w="625" w:type="pct"/>
            <w:tcBorders>
              <w:left w:val="single" w:sz="2" w:space="0" w:color="auto"/>
            </w:tcBorders>
            <w:vAlign w:val="center"/>
          </w:tcPr>
          <w:p w14:paraId="0455B8C8" w14:textId="77777777" w:rsidR="0080219B" w:rsidRPr="00623F1E" w:rsidRDefault="0080219B" w:rsidP="0080219B">
            <w:pPr>
              <w:jc w:val="center"/>
              <w:rPr>
                <w:rFonts w:ascii="Calibri" w:hAnsi="Calibri"/>
                <w:szCs w:val="21"/>
              </w:rPr>
            </w:pPr>
            <w:r w:rsidRPr="00623F1E">
              <w:rPr>
                <w:rFonts w:ascii="Calibri" w:hAnsi="Calibri" w:hint="eastAsia"/>
                <w:szCs w:val="21"/>
              </w:rPr>
              <w:t>980</w:t>
            </w:r>
          </w:p>
        </w:tc>
        <w:tc>
          <w:tcPr>
            <w:tcW w:w="488" w:type="pct"/>
            <w:vAlign w:val="center"/>
          </w:tcPr>
          <w:p w14:paraId="679E8062"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46B0247D"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SE</w:t>
            </w:r>
          </w:p>
        </w:tc>
        <w:tc>
          <w:tcPr>
            <w:tcW w:w="694" w:type="pct"/>
            <w:vAlign w:val="center"/>
          </w:tcPr>
          <w:p w14:paraId="6E74B709"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1970</w:t>
            </w:r>
          </w:p>
        </w:tc>
      </w:tr>
      <w:tr w:rsidR="0080219B" w:rsidRPr="00A964FF" w14:paraId="72624E32" w14:textId="77777777" w:rsidTr="0080219B">
        <w:trPr>
          <w:trHeight w:val="340"/>
        </w:trPr>
        <w:tc>
          <w:tcPr>
            <w:tcW w:w="291" w:type="pct"/>
            <w:vAlign w:val="center"/>
          </w:tcPr>
          <w:p w14:paraId="79BDCC27" w14:textId="77777777" w:rsidR="0080219B" w:rsidRPr="00A964FF" w:rsidRDefault="0080219B" w:rsidP="0080219B">
            <w:pPr>
              <w:jc w:val="center"/>
              <w:rPr>
                <w:rFonts w:ascii="Calibri" w:hAnsi="Calibri"/>
                <w:color w:val="auto"/>
                <w:szCs w:val="21"/>
              </w:rPr>
            </w:pPr>
            <w:r>
              <w:rPr>
                <w:rFonts w:ascii="Calibri" w:hAnsi="Calibri" w:hint="eastAsia"/>
                <w:color w:val="auto"/>
                <w:szCs w:val="21"/>
              </w:rPr>
              <w:t>12</w:t>
            </w:r>
          </w:p>
        </w:tc>
        <w:tc>
          <w:tcPr>
            <w:tcW w:w="889" w:type="pct"/>
            <w:vAlign w:val="center"/>
          </w:tcPr>
          <w:p w14:paraId="014DEEE8" w14:textId="77777777" w:rsidR="0080219B" w:rsidRPr="00623F1E" w:rsidRDefault="0080219B" w:rsidP="0080219B">
            <w:pPr>
              <w:jc w:val="center"/>
              <w:rPr>
                <w:rFonts w:ascii="Calibri" w:hAnsi="Calibri"/>
              </w:rPr>
            </w:pPr>
            <w:r w:rsidRPr="00623F1E">
              <w:rPr>
                <w:rFonts w:ascii="Calibri" w:hAnsi="Calibri"/>
              </w:rPr>
              <w:t>113.437440500</w:t>
            </w:r>
          </w:p>
        </w:tc>
        <w:tc>
          <w:tcPr>
            <w:tcW w:w="889" w:type="pct"/>
            <w:vAlign w:val="center"/>
          </w:tcPr>
          <w:p w14:paraId="25D2DBC7" w14:textId="77777777" w:rsidR="0080219B" w:rsidRPr="00623F1E" w:rsidRDefault="0080219B" w:rsidP="0080219B">
            <w:pPr>
              <w:jc w:val="center"/>
              <w:rPr>
                <w:rFonts w:ascii="Calibri" w:hAnsi="Calibri"/>
              </w:rPr>
            </w:pPr>
            <w:r w:rsidRPr="00623F1E">
              <w:rPr>
                <w:rFonts w:ascii="Calibri" w:hAnsi="Calibri"/>
              </w:rPr>
              <w:t>33.669229065</w:t>
            </w:r>
          </w:p>
        </w:tc>
        <w:tc>
          <w:tcPr>
            <w:tcW w:w="756" w:type="pct"/>
            <w:tcBorders>
              <w:right w:val="single" w:sz="2" w:space="0" w:color="auto"/>
            </w:tcBorders>
            <w:vAlign w:val="center"/>
          </w:tcPr>
          <w:p w14:paraId="25461C31" w14:textId="77777777" w:rsidR="0080219B" w:rsidRPr="00623F1E" w:rsidRDefault="0080219B" w:rsidP="0080219B">
            <w:pPr>
              <w:jc w:val="center"/>
              <w:rPr>
                <w:rFonts w:ascii="Calibri" w:hAnsi="Calibri"/>
                <w:szCs w:val="21"/>
              </w:rPr>
            </w:pPr>
            <w:r w:rsidRPr="00623F1E">
              <w:rPr>
                <w:rFonts w:ascii="Calibri" w:hAnsi="Calibri" w:hint="eastAsia"/>
                <w:szCs w:val="21"/>
              </w:rPr>
              <w:t>龚店镇</w:t>
            </w:r>
          </w:p>
        </w:tc>
        <w:tc>
          <w:tcPr>
            <w:tcW w:w="625" w:type="pct"/>
            <w:tcBorders>
              <w:left w:val="single" w:sz="2" w:space="0" w:color="auto"/>
            </w:tcBorders>
            <w:vAlign w:val="center"/>
          </w:tcPr>
          <w:p w14:paraId="0DB439F1" w14:textId="77777777" w:rsidR="0080219B" w:rsidRPr="00623F1E" w:rsidRDefault="0080219B" w:rsidP="0080219B">
            <w:pPr>
              <w:jc w:val="center"/>
              <w:rPr>
                <w:rFonts w:ascii="Calibri" w:hAnsi="Calibri"/>
                <w:szCs w:val="21"/>
              </w:rPr>
            </w:pPr>
            <w:r w:rsidRPr="00623F1E">
              <w:rPr>
                <w:rFonts w:ascii="Calibri" w:hAnsi="Calibri" w:hint="eastAsia"/>
                <w:szCs w:val="21"/>
              </w:rPr>
              <w:t>3650</w:t>
            </w:r>
          </w:p>
        </w:tc>
        <w:tc>
          <w:tcPr>
            <w:tcW w:w="488" w:type="pct"/>
            <w:vAlign w:val="center"/>
          </w:tcPr>
          <w:p w14:paraId="561F7BDF" w14:textId="77777777" w:rsidR="0080219B" w:rsidRPr="00A964FF" w:rsidRDefault="0080219B" w:rsidP="0080219B">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10E00DBE" w14:textId="77777777" w:rsidR="0080219B" w:rsidRPr="00A964FF" w:rsidRDefault="0080219B" w:rsidP="0080219B">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694" w:type="pct"/>
            <w:vAlign w:val="center"/>
          </w:tcPr>
          <w:p w14:paraId="7E7BE738" w14:textId="77777777" w:rsidR="0080219B" w:rsidRPr="00A964FF" w:rsidRDefault="00C40A97" w:rsidP="0080219B">
            <w:pPr>
              <w:jc w:val="center"/>
              <w:rPr>
                <w:rFonts w:ascii="Calibri" w:hAnsi="Calibri"/>
                <w:color w:val="auto"/>
                <w:szCs w:val="21"/>
              </w:rPr>
            </w:pPr>
            <w:r>
              <w:rPr>
                <w:rFonts w:ascii="Calibri" w:hAnsi="Calibri" w:hint="eastAsia"/>
                <w:color w:val="auto"/>
                <w:szCs w:val="21"/>
              </w:rPr>
              <w:t>1030</w:t>
            </w:r>
          </w:p>
        </w:tc>
      </w:tr>
      <w:tr w:rsidR="00DC78F1" w:rsidRPr="00A964FF" w14:paraId="05567E34" w14:textId="77777777" w:rsidTr="0080219B">
        <w:trPr>
          <w:trHeight w:val="340"/>
        </w:trPr>
        <w:tc>
          <w:tcPr>
            <w:tcW w:w="291" w:type="pct"/>
            <w:vAlign w:val="center"/>
          </w:tcPr>
          <w:p w14:paraId="405EC1EF" w14:textId="77777777" w:rsidR="00DC78F1" w:rsidRPr="00A964FF" w:rsidRDefault="00404CF4" w:rsidP="00EB173A">
            <w:pPr>
              <w:jc w:val="center"/>
              <w:rPr>
                <w:rFonts w:ascii="Calibri" w:hAnsi="Calibri"/>
                <w:color w:val="auto"/>
                <w:szCs w:val="21"/>
              </w:rPr>
            </w:pPr>
            <w:r>
              <w:rPr>
                <w:rFonts w:ascii="Calibri" w:hAnsi="Calibri" w:hint="eastAsia"/>
                <w:color w:val="auto"/>
                <w:szCs w:val="21"/>
              </w:rPr>
              <w:t>13</w:t>
            </w:r>
          </w:p>
        </w:tc>
        <w:tc>
          <w:tcPr>
            <w:tcW w:w="889" w:type="pct"/>
            <w:vAlign w:val="center"/>
          </w:tcPr>
          <w:p w14:paraId="0E42CBB6" w14:textId="77777777" w:rsidR="00DC78F1" w:rsidRPr="00A964FF" w:rsidRDefault="00DC78F1" w:rsidP="00DC78F1">
            <w:pPr>
              <w:jc w:val="center"/>
              <w:rPr>
                <w:rFonts w:ascii="Calibri" w:hAnsi="Calibri"/>
                <w:color w:val="auto"/>
                <w:szCs w:val="21"/>
                <w:highlight w:val="yellow"/>
              </w:rPr>
            </w:pPr>
            <w:r w:rsidRPr="00A964FF">
              <w:rPr>
                <w:rFonts w:ascii="Calibri" w:hAnsi="Calibri"/>
                <w:color w:val="auto"/>
                <w:szCs w:val="21"/>
              </w:rPr>
              <w:t>113.435216829</w:t>
            </w:r>
          </w:p>
        </w:tc>
        <w:tc>
          <w:tcPr>
            <w:tcW w:w="889" w:type="pct"/>
            <w:vAlign w:val="center"/>
          </w:tcPr>
          <w:p w14:paraId="338DCF72" w14:textId="77777777" w:rsidR="00DC78F1" w:rsidRPr="00A964FF" w:rsidRDefault="00DC78F1" w:rsidP="003E0795">
            <w:pPr>
              <w:jc w:val="center"/>
              <w:rPr>
                <w:rFonts w:ascii="Calibri" w:hAnsi="Calibri"/>
                <w:color w:val="auto"/>
                <w:szCs w:val="21"/>
                <w:highlight w:val="yellow"/>
              </w:rPr>
            </w:pPr>
            <w:r w:rsidRPr="00A964FF">
              <w:rPr>
                <w:rFonts w:ascii="Calibri" w:hAnsi="Calibri"/>
                <w:color w:val="auto"/>
                <w:szCs w:val="21"/>
              </w:rPr>
              <w:t>33.702411777</w:t>
            </w:r>
          </w:p>
        </w:tc>
        <w:tc>
          <w:tcPr>
            <w:tcW w:w="756" w:type="pct"/>
            <w:tcBorders>
              <w:right w:val="single" w:sz="2" w:space="0" w:color="auto"/>
            </w:tcBorders>
            <w:vAlign w:val="center"/>
          </w:tcPr>
          <w:p w14:paraId="625C2972" w14:textId="77777777" w:rsidR="00DC78F1" w:rsidRPr="00A964FF" w:rsidRDefault="00DC78F1" w:rsidP="00DC78F1">
            <w:pPr>
              <w:jc w:val="center"/>
              <w:rPr>
                <w:rFonts w:ascii="Calibri" w:hAnsi="Calibri" w:cs="宋体"/>
                <w:color w:val="auto"/>
                <w:szCs w:val="21"/>
              </w:rPr>
            </w:pPr>
            <w:r w:rsidRPr="00A964FF">
              <w:rPr>
                <w:rFonts w:ascii="Calibri"/>
                <w:color w:val="auto"/>
                <w:szCs w:val="21"/>
              </w:rPr>
              <w:t>贺渡口村</w:t>
            </w:r>
          </w:p>
        </w:tc>
        <w:tc>
          <w:tcPr>
            <w:tcW w:w="625" w:type="pct"/>
            <w:tcBorders>
              <w:left w:val="single" w:sz="2" w:space="0" w:color="auto"/>
            </w:tcBorders>
            <w:vAlign w:val="center"/>
          </w:tcPr>
          <w:p w14:paraId="04AEDCE0" w14:textId="77777777" w:rsidR="00DC78F1" w:rsidRPr="00A964FF" w:rsidRDefault="00DC78F1" w:rsidP="001F7706">
            <w:pPr>
              <w:jc w:val="center"/>
              <w:rPr>
                <w:rFonts w:ascii="Calibri" w:hAnsi="Calibri"/>
                <w:color w:val="auto"/>
                <w:szCs w:val="21"/>
              </w:rPr>
            </w:pPr>
            <w:r w:rsidRPr="00A964FF">
              <w:rPr>
                <w:rFonts w:ascii="Calibri" w:hAnsi="Calibri" w:hint="eastAsia"/>
                <w:color w:val="auto"/>
                <w:szCs w:val="21"/>
              </w:rPr>
              <w:t>1466</w:t>
            </w:r>
          </w:p>
        </w:tc>
        <w:tc>
          <w:tcPr>
            <w:tcW w:w="488" w:type="pct"/>
            <w:vAlign w:val="center"/>
          </w:tcPr>
          <w:p w14:paraId="435C246A" w14:textId="77777777" w:rsidR="00DC78F1" w:rsidRPr="00A964FF" w:rsidRDefault="00DC78F1" w:rsidP="00DC78F1">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40EDC256" w14:textId="77777777" w:rsidR="00DC78F1" w:rsidRPr="00A964FF" w:rsidRDefault="00882D36" w:rsidP="001F7706">
            <w:pPr>
              <w:jc w:val="center"/>
              <w:rPr>
                <w:rFonts w:ascii="Calibri" w:hAnsi="Calibri"/>
                <w:color w:val="auto"/>
                <w:szCs w:val="21"/>
              </w:rPr>
            </w:pPr>
            <w:r w:rsidRPr="00A964FF">
              <w:rPr>
                <w:rFonts w:ascii="Calibri" w:hAnsi="Calibri" w:hint="eastAsia"/>
                <w:color w:val="auto"/>
                <w:szCs w:val="21"/>
              </w:rPr>
              <w:t>N</w:t>
            </w:r>
            <w:r w:rsidR="0080219B">
              <w:rPr>
                <w:rFonts w:ascii="Calibri" w:hAnsi="Calibri"/>
                <w:color w:val="auto"/>
                <w:szCs w:val="21"/>
              </w:rPr>
              <w:t>W</w:t>
            </w:r>
          </w:p>
        </w:tc>
        <w:tc>
          <w:tcPr>
            <w:tcW w:w="694" w:type="pct"/>
            <w:vAlign w:val="center"/>
          </w:tcPr>
          <w:p w14:paraId="7C45302F" w14:textId="77777777" w:rsidR="00DC78F1" w:rsidRPr="00A964FF" w:rsidRDefault="00C40A97" w:rsidP="001F7706">
            <w:pPr>
              <w:jc w:val="center"/>
              <w:rPr>
                <w:rFonts w:ascii="Calibri" w:hAnsi="Calibri"/>
                <w:color w:val="auto"/>
                <w:szCs w:val="21"/>
              </w:rPr>
            </w:pPr>
            <w:r>
              <w:rPr>
                <w:rFonts w:ascii="Calibri" w:hAnsi="Calibri" w:hint="eastAsia"/>
                <w:color w:val="auto"/>
                <w:szCs w:val="21"/>
              </w:rPr>
              <w:t>2290</w:t>
            </w:r>
          </w:p>
        </w:tc>
      </w:tr>
      <w:tr w:rsidR="00DC78F1" w:rsidRPr="00A964FF" w14:paraId="5A0DA07B" w14:textId="77777777" w:rsidTr="0080219B">
        <w:trPr>
          <w:trHeight w:val="340"/>
        </w:trPr>
        <w:tc>
          <w:tcPr>
            <w:tcW w:w="291" w:type="pct"/>
            <w:vAlign w:val="center"/>
          </w:tcPr>
          <w:p w14:paraId="62343F92" w14:textId="77777777" w:rsidR="00DC78F1" w:rsidRPr="00A964FF" w:rsidRDefault="00404CF4" w:rsidP="00EB173A">
            <w:pPr>
              <w:jc w:val="center"/>
              <w:rPr>
                <w:rFonts w:ascii="Calibri" w:hAnsi="Calibri"/>
                <w:color w:val="auto"/>
                <w:szCs w:val="21"/>
              </w:rPr>
            </w:pPr>
            <w:r>
              <w:rPr>
                <w:rFonts w:ascii="Calibri" w:hAnsi="Calibri" w:hint="eastAsia"/>
                <w:color w:val="auto"/>
                <w:szCs w:val="21"/>
              </w:rPr>
              <w:t>14</w:t>
            </w:r>
          </w:p>
        </w:tc>
        <w:tc>
          <w:tcPr>
            <w:tcW w:w="889" w:type="pct"/>
            <w:vAlign w:val="center"/>
          </w:tcPr>
          <w:p w14:paraId="0977A41A" w14:textId="77777777" w:rsidR="00DC78F1" w:rsidRPr="00A964FF" w:rsidRDefault="00DC78F1" w:rsidP="00DC78F1">
            <w:pPr>
              <w:jc w:val="center"/>
              <w:rPr>
                <w:rFonts w:ascii="Calibri" w:hAnsi="Calibri"/>
                <w:color w:val="auto"/>
                <w:szCs w:val="21"/>
                <w:highlight w:val="yellow"/>
              </w:rPr>
            </w:pPr>
            <w:r w:rsidRPr="00A964FF">
              <w:rPr>
                <w:rFonts w:ascii="Calibri" w:hAnsi="Calibri"/>
                <w:color w:val="auto"/>
                <w:szCs w:val="21"/>
              </w:rPr>
              <w:t>113.452104017</w:t>
            </w:r>
          </w:p>
        </w:tc>
        <w:tc>
          <w:tcPr>
            <w:tcW w:w="889" w:type="pct"/>
            <w:vAlign w:val="center"/>
          </w:tcPr>
          <w:p w14:paraId="4DDF27AD" w14:textId="77777777" w:rsidR="00DC78F1" w:rsidRPr="00A964FF" w:rsidRDefault="00DC78F1" w:rsidP="003E0795">
            <w:pPr>
              <w:jc w:val="center"/>
              <w:rPr>
                <w:rFonts w:ascii="Calibri" w:hAnsi="Calibri"/>
                <w:color w:val="auto"/>
                <w:szCs w:val="21"/>
                <w:highlight w:val="yellow"/>
              </w:rPr>
            </w:pPr>
            <w:r w:rsidRPr="00A964FF">
              <w:rPr>
                <w:rFonts w:ascii="Calibri" w:hAnsi="Calibri"/>
                <w:color w:val="auto"/>
                <w:szCs w:val="21"/>
              </w:rPr>
              <w:t>33.702340372</w:t>
            </w:r>
          </w:p>
        </w:tc>
        <w:tc>
          <w:tcPr>
            <w:tcW w:w="756" w:type="pct"/>
            <w:tcBorders>
              <w:right w:val="single" w:sz="2" w:space="0" w:color="auto"/>
            </w:tcBorders>
            <w:vAlign w:val="center"/>
          </w:tcPr>
          <w:p w14:paraId="0501F477" w14:textId="77777777" w:rsidR="00DC78F1" w:rsidRPr="00A964FF" w:rsidRDefault="00DC78F1" w:rsidP="00DC78F1">
            <w:pPr>
              <w:jc w:val="center"/>
              <w:rPr>
                <w:rFonts w:ascii="Calibri" w:hAnsi="Calibri" w:cs="宋体"/>
                <w:color w:val="auto"/>
                <w:szCs w:val="21"/>
              </w:rPr>
            </w:pPr>
            <w:r w:rsidRPr="00A964FF">
              <w:rPr>
                <w:rFonts w:ascii="Calibri"/>
                <w:color w:val="auto"/>
                <w:szCs w:val="21"/>
              </w:rPr>
              <w:t>楼马村</w:t>
            </w:r>
          </w:p>
        </w:tc>
        <w:tc>
          <w:tcPr>
            <w:tcW w:w="625" w:type="pct"/>
            <w:tcBorders>
              <w:left w:val="single" w:sz="2" w:space="0" w:color="auto"/>
            </w:tcBorders>
            <w:vAlign w:val="center"/>
          </w:tcPr>
          <w:p w14:paraId="370C19D3" w14:textId="77777777" w:rsidR="00DC78F1" w:rsidRPr="00A964FF" w:rsidRDefault="00DC78F1" w:rsidP="001F7706">
            <w:pPr>
              <w:jc w:val="center"/>
              <w:rPr>
                <w:rFonts w:ascii="Calibri" w:hAnsi="Calibri"/>
                <w:color w:val="auto"/>
                <w:szCs w:val="21"/>
              </w:rPr>
            </w:pPr>
            <w:r w:rsidRPr="00A964FF">
              <w:rPr>
                <w:rFonts w:ascii="Calibri" w:hAnsi="Calibri" w:hint="eastAsia"/>
                <w:color w:val="auto"/>
                <w:szCs w:val="21"/>
              </w:rPr>
              <w:t>3122</w:t>
            </w:r>
          </w:p>
        </w:tc>
        <w:tc>
          <w:tcPr>
            <w:tcW w:w="488" w:type="pct"/>
            <w:vAlign w:val="center"/>
          </w:tcPr>
          <w:p w14:paraId="66478E04" w14:textId="77777777" w:rsidR="00DC78F1" w:rsidRPr="00A964FF" w:rsidRDefault="00DC78F1" w:rsidP="00DC78F1">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62200B8A" w14:textId="77777777" w:rsidR="00DC78F1" w:rsidRPr="00A964FF" w:rsidRDefault="00882D36" w:rsidP="001F7706">
            <w:pPr>
              <w:jc w:val="center"/>
              <w:rPr>
                <w:rFonts w:ascii="Calibri" w:hAnsi="Calibri"/>
                <w:color w:val="auto"/>
                <w:szCs w:val="21"/>
              </w:rPr>
            </w:pPr>
            <w:r w:rsidRPr="00A964FF">
              <w:rPr>
                <w:rFonts w:ascii="Calibri" w:hAnsi="Calibri" w:hint="eastAsia"/>
                <w:color w:val="auto"/>
                <w:szCs w:val="21"/>
              </w:rPr>
              <w:t>NE</w:t>
            </w:r>
          </w:p>
        </w:tc>
        <w:tc>
          <w:tcPr>
            <w:tcW w:w="694" w:type="pct"/>
            <w:vAlign w:val="center"/>
          </w:tcPr>
          <w:p w14:paraId="0267900B" w14:textId="77777777" w:rsidR="00DC78F1" w:rsidRPr="00A964FF" w:rsidRDefault="00C40A97" w:rsidP="001F7706">
            <w:pPr>
              <w:jc w:val="center"/>
              <w:rPr>
                <w:rFonts w:ascii="Calibri" w:hAnsi="Calibri"/>
                <w:color w:val="auto"/>
                <w:szCs w:val="21"/>
              </w:rPr>
            </w:pPr>
            <w:r>
              <w:rPr>
                <w:rFonts w:ascii="Calibri" w:hAnsi="Calibri" w:hint="eastAsia"/>
                <w:color w:val="auto"/>
                <w:szCs w:val="21"/>
              </w:rPr>
              <w:t>2240</w:t>
            </w:r>
          </w:p>
        </w:tc>
      </w:tr>
      <w:tr w:rsidR="00D33C21" w:rsidRPr="00A964FF" w14:paraId="4C21731A" w14:textId="77777777" w:rsidTr="0080219B">
        <w:trPr>
          <w:trHeight w:val="340"/>
        </w:trPr>
        <w:tc>
          <w:tcPr>
            <w:tcW w:w="291" w:type="pct"/>
            <w:vAlign w:val="center"/>
          </w:tcPr>
          <w:p w14:paraId="57D26826" w14:textId="77777777" w:rsidR="00D33C21" w:rsidRDefault="00D33C21" w:rsidP="00EB173A">
            <w:pPr>
              <w:jc w:val="center"/>
              <w:rPr>
                <w:rFonts w:ascii="Calibri" w:hAnsi="Calibri"/>
                <w:color w:val="auto"/>
                <w:szCs w:val="21"/>
              </w:rPr>
            </w:pPr>
            <w:r>
              <w:rPr>
                <w:rFonts w:ascii="Calibri" w:hAnsi="Calibri" w:hint="eastAsia"/>
                <w:color w:val="auto"/>
                <w:szCs w:val="21"/>
              </w:rPr>
              <w:t>15</w:t>
            </w:r>
          </w:p>
        </w:tc>
        <w:tc>
          <w:tcPr>
            <w:tcW w:w="889" w:type="pct"/>
            <w:vAlign w:val="center"/>
          </w:tcPr>
          <w:p w14:paraId="3DF26600" w14:textId="77777777" w:rsidR="00D33C21" w:rsidRPr="00A964FF" w:rsidRDefault="00D33C21" w:rsidP="00DC78F1">
            <w:pPr>
              <w:jc w:val="center"/>
              <w:rPr>
                <w:rFonts w:ascii="Calibri" w:hAnsi="Calibri"/>
                <w:color w:val="auto"/>
                <w:szCs w:val="21"/>
              </w:rPr>
            </w:pPr>
            <w:r w:rsidRPr="00D33C21">
              <w:rPr>
                <w:rFonts w:ascii="Calibri" w:hAnsi="Calibri"/>
                <w:color w:val="auto"/>
                <w:szCs w:val="21"/>
              </w:rPr>
              <w:t>113.418625731</w:t>
            </w:r>
          </w:p>
        </w:tc>
        <w:tc>
          <w:tcPr>
            <w:tcW w:w="889" w:type="pct"/>
            <w:vAlign w:val="center"/>
          </w:tcPr>
          <w:p w14:paraId="173FF2EE" w14:textId="77777777" w:rsidR="00D33C21" w:rsidRPr="00A964FF" w:rsidRDefault="00D33C21" w:rsidP="003E0795">
            <w:pPr>
              <w:jc w:val="center"/>
              <w:rPr>
                <w:rFonts w:ascii="Calibri" w:hAnsi="Calibri"/>
                <w:color w:val="auto"/>
                <w:szCs w:val="21"/>
              </w:rPr>
            </w:pPr>
            <w:r w:rsidRPr="00D33C21">
              <w:rPr>
                <w:rFonts w:ascii="Calibri" w:hAnsi="Calibri"/>
                <w:color w:val="auto"/>
                <w:szCs w:val="21"/>
              </w:rPr>
              <w:t>33.696801157</w:t>
            </w:r>
          </w:p>
        </w:tc>
        <w:tc>
          <w:tcPr>
            <w:tcW w:w="756" w:type="pct"/>
            <w:tcBorders>
              <w:right w:val="single" w:sz="2" w:space="0" w:color="auto"/>
            </w:tcBorders>
            <w:vAlign w:val="center"/>
          </w:tcPr>
          <w:p w14:paraId="0B5761A4" w14:textId="77777777" w:rsidR="00D33C21" w:rsidRPr="00A964FF" w:rsidRDefault="00D33C21" w:rsidP="00DC78F1">
            <w:pPr>
              <w:jc w:val="center"/>
              <w:rPr>
                <w:rFonts w:ascii="Calibri"/>
                <w:color w:val="auto"/>
                <w:szCs w:val="21"/>
              </w:rPr>
            </w:pPr>
            <w:r>
              <w:rPr>
                <w:rFonts w:ascii="Calibri" w:hint="eastAsia"/>
                <w:color w:val="auto"/>
                <w:szCs w:val="21"/>
              </w:rPr>
              <w:t>后棠</w:t>
            </w:r>
          </w:p>
        </w:tc>
        <w:tc>
          <w:tcPr>
            <w:tcW w:w="625" w:type="pct"/>
            <w:tcBorders>
              <w:left w:val="single" w:sz="2" w:space="0" w:color="auto"/>
            </w:tcBorders>
            <w:vAlign w:val="center"/>
          </w:tcPr>
          <w:p w14:paraId="32498780" w14:textId="77777777" w:rsidR="00D33C21" w:rsidRPr="00A964FF" w:rsidRDefault="00D33C21" w:rsidP="001F7706">
            <w:pPr>
              <w:jc w:val="center"/>
              <w:rPr>
                <w:rFonts w:ascii="Calibri" w:hAnsi="Calibri"/>
                <w:color w:val="auto"/>
                <w:szCs w:val="21"/>
              </w:rPr>
            </w:pPr>
            <w:r>
              <w:rPr>
                <w:rFonts w:ascii="Calibri" w:hAnsi="Calibri" w:hint="eastAsia"/>
                <w:color w:val="auto"/>
                <w:szCs w:val="21"/>
              </w:rPr>
              <w:t>620</w:t>
            </w:r>
          </w:p>
        </w:tc>
        <w:tc>
          <w:tcPr>
            <w:tcW w:w="488" w:type="pct"/>
            <w:vAlign w:val="center"/>
          </w:tcPr>
          <w:p w14:paraId="49E018CF" w14:textId="77777777" w:rsidR="00D33C21" w:rsidRPr="00A964FF" w:rsidRDefault="00D33C21" w:rsidP="00DC78F1">
            <w:pPr>
              <w:jc w:val="center"/>
              <w:rPr>
                <w:rFonts w:ascii="Calibri" w:hAnsi="Calibri"/>
                <w:color w:val="auto"/>
                <w:szCs w:val="21"/>
              </w:rPr>
            </w:pPr>
            <w:r w:rsidRPr="00A964FF">
              <w:rPr>
                <w:rFonts w:ascii="Calibri" w:hAnsi="Calibri" w:hint="eastAsia"/>
                <w:color w:val="auto"/>
                <w:szCs w:val="21"/>
              </w:rPr>
              <w:t>二类区</w:t>
            </w:r>
          </w:p>
        </w:tc>
        <w:tc>
          <w:tcPr>
            <w:tcW w:w="367" w:type="pct"/>
            <w:vAlign w:val="center"/>
          </w:tcPr>
          <w:p w14:paraId="352498D6" w14:textId="77777777" w:rsidR="00D33C21" w:rsidRPr="00A964FF" w:rsidRDefault="00D33C21" w:rsidP="001F7706">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694" w:type="pct"/>
            <w:vAlign w:val="center"/>
          </w:tcPr>
          <w:p w14:paraId="58082933" w14:textId="77777777" w:rsidR="00D33C21" w:rsidRDefault="00D33C21" w:rsidP="001F7706">
            <w:pPr>
              <w:jc w:val="center"/>
              <w:rPr>
                <w:rFonts w:ascii="Calibri" w:hAnsi="Calibri"/>
                <w:color w:val="auto"/>
                <w:szCs w:val="21"/>
              </w:rPr>
            </w:pPr>
            <w:r>
              <w:rPr>
                <w:rFonts w:ascii="Calibri" w:hAnsi="Calibri" w:hint="eastAsia"/>
                <w:color w:val="auto"/>
                <w:szCs w:val="21"/>
              </w:rPr>
              <w:t>2820</w:t>
            </w:r>
          </w:p>
        </w:tc>
      </w:tr>
      <w:tr w:rsidR="00DC78F1" w:rsidRPr="00A964FF" w14:paraId="57E43CC7" w14:textId="77777777" w:rsidTr="0080219B">
        <w:trPr>
          <w:trHeight w:val="340"/>
        </w:trPr>
        <w:tc>
          <w:tcPr>
            <w:tcW w:w="291" w:type="pct"/>
            <w:vAlign w:val="center"/>
          </w:tcPr>
          <w:p w14:paraId="3A4983AA" w14:textId="77777777" w:rsidR="00DC78F1" w:rsidRPr="00A964FF" w:rsidRDefault="00D33C21" w:rsidP="00DC78F1">
            <w:pPr>
              <w:jc w:val="center"/>
              <w:rPr>
                <w:rFonts w:ascii="Calibri" w:hAnsi="Calibri"/>
                <w:color w:val="auto"/>
                <w:szCs w:val="21"/>
              </w:rPr>
            </w:pPr>
            <w:r>
              <w:rPr>
                <w:rFonts w:ascii="Calibri" w:hAnsi="Calibri"/>
                <w:color w:val="auto"/>
                <w:szCs w:val="21"/>
              </w:rPr>
              <w:t>16</w:t>
            </w:r>
          </w:p>
        </w:tc>
        <w:tc>
          <w:tcPr>
            <w:tcW w:w="889" w:type="pct"/>
            <w:vAlign w:val="center"/>
          </w:tcPr>
          <w:p w14:paraId="314CD4B8" w14:textId="77777777" w:rsidR="00DC78F1" w:rsidRPr="00A964FF" w:rsidRDefault="00DC78F1" w:rsidP="00DC78F1">
            <w:pPr>
              <w:jc w:val="center"/>
              <w:rPr>
                <w:rFonts w:ascii="Calibri" w:hAnsi="Calibri"/>
                <w:color w:val="auto"/>
                <w:szCs w:val="21"/>
                <w:highlight w:val="yellow"/>
              </w:rPr>
            </w:pPr>
            <w:r w:rsidRPr="00A964FF">
              <w:rPr>
                <w:rFonts w:ascii="Calibri" w:hAnsi="Calibri"/>
                <w:color w:val="auto"/>
                <w:szCs w:val="21"/>
              </w:rPr>
              <w:t>113.435474322</w:t>
            </w:r>
          </w:p>
        </w:tc>
        <w:tc>
          <w:tcPr>
            <w:tcW w:w="889" w:type="pct"/>
            <w:vAlign w:val="center"/>
          </w:tcPr>
          <w:p w14:paraId="6B896704" w14:textId="77777777" w:rsidR="00DC78F1" w:rsidRPr="00A964FF" w:rsidRDefault="00DC78F1" w:rsidP="003E0795">
            <w:pPr>
              <w:jc w:val="center"/>
              <w:rPr>
                <w:rFonts w:ascii="Calibri" w:hAnsi="Calibri"/>
                <w:color w:val="auto"/>
                <w:szCs w:val="21"/>
                <w:highlight w:val="yellow"/>
              </w:rPr>
            </w:pPr>
            <w:r w:rsidRPr="00A964FF">
              <w:rPr>
                <w:rFonts w:ascii="Calibri" w:hAnsi="Calibri"/>
                <w:color w:val="auto"/>
                <w:szCs w:val="21"/>
              </w:rPr>
              <w:t>33.679246596</w:t>
            </w:r>
          </w:p>
        </w:tc>
        <w:tc>
          <w:tcPr>
            <w:tcW w:w="756" w:type="pct"/>
            <w:tcBorders>
              <w:right w:val="single" w:sz="2" w:space="0" w:color="auto"/>
            </w:tcBorders>
            <w:vAlign w:val="center"/>
          </w:tcPr>
          <w:p w14:paraId="1141EBEF" w14:textId="77777777" w:rsidR="00DC78F1" w:rsidRPr="00A964FF" w:rsidRDefault="00DC78F1" w:rsidP="00DC78F1">
            <w:pPr>
              <w:jc w:val="center"/>
              <w:rPr>
                <w:rFonts w:ascii="Calibri"/>
                <w:color w:val="auto"/>
                <w:szCs w:val="21"/>
              </w:rPr>
            </w:pPr>
            <w:r w:rsidRPr="00A964FF">
              <w:rPr>
                <w:rFonts w:ascii="Calibri" w:hint="eastAsia"/>
                <w:color w:val="auto"/>
                <w:szCs w:val="21"/>
              </w:rPr>
              <w:t>望娘楼</w:t>
            </w:r>
          </w:p>
        </w:tc>
        <w:tc>
          <w:tcPr>
            <w:tcW w:w="625" w:type="pct"/>
            <w:tcBorders>
              <w:left w:val="single" w:sz="2" w:space="0" w:color="auto"/>
            </w:tcBorders>
            <w:vAlign w:val="center"/>
          </w:tcPr>
          <w:p w14:paraId="2904DD75" w14:textId="77777777" w:rsidR="00DC78F1" w:rsidRPr="00A964FF" w:rsidRDefault="00DC78F1" w:rsidP="001F7706">
            <w:pPr>
              <w:jc w:val="center"/>
              <w:rPr>
                <w:rFonts w:ascii="Calibri" w:hAnsi="Calibri"/>
                <w:color w:val="auto"/>
                <w:szCs w:val="21"/>
              </w:rPr>
            </w:pPr>
            <w:r w:rsidRPr="00A964FF">
              <w:rPr>
                <w:rFonts w:ascii="Calibri" w:hAnsi="Calibri" w:hint="eastAsia"/>
                <w:color w:val="auto"/>
                <w:szCs w:val="21"/>
              </w:rPr>
              <w:t>/</w:t>
            </w:r>
          </w:p>
        </w:tc>
        <w:tc>
          <w:tcPr>
            <w:tcW w:w="488" w:type="pct"/>
            <w:vAlign w:val="center"/>
          </w:tcPr>
          <w:p w14:paraId="3AB09CBC" w14:textId="77777777" w:rsidR="00DC78F1" w:rsidRPr="00A964FF" w:rsidRDefault="00DC78F1" w:rsidP="00DC78F1">
            <w:pPr>
              <w:jc w:val="center"/>
              <w:rPr>
                <w:rFonts w:ascii="Calibri" w:hAnsi="Calibri"/>
                <w:color w:val="auto"/>
                <w:szCs w:val="21"/>
                <w:highlight w:val="yellow"/>
              </w:rPr>
            </w:pPr>
            <w:r w:rsidRPr="00A964FF">
              <w:rPr>
                <w:rFonts w:ascii="Calibri" w:hAnsi="Calibri" w:hint="eastAsia"/>
                <w:color w:val="auto"/>
                <w:szCs w:val="21"/>
              </w:rPr>
              <w:t>二类区</w:t>
            </w:r>
          </w:p>
        </w:tc>
        <w:tc>
          <w:tcPr>
            <w:tcW w:w="367" w:type="pct"/>
            <w:vAlign w:val="center"/>
          </w:tcPr>
          <w:p w14:paraId="247999DC" w14:textId="77777777" w:rsidR="00DC78F1" w:rsidRPr="00A964FF" w:rsidRDefault="0080219B" w:rsidP="001F7706">
            <w:pPr>
              <w:jc w:val="center"/>
              <w:rPr>
                <w:rFonts w:ascii="Calibri" w:hAnsi="Calibri"/>
                <w:color w:val="auto"/>
                <w:szCs w:val="21"/>
              </w:rPr>
            </w:pPr>
            <w:r>
              <w:rPr>
                <w:rFonts w:ascii="Calibri" w:hAnsi="Calibri"/>
                <w:color w:val="auto"/>
                <w:szCs w:val="21"/>
              </w:rPr>
              <w:t>W</w:t>
            </w:r>
          </w:p>
        </w:tc>
        <w:tc>
          <w:tcPr>
            <w:tcW w:w="694" w:type="pct"/>
            <w:vAlign w:val="center"/>
          </w:tcPr>
          <w:p w14:paraId="68106449" w14:textId="77777777" w:rsidR="00DC78F1" w:rsidRPr="00A964FF" w:rsidRDefault="00C40A97" w:rsidP="001F7706">
            <w:pPr>
              <w:jc w:val="center"/>
              <w:rPr>
                <w:rFonts w:ascii="Calibri" w:hAnsi="Calibri"/>
                <w:color w:val="auto"/>
                <w:szCs w:val="21"/>
              </w:rPr>
            </w:pPr>
            <w:r>
              <w:rPr>
                <w:rFonts w:ascii="Calibri" w:hAnsi="Calibri" w:hint="eastAsia"/>
                <w:color w:val="auto"/>
                <w:szCs w:val="21"/>
              </w:rPr>
              <w:t>710</w:t>
            </w:r>
          </w:p>
        </w:tc>
      </w:tr>
      <w:tr w:rsidR="001C732F" w:rsidRPr="00A964FF" w14:paraId="7812109C" w14:textId="77777777" w:rsidTr="0080219B">
        <w:trPr>
          <w:trHeight w:val="340"/>
        </w:trPr>
        <w:tc>
          <w:tcPr>
            <w:tcW w:w="291" w:type="pct"/>
            <w:vAlign w:val="center"/>
          </w:tcPr>
          <w:p w14:paraId="69FC8C96" w14:textId="77777777" w:rsidR="001C732F" w:rsidRPr="00A964FF" w:rsidRDefault="00D33C21" w:rsidP="00DC78F1">
            <w:pPr>
              <w:jc w:val="center"/>
              <w:rPr>
                <w:rFonts w:ascii="Calibri" w:hAnsi="Calibri"/>
                <w:color w:val="auto"/>
                <w:szCs w:val="21"/>
              </w:rPr>
            </w:pPr>
            <w:r>
              <w:rPr>
                <w:rFonts w:ascii="Calibri" w:hAnsi="Calibri"/>
                <w:color w:val="auto"/>
                <w:szCs w:val="21"/>
              </w:rPr>
              <w:t>17</w:t>
            </w:r>
          </w:p>
        </w:tc>
        <w:tc>
          <w:tcPr>
            <w:tcW w:w="889" w:type="pct"/>
            <w:vAlign w:val="center"/>
          </w:tcPr>
          <w:p w14:paraId="18AA3EB8" w14:textId="77777777" w:rsidR="001C732F" w:rsidRPr="00A964FF" w:rsidRDefault="001C732F" w:rsidP="00650C79">
            <w:pPr>
              <w:jc w:val="center"/>
              <w:rPr>
                <w:rFonts w:ascii="Calibri" w:hAnsi="Calibri"/>
                <w:color w:val="auto"/>
                <w:szCs w:val="21"/>
              </w:rPr>
            </w:pPr>
            <w:r w:rsidRPr="00A964FF">
              <w:rPr>
                <w:rFonts w:ascii="Calibri" w:hAnsi="Calibri"/>
                <w:color w:val="auto"/>
                <w:szCs w:val="21"/>
              </w:rPr>
              <w:t>113.440985626</w:t>
            </w:r>
          </w:p>
        </w:tc>
        <w:tc>
          <w:tcPr>
            <w:tcW w:w="889" w:type="pct"/>
            <w:vAlign w:val="center"/>
          </w:tcPr>
          <w:p w14:paraId="5634E5B8" w14:textId="77777777" w:rsidR="001C732F" w:rsidRPr="00A964FF" w:rsidRDefault="001C732F" w:rsidP="00650C79">
            <w:pPr>
              <w:jc w:val="center"/>
              <w:rPr>
                <w:rFonts w:ascii="Calibri" w:hAnsi="Calibri"/>
                <w:color w:val="auto"/>
                <w:szCs w:val="21"/>
              </w:rPr>
            </w:pPr>
            <w:r w:rsidRPr="00A964FF">
              <w:rPr>
                <w:rFonts w:ascii="Calibri" w:hAnsi="Calibri"/>
                <w:color w:val="auto"/>
                <w:szCs w:val="21"/>
              </w:rPr>
              <w:t>33.675702132</w:t>
            </w:r>
          </w:p>
        </w:tc>
        <w:tc>
          <w:tcPr>
            <w:tcW w:w="756" w:type="pct"/>
            <w:tcBorders>
              <w:right w:val="single" w:sz="2" w:space="0" w:color="auto"/>
            </w:tcBorders>
            <w:vAlign w:val="center"/>
          </w:tcPr>
          <w:p w14:paraId="465DAB9F" w14:textId="77777777" w:rsidR="001C732F" w:rsidRPr="00A964FF" w:rsidRDefault="001C732F" w:rsidP="00650C79">
            <w:pPr>
              <w:jc w:val="center"/>
              <w:rPr>
                <w:rFonts w:ascii="Calibri" w:hAnsi="Calibri"/>
                <w:color w:val="auto"/>
                <w:szCs w:val="21"/>
              </w:rPr>
            </w:pPr>
            <w:r w:rsidRPr="00A964FF">
              <w:rPr>
                <w:rFonts w:ascii="Calibri" w:hAnsi="Calibri" w:hint="eastAsia"/>
                <w:color w:val="auto"/>
                <w:szCs w:val="21"/>
              </w:rPr>
              <w:t>常李东南岗遗址</w:t>
            </w:r>
          </w:p>
        </w:tc>
        <w:tc>
          <w:tcPr>
            <w:tcW w:w="625" w:type="pct"/>
            <w:tcBorders>
              <w:left w:val="single" w:sz="2" w:space="0" w:color="auto"/>
            </w:tcBorders>
            <w:vAlign w:val="center"/>
          </w:tcPr>
          <w:p w14:paraId="128DBC32" w14:textId="77777777" w:rsidR="001C732F" w:rsidRPr="00A964FF" w:rsidRDefault="001C732F" w:rsidP="00650C79">
            <w:pPr>
              <w:jc w:val="center"/>
              <w:rPr>
                <w:rFonts w:ascii="Calibri" w:hAnsi="Calibri"/>
                <w:color w:val="auto"/>
                <w:szCs w:val="21"/>
              </w:rPr>
            </w:pPr>
            <w:r w:rsidRPr="00A964FF">
              <w:rPr>
                <w:rFonts w:ascii="Calibri" w:hAnsi="Calibri" w:hint="eastAsia"/>
                <w:color w:val="auto"/>
                <w:szCs w:val="21"/>
              </w:rPr>
              <w:t>/</w:t>
            </w:r>
          </w:p>
        </w:tc>
        <w:tc>
          <w:tcPr>
            <w:tcW w:w="488" w:type="pct"/>
            <w:vAlign w:val="center"/>
          </w:tcPr>
          <w:p w14:paraId="62797DF0" w14:textId="77777777" w:rsidR="001C732F" w:rsidRPr="00A964FF" w:rsidRDefault="001C732F" w:rsidP="00650C79">
            <w:pPr>
              <w:jc w:val="center"/>
              <w:rPr>
                <w:rFonts w:ascii="Calibri" w:hAnsi="Calibri"/>
                <w:color w:val="auto"/>
                <w:szCs w:val="21"/>
              </w:rPr>
            </w:pPr>
            <w:r w:rsidRPr="00A964FF">
              <w:rPr>
                <w:rFonts w:ascii="Calibri" w:hAnsi="Calibri" w:hint="eastAsia"/>
                <w:color w:val="auto"/>
                <w:szCs w:val="21"/>
              </w:rPr>
              <w:t>二类区</w:t>
            </w:r>
          </w:p>
        </w:tc>
        <w:tc>
          <w:tcPr>
            <w:tcW w:w="367" w:type="pct"/>
            <w:vAlign w:val="center"/>
          </w:tcPr>
          <w:p w14:paraId="69E14DBB" w14:textId="77777777" w:rsidR="001C732F" w:rsidRPr="00A964FF" w:rsidRDefault="0080219B" w:rsidP="00650C79">
            <w:pPr>
              <w:jc w:val="center"/>
              <w:rPr>
                <w:rFonts w:ascii="Calibri" w:hAnsi="Calibri"/>
                <w:color w:val="auto"/>
                <w:szCs w:val="21"/>
              </w:rPr>
            </w:pPr>
            <w:r>
              <w:rPr>
                <w:rFonts w:ascii="Calibri" w:hAnsi="Calibri"/>
                <w:color w:val="auto"/>
                <w:szCs w:val="21"/>
              </w:rPr>
              <w:t>W</w:t>
            </w:r>
          </w:p>
        </w:tc>
        <w:tc>
          <w:tcPr>
            <w:tcW w:w="694" w:type="pct"/>
            <w:vAlign w:val="center"/>
          </w:tcPr>
          <w:p w14:paraId="036FEE35" w14:textId="77777777" w:rsidR="001C732F" w:rsidRPr="00A964FF" w:rsidRDefault="00F723F1" w:rsidP="00650C79">
            <w:pPr>
              <w:jc w:val="center"/>
              <w:rPr>
                <w:rFonts w:ascii="Calibri" w:hAnsi="Calibri"/>
                <w:color w:val="auto"/>
                <w:szCs w:val="21"/>
              </w:rPr>
            </w:pPr>
            <w:r>
              <w:rPr>
                <w:rFonts w:ascii="Calibri" w:hAnsi="Calibri"/>
                <w:color w:val="auto"/>
                <w:szCs w:val="21"/>
              </w:rPr>
              <w:t>230</w:t>
            </w:r>
          </w:p>
        </w:tc>
      </w:tr>
    </w:tbl>
    <w:p w14:paraId="68143B10" w14:textId="77777777" w:rsidR="00DC78F1" w:rsidRPr="00A964FF" w:rsidRDefault="00DC78F1" w:rsidP="00DC78F1">
      <w:pPr>
        <w:spacing w:line="520" w:lineRule="exact"/>
        <w:ind w:firstLine="482"/>
        <w:rPr>
          <w:rFonts w:ascii="Calibri" w:cs="Times New Roman"/>
          <w:color w:val="auto"/>
          <w:szCs w:val="21"/>
        </w:rPr>
      </w:pPr>
      <w:r w:rsidRPr="00A964FF">
        <w:rPr>
          <w:rFonts w:ascii="Calibri" w:cs="Times New Roman" w:hint="eastAsia"/>
          <w:color w:val="auto"/>
          <w:szCs w:val="21"/>
        </w:rPr>
        <w:t>备注：</w:t>
      </w:r>
      <w:r w:rsidR="001C732F" w:rsidRPr="00A964FF">
        <w:rPr>
          <w:rFonts w:ascii="Calibri" w:cs="Times New Roman" w:hint="eastAsia"/>
          <w:color w:val="auto"/>
          <w:szCs w:val="21"/>
        </w:rPr>
        <w:t>①</w:t>
      </w:r>
      <w:r w:rsidR="001C732F" w:rsidRPr="00A964FF">
        <w:rPr>
          <w:rFonts w:ascii="Calibri" w:cs="Times New Roman" w:hint="eastAsia"/>
          <w:color w:val="auto"/>
          <w:szCs w:val="21"/>
        </w:rPr>
        <w:t xml:space="preserve"> </w:t>
      </w:r>
      <w:r w:rsidRPr="00A964FF">
        <w:rPr>
          <w:rFonts w:ascii="Calibri" w:cs="Times New Roman" w:hint="eastAsia"/>
          <w:color w:val="auto"/>
          <w:szCs w:val="21"/>
        </w:rPr>
        <w:t>望娘楼为市级文物保护单位，经调查，望娘楼为典型清代建筑，望娘楼内不设置看护人员。望娘楼为三间五层，南北长</w:t>
      </w:r>
      <w:r w:rsidRPr="00A964FF">
        <w:rPr>
          <w:rFonts w:ascii="Calibri" w:cs="Times New Roman"/>
          <w:color w:val="auto"/>
          <w:szCs w:val="21"/>
        </w:rPr>
        <w:t>7</w:t>
      </w:r>
      <w:r w:rsidRPr="00A964FF">
        <w:rPr>
          <w:rFonts w:ascii="Calibri" w:cs="Times New Roman" w:hint="eastAsia"/>
          <w:color w:val="auto"/>
          <w:szCs w:val="21"/>
        </w:rPr>
        <w:t>米半，东西宽</w:t>
      </w:r>
      <w:r w:rsidRPr="00A964FF">
        <w:rPr>
          <w:rFonts w:ascii="Calibri" w:cs="Times New Roman"/>
          <w:color w:val="auto"/>
          <w:szCs w:val="21"/>
        </w:rPr>
        <w:t>5</w:t>
      </w:r>
      <w:r w:rsidRPr="00A964FF">
        <w:rPr>
          <w:rFonts w:ascii="Calibri" w:cs="Times New Roman" w:hint="eastAsia"/>
          <w:color w:val="auto"/>
          <w:szCs w:val="21"/>
        </w:rPr>
        <w:t>米多，高</w:t>
      </w:r>
      <w:r w:rsidRPr="00A964FF">
        <w:rPr>
          <w:rFonts w:ascii="Calibri" w:cs="Times New Roman"/>
          <w:color w:val="auto"/>
          <w:szCs w:val="21"/>
        </w:rPr>
        <w:t>20</w:t>
      </w:r>
      <w:r w:rsidRPr="00A964FF">
        <w:rPr>
          <w:rFonts w:ascii="Calibri" w:cs="Times New Roman" w:hint="eastAsia"/>
          <w:color w:val="auto"/>
          <w:szCs w:val="21"/>
        </w:rPr>
        <w:t>多米，从下到上略有收缩，几乎呈塔形，</w:t>
      </w:r>
      <w:r w:rsidRPr="00A964FF">
        <w:rPr>
          <w:rFonts w:ascii="Calibri" w:cs="Times New Roman"/>
          <w:color w:val="auto"/>
          <w:szCs w:val="21"/>
        </w:rPr>
        <w:t>3</w:t>
      </w:r>
      <w:r w:rsidRPr="00A964FF">
        <w:rPr>
          <w:rFonts w:ascii="Calibri" w:cs="Times New Roman" w:hint="eastAsia"/>
          <w:color w:val="auto"/>
          <w:szCs w:val="21"/>
        </w:rPr>
        <w:t>层往上，每一层都有窗口。望娘楼</w:t>
      </w:r>
      <w:r w:rsidRPr="00A964FF">
        <w:rPr>
          <w:rFonts w:ascii="Calibri" w:cs="Times New Roman"/>
          <w:color w:val="auto"/>
          <w:szCs w:val="21"/>
        </w:rPr>
        <w:t>2012</w:t>
      </w:r>
      <w:r w:rsidRPr="00A964FF">
        <w:rPr>
          <w:rFonts w:ascii="Calibri" w:cs="Times New Roman" w:hint="eastAsia"/>
          <w:color w:val="auto"/>
          <w:szCs w:val="21"/>
        </w:rPr>
        <w:t>年</w:t>
      </w:r>
      <w:r w:rsidRPr="00A964FF">
        <w:rPr>
          <w:rFonts w:ascii="Calibri" w:cs="Times New Roman"/>
          <w:color w:val="auto"/>
          <w:szCs w:val="21"/>
        </w:rPr>
        <w:t>9</w:t>
      </w:r>
      <w:r w:rsidRPr="00A964FF">
        <w:rPr>
          <w:rFonts w:ascii="Calibri" w:cs="Times New Roman" w:hint="eastAsia"/>
          <w:color w:val="auto"/>
          <w:szCs w:val="21"/>
        </w:rPr>
        <w:t>月被公布为市级文物保护单位，</w:t>
      </w:r>
      <w:r w:rsidR="00806B1B" w:rsidRPr="00A964FF">
        <w:rPr>
          <w:rFonts w:ascii="Calibri" w:hAnsi="Calibri" w:hint="eastAsia"/>
          <w:color w:val="auto"/>
        </w:rPr>
        <w:t>2021</w:t>
      </w:r>
      <w:r w:rsidR="00806B1B" w:rsidRPr="00A964FF">
        <w:rPr>
          <w:rFonts w:ascii="Calibri" w:hAnsi="Calibri" w:hint="eastAsia"/>
          <w:color w:val="auto"/>
        </w:rPr>
        <w:t>年</w:t>
      </w:r>
      <w:r w:rsidR="00806B1B" w:rsidRPr="00A964FF">
        <w:rPr>
          <w:rFonts w:ascii="Calibri" w:hAnsi="Calibri" w:hint="eastAsia"/>
          <w:color w:val="auto"/>
        </w:rPr>
        <w:t>12</w:t>
      </w:r>
      <w:r w:rsidR="00806B1B" w:rsidRPr="00A964FF">
        <w:rPr>
          <w:rFonts w:ascii="Calibri" w:hAnsi="Calibri" w:hint="eastAsia"/>
          <w:color w:val="auto"/>
        </w:rPr>
        <w:t>月被公布为河南省文物保护单位，</w:t>
      </w:r>
      <w:r w:rsidRPr="00A964FF">
        <w:rPr>
          <w:rFonts w:ascii="Calibri" w:cs="Times New Roman" w:hint="eastAsia"/>
          <w:color w:val="auto"/>
          <w:szCs w:val="21"/>
        </w:rPr>
        <w:t>根据《叶县人民政府关于公布叶县第一批第二批县级文物保护单位的保护范围和建设控制地带的通知》（叶政【</w:t>
      </w:r>
      <w:r w:rsidRPr="00A964FF">
        <w:rPr>
          <w:rFonts w:ascii="Calibri" w:cs="Times New Roman"/>
          <w:color w:val="auto"/>
          <w:szCs w:val="21"/>
        </w:rPr>
        <w:t>2009</w:t>
      </w:r>
      <w:r w:rsidRPr="00A964FF">
        <w:rPr>
          <w:rFonts w:ascii="Calibri" w:cs="Times New Roman" w:hint="eastAsia"/>
          <w:color w:val="auto"/>
          <w:szCs w:val="21"/>
        </w:rPr>
        <w:t>】</w:t>
      </w:r>
      <w:r w:rsidRPr="00A964FF">
        <w:rPr>
          <w:rFonts w:ascii="Calibri" w:cs="Times New Roman"/>
          <w:color w:val="auto"/>
          <w:szCs w:val="21"/>
        </w:rPr>
        <w:t>50</w:t>
      </w:r>
      <w:r w:rsidRPr="00A964FF">
        <w:rPr>
          <w:rFonts w:ascii="Calibri" w:cs="Times New Roman" w:hint="eastAsia"/>
          <w:color w:val="auto"/>
          <w:szCs w:val="21"/>
        </w:rPr>
        <w:t>号），望娘楼保护范围为以主楼为坐标，四周各外扩</w:t>
      </w:r>
      <w:r w:rsidRPr="00A964FF">
        <w:rPr>
          <w:rFonts w:ascii="Calibri" w:cs="Times New Roman"/>
          <w:color w:val="auto"/>
          <w:szCs w:val="21"/>
        </w:rPr>
        <w:t>20</w:t>
      </w:r>
      <w:r w:rsidRPr="00A964FF">
        <w:rPr>
          <w:rFonts w:ascii="Calibri" w:cs="Times New Roman" w:hint="eastAsia"/>
          <w:color w:val="auto"/>
          <w:szCs w:val="21"/>
        </w:rPr>
        <w:t>米；建设控制地带为南到楼南院大门前街、北到后街，东西各外扩至各古建外</w:t>
      </w:r>
      <w:r w:rsidRPr="00A964FF">
        <w:rPr>
          <w:rFonts w:ascii="Calibri" w:cs="Times New Roman"/>
          <w:color w:val="auto"/>
          <w:szCs w:val="21"/>
        </w:rPr>
        <w:t>20</w:t>
      </w:r>
      <w:r w:rsidRPr="00A964FF">
        <w:rPr>
          <w:rFonts w:ascii="Calibri" w:cs="Times New Roman" w:hint="eastAsia"/>
          <w:color w:val="auto"/>
          <w:szCs w:val="21"/>
        </w:rPr>
        <w:t>米。本项目距离望娘楼约</w:t>
      </w:r>
      <w:r w:rsidR="00C40A97">
        <w:rPr>
          <w:rFonts w:ascii="Calibri" w:cs="Times New Roman"/>
          <w:color w:val="auto"/>
          <w:szCs w:val="21"/>
        </w:rPr>
        <w:t>710</w:t>
      </w:r>
      <w:r w:rsidRPr="00A964FF">
        <w:rPr>
          <w:rFonts w:ascii="Calibri" w:cs="Times New Roman"/>
          <w:color w:val="auto"/>
          <w:szCs w:val="21"/>
        </w:rPr>
        <w:t>m</w:t>
      </w:r>
      <w:r w:rsidRPr="00A964FF">
        <w:rPr>
          <w:rFonts w:ascii="Calibri" w:cs="Times New Roman" w:hint="eastAsia"/>
          <w:color w:val="auto"/>
          <w:szCs w:val="21"/>
        </w:rPr>
        <w:t>，选址不在其保护范围内。</w:t>
      </w:r>
    </w:p>
    <w:p w14:paraId="6B2AC188" w14:textId="156DD9BA" w:rsidR="001C732F" w:rsidRDefault="001C732F" w:rsidP="00B95D57">
      <w:pPr>
        <w:spacing w:line="520" w:lineRule="exact"/>
        <w:ind w:firstLine="482"/>
        <w:rPr>
          <w:rFonts w:ascii="Calibri" w:cs="Times New Roman"/>
          <w:color w:val="auto"/>
          <w:szCs w:val="21"/>
        </w:rPr>
      </w:pPr>
      <w:r w:rsidRPr="00A964FF">
        <w:rPr>
          <w:rFonts w:ascii="Calibri" w:cs="Times New Roman" w:hint="eastAsia"/>
          <w:color w:val="auto"/>
          <w:szCs w:val="21"/>
        </w:rPr>
        <w:t>②</w:t>
      </w:r>
      <w:r w:rsidRPr="00A964FF">
        <w:rPr>
          <w:rFonts w:ascii="Calibri" w:cs="Times New Roman" w:hint="eastAsia"/>
          <w:color w:val="auto"/>
          <w:szCs w:val="21"/>
        </w:rPr>
        <w:t xml:space="preserve"> </w:t>
      </w:r>
      <w:r w:rsidRPr="00A964FF">
        <w:rPr>
          <w:rFonts w:ascii="Calibri" w:cs="Times New Roman" w:hint="eastAsia"/>
          <w:color w:val="auto"/>
          <w:szCs w:val="21"/>
        </w:rPr>
        <w:t>常李东南岗遗址为县级文物保护单位，位于龚店镇常李村</w:t>
      </w:r>
      <w:r w:rsidR="00650C79" w:rsidRPr="00A964FF">
        <w:rPr>
          <w:rFonts w:ascii="Calibri" w:cs="Times New Roman" w:hint="eastAsia"/>
          <w:color w:val="auto"/>
          <w:szCs w:val="21"/>
        </w:rPr>
        <w:t>，为地下文物保护单位，无地面保护设施和构筑物</w:t>
      </w:r>
      <w:r w:rsidRPr="00A964FF">
        <w:rPr>
          <w:rFonts w:ascii="Calibri" w:cs="Times New Roman" w:hint="eastAsia"/>
          <w:color w:val="auto"/>
          <w:szCs w:val="21"/>
        </w:rPr>
        <w:t>。</w:t>
      </w:r>
      <w:r w:rsidR="00B95D57" w:rsidRPr="00A964FF">
        <w:rPr>
          <w:rFonts w:ascii="Calibri" w:hint="eastAsia"/>
          <w:color w:val="auto"/>
        </w:rPr>
        <w:t>依据本项目《文物勘探报告》（平顶山市文物保护工作咨询服务中心），常李东南岗遗址在地表发现有白瓷片、青瓷、白底黑花瓷片、陶片、瓦片、汉砖等，可辨认器型有瓷碗、瓷杯、</w:t>
      </w:r>
      <w:r w:rsidR="00C81F40">
        <w:rPr>
          <w:rFonts w:hint="eastAsia"/>
        </w:rPr>
        <w:t>瓷瓦</w:t>
      </w:r>
      <w:r w:rsidR="00B95D57" w:rsidRPr="00A964FF">
        <w:rPr>
          <w:rFonts w:ascii="Calibri" w:hint="eastAsia"/>
          <w:color w:val="auto"/>
        </w:rPr>
        <w:t>、陶罐、陶盆等；勘探中发现烧土颗粒、草木灰、瓦片、瓷片、素面灰陶等，根据陶片特征推测该遗址年代主要为宋元时期，并发现汉代时期陶片；目前正在进行文物发掘。</w:t>
      </w:r>
      <w:r w:rsidRPr="00A964FF">
        <w:rPr>
          <w:rFonts w:ascii="Calibri" w:cs="Times New Roman" w:hint="eastAsia"/>
          <w:color w:val="auto"/>
          <w:szCs w:val="21"/>
        </w:rPr>
        <w:lastRenderedPageBreak/>
        <w:t>经调查，常李东南岗遗址保护范围为：以遗址中心为坐标，西到叶邓公路至常李村公路，北到石塘河（石潭河），南到叶邓公路，东到叶邓公路与石塘河（石潭河）交汇处</w:t>
      </w:r>
      <w:r w:rsidR="00AD7758">
        <w:rPr>
          <w:rFonts w:ascii="Calibri" w:cs="Times New Roman" w:hint="eastAsia"/>
          <w:color w:val="auto"/>
          <w:szCs w:val="21"/>
        </w:rPr>
        <w:t>。</w:t>
      </w:r>
    </w:p>
    <w:p w14:paraId="624F6DBF" w14:textId="77777777" w:rsidR="00AD7758" w:rsidRPr="00A964FF" w:rsidRDefault="00AD7758" w:rsidP="00F723F1">
      <w:pPr>
        <w:spacing w:line="520" w:lineRule="exact"/>
        <w:ind w:firstLine="482"/>
        <w:rPr>
          <w:rFonts w:ascii="Calibri" w:cs="Times New Roman"/>
          <w:color w:val="auto"/>
          <w:szCs w:val="21"/>
        </w:rPr>
      </w:pPr>
      <w:r w:rsidRPr="00A964FF">
        <w:rPr>
          <w:rFonts w:ascii="Calibri" w:cs="Times New Roman" w:hint="eastAsia"/>
          <w:color w:val="auto"/>
          <w:szCs w:val="21"/>
        </w:rPr>
        <w:t>本项目距离</w:t>
      </w:r>
      <w:r w:rsidRPr="00AD7758">
        <w:rPr>
          <w:rFonts w:ascii="Calibri" w:cs="Times New Roman" w:hint="eastAsia"/>
          <w:color w:val="auto"/>
          <w:szCs w:val="21"/>
        </w:rPr>
        <w:t>常</w:t>
      </w:r>
      <w:r w:rsidR="00F723F1" w:rsidRPr="00AD7758">
        <w:rPr>
          <w:rFonts w:ascii="Calibri" w:cs="Times New Roman" w:hint="eastAsia"/>
          <w:color w:val="auto"/>
          <w:szCs w:val="21"/>
        </w:rPr>
        <w:t>李东南岗遗址</w:t>
      </w:r>
      <w:r w:rsidR="00F723F1">
        <w:rPr>
          <w:rFonts w:ascii="Calibri" w:cs="Times New Roman" w:hint="eastAsia"/>
          <w:color w:val="auto"/>
          <w:szCs w:val="21"/>
        </w:rPr>
        <w:t>保护区</w:t>
      </w:r>
      <w:r w:rsidR="00F723F1">
        <w:rPr>
          <w:rFonts w:ascii="Calibri" w:cs="Times New Roman"/>
          <w:color w:val="auto"/>
          <w:szCs w:val="21"/>
        </w:rPr>
        <w:t>范围</w:t>
      </w:r>
      <w:r w:rsidR="00F723F1">
        <w:rPr>
          <w:rFonts w:ascii="Calibri" w:cs="Times New Roman" w:hint="eastAsia"/>
          <w:color w:val="auto"/>
          <w:szCs w:val="21"/>
        </w:rPr>
        <w:t>230</w:t>
      </w:r>
      <w:r w:rsidR="00F723F1">
        <w:rPr>
          <w:rFonts w:ascii="Calibri" w:cs="Times New Roman"/>
          <w:color w:val="auto"/>
          <w:szCs w:val="21"/>
        </w:rPr>
        <w:t>m</w:t>
      </w:r>
      <w:r w:rsidR="00F723F1">
        <w:rPr>
          <w:rFonts w:ascii="Calibri" w:cs="Times New Roman" w:hint="eastAsia"/>
          <w:color w:val="auto"/>
          <w:szCs w:val="21"/>
        </w:rPr>
        <w:t>，距离其</w:t>
      </w:r>
      <w:r w:rsidR="001E3788">
        <w:rPr>
          <w:rFonts w:ascii="Calibri" w:cs="Times New Roman" w:hint="eastAsia"/>
          <w:color w:val="auto"/>
          <w:szCs w:val="21"/>
        </w:rPr>
        <w:t>建设</w:t>
      </w:r>
      <w:r w:rsidR="001E3788">
        <w:rPr>
          <w:rFonts w:ascii="Calibri" w:cs="Times New Roman"/>
          <w:color w:val="auto"/>
          <w:szCs w:val="21"/>
        </w:rPr>
        <w:t>控制地带</w:t>
      </w:r>
      <w:r w:rsidR="001E3788">
        <w:rPr>
          <w:rFonts w:ascii="Calibri" w:cs="Times New Roman" w:hint="eastAsia"/>
          <w:color w:val="auto"/>
          <w:szCs w:val="21"/>
        </w:rPr>
        <w:t>90</w:t>
      </w:r>
      <w:r w:rsidR="001E3788">
        <w:rPr>
          <w:rFonts w:ascii="Calibri" w:cs="Times New Roman"/>
          <w:color w:val="auto"/>
          <w:szCs w:val="21"/>
        </w:rPr>
        <w:t>m</w:t>
      </w:r>
      <w:r w:rsidRPr="00A964FF">
        <w:rPr>
          <w:rFonts w:ascii="Calibri" w:cs="Times New Roman" w:hint="eastAsia"/>
          <w:color w:val="auto"/>
          <w:szCs w:val="21"/>
        </w:rPr>
        <w:t>，选址不在其保护范围内。</w:t>
      </w:r>
    </w:p>
    <w:p w14:paraId="1C323598" w14:textId="77777777" w:rsidR="008E60DB" w:rsidRPr="00A964FF" w:rsidRDefault="008E60DB" w:rsidP="000E33B8">
      <w:pPr>
        <w:spacing w:line="520" w:lineRule="exact"/>
        <w:ind w:firstLineChars="200" w:firstLine="480"/>
        <w:rPr>
          <w:rFonts w:ascii="Calibri" w:eastAsia="黑体" w:hAnsi="Calibri"/>
          <w:bCs/>
          <w:color w:val="auto"/>
          <w:sz w:val="24"/>
        </w:rPr>
      </w:pPr>
      <w:r w:rsidRPr="00A964FF">
        <w:rPr>
          <w:rFonts w:ascii="Calibri" w:eastAsia="黑体"/>
          <w:color w:val="auto"/>
          <w:sz w:val="24"/>
        </w:rPr>
        <w:t>表</w:t>
      </w:r>
      <w:r w:rsidRPr="00A964FF">
        <w:rPr>
          <w:rFonts w:ascii="Calibri" w:eastAsia="黑体" w:hAnsi="Calibri"/>
          <w:color w:val="auto"/>
          <w:sz w:val="24"/>
        </w:rPr>
        <w:t>1</w:t>
      </w:r>
      <w:r w:rsidR="001E0BBA" w:rsidRPr="00A964FF">
        <w:rPr>
          <w:rFonts w:ascii="Calibri" w:eastAsia="黑体" w:hAnsi="Calibri" w:hint="eastAsia"/>
          <w:color w:val="auto"/>
          <w:sz w:val="24"/>
        </w:rPr>
        <w:t>.7</w:t>
      </w:r>
      <w:r w:rsidRPr="00A964FF">
        <w:rPr>
          <w:rFonts w:ascii="Calibri" w:eastAsia="黑体" w:hAnsi="Calibri"/>
          <w:color w:val="auto"/>
          <w:sz w:val="24"/>
        </w:rPr>
        <w:t>-</w:t>
      </w:r>
      <w:r w:rsidR="001E0BBA" w:rsidRPr="00A964FF">
        <w:rPr>
          <w:rFonts w:ascii="Calibri" w:eastAsia="黑体" w:hAnsi="Calibri" w:hint="eastAsia"/>
          <w:color w:val="auto"/>
          <w:sz w:val="24"/>
        </w:rPr>
        <w:t>2</w:t>
      </w:r>
      <w:r w:rsidR="00824529" w:rsidRPr="00A964FF">
        <w:rPr>
          <w:rFonts w:ascii="Calibri" w:eastAsia="黑体" w:hAnsi="Calibri"/>
          <w:color w:val="auto"/>
          <w:sz w:val="24"/>
        </w:rPr>
        <w:t xml:space="preserve">      </w:t>
      </w:r>
      <w:r w:rsidR="00F723F1">
        <w:rPr>
          <w:rFonts w:ascii="Calibri" w:eastAsia="黑体" w:hAnsi="Calibri"/>
          <w:color w:val="auto"/>
          <w:sz w:val="24"/>
        </w:rPr>
        <w:t xml:space="preserve"> </w:t>
      </w:r>
      <w:r w:rsidRPr="00A964FF">
        <w:rPr>
          <w:rFonts w:ascii="Calibri" w:eastAsia="黑体"/>
          <w:color w:val="auto"/>
          <w:sz w:val="24"/>
        </w:rPr>
        <w:t>项目周围</w:t>
      </w:r>
      <w:r w:rsidRPr="00A964FF">
        <w:rPr>
          <w:rFonts w:ascii="Calibri" w:eastAsia="黑体" w:hint="eastAsia"/>
          <w:color w:val="auto"/>
          <w:sz w:val="24"/>
        </w:rPr>
        <w:t>地表水、地下水</w:t>
      </w:r>
      <w:r w:rsidR="00824529" w:rsidRPr="00A964FF">
        <w:rPr>
          <w:rFonts w:ascii="Calibri" w:eastAsia="黑体" w:hint="eastAsia"/>
          <w:color w:val="auto"/>
          <w:sz w:val="24"/>
        </w:rPr>
        <w:t>、土壤</w:t>
      </w:r>
      <w:r w:rsidR="00F723F1">
        <w:rPr>
          <w:rFonts w:ascii="Calibri" w:eastAsia="黑体" w:hint="eastAsia"/>
          <w:color w:val="auto"/>
          <w:sz w:val="24"/>
        </w:rPr>
        <w:t>、</w:t>
      </w:r>
      <w:r w:rsidR="00F723F1">
        <w:rPr>
          <w:rFonts w:ascii="Calibri" w:eastAsia="黑体"/>
          <w:color w:val="auto"/>
          <w:sz w:val="24"/>
        </w:rPr>
        <w:t>风险</w:t>
      </w:r>
      <w:r w:rsidRPr="00A964FF">
        <w:rPr>
          <w:rFonts w:ascii="Calibri" w:eastAsia="黑体"/>
          <w:color w:val="auto"/>
          <w:sz w:val="24"/>
        </w:rPr>
        <w:t>环境保护目标</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181"/>
        <w:gridCol w:w="1533"/>
        <w:gridCol w:w="828"/>
        <w:gridCol w:w="1121"/>
        <w:gridCol w:w="1397"/>
        <w:gridCol w:w="2640"/>
      </w:tblGrid>
      <w:tr w:rsidR="008E60DB" w:rsidRPr="00A964FF" w14:paraId="699265DE" w14:textId="77777777" w:rsidTr="00C40A97">
        <w:trPr>
          <w:trHeight w:val="340"/>
        </w:trPr>
        <w:tc>
          <w:tcPr>
            <w:tcW w:w="679" w:type="pct"/>
            <w:tcMar>
              <w:top w:w="0" w:type="dxa"/>
              <w:bottom w:w="0" w:type="dxa"/>
            </w:tcMar>
            <w:vAlign w:val="center"/>
          </w:tcPr>
          <w:p w14:paraId="4D3ECFB3" w14:textId="77777777" w:rsidR="008E60DB" w:rsidRPr="00A964FF" w:rsidRDefault="008E60DB" w:rsidP="00D54801">
            <w:pPr>
              <w:jc w:val="center"/>
              <w:rPr>
                <w:rFonts w:ascii="Calibri" w:hAnsi="Calibri"/>
                <w:color w:val="auto"/>
                <w:szCs w:val="21"/>
              </w:rPr>
            </w:pPr>
            <w:r w:rsidRPr="00A964FF">
              <w:rPr>
                <w:rFonts w:ascii="Calibri" w:hAnsi="Calibri" w:hint="eastAsia"/>
                <w:color w:val="auto"/>
                <w:szCs w:val="21"/>
              </w:rPr>
              <w:t>环境要素</w:t>
            </w:r>
          </w:p>
        </w:tc>
        <w:tc>
          <w:tcPr>
            <w:tcW w:w="881" w:type="pct"/>
            <w:tcMar>
              <w:top w:w="0" w:type="dxa"/>
              <w:bottom w:w="0" w:type="dxa"/>
            </w:tcMar>
            <w:vAlign w:val="center"/>
          </w:tcPr>
          <w:p w14:paraId="7DB2EACD" w14:textId="77777777" w:rsidR="008E60DB" w:rsidRPr="00A964FF" w:rsidRDefault="008E60DB" w:rsidP="00D54801">
            <w:pPr>
              <w:jc w:val="center"/>
              <w:rPr>
                <w:rFonts w:ascii="Calibri" w:hAnsi="Calibri"/>
                <w:color w:val="auto"/>
                <w:szCs w:val="21"/>
              </w:rPr>
            </w:pPr>
            <w:r w:rsidRPr="00A964FF">
              <w:rPr>
                <w:rFonts w:ascii="Calibri" w:hAnsi="Calibri"/>
                <w:color w:val="auto"/>
                <w:szCs w:val="21"/>
              </w:rPr>
              <w:t>保护目标</w:t>
            </w:r>
          </w:p>
        </w:tc>
        <w:tc>
          <w:tcPr>
            <w:tcW w:w="476" w:type="pct"/>
            <w:tcMar>
              <w:top w:w="0" w:type="dxa"/>
              <w:bottom w:w="0" w:type="dxa"/>
            </w:tcMar>
            <w:vAlign w:val="center"/>
          </w:tcPr>
          <w:p w14:paraId="53E6C670" w14:textId="77777777" w:rsidR="008E60DB" w:rsidRPr="00A964FF" w:rsidRDefault="008E60DB" w:rsidP="00D54801">
            <w:pPr>
              <w:jc w:val="center"/>
              <w:rPr>
                <w:rFonts w:ascii="Calibri" w:hAnsi="Calibri"/>
                <w:color w:val="auto"/>
                <w:szCs w:val="21"/>
              </w:rPr>
            </w:pPr>
            <w:r w:rsidRPr="00A964FF">
              <w:rPr>
                <w:rFonts w:ascii="Calibri" w:hAnsi="Calibri"/>
                <w:color w:val="auto"/>
                <w:szCs w:val="21"/>
              </w:rPr>
              <w:t>方向</w:t>
            </w:r>
          </w:p>
        </w:tc>
        <w:tc>
          <w:tcPr>
            <w:tcW w:w="644" w:type="pct"/>
            <w:tcBorders>
              <w:right w:val="single" w:sz="2" w:space="0" w:color="auto"/>
            </w:tcBorders>
            <w:tcMar>
              <w:top w:w="0" w:type="dxa"/>
              <w:bottom w:w="0" w:type="dxa"/>
            </w:tcMar>
            <w:vAlign w:val="center"/>
          </w:tcPr>
          <w:p w14:paraId="57579C37" w14:textId="77777777" w:rsidR="008E60DB" w:rsidRPr="00A964FF" w:rsidRDefault="008E60DB" w:rsidP="00D54801">
            <w:pPr>
              <w:jc w:val="center"/>
              <w:rPr>
                <w:rFonts w:ascii="Calibri" w:hAnsi="Calibri"/>
                <w:color w:val="auto"/>
                <w:szCs w:val="21"/>
              </w:rPr>
            </w:pPr>
            <w:r w:rsidRPr="00A964FF">
              <w:rPr>
                <w:rFonts w:ascii="Calibri" w:hAnsi="Calibri"/>
                <w:color w:val="auto"/>
                <w:szCs w:val="21"/>
              </w:rPr>
              <w:t>距离</w:t>
            </w:r>
            <w:r w:rsidRPr="00A964FF">
              <w:rPr>
                <w:rFonts w:ascii="Calibri" w:hAnsi="Calibri" w:hint="eastAsia"/>
                <w:color w:val="auto"/>
                <w:szCs w:val="21"/>
              </w:rPr>
              <w:t>（</w:t>
            </w:r>
            <w:r w:rsidRPr="00A964FF">
              <w:rPr>
                <w:rFonts w:ascii="Calibri" w:hAnsi="Calibri" w:hint="eastAsia"/>
                <w:color w:val="auto"/>
                <w:szCs w:val="21"/>
              </w:rPr>
              <w:t>m</w:t>
            </w:r>
            <w:r w:rsidRPr="00A964FF">
              <w:rPr>
                <w:rFonts w:ascii="Calibri" w:hAnsi="Calibri" w:hint="eastAsia"/>
                <w:color w:val="auto"/>
                <w:szCs w:val="21"/>
              </w:rPr>
              <w:t>）</w:t>
            </w:r>
          </w:p>
        </w:tc>
        <w:tc>
          <w:tcPr>
            <w:tcW w:w="803" w:type="pct"/>
            <w:tcBorders>
              <w:left w:val="single" w:sz="2" w:space="0" w:color="auto"/>
            </w:tcBorders>
            <w:tcMar>
              <w:top w:w="0" w:type="dxa"/>
              <w:bottom w:w="0" w:type="dxa"/>
            </w:tcMar>
            <w:vAlign w:val="center"/>
          </w:tcPr>
          <w:p w14:paraId="5710C88A" w14:textId="77777777" w:rsidR="008E60DB" w:rsidRPr="00A964FF" w:rsidRDefault="008E60DB" w:rsidP="00D54801">
            <w:pPr>
              <w:jc w:val="center"/>
              <w:rPr>
                <w:rFonts w:ascii="Calibri" w:hAnsi="Calibri"/>
                <w:color w:val="auto"/>
                <w:szCs w:val="21"/>
              </w:rPr>
            </w:pPr>
            <w:r w:rsidRPr="00A964FF">
              <w:rPr>
                <w:rFonts w:ascii="Calibri" w:hAnsi="Calibri" w:hint="eastAsia"/>
                <w:color w:val="auto"/>
                <w:szCs w:val="21"/>
              </w:rPr>
              <w:t>功能</w:t>
            </w:r>
          </w:p>
        </w:tc>
        <w:tc>
          <w:tcPr>
            <w:tcW w:w="1517" w:type="pct"/>
            <w:tcBorders>
              <w:bottom w:val="single" w:sz="4" w:space="0" w:color="auto"/>
            </w:tcBorders>
            <w:tcMar>
              <w:top w:w="0" w:type="dxa"/>
              <w:bottom w:w="0" w:type="dxa"/>
            </w:tcMar>
            <w:vAlign w:val="center"/>
          </w:tcPr>
          <w:p w14:paraId="39EA38D0" w14:textId="77777777" w:rsidR="008E60DB" w:rsidRPr="00A964FF" w:rsidRDefault="008E60DB" w:rsidP="00D54801">
            <w:pPr>
              <w:jc w:val="center"/>
              <w:rPr>
                <w:rFonts w:ascii="Calibri" w:hAnsi="Calibri"/>
                <w:color w:val="auto"/>
                <w:szCs w:val="21"/>
              </w:rPr>
            </w:pPr>
            <w:r w:rsidRPr="00A964FF">
              <w:rPr>
                <w:rFonts w:ascii="Calibri" w:hAnsi="Calibri"/>
                <w:color w:val="auto"/>
                <w:szCs w:val="21"/>
              </w:rPr>
              <w:t>保护级别</w:t>
            </w:r>
          </w:p>
        </w:tc>
      </w:tr>
      <w:tr w:rsidR="00C40A97" w:rsidRPr="00A964FF" w14:paraId="022FF42B" w14:textId="77777777" w:rsidTr="00726673">
        <w:trPr>
          <w:trHeight w:val="720"/>
        </w:trPr>
        <w:tc>
          <w:tcPr>
            <w:tcW w:w="679" w:type="pct"/>
            <w:vMerge w:val="restart"/>
            <w:tcMar>
              <w:top w:w="0" w:type="dxa"/>
              <w:bottom w:w="0" w:type="dxa"/>
            </w:tcMar>
            <w:vAlign w:val="center"/>
          </w:tcPr>
          <w:p w14:paraId="305ADB7A" w14:textId="77777777" w:rsidR="00C40A97" w:rsidRPr="00A964FF" w:rsidRDefault="00726673" w:rsidP="00C40A97">
            <w:pPr>
              <w:jc w:val="center"/>
              <w:rPr>
                <w:rFonts w:ascii="Calibri" w:hAnsi="Calibri"/>
                <w:color w:val="auto"/>
                <w:szCs w:val="21"/>
              </w:rPr>
            </w:pPr>
            <w:r>
              <w:rPr>
                <w:rFonts w:ascii="Calibri" w:hAnsi="Calibri" w:hint="eastAsia"/>
                <w:color w:val="auto"/>
                <w:szCs w:val="21"/>
              </w:rPr>
              <w:t>地表水</w:t>
            </w:r>
          </w:p>
        </w:tc>
        <w:tc>
          <w:tcPr>
            <w:tcW w:w="881" w:type="pct"/>
            <w:tcMar>
              <w:top w:w="0" w:type="dxa"/>
              <w:bottom w:w="0" w:type="dxa"/>
            </w:tcMar>
            <w:vAlign w:val="center"/>
          </w:tcPr>
          <w:p w14:paraId="28A2AB64" w14:textId="77777777" w:rsidR="00C40A97" w:rsidRPr="00A964FF" w:rsidRDefault="00C40A97" w:rsidP="00C40A97">
            <w:pPr>
              <w:jc w:val="center"/>
              <w:rPr>
                <w:rFonts w:ascii="Calibri" w:hAnsi="Calibri"/>
                <w:color w:val="auto"/>
                <w:szCs w:val="21"/>
              </w:rPr>
            </w:pPr>
            <w:r w:rsidRPr="00A964FF">
              <w:rPr>
                <w:rFonts w:ascii="Calibri" w:hAnsi="Calibri" w:hint="eastAsia"/>
                <w:color w:val="auto"/>
                <w:szCs w:val="21"/>
              </w:rPr>
              <w:t>沙河</w:t>
            </w:r>
          </w:p>
        </w:tc>
        <w:tc>
          <w:tcPr>
            <w:tcW w:w="476" w:type="pct"/>
            <w:tcMar>
              <w:top w:w="0" w:type="dxa"/>
              <w:bottom w:w="0" w:type="dxa"/>
            </w:tcMar>
            <w:vAlign w:val="center"/>
          </w:tcPr>
          <w:p w14:paraId="0395ED87" w14:textId="77777777" w:rsidR="00C40A97" w:rsidRPr="00A964FF" w:rsidRDefault="00C40A97" w:rsidP="00C40A97">
            <w:pPr>
              <w:jc w:val="center"/>
              <w:rPr>
                <w:rFonts w:ascii="Calibri" w:hAnsi="Calibri"/>
                <w:color w:val="auto"/>
                <w:szCs w:val="21"/>
              </w:rPr>
            </w:pPr>
            <w:r w:rsidRPr="00A964FF">
              <w:rPr>
                <w:rFonts w:ascii="Calibri" w:hAnsi="Calibri" w:hint="eastAsia"/>
                <w:color w:val="auto"/>
                <w:szCs w:val="21"/>
              </w:rPr>
              <w:t>N</w:t>
            </w:r>
          </w:p>
        </w:tc>
        <w:tc>
          <w:tcPr>
            <w:tcW w:w="644" w:type="pct"/>
            <w:tcBorders>
              <w:right w:val="single" w:sz="2" w:space="0" w:color="auto"/>
            </w:tcBorders>
            <w:tcMar>
              <w:top w:w="0" w:type="dxa"/>
              <w:bottom w:w="0" w:type="dxa"/>
            </w:tcMar>
            <w:vAlign w:val="center"/>
          </w:tcPr>
          <w:p w14:paraId="29C6117C" w14:textId="77777777" w:rsidR="00C40A97" w:rsidRPr="00A964FF" w:rsidRDefault="00C40A97" w:rsidP="00C40A97">
            <w:pPr>
              <w:jc w:val="center"/>
              <w:rPr>
                <w:rFonts w:ascii="Calibri" w:hAnsi="Calibri"/>
                <w:color w:val="auto"/>
                <w:szCs w:val="21"/>
              </w:rPr>
            </w:pPr>
            <w:r>
              <w:rPr>
                <w:rFonts w:ascii="Calibri" w:hAnsi="Calibri" w:hint="eastAsia"/>
                <w:color w:val="auto"/>
                <w:szCs w:val="21"/>
              </w:rPr>
              <w:t>2670</w:t>
            </w:r>
          </w:p>
        </w:tc>
        <w:tc>
          <w:tcPr>
            <w:tcW w:w="803" w:type="pct"/>
            <w:tcBorders>
              <w:left w:val="single" w:sz="2" w:space="0" w:color="auto"/>
              <w:bottom w:val="single" w:sz="4" w:space="0" w:color="auto"/>
            </w:tcBorders>
            <w:tcMar>
              <w:top w:w="0" w:type="dxa"/>
              <w:bottom w:w="0" w:type="dxa"/>
            </w:tcMar>
            <w:vAlign w:val="center"/>
          </w:tcPr>
          <w:p w14:paraId="2E9999CA" w14:textId="77777777" w:rsidR="00C40A97" w:rsidRPr="00A964FF" w:rsidRDefault="00C40A97" w:rsidP="00C40A97">
            <w:pPr>
              <w:jc w:val="center"/>
              <w:rPr>
                <w:rFonts w:ascii="Calibri" w:hAnsi="Calibri"/>
                <w:color w:val="auto"/>
                <w:szCs w:val="21"/>
              </w:rPr>
            </w:pPr>
            <w:r w:rsidRPr="00A964FF">
              <w:rPr>
                <w:rFonts w:ascii="Calibri" w:hAnsi="Calibri" w:hint="eastAsia"/>
                <w:color w:val="auto"/>
                <w:szCs w:val="21"/>
              </w:rPr>
              <w:t>防洪、灌溉</w:t>
            </w:r>
          </w:p>
        </w:tc>
        <w:tc>
          <w:tcPr>
            <w:tcW w:w="1517" w:type="pct"/>
            <w:tcMar>
              <w:top w:w="0" w:type="dxa"/>
              <w:bottom w:w="0" w:type="dxa"/>
            </w:tcMar>
            <w:vAlign w:val="center"/>
          </w:tcPr>
          <w:p w14:paraId="55ADA8C2" w14:textId="77777777" w:rsidR="00C40A97" w:rsidRPr="00A964FF" w:rsidRDefault="00726673" w:rsidP="000E33B8">
            <w:pPr>
              <w:ind w:leftChars="-41" w:left="-86" w:firstLineChars="50" w:firstLine="105"/>
              <w:jc w:val="center"/>
              <w:rPr>
                <w:rFonts w:ascii="Calibri" w:hAnsi="Calibri"/>
                <w:color w:val="auto"/>
              </w:rPr>
            </w:pPr>
            <w:r w:rsidRPr="00A964FF">
              <w:rPr>
                <w:rFonts w:ascii="Calibri" w:hAnsi="Calibri"/>
                <w:color w:val="auto"/>
              </w:rPr>
              <w:t>《地表水</w:t>
            </w:r>
            <w:r w:rsidRPr="00A964FF">
              <w:rPr>
                <w:rFonts w:ascii="Calibri" w:hAnsi="Calibri" w:hint="eastAsia"/>
                <w:color w:val="auto"/>
              </w:rPr>
              <w:t>环境</w:t>
            </w:r>
            <w:r w:rsidRPr="00A964FF">
              <w:rPr>
                <w:rFonts w:ascii="Calibri" w:hAnsi="Calibri"/>
                <w:color w:val="auto"/>
              </w:rPr>
              <w:t>质量标准》（</w:t>
            </w:r>
            <w:r w:rsidRPr="00A964FF">
              <w:rPr>
                <w:rFonts w:ascii="Calibri" w:hAnsi="Calibri"/>
                <w:color w:val="auto"/>
              </w:rPr>
              <w:t>GB3838-2002</w:t>
            </w:r>
            <w:r w:rsidRPr="00A964FF">
              <w:rPr>
                <w:rFonts w:ascii="Calibri" w:hAnsi="Calibri"/>
                <w:color w:val="auto"/>
              </w:rPr>
              <w:t>）</w:t>
            </w:r>
            <w:r w:rsidRPr="00A964FF">
              <w:rPr>
                <w:rFonts w:ascii="Calibri" w:hAnsi="Calibri" w:hint="eastAsia"/>
                <w:color w:val="auto"/>
              </w:rPr>
              <w:t>III</w:t>
            </w:r>
            <w:r w:rsidRPr="00A964FF">
              <w:rPr>
                <w:rFonts w:ascii="Calibri" w:hAnsi="Calibri"/>
                <w:color w:val="auto"/>
              </w:rPr>
              <w:t>类</w:t>
            </w:r>
          </w:p>
        </w:tc>
      </w:tr>
      <w:tr w:rsidR="00726673" w:rsidRPr="00A964FF" w14:paraId="720C0473" w14:textId="77777777" w:rsidTr="00C40A97">
        <w:trPr>
          <w:trHeight w:val="340"/>
        </w:trPr>
        <w:tc>
          <w:tcPr>
            <w:tcW w:w="679" w:type="pct"/>
            <w:vMerge/>
            <w:tcMar>
              <w:top w:w="0" w:type="dxa"/>
              <w:bottom w:w="0" w:type="dxa"/>
            </w:tcMar>
            <w:vAlign w:val="center"/>
          </w:tcPr>
          <w:p w14:paraId="04B6D95C" w14:textId="77777777" w:rsidR="00726673" w:rsidRPr="00A964FF" w:rsidRDefault="00726673" w:rsidP="00726673">
            <w:pPr>
              <w:jc w:val="center"/>
              <w:rPr>
                <w:rFonts w:ascii="Calibri" w:hAnsi="Calibri"/>
                <w:color w:val="auto"/>
                <w:szCs w:val="21"/>
              </w:rPr>
            </w:pPr>
          </w:p>
        </w:tc>
        <w:tc>
          <w:tcPr>
            <w:tcW w:w="881" w:type="pct"/>
            <w:tcMar>
              <w:top w:w="0" w:type="dxa"/>
              <w:bottom w:w="0" w:type="dxa"/>
            </w:tcMar>
            <w:vAlign w:val="center"/>
          </w:tcPr>
          <w:p w14:paraId="75BD59B1" w14:textId="77777777" w:rsidR="00726673" w:rsidRPr="00A964FF" w:rsidRDefault="00726673" w:rsidP="00726673">
            <w:pPr>
              <w:jc w:val="center"/>
              <w:rPr>
                <w:rFonts w:ascii="Calibri" w:hAnsi="Calibri"/>
                <w:color w:val="auto"/>
                <w:szCs w:val="21"/>
              </w:rPr>
            </w:pPr>
            <w:r w:rsidRPr="00A964FF">
              <w:rPr>
                <w:rFonts w:ascii="Calibri" w:hAnsi="Calibri" w:hint="eastAsia"/>
                <w:color w:val="auto"/>
                <w:szCs w:val="21"/>
              </w:rPr>
              <w:t>关庙沟</w:t>
            </w:r>
          </w:p>
        </w:tc>
        <w:tc>
          <w:tcPr>
            <w:tcW w:w="476" w:type="pct"/>
            <w:tcMar>
              <w:top w:w="0" w:type="dxa"/>
              <w:bottom w:w="0" w:type="dxa"/>
            </w:tcMar>
            <w:vAlign w:val="center"/>
          </w:tcPr>
          <w:p w14:paraId="7C26BFC4" w14:textId="77777777" w:rsidR="00726673" w:rsidRPr="00A964FF" w:rsidRDefault="00726673" w:rsidP="00726673">
            <w:pPr>
              <w:jc w:val="center"/>
              <w:rPr>
                <w:rFonts w:ascii="Calibri" w:hAnsi="Calibri"/>
                <w:color w:val="auto"/>
                <w:szCs w:val="21"/>
              </w:rPr>
            </w:pPr>
            <w:r>
              <w:rPr>
                <w:rFonts w:ascii="Calibri" w:hAnsi="Calibri"/>
                <w:color w:val="auto"/>
                <w:szCs w:val="21"/>
              </w:rPr>
              <w:t>W</w:t>
            </w:r>
          </w:p>
        </w:tc>
        <w:tc>
          <w:tcPr>
            <w:tcW w:w="644" w:type="pct"/>
            <w:tcBorders>
              <w:right w:val="single" w:sz="2" w:space="0" w:color="auto"/>
            </w:tcBorders>
            <w:tcMar>
              <w:top w:w="0" w:type="dxa"/>
              <w:bottom w:w="0" w:type="dxa"/>
            </w:tcMar>
            <w:vAlign w:val="center"/>
          </w:tcPr>
          <w:p w14:paraId="7597C972" w14:textId="77777777" w:rsidR="00726673" w:rsidRPr="00A964FF" w:rsidRDefault="00726673" w:rsidP="00726673">
            <w:pPr>
              <w:jc w:val="center"/>
              <w:rPr>
                <w:rFonts w:ascii="Calibri" w:hAnsi="Calibri"/>
                <w:color w:val="auto"/>
                <w:szCs w:val="21"/>
              </w:rPr>
            </w:pPr>
            <w:r>
              <w:rPr>
                <w:rFonts w:ascii="Calibri" w:hAnsi="Calibri"/>
                <w:color w:val="auto"/>
                <w:szCs w:val="21"/>
              </w:rPr>
              <w:t>230</w:t>
            </w:r>
          </w:p>
        </w:tc>
        <w:tc>
          <w:tcPr>
            <w:tcW w:w="803" w:type="pct"/>
            <w:tcBorders>
              <w:left w:val="single" w:sz="2" w:space="0" w:color="auto"/>
              <w:bottom w:val="single" w:sz="4" w:space="0" w:color="auto"/>
            </w:tcBorders>
            <w:tcMar>
              <w:top w:w="0" w:type="dxa"/>
              <w:bottom w:w="0" w:type="dxa"/>
            </w:tcMar>
            <w:vAlign w:val="center"/>
          </w:tcPr>
          <w:p w14:paraId="5B18155F" w14:textId="77777777" w:rsidR="00726673" w:rsidRPr="00A964FF" w:rsidRDefault="00726673" w:rsidP="00726673">
            <w:pPr>
              <w:jc w:val="center"/>
              <w:rPr>
                <w:rFonts w:ascii="Calibri" w:hAnsi="Calibri"/>
                <w:color w:val="auto"/>
                <w:szCs w:val="21"/>
                <w:highlight w:val="yellow"/>
              </w:rPr>
            </w:pPr>
            <w:r w:rsidRPr="00A964FF">
              <w:rPr>
                <w:rFonts w:ascii="Calibri" w:hAnsi="Calibri" w:hint="eastAsia"/>
                <w:color w:val="auto"/>
                <w:szCs w:val="21"/>
              </w:rPr>
              <w:t>防洪、纳污</w:t>
            </w:r>
          </w:p>
        </w:tc>
        <w:tc>
          <w:tcPr>
            <w:tcW w:w="1517" w:type="pct"/>
            <w:vMerge w:val="restart"/>
            <w:tcMar>
              <w:top w:w="0" w:type="dxa"/>
              <w:bottom w:w="0" w:type="dxa"/>
            </w:tcMar>
            <w:vAlign w:val="center"/>
          </w:tcPr>
          <w:p w14:paraId="45F8BA33" w14:textId="77777777" w:rsidR="00726673" w:rsidRPr="00A964FF" w:rsidRDefault="00726673" w:rsidP="00CD4191">
            <w:pPr>
              <w:ind w:leftChars="-41" w:left="-86" w:firstLineChars="50" w:firstLine="105"/>
              <w:jc w:val="center"/>
              <w:rPr>
                <w:rFonts w:ascii="Calibri" w:hAnsi="Calibri"/>
                <w:color w:val="auto"/>
              </w:rPr>
            </w:pPr>
            <w:r w:rsidRPr="00A964FF">
              <w:rPr>
                <w:rFonts w:ascii="Calibri" w:hAnsi="Calibri"/>
                <w:color w:val="auto"/>
              </w:rPr>
              <w:t>《地表水</w:t>
            </w:r>
            <w:r w:rsidRPr="00A964FF">
              <w:rPr>
                <w:rFonts w:ascii="Calibri" w:hAnsi="Calibri" w:hint="eastAsia"/>
                <w:color w:val="auto"/>
              </w:rPr>
              <w:t>环境</w:t>
            </w:r>
            <w:r w:rsidRPr="00A964FF">
              <w:rPr>
                <w:rFonts w:ascii="Calibri" w:hAnsi="Calibri"/>
                <w:color w:val="auto"/>
              </w:rPr>
              <w:t>质量标准》（</w:t>
            </w:r>
            <w:r w:rsidRPr="00A964FF">
              <w:rPr>
                <w:rFonts w:ascii="Calibri" w:hAnsi="Calibri"/>
                <w:color w:val="auto"/>
              </w:rPr>
              <w:t>GB3838-2002</w:t>
            </w:r>
            <w:r w:rsidRPr="00A964FF">
              <w:rPr>
                <w:rFonts w:ascii="Calibri" w:hAnsi="Calibri"/>
                <w:color w:val="auto"/>
              </w:rPr>
              <w:t>）</w:t>
            </w:r>
            <w:r w:rsidRPr="00A964FF">
              <w:rPr>
                <w:rFonts w:ascii="Calibri" w:hAnsi="Calibri" w:hint="eastAsia"/>
                <w:color w:val="auto"/>
              </w:rPr>
              <w:t>IV</w:t>
            </w:r>
            <w:r w:rsidRPr="00A964FF">
              <w:rPr>
                <w:rFonts w:ascii="Calibri" w:hAnsi="Calibri"/>
                <w:color w:val="auto"/>
              </w:rPr>
              <w:t>类</w:t>
            </w:r>
          </w:p>
        </w:tc>
      </w:tr>
      <w:tr w:rsidR="00726673" w:rsidRPr="00A964FF" w14:paraId="54A46340" w14:textId="77777777" w:rsidTr="00C40A97">
        <w:trPr>
          <w:trHeight w:val="340"/>
        </w:trPr>
        <w:tc>
          <w:tcPr>
            <w:tcW w:w="679" w:type="pct"/>
            <w:vMerge/>
            <w:tcMar>
              <w:top w:w="0" w:type="dxa"/>
              <w:bottom w:w="0" w:type="dxa"/>
            </w:tcMar>
            <w:vAlign w:val="center"/>
          </w:tcPr>
          <w:p w14:paraId="5213AC62" w14:textId="77777777" w:rsidR="00726673" w:rsidRPr="00A964FF" w:rsidRDefault="00726673" w:rsidP="00D54801">
            <w:pPr>
              <w:jc w:val="center"/>
              <w:rPr>
                <w:rFonts w:ascii="Calibri" w:hAnsi="Calibri"/>
                <w:color w:val="auto"/>
                <w:szCs w:val="21"/>
              </w:rPr>
            </w:pPr>
          </w:p>
        </w:tc>
        <w:tc>
          <w:tcPr>
            <w:tcW w:w="881" w:type="pct"/>
            <w:tcMar>
              <w:top w:w="0" w:type="dxa"/>
              <w:bottom w:w="0" w:type="dxa"/>
            </w:tcMar>
            <w:vAlign w:val="center"/>
          </w:tcPr>
          <w:p w14:paraId="57C90823" w14:textId="77777777" w:rsidR="00726673" w:rsidRPr="00A964FF" w:rsidRDefault="00726673" w:rsidP="00D54801">
            <w:pPr>
              <w:jc w:val="center"/>
              <w:rPr>
                <w:rFonts w:ascii="Calibri" w:hAnsi="Calibri"/>
                <w:color w:val="auto"/>
                <w:szCs w:val="21"/>
              </w:rPr>
            </w:pPr>
            <w:r w:rsidRPr="00A964FF">
              <w:rPr>
                <w:rFonts w:ascii="Calibri" w:hAnsi="Calibri" w:hint="eastAsia"/>
                <w:color w:val="auto"/>
                <w:szCs w:val="21"/>
              </w:rPr>
              <w:t>灰河</w:t>
            </w:r>
          </w:p>
        </w:tc>
        <w:tc>
          <w:tcPr>
            <w:tcW w:w="476" w:type="pct"/>
            <w:tcMar>
              <w:top w:w="0" w:type="dxa"/>
              <w:bottom w:w="0" w:type="dxa"/>
            </w:tcMar>
            <w:vAlign w:val="center"/>
          </w:tcPr>
          <w:p w14:paraId="564A0D11" w14:textId="77777777" w:rsidR="00726673" w:rsidRPr="00A964FF" w:rsidRDefault="00726673" w:rsidP="00404CF4">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E</w:t>
            </w:r>
          </w:p>
        </w:tc>
        <w:tc>
          <w:tcPr>
            <w:tcW w:w="644" w:type="pct"/>
            <w:tcBorders>
              <w:right w:val="single" w:sz="2" w:space="0" w:color="auto"/>
            </w:tcBorders>
            <w:tcMar>
              <w:top w:w="0" w:type="dxa"/>
              <w:bottom w:w="0" w:type="dxa"/>
            </w:tcMar>
            <w:vAlign w:val="center"/>
          </w:tcPr>
          <w:p w14:paraId="71E423A8" w14:textId="77777777" w:rsidR="00726673" w:rsidRPr="00A964FF" w:rsidRDefault="00726673" w:rsidP="00CD02EA">
            <w:pPr>
              <w:jc w:val="center"/>
              <w:rPr>
                <w:rFonts w:ascii="Calibri" w:hAnsi="Calibri"/>
                <w:color w:val="auto"/>
                <w:szCs w:val="21"/>
              </w:rPr>
            </w:pPr>
            <w:r>
              <w:rPr>
                <w:rFonts w:ascii="Calibri" w:hAnsi="Calibri" w:hint="eastAsia"/>
                <w:color w:val="auto"/>
                <w:szCs w:val="21"/>
              </w:rPr>
              <w:t>7755</w:t>
            </w:r>
          </w:p>
        </w:tc>
        <w:tc>
          <w:tcPr>
            <w:tcW w:w="803" w:type="pct"/>
            <w:tcBorders>
              <w:left w:val="single" w:sz="2" w:space="0" w:color="auto"/>
              <w:bottom w:val="single" w:sz="4" w:space="0" w:color="auto"/>
            </w:tcBorders>
            <w:tcMar>
              <w:top w:w="0" w:type="dxa"/>
              <w:bottom w:w="0" w:type="dxa"/>
            </w:tcMar>
            <w:vAlign w:val="center"/>
          </w:tcPr>
          <w:p w14:paraId="5838E61B" w14:textId="77777777" w:rsidR="00726673" w:rsidRPr="00A964FF" w:rsidRDefault="00726673">
            <w:pPr>
              <w:jc w:val="center"/>
              <w:rPr>
                <w:rFonts w:ascii="Calibri" w:hAnsi="Calibri"/>
                <w:color w:val="auto"/>
                <w:szCs w:val="21"/>
              </w:rPr>
            </w:pPr>
            <w:r w:rsidRPr="00A964FF">
              <w:rPr>
                <w:rFonts w:ascii="Calibri" w:hAnsi="Calibri" w:hint="eastAsia"/>
                <w:color w:val="auto"/>
                <w:szCs w:val="21"/>
              </w:rPr>
              <w:t>防洪、纳污、灌溉</w:t>
            </w:r>
          </w:p>
        </w:tc>
        <w:tc>
          <w:tcPr>
            <w:tcW w:w="1517" w:type="pct"/>
            <w:vMerge/>
            <w:tcMar>
              <w:top w:w="0" w:type="dxa"/>
              <w:bottom w:w="0" w:type="dxa"/>
            </w:tcMar>
            <w:vAlign w:val="center"/>
          </w:tcPr>
          <w:p w14:paraId="19E0803D" w14:textId="77777777" w:rsidR="00726673" w:rsidRPr="00A964FF" w:rsidRDefault="00726673" w:rsidP="00CD4191">
            <w:pPr>
              <w:ind w:leftChars="-41" w:left="-86" w:firstLineChars="50" w:firstLine="105"/>
              <w:jc w:val="center"/>
              <w:rPr>
                <w:rFonts w:ascii="Calibri" w:hAnsi="Calibri"/>
                <w:color w:val="auto"/>
              </w:rPr>
            </w:pPr>
          </w:p>
        </w:tc>
      </w:tr>
      <w:tr w:rsidR="008E60DB" w:rsidRPr="00A964FF" w14:paraId="64C66DCD" w14:textId="77777777" w:rsidTr="00C40A97">
        <w:trPr>
          <w:trHeight w:val="340"/>
        </w:trPr>
        <w:tc>
          <w:tcPr>
            <w:tcW w:w="679" w:type="pct"/>
            <w:tcMar>
              <w:top w:w="0" w:type="dxa"/>
              <w:bottom w:w="0" w:type="dxa"/>
            </w:tcMar>
            <w:vAlign w:val="center"/>
          </w:tcPr>
          <w:p w14:paraId="418065D7" w14:textId="77777777" w:rsidR="008E60DB" w:rsidRPr="00A964FF" w:rsidRDefault="008E60DB" w:rsidP="00D54801">
            <w:pPr>
              <w:jc w:val="center"/>
              <w:rPr>
                <w:rFonts w:ascii="Calibri" w:hAnsi="Calibri"/>
                <w:color w:val="auto"/>
                <w:szCs w:val="21"/>
              </w:rPr>
            </w:pPr>
            <w:r w:rsidRPr="00A964FF">
              <w:rPr>
                <w:rFonts w:ascii="Calibri" w:hAnsi="Calibri" w:hint="eastAsia"/>
                <w:color w:val="auto"/>
                <w:szCs w:val="21"/>
              </w:rPr>
              <w:t>地下水</w:t>
            </w:r>
          </w:p>
        </w:tc>
        <w:tc>
          <w:tcPr>
            <w:tcW w:w="881" w:type="pct"/>
            <w:tcMar>
              <w:top w:w="0" w:type="dxa"/>
              <w:bottom w:w="0" w:type="dxa"/>
            </w:tcMar>
            <w:vAlign w:val="center"/>
          </w:tcPr>
          <w:p w14:paraId="75CFCFE7" w14:textId="77777777" w:rsidR="008E60DB" w:rsidRPr="00A964FF" w:rsidRDefault="006739CC" w:rsidP="00D54801">
            <w:pPr>
              <w:jc w:val="center"/>
              <w:rPr>
                <w:rFonts w:ascii="Calibri" w:hAnsi="Calibri"/>
                <w:color w:val="auto"/>
                <w:szCs w:val="21"/>
              </w:rPr>
            </w:pPr>
            <w:r w:rsidRPr="00A964FF">
              <w:rPr>
                <w:rFonts w:ascii="Calibri" w:hAnsi="Calibri" w:hint="eastAsia"/>
                <w:color w:val="auto"/>
                <w:szCs w:val="21"/>
              </w:rPr>
              <w:t>潜水含水层</w:t>
            </w:r>
          </w:p>
        </w:tc>
        <w:tc>
          <w:tcPr>
            <w:tcW w:w="476" w:type="pct"/>
            <w:tcMar>
              <w:top w:w="0" w:type="dxa"/>
              <w:bottom w:w="0" w:type="dxa"/>
            </w:tcMar>
            <w:vAlign w:val="center"/>
          </w:tcPr>
          <w:p w14:paraId="4067D936" w14:textId="77777777" w:rsidR="008E60DB" w:rsidRPr="00A964FF" w:rsidRDefault="008E60DB" w:rsidP="00D54801">
            <w:pPr>
              <w:jc w:val="center"/>
              <w:rPr>
                <w:rFonts w:ascii="Calibri" w:hAnsi="Calibri"/>
                <w:color w:val="auto"/>
                <w:szCs w:val="21"/>
              </w:rPr>
            </w:pPr>
            <w:r w:rsidRPr="00A964FF">
              <w:rPr>
                <w:rFonts w:ascii="Calibri" w:hAnsi="Calibri" w:hint="eastAsia"/>
                <w:color w:val="auto"/>
                <w:szCs w:val="21"/>
              </w:rPr>
              <w:t>/</w:t>
            </w:r>
          </w:p>
        </w:tc>
        <w:tc>
          <w:tcPr>
            <w:tcW w:w="644" w:type="pct"/>
            <w:tcBorders>
              <w:right w:val="single" w:sz="2" w:space="0" w:color="auto"/>
            </w:tcBorders>
            <w:tcMar>
              <w:top w:w="0" w:type="dxa"/>
              <w:bottom w:w="0" w:type="dxa"/>
            </w:tcMar>
            <w:vAlign w:val="center"/>
          </w:tcPr>
          <w:p w14:paraId="6B04D60A" w14:textId="77777777" w:rsidR="008E60DB" w:rsidRPr="00A964FF" w:rsidRDefault="008E60DB" w:rsidP="00D54801">
            <w:pPr>
              <w:jc w:val="center"/>
              <w:rPr>
                <w:rFonts w:ascii="Calibri" w:hAnsi="Calibri"/>
                <w:color w:val="auto"/>
                <w:szCs w:val="21"/>
              </w:rPr>
            </w:pPr>
            <w:r w:rsidRPr="00A964FF">
              <w:rPr>
                <w:rFonts w:ascii="Calibri" w:hAnsi="Calibri" w:hint="eastAsia"/>
                <w:color w:val="auto"/>
                <w:szCs w:val="21"/>
              </w:rPr>
              <w:t>/</w:t>
            </w:r>
          </w:p>
        </w:tc>
        <w:tc>
          <w:tcPr>
            <w:tcW w:w="803" w:type="pct"/>
            <w:tcBorders>
              <w:left w:val="single" w:sz="2" w:space="0" w:color="auto"/>
            </w:tcBorders>
            <w:tcMar>
              <w:top w:w="0" w:type="dxa"/>
              <w:bottom w:w="0" w:type="dxa"/>
            </w:tcMar>
            <w:vAlign w:val="center"/>
          </w:tcPr>
          <w:p w14:paraId="33942D47" w14:textId="77777777" w:rsidR="008E60DB" w:rsidRPr="00A964FF" w:rsidRDefault="008E60DB" w:rsidP="00D54801">
            <w:pPr>
              <w:jc w:val="center"/>
              <w:rPr>
                <w:rFonts w:ascii="Calibri" w:hAnsi="Calibri"/>
                <w:color w:val="auto"/>
                <w:szCs w:val="21"/>
              </w:rPr>
            </w:pPr>
            <w:r w:rsidRPr="00A964FF">
              <w:rPr>
                <w:rFonts w:ascii="Calibri" w:hAnsi="Calibri" w:hint="eastAsia"/>
                <w:color w:val="auto"/>
                <w:szCs w:val="21"/>
              </w:rPr>
              <w:t>/</w:t>
            </w:r>
          </w:p>
        </w:tc>
        <w:tc>
          <w:tcPr>
            <w:tcW w:w="1517" w:type="pct"/>
            <w:tcMar>
              <w:top w:w="0" w:type="dxa"/>
              <w:bottom w:w="0" w:type="dxa"/>
            </w:tcMar>
            <w:vAlign w:val="center"/>
          </w:tcPr>
          <w:p w14:paraId="5699C925" w14:textId="77777777" w:rsidR="008E60DB" w:rsidRPr="00A964FF" w:rsidRDefault="008E60DB" w:rsidP="000E33B8">
            <w:pPr>
              <w:ind w:leftChars="-41" w:left="-86" w:firstLineChars="50" w:firstLine="105"/>
              <w:jc w:val="center"/>
              <w:rPr>
                <w:rFonts w:ascii="Calibri" w:hAnsi="Calibri"/>
                <w:color w:val="auto"/>
              </w:rPr>
            </w:pPr>
            <w:r w:rsidRPr="00A964FF">
              <w:rPr>
                <w:rFonts w:ascii="Calibri" w:hAnsi="Calibri" w:hint="eastAsia"/>
                <w:color w:val="auto"/>
              </w:rPr>
              <w:t>《地下水质量标准》（</w:t>
            </w:r>
            <w:r w:rsidRPr="00A964FF">
              <w:rPr>
                <w:rFonts w:ascii="Calibri" w:hAnsi="Calibri" w:hint="eastAsia"/>
                <w:color w:val="auto"/>
              </w:rPr>
              <w:t>GB/T14848-2017</w:t>
            </w:r>
            <w:r w:rsidRPr="00A964FF">
              <w:rPr>
                <w:rFonts w:ascii="Calibri" w:hAnsi="Calibri" w:hint="eastAsia"/>
                <w:color w:val="auto"/>
              </w:rPr>
              <w:t>）</w:t>
            </w:r>
            <w:r w:rsidRPr="00A964FF">
              <w:rPr>
                <w:rFonts w:ascii="Calibri" w:hAnsi="Calibri" w:hint="eastAsia"/>
                <w:color w:val="auto"/>
              </w:rPr>
              <w:t>III</w:t>
            </w:r>
            <w:r w:rsidRPr="00A964FF">
              <w:rPr>
                <w:rFonts w:ascii="Calibri" w:hAnsi="Calibri" w:hint="eastAsia"/>
                <w:color w:val="auto"/>
              </w:rPr>
              <w:t>类</w:t>
            </w:r>
          </w:p>
        </w:tc>
      </w:tr>
      <w:tr w:rsidR="00483713" w:rsidRPr="00A964FF" w14:paraId="1F9B95D3" w14:textId="77777777" w:rsidTr="00483713">
        <w:trPr>
          <w:trHeight w:val="340"/>
        </w:trPr>
        <w:tc>
          <w:tcPr>
            <w:tcW w:w="679" w:type="pct"/>
            <w:tcMar>
              <w:top w:w="0" w:type="dxa"/>
              <w:bottom w:w="0" w:type="dxa"/>
            </w:tcMar>
            <w:vAlign w:val="center"/>
          </w:tcPr>
          <w:p w14:paraId="2B6F37C0" w14:textId="77777777" w:rsidR="00483713" w:rsidRPr="00A964FF" w:rsidRDefault="00483713" w:rsidP="00483713">
            <w:pPr>
              <w:jc w:val="center"/>
              <w:rPr>
                <w:rFonts w:ascii="Calibri" w:hAnsi="Calibri"/>
                <w:color w:val="auto"/>
                <w:szCs w:val="21"/>
              </w:rPr>
            </w:pPr>
            <w:r w:rsidRPr="00A964FF">
              <w:rPr>
                <w:rFonts w:ascii="Calibri" w:hAnsi="Calibri" w:hint="eastAsia"/>
                <w:color w:val="auto"/>
                <w:szCs w:val="21"/>
              </w:rPr>
              <w:t>土壤</w:t>
            </w:r>
          </w:p>
        </w:tc>
        <w:tc>
          <w:tcPr>
            <w:tcW w:w="2804" w:type="pct"/>
            <w:gridSpan w:val="4"/>
            <w:tcMar>
              <w:top w:w="0" w:type="dxa"/>
              <w:bottom w:w="0" w:type="dxa"/>
            </w:tcMar>
            <w:vAlign w:val="center"/>
          </w:tcPr>
          <w:p w14:paraId="64BA9844" w14:textId="77777777" w:rsidR="00483713" w:rsidRPr="00A964FF" w:rsidRDefault="00A81745" w:rsidP="00483713">
            <w:pPr>
              <w:jc w:val="center"/>
              <w:rPr>
                <w:rFonts w:ascii="Calibri" w:hAnsi="Calibri"/>
                <w:color w:val="auto"/>
                <w:szCs w:val="21"/>
              </w:rPr>
            </w:pPr>
            <w:r w:rsidRPr="00A81745">
              <w:rPr>
                <w:rFonts w:ascii="Calibri" w:hAnsi="Calibri"/>
                <w:color w:val="auto"/>
                <w:szCs w:val="21"/>
              </w:rPr>
              <w:t>占地范围内</w:t>
            </w:r>
            <w:r w:rsidRPr="00A81745">
              <w:rPr>
                <w:rFonts w:ascii="Calibri" w:hAnsi="Calibri" w:hint="eastAsia"/>
                <w:color w:val="auto"/>
                <w:szCs w:val="21"/>
              </w:rPr>
              <w:t>及占地范围外</w:t>
            </w:r>
            <w:r w:rsidRPr="00A81745">
              <w:rPr>
                <w:rFonts w:ascii="Calibri" w:hAnsi="Calibri" w:hint="eastAsia"/>
                <w:color w:val="auto"/>
                <w:szCs w:val="21"/>
              </w:rPr>
              <w:t>0.2km</w:t>
            </w:r>
            <w:r w:rsidRPr="00A81745">
              <w:rPr>
                <w:rFonts w:ascii="Calibri" w:hAnsi="Calibri"/>
                <w:color w:val="auto"/>
                <w:szCs w:val="21"/>
              </w:rPr>
              <w:t>土壤</w:t>
            </w:r>
          </w:p>
        </w:tc>
        <w:tc>
          <w:tcPr>
            <w:tcW w:w="1517" w:type="pct"/>
            <w:tcMar>
              <w:top w:w="0" w:type="dxa"/>
              <w:bottom w:w="0" w:type="dxa"/>
            </w:tcMar>
            <w:vAlign w:val="center"/>
          </w:tcPr>
          <w:p w14:paraId="65704889" w14:textId="77777777" w:rsidR="00483713" w:rsidRPr="00A964FF" w:rsidRDefault="00483713" w:rsidP="00483713">
            <w:pPr>
              <w:ind w:leftChars="-41" w:left="-86" w:firstLineChars="50" w:firstLine="105"/>
              <w:jc w:val="center"/>
              <w:rPr>
                <w:rFonts w:ascii="Calibri" w:hAnsi="Calibri"/>
                <w:color w:val="auto"/>
              </w:rPr>
            </w:pPr>
            <w:r w:rsidRPr="00A964FF">
              <w:rPr>
                <w:rFonts w:ascii="Calibri" w:hAnsi="Calibri" w:hint="eastAsia"/>
                <w:color w:val="auto"/>
              </w:rPr>
              <w:t>《土壤环境质量</w:t>
            </w:r>
            <w:r w:rsidRPr="00A964FF">
              <w:rPr>
                <w:rFonts w:ascii="Calibri" w:hAnsi="Calibri" w:hint="eastAsia"/>
                <w:color w:val="auto"/>
              </w:rPr>
              <w:t xml:space="preserve"> </w:t>
            </w:r>
            <w:r w:rsidRPr="00A964FF">
              <w:rPr>
                <w:rFonts w:ascii="Calibri" w:hAnsi="Calibri" w:hint="eastAsia"/>
                <w:color w:val="auto"/>
              </w:rPr>
              <w:t>建设用地土壤污染风险管控标准（试行）》（</w:t>
            </w:r>
            <w:r w:rsidRPr="00A964FF">
              <w:rPr>
                <w:rFonts w:ascii="Calibri" w:hAnsi="Calibri" w:hint="eastAsia"/>
                <w:color w:val="auto"/>
              </w:rPr>
              <w:t>GB36600-2018</w:t>
            </w:r>
            <w:r w:rsidRPr="00A964FF">
              <w:rPr>
                <w:rFonts w:ascii="Calibri" w:hAnsi="Calibri" w:hint="eastAsia"/>
                <w:color w:val="auto"/>
              </w:rPr>
              <w:t>）</w:t>
            </w:r>
          </w:p>
        </w:tc>
      </w:tr>
      <w:tr w:rsidR="00483713" w:rsidRPr="00A964FF" w14:paraId="5C968C34" w14:textId="77777777" w:rsidTr="00483713">
        <w:trPr>
          <w:trHeight w:val="340"/>
        </w:trPr>
        <w:tc>
          <w:tcPr>
            <w:tcW w:w="679" w:type="pct"/>
            <w:tcMar>
              <w:top w:w="0" w:type="dxa"/>
              <w:bottom w:w="0" w:type="dxa"/>
            </w:tcMar>
            <w:vAlign w:val="center"/>
          </w:tcPr>
          <w:p w14:paraId="2ECF8244" w14:textId="77777777" w:rsidR="00483713" w:rsidRPr="00A964FF" w:rsidRDefault="00483713" w:rsidP="00483713">
            <w:pPr>
              <w:jc w:val="center"/>
              <w:rPr>
                <w:rFonts w:ascii="Calibri" w:hAnsi="Calibri"/>
                <w:color w:val="auto"/>
                <w:szCs w:val="21"/>
              </w:rPr>
            </w:pPr>
            <w:r w:rsidRPr="00A964FF">
              <w:rPr>
                <w:rFonts w:ascii="Calibri" w:hAnsi="Calibri" w:hint="eastAsia"/>
                <w:color w:val="auto"/>
                <w:szCs w:val="21"/>
              </w:rPr>
              <w:t>环境风险</w:t>
            </w:r>
          </w:p>
        </w:tc>
        <w:tc>
          <w:tcPr>
            <w:tcW w:w="2804" w:type="pct"/>
            <w:gridSpan w:val="4"/>
            <w:tcMar>
              <w:top w:w="0" w:type="dxa"/>
              <w:bottom w:w="0" w:type="dxa"/>
            </w:tcMar>
            <w:vAlign w:val="center"/>
          </w:tcPr>
          <w:p w14:paraId="69C53089" w14:textId="77777777" w:rsidR="00483713" w:rsidRPr="00A964FF" w:rsidRDefault="00483713" w:rsidP="00A81745">
            <w:pPr>
              <w:jc w:val="center"/>
              <w:rPr>
                <w:rFonts w:ascii="Calibri" w:hAnsi="Calibri"/>
                <w:color w:val="auto"/>
                <w:szCs w:val="21"/>
              </w:rPr>
            </w:pPr>
            <w:r w:rsidRPr="00A964FF">
              <w:rPr>
                <w:rFonts w:ascii="Calibri" w:hAnsi="Calibri" w:hint="eastAsia"/>
                <w:color w:val="auto"/>
                <w:szCs w:val="21"/>
              </w:rPr>
              <w:t>厂界外</w:t>
            </w:r>
            <w:r w:rsidR="00A81745">
              <w:rPr>
                <w:rFonts w:ascii="Calibri" w:hAnsi="Calibri"/>
                <w:color w:val="auto"/>
                <w:szCs w:val="21"/>
              </w:rPr>
              <w:t>5</w:t>
            </w:r>
            <w:r w:rsidR="00CD02EA" w:rsidRPr="00A964FF">
              <w:rPr>
                <w:rFonts w:ascii="Calibri" w:hAnsi="Calibri" w:hint="eastAsia"/>
                <w:color w:val="auto"/>
                <w:szCs w:val="21"/>
              </w:rPr>
              <w:t>k</w:t>
            </w:r>
            <w:r w:rsidRPr="00A964FF">
              <w:rPr>
                <w:rFonts w:ascii="Calibri" w:hAnsi="Calibri" w:hint="eastAsia"/>
                <w:color w:val="auto"/>
                <w:szCs w:val="21"/>
              </w:rPr>
              <w:t>m</w:t>
            </w:r>
            <w:r w:rsidRPr="00A964FF">
              <w:rPr>
                <w:rFonts w:ascii="Calibri" w:hAnsi="Calibri" w:hint="eastAsia"/>
                <w:color w:val="auto"/>
                <w:szCs w:val="21"/>
              </w:rPr>
              <w:t>范围内村庄等（详见环境风险评价）</w:t>
            </w:r>
          </w:p>
        </w:tc>
        <w:tc>
          <w:tcPr>
            <w:tcW w:w="1517" w:type="pct"/>
            <w:tcMar>
              <w:top w:w="0" w:type="dxa"/>
              <w:bottom w:w="0" w:type="dxa"/>
            </w:tcMar>
            <w:vAlign w:val="center"/>
          </w:tcPr>
          <w:p w14:paraId="4CE3DCB3" w14:textId="77777777" w:rsidR="00483713" w:rsidRPr="00A964FF" w:rsidRDefault="00483713" w:rsidP="00483713">
            <w:pPr>
              <w:ind w:leftChars="-41" w:left="-86" w:firstLineChars="50" w:firstLine="105"/>
              <w:jc w:val="center"/>
              <w:rPr>
                <w:rFonts w:ascii="Calibri" w:hAnsi="Calibri"/>
                <w:color w:val="auto"/>
              </w:rPr>
            </w:pPr>
            <w:r w:rsidRPr="00A964FF">
              <w:rPr>
                <w:rFonts w:ascii="Calibri" w:hAnsi="Calibri" w:hint="eastAsia"/>
                <w:color w:val="auto"/>
              </w:rPr>
              <w:t>/</w:t>
            </w:r>
          </w:p>
        </w:tc>
      </w:tr>
    </w:tbl>
    <w:p w14:paraId="168D842E" w14:textId="77777777" w:rsidR="0055605A" w:rsidRPr="00A964FF" w:rsidRDefault="0055605A" w:rsidP="0055605A">
      <w:pPr>
        <w:pStyle w:val="2"/>
        <w:spacing w:before="200" w:after="100"/>
        <w:rPr>
          <w:rFonts w:ascii="Calibri" w:hAnsi="Calibri"/>
          <w:bCs/>
          <w:color w:val="auto"/>
          <w:szCs w:val="28"/>
        </w:rPr>
      </w:pPr>
      <w:bookmarkStart w:id="38" w:name="_Toc447804109"/>
      <w:bookmarkStart w:id="39" w:name="_Toc112999902"/>
      <w:r w:rsidRPr="00A964FF">
        <w:rPr>
          <w:rFonts w:ascii="Calibri" w:hAnsi="Calibri"/>
          <w:bCs/>
          <w:color w:val="auto"/>
          <w:szCs w:val="28"/>
        </w:rPr>
        <w:t>1.</w:t>
      </w:r>
      <w:bookmarkEnd w:id="38"/>
      <w:r w:rsidRPr="00A964FF">
        <w:rPr>
          <w:rFonts w:ascii="Calibri" w:hAnsi="Calibri" w:hint="eastAsia"/>
          <w:bCs/>
          <w:color w:val="auto"/>
          <w:szCs w:val="28"/>
        </w:rPr>
        <w:t>8</w:t>
      </w:r>
      <w:r w:rsidRPr="00A964FF">
        <w:rPr>
          <w:rFonts w:ascii="Calibri" w:hAnsi="Calibri" w:hint="eastAsia"/>
          <w:bCs/>
          <w:color w:val="auto"/>
          <w:szCs w:val="28"/>
        </w:rPr>
        <w:t>评价区域相关规划</w:t>
      </w:r>
      <w:bookmarkEnd w:id="39"/>
    </w:p>
    <w:p w14:paraId="4E1491A8" w14:textId="77777777" w:rsidR="006739CC" w:rsidRPr="00A964FF" w:rsidRDefault="0055605A" w:rsidP="006739CC">
      <w:pPr>
        <w:pStyle w:val="ad"/>
        <w:rPr>
          <w:rFonts w:ascii="Calibri" w:hAnsi="Calibri"/>
          <w:color w:val="auto"/>
        </w:rPr>
      </w:pPr>
      <w:r w:rsidRPr="00134CE8">
        <w:rPr>
          <w:rFonts w:ascii="Calibri" w:hAnsi="Calibri" w:hint="eastAsia"/>
          <w:color w:val="auto"/>
        </w:rPr>
        <w:t>1.8</w:t>
      </w:r>
      <w:r w:rsidRPr="00134CE8">
        <w:rPr>
          <w:rFonts w:ascii="Calibri" w:hAnsi="Calibri"/>
          <w:color w:val="auto"/>
        </w:rPr>
        <w:t>.</w:t>
      </w:r>
      <w:r w:rsidRPr="00134CE8">
        <w:rPr>
          <w:rFonts w:ascii="Calibri" w:hAnsi="Calibri" w:hint="eastAsia"/>
          <w:color w:val="auto"/>
        </w:rPr>
        <w:t>1</w:t>
      </w:r>
      <w:r w:rsidR="006739CC" w:rsidRPr="00134CE8">
        <w:rPr>
          <w:rFonts w:ascii="Calibri" w:eastAsia="黑体" w:hAnsi="Calibri" w:hint="eastAsia"/>
          <w:color w:val="auto"/>
          <w:szCs w:val="28"/>
        </w:rPr>
        <w:t>叶县城乡总体规划（</w:t>
      </w:r>
      <w:r w:rsidR="006739CC" w:rsidRPr="00134CE8">
        <w:rPr>
          <w:rFonts w:ascii="Calibri" w:eastAsia="黑体" w:hAnsi="Calibri" w:hint="eastAsia"/>
          <w:color w:val="auto"/>
          <w:szCs w:val="28"/>
        </w:rPr>
        <w:t>2017-2035</w:t>
      </w:r>
      <w:r w:rsidR="006739CC" w:rsidRPr="00134CE8">
        <w:rPr>
          <w:rFonts w:ascii="Calibri" w:eastAsia="黑体" w:hAnsi="Calibri" w:hint="eastAsia"/>
          <w:color w:val="auto"/>
          <w:szCs w:val="28"/>
        </w:rPr>
        <w:t>）</w:t>
      </w:r>
    </w:p>
    <w:p w14:paraId="0624B5AC" w14:textId="77777777" w:rsidR="006739CC" w:rsidRPr="00A964FF" w:rsidRDefault="006739CC" w:rsidP="006739CC">
      <w:pPr>
        <w:spacing w:line="520" w:lineRule="exact"/>
        <w:ind w:firstLineChars="200" w:firstLine="482"/>
        <w:jc w:val="left"/>
        <w:rPr>
          <w:rFonts w:ascii="Calibri" w:hAnsi="Calibri"/>
          <w:b/>
          <w:bCs/>
          <w:color w:val="auto"/>
          <w:sz w:val="24"/>
        </w:rPr>
      </w:pPr>
      <w:r w:rsidRPr="00A964FF">
        <w:rPr>
          <w:rFonts w:ascii="Calibri" w:hAnsi="Calibri" w:hint="eastAsia"/>
          <w:b/>
          <w:bCs/>
          <w:color w:val="auto"/>
          <w:sz w:val="24"/>
        </w:rPr>
        <w:t>1</w:t>
      </w:r>
      <w:r w:rsidRPr="00A964FF">
        <w:rPr>
          <w:rFonts w:ascii="Calibri" w:hAnsi="Calibri" w:hint="eastAsia"/>
          <w:b/>
          <w:bCs/>
          <w:color w:val="auto"/>
          <w:sz w:val="24"/>
        </w:rPr>
        <w:t>、规划层次和城市规划区范围</w:t>
      </w:r>
    </w:p>
    <w:p w14:paraId="495A4094" w14:textId="77777777" w:rsidR="006739CC" w:rsidRPr="00A964FF" w:rsidRDefault="006739CC" w:rsidP="000E33B8">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本规划分为叶县县域、城市规划区、中心城区三个层次。</w:t>
      </w:r>
    </w:p>
    <w:p w14:paraId="266C5757" w14:textId="77777777" w:rsidR="006739CC" w:rsidRPr="00A964FF" w:rsidRDefault="006739CC" w:rsidP="000E33B8">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（一）县域层次：叶县行政管辖范围，总面积约为</w:t>
      </w:r>
      <w:r w:rsidRPr="00A964FF">
        <w:rPr>
          <w:rFonts w:ascii="Calibri" w:hAnsi="Calibri" w:hint="eastAsia"/>
          <w:bCs/>
          <w:color w:val="auto"/>
          <w:sz w:val="24"/>
        </w:rPr>
        <w:t>1387</w:t>
      </w:r>
      <w:r w:rsidRPr="00A964FF">
        <w:rPr>
          <w:rFonts w:ascii="Calibri" w:hAnsi="Calibri" w:hint="eastAsia"/>
          <w:bCs/>
          <w:color w:val="auto"/>
          <w:sz w:val="24"/>
        </w:rPr>
        <w:t>平方公里。</w:t>
      </w:r>
    </w:p>
    <w:p w14:paraId="255F7BD3" w14:textId="77777777" w:rsidR="006739CC" w:rsidRPr="00A964FF" w:rsidRDefault="006739CC" w:rsidP="000E33B8">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（二）城市规划区层次：包括盐都、昆阳、九龙三个街道办事处和马庄回族乡、龚店</w:t>
      </w:r>
      <w:r w:rsidR="001E6756" w:rsidRPr="00A964FF">
        <w:rPr>
          <w:rFonts w:ascii="Calibri" w:hAnsi="Calibri" w:hint="eastAsia"/>
          <w:bCs/>
          <w:color w:val="auto"/>
          <w:sz w:val="24"/>
        </w:rPr>
        <w:t>镇</w:t>
      </w:r>
      <w:r w:rsidRPr="00A964FF">
        <w:rPr>
          <w:rFonts w:ascii="Calibri" w:hAnsi="Calibri" w:hint="eastAsia"/>
          <w:bCs/>
          <w:color w:val="auto"/>
          <w:sz w:val="24"/>
        </w:rPr>
        <w:t>的全部行政辖区范围，以及田庄乡、廉村镇的兰南高速以南行政区域，面积约</w:t>
      </w:r>
      <w:r w:rsidRPr="00A964FF">
        <w:rPr>
          <w:rFonts w:ascii="Calibri" w:hAnsi="Calibri" w:hint="eastAsia"/>
          <w:bCs/>
          <w:color w:val="auto"/>
          <w:sz w:val="24"/>
        </w:rPr>
        <w:t>210</w:t>
      </w:r>
      <w:r w:rsidRPr="00A964FF">
        <w:rPr>
          <w:rFonts w:ascii="Calibri" w:hAnsi="Calibri" w:hint="eastAsia"/>
          <w:bCs/>
          <w:color w:val="auto"/>
          <w:sz w:val="24"/>
        </w:rPr>
        <w:t>平方公里。</w:t>
      </w:r>
    </w:p>
    <w:p w14:paraId="5B1E119C" w14:textId="77777777" w:rsidR="006739CC" w:rsidRPr="00A964FF" w:rsidRDefault="006739CC" w:rsidP="000E33B8">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三）中心城区层次：叶县城市规划区内连片的城市建设用地，范围涉及盐都、昆阳、九龙三个街道办事处和马庄回族乡、廉村镇等辖区，规划区范围，西至平叶快速路，北至沙河南岸，东至大东环路，南至新灰河北岸，规划控制区约</w:t>
      </w:r>
      <w:r w:rsidRPr="00A964FF">
        <w:rPr>
          <w:rFonts w:ascii="Calibri" w:hAnsi="Calibri" w:hint="eastAsia"/>
          <w:bCs/>
          <w:color w:val="auto"/>
          <w:sz w:val="24"/>
        </w:rPr>
        <w:t>44.5</w:t>
      </w:r>
      <w:r w:rsidRPr="00A964FF">
        <w:rPr>
          <w:rFonts w:ascii="Calibri" w:hAnsi="Calibri" w:hint="eastAsia"/>
          <w:bCs/>
          <w:color w:val="auto"/>
          <w:sz w:val="24"/>
        </w:rPr>
        <w:t>平方公里，其中城市建设用地约为</w:t>
      </w:r>
      <w:r w:rsidRPr="00A964FF">
        <w:rPr>
          <w:rFonts w:ascii="Calibri" w:hAnsi="Calibri" w:hint="eastAsia"/>
          <w:bCs/>
          <w:color w:val="auto"/>
          <w:sz w:val="24"/>
        </w:rPr>
        <w:t>38</w:t>
      </w:r>
      <w:r w:rsidRPr="00A964FF">
        <w:rPr>
          <w:rFonts w:ascii="Calibri" w:hAnsi="Calibri" w:hint="eastAsia"/>
          <w:bCs/>
          <w:color w:val="auto"/>
          <w:sz w:val="24"/>
        </w:rPr>
        <w:t>平方公里。</w:t>
      </w:r>
    </w:p>
    <w:p w14:paraId="2B968436" w14:textId="77777777" w:rsidR="006739CC" w:rsidRPr="00A964FF" w:rsidRDefault="006739CC" w:rsidP="006739CC">
      <w:pPr>
        <w:spacing w:line="520" w:lineRule="exact"/>
        <w:ind w:firstLineChars="200" w:firstLine="482"/>
        <w:jc w:val="left"/>
        <w:rPr>
          <w:rFonts w:ascii="Calibri" w:hAnsi="Calibri"/>
          <w:b/>
          <w:bCs/>
          <w:color w:val="auto"/>
          <w:sz w:val="24"/>
        </w:rPr>
      </w:pPr>
      <w:r w:rsidRPr="00A964FF">
        <w:rPr>
          <w:rFonts w:ascii="Calibri" w:hAnsi="Calibri" w:hint="eastAsia"/>
          <w:b/>
          <w:bCs/>
          <w:color w:val="auto"/>
          <w:sz w:val="24"/>
        </w:rPr>
        <w:t>2</w:t>
      </w:r>
      <w:r w:rsidRPr="00A964FF">
        <w:rPr>
          <w:rFonts w:ascii="Calibri" w:hAnsi="Calibri" w:hint="eastAsia"/>
          <w:b/>
          <w:bCs/>
          <w:color w:val="auto"/>
          <w:sz w:val="24"/>
        </w:rPr>
        <w:t>、城市性质</w:t>
      </w:r>
    </w:p>
    <w:p w14:paraId="485ACCBB" w14:textId="77777777" w:rsidR="006739CC" w:rsidRPr="00A964FF" w:rsidRDefault="006739CC" w:rsidP="000E33B8">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lastRenderedPageBreak/>
        <w:t>规划确定的城市性质为：平顶山南部组团城市，叶公文化名城，中原经济区重要的盐化工基地。</w:t>
      </w:r>
    </w:p>
    <w:p w14:paraId="5E6CF5DA" w14:textId="77777777" w:rsidR="00056953" w:rsidRPr="00A964FF" w:rsidRDefault="00056953" w:rsidP="000461B1">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本项目在平顶山尼龙新材料产业集聚区内</w:t>
      </w:r>
      <w:r>
        <w:rPr>
          <w:rFonts w:ascii="Calibri" w:hAnsi="Calibri" w:hint="eastAsia"/>
          <w:bCs/>
          <w:color w:val="auto"/>
          <w:sz w:val="24"/>
        </w:rPr>
        <w:t>，</w:t>
      </w:r>
      <w:r w:rsidRPr="00A964FF">
        <w:rPr>
          <w:rFonts w:ascii="Calibri" w:hAnsi="Calibri" w:hint="eastAsia"/>
          <w:bCs/>
          <w:color w:val="auto"/>
          <w:sz w:val="24"/>
        </w:rPr>
        <w:t>符合《叶县城乡总体规划》（</w:t>
      </w:r>
      <w:r w:rsidRPr="00A964FF">
        <w:rPr>
          <w:rFonts w:ascii="Calibri" w:hAnsi="Calibri" w:hint="eastAsia"/>
          <w:bCs/>
          <w:color w:val="auto"/>
          <w:sz w:val="24"/>
        </w:rPr>
        <w:t>2017-2035</w:t>
      </w:r>
      <w:r w:rsidRPr="00A964FF">
        <w:rPr>
          <w:rFonts w:ascii="Calibri" w:hAnsi="Calibri" w:hint="eastAsia"/>
          <w:bCs/>
          <w:color w:val="auto"/>
          <w:sz w:val="24"/>
        </w:rPr>
        <w:t>）要求。</w:t>
      </w:r>
    </w:p>
    <w:p w14:paraId="152096D2" w14:textId="77777777" w:rsidR="00824529" w:rsidRPr="00A964FF" w:rsidRDefault="00824529" w:rsidP="00824529">
      <w:pPr>
        <w:pStyle w:val="ad"/>
        <w:rPr>
          <w:rFonts w:ascii="Calibri" w:hAnsi="Calibri"/>
          <w:color w:val="auto"/>
        </w:rPr>
      </w:pPr>
      <w:r w:rsidRPr="00134CE8">
        <w:rPr>
          <w:rFonts w:ascii="Calibri" w:hAnsi="Calibri" w:hint="eastAsia"/>
          <w:color w:val="auto"/>
        </w:rPr>
        <w:t>1.8</w:t>
      </w:r>
      <w:r w:rsidRPr="00134CE8">
        <w:rPr>
          <w:rFonts w:ascii="Calibri" w:hAnsi="Calibri"/>
          <w:color w:val="auto"/>
        </w:rPr>
        <w:t>.</w:t>
      </w:r>
      <w:r w:rsidRPr="00134CE8">
        <w:rPr>
          <w:rFonts w:ascii="Calibri" w:hAnsi="Calibri" w:hint="eastAsia"/>
          <w:color w:val="auto"/>
        </w:rPr>
        <w:t>2</w:t>
      </w:r>
      <w:r w:rsidRPr="00134CE8">
        <w:rPr>
          <w:rFonts w:ascii="Calibri" w:hAnsi="Calibri" w:hint="eastAsia"/>
          <w:color w:val="auto"/>
        </w:rPr>
        <w:t>与“三线一单”符合性分析</w:t>
      </w:r>
    </w:p>
    <w:p w14:paraId="1E46BBFA" w14:textId="77777777" w:rsidR="00824529" w:rsidRPr="00A964FF" w:rsidRDefault="00824529" w:rsidP="00824529">
      <w:pPr>
        <w:pStyle w:val="00"/>
        <w:rPr>
          <w:rFonts w:ascii="Calibri" w:hAnsi="Calibri"/>
          <w:b/>
          <w:color w:val="auto"/>
        </w:rPr>
      </w:pPr>
      <w:r w:rsidRPr="00A964FF">
        <w:rPr>
          <w:rFonts w:ascii="Calibri" w:hAnsi="Calibri" w:hint="eastAsia"/>
          <w:b/>
          <w:color w:val="auto"/>
        </w:rPr>
        <w:t>1</w:t>
      </w:r>
      <w:r w:rsidRPr="00A964FF">
        <w:rPr>
          <w:rFonts w:ascii="Calibri" w:hAnsi="Calibri" w:hint="eastAsia"/>
          <w:b/>
          <w:color w:val="auto"/>
        </w:rPr>
        <w:t>、生态保护红线</w:t>
      </w:r>
    </w:p>
    <w:p w14:paraId="1AA61674" w14:textId="77777777" w:rsidR="00824529" w:rsidRPr="00A964FF" w:rsidRDefault="00824529" w:rsidP="00824529">
      <w:pPr>
        <w:pStyle w:val="00"/>
        <w:rPr>
          <w:rFonts w:ascii="Calibri" w:hAnsi="Calibri"/>
          <w:color w:val="auto"/>
        </w:rPr>
      </w:pPr>
      <w:r w:rsidRPr="00A964FF">
        <w:rPr>
          <w:rFonts w:ascii="Calibri" w:hAnsi="Calibri" w:hint="eastAsia"/>
          <w:color w:val="auto"/>
        </w:rPr>
        <w:t>根据《河南省“三线一单”研究报告》和《河南省“三线一单”文本》中生态保护红线划定结果，最终确定全省生态保护红线面积</w:t>
      </w:r>
      <w:r w:rsidRPr="00A964FF">
        <w:rPr>
          <w:rFonts w:ascii="Calibri" w:hAnsi="Calibri" w:hint="eastAsia"/>
          <w:color w:val="auto"/>
        </w:rPr>
        <w:t>14153.88km</w:t>
      </w:r>
      <w:r w:rsidRPr="00A964FF">
        <w:rPr>
          <w:rFonts w:ascii="Calibri" w:hAnsi="Calibri" w:hint="eastAsia"/>
          <w:color w:val="auto"/>
          <w:vertAlign w:val="superscript"/>
        </w:rPr>
        <w:t>2</w:t>
      </w:r>
      <w:r w:rsidRPr="00A964FF">
        <w:rPr>
          <w:rFonts w:ascii="Calibri" w:hAnsi="Calibri" w:hint="eastAsia"/>
          <w:color w:val="auto"/>
        </w:rPr>
        <w:t>，占全国土面积的</w:t>
      </w:r>
      <w:r w:rsidRPr="00A964FF">
        <w:rPr>
          <w:rFonts w:ascii="Calibri" w:hAnsi="Calibri" w:hint="eastAsia"/>
          <w:color w:val="auto"/>
        </w:rPr>
        <w:t>8.54%</w:t>
      </w:r>
      <w:r w:rsidRPr="00A964FF">
        <w:rPr>
          <w:rFonts w:ascii="Calibri" w:hAnsi="Calibri" w:hint="eastAsia"/>
          <w:color w:val="auto"/>
        </w:rPr>
        <w:t>，主要分布于北部的太行山区，西部的小秦岭、崤山、熊耳山、伏牛山和外方山区，南部的桐柏山和大别山区，零星分布于南水北调中线干渠沿线、黄河干流沿线、淮河干流沿线、豫北平原和黄淮平原，总体分布格局为“三屏多点”。从北向南包括太行山区生态屏障、秦岭东部山区生态屏障、桐柏</w:t>
      </w:r>
      <w:r w:rsidRPr="00A964FF">
        <w:rPr>
          <w:rFonts w:ascii="Calibri" w:hAnsi="Calibri" w:hint="eastAsia"/>
          <w:color w:val="auto"/>
        </w:rPr>
        <w:t>-</w:t>
      </w:r>
      <w:r w:rsidRPr="00A964FF">
        <w:rPr>
          <w:rFonts w:ascii="Calibri" w:hAnsi="Calibri" w:hint="eastAsia"/>
          <w:color w:val="auto"/>
        </w:rPr>
        <w:t>大别山区生态屏障。</w:t>
      </w:r>
    </w:p>
    <w:p w14:paraId="70B80F31" w14:textId="77777777" w:rsidR="00824529" w:rsidRPr="00A964FF" w:rsidRDefault="00824529" w:rsidP="00824529">
      <w:pPr>
        <w:pStyle w:val="00"/>
        <w:rPr>
          <w:rFonts w:ascii="Calibri" w:hAnsi="Calibri"/>
          <w:color w:val="auto"/>
        </w:rPr>
      </w:pPr>
      <w:r w:rsidRPr="00A964FF">
        <w:rPr>
          <w:rFonts w:ascii="Calibri" w:hAnsi="Calibri" w:hint="eastAsia"/>
          <w:color w:val="auto"/>
        </w:rPr>
        <w:t>本项目选址在平顶山尼龙新材料产业集聚区内，用地为工业用地，周边多为工业企业，无自然保护区、风景名胜区、世界文化和自然遗产地、饮用水源保护区等环境敏感区，亦不在平顶山市划定的生态红线保护区范围内，用地符合当地土地利用总体规划。由此可知，本项目符合平顶山市生态红线保护要求。</w:t>
      </w:r>
    </w:p>
    <w:p w14:paraId="602BCDB3" w14:textId="77777777" w:rsidR="00824529" w:rsidRPr="00A964FF" w:rsidRDefault="00824529" w:rsidP="00824529">
      <w:pPr>
        <w:pStyle w:val="00"/>
        <w:rPr>
          <w:rFonts w:ascii="Calibri" w:hAnsi="Calibri"/>
          <w:b/>
          <w:color w:val="auto"/>
        </w:rPr>
      </w:pPr>
      <w:r w:rsidRPr="00A964FF">
        <w:rPr>
          <w:rFonts w:ascii="Calibri" w:hAnsi="Calibri" w:hint="eastAsia"/>
          <w:b/>
          <w:color w:val="auto"/>
        </w:rPr>
        <w:t>2</w:t>
      </w:r>
      <w:r w:rsidRPr="00A964FF">
        <w:rPr>
          <w:rFonts w:ascii="Calibri" w:hAnsi="Calibri" w:hint="eastAsia"/>
          <w:b/>
          <w:color w:val="auto"/>
        </w:rPr>
        <w:t>、资源利用上线</w:t>
      </w:r>
    </w:p>
    <w:p w14:paraId="0B7F3275" w14:textId="77777777" w:rsidR="00056953" w:rsidRPr="00A964FF" w:rsidRDefault="00056953" w:rsidP="00056953">
      <w:pPr>
        <w:pStyle w:val="00"/>
        <w:rPr>
          <w:rFonts w:ascii="Calibri" w:hAnsi="Calibri"/>
          <w:color w:val="auto"/>
        </w:rPr>
      </w:pPr>
      <w:r w:rsidRPr="00A964FF">
        <w:rPr>
          <w:rFonts w:ascii="Calibri" w:hAnsi="Calibri" w:hint="eastAsia"/>
          <w:color w:val="auto"/>
        </w:rPr>
        <w:t>本项目选址不在</w:t>
      </w:r>
      <w:r>
        <w:rPr>
          <w:rFonts w:ascii="Calibri" w:hAnsi="Calibri" w:hint="eastAsia"/>
          <w:color w:val="auto"/>
        </w:rPr>
        <w:t>平顶山市</w:t>
      </w:r>
      <w:r w:rsidRPr="00A964FF">
        <w:rPr>
          <w:rFonts w:ascii="Calibri" w:hAnsi="Calibri" w:hint="eastAsia"/>
          <w:color w:val="auto"/>
        </w:rPr>
        <w:t>高污染燃料禁燃区，其营运过程中能源消耗为电能和天然气，不消耗煤炭、石油等能源；项目不在地下水开采重点管控区，且项目营运后采取各种节水措施节约水资源；项目占地类型为</w:t>
      </w:r>
      <w:r w:rsidRPr="00A964FF">
        <w:rPr>
          <w:rFonts w:ascii="Calibri" w:hint="eastAsia"/>
          <w:bCs/>
          <w:color w:val="auto"/>
        </w:rPr>
        <w:t>工业用地，不占用农田和基本农田；</w:t>
      </w:r>
      <w:r w:rsidRPr="00A964FF">
        <w:rPr>
          <w:rFonts w:ascii="Calibri" w:hAnsi="Calibri" w:hint="eastAsia"/>
          <w:color w:val="auto"/>
        </w:rPr>
        <w:t>符合资源利用上线要求。</w:t>
      </w:r>
    </w:p>
    <w:p w14:paraId="29BF7198" w14:textId="77777777" w:rsidR="00824529" w:rsidRPr="00A964FF" w:rsidRDefault="00824529" w:rsidP="00824529">
      <w:pPr>
        <w:pStyle w:val="00"/>
        <w:rPr>
          <w:rFonts w:ascii="Calibri" w:hAnsi="Calibri"/>
          <w:b/>
          <w:color w:val="auto"/>
        </w:rPr>
      </w:pPr>
      <w:r w:rsidRPr="00A964FF">
        <w:rPr>
          <w:rFonts w:ascii="Calibri" w:hAnsi="Calibri" w:hint="eastAsia"/>
          <w:b/>
          <w:color w:val="auto"/>
        </w:rPr>
        <w:t>3</w:t>
      </w:r>
      <w:r w:rsidRPr="00A964FF">
        <w:rPr>
          <w:rFonts w:ascii="Calibri" w:hAnsi="Calibri" w:hint="eastAsia"/>
          <w:b/>
          <w:color w:val="auto"/>
        </w:rPr>
        <w:t>、环境质量底线</w:t>
      </w:r>
    </w:p>
    <w:p w14:paraId="3075ABD0" w14:textId="68CD835F" w:rsidR="00404CF4" w:rsidRPr="00293235" w:rsidRDefault="00293235" w:rsidP="00824529">
      <w:pPr>
        <w:pStyle w:val="00"/>
        <w:rPr>
          <w:rFonts w:ascii="Calibri" w:hAnsi="Calibri"/>
          <w:color w:val="auto"/>
        </w:rPr>
      </w:pPr>
      <w:r>
        <w:rPr>
          <w:rFonts w:ascii="Calibri" w:hAnsi="Calibri" w:hint="eastAsia"/>
          <w:color w:val="auto"/>
        </w:rPr>
        <w:t>本</w:t>
      </w:r>
      <w:r w:rsidR="00404CF4">
        <w:rPr>
          <w:rFonts w:ascii="Calibri" w:hAnsi="Calibri" w:hint="eastAsia"/>
          <w:color w:val="auto"/>
        </w:rPr>
        <w:t>项目所在区域为环境空气质量不达标区</w:t>
      </w:r>
      <w:r>
        <w:rPr>
          <w:rFonts w:ascii="Calibri" w:hAnsi="Calibri" w:hint="eastAsia"/>
          <w:color w:val="auto"/>
        </w:rPr>
        <w:t>，主要为</w:t>
      </w:r>
      <w:r>
        <w:rPr>
          <w:rFonts w:ascii="Calibri" w:hAnsi="Calibri" w:hint="eastAsia"/>
          <w:color w:val="auto"/>
        </w:rPr>
        <w:t>PM</w:t>
      </w:r>
      <w:r w:rsidRPr="00293235">
        <w:rPr>
          <w:rFonts w:ascii="Calibri" w:hAnsi="Calibri" w:hint="eastAsia"/>
          <w:color w:val="auto"/>
          <w:vertAlign w:val="subscript"/>
        </w:rPr>
        <w:t>10</w:t>
      </w:r>
      <w:r>
        <w:rPr>
          <w:rFonts w:ascii="Calibri" w:hAnsi="Calibri" w:hint="eastAsia"/>
          <w:color w:val="auto"/>
        </w:rPr>
        <w:t>、</w:t>
      </w:r>
      <w:r>
        <w:rPr>
          <w:rFonts w:ascii="Calibri" w:hAnsi="Calibri" w:hint="eastAsia"/>
          <w:color w:val="auto"/>
        </w:rPr>
        <w:t>PM</w:t>
      </w:r>
      <w:r w:rsidRPr="00293235">
        <w:rPr>
          <w:rFonts w:ascii="Calibri" w:hAnsi="Calibri" w:hint="eastAsia"/>
          <w:color w:val="auto"/>
          <w:vertAlign w:val="subscript"/>
        </w:rPr>
        <w:t>2.5</w:t>
      </w:r>
      <w:r>
        <w:rPr>
          <w:rFonts w:ascii="Calibri" w:hAnsi="Calibri" w:hint="eastAsia"/>
          <w:color w:val="auto"/>
        </w:rPr>
        <w:t>不达标。根据补充检测结果，项目拟建设环境空气中特征污染因子的检测结果均满足相应的环境空气质量标准。项目采取了有效的废气治理措施，废气中的各污染物可以实现达标排放，项目运行不会改变环境功能区划。项目生产废水、生活污水经厂区污水处理站处</w:t>
      </w:r>
      <w:r>
        <w:rPr>
          <w:rFonts w:ascii="Calibri" w:hAnsi="Calibri" w:hint="eastAsia"/>
          <w:color w:val="auto"/>
        </w:rPr>
        <w:lastRenderedPageBreak/>
        <w:t>理后</w:t>
      </w:r>
      <w:r w:rsidRPr="00A964FF">
        <w:rPr>
          <w:rFonts w:ascii="Calibri" w:hint="eastAsia"/>
          <w:color w:val="auto"/>
          <w:szCs w:val="21"/>
        </w:rPr>
        <w:t>进入集聚区污水处理厂集中处理</w:t>
      </w:r>
      <w:r>
        <w:rPr>
          <w:rFonts w:ascii="Calibri" w:hint="eastAsia"/>
          <w:color w:val="auto"/>
          <w:szCs w:val="21"/>
        </w:rPr>
        <w:t>，不直接排入地表水体，不会改变灰河的水环境功能区划。本项目产生的固废均能有效处理，不会降低环境质量现状。</w:t>
      </w:r>
    </w:p>
    <w:p w14:paraId="2D4D0B01" w14:textId="77777777" w:rsidR="00404CF4" w:rsidRDefault="00293235" w:rsidP="00293235">
      <w:pPr>
        <w:pStyle w:val="00"/>
        <w:rPr>
          <w:rFonts w:ascii="Calibri" w:hAnsi="Calibri"/>
          <w:color w:val="auto"/>
        </w:rPr>
      </w:pPr>
      <w:r>
        <w:rPr>
          <w:rFonts w:ascii="Calibri" w:hAnsi="Calibri" w:hint="eastAsia"/>
          <w:color w:val="auto"/>
        </w:rPr>
        <w:t>综上，项目采取了有效的污染防治措施，不会改变区域环境质量功能区划，符合环境质量底线。</w:t>
      </w:r>
    </w:p>
    <w:p w14:paraId="7FABE0ED" w14:textId="77777777" w:rsidR="009608F3" w:rsidRPr="00A964FF" w:rsidRDefault="009608F3" w:rsidP="00824529">
      <w:pPr>
        <w:pStyle w:val="00"/>
        <w:rPr>
          <w:rFonts w:ascii="Calibri" w:hAnsi="Calibri"/>
          <w:b/>
          <w:color w:val="auto"/>
        </w:rPr>
      </w:pPr>
      <w:r w:rsidRPr="00CA2479">
        <w:rPr>
          <w:rFonts w:ascii="Calibri" w:hAnsi="Calibri" w:hint="eastAsia"/>
          <w:b/>
          <w:color w:val="auto"/>
        </w:rPr>
        <w:t>4</w:t>
      </w:r>
      <w:r w:rsidRPr="00CA2479">
        <w:rPr>
          <w:rFonts w:ascii="Calibri" w:hAnsi="Calibri" w:hint="eastAsia"/>
          <w:b/>
          <w:color w:val="auto"/>
        </w:rPr>
        <w:t>、</w:t>
      </w:r>
      <w:r w:rsidR="00824529" w:rsidRPr="00CA2479">
        <w:rPr>
          <w:rFonts w:ascii="Calibri" w:hAnsi="Calibri" w:hint="eastAsia"/>
          <w:b/>
          <w:color w:val="auto"/>
        </w:rPr>
        <w:t>生态环境准入清单</w:t>
      </w:r>
    </w:p>
    <w:p w14:paraId="7FE0F3CE" w14:textId="77777777" w:rsidR="009608F3" w:rsidRPr="00A964FF" w:rsidRDefault="009608F3" w:rsidP="009608F3">
      <w:pPr>
        <w:autoSpaceDE w:val="0"/>
        <w:autoSpaceDN w:val="0"/>
        <w:adjustRightInd w:val="0"/>
        <w:snapToGrid w:val="0"/>
        <w:spacing w:line="520" w:lineRule="exact"/>
        <w:ind w:firstLineChars="200" w:firstLine="480"/>
        <w:jc w:val="left"/>
        <w:rPr>
          <w:rFonts w:ascii="Calibri"/>
          <w:color w:val="auto"/>
          <w:kern w:val="0"/>
          <w:sz w:val="24"/>
        </w:rPr>
      </w:pPr>
      <w:r w:rsidRPr="00A964FF">
        <w:rPr>
          <w:rFonts w:ascii="Calibri" w:hint="eastAsia"/>
          <w:color w:val="auto"/>
          <w:kern w:val="0"/>
          <w:sz w:val="24"/>
        </w:rPr>
        <w:t>本项目选址位于平顶山尼龙新材料产业集聚区，根据《平顶山市人民政府关于实施“三线一单”生态环境分区管控的意见》（平政【</w:t>
      </w:r>
      <w:r w:rsidRPr="00A964FF">
        <w:rPr>
          <w:rFonts w:ascii="Calibri" w:hint="eastAsia"/>
          <w:color w:val="auto"/>
          <w:kern w:val="0"/>
          <w:sz w:val="24"/>
        </w:rPr>
        <w:t>2021</w:t>
      </w:r>
      <w:r w:rsidRPr="00A964FF">
        <w:rPr>
          <w:rFonts w:ascii="Calibri" w:hint="eastAsia"/>
          <w:color w:val="auto"/>
          <w:kern w:val="0"/>
          <w:sz w:val="24"/>
        </w:rPr>
        <w:t>】</w:t>
      </w:r>
      <w:r w:rsidRPr="00A964FF">
        <w:rPr>
          <w:rFonts w:ascii="Calibri" w:hint="eastAsia"/>
          <w:color w:val="auto"/>
          <w:kern w:val="0"/>
          <w:sz w:val="24"/>
        </w:rPr>
        <w:t>10</w:t>
      </w:r>
      <w:r w:rsidRPr="00A964FF">
        <w:rPr>
          <w:rFonts w:ascii="Calibri" w:hint="eastAsia"/>
          <w:color w:val="auto"/>
          <w:kern w:val="0"/>
          <w:sz w:val="24"/>
        </w:rPr>
        <w:t>号），《平顶山市生态环境局关于组织实施平顶山市“三线一单”生态环境分区管控准入清单的函》，叶县国土空间按优先保护单元、重点管控单元、一般管控单元三大类共分为</w:t>
      </w:r>
      <w:r w:rsidRPr="00A964FF">
        <w:rPr>
          <w:rFonts w:ascii="Calibri" w:hint="eastAsia"/>
          <w:color w:val="auto"/>
          <w:kern w:val="0"/>
          <w:sz w:val="24"/>
        </w:rPr>
        <w:t>9</w:t>
      </w:r>
      <w:r w:rsidRPr="00A964FF">
        <w:rPr>
          <w:rFonts w:ascii="Calibri" w:hint="eastAsia"/>
          <w:color w:val="auto"/>
          <w:kern w:val="0"/>
          <w:sz w:val="24"/>
        </w:rPr>
        <w:t>个生态环境管控单元。其中，优先保护单元</w:t>
      </w:r>
      <w:r w:rsidRPr="00A964FF">
        <w:rPr>
          <w:rFonts w:ascii="Calibri" w:hint="eastAsia"/>
          <w:color w:val="auto"/>
          <w:kern w:val="0"/>
          <w:sz w:val="24"/>
        </w:rPr>
        <w:t>3</w:t>
      </w:r>
      <w:r w:rsidRPr="00A964FF">
        <w:rPr>
          <w:rFonts w:ascii="Calibri" w:hint="eastAsia"/>
          <w:color w:val="auto"/>
          <w:kern w:val="0"/>
          <w:sz w:val="24"/>
        </w:rPr>
        <w:t>个，面积</w:t>
      </w:r>
      <w:r w:rsidRPr="00A964FF">
        <w:rPr>
          <w:rFonts w:ascii="Calibri" w:hint="eastAsia"/>
          <w:color w:val="auto"/>
          <w:kern w:val="0"/>
          <w:sz w:val="24"/>
        </w:rPr>
        <w:t>193.52</w:t>
      </w:r>
      <w:r w:rsidRPr="00A964FF">
        <w:rPr>
          <w:rFonts w:ascii="Calibri" w:hint="eastAsia"/>
          <w:color w:val="auto"/>
          <w:kern w:val="0"/>
          <w:sz w:val="24"/>
        </w:rPr>
        <w:t>平方公里，占比</w:t>
      </w:r>
      <w:r w:rsidRPr="00A964FF">
        <w:rPr>
          <w:rFonts w:ascii="Calibri" w:hint="eastAsia"/>
          <w:color w:val="auto"/>
          <w:kern w:val="0"/>
          <w:sz w:val="24"/>
        </w:rPr>
        <w:t>13.93%</w:t>
      </w:r>
      <w:r w:rsidRPr="00A964FF">
        <w:rPr>
          <w:rFonts w:ascii="Calibri" w:hint="eastAsia"/>
          <w:color w:val="auto"/>
          <w:kern w:val="0"/>
          <w:sz w:val="24"/>
        </w:rPr>
        <w:t>；重点管控单元</w:t>
      </w:r>
      <w:r w:rsidRPr="00A964FF">
        <w:rPr>
          <w:rFonts w:ascii="Calibri" w:hint="eastAsia"/>
          <w:color w:val="auto"/>
          <w:kern w:val="0"/>
          <w:sz w:val="24"/>
        </w:rPr>
        <w:t>5</w:t>
      </w:r>
      <w:r w:rsidRPr="00A964FF">
        <w:rPr>
          <w:rFonts w:ascii="Calibri" w:hint="eastAsia"/>
          <w:color w:val="auto"/>
          <w:kern w:val="0"/>
          <w:sz w:val="24"/>
        </w:rPr>
        <w:t>个，面积</w:t>
      </w:r>
      <w:r w:rsidRPr="00A964FF">
        <w:rPr>
          <w:rFonts w:ascii="Calibri" w:hint="eastAsia"/>
          <w:color w:val="auto"/>
          <w:kern w:val="0"/>
          <w:sz w:val="24"/>
        </w:rPr>
        <w:t>601.29</w:t>
      </w:r>
      <w:r w:rsidRPr="00A964FF">
        <w:rPr>
          <w:rFonts w:ascii="Calibri" w:hint="eastAsia"/>
          <w:color w:val="auto"/>
          <w:kern w:val="0"/>
          <w:sz w:val="24"/>
        </w:rPr>
        <w:t>平方公里，占比</w:t>
      </w:r>
      <w:r w:rsidRPr="00A964FF">
        <w:rPr>
          <w:rFonts w:ascii="Calibri" w:hint="eastAsia"/>
          <w:color w:val="auto"/>
          <w:kern w:val="0"/>
          <w:sz w:val="24"/>
        </w:rPr>
        <w:t>43.28%</w:t>
      </w:r>
      <w:r w:rsidRPr="00A964FF">
        <w:rPr>
          <w:rFonts w:ascii="Calibri" w:hint="eastAsia"/>
          <w:color w:val="auto"/>
          <w:kern w:val="0"/>
          <w:sz w:val="24"/>
        </w:rPr>
        <w:t>；一般管控单元</w:t>
      </w:r>
      <w:r w:rsidRPr="00A964FF">
        <w:rPr>
          <w:rFonts w:ascii="Calibri" w:hint="eastAsia"/>
          <w:color w:val="auto"/>
          <w:kern w:val="0"/>
          <w:sz w:val="24"/>
        </w:rPr>
        <w:t>1</w:t>
      </w:r>
      <w:r w:rsidRPr="00A964FF">
        <w:rPr>
          <w:rFonts w:ascii="Calibri" w:hint="eastAsia"/>
          <w:color w:val="auto"/>
          <w:kern w:val="0"/>
          <w:sz w:val="24"/>
        </w:rPr>
        <w:t>个，面积</w:t>
      </w:r>
      <w:r w:rsidRPr="00A964FF">
        <w:rPr>
          <w:rFonts w:ascii="Calibri" w:hint="eastAsia"/>
          <w:color w:val="auto"/>
          <w:kern w:val="0"/>
          <w:sz w:val="24"/>
        </w:rPr>
        <w:t>594.42</w:t>
      </w:r>
      <w:r w:rsidRPr="00A964FF">
        <w:rPr>
          <w:rFonts w:ascii="Calibri" w:hint="eastAsia"/>
          <w:color w:val="auto"/>
          <w:kern w:val="0"/>
          <w:sz w:val="24"/>
        </w:rPr>
        <w:t>平方公里，占比</w:t>
      </w:r>
      <w:r w:rsidRPr="00A964FF">
        <w:rPr>
          <w:rFonts w:ascii="Calibri" w:hint="eastAsia"/>
          <w:color w:val="auto"/>
          <w:kern w:val="0"/>
          <w:sz w:val="24"/>
        </w:rPr>
        <w:t>42.79%</w:t>
      </w:r>
      <w:r w:rsidRPr="00A964FF">
        <w:rPr>
          <w:rFonts w:ascii="Calibri" w:hint="eastAsia"/>
          <w:color w:val="auto"/>
          <w:kern w:val="0"/>
          <w:sz w:val="24"/>
        </w:rPr>
        <w:t>。</w:t>
      </w:r>
    </w:p>
    <w:p w14:paraId="73F63505" w14:textId="77777777" w:rsidR="00A2375E" w:rsidRPr="00056953" w:rsidRDefault="009608F3" w:rsidP="00056953">
      <w:pPr>
        <w:autoSpaceDE w:val="0"/>
        <w:autoSpaceDN w:val="0"/>
        <w:adjustRightInd w:val="0"/>
        <w:snapToGrid w:val="0"/>
        <w:spacing w:line="520" w:lineRule="exact"/>
        <w:ind w:firstLineChars="200" w:firstLine="480"/>
        <w:jc w:val="left"/>
        <w:rPr>
          <w:rFonts w:ascii="Calibri"/>
          <w:color w:val="auto"/>
          <w:kern w:val="0"/>
          <w:sz w:val="24"/>
        </w:rPr>
      </w:pPr>
      <w:r w:rsidRPr="00A964FF">
        <w:rPr>
          <w:rFonts w:ascii="Calibri" w:hint="eastAsia"/>
          <w:color w:val="auto"/>
          <w:kern w:val="0"/>
          <w:sz w:val="24"/>
        </w:rPr>
        <w:t>根据“平顶山市生态环境准入清单（试行）”，本项目所在环境管控单元为重点单元，其生态环境准入清单见表</w:t>
      </w:r>
      <w:r w:rsidRPr="00A964FF">
        <w:rPr>
          <w:rFonts w:ascii="Calibri" w:hint="eastAsia"/>
          <w:color w:val="auto"/>
          <w:kern w:val="0"/>
          <w:sz w:val="24"/>
        </w:rPr>
        <w:t>1.8-1</w:t>
      </w:r>
      <w:r w:rsidRPr="00A964FF">
        <w:rPr>
          <w:rFonts w:ascii="Calibri" w:hint="eastAsia"/>
          <w:color w:val="auto"/>
          <w:kern w:val="0"/>
          <w:sz w:val="24"/>
        </w:rPr>
        <w:t>。</w:t>
      </w:r>
    </w:p>
    <w:p w14:paraId="475D0584" w14:textId="77777777" w:rsidR="00824529" w:rsidRDefault="00824529" w:rsidP="00824529">
      <w:pPr>
        <w:spacing w:line="520" w:lineRule="exact"/>
        <w:ind w:firstLineChars="196" w:firstLine="470"/>
        <w:rPr>
          <w:rFonts w:ascii="Calibri" w:eastAsia="黑体"/>
          <w:color w:val="auto"/>
          <w:sz w:val="24"/>
        </w:rPr>
      </w:pPr>
      <w:r w:rsidRPr="00A964FF">
        <w:rPr>
          <w:rFonts w:ascii="Calibri" w:eastAsia="黑体"/>
          <w:color w:val="auto"/>
          <w:sz w:val="24"/>
        </w:rPr>
        <w:t>表</w:t>
      </w:r>
      <w:r w:rsidRPr="00A964FF">
        <w:rPr>
          <w:rFonts w:ascii="Calibri" w:eastAsia="黑体" w:hAnsi="Calibri" w:hint="eastAsia"/>
          <w:color w:val="auto"/>
          <w:sz w:val="24"/>
        </w:rPr>
        <w:t>1.8-1</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int="eastAsia"/>
          <w:color w:val="auto"/>
          <w:sz w:val="24"/>
        </w:rPr>
        <w:t>叶县环境管控单元生态环境准入清单</w:t>
      </w:r>
    </w:p>
    <w:tbl>
      <w:tblPr>
        <w:tblW w:w="5000" w:type="pct"/>
        <w:jc w:val="center"/>
        <w:tblLook w:val="04A0" w:firstRow="1" w:lastRow="0" w:firstColumn="1" w:lastColumn="0" w:noHBand="0" w:noVBand="1"/>
      </w:tblPr>
      <w:tblGrid>
        <w:gridCol w:w="1616"/>
        <w:gridCol w:w="611"/>
        <w:gridCol w:w="426"/>
        <w:gridCol w:w="474"/>
        <w:gridCol w:w="513"/>
        <w:gridCol w:w="2876"/>
        <w:gridCol w:w="1696"/>
        <w:gridCol w:w="488"/>
      </w:tblGrid>
      <w:tr w:rsidR="001A5EC6" w:rsidRPr="001A5EC6" w14:paraId="2D3D9341" w14:textId="77777777" w:rsidTr="001A5EC6">
        <w:trPr>
          <w:trHeight w:val="552"/>
          <w:jc w:val="center"/>
        </w:trPr>
        <w:tc>
          <w:tcPr>
            <w:tcW w:w="372" w:type="pct"/>
            <w:tcBorders>
              <w:top w:val="single" w:sz="12" w:space="0" w:color="auto"/>
              <w:left w:val="single" w:sz="12" w:space="0" w:color="auto"/>
              <w:bottom w:val="single" w:sz="4" w:space="0" w:color="000000"/>
              <w:right w:val="single" w:sz="4" w:space="0" w:color="000000"/>
            </w:tcBorders>
            <w:shd w:val="clear" w:color="auto" w:fill="auto"/>
            <w:vAlign w:val="center"/>
          </w:tcPr>
          <w:p w14:paraId="56A966CD"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环境管控单元编码</w:t>
            </w:r>
          </w:p>
        </w:tc>
        <w:tc>
          <w:tcPr>
            <w:tcW w:w="431" w:type="pct"/>
            <w:tcBorders>
              <w:top w:val="single" w:sz="12" w:space="0" w:color="auto"/>
              <w:left w:val="single" w:sz="4" w:space="0" w:color="000000"/>
              <w:bottom w:val="single" w:sz="4" w:space="0" w:color="000000"/>
              <w:right w:val="single" w:sz="4" w:space="0" w:color="000000"/>
            </w:tcBorders>
            <w:shd w:val="clear" w:color="auto" w:fill="auto"/>
            <w:vAlign w:val="center"/>
          </w:tcPr>
          <w:p w14:paraId="3BD9BC1C"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环境管控单元名称</w:t>
            </w:r>
          </w:p>
        </w:tc>
        <w:tc>
          <w:tcPr>
            <w:tcW w:w="322" w:type="pct"/>
            <w:tcBorders>
              <w:top w:val="single" w:sz="12" w:space="0" w:color="auto"/>
              <w:left w:val="single" w:sz="4" w:space="0" w:color="000000"/>
              <w:bottom w:val="single" w:sz="4" w:space="0" w:color="000000"/>
              <w:right w:val="single" w:sz="4" w:space="0" w:color="000000"/>
            </w:tcBorders>
            <w:shd w:val="clear" w:color="auto" w:fill="auto"/>
            <w:vAlign w:val="center"/>
          </w:tcPr>
          <w:p w14:paraId="2B125EC2"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行政区划</w:t>
            </w:r>
          </w:p>
        </w:tc>
        <w:tc>
          <w:tcPr>
            <w:tcW w:w="355" w:type="pct"/>
            <w:tcBorders>
              <w:top w:val="single" w:sz="12" w:space="0" w:color="auto"/>
              <w:left w:val="single" w:sz="4" w:space="0" w:color="000000"/>
              <w:bottom w:val="single" w:sz="4" w:space="0" w:color="000000"/>
              <w:right w:val="single" w:sz="4" w:space="0" w:color="000000"/>
            </w:tcBorders>
            <w:shd w:val="clear" w:color="auto" w:fill="auto"/>
            <w:vAlign w:val="center"/>
          </w:tcPr>
          <w:p w14:paraId="7AC9F11E"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管控单元分类</w:t>
            </w:r>
          </w:p>
        </w:tc>
        <w:tc>
          <w:tcPr>
            <w:tcW w:w="2106" w:type="pct"/>
            <w:gridSpan w:val="2"/>
            <w:tcBorders>
              <w:top w:val="single" w:sz="12" w:space="0" w:color="auto"/>
              <w:left w:val="single" w:sz="4" w:space="0" w:color="000000"/>
              <w:bottom w:val="single" w:sz="4" w:space="0" w:color="000000"/>
              <w:right w:val="single" w:sz="4" w:space="0" w:color="000000"/>
            </w:tcBorders>
            <w:shd w:val="clear" w:color="auto" w:fill="auto"/>
            <w:vAlign w:val="center"/>
          </w:tcPr>
          <w:p w14:paraId="30341864"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管控要求</w:t>
            </w:r>
          </w:p>
        </w:tc>
        <w:tc>
          <w:tcPr>
            <w:tcW w:w="1054" w:type="pct"/>
            <w:tcBorders>
              <w:top w:val="single" w:sz="12" w:space="0" w:color="auto"/>
              <w:left w:val="single" w:sz="4" w:space="0" w:color="000000"/>
              <w:bottom w:val="single" w:sz="4" w:space="0" w:color="000000"/>
              <w:right w:val="single" w:sz="4" w:space="0" w:color="000000"/>
            </w:tcBorders>
            <w:vAlign w:val="center"/>
          </w:tcPr>
          <w:p w14:paraId="59987DFB"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本次项目</w:t>
            </w:r>
          </w:p>
        </w:tc>
        <w:tc>
          <w:tcPr>
            <w:tcW w:w="360" w:type="pct"/>
            <w:tcBorders>
              <w:top w:val="single" w:sz="12" w:space="0" w:color="auto"/>
              <w:left w:val="single" w:sz="4" w:space="0" w:color="000000"/>
              <w:bottom w:val="single" w:sz="4" w:space="0" w:color="000000"/>
              <w:right w:val="single" w:sz="12" w:space="0" w:color="auto"/>
            </w:tcBorders>
            <w:vAlign w:val="center"/>
          </w:tcPr>
          <w:p w14:paraId="4A25F53A"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相符性</w:t>
            </w:r>
          </w:p>
        </w:tc>
      </w:tr>
      <w:tr w:rsidR="001A5EC6" w:rsidRPr="001A5EC6" w14:paraId="6DF1C9D9" w14:textId="77777777" w:rsidTr="001A5EC6">
        <w:trPr>
          <w:trHeight w:val="452"/>
          <w:jc w:val="center"/>
        </w:trPr>
        <w:tc>
          <w:tcPr>
            <w:tcW w:w="372" w:type="pct"/>
            <w:vMerge w:val="restart"/>
            <w:tcBorders>
              <w:top w:val="single" w:sz="4" w:space="0" w:color="000000"/>
              <w:left w:val="single" w:sz="12" w:space="0" w:color="auto"/>
              <w:bottom w:val="single" w:sz="4" w:space="0" w:color="000000"/>
              <w:right w:val="single" w:sz="4" w:space="0" w:color="000000"/>
            </w:tcBorders>
            <w:shd w:val="clear" w:color="auto" w:fill="auto"/>
            <w:vAlign w:val="center"/>
          </w:tcPr>
          <w:p w14:paraId="2E46EEA5"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ZH41042220002</w:t>
            </w:r>
          </w:p>
        </w:tc>
        <w:tc>
          <w:tcPr>
            <w:tcW w:w="43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3DF519"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平顶山尼龙新材料产业集聚区</w:t>
            </w:r>
          </w:p>
        </w:tc>
        <w:tc>
          <w:tcPr>
            <w:tcW w:w="32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F0B306"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w:t>
            </w:r>
          </w:p>
        </w:tc>
        <w:tc>
          <w:tcPr>
            <w:tcW w:w="3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10B93C"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重点管控单元</w:t>
            </w:r>
          </w:p>
        </w:tc>
        <w:tc>
          <w:tcPr>
            <w:tcW w:w="374" w:type="pct"/>
            <w:vMerge w:val="restart"/>
            <w:tcBorders>
              <w:top w:val="single" w:sz="4" w:space="0" w:color="000000"/>
              <w:left w:val="single" w:sz="4" w:space="0" w:color="000000"/>
              <w:right w:val="single" w:sz="4" w:space="0" w:color="000000"/>
            </w:tcBorders>
            <w:shd w:val="clear" w:color="auto" w:fill="auto"/>
            <w:vAlign w:val="center"/>
          </w:tcPr>
          <w:p w14:paraId="6A9EF448"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空间布局约束</w:t>
            </w:r>
          </w:p>
        </w:tc>
        <w:tc>
          <w:tcPr>
            <w:tcW w:w="1732" w:type="pct"/>
            <w:tcBorders>
              <w:top w:val="single" w:sz="4" w:space="0" w:color="000000"/>
              <w:left w:val="single" w:sz="4" w:space="0" w:color="000000"/>
              <w:bottom w:val="single" w:sz="6" w:space="0" w:color="auto"/>
              <w:right w:val="single" w:sz="4" w:space="0" w:color="000000"/>
            </w:tcBorders>
            <w:shd w:val="clear" w:color="auto" w:fill="auto"/>
            <w:vAlign w:val="center"/>
          </w:tcPr>
          <w:p w14:paraId="6F0E64EA" w14:textId="77777777" w:rsidR="001A5EC6" w:rsidRPr="001A5EC6" w:rsidRDefault="001A5EC6" w:rsidP="001A5EC6">
            <w:pPr>
              <w:jc w:val="center"/>
              <w:textAlignment w:val="center"/>
              <w:rPr>
                <w:rFonts w:asciiTheme="minorHAnsi" w:hAnsiTheme="minorHAnsi"/>
                <w:szCs w:val="21"/>
              </w:rPr>
            </w:pPr>
            <w:r w:rsidRPr="001A5EC6">
              <w:rPr>
                <w:rFonts w:asciiTheme="minorHAnsi" w:hAnsiTheme="minorHAnsi"/>
                <w:kern w:val="0"/>
                <w:szCs w:val="21"/>
              </w:rPr>
              <w:t>1.</w:t>
            </w:r>
            <w:r w:rsidRPr="001A5EC6">
              <w:rPr>
                <w:rFonts w:asciiTheme="minorHAnsi" w:hAnsiTheme="minorHAnsi"/>
                <w:kern w:val="0"/>
                <w:szCs w:val="21"/>
              </w:rPr>
              <w:t>在开发过程中不应随意改变各用地功能区的使用功能。</w:t>
            </w:r>
          </w:p>
        </w:tc>
        <w:tc>
          <w:tcPr>
            <w:tcW w:w="1054" w:type="pct"/>
            <w:tcBorders>
              <w:top w:val="single" w:sz="4" w:space="0" w:color="000000"/>
              <w:left w:val="single" w:sz="4" w:space="0" w:color="000000"/>
              <w:bottom w:val="single" w:sz="6" w:space="0" w:color="auto"/>
              <w:right w:val="single" w:sz="4" w:space="0" w:color="000000"/>
            </w:tcBorders>
            <w:vAlign w:val="center"/>
          </w:tcPr>
          <w:p w14:paraId="16426164"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本次项目用地类型为工业用地，项目选址符合园区用地规划要求。</w:t>
            </w:r>
          </w:p>
        </w:tc>
        <w:tc>
          <w:tcPr>
            <w:tcW w:w="360" w:type="pct"/>
            <w:tcBorders>
              <w:top w:val="single" w:sz="4" w:space="0" w:color="000000"/>
              <w:left w:val="single" w:sz="4" w:space="0" w:color="000000"/>
              <w:bottom w:val="single" w:sz="6" w:space="0" w:color="auto"/>
              <w:right w:val="single" w:sz="12" w:space="0" w:color="auto"/>
            </w:tcBorders>
            <w:vAlign w:val="center"/>
          </w:tcPr>
          <w:p w14:paraId="0B9F00E3"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相符</w:t>
            </w:r>
          </w:p>
        </w:tc>
      </w:tr>
      <w:tr w:rsidR="001A5EC6" w:rsidRPr="001A5EC6" w14:paraId="1AB1D656" w14:textId="77777777" w:rsidTr="001A5EC6">
        <w:trPr>
          <w:trHeight w:val="493"/>
          <w:jc w:val="center"/>
        </w:trPr>
        <w:tc>
          <w:tcPr>
            <w:tcW w:w="372" w:type="pct"/>
            <w:vMerge/>
            <w:tcBorders>
              <w:top w:val="single" w:sz="4" w:space="0" w:color="000000"/>
              <w:left w:val="single" w:sz="12" w:space="0" w:color="auto"/>
              <w:bottom w:val="single" w:sz="4" w:space="0" w:color="000000"/>
              <w:right w:val="single" w:sz="4" w:space="0" w:color="000000"/>
            </w:tcBorders>
            <w:shd w:val="clear" w:color="auto" w:fill="auto"/>
            <w:vAlign w:val="center"/>
          </w:tcPr>
          <w:p w14:paraId="6FD96B50" w14:textId="77777777" w:rsidR="001A5EC6" w:rsidRPr="001A5EC6" w:rsidRDefault="001A5EC6" w:rsidP="001A5EC6">
            <w:pPr>
              <w:widowControl/>
              <w:jc w:val="center"/>
              <w:textAlignment w:val="center"/>
              <w:rPr>
                <w:rFonts w:asciiTheme="minorHAnsi" w:hAnsiTheme="minorHAnsi"/>
                <w:kern w:val="0"/>
                <w:szCs w:val="21"/>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6C20B" w14:textId="77777777" w:rsidR="001A5EC6" w:rsidRPr="001A5EC6" w:rsidRDefault="001A5EC6" w:rsidP="001A5EC6">
            <w:pPr>
              <w:widowControl/>
              <w:jc w:val="center"/>
              <w:textAlignment w:val="center"/>
              <w:rPr>
                <w:rFonts w:asciiTheme="minorHAnsi" w:hAnsiTheme="minorHAnsi"/>
                <w:kern w:val="0"/>
                <w:szCs w:val="21"/>
              </w:rPr>
            </w:pPr>
          </w:p>
        </w:tc>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7EDBB7" w14:textId="77777777" w:rsidR="001A5EC6" w:rsidRPr="001A5EC6" w:rsidRDefault="001A5EC6" w:rsidP="001A5EC6">
            <w:pPr>
              <w:widowControl/>
              <w:jc w:val="center"/>
              <w:textAlignment w:val="center"/>
              <w:rPr>
                <w:rFonts w:asciiTheme="minorHAnsi" w:hAnsiTheme="minorHAnsi"/>
                <w:kern w:val="0"/>
                <w:szCs w:val="21"/>
              </w:rPr>
            </w:pPr>
          </w:p>
        </w:tc>
        <w:tc>
          <w:tcPr>
            <w:tcW w:w="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BFCC68" w14:textId="77777777" w:rsidR="001A5EC6" w:rsidRPr="001A5EC6" w:rsidRDefault="001A5EC6" w:rsidP="001A5EC6">
            <w:pPr>
              <w:widowControl/>
              <w:jc w:val="center"/>
              <w:textAlignment w:val="center"/>
              <w:rPr>
                <w:rFonts w:asciiTheme="minorHAnsi" w:hAnsiTheme="minorHAnsi"/>
                <w:kern w:val="0"/>
                <w:szCs w:val="21"/>
              </w:rPr>
            </w:pPr>
          </w:p>
        </w:tc>
        <w:tc>
          <w:tcPr>
            <w:tcW w:w="374" w:type="pct"/>
            <w:vMerge/>
            <w:tcBorders>
              <w:left w:val="single" w:sz="4" w:space="0" w:color="000000"/>
              <w:right w:val="single" w:sz="4" w:space="0" w:color="000000"/>
            </w:tcBorders>
            <w:shd w:val="clear" w:color="auto" w:fill="auto"/>
            <w:vAlign w:val="center"/>
          </w:tcPr>
          <w:p w14:paraId="691182DA" w14:textId="77777777" w:rsidR="001A5EC6" w:rsidRPr="001A5EC6" w:rsidRDefault="001A5EC6" w:rsidP="001A5EC6">
            <w:pPr>
              <w:widowControl/>
              <w:jc w:val="center"/>
              <w:textAlignment w:val="center"/>
              <w:rPr>
                <w:rFonts w:asciiTheme="minorHAnsi" w:hAnsiTheme="minorHAnsi"/>
                <w:kern w:val="0"/>
                <w:szCs w:val="21"/>
              </w:rPr>
            </w:pPr>
          </w:p>
        </w:tc>
        <w:tc>
          <w:tcPr>
            <w:tcW w:w="1732" w:type="pct"/>
            <w:tcBorders>
              <w:top w:val="single" w:sz="6" w:space="0" w:color="auto"/>
              <w:left w:val="single" w:sz="4" w:space="0" w:color="000000"/>
              <w:bottom w:val="single" w:sz="6" w:space="0" w:color="auto"/>
              <w:right w:val="single" w:sz="4" w:space="0" w:color="000000"/>
            </w:tcBorders>
            <w:shd w:val="clear" w:color="auto" w:fill="auto"/>
            <w:vAlign w:val="center"/>
          </w:tcPr>
          <w:p w14:paraId="5FD5D390" w14:textId="77777777" w:rsidR="001A5EC6" w:rsidRPr="001A5EC6" w:rsidRDefault="001A5EC6" w:rsidP="001A5EC6">
            <w:pPr>
              <w:jc w:val="center"/>
              <w:textAlignment w:val="center"/>
              <w:rPr>
                <w:rFonts w:asciiTheme="minorHAnsi" w:hAnsiTheme="minorHAnsi"/>
                <w:kern w:val="0"/>
                <w:szCs w:val="21"/>
              </w:rPr>
            </w:pPr>
            <w:r w:rsidRPr="001A5EC6">
              <w:rPr>
                <w:rFonts w:asciiTheme="minorHAnsi" w:hAnsiTheme="minorHAnsi"/>
                <w:kern w:val="0"/>
                <w:szCs w:val="21"/>
              </w:rPr>
              <w:t>2.</w:t>
            </w:r>
            <w:r w:rsidRPr="001A5EC6">
              <w:rPr>
                <w:rFonts w:asciiTheme="minorHAnsi" w:hAnsiTheme="minorHAnsi"/>
                <w:kern w:val="0"/>
                <w:szCs w:val="21"/>
              </w:rPr>
              <w:t>在区内建设项目大气环境防护距离内，不得规划新建居住区、学校、医院等环境敏感目标。</w:t>
            </w:r>
          </w:p>
        </w:tc>
        <w:tc>
          <w:tcPr>
            <w:tcW w:w="1054" w:type="pct"/>
            <w:tcBorders>
              <w:top w:val="single" w:sz="6" w:space="0" w:color="auto"/>
              <w:left w:val="single" w:sz="4" w:space="0" w:color="000000"/>
              <w:bottom w:val="single" w:sz="6" w:space="0" w:color="auto"/>
              <w:right w:val="single" w:sz="4" w:space="0" w:color="000000"/>
            </w:tcBorders>
            <w:vAlign w:val="center"/>
          </w:tcPr>
          <w:p w14:paraId="29222A82" w14:textId="77777777" w:rsidR="001A5EC6" w:rsidRPr="001A5EC6" w:rsidRDefault="001A5EC6" w:rsidP="001A5EC6">
            <w:pPr>
              <w:widowControl/>
              <w:jc w:val="center"/>
              <w:textAlignment w:val="center"/>
              <w:rPr>
                <w:rFonts w:asciiTheme="minorHAnsi" w:hAnsiTheme="minorHAnsi"/>
                <w:kern w:val="0"/>
                <w:szCs w:val="21"/>
              </w:rPr>
            </w:pPr>
            <w:r>
              <w:rPr>
                <w:rFonts w:asciiTheme="minorHAnsi" w:hAnsiTheme="minorHAnsi" w:hint="eastAsia"/>
                <w:kern w:val="0"/>
                <w:szCs w:val="21"/>
              </w:rPr>
              <w:t>不涉及</w:t>
            </w:r>
          </w:p>
        </w:tc>
        <w:tc>
          <w:tcPr>
            <w:tcW w:w="360" w:type="pct"/>
            <w:tcBorders>
              <w:top w:val="single" w:sz="6" w:space="0" w:color="auto"/>
              <w:left w:val="single" w:sz="4" w:space="0" w:color="000000"/>
              <w:bottom w:val="single" w:sz="6" w:space="0" w:color="auto"/>
              <w:right w:val="single" w:sz="12" w:space="0" w:color="auto"/>
            </w:tcBorders>
            <w:vAlign w:val="center"/>
          </w:tcPr>
          <w:p w14:paraId="1EC585FC"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相符</w:t>
            </w:r>
          </w:p>
        </w:tc>
      </w:tr>
      <w:tr w:rsidR="001A5EC6" w:rsidRPr="001A5EC6" w14:paraId="7CBC6E9C" w14:textId="77777777" w:rsidTr="001A5EC6">
        <w:trPr>
          <w:trHeight w:val="1132"/>
          <w:jc w:val="center"/>
        </w:trPr>
        <w:tc>
          <w:tcPr>
            <w:tcW w:w="372" w:type="pct"/>
            <w:vMerge/>
            <w:tcBorders>
              <w:top w:val="single" w:sz="4" w:space="0" w:color="000000"/>
              <w:left w:val="single" w:sz="12" w:space="0" w:color="auto"/>
              <w:bottom w:val="single" w:sz="4" w:space="0" w:color="000000"/>
              <w:right w:val="single" w:sz="4" w:space="0" w:color="000000"/>
            </w:tcBorders>
            <w:shd w:val="clear" w:color="auto" w:fill="auto"/>
            <w:vAlign w:val="center"/>
          </w:tcPr>
          <w:p w14:paraId="33786727" w14:textId="77777777" w:rsidR="001A5EC6" w:rsidRPr="001A5EC6" w:rsidRDefault="001A5EC6" w:rsidP="001A5EC6">
            <w:pPr>
              <w:widowControl/>
              <w:jc w:val="center"/>
              <w:textAlignment w:val="center"/>
              <w:rPr>
                <w:rFonts w:asciiTheme="minorHAnsi" w:hAnsiTheme="minorHAnsi"/>
                <w:kern w:val="0"/>
                <w:szCs w:val="21"/>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A08B4" w14:textId="77777777" w:rsidR="001A5EC6" w:rsidRPr="001A5EC6" w:rsidRDefault="001A5EC6" w:rsidP="001A5EC6">
            <w:pPr>
              <w:widowControl/>
              <w:jc w:val="center"/>
              <w:textAlignment w:val="center"/>
              <w:rPr>
                <w:rFonts w:asciiTheme="minorHAnsi" w:hAnsiTheme="minorHAnsi"/>
                <w:kern w:val="0"/>
                <w:szCs w:val="21"/>
              </w:rPr>
            </w:pPr>
          </w:p>
        </w:tc>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CCAA72" w14:textId="77777777" w:rsidR="001A5EC6" w:rsidRPr="001A5EC6" w:rsidRDefault="001A5EC6" w:rsidP="001A5EC6">
            <w:pPr>
              <w:widowControl/>
              <w:jc w:val="center"/>
              <w:textAlignment w:val="center"/>
              <w:rPr>
                <w:rFonts w:asciiTheme="minorHAnsi" w:hAnsiTheme="minorHAnsi"/>
                <w:kern w:val="0"/>
                <w:szCs w:val="21"/>
              </w:rPr>
            </w:pPr>
          </w:p>
        </w:tc>
        <w:tc>
          <w:tcPr>
            <w:tcW w:w="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B3B512" w14:textId="77777777" w:rsidR="001A5EC6" w:rsidRPr="001A5EC6" w:rsidRDefault="001A5EC6" w:rsidP="001A5EC6">
            <w:pPr>
              <w:widowControl/>
              <w:jc w:val="center"/>
              <w:textAlignment w:val="center"/>
              <w:rPr>
                <w:rFonts w:asciiTheme="minorHAnsi" w:hAnsiTheme="minorHAnsi"/>
                <w:kern w:val="0"/>
                <w:szCs w:val="21"/>
              </w:rPr>
            </w:pPr>
          </w:p>
        </w:tc>
        <w:tc>
          <w:tcPr>
            <w:tcW w:w="374" w:type="pct"/>
            <w:vMerge/>
            <w:tcBorders>
              <w:left w:val="single" w:sz="4" w:space="0" w:color="000000"/>
              <w:bottom w:val="single" w:sz="4" w:space="0" w:color="000000"/>
              <w:right w:val="single" w:sz="4" w:space="0" w:color="000000"/>
            </w:tcBorders>
            <w:shd w:val="clear" w:color="auto" w:fill="auto"/>
            <w:vAlign w:val="center"/>
          </w:tcPr>
          <w:p w14:paraId="213675B1" w14:textId="77777777" w:rsidR="001A5EC6" w:rsidRPr="001A5EC6" w:rsidRDefault="001A5EC6" w:rsidP="001A5EC6">
            <w:pPr>
              <w:widowControl/>
              <w:jc w:val="center"/>
              <w:textAlignment w:val="center"/>
              <w:rPr>
                <w:rFonts w:asciiTheme="minorHAnsi" w:hAnsiTheme="minorHAnsi"/>
                <w:kern w:val="0"/>
                <w:szCs w:val="21"/>
              </w:rPr>
            </w:pPr>
          </w:p>
        </w:tc>
        <w:tc>
          <w:tcPr>
            <w:tcW w:w="1732" w:type="pct"/>
            <w:tcBorders>
              <w:top w:val="single" w:sz="6" w:space="0" w:color="auto"/>
              <w:left w:val="single" w:sz="4" w:space="0" w:color="000000"/>
              <w:bottom w:val="single" w:sz="4" w:space="0" w:color="000000"/>
              <w:right w:val="single" w:sz="4" w:space="0" w:color="000000"/>
            </w:tcBorders>
            <w:shd w:val="clear" w:color="auto" w:fill="auto"/>
            <w:vAlign w:val="center"/>
          </w:tcPr>
          <w:p w14:paraId="414DCE68" w14:textId="77777777" w:rsidR="001A5EC6" w:rsidRPr="001A5EC6" w:rsidRDefault="001A5EC6" w:rsidP="001A5EC6">
            <w:pPr>
              <w:jc w:val="center"/>
              <w:textAlignment w:val="center"/>
              <w:rPr>
                <w:rFonts w:asciiTheme="minorHAnsi" w:hAnsiTheme="minorHAnsi"/>
                <w:kern w:val="0"/>
                <w:szCs w:val="21"/>
              </w:rPr>
            </w:pPr>
            <w:r w:rsidRPr="001A5EC6">
              <w:rPr>
                <w:rFonts w:asciiTheme="minorHAnsi" w:hAnsiTheme="minorHAnsi"/>
                <w:kern w:val="0"/>
                <w:szCs w:val="21"/>
              </w:rPr>
              <w:t>3.</w:t>
            </w:r>
            <w:r w:rsidRPr="001A5EC6">
              <w:rPr>
                <w:rFonts w:asciiTheme="minorHAnsi" w:hAnsiTheme="minorHAnsi"/>
                <w:kern w:val="0"/>
                <w:szCs w:val="21"/>
              </w:rPr>
              <w:t>新建、改建、扩建</w:t>
            </w:r>
            <w:r>
              <w:rPr>
                <w:rFonts w:asciiTheme="minorHAnsi" w:hAnsiTheme="minorHAnsi" w:hint="eastAsia"/>
                <w:kern w:val="0"/>
                <w:szCs w:val="21"/>
              </w:rPr>
              <w:t>“</w:t>
            </w:r>
            <w:r w:rsidRPr="001A5EC6">
              <w:rPr>
                <w:rFonts w:asciiTheme="minorHAnsi" w:hAnsiTheme="minorHAnsi"/>
                <w:kern w:val="0"/>
                <w:szCs w:val="21"/>
              </w:rPr>
              <w:t>两高</w:t>
            </w:r>
            <w:r>
              <w:rPr>
                <w:rFonts w:asciiTheme="minorHAnsi" w:hAnsiTheme="minorHAnsi" w:hint="eastAsia"/>
                <w:kern w:val="0"/>
                <w:szCs w:val="21"/>
              </w:rPr>
              <w:t>”</w:t>
            </w:r>
            <w:r w:rsidRPr="001A5EC6">
              <w:rPr>
                <w:rFonts w:asciiTheme="minorHAnsi" w:hAnsiTheme="minorHAnsi"/>
                <w:kern w:val="0"/>
                <w:szCs w:val="21"/>
              </w:rPr>
              <w:t>项目须符合生态环境保护法律法规和相关法定规划，满足重点污染物排放总量控制、碳排放达峰目标、</w:t>
            </w:r>
            <w:r w:rsidRPr="001A5EC6">
              <w:rPr>
                <w:rFonts w:asciiTheme="minorHAnsi" w:hAnsiTheme="minorHAnsi"/>
                <w:kern w:val="0"/>
                <w:szCs w:val="21"/>
              </w:rPr>
              <w:lastRenderedPageBreak/>
              <w:t>生态环境准入清单、相关规划环评和相应行业建设项目环境准入条件、环评文件审批原则要求。</w:t>
            </w:r>
          </w:p>
        </w:tc>
        <w:tc>
          <w:tcPr>
            <w:tcW w:w="1054" w:type="pct"/>
            <w:tcBorders>
              <w:top w:val="single" w:sz="6" w:space="0" w:color="auto"/>
              <w:left w:val="single" w:sz="4" w:space="0" w:color="000000"/>
              <w:bottom w:val="single" w:sz="4" w:space="0" w:color="000000"/>
              <w:right w:val="single" w:sz="4" w:space="0" w:color="000000"/>
            </w:tcBorders>
            <w:vAlign w:val="center"/>
          </w:tcPr>
          <w:p w14:paraId="60F45414"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lastRenderedPageBreak/>
              <w:t>本次项目不属于</w:t>
            </w:r>
            <w:r w:rsidR="006833CA">
              <w:rPr>
                <w:rFonts w:asciiTheme="minorHAnsi" w:hAnsiTheme="minorHAnsi" w:hint="eastAsia"/>
                <w:kern w:val="0"/>
                <w:szCs w:val="21"/>
              </w:rPr>
              <w:t>“</w:t>
            </w:r>
            <w:r w:rsidR="006833CA" w:rsidRPr="001A5EC6">
              <w:rPr>
                <w:rFonts w:asciiTheme="minorHAnsi" w:hAnsiTheme="minorHAnsi"/>
                <w:kern w:val="0"/>
                <w:szCs w:val="21"/>
              </w:rPr>
              <w:t>两高</w:t>
            </w:r>
            <w:r w:rsidR="006833CA">
              <w:rPr>
                <w:rFonts w:asciiTheme="minorHAnsi" w:hAnsiTheme="minorHAnsi" w:hint="eastAsia"/>
                <w:kern w:val="0"/>
                <w:szCs w:val="21"/>
              </w:rPr>
              <w:t>”</w:t>
            </w:r>
            <w:r w:rsidRPr="001A5EC6">
              <w:rPr>
                <w:rFonts w:asciiTheme="minorHAnsi" w:hAnsiTheme="minorHAnsi"/>
                <w:kern w:val="0"/>
                <w:szCs w:val="21"/>
              </w:rPr>
              <w:t>项目，项目建设符合规划环评及环境准入条件要求。</w:t>
            </w:r>
          </w:p>
        </w:tc>
        <w:tc>
          <w:tcPr>
            <w:tcW w:w="360" w:type="pct"/>
            <w:tcBorders>
              <w:top w:val="single" w:sz="6" w:space="0" w:color="auto"/>
              <w:left w:val="single" w:sz="4" w:space="0" w:color="000000"/>
              <w:bottom w:val="single" w:sz="4" w:space="0" w:color="000000"/>
              <w:right w:val="single" w:sz="12" w:space="0" w:color="auto"/>
            </w:tcBorders>
            <w:vAlign w:val="center"/>
          </w:tcPr>
          <w:p w14:paraId="184A7D7A"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相符</w:t>
            </w:r>
          </w:p>
        </w:tc>
      </w:tr>
      <w:tr w:rsidR="001A5EC6" w:rsidRPr="001A5EC6" w14:paraId="7041FB8F" w14:textId="77777777" w:rsidTr="001A5EC6">
        <w:trPr>
          <w:trHeight w:val="1440"/>
          <w:jc w:val="center"/>
        </w:trPr>
        <w:tc>
          <w:tcPr>
            <w:tcW w:w="372" w:type="pct"/>
            <w:vMerge/>
            <w:tcBorders>
              <w:top w:val="single" w:sz="4" w:space="0" w:color="000000"/>
              <w:left w:val="single" w:sz="12" w:space="0" w:color="auto"/>
              <w:bottom w:val="single" w:sz="4" w:space="0" w:color="000000"/>
              <w:right w:val="single" w:sz="4" w:space="0" w:color="000000"/>
            </w:tcBorders>
            <w:shd w:val="clear" w:color="auto" w:fill="auto"/>
            <w:vAlign w:val="center"/>
          </w:tcPr>
          <w:p w14:paraId="63EC46D6" w14:textId="77777777" w:rsidR="001A5EC6" w:rsidRPr="001A5EC6" w:rsidRDefault="001A5EC6" w:rsidP="001A5EC6">
            <w:pPr>
              <w:jc w:val="center"/>
              <w:rPr>
                <w:rFonts w:asciiTheme="minorHAnsi" w:hAnsiTheme="minorHAnsi"/>
                <w:szCs w:val="21"/>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667CCB" w14:textId="77777777" w:rsidR="001A5EC6" w:rsidRPr="001A5EC6" w:rsidRDefault="001A5EC6" w:rsidP="001A5EC6">
            <w:pPr>
              <w:jc w:val="center"/>
              <w:rPr>
                <w:rFonts w:asciiTheme="minorHAnsi" w:hAnsiTheme="minorHAnsi"/>
                <w:szCs w:val="21"/>
              </w:rPr>
            </w:pPr>
          </w:p>
        </w:tc>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CE7E04" w14:textId="77777777" w:rsidR="001A5EC6" w:rsidRPr="001A5EC6" w:rsidRDefault="001A5EC6" w:rsidP="001A5EC6">
            <w:pPr>
              <w:jc w:val="center"/>
              <w:rPr>
                <w:rFonts w:asciiTheme="minorHAnsi" w:hAnsiTheme="minorHAnsi"/>
                <w:szCs w:val="21"/>
              </w:rPr>
            </w:pPr>
          </w:p>
        </w:tc>
        <w:tc>
          <w:tcPr>
            <w:tcW w:w="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C54C7A" w14:textId="77777777" w:rsidR="001A5EC6" w:rsidRPr="001A5EC6" w:rsidRDefault="001A5EC6" w:rsidP="001A5EC6">
            <w:pPr>
              <w:jc w:val="center"/>
              <w:rPr>
                <w:rFonts w:asciiTheme="minorHAnsi" w:hAnsiTheme="minorHAnsi"/>
                <w:szCs w:val="21"/>
              </w:rPr>
            </w:pPr>
          </w:p>
        </w:tc>
        <w:tc>
          <w:tcPr>
            <w:tcW w:w="374" w:type="pct"/>
            <w:vMerge w:val="restart"/>
            <w:tcBorders>
              <w:top w:val="single" w:sz="4" w:space="0" w:color="000000"/>
              <w:left w:val="single" w:sz="4" w:space="0" w:color="000000"/>
              <w:right w:val="single" w:sz="4" w:space="0" w:color="000000"/>
            </w:tcBorders>
            <w:shd w:val="clear" w:color="auto" w:fill="auto"/>
            <w:vAlign w:val="center"/>
          </w:tcPr>
          <w:p w14:paraId="1013A2D0"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污染物排放管控</w:t>
            </w:r>
          </w:p>
        </w:tc>
        <w:tc>
          <w:tcPr>
            <w:tcW w:w="1732" w:type="pct"/>
            <w:tcBorders>
              <w:top w:val="single" w:sz="4" w:space="0" w:color="000000"/>
              <w:left w:val="single" w:sz="4" w:space="0" w:color="000000"/>
              <w:bottom w:val="single" w:sz="6" w:space="0" w:color="auto"/>
              <w:right w:val="single" w:sz="4" w:space="0" w:color="000000"/>
            </w:tcBorders>
            <w:shd w:val="clear" w:color="auto" w:fill="auto"/>
            <w:vAlign w:val="center"/>
          </w:tcPr>
          <w:p w14:paraId="5C59CBC5" w14:textId="77777777" w:rsidR="001A5EC6" w:rsidRPr="001A5EC6" w:rsidRDefault="001A5EC6" w:rsidP="001A5EC6">
            <w:pPr>
              <w:jc w:val="center"/>
              <w:textAlignment w:val="center"/>
              <w:rPr>
                <w:rFonts w:asciiTheme="minorHAnsi" w:hAnsiTheme="minorHAnsi"/>
                <w:szCs w:val="21"/>
              </w:rPr>
            </w:pPr>
            <w:r w:rsidRPr="001A5EC6">
              <w:rPr>
                <w:rFonts w:asciiTheme="minorHAnsi" w:hAnsiTheme="minorHAnsi"/>
                <w:kern w:val="0"/>
                <w:szCs w:val="21"/>
              </w:rPr>
              <w:t>1.</w:t>
            </w:r>
            <w:r w:rsidRPr="001A5EC6">
              <w:rPr>
                <w:rFonts w:asciiTheme="minorHAnsi" w:hAnsiTheme="minorHAnsi"/>
                <w:kern w:val="0"/>
                <w:szCs w:val="21"/>
              </w:rPr>
              <w:t>严格执行污染物排放总量控制制度，采取调整能源结构、加强污染治理、区域综合整治等措施，严格控制烟粉尘、二氧化硫、氮氧化物、</w:t>
            </w:r>
            <w:r w:rsidRPr="001A5EC6">
              <w:rPr>
                <w:rFonts w:asciiTheme="minorHAnsi" w:hAnsiTheme="minorHAnsi"/>
                <w:kern w:val="0"/>
                <w:szCs w:val="21"/>
              </w:rPr>
              <w:t>VOCs</w:t>
            </w:r>
            <w:r w:rsidRPr="001A5EC6">
              <w:rPr>
                <w:rFonts w:asciiTheme="minorHAnsi" w:hAnsiTheme="minorHAnsi"/>
                <w:kern w:val="0"/>
                <w:szCs w:val="21"/>
              </w:rPr>
              <w:t>等大气污染物的排放。加强对现有涉及</w:t>
            </w:r>
            <w:r w:rsidRPr="001A5EC6">
              <w:rPr>
                <w:rFonts w:asciiTheme="minorHAnsi" w:hAnsiTheme="minorHAnsi"/>
                <w:kern w:val="0"/>
                <w:szCs w:val="21"/>
              </w:rPr>
              <w:t>VOCs</w:t>
            </w:r>
            <w:r w:rsidRPr="001A5EC6">
              <w:rPr>
                <w:rFonts w:asciiTheme="minorHAnsi" w:hAnsiTheme="minorHAnsi"/>
                <w:kern w:val="0"/>
                <w:szCs w:val="21"/>
              </w:rPr>
              <w:t>特征污染物企业的升级改造，从源头减少污染物排放。</w:t>
            </w:r>
          </w:p>
        </w:tc>
        <w:tc>
          <w:tcPr>
            <w:tcW w:w="1054" w:type="pct"/>
            <w:tcBorders>
              <w:top w:val="single" w:sz="4" w:space="0" w:color="000000"/>
              <w:left w:val="single" w:sz="4" w:space="0" w:color="000000"/>
              <w:bottom w:val="single" w:sz="6" w:space="0" w:color="auto"/>
              <w:right w:val="single" w:sz="4" w:space="0" w:color="000000"/>
            </w:tcBorders>
            <w:vAlign w:val="center"/>
          </w:tcPr>
          <w:p w14:paraId="7BEB25F8" w14:textId="77777777" w:rsidR="001A5EC6" w:rsidRPr="001A5EC6" w:rsidRDefault="001A5EC6" w:rsidP="00F723F1">
            <w:pPr>
              <w:widowControl/>
              <w:jc w:val="center"/>
              <w:textAlignment w:val="center"/>
              <w:rPr>
                <w:rFonts w:asciiTheme="minorHAnsi" w:hAnsiTheme="minorHAnsi"/>
                <w:kern w:val="0"/>
                <w:szCs w:val="21"/>
              </w:rPr>
            </w:pPr>
            <w:r w:rsidRPr="001A5EC6">
              <w:rPr>
                <w:rFonts w:asciiTheme="minorHAnsi" w:hAnsiTheme="minorHAnsi"/>
                <w:kern w:val="0"/>
                <w:szCs w:val="21"/>
              </w:rPr>
              <w:t>本次项目建设符合总量控制制度要求，涉及有机废气排放的点源均采用</w:t>
            </w:r>
            <w:r w:rsidR="00F723F1">
              <w:rPr>
                <w:rFonts w:asciiTheme="minorHAnsi" w:hAnsiTheme="minorHAnsi" w:hint="eastAsia"/>
                <w:kern w:val="0"/>
                <w:szCs w:val="21"/>
              </w:rPr>
              <w:t>水</w:t>
            </w:r>
            <w:r w:rsidRPr="001A5EC6">
              <w:rPr>
                <w:rFonts w:asciiTheme="minorHAnsi" w:hAnsiTheme="minorHAnsi"/>
                <w:kern w:val="0"/>
                <w:szCs w:val="21"/>
              </w:rPr>
              <w:t>喷淋</w:t>
            </w:r>
            <w:r w:rsidRPr="001A5EC6">
              <w:rPr>
                <w:rFonts w:asciiTheme="minorHAnsi" w:hAnsiTheme="minorHAnsi"/>
                <w:kern w:val="0"/>
                <w:szCs w:val="21"/>
              </w:rPr>
              <w:t>+</w:t>
            </w:r>
            <w:r>
              <w:rPr>
                <w:rFonts w:asciiTheme="minorHAnsi" w:hAnsiTheme="minorHAnsi" w:hint="eastAsia"/>
                <w:kern w:val="0"/>
                <w:szCs w:val="21"/>
              </w:rPr>
              <w:t>活性炭</w:t>
            </w:r>
            <w:r w:rsidRPr="001A5EC6">
              <w:rPr>
                <w:rFonts w:asciiTheme="minorHAnsi" w:hAnsiTheme="minorHAnsi"/>
                <w:kern w:val="0"/>
                <w:szCs w:val="21"/>
              </w:rPr>
              <w:t>二级处理方式，进一步减小了</w:t>
            </w:r>
            <w:r w:rsidRPr="001A5EC6">
              <w:rPr>
                <w:rFonts w:asciiTheme="minorHAnsi" w:hAnsiTheme="minorHAnsi"/>
                <w:kern w:val="0"/>
                <w:szCs w:val="21"/>
              </w:rPr>
              <w:t>VOCs</w:t>
            </w:r>
            <w:r w:rsidRPr="001A5EC6">
              <w:rPr>
                <w:rFonts w:asciiTheme="minorHAnsi" w:hAnsiTheme="minorHAnsi"/>
                <w:kern w:val="0"/>
                <w:szCs w:val="21"/>
              </w:rPr>
              <w:t>的排放。</w:t>
            </w:r>
          </w:p>
        </w:tc>
        <w:tc>
          <w:tcPr>
            <w:tcW w:w="360" w:type="pct"/>
            <w:tcBorders>
              <w:top w:val="single" w:sz="4" w:space="0" w:color="000000"/>
              <w:left w:val="single" w:sz="4" w:space="0" w:color="000000"/>
              <w:bottom w:val="single" w:sz="6" w:space="0" w:color="auto"/>
              <w:right w:val="single" w:sz="12" w:space="0" w:color="auto"/>
            </w:tcBorders>
            <w:vAlign w:val="center"/>
          </w:tcPr>
          <w:p w14:paraId="071CA065"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相符</w:t>
            </w:r>
          </w:p>
        </w:tc>
      </w:tr>
      <w:tr w:rsidR="001A5EC6" w:rsidRPr="001A5EC6" w14:paraId="220EE783" w14:textId="77777777" w:rsidTr="001A5EC6">
        <w:trPr>
          <w:trHeight w:val="1674"/>
          <w:jc w:val="center"/>
        </w:trPr>
        <w:tc>
          <w:tcPr>
            <w:tcW w:w="372" w:type="pct"/>
            <w:vMerge/>
            <w:tcBorders>
              <w:top w:val="single" w:sz="4" w:space="0" w:color="000000"/>
              <w:left w:val="single" w:sz="12" w:space="0" w:color="auto"/>
              <w:bottom w:val="single" w:sz="4" w:space="0" w:color="000000"/>
              <w:right w:val="single" w:sz="4" w:space="0" w:color="000000"/>
            </w:tcBorders>
            <w:shd w:val="clear" w:color="auto" w:fill="auto"/>
            <w:vAlign w:val="center"/>
          </w:tcPr>
          <w:p w14:paraId="2E5C97FC" w14:textId="77777777" w:rsidR="001A5EC6" w:rsidRPr="001A5EC6" w:rsidRDefault="001A5EC6" w:rsidP="001A5EC6">
            <w:pPr>
              <w:jc w:val="center"/>
              <w:rPr>
                <w:rFonts w:asciiTheme="minorHAnsi" w:hAnsiTheme="minorHAnsi"/>
                <w:szCs w:val="21"/>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3F5BEA" w14:textId="77777777" w:rsidR="001A5EC6" w:rsidRPr="001A5EC6" w:rsidRDefault="001A5EC6" w:rsidP="001A5EC6">
            <w:pPr>
              <w:jc w:val="center"/>
              <w:rPr>
                <w:rFonts w:asciiTheme="minorHAnsi" w:hAnsiTheme="minorHAnsi"/>
                <w:szCs w:val="21"/>
              </w:rPr>
            </w:pPr>
          </w:p>
        </w:tc>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B5F0C7" w14:textId="77777777" w:rsidR="001A5EC6" w:rsidRPr="001A5EC6" w:rsidRDefault="001A5EC6" w:rsidP="001A5EC6">
            <w:pPr>
              <w:jc w:val="center"/>
              <w:rPr>
                <w:rFonts w:asciiTheme="minorHAnsi" w:hAnsiTheme="minorHAnsi"/>
                <w:szCs w:val="21"/>
              </w:rPr>
            </w:pPr>
          </w:p>
        </w:tc>
        <w:tc>
          <w:tcPr>
            <w:tcW w:w="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E2FB26" w14:textId="77777777" w:rsidR="001A5EC6" w:rsidRPr="001A5EC6" w:rsidRDefault="001A5EC6" w:rsidP="001A5EC6">
            <w:pPr>
              <w:jc w:val="center"/>
              <w:rPr>
                <w:rFonts w:asciiTheme="minorHAnsi" w:hAnsiTheme="minorHAnsi"/>
                <w:szCs w:val="21"/>
              </w:rPr>
            </w:pPr>
          </w:p>
        </w:tc>
        <w:tc>
          <w:tcPr>
            <w:tcW w:w="374" w:type="pct"/>
            <w:vMerge/>
            <w:tcBorders>
              <w:left w:val="single" w:sz="4" w:space="0" w:color="000000"/>
              <w:right w:val="single" w:sz="4" w:space="0" w:color="000000"/>
            </w:tcBorders>
            <w:shd w:val="clear" w:color="auto" w:fill="auto"/>
            <w:vAlign w:val="center"/>
          </w:tcPr>
          <w:p w14:paraId="5AC9E07B" w14:textId="77777777" w:rsidR="001A5EC6" w:rsidRPr="001A5EC6" w:rsidRDefault="001A5EC6" w:rsidP="001A5EC6">
            <w:pPr>
              <w:widowControl/>
              <w:jc w:val="center"/>
              <w:textAlignment w:val="center"/>
              <w:rPr>
                <w:rFonts w:asciiTheme="minorHAnsi" w:hAnsiTheme="minorHAnsi"/>
                <w:kern w:val="0"/>
                <w:szCs w:val="21"/>
              </w:rPr>
            </w:pPr>
          </w:p>
        </w:tc>
        <w:tc>
          <w:tcPr>
            <w:tcW w:w="1732" w:type="pct"/>
            <w:tcBorders>
              <w:top w:val="single" w:sz="6" w:space="0" w:color="auto"/>
              <w:left w:val="single" w:sz="4" w:space="0" w:color="000000"/>
              <w:bottom w:val="single" w:sz="6" w:space="0" w:color="auto"/>
              <w:right w:val="single" w:sz="4" w:space="0" w:color="000000"/>
            </w:tcBorders>
            <w:shd w:val="clear" w:color="auto" w:fill="auto"/>
            <w:vAlign w:val="center"/>
          </w:tcPr>
          <w:p w14:paraId="0DB5BC4F" w14:textId="77777777" w:rsidR="001A5EC6" w:rsidRPr="001A5EC6" w:rsidRDefault="001A5EC6" w:rsidP="001A5EC6">
            <w:pPr>
              <w:jc w:val="center"/>
              <w:textAlignment w:val="center"/>
              <w:rPr>
                <w:rFonts w:asciiTheme="minorHAnsi" w:hAnsiTheme="minorHAnsi"/>
                <w:kern w:val="0"/>
                <w:szCs w:val="21"/>
              </w:rPr>
            </w:pPr>
            <w:r w:rsidRPr="001A5EC6">
              <w:rPr>
                <w:rFonts w:asciiTheme="minorHAnsi" w:hAnsiTheme="minorHAnsi"/>
                <w:kern w:val="0"/>
                <w:szCs w:val="21"/>
              </w:rPr>
              <w:t>2.</w:t>
            </w:r>
            <w:r w:rsidRPr="001A5EC6">
              <w:rPr>
                <w:rFonts w:asciiTheme="minorHAnsi" w:hAnsiTheme="minorHAnsi"/>
                <w:kern w:val="0"/>
                <w:szCs w:val="21"/>
              </w:rPr>
              <w:t>尽快完成规划修编工作，加大基础设施建设投入力度；鼓励采用中水为工业水源，进一步提高中水回用率，减少废水排放量，保证污水处理设施的正常运行，确保污水处理厂出水水质低于</w:t>
            </w:r>
            <w:r w:rsidRPr="001A5EC6">
              <w:rPr>
                <w:rFonts w:asciiTheme="minorHAnsi" w:hAnsiTheme="minorHAnsi"/>
                <w:kern w:val="0"/>
                <w:szCs w:val="21"/>
              </w:rPr>
              <w:t>COD</w:t>
            </w:r>
            <w:r w:rsidRPr="001A5EC6">
              <w:rPr>
                <w:rFonts w:asciiTheme="minorHAnsi" w:hAnsiTheme="minorHAnsi"/>
                <w:kern w:val="0"/>
                <w:szCs w:val="21"/>
              </w:rPr>
              <w:t>：</w:t>
            </w:r>
            <w:r w:rsidRPr="001A5EC6">
              <w:rPr>
                <w:rFonts w:asciiTheme="minorHAnsi" w:hAnsiTheme="minorHAnsi"/>
                <w:kern w:val="0"/>
                <w:szCs w:val="21"/>
              </w:rPr>
              <w:t>20mg/l</w:t>
            </w:r>
            <w:r w:rsidRPr="001A5EC6">
              <w:rPr>
                <w:rFonts w:asciiTheme="minorHAnsi" w:hAnsiTheme="minorHAnsi"/>
                <w:kern w:val="0"/>
                <w:szCs w:val="21"/>
              </w:rPr>
              <w:t>，氨氮：</w:t>
            </w:r>
            <w:r w:rsidRPr="001A5EC6">
              <w:rPr>
                <w:rFonts w:asciiTheme="minorHAnsi" w:hAnsiTheme="minorHAnsi"/>
                <w:kern w:val="0"/>
                <w:szCs w:val="21"/>
              </w:rPr>
              <w:t>1.0mg/l</w:t>
            </w:r>
            <w:r w:rsidRPr="001A5EC6">
              <w:rPr>
                <w:rFonts w:asciiTheme="minorHAnsi" w:hAnsiTheme="minorHAnsi"/>
                <w:kern w:val="0"/>
                <w:szCs w:val="21"/>
              </w:rPr>
              <w:t>，总磷：</w:t>
            </w:r>
            <w:r w:rsidRPr="001A5EC6">
              <w:rPr>
                <w:rFonts w:asciiTheme="minorHAnsi" w:hAnsiTheme="minorHAnsi"/>
                <w:kern w:val="0"/>
                <w:szCs w:val="21"/>
              </w:rPr>
              <w:t>0.5mg/l</w:t>
            </w:r>
            <w:r w:rsidRPr="001A5EC6">
              <w:rPr>
                <w:rFonts w:asciiTheme="minorHAnsi" w:hAnsiTheme="minorHAnsi"/>
                <w:kern w:val="0"/>
                <w:szCs w:val="21"/>
              </w:rPr>
              <w:t>，其他指标满足《城镇污水处理厂污染物排放标准》一级</w:t>
            </w:r>
            <w:r w:rsidRPr="001A5EC6">
              <w:rPr>
                <w:rFonts w:asciiTheme="minorHAnsi" w:hAnsiTheme="minorHAnsi"/>
                <w:kern w:val="0"/>
                <w:szCs w:val="21"/>
              </w:rPr>
              <w:t>A</w:t>
            </w:r>
            <w:r w:rsidRPr="001A5EC6">
              <w:rPr>
                <w:rFonts w:asciiTheme="minorHAnsi" w:hAnsiTheme="minorHAnsi"/>
                <w:kern w:val="0"/>
                <w:szCs w:val="21"/>
              </w:rPr>
              <w:t>标准，减少对灰河及下游水体和地下水的影响。</w:t>
            </w:r>
          </w:p>
        </w:tc>
        <w:tc>
          <w:tcPr>
            <w:tcW w:w="1054" w:type="pct"/>
            <w:tcBorders>
              <w:top w:val="single" w:sz="6" w:space="0" w:color="auto"/>
              <w:left w:val="single" w:sz="4" w:space="0" w:color="000000"/>
              <w:bottom w:val="single" w:sz="6" w:space="0" w:color="auto"/>
              <w:right w:val="single" w:sz="4" w:space="0" w:color="000000"/>
            </w:tcBorders>
            <w:vAlign w:val="center"/>
          </w:tcPr>
          <w:p w14:paraId="1005CC36" w14:textId="77777777" w:rsidR="006833CA" w:rsidRDefault="006833CA" w:rsidP="001A5EC6">
            <w:pPr>
              <w:widowControl/>
              <w:jc w:val="center"/>
              <w:textAlignment w:val="center"/>
              <w:rPr>
                <w:rFonts w:asciiTheme="minorHAnsi" w:hAnsiTheme="minorHAnsi"/>
                <w:kern w:val="0"/>
                <w:szCs w:val="21"/>
              </w:rPr>
            </w:pPr>
            <w:r>
              <w:rPr>
                <w:rFonts w:asciiTheme="minorHAnsi" w:hAnsiTheme="minorHAnsi" w:hint="eastAsia"/>
                <w:kern w:val="0"/>
                <w:szCs w:val="21"/>
              </w:rPr>
              <w:t>本项目冷却</w:t>
            </w:r>
            <w:r>
              <w:rPr>
                <w:rFonts w:asciiTheme="minorHAnsi" w:hAnsiTheme="minorHAnsi"/>
                <w:kern w:val="0"/>
                <w:szCs w:val="21"/>
              </w:rPr>
              <w:t>塔循环废水及冷却制粒废水</w:t>
            </w:r>
            <w:r>
              <w:rPr>
                <w:rFonts w:asciiTheme="minorHAnsi" w:hAnsiTheme="minorHAnsi" w:hint="eastAsia"/>
                <w:kern w:val="0"/>
                <w:szCs w:val="21"/>
              </w:rPr>
              <w:t>循环</w:t>
            </w:r>
            <w:r>
              <w:rPr>
                <w:rFonts w:asciiTheme="minorHAnsi" w:hAnsiTheme="minorHAnsi"/>
                <w:kern w:val="0"/>
                <w:szCs w:val="21"/>
              </w:rPr>
              <w:t>利用，定期排放</w:t>
            </w:r>
            <w:r>
              <w:rPr>
                <w:rFonts w:asciiTheme="minorHAnsi" w:hAnsiTheme="minorHAnsi" w:hint="eastAsia"/>
                <w:kern w:val="0"/>
                <w:szCs w:val="21"/>
              </w:rPr>
              <w:t>；</w:t>
            </w:r>
            <w:r>
              <w:rPr>
                <w:rFonts w:asciiTheme="minorHAnsi" w:hAnsiTheme="minorHAnsi"/>
                <w:kern w:val="0"/>
                <w:szCs w:val="21"/>
              </w:rPr>
              <w:t>聚合冷凝废水</w:t>
            </w:r>
            <w:r>
              <w:rPr>
                <w:rFonts w:asciiTheme="minorHAnsi" w:hAnsiTheme="minorHAnsi" w:hint="eastAsia"/>
                <w:kern w:val="0"/>
                <w:szCs w:val="21"/>
              </w:rPr>
              <w:t>回用</w:t>
            </w:r>
            <w:r>
              <w:rPr>
                <w:rFonts w:asciiTheme="minorHAnsi" w:hAnsiTheme="minorHAnsi"/>
                <w:kern w:val="0"/>
                <w:szCs w:val="21"/>
              </w:rPr>
              <w:t>于生产配料，减少污水排放。</w:t>
            </w:r>
          </w:p>
          <w:p w14:paraId="4977FF38" w14:textId="6CD31260" w:rsidR="001A5EC6" w:rsidRPr="001A5EC6" w:rsidRDefault="006833CA" w:rsidP="000461B1">
            <w:pPr>
              <w:widowControl/>
              <w:textAlignment w:val="center"/>
              <w:rPr>
                <w:rFonts w:asciiTheme="minorHAnsi" w:hAnsiTheme="minorHAnsi"/>
                <w:kern w:val="0"/>
                <w:szCs w:val="21"/>
              </w:rPr>
            </w:pPr>
            <w:r>
              <w:rPr>
                <w:rFonts w:asciiTheme="minorHAnsi" w:hAnsiTheme="minorHAnsi" w:hint="eastAsia"/>
                <w:kern w:val="0"/>
                <w:szCs w:val="21"/>
              </w:rPr>
              <w:t>并且</w:t>
            </w:r>
            <w:r>
              <w:rPr>
                <w:rFonts w:asciiTheme="minorHAnsi" w:hAnsiTheme="minorHAnsi"/>
                <w:kern w:val="0"/>
                <w:szCs w:val="21"/>
              </w:rPr>
              <w:t>厂区建设</w:t>
            </w:r>
            <w:r w:rsidR="001A5EC6" w:rsidRPr="001A5EC6">
              <w:rPr>
                <w:rFonts w:asciiTheme="minorHAnsi" w:hAnsiTheme="minorHAnsi"/>
                <w:kern w:val="0"/>
                <w:szCs w:val="21"/>
              </w:rPr>
              <w:t>生产生活废水</w:t>
            </w:r>
            <w:r>
              <w:rPr>
                <w:rFonts w:asciiTheme="minorHAnsi" w:hAnsiTheme="minorHAnsi" w:hint="eastAsia"/>
                <w:kern w:val="0"/>
                <w:szCs w:val="21"/>
              </w:rPr>
              <w:t>污水</w:t>
            </w:r>
            <w:r>
              <w:rPr>
                <w:rFonts w:asciiTheme="minorHAnsi" w:hAnsiTheme="minorHAnsi"/>
                <w:kern w:val="0"/>
                <w:szCs w:val="21"/>
              </w:rPr>
              <w:t>处理站，</w:t>
            </w:r>
            <w:r w:rsidR="00E01926">
              <w:rPr>
                <w:rFonts w:asciiTheme="minorHAnsi" w:hAnsiTheme="minorHAnsi"/>
                <w:kern w:val="0"/>
                <w:szCs w:val="21"/>
              </w:rPr>
              <w:t>经预处理达标后经集聚区污水管网进入平顶山</w:t>
            </w:r>
            <w:r w:rsidR="001A5EC6" w:rsidRPr="001A5EC6">
              <w:rPr>
                <w:rFonts w:asciiTheme="minorHAnsi" w:hAnsiTheme="minorHAnsi"/>
                <w:kern w:val="0"/>
                <w:szCs w:val="21"/>
              </w:rPr>
              <w:t>第三污水处理厂</w:t>
            </w:r>
            <w:r w:rsidR="000461B1">
              <w:rPr>
                <w:rFonts w:asciiTheme="minorHAnsi" w:hAnsiTheme="minorHAnsi" w:hint="eastAsia"/>
                <w:kern w:val="0"/>
                <w:szCs w:val="21"/>
              </w:rPr>
              <w:t>进一步</w:t>
            </w:r>
            <w:r w:rsidR="001A5EC6" w:rsidRPr="001A5EC6">
              <w:rPr>
                <w:rFonts w:asciiTheme="minorHAnsi" w:hAnsiTheme="minorHAnsi"/>
                <w:kern w:val="0"/>
                <w:szCs w:val="21"/>
              </w:rPr>
              <w:t>处理后达标排放。</w:t>
            </w:r>
          </w:p>
        </w:tc>
        <w:tc>
          <w:tcPr>
            <w:tcW w:w="360" w:type="pct"/>
            <w:tcBorders>
              <w:top w:val="single" w:sz="6" w:space="0" w:color="auto"/>
              <w:left w:val="single" w:sz="4" w:space="0" w:color="000000"/>
              <w:bottom w:val="single" w:sz="6" w:space="0" w:color="auto"/>
              <w:right w:val="single" w:sz="12" w:space="0" w:color="auto"/>
            </w:tcBorders>
            <w:vAlign w:val="center"/>
          </w:tcPr>
          <w:p w14:paraId="1B86EBC0"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相符</w:t>
            </w:r>
          </w:p>
        </w:tc>
      </w:tr>
      <w:tr w:rsidR="001A5EC6" w:rsidRPr="001A5EC6" w14:paraId="12E54A0F" w14:textId="77777777" w:rsidTr="001A5EC6">
        <w:trPr>
          <w:trHeight w:val="1157"/>
          <w:jc w:val="center"/>
        </w:trPr>
        <w:tc>
          <w:tcPr>
            <w:tcW w:w="372" w:type="pct"/>
            <w:vMerge/>
            <w:tcBorders>
              <w:top w:val="single" w:sz="4" w:space="0" w:color="000000"/>
              <w:left w:val="single" w:sz="12" w:space="0" w:color="auto"/>
              <w:bottom w:val="single" w:sz="4" w:space="0" w:color="000000"/>
              <w:right w:val="single" w:sz="4" w:space="0" w:color="000000"/>
            </w:tcBorders>
            <w:shd w:val="clear" w:color="auto" w:fill="auto"/>
            <w:vAlign w:val="center"/>
          </w:tcPr>
          <w:p w14:paraId="30D4605C" w14:textId="77777777" w:rsidR="001A5EC6" w:rsidRPr="001A5EC6" w:rsidRDefault="001A5EC6" w:rsidP="001A5EC6">
            <w:pPr>
              <w:jc w:val="center"/>
              <w:rPr>
                <w:rFonts w:asciiTheme="minorHAnsi" w:hAnsiTheme="minorHAnsi"/>
                <w:szCs w:val="21"/>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81861B" w14:textId="77777777" w:rsidR="001A5EC6" w:rsidRPr="001A5EC6" w:rsidRDefault="001A5EC6" w:rsidP="001A5EC6">
            <w:pPr>
              <w:jc w:val="center"/>
              <w:rPr>
                <w:rFonts w:asciiTheme="minorHAnsi" w:hAnsiTheme="minorHAnsi"/>
                <w:szCs w:val="21"/>
              </w:rPr>
            </w:pPr>
          </w:p>
        </w:tc>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02AE19" w14:textId="77777777" w:rsidR="001A5EC6" w:rsidRPr="001A5EC6" w:rsidRDefault="001A5EC6" w:rsidP="001A5EC6">
            <w:pPr>
              <w:jc w:val="center"/>
              <w:rPr>
                <w:rFonts w:asciiTheme="minorHAnsi" w:hAnsiTheme="minorHAnsi"/>
                <w:szCs w:val="21"/>
              </w:rPr>
            </w:pPr>
          </w:p>
        </w:tc>
        <w:tc>
          <w:tcPr>
            <w:tcW w:w="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DCB53" w14:textId="77777777" w:rsidR="001A5EC6" w:rsidRPr="001A5EC6" w:rsidRDefault="001A5EC6" w:rsidP="001A5EC6">
            <w:pPr>
              <w:jc w:val="center"/>
              <w:rPr>
                <w:rFonts w:asciiTheme="minorHAnsi" w:hAnsiTheme="minorHAnsi"/>
                <w:szCs w:val="21"/>
              </w:rPr>
            </w:pPr>
          </w:p>
        </w:tc>
        <w:tc>
          <w:tcPr>
            <w:tcW w:w="374" w:type="pct"/>
            <w:vMerge/>
            <w:tcBorders>
              <w:left w:val="single" w:sz="4" w:space="0" w:color="000000"/>
              <w:right w:val="single" w:sz="4" w:space="0" w:color="000000"/>
            </w:tcBorders>
            <w:shd w:val="clear" w:color="auto" w:fill="auto"/>
            <w:vAlign w:val="center"/>
          </w:tcPr>
          <w:p w14:paraId="2ECE0B9D" w14:textId="77777777" w:rsidR="001A5EC6" w:rsidRPr="001A5EC6" w:rsidRDefault="001A5EC6" w:rsidP="001A5EC6">
            <w:pPr>
              <w:widowControl/>
              <w:jc w:val="center"/>
              <w:textAlignment w:val="center"/>
              <w:rPr>
                <w:rFonts w:asciiTheme="minorHAnsi" w:hAnsiTheme="minorHAnsi"/>
                <w:kern w:val="0"/>
                <w:szCs w:val="21"/>
              </w:rPr>
            </w:pPr>
          </w:p>
        </w:tc>
        <w:tc>
          <w:tcPr>
            <w:tcW w:w="1732" w:type="pct"/>
            <w:tcBorders>
              <w:top w:val="single" w:sz="6" w:space="0" w:color="auto"/>
              <w:left w:val="single" w:sz="4" w:space="0" w:color="000000"/>
              <w:bottom w:val="single" w:sz="6" w:space="0" w:color="auto"/>
              <w:right w:val="single" w:sz="4" w:space="0" w:color="000000"/>
            </w:tcBorders>
            <w:shd w:val="clear" w:color="auto" w:fill="auto"/>
            <w:vAlign w:val="center"/>
          </w:tcPr>
          <w:p w14:paraId="31A0656C" w14:textId="77777777" w:rsidR="001A5EC6" w:rsidRPr="001A5EC6" w:rsidRDefault="001A5EC6" w:rsidP="001A5EC6">
            <w:pPr>
              <w:jc w:val="center"/>
              <w:textAlignment w:val="center"/>
              <w:rPr>
                <w:rFonts w:asciiTheme="minorHAnsi" w:hAnsiTheme="minorHAnsi"/>
                <w:kern w:val="0"/>
                <w:szCs w:val="21"/>
              </w:rPr>
            </w:pPr>
            <w:r w:rsidRPr="001A5EC6">
              <w:rPr>
                <w:rFonts w:asciiTheme="minorHAnsi" w:hAnsiTheme="minorHAnsi"/>
                <w:kern w:val="0"/>
                <w:szCs w:val="21"/>
              </w:rPr>
              <w:t>3.</w:t>
            </w:r>
            <w:r w:rsidRPr="001A5EC6">
              <w:rPr>
                <w:rFonts w:asciiTheme="minorHAnsi" w:hAnsiTheme="minorHAnsi"/>
                <w:kern w:val="0"/>
                <w:szCs w:val="21"/>
              </w:rPr>
              <w:t>新建</w:t>
            </w:r>
            <w:r w:rsidR="00F723F1">
              <w:rPr>
                <w:rFonts w:asciiTheme="minorHAnsi" w:hAnsiTheme="minorHAnsi" w:hint="eastAsia"/>
                <w:kern w:val="0"/>
                <w:szCs w:val="21"/>
              </w:rPr>
              <w:t>“</w:t>
            </w:r>
            <w:r w:rsidR="00F723F1" w:rsidRPr="001A5EC6">
              <w:rPr>
                <w:rFonts w:asciiTheme="minorHAnsi" w:hAnsiTheme="minorHAnsi"/>
                <w:kern w:val="0"/>
                <w:szCs w:val="21"/>
              </w:rPr>
              <w:t>两高</w:t>
            </w:r>
            <w:r w:rsidR="00F723F1">
              <w:rPr>
                <w:rFonts w:asciiTheme="minorHAnsi" w:hAnsiTheme="minorHAnsi" w:hint="eastAsia"/>
                <w:kern w:val="0"/>
                <w:szCs w:val="21"/>
              </w:rPr>
              <w:t>”</w:t>
            </w:r>
            <w:r w:rsidRPr="001A5EC6">
              <w:rPr>
                <w:rFonts w:asciiTheme="minorHAnsi" w:hAnsiTheme="minorHAnsi"/>
                <w:kern w:val="0"/>
                <w:szCs w:val="21"/>
              </w:rPr>
              <w:t>项目应按照《关于加强重点行业建设项目区域削减措施监督管理的通知》要求，依据区域环境质量改善目标，制定配套区域污染物削减方案，采取有效的污染物区域削减措施，腾出足够的环境容量。</w:t>
            </w:r>
          </w:p>
        </w:tc>
        <w:tc>
          <w:tcPr>
            <w:tcW w:w="1054" w:type="pct"/>
            <w:tcBorders>
              <w:top w:val="single" w:sz="6" w:space="0" w:color="auto"/>
              <w:left w:val="single" w:sz="4" w:space="0" w:color="000000"/>
              <w:bottom w:val="single" w:sz="6" w:space="0" w:color="auto"/>
              <w:right w:val="single" w:sz="4" w:space="0" w:color="000000"/>
            </w:tcBorders>
            <w:vAlign w:val="center"/>
          </w:tcPr>
          <w:p w14:paraId="715F9C79"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本项目不属于</w:t>
            </w:r>
            <w:r w:rsidR="006833CA">
              <w:rPr>
                <w:rFonts w:asciiTheme="minorHAnsi" w:hAnsiTheme="minorHAnsi" w:hint="eastAsia"/>
                <w:kern w:val="0"/>
                <w:szCs w:val="21"/>
              </w:rPr>
              <w:t>“</w:t>
            </w:r>
            <w:r w:rsidR="006833CA" w:rsidRPr="001A5EC6">
              <w:rPr>
                <w:rFonts w:asciiTheme="minorHAnsi" w:hAnsiTheme="minorHAnsi"/>
                <w:kern w:val="0"/>
                <w:szCs w:val="21"/>
              </w:rPr>
              <w:t>两高</w:t>
            </w:r>
            <w:r w:rsidR="006833CA">
              <w:rPr>
                <w:rFonts w:asciiTheme="minorHAnsi" w:hAnsiTheme="minorHAnsi" w:hint="eastAsia"/>
                <w:kern w:val="0"/>
                <w:szCs w:val="21"/>
              </w:rPr>
              <w:t>”</w:t>
            </w:r>
            <w:r w:rsidRPr="001A5EC6">
              <w:rPr>
                <w:rFonts w:asciiTheme="minorHAnsi" w:hAnsiTheme="minorHAnsi"/>
                <w:kern w:val="0"/>
                <w:szCs w:val="21"/>
              </w:rPr>
              <w:t>项目。</w:t>
            </w:r>
          </w:p>
        </w:tc>
        <w:tc>
          <w:tcPr>
            <w:tcW w:w="360" w:type="pct"/>
            <w:tcBorders>
              <w:top w:val="single" w:sz="6" w:space="0" w:color="auto"/>
              <w:left w:val="single" w:sz="4" w:space="0" w:color="000000"/>
              <w:bottom w:val="single" w:sz="6" w:space="0" w:color="auto"/>
              <w:right w:val="single" w:sz="12" w:space="0" w:color="auto"/>
            </w:tcBorders>
            <w:vAlign w:val="center"/>
          </w:tcPr>
          <w:p w14:paraId="7C02CFA8"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w:t>
            </w:r>
          </w:p>
        </w:tc>
      </w:tr>
      <w:tr w:rsidR="001A5EC6" w:rsidRPr="001A5EC6" w14:paraId="43974DB2" w14:textId="77777777" w:rsidTr="001A5EC6">
        <w:trPr>
          <w:trHeight w:val="714"/>
          <w:jc w:val="center"/>
        </w:trPr>
        <w:tc>
          <w:tcPr>
            <w:tcW w:w="372" w:type="pct"/>
            <w:vMerge/>
            <w:tcBorders>
              <w:top w:val="single" w:sz="4" w:space="0" w:color="000000"/>
              <w:left w:val="single" w:sz="12" w:space="0" w:color="auto"/>
              <w:bottom w:val="single" w:sz="4" w:space="0" w:color="000000"/>
              <w:right w:val="single" w:sz="4" w:space="0" w:color="000000"/>
            </w:tcBorders>
            <w:shd w:val="clear" w:color="auto" w:fill="auto"/>
            <w:vAlign w:val="center"/>
          </w:tcPr>
          <w:p w14:paraId="0156D5D4" w14:textId="77777777" w:rsidR="001A5EC6" w:rsidRPr="001A5EC6" w:rsidRDefault="001A5EC6" w:rsidP="001A5EC6">
            <w:pPr>
              <w:jc w:val="center"/>
              <w:rPr>
                <w:rFonts w:asciiTheme="minorHAnsi" w:hAnsiTheme="minorHAnsi"/>
                <w:szCs w:val="21"/>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55D837" w14:textId="77777777" w:rsidR="001A5EC6" w:rsidRPr="001A5EC6" w:rsidRDefault="001A5EC6" w:rsidP="001A5EC6">
            <w:pPr>
              <w:jc w:val="center"/>
              <w:rPr>
                <w:rFonts w:asciiTheme="minorHAnsi" w:hAnsiTheme="minorHAnsi"/>
                <w:szCs w:val="21"/>
              </w:rPr>
            </w:pPr>
          </w:p>
        </w:tc>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4AAA6" w14:textId="77777777" w:rsidR="001A5EC6" w:rsidRPr="001A5EC6" w:rsidRDefault="001A5EC6" w:rsidP="001A5EC6">
            <w:pPr>
              <w:jc w:val="center"/>
              <w:rPr>
                <w:rFonts w:asciiTheme="minorHAnsi" w:hAnsiTheme="minorHAnsi"/>
                <w:szCs w:val="21"/>
              </w:rPr>
            </w:pPr>
          </w:p>
        </w:tc>
        <w:tc>
          <w:tcPr>
            <w:tcW w:w="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235A46" w14:textId="77777777" w:rsidR="001A5EC6" w:rsidRPr="001A5EC6" w:rsidRDefault="001A5EC6" w:rsidP="001A5EC6">
            <w:pPr>
              <w:jc w:val="center"/>
              <w:rPr>
                <w:rFonts w:asciiTheme="minorHAnsi" w:hAnsiTheme="minorHAnsi"/>
                <w:szCs w:val="21"/>
              </w:rPr>
            </w:pPr>
          </w:p>
        </w:tc>
        <w:tc>
          <w:tcPr>
            <w:tcW w:w="374" w:type="pct"/>
            <w:vMerge/>
            <w:tcBorders>
              <w:left w:val="single" w:sz="4" w:space="0" w:color="000000"/>
              <w:right w:val="single" w:sz="4" w:space="0" w:color="000000"/>
            </w:tcBorders>
            <w:shd w:val="clear" w:color="auto" w:fill="auto"/>
            <w:vAlign w:val="center"/>
          </w:tcPr>
          <w:p w14:paraId="454B2392" w14:textId="77777777" w:rsidR="001A5EC6" w:rsidRPr="001A5EC6" w:rsidRDefault="001A5EC6" w:rsidP="001A5EC6">
            <w:pPr>
              <w:widowControl/>
              <w:jc w:val="center"/>
              <w:textAlignment w:val="center"/>
              <w:rPr>
                <w:rFonts w:asciiTheme="minorHAnsi" w:hAnsiTheme="minorHAnsi"/>
                <w:kern w:val="0"/>
                <w:szCs w:val="21"/>
              </w:rPr>
            </w:pPr>
          </w:p>
        </w:tc>
        <w:tc>
          <w:tcPr>
            <w:tcW w:w="1732" w:type="pct"/>
            <w:tcBorders>
              <w:top w:val="single" w:sz="6" w:space="0" w:color="auto"/>
              <w:left w:val="single" w:sz="4" w:space="0" w:color="000000"/>
              <w:bottom w:val="single" w:sz="6" w:space="0" w:color="auto"/>
              <w:right w:val="single" w:sz="4" w:space="0" w:color="000000"/>
            </w:tcBorders>
            <w:shd w:val="clear" w:color="auto" w:fill="auto"/>
            <w:vAlign w:val="center"/>
          </w:tcPr>
          <w:p w14:paraId="6EA0607E" w14:textId="77777777" w:rsidR="001A5EC6" w:rsidRPr="001A5EC6" w:rsidRDefault="001A5EC6" w:rsidP="001A5EC6">
            <w:pPr>
              <w:jc w:val="center"/>
              <w:textAlignment w:val="center"/>
              <w:rPr>
                <w:rFonts w:asciiTheme="minorHAnsi" w:hAnsiTheme="minorHAnsi"/>
                <w:kern w:val="0"/>
                <w:szCs w:val="21"/>
              </w:rPr>
            </w:pPr>
            <w:r w:rsidRPr="001A5EC6">
              <w:rPr>
                <w:rFonts w:asciiTheme="minorHAnsi" w:hAnsiTheme="minorHAnsi"/>
                <w:kern w:val="0"/>
                <w:szCs w:val="21"/>
              </w:rPr>
              <w:t>4.</w:t>
            </w:r>
            <w:r w:rsidRPr="001A5EC6">
              <w:rPr>
                <w:rFonts w:asciiTheme="minorHAnsi" w:hAnsiTheme="minorHAnsi"/>
                <w:kern w:val="0"/>
                <w:szCs w:val="21"/>
              </w:rPr>
              <w:t>新建耗煤项目应严格按规定采取煤炭消费减量替代措施，不得使用高污染燃料作为煤炭减量替代措施。</w:t>
            </w:r>
          </w:p>
        </w:tc>
        <w:tc>
          <w:tcPr>
            <w:tcW w:w="1054" w:type="pct"/>
            <w:tcBorders>
              <w:top w:val="single" w:sz="6" w:space="0" w:color="auto"/>
              <w:left w:val="single" w:sz="4" w:space="0" w:color="000000"/>
              <w:bottom w:val="single" w:sz="6" w:space="0" w:color="auto"/>
              <w:right w:val="single" w:sz="4" w:space="0" w:color="000000"/>
            </w:tcBorders>
            <w:vAlign w:val="center"/>
          </w:tcPr>
          <w:p w14:paraId="19A2B46B"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本次项目采用天然气为燃料，不涉及煤炭消费。</w:t>
            </w:r>
          </w:p>
        </w:tc>
        <w:tc>
          <w:tcPr>
            <w:tcW w:w="360" w:type="pct"/>
            <w:tcBorders>
              <w:top w:val="single" w:sz="6" w:space="0" w:color="auto"/>
              <w:left w:val="single" w:sz="4" w:space="0" w:color="000000"/>
              <w:bottom w:val="single" w:sz="6" w:space="0" w:color="auto"/>
              <w:right w:val="single" w:sz="12" w:space="0" w:color="auto"/>
            </w:tcBorders>
            <w:vAlign w:val="center"/>
          </w:tcPr>
          <w:p w14:paraId="11F01D0E"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w:t>
            </w:r>
          </w:p>
        </w:tc>
      </w:tr>
      <w:tr w:rsidR="001A5EC6" w:rsidRPr="001A5EC6" w14:paraId="41260E46" w14:textId="77777777" w:rsidTr="001A5EC6">
        <w:trPr>
          <w:trHeight w:val="443"/>
          <w:jc w:val="center"/>
        </w:trPr>
        <w:tc>
          <w:tcPr>
            <w:tcW w:w="372" w:type="pct"/>
            <w:vMerge/>
            <w:tcBorders>
              <w:top w:val="single" w:sz="4" w:space="0" w:color="000000"/>
              <w:left w:val="single" w:sz="12" w:space="0" w:color="auto"/>
              <w:bottom w:val="single" w:sz="4" w:space="0" w:color="000000"/>
              <w:right w:val="single" w:sz="4" w:space="0" w:color="000000"/>
            </w:tcBorders>
            <w:shd w:val="clear" w:color="auto" w:fill="auto"/>
            <w:vAlign w:val="center"/>
          </w:tcPr>
          <w:p w14:paraId="1E8C7491" w14:textId="77777777" w:rsidR="001A5EC6" w:rsidRPr="001A5EC6" w:rsidRDefault="001A5EC6" w:rsidP="001A5EC6">
            <w:pPr>
              <w:jc w:val="center"/>
              <w:rPr>
                <w:rFonts w:asciiTheme="minorHAnsi" w:hAnsiTheme="minorHAnsi"/>
                <w:szCs w:val="21"/>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09C6C" w14:textId="77777777" w:rsidR="001A5EC6" w:rsidRPr="001A5EC6" w:rsidRDefault="001A5EC6" w:rsidP="001A5EC6">
            <w:pPr>
              <w:jc w:val="center"/>
              <w:rPr>
                <w:rFonts w:asciiTheme="minorHAnsi" w:hAnsiTheme="minorHAnsi"/>
                <w:szCs w:val="21"/>
              </w:rPr>
            </w:pPr>
          </w:p>
        </w:tc>
        <w:tc>
          <w:tcPr>
            <w:tcW w:w="3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5D821F" w14:textId="77777777" w:rsidR="001A5EC6" w:rsidRPr="001A5EC6" w:rsidRDefault="001A5EC6" w:rsidP="001A5EC6">
            <w:pPr>
              <w:jc w:val="center"/>
              <w:rPr>
                <w:rFonts w:asciiTheme="minorHAnsi" w:hAnsiTheme="minorHAnsi"/>
                <w:szCs w:val="21"/>
              </w:rPr>
            </w:pPr>
          </w:p>
        </w:tc>
        <w:tc>
          <w:tcPr>
            <w:tcW w:w="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55C383" w14:textId="77777777" w:rsidR="001A5EC6" w:rsidRPr="001A5EC6" w:rsidRDefault="001A5EC6" w:rsidP="001A5EC6">
            <w:pPr>
              <w:jc w:val="center"/>
              <w:rPr>
                <w:rFonts w:asciiTheme="minorHAnsi" w:hAnsiTheme="minorHAnsi"/>
                <w:szCs w:val="21"/>
              </w:rPr>
            </w:pPr>
          </w:p>
        </w:tc>
        <w:tc>
          <w:tcPr>
            <w:tcW w:w="374" w:type="pct"/>
            <w:vMerge/>
            <w:tcBorders>
              <w:left w:val="single" w:sz="4" w:space="0" w:color="000000"/>
              <w:right w:val="single" w:sz="4" w:space="0" w:color="000000"/>
            </w:tcBorders>
            <w:shd w:val="clear" w:color="auto" w:fill="auto"/>
            <w:vAlign w:val="center"/>
          </w:tcPr>
          <w:p w14:paraId="193A7A25" w14:textId="77777777" w:rsidR="001A5EC6" w:rsidRPr="001A5EC6" w:rsidRDefault="001A5EC6" w:rsidP="001A5EC6">
            <w:pPr>
              <w:widowControl/>
              <w:jc w:val="center"/>
              <w:textAlignment w:val="center"/>
              <w:rPr>
                <w:rFonts w:asciiTheme="minorHAnsi" w:hAnsiTheme="minorHAnsi"/>
                <w:kern w:val="0"/>
                <w:szCs w:val="21"/>
              </w:rPr>
            </w:pPr>
          </w:p>
        </w:tc>
        <w:tc>
          <w:tcPr>
            <w:tcW w:w="1732" w:type="pct"/>
            <w:tcBorders>
              <w:top w:val="single" w:sz="6" w:space="0" w:color="auto"/>
              <w:left w:val="single" w:sz="4" w:space="0" w:color="000000"/>
              <w:bottom w:val="single" w:sz="6" w:space="0" w:color="auto"/>
              <w:right w:val="single" w:sz="4" w:space="0" w:color="000000"/>
            </w:tcBorders>
            <w:shd w:val="clear" w:color="auto" w:fill="auto"/>
            <w:vAlign w:val="center"/>
          </w:tcPr>
          <w:p w14:paraId="736C932A" w14:textId="77777777" w:rsidR="001A5EC6" w:rsidRPr="001A5EC6" w:rsidRDefault="001A5EC6" w:rsidP="001A5EC6">
            <w:pPr>
              <w:jc w:val="center"/>
              <w:textAlignment w:val="center"/>
              <w:rPr>
                <w:rFonts w:asciiTheme="minorHAnsi" w:hAnsiTheme="minorHAnsi"/>
                <w:kern w:val="0"/>
                <w:szCs w:val="21"/>
              </w:rPr>
            </w:pPr>
            <w:r w:rsidRPr="001A5EC6">
              <w:rPr>
                <w:rFonts w:asciiTheme="minorHAnsi" w:hAnsiTheme="minorHAnsi"/>
                <w:kern w:val="0"/>
                <w:szCs w:val="21"/>
              </w:rPr>
              <w:t>5.</w:t>
            </w:r>
            <w:r w:rsidRPr="001A5EC6">
              <w:rPr>
                <w:rFonts w:asciiTheme="minorHAnsi" w:hAnsiTheme="minorHAnsi"/>
                <w:kern w:val="0"/>
                <w:szCs w:val="21"/>
              </w:rPr>
              <w:t>火电等</w:t>
            </w:r>
            <w:r w:rsidR="006833CA">
              <w:rPr>
                <w:rFonts w:asciiTheme="minorHAnsi" w:hAnsiTheme="minorHAnsi" w:hint="eastAsia"/>
                <w:kern w:val="0"/>
                <w:szCs w:val="21"/>
              </w:rPr>
              <w:t>“</w:t>
            </w:r>
            <w:r w:rsidR="006833CA" w:rsidRPr="001A5EC6">
              <w:rPr>
                <w:rFonts w:asciiTheme="minorHAnsi" w:hAnsiTheme="minorHAnsi"/>
                <w:kern w:val="0"/>
                <w:szCs w:val="21"/>
              </w:rPr>
              <w:t>两高</w:t>
            </w:r>
            <w:r w:rsidR="006833CA">
              <w:rPr>
                <w:rFonts w:asciiTheme="minorHAnsi" w:hAnsiTheme="minorHAnsi" w:hint="eastAsia"/>
                <w:kern w:val="0"/>
                <w:szCs w:val="21"/>
              </w:rPr>
              <w:t>”</w:t>
            </w:r>
            <w:r w:rsidRPr="001A5EC6">
              <w:rPr>
                <w:rFonts w:asciiTheme="minorHAnsi" w:hAnsiTheme="minorHAnsi"/>
                <w:kern w:val="0"/>
                <w:szCs w:val="21"/>
              </w:rPr>
              <w:t>行业建设项目应满足超低排放要求。</w:t>
            </w:r>
          </w:p>
        </w:tc>
        <w:tc>
          <w:tcPr>
            <w:tcW w:w="1054" w:type="pct"/>
            <w:tcBorders>
              <w:top w:val="single" w:sz="6" w:space="0" w:color="auto"/>
              <w:left w:val="single" w:sz="4" w:space="0" w:color="000000"/>
              <w:bottom w:val="single" w:sz="6" w:space="0" w:color="auto"/>
              <w:right w:val="single" w:sz="4" w:space="0" w:color="000000"/>
            </w:tcBorders>
            <w:vAlign w:val="center"/>
          </w:tcPr>
          <w:p w14:paraId="2756952A"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本项目不涉及。</w:t>
            </w:r>
          </w:p>
        </w:tc>
        <w:tc>
          <w:tcPr>
            <w:tcW w:w="360" w:type="pct"/>
            <w:tcBorders>
              <w:top w:val="single" w:sz="6" w:space="0" w:color="auto"/>
              <w:left w:val="single" w:sz="4" w:space="0" w:color="000000"/>
              <w:bottom w:val="single" w:sz="6" w:space="0" w:color="auto"/>
              <w:right w:val="single" w:sz="12" w:space="0" w:color="auto"/>
            </w:tcBorders>
            <w:vAlign w:val="center"/>
          </w:tcPr>
          <w:p w14:paraId="3FA53D1B"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w:t>
            </w:r>
          </w:p>
        </w:tc>
      </w:tr>
      <w:tr w:rsidR="001A5EC6" w:rsidRPr="001A5EC6" w14:paraId="76BFED39" w14:textId="77777777" w:rsidTr="001A5EC6">
        <w:trPr>
          <w:trHeight w:val="810"/>
          <w:jc w:val="center"/>
        </w:trPr>
        <w:tc>
          <w:tcPr>
            <w:tcW w:w="372" w:type="pct"/>
            <w:vMerge/>
            <w:tcBorders>
              <w:top w:val="single" w:sz="4" w:space="0" w:color="000000"/>
              <w:left w:val="single" w:sz="12" w:space="0" w:color="auto"/>
              <w:bottom w:val="single" w:sz="12" w:space="0" w:color="auto"/>
              <w:right w:val="single" w:sz="4" w:space="0" w:color="000000"/>
            </w:tcBorders>
            <w:shd w:val="clear" w:color="auto" w:fill="auto"/>
            <w:vAlign w:val="center"/>
          </w:tcPr>
          <w:p w14:paraId="6BFE689F" w14:textId="77777777" w:rsidR="001A5EC6" w:rsidRPr="001A5EC6" w:rsidRDefault="001A5EC6" w:rsidP="001A5EC6">
            <w:pPr>
              <w:jc w:val="center"/>
              <w:rPr>
                <w:rFonts w:asciiTheme="minorHAnsi" w:hAnsiTheme="minorHAnsi"/>
                <w:szCs w:val="21"/>
              </w:rPr>
            </w:pPr>
          </w:p>
        </w:tc>
        <w:tc>
          <w:tcPr>
            <w:tcW w:w="431" w:type="pct"/>
            <w:vMerge/>
            <w:tcBorders>
              <w:top w:val="single" w:sz="4" w:space="0" w:color="000000"/>
              <w:left w:val="single" w:sz="4" w:space="0" w:color="000000"/>
              <w:bottom w:val="single" w:sz="12" w:space="0" w:color="auto"/>
              <w:right w:val="single" w:sz="4" w:space="0" w:color="000000"/>
            </w:tcBorders>
            <w:shd w:val="clear" w:color="auto" w:fill="auto"/>
            <w:vAlign w:val="center"/>
          </w:tcPr>
          <w:p w14:paraId="1A0089C2" w14:textId="77777777" w:rsidR="001A5EC6" w:rsidRPr="001A5EC6" w:rsidRDefault="001A5EC6" w:rsidP="001A5EC6">
            <w:pPr>
              <w:jc w:val="center"/>
              <w:rPr>
                <w:rFonts w:asciiTheme="minorHAnsi" w:hAnsiTheme="minorHAnsi"/>
                <w:szCs w:val="21"/>
              </w:rPr>
            </w:pPr>
          </w:p>
        </w:tc>
        <w:tc>
          <w:tcPr>
            <w:tcW w:w="322" w:type="pct"/>
            <w:vMerge/>
            <w:tcBorders>
              <w:top w:val="single" w:sz="4" w:space="0" w:color="000000"/>
              <w:left w:val="single" w:sz="4" w:space="0" w:color="000000"/>
              <w:bottom w:val="single" w:sz="12" w:space="0" w:color="auto"/>
              <w:right w:val="single" w:sz="4" w:space="0" w:color="000000"/>
            </w:tcBorders>
            <w:shd w:val="clear" w:color="auto" w:fill="auto"/>
            <w:vAlign w:val="center"/>
          </w:tcPr>
          <w:p w14:paraId="21B1A3D5" w14:textId="77777777" w:rsidR="001A5EC6" w:rsidRPr="001A5EC6" w:rsidRDefault="001A5EC6" w:rsidP="001A5EC6">
            <w:pPr>
              <w:jc w:val="center"/>
              <w:rPr>
                <w:rFonts w:asciiTheme="minorHAnsi" w:hAnsiTheme="minorHAnsi"/>
                <w:szCs w:val="21"/>
              </w:rPr>
            </w:pPr>
          </w:p>
        </w:tc>
        <w:tc>
          <w:tcPr>
            <w:tcW w:w="355" w:type="pct"/>
            <w:vMerge/>
            <w:tcBorders>
              <w:top w:val="single" w:sz="4" w:space="0" w:color="000000"/>
              <w:left w:val="single" w:sz="4" w:space="0" w:color="000000"/>
              <w:bottom w:val="single" w:sz="12" w:space="0" w:color="auto"/>
              <w:right w:val="single" w:sz="4" w:space="0" w:color="000000"/>
            </w:tcBorders>
            <w:shd w:val="clear" w:color="auto" w:fill="auto"/>
            <w:vAlign w:val="center"/>
          </w:tcPr>
          <w:p w14:paraId="36E6D961" w14:textId="77777777" w:rsidR="001A5EC6" w:rsidRPr="001A5EC6" w:rsidRDefault="001A5EC6" w:rsidP="001A5EC6">
            <w:pPr>
              <w:jc w:val="center"/>
              <w:rPr>
                <w:rFonts w:asciiTheme="minorHAnsi" w:hAnsiTheme="minorHAnsi"/>
                <w:szCs w:val="21"/>
              </w:rPr>
            </w:pPr>
          </w:p>
        </w:tc>
        <w:tc>
          <w:tcPr>
            <w:tcW w:w="374" w:type="pct"/>
            <w:tcBorders>
              <w:top w:val="single" w:sz="4" w:space="0" w:color="000000"/>
              <w:left w:val="single" w:sz="4" w:space="0" w:color="000000"/>
              <w:bottom w:val="single" w:sz="12" w:space="0" w:color="auto"/>
              <w:right w:val="single" w:sz="4" w:space="0" w:color="000000"/>
            </w:tcBorders>
            <w:shd w:val="clear" w:color="auto" w:fill="auto"/>
            <w:vAlign w:val="center"/>
          </w:tcPr>
          <w:p w14:paraId="512E1E27"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环境风险防控</w:t>
            </w:r>
          </w:p>
        </w:tc>
        <w:tc>
          <w:tcPr>
            <w:tcW w:w="1732" w:type="pct"/>
            <w:tcBorders>
              <w:top w:val="single" w:sz="4" w:space="0" w:color="000000"/>
              <w:left w:val="single" w:sz="4" w:space="0" w:color="000000"/>
              <w:bottom w:val="single" w:sz="12" w:space="0" w:color="auto"/>
              <w:right w:val="single" w:sz="4" w:space="0" w:color="000000"/>
            </w:tcBorders>
            <w:shd w:val="clear" w:color="auto" w:fill="auto"/>
            <w:vAlign w:val="center"/>
          </w:tcPr>
          <w:p w14:paraId="714795AE" w14:textId="77777777" w:rsidR="001A5EC6" w:rsidRPr="001A5EC6" w:rsidRDefault="001A5EC6" w:rsidP="001A5EC6">
            <w:pPr>
              <w:widowControl/>
              <w:jc w:val="center"/>
              <w:textAlignment w:val="center"/>
              <w:rPr>
                <w:rFonts w:asciiTheme="minorHAnsi" w:hAnsiTheme="minorHAnsi"/>
                <w:szCs w:val="21"/>
              </w:rPr>
            </w:pPr>
            <w:r w:rsidRPr="001A5EC6">
              <w:rPr>
                <w:rFonts w:asciiTheme="minorHAnsi" w:hAnsiTheme="minorHAnsi"/>
                <w:kern w:val="0"/>
                <w:szCs w:val="21"/>
              </w:rPr>
              <w:t>建立健全园区环境风险管理体系。加快环境风险预警体系建设，健全环境风险单位信息库，严格危险化学品管理；建立完善有效的环境风险防控设施和有效的拦截、降污、导流等措施，优化雨水管网规划。</w:t>
            </w:r>
          </w:p>
        </w:tc>
        <w:tc>
          <w:tcPr>
            <w:tcW w:w="1054" w:type="pct"/>
            <w:tcBorders>
              <w:top w:val="single" w:sz="4" w:space="0" w:color="000000"/>
              <w:left w:val="single" w:sz="4" w:space="0" w:color="000000"/>
              <w:bottom w:val="single" w:sz="12" w:space="0" w:color="auto"/>
              <w:right w:val="single" w:sz="4" w:space="0" w:color="000000"/>
            </w:tcBorders>
            <w:vAlign w:val="center"/>
          </w:tcPr>
          <w:p w14:paraId="62463A68"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本项目应对入厂化学品进行严格管理，建立完善有效的风险防控设施。厂区建设过程中应做到雨污分流、清污分流。</w:t>
            </w:r>
          </w:p>
        </w:tc>
        <w:tc>
          <w:tcPr>
            <w:tcW w:w="360" w:type="pct"/>
            <w:tcBorders>
              <w:top w:val="single" w:sz="4" w:space="0" w:color="000000"/>
              <w:left w:val="single" w:sz="4" w:space="0" w:color="000000"/>
              <w:bottom w:val="single" w:sz="12" w:space="0" w:color="auto"/>
              <w:right w:val="single" w:sz="12" w:space="0" w:color="auto"/>
            </w:tcBorders>
            <w:vAlign w:val="center"/>
          </w:tcPr>
          <w:p w14:paraId="3B3B8DE9" w14:textId="77777777" w:rsidR="001A5EC6" w:rsidRPr="001A5EC6" w:rsidRDefault="001A5EC6" w:rsidP="001A5EC6">
            <w:pPr>
              <w:widowControl/>
              <w:jc w:val="center"/>
              <w:textAlignment w:val="center"/>
              <w:rPr>
                <w:rFonts w:asciiTheme="minorHAnsi" w:hAnsiTheme="minorHAnsi"/>
                <w:kern w:val="0"/>
                <w:szCs w:val="21"/>
              </w:rPr>
            </w:pPr>
            <w:r w:rsidRPr="001A5EC6">
              <w:rPr>
                <w:rFonts w:asciiTheme="minorHAnsi" w:hAnsiTheme="minorHAnsi"/>
                <w:kern w:val="0"/>
                <w:szCs w:val="21"/>
              </w:rPr>
              <w:t>相符</w:t>
            </w:r>
          </w:p>
        </w:tc>
      </w:tr>
    </w:tbl>
    <w:p w14:paraId="3BFC8BC8" w14:textId="77777777" w:rsidR="00824529" w:rsidRPr="00F723F1" w:rsidRDefault="00824529" w:rsidP="00F723F1">
      <w:pPr>
        <w:pStyle w:val="00"/>
        <w:ind w:firstLineChars="200"/>
        <w:rPr>
          <w:rFonts w:asciiTheme="minorHAnsi" w:hAnsi="Calibri"/>
          <w:caps/>
          <w:color w:val="000000" w:themeColor="text1"/>
        </w:rPr>
      </w:pPr>
      <w:r w:rsidRPr="00A964FF">
        <w:rPr>
          <w:rFonts w:ascii="Calibri" w:hAnsi="Calibri" w:hint="eastAsia"/>
          <w:bCs/>
          <w:color w:val="auto"/>
        </w:rPr>
        <w:lastRenderedPageBreak/>
        <w:t>本项目为</w:t>
      </w:r>
      <w:r w:rsidR="006833CA" w:rsidRPr="00131D53">
        <w:rPr>
          <w:rFonts w:asciiTheme="minorHAnsi" w:hAnsi="Calibri" w:hint="eastAsia"/>
          <w:caps/>
          <w:color w:val="000000" w:themeColor="text1"/>
        </w:rPr>
        <w:t>合成材料制造</w:t>
      </w:r>
      <w:r w:rsidR="006833CA">
        <w:rPr>
          <w:rFonts w:asciiTheme="minorHAnsi" w:hAnsi="Calibri" w:hint="eastAsia"/>
          <w:caps/>
          <w:color w:val="000000" w:themeColor="text1"/>
        </w:rPr>
        <w:t>项目</w:t>
      </w:r>
      <w:r w:rsidR="006833CA">
        <w:rPr>
          <w:rFonts w:asciiTheme="minorHAnsi" w:hAnsi="Calibri"/>
          <w:caps/>
          <w:color w:val="000000" w:themeColor="text1"/>
        </w:rPr>
        <w:t>，</w:t>
      </w:r>
      <w:r w:rsidR="00F723F1">
        <w:rPr>
          <w:rFonts w:asciiTheme="minorHAnsi" w:hAnsi="Calibri" w:hint="eastAsia"/>
          <w:caps/>
          <w:color w:val="000000" w:themeColor="text1"/>
        </w:rPr>
        <w:t>属于</w:t>
      </w:r>
      <w:r w:rsidR="00F723F1">
        <w:rPr>
          <w:rFonts w:asciiTheme="minorHAnsi" w:hAnsi="Calibri"/>
          <w:caps/>
          <w:color w:val="000000" w:themeColor="text1"/>
        </w:rPr>
        <w:t>化工，</w:t>
      </w:r>
      <w:r w:rsidR="006833CA">
        <w:rPr>
          <w:rFonts w:asciiTheme="minorHAnsi" w:hAnsi="Calibri" w:hint="eastAsia"/>
          <w:caps/>
          <w:color w:val="000000" w:themeColor="text1"/>
        </w:rPr>
        <w:t>不属于</w:t>
      </w:r>
      <w:r w:rsidR="007E431F" w:rsidRPr="00A964FF">
        <w:rPr>
          <w:rFonts w:ascii="Calibri" w:hAnsi="Calibri" w:hint="eastAsia"/>
          <w:color w:val="auto"/>
        </w:rPr>
        <w:t>“两高”项目。</w:t>
      </w:r>
      <w:r w:rsidR="007E431F" w:rsidRPr="00A964FF">
        <w:rPr>
          <w:rFonts w:ascii="Calibri" w:hint="eastAsia"/>
          <w:color w:val="auto"/>
        </w:rPr>
        <w:t>本项目</w:t>
      </w:r>
      <w:r w:rsidR="007E431F" w:rsidRPr="00A964FF">
        <w:rPr>
          <w:rFonts w:hAnsi="Times New Roman" w:hint="eastAsia"/>
          <w:color w:val="auto"/>
        </w:rPr>
        <w:t>符合</w:t>
      </w:r>
      <w:r w:rsidR="007E431F" w:rsidRPr="00A964FF">
        <w:rPr>
          <w:rFonts w:ascii="Calibri" w:hAnsi="Calibri"/>
          <w:color w:val="auto"/>
        </w:rPr>
        <w:t>平顶山尼龙新材料产业集聚区产业定位</w:t>
      </w:r>
      <w:r w:rsidR="007E431F" w:rsidRPr="00A964FF">
        <w:rPr>
          <w:rFonts w:ascii="Calibri" w:hAnsi="Calibri" w:hint="eastAsia"/>
          <w:color w:val="auto"/>
        </w:rPr>
        <w:t>，</w:t>
      </w:r>
      <w:r w:rsidR="007143A7">
        <w:rPr>
          <w:rFonts w:ascii="Calibri" w:hAnsi="Calibri" w:hint="eastAsia"/>
          <w:color w:val="auto"/>
        </w:rPr>
        <w:t>符合叶县土地利用总体规划</w:t>
      </w:r>
      <w:r w:rsidR="007E431F" w:rsidRPr="00A964FF">
        <w:rPr>
          <w:rFonts w:ascii="Calibri" w:hAnsi="Calibri" w:hint="eastAsia"/>
          <w:bCs/>
          <w:color w:val="auto"/>
        </w:rPr>
        <w:t>，</w:t>
      </w:r>
      <w:r w:rsidRPr="00A964FF">
        <w:rPr>
          <w:rFonts w:ascii="Calibri" w:hAnsi="Calibri" w:hint="eastAsia"/>
          <w:bCs/>
          <w:color w:val="auto"/>
        </w:rPr>
        <w:t>生产过程中</w:t>
      </w:r>
      <w:r w:rsidR="007E431F" w:rsidRPr="00A964FF">
        <w:rPr>
          <w:rFonts w:ascii="Calibri" w:hAnsi="Calibri" w:hint="eastAsia"/>
          <w:bCs/>
          <w:color w:val="auto"/>
        </w:rPr>
        <w:t>产生的</w:t>
      </w:r>
      <w:r w:rsidRPr="00A964FF">
        <w:rPr>
          <w:rFonts w:ascii="Calibri" w:hAnsi="Calibri" w:hint="eastAsia"/>
          <w:bCs/>
          <w:color w:val="auto"/>
        </w:rPr>
        <w:t>废气、废水采取</w:t>
      </w:r>
      <w:r w:rsidR="007E431F" w:rsidRPr="00A964FF">
        <w:rPr>
          <w:rFonts w:ascii="Calibri" w:hAnsi="Calibri" w:hint="eastAsia"/>
          <w:bCs/>
          <w:color w:val="auto"/>
        </w:rPr>
        <w:t>切实可行的污染防治措施，严格控制污染物排放量</w:t>
      </w:r>
      <w:r w:rsidRPr="00A964FF">
        <w:rPr>
          <w:rFonts w:ascii="Calibri" w:hAnsi="Calibri" w:hint="eastAsia"/>
          <w:bCs/>
          <w:color w:val="auto"/>
        </w:rPr>
        <w:t>，符合叶县生态环境准入清单中管控要求。</w:t>
      </w:r>
    </w:p>
    <w:p w14:paraId="628B5D08" w14:textId="77777777" w:rsidR="00824529" w:rsidRPr="00A964FF" w:rsidRDefault="00824529" w:rsidP="00824529">
      <w:pPr>
        <w:pStyle w:val="00"/>
        <w:rPr>
          <w:rFonts w:ascii="Calibri" w:hAnsi="Calibri"/>
          <w:color w:val="auto"/>
        </w:rPr>
      </w:pPr>
      <w:r w:rsidRPr="00A964FF">
        <w:rPr>
          <w:rFonts w:ascii="Calibri" w:hAnsi="Calibri" w:hint="eastAsia"/>
          <w:color w:val="auto"/>
        </w:rPr>
        <w:t>综上所述，</w:t>
      </w:r>
      <w:r w:rsidRPr="00A964FF">
        <w:rPr>
          <w:rFonts w:ascii="Calibri" w:hAnsi="Calibri"/>
          <w:color w:val="auto"/>
        </w:rPr>
        <w:t>本项目符合当地生态保护红线要求，不降低项目周边环境质量底线，不超出当地资源利用上线，</w:t>
      </w:r>
      <w:r w:rsidRPr="00A964FF">
        <w:rPr>
          <w:rFonts w:ascii="Calibri" w:hAnsi="Calibri" w:hint="eastAsia"/>
          <w:color w:val="auto"/>
        </w:rPr>
        <w:t>符合当地生态环境准入清单</w:t>
      </w:r>
      <w:r w:rsidRPr="00A964FF">
        <w:rPr>
          <w:rFonts w:ascii="Calibri" w:hAnsi="Calibri"/>
          <w:color w:val="auto"/>
        </w:rPr>
        <w:t>。本项目建设符</w:t>
      </w:r>
      <w:r w:rsidRPr="00A964FF">
        <w:rPr>
          <w:rFonts w:ascii="宋体"/>
          <w:color w:val="auto"/>
        </w:rPr>
        <w:t>合</w:t>
      </w:r>
      <w:r w:rsidRPr="00A964FF">
        <w:rPr>
          <w:rFonts w:ascii="宋体" w:hint="eastAsia"/>
          <w:color w:val="auto"/>
        </w:rPr>
        <w:t>叶县</w:t>
      </w:r>
      <w:r w:rsidRPr="00A964FF">
        <w:rPr>
          <w:rFonts w:ascii="宋体"/>
          <w:color w:val="auto"/>
        </w:rPr>
        <w:t>“三线一单”的要</w:t>
      </w:r>
      <w:r w:rsidRPr="00A964FF">
        <w:rPr>
          <w:rFonts w:ascii="Calibri" w:hAnsi="Calibri"/>
          <w:color w:val="auto"/>
        </w:rPr>
        <w:t>求。</w:t>
      </w:r>
    </w:p>
    <w:p w14:paraId="177CF2E5" w14:textId="77777777" w:rsidR="00442A89" w:rsidRPr="00A964FF" w:rsidRDefault="00442A89" w:rsidP="00442A89">
      <w:pPr>
        <w:pStyle w:val="ad"/>
        <w:rPr>
          <w:rFonts w:ascii="Calibri" w:hAnsi="Calibri"/>
          <w:color w:val="auto"/>
        </w:rPr>
      </w:pPr>
      <w:r w:rsidRPr="00A964FF">
        <w:rPr>
          <w:rFonts w:ascii="Calibri" w:hAnsi="Calibri" w:hint="eastAsia"/>
          <w:color w:val="auto"/>
        </w:rPr>
        <w:t>1.8</w:t>
      </w:r>
      <w:r w:rsidRPr="00A964FF">
        <w:rPr>
          <w:rFonts w:ascii="Calibri" w:hAnsi="Calibri"/>
          <w:color w:val="auto"/>
        </w:rPr>
        <w:t>.</w:t>
      </w:r>
      <w:r w:rsidRPr="00A964FF">
        <w:rPr>
          <w:rFonts w:ascii="Calibri" w:hAnsi="Calibri" w:hint="eastAsia"/>
          <w:color w:val="auto"/>
        </w:rPr>
        <w:t>3</w:t>
      </w:r>
      <w:r w:rsidRPr="00A964FF">
        <w:rPr>
          <w:rFonts w:ascii="Calibri" w:hAnsi="Calibri" w:hint="eastAsia"/>
          <w:color w:val="auto"/>
        </w:rPr>
        <w:t>与《河南省生态环境分区管控总体要求（试行）》（豫环函【</w:t>
      </w:r>
      <w:r w:rsidRPr="00A964FF">
        <w:rPr>
          <w:rFonts w:ascii="Calibri" w:hAnsi="Calibri" w:hint="eastAsia"/>
          <w:color w:val="auto"/>
        </w:rPr>
        <w:t>2021</w:t>
      </w:r>
      <w:r w:rsidRPr="00A964FF">
        <w:rPr>
          <w:rFonts w:ascii="Calibri" w:hAnsi="Calibri" w:hint="eastAsia"/>
          <w:color w:val="auto"/>
        </w:rPr>
        <w:t>】</w:t>
      </w:r>
      <w:r w:rsidRPr="00A964FF">
        <w:rPr>
          <w:rFonts w:ascii="Calibri" w:hAnsi="Calibri" w:hint="eastAsia"/>
          <w:color w:val="auto"/>
        </w:rPr>
        <w:t>171</w:t>
      </w:r>
      <w:r w:rsidRPr="00A964FF">
        <w:rPr>
          <w:rFonts w:ascii="Calibri" w:hAnsi="Calibri" w:hint="eastAsia"/>
          <w:color w:val="auto"/>
        </w:rPr>
        <w:t>号）相符性分析</w:t>
      </w:r>
    </w:p>
    <w:p w14:paraId="2F7EFFC1" w14:textId="77777777" w:rsidR="00E04C65" w:rsidRPr="00FA4DEF" w:rsidRDefault="00442A89" w:rsidP="00FA4DEF">
      <w:pPr>
        <w:autoSpaceDE w:val="0"/>
        <w:autoSpaceDN w:val="0"/>
        <w:adjustRightInd w:val="0"/>
        <w:snapToGrid w:val="0"/>
        <w:spacing w:line="520" w:lineRule="exact"/>
        <w:ind w:firstLineChars="200" w:firstLine="480"/>
        <w:jc w:val="left"/>
        <w:rPr>
          <w:rFonts w:ascii="Calibri"/>
          <w:color w:val="auto"/>
          <w:kern w:val="0"/>
          <w:sz w:val="24"/>
        </w:rPr>
      </w:pPr>
      <w:r w:rsidRPr="00A964FF">
        <w:rPr>
          <w:rFonts w:ascii="Calibri" w:hint="eastAsia"/>
          <w:color w:val="auto"/>
          <w:kern w:val="0"/>
          <w:sz w:val="24"/>
        </w:rPr>
        <w:t>为落实《河南省人民政府关于实施“三线一单”生态环境分区管控的意见》（豫政【</w:t>
      </w:r>
      <w:r w:rsidRPr="00A964FF">
        <w:rPr>
          <w:rFonts w:ascii="Calibri" w:hint="eastAsia"/>
          <w:color w:val="auto"/>
          <w:kern w:val="0"/>
          <w:sz w:val="24"/>
        </w:rPr>
        <w:t>2020</w:t>
      </w:r>
      <w:r w:rsidRPr="00A964FF">
        <w:rPr>
          <w:rFonts w:ascii="Calibri" w:hint="eastAsia"/>
          <w:color w:val="auto"/>
          <w:kern w:val="0"/>
          <w:sz w:val="24"/>
        </w:rPr>
        <w:t>】</w:t>
      </w:r>
      <w:r w:rsidRPr="00A964FF">
        <w:rPr>
          <w:rFonts w:ascii="Calibri" w:hint="eastAsia"/>
          <w:color w:val="auto"/>
          <w:kern w:val="0"/>
          <w:sz w:val="24"/>
        </w:rPr>
        <w:t>37</w:t>
      </w:r>
      <w:r w:rsidRPr="00A964FF">
        <w:rPr>
          <w:rFonts w:ascii="Calibri" w:hint="eastAsia"/>
          <w:color w:val="auto"/>
          <w:kern w:val="0"/>
          <w:sz w:val="24"/>
        </w:rPr>
        <w:t>号），推进生态环境分区管控体系落地，河南省生态环境厅发布了《河南省生态环境分区管控总体要求（试行）》（豫环函【</w:t>
      </w:r>
      <w:r w:rsidRPr="00A964FF">
        <w:rPr>
          <w:rFonts w:ascii="Calibri" w:hint="eastAsia"/>
          <w:color w:val="auto"/>
          <w:kern w:val="0"/>
          <w:sz w:val="24"/>
        </w:rPr>
        <w:t>2021</w:t>
      </w:r>
      <w:r w:rsidRPr="00A964FF">
        <w:rPr>
          <w:rFonts w:ascii="Calibri" w:hint="eastAsia"/>
          <w:color w:val="auto"/>
          <w:kern w:val="0"/>
          <w:sz w:val="24"/>
        </w:rPr>
        <w:t>】</w:t>
      </w:r>
      <w:r w:rsidRPr="00A964FF">
        <w:rPr>
          <w:rFonts w:ascii="Calibri" w:hint="eastAsia"/>
          <w:color w:val="auto"/>
          <w:kern w:val="0"/>
          <w:sz w:val="24"/>
        </w:rPr>
        <w:t>171</w:t>
      </w:r>
      <w:r w:rsidRPr="00A964FF">
        <w:rPr>
          <w:rFonts w:ascii="Calibri" w:hint="eastAsia"/>
          <w:color w:val="auto"/>
          <w:kern w:val="0"/>
          <w:sz w:val="24"/>
        </w:rPr>
        <w:t>号），本项目与该文件符合性分析如下：</w:t>
      </w:r>
    </w:p>
    <w:p w14:paraId="36264A4F" w14:textId="77777777" w:rsidR="00FA4DEF" w:rsidRPr="00AD7758" w:rsidRDefault="00442A89" w:rsidP="00AD7758">
      <w:pPr>
        <w:autoSpaceDE w:val="0"/>
        <w:autoSpaceDN w:val="0"/>
        <w:adjustRightInd w:val="0"/>
        <w:snapToGrid w:val="0"/>
        <w:spacing w:line="520" w:lineRule="exact"/>
        <w:ind w:firstLineChars="200" w:firstLine="482"/>
        <w:jc w:val="left"/>
        <w:rPr>
          <w:rFonts w:ascii="Calibri"/>
          <w:b/>
          <w:color w:val="auto"/>
          <w:kern w:val="0"/>
          <w:sz w:val="24"/>
        </w:rPr>
      </w:pPr>
      <w:r w:rsidRPr="00A964FF">
        <w:rPr>
          <w:rFonts w:ascii="Calibri" w:hint="eastAsia"/>
          <w:b/>
          <w:color w:val="auto"/>
          <w:kern w:val="0"/>
          <w:sz w:val="24"/>
        </w:rPr>
        <w:t>1</w:t>
      </w:r>
      <w:r w:rsidRPr="00A964FF">
        <w:rPr>
          <w:rFonts w:ascii="Calibri" w:hint="eastAsia"/>
          <w:b/>
          <w:color w:val="auto"/>
          <w:kern w:val="0"/>
          <w:sz w:val="24"/>
        </w:rPr>
        <w:t>、</w:t>
      </w:r>
      <w:r w:rsidRPr="00A964FF">
        <w:rPr>
          <w:rFonts w:ascii="Calibri"/>
          <w:b/>
          <w:color w:val="auto"/>
          <w:kern w:val="0"/>
          <w:sz w:val="24"/>
        </w:rPr>
        <w:t>河南省产业发展总体准入要求</w:t>
      </w:r>
    </w:p>
    <w:p w14:paraId="75FD7F34" w14:textId="77777777" w:rsidR="00442A89" w:rsidRPr="00A964FF" w:rsidRDefault="00442A89" w:rsidP="00442A89">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0061483B">
        <w:rPr>
          <w:rFonts w:ascii="Calibri" w:eastAsia="黑体" w:hAnsi="Calibri" w:hint="eastAsia"/>
          <w:color w:val="auto"/>
          <w:sz w:val="24"/>
        </w:rPr>
        <w:t>1.8-</w:t>
      </w:r>
      <w:r w:rsidRPr="00A964FF">
        <w:rPr>
          <w:rFonts w:ascii="Calibri" w:eastAsia="黑体" w:hAnsi="Calibri" w:hint="eastAsia"/>
          <w:color w:val="auto"/>
          <w:sz w:val="24"/>
        </w:rPr>
        <w:t>2</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color w:val="auto"/>
          <w:sz w:val="24"/>
        </w:rPr>
        <w:t>河南省产业发展总体准入要求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87"/>
        <w:gridCol w:w="5236"/>
        <w:gridCol w:w="2067"/>
        <w:gridCol w:w="710"/>
      </w:tblGrid>
      <w:tr w:rsidR="00442A89" w:rsidRPr="00A964FF" w14:paraId="7D7688E6" w14:textId="77777777" w:rsidTr="00442A89">
        <w:trPr>
          <w:trHeight w:val="340"/>
          <w:jc w:val="center"/>
        </w:trPr>
        <w:tc>
          <w:tcPr>
            <w:tcW w:w="395" w:type="pct"/>
            <w:tcMar>
              <w:left w:w="28" w:type="dxa"/>
              <w:right w:w="28" w:type="dxa"/>
            </w:tcMar>
            <w:vAlign w:val="center"/>
          </w:tcPr>
          <w:p w14:paraId="1905EB2C"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产业发展</w:t>
            </w:r>
          </w:p>
        </w:tc>
        <w:tc>
          <w:tcPr>
            <w:tcW w:w="3009" w:type="pct"/>
            <w:tcMar>
              <w:left w:w="28" w:type="dxa"/>
              <w:right w:w="28" w:type="dxa"/>
            </w:tcMar>
            <w:vAlign w:val="center"/>
          </w:tcPr>
          <w:p w14:paraId="131BC570"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准入要求</w:t>
            </w:r>
          </w:p>
        </w:tc>
        <w:tc>
          <w:tcPr>
            <w:tcW w:w="1188" w:type="pct"/>
            <w:tcMar>
              <w:left w:w="28" w:type="dxa"/>
              <w:right w:w="28" w:type="dxa"/>
            </w:tcMar>
            <w:vAlign w:val="center"/>
          </w:tcPr>
          <w:p w14:paraId="2B7213FC"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本项目</w:t>
            </w:r>
          </w:p>
        </w:tc>
        <w:tc>
          <w:tcPr>
            <w:tcW w:w="408" w:type="pct"/>
            <w:tcMar>
              <w:left w:w="28" w:type="dxa"/>
              <w:right w:w="28" w:type="dxa"/>
            </w:tcMar>
            <w:vAlign w:val="center"/>
          </w:tcPr>
          <w:p w14:paraId="52756A29"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符合性</w:t>
            </w:r>
          </w:p>
        </w:tc>
      </w:tr>
      <w:tr w:rsidR="002B73FE" w:rsidRPr="00A964FF" w14:paraId="29563E0F" w14:textId="77777777" w:rsidTr="00AD7758">
        <w:trPr>
          <w:trHeight w:val="983"/>
          <w:jc w:val="center"/>
        </w:trPr>
        <w:tc>
          <w:tcPr>
            <w:tcW w:w="395" w:type="pct"/>
            <w:vAlign w:val="center"/>
          </w:tcPr>
          <w:p w14:paraId="476ECFDF" w14:textId="77777777" w:rsidR="002B73FE" w:rsidRPr="00AA6FA0" w:rsidRDefault="002B73FE" w:rsidP="00AA6FA0">
            <w:pPr>
              <w:adjustRightInd w:val="0"/>
              <w:snapToGrid w:val="0"/>
              <w:jc w:val="center"/>
              <w:rPr>
                <w:rFonts w:ascii="Calibri"/>
                <w:color w:val="auto"/>
                <w:szCs w:val="21"/>
              </w:rPr>
            </w:pPr>
            <w:r>
              <w:rPr>
                <w:rFonts w:ascii="Calibri" w:hint="eastAsia"/>
                <w:color w:val="auto"/>
                <w:szCs w:val="21"/>
              </w:rPr>
              <w:t>通用</w:t>
            </w:r>
          </w:p>
        </w:tc>
        <w:tc>
          <w:tcPr>
            <w:tcW w:w="3009" w:type="pct"/>
            <w:vAlign w:val="center"/>
          </w:tcPr>
          <w:p w14:paraId="012982A5" w14:textId="77777777" w:rsidR="002B73FE" w:rsidRPr="002B73FE" w:rsidRDefault="002B73FE" w:rsidP="002B73FE">
            <w:pPr>
              <w:adjustRightInd w:val="0"/>
              <w:snapToGrid w:val="0"/>
              <w:rPr>
                <w:rFonts w:ascii="Calibri" w:hAnsi="Calibri"/>
                <w:color w:val="auto"/>
                <w:szCs w:val="21"/>
              </w:rPr>
            </w:pPr>
            <w:r>
              <w:rPr>
                <w:rFonts w:ascii="Calibri" w:hAnsi="Calibri" w:hint="eastAsia"/>
                <w:color w:val="auto"/>
                <w:szCs w:val="21"/>
              </w:rPr>
              <w:t>1.</w:t>
            </w:r>
            <w:r w:rsidRPr="002B73FE">
              <w:rPr>
                <w:rFonts w:ascii="Calibri" w:hAnsi="Calibri" w:hint="eastAsia"/>
                <w:color w:val="auto"/>
                <w:szCs w:val="21"/>
              </w:rPr>
              <w:t>不断促进全省产业高质量发展。培育壮大人工智能及新能源等新兴产业；持续巩固提升装备、食品、新型材料、汽车、电子信息等五大制造业主导产业优势地位；做好产业链、创新链、供应链、价值链、制度链“五链”耦合，把新基建、新技术、新材料、新装备、新产品、新业态作为高质量发展的主攻方向。</w:t>
            </w:r>
          </w:p>
          <w:p w14:paraId="3085A53F" w14:textId="77777777" w:rsidR="002B73FE" w:rsidRPr="002B73FE" w:rsidRDefault="002B73FE" w:rsidP="002B73FE">
            <w:pPr>
              <w:adjustRightInd w:val="0"/>
              <w:snapToGrid w:val="0"/>
              <w:rPr>
                <w:rFonts w:ascii="Calibri" w:hAnsi="Calibri"/>
                <w:color w:val="auto"/>
                <w:szCs w:val="21"/>
              </w:rPr>
            </w:pPr>
            <w:r>
              <w:rPr>
                <w:rFonts w:ascii="Calibri" w:hAnsi="Calibri" w:hint="eastAsia"/>
                <w:color w:val="auto"/>
                <w:szCs w:val="21"/>
              </w:rPr>
              <w:t>2.</w:t>
            </w:r>
            <w:r w:rsidRPr="002B73FE">
              <w:rPr>
                <w:rFonts w:ascii="Calibri" w:hAnsi="Calibri" w:hint="eastAsia"/>
                <w:color w:val="auto"/>
                <w:szCs w:val="21"/>
              </w:rPr>
              <w:t>禁止新改扩建《产业结构调整指导目录（</w:t>
            </w:r>
            <w:r>
              <w:rPr>
                <w:rFonts w:ascii="Calibri" w:hAnsi="Calibri" w:hint="eastAsia"/>
                <w:color w:val="auto"/>
                <w:szCs w:val="21"/>
              </w:rPr>
              <w:t>2019</w:t>
            </w:r>
            <w:r w:rsidRPr="002B73FE">
              <w:rPr>
                <w:rFonts w:ascii="Calibri" w:hAnsi="Calibri" w:hint="eastAsia"/>
                <w:color w:val="auto"/>
                <w:szCs w:val="21"/>
              </w:rPr>
              <w:t>年本）》明确的淘汰类项目；禁止引入《市场准入负面清单（</w:t>
            </w:r>
            <w:r w:rsidRPr="002B73FE">
              <w:rPr>
                <w:rFonts w:ascii="Calibri" w:hAnsi="Calibri" w:hint="eastAsia"/>
                <w:color w:val="auto"/>
                <w:szCs w:val="21"/>
              </w:rPr>
              <w:t xml:space="preserve">2020 </w:t>
            </w:r>
            <w:r w:rsidRPr="002B73FE">
              <w:rPr>
                <w:rFonts w:ascii="Calibri" w:hAnsi="Calibri" w:hint="eastAsia"/>
                <w:color w:val="auto"/>
                <w:szCs w:val="21"/>
              </w:rPr>
              <w:t>年版）》禁止准入类事项。</w:t>
            </w:r>
          </w:p>
          <w:p w14:paraId="1221294C" w14:textId="77777777" w:rsidR="002B73FE" w:rsidRPr="002B73FE" w:rsidRDefault="002B73FE" w:rsidP="002B73FE">
            <w:pPr>
              <w:adjustRightInd w:val="0"/>
              <w:snapToGrid w:val="0"/>
              <w:rPr>
                <w:rFonts w:ascii="Calibri" w:hAnsi="Calibri"/>
                <w:color w:val="auto"/>
                <w:szCs w:val="21"/>
              </w:rPr>
            </w:pPr>
            <w:r>
              <w:rPr>
                <w:rFonts w:ascii="Calibri" w:hAnsi="Calibri" w:hint="eastAsia"/>
                <w:color w:val="auto"/>
                <w:szCs w:val="21"/>
              </w:rPr>
              <w:t>3.</w:t>
            </w:r>
            <w:r w:rsidRPr="002B73FE">
              <w:rPr>
                <w:rFonts w:ascii="Calibri" w:hAnsi="Calibri" w:hint="eastAsia"/>
                <w:color w:val="auto"/>
                <w:szCs w:val="21"/>
              </w:rPr>
              <w:t>重点区域严禁新增钢铁、焦化、水泥熟料、平板玻璃、电解铝、氧化铝、煤化工产能，严控新增炼油产能；禁止建设生产和使用高</w:t>
            </w:r>
            <w:r>
              <w:rPr>
                <w:rFonts w:ascii="Calibri" w:hAnsi="Calibri" w:hint="eastAsia"/>
                <w:color w:val="auto"/>
                <w:szCs w:val="21"/>
              </w:rPr>
              <w:t>VOCs</w:t>
            </w:r>
            <w:r w:rsidRPr="002B73FE">
              <w:rPr>
                <w:rFonts w:ascii="Calibri" w:hAnsi="Calibri" w:hint="eastAsia"/>
                <w:color w:val="auto"/>
                <w:szCs w:val="21"/>
              </w:rPr>
              <w:t>含量的溶剂型涂料、油墨、胶粘剂等项目；全面取缔露天和敞开式喷涂作业；重点区域原则上禁止新建露天矿山建设项目。</w:t>
            </w:r>
          </w:p>
          <w:p w14:paraId="1D3A0B8F" w14:textId="77777777" w:rsidR="002B73FE" w:rsidRDefault="002B73FE" w:rsidP="002B73FE">
            <w:pPr>
              <w:adjustRightInd w:val="0"/>
              <w:snapToGrid w:val="0"/>
              <w:rPr>
                <w:rFonts w:ascii="Calibri" w:hAnsi="Calibri"/>
                <w:color w:val="auto"/>
                <w:szCs w:val="21"/>
              </w:rPr>
            </w:pPr>
            <w:r>
              <w:rPr>
                <w:rFonts w:ascii="Calibri" w:hAnsi="Calibri" w:hint="eastAsia"/>
                <w:color w:val="auto"/>
                <w:szCs w:val="21"/>
              </w:rPr>
              <w:t>4.</w:t>
            </w:r>
            <w:r w:rsidRPr="002B73FE">
              <w:rPr>
                <w:rFonts w:ascii="Calibri" w:hAnsi="Calibri" w:hint="eastAsia"/>
                <w:color w:val="auto"/>
                <w:szCs w:val="21"/>
              </w:rPr>
              <w:t>严把“两高”项目生态环境准入关，严格限制“两高”项目盲目发展。新改扩建“两高”项目须符合生态环境保护法律法规和相关法定规划，符合产业政策、国土空间规划、“三线一单”、能耗“双控”、煤炭消费减量替代、碳排放强度、污染物区域削减替代等约束性要求，按照《河南省淘汰落后产能综合标准体系（</w:t>
            </w:r>
            <w:r>
              <w:rPr>
                <w:rFonts w:ascii="Calibri" w:hAnsi="Calibri" w:hint="eastAsia"/>
                <w:color w:val="auto"/>
                <w:szCs w:val="21"/>
              </w:rPr>
              <w:t>2020</w:t>
            </w:r>
            <w:r w:rsidRPr="002B73FE">
              <w:rPr>
                <w:rFonts w:ascii="Calibri" w:hAnsi="Calibri" w:hint="eastAsia"/>
                <w:color w:val="auto"/>
                <w:szCs w:val="21"/>
              </w:rPr>
              <w:t>年本）》，严</w:t>
            </w:r>
            <w:r w:rsidRPr="002B73FE">
              <w:rPr>
                <w:rFonts w:ascii="Calibri" w:hAnsi="Calibri" w:hint="eastAsia"/>
                <w:color w:val="auto"/>
                <w:szCs w:val="21"/>
              </w:rPr>
              <w:lastRenderedPageBreak/>
              <w:t>格执行能耗、环保、质量、安全、技术等法规标准。</w:t>
            </w:r>
          </w:p>
        </w:tc>
        <w:tc>
          <w:tcPr>
            <w:tcW w:w="1188" w:type="pct"/>
            <w:vAlign w:val="center"/>
          </w:tcPr>
          <w:p w14:paraId="56DA3EF5" w14:textId="77777777" w:rsidR="002B73FE" w:rsidRDefault="00B219F8" w:rsidP="00B219F8">
            <w:pPr>
              <w:adjustRightInd w:val="0"/>
              <w:snapToGrid w:val="0"/>
              <w:rPr>
                <w:rFonts w:ascii="Calibri"/>
                <w:color w:val="auto"/>
                <w:szCs w:val="21"/>
              </w:rPr>
            </w:pPr>
            <w:r>
              <w:rPr>
                <w:rFonts w:ascii="Calibri" w:hint="eastAsia"/>
                <w:color w:val="auto"/>
                <w:szCs w:val="21"/>
              </w:rPr>
              <w:lastRenderedPageBreak/>
              <w:t>1</w:t>
            </w:r>
            <w:r>
              <w:rPr>
                <w:rFonts w:ascii="Calibri" w:hint="eastAsia"/>
                <w:color w:val="auto"/>
                <w:szCs w:val="21"/>
              </w:rPr>
              <w:t>、不涉及；</w:t>
            </w:r>
          </w:p>
          <w:p w14:paraId="0DAE2293" w14:textId="77777777" w:rsidR="00F7129B" w:rsidRDefault="00B219F8" w:rsidP="00B219F8">
            <w:pPr>
              <w:adjustRightInd w:val="0"/>
              <w:snapToGrid w:val="0"/>
              <w:rPr>
                <w:rFonts w:ascii="Calibri"/>
                <w:color w:val="auto"/>
                <w:szCs w:val="21"/>
              </w:rPr>
            </w:pPr>
            <w:r>
              <w:rPr>
                <w:rFonts w:ascii="Calibri" w:hint="eastAsia"/>
                <w:color w:val="auto"/>
                <w:szCs w:val="21"/>
              </w:rPr>
              <w:t>2</w:t>
            </w:r>
            <w:r>
              <w:rPr>
                <w:rFonts w:ascii="Calibri" w:hint="eastAsia"/>
                <w:color w:val="auto"/>
                <w:szCs w:val="21"/>
              </w:rPr>
              <w:t>、</w:t>
            </w:r>
            <w:r w:rsidR="00F7129B" w:rsidRPr="00F7129B">
              <w:rPr>
                <w:rFonts w:ascii="Calibri" w:hint="eastAsia"/>
                <w:color w:val="auto"/>
                <w:szCs w:val="21"/>
              </w:rPr>
              <w:t>本项目符合国家产业政策，已通过平顶山尼龙新材料产业集聚区管理委员会备案。</w:t>
            </w:r>
          </w:p>
          <w:p w14:paraId="6C7109DC" w14:textId="77777777" w:rsidR="00B219F8" w:rsidRDefault="00B219F8" w:rsidP="00B219F8">
            <w:pPr>
              <w:adjustRightInd w:val="0"/>
              <w:snapToGrid w:val="0"/>
              <w:rPr>
                <w:rFonts w:ascii="Calibri"/>
                <w:color w:val="auto"/>
                <w:szCs w:val="21"/>
              </w:rPr>
            </w:pPr>
            <w:r>
              <w:rPr>
                <w:rFonts w:ascii="Calibri" w:hint="eastAsia"/>
                <w:color w:val="auto"/>
                <w:szCs w:val="21"/>
              </w:rPr>
              <w:t>3</w:t>
            </w:r>
            <w:r>
              <w:rPr>
                <w:rFonts w:ascii="Calibri" w:hint="eastAsia"/>
                <w:color w:val="auto"/>
                <w:szCs w:val="21"/>
              </w:rPr>
              <w:t>、不涉及；</w:t>
            </w:r>
          </w:p>
          <w:p w14:paraId="4794406C" w14:textId="77777777" w:rsidR="00B219F8" w:rsidRPr="00B219F8" w:rsidRDefault="00B219F8" w:rsidP="00B219F8">
            <w:pPr>
              <w:adjustRightInd w:val="0"/>
              <w:snapToGrid w:val="0"/>
              <w:rPr>
                <w:rFonts w:ascii="Calibri"/>
                <w:color w:val="auto"/>
                <w:szCs w:val="21"/>
              </w:rPr>
            </w:pPr>
            <w:r>
              <w:rPr>
                <w:rFonts w:ascii="Calibri" w:hint="eastAsia"/>
                <w:color w:val="auto"/>
                <w:szCs w:val="21"/>
              </w:rPr>
              <w:t>4</w:t>
            </w:r>
            <w:r>
              <w:rPr>
                <w:rFonts w:ascii="Calibri" w:hint="eastAsia"/>
                <w:color w:val="auto"/>
                <w:szCs w:val="21"/>
              </w:rPr>
              <w:t>、</w:t>
            </w:r>
            <w:r w:rsidR="00F7129B" w:rsidRPr="00C900E9">
              <w:rPr>
                <w:rFonts w:ascii="Calibri" w:hint="eastAsia"/>
                <w:color w:val="auto"/>
                <w:szCs w:val="21"/>
              </w:rPr>
              <w:t>本项目年综合能耗（等价量）小于</w:t>
            </w:r>
            <w:r w:rsidR="00F7129B" w:rsidRPr="00C900E9">
              <w:rPr>
                <w:rFonts w:ascii="Calibri" w:hint="eastAsia"/>
                <w:color w:val="auto"/>
                <w:szCs w:val="21"/>
              </w:rPr>
              <w:t>5</w:t>
            </w:r>
            <w:r w:rsidR="00F7129B" w:rsidRPr="00C900E9">
              <w:rPr>
                <w:rFonts w:ascii="Calibri" w:hint="eastAsia"/>
                <w:color w:val="auto"/>
                <w:szCs w:val="21"/>
              </w:rPr>
              <w:t>万吨，不属于“两高”项目</w:t>
            </w:r>
            <w:r w:rsidR="00F7129B">
              <w:rPr>
                <w:rFonts w:ascii="Calibri" w:hint="eastAsia"/>
                <w:color w:val="auto"/>
                <w:szCs w:val="21"/>
              </w:rPr>
              <w:t>。</w:t>
            </w:r>
          </w:p>
        </w:tc>
        <w:tc>
          <w:tcPr>
            <w:tcW w:w="408" w:type="pct"/>
            <w:vAlign w:val="center"/>
          </w:tcPr>
          <w:p w14:paraId="1D7840AF" w14:textId="77777777" w:rsidR="002B73FE" w:rsidRPr="00B219F8" w:rsidRDefault="00B219F8" w:rsidP="00E077A5">
            <w:pPr>
              <w:adjustRightInd w:val="0"/>
              <w:snapToGrid w:val="0"/>
              <w:jc w:val="center"/>
              <w:rPr>
                <w:rFonts w:ascii="Calibri"/>
                <w:color w:val="auto"/>
                <w:szCs w:val="21"/>
              </w:rPr>
            </w:pPr>
            <w:r>
              <w:rPr>
                <w:rFonts w:ascii="Calibri" w:hint="eastAsia"/>
                <w:color w:val="auto"/>
                <w:szCs w:val="21"/>
              </w:rPr>
              <w:t>符合</w:t>
            </w:r>
          </w:p>
        </w:tc>
      </w:tr>
      <w:tr w:rsidR="00442A89" w:rsidRPr="00A964FF" w14:paraId="6AFF1706" w14:textId="77777777" w:rsidTr="00AA6FA0">
        <w:trPr>
          <w:trHeight w:val="4322"/>
          <w:jc w:val="center"/>
        </w:trPr>
        <w:tc>
          <w:tcPr>
            <w:tcW w:w="395" w:type="pct"/>
            <w:vAlign w:val="center"/>
          </w:tcPr>
          <w:p w14:paraId="6C97A009" w14:textId="77777777" w:rsidR="00AA6FA0" w:rsidRPr="00AA6FA0" w:rsidRDefault="00AA6FA0" w:rsidP="00AA6FA0">
            <w:pPr>
              <w:adjustRightInd w:val="0"/>
              <w:snapToGrid w:val="0"/>
              <w:jc w:val="center"/>
              <w:rPr>
                <w:rFonts w:ascii="Calibri"/>
                <w:color w:val="auto"/>
                <w:szCs w:val="21"/>
              </w:rPr>
            </w:pPr>
            <w:r w:rsidRPr="00AA6FA0">
              <w:rPr>
                <w:rFonts w:ascii="Calibri" w:hint="eastAsia"/>
                <w:color w:val="auto"/>
                <w:szCs w:val="21"/>
              </w:rPr>
              <w:t>产业集聚区</w:t>
            </w:r>
          </w:p>
          <w:p w14:paraId="0FE36A44" w14:textId="77777777" w:rsidR="00442A89" w:rsidRPr="00A964FF" w:rsidRDefault="00AA6FA0" w:rsidP="00AA6FA0">
            <w:pPr>
              <w:adjustRightInd w:val="0"/>
              <w:snapToGrid w:val="0"/>
              <w:jc w:val="center"/>
              <w:rPr>
                <w:rFonts w:ascii="Calibri" w:hAnsi="Calibri"/>
                <w:color w:val="auto"/>
                <w:szCs w:val="21"/>
              </w:rPr>
            </w:pPr>
            <w:r w:rsidRPr="00AA6FA0">
              <w:rPr>
                <w:rFonts w:ascii="Calibri" w:hint="eastAsia"/>
                <w:color w:val="auto"/>
                <w:szCs w:val="21"/>
              </w:rPr>
              <w:t>（园区）</w:t>
            </w:r>
          </w:p>
        </w:tc>
        <w:tc>
          <w:tcPr>
            <w:tcW w:w="3009" w:type="pct"/>
            <w:vAlign w:val="center"/>
          </w:tcPr>
          <w:p w14:paraId="227062E2" w14:textId="77777777" w:rsidR="00AA6FA0" w:rsidRPr="00AA6FA0" w:rsidRDefault="002B73FE" w:rsidP="00AA6FA0">
            <w:pPr>
              <w:adjustRightInd w:val="0"/>
              <w:snapToGrid w:val="0"/>
              <w:rPr>
                <w:rFonts w:ascii="Calibri" w:hAnsi="Calibri"/>
                <w:color w:val="auto"/>
                <w:szCs w:val="21"/>
              </w:rPr>
            </w:pPr>
            <w:r>
              <w:rPr>
                <w:rFonts w:ascii="Calibri" w:hAnsi="Calibri" w:hint="eastAsia"/>
                <w:color w:val="auto"/>
                <w:szCs w:val="21"/>
              </w:rPr>
              <w:t>5</w:t>
            </w:r>
            <w:r w:rsidR="00AA6FA0">
              <w:rPr>
                <w:rFonts w:ascii="Calibri" w:hAnsi="Calibri" w:hint="eastAsia"/>
                <w:color w:val="auto"/>
                <w:szCs w:val="21"/>
              </w:rPr>
              <w:t>.</w:t>
            </w:r>
            <w:r w:rsidR="00AA6FA0" w:rsidRPr="00AA6FA0">
              <w:rPr>
                <w:rFonts w:ascii="Calibri" w:hAnsi="Calibri" w:hint="eastAsia"/>
                <w:color w:val="auto"/>
                <w:szCs w:val="21"/>
              </w:rPr>
              <w:t>限制发展并逐步退出高耗能、高污染、低附加值的一般制造业，打造引领性强的高新产业集群或与城市功能相协调的产业集群。</w:t>
            </w:r>
          </w:p>
          <w:p w14:paraId="4C8E4A13" w14:textId="77777777" w:rsidR="00AA6FA0" w:rsidRPr="00AA6FA0" w:rsidRDefault="002B73FE" w:rsidP="00AA6FA0">
            <w:pPr>
              <w:adjustRightInd w:val="0"/>
              <w:snapToGrid w:val="0"/>
              <w:rPr>
                <w:rFonts w:ascii="Calibri" w:hAnsi="Calibri"/>
                <w:color w:val="auto"/>
                <w:szCs w:val="21"/>
              </w:rPr>
            </w:pPr>
            <w:r>
              <w:rPr>
                <w:rFonts w:ascii="Calibri" w:hAnsi="Calibri" w:hint="eastAsia"/>
                <w:color w:val="auto"/>
                <w:szCs w:val="21"/>
              </w:rPr>
              <w:t>6.</w:t>
            </w:r>
            <w:r w:rsidR="00AA6FA0" w:rsidRPr="00AA6FA0">
              <w:rPr>
                <w:rFonts w:ascii="Calibri" w:hAnsi="Calibri" w:hint="eastAsia"/>
                <w:color w:val="auto"/>
                <w:szCs w:val="21"/>
              </w:rPr>
              <w:t>加快完善产业集聚区（园区）集中供热、污水集中处理等管网和垃圾收储运体系，推进环保治理、喷涂、印染、电镀等设施集中布局和共享，促进企业间资源循环链接和综合利用。</w:t>
            </w:r>
          </w:p>
          <w:p w14:paraId="09BC89CE" w14:textId="77777777" w:rsidR="00442A89" w:rsidRPr="00A964FF" w:rsidRDefault="002B73FE" w:rsidP="00AA6FA0">
            <w:pPr>
              <w:adjustRightInd w:val="0"/>
              <w:snapToGrid w:val="0"/>
              <w:rPr>
                <w:rFonts w:ascii="Calibri" w:hAnsi="Calibri"/>
                <w:color w:val="auto"/>
                <w:szCs w:val="21"/>
              </w:rPr>
            </w:pPr>
            <w:r>
              <w:rPr>
                <w:rFonts w:ascii="Calibri" w:hAnsi="Calibri" w:hint="eastAsia"/>
                <w:color w:val="auto"/>
                <w:szCs w:val="21"/>
              </w:rPr>
              <w:t>7.</w:t>
            </w:r>
            <w:r w:rsidR="00AA6FA0">
              <w:rPr>
                <w:rFonts w:ascii="Calibri" w:hAnsi="Calibri" w:hint="eastAsia"/>
                <w:color w:val="auto"/>
                <w:szCs w:val="21"/>
              </w:rPr>
              <w:t>.</w:t>
            </w:r>
            <w:r w:rsidR="00AA6FA0" w:rsidRPr="00AA6FA0">
              <w:rPr>
                <w:rFonts w:ascii="Calibri" w:hAnsi="Calibri" w:hint="eastAsia"/>
                <w:color w:val="auto"/>
                <w:szCs w:val="21"/>
              </w:rPr>
              <w:t>禁止新增化工园区，园区外新建化工企业一律不批，对园区内环境基础设施不完善或长期不能稳定运行的企业一律不批新改扩建化工项目；整治提升以化工为主导产业的产业集聚区（园区），对达不到安全和安全防护距离要求或存在重大安全隐患的，依法限期整改或予以关闭；大幅提升化工园区废水、废气、危险废物收集处置能力和园区清洁能源供应以及环境监测监控能力等标准。</w:t>
            </w:r>
          </w:p>
        </w:tc>
        <w:tc>
          <w:tcPr>
            <w:tcW w:w="1188" w:type="pct"/>
            <w:vAlign w:val="center"/>
          </w:tcPr>
          <w:p w14:paraId="20FF6194" w14:textId="77777777" w:rsidR="00442A89" w:rsidRDefault="00B219F8" w:rsidP="00442A89">
            <w:pPr>
              <w:adjustRightInd w:val="0"/>
              <w:snapToGrid w:val="0"/>
              <w:rPr>
                <w:rFonts w:ascii="Calibri"/>
                <w:color w:val="auto"/>
                <w:szCs w:val="21"/>
              </w:rPr>
            </w:pPr>
            <w:r>
              <w:rPr>
                <w:rFonts w:ascii="Calibri" w:hint="eastAsia"/>
                <w:color w:val="auto"/>
                <w:szCs w:val="21"/>
              </w:rPr>
              <w:t>5</w:t>
            </w:r>
            <w:r>
              <w:rPr>
                <w:rFonts w:ascii="Calibri" w:hint="eastAsia"/>
                <w:color w:val="auto"/>
                <w:szCs w:val="21"/>
              </w:rPr>
              <w:t>、本项目</w:t>
            </w:r>
            <w:r w:rsidR="00A412FB" w:rsidRPr="00A412FB">
              <w:rPr>
                <w:rFonts w:ascii="Calibri" w:hint="eastAsia"/>
                <w:bCs/>
                <w:color w:val="auto"/>
                <w:szCs w:val="21"/>
              </w:rPr>
              <w:t>属于高附加值化工产品</w:t>
            </w:r>
            <w:r w:rsidR="00A412FB">
              <w:rPr>
                <w:rFonts w:ascii="Calibri" w:hint="eastAsia"/>
                <w:bCs/>
                <w:color w:val="auto"/>
                <w:szCs w:val="21"/>
              </w:rPr>
              <w:t>，</w:t>
            </w:r>
            <w:r>
              <w:rPr>
                <w:rFonts w:ascii="Calibri" w:hint="eastAsia"/>
                <w:color w:val="auto"/>
                <w:szCs w:val="21"/>
              </w:rPr>
              <w:t>不属于高耗能、高污染、低附加值项目；</w:t>
            </w:r>
          </w:p>
          <w:p w14:paraId="004F3805" w14:textId="18BB0F78" w:rsidR="00B219F8" w:rsidRDefault="00B219F8" w:rsidP="00442A89">
            <w:pPr>
              <w:adjustRightInd w:val="0"/>
              <w:snapToGrid w:val="0"/>
              <w:rPr>
                <w:rFonts w:ascii="Calibri"/>
                <w:color w:val="auto"/>
                <w:szCs w:val="21"/>
              </w:rPr>
            </w:pPr>
            <w:r>
              <w:rPr>
                <w:rFonts w:ascii="Calibri" w:hint="eastAsia"/>
                <w:color w:val="auto"/>
                <w:szCs w:val="21"/>
              </w:rPr>
              <w:t>6</w:t>
            </w:r>
            <w:r>
              <w:rPr>
                <w:rFonts w:ascii="Calibri" w:hint="eastAsia"/>
                <w:color w:val="auto"/>
                <w:szCs w:val="21"/>
              </w:rPr>
              <w:t>、本项目所在集聚区供热及污水处理等</w:t>
            </w:r>
            <w:r w:rsidR="00392F43">
              <w:rPr>
                <w:rFonts w:ascii="Calibri" w:hint="eastAsia"/>
                <w:color w:val="auto"/>
                <w:szCs w:val="21"/>
              </w:rPr>
              <w:t>管网</w:t>
            </w:r>
            <w:r>
              <w:rPr>
                <w:rFonts w:ascii="Calibri" w:hint="eastAsia"/>
                <w:color w:val="auto"/>
                <w:szCs w:val="21"/>
              </w:rPr>
              <w:t>及垃圾收储体系比较完善。</w:t>
            </w:r>
          </w:p>
          <w:p w14:paraId="7A24D5B4" w14:textId="77777777" w:rsidR="00B219F8" w:rsidRPr="00B219F8" w:rsidRDefault="00B219F8" w:rsidP="00F7129B">
            <w:pPr>
              <w:adjustRightInd w:val="0"/>
              <w:snapToGrid w:val="0"/>
              <w:rPr>
                <w:rFonts w:ascii="Calibri"/>
                <w:color w:val="auto"/>
                <w:szCs w:val="21"/>
              </w:rPr>
            </w:pPr>
            <w:r>
              <w:rPr>
                <w:rFonts w:ascii="Calibri" w:hint="eastAsia"/>
                <w:color w:val="auto"/>
                <w:szCs w:val="21"/>
              </w:rPr>
              <w:t>7</w:t>
            </w:r>
            <w:r>
              <w:rPr>
                <w:rFonts w:ascii="Calibri" w:hint="eastAsia"/>
                <w:color w:val="auto"/>
                <w:szCs w:val="21"/>
              </w:rPr>
              <w:t>、</w:t>
            </w:r>
            <w:r w:rsidR="00F7129B">
              <w:rPr>
                <w:rFonts w:ascii="Calibri" w:hint="eastAsia"/>
                <w:color w:val="auto"/>
                <w:szCs w:val="21"/>
              </w:rPr>
              <w:t>本项目为化工</w:t>
            </w:r>
            <w:r w:rsidR="00F7129B">
              <w:rPr>
                <w:rFonts w:ascii="Calibri"/>
                <w:color w:val="auto"/>
                <w:szCs w:val="21"/>
              </w:rPr>
              <w:t>项目，选址位于</w:t>
            </w:r>
            <w:r w:rsidR="00F7129B" w:rsidRPr="00C900E9">
              <w:rPr>
                <w:rFonts w:ascii="Calibri" w:hint="eastAsia"/>
                <w:color w:val="auto"/>
                <w:szCs w:val="21"/>
              </w:rPr>
              <w:t>平顶山尼龙新材料产业集聚区</w:t>
            </w:r>
            <w:r w:rsidR="00F7129B">
              <w:rPr>
                <w:rFonts w:ascii="Calibri" w:hint="eastAsia"/>
                <w:color w:val="auto"/>
                <w:szCs w:val="21"/>
              </w:rPr>
              <w:t>，</w:t>
            </w:r>
            <w:r w:rsidR="00F7129B">
              <w:rPr>
                <w:rFonts w:ascii="Calibri"/>
                <w:color w:val="auto"/>
                <w:szCs w:val="21"/>
              </w:rPr>
              <w:t>园区内基础设施相对比较完善</w:t>
            </w:r>
            <w:r w:rsidR="00F7129B">
              <w:rPr>
                <w:rFonts w:ascii="Calibri" w:hint="eastAsia"/>
                <w:color w:val="auto"/>
                <w:szCs w:val="21"/>
              </w:rPr>
              <w:t>，集聚区主导</w:t>
            </w:r>
            <w:r w:rsidR="00F7129B">
              <w:rPr>
                <w:rFonts w:ascii="Calibri"/>
                <w:color w:val="auto"/>
                <w:szCs w:val="21"/>
              </w:rPr>
              <w:t>产业</w:t>
            </w:r>
            <w:r w:rsidR="00F7129B">
              <w:rPr>
                <w:rFonts w:ascii="Calibri" w:hint="eastAsia"/>
                <w:color w:val="auto"/>
                <w:szCs w:val="21"/>
              </w:rPr>
              <w:t>为</w:t>
            </w:r>
            <w:r w:rsidR="00F7129B" w:rsidRPr="00A54547">
              <w:rPr>
                <w:rFonts w:ascii="Calibri" w:hint="eastAsia"/>
                <w:color w:val="auto"/>
                <w:szCs w:val="21"/>
              </w:rPr>
              <w:t>化工、医药、尼龙新材料</w:t>
            </w:r>
            <w:r w:rsidR="00F7129B">
              <w:rPr>
                <w:rFonts w:ascii="Calibri" w:hint="eastAsia"/>
                <w:color w:val="auto"/>
                <w:szCs w:val="21"/>
              </w:rPr>
              <w:t>，</w:t>
            </w:r>
            <w:r w:rsidR="00F7129B">
              <w:rPr>
                <w:rFonts w:ascii="Calibri"/>
                <w:color w:val="auto"/>
                <w:szCs w:val="21"/>
              </w:rPr>
              <w:t>本项目</w:t>
            </w:r>
            <w:r w:rsidR="00F7129B">
              <w:rPr>
                <w:rFonts w:ascii="Calibri" w:hint="eastAsia"/>
                <w:color w:val="auto"/>
                <w:szCs w:val="21"/>
              </w:rPr>
              <w:t>为化工</w:t>
            </w:r>
            <w:r w:rsidR="00F7129B">
              <w:rPr>
                <w:rFonts w:ascii="Calibri"/>
                <w:color w:val="auto"/>
                <w:szCs w:val="21"/>
              </w:rPr>
              <w:t>项目，符合集聚区</w:t>
            </w:r>
            <w:r w:rsidR="00F7129B">
              <w:rPr>
                <w:rFonts w:ascii="Calibri" w:hint="eastAsia"/>
                <w:color w:val="auto"/>
                <w:szCs w:val="21"/>
              </w:rPr>
              <w:t>主导产业</w:t>
            </w:r>
            <w:r w:rsidR="00F7129B">
              <w:rPr>
                <w:rFonts w:ascii="Calibri"/>
                <w:color w:val="auto"/>
                <w:szCs w:val="21"/>
              </w:rPr>
              <w:t>。</w:t>
            </w:r>
          </w:p>
        </w:tc>
        <w:tc>
          <w:tcPr>
            <w:tcW w:w="408" w:type="pct"/>
            <w:vAlign w:val="center"/>
          </w:tcPr>
          <w:p w14:paraId="72275BF1"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r w:rsidR="00AA6FA0" w:rsidRPr="00A964FF" w14:paraId="64E78799" w14:textId="77777777" w:rsidTr="00AA6FA0">
        <w:trPr>
          <w:trHeight w:val="2978"/>
          <w:jc w:val="center"/>
        </w:trPr>
        <w:tc>
          <w:tcPr>
            <w:tcW w:w="395" w:type="pct"/>
            <w:vAlign w:val="center"/>
          </w:tcPr>
          <w:p w14:paraId="57231F5D" w14:textId="77777777" w:rsidR="00AA6FA0" w:rsidRPr="00AA6FA0" w:rsidRDefault="00AA6FA0" w:rsidP="00AA6FA0">
            <w:pPr>
              <w:adjustRightInd w:val="0"/>
              <w:snapToGrid w:val="0"/>
              <w:jc w:val="center"/>
              <w:rPr>
                <w:rFonts w:ascii="Calibri"/>
                <w:color w:val="auto"/>
                <w:szCs w:val="21"/>
              </w:rPr>
            </w:pPr>
            <w:r w:rsidRPr="00AA6FA0">
              <w:rPr>
                <w:rFonts w:ascii="Calibri" w:hint="eastAsia"/>
                <w:color w:val="auto"/>
                <w:szCs w:val="21"/>
              </w:rPr>
              <w:t>化工</w:t>
            </w:r>
          </w:p>
        </w:tc>
        <w:tc>
          <w:tcPr>
            <w:tcW w:w="3009" w:type="pct"/>
            <w:vAlign w:val="center"/>
          </w:tcPr>
          <w:p w14:paraId="7977190F" w14:textId="77777777" w:rsidR="00AA6FA0" w:rsidRPr="00AA6FA0" w:rsidRDefault="00AA6FA0" w:rsidP="00AA6FA0">
            <w:pPr>
              <w:adjustRightInd w:val="0"/>
              <w:snapToGrid w:val="0"/>
              <w:rPr>
                <w:rFonts w:ascii="Calibri" w:hAnsi="Calibri"/>
                <w:color w:val="auto"/>
                <w:szCs w:val="21"/>
              </w:rPr>
            </w:pPr>
            <w:r>
              <w:rPr>
                <w:rFonts w:ascii="Calibri" w:hAnsi="Calibri" w:hint="eastAsia"/>
                <w:color w:val="auto"/>
                <w:szCs w:val="21"/>
              </w:rPr>
              <w:t>1</w:t>
            </w:r>
            <w:r w:rsidR="002B73FE">
              <w:rPr>
                <w:rFonts w:ascii="Calibri" w:hAnsi="Calibri" w:hint="eastAsia"/>
                <w:color w:val="auto"/>
                <w:szCs w:val="21"/>
              </w:rPr>
              <w:t>7</w:t>
            </w:r>
            <w:r>
              <w:rPr>
                <w:rFonts w:ascii="Calibri" w:hAnsi="Calibri" w:hint="eastAsia"/>
                <w:color w:val="auto"/>
                <w:szCs w:val="21"/>
              </w:rPr>
              <w:t>.</w:t>
            </w:r>
            <w:r w:rsidRPr="00AA6FA0">
              <w:rPr>
                <w:rFonts w:ascii="Calibri" w:hAnsi="Calibri" w:hint="eastAsia"/>
                <w:color w:val="auto"/>
                <w:szCs w:val="21"/>
              </w:rPr>
              <w:t>化工园区外危险化学品生产企业不得进行改扩建（涉及环保、安全、节能技术改造项目除外）；原则上不再核准（备案）一次性固定资产投资额低于</w:t>
            </w:r>
            <w:r w:rsidRPr="00AA6FA0">
              <w:rPr>
                <w:rFonts w:ascii="Calibri" w:hAnsi="Calibri" w:hint="eastAsia"/>
                <w:color w:val="auto"/>
                <w:szCs w:val="21"/>
              </w:rPr>
              <w:t xml:space="preserve"> 3 </w:t>
            </w:r>
            <w:r w:rsidRPr="00AA6FA0">
              <w:rPr>
                <w:rFonts w:ascii="Calibri" w:hAnsi="Calibri" w:hint="eastAsia"/>
                <w:color w:val="auto"/>
                <w:szCs w:val="21"/>
              </w:rPr>
              <w:t>亿元（不含土地费用）的危险化学品生产建设项目（符合国家《战略性新兴产业重点产品和服务指导目录》的项目，高新技术化工产业项目，涉及环保、安全、节能技术改造项目除外）。</w:t>
            </w:r>
          </w:p>
          <w:p w14:paraId="69095254" w14:textId="77777777" w:rsidR="00AA6FA0" w:rsidRDefault="002B73FE" w:rsidP="00AA6FA0">
            <w:pPr>
              <w:adjustRightInd w:val="0"/>
              <w:snapToGrid w:val="0"/>
              <w:rPr>
                <w:rFonts w:ascii="Calibri" w:hAnsi="Calibri"/>
                <w:color w:val="auto"/>
                <w:szCs w:val="21"/>
              </w:rPr>
            </w:pPr>
            <w:r>
              <w:rPr>
                <w:rFonts w:ascii="Calibri" w:hAnsi="Calibri" w:hint="eastAsia"/>
                <w:color w:val="auto"/>
                <w:szCs w:val="21"/>
              </w:rPr>
              <w:t>18</w:t>
            </w:r>
            <w:r w:rsidR="00AA6FA0">
              <w:rPr>
                <w:rFonts w:ascii="Calibri" w:hAnsi="Calibri" w:hint="eastAsia"/>
                <w:color w:val="auto"/>
                <w:szCs w:val="21"/>
              </w:rPr>
              <w:t>.</w:t>
            </w:r>
            <w:r w:rsidR="00AA6FA0" w:rsidRPr="00AA6FA0">
              <w:rPr>
                <w:rFonts w:ascii="Calibri" w:hAnsi="Calibri" w:hint="eastAsia"/>
                <w:color w:val="auto"/>
                <w:szCs w:val="21"/>
              </w:rPr>
              <w:t>新建化工项目必须进入以化工为主导产业的产业集聚区或化工专业园区；严格限制尿素、电石、烧碱、聚氯乙烯、纯碱、磷铵等过剩行业新增产能，对符合政策要求的先进工艺改造提升项目实行等量或减量置换。</w:t>
            </w:r>
          </w:p>
        </w:tc>
        <w:tc>
          <w:tcPr>
            <w:tcW w:w="1188" w:type="pct"/>
            <w:vAlign w:val="center"/>
          </w:tcPr>
          <w:p w14:paraId="25A8405A" w14:textId="77777777" w:rsidR="00AA6FA0" w:rsidRDefault="009F6C2F" w:rsidP="00E077A5">
            <w:pPr>
              <w:adjustRightInd w:val="0"/>
              <w:snapToGrid w:val="0"/>
              <w:rPr>
                <w:rFonts w:ascii="Calibri"/>
                <w:color w:val="auto"/>
                <w:szCs w:val="21"/>
              </w:rPr>
            </w:pPr>
            <w:r>
              <w:rPr>
                <w:rFonts w:ascii="Calibri" w:hint="eastAsia"/>
                <w:color w:val="auto"/>
                <w:szCs w:val="21"/>
              </w:rPr>
              <w:t>17</w:t>
            </w:r>
            <w:r>
              <w:rPr>
                <w:rFonts w:ascii="Calibri" w:hint="eastAsia"/>
                <w:color w:val="auto"/>
                <w:szCs w:val="21"/>
              </w:rPr>
              <w:t>、</w:t>
            </w:r>
            <w:r w:rsidR="00A412FB">
              <w:rPr>
                <w:rFonts w:ascii="Calibri" w:hint="eastAsia"/>
                <w:color w:val="auto"/>
                <w:szCs w:val="21"/>
              </w:rPr>
              <w:t>经查询《危险化学品名录》，本项目产品</w:t>
            </w:r>
            <w:r>
              <w:rPr>
                <w:rFonts w:ascii="Calibri" w:hint="eastAsia"/>
                <w:color w:val="auto"/>
                <w:szCs w:val="21"/>
              </w:rPr>
              <w:t>不属于危险化学品。</w:t>
            </w:r>
          </w:p>
          <w:p w14:paraId="42B97C62" w14:textId="77777777" w:rsidR="009F6C2F" w:rsidRPr="009F6C2F" w:rsidRDefault="009F6C2F" w:rsidP="00D37E78">
            <w:pPr>
              <w:adjustRightInd w:val="0"/>
              <w:snapToGrid w:val="0"/>
              <w:rPr>
                <w:rFonts w:ascii="Calibri"/>
                <w:color w:val="auto"/>
                <w:szCs w:val="21"/>
              </w:rPr>
            </w:pPr>
            <w:r>
              <w:rPr>
                <w:rFonts w:ascii="Calibri" w:hint="eastAsia"/>
                <w:color w:val="auto"/>
                <w:szCs w:val="21"/>
              </w:rPr>
              <w:t>18</w:t>
            </w:r>
            <w:r>
              <w:rPr>
                <w:rFonts w:ascii="Calibri" w:hint="eastAsia"/>
                <w:color w:val="auto"/>
                <w:szCs w:val="21"/>
              </w:rPr>
              <w:t>、</w:t>
            </w:r>
            <w:r w:rsidR="00F7129B" w:rsidRPr="00A54547">
              <w:rPr>
                <w:rFonts w:ascii="Calibri" w:hint="eastAsia"/>
                <w:color w:val="auto"/>
                <w:szCs w:val="21"/>
              </w:rPr>
              <w:t>本项目为化工项目，选址位于平顶山尼龙新材料产业集聚区</w:t>
            </w:r>
            <w:r w:rsidR="00F7129B">
              <w:rPr>
                <w:rFonts w:ascii="Calibri" w:hint="eastAsia"/>
                <w:color w:val="auto"/>
                <w:szCs w:val="21"/>
              </w:rPr>
              <w:t>，</w:t>
            </w:r>
            <w:r w:rsidR="00F7129B">
              <w:rPr>
                <w:rFonts w:ascii="Calibri"/>
                <w:color w:val="auto"/>
                <w:szCs w:val="21"/>
              </w:rPr>
              <w:t>集聚区</w:t>
            </w:r>
            <w:r w:rsidR="00F7129B">
              <w:rPr>
                <w:rFonts w:ascii="Calibri" w:hint="eastAsia"/>
                <w:color w:val="auto"/>
                <w:szCs w:val="21"/>
              </w:rPr>
              <w:t>主导</w:t>
            </w:r>
            <w:r w:rsidR="00F7129B">
              <w:rPr>
                <w:rFonts w:ascii="Calibri"/>
                <w:color w:val="auto"/>
                <w:szCs w:val="21"/>
              </w:rPr>
              <w:t>产业</w:t>
            </w:r>
            <w:r w:rsidR="00F7129B">
              <w:rPr>
                <w:rFonts w:ascii="Calibri" w:hint="eastAsia"/>
                <w:color w:val="auto"/>
                <w:szCs w:val="21"/>
              </w:rPr>
              <w:t>为</w:t>
            </w:r>
            <w:r w:rsidR="00F7129B" w:rsidRPr="00A54547">
              <w:rPr>
                <w:rFonts w:ascii="Calibri" w:hint="eastAsia"/>
                <w:color w:val="auto"/>
                <w:szCs w:val="21"/>
              </w:rPr>
              <w:t>化工、医药、尼龙新材料</w:t>
            </w:r>
            <w:r w:rsidR="00F7129B">
              <w:rPr>
                <w:rFonts w:ascii="Calibri" w:hint="eastAsia"/>
                <w:color w:val="auto"/>
                <w:szCs w:val="21"/>
              </w:rPr>
              <w:t>。</w:t>
            </w:r>
          </w:p>
        </w:tc>
        <w:tc>
          <w:tcPr>
            <w:tcW w:w="408" w:type="pct"/>
            <w:vAlign w:val="center"/>
          </w:tcPr>
          <w:p w14:paraId="60E5A493" w14:textId="77777777" w:rsidR="00AA6FA0" w:rsidRPr="00A964FF" w:rsidRDefault="00AA6FA0" w:rsidP="00872E5D">
            <w:pPr>
              <w:adjustRightInd w:val="0"/>
              <w:snapToGrid w:val="0"/>
              <w:jc w:val="center"/>
              <w:rPr>
                <w:rFonts w:ascii="Calibri" w:hAnsi="Calibri"/>
                <w:color w:val="auto"/>
                <w:szCs w:val="21"/>
              </w:rPr>
            </w:pPr>
            <w:r w:rsidRPr="00A964FF">
              <w:rPr>
                <w:rFonts w:ascii="Calibri"/>
                <w:color w:val="auto"/>
                <w:szCs w:val="21"/>
              </w:rPr>
              <w:t>符合</w:t>
            </w:r>
          </w:p>
        </w:tc>
      </w:tr>
    </w:tbl>
    <w:p w14:paraId="2149DD83" w14:textId="77777777" w:rsidR="00442A89" w:rsidRPr="00A964FF" w:rsidRDefault="00442A89" w:rsidP="002B73FE">
      <w:pPr>
        <w:autoSpaceDE w:val="0"/>
        <w:autoSpaceDN w:val="0"/>
        <w:spacing w:line="520" w:lineRule="exact"/>
        <w:ind w:firstLineChars="196" w:firstLine="472"/>
        <w:rPr>
          <w:rFonts w:ascii="Calibri" w:hAnsi="Calibri"/>
          <w:b/>
          <w:color w:val="auto"/>
          <w:kern w:val="0"/>
          <w:sz w:val="24"/>
        </w:rPr>
      </w:pPr>
      <w:r w:rsidRPr="00A964FF">
        <w:rPr>
          <w:rFonts w:ascii="Calibri" w:hint="eastAsia"/>
          <w:b/>
          <w:color w:val="auto"/>
          <w:kern w:val="0"/>
          <w:sz w:val="24"/>
        </w:rPr>
        <w:t>2</w:t>
      </w:r>
      <w:r w:rsidRPr="00A964FF">
        <w:rPr>
          <w:rFonts w:ascii="Calibri" w:hint="eastAsia"/>
          <w:b/>
          <w:color w:val="auto"/>
          <w:kern w:val="0"/>
          <w:sz w:val="24"/>
        </w:rPr>
        <w:t>、</w:t>
      </w:r>
      <w:r w:rsidRPr="00A964FF">
        <w:rPr>
          <w:rFonts w:ascii="Calibri"/>
          <w:b/>
          <w:color w:val="auto"/>
          <w:kern w:val="0"/>
          <w:sz w:val="24"/>
        </w:rPr>
        <w:t>河南省生态空间总体准入要求</w:t>
      </w:r>
    </w:p>
    <w:p w14:paraId="29C3B7C5" w14:textId="77777777" w:rsidR="00442A89" w:rsidRPr="00A964FF" w:rsidRDefault="00442A89" w:rsidP="00442A89">
      <w:pPr>
        <w:autoSpaceDE w:val="0"/>
        <w:autoSpaceDN w:val="0"/>
        <w:spacing w:line="520" w:lineRule="exact"/>
        <w:ind w:firstLineChars="200" w:firstLine="480"/>
        <w:rPr>
          <w:rFonts w:ascii="Calibri" w:hAnsi="Calibri"/>
          <w:color w:val="auto"/>
          <w:kern w:val="0"/>
          <w:sz w:val="24"/>
        </w:rPr>
      </w:pPr>
      <w:r w:rsidRPr="00A964FF">
        <w:rPr>
          <w:rFonts w:ascii="Calibri"/>
          <w:color w:val="auto"/>
          <w:kern w:val="0"/>
          <w:sz w:val="24"/>
        </w:rPr>
        <w:t>本项目选址位于</w:t>
      </w:r>
      <w:r w:rsidRPr="00A964FF">
        <w:rPr>
          <w:rFonts w:ascii="Calibri" w:hint="eastAsia"/>
          <w:color w:val="auto"/>
          <w:kern w:val="0"/>
          <w:sz w:val="24"/>
        </w:rPr>
        <w:t>平顶山尼龙新材料产业集聚区，</w:t>
      </w:r>
      <w:r w:rsidRPr="00A964FF">
        <w:rPr>
          <w:rFonts w:ascii="Calibri"/>
          <w:color w:val="auto"/>
          <w:kern w:val="0"/>
          <w:sz w:val="24"/>
        </w:rPr>
        <w:t>不涉及生态保护红线中的自然保护区、风景名胜区、饮用水水源保护区、水产种质资源保护区、森林公园、湿地公园、地质公园、生态公益林和其他，也不涉及一般生态空间中的水源涵养重要区、水土保持重要区、生物多样性维护重要区、饮用水水源保护区、生态公益林和湿地。</w:t>
      </w:r>
    </w:p>
    <w:p w14:paraId="546DB77D" w14:textId="77777777" w:rsidR="00F723F1" w:rsidRPr="00A652C0" w:rsidRDefault="00442A89" w:rsidP="00A652C0">
      <w:pPr>
        <w:autoSpaceDE w:val="0"/>
        <w:autoSpaceDN w:val="0"/>
        <w:spacing w:line="520" w:lineRule="exact"/>
        <w:ind w:firstLineChars="200" w:firstLine="482"/>
        <w:rPr>
          <w:rFonts w:ascii="Calibri"/>
          <w:b/>
          <w:color w:val="auto"/>
          <w:kern w:val="0"/>
          <w:sz w:val="24"/>
        </w:rPr>
      </w:pPr>
      <w:r w:rsidRPr="00A964FF">
        <w:rPr>
          <w:rFonts w:ascii="Calibri" w:hint="eastAsia"/>
          <w:b/>
          <w:color w:val="auto"/>
          <w:kern w:val="0"/>
          <w:sz w:val="24"/>
        </w:rPr>
        <w:t>3</w:t>
      </w:r>
      <w:r w:rsidRPr="00A964FF">
        <w:rPr>
          <w:rFonts w:ascii="Calibri" w:hint="eastAsia"/>
          <w:b/>
          <w:color w:val="auto"/>
          <w:kern w:val="0"/>
          <w:sz w:val="24"/>
        </w:rPr>
        <w:t>、</w:t>
      </w:r>
      <w:r w:rsidRPr="00A964FF">
        <w:rPr>
          <w:rFonts w:ascii="Calibri"/>
          <w:b/>
          <w:color w:val="auto"/>
          <w:kern w:val="0"/>
          <w:sz w:val="24"/>
        </w:rPr>
        <w:t>河南省大气生态环境总体准入要求</w:t>
      </w:r>
    </w:p>
    <w:p w14:paraId="56A04682" w14:textId="77777777" w:rsidR="00540DBA" w:rsidRDefault="00540DBA" w:rsidP="00442A89">
      <w:pPr>
        <w:spacing w:line="520" w:lineRule="exact"/>
        <w:ind w:firstLineChars="200" w:firstLine="480"/>
        <w:rPr>
          <w:rFonts w:ascii="Calibri" w:eastAsia="黑体"/>
          <w:color w:val="auto"/>
          <w:sz w:val="24"/>
        </w:rPr>
      </w:pPr>
    </w:p>
    <w:p w14:paraId="111BEE3A" w14:textId="6E9B1BED" w:rsidR="00540DBA" w:rsidRDefault="00540DBA" w:rsidP="00442A89">
      <w:pPr>
        <w:spacing w:line="520" w:lineRule="exact"/>
        <w:ind w:firstLineChars="200" w:firstLine="480"/>
        <w:rPr>
          <w:rFonts w:ascii="Calibri" w:eastAsia="黑体"/>
          <w:color w:val="auto"/>
          <w:sz w:val="24"/>
        </w:rPr>
      </w:pPr>
    </w:p>
    <w:p w14:paraId="4F8B4DC1" w14:textId="77777777" w:rsidR="00217891" w:rsidRDefault="00217891" w:rsidP="00442A89">
      <w:pPr>
        <w:spacing w:line="520" w:lineRule="exact"/>
        <w:ind w:firstLineChars="200" w:firstLine="480"/>
        <w:rPr>
          <w:rFonts w:ascii="Calibri" w:eastAsia="黑体" w:hint="eastAsia"/>
          <w:color w:val="auto"/>
          <w:sz w:val="24"/>
        </w:rPr>
      </w:pPr>
    </w:p>
    <w:p w14:paraId="102515B9" w14:textId="48EEED8C" w:rsidR="00442A89" w:rsidRPr="00A964FF" w:rsidRDefault="00442A89" w:rsidP="00442A89">
      <w:pPr>
        <w:spacing w:line="520" w:lineRule="exact"/>
        <w:ind w:firstLineChars="200" w:firstLine="480"/>
        <w:rPr>
          <w:rFonts w:ascii="Calibri" w:eastAsia="黑体" w:hAnsi="Calibri"/>
          <w:color w:val="auto"/>
          <w:sz w:val="24"/>
        </w:rPr>
      </w:pPr>
      <w:r w:rsidRPr="00A964FF">
        <w:rPr>
          <w:rFonts w:ascii="Calibri" w:eastAsia="黑体"/>
          <w:color w:val="auto"/>
          <w:sz w:val="24"/>
        </w:rPr>
        <w:lastRenderedPageBreak/>
        <w:t>表</w:t>
      </w:r>
      <w:r w:rsidR="0061483B">
        <w:rPr>
          <w:rFonts w:ascii="Calibri" w:eastAsia="黑体" w:hAnsi="Calibri" w:hint="eastAsia"/>
          <w:color w:val="auto"/>
          <w:sz w:val="24"/>
        </w:rPr>
        <w:t>1.8-</w:t>
      </w:r>
      <w:r w:rsidRPr="00A964FF">
        <w:rPr>
          <w:rFonts w:ascii="Calibri" w:eastAsia="黑体" w:hAnsi="Calibri" w:hint="eastAsia"/>
          <w:color w:val="auto"/>
          <w:sz w:val="24"/>
        </w:rPr>
        <w:t>3</w:t>
      </w:r>
      <w:r w:rsidRPr="00A964FF">
        <w:rPr>
          <w:rFonts w:ascii="Calibri" w:eastAsia="黑体" w:hAnsi="Calibri"/>
          <w:color w:val="auto"/>
          <w:sz w:val="24"/>
        </w:rPr>
        <w:t xml:space="preserve">               </w:t>
      </w:r>
      <w:r w:rsidRPr="00A964FF">
        <w:rPr>
          <w:rFonts w:ascii="Calibri" w:eastAsia="黑体"/>
          <w:color w:val="auto"/>
          <w:sz w:val="24"/>
        </w:rPr>
        <w:t>河南省大气生态环境总体准入要求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01"/>
        <w:gridCol w:w="5406"/>
        <w:gridCol w:w="1735"/>
        <w:gridCol w:w="858"/>
      </w:tblGrid>
      <w:tr w:rsidR="00442A89" w:rsidRPr="00A964FF" w14:paraId="54D0E85B" w14:textId="77777777" w:rsidTr="00E077A5">
        <w:trPr>
          <w:trHeight w:val="547"/>
          <w:jc w:val="center"/>
        </w:trPr>
        <w:tc>
          <w:tcPr>
            <w:tcW w:w="403" w:type="pct"/>
            <w:vAlign w:val="center"/>
          </w:tcPr>
          <w:p w14:paraId="79BF0F7A"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管控维度</w:t>
            </w:r>
          </w:p>
        </w:tc>
        <w:tc>
          <w:tcPr>
            <w:tcW w:w="3107" w:type="pct"/>
            <w:vAlign w:val="center"/>
          </w:tcPr>
          <w:p w14:paraId="31C1C125"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准入要求</w:t>
            </w:r>
          </w:p>
        </w:tc>
        <w:tc>
          <w:tcPr>
            <w:tcW w:w="997" w:type="pct"/>
            <w:vAlign w:val="center"/>
          </w:tcPr>
          <w:p w14:paraId="711B6BCD"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本项目</w:t>
            </w:r>
          </w:p>
        </w:tc>
        <w:tc>
          <w:tcPr>
            <w:tcW w:w="493" w:type="pct"/>
            <w:vAlign w:val="center"/>
          </w:tcPr>
          <w:p w14:paraId="44037CA0"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符合性</w:t>
            </w:r>
          </w:p>
        </w:tc>
      </w:tr>
      <w:tr w:rsidR="00442A89" w:rsidRPr="00A964FF" w14:paraId="2C2F244C" w14:textId="77777777" w:rsidTr="00E077A5">
        <w:trPr>
          <w:trHeight w:val="4014"/>
          <w:jc w:val="center"/>
        </w:trPr>
        <w:tc>
          <w:tcPr>
            <w:tcW w:w="403" w:type="pct"/>
            <w:vAlign w:val="center"/>
          </w:tcPr>
          <w:p w14:paraId="6D6EC9EA"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空间布局约束</w:t>
            </w:r>
          </w:p>
        </w:tc>
        <w:tc>
          <w:tcPr>
            <w:tcW w:w="3107" w:type="pct"/>
            <w:vAlign w:val="center"/>
          </w:tcPr>
          <w:p w14:paraId="4E451490"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w:t>
            </w:r>
            <w:r w:rsidRPr="00A964FF">
              <w:rPr>
                <w:rFonts w:ascii="Calibri"/>
                <w:color w:val="auto"/>
                <w:szCs w:val="21"/>
              </w:rPr>
              <w:t>集中供暖区禁止新改扩分散燃煤供热锅炉，已建成的不能达标排放的燃煤供热锅炉，应当期限内拆除；在保证电力、热力、天然气供应前提下，加快推进热电联产机组供热半径</w:t>
            </w:r>
            <w:r w:rsidRPr="00A964FF">
              <w:rPr>
                <w:rFonts w:ascii="Calibri" w:hAnsi="Calibri"/>
                <w:color w:val="auto"/>
                <w:szCs w:val="21"/>
              </w:rPr>
              <w:t>30</w:t>
            </w:r>
            <w:r w:rsidRPr="00A964FF">
              <w:rPr>
                <w:rFonts w:ascii="Calibri"/>
                <w:color w:val="auto"/>
                <w:szCs w:val="21"/>
              </w:rPr>
              <w:t>公里范围内燃煤锅炉及落后燃煤小热电关停整合；城市建成区生物质锅炉实施超低排放改造，燃气锅炉实施低氮改造；对不能稳定达标排放、改造升级无望的污染企业，依法依规停产限产、关停退出。</w:t>
            </w:r>
          </w:p>
          <w:p w14:paraId="4B32AA35"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2.</w:t>
            </w:r>
            <w:r w:rsidRPr="00A964FF">
              <w:rPr>
                <w:rFonts w:ascii="Calibri"/>
                <w:color w:val="auto"/>
                <w:szCs w:val="21"/>
              </w:rPr>
              <w:t>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w:t>
            </w:r>
            <w:r w:rsidRPr="00A964FF">
              <w:rPr>
                <w:rFonts w:ascii="Calibri" w:hAnsi="Calibri"/>
                <w:color w:val="auto"/>
                <w:szCs w:val="21"/>
              </w:rPr>
              <w:t>VOCs</w:t>
            </w:r>
            <w:r w:rsidRPr="00A964FF">
              <w:rPr>
                <w:rFonts w:ascii="Calibri"/>
                <w:color w:val="auto"/>
                <w:szCs w:val="21"/>
              </w:rPr>
              <w:t>排放建设项目；新建涉</w:t>
            </w:r>
            <w:r w:rsidRPr="00A964FF">
              <w:rPr>
                <w:rFonts w:ascii="Calibri" w:hAnsi="Calibri"/>
                <w:color w:val="auto"/>
                <w:szCs w:val="21"/>
              </w:rPr>
              <w:t>VOCs</w:t>
            </w:r>
            <w:r w:rsidRPr="00A964FF">
              <w:rPr>
                <w:rFonts w:ascii="Calibri"/>
                <w:color w:val="auto"/>
                <w:szCs w:val="21"/>
              </w:rPr>
              <w:t>排放的工业企业要入园区；实行区域内</w:t>
            </w:r>
            <w:r w:rsidRPr="00A964FF">
              <w:rPr>
                <w:rFonts w:ascii="Calibri" w:hAnsi="Calibri"/>
                <w:color w:val="auto"/>
                <w:szCs w:val="21"/>
              </w:rPr>
              <w:t>VOCs</w:t>
            </w:r>
            <w:r w:rsidRPr="00A964FF">
              <w:rPr>
                <w:rFonts w:ascii="Calibri"/>
                <w:color w:val="auto"/>
                <w:szCs w:val="21"/>
              </w:rPr>
              <w:t>排放等量或倍量削减替代。</w:t>
            </w:r>
          </w:p>
        </w:tc>
        <w:tc>
          <w:tcPr>
            <w:tcW w:w="997" w:type="pct"/>
            <w:vAlign w:val="center"/>
          </w:tcPr>
          <w:p w14:paraId="71B8A18C" w14:textId="77777777" w:rsidR="00442A89" w:rsidRPr="00A964FF" w:rsidRDefault="00442A89" w:rsidP="00E077A5">
            <w:pPr>
              <w:adjustRightInd w:val="0"/>
              <w:snapToGrid w:val="0"/>
              <w:jc w:val="center"/>
              <w:rPr>
                <w:rFonts w:ascii="Calibri"/>
                <w:color w:val="auto"/>
                <w:szCs w:val="21"/>
              </w:rPr>
            </w:pPr>
            <w:r w:rsidRPr="00A964FF">
              <w:rPr>
                <w:rFonts w:ascii="Calibri" w:hAnsi="Calibri"/>
                <w:color w:val="auto"/>
                <w:szCs w:val="21"/>
              </w:rPr>
              <w:t>1</w:t>
            </w:r>
            <w:r w:rsidRPr="00A964FF">
              <w:rPr>
                <w:rFonts w:ascii="Calibri"/>
                <w:color w:val="auto"/>
                <w:szCs w:val="21"/>
              </w:rPr>
              <w:t>、</w:t>
            </w:r>
            <w:r w:rsidR="00F7129B">
              <w:rPr>
                <w:rFonts w:ascii="Calibri" w:hint="eastAsia"/>
                <w:color w:val="auto"/>
                <w:szCs w:val="21"/>
              </w:rPr>
              <w:t>本项目新建</w:t>
            </w:r>
            <w:r w:rsidR="00F7129B">
              <w:rPr>
                <w:rFonts w:ascii="Calibri"/>
                <w:color w:val="auto"/>
                <w:szCs w:val="21"/>
              </w:rPr>
              <w:t>天然气导热油炉，</w:t>
            </w:r>
            <w:r w:rsidR="00F7129B">
              <w:rPr>
                <w:rFonts w:ascii="Calibri" w:hint="eastAsia"/>
                <w:color w:val="auto"/>
                <w:szCs w:val="21"/>
              </w:rPr>
              <w:t>安装</w:t>
            </w:r>
            <w:r w:rsidR="00F7129B">
              <w:rPr>
                <w:rFonts w:ascii="Calibri"/>
                <w:color w:val="auto"/>
                <w:szCs w:val="21"/>
              </w:rPr>
              <w:t>低氮燃烧装置。</w:t>
            </w:r>
          </w:p>
          <w:p w14:paraId="531A6015" w14:textId="77777777" w:rsidR="00442A89" w:rsidRPr="00A964FF" w:rsidRDefault="00442A89" w:rsidP="004F76E7">
            <w:pPr>
              <w:adjustRightInd w:val="0"/>
              <w:snapToGrid w:val="0"/>
              <w:jc w:val="center"/>
              <w:rPr>
                <w:rFonts w:ascii="Calibri" w:hAnsi="Calibri"/>
                <w:color w:val="auto"/>
                <w:szCs w:val="21"/>
              </w:rPr>
            </w:pPr>
            <w:r w:rsidRPr="00A964FF">
              <w:rPr>
                <w:rFonts w:ascii="Calibri" w:hAnsi="Calibri"/>
                <w:color w:val="auto"/>
                <w:szCs w:val="21"/>
              </w:rPr>
              <w:t>2</w:t>
            </w:r>
            <w:r w:rsidRPr="00A964FF">
              <w:rPr>
                <w:rFonts w:ascii="Calibri"/>
                <w:color w:val="auto"/>
                <w:szCs w:val="21"/>
              </w:rPr>
              <w:t>、本项目选址</w:t>
            </w:r>
            <w:r w:rsidR="004F76E7" w:rsidRPr="00A964FF">
              <w:rPr>
                <w:rFonts w:ascii="Calibri" w:hint="eastAsia"/>
                <w:color w:val="auto"/>
                <w:szCs w:val="21"/>
              </w:rPr>
              <w:t>位于平顶山尼龙新材料产业集聚区，对生产过程中产生的</w:t>
            </w:r>
            <w:r w:rsidR="004F76E7" w:rsidRPr="00A964FF">
              <w:rPr>
                <w:rFonts w:ascii="Calibri" w:hint="eastAsia"/>
                <w:color w:val="auto"/>
                <w:szCs w:val="21"/>
              </w:rPr>
              <w:t>VOCs</w:t>
            </w:r>
            <w:r w:rsidR="004F76E7" w:rsidRPr="00A964FF">
              <w:rPr>
                <w:rFonts w:ascii="Calibri" w:hint="eastAsia"/>
                <w:color w:val="auto"/>
                <w:szCs w:val="21"/>
              </w:rPr>
              <w:t>采用高效的治理措施，并实行</w:t>
            </w:r>
            <w:r w:rsidR="004F76E7" w:rsidRPr="00A964FF">
              <w:rPr>
                <w:rFonts w:ascii="Calibri" w:hint="eastAsia"/>
                <w:color w:val="auto"/>
                <w:szCs w:val="21"/>
              </w:rPr>
              <w:t>VOCs</w:t>
            </w:r>
            <w:r w:rsidR="004F76E7" w:rsidRPr="00A964FF">
              <w:rPr>
                <w:rFonts w:ascii="Calibri" w:hint="eastAsia"/>
                <w:color w:val="auto"/>
                <w:szCs w:val="21"/>
              </w:rPr>
              <w:t>倍量削减替代。</w:t>
            </w:r>
          </w:p>
        </w:tc>
        <w:tc>
          <w:tcPr>
            <w:tcW w:w="493" w:type="pct"/>
            <w:vAlign w:val="center"/>
          </w:tcPr>
          <w:p w14:paraId="35E4F8F2"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r w:rsidR="00442A89" w:rsidRPr="00A964FF" w14:paraId="602E95EF" w14:textId="77777777" w:rsidTr="00E077A5">
        <w:trPr>
          <w:trHeight w:val="3928"/>
          <w:jc w:val="center"/>
        </w:trPr>
        <w:tc>
          <w:tcPr>
            <w:tcW w:w="403" w:type="pct"/>
            <w:vAlign w:val="center"/>
          </w:tcPr>
          <w:p w14:paraId="27903CEB"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污染物排放管控</w:t>
            </w:r>
          </w:p>
        </w:tc>
        <w:tc>
          <w:tcPr>
            <w:tcW w:w="3107" w:type="pct"/>
            <w:vAlign w:val="center"/>
          </w:tcPr>
          <w:p w14:paraId="637DDDE2"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3.</w:t>
            </w:r>
            <w:r w:rsidRPr="00A964FF">
              <w:rPr>
                <w:rFonts w:ascii="Calibri"/>
                <w:color w:val="auto"/>
                <w:szCs w:val="21"/>
              </w:rPr>
              <w:t>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w:t>
            </w:r>
            <w:r w:rsidRPr="00A964FF">
              <w:rPr>
                <w:rFonts w:ascii="Calibri" w:hAnsi="Calibri"/>
                <w:color w:val="auto"/>
                <w:szCs w:val="21"/>
              </w:rPr>
              <w:t>VOCs</w:t>
            </w:r>
            <w:r w:rsidRPr="00A964FF">
              <w:rPr>
                <w:rFonts w:ascii="Calibri"/>
                <w:color w:val="auto"/>
                <w:szCs w:val="21"/>
              </w:rPr>
              <w:t>治理；水泥企业生产工序达到超低排放标准。</w:t>
            </w:r>
          </w:p>
          <w:p w14:paraId="6EB6111F"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4.</w:t>
            </w:r>
            <w:r w:rsidRPr="00A964FF">
              <w:rPr>
                <w:rFonts w:ascii="Calibri"/>
                <w:color w:val="auto"/>
                <w:szCs w:val="21"/>
              </w:rPr>
              <w:t>重点行业二氧化硫、氮氧化物、颗粒物、</w:t>
            </w:r>
            <w:r w:rsidRPr="00A964FF">
              <w:rPr>
                <w:rFonts w:ascii="Calibri" w:hAnsi="Calibri"/>
                <w:color w:val="auto"/>
                <w:szCs w:val="21"/>
              </w:rPr>
              <w:t>VOCs</w:t>
            </w:r>
            <w:r w:rsidRPr="00A964FF">
              <w:rPr>
                <w:rFonts w:ascii="Calibri"/>
                <w:color w:val="auto"/>
                <w:szCs w:val="21"/>
              </w:rPr>
              <w:t>全面执行大气污染物特别排放限值；综合整治</w:t>
            </w:r>
            <w:r w:rsidRPr="00A964FF">
              <w:rPr>
                <w:rFonts w:ascii="Calibri" w:hAnsi="Calibri"/>
                <w:color w:val="auto"/>
                <w:szCs w:val="21"/>
              </w:rPr>
              <w:t>VOCs</w:t>
            </w:r>
            <w:r w:rsidRPr="00A964FF">
              <w:rPr>
                <w:rFonts w:ascii="Calibri"/>
                <w:color w:val="auto"/>
                <w:szCs w:val="21"/>
              </w:rPr>
              <w:t>排放，新改扩建涉</w:t>
            </w:r>
            <w:r w:rsidRPr="00A964FF">
              <w:rPr>
                <w:rFonts w:ascii="Calibri" w:hAnsi="Calibri"/>
                <w:color w:val="auto"/>
                <w:szCs w:val="21"/>
              </w:rPr>
              <w:t>VOCs</w:t>
            </w:r>
            <w:r w:rsidRPr="00A964FF">
              <w:rPr>
                <w:rFonts w:ascii="Calibri"/>
                <w:color w:val="auto"/>
                <w:szCs w:val="21"/>
              </w:rPr>
              <w:t>排放项目，应加强废气收集，安装高效治理设施；对确有必要新建或改造升级的高端铸造建设项目，原则上应使用天然气或电力等清洁能源；所有产生颗粒物或</w:t>
            </w:r>
            <w:r w:rsidRPr="00A964FF">
              <w:rPr>
                <w:rFonts w:ascii="Calibri" w:hAnsi="Calibri"/>
                <w:color w:val="auto"/>
                <w:szCs w:val="21"/>
              </w:rPr>
              <w:t>VOCs</w:t>
            </w:r>
            <w:r w:rsidRPr="00A964FF">
              <w:rPr>
                <w:rFonts w:ascii="Calibri"/>
                <w:color w:val="auto"/>
                <w:szCs w:val="21"/>
              </w:rPr>
              <w:t>的工序应配备高效收集和处理装置；县级以上建成区餐饮企业全部安装油烟净化设施并符合河南省《餐饮业油烟污染物排放标准》（</w:t>
            </w:r>
            <w:r w:rsidRPr="00A964FF">
              <w:rPr>
                <w:rFonts w:ascii="Calibri" w:hAnsi="Calibri"/>
                <w:color w:val="auto"/>
                <w:szCs w:val="21"/>
              </w:rPr>
              <w:t>DB41/1604-2018</w:t>
            </w:r>
            <w:r w:rsidRPr="00A964FF">
              <w:rPr>
                <w:rFonts w:ascii="Calibri"/>
                <w:color w:val="auto"/>
                <w:szCs w:val="21"/>
              </w:rPr>
              <w:t>）。</w:t>
            </w:r>
          </w:p>
        </w:tc>
        <w:tc>
          <w:tcPr>
            <w:tcW w:w="997" w:type="pct"/>
            <w:vAlign w:val="center"/>
          </w:tcPr>
          <w:p w14:paraId="59BBD349" w14:textId="77777777" w:rsidR="00442A89" w:rsidRPr="00A964FF" w:rsidRDefault="00442A89" w:rsidP="00E077A5">
            <w:pPr>
              <w:adjustRightInd w:val="0"/>
              <w:snapToGrid w:val="0"/>
              <w:jc w:val="left"/>
              <w:rPr>
                <w:rFonts w:ascii="Calibri" w:hAnsi="Calibri"/>
                <w:color w:val="auto"/>
                <w:szCs w:val="21"/>
              </w:rPr>
            </w:pPr>
            <w:r w:rsidRPr="00A964FF">
              <w:rPr>
                <w:rFonts w:ascii="Calibri" w:hAnsi="Calibri"/>
                <w:color w:val="auto"/>
                <w:szCs w:val="21"/>
              </w:rPr>
              <w:t>3</w:t>
            </w:r>
            <w:r w:rsidRPr="00A964FF">
              <w:rPr>
                <w:rFonts w:ascii="Calibri"/>
                <w:color w:val="auto"/>
                <w:szCs w:val="21"/>
              </w:rPr>
              <w:t>、</w:t>
            </w:r>
            <w:r w:rsidR="004F76E7" w:rsidRPr="00A964FF">
              <w:rPr>
                <w:rFonts w:ascii="Calibri" w:hint="eastAsia"/>
                <w:color w:val="auto"/>
                <w:szCs w:val="21"/>
              </w:rPr>
              <w:t>本项目按照</w:t>
            </w:r>
            <w:r w:rsidR="004F76E7" w:rsidRPr="00A964FF">
              <w:rPr>
                <w:rFonts w:ascii="Calibri"/>
                <w:color w:val="auto"/>
                <w:szCs w:val="21"/>
              </w:rPr>
              <w:t>全流程清洁化、循环化、低碳化</w:t>
            </w:r>
            <w:r w:rsidR="004F76E7" w:rsidRPr="00A964FF">
              <w:rPr>
                <w:rFonts w:ascii="Calibri" w:hint="eastAsia"/>
                <w:color w:val="auto"/>
                <w:szCs w:val="21"/>
              </w:rPr>
              <w:t>进行建设</w:t>
            </w:r>
            <w:r w:rsidRPr="00A964FF">
              <w:rPr>
                <w:rFonts w:ascii="Calibri"/>
                <w:color w:val="auto"/>
                <w:szCs w:val="21"/>
              </w:rPr>
              <w:t>。</w:t>
            </w:r>
          </w:p>
          <w:p w14:paraId="15A58FA2" w14:textId="77777777" w:rsidR="00442A89" w:rsidRPr="00F7129B" w:rsidRDefault="00442A89" w:rsidP="004F76E7">
            <w:pPr>
              <w:adjustRightInd w:val="0"/>
              <w:snapToGrid w:val="0"/>
              <w:jc w:val="left"/>
              <w:rPr>
                <w:rFonts w:ascii="Calibri"/>
                <w:color w:val="auto"/>
                <w:szCs w:val="21"/>
              </w:rPr>
            </w:pPr>
            <w:r w:rsidRPr="00A964FF">
              <w:rPr>
                <w:rFonts w:ascii="Calibri" w:hAnsi="Calibri"/>
                <w:color w:val="auto"/>
                <w:szCs w:val="21"/>
              </w:rPr>
              <w:t>4</w:t>
            </w:r>
            <w:r w:rsidRPr="00A964FF">
              <w:rPr>
                <w:rFonts w:ascii="Calibri"/>
                <w:color w:val="auto"/>
                <w:szCs w:val="21"/>
              </w:rPr>
              <w:t>、本项目</w:t>
            </w:r>
            <w:r w:rsidR="00F7129B">
              <w:rPr>
                <w:rFonts w:ascii="Calibri" w:hint="eastAsia"/>
                <w:color w:val="auto"/>
                <w:szCs w:val="21"/>
              </w:rPr>
              <w:t>仅使用</w:t>
            </w:r>
            <w:r w:rsidR="00F7129B">
              <w:rPr>
                <w:rFonts w:ascii="Calibri"/>
                <w:color w:val="auto"/>
                <w:szCs w:val="21"/>
              </w:rPr>
              <w:t>电能及天然气等清洁能源，</w:t>
            </w:r>
            <w:r w:rsidR="00F7129B">
              <w:rPr>
                <w:rFonts w:ascii="Calibri" w:hint="eastAsia"/>
                <w:color w:val="auto"/>
                <w:szCs w:val="21"/>
              </w:rPr>
              <w:t>VOC</w:t>
            </w:r>
            <w:r w:rsidR="00F7129B" w:rsidRPr="00575DF8">
              <w:rPr>
                <w:rFonts w:ascii="Calibri" w:hint="eastAsia"/>
                <w:color w:val="auto"/>
                <w:szCs w:val="21"/>
                <w:vertAlign w:val="subscript"/>
              </w:rPr>
              <w:t>S</w:t>
            </w:r>
            <w:r w:rsidR="00F7129B">
              <w:rPr>
                <w:rFonts w:ascii="Calibri" w:hint="eastAsia"/>
                <w:color w:val="auto"/>
                <w:szCs w:val="21"/>
              </w:rPr>
              <w:t>及</w:t>
            </w:r>
            <w:r w:rsidR="00F7129B">
              <w:rPr>
                <w:rFonts w:ascii="Calibri"/>
                <w:color w:val="auto"/>
                <w:szCs w:val="21"/>
              </w:rPr>
              <w:t>颗粒物均配备相应的污染治理措施，</w:t>
            </w:r>
            <w:r w:rsidR="004F76E7" w:rsidRPr="00A964FF">
              <w:rPr>
                <w:rFonts w:ascii="Calibri" w:hint="eastAsia"/>
                <w:color w:val="auto"/>
                <w:szCs w:val="21"/>
              </w:rPr>
              <w:t>污染物</w:t>
            </w:r>
            <w:r w:rsidR="00F7129B">
              <w:rPr>
                <w:rFonts w:ascii="Calibri" w:hint="eastAsia"/>
                <w:color w:val="auto"/>
                <w:szCs w:val="21"/>
              </w:rPr>
              <w:t>排放</w:t>
            </w:r>
            <w:r w:rsidR="00F7129B">
              <w:rPr>
                <w:rFonts w:ascii="Calibri"/>
                <w:color w:val="auto"/>
                <w:szCs w:val="21"/>
              </w:rPr>
              <w:t>除</w:t>
            </w:r>
            <w:r w:rsidR="00F7129B">
              <w:rPr>
                <w:rFonts w:ascii="Calibri" w:hint="eastAsia"/>
                <w:color w:val="auto"/>
                <w:szCs w:val="21"/>
              </w:rPr>
              <w:t>执行</w:t>
            </w:r>
            <w:r w:rsidR="00F7129B">
              <w:rPr>
                <w:rFonts w:ascii="Calibri"/>
                <w:color w:val="auto"/>
                <w:szCs w:val="21"/>
              </w:rPr>
              <w:t>行业标准，</w:t>
            </w:r>
            <w:r w:rsidR="00F7129B" w:rsidRPr="00F7129B">
              <w:rPr>
                <w:rFonts w:ascii="Calibri" w:hint="eastAsia"/>
                <w:color w:val="auto"/>
                <w:szCs w:val="21"/>
              </w:rPr>
              <w:t>同时满足</w:t>
            </w:r>
            <w:r w:rsidR="00646C87" w:rsidRPr="00646C87">
              <w:rPr>
                <w:rFonts w:ascii="Calibri" w:hint="eastAsia"/>
                <w:color w:val="auto"/>
                <w:szCs w:val="21"/>
              </w:rPr>
              <w:t>《平顶山重污染天气通用行业应急减排措施制定技术指南（试行）》中</w:t>
            </w:r>
            <w:r w:rsidR="00646C87" w:rsidRPr="00646C87">
              <w:rPr>
                <w:rFonts w:ascii="Calibri" w:hint="eastAsia"/>
                <w:color w:val="auto"/>
                <w:szCs w:val="21"/>
              </w:rPr>
              <w:t>B</w:t>
            </w:r>
            <w:r w:rsidR="00646C87" w:rsidRPr="00646C87">
              <w:rPr>
                <w:rFonts w:ascii="Calibri" w:hint="eastAsia"/>
                <w:color w:val="auto"/>
                <w:szCs w:val="21"/>
              </w:rPr>
              <w:t>级企业要求</w:t>
            </w:r>
            <w:r w:rsidR="00F7129B" w:rsidRPr="00F7129B">
              <w:rPr>
                <w:rFonts w:ascii="Calibri" w:hint="eastAsia"/>
                <w:color w:val="auto"/>
                <w:szCs w:val="21"/>
              </w:rPr>
              <w:t>（颗粒物</w:t>
            </w:r>
            <w:r w:rsidR="00F7129B" w:rsidRPr="00F7129B">
              <w:rPr>
                <w:rFonts w:ascii="Calibri" w:hint="eastAsia"/>
                <w:color w:val="auto"/>
                <w:szCs w:val="21"/>
              </w:rPr>
              <w:t>10</w:t>
            </w:r>
            <w:r w:rsidR="00F7129B" w:rsidRPr="00F7129B">
              <w:rPr>
                <w:rFonts w:ascii="Calibri"/>
                <w:color w:val="auto"/>
                <w:szCs w:val="21"/>
              </w:rPr>
              <w:t>mg/m</w:t>
            </w:r>
            <w:r w:rsidR="00F7129B" w:rsidRPr="00F7129B">
              <w:rPr>
                <w:rFonts w:ascii="Calibri"/>
                <w:color w:val="auto"/>
                <w:szCs w:val="21"/>
                <w:vertAlign w:val="superscript"/>
              </w:rPr>
              <w:t>3</w:t>
            </w:r>
            <w:r w:rsidR="00575DF8">
              <w:rPr>
                <w:rFonts w:ascii="Calibri" w:hint="eastAsia"/>
                <w:color w:val="auto"/>
                <w:szCs w:val="21"/>
              </w:rPr>
              <w:t>、非甲烷</w:t>
            </w:r>
            <w:r w:rsidR="00646C87">
              <w:rPr>
                <w:rFonts w:ascii="Calibri" w:hint="eastAsia"/>
                <w:color w:val="auto"/>
                <w:szCs w:val="21"/>
              </w:rPr>
              <w:t>4</w:t>
            </w:r>
            <w:r w:rsidR="00F7129B" w:rsidRPr="00F7129B">
              <w:rPr>
                <w:rFonts w:ascii="Calibri" w:hint="eastAsia"/>
                <w:color w:val="auto"/>
                <w:szCs w:val="21"/>
              </w:rPr>
              <w:t>0</w:t>
            </w:r>
            <w:r w:rsidR="00F7129B" w:rsidRPr="00F7129B">
              <w:rPr>
                <w:rFonts w:ascii="Calibri"/>
                <w:color w:val="auto"/>
                <w:szCs w:val="21"/>
              </w:rPr>
              <w:t>mg/m</w:t>
            </w:r>
            <w:r w:rsidR="00F7129B" w:rsidRPr="00F7129B">
              <w:rPr>
                <w:rFonts w:ascii="Calibri"/>
                <w:color w:val="auto"/>
                <w:szCs w:val="21"/>
                <w:vertAlign w:val="superscript"/>
              </w:rPr>
              <w:t>3</w:t>
            </w:r>
            <w:r w:rsidR="00F7129B" w:rsidRPr="00F7129B">
              <w:rPr>
                <w:rFonts w:ascii="Calibri" w:hint="eastAsia"/>
                <w:color w:val="auto"/>
                <w:szCs w:val="21"/>
              </w:rPr>
              <w:t>）</w:t>
            </w:r>
            <w:r w:rsidR="004F76E7" w:rsidRPr="00A964FF">
              <w:rPr>
                <w:rFonts w:ascii="Calibri" w:hint="eastAsia"/>
                <w:color w:val="auto"/>
                <w:szCs w:val="21"/>
              </w:rPr>
              <w:t>，降低</w:t>
            </w:r>
            <w:r w:rsidR="004F76E7" w:rsidRPr="00A964FF">
              <w:rPr>
                <w:rFonts w:ascii="Calibri" w:hint="eastAsia"/>
                <w:color w:val="auto"/>
                <w:szCs w:val="21"/>
              </w:rPr>
              <w:t>VOCs</w:t>
            </w:r>
            <w:r w:rsidR="004F76E7" w:rsidRPr="00A964FF">
              <w:rPr>
                <w:rFonts w:ascii="Calibri" w:hint="eastAsia"/>
                <w:color w:val="auto"/>
                <w:szCs w:val="21"/>
              </w:rPr>
              <w:t>的排放总量</w:t>
            </w:r>
            <w:r w:rsidRPr="00A964FF">
              <w:rPr>
                <w:rFonts w:ascii="Calibri"/>
                <w:color w:val="auto"/>
                <w:szCs w:val="21"/>
              </w:rPr>
              <w:t>。</w:t>
            </w:r>
          </w:p>
        </w:tc>
        <w:tc>
          <w:tcPr>
            <w:tcW w:w="493" w:type="pct"/>
            <w:vAlign w:val="center"/>
          </w:tcPr>
          <w:p w14:paraId="0B83F3D9"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r w:rsidR="00442A89" w:rsidRPr="00A964FF" w14:paraId="136E5E22" w14:textId="77777777" w:rsidTr="00E077A5">
        <w:trPr>
          <w:trHeight w:val="1250"/>
          <w:jc w:val="center"/>
        </w:trPr>
        <w:tc>
          <w:tcPr>
            <w:tcW w:w="403" w:type="pct"/>
            <w:vAlign w:val="center"/>
          </w:tcPr>
          <w:p w14:paraId="763AE450"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污染物排放管控</w:t>
            </w:r>
          </w:p>
        </w:tc>
        <w:tc>
          <w:tcPr>
            <w:tcW w:w="3107" w:type="pct"/>
            <w:vAlign w:val="center"/>
          </w:tcPr>
          <w:p w14:paraId="4C55BFE2"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5.</w:t>
            </w:r>
            <w:r w:rsidRPr="00A964FF">
              <w:rPr>
                <w:rFonts w:ascii="Calibri"/>
                <w:color w:val="auto"/>
                <w:szCs w:val="21"/>
              </w:rPr>
              <w:t>强化项目环评及</w:t>
            </w:r>
            <w:r w:rsidR="009819CE">
              <w:rPr>
                <w:rFonts w:ascii="Calibri" w:hint="eastAsia"/>
                <w:color w:val="auto"/>
                <w:szCs w:val="21"/>
              </w:rPr>
              <w:t>“</w:t>
            </w:r>
            <w:r w:rsidR="009819CE" w:rsidRPr="009819CE">
              <w:rPr>
                <w:rFonts w:ascii="Calibri" w:hint="eastAsia"/>
                <w:color w:val="auto"/>
                <w:szCs w:val="21"/>
              </w:rPr>
              <w:t>三同时</w:t>
            </w:r>
            <w:r w:rsidR="009819CE">
              <w:rPr>
                <w:rFonts w:ascii="Calibri" w:hint="eastAsia"/>
                <w:color w:val="auto"/>
                <w:szCs w:val="21"/>
              </w:rPr>
              <w:t>”</w:t>
            </w:r>
            <w:r w:rsidRPr="00A964FF">
              <w:rPr>
                <w:rFonts w:ascii="Calibri"/>
                <w:color w:val="auto"/>
                <w:szCs w:val="21"/>
              </w:rPr>
              <w:t>管理，国家、省绩效分级重点行业的新改扩建项目达到</w:t>
            </w:r>
            <w:r w:rsidRPr="00A964FF">
              <w:rPr>
                <w:rFonts w:ascii="Calibri" w:hAnsi="Calibri"/>
                <w:color w:val="auto"/>
                <w:szCs w:val="21"/>
              </w:rPr>
              <w:t>B</w:t>
            </w:r>
            <w:r w:rsidRPr="00A964FF">
              <w:rPr>
                <w:rFonts w:ascii="Calibri"/>
                <w:color w:val="auto"/>
                <w:szCs w:val="21"/>
              </w:rPr>
              <w:t>级以上要求。</w:t>
            </w:r>
          </w:p>
          <w:p w14:paraId="10AF0D75"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6.</w:t>
            </w:r>
            <w:r w:rsidRPr="00A964FF">
              <w:rPr>
                <w:rFonts w:ascii="Calibri"/>
                <w:color w:val="auto"/>
                <w:szCs w:val="21"/>
              </w:rPr>
              <w:t>积极发展铁路运输，完善干线铁路布局，加快铁路专用线建</w:t>
            </w:r>
            <w:r w:rsidRPr="00A964FF">
              <w:rPr>
                <w:rFonts w:asciiTheme="minorEastAsia" w:eastAsiaTheme="minorEastAsia" w:hAnsiTheme="minorEastAsia"/>
                <w:color w:val="auto"/>
                <w:szCs w:val="21"/>
              </w:rPr>
              <w:t>设。推动铁路专用线直通大型工矿企业和物流园区，实现“点到点”铁路运输；新改扩建涉及大宗物料运输的建设项目，原则上不得利用公路运输；以推动大宗物料及粮油等农副产品运输“公转铁”为重点，鼓励钢铁、电力、焦化、电解铝、水泥、汽车制造等大型生产企业新建或改扩建铁路专用线；支持煤炭、钢铁、建</w:t>
            </w:r>
            <w:r w:rsidRPr="00A964FF">
              <w:rPr>
                <w:rFonts w:ascii="Calibri"/>
                <w:color w:val="auto"/>
                <w:szCs w:val="21"/>
              </w:rPr>
              <w:t>材等大型专业化物流园区、交易集散基地新建或改扩建铁路专用线。</w:t>
            </w:r>
          </w:p>
          <w:p w14:paraId="26A3F881"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lastRenderedPageBreak/>
              <w:t>7.</w:t>
            </w:r>
            <w:r w:rsidRPr="00A964FF">
              <w:rPr>
                <w:rFonts w:ascii="Calibri"/>
                <w:color w:val="auto"/>
                <w:szCs w:val="21"/>
              </w:rPr>
              <w:t>鼓励工业炉窑使用电、天然气等清洁能源或由周边热电厂供热；大力推广优质能源替代民用散煤；农村地区综合推广使用生物质成型燃料、沼气、太阳能等清洁能源，减少散煤使用。</w:t>
            </w:r>
          </w:p>
        </w:tc>
        <w:tc>
          <w:tcPr>
            <w:tcW w:w="997" w:type="pct"/>
            <w:vAlign w:val="center"/>
          </w:tcPr>
          <w:p w14:paraId="7B812CC6" w14:textId="77777777" w:rsidR="00442A89" w:rsidRPr="00A964FF" w:rsidRDefault="00442A89" w:rsidP="00E077A5">
            <w:pPr>
              <w:adjustRightInd w:val="0"/>
              <w:snapToGrid w:val="0"/>
              <w:jc w:val="left"/>
              <w:rPr>
                <w:rFonts w:ascii="Calibri"/>
                <w:color w:val="auto"/>
                <w:szCs w:val="21"/>
              </w:rPr>
            </w:pPr>
            <w:r w:rsidRPr="00A964FF">
              <w:rPr>
                <w:rFonts w:ascii="Calibri" w:hint="eastAsia"/>
                <w:color w:val="auto"/>
                <w:szCs w:val="21"/>
              </w:rPr>
              <w:lastRenderedPageBreak/>
              <w:t>5</w:t>
            </w:r>
            <w:r w:rsidRPr="00A964FF">
              <w:rPr>
                <w:rFonts w:ascii="Calibri" w:hint="eastAsia"/>
                <w:color w:val="auto"/>
                <w:szCs w:val="21"/>
              </w:rPr>
              <w:t>、本项目</w:t>
            </w:r>
            <w:r w:rsidR="00575DF8" w:rsidRPr="00575DF8">
              <w:rPr>
                <w:rFonts w:ascii="Calibri" w:hint="eastAsia"/>
                <w:color w:val="auto"/>
                <w:szCs w:val="21"/>
              </w:rPr>
              <w:t>不属于重点行业，属通用行业，</w:t>
            </w:r>
            <w:r w:rsidR="00575DF8">
              <w:rPr>
                <w:rFonts w:ascii="Calibri" w:hint="eastAsia"/>
                <w:color w:val="auto"/>
                <w:szCs w:val="21"/>
              </w:rPr>
              <w:t>能满足</w:t>
            </w:r>
            <w:r w:rsidR="00575DF8">
              <w:rPr>
                <w:rFonts w:ascii="Calibri"/>
                <w:color w:val="auto"/>
                <w:szCs w:val="21"/>
              </w:rPr>
              <w:t>通用行业</w:t>
            </w:r>
            <w:r w:rsidR="00575DF8">
              <w:rPr>
                <w:rFonts w:ascii="Calibri" w:hint="eastAsia"/>
                <w:color w:val="auto"/>
                <w:szCs w:val="21"/>
              </w:rPr>
              <w:t>B</w:t>
            </w:r>
            <w:r w:rsidR="00575DF8">
              <w:rPr>
                <w:rFonts w:ascii="Calibri" w:hint="eastAsia"/>
                <w:color w:val="auto"/>
                <w:szCs w:val="21"/>
              </w:rPr>
              <w:t>级</w:t>
            </w:r>
            <w:r w:rsidR="00575DF8">
              <w:rPr>
                <w:rFonts w:ascii="Calibri"/>
                <w:color w:val="auto"/>
                <w:szCs w:val="21"/>
              </w:rPr>
              <w:t>企业要求</w:t>
            </w:r>
            <w:r w:rsidRPr="00A964FF">
              <w:rPr>
                <w:rFonts w:ascii="Calibri" w:hint="eastAsia"/>
                <w:color w:val="auto"/>
                <w:szCs w:val="21"/>
              </w:rPr>
              <w:t>。</w:t>
            </w:r>
          </w:p>
          <w:p w14:paraId="259FA5D0" w14:textId="77777777" w:rsidR="00442A89" w:rsidRPr="00A964FF" w:rsidRDefault="00442A89" w:rsidP="00E077A5">
            <w:pPr>
              <w:adjustRightInd w:val="0"/>
              <w:snapToGrid w:val="0"/>
              <w:jc w:val="left"/>
              <w:rPr>
                <w:rFonts w:ascii="Calibri"/>
                <w:color w:val="auto"/>
                <w:szCs w:val="21"/>
              </w:rPr>
            </w:pPr>
            <w:r w:rsidRPr="00A964FF">
              <w:rPr>
                <w:rFonts w:ascii="Calibri" w:hint="eastAsia"/>
                <w:color w:val="auto"/>
                <w:szCs w:val="21"/>
              </w:rPr>
              <w:t>6</w:t>
            </w:r>
            <w:r w:rsidRPr="00A964FF">
              <w:rPr>
                <w:rFonts w:ascii="Calibri" w:hint="eastAsia"/>
                <w:color w:val="auto"/>
                <w:szCs w:val="21"/>
              </w:rPr>
              <w:t>、</w:t>
            </w:r>
            <w:r w:rsidR="004F76E7" w:rsidRPr="00A964FF">
              <w:rPr>
                <w:rFonts w:ascii="Calibri" w:hint="eastAsia"/>
                <w:color w:val="auto"/>
                <w:szCs w:val="21"/>
              </w:rPr>
              <w:t>本项目不涉及该条内容</w:t>
            </w:r>
            <w:r w:rsidRPr="00A964FF">
              <w:rPr>
                <w:rFonts w:ascii="Calibri" w:hint="eastAsia"/>
                <w:color w:val="auto"/>
                <w:szCs w:val="21"/>
              </w:rPr>
              <w:t>。</w:t>
            </w:r>
          </w:p>
          <w:p w14:paraId="78A8D608" w14:textId="77777777" w:rsidR="00442A89" w:rsidRPr="00A964FF" w:rsidRDefault="00442A89" w:rsidP="00F7129B">
            <w:pPr>
              <w:adjustRightInd w:val="0"/>
              <w:snapToGrid w:val="0"/>
              <w:jc w:val="left"/>
              <w:rPr>
                <w:rFonts w:ascii="Calibri"/>
                <w:color w:val="auto"/>
                <w:szCs w:val="21"/>
              </w:rPr>
            </w:pPr>
            <w:r w:rsidRPr="00A964FF">
              <w:rPr>
                <w:rFonts w:ascii="Calibri" w:hint="eastAsia"/>
                <w:color w:val="auto"/>
                <w:szCs w:val="21"/>
              </w:rPr>
              <w:t>7</w:t>
            </w:r>
            <w:r w:rsidRPr="00A964FF">
              <w:rPr>
                <w:rFonts w:ascii="Calibri" w:hint="eastAsia"/>
                <w:color w:val="auto"/>
                <w:szCs w:val="21"/>
              </w:rPr>
              <w:t>、本项目</w:t>
            </w:r>
            <w:r w:rsidR="00F7129B">
              <w:rPr>
                <w:rFonts w:ascii="Calibri" w:hint="eastAsia"/>
                <w:color w:val="auto"/>
                <w:szCs w:val="21"/>
              </w:rPr>
              <w:t>导热油</w:t>
            </w:r>
            <w:r w:rsidR="00F7129B">
              <w:rPr>
                <w:rFonts w:ascii="Calibri"/>
                <w:color w:val="auto"/>
                <w:szCs w:val="21"/>
              </w:rPr>
              <w:t>炉使用天然气为燃料。</w:t>
            </w:r>
          </w:p>
        </w:tc>
        <w:tc>
          <w:tcPr>
            <w:tcW w:w="493" w:type="pct"/>
            <w:vAlign w:val="center"/>
          </w:tcPr>
          <w:p w14:paraId="0027D6F6"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bl>
    <w:p w14:paraId="0C1DEBC3" w14:textId="77777777" w:rsidR="00AD7758" w:rsidRPr="005C4969" w:rsidRDefault="00442A89" w:rsidP="00F7129B">
      <w:pPr>
        <w:autoSpaceDE w:val="0"/>
        <w:autoSpaceDN w:val="0"/>
        <w:spacing w:line="520" w:lineRule="exact"/>
        <w:ind w:firstLineChars="200" w:firstLine="482"/>
        <w:rPr>
          <w:rFonts w:ascii="Calibri"/>
          <w:b/>
          <w:color w:val="auto"/>
          <w:kern w:val="0"/>
          <w:sz w:val="24"/>
        </w:rPr>
      </w:pPr>
      <w:r w:rsidRPr="00A964FF">
        <w:rPr>
          <w:rFonts w:ascii="Calibri" w:hint="eastAsia"/>
          <w:b/>
          <w:color w:val="auto"/>
          <w:kern w:val="0"/>
          <w:sz w:val="24"/>
        </w:rPr>
        <w:t>4</w:t>
      </w:r>
      <w:r w:rsidRPr="00A964FF">
        <w:rPr>
          <w:rFonts w:ascii="Calibri" w:hint="eastAsia"/>
          <w:b/>
          <w:color w:val="auto"/>
          <w:kern w:val="0"/>
          <w:sz w:val="24"/>
        </w:rPr>
        <w:t>、</w:t>
      </w:r>
      <w:r w:rsidRPr="00A964FF">
        <w:rPr>
          <w:rFonts w:ascii="Calibri"/>
          <w:b/>
          <w:color w:val="auto"/>
          <w:kern w:val="0"/>
          <w:sz w:val="24"/>
        </w:rPr>
        <w:t>河南省水生态环境总体准入要求</w:t>
      </w:r>
    </w:p>
    <w:p w14:paraId="72EA5C87" w14:textId="77777777" w:rsidR="00442A89" w:rsidRPr="00A964FF" w:rsidRDefault="00442A89" w:rsidP="00442A89">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0061483B">
        <w:rPr>
          <w:rFonts w:ascii="Calibri" w:eastAsia="黑体" w:hAnsi="Calibri" w:hint="eastAsia"/>
          <w:color w:val="auto"/>
          <w:sz w:val="24"/>
        </w:rPr>
        <w:t>1.8-</w:t>
      </w:r>
      <w:r w:rsidRPr="00A964FF">
        <w:rPr>
          <w:rFonts w:ascii="Calibri" w:eastAsia="黑体" w:hAnsi="Calibri" w:hint="eastAsia"/>
          <w:color w:val="auto"/>
          <w:sz w:val="24"/>
        </w:rPr>
        <w:t>4</w:t>
      </w:r>
      <w:r w:rsidRPr="00A964FF">
        <w:rPr>
          <w:rFonts w:ascii="Calibri" w:eastAsia="黑体" w:hAnsi="Calibri"/>
          <w:color w:val="auto"/>
          <w:sz w:val="24"/>
        </w:rPr>
        <w:t xml:space="preserve">           </w:t>
      </w:r>
      <w:r w:rsidRPr="00A964FF">
        <w:rPr>
          <w:rFonts w:ascii="Calibri" w:eastAsia="黑体"/>
          <w:color w:val="auto"/>
          <w:sz w:val="24"/>
        </w:rPr>
        <w:t>河南省水生态环境总体准入要求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04"/>
        <w:gridCol w:w="4916"/>
        <w:gridCol w:w="2342"/>
        <w:gridCol w:w="738"/>
      </w:tblGrid>
      <w:tr w:rsidR="00442A89" w:rsidRPr="00A964FF" w14:paraId="6C3ACACC" w14:textId="77777777" w:rsidTr="007E06A4">
        <w:trPr>
          <w:trHeight w:val="340"/>
          <w:jc w:val="center"/>
        </w:trPr>
        <w:tc>
          <w:tcPr>
            <w:tcW w:w="405" w:type="pct"/>
            <w:vAlign w:val="center"/>
          </w:tcPr>
          <w:p w14:paraId="23EC9E63"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管控维度</w:t>
            </w:r>
          </w:p>
        </w:tc>
        <w:tc>
          <w:tcPr>
            <w:tcW w:w="2824" w:type="pct"/>
            <w:vAlign w:val="center"/>
          </w:tcPr>
          <w:p w14:paraId="478504DF"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准入要求</w:t>
            </w:r>
          </w:p>
        </w:tc>
        <w:tc>
          <w:tcPr>
            <w:tcW w:w="1346" w:type="pct"/>
            <w:vAlign w:val="center"/>
          </w:tcPr>
          <w:p w14:paraId="5518AEBC"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本项目</w:t>
            </w:r>
          </w:p>
        </w:tc>
        <w:tc>
          <w:tcPr>
            <w:tcW w:w="424" w:type="pct"/>
            <w:vAlign w:val="center"/>
          </w:tcPr>
          <w:p w14:paraId="2EF44654"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符合性</w:t>
            </w:r>
          </w:p>
        </w:tc>
      </w:tr>
      <w:tr w:rsidR="00442A89" w:rsidRPr="00A964FF" w14:paraId="4C0423F3" w14:textId="77777777" w:rsidTr="007E06A4">
        <w:trPr>
          <w:trHeight w:val="340"/>
          <w:jc w:val="center"/>
        </w:trPr>
        <w:tc>
          <w:tcPr>
            <w:tcW w:w="405" w:type="pct"/>
            <w:vAlign w:val="center"/>
          </w:tcPr>
          <w:p w14:paraId="2682DC7D"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空间布局约束</w:t>
            </w:r>
          </w:p>
        </w:tc>
        <w:tc>
          <w:tcPr>
            <w:tcW w:w="2824" w:type="pct"/>
            <w:vAlign w:val="center"/>
          </w:tcPr>
          <w:p w14:paraId="05515BF0"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w:t>
            </w:r>
            <w:r w:rsidRPr="00A964FF">
              <w:rPr>
                <w:rFonts w:ascii="Calibri"/>
                <w:color w:val="auto"/>
                <w:szCs w:val="21"/>
              </w:rPr>
              <w:t>在属于水污染防治重点控制单元的区域内，不予审批耗水量大、废水排放量大的煤化工、化学原料药及生物发酵制药、制浆造纸、制革及毛皮鞣制、印染等行业单纯新建和单纯扩大产能的项目。</w:t>
            </w:r>
          </w:p>
          <w:p w14:paraId="1D40C654"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2.</w:t>
            </w:r>
            <w:r w:rsidRPr="00A964FF">
              <w:rPr>
                <w:rFonts w:ascii="Calibri"/>
                <w:color w:val="auto"/>
                <w:szCs w:val="21"/>
              </w:rPr>
              <w:t>在省辖黄河和淮河流域干流沿岸，严格控制石油化工、化学原料和化学制品制造、制浆造纸、医药制造、化学纤维制造、有色金属冶炼、纺织印染等项目环境风险，合理布局生产装置及危险化学品仓储等设施。</w:t>
            </w:r>
            <w:r w:rsidRPr="00A964FF">
              <w:rPr>
                <w:rFonts w:ascii="Calibri" w:hAnsi="Calibri"/>
                <w:color w:val="auto"/>
                <w:szCs w:val="21"/>
              </w:rPr>
              <w:t xml:space="preserve"> </w:t>
            </w:r>
          </w:p>
          <w:p w14:paraId="59054A93"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3.</w:t>
            </w:r>
            <w:r w:rsidRPr="00A964FF">
              <w:rPr>
                <w:rFonts w:ascii="Calibri"/>
                <w:color w:val="auto"/>
                <w:szCs w:val="21"/>
              </w:rPr>
              <w:t>城市建成区内现有的钢铁、有色金属、造纸、印染、原料药制造、化工等污染较重的企业，应有序搬迁改造或依法关闭。</w:t>
            </w:r>
          </w:p>
        </w:tc>
        <w:tc>
          <w:tcPr>
            <w:tcW w:w="1346" w:type="pct"/>
            <w:vAlign w:val="center"/>
          </w:tcPr>
          <w:p w14:paraId="3B0ABCE0" w14:textId="77777777" w:rsidR="00F7129B" w:rsidRPr="00932CCA" w:rsidRDefault="00F7129B" w:rsidP="00F7129B">
            <w:pPr>
              <w:adjustRightInd w:val="0"/>
              <w:snapToGrid w:val="0"/>
              <w:jc w:val="left"/>
              <w:rPr>
                <w:rFonts w:ascii="Calibri"/>
                <w:color w:val="auto"/>
                <w:szCs w:val="21"/>
              </w:rPr>
            </w:pPr>
            <w:r>
              <w:rPr>
                <w:rFonts w:ascii="Calibri" w:hint="eastAsia"/>
                <w:color w:val="auto"/>
                <w:szCs w:val="21"/>
              </w:rPr>
              <w:t>1</w:t>
            </w:r>
            <w:r>
              <w:rPr>
                <w:rFonts w:ascii="Calibri" w:hint="eastAsia"/>
                <w:color w:val="auto"/>
                <w:szCs w:val="21"/>
              </w:rPr>
              <w:t>、</w:t>
            </w:r>
            <w:r w:rsidRPr="00A964FF">
              <w:rPr>
                <w:rFonts w:ascii="Calibri"/>
                <w:color w:val="auto"/>
                <w:szCs w:val="21"/>
              </w:rPr>
              <w:t>本项目</w:t>
            </w:r>
            <w:r w:rsidR="00635274">
              <w:rPr>
                <w:rFonts w:ascii="Calibri" w:hint="eastAsia"/>
                <w:color w:val="auto"/>
                <w:szCs w:val="21"/>
              </w:rPr>
              <w:t>属于</w:t>
            </w:r>
            <w:r w:rsidR="00635274" w:rsidRPr="00131D53">
              <w:rPr>
                <w:rFonts w:asciiTheme="minorHAnsi" w:hAnsi="Calibri" w:hint="eastAsia"/>
                <w:caps/>
                <w:color w:val="000000" w:themeColor="text1"/>
              </w:rPr>
              <w:t>合成材料制造</w:t>
            </w:r>
            <w:r w:rsidR="00635274">
              <w:rPr>
                <w:rFonts w:asciiTheme="minorHAnsi" w:hAnsi="Calibri" w:hint="eastAsia"/>
                <w:caps/>
                <w:color w:val="000000" w:themeColor="text1"/>
              </w:rPr>
              <w:t>项目，</w:t>
            </w:r>
            <w:r w:rsidRPr="00A964FF">
              <w:rPr>
                <w:rFonts w:ascii="Calibri"/>
                <w:color w:val="auto"/>
                <w:szCs w:val="21"/>
              </w:rPr>
              <w:t>位于</w:t>
            </w:r>
            <w:r w:rsidRPr="00A964FF">
              <w:rPr>
                <w:rFonts w:ascii="Calibri" w:hint="eastAsia"/>
                <w:color w:val="auto"/>
                <w:szCs w:val="21"/>
              </w:rPr>
              <w:t>平顶山尼龙新材料产业集聚区</w:t>
            </w:r>
            <w:r w:rsidRPr="00A964FF">
              <w:rPr>
                <w:rFonts w:ascii="Calibri"/>
                <w:color w:val="auto"/>
                <w:szCs w:val="21"/>
              </w:rPr>
              <w:t>，属于水污染防治重点单元</w:t>
            </w:r>
            <w:r w:rsidRPr="00A964FF">
              <w:rPr>
                <w:rFonts w:ascii="Calibri" w:hint="eastAsia"/>
                <w:color w:val="auto"/>
                <w:szCs w:val="21"/>
              </w:rPr>
              <w:t>，</w:t>
            </w:r>
            <w:r w:rsidR="00635274">
              <w:rPr>
                <w:rFonts w:ascii="Calibri" w:hint="eastAsia"/>
                <w:color w:val="auto"/>
                <w:szCs w:val="21"/>
              </w:rPr>
              <w:t>不在属于</w:t>
            </w:r>
            <w:r w:rsidR="00635274">
              <w:rPr>
                <w:rFonts w:ascii="Calibri"/>
                <w:color w:val="auto"/>
                <w:szCs w:val="21"/>
              </w:rPr>
              <w:t>控制的项目。</w:t>
            </w:r>
          </w:p>
          <w:p w14:paraId="25FC9E31" w14:textId="77777777" w:rsidR="00F7129B" w:rsidRDefault="00F7129B" w:rsidP="00F7129B">
            <w:pPr>
              <w:pStyle w:val="afffffffa"/>
              <w:rPr>
                <w:rFonts w:ascii="Calibri" w:hAnsi="Calibri"/>
                <w:color w:val="auto"/>
                <w:sz w:val="21"/>
                <w:szCs w:val="21"/>
              </w:rPr>
            </w:pPr>
            <w:r w:rsidRPr="00A964FF">
              <w:rPr>
                <w:rFonts w:ascii="Calibri" w:hAnsi="Calibri"/>
                <w:color w:val="auto"/>
                <w:sz w:val="21"/>
                <w:szCs w:val="21"/>
              </w:rPr>
              <w:t>2</w:t>
            </w:r>
            <w:r w:rsidRPr="00A964FF">
              <w:rPr>
                <w:rFonts w:ascii="Calibri" w:hAnsi="Calibri"/>
                <w:color w:val="auto"/>
                <w:sz w:val="21"/>
                <w:szCs w:val="21"/>
              </w:rPr>
              <w:t>、项目</w:t>
            </w:r>
            <w:r w:rsidRPr="00A964FF">
              <w:rPr>
                <w:rFonts w:ascii="Calibri" w:hAnsi="Calibri" w:hint="eastAsia"/>
                <w:color w:val="auto"/>
                <w:sz w:val="21"/>
                <w:szCs w:val="21"/>
              </w:rPr>
              <w:t>区域受纳水体为关庙沟，属于灰河支流，</w:t>
            </w:r>
            <w:r w:rsidRPr="00637DF0">
              <w:rPr>
                <w:rFonts w:ascii="Calibri" w:hAnsi="Calibri" w:hint="eastAsia"/>
                <w:color w:val="auto"/>
                <w:sz w:val="21"/>
                <w:szCs w:val="21"/>
              </w:rPr>
              <w:t>不在淮河流域干流沿岸，且总图对生产装置已进行了合理布局。</w:t>
            </w:r>
          </w:p>
          <w:p w14:paraId="674D75D8" w14:textId="77777777" w:rsidR="00442A89" w:rsidRPr="00A964FF" w:rsidRDefault="00F7129B" w:rsidP="00F7129B">
            <w:pPr>
              <w:pStyle w:val="afffffffa"/>
              <w:rPr>
                <w:rFonts w:ascii="Calibri" w:hAnsi="Calibri"/>
                <w:color w:val="auto"/>
                <w:sz w:val="21"/>
                <w:szCs w:val="21"/>
              </w:rPr>
            </w:pPr>
            <w:r w:rsidRPr="00A964FF">
              <w:rPr>
                <w:rFonts w:ascii="Calibri" w:hAnsi="Calibri"/>
                <w:color w:val="auto"/>
                <w:sz w:val="21"/>
                <w:szCs w:val="21"/>
              </w:rPr>
              <w:t>3</w:t>
            </w:r>
            <w:r w:rsidRPr="00A964FF">
              <w:rPr>
                <w:rFonts w:ascii="Calibri" w:hAnsi="Calibri"/>
                <w:color w:val="auto"/>
                <w:sz w:val="21"/>
                <w:szCs w:val="21"/>
              </w:rPr>
              <w:t>、项目选址</w:t>
            </w:r>
            <w:r w:rsidRPr="00932CCA">
              <w:rPr>
                <w:rFonts w:ascii="Calibri" w:hAnsi="Calibri" w:hint="eastAsia"/>
                <w:color w:val="auto"/>
                <w:sz w:val="21"/>
                <w:szCs w:val="21"/>
              </w:rPr>
              <w:t>位于平顶山尼龙新材料产业集聚区，</w:t>
            </w:r>
            <w:r w:rsidRPr="00A964FF">
              <w:rPr>
                <w:rFonts w:ascii="Calibri" w:hAnsi="Calibri"/>
                <w:color w:val="auto"/>
                <w:sz w:val="21"/>
                <w:szCs w:val="21"/>
              </w:rPr>
              <w:t>不属于</w:t>
            </w:r>
            <w:r w:rsidRPr="00A964FF">
              <w:rPr>
                <w:rFonts w:ascii="Calibri" w:hAnsi="Calibri" w:hint="eastAsia"/>
                <w:color w:val="auto"/>
                <w:sz w:val="21"/>
                <w:szCs w:val="21"/>
              </w:rPr>
              <w:t>平顶山</w:t>
            </w:r>
            <w:r w:rsidRPr="00A964FF">
              <w:rPr>
                <w:rFonts w:ascii="Calibri" w:hAnsi="Calibri"/>
                <w:color w:val="auto"/>
                <w:sz w:val="21"/>
                <w:szCs w:val="21"/>
              </w:rPr>
              <w:t>城市建成区。</w:t>
            </w:r>
          </w:p>
        </w:tc>
        <w:tc>
          <w:tcPr>
            <w:tcW w:w="424" w:type="pct"/>
            <w:vAlign w:val="center"/>
          </w:tcPr>
          <w:p w14:paraId="21AEDA94"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r w:rsidR="00442A89" w:rsidRPr="00A964FF" w14:paraId="2CEA8BE9" w14:textId="77777777" w:rsidTr="007E06A4">
        <w:trPr>
          <w:trHeight w:val="340"/>
          <w:jc w:val="center"/>
        </w:trPr>
        <w:tc>
          <w:tcPr>
            <w:tcW w:w="405" w:type="pct"/>
            <w:vAlign w:val="center"/>
          </w:tcPr>
          <w:p w14:paraId="55E4065B"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污染物排放管控</w:t>
            </w:r>
          </w:p>
        </w:tc>
        <w:tc>
          <w:tcPr>
            <w:tcW w:w="2824" w:type="pct"/>
            <w:vAlign w:val="center"/>
          </w:tcPr>
          <w:p w14:paraId="27D4AC2C"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4.</w:t>
            </w:r>
            <w:r w:rsidRPr="00A964FF">
              <w:rPr>
                <w:rFonts w:ascii="Calibri"/>
                <w:color w:val="auto"/>
                <w:szCs w:val="21"/>
              </w:rPr>
              <w:t>新改扩建造纸、焦化、氮肥、农副食品加工、毛皮制革、印染、有色金属、原料药制造、电镀等重点水污染物排放行业建设项目实行主要污染物排放等量或减量置换。</w:t>
            </w:r>
            <w:r w:rsidRPr="00A964FF">
              <w:rPr>
                <w:rFonts w:ascii="Calibri" w:hAnsi="Calibri"/>
                <w:color w:val="auto"/>
                <w:szCs w:val="21"/>
              </w:rPr>
              <w:t xml:space="preserve"> </w:t>
            </w:r>
          </w:p>
          <w:p w14:paraId="24DDE908"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5.</w:t>
            </w:r>
            <w:r w:rsidRPr="00A964FF">
              <w:rPr>
                <w:rFonts w:ascii="Calibri"/>
                <w:color w:val="auto"/>
                <w:szCs w:val="21"/>
              </w:rPr>
              <w:t>鼓励钢铁、纺织印染、造纸、石油石化、化工、制革等高耗水企业废水深度处理回用。</w:t>
            </w:r>
            <w:r w:rsidRPr="00A964FF">
              <w:rPr>
                <w:rFonts w:ascii="Calibri" w:hAnsi="Calibri"/>
                <w:color w:val="auto"/>
                <w:szCs w:val="21"/>
              </w:rPr>
              <w:t xml:space="preserve"> </w:t>
            </w:r>
          </w:p>
          <w:p w14:paraId="70419199"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6.</w:t>
            </w:r>
            <w:r w:rsidRPr="00A964FF">
              <w:rPr>
                <w:rFonts w:ascii="Calibri"/>
                <w:color w:val="auto"/>
                <w:szCs w:val="21"/>
              </w:rPr>
              <w:t>新建、升级产业集聚区（园区）要同步规划、建设污水集中处理等设施；现有省级产业集聚区建成区域实现管网全配套，污水集中处理设施稳定达标运行，同时安装自动在线监控装置。</w:t>
            </w:r>
            <w:r w:rsidRPr="00A964FF">
              <w:rPr>
                <w:rFonts w:ascii="Calibri" w:hAnsi="Calibri"/>
                <w:color w:val="auto"/>
                <w:szCs w:val="21"/>
              </w:rPr>
              <w:t xml:space="preserve"> </w:t>
            </w:r>
          </w:p>
          <w:p w14:paraId="1E7B958B"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7.</w:t>
            </w:r>
            <w:r w:rsidRPr="00A964FF">
              <w:rPr>
                <w:rFonts w:ascii="Calibri"/>
                <w:color w:val="auto"/>
                <w:szCs w:val="21"/>
              </w:rPr>
              <w:t>新建城区的污水处理设施和污水管网，要与城市发展同步规划、同步建设，做到雨污分流；新建或提升改造的城镇污水处理厂须达到或优于一级</w:t>
            </w:r>
            <w:r w:rsidRPr="00A964FF">
              <w:rPr>
                <w:rFonts w:ascii="Calibri" w:hAnsi="Calibri"/>
                <w:color w:val="auto"/>
                <w:szCs w:val="21"/>
              </w:rPr>
              <w:t>A</w:t>
            </w:r>
            <w:r w:rsidRPr="00A964FF">
              <w:rPr>
                <w:rFonts w:ascii="Calibri"/>
                <w:color w:val="auto"/>
                <w:szCs w:val="21"/>
              </w:rPr>
              <w:t>排放标准；具备条件的污水处理厂应建设尾水人工湿地；限制含重金属工业废水进入城市生活污水处理厂。</w:t>
            </w:r>
            <w:r w:rsidRPr="00A964FF">
              <w:rPr>
                <w:rFonts w:ascii="Calibri" w:hAnsi="Calibri"/>
                <w:color w:val="auto"/>
                <w:szCs w:val="21"/>
              </w:rPr>
              <w:t xml:space="preserve"> </w:t>
            </w:r>
          </w:p>
          <w:p w14:paraId="0624ABD3"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8.</w:t>
            </w:r>
            <w:r w:rsidRPr="00A964FF">
              <w:rPr>
                <w:rFonts w:ascii="Calibri"/>
                <w:color w:val="auto"/>
                <w:szCs w:val="21"/>
              </w:rPr>
              <w:t>按照</w:t>
            </w:r>
            <w:r w:rsidRPr="00A964FF">
              <w:rPr>
                <w:rFonts w:ascii="Calibri" w:hAnsi="Calibri"/>
                <w:color w:val="auto"/>
                <w:szCs w:val="21"/>
              </w:rPr>
              <w:t>“</w:t>
            </w:r>
            <w:r w:rsidRPr="00A964FF">
              <w:rPr>
                <w:rFonts w:ascii="Calibri"/>
                <w:color w:val="auto"/>
                <w:szCs w:val="21"/>
              </w:rPr>
              <w:t>减量化、稳定化、无害化、资源化</w:t>
            </w:r>
            <w:r w:rsidRPr="00A964FF">
              <w:rPr>
                <w:rFonts w:ascii="Calibri" w:hAnsi="Calibri"/>
                <w:color w:val="auto"/>
                <w:szCs w:val="21"/>
              </w:rPr>
              <w:t>”</w:t>
            </w:r>
            <w:r w:rsidRPr="00A964FF">
              <w:rPr>
                <w:rFonts w:ascii="Calibri"/>
                <w:color w:val="auto"/>
                <w:szCs w:val="21"/>
              </w:rPr>
              <w:t>要求，加快推进城镇污水处理厂污泥无害化处理处置和资源化利用；依法查处取缔非法污泥堆放点，禁止重金属等污染物不达标的污泥进行土地利用；</w:t>
            </w:r>
            <w:r w:rsidRPr="00A964FF">
              <w:rPr>
                <w:rFonts w:ascii="Calibri" w:hAnsi="Calibri"/>
                <w:color w:val="auto"/>
                <w:szCs w:val="21"/>
              </w:rPr>
              <w:t>2021</w:t>
            </w:r>
            <w:r w:rsidRPr="00A964FF">
              <w:rPr>
                <w:rFonts w:ascii="Calibri"/>
                <w:color w:val="auto"/>
                <w:szCs w:val="21"/>
              </w:rPr>
              <w:t>年年底，全省城市和县城污泥无害化处置率分别达到</w:t>
            </w:r>
            <w:r w:rsidRPr="00A964FF">
              <w:rPr>
                <w:rFonts w:ascii="Calibri" w:hAnsi="Calibri"/>
                <w:color w:val="auto"/>
                <w:szCs w:val="21"/>
              </w:rPr>
              <w:t>95%</w:t>
            </w:r>
            <w:r w:rsidRPr="00A964FF">
              <w:rPr>
                <w:rFonts w:ascii="Calibri"/>
                <w:color w:val="auto"/>
                <w:szCs w:val="21"/>
              </w:rPr>
              <w:t>以上和</w:t>
            </w:r>
            <w:r w:rsidRPr="00A964FF">
              <w:rPr>
                <w:rFonts w:ascii="Calibri" w:hAnsi="Calibri"/>
                <w:color w:val="auto"/>
                <w:szCs w:val="21"/>
              </w:rPr>
              <w:t>85%</w:t>
            </w:r>
            <w:r w:rsidRPr="00A964FF">
              <w:rPr>
                <w:rFonts w:ascii="Calibri"/>
                <w:color w:val="auto"/>
                <w:szCs w:val="21"/>
              </w:rPr>
              <w:t>以上。</w:t>
            </w:r>
          </w:p>
        </w:tc>
        <w:tc>
          <w:tcPr>
            <w:tcW w:w="1346" w:type="pct"/>
            <w:vAlign w:val="center"/>
          </w:tcPr>
          <w:p w14:paraId="47E06537" w14:textId="77777777" w:rsidR="00E077A5" w:rsidRPr="00A964FF" w:rsidRDefault="00AB5C7B" w:rsidP="00E077A5">
            <w:pPr>
              <w:adjustRightInd w:val="0"/>
              <w:snapToGrid w:val="0"/>
              <w:jc w:val="left"/>
              <w:rPr>
                <w:rFonts w:ascii="Calibri"/>
                <w:color w:val="auto"/>
                <w:szCs w:val="21"/>
              </w:rPr>
            </w:pPr>
            <w:r w:rsidRPr="00A964FF">
              <w:rPr>
                <w:rFonts w:ascii="Calibri" w:hint="eastAsia"/>
                <w:color w:val="auto"/>
                <w:szCs w:val="21"/>
              </w:rPr>
              <w:t>4</w:t>
            </w:r>
            <w:r w:rsidR="00E077A5" w:rsidRPr="00A964FF">
              <w:rPr>
                <w:rFonts w:ascii="Calibri" w:hint="eastAsia"/>
                <w:color w:val="auto"/>
                <w:szCs w:val="21"/>
              </w:rPr>
              <w:t>、本项目水污染物排放实行</w:t>
            </w:r>
            <w:r w:rsidR="009819CE">
              <w:rPr>
                <w:rFonts w:ascii="Calibri" w:hint="eastAsia"/>
                <w:color w:val="auto"/>
                <w:szCs w:val="21"/>
              </w:rPr>
              <w:t>等量置换</w:t>
            </w:r>
            <w:r w:rsidR="00E077A5" w:rsidRPr="00A964FF">
              <w:rPr>
                <w:rFonts w:ascii="Calibri" w:hint="eastAsia"/>
                <w:color w:val="auto"/>
                <w:szCs w:val="21"/>
              </w:rPr>
              <w:t>。</w:t>
            </w:r>
          </w:p>
          <w:p w14:paraId="0697C53A" w14:textId="77777777" w:rsidR="00E077A5" w:rsidRPr="00A964FF" w:rsidRDefault="00AB5C7B" w:rsidP="00E077A5">
            <w:pPr>
              <w:adjustRightInd w:val="0"/>
              <w:snapToGrid w:val="0"/>
              <w:jc w:val="left"/>
              <w:rPr>
                <w:rFonts w:ascii="Calibri"/>
                <w:color w:val="auto"/>
                <w:szCs w:val="21"/>
              </w:rPr>
            </w:pPr>
            <w:r w:rsidRPr="00A964FF">
              <w:rPr>
                <w:rFonts w:ascii="Calibri" w:hint="eastAsia"/>
                <w:color w:val="auto"/>
                <w:szCs w:val="21"/>
              </w:rPr>
              <w:t>5</w:t>
            </w:r>
            <w:r w:rsidR="00E077A5" w:rsidRPr="00A964FF">
              <w:rPr>
                <w:rFonts w:ascii="Calibri" w:hint="eastAsia"/>
                <w:color w:val="auto"/>
                <w:szCs w:val="21"/>
              </w:rPr>
              <w:t>、本项目自建废水处理站，并依托集聚区污水处理厂进一步处理。</w:t>
            </w:r>
          </w:p>
          <w:p w14:paraId="0775F82C" w14:textId="77777777" w:rsidR="00E077A5" w:rsidRPr="00A964FF" w:rsidRDefault="00AB5C7B" w:rsidP="00E077A5">
            <w:pPr>
              <w:adjustRightInd w:val="0"/>
              <w:snapToGrid w:val="0"/>
              <w:jc w:val="left"/>
              <w:rPr>
                <w:rFonts w:ascii="Calibri"/>
                <w:color w:val="auto"/>
                <w:szCs w:val="21"/>
              </w:rPr>
            </w:pPr>
            <w:r w:rsidRPr="00A964FF">
              <w:rPr>
                <w:rFonts w:ascii="Calibri" w:hint="eastAsia"/>
                <w:color w:val="auto"/>
                <w:szCs w:val="21"/>
              </w:rPr>
              <w:t>6</w:t>
            </w:r>
            <w:r w:rsidRPr="00A964FF">
              <w:rPr>
                <w:rFonts w:ascii="Calibri" w:hint="eastAsia"/>
                <w:color w:val="auto"/>
                <w:szCs w:val="21"/>
              </w:rPr>
              <w:t>、经调查，集聚区雨污管网已配套，现有污水处理厂出水能够稳定达标排放，并安装有自动在线监控装置。</w:t>
            </w:r>
          </w:p>
          <w:p w14:paraId="53BE6901" w14:textId="77777777" w:rsidR="00AB5C7B" w:rsidRPr="00A964FF" w:rsidRDefault="00AB5C7B" w:rsidP="00E077A5">
            <w:pPr>
              <w:adjustRightInd w:val="0"/>
              <w:snapToGrid w:val="0"/>
              <w:jc w:val="left"/>
              <w:rPr>
                <w:rFonts w:ascii="Calibri"/>
                <w:color w:val="auto"/>
                <w:szCs w:val="21"/>
              </w:rPr>
            </w:pPr>
            <w:r w:rsidRPr="00A964FF">
              <w:rPr>
                <w:rFonts w:ascii="Calibri" w:hint="eastAsia"/>
                <w:color w:val="auto"/>
                <w:szCs w:val="21"/>
              </w:rPr>
              <w:t>7</w:t>
            </w:r>
            <w:r w:rsidRPr="00A964FF">
              <w:rPr>
                <w:rFonts w:ascii="Calibri" w:hint="eastAsia"/>
                <w:color w:val="auto"/>
                <w:szCs w:val="21"/>
              </w:rPr>
              <w:t>、集聚区污水处理厂正在按照</w:t>
            </w:r>
            <w:r w:rsidRPr="00A964FF">
              <w:rPr>
                <w:rFonts w:asciiTheme="minorHAnsi" w:hAnsiTheme="minorHAnsi" w:cs="宋体"/>
                <w:color w:val="auto"/>
                <w:kern w:val="0"/>
                <w:szCs w:val="21"/>
              </w:rPr>
              <w:t>一级</w:t>
            </w:r>
            <w:r w:rsidRPr="00A964FF">
              <w:rPr>
                <w:rFonts w:asciiTheme="minorHAnsi" w:hAnsiTheme="minorHAnsi" w:cs="宋体"/>
                <w:color w:val="auto"/>
                <w:kern w:val="0"/>
                <w:szCs w:val="21"/>
              </w:rPr>
              <w:t>A</w:t>
            </w:r>
            <w:r w:rsidRPr="00A964FF">
              <w:rPr>
                <w:rFonts w:asciiTheme="minorHAnsi" w:hAnsiTheme="minorHAnsi" w:cs="宋体"/>
                <w:color w:val="auto"/>
                <w:kern w:val="0"/>
                <w:szCs w:val="21"/>
              </w:rPr>
              <w:t>标准</w:t>
            </w:r>
            <w:r w:rsidRPr="00A964FF">
              <w:rPr>
                <w:rFonts w:asciiTheme="minorHAnsi" w:hAnsiTheme="minorHAnsi" w:cs="宋体" w:hint="eastAsia"/>
                <w:color w:val="auto"/>
                <w:kern w:val="0"/>
                <w:szCs w:val="21"/>
              </w:rPr>
              <w:t>（</w:t>
            </w:r>
            <w:r w:rsidRPr="00A964FF">
              <w:rPr>
                <w:rFonts w:asciiTheme="minorHAnsi" w:hAnsiTheme="minorHAnsi" w:cs="宋体"/>
                <w:color w:val="auto"/>
                <w:kern w:val="0"/>
                <w:szCs w:val="21"/>
              </w:rPr>
              <w:t>COD</w:t>
            </w:r>
            <w:r w:rsidRPr="00A964FF">
              <w:rPr>
                <w:rFonts w:asciiTheme="minorHAnsi" w:hAnsiTheme="minorHAnsi" w:cs="宋体"/>
                <w:color w:val="auto"/>
                <w:kern w:val="0"/>
                <w:szCs w:val="21"/>
              </w:rPr>
              <w:t>：</w:t>
            </w:r>
            <w:r w:rsidR="00A412FB">
              <w:rPr>
                <w:rFonts w:asciiTheme="minorHAnsi" w:hAnsiTheme="minorHAnsi" w:cs="宋体" w:hint="eastAsia"/>
                <w:color w:val="auto"/>
                <w:kern w:val="0"/>
                <w:szCs w:val="21"/>
              </w:rPr>
              <w:t>30</w:t>
            </w:r>
            <w:r w:rsidR="00CC55BB" w:rsidRPr="00A964FF">
              <w:rPr>
                <w:rFonts w:asciiTheme="minorHAnsi" w:hAnsiTheme="minorHAnsi" w:cs="宋体"/>
                <w:color w:val="auto"/>
                <w:kern w:val="0"/>
                <w:szCs w:val="21"/>
              </w:rPr>
              <w:t>mg/L</w:t>
            </w:r>
            <w:r w:rsidRPr="00A964FF">
              <w:rPr>
                <w:rFonts w:asciiTheme="minorHAnsi" w:hAnsiTheme="minorHAnsi" w:cs="宋体"/>
                <w:color w:val="auto"/>
                <w:kern w:val="0"/>
                <w:szCs w:val="21"/>
              </w:rPr>
              <w:t>，氨氮：</w:t>
            </w:r>
            <w:r w:rsidRPr="00A964FF">
              <w:rPr>
                <w:rFonts w:asciiTheme="minorHAnsi" w:hAnsiTheme="minorHAnsi" w:cs="宋体"/>
                <w:color w:val="auto"/>
                <w:kern w:val="0"/>
                <w:szCs w:val="21"/>
              </w:rPr>
              <w:t>1.</w:t>
            </w:r>
            <w:r w:rsidR="00A412FB">
              <w:rPr>
                <w:rFonts w:asciiTheme="minorHAnsi" w:hAnsiTheme="minorHAnsi" w:cs="宋体" w:hint="eastAsia"/>
                <w:color w:val="auto"/>
                <w:kern w:val="0"/>
                <w:szCs w:val="21"/>
              </w:rPr>
              <w:t>5</w:t>
            </w:r>
            <w:r w:rsidR="00CC55BB" w:rsidRPr="00A964FF">
              <w:rPr>
                <w:rFonts w:asciiTheme="minorHAnsi" w:hAnsiTheme="minorHAnsi" w:cs="宋体"/>
                <w:color w:val="auto"/>
                <w:kern w:val="0"/>
                <w:szCs w:val="21"/>
              </w:rPr>
              <w:t>mg/L</w:t>
            </w:r>
            <w:r w:rsidRPr="00A964FF">
              <w:rPr>
                <w:rFonts w:asciiTheme="minorHAnsi" w:hAnsiTheme="minorHAnsi" w:cs="宋体"/>
                <w:color w:val="auto"/>
                <w:kern w:val="0"/>
                <w:szCs w:val="21"/>
              </w:rPr>
              <w:t>，总磷：</w:t>
            </w:r>
            <w:r w:rsidRPr="00A964FF">
              <w:rPr>
                <w:rFonts w:asciiTheme="minorHAnsi" w:hAnsiTheme="minorHAnsi" w:cs="宋体"/>
                <w:color w:val="auto"/>
                <w:kern w:val="0"/>
                <w:szCs w:val="21"/>
              </w:rPr>
              <w:t>0.</w:t>
            </w:r>
            <w:r w:rsidR="00A412FB">
              <w:rPr>
                <w:rFonts w:asciiTheme="minorHAnsi" w:hAnsiTheme="minorHAnsi" w:cs="宋体" w:hint="eastAsia"/>
                <w:color w:val="auto"/>
                <w:kern w:val="0"/>
                <w:szCs w:val="21"/>
              </w:rPr>
              <w:t>3</w:t>
            </w:r>
            <w:r w:rsidR="00CC55BB" w:rsidRPr="00A964FF">
              <w:rPr>
                <w:rFonts w:asciiTheme="minorHAnsi" w:hAnsiTheme="minorHAnsi" w:cs="宋体"/>
                <w:color w:val="auto"/>
                <w:kern w:val="0"/>
                <w:szCs w:val="21"/>
              </w:rPr>
              <w:t>mg/L</w:t>
            </w:r>
            <w:r w:rsidRPr="00A964FF">
              <w:rPr>
                <w:rFonts w:asciiTheme="minorHAnsi" w:hAnsiTheme="minorHAnsi" w:cs="宋体" w:hint="eastAsia"/>
                <w:color w:val="auto"/>
                <w:kern w:val="0"/>
                <w:szCs w:val="21"/>
              </w:rPr>
              <w:t>）扩建和现有工程提标改造。</w:t>
            </w:r>
          </w:p>
          <w:p w14:paraId="4ACF2DF8" w14:textId="77777777" w:rsidR="00442A89" w:rsidRPr="00A964FF" w:rsidRDefault="00AB5C7B" w:rsidP="00E077A5">
            <w:pPr>
              <w:adjustRightInd w:val="0"/>
              <w:snapToGrid w:val="0"/>
              <w:jc w:val="left"/>
              <w:rPr>
                <w:rFonts w:ascii="Calibri"/>
                <w:color w:val="auto"/>
                <w:szCs w:val="21"/>
              </w:rPr>
            </w:pPr>
            <w:r w:rsidRPr="00A964FF">
              <w:rPr>
                <w:rFonts w:ascii="Calibri" w:hint="eastAsia"/>
                <w:color w:val="auto"/>
                <w:szCs w:val="21"/>
              </w:rPr>
              <w:t>8</w:t>
            </w:r>
            <w:r w:rsidRPr="00A964FF">
              <w:rPr>
                <w:rFonts w:ascii="Calibri" w:hint="eastAsia"/>
                <w:color w:val="auto"/>
                <w:szCs w:val="21"/>
              </w:rPr>
              <w:t>、本项目不涉及该条内容。</w:t>
            </w:r>
          </w:p>
        </w:tc>
        <w:tc>
          <w:tcPr>
            <w:tcW w:w="424" w:type="pct"/>
            <w:vAlign w:val="center"/>
          </w:tcPr>
          <w:p w14:paraId="09235E6F"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r w:rsidR="00442A89" w:rsidRPr="00A964FF" w14:paraId="444639FD" w14:textId="77777777" w:rsidTr="007E06A4">
        <w:trPr>
          <w:trHeight w:val="340"/>
          <w:jc w:val="center"/>
        </w:trPr>
        <w:tc>
          <w:tcPr>
            <w:tcW w:w="405" w:type="pct"/>
            <w:vAlign w:val="center"/>
          </w:tcPr>
          <w:p w14:paraId="3D063D57"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环境风险防控</w:t>
            </w:r>
          </w:p>
        </w:tc>
        <w:tc>
          <w:tcPr>
            <w:tcW w:w="2824" w:type="pct"/>
            <w:vAlign w:val="center"/>
          </w:tcPr>
          <w:p w14:paraId="336C0853"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9.</w:t>
            </w:r>
            <w:r w:rsidRPr="00A964FF">
              <w:rPr>
                <w:rFonts w:ascii="Calibri"/>
                <w:color w:val="auto"/>
                <w:szCs w:val="21"/>
              </w:rPr>
              <w:t>严格限制并逐步淘汰、替代高风险化学品生产、使用（涉及高风险化学品生产、使用的行业包括石油加工、炼焦、化学原料及化学制品制造、医药制造、有色金属冶炼及压延加工、毛皮皮革、有色金属矿采</w:t>
            </w:r>
            <w:r w:rsidRPr="00A964FF">
              <w:rPr>
                <w:rFonts w:ascii="Calibri"/>
                <w:color w:val="auto"/>
                <w:szCs w:val="21"/>
              </w:rPr>
              <w:lastRenderedPageBreak/>
              <w:t>选、铅蓄电池制造等）。</w:t>
            </w:r>
            <w:r w:rsidRPr="00A964FF">
              <w:rPr>
                <w:rFonts w:ascii="Calibri" w:hAnsi="Calibri"/>
                <w:color w:val="auto"/>
                <w:szCs w:val="21"/>
              </w:rPr>
              <w:t xml:space="preserve"> </w:t>
            </w:r>
          </w:p>
          <w:p w14:paraId="52882A33"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10.</w:t>
            </w:r>
            <w:r w:rsidRPr="00A964FF">
              <w:rPr>
                <w:rFonts w:ascii="Calibri"/>
                <w:color w:val="auto"/>
                <w:szCs w:val="21"/>
              </w:rPr>
              <w:t>建立集中式饮用水水源地突发环境事件应急预案，建立饮用水水源地污染来源预警、水质安全应急处理和水厂应急处理三位一体的饮用水水源地应急保障体系；依法清理饮用水水源保护区内违法建筑和排污口。</w:t>
            </w:r>
          </w:p>
          <w:p w14:paraId="4CC7BC65"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11.</w:t>
            </w:r>
            <w:r w:rsidRPr="00A964FF">
              <w:rPr>
                <w:rFonts w:ascii="Calibri"/>
                <w:color w:val="auto"/>
                <w:szCs w:val="21"/>
              </w:rPr>
              <w:t>完善四大流域上、下游政府及相关部门之间的联防联控、信息共享、闸坝调度机制，落实应急防范措施，强化应急演练，避免发生重、特大水污染事件。</w:t>
            </w:r>
          </w:p>
        </w:tc>
        <w:tc>
          <w:tcPr>
            <w:tcW w:w="1346" w:type="pct"/>
            <w:vAlign w:val="center"/>
          </w:tcPr>
          <w:p w14:paraId="25934EAD" w14:textId="77777777" w:rsidR="00442A89" w:rsidRPr="00A964FF" w:rsidRDefault="00AB5C7B" w:rsidP="00AB5C7B">
            <w:pPr>
              <w:adjustRightInd w:val="0"/>
              <w:snapToGrid w:val="0"/>
              <w:rPr>
                <w:rFonts w:ascii="Calibri" w:hAnsi="Calibri"/>
                <w:color w:val="auto"/>
              </w:rPr>
            </w:pPr>
            <w:r w:rsidRPr="00A964FF">
              <w:rPr>
                <w:rFonts w:ascii="Calibri" w:hint="eastAsia"/>
                <w:color w:val="auto"/>
                <w:szCs w:val="21"/>
              </w:rPr>
              <w:lastRenderedPageBreak/>
              <w:t>9</w:t>
            </w:r>
            <w:r w:rsidRPr="00A964FF">
              <w:rPr>
                <w:rFonts w:ascii="Calibri" w:hint="eastAsia"/>
                <w:color w:val="auto"/>
                <w:szCs w:val="21"/>
              </w:rPr>
              <w:t>、本项目产品</w:t>
            </w:r>
            <w:r w:rsidRPr="00A964FF">
              <w:rPr>
                <w:rFonts w:ascii="Calibri" w:hAnsi="Calibri" w:hint="eastAsia"/>
                <w:color w:val="auto"/>
              </w:rPr>
              <w:t>未列入《环境保护综合名录（</w:t>
            </w:r>
            <w:r w:rsidRPr="00A964FF">
              <w:rPr>
                <w:rFonts w:ascii="Calibri" w:hAnsi="Calibri" w:hint="eastAsia"/>
                <w:color w:val="auto"/>
              </w:rPr>
              <w:t>2021</w:t>
            </w:r>
            <w:r w:rsidRPr="00A964FF">
              <w:rPr>
                <w:rFonts w:ascii="Calibri" w:hAnsi="Calibri" w:hint="eastAsia"/>
                <w:color w:val="auto"/>
              </w:rPr>
              <w:t>年版）》中“高污染、高环境风险”产品名</w:t>
            </w:r>
            <w:r w:rsidRPr="00A964FF">
              <w:rPr>
                <w:rFonts w:ascii="Calibri" w:hAnsi="Calibri" w:hint="eastAsia"/>
                <w:color w:val="auto"/>
              </w:rPr>
              <w:lastRenderedPageBreak/>
              <w:t>录。</w:t>
            </w:r>
          </w:p>
          <w:p w14:paraId="1F3E107A" w14:textId="77777777" w:rsidR="00AB5C7B" w:rsidRPr="00A964FF" w:rsidRDefault="00AB5C7B" w:rsidP="00AB5C7B">
            <w:pPr>
              <w:adjustRightInd w:val="0"/>
              <w:snapToGrid w:val="0"/>
              <w:rPr>
                <w:rFonts w:ascii="Calibri" w:hAnsi="Calibri"/>
                <w:color w:val="auto"/>
                <w:szCs w:val="21"/>
              </w:rPr>
            </w:pPr>
            <w:r w:rsidRPr="00A964FF">
              <w:rPr>
                <w:rFonts w:ascii="Calibri" w:hAnsi="Calibri" w:hint="eastAsia"/>
                <w:color w:val="auto"/>
                <w:szCs w:val="21"/>
              </w:rPr>
              <w:t>10</w:t>
            </w:r>
            <w:r w:rsidRPr="00A964FF">
              <w:rPr>
                <w:rFonts w:ascii="Calibri" w:hAnsi="Calibri" w:hint="eastAsia"/>
                <w:color w:val="auto"/>
                <w:szCs w:val="21"/>
              </w:rPr>
              <w:t>、本项目不涉及该条内容。</w:t>
            </w:r>
          </w:p>
          <w:p w14:paraId="2B0AD2B1" w14:textId="77777777" w:rsidR="00AB5C7B" w:rsidRPr="00A964FF" w:rsidRDefault="00AB5C7B" w:rsidP="00AB5C7B">
            <w:pPr>
              <w:adjustRightInd w:val="0"/>
              <w:snapToGrid w:val="0"/>
              <w:rPr>
                <w:rFonts w:ascii="Calibri" w:hAnsi="Calibri"/>
                <w:color w:val="auto"/>
                <w:szCs w:val="21"/>
              </w:rPr>
            </w:pPr>
            <w:r w:rsidRPr="00A964FF">
              <w:rPr>
                <w:rFonts w:ascii="Calibri" w:hAnsi="Calibri" w:hint="eastAsia"/>
                <w:color w:val="auto"/>
                <w:szCs w:val="21"/>
              </w:rPr>
              <w:t>11</w:t>
            </w:r>
            <w:r w:rsidRPr="00A964FF">
              <w:rPr>
                <w:rFonts w:ascii="Calibri" w:hAnsi="Calibri" w:hint="eastAsia"/>
                <w:color w:val="auto"/>
                <w:szCs w:val="21"/>
              </w:rPr>
              <w:t>、本项目不涉及该条内容。</w:t>
            </w:r>
          </w:p>
        </w:tc>
        <w:tc>
          <w:tcPr>
            <w:tcW w:w="424" w:type="pct"/>
            <w:vAlign w:val="center"/>
          </w:tcPr>
          <w:p w14:paraId="594196E2"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lastRenderedPageBreak/>
              <w:t>符合</w:t>
            </w:r>
          </w:p>
        </w:tc>
      </w:tr>
    </w:tbl>
    <w:p w14:paraId="552B693D" w14:textId="77777777" w:rsidR="00442A89" w:rsidRPr="00A964FF" w:rsidRDefault="00442A89" w:rsidP="00442A89">
      <w:pPr>
        <w:autoSpaceDE w:val="0"/>
        <w:autoSpaceDN w:val="0"/>
        <w:spacing w:line="520" w:lineRule="exact"/>
        <w:ind w:firstLineChars="200" w:firstLine="482"/>
        <w:rPr>
          <w:rFonts w:ascii="Calibri" w:hAnsi="Calibri"/>
          <w:b/>
          <w:color w:val="auto"/>
          <w:kern w:val="0"/>
          <w:sz w:val="24"/>
        </w:rPr>
      </w:pPr>
      <w:r w:rsidRPr="00A964FF">
        <w:rPr>
          <w:rFonts w:ascii="Calibri" w:hint="eastAsia"/>
          <w:b/>
          <w:color w:val="auto"/>
          <w:kern w:val="0"/>
          <w:sz w:val="24"/>
        </w:rPr>
        <w:t>5</w:t>
      </w:r>
      <w:r w:rsidRPr="00A964FF">
        <w:rPr>
          <w:rFonts w:ascii="Calibri" w:hint="eastAsia"/>
          <w:b/>
          <w:color w:val="auto"/>
          <w:kern w:val="0"/>
          <w:sz w:val="24"/>
        </w:rPr>
        <w:t>、</w:t>
      </w:r>
      <w:r w:rsidRPr="00A964FF">
        <w:rPr>
          <w:rFonts w:ascii="Calibri"/>
          <w:b/>
          <w:color w:val="auto"/>
          <w:kern w:val="0"/>
          <w:sz w:val="24"/>
        </w:rPr>
        <w:t>河南省土壤生态环境总体准入要求</w:t>
      </w:r>
    </w:p>
    <w:p w14:paraId="7D712A30" w14:textId="77777777" w:rsidR="00442A89" w:rsidRPr="00A964FF" w:rsidRDefault="00442A89" w:rsidP="00442A89">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int="eastAsia"/>
          <w:color w:val="auto"/>
          <w:sz w:val="24"/>
        </w:rPr>
        <w:t>1.8-</w:t>
      </w:r>
      <w:r w:rsidRPr="00A964FF">
        <w:rPr>
          <w:rFonts w:ascii="Calibri" w:eastAsia="黑体" w:hAnsi="Calibri"/>
          <w:color w:val="auto"/>
          <w:sz w:val="24"/>
        </w:rPr>
        <w:t xml:space="preserve">5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color w:val="auto"/>
          <w:sz w:val="24"/>
        </w:rPr>
        <w:t>河南省土壤生态环境总体准入要求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01"/>
        <w:gridCol w:w="5406"/>
        <w:gridCol w:w="1735"/>
        <w:gridCol w:w="858"/>
      </w:tblGrid>
      <w:tr w:rsidR="00442A89" w:rsidRPr="00A964FF" w14:paraId="7A057D51" w14:textId="77777777" w:rsidTr="00E077A5">
        <w:trPr>
          <w:trHeight w:val="369"/>
          <w:jc w:val="center"/>
        </w:trPr>
        <w:tc>
          <w:tcPr>
            <w:tcW w:w="403" w:type="pct"/>
            <w:vAlign w:val="center"/>
          </w:tcPr>
          <w:p w14:paraId="796C7C41"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分区</w:t>
            </w:r>
          </w:p>
        </w:tc>
        <w:tc>
          <w:tcPr>
            <w:tcW w:w="3107" w:type="pct"/>
            <w:vAlign w:val="center"/>
          </w:tcPr>
          <w:p w14:paraId="51E7BD87"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准入要求</w:t>
            </w:r>
          </w:p>
        </w:tc>
        <w:tc>
          <w:tcPr>
            <w:tcW w:w="997" w:type="pct"/>
            <w:vAlign w:val="center"/>
          </w:tcPr>
          <w:p w14:paraId="425EBDE2"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本项目</w:t>
            </w:r>
          </w:p>
        </w:tc>
        <w:tc>
          <w:tcPr>
            <w:tcW w:w="493" w:type="pct"/>
            <w:vAlign w:val="center"/>
          </w:tcPr>
          <w:p w14:paraId="47A758C6"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符合性</w:t>
            </w:r>
          </w:p>
        </w:tc>
      </w:tr>
      <w:tr w:rsidR="00442A89" w:rsidRPr="00A964FF" w14:paraId="3F10FAA1" w14:textId="77777777" w:rsidTr="00E077A5">
        <w:trPr>
          <w:trHeight w:val="1281"/>
          <w:jc w:val="center"/>
        </w:trPr>
        <w:tc>
          <w:tcPr>
            <w:tcW w:w="403" w:type="pct"/>
            <w:vAlign w:val="center"/>
          </w:tcPr>
          <w:p w14:paraId="3FA58104"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建设用地</w:t>
            </w:r>
          </w:p>
        </w:tc>
        <w:tc>
          <w:tcPr>
            <w:tcW w:w="3107" w:type="pct"/>
            <w:vAlign w:val="center"/>
          </w:tcPr>
          <w:p w14:paraId="4B534235"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5.</w:t>
            </w:r>
            <w:r w:rsidRPr="00A964FF">
              <w:rPr>
                <w:rFonts w:ascii="Calibri"/>
                <w:color w:val="auto"/>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r w:rsidRPr="00A964FF">
              <w:rPr>
                <w:rFonts w:ascii="Calibri" w:hAnsi="Calibri"/>
                <w:color w:val="auto"/>
                <w:szCs w:val="21"/>
              </w:rPr>
              <w:t xml:space="preserve"> </w:t>
            </w:r>
          </w:p>
          <w:p w14:paraId="541FB73B"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6.</w:t>
            </w:r>
            <w:r w:rsidRPr="00A964FF">
              <w:rPr>
                <w:rFonts w:ascii="Calibri"/>
                <w:color w:val="auto"/>
                <w:szCs w:val="21"/>
              </w:rPr>
              <w:t>污染地块未经治理与修复，或者经治理与修复但未达到相关规划用地土壤环境质量要求的，有关生态环境主管部门不予批准选址涉及该污染地块的建设项目环评，自然资源部门不得核发建设工程规划许可证；列入建设用地土壤污染风险管控和修复名录的地块，禁止开工建设任何与风险管控、修复无关的项目。</w:t>
            </w:r>
            <w:r w:rsidRPr="00A964FF">
              <w:rPr>
                <w:rFonts w:ascii="Calibri" w:hAnsi="Calibri"/>
                <w:color w:val="auto"/>
                <w:szCs w:val="21"/>
              </w:rPr>
              <w:t xml:space="preserve"> </w:t>
            </w:r>
          </w:p>
          <w:p w14:paraId="5FC53350"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7.</w:t>
            </w:r>
            <w:r w:rsidRPr="00A964FF">
              <w:rPr>
                <w:rFonts w:ascii="Calibri"/>
                <w:color w:val="auto"/>
                <w:szCs w:val="21"/>
              </w:rPr>
              <w:t>对列入污染地块名录的地块，土地使用权人应当根据风险评估结果，并结合污染地块相关开发利用计划，有针对性地实施风险管控，对暂不开发利用的污染地块，实施以防止污染扩散为目的的风险管控；对拟开发利用为居住用地和商业、学校、医疗、养老机构等公共设施用地的污染地块，实施以安全利用为目的的风险管控；对拟开发利用为居住用地和商业、学校、医疗、养老机构等公共设施用地的污染地块，经风险评估确认需要治理与修复的，土地使用权人应当开展治理与修复。</w:t>
            </w:r>
          </w:p>
          <w:p w14:paraId="2B4E7EF2" w14:textId="77777777" w:rsidR="00442A89" w:rsidRPr="00A964FF" w:rsidRDefault="00442A89" w:rsidP="00E077A5">
            <w:pPr>
              <w:adjustRightInd w:val="0"/>
              <w:snapToGrid w:val="0"/>
              <w:rPr>
                <w:rFonts w:ascii="Calibri"/>
                <w:color w:val="auto"/>
                <w:szCs w:val="21"/>
              </w:rPr>
            </w:pPr>
            <w:r w:rsidRPr="00A964FF">
              <w:rPr>
                <w:rFonts w:ascii="Calibri" w:hAnsi="Calibri"/>
                <w:color w:val="auto"/>
                <w:szCs w:val="21"/>
              </w:rPr>
              <w:t>8.</w:t>
            </w:r>
            <w:r w:rsidRPr="00A964FF">
              <w:rPr>
                <w:rFonts w:ascii="Calibri"/>
                <w:color w:val="auto"/>
                <w:szCs w:val="21"/>
              </w:rPr>
              <w:t>对列入污染地块名录的地块及时移除或者清理污染源；采取污染隔离、阻断等措施，防止污染扩散；开展土壤、地表水、地下水、空气环境监测，发现污染扩散的，及时采取有效补救措施；污染地块治理与修复期间应当采取有效措施防止对地块及其周边环境造成二次污染，治理与修复过程中产生的废水、废气和固体废物按照国家有关规定进行处理或者处置，并达到相关环境标准和要求。</w:t>
            </w:r>
            <w:r w:rsidRPr="00A964FF">
              <w:rPr>
                <w:rFonts w:ascii="Calibri"/>
                <w:color w:val="auto"/>
                <w:szCs w:val="21"/>
              </w:rPr>
              <w:t xml:space="preserve"> </w:t>
            </w:r>
          </w:p>
          <w:p w14:paraId="7D68DF8E" w14:textId="77777777" w:rsidR="00442A89" w:rsidRPr="00A964FF" w:rsidRDefault="00442A89" w:rsidP="00E077A5">
            <w:pPr>
              <w:adjustRightInd w:val="0"/>
              <w:snapToGrid w:val="0"/>
              <w:rPr>
                <w:rFonts w:ascii="Calibri"/>
                <w:color w:val="auto"/>
                <w:szCs w:val="21"/>
              </w:rPr>
            </w:pPr>
            <w:r w:rsidRPr="00A964FF">
              <w:rPr>
                <w:rFonts w:ascii="Calibri"/>
                <w:color w:val="auto"/>
                <w:szCs w:val="21"/>
              </w:rPr>
              <w:t>9.</w:t>
            </w:r>
            <w:r w:rsidRPr="00A964FF">
              <w:rPr>
                <w:rFonts w:ascii="Calibri"/>
                <w:color w:val="auto"/>
                <w:szCs w:val="21"/>
              </w:rPr>
              <w:t>对列入疑似污染地块名单的地块，未经土壤污染状况调查确定为未污染地块的，不得进入用地程序。</w:t>
            </w:r>
          </w:p>
          <w:p w14:paraId="3B553C07" w14:textId="77777777" w:rsidR="00442A89" w:rsidRPr="00A964FF" w:rsidRDefault="00442A89" w:rsidP="00E077A5">
            <w:pPr>
              <w:adjustRightInd w:val="0"/>
              <w:snapToGrid w:val="0"/>
              <w:rPr>
                <w:rFonts w:ascii="Calibri" w:hAnsi="Calibri"/>
                <w:color w:val="auto"/>
                <w:szCs w:val="21"/>
              </w:rPr>
            </w:pPr>
            <w:r w:rsidRPr="00A964FF">
              <w:rPr>
                <w:rFonts w:ascii="Calibri"/>
                <w:color w:val="auto"/>
                <w:szCs w:val="21"/>
              </w:rPr>
              <w:t>10.</w:t>
            </w:r>
            <w:r w:rsidRPr="00A964FF">
              <w:rPr>
                <w:rFonts w:ascii="Calibri"/>
                <w:color w:val="auto"/>
                <w:szCs w:val="21"/>
              </w:rPr>
              <w:t>鼓励土壤污染重点监管单位向工业园区集聚发展。重点单位新改扩建项目用地应当符合国家或者地方有关建设用地土壤污染风险管控标准；重点单位在隐患排查、监测等活动中发现工矿用地土壤和地下水存在污染迹象的，应当排查污染源，查明污染原因，采取措施防止新增污染；重点单位拆除设施、设备或者建筑物、构筑物的，应当制</w:t>
            </w:r>
            <w:r w:rsidRPr="00A964FF">
              <w:rPr>
                <w:rFonts w:ascii="Calibri"/>
                <w:color w:val="auto"/>
                <w:szCs w:val="21"/>
              </w:rPr>
              <w:lastRenderedPageBreak/>
              <w:t>定包括应急措施在内的土壤污染防治工作方案，报地方人民政府生态环境、工业和信息化主管部门备案并实施。</w:t>
            </w:r>
            <w:r w:rsidRPr="00A964FF">
              <w:rPr>
                <w:rFonts w:ascii="Calibri" w:hAnsi="Calibri"/>
                <w:color w:val="auto"/>
                <w:szCs w:val="21"/>
              </w:rPr>
              <w:t xml:space="preserve"> </w:t>
            </w:r>
          </w:p>
          <w:p w14:paraId="4FECB2AE"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11.</w:t>
            </w:r>
            <w:r w:rsidRPr="00A964FF">
              <w:rPr>
                <w:rFonts w:ascii="Calibri"/>
                <w:color w:val="auto"/>
                <w:szCs w:val="21"/>
              </w:rPr>
              <w:t>优先对集中式饮用水水源地上游和永久基本农田周边地区的现役尾矿库，通过采取覆膜、压土、排洪、堤坝加固等隐患治理，以及提等改造、工艺升级和强化保障等措施，开展整治工作，对已闭库的，及时开展尾矿库用地复垦或生态恢复；重点监管的尾矿库所属企业要完成环境安全隐患排查和风险评估，完善污染治理设施，储备应急物资，按规定编制、报备环境应急预案。</w:t>
            </w:r>
            <w:r w:rsidRPr="00A964FF">
              <w:rPr>
                <w:rFonts w:ascii="Calibri" w:hAnsi="Calibri"/>
                <w:color w:val="auto"/>
                <w:szCs w:val="21"/>
              </w:rPr>
              <w:t xml:space="preserve"> </w:t>
            </w:r>
          </w:p>
          <w:p w14:paraId="468FAAC2"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12.</w:t>
            </w:r>
            <w:r w:rsidRPr="00A964FF">
              <w:rPr>
                <w:rFonts w:ascii="Calibri"/>
                <w:color w:val="auto"/>
                <w:szCs w:val="21"/>
              </w:rPr>
              <w:t>严格规范生活垃圾处理设施运行管理，坚决查处渗滤液直排和超标排放行为，完善生活垃圾填埋场防扬散等措施。</w:t>
            </w:r>
          </w:p>
          <w:p w14:paraId="10969D63"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13.</w:t>
            </w:r>
            <w:r w:rsidRPr="00A964FF">
              <w:rPr>
                <w:rFonts w:ascii="Calibri"/>
                <w:color w:val="auto"/>
                <w:szCs w:val="21"/>
              </w:rPr>
              <w:t>生产、使用、贮存、运输、回收、处置、排放有毒有害物质的单位和个人，应当采取有效措施，防止有毒有害物质渗漏、流失、扬散，避免土壤受到污染。</w:t>
            </w:r>
          </w:p>
          <w:p w14:paraId="7D208852"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14.</w:t>
            </w:r>
            <w:r w:rsidRPr="00A964FF">
              <w:rPr>
                <w:rFonts w:ascii="Calibri"/>
                <w:color w:val="auto"/>
                <w:szCs w:val="21"/>
              </w:rPr>
              <w:t>强化产业园区的整体土壤与地下水污染防控，强化园区规划环评及具体项目环评对土壤污染的影响分析和风险防控措施；涉重或化工产业园区或园区内企业应定期对园区内土壤环境质量进行监测，发现污染情形时及时上报当地生态环境主管部门，并立即采取风险管控措施。</w:t>
            </w:r>
          </w:p>
        </w:tc>
        <w:tc>
          <w:tcPr>
            <w:tcW w:w="997" w:type="pct"/>
            <w:vAlign w:val="center"/>
          </w:tcPr>
          <w:p w14:paraId="641ABC2E" w14:textId="77777777" w:rsidR="00AB5C7B" w:rsidRPr="00A964FF" w:rsidRDefault="00AB5C7B" w:rsidP="00E077A5">
            <w:pPr>
              <w:adjustRightInd w:val="0"/>
              <w:snapToGrid w:val="0"/>
              <w:rPr>
                <w:rFonts w:ascii="Calibri"/>
                <w:color w:val="auto"/>
                <w:szCs w:val="21"/>
              </w:rPr>
            </w:pPr>
            <w:r w:rsidRPr="00A964FF">
              <w:rPr>
                <w:rFonts w:ascii="Calibri" w:hint="eastAsia"/>
                <w:color w:val="auto"/>
                <w:szCs w:val="21"/>
              </w:rPr>
              <w:lastRenderedPageBreak/>
              <w:t>5</w:t>
            </w:r>
            <w:r w:rsidRPr="00A964FF">
              <w:rPr>
                <w:rFonts w:ascii="Calibri" w:hint="eastAsia"/>
                <w:color w:val="auto"/>
                <w:szCs w:val="21"/>
              </w:rPr>
              <w:t>、本项目不涉及重金属污染物排放。</w:t>
            </w:r>
          </w:p>
          <w:p w14:paraId="70B21D6E" w14:textId="77777777" w:rsidR="00AB5C7B" w:rsidRPr="00A964FF" w:rsidRDefault="00AB5C7B" w:rsidP="00E077A5">
            <w:pPr>
              <w:adjustRightInd w:val="0"/>
              <w:snapToGrid w:val="0"/>
              <w:rPr>
                <w:rFonts w:ascii="Calibri"/>
                <w:color w:val="auto"/>
                <w:szCs w:val="21"/>
              </w:rPr>
            </w:pPr>
            <w:r w:rsidRPr="00A964FF">
              <w:rPr>
                <w:rFonts w:ascii="Calibri" w:hint="eastAsia"/>
                <w:color w:val="auto"/>
                <w:szCs w:val="21"/>
              </w:rPr>
              <w:t>6</w:t>
            </w:r>
            <w:r w:rsidRPr="00A964FF">
              <w:rPr>
                <w:rFonts w:ascii="Calibri" w:hint="eastAsia"/>
                <w:color w:val="auto"/>
                <w:szCs w:val="21"/>
              </w:rPr>
              <w:t>、本项目为新建项目，不涉及该条内容。</w:t>
            </w:r>
          </w:p>
          <w:p w14:paraId="7C1FF44D" w14:textId="77777777" w:rsidR="00AB5C7B" w:rsidRPr="00A964FF" w:rsidRDefault="00AB5C7B" w:rsidP="00E077A5">
            <w:pPr>
              <w:adjustRightInd w:val="0"/>
              <w:snapToGrid w:val="0"/>
              <w:rPr>
                <w:rFonts w:ascii="Calibri"/>
                <w:color w:val="auto"/>
                <w:szCs w:val="21"/>
              </w:rPr>
            </w:pPr>
            <w:r w:rsidRPr="00A964FF">
              <w:rPr>
                <w:rFonts w:ascii="Calibri" w:hint="eastAsia"/>
                <w:color w:val="auto"/>
                <w:szCs w:val="21"/>
              </w:rPr>
              <w:t>7</w:t>
            </w:r>
            <w:r w:rsidRPr="00A964FF">
              <w:rPr>
                <w:rFonts w:ascii="Calibri" w:hint="eastAsia"/>
                <w:color w:val="auto"/>
                <w:szCs w:val="21"/>
              </w:rPr>
              <w:t>、本项目不涉及该条内容。</w:t>
            </w:r>
          </w:p>
          <w:p w14:paraId="70EC2B2D" w14:textId="77777777" w:rsidR="00AB5C7B" w:rsidRPr="00A964FF" w:rsidRDefault="00AB5C7B" w:rsidP="00E077A5">
            <w:pPr>
              <w:adjustRightInd w:val="0"/>
              <w:snapToGrid w:val="0"/>
              <w:rPr>
                <w:rFonts w:ascii="Calibri"/>
                <w:color w:val="auto"/>
                <w:szCs w:val="21"/>
              </w:rPr>
            </w:pPr>
            <w:r w:rsidRPr="00A964FF">
              <w:rPr>
                <w:rFonts w:ascii="Calibri" w:hint="eastAsia"/>
                <w:color w:val="auto"/>
                <w:szCs w:val="21"/>
              </w:rPr>
              <w:t>8</w:t>
            </w:r>
            <w:r w:rsidRPr="00A964FF">
              <w:rPr>
                <w:rFonts w:ascii="Calibri" w:hint="eastAsia"/>
                <w:color w:val="auto"/>
                <w:szCs w:val="21"/>
              </w:rPr>
              <w:t>、本项目不涉及该条内容。</w:t>
            </w:r>
          </w:p>
          <w:p w14:paraId="2F414B45" w14:textId="77777777" w:rsidR="00AB5C7B" w:rsidRPr="00A964FF" w:rsidRDefault="00AB5C7B" w:rsidP="00E077A5">
            <w:pPr>
              <w:adjustRightInd w:val="0"/>
              <w:snapToGrid w:val="0"/>
              <w:rPr>
                <w:rFonts w:ascii="Calibri"/>
                <w:color w:val="auto"/>
                <w:szCs w:val="21"/>
              </w:rPr>
            </w:pPr>
            <w:r w:rsidRPr="00A964FF">
              <w:rPr>
                <w:rFonts w:ascii="Calibri" w:hint="eastAsia"/>
                <w:color w:val="auto"/>
                <w:szCs w:val="21"/>
              </w:rPr>
              <w:t>9</w:t>
            </w:r>
            <w:r w:rsidRPr="00A964FF">
              <w:rPr>
                <w:rFonts w:ascii="Calibri" w:hint="eastAsia"/>
                <w:color w:val="auto"/>
                <w:szCs w:val="21"/>
              </w:rPr>
              <w:t>、本项目不涉及该条内容。</w:t>
            </w:r>
          </w:p>
          <w:p w14:paraId="76F15B86" w14:textId="77777777" w:rsidR="00442A89" w:rsidRPr="00A964FF" w:rsidRDefault="00AB5C7B" w:rsidP="00E077A5">
            <w:pPr>
              <w:adjustRightInd w:val="0"/>
              <w:snapToGrid w:val="0"/>
              <w:rPr>
                <w:rFonts w:ascii="Calibri"/>
                <w:color w:val="auto"/>
                <w:szCs w:val="21"/>
              </w:rPr>
            </w:pPr>
            <w:r w:rsidRPr="00A964FF">
              <w:rPr>
                <w:rFonts w:ascii="Calibri" w:hint="eastAsia"/>
                <w:color w:val="auto"/>
                <w:szCs w:val="21"/>
              </w:rPr>
              <w:t>10</w:t>
            </w:r>
            <w:r w:rsidRPr="00A964FF">
              <w:rPr>
                <w:rFonts w:ascii="Calibri" w:hint="eastAsia"/>
                <w:color w:val="auto"/>
                <w:szCs w:val="21"/>
              </w:rPr>
              <w:t>、本项目选址位于平顶山尼龙新材料产业集聚区，用地符合</w:t>
            </w:r>
            <w:r w:rsidRPr="00A964FF">
              <w:rPr>
                <w:rFonts w:ascii="Calibri"/>
                <w:color w:val="auto"/>
                <w:szCs w:val="21"/>
              </w:rPr>
              <w:t>建设用地土壤污染风险管控标准</w:t>
            </w:r>
            <w:r w:rsidRPr="00A964FF">
              <w:rPr>
                <w:rFonts w:ascii="Calibri" w:hint="eastAsia"/>
                <w:color w:val="auto"/>
                <w:szCs w:val="21"/>
              </w:rPr>
              <w:t>，营运后及时开展</w:t>
            </w:r>
            <w:r w:rsidRPr="00A964FF">
              <w:rPr>
                <w:rFonts w:ascii="Calibri"/>
                <w:color w:val="auto"/>
                <w:szCs w:val="21"/>
              </w:rPr>
              <w:t>隐患排查、监测等活动</w:t>
            </w:r>
            <w:r w:rsidRPr="00A964FF">
              <w:rPr>
                <w:rFonts w:ascii="Calibri" w:hint="eastAsia"/>
                <w:color w:val="auto"/>
                <w:szCs w:val="21"/>
              </w:rPr>
              <w:t>。</w:t>
            </w:r>
          </w:p>
          <w:p w14:paraId="24510C22" w14:textId="77777777" w:rsidR="00AB5C7B" w:rsidRPr="00A964FF" w:rsidRDefault="00AB5C7B" w:rsidP="00E077A5">
            <w:pPr>
              <w:adjustRightInd w:val="0"/>
              <w:snapToGrid w:val="0"/>
              <w:rPr>
                <w:rFonts w:ascii="Calibri"/>
                <w:color w:val="auto"/>
                <w:szCs w:val="21"/>
              </w:rPr>
            </w:pPr>
            <w:r w:rsidRPr="00A964FF">
              <w:rPr>
                <w:rFonts w:ascii="Calibri" w:hint="eastAsia"/>
                <w:color w:val="auto"/>
                <w:szCs w:val="21"/>
              </w:rPr>
              <w:t>11</w:t>
            </w:r>
            <w:r w:rsidRPr="00A964FF">
              <w:rPr>
                <w:rFonts w:ascii="Calibri" w:hint="eastAsia"/>
                <w:color w:val="auto"/>
                <w:szCs w:val="21"/>
              </w:rPr>
              <w:t>、本项目不涉及该条内容。</w:t>
            </w:r>
          </w:p>
          <w:p w14:paraId="544B2FEB" w14:textId="77777777" w:rsidR="00AB5C7B" w:rsidRPr="00A964FF" w:rsidRDefault="00AB5C7B" w:rsidP="00AB5C7B">
            <w:pPr>
              <w:adjustRightInd w:val="0"/>
              <w:snapToGrid w:val="0"/>
              <w:rPr>
                <w:rFonts w:ascii="Calibri"/>
                <w:color w:val="auto"/>
                <w:szCs w:val="21"/>
              </w:rPr>
            </w:pPr>
            <w:r w:rsidRPr="00A964FF">
              <w:rPr>
                <w:rFonts w:ascii="Calibri" w:hint="eastAsia"/>
                <w:color w:val="auto"/>
                <w:szCs w:val="21"/>
              </w:rPr>
              <w:t>12</w:t>
            </w:r>
            <w:r w:rsidRPr="00A964FF">
              <w:rPr>
                <w:rFonts w:ascii="Calibri" w:hint="eastAsia"/>
                <w:color w:val="auto"/>
                <w:szCs w:val="21"/>
              </w:rPr>
              <w:t>、本项目生活垃圾日产日清，不产生渗滤液，收集后送集聚区垃圾中转站。</w:t>
            </w:r>
          </w:p>
          <w:p w14:paraId="637A33B8" w14:textId="77777777" w:rsidR="00AB5C7B" w:rsidRPr="00A964FF" w:rsidRDefault="00AB5C7B" w:rsidP="00AB5C7B">
            <w:pPr>
              <w:adjustRightInd w:val="0"/>
              <w:snapToGrid w:val="0"/>
              <w:rPr>
                <w:rFonts w:ascii="Calibri"/>
                <w:color w:val="auto"/>
                <w:szCs w:val="21"/>
              </w:rPr>
            </w:pPr>
            <w:r w:rsidRPr="00A964FF">
              <w:rPr>
                <w:rFonts w:ascii="Calibri" w:hint="eastAsia"/>
                <w:color w:val="auto"/>
                <w:szCs w:val="21"/>
              </w:rPr>
              <w:t>13</w:t>
            </w:r>
            <w:r w:rsidRPr="00A964FF">
              <w:rPr>
                <w:rFonts w:ascii="Calibri" w:hint="eastAsia"/>
                <w:color w:val="auto"/>
                <w:szCs w:val="21"/>
              </w:rPr>
              <w:t>、本项目营运后对各种化学品采区有效措施，避免污染土壤。</w:t>
            </w:r>
          </w:p>
          <w:p w14:paraId="621F0284" w14:textId="77777777" w:rsidR="00AB5C7B" w:rsidRPr="00A964FF" w:rsidRDefault="00AB5C7B" w:rsidP="00AB5C7B">
            <w:pPr>
              <w:adjustRightInd w:val="0"/>
              <w:snapToGrid w:val="0"/>
              <w:rPr>
                <w:rFonts w:ascii="Calibri" w:hAnsi="Calibri"/>
                <w:color w:val="auto"/>
                <w:szCs w:val="21"/>
              </w:rPr>
            </w:pPr>
            <w:r w:rsidRPr="00A964FF">
              <w:rPr>
                <w:rFonts w:ascii="Calibri" w:hint="eastAsia"/>
                <w:color w:val="auto"/>
                <w:szCs w:val="21"/>
              </w:rPr>
              <w:t>14</w:t>
            </w:r>
            <w:r w:rsidRPr="00A964FF">
              <w:rPr>
                <w:rFonts w:ascii="Calibri" w:hint="eastAsia"/>
                <w:color w:val="auto"/>
                <w:szCs w:val="21"/>
              </w:rPr>
              <w:t>、本项目营运后应</w:t>
            </w:r>
            <w:r w:rsidRPr="00A964FF">
              <w:rPr>
                <w:rFonts w:ascii="Calibri"/>
                <w:color w:val="auto"/>
                <w:szCs w:val="21"/>
              </w:rPr>
              <w:t>定期对园区内土壤环境质量进行监测，发现</w:t>
            </w:r>
            <w:r w:rsidRPr="00A964FF">
              <w:rPr>
                <w:rFonts w:ascii="Calibri"/>
                <w:color w:val="auto"/>
                <w:szCs w:val="21"/>
              </w:rPr>
              <w:lastRenderedPageBreak/>
              <w:t>污染情形时及时上报当地生态环境主管部门，并立即采取风险管控措施</w:t>
            </w:r>
            <w:r w:rsidRPr="00A964FF">
              <w:rPr>
                <w:rFonts w:ascii="Calibri" w:hint="eastAsia"/>
                <w:color w:val="auto"/>
                <w:szCs w:val="21"/>
              </w:rPr>
              <w:t>。</w:t>
            </w:r>
          </w:p>
        </w:tc>
        <w:tc>
          <w:tcPr>
            <w:tcW w:w="493" w:type="pct"/>
            <w:vAlign w:val="center"/>
          </w:tcPr>
          <w:p w14:paraId="5AB078A3"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lastRenderedPageBreak/>
              <w:t>符合</w:t>
            </w:r>
          </w:p>
        </w:tc>
      </w:tr>
    </w:tbl>
    <w:p w14:paraId="096BBE2B" w14:textId="77777777" w:rsidR="00FA4DEF" w:rsidRPr="00AD7758" w:rsidRDefault="00442A89" w:rsidP="00AD7758">
      <w:pPr>
        <w:autoSpaceDE w:val="0"/>
        <w:autoSpaceDN w:val="0"/>
        <w:spacing w:line="520" w:lineRule="exact"/>
        <w:ind w:firstLineChars="200" w:firstLine="482"/>
        <w:rPr>
          <w:rFonts w:ascii="Calibri" w:hAnsi="Calibri"/>
          <w:b/>
          <w:color w:val="auto"/>
          <w:kern w:val="0"/>
          <w:sz w:val="24"/>
        </w:rPr>
      </w:pPr>
      <w:r w:rsidRPr="00A964FF">
        <w:rPr>
          <w:rFonts w:ascii="Calibri" w:hint="eastAsia"/>
          <w:b/>
          <w:color w:val="auto"/>
          <w:kern w:val="0"/>
          <w:sz w:val="24"/>
        </w:rPr>
        <w:t>6</w:t>
      </w:r>
      <w:r w:rsidRPr="00A964FF">
        <w:rPr>
          <w:rFonts w:ascii="Calibri" w:hint="eastAsia"/>
          <w:b/>
          <w:color w:val="auto"/>
          <w:kern w:val="0"/>
          <w:sz w:val="24"/>
        </w:rPr>
        <w:t>、</w:t>
      </w:r>
      <w:r w:rsidRPr="00A964FF">
        <w:rPr>
          <w:rFonts w:ascii="Calibri"/>
          <w:b/>
          <w:color w:val="auto"/>
          <w:kern w:val="0"/>
          <w:sz w:val="24"/>
        </w:rPr>
        <w:t>河南省资源利用效率总体准入要求</w:t>
      </w:r>
    </w:p>
    <w:p w14:paraId="056B3CA2" w14:textId="77777777" w:rsidR="00442A89" w:rsidRPr="00A964FF" w:rsidRDefault="00442A89" w:rsidP="00442A89">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int="eastAsia"/>
          <w:color w:val="auto"/>
          <w:sz w:val="24"/>
        </w:rPr>
        <w:t>1.8-</w:t>
      </w:r>
      <w:r w:rsidRPr="00A964FF">
        <w:rPr>
          <w:rFonts w:ascii="Calibri" w:eastAsia="黑体" w:hAnsi="Calibri"/>
          <w:color w:val="auto"/>
          <w:sz w:val="24"/>
        </w:rPr>
        <w:t xml:space="preserve">6            </w:t>
      </w:r>
      <w:r w:rsidRPr="00A964FF">
        <w:rPr>
          <w:rFonts w:ascii="Calibri" w:eastAsia="黑体"/>
          <w:color w:val="auto"/>
          <w:sz w:val="24"/>
        </w:rPr>
        <w:t>河南省资源利用效率总体准入要求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08"/>
        <w:gridCol w:w="5399"/>
        <w:gridCol w:w="1681"/>
        <w:gridCol w:w="912"/>
      </w:tblGrid>
      <w:tr w:rsidR="00442A89" w:rsidRPr="00A964FF" w14:paraId="54F6C925" w14:textId="77777777" w:rsidTr="00E077A5">
        <w:trPr>
          <w:trHeight w:val="369"/>
          <w:jc w:val="center"/>
        </w:trPr>
        <w:tc>
          <w:tcPr>
            <w:tcW w:w="407" w:type="pct"/>
            <w:vAlign w:val="center"/>
          </w:tcPr>
          <w:p w14:paraId="7E01D17D"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类型</w:t>
            </w:r>
          </w:p>
        </w:tc>
        <w:tc>
          <w:tcPr>
            <w:tcW w:w="3103" w:type="pct"/>
            <w:vAlign w:val="center"/>
          </w:tcPr>
          <w:p w14:paraId="26CEA2EB"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准入要求</w:t>
            </w:r>
          </w:p>
        </w:tc>
        <w:tc>
          <w:tcPr>
            <w:tcW w:w="966" w:type="pct"/>
            <w:vAlign w:val="center"/>
          </w:tcPr>
          <w:p w14:paraId="604CEA9C"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本项目</w:t>
            </w:r>
          </w:p>
        </w:tc>
        <w:tc>
          <w:tcPr>
            <w:tcW w:w="524" w:type="pct"/>
            <w:vAlign w:val="center"/>
          </w:tcPr>
          <w:p w14:paraId="01D14954"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符合性</w:t>
            </w:r>
          </w:p>
        </w:tc>
      </w:tr>
      <w:tr w:rsidR="00442A89" w:rsidRPr="00A964FF" w14:paraId="0143BE59" w14:textId="77777777" w:rsidTr="00E077A5">
        <w:trPr>
          <w:trHeight w:val="4352"/>
          <w:jc w:val="center"/>
        </w:trPr>
        <w:tc>
          <w:tcPr>
            <w:tcW w:w="407" w:type="pct"/>
            <w:vAlign w:val="center"/>
          </w:tcPr>
          <w:p w14:paraId="1A8F820A"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能源</w:t>
            </w:r>
          </w:p>
        </w:tc>
        <w:tc>
          <w:tcPr>
            <w:tcW w:w="3103" w:type="pct"/>
            <w:vAlign w:val="center"/>
          </w:tcPr>
          <w:p w14:paraId="0E7C6BD7"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w:t>
            </w:r>
            <w:r w:rsidRPr="00A964FF">
              <w:rPr>
                <w:rFonts w:ascii="Calibri"/>
                <w:color w:val="auto"/>
                <w:szCs w:val="21"/>
              </w:rPr>
              <w:t>控制高硫高灰煤开发和销售，推进煤炭清洁化利用，煤炭入选率提高到</w:t>
            </w:r>
            <w:r w:rsidRPr="00A964FF">
              <w:rPr>
                <w:rFonts w:ascii="Calibri" w:hAnsi="Calibri"/>
                <w:color w:val="auto"/>
                <w:szCs w:val="21"/>
              </w:rPr>
              <w:t>80%</w:t>
            </w:r>
            <w:r w:rsidRPr="00A964FF">
              <w:rPr>
                <w:rFonts w:ascii="Calibri"/>
                <w:color w:val="auto"/>
                <w:szCs w:val="21"/>
              </w:rPr>
              <w:t>。</w:t>
            </w:r>
          </w:p>
          <w:p w14:paraId="5641BF0B"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2.</w:t>
            </w:r>
            <w:r w:rsidRPr="00A964FF">
              <w:rPr>
                <w:rFonts w:ascii="Calibri"/>
                <w:color w:val="auto"/>
                <w:szCs w:val="21"/>
              </w:rPr>
              <w:t>新建高耗煤项目单位产品（产值）能耗要达到国内先进水平；到</w:t>
            </w:r>
            <w:r w:rsidRPr="00A964FF">
              <w:rPr>
                <w:rFonts w:ascii="Calibri" w:hAnsi="Calibri"/>
                <w:color w:val="auto"/>
                <w:szCs w:val="21"/>
              </w:rPr>
              <w:t>2025</w:t>
            </w:r>
            <w:r w:rsidRPr="00A964FF">
              <w:rPr>
                <w:rFonts w:ascii="Calibri"/>
                <w:color w:val="auto"/>
                <w:szCs w:val="21"/>
              </w:rPr>
              <w:t>年，通过实施节能降碳行动，钢铁、电解铝、水泥、平板玻璃行业能效达到标杆水平的产能比例超过</w:t>
            </w:r>
            <w:r w:rsidRPr="00A964FF">
              <w:rPr>
                <w:rFonts w:ascii="Calibri" w:hAnsi="Calibri"/>
                <w:color w:val="auto"/>
                <w:szCs w:val="21"/>
              </w:rPr>
              <w:t>30%</w:t>
            </w:r>
            <w:r w:rsidRPr="00A964FF">
              <w:rPr>
                <w:rFonts w:ascii="Calibri"/>
                <w:color w:val="auto"/>
                <w:szCs w:val="21"/>
              </w:rPr>
              <w:t>，行业整体能效水平明显提升，碳排放强度明显下降，绿色低碳发展能力显著增强。</w:t>
            </w:r>
          </w:p>
          <w:p w14:paraId="334ADBB8"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3.</w:t>
            </w:r>
            <w:r w:rsidRPr="00A964FF">
              <w:rPr>
                <w:rFonts w:ascii="Calibri"/>
                <w:color w:val="auto"/>
                <w:szCs w:val="21"/>
              </w:rPr>
              <w:t>禁燃区内，禁止销售、燃用高污染燃料；禁止新建、扩建燃用高污染燃料的设施，已建成的，应当在城市人民政府规定的期限内改用天然气、页岩气、液化石油气、电或者其他清洁能源。</w:t>
            </w:r>
          </w:p>
          <w:p w14:paraId="59DBE9B3"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4.</w:t>
            </w:r>
            <w:r w:rsidRPr="00A964FF">
              <w:rPr>
                <w:rFonts w:ascii="Calibri"/>
                <w:color w:val="auto"/>
                <w:szCs w:val="21"/>
              </w:rPr>
              <w:t>禁燃区内，鼓励有条件的工业窑炉开展煤改气、煤改电；鼓励符合条件的区域建设大型风电基地，因地制宜推动分散式风电开发；鼓励新型工业、高技术企业利用天然气，深入推进城镇天然气利用工程，扩大天然气利用规模和提升供气保障能力。</w:t>
            </w:r>
          </w:p>
        </w:tc>
        <w:tc>
          <w:tcPr>
            <w:tcW w:w="966" w:type="pct"/>
            <w:vAlign w:val="center"/>
          </w:tcPr>
          <w:p w14:paraId="64A15948" w14:textId="77777777" w:rsidR="00442A89" w:rsidRPr="00A964FF" w:rsidRDefault="00442A89" w:rsidP="00E077A5">
            <w:pPr>
              <w:adjustRightInd w:val="0"/>
              <w:snapToGrid w:val="0"/>
              <w:rPr>
                <w:rFonts w:ascii="Calibri"/>
                <w:color w:val="auto"/>
                <w:szCs w:val="21"/>
              </w:rPr>
            </w:pPr>
            <w:r w:rsidRPr="00A964FF">
              <w:rPr>
                <w:rFonts w:ascii="Calibri" w:hint="eastAsia"/>
                <w:color w:val="auto"/>
                <w:szCs w:val="21"/>
              </w:rPr>
              <w:t>1</w:t>
            </w:r>
            <w:r w:rsidRPr="00A964FF">
              <w:rPr>
                <w:rFonts w:ascii="Calibri" w:hint="eastAsia"/>
                <w:color w:val="auto"/>
                <w:szCs w:val="21"/>
              </w:rPr>
              <w:t>、本项目</w:t>
            </w:r>
            <w:r w:rsidR="00D92D33" w:rsidRPr="00A964FF">
              <w:rPr>
                <w:rFonts w:ascii="Calibri" w:hint="eastAsia"/>
                <w:color w:val="auto"/>
                <w:szCs w:val="21"/>
              </w:rPr>
              <w:t>不涉及该条内容</w:t>
            </w:r>
            <w:r w:rsidRPr="00A964FF">
              <w:rPr>
                <w:rFonts w:ascii="Calibri" w:hint="eastAsia"/>
                <w:color w:val="auto"/>
                <w:szCs w:val="21"/>
              </w:rPr>
              <w:t>。</w:t>
            </w:r>
          </w:p>
          <w:p w14:paraId="1CEB1685" w14:textId="77777777" w:rsidR="00442A89" w:rsidRPr="00A964FF" w:rsidRDefault="00442A89" w:rsidP="00E077A5">
            <w:pPr>
              <w:adjustRightInd w:val="0"/>
              <w:snapToGrid w:val="0"/>
              <w:rPr>
                <w:rFonts w:ascii="Calibri"/>
                <w:color w:val="auto"/>
                <w:szCs w:val="21"/>
              </w:rPr>
            </w:pPr>
            <w:r w:rsidRPr="00A964FF">
              <w:rPr>
                <w:rFonts w:ascii="Calibri" w:hint="eastAsia"/>
                <w:color w:val="auto"/>
                <w:szCs w:val="21"/>
              </w:rPr>
              <w:t>2</w:t>
            </w:r>
            <w:r w:rsidRPr="00A964FF">
              <w:rPr>
                <w:rFonts w:ascii="Calibri" w:hint="eastAsia"/>
                <w:color w:val="auto"/>
                <w:szCs w:val="21"/>
              </w:rPr>
              <w:t>、本项目</w:t>
            </w:r>
            <w:r w:rsidR="00D92D33" w:rsidRPr="00A964FF">
              <w:rPr>
                <w:rFonts w:ascii="Calibri" w:hint="eastAsia"/>
                <w:color w:val="auto"/>
                <w:szCs w:val="21"/>
              </w:rPr>
              <w:t>能耗类型为电</w:t>
            </w:r>
            <w:r w:rsidR="00A412FB">
              <w:rPr>
                <w:rFonts w:ascii="Calibri" w:hint="eastAsia"/>
                <w:color w:val="auto"/>
                <w:szCs w:val="21"/>
              </w:rPr>
              <w:t>及</w:t>
            </w:r>
            <w:r w:rsidR="00635274">
              <w:rPr>
                <w:rFonts w:ascii="Calibri" w:hint="eastAsia"/>
                <w:color w:val="auto"/>
                <w:szCs w:val="21"/>
              </w:rPr>
              <w:t>天然气</w:t>
            </w:r>
            <w:r w:rsidR="00D92D33" w:rsidRPr="00A964FF">
              <w:rPr>
                <w:rFonts w:ascii="Calibri" w:hint="eastAsia"/>
                <w:color w:val="auto"/>
                <w:szCs w:val="21"/>
              </w:rPr>
              <w:t>，不涉及煤炭</w:t>
            </w:r>
            <w:r w:rsidRPr="00A964FF">
              <w:rPr>
                <w:rFonts w:ascii="Calibri" w:hint="eastAsia"/>
                <w:color w:val="auto"/>
                <w:szCs w:val="21"/>
              </w:rPr>
              <w:t>。</w:t>
            </w:r>
          </w:p>
          <w:p w14:paraId="01CBAD5C" w14:textId="77777777" w:rsidR="00941FF3" w:rsidRPr="00A964FF" w:rsidRDefault="00442A89" w:rsidP="00D92D33">
            <w:pPr>
              <w:adjustRightInd w:val="0"/>
              <w:snapToGrid w:val="0"/>
              <w:rPr>
                <w:rFonts w:ascii="Calibri"/>
                <w:color w:val="auto"/>
                <w:szCs w:val="21"/>
              </w:rPr>
            </w:pPr>
            <w:r w:rsidRPr="00A964FF">
              <w:rPr>
                <w:rFonts w:ascii="Calibri" w:hint="eastAsia"/>
                <w:color w:val="auto"/>
                <w:szCs w:val="21"/>
              </w:rPr>
              <w:t>3</w:t>
            </w:r>
            <w:r w:rsidRPr="00A964FF">
              <w:rPr>
                <w:rFonts w:ascii="Calibri" w:hint="eastAsia"/>
                <w:color w:val="auto"/>
                <w:szCs w:val="21"/>
              </w:rPr>
              <w:t>、</w:t>
            </w:r>
            <w:r w:rsidRPr="00A964FF">
              <w:rPr>
                <w:rFonts w:ascii="Calibri"/>
                <w:color w:val="auto"/>
                <w:szCs w:val="21"/>
              </w:rPr>
              <w:t>本项目</w:t>
            </w:r>
            <w:r w:rsidRPr="00A964FF">
              <w:rPr>
                <w:rFonts w:ascii="Calibri" w:hint="eastAsia"/>
                <w:color w:val="auto"/>
                <w:szCs w:val="21"/>
              </w:rPr>
              <w:t>位于</w:t>
            </w:r>
            <w:r w:rsidR="00D92D33" w:rsidRPr="00A964FF">
              <w:rPr>
                <w:rFonts w:ascii="Calibri" w:hint="eastAsia"/>
                <w:color w:val="auto"/>
                <w:szCs w:val="21"/>
              </w:rPr>
              <w:t>平顶山尼龙新材料产业集聚区，不属于禁燃区，不涉及该条内容。</w:t>
            </w:r>
          </w:p>
          <w:p w14:paraId="7DC64902" w14:textId="77777777" w:rsidR="00442A89" w:rsidRPr="00A964FF" w:rsidRDefault="00D92D33" w:rsidP="00D92D33">
            <w:pPr>
              <w:adjustRightInd w:val="0"/>
              <w:snapToGrid w:val="0"/>
              <w:rPr>
                <w:rFonts w:ascii="Calibri"/>
                <w:color w:val="auto"/>
                <w:szCs w:val="21"/>
              </w:rPr>
            </w:pPr>
            <w:r w:rsidRPr="00A964FF">
              <w:rPr>
                <w:rFonts w:ascii="Calibri" w:hint="eastAsia"/>
                <w:color w:val="auto"/>
                <w:szCs w:val="21"/>
              </w:rPr>
              <w:t>4</w:t>
            </w:r>
            <w:r w:rsidRPr="00A964FF">
              <w:rPr>
                <w:rFonts w:ascii="Calibri" w:hint="eastAsia"/>
                <w:color w:val="auto"/>
                <w:szCs w:val="21"/>
              </w:rPr>
              <w:t>、本项目不涉及该条内容。</w:t>
            </w:r>
          </w:p>
        </w:tc>
        <w:tc>
          <w:tcPr>
            <w:tcW w:w="524" w:type="pct"/>
            <w:vAlign w:val="center"/>
          </w:tcPr>
          <w:p w14:paraId="3AEBC079"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r w:rsidR="00442A89" w:rsidRPr="00A964FF" w14:paraId="2F7FFFE0" w14:textId="77777777" w:rsidTr="00E077A5">
        <w:trPr>
          <w:trHeight w:val="540"/>
          <w:jc w:val="center"/>
        </w:trPr>
        <w:tc>
          <w:tcPr>
            <w:tcW w:w="407" w:type="pct"/>
            <w:vAlign w:val="center"/>
          </w:tcPr>
          <w:p w14:paraId="1EEA0E63" w14:textId="77777777" w:rsidR="00442A89" w:rsidRPr="00A964FF" w:rsidRDefault="00442A89" w:rsidP="00E077A5">
            <w:pPr>
              <w:jc w:val="center"/>
              <w:rPr>
                <w:rFonts w:ascii="Calibri" w:hAnsi="Calibri"/>
                <w:color w:val="auto"/>
                <w:szCs w:val="21"/>
              </w:rPr>
            </w:pPr>
            <w:r w:rsidRPr="00A964FF">
              <w:rPr>
                <w:rFonts w:ascii="Calibri"/>
                <w:color w:val="auto"/>
                <w:szCs w:val="21"/>
              </w:rPr>
              <w:t>水资源</w:t>
            </w:r>
          </w:p>
        </w:tc>
        <w:tc>
          <w:tcPr>
            <w:tcW w:w="3103" w:type="pct"/>
            <w:vAlign w:val="center"/>
          </w:tcPr>
          <w:p w14:paraId="1436AC55" w14:textId="77777777" w:rsidR="00442A89" w:rsidRPr="00A964FF" w:rsidRDefault="00442A89" w:rsidP="00E077A5">
            <w:pPr>
              <w:rPr>
                <w:rFonts w:ascii="Calibri" w:hAnsi="Calibri"/>
                <w:color w:val="auto"/>
                <w:szCs w:val="21"/>
              </w:rPr>
            </w:pPr>
            <w:r w:rsidRPr="00A964FF">
              <w:rPr>
                <w:rFonts w:ascii="Calibri" w:hAnsi="Calibri"/>
                <w:color w:val="auto"/>
                <w:szCs w:val="21"/>
              </w:rPr>
              <w:t>1.</w:t>
            </w:r>
            <w:r w:rsidRPr="00A964FF">
              <w:rPr>
                <w:rFonts w:ascii="Calibri"/>
                <w:color w:val="auto"/>
                <w:szCs w:val="21"/>
              </w:rPr>
              <w:t>在生态脆弱、严重缺水和地下水超采地区，严格控制高耗水新改扩建项目。</w:t>
            </w:r>
            <w:r w:rsidRPr="00A964FF">
              <w:rPr>
                <w:rFonts w:ascii="Calibri" w:hAnsi="Calibri"/>
                <w:color w:val="auto"/>
                <w:szCs w:val="21"/>
              </w:rPr>
              <w:t xml:space="preserve"> </w:t>
            </w:r>
          </w:p>
          <w:p w14:paraId="107DF8FC" w14:textId="77777777" w:rsidR="00442A89" w:rsidRPr="00A964FF" w:rsidRDefault="00442A89" w:rsidP="00E077A5">
            <w:pPr>
              <w:rPr>
                <w:rFonts w:ascii="Calibri" w:hAnsi="Calibri"/>
                <w:color w:val="auto"/>
                <w:szCs w:val="21"/>
              </w:rPr>
            </w:pPr>
            <w:r w:rsidRPr="00A964FF">
              <w:rPr>
                <w:rFonts w:ascii="Calibri" w:hAnsi="Calibri"/>
                <w:color w:val="auto"/>
                <w:szCs w:val="21"/>
              </w:rPr>
              <w:t>2.</w:t>
            </w:r>
            <w:r w:rsidRPr="00A964FF">
              <w:rPr>
                <w:rFonts w:ascii="Calibri"/>
                <w:color w:val="auto"/>
                <w:szCs w:val="21"/>
              </w:rPr>
              <w:t>新改扩建设计规模</w:t>
            </w:r>
            <w:r w:rsidRPr="00A964FF">
              <w:rPr>
                <w:rFonts w:ascii="Calibri" w:hAnsi="Calibri"/>
                <w:color w:val="auto"/>
                <w:szCs w:val="21"/>
              </w:rPr>
              <w:t>5</w:t>
            </w:r>
            <w:r w:rsidRPr="00A964FF">
              <w:rPr>
                <w:rFonts w:ascii="Calibri"/>
                <w:color w:val="auto"/>
                <w:szCs w:val="21"/>
              </w:rPr>
              <w:t>万立方米以上的污水处理厂，应当配套建设再生水利用系统。</w:t>
            </w:r>
          </w:p>
          <w:p w14:paraId="4BC58AF0" w14:textId="77777777" w:rsidR="00442A89" w:rsidRPr="00A964FF" w:rsidRDefault="00442A89" w:rsidP="00E077A5">
            <w:pPr>
              <w:pStyle w:val="00"/>
              <w:spacing w:line="240" w:lineRule="auto"/>
              <w:ind w:firstLine="0"/>
              <w:rPr>
                <w:rFonts w:ascii="Calibri" w:hAnsi="Calibri"/>
                <w:color w:val="auto"/>
                <w:sz w:val="21"/>
              </w:rPr>
            </w:pPr>
            <w:r w:rsidRPr="00A964FF">
              <w:rPr>
                <w:rFonts w:ascii="Calibri" w:hAnsi="Calibri"/>
                <w:color w:val="auto"/>
                <w:sz w:val="21"/>
              </w:rPr>
              <w:t>3.</w:t>
            </w:r>
            <w:r w:rsidRPr="00A964FF">
              <w:rPr>
                <w:rFonts w:ascii="Calibri" w:hAnsi="Calibri"/>
                <w:color w:val="auto"/>
                <w:sz w:val="21"/>
              </w:rPr>
              <w:t>对取用水总量已经达到或超过控制指标的地方，暂停审批建设项目新增取水，对取用水总量接近控制目标的地方，限制审批建设项目新增取水。</w:t>
            </w:r>
          </w:p>
          <w:p w14:paraId="747001E6" w14:textId="77777777" w:rsidR="00442A89" w:rsidRPr="00A964FF" w:rsidRDefault="00442A89" w:rsidP="00E077A5">
            <w:pPr>
              <w:pStyle w:val="00"/>
              <w:spacing w:line="240" w:lineRule="auto"/>
              <w:ind w:firstLine="0"/>
              <w:rPr>
                <w:rFonts w:ascii="Calibri" w:hAnsi="Calibri"/>
                <w:color w:val="auto"/>
                <w:sz w:val="21"/>
              </w:rPr>
            </w:pPr>
            <w:r w:rsidRPr="00A964FF">
              <w:rPr>
                <w:rFonts w:ascii="Calibri" w:hAnsi="Calibri"/>
                <w:color w:val="auto"/>
                <w:sz w:val="21"/>
              </w:rPr>
              <w:t>4.</w:t>
            </w:r>
            <w:r w:rsidRPr="00A964FF">
              <w:rPr>
                <w:rFonts w:ascii="Calibri" w:hAnsi="Calibri"/>
                <w:color w:val="auto"/>
                <w:sz w:val="21"/>
              </w:rPr>
              <w:t>到</w:t>
            </w:r>
            <w:r w:rsidRPr="00A964FF">
              <w:rPr>
                <w:rFonts w:ascii="Calibri" w:hAnsi="Calibri"/>
                <w:color w:val="auto"/>
                <w:sz w:val="21"/>
              </w:rPr>
              <w:t>2025</w:t>
            </w:r>
            <w:r w:rsidRPr="00A964FF">
              <w:rPr>
                <w:rFonts w:ascii="Calibri" w:hAnsi="Calibri"/>
                <w:color w:val="auto"/>
                <w:sz w:val="21"/>
              </w:rPr>
              <w:t>年，高效节水灌溉面积达到</w:t>
            </w:r>
            <w:r w:rsidRPr="00A964FF">
              <w:rPr>
                <w:rFonts w:ascii="Calibri" w:hAnsi="Calibri"/>
                <w:color w:val="auto"/>
                <w:sz w:val="21"/>
              </w:rPr>
              <w:t>4000</w:t>
            </w:r>
            <w:r w:rsidRPr="00A964FF">
              <w:rPr>
                <w:rFonts w:ascii="Calibri" w:hAnsi="Calibri"/>
                <w:color w:val="auto"/>
                <w:sz w:val="21"/>
              </w:rPr>
              <w:t>万亩，农田灌溉水有效利用系数提高到</w:t>
            </w:r>
            <w:r w:rsidRPr="00A964FF">
              <w:rPr>
                <w:rFonts w:ascii="Calibri" w:hAnsi="Calibri"/>
                <w:color w:val="auto"/>
                <w:sz w:val="21"/>
              </w:rPr>
              <w:t>0.63</w:t>
            </w:r>
            <w:r w:rsidRPr="00A964FF">
              <w:rPr>
                <w:rFonts w:ascii="Calibri" w:hAnsi="Calibri"/>
                <w:color w:val="auto"/>
                <w:sz w:val="21"/>
              </w:rPr>
              <w:t>，万元工业增加值用水量较</w:t>
            </w:r>
            <w:r w:rsidRPr="00A964FF">
              <w:rPr>
                <w:rFonts w:ascii="Calibri" w:hAnsi="Calibri"/>
                <w:color w:val="auto"/>
                <w:sz w:val="21"/>
              </w:rPr>
              <w:lastRenderedPageBreak/>
              <w:t>2020</w:t>
            </w:r>
            <w:r w:rsidRPr="00A964FF">
              <w:rPr>
                <w:rFonts w:ascii="Calibri" w:hAnsi="Calibri"/>
                <w:color w:val="auto"/>
                <w:sz w:val="21"/>
              </w:rPr>
              <w:t>年降低</w:t>
            </w:r>
            <w:r w:rsidRPr="00A964FF">
              <w:rPr>
                <w:rFonts w:ascii="Calibri" w:hAnsi="Calibri"/>
                <w:color w:val="auto"/>
                <w:sz w:val="21"/>
              </w:rPr>
              <w:t>10%</w:t>
            </w:r>
            <w:r w:rsidRPr="00A964FF">
              <w:rPr>
                <w:rFonts w:ascii="Calibri" w:hAnsi="Calibri"/>
                <w:color w:val="auto"/>
                <w:sz w:val="21"/>
              </w:rPr>
              <w:t>；到</w:t>
            </w:r>
            <w:r w:rsidRPr="00A964FF">
              <w:rPr>
                <w:rFonts w:ascii="Calibri" w:hAnsi="Calibri"/>
                <w:color w:val="auto"/>
                <w:sz w:val="21"/>
              </w:rPr>
              <w:t>2035</w:t>
            </w:r>
            <w:r w:rsidRPr="00A964FF">
              <w:rPr>
                <w:rFonts w:ascii="Calibri" w:hAnsi="Calibri"/>
                <w:color w:val="auto"/>
                <w:sz w:val="21"/>
              </w:rPr>
              <w:t>年，全省用水总量控制在</w:t>
            </w:r>
            <w:r w:rsidRPr="00A964FF">
              <w:rPr>
                <w:rFonts w:ascii="Calibri" w:hAnsi="Calibri"/>
                <w:color w:val="auto"/>
                <w:sz w:val="21"/>
              </w:rPr>
              <w:t>302</w:t>
            </w:r>
            <w:r w:rsidRPr="00A964FF">
              <w:rPr>
                <w:rFonts w:ascii="Calibri" w:hAnsi="Calibri"/>
                <w:color w:val="auto"/>
                <w:sz w:val="21"/>
              </w:rPr>
              <w:t>亿立方米以内。</w:t>
            </w:r>
          </w:p>
          <w:p w14:paraId="0805BB83" w14:textId="77777777" w:rsidR="00442A89" w:rsidRPr="00A964FF" w:rsidRDefault="00442A89" w:rsidP="00E077A5">
            <w:pPr>
              <w:pStyle w:val="00"/>
              <w:spacing w:line="240" w:lineRule="auto"/>
              <w:ind w:firstLine="0"/>
              <w:rPr>
                <w:rFonts w:ascii="Calibri" w:hAnsi="Calibri"/>
                <w:color w:val="auto"/>
                <w:sz w:val="21"/>
              </w:rPr>
            </w:pPr>
            <w:r w:rsidRPr="00A964FF">
              <w:rPr>
                <w:rFonts w:ascii="Calibri" w:hAnsi="Calibri"/>
                <w:color w:val="auto"/>
                <w:sz w:val="21"/>
              </w:rPr>
              <w:t>5.</w:t>
            </w:r>
            <w:r w:rsidRPr="00A964FF">
              <w:rPr>
                <w:rFonts w:ascii="Calibri" w:hAnsi="Calibri"/>
                <w:color w:val="auto"/>
                <w:sz w:val="21"/>
              </w:rPr>
              <w:t>严格控制开采深层承压水，地热水、矿泉水开发严格实施取水许可和采矿许可。</w:t>
            </w:r>
          </w:p>
          <w:p w14:paraId="5EF733E1" w14:textId="77777777" w:rsidR="00442A89" w:rsidRPr="00A964FF" w:rsidRDefault="00442A89" w:rsidP="00E077A5">
            <w:pPr>
              <w:pStyle w:val="00"/>
              <w:spacing w:line="240" w:lineRule="auto"/>
              <w:ind w:firstLine="0"/>
              <w:rPr>
                <w:rFonts w:ascii="Calibri" w:hAnsi="Calibri"/>
                <w:color w:val="auto"/>
                <w:sz w:val="21"/>
              </w:rPr>
            </w:pPr>
            <w:r w:rsidRPr="00A964FF">
              <w:rPr>
                <w:rFonts w:ascii="Calibri" w:hAnsi="Calibri"/>
                <w:color w:val="auto"/>
                <w:sz w:val="21"/>
              </w:rPr>
              <w:t>6.</w:t>
            </w:r>
            <w:r w:rsidRPr="00A964FF">
              <w:rPr>
                <w:rFonts w:ascii="Calibri" w:hAnsi="Calibri"/>
                <w:color w:val="auto"/>
                <w:sz w:val="21"/>
              </w:rPr>
              <w:t>在地下水禁采区内，除应急供水外严禁新凿取水井，停止新增地下水取水许可；对禁采区内已有地下水用户要加强取水许可管理，对取水许可证到期的，无特殊情况不再核发取水许可证，促进地下水用户转换水源。</w:t>
            </w:r>
            <w:r w:rsidRPr="00A964FF">
              <w:rPr>
                <w:rFonts w:ascii="Calibri" w:hAnsi="Calibri"/>
                <w:color w:val="auto"/>
                <w:sz w:val="21"/>
              </w:rPr>
              <w:t xml:space="preserve"> </w:t>
            </w:r>
          </w:p>
          <w:p w14:paraId="4C8E2DC8" w14:textId="77777777" w:rsidR="00442A89" w:rsidRPr="00A964FF" w:rsidRDefault="00442A89" w:rsidP="00E077A5">
            <w:pPr>
              <w:pStyle w:val="00"/>
              <w:spacing w:line="240" w:lineRule="auto"/>
              <w:ind w:firstLine="0"/>
              <w:rPr>
                <w:rFonts w:ascii="Calibri" w:hAnsi="Calibri"/>
                <w:color w:val="auto"/>
              </w:rPr>
            </w:pPr>
            <w:r w:rsidRPr="00A964FF">
              <w:rPr>
                <w:rFonts w:ascii="Calibri" w:hAnsi="Calibri"/>
                <w:color w:val="auto"/>
                <w:sz w:val="21"/>
              </w:rPr>
              <w:t>7.</w:t>
            </w:r>
            <w:r w:rsidRPr="00A964FF">
              <w:rPr>
                <w:rFonts w:ascii="Calibri" w:hAnsi="Calibri"/>
                <w:color w:val="auto"/>
                <w:sz w:val="21"/>
              </w:rPr>
              <w:t>在地下水限采区内，城市供水管网覆盖范围内除应急供水外，严禁新凿取水井；对已批准开采地下水的用户，要根据超采程度逐步核减地下水开采总量和年度取水指标，逐步实现地下水采补平衡；对城市供水管网覆盖范围外，无其他替代水源、确需取用地下水的，要严格论证审批，加强日常监督管理，严控新增取用地下水。</w:t>
            </w:r>
          </w:p>
        </w:tc>
        <w:tc>
          <w:tcPr>
            <w:tcW w:w="966" w:type="pct"/>
            <w:vAlign w:val="center"/>
          </w:tcPr>
          <w:p w14:paraId="057F32D8" w14:textId="77777777" w:rsidR="00442A89" w:rsidRPr="00A964FF" w:rsidRDefault="00442A89" w:rsidP="00D92D33">
            <w:pPr>
              <w:adjustRightInd w:val="0"/>
              <w:snapToGrid w:val="0"/>
              <w:jc w:val="center"/>
              <w:rPr>
                <w:rFonts w:ascii="Calibri" w:hAnsi="Calibri"/>
                <w:color w:val="auto"/>
                <w:szCs w:val="21"/>
              </w:rPr>
            </w:pPr>
            <w:r w:rsidRPr="00A964FF">
              <w:rPr>
                <w:rFonts w:ascii="Calibri"/>
                <w:color w:val="auto"/>
                <w:szCs w:val="21"/>
              </w:rPr>
              <w:lastRenderedPageBreak/>
              <w:t>本项目不在生态脆弱、严重缺水和地下水超采地区。</w:t>
            </w:r>
            <w:r w:rsidR="00D92D33" w:rsidRPr="00A964FF">
              <w:rPr>
                <w:rFonts w:ascii="Calibri" w:hint="eastAsia"/>
                <w:color w:val="auto"/>
                <w:szCs w:val="21"/>
              </w:rPr>
              <w:t>本</w:t>
            </w:r>
            <w:r w:rsidRPr="00A964FF">
              <w:rPr>
                <w:rFonts w:ascii="Calibri"/>
                <w:color w:val="auto"/>
                <w:szCs w:val="21"/>
              </w:rPr>
              <w:t>项目不涉及</w:t>
            </w:r>
            <w:r w:rsidRPr="00A964FF">
              <w:rPr>
                <w:rFonts w:ascii="Calibri" w:hAnsi="Calibri"/>
                <w:color w:val="auto"/>
                <w:szCs w:val="21"/>
              </w:rPr>
              <w:t>2</w:t>
            </w:r>
            <w:r w:rsidRPr="00A964FF">
              <w:rPr>
                <w:rFonts w:ascii="Calibri"/>
                <w:color w:val="auto"/>
                <w:szCs w:val="21"/>
              </w:rPr>
              <w:t>、</w:t>
            </w:r>
            <w:r w:rsidRPr="00A964FF">
              <w:rPr>
                <w:rFonts w:ascii="Calibri" w:hAnsi="Calibri"/>
                <w:color w:val="auto"/>
                <w:szCs w:val="21"/>
              </w:rPr>
              <w:t>3</w:t>
            </w:r>
            <w:r w:rsidRPr="00A964FF">
              <w:rPr>
                <w:rFonts w:ascii="Calibri"/>
                <w:color w:val="auto"/>
                <w:szCs w:val="21"/>
              </w:rPr>
              <w:t>、</w:t>
            </w:r>
            <w:r w:rsidRPr="00A964FF">
              <w:rPr>
                <w:rFonts w:ascii="Calibri" w:hAnsi="Calibri"/>
                <w:color w:val="auto"/>
                <w:szCs w:val="21"/>
              </w:rPr>
              <w:t>4</w:t>
            </w:r>
            <w:r w:rsidRPr="00A964FF">
              <w:rPr>
                <w:rFonts w:ascii="Calibri"/>
                <w:color w:val="auto"/>
                <w:szCs w:val="21"/>
              </w:rPr>
              <w:t>、</w:t>
            </w:r>
            <w:r w:rsidRPr="00A964FF">
              <w:rPr>
                <w:rFonts w:ascii="Calibri" w:hAnsi="Calibri"/>
                <w:color w:val="auto"/>
                <w:szCs w:val="21"/>
              </w:rPr>
              <w:t>5</w:t>
            </w:r>
            <w:r w:rsidRPr="00A964FF">
              <w:rPr>
                <w:rFonts w:ascii="Calibri"/>
                <w:color w:val="auto"/>
                <w:szCs w:val="21"/>
              </w:rPr>
              <w:t>、</w:t>
            </w:r>
            <w:r w:rsidRPr="00A964FF">
              <w:rPr>
                <w:rFonts w:ascii="Calibri" w:hAnsi="Calibri"/>
                <w:color w:val="auto"/>
                <w:szCs w:val="21"/>
              </w:rPr>
              <w:t>6</w:t>
            </w:r>
            <w:r w:rsidRPr="00A964FF">
              <w:rPr>
                <w:rFonts w:ascii="Calibri"/>
                <w:color w:val="auto"/>
                <w:szCs w:val="21"/>
              </w:rPr>
              <w:t>、</w:t>
            </w:r>
            <w:r w:rsidRPr="00A964FF">
              <w:rPr>
                <w:rFonts w:ascii="Calibri" w:hAnsi="Calibri"/>
                <w:color w:val="auto"/>
                <w:szCs w:val="21"/>
              </w:rPr>
              <w:t>7</w:t>
            </w:r>
            <w:r w:rsidRPr="00A964FF">
              <w:rPr>
                <w:rFonts w:ascii="Calibri"/>
                <w:color w:val="auto"/>
                <w:szCs w:val="21"/>
              </w:rPr>
              <w:t>条所列内容。</w:t>
            </w:r>
          </w:p>
        </w:tc>
        <w:tc>
          <w:tcPr>
            <w:tcW w:w="524" w:type="pct"/>
            <w:vAlign w:val="center"/>
          </w:tcPr>
          <w:p w14:paraId="7BCE2C22"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r w:rsidR="00442A89" w:rsidRPr="00A964FF" w14:paraId="2B7BD858" w14:textId="77777777" w:rsidTr="00E077A5">
        <w:trPr>
          <w:trHeight w:val="3567"/>
          <w:jc w:val="center"/>
        </w:trPr>
        <w:tc>
          <w:tcPr>
            <w:tcW w:w="407" w:type="pct"/>
            <w:vAlign w:val="center"/>
          </w:tcPr>
          <w:p w14:paraId="5C880106"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土地资源</w:t>
            </w:r>
          </w:p>
        </w:tc>
        <w:tc>
          <w:tcPr>
            <w:tcW w:w="3103" w:type="pct"/>
            <w:vAlign w:val="center"/>
          </w:tcPr>
          <w:p w14:paraId="689C3C69"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w:t>
            </w:r>
            <w:r w:rsidRPr="00A964FF">
              <w:rPr>
                <w:rFonts w:ascii="Calibri"/>
                <w:color w:val="auto"/>
                <w:szCs w:val="21"/>
              </w:rPr>
              <w:t>禁止在国土空间规划确定的禁止开垦的范围内从事土地开发活动。</w:t>
            </w:r>
            <w:r w:rsidRPr="00A964FF">
              <w:rPr>
                <w:rFonts w:ascii="Calibri" w:hAnsi="Calibri"/>
                <w:color w:val="auto"/>
                <w:szCs w:val="21"/>
              </w:rPr>
              <w:t xml:space="preserve"> </w:t>
            </w:r>
          </w:p>
          <w:p w14:paraId="4CC6844D"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2.</w:t>
            </w:r>
            <w:r w:rsidRPr="00A964FF">
              <w:rPr>
                <w:rFonts w:ascii="Calibri"/>
                <w:color w:val="auto"/>
                <w:szCs w:val="21"/>
              </w:rPr>
              <w:t>推动化肥使用量零增长行动，全面推广测土配方施肥技术，有机肥替代，加强免耕机械种肥异位同播技术研究与推广。</w:t>
            </w:r>
            <w:r w:rsidRPr="00A964FF">
              <w:rPr>
                <w:rFonts w:ascii="Calibri" w:hAnsi="Calibri"/>
                <w:color w:val="auto"/>
                <w:szCs w:val="21"/>
              </w:rPr>
              <w:t xml:space="preserve"> </w:t>
            </w:r>
          </w:p>
          <w:p w14:paraId="76CE56FC"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3.</w:t>
            </w:r>
            <w:r w:rsidRPr="00A964FF">
              <w:rPr>
                <w:rFonts w:ascii="Calibri"/>
                <w:color w:val="auto"/>
                <w:szCs w:val="21"/>
              </w:rPr>
              <w:t>闭矿后的涉重金属矿区，参照建设用地开展土壤环境调查评估，合理确定复垦后的土地用途；在灵宝、新密、登封、桐柏等地，将土壤污染治理纳入矿山生态环境恢复治理验收内容，未开展土壤污染治理的，验收不予通过。</w:t>
            </w:r>
            <w:r w:rsidRPr="00A964FF">
              <w:rPr>
                <w:rFonts w:ascii="Calibri" w:hAnsi="Calibri"/>
                <w:color w:val="auto"/>
                <w:szCs w:val="21"/>
              </w:rPr>
              <w:t xml:space="preserve"> </w:t>
            </w:r>
          </w:p>
          <w:p w14:paraId="64EBF9A8"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4.</w:t>
            </w:r>
            <w:r w:rsidRPr="00A964FF">
              <w:rPr>
                <w:rFonts w:ascii="Calibri"/>
                <w:color w:val="auto"/>
                <w:szCs w:val="21"/>
              </w:rPr>
              <w:t>主题公园用地要优先利用存量和低效建设用地，严格控制新增建设用地，禁止占用耕地（亦不得通过先行办理分批次农用地转用等形式变相占用耕地）、天然林地、国家级公益林地和城镇公园绿地。</w:t>
            </w:r>
          </w:p>
        </w:tc>
        <w:tc>
          <w:tcPr>
            <w:tcW w:w="966" w:type="pct"/>
            <w:vAlign w:val="center"/>
          </w:tcPr>
          <w:p w14:paraId="4BD58277" w14:textId="77777777" w:rsidR="00442A89" w:rsidRPr="00A964FF" w:rsidRDefault="00D92D33" w:rsidP="00A412FB">
            <w:pPr>
              <w:pStyle w:val="afffffffa"/>
              <w:rPr>
                <w:rFonts w:ascii="Calibri" w:hAnsi="Calibri"/>
                <w:color w:val="auto"/>
                <w:sz w:val="21"/>
                <w:szCs w:val="21"/>
              </w:rPr>
            </w:pPr>
            <w:r w:rsidRPr="00A964FF">
              <w:rPr>
                <w:rFonts w:ascii="Calibri" w:hAnsi="Calibri" w:hint="eastAsia"/>
                <w:color w:val="auto"/>
                <w:sz w:val="21"/>
                <w:szCs w:val="21"/>
              </w:rPr>
              <w:t>本项目选址位于平顶山尼龙新材料产业集聚区</w:t>
            </w:r>
            <w:r w:rsidR="00442A89" w:rsidRPr="00A964FF">
              <w:rPr>
                <w:rFonts w:ascii="Calibri" w:hAnsi="Calibri"/>
                <w:color w:val="auto"/>
                <w:sz w:val="21"/>
                <w:szCs w:val="21"/>
              </w:rPr>
              <w:t>，符合</w:t>
            </w:r>
            <w:r w:rsidRPr="00A964FF">
              <w:rPr>
                <w:rFonts w:ascii="Calibri" w:hAnsi="Calibri" w:hint="eastAsia"/>
                <w:color w:val="auto"/>
                <w:sz w:val="21"/>
                <w:szCs w:val="21"/>
              </w:rPr>
              <w:t>叶县土地利用总体规划和</w:t>
            </w:r>
            <w:r w:rsidR="00A412FB">
              <w:rPr>
                <w:rFonts w:ascii="Calibri" w:hAnsi="Calibri" w:hint="eastAsia"/>
                <w:color w:val="auto"/>
                <w:sz w:val="21"/>
                <w:szCs w:val="21"/>
              </w:rPr>
              <w:t>平顶山尼龙新材料产业集聚区总体规划</w:t>
            </w:r>
            <w:r w:rsidR="00442A89" w:rsidRPr="00A964FF">
              <w:rPr>
                <w:rFonts w:ascii="Calibri" w:hAnsi="Calibri"/>
                <w:color w:val="auto"/>
                <w:sz w:val="21"/>
                <w:szCs w:val="21"/>
              </w:rPr>
              <w:t>。</w:t>
            </w:r>
            <w:r w:rsidRPr="00A964FF">
              <w:rPr>
                <w:rFonts w:ascii="Calibri" w:hAnsi="Calibri" w:hint="eastAsia"/>
                <w:color w:val="auto"/>
                <w:sz w:val="21"/>
                <w:szCs w:val="21"/>
              </w:rPr>
              <w:t>本项目不涉及</w:t>
            </w:r>
            <w:r w:rsidRPr="00A964FF">
              <w:rPr>
                <w:rFonts w:ascii="Calibri" w:hAnsi="Calibri" w:hint="eastAsia"/>
                <w:color w:val="auto"/>
                <w:sz w:val="21"/>
                <w:szCs w:val="21"/>
              </w:rPr>
              <w:t>2</w:t>
            </w:r>
            <w:r w:rsidRPr="00A964FF">
              <w:rPr>
                <w:rFonts w:ascii="Calibri" w:hAnsi="Calibri" w:hint="eastAsia"/>
                <w:color w:val="auto"/>
                <w:sz w:val="21"/>
                <w:szCs w:val="21"/>
              </w:rPr>
              <w:t>、</w:t>
            </w:r>
            <w:r w:rsidRPr="00A964FF">
              <w:rPr>
                <w:rFonts w:ascii="Calibri" w:hAnsi="Calibri" w:hint="eastAsia"/>
                <w:color w:val="auto"/>
                <w:sz w:val="21"/>
                <w:szCs w:val="21"/>
              </w:rPr>
              <w:t>3</w:t>
            </w:r>
            <w:r w:rsidRPr="00A964FF">
              <w:rPr>
                <w:rFonts w:ascii="Calibri" w:hAnsi="Calibri" w:hint="eastAsia"/>
                <w:color w:val="auto"/>
                <w:sz w:val="21"/>
                <w:szCs w:val="21"/>
              </w:rPr>
              <w:t>、</w:t>
            </w:r>
            <w:r w:rsidRPr="00A964FF">
              <w:rPr>
                <w:rFonts w:ascii="Calibri" w:hAnsi="Calibri" w:hint="eastAsia"/>
                <w:color w:val="auto"/>
                <w:sz w:val="21"/>
                <w:szCs w:val="21"/>
              </w:rPr>
              <w:t>4</w:t>
            </w:r>
            <w:r w:rsidRPr="00A964FF">
              <w:rPr>
                <w:rFonts w:ascii="Calibri" w:hAnsi="Calibri" w:hint="eastAsia"/>
                <w:color w:val="auto"/>
                <w:sz w:val="21"/>
                <w:szCs w:val="21"/>
              </w:rPr>
              <w:t>条所列内容。</w:t>
            </w:r>
          </w:p>
        </w:tc>
        <w:tc>
          <w:tcPr>
            <w:tcW w:w="524" w:type="pct"/>
            <w:vAlign w:val="center"/>
          </w:tcPr>
          <w:p w14:paraId="58FAE04D"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bl>
    <w:p w14:paraId="492770CC" w14:textId="77777777" w:rsidR="00442A89" w:rsidRPr="00A964FF" w:rsidRDefault="00442A89" w:rsidP="00442A89">
      <w:pPr>
        <w:spacing w:line="520" w:lineRule="exact"/>
        <w:ind w:firstLineChars="200" w:firstLine="482"/>
        <w:textAlignment w:val="baseline"/>
        <w:rPr>
          <w:rFonts w:ascii="Calibri" w:hAnsi="Calibri"/>
          <w:b/>
          <w:bCs/>
          <w:color w:val="auto"/>
          <w:sz w:val="24"/>
        </w:rPr>
      </w:pPr>
      <w:r w:rsidRPr="00A964FF">
        <w:rPr>
          <w:rFonts w:ascii="Calibri" w:hint="eastAsia"/>
          <w:b/>
          <w:bCs/>
          <w:color w:val="auto"/>
          <w:sz w:val="24"/>
        </w:rPr>
        <w:t>7</w:t>
      </w:r>
      <w:r w:rsidRPr="00A964FF">
        <w:rPr>
          <w:rFonts w:ascii="Calibri" w:hint="eastAsia"/>
          <w:b/>
          <w:bCs/>
          <w:color w:val="auto"/>
          <w:sz w:val="24"/>
        </w:rPr>
        <w:t>、</w:t>
      </w:r>
      <w:r w:rsidRPr="00A964FF">
        <w:rPr>
          <w:rFonts w:ascii="Calibri"/>
          <w:b/>
          <w:bCs/>
          <w:color w:val="auto"/>
          <w:sz w:val="24"/>
        </w:rPr>
        <w:t>重点区域大气生态环境管控要求</w:t>
      </w:r>
    </w:p>
    <w:p w14:paraId="091F313B" w14:textId="77777777" w:rsidR="00442A89" w:rsidRPr="00A964FF" w:rsidRDefault="00442A89" w:rsidP="00442A89">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int="eastAsia"/>
          <w:color w:val="auto"/>
          <w:sz w:val="24"/>
        </w:rPr>
        <w:t>1.8-</w:t>
      </w:r>
      <w:r w:rsidRPr="00A964FF">
        <w:rPr>
          <w:rFonts w:ascii="Calibri" w:eastAsia="黑体" w:hAnsi="Calibri"/>
          <w:color w:val="auto"/>
          <w:sz w:val="24"/>
        </w:rPr>
        <w:t xml:space="preserve">7               </w:t>
      </w:r>
      <w:r w:rsidRPr="00A964FF">
        <w:rPr>
          <w:rFonts w:ascii="Calibri" w:eastAsia="黑体"/>
          <w:color w:val="auto"/>
          <w:sz w:val="24"/>
        </w:rPr>
        <w:t>重点区域大气生态环境管控要求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93"/>
        <w:gridCol w:w="4514"/>
        <w:gridCol w:w="1648"/>
        <w:gridCol w:w="945"/>
      </w:tblGrid>
      <w:tr w:rsidR="00442A89" w:rsidRPr="00A964FF" w14:paraId="2B4B8266" w14:textId="77777777" w:rsidTr="00E077A5">
        <w:trPr>
          <w:trHeight w:val="367"/>
          <w:jc w:val="center"/>
        </w:trPr>
        <w:tc>
          <w:tcPr>
            <w:tcW w:w="916" w:type="pct"/>
            <w:vAlign w:val="center"/>
          </w:tcPr>
          <w:p w14:paraId="0CB06639" w14:textId="77777777" w:rsidR="00442A89" w:rsidRPr="00A964FF" w:rsidRDefault="00442A89" w:rsidP="00E077A5">
            <w:pPr>
              <w:adjustRightInd w:val="0"/>
              <w:snapToGrid w:val="0"/>
              <w:jc w:val="center"/>
              <w:rPr>
                <w:rFonts w:ascii="Calibri" w:hAnsi="Calibri"/>
                <w:b/>
                <w:color w:val="auto"/>
                <w:szCs w:val="21"/>
              </w:rPr>
            </w:pPr>
            <w:r w:rsidRPr="00A964FF">
              <w:rPr>
                <w:rFonts w:ascii="Calibri"/>
                <w:b/>
                <w:color w:val="auto"/>
                <w:szCs w:val="21"/>
              </w:rPr>
              <w:t>区域</w:t>
            </w:r>
          </w:p>
        </w:tc>
        <w:tc>
          <w:tcPr>
            <w:tcW w:w="2593" w:type="pct"/>
            <w:vAlign w:val="center"/>
          </w:tcPr>
          <w:p w14:paraId="664E5E9D" w14:textId="77777777" w:rsidR="00442A89" w:rsidRPr="00A964FF" w:rsidRDefault="00442A89" w:rsidP="00E077A5">
            <w:pPr>
              <w:adjustRightInd w:val="0"/>
              <w:snapToGrid w:val="0"/>
              <w:jc w:val="center"/>
              <w:rPr>
                <w:rFonts w:ascii="Calibri" w:hAnsi="Calibri"/>
                <w:b/>
                <w:color w:val="auto"/>
                <w:szCs w:val="21"/>
              </w:rPr>
            </w:pPr>
            <w:r w:rsidRPr="00A964FF">
              <w:rPr>
                <w:rFonts w:ascii="Calibri"/>
                <w:b/>
                <w:color w:val="auto"/>
                <w:szCs w:val="21"/>
              </w:rPr>
              <w:t>准入要求</w:t>
            </w:r>
          </w:p>
        </w:tc>
        <w:tc>
          <w:tcPr>
            <w:tcW w:w="947" w:type="pct"/>
            <w:vAlign w:val="center"/>
          </w:tcPr>
          <w:p w14:paraId="679098EE" w14:textId="77777777" w:rsidR="00442A89" w:rsidRPr="00A964FF" w:rsidRDefault="00442A89" w:rsidP="00E077A5">
            <w:pPr>
              <w:adjustRightInd w:val="0"/>
              <w:snapToGrid w:val="0"/>
              <w:jc w:val="center"/>
              <w:rPr>
                <w:rFonts w:ascii="Calibri" w:hAnsi="Calibri"/>
                <w:b/>
                <w:color w:val="auto"/>
                <w:szCs w:val="21"/>
              </w:rPr>
            </w:pPr>
            <w:r w:rsidRPr="00A964FF">
              <w:rPr>
                <w:rFonts w:ascii="Calibri"/>
                <w:b/>
                <w:color w:val="auto"/>
                <w:szCs w:val="21"/>
              </w:rPr>
              <w:t>本项目</w:t>
            </w:r>
          </w:p>
        </w:tc>
        <w:tc>
          <w:tcPr>
            <w:tcW w:w="543" w:type="pct"/>
            <w:vAlign w:val="center"/>
          </w:tcPr>
          <w:p w14:paraId="3147D1E1" w14:textId="77777777" w:rsidR="00442A89" w:rsidRPr="00A964FF" w:rsidRDefault="00442A89" w:rsidP="00E077A5">
            <w:pPr>
              <w:adjustRightInd w:val="0"/>
              <w:snapToGrid w:val="0"/>
              <w:jc w:val="center"/>
              <w:rPr>
                <w:rFonts w:ascii="Calibri" w:hAnsi="Calibri"/>
                <w:b/>
                <w:color w:val="auto"/>
                <w:szCs w:val="21"/>
              </w:rPr>
            </w:pPr>
            <w:r w:rsidRPr="00A964FF">
              <w:rPr>
                <w:rFonts w:ascii="Calibri"/>
                <w:b/>
                <w:color w:val="auto"/>
                <w:szCs w:val="21"/>
              </w:rPr>
              <w:t>符合性</w:t>
            </w:r>
          </w:p>
        </w:tc>
      </w:tr>
      <w:tr w:rsidR="00442A89" w:rsidRPr="00A964FF" w14:paraId="1D4B9F0F" w14:textId="77777777" w:rsidTr="00E077A5">
        <w:trPr>
          <w:trHeight w:val="2196"/>
          <w:jc w:val="center"/>
        </w:trPr>
        <w:tc>
          <w:tcPr>
            <w:tcW w:w="916" w:type="pct"/>
            <w:vAlign w:val="center"/>
          </w:tcPr>
          <w:p w14:paraId="0AD65ED8"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苏皖鲁豫交界地区（平顶山、许昌、漯河、周口、商丘、南阳、驻马店、信阳）</w:t>
            </w:r>
          </w:p>
        </w:tc>
        <w:tc>
          <w:tcPr>
            <w:tcW w:w="2593" w:type="pct"/>
            <w:vAlign w:val="center"/>
          </w:tcPr>
          <w:p w14:paraId="5D014B80"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w:t>
            </w:r>
            <w:r w:rsidRPr="00A964FF">
              <w:rPr>
                <w:rFonts w:ascii="Calibri"/>
                <w:color w:val="auto"/>
                <w:szCs w:val="21"/>
              </w:rPr>
              <w:t>禁燃区内禁止销售、燃用高污染燃料；禁止新改扩建燃用高污染燃料的设施，已建成的应当限期整改，采用清洁能源替代。</w:t>
            </w:r>
          </w:p>
          <w:p w14:paraId="15BA4ED6"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2.</w:t>
            </w:r>
            <w:r w:rsidRPr="00A964FF">
              <w:rPr>
                <w:rFonts w:ascii="Calibri"/>
                <w:color w:val="auto"/>
                <w:szCs w:val="21"/>
              </w:rPr>
              <w:t>强化重点行业大气污染物排放限值，强化污染物排放管控要求，关停淘汰落后产能。</w:t>
            </w:r>
            <w:r w:rsidRPr="00A964FF">
              <w:rPr>
                <w:rFonts w:ascii="Calibri" w:hAnsi="Calibri"/>
                <w:color w:val="auto"/>
                <w:szCs w:val="21"/>
              </w:rPr>
              <w:t xml:space="preserve"> </w:t>
            </w:r>
          </w:p>
          <w:p w14:paraId="276F1959"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3.</w:t>
            </w:r>
            <w:r w:rsidRPr="00A964FF">
              <w:rPr>
                <w:rFonts w:ascii="Calibri"/>
                <w:color w:val="auto"/>
                <w:szCs w:val="21"/>
              </w:rPr>
              <w:t>加大天然气、液化石油气、煤制天然气、太阳能等清洁能源的供应和推广力度，逐步提高城市清洁能源使用比重。</w:t>
            </w:r>
          </w:p>
        </w:tc>
        <w:tc>
          <w:tcPr>
            <w:tcW w:w="947" w:type="pct"/>
            <w:vAlign w:val="center"/>
          </w:tcPr>
          <w:p w14:paraId="6C2C283F" w14:textId="77777777" w:rsidR="00442A89" w:rsidRPr="00A964FF" w:rsidRDefault="00D92D33" w:rsidP="00D92D33">
            <w:pPr>
              <w:adjustRightInd w:val="0"/>
              <w:snapToGrid w:val="0"/>
              <w:jc w:val="left"/>
              <w:rPr>
                <w:rFonts w:ascii="Calibri"/>
                <w:color w:val="auto"/>
                <w:szCs w:val="21"/>
              </w:rPr>
            </w:pPr>
            <w:r w:rsidRPr="00A964FF">
              <w:rPr>
                <w:rFonts w:ascii="Calibri" w:hint="eastAsia"/>
                <w:color w:val="auto"/>
                <w:szCs w:val="21"/>
              </w:rPr>
              <w:t>1</w:t>
            </w:r>
            <w:r w:rsidRPr="00A964FF">
              <w:rPr>
                <w:rFonts w:ascii="Calibri" w:hint="eastAsia"/>
                <w:color w:val="auto"/>
                <w:szCs w:val="21"/>
              </w:rPr>
              <w:t>、本项目不在禁燃区内。</w:t>
            </w:r>
          </w:p>
          <w:p w14:paraId="7510EC93" w14:textId="77777777" w:rsidR="00D92D33" w:rsidRPr="00A964FF" w:rsidRDefault="00D92D33" w:rsidP="00D92D33">
            <w:pPr>
              <w:adjustRightInd w:val="0"/>
              <w:snapToGrid w:val="0"/>
              <w:jc w:val="left"/>
              <w:rPr>
                <w:rFonts w:ascii="Calibri"/>
                <w:color w:val="auto"/>
                <w:szCs w:val="21"/>
              </w:rPr>
            </w:pPr>
            <w:r w:rsidRPr="00A964FF">
              <w:rPr>
                <w:rFonts w:ascii="Calibri" w:hint="eastAsia"/>
                <w:color w:val="auto"/>
                <w:szCs w:val="21"/>
              </w:rPr>
              <w:t>2</w:t>
            </w:r>
            <w:r w:rsidRPr="00A964FF">
              <w:rPr>
                <w:rFonts w:ascii="Calibri" w:hint="eastAsia"/>
                <w:color w:val="auto"/>
                <w:szCs w:val="21"/>
              </w:rPr>
              <w:t>、本项目</w:t>
            </w:r>
            <w:r w:rsidR="00635274" w:rsidRPr="00A964FF">
              <w:rPr>
                <w:rFonts w:ascii="Calibri" w:hint="eastAsia"/>
                <w:color w:val="auto"/>
                <w:szCs w:val="21"/>
              </w:rPr>
              <w:t>污染物</w:t>
            </w:r>
            <w:r w:rsidR="00635274">
              <w:rPr>
                <w:rFonts w:ascii="Calibri" w:hint="eastAsia"/>
                <w:color w:val="auto"/>
                <w:szCs w:val="21"/>
              </w:rPr>
              <w:t>排放</w:t>
            </w:r>
            <w:r w:rsidR="00635274">
              <w:rPr>
                <w:rFonts w:ascii="Calibri"/>
                <w:color w:val="auto"/>
                <w:szCs w:val="21"/>
              </w:rPr>
              <w:t>除</w:t>
            </w:r>
            <w:r w:rsidR="00635274">
              <w:rPr>
                <w:rFonts w:ascii="Calibri" w:hint="eastAsia"/>
                <w:color w:val="auto"/>
                <w:szCs w:val="21"/>
              </w:rPr>
              <w:t>执行</w:t>
            </w:r>
            <w:r w:rsidR="00635274">
              <w:rPr>
                <w:rFonts w:ascii="Calibri"/>
                <w:color w:val="auto"/>
                <w:szCs w:val="21"/>
              </w:rPr>
              <w:t>行业标准，</w:t>
            </w:r>
            <w:r w:rsidR="00635274" w:rsidRPr="00F7129B">
              <w:rPr>
                <w:rFonts w:ascii="Calibri" w:hint="eastAsia"/>
                <w:color w:val="auto"/>
                <w:szCs w:val="21"/>
              </w:rPr>
              <w:t>同时满足</w:t>
            </w:r>
            <w:r w:rsidR="00575DF8">
              <w:rPr>
                <w:rFonts w:ascii="Calibri" w:hint="eastAsia"/>
                <w:color w:val="auto"/>
                <w:szCs w:val="21"/>
              </w:rPr>
              <w:t>《</w:t>
            </w:r>
            <w:r w:rsidR="00575DF8" w:rsidRPr="00575DF8">
              <w:rPr>
                <w:rFonts w:ascii="Calibri" w:hint="eastAsia"/>
                <w:color w:val="auto"/>
                <w:szCs w:val="21"/>
              </w:rPr>
              <w:t>平顶山重污染天气通用行业应急减排措施制定技术指南（试行）</w:t>
            </w:r>
            <w:r w:rsidR="00575DF8">
              <w:rPr>
                <w:rFonts w:ascii="Calibri" w:hint="eastAsia"/>
                <w:color w:val="auto"/>
                <w:szCs w:val="21"/>
              </w:rPr>
              <w:t>》</w:t>
            </w:r>
            <w:r w:rsidR="00635274" w:rsidRPr="00F7129B">
              <w:rPr>
                <w:rFonts w:ascii="Calibri" w:hint="eastAsia"/>
                <w:color w:val="auto"/>
                <w:szCs w:val="21"/>
              </w:rPr>
              <w:t>中“绩效</w:t>
            </w:r>
            <w:r w:rsidR="00646C87">
              <w:rPr>
                <w:rFonts w:ascii="Calibri"/>
                <w:color w:val="auto"/>
                <w:szCs w:val="21"/>
              </w:rPr>
              <w:t>B</w:t>
            </w:r>
            <w:r w:rsidR="00635274" w:rsidRPr="00F7129B">
              <w:rPr>
                <w:rFonts w:ascii="Calibri"/>
                <w:color w:val="auto"/>
                <w:szCs w:val="21"/>
              </w:rPr>
              <w:t>级</w:t>
            </w:r>
            <w:r w:rsidR="00575DF8">
              <w:rPr>
                <w:rFonts w:ascii="Calibri" w:hint="eastAsia"/>
                <w:color w:val="auto"/>
                <w:szCs w:val="21"/>
              </w:rPr>
              <w:t>”企业管控要求（颗粒</w:t>
            </w:r>
            <w:r w:rsidR="00635274" w:rsidRPr="00F7129B">
              <w:rPr>
                <w:rFonts w:ascii="Calibri" w:hint="eastAsia"/>
                <w:color w:val="auto"/>
                <w:szCs w:val="21"/>
              </w:rPr>
              <w:t>10</w:t>
            </w:r>
            <w:r w:rsidR="00635274" w:rsidRPr="00F7129B">
              <w:rPr>
                <w:rFonts w:ascii="Calibri"/>
                <w:color w:val="auto"/>
                <w:szCs w:val="21"/>
              </w:rPr>
              <w:t>mg/m</w:t>
            </w:r>
            <w:r w:rsidR="00635274" w:rsidRPr="00F7129B">
              <w:rPr>
                <w:rFonts w:ascii="Calibri"/>
                <w:color w:val="auto"/>
                <w:szCs w:val="21"/>
                <w:vertAlign w:val="superscript"/>
              </w:rPr>
              <w:t>3</w:t>
            </w:r>
            <w:r w:rsidR="00635274" w:rsidRPr="00F7129B">
              <w:rPr>
                <w:rFonts w:ascii="Calibri" w:hint="eastAsia"/>
                <w:color w:val="auto"/>
                <w:szCs w:val="21"/>
              </w:rPr>
              <w:t>、非甲烷总烃</w:t>
            </w:r>
            <w:r w:rsidR="00646C87">
              <w:rPr>
                <w:rFonts w:ascii="Calibri" w:hint="eastAsia"/>
                <w:color w:val="auto"/>
                <w:szCs w:val="21"/>
              </w:rPr>
              <w:t>4</w:t>
            </w:r>
            <w:r w:rsidR="00635274" w:rsidRPr="00F7129B">
              <w:rPr>
                <w:rFonts w:ascii="Calibri" w:hint="eastAsia"/>
                <w:color w:val="auto"/>
                <w:szCs w:val="21"/>
              </w:rPr>
              <w:t>0</w:t>
            </w:r>
            <w:r w:rsidR="00635274" w:rsidRPr="00F7129B">
              <w:rPr>
                <w:rFonts w:ascii="Calibri"/>
                <w:color w:val="auto"/>
                <w:szCs w:val="21"/>
              </w:rPr>
              <w:t>mg/m</w:t>
            </w:r>
            <w:r w:rsidR="00635274" w:rsidRPr="00F7129B">
              <w:rPr>
                <w:rFonts w:ascii="Calibri"/>
                <w:color w:val="auto"/>
                <w:szCs w:val="21"/>
                <w:vertAlign w:val="superscript"/>
              </w:rPr>
              <w:t>3</w:t>
            </w:r>
            <w:r w:rsidR="00635274" w:rsidRPr="00F7129B">
              <w:rPr>
                <w:rFonts w:ascii="Calibri" w:hint="eastAsia"/>
                <w:color w:val="auto"/>
                <w:szCs w:val="21"/>
              </w:rPr>
              <w:t>）</w:t>
            </w:r>
            <w:r w:rsidRPr="00A964FF">
              <w:rPr>
                <w:rFonts w:ascii="Calibri" w:hint="eastAsia"/>
                <w:color w:val="auto"/>
                <w:szCs w:val="21"/>
              </w:rPr>
              <w:t>。</w:t>
            </w:r>
          </w:p>
          <w:p w14:paraId="2550AEA0" w14:textId="77777777" w:rsidR="00D92D33" w:rsidRPr="00A964FF" w:rsidRDefault="00D92D33" w:rsidP="00635274">
            <w:pPr>
              <w:adjustRightInd w:val="0"/>
              <w:snapToGrid w:val="0"/>
              <w:jc w:val="left"/>
              <w:rPr>
                <w:rFonts w:ascii="Calibri" w:hAnsi="Calibri"/>
                <w:color w:val="auto"/>
                <w:szCs w:val="21"/>
              </w:rPr>
            </w:pPr>
            <w:r w:rsidRPr="00A964FF">
              <w:rPr>
                <w:rFonts w:ascii="Calibri" w:hint="eastAsia"/>
                <w:color w:val="auto"/>
                <w:szCs w:val="21"/>
              </w:rPr>
              <w:t>3</w:t>
            </w:r>
            <w:r w:rsidRPr="00A964FF">
              <w:rPr>
                <w:rFonts w:ascii="Calibri" w:hint="eastAsia"/>
                <w:color w:val="auto"/>
                <w:szCs w:val="21"/>
              </w:rPr>
              <w:t>、本项目能源消耗类型为电</w:t>
            </w:r>
            <w:r w:rsidRPr="00A964FF">
              <w:rPr>
                <w:rFonts w:ascii="Calibri" w:hint="eastAsia"/>
                <w:color w:val="auto"/>
                <w:szCs w:val="21"/>
              </w:rPr>
              <w:lastRenderedPageBreak/>
              <w:t>能和</w:t>
            </w:r>
            <w:r w:rsidR="00635274">
              <w:rPr>
                <w:rFonts w:ascii="Calibri" w:hint="eastAsia"/>
                <w:color w:val="auto"/>
                <w:szCs w:val="21"/>
              </w:rPr>
              <w:t>天然气</w:t>
            </w:r>
            <w:r w:rsidRPr="00A964FF">
              <w:rPr>
                <w:rFonts w:ascii="Calibri" w:hint="eastAsia"/>
                <w:color w:val="auto"/>
                <w:szCs w:val="21"/>
              </w:rPr>
              <w:t>。</w:t>
            </w:r>
          </w:p>
        </w:tc>
        <w:tc>
          <w:tcPr>
            <w:tcW w:w="543" w:type="pct"/>
            <w:vAlign w:val="center"/>
          </w:tcPr>
          <w:p w14:paraId="23480745"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lastRenderedPageBreak/>
              <w:t>符合</w:t>
            </w:r>
          </w:p>
        </w:tc>
      </w:tr>
    </w:tbl>
    <w:p w14:paraId="68BE7D6E" w14:textId="54EC631B" w:rsidR="00866AB5" w:rsidRPr="00540DBA" w:rsidRDefault="00442A89" w:rsidP="00540DBA">
      <w:pPr>
        <w:spacing w:line="520" w:lineRule="exact"/>
        <w:ind w:firstLineChars="200" w:firstLine="482"/>
        <w:textAlignment w:val="baseline"/>
        <w:rPr>
          <w:rFonts w:ascii="Calibri" w:hAnsi="Calibri"/>
          <w:b/>
          <w:bCs/>
          <w:color w:val="auto"/>
          <w:sz w:val="24"/>
        </w:rPr>
      </w:pPr>
      <w:r w:rsidRPr="00A964FF">
        <w:rPr>
          <w:rFonts w:ascii="Calibri" w:hint="eastAsia"/>
          <w:b/>
          <w:bCs/>
          <w:color w:val="auto"/>
          <w:sz w:val="24"/>
        </w:rPr>
        <w:t>8</w:t>
      </w:r>
      <w:r w:rsidRPr="00A964FF">
        <w:rPr>
          <w:rFonts w:ascii="Calibri" w:hint="eastAsia"/>
          <w:b/>
          <w:bCs/>
          <w:color w:val="auto"/>
          <w:sz w:val="24"/>
        </w:rPr>
        <w:t>、</w:t>
      </w:r>
      <w:r w:rsidRPr="00A964FF">
        <w:rPr>
          <w:rFonts w:ascii="Calibri"/>
          <w:b/>
          <w:bCs/>
          <w:color w:val="auto"/>
          <w:sz w:val="24"/>
        </w:rPr>
        <w:t>重点流域水生态环境管控要求</w:t>
      </w:r>
    </w:p>
    <w:p w14:paraId="22381E20" w14:textId="665F153C" w:rsidR="00442A89" w:rsidRPr="00A964FF" w:rsidRDefault="00442A89" w:rsidP="00442A89">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int="eastAsia"/>
          <w:color w:val="auto"/>
          <w:sz w:val="24"/>
        </w:rPr>
        <w:t>1.8-</w:t>
      </w:r>
      <w:r w:rsidRPr="00A964FF">
        <w:rPr>
          <w:rFonts w:ascii="Calibri" w:eastAsia="黑体" w:hAnsi="Calibri"/>
          <w:color w:val="auto"/>
          <w:sz w:val="24"/>
        </w:rPr>
        <w:t xml:space="preserve">8                </w:t>
      </w:r>
      <w:r w:rsidRPr="00A964FF">
        <w:rPr>
          <w:rFonts w:ascii="Calibri" w:eastAsia="黑体"/>
          <w:color w:val="auto"/>
          <w:sz w:val="24"/>
        </w:rPr>
        <w:t>重点流域水生态环境管控要求</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730"/>
        <w:gridCol w:w="5377"/>
        <w:gridCol w:w="1566"/>
        <w:gridCol w:w="1027"/>
      </w:tblGrid>
      <w:tr w:rsidR="00442A89" w:rsidRPr="00A964FF" w14:paraId="5990200B" w14:textId="77777777" w:rsidTr="00E077A5">
        <w:trPr>
          <w:trHeight w:val="370"/>
          <w:jc w:val="center"/>
        </w:trPr>
        <w:tc>
          <w:tcPr>
            <w:tcW w:w="420" w:type="pct"/>
            <w:vAlign w:val="center"/>
          </w:tcPr>
          <w:p w14:paraId="5DE88911"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流域</w:t>
            </w:r>
          </w:p>
        </w:tc>
        <w:tc>
          <w:tcPr>
            <w:tcW w:w="3090" w:type="pct"/>
            <w:vAlign w:val="center"/>
          </w:tcPr>
          <w:p w14:paraId="3CDF2A0B"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准入要求</w:t>
            </w:r>
          </w:p>
        </w:tc>
        <w:tc>
          <w:tcPr>
            <w:tcW w:w="900" w:type="pct"/>
            <w:vAlign w:val="center"/>
          </w:tcPr>
          <w:p w14:paraId="585CABCE"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本项目</w:t>
            </w:r>
          </w:p>
        </w:tc>
        <w:tc>
          <w:tcPr>
            <w:tcW w:w="590" w:type="pct"/>
            <w:vAlign w:val="center"/>
          </w:tcPr>
          <w:p w14:paraId="7637E66F"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符合性</w:t>
            </w:r>
          </w:p>
        </w:tc>
      </w:tr>
      <w:tr w:rsidR="00442A89" w:rsidRPr="00A964FF" w14:paraId="22A1CFFF" w14:textId="77777777" w:rsidTr="00E077A5">
        <w:trPr>
          <w:trHeight w:val="1398"/>
          <w:jc w:val="center"/>
        </w:trPr>
        <w:tc>
          <w:tcPr>
            <w:tcW w:w="420" w:type="pct"/>
            <w:vAlign w:val="center"/>
          </w:tcPr>
          <w:p w14:paraId="092A193F" w14:textId="77777777" w:rsidR="00442A89" w:rsidRPr="00A964FF" w:rsidRDefault="00442A89" w:rsidP="00E077A5">
            <w:pPr>
              <w:adjustRightInd w:val="0"/>
              <w:snapToGrid w:val="0"/>
              <w:rPr>
                <w:rFonts w:ascii="Calibri" w:hAnsi="Calibri"/>
                <w:color w:val="auto"/>
                <w:szCs w:val="21"/>
              </w:rPr>
            </w:pPr>
            <w:r w:rsidRPr="00A964FF">
              <w:rPr>
                <w:rFonts w:ascii="Calibri"/>
                <w:color w:val="auto"/>
                <w:szCs w:val="21"/>
              </w:rPr>
              <w:t>省辖</w:t>
            </w:r>
          </w:p>
          <w:p w14:paraId="2F1731CC" w14:textId="77777777" w:rsidR="00442A89" w:rsidRPr="00A964FF" w:rsidRDefault="00442A89" w:rsidP="00E077A5">
            <w:pPr>
              <w:adjustRightInd w:val="0"/>
              <w:snapToGrid w:val="0"/>
              <w:rPr>
                <w:rFonts w:ascii="Calibri" w:hAnsi="Calibri"/>
                <w:color w:val="auto"/>
                <w:szCs w:val="21"/>
              </w:rPr>
            </w:pPr>
            <w:r w:rsidRPr="00A964FF">
              <w:rPr>
                <w:rFonts w:ascii="Calibri"/>
                <w:color w:val="auto"/>
                <w:szCs w:val="21"/>
              </w:rPr>
              <w:t>淮河</w:t>
            </w:r>
          </w:p>
          <w:p w14:paraId="27DE2385" w14:textId="77777777" w:rsidR="00442A89" w:rsidRPr="00A964FF" w:rsidRDefault="00442A89" w:rsidP="00E077A5">
            <w:pPr>
              <w:adjustRightInd w:val="0"/>
              <w:snapToGrid w:val="0"/>
              <w:rPr>
                <w:rFonts w:ascii="Calibri" w:hAnsi="Calibri"/>
                <w:color w:val="auto"/>
                <w:szCs w:val="21"/>
              </w:rPr>
            </w:pPr>
            <w:r w:rsidRPr="00A964FF">
              <w:rPr>
                <w:rFonts w:ascii="Calibri"/>
                <w:color w:val="auto"/>
                <w:szCs w:val="21"/>
              </w:rPr>
              <w:t>流域</w:t>
            </w:r>
          </w:p>
        </w:tc>
        <w:tc>
          <w:tcPr>
            <w:tcW w:w="3090" w:type="pct"/>
            <w:vAlign w:val="center"/>
          </w:tcPr>
          <w:p w14:paraId="100578F1"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1.</w:t>
            </w:r>
            <w:r w:rsidRPr="00A964FF">
              <w:rPr>
                <w:rFonts w:ascii="Calibri"/>
                <w:color w:val="auto"/>
                <w:szCs w:val="21"/>
              </w:rPr>
              <w:t>建成区排水管网清污分流、污水处理厂提质增效。</w:t>
            </w:r>
          </w:p>
          <w:p w14:paraId="3CFD5DF0"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2.</w:t>
            </w:r>
            <w:r w:rsidRPr="00A964FF">
              <w:rPr>
                <w:rFonts w:ascii="Calibri"/>
                <w:color w:val="auto"/>
                <w:szCs w:val="21"/>
              </w:rPr>
              <w:t>严格执行流域洪河、惠济河、贾鲁河、清潩河流域水污染物排放标准，控制排放总量。</w:t>
            </w:r>
          </w:p>
          <w:p w14:paraId="5F09965A"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3.</w:t>
            </w:r>
            <w:r w:rsidRPr="00A964FF">
              <w:rPr>
                <w:rFonts w:ascii="Calibri"/>
                <w:color w:val="auto"/>
                <w:szCs w:val="21"/>
              </w:rPr>
              <w:t>加强跨界污染风险防范，建立上下游水污染防治联动协作机制；对具有通航功能的重点河流加强船舶污染物防控，防治事故性溢油和操作性排放的油污染。</w:t>
            </w:r>
          </w:p>
          <w:p w14:paraId="0DD9F68E"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4.</w:t>
            </w:r>
            <w:r w:rsidRPr="00A964FF">
              <w:rPr>
                <w:rFonts w:ascii="Calibri"/>
                <w:color w:val="auto"/>
                <w:szCs w:val="21"/>
              </w:rPr>
              <w:t>采取闸坝联合调度、生态补水、水资源置换等措施，合理安排闸坝下泄水量和泄流时段，继续维持河湖基本生态用水需求，改善贾鲁河、惠济河、黑河等流量保障情况；开展其他断流河流生态流量保障机制。</w:t>
            </w:r>
          </w:p>
          <w:p w14:paraId="7DD462B9"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5.</w:t>
            </w:r>
            <w:r w:rsidRPr="00A964FF">
              <w:rPr>
                <w:rFonts w:ascii="Calibri"/>
                <w:color w:val="auto"/>
                <w:szCs w:val="21"/>
              </w:rPr>
              <w:t>推进沙河、颍河等淮河重要支流和引江济淮工程（河南段）沿线水环境综合治理。</w:t>
            </w:r>
          </w:p>
          <w:p w14:paraId="57DC5BCD"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6.</w:t>
            </w:r>
            <w:r w:rsidRPr="00A964FF">
              <w:rPr>
                <w:rFonts w:ascii="Calibri"/>
                <w:color w:val="auto"/>
                <w:szCs w:val="21"/>
              </w:rPr>
              <w:t>重点推进南水北调受水区地下水压采工作，加快公共供水管网建设，逐步关停自备井。</w:t>
            </w:r>
          </w:p>
          <w:p w14:paraId="3BBAA668"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7.</w:t>
            </w:r>
            <w:r w:rsidRPr="00A964FF">
              <w:rPr>
                <w:rFonts w:ascii="Calibri"/>
                <w:color w:val="auto"/>
                <w:szCs w:val="21"/>
              </w:rPr>
              <w:t>积极推广管道输水灌溉、喷灌、微灌等高效节水灌溉技术，组织开展灌区现代化改造试点；实现农业种植结构优化调整、农业用水方式由粗放式向集约化转变。</w:t>
            </w:r>
          </w:p>
          <w:p w14:paraId="028EC2F2"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8.</w:t>
            </w:r>
            <w:r w:rsidRPr="00A964FF">
              <w:rPr>
                <w:rFonts w:ascii="Calibri"/>
                <w:color w:val="auto"/>
                <w:szCs w:val="21"/>
              </w:rPr>
              <w:t>完善鼓励和淘汰的用水工艺、技术和装备目录。重点开展火电、钢铁、石化、化工、纺织、造纸、食品等高耗水工业行业节水技术改造，大力推进工业水循环利用，推进节水型企业、节水型工业园区建设。</w:t>
            </w:r>
          </w:p>
          <w:p w14:paraId="39D96541" w14:textId="77777777" w:rsidR="00442A89" w:rsidRPr="00A964FF" w:rsidRDefault="00442A89" w:rsidP="00E077A5">
            <w:pPr>
              <w:adjustRightInd w:val="0"/>
              <w:snapToGrid w:val="0"/>
              <w:rPr>
                <w:rFonts w:ascii="Calibri" w:hAnsi="Calibri"/>
                <w:color w:val="auto"/>
                <w:szCs w:val="21"/>
              </w:rPr>
            </w:pPr>
            <w:r w:rsidRPr="00A964FF">
              <w:rPr>
                <w:rFonts w:ascii="Calibri" w:hAnsi="Calibri"/>
                <w:color w:val="auto"/>
                <w:szCs w:val="21"/>
              </w:rPr>
              <w:t>9.</w:t>
            </w:r>
            <w:r w:rsidRPr="00A964FF">
              <w:rPr>
                <w:rFonts w:ascii="Calibri"/>
                <w:color w:val="auto"/>
                <w:szCs w:val="21"/>
              </w:rPr>
              <w:t>大力推进雨水、再生水、矿井水、苦咸水等非常规水源利用，将非常规水源纳入区域水资源统一配置；鼓励省辖淮河流域钢铁、造纸、化工、制革等高耗水企业废水深度处理回用。</w:t>
            </w:r>
          </w:p>
        </w:tc>
        <w:tc>
          <w:tcPr>
            <w:tcW w:w="900" w:type="pct"/>
            <w:vAlign w:val="center"/>
          </w:tcPr>
          <w:p w14:paraId="640E2FF4" w14:textId="77777777" w:rsidR="00635274" w:rsidRDefault="00442A89" w:rsidP="00A25662">
            <w:pPr>
              <w:adjustRightInd w:val="0"/>
              <w:snapToGrid w:val="0"/>
              <w:jc w:val="center"/>
              <w:rPr>
                <w:rFonts w:ascii="Calibri"/>
                <w:color w:val="auto"/>
                <w:szCs w:val="21"/>
              </w:rPr>
            </w:pPr>
            <w:r w:rsidRPr="00A964FF">
              <w:rPr>
                <w:rFonts w:ascii="Calibri"/>
                <w:color w:val="auto"/>
                <w:szCs w:val="21"/>
              </w:rPr>
              <w:t>本项目</w:t>
            </w:r>
            <w:r w:rsidR="00A25662" w:rsidRPr="00A964FF">
              <w:rPr>
                <w:rFonts w:ascii="Calibri" w:hint="eastAsia"/>
                <w:color w:val="auto"/>
                <w:szCs w:val="21"/>
              </w:rPr>
              <w:t>选址位于平顶山尼龙新材料产业集聚区，属于淮河流域沙河水系，</w:t>
            </w:r>
            <w:r w:rsidR="00635274">
              <w:rPr>
                <w:rFonts w:ascii="Calibri" w:hint="eastAsia"/>
                <w:color w:val="auto"/>
                <w:szCs w:val="21"/>
              </w:rPr>
              <w:t>厂区</w:t>
            </w:r>
            <w:r w:rsidR="00635274">
              <w:rPr>
                <w:rFonts w:ascii="Calibri"/>
                <w:color w:val="auto"/>
                <w:szCs w:val="21"/>
              </w:rPr>
              <w:t>雨污分流，</w:t>
            </w:r>
            <w:r w:rsidR="00635274">
              <w:rPr>
                <w:rFonts w:ascii="Calibri" w:hint="eastAsia"/>
                <w:color w:val="auto"/>
                <w:szCs w:val="21"/>
              </w:rPr>
              <w:t>聚合冷凝</w:t>
            </w:r>
            <w:r w:rsidR="00635274">
              <w:rPr>
                <w:rFonts w:ascii="Calibri"/>
                <w:color w:val="auto"/>
                <w:szCs w:val="21"/>
              </w:rPr>
              <w:t>工艺废水回用于</w:t>
            </w:r>
            <w:r w:rsidR="00635274">
              <w:rPr>
                <w:rFonts w:ascii="Calibri" w:hint="eastAsia"/>
                <w:color w:val="auto"/>
                <w:szCs w:val="21"/>
              </w:rPr>
              <w:t>生产配料</w:t>
            </w:r>
            <w:r w:rsidR="00635274">
              <w:rPr>
                <w:rFonts w:ascii="Calibri"/>
                <w:color w:val="auto"/>
                <w:szCs w:val="21"/>
              </w:rPr>
              <w:t>，不能回用</w:t>
            </w:r>
            <w:r w:rsidR="00635274">
              <w:rPr>
                <w:rFonts w:ascii="Calibri" w:hint="eastAsia"/>
                <w:color w:val="auto"/>
                <w:szCs w:val="21"/>
              </w:rPr>
              <w:t>的</w:t>
            </w:r>
            <w:r w:rsidR="00635274">
              <w:rPr>
                <w:rFonts w:ascii="Calibri"/>
                <w:color w:val="auto"/>
                <w:szCs w:val="21"/>
              </w:rPr>
              <w:t>进入厂区</w:t>
            </w:r>
            <w:r w:rsidR="00635274">
              <w:rPr>
                <w:rFonts w:ascii="Calibri" w:hint="eastAsia"/>
                <w:color w:val="auto"/>
                <w:szCs w:val="21"/>
              </w:rPr>
              <w:t>自建</w:t>
            </w:r>
            <w:r w:rsidR="00635274">
              <w:rPr>
                <w:rFonts w:ascii="Calibri"/>
                <w:color w:val="auto"/>
                <w:szCs w:val="21"/>
              </w:rPr>
              <w:t>污水处理</w:t>
            </w:r>
            <w:r w:rsidR="00635274">
              <w:rPr>
                <w:rFonts w:ascii="Calibri" w:hint="eastAsia"/>
                <w:color w:val="auto"/>
                <w:szCs w:val="21"/>
              </w:rPr>
              <w:t>站</w:t>
            </w:r>
            <w:r w:rsidR="00635274">
              <w:rPr>
                <w:rFonts w:ascii="Calibri"/>
                <w:color w:val="auto"/>
                <w:szCs w:val="21"/>
              </w:rPr>
              <w:t>，</w:t>
            </w:r>
            <w:r w:rsidR="00635274" w:rsidRPr="00A964FF">
              <w:rPr>
                <w:rFonts w:ascii="Calibri" w:hint="eastAsia"/>
                <w:color w:val="auto"/>
                <w:szCs w:val="21"/>
              </w:rPr>
              <w:t>生产废水经处理达标后排入集聚区污水处理厂集中处理。</w:t>
            </w:r>
          </w:p>
          <w:p w14:paraId="0F527D1C" w14:textId="77777777" w:rsidR="00442A89" w:rsidRPr="00A964FF" w:rsidRDefault="00442A89" w:rsidP="00635274">
            <w:pPr>
              <w:adjustRightInd w:val="0"/>
              <w:snapToGrid w:val="0"/>
              <w:rPr>
                <w:rFonts w:ascii="Calibri" w:hAnsi="Calibri"/>
                <w:color w:val="auto"/>
                <w:szCs w:val="21"/>
              </w:rPr>
            </w:pPr>
          </w:p>
        </w:tc>
        <w:tc>
          <w:tcPr>
            <w:tcW w:w="590" w:type="pct"/>
            <w:vAlign w:val="center"/>
          </w:tcPr>
          <w:p w14:paraId="6A964A00" w14:textId="77777777" w:rsidR="00442A89" w:rsidRPr="00A964FF" w:rsidRDefault="00442A89" w:rsidP="00E077A5">
            <w:pPr>
              <w:adjustRightInd w:val="0"/>
              <w:snapToGrid w:val="0"/>
              <w:jc w:val="center"/>
              <w:rPr>
                <w:rFonts w:ascii="Calibri" w:hAnsi="Calibri"/>
                <w:color w:val="auto"/>
                <w:szCs w:val="21"/>
              </w:rPr>
            </w:pPr>
            <w:r w:rsidRPr="00A964FF">
              <w:rPr>
                <w:rFonts w:ascii="Calibri"/>
                <w:color w:val="auto"/>
                <w:szCs w:val="21"/>
              </w:rPr>
              <w:t>符合</w:t>
            </w:r>
          </w:p>
        </w:tc>
      </w:tr>
    </w:tbl>
    <w:p w14:paraId="34B535FD" w14:textId="77777777" w:rsidR="00442A89" w:rsidRPr="00A964FF" w:rsidRDefault="00442A89" w:rsidP="00442A89">
      <w:pPr>
        <w:pStyle w:val="00"/>
        <w:rPr>
          <w:rFonts w:ascii="Calibri" w:hAnsi="Calibri"/>
          <w:color w:val="auto"/>
        </w:rPr>
      </w:pPr>
      <w:r w:rsidRPr="00A964FF">
        <w:rPr>
          <w:rFonts w:ascii="Calibri" w:hAnsi="Calibri"/>
          <w:color w:val="auto"/>
        </w:rPr>
        <w:t>通过以上分析可知，本项目建设符合《河南省生态环境分区管控总体要求（试行）》中相关规定。</w:t>
      </w:r>
    </w:p>
    <w:p w14:paraId="26E50846" w14:textId="77777777" w:rsidR="0055605A" w:rsidRPr="00A964FF" w:rsidRDefault="0055605A" w:rsidP="0055605A">
      <w:pPr>
        <w:pStyle w:val="ad"/>
        <w:rPr>
          <w:rFonts w:ascii="Calibri" w:hAnsi="Calibri"/>
          <w:color w:val="auto"/>
        </w:rPr>
      </w:pPr>
      <w:r w:rsidRPr="00090297">
        <w:rPr>
          <w:rFonts w:ascii="Calibri" w:hAnsi="Calibri" w:hint="eastAsia"/>
          <w:color w:val="auto"/>
        </w:rPr>
        <w:t>1.8</w:t>
      </w:r>
      <w:r w:rsidRPr="00090297">
        <w:rPr>
          <w:rFonts w:ascii="Calibri" w:hAnsi="Calibri"/>
          <w:color w:val="auto"/>
        </w:rPr>
        <w:t>.</w:t>
      </w:r>
      <w:r w:rsidR="00A25662" w:rsidRPr="00090297">
        <w:rPr>
          <w:rFonts w:ascii="Calibri" w:hAnsi="Calibri" w:hint="eastAsia"/>
          <w:color w:val="auto"/>
        </w:rPr>
        <w:t>4</w:t>
      </w:r>
      <w:r w:rsidR="00A25662" w:rsidRPr="00090297">
        <w:rPr>
          <w:rFonts w:ascii="Calibri" w:hAnsi="Calibri" w:hint="eastAsia"/>
          <w:color w:val="auto"/>
        </w:rPr>
        <w:t>与</w:t>
      </w:r>
      <w:r w:rsidR="003B048A" w:rsidRPr="00090297">
        <w:rPr>
          <w:rFonts w:ascii="Calibri" w:hAnsi="Calibri" w:hint="eastAsia"/>
          <w:color w:val="auto"/>
        </w:rPr>
        <w:t>平顶山尼龙新材料产业集聚区</w:t>
      </w:r>
      <w:r w:rsidR="005B3C4E" w:rsidRPr="00090297">
        <w:rPr>
          <w:rFonts w:ascii="Calibri" w:hAnsi="Calibri" w:hint="eastAsia"/>
          <w:color w:val="auto"/>
        </w:rPr>
        <w:t>总体发展规划（</w:t>
      </w:r>
      <w:r w:rsidR="00280BE8" w:rsidRPr="00090297">
        <w:rPr>
          <w:rFonts w:ascii="Calibri" w:hAnsi="Calibri" w:hint="eastAsia"/>
          <w:color w:val="auto"/>
        </w:rPr>
        <w:t>2021</w:t>
      </w:r>
      <w:r w:rsidR="005B3C4E" w:rsidRPr="00090297">
        <w:rPr>
          <w:rFonts w:ascii="Calibri" w:hAnsi="Calibri" w:hint="eastAsia"/>
          <w:color w:val="auto"/>
        </w:rPr>
        <w:t>-20</w:t>
      </w:r>
      <w:r w:rsidR="00280BE8" w:rsidRPr="00090297">
        <w:rPr>
          <w:rFonts w:ascii="Calibri" w:hAnsi="Calibri" w:hint="eastAsia"/>
          <w:color w:val="auto"/>
        </w:rPr>
        <w:t>3</w:t>
      </w:r>
      <w:r w:rsidR="005B3C4E" w:rsidRPr="00090297">
        <w:rPr>
          <w:rFonts w:ascii="Calibri" w:hAnsi="Calibri" w:hint="eastAsia"/>
          <w:color w:val="auto"/>
        </w:rPr>
        <w:t>0</w:t>
      </w:r>
      <w:r w:rsidR="005B3C4E" w:rsidRPr="00090297">
        <w:rPr>
          <w:rFonts w:ascii="Calibri" w:hAnsi="Calibri" w:hint="eastAsia"/>
          <w:color w:val="auto"/>
        </w:rPr>
        <w:t>）</w:t>
      </w:r>
      <w:r w:rsidR="00A25662" w:rsidRPr="00090297">
        <w:rPr>
          <w:rFonts w:ascii="Calibri" w:hAnsi="Calibri" w:hint="eastAsia"/>
          <w:color w:val="auto"/>
        </w:rPr>
        <w:t>符合性分析</w:t>
      </w:r>
    </w:p>
    <w:p w14:paraId="3B7B2558" w14:textId="77777777" w:rsidR="00A412FB" w:rsidRDefault="00A412FB" w:rsidP="00A412FB">
      <w:pPr>
        <w:spacing w:line="520" w:lineRule="exact"/>
        <w:ind w:firstLineChars="200" w:firstLine="480"/>
        <w:jc w:val="left"/>
        <w:rPr>
          <w:rFonts w:ascii="Calibri" w:hAnsi="Calibri"/>
          <w:bCs/>
          <w:color w:val="auto"/>
          <w:sz w:val="24"/>
        </w:rPr>
      </w:pPr>
      <w:r w:rsidRPr="00A412FB">
        <w:rPr>
          <w:rFonts w:ascii="Calibri" w:hAnsi="Calibri" w:hint="eastAsia"/>
          <w:bCs/>
          <w:color w:val="auto"/>
          <w:sz w:val="24"/>
        </w:rPr>
        <w:t>平顶山尼龙新材料产业集聚区（原名平顶山化工产业集聚区</w:t>
      </w:r>
      <w:r w:rsidR="00F723F1">
        <w:rPr>
          <w:rFonts w:ascii="Calibri" w:hAnsi="Calibri" w:hint="eastAsia"/>
          <w:bCs/>
          <w:color w:val="auto"/>
          <w:sz w:val="24"/>
        </w:rPr>
        <w:t>，</w:t>
      </w:r>
      <w:r w:rsidR="00F723F1">
        <w:rPr>
          <w:rFonts w:ascii="Calibri" w:hAnsi="Calibri" w:hint="eastAsia"/>
          <w:bCs/>
          <w:color w:val="auto"/>
          <w:sz w:val="24"/>
        </w:rPr>
        <w:t>2022</w:t>
      </w:r>
      <w:r w:rsidR="00F723F1">
        <w:rPr>
          <w:rFonts w:ascii="Calibri" w:hAnsi="Calibri" w:hint="eastAsia"/>
          <w:bCs/>
          <w:color w:val="auto"/>
          <w:sz w:val="24"/>
        </w:rPr>
        <w:t>年</w:t>
      </w:r>
      <w:r w:rsidR="00F723F1">
        <w:rPr>
          <w:rFonts w:ascii="Calibri" w:hAnsi="Calibri" w:hint="eastAsia"/>
          <w:bCs/>
          <w:color w:val="auto"/>
          <w:sz w:val="24"/>
        </w:rPr>
        <w:t>6</w:t>
      </w:r>
      <w:r w:rsidR="00F723F1">
        <w:rPr>
          <w:rFonts w:ascii="Calibri" w:hAnsi="Calibri" w:hint="eastAsia"/>
          <w:bCs/>
          <w:color w:val="auto"/>
          <w:sz w:val="24"/>
        </w:rPr>
        <w:t>月</w:t>
      </w:r>
      <w:r w:rsidR="00F723F1">
        <w:rPr>
          <w:rFonts w:ascii="Calibri" w:hAnsi="Calibri"/>
          <w:bCs/>
          <w:color w:val="auto"/>
          <w:sz w:val="24"/>
        </w:rPr>
        <w:t>更名为</w:t>
      </w:r>
      <w:r w:rsidR="009A0104" w:rsidRPr="009A0104">
        <w:rPr>
          <w:rFonts w:ascii="Calibri" w:hAnsi="Calibri" w:hint="eastAsia"/>
          <w:bCs/>
          <w:color w:val="auto"/>
          <w:sz w:val="24"/>
        </w:rPr>
        <w:t>平顶山尼龙新材料开发区</w:t>
      </w:r>
      <w:r w:rsidRPr="00A412FB">
        <w:rPr>
          <w:rFonts w:ascii="Calibri" w:hAnsi="Calibri" w:hint="eastAsia"/>
          <w:bCs/>
          <w:color w:val="auto"/>
          <w:sz w:val="24"/>
        </w:rPr>
        <w:t>）位于河南省平顶山市东南部，于</w:t>
      </w:r>
      <w:r>
        <w:rPr>
          <w:rFonts w:ascii="Calibri" w:hAnsi="Calibri" w:hint="eastAsia"/>
          <w:bCs/>
          <w:color w:val="auto"/>
          <w:sz w:val="24"/>
        </w:rPr>
        <w:t>2008</w:t>
      </w:r>
      <w:r w:rsidRPr="00A412FB">
        <w:rPr>
          <w:rFonts w:ascii="Calibri" w:hAnsi="Calibri" w:hint="eastAsia"/>
          <w:bCs/>
          <w:color w:val="auto"/>
          <w:sz w:val="24"/>
        </w:rPr>
        <w:t>年启动建设，</w:t>
      </w:r>
      <w:r w:rsidRPr="00A412FB">
        <w:rPr>
          <w:rFonts w:ascii="Calibri" w:hAnsi="Calibri" w:hint="eastAsia"/>
          <w:bCs/>
          <w:color w:val="auto"/>
          <w:sz w:val="24"/>
        </w:rPr>
        <w:lastRenderedPageBreak/>
        <w:t>为省级一星级产业集聚区，前身为平顶山化工城。平顶山尼龙新材料产业集聚区是规划</w:t>
      </w:r>
      <w:r>
        <w:rPr>
          <w:rFonts w:ascii="Calibri" w:hAnsi="Calibri" w:hint="eastAsia"/>
          <w:bCs/>
          <w:color w:val="auto"/>
          <w:sz w:val="24"/>
        </w:rPr>
        <w:t>123</w:t>
      </w:r>
      <w:r w:rsidRPr="00A412FB">
        <w:rPr>
          <w:rFonts w:ascii="Calibri" w:hAnsi="Calibri" w:hint="eastAsia"/>
          <w:bCs/>
          <w:color w:val="auto"/>
          <w:sz w:val="24"/>
        </w:rPr>
        <w:t>平方公里“中国尼龙城”的核心区。</w:t>
      </w:r>
    </w:p>
    <w:p w14:paraId="7E54787B" w14:textId="77777777" w:rsidR="00090297" w:rsidRPr="00090297" w:rsidRDefault="002529E2" w:rsidP="00090297">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集聚区于成立之初编制了《平顶山市化工城总体规划》（</w:t>
      </w:r>
      <w:r w:rsidRPr="00A964FF">
        <w:rPr>
          <w:rFonts w:ascii="Calibri" w:hAnsi="Calibri" w:hint="eastAsia"/>
          <w:bCs/>
          <w:color w:val="auto"/>
          <w:sz w:val="24"/>
        </w:rPr>
        <w:t>2006-2015</w:t>
      </w:r>
      <w:r w:rsidRPr="00A964FF">
        <w:rPr>
          <w:rFonts w:ascii="Calibri" w:hAnsi="Calibri" w:hint="eastAsia"/>
          <w:bCs/>
          <w:color w:val="auto"/>
          <w:sz w:val="24"/>
        </w:rPr>
        <w:t>年）；</w:t>
      </w:r>
      <w:r w:rsidRPr="00A964FF">
        <w:rPr>
          <w:rFonts w:ascii="Calibri" w:hAnsi="Calibri" w:hint="eastAsia"/>
          <w:bCs/>
          <w:color w:val="auto"/>
          <w:sz w:val="24"/>
        </w:rPr>
        <w:t>2008</w:t>
      </w:r>
      <w:r w:rsidRPr="00A964FF">
        <w:rPr>
          <w:rFonts w:ascii="Calibri" w:hAnsi="Calibri" w:hint="eastAsia"/>
          <w:bCs/>
          <w:color w:val="auto"/>
          <w:sz w:val="24"/>
        </w:rPr>
        <w:t>年</w:t>
      </w:r>
      <w:r w:rsidRPr="00A964FF">
        <w:rPr>
          <w:rFonts w:ascii="Calibri" w:hAnsi="Calibri" w:hint="eastAsia"/>
          <w:bCs/>
          <w:color w:val="auto"/>
          <w:sz w:val="24"/>
        </w:rPr>
        <w:t>11</w:t>
      </w:r>
      <w:r w:rsidRPr="00A964FF">
        <w:rPr>
          <w:rFonts w:ascii="Calibri" w:hAnsi="Calibri" w:hint="eastAsia"/>
          <w:bCs/>
          <w:color w:val="auto"/>
          <w:sz w:val="24"/>
        </w:rPr>
        <w:t>月，经河南省政府批准，集聚区升级为省级产业集聚区，随之编制了《平顶山化工产业集聚区（化工城）总体发展规划》（</w:t>
      </w:r>
      <w:r w:rsidRPr="00A964FF">
        <w:rPr>
          <w:rFonts w:ascii="Calibri" w:hAnsi="Calibri" w:hint="eastAsia"/>
          <w:bCs/>
          <w:color w:val="auto"/>
          <w:sz w:val="24"/>
        </w:rPr>
        <w:t>2009-2020</w:t>
      </w:r>
      <w:r w:rsidRPr="00A964FF">
        <w:rPr>
          <w:rFonts w:ascii="Calibri" w:hAnsi="Calibri" w:hint="eastAsia"/>
          <w:bCs/>
          <w:color w:val="auto"/>
          <w:sz w:val="24"/>
        </w:rPr>
        <w:t>年）（河南省发展和改革委员会以豫发改工业【</w:t>
      </w:r>
      <w:r w:rsidRPr="00A964FF">
        <w:rPr>
          <w:rFonts w:ascii="Calibri" w:hAnsi="Calibri" w:hint="eastAsia"/>
          <w:bCs/>
          <w:color w:val="auto"/>
          <w:sz w:val="24"/>
        </w:rPr>
        <w:t>2010</w:t>
      </w:r>
      <w:r w:rsidRPr="00A964FF">
        <w:rPr>
          <w:rFonts w:ascii="Calibri" w:hAnsi="Calibri" w:hint="eastAsia"/>
          <w:bCs/>
          <w:color w:val="auto"/>
          <w:sz w:val="24"/>
        </w:rPr>
        <w:t>】</w:t>
      </w:r>
      <w:r w:rsidRPr="00A964FF">
        <w:rPr>
          <w:rFonts w:ascii="Calibri" w:hAnsi="Calibri" w:hint="eastAsia"/>
          <w:bCs/>
          <w:color w:val="auto"/>
          <w:sz w:val="24"/>
        </w:rPr>
        <w:t>2043</w:t>
      </w:r>
      <w:r w:rsidRPr="00A964FF">
        <w:rPr>
          <w:rFonts w:ascii="Calibri" w:hAnsi="Calibri" w:hint="eastAsia"/>
          <w:bCs/>
          <w:color w:val="auto"/>
          <w:sz w:val="24"/>
        </w:rPr>
        <w:t>号文件对该规划进行批复）；为落实集聚区总体发展规划的具体要求，叶县发展和改革委员会编制了《平顶山化工产业集聚区（化工城）空间规划及控制区控制性详细规划》（</w:t>
      </w:r>
      <w:r w:rsidRPr="00A964FF">
        <w:rPr>
          <w:rFonts w:ascii="Calibri" w:hAnsi="Calibri" w:hint="eastAsia"/>
          <w:bCs/>
          <w:color w:val="auto"/>
          <w:sz w:val="24"/>
        </w:rPr>
        <w:t>2009-2020</w:t>
      </w:r>
      <w:r w:rsidRPr="00A964FF">
        <w:rPr>
          <w:rFonts w:ascii="Calibri" w:hAnsi="Calibri" w:hint="eastAsia"/>
          <w:bCs/>
          <w:color w:val="auto"/>
          <w:sz w:val="24"/>
        </w:rPr>
        <w:t>年）（平顶山市规划局以平规文【</w:t>
      </w:r>
      <w:r w:rsidRPr="00A964FF">
        <w:rPr>
          <w:rFonts w:ascii="Calibri" w:hAnsi="Calibri" w:hint="eastAsia"/>
          <w:bCs/>
          <w:color w:val="auto"/>
          <w:sz w:val="24"/>
        </w:rPr>
        <w:t>2010</w:t>
      </w:r>
      <w:r w:rsidRPr="00A964FF">
        <w:rPr>
          <w:rFonts w:ascii="Calibri" w:hAnsi="Calibri" w:hint="eastAsia"/>
          <w:bCs/>
          <w:color w:val="auto"/>
          <w:sz w:val="24"/>
        </w:rPr>
        <w:t>】</w:t>
      </w:r>
      <w:r w:rsidRPr="00A964FF">
        <w:rPr>
          <w:rFonts w:ascii="Calibri" w:hAnsi="Calibri" w:hint="eastAsia"/>
          <w:bCs/>
          <w:color w:val="auto"/>
          <w:sz w:val="24"/>
        </w:rPr>
        <w:t>148</w:t>
      </w:r>
      <w:r w:rsidRPr="00A964FF">
        <w:rPr>
          <w:rFonts w:ascii="Calibri" w:hAnsi="Calibri" w:hint="eastAsia"/>
          <w:bCs/>
          <w:color w:val="auto"/>
          <w:sz w:val="24"/>
        </w:rPr>
        <w:t>号文件报送河南省住房和城乡建设厅并请予审查）。</w:t>
      </w:r>
      <w:r w:rsidRPr="00A964FF">
        <w:rPr>
          <w:rFonts w:ascii="Calibri" w:hAnsi="Calibri" w:hint="eastAsia"/>
          <w:bCs/>
          <w:color w:val="auto"/>
          <w:sz w:val="24"/>
        </w:rPr>
        <w:t>2018</w:t>
      </w:r>
      <w:r w:rsidRPr="00A964FF">
        <w:rPr>
          <w:rFonts w:ascii="Calibri" w:hAnsi="Calibri" w:hint="eastAsia"/>
          <w:bCs/>
          <w:color w:val="auto"/>
          <w:sz w:val="24"/>
        </w:rPr>
        <w:t>年</w:t>
      </w:r>
      <w:r w:rsidRPr="00A964FF">
        <w:rPr>
          <w:rFonts w:ascii="Calibri" w:hAnsi="Calibri" w:hint="eastAsia"/>
          <w:bCs/>
          <w:color w:val="auto"/>
          <w:sz w:val="24"/>
        </w:rPr>
        <w:t>1</w:t>
      </w:r>
      <w:r w:rsidRPr="00A964FF">
        <w:rPr>
          <w:rFonts w:ascii="Calibri" w:hAnsi="Calibri" w:hint="eastAsia"/>
          <w:bCs/>
          <w:color w:val="auto"/>
          <w:sz w:val="24"/>
        </w:rPr>
        <w:t>月正式更名为平顶山尼龙新材料产业集聚区。</w:t>
      </w:r>
      <w:r w:rsidR="00090297" w:rsidRPr="00090297">
        <w:rPr>
          <w:rFonts w:ascii="Calibri" w:hAnsi="Calibri" w:hint="eastAsia"/>
          <w:bCs/>
          <w:color w:val="auto"/>
          <w:sz w:val="24"/>
        </w:rPr>
        <w:t xml:space="preserve">2018 </w:t>
      </w:r>
      <w:r w:rsidR="00090297" w:rsidRPr="00090297">
        <w:rPr>
          <w:rFonts w:ascii="Calibri" w:hAnsi="Calibri" w:hint="eastAsia"/>
          <w:bCs/>
          <w:color w:val="auto"/>
          <w:sz w:val="24"/>
        </w:rPr>
        <w:t>年</w:t>
      </w:r>
      <w:r w:rsidR="00090297">
        <w:rPr>
          <w:rFonts w:ascii="Calibri" w:hAnsi="Calibri" w:hint="eastAsia"/>
          <w:bCs/>
          <w:color w:val="auto"/>
          <w:sz w:val="24"/>
        </w:rPr>
        <w:t>4</w:t>
      </w:r>
      <w:r w:rsidR="00090297" w:rsidRPr="00090297">
        <w:rPr>
          <w:rFonts w:ascii="Calibri" w:hAnsi="Calibri" w:hint="eastAsia"/>
          <w:bCs/>
          <w:color w:val="auto"/>
          <w:sz w:val="24"/>
        </w:rPr>
        <w:t>月，集聚区管理委员会委托中国环境科学研究院开展了平顶山尼龙新材料产业集聚区（</w:t>
      </w:r>
      <w:r w:rsidR="00090297" w:rsidRPr="00090297">
        <w:rPr>
          <w:rFonts w:ascii="Calibri" w:hAnsi="Calibri" w:hint="eastAsia"/>
          <w:bCs/>
          <w:color w:val="auto"/>
          <w:sz w:val="24"/>
        </w:rPr>
        <w:t>2009-2020</w:t>
      </w:r>
      <w:r w:rsidR="00090297" w:rsidRPr="00090297">
        <w:rPr>
          <w:rFonts w:ascii="Calibri" w:hAnsi="Calibri" w:hint="eastAsia"/>
          <w:bCs/>
          <w:color w:val="auto"/>
          <w:sz w:val="24"/>
        </w:rPr>
        <w:t>）（原平顶山化工产业集聚区）跟踪评价工作</w:t>
      </w:r>
      <w:r w:rsidR="00090297">
        <w:rPr>
          <w:rFonts w:ascii="Calibri" w:hAnsi="Calibri" w:hint="eastAsia"/>
          <w:bCs/>
          <w:color w:val="auto"/>
          <w:sz w:val="24"/>
        </w:rPr>
        <w:t>，河南省环境保护厅出具了审核意见（豫环函【</w:t>
      </w:r>
      <w:r w:rsidR="00090297">
        <w:rPr>
          <w:rFonts w:ascii="Calibri" w:hAnsi="Calibri" w:hint="eastAsia"/>
          <w:bCs/>
          <w:color w:val="auto"/>
          <w:sz w:val="24"/>
        </w:rPr>
        <w:t>2018</w:t>
      </w:r>
      <w:r w:rsidR="00090297">
        <w:rPr>
          <w:rFonts w:ascii="Calibri" w:hAnsi="Calibri" w:hint="eastAsia"/>
          <w:bCs/>
          <w:color w:val="auto"/>
          <w:sz w:val="24"/>
        </w:rPr>
        <w:t>】</w:t>
      </w:r>
      <w:r w:rsidR="00090297">
        <w:rPr>
          <w:rFonts w:ascii="Calibri" w:hAnsi="Calibri" w:hint="eastAsia"/>
          <w:bCs/>
          <w:color w:val="auto"/>
          <w:sz w:val="24"/>
        </w:rPr>
        <w:t>97</w:t>
      </w:r>
      <w:r w:rsidR="00090297">
        <w:rPr>
          <w:rFonts w:ascii="Calibri" w:hAnsi="Calibri" w:hint="eastAsia"/>
          <w:bCs/>
          <w:color w:val="auto"/>
          <w:sz w:val="24"/>
        </w:rPr>
        <w:t>号）；</w:t>
      </w:r>
      <w:r w:rsidR="00090297" w:rsidRPr="00090297">
        <w:rPr>
          <w:rFonts w:ascii="Calibri" w:hAnsi="Calibri" w:hint="eastAsia"/>
          <w:bCs/>
          <w:color w:val="auto"/>
          <w:sz w:val="24"/>
        </w:rPr>
        <w:t>随着集聚区尼龙产业的发展壮大，尼龙产业发展受到限制</w:t>
      </w:r>
      <w:r w:rsidR="00090297">
        <w:rPr>
          <w:rFonts w:ascii="Calibri" w:hAnsi="Calibri" w:hint="eastAsia"/>
          <w:bCs/>
          <w:color w:val="auto"/>
          <w:sz w:val="24"/>
        </w:rPr>
        <w:t>，</w:t>
      </w:r>
      <w:r w:rsidR="00090297">
        <w:rPr>
          <w:rFonts w:ascii="Calibri" w:hAnsi="Calibri" w:hint="eastAsia"/>
          <w:bCs/>
          <w:color w:val="auto"/>
          <w:sz w:val="24"/>
        </w:rPr>
        <w:t>2020</w:t>
      </w:r>
      <w:r w:rsidR="00090297">
        <w:rPr>
          <w:rFonts w:ascii="Calibri" w:hAnsi="Calibri" w:hint="eastAsia"/>
          <w:bCs/>
          <w:color w:val="auto"/>
          <w:sz w:val="24"/>
        </w:rPr>
        <w:t>年</w:t>
      </w:r>
      <w:r w:rsidR="00090297" w:rsidRPr="00090297">
        <w:rPr>
          <w:rFonts w:ascii="Calibri" w:hAnsi="Calibri" w:hint="eastAsia"/>
          <w:bCs/>
          <w:color w:val="auto"/>
          <w:sz w:val="24"/>
        </w:rPr>
        <w:t>委托河南启河环保技术有限公司编制了《平顶山尼龙新材料产业集聚区规划调整环境影响补充分析报告》，河南省生态环境厅于</w:t>
      </w:r>
      <w:r w:rsidR="00090297" w:rsidRPr="00090297">
        <w:rPr>
          <w:rFonts w:ascii="Calibri" w:hAnsi="Calibri" w:hint="eastAsia"/>
          <w:bCs/>
          <w:color w:val="auto"/>
          <w:sz w:val="24"/>
        </w:rPr>
        <w:t>2020</w:t>
      </w:r>
      <w:r w:rsidR="00090297" w:rsidRPr="00090297">
        <w:rPr>
          <w:rFonts w:ascii="Calibri" w:hAnsi="Calibri" w:hint="eastAsia"/>
          <w:bCs/>
          <w:color w:val="auto"/>
          <w:sz w:val="24"/>
        </w:rPr>
        <w:t>年</w:t>
      </w:r>
      <w:r w:rsidR="00090297">
        <w:rPr>
          <w:rFonts w:ascii="Calibri" w:hAnsi="Calibri" w:hint="eastAsia"/>
          <w:bCs/>
          <w:color w:val="auto"/>
          <w:sz w:val="24"/>
        </w:rPr>
        <w:t>10</w:t>
      </w:r>
      <w:r w:rsidR="00090297" w:rsidRPr="00090297">
        <w:rPr>
          <w:rFonts w:ascii="Calibri" w:hAnsi="Calibri" w:hint="eastAsia"/>
          <w:bCs/>
          <w:color w:val="auto"/>
          <w:sz w:val="24"/>
        </w:rPr>
        <w:t>月</w:t>
      </w:r>
      <w:r w:rsidR="00090297">
        <w:rPr>
          <w:rFonts w:ascii="Calibri" w:hAnsi="Calibri" w:hint="eastAsia"/>
          <w:bCs/>
          <w:color w:val="auto"/>
          <w:sz w:val="24"/>
        </w:rPr>
        <w:t>27</w:t>
      </w:r>
      <w:r w:rsidR="00090297" w:rsidRPr="00090297">
        <w:rPr>
          <w:rFonts w:ascii="Calibri" w:hAnsi="Calibri" w:hint="eastAsia"/>
          <w:bCs/>
          <w:color w:val="auto"/>
          <w:sz w:val="24"/>
        </w:rPr>
        <w:t>日对该报告进行了批复（豫环函〔</w:t>
      </w:r>
      <w:r w:rsidR="00090297" w:rsidRPr="00090297">
        <w:rPr>
          <w:rFonts w:ascii="Calibri" w:hAnsi="Calibri" w:hint="eastAsia"/>
          <w:bCs/>
          <w:color w:val="auto"/>
          <w:sz w:val="24"/>
        </w:rPr>
        <w:t>2020</w:t>
      </w:r>
      <w:r w:rsidR="00090297" w:rsidRPr="00090297">
        <w:rPr>
          <w:rFonts w:ascii="Calibri" w:hAnsi="Calibri" w:hint="eastAsia"/>
          <w:bCs/>
          <w:color w:val="auto"/>
          <w:sz w:val="24"/>
        </w:rPr>
        <w:t>〕</w:t>
      </w:r>
      <w:r w:rsidR="00090297">
        <w:rPr>
          <w:rFonts w:ascii="Calibri" w:hAnsi="Calibri" w:hint="eastAsia"/>
          <w:bCs/>
          <w:color w:val="auto"/>
          <w:sz w:val="24"/>
        </w:rPr>
        <w:t>202</w:t>
      </w:r>
      <w:r w:rsidR="00090297" w:rsidRPr="00090297">
        <w:rPr>
          <w:rFonts w:ascii="Calibri" w:hAnsi="Calibri" w:hint="eastAsia"/>
          <w:bCs/>
          <w:color w:val="auto"/>
          <w:sz w:val="24"/>
        </w:rPr>
        <w:t>号）。集聚区规划即将到期，平顶山尼龙新材料产业集聚区管理委员会委托石油和化学工业规划院编制了《平顶山尼龙新材料产业集聚区总体发展规划（</w:t>
      </w:r>
      <w:r w:rsidR="00090297" w:rsidRPr="00090297">
        <w:rPr>
          <w:rFonts w:ascii="Calibri" w:hAnsi="Calibri" w:hint="eastAsia"/>
          <w:bCs/>
          <w:color w:val="auto"/>
          <w:sz w:val="24"/>
        </w:rPr>
        <w:t>2021-2030</w:t>
      </w:r>
      <w:r w:rsidR="00090297" w:rsidRPr="00090297">
        <w:rPr>
          <w:rFonts w:ascii="Calibri" w:hAnsi="Calibri" w:hint="eastAsia"/>
          <w:bCs/>
          <w:color w:val="auto"/>
          <w:sz w:val="24"/>
        </w:rPr>
        <w:t>）》</w:t>
      </w:r>
      <w:r w:rsidR="00090297">
        <w:rPr>
          <w:rFonts w:ascii="Calibri" w:hAnsi="Calibri" w:hint="eastAsia"/>
          <w:bCs/>
          <w:color w:val="auto"/>
          <w:sz w:val="24"/>
        </w:rPr>
        <w:t>，</w:t>
      </w:r>
      <w:r w:rsidR="00090297">
        <w:rPr>
          <w:rFonts w:ascii="Calibri" w:hAnsi="Calibri" w:hint="eastAsia"/>
          <w:bCs/>
          <w:color w:val="auto"/>
          <w:sz w:val="24"/>
        </w:rPr>
        <w:t>2022</w:t>
      </w:r>
      <w:r w:rsidR="00090297">
        <w:rPr>
          <w:rFonts w:ascii="Calibri" w:hAnsi="Calibri" w:hint="eastAsia"/>
          <w:bCs/>
          <w:color w:val="auto"/>
          <w:sz w:val="24"/>
        </w:rPr>
        <w:t>年</w:t>
      </w:r>
      <w:r w:rsidR="00090297">
        <w:rPr>
          <w:rFonts w:ascii="Calibri" w:hAnsi="Calibri" w:hint="eastAsia"/>
          <w:bCs/>
          <w:color w:val="auto"/>
          <w:sz w:val="24"/>
        </w:rPr>
        <w:t>3</w:t>
      </w:r>
      <w:r w:rsidR="00090297">
        <w:rPr>
          <w:rFonts w:ascii="Calibri" w:hAnsi="Calibri" w:hint="eastAsia"/>
          <w:bCs/>
          <w:color w:val="auto"/>
          <w:sz w:val="24"/>
        </w:rPr>
        <w:t>月</w:t>
      </w:r>
      <w:r w:rsidR="00090297">
        <w:rPr>
          <w:rFonts w:ascii="Calibri" w:hAnsi="Calibri" w:hint="eastAsia"/>
          <w:bCs/>
          <w:color w:val="auto"/>
          <w:sz w:val="24"/>
        </w:rPr>
        <w:t>21</w:t>
      </w:r>
      <w:r w:rsidR="00090297">
        <w:rPr>
          <w:rFonts w:ascii="Calibri" w:hAnsi="Calibri" w:hint="eastAsia"/>
          <w:bCs/>
          <w:color w:val="auto"/>
          <w:sz w:val="24"/>
        </w:rPr>
        <w:t>日河南省生态环境厅出具了审查意见（豫环函【</w:t>
      </w:r>
      <w:r w:rsidR="00090297">
        <w:rPr>
          <w:rFonts w:ascii="Calibri" w:hAnsi="Calibri" w:hint="eastAsia"/>
          <w:bCs/>
          <w:color w:val="auto"/>
          <w:sz w:val="24"/>
        </w:rPr>
        <w:t>2022</w:t>
      </w:r>
      <w:r w:rsidR="00090297">
        <w:rPr>
          <w:rFonts w:ascii="Calibri" w:hAnsi="Calibri" w:hint="eastAsia"/>
          <w:bCs/>
          <w:color w:val="auto"/>
          <w:sz w:val="24"/>
        </w:rPr>
        <w:t>】</w:t>
      </w:r>
      <w:r w:rsidR="00090297">
        <w:rPr>
          <w:rFonts w:ascii="Calibri" w:hAnsi="Calibri" w:hint="eastAsia"/>
          <w:bCs/>
          <w:color w:val="auto"/>
          <w:sz w:val="24"/>
        </w:rPr>
        <w:t>19</w:t>
      </w:r>
      <w:r w:rsidR="00090297">
        <w:rPr>
          <w:rFonts w:ascii="Calibri" w:hAnsi="Calibri" w:hint="eastAsia"/>
          <w:bCs/>
          <w:color w:val="auto"/>
          <w:sz w:val="24"/>
        </w:rPr>
        <w:t>号）。</w:t>
      </w:r>
    </w:p>
    <w:p w14:paraId="099F0CE2" w14:textId="77777777" w:rsidR="002529E2" w:rsidRPr="00A964FF" w:rsidRDefault="002529E2" w:rsidP="00856B06">
      <w:pPr>
        <w:widowControl/>
        <w:spacing w:line="520" w:lineRule="exact"/>
        <w:ind w:firstLineChars="200" w:firstLine="482"/>
        <w:jc w:val="left"/>
        <w:rPr>
          <w:rFonts w:ascii="Calibri" w:hAnsi="Calibri"/>
          <w:b/>
          <w:bCs/>
          <w:color w:val="auto"/>
          <w:sz w:val="24"/>
        </w:rPr>
      </w:pPr>
      <w:r w:rsidRPr="00856B06">
        <w:rPr>
          <w:rFonts w:ascii="Calibri" w:hAnsi="Calibri" w:hint="eastAsia"/>
          <w:b/>
          <w:bCs/>
          <w:color w:val="auto"/>
          <w:sz w:val="24"/>
        </w:rPr>
        <w:t>1</w:t>
      </w:r>
      <w:r w:rsidRPr="00856B06">
        <w:rPr>
          <w:rFonts w:ascii="Calibri" w:hAnsi="Calibri" w:hint="eastAsia"/>
          <w:b/>
          <w:bCs/>
          <w:color w:val="auto"/>
          <w:sz w:val="24"/>
        </w:rPr>
        <w:t>、规划位置及规划范围</w:t>
      </w:r>
    </w:p>
    <w:p w14:paraId="35BDF9DE" w14:textId="77777777" w:rsidR="00856B06" w:rsidRDefault="002529E2" w:rsidP="00856B06">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平顶山尼龙新材料产业集聚区（原名平顶山化工产业集聚区、平顶山化工城）</w:t>
      </w:r>
      <w:r w:rsidR="00856B06" w:rsidRPr="00A964FF">
        <w:rPr>
          <w:rFonts w:ascii="Calibri" w:hAnsi="Calibri" w:hint="eastAsia"/>
          <w:bCs/>
          <w:color w:val="auto"/>
          <w:sz w:val="24"/>
        </w:rPr>
        <w:t>位于叶县县城东北部，</w:t>
      </w:r>
      <w:r w:rsidR="00856B06" w:rsidRPr="00856B06">
        <w:rPr>
          <w:rFonts w:ascii="Calibri" w:hAnsi="Calibri" w:hint="eastAsia"/>
          <w:bCs/>
          <w:color w:val="auto"/>
          <w:sz w:val="24"/>
        </w:rPr>
        <w:t>东至</w:t>
      </w:r>
      <w:r w:rsidR="00856B06" w:rsidRPr="00856B06">
        <w:rPr>
          <w:rFonts w:ascii="Calibri" w:hAnsi="Calibri" w:hint="eastAsia"/>
          <w:bCs/>
          <w:color w:val="auto"/>
          <w:sz w:val="24"/>
        </w:rPr>
        <w:t>G234</w:t>
      </w:r>
      <w:r w:rsidR="00856B06" w:rsidRPr="00856B06">
        <w:rPr>
          <w:rFonts w:ascii="Calibri" w:hAnsi="Calibri" w:hint="eastAsia"/>
          <w:bCs/>
          <w:color w:val="auto"/>
          <w:sz w:val="24"/>
        </w:rPr>
        <w:t>兴阳线平顶山市区段，西至希望大道，北至沙河一路，南至龚店镇南，规划面积</w:t>
      </w:r>
      <w:r w:rsidR="00856B06">
        <w:rPr>
          <w:rFonts w:ascii="Calibri" w:hAnsi="Calibri" w:hint="eastAsia"/>
          <w:bCs/>
          <w:color w:val="auto"/>
          <w:sz w:val="24"/>
        </w:rPr>
        <w:t>25</w:t>
      </w:r>
      <w:r w:rsidR="00856B06" w:rsidRPr="00856B06">
        <w:rPr>
          <w:rFonts w:ascii="Calibri" w:hAnsi="Calibri" w:hint="eastAsia"/>
          <w:bCs/>
          <w:color w:val="auto"/>
          <w:sz w:val="24"/>
        </w:rPr>
        <w:t>平方公里。</w:t>
      </w:r>
    </w:p>
    <w:p w14:paraId="5427833A" w14:textId="77777777" w:rsidR="00856B06" w:rsidRPr="00A964FF" w:rsidRDefault="00856B06" w:rsidP="00856B06">
      <w:pPr>
        <w:widowControl/>
        <w:spacing w:line="520" w:lineRule="exact"/>
        <w:ind w:firstLineChars="200" w:firstLine="482"/>
        <w:jc w:val="left"/>
        <w:rPr>
          <w:rFonts w:ascii="Calibri" w:hAnsi="Calibri"/>
          <w:b/>
          <w:bCs/>
          <w:color w:val="auto"/>
          <w:sz w:val="24"/>
        </w:rPr>
      </w:pPr>
      <w:r w:rsidRPr="00A964FF">
        <w:rPr>
          <w:rFonts w:ascii="Calibri" w:hAnsi="Calibri" w:hint="eastAsia"/>
          <w:b/>
          <w:bCs/>
          <w:color w:val="auto"/>
          <w:sz w:val="24"/>
        </w:rPr>
        <w:t>2</w:t>
      </w:r>
      <w:r w:rsidRPr="00A964FF">
        <w:rPr>
          <w:rFonts w:ascii="Calibri" w:hAnsi="Calibri" w:hint="eastAsia"/>
          <w:b/>
          <w:bCs/>
          <w:color w:val="auto"/>
          <w:sz w:val="24"/>
        </w:rPr>
        <w:t>、</w:t>
      </w:r>
      <w:r>
        <w:rPr>
          <w:rFonts w:ascii="Calibri" w:hAnsi="Calibri" w:hint="eastAsia"/>
          <w:b/>
          <w:bCs/>
          <w:color w:val="auto"/>
          <w:sz w:val="24"/>
        </w:rPr>
        <w:t>主导产业</w:t>
      </w:r>
    </w:p>
    <w:p w14:paraId="0AE23026" w14:textId="77777777" w:rsidR="00856B06" w:rsidRPr="00856B06" w:rsidRDefault="00856B06" w:rsidP="00856B06">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t>平顶山尼龙新材料产业集聚区规划主导产业为化工、医药、尼龙新材料。</w:t>
      </w:r>
    </w:p>
    <w:p w14:paraId="225DE0BF" w14:textId="77777777" w:rsidR="00856B06" w:rsidRPr="00856B06" w:rsidRDefault="00856B06" w:rsidP="00856B06">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t>（</w:t>
      </w:r>
      <w:r w:rsidRPr="00856B06">
        <w:rPr>
          <w:rFonts w:ascii="Calibri" w:hAnsi="Calibri" w:hint="eastAsia"/>
          <w:bCs/>
          <w:color w:val="auto"/>
          <w:sz w:val="24"/>
        </w:rPr>
        <w:t>1</w:t>
      </w:r>
      <w:r w:rsidRPr="00856B06">
        <w:rPr>
          <w:rFonts w:ascii="Calibri" w:hAnsi="Calibri" w:hint="eastAsia"/>
          <w:bCs/>
          <w:color w:val="auto"/>
          <w:sz w:val="24"/>
        </w:rPr>
        <w:t>）尼龙新材料产业</w:t>
      </w:r>
    </w:p>
    <w:p w14:paraId="0683C90C" w14:textId="77777777" w:rsidR="00856B06" w:rsidRPr="00856B06" w:rsidRDefault="00856B06" w:rsidP="00856B06">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lastRenderedPageBreak/>
        <w:t>重点发展以</w:t>
      </w:r>
      <w:r w:rsidRPr="00856B06">
        <w:rPr>
          <w:rFonts w:ascii="Calibri" w:hAnsi="Calibri" w:hint="eastAsia"/>
          <w:bCs/>
          <w:color w:val="auto"/>
          <w:sz w:val="24"/>
        </w:rPr>
        <w:t>PA6</w:t>
      </w:r>
      <w:r w:rsidRPr="00856B06">
        <w:rPr>
          <w:rFonts w:ascii="Calibri" w:hAnsi="Calibri" w:hint="eastAsia"/>
          <w:bCs/>
          <w:color w:val="auto"/>
          <w:sz w:val="24"/>
        </w:rPr>
        <w:t>、</w:t>
      </w:r>
      <w:r>
        <w:rPr>
          <w:rFonts w:ascii="Calibri" w:hAnsi="Calibri" w:hint="eastAsia"/>
          <w:bCs/>
          <w:color w:val="auto"/>
          <w:sz w:val="24"/>
        </w:rPr>
        <w:t>PA66</w:t>
      </w:r>
      <w:r w:rsidRPr="00856B06">
        <w:rPr>
          <w:rFonts w:ascii="Calibri" w:hAnsi="Calibri" w:hint="eastAsia"/>
          <w:bCs/>
          <w:color w:val="auto"/>
          <w:sz w:val="24"/>
        </w:rPr>
        <w:t>为主的市场应用广、需求量最大的尼龙产品；辅以发展尼龙</w:t>
      </w:r>
      <w:r w:rsidRPr="00856B06">
        <w:rPr>
          <w:rFonts w:ascii="Calibri" w:hAnsi="Calibri" w:hint="eastAsia"/>
          <w:bCs/>
          <w:color w:val="auto"/>
          <w:sz w:val="24"/>
        </w:rPr>
        <w:t>11</w:t>
      </w:r>
      <w:r w:rsidRPr="00856B06">
        <w:rPr>
          <w:rFonts w:ascii="Calibri" w:hAnsi="Calibri" w:hint="eastAsia"/>
          <w:bCs/>
          <w:color w:val="auto"/>
          <w:sz w:val="24"/>
        </w:rPr>
        <w:t>、尼龙</w:t>
      </w:r>
      <w:r w:rsidRPr="00856B06">
        <w:rPr>
          <w:rFonts w:ascii="Calibri" w:hAnsi="Calibri" w:hint="eastAsia"/>
          <w:bCs/>
          <w:color w:val="auto"/>
          <w:sz w:val="24"/>
        </w:rPr>
        <w:t>12</w:t>
      </w:r>
      <w:r w:rsidRPr="00856B06">
        <w:rPr>
          <w:rFonts w:ascii="Calibri" w:hAnsi="Calibri" w:hint="eastAsia"/>
          <w:bCs/>
          <w:color w:val="auto"/>
          <w:sz w:val="24"/>
        </w:rPr>
        <w:t>、尼龙</w:t>
      </w:r>
      <w:r w:rsidRPr="00856B06">
        <w:rPr>
          <w:rFonts w:ascii="Calibri" w:hAnsi="Calibri" w:hint="eastAsia"/>
          <w:bCs/>
          <w:color w:val="auto"/>
          <w:sz w:val="24"/>
        </w:rPr>
        <w:t>612</w:t>
      </w:r>
      <w:r w:rsidRPr="00856B06">
        <w:rPr>
          <w:rFonts w:ascii="Calibri" w:hAnsi="Calibri" w:hint="eastAsia"/>
          <w:bCs/>
          <w:color w:val="auto"/>
          <w:sz w:val="24"/>
        </w:rPr>
        <w:t>、尼龙</w:t>
      </w:r>
      <w:r w:rsidRPr="00856B06">
        <w:rPr>
          <w:rFonts w:ascii="Calibri" w:hAnsi="Calibri" w:hint="eastAsia"/>
          <w:bCs/>
          <w:color w:val="auto"/>
          <w:sz w:val="24"/>
        </w:rPr>
        <w:t>1212</w:t>
      </w:r>
      <w:r w:rsidRPr="00856B06">
        <w:rPr>
          <w:rFonts w:ascii="Calibri" w:hAnsi="Calibri" w:hint="eastAsia"/>
          <w:bCs/>
          <w:color w:val="auto"/>
          <w:sz w:val="24"/>
        </w:rPr>
        <w:t>、尼龙</w:t>
      </w:r>
      <w:r w:rsidRPr="00856B06">
        <w:rPr>
          <w:rFonts w:ascii="Calibri" w:hAnsi="Calibri" w:hint="eastAsia"/>
          <w:bCs/>
          <w:color w:val="auto"/>
          <w:sz w:val="24"/>
        </w:rPr>
        <w:t>1012</w:t>
      </w:r>
      <w:r w:rsidRPr="00856B06">
        <w:rPr>
          <w:rFonts w:ascii="Calibri" w:hAnsi="Calibri" w:hint="eastAsia"/>
          <w:bCs/>
          <w:color w:val="auto"/>
          <w:sz w:val="24"/>
        </w:rPr>
        <w:t>、尼龙</w:t>
      </w:r>
      <w:r>
        <w:rPr>
          <w:rFonts w:ascii="Calibri" w:hAnsi="Calibri" w:hint="eastAsia"/>
          <w:bCs/>
          <w:color w:val="auto"/>
          <w:sz w:val="24"/>
        </w:rPr>
        <w:t>1313</w:t>
      </w:r>
      <w:r w:rsidRPr="00856B06">
        <w:rPr>
          <w:rFonts w:ascii="Calibri" w:hAnsi="Calibri" w:hint="eastAsia"/>
          <w:bCs/>
          <w:color w:val="auto"/>
          <w:sz w:val="24"/>
        </w:rPr>
        <w:t>等具备专业化领域特殊性能的特种尼龙产品。积极围绕尼龙产业推进尼龙织造、尼龙工程塑料、印染等纵向制品延伸加工产业和横向催化剂、助剂以及己二腈中间体等配套综合产业的发展。</w:t>
      </w:r>
    </w:p>
    <w:p w14:paraId="08C473AE" w14:textId="77777777" w:rsidR="00856B06" w:rsidRPr="00856B06" w:rsidRDefault="00856B06" w:rsidP="00856B06">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t>（</w:t>
      </w:r>
      <w:r w:rsidRPr="00856B06">
        <w:rPr>
          <w:rFonts w:ascii="Calibri" w:hAnsi="Calibri" w:hint="eastAsia"/>
          <w:bCs/>
          <w:color w:val="auto"/>
          <w:sz w:val="24"/>
        </w:rPr>
        <w:t>2</w:t>
      </w:r>
      <w:r w:rsidRPr="00856B06">
        <w:rPr>
          <w:rFonts w:ascii="Calibri" w:hAnsi="Calibri" w:hint="eastAsia"/>
          <w:bCs/>
          <w:color w:val="auto"/>
          <w:sz w:val="24"/>
        </w:rPr>
        <w:t>）</w:t>
      </w:r>
      <w:r>
        <w:rPr>
          <w:rFonts w:ascii="Calibri" w:hAnsi="Calibri" w:hint="eastAsia"/>
          <w:bCs/>
          <w:color w:val="auto"/>
          <w:sz w:val="24"/>
        </w:rPr>
        <w:t>化工产业</w:t>
      </w:r>
    </w:p>
    <w:p w14:paraId="73969507" w14:textId="77777777" w:rsidR="00856B06" w:rsidRPr="00856B06" w:rsidRDefault="00856B06" w:rsidP="00856B06">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t>重点发展以煤制合成气平台为基础，合成气下游延伸布局以尼龙化工及新材料为核心的煤基尼龙化学品、煤基尼龙新材料化工产业；同时，依托现有产业基础及发展趋势，布局建设精细化工及化工新材料项目。</w:t>
      </w:r>
    </w:p>
    <w:p w14:paraId="72E01DEF" w14:textId="77777777" w:rsidR="00856B06" w:rsidRPr="00856B06" w:rsidRDefault="00856B06" w:rsidP="00856B06">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t>（</w:t>
      </w:r>
      <w:r w:rsidRPr="00856B06">
        <w:rPr>
          <w:rFonts w:ascii="Calibri" w:hAnsi="Calibri" w:hint="eastAsia"/>
          <w:bCs/>
          <w:color w:val="auto"/>
          <w:sz w:val="24"/>
        </w:rPr>
        <w:t>3</w:t>
      </w:r>
      <w:r w:rsidRPr="00856B06">
        <w:rPr>
          <w:rFonts w:ascii="Calibri" w:hAnsi="Calibri" w:hint="eastAsia"/>
          <w:bCs/>
          <w:color w:val="auto"/>
          <w:sz w:val="24"/>
        </w:rPr>
        <w:t>）</w:t>
      </w:r>
      <w:r>
        <w:rPr>
          <w:rFonts w:ascii="Calibri" w:hAnsi="Calibri" w:hint="eastAsia"/>
          <w:bCs/>
          <w:color w:val="auto"/>
          <w:sz w:val="24"/>
        </w:rPr>
        <w:t>医药产业</w:t>
      </w:r>
    </w:p>
    <w:p w14:paraId="1AE94559" w14:textId="77777777" w:rsidR="00856B06" w:rsidRPr="00FA4DEF" w:rsidRDefault="00856B06" w:rsidP="00FA4DEF">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t>立足于本地产业基础条件和省域丰富的石化原料优势，积极推进下游医药中间体等分支产业的布局发展，积极发展医药产业。</w:t>
      </w:r>
    </w:p>
    <w:p w14:paraId="021633FD" w14:textId="77777777" w:rsidR="002529E2" w:rsidRPr="00A964FF" w:rsidRDefault="00856B06" w:rsidP="002529E2">
      <w:pPr>
        <w:widowControl/>
        <w:spacing w:line="520" w:lineRule="exact"/>
        <w:ind w:firstLineChars="200" w:firstLine="482"/>
        <w:jc w:val="left"/>
        <w:rPr>
          <w:rFonts w:ascii="Calibri" w:hAnsi="Calibri"/>
          <w:b/>
          <w:bCs/>
          <w:color w:val="auto"/>
          <w:sz w:val="24"/>
        </w:rPr>
      </w:pPr>
      <w:r>
        <w:rPr>
          <w:rFonts w:ascii="Calibri" w:hAnsi="Calibri" w:hint="eastAsia"/>
          <w:b/>
          <w:bCs/>
          <w:color w:val="auto"/>
          <w:sz w:val="24"/>
        </w:rPr>
        <w:t>3</w:t>
      </w:r>
      <w:r w:rsidR="002529E2" w:rsidRPr="00A964FF">
        <w:rPr>
          <w:rFonts w:ascii="Calibri" w:hAnsi="Calibri" w:hint="eastAsia"/>
          <w:b/>
          <w:bCs/>
          <w:color w:val="auto"/>
          <w:sz w:val="24"/>
        </w:rPr>
        <w:t>、总体发展目标</w:t>
      </w:r>
    </w:p>
    <w:p w14:paraId="28D51D6B" w14:textId="77777777" w:rsidR="00856B06" w:rsidRDefault="00856B06" w:rsidP="00856B06">
      <w:pPr>
        <w:widowControl/>
        <w:spacing w:line="520" w:lineRule="exact"/>
        <w:ind w:firstLineChars="200" w:firstLine="480"/>
        <w:jc w:val="left"/>
        <w:rPr>
          <w:rFonts w:ascii="Calibri" w:hAnsi="Calibri"/>
          <w:bCs/>
          <w:color w:val="auto"/>
          <w:sz w:val="24"/>
        </w:rPr>
      </w:pPr>
      <w:r w:rsidRPr="00856B06">
        <w:rPr>
          <w:rFonts w:ascii="Calibri" w:hAnsi="Calibri" w:hint="eastAsia"/>
          <w:bCs/>
          <w:color w:val="auto"/>
          <w:sz w:val="24"/>
        </w:rPr>
        <w:t>通过规划，探索板块经济发展模式，围绕尼龙新材料战略性新兴产业的发展，全力打造尼龙化工及制品、煤化工、精细化工等主导产业板块，并与周边区域形成差异化、错位式发展。提高集聚区整体质量，使布局结构、配套设施、招商引资、管理水平等各方面均跃上新台阶，建设成为国内领先、世界一流的尼龙新材料产业集聚区。</w:t>
      </w:r>
    </w:p>
    <w:p w14:paraId="12D667AB" w14:textId="77777777" w:rsidR="002529E2" w:rsidRPr="00A964FF" w:rsidRDefault="002529E2" w:rsidP="002529E2">
      <w:pPr>
        <w:widowControl/>
        <w:spacing w:line="520" w:lineRule="exact"/>
        <w:ind w:firstLineChars="200" w:firstLine="482"/>
        <w:jc w:val="left"/>
        <w:rPr>
          <w:rFonts w:ascii="Calibri" w:hAnsi="Calibri"/>
          <w:b/>
          <w:bCs/>
          <w:color w:val="auto"/>
          <w:sz w:val="24"/>
        </w:rPr>
      </w:pPr>
      <w:r w:rsidRPr="00A964FF">
        <w:rPr>
          <w:rFonts w:ascii="Calibri" w:hAnsi="Calibri" w:hint="eastAsia"/>
          <w:b/>
          <w:bCs/>
          <w:color w:val="auto"/>
          <w:sz w:val="24"/>
        </w:rPr>
        <w:t>4</w:t>
      </w:r>
      <w:r w:rsidRPr="00A964FF">
        <w:rPr>
          <w:rFonts w:ascii="Calibri" w:hAnsi="Calibri" w:hint="eastAsia"/>
          <w:b/>
          <w:bCs/>
          <w:color w:val="auto"/>
          <w:sz w:val="24"/>
        </w:rPr>
        <w:t>、市政工程设施规划</w:t>
      </w:r>
    </w:p>
    <w:p w14:paraId="4653D4C7" w14:textId="77777777" w:rsidR="00DF5B89" w:rsidRDefault="00DF5B89" w:rsidP="00DF5B89">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1</w:t>
      </w:r>
      <w:r w:rsidRPr="00A964FF">
        <w:rPr>
          <w:rFonts w:ascii="Calibri" w:hAnsi="Calibri" w:hint="eastAsia"/>
          <w:bCs/>
          <w:color w:val="auto"/>
          <w:sz w:val="24"/>
        </w:rPr>
        <w:t>）供水</w:t>
      </w:r>
    </w:p>
    <w:p w14:paraId="19169EFA" w14:textId="77777777" w:rsidR="00DF5B89" w:rsidRDefault="00DF5B89" w:rsidP="00DF5B89">
      <w:pPr>
        <w:widowControl/>
        <w:spacing w:line="520" w:lineRule="exact"/>
        <w:ind w:firstLineChars="200" w:firstLine="480"/>
        <w:jc w:val="left"/>
        <w:rPr>
          <w:rFonts w:ascii="Calibri" w:hAnsi="Calibri"/>
          <w:bCs/>
          <w:color w:val="auto"/>
          <w:sz w:val="24"/>
        </w:rPr>
      </w:pPr>
      <w:r w:rsidRPr="00DF5B89">
        <w:rPr>
          <w:rFonts w:ascii="Calibri" w:hAnsi="Calibri" w:hint="eastAsia"/>
          <w:bCs/>
          <w:color w:val="auto"/>
          <w:sz w:val="24"/>
        </w:rPr>
        <w:t>平顶山尼龙新材料产业集聚区现有两个水厂，即生活配水厂和工业给水厂，经营单位均为平顶山尼龙城水务有限公司，位于龚店镇神马大道西侧平顶山市公安消防支队南侧。产业集聚区工业给水厂位于平顶山尼龙新材料产业集聚区内神马大道路西侧、沙河二路路北</w:t>
      </w:r>
      <w:r w:rsidRPr="00DF5B89">
        <w:rPr>
          <w:rFonts w:ascii="Calibri" w:hAnsi="Calibri" w:hint="eastAsia"/>
          <w:bCs/>
          <w:color w:val="auto"/>
          <w:sz w:val="24"/>
        </w:rPr>
        <w:t>50m</w:t>
      </w:r>
      <w:r w:rsidRPr="00DF5B89">
        <w:rPr>
          <w:rFonts w:ascii="Calibri" w:hAnsi="Calibri" w:hint="eastAsia"/>
          <w:bCs/>
          <w:color w:val="auto"/>
          <w:sz w:val="24"/>
        </w:rPr>
        <w:t>，设计供水能力为</w:t>
      </w:r>
      <w:r>
        <w:rPr>
          <w:rFonts w:ascii="Calibri" w:hAnsi="Calibri" w:hint="eastAsia"/>
          <w:bCs/>
          <w:color w:val="auto"/>
          <w:sz w:val="24"/>
        </w:rPr>
        <w:t>2</w:t>
      </w:r>
      <w:r w:rsidRPr="00DF5B89">
        <w:rPr>
          <w:rFonts w:ascii="Calibri" w:hAnsi="Calibri" w:hint="eastAsia"/>
          <w:bCs/>
          <w:color w:val="auto"/>
          <w:sz w:val="24"/>
        </w:rPr>
        <w:t>万</w:t>
      </w:r>
      <w:r>
        <w:rPr>
          <w:rFonts w:ascii="Calibri" w:hAnsi="Calibri" w:hint="eastAsia"/>
          <w:bCs/>
          <w:color w:val="auto"/>
          <w:sz w:val="24"/>
        </w:rPr>
        <w:t>m</w:t>
      </w:r>
      <w:r w:rsidRPr="00DF5B89">
        <w:rPr>
          <w:rFonts w:ascii="Calibri" w:hAnsi="Calibri" w:hint="eastAsia"/>
          <w:bCs/>
          <w:color w:val="auto"/>
          <w:sz w:val="24"/>
          <w:vertAlign w:val="superscript"/>
        </w:rPr>
        <w:t>3</w:t>
      </w:r>
      <w:r w:rsidRPr="00DF5B89">
        <w:rPr>
          <w:rFonts w:ascii="Calibri" w:hAnsi="Calibri" w:hint="eastAsia"/>
          <w:bCs/>
          <w:color w:val="auto"/>
          <w:sz w:val="24"/>
        </w:rPr>
        <w:t>/d</w:t>
      </w:r>
      <w:r w:rsidRPr="00DF5B89">
        <w:rPr>
          <w:rFonts w:ascii="Calibri" w:hAnsi="Calibri" w:hint="eastAsia"/>
          <w:bCs/>
          <w:color w:val="auto"/>
          <w:sz w:val="24"/>
        </w:rPr>
        <w:t>，水源为沙河地表水。设计水质指标以满足一般性工业用水指标。主要净水工艺为“混凝</w:t>
      </w:r>
      <w:r w:rsidRPr="00DF5B89">
        <w:rPr>
          <w:rFonts w:ascii="Calibri" w:hAnsi="Calibri" w:hint="eastAsia"/>
          <w:bCs/>
          <w:color w:val="auto"/>
          <w:sz w:val="24"/>
        </w:rPr>
        <w:t>+</w:t>
      </w:r>
      <w:r w:rsidRPr="00DF5B89">
        <w:rPr>
          <w:rFonts w:ascii="Calibri" w:hAnsi="Calibri" w:hint="eastAsia"/>
          <w:bCs/>
          <w:color w:val="auto"/>
          <w:sz w:val="24"/>
        </w:rPr>
        <w:t>沉淀</w:t>
      </w:r>
      <w:r w:rsidRPr="00DF5B89">
        <w:rPr>
          <w:rFonts w:ascii="Calibri" w:hAnsi="Calibri" w:hint="eastAsia"/>
          <w:bCs/>
          <w:color w:val="auto"/>
          <w:sz w:val="24"/>
        </w:rPr>
        <w:t>+</w:t>
      </w:r>
      <w:r w:rsidRPr="00DF5B89">
        <w:rPr>
          <w:rFonts w:ascii="Calibri" w:hAnsi="Calibri" w:hint="eastAsia"/>
          <w:bCs/>
          <w:color w:val="auto"/>
          <w:sz w:val="24"/>
        </w:rPr>
        <w:t>过滤”。现状工业供水管网主要分布在七支渠、沙河四路、沙河五路、神马大道和化工一路等，</w:t>
      </w:r>
      <w:r w:rsidRPr="00DF5B89">
        <w:rPr>
          <w:rFonts w:ascii="Calibri" w:hAnsi="Calibri" w:hint="eastAsia"/>
          <w:bCs/>
          <w:color w:val="auto"/>
          <w:sz w:val="24"/>
        </w:rPr>
        <w:lastRenderedPageBreak/>
        <w:t>总长度约</w:t>
      </w:r>
      <w:r w:rsidRPr="00DF5B89">
        <w:rPr>
          <w:rFonts w:ascii="Calibri" w:hAnsi="Calibri" w:hint="eastAsia"/>
          <w:bCs/>
          <w:color w:val="auto"/>
          <w:sz w:val="24"/>
        </w:rPr>
        <w:t>5.4km</w:t>
      </w:r>
      <w:r w:rsidRPr="00DF5B89">
        <w:rPr>
          <w:rFonts w:ascii="Calibri" w:hAnsi="Calibri" w:hint="eastAsia"/>
          <w:bCs/>
          <w:color w:val="auto"/>
          <w:sz w:val="24"/>
        </w:rPr>
        <w:t>。目前实际供水量约</w:t>
      </w:r>
      <w:r>
        <w:rPr>
          <w:rFonts w:ascii="Calibri" w:hAnsi="Calibri" w:hint="eastAsia"/>
          <w:bCs/>
          <w:color w:val="auto"/>
          <w:sz w:val="24"/>
        </w:rPr>
        <w:t>2</w:t>
      </w:r>
      <w:r w:rsidRPr="00DF5B89">
        <w:rPr>
          <w:rFonts w:ascii="Calibri" w:hAnsi="Calibri" w:hint="eastAsia"/>
          <w:bCs/>
          <w:color w:val="auto"/>
          <w:sz w:val="24"/>
        </w:rPr>
        <w:t>万</w:t>
      </w:r>
      <w:r>
        <w:rPr>
          <w:rFonts w:ascii="Calibri" w:hAnsi="Calibri" w:hint="eastAsia"/>
          <w:bCs/>
          <w:color w:val="auto"/>
          <w:sz w:val="24"/>
        </w:rPr>
        <w:t>m</w:t>
      </w:r>
      <w:r w:rsidRPr="00DF5B89">
        <w:rPr>
          <w:rFonts w:ascii="Calibri" w:hAnsi="Calibri" w:hint="eastAsia"/>
          <w:bCs/>
          <w:color w:val="auto"/>
          <w:sz w:val="24"/>
          <w:vertAlign w:val="superscript"/>
        </w:rPr>
        <w:t>3</w:t>
      </w:r>
      <w:r w:rsidRPr="00DF5B89">
        <w:rPr>
          <w:rFonts w:ascii="Calibri" w:hAnsi="Calibri" w:hint="eastAsia"/>
          <w:bCs/>
          <w:color w:val="auto"/>
          <w:sz w:val="24"/>
        </w:rPr>
        <w:t>/d</w:t>
      </w:r>
      <w:r w:rsidRPr="00DF5B89">
        <w:rPr>
          <w:rFonts w:ascii="Calibri" w:hAnsi="Calibri" w:hint="eastAsia"/>
          <w:bCs/>
          <w:color w:val="auto"/>
          <w:sz w:val="24"/>
        </w:rPr>
        <w:t>。产业集聚区生活配水厂位于产业集聚区西北角，神马大道与七支渠交叉处西北角，设计供水能力为</w:t>
      </w:r>
      <w:r>
        <w:rPr>
          <w:rFonts w:ascii="Calibri" w:hAnsi="Calibri" w:hint="eastAsia"/>
          <w:bCs/>
          <w:color w:val="auto"/>
          <w:sz w:val="24"/>
        </w:rPr>
        <w:t>10</w:t>
      </w:r>
      <w:r w:rsidRPr="00DF5B89">
        <w:rPr>
          <w:rFonts w:ascii="Calibri" w:hAnsi="Calibri" w:hint="eastAsia"/>
          <w:bCs/>
          <w:color w:val="auto"/>
          <w:sz w:val="24"/>
        </w:rPr>
        <w:t>万</w:t>
      </w:r>
      <w:r>
        <w:rPr>
          <w:rFonts w:ascii="Calibri" w:hAnsi="Calibri" w:hint="eastAsia"/>
          <w:bCs/>
          <w:color w:val="auto"/>
          <w:sz w:val="24"/>
        </w:rPr>
        <w:t>m</w:t>
      </w:r>
      <w:r w:rsidRPr="00DF5B89">
        <w:rPr>
          <w:rFonts w:ascii="Calibri" w:hAnsi="Calibri" w:hint="eastAsia"/>
          <w:bCs/>
          <w:color w:val="auto"/>
          <w:sz w:val="24"/>
          <w:vertAlign w:val="superscript"/>
        </w:rPr>
        <w:t>3</w:t>
      </w:r>
      <w:r w:rsidRPr="00DF5B89">
        <w:rPr>
          <w:rFonts w:ascii="Calibri" w:hAnsi="Calibri" w:hint="eastAsia"/>
          <w:bCs/>
          <w:color w:val="auto"/>
          <w:sz w:val="24"/>
        </w:rPr>
        <w:t>/d</w:t>
      </w:r>
      <w:r w:rsidRPr="00DF5B89">
        <w:rPr>
          <w:rFonts w:ascii="Calibri" w:hAnsi="Calibri" w:hint="eastAsia"/>
          <w:bCs/>
          <w:color w:val="auto"/>
          <w:sz w:val="24"/>
        </w:rPr>
        <w:t>，设计水质符合国家卫生部颁发的《生活饮用水水质卫生规范》（</w:t>
      </w:r>
      <w:r w:rsidRPr="00DF5B89">
        <w:rPr>
          <w:rFonts w:ascii="Calibri" w:hAnsi="Calibri" w:hint="eastAsia"/>
          <w:bCs/>
          <w:color w:val="auto"/>
          <w:sz w:val="24"/>
        </w:rPr>
        <w:t>2001</w:t>
      </w:r>
      <w:r w:rsidRPr="00DF5B89">
        <w:rPr>
          <w:rFonts w:ascii="Calibri" w:hAnsi="Calibri" w:hint="eastAsia"/>
          <w:bCs/>
          <w:color w:val="auto"/>
          <w:sz w:val="24"/>
        </w:rPr>
        <w:t>）及国标《生活饮用水卫生标准》（</w:t>
      </w:r>
      <w:r w:rsidRPr="00DF5B89">
        <w:rPr>
          <w:rFonts w:ascii="Calibri" w:hAnsi="Calibri" w:hint="eastAsia"/>
          <w:bCs/>
          <w:color w:val="auto"/>
          <w:sz w:val="24"/>
        </w:rPr>
        <w:t>GB5749-2006</w:t>
      </w:r>
      <w:r w:rsidRPr="00DF5B89">
        <w:rPr>
          <w:rFonts w:ascii="Calibri" w:hAnsi="Calibri" w:hint="eastAsia"/>
          <w:bCs/>
          <w:color w:val="auto"/>
          <w:sz w:val="24"/>
        </w:rPr>
        <w:t>）要求。该配水厂水源为平顶山市九里山水厂，然后经过补氯和二次加压后向产业集聚区配水。现状生活供水管网主要分布在沙河一路、沙河二路、沙河四路、盐神大道、神马大道、化工一路和化工四路等，总长度约</w:t>
      </w:r>
      <w:r w:rsidRPr="00DF5B89">
        <w:rPr>
          <w:rFonts w:ascii="Calibri" w:hAnsi="Calibri" w:hint="eastAsia"/>
          <w:bCs/>
          <w:color w:val="auto"/>
          <w:sz w:val="24"/>
        </w:rPr>
        <w:t>12.2km</w:t>
      </w:r>
      <w:r w:rsidRPr="00DF5B89">
        <w:rPr>
          <w:rFonts w:ascii="Calibri" w:hAnsi="Calibri" w:hint="eastAsia"/>
          <w:bCs/>
          <w:color w:val="auto"/>
          <w:sz w:val="24"/>
        </w:rPr>
        <w:t>。目前实际供水量约</w:t>
      </w:r>
      <w:r>
        <w:rPr>
          <w:rFonts w:ascii="Calibri" w:hAnsi="Calibri" w:hint="eastAsia"/>
          <w:bCs/>
          <w:color w:val="auto"/>
          <w:sz w:val="24"/>
        </w:rPr>
        <w:t>1</w:t>
      </w:r>
      <w:r w:rsidRPr="00DF5B89">
        <w:rPr>
          <w:rFonts w:ascii="Calibri" w:hAnsi="Calibri" w:hint="eastAsia"/>
          <w:bCs/>
          <w:color w:val="auto"/>
          <w:sz w:val="24"/>
        </w:rPr>
        <w:t>万</w:t>
      </w:r>
      <w:r>
        <w:rPr>
          <w:rFonts w:ascii="Calibri" w:hAnsi="Calibri" w:hint="eastAsia"/>
          <w:bCs/>
          <w:color w:val="auto"/>
          <w:sz w:val="24"/>
        </w:rPr>
        <w:t>m</w:t>
      </w:r>
      <w:r w:rsidRPr="00DF5B89">
        <w:rPr>
          <w:rFonts w:ascii="Calibri" w:hAnsi="Calibri" w:hint="eastAsia"/>
          <w:bCs/>
          <w:color w:val="auto"/>
          <w:sz w:val="24"/>
          <w:vertAlign w:val="superscript"/>
        </w:rPr>
        <w:t>3</w:t>
      </w:r>
      <w:r w:rsidRPr="00DF5B89">
        <w:rPr>
          <w:rFonts w:ascii="Calibri" w:hAnsi="Calibri" w:hint="eastAsia"/>
          <w:bCs/>
          <w:color w:val="auto"/>
          <w:sz w:val="24"/>
        </w:rPr>
        <w:t>/d</w:t>
      </w:r>
      <w:r w:rsidRPr="00DF5B89">
        <w:rPr>
          <w:rFonts w:ascii="Calibri" w:hAnsi="Calibri" w:hint="eastAsia"/>
          <w:bCs/>
          <w:color w:val="auto"/>
          <w:sz w:val="24"/>
        </w:rPr>
        <w:t>。</w:t>
      </w:r>
    </w:p>
    <w:p w14:paraId="13DD97A4" w14:textId="77777777" w:rsidR="002529E2" w:rsidRPr="00A964FF" w:rsidRDefault="005B5972" w:rsidP="00DF5B89">
      <w:pPr>
        <w:widowControl/>
        <w:spacing w:line="520" w:lineRule="exact"/>
        <w:ind w:firstLineChars="200" w:firstLine="480"/>
        <w:jc w:val="left"/>
        <w:rPr>
          <w:rFonts w:ascii="Calibri" w:hAnsi="Calibri"/>
          <w:bCs/>
          <w:color w:val="auto"/>
          <w:sz w:val="24"/>
        </w:rPr>
      </w:pPr>
      <w:r>
        <w:rPr>
          <w:rFonts w:ascii="Calibri" w:hAnsi="Calibri" w:hint="eastAsia"/>
          <w:bCs/>
          <w:color w:val="auto"/>
          <w:sz w:val="24"/>
        </w:rPr>
        <w:t>调查</w:t>
      </w:r>
      <w:r w:rsidR="00DF5B89">
        <w:rPr>
          <w:rFonts w:ascii="Calibri" w:hAnsi="Calibri" w:hint="eastAsia"/>
          <w:bCs/>
          <w:color w:val="auto"/>
          <w:sz w:val="24"/>
        </w:rPr>
        <w:t>集聚区工业及生活供水管网铺设情况，本项目所在位置已经铺设完成了管道，具备供水条件</w:t>
      </w:r>
      <w:r w:rsidR="002529E2" w:rsidRPr="00A964FF">
        <w:rPr>
          <w:rFonts w:ascii="Calibri" w:hAnsi="Calibri" w:hint="eastAsia"/>
          <w:bCs/>
          <w:color w:val="auto"/>
          <w:sz w:val="24"/>
        </w:rPr>
        <w:t>。</w:t>
      </w:r>
    </w:p>
    <w:p w14:paraId="370F389C" w14:textId="77777777" w:rsidR="002529E2" w:rsidRPr="00A964FF" w:rsidRDefault="002529E2" w:rsidP="007E06A4">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2</w:t>
      </w:r>
      <w:r w:rsidRPr="00A964FF">
        <w:rPr>
          <w:rFonts w:ascii="Calibri" w:hAnsi="Calibri" w:hint="eastAsia"/>
          <w:bCs/>
          <w:color w:val="auto"/>
          <w:sz w:val="24"/>
        </w:rPr>
        <w:t>）排水</w:t>
      </w:r>
    </w:p>
    <w:p w14:paraId="5DFB7DD4" w14:textId="77777777" w:rsidR="00635274" w:rsidRPr="00DF5B89" w:rsidRDefault="00635274" w:rsidP="00635274">
      <w:pPr>
        <w:spacing w:line="520" w:lineRule="exact"/>
        <w:ind w:firstLineChars="200" w:firstLine="480"/>
        <w:jc w:val="left"/>
        <w:rPr>
          <w:rFonts w:ascii="Calibri" w:hAnsi="Calibri"/>
          <w:bCs/>
          <w:color w:val="auto"/>
          <w:sz w:val="24"/>
        </w:rPr>
      </w:pPr>
      <w:r w:rsidRPr="00DF5B89">
        <w:rPr>
          <w:rFonts w:ascii="Calibri" w:hAnsi="Calibri" w:hint="eastAsia"/>
          <w:bCs/>
          <w:color w:val="auto"/>
          <w:sz w:val="24"/>
        </w:rPr>
        <w:t>平顶山尼龙新材料产业集聚区目前建有配套污水处理厂一座，即平顶山首创水务有限公司（平顶山第三污水处理厂），该污水处理厂位于集聚区南部化工三路南一号，占地面积</w:t>
      </w:r>
      <w:r w:rsidRPr="00DF5B89">
        <w:rPr>
          <w:rFonts w:ascii="Calibri" w:hAnsi="Calibri" w:hint="eastAsia"/>
          <w:bCs/>
          <w:color w:val="auto"/>
          <w:sz w:val="24"/>
        </w:rPr>
        <w:t>67.43</w:t>
      </w:r>
      <w:r w:rsidRPr="00DF5B89">
        <w:rPr>
          <w:rFonts w:ascii="Calibri" w:hAnsi="Calibri" w:hint="eastAsia"/>
          <w:bCs/>
          <w:color w:val="auto"/>
          <w:sz w:val="24"/>
        </w:rPr>
        <w:t>亩，处理规模为</w:t>
      </w:r>
      <w:r>
        <w:rPr>
          <w:rFonts w:ascii="Calibri" w:hAnsi="Calibri" w:hint="eastAsia"/>
          <w:bCs/>
          <w:color w:val="auto"/>
          <w:sz w:val="24"/>
        </w:rPr>
        <w:t>3</w:t>
      </w:r>
      <w:r w:rsidRPr="00DF5B89">
        <w:rPr>
          <w:rFonts w:ascii="Calibri" w:hAnsi="Calibri" w:hint="eastAsia"/>
          <w:bCs/>
          <w:color w:val="auto"/>
          <w:sz w:val="24"/>
        </w:rPr>
        <w:t>万</w:t>
      </w:r>
      <w:r>
        <w:rPr>
          <w:rFonts w:ascii="Calibri" w:hAnsi="Calibri" w:hint="eastAsia"/>
          <w:bCs/>
          <w:color w:val="auto"/>
          <w:sz w:val="24"/>
        </w:rPr>
        <w:t>m</w:t>
      </w:r>
      <w:r w:rsidRPr="00DF5B89">
        <w:rPr>
          <w:rFonts w:ascii="Calibri" w:hAnsi="Calibri" w:hint="eastAsia"/>
          <w:bCs/>
          <w:color w:val="auto"/>
          <w:sz w:val="24"/>
          <w:vertAlign w:val="superscript"/>
        </w:rPr>
        <w:t>3</w:t>
      </w:r>
      <w:r w:rsidRPr="00DF5B89">
        <w:rPr>
          <w:rFonts w:ascii="Calibri" w:hAnsi="Calibri" w:hint="eastAsia"/>
          <w:bCs/>
          <w:color w:val="auto"/>
          <w:sz w:val="24"/>
        </w:rPr>
        <w:t>/d</w:t>
      </w:r>
      <w:r w:rsidRPr="00DF5B89">
        <w:rPr>
          <w:rFonts w:ascii="Calibri" w:hAnsi="Calibri" w:hint="eastAsia"/>
          <w:bCs/>
          <w:color w:val="auto"/>
          <w:sz w:val="24"/>
        </w:rPr>
        <w:t>，是以处理煤化工、盐化工、尼龙的工业废水为主的现代化污水处理厂。污水处理工艺采用“水解酸化</w:t>
      </w:r>
      <w:r w:rsidRPr="00DF5B89">
        <w:rPr>
          <w:rFonts w:ascii="Calibri" w:hAnsi="Calibri" w:hint="eastAsia"/>
          <w:bCs/>
          <w:color w:val="auto"/>
          <w:sz w:val="24"/>
        </w:rPr>
        <w:t>+</w:t>
      </w:r>
      <w:r w:rsidRPr="00DF5B89">
        <w:rPr>
          <w:rFonts w:ascii="Calibri" w:hAnsi="Calibri" w:hint="eastAsia"/>
          <w:bCs/>
          <w:color w:val="auto"/>
          <w:sz w:val="24"/>
        </w:rPr>
        <w:t>选择厌氧</w:t>
      </w:r>
      <w:r w:rsidRPr="00DF5B89">
        <w:rPr>
          <w:rFonts w:ascii="Calibri" w:hAnsi="Calibri" w:hint="eastAsia"/>
          <w:bCs/>
          <w:color w:val="auto"/>
          <w:sz w:val="24"/>
        </w:rPr>
        <w:t>+</w:t>
      </w:r>
      <w:r w:rsidRPr="00DF5B89">
        <w:rPr>
          <w:rFonts w:ascii="Calibri" w:hAnsi="Calibri" w:hint="eastAsia"/>
          <w:bCs/>
          <w:color w:val="auto"/>
          <w:sz w:val="24"/>
        </w:rPr>
        <w:t>改良型采用卡鲁塞尔氧化沟</w:t>
      </w:r>
      <w:r w:rsidRPr="00DF5B89">
        <w:rPr>
          <w:rFonts w:ascii="Calibri" w:hAnsi="Calibri" w:hint="eastAsia"/>
          <w:bCs/>
          <w:color w:val="auto"/>
          <w:sz w:val="24"/>
        </w:rPr>
        <w:t>+</w:t>
      </w:r>
      <w:r w:rsidRPr="00DF5B89">
        <w:rPr>
          <w:rFonts w:ascii="Calibri" w:hAnsi="Calibri" w:hint="eastAsia"/>
          <w:bCs/>
          <w:color w:val="auto"/>
          <w:sz w:val="24"/>
        </w:rPr>
        <w:t>深度处理</w:t>
      </w:r>
      <w:r w:rsidRPr="00DF5B89">
        <w:rPr>
          <w:rFonts w:ascii="Calibri" w:hAnsi="Calibri" w:hint="eastAsia"/>
          <w:bCs/>
          <w:color w:val="auto"/>
          <w:sz w:val="24"/>
        </w:rPr>
        <w:t>+</w:t>
      </w:r>
      <w:r w:rsidRPr="00DF5B89">
        <w:rPr>
          <w:rFonts w:ascii="Calibri" w:hAnsi="Calibri" w:hint="eastAsia"/>
          <w:bCs/>
          <w:color w:val="auto"/>
          <w:sz w:val="24"/>
        </w:rPr>
        <w:t>二氧化氯消毒”，深度处理采用“高密度澄清池</w:t>
      </w:r>
      <w:r w:rsidRPr="00DF5B89">
        <w:rPr>
          <w:rFonts w:ascii="Calibri" w:hAnsi="Calibri" w:hint="eastAsia"/>
          <w:bCs/>
          <w:color w:val="auto"/>
          <w:sz w:val="24"/>
        </w:rPr>
        <w:t>+</w:t>
      </w:r>
      <w:r w:rsidRPr="00DF5B89">
        <w:rPr>
          <w:rFonts w:ascii="Calibri" w:hAnsi="Calibri" w:hint="eastAsia"/>
          <w:bCs/>
          <w:color w:val="auto"/>
          <w:sz w:val="24"/>
        </w:rPr>
        <w:t>连续流动床过滤”。主要工艺流程为：粗格栅及进水泵房→细格栅及旋流沉砂池→调节池→水解酸化池→氧化沟体池→二沉池→综合泵房→高密度澄清池→活性砂滤池→接触池（二氧化氯或臭氧消毒）→排入自然水体。</w:t>
      </w:r>
    </w:p>
    <w:p w14:paraId="141720F5" w14:textId="77777777" w:rsidR="00635274" w:rsidRPr="00DF5B89" w:rsidRDefault="00635274" w:rsidP="00635274">
      <w:pPr>
        <w:spacing w:line="520" w:lineRule="exact"/>
        <w:ind w:firstLineChars="200" w:firstLine="480"/>
        <w:jc w:val="left"/>
        <w:rPr>
          <w:rFonts w:ascii="Calibri" w:hAnsi="Calibri"/>
          <w:bCs/>
          <w:color w:val="auto"/>
          <w:sz w:val="24"/>
        </w:rPr>
      </w:pPr>
      <w:r w:rsidRPr="00DF5B89">
        <w:rPr>
          <w:rFonts w:ascii="Calibri" w:hAnsi="Calibri" w:hint="eastAsia"/>
          <w:bCs/>
          <w:color w:val="auto"/>
          <w:sz w:val="24"/>
        </w:rPr>
        <w:t>目前，平顶山第三污水处理厂平均污水处理规模为</w:t>
      </w:r>
      <w:r>
        <w:rPr>
          <w:rFonts w:ascii="Calibri" w:hAnsi="Calibri" w:hint="eastAsia"/>
          <w:bCs/>
          <w:color w:val="auto"/>
          <w:sz w:val="24"/>
        </w:rPr>
        <w:t>2.7</w:t>
      </w:r>
      <w:r w:rsidRPr="00DF5B89">
        <w:rPr>
          <w:rFonts w:ascii="Calibri" w:hAnsi="Calibri" w:hint="eastAsia"/>
          <w:bCs/>
          <w:color w:val="auto"/>
          <w:sz w:val="24"/>
        </w:rPr>
        <w:t>万</w:t>
      </w:r>
      <w:r>
        <w:rPr>
          <w:rFonts w:ascii="Calibri" w:hAnsi="Calibri" w:hint="eastAsia"/>
          <w:bCs/>
          <w:color w:val="auto"/>
          <w:sz w:val="24"/>
        </w:rPr>
        <w:t>m</w:t>
      </w:r>
      <w:r w:rsidRPr="00DF5B89">
        <w:rPr>
          <w:rFonts w:ascii="Calibri" w:hAnsi="Calibri" w:hint="eastAsia"/>
          <w:bCs/>
          <w:color w:val="auto"/>
          <w:sz w:val="24"/>
          <w:vertAlign w:val="superscript"/>
        </w:rPr>
        <w:t>3</w:t>
      </w:r>
      <w:r w:rsidRPr="00DF5B89">
        <w:rPr>
          <w:rFonts w:ascii="Calibri" w:hAnsi="Calibri" w:hint="eastAsia"/>
          <w:bCs/>
          <w:color w:val="auto"/>
          <w:sz w:val="24"/>
        </w:rPr>
        <w:t>/d</w:t>
      </w:r>
      <w:r w:rsidRPr="00DF5B89">
        <w:rPr>
          <w:rFonts w:ascii="Calibri" w:hAnsi="Calibri" w:hint="eastAsia"/>
          <w:bCs/>
          <w:color w:val="auto"/>
          <w:sz w:val="24"/>
        </w:rPr>
        <w:t>，现状污水管网主要分布在沙河二路、沙河四路、沙河五路、神马大道、化工一路、化工三路和化工四路等，总长度约</w:t>
      </w:r>
      <w:r w:rsidRPr="00DF5B89">
        <w:rPr>
          <w:rFonts w:ascii="Calibri" w:hAnsi="Calibri" w:hint="eastAsia"/>
          <w:bCs/>
          <w:color w:val="auto"/>
          <w:sz w:val="24"/>
        </w:rPr>
        <w:t>24.1km</w:t>
      </w:r>
      <w:r w:rsidRPr="00DF5B89">
        <w:rPr>
          <w:rFonts w:ascii="Calibri" w:hAnsi="Calibri" w:hint="eastAsia"/>
          <w:bCs/>
          <w:color w:val="auto"/>
          <w:sz w:val="24"/>
        </w:rPr>
        <w:t>。</w:t>
      </w:r>
    </w:p>
    <w:p w14:paraId="565822E8" w14:textId="43387B8F" w:rsidR="00635274" w:rsidRDefault="00635274" w:rsidP="00726673">
      <w:pPr>
        <w:spacing w:line="520" w:lineRule="exact"/>
        <w:ind w:firstLineChars="200" w:firstLine="480"/>
        <w:jc w:val="left"/>
        <w:rPr>
          <w:rFonts w:ascii="Calibri" w:hAnsi="Calibri"/>
          <w:bCs/>
          <w:color w:val="auto"/>
          <w:sz w:val="24"/>
        </w:rPr>
      </w:pPr>
      <w:r w:rsidRPr="00DF5B89">
        <w:rPr>
          <w:rFonts w:ascii="Calibri" w:hAnsi="Calibri" w:hint="eastAsia"/>
          <w:bCs/>
          <w:color w:val="auto"/>
          <w:sz w:val="24"/>
        </w:rPr>
        <w:t>根据《平顶山尼龙新材料产业集聚区跟踪环境影响报告书》（</w:t>
      </w:r>
      <w:r>
        <w:rPr>
          <w:rFonts w:ascii="Calibri" w:hAnsi="Calibri" w:hint="eastAsia"/>
          <w:bCs/>
          <w:color w:val="auto"/>
          <w:sz w:val="24"/>
        </w:rPr>
        <w:t>2018</w:t>
      </w:r>
      <w:r w:rsidRPr="00DF5B89">
        <w:rPr>
          <w:rFonts w:ascii="Calibri" w:hAnsi="Calibri" w:hint="eastAsia"/>
          <w:bCs/>
          <w:color w:val="auto"/>
          <w:sz w:val="24"/>
        </w:rPr>
        <w:t>年</w:t>
      </w:r>
      <w:r w:rsidRPr="00DF5B89">
        <w:rPr>
          <w:rFonts w:ascii="Calibri" w:hAnsi="Calibri" w:hint="eastAsia"/>
          <w:bCs/>
          <w:color w:val="auto"/>
          <w:sz w:val="24"/>
        </w:rPr>
        <w:t>1</w:t>
      </w:r>
      <w:r w:rsidRPr="00DF5B89">
        <w:rPr>
          <w:rFonts w:ascii="Calibri" w:hAnsi="Calibri" w:hint="eastAsia"/>
          <w:bCs/>
          <w:color w:val="auto"/>
          <w:sz w:val="24"/>
        </w:rPr>
        <w:t>月），平顶山首创水务有限公司（平顶山第三污水处理厂）进水水质执行河南省地方标准《化工行业水污染物间接排放标准》（</w:t>
      </w:r>
      <w:r w:rsidRPr="00DF5B89">
        <w:rPr>
          <w:rFonts w:ascii="Calibri" w:hAnsi="Calibri" w:hint="eastAsia"/>
          <w:bCs/>
          <w:color w:val="auto"/>
          <w:sz w:val="24"/>
        </w:rPr>
        <w:t>DB41/1135-2016</w:t>
      </w:r>
      <w:r w:rsidRPr="00DF5B89">
        <w:rPr>
          <w:rFonts w:ascii="Calibri" w:hAnsi="Calibri" w:hint="eastAsia"/>
          <w:bCs/>
          <w:color w:val="auto"/>
          <w:sz w:val="24"/>
        </w:rPr>
        <w:t>），出水水质执行《城镇污水处理厂污染物排放标准》（</w:t>
      </w:r>
      <w:r w:rsidRPr="00DF5B89">
        <w:rPr>
          <w:rFonts w:ascii="Calibri" w:hAnsi="Calibri" w:hint="eastAsia"/>
          <w:bCs/>
          <w:color w:val="auto"/>
          <w:sz w:val="24"/>
        </w:rPr>
        <w:t>GB18918-2002</w:t>
      </w:r>
      <w:r w:rsidRPr="00DF5B89">
        <w:rPr>
          <w:rFonts w:ascii="Calibri" w:hAnsi="Calibri" w:hint="eastAsia"/>
          <w:bCs/>
          <w:color w:val="auto"/>
          <w:sz w:val="24"/>
        </w:rPr>
        <w:t>）一级</w:t>
      </w:r>
      <w:r w:rsidR="001729AF">
        <w:rPr>
          <w:rFonts w:ascii="Calibri" w:hAnsi="Calibri" w:hint="eastAsia"/>
          <w:bCs/>
          <w:color w:val="auto"/>
          <w:sz w:val="24"/>
        </w:rPr>
        <w:t>A</w:t>
      </w:r>
      <w:r w:rsidRPr="00DF5B89">
        <w:rPr>
          <w:rFonts w:ascii="Calibri" w:hAnsi="Calibri" w:hint="eastAsia"/>
          <w:bCs/>
          <w:color w:val="auto"/>
          <w:sz w:val="24"/>
        </w:rPr>
        <w:t>排放标准。根据《平顶山尼龙新材料产业集聚区规划调整环境影响补充分析报告》（</w:t>
      </w:r>
      <w:r>
        <w:rPr>
          <w:rFonts w:ascii="Calibri" w:hAnsi="Calibri" w:hint="eastAsia"/>
          <w:bCs/>
          <w:color w:val="auto"/>
          <w:sz w:val="24"/>
        </w:rPr>
        <w:t>2020</w:t>
      </w:r>
      <w:r w:rsidRPr="00DF5B89">
        <w:rPr>
          <w:rFonts w:ascii="Calibri" w:hAnsi="Calibri" w:hint="eastAsia"/>
          <w:bCs/>
          <w:color w:val="auto"/>
          <w:sz w:val="24"/>
        </w:rPr>
        <w:t>年</w:t>
      </w:r>
      <w:r>
        <w:rPr>
          <w:rFonts w:ascii="Calibri" w:hAnsi="Calibri" w:hint="eastAsia"/>
          <w:bCs/>
          <w:color w:val="auto"/>
          <w:sz w:val="24"/>
        </w:rPr>
        <w:t>10</w:t>
      </w:r>
      <w:r w:rsidRPr="00DF5B89">
        <w:rPr>
          <w:rFonts w:ascii="Calibri" w:hAnsi="Calibri" w:hint="eastAsia"/>
          <w:bCs/>
          <w:color w:val="auto"/>
          <w:sz w:val="24"/>
        </w:rPr>
        <w:t>月），为确保印染产</w:t>
      </w:r>
      <w:r w:rsidRPr="00DF5B89">
        <w:rPr>
          <w:rFonts w:ascii="Calibri" w:hAnsi="Calibri" w:hint="eastAsia"/>
          <w:bCs/>
          <w:color w:val="auto"/>
          <w:sz w:val="24"/>
        </w:rPr>
        <w:lastRenderedPageBreak/>
        <w:t>业链的建设不对现有水环境产生损害，印染产业链产生的废水先经预处理达到相应行业标准要求后进入平顶山第三污水处理厂处理，其出水水质需达到</w:t>
      </w:r>
      <w:r w:rsidRPr="00DF5B89">
        <w:rPr>
          <w:rFonts w:ascii="Calibri" w:hAnsi="Calibri" w:hint="eastAsia"/>
          <w:bCs/>
          <w:color w:val="auto"/>
          <w:sz w:val="24"/>
        </w:rPr>
        <w:t>COD</w:t>
      </w:r>
      <w:r w:rsidRPr="00DF5B89">
        <w:rPr>
          <w:rFonts w:ascii="Calibri" w:hAnsi="Calibri" w:hint="eastAsia"/>
          <w:bCs/>
          <w:color w:val="auto"/>
          <w:sz w:val="24"/>
        </w:rPr>
        <w:t>≤</w:t>
      </w:r>
      <w:r>
        <w:rPr>
          <w:rFonts w:ascii="Calibri" w:hAnsi="Calibri"/>
          <w:bCs/>
          <w:color w:val="auto"/>
          <w:sz w:val="24"/>
        </w:rPr>
        <w:t>30</w:t>
      </w:r>
      <w:r w:rsidRPr="00DF5B89">
        <w:rPr>
          <w:rFonts w:ascii="Calibri" w:hAnsi="Calibri" w:hint="eastAsia"/>
          <w:bCs/>
          <w:color w:val="auto"/>
          <w:sz w:val="24"/>
        </w:rPr>
        <w:t>mg/L</w:t>
      </w:r>
      <w:r w:rsidRPr="00DF5B89">
        <w:rPr>
          <w:rFonts w:ascii="Calibri" w:hAnsi="Calibri" w:hint="eastAsia"/>
          <w:bCs/>
          <w:color w:val="auto"/>
          <w:sz w:val="24"/>
        </w:rPr>
        <w:t>、氨氮≤</w:t>
      </w:r>
      <w:r w:rsidRPr="00DF5B89">
        <w:rPr>
          <w:rFonts w:ascii="Calibri" w:hAnsi="Calibri" w:hint="eastAsia"/>
          <w:bCs/>
          <w:color w:val="auto"/>
          <w:sz w:val="24"/>
        </w:rPr>
        <w:t>1</w:t>
      </w:r>
      <w:r>
        <w:rPr>
          <w:rFonts w:ascii="Calibri" w:hAnsi="Calibri"/>
          <w:bCs/>
          <w:color w:val="auto"/>
          <w:sz w:val="24"/>
        </w:rPr>
        <w:t>.5</w:t>
      </w:r>
      <w:r w:rsidRPr="00DF5B89">
        <w:rPr>
          <w:rFonts w:ascii="Calibri" w:hAnsi="Calibri" w:hint="eastAsia"/>
          <w:bCs/>
          <w:color w:val="auto"/>
          <w:sz w:val="24"/>
        </w:rPr>
        <w:t>mg/L</w:t>
      </w:r>
      <w:r w:rsidRPr="00DF5B89">
        <w:rPr>
          <w:rFonts w:ascii="Calibri" w:hAnsi="Calibri" w:hint="eastAsia"/>
          <w:bCs/>
          <w:color w:val="auto"/>
          <w:sz w:val="24"/>
        </w:rPr>
        <w:t>、总磷≤</w:t>
      </w:r>
      <w:r>
        <w:rPr>
          <w:rFonts w:ascii="Calibri" w:hAnsi="Calibri" w:hint="eastAsia"/>
          <w:bCs/>
          <w:color w:val="auto"/>
          <w:sz w:val="24"/>
        </w:rPr>
        <w:t>0.</w:t>
      </w:r>
      <w:r>
        <w:rPr>
          <w:rFonts w:ascii="Calibri" w:hAnsi="Calibri"/>
          <w:bCs/>
          <w:color w:val="auto"/>
          <w:sz w:val="24"/>
        </w:rPr>
        <w:t>3</w:t>
      </w:r>
      <w:r>
        <w:rPr>
          <w:rFonts w:ascii="Calibri" w:hAnsi="Calibri" w:hint="eastAsia"/>
          <w:bCs/>
          <w:color w:val="auto"/>
          <w:sz w:val="24"/>
        </w:rPr>
        <w:t>mg/L</w:t>
      </w:r>
      <w:r w:rsidRPr="00DF5B89">
        <w:rPr>
          <w:rFonts w:ascii="Calibri" w:hAnsi="Calibri" w:hint="eastAsia"/>
          <w:bCs/>
          <w:color w:val="auto"/>
          <w:sz w:val="24"/>
        </w:rPr>
        <w:t>的排放限值要求，平顶山第三污水处理厂需进行提标改造。目前该污水处理厂提标改造工程尚未完成，出水水质能够达到《城镇污水处理厂污染物排放标准》（</w:t>
      </w:r>
      <w:r w:rsidRPr="00DF5B89">
        <w:rPr>
          <w:rFonts w:ascii="Calibri" w:hAnsi="Calibri" w:hint="eastAsia"/>
          <w:bCs/>
          <w:color w:val="auto"/>
          <w:sz w:val="24"/>
        </w:rPr>
        <w:t>GB18918-2012</w:t>
      </w:r>
      <w:r w:rsidRPr="00DF5B89">
        <w:rPr>
          <w:rFonts w:ascii="Calibri" w:hAnsi="Calibri" w:hint="eastAsia"/>
          <w:bCs/>
          <w:color w:val="auto"/>
          <w:sz w:val="24"/>
        </w:rPr>
        <w:t>）一级</w:t>
      </w:r>
      <w:r>
        <w:rPr>
          <w:rFonts w:ascii="Calibri" w:hAnsi="Calibri" w:hint="eastAsia"/>
          <w:bCs/>
          <w:color w:val="auto"/>
          <w:sz w:val="24"/>
        </w:rPr>
        <w:t>A</w:t>
      </w:r>
      <w:r w:rsidRPr="00DF5B89">
        <w:rPr>
          <w:rFonts w:ascii="Calibri" w:hAnsi="Calibri" w:hint="eastAsia"/>
          <w:bCs/>
          <w:color w:val="auto"/>
          <w:sz w:val="24"/>
        </w:rPr>
        <w:t>标准，但是尚未稳定达到</w:t>
      </w:r>
      <w:r w:rsidRPr="00DF5B89">
        <w:rPr>
          <w:rFonts w:ascii="Calibri" w:hAnsi="Calibri" w:hint="eastAsia"/>
          <w:bCs/>
          <w:color w:val="auto"/>
          <w:sz w:val="24"/>
        </w:rPr>
        <w:t>COD</w:t>
      </w:r>
      <w:r w:rsidRPr="00DF5B89">
        <w:rPr>
          <w:rFonts w:ascii="Calibri" w:hAnsi="Calibri" w:hint="eastAsia"/>
          <w:bCs/>
          <w:color w:val="auto"/>
          <w:sz w:val="24"/>
        </w:rPr>
        <w:t>≤</w:t>
      </w:r>
      <w:r>
        <w:rPr>
          <w:rFonts w:ascii="Calibri" w:hAnsi="Calibri"/>
          <w:bCs/>
          <w:color w:val="auto"/>
          <w:sz w:val="24"/>
        </w:rPr>
        <w:t>3</w:t>
      </w:r>
      <w:r w:rsidRPr="00DF5B89">
        <w:rPr>
          <w:rFonts w:ascii="Calibri" w:hAnsi="Calibri" w:hint="eastAsia"/>
          <w:bCs/>
          <w:color w:val="auto"/>
          <w:sz w:val="24"/>
        </w:rPr>
        <w:t>0mg/L</w:t>
      </w:r>
      <w:r w:rsidRPr="00DF5B89">
        <w:rPr>
          <w:rFonts w:ascii="Calibri" w:hAnsi="Calibri" w:hint="eastAsia"/>
          <w:bCs/>
          <w:color w:val="auto"/>
          <w:sz w:val="24"/>
        </w:rPr>
        <w:t>、氨氮≤</w:t>
      </w:r>
      <w:r w:rsidRPr="00DF5B89">
        <w:rPr>
          <w:rFonts w:ascii="Calibri" w:hAnsi="Calibri" w:hint="eastAsia"/>
          <w:bCs/>
          <w:color w:val="auto"/>
          <w:sz w:val="24"/>
        </w:rPr>
        <w:t>1</w:t>
      </w:r>
      <w:r>
        <w:rPr>
          <w:rFonts w:ascii="Calibri" w:hAnsi="Calibri"/>
          <w:bCs/>
          <w:color w:val="auto"/>
          <w:sz w:val="24"/>
        </w:rPr>
        <w:t>.5</w:t>
      </w:r>
      <w:r w:rsidRPr="00DF5B89">
        <w:rPr>
          <w:rFonts w:ascii="Calibri" w:hAnsi="Calibri" w:hint="eastAsia"/>
          <w:bCs/>
          <w:color w:val="auto"/>
          <w:sz w:val="24"/>
        </w:rPr>
        <w:t>mg/L</w:t>
      </w:r>
      <w:r w:rsidRPr="00DF5B89">
        <w:rPr>
          <w:rFonts w:ascii="Calibri" w:hAnsi="Calibri" w:hint="eastAsia"/>
          <w:bCs/>
          <w:color w:val="auto"/>
          <w:sz w:val="24"/>
        </w:rPr>
        <w:t>、总磷≤</w:t>
      </w:r>
      <w:r>
        <w:rPr>
          <w:rFonts w:ascii="Calibri" w:hAnsi="Calibri" w:hint="eastAsia"/>
          <w:bCs/>
          <w:color w:val="auto"/>
          <w:sz w:val="24"/>
        </w:rPr>
        <w:t>0.</w:t>
      </w:r>
      <w:r>
        <w:rPr>
          <w:rFonts w:ascii="Calibri" w:hAnsi="Calibri"/>
          <w:bCs/>
          <w:color w:val="auto"/>
          <w:sz w:val="24"/>
        </w:rPr>
        <w:t>3</w:t>
      </w:r>
      <w:r>
        <w:rPr>
          <w:rFonts w:ascii="Calibri" w:hAnsi="Calibri" w:hint="eastAsia"/>
          <w:bCs/>
          <w:color w:val="auto"/>
          <w:sz w:val="24"/>
        </w:rPr>
        <w:t>mg/L</w:t>
      </w:r>
      <w:r w:rsidRPr="00DF5B89">
        <w:rPr>
          <w:rFonts w:ascii="Calibri" w:hAnsi="Calibri" w:hint="eastAsia"/>
          <w:bCs/>
          <w:color w:val="auto"/>
          <w:sz w:val="24"/>
        </w:rPr>
        <w:t>的要求，拟提标改造并配套建设湿地公园，从而对提升关庙沟水质发挥促进作用。</w:t>
      </w:r>
    </w:p>
    <w:p w14:paraId="0E3FF833" w14:textId="77777777" w:rsidR="00635274" w:rsidRPr="00A964FF" w:rsidRDefault="00635274" w:rsidP="00635274">
      <w:pPr>
        <w:spacing w:line="520" w:lineRule="exact"/>
        <w:ind w:firstLineChars="200" w:firstLine="480"/>
        <w:textAlignment w:val="baseline"/>
        <w:rPr>
          <w:color w:val="auto"/>
          <w:sz w:val="24"/>
        </w:rPr>
      </w:pPr>
      <w:r w:rsidRPr="00A964FF">
        <w:rPr>
          <w:rFonts w:hint="eastAsia"/>
          <w:color w:val="auto"/>
          <w:sz w:val="24"/>
        </w:rPr>
        <w:t>本项目厂区废水经自建废水处理站处理达标后排入集聚区市政污水管网，进入平顶山第三污水处理厂集中处理。</w:t>
      </w:r>
    </w:p>
    <w:p w14:paraId="47216ECE" w14:textId="51713B2F" w:rsidR="00635274" w:rsidRPr="00C81F40" w:rsidRDefault="00635274" w:rsidP="00C81F40">
      <w:pPr>
        <w:spacing w:line="520" w:lineRule="exact"/>
        <w:ind w:firstLineChars="200" w:firstLine="480"/>
        <w:textAlignment w:val="baseline"/>
        <w:rPr>
          <w:rFonts w:asciiTheme="minorHAnsi" w:hAnsiTheme="minorHAnsi" w:cstheme="minorHAnsi"/>
          <w:color w:val="auto"/>
          <w:sz w:val="24"/>
        </w:rPr>
      </w:pPr>
      <w:r w:rsidRPr="008B5AE4">
        <w:rPr>
          <w:rFonts w:asciiTheme="minorHAnsi" w:cstheme="minorHAnsi"/>
          <w:color w:val="auto"/>
          <w:sz w:val="24"/>
        </w:rPr>
        <w:t>经调查，平顶山第三污水处理厂扩建工程环境影响报告书已于</w:t>
      </w:r>
      <w:r w:rsidRPr="008B5AE4">
        <w:rPr>
          <w:rFonts w:asciiTheme="minorHAnsi" w:hAnsiTheme="minorHAnsi" w:cstheme="minorHAnsi"/>
          <w:color w:val="auto"/>
          <w:sz w:val="24"/>
        </w:rPr>
        <w:t>2021</w:t>
      </w:r>
      <w:r w:rsidRPr="008B5AE4">
        <w:rPr>
          <w:rFonts w:asciiTheme="minorHAnsi" w:cstheme="minorHAnsi"/>
          <w:color w:val="auto"/>
          <w:sz w:val="24"/>
        </w:rPr>
        <w:t>年</w:t>
      </w:r>
      <w:r w:rsidRPr="008B5AE4">
        <w:rPr>
          <w:rFonts w:asciiTheme="minorHAnsi" w:hAnsiTheme="minorHAnsi" w:cstheme="minorHAnsi"/>
          <w:color w:val="auto"/>
          <w:sz w:val="24"/>
        </w:rPr>
        <w:t>11</w:t>
      </w:r>
      <w:r w:rsidRPr="008B5AE4">
        <w:rPr>
          <w:rFonts w:asciiTheme="minorHAnsi" w:cstheme="minorHAnsi"/>
          <w:color w:val="auto"/>
          <w:sz w:val="24"/>
        </w:rPr>
        <w:t>月</w:t>
      </w:r>
      <w:r w:rsidRPr="008B5AE4">
        <w:rPr>
          <w:rFonts w:asciiTheme="minorHAnsi" w:hAnsiTheme="minorHAnsi" w:cstheme="minorHAnsi"/>
          <w:color w:val="auto"/>
          <w:sz w:val="24"/>
        </w:rPr>
        <w:t>2</w:t>
      </w:r>
      <w:r w:rsidRPr="008B5AE4">
        <w:rPr>
          <w:rFonts w:asciiTheme="minorHAnsi" w:cstheme="minorHAnsi"/>
          <w:color w:val="auto"/>
          <w:sz w:val="24"/>
        </w:rPr>
        <w:t>日通过平顶山市生态环境审批，批复文号为平环审【</w:t>
      </w:r>
      <w:r w:rsidRPr="008B5AE4">
        <w:rPr>
          <w:rFonts w:asciiTheme="minorHAnsi" w:hAnsiTheme="minorHAnsi" w:cstheme="minorHAnsi"/>
          <w:color w:val="auto"/>
          <w:sz w:val="24"/>
        </w:rPr>
        <w:t>2021</w:t>
      </w:r>
      <w:r w:rsidRPr="008B5AE4">
        <w:rPr>
          <w:rFonts w:asciiTheme="minorHAnsi" w:cstheme="minorHAnsi"/>
          <w:color w:val="auto"/>
          <w:sz w:val="24"/>
        </w:rPr>
        <w:t>】</w:t>
      </w:r>
      <w:r w:rsidRPr="008B5AE4">
        <w:rPr>
          <w:rFonts w:asciiTheme="minorHAnsi" w:hAnsiTheme="minorHAnsi" w:cstheme="minorHAnsi"/>
          <w:color w:val="auto"/>
          <w:sz w:val="24"/>
        </w:rPr>
        <w:t>28</w:t>
      </w:r>
      <w:r w:rsidRPr="008B5AE4">
        <w:rPr>
          <w:rFonts w:asciiTheme="minorHAnsi" w:cstheme="minorHAnsi"/>
          <w:color w:val="auto"/>
          <w:sz w:val="24"/>
        </w:rPr>
        <w:t>号。该项目扩建工程建设规模为</w:t>
      </w:r>
      <w:r w:rsidRPr="008B5AE4">
        <w:rPr>
          <w:rFonts w:asciiTheme="minorHAnsi" w:hAnsiTheme="minorHAnsi" w:cstheme="minorHAnsi"/>
          <w:color w:val="auto"/>
          <w:sz w:val="24"/>
        </w:rPr>
        <w:t>5</w:t>
      </w:r>
      <w:r w:rsidRPr="008B5AE4">
        <w:rPr>
          <w:rFonts w:asciiTheme="minorHAnsi" w:cstheme="minorHAnsi"/>
          <w:color w:val="auto"/>
          <w:sz w:val="24"/>
        </w:rPr>
        <w:t>万</w:t>
      </w:r>
      <w:r w:rsidRPr="008B5AE4">
        <w:rPr>
          <w:rFonts w:asciiTheme="minorHAnsi" w:hAnsiTheme="minorHAnsi" w:cstheme="minorHAnsi"/>
          <w:color w:val="auto"/>
          <w:sz w:val="24"/>
        </w:rPr>
        <w:t>t/d</w:t>
      </w:r>
      <w:r w:rsidRPr="008B5AE4">
        <w:rPr>
          <w:rFonts w:asciiTheme="minorHAnsi" w:cstheme="minorHAnsi"/>
          <w:color w:val="auto"/>
          <w:sz w:val="24"/>
        </w:rPr>
        <w:t>，同时对现有工程（建设规模为</w:t>
      </w:r>
      <w:r w:rsidRPr="008B5AE4">
        <w:rPr>
          <w:rFonts w:asciiTheme="minorHAnsi" w:hAnsiTheme="minorHAnsi" w:cstheme="minorHAnsi"/>
          <w:color w:val="auto"/>
          <w:sz w:val="24"/>
        </w:rPr>
        <w:t>3</w:t>
      </w:r>
      <w:r w:rsidRPr="008B5AE4">
        <w:rPr>
          <w:rFonts w:asciiTheme="minorHAnsi" w:cstheme="minorHAnsi"/>
          <w:color w:val="auto"/>
          <w:sz w:val="24"/>
        </w:rPr>
        <w:t>万</w:t>
      </w:r>
      <w:r w:rsidRPr="008B5AE4">
        <w:rPr>
          <w:rFonts w:asciiTheme="minorHAnsi" w:hAnsiTheme="minorHAnsi" w:cstheme="minorHAnsi"/>
          <w:color w:val="auto"/>
          <w:sz w:val="24"/>
        </w:rPr>
        <w:t>t/d</w:t>
      </w:r>
      <w:r w:rsidRPr="008B5AE4">
        <w:rPr>
          <w:rFonts w:asciiTheme="minorHAnsi" w:cstheme="minorHAnsi"/>
          <w:color w:val="auto"/>
          <w:sz w:val="24"/>
        </w:rPr>
        <w:t>）进行提标改造，预计</w:t>
      </w:r>
      <w:r w:rsidRPr="008B5AE4">
        <w:rPr>
          <w:rFonts w:asciiTheme="minorHAnsi" w:hAnsiTheme="minorHAnsi" w:cstheme="minorHAnsi"/>
          <w:color w:val="auto"/>
          <w:sz w:val="24"/>
        </w:rPr>
        <w:t>2022</w:t>
      </w:r>
      <w:r w:rsidRPr="008B5AE4">
        <w:rPr>
          <w:rFonts w:asciiTheme="minorHAnsi" w:cstheme="minorHAnsi"/>
          <w:color w:val="auto"/>
          <w:sz w:val="24"/>
        </w:rPr>
        <w:t>年年底投入运行，设计出水指标为《城镇污水处理厂污染物排放标准》（</w:t>
      </w:r>
      <w:r w:rsidRPr="008B5AE4">
        <w:rPr>
          <w:rFonts w:asciiTheme="minorHAnsi" w:hAnsiTheme="minorHAnsi" w:cstheme="minorHAnsi"/>
          <w:color w:val="auto"/>
          <w:sz w:val="24"/>
        </w:rPr>
        <w:t>GB18918-2002</w:t>
      </w:r>
      <w:r w:rsidRPr="008B5AE4">
        <w:rPr>
          <w:rFonts w:asciiTheme="minorHAnsi" w:cstheme="minorHAnsi"/>
          <w:color w:val="auto"/>
          <w:sz w:val="24"/>
        </w:rPr>
        <w:t>）一级</w:t>
      </w:r>
      <w:r w:rsidRPr="008B5AE4">
        <w:rPr>
          <w:rFonts w:asciiTheme="minorHAnsi" w:hAnsiTheme="minorHAnsi" w:cstheme="minorHAnsi"/>
          <w:color w:val="auto"/>
          <w:sz w:val="24"/>
        </w:rPr>
        <w:t>A</w:t>
      </w:r>
      <w:r w:rsidRPr="008B5AE4">
        <w:rPr>
          <w:rFonts w:asciiTheme="minorHAnsi" w:cstheme="minorHAnsi"/>
          <w:color w:val="auto"/>
          <w:sz w:val="24"/>
        </w:rPr>
        <w:t>标准（化学需氧量</w:t>
      </w:r>
      <w:r w:rsidRPr="008B5AE4">
        <w:rPr>
          <w:rFonts w:asciiTheme="minorHAnsi" w:hAnsiTheme="minorHAnsi" w:cstheme="minorHAnsi"/>
          <w:color w:val="auto"/>
          <w:sz w:val="24"/>
        </w:rPr>
        <w:t>≤</w:t>
      </w:r>
      <w:r>
        <w:rPr>
          <w:rFonts w:asciiTheme="minorHAnsi" w:hAnsiTheme="minorHAnsi" w:cstheme="minorHAnsi"/>
          <w:color w:val="auto"/>
          <w:sz w:val="24"/>
        </w:rPr>
        <w:t>3</w:t>
      </w:r>
      <w:r w:rsidRPr="008B5AE4">
        <w:rPr>
          <w:rFonts w:asciiTheme="minorHAnsi" w:hAnsiTheme="minorHAnsi" w:cstheme="minorHAnsi"/>
          <w:color w:val="auto"/>
          <w:sz w:val="24"/>
        </w:rPr>
        <w:t>0mg/L</w:t>
      </w:r>
      <w:r w:rsidRPr="008B5AE4">
        <w:rPr>
          <w:rFonts w:asciiTheme="minorHAnsi" w:cstheme="minorHAnsi"/>
          <w:color w:val="auto"/>
          <w:sz w:val="24"/>
        </w:rPr>
        <w:t>，氨氮</w:t>
      </w:r>
      <w:r w:rsidRPr="008B5AE4">
        <w:rPr>
          <w:rFonts w:asciiTheme="minorHAnsi" w:hAnsiTheme="minorHAnsi" w:cstheme="minorHAnsi"/>
          <w:color w:val="auto"/>
          <w:sz w:val="24"/>
        </w:rPr>
        <w:t>≤1</w:t>
      </w:r>
      <w:r>
        <w:rPr>
          <w:rFonts w:asciiTheme="minorHAnsi" w:hAnsiTheme="minorHAnsi" w:cstheme="minorHAnsi"/>
          <w:color w:val="auto"/>
          <w:sz w:val="24"/>
        </w:rPr>
        <w:t>.5</w:t>
      </w:r>
      <w:r w:rsidRPr="008B5AE4">
        <w:rPr>
          <w:rFonts w:asciiTheme="minorHAnsi" w:hAnsiTheme="minorHAnsi" w:cstheme="minorHAnsi"/>
          <w:color w:val="auto"/>
          <w:sz w:val="24"/>
        </w:rPr>
        <w:t>mg/L</w:t>
      </w:r>
      <w:r w:rsidRPr="008B5AE4">
        <w:rPr>
          <w:rFonts w:asciiTheme="minorHAnsi" w:cstheme="minorHAnsi"/>
          <w:color w:val="auto"/>
          <w:sz w:val="24"/>
        </w:rPr>
        <w:t>，总磷</w:t>
      </w:r>
      <w:r w:rsidRPr="008B5AE4">
        <w:rPr>
          <w:rFonts w:asciiTheme="minorHAnsi" w:hAnsiTheme="minorHAnsi" w:cstheme="minorHAnsi"/>
          <w:color w:val="auto"/>
          <w:sz w:val="24"/>
        </w:rPr>
        <w:t>≤0.</w:t>
      </w:r>
      <w:r>
        <w:rPr>
          <w:rFonts w:asciiTheme="minorHAnsi" w:hAnsiTheme="minorHAnsi" w:cstheme="minorHAnsi"/>
          <w:color w:val="auto"/>
          <w:sz w:val="24"/>
        </w:rPr>
        <w:t>3</w:t>
      </w:r>
      <w:r w:rsidRPr="008B5AE4">
        <w:rPr>
          <w:rFonts w:asciiTheme="minorHAnsi" w:hAnsiTheme="minorHAnsi" w:cstheme="minorHAnsi"/>
          <w:color w:val="auto"/>
          <w:sz w:val="24"/>
        </w:rPr>
        <w:t>mg/L</w:t>
      </w:r>
      <w:r w:rsidRPr="008B5AE4">
        <w:rPr>
          <w:rFonts w:asciiTheme="minorHAnsi" w:cstheme="minorHAnsi"/>
          <w:color w:val="auto"/>
          <w:sz w:val="24"/>
        </w:rPr>
        <w:t>）。本项目在平顶山第三污水处理厂的收水范围内，</w:t>
      </w:r>
      <w:r w:rsidRPr="00DE09E8">
        <w:rPr>
          <w:rFonts w:asciiTheme="minorHAnsi" w:cstheme="minorHAnsi" w:hint="eastAsia"/>
          <w:color w:val="auto"/>
          <w:sz w:val="24"/>
        </w:rPr>
        <w:t>施工期</w:t>
      </w:r>
      <w:r w:rsidRPr="00DE09E8">
        <w:rPr>
          <w:rFonts w:asciiTheme="minorHAnsi" w:cstheme="minorHAnsi" w:hint="eastAsia"/>
          <w:color w:val="auto"/>
          <w:sz w:val="24"/>
        </w:rPr>
        <w:t>10</w:t>
      </w:r>
      <w:r w:rsidRPr="00DE09E8">
        <w:rPr>
          <w:rFonts w:asciiTheme="minorHAnsi" w:cstheme="minorHAnsi" w:hint="eastAsia"/>
          <w:color w:val="auto"/>
          <w:sz w:val="24"/>
        </w:rPr>
        <w:t>个月，预计</w:t>
      </w:r>
      <w:r w:rsidRPr="00DE09E8">
        <w:rPr>
          <w:rFonts w:asciiTheme="minorHAnsi" w:cstheme="minorHAnsi" w:hint="eastAsia"/>
          <w:color w:val="auto"/>
          <w:sz w:val="24"/>
        </w:rPr>
        <w:t>2023</w:t>
      </w:r>
      <w:r w:rsidRPr="00DE09E8">
        <w:rPr>
          <w:rFonts w:asciiTheme="minorHAnsi" w:cstheme="minorHAnsi" w:hint="eastAsia"/>
          <w:color w:val="auto"/>
          <w:sz w:val="24"/>
        </w:rPr>
        <w:t>年</w:t>
      </w:r>
      <w:r w:rsidR="00C81F40">
        <w:rPr>
          <w:rFonts w:asciiTheme="minorHAnsi" w:cstheme="minorHAnsi"/>
          <w:color w:val="auto"/>
          <w:sz w:val="24"/>
        </w:rPr>
        <w:t>8</w:t>
      </w:r>
      <w:r w:rsidRPr="00DE09E8">
        <w:rPr>
          <w:rFonts w:asciiTheme="minorHAnsi" w:cstheme="minorHAnsi" w:hint="eastAsia"/>
          <w:color w:val="auto"/>
          <w:sz w:val="24"/>
        </w:rPr>
        <w:t>月建成投产，届时平顶山第三污水处理厂已完成扩建工程和提标改造工程，项目废</w:t>
      </w:r>
      <w:r w:rsidRPr="008B5AE4">
        <w:rPr>
          <w:rFonts w:asciiTheme="minorHAnsi" w:hAnsiTheme="minorHAnsi" w:cstheme="minorHAnsi" w:hint="eastAsia"/>
          <w:color w:val="auto"/>
          <w:sz w:val="24"/>
        </w:rPr>
        <w:t>水可通过</w:t>
      </w:r>
      <w:r w:rsidR="00C81F40">
        <w:rPr>
          <w:rFonts w:asciiTheme="minorHAnsi" w:hAnsiTheme="minorHAnsi" w:cstheme="minorHAnsi" w:hint="eastAsia"/>
          <w:color w:val="auto"/>
          <w:sz w:val="24"/>
        </w:rPr>
        <w:t>化工</w:t>
      </w:r>
      <w:r w:rsidR="00C81F40">
        <w:rPr>
          <w:rFonts w:asciiTheme="minorHAnsi" w:hAnsiTheme="minorHAnsi" w:cstheme="minorHAnsi"/>
          <w:color w:val="auto"/>
          <w:sz w:val="24"/>
        </w:rPr>
        <w:t>三路</w:t>
      </w:r>
      <w:r w:rsidRPr="008B5AE4">
        <w:rPr>
          <w:rFonts w:asciiTheme="minorHAnsi" w:hAnsiTheme="minorHAnsi" w:cstheme="minorHAnsi" w:hint="eastAsia"/>
          <w:color w:val="auto"/>
          <w:sz w:val="24"/>
        </w:rPr>
        <w:t>市政污水管网排入第三污水处理厂集中处理。</w:t>
      </w:r>
    </w:p>
    <w:p w14:paraId="68A4AA1A" w14:textId="77777777" w:rsidR="002529E2" w:rsidRPr="00A964FF" w:rsidRDefault="002529E2" w:rsidP="002529E2">
      <w:pPr>
        <w:spacing w:line="520" w:lineRule="exact"/>
        <w:ind w:firstLineChars="200" w:firstLine="480"/>
        <w:textAlignment w:val="baseline"/>
        <w:rPr>
          <w:rFonts w:ascii="Calibri" w:hAnsi="Calibri"/>
          <w:color w:val="auto"/>
          <w:sz w:val="24"/>
        </w:rPr>
      </w:pPr>
      <w:r w:rsidRPr="00A964FF">
        <w:rPr>
          <w:rFonts w:ascii="Calibri" w:hAnsi="Calibri"/>
          <w:color w:val="auto"/>
          <w:sz w:val="24"/>
        </w:rPr>
        <w:t>3</w:t>
      </w:r>
      <w:r w:rsidRPr="00A964FF">
        <w:rPr>
          <w:rFonts w:ascii="Calibri"/>
          <w:color w:val="auto"/>
          <w:sz w:val="24"/>
        </w:rPr>
        <w:t>）供电</w:t>
      </w:r>
    </w:p>
    <w:p w14:paraId="101E9C69" w14:textId="77777777" w:rsidR="002529E2" w:rsidRPr="00A964FF" w:rsidRDefault="00DF5B89" w:rsidP="00DF5B89">
      <w:pPr>
        <w:spacing w:line="520" w:lineRule="exact"/>
        <w:ind w:firstLineChars="200" w:firstLine="480"/>
        <w:textAlignment w:val="baseline"/>
        <w:rPr>
          <w:rFonts w:ascii="Calibri"/>
          <w:color w:val="auto"/>
          <w:sz w:val="24"/>
        </w:rPr>
      </w:pPr>
      <w:r w:rsidRPr="00DF5B89">
        <w:rPr>
          <w:rFonts w:ascii="Calibri" w:hint="eastAsia"/>
          <w:color w:val="auto"/>
          <w:sz w:val="24"/>
        </w:rPr>
        <w:t>平顶山市内现有主要电厂四个，即姚孟电厂、平顶山电厂、三和热电厂、平煤坑口电厂，其中姚孟电厂装机容量为</w:t>
      </w:r>
      <w:r w:rsidRPr="00DF5B89">
        <w:rPr>
          <w:rFonts w:ascii="Calibri" w:hint="eastAsia"/>
          <w:color w:val="auto"/>
          <w:sz w:val="24"/>
        </w:rPr>
        <w:t>1200MW</w:t>
      </w:r>
      <w:r w:rsidRPr="00DF5B89">
        <w:rPr>
          <w:rFonts w:ascii="Calibri" w:hint="eastAsia"/>
          <w:color w:val="auto"/>
          <w:sz w:val="24"/>
        </w:rPr>
        <w:t>、平顶山电厂</w:t>
      </w:r>
      <w:r w:rsidRPr="00DF5B89">
        <w:rPr>
          <w:rFonts w:ascii="Calibri" w:hint="eastAsia"/>
          <w:color w:val="auto"/>
          <w:sz w:val="24"/>
        </w:rPr>
        <w:t xml:space="preserve"> 225MW</w:t>
      </w:r>
      <w:r w:rsidRPr="00DF5B89">
        <w:rPr>
          <w:rFonts w:ascii="Calibri" w:hint="eastAsia"/>
          <w:color w:val="auto"/>
          <w:sz w:val="24"/>
        </w:rPr>
        <w:t>、三和热电厂</w:t>
      </w:r>
      <w:r w:rsidRPr="00DF5B89">
        <w:rPr>
          <w:rFonts w:ascii="Calibri" w:hint="eastAsia"/>
          <w:color w:val="auto"/>
          <w:sz w:val="24"/>
        </w:rPr>
        <w:t>60MW</w:t>
      </w:r>
      <w:r w:rsidRPr="00DF5B89">
        <w:rPr>
          <w:rFonts w:ascii="Calibri" w:hint="eastAsia"/>
          <w:color w:val="auto"/>
          <w:sz w:val="24"/>
        </w:rPr>
        <w:t>、坑口电厂</w:t>
      </w:r>
      <w:r w:rsidRPr="00DF5B89">
        <w:rPr>
          <w:rFonts w:ascii="Calibri" w:hint="eastAsia"/>
          <w:color w:val="auto"/>
          <w:sz w:val="24"/>
        </w:rPr>
        <w:t>55MW</w:t>
      </w:r>
      <w:r w:rsidRPr="00DF5B89">
        <w:rPr>
          <w:rFonts w:ascii="Calibri" w:hint="eastAsia"/>
          <w:color w:val="auto"/>
          <w:sz w:val="24"/>
        </w:rPr>
        <w:t>。集聚区现状建设有一座常李</w:t>
      </w:r>
      <w:r>
        <w:rPr>
          <w:rFonts w:ascii="Calibri" w:hint="eastAsia"/>
          <w:color w:val="auto"/>
          <w:sz w:val="24"/>
        </w:rPr>
        <w:t>220kV</w:t>
      </w:r>
      <w:r w:rsidRPr="00DF5B89">
        <w:rPr>
          <w:rFonts w:ascii="Calibri" w:hint="eastAsia"/>
          <w:color w:val="auto"/>
          <w:sz w:val="24"/>
        </w:rPr>
        <w:t>变电站（主变</w:t>
      </w:r>
      <w:r>
        <w:rPr>
          <w:rFonts w:ascii="Calibri" w:hint="eastAsia"/>
          <w:color w:val="auto"/>
          <w:sz w:val="24"/>
        </w:rPr>
        <w:t>1</w:t>
      </w:r>
      <w:r w:rsidRPr="00DF5B89">
        <w:rPr>
          <w:rFonts w:ascii="Calibri" w:hint="eastAsia"/>
          <w:color w:val="auto"/>
          <w:sz w:val="24"/>
        </w:rPr>
        <w:t>台，容量</w:t>
      </w:r>
      <w:r w:rsidRPr="00DF5B89">
        <w:rPr>
          <w:rFonts w:ascii="Calibri" w:hint="eastAsia"/>
          <w:color w:val="auto"/>
          <w:sz w:val="24"/>
        </w:rPr>
        <w:t>240MVA</w:t>
      </w:r>
      <w:r w:rsidRPr="00DF5B89">
        <w:rPr>
          <w:rFonts w:ascii="Calibri" w:hint="eastAsia"/>
          <w:color w:val="auto"/>
          <w:sz w:val="24"/>
        </w:rPr>
        <w:t>），一座节庄</w:t>
      </w:r>
      <w:r>
        <w:rPr>
          <w:rFonts w:ascii="Calibri" w:hint="eastAsia"/>
          <w:color w:val="auto"/>
          <w:sz w:val="24"/>
        </w:rPr>
        <w:t>110kV</w:t>
      </w:r>
      <w:r w:rsidRPr="00DF5B89">
        <w:rPr>
          <w:rFonts w:ascii="Calibri" w:hint="eastAsia"/>
          <w:color w:val="auto"/>
          <w:sz w:val="24"/>
        </w:rPr>
        <w:t>变电站（主变</w:t>
      </w:r>
      <w:r>
        <w:rPr>
          <w:rFonts w:ascii="Calibri" w:hint="eastAsia"/>
          <w:color w:val="auto"/>
          <w:sz w:val="24"/>
        </w:rPr>
        <w:t>2</w:t>
      </w:r>
      <w:r w:rsidRPr="00DF5B89">
        <w:rPr>
          <w:rFonts w:ascii="Calibri" w:hint="eastAsia"/>
          <w:color w:val="auto"/>
          <w:sz w:val="24"/>
        </w:rPr>
        <w:t>台，容量</w:t>
      </w:r>
      <w:r w:rsidRPr="00DF5B89">
        <w:rPr>
          <w:rFonts w:ascii="Calibri" w:hint="eastAsia"/>
          <w:color w:val="auto"/>
          <w:sz w:val="24"/>
        </w:rPr>
        <w:t>50MVA</w:t>
      </w:r>
      <w:r w:rsidRPr="00DF5B89">
        <w:rPr>
          <w:rFonts w:ascii="Calibri" w:hint="eastAsia"/>
          <w:color w:val="auto"/>
          <w:sz w:val="24"/>
        </w:rPr>
        <w:t>）。其中，常李变电站电源分别引自</w:t>
      </w:r>
      <w:r>
        <w:rPr>
          <w:rFonts w:ascii="Calibri" w:hint="eastAsia"/>
          <w:color w:val="auto"/>
          <w:sz w:val="24"/>
        </w:rPr>
        <w:t>500KV</w:t>
      </w:r>
      <w:r w:rsidRPr="00DF5B89">
        <w:rPr>
          <w:rFonts w:ascii="Calibri" w:hint="eastAsia"/>
          <w:color w:val="auto"/>
          <w:sz w:val="24"/>
        </w:rPr>
        <w:t>湛河变和</w:t>
      </w:r>
      <w:r w:rsidRPr="00DF5B89">
        <w:rPr>
          <w:rFonts w:ascii="Calibri" w:hint="eastAsia"/>
          <w:color w:val="auto"/>
          <w:sz w:val="24"/>
        </w:rPr>
        <w:t>220KV</w:t>
      </w:r>
      <w:r w:rsidRPr="00DF5B89">
        <w:rPr>
          <w:rFonts w:ascii="Calibri" w:hint="eastAsia"/>
          <w:color w:val="auto"/>
          <w:sz w:val="24"/>
        </w:rPr>
        <w:t>计山变，设置</w:t>
      </w:r>
      <w:r w:rsidRPr="00DF5B89">
        <w:rPr>
          <w:rFonts w:ascii="Calibri" w:hint="eastAsia"/>
          <w:color w:val="auto"/>
          <w:sz w:val="24"/>
        </w:rPr>
        <w:t>1</w:t>
      </w:r>
      <w:r w:rsidRPr="00DF5B89">
        <w:rPr>
          <w:rFonts w:ascii="Calibri" w:hint="eastAsia"/>
          <w:color w:val="auto"/>
          <w:sz w:val="24"/>
        </w:rPr>
        <w:t>台</w:t>
      </w:r>
      <w:r>
        <w:rPr>
          <w:rFonts w:ascii="Calibri" w:hint="eastAsia"/>
          <w:color w:val="auto"/>
          <w:sz w:val="24"/>
        </w:rPr>
        <w:t>240MVA</w:t>
      </w:r>
      <w:r w:rsidRPr="00DF5B89">
        <w:rPr>
          <w:rFonts w:ascii="Calibri" w:hint="eastAsia"/>
          <w:color w:val="auto"/>
          <w:sz w:val="24"/>
        </w:rPr>
        <w:t>主变压器。</w:t>
      </w:r>
      <w:r w:rsidR="002529E2" w:rsidRPr="00A964FF">
        <w:rPr>
          <w:rFonts w:ascii="Calibri" w:hint="eastAsia"/>
          <w:color w:val="auto"/>
          <w:sz w:val="24"/>
        </w:rPr>
        <w:t>集聚区供电工程能够满足本项目需求。</w:t>
      </w:r>
    </w:p>
    <w:p w14:paraId="01633061" w14:textId="77777777" w:rsidR="002529E2" w:rsidRPr="00A964FF" w:rsidRDefault="002529E2" w:rsidP="002529E2">
      <w:pPr>
        <w:spacing w:line="520" w:lineRule="exact"/>
        <w:ind w:firstLineChars="200" w:firstLine="480"/>
        <w:textAlignment w:val="baseline"/>
        <w:rPr>
          <w:rFonts w:ascii="Calibri"/>
          <w:color w:val="auto"/>
          <w:sz w:val="24"/>
        </w:rPr>
      </w:pPr>
      <w:r w:rsidRPr="00A964FF">
        <w:rPr>
          <w:rFonts w:ascii="Calibri" w:hAnsi="Calibri"/>
          <w:color w:val="auto"/>
          <w:sz w:val="24"/>
        </w:rPr>
        <w:t>4</w:t>
      </w:r>
      <w:r w:rsidRPr="00A964FF">
        <w:rPr>
          <w:rFonts w:ascii="Calibri"/>
          <w:color w:val="auto"/>
          <w:sz w:val="24"/>
        </w:rPr>
        <w:t>）供热</w:t>
      </w:r>
    </w:p>
    <w:p w14:paraId="5543B09C" w14:textId="257AE5EE" w:rsidR="00DF5B89" w:rsidRDefault="00DF5B89" w:rsidP="00DF5B89">
      <w:pPr>
        <w:spacing w:line="520" w:lineRule="exact"/>
        <w:ind w:firstLineChars="200" w:firstLine="480"/>
        <w:textAlignment w:val="baseline"/>
        <w:rPr>
          <w:rFonts w:asciiTheme="minorHAnsi" w:eastAsiaTheme="minorEastAsia" w:hAnsiTheme="minorEastAsia" w:cstheme="minorHAnsi"/>
          <w:color w:val="auto"/>
          <w:sz w:val="24"/>
        </w:rPr>
      </w:pPr>
      <w:r w:rsidRPr="00DF5B89">
        <w:rPr>
          <w:rFonts w:asciiTheme="minorHAnsi" w:eastAsiaTheme="minorEastAsia" w:hAnsiTheme="minorEastAsia" w:cstheme="minorHAnsi" w:hint="eastAsia"/>
          <w:color w:val="auto"/>
          <w:sz w:val="24"/>
        </w:rPr>
        <w:t>集聚区主要热源为平煤神马集团尼龙科技公司热电站，现有</w:t>
      </w:r>
      <w:r>
        <w:rPr>
          <w:rFonts w:asciiTheme="minorHAnsi" w:eastAsiaTheme="minorEastAsia" w:hAnsiTheme="minorEastAsia" w:cstheme="minorHAnsi" w:hint="eastAsia"/>
          <w:color w:val="auto"/>
          <w:sz w:val="24"/>
        </w:rPr>
        <w:t>3</w:t>
      </w:r>
      <w:r w:rsidRPr="00DF5B89">
        <w:rPr>
          <w:rFonts w:asciiTheme="minorHAnsi" w:eastAsiaTheme="minorEastAsia" w:hAnsiTheme="minorEastAsia" w:cstheme="minorHAnsi" w:hint="eastAsia"/>
          <w:color w:val="auto"/>
          <w:sz w:val="24"/>
        </w:rPr>
        <w:t>台</w:t>
      </w:r>
      <w:r w:rsidR="001729AF">
        <w:rPr>
          <w:rFonts w:asciiTheme="minorHAnsi" w:eastAsiaTheme="minorEastAsia" w:hAnsiTheme="minorEastAsia" w:cstheme="minorHAnsi" w:hint="eastAsia"/>
          <w:color w:val="auto"/>
          <w:sz w:val="24"/>
        </w:rPr>
        <w:t>260</w:t>
      </w:r>
      <w:r w:rsidRPr="00DF5B89">
        <w:rPr>
          <w:rFonts w:asciiTheme="minorHAnsi" w:eastAsiaTheme="minorEastAsia" w:hAnsiTheme="minorEastAsia" w:cstheme="minorHAnsi" w:hint="eastAsia"/>
          <w:color w:val="auto"/>
          <w:sz w:val="24"/>
        </w:rPr>
        <w:t>吨</w:t>
      </w:r>
      <w:r w:rsidRPr="00DF5B89">
        <w:rPr>
          <w:rFonts w:asciiTheme="minorHAnsi" w:eastAsiaTheme="minorEastAsia" w:hAnsiTheme="minorEastAsia" w:cstheme="minorHAnsi" w:hint="eastAsia"/>
          <w:color w:val="auto"/>
          <w:sz w:val="24"/>
        </w:rPr>
        <w:t>/</w:t>
      </w:r>
      <w:r w:rsidRPr="00DF5B89">
        <w:rPr>
          <w:rFonts w:asciiTheme="minorHAnsi" w:eastAsiaTheme="minorEastAsia" w:hAnsiTheme="minorEastAsia" w:cstheme="minorHAnsi" w:hint="eastAsia"/>
          <w:color w:val="auto"/>
          <w:sz w:val="24"/>
        </w:rPr>
        <w:t>时的锅</w:t>
      </w:r>
      <w:r w:rsidRPr="00DF5B89">
        <w:rPr>
          <w:rFonts w:asciiTheme="minorHAnsi" w:eastAsiaTheme="minorEastAsia" w:hAnsiTheme="minorEastAsia" w:cstheme="minorHAnsi" w:hint="eastAsia"/>
          <w:color w:val="auto"/>
          <w:sz w:val="24"/>
        </w:rPr>
        <w:lastRenderedPageBreak/>
        <w:t>炉（</w:t>
      </w:r>
      <w:r>
        <w:rPr>
          <w:rFonts w:asciiTheme="minorHAnsi" w:eastAsiaTheme="minorEastAsia" w:hAnsiTheme="minorEastAsia" w:cstheme="minorHAnsi" w:hint="eastAsia"/>
          <w:color w:val="auto"/>
          <w:sz w:val="24"/>
        </w:rPr>
        <w:t>2</w:t>
      </w:r>
      <w:r w:rsidRPr="00DF5B89">
        <w:rPr>
          <w:rFonts w:asciiTheme="minorHAnsi" w:eastAsiaTheme="minorEastAsia" w:hAnsiTheme="minorEastAsia" w:cstheme="minorHAnsi" w:hint="eastAsia"/>
          <w:color w:val="auto"/>
          <w:sz w:val="24"/>
        </w:rPr>
        <w:t>用</w:t>
      </w:r>
      <w:r>
        <w:rPr>
          <w:rFonts w:asciiTheme="minorHAnsi" w:eastAsiaTheme="minorEastAsia" w:hAnsiTheme="minorEastAsia" w:cstheme="minorHAnsi" w:hint="eastAsia"/>
          <w:color w:val="auto"/>
          <w:sz w:val="24"/>
        </w:rPr>
        <w:t>1</w:t>
      </w:r>
      <w:r w:rsidRPr="00DF5B89">
        <w:rPr>
          <w:rFonts w:asciiTheme="minorHAnsi" w:eastAsiaTheme="minorEastAsia" w:hAnsiTheme="minorEastAsia" w:cstheme="minorHAnsi" w:hint="eastAsia"/>
          <w:color w:val="auto"/>
          <w:sz w:val="24"/>
        </w:rPr>
        <w:t>备），截至</w:t>
      </w:r>
      <w:r w:rsidR="00AD7758">
        <w:rPr>
          <w:rFonts w:asciiTheme="minorHAnsi" w:eastAsiaTheme="minorEastAsia" w:hAnsiTheme="minorEastAsia" w:cstheme="minorHAnsi" w:hint="eastAsia"/>
          <w:color w:val="auto"/>
          <w:sz w:val="24"/>
        </w:rPr>
        <w:t>2021</w:t>
      </w:r>
      <w:r w:rsidRPr="00DF5B89">
        <w:rPr>
          <w:rFonts w:asciiTheme="minorHAnsi" w:eastAsiaTheme="minorEastAsia" w:hAnsiTheme="minorEastAsia" w:cstheme="minorHAnsi" w:hint="eastAsia"/>
          <w:color w:val="auto"/>
          <w:sz w:val="24"/>
        </w:rPr>
        <w:t>年</w:t>
      </w:r>
      <w:r w:rsidR="00AD7758">
        <w:rPr>
          <w:rFonts w:asciiTheme="minorHAnsi" w:eastAsiaTheme="minorEastAsia" w:hAnsiTheme="minorEastAsia" w:cstheme="minorHAnsi" w:hint="eastAsia"/>
          <w:color w:val="auto"/>
          <w:sz w:val="24"/>
        </w:rPr>
        <w:t>11</w:t>
      </w:r>
      <w:r w:rsidRPr="00DF5B89">
        <w:rPr>
          <w:rFonts w:asciiTheme="minorHAnsi" w:eastAsiaTheme="minorEastAsia" w:hAnsiTheme="minorEastAsia" w:cstheme="minorHAnsi" w:hint="eastAsia"/>
          <w:color w:val="auto"/>
          <w:sz w:val="24"/>
        </w:rPr>
        <w:t>月份，该热源已向产业集聚区</w:t>
      </w:r>
      <w:r w:rsidR="00AD7758">
        <w:rPr>
          <w:rFonts w:asciiTheme="minorHAnsi" w:eastAsiaTheme="minorEastAsia" w:hAnsiTheme="minorEastAsia" w:cstheme="minorHAnsi" w:hint="eastAsia"/>
          <w:color w:val="auto"/>
          <w:sz w:val="24"/>
        </w:rPr>
        <w:t>15</w:t>
      </w:r>
      <w:r w:rsidRPr="00DF5B89">
        <w:rPr>
          <w:rFonts w:asciiTheme="minorHAnsi" w:eastAsiaTheme="minorEastAsia" w:hAnsiTheme="minorEastAsia" w:cstheme="minorHAnsi" w:hint="eastAsia"/>
          <w:color w:val="auto"/>
          <w:sz w:val="24"/>
        </w:rPr>
        <w:t>家热用户供热，除自用汽（</w:t>
      </w:r>
      <w:r w:rsidRPr="00DF5B89">
        <w:rPr>
          <w:rFonts w:asciiTheme="minorHAnsi" w:eastAsiaTheme="minorEastAsia" w:hAnsiTheme="minorEastAsia" w:cstheme="minorHAnsi" w:hint="eastAsia"/>
          <w:color w:val="auto"/>
          <w:sz w:val="24"/>
        </w:rPr>
        <w:t>217t/h</w:t>
      </w:r>
      <w:r w:rsidRPr="00DF5B89">
        <w:rPr>
          <w:rFonts w:asciiTheme="minorHAnsi" w:eastAsiaTheme="minorEastAsia" w:hAnsiTheme="minorEastAsia" w:cstheme="minorHAnsi" w:hint="eastAsia"/>
          <w:color w:val="auto"/>
          <w:sz w:val="24"/>
        </w:rPr>
        <w:t>）外，最大对外供汽量为</w:t>
      </w:r>
      <w:r w:rsidRPr="00DF5B89">
        <w:rPr>
          <w:rFonts w:asciiTheme="minorHAnsi" w:eastAsiaTheme="minorEastAsia" w:hAnsiTheme="minorEastAsia" w:cstheme="minorHAnsi" w:hint="eastAsia"/>
          <w:color w:val="auto"/>
          <w:sz w:val="24"/>
        </w:rPr>
        <w:t>269.5t/h</w:t>
      </w:r>
      <w:r w:rsidRPr="00DF5B89">
        <w:rPr>
          <w:rFonts w:asciiTheme="minorHAnsi" w:eastAsiaTheme="minorEastAsia" w:hAnsiTheme="minorEastAsia" w:cstheme="minorHAnsi" w:hint="eastAsia"/>
          <w:color w:val="auto"/>
          <w:sz w:val="24"/>
        </w:rPr>
        <w:t>。集聚区主要用热企业的供热管网基本覆盖，未开发区域的供热管网拟随着园区后续开发同步建设。后续神马</w:t>
      </w:r>
      <w:r>
        <w:rPr>
          <w:rFonts w:asciiTheme="minorHAnsi" w:eastAsiaTheme="minorEastAsia" w:hAnsiTheme="minorEastAsia" w:cstheme="minorHAnsi" w:hint="eastAsia"/>
          <w:color w:val="auto"/>
          <w:sz w:val="24"/>
        </w:rPr>
        <w:t xml:space="preserve"> 40</w:t>
      </w:r>
      <w:r w:rsidRPr="00DF5B89">
        <w:rPr>
          <w:rFonts w:asciiTheme="minorHAnsi" w:eastAsiaTheme="minorEastAsia" w:hAnsiTheme="minorEastAsia" w:cstheme="minorHAnsi" w:hint="eastAsia"/>
          <w:color w:val="auto"/>
          <w:sz w:val="24"/>
        </w:rPr>
        <w:t>万吨氢氨项目投产后，该热源已接近最大供热能力，集聚区亟需新增集中供热热源。</w:t>
      </w:r>
    </w:p>
    <w:p w14:paraId="20DB336E" w14:textId="77777777" w:rsidR="00DE09E8" w:rsidRPr="00BD4720" w:rsidRDefault="00E42672" w:rsidP="00BD4720">
      <w:pPr>
        <w:spacing w:line="520" w:lineRule="exact"/>
        <w:ind w:firstLineChars="200" w:firstLine="480"/>
        <w:textAlignment w:val="baseline"/>
        <w:rPr>
          <w:rFonts w:asciiTheme="minorHAnsi" w:eastAsiaTheme="minorEastAsia" w:hAnsiTheme="minorHAnsi" w:cstheme="minorHAnsi"/>
          <w:color w:val="auto"/>
          <w:sz w:val="24"/>
        </w:rPr>
      </w:pPr>
      <w:r w:rsidRPr="008B5AE4">
        <w:rPr>
          <w:rFonts w:asciiTheme="minorEastAsia" w:eastAsiaTheme="minorEastAsia" w:hAnsiTheme="minorEastAsia" w:hint="eastAsia"/>
          <w:color w:val="auto"/>
          <w:sz w:val="24"/>
        </w:rPr>
        <w:t>经调查，集聚区管廊工程正在建设中，管廊工程包括蒸汽管道，</w:t>
      </w:r>
      <w:r w:rsidRPr="00DE09E8">
        <w:rPr>
          <w:rFonts w:asciiTheme="minorHAnsi" w:eastAsiaTheme="minorEastAsia" w:hAnsiTheme="minorEastAsia" w:cstheme="minorHAnsi"/>
          <w:color w:val="auto"/>
          <w:sz w:val="24"/>
        </w:rPr>
        <w:t>该工程预计</w:t>
      </w:r>
      <w:r w:rsidRPr="00DE09E8">
        <w:rPr>
          <w:rFonts w:asciiTheme="minorHAnsi" w:eastAsiaTheme="minorEastAsia" w:hAnsiTheme="minorHAnsi" w:cstheme="minorHAnsi"/>
          <w:color w:val="auto"/>
          <w:sz w:val="24"/>
        </w:rPr>
        <w:t>2022</w:t>
      </w:r>
      <w:r w:rsidRPr="00DE09E8">
        <w:rPr>
          <w:rFonts w:asciiTheme="minorHAnsi" w:eastAsiaTheme="minorEastAsia" w:hAnsiTheme="minorEastAsia" w:cstheme="minorHAnsi"/>
          <w:color w:val="auto"/>
          <w:sz w:val="24"/>
        </w:rPr>
        <w:t>年年底建成</w:t>
      </w:r>
      <w:r w:rsidRPr="008B5AE4">
        <w:rPr>
          <w:rFonts w:asciiTheme="minorEastAsia" w:eastAsiaTheme="minorEastAsia" w:hAnsiTheme="minorEastAsia" w:hint="eastAsia"/>
          <w:color w:val="auto"/>
          <w:sz w:val="24"/>
        </w:rPr>
        <w:t>，</w:t>
      </w:r>
      <w:r w:rsidRPr="00DE09E8">
        <w:rPr>
          <w:rFonts w:asciiTheme="minorEastAsia" w:eastAsiaTheme="minorEastAsia" w:hAnsiTheme="minorEastAsia" w:hint="eastAsia"/>
          <w:color w:val="auto"/>
          <w:sz w:val="24"/>
        </w:rPr>
        <w:t>本项</w:t>
      </w:r>
      <w:r w:rsidRPr="00DE09E8">
        <w:rPr>
          <w:rFonts w:asciiTheme="minorHAnsi" w:eastAsiaTheme="minorEastAsia" w:hAnsiTheme="minorEastAsia" w:cstheme="minorHAnsi"/>
          <w:color w:val="auto"/>
          <w:sz w:val="24"/>
        </w:rPr>
        <w:t>目预计</w:t>
      </w:r>
      <w:r w:rsidRPr="00DE09E8">
        <w:rPr>
          <w:rFonts w:asciiTheme="minorHAnsi" w:eastAsiaTheme="minorEastAsia" w:hAnsiTheme="minorHAnsi" w:cstheme="minorHAnsi"/>
          <w:color w:val="auto"/>
          <w:sz w:val="24"/>
        </w:rPr>
        <w:t>2023</w:t>
      </w:r>
      <w:r w:rsidRPr="00DE09E8">
        <w:rPr>
          <w:rFonts w:asciiTheme="minorHAnsi" w:eastAsiaTheme="minorEastAsia" w:hAnsiTheme="minorEastAsia" w:cstheme="minorHAnsi"/>
          <w:color w:val="auto"/>
          <w:sz w:val="24"/>
        </w:rPr>
        <w:t>年</w:t>
      </w:r>
      <w:r w:rsidR="00BF0D68">
        <w:rPr>
          <w:rFonts w:asciiTheme="minorHAnsi" w:eastAsiaTheme="minorEastAsia" w:hAnsiTheme="minorHAnsi" w:cstheme="minorHAnsi"/>
          <w:color w:val="auto"/>
          <w:sz w:val="24"/>
        </w:rPr>
        <w:t>8</w:t>
      </w:r>
      <w:r w:rsidR="00DE09E8" w:rsidRPr="00DE09E8">
        <w:rPr>
          <w:rFonts w:asciiTheme="minorHAnsi" w:eastAsiaTheme="minorEastAsia" w:hAnsiTheme="minorEastAsia" w:cstheme="minorHAnsi"/>
          <w:color w:val="auto"/>
          <w:sz w:val="24"/>
        </w:rPr>
        <w:t>月</w:t>
      </w:r>
      <w:r w:rsidRPr="00DE09E8">
        <w:rPr>
          <w:rFonts w:asciiTheme="minorHAnsi" w:eastAsiaTheme="minorEastAsia" w:hAnsiTheme="minorEastAsia" w:cstheme="minorHAnsi"/>
          <w:color w:val="auto"/>
          <w:sz w:val="24"/>
        </w:rPr>
        <w:t>建成投产，届时，集聚区市政蒸汽管道已经铺设到位，利用集聚区市政蒸汽可行。</w:t>
      </w:r>
    </w:p>
    <w:p w14:paraId="1450D157" w14:textId="77777777" w:rsidR="007D18B0" w:rsidRDefault="007D18B0" w:rsidP="007D18B0">
      <w:pPr>
        <w:widowControl/>
        <w:spacing w:line="520" w:lineRule="exact"/>
        <w:ind w:firstLine="480"/>
        <w:jc w:val="left"/>
        <w:rPr>
          <w:rFonts w:ascii="Calibri" w:hAnsi="Calibri"/>
          <w:b/>
          <w:bCs/>
          <w:sz w:val="24"/>
        </w:rPr>
      </w:pPr>
      <w:r>
        <w:rPr>
          <w:rFonts w:ascii="Calibri" w:hAnsi="Calibri" w:hint="eastAsia"/>
          <w:b/>
          <w:bCs/>
          <w:sz w:val="24"/>
        </w:rPr>
        <w:t>5</w:t>
      </w:r>
      <w:r>
        <w:rPr>
          <w:rFonts w:ascii="Calibri" w:hAnsi="Calibri" w:hint="eastAsia"/>
          <w:b/>
          <w:bCs/>
          <w:sz w:val="24"/>
        </w:rPr>
        <w:t>、环境准入清单</w:t>
      </w:r>
    </w:p>
    <w:p w14:paraId="7B7BA9EE" w14:textId="77777777" w:rsidR="007D18B0" w:rsidRPr="00A964FF" w:rsidRDefault="007D18B0" w:rsidP="007D18B0">
      <w:pPr>
        <w:spacing w:line="520" w:lineRule="exact"/>
        <w:ind w:firstLineChars="200" w:firstLine="480"/>
        <w:rPr>
          <w:rFonts w:ascii="Calibri" w:eastAsia="黑体" w:hAnsi="Calibri"/>
          <w:color w:val="auto"/>
          <w:sz w:val="24"/>
        </w:rPr>
      </w:pPr>
      <w:r w:rsidRPr="007D18B0">
        <w:rPr>
          <w:rFonts w:asciiTheme="minorEastAsia" w:eastAsiaTheme="minorEastAsia" w:hAnsiTheme="minorEastAsia" w:hint="eastAsia"/>
          <w:color w:val="auto"/>
          <w:sz w:val="24"/>
        </w:rPr>
        <w:t>生态环境准入清单是基于环境管控单元，统筹考虑生态保护红线、环境质量底线、资源利用上线的管控要求，以清单形式提出的空间布局、污染物排放、环境风险防控、资源开发利用等方面生态环境准入要求。在满足河南省生态环境分区管控总体要求和平顶山市生态环境分区管控准入清单的基础上，对集聚区环境管控分区进行细化，分别对保护区域和重点管控区域提出准入清单，其中重点管控区域又依据园区规划主导产业、现行环保产业政策和相关环境管理要求，主要从产业发展、生产工艺与装备水平、空间布局约束、污染物排放管控、环境风险防控、资源开发利用六个方面制定了平顶山尼龙新材料产业集聚区生态环境准入清单</w:t>
      </w:r>
      <w:r>
        <w:rPr>
          <w:rFonts w:asciiTheme="minorEastAsia" w:eastAsiaTheme="minorEastAsia" w:hAnsiTheme="minorEastAsia" w:hint="eastAsia"/>
          <w:color w:val="auto"/>
          <w:sz w:val="24"/>
        </w:rPr>
        <w:t>，环境准入清单见</w:t>
      </w:r>
      <w:r w:rsidRPr="007D18B0">
        <w:rPr>
          <w:rFonts w:asciiTheme="minorEastAsia" w:eastAsiaTheme="minorEastAsia" w:hAnsiTheme="minorEastAsia"/>
          <w:color w:val="auto"/>
          <w:sz w:val="24"/>
        </w:rPr>
        <w:t>表</w:t>
      </w:r>
      <w:r w:rsidRPr="00A964FF">
        <w:rPr>
          <w:rFonts w:ascii="Calibri" w:eastAsia="黑体" w:hint="eastAsia"/>
          <w:color w:val="auto"/>
          <w:sz w:val="24"/>
        </w:rPr>
        <w:t>1.8-</w:t>
      </w:r>
      <w:r>
        <w:rPr>
          <w:rFonts w:ascii="Calibri" w:eastAsia="黑体" w:hAnsi="Calibri" w:hint="eastAsia"/>
          <w:color w:val="auto"/>
          <w:sz w:val="24"/>
        </w:rPr>
        <w:t>9</w:t>
      </w:r>
      <w:r>
        <w:rPr>
          <w:rFonts w:ascii="Calibri" w:eastAsia="黑体" w:hAnsi="Calibri" w:hint="eastAsia"/>
          <w:color w:val="auto"/>
          <w:sz w:val="24"/>
        </w:rPr>
        <w:t>。</w:t>
      </w:r>
    </w:p>
    <w:p w14:paraId="5232F98F" w14:textId="77777777" w:rsidR="007D18B0" w:rsidRDefault="007D18B0" w:rsidP="00FA4DEF">
      <w:pPr>
        <w:spacing w:line="520" w:lineRule="exact"/>
        <w:jc w:val="left"/>
        <w:rPr>
          <w:rFonts w:ascii="Calibri" w:hAnsi="Calibri"/>
          <w:b/>
          <w:bCs/>
          <w:color w:val="auto"/>
          <w:sz w:val="24"/>
        </w:rPr>
      </w:pPr>
    </w:p>
    <w:p w14:paraId="089CC496" w14:textId="77777777" w:rsidR="007D18B0" w:rsidRDefault="007D18B0" w:rsidP="007E06A4">
      <w:pPr>
        <w:spacing w:line="520" w:lineRule="exact"/>
        <w:ind w:firstLineChars="200" w:firstLine="482"/>
        <w:jc w:val="left"/>
        <w:rPr>
          <w:rFonts w:ascii="Calibri" w:hAnsi="Calibri"/>
          <w:b/>
          <w:bCs/>
          <w:color w:val="auto"/>
          <w:sz w:val="24"/>
        </w:rPr>
        <w:sectPr w:rsidR="007D18B0" w:rsidSect="00AC0F21">
          <w:headerReference w:type="even" r:id="rId15"/>
          <w:headerReference w:type="default" r:id="rId16"/>
          <w:footerReference w:type="even" r:id="rId17"/>
          <w:footerReference w:type="default" r:id="rId18"/>
          <w:pgSz w:w="11906" w:h="16838" w:code="9"/>
          <w:pgMar w:top="1440" w:right="1588" w:bottom="1440" w:left="1588" w:header="851" w:footer="992" w:gutter="0"/>
          <w:pgNumType w:start="1"/>
          <w:cols w:space="720"/>
          <w:docGrid w:linePitch="312"/>
        </w:sectPr>
      </w:pPr>
    </w:p>
    <w:p w14:paraId="012E559C" w14:textId="77777777" w:rsidR="007D18B0" w:rsidRDefault="007D18B0" w:rsidP="007D18B0">
      <w:pPr>
        <w:spacing w:line="520" w:lineRule="exact"/>
        <w:ind w:firstLineChars="650" w:firstLine="1560"/>
        <w:jc w:val="left"/>
        <w:rPr>
          <w:rFonts w:ascii="Calibri" w:hAnsi="Calibri"/>
          <w:b/>
          <w:bCs/>
          <w:color w:val="auto"/>
          <w:sz w:val="24"/>
        </w:rPr>
      </w:pPr>
      <w:r w:rsidRPr="007D18B0">
        <w:rPr>
          <w:rFonts w:ascii="黑体" w:eastAsia="黑体" w:hAnsi="黑体"/>
          <w:color w:val="auto"/>
          <w:sz w:val="24"/>
        </w:rPr>
        <w:lastRenderedPageBreak/>
        <w:t>表</w:t>
      </w:r>
      <w:r w:rsidRPr="00A964FF">
        <w:rPr>
          <w:rFonts w:ascii="Calibri" w:eastAsia="黑体" w:hint="eastAsia"/>
          <w:color w:val="auto"/>
          <w:sz w:val="24"/>
        </w:rPr>
        <w:t>1.8-</w:t>
      </w:r>
      <w:r>
        <w:rPr>
          <w:rFonts w:ascii="Calibri" w:eastAsia="黑体" w:hAnsi="Calibri" w:hint="eastAsia"/>
          <w:color w:val="auto"/>
          <w:sz w:val="24"/>
        </w:rPr>
        <w:t xml:space="preserve">9            </w:t>
      </w:r>
      <w:r w:rsidR="00BF0D68">
        <w:rPr>
          <w:rFonts w:ascii="Calibri" w:eastAsia="黑体" w:hAnsi="Calibri"/>
          <w:color w:val="auto"/>
          <w:sz w:val="24"/>
        </w:rPr>
        <w:t xml:space="preserve">    </w:t>
      </w:r>
      <w:r>
        <w:rPr>
          <w:rFonts w:ascii="Calibri" w:eastAsia="黑体" w:hAnsi="Calibri" w:hint="eastAsia"/>
          <w:color w:val="auto"/>
          <w:sz w:val="24"/>
        </w:rPr>
        <w:t xml:space="preserve"> </w:t>
      </w:r>
      <w:r w:rsidRPr="007D18B0">
        <w:rPr>
          <w:rFonts w:ascii="Calibri" w:eastAsia="黑体" w:hAnsi="Calibri" w:hint="eastAsia"/>
          <w:color w:val="auto"/>
          <w:sz w:val="24"/>
        </w:rPr>
        <w:t>平顶山尼龙新材料产业集聚区生态环境准入清单</w:t>
      </w:r>
    </w:p>
    <w:tbl>
      <w:tblPr>
        <w:tblW w:w="149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041"/>
        <w:gridCol w:w="1276"/>
        <w:gridCol w:w="6095"/>
        <w:gridCol w:w="4614"/>
        <w:gridCol w:w="1170"/>
      </w:tblGrid>
      <w:tr w:rsidR="007D18B0" w14:paraId="0C05C1A4" w14:textId="77777777" w:rsidTr="00566693">
        <w:trPr>
          <w:trHeight w:val="389"/>
          <w:jc w:val="center"/>
        </w:trPr>
        <w:tc>
          <w:tcPr>
            <w:tcW w:w="709" w:type="dxa"/>
            <w:vAlign w:val="center"/>
          </w:tcPr>
          <w:p w14:paraId="6996EE1A" w14:textId="77777777" w:rsidR="007D18B0" w:rsidRPr="00244DA5" w:rsidRDefault="007D18B0" w:rsidP="00F536A1">
            <w:pPr>
              <w:jc w:val="center"/>
              <w:rPr>
                <w:rFonts w:ascii="Calibri" w:hAnsi="Calibri"/>
                <w:caps/>
              </w:rPr>
            </w:pPr>
            <w:r w:rsidRPr="00244DA5">
              <w:rPr>
                <w:rFonts w:ascii="Calibri" w:hAnsi="Calibri" w:hint="eastAsia"/>
                <w:caps/>
              </w:rPr>
              <w:t>序号</w:t>
            </w:r>
          </w:p>
        </w:tc>
        <w:tc>
          <w:tcPr>
            <w:tcW w:w="1041" w:type="dxa"/>
            <w:vAlign w:val="center"/>
          </w:tcPr>
          <w:p w14:paraId="5E3950A2" w14:textId="77777777" w:rsidR="007D18B0" w:rsidRPr="00244DA5" w:rsidRDefault="007D18B0" w:rsidP="00F536A1">
            <w:pPr>
              <w:jc w:val="center"/>
              <w:rPr>
                <w:rFonts w:ascii="Calibri" w:hAnsi="Calibri"/>
                <w:caps/>
              </w:rPr>
            </w:pPr>
            <w:r>
              <w:rPr>
                <w:rFonts w:ascii="Calibri" w:hAnsi="Calibri" w:hint="eastAsia"/>
                <w:caps/>
              </w:rPr>
              <w:t>分区</w:t>
            </w:r>
          </w:p>
        </w:tc>
        <w:tc>
          <w:tcPr>
            <w:tcW w:w="1276" w:type="dxa"/>
            <w:vAlign w:val="center"/>
          </w:tcPr>
          <w:p w14:paraId="57D73F73" w14:textId="77777777" w:rsidR="007D18B0" w:rsidRPr="00244DA5" w:rsidRDefault="007D18B0" w:rsidP="00F536A1">
            <w:pPr>
              <w:jc w:val="center"/>
              <w:rPr>
                <w:rFonts w:ascii="Calibri" w:hAnsi="Calibri"/>
                <w:caps/>
              </w:rPr>
            </w:pPr>
            <w:r>
              <w:rPr>
                <w:rFonts w:ascii="Calibri" w:hAnsi="Calibri" w:hint="eastAsia"/>
                <w:caps/>
              </w:rPr>
              <w:t>类别</w:t>
            </w:r>
          </w:p>
        </w:tc>
        <w:tc>
          <w:tcPr>
            <w:tcW w:w="6095" w:type="dxa"/>
            <w:vAlign w:val="center"/>
          </w:tcPr>
          <w:p w14:paraId="77AA0E7E" w14:textId="77777777" w:rsidR="007D18B0" w:rsidRPr="00244DA5" w:rsidRDefault="00FA4DEF" w:rsidP="00F536A1">
            <w:pPr>
              <w:jc w:val="center"/>
              <w:rPr>
                <w:rFonts w:ascii="Calibri" w:hAnsi="Calibri"/>
                <w:caps/>
              </w:rPr>
            </w:pPr>
            <w:r>
              <w:rPr>
                <w:rFonts w:ascii="Calibri" w:hAnsi="Calibri" w:hint="eastAsia"/>
                <w:caps/>
              </w:rPr>
              <w:t>环境</w:t>
            </w:r>
            <w:r>
              <w:rPr>
                <w:rFonts w:ascii="Calibri" w:hAnsi="Calibri"/>
                <w:caps/>
              </w:rPr>
              <w:t>准入清单</w:t>
            </w:r>
          </w:p>
        </w:tc>
        <w:tc>
          <w:tcPr>
            <w:tcW w:w="4614" w:type="dxa"/>
            <w:vAlign w:val="center"/>
          </w:tcPr>
          <w:p w14:paraId="51FAF14E" w14:textId="77777777" w:rsidR="007D18B0" w:rsidRPr="00244DA5" w:rsidRDefault="007D18B0" w:rsidP="00F536A1">
            <w:pPr>
              <w:jc w:val="center"/>
              <w:rPr>
                <w:rFonts w:ascii="Calibri" w:hAnsi="Calibri"/>
                <w:caps/>
              </w:rPr>
            </w:pPr>
            <w:r w:rsidRPr="00244DA5">
              <w:rPr>
                <w:rFonts w:ascii="Calibri" w:hAnsi="Calibri" w:hint="eastAsia"/>
                <w:caps/>
              </w:rPr>
              <w:t>本项目情况</w:t>
            </w:r>
          </w:p>
        </w:tc>
        <w:tc>
          <w:tcPr>
            <w:tcW w:w="1170" w:type="dxa"/>
            <w:vAlign w:val="center"/>
          </w:tcPr>
          <w:p w14:paraId="23082F27" w14:textId="77777777" w:rsidR="007D18B0" w:rsidRPr="00244DA5" w:rsidRDefault="007D18B0" w:rsidP="00F536A1">
            <w:pPr>
              <w:jc w:val="center"/>
              <w:rPr>
                <w:rFonts w:ascii="Calibri" w:hAnsi="Calibri"/>
                <w:caps/>
              </w:rPr>
            </w:pPr>
            <w:r w:rsidRPr="00244DA5">
              <w:rPr>
                <w:rFonts w:ascii="Calibri" w:hAnsi="Calibri" w:hint="eastAsia"/>
                <w:caps/>
              </w:rPr>
              <w:t>是否符合准入</w:t>
            </w:r>
          </w:p>
        </w:tc>
      </w:tr>
      <w:tr w:rsidR="007D18B0" w14:paraId="55DB962F" w14:textId="77777777" w:rsidTr="00566693">
        <w:trPr>
          <w:trHeight w:val="389"/>
          <w:jc w:val="center"/>
        </w:trPr>
        <w:tc>
          <w:tcPr>
            <w:tcW w:w="709" w:type="dxa"/>
            <w:vAlign w:val="center"/>
          </w:tcPr>
          <w:p w14:paraId="53E25538" w14:textId="77777777" w:rsidR="007D18B0" w:rsidRPr="00244DA5" w:rsidRDefault="007D18B0" w:rsidP="00F536A1">
            <w:pPr>
              <w:jc w:val="center"/>
              <w:rPr>
                <w:rFonts w:ascii="Calibri" w:hAnsi="Calibri"/>
                <w:caps/>
              </w:rPr>
            </w:pPr>
            <w:r w:rsidRPr="00244DA5">
              <w:rPr>
                <w:rFonts w:ascii="Calibri" w:hAnsi="Calibri" w:hint="eastAsia"/>
                <w:caps/>
              </w:rPr>
              <w:t>1</w:t>
            </w:r>
          </w:p>
        </w:tc>
        <w:tc>
          <w:tcPr>
            <w:tcW w:w="1041" w:type="dxa"/>
            <w:vAlign w:val="center"/>
          </w:tcPr>
          <w:p w14:paraId="2CEC185E" w14:textId="77777777" w:rsidR="007D18B0" w:rsidRPr="00244DA5" w:rsidRDefault="007D18B0" w:rsidP="00F536A1">
            <w:pPr>
              <w:jc w:val="center"/>
              <w:rPr>
                <w:rFonts w:ascii="Calibri" w:hAnsi="Calibri"/>
                <w:caps/>
              </w:rPr>
            </w:pPr>
            <w:r>
              <w:rPr>
                <w:rFonts w:ascii="Calibri" w:hAnsi="Calibri" w:hint="eastAsia"/>
                <w:caps/>
              </w:rPr>
              <w:t>保护区域</w:t>
            </w:r>
          </w:p>
        </w:tc>
        <w:tc>
          <w:tcPr>
            <w:tcW w:w="1276" w:type="dxa"/>
            <w:vAlign w:val="center"/>
          </w:tcPr>
          <w:p w14:paraId="786F8B83" w14:textId="77777777" w:rsidR="001477FB" w:rsidRPr="001477FB" w:rsidRDefault="001477FB" w:rsidP="001477FB">
            <w:pPr>
              <w:jc w:val="center"/>
              <w:rPr>
                <w:rFonts w:ascii="Calibri" w:hAnsi="Calibri"/>
                <w:caps/>
              </w:rPr>
            </w:pPr>
            <w:r w:rsidRPr="001477FB">
              <w:rPr>
                <w:rFonts w:ascii="Calibri" w:hAnsi="Calibri" w:hint="eastAsia"/>
                <w:caps/>
              </w:rPr>
              <w:t>望娘楼、常</w:t>
            </w:r>
          </w:p>
          <w:p w14:paraId="6A4817B9" w14:textId="77777777" w:rsidR="007D18B0" w:rsidRPr="00244DA5" w:rsidRDefault="001477FB" w:rsidP="001477FB">
            <w:pPr>
              <w:jc w:val="center"/>
              <w:rPr>
                <w:rFonts w:ascii="Calibri" w:hAnsi="Calibri"/>
                <w:caps/>
              </w:rPr>
            </w:pPr>
            <w:r w:rsidRPr="001477FB">
              <w:rPr>
                <w:rFonts w:ascii="Calibri" w:hAnsi="Calibri" w:hint="eastAsia"/>
                <w:caps/>
              </w:rPr>
              <w:t>李东南岗遗址</w:t>
            </w:r>
          </w:p>
        </w:tc>
        <w:tc>
          <w:tcPr>
            <w:tcW w:w="6095" w:type="dxa"/>
            <w:vAlign w:val="center"/>
          </w:tcPr>
          <w:p w14:paraId="6AC30D37" w14:textId="77777777" w:rsidR="007D18B0" w:rsidRPr="00244DA5" w:rsidRDefault="00FA4DEF" w:rsidP="00FA4DEF">
            <w:pPr>
              <w:jc w:val="left"/>
              <w:rPr>
                <w:rFonts w:ascii="Calibri" w:hAnsi="Calibri"/>
                <w:caps/>
              </w:rPr>
            </w:pPr>
            <w:r w:rsidRPr="00FA4DEF">
              <w:rPr>
                <w:rFonts w:ascii="Calibri" w:hAnsi="Calibri" w:hint="eastAsia"/>
                <w:caps/>
              </w:rPr>
              <w:t>在文物保护单位的保护范围和建设控制地带内，不得建设污染文物保护单位及其环境的设施，不得进行可能影响文物保护单位安全及其环境的活动。对已有的污染文物保护单位及其环境的设施，应当限期治理。</w:t>
            </w:r>
          </w:p>
        </w:tc>
        <w:tc>
          <w:tcPr>
            <w:tcW w:w="4614" w:type="dxa"/>
            <w:vAlign w:val="center"/>
          </w:tcPr>
          <w:p w14:paraId="57DEDE3B" w14:textId="77777777" w:rsidR="007D18B0" w:rsidRPr="009A0104" w:rsidRDefault="00566693" w:rsidP="009A0104">
            <w:pPr>
              <w:jc w:val="center"/>
              <w:rPr>
                <w:rFonts w:asciiTheme="minorHAnsi" w:hAnsiTheme="minorHAnsi"/>
              </w:rPr>
            </w:pPr>
            <w:r w:rsidRPr="009A0104">
              <w:rPr>
                <w:rFonts w:asciiTheme="minorHAnsi" w:hAnsiTheme="minorHAnsi"/>
              </w:rPr>
              <w:t>本项目距离望娘楼</w:t>
            </w:r>
            <w:r w:rsidRPr="009A0104">
              <w:rPr>
                <w:rFonts w:asciiTheme="minorHAnsi" w:hAnsiTheme="minorHAnsi"/>
              </w:rPr>
              <w:t>710m</w:t>
            </w:r>
            <w:r w:rsidRPr="009A0104">
              <w:rPr>
                <w:rFonts w:asciiTheme="minorHAnsi" w:hAnsiTheme="minorHAnsi"/>
              </w:rPr>
              <w:t>，距离常李东南岗</w:t>
            </w:r>
            <w:r w:rsidR="009A0104" w:rsidRPr="009A0104">
              <w:rPr>
                <w:rFonts w:asciiTheme="minorHAnsi" w:hAnsiTheme="minorHAnsi"/>
              </w:rPr>
              <w:t>保护区</w:t>
            </w:r>
            <w:r w:rsidR="009A0104" w:rsidRPr="009A0104">
              <w:rPr>
                <w:rFonts w:asciiTheme="minorHAnsi" w:hAnsiTheme="minorHAnsi"/>
              </w:rPr>
              <w:t>230m</w:t>
            </w:r>
            <w:r w:rsidR="009A0104" w:rsidRPr="009A0104">
              <w:rPr>
                <w:rFonts w:asciiTheme="minorHAnsi" w:hAnsiTheme="minorHAnsi"/>
              </w:rPr>
              <w:t>，距离其建设控制地带</w:t>
            </w:r>
            <w:r w:rsidRPr="009A0104">
              <w:rPr>
                <w:rFonts w:asciiTheme="minorHAnsi" w:hAnsiTheme="minorHAnsi"/>
              </w:rPr>
              <w:t>90m</w:t>
            </w:r>
            <w:r w:rsidRPr="009A0104">
              <w:rPr>
                <w:rFonts w:asciiTheme="minorHAnsi" w:hAnsiTheme="minorHAnsi"/>
              </w:rPr>
              <w:t>，不在遗址文物保护单位的保护范围和建设控制地带内</w:t>
            </w:r>
          </w:p>
        </w:tc>
        <w:tc>
          <w:tcPr>
            <w:tcW w:w="1170" w:type="dxa"/>
            <w:vAlign w:val="center"/>
          </w:tcPr>
          <w:p w14:paraId="1C0062D0" w14:textId="77777777" w:rsidR="007D18B0" w:rsidRPr="00244DA5" w:rsidRDefault="007D18B0" w:rsidP="00F536A1">
            <w:pPr>
              <w:jc w:val="center"/>
              <w:rPr>
                <w:rFonts w:ascii="Calibri" w:hAnsi="Calibri"/>
                <w:caps/>
              </w:rPr>
            </w:pPr>
            <w:r w:rsidRPr="00244DA5">
              <w:rPr>
                <w:rFonts w:ascii="Calibri" w:hAnsi="Calibri" w:hint="eastAsia"/>
                <w:caps/>
              </w:rPr>
              <w:t>相符</w:t>
            </w:r>
          </w:p>
        </w:tc>
      </w:tr>
      <w:tr w:rsidR="007D18B0" w14:paraId="4D1CF450" w14:textId="77777777" w:rsidTr="00566693">
        <w:trPr>
          <w:trHeight w:val="795"/>
          <w:jc w:val="center"/>
        </w:trPr>
        <w:tc>
          <w:tcPr>
            <w:tcW w:w="709" w:type="dxa"/>
            <w:vAlign w:val="center"/>
          </w:tcPr>
          <w:p w14:paraId="641D73FF" w14:textId="77777777" w:rsidR="007D18B0" w:rsidRPr="00244DA5" w:rsidRDefault="007D18B0" w:rsidP="00F536A1">
            <w:pPr>
              <w:jc w:val="center"/>
              <w:rPr>
                <w:rFonts w:ascii="Calibri" w:hAnsi="Calibri"/>
                <w:caps/>
              </w:rPr>
            </w:pPr>
            <w:r w:rsidRPr="00244DA5">
              <w:rPr>
                <w:rFonts w:ascii="Calibri" w:hAnsi="Calibri" w:hint="eastAsia"/>
                <w:caps/>
              </w:rPr>
              <w:t>2</w:t>
            </w:r>
          </w:p>
        </w:tc>
        <w:tc>
          <w:tcPr>
            <w:tcW w:w="1041" w:type="dxa"/>
            <w:vAlign w:val="center"/>
          </w:tcPr>
          <w:p w14:paraId="58F7DF31" w14:textId="77777777" w:rsidR="007D18B0" w:rsidRPr="00244DA5" w:rsidRDefault="001477FB" w:rsidP="00FA4DEF">
            <w:pPr>
              <w:jc w:val="center"/>
              <w:rPr>
                <w:rFonts w:ascii="Calibri" w:hAnsi="Calibri"/>
                <w:caps/>
              </w:rPr>
            </w:pPr>
            <w:r w:rsidRPr="001477FB">
              <w:rPr>
                <w:rFonts w:ascii="Calibri" w:hAnsi="Calibri" w:hint="eastAsia"/>
                <w:caps/>
              </w:rPr>
              <w:t>一般管控区域</w:t>
            </w:r>
          </w:p>
        </w:tc>
        <w:tc>
          <w:tcPr>
            <w:tcW w:w="1276" w:type="dxa"/>
            <w:vAlign w:val="center"/>
          </w:tcPr>
          <w:p w14:paraId="383A47AC" w14:textId="77777777" w:rsidR="007D18B0" w:rsidRPr="00244DA5" w:rsidRDefault="001477FB" w:rsidP="001477FB">
            <w:pPr>
              <w:jc w:val="center"/>
              <w:rPr>
                <w:rFonts w:ascii="Calibri" w:hAnsi="Calibri"/>
                <w:caps/>
              </w:rPr>
            </w:pPr>
            <w:r w:rsidRPr="001477FB">
              <w:rPr>
                <w:rFonts w:ascii="Calibri" w:hAnsi="Calibri" w:hint="eastAsia"/>
                <w:caps/>
              </w:rPr>
              <w:t>环境敏感目标</w:t>
            </w:r>
          </w:p>
        </w:tc>
        <w:tc>
          <w:tcPr>
            <w:tcW w:w="6095" w:type="dxa"/>
            <w:vAlign w:val="center"/>
          </w:tcPr>
          <w:p w14:paraId="2EDC6867" w14:textId="77777777" w:rsidR="007D18B0" w:rsidRPr="00244DA5" w:rsidRDefault="00FA4DEF" w:rsidP="00FA4DEF">
            <w:pPr>
              <w:jc w:val="left"/>
              <w:rPr>
                <w:rFonts w:ascii="Calibri" w:hAnsi="Calibri"/>
                <w:caps/>
              </w:rPr>
            </w:pPr>
            <w:r w:rsidRPr="00FA4DEF">
              <w:rPr>
                <w:rFonts w:ascii="Calibri" w:hAnsi="Calibri" w:hint="eastAsia"/>
                <w:caps/>
              </w:rPr>
              <w:t>在大气环境防护距离和大气毒性终点浓度</w:t>
            </w:r>
            <w:r>
              <w:rPr>
                <w:rFonts w:ascii="Calibri" w:hAnsi="Calibri" w:hint="eastAsia"/>
                <w:caps/>
              </w:rPr>
              <w:t>-1</w:t>
            </w:r>
            <w:r w:rsidRPr="00FA4DEF">
              <w:rPr>
                <w:rFonts w:ascii="Calibri" w:hAnsi="Calibri" w:hint="eastAsia"/>
                <w:caps/>
              </w:rPr>
              <w:t>范围内禁止建设居住、教育、医疗等环境敏感区。</w:t>
            </w:r>
          </w:p>
        </w:tc>
        <w:tc>
          <w:tcPr>
            <w:tcW w:w="4614" w:type="dxa"/>
            <w:vAlign w:val="center"/>
          </w:tcPr>
          <w:p w14:paraId="589E05DE" w14:textId="77777777" w:rsidR="007D18B0" w:rsidRPr="00244DA5" w:rsidRDefault="00566693" w:rsidP="00566693">
            <w:pPr>
              <w:jc w:val="left"/>
              <w:rPr>
                <w:rFonts w:ascii="Calibri" w:hAnsi="Calibri"/>
                <w:caps/>
              </w:rPr>
            </w:pPr>
            <w:r>
              <w:rPr>
                <w:rFonts w:eastAsiaTheme="minorEastAsia" w:hint="eastAsia"/>
                <w:szCs w:val="21"/>
              </w:rPr>
              <w:t>本项目不设置大气环境防护距离，大气毒性重点浓度</w:t>
            </w:r>
            <w:r>
              <w:rPr>
                <w:rFonts w:eastAsiaTheme="minorEastAsia" w:hint="eastAsia"/>
                <w:szCs w:val="21"/>
              </w:rPr>
              <w:t>-1</w:t>
            </w:r>
            <w:r>
              <w:rPr>
                <w:rFonts w:eastAsiaTheme="minorEastAsia" w:hint="eastAsia"/>
                <w:szCs w:val="21"/>
              </w:rPr>
              <w:t>范围内无</w:t>
            </w:r>
            <w:r w:rsidRPr="005B64E1">
              <w:rPr>
                <w:rFonts w:eastAsiaTheme="minorEastAsia"/>
                <w:szCs w:val="21"/>
              </w:rPr>
              <w:t>居住、教育、医疗等环境敏感区</w:t>
            </w:r>
          </w:p>
        </w:tc>
        <w:tc>
          <w:tcPr>
            <w:tcW w:w="1170" w:type="dxa"/>
            <w:vAlign w:val="center"/>
          </w:tcPr>
          <w:p w14:paraId="4153F64E" w14:textId="77777777" w:rsidR="007D18B0" w:rsidRPr="00244DA5" w:rsidRDefault="007D18B0" w:rsidP="00F536A1">
            <w:pPr>
              <w:jc w:val="center"/>
              <w:rPr>
                <w:rFonts w:ascii="Calibri" w:hAnsi="Calibri"/>
                <w:caps/>
              </w:rPr>
            </w:pPr>
            <w:r w:rsidRPr="00244DA5">
              <w:rPr>
                <w:rFonts w:ascii="Calibri" w:hAnsi="Calibri" w:hint="eastAsia"/>
                <w:caps/>
              </w:rPr>
              <w:t>相符</w:t>
            </w:r>
          </w:p>
        </w:tc>
      </w:tr>
      <w:tr w:rsidR="00C61F85" w14:paraId="478E34F1" w14:textId="77777777" w:rsidTr="00566693">
        <w:trPr>
          <w:trHeight w:val="389"/>
          <w:jc w:val="center"/>
        </w:trPr>
        <w:tc>
          <w:tcPr>
            <w:tcW w:w="709" w:type="dxa"/>
            <w:vAlign w:val="center"/>
          </w:tcPr>
          <w:p w14:paraId="6AD58311" w14:textId="77777777" w:rsidR="00C61F85" w:rsidRPr="00244DA5" w:rsidRDefault="00C61F85" w:rsidP="00F536A1">
            <w:pPr>
              <w:jc w:val="center"/>
              <w:rPr>
                <w:rFonts w:ascii="Calibri" w:hAnsi="Calibri"/>
                <w:caps/>
              </w:rPr>
            </w:pPr>
            <w:r w:rsidRPr="00244DA5">
              <w:rPr>
                <w:rFonts w:ascii="Calibri" w:hAnsi="Calibri" w:hint="eastAsia"/>
                <w:caps/>
              </w:rPr>
              <w:t>3</w:t>
            </w:r>
          </w:p>
        </w:tc>
        <w:tc>
          <w:tcPr>
            <w:tcW w:w="1041" w:type="dxa"/>
            <w:vMerge w:val="restart"/>
            <w:vAlign w:val="center"/>
          </w:tcPr>
          <w:p w14:paraId="1C12137F" w14:textId="77777777" w:rsidR="00C61F85" w:rsidRPr="00244DA5" w:rsidRDefault="00C61F85" w:rsidP="00F536A1">
            <w:pPr>
              <w:jc w:val="center"/>
              <w:rPr>
                <w:rFonts w:ascii="Calibri" w:hAnsi="Calibri"/>
                <w:caps/>
              </w:rPr>
            </w:pPr>
            <w:r>
              <w:rPr>
                <w:rFonts w:ascii="Calibri" w:hAnsi="Calibri" w:hint="eastAsia"/>
                <w:caps/>
              </w:rPr>
              <w:t>重点管控区域</w:t>
            </w:r>
          </w:p>
        </w:tc>
        <w:tc>
          <w:tcPr>
            <w:tcW w:w="1276" w:type="dxa"/>
            <w:vMerge w:val="restart"/>
            <w:vAlign w:val="center"/>
          </w:tcPr>
          <w:p w14:paraId="7C82AD66" w14:textId="77777777" w:rsidR="00C61F85" w:rsidRPr="00244DA5" w:rsidRDefault="00C61F85" w:rsidP="00F536A1">
            <w:pPr>
              <w:jc w:val="center"/>
              <w:rPr>
                <w:rFonts w:ascii="Calibri" w:hAnsi="Calibri"/>
                <w:caps/>
              </w:rPr>
            </w:pPr>
            <w:r>
              <w:rPr>
                <w:rFonts w:ascii="Calibri" w:hAnsi="Calibri" w:hint="eastAsia"/>
                <w:caps/>
              </w:rPr>
              <w:t>产业发展</w:t>
            </w:r>
          </w:p>
        </w:tc>
        <w:tc>
          <w:tcPr>
            <w:tcW w:w="6095" w:type="dxa"/>
            <w:vAlign w:val="center"/>
          </w:tcPr>
          <w:p w14:paraId="3C432016" w14:textId="77777777" w:rsidR="00C61F85" w:rsidRPr="00244DA5" w:rsidRDefault="00C61F85" w:rsidP="00F536A1">
            <w:pPr>
              <w:jc w:val="center"/>
              <w:rPr>
                <w:rFonts w:ascii="Calibri" w:hAnsi="Calibri"/>
                <w:caps/>
              </w:rPr>
            </w:pPr>
            <w:r w:rsidRPr="001477FB">
              <w:rPr>
                <w:rFonts w:ascii="Calibri" w:hAnsi="Calibri" w:hint="eastAsia"/>
                <w:caps/>
              </w:rPr>
              <w:t>禁止入驻《产业结构调整指导目录》中淘汰类项目。</w:t>
            </w:r>
          </w:p>
        </w:tc>
        <w:tc>
          <w:tcPr>
            <w:tcW w:w="4614" w:type="dxa"/>
            <w:vAlign w:val="center"/>
          </w:tcPr>
          <w:p w14:paraId="7632B38C" w14:textId="4A99B682" w:rsidR="00C61F85" w:rsidRPr="00244DA5" w:rsidRDefault="009448F0" w:rsidP="009448F0">
            <w:pPr>
              <w:jc w:val="center"/>
              <w:rPr>
                <w:rFonts w:ascii="Calibri" w:hAnsi="Calibri"/>
                <w:caps/>
              </w:rPr>
            </w:pPr>
            <w:r>
              <w:rPr>
                <w:rFonts w:ascii="Calibri" w:hAnsi="Calibri" w:hint="eastAsia"/>
                <w:caps/>
              </w:rPr>
              <w:t>本项目</w:t>
            </w:r>
            <w:r w:rsidR="00C61F85">
              <w:rPr>
                <w:rFonts w:ascii="Calibri" w:hAnsi="Calibri" w:hint="eastAsia"/>
                <w:caps/>
              </w:rPr>
              <w:t>属于</w:t>
            </w:r>
            <w:r w:rsidR="00C61F85" w:rsidRPr="00C61F85">
              <w:rPr>
                <w:rFonts w:ascii="Calibri" w:hAnsi="Calibri" w:hint="eastAsia"/>
                <w:caps/>
              </w:rPr>
              <w:t>《产业结构调整指导目录》</w:t>
            </w:r>
            <w:r w:rsidR="00532683">
              <w:rPr>
                <w:rFonts w:ascii="Calibri" w:hAnsi="Calibri" w:hint="eastAsia"/>
                <w:caps/>
              </w:rPr>
              <w:t>（</w:t>
            </w:r>
            <w:r w:rsidR="00532683">
              <w:rPr>
                <w:rFonts w:ascii="Calibri" w:hAnsi="Calibri" w:hint="eastAsia"/>
                <w:caps/>
              </w:rPr>
              <w:t>2019</w:t>
            </w:r>
            <w:r w:rsidR="00532683">
              <w:rPr>
                <w:rFonts w:ascii="Calibri" w:hAnsi="Calibri" w:hint="eastAsia"/>
                <w:caps/>
              </w:rPr>
              <w:t>）</w:t>
            </w:r>
            <w:r w:rsidR="00C61F85" w:rsidRPr="00C61F85">
              <w:rPr>
                <w:rFonts w:ascii="Calibri" w:hAnsi="Calibri" w:hint="eastAsia"/>
                <w:caps/>
              </w:rPr>
              <w:t>中</w:t>
            </w:r>
            <w:r>
              <w:rPr>
                <w:rFonts w:ascii="Calibri" w:hAnsi="Calibri" w:hint="eastAsia"/>
                <w:caps/>
              </w:rPr>
              <w:t>鼓励</w:t>
            </w:r>
            <w:r w:rsidR="00566693">
              <w:rPr>
                <w:rFonts w:eastAsiaTheme="minorEastAsia" w:hint="eastAsia"/>
                <w:szCs w:val="21"/>
              </w:rPr>
              <w:t>类</w:t>
            </w:r>
          </w:p>
        </w:tc>
        <w:tc>
          <w:tcPr>
            <w:tcW w:w="1170" w:type="dxa"/>
            <w:vAlign w:val="center"/>
          </w:tcPr>
          <w:p w14:paraId="121EED9C" w14:textId="77777777" w:rsidR="00C61F85" w:rsidRPr="00244DA5" w:rsidRDefault="00C61F85" w:rsidP="00F536A1">
            <w:pPr>
              <w:jc w:val="center"/>
              <w:rPr>
                <w:rFonts w:ascii="Calibri" w:hAnsi="Calibri"/>
                <w:caps/>
              </w:rPr>
            </w:pPr>
            <w:r w:rsidRPr="00244DA5">
              <w:rPr>
                <w:rFonts w:ascii="Calibri" w:hAnsi="Calibri" w:hint="eastAsia"/>
                <w:caps/>
              </w:rPr>
              <w:t>相符</w:t>
            </w:r>
          </w:p>
        </w:tc>
      </w:tr>
      <w:tr w:rsidR="00C61F85" w14:paraId="3FE6DB87" w14:textId="77777777" w:rsidTr="00566693">
        <w:trPr>
          <w:trHeight w:val="389"/>
          <w:jc w:val="center"/>
        </w:trPr>
        <w:tc>
          <w:tcPr>
            <w:tcW w:w="709" w:type="dxa"/>
            <w:vAlign w:val="center"/>
          </w:tcPr>
          <w:p w14:paraId="3591CF07" w14:textId="77777777" w:rsidR="00C61F85" w:rsidRPr="00244DA5" w:rsidRDefault="00C61F85" w:rsidP="00F536A1">
            <w:pPr>
              <w:jc w:val="center"/>
              <w:rPr>
                <w:rFonts w:ascii="Calibri" w:hAnsi="Calibri"/>
                <w:caps/>
              </w:rPr>
            </w:pPr>
            <w:r w:rsidRPr="00244DA5">
              <w:rPr>
                <w:rFonts w:ascii="Calibri" w:hAnsi="Calibri" w:hint="eastAsia"/>
                <w:caps/>
              </w:rPr>
              <w:t>4</w:t>
            </w:r>
          </w:p>
        </w:tc>
        <w:tc>
          <w:tcPr>
            <w:tcW w:w="1041" w:type="dxa"/>
            <w:vMerge/>
            <w:vAlign w:val="center"/>
          </w:tcPr>
          <w:p w14:paraId="35C01257" w14:textId="77777777" w:rsidR="00C61F85" w:rsidRPr="00244DA5" w:rsidRDefault="00C61F85" w:rsidP="00F536A1">
            <w:pPr>
              <w:jc w:val="center"/>
              <w:rPr>
                <w:rFonts w:ascii="Calibri" w:hAnsi="Calibri"/>
                <w:caps/>
              </w:rPr>
            </w:pPr>
          </w:p>
        </w:tc>
        <w:tc>
          <w:tcPr>
            <w:tcW w:w="1276" w:type="dxa"/>
            <w:vMerge/>
            <w:vAlign w:val="center"/>
          </w:tcPr>
          <w:p w14:paraId="248C626F" w14:textId="77777777" w:rsidR="00C61F85" w:rsidRPr="00244DA5" w:rsidRDefault="00C61F85" w:rsidP="00F536A1">
            <w:pPr>
              <w:jc w:val="center"/>
              <w:rPr>
                <w:rFonts w:ascii="Calibri" w:hAnsi="Calibri"/>
                <w:caps/>
              </w:rPr>
            </w:pPr>
          </w:p>
        </w:tc>
        <w:tc>
          <w:tcPr>
            <w:tcW w:w="6095" w:type="dxa"/>
            <w:vAlign w:val="center"/>
          </w:tcPr>
          <w:p w14:paraId="38A8F319" w14:textId="77777777" w:rsidR="00C61F85" w:rsidRPr="00244DA5" w:rsidRDefault="00C61F85" w:rsidP="00F536A1">
            <w:pPr>
              <w:jc w:val="center"/>
              <w:rPr>
                <w:rFonts w:ascii="Calibri" w:hAnsi="Calibri"/>
                <w:caps/>
              </w:rPr>
            </w:pPr>
            <w:r w:rsidRPr="001477FB">
              <w:rPr>
                <w:rFonts w:ascii="Calibri" w:hAnsi="Calibri" w:hint="eastAsia"/>
                <w:caps/>
              </w:rPr>
              <w:t>禁止新建高毒性农药、农药原药制造等项目</w:t>
            </w:r>
          </w:p>
        </w:tc>
        <w:tc>
          <w:tcPr>
            <w:tcW w:w="4614" w:type="dxa"/>
            <w:vAlign w:val="center"/>
          </w:tcPr>
          <w:p w14:paraId="4482D774" w14:textId="77777777" w:rsidR="00C61F85" w:rsidRPr="00244DA5" w:rsidRDefault="00566693" w:rsidP="00532683">
            <w:pPr>
              <w:jc w:val="center"/>
              <w:rPr>
                <w:rFonts w:ascii="Calibri" w:hAnsi="Calibri"/>
                <w:caps/>
              </w:rPr>
            </w:pPr>
            <w:r>
              <w:rPr>
                <w:rFonts w:ascii="Calibri" w:hAnsi="Calibri" w:hint="eastAsia"/>
                <w:caps/>
              </w:rPr>
              <w:t>本项目</w:t>
            </w:r>
            <w:r>
              <w:rPr>
                <w:rFonts w:ascii="Calibri" w:hAnsi="Calibri"/>
                <w:caps/>
              </w:rPr>
              <w:t>为</w:t>
            </w:r>
            <w:r w:rsidRPr="0088215F">
              <w:rPr>
                <w:rFonts w:ascii="Calibri" w:hAnsi="Calibri" w:hint="eastAsia"/>
                <w:caps/>
              </w:rPr>
              <w:t>透明尼龙合成制造项目</w:t>
            </w:r>
            <w:r>
              <w:rPr>
                <w:rFonts w:ascii="Calibri" w:hAnsi="Calibri" w:hint="eastAsia"/>
                <w:caps/>
              </w:rPr>
              <w:t>，不属于</w:t>
            </w:r>
            <w:r w:rsidRPr="001477FB">
              <w:rPr>
                <w:rFonts w:ascii="Calibri" w:hAnsi="Calibri" w:hint="eastAsia"/>
                <w:caps/>
              </w:rPr>
              <w:t>高毒性农药、农药原药制造等项目</w:t>
            </w:r>
          </w:p>
        </w:tc>
        <w:tc>
          <w:tcPr>
            <w:tcW w:w="1170" w:type="dxa"/>
            <w:vAlign w:val="center"/>
          </w:tcPr>
          <w:p w14:paraId="6A906105" w14:textId="77777777" w:rsidR="00C61F85" w:rsidRPr="00244DA5" w:rsidRDefault="00C61F85" w:rsidP="00F536A1">
            <w:pPr>
              <w:jc w:val="center"/>
              <w:rPr>
                <w:rFonts w:ascii="Calibri" w:hAnsi="Calibri"/>
                <w:caps/>
              </w:rPr>
            </w:pPr>
            <w:r w:rsidRPr="00244DA5">
              <w:rPr>
                <w:rFonts w:ascii="Calibri" w:hAnsi="Calibri" w:hint="eastAsia"/>
                <w:caps/>
              </w:rPr>
              <w:t>相符</w:t>
            </w:r>
          </w:p>
        </w:tc>
      </w:tr>
      <w:tr w:rsidR="00C61F85" w14:paraId="1F188957" w14:textId="77777777" w:rsidTr="00566693">
        <w:trPr>
          <w:trHeight w:val="389"/>
          <w:jc w:val="center"/>
        </w:trPr>
        <w:tc>
          <w:tcPr>
            <w:tcW w:w="709" w:type="dxa"/>
            <w:vAlign w:val="center"/>
          </w:tcPr>
          <w:p w14:paraId="1680944D" w14:textId="77777777" w:rsidR="00C61F85" w:rsidRPr="00244DA5" w:rsidRDefault="00C61F85" w:rsidP="00F536A1">
            <w:pPr>
              <w:jc w:val="center"/>
              <w:rPr>
                <w:rFonts w:ascii="Calibri" w:hAnsi="Calibri"/>
                <w:caps/>
              </w:rPr>
            </w:pPr>
            <w:r w:rsidRPr="00244DA5">
              <w:rPr>
                <w:rFonts w:ascii="Calibri" w:hAnsi="Calibri" w:hint="eastAsia"/>
                <w:caps/>
              </w:rPr>
              <w:t>5</w:t>
            </w:r>
          </w:p>
        </w:tc>
        <w:tc>
          <w:tcPr>
            <w:tcW w:w="1041" w:type="dxa"/>
            <w:vMerge/>
            <w:vAlign w:val="center"/>
          </w:tcPr>
          <w:p w14:paraId="5DC601AC" w14:textId="77777777" w:rsidR="00C61F85" w:rsidRPr="00244DA5" w:rsidRDefault="00C61F85" w:rsidP="00F536A1">
            <w:pPr>
              <w:jc w:val="center"/>
              <w:rPr>
                <w:rFonts w:ascii="Calibri" w:hAnsi="Calibri"/>
                <w:caps/>
              </w:rPr>
            </w:pPr>
          </w:p>
        </w:tc>
        <w:tc>
          <w:tcPr>
            <w:tcW w:w="1276" w:type="dxa"/>
            <w:vMerge/>
            <w:vAlign w:val="center"/>
          </w:tcPr>
          <w:p w14:paraId="103B0A10" w14:textId="77777777" w:rsidR="00C61F85" w:rsidRPr="00244DA5" w:rsidRDefault="00C61F85" w:rsidP="00F536A1">
            <w:pPr>
              <w:jc w:val="center"/>
              <w:rPr>
                <w:rFonts w:ascii="Calibri" w:hAnsi="Calibri"/>
                <w:caps/>
              </w:rPr>
            </w:pPr>
          </w:p>
        </w:tc>
        <w:tc>
          <w:tcPr>
            <w:tcW w:w="6095" w:type="dxa"/>
            <w:vAlign w:val="center"/>
          </w:tcPr>
          <w:p w14:paraId="43FDD4D7" w14:textId="77777777" w:rsidR="00C61F85" w:rsidRPr="00244DA5" w:rsidRDefault="00566693" w:rsidP="00F536A1">
            <w:pPr>
              <w:jc w:val="center"/>
              <w:rPr>
                <w:rFonts w:ascii="Calibri" w:hAnsi="Calibri"/>
                <w:caps/>
              </w:rPr>
            </w:pPr>
            <w:r w:rsidRPr="00566693">
              <w:rPr>
                <w:rFonts w:ascii="Calibri" w:hAnsi="Calibri" w:hint="eastAsia"/>
                <w:caps/>
              </w:rPr>
              <w:t>原则上禁止新建、扩建单纯新增产能的传统煤化工（甲醇、合成氨）项目；原则上不新建燃煤自备锅炉、自备燃煤机组和燃料类煤气发生炉。</w:t>
            </w:r>
          </w:p>
        </w:tc>
        <w:tc>
          <w:tcPr>
            <w:tcW w:w="4614" w:type="dxa"/>
            <w:vAlign w:val="center"/>
          </w:tcPr>
          <w:p w14:paraId="7BDB0B74" w14:textId="77777777" w:rsidR="00C61F85" w:rsidRPr="00244DA5" w:rsidRDefault="00566693" w:rsidP="00F536A1">
            <w:pPr>
              <w:jc w:val="center"/>
              <w:rPr>
                <w:rFonts w:ascii="Calibri" w:hAnsi="Calibri"/>
                <w:caps/>
              </w:rPr>
            </w:pPr>
            <w:r w:rsidRPr="00566693">
              <w:rPr>
                <w:rFonts w:ascii="Calibri" w:hAnsi="Calibri" w:hint="eastAsia"/>
                <w:caps/>
              </w:rPr>
              <w:t>不涉及</w:t>
            </w:r>
          </w:p>
        </w:tc>
        <w:tc>
          <w:tcPr>
            <w:tcW w:w="1170" w:type="dxa"/>
            <w:vAlign w:val="center"/>
          </w:tcPr>
          <w:p w14:paraId="1D5348B2" w14:textId="77777777" w:rsidR="00C61F85" w:rsidRPr="00244DA5" w:rsidRDefault="00566693" w:rsidP="00F536A1">
            <w:pPr>
              <w:jc w:val="center"/>
              <w:rPr>
                <w:rFonts w:ascii="Calibri" w:hAnsi="Calibri"/>
                <w:caps/>
              </w:rPr>
            </w:pPr>
            <w:r>
              <w:rPr>
                <w:rFonts w:ascii="Calibri" w:hAnsi="Calibri" w:hint="eastAsia"/>
                <w:caps/>
              </w:rPr>
              <w:t>/</w:t>
            </w:r>
          </w:p>
        </w:tc>
      </w:tr>
      <w:tr w:rsidR="00C61F85" w14:paraId="7FF14320" w14:textId="77777777" w:rsidTr="00566693">
        <w:trPr>
          <w:trHeight w:val="389"/>
          <w:jc w:val="center"/>
        </w:trPr>
        <w:tc>
          <w:tcPr>
            <w:tcW w:w="709" w:type="dxa"/>
            <w:vAlign w:val="center"/>
          </w:tcPr>
          <w:p w14:paraId="0B599CAF" w14:textId="77777777" w:rsidR="00C61F85" w:rsidRPr="00244DA5" w:rsidRDefault="00C61F85" w:rsidP="00F536A1">
            <w:pPr>
              <w:jc w:val="center"/>
              <w:rPr>
                <w:rFonts w:ascii="Calibri" w:hAnsi="Calibri"/>
                <w:caps/>
              </w:rPr>
            </w:pPr>
            <w:r>
              <w:rPr>
                <w:rFonts w:ascii="Calibri" w:hAnsi="Calibri" w:hint="eastAsia"/>
                <w:caps/>
              </w:rPr>
              <w:t>6</w:t>
            </w:r>
          </w:p>
        </w:tc>
        <w:tc>
          <w:tcPr>
            <w:tcW w:w="1041" w:type="dxa"/>
            <w:vMerge/>
            <w:vAlign w:val="center"/>
          </w:tcPr>
          <w:p w14:paraId="07DCA365" w14:textId="77777777" w:rsidR="00C61F85" w:rsidRPr="00244DA5" w:rsidRDefault="00C61F85" w:rsidP="00F536A1">
            <w:pPr>
              <w:jc w:val="center"/>
              <w:rPr>
                <w:rFonts w:ascii="Calibri" w:hAnsi="Calibri"/>
                <w:caps/>
              </w:rPr>
            </w:pPr>
          </w:p>
        </w:tc>
        <w:tc>
          <w:tcPr>
            <w:tcW w:w="1276" w:type="dxa"/>
            <w:vMerge/>
            <w:vAlign w:val="center"/>
          </w:tcPr>
          <w:p w14:paraId="3675078C" w14:textId="77777777" w:rsidR="00C61F85" w:rsidRPr="00244DA5" w:rsidRDefault="00C61F85" w:rsidP="00F536A1">
            <w:pPr>
              <w:jc w:val="center"/>
              <w:rPr>
                <w:rFonts w:ascii="Calibri" w:hAnsi="Calibri"/>
                <w:caps/>
              </w:rPr>
            </w:pPr>
          </w:p>
        </w:tc>
        <w:tc>
          <w:tcPr>
            <w:tcW w:w="6095" w:type="dxa"/>
            <w:vAlign w:val="center"/>
          </w:tcPr>
          <w:p w14:paraId="42AF65FE" w14:textId="77777777" w:rsidR="00C61F85" w:rsidRPr="00244DA5" w:rsidRDefault="00C61F85" w:rsidP="001477FB">
            <w:pPr>
              <w:jc w:val="left"/>
              <w:rPr>
                <w:rFonts w:ascii="Calibri" w:hAnsi="Calibri"/>
                <w:caps/>
              </w:rPr>
            </w:pPr>
            <w:r w:rsidRPr="001477FB">
              <w:rPr>
                <w:rFonts w:ascii="Calibri" w:hAnsi="Calibri" w:hint="eastAsia"/>
                <w:caps/>
              </w:rPr>
              <w:t>新建、改建、扩建“两高”项目应采用先进的工艺技术和装备，国家、省绩效分级重点行业新建、扩建项目达到</w:t>
            </w:r>
            <w:r>
              <w:rPr>
                <w:rFonts w:ascii="Calibri" w:hAnsi="Calibri" w:hint="eastAsia"/>
                <w:caps/>
              </w:rPr>
              <w:t>A</w:t>
            </w:r>
            <w:r w:rsidRPr="001477FB">
              <w:rPr>
                <w:rFonts w:ascii="Calibri" w:hAnsi="Calibri" w:hint="eastAsia"/>
                <w:caps/>
              </w:rPr>
              <w:t>级水平，改建项目达到</w:t>
            </w:r>
            <w:r>
              <w:rPr>
                <w:rFonts w:ascii="Calibri" w:hAnsi="Calibri" w:hint="eastAsia"/>
                <w:caps/>
              </w:rPr>
              <w:t>B</w:t>
            </w:r>
            <w:r w:rsidRPr="001477FB">
              <w:rPr>
                <w:rFonts w:ascii="Calibri" w:hAnsi="Calibri" w:hint="eastAsia"/>
                <w:caps/>
              </w:rPr>
              <w:t>级以上水平。</w:t>
            </w:r>
          </w:p>
        </w:tc>
        <w:tc>
          <w:tcPr>
            <w:tcW w:w="4614" w:type="dxa"/>
            <w:vAlign w:val="center"/>
          </w:tcPr>
          <w:p w14:paraId="5DE89CD6" w14:textId="77777777" w:rsidR="00C61F85" w:rsidRPr="00566693" w:rsidRDefault="00566693" w:rsidP="00566693">
            <w:pPr>
              <w:jc w:val="center"/>
              <w:rPr>
                <w:rFonts w:asciiTheme="minorHAnsi" w:hAnsiTheme="minorHAnsi"/>
                <w:caps/>
              </w:rPr>
            </w:pPr>
            <w:r w:rsidRPr="00566693">
              <w:rPr>
                <w:rFonts w:asciiTheme="minorHAnsi" w:hAnsiTheme="minorHAnsi"/>
                <w:szCs w:val="21"/>
              </w:rPr>
              <w:t>本项目年综合能耗量小于</w:t>
            </w:r>
            <w:r w:rsidRPr="00566693">
              <w:rPr>
                <w:rFonts w:asciiTheme="minorHAnsi" w:hAnsiTheme="minorHAnsi"/>
                <w:szCs w:val="21"/>
              </w:rPr>
              <w:t>5</w:t>
            </w:r>
            <w:r w:rsidRPr="00566693">
              <w:rPr>
                <w:rFonts w:asciiTheme="minorHAnsi" w:hAnsiTheme="minorHAnsi"/>
                <w:szCs w:val="21"/>
              </w:rPr>
              <w:t>万吨标准煤，因此本次项目不属于</w:t>
            </w:r>
            <w:r w:rsidRPr="00566693">
              <w:rPr>
                <w:rFonts w:asciiTheme="minorHAnsi" w:hAnsiTheme="minorHAnsi" w:hint="eastAsia"/>
                <w:szCs w:val="21"/>
              </w:rPr>
              <w:t>“两高”</w:t>
            </w:r>
            <w:r w:rsidRPr="00566693">
              <w:rPr>
                <w:rFonts w:asciiTheme="minorHAnsi" w:hAnsiTheme="minorHAnsi"/>
                <w:szCs w:val="21"/>
              </w:rPr>
              <w:t>项目。根据项目行业类别，项目属</w:t>
            </w:r>
            <w:r w:rsidRPr="00566693">
              <w:rPr>
                <w:rFonts w:asciiTheme="minorHAnsi" w:hAnsiTheme="minorHAnsi"/>
                <w:szCs w:val="21"/>
              </w:rPr>
              <w:t>C265</w:t>
            </w:r>
            <w:r w:rsidRPr="00566693">
              <w:rPr>
                <w:rFonts w:asciiTheme="minorHAnsi" w:hAnsiTheme="minorHAnsi"/>
                <w:szCs w:val="21"/>
              </w:rPr>
              <w:t>合成材料制造中的</w:t>
            </w:r>
            <w:r w:rsidRPr="00566693">
              <w:rPr>
                <w:rFonts w:asciiTheme="minorHAnsi" w:hAnsiTheme="minorHAnsi"/>
                <w:szCs w:val="21"/>
              </w:rPr>
              <w:t>C2651</w:t>
            </w:r>
            <w:r w:rsidRPr="00566693">
              <w:rPr>
                <w:rFonts w:asciiTheme="minorHAnsi" w:hAnsiTheme="minorHAnsi"/>
                <w:szCs w:val="21"/>
              </w:rPr>
              <w:t>初级形态塑料及合成树脂制造，不属于</w:t>
            </w:r>
            <w:r w:rsidRPr="00566693">
              <w:rPr>
                <w:rFonts w:asciiTheme="minorHAnsi" w:eastAsiaTheme="minorEastAsia" w:hAnsiTheme="minorHAnsi"/>
                <w:szCs w:val="21"/>
              </w:rPr>
              <w:t>省绩效分级中的重点行业。</w:t>
            </w:r>
          </w:p>
        </w:tc>
        <w:tc>
          <w:tcPr>
            <w:tcW w:w="1170" w:type="dxa"/>
            <w:vAlign w:val="center"/>
          </w:tcPr>
          <w:p w14:paraId="3FD5963C" w14:textId="77777777" w:rsidR="00C61F85" w:rsidRPr="00F536A1" w:rsidRDefault="00F536A1" w:rsidP="00F536A1">
            <w:pPr>
              <w:jc w:val="center"/>
              <w:rPr>
                <w:rFonts w:ascii="Calibri" w:hAnsi="Calibri"/>
                <w:caps/>
              </w:rPr>
            </w:pPr>
            <w:r w:rsidRPr="00244DA5">
              <w:rPr>
                <w:rFonts w:ascii="Calibri" w:hAnsi="Calibri" w:hint="eastAsia"/>
                <w:caps/>
              </w:rPr>
              <w:t>相符</w:t>
            </w:r>
          </w:p>
        </w:tc>
      </w:tr>
      <w:tr w:rsidR="00C61F85" w14:paraId="09365592" w14:textId="77777777" w:rsidTr="00566693">
        <w:trPr>
          <w:trHeight w:val="389"/>
          <w:jc w:val="center"/>
        </w:trPr>
        <w:tc>
          <w:tcPr>
            <w:tcW w:w="709" w:type="dxa"/>
            <w:vAlign w:val="center"/>
          </w:tcPr>
          <w:p w14:paraId="65A91FD4" w14:textId="77777777" w:rsidR="00C61F85" w:rsidRDefault="00C61F85" w:rsidP="00F536A1">
            <w:pPr>
              <w:jc w:val="center"/>
              <w:rPr>
                <w:rFonts w:ascii="Calibri" w:hAnsi="Calibri"/>
                <w:caps/>
              </w:rPr>
            </w:pPr>
            <w:r>
              <w:rPr>
                <w:rFonts w:ascii="Calibri" w:hAnsi="Calibri" w:hint="eastAsia"/>
                <w:caps/>
              </w:rPr>
              <w:t>7</w:t>
            </w:r>
          </w:p>
        </w:tc>
        <w:tc>
          <w:tcPr>
            <w:tcW w:w="1041" w:type="dxa"/>
            <w:vMerge/>
            <w:vAlign w:val="center"/>
          </w:tcPr>
          <w:p w14:paraId="2436F5F0" w14:textId="77777777" w:rsidR="00C61F85" w:rsidRPr="00244DA5" w:rsidRDefault="00C61F85" w:rsidP="00F536A1">
            <w:pPr>
              <w:jc w:val="center"/>
              <w:rPr>
                <w:rFonts w:ascii="Calibri" w:hAnsi="Calibri"/>
                <w:caps/>
              </w:rPr>
            </w:pPr>
          </w:p>
        </w:tc>
        <w:tc>
          <w:tcPr>
            <w:tcW w:w="1276" w:type="dxa"/>
            <w:vMerge/>
            <w:vAlign w:val="center"/>
          </w:tcPr>
          <w:p w14:paraId="6B85BD92" w14:textId="77777777" w:rsidR="00C61F85" w:rsidRPr="00244DA5" w:rsidRDefault="00C61F85" w:rsidP="00F536A1">
            <w:pPr>
              <w:jc w:val="center"/>
              <w:rPr>
                <w:rFonts w:ascii="Calibri" w:hAnsi="Calibri"/>
                <w:caps/>
              </w:rPr>
            </w:pPr>
          </w:p>
        </w:tc>
        <w:tc>
          <w:tcPr>
            <w:tcW w:w="6095" w:type="dxa"/>
            <w:vAlign w:val="center"/>
          </w:tcPr>
          <w:p w14:paraId="04C66B86" w14:textId="77777777" w:rsidR="00C61F85" w:rsidRPr="00244DA5" w:rsidRDefault="00C61F85" w:rsidP="001477FB">
            <w:pPr>
              <w:jc w:val="center"/>
              <w:rPr>
                <w:rFonts w:ascii="Calibri" w:hAnsi="Calibri"/>
                <w:caps/>
              </w:rPr>
            </w:pPr>
            <w:r w:rsidRPr="001477FB">
              <w:rPr>
                <w:rFonts w:ascii="Calibri" w:hAnsi="Calibri" w:hint="eastAsia"/>
                <w:caps/>
              </w:rPr>
              <w:t>耗煤项目建设单位应当编制煤炭替代方案，作为节能报告编制及审查的重要内容。因建设内容调整造成煤炭消费量增加的，项目建设单位应在项目投产前，按相关要求落实煤炭替代新增量，编制煤炭替代补充方案，报送有权限的节能主管部门审查。耗煤项目投入生产使用前，建设单位应按照煤炭替代方案落实全部煤炭替代量，并经所在地人民政府相关部门审查认定出具意见。</w:t>
            </w:r>
          </w:p>
        </w:tc>
        <w:tc>
          <w:tcPr>
            <w:tcW w:w="4614" w:type="dxa"/>
            <w:vAlign w:val="center"/>
          </w:tcPr>
          <w:p w14:paraId="4B17B34B" w14:textId="77777777" w:rsidR="00C61F85" w:rsidRPr="00244DA5" w:rsidRDefault="00566693" w:rsidP="00F536A1">
            <w:pPr>
              <w:jc w:val="center"/>
              <w:rPr>
                <w:rFonts w:ascii="Calibri" w:hAnsi="Calibri"/>
                <w:caps/>
              </w:rPr>
            </w:pPr>
            <w:r w:rsidRPr="00566693">
              <w:rPr>
                <w:rFonts w:ascii="Calibri" w:hAnsi="Calibri" w:hint="eastAsia"/>
                <w:caps/>
              </w:rPr>
              <w:t>不涉及</w:t>
            </w:r>
          </w:p>
        </w:tc>
        <w:tc>
          <w:tcPr>
            <w:tcW w:w="1170" w:type="dxa"/>
            <w:vAlign w:val="center"/>
          </w:tcPr>
          <w:p w14:paraId="67462640" w14:textId="77777777" w:rsidR="00C61F85" w:rsidRPr="00244DA5" w:rsidRDefault="00566693" w:rsidP="00F536A1">
            <w:pPr>
              <w:jc w:val="center"/>
              <w:rPr>
                <w:rFonts w:ascii="Calibri" w:hAnsi="Calibri"/>
                <w:caps/>
              </w:rPr>
            </w:pPr>
            <w:r>
              <w:rPr>
                <w:rFonts w:ascii="Calibri" w:hAnsi="Calibri" w:hint="eastAsia"/>
                <w:caps/>
              </w:rPr>
              <w:t>/</w:t>
            </w:r>
          </w:p>
        </w:tc>
      </w:tr>
      <w:tr w:rsidR="00C61F85" w14:paraId="09BA183A" w14:textId="77777777" w:rsidTr="00566693">
        <w:trPr>
          <w:trHeight w:val="389"/>
          <w:jc w:val="center"/>
        </w:trPr>
        <w:tc>
          <w:tcPr>
            <w:tcW w:w="709" w:type="dxa"/>
            <w:vAlign w:val="center"/>
          </w:tcPr>
          <w:p w14:paraId="047D803C" w14:textId="77777777" w:rsidR="00C61F85" w:rsidRDefault="00C61F85" w:rsidP="00F536A1">
            <w:pPr>
              <w:jc w:val="center"/>
              <w:rPr>
                <w:rFonts w:ascii="Calibri" w:hAnsi="Calibri"/>
                <w:caps/>
              </w:rPr>
            </w:pPr>
            <w:r>
              <w:rPr>
                <w:rFonts w:ascii="Calibri" w:hAnsi="Calibri" w:hint="eastAsia"/>
                <w:caps/>
              </w:rPr>
              <w:t>8</w:t>
            </w:r>
          </w:p>
        </w:tc>
        <w:tc>
          <w:tcPr>
            <w:tcW w:w="1041" w:type="dxa"/>
            <w:vMerge/>
            <w:vAlign w:val="center"/>
          </w:tcPr>
          <w:p w14:paraId="5DAD2821" w14:textId="77777777" w:rsidR="00C61F85" w:rsidRPr="00244DA5" w:rsidRDefault="00C61F85" w:rsidP="00F536A1">
            <w:pPr>
              <w:jc w:val="center"/>
              <w:rPr>
                <w:rFonts w:ascii="Calibri" w:hAnsi="Calibri"/>
                <w:caps/>
              </w:rPr>
            </w:pPr>
          </w:p>
        </w:tc>
        <w:tc>
          <w:tcPr>
            <w:tcW w:w="1276" w:type="dxa"/>
            <w:vMerge/>
            <w:vAlign w:val="center"/>
          </w:tcPr>
          <w:p w14:paraId="56E96BE1" w14:textId="77777777" w:rsidR="00C61F85" w:rsidRPr="00244DA5" w:rsidRDefault="00C61F85" w:rsidP="00F536A1">
            <w:pPr>
              <w:jc w:val="center"/>
              <w:rPr>
                <w:rFonts w:ascii="Calibri" w:hAnsi="Calibri"/>
                <w:caps/>
              </w:rPr>
            </w:pPr>
          </w:p>
        </w:tc>
        <w:tc>
          <w:tcPr>
            <w:tcW w:w="6095" w:type="dxa"/>
            <w:vAlign w:val="center"/>
          </w:tcPr>
          <w:p w14:paraId="53DC742C" w14:textId="77777777" w:rsidR="00C61F85" w:rsidRPr="00244DA5" w:rsidRDefault="00C61F85" w:rsidP="00F536A1">
            <w:pPr>
              <w:jc w:val="center"/>
              <w:rPr>
                <w:rFonts w:ascii="Calibri" w:hAnsi="Calibri"/>
                <w:caps/>
              </w:rPr>
            </w:pPr>
            <w:r w:rsidRPr="001477FB">
              <w:rPr>
                <w:rFonts w:ascii="Calibri" w:hAnsi="Calibri" w:hint="eastAsia"/>
                <w:caps/>
              </w:rPr>
              <w:t>鼓励中水回用、污水深度治理等基础设施、资源综合利用项目入驻。</w:t>
            </w:r>
          </w:p>
        </w:tc>
        <w:tc>
          <w:tcPr>
            <w:tcW w:w="4614" w:type="dxa"/>
            <w:vAlign w:val="center"/>
          </w:tcPr>
          <w:p w14:paraId="4B61A93B" w14:textId="77777777" w:rsidR="00C61F85" w:rsidRPr="00244DA5" w:rsidRDefault="00566693" w:rsidP="00F536A1">
            <w:pPr>
              <w:jc w:val="center"/>
              <w:rPr>
                <w:rFonts w:ascii="Calibri" w:hAnsi="Calibri"/>
                <w:caps/>
              </w:rPr>
            </w:pPr>
            <w:r w:rsidRPr="00566693">
              <w:rPr>
                <w:rFonts w:ascii="Calibri" w:hAnsi="Calibri" w:hint="eastAsia"/>
                <w:caps/>
              </w:rPr>
              <w:t>不涉及</w:t>
            </w:r>
          </w:p>
        </w:tc>
        <w:tc>
          <w:tcPr>
            <w:tcW w:w="1170" w:type="dxa"/>
            <w:vAlign w:val="center"/>
          </w:tcPr>
          <w:p w14:paraId="7CA60FD3" w14:textId="77777777" w:rsidR="00C61F85" w:rsidRPr="00244DA5" w:rsidRDefault="00F536A1" w:rsidP="00F536A1">
            <w:pPr>
              <w:jc w:val="center"/>
              <w:rPr>
                <w:rFonts w:ascii="Calibri" w:hAnsi="Calibri"/>
                <w:caps/>
              </w:rPr>
            </w:pPr>
            <w:r>
              <w:rPr>
                <w:rFonts w:ascii="Calibri" w:hAnsi="Calibri" w:hint="eastAsia"/>
                <w:caps/>
              </w:rPr>
              <w:t>/</w:t>
            </w:r>
          </w:p>
        </w:tc>
      </w:tr>
      <w:tr w:rsidR="00C61F85" w14:paraId="7E6AA3D5" w14:textId="77777777" w:rsidTr="00566693">
        <w:trPr>
          <w:trHeight w:val="389"/>
          <w:jc w:val="center"/>
        </w:trPr>
        <w:tc>
          <w:tcPr>
            <w:tcW w:w="709" w:type="dxa"/>
            <w:vAlign w:val="center"/>
          </w:tcPr>
          <w:p w14:paraId="4340253D" w14:textId="77777777" w:rsidR="00C61F85" w:rsidRDefault="00C61F85" w:rsidP="00F536A1">
            <w:pPr>
              <w:jc w:val="center"/>
              <w:rPr>
                <w:rFonts w:ascii="Calibri" w:hAnsi="Calibri"/>
                <w:caps/>
              </w:rPr>
            </w:pPr>
            <w:r>
              <w:rPr>
                <w:rFonts w:ascii="Calibri" w:hAnsi="Calibri" w:hint="eastAsia"/>
                <w:caps/>
              </w:rPr>
              <w:t>9</w:t>
            </w:r>
          </w:p>
        </w:tc>
        <w:tc>
          <w:tcPr>
            <w:tcW w:w="1041" w:type="dxa"/>
            <w:vMerge/>
            <w:vAlign w:val="center"/>
          </w:tcPr>
          <w:p w14:paraId="0EE16988" w14:textId="77777777" w:rsidR="00C61F85" w:rsidRPr="00244DA5" w:rsidRDefault="00C61F85" w:rsidP="00F536A1">
            <w:pPr>
              <w:jc w:val="center"/>
              <w:rPr>
                <w:rFonts w:ascii="Calibri" w:hAnsi="Calibri"/>
                <w:caps/>
              </w:rPr>
            </w:pPr>
          </w:p>
        </w:tc>
        <w:tc>
          <w:tcPr>
            <w:tcW w:w="1276" w:type="dxa"/>
            <w:vAlign w:val="center"/>
          </w:tcPr>
          <w:p w14:paraId="789A4E1C" w14:textId="77777777" w:rsidR="00C61F85" w:rsidRPr="00244DA5" w:rsidRDefault="00C61F85" w:rsidP="001477FB">
            <w:pPr>
              <w:jc w:val="center"/>
              <w:rPr>
                <w:rFonts w:ascii="Calibri" w:hAnsi="Calibri"/>
                <w:caps/>
              </w:rPr>
            </w:pPr>
            <w:r w:rsidRPr="001477FB">
              <w:rPr>
                <w:rFonts w:ascii="Calibri" w:hAnsi="Calibri" w:hint="eastAsia"/>
                <w:caps/>
              </w:rPr>
              <w:t>生产工艺与装备水平</w:t>
            </w:r>
          </w:p>
        </w:tc>
        <w:tc>
          <w:tcPr>
            <w:tcW w:w="6095" w:type="dxa"/>
            <w:vAlign w:val="center"/>
          </w:tcPr>
          <w:p w14:paraId="52B381DB" w14:textId="77777777" w:rsidR="00C61F85" w:rsidRPr="001477FB" w:rsidRDefault="00C61F85" w:rsidP="001477FB">
            <w:pPr>
              <w:jc w:val="center"/>
              <w:rPr>
                <w:rFonts w:ascii="Calibri" w:hAnsi="Calibri"/>
                <w:caps/>
              </w:rPr>
            </w:pPr>
            <w:r w:rsidRPr="001477FB">
              <w:rPr>
                <w:rFonts w:ascii="Calibri" w:hAnsi="Calibri" w:hint="eastAsia"/>
                <w:caps/>
              </w:rPr>
              <w:t>新建企业的生产工艺、设备、污染治理技术、清洁生产水平均需达到同行业国内先进水平，否则禁止入驻。</w:t>
            </w:r>
          </w:p>
        </w:tc>
        <w:tc>
          <w:tcPr>
            <w:tcW w:w="4614" w:type="dxa"/>
            <w:vAlign w:val="center"/>
          </w:tcPr>
          <w:p w14:paraId="4B8987CC" w14:textId="77777777" w:rsidR="00C61F85" w:rsidRPr="00244DA5" w:rsidRDefault="00F536A1" w:rsidP="00F536A1">
            <w:pPr>
              <w:jc w:val="center"/>
              <w:rPr>
                <w:rFonts w:ascii="Calibri" w:hAnsi="Calibri"/>
                <w:caps/>
              </w:rPr>
            </w:pPr>
            <w:r>
              <w:rPr>
                <w:rFonts w:ascii="Calibri" w:hAnsi="Calibri" w:hint="eastAsia"/>
                <w:caps/>
              </w:rPr>
              <w:t>本项目</w:t>
            </w:r>
            <w:r w:rsidRPr="001477FB">
              <w:rPr>
                <w:rFonts w:ascii="Calibri" w:hAnsi="Calibri" w:hint="eastAsia"/>
                <w:caps/>
              </w:rPr>
              <w:t>生产工艺、设备、污染治理技术、清洁生产水平均需达到同行业国内先进水平</w:t>
            </w:r>
          </w:p>
        </w:tc>
        <w:tc>
          <w:tcPr>
            <w:tcW w:w="1170" w:type="dxa"/>
            <w:vAlign w:val="center"/>
          </w:tcPr>
          <w:p w14:paraId="762B83C2" w14:textId="77777777" w:rsidR="00C61F85" w:rsidRPr="00244DA5" w:rsidRDefault="00F536A1" w:rsidP="00F536A1">
            <w:pPr>
              <w:jc w:val="center"/>
              <w:rPr>
                <w:rFonts w:ascii="Calibri" w:hAnsi="Calibri"/>
                <w:caps/>
              </w:rPr>
            </w:pPr>
            <w:r w:rsidRPr="00244DA5">
              <w:rPr>
                <w:rFonts w:ascii="Calibri" w:hAnsi="Calibri" w:hint="eastAsia"/>
                <w:caps/>
              </w:rPr>
              <w:t>相符</w:t>
            </w:r>
          </w:p>
        </w:tc>
      </w:tr>
      <w:tr w:rsidR="00C61F85" w14:paraId="3CC11DBD" w14:textId="77777777" w:rsidTr="00566693">
        <w:trPr>
          <w:trHeight w:val="389"/>
          <w:jc w:val="center"/>
        </w:trPr>
        <w:tc>
          <w:tcPr>
            <w:tcW w:w="709" w:type="dxa"/>
            <w:vAlign w:val="center"/>
          </w:tcPr>
          <w:p w14:paraId="5C1C140B" w14:textId="77777777" w:rsidR="00C61F85" w:rsidRDefault="00C61F85" w:rsidP="00F536A1">
            <w:pPr>
              <w:jc w:val="center"/>
              <w:rPr>
                <w:rFonts w:ascii="Calibri" w:hAnsi="Calibri"/>
                <w:caps/>
              </w:rPr>
            </w:pPr>
            <w:r>
              <w:rPr>
                <w:rFonts w:ascii="Calibri" w:hAnsi="Calibri" w:hint="eastAsia"/>
                <w:caps/>
              </w:rPr>
              <w:lastRenderedPageBreak/>
              <w:t>10</w:t>
            </w:r>
          </w:p>
        </w:tc>
        <w:tc>
          <w:tcPr>
            <w:tcW w:w="1041" w:type="dxa"/>
            <w:vMerge/>
            <w:vAlign w:val="center"/>
          </w:tcPr>
          <w:p w14:paraId="3C39D8F7" w14:textId="77777777" w:rsidR="00C61F85" w:rsidRPr="00244DA5" w:rsidRDefault="00C61F85" w:rsidP="00F536A1">
            <w:pPr>
              <w:jc w:val="center"/>
              <w:rPr>
                <w:rFonts w:ascii="Calibri" w:hAnsi="Calibri"/>
                <w:caps/>
              </w:rPr>
            </w:pPr>
          </w:p>
        </w:tc>
        <w:tc>
          <w:tcPr>
            <w:tcW w:w="1276" w:type="dxa"/>
            <w:vMerge w:val="restart"/>
            <w:vAlign w:val="center"/>
          </w:tcPr>
          <w:p w14:paraId="124555F2" w14:textId="77777777" w:rsidR="00C61F85" w:rsidRPr="001477FB" w:rsidRDefault="00C61F85" w:rsidP="001477FB">
            <w:pPr>
              <w:jc w:val="center"/>
              <w:rPr>
                <w:rFonts w:ascii="Calibri" w:hAnsi="Calibri"/>
                <w:caps/>
              </w:rPr>
            </w:pPr>
            <w:r w:rsidRPr="001477FB">
              <w:rPr>
                <w:rFonts w:ascii="Calibri" w:hAnsi="Calibri" w:hint="eastAsia"/>
                <w:caps/>
              </w:rPr>
              <w:t>空间布局约束</w:t>
            </w:r>
          </w:p>
        </w:tc>
        <w:tc>
          <w:tcPr>
            <w:tcW w:w="6095" w:type="dxa"/>
            <w:vAlign w:val="center"/>
          </w:tcPr>
          <w:p w14:paraId="08FEF311" w14:textId="77777777" w:rsidR="00C61F85" w:rsidRPr="001477FB" w:rsidRDefault="00C61F85" w:rsidP="00F536A1">
            <w:pPr>
              <w:jc w:val="center"/>
              <w:rPr>
                <w:rFonts w:ascii="Calibri" w:hAnsi="Calibri"/>
                <w:caps/>
              </w:rPr>
            </w:pPr>
            <w:r w:rsidRPr="001477FB">
              <w:rPr>
                <w:rFonts w:ascii="Calibri" w:hAnsi="Calibri" w:hint="eastAsia"/>
                <w:caps/>
              </w:rPr>
              <w:t>禁止新建选址不符合“三线一单”和规划环评空间管控要求的项目入驻。</w:t>
            </w:r>
          </w:p>
        </w:tc>
        <w:tc>
          <w:tcPr>
            <w:tcW w:w="4614" w:type="dxa"/>
            <w:vAlign w:val="center"/>
          </w:tcPr>
          <w:p w14:paraId="37BF97F6" w14:textId="77777777" w:rsidR="00C61F85" w:rsidRPr="00244DA5" w:rsidRDefault="00F536A1" w:rsidP="00F536A1">
            <w:pPr>
              <w:jc w:val="center"/>
              <w:rPr>
                <w:rFonts w:ascii="Calibri" w:hAnsi="Calibri"/>
                <w:caps/>
              </w:rPr>
            </w:pPr>
            <w:r>
              <w:rPr>
                <w:rFonts w:ascii="Calibri" w:hAnsi="Calibri" w:hint="eastAsia"/>
                <w:caps/>
              </w:rPr>
              <w:t>本项目符合叶县“</w:t>
            </w:r>
            <w:r w:rsidRPr="001477FB">
              <w:rPr>
                <w:rFonts w:ascii="Calibri" w:hAnsi="Calibri" w:hint="eastAsia"/>
                <w:caps/>
              </w:rPr>
              <w:t>三线一单</w:t>
            </w:r>
            <w:r>
              <w:rPr>
                <w:rFonts w:ascii="Calibri" w:hAnsi="Calibri" w:hint="eastAsia"/>
                <w:caps/>
              </w:rPr>
              <w:t>”和规划环评管控要求</w:t>
            </w:r>
          </w:p>
        </w:tc>
        <w:tc>
          <w:tcPr>
            <w:tcW w:w="1170" w:type="dxa"/>
            <w:vAlign w:val="center"/>
          </w:tcPr>
          <w:p w14:paraId="4C358877" w14:textId="77777777" w:rsidR="00C61F85" w:rsidRPr="00244DA5" w:rsidRDefault="00F536A1" w:rsidP="00F536A1">
            <w:pPr>
              <w:jc w:val="center"/>
              <w:rPr>
                <w:rFonts w:ascii="Calibri" w:hAnsi="Calibri"/>
                <w:caps/>
              </w:rPr>
            </w:pPr>
            <w:r w:rsidRPr="00244DA5">
              <w:rPr>
                <w:rFonts w:ascii="Calibri" w:hAnsi="Calibri" w:hint="eastAsia"/>
                <w:caps/>
              </w:rPr>
              <w:t>相符</w:t>
            </w:r>
          </w:p>
        </w:tc>
      </w:tr>
      <w:tr w:rsidR="00C61F85" w14:paraId="72A50E3D" w14:textId="77777777" w:rsidTr="00566693">
        <w:trPr>
          <w:trHeight w:val="389"/>
          <w:jc w:val="center"/>
        </w:trPr>
        <w:tc>
          <w:tcPr>
            <w:tcW w:w="709" w:type="dxa"/>
            <w:vAlign w:val="center"/>
          </w:tcPr>
          <w:p w14:paraId="579EB3B3" w14:textId="77777777" w:rsidR="00C61F85" w:rsidRDefault="00C61F85" w:rsidP="00F536A1">
            <w:pPr>
              <w:jc w:val="center"/>
              <w:rPr>
                <w:rFonts w:ascii="Calibri" w:hAnsi="Calibri"/>
                <w:caps/>
              </w:rPr>
            </w:pPr>
            <w:r>
              <w:rPr>
                <w:rFonts w:ascii="Calibri" w:hAnsi="Calibri" w:hint="eastAsia"/>
                <w:caps/>
              </w:rPr>
              <w:t>11</w:t>
            </w:r>
          </w:p>
        </w:tc>
        <w:tc>
          <w:tcPr>
            <w:tcW w:w="1041" w:type="dxa"/>
            <w:vMerge/>
            <w:vAlign w:val="center"/>
          </w:tcPr>
          <w:p w14:paraId="7E60C446" w14:textId="77777777" w:rsidR="00C61F85" w:rsidRPr="00244DA5" w:rsidRDefault="00C61F85" w:rsidP="00F536A1">
            <w:pPr>
              <w:jc w:val="center"/>
              <w:rPr>
                <w:rFonts w:ascii="Calibri" w:hAnsi="Calibri"/>
                <w:caps/>
              </w:rPr>
            </w:pPr>
          </w:p>
        </w:tc>
        <w:tc>
          <w:tcPr>
            <w:tcW w:w="1276" w:type="dxa"/>
            <w:vMerge/>
            <w:vAlign w:val="center"/>
          </w:tcPr>
          <w:p w14:paraId="6156A0FF" w14:textId="77777777" w:rsidR="00C61F85" w:rsidRPr="00244DA5" w:rsidRDefault="00C61F85" w:rsidP="00F536A1">
            <w:pPr>
              <w:jc w:val="center"/>
              <w:rPr>
                <w:rFonts w:ascii="Calibri" w:hAnsi="Calibri"/>
                <w:caps/>
              </w:rPr>
            </w:pPr>
          </w:p>
        </w:tc>
        <w:tc>
          <w:tcPr>
            <w:tcW w:w="6095" w:type="dxa"/>
            <w:vAlign w:val="center"/>
          </w:tcPr>
          <w:p w14:paraId="536B424F" w14:textId="77777777" w:rsidR="00C61F85" w:rsidRPr="001477FB" w:rsidRDefault="00C61F85" w:rsidP="001477FB">
            <w:pPr>
              <w:jc w:val="center"/>
              <w:rPr>
                <w:rFonts w:ascii="Calibri" w:hAnsi="Calibri"/>
                <w:caps/>
              </w:rPr>
            </w:pPr>
            <w:r w:rsidRPr="001477FB">
              <w:rPr>
                <w:rFonts w:ascii="Calibri" w:hAnsi="Calibri" w:hint="eastAsia"/>
                <w:caps/>
              </w:rPr>
              <w:t>禁止入驻大气环境防护距离和大气毒性终点浓度</w:t>
            </w:r>
            <w:r w:rsidR="00F536A1">
              <w:rPr>
                <w:rFonts w:ascii="Calibri" w:hAnsi="Calibri" w:hint="eastAsia"/>
                <w:caps/>
              </w:rPr>
              <w:t>-1</w:t>
            </w:r>
            <w:r w:rsidRPr="001477FB">
              <w:rPr>
                <w:rFonts w:ascii="Calibri" w:hAnsi="Calibri" w:hint="eastAsia"/>
                <w:caps/>
              </w:rPr>
              <w:t>范围内涉及现有未搬迁和规划的居住、教育、医疗等用地的项目。</w:t>
            </w:r>
          </w:p>
        </w:tc>
        <w:tc>
          <w:tcPr>
            <w:tcW w:w="4614" w:type="dxa"/>
            <w:vAlign w:val="center"/>
          </w:tcPr>
          <w:p w14:paraId="54DBAB36" w14:textId="77777777" w:rsidR="00C61F85" w:rsidRPr="00244DA5" w:rsidRDefault="00566693" w:rsidP="006B496C">
            <w:pPr>
              <w:jc w:val="center"/>
              <w:rPr>
                <w:rFonts w:ascii="Calibri" w:hAnsi="Calibri"/>
                <w:caps/>
              </w:rPr>
            </w:pPr>
            <w:r w:rsidRPr="00566693">
              <w:rPr>
                <w:rFonts w:ascii="Calibri" w:hAnsi="Calibri" w:hint="eastAsia"/>
                <w:caps/>
              </w:rPr>
              <w:t>本项目不设置大气环境防护距离，</w:t>
            </w:r>
            <w:r w:rsidR="00BF0D68">
              <w:rPr>
                <w:rFonts w:ascii="Calibri" w:hAnsi="Calibri" w:hint="eastAsia"/>
                <w:caps/>
              </w:rPr>
              <w:t>本项目</w:t>
            </w:r>
            <w:r w:rsidR="00BF0D68">
              <w:rPr>
                <w:rFonts w:ascii="Calibri" w:hAnsi="Calibri"/>
                <w:caps/>
              </w:rPr>
              <w:t>环境风险</w:t>
            </w:r>
            <w:r w:rsidR="00BF0D68">
              <w:rPr>
                <w:rFonts w:ascii="Calibri" w:hAnsi="Calibri" w:hint="eastAsia"/>
                <w:caps/>
              </w:rPr>
              <w:t>级别</w:t>
            </w:r>
            <w:r w:rsidR="00BF0D68">
              <w:rPr>
                <w:rFonts w:ascii="Calibri" w:hAnsi="Calibri"/>
                <w:caps/>
              </w:rPr>
              <w:t>较低</w:t>
            </w:r>
            <w:r w:rsidR="006B496C">
              <w:rPr>
                <w:rFonts w:ascii="Calibri" w:hAnsi="Calibri" w:hint="eastAsia"/>
                <w:caps/>
              </w:rPr>
              <w:t>，</w:t>
            </w:r>
            <w:r w:rsidRPr="00566693">
              <w:rPr>
                <w:rFonts w:ascii="Calibri" w:hAnsi="Calibri" w:hint="eastAsia"/>
                <w:caps/>
              </w:rPr>
              <w:t>大气毒性重点浓度</w:t>
            </w:r>
            <w:r w:rsidRPr="00566693">
              <w:rPr>
                <w:rFonts w:ascii="Calibri" w:hAnsi="Calibri" w:hint="eastAsia"/>
                <w:caps/>
              </w:rPr>
              <w:t>-1</w:t>
            </w:r>
            <w:r w:rsidRPr="00566693">
              <w:rPr>
                <w:rFonts w:ascii="Calibri" w:hAnsi="Calibri" w:hint="eastAsia"/>
                <w:caps/>
              </w:rPr>
              <w:t>范围内无居住、教育、医疗等环境敏感区。</w:t>
            </w:r>
          </w:p>
        </w:tc>
        <w:tc>
          <w:tcPr>
            <w:tcW w:w="1170" w:type="dxa"/>
            <w:vAlign w:val="center"/>
          </w:tcPr>
          <w:p w14:paraId="0A4420A5" w14:textId="77777777" w:rsidR="00C61F85" w:rsidRPr="00244DA5" w:rsidRDefault="00F536A1" w:rsidP="00F536A1">
            <w:pPr>
              <w:jc w:val="center"/>
              <w:rPr>
                <w:rFonts w:ascii="Calibri" w:hAnsi="Calibri"/>
                <w:caps/>
              </w:rPr>
            </w:pPr>
            <w:r w:rsidRPr="00244DA5">
              <w:rPr>
                <w:rFonts w:ascii="Calibri" w:hAnsi="Calibri" w:hint="eastAsia"/>
                <w:caps/>
              </w:rPr>
              <w:t>相符</w:t>
            </w:r>
          </w:p>
        </w:tc>
      </w:tr>
      <w:tr w:rsidR="00C61F85" w14:paraId="0B30FD3F" w14:textId="77777777" w:rsidTr="00566693">
        <w:trPr>
          <w:trHeight w:val="389"/>
          <w:jc w:val="center"/>
        </w:trPr>
        <w:tc>
          <w:tcPr>
            <w:tcW w:w="709" w:type="dxa"/>
            <w:vAlign w:val="center"/>
          </w:tcPr>
          <w:p w14:paraId="4120321F" w14:textId="77777777" w:rsidR="00C61F85" w:rsidRDefault="00C61F85" w:rsidP="00F536A1">
            <w:pPr>
              <w:jc w:val="center"/>
              <w:rPr>
                <w:rFonts w:ascii="Calibri" w:hAnsi="Calibri"/>
                <w:caps/>
              </w:rPr>
            </w:pPr>
            <w:r>
              <w:rPr>
                <w:rFonts w:ascii="Calibri" w:hAnsi="Calibri" w:hint="eastAsia"/>
                <w:caps/>
              </w:rPr>
              <w:t>12</w:t>
            </w:r>
          </w:p>
        </w:tc>
        <w:tc>
          <w:tcPr>
            <w:tcW w:w="1041" w:type="dxa"/>
            <w:vMerge/>
            <w:vAlign w:val="center"/>
          </w:tcPr>
          <w:p w14:paraId="0B2FA1C3" w14:textId="77777777" w:rsidR="00C61F85" w:rsidRPr="00244DA5" w:rsidRDefault="00C61F85" w:rsidP="00F536A1">
            <w:pPr>
              <w:jc w:val="center"/>
              <w:rPr>
                <w:rFonts w:ascii="Calibri" w:hAnsi="Calibri"/>
                <w:caps/>
              </w:rPr>
            </w:pPr>
          </w:p>
        </w:tc>
        <w:tc>
          <w:tcPr>
            <w:tcW w:w="1276" w:type="dxa"/>
            <w:vMerge/>
            <w:vAlign w:val="center"/>
          </w:tcPr>
          <w:p w14:paraId="3D5D68CB" w14:textId="77777777" w:rsidR="00C61F85" w:rsidRPr="00244DA5" w:rsidRDefault="00C61F85" w:rsidP="00F536A1">
            <w:pPr>
              <w:jc w:val="center"/>
              <w:rPr>
                <w:rFonts w:ascii="Calibri" w:hAnsi="Calibri"/>
                <w:caps/>
              </w:rPr>
            </w:pPr>
          </w:p>
        </w:tc>
        <w:tc>
          <w:tcPr>
            <w:tcW w:w="6095" w:type="dxa"/>
            <w:vAlign w:val="center"/>
          </w:tcPr>
          <w:p w14:paraId="4389FB01" w14:textId="77777777" w:rsidR="00C61F85" w:rsidRPr="001477FB" w:rsidRDefault="00C61F85" w:rsidP="001477FB">
            <w:pPr>
              <w:jc w:val="center"/>
              <w:rPr>
                <w:rFonts w:ascii="Calibri" w:hAnsi="Calibri"/>
                <w:caps/>
              </w:rPr>
            </w:pPr>
            <w:r w:rsidRPr="001477FB">
              <w:rPr>
                <w:rFonts w:ascii="Calibri" w:hAnsi="Calibri" w:hint="eastAsia"/>
                <w:caps/>
              </w:rPr>
              <w:t>被列入建设用地土壤污染风险管控和修复名录的地块，不得作为住宅、公共管理和公共服务设施用地。</w:t>
            </w:r>
          </w:p>
        </w:tc>
        <w:tc>
          <w:tcPr>
            <w:tcW w:w="4614" w:type="dxa"/>
            <w:vAlign w:val="center"/>
          </w:tcPr>
          <w:p w14:paraId="1F6F253D" w14:textId="77777777" w:rsidR="00C61F85" w:rsidRPr="00244DA5" w:rsidRDefault="00566693" w:rsidP="00F536A1">
            <w:pPr>
              <w:jc w:val="center"/>
              <w:rPr>
                <w:rFonts w:ascii="Calibri" w:hAnsi="Calibri"/>
                <w:caps/>
              </w:rPr>
            </w:pPr>
            <w:r w:rsidRPr="00566693">
              <w:rPr>
                <w:rFonts w:ascii="Calibri" w:hAnsi="Calibri" w:hint="eastAsia"/>
                <w:caps/>
              </w:rPr>
              <w:t>不涉及</w:t>
            </w:r>
          </w:p>
        </w:tc>
        <w:tc>
          <w:tcPr>
            <w:tcW w:w="1170" w:type="dxa"/>
            <w:vAlign w:val="center"/>
          </w:tcPr>
          <w:p w14:paraId="05F460C4" w14:textId="77777777" w:rsidR="00C61F85" w:rsidRPr="00244DA5" w:rsidRDefault="00F536A1" w:rsidP="00F536A1">
            <w:pPr>
              <w:jc w:val="center"/>
              <w:rPr>
                <w:rFonts w:ascii="Calibri" w:hAnsi="Calibri"/>
                <w:caps/>
              </w:rPr>
            </w:pPr>
            <w:r>
              <w:rPr>
                <w:rFonts w:ascii="Calibri" w:hAnsi="Calibri" w:hint="eastAsia"/>
                <w:caps/>
              </w:rPr>
              <w:t>/</w:t>
            </w:r>
          </w:p>
        </w:tc>
      </w:tr>
      <w:tr w:rsidR="00C61F85" w14:paraId="7D0804C6" w14:textId="77777777" w:rsidTr="00566693">
        <w:trPr>
          <w:trHeight w:val="389"/>
          <w:jc w:val="center"/>
        </w:trPr>
        <w:tc>
          <w:tcPr>
            <w:tcW w:w="709" w:type="dxa"/>
            <w:vAlign w:val="center"/>
          </w:tcPr>
          <w:p w14:paraId="71701CA5" w14:textId="77777777" w:rsidR="00C61F85" w:rsidRDefault="00C61F85" w:rsidP="00F536A1">
            <w:pPr>
              <w:jc w:val="center"/>
              <w:rPr>
                <w:rFonts w:ascii="Calibri" w:hAnsi="Calibri"/>
                <w:caps/>
              </w:rPr>
            </w:pPr>
            <w:r>
              <w:rPr>
                <w:rFonts w:ascii="Calibri" w:hAnsi="Calibri" w:hint="eastAsia"/>
                <w:caps/>
              </w:rPr>
              <w:t>13</w:t>
            </w:r>
          </w:p>
        </w:tc>
        <w:tc>
          <w:tcPr>
            <w:tcW w:w="1041" w:type="dxa"/>
            <w:vMerge/>
            <w:vAlign w:val="center"/>
          </w:tcPr>
          <w:p w14:paraId="7507E012" w14:textId="77777777" w:rsidR="00C61F85" w:rsidRPr="00244DA5" w:rsidRDefault="00C61F85" w:rsidP="00F536A1">
            <w:pPr>
              <w:jc w:val="center"/>
              <w:rPr>
                <w:rFonts w:ascii="Calibri" w:hAnsi="Calibri"/>
                <w:caps/>
              </w:rPr>
            </w:pPr>
          </w:p>
        </w:tc>
        <w:tc>
          <w:tcPr>
            <w:tcW w:w="1276" w:type="dxa"/>
            <w:vMerge w:val="restart"/>
            <w:vAlign w:val="center"/>
          </w:tcPr>
          <w:p w14:paraId="4A2C15BD" w14:textId="77777777" w:rsidR="00C61F85" w:rsidRPr="00244DA5" w:rsidRDefault="00C61F85" w:rsidP="00C61F85">
            <w:pPr>
              <w:jc w:val="center"/>
              <w:rPr>
                <w:rFonts w:ascii="Calibri" w:hAnsi="Calibri"/>
                <w:caps/>
              </w:rPr>
            </w:pPr>
            <w:r w:rsidRPr="00C61F85">
              <w:rPr>
                <w:rFonts w:ascii="Calibri" w:hAnsi="Calibri" w:hint="eastAsia"/>
                <w:caps/>
              </w:rPr>
              <w:t>污染物排放管控</w:t>
            </w:r>
          </w:p>
        </w:tc>
        <w:tc>
          <w:tcPr>
            <w:tcW w:w="6095" w:type="dxa"/>
            <w:vAlign w:val="center"/>
          </w:tcPr>
          <w:p w14:paraId="184ACF9A" w14:textId="77777777" w:rsidR="00C61F85" w:rsidRPr="001477FB" w:rsidRDefault="00C61F85" w:rsidP="00F536A1">
            <w:pPr>
              <w:jc w:val="left"/>
              <w:rPr>
                <w:rFonts w:ascii="Calibri" w:hAnsi="Calibri"/>
                <w:caps/>
              </w:rPr>
            </w:pPr>
            <w:r w:rsidRPr="001477FB">
              <w:rPr>
                <w:rFonts w:ascii="Calibri" w:hAnsi="Calibri" w:hint="eastAsia"/>
                <w:caps/>
              </w:rPr>
              <w:t>入驻企业应根据污染物排放标准和相关环境管理要求，适时对企业生产及治污设施进行升级改造，满足达标排放、总量控制等环境管理要求，否则应予以逐步淘汰。</w:t>
            </w:r>
          </w:p>
        </w:tc>
        <w:tc>
          <w:tcPr>
            <w:tcW w:w="4614" w:type="dxa"/>
            <w:vAlign w:val="center"/>
          </w:tcPr>
          <w:p w14:paraId="090AF58E" w14:textId="77777777" w:rsidR="00C61F85" w:rsidRPr="00244DA5" w:rsidRDefault="00F536A1" w:rsidP="00F536A1">
            <w:pPr>
              <w:jc w:val="center"/>
              <w:rPr>
                <w:rFonts w:ascii="Calibri" w:hAnsi="Calibri"/>
                <w:caps/>
              </w:rPr>
            </w:pPr>
            <w:r w:rsidRPr="001477FB">
              <w:rPr>
                <w:rFonts w:ascii="Calibri" w:hAnsi="Calibri" w:hint="eastAsia"/>
                <w:caps/>
              </w:rPr>
              <w:t>根据污染物排放标准和相关环境管理要求，企业</w:t>
            </w:r>
            <w:r>
              <w:rPr>
                <w:rFonts w:ascii="Calibri" w:hAnsi="Calibri" w:hint="eastAsia"/>
                <w:caps/>
              </w:rPr>
              <w:t>应及时对</w:t>
            </w:r>
            <w:r w:rsidRPr="001477FB">
              <w:rPr>
                <w:rFonts w:ascii="Calibri" w:hAnsi="Calibri" w:hint="eastAsia"/>
                <w:caps/>
              </w:rPr>
              <w:t>生产及治污设施进行升级改造，满足达标排放、总量控制等环境管理要求</w:t>
            </w:r>
          </w:p>
        </w:tc>
        <w:tc>
          <w:tcPr>
            <w:tcW w:w="1170" w:type="dxa"/>
            <w:vAlign w:val="center"/>
          </w:tcPr>
          <w:p w14:paraId="047AFB51" w14:textId="77777777" w:rsidR="00C61F85" w:rsidRPr="00F536A1" w:rsidRDefault="00F536A1" w:rsidP="00F536A1">
            <w:pPr>
              <w:jc w:val="center"/>
              <w:rPr>
                <w:rFonts w:ascii="Calibri" w:hAnsi="Calibri"/>
                <w:caps/>
              </w:rPr>
            </w:pPr>
            <w:r w:rsidRPr="00244DA5">
              <w:rPr>
                <w:rFonts w:ascii="Calibri" w:hAnsi="Calibri" w:hint="eastAsia"/>
                <w:caps/>
              </w:rPr>
              <w:t>相符</w:t>
            </w:r>
          </w:p>
        </w:tc>
      </w:tr>
      <w:tr w:rsidR="00C61F85" w14:paraId="6A66137D" w14:textId="77777777" w:rsidTr="00566693">
        <w:trPr>
          <w:trHeight w:val="389"/>
          <w:jc w:val="center"/>
        </w:trPr>
        <w:tc>
          <w:tcPr>
            <w:tcW w:w="709" w:type="dxa"/>
            <w:vAlign w:val="center"/>
          </w:tcPr>
          <w:p w14:paraId="37AC2288" w14:textId="77777777" w:rsidR="00C61F85" w:rsidRDefault="00C61F85" w:rsidP="00F536A1">
            <w:pPr>
              <w:jc w:val="center"/>
              <w:rPr>
                <w:rFonts w:ascii="Calibri" w:hAnsi="Calibri"/>
                <w:caps/>
              </w:rPr>
            </w:pPr>
            <w:r>
              <w:rPr>
                <w:rFonts w:ascii="Calibri" w:hAnsi="Calibri" w:hint="eastAsia"/>
                <w:caps/>
              </w:rPr>
              <w:t>14</w:t>
            </w:r>
          </w:p>
        </w:tc>
        <w:tc>
          <w:tcPr>
            <w:tcW w:w="1041" w:type="dxa"/>
            <w:vMerge/>
            <w:vAlign w:val="center"/>
          </w:tcPr>
          <w:p w14:paraId="61B585F5" w14:textId="77777777" w:rsidR="00C61F85" w:rsidRPr="00244DA5" w:rsidRDefault="00C61F85" w:rsidP="00F536A1">
            <w:pPr>
              <w:jc w:val="center"/>
              <w:rPr>
                <w:rFonts w:ascii="Calibri" w:hAnsi="Calibri"/>
                <w:caps/>
              </w:rPr>
            </w:pPr>
          </w:p>
        </w:tc>
        <w:tc>
          <w:tcPr>
            <w:tcW w:w="1276" w:type="dxa"/>
            <w:vMerge/>
            <w:vAlign w:val="center"/>
          </w:tcPr>
          <w:p w14:paraId="0BE0FDF2" w14:textId="77777777" w:rsidR="00C61F85" w:rsidRPr="00244DA5" w:rsidRDefault="00C61F85" w:rsidP="00F536A1">
            <w:pPr>
              <w:jc w:val="center"/>
              <w:rPr>
                <w:rFonts w:ascii="Calibri" w:hAnsi="Calibri"/>
                <w:caps/>
              </w:rPr>
            </w:pPr>
          </w:p>
        </w:tc>
        <w:tc>
          <w:tcPr>
            <w:tcW w:w="6095" w:type="dxa"/>
            <w:vAlign w:val="center"/>
          </w:tcPr>
          <w:p w14:paraId="517ADCA5" w14:textId="77777777" w:rsidR="00C61F85" w:rsidRPr="001477FB" w:rsidRDefault="00C61F85" w:rsidP="00F536A1">
            <w:pPr>
              <w:jc w:val="left"/>
              <w:rPr>
                <w:rFonts w:ascii="Calibri" w:hAnsi="Calibri"/>
                <w:caps/>
              </w:rPr>
            </w:pPr>
            <w:r w:rsidRPr="001477FB">
              <w:rPr>
                <w:rFonts w:ascii="Calibri" w:hAnsi="Calibri" w:hint="eastAsia"/>
                <w:caps/>
              </w:rPr>
              <w:t>新建项目</w:t>
            </w:r>
            <w:r>
              <w:rPr>
                <w:rFonts w:ascii="Calibri" w:hAnsi="Calibri" w:hint="eastAsia"/>
                <w:caps/>
              </w:rPr>
              <w:t>VOC</w:t>
            </w:r>
            <w:r w:rsidRPr="001477FB">
              <w:rPr>
                <w:rFonts w:ascii="Calibri" w:hAnsi="Calibri" w:hint="eastAsia"/>
                <w:caps/>
                <w:vertAlign w:val="subscript"/>
              </w:rPr>
              <w:t>s</w:t>
            </w:r>
            <w:r w:rsidRPr="001477FB">
              <w:rPr>
                <w:rFonts w:ascii="Calibri" w:hAnsi="Calibri" w:hint="eastAsia"/>
                <w:caps/>
              </w:rPr>
              <w:t>排放需实行区域内等量或倍量削减替代。园区内涉及</w:t>
            </w:r>
            <w:r>
              <w:rPr>
                <w:rFonts w:ascii="Calibri" w:hAnsi="Calibri" w:hint="eastAsia"/>
                <w:caps/>
              </w:rPr>
              <w:t>VOC</w:t>
            </w:r>
            <w:r w:rsidRPr="001477FB">
              <w:rPr>
                <w:rFonts w:ascii="Calibri" w:hAnsi="Calibri" w:hint="eastAsia"/>
                <w:caps/>
                <w:vertAlign w:val="subscript"/>
              </w:rPr>
              <w:t>s</w:t>
            </w:r>
            <w:r w:rsidRPr="001477FB">
              <w:rPr>
                <w:rFonts w:ascii="Calibri" w:hAnsi="Calibri" w:hint="eastAsia"/>
                <w:caps/>
              </w:rPr>
              <w:t>废气排放的企业废气治理措施采用低温等离子体技术、</w:t>
            </w:r>
            <w:r>
              <w:rPr>
                <w:rFonts w:ascii="Calibri" w:hAnsi="Calibri" w:hint="eastAsia"/>
                <w:caps/>
              </w:rPr>
              <w:t>UV</w:t>
            </w:r>
            <w:r w:rsidRPr="001477FB">
              <w:rPr>
                <w:rFonts w:ascii="Calibri" w:hAnsi="Calibri" w:hint="eastAsia"/>
                <w:caps/>
              </w:rPr>
              <w:t>光催化氧化技术、活性炭吸附技术等两种或两种以上组合工艺，禁止使用单一吸附、催化氧化等处理技术。</w:t>
            </w:r>
          </w:p>
        </w:tc>
        <w:tc>
          <w:tcPr>
            <w:tcW w:w="4614" w:type="dxa"/>
            <w:vAlign w:val="center"/>
          </w:tcPr>
          <w:p w14:paraId="716F7477" w14:textId="77777777" w:rsidR="00C61F85" w:rsidRPr="00244DA5" w:rsidRDefault="00F536A1" w:rsidP="00566693">
            <w:pPr>
              <w:jc w:val="center"/>
              <w:rPr>
                <w:rFonts w:ascii="Calibri" w:hAnsi="Calibri"/>
                <w:caps/>
              </w:rPr>
            </w:pPr>
            <w:r>
              <w:rPr>
                <w:rFonts w:ascii="Calibri" w:hAnsi="Calibri" w:hint="eastAsia"/>
                <w:caps/>
              </w:rPr>
              <w:t>本项目工艺有机废气治理采用“</w:t>
            </w:r>
            <w:r w:rsidR="00566693">
              <w:rPr>
                <w:rFonts w:ascii="Calibri" w:hAnsi="Calibri" w:hint="eastAsia"/>
                <w:caps/>
              </w:rPr>
              <w:t>水喷淋</w:t>
            </w:r>
            <w:r w:rsidR="00566693">
              <w:rPr>
                <w:rFonts w:ascii="Calibri" w:hAnsi="Calibri"/>
                <w:caps/>
              </w:rPr>
              <w:t>塔</w:t>
            </w:r>
            <w:r>
              <w:rPr>
                <w:rFonts w:ascii="Calibri" w:hAnsi="Calibri" w:hint="eastAsia"/>
                <w:caps/>
              </w:rPr>
              <w:t>+</w:t>
            </w:r>
            <w:r>
              <w:rPr>
                <w:rFonts w:ascii="Calibri" w:hAnsi="Calibri" w:hint="eastAsia"/>
                <w:caps/>
              </w:rPr>
              <w:t>活性炭吸附”装置进行治理</w:t>
            </w:r>
          </w:p>
        </w:tc>
        <w:tc>
          <w:tcPr>
            <w:tcW w:w="1170" w:type="dxa"/>
            <w:vAlign w:val="center"/>
          </w:tcPr>
          <w:p w14:paraId="5BD3E0DB" w14:textId="77777777" w:rsidR="00C61F85" w:rsidRPr="00244DA5" w:rsidRDefault="00F536A1" w:rsidP="00F536A1">
            <w:pPr>
              <w:jc w:val="center"/>
              <w:rPr>
                <w:rFonts w:ascii="Calibri" w:hAnsi="Calibri"/>
                <w:caps/>
              </w:rPr>
            </w:pPr>
            <w:r w:rsidRPr="00244DA5">
              <w:rPr>
                <w:rFonts w:ascii="Calibri" w:hAnsi="Calibri" w:hint="eastAsia"/>
                <w:caps/>
              </w:rPr>
              <w:t>相符</w:t>
            </w:r>
          </w:p>
        </w:tc>
      </w:tr>
      <w:tr w:rsidR="00C61F85" w14:paraId="45708A8B" w14:textId="77777777" w:rsidTr="00566693">
        <w:trPr>
          <w:trHeight w:val="389"/>
          <w:jc w:val="center"/>
        </w:trPr>
        <w:tc>
          <w:tcPr>
            <w:tcW w:w="709" w:type="dxa"/>
            <w:vAlign w:val="center"/>
          </w:tcPr>
          <w:p w14:paraId="69068BC2" w14:textId="77777777" w:rsidR="00C61F85" w:rsidRDefault="00C61F85" w:rsidP="00F536A1">
            <w:pPr>
              <w:jc w:val="center"/>
              <w:rPr>
                <w:rFonts w:ascii="Calibri" w:hAnsi="Calibri"/>
                <w:caps/>
              </w:rPr>
            </w:pPr>
            <w:r>
              <w:rPr>
                <w:rFonts w:ascii="Calibri" w:hAnsi="Calibri" w:hint="eastAsia"/>
                <w:caps/>
              </w:rPr>
              <w:t>15</w:t>
            </w:r>
          </w:p>
        </w:tc>
        <w:tc>
          <w:tcPr>
            <w:tcW w:w="1041" w:type="dxa"/>
            <w:vMerge/>
            <w:vAlign w:val="center"/>
          </w:tcPr>
          <w:p w14:paraId="3B2C7A27" w14:textId="77777777" w:rsidR="00C61F85" w:rsidRPr="00244DA5" w:rsidRDefault="00C61F85" w:rsidP="00F536A1">
            <w:pPr>
              <w:jc w:val="center"/>
              <w:rPr>
                <w:rFonts w:ascii="Calibri" w:hAnsi="Calibri"/>
                <w:caps/>
              </w:rPr>
            </w:pPr>
          </w:p>
        </w:tc>
        <w:tc>
          <w:tcPr>
            <w:tcW w:w="1276" w:type="dxa"/>
            <w:vMerge/>
            <w:vAlign w:val="center"/>
          </w:tcPr>
          <w:p w14:paraId="3456FA7E" w14:textId="77777777" w:rsidR="00C61F85" w:rsidRPr="00244DA5" w:rsidRDefault="00C61F85" w:rsidP="00F536A1">
            <w:pPr>
              <w:jc w:val="center"/>
              <w:rPr>
                <w:rFonts w:ascii="Calibri" w:hAnsi="Calibri"/>
                <w:caps/>
              </w:rPr>
            </w:pPr>
          </w:p>
        </w:tc>
        <w:tc>
          <w:tcPr>
            <w:tcW w:w="6095" w:type="dxa"/>
            <w:vAlign w:val="center"/>
          </w:tcPr>
          <w:p w14:paraId="07D482D4" w14:textId="77777777" w:rsidR="00C61F85" w:rsidRPr="001477FB" w:rsidRDefault="00C61F85" w:rsidP="00C61F85">
            <w:pPr>
              <w:jc w:val="center"/>
              <w:rPr>
                <w:rFonts w:ascii="Calibri" w:hAnsi="Calibri"/>
                <w:caps/>
              </w:rPr>
            </w:pPr>
            <w:r w:rsidRPr="00C61F85">
              <w:rPr>
                <w:rFonts w:ascii="Calibri" w:hAnsi="Calibri" w:hint="eastAsia"/>
                <w:caps/>
              </w:rPr>
              <w:t>禁止新增非集中供热性质的燃煤锅炉及燃重油、渣油锅炉和直接燃用生物质的锅炉项目。</w:t>
            </w:r>
          </w:p>
        </w:tc>
        <w:tc>
          <w:tcPr>
            <w:tcW w:w="4614" w:type="dxa"/>
            <w:vAlign w:val="center"/>
          </w:tcPr>
          <w:p w14:paraId="7EABA454" w14:textId="77777777" w:rsidR="00C61F85" w:rsidRPr="00244DA5" w:rsidRDefault="00566693" w:rsidP="00F536A1">
            <w:pPr>
              <w:jc w:val="center"/>
              <w:rPr>
                <w:rFonts w:ascii="Calibri" w:hAnsi="Calibri"/>
                <w:caps/>
              </w:rPr>
            </w:pPr>
            <w:r w:rsidRPr="00566693">
              <w:rPr>
                <w:rFonts w:ascii="Calibri" w:hAnsi="Calibri" w:hint="eastAsia"/>
                <w:caps/>
              </w:rPr>
              <w:t>不涉及</w:t>
            </w:r>
          </w:p>
        </w:tc>
        <w:tc>
          <w:tcPr>
            <w:tcW w:w="1170" w:type="dxa"/>
            <w:vAlign w:val="center"/>
          </w:tcPr>
          <w:p w14:paraId="19CC15E4" w14:textId="77777777" w:rsidR="00C61F85" w:rsidRPr="00244DA5" w:rsidRDefault="00566693" w:rsidP="00F536A1">
            <w:pPr>
              <w:jc w:val="center"/>
              <w:rPr>
                <w:rFonts w:ascii="Calibri" w:hAnsi="Calibri"/>
                <w:caps/>
              </w:rPr>
            </w:pPr>
            <w:r>
              <w:rPr>
                <w:rFonts w:ascii="Calibri" w:hAnsi="Calibri" w:hint="eastAsia"/>
                <w:caps/>
              </w:rPr>
              <w:t>/</w:t>
            </w:r>
          </w:p>
        </w:tc>
      </w:tr>
      <w:tr w:rsidR="00C61F85" w14:paraId="63A30345" w14:textId="77777777" w:rsidTr="00566693">
        <w:trPr>
          <w:trHeight w:val="389"/>
          <w:jc w:val="center"/>
        </w:trPr>
        <w:tc>
          <w:tcPr>
            <w:tcW w:w="709" w:type="dxa"/>
            <w:vAlign w:val="center"/>
          </w:tcPr>
          <w:p w14:paraId="097FD19D" w14:textId="77777777" w:rsidR="00C61F85" w:rsidRDefault="00C61F85" w:rsidP="00F536A1">
            <w:pPr>
              <w:jc w:val="center"/>
              <w:rPr>
                <w:rFonts w:ascii="Calibri" w:hAnsi="Calibri"/>
                <w:caps/>
              </w:rPr>
            </w:pPr>
            <w:r>
              <w:rPr>
                <w:rFonts w:ascii="Calibri" w:hAnsi="Calibri" w:hint="eastAsia"/>
                <w:caps/>
              </w:rPr>
              <w:t>16</w:t>
            </w:r>
          </w:p>
        </w:tc>
        <w:tc>
          <w:tcPr>
            <w:tcW w:w="1041" w:type="dxa"/>
            <w:vMerge/>
            <w:vAlign w:val="center"/>
          </w:tcPr>
          <w:p w14:paraId="079922B8" w14:textId="77777777" w:rsidR="00C61F85" w:rsidRPr="00244DA5" w:rsidRDefault="00C61F85" w:rsidP="00F536A1">
            <w:pPr>
              <w:jc w:val="center"/>
              <w:rPr>
                <w:rFonts w:ascii="Calibri" w:hAnsi="Calibri"/>
                <w:caps/>
              </w:rPr>
            </w:pPr>
          </w:p>
        </w:tc>
        <w:tc>
          <w:tcPr>
            <w:tcW w:w="1276" w:type="dxa"/>
            <w:vMerge/>
            <w:vAlign w:val="center"/>
          </w:tcPr>
          <w:p w14:paraId="18D5A68B" w14:textId="77777777" w:rsidR="00C61F85" w:rsidRPr="00244DA5" w:rsidRDefault="00C61F85" w:rsidP="00F536A1">
            <w:pPr>
              <w:jc w:val="center"/>
              <w:rPr>
                <w:rFonts w:ascii="Calibri" w:hAnsi="Calibri"/>
                <w:caps/>
              </w:rPr>
            </w:pPr>
          </w:p>
        </w:tc>
        <w:tc>
          <w:tcPr>
            <w:tcW w:w="6095" w:type="dxa"/>
            <w:vAlign w:val="center"/>
          </w:tcPr>
          <w:p w14:paraId="5762D0BA" w14:textId="77777777" w:rsidR="00C61F85" w:rsidRPr="00C61F85" w:rsidRDefault="00C61F85" w:rsidP="00C61F85">
            <w:pPr>
              <w:jc w:val="center"/>
              <w:rPr>
                <w:rFonts w:ascii="Calibri" w:hAnsi="Calibri"/>
                <w:caps/>
              </w:rPr>
            </w:pPr>
            <w:r w:rsidRPr="00C61F85">
              <w:rPr>
                <w:rFonts w:ascii="Calibri" w:hAnsi="Calibri" w:hint="eastAsia"/>
                <w:caps/>
              </w:rPr>
              <w:t>入区企业的废水需通过污水管网排入集聚区污水处理厂处理，在不具备接入污水管网的区域，禁止入驻涉及废水直接排放的企业。</w:t>
            </w:r>
          </w:p>
        </w:tc>
        <w:tc>
          <w:tcPr>
            <w:tcW w:w="4614" w:type="dxa"/>
            <w:vAlign w:val="center"/>
          </w:tcPr>
          <w:p w14:paraId="04EE4C30" w14:textId="77777777" w:rsidR="00C61F85" w:rsidRPr="00244DA5" w:rsidRDefault="00F536A1" w:rsidP="00566693">
            <w:pPr>
              <w:jc w:val="center"/>
              <w:rPr>
                <w:rFonts w:ascii="Calibri" w:hAnsi="Calibri"/>
                <w:caps/>
              </w:rPr>
            </w:pPr>
            <w:r>
              <w:rPr>
                <w:rFonts w:ascii="Calibri" w:hAnsi="Calibri" w:hint="eastAsia"/>
                <w:caps/>
              </w:rPr>
              <w:t>本项目</w:t>
            </w:r>
            <w:r w:rsidR="00566693">
              <w:rPr>
                <w:rFonts w:ascii="Calibri" w:hAnsi="Calibri" w:hint="eastAsia"/>
                <w:caps/>
              </w:rPr>
              <w:t>东</w:t>
            </w:r>
            <w:r>
              <w:rPr>
                <w:rFonts w:ascii="Calibri" w:hAnsi="Calibri" w:hint="eastAsia"/>
                <w:caps/>
              </w:rPr>
              <w:t>侧化工</w:t>
            </w:r>
            <w:r w:rsidR="00566693">
              <w:rPr>
                <w:rFonts w:ascii="Calibri" w:hAnsi="Calibri" w:hint="eastAsia"/>
                <w:caps/>
              </w:rPr>
              <w:t>三</w:t>
            </w:r>
            <w:r>
              <w:rPr>
                <w:rFonts w:ascii="Calibri" w:hAnsi="Calibri" w:hint="eastAsia"/>
                <w:caps/>
              </w:rPr>
              <w:t>路已经铺设了污水管网，厂区废水经自建污水处理站处理后排入市政管网进入集聚区第三污水处理厂。</w:t>
            </w:r>
          </w:p>
        </w:tc>
        <w:tc>
          <w:tcPr>
            <w:tcW w:w="1170" w:type="dxa"/>
            <w:vAlign w:val="center"/>
          </w:tcPr>
          <w:p w14:paraId="44ED6E08" w14:textId="77777777" w:rsidR="00C61F85" w:rsidRPr="00244DA5" w:rsidRDefault="00F536A1" w:rsidP="00F536A1">
            <w:pPr>
              <w:jc w:val="center"/>
              <w:rPr>
                <w:rFonts w:ascii="Calibri" w:hAnsi="Calibri"/>
                <w:caps/>
              </w:rPr>
            </w:pPr>
            <w:r w:rsidRPr="00244DA5">
              <w:rPr>
                <w:rFonts w:ascii="Calibri" w:hAnsi="Calibri" w:hint="eastAsia"/>
                <w:caps/>
              </w:rPr>
              <w:t>相符</w:t>
            </w:r>
          </w:p>
        </w:tc>
      </w:tr>
      <w:tr w:rsidR="00C61F85" w14:paraId="34A2E651" w14:textId="77777777" w:rsidTr="00566693">
        <w:trPr>
          <w:trHeight w:val="389"/>
          <w:jc w:val="center"/>
        </w:trPr>
        <w:tc>
          <w:tcPr>
            <w:tcW w:w="709" w:type="dxa"/>
            <w:vAlign w:val="center"/>
          </w:tcPr>
          <w:p w14:paraId="7FC14A26" w14:textId="77777777" w:rsidR="00C61F85" w:rsidRDefault="00C61F85" w:rsidP="00F536A1">
            <w:pPr>
              <w:jc w:val="center"/>
              <w:rPr>
                <w:rFonts w:ascii="Calibri" w:hAnsi="Calibri"/>
                <w:caps/>
              </w:rPr>
            </w:pPr>
            <w:r>
              <w:rPr>
                <w:rFonts w:ascii="Calibri" w:hAnsi="Calibri" w:hint="eastAsia"/>
                <w:caps/>
              </w:rPr>
              <w:t>17</w:t>
            </w:r>
          </w:p>
        </w:tc>
        <w:tc>
          <w:tcPr>
            <w:tcW w:w="1041" w:type="dxa"/>
            <w:vMerge/>
            <w:vAlign w:val="center"/>
          </w:tcPr>
          <w:p w14:paraId="35469D13" w14:textId="77777777" w:rsidR="00C61F85" w:rsidRPr="00244DA5" w:rsidRDefault="00C61F85" w:rsidP="00F536A1">
            <w:pPr>
              <w:jc w:val="center"/>
              <w:rPr>
                <w:rFonts w:ascii="Calibri" w:hAnsi="Calibri"/>
                <w:caps/>
              </w:rPr>
            </w:pPr>
          </w:p>
        </w:tc>
        <w:tc>
          <w:tcPr>
            <w:tcW w:w="1276" w:type="dxa"/>
            <w:vMerge/>
            <w:vAlign w:val="center"/>
          </w:tcPr>
          <w:p w14:paraId="7104B2BF" w14:textId="77777777" w:rsidR="00C61F85" w:rsidRPr="00244DA5" w:rsidRDefault="00C61F85" w:rsidP="00F536A1">
            <w:pPr>
              <w:jc w:val="center"/>
              <w:rPr>
                <w:rFonts w:ascii="Calibri" w:hAnsi="Calibri"/>
                <w:caps/>
              </w:rPr>
            </w:pPr>
          </w:p>
        </w:tc>
        <w:tc>
          <w:tcPr>
            <w:tcW w:w="6095" w:type="dxa"/>
            <w:vAlign w:val="center"/>
          </w:tcPr>
          <w:p w14:paraId="5C4A4937" w14:textId="77777777" w:rsidR="00C61F85" w:rsidRPr="00C61F85" w:rsidRDefault="00C61F85" w:rsidP="00C61F85">
            <w:pPr>
              <w:jc w:val="center"/>
              <w:rPr>
                <w:rFonts w:ascii="Calibri" w:hAnsi="Calibri"/>
                <w:caps/>
              </w:rPr>
            </w:pPr>
            <w:r w:rsidRPr="00C61F85">
              <w:rPr>
                <w:rFonts w:ascii="Calibri" w:hAnsi="Calibri" w:hint="eastAsia"/>
                <w:caps/>
              </w:rPr>
              <w:t>新增污染物排放总量的项目，需满足国家、省、市等区域或行业替代的相关要求。</w:t>
            </w:r>
          </w:p>
        </w:tc>
        <w:tc>
          <w:tcPr>
            <w:tcW w:w="4614" w:type="dxa"/>
            <w:vAlign w:val="center"/>
          </w:tcPr>
          <w:p w14:paraId="28E79853" w14:textId="77777777" w:rsidR="00C61F85" w:rsidRPr="00244DA5" w:rsidRDefault="00F536A1" w:rsidP="00F536A1">
            <w:pPr>
              <w:jc w:val="center"/>
              <w:rPr>
                <w:rFonts w:ascii="Calibri" w:hAnsi="Calibri"/>
                <w:caps/>
              </w:rPr>
            </w:pPr>
            <w:r>
              <w:rPr>
                <w:rFonts w:ascii="Calibri" w:hAnsi="Calibri" w:hint="eastAsia"/>
                <w:caps/>
              </w:rPr>
              <w:t>新增污染物排放总量</w:t>
            </w:r>
            <w:r w:rsidRPr="00C61F85">
              <w:rPr>
                <w:rFonts w:ascii="Calibri" w:hAnsi="Calibri" w:hint="eastAsia"/>
                <w:caps/>
              </w:rPr>
              <w:t>需满足国家、省、市等区域或行业替代的相关要求。</w:t>
            </w:r>
          </w:p>
        </w:tc>
        <w:tc>
          <w:tcPr>
            <w:tcW w:w="1170" w:type="dxa"/>
            <w:vAlign w:val="center"/>
          </w:tcPr>
          <w:p w14:paraId="57CB7DB8" w14:textId="77777777" w:rsidR="00C61F85" w:rsidRPr="00F536A1" w:rsidRDefault="00F536A1" w:rsidP="00F536A1">
            <w:pPr>
              <w:jc w:val="center"/>
              <w:rPr>
                <w:rFonts w:ascii="Calibri" w:hAnsi="Calibri"/>
                <w:caps/>
              </w:rPr>
            </w:pPr>
            <w:r w:rsidRPr="00244DA5">
              <w:rPr>
                <w:rFonts w:ascii="Calibri" w:hAnsi="Calibri" w:hint="eastAsia"/>
                <w:caps/>
              </w:rPr>
              <w:t>相符</w:t>
            </w:r>
          </w:p>
        </w:tc>
      </w:tr>
      <w:tr w:rsidR="00C61F85" w14:paraId="6154AAB0" w14:textId="77777777" w:rsidTr="00566693">
        <w:trPr>
          <w:trHeight w:val="389"/>
          <w:jc w:val="center"/>
        </w:trPr>
        <w:tc>
          <w:tcPr>
            <w:tcW w:w="709" w:type="dxa"/>
            <w:vAlign w:val="center"/>
          </w:tcPr>
          <w:p w14:paraId="686A8F89" w14:textId="77777777" w:rsidR="00C61F85" w:rsidRDefault="00C61F85" w:rsidP="00F536A1">
            <w:pPr>
              <w:jc w:val="center"/>
              <w:rPr>
                <w:rFonts w:ascii="Calibri" w:hAnsi="Calibri"/>
                <w:caps/>
              </w:rPr>
            </w:pPr>
            <w:r>
              <w:rPr>
                <w:rFonts w:ascii="Calibri" w:hAnsi="Calibri" w:hint="eastAsia"/>
                <w:caps/>
              </w:rPr>
              <w:t>18</w:t>
            </w:r>
          </w:p>
        </w:tc>
        <w:tc>
          <w:tcPr>
            <w:tcW w:w="1041" w:type="dxa"/>
            <w:vMerge/>
            <w:vAlign w:val="center"/>
          </w:tcPr>
          <w:p w14:paraId="5B115A01" w14:textId="77777777" w:rsidR="00C61F85" w:rsidRPr="00244DA5" w:rsidRDefault="00C61F85" w:rsidP="00F536A1">
            <w:pPr>
              <w:jc w:val="center"/>
              <w:rPr>
                <w:rFonts w:ascii="Calibri" w:hAnsi="Calibri"/>
                <w:caps/>
              </w:rPr>
            </w:pPr>
          </w:p>
        </w:tc>
        <w:tc>
          <w:tcPr>
            <w:tcW w:w="1276" w:type="dxa"/>
            <w:vMerge w:val="restart"/>
            <w:vAlign w:val="center"/>
          </w:tcPr>
          <w:p w14:paraId="43B6AD08" w14:textId="77777777" w:rsidR="00C61F85" w:rsidRPr="00244DA5" w:rsidRDefault="00C61F85" w:rsidP="00C61F85">
            <w:pPr>
              <w:jc w:val="center"/>
              <w:rPr>
                <w:rFonts w:ascii="Calibri" w:hAnsi="Calibri"/>
                <w:caps/>
              </w:rPr>
            </w:pPr>
            <w:r w:rsidRPr="00C61F85">
              <w:rPr>
                <w:rFonts w:ascii="Calibri" w:hAnsi="Calibri" w:hint="eastAsia"/>
                <w:caps/>
              </w:rPr>
              <w:t>环境风险防控</w:t>
            </w:r>
          </w:p>
        </w:tc>
        <w:tc>
          <w:tcPr>
            <w:tcW w:w="6095" w:type="dxa"/>
            <w:vAlign w:val="center"/>
          </w:tcPr>
          <w:p w14:paraId="5218EF7C" w14:textId="77777777" w:rsidR="00C61F85" w:rsidRPr="001477FB" w:rsidRDefault="00C61F85" w:rsidP="00C61F85">
            <w:pPr>
              <w:jc w:val="center"/>
              <w:rPr>
                <w:rFonts w:ascii="Calibri" w:hAnsi="Calibri"/>
                <w:caps/>
              </w:rPr>
            </w:pPr>
            <w:r w:rsidRPr="00C61F85">
              <w:rPr>
                <w:rFonts w:ascii="Calibri" w:hAnsi="Calibri" w:hint="eastAsia"/>
                <w:caps/>
              </w:rPr>
              <w:t>禁止新建大气防护距离范围超越园区边界且涉及居民区、学校、医院等环境敏感点的项目。</w:t>
            </w:r>
          </w:p>
        </w:tc>
        <w:tc>
          <w:tcPr>
            <w:tcW w:w="4614" w:type="dxa"/>
            <w:vAlign w:val="center"/>
          </w:tcPr>
          <w:p w14:paraId="21A85140" w14:textId="7D9A94CC" w:rsidR="00C61F85" w:rsidRPr="00244DA5" w:rsidRDefault="00F536A1" w:rsidP="00C81F40">
            <w:pPr>
              <w:jc w:val="center"/>
              <w:rPr>
                <w:rFonts w:ascii="Calibri" w:hAnsi="Calibri"/>
                <w:caps/>
              </w:rPr>
            </w:pPr>
            <w:r>
              <w:rPr>
                <w:rFonts w:ascii="Calibri" w:hAnsi="Calibri" w:hint="eastAsia"/>
                <w:caps/>
              </w:rPr>
              <w:t>本项目</w:t>
            </w:r>
            <w:r w:rsidR="00C81F40">
              <w:rPr>
                <w:rFonts w:ascii="Calibri" w:hAnsi="Calibri" w:hint="eastAsia"/>
                <w:caps/>
              </w:rPr>
              <w:t>不</w:t>
            </w:r>
            <w:r>
              <w:rPr>
                <w:rFonts w:ascii="Calibri" w:hAnsi="Calibri" w:hint="eastAsia"/>
                <w:caps/>
              </w:rPr>
              <w:t>设置</w:t>
            </w:r>
            <w:r w:rsidRPr="00C61F85">
              <w:rPr>
                <w:rFonts w:ascii="Calibri" w:hAnsi="Calibri" w:hint="eastAsia"/>
                <w:caps/>
              </w:rPr>
              <w:t>大气防护距离</w:t>
            </w:r>
          </w:p>
        </w:tc>
        <w:tc>
          <w:tcPr>
            <w:tcW w:w="1170" w:type="dxa"/>
            <w:vAlign w:val="center"/>
          </w:tcPr>
          <w:p w14:paraId="5141B8A0" w14:textId="77777777" w:rsidR="00C61F85" w:rsidRPr="00244DA5" w:rsidRDefault="00F536A1" w:rsidP="00F536A1">
            <w:pPr>
              <w:jc w:val="center"/>
              <w:rPr>
                <w:rFonts w:ascii="Calibri" w:hAnsi="Calibri"/>
                <w:caps/>
              </w:rPr>
            </w:pPr>
            <w:r w:rsidRPr="00244DA5">
              <w:rPr>
                <w:rFonts w:ascii="Calibri" w:hAnsi="Calibri" w:hint="eastAsia"/>
                <w:caps/>
              </w:rPr>
              <w:t>相符</w:t>
            </w:r>
          </w:p>
        </w:tc>
      </w:tr>
      <w:tr w:rsidR="00F536A1" w14:paraId="61F5D9E7" w14:textId="77777777" w:rsidTr="00566693">
        <w:trPr>
          <w:trHeight w:val="389"/>
          <w:jc w:val="center"/>
        </w:trPr>
        <w:tc>
          <w:tcPr>
            <w:tcW w:w="709" w:type="dxa"/>
            <w:vAlign w:val="center"/>
          </w:tcPr>
          <w:p w14:paraId="0825169B" w14:textId="77777777" w:rsidR="00F536A1" w:rsidRDefault="00F536A1" w:rsidP="00F536A1">
            <w:pPr>
              <w:jc w:val="center"/>
              <w:rPr>
                <w:rFonts w:ascii="Calibri" w:hAnsi="Calibri"/>
                <w:caps/>
              </w:rPr>
            </w:pPr>
            <w:r>
              <w:rPr>
                <w:rFonts w:ascii="Calibri" w:hAnsi="Calibri" w:hint="eastAsia"/>
                <w:caps/>
              </w:rPr>
              <w:t>19</w:t>
            </w:r>
          </w:p>
        </w:tc>
        <w:tc>
          <w:tcPr>
            <w:tcW w:w="1041" w:type="dxa"/>
            <w:vMerge/>
            <w:vAlign w:val="center"/>
          </w:tcPr>
          <w:p w14:paraId="11E0E4AB" w14:textId="77777777" w:rsidR="00F536A1" w:rsidRPr="00244DA5" w:rsidRDefault="00F536A1" w:rsidP="00F536A1">
            <w:pPr>
              <w:jc w:val="center"/>
              <w:rPr>
                <w:rFonts w:ascii="Calibri" w:hAnsi="Calibri"/>
                <w:caps/>
              </w:rPr>
            </w:pPr>
          </w:p>
        </w:tc>
        <w:tc>
          <w:tcPr>
            <w:tcW w:w="1276" w:type="dxa"/>
            <w:vMerge/>
            <w:vAlign w:val="center"/>
          </w:tcPr>
          <w:p w14:paraId="7BB13BF9" w14:textId="77777777" w:rsidR="00F536A1" w:rsidRPr="00244DA5" w:rsidRDefault="00F536A1" w:rsidP="00F536A1">
            <w:pPr>
              <w:jc w:val="center"/>
              <w:rPr>
                <w:rFonts w:ascii="Calibri" w:hAnsi="Calibri"/>
                <w:caps/>
              </w:rPr>
            </w:pPr>
          </w:p>
        </w:tc>
        <w:tc>
          <w:tcPr>
            <w:tcW w:w="6095" w:type="dxa"/>
            <w:vAlign w:val="center"/>
          </w:tcPr>
          <w:p w14:paraId="5956C713" w14:textId="77777777" w:rsidR="00F536A1" w:rsidRPr="00C61F85" w:rsidRDefault="00F536A1" w:rsidP="00F536A1">
            <w:pPr>
              <w:jc w:val="center"/>
              <w:rPr>
                <w:rFonts w:ascii="Calibri" w:hAnsi="Calibri"/>
                <w:caps/>
              </w:rPr>
            </w:pPr>
            <w:r w:rsidRPr="00C61F85">
              <w:rPr>
                <w:rFonts w:ascii="Calibri" w:hAnsi="Calibri" w:hint="eastAsia"/>
                <w:caps/>
              </w:rPr>
              <w:t>项目应严格按照环境影响评价文件要求落实环境风险防范措施。</w:t>
            </w:r>
          </w:p>
        </w:tc>
        <w:tc>
          <w:tcPr>
            <w:tcW w:w="4614" w:type="dxa"/>
            <w:vAlign w:val="center"/>
          </w:tcPr>
          <w:p w14:paraId="71201B69" w14:textId="77777777" w:rsidR="00F536A1" w:rsidRPr="00244DA5" w:rsidRDefault="00F536A1" w:rsidP="00F536A1">
            <w:pPr>
              <w:jc w:val="center"/>
              <w:rPr>
                <w:rFonts w:ascii="Calibri" w:hAnsi="Calibri"/>
                <w:caps/>
              </w:rPr>
            </w:pPr>
            <w:r w:rsidRPr="00C61F85">
              <w:rPr>
                <w:rFonts w:ascii="Calibri" w:hAnsi="Calibri" w:hint="eastAsia"/>
                <w:caps/>
              </w:rPr>
              <w:t>严格按照环境影响评价文件要求落实环境风险防范措施</w:t>
            </w:r>
          </w:p>
        </w:tc>
        <w:tc>
          <w:tcPr>
            <w:tcW w:w="1170" w:type="dxa"/>
            <w:vAlign w:val="center"/>
          </w:tcPr>
          <w:p w14:paraId="77C8807B" w14:textId="77777777" w:rsidR="00F536A1" w:rsidRDefault="00F536A1" w:rsidP="00F536A1">
            <w:pPr>
              <w:jc w:val="center"/>
            </w:pPr>
            <w:r w:rsidRPr="00BE2411">
              <w:rPr>
                <w:rFonts w:ascii="Calibri" w:hAnsi="Calibri" w:hint="eastAsia"/>
                <w:caps/>
              </w:rPr>
              <w:t>相符</w:t>
            </w:r>
          </w:p>
        </w:tc>
      </w:tr>
      <w:tr w:rsidR="00F536A1" w14:paraId="764470B6" w14:textId="77777777" w:rsidTr="00566693">
        <w:trPr>
          <w:trHeight w:val="389"/>
          <w:jc w:val="center"/>
        </w:trPr>
        <w:tc>
          <w:tcPr>
            <w:tcW w:w="709" w:type="dxa"/>
            <w:vAlign w:val="center"/>
          </w:tcPr>
          <w:p w14:paraId="2FB5706D" w14:textId="77777777" w:rsidR="00F536A1" w:rsidRDefault="00F536A1" w:rsidP="00F536A1">
            <w:pPr>
              <w:jc w:val="center"/>
              <w:rPr>
                <w:rFonts w:ascii="Calibri" w:hAnsi="Calibri"/>
                <w:caps/>
              </w:rPr>
            </w:pPr>
            <w:r>
              <w:rPr>
                <w:rFonts w:ascii="Calibri" w:hAnsi="Calibri" w:hint="eastAsia"/>
                <w:caps/>
              </w:rPr>
              <w:t>20</w:t>
            </w:r>
          </w:p>
        </w:tc>
        <w:tc>
          <w:tcPr>
            <w:tcW w:w="1041" w:type="dxa"/>
            <w:vMerge/>
            <w:vAlign w:val="center"/>
          </w:tcPr>
          <w:p w14:paraId="5EA6C296" w14:textId="77777777" w:rsidR="00F536A1" w:rsidRPr="00244DA5" w:rsidRDefault="00F536A1" w:rsidP="00F536A1">
            <w:pPr>
              <w:jc w:val="center"/>
              <w:rPr>
                <w:rFonts w:ascii="Calibri" w:hAnsi="Calibri"/>
                <w:caps/>
              </w:rPr>
            </w:pPr>
          </w:p>
        </w:tc>
        <w:tc>
          <w:tcPr>
            <w:tcW w:w="1276" w:type="dxa"/>
            <w:vMerge/>
            <w:vAlign w:val="center"/>
          </w:tcPr>
          <w:p w14:paraId="3E83EF26" w14:textId="77777777" w:rsidR="00F536A1" w:rsidRPr="00244DA5" w:rsidRDefault="00F536A1" w:rsidP="00F536A1">
            <w:pPr>
              <w:jc w:val="center"/>
              <w:rPr>
                <w:rFonts w:ascii="Calibri" w:hAnsi="Calibri"/>
                <w:caps/>
              </w:rPr>
            </w:pPr>
          </w:p>
        </w:tc>
        <w:tc>
          <w:tcPr>
            <w:tcW w:w="6095" w:type="dxa"/>
            <w:vAlign w:val="center"/>
          </w:tcPr>
          <w:p w14:paraId="667A6BE7" w14:textId="77777777" w:rsidR="00F536A1" w:rsidRPr="001477FB" w:rsidRDefault="00F536A1" w:rsidP="00C61F85">
            <w:pPr>
              <w:jc w:val="center"/>
              <w:rPr>
                <w:rFonts w:ascii="Calibri" w:hAnsi="Calibri"/>
                <w:caps/>
              </w:rPr>
            </w:pPr>
            <w:r w:rsidRPr="00C61F85">
              <w:rPr>
                <w:rFonts w:ascii="Calibri" w:hAnsi="Calibri" w:hint="eastAsia"/>
                <w:caps/>
              </w:rPr>
              <w:t>涉及危险化学品、危险废物及可能发生突发环境事件的污染物排放企业，应按照突发环境事件应急预案备案管理办法的要求，制定完善的环境应急预案。</w:t>
            </w:r>
          </w:p>
        </w:tc>
        <w:tc>
          <w:tcPr>
            <w:tcW w:w="4614" w:type="dxa"/>
            <w:vAlign w:val="center"/>
          </w:tcPr>
          <w:p w14:paraId="018A7ABA" w14:textId="188283F1" w:rsidR="00F536A1" w:rsidRPr="00244DA5" w:rsidRDefault="00F536A1" w:rsidP="00C81F40">
            <w:pPr>
              <w:jc w:val="center"/>
              <w:rPr>
                <w:rFonts w:ascii="Calibri" w:hAnsi="Calibri"/>
                <w:caps/>
              </w:rPr>
            </w:pPr>
            <w:r w:rsidRPr="00244DA5">
              <w:rPr>
                <w:rFonts w:ascii="Calibri" w:hAnsi="Calibri" w:hint="eastAsia"/>
                <w:caps/>
              </w:rPr>
              <w:t>项目投运后，将按照突发环境事件应急预案备案管理办法的要求，制定完善的环境应急预案，并报环境管理部门备案管理。</w:t>
            </w:r>
          </w:p>
        </w:tc>
        <w:tc>
          <w:tcPr>
            <w:tcW w:w="1170" w:type="dxa"/>
            <w:vAlign w:val="center"/>
          </w:tcPr>
          <w:p w14:paraId="3892E413" w14:textId="77777777" w:rsidR="00F536A1" w:rsidRDefault="00F536A1" w:rsidP="00F536A1">
            <w:pPr>
              <w:jc w:val="center"/>
            </w:pPr>
            <w:r w:rsidRPr="00BE2411">
              <w:rPr>
                <w:rFonts w:ascii="Calibri" w:hAnsi="Calibri" w:hint="eastAsia"/>
                <w:caps/>
              </w:rPr>
              <w:t>相符</w:t>
            </w:r>
          </w:p>
        </w:tc>
      </w:tr>
      <w:tr w:rsidR="00F536A1" w14:paraId="23F06024" w14:textId="77777777" w:rsidTr="00566693">
        <w:trPr>
          <w:trHeight w:val="389"/>
          <w:jc w:val="center"/>
        </w:trPr>
        <w:tc>
          <w:tcPr>
            <w:tcW w:w="709" w:type="dxa"/>
            <w:vAlign w:val="center"/>
          </w:tcPr>
          <w:p w14:paraId="3AA4EA2F" w14:textId="77777777" w:rsidR="00F536A1" w:rsidRDefault="00F536A1" w:rsidP="00F536A1">
            <w:pPr>
              <w:jc w:val="center"/>
              <w:rPr>
                <w:rFonts w:ascii="Calibri" w:hAnsi="Calibri"/>
                <w:caps/>
              </w:rPr>
            </w:pPr>
            <w:r>
              <w:rPr>
                <w:rFonts w:ascii="Calibri" w:hAnsi="Calibri" w:hint="eastAsia"/>
                <w:caps/>
              </w:rPr>
              <w:t>21</w:t>
            </w:r>
          </w:p>
        </w:tc>
        <w:tc>
          <w:tcPr>
            <w:tcW w:w="1041" w:type="dxa"/>
            <w:vMerge/>
            <w:vAlign w:val="center"/>
          </w:tcPr>
          <w:p w14:paraId="63B8CE7C" w14:textId="77777777" w:rsidR="00F536A1" w:rsidRPr="00244DA5" w:rsidRDefault="00F536A1" w:rsidP="00F536A1">
            <w:pPr>
              <w:jc w:val="center"/>
              <w:rPr>
                <w:rFonts w:ascii="Calibri" w:hAnsi="Calibri"/>
                <w:caps/>
              </w:rPr>
            </w:pPr>
          </w:p>
        </w:tc>
        <w:tc>
          <w:tcPr>
            <w:tcW w:w="1276" w:type="dxa"/>
            <w:vMerge w:val="restart"/>
            <w:vAlign w:val="center"/>
          </w:tcPr>
          <w:p w14:paraId="43D65AD7" w14:textId="77777777" w:rsidR="00F536A1" w:rsidRPr="00244DA5" w:rsidRDefault="00F536A1" w:rsidP="00C61F85">
            <w:pPr>
              <w:jc w:val="center"/>
              <w:rPr>
                <w:rFonts w:ascii="Calibri" w:hAnsi="Calibri"/>
                <w:caps/>
              </w:rPr>
            </w:pPr>
            <w:r w:rsidRPr="00C61F85">
              <w:rPr>
                <w:rFonts w:ascii="Calibri" w:hAnsi="Calibri" w:hint="eastAsia"/>
                <w:caps/>
              </w:rPr>
              <w:t>资源开发利用</w:t>
            </w:r>
          </w:p>
        </w:tc>
        <w:tc>
          <w:tcPr>
            <w:tcW w:w="6095" w:type="dxa"/>
            <w:vAlign w:val="center"/>
          </w:tcPr>
          <w:p w14:paraId="1167C43F" w14:textId="77777777" w:rsidR="00F536A1" w:rsidRPr="00C61F85" w:rsidRDefault="00F536A1" w:rsidP="00C61F85">
            <w:pPr>
              <w:jc w:val="center"/>
              <w:rPr>
                <w:rFonts w:ascii="Calibri" w:hAnsi="Calibri"/>
                <w:caps/>
              </w:rPr>
            </w:pPr>
            <w:r w:rsidRPr="00C61F85">
              <w:rPr>
                <w:rFonts w:ascii="Calibri" w:hAnsi="Calibri" w:hint="eastAsia"/>
                <w:caps/>
              </w:rPr>
              <w:t>入驻项目应采用集聚区集中供水，工业用水应优先使用污水处理厂中水</w:t>
            </w:r>
          </w:p>
        </w:tc>
        <w:tc>
          <w:tcPr>
            <w:tcW w:w="4614" w:type="dxa"/>
            <w:vAlign w:val="center"/>
          </w:tcPr>
          <w:p w14:paraId="54E06C11" w14:textId="77777777" w:rsidR="00F536A1" w:rsidRPr="00244DA5" w:rsidRDefault="00F536A1" w:rsidP="00F536A1">
            <w:pPr>
              <w:jc w:val="center"/>
              <w:rPr>
                <w:rFonts w:ascii="Calibri" w:hAnsi="Calibri"/>
                <w:caps/>
              </w:rPr>
            </w:pPr>
            <w:r>
              <w:rPr>
                <w:rFonts w:ascii="Calibri" w:hAnsi="Calibri" w:hint="eastAsia"/>
                <w:caps/>
              </w:rPr>
              <w:t>项目采用集聚区集中供水</w:t>
            </w:r>
          </w:p>
        </w:tc>
        <w:tc>
          <w:tcPr>
            <w:tcW w:w="1170" w:type="dxa"/>
            <w:vAlign w:val="center"/>
          </w:tcPr>
          <w:p w14:paraId="409EB772" w14:textId="77777777" w:rsidR="00F536A1" w:rsidRDefault="00F536A1" w:rsidP="00F536A1">
            <w:pPr>
              <w:jc w:val="center"/>
            </w:pPr>
            <w:r w:rsidRPr="00BE2411">
              <w:rPr>
                <w:rFonts w:ascii="Calibri" w:hAnsi="Calibri" w:hint="eastAsia"/>
                <w:caps/>
              </w:rPr>
              <w:t>相符</w:t>
            </w:r>
          </w:p>
        </w:tc>
      </w:tr>
      <w:tr w:rsidR="00F536A1" w14:paraId="74FB1352" w14:textId="77777777" w:rsidTr="00566693">
        <w:trPr>
          <w:trHeight w:val="389"/>
          <w:jc w:val="center"/>
        </w:trPr>
        <w:tc>
          <w:tcPr>
            <w:tcW w:w="709" w:type="dxa"/>
            <w:vAlign w:val="center"/>
          </w:tcPr>
          <w:p w14:paraId="57A502BE" w14:textId="77777777" w:rsidR="00F536A1" w:rsidRDefault="00F536A1" w:rsidP="00F536A1">
            <w:pPr>
              <w:jc w:val="center"/>
              <w:rPr>
                <w:rFonts w:ascii="Calibri" w:hAnsi="Calibri"/>
                <w:caps/>
              </w:rPr>
            </w:pPr>
            <w:r>
              <w:rPr>
                <w:rFonts w:ascii="Calibri" w:hAnsi="Calibri" w:hint="eastAsia"/>
                <w:caps/>
              </w:rPr>
              <w:t>22</w:t>
            </w:r>
          </w:p>
        </w:tc>
        <w:tc>
          <w:tcPr>
            <w:tcW w:w="1041" w:type="dxa"/>
            <w:vMerge/>
            <w:vAlign w:val="center"/>
          </w:tcPr>
          <w:p w14:paraId="70671FAB" w14:textId="77777777" w:rsidR="00F536A1" w:rsidRPr="00244DA5" w:rsidRDefault="00F536A1" w:rsidP="00F536A1">
            <w:pPr>
              <w:jc w:val="center"/>
              <w:rPr>
                <w:rFonts w:ascii="Calibri" w:hAnsi="Calibri"/>
                <w:caps/>
              </w:rPr>
            </w:pPr>
          </w:p>
        </w:tc>
        <w:tc>
          <w:tcPr>
            <w:tcW w:w="1276" w:type="dxa"/>
            <w:vMerge/>
            <w:vAlign w:val="center"/>
          </w:tcPr>
          <w:p w14:paraId="3F36CB7F" w14:textId="77777777" w:rsidR="00F536A1" w:rsidRPr="00244DA5" w:rsidRDefault="00F536A1" w:rsidP="00F536A1">
            <w:pPr>
              <w:jc w:val="center"/>
              <w:rPr>
                <w:rFonts w:ascii="Calibri" w:hAnsi="Calibri"/>
                <w:caps/>
              </w:rPr>
            </w:pPr>
          </w:p>
        </w:tc>
        <w:tc>
          <w:tcPr>
            <w:tcW w:w="6095" w:type="dxa"/>
            <w:vAlign w:val="center"/>
          </w:tcPr>
          <w:p w14:paraId="3429A207" w14:textId="77777777" w:rsidR="00F536A1" w:rsidRPr="00C61F85" w:rsidRDefault="00F536A1" w:rsidP="00C61F85">
            <w:pPr>
              <w:jc w:val="center"/>
              <w:rPr>
                <w:rFonts w:ascii="Calibri" w:hAnsi="Calibri"/>
                <w:caps/>
              </w:rPr>
            </w:pPr>
            <w:r w:rsidRPr="00C61F85">
              <w:rPr>
                <w:rFonts w:ascii="Calibri" w:hAnsi="Calibri" w:hint="eastAsia"/>
                <w:caps/>
              </w:rPr>
              <w:t>入驻项目用地必须达到《河南省工业项目建设用地控制指标》要求。</w:t>
            </w:r>
          </w:p>
        </w:tc>
        <w:tc>
          <w:tcPr>
            <w:tcW w:w="4614" w:type="dxa"/>
            <w:vAlign w:val="center"/>
          </w:tcPr>
          <w:p w14:paraId="3C39A6AF" w14:textId="77777777" w:rsidR="00F536A1" w:rsidRPr="00244DA5" w:rsidRDefault="00566693" w:rsidP="00F536A1">
            <w:pPr>
              <w:jc w:val="center"/>
              <w:rPr>
                <w:rFonts w:ascii="Calibri" w:hAnsi="Calibri"/>
                <w:caps/>
              </w:rPr>
            </w:pPr>
            <w:r>
              <w:rPr>
                <w:rFonts w:hint="eastAsia"/>
              </w:rPr>
              <w:t>项目投资强度、容积率、建筑系数、行政办公及生活服务设施用地所占比重、绿地率五项指标均</w:t>
            </w:r>
            <w:r>
              <w:t>满足</w:t>
            </w:r>
            <w:r w:rsidRPr="00C61F85">
              <w:rPr>
                <w:rFonts w:ascii="Calibri" w:hAnsi="Calibri" w:hint="eastAsia"/>
                <w:caps/>
              </w:rPr>
              <w:t>《河南省工业项目建设用地控制指标》要求。</w:t>
            </w:r>
          </w:p>
        </w:tc>
        <w:tc>
          <w:tcPr>
            <w:tcW w:w="1170" w:type="dxa"/>
            <w:vAlign w:val="center"/>
          </w:tcPr>
          <w:p w14:paraId="0ABC4DA3" w14:textId="77777777" w:rsidR="00F536A1" w:rsidRDefault="00F536A1" w:rsidP="00F536A1">
            <w:pPr>
              <w:jc w:val="center"/>
            </w:pPr>
            <w:r w:rsidRPr="00BE2411">
              <w:rPr>
                <w:rFonts w:ascii="Calibri" w:hAnsi="Calibri" w:hint="eastAsia"/>
                <w:caps/>
              </w:rPr>
              <w:t>相符</w:t>
            </w:r>
          </w:p>
        </w:tc>
      </w:tr>
    </w:tbl>
    <w:p w14:paraId="5F2117F7" w14:textId="77777777" w:rsidR="007D18B0" w:rsidRDefault="007D18B0" w:rsidP="00F536A1">
      <w:pPr>
        <w:spacing w:line="520" w:lineRule="exact"/>
        <w:jc w:val="left"/>
        <w:rPr>
          <w:rFonts w:ascii="Calibri" w:hAnsi="Calibri"/>
          <w:b/>
          <w:bCs/>
          <w:color w:val="auto"/>
          <w:sz w:val="24"/>
        </w:rPr>
        <w:sectPr w:rsidR="007D18B0" w:rsidSect="003107E2">
          <w:pgSz w:w="16838" w:h="11906" w:orient="landscape" w:code="9"/>
          <w:pgMar w:top="1134" w:right="1440" w:bottom="1134" w:left="1440" w:header="851" w:footer="992" w:gutter="0"/>
          <w:cols w:space="720"/>
          <w:docGrid w:linePitch="312"/>
        </w:sectPr>
      </w:pPr>
    </w:p>
    <w:p w14:paraId="13A13D38" w14:textId="78E89DCB" w:rsidR="00D5104E" w:rsidRPr="00D5104E" w:rsidRDefault="000A78AD" w:rsidP="00D5104E">
      <w:pPr>
        <w:spacing w:line="520" w:lineRule="exact"/>
        <w:ind w:firstLineChars="200" w:firstLine="480"/>
        <w:jc w:val="left"/>
        <w:rPr>
          <w:rFonts w:ascii="Calibri" w:hAnsi="Calibri"/>
          <w:bCs/>
          <w:color w:val="auto"/>
          <w:sz w:val="24"/>
        </w:rPr>
      </w:pPr>
      <w:r w:rsidRPr="00F536A1">
        <w:rPr>
          <w:rFonts w:asciiTheme="minorEastAsia" w:eastAsiaTheme="minorEastAsia" w:hAnsiTheme="minorEastAsia" w:hint="eastAsia"/>
          <w:color w:val="auto"/>
          <w:sz w:val="24"/>
        </w:rPr>
        <w:lastRenderedPageBreak/>
        <w:t>本项目</w:t>
      </w:r>
      <w:r w:rsidR="008B5AE4" w:rsidRPr="00F536A1">
        <w:rPr>
          <w:rFonts w:asciiTheme="minorEastAsia" w:eastAsiaTheme="minorEastAsia" w:hAnsiTheme="minorEastAsia" w:hint="eastAsia"/>
          <w:color w:val="auto"/>
          <w:sz w:val="24"/>
        </w:rPr>
        <w:t>为</w:t>
      </w:r>
      <w:r w:rsidR="009448F0">
        <w:rPr>
          <w:rFonts w:asciiTheme="minorEastAsia" w:eastAsiaTheme="minorEastAsia" w:hAnsiTheme="minorEastAsia" w:hint="eastAsia"/>
          <w:color w:val="auto"/>
          <w:sz w:val="24"/>
        </w:rPr>
        <w:t>尼龙</w:t>
      </w:r>
      <w:r w:rsidR="00566693" w:rsidRPr="00566693">
        <w:rPr>
          <w:rFonts w:asciiTheme="minorEastAsia" w:eastAsiaTheme="minorEastAsia" w:hAnsiTheme="minorEastAsia" w:hint="eastAsia"/>
          <w:color w:val="auto"/>
          <w:sz w:val="24"/>
        </w:rPr>
        <w:t>合成材料制造</w:t>
      </w:r>
      <w:r w:rsidR="006E4A45" w:rsidRPr="00F536A1">
        <w:rPr>
          <w:rFonts w:asciiTheme="minorEastAsia" w:eastAsiaTheme="minorEastAsia" w:hAnsiTheme="minorEastAsia" w:hint="eastAsia"/>
          <w:color w:val="auto"/>
          <w:sz w:val="24"/>
        </w:rPr>
        <w:t>项目</w:t>
      </w:r>
      <w:r w:rsidR="008B5AE4" w:rsidRPr="00F536A1">
        <w:rPr>
          <w:rFonts w:asciiTheme="minorEastAsia" w:eastAsiaTheme="minorEastAsia" w:hAnsiTheme="minorEastAsia" w:hint="eastAsia"/>
          <w:color w:val="auto"/>
          <w:sz w:val="24"/>
        </w:rPr>
        <w:t>，</w:t>
      </w:r>
      <w:r w:rsidR="00F536A1" w:rsidRPr="00F536A1">
        <w:rPr>
          <w:rFonts w:asciiTheme="minorEastAsia" w:eastAsiaTheme="minorEastAsia" w:hAnsiTheme="minorEastAsia" w:hint="eastAsia"/>
          <w:color w:val="auto"/>
          <w:sz w:val="24"/>
        </w:rPr>
        <w:t>符合集聚区的主导产业。</w:t>
      </w:r>
      <w:r w:rsidR="00F536A1" w:rsidRPr="00F536A1">
        <w:rPr>
          <w:rFonts w:asciiTheme="minorEastAsia" w:eastAsiaTheme="minorEastAsia" w:hAnsiTheme="minorEastAsia"/>
          <w:color w:val="auto"/>
          <w:sz w:val="24"/>
        </w:rPr>
        <w:t>根据《产业结构调整指导目录</w:t>
      </w:r>
      <w:r w:rsidR="00F536A1" w:rsidRPr="00F536A1">
        <w:rPr>
          <w:rFonts w:asciiTheme="minorHAnsi" w:eastAsiaTheme="minorEastAsia" w:hAnsiTheme="minorEastAsia" w:cstheme="minorHAnsi"/>
          <w:color w:val="auto"/>
          <w:sz w:val="24"/>
        </w:rPr>
        <w:t>（</w:t>
      </w:r>
      <w:r w:rsidR="00F536A1" w:rsidRPr="00F536A1">
        <w:rPr>
          <w:rFonts w:asciiTheme="minorHAnsi" w:eastAsiaTheme="minorEastAsia" w:hAnsiTheme="minorHAnsi" w:cstheme="minorHAnsi"/>
          <w:color w:val="auto"/>
          <w:sz w:val="24"/>
        </w:rPr>
        <w:t>2019</w:t>
      </w:r>
      <w:r w:rsidR="00F536A1" w:rsidRPr="00F536A1">
        <w:rPr>
          <w:rFonts w:asciiTheme="minorHAnsi" w:eastAsiaTheme="minorEastAsia" w:hAnsiTheme="minorEastAsia" w:cstheme="minorHAnsi"/>
          <w:color w:val="auto"/>
          <w:sz w:val="24"/>
        </w:rPr>
        <w:t>年本）》，</w:t>
      </w:r>
      <w:r w:rsidR="00F536A1" w:rsidRPr="00F536A1">
        <w:rPr>
          <w:rFonts w:asciiTheme="minorEastAsia" w:eastAsiaTheme="minorEastAsia" w:hAnsiTheme="minorEastAsia"/>
          <w:color w:val="auto"/>
          <w:sz w:val="24"/>
        </w:rPr>
        <w:t>本项目</w:t>
      </w:r>
      <w:r w:rsidR="00F536A1" w:rsidRPr="00F536A1">
        <w:rPr>
          <w:rFonts w:asciiTheme="minorEastAsia" w:eastAsiaTheme="minorEastAsia" w:hAnsiTheme="minorEastAsia" w:hint="eastAsia"/>
          <w:color w:val="auto"/>
          <w:sz w:val="24"/>
        </w:rPr>
        <w:t>属于鼓励类</w:t>
      </w:r>
      <w:r w:rsidR="009448F0">
        <w:rPr>
          <w:rFonts w:asciiTheme="minorEastAsia" w:eastAsiaTheme="minorEastAsia" w:hAnsiTheme="minorEastAsia" w:hint="eastAsia"/>
          <w:color w:val="auto"/>
          <w:sz w:val="24"/>
        </w:rPr>
        <w:t>项目</w:t>
      </w:r>
      <w:r w:rsidR="00F536A1" w:rsidRPr="00F536A1">
        <w:rPr>
          <w:rFonts w:asciiTheme="minorEastAsia" w:eastAsiaTheme="minorEastAsia" w:hAnsiTheme="minorEastAsia" w:hint="eastAsia"/>
          <w:color w:val="auto"/>
          <w:sz w:val="24"/>
        </w:rPr>
        <w:t>。同时，项目不在《市场准入负面</w:t>
      </w:r>
      <w:r w:rsidR="00F536A1" w:rsidRPr="005C4969">
        <w:rPr>
          <w:rFonts w:asciiTheme="minorHAnsi" w:eastAsiaTheme="minorEastAsia" w:hAnsiTheme="minorHAnsi"/>
          <w:color w:val="auto"/>
          <w:sz w:val="24"/>
        </w:rPr>
        <w:t>清单》（</w:t>
      </w:r>
      <w:r w:rsidR="00F536A1" w:rsidRPr="005C4969">
        <w:rPr>
          <w:rFonts w:asciiTheme="minorHAnsi" w:eastAsiaTheme="minorEastAsia" w:hAnsiTheme="minorHAnsi"/>
          <w:color w:val="auto"/>
          <w:sz w:val="24"/>
        </w:rPr>
        <w:t>2020</w:t>
      </w:r>
      <w:r w:rsidR="00F536A1" w:rsidRPr="005C4969">
        <w:rPr>
          <w:rFonts w:asciiTheme="minorHAnsi" w:eastAsiaTheme="minorEastAsia" w:hAnsiTheme="minorHAnsi"/>
          <w:color w:val="auto"/>
          <w:sz w:val="24"/>
        </w:rPr>
        <w:t>年版）</w:t>
      </w:r>
      <w:r w:rsidR="00F536A1" w:rsidRPr="00F536A1">
        <w:rPr>
          <w:rFonts w:asciiTheme="minorEastAsia" w:eastAsiaTheme="minorEastAsia" w:hAnsiTheme="minorEastAsia" w:hint="eastAsia"/>
          <w:color w:val="auto"/>
          <w:sz w:val="24"/>
        </w:rPr>
        <w:t>中禁止准入事项之列，且该项目已经通过平顶山尼龙新材料产业集聚区管理委员会备案。</w:t>
      </w:r>
      <w:r w:rsidR="00D5104E">
        <w:rPr>
          <w:rFonts w:asciiTheme="minorEastAsia" w:eastAsiaTheme="minorEastAsia" w:hAnsiTheme="minorEastAsia" w:hint="eastAsia"/>
          <w:color w:val="auto"/>
          <w:sz w:val="24"/>
        </w:rPr>
        <w:t>本项目</w:t>
      </w:r>
      <w:r w:rsidR="00D5104E" w:rsidRPr="00964557">
        <w:rPr>
          <w:rFonts w:ascii="Calibri" w:hAnsi="Calibri" w:hint="eastAsia"/>
          <w:bCs/>
          <w:color w:val="auto"/>
          <w:sz w:val="24"/>
        </w:rPr>
        <w:t>所用地块</w:t>
      </w:r>
      <w:r w:rsidR="00C81F40" w:rsidRPr="00C81F40">
        <w:rPr>
          <w:rFonts w:asciiTheme="minorEastAsia" w:eastAsiaTheme="minorEastAsia" w:hAnsiTheme="minorEastAsia" w:hint="eastAsia"/>
          <w:color w:val="auto"/>
          <w:sz w:val="24"/>
        </w:rPr>
        <w:t>平顶山倍安德塑化有限公司</w:t>
      </w:r>
      <w:r w:rsidR="00D5104E" w:rsidRPr="00C81F40">
        <w:rPr>
          <w:rFonts w:asciiTheme="minorEastAsia" w:eastAsiaTheme="minorEastAsia" w:hAnsiTheme="minorEastAsia" w:hint="eastAsia"/>
          <w:color w:val="auto"/>
          <w:sz w:val="24"/>
        </w:rPr>
        <w:t>已</w:t>
      </w:r>
      <w:r w:rsidR="00D5104E" w:rsidRPr="00964557">
        <w:rPr>
          <w:rFonts w:ascii="Calibri" w:hAnsi="Calibri" w:hint="eastAsia"/>
          <w:bCs/>
          <w:color w:val="auto"/>
          <w:sz w:val="24"/>
        </w:rPr>
        <w:t>经办理了国有土地使用证（</w:t>
      </w:r>
      <w:r w:rsidR="00D5104E">
        <w:rPr>
          <w:rFonts w:ascii="Calibri" w:hAnsi="Calibri" w:hint="eastAsia"/>
          <w:bCs/>
          <w:color w:val="auto"/>
          <w:sz w:val="24"/>
        </w:rPr>
        <w:t>豫</w:t>
      </w:r>
      <w:r w:rsidR="00D5104E">
        <w:rPr>
          <w:rFonts w:ascii="Calibri" w:hAnsi="Calibri"/>
          <w:bCs/>
          <w:color w:val="auto"/>
          <w:sz w:val="24"/>
        </w:rPr>
        <w:t>（</w:t>
      </w:r>
      <w:r w:rsidR="00D5104E">
        <w:rPr>
          <w:rFonts w:ascii="Calibri" w:hAnsi="Calibri" w:hint="eastAsia"/>
          <w:bCs/>
          <w:color w:val="auto"/>
          <w:sz w:val="24"/>
        </w:rPr>
        <w:t>2022</w:t>
      </w:r>
      <w:r w:rsidR="00D5104E">
        <w:rPr>
          <w:rFonts w:ascii="Calibri" w:hAnsi="Calibri"/>
          <w:bCs/>
          <w:color w:val="auto"/>
          <w:sz w:val="24"/>
        </w:rPr>
        <w:t>）</w:t>
      </w:r>
      <w:r w:rsidR="00D5104E">
        <w:rPr>
          <w:rFonts w:ascii="Calibri" w:hAnsi="Calibri" w:hint="eastAsia"/>
          <w:bCs/>
          <w:color w:val="auto"/>
          <w:sz w:val="24"/>
        </w:rPr>
        <w:t>叶县</w:t>
      </w:r>
      <w:r w:rsidR="00D5104E">
        <w:rPr>
          <w:rFonts w:ascii="Calibri" w:hAnsi="Calibri"/>
          <w:bCs/>
          <w:color w:val="auto"/>
          <w:sz w:val="24"/>
        </w:rPr>
        <w:t>不动产权第</w:t>
      </w:r>
      <w:r w:rsidR="00D5104E">
        <w:rPr>
          <w:rFonts w:ascii="Calibri" w:hAnsi="Calibri" w:hint="eastAsia"/>
          <w:bCs/>
          <w:color w:val="auto"/>
          <w:sz w:val="24"/>
        </w:rPr>
        <w:t>0009196</w:t>
      </w:r>
      <w:r w:rsidR="00D5104E">
        <w:rPr>
          <w:rFonts w:ascii="Calibri" w:hAnsi="Calibri" w:hint="eastAsia"/>
          <w:bCs/>
          <w:color w:val="auto"/>
          <w:sz w:val="24"/>
        </w:rPr>
        <w:t>号</w:t>
      </w:r>
      <w:r w:rsidR="00D5104E" w:rsidRPr="00964557">
        <w:rPr>
          <w:rFonts w:ascii="Calibri" w:hAnsi="Calibri" w:hint="eastAsia"/>
          <w:bCs/>
          <w:color w:val="auto"/>
          <w:sz w:val="24"/>
        </w:rPr>
        <w:t>），地类用途为工业用地，项目用地符合</w:t>
      </w:r>
      <w:r w:rsidR="00D5104E">
        <w:rPr>
          <w:rFonts w:ascii="Calibri" w:hAnsi="Calibri" w:hint="eastAsia"/>
          <w:bCs/>
          <w:color w:val="auto"/>
          <w:sz w:val="24"/>
        </w:rPr>
        <w:t>叶县</w:t>
      </w:r>
      <w:r w:rsidR="00D5104E" w:rsidRPr="00964557">
        <w:rPr>
          <w:rFonts w:ascii="Calibri" w:hAnsi="Calibri" w:hint="eastAsia"/>
          <w:bCs/>
          <w:color w:val="auto"/>
          <w:sz w:val="24"/>
        </w:rPr>
        <w:t>土地利用总体规划及城市总体规划。</w:t>
      </w:r>
    </w:p>
    <w:p w14:paraId="2BB642B2" w14:textId="77777777" w:rsidR="0055605A" w:rsidRPr="00280BE8" w:rsidRDefault="0055605A" w:rsidP="00DE6A27">
      <w:pPr>
        <w:pStyle w:val="ad"/>
        <w:rPr>
          <w:color w:val="auto"/>
        </w:rPr>
      </w:pPr>
      <w:r w:rsidRPr="00DE09E8">
        <w:rPr>
          <w:rFonts w:ascii="Calibri" w:hAnsi="Calibri" w:hint="eastAsia"/>
          <w:color w:val="auto"/>
        </w:rPr>
        <w:t>1.8</w:t>
      </w:r>
      <w:r w:rsidRPr="00DE09E8">
        <w:rPr>
          <w:rFonts w:ascii="Calibri" w:hAnsi="Calibri"/>
          <w:color w:val="auto"/>
        </w:rPr>
        <w:t>.</w:t>
      </w:r>
      <w:r w:rsidR="00A25662" w:rsidRPr="00DE09E8">
        <w:rPr>
          <w:rFonts w:ascii="Calibri" w:hAnsi="Calibri" w:hint="eastAsia"/>
          <w:color w:val="auto"/>
        </w:rPr>
        <w:t>5</w:t>
      </w:r>
      <w:r w:rsidR="005231E1" w:rsidRPr="00DE09E8">
        <w:rPr>
          <w:rFonts w:hint="eastAsia"/>
          <w:color w:val="auto"/>
        </w:rPr>
        <w:t>与</w:t>
      </w:r>
      <w:r w:rsidR="00280BE8" w:rsidRPr="00495A61">
        <w:rPr>
          <w:rFonts w:ascii="Calibri" w:hAnsi="Calibri" w:hint="eastAsia"/>
          <w:color w:val="auto"/>
        </w:rPr>
        <w:t>平顶山尼龙新材料产业集聚区总体发展规划（</w:t>
      </w:r>
      <w:r w:rsidR="00280BE8">
        <w:rPr>
          <w:rFonts w:ascii="Calibri" w:hAnsi="Calibri" w:hint="eastAsia"/>
          <w:color w:val="auto"/>
        </w:rPr>
        <w:t>2021</w:t>
      </w:r>
      <w:r w:rsidR="00280BE8" w:rsidRPr="00495A61">
        <w:rPr>
          <w:rFonts w:ascii="Calibri" w:hAnsi="Calibri" w:hint="eastAsia"/>
          <w:color w:val="auto"/>
        </w:rPr>
        <w:t>-20</w:t>
      </w:r>
      <w:r w:rsidR="00280BE8">
        <w:rPr>
          <w:rFonts w:ascii="Calibri" w:hAnsi="Calibri" w:hint="eastAsia"/>
          <w:color w:val="auto"/>
        </w:rPr>
        <w:t>3</w:t>
      </w:r>
      <w:r w:rsidR="00280BE8" w:rsidRPr="00495A61">
        <w:rPr>
          <w:rFonts w:ascii="Calibri" w:hAnsi="Calibri" w:hint="eastAsia"/>
          <w:color w:val="auto"/>
        </w:rPr>
        <w:t>0</w:t>
      </w:r>
      <w:r w:rsidR="00280BE8" w:rsidRPr="00495A61">
        <w:rPr>
          <w:rFonts w:ascii="Calibri" w:hAnsi="Calibri" w:hint="eastAsia"/>
          <w:color w:val="auto"/>
        </w:rPr>
        <w:t>）</w:t>
      </w:r>
      <w:r w:rsidR="00280BE8">
        <w:rPr>
          <w:rFonts w:ascii="Calibri" w:hAnsi="Calibri" w:hint="eastAsia"/>
          <w:color w:val="auto"/>
        </w:rPr>
        <w:t>环境影响报告书</w:t>
      </w:r>
      <w:r w:rsidR="005231E1" w:rsidRPr="00DE09E8">
        <w:rPr>
          <w:rFonts w:hint="eastAsia"/>
          <w:color w:val="auto"/>
        </w:rPr>
        <w:t>审查意见符合性分析</w:t>
      </w:r>
    </w:p>
    <w:p w14:paraId="0A2966BB" w14:textId="77777777" w:rsidR="00280BE8" w:rsidRDefault="00280BE8" w:rsidP="00A3537C">
      <w:pPr>
        <w:widowControl/>
        <w:spacing w:line="520" w:lineRule="exact"/>
        <w:ind w:firstLineChars="250" w:firstLine="600"/>
        <w:jc w:val="left"/>
        <w:rPr>
          <w:rFonts w:ascii="Calibri" w:hAnsi="Calibri"/>
          <w:bCs/>
          <w:color w:val="auto"/>
          <w:sz w:val="24"/>
        </w:rPr>
      </w:pPr>
      <w:r>
        <w:rPr>
          <w:rFonts w:ascii="Calibri" w:hAnsi="Calibri" w:hint="eastAsia"/>
          <w:bCs/>
          <w:color w:val="auto"/>
          <w:sz w:val="24"/>
        </w:rPr>
        <w:t>2022</w:t>
      </w:r>
      <w:r w:rsidRPr="00280BE8">
        <w:rPr>
          <w:rFonts w:ascii="Calibri" w:hAnsi="Calibri" w:hint="eastAsia"/>
          <w:bCs/>
          <w:color w:val="auto"/>
          <w:sz w:val="24"/>
        </w:rPr>
        <w:t>年</w:t>
      </w:r>
      <w:r>
        <w:rPr>
          <w:rFonts w:ascii="Calibri" w:hAnsi="Calibri" w:hint="eastAsia"/>
          <w:bCs/>
          <w:color w:val="auto"/>
          <w:sz w:val="24"/>
        </w:rPr>
        <w:t>1</w:t>
      </w:r>
      <w:r w:rsidRPr="00280BE8">
        <w:rPr>
          <w:rFonts w:ascii="Calibri" w:hAnsi="Calibri" w:hint="eastAsia"/>
          <w:bCs/>
          <w:color w:val="auto"/>
          <w:sz w:val="24"/>
        </w:rPr>
        <w:t>月</w:t>
      </w:r>
      <w:r>
        <w:rPr>
          <w:rFonts w:ascii="Calibri" w:hAnsi="Calibri" w:hint="eastAsia"/>
          <w:bCs/>
          <w:color w:val="auto"/>
          <w:sz w:val="24"/>
        </w:rPr>
        <w:t>21</w:t>
      </w:r>
      <w:r w:rsidRPr="00280BE8">
        <w:rPr>
          <w:rFonts w:ascii="Calibri" w:hAnsi="Calibri" w:hint="eastAsia"/>
          <w:bCs/>
          <w:color w:val="auto"/>
          <w:sz w:val="24"/>
        </w:rPr>
        <w:t>日，省生态环境厅在郑州市组织召开了《平顶山尼龙新材料产业集聚区总体发展规划（</w:t>
      </w:r>
      <w:r w:rsidRPr="00280BE8">
        <w:rPr>
          <w:rFonts w:ascii="Calibri" w:hAnsi="Calibri" w:hint="eastAsia"/>
          <w:bCs/>
          <w:color w:val="auto"/>
          <w:sz w:val="24"/>
        </w:rPr>
        <w:t>2021-2030</w:t>
      </w:r>
      <w:r w:rsidRPr="00280BE8">
        <w:rPr>
          <w:rFonts w:ascii="Calibri" w:hAnsi="Calibri" w:hint="eastAsia"/>
          <w:bCs/>
          <w:color w:val="auto"/>
          <w:sz w:val="24"/>
        </w:rPr>
        <w:t>）环境影响报告书》（以下简称《报告书》）审查会，</w:t>
      </w:r>
      <w:r w:rsidR="00A3537C">
        <w:rPr>
          <w:rFonts w:ascii="Calibri" w:hAnsi="Calibri" w:hint="eastAsia"/>
          <w:bCs/>
          <w:color w:val="auto"/>
          <w:sz w:val="24"/>
        </w:rPr>
        <w:t>2022</w:t>
      </w:r>
      <w:r w:rsidR="00A3537C" w:rsidRPr="00A3537C">
        <w:rPr>
          <w:rFonts w:ascii="Calibri" w:hAnsi="Calibri" w:hint="eastAsia"/>
          <w:bCs/>
          <w:color w:val="auto"/>
          <w:sz w:val="24"/>
        </w:rPr>
        <w:t>年</w:t>
      </w:r>
      <w:r w:rsidR="00A3537C">
        <w:rPr>
          <w:rFonts w:ascii="Calibri" w:hAnsi="Calibri" w:hint="eastAsia"/>
          <w:bCs/>
          <w:color w:val="auto"/>
          <w:sz w:val="24"/>
        </w:rPr>
        <w:t>2</w:t>
      </w:r>
      <w:r w:rsidR="00A3537C" w:rsidRPr="00A3537C">
        <w:rPr>
          <w:rFonts w:ascii="Calibri" w:hAnsi="Calibri" w:hint="eastAsia"/>
          <w:bCs/>
          <w:color w:val="auto"/>
          <w:sz w:val="24"/>
        </w:rPr>
        <w:t>月</w:t>
      </w:r>
      <w:r w:rsidR="00A3537C">
        <w:rPr>
          <w:rFonts w:ascii="Calibri" w:hAnsi="Calibri" w:hint="eastAsia"/>
          <w:bCs/>
          <w:color w:val="auto"/>
          <w:sz w:val="24"/>
        </w:rPr>
        <w:t>23</w:t>
      </w:r>
      <w:r w:rsidR="00A3537C" w:rsidRPr="00A3537C">
        <w:rPr>
          <w:rFonts w:ascii="Calibri" w:hAnsi="Calibri" w:hint="eastAsia"/>
          <w:bCs/>
          <w:color w:val="auto"/>
          <w:sz w:val="24"/>
        </w:rPr>
        <w:t>日组织召开了技术复审会</w:t>
      </w:r>
      <w:r w:rsidR="00A3537C">
        <w:rPr>
          <w:rFonts w:ascii="Calibri" w:hAnsi="Calibri" w:hint="eastAsia"/>
          <w:bCs/>
          <w:color w:val="auto"/>
          <w:sz w:val="24"/>
        </w:rPr>
        <w:t>，</w:t>
      </w:r>
      <w:r w:rsidR="00A3537C" w:rsidRPr="00A964FF">
        <w:rPr>
          <w:rFonts w:ascii="Calibri" w:hAnsi="Calibri" w:hint="eastAsia"/>
          <w:bCs/>
          <w:color w:val="auto"/>
          <w:sz w:val="24"/>
        </w:rPr>
        <w:t>河南省生态环境厅于</w:t>
      </w:r>
      <w:r w:rsidR="00A3537C">
        <w:rPr>
          <w:rFonts w:ascii="Calibri" w:hAnsi="Calibri" w:hint="eastAsia"/>
          <w:bCs/>
          <w:color w:val="auto"/>
          <w:sz w:val="24"/>
        </w:rPr>
        <w:t>2022</w:t>
      </w:r>
      <w:r w:rsidR="00A3537C" w:rsidRPr="00A964FF">
        <w:rPr>
          <w:rFonts w:ascii="Calibri" w:hAnsi="Calibri" w:hint="eastAsia"/>
          <w:bCs/>
          <w:color w:val="auto"/>
          <w:sz w:val="24"/>
        </w:rPr>
        <w:t>年</w:t>
      </w:r>
      <w:r w:rsidR="00A3537C">
        <w:rPr>
          <w:rFonts w:ascii="Calibri" w:hAnsi="Calibri" w:hint="eastAsia"/>
          <w:bCs/>
          <w:color w:val="auto"/>
          <w:sz w:val="24"/>
        </w:rPr>
        <w:t>3</w:t>
      </w:r>
      <w:r w:rsidR="00A3537C" w:rsidRPr="00A964FF">
        <w:rPr>
          <w:rFonts w:ascii="Calibri" w:hAnsi="Calibri" w:hint="eastAsia"/>
          <w:bCs/>
          <w:color w:val="auto"/>
          <w:sz w:val="24"/>
        </w:rPr>
        <w:t>月</w:t>
      </w:r>
      <w:r w:rsidR="00A3537C" w:rsidRPr="00A964FF">
        <w:rPr>
          <w:rFonts w:ascii="Calibri" w:hAnsi="Calibri" w:hint="eastAsia"/>
          <w:bCs/>
          <w:color w:val="auto"/>
          <w:sz w:val="24"/>
        </w:rPr>
        <w:t>21</w:t>
      </w:r>
      <w:r w:rsidR="00A3537C" w:rsidRPr="00A964FF">
        <w:rPr>
          <w:rFonts w:ascii="Calibri" w:hAnsi="Calibri" w:hint="eastAsia"/>
          <w:bCs/>
          <w:color w:val="auto"/>
          <w:sz w:val="24"/>
        </w:rPr>
        <w:t>日出具了审核意见，审核文号为：豫环函【</w:t>
      </w:r>
      <w:r w:rsidR="00A3537C" w:rsidRPr="00A964FF">
        <w:rPr>
          <w:rFonts w:ascii="Calibri" w:hAnsi="Calibri" w:hint="eastAsia"/>
          <w:bCs/>
          <w:color w:val="auto"/>
          <w:sz w:val="24"/>
        </w:rPr>
        <w:t>20</w:t>
      </w:r>
      <w:r w:rsidR="00A3537C">
        <w:rPr>
          <w:rFonts w:ascii="Calibri" w:hAnsi="Calibri" w:hint="eastAsia"/>
          <w:bCs/>
          <w:color w:val="auto"/>
          <w:sz w:val="24"/>
        </w:rPr>
        <w:t>22</w:t>
      </w:r>
      <w:r w:rsidR="00A3537C" w:rsidRPr="00A964FF">
        <w:rPr>
          <w:rFonts w:ascii="Calibri" w:hAnsi="Calibri" w:hint="eastAsia"/>
          <w:bCs/>
          <w:color w:val="auto"/>
          <w:sz w:val="24"/>
        </w:rPr>
        <w:t>】</w:t>
      </w:r>
      <w:r w:rsidR="00A3537C">
        <w:rPr>
          <w:rFonts w:ascii="Calibri" w:hAnsi="Calibri" w:hint="eastAsia"/>
          <w:bCs/>
          <w:color w:val="auto"/>
          <w:sz w:val="24"/>
        </w:rPr>
        <w:t>19</w:t>
      </w:r>
      <w:r w:rsidR="00A3537C" w:rsidRPr="00A964FF">
        <w:rPr>
          <w:rFonts w:ascii="Calibri" w:hAnsi="Calibri" w:hint="eastAsia"/>
          <w:bCs/>
          <w:color w:val="auto"/>
          <w:sz w:val="24"/>
        </w:rPr>
        <w:t>号。</w:t>
      </w:r>
      <w:r w:rsidRPr="00280BE8">
        <w:rPr>
          <w:rFonts w:ascii="Calibri" w:hAnsi="Calibri" w:hint="eastAsia"/>
          <w:bCs/>
          <w:color w:val="auto"/>
          <w:sz w:val="24"/>
        </w:rPr>
        <w:t>形成审查意见如下：</w:t>
      </w:r>
    </w:p>
    <w:p w14:paraId="7156D305" w14:textId="77777777" w:rsidR="00A3537C" w:rsidRDefault="006607E0" w:rsidP="00A3537C">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w:t>
      </w:r>
      <w:r w:rsidR="00A3537C" w:rsidRPr="00A3537C">
        <w:rPr>
          <w:rFonts w:ascii="Calibri" w:hAnsi="Calibri" w:hint="eastAsia"/>
          <w:bCs/>
          <w:color w:val="auto"/>
          <w:sz w:val="24"/>
        </w:rPr>
        <w:t>平顶山尼龙新材料产业集聚区位于平顶山市叶县，根据省发展改革委《关于平顶山市产业集聚区规划纲要的批复》（豫发改工业〔</w:t>
      </w:r>
      <w:r w:rsidR="00A3537C" w:rsidRPr="00A3537C">
        <w:rPr>
          <w:rFonts w:ascii="Calibri" w:hAnsi="Calibri" w:hint="eastAsia"/>
          <w:bCs/>
          <w:color w:val="auto"/>
          <w:sz w:val="24"/>
        </w:rPr>
        <w:t>2021</w:t>
      </w:r>
      <w:r w:rsidR="00A3537C" w:rsidRPr="00A3537C">
        <w:rPr>
          <w:rFonts w:ascii="Calibri" w:hAnsi="Calibri" w:hint="eastAsia"/>
          <w:bCs/>
          <w:color w:val="auto"/>
          <w:sz w:val="24"/>
        </w:rPr>
        <w:t>〕</w:t>
      </w:r>
      <w:r w:rsidR="00A3537C">
        <w:rPr>
          <w:rFonts w:ascii="Calibri" w:hAnsi="Calibri" w:hint="eastAsia"/>
          <w:bCs/>
          <w:color w:val="auto"/>
          <w:sz w:val="24"/>
        </w:rPr>
        <w:t>547</w:t>
      </w:r>
      <w:r w:rsidR="00A3537C" w:rsidRPr="00A3537C">
        <w:rPr>
          <w:rFonts w:ascii="Calibri" w:hAnsi="Calibri" w:hint="eastAsia"/>
          <w:bCs/>
          <w:color w:val="auto"/>
          <w:sz w:val="24"/>
        </w:rPr>
        <w:t>号）和平顶山市产业集聚区发展联席会议办公室有关平顶山尼龙新材料产业集聚区规划问题的工作会议纪要，平顶山尼龙新材料产业集聚区规划范围为东至</w:t>
      </w:r>
      <w:r w:rsidR="00A3537C">
        <w:rPr>
          <w:rFonts w:ascii="Calibri" w:hAnsi="Calibri" w:hint="eastAsia"/>
          <w:bCs/>
          <w:color w:val="auto"/>
          <w:sz w:val="24"/>
        </w:rPr>
        <w:t>G234</w:t>
      </w:r>
      <w:r w:rsidR="00A3537C" w:rsidRPr="00A3537C">
        <w:rPr>
          <w:rFonts w:ascii="Calibri" w:hAnsi="Calibri" w:hint="eastAsia"/>
          <w:bCs/>
          <w:color w:val="auto"/>
          <w:sz w:val="24"/>
        </w:rPr>
        <w:t>兴阳线平顶山市区段，西至希望大道，北至沙河一路，南至龚店镇南，规划面积为</w:t>
      </w:r>
      <w:r w:rsidR="00A3537C">
        <w:rPr>
          <w:rFonts w:ascii="Calibri" w:hAnsi="Calibri" w:hint="eastAsia"/>
          <w:bCs/>
          <w:color w:val="auto"/>
          <w:sz w:val="24"/>
        </w:rPr>
        <w:t>25</w:t>
      </w:r>
      <w:r w:rsidR="00A3537C" w:rsidRPr="00A3537C">
        <w:rPr>
          <w:rFonts w:ascii="Calibri" w:hAnsi="Calibri" w:hint="eastAsia"/>
          <w:bCs/>
          <w:color w:val="auto"/>
          <w:sz w:val="24"/>
        </w:rPr>
        <w:t>平方公里，主导产业为化工、医药、尼龙新材料。</w:t>
      </w:r>
    </w:p>
    <w:p w14:paraId="2AEA64C6" w14:textId="481105DD" w:rsidR="00A3537C" w:rsidRDefault="00A3537C" w:rsidP="00A3537C">
      <w:pPr>
        <w:spacing w:line="520" w:lineRule="exact"/>
        <w:ind w:firstLineChars="200" w:firstLine="480"/>
        <w:jc w:val="left"/>
        <w:rPr>
          <w:rFonts w:ascii="Calibri" w:hAnsi="Calibri"/>
          <w:bCs/>
          <w:color w:val="auto"/>
          <w:sz w:val="24"/>
        </w:rPr>
      </w:pPr>
      <w:r w:rsidRPr="00A3537C">
        <w:rPr>
          <w:rFonts w:ascii="Calibri" w:hAnsi="Calibri" w:hint="eastAsia"/>
          <w:bCs/>
          <w:color w:val="auto"/>
          <w:sz w:val="24"/>
        </w:rPr>
        <w:t>二、审查小组认为，《报告书》基础资料较</w:t>
      </w:r>
      <w:r w:rsidR="00C81F40">
        <w:rPr>
          <w:rFonts w:ascii="Calibri" w:hAnsi="Calibri" w:hint="eastAsia"/>
          <w:bCs/>
          <w:color w:val="auto"/>
          <w:sz w:val="24"/>
        </w:rPr>
        <w:t>详</w:t>
      </w:r>
      <w:r w:rsidRPr="00A3537C">
        <w:rPr>
          <w:rFonts w:ascii="Calibri" w:hAnsi="Calibri" w:hint="eastAsia"/>
          <w:bCs/>
          <w:color w:val="auto"/>
          <w:sz w:val="24"/>
        </w:rPr>
        <w:t>实，评价内容较全面，采用的技术路线与方法适当，提出的规划优化调整建议和减缓不良环境影响的对策措施原则可行，公众参与符合相关规范要求，评价结论总体可信，可作为规划优化调整和实施的依据。</w:t>
      </w:r>
    </w:p>
    <w:p w14:paraId="7D28C071" w14:textId="77777777" w:rsidR="006607E0" w:rsidRPr="00A964FF" w:rsidRDefault="006607E0" w:rsidP="00A3537C">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三、进一步做好规划实施的环境保护工作，</w:t>
      </w:r>
      <w:r w:rsidR="00A3537C">
        <w:rPr>
          <w:rFonts w:ascii="Calibri" w:hAnsi="Calibri" w:hint="eastAsia"/>
          <w:bCs/>
          <w:color w:val="auto"/>
          <w:sz w:val="24"/>
        </w:rPr>
        <w:t>提出规划调整和实施意见</w:t>
      </w:r>
      <w:r w:rsidRPr="00A964FF">
        <w:rPr>
          <w:rFonts w:ascii="Calibri" w:hAnsi="Calibri" w:hint="eastAsia"/>
          <w:bCs/>
          <w:color w:val="auto"/>
          <w:sz w:val="24"/>
        </w:rPr>
        <w:t>，本项目建设与其相符性分析见表</w:t>
      </w:r>
      <w:r w:rsidRPr="00A964FF">
        <w:rPr>
          <w:rFonts w:ascii="Calibri" w:hAnsi="Calibri" w:hint="eastAsia"/>
          <w:bCs/>
          <w:color w:val="auto"/>
          <w:sz w:val="24"/>
        </w:rPr>
        <w:t>1</w:t>
      </w:r>
      <w:r w:rsidR="00F72C10" w:rsidRPr="00A964FF">
        <w:rPr>
          <w:rFonts w:ascii="Calibri" w:hAnsi="Calibri" w:hint="eastAsia"/>
          <w:bCs/>
          <w:color w:val="auto"/>
          <w:sz w:val="24"/>
        </w:rPr>
        <w:t>.8</w:t>
      </w:r>
      <w:r w:rsidRPr="00A964FF">
        <w:rPr>
          <w:rFonts w:ascii="Calibri" w:hAnsi="Calibri" w:hint="eastAsia"/>
          <w:bCs/>
          <w:color w:val="auto"/>
          <w:sz w:val="24"/>
        </w:rPr>
        <w:t>-</w:t>
      </w:r>
      <w:r w:rsidR="0061483B">
        <w:rPr>
          <w:rFonts w:ascii="Calibri" w:hAnsi="Calibri" w:hint="eastAsia"/>
          <w:bCs/>
          <w:color w:val="auto"/>
          <w:sz w:val="24"/>
        </w:rPr>
        <w:t>10</w:t>
      </w:r>
      <w:r w:rsidRPr="00A964FF">
        <w:rPr>
          <w:rFonts w:ascii="Calibri" w:hAnsi="Calibri" w:hint="eastAsia"/>
          <w:bCs/>
          <w:color w:val="auto"/>
          <w:sz w:val="24"/>
        </w:rPr>
        <w:t>。</w:t>
      </w:r>
    </w:p>
    <w:p w14:paraId="1F6B97F4" w14:textId="77777777" w:rsidR="0004538D" w:rsidRDefault="0004538D" w:rsidP="000E33B8">
      <w:pPr>
        <w:spacing w:line="600" w:lineRule="exact"/>
        <w:ind w:firstLineChars="200" w:firstLine="480"/>
        <w:rPr>
          <w:rFonts w:ascii="Calibri" w:eastAsia="黑体" w:hAnsi="黑体"/>
          <w:bCs/>
          <w:color w:val="auto"/>
          <w:sz w:val="24"/>
          <w:szCs w:val="28"/>
        </w:rPr>
      </w:pPr>
    </w:p>
    <w:p w14:paraId="4A47DEC3" w14:textId="77777777" w:rsidR="00C81F40" w:rsidRDefault="00C81F40" w:rsidP="000E33B8">
      <w:pPr>
        <w:spacing w:line="600" w:lineRule="exact"/>
        <w:ind w:firstLineChars="200" w:firstLine="480"/>
        <w:rPr>
          <w:rFonts w:ascii="Calibri" w:eastAsia="黑体" w:hAnsi="黑体"/>
          <w:bCs/>
          <w:color w:val="auto"/>
          <w:sz w:val="24"/>
          <w:szCs w:val="28"/>
        </w:rPr>
      </w:pPr>
    </w:p>
    <w:p w14:paraId="7DB12A81" w14:textId="51231776" w:rsidR="006607E0" w:rsidRPr="00A964FF" w:rsidRDefault="006607E0" w:rsidP="000E33B8">
      <w:pPr>
        <w:spacing w:line="600" w:lineRule="exact"/>
        <w:ind w:firstLineChars="200" w:firstLine="480"/>
        <w:rPr>
          <w:rFonts w:ascii="黑体" w:eastAsia="黑体" w:hAnsi="黑体"/>
          <w:bCs/>
          <w:color w:val="auto"/>
          <w:sz w:val="24"/>
          <w:szCs w:val="28"/>
        </w:rPr>
      </w:pPr>
      <w:r w:rsidRPr="00A964FF">
        <w:rPr>
          <w:rFonts w:ascii="Calibri" w:eastAsia="黑体" w:hAnsi="黑体"/>
          <w:bCs/>
          <w:color w:val="auto"/>
          <w:sz w:val="24"/>
          <w:szCs w:val="28"/>
        </w:rPr>
        <w:lastRenderedPageBreak/>
        <w:t>表</w:t>
      </w:r>
      <w:r w:rsidRPr="00A964FF">
        <w:rPr>
          <w:rFonts w:ascii="Calibri" w:eastAsia="黑体" w:hAnsi="Calibri"/>
          <w:bCs/>
          <w:color w:val="auto"/>
          <w:sz w:val="24"/>
          <w:szCs w:val="28"/>
        </w:rPr>
        <w:t>1</w:t>
      </w:r>
      <w:r w:rsidR="00F72C10" w:rsidRPr="00A964FF">
        <w:rPr>
          <w:rFonts w:ascii="Calibri" w:eastAsia="黑体" w:hAnsi="Calibri" w:hint="eastAsia"/>
          <w:bCs/>
          <w:color w:val="auto"/>
          <w:sz w:val="24"/>
          <w:szCs w:val="28"/>
        </w:rPr>
        <w:t>.8</w:t>
      </w:r>
      <w:r w:rsidRPr="00A964FF">
        <w:rPr>
          <w:rFonts w:ascii="Calibri" w:eastAsia="黑体" w:hAnsi="Calibri"/>
          <w:bCs/>
          <w:color w:val="auto"/>
          <w:sz w:val="24"/>
          <w:szCs w:val="28"/>
        </w:rPr>
        <w:t>-</w:t>
      </w:r>
      <w:r w:rsidR="0061483B">
        <w:rPr>
          <w:rFonts w:ascii="Calibri" w:eastAsia="黑体" w:hAnsi="Calibri" w:hint="eastAsia"/>
          <w:bCs/>
          <w:color w:val="auto"/>
          <w:sz w:val="24"/>
          <w:szCs w:val="28"/>
        </w:rPr>
        <w:t>10</w:t>
      </w:r>
      <w:r w:rsidR="00BE2F04" w:rsidRPr="00A964FF">
        <w:rPr>
          <w:rFonts w:ascii="Calibri" w:eastAsia="黑体" w:hAnsi="Calibri" w:hint="eastAsia"/>
          <w:bCs/>
          <w:color w:val="auto"/>
          <w:sz w:val="24"/>
          <w:szCs w:val="28"/>
        </w:rPr>
        <w:t xml:space="preserve">  </w:t>
      </w:r>
      <w:r w:rsidRPr="00A964FF">
        <w:rPr>
          <w:rFonts w:ascii="Calibri" w:eastAsia="黑体" w:hAnsi="Calibri" w:hint="eastAsia"/>
          <w:bCs/>
          <w:color w:val="auto"/>
          <w:sz w:val="24"/>
          <w:szCs w:val="28"/>
        </w:rPr>
        <w:t>与</w:t>
      </w:r>
      <w:r w:rsidRPr="00A964FF">
        <w:rPr>
          <w:rFonts w:ascii="黑体" w:eastAsia="黑体" w:hAnsi="黑体" w:hint="eastAsia"/>
          <w:bCs/>
          <w:color w:val="auto"/>
          <w:sz w:val="24"/>
          <w:szCs w:val="28"/>
        </w:rPr>
        <w:t>尼龙新材料产业集聚区跟踪环境影响报告书审查意见符合性分析</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9"/>
        <w:gridCol w:w="868"/>
        <w:gridCol w:w="3905"/>
        <w:gridCol w:w="2462"/>
        <w:gridCol w:w="776"/>
      </w:tblGrid>
      <w:tr w:rsidR="006607E0" w:rsidRPr="00A964FF" w14:paraId="0F913865" w14:textId="77777777" w:rsidTr="006607E0">
        <w:trPr>
          <w:trHeight w:val="397"/>
        </w:trPr>
        <w:tc>
          <w:tcPr>
            <w:tcW w:w="396" w:type="pct"/>
            <w:vAlign w:val="center"/>
          </w:tcPr>
          <w:p w14:paraId="10B87FEA" w14:textId="77777777" w:rsidR="006607E0" w:rsidRPr="00A964FF" w:rsidRDefault="006607E0" w:rsidP="00125DB9">
            <w:pPr>
              <w:pStyle w:val="af6"/>
              <w:rPr>
                <w:rFonts w:ascii="Calibri"/>
                <w:color w:val="auto"/>
              </w:rPr>
            </w:pPr>
            <w:r w:rsidRPr="00A964FF">
              <w:rPr>
                <w:rFonts w:ascii="Calibri" w:hint="eastAsia"/>
                <w:color w:val="auto"/>
              </w:rPr>
              <w:t>序号</w:t>
            </w:r>
          </w:p>
        </w:tc>
        <w:tc>
          <w:tcPr>
            <w:tcW w:w="499" w:type="pct"/>
            <w:vAlign w:val="center"/>
          </w:tcPr>
          <w:p w14:paraId="111000F6" w14:textId="77777777" w:rsidR="006607E0" w:rsidRPr="00A964FF" w:rsidRDefault="006607E0" w:rsidP="00125DB9">
            <w:pPr>
              <w:pStyle w:val="af6"/>
              <w:rPr>
                <w:rFonts w:ascii="Calibri"/>
                <w:color w:val="auto"/>
              </w:rPr>
            </w:pPr>
            <w:r w:rsidRPr="00A964FF">
              <w:rPr>
                <w:rFonts w:ascii="Calibri"/>
                <w:color w:val="auto"/>
              </w:rPr>
              <w:t>内容</w:t>
            </w:r>
          </w:p>
        </w:tc>
        <w:tc>
          <w:tcPr>
            <w:tcW w:w="2244" w:type="pct"/>
            <w:vAlign w:val="center"/>
          </w:tcPr>
          <w:p w14:paraId="2E01A5C0" w14:textId="77777777" w:rsidR="006607E0" w:rsidRPr="00A964FF" w:rsidRDefault="006607E0" w:rsidP="00125DB9">
            <w:pPr>
              <w:pStyle w:val="af6"/>
              <w:rPr>
                <w:rFonts w:ascii="Calibri"/>
                <w:color w:val="auto"/>
              </w:rPr>
            </w:pPr>
            <w:r w:rsidRPr="00A964FF">
              <w:rPr>
                <w:rFonts w:ascii="Calibri"/>
                <w:color w:val="auto"/>
              </w:rPr>
              <w:t>要求</w:t>
            </w:r>
          </w:p>
        </w:tc>
        <w:tc>
          <w:tcPr>
            <w:tcW w:w="1415" w:type="pct"/>
            <w:vAlign w:val="center"/>
          </w:tcPr>
          <w:p w14:paraId="10407C10" w14:textId="77777777" w:rsidR="006607E0" w:rsidRPr="00A964FF" w:rsidRDefault="006607E0" w:rsidP="00125DB9">
            <w:pPr>
              <w:pStyle w:val="af6"/>
              <w:rPr>
                <w:rFonts w:ascii="Calibri"/>
                <w:color w:val="auto"/>
              </w:rPr>
            </w:pPr>
            <w:r w:rsidRPr="00A964FF">
              <w:rPr>
                <w:rFonts w:ascii="Calibri"/>
                <w:color w:val="auto"/>
              </w:rPr>
              <w:t>项目符合性分析</w:t>
            </w:r>
          </w:p>
        </w:tc>
        <w:tc>
          <w:tcPr>
            <w:tcW w:w="446" w:type="pct"/>
            <w:vAlign w:val="center"/>
          </w:tcPr>
          <w:p w14:paraId="14E425F7" w14:textId="77777777" w:rsidR="006607E0" w:rsidRPr="00A964FF" w:rsidRDefault="006607E0" w:rsidP="00125DB9">
            <w:pPr>
              <w:pStyle w:val="af6"/>
              <w:rPr>
                <w:rFonts w:ascii="Calibri"/>
                <w:color w:val="auto"/>
              </w:rPr>
            </w:pPr>
            <w:r w:rsidRPr="00A964FF">
              <w:rPr>
                <w:rFonts w:ascii="Calibri"/>
                <w:color w:val="auto"/>
              </w:rPr>
              <w:t>是否符合</w:t>
            </w:r>
          </w:p>
        </w:tc>
      </w:tr>
      <w:tr w:rsidR="006607E0" w:rsidRPr="00A964FF" w14:paraId="474405E8" w14:textId="77777777" w:rsidTr="006607E0">
        <w:trPr>
          <w:trHeight w:val="397"/>
        </w:trPr>
        <w:tc>
          <w:tcPr>
            <w:tcW w:w="396" w:type="pct"/>
            <w:vAlign w:val="center"/>
          </w:tcPr>
          <w:p w14:paraId="512D2EFE" w14:textId="77777777" w:rsidR="006607E0" w:rsidRPr="00A964FF" w:rsidRDefault="006607E0" w:rsidP="00125DB9">
            <w:pPr>
              <w:pStyle w:val="af6"/>
              <w:rPr>
                <w:rFonts w:ascii="Calibri"/>
                <w:color w:val="auto"/>
              </w:rPr>
            </w:pPr>
            <w:r w:rsidRPr="00A964FF">
              <w:rPr>
                <w:rFonts w:ascii="Calibri" w:hint="eastAsia"/>
                <w:color w:val="auto"/>
              </w:rPr>
              <w:t>1</w:t>
            </w:r>
          </w:p>
        </w:tc>
        <w:tc>
          <w:tcPr>
            <w:tcW w:w="499" w:type="pct"/>
            <w:vAlign w:val="center"/>
          </w:tcPr>
          <w:p w14:paraId="4D7097DF" w14:textId="77777777" w:rsidR="006607E0" w:rsidRPr="00A964FF" w:rsidRDefault="009A4906" w:rsidP="00125DB9">
            <w:pPr>
              <w:pStyle w:val="af6"/>
              <w:rPr>
                <w:rFonts w:ascii="Calibri"/>
                <w:color w:val="auto"/>
              </w:rPr>
            </w:pPr>
            <w:r w:rsidRPr="009A4906">
              <w:rPr>
                <w:rFonts w:ascii="Calibri" w:hint="eastAsia"/>
                <w:color w:val="auto"/>
              </w:rPr>
              <w:t>坚持绿色低碳高质量发展</w:t>
            </w:r>
          </w:p>
        </w:tc>
        <w:tc>
          <w:tcPr>
            <w:tcW w:w="2244" w:type="pct"/>
            <w:vAlign w:val="center"/>
          </w:tcPr>
          <w:p w14:paraId="737F186E" w14:textId="77777777" w:rsidR="006607E0" w:rsidRPr="00A964FF" w:rsidRDefault="009A4906" w:rsidP="00D5104E">
            <w:pPr>
              <w:pStyle w:val="af6"/>
              <w:rPr>
                <w:rFonts w:ascii="Calibri"/>
                <w:color w:val="auto"/>
              </w:rPr>
            </w:pPr>
            <w:r w:rsidRPr="009A4906">
              <w:rPr>
                <w:rFonts w:ascii="Calibri" w:hint="eastAsia"/>
                <w:color w:val="auto"/>
              </w:rPr>
              <w:t>规划应贯彻生态优先、绿色低碳、集约高效的绿色发展、协调发展理念，根据国家、省发展战略，以环境质量改善为核心，进一步优化产业集聚区的产业结构、发展规模、用地布局等，做好与区域“三线一单”成果的协调衔接，实现集聚区绿色低碳高质量发展目标。</w:t>
            </w:r>
          </w:p>
        </w:tc>
        <w:tc>
          <w:tcPr>
            <w:tcW w:w="1415" w:type="pct"/>
            <w:vAlign w:val="center"/>
          </w:tcPr>
          <w:p w14:paraId="6DD92CAB" w14:textId="77777777" w:rsidR="00E76448" w:rsidRPr="00E76448" w:rsidRDefault="006E4A45" w:rsidP="006E4A45">
            <w:pPr>
              <w:pStyle w:val="af6"/>
              <w:rPr>
                <w:rFonts w:ascii="Calibri"/>
                <w:color w:val="auto"/>
              </w:rPr>
            </w:pPr>
            <w:r>
              <w:rPr>
                <w:rFonts w:ascii="Calibri" w:hint="eastAsia"/>
                <w:color w:val="auto"/>
              </w:rPr>
              <w:t>本项目符合集聚区主导产业，符合叶县“三线一单要求”</w:t>
            </w:r>
          </w:p>
          <w:p w14:paraId="3F938DF0" w14:textId="77777777" w:rsidR="006607E0" w:rsidRPr="00E76448" w:rsidRDefault="006607E0" w:rsidP="00E12BF5">
            <w:pPr>
              <w:pStyle w:val="af6"/>
              <w:rPr>
                <w:rFonts w:ascii="Calibri"/>
                <w:color w:val="auto"/>
              </w:rPr>
            </w:pPr>
          </w:p>
        </w:tc>
        <w:tc>
          <w:tcPr>
            <w:tcW w:w="446" w:type="pct"/>
            <w:vAlign w:val="center"/>
          </w:tcPr>
          <w:p w14:paraId="1AB906BB" w14:textId="77777777" w:rsidR="006607E0" w:rsidRPr="00A964FF" w:rsidRDefault="006607E0" w:rsidP="00125DB9">
            <w:pPr>
              <w:pStyle w:val="af6"/>
              <w:rPr>
                <w:rFonts w:ascii="Calibri"/>
                <w:color w:val="auto"/>
              </w:rPr>
            </w:pPr>
            <w:r w:rsidRPr="00A964FF">
              <w:rPr>
                <w:rFonts w:ascii="Calibri" w:hint="eastAsia"/>
                <w:color w:val="auto"/>
              </w:rPr>
              <w:t>符合</w:t>
            </w:r>
          </w:p>
        </w:tc>
      </w:tr>
      <w:tr w:rsidR="006607E0" w:rsidRPr="00A964FF" w14:paraId="05A3CBEE" w14:textId="77777777" w:rsidTr="006607E0">
        <w:trPr>
          <w:trHeight w:val="397"/>
        </w:trPr>
        <w:tc>
          <w:tcPr>
            <w:tcW w:w="396" w:type="pct"/>
            <w:vAlign w:val="center"/>
          </w:tcPr>
          <w:p w14:paraId="17A3642F" w14:textId="77777777" w:rsidR="006607E0" w:rsidRPr="00A964FF" w:rsidRDefault="006607E0" w:rsidP="00125DB9">
            <w:pPr>
              <w:pStyle w:val="af6"/>
              <w:rPr>
                <w:rFonts w:ascii="Calibri"/>
                <w:color w:val="auto"/>
              </w:rPr>
            </w:pPr>
            <w:r w:rsidRPr="00A964FF">
              <w:rPr>
                <w:rFonts w:ascii="Calibri"/>
                <w:color w:val="auto"/>
              </w:rPr>
              <w:t>2</w:t>
            </w:r>
          </w:p>
        </w:tc>
        <w:tc>
          <w:tcPr>
            <w:tcW w:w="499" w:type="pct"/>
            <w:vAlign w:val="center"/>
          </w:tcPr>
          <w:p w14:paraId="72471CD0" w14:textId="77777777" w:rsidR="006607E0" w:rsidRPr="00A964FF" w:rsidRDefault="009A4906" w:rsidP="00125DB9">
            <w:pPr>
              <w:pStyle w:val="af6"/>
              <w:rPr>
                <w:rFonts w:ascii="Calibri"/>
                <w:color w:val="auto"/>
              </w:rPr>
            </w:pPr>
            <w:r w:rsidRPr="009A4906">
              <w:rPr>
                <w:rFonts w:ascii="Calibri" w:hint="eastAsia"/>
                <w:color w:val="auto"/>
              </w:rPr>
              <w:t>加快推进产业转型</w:t>
            </w:r>
          </w:p>
        </w:tc>
        <w:tc>
          <w:tcPr>
            <w:tcW w:w="2244" w:type="pct"/>
            <w:vAlign w:val="center"/>
          </w:tcPr>
          <w:p w14:paraId="2435E1AE" w14:textId="3801AAAB" w:rsidR="006607E0" w:rsidRPr="00A964FF" w:rsidRDefault="009A4906" w:rsidP="00C81F40">
            <w:pPr>
              <w:pStyle w:val="af6"/>
              <w:rPr>
                <w:rFonts w:ascii="Calibri"/>
                <w:color w:val="auto"/>
              </w:rPr>
            </w:pPr>
            <w:r w:rsidRPr="009A4906">
              <w:rPr>
                <w:rFonts w:ascii="Calibri" w:hint="eastAsia"/>
                <w:color w:val="auto"/>
              </w:rPr>
              <w:t>产业集聚区应遵循循环经济理念，积极推进产业技术进步和园区循环化改造，坚持减污降碳协同发展；积极围绕尼龙产业推进尼龙织造、尼龙工程塑料、印染等纵向制品延伸加工产业的发展；依托现有产业基础，布局建设精细化工及化工新材料项目；入区新、改、扩建项目应实施清洁生产，生产工艺、设备、污染治理技术，以及单位产品能耗、物耗、污染物排放和资源利用率均需达到同行业国内先进水平，确保产业发展与生态环境保护相协调。</w:t>
            </w:r>
          </w:p>
        </w:tc>
        <w:tc>
          <w:tcPr>
            <w:tcW w:w="1415" w:type="pct"/>
            <w:vAlign w:val="center"/>
          </w:tcPr>
          <w:p w14:paraId="421F8C01" w14:textId="77777777" w:rsidR="006607E0" w:rsidRPr="00A964FF" w:rsidRDefault="00E76448" w:rsidP="00D5104E">
            <w:pPr>
              <w:pStyle w:val="af6"/>
              <w:rPr>
                <w:rFonts w:ascii="Calibri"/>
                <w:color w:val="auto"/>
              </w:rPr>
            </w:pPr>
            <w:r>
              <w:rPr>
                <w:rFonts w:ascii="Calibri" w:hint="eastAsia"/>
                <w:color w:val="auto"/>
              </w:rPr>
              <w:t>本项目</w:t>
            </w:r>
            <w:r w:rsidR="00D5104E">
              <w:rPr>
                <w:rFonts w:ascii="Calibri" w:hint="eastAsia"/>
                <w:color w:val="auto"/>
              </w:rPr>
              <w:t>为</w:t>
            </w:r>
            <w:r w:rsidR="00D5104E">
              <w:rPr>
                <w:rFonts w:ascii="Calibri"/>
                <w:color w:val="auto"/>
              </w:rPr>
              <w:t>化工项目，</w:t>
            </w:r>
            <w:r w:rsidRPr="00A964FF">
              <w:rPr>
                <w:rFonts w:ascii="Calibri" w:hint="eastAsia"/>
                <w:color w:val="auto"/>
              </w:rPr>
              <w:t>符合尼龙产业集聚区产业定位</w:t>
            </w:r>
            <w:r>
              <w:rPr>
                <w:rFonts w:ascii="Calibri" w:hint="eastAsia"/>
                <w:color w:val="auto"/>
              </w:rPr>
              <w:t>，</w:t>
            </w:r>
            <w:r w:rsidRPr="009A4906">
              <w:rPr>
                <w:rFonts w:ascii="Calibri" w:hint="eastAsia"/>
                <w:color w:val="auto"/>
              </w:rPr>
              <w:t>单位产品能耗、物耗、污染物排放和资源利用率均达到同行业国内先进水平</w:t>
            </w:r>
          </w:p>
        </w:tc>
        <w:tc>
          <w:tcPr>
            <w:tcW w:w="446" w:type="pct"/>
            <w:vAlign w:val="center"/>
          </w:tcPr>
          <w:p w14:paraId="4F4ADA41" w14:textId="77777777" w:rsidR="006607E0" w:rsidRPr="00A964FF" w:rsidRDefault="006607E0" w:rsidP="00125DB9">
            <w:pPr>
              <w:pStyle w:val="af6"/>
              <w:rPr>
                <w:rFonts w:ascii="Calibri"/>
                <w:color w:val="auto"/>
              </w:rPr>
            </w:pPr>
            <w:r w:rsidRPr="00A964FF">
              <w:rPr>
                <w:rFonts w:ascii="Calibri"/>
                <w:color w:val="auto"/>
              </w:rPr>
              <w:t>符合</w:t>
            </w:r>
          </w:p>
        </w:tc>
      </w:tr>
      <w:tr w:rsidR="006607E0" w:rsidRPr="00A964FF" w14:paraId="671DC966" w14:textId="77777777" w:rsidTr="006607E0">
        <w:trPr>
          <w:trHeight w:val="2516"/>
        </w:trPr>
        <w:tc>
          <w:tcPr>
            <w:tcW w:w="396" w:type="pct"/>
            <w:vAlign w:val="center"/>
          </w:tcPr>
          <w:p w14:paraId="77D3148B" w14:textId="77777777" w:rsidR="006607E0" w:rsidRPr="00A964FF" w:rsidRDefault="006607E0" w:rsidP="00125DB9">
            <w:pPr>
              <w:pStyle w:val="af6"/>
              <w:rPr>
                <w:rFonts w:ascii="Calibri"/>
                <w:color w:val="auto"/>
              </w:rPr>
            </w:pPr>
            <w:r w:rsidRPr="00A964FF">
              <w:rPr>
                <w:rFonts w:ascii="Calibri" w:hint="eastAsia"/>
                <w:color w:val="auto"/>
              </w:rPr>
              <w:t>3</w:t>
            </w:r>
          </w:p>
        </w:tc>
        <w:tc>
          <w:tcPr>
            <w:tcW w:w="499" w:type="pct"/>
            <w:vAlign w:val="center"/>
          </w:tcPr>
          <w:p w14:paraId="77C80357" w14:textId="77777777" w:rsidR="006607E0" w:rsidRPr="00A964FF" w:rsidRDefault="009A4906" w:rsidP="00125DB9">
            <w:pPr>
              <w:pStyle w:val="af6"/>
              <w:rPr>
                <w:rFonts w:ascii="Calibri"/>
                <w:color w:val="auto"/>
              </w:rPr>
            </w:pPr>
            <w:r w:rsidRPr="009A4906">
              <w:rPr>
                <w:rFonts w:ascii="Calibri" w:hint="eastAsia"/>
                <w:color w:val="auto"/>
              </w:rPr>
              <w:t>优化空间布局严格空间管控</w:t>
            </w:r>
          </w:p>
        </w:tc>
        <w:tc>
          <w:tcPr>
            <w:tcW w:w="2244" w:type="pct"/>
            <w:vAlign w:val="center"/>
          </w:tcPr>
          <w:p w14:paraId="445AF565" w14:textId="5107B020" w:rsidR="006607E0" w:rsidRPr="00A964FF" w:rsidRDefault="009A4906" w:rsidP="00C81F40">
            <w:pPr>
              <w:pStyle w:val="af6"/>
              <w:rPr>
                <w:rFonts w:ascii="Calibri"/>
                <w:color w:val="auto"/>
              </w:rPr>
            </w:pPr>
            <w:r w:rsidRPr="009A4906">
              <w:rPr>
                <w:rFonts w:ascii="Calibri" w:hint="eastAsia"/>
                <w:color w:val="auto"/>
              </w:rPr>
              <w:t>进一步加强与国土空间规划的街接，保持规划之间协调一致；做好规划控制和生态隔离带建设，加强对集聚区及周边生活区的防护，确保集聚区产业布局与生态环境保护、人居环境安全相协调。对不符合区域发展定位和生态环境保护要求的现有企业应尽快完成整改或布局调整，存续期间不再增加污染物排放量。</w:t>
            </w:r>
          </w:p>
        </w:tc>
        <w:tc>
          <w:tcPr>
            <w:tcW w:w="1415" w:type="pct"/>
            <w:vAlign w:val="center"/>
          </w:tcPr>
          <w:p w14:paraId="7084F8F5" w14:textId="77777777" w:rsidR="006607E0" w:rsidRPr="00A964FF" w:rsidRDefault="00E76448" w:rsidP="0095113E">
            <w:pPr>
              <w:pStyle w:val="af6"/>
              <w:rPr>
                <w:rFonts w:ascii="Calibri"/>
                <w:color w:val="auto"/>
              </w:rPr>
            </w:pPr>
            <w:r w:rsidRPr="00A964FF">
              <w:rPr>
                <w:rFonts w:ascii="Calibri" w:hAnsi="Calibri" w:hint="eastAsia"/>
                <w:color w:val="auto"/>
                <w:szCs w:val="21"/>
              </w:rPr>
              <w:t>本项目选址位于平顶山尼龙新材料产业集聚区</w:t>
            </w:r>
            <w:r w:rsidRPr="00A964FF">
              <w:rPr>
                <w:rFonts w:ascii="Calibri" w:hAnsi="Calibri"/>
                <w:color w:val="auto"/>
                <w:szCs w:val="21"/>
              </w:rPr>
              <w:t>，符合</w:t>
            </w:r>
            <w:r w:rsidRPr="00A964FF">
              <w:rPr>
                <w:rFonts w:ascii="Calibri" w:hAnsi="Calibri" w:hint="eastAsia"/>
                <w:color w:val="auto"/>
                <w:szCs w:val="21"/>
              </w:rPr>
              <w:t>叶县土地利用总体规划和</w:t>
            </w:r>
            <w:r>
              <w:rPr>
                <w:rFonts w:ascii="Calibri" w:hAnsi="Calibri" w:hint="eastAsia"/>
                <w:color w:val="auto"/>
                <w:szCs w:val="21"/>
              </w:rPr>
              <w:t>平顶山尼龙新材料产业集聚区总体规划</w:t>
            </w:r>
          </w:p>
        </w:tc>
        <w:tc>
          <w:tcPr>
            <w:tcW w:w="446" w:type="pct"/>
            <w:vAlign w:val="center"/>
          </w:tcPr>
          <w:p w14:paraId="384FC3F8" w14:textId="77777777" w:rsidR="006607E0" w:rsidRPr="00A964FF" w:rsidRDefault="006607E0" w:rsidP="00125DB9">
            <w:pPr>
              <w:pStyle w:val="af6"/>
              <w:rPr>
                <w:rFonts w:ascii="Calibri"/>
                <w:color w:val="auto"/>
              </w:rPr>
            </w:pPr>
            <w:r w:rsidRPr="00A964FF">
              <w:rPr>
                <w:rFonts w:ascii="Calibri"/>
                <w:color w:val="auto"/>
              </w:rPr>
              <w:t>符合</w:t>
            </w:r>
          </w:p>
        </w:tc>
      </w:tr>
      <w:tr w:rsidR="006607E0" w:rsidRPr="00A964FF" w14:paraId="2EBFB6EA" w14:textId="77777777" w:rsidTr="006607E0">
        <w:trPr>
          <w:trHeight w:val="397"/>
        </w:trPr>
        <w:tc>
          <w:tcPr>
            <w:tcW w:w="396" w:type="pct"/>
            <w:vAlign w:val="center"/>
          </w:tcPr>
          <w:p w14:paraId="7CC432C1" w14:textId="77777777" w:rsidR="006607E0" w:rsidRPr="00A964FF" w:rsidRDefault="006607E0" w:rsidP="00125DB9">
            <w:pPr>
              <w:pStyle w:val="af6"/>
              <w:rPr>
                <w:rFonts w:ascii="Calibri"/>
                <w:color w:val="auto"/>
              </w:rPr>
            </w:pPr>
            <w:r w:rsidRPr="00A964FF">
              <w:rPr>
                <w:rFonts w:ascii="Calibri" w:hint="eastAsia"/>
                <w:color w:val="auto"/>
              </w:rPr>
              <w:t>4</w:t>
            </w:r>
          </w:p>
        </w:tc>
        <w:tc>
          <w:tcPr>
            <w:tcW w:w="499" w:type="pct"/>
            <w:vAlign w:val="center"/>
          </w:tcPr>
          <w:p w14:paraId="0DDC1B1D" w14:textId="77777777" w:rsidR="006607E0" w:rsidRPr="00A964FF" w:rsidRDefault="00A025C1" w:rsidP="00125DB9">
            <w:pPr>
              <w:pStyle w:val="af6"/>
              <w:rPr>
                <w:rFonts w:ascii="Calibri"/>
                <w:color w:val="auto"/>
              </w:rPr>
            </w:pPr>
            <w:r w:rsidRPr="00A025C1">
              <w:rPr>
                <w:rFonts w:ascii="Calibri" w:hint="eastAsia"/>
                <w:color w:val="auto"/>
              </w:rPr>
              <w:t>强化减污降碳协同增效</w:t>
            </w:r>
          </w:p>
        </w:tc>
        <w:tc>
          <w:tcPr>
            <w:tcW w:w="2244" w:type="pct"/>
            <w:vAlign w:val="center"/>
          </w:tcPr>
          <w:p w14:paraId="01283859" w14:textId="106DE5DD" w:rsidR="006607E0" w:rsidRPr="00A964FF" w:rsidRDefault="00A025C1" w:rsidP="00C81F40">
            <w:pPr>
              <w:pStyle w:val="af6"/>
              <w:rPr>
                <w:rFonts w:ascii="Calibri"/>
                <w:color w:val="auto"/>
              </w:rPr>
            </w:pPr>
            <w:r w:rsidRPr="00A025C1">
              <w:rPr>
                <w:rFonts w:ascii="Calibri" w:hint="eastAsia"/>
                <w:color w:val="auto"/>
              </w:rPr>
              <w:t>根据国家和河南省关于挥发性有机物、工业炉窑等大气和水、土壤污染防治相关要求，严格执行相关行业污染物排放标准及特别排放限值；严格执行污染物排放总量控制制度，新增污染物排放指标应做到“等量或倍量替代”；结合碳达峰目标，强化碳评价及减排措施，确保区域环境质量持续改善。</w:t>
            </w:r>
          </w:p>
        </w:tc>
        <w:tc>
          <w:tcPr>
            <w:tcW w:w="1415" w:type="pct"/>
            <w:vAlign w:val="center"/>
          </w:tcPr>
          <w:p w14:paraId="7F066A0C" w14:textId="77777777" w:rsidR="006607E0" w:rsidRPr="00A964FF" w:rsidRDefault="00E76448" w:rsidP="00E76448">
            <w:pPr>
              <w:pStyle w:val="af6"/>
              <w:rPr>
                <w:rFonts w:ascii="Calibri"/>
                <w:bCs/>
                <w:color w:val="auto"/>
                <w:szCs w:val="21"/>
              </w:rPr>
            </w:pPr>
            <w:r w:rsidRPr="00A964FF">
              <w:rPr>
                <w:rFonts w:ascii="Calibri" w:hint="eastAsia"/>
                <w:bCs/>
                <w:color w:val="auto"/>
                <w:szCs w:val="21"/>
              </w:rPr>
              <w:t>本项目营运后新建废气处理装置，对各类废气进行收集和处理，实现达标排放。本项目废水经自建废水处理站处理达标后排放第三污水处理厂集中处理，不直接排放。</w:t>
            </w:r>
            <w:r>
              <w:rPr>
                <w:rFonts w:ascii="Calibri" w:hint="eastAsia"/>
                <w:bCs/>
                <w:color w:val="auto"/>
                <w:szCs w:val="21"/>
              </w:rPr>
              <w:t>土壤做好污染防治措施。</w:t>
            </w:r>
            <w:r w:rsidRPr="00A025C1">
              <w:rPr>
                <w:rFonts w:ascii="Calibri" w:hint="eastAsia"/>
                <w:color w:val="auto"/>
              </w:rPr>
              <w:t>新增污染物排放指标做到“等量或倍量替代”</w:t>
            </w:r>
          </w:p>
        </w:tc>
        <w:tc>
          <w:tcPr>
            <w:tcW w:w="446" w:type="pct"/>
            <w:vAlign w:val="center"/>
          </w:tcPr>
          <w:p w14:paraId="341F45A6" w14:textId="77777777" w:rsidR="006607E0" w:rsidRPr="00A964FF" w:rsidRDefault="006607E0" w:rsidP="00125DB9">
            <w:pPr>
              <w:pStyle w:val="af6"/>
              <w:rPr>
                <w:rFonts w:ascii="Calibri"/>
                <w:color w:val="auto"/>
              </w:rPr>
            </w:pPr>
            <w:r w:rsidRPr="00A964FF">
              <w:rPr>
                <w:rFonts w:ascii="Calibri"/>
                <w:color w:val="auto"/>
              </w:rPr>
              <w:t>符合</w:t>
            </w:r>
          </w:p>
        </w:tc>
      </w:tr>
      <w:tr w:rsidR="006607E0" w:rsidRPr="00A964FF" w14:paraId="47F24528" w14:textId="77777777" w:rsidTr="006607E0">
        <w:trPr>
          <w:trHeight w:val="397"/>
        </w:trPr>
        <w:tc>
          <w:tcPr>
            <w:tcW w:w="396" w:type="pct"/>
            <w:vAlign w:val="center"/>
          </w:tcPr>
          <w:p w14:paraId="0BD8FF09" w14:textId="77777777" w:rsidR="006607E0" w:rsidRPr="00A964FF" w:rsidRDefault="006607E0" w:rsidP="00125DB9">
            <w:pPr>
              <w:pStyle w:val="af6"/>
              <w:rPr>
                <w:rFonts w:ascii="Calibri"/>
                <w:color w:val="auto"/>
              </w:rPr>
            </w:pPr>
            <w:r w:rsidRPr="00A964FF">
              <w:rPr>
                <w:rFonts w:ascii="Calibri" w:hint="eastAsia"/>
                <w:color w:val="auto"/>
              </w:rPr>
              <w:t>5</w:t>
            </w:r>
          </w:p>
        </w:tc>
        <w:tc>
          <w:tcPr>
            <w:tcW w:w="499" w:type="pct"/>
            <w:vAlign w:val="center"/>
          </w:tcPr>
          <w:p w14:paraId="1EBCAF73" w14:textId="77777777" w:rsidR="006607E0" w:rsidRPr="00A964FF" w:rsidRDefault="00A025C1" w:rsidP="00125DB9">
            <w:pPr>
              <w:pStyle w:val="af6"/>
              <w:rPr>
                <w:rFonts w:ascii="Calibri"/>
                <w:color w:val="auto"/>
              </w:rPr>
            </w:pPr>
            <w:r w:rsidRPr="00A025C1">
              <w:rPr>
                <w:rFonts w:ascii="Calibri" w:hint="eastAsia"/>
                <w:color w:val="auto"/>
              </w:rPr>
              <w:t>严格落实项目入驻要求</w:t>
            </w:r>
          </w:p>
        </w:tc>
        <w:tc>
          <w:tcPr>
            <w:tcW w:w="2244" w:type="pct"/>
            <w:vAlign w:val="center"/>
          </w:tcPr>
          <w:p w14:paraId="47A38493" w14:textId="77777777" w:rsidR="006607E0" w:rsidRPr="00A964FF" w:rsidRDefault="00A025C1" w:rsidP="00D5104E">
            <w:pPr>
              <w:pStyle w:val="af6"/>
              <w:rPr>
                <w:rFonts w:ascii="Calibri"/>
                <w:color w:val="auto"/>
              </w:rPr>
            </w:pPr>
            <w:r w:rsidRPr="00A025C1">
              <w:rPr>
                <w:rFonts w:ascii="Calibri" w:hint="eastAsia"/>
                <w:color w:val="auto"/>
              </w:rPr>
              <w:t>严格落实《报告书》生态环境准入要求，鼓励符合集聚区功能定位、国家产业政策鼓励的项目入驻，禁止钢铁、冶金、焦化、水泥等不属于产业集聚区主导产业的高耗能、高排放项目，禁止使用高</w:t>
            </w:r>
            <w:r>
              <w:rPr>
                <w:rFonts w:ascii="Calibri" w:hint="eastAsia"/>
                <w:color w:val="auto"/>
              </w:rPr>
              <w:t>VOCs</w:t>
            </w:r>
            <w:r w:rsidRPr="00A025C1">
              <w:rPr>
                <w:rFonts w:ascii="Calibri" w:hint="eastAsia"/>
                <w:color w:val="auto"/>
              </w:rPr>
              <w:t>含量的溶剂型涂料、油墨、胶粘剂的项目。</w:t>
            </w:r>
          </w:p>
        </w:tc>
        <w:tc>
          <w:tcPr>
            <w:tcW w:w="1415" w:type="pct"/>
            <w:vAlign w:val="center"/>
          </w:tcPr>
          <w:p w14:paraId="6721E546" w14:textId="77777777" w:rsidR="006607E0" w:rsidRPr="00A964FF" w:rsidRDefault="00E76448" w:rsidP="00D5104E">
            <w:pPr>
              <w:pStyle w:val="af6"/>
              <w:rPr>
                <w:rFonts w:ascii="Calibri"/>
                <w:color w:val="auto"/>
              </w:rPr>
            </w:pPr>
            <w:r>
              <w:rPr>
                <w:rFonts w:ascii="Calibri" w:hint="eastAsia"/>
                <w:color w:val="auto"/>
              </w:rPr>
              <w:t>本项目属于</w:t>
            </w:r>
            <w:r w:rsidRPr="00A964FF">
              <w:rPr>
                <w:rFonts w:ascii="Calibri" w:hint="eastAsia"/>
                <w:color w:val="auto"/>
              </w:rPr>
              <w:t>化工，符合尼龙产业集聚区产业定位</w:t>
            </w:r>
          </w:p>
        </w:tc>
        <w:tc>
          <w:tcPr>
            <w:tcW w:w="446" w:type="pct"/>
            <w:vAlign w:val="center"/>
          </w:tcPr>
          <w:p w14:paraId="1A65A186" w14:textId="77777777" w:rsidR="006607E0" w:rsidRPr="00A964FF" w:rsidRDefault="006607E0" w:rsidP="00125DB9">
            <w:pPr>
              <w:pStyle w:val="af6"/>
              <w:rPr>
                <w:rFonts w:ascii="Calibri"/>
                <w:color w:val="auto"/>
              </w:rPr>
            </w:pPr>
            <w:r w:rsidRPr="00A964FF">
              <w:rPr>
                <w:rFonts w:ascii="Calibri"/>
                <w:color w:val="auto"/>
              </w:rPr>
              <w:t>符合</w:t>
            </w:r>
          </w:p>
        </w:tc>
      </w:tr>
      <w:tr w:rsidR="00A025C1" w:rsidRPr="00A964FF" w14:paraId="58744927" w14:textId="77777777" w:rsidTr="006607E0">
        <w:trPr>
          <w:trHeight w:val="397"/>
        </w:trPr>
        <w:tc>
          <w:tcPr>
            <w:tcW w:w="396" w:type="pct"/>
            <w:vAlign w:val="center"/>
          </w:tcPr>
          <w:p w14:paraId="3453E134" w14:textId="77777777" w:rsidR="00A025C1" w:rsidRPr="00A964FF" w:rsidRDefault="00A025C1" w:rsidP="00125DB9">
            <w:pPr>
              <w:pStyle w:val="af6"/>
              <w:rPr>
                <w:rFonts w:ascii="Calibri"/>
                <w:color w:val="auto"/>
              </w:rPr>
            </w:pPr>
            <w:r>
              <w:rPr>
                <w:rFonts w:ascii="Calibri" w:hint="eastAsia"/>
                <w:color w:val="auto"/>
              </w:rPr>
              <w:lastRenderedPageBreak/>
              <w:t>6</w:t>
            </w:r>
          </w:p>
        </w:tc>
        <w:tc>
          <w:tcPr>
            <w:tcW w:w="499" w:type="pct"/>
            <w:vAlign w:val="center"/>
          </w:tcPr>
          <w:p w14:paraId="10F36149" w14:textId="77777777" w:rsidR="00A025C1" w:rsidRPr="00A025C1" w:rsidRDefault="00A025C1" w:rsidP="00125DB9">
            <w:pPr>
              <w:pStyle w:val="af6"/>
              <w:rPr>
                <w:rFonts w:ascii="Calibri"/>
                <w:color w:val="auto"/>
              </w:rPr>
            </w:pPr>
            <w:r w:rsidRPr="00A025C1">
              <w:rPr>
                <w:rFonts w:ascii="Calibri" w:hint="eastAsia"/>
                <w:color w:val="auto"/>
              </w:rPr>
              <w:t>加快完善集聚区环境基础设施建设</w:t>
            </w:r>
          </w:p>
        </w:tc>
        <w:tc>
          <w:tcPr>
            <w:tcW w:w="2244" w:type="pct"/>
            <w:vAlign w:val="center"/>
          </w:tcPr>
          <w:p w14:paraId="63E7D561" w14:textId="77777777" w:rsidR="00A025C1" w:rsidRPr="00A025C1" w:rsidRDefault="00A025C1" w:rsidP="006B496C">
            <w:pPr>
              <w:pStyle w:val="af6"/>
              <w:rPr>
                <w:rFonts w:ascii="Calibri"/>
                <w:color w:val="auto"/>
              </w:rPr>
            </w:pPr>
            <w:r w:rsidRPr="00A025C1">
              <w:rPr>
                <w:rFonts w:ascii="Calibri" w:hint="eastAsia"/>
                <w:color w:val="auto"/>
              </w:rPr>
              <w:t>建设完善集中排水、供热、供水等基础设施，推进配套污水管网、中水回用工程建设，确保企业外排废水全部有效收集，并提高水资源利用率，减少废水排放；加快平顶山第三污水处理厂提标改造及扩建，外排地表水水质中</w:t>
            </w:r>
            <w:r w:rsidRPr="00A025C1">
              <w:rPr>
                <w:rFonts w:ascii="Calibri" w:hint="eastAsia"/>
                <w:color w:val="auto"/>
              </w:rPr>
              <w:t>COD</w:t>
            </w:r>
            <w:r w:rsidRPr="00A025C1">
              <w:rPr>
                <w:rFonts w:ascii="Calibri" w:hint="eastAsia"/>
                <w:color w:val="auto"/>
              </w:rPr>
              <w:t>≤</w:t>
            </w:r>
            <w:r w:rsidRPr="00A025C1">
              <w:rPr>
                <w:rFonts w:ascii="Calibri" w:hint="eastAsia"/>
                <w:color w:val="auto"/>
              </w:rPr>
              <w:t>30mg/L</w:t>
            </w:r>
            <w:r w:rsidRPr="00A025C1">
              <w:rPr>
                <w:rFonts w:ascii="Calibri" w:hint="eastAsia"/>
                <w:color w:val="auto"/>
              </w:rPr>
              <w:t>、氨氮≤</w:t>
            </w:r>
            <w:r w:rsidRPr="00A025C1">
              <w:rPr>
                <w:rFonts w:ascii="Calibri" w:hint="eastAsia"/>
                <w:color w:val="auto"/>
              </w:rPr>
              <w:t>1.5mg/L</w:t>
            </w:r>
            <w:r w:rsidRPr="00A025C1">
              <w:rPr>
                <w:rFonts w:ascii="Calibri" w:hint="eastAsia"/>
                <w:color w:val="auto"/>
              </w:rPr>
              <w:t>、总磷≤</w:t>
            </w:r>
            <w:r w:rsidRPr="00A025C1">
              <w:rPr>
                <w:rFonts w:ascii="Calibri" w:hint="eastAsia"/>
                <w:color w:val="auto"/>
              </w:rPr>
              <w:t>0.3mg/L</w:t>
            </w:r>
            <w:r w:rsidRPr="00A025C1">
              <w:rPr>
                <w:rFonts w:ascii="Calibri" w:hint="eastAsia"/>
                <w:color w:val="auto"/>
              </w:rPr>
              <w:t>，其他污染物满足《城镇污水处理厂污染物排放标准》（</w:t>
            </w:r>
            <w:r w:rsidRPr="00A025C1">
              <w:rPr>
                <w:rFonts w:ascii="Calibri" w:hint="eastAsia"/>
                <w:color w:val="auto"/>
              </w:rPr>
              <w:t>GB18918-2002</w:t>
            </w:r>
            <w:r w:rsidRPr="00A025C1">
              <w:rPr>
                <w:rFonts w:ascii="Calibri" w:hint="eastAsia"/>
                <w:color w:val="auto"/>
              </w:rPr>
              <w:t>）一级</w:t>
            </w:r>
            <w:r w:rsidR="00E76448">
              <w:rPr>
                <w:rFonts w:ascii="Calibri" w:hint="eastAsia"/>
                <w:color w:val="auto"/>
              </w:rPr>
              <w:t>A</w:t>
            </w:r>
            <w:r w:rsidRPr="00A025C1">
              <w:rPr>
                <w:rFonts w:ascii="Calibri" w:hint="eastAsia"/>
                <w:color w:val="auto"/>
              </w:rPr>
              <w:t>标准；园区固体废弃物应有安全可行的处理处置措施，不得随意弃置，危险固废严格按照有关规定收集、贮存、转运、处置，确保</w:t>
            </w:r>
            <w:r w:rsidRPr="00A025C1">
              <w:rPr>
                <w:rFonts w:ascii="Calibri" w:hint="eastAsia"/>
                <w:color w:val="auto"/>
              </w:rPr>
              <w:t>100%</w:t>
            </w:r>
            <w:r w:rsidRPr="00A025C1">
              <w:rPr>
                <w:rFonts w:ascii="Calibri" w:hint="eastAsia"/>
                <w:color w:val="auto"/>
              </w:rPr>
              <w:t>安全处置。</w:t>
            </w:r>
          </w:p>
        </w:tc>
        <w:tc>
          <w:tcPr>
            <w:tcW w:w="1415" w:type="pct"/>
            <w:vAlign w:val="center"/>
          </w:tcPr>
          <w:p w14:paraId="4FF1DC5A" w14:textId="77777777" w:rsidR="00A025C1" w:rsidRPr="00E76448" w:rsidRDefault="00E76448" w:rsidP="009A0104">
            <w:pPr>
              <w:pStyle w:val="af6"/>
              <w:rPr>
                <w:rFonts w:ascii="Calibri"/>
                <w:color w:val="auto"/>
              </w:rPr>
            </w:pPr>
            <w:r>
              <w:rPr>
                <w:rFonts w:ascii="Calibri" w:hint="eastAsia"/>
                <w:color w:val="auto"/>
              </w:rPr>
              <w:t>项目周边管网已经铺设到位，经企业自建污水处理站处理达到</w:t>
            </w:r>
            <w:r w:rsidR="00D5104E" w:rsidRPr="00D5104E">
              <w:rPr>
                <w:rFonts w:ascii="Calibri" w:hint="eastAsia"/>
                <w:color w:val="auto"/>
              </w:rPr>
              <w:t>《合成树脂工业污染物排放标准》（</w:t>
            </w:r>
            <w:r w:rsidR="00D5104E" w:rsidRPr="00D5104E">
              <w:rPr>
                <w:rFonts w:ascii="Calibri" w:hint="eastAsia"/>
                <w:color w:val="auto"/>
              </w:rPr>
              <w:t>GB31572-2015</w:t>
            </w:r>
            <w:r w:rsidR="00D5104E" w:rsidRPr="00D5104E">
              <w:rPr>
                <w:rFonts w:ascii="Calibri" w:hint="eastAsia"/>
                <w:color w:val="auto"/>
              </w:rPr>
              <w:t>）间接排放限值</w:t>
            </w:r>
            <w:r w:rsidR="009A0104">
              <w:rPr>
                <w:rFonts w:ascii="Calibri" w:hint="eastAsia"/>
                <w:color w:val="auto"/>
              </w:rPr>
              <w:t>，</w:t>
            </w:r>
            <w:r w:rsidR="009A0104">
              <w:rPr>
                <w:rFonts w:ascii="Calibri"/>
                <w:color w:val="auto"/>
              </w:rPr>
              <w:t>同时满足</w:t>
            </w:r>
            <w:r w:rsidR="009A0104" w:rsidRPr="009A0104">
              <w:rPr>
                <w:rFonts w:ascii="Calibri" w:hint="eastAsia"/>
                <w:color w:val="auto"/>
              </w:rPr>
              <w:t>《化工行业水污染物间接排放标准》（</w:t>
            </w:r>
            <w:r w:rsidR="009A0104" w:rsidRPr="009A0104">
              <w:rPr>
                <w:rFonts w:ascii="Calibri" w:hint="eastAsia"/>
                <w:color w:val="auto"/>
              </w:rPr>
              <w:t>DB41/1135-2016</w:t>
            </w:r>
            <w:r w:rsidR="009A0104" w:rsidRPr="009A0104">
              <w:rPr>
                <w:rFonts w:ascii="Calibri" w:hint="eastAsia"/>
                <w:color w:val="auto"/>
              </w:rPr>
              <w:t>）</w:t>
            </w:r>
            <w:r>
              <w:rPr>
                <w:rFonts w:ascii="Calibri" w:hAnsi="Calibri" w:hint="eastAsia"/>
                <w:color w:val="auto"/>
              </w:rPr>
              <w:t>及集聚区进水指标后，排入</w:t>
            </w:r>
            <w:r w:rsidRPr="00A025C1">
              <w:rPr>
                <w:rFonts w:ascii="Calibri" w:hint="eastAsia"/>
                <w:color w:val="auto"/>
              </w:rPr>
              <w:t>平顶山第三污水处理厂</w:t>
            </w:r>
          </w:p>
        </w:tc>
        <w:tc>
          <w:tcPr>
            <w:tcW w:w="446" w:type="pct"/>
            <w:vAlign w:val="center"/>
          </w:tcPr>
          <w:p w14:paraId="0C9F5B0A" w14:textId="77777777" w:rsidR="00A025C1" w:rsidRPr="00A964FF" w:rsidRDefault="00A025C1" w:rsidP="00D61FB9">
            <w:pPr>
              <w:pStyle w:val="af6"/>
              <w:rPr>
                <w:rFonts w:ascii="Calibri"/>
                <w:color w:val="auto"/>
              </w:rPr>
            </w:pPr>
            <w:r w:rsidRPr="00A964FF">
              <w:rPr>
                <w:rFonts w:ascii="Calibri"/>
                <w:color w:val="auto"/>
              </w:rPr>
              <w:t>符合</w:t>
            </w:r>
          </w:p>
        </w:tc>
      </w:tr>
      <w:tr w:rsidR="00A025C1" w:rsidRPr="00A964FF" w14:paraId="53DE3681" w14:textId="77777777" w:rsidTr="006607E0">
        <w:trPr>
          <w:trHeight w:val="397"/>
        </w:trPr>
        <w:tc>
          <w:tcPr>
            <w:tcW w:w="396" w:type="pct"/>
            <w:vAlign w:val="center"/>
          </w:tcPr>
          <w:p w14:paraId="002731B1" w14:textId="77777777" w:rsidR="00A025C1" w:rsidRPr="00A964FF" w:rsidRDefault="00A025C1" w:rsidP="00125DB9">
            <w:pPr>
              <w:pStyle w:val="af6"/>
              <w:rPr>
                <w:rFonts w:ascii="Calibri"/>
                <w:color w:val="auto"/>
              </w:rPr>
            </w:pPr>
            <w:r>
              <w:rPr>
                <w:rFonts w:ascii="Calibri" w:hint="eastAsia"/>
                <w:color w:val="auto"/>
              </w:rPr>
              <w:t>7</w:t>
            </w:r>
          </w:p>
        </w:tc>
        <w:tc>
          <w:tcPr>
            <w:tcW w:w="499" w:type="pct"/>
            <w:vAlign w:val="center"/>
          </w:tcPr>
          <w:p w14:paraId="7AAA0294" w14:textId="77777777" w:rsidR="00A025C1" w:rsidRPr="00A025C1" w:rsidRDefault="00A025C1" w:rsidP="00125DB9">
            <w:pPr>
              <w:pStyle w:val="af6"/>
              <w:rPr>
                <w:rFonts w:ascii="Calibri"/>
                <w:color w:val="auto"/>
              </w:rPr>
            </w:pPr>
            <w:r w:rsidRPr="00A025C1">
              <w:rPr>
                <w:rFonts w:ascii="Calibri" w:hint="eastAsia"/>
                <w:color w:val="auto"/>
              </w:rPr>
              <w:t>建立健全生态环境监管体系</w:t>
            </w:r>
          </w:p>
        </w:tc>
        <w:tc>
          <w:tcPr>
            <w:tcW w:w="2244" w:type="pct"/>
            <w:vAlign w:val="center"/>
          </w:tcPr>
          <w:p w14:paraId="6731D935" w14:textId="77777777" w:rsidR="00A025C1" w:rsidRPr="00A025C1" w:rsidRDefault="00A025C1" w:rsidP="00D5104E">
            <w:pPr>
              <w:pStyle w:val="af6"/>
              <w:rPr>
                <w:rFonts w:ascii="Calibri"/>
                <w:color w:val="auto"/>
              </w:rPr>
            </w:pPr>
            <w:r w:rsidRPr="00A025C1">
              <w:rPr>
                <w:rFonts w:ascii="Calibri" w:hint="eastAsia"/>
                <w:color w:val="auto"/>
              </w:rPr>
              <w:t>统筹考虑区内污染防治、生态恢复与建设、环境风险防范、环境管理等事宜，建立健全集聚区环境监督管理、区域环境风险防范体系和联防联控机制，提升集聚区环境风险防控和应急响应能力，保障区域生态环境安全；建立完善包括环境空气、地表水、地下水、土壤、底泥等环境要素的监控体系，健全大气、水污染物自动监测体系，做好长期跟踪监测与管理，并根据监测评估结果适时优化调整产业集聚区总体发展规划。</w:t>
            </w:r>
          </w:p>
        </w:tc>
        <w:tc>
          <w:tcPr>
            <w:tcW w:w="1415" w:type="pct"/>
            <w:vAlign w:val="center"/>
          </w:tcPr>
          <w:p w14:paraId="7E66AEA0" w14:textId="77777777" w:rsidR="00A025C1" w:rsidRPr="00A964FF" w:rsidRDefault="00D30474" w:rsidP="00125DB9">
            <w:pPr>
              <w:pStyle w:val="af6"/>
              <w:rPr>
                <w:rFonts w:ascii="Calibri"/>
                <w:color w:val="auto"/>
              </w:rPr>
            </w:pPr>
            <w:r>
              <w:rPr>
                <w:rFonts w:ascii="Calibri" w:hint="eastAsia"/>
                <w:color w:val="auto"/>
              </w:rPr>
              <w:t>企业运营期做好污染物监测计划，并定期跟踪监测与管理</w:t>
            </w:r>
          </w:p>
        </w:tc>
        <w:tc>
          <w:tcPr>
            <w:tcW w:w="446" w:type="pct"/>
            <w:vAlign w:val="center"/>
          </w:tcPr>
          <w:p w14:paraId="4446314D" w14:textId="77777777" w:rsidR="00A025C1" w:rsidRPr="00A964FF" w:rsidRDefault="00A025C1" w:rsidP="00D61FB9">
            <w:pPr>
              <w:pStyle w:val="af6"/>
              <w:rPr>
                <w:rFonts w:ascii="Calibri"/>
                <w:color w:val="auto"/>
              </w:rPr>
            </w:pPr>
            <w:r w:rsidRPr="00A964FF">
              <w:rPr>
                <w:rFonts w:ascii="Calibri"/>
                <w:color w:val="auto"/>
              </w:rPr>
              <w:t>符合</w:t>
            </w:r>
          </w:p>
        </w:tc>
      </w:tr>
      <w:tr w:rsidR="00A025C1" w:rsidRPr="00A964FF" w14:paraId="4CE7745D" w14:textId="77777777" w:rsidTr="006607E0">
        <w:trPr>
          <w:trHeight w:val="397"/>
        </w:trPr>
        <w:tc>
          <w:tcPr>
            <w:tcW w:w="396" w:type="pct"/>
            <w:vAlign w:val="center"/>
          </w:tcPr>
          <w:p w14:paraId="0EDDE369" w14:textId="77777777" w:rsidR="00A025C1" w:rsidRDefault="00A025C1" w:rsidP="00125DB9">
            <w:pPr>
              <w:pStyle w:val="af6"/>
              <w:rPr>
                <w:rFonts w:ascii="Calibri"/>
                <w:color w:val="auto"/>
              </w:rPr>
            </w:pPr>
            <w:r>
              <w:rPr>
                <w:rFonts w:ascii="Calibri" w:hint="eastAsia"/>
                <w:color w:val="auto"/>
              </w:rPr>
              <w:t>8</w:t>
            </w:r>
          </w:p>
        </w:tc>
        <w:tc>
          <w:tcPr>
            <w:tcW w:w="499" w:type="pct"/>
            <w:vAlign w:val="center"/>
          </w:tcPr>
          <w:p w14:paraId="7169DFE0" w14:textId="77777777" w:rsidR="00A025C1" w:rsidRPr="00A025C1" w:rsidRDefault="00A025C1" w:rsidP="00125DB9">
            <w:pPr>
              <w:pStyle w:val="af6"/>
              <w:rPr>
                <w:rFonts w:ascii="Calibri"/>
                <w:color w:val="auto"/>
              </w:rPr>
            </w:pPr>
            <w:r w:rsidRPr="00A025C1">
              <w:rPr>
                <w:rFonts w:ascii="Calibri" w:hint="eastAsia"/>
                <w:color w:val="auto"/>
              </w:rPr>
              <w:t>严格落实各项规划环评措施</w:t>
            </w:r>
          </w:p>
        </w:tc>
        <w:tc>
          <w:tcPr>
            <w:tcW w:w="2244" w:type="pct"/>
            <w:vAlign w:val="center"/>
          </w:tcPr>
          <w:p w14:paraId="05BE7F14" w14:textId="77777777" w:rsidR="00A025C1" w:rsidRPr="00A025C1" w:rsidRDefault="00A025C1" w:rsidP="00A025C1">
            <w:pPr>
              <w:pStyle w:val="af6"/>
              <w:rPr>
                <w:rFonts w:ascii="Calibri"/>
                <w:color w:val="auto"/>
              </w:rPr>
            </w:pPr>
            <w:r w:rsidRPr="00A025C1">
              <w:rPr>
                <w:rFonts w:ascii="Calibri" w:hint="eastAsia"/>
                <w:color w:val="auto"/>
              </w:rPr>
              <w:t>规划批准后，应严格按照规划要求推动产业集聚区高质量发展，严守生态保护红线、环境质量底线、资源利用上线，落实《报</w:t>
            </w:r>
          </w:p>
          <w:p w14:paraId="781DC88D" w14:textId="77777777" w:rsidR="00A025C1" w:rsidRPr="00A025C1" w:rsidRDefault="00A025C1" w:rsidP="00A025C1">
            <w:pPr>
              <w:pStyle w:val="af6"/>
              <w:jc w:val="left"/>
              <w:rPr>
                <w:rFonts w:ascii="Calibri"/>
                <w:color w:val="auto"/>
              </w:rPr>
            </w:pPr>
            <w:r w:rsidRPr="00A025C1">
              <w:rPr>
                <w:rFonts w:ascii="Calibri" w:hint="eastAsia"/>
                <w:color w:val="auto"/>
              </w:rPr>
              <w:t>告书》提出的各项措施，适时开展环境影响跟踪评价。在实施范围、适用期限、规模、结构和布局等方面进行重大调整或者修订的，应当重新或者补充进行环境影响评价。</w:t>
            </w:r>
          </w:p>
        </w:tc>
        <w:tc>
          <w:tcPr>
            <w:tcW w:w="1415" w:type="pct"/>
            <w:vAlign w:val="center"/>
          </w:tcPr>
          <w:p w14:paraId="29A3C275" w14:textId="77777777" w:rsidR="00A025C1" w:rsidRPr="00A964FF" w:rsidRDefault="00D30474" w:rsidP="00125DB9">
            <w:pPr>
              <w:pStyle w:val="af6"/>
              <w:rPr>
                <w:rFonts w:ascii="Calibri"/>
                <w:color w:val="auto"/>
              </w:rPr>
            </w:pPr>
            <w:r>
              <w:rPr>
                <w:rFonts w:ascii="Calibri" w:hint="eastAsia"/>
                <w:color w:val="auto"/>
              </w:rPr>
              <w:t>本项目符合叶县“三线一单要求”</w:t>
            </w:r>
          </w:p>
        </w:tc>
        <w:tc>
          <w:tcPr>
            <w:tcW w:w="446" w:type="pct"/>
            <w:vAlign w:val="center"/>
          </w:tcPr>
          <w:p w14:paraId="0A67D873" w14:textId="77777777" w:rsidR="00A025C1" w:rsidRPr="00A964FF" w:rsidRDefault="00A025C1" w:rsidP="00D61FB9">
            <w:pPr>
              <w:pStyle w:val="af6"/>
              <w:rPr>
                <w:rFonts w:ascii="Calibri"/>
                <w:color w:val="auto"/>
              </w:rPr>
            </w:pPr>
            <w:r w:rsidRPr="00A964FF">
              <w:rPr>
                <w:rFonts w:ascii="Calibri"/>
                <w:color w:val="auto"/>
              </w:rPr>
              <w:t>符合</w:t>
            </w:r>
          </w:p>
        </w:tc>
      </w:tr>
    </w:tbl>
    <w:p w14:paraId="666803A7" w14:textId="77777777" w:rsidR="00D30474" w:rsidRPr="005C4969" w:rsidRDefault="006607E0" w:rsidP="005C4969">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由以上分析可知，项目的建设符合《</w:t>
      </w:r>
      <w:r w:rsidR="006E4A45" w:rsidRPr="00280BE8">
        <w:rPr>
          <w:rFonts w:ascii="Calibri" w:hAnsi="Calibri" w:hint="eastAsia"/>
          <w:bCs/>
          <w:color w:val="auto"/>
          <w:sz w:val="24"/>
        </w:rPr>
        <w:t>平顶山尼龙新材料产业集聚区总体发展规划（</w:t>
      </w:r>
      <w:r w:rsidR="006E4A45" w:rsidRPr="00280BE8">
        <w:rPr>
          <w:rFonts w:ascii="Calibri" w:hAnsi="Calibri" w:hint="eastAsia"/>
          <w:bCs/>
          <w:color w:val="auto"/>
          <w:sz w:val="24"/>
        </w:rPr>
        <w:t>2021-2030</w:t>
      </w:r>
      <w:r w:rsidR="006E4A45" w:rsidRPr="00280BE8">
        <w:rPr>
          <w:rFonts w:ascii="Calibri" w:hAnsi="Calibri" w:hint="eastAsia"/>
          <w:bCs/>
          <w:color w:val="auto"/>
          <w:sz w:val="24"/>
        </w:rPr>
        <w:t>）环境影响报告书</w:t>
      </w:r>
      <w:r w:rsidRPr="00A964FF">
        <w:rPr>
          <w:rFonts w:ascii="Calibri" w:hAnsi="Calibri" w:hint="eastAsia"/>
          <w:bCs/>
          <w:color w:val="auto"/>
          <w:sz w:val="24"/>
        </w:rPr>
        <w:t>审查意见》（</w:t>
      </w:r>
      <w:r w:rsidR="006E4A45" w:rsidRPr="00A964FF">
        <w:rPr>
          <w:rFonts w:ascii="Calibri" w:hAnsi="Calibri" w:hint="eastAsia"/>
          <w:bCs/>
          <w:color w:val="auto"/>
          <w:sz w:val="24"/>
        </w:rPr>
        <w:t>豫环函【</w:t>
      </w:r>
      <w:r w:rsidR="006E4A45" w:rsidRPr="00A964FF">
        <w:rPr>
          <w:rFonts w:ascii="Calibri" w:hAnsi="Calibri" w:hint="eastAsia"/>
          <w:bCs/>
          <w:color w:val="auto"/>
          <w:sz w:val="24"/>
        </w:rPr>
        <w:t>20</w:t>
      </w:r>
      <w:r w:rsidR="006E4A45">
        <w:rPr>
          <w:rFonts w:ascii="Calibri" w:hAnsi="Calibri" w:hint="eastAsia"/>
          <w:bCs/>
          <w:color w:val="auto"/>
          <w:sz w:val="24"/>
        </w:rPr>
        <w:t>22</w:t>
      </w:r>
      <w:r w:rsidR="006E4A45" w:rsidRPr="00A964FF">
        <w:rPr>
          <w:rFonts w:ascii="Calibri" w:hAnsi="Calibri" w:hint="eastAsia"/>
          <w:bCs/>
          <w:color w:val="auto"/>
          <w:sz w:val="24"/>
        </w:rPr>
        <w:t>】</w:t>
      </w:r>
      <w:r w:rsidR="006E4A45">
        <w:rPr>
          <w:rFonts w:ascii="Calibri" w:hAnsi="Calibri" w:hint="eastAsia"/>
          <w:bCs/>
          <w:color w:val="auto"/>
          <w:sz w:val="24"/>
        </w:rPr>
        <w:t>19</w:t>
      </w:r>
      <w:r w:rsidR="006E4A45" w:rsidRPr="00A964FF">
        <w:rPr>
          <w:rFonts w:ascii="Calibri" w:hAnsi="Calibri" w:hint="eastAsia"/>
          <w:bCs/>
          <w:color w:val="auto"/>
          <w:sz w:val="24"/>
        </w:rPr>
        <w:t>号</w:t>
      </w:r>
      <w:r w:rsidRPr="00A964FF">
        <w:rPr>
          <w:rFonts w:ascii="Calibri" w:hAnsi="Calibri" w:hint="eastAsia"/>
          <w:bCs/>
          <w:color w:val="auto"/>
          <w:sz w:val="24"/>
        </w:rPr>
        <w:t>）相关要求。</w:t>
      </w:r>
    </w:p>
    <w:p w14:paraId="3F60FEC7" w14:textId="77777777" w:rsidR="0055605A" w:rsidRPr="00A964FF" w:rsidRDefault="0055605A" w:rsidP="0055605A">
      <w:pPr>
        <w:pStyle w:val="ad"/>
        <w:rPr>
          <w:rFonts w:ascii="Calibri" w:hAnsi="Calibri"/>
          <w:color w:val="auto"/>
        </w:rPr>
      </w:pPr>
      <w:r w:rsidRPr="00957EB2">
        <w:rPr>
          <w:rFonts w:ascii="Calibri" w:hAnsi="Calibri"/>
          <w:color w:val="auto"/>
        </w:rPr>
        <w:t>1.</w:t>
      </w:r>
      <w:r w:rsidRPr="00957EB2">
        <w:rPr>
          <w:rFonts w:ascii="Calibri" w:hAnsi="Calibri" w:hint="eastAsia"/>
          <w:color w:val="auto"/>
        </w:rPr>
        <w:t>8</w:t>
      </w:r>
      <w:r w:rsidRPr="00957EB2">
        <w:rPr>
          <w:rFonts w:ascii="Calibri" w:hAnsi="Calibri"/>
          <w:color w:val="auto"/>
        </w:rPr>
        <w:t>.</w:t>
      </w:r>
      <w:r w:rsidR="00A25662" w:rsidRPr="00957EB2">
        <w:rPr>
          <w:rFonts w:ascii="Calibri" w:hAnsi="Calibri" w:hint="eastAsia"/>
          <w:color w:val="auto"/>
        </w:rPr>
        <w:t>7</w:t>
      </w:r>
      <w:r w:rsidR="00533F8B" w:rsidRPr="00957EB2">
        <w:rPr>
          <w:rFonts w:hint="eastAsia"/>
          <w:color w:val="auto"/>
        </w:rPr>
        <w:t>与饮用水源地规划的相符性分析</w:t>
      </w:r>
    </w:p>
    <w:p w14:paraId="071ADB5C" w14:textId="77777777" w:rsidR="001D6A72" w:rsidRPr="00A964FF" w:rsidRDefault="001D6A72" w:rsidP="003F0808">
      <w:pPr>
        <w:widowControl/>
        <w:spacing w:line="520" w:lineRule="exact"/>
        <w:ind w:firstLineChars="200" w:firstLine="482"/>
        <w:jc w:val="left"/>
        <w:rPr>
          <w:rFonts w:ascii="Calibri" w:hAnsi="Calibri"/>
          <w:b/>
          <w:bCs/>
          <w:color w:val="auto"/>
          <w:sz w:val="24"/>
        </w:rPr>
      </w:pPr>
      <w:bookmarkStart w:id="40" w:name="_Toc447804110"/>
      <w:r w:rsidRPr="00A964FF">
        <w:rPr>
          <w:rFonts w:ascii="Calibri" w:hAnsi="Calibri" w:hint="eastAsia"/>
          <w:b/>
          <w:bCs/>
          <w:color w:val="auto"/>
          <w:sz w:val="24"/>
        </w:rPr>
        <w:t>1</w:t>
      </w:r>
      <w:r w:rsidRPr="00A964FF">
        <w:rPr>
          <w:rFonts w:ascii="Calibri" w:hAnsi="Calibri" w:hint="eastAsia"/>
          <w:b/>
          <w:bCs/>
          <w:color w:val="auto"/>
          <w:sz w:val="24"/>
        </w:rPr>
        <w:t>、与平顶山饮用水源环境保护规划的协调性</w:t>
      </w:r>
    </w:p>
    <w:p w14:paraId="2C5DFB57" w14:textId="77777777" w:rsidR="0095113E" w:rsidRPr="00A964FF" w:rsidRDefault="0095113E" w:rsidP="0095113E">
      <w:pPr>
        <w:spacing w:line="520" w:lineRule="exact"/>
        <w:ind w:firstLineChars="200" w:firstLine="480"/>
        <w:rPr>
          <w:rFonts w:ascii="Calibri" w:hAnsi="宋体"/>
          <w:color w:val="auto"/>
          <w:sz w:val="24"/>
        </w:rPr>
      </w:pPr>
      <w:r w:rsidRPr="00A964FF">
        <w:rPr>
          <w:rFonts w:ascii="Calibri" w:hAnsi="宋体" w:hint="eastAsia"/>
          <w:color w:val="auto"/>
          <w:sz w:val="24"/>
        </w:rPr>
        <w:t>根据《河南省人民政府关于调整取消部分集中式饮用水水源保护区的通知》（豫政文【</w:t>
      </w:r>
      <w:r w:rsidRPr="00A964FF">
        <w:rPr>
          <w:rFonts w:ascii="Calibri" w:hAnsi="宋体" w:hint="eastAsia"/>
          <w:color w:val="auto"/>
          <w:sz w:val="24"/>
        </w:rPr>
        <w:t>2021</w:t>
      </w:r>
      <w:r w:rsidRPr="00A964FF">
        <w:rPr>
          <w:rFonts w:ascii="Calibri" w:hAnsi="宋体" w:hint="eastAsia"/>
          <w:color w:val="auto"/>
          <w:sz w:val="24"/>
        </w:rPr>
        <w:t>】</w:t>
      </w:r>
      <w:r w:rsidRPr="00A964FF">
        <w:rPr>
          <w:rFonts w:ascii="Calibri" w:hAnsi="宋体" w:hint="eastAsia"/>
          <w:color w:val="auto"/>
          <w:sz w:val="24"/>
        </w:rPr>
        <w:t>72</w:t>
      </w:r>
      <w:r w:rsidRPr="00A964FF">
        <w:rPr>
          <w:rFonts w:ascii="Calibri" w:hAnsi="宋体" w:hint="eastAsia"/>
          <w:color w:val="auto"/>
          <w:sz w:val="24"/>
        </w:rPr>
        <w:t>号），平顶山市白龟山水库饮用水水源保护区的具体范围如下：</w:t>
      </w:r>
    </w:p>
    <w:p w14:paraId="2C8004CF" w14:textId="77777777" w:rsidR="0095113E" w:rsidRPr="00A964FF" w:rsidRDefault="0095113E" w:rsidP="0095113E">
      <w:pPr>
        <w:spacing w:line="520" w:lineRule="exact"/>
        <w:ind w:firstLineChars="200" w:firstLine="480"/>
        <w:rPr>
          <w:rFonts w:ascii="Calibri" w:hAnsi="宋体"/>
          <w:color w:val="auto"/>
          <w:sz w:val="24"/>
        </w:rPr>
      </w:pPr>
      <w:r w:rsidRPr="00A964FF">
        <w:rPr>
          <w:rFonts w:ascii="Calibri" w:hAnsi="宋体" w:hint="eastAsia"/>
          <w:color w:val="auto"/>
          <w:sz w:val="24"/>
        </w:rPr>
        <w:t>一级保护区：水库大坝上游，水库高程</w:t>
      </w:r>
      <w:r w:rsidRPr="00A964FF">
        <w:rPr>
          <w:rFonts w:ascii="Calibri" w:hAnsi="宋体" w:hint="eastAsia"/>
          <w:color w:val="auto"/>
          <w:sz w:val="24"/>
        </w:rPr>
        <w:t>103</w:t>
      </w:r>
      <w:r w:rsidRPr="00A964FF">
        <w:rPr>
          <w:rFonts w:ascii="Calibri" w:hAnsi="宋体" w:hint="eastAsia"/>
          <w:color w:val="auto"/>
          <w:sz w:val="24"/>
        </w:rPr>
        <w:t>米以内的区域及平顶山学院取水口外围</w:t>
      </w:r>
      <w:r w:rsidRPr="00A964FF">
        <w:rPr>
          <w:rFonts w:ascii="Calibri" w:hAnsi="宋体" w:hint="eastAsia"/>
          <w:color w:val="auto"/>
          <w:sz w:val="24"/>
        </w:rPr>
        <w:t>500</w:t>
      </w:r>
      <w:r w:rsidRPr="00A964FF">
        <w:rPr>
          <w:rFonts w:ascii="Calibri" w:hAnsi="宋体" w:hint="eastAsia"/>
          <w:color w:val="auto"/>
          <w:sz w:val="24"/>
        </w:rPr>
        <w:t>米至湖滨路、平顶山市自来水有限公司取水口外围</w:t>
      </w:r>
      <w:r w:rsidRPr="00A964FF">
        <w:rPr>
          <w:rFonts w:ascii="Calibri" w:hAnsi="宋体" w:hint="eastAsia"/>
          <w:color w:val="auto"/>
          <w:sz w:val="24"/>
        </w:rPr>
        <w:t>500</w:t>
      </w:r>
      <w:r w:rsidRPr="00A964FF">
        <w:rPr>
          <w:rFonts w:ascii="Calibri" w:hAnsi="宋体" w:hint="eastAsia"/>
          <w:color w:val="auto"/>
          <w:sz w:val="24"/>
        </w:rPr>
        <w:t>米至平湖路以内的区域；沙河、应河、澎河、冷水河入库口至上游</w:t>
      </w:r>
      <w:r w:rsidRPr="00A964FF">
        <w:rPr>
          <w:rFonts w:ascii="Calibri" w:hAnsi="宋体" w:hint="eastAsia"/>
          <w:color w:val="auto"/>
          <w:sz w:val="24"/>
        </w:rPr>
        <w:t>2000</w:t>
      </w:r>
      <w:r w:rsidRPr="00A964FF">
        <w:rPr>
          <w:rFonts w:ascii="Calibri" w:hAnsi="宋体" w:hint="eastAsia"/>
          <w:color w:val="auto"/>
          <w:sz w:val="24"/>
        </w:rPr>
        <w:t>米的河道管理范围区域。</w:t>
      </w:r>
    </w:p>
    <w:p w14:paraId="464548A0" w14:textId="77777777" w:rsidR="0095113E" w:rsidRPr="00A964FF" w:rsidRDefault="0095113E" w:rsidP="0095113E">
      <w:pPr>
        <w:spacing w:line="520" w:lineRule="exact"/>
        <w:ind w:firstLineChars="200" w:firstLine="480"/>
        <w:rPr>
          <w:rFonts w:ascii="Calibri" w:hAnsi="宋体"/>
          <w:color w:val="auto"/>
          <w:sz w:val="24"/>
        </w:rPr>
      </w:pPr>
      <w:r w:rsidRPr="00A964FF">
        <w:rPr>
          <w:rFonts w:ascii="Calibri" w:hAnsi="宋体" w:hint="eastAsia"/>
          <w:color w:val="auto"/>
          <w:sz w:val="24"/>
        </w:rPr>
        <w:lastRenderedPageBreak/>
        <w:t>二级保护区：一级保护区外，水库高程</w:t>
      </w:r>
      <w:r w:rsidRPr="00A964FF">
        <w:rPr>
          <w:rFonts w:ascii="Calibri" w:hAnsi="宋体" w:hint="eastAsia"/>
          <w:color w:val="auto"/>
          <w:sz w:val="24"/>
        </w:rPr>
        <w:t>103</w:t>
      </w:r>
      <w:r w:rsidRPr="00A964FF">
        <w:rPr>
          <w:rFonts w:ascii="Calibri" w:hAnsi="宋体" w:hint="eastAsia"/>
          <w:color w:val="auto"/>
          <w:sz w:val="24"/>
        </w:rPr>
        <w:t>米至水库高程</w:t>
      </w:r>
      <w:r w:rsidRPr="00A964FF">
        <w:rPr>
          <w:rFonts w:ascii="Calibri" w:hAnsi="宋体" w:hint="eastAsia"/>
          <w:color w:val="auto"/>
          <w:sz w:val="24"/>
        </w:rPr>
        <w:t>104</w:t>
      </w:r>
      <w:r w:rsidRPr="00A964FF">
        <w:rPr>
          <w:rFonts w:ascii="Calibri" w:hAnsi="宋体" w:hint="eastAsia"/>
          <w:color w:val="auto"/>
          <w:sz w:val="24"/>
        </w:rPr>
        <w:t>米</w:t>
      </w:r>
      <w:r w:rsidRPr="00A964FF">
        <w:rPr>
          <w:rFonts w:ascii="Calibri" w:hAnsi="宋体" w:hint="eastAsia"/>
          <w:color w:val="auto"/>
          <w:sz w:val="24"/>
        </w:rPr>
        <w:t>-</w:t>
      </w:r>
      <w:r w:rsidRPr="00A964FF">
        <w:rPr>
          <w:rFonts w:ascii="Calibri" w:hAnsi="宋体" w:hint="eastAsia"/>
          <w:color w:val="auto"/>
          <w:sz w:val="24"/>
        </w:rPr>
        <w:t>湖滨路以内的区域；沙河入库口至上游昭平台水库坝下的河道管理范围区域；澎河入库口至上游</w:t>
      </w:r>
      <w:r w:rsidRPr="00A964FF">
        <w:rPr>
          <w:rFonts w:ascii="Calibri" w:hAnsi="宋体" w:hint="eastAsia"/>
          <w:color w:val="auto"/>
          <w:sz w:val="24"/>
        </w:rPr>
        <w:t>14000</w:t>
      </w:r>
      <w:r w:rsidRPr="00A964FF">
        <w:rPr>
          <w:rFonts w:ascii="Calibri" w:hAnsi="宋体" w:hint="eastAsia"/>
          <w:color w:val="auto"/>
          <w:sz w:val="24"/>
        </w:rPr>
        <w:t>米（南水北调中线工程澎河退水闸）的河道管理范围区域；应河、冷水河入库口至上游</w:t>
      </w:r>
      <w:r w:rsidRPr="00A964FF">
        <w:rPr>
          <w:rFonts w:ascii="Calibri" w:hAnsi="宋体" w:hint="eastAsia"/>
          <w:color w:val="auto"/>
          <w:sz w:val="24"/>
        </w:rPr>
        <w:t>4000</w:t>
      </w:r>
      <w:r w:rsidRPr="00A964FF">
        <w:rPr>
          <w:rFonts w:ascii="Calibri" w:hAnsi="宋体" w:hint="eastAsia"/>
          <w:color w:val="auto"/>
          <w:sz w:val="24"/>
        </w:rPr>
        <w:t>米的河道管理范围区域；大浪河、将相河、七里河、瀼河、肥河入沙河口至上游</w:t>
      </w:r>
      <w:r w:rsidRPr="00A964FF">
        <w:rPr>
          <w:rFonts w:ascii="Calibri" w:hAnsi="宋体" w:hint="eastAsia"/>
          <w:color w:val="auto"/>
          <w:sz w:val="24"/>
        </w:rPr>
        <w:t>1000</w:t>
      </w:r>
      <w:r w:rsidRPr="00A964FF">
        <w:rPr>
          <w:rFonts w:ascii="Calibri" w:hAnsi="宋体" w:hint="eastAsia"/>
          <w:color w:val="auto"/>
          <w:sz w:val="24"/>
        </w:rPr>
        <w:t>米的河道管理范围区域。</w:t>
      </w:r>
    </w:p>
    <w:p w14:paraId="6AFFEA47" w14:textId="77777777" w:rsidR="0095113E" w:rsidRPr="00A964FF" w:rsidRDefault="0095113E" w:rsidP="0095113E">
      <w:pPr>
        <w:spacing w:line="520" w:lineRule="exact"/>
        <w:ind w:firstLineChars="200" w:firstLine="480"/>
        <w:rPr>
          <w:rFonts w:ascii="Calibri" w:hAnsi="宋体"/>
          <w:color w:val="auto"/>
          <w:sz w:val="24"/>
        </w:rPr>
      </w:pPr>
      <w:r w:rsidRPr="00A964FF">
        <w:rPr>
          <w:rFonts w:ascii="Calibri" w:hAnsi="宋体" w:hint="eastAsia"/>
          <w:color w:val="auto"/>
          <w:sz w:val="24"/>
        </w:rPr>
        <w:t>准保护区：一、二级保护区外，应河、澎河、冷水河河道管理范围外</w:t>
      </w:r>
      <w:r w:rsidRPr="00A964FF">
        <w:rPr>
          <w:rFonts w:ascii="Calibri" w:hAnsi="宋体" w:hint="eastAsia"/>
          <w:color w:val="auto"/>
          <w:sz w:val="24"/>
        </w:rPr>
        <w:t>500</w:t>
      </w:r>
      <w:r w:rsidRPr="00A964FF">
        <w:rPr>
          <w:rFonts w:ascii="Calibri" w:hAnsi="宋体" w:hint="eastAsia"/>
          <w:color w:val="auto"/>
          <w:sz w:val="24"/>
        </w:rPr>
        <w:t>米以内的区域。</w:t>
      </w:r>
    </w:p>
    <w:p w14:paraId="76CBA2EC"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本项目选址</w:t>
      </w:r>
      <w:r w:rsidR="00376AC9" w:rsidRPr="00A964FF">
        <w:rPr>
          <w:rFonts w:ascii="Calibri" w:hAnsi="Calibri" w:hint="eastAsia"/>
          <w:bCs/>
          <w:color w:val="auto"/>
          <w:sz w:val="24"/>
        </w:rPr>
        <w:t>在</w:t>
      </w:r>
      <w:r w:rsidRPr="00A964FF">
        <w:rPr>
          <w:rFonts w:ascii="Calibri" w:hAnsi="Calibri" w:hint="eastAsia"/>
          <w:bCs/>
          <w:color w:val="auto"/>
          <w:sz w:val="24"/>
        </w:rPr>
        <w:t>平顶山尼龙新材料产业集聚区</w:t>
      </w:r>
      <w:r w:rsidR="00376AC9" w:rsidRPr="00A964FF">
        <w:rPr>
          <w:rFonts w:ascii="Calibri" w:hAnsi="Calibri" w:hint="eastAsia"/>
          <w:bCs/>
          <w:color w:val="auto"/>
          <w:sz w:val="24"/>
        </w:rPr>
        <w:t>内</w:t>
      </w:r>
      <w:r w:rsidRPr="00A964FF">
        <w:rPr>
          <w:rFonts w:ascii="Calibri" w:hAnsi="Calibri" w:hint="eastAsia"/>
          <w:bCs/>
          <w:color w:val="auto"/>
          <w:sz w:val="24"/>
        </w:rPr>
        <w:t>，项目选址不在平顶山市划定的一级、二级和准保护区范围内，符合平顶山市饮用水源地规划要求。</w:t>
      </w:r>
    </w:p>
    <w:p w14:paraId="7D361EC2" w14:textId="77777777" w:rsidR="009126C1" w:rsidRPr="00A964FF" w:rsidRDefault="009126C1" w:rsidP="009126C1">
      <w:pPr>
        <w:widowControl/>
        <w:spacing w:line="520" w:lineRule="exact"/>
        <w:ind w:firstLineChars="200" w:firstLine="482"/>
        <w:jc w:val="left"/>
        <w:rPr>
          <w:rFonts w:ascii="Calibri" w:hAnsi="Calibri"/>
          <w:b/>
          <w:bCs/>
          <w:color w:val="auto"/>
          <w:sz w:val="24"/>
        </w:rPr>
      </w:pPr>
      <w:r w:rsidRPr="00A964FF">
        <w:rPr>
          <w:rFonts w:ascii="Calibri" w:hAnsi="Calibri" w:hint="eastAsia"/>
          <w:b/>
          <w:bCs/>
          <w:color w:val="auto"/>
          <w:sz w:val="24"/>
        </w:rPr>
        <w:t>2</w:t>
      </w:r>
      <w:r w:rsidRPr="00A964FF">
        <w:rPr>
          <w:rFonts w:ascii="Calibri" w:hAnsi="Calibri" w:hint="eastAsia"/>
          <w:b/>
          <w:bCs/>
          <w:color w:val="auto"/>
          <w:sz w:val="24"/>
        </w:rPr>
        <w:t>、叶县县级集中式饮用水水源保护区</w:t>
      </w:r>
    </w:p>
    <w:p w14:paraId="2046EF64"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根据《河南省人民政府办公厅关于印发河南省县级集中式饮用水水源保护区划的通知》（豫政办【</w:t>
      </w:r>
      <w:r w:rsidRPr="00A964FF">
        <w:rPr>
          <w:rFonts w:ascii="Calibri" w:hAnsi="Calibri" w:hint="eastAsia"/>
          <w:bCs/>
          <w:color w:val="auto"/>
          <w:sz w:val="24"/>
        </w:rPr>
        <w:t>2013</w:t>
      </w:r>
      <w:r w:rsidRPr="00A964FF">
        <w:rPr>
          <w:rFonts w:ascii="Calibri" w:hAnsi="Calibri" w:hint="eastAsia"/>
          <w:bCs/>
          <w:color w:val="auto"/>
          <w:sz w:val="24"/>
        </w:rPr>
        <w:t>】</w:t>
      </w:r>
      <w:r w:rsidRPr="00A964FF">
        <w:rPr>
          <w:rFonts w:ascii="Calibri" w:hAnsi="Calibri" w:hint="eastAsia"/>
          <w:bCs/>
          <w:color w:val="auto"/>
          <w:sz w:val="24"/>
        </w:rPr>
        <w:t>107</w:t>
      </w:r>
      <w:r w:rsidRPr="00A964FF">
        <w:rPr>
          <w:rFonts w:ascii="Calibri" w:hAnsi="Calibri" w:hint="eastAsia"/>
          <w:bCs/>
          <w:color w:val="auto"/>
          <w:sz w:val="24"/>
        </w:rPr>
        <w:t>号），叶县县级集中式饮用水水源保护区划如下：</w:t>
      </w:r>
    </w:p>
    <w:p w14:paraId="5C5A8CFE"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w:t>
      </w:r>
      <w:r w:rsidRPr="00A964FF">
        <w:rPr>
          <w:rFonts w:ascii="Calibri" w:hAnsi="Calibri" w:hint="eastAsia"/>
          <w:bCs/>
          <w:color w:val="auto"/>
          <w:sz w:val="24"/>
        </w:rPr>
        <w:t>1</w:t>
      </w:r>
      <w:r w:rsidRPr="00A964FF">
        <w:rPr>
          <w:rFonts w:ascii="Calibri" w:hAnsi="Calibri" w:hint="eastAsia"/>
          <w:bCs/>
          <w:color w:val="auto"/>
          <w:sz w:val="24"/>
        </w:rPr>
        <w:t>）叶县盐都水务地下水井群（昆鲁大道以北、昆阳大道以西，共</w:t>
      </w:r>
      <w:r w:rsidRPr="00A964FF">
        <w:rPr>
          <w:rFonts w:ascii="Calibri" w:hAnsi="Calibri" w:hint="eastAsia"/>
          <w:bCs/>
          <w:color w:val="auto"/>
          <w:sz w:val="24"/>
        </w:rPr>
        <w:t>3</w:t>
      </w:r>
      <w:r w:rsidRPr="00A964FF">
        <w:rPr>
          <w:rFonts w:ascii="Calibri" w:hAnsi="Calibri" w:hint="eastAsia"/>
          <w:bCs/>
          <w:color w:val="auto"/>
          <w:sz w:val="24"/>
        </w:rPr>
        <w:t>眼井）</w:t>
      </w:r>
    </w:p>
    <w:p w14:paraId="18DFD8EC"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一级保护区范围：取水井外围</w:t>
      </w:r>
      <w:r w:rsidRPr="00A964FF">
        <w:rPr>
          <w:rFonts w:ascii="Calibri" w:hAnsi="Calibri" w:hint="eastAsia"/>
          <w:bCs/>
          <w:color w:val="auto"/>
          <w:sz w:val="24"/>
        </w:rPr>
        <w:t>30</w:t>
      </w:r>
      <w:r w:rsidRPr="00A964FF">
        <w:rPr>
          <w:rFonts w:ascii="Calibri" w:hAnsi="Calibri" w:hint="eastAsia"/>
          <w:bCs/>
          <w:color w:val="auto"/>
          <w:sz w:val="24"/>
        </w:rPr>
        <w:t>米的区域。</w:t>
      </w:r>
    </w:p>
    <w:p w14:paraId="5E9197BF"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二级保护区范围：一级保护区外，</w:t>
      </w:r>
      <w:r w:rsidRPr="00A964FF">
        <w:rPr>
          <w:rFonts w:ascii="Calibri" w:hAnsi="Calibri" w:hint="eastAsia"/>
          <w:bCs/>
          <w:color w:val="auto"/>
          <w:sz w:val="24"/>
        </w:rPr>
        <w:t>1</w:t>
      </w:r>
      <w:r w:rsidRPr="00A964FF">
        <w:rPr>
          <w:rFonts w:ascii="Calibri" w:hAnsi="Calibri" w:hint="eastAsia"/>
          <w:bCs/>
          <w:color w:val="auto"/>
          <w:sz w:val="24"/>
        </w:rPr>
        <w:t>～</w:t>
      </w:r>
      <w:r w:rsidRPr="00A964FF">
        <w:rPr>
          <w:rFonts w:ascii="Calibri" w:hAnsi="Calibri" w:hint="eastAsia"/>
          <w:bCs/>
          <w:color w:val="auto"/>
          <w:sz w:val="24"/>
        </w:rPr>
        <w:t>2</w:t>
      </w:r>
      <w:r w:rsidRPr="00A964FF">
        <w:rPr>
          <w:rFonts w:ascii="Calibri" w:hAnsi="Calibri" w:hint="eastAsia"/>
          <w:bCs/>
          <w:color w:val="auto"/>
          <w:sz w:val="24"/>
        </w:rPr>
        <w:t>号取水井外围</w:t>
      </w:r>
      <w:r w:rsidRPr="00A964FF">
        <w:rPr>
          <w:rFonts w:ascii="Calibri" w:hAnsi="Calibri" w:hint="eastAsia"/>
          <w:bCs/>
          <w:color w:val="auto"/>
          <w:sz w:val="24"/>
        </w:rPr>
        <w:t>330</w:t>
      </w:r>
      <w:r w:rsidRPr="00A964FF">
        <w:rPr>
          <w:rFonts w:ascii="Calibri" w:hAnsi="Calibri" w:hint="eastAsia"/>
          <w:bCs/>
          <w:color w:val="auto"/>
          <w:sz w:val="24"/>
        </w:rPr>
        <w:t>米外公切线所包含的区域。</w:t>
      </w:r>
    </w:p>
    <w:p w14:paraId="12775534"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准保护区范围：二级保护区外，东至新建街、西至北关大街、南至文化路、北至昆鲁大道的区域。</w:t>
      </w:r>
    </w:p>
    <w:p w14:paraId="070C6511"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w:t>
      </w:r>
      <w:r w:rsidRPr="00A964FF">
        <w:rPr>
          <w:rFonts w:ascii="Calibri" w:hAnsi="Calibri" w:hint="eastAsia"/>
          <w:bCs/>
          <w:color w:val="auto"/>
          <w:sz w:val="24"/>
        </w:rPr>
        <w:t>2</w:t>
      </w:r>
      <w:r w:rsidRPr="00A964FF">
        <w:rPr>
          <w:rFonts w:ascii="Calibri" w:hAnsi="Calibri" w:hint="eastAsia"/>
          <w:bCs/>
          <w:color w:val="auto"/>
          <w:sz w:val="24"/>
        </w:rPr>
        <w:t>）叶县自由路地下水井群（共</w:t>
      </w:r>
      <w:r w:rsidRPr="00A964FF">
        <w:rPr>
          <w:rFonts w:ascii="Calibri" w:hAnsi="Calibri" w:hint="eastAsia"/>
          <w:bCs/>
          <w:color w:val="auto"/>
          <w:sz w:val="24"/>
        </w:rPr>
        <w:t>2</w:t>
      </w:r>
      <w:r w:rsidRPr="00A964FF">
        <w:rPr>
          <w:rFonts w:ascii="Calibri" w:hAnsi="Calibri" w:hint="eastAsia"/>
          <w:bCs/>
          <w:color w:val="auto"/>
          <w:sz w:val="24"/>
        </w:rPr>
        <w:t>眼井）</w:t>
      </w:r>
    </w:p>
    <w:p w14:paraId="018DE0FF"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一级保护区范围：取水井外围</w:t>
      </w:r>
      <w:r w:rsidRPr="00A964FF">
        <w:rPr>
          <w:rFonts w:ascii="Calibri" w:hAnsi="Calibri" w:hint="eastAsia"/>
          <w:bCs/>
          <w:color w:val="auto"/>
          <w:sz w:val="24"/>
        </w:rPr>
        <w:t>200</w:t>
      </w:r>
      <w:r w:rsidRPr="00A964FF">
        <w:rPr>
          <w:rFonts w:ascii="Calibri" w:hAnsi="Calibri" w:hint="eastAsia"/>
          <w:bCs/>
          <w:color w:val="auto"/>
          <w:sz w:val="24"/>
        </w:rPr>
        <w:t>米外公切线所包含的区域。</w:t>
      </w:r>
    </w:p>
    <w:p w14:paraId="3AFD435F"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w:t>
      </w:r>
      <w:r w:rsidRPr="00A964FF">
        <w:rPr>
          <w:rFonts w:ascii="Calibri" w:hAnsi="Calibri" w:hint="eastAsia"/>
          <w:bCs/>
          <w:color w:val="auto"/>
          <w:sz w:val="24"/>
        </w:rPr>
        <w:t>3</w:t>
      </w:r>
      <w:r w:rsidRPr="00A964FF">
        <w:rPr>
          <w:rFonts w:ascii="Calibri" w:hAnsi="Calibri" w:hint="eastAsia"/>
          <w:bCs/>
          <w:color w:val="auto"/>
          <w:sz w:val="24"/>
        </w:rPr>
        <w:t>）叶县东升洁地下水井群（昆鲁大道以南、昆阳大道以东、中心路以北，共</w:t>
      </w:r>
      <w:r w:rsidRPr="00A964FF">
        <w:rPr>
          <w:rFonts w:ascii="Calibri" w:hAnsi="Calibri" w:hint="eastAsia"/>
          <w:bCs/>
          <w:color w:val="auto"/>
          <w:sz w:val="24"/>
        </w:rPr>
        <w:t>6</w:t>
      </w:r>
      <w:r w:rsidRPr="00A964FF">
        <w:rPr>
          <w:rFonts w:ascii="Calibri" w:hAnsi="Calibri" w:hint="eastAsia"/>
          <w:bCs/>
          <w:color w:val="auto"/>
          <w:sz w:val="24"/>
        </w:rPr>
        <w:t>眼井）</w:t>
      </w:r>
    </w:p>
    <w:p w14:paraId="210E57DA"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一级保护区范围：取水井外围</w:t>
      </w:r>
      <w:r w:rsidRPr="00A964FF">
        <w:rPr>
          <w:rFonts w:ascii="Calibri" w:hAnsi="Calibri" w:hint="eastAsia"/>
          <w:bCs/>
          <w:color w:val="auto"/>
          <w:sz w:val="24"/>
        </w:rPr>
        <w:t>30</w:t>
      </w:r>
      <w:r w:rsidRPr="00A964FF">
        <w:rPr>
          <w:rFonts w:ascii="Calibri" w:hAnsi="Calibri" w:hint="eastAsia"/>
          <w:bCs/>
          <w:color w:val="auto"/>
          <w:sz w:val="24"/>
        </w:rPr>
        <w:t>米的区域。</w:t>
      </w:r>
    </w:p>
    <w:p w14:paraId="3E4CF7F3"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本项目选址位于平顶山尼龙新材料产业集聚区，距离东南叶县县城</w:t>
      </w:r>
      <w:r w:rsidR="00085D6F">
        <w:rPr>
          <w:rFonts w:ascii="Calibri" w:hAnsi="Calibri" w:hint="eastAsia"/>
          <w:bCs/>
          <w:color w:val="auto"/>
          <w:sz w:val="24"/>
        </w:rPr>
        <w:t>8.</w:t>
      </w:r>
      <w:r w:rsidR="006E4A45">
        <w:rPr>
          <w:rFonts w:ascii="Calibri" w:hAnsi="Calibri" w:hint="eastAsia"/>
          <w:bCs/>
          <w:color w:val="auto"/>
          <w:sz w:val="24"/>
        </w:rPr>
        <w:t>46</w:t>
      </w:r>
      <w:r w:rsidRPr="00A964FF">
        <w:rPr>
          <w:rFonts w:ascii="Calibri" w:hAnsi="Calibri" w:hint="eastAsia"/>
          <w:bCs/>
          <w:color w:val="auto"/>
          <w:sz w:val="24"/>
        </w:rPr>
        <w:t>km</w:t>
      </w:r>
      <w:r w:rsidRPr="00A964FF">
        <w:rPr>
          <w:rFonts w:ascii="Calibri" w:hAnsi="Calibri" w:hint="eastAsia"/>
          <w:bCs/>
          <w:color w:val="auto"/>
          <w:sz w:val="24"/>
        </w:rPr>
        <w:t>，不在其划定的一级保护区范围内，符合叶县县级集中式饮用水水源保护区划要求。</w:t>
      </w:r>
    </w:p>
    <w:p w14:paraId="29D0F022" w14:textId="77777777" w:rsidR="009126C1" w:rsidRPr="00A964FF" w:rsidRDefault="009126C1" w:rsidP="009126C1">
      <w:pPr>
        <w:widowControl/>
        <w:spacing w:line="520" w:lineRule="exact"/>
        <w:ind w:firstLineChars="200" w:firstLine="482"/>
        <w:jc w:val="left"/>
        <w:rPr>
          <w:rFonts w:ascii="Calibri" w:hAnsi="Calibri"/>
          <w:b/>
          <w:bCs/>
          <w:color w:val="auto"/>
          <w:sz w:val="24"/>
        </w:rPr>
      </w:pPr>
      <w:r w:rsidRPr="00A964FF">
        <w:rPr>
          <w:rFonts w:ascii="Calibri" w:hAnsi="Calibri" w:hint="eastAsia"/>
          <w:b/>
          <w:bCs/>
          <w:color w:val="auto"/>
          <w:sz w:val="24"/>
        </w:rPr>
        <w:t>3</w:t>
      </w:r>
      <w:r w:rsidRPr="00A964FF">
        <w:rPr>
          <w:rFonts w:ascii="Calibri" w:hAnsi="Calibri" w:hint="eastAsia"/>
          <w:b/>
          <w:bCs/>
          <w:color w:val="auto"/>
          <w:sz w:val="24"/>
        </w:rPr>
        <w:t>、乡镇集中式饮用水水源保护区</w:t>
      </w:r>
    </w:p>
    <w:p w14:paraId="4F990D6F"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lastRenderedPageBreak/>
        <w:t>根据《河南省人民政府办公厅关于印发河南省乡镇集中式饮用水水源保护区划的通知》（豫政办【</w:t>
      </w:r>
      <w:r w:rsidRPr="00A964FF">
        <w:rPr>
          <w:rFonts w:ascii="Calibri" w:hAnsi="Calibri" w:hint="eastAsia"/>
          <w:bCs/>
          <w:color w:val="auto"/>
          <w:sz w:val="24"/>
        </w:rPr>
        <w:t>2016</w:t>
      </w:r>
      <w:r w:rsidRPr="00A964FF">
        <w:rPr>
          <w:rFonts w:ascii="Calibri" w:hAnsi="Calibri" w:hint="eastAsia"/>
          <w:bCs/>
          <w:color w:val="auto"/>
          <w:sz w:val="24"/>
        </w:rPr>
        <w:t>】</w:t>
      </w:r>
      <w:r w:rsidRPr="00A964FF">
        <w:rPr>
          <w:rFonts w:ascii="Calibri" w:hAnsi="Calibri" w:hint="eastAsia"/>
          <w:bCs/>
          <w:color w:val="auto"/>
          <w:sz w:val="24"/>
        </w:rPr>
        <w:t>23</w:t>
      </w:r>
      <w:r w:rsidRPr="00A964FF">
        <w:rPr>
          <w:rFonts w:ascii="Calibri" w:hAnsi="Calibri" w:hint="eastAsia"/>
          <w:bCs/>
          <w:color w:val="auto"/>
          <w:sz w:val="24"/>
        </w:rPr>
        <w:t>号），叶县乡镇集中式饮用水水源保护区划如下：</w:t>
      </w:r>
    </w:p>
    <w:p w14:paraId="3DA5474C"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w:t>
      </w:r>
      <w:r w:rsidRPr="00A964FF">
        <w:rPr>
          <w:rFonts w:ascii="Calibri" w:hAnsi="Calibri" w:hint="eastAsia"/>
          <w:bCs/>
          <w:color w:val="auto"/>
          <w:sz w:val="24"/>
        </w:rPr>
        <w:t>1</w:t>
      </w:r>
      <w:r w:rsidRPr="00A964FF">
        <w:rPr>
          <w:rFonts w:ascii="Calibri" w:hAnsi="Calibri" w:hint="eastAsia"/>
          <w:bCs/>
          <w:color w:val="auto"/>
          <w:sz w:val="24"/>
        </w:rPr>
        <w:t>）叶县任店镇水厂地下水井（共</w:t>
      </w:r>
      <w:r w:rsidRPr="00A964FF">
        <w:rPr>
          <w:rFonts w:ascii="Calibri" w:hAnsi="Calibri" w:hint="eastAsia"/>
          <w:bCs/>
          <w:color w:val="auto"/>
          <w:sz w:val="24"/>
        </w:rPr>
        <w:t>1</w:t>
      </w:r>
      <w:r w:rsidRPr="00A964FF">
        <w:rPr>
          <w:rFonts w:ascii="Calibri" w:hAnsi="Calibri" w:hint="eastAsia"/>
          <w:bCs/>
          <w:color w:val="auto"/>
          <w:sz w:val="24"/>
        </w:rPr>
        <w:t>眼井）</w:t>
      </w:r>
    </w:p>
    <w:p w14:paraId="08ACFEA3"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一级保护区范围：水厂厂区及外围东</w:t>
      </w:r>
      <w:r w:rsidRPr="00A964FF">
        <w:rPr>
          <w:rFonts w:ascii="Calibri" w:hAnsi="Calibri" w:hint="eastAsia"/>
          <w:bCs/>
          <w:color w:val="auto"/>
          <w:sz w:val="24"/>
        </w:rPr>
        <w:t>25</w:t>
      </w:r>
      <w:r w:rsidRPr="00A964FF">
        <w:rPr>
          <w:rFonts w:ascii="Calibri" w:hAnsi="Calibri" w:hint="eastAsia"/>
          <w:bCs/>
          <w:color w:val="auto"/>
          <w:sz w:val="24"/>
        </w:rPr>
        <w:t>米、南</w:t>
      </w:r>
      <w:r w:rsidRPr="00A964FF">
        <w:rPr>
          <w:rFonts w:ascii="Calibri" w:hAnsi="Calibri" w:hint="eastAsia"/>
          <w:bCs/>
          <w:color w:val="auto"/>
          <w:sz w:val="24"/>
        </w:rPr>
        <w:t>11</w:t>
      </w:r>
      <w:r w:rsidRPr="00A964FF">
        <w:rPr>
          <w:rFonts w:ascii="Calibri" w:hAnsi="Calibri" w:hint="eastAsia"/>
          <w:bCs/>
          <w:color w:val="auto"/>
          <w:sz w:val="24"/>
        </w:rPr>
        <w:t>米、北</w:t>
      </w:r>
      <w:r w:rsidRPr="00A964FF">
        <w:rPr>
          <w:rFonts w:ascii="Calibri" w:hAnsi="Calibri" w:hint="eastAsia"/>
          <w:bCs/>
          <w:color w:val="auto"/>
          <w:sz w:val="24"/>
        </w:rPr>
        <w:t>29</w:t>
      </w:r>
      <w:r w:rsidRPr="00A964FF">
        <w:rPr>
          <w:rFonts w:ascii="Calibri" w:hAnsi="Calibri" w:hint="eastAsia"/>
          <w:bCs/>
          <w:color w:val="auto"/>
          <w:sz w:val="24"/>
        </w:rPr>
        <w:t>米的区域。</w:t>
      </w:r>
    </w:p>
    <w:p w14:paraId="6FB16663"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w:t>
      </w:r>
      <w:r w:rsidRPr="00A964FF">
        <w:rPr>
          <w:rFonts w:ascii="Calibri" w:hAnsi="Calibri" w:hint="eastAsia"/>
          <w:bCs/>
          <w:color w:val="auto"/>
          <w:sz w:val="24"/>
        </w:rPr>
        <w:t>2</w:t>
      </w:r>
      <w:r w:rsidRPr="00A964FF">
        <w:rPr>
          <w:rFonts w:ascii="Calibri" w:hAnsi="Calibri" w:hint="eastAsia"/>
          <w:bCs/>
          <w:color w:val="auto"/>
          <w:sz w:val="24"/>
        </w:rPr>
        <w:t>）叶县廉村镇水厂地下水井（共</w:t>
      </w:r>
      <w:r w:rsidRPr="00A964FF">
        <w:rPr>
          <w:rFonts w:ascii="Calibri" w:hAnsi="Calibri" w:hint="eastAsia"/>
          <w:bCs/>
          <w:color w:val="auto"/>
          <w:sz w:val="24"/>
        </w:rPr>
        <w:t>1</w:t>
      </w:r>
      <w:r w:rsidRPr="00A964FF">
        <w:rPr>
          <w:rFonts w:ascii="Calibri" w:hAnsi="Calibri" w:hint="eastAsia"/>
          <w:bCs/>
          <w:color w:val="auto"/>
          <w:sz w:val="24"/>
        </w:rPr>
        <w:t>眼井）</w:t>
      </w:r>
    </w:p>
    <w:p w14:paraId="03B1E67E"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一级保护区范围：水厂厂区及外围东</w:t>
      </w:r>
      <w:r w:rsidRPr="00A964FF">
        <w:rPr>
          <w:rFonts w:ascii="Calibri" w:hAnsi="Calibri" w:hint="eastAsia"/>
          <w:bCs/>
          <w:color w:val="auto"/>
          <w:sz w:val="24"/>
        </w:rPr>
        <w:t>30</w:t>
      </w:r>
      <w:r w:rsidRPr="00A964FF">
        <w:rPr>
          <w:rFonts w:ascii="Calibri" w:hAnsi="Calibri" w:hint="eastAsia"/>
          <w:bCs/>
          <w:color w:val="auto"/>
          <w:sz w:val="24"/>
        </w:rPr>
        <w:t>米、西</w:t>
      </w:r>
      <w:r w:rsidRPr="00A964FF">
        <w:rPr>
          <w:rFonts w:ascii="Calibri" w:hAnsi="Calibri" w:hint="eastAsia"/>
          <w:bCs/>
          <w:color w:val="auto"/>
          <w:sz w:val="24"/>
        </w:rPr>
        <w:t>10</w:t>
      </w:r>
      <w:r w:rsidRPr="00A964FF">
        <w:rPr>
          <w:rFonts w:ascii="Calibri" w:hAnsi="Calibri" w:hint="eastAsia"/>
          <w:bCs/>
          <w:color w:val="auto"/>
          <w:sz w:val="24"/>
        </w:rPr>
        <w:t>米、南</w:t>
      </w:r>
      <w:r w:rsidRPr="00A964FF">
        <w:rPr>
          <w:rFonts w:ascii="Calibri" w:hAnsi="Calibri" w:hint="eastAsia"/>
          <w:bCs/>
          <w:color w:val="auto"/>
          <w:sz w:val="24"/>
        </w:rPr>
        <w:t>5</w:t>
      </w:r>
      <w:r w:rsidRPr="00A964FF">
        <w:rPr>
          <w:rFonts w:ascii="Calibri" w:hAnsi="Calibri" w:hint="eastAsia"/>
          <w:bCs/>
          <w:color w:val="auto"/>
          <w:sz w:val="24"/>
        </w:rPr>
        <w:t>米、北</w:t>
      </w:r>
      <w:r w:rsidRPr="00A964FF">
        <w:rPr>
          <w:rFonts w:ascii="Calibri" w:hAnsi="Calibri" w:hint="eastAsia"/>
          <w:bCs/>
          <w:color w:val="auto"/>
          <w:sz w:val="24"/>
        </w:rPr>
        <w:t>30</w:t>
      </w:r>
      <w:r w:rsidRPr="00A964FF">
        <w:rPr>
          <w:rFonts w:ascii="Calibri" w:hAnsi="Calibri" w:hint="eastAsia"/>
          <w:bCs/>
          <w:color w:val="auto"/>
          <w:sz w:val="24"/>
        </w:rPr>
        <w:t>米的区域。</w:t>
      </w:r>
    </w:p>
    <w:p w14:paraId="5AE4336F"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w:t>
      </w:r>
      <w:r w:rsidRPr="00A964FF">
        <w:rPr>
          <w:rFonts w:ascii="Calibri" w:hAnsi="Calibri" w:hint="eastAsia"/>
          <w:bCs/>
          <w:color w:val="auto"/>
          <w:sz w:val="24"/>
        </w:rPr>
        <w:t>3</w:t>
      </w:r>
      <w:r w:rsidRPr="00A964FF">
        <w:rPr>
          <w:rFonts w:ascii="Calibri" w:hAnsi="Calibri" w:hint="eastAsia"/>
          <w:bCs/>
          <w:color w:val="auto"/>
          <w:sz w:val="24"/>
        </w:rPr>
        <w:t>）叶县水寨乡蒋李水厂地下水井（共</w:t>
      </w:r>
      <w:r w:rsidRPr="00A964FF">
        <w:rPr>
          <w:rFonts w:ascii="Calibri" w:hAnsi="Calibri" w:hint="eastAsia"/>
          <w:bCs/>
          <w:color w:val="auto"/>
          <w:sz w:val="24"/>
        </w:rPr>
        <w:t>1</w:t>
      </w:r>
      <w:r w:rsidRPr="00A964FF">
        <w:rPr>
          <w:rFonts w:ascii="Calibri" w:hAnsi="Calibri" w:hint="eastAsia"/>
          <w:bCs/>
          <w:color w:val="auto"/>
          <w:sz w:val="24"/>
        </w:rPr>
        <w:t>眼井）</w:t>
      </w:r>
    </w:p>
    <w:p w14:paraId="7F9603FC"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一级保护区范围：水厂厂区及外围东</w:t>
      </w:r>
      <w:r w:rsidRPr="00A964FF">
        <w:rPr>
          <w:rFonts w:ascii="Calibri" w:hAnsi="Calibri" w:hint="eastAsia"/>
          <w:bCs/>
          <w:color w:val="auto"/>
          <w:sz w:val="24"/>
        </w:rPr>
        <w:t>10</w:t>
      </w:r>
      <w:r w:rsidRPr="00A964FF">
        <w:rPr>
          <w:rFonts w:ascii="Calibri" w:hAnsi="Calibri" w:hint="eastAsia"/>
          <w:bCs/>
          <w:color w:val="auto"/>
          <w:sz w:val="24"/>
        </w:rPr>
        <w:t>米、西</w:t>
      </w:r>
      <w:r w:rsidRPr="00A964FF">
        <w:rPr>
          <w:rFonts w:ascii="Calibri" w:hAnsi="Calibri" w:hint="eastAsia"/>
          <w:bCs/>
          <w:color w:val="auto"/>
          <w:sz w:val="24"/>
        </w:rPr>
        <w:t>30</w:t>
      </w:r>
      <w:r w:rsidRPr="00A964FF">
        <w:rPr>
          <w:rFonts w:ascii="Calibri" w:hAnsi="Calibri" w:hint="eastAsia"/>
          <w:bCs/>
          <w:color w:val="auto"/>
          <w:sz w:val="24"/>
        </w:rPr>
        <w:t>米、南</w:t>
      </w:r>
      <w:r w:rsidRPr="00A964FF">
        <w:rPr>
          <w:rFonts w:ascii="Calibri" w:hAnsi="Calibri" w:hint="eastAsia"/>
          <w:bCs/>
          <w:color w:val="auto"/>
          <w:sz w:val="24"/>
        </w:rPr>
        <w:t>10</w:t>
      </w:r>
      <w:r w:rsidRPr="00A964FF">
        <w:rPr>
          <w:rFonts w:ascii="Calibri" w:hAnsi="Calibri" w:hint="eastAsia"/>
          <w:bCs/>
          <w:color w:val="auto"/>
          <w:sz w:val="24"/>
        </w:rPr>
        <w:t>米、北</w:t>
      </w:r>
      <w:r w:rsidRPr="00A964FF">
        <w:rPr>
          <w:rFonts w:ascii="Calibri" w:hAnsi="Calibri" w:hint="eastAsia"/>
          <w:bCs/>
          <w:color w:val="auto"/>
          <w:sz w:val="24"/>
        </w:rPr>
        <w:t>30</w:t>
      </w:r>
      <w:r w:rsidRPr="00A964FF">
        <w:rPr>
          <w:rFonts w:ascii="Calibri" w:hAnsi="Calibri" w:hint="eastAsia"/>
          <w:bCs/>
          <w:color w:val="auto"/>
          <w:sz w:val="24"/>
        </w:rPr>
        <w:t>米的区域。</w:t>
      </w:r>
    </w:p>
    <w:p w14:paraId="3923D282"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w:t>
      </w:r>
      <w:r w:rsidRPr="00A964FF">
        <w:rPr>
          <w:rFonts w:ascii="Calibri" w:hAnsi="Calibri" w:hint="eastAsia"/>
          <w:bCs/>
          <w:color w:val="auto"/>
          <w:sz w:val="24"/>
        </w:rPr>
        <w:t>4</w:t>
      </w:r>
      <w:r w:rsidRPr="00A964FF">
        <w:rPr>
          <w:rFonts w:ascii="Calibri" w:hAnsi="Calibri" w:hint="eastAsia"/>
          <w:bCs/>
          <w:color w:val="auto"/>
          <w:sz w:val="24"/>
        </w:rPr>
        <w:t>）叶县保安镇水厂地下水井（共</w:t>
      </w:r>
      <w:r w:rsidRPr="00A964FF">
        <w:rPr>
          <w:rFonts w:ascii="Calibri" w:hAnsi="Calibri" w:hint="eastAsia"/>
          <w:bCs/>
          <w:color w:val="auto"/>
          <w:sz w:val="24"/>
        </w:rPr>
        <w:t>1</w:t>
      </w:r>
      <w:r w:rsidRPr="00A964FF">
        <w:rPr>
          <w:rFonts w:ascii="Calibri" w:hAnsi="Calibri" w:hint="eastAsia"/>
          <w:bCs/>
          <w:color w:val="auto"/>
          <w:sz w:val="24"/>
        </w:rPr>
        <w:t>眼井）</w:t>
      </w:r>
    </w:p>
    <w:p w14:paraId="2E4F97B9"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一级保护区范围：水厂厂区及外围东</w:t>
      </w:r>
      <w:r w:rsidRPr="00A964FF">
        <w:rPr>
          <w:rFonts w:ascii="Calibri" w:hAnsi="Calibri" w:hint="eastAsia"/>
          <w:bCs/>
          <w:color w:val="auto"/>
          <w:sz w:val="24"/>
        </w:rPr>
        <w:t>10</w:t>
      </w:r>
      <w:r w:rsidRPr="00A964FF">
        <w:rPr>
          <w:rFonts w:ascii="Calibri" w:hAnsi="Calibri" w:hint="eastAsia"/>
          <w:bCs/>
          <w:color w:val="auto"/>
          <w:sz w:val="24"/>
        </w:rPr>
        <w:t>米、西</w:t>
      </w:r>
      <w:r w:rsidRPr="00A964FF">
        <w:rPr>
          <w:rFonts w:ascii="Calibri" w:hAnsi="Calibri" w:hint="eastAsia"/>
          <w:bCs/>
          <w:color w:val="auto"/>
          <w:sz w:val="24"/>
        </w:rPr>
        <w:t>30</w:t>
      </w:r>
      <w:r w:rsidRPr="00A964FF">
        <w:rPr>
          <w:rFonts w:ascii="Calibri" w:hAnsi="Calibri" w:hint="eastAsia"/>
          <w:bCs/>
          <w:color w:val="auto"/>
          <w:sz w:val="24"/>
        </w:rPr>
        <w:t>米、南</w:t>
      </w:r>
      <w:r w:rsidRPr="00A964FF">
        <w:rPr>
          <w:rFonts w:ascii="Calibri" w:hAnsi="Calibri" w:hint="eastAsia"/>
          <w:bCs/>
          <w:color w:val="auto"/>
          <w:sz w:val="24"/>
        </w:rPr>
        <w:t>15</w:t>
      </w:r>
      <w:r w:rsidRPr="00A964FF">
        <w:rPr>
          <w:rFonts w:ascii="Calibri" w:hAnsi="Calibri" w:hint="eastAsia"/>
          <w:bCs/>
          <w:color w:val="auto"/>
          <w:sz w:val="24"/>
        </w:rPr>
        <w:t>米、北</w:t>
      </w:r>
      <w:r w:rsidRPr="00A964FF">
        <w:rPr>
          <w:rFonts w:ascii="Calibri" w:hAnsi="Calibri" w:hint="eastAsia"/>
          <w:bCs/>
          <w:color w:val="auto"/>
          <w:sz w:val="24"/>
        </w:rPr>
        <w:t>30</w:t>
      </w:r>
      <w:r w:rsidRPr="00A964FF">
        <w:rPr>
          <w:rFonts w:ascii="Calibri" w:hAnsi="Calibri" w:hint="eastAsia"/>
          <w:bCs/>
          <w:color w:val="auto"/>
          <w:sz w:val="24"/>
        </w:rPr>
        <w:t>米的区域。</w:t>
      </w:r>
    </w:p>
    <w:p w14:paraId="3E7C6D86" w14:textId="77777777" w:rsidR="009126C1" w:rsidRPr="00A964FF" w:rsidRDefault="009126C1"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二级保护区范围：一级保护区外围</w:t>
      </w:r>
      <w:r w:rsidRPr="00A964FF">
        <w:rPr>
          <w:rFonts w:ascii="Calibri" w:hAnsi="Calibri" w:hint="eastAsia"/>
          <w:bCs/>
          <w:color w:val="auto"/>
          <w:sz w:val="24"/>
        </w:rPr>
        <w:t>300</w:t>
      </w:r>
      <w:r w:rsidRPr="00A964FF">
        <w:rPr>
          <w:rFonts w:ascii="Calibri" w:hAnsi="Calibri" w:hint="eastAsia"/>
          <w:bCs/>
          <w:color w:val="auto"/>
          <w:sz w:val="24"/>
        </w:rPr>
        <w:t>米的区域。</w:t>
      </w:r>
    </w:p>
    <w:p w14:paraId="468274F0" w14:textId="77777777" w:rsidR="009126C1" w:rsidRPr="00A964FF" w:rsidRDefault="009126C1" w:rsidP="00AF50E0">
      <w:pPr>
        <w:widowControl/>
        <w:spacing w:line="520" w:lineRule="exact"/>
        <w:ind w:firstLineChars="200" w:firstLine="480"/>
        <w:rPr>
          <w:rFonts w:ascii="Calibri" w:hAnsi="Calibri"/>
          <w:bCs/>
          <w:color w:val="auto"/>
          <w:sz w:val="24"/>
        </w:rPr>
      </w:pPr>
      <w:r w:rsidRPr="00A964FF">
        <w:rPr>
          <w:rFonts w:ascii="Calibri" w:hAnsi="Calibri" w:hint="eastAsia"/>
          <w:bCs/>
          <w:color w:val="auto"/>
          <w:sz w:val="24"/>
        </w:rPr>
        <w:t>本项目选址位于平顶山尼龙新材料产业集聚区，属于</w:t>
      </w:r>
      <w:r w:rsidR="00F22BBD" w:rsidRPr="00A964FF">
        <w:rPr>
          <w:rFonts w:ascii="Calibri" w:hAnsi="Calibri" w:hint="eastAsia"/>
          <w:bCs/>
          <w:color w:val="auto"/>
          <w:sz w:val="24"/>
        </w:rPr>
        <w:t>龚店镇</w:t>
      </w:r>
      <w:r w:rsidRPr="00A964FF">
        <w:rPr>
          <w:rFonts w:ascii="Calibri" w:hAnsi="Calibri" w:hint="eastAsia"/>
          <w:bCs/>
          <w:color w:val="auto"/>
          <w:sz w:val="24"/>
        </w:rPr>
        <w:t>，不在上述划定水源地的乡镇范围内，</w:t>
      </w:r>
      <w:r w:rsidR="00F22BBD" w:rsidRPr="00A964FF">
        <w:rPr>
          <w:rFonts w:ascii="Calibri" w:hAnsi="Calibri" w:hint="eastAsia"/>
          <w:bCs/>
          <w:color w:val="auto"/>
          <w:sz w:val="24"/>
        </w:rPr>
        <w:t>且距离较远，</w:t>
      </w:r>
      <w:r w:rsidRPr="00A964FF">
        <w:rPr>
          <w:rFonts w:ascii="Calibri" w:hAnsi="Calibri" w:hint="eastAsia"/>
          <w:bCs/>
          <w:color w:val="auto"/>
          <w:sz w:val="24"/>
        </w:rPr>
        <w:t>符合叶县乡镇集中式饮用水水源保护区划要求。</w:t>
      </w:r>
    </w:p>
    <w:p w14:paraId="15CCEB10" w14:textId="77777777" w:rsidR="001D6A72" w:rsidRPr="00A964FF" w:rsidRDefault="009126C1" w:rsidP="003F0808">
      <w:pPr>
        <w:widowControl/>
        <w:spacing w:line="520" w:lineRule="exact"/>
        <w:ind w:firstLineChars="200" w:firstLine="482"/>
        <w:jc w:val="left"/>
        <w:rPr>
          <w:rFonts w:ascii="Calibri" w:hAnsi="Calibri"/>
          <w:b/>
          <w:bCs/>
          <w:color w:val="auto"/>
          <w:sz w:val="24"/>
        </w:rPr>
      </w:pPr>
      <w:r w:rsidRPr="00A964FF">
        <w:rPr>
          <w:rFonts w:ascii="Calibri" w:hAnsi="Calibri" w:hint="eastAsia"/>
          <w:b/>
          <w:bCs/>
          <w:color w:val="auto"/>
          <w:sz w:val="24"/>
        </w:rPr>
        <w:t>4</w:t>
      </w:r>
      <w:r w:rsidR="001D6A72" w:rsidRPr="00A964FF">
        <w:rPr>
          <w:rFonts w:ascii="Calibri" w:hAnsi="Calibri"/>
          <w:b/>
          <w:bCs/>
          <w:color w:val="auto"/>
          <w:sz w:val="24"/>
        </w:rPr>
        <w:t>、</w:t>
      </w:r>
      <w:r w:rsidR="001D6A72" w:rsidRPr="00A964FF">
        <w:rPr>
          <w:rFonts w:ascii="Calibri" w:hAnsi="Calibri" w:hint="eastAsia"/>
          <w:b/>
          <w:bCs/>
          <w:color w:val="auto"/>
          <w:sz w:val="24"/>
        </w:rPr>
        <w:t>与南水北调中线工程的关系</w:t>
      </w:r>
    </w:p>
    <w:p w14:paraId="7162906A" w14:textId="77777777" w:rsidR="00E413C1"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根据《关于印发南水北调中线一期工程总干渠（河南段）两侧饮用水水源保护区划的通知》（豫调办【</w:t>
      </w:r>
      <w:r w:rsidRPr="00A964FF">
        <w:rPr>
          <w:rFonts w:ascii="Calibri" w:hAnsi="Calibri"/>
          <w:bCs/>
          <w:color w:val="auto"/>
          <w:sz w:val="24"/>
        </w:rPr>
        <w:t>2018</w:t>
      </w:r>
      <w:r w:rsidRPr="00A964FF">
        <w:rPr>
          <w:rFonts w:ascii="Calibri" w:hAnsi="Calibri"/>
          <w:bCs/>
          <w:color w:val="auto"/>
          <w:sz w:val="24"/>
        </w:rPr>
        <w:t>】</w:t>
      </w:r>
      <w:r w:rsidRPr="00A964FF">
        <w:rPr>
          <w:rFonts w:ascii="Calibri" w:hAnsi="Calibri"/>
          <w:bCs/>
          <w:color w:val="auto"/>
          <w:sz w:val="24"/>
        </w:rPr>
        <w:t>56</w:t>
      </w:r>
      <w:r w:rsidRPr="00A964FF">
        <w:rPr>
          <w:rFonts w:ascii="Calibri" w:hAnsi="Calibri"/>
          <w:bCs/>
          <w:color w:val="auto"/>
          <w:sz w:val="24"/>
        </w:rPr>
        <w:t>号），总干渠两侧饮用水水源保护区划范围如下：</w:t>
      </w:r>
    </w:p>
    <w:p w14:paraId="6D4B16E9"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南水北调中线一期工程总干渠在河南省境内的工程类型分为建筑物段和总干渠明渠段。</w:t>
      </w:r>
    </w:p>
    <w:p w14:paraId="74BAD1C4"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（一）建筑物段（渡槽、倒虹吸、暗涵、隧洞）</w:t>
      </w:r>
    </w:p>
    <w:p w14:paraId="3E0E4669"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一级保护区范围自总干渠管理范围边线（防护栏网）外延</w:t>
      </w:r>
      <w:r w:rsidRPr="00A964FF">
        <w:rPr>
          <w:rFonts w:ascii="Calibri" w:hAnsi="Calibri"/>
          <w:bCs/>
          <w:color w:val="auto"/>
          <w:sz w:val="24"/>
        </w:rPr>
        <w:t>50m</w:t>
      </w:r>
      <w:r w:rsidRPr="00A964FF">
        <w:rPr>
          <w:rFonts w:ascii="Calibri" w:hAnsi="Calibri"/>
          <w:bCs/>
          <w:color w:val="auto"/>
          <w:sz w:val="24"/>
        </w:rPr>
        <w:t>，不设二级保护区。</w:t>
      </w:r>
    </w:p>
    <w:p w14:paraId="44B00DE0"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（二）总干渠明渠段</w:t>
      </w:r>
    </w:p>
    <w:p w14:paraId="31111B26"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根据地下水水位与总干渠渠底高程的关系，分为以下几种类型：</w:t>
      </w:r>
    </w:p>
    <w:p w14:paraId="784B534C"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lastRenderedPageBreak/>
        <w:t>1</w:t>
      </w:r>
      <w:r w:rsidRPr="00A964FF">
        <w:rPr>
          <w:rFonts w:ascii="Calibri" w:hAnsi="Calibri" w:hint="eastAsia"/>
          <w:bCs/>
          <w:color w:val="auto"/>
          <w:sz w:val="24"/>
        </w:rPr>
        <w:t>）</w:t>
      </w:r>
      <w:r w:rsidRPr="00A964FF">
        <w:rPr>
          <w:rFonts w:ascii="Calibri" w:hAnsi="Calibri"/>
          <w:bCs/>
          <w:color w:val="auto"/>
          <w:sz w:val="24"/>
        </w:rPr>
        <w:t>地下水水位低于总干渠渠底的渠段</w:t>
      </w:r>
    </w:p>
    <w:p w14:paraId="7CC78A49"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一级保护区范围自总干渠管理范围边线（防护栏网）外延</w:t>
      </w:r>
      <w:r w:rsidRPr="00A964FF">
        <w:rPr>
          <w:rFonts w:ascii="Calibri" w:hAnsi="Calibri"/>
          <w:bCs/>
          <w:color w:val="auto"/>
          <w:sz w:val="24"/>
        </w:rPr>
        <w:t>50m</w:t>
      </w:r>
      <w:r w:rsidRPr="00A964FF">
        <w:rPr>
          <w:rFonts w:ascii="Calibri" w:hAnsi="Calibri"/>
          <w:bCs/>
          <w:color w:val="auto"/>
          <w:sz w:val="24"/>
        </w:rPr>
        <w:t>；</w:t>
      </w:r>
    </w:p>
    <w:p w14:paraId="0E110025"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二级保护区范围自一级保护区边线外延</w:t>
      </w:r>
      <w:r w:rsidRPr="00A964FF">
        <w:rPr>
          <w:rFonts w:ascii="Calibri" w:hAnsi="Calibri"/>
          <w:bCs/>
          <w:color w:val="auto"/>
          <w:sz w:val="24"/>
        </w:rPr>
        <w:t>150m</w:t>
      </w:r>
      <w:r w:rsidRPr="00A964FF">
        <w:rPr>
          <w:rFonts w:ascii="Calibri" w:hAnsi="Calibri"/>
          <w:bCs/>
          <w:color w:val="auto"/>
          <w:sz w:val="24"/>
        </w:rPr>
        <w:t>。</w:t>
      </w:r>
    </w:p>
    <w:p w14:paraId="3D3F3507"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2</w:t>
      </w:r>
      <w:r w:rsidRPr="00A964FF">
        <w:rPr>
          <w:rFonts w:ascii="Calibri" w:hAnsi="Calibri" w:hint="eastAsia"/>
          <w:bCs/>
          <w:color w:val="auto"/>
          <w:sz w:val="24"/>
        </w:rPr>
        <w:t>）</w:t>
      </w:r>
      <w:r w:rsidRPr="00A964FF">
        <w:rPr>
          <w:rFonts w:ascii="Calibri" w:hAnsi="Calibri"/>
          <w:bCs/>
          <w:color w:val="auto"/>
          <w:sz w:val="24"/>
        </w:rPr>
        <w:t>地下水水位高于总干渠渠底的渠段</w:t>
      </w:r>
    </w:p>
    <w:p w14:paraId="3CE2201D"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w:t>
      </w:r>
      <w:r w:rsidRPr="00A964FF">
        <w:rPr>
          <w:rFonts w:ascii="Calibri" w:hAnsi="Calibri"/>
          <w:bCs/>
          <w:color w:val="auto"/>
          <w:sz w:val="24"/>
        </w:rPr>
        <w:t>1</w:t>
      </w:r>
      <w:r w:rsidRPr="00A964FF">
        <w:rPr>
          <w:rFonts w:ascii="Calibri" w:hAnsi="Calibri"/>
          <w:bCs/>
          <w:color w:val="auto"/>
          <w:sz w:val="24"/>
        </w:rPr>
        <w:t>）微～弱透水性地层</w:t>
      </w:r>
    </w:p>
    <w:p w14:paraId="49F6D8D1"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一级保护区范围自总干渠管理范围边线（防护栏网）外延</w:t>
      </w:r>
      <w:r w:rsidRPr="00A964FF">
        <w:rPr>
          <w:rFonts w:ascii="Calibri" w:hAnsi="Calibri"/>
          <w:bCs/>
          <w:color w:val="auto"/>
          <w:sz w:val="24"/>
        </w:rPr>
        <w:t>50m</w:t>
      </w:r>
      <w:r w:rsidRPr="00A964FF">
        <w:rPr>
          <w:rFonts w:ascii="Calibri" w:hAnsi="Calibri"/>
          <w:bCs/>
          <w:color w:val="auto"/>
          <w:sz w:val="24"/>
        </w:rPr>
        <w:t>；</w:t>
      </w:r>
    </w:p>
    <w:p w14:paraId="1DE8B36D"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二级保护区范围自一级保护区边线外延</w:t>
      </w:r>
      <w:r w:rsidRPr="00A964FF">
        <w:rPr>
          <w:rFonts w:ascii="Calibri" w:hAnsi="Calibri"/>
          <w:bCs/>
          <w:color w:val="auto"/>
          <w:sz w:val="24"/>
        </w:rPr>
        <w:t>500m</w:t>
      </w:r>
      <w:r w:rsidRPr="00A964FF">
        <w:rPr>
          <w:rFonts w:ascii="Calibri" w:hAnsi="Calibri"/>
          <w:bCs/>
          <w:color w:val="auto"/>
          <w:sz w:val="24"/>
        </w:rPr>
        <w:t>。</w:t>
      </w:r>
    </w:p>
    <w:p w14:paraId="03382CDA"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w:t>
      </w:r>
      <w:r w:rsidRPr="00A964FF">
        <w:rPr>
          <w:rFonts w:ascii="Calibri" w:hAnsi="Calibri"/>
          <w:bCs/>
          <w:color w:val="auto"/>
          <w:sz w:val="24"/>
        </w:rPr>
        <w:t>2</w:t>
      </w:r>
      <w:r w:rsidRPr="00A964FF">
        <w:rPr>
          <w:rFonts w:ascii="Calibri" w:hAnsi="Calibri"/>
          <w:bCs/>
          <w:color w:val="auto"/>
          <w:sz w:val="24"/>
        </w:rPr>
        <w:t>）弱～中透水性地层</w:t>
      </w:r>
    </w:p>
    <w:p w14:paraId="1D1D48EA"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一级保护区范围自总干渠管理范围边线（防护栏网）外延</w:t>
      </w:r>
      <w:r w:rsidRPr="00A964FF">
        <w:rPr>
          <w:rFonts w:ascii="Calibri" w:hAnsi="Calibri"/>
          <w:bCs/>
          <w:color w:val="auto"/>
          <w:sz w:val="24"/>
        </w:rPr>
        <w:t>100m</w:t>
      </w:r>
      <w:r w:rsidRPr="00A964FF">
        <w:rPr>
          <w:rFonts w:ascii="Calibri" w:hAnsi="Calibri"/>
          <w:bCs/>
          <w:color w:val="auto"/>
          <w:sz w:val="24"/>
        </w:rPr>
        <w:t>；</w:t>
      </w:r>
    </w:p>
    <w:p w14:paraId="078308D0"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二级保护区范围自一级保护区边线外延</w:t>
      </w:r>
      <w:r w:rsidRPr="00A964FF">
        <w:rPr>
          <w:rFonts w:ascii="Calibri" w:hAnsi="Calibri"/>
          <w:bCs/>
          <w:color w:val="auto"/>
          <w:sz w:val="24"/>
        </w:rPr>
        <w:t>1000m</w:t>
      </w:r>
      <w:r w:rsidRPr="00A964FF">
        <w:rPr>
          <w:rFonts w:ascii="Calibri" w:hAnsi="Calibri"/>
          <w:bCs/>
          <w:color w:val="auto"/>
          <w:sz w:val="24"/>
        </w:rPr>
        <w:t>。</w:t>
      </w:r>
    </w:p>
    <w:p w14:paraId="48F5C8D6"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w:t>
      </w:r>
      <w:r w:rsidRPr="00A964FF">
        <w:rPr>
          <w:rFonts w:ascii="Calibri" w:hAnsi="Calibri"/>
          <w:bCs/>
          <w:color w:val="auto"/>
          <w:sz w:val="24"/>
        </w:rPr>
        <w:t>3</w:t>
      </w:r>
      <w:r w:rsidRPr="00A964FF">
        <w:rPr>
          <w:rFonts w:ascii="Calibri" w:hAnsi="Calibri"/>
          <w:bCs/>
          <w:color w:val="auto"/>
          <w:sz w:val="24"/>
        </w:rPr>
        <w:t>）强透水性地层</w:t>
      </w:r>
    </w:p>
    <w:p w14:paraId="18269934"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一级保护区范围自总干渠管理范围边线（防护栏网）外延</w:t>
      </w:r>
      <w:r w:rsidRPr="00A964FF">
        <w:rPr>
          <w:rFonts w:ascii="Calibri" w:hAnsi="Calibri"/>
          <w:bCs/>
          <w:color w:val="auto"/>
          <w:sz w:val="24"/>
        </w:rPr>
        <w:t>200m</w:t>
      </w:r>
      <w:r w:rsidRPr="00A964FF">
        <w:rPr>
          <w:rFonts w:ascii="Calibri" w:hAnsi="Calibri"/>
          <w:bCs/>
          <w:color w:val="auto"/>
          <w:sz w:val="24"/>
        </w:rPr>
        <w:t>；</w:t>
      </w:r>
    </w:p>
    <w:p w14:paraId="1BD0231B" w14:textId="77777777" w:rsidR="001D6A72" w:rsidRPr="00A964FF" w:rsidRDefault="001D6A72" w:rsidP="000E33B8">
      <w:pPr>
        <w:widowControl/>
        <w:spacing w:line="520" w:lineRule="exact"/>
        <w:ind w:firstLineChars="200" w:firstLine="480"/>
        <w:jc w:val="left"/>
        <w:rPr>
          <w:rFonts w:ascii="Calibri" w:hAnsi="Calibri"/>
          <w:bCs/>
          <w:color w:val="auto"/>
          <w:sz w:val="24"/>
        </w:rPr>
      </w:pPr>
      <w:r w:rsidRPr="00A964FF">
        <w:rPr>
          <w:rFonts w:ascii="Calibri" w:hAnsi="Calibri"/>
          <w:bCs/>
          <w:color w:val="auto"/>
          <w:sz w:val="24"/>
        </w:rPr>
        <w:t>二级保护区范围自一级保护区边线外延</w:t>
      </w:r>
      <w:r w:rsidRPr="00A964FF">
        <w:rPr>
          <w:rFonts w:ascii="Calibri" w:hAnsi="Calibri"/>
          <w:bCs/>
          <w:color w:val="auto"/>
          <w:sz w:val="24"/>
        </w:rPr>
        <w:t>2000m</w:t>
      </w:r>
      <w:r w:rsidRPr="00A964FF">
        <w:rPr>
          <w:rFonts w:ascii="Calibri" w:hAnsi="Calibri"/>
          <w:bCs/>
          <w:color w:val="auto"/>
          <w:sz w:val="24"/>
        </w:rPr>
        <w:t>、</w:t>
      </w:r>
      <w:r w:rsidRPr="00A964FF">
        <w:rPr>
          <w:rFonts w:ascii="Calibri" w:hAnsi="Calibri"/>
          <w:bCs/>
          <w:color w:val="auto"/>
          <w:sz w:val="24"/>
        </w:rPr>
        <w:t>1500m</w:t>
      </w:r>
      <w:r w:rsidRPr="00A964FF">
        <w:rPr>
          <w:rFonts w:ascii="Calibri" w:hAnsi="Calibri"/>
          <w:bCs/>
          <w:color w:val="auto"/>
          <w:sz w:val="24"/>
        </w:rPr>
        <w:t>。</w:t>
      </w:r>
    </w:p>
    <w:p w14:paraId="1ADF73AA" w14:textId="77777777" w:rsidR="00F22BBD" w:rsidRDefault="00F22BBD" w:rsidP="00F22BBD">
      <w:pPr>
        <w:pStyle w:val="00"/>
        <w:rPr>
          <w:rFonts w:ascii="Calibri" w:hAnsi="Calibri"/>
          <w:bCs/>
          <w:color w:val="auto"/>
        </w:rPr>
      </w:pPr>
      <w:r w:rsidRPr="00A964FF">
        <w:rPr>
          <w:rFonts w:ascii="Calibri" w:hAnsi="Calibri" w:hint="eastAsia"/>
          <w:color w:val="auto"/>
        </w:rPr>
        <w:t>本项目</w:t>
      </w:r>
      <w:r w:rsidRPr="00A964FF">
        <w:rPr>
          <w:rFonts w:ascii="Calibri" w:hAnsi="Calibri" w:hint="eastAsia"/>
          <w:bCs/>
          <w:color w:val="auto"/>
        </w:rPr>
        <w:t>距离南水北调</w:t>
      </w:r>
      <w:r w:rsidRPr="00A964FF">
        <w:rPr>
          <w:rFonts w:ascii="Calibri" w:hAnsi="Calibri" w:hint="eastAsia"/>
          <w:color w:val="auto"/>
        </w:rPr>
        <w:t>叶县</w:t>
      </w:r>
      <w:r w:rsidR="003F1E06" w:rsidRPr="00A964FF">
        <w:rPr>
          <w:rFonts w:ascii="Calibri" w:hAnsi="Calibri" w:hint="eastAsia"/>
          <w:color w:val="auto"/>
        </w:rPr>
        <w:t>段</w:t>
      </w:r>
      <w:r w:rsidRPr="00A964FF">
        <w:rPr>
          <w:rFonts w:ascii="Calibri" w:hAnsi="Calibri" w:hint="eastAsia"/>
          <w:color w:val="auto"/>
        </w:rPr>
        <w:t>右岸</w:t>
      </w:r>
      <w:r w:rsidRPr="00A964FF">
        <w:rPr>
          <w:rFonts w:ascii="Calibri" w:hAnsi="Calibri" w:hint="eastAsia"/>
          <w:bCs/>
          <w:color w:val="auto"/>
        </w:rPr>
        <w:t>约</w:t>
      </w:r>
      <w:r w:rsidR="00085D6F">
        <w:rPr>
          <w:rFonts w:ascii="Calibri" w:hAnsi="Calibri" w:hint="eastAsia"/>
          <w:bCs/>
          <w:color w:val="auto"/>
        </w:rPr>
        <w:t>30.</w:t>
      </w:r>
      <w:r w:rsidR="00D5104E">
        <w:rPr>
          <w:rFonts w:ascii="Calibri" w:hAnsi="Calibri"/>
          <w:bCs/>
          <w:color w:val="auto"/>
        </w:rPr>
        <w:t>4</w:t>
      </w:r>
      <w:r w:rsidRPr="00A964FF">
        <w:rPr>
          <w:rFonts w:ascii="Calibri" w:hAnsi="Calibri"/>
          <w:bCs/>
          <w:color w:val="auto"/>
        </w:rPr>
        <w:t>km</w:t>
      </w:r>
      <w:r w:rsidRPr="00A964FF">
        <w:rPr>
          <w:rFonts w:ascii="Calibri" w:hAnsi="Calibri" w:hint="eastAsia"/>
          <w:bCs/>
          <w:color w:val="auto"/>
        </w:rPr>
        <w:t>，不在南水北调中线工程一级和二级保护区范围内，符合南水北调规划要求。</w:t>
      </w:r>
    </w:p>
    <w:p w14:paraId="096504B9" w14:textId="77777777" w:rsidR="00D5104E" w:rsidRPr="00D5104E" w:rsidRDefault="00D5104E" w:rsidP="00D5104E">
      <w:pPr>
        <w:pStyle w:val="ad"/>
        <w:rPr>
          <w:rFonts w:ascii="Calibri" w:hAnsi="Calibri"/>
          <w:bCs/>
          <w:color w:val="auto"/>
        </w:rPr>
      </w:pPr>
      <w:r w:rsidRPr="00957EB2">
        <w:rPr>
          <w:rFonts w:ascii="Calibri" w:hAnsi="Calibri"/>
          <w:color w:val="auto"/>
        </w:rPr>
        <w:t>1.</w:t>
      </w:r>
      <w:r w:rsidRPr="00957EB2">
        <w:rPr>
          <w:rFonts w:ascii="Calibri" w:hAnsi="Calibri" w:hint="eastAsia"/>
          <w:color w:val="auto"/>
        </w:rPr>
        <w:t>8</w:t>
      </w:r>
      <w:r w:rsidRPr="00957EB2">
        <w:rPr>
          <w:rFonts w:ascii="Calibri" w:hAnsi="Calibri"/>
          <w:color w:val="auto"/>
        </w:rPr>
        <w:t>.</w:t>
      </w:r>
      <w:r>
        <w:rPr>
          <w:rFonts w:ascii="Calibri" w:hAnsi="Calibri"/>
          <w:color w:val="auto"/>
        </w:rPr>
        <w:t>8</w:t>
      </w:r>
      <w:r w:rsidRPr="00D5104E">
        <w:rPr>
          <w:rFonts w:hint="eastAsia"/>
          <w:color w:val="auto"/>
        </w:rPr>
        <w:t>《关于建立“两高”项目会商联审机制的通知》（节选）</w:t>
      </w:r>
    </w:p>
    <w:p w14:paraId="0372D705" w14:textId="77777777" w:rsidR="00D5104E" w:rsidRPr="00D5104E" w:rsidRDefault="00D5104E" w:rsidP="00575DF8">
      <w:pPr>
        <w:spacing w:line="520" w:lineRule="exact"/>
        <w:ind w:firstLineChars="200" w:firstLine="480"/>
        <w:rPr>
          <w:rFonts w:asciiTheme="minorHAnsi" w:hAnsiTheme="minorHAnsi"/>
          <w:sz w:val="24"/>
        </w:rPr>
      </w:pPr>
      <w:r w:rsidRPr="00D5104E">
        <w:rPr>
          <w:rFonts w:asciiTheme="minorHAnsi" w:hAnsiTheme="minorHAnsi"/>
          <w:sz w:val="24"/>
        </w:rPr>
        <w:t>根据</w:t>
      </w:r>
      <w:r w:rsidRPr="00D5104E">
        <w:rPr>
          <w:rFonts w:asciiTheme="minorHAnsi" w:hAnsiTheme="minorHAnsi"/>
          <w:sz w:val="24"/>
        </w:rPr>
        <w:t>2021</w:t>
      </w:r>
      <w:r w:rsidRPr="00D5104E">
        <w:rPr>
          <w:rFonts w:asciiTheme="minorHAnsi" w:hAnsiTheme="minorHAnsi"/>
          <w:sz w:val="24"/>
        </w:rPr>
        <w:t>年</w:t>
      </w:r>
      <w:r w:rsidRPr="00D5104E">
        <w:rPr>
          <w:rFonts w:asciiTheme="minorHAnsi" w:hAnsiTheme="minorHAnsi"/>
          <w:sz w:val="24"/>
        </w:rPr>
        <w:t>12</w:t>
      </w:r>
      <w:r w:rsidRPr="00D5104E">
        <w:rPr>
          <w:rFonts w:asciiTheme="minorHAnsi" w:hAnsiTheme="minorHAnsi"/>
          <w:sz w:val="24"/>
        </w:rPr>
        <w:t>月</w:t>
      </w:r>
      <w:r w:rsidRPr="00D5104E">
        <w:rPr>
          <w:rFonts w:asciiTheme="minorHAnsi" w:hAnsiTheme="minorHAnsi"/>
          <w:sz w:val="24"/>
        </w:rPr>
        <w:t>15</w:t>
      </w:r>
      <w:r w:rsidRPr="00D5104E">
        <w:rPr>
          <w:rFonts w:asciiTheme="minorHAnsi" w:hAnsiTheme="minorHAnsi"/>
          <w:sz w:val="24"/>
        </w:rPr>
        <w:t>日河南省发展和改革委员会发布的《关于建立</w:t>
      </w:r>
      <w:r w:rsidRPr="00D5104E">
        <w:rPr>
          <w:rFonts w:asciiTheme="minorHAnsi" w:hAnsiTheme="minorHAnsi"/>
          <w:sz w:val="24"/>
        </w:rPr>
        <w:t>“</w:t>
      </w:r>
      <w:r w:rsidRPr="00D5104E">
        <w:rPr>
          <w:rFonts w:asciiTheme="minorHAnsi" w:hAnsiTheme="minorHAnsi"/>
          <w:sz w:val="24"/>
        </w:rPr>
        <w:t>两高</w:t>
      </w:r>
      <w:r w:rsidRPr="00D5104E">
        <w:rPr>
          <w:rFonts w:asciiTheme="minorHAnsi" w:hAnsiTheme="minorHAnsi"/>
          <w:sz w:val="24"/>
        </w:rPr>
        <w:t>”</w:t>
      </w:r>
      <w:r w:rsidRPr="00D5104E">
        <w:rPr>
          <w:rFonts w:asciiTheme="minorHAnsi" w:hAnsiTheme="minorHAnsi"/>
          <w:sz w:val="24"/>
        </w:rPr>
        <w:t>项目会商联审机制的通知》（豫发改环资【</w:t>
      </w:r>
      <w:r w:rsidRPr="00D5104E">
        <w:rPr>
          <w:rFonts w:asciiTheme="minorHAnsi" w:hAnsiTheme="minorHAnsi"/>
          <w:sz w:val="24"/>
        </w:rPr>
        <w:t>2021</w:t>
      </w:r>
      <w:r w:rsidRPr="00D5104E">
        <w:rPr>
          <w:rFonts w:asciiTheme="minorHAnsi" w:hAnsiTheme="minorHAnsi"/>
          <w:sz w:val="24"/>
        </w:rPr>
        <w:t>】</w:t>
      </w:r>
      <w:r w:rsidRPr="00D5104E">
        <w:rPr>
          <w:rFonts w:asciiTheme="minorHAnsi" w:hAnsiTheme="minorHAnsi"/>
          <w:sz w:val="24"/>
        </w:rPr>
        <w:t>977</w:t>
      </w:r>
      <w:r w:rsidRPr="00D5104E">
        <w:rPr>
          <w:rFonts w:asciiTheme="minorHAnsi" w:hAnsiTheme="minorHAnsi"/>
          <w:sz w:val="24"/>
        </w:rPr>
        <w:t>号）中关于</w:t>
      </w:r>
      <w:r w:rsidR="00575DF8">
        <w:rPr>
          <w:rFonts w:asciiTheme="minorHAnsi" w:hAnsiTheme="minorHAnsi" w:hint="eastAsia"/>
          <w:sz w:val="24"/>
        </w:rPr>
        <w:t>“</w:t>
      </w:r>
      <w:r w:rsidR="00575DF8" w:rsidRPr="00D5104E">
        <w:rPr>
          <w:rFonts w:asciiTheme="minorHAnsi" w:hAnsiTheme="minorHAnsi"/>
          <w:sz w:val="24"/>
        </w:rPr>
        <w:t>两高</w:t>
      </w:r>
      <w:r w:rsidR="00575DF8">
        <w:rPr>
          <w:rFonts w:asciiTheme="minorHAnsi" w:hAnsiTheme="minorHAnsi" w:hint="eastAsia"/>
          <w:sz w:val="24"/>
        </w:rPr>
        <w:t>”</w:t>
      </w:r>
      <w:r w:rsidRPr="00D5104E">
        <w:rPr>
          <w:rFonts w:asciiTheme="minorHAnsi" w:hAnsiTheme="minorHAnsi"/>
          <w:sz w:val="24"/>
        </w:rPr>
        <w:t>项目管理目录如下：</w:t>
      </w:r>
    </w:p>
    <w:p w14:paraId="67AF9BED" w14:textId="1B64BF53" w:rsidR="00D5104E" w:rsidRPr="00D5104E" w:rsidRDefault="00D5104E" w:rsidP="00575DF8">
      <w:pPr>
        <w:spacing w:line="520" w:lineRule="exact"/>
        <w:ind w:firstLineChars="200" w:firstLine="480"/>
        <w:rPr>
          <w:rFonts w:asciiTheme="minorHAnsi" w:hAnsiTheme="minorHAnsi"/>
          <w:sz w:val="24"/>
        </w:rPr>
      </w:pPr>
      <w:r w:rsidRPr="00D5104E">
        <w:rPr>
          <w:rFonts w:asciiTheme="minorHAnsi" w:hAnsiTheme="minorHAnsi"/>
          <w:sz w:val="24"/>
        </w:rPr>
        <w:t>（一）落实国家</w:t>
      </w:r>
      <w:r>
        <w:rPr>
          <w:rFonts w:asciiTheme="minorHAnsi" w:hAnsiTheme="minorHAnsi" w:hint="eastAsia"/>
          <w:sz w:val="24"/>
        </w:rPr>
        <w:t>“</w:t>
      </w:r>
      <w:r w:rsidRPr="00D5104E">
        <w:rPr>
          <w:rFonts w:asciiTheme="minorHAnsi" w:hAnsiTheme="minorHAnsi"/>
          <w:sz w:val="24"/>
        </w:rPr>
        <w:t>两高</w:t>
      </w:r>
      <w:r>
        <w:rPr>
          <w:rFonts w:asciiTheme="minorHAnsi" w:hAnsiTheme="minorHAnsi" w:hint="eastAsia"/>
          <w:sz w:val="24"/>
        </w:rPr>
        <w:t>”</w:t>
      </w:r>
      <w:r w:rsidRPr="00D5104E">
        <w:rPr>
          <w:rFonts w:asciiTheme="minorHAnsi" w:hAnsiTheme="minorHAnsi"/>
          <w:sz w:val="24"/>
        </w:rPr>
        <w:t>项目管理要求，参照外省经验做法，结合我省实际，建立河南省</w:t>
      </w:r>
      <w:r>
        <w:rPr>
          <w:rFonts w:asciiTheme="minorHAnsi" w:hAnsiTheme="minorHAnsi" w:hint="eastAsia"/>
          <w:sz w:val="24"/>
        </w:rPr>
        <w:t>“</w:t>
      </w:r>
      <w:r w:rsidRPr="00D5104E">
        <w:rPr>
          <w:rFonts w:asciiTheme="minorHAnsi" w:hAnsiTheme="minorHAnsi"/>
          <w:sz w:val="24"/>
        </w:rPr>
        <w:t>两高</w:t>
      </w:r>
      <w:r>
        <w:rPr>
          <w:rFonts w:asciiTheme="minorHAnsi" w:hAnsiTheme="minorHAnsi" w:hint="eastAsia"/>
          <w:sz w:val="24"/>
        </w:rPr>
        <w:t>”</w:t>
      </w:r>
      <w:r w:rsidRPr="00D5104E">
        <w:rPr>
          <w:rFonts w:asciiTheme="minorHAnsi" w:hAnsiTheme="minorHAnsi"/>
          <w:sz w:val="24"/>
        </w:rPr>
        <w:t>项目管理目录。主要包括两类：一是煤电、石化、化工、煤化工、钢铁、焦化、建材（非金属矿物制品）、有色等</w:t>
      </w:r>
      <w:r w:rsidRPr="00D5104E">
        <w:rPr>
          <w:rFonts w:asciiTheme="minorHAnsi" w:hAnsiTheme="minorHAnsi"/>
          <w:sz w:val="24"/>
        </w:rPr>
        <w:t>8</w:t>
      </w:r>
      <w:r w:rsidRPr="00D5104E">
        <w:rPr>
          <w:rFonts w:asciiTheme="minorHAnsi" w:hAnsiTheme="minorHAnsi"/>
          <w:sz w:val="24"/>
        </w:rPr>
        <w:t>个行业年综合能耗（等价值）</w:t>
      </w:r>
      <w:r w:rsidRPr="00D5104E">
        <w:rPr>
          <w:rFonts w:asciiTheme="minorHAnsi" w:hAnsiTheme="minorHAnsi"/>
          <w:sz w:val="24"/>
        </w:rPr>
        <w:t>5</w:t>
      </w:r>
      <w:r w:rsidRPr="00D5104E">
        <w:rPr>
          <w:rFonts w:asciiTheme="minorHAnsi" w:hAnsiTheme="minorHAnsi"/>
          <w:sz w:val="24"/>
        </w:rPr>
        <w:t>万吨标准煤及以上的项目；二是</w:t>
      </w:r>
      <w:r w:rsidRPr="00D5104E">
        <w:rPr>
          <w:rFonts w:asciiTheme="minorHAnsi" w:hAnsiTheme="minorHAnsi"/>
          <w:sz w:val="24"/>
        </w:rPr>
        <w:t>8</w:t>
      </w:r>
      <w:r w:rsidRPr="00D5104E">
        <w:rPr>
          <w:rFonts w:asciiTheme="minorHAnsi" w:hAnsiTheme="minorHAnsi"/>
          <w:sz w:val="24"/>
        </w:rPr>
        <w:t>个行业中</w:t>
      </w:r>
      <w:r w:rsidRPr="00D5104E">
        <w:rPr>
          <w:rFonts w:asciiTheme="minorHAnsi" w:hAnsiTheme="minorHAnsi"/>
          <w:sz w:val="24"/>
        </w:rPr>
        <w:t>22</w:t>
      </w:r>
      <w:r w:rsidRPr="00D5104E">
        <w:rPr>
          <w:rFonts w:asciiTheme="minorHAnsi" w:hAnsiTheme="minorHAnsi"/>
          <w:sz w:val="24"/>
        </w:rPr>
        <w:t>个细分行业高耗能高排放环节年综合能耗（等价值）</w:t>
      </w:r>
      <w:r w:rsidRPr="00D5104E">
        <w:rPr>
          <w:rFonts w:asciiTheme="minorHAnsi" w:hAnsiTheme="minorHAnsi"/>
          <w:sz w:val="24"/>
        </w:rPr>
        <w:t>1-5</w:t>
      </w:r>
      <w:r w:rsidRPr="00D5104E">
        <w:rPr>
          <w:rFonts w:asciiTheme="minorHAnsi" w:hAnsiTheme="minorHAnsi"/>
          <w:sz w:val="24"/>
        </w:rPr>
        <w:t>万吨标准煤的项目，主要包括钢铁（长流程钢铁）、铁合金、氧化铝、电解铝、铝用碳素、铜铅锌硅冶炼（含原生和再生冶炼）、水泥、石灰、陶瓷、砖瓦（有烧结工序的）、耐火材料（有烧结工序的）、刚玉、平板玻璃、煤电、炼化、</w:t>
      </w:r>
      <w:r w:rsidRPr="00D5104E">
        <w:rPr>
          <w:rFonts w:asciiTheme="minorHAnsi" w:hAnsiTheme="minorHAnsi"/>
          <w:sz w:val="24"/>
        </w:rPr>
        <w:lastRenderedPageBreak/>
        <w:t>焦化（含兰炭）、甲醇、氮肥、醋酸、氯碱、电石、沥青防水材料等。其中，</w:t>
      </w:r>
      <w:r w:rsidR="00575DF8">
        <w:rPr>
          <w:rFonts w:asciiTheme="minorHAnsi" w:hAnsiTheme="minorHAnsi" w:hint="eastAsia"/>
          <w:sz w:val="24"/>
        </w:rPr>
        <w:t>“</w:t>
      </w:r>
      <w:r w:rsidR="00C81F40">
        <w:rPr>
          <w:rFonts w:asciiTheme="minorHAnsi" w:hAnsiTheme="minorHAnsi" w:hint="eastAsia"/>
          <w:sz w:val="24"/>
        </w:rPr>
        <w:t>十</w:t>
      </w:r>
      <w:r w:rsidR="00575DF8" w:rsidRPr="00D5104E">
        <w:rPr>
          <w:rFonts w:asciiTheme="minorHAnsi" w:hAnsiTheme="minorHAnsi"/>
          <w:sz w:val="24"/>
        </w:rPr>
        <w:t>四五</w:t>
      </w:r>
      <w:r w:rsidR="00575DF8">
        <w:rPr>
          <w:rFonts w:asciiTheme="minorHAnsi" w:hAnsiTheme="minorHAnsi" w:hint="eastAsia"/>
          <w:sz w:val="24"/>
        </w:rPr>
        <w:t>”</w:t>
      </w:r>
      <w:r w:rsidRPr="00D5104E">
        <w:rPr>
          <w:rFonts w:asciiTheme="minorHAnsi" w:hAnsiTheme="minorHAnsi"/>
          <w:sz w:val="24"/>
        </w:rPr>
        <w:t>新建</w:t>
      </w:r>
      <w:r w:rsidR="00575DF8">
        <w:rPr>
          <w:rFonts w:asciiTheme="minorHAnsi" w:hAnsiTheme="minorHAnsi" w:hint="eastAsia"/>
          <w:sz w:val="24"/>
        </w:rPr>
        <w:t>“</w:t>
      </w:r>
      <w:r w:rsidR="00575DF8" w:rsidRPr="00575DF8">
        <w:rPr>
          <w:rFonts w:asciiTheme="minorHAnsi" w:hAnsiTheme="minorHAnsi" w:hint="eastAsia"/>
          <w:sz w:val="24"/>
        </w:rPr>
        <w:t>两高</w:t>
      </w:r>
      <w:r w:rsidR="00575DF8">
        <w:rPr>
          <w:rFonts w:asciiTheme="minorHAnsi" w:hAnsiTheme="minorHAnsi" w:hint="eastAsia"/>
          <w:sz w:val="24"/>
        </w:rPr>
        <w:t>”</w:t>
      </w:r>
      <w:r w:rsidRPr="00D5104E">
        <w:rPr>
          <w:rFonts w:asciiTheme="minorHAnsi" w:hAnsiTheme="minorHAnsi"/>
          <w:sz w:val="24"/>
        </w:rPr>
        <w:t>项目按新增能耗量计算，改建、扩建</w:t>
      </w:r>
      <w:r>
        <w:rPr>
          <w:rFonts w:asciiTheme="minorHAnsi" w:hAnsiTheme="minorHAnsi" w:hint="eastAsia"/>
          <w:sz w:val="24"/>
        </w:rPr>
        <w:t>“</w:t>
      </w:r>
      <w:r w:rsidRPr="00D5104E">
        <w:rPr>
          <w:rFonts w:asciiTheme="minorHAnsi" w:hAnsiTheme="minorHAnsi"/>
          <w:sz w:val="24"/>
        </w:rPr>
        <w:t>两高</w:t>
      </w:r>
      <w:r>
        <w:rPr>
          <w:rFonts w:asciiTheme="minorHAnsi" w:hAnsiTheme="minorHAnsi" w:hint="eastAsia"/>
          <w:sz w:val="24"/>
        </w:rPr>
        <w:t>”</w:t>
      </w:r>
      <w:r w:rsidRPr="00D5104E">
        <w:rPr>
          <w:rFonts w:asciiTheme="minorHAnsi" w:hAnsiTheme="minorHAnsi"/>
          <w:sz w:val="24"/>
        </w:rPr>
        <w:t>项目（不含不涉及主体工程、未增加产能的技术改造项目）能耗量按改扩建后的年设计综合能耗计算。</w:t>
      </w:r>
    </w:p>
    <w:p w14:paraId="56FDCD61" w14:textId="77777777" w:rsidR="00D5104E" w:rsidRPr="009A0104" w:rsidRDefault="00D5104E" w:rsidP="00D5104E">
      <w:pPr>
        <w:spacing w:line="520" w:lineRule="exact"/>
        <w:ind w:firstLineChars="200" w:firstLine="480"/>
        <w:rPr>
          <w:rFonts w:asciiTheme="minorHAnsi" w:hAnsiTheme="minorHAnsi"/>
          <w:bCs/>
          <w:sz w:val="24"/>
        </w:rPr>
      </w:pPr>
      <w:r w:rsidRPr="00D5104E">
        <w:rPr>
          <w:rFonts w:asciiTheme="minorHAnsi" w:hAnsiTheme="minorHAnsi"/>
          <w:bCs/>
          <w:sz w:val="24"/>
        </w:rPr>
        <w:t>经比对《建设项目环境影响评价分类管理名录》（</w:t>
      </w:r>
      <w:r w:rsidRPr="00D5104E">
        <w:rPr>
          <w:rFonts w:asciiTheme="minorHAnsi" w:hAnsiTheme="minorHAnsi"/>
          <w:bCs/>
          <w:sz w:val="24"/>
        </w:rPr>
        <w:t>2021</w:t>
      </w:r>
      <w:r w:rsidRPr="00D5104E">
        <w:rPr>
          <w:rFonts w:asciiTheme="minorHAnsi" w:hAnsiTheme="minorHAnsi"/>
          <w:bCs/>
          <w:sz w:val="24"/>
        </w:rPr>
        <w:t>版），</w:t>
      </w:r>
      <w:r w:rsidRPr="00D5104E">
        <w:rPr>
          <w:rFonts w:asciiTheme="minorHAnsi" w:hAnsiTheme="minorHAnsi"/>
          <w:sz w:val="24"/>
        </w:rPr>
        <w:t>本次项目</w:t>
      </w:r>
      <w:r w:rsidRPr="00D5104E">
        <w:rPr>
          <w:rFonts w:asciiTheme="minorHAnsi" w:hAnsiTheme="minorHAnsi"/>
          <w:bCs/>
          <w:sz w:val="24"/>
        </w:rPr>
        <w:t>属于化工行业中合成材料制造业</w:t>
      </w:r>
      <w:r w:rsidRPr="00D5104E">
        <w:rPr>
          <w:rFonts w:asciiTheme="minorHAnsi" w:hAnsiTheme="minorHAnsi"/>
          <w:sz w:val="24"/>
        </w:rPr>
        <w:t>，但不属于</w:t>
      </w:r>
      <w:r w:rsidRPr="00D5104E">
        <w:rPr>
          <w:rFonts w:asciiTheme="minorHAnsi" w:hAnsiTheme="minorHAnsi"/>
          <w:sz w:val="24"/>
        </w:rPr>
        <w:t>8</w:t>
      </w:r>
      <w:r w:rsidRPr="00D5104E">
        <w:rPr>
          <w:rFonts w:asciiTheme="minorHAnsi" w:hAnsiTheme="minorHAnsi"/>
          <w:sz w:val="24"/>
        </w:rPr>
        <w:t>个行业中</w:t>
      </w:r>
      <w:r w:rsidRPr="00D5104E">
        <w:rPr>
          <w:rFonts w:asciiTheme="minorHAnsi" w:hAnsiTheme="minorHAnsi"/>
          <w:sz w:val="24"/>
        </w:rPr>
        <w:t>22</w:t>
      </w:r>
      <w:r w:rsidRPr="00D5104E">
        <w:rPr>
          <w:rFonts w:asciiTheme="minorHAnsi" w:hAnsiTheme="minorHAnsi"/>
          <w:sz w:val="24"/>
        </w:rPr>
        <w:t>个细分行业类别，</w:t>
      </w:r>
      <w:r w:rsidRPr="009A0104">
        <w:rPr>
          <w:rFonts w:asciiTheme="minorHAnsi" w:hAnsiTheme="minorHAnsi"/>
          <w:bCs/>
          <w:sz w:val="24"/>
        </w:rPr>
        <w:t>根据《</w:t>
      </w:r>
      <w:r w:rsidRPr="009A0104">
        <w:rPr>
          <w:rFonts w:asciiTheme="minorHAnsi" w:hAnsiTheme="minorHAnsi" w:hint="eastAsia"/>
          <w:bCs/>
          <w:sz w:val="24"/>
        </w:rPr>
        <w:t>平顶山倍安德塑化有限公司年产</w:t>
      </w:r>
      <w:r w:rsidRPr="009A0104">
        <w:rPr>
          <w:rFonts w:asciiTheme="minorHAnsi" w:hAnsiTheme="minorHAnsi" w:hint="eastAsia"/>
          <w:bCs/>
          <w:sz w:val="24"/>
        </w:rPr>
        <w:t>5000</w:t>
      </w:r>
      <w:r w:rsidRPr="009A0104">
        <w:rPr>
          <w:rFonts w:asciiTheme="minorHAnsi" w:hAnsiTheme="minorHAnsi" w:hint="eastAsia"/>
          <w:bCs/>
          <w:sz w:val="24"/>
        </w:rPr>
        <w:t>吨透明尼龙合成制造项目</w:t>
      </w:r>
      <w:r w:rsidRPr="009A0104">
        <w:rPr>
          <w:rFonts w:asciiTheme="minorHAnsi" w:hAnsiTheme="minorHAnsi"/>
          <w:bCs/>
          <w:sz w:val="24"/>
        </w:rPr>
        <w:t>节能报告》，本次项目年综合能耗量为</w:t>
      </w:r>
      <w:r w:rsidR="009A0104" w:rsidRPr="009A0104">
        <w:rPr>
          <w:rFonts w:asciiTheme="minorHAnsi" w:hAnsiTheme="minorHAnsi"/>
          <w:bCs/>
          <w:sz w:val="24"/>
        </w:rPr>
        <w:t>3457.81</w:t>
      </w:r>
      <w:r w:rsidRPr="009A0104">
        <w:rPr>
          <w:rFonts w:asciiTheme="minorHAnsi" w:hAnsiTheme="minorHAnsi"/>
          <w:bCs/>
          <w:sz w:val="24"/>
        </w:rPr>
        <w:t>吨标准煤，小于</w:t>
      </w:r>
      <w:r w:rsidRPr="009A0104">
        <w:rPr>
          <w:rFonts w:asciiTheme="minorHAnsi" w:hAnsiTheme="minorHAnsi"/>
          <w:bCs/>
          <w:sz w:val="24"/>
        </w:rPr>
        <w:t>5</w:t>
      </w:r>
      <w:r w:rsidRPr="009A0104">
        <w:rPr>
          <w:rFonts w:asciiTheme="minorHAnsi" w:hAnsiTheme="minorHAnsi"/>
          <w:bCs/>
          <w:sz w:val="24"/>
        </w:rPr>
        <w:t>万吨标准煤，因此本次项目不属于</w:t>
      </w:r>
      <w:r w:rsidRPr="009A0104">
        <w:rPr>
          <w:rFonts w:asciiTheme="minorHAnsi" w:hAnsiTheme="minorHAnsi" w:hint="eastAsia"/>
          <w:bCs/>
          <w:sz w:val="24"/>
        </w:rPr>
        <w:t>“</w:t>
      </w:r>
      <w:r w:rsidRPr="009A0104">
        <w:rPr>
          <w:rFonts w:asciiTheme="minorHAnsi" w:hAnsiTheme="minorHAnsi"/>
          <w:bCs/>
          <w:sz w:val="24"/>
        </w:rPr>
        <w:t>两高</w:t>
      </w:r>
      <w:r w:rsidRPr="009A0104">
        <w:rPr>
          <w:rFonts w:asciiTheme="minorHAnsi" w:hAnsiTheme="minorHAnsi" w:hint="eastAsia"/>
          <w:bCs/>
          <w:sz w:val="24"/>
        </w:rPr>
        <w:t>”</w:t>
      </w:r>
      <w:r w:rsidRPr="009A0104">
        <w:rPr>
          <w:rFonts w:asciiTheme="minorHAnsi" w:hAnsiTheme="minorHAnsi"/>
          <w:bCs/>
          <w:sz w:val="24"/>
        </w:rPr>
        <w:t>项目。</w:t>
      </w:r>
    </w:p>
    <w:p w14:paraId="61BCECDC" w14:textId="77777777" w:rsidR="005C4969" w:rsidRPr="005C4969" w:rsidRDefault="005C4969" w:rsidP="005C4969">
      <w:pPr>
        <w:pStyle w:val="ad"/>
        <w:rPr>
          <w:rFonts w:ascii="Calibri" w:hAnsi="Calibri"/>
          <w:color w:val="auto"/>
        </w:rPr>
      </w:pPr>
      <w:r w:rsidRPr="005C4969">
        <w:rPr>
          <w:rFonts w:ascii="Calibri" w:hAnsi="Calibri" w:hint="eastAsia"/>
          <w:color w:val="auto"/>
        </w:rPr>
        <w:t>1.8</w:t>
      </w:r>
      <w:r w:rsidRPr="005C4969">
        <w:rPr>
          <w:rFonts w:ascii="Calibri" w:hAnsi="Calibri"/>
          <w:color w:val="auto"/>
        </w:rPr>
        <w:t>.</w:t>
      </w:r>
      <w:r>
        <w:rPr>
          <w:rFonts w:ascii="Calibri" w:hAnsi="Calibri" w:hint="eastAsia"/>
          <w:color w:val="auto"/>
        </w:rPr>
        <w:t>9</w:t>
      </w:r>
      <w:r w:rsidRPr="005C4969">
        <w:rPr>
          <w:rFonts w:ascii="Calibri" w:hAnsi="Calibri" w:hint="eastAsia"/>
          <w:color w:val="auto"/>
        </w:rPr>
        <w:t>与《</w:t>
      </w:r>
      <w:r w:rsidR="00417800">
        <w:rPr>
          <w:rFonts w:ascii="Calibri" w:hAnsi="Calibri" w:hint="eastAsia"/>
          <w:color w:val="auto"/>
        </w:rPr>
        <w:t>平顶山市</w:t>
      </w:r>
      <w:r w:rsidRPr="005C4969">
        <w:rPr>
          <w:rFonts w:ascii="Calibri" w:hAnsi="Calibri" w:hint="eastAsia"/>
          <w:color w:val="auto"/>
        </w:rPr>
        <w:t>生态环境保护委员会办公室关于印发</w:t>
      </w:r>
      <w:r w:rsidR="00417800">
        <w:rPr>
          <w:rFonts w:ascii="Calibri" w:hAnsi="Calibri" w:hint="eastAsia"/>
          <w:color w:val="auto"/>
        </w:rPr>
        <w:t>平顶山市</w:t>
      </w:r>
      <w:r w:rsidRPr="005C4969">
        <w:rPr>
          <w:rFonts w:ascii="Calibri" w:hAnsi="Calibri" w:hint="eastAsia"/>
          <w:color w:val="auto"/>
        </w:rPr>
        <w:t>2022</w:t>
      </w:r>
      <w:r w:rsidRPr="005C4969">
        <w:rPr>
          <w:rFonts w:ascii="Calibri" w:hAnsi="Calibri" w:hint="eastAsia"/>
          <w:color w:val="auto"/>
        </w:rPr>
        <w:t>年大气、水、土壤污染防治攻坚战及农业农村污染治理攻坚实施方案的通知》（</w:t>
      </w:r>
      <w:r w:rsidR="00417800">
        <w:rPr>
          <w:rFonts w:ascii="Calibri" w:hAnsi="Calibri" w:hint="eastAsia"/>
          <w:color w:val="auto"/>
        </w:rPr>
        <w:t>平</w:t>
      </w:r>
      <w:r w:rsidRPr="005C4969">
        <w:rPr>
          <w:rFonts w:ascii="Calibri" w:hAnsi="Calibri" w:hint="eastAsia"/>
          <w:color w:val="auto"/>
        </w:rPr>
        <w:t>环委办【</w:t>
      </w:r>
      <w:r w:rsidRPr="005C4969">
        <w:rPr>
          <w:rFonts w:ascii="Calibri" w:hAnsi="Calibri" w:hint="eastAsia"/>
          <w:color w:val="auto"/>
        </w:rPr>
        <w:t>2022</w:t>
      </w:r>
      <w:r w:rsidRPr="005C4969">
        <w:rPr>
          <w:rFonts w:ascii="Calibri" w:hAnsi="Calibri" w:hint="eastAsia"/>
          <w:color w:val="auto"/>
        </w:rPr>
        <w:t>】</w:t>
      </w:r>
      <w:r w:rsidR="00417800">
        <w:rPr>
          <w:rFonts w:ascii="Calibri" w:hAnsi="Calibri" w:hint="eastAsia"/>
          <w:color w:val="auto"/>
        </w:rPr>
        <w:t>1</w:t>
      </w:r>
      <w:r w:rsidRPr="005C4969">
        <w:rPr>
          <w:rFonts w:ascii="Calibri" w:hAnsi="Calibri" w:hint="eastAsia"/>
          <w:color w:val="auto"/>
        </w:rPr>
        <w:t>9</w:t>
      </w:r>
      <w:r w:rsidRPr="005C4969">
        <w:rPr>
          <w:rFonts w:ascii="Calibri" w:hAnsi="Calibri" w:hint="eastAsia"/>
          <w:color w:val="auto"/>
        </w:rPr>
        <w:t>号）符合性分析</w:t>
      </w:r>
    </w:p>
    <w:p w14:paraId="27D79FF8" w14:textId="77777777" w:rsidR="005C4969" w:rsidRPr="00C81F40" w:rsidRDefault="00417800" w:rsidP="00C81F40">
      <w:pPr>
        <w:widowControl/>
        <w:spacing w:line="520" w:lineRule="exact"/>
        <w:ind w:firstLineChars="650" w:firstLine="1566"/>
        <w:jc w:val="left"/>
        <w:rPr>
          <w:rFonts w:ascii="Calibri" w:hAnsi="Calibri"/>
          <w:b/>
          <w:color w:val="auto"/>
          <w:sz w:val="24"/>
        </w:rPr>
      </w:pPr>
      <w:r w:rsidRPr="00C81F40">
        <w:rPr>
          <w:rFonts w:ascii="Calibri" w:hAnsi="Calibri" w:hint="eastAsia"/>
          <w:b/>
          <w:color w:val="auto"/>
          <w:sz w:val="24"/>
        </w:rPr>
        <w:t>平顶山市</w:t>
      </w:r>
      <w:r w:rsidR="005C4969" w:rsidRPr="00C81F40">
        <w:rPr>
          <w:rFonts w:ascii="Calibri" w:hAnsi="Calibri" w:hint="eastAsia"/>
          <w:b/>
          <w:color w:val="auto"/>
          <w:sz w:val="24"/>
        </w:rPr>
        <w:t>2022</w:t>
      </w:r>
      <w:r w:rsidR="005C4969" w:rsidRPr="00C81F40">
        <w:rPr>
          <w:rFonts w:ascii="Calibri" w:hAnsi="Calibri" w:hint="eastAsia"/>
          <w:b/>
          <w:color w:val="auto"/>
          <w:sz w:val="24"/>
        </w:rPr>
        <w:t>年大气污染防治攻坚战实施方案</w:t>
      </w:r>
    </w:p>
    <w:p w14:paraId="7BD428A7" w14:textId="58E61183" w:rsidR="000A0585" w:rsidRDefault="00BB262C" w:rsidP="000A0585">
      <w:pPr>
        <w:spacing w:line="520" w:lineRule="exact"/>
        <w:ind w:firstLineChars="200" w:firstLine="480"/>
        <w:jc w:val="left"/>
        <w:rPr>
          <w:rFonts w:ascii="Calibri" w:hAnsi="Calibri"/>
          <w:color w:val="auto"/>
          <w:sz w:val="24"/>
        </w:rPr>
      </w:pPr>
      <w:r w:rsidRPr="00C81F40">
        <w:rPr>
          <w:rFonts w:ascii="Calibri" w:hAnsi="Calibri" w:hint="eastAsia"/>
          <w:color w:val="auto"/>
          <w:sz w:val="24"/>
        </w:rPr>
        <w:t>为贯彻落实省委、省政府和市委、市政府关于深入打好污染防治攻坚战的决策部署，持续改善全市环境空气质量，深入推进</w:t>
      </w:r>
      <w:r w:rsidRPr="00C81F40">
        <w:rPr>
          <w:rFonts w:ascii="Calibri" w:hAnsi="Calibri" w:hint="eastAsia"/>
          <w:color w:val="auto"/>
          <w:sz w:val="24"/>
        </w:rPr>
        <w:t>2022</w:t>
      </w:r>
      <w:r w:rsidRPr="00C81F40">
        <w:rPr>
          <w:rFonts w:ascii="Calibri" w:hAnsi="Calibri" w:hint="eastAsia"/>
          <w:color w:val="auto"/>
          <w:sz w:val="24"/>
        </w:rPr>
        <w:t>年全市大气污染防治攻坚工作，制定本方案。</w:t>
      </w:r>
      <w:r w:rsidR="005C4969" w:rsidRPr="00C81F40">
        <w:rPr>
          <w:rFonts w:ascii="Calibri" w:hAnsi="Calibri" w:hint="eastAsia"/>
          <w:color w:val="auto"/>
          <w:sz w:val="24"/>
        </w:rPr>
        <w:t>与本项目相关的内容如下：</w:t>
      </w:r>
    </w:p>
    <w:p w14:paraId="0D3AB2C6" w14:textId="529E8F85" w:rsidR="000A0585" w:rsidRPr="000A0585" w:rsidRDefault="000A0585" w:rsidP="000A0585">
      <w:pPr>
        <w:spacing w:line="520" w:lineRule="exact"/>
        <w:ind w:firstLineChars="200" w:firstLine="480"/>
        <w:jc w:val="left"/>
        <w:rPr>
          <w:rFonts w:ascii="Calibri" w:hAnsi="Calibri" w:hint="eastAsia"/>
          <w:color w:val="auto"/>
          <w:sz w:val="24"/>
        </w:rPr>
      </w:pPr>
      <w:r>
        <w:rPr>
          <w:rFonts w:ascii="Calibri" w:hAnsi="Calibri" w:hint="eastAsia"/>
          <w:color w:val="auto"/>
          <w:sz w:val="24"/>
        </w:rPr>
        <w:t>…………</w:t>
      </w:r>
    </w:p>
    <w:p w14:paraId="020F556A" w14:textId="0F103529" w:rsidR="005C4969" w:rsidRPr="00C81F40" w:rsidRDefault="005C4969" w:rsidP="005C4969">
      <w:pPr>
        <w:spacing w:line="520" w:lineRule="exact"/>
        <w:ind w:firstLineChars="200" w:firstLine="480"/>
        <w:rPr>
          <w:rFonts w:ascii="Calibri" w:hAnsi="宋体"/>
          <w:color w:val="auto"/>
          <w:sz w:val="24"/>
        </w:rPr>
      </w:pPr>
      <w:r w:rsidRPr="00C81F40">
        <w:rPr>
          <w:rFonts w:ascii="Calibri" w:hAnsi="宋体" w:hint="eastAsia"/>
          <w:color w:val="auto"/>
          <w:sz w:val="24"/>
        </w:rPr>
        <w:t>二、工作目标</w:t>
      </w:r>
    </w:p>
    <w:p w14:paraId="214C79AF" w14:textId="77777777" w:rsidR="00417800" w:rsidRPr="00C81F40" w:rsidRDefault="00417800" w:rsidP="00417800">
      <w:pPr>
        <w:widowControl/>
        <w:spacing w:line="520" w:lineRule="exact"/>
        <w:ind w:firstLineChars="200" w:firstLine="480"/>
        <w:jc w:val="left"/>
        <w:rPr>
          <w:rFonts w:ascii="Calibri" w:hAnsi="Calibri"/>
          <w:color w:val="auto"/>
          <w:sz w:val="24"/>
        </w:rPr>
      </w:pPr>
      <w:r w:rsidRPr="00C81F40">
        <w:rPr>
          <w:rFonts w:ascii="Calibri" w:hAnsi="Calibri" w:hint="eastAsia"/>
          <w:color w:val="auto"/>
          <w:sz w:val="24"/>
        </w:rPr>
        <w:t>全市环境空气质量改善指标达到国家、省定目标要求。即环境空气细颗粒物（</w:t>
      </w:r>
      <w:r w:rsidRPr="00C81F40">
        <w:rPr>
          <w:rFonts w:ascii="Calibri" w:hAnsi="Calibri" w:hint="eastAsia"/>
          <w:color w:val="auto"/>
          <w:sz w:val="24"/>
        </w:rPr>
        <w:t>PM</w:t>
      </w:r>
      <w:r w:rsidRPr="00C81F40">
        <w:rPr>
          <w:rFonts w:ascii="Calibri" w:hAnsi="Calibri" w:hint="eastAsia"/>
          <w:color w:val="auto"/>
          <w:sz w:val="24"/>
          <w:vertAlign w:val="subscript"/>
        </w:rPr>
        <w:t>2.5</w:t>
      </w:r>
      <w:r w:rsidRPr="00C81F40">
        <w:rPr>
          <w:rFonts w:ascii="Calibri" w:hAnsi="Calibri" w:hint="eastAsia"/>
          <w:color w:val="auto"/>
          <w:sz w:val="24"/>
        </w:rPr>
        <w:t>）年平均浓度控制在</w:t>
      </w:r>
      <w:r w:rsidRPr="00C81F40">
        <w:rPr>
          <w:rFonts w:ascii="Calibri" w:hAnsi="Calibri" w:hint="eastAsia"/>
          <w:color w:val="auto"/>
          <w:sz w:val="24"/>
        </w:rPr>
        <w:t>50</w:t>
      </w:r>
      <w:r w:rsidRPr="00C81F40">
        <w:rPr>
          <w:rFonts w:ascii="Calibri" w:hAnsi="Calibri" w:hint="eastAsia"/>
          <w:color w:val="auto"/>
          <w:sz w:val="24"/>
        </w:rPr>
        <w:t>微克</w:t>
      </w:r>
      <w:r w:rsidRPr="00C81F40">
        <w:rPr>
          <w:rFonts w:ascii="Calibri" w:hAnsi="Calibri" w:hint="eastAsia"/>
          <w:color w:val="auto"/>
          <w:sz w:val="24"/>
        </w:rPr>
        <w:t>/</w:t>
      </w:r>
      <w:r w:rsidRPr="00C81F40">
        <w:rPr>
          <w:rFonts w:ascii="Calibri" w:hAnsi="Calibri" w:hint="eastAsia"/>
          <w:color w:val="auto"/>
          <w:sz w:val="24"/>
        </w:rPr>
        <w:t>立方米以下，可吸入颗粒物（</w:t>
      </w:r>
      <w:r w:rsidRPr="00C81F40">
        <w:rPr>
          <w:rFonts w:ascii="Calibri" w:hAnsi="Calibri" w:hint="eastAsia"/>
          <w:color w:val="auto"/>
          <w:sz w:val="24"/>
        </w:rPr>
        <w:t>PM</w:t>
      </w:r>
      <w:r w:rsidRPr="00C81F40">
        <w:rPr>
          <w:rFonts w:ascii="Calibri" w:hAnsi="Calibri" w:hint="eastAsia"/>
          <w:color w:val="auto"/>
          <w:sz w:val="24"/>
          <w:vertAlign w:val="subscript"/>
        </w:rPr>
        <w:t>10</w:t>
      </w:r>
      <w:r w:rsidRPr="00C81F40">
        <w:rPr>
          <w:rFonts w:ascii="Calibri" w:hAnsi="Calibri" w:hint="eastAsia"/>
          <w:color w:val="auto"/>
          <w:sz w:val="24"/>
        </w:rPr>
        <w:t>）年平均浓度控制在</w:t>
      </w:r>
      <w:r w:rsidRPr="00C81F40">
        <w:rPr>
          <w:rFonts w:ascii="Calibri" w:hAnsi="Calibri" w:hint="eastAsia"/>
          <w:color w:val="auto"/>
          <w:sz w:val="24"/>
        </w:rPr>
        <w:t>87</w:t>
      </w:r>
      <w:r w:rsidRPr="00C81F40">
        <w:rPr>
          <w:rFonts w:ascii="Calibri" w:hAnsi="Calibri" w:hint="eastAsia"/>
          <w:color w:val="auto"/>
          <w:sz w:val="24"/>
        </w:rPr>
        <w:t>微克</w:t>
      </w:r>
      <w:r w:rsidRPr="00C81F40">
        <w:rPr>
          <w:rFonts w:ascii="Calibri" w:hAnsi="Calibri" w:hint="eastAsia"/>
          <w:color w:val="auto"/>
          <w:sz w:val="24"/>
        </w:rPr>
        <w:t>/</w:t>
      </w:r>
      <w:r w:rsidRPr="00C81F40">
        <w:rPr>
          <w:rFonts w:ascii="Calibri" w:hAnsi="Calibri" w:hint="eastAsia"/>
          <w:color w:val="auto"/>
          <w:sz w:val="24"/>
        </w:rPr>
        <w:t>立方米以下，</w:t>
      </w:r>
      <w:r w:rsidRPr="00C81F40">
        <w:rPr>
          <w:rFonts w:ascii="Calibri" w:hAnsi="Calibri" w:hint="eastAsia"/>
          <w:color w:val="auto"/>
          <w:sz w:val="24"/>
        </w:rPr>
        <w:t>5-9</w:t>
      </w:r>
      <w:r w:rsidRPr="00C81F40">
        <w:rPr>
          <w:rFonts w:ascii="Calibri" w:hAnsi="Calibri" w:hint="eastAsia"/>
          <w:color w:val="auto"/>
          <w:sz w:val="24"/>
        </w:rPr>
        <w:t>月臭氧（</w:t>
      </w:r>
      <w:r w:rsidRPr="00C81F40">
        <w:rPr>
          <w:rFonts w:ascii="Calibri" w:hAnsi="Calibri" w:hint="eastAsia"/>
          <w:color w:val="auto"/>
          <w:sz w:val="24"/>
        </w:rPr>
        <w:t>O</w:t>
      </w:r>
      <w:r w:rsidRPr="00C81F40">
        <w:rPr>
          <w:rFonts w:ascii="Calibri" w:hAnsi="Calibri" w:hint="eastAsia"/>
          <w:color w:val="auto"/>
          <w:sz w:val="24"/>
          <w:vertAlign w:val="subscript"/>
        </w:rPr>
        <w:t>3</w:t>
      </w:r>
      <w:r w:rsidRPr="00C81F40">
        <w:rPr>
          <w:rFonts w:ascii="Calibri" w:hAnsi="Calibri" w:hint="eastAsia"/>
          <w:color w:val="auto"/>
          <w:sz w:val="24"/>
        </w:rPr>
        <w:t>）日最大</w:t>
      </w:r>
      <w:r w:rsidRPr="00C81F40">
        <w:rPr>
          <w:rFonts w:ascii="Calibri" w:hAnsi="Calibri" w:hint="eastAsia"/>
          <w:color w:val="auto"/>
          <w:sz w:val="24"/>
        </w:rPr>
        <w:t>8</w:t>
      </w:r>
      <w:r w:rsidRPr="00C81F40">
        <w:rPr>
          <w:rFonts w:ascii="Calibri" w:hAnsi="Calibri" w:hint="eastAsia"/>
          <w:color w:val="auto"/>
          <w:sz w:val="24"/>
        </w:rPr>
        <w:t>小时平均浓度超标率控制在</w:t>
      </w:r>
      <w:r w:rsidRPr="00C81F40">
        <w:rPr>
          <w:rFonts w:ascii="Calibri" w:hAnsi="Calibri" w:hint="eastAsia"/>
          <w:color w:val="auto"/>
          <w:sz w:val="24"/>
        </w:rPr>
        <w:t>22%</w:t>
      </w:r>
      <w:r w:rsidRPr="00C81F40">
        <w:rPr>
          <w:rFonts w:ascii="Calibri" w:hAnsi="Calibri" w:hint="eastAsia"/>
          <w:color w:val="auto"/>
          <w:sz w:val="24"/>
        </w:rPr>
        <w:t>以下，环境空气质量优良天数比例不低于</w:t>
      </w:r>
      <w:r w:rsidRPr="00C81F40">
        <w:rPr>
          <w:rFonts w:ascii="Calibri" w:hAnsi="Calibri" w:hint="eastAsia"/>
          <w:color w:val="auto"/>
          <w:sz w:val="24"/>
        </w:rPr>
        <w:t>67.0%</w:t>
      </w:r>
      <w:r w:rsidRPr="00C81F40">
        <w:rPr>
          <w:rFonts w:ascii="Calibri" w:hAnsi="Calibri" w:hint="eastAsia"/>
          <w:color w:val="auto"/>
          <w:sz w:val="24"/>
        </w:rPr>
        <w:t>，重污染天数比例控制在</w:t>
      </w:r>
      <w:r w:rsidRPr="00C81F40">
        <w:rPr>
          <w:rFonts w:ascii="Calibri" w:hAnsi="Calibri" w:hint="eastAsia"/>
          <w:color w:val="auto"/>
          <w:sz w:val="24"/>
        </w:rPr>
        <w:t>3.0%</w:t>
      </w:r>
      <w:r w:rsidRPr="00C81F40">
        <w:rPr>
          <w:rFonts w:ascii="Calibri" w:hAnsi="Calibri" w:hint="eastAsia"/>
          <w:color w:val="auto"/>
          <w:sz w:val="24"/>
        </w:rPr>
        <w:t>以下。</w:t>
      </w:r>
    </w:p>
    <w:p w14:paraId="0DE4EE92" w14:textId="77777777" w:rsidR="005C4969" w:rsidRPr="0024007B" w:rsidRDefault="005C4969" w:rsidP="005C4969">
      <w:pPr>
        <w:spacing w:line="520" w:lineRule="exact"/>
        <w:ind w:firstLineChars="200" w:firstLine="480"/>
        <w:rPr>
          <w:rFonts w:ascii="Calibri" w:hAnsi="宋体"/>
          <w:color w:val="auto"/>
          <w:sz w:val="24"/>
        </w:rPr>
      </w:pPr>
      <w:r w:rsidRPr="0024007B">
        <w:rPr>
          <w:rFonts w:ascii="Calibri" w:hAnsi="宋体" w:hint="eastAsia"/>
          <w:color w:val="auto"/>
          <w:sz w:val="24"/>
        </w:rPr>
        <w:t>三、</w:t>
      </w:r>
      <w:r w:rsidR="00417800">
        <w:rPr>
          <w:rFonts w:ascii="Calibri" w:hAnsi="宋体" w:hint="eastAsia"/>
          <w:color w:val="auto"/>
          <w:sz w:val="24"/>
        </w:rPr>
        <w:t>主要</w:t>
      </w:r>
      <w:r w:rsidRPr="0024007B">
        <w:rPr>
          <w:rFonts w:ascii="Calibri" w:hAnsi="宋体" w:hint="eastAsia"/>
          <w:color w:val="auto"/>
          <w:sz w:val="24"/>
        </w:rPr>
        <w:t>任务</w:t>
      </w:r>
    </w:p>
    <w:p w14:paraId="22A0FFCD" w14:textId="77777777" w:rsidR="00417800" w:rsidRDefault="005C4969" w:rsidP="00417800">
      <w:pPr>
        <w:spacing w:line="520" w:lineRule="exact"/>
        <w:ind w:firstLineChars="200" w:firstLine="480"/>
        <w:jc w:val="left"/>
        <w:rPr>
          <w:rFonts w:ascii="Calibri" w:hAnsi="Calibri"/>
          <w:color w:val="auto"/>
          <w:sz w:val="24"/>
        </w:rPr>
      </w:pPr>
      <w:r>
        <w:rPr>
          <w:rFonts w:ascii="Calibri" w:hAnsi="Calibri" w:hint="eastAsia"/>
          <w:color w:val="auto"/>
          <w:sz w:val="24"/>
        </w:rPr>
        <w:t>2.</w:t>
      </w:r>
      <w:r>
        <w:rPr>
          <w:rFonts w:ascii="Calibri" w:hAnsi="Calibri" w:hint="eastAsia"/>
          <w:color w:val="auto"/>
          <w:sz w:val="24"/>
        </w:rPr>
        <w:t>提升产业集群绿色化水平。</w:t>
      </w:r>
      <w:r w:rsidR="00417800" w:rsidRPr="00417800">
        <w:rPr>
          <w:rFonts w:ascii="Calibri" w:hAnsi="Calibri" w:hint="eastAsia"/>
          <w:color w:val="auto"/>
          <w:sz w:val="24"/>
        </w:rPr>
        <w:t>实施节能降碳增效行动，支持节能降碳技术研发、示范应用。根据产业集群特点，支持建设集中的热、气供应中心；推进涂装工艺企业集中、活性炭使用量大、有机溶剂使用量多的园区和集群，统筹规划建设集</w:t>
      </w:r>
      <w:r w:rsidR="00417800" w:rsidRPr="00417800">
        <w:rPr>
          <w:rFonts w:ascii="Calibri" w:hAnsi="Calibri" w:hint="eastAsia"/>
          <w:color w:val="auto"/>
          <w:sz w:val="24"/>
        </w:rPr>
        <w:lastRenderedPageBreak/>
        <w:t>中涂装中心、活性炭集中再生处理中心、有机溶剂回收中心。重点开展化工行业产业园区提升行动，相关县（市、区）制定“一园一策”提升工作方案，明确生产工艺、产品质量、产能规模、能耗水平、燃料类型、原辅材料替代、污染治理和区域环境综合治理标准，提升园区产业发展质量和环保治理水平</w:t>
      </w:r>
      <w:r w:rsidR="00417800">
        <w:rPr>
          <w:rFonts w:ascii="Calibri" w:hAnsi="Calibri" w:hint="eastAsia"/>
          <w:color w:val="auto"/>
          <w:sz w:val="24"/>
        </w:rPr>
        <w:t>。</w:t>
      </w:r>
    </w:p>
    <w:p w14:paraId="15822E1F" w14:textId="77777777" w:rsidR="00417800" w:rsidRDefault="005C4969" w:rsidP="00D5104E">
      <w:pPr>
        <w:spacing w:line="520" w:lineRule="exact"/>
        <w:ind w:firstLineChars="200" w:firstLine="480"/>
        <w:jc w:val="left"/>
        <w:rPr>
          <w:rFonts w:ascii="Calibri" w:hAnsi="Calibri"/>
          <w:color w:val="auto"/>
          <w:sz w:val="24"/>
        </w:rPr>
      </w:pPr>
      <w:r>
        <w:rPr>
          <w:rFonts w:ascii="Calibri" w:hAnsi="Calibri" w:hint="eastAsia"/>
          <w:color w:val="auto"/>
          <w:sz w:val="24"/>
        </w:rPr>
        <w:t>3.</w:t>
      </w:r>
      <w:r w:rsidRPr="006F6579">
        <w:rPr>
          <w:rFonts w:ascii="Calibri" w:hAnsi="Calibri" w:hint="eastAsia"/>
          <w:color w:val="auto"/>
          <w:sz w:val="24"/>
        </w:rPr>
        <w:t>推进绿色低碳产业发展。</w:t>
      </w:r>
      <w:r w:rsidR="00417800" w:rsidRPr="00417800">
        <w:rPr>
          <w:rFonts w:ascii="Calibri" w:hAnsi="Calibri" w:hint="eastAsia"/>
          <w:color w:val="auto"/>
          <w:sz w:val="24"/>
        </w:rPr>
        <w:t>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w:t>
      </w:r>
      <w:r w:rsidR="00575DF8">
        <w:rPr>
          <w:rFonts w:ascii="Calibri" w:hAnsi="Calibri" w:hint="eastAsia"/>
          <w:color w:val="auto"/>
          <w:sz w:val="24"/>
        </w:rPr>
        <w:t>A</w:t>
      </w:r>
      <w:r w:rsidR="00417800" w:rsidRPr="00417800">
        <w:rPr>
          <w:rFonts w:ascii="Calibri" w:hAnsi="Calibri" w:hint="eastAsia"/>
          <w:color w:val="auto"/>
          <w:sz w:val="24"/>
        </w:rPr>
        <w:t>级绩效水平，改建项目达到</w:t>
      </w:r>
      <w:r w:rsidR="00417800">
        <w:rPr>
          <w:rFonts w:ascii="Calibri" w:hAnsi="Calibri" w:hint="eastAsia"/>
          <w:color w:val="auto"/>
          <w:sz w:val="24"/>
        </w:rPr>
        <w:t>B</w:t>
      </w:r>
      <w:r w:rsidR="00417800" w:rsidRPr="00417800">
        <w:rPr>
          <w:rFonts w:ascii="Calibri" w:hAnsi="Calibri" w:hint="eastAsia"/>
          <w:color w:val="auto"/>
          <w:sz w:val="24"/>
        </w:rPr>
        <w:t>级以上绩效水平。按照全省统一要求，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p w14:paraId="3E301C26" w14:textId="77777777" w:rsidR="00417800" w:rsidRDefault="005C4969" w:rsidP="00417800">
      <w:pPr>
        <w:spacing w:line="520" w:lineRule="exact"/>
        <w:ind w:firstLineChars="200" w:firstLine="480"/>
        <w:jc w:val="left"/>
        <w:rPr>
          <w:rFonts w:ascii="Calibri" w:hAnsi="Calibri"/>
          <w:color w:val="auto"/>
          <w:sz w:val="24"/>
        </w:rPr>
      </w:pPr>
      <w:r>
        <w:rPr>
          <w:rFonts w:ascii="Calibri" w:hAnsi="Calibri" w:hint="eastAsia"/>
          <w:color w:val="auto"/>
          <w:sz w:val="24"/>
        </w:rPr>
        <w:t>4.</w:t>
      </w:r>
      <w:r w:rsidRPr="006F6579">
        <w:rPr>
          <w:rFonts w:ascii="Calibri" w:hAnsi="Calibri" w:hint="eastAsia"/>
          <w:color w:val="auto"/>
          <w:sz w:val="24"/>
        </w:rPr>
        <w:t>提升重点行业节能降碳水平。</w:t>
      </w:r>
      <w:r w:rsidR="00417800" w:rsidRPr="00417800">
        <w:rPr>
          <w:rFonts w:ascii="Calibri" w:hAnsi="Calibri" w:hint="eastAsia"/>
          <w:color w:val="auto"/>
          <w:sz w:val="24"/>
        </w:rPr>
        <w:t>实施重点用能单位节能降碳改造工程，以钢铁、化工、建材、有色、石化等高耗能行业为重点，对标能效标杆值，组织重点用能单位实施节能降碳改造。</w:t>
      </w:r>
      <w:r w:rsidR="00417800">
        <w:rPr>
          <w:rFonts w:ascii="Calibri" w:hAnsi="Calibri" w:hint="eastAsia"/>
          <w:color w:val="auto"/>
          <w:sz w:val="24"/>
        </w:rPr>
        <w:t>2022</w:t>
      </w:r>
      <w:r w:rsidR="00417800" w:rsidRPr="00417800">
        <w:rPr>
          <w:rFonts w:ascii="Calibri" w:hAnsi="Calibri" w:hint="eastAsia"/>
          <w:color w:val="auto"/>
          <w:sz w:val="24"/>
        </w:rPr>
        <w:t>年年底前，重点用能单位节能降碳改造数量、形成节能能力标准煤吨数完成省定要求。制定“十四五”节能目标考核工作方案，优化能耗双控考核方式。严格落实新、改、扩建涉煤项目煤炭消费替代政策，优先审批煤炭替代方案完善的项目，支持已足额替代的项目尽快投产；不得将石油焦等高污染燃料作为煤炭削减量。</w:t>
      </w:r>
    </w:p>
    <w:p w14:paraId="56B4C32E" w14:textId="28EF3F8E" w:rsidR="00D5104E" w:rsidRDefault="00D5104E" w:rsidP="00D5104E">
      <w:pPr>
        <w:spacing w:line="520" w:lineRule="exact"/>
        <w:ind w:firstLineChars="200" w:firstLine="480"/>
        <w:rPr>
          <w:rFonts w:ascii="Calibri" w:hAnsi="Calibri"/>
          <w:color w:val="auto"/>
          <w:sz w:val="24"/>
        </w:rPr>
      </w:pPr>
      <w:r>
        <w:rPr>
          <w:rFonts w:ascii="Calibri" w:hAnsi="Calibri"/>
          <w:color w:val="auto"/>
          <w:sz w:val="24"/>
        </w:rPr>
        <w:t>6</w:t>
      </w:r>
      <w:r>
        <w:rPr>
          <w:rFonts w:ascii="Calibri" w:hAnsi="Calibri" w:hint="eastAsia"/>
          <w:color w:val="auto"/>
          <w:sz w:val="24"/>
        </w:rPr>
        <w:t>.</w:t>
      </w:r>
      <w:r w:rsidRPr="00D5104E">
        <w:rPr>
          <w:rFonts w:ascii="Calibri" w:hAnsi="Calibri" w:hint="eastAsia"/>
          <w:color w:val="auto"/>
          <w:sz w:val="24"/>
        </w:rPr>
        <w:t>实施清洁能源替代。大力推进清洁能源应用，鼓励支持现有使用高污染燃料的工业炉窑改用工业余热、电能、天然气等，对</w:t>
      </w:r>
      <w:r w:rsidR="000A0585">
        <w:rPr>
          <w:rFonts w:ascii="Calibri" w:hAnsi="Calibri" w:hint="eastAsia"/>
          <w:color w:val="auto"/>
          <w:sz w:val="24"/>
        </w:rPr>
        <w:t>2024</w:t>
      </w:r>
      <w:r w:rsidRPr="00D5104E">
        <w:rPr>
          <w:rFonts w:ascii="Calibri" w:hAnsi="Calibri" w:hint="eastAsia"/>
          <w:color w:val="auto"/>
          <w:sz w:val="24"/>
        </w:rPr>
        <w:t>年</w:t>
      </w:r>
      <w:r w:rsidR="000A0585">
        <w:rPr>
          <w:rFonts w:ascii="Calibri" w:hAnsi="Calibri" w:hint="eastAsia"/>
          <w:color w:val="auto"/>
          <w:sz w:val="24"/>
        </w:rPr>
        <w:t>10</w:t>
      </w:r>
      <w:r w:rsidRPr="00D5104E">
        <w:rPr>
          <w:rFonts w:ascii="Calibri" w:hAnsi="Calibri" w:hint="eastAsia"/>
          <w:color w:val="auto"/>
          <w:sz w:val="24"/>
        </w:rPr>
        <w:t>月底前完成拆改任务的工业炉窑，优先给予大气污染防治专项资金支持。新、改、扩建加热炉、热处理炉、干燥炉、熔化炉等工业窑炉，应采用清洁能源。全市禁止新建企业自备燃煤锅炉，全面淘汰</w:t>
      </w:r>
      <w:r w:rsidR="00866AB5">
        <w:rPr>
          <w:rFonts w:ascii="Calibri" w:hAnsi="Calibri" w:hint="eastAsia"/>
          <w:color w:val="auto"/>
          <w:sz w:val="24"/>
        </w:rPr>
        <w:t>35</w:t>
      </w:r>
      <w:r w:rsidRPr="00D5104E">
        <w:rPr>
          <w:rFonts w:ascii="Calibri" w:hAnsi="Calibri" w:hint="eastAsia"/>
          <w:color w:val="auto"/>
          <w:sz w:val="24"/>
        </w:rPr>
        <w:t>蒸吨</w:t>
      </w:r>
      <w:r w:rsidRPr="00D5104E">
        <w:rPr>
          <w:rFonts w:ascii="Calibri" w:hAnsi="Calibri" w:hint="eastAsia"/>
          <w:color w:val="auto"/>
          <w:sz w:val="24"/>
        </w:rPr>
        <w:t>/</w:t>
      </w:r>
      <w:r w:rsidRPr="00D5104E">
        <w:rPr>
          <w:rFonts w:ascii="Calibri" w:hAnsi="Calibri" w:hint="eastAsia"/>
          <w:color w:val="auto"/>
          <w:sz w:val="24"/>
        </w:rPr>
        <w:t>小时及以下的燃煤锅炉。淘汰方式主要包括拆除、实施集中供热替代、煤改气、煤改电等，以拆除方式淘汰的，必须拆除炉体或物理切断管道，使其不具备</w:t>
      </w:r>
      <w:r w:rsidRPr="00D5104E">
        <w:rPr>
          <w:rFonts w:ascii="Calibri" w:hAnsi="Calibri" w:hint="eastAsia"/>
          <w:color w:val="auto"/>
          <w:sz w:val="24"/>
        </w:rPr>
        <w:lastRenderedPageBreak/>
        <w:t>复产条件。</w:t>
      </w:r>
    </w:p>
    <w:p w14:paraId="6FB0B2B2" w14:textId="77777777" w:rsidR="00417800" w:rsidRDefault="005C4969" w:rsidP="00417800">
      <w:pPr>
        <w:spacing w:line="520" w:lineRule="exact"/>
        <w:ind w:firstLineChars="200" w:firstLine="480"/>
        <w:jc w:val="left"/>
        <w:rPr>
          <w:rFonts w:ascii="Calibri" w:hAnsi="Calibri"/>
          <w:color w:val="auto"/>
          <w:sz w:val="24"/>
        </w:rPr>
      </w:pPr>
      <w:r>
        <w:rPr>
          <w:rFonts w:ascii="Calibri" w:hAnsi="Calibri" w:hint="eastAsia"/>
          <w:color w:val="auto"/>
          <w:sz w:val="24"/>
        </w:rPr>
        <w:t>14.</w:t>
      </w:r>
      <w:r w:rsidRPr="0045600F">
        <w:rPr>
          <w:rFonts w:ascii="Calibri" w:hAnsi="Calibri" w:hint="eastAsia"/>
          <w:color w:val="auto"/>
          <w:sz w:val="24"/>
        </w:rPr>
        <w:t>提升扬尘污染防治水平。</w:t>
      </w:r>
      <w:r w:rsidR="00417800" w:rsidRPr="00417800">
        <w:rPr>
          <w:rFonts w:ascii="Calibri" w:hAnsi="Calibri" w:hint="eastAsia"/>
          <w:color w:val="auto"/>
          <w:sz w:val="24"/>
        </w:rPr>
        <w:t>实施扬尘治理智慧化提升工程，持续推进扬尘治理监控平台建设，加强国、省道道路扬尘监控能力建设，逐步纳入省级监控平台。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完善降尘监测和考评体系。持续做好城市公共道路清扫保洁，加大专业道路清扫机械的配备和使用，有效提升国省道、县乡道路、城乡结合部和背街小巷等各类道路清扫保洁效果，对城市公共区域、长期未开发建设裸地，以及废旧厂区、物流园、大型货车停车场等进行排查建档并采取防尘措施。大型煤炭、矿石等干散货码头、物料堆场全面完成抑尘设施建设和物料输送系统封闭改造。加强餐饮油烟污染治理，强化日常监督管理，规范治理设施运行管理，现场监管月抽查率不低于</w:t>
      </w:r>
      <w:r w:rsidR="00417800" w:rsidRPr="00417800">
        <w:rPr>
          <w:rFonts w:ascii="Calibri" w:hAnsi="Calibri" w:hint="eastAsia"/>
          <w:color w:val="auto"/>
          <w:sz w:val="24"/>
        </w:rPr>
        <w:t>20%</w:t>
      </w:r>
      <w:r w:rsidR="00417800" w:rsidRPr="00417800">
        <w:rPr>
          <w:rFonts w:ascii="Calibri" w:hAnsi="Calibri" w:hint="eastAsia"/>
          <w:color w:val="auto"/>
          <w:sz w:val="24"/>
        </w:rPr>
        <w:t>。</w:t>
      </w:r>
    </w:p>
    <w:p w14:paraId="68C44196" w14:textId="77777777" w:rsidR="00D5104E" w:rsidRDefault="00D5104E" w:rsidP="00D5104E">
      <w:pPr>
        <w:spacing w:line="520" w:lineRule="exact"/>
        <w:ind w:firstLineChars="200" w:firstLine="480"/>
        <w:jc w:val="left"/>
        <w:rPr>
          <w:rFonts w:ascii="Calibri" w:hAnsi="Calibri"/>
          <w:color w:val="auto"/>
          <w:sz w:val="24"/>
        </w:rPr>
      </w:pPr>
      <w:r w:rsidRPr="00D5104E">
        <w:rPr>
          <w:rFonts w:ascii="Calibri" w:hAnsi="Calibri" w:hint="eastAsia"/>
          <w:color w:val="auto"/>
          <w:sz w:val="24"/>
        </w:rPr>
        <w:t>18.</w:t>
      </w:r>
      <w:r w:rsidRPr="00D5104E">
        <w:rPr>
          <w:rFonts w:ascii="Calibri" w:hAnsi="Calibri" w:hint="eastAsia"/>
          <w:color w:val="auto"/>
          <w:sz w:val="24"/>
        </w:rPr>
        <w:t>综合治理恶臭突出环境问题。加强污水处理、垃圾处理、畜禽养殖、橡胶、塑料制品、食品加工等行业恶臭污染治理。对垃圾、污水集中式处理设施，加大装置密闭和废气收集力度，采取除臭措施；……恶臭投诉集中的工业园区、重点企业安装运行特征因子有组织排放和无组织排放在线监测预警系统。</w:t>
      </w:r>
    </w:p>
    <w:p w14:paraId="4C14F920" w14:textId="56217231" w:rsidR="00D5104E" w:rsidRDefault="005C4969" w:rsidP="005C4969">
      <w:pPr>
        <w:spacing w:line="520" w:lineRule="exact"/>
        <w:ind w:firstLineChars="200" w:firstLine="480"/>
        <w:jc w:val="left"/>
        <w:rPr>
          <w:rFonts w:ascii="Calibri" w:hAnsi="Calibri"/>
          <w:color w:val="auto"/>
          <w:sz w:val="24"/>
        </w:rPr>
      </w:pPr>
      <w:r>
        <w:rPr>
          <w:rFonts w:ascii="Calibri" w:hAnsi="Calibri" w:hint="eastAsia"/>
          <w:color w:val="auto"/>
          <w:sz w:val="24"/>
        </w:rPr>
        <w:t>2</w:t>
      </w:r>
      <w:r w:rsidR="00D5104E">
        <w:rPr>
          <w:rFonts w:ascii="Calibri" w:hAnsi="Calibri"/>
          <w:color w:val="auto"/>
          <w:sz w:val="24"/>
        </w:rPr>
        <w:t>4</w:t>
      </w:r>
      <w:r>
        <w:rPr>
          <w:rFonts w:ascii="Calibri" w:hAnsi="Calibri" w:hint="eastAsia"/>
          <w:color w:val="auto"/>
          <w:sz w:val="24"/>
        </w:rPr>
        <w:t>.</w:t>
      </w:r>
      <w:r w:rsidR="00D5104E" w:rsidRPr="00D5104E">
        <w:rPr>
          <w:rFonts w:ascii="Calibri" w:hAnsi="Calibri" w:hint="eastAsia"/>
          <w:color w:val="auto"/>
          <w:sz w:val="24"/>
        </w:rPr>
        <w:t>开展简易低效</w:t>
      </w:r>
      <w:r w:rsidR="00D5104E" w:rsidRPr="00D5104E">
        <w:rPr>
          <w:rFonts w:ascii="Calibri" w:hAnsi="Calibri" w:hint="eastAsia"/>
          <w:color w:val="auto"/>
          <w:sz w:val="24"/>
        </w:rPr>
        <w:t>VOCs</w:t>
      </w:r>
      <w:r w:rsidR="00D5104E" w:rsidRPr="00D5104E">
        <w:rPr>
          <w:rFonts w:ascii="Calibri" w:hAnsi="Calibri" w:hint="eastAsia"/>
          <w:color w:val="auto"/>
          <w:sz w:val="24"/>
        </w:rPr>
        <w:t>治理设施升级改造。各省辖市组织对涉</w:t>
      </w:r>
      <w:r w:rsidR="00D5104E" w:rsidRPr="00D5104E">
        <w:rPr>
          <w:rFonts w:ascii="Calibri" w:hAnsi="Calibri" w:hint="eastAsia"/>
          <w:color w:val="auto"/>
          <w:sz w:val="24"/>
        </w:rPr>
        <w:t>VOCs</w:t>
      </w:r>
      <w:r w:rsidR="00D5104E" w:rsidRPr="00D5104E">
        <w:rPr>
          <w:rFonts w:ascii="Calibri" w:hAnsi="Calibri" w:hint="eastAsia"/>
          <w:color w:val="auto"/>
          <w:sz w:val="24"/>
        </w:rPr>
        <w:t>企业治理设施建设情况、工艺类型、处理能力、运行情况、耗材或药剂更换情况、能源消耗情况和废过滤棉、废催化剂、废吸附剂、废吸收剂、废有机溶剂等二次污染物规范化处置情况进行全面检查，对治理设施设计不规范、与生产系统不匹配，单独使用光催化、光氧化、低温等离子等低效技术，治理设施建设和运行效果差的，建立清单台账，力争</w:t>
      </w:r>
      <w:r w:rsidR="00D5104E" w:rsidRPr="00D5104E">
        <w:rPr>
          <w:rFonts w:ascii="Calibri" w:hAnsi="Calibri" w:hint="eastAsia"/>
          <w:color w:val="auto"/>
          <w:sz w:val="24"/>
        </w:rPr>
        <w:t>2022</w:t>
      </w:r>
      <w:r w:rsidR="00D5104E" w:rsidRPr="00D5104E">
        <w:rPr>
          <w:rFonts w:ascii="Calibri" w:hAnsi="Calibri" w:hint="eastAsia"/>
          <w:color w:val="auto"/>
          <w:sz w:val="24"/>
        </w:rPr>
        <w:t>年</w:t>
      </w:r>
      <w:r w:rsidR="00D5104E" w:rsidRPr="00D5104E">
        <w:rPr>
          <w:rFonts w:ascii="Calibri" w:hAnsi="Calibri" w:hint="eastAsia"/>
          <w:color w:val="auto"/>
          <w:sz w:val="24"/>
        </w:rPr>
        <w:t>6</w:t>
      </w:r>
      <w:r w:rsidR="00D5104E" w:rsidRPr="00D5104E">
        <w:rPr>
          <w:rFonts w:ascii="Calibri" w:hAnsi="Calibri" w:hint="eastAsia"/>
          <w:color w:val="auto"/>
          <w:sz w:val="24"/>
        </w:rPr>
        <w:t>月底前基本完成升级改造并开展检测验收，严把工程质量，确保稳定达标排放。</w:t>
      </w:r>
    </w:p>
    <w:p w14:paraId="5BA60E19" w14:textId="77777777" w:rsidR="005C4969" w:rsidRDefault="005C4969" w:rsidP="005C4969">
      <w:pPr>
        <w:spacing w:line="520" w:lineRule="exact"/>
        <w:ind w:firstLineChars="200" w:firstLine="480"/>
        <w:jc w:val="left"/>
        <w:rPr>
          <w:rFonts w:ascii="Calibri" w:hAnsi="Calibri"/>
          <w:color w:val="auto"/>
          <w:sz w:val="24"/>
        </w:rPr>
      </w:pPr>
      <w:r>
        <w:rPr>
          <w:rFonts w:ascii="Calibri" w:hAnsi="Calibri" w:hint="eastAsia"/>
          <w:color w:val="auto"/>
          <w:sz w:val="24"/>
        </w:rPr>
        <w:t>25.</w:t>
      </w:r>
      <w:r w:rsidRPr="0045600F">
        <w:rPr>
          <w:rFonts w:ascii="Calibri" w:hAnsi="Calibri" w:hint="eastAsia"/>
          <w:color w:val="auto"/>
          <w:sz w:val="24"/>
        </w:rPr>
        <w:t>提升</w:t>
      </w:r>
      <w:r w:rsidRPr="0045600F">
        <w:rPr>
          <w:rFonts w:ascii="Calibri" w:hAnsi="Calibri" w:hint="eastAsia"/>
          <w:color w:val="auto"/>
          <w:sz w:val="24"/>
        </w:rPr>
        <w:t>VOCs</w:t>
      </w:r>
      <w:r w:rsidRPr="0045600F">
        <w:rPr>
          <w:rFonts w:ascii="Calibri" w:hAnsi="Calibri" w:hint="eastAsia"/>
          <w:color w:val="auto"/>
          <w:sz w:val="24"/>
        </w:rPr>
        <w:t>无组织排放治理水平。</w:t>
      </w:r>
      <w:r>
        <w:rPr>
          <w:rFonts w:ascii="Calibri" w:hAnsi="Calibri" w:hint="eastAsia"/>
          <w:color w:val="auto"/>
          <w:sz w:val="24"/>
        </w:rPr>
        <w:t>2022</w:t>
      </w:r>
      <w:r w:rsidRPr="0045600F">
        <w:rPr>
          <w:rFonts w:ascii="Calibri" w:hAnsi="Calibri" w:hint="eastAsia"/>
          <w:color w:val="auto"/>
          <w:sz w:val="24"/>
        </w:rPr>
        <w:t>年</w:t>
      </w:r>
      <w:r w:rsidRPr="0045600F">
        <w:rPr>
          <w:rFonts w:ascii="Calibri" w:hAnsi="Calibri" w:hint="eastAsia"/>
          <w:color w:val="auto"/>
          <w:sz w:val="24"/>
        </w:rPr>
        <w:t>5</w:t>
      </w:r>
      <w:r w:rsidRPr="0045600F">
        <w:rPr>
          <w:rFonts w:ascii="Calibri" w:hAnsi="Calibri" w:hint="eastAsia"/>
          <w:color w:val="auto"/>
          <w:sz w:val="24"/>
        </w:rPr>
        <w:t>月底前，全面排查含</w:t>
      </w:r>
      <w:r w:rsidRPr="0045600F">
        <w:rPr>
          <w:rFonts w:ascii="Calibri" w:hAnsi="Calibri" w:hint="eastAsia"/>
          <w:color w:val="auto"/>
          <w:sz w:val="24"/>
        </w:rPr>
        <w:t>VOCs</w:t>
      </w:r>
      <w:r w:rsidRPr="0045600F">
        <w:rPr>
          <w:rFonts w:ascii="Calibri" w:hAnsi="Calibri" w:hint="eastAsia"/>
          <w:color w:val="auto"/>
          <w:sz w:val="24"/>
        </w:rPr>
        <w:t>物料</w:t>
      </w:r>
      <w:r w:rsidRPr="0045600F">
        <w:rPr>
          <w:rFonts w:ascii="Calibri" w:hAnsi="Calibri" w:hint="eastAsia"/>
          <w:color w:val="auto"/>
          <w:sz w:val="24"/>
        </w:rPr>
        <w:lastRenderedPageBreak/>
        <w:t>储存、转移和输送、设备与管线组件、敞开液面以及工艺过程等环节无组织排放情况，组织开展</w:t>
      </w:r>
      <w:r w:rsidRPr="0045600F">
        <w:rPr>
          <w:rFonts w:ascii="Calibri" w:hAnsi="Calibri" w:hint="eastAsia"/>
          <w:color w:val="auto"/>
          <w:sz w:val="24"/>
        </w:rPr>
        <w:t>VOCs</w:t>
      </w:r>
      <w:r w:rsidRPr="0045600F">
        <w:rPr>
          <w:rFonts w:ascii="Calibri" w:hAnsi="Calibri" w:hint="eastAsia"/>
          <w:color w:val="auto"/>
          <w:sz w:val="24"/>
        </w:rPr>
        <w:t>抽测，开展工业涂装、印刷行业挥发性有机物排放标准执行情况检查，对达不到相关标准要求的问题进行整治。石化、煤化工、制药、农药行业重点治理储罐配件失效，装载和污水处理密闭收集效果差，装置区废水预处理池、废水储罐废气未收集，</w:t>
      </w:r>
      <w:r w:rsidRPr="0045600F">
        <w:rPr>
          <w:rFonts w:ascii="Calibri" w:hAnsi="Calibri" w:hint="eastAsia"/>
          <w:color w:val="auto"/>
          <w:sz w:val="24"/>
        </w:rPr>
        <w:t>LDAR</w:t>
      </w:r>
      <w:r w:rsidRPr="0045600F">
        <w:rPr>
          <w:rFonts w:ascii="Calibri" w:hAnsi="Calibri" w:hint="eastAsia"/>
          <w:color w:val="auto"/>
          <w:sz w:val="24"/>
        </w:rPr>
        <w:t>工作不符合标准规范等问题</w:t>
      </w:r>
      <w:r>
        <w:rPr>
          <w:rFonts w:ascii="Calibri" w:hAnsi="Calibri" w:hint="eastAsia"/>
          <w:color w:val="auto"/>
          <w:sz w:val="24"/>
        </w:rPr>
        <w:t>；</w:t>
      </w:r>
      <w:r w:rsidRPr="0045600F">
        <w:rPr>
          <w:rFonts w:ascii="Calibri" w:hAnsi="Calibri" w:hint="eastAsia"/>
          <w:color w:val="auto"/>
          <w:sz w:val="24"/>
        </w:rPr>
        <w:t>焦化行业重点治理酚氰废水处理无密闭、煤气管线及焦炉等装置泄露问题</w:t>
      </w:r>
      <w:r>
        <w:rPr>
          <w:rFonts w:ascii="Calibri" w:hAnsi="Calibri" w:hint="eastAsia"/>
          <w:color w:val="auto"/>
          <w:sz w:val="24"/>
        </w:rPr>
        <w:t>；</w:t>
      </w:r>
      <w:r w:rsidRPr="0045600F">
        <w:rPr>
          <w:rFonts w:ascii="Calibri" w:hAnsi="Calibri" w:hint="eastAsia"/>
          <w:color w:val="auto"/>
          <w:sz w:val="24"/>
        </w:rPr>
        <w:t>工业涂装、包装印刷等行业重点治理集气罩收集效果差、含</w:t>
      </w:r>
      <w:r w:rsidRPr="0045600F">
        <w:rPr>
          <w:rFonts w:ascii="Calibri" w:hAnsi="Calibri" w:hint="eastAsia"/>
          <w:color w:val="auto"/>
          <w:sz w:val="24"/>
        </w:rPr>
        <w:t>VOCs</w:t>
      </w:r>
      <w:r w:rsidRPr="0045600F">
        <w:rPr>
          <w:rFonts w:ascii="Calibri" w:hAnsi="Calibri" w:hint="eastAsia"/>
          <w:color w:val="auto"/>
          <w:sz w:val="24"/>
        </w:rPr>
        <w:t>原辅材料和废料储存不密闭等问题。</w:t>
      </w:r>
    </w:p>
    <w:p w14:paraId="0C77CE3F" w14:textId="77777777" w:rsidR="00417800" w:rsidRDefault="005C4969" w:rsidP="00417800">
      <w:pPr>
        <w:spacing w:line="520" w:lineRule="exact"/>
        <w:ind w:firstLineChars="200" w:firstLine="480"/>
        <w:jc w:val="left"/>
        <w:rPr>
          <w:rFonts w:ascii="Calibri" w:hAnsi="Calibri"/>
          <w:color w:val="auto"/>
          <w:sz w:val="24"/>
        </w:rPr>
      </w:pPr>
      <w:r>
        <w:rPr>
          <w:rFonts w:ascii="Calibri" w:hAnsi="Calibri" w:hint="eastAsia"/>
          <w:color w:val="auto"/>
          <w:sz w:val="24"/>
        </w:rPr>
        <w:t>27.</w:t>
      </w:r>
      <w:r w:rsidRPr="0045600F">
        <w:rPr>
          <w:rFonts w:ascii="Calibri" w:hAnsi="Calibri" w:hint="eastAsia"/>
          <w:color w:val="auto"/>
          <w:sz w:val="24"/>
        </w:rPr>
        <w:t>强化</w:t>
      </w:r>
      <w:r w:rsidRPr="0045600F">
        <w:rPr>
          <w:rFonts w:ascii="Calibri" w:hAnsi="Calibri" w:hint="eastAsia"/>
          <w:color w:val="auto"/>
          <w:sz w:val="24"/>
        </w:rPr>
        <w:t>VOCs</w:t>
      </w:r>
      <w:r w:rsidRPr="0045600F">
        <w:rPr>
          <w:rFonts w:ascii="Calibri" w:hAnsi="Calibri" w:hint="eastAsia"/>
          <w:color w:val="auto"/>
          <w:sz w:val="24"/>
        </w:rPr>
        <w:t>日常监管。</w:t>
      </w:r>
      <w:r w:rsidR="00417800" w:rsidRPr="00417800">
        <w:rPr>
          <w:rFonts w:ascii="Calibri" w:hAnsi="Calibri" w:hint="eastAsia"/>
          <w:color w:val="auto"/>
          <w:sz w:val="24"/>
        </w:rPr>
        <w:t>。加强臭氧污染天气下的挥发性有机物排放管理，指导涉</w:t>
      </w:r>
      <w:r w:rsidR="00417800">
        <w:rPr>
          <w:rFonts w:ascii="Calibri" w:hAnsi="Calibri" w:hint="eastAsia"/>
          <w:color w:val="auto"/>
          <w:sz w:val="24"/>
        </w:rPr>
        <w:t>VOCs</w:t>
      </w:r>
      <w:r w:rsidR="00417800" w:rsidRPr="00417800">
        <w:rPr>
          <w:rFonts w:ascii="Calibri" w:hAnsi="Calibri" w:hint="eastAsia"/>
          <w:color w:val="auto"/>
          <w:sz w:val="24"/>
        </w:rPr>
        <w:t>污染物排放企业妥善安排生产计划，在夏季减少开停车、放空、开釜等操作。涉</w:t>
      </w:r>
      <w:r w:rsidR="00417800">
        <w:rPr>
          <w:rFonts w:ascii="Calibri" w:hAnsi="Calibri" w:hint="eastAsia"/>
          <w:color w:val="auto"/>
          <w:sz w:val="24"/>
        </w:rPr>
        <w:t>VOCs</w:t>
      </w:r>
      <w:r w:rsidR="00417800" w:rsidRPr="00417800">
        <w:rPr>
          <w:rFonts w:ascii="Calibri" w:hAnsi="Calibri" w:hint="eastAsia"/>
          <w:color w:val="auto"/>
          <w:sz w:val="24"/>
        </w:rPr>
        <w:t>防腐、防水、防锈等涂装作业及大中型装修、外立面改造、道路划线、沥青铺设等施工作业，应当避开臭氧污染易发的高温时段。加强非正常工况废气排放管理，钢铁、焦化、医药、石化、化工等重点行业企业应提前向生态环境部门报告开停车、检维修计划，火炬、煤气放散管应安装引燃设施，配套建设燃烧温度监控、废气流量计、助燃气体流量计等，排放废气热值达不到要求时应及时补充助燃气体。</w:t>
      </w:r>
    </w:p>
    <w:p w14:paraId="6B2FEF58" w14:textId="77777777" w:rsidR="005C4969" w:rsidRPr="001E7141" w:rsidRDefault="005C4969" w:rsidP="00417800">
      <w:pPr>
        <w:spacing w:line="520" w:lineRule="exact"/>
        <w:ind w:firstLineChars="200" w:firstLine="480"/>
        <w:jc w:val="left"/>
        <w:rPr>
          <w:rFonts w:ascii="Calibri" w:hAnsi="Calibri"/>
          <w:color w:val="auto"/>
          <w:sz w:val="24"/>
        </w:rPr>
      </w:pPr>
      <w:r w:rsidRPr="001E7141">
        <w:rPr>
          <w:rFonts w:ascii="Calibri" w:hAnsi="Calibri"/>
          <w:color w:val="auto"/>
          <w:sz w:val="24"/>
        </w:rPr>
        <w:t>……</w:t>
      </w:r>
    </w:p>
    <w:p w14:paraId="28FE0678" w14:textId="77777777" w:rsidR="005C4969" w:rsidRPr="001E7141" w:rsidRDefault="00417800" w:rsidP="00C81F40">
      <w:pPr>
        <w:widowControl/>
        <w:spacing w:line="520" w:lineRule="exact"/>
        <w:ind w:firstLineChars="650" w:firstLine="1566"/>
        <w:jc w:val="left"/>
        <w:rPr>
          <w:rFonts w:ascii="Calibri" w:hAnsi="Calibri"/>
          <w:b/>
          <w:color w:val="auto"/>
          <w:sz w:val="24"/>
        </w:rPr>
      </w:pPr>
      <w:r>
        <w:rPr>
          <w:rFonts w:ascii="Calibri" w:hAnsi="Calibri" w:hint="eastAsia"/>
          <w:b/>
          <w:color w:val="auto"/>
          <w:sz w:val="24"/>
        </w:rPr>
        <w:t>平顶山市</w:t>
      </w:r>
      <w:r w:rsidR="005C4969" w:rsidRPr="001E7141">
        <w:rPr>
          <w:rFonts w:ascii="Calibri" w:hAnsi="Calibri" w:hint="eastAsia"/>
          <w:b/>
          <w:color w:val="auto"/>
          <w:sz w:val="24"/>
        </w:rPr>
        <w:t>202</w:t>
      </w:r>
      <w:r w:rsidR="005C4969">
        <w:rPr>
          <w:rFonts w:ascii="Calibri" w:hAnsi="Calibri" w:hint="eastAsia"/>
          <w:b/>
          <w:color w:val="auto"/>
          <w:sz w:val="24"/>
        </w:rPr>
        <w:t>2</w:t>
      </w:r>
      <w:r w:rsidR="005C4969" w:rsidRPr="001E7141">
        <w:rPr>
          <w:rFonts w:ascii="Calibri" w:hAnsi="Calibri" w:hint="eastAsia"/>
          <w:b/>
          <w:color w:val="auto"/>
          <w:sz w:val="24"/>
        </w:rPr>
        <w:t>年水污染防治攻坚战实施方案</w:t>
      </w:r>
    </w:p>
    <w:p w14:paraId="344AFB0B" w14:textId="37E924A5" w:rsidR="005C4969" w:rsidRDefault="005C4969" w:rsidP="005C4969">
      <w:pPr>
        <w:spacing w:line="520" w:lineRule="exact"/>
        <w:ind w:firstLineChars="200" w:firstLine="480"/>
        <w:jc w:val="left"/>
        <w:rPr>
          <w:rFonts w:ascii="Calibri" w:hAnsi="Calibri"/>
          <w:color w:val="auto"/>
          <w:sz w:val="24"/>
        </w:rPr>
      </w:pPr>
      <w:r>
        <w:rPr>
          <w:rFonts w:ascii="Calibri" w:hAnsi="Calibri" w:hint="eastAsia"/>
          <w:color w:val="auto"/>
          <w:sz w:val="24"/>
        </w:rPr>
        <w:t>为贯彻落实党中央、国务院关于深入打好污染防治攻坚战的决策部署，持续改善</w:t>
      </w:r>
      <w:r w:rsidR="00417800">
        <w:rPr>
          <w:rFonts w:ascii="Calibri" w:hAnsi="Calibri" w:hint="eastAsia"/>
          <w:color w:val="auto"/>
          <w:sz w:val="24"/>
        </w:rPr>
        <w:t>全市</w:t>
      </w:r>
      <w:r>
        <w:rPr>
          <w:rFonts w:ascii="Calibri" w:hAnsi="Calibri" w:hint="eastAsia"/>
          <w:color w:val="auto"/>
          <w:sz w:val="24"/>
        </w:rPr>
        <w:t>水生态环境质量，制定本方案。与本项目相关内容如下：</w:t>
      </w:r>
    </w:p>
    <w:p w14:paraId="062F98F3" w14:textId="65DC82E2" w:rsidR="000A0585" w:rsidRPr="001E7141" w:rsidRDefault="000A0585" w:rsidP="005C4969">
      <w:pPr>
        <w:spacing w:line="520" w:lineRule="exact"/>
        <w:ind w:firstLineChars="200" w:firstLine="480"/>
        <w:jc w:val="left"/>
        <w:rPr>
          <w:rFonts w:ascii="Calibri" w:hAnsi="Calibri" w:hint="eastAsia"/>
          <w:color w:val="auto"/>
          <w:sz w:val="24"/>
        </w:rPr>
      </w:pPr>
      <w:r>
        <w:rPr>
          <w:rFonts w:ascii="Calibri" w:hAnsi="Calibri" w:hint="eastAsia"/>
          <w:color w:val="auto"/>
          <w:sz w:val="24"/>
        </w:rPr>
        <w:t>…………</w:t>
      </w:r>
    </w:p>
    <w:p w14:paraId="3B8D997B" w14:textId="77777777" w:rsidR="005C4969" w:rsidRPr="001E7141" w:rsidRDefault="005C4969" w:rsidP="005C4969">
      <w:pPr>
        <w:spacing w:line="520" w:lineRule="exact"/>
        <w:ind w:firstLineChars="200" w:firstLine="480"/>
        <w:jc w:val="left"/>
        <w:rPr>
          <w:rFonts w:ascii="Calibri" w:hAnsi="Calibri"/>
          <w:color w:val="auto"/>
          <w:sz w:val="24"/>
        </w:rPr>
      </w:pPr>
      <w:r w:rsidRPr="001E7141">
        <w:rPr>
          <w:rFonts w:ascii="Calibri" w:hAnsi="Calibri" w:hint="eastAsia"/>
          <w:color w:val="auto"/>
          <w:sz w:val="24"/>
        </w:rPr>
        <w:t>二、工作目标</w:t>
      </w:r>
    </w:p>
    <w:p w14:paraId="4245DE46" w14:textId="77777777" w:rsidR="00417800" w:rsidRDefault="00417800" w:rsidP="00417800">
      <w:pPr>
        <w:widowControl/>
        <w:spacing w:line="520" w:lineRule="exact"/>
        <w:ind w:firstLineChars="200" w:firstLine="480"/>
        <w:jc w:val="left"/>
        <w:rPr>
          <w:rFonts w:ascii="Calibri" w:hAnsi="Calibri"/>
          <w:color w:val="auto"/>
          <w:sz w:val="24"/>
        </w:rPr>
      </w:pPr>
      <w:r w:rsidRPr="00417800">
        <w:rPr>
          <w:rFonts w:ascii="Calibri" w:hAnsi="Calibri" w:hint="eastAsia"/>
          <w:color w:val="auto"/>
          <w:sz w:val="24"/>
        </w:rPr>
        <w:t>完成省下达的地表水环境质量年度目标任务，全市断面水质总体达标率达到</w:t>
      </w:r>
      <w:r w:rsidRPr="00417800">
        <w:rPr>
          <w:rFonts w:ascii="Calibri" w:hAnsi="Calibri" w:hint="eastAsia"/>
          <w:color w:val="auto"/>
          <w:sz w:val="24"/>
        </w:rPr>
        <w:t>68%</w:t>
      </w:r>
      <w:r w:rsidRPr="00417800">
        <w:rPr>
          <w:rFonts w:ascii="Calibri" w:hAnsi="Calibri" w:hint="eastAsia"/>
          <w:color w:val="auto"/>
          <w:sz w:val="24"/>
        </w:rPr>
        <w:t>以上，县级以上城市集中式饮用水水源地取水水质达标率达到</w:t>
      </w:r>
      <w:r w:rsidRPr="00417800">
        <w:rPr>
          <w:rFonts w:ascii="Calibri" w:hAnsi="Calibri" w:hint="eastAsia"/>
          <w:color w:val="auto"/>
          <w:sz w:val="24"/>
        </w:rPr>
        <w:t>100%</w:t>
      </w:r>
      <w:r w:rsidRPr="00417800">
        <w:rPr>
          <w:rFonts w:ascii="Calibri" w:hAnsi="Calibri" w:hint="eastAsia"/>
          <w:color w:val="auto"/>
          <w:sz w:val="24"/>
        </w:rPr>
        <w:t>（自然本底值高除外）。</w:t>
      </w:r>
    </w:p>
    <w:p w14:paraId="0D6CEE10" w14:textId="77777777" w:rsidR="005C4969" w:rsidRPr="001E7141" w:rsidRDefault="005C4969" w:rsidP="00417800">
      <w:pPr>
        <w:widowControl/>
        <w:spacing w:line="520" w:lineRule="exact"/>
        <w:ind w:firstLineChars="200" w:firstLine="480"/>
        <w:jc w:val="left"/>
        <w:rPr>
          <w:rFonts w:ascii="Calibri" w:hAnsi="Calibri"/>
          <w:color w:val="auto"/>
          <w:sz w:val="24"/>
        </w:rPr>
      </w:pPr>
      <w:r w:rsidRPr="001E7141">
        <w:rPr>
          <w:rFonts w:ascii="Calibri" w:hAnsi="Calibri" w:hint="eastAsia"/>
          <w:color w:val="auto"/>
          <w:sz w:val="24"/>
        </w:rPr>
        <w:t>三、主要任务</w:t>
      </w:r>
    </w:p>
    <w:p w14:paraId="26F58BFE" w14:textId="77777777" w:rsidR="00417800" w:rsidRDefault="005C4969" w:rsidP="00417800">
      <w:pPr>
        <w:widowControl/>
        <w:spacing w:line="520" w:lineRule="exact"/>
        <w:ind w:firstLineChars="200" w:firstLine="480"/>
        <w:jc w:val="left"/>
        <w:rPr>
          <w:rFonts w:ascii="Calibri" w:hAnsi="Calibri"/>
          <w:color w:val="auto"/>
          <w:sz w:val="24"/>
        </w:rPr>
      </w:pPr>
      <w:r>
        <w:rPr>
          <w:rFonts w:ascii="Calibri" w:hAnsi="Calibri" w:hint="eastAsia"/>
          <w:color w:val="auto"/>
          <w:sz w:val="24"/>
        </w:rPr>
        <w:lastRenderedPageBreak/>
        <w:t>1</w:t>
      </w:r>
      <w:r w:rsidR="00417800">
        <w:rPr>
          <w:rFonts w:ascii="Calibri" w:hAnsi="Calibri"/>
          <w:color w:val="auto"/>
          <w:sz w:val="24"/>
        </w:rPr>
        <w:t>1</w:t>
      </w:r>
      <w:r w:rsidRPr="001E7141">
        <w:rPr>
          <w:rFonts w:ascii="Calibri" w:hAnsi="Calibri" w:hint="eastAsia"/>
          <w:color w:val="auto"/>
          <w:sz w:val="24"/>
        </w:rPr>
        <w:t>.</w:t>
      </w:r>
      <w:r w:rsidRPr="007D6F41">
        <w:rPr>
          <w:rFonts w:ascii="Calibri" w:hAnsi="Calibri" w:hint="eastAsia"/>
          <w:color w:val="auto"/>
          <w:sz w:val="24"/>
        </w:rPr>
        <w:t>调整优化产业结构。</w:t>
      </w:r>
      <w:r w:rsidR="00417800" w:rsidRPr="00417800">
        <w:rPr>
          <w:rFonts w:ascii="Calibri" w:hAnsi="Calibri" w:hint="eastAsia"/>
          <w:color w:val="auto"/>
          <w:sz w:val="24"/>
        </w:rPr>
        <w:t>落实“三线一单”生态环境分区管控体系，加强重点区域、重点流域、重点行业和产业布局规划环评。持续推进钢铁、有色、石化、化工、纺织印染、造纸、农副食品加工等行业绿色化改造转型升级，推进化工、印染等产业集群提升改造。推动重点行业、重点区域产业布局调整，实施传统产业兼并重组、城市建成区高污染企业退城入园和敏感区域、水污染严重地区高污染企业布局优化，制定实施落后产能淘汰方案。</w:t>
      </w:r>
    </w:p>
    <w:p w14:paraId="3508613F" w14:textId="77777777" w:rsidR="005C4969" w:rsidRDefault="005C4969" w:rsidP="00417800">
      <w:pPr>
        <w:spacing w:line="520" w:lineRule="exact"/>
        <w:ind w:firstLineChars="200" w:firstLine="480"/>
        <w:jc w:val="left"/>
        <w:rPr>
          <w:rFonts w:ascii="Calibri" w:hAnsi="Calibri"/>
          <w:color w:val="auto"/>
          <w:sz w:val="24"/>
        </w:rPr>
      </w:pPr>
      <w:r w:rsidRPr="007D6F41">
        <w:rPr>
          <w:rFonts w:ascii="Calibri" w:hAnsi="Calibri" w:hint="eastAsia"/>
          <w:color w:val="auto"/>
          <w:sz w:val="24"/>
        </w:rPr>
        <w:t>1</w:t>
      </w:r>
      <w:r w:rsidR="00417800">
        <w:rPr>
          <w:rFonts w:ascii="Calibri" w:hAnsi="Calibri"/>
          <w:color w:val="auto"/>
          <w:sz w:val="24"/>
        </w:rPr>
        <w:t>2</w:t>
      </w:r>
      <w:r w:rsidRPr="007D6F41">
        <w:rPr>
          <w:rFonts w:ascii="Calibri" w:hAnsi="Calibri" w:hint="eastAsia"/>
          <w:color w:val="auto"/>
          <w:sz w:val="24"/>
        </w:rPr>
        <w:t>.</w:t>
      </w:r>
      <w:r w:rsidRPr="007D6F41">
        <w:rPr>
          <w:rFonts w:ascii="Calibri" w:hAnsi="Calibri" w:hint="eastAsia"/>
          <w:color w:val="auto"/>
          <w:sz w:val="24"/>
        </w:rPr>
        <w:t>推动企业绿色发展。</w:t>
      </w:r>
      <w:r w:rsidR="00417800" w:rsidRPr="00417800">
        <w:rPr>
          <w:rFonts w:ascii="Calibri" w:hAnsi="Calibri" w:hint="eastAsia"/>
          <w:color w:val="auto"/>
          <w:sz w:val="24"/>
        </w:rPr>
        <w:t>在造纸、焦化、氮肥、农副食品加工、印染、有色、原料药制造、电镀等重点水污染物排放行业，推进清洁生产改造，减少单位产品耗水量和单位产品排污量。结合水环境容量、地表水环境目标、排污许可证要求，对直排企业污水处理设施适时进行提标改造。推进工业水循环利用和水循环梯级利用，在高耗水行业开展水效“领跑者”行动。电力企业严格落实环评审批的使用再生水要求。到</w:t>
      </w:r>
      <w:r w:rsidR="00417800">
        <w:rPr>
          <w:rFonts w:ascii="Calibri" w:hAnsi="Calibri" w:hint="eastAsia"/>
          <w:color w:val="auto"/>
          <w:sz w:val="24"/>
        </w:rPr>
        <w:t>2022</w:t>
      </w:r>
      <w:r w:rsidR="00417800" w:rsidRPr="00417800">
        <w:rPr>
          <w:rFonts w:ascii="Calibri" w:hAnsi="Calibri" w:hint="eastAsia"/>
          <w:color w:val="auto"/>
          <w:sz w:val="24"/>
        </w:rPr>
        <w:t>年年底，万元工业增加值用水量较</w:t>
      </w:r>
      <w:r w:rsidR="00417800">
        <w:rPr>
          <w:rFonts w:ascii="Calibri" w:hAnsi="Calibri" w:hint="eastAsia"/>
          <w:color w:val="auto"/>
          <w:sz w:val="24"/>
        </w:rPr>
        <w:t>2020</w:t>
      </w:r>
      <w:r w:rsidR="00417800" w:rsidRPr="00417800">
        <w:rPr>
          <w:rFonts w:ascii="Calibri" w:hAnsi="Calibri" w:hint="eastAsia"/>
          <w:color w:val="auto"/>
          <w:sz w:val="24"/>
        </w:rPr>
        <w:t>年下降约</w:t>
      </w:r>
      <w:r w:rsidR="00417800" w:rsidRPr="00417800">
        <w:rPr>
          <w:rFonts w:ascii="Calibri" w:hAnsi="Calibri" w:hint="eastAsia"/>
          <w:color w:val="auto"/>
          <w:sz w:val="24"/>
        </w:rPr>
        <w:t>2%</w:t>
      </w:r>
      <w:r w:rsidR="00417800" w:rsidRPr="00417800">
        <w:rPr>
          <w:rFonts w:ascii="Calibri" w:hAnsi="Calibri" w:hint="eastAsia"/>
          <w:color w:val="auto"/>
          <w:sz w:val="24"/>
        </w:rPr>
        <w:t>。</w:t>
      </w:r>
    </w:p>
    <w:p w14:paraId="1D877CCA" w14:textId="77777777" w:rsidR="00417800" w:rsidRDefault="005C4969" w:rsidP="00417800">
      <w:pPr>
        <w:widowControl/>
        <w:spacing w:line="520" w:lineRule="exact"/>
        <w:ind w:firstLineChars="200" w:firstLine="480"/>
        <w:jc w:val="left"/>
        <w:rPr>
          <w:rFonts w:ascii="Calibri" w:hAnsi="Calibri"/>
          <w:color w:val="auto"/>
          <w:sz w:val="24"/>
        </w:rPr>
      </w:pPr>
      <w:r>
        <w:rPr>
          <w:rFonts w:ascii="Calibri" w:hAnsi="Calibri" w:hint="eastAsia"/>
          <w:color w:val="auto"/>
          <w:sz w:val="24"/>
        </w:rPr>
        <w:t>1</w:t>
      </w:r>
      <w:r w:rsidR="00417800">
        <w:rPr>
          <w:rFonts w:ascii="Calibri" w:hAnsi="Calibri"/>
          <w:color w:val="auto"/>
          <w:sz w:val="24"/>
        </w:rPr>
        <w:t>4</w:t>
      </w:r>
      <w:r>
        <w:rPr>
          <w:rFonts w:ascii="Calibri" w:hAnsi="Calibri" w:hint="eastAsia"/>
          <w:color w:val="auto"/>
          <w:sz w:val="24"/>
        </w:rPr>
        <w:t>.</w:t>
      </w:r>
      <w:r w:rsidRPr="007D6F41">
        <w:rPr>
          <w:rFonts w:ascii="Calibri" w:hAnsi="Calibri" w:hint="eastAsia"/>
          <w:color w:val="auto"/>
          <w:sz w:val="24"/>
        </w:rPr>
        <w:t>加强水环境风险防控。</w:t>
      </w:r>
      <w:r w:rsidR="00417800" w:rsidRPr="00417800">
        <w:rPr>
          <w:rFonts w:ascii="Calibri" w:hAnsi="Calibri" w:hint="eastAsia"/>
          <w:color w:val="auto"/>
          <w:sz w:val="24"/>
        </w:rPr>
        <w:t>以涉重金属、危险化学品、有毒有害等行业企业为重点，加强水环境风险日常监管，建设事故调蓄池、应急闸坝等预防性设施，开展尾矿库生态环境风险隐患排查整治，重点加强南水北调中线工程水源区“一废一品一库”监管。完善上下游政府及相关部门之间的联防联控、信息共享、闸坝调度机制，落实防范措施。加强重点饮用水水源地河流、重要跨界河流以及其他敏感水体风险防控，编制“一河一策一图”应急处置方案，强化应急演练，避免重、特大水污染事故发生。</w:t>
      </w:r>
    </w:p>
    <w:p w14:paraId="71CB0F1F" w14:textId="0DEE47F8" w:rsidR="005C4969" w:rsidRPr="001E7141" w:rsidRDefault="000A0585" w:rsidP="005C4969">
      <w:pPr>
        <w:widowControl/>
        <w:spacing w:line="520" w:lineRule="exact"/>
        <w:ind w:firstLineChars="200" w:firstLine="480"/>
        <w:jc w:val="left"/>
        <w:rPr>
          <w:rFonts w:ascii="Calibri" w:hAnsi="Calibri"/>
          <w:color w:val="auto"/>
          <w:sz w:val="24"/>
        </w:rPr>
      </w:pPr>
      <w:r>
        <w:rPr>
          <w:rFonts w:ascii="Calibri" w:hAnsi="Calibri"/>
          <w:color w:val="auto"/>
          <w:sz w:val="24"/>
        </w:rPr>
        <w:t>……………</w:t>
      </w:r>
    </w:p>
    <w:p w14:paraId="16100BE1" w14:textId="77777777" w:rsidR="005C4969" w:rsidRPr="001E7141" w:rsidRDefault="00417800" w:rsidP="00C81F40">
      <w:pPr>
        <w:spacing w:line="520" w:lineRule="exact"/>
        <w:ind w:firstLineChars="650" w:firstLine="1566"/>
        <w:jc w:val="left"/>
        <w:rPr>
          <w:rFonts w:ascii="Calibri" w:hAnsi="Calibri"/>
          <w:b/>
          <w:color w:val="auto"/>
          <w:sz w:val="24"/>
        </w:rPr>
      </w:pPr>
      <w:r>
        <w:rPr>
          <w:rFonts w:ascii="Calibri" w:hAnsi="Calibri" w:hint="eastAsia"/>
          <w:b/>
          <w:color w:val="auto"/>
          <w:sz w:val="24"/>
        </w:rPr>
        <w:t>平顶山市</w:t>
      </w:r>
      <w:r w:rsidR="005C4969">
        <w:rPr>
          <w:rFonts w:ascii="Calibri" w:hAnsi="Calibri" w:hint="eastAsia"/>
          <w:b/>
          <w:color w:val="auto"/>
          <w:sz w:val="24"/>
        </w:rPr>
        <w:t>2022</w:t>
      </w:r>
      <w:r w:rsidR="005C4969" w:rsidRPr="001E7141">
        <w:rPr>
          <w:rFonts w:ascii="Calibri" w:hAnsi="Calibri" w:hint="eastAsia"/>
          <w:b/>
          <w:color w:val="auto"/>
          <w:sz w:val="24"/>
        </w:rPr>
        <w:t>年土壤污染防治攻坚战实施方案</w:t>
      </w:r>
    </w:p>
    <w:p w14:paraId="00A474B5" w14:textId="77777777" w:rsidR="005C4969" w:rsidRDefault="00417800" w:rsidP="00417800">
      <w:pPr>
        <w:spacing w:line="520" w:lineRule="exact"/>
        <w:ind w:firstLineChars="200" w:firstLine="480"/>
        <w:jc w:val="left"/>
        <w:rPr>
          <w:rFonts w:ascii="Calibri" w:hAnsi="Calibri"/>
          <w:color w:val="auto"/>
          <w:sz w:val="24"/>
        </w:rPr>
      </w:pPr>
      <w:r w:rsidRPr="00417800">
        <w:rPr>
          <w:rFonts w:ascii="Calibri" w:hAnsi="Calibri" w:hint="eastAsia"/>
          <w:color w:val="auto"/>
          <w:sz w:val="24"/>
        </w:rPr>
        <w:t>为贯彻落实中共中央、国务院和省委、省政府及市委、市政府关于深入打好污染防治攻坚战的决策部署，持续打好净土保卫战，切实加强土壤、地下水生态环境保护，推进生态强市建设，制定本方案。</w:t>
      </w:r>
      <w:r w:rsidR="005C4969">
        <w:rPr>
          <w:rFonts w:ascii="Calibri" w:hAnsi="Calibri" w:hint="eastAsia"/>
          <w:color w:val="auto"/>
          <w:sz w:val="24"/>
        </w:rPr>
        <w:t>与本项目相关内容如下：</w:t>
      </w:r>
    </w:p>
    <w:p w14:paraId="401DFF8C" w14:textId="77777777" w:rsidR="005C4969" w:rsidRPr="001E7141" w:rsidRDefault="005C4969" w:rsidP="005C4969">
      <w:pPr>
        <w:spacing w:line="520" w:lineRule="exact"/>
        <w:ind w:firstLineChars="200" w:firstLine="480"/>
        <w:jc w:val="left"/>
        <w:rPr>
          <w:rFonts w:ascii="Calibri" w:hAnsi="Calibri"/>
          <w:color w:val="auto"/>
          <w:sz w:val="24"/>
        </w:rPr>
      </w:pPr>
      <w:r w:rsidRPr="001E7141">
        <w:rPr>
          <w:rFonts w:ascii="Calibri" w:hAnsi="Calibri" w:hint="eastAsia"/>
          <w:color w:val="auto"/>
          <w:sz w:val="24"/>
        </w:rPr>
        <w:t>二、工作目标</w:t>
      </w:r>
    </w:p>
    <w:p w14:paraId="59E175C0" w14:textId="77777777" w:rsidR="00417800" w:rsidRDefault="00417800" w:rsidP="00417800">
      <w:pPr>
        <w:spacing w:line="520" w:lineRule="exact"/>
        <w:ind w:firstLineChars="200" w:firstLine="480"/>
        <w:jc w:val="left"/>
        <w:rPr>
          <w:rFonts w:ascii="Calibri" w:hAnsi="Calibri"/>
          <w:color w:val="auto"/>
          <w:sz w:val="24"/>
        </w:rPr>
      </w:pPr>
      <w:r w:rsidRPr="00417800">
        <w:rPr>
          <w:rFonts w:ascii="Calibri" w:hAnsi="Calibri" w:hint="eastAsia"/>
          <w:color w:val="auto"/>
          <w:sz w:val="24"/>
        </w:rPr>
        <w:t>推动土壤资源永续利用，全市土壤和地下水环境质量总体保持稳定，土壤和地</w:t>
      </w:r>
      <w:r w:rsidRPr="00417800">
        <w:rPr>
          <w:rFonts w:ascii="Calibri" w:hAnsi="Calibri" w:hint="eastAsia"/>
          <w:color w:val="auto"/>
          <w:sz w:val="24"/>
        </w:rPr>
        <w:lastRenderedPageBreak/>
        <w:t>下水环境风险得到有效管控。土壤安全利用进一步巩固提升，受污染耕地安全利用率实现</w:t>
      </w:r>
      <w:r w:rsidRPr="00417800">
        <w:rPr>
          <w:rFonts w:ascii="Calibri" w:hAnsi="Calibri" w:hint="eastAsia"/>
          <w:color w:val="auto"/>
          <w:sz w:val="24"/>
        </w:rPr>
        <w:t>95%</w:t>
      </w:r>
      <w:r w:rsidRPr="00417800">
        <w:rPr>
          <w:rFonts w:ascii="Calibri" w:hAnsi="Calibri" w:hint="eastAsia"/>
          <w:color w:val="auto"/>
          <w:sz w:val="24"/>
        </w:rPr>
        <w:t>以上，重点建设用地安全利用有效保障。地下水国考区域点位</w:t>
      </w:r>
      <w:r w:rsidRPr="00417800">
        <w:rPr>
          <w:rFonts w:ascii="Calibri" w:hAnsi="Calibri" w:hint="eastAsia"/>
          <w:color w:val="auto"/>
          <w:sz w:val="24"/>
        </w:rPr>
        <w:t xml:space="preserve"> V </w:t>
      </w:r>
      <w:r w:rsidRPr="00417800">
        <w:rPr>
          <w:rFonts w:ascii="Calibri" w:hAnsi="Calibri" w:hint="eastAsia"/>
          <w:color w:val="auto"/>
          <w:sz w:val="24"/>
        </w:rPr>
        <w:t>类水比例控制在</w:t>
      </w:r>
      <w:r w:rsidRPr="00417800">
        <w:rPr>
          <w:rFonts w:ascii="Calibri" w:hAnsi="Calibri" w:hint="eastAsia"/>
          <w:color w:val="auto"/>
          <w:sz w:val="24"/>
        </w:rPr>
        <w:t>25%</w:t>
      </w:r>
      <w:r w:rsidRPr="00417800">
        <w:rPr>
          <w:rFonts w:ascii="Calibri" w:hAnsi="Calibri" w:hint="eastAsia"/>
          <w:color w:val="auto"/>
          <w:sz w:val="24"/>
        </w:rPr>
        <w:t>以内，“双源”（地下水型饮用水水源、重点污染源）点位水质保持稳定。</w:t>
      </w:r>
    </w:p>
    <w:p w14:paraId="396F2E87" w14:textId="77777777" w:rsidR="005C4969" w:rsidRDefault="005C4969" w:rsidP="005C4969">
      <w:pPr>
        <w:spacing w:line="520" w:lineRule="exact"/>
        <w:ind w:firstLineChars="200" w:firstLine="480"/>
        <w:jc w:val="left"/>
        <w:rPr>
          <w:rFonts w:ascii="Calibri" w:hAnsi="Calibri"/>
          <w:color w:val="auto"/>
          <w:sz w:val="24"/>
        </w:rPr>
      </w:pPr>
      <w:r>
        <w:rPr>
          <w:rFonts w:ascii="Calibri" w:hAnsi="Calibri" w:hint="eastAsia"/>
          <w:color w:val="auto"/>
          <w:sz w:val="24"/>
        </w:rPr>
        <w:t>三、主要任务</w:t>
      </w:r>
    </w:p>
    <w:p w14:paraId="7958BA78" w14:textId="77777777" w:rsidR="00417800" w:rsidRDefault="005C4969" w:rsidP="00417800">
      <w:pPr>
        <w:spacing w:line="520" w:lineRule="exact"/>
        <w:ind w:firstLineChars="200" w:firstLine="480"/>
        <w:jc w:val="left"/>
        <w:rPr>
          <w:rFonts w:ascii="Calibri" w:hAnsi="Calibri"/>
          <w:color w:val="auto"/>
          <w:sz w:val="24"/>
        </w:rPr>
      </w:pPr>
      <w:r w:rsidRPr="00B1737E">
        <w:rPr>
          <w:rFonts w:ascii="Calibri" w:hAnsi="Calibri" w:hint="eastAsia"/>
          <w:color w:val="auto"/>
          <w:sz w:val="24"/>
        </w:rPr>
        <w:t>7.</w:t>
      </w:r>
      <w:r w:rsidRPr="00B1737E">
        <w:rPr>
          <w:rFonts w:ascii="Calibri" w:hAnsi="Calibri" w:hint="eastAsia"/>
          <w:color w:val="auto"/>
          <w:sz w:val="24"/>
        </w:rPr>
        <w:t>推动实施绿色化改造。</w:t>
      </w:r>
      <w:r w:rsidR="00417800" w:rsidRPr="00417800">
        <w:rPr>
          <w:rFonts w:ascii="Calibri" w:hAnsi="Calibri" w:hint="eastAsia"/>
          <w:color w:val="auto"/>
          <w:sz w:val="24"/>
        </w:rPr>
        <w:t>推进工业企业绿色升级，加快实施钢铁、石化、化工、皮革、有色金属矿采选及冶炼、电镀等行业绿色化改造。土壤污染隐患排查中发现问题的土壤污染重点监管单位，可根据情况实施管道化、密闭化改造，重点区域防腐防渗改造，物料、污水、废气管线架空建设和改造，从源头上防范土壤污染。聚焦重有色金属采选和冶炼、涉重金属无机化工等重点行业，严格实施清洁生产审核，进一步减少污染物排放。</w:t>
      </w:r>
    </w:p>
    <w:p w14:paraId="5BF68E18" w14:textId="77777777" w:rsidR="005C4969" w:rsidRPr="00A964FF" w:rsidRDefault="005C4969" w:rsidP="00417800">
      <w:pPr>
        <w:spacing w:line="520" w:lineRule="exact"/>
        <w:ind w:firstLineChars="200" w:firstLine="480"/>
        <w:jc w:val="left"/>
        <w:rPr>
          <w:rFonts w:ascii="Calibri" w:hAnsi="Calibri"/>
          <w:color w:val="auto"/>
          <w:sz w:val="24"/>
        </w:rPr>
      </w:pPr>
      <w:r w:rsidRPr="00A964FF">
        <w:rPr>
          <w:rFonts w:ascii="Calibri" w:hAnsi="Calibri"/>
          <w:color w:val="auto"/>
          <w:sz w:val="24"/>
        </w:rPr>
        <w:t>……</w:t>
      </w:r>
    </w:p>
    <w:p w14:paraId="1CB61C57" w14:textId="77777777" w:rsidR="005C4969" w:rsidRPr="00A964FF" w:rsidRDefault="005C4969" w:rsidP="00646C87">
      <w:pPr>
        <w:spacing w:line="520" w:lineRule="exact"/>
        <w:ind w:firstLineChars="200" w:firstLine="480"/>
        <w:jc w:val="left"/>
        <w:rPr>
          <w:rFonts w:ascii="Calibri" w:hAnsi="Calibri"/>
          <w:color w:val="auto"/>
          <w:sz w:val="24"/>
        </w:rPr>
      </w:pPr>
      <w:r w:rsidRPr="00A964FF">
        <w:rPr>
          <w:rFonts w:ascii="Calibri" w:hAnsi="Calibri" w:hint="eastAsia"/>
          <w:color w:val="auto"/>
          <w:sz w:val="24"/>
        </w:rPr>
        <w:t>本项目符合“三线一单”生态环境分区管控要求，</w:t>
      </w:r>
      <w:r w:rsidR="00646C87" w:rsidRPr="00646C87">
        <w:rPr>
          <w:rFonts w:ascii="Calibri" w:hAnsi="Calibri" w:hint="eastAsia"/>
          <w:color w:val="auto"/>
          <w:sz w:val="24"/>
        </w:rPr>
        <w:t>本次项目属化学原料和化学制品制造业中</w:t>
      </w:r>
      <w:r w:rsidR="00646C87" w:rsidRPr="00646C87">
        <w:rPr>
          <w:rFonts w:ascii="Calibri" w:hAnsi="Calibri" w:hint="eastAsia"/>
          <w:color w:val="auto"/>
          <w:sz w:val="24"/>
        </w:rPr>
        <w:t>C265</w:t>
      </w:r>
      <w:r w:rsidR="00646C87" w:rsidRPr="00646C87">
        <w:rPr>
          <w:rFonts w:ascii="Calibri" w:hAnsi="Calibri" w:hint="eastAsia"/>
          <w:color w:val="auto"/>
          <w:sz w:val="24"/>
        </w:rPr>
        <w:t>合成材料制造，经比对，项目不属于《河南省重污染天气重点行业应急减排措施制定技术指南（</w:t>
      </w:r>
      <w:r w:rsidR="00646C87" w:rsidRPr="00646C87">
        <w:rPr>
          <w:rFonts w:ascii="Calibri" w:hAnsi="Calibri" w:hint="eastAsia"/>
          <w:color w:val="auto"/>
          <w:sz w:val="24"/>
        </w:rPr>
        <w:t>2021</w:t>
      </w:r>
      <w:r w:rsidR="00646C87" w:rsidRPr="00646C87">
        <w:rPr>
          <w:rFonts w:ascii="Calibri" w:hAnsi="Calibri" w:hint="eastAsia"/>
          <w:color w:val="auto"/>
          <w:sz w:val="24"/>
        </w:rPr>
        <w:t>年修订版）》“有机化工”中</w:t>
      </w:r>
      <w:r w:rsidR="00646C87" w:rsidRPr="00646C87">
        <w:rPr>
          <w:rFonts w:ascii="Calibri" w:hAnsi="Calibri" w:hint="eastAsia"/>
          <w:color w:val="auto"/>
          <w:sz w:val="24"/>
        </w:rPr>
        <w:t>C261</w:t>
      </w:r>
      <w:r w:rsidR="00646C87" w:rsidRPr="00646C87">
        <w:rPr>
          <w:rFonts w:ascii="Calibri" w:hAnsi="Calibri" w:hint="eastAsia"/>
          <w:color w:val="auto"/>
          <w:sz w:val="24"/>
        </w:rPr>
        <w:t>基础化学原料制造、</w:t>
      </w:r>
      <w:r w:rsidR="00646C87" w:rsidRPr="00646C87">
        <w:rPr>
          <w:rFonts w:ascii="Calibri" w:hAnsi="Calibri" w:hint="eastAsia"/>
          <w:color w:val="auto"/>
          <w:sz w:val="24"/>
        </w:rPr>
        <w:t>C266</w:t>
      </w:r>
      <w:r w:rsidR="00646C87" w:rsidRPr="00646C87">
        <w:rPr>
          <w:rFonts w:ascii="Calibri" w:hAnsi="Calibri" w:hint="eastAsia"/>
          <w:color w:val="auto"/>
          <w:sz w:val="24"/>
        </w:rPr>
        <w:t>专用化学产品制造、</w:t>
      </w:r>
      <w:r w:rsidR="00646C87" w:rsidRPr="00646C87">
        <w:rPr>
          <w:rFonts w:ascii="Calibri" w:hAnsi="Calibri" w:hint="eastAsia"/>
          <w:color w:val="auto"/>
          <w:sz w:val="24"/>
        </w:rPr>
        <w:t>C268</w:t>
      </w:r>
      <w:r w:rsidR="00646C87" w:rsidRPr="00646C87">
        <w:rPr>
          <w:rFonts w:ascii="Calibri" w:hAnsi="Calibri" w:hint="eastAsia"/>
          <w:color w:val="auto"/>
          <w:sz w:val="24"/>
        </w:rPr>
        <w:t>日用化学产品制造行业，不属于重点行业，属通用行业，</w:t>
      </w:r>
      <w:r w:rsidRPr="00A964FF">
        <w:rPr>
          <w:rFonts w:ascii="Calibri" w:hAnsi="Calibri" w:hint="eastAsia"/>
          <w:color w:val="auto"/>
          <w:sz w:val="24"/>
        </w:rPr>
        <w:t>并按照</w:t>
      </w:r>
      <w:r w:rsidR="00646C87">
        <w:rPr>
          <w:rFonts w:ascii="Calibri" w:hAnsi="Calibri" w:hint="eastAsia"/>
          <w:color w:val="auto"/>
          <w:sz w:val="24"/>
        </w:rPr>
        <w:t>平顶山市</w:t>
      </w:r>
      <w:r w:rsidR="00646C87">
        <w:rPr>
          <w:rFonts w:ascii="Calibri" w:hAnsi="Calibri"/>
          <w:color w:val="auto"/>
          <w:sz w:val="24"/>
        </w:rPr>
        <w:t>2021</w:t>
      </w:r>
      <w:r w:rsidR="00646C87">
        <w:rPr>
          <w:rFonts w:ascii="Calibri" w:hAnsi="Calibri" w:hint="eastAsia"/>
          <w:color w:val="auto"/>
          <w:sz w:val="24"/>
        </w:rPr>
        <w:t>年</w:t>
      </w:r>
      <w:r w:rsidR="00646C87">
        <w:rPr>
          <w:rFonts w:ascii="Calibri" w:hAnsi="Calibri"/>
          <w:color w:val="auto"/>
          <w:sz w:val="24"/>
        </w:rPr>
        <w:t>重污染天气通用行业</w:t>
      </w:r>
      <w:r w:rsidRPr="00A964FF">
        <w:rPr>
          <w:rFonts w:ascii="Calibri" w:hAnsi="Calibri" w:hint="eastAsia"/>
          <w:color w:val="auto"/>
          <w:sz w:val="24"/>
        </w:rPr>
        <w:t>绩效分级</w:t>
      </w:r>
      <w:r w:rsidR="00646C87">
        <w:rPr>
          <w:rFonts w:ascii="Calibri" w:hAnsi="Calibri"/>
          <w:color w:val="auto"/>
          <w:sz w:val="24"/>
        </w:rPr>
        <w:t>B</w:t>
      </w:r>
      <w:r w:rsidRPr="00A964FF">
        <w:rPr>
          <w:rFonts w:ascii="Calibri" w:hAnsi="Calibri" w:hint="eastAsia"/>
          <w:color w:val="auto"/>
          <w:sz w:val="24"/>
        </w:rPr>
        <w:t>级指标进行建设。</w:t>
      </w:r>
      <w:r w:rsidRPr="001E7141">
        <w:rPr>
          <w:rFonts w:ascii="Calibri" w:hAnsi="Calibri" w:hint="eastAsia"/>
          <w:color w:val="auto"/>
          <w:sz w:val="24"/>
        </w:rPr>
        <w:t>本项目施工期严格落实</w:t>
      </w:r>
      <w:r>
        <w:rPr>
          <w:rFonts w:ascii="Calibri" w:hAnsi="Calibri" w:hint="eastAsia"/>
          <w:color w:val="auto"/>
          <w:sz w:val="24"/>
        </w:rPr>
        <w:t>“三员”管理，“两个禁止”、</w:t>
      </w:r>
      <w:r w:rsidRPr="001E7141">
        <w:rPr>
          <w:rFonts w:ascii="Calibri" w:hAnsi="Calibri" w:hint="eastAsia"/>
          <w:color w:val="auto"/>
          <w:sz w:val="24"/>
        </w:rPr>
        <w:t>“六个百分之百”，</w:t>
      </w:r>
      <w:r>
        <w:rPr>
          <w:rFonts w:ascii="Calibri" w:hAnsi="Calibri" w:hint="eastAsia"/>
          <w:color w:val="auto"/>
          <w:sz w:val="24"/>
        </w:rPr>
        <w:t>渣土车密闭运输、清洁运输等，</w:t>
      </w:r>
      <w:r w:rsidRPr="001E7141">
        <w:rPr>
          <w:rFonts w:ascii="Calibri" w:hAnsi="Calibri" w:hint="eastAsia"/>
          <w:color w:val="auto"/>
          <w:sz w:val="24"/>
        </w:rPr>
        <w:t>降低对周围环境空气的影响。</w:t>
      </w:r>
      <w:r w:rsidRPr="00A964FF">
        <w:rPr>
          <w:rFonts w:ascii="Calibri"/>
          <w:color w:val="auto"/>
          <w:sz w:val="24"/>
        </w:rPr>
        <w:t>本项目运营后各环节产生</w:t>
      </w:r>
      <w:r w:rsidRPr="00A964FF">
        <w:rPr>
          <w:rFonts w:ascii="Calibri" w:hAnsi="Calibri"/>
          <w:color w:val="auto"/>
          <w:sz w:val="24"/>
        </w:rPr>
        <w:t>VOCs</w:t>
      </w:r>
      <w:r w:rsidRPr="00A964FF">
        <w:rPr>
          <w:rFonts w:ascii="Calibri"/>
          <w:color w:val="auto"/>
          <w:sz w:val="24"/>
        </w:rPr>
        <w:t>废气的位置均为密闭生产，将有机废气收集至废气</w:t>
      </w:r>
      <w:r w:rsidRPr="00A964FF">
        <w:rPr>
          <w:rFonts w:ascii="Calibri" w:hint="eastAsia"/>
          <w:color w:val="auto"/>
          <w:sz w:val="24"/>
        </w:rPr>
        <w:t>治理</w:t>
      </w:r>
      <w:r w:rsidRPr="00A964FF">
        <w:rPr>
          <w:rFonts w:ascii="Calibri"/>
          <w:color w:val="auto"/>
          <w:sz w:val="24"/>
        </w:rPr>
        <w:t>装置，</w:t>
      </w:r>
      <w:r w:rsidRPr="00A964FF">
        <w:rPr>
          <w:rFonts w:ascii="Calibri" w:hint="eastAsia"/>
          <w:color w:val="auto"/>
          <w:sz w:val="24"/>
        </w:rPr>
        <w:t>经</w:t>
      </w:r>
      <w:r w:rsidRPr="00A964FF">
        <w:rPr>
          <w:rFonts w:ascii="Calibri"/>
          <w:color w:val="auto"/>
          <w:sz w:val="24"/>
        </w:rPr>
        <w:t>处理后达标排放；本项目生产过程中涉及的</w:t>
      </w:r>
      <w:r w:rsidRPr="00A964FF">
        <w:rPr>
          <w:rFonts w:ascii="Calibri" w:hint="eastAsia"/>
          <w:color w:val="auto"/>
          <w:sz w:val="24"/>
        </w:rPr>
        <w:t>各类</w:t>
      </w:r>
      <w:r w:rsidRPr="00A964FF">
        <w:rPr>
          <w:rFonts w:ascii="Calibri"/>
          <w:color w:val="auto"/>
          <w:sz w:val="24"/>
        </w:rPr>
        <w:t>液体原料均采用管道输送或其它密闭输送方式，确保含</w:t>
      </w:r>
      <w:r w:rsidRPr="00A964FF">
        <w:rPr>
          <w:rFonts w:ascii="Calibri" w:hAnsi="Calibri"/>
          <w:color w:val="auto"/>
          <w:sz w:val="24"/>
        </w:rPr>
        <w:t>VOCs</w:t>
      </w:r>
      <w:r w:rsidRPr="00A964FF">
        <w:rPr>
          <w:rFonts w:ascii="Calibri"/>
          <w:color w:val="auto"/>
          <w:sz w:val="24"/>
        </w:rPr>
        <w:t>物在储存、输送、投料、卸料、产品分装等过程中</w:t>
      </w:r>
      <w:r>
        <w:rPr>
          <w:rFonts w:ascii="Calibri" w:hAnsi="Calibri"/>
          <w:color w:val="auto"/>
          <w:sz w:val="24"/>
        </w:rPr>
        <w:t>均可实现密闭化</w:t>
      </w:r>
      <w:r w:rsidRPr="00A964FF">
        <w:rPr>
          <w:rFonts w:ascii="Calibri" w:hAnsi="Calibri"/>
          <w:color w:val="auto"/>
          <w:sz w:val="24"/>
        </w:rPr>
        <w:t>，</w:t>
      </w:r>
      <w:r w:rsidRPr="001E7141">
        <w:rPr>
          <w:rFonts w:ascii="Calibri" w:hAnsi="Calibri" w:hint="eastAsia"/>
          <w:color w:val="auto"/>
          <w:sz w:val="24"/>
        </w:rPr>
        <w:t>符合</w:t>
      </w:r>
      <w:r w:rsidRPr="001E7141">
        <w:rPr>
          <w:rFonts w:ascii="Calibri" w:hint="eastAsia"/>
          <w:color w:val="auto"/>
          <w:sz w:val="24"/>
        </w:rPr>
        <w:t>“</w:t>
      </w:r>
      <w:r w:rsidR="00417800">
        <w:rPr>
          <w:rFonts w:ascii="Calibri" w:hint="eastAsia"/>
          <w:color w:val="auto"/>
          <w:sz w:val="24"/>
        </w:rPr>
        <w:t>平顶山</w:t>
      </w:r>
      <w:r w:rsidR="00417800">
        <w:rPr>
          <w:rFonts w:ascii="Calibri"/>
          <w:color w:val="auto"/>
          <w:sz w:val="24"/>
        </w:rPr>
        <w:t>市</w:t>
      </w:r>
      <w:r>
        <w:rPr>
          <w:rFonts w:ascii="Calibri" w:hint="eastAsia"/>
          <w:color w:val="auto"/>
          <w:sz w:val="24"/>
        </w:rPr>
        <w:t>2022</w:t>
      </w:r>
      <w:r>
        <w:rPr>
          <w:rFonts w:ascii="Calibri" w:hint="eastAsia"/>
          <w:color w:val="auto"/>
          <w:sz w:val="24"/>
        </w:rPr>
        <w:t>年</w:t>
      </w:r>
      <w:r w:rsidRPr="001E7141">
        <w:rPr>
          <w:rFonts w:ascii="Calibri" w:hint="eastAsia"/>
          <w:color w:val="auto"/>
          <w:sz w:val="24"/>
        </w:rPr>
        <w:t>大气</w:t>
      </w:r>
      <w:r w:rsidRPr="001E7141">
        <w:rPr>
          <w:rFonts w:ascii="Calibri"/>
          <w:color w:val="auto"/>
          <w:sz w:val="24"/>
        </w:rPr>
        <w:t>污染防治攻坚战实施方案</w:t>
      </w:r>
      <w:r w:rsidRPr="001E7141">
        <w:rPr>
          <w:rFonts w:ascii="Calibri" w:hint="eastAsia"/>
          <w:color w:val="auto"/>
          <w:sz w:val="24"/>
        </w:rPr>
        <w:t>”</w:t>
      </w:r>
      <w:r w:rsidRPr="001E7141">
        <w:rPr>
          <w:rFonts w:ascii="Calibri"/>
          <w:color w:val="auto"/>
          <w:sz w:val="24"/>
        </w:rPr>
        <w:t>中相关要求。</w:t>
      </w:r>
    </w:p>
    <w:p w14:paraId="116A057B" w14:textId="249F69C7" w:rsidR="005C4969" w:rsidRPr="00A964FF" w:rsidRDefault="00D5104E" w:rsidP="002F5676">
      <w:pPr>
        <w:spacing w:line="520" w:lineRule="exact"/>
        <w:ind w:firstLineChars="200" w:firstLine="480"/>
        <w:jc w:val="left"/>
        <w:rPr>
          <w:rFonts w:ascii="Calibri" w:hAnsi="Calibri"/>
          <w:color w:val="auto"/>
          <w:sz w:val="24"/>
        </w:rPr>
      </w:pPr>
      <w:r w:rsidRPr="00A964FF">
        <w:rPr>
          <w:rFonts w:ascii="Calibri" w:hAnsi="Calibri"/>
          <w:color w:val="auto"/>
          <w:sz w:val="24"/>
        </w:rPr>
        <w:t>本项目运营后</w:t>
      </w:r>
      <w:r>
        <w:rPr>
          <w:rFonts w:ascii="Calibri" w:hAnsi="Calibri" w:hint="eastAsia"/>
          <w:color w:val="auto"/>
          <w:sz w:val="24"/>
        </w:rPr>
        <w:t>厂区</w:t>
      </w:r>
      <w:r>
        <w:rPr>
          <w:rFonts w:ascii="Calibri" w:hAnsi="Calibri"/>
          <w:color w:val="auto"/>
          <w:sz w:val="24"/>
        </w:rPr>
        <w:t>废水总排放口满足</w:t>
      </w:r>
      <w:r w:rsidRPr="00CA798E">
        <w:rPr>
          <w:rFonts w:ascii="Calibri" w:hAnsi="Calibri" w:hint="eastAsia"/>
          <w:color w:val="auto"/>
          <w:sz w:val="24"/>
        </w:rPr>
        <w:t>《合成树脂工业污染物排放标准》（</w:t>
      </w:r>
      <w:r w:rsidRPr="00CA798E">
        <w:rPr>
          <w:rFonts w:ascii="Calibri" w:hAnsi="Calibri" w:hint="eastAsia"/>
          <w:color w:val="auto"/>
          <w:sz w:val="24"/>
        </w:rPr>
        <w:t>GB31572-2015</w:t>
      </w:r>
      <w:r w:rsidRPr="00CA798E">
        <w:rPr>
          <w:rFonts w:ascii="Calibri" w:hAnsi="Calibri" w:hint="eastAsia"/>
          <w:color w:val="auto"/>
          <w:sz w:val="24"/>
        </w:rPr>
        <w:t>）间接排放限值</w:t>
      </w:r>
      <w:r w:rsidR="00575DF8">
        <w:rPr>
          <w:rFonts w:ascii="Calibri" w:hAnsi="Calibri" w:hint="eastAsia"/>
          <w:color w:val="auto"/>
          <w:sz w:val="24"/>
        </w:rPr>
        <w:t>、</w:t>
      </w:r>
      <w:r w:rsidR="00575DF8" w:rsidRPr="00FC1E23">
        <w:rPr>
          <w:rFonts w:ascii="Calibri" w:hAnsi="Calibri" w:hint="eastAsia"/>
          <w:color w:val="auto"/>
          <w:sz w:val="24"/>
        </w:rPr>
        <w:t>《化工行业水污染物间接排放标准》（</w:t>
      </w:r>
      <w:r w:rsidR="00575DF8" w:rsidRPr="00FC1E23">
        <w:rPr>
          <w:rFonts w:ascii="Calibri" w:hAnsi="Calibri" w:hint="eastAsia"/>
          <w:color w:val="auto"/>
          <w:sz w:val="24"/>
        </w:rPr>
        <w:t>DB41/1135-2016</w:t>
      </w:r>
      <w:r w:rsidR="00575DF8" w:rsidRPr="00FC1E23">
        <w:rPr>
          <w:rFonts w:ascii="Calibri" w:hAnsi="Calibri" w:hint="eastAsia"/>
          <w:color w:val="auto"/>
          <w:sz w:val="24"/>
        </w:rPr>
        <w:t>）和</w:t>
      </w:r>
      <w:r w:rsidR="00E01926">
        <w:rPr>
          <w:rFonts w:ascii="Calibri" w:hAnsi="Calibri" w:hint="eastAsia"/>
          <w:color w:val="auto"/>
          <w:sz w:val="24"/>
        </w:rPr>
        <w:t>平顶山</w:t>
      </w:r>
      <w:r w:rsidR="00575DF8" w:rsidRPr="00CA798E">
        <w:rPr>
          <w:rFonts w:ascii="Calibri" w:hAnsi="Calibri" w:hint="eastAsia"/>
          <w:color w:val="auto"/>
          <w:sz w:val="24"/>
        </w:rPr>
        <w:t>第三污水处理厂进水</w:t>
      </w:r>
      <w:r w:rsidR="00575DF8" w:rsidRPr="00A964FF">
        <w:rPr>
          <w:rFonts w:ascii="Calibri" w:hAnsi="Calibri" w:hint="eastAsia"/>
          <w:color w:val="auto"/>
          <w:sz w:val="24"/>
        </w:rPr>
        <w:t>指标</w:t>
      </w:r>
      <w:r w:rsidRPr="00D5104E">
        <w:rPr>
          <w:rFonts w:ascii="Calibri" w:hAnsi="Calibri" w:hint="eastAsia"/>
          <w:color w:val="auto"/>
          <w:sz w:val="24"/>
        </w:rPr>
        <w:t>后排入集聚区市政污水管网，进入</w:t>
      </w:r>
      <w:r w:rsidR="00E01926">
        <w:rPr>
          <w:rFonts w:ascii="Calibri" w:hAnsi="Calibri" w:hint="eastAsia"/>
          <w:color w:val="auto"/>
          <w:sz w:val="24"/>
        </w:rPr>
        <w:t>平顶山</w:t>
      </w:r>
      <w:r w:rsidR="002F5676" w:rsidRPr="00CA798E">
        <w:rPr>
          <w:rFonts w:ascii="Calibri" w:hAnsi="Calibri" w:hint="eastAsia"/>
          <w:color w:val="auto"/>
          <w:sz w:val="24"/>
        </w:rPr>
        <w:lastRenderedPageBreak/>
        <w:t>第三污水处理厂</w:t>
      </w:r>
      <w:r w:rsidRPr="00D5104E">
        <w:rPr>
          <w:rFonts w:ascii="Calibri" w:hAnsi="Calibri" w:hint="eastAsia"/>
          <w:color w:val="auto"/>
          <w:sz w:val="24"/>
        </w:rPr>
        <w:t>集中处理，不直接对地表水体进行排水</w:t>
      </w:r>
      <w:r>
        <w:rPr>
          <w:rFonts w:ascii="Calibri" w:hAnsi="Calibri" w:hint="eastAsia"/>
          <w:color w:val="auto"/>
          <w:sz w:val="24"/>
        </w:rPr>
        <w:t>；本项目</w:t>
      </w:r>
      <w:r w:rsidRPr="00D5104E">
        <w:rPr>
          <w:rFonts w:ascii="Calibri" w:hAnsi="Calibri" w:hint="eastAsia"/>
          <w:color w:val="auto"/>
          <w:sz w:val="24"/>
        </w:rPr>
        <w:t>项目风险采用三级防控体系，</w:t>
      </w:r>
      <w:r>
        <w:rPr>
          <w:rFonts w:ascii="Calibri" w:hAnsi="Calibri" w:hint="eastAsia"/>
          <w:color w:val="auto"/>
          <w:sz w:val="24"/>
        </w:rPr>
        <w:t>液态储罐</w:t>
      </w:r>
      <w:r>
        <w:rPr>
          <w:rFonts w:ascii="Calibri" w:hAnsi="Calibri"/>
          <w:color w:val="auto"/>
          <w:sz w:val="24"/>
        </w:rPr>
        <w:t>存放区域</w:t>
      </w:r>
      <w:r w:rsidRPr="00D5104E">
        <w:rPr>
          <w:rFonts w:ascii="Calibri" w:hAnsi="Calibri" w:hint="eastAsia"/>
          <w:color w:val="auto"/>
          <w:sz w:val="24"/>
        </w:rPr>
        <w:t>建设围堰，厂内</w:t>
      </w:r>
      <w:r>
        <w:rPr>
          <w:rFonts w:ascii="Calibri" w:hAnsi="Calibri" w:hint="eastAsia"/>
          <w:color w:val="auto"/>
          <w:sz w:val="24"/>
        </w:rPr>
        <w:t>设置事故池，保证事故状况下废水不进入地表水体，满足风险防控要求，</w:t>
      </w:r>
      <w:r w:rsidR="005C4969" w:rsidRPr="001E7141">
        <w:rPr>
          <w:rFonts w:ascii="Calibri" w:hAnsi="Calibri"/>
          <w:color w:val="auto"/>
          <w:sz w:val="24"/>
        </w:rPr>
        <w:t>符合</w:t>
      </w:r>
      <w:r w:rsidR="005C4969" w:rsidRPr="001E7141">
        <w:rPr>
          <w:rFonts w:ascii="Calibri" w:hint="eastAsia"/>
          <w:color w:val="auto"/>
          <w:sz w:val="24"/>
        </w:rPr>
        <w:t>“</w:t>
      </w:r>
      <w:r w:rsidR="00417800">
        <w:rPr>
          <w:rFonts w:ascii="Calibri" w:hint="eastAsia"/>
          <w:color w:val="auto"/>
          <w:sz w:val="24"/>
        </w:rPr>
        <w:t>平顶山</w:t>
      </w:r>
      <w:r w:rsidR="00417800">
        <w:rPr>
          <w:rFonts w:ascii="Calibri"/>
          <w:color w:val="auto"/>
          <w:sz w:val="24"/>
        </w:rPr>
        <w:t>市</w:t>
      </w:r>
      <w:r w:rsidR="005C4969">
        <w:rPr>
          <w:rFonts w:ascii="Calibri" w:hint="eastAsia"/>
          <w:color w:val="auto"/>
          <w:sz w:val="24"/>
        </w:rPr>
        <w:t>2022</w:t>
      </w:r>
      <w:r w:rsidR="005C4969">
        <w:rPr>
          <w:rFonts w:ascii="Calibri" w:hint="eastAsia"/>
          <w:color w:val="auto"/>
          <w:sz w:val="24"/>
        </w:rPr>
        <w:t>年</w:t>
      </w:r>
      <w:r w:rsidR="005C4969" w:rsidRPr="001E7141">
        <w:rPr>
          <w:rFonts w:ascii="Calibri"/>
          <w:color w:val="auto"/>
          <w:sz w:val="24"/>
        </w:rPr>
        <w:t>年水污染防治攻坚战实施方案</w:t>
      </w:r>
      <w:r w:rsidR="005C4969" w:rsidRPr="001E7141">
        <w:rPr>
          <w:rFonts w:ascii="Calibri" w:hint="eastAsia"/>
          <w:color w:val="auto"/>
          <w:sz w:val="24"/>
        </w:rPr>
        <w:t>”</w:t>
      </w:r>
      <w:r w:rsidR="005C4969" w:rsidRPr="001E7141">
        <w:rPr>
          <w:rFonts w:ascii="Calibri"/>
          <w:color w:val="auto"/>
          <w:sz w:val="24"/>
        </w:rPr>
        <w:t>中相关要求。</w:t>
      </w:r>
    </w:p>
    <w:p w14:paraId="2B610B4A" w14:textId="77777777" w:rsidR="005C4969" w:rsidRPr="00D5104E" w:rsidRDefault="005C4969" w:rsidP="00143EB3">
      <w:pPr>
        <w:widowControl/>
        <w:spacing w:line="520" w:lineRule="exact"/>
        <w:ind w:firstLineChars="200" w:firstLine="480"/>
        <w:jc w:val="left"/>
        <w:rPr>
          <w:rFonts w:ascii="Calibri"/>
          <w:bCs/>
          <w:color w:val="auto"/>
          <w:sz w:val="24"/>
        </w:rPr>
      </w:pPr>
      <w:r w:rsidRPr="00A964FF">
        <w:rPr>
          <w:rFonts w:ascii="Calibri"/>
          <w:bCs/>
          <w:color w:val="auto"/>
          <w:sz w:val="24"/>
        </w:rPr>
        <w:t>本项目为</w:t>
      </w:r>
      <w:r w:rsidRPr="00A964FF">
        <w:rPr>
          <w:rFonts w:ascii="Calibri" w:hint="eastAsia"/>
          <w:bCs/>
          <w:color w:val="auto"/>
          <w:sz w:val="24"/>
        </w:rPr>
        <w:t>新建</w:t>
      </w:r>
      <w:r w:rsidRPr="00A964FF">
        <w:rPr>
          <w:rFonts w:ascii="Calibri"/>
          <w:bCs/>
          <w:color w:val="auto"/>
          <w:sz w:val="24"/>
        </w:rPr>
        <w:t>项目，根据土壤检测报告，目前厂区内各检测点位的检测值均满足《土壤环境质量标准</w:t>
      </w:r>
      <w:r w:rsidRPr="00A964FF">
        <w:rPr>
          <w:rFonts w:ascii="Calibri" w:hint="eastAsia"/>
          <w:bCs/>
          <w:color w:val="auto"/>
          <w:sz w:val="24"/>
        </w:rPr>
        <w:t xml:space="preserve">  </w:t>
      </w:r>
      <w:r w:rsidRPr="00A964FF">
        <w:rPr>
          <w:rFonts w:ascii="Calibri"/>
          <w:bCs/>
          <w:color w:val="auto"/>
          <w:sz w:val="24"/>
        </w:rPr>
        <w:t>建设用地土壤污染风险管控标准（试行）》（</w:t>
      </w:r>
      <w:r w:rsidRPr="00A964FF">
        <w:rPr>
          <w:rFonts w:ascii="Calibri" w:hAnsi="Calibri"/>
          <w:bCs/>
          <w:color w:val="auto"/>
          <w:sz w:val="24"/>
        </w:rPr>
        <w:t>GB36600-2018</w:t>
      </w:r>
      <w:r w:rsidRPr="00A964FF">
        <w:rPr>
          <w:rFonts w:ascii="Calibri"/>
          <w:bCs/>
          <w:color w:val="auto"/>
          <w:sz w:val="24"/>
        </w:rPr>
        <w:t>）</w:t>
      </w:r>
      <w:r w:rsidRPr="00A964FF">
        <w:rPr>
          <w:rFonts w:ascii="Calibri" w:hint="eastAsia"/>
          <w:bCs/>
          <w:color w:val="auto"/>
          <w:sz w:val="24"/>
        </w:rPr>
        <w:t>中</w:t>
      </w:r>
      <w:r w:rsidRPr="00A964FF">
        <w:rPr>
          <w:rFonts w:ascii="Calibri"/>
          <w:bCs/>
          <w:color w:val="auto"/>
          <w:sz w:val="24"/>
        </w:rPr>
        <w:t>标准限值。</w:t>
      </w:r>
      <w:r w:rsidR="00D5104E" w:rsidRPr="00D5104E">
        <w:rPr>
          <w:rFonts w:ascii="Calibri" w:hint="eastAsia"/>
          <w:bCs/>
          <w:color w:val="auto"/>
          <w:sz w:val="24"/>
        </w:rPr>
        <w:t>本次项目不涉及重金属的排放，对厂区进行分区防渗，对污水站、</w:t>
      </w:r>
      <w:r w:rsidR="00143EB3">
        <w:rPr>
          <w:rFonts w:ascii="Calibri" w:hint="eastAsia"/>
          <w:bCs/>
          <w:color w:val="auto"/>
          <w:sz w:val="24"/>
        </w:rPr>
        <w:t>初期</w:t>
      </w:r>
      <w:r w:rsidR="00143EB3">
        <w:rPr>
          <w:rFonts w:ascii="Calibri"/>
          <w:bCs/>
          <w:color w:val="auto"/>
          <w:sz w:val="24"/>
        </w:rPr>
        <w:t>雨水收集池</w:t>
      </w:r>
      <w:r w:rsidR="00143EB3">
        <w:rPr>
          <w:rFonts w:ascii="Calibri" w:hint="eastAsia"/>
          <w:bCs/>
          <w:color w:val="auto"/>
          <w:sz w:val="24"/>
        </w:rPr>
        <w:t>、</w:t>
      </w:r>
      <w:r w:rsidR="00143EB3">
        <w:rPr>
          <w:rFonts w:ascii="Calibri"/>
          <w:bCs/>
          <w:color w:val="auto"/>
          <w:sz w:val="24"/>
        </w:rPr>
        <w:t>原料仓库</w:t>
      </w:r>
      <w:r w:rsidR="00D5104E" w:rsidRPr="00D5104E">
        <w:rPr>
          <w:rFonts w:ascii="Calibri" w:hint="eastAsia"/>
          <w:bCs/>
          <w:color w:val="auto"/>
          <w:sz w:val="24"/>
        </w:rPr>
        <w:t>等</w:t>
      </w:r>
      <w:r w:rsidR="00143EB3">
        <w:rPr>
          <w:rFonts w:ascii="Calibri" w:hint="eastAsia"/>
          <w:bCs/>
          <w:color w:val="auto"/>
          <w:sz w:val="24"/>
        </w:rPr>
        <w:t>进行</w:t>
      </w:r>
      <w:r w:rsidR="00143EB3">
        <w:rPr>
          <w:rFonts w:ascii="Calibri"/>
          <w:bCs/>
          <w:color w:val="auto"/>
          <w:sz w:val="24"/>
        </w:rPr>
        <w:t>一般防渗处理，</w:t>
      </w:r>
      <w:r w:rsidR="00D5104E">
        <w:rPr>
          <w:rFonts w:ascii="Calibri" w:hint="eastAsia"/>
          <w:bCs/>
          <w:color w:val="auto"/>
          <w:sz w:val="24"/>
        </w:rPr>
        <w:t>对危险废物暂存间进行防腐、防渗处理，从源头防范土壤污染，符合</w:t>
      </w:r>
      <w:r w:rsidRPr="001E7141">
        <w:rPr>
          <w:rFonts w:ascii="Calibri" w:hint="eastAsia"/>
          <w:bCs/>
          <w:color w:val="auto"/>
          <w:sz w:val="24"/>
        </w:rPr>
        <w:t>“</w:t>
      </w:r>
      <w:r w:rsidR="00417800">
        <w:rPr>
          <w:rFonts w:ascii="Calibri" w:hint="eastAsia"/>
          <w:color w:val="auto"/>
          <w:sz w:val="24"/>
        </w:rPr>
        <w:t>平顶山</w:t>
      </w:r>
      <w:r w:rsidR="00417800">
        <w:rPr>
          <w:rFonts w:ascii="Calibri"/>
          <w:color w:val="auto"/>
          <w:sz w:val="24"/>
        </w:rPr>
        <w:t>市</w:t>
      </w:r>
      <w:r>
        <w:rPr>
          <w:rFonts w:ascii="Calibri" w:hint="eastAsia"/>
          <w:bCs/>
          <w:color w:val="auto"/>
          <w:sz w:val="24"/>
        </w:rPr>
        <w:t>2022</w:t>
      </w:r>
      <w:r w:rsidRPr="001E7141">
        <w:rPr>
          <w:rFonts w:ascii="Calibri" w:hint="eastAsia"/>
          <w:bCs/>
          <w:color w:val="auto"/>
          <w:sz w:val="24"/>
        </w:rPr>
        <w:t>年土壤污染防治攻坚战实施方案”中相关要求，做好土壤污染防治工作。</w:t>
      </w:r>
    </w:p>
    <w:p w14:paraId="44FAD3EC" w14:textId="77777777" w:rsidR="00D5104E" w:rsidRPr="00D5104E" w:rsidRDefault="00D5104E" w:rsidP="00232735">
      <w:pPr>
        <w:pStyle w:val="ad"/>
        <w:rPr>
          <w:rFonts w:ascii="Calibri" w:hAnsi="Calibri"/>
          <w:color w:val="auto"/>
        </w:rPr>
      </w:pPr>
      <w:r w:rsidRPr="005C4969">
        <w:rPr>
          <w:rFonts w:ascii="Calibri" w:hAnsi="Calibri" w:hint="eastAsia"/>
          <w:color w:val="auto"/>
        </w:rPr>
        <w:t>1.8</w:t>
      </w:r>
      <w:r w:rsidRPr="005C4969">
        <w:rPr>
          <w:rFonts w:ascii="Calibri" w:hAnsi="Calibri"/>
          <w:color w:val="auto"/>
        </w:rPr>
        <w:t>.</w:t>
      </w:r>
      <w:r>
        <w:rPr>
          <w:rFonts w:ascii="Calibri" w:hAnsi="Calibri"/>
          <w:color w:val="auto"/>
        </w:rPr>
        <w:t>10</w:t>
      </w:r>
      <w:r w:rsidRPr="00D5104E">
        <w:rPr>
          <w:rFonts w:ascii="Calibri" w:hAnsi="Calibri" w:hint="eastAsia"/>
          <w:color w:val="auto"/>
        </w:rPr>
        <w:t>《河南省人民政府关于印发河南省“十四五”生态环境保护和生态经济发展规划的通知》（豫政</w:t>
      </w:r>
      <w:r>
        <w:rPr>
          <w:rFonts w:ascii="Calibri" w:hAnsi="Calibri" w:hint="eastAsia"/>
          <w:color w:val="auto"/>
        </w:rPr>
        <w:t>【</w:t>
      </w:r>
      <w:r>
        <w:rPr>
          <w:rFonts w:ascii="Calibri" w:hAnsi="Calibri" w:hint="eastAsia"/>
          <w:color w:val="auto"/>
        </w:rPr>
        <w:t>2021</w:t>
      </w:r>
      <w:r>
        <w:rPr>
          <w:rFonts w:ascii="Calibri" w:hAnsi="Calibri" w:hint="eastAsia"/>
          <w:color w:val="auto"/>
        </w:rPr>
        <w:t>】</w:t>
      </w:r>
      <w:r w:rsidRPr="00D5104E">
        <w:rPr>
          <w:rFonts w:ascii="Calibri" w:hAnsi="Calibri" w:hint="eastAsia"/>
          <w:color w:val="auto"/>
        </w:rPr>
        <w:t>44</w:t>
      </w:r>
      <w:r w:rsidRPr="00D5104E">
        <w:rPr>
          <w:rFonts w:ascii="Calibri" w:hAnsi="Calibri" w:hint="eastAsia"/>
          <w:color w:val="auto"/>
        </w:rPr>
        <w:t>号）（节选）</w:t>
      </w:r>
    </w:p>
    <w:p w14:paraId="65A0EDDB" w14:textId="77777777" w:rsidR="00D5104E" w:rsidRDefault="00D5104E" w:rsidP="00D5104E">
      <w:pPr>
        <w:spacing w:line="520" w:lineRule="exact"/>
        <w:ind w:firstLineChars="50" w:firstLine="120"/>
        <w:rPr>
          <w:rFonts w:ascii="黑体" w:eastAsia="黑体" w:hAnsi="黑体"/>
          <w:sz w:val="24"/>
        </w:rPr>
      </w:pPr>
      <w:r w:rsidRPr="00E570B5">
        <w:rPr>
          <w:rFonts w:ascii="黑体" w:eastAsia="黑体" w:hAnsi="黑体" w:hint="eastAsia"/>
          <w:sz w:val="24"/>
        </w:rPr>
        <w:t>表</w:t>
      </w:r>
      <w:r w:rsidRPr="00D5104E">
        <w:rPr>
          <w:rFonts w:asciiTheme="minorHAnsi" w:eastAsia="黑体" w:hAnsiTheme="minorHAnsi"/>
          <w:sz w:val="24"/>
        </w:rPr>
        <w:t>1.8-1</w:t>
      </w:r>
      <w:r w:rsidR="0061483B">
        <w:rPr>
          <w:rFonts w:asciiTheme="minorHAnsi" w:eastAsia="黑体" w:hAnsiTheme="minorHAnsi"/>
          <w:sz w:val="24"/>
        </w:rPr>
        <w:t>1</w:t>
      </w:r>
      <w:r>
        <w:rPr>
          <w:rFonts w:ascii="黑体" w:eastAsia="黑体" w:hAnsi="黑体" w:hint="eastAsia"/>
          <w:sz w:val="24"/>
        </w:rPr>
        <w:t xml:space="preserve"> </w:t>
      </w:r>
      <w:r w:rsidRPr="00E570B5">
        <w:rPr>
          <w:rFonts w:ascii="黑体" w:eastAsia="黑体" w:hAnsi="黑体" w:hint="eastAsia"/>
          <w:sz w:val="24"/>
        </w:rPr>
        <w:t>项目建设与</w:t>
      </w:r>
      <w:r>
        <w:rPr>
          <w:rFonts w:ascii="黑体" w:eastAsia="黑体" w:hAnsi="黑体" w:hint="eastAsia"/>
          <w:sz w:val="24"/>
        </w:rPr>
        <w:t>河南省“十四五”生态环境保护和生态经济发展规划</w:t>
      </w:r>
      <w:r w:rsidRPr="00E570B5">
        <w:rPr>
          <w:rFonts w:ascii="黑体" w:eastAsia="黑体" w:hAnsi="黑体" w:hint="eastAsia"/>
          <w:sz w:val="24"/>
        </w:rPr>
        <w:t>相符</w:t>
      </w:r>
      <w:r>
        <w:rPr>
          <w:rFonts w:ascii="黑体" w:eastAsia="黑体" w:hAnsi="黑体" w:hint="eastAsia"/>
          <w:sz w:val="24"/>
        </w:rPr>
        <w:t>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0"/>
        <w:gridCol w:w="762"/>
        <w:gridCol w:w="4606"/>
        <w:gridCol w:w="2234"/>
        <w:gridCol w:w="668"/>
      </w:tblGrid>
      <w:tr w:rsidR="00D5104E" w:rsidRPr="00D5104E" w14:paraId="63254815" w14:textId="77777777" w:rsidTr="006B496C">
        <w:trPr>
          <w:jc w:val="center"/>
        </w:trPr>
        <w:tc>
          <w:tcPr>
            <w:tcW w:w="247" w:type="pct"/>
            <w:shd w:val="clear" w:color="auto" w:fill="auto"/>
            <w:vAlign w:val="center"/>
          </w:tcPr>
          <w:p w14:paraId="69D1E4B1"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序号</w:t>
            </w:r>
          </w:p>
        </w:tc>
        <w:tc>
          <w:tcPr>
            <w:tcW w:w="3084" w:type="pct"/>
            <w:gridSpan w:val="2"/>
            <w:shd w:val="clear" w:color="auto" w:fill="auto"/>
            <w:vAlign w:val="center"/>
          </w:tcPr>
          <w:p w14:paraId="343F36FD" w14:textId="77777777" w:rsidR="00D5104E" w:rsidRPr="00D5104E" w:rsidRDefault="00D5104E" w:rsidP="00D5104E">
            <w:pPr>
              <w:spacing w:line="360" w:lineRule="exact"/>
              <w:jc w:val="center"/>
              <w:rPr>
                <w:rFonts w:asciiTheme="minorHAnsi" w:hAnsiTheme="minorHAnsi"/>
                <w:szCs w:val="21"/>
              </w:rPr>
            </w:pPr>
            <w:r w:rsidRPr="00D5104E">
              <w:rPr>
                <w:rFonts w:asciiTheme="minorHAnsi" w:hAnsiTheme="minorHAnsi"/>
                <w:szCs w:val="21"/>
              </w:rPr>
              <w:t>《关于印发河南省</w:t>
            </w:r>
            <w:r w:rsidRPr="00D5104E">
              <w:rPr>
                <w:rFonts w:asciiTheme="minorHAnsi" w:hAnsiTheme="minorHAnsi"/>
                <w:szCs w:val="21"/>
              </w:rPr>
              <w:t>“</w:t>
            </w:r>
            <w:r w:rsidRPr="00D5104E">
              <w:rPr>
                <w:rFonts w:asciiTheme="minorHAnsi" w:hAnsiTheme="minorHAnsi"/>
                <w:szCs w:val="21"/>
              </w:rPr>
              <w:t>十四五</w:t>
            </w:r>
            <w:r w:rsidRPr="00D5104E">
              <w:rPr>
                <w:rFonts w:asciiTheme="minorHAnsi" w:hAnsiTheme="minorHAnsi"/>
                <w:szCs w:val="21"/>
              </w:rPr>
              <w:t>”</w:t>
            </w:r>
            <w:r w:rsidRPr="00D5104E">
              <w:rPr>
                <w:rFonts w:asciiTheme="minorHAnsi" w:hAnsiTheme="minorHAnsi"/>
                <w:szCs w:val="21"/>
              </w:rPr>
              <w:t>生态环境保护和生态经济发展规划的通知》（豫政【</w:t>
            </w:r>
            <w:r w:rsidRPr="00D5104E">
              <w:rPr>
                <w:rFonts w:asciiTheme="minorHAnsi" w:hAnsiTheme="minorHAnsi"/>
                <w:szCs w:val="21"/>
              </w:rPr>
              <w:t>2021</w:t>
            </w:r>
            <w:r w:rsidRPr="00D5104E">
              <w:rPr>
                <w:rFonts w:asciiTheme="minorHAnsi" w:hAnsiTheme="minorHAnsi"/>
                <w:szCs w:val="21"/>
              </w:rPr>
              <w:t>】</w:t>
            </w:r>
            <w:r w:rsidRPr="00D5104E">
              <w:rPr>
                <w:rFonts w:asciiTheme="minorHAnsi" w:hAnsiTheme="minorHAnsi"/>
                <w:szCs w:val="21"/>
              </w:rPr>
              <w:t>44</w:t>
            </w:r>
            <w:r w:rsidRPr="00D5104E">
              <w:rPr>
                <w:rFonts w:asciiTheme="minorHAnsi" w:hAnsiTheme="minorHAnsi"/>
                <w:szCs w:val="21"/>
              </w:rPr>
              <w:t>号）</w:t>
            </w:r>
          </w:p>
        </w:tc>
        <w:tc>
          <w:tcPr>
            <w:tcW w:w="1284" w:type="pct"/>
            <w:shd w:val="clear" w:color="auto" w:fill="auto"/>
            <w:vAlign w:val="center"/>
          </w:tcPr>
          <w:p w14:paraId="782D55D5"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本次项目</w:t>
            </w:r>
          </w:p>
        </w:tc>
        <w:tc>
          <w:tcPr>
            <w:tcW w:w="384" w:type="pct"/>
            <w:vAlign w:val="center"/>
          </w:tcPr>
          <w:p w14:paraId="7E42C8FB"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相符性</w:t>
            </w:r>
          </w:p>
        </w:tc>
      </w:tr>
      <w:tr w:rsidR="00D5104E" w:rsidRPr="00D5104E" w14:paraId="2A978762" w14:textId="77777777" w:rsidTr="006B496C">
        <w:trPr>
          <w:jc w:val="center"/>
        </w:trPr>
        <w:tc>
          <w:tcPr>
            <w:tcW w:w="247" w:type="pct"/>
            <w:shd w:val="clear" w:color="auto" w:fill="auto"/>
            <w:vAlign w:val="center"/>
          </w:tcPr>
          <w:p w14:paraId="284B340F"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1</w:t>
            </w:r>
          </w:p>
        </w:tc>
        <w:tc>
          <w:tcPr>
            <w:tcW w:w="438" w:type="pct"/>
            <w:shd w:val="clear" w:color="auto" w:fill="auto"/>
            <w:vAlign w:val="center"/>
          </w:tcPr>
          <w:p w14:paraId="6818E289" w14:textId="77777777" w:rsidR="00D5104E" w:rsidRPr="00D5104E" w:rsidRDefault="00646C87" w:rsidP="00646C87">
            <w:pPr>
              <w:spacing w:line="360" w:lineRule="exact"/>
              <w:jc w:val="center"/>
              <w:rPr>
                <w:rFonts w:asciiTheme="minorHAnsi" w:hAnsiTheme="minorHAnsi"/>
                <w:szCs w:val="21"/>
              </w:rPr>
            </w:pPr>
            <w:r>
              <w:rPr>
                <w:rFonts w:asciiTheme="minorHAnsi" w:hAnsiTheme="minorHAnsi"/>
                <w:bCs/>
                <w:spacing w:val="8"/>
                <w:kern w:val="0"/>
                <w:szCs w:val="21"/>
              </w:rPr>
              <w:t>第一节</w:t>
            </w:r>
            <w:r>
              <w:rPr>
                <w:rFonts w:asciiTheme="minorHAnsi" w:hAnsiTheme="minorHAnsi"/>
                <w:bCs/>
                <w:spacing w:val="8"/>
                <w:kern w:val="0"/>
                <w:szCs w:val="21"/>
              </w:rPr>
              <w:t>“</w:t>
            </w:r>
            <w:r w:rsidRPr="00D5104E">
              <w:rPr>
                <w:rFonts w:asciiTheme="minorHAnsi" w:hAnsiTheme="minorHAnsi"/>
                <w:bCs/>
                <w:spacing w:val="8"/>
                <w:kern w:val="0"/>
                <w:szCs w:val="21"/>
              </w:rPr>
              <w:t>双碳</w:t>
            </w:r>
            <w:r>
              <w:rPr>
                <w:rFonts w:asciiTheme="minorHAnsi" w:hAnsiTheme="minorHAnsi"/>
                <w:bCs/>
                <w:spacing w:val="8"/>
                <w:kern w:val="0"/>
                <w:szCs w:val="21"/>
              </w:rPr>
              <w:t>”</w:t>
            </w:r>
            <w:r w:rsidR="00D5104E" w:rsidRPr="00D5104E">
              <w:rPr>
                <w:rFonts w:asciiTheme="minorHAnsi" w:hAnsiTheme="minorHAnsi"/>
                <w:bCs/>
                <w:spacing w:val="8"/>
                <w:kern w:val="0"/>
                <w:szCs w:val="21"/>
              </w:rPr>
              <w:t>引领绿色发展</w:t>
            </w:r>
          </w:p>
        </w:tc>
        <w:tc>
          <w:tcPr>
            <w:tcW w:w="2647" w:type="pct"/>
            <w:shd w:val="clear" w:color="auto" w:fill="auto"/>
            <w:vAlign w:val="center"/>
          </w:tcPr>
          <w:p w14:paraId="1DB79FBA"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积极参与碳市场交易。组织电力企业（含自备电厂）报告温室气体排放情况，做好配额分配、数据报送与核查、线上交易与清缴履约等工作。组织石化、化工、建材、钢铁、有色、造纸、航空等行业重点企业报送温室气体排放报告，开展排放核查，逐步参与碳交易市场。健全企业碳排放信息披露制度，探索甲烷回收、清洁能源、林业碳汇等国家核证自愿减排项目开发。</w:t>
            </w:r>
          </w:p>
        </w:tc>
        <w:tc>
          <w:tcPr>
            <w:tcW w:w="1284" w:type="pct"/>
            <w:shd w:val="clear" w:color="auto" w:fill="auto"/>
            <w:vAlign w:val="center"/>
          </w:tcPr>
          <w:p w14:paraId="28776303"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w:t>
            </w:r>
          </w:p>
        </w:tc>
        <w:tc>
          <w:tcPr>
            <w:tcW w:w="384" w:type="pct"/>
            <w:vAlign w:val="center"/>
          </w:tcPr>
          <w:p w14:paraId="071E25A9" w14:textId="77777777" w:rsidR="00D5104E" w:rsidRPr="00D5104E" w:rsidRDefault="00D5104E" w:rsidP="00F01CEC">
            <w:pPr>
              <w:spacing w:line="360" w:lineRule="exact"/>
              <w:jc w:val="center"/>
              <w:rPr>
                <w:rFonts w:asciiTheme="minorHAnsi" w:hAnsiTheme="minorHAnsi"/>
                <w:color w:val="FF0000"/>
                <w:szCs w:val="21"/>
              </w:rPr>
            </w:pPr>
            <w:r w:rsidRPr="00D5104E">
              <w:rPr>
                <w:rFonts w:asciiTheme="minorHAnsi" w:hAnsiTheme="minorHAnsi"/>
                <w:szCs w:val="21"/>
              </w:rPr>
              <w:t>/</w:t>
            </w:r>
          </w:p>
        </w:tc>
      </w:tr>
      <w:tr w:rsidR="00D5104E" w:rsidRPr="00D5104E" w14:paraId="4B147A90" w14:textId="77777777" w:rsidTr="006B496C">
        <w:trPr>
          <w:jc w:val="center"/>
        </w:trPr>
        <w:tc>
          <w:tcPr>
            <w:tcW w:w="247" w:type="pct"/>
            <w:shd w:val="clear" w:color="auto" w:fill="auto"/>
            <w:vAlign w:val="center"/>
          </w:tcPr>
          <w:p w14:paraId="12317CEB"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2</w:t>
            </w:r>
          </w:p>
        </w:tc>
        <w:tc>
          <w:tcPr>
            <w:tcW w:w="438" w:type="pct"/>
            <w:vMerge w:val="restart"/>
            <w:shd w:val="clear" w:color="auto" w:fill="auto"/>
            <w:vAlign w:val="center"/>
          </w:tcPr>
          <w:p w14:paraId="0F91ED56" w14:textId="77777777" w:rsidR="00646C87" w:rsidRDefault="00646C87" w:rsidP="00F01CEC">
            <w:pPr>
              <w:spacing w:line="360" w:lineRule="exact"/>
              <w:jc w:val="center"/>
              <w:rPr>
                <w:rFonts w:asciiTheme="minorHAnsi" w:hAnsiTheme="minorHAnsi"/>
                <w:bCs/>
                <w:spacing w:val="8"/>
                <w:kern w:val="0"/>
                <w:szCs w:val="21"/>
              </w:rPr>
            </w:pPr>
            <w:r>
              <w:rPr>
                <w:rFonts w:asciiTheme="minorHAnsi" w:hAnsiTheme="minorHAnsi"/>
                <w:bCs/>
                <w:spacing w:val="8"/>
                <w:kern w:val="0"/>
                <w:szCs w:val="21"/>
              </w:rPr>
              <w:t>第二节</w:t>
            </w:r>
          </w:p>
          <w:p w14:paraId="6C4AA4ED" w14:textId="77777777" w:rsidR="00D5104E" w:rsidRPr="00D5104E" w:rsidRDefault="00D5104E" w:rsidP="00F01CEC">
            <w:pPr>
              <w:spacing w:line="360" w:lineRule="exact"/>
              <w:jc w:val="center"/>
              <w:rPr>
                <w:rFonts w:asciiTheme="minorHAnsi" w:hAnsiTheme="minorHAnsi"/>
                <w:bCs/>
                <w:spacing w:val="8"/>
                <w:kern w:val="0"/>
                <w:szCs w:val="21"/>
              </w:rPr>
            </w:pPr>
            <w:r w:rsidRPr="00D5104E">
              <w:rPr>
                <w:rFonts w:asciiTheme="minorHAnsi" w:hAnsiTheme="minorHAnsi"/>
                <w:bCs/>
                <w:spacing w:val="8"/>
                <w:kern w:val="0"/>
                <w:szCs w:val="21"/>
              </w:rPr>
              <w:t>构建区域绿色发展格局</w:t>
            </w:r>
          </w:p>
        </w:tc>
        <w:tc>
          <w:tcPr>
            <w:tcW w:w="2647" w:type="pct"/>
            <w:shd w:val="clear" w:color="auto" w:fill="auto"/>
            <w:vAlign w:val="center"/>
          </w:tcPr>
          <w:p w14:paraId="06A60A24"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实施生态环境分区管控。衔接国土空间规划分区和用途管制要求，将生态保护红线、环境质量底线、资源利用上线的硬约束落实到环境管控单元，建立差别化的生态环境准入清单，加强</w:t>
            </w:r>
            <w:r w:rsidRPr="00D5104E">
              <w:rPr>
                <w:rFonts w:asciiTheme="minorHAnsi" w:hAnsiTheme="minorHAnsi"/>
                <w:spacing w:val="8"/>
                <w:kern w:val="0"/>
                <w:szCs w:val="21"/>
              </w:rPr>
              <w:t>“</w:t>
            </w:r>
            <w:r w:rsidRPr="00D5104E">
              <w:rPr>
                <w:rFonts w:asciiTheme="minorHAnsi" w:hAnsiTheme="minorHAnsi"/>
                <w:spacing w:val="8"/>
                <w:kern w:val="0"/>
                <w:szCs w:val="21"/>
              </w:rPr>
              <w:t>三线一单</w:t>
            </w:r>
            <w:r w:rsidRPr="00D5104E">
              <w:rPr>
                <w:rFonts w:asciiTheme="minorHAnsi" w:hAnsiTheme="minorHAnsi"/>
                <w:spacing w:val="8"/>
                <w:kern w:val="0"/>
                <w:szCs w:val="21"/>
              </w:rPr>
              <w:t>”</w:t>
            </w:r>
            <w:r w:rsidRPr="00D5104E">
              <w:rPr>
                <w:rFonts w:asciiTheme="minorHAnsi" w:hAnsiTheme="minorHAnsi"/>
                <w:spacing w:val="8"/>
                <w:kern w:val="0"/>
                <w:szCs w:val="21"/>
              </w:rPr>
              <w:t>在地方立法、政策制定、环境准入、园区管理、执法监管等方面的应用。健全以环境影响评价制度为主体的生态环境源头预防体系，严格规划环评审查和建设项目环境准入，开展重大经济技术政策的生态环境影响分析和重大生态环境政策的社会经济影响评价。</w:t>
            </w:r>
          </w:p>
        </w:tc>
        <w:tc>
          <w:tcPr>
            <w:tcW w:w="1284" w:type="pct"/>
            <w:shd w:val="clear" w:color="auto" w:fill="auto"/>
            <w:vAlign w:val="center"/>
          </w:tcPr>
          <w:p w14:paraId="2ADFCC3D" w14:textId="77777777" w:rsidR="00D5104E" w:rsidRPr="00D5104E" w:rsidRDefault="00D5104E" w:rsidP="006B496C">
            <w:pPr>
              <w:jc w:val="center"/>
              <w:rPr>
                <w:rFonts w:asciiTheme="minorHAnsi" w:hAnsiTheme="minorHAnsi"/>
                <w:szCs w:val="21"/>
              </w:rPr>
            </w:pPr>
            <w:r w:rsidRPr="00D5104E">
              <w:rPr>
                <w:rFonts w:asciiTheme="minorHAnsi" w:hAnsiTheme="minorHAnsi"/>
                <w:szCs w:val="21"/>
              </w:rPr>
              <w:t>项目建设符合</w:t>
            </w:r>
            <w:r>
              <w:rPr>
                <w:rFonts w:asciiTheme="minorHAnsi" w:hAnsiTheme="minorHAnsi" w:hint="eastAsia"/>
                <w:szCs w:val="21"/>
              </w:rPr>
              <w:t>“三线一单”</w:t>
            </w:r>
            <w:r w:rsidRPr="00D5104E">
              <w:rPr>
                <w:rFonts w:asciiTheme="minorHAnsi" w:hAnsiTheme="minorHAnsi"/>
                <w:spacing w:val="8"/>
                <w:kern w:val="0"/>
                <w:szCs w:val="21"/>
              </w:rPr>
              <w:t>、</w:t>
            </w:r>
            <w:r w:rsidRPr="00D5104E">
              <w:rPr>
                <w:rFonts w:asciiTheme="minorHAnsi" w:hAnsiTheme="minorHAnsi"/>
                <w:spacing w:val="8"/>
                <w:kern w:val="0"/>
                <w:szCs w:val="21"/>
              </w:rPr>
              <w:t xml:space="preserve"> </w:t>
            </w:r>
            <w:r w:rsidRPr="00D5104E">
              <w:rPr>
                <w:rFonts w:asciiTheme="minorHAnsi" w:hAnsiTheme="minorHAnsi"/>
                <w:spacing w:val="8"/>
                <w:kern w:val="0"/>
                <w:szCs w:val="21"/>
              </w:rPr>
              <w:t>政策制定、环境准入、园区管理要求。</w:t>
            </w:r>
          </w:p>
        </w:tc>
        <w:tc>
          <w:tcPr>
            <w:tcW w:w="384" w:type="pct"/>
            <w:vAlign w:val="center"/>
          </w:tcPr>
          <w:p w14:paraId="66AB0CBC"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t>相符</w:t>
            </w:r>
          </w:p>
        </w:tc>
      </w:tr>
      <w:tr w:rsidR="00D5104E" w:rsidRPr="00D5104E" w14:paraId="307ACFF6" w14:textId="77777777" w:rsidTr="006B496C">
        <w:trPr>
          <w:jc w:val="center"/>
        </w:trPr>
        <w:tc>
          <w:tcPr>
            <w:tcW w:w="247" w:type="pct"/>
            <w:shd w:val="clear" w:color="auto" w:fill="auto"/>
            <w:vAlign w:val="center"/>
          </w:tcPr>
          <w:p w14:paraId="6BAEC039"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3</w:t>
            </w:r>
          </w:p>
        </w:tc>
        <w:tc>
          <w:tcPr>
            <w:tcW w:w="438" w:type="pct"/>
            <w:vMerge/>
            <w:shd w:val="clear" w:color="auto" w:fill="auto"/>
            <w:vAlign w:val="center"/>
          </w:tcPr>
          <w:p w14:paraId="2A1149B6" w14:textId="77777777" w:rsidR="00D5104E" w:rsidRPr="00D5104E" w:rsidRDefault="00D5104E" w:rsidP="00F01CEC">
            <w:pPr>
              <w:spacing w:line="360" w:lineRule="exact"/>
              <w:jc w:val="center"/>
              <w:rPr>
                <w:rFonts w:asciiTheme="minorHAnsi" w:hAnsiTheme="minorHAnsi"/>
                <w:bCs/>
                <w:spacing w:val="8"/>
                <w:kern w:val="0"/>
                <w:szCs w:val="21"/>
              </w:rPr>
            </w:pPr>
          </w:p>
        </w:tc>
        <w:tc>
          <w:tcPr>
            <w:tcW w:w="2647" w:type="pct"/>
            <w:shd w:val="clear" w:color="auto" w:fill="auto"/>
            <w:vAlign w:val="center"/>
          </w:tcPr>
          <w:p w14:paraId="7445A075" w14:textId="77777777" w:rsidR="00D5104E" w:rsidRPr="00D5104E" w:rsidRDefault="00D5104E" w:rsidP="006C1395">
            <w:pPr>
              <w:jc w:val="center"/>
              <w:rPr>
                <w:rFonts w:asciiTheme="minorHAnsi" w:hAnsiTheme="minorHAnsi"/>
                <w:spacing w:val="8"/>
                <w:kern w:val="0"/>
                <w:szCs w:val="21"/>
              </w:rPr>
            </w:pPr>
            <w:r w:rsidRPr="00D5104E">
              <w:rPr>
                <w:rFonts w:asciiTheme="minorHAnsi" w:hAnsiTheme="minorHAnsi"/>
                <w:spacing w:val="8"/>
                <w:kern w:val="0"/>
                <w:szCs w:val="21"/>
              </w:rPr>
              <w:t>推动钢铁、建材、有色、石化等原材料产业布局优化和结构调整，持续提高化工、铸造、有色、砖瓦、玻璃、耐火材料、陶瓷、</w:t>
            </w:r>
            <w:r w:rsidRPr="00D5104E">
              <w:rPr>
                <w:rFonts w:asciiTheme="minorHAnsi" w:hAnsiTheme="minorHAnsi"/>
                <w:spacing w:val="8"/>
                <w:kern w:val="0"/>
                <w:szCs w:val="21"/>
              </w:rPr>
              <w:lastRenderedPageBreak/>
              <w:t>农副食品加工、印染、制革等行业园区集聚水平。推进产业园区和产业集群循环化改造，推动公共设施共建共享、能源梯级利用、资源循环利用和污染物集中安全处置等。</w:t>
            </w:r>
          </w:p>
        </w:tc>
        <w:tc>
          <w:tcPr>
            <w:tcW w:w="1284" w:type="pct"/>
            <w:shd w:val="clear" w:color="auto" w:fill="auto"/>
            <w:vAlign w:val="center"/>
          </w:tcPr>
          <w:p w14:paraId="2E29A470" w14:textId="77777777" w:rsidR="00D5104E" w:rsidRPr="00D5104E" w:rsidRDefault="00D5104E" w:rsidP="006C1395">
            <w:pPr>
              <w:jc w:val="center"/>
              <w:rPr>
                <w:rFonts w:asciiTheme="minorHAnsi" w:hAnsiTheme="minorHAnsi"/>
                <w:szCs w:val="21"/>
              </w:rPr>
            </w:pPr>
            <w:r w:rsidRPr="00D5104E">
              <w:rPr>
                <w:rFonts w:asciiTheme="minorHAnsi" w:hAnsiTheme="minorHAnsi"/>
                <w:szCs w:val="21"/>
              </w:rPr>
              <w:lastRenderedPageBreak/>
              <w:t>项目位于平顶山尼龙新材料产业集聚区内，项目建设与集聚</w:t>
            </w:r>
            <w:r w:rsidRPr="00D5104E">
              <w:rPr>
                <w:rFonts w:asciiTheme="minorHAnsi" w:hAnsiTheme="minorHAnsi"/>
                <w:szCs w:val="21"/>
              </w:rPr>
              <w:lastRenderedPageBreak/>
              <w:t>区规划产业及布局相符，符合园区集聚要求。</w:t>
            </w:r>
          </w:p>
        </w:tc>
        <w:tc>
          <w:tcPr>
            <w:tcW w:w="384" w:type="pct"/>
            <w:vAlign w:val="center"/>
          </w:tcPr>
          <w:p w14:paraId="0E9620F3"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lastRenderedPageBreak/>
              <w:t>相符</w:t>
            </w:r>
          </w:p>
        </w:tc>
      </w:tr>
      <w:tr w:rsidR="00D5104E" w:rsidRPr="00D5104E" w14:paraId="3DF1718D" w14:textId="77777777" w:rsidTr="006B496C">
        <w:trPr>
          <w:jc w:val="center"/>
        </w:trPr>
        <w:tc>
          <w:tcPr>
            <w:tcW w:w="247" w:type="pct"/>
            <w:shd w:val="clear" w:color="auto" w:fill="auto"/>
            <w:vAlign w:val="center"/>
          </w:tcPr>
          <w:p w14:paraId="7288E75B"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4</w:t>
            </w:r>
          </w:p>
        </w:tc>
        <w:tc>
          <w:tcPr>
            <w:tcW w:w="438" w:type="pct"/>
            <w:shd w:val="clear" w:color="auto" w:fill="auto"/>
            <w:vAlign w:val="center"/>
          </w:tcPr>
          <w:p w14:paraId="092089D8" w14:textId="77777777" w:rsidR="00646C87" w:rsidRDefault="00D5104E" w:rsidP="00F01CEC">
            <w:pPr>
              <w:spacing w:line="360" w:lineRule="exact"/>
              <w:jc w:val="center"/>
              <w:rPr>
                <w:rFonts w:asciiTheme="minorHAnsi" w:hAnsiTheme="minorHAnsi"/>
                <w:szCs w:val="21"/>
              </w:rPr>
            </w:pPr>
            <w:r w:rsidRPr="00D5104E">
              <w:rPr>
                <w:rFonts w:asciiTheme="minorHAnsi" w:hAnsiTheme="minorHAnsi"/>
                <w:szCs w:val="21"/>
              </w:rPr>
              <w:t>第三节</w:t>
            </w:r>
          </w:p>
          <w:p w14:paraId="4054D9A4"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优化升级绿色发展方式</w:t>
            </w:r>
          </w:p>
        </w:tc>
        <w:tc>
          <w:tcPr>
            <w:tcW w:w="2647" w:type="pct"/>
            <w:shd w:val="clear" w:color="auto" w:fill="auto"/>
            <w:vAlign w:val="center"/>
          </w:tcPr>
          <w:p w14:paraId="122E4EEF"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推进产业体系优化升级。坚决遏制</w:t>
            </w:r>
            <w:r w:rsidRPr="00D5104E">
              <w:rPr>
                <w:rFonts w:asciiTheme="minorHAnsi" w:hAnsiTheme="minorHAnsi"/>
                <w:spacing w:val="8"/>
                <w:kern w:val="0"/>
                <w:szCs w:val="21"/>
              </w:rPr>
              <w:t>“</w:t>
            </w:r>
            <w:r w:rsidRPr="00D5104E">
              <w:rPr>
                <w:rFonts w:asciiTheme="minorHAnsi" w:hAnsiTheme="minorHAnsi"/>
                <w:spacing w:val="8"/>
                <w:kern w:val="0"/>
                <w:szCs w:val="21"/>
              </w:rPr>
              <w:t>两高</w:t>
            </w:r>
            <w:r w:rsidRPr="00D5104E">
              <w:rPr>
                <w:rFonts w:asciiTheme="minorHAnsi" w:hAnsiTheme="minorHAnsi"/>
                <w:spacing w:val="8"/>
                <w:kern w:val="0"/>
                <w:szCs w:val="21"/>
              </w:rPr>
              <w:t>”</w:t>
            </w:r>
            <w:r w:rsidRPr="00D5104E">
              <w:rPr>
                <w:rFonts w:asciiTheme="minorHAnsi" w:hAnsiTheme="minorHAnsi"/>
                <w:spacing w:val="8"/>
                <w:kern w:val="0"/>
                <w:szCs w:val="21"/>
              </w:rPr>
              <w:t>项目盲目发展，严把准入关口，严格分类处置，落实产能置换、煤炭消费减量替代和污染物排放区域削减等要求，对不符合规定的项目坚决停批停建。依法依规淘汰落后产能和化解过剩产能，支持钢铁、水泥、电解铝、玻璃等重点行业进行产能置换、装备大型化改造、重组整合，鼓励高炉</w:t>
            </w:r>
            <w:r w:rsidRPr="00D5104E">
              <w:rPr>
                <w:rFonts w:asciiTheme="minorHAnsi" w:hAnsiTheme="minorHAnsi"/>
                <w:spacing w:val="8"/>
                <w:kern w:val="0"/>
                <w:szCs w:val="21"/>
              </w:rPr>
              <w:t>—</w:t>
            </w:r>
            <w:r w:rsidRPr="00D5104E">
              <w:rPr>
                <w:rFonts w:asciiTheme="minorHAnsi" w:hAnsiTheme="minorHAnsi"/>
                <w:spacing w:val="8"/>
                <w:kern w:val="0"/>
                <w:szCs w:val="21"/>
              </w:rPr>
              <w:t>转炉长流程钢铁企业转型为电炉短流程企业。原则上禁止新增钢铁、电解铝、水泥、平板玻璃、传统煤化工（甲醇、合成氨）、焦化、铝用炭素、砖瓦窑、耐火材料、铅锌冶炼（含再生铅）等行业产能，合理控制煤制油气产能，严控新增炼油产能。以钢铁、焦化、铸造、建材、有色、石化、化工、工业涂装、包装印刷、电镀、制革、石油开采、造纸、纺织印染、农副食品加工等行业为重点，开展全流程清洁化、循环化、低碳化改造。加快推进工业产品生态设计和绿色制造研发应用，在重点行业推广先进、适用的绿色生产技术和装备。</w:t>
            </w:r>
          </w:p>
        </w:tc>
        <w:tc>
          <w:tcPr>
            <w:tcW w:w="1284" w:type="pct"/>
            <w:shd w:val="clear" w:color="auto" w:fill="auto"/>
            <w:vAlign w:val="center"/>
          </w:tcPr>
          <w:p w14:paraId="1596DEF3" w14:textId="77777777" w:rsidR="00D5104E" w:rsidRPr="00D5104E" w:rsidRDefault="00D5104E" w:rsidP="006C1395">
            <w:pPr>
              <w:jc w:val="center"/>
              <w:rPr>
                <w:rFonts w:asciiTheme="minorHAnsi" w:hAnsiTheme="minorHAnsi"/>
                <w:szCs w:val="21"/>
              </w:rPr>
            </w:pPr>
            <w:r w:rsidRPr="00D5104E">
              <w:rPr>
                <w:rFonts w:asciiTheme="minorHAnsi" w:hAnsiTheme="minorHAnsi"/>
                <w:szCs w:val="21"/>
              </w:rPr>
              <w:t>项目不属于</w:t>
            </w:r>
            <w:r w:rsidR="006C1395" w:rsidRPr="006C1395">
              <w:rPr>
                <w:rFonts w:asciiTheme="minorHAnsi" w:hAnsiTheme="minorHAnsi" w:hint="eastAsia"/>
                <w:szCs w:val="21"/>
              </w:rPr>
              <w:t>“两高”</w:t>
            </w:r>
            <w:r w:rsidRPr="00D5104E">
              <w:rPr>
                <w:rFonts w:asciiTheme="minorHAnsi" w:hAnsiTheme="minorHAnsi"/>
                <w:szCs w:val="21"/>
              </w:rPr>
              <w:t>项目，项目清洁生产水平达到国内先进水平。在建设过程中应遵循全流程清洁化、循环化、低碳化要求。</w:t>
            </w:r>
          </w:p>
        </w:tc>
        <w:tc>
          <w:tcPr>
            <w:tcW w:w="384" w:type="pct"/>
            <w:vAlign w:val="center"/>
          </w:tcPr>
          <w:p w14:paraId="57F3C5A0"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t>相符</w:t>
            </w:r>
          </w:p>
        </w:tc>
      </w:tr>
      <w:tr w:rsidR="00D5104E" w:rsidRPr="00D5104E" w14:paraId="4052E0FD" w14:textId="77777777" w:rsidTr="006B496C">
        <w:trPr>
          <w:jc w:val="center"/>
        </w:trPr>
        <w:tc>
          <w:tcPr>
            <w:tcW w:w="247" w:type="pct"/>
            <w:shd w:val="clear" w:color="auto" w:fill="auto"/>
            <w:vAlign w:val="center"/>
          </w:tcPr>
          <w:p w14:paraId="729E13AC"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5</w:t>
            </w:r>
          </w:p>
        </w:tc>
        <w:tc>
          <w:tcPr>
            <w:tcW w:w="438" w:type="pct"/>
            <w:vMerge w:val="restart"/>
            <w:shd w:val="clear" w:color="auto" w:fill="auto"/>
            <w:vAlign w:val="center"/>
          </w:tcPr>
          <w:p w14:paraId="3565AB71" w14:textId="77777777" w:rsidR="00D5104E" w:rsidRPr="00D5104E" w:rsidRDefault="00646C87" w:rsidP="00F01CEC">
            <w:pPr>
              <w:widowControl/>
              <w:shd w:val="clear" w:color="auto" w:fill="FFFFFF"/>
              <w:jc w:val="center"/>
              <w:rPr>
                <w:rFonts w:asciiTheme="minorHAnsi" w:hAnsiTheme="minorHAnsi"/>
                <w:spacing w:val="8"/>
                <w:kern w:val="0"/>
                <w:szCs w:val="21"/>
              </w:rPr>
            </w:pPr>
            <w:r>
              <w:rPr>
                <w:rFonts w:asciiTheme="minorHAnsi" w:hAnsiTheme="minorHAnsi"/>
                <w:bCs/>
                <w:spacing w:val="8"/>
                <w:kern w:val="0"/>
                <w:szCs w:val="21"/>
              </w:rPr>
              <w:t>第四章</w:t>
            </w:r>
            <w:r w:rsidR="00D5104E" w:rsidRPr="00D5104E">
              <w:rPr>
                <w:rFonts w:asciiTheme="minorHAnsi" w:hAnsiTheme="minorHAnsi"/>
                <w:bCs/>
                <w:spacing w:val="8"/>
                <w:kern w:val="0"/>
                <w:szCs w:val="21"/>
              </w:rPr>
              <w:t>深入打好污染防治攻坚战，</w:t>
            </w:r>
          </w:p>
          <w:p w14:paraId="186ECE91"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pacing w:val="8"/>
                <w:kern w:val="0"/>
                <w:szCs w:val="21"/>
              </w:rPr>
              <w:t>持续改善环境质量</w:t>
            </w:r>
          </w:p>
        </w:tc>
        <w:tc>
          <w:tcPr>
            <w:tcW w:w="2647" w:type="pct"/>
            <w:shd w:val="clear" w:color="auto" w:fill="auto"/>
            <w:vAlign w:val="center"/>
          </w:tcPr>
          <w:p w14:paraId="6DF75336"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加强</w:t>
            </w:r>
            <w:r w:rsidRPr="00D5104E">
              <w:rPr>
                <w:rFonts w:asciiTheme="minorHAnsi" w:hAnsiTheme="minorHAnsi"/>
                <w:spacing w:val="8"/>
                <w:kern w:val="0"/>
                <w:szCs w:val="21"/>
              </w:rPr>
              <w:t>VOCs</w:t>
            </w:r>
            <w:r w:rsidRPr="00D5104E">
              <w:rPr>
                <w:rFonts w:asciiTheme="minorHAnsi" w:hAnsiTheme="minorHAnsi"/>
                <w:spacing w:val="8"/>
                <w:kern w:val="0"/>
                <w:szCs w:val="21"/>
              </w:rPr>
              <w:t>全过程综合管控。建立完善石化、化工、包装印刷、工业涂装、家具制造等重点行业源头、过程和末端全过程综合控制体系，实施</w:t>
            </w:r>
            <w:r w:rsidRPr="00D5104E">
              <w:rPr>
                <w:rFonts w:asciiTheme="minorHAnsi" w:hAnsiTheme="minorHAnsi"/>
                <w:spacing w:val="8"/>
                <w:kern w:val="0"/>
                <w:szCs w:val="21"/>
              </w:rPr>
              <w:t>VOCs</w:t>
            </w:r>
            <w:r w:rsidRPr="00D5104E">
              <w:rPr>
                <w:rFonts w:asciiTheme="minorHAnsi" w:hAnsiTheme="minorHAnsi"/>
                <w:spacing w:val="8"/>
                <w:kern w:val="0"/>
                <w:szCs w:val="21"/>
              </w:rPr>
              <w:t>排放总量控制。开展涉</w:t>
            </w:r>
            <w:r w:rsidRPr="00D5104E">
              <w:rPr>
                <w:rFonts w:asciiTheme="minorHAnsi" w:hAnsiTheme="minorHAnsi"/>
                <w:spacing w:val="8"/>
                <w:kern w:val="0"/>
                <w:szCs w:val="21"/>
              </w:rPr>
              <w:t>VOCs</w:t>
            </w:r>
            <w:r w:rsidRPr="00D5104E">
              <w:rPr>
                <w:rFonts w:asciiTheme="minorHAnsi" w:hAnsiTheme="minorHAnsi"/>
                <w:spacing w:val="8"/>
                <w:kern w:val="0"/>
                <w:szCs w:val="21"/>
              </w:rPr>
              <w:t>产业集群排查及分类治理，推进省级开发区、企业集群因地制宜推广建设涉</w:t>
            </w:r>
            <w:r w:rsidRPr="00D5104E">
              <w:rPr>
                <w:rFonts w:asciiTheme="minorHAnsi" w:hAnsiTheme="minorHAnsi"/>
                <w:spacing w:val="8"/>
                <w:kern w:val="0"/>
                <w:szCs w:val="21"/>
              </w:rPr>
              <w:t>VOCs“</w:t>
            </w:r>
            <w:r w:rsidRPr="00D5104E">
              <w:rPr>
                <w:rFonts w:asciiTheme="minorHAnsi" w:hAnsiTheme="minorHAnsi"/>
                <w:spacing w:val="8"/>
                <w:kern w:val="0"/>
                <w:szCs w:val="21"/>
              </w:rPr>
              <w:t>绿岛</w:t>
            </w:r>
            <w:r w:rsidRPr="00D5104E">
              <w:rPr>
                <w:rFonts w:asciiTheme="minorHAnsi" w:hAnsiTheme="minorHAnsi"/>
                <w:spacing w:val="8"/>
                <w:kern w:val="0"/>
                <w:szCs w:val="21"/>
              </w:rPr>
              <w:t>”</w:t>
            </w:r>
            <w:r w:rsidRPr="00D5104E">
              <w:rPr>
                <w:rFonts w:asciiTheme="minorHAnsi" w:hAnsiTheme="minorHAnsi"/>
                <w:spacing w:val="8"/>
                <w:kern w:val="0"/>
                <w:szCs w:val="21"/>
              </w:rPr>
              <w:t>项目，统筹规划建设一批集中涂装中心、活性炭集中处理中心、有机溶剂回收中心。开展原油、成品油、有机化学品等储罐排查，逐步取消炼油、石化、煤化工、制药、农药、化工、工业涂装、包装印刷等企业非必要的</w:t>
            </w:r>
            <w:r w:rsidRPr="00D5104E">
              <w:rPr>
                <w:rFonts w:asciiTheme="minorHAnsi" w:hAnsiTheme="minorHAnsi"/>
                <w:spacing w:val="8"/>
                <w:kern w:val="0"/>
                <w:szCs w:val="21"/>
              </w:rPr>
              <w:t>VOCs</w:t>
            </w:r>
            <w:r w:rsidRPr="00D5104E">
              <w:rPr>
                <w:rFonts w:asciiTheme="minorHAnsi" w:hAnsiTheme="minorHAnsi"/>
                <w:spacing w:val="8"/>
                <w:kern w:val="0"/>
                <w:szCs w:val="21"/>
              </w:rPr>
              <w:t>废气排放系统旁路。完善行业和产品标准体系，扩大低（无）</w:t>
            </w:r>
            <w:r w:rsidRPr="00D5104E">
              <w:rPr>
                <w:rFonts w:asciiTheme="minorHAnsi" w:hAnsiTheme="minorHAnsi"/>
                <w:spacing w:val="8"/>
                <w:kern w:val="0"/>
                <w:szCs w:val="21"/>
              </w:rPr>
              <w:t>VOCs</w:t>
            </w:r>
            <w:r w:rsidRPr="00D5104E">
              <w:rPr>
                <w:rFonts w:asciiTheme="minorHAnsi" w:hAnsiTheme="minorHAnsi"/>
                <w:spacing w:val="8"/>
                <w:kern w:val="0"/>
                <w:szCs w:val="21"/>
              </w:rPr>
              <w:t>产品标准的覆盖范围。全面推进使用低</w:t>
            </w:r>
            <w:r w:rsidRPr="00D5104E">
              <w:rPr>
                <w:rFonts w:asciiTheme="minorHAnsi" w:hAnsiTheme="minorHAnsi"/>
                <w:spacing w:val="8"/>
                <w:kern w:val="0"/>
                <w:szCs w:val="21"/>
              </w:rPr>
              <w:t>VOCs</w:t>
            </w:r>
            <w:r w:rsidRPr="00D5104E">
              <w:rPr>
                <w:rFonts w:asciiTheme="minorHAnsi" w:hAnsiTheme="minorHAnsi"/>
                <w:spacing w:val="8"/>
                <w:kern w:val="0"/>
                <w:szCs w:val="21"/>
              </w:rPr>
              <w:t>含量涂料、油墨、胶粘剂、清洗剂等，建立低</w:t>
            </w:r>
            <w:r w:rsidRPr="00D5104E">
              <w:rPr>
                <w:rFonts w:asciiTheme="minorHAnsi" w:hAnsiTheme="minorHAnsi"/>
                <w:spacing w:val="8"/>
                <w:kern w:val="0"/>
                <w:szCs w:val="21"/>
              </w:rPr>
              <w:t>VOCs</w:t>
            </w:r>
            <w:r w:rsidRPr="00D5104E">
              <w:rPr>
                <w:rFonts w:asciiTheme="minorHAnsi" w:hAnsiTheme="minorHAnsi"/>
                <w:spacing w:val="8"/>
                <w:kern w:val="0"/>
                <w:szCs w:val="21"/>
              </w:rPr>
              <w:t>含量产品标志制度。加强汽修行业综合治理，加大餐饮油烟污染治理力度。</w:t>
            </w:r>
          </w:p>
        </w:tc>
        <w:tc>
          <w:tcPr>
            <w:tcW w:w="1284" w:type="pct"/>
            <w:shd w:val="clear" w:color="auto" w:fill="auto"/>
            <w:vAlign w:val="center"/>
          </w:tcPr>
          <w:p w14:paraId="444023D8" w14:textId="77777777" w:rsidR="00D5104E" w:rsidRPr="00D5104E" w:rsidRDefault="00D5104E" w:rsidP="006C1395">
            <w:pPr>
              <w:jc w:val="center"/>
              <w:rPr>
                <w:rFonts w:asciiTheme="minorHAnsi" w:hAnsiTheme="minorHAnsi"/>
                <w:bCs/>
                <w:szCs w:val="21"/>
              </w:rPr>
            </w:pPr>
            <w:r w:rsidRPr="00D5104E">
              <w:rPr>
                <w:rFonts w:asciiTheme="minorHAnsi" w:hAnsiTheme="minorHAnsi"/>
                <w:bCs/>
                <w:szCs w:val="21"/>
              </w:rPr>
              <w:t>本次项目</w:t>
            </w:r>
            <w:r w:rsidR="006C1395">
              <w:rPr>
                <w:rFonts w:asciiTheme="minorHAnsi" w:hAnsiTheme="minorHAnsi" w:hint="eastAsia"/>
                <w:bCs/>
                <w:szCs w:val="21"/>
              </w:rPr>
              <w:t>物料</w:t>
            </w:r>
            <w:r w:rsidRPr="00D5104E">
              <w:rPr>
                <w:rFonts w:asciiTheme="minorHAnsi" w:hAnsiTheme="minorHAnsi"/>
                <w:szCs w:val="21"/>
              </w:rPr>
              <w:t>在</w:t>
            </w:r>
            <w:r w:rsidRPr="00D5104E">
              <w:rPr>
                <w:rFonts w:asciiTheme="minorHAnsi" w:hAnsiTheme="minorHAnsi"/>
                <w:bCs/>
                <w:szCs w:val="21"/>
              </w:rPr>
              <w:t>转移和输送做好连接，设备与管线组件定期进行检查，进一步减少</w:t>
            </w:r>
            <w:r w:rsidRPr="00D5104E">
              <w:rPr>
                <w:rFonts w:asciiTheme="minorHAnsi" w:hAnsiTheme="minorHAnsi"/>
                <w:szCs w:val="21"/>
              </w:rPr>
              <w:t>无组织</w:t>
            </w:r>
            <w:r w:rsidRPr="00D5104E">
              <w:rPr>
                <w:rFonts w:asciiTheme="minorHAnsi" w:hAnsiTheme="minorHAnsi"/>
                <w:szCs w:val="21"/>
              </w:rPr>
              <w:t>VOCs</w:t>
            </w:r>
            <w:r w:rsidRPr="00D5104E">
              <w:rPr>
                <w:rFonts w:asciiTheme="minorHAnsi" w:hAnsiTheme="minorHAnsi"/>
                <w:szCs w:val="21"/>
              </w:rPr>
              <w:t>的气体排放。</w:t>
            </w:r>
            <w:r w:rsidRPr="00D5104E">
              <w:rPr>
                <w:rFonts w:asciiTheme="minorHAnsi" w:hAnsiTheme="minorHAnsi"/>
                <w:bCs/>
                <w:szCs w:val="21"/>
              </w:rPr>
              <w:t>生产工艺有机废气均采用</w:t>
            </w:r>
            <w:r w:rsidR="006C1395">
              <w:rPr>
                <w:rFonts w:asciiTheme="minorHAnsi" w:hAnsiTheme="minorHAnsi" w:hint="eastAsia"/>
                <w:bCs/>
                <w:szCs w:val="21"/>
              </w:rPr>
              <w:t>水喷淋</w:t>
            </w:r>
            <w:r w:rsidR="006C1395">
              <w:rPr>
                <w:rFonts w:asciiTheme="minorHAnsi" w:hAnsiTheme="minorHAnsi" w:hint="eastAsia"/>
                <w:bCs/>
                <w:szCs w:val="21"/>
              </w:rPr>
              <w:t>+</w:t>
            </w:r>
            <w:r w:rsidR="006C1395">
              <w:rPr>
                <w:rFonts w:asciiTheme="minorHAnsi" w:hAnsiTheme="minorHAnsi" w:hint="eastAsia"/>
                <w:bCs/>
                <w:szCs w:val="21"/>
              </w:rPr>
              <w:t>活性炭</w:t>
            </w:r>
            <w:r w:rsidR="006C1395">
              <w:rPr>
                <w:rFonts w:asciiTheme="minorHAnsi" w:hAnsiTheme="minorHAnsi"/>
                <w:bCs/>
                <w:szCs w:val="21"/>
              </w:rPr>
              <w:t>吸附</w:t>
            </w:r>
            <w:r w:rsidRPr="00D5104E">
              <w:rPr>
                <w:rFonts w:asciiTheme="minorHAnsi" w:hAnsiTheme="minorHAnsi"/>
                <w:bCs/>
                <w:szCs w:val="21"/>
              </w:rPr>
              <w:t>二级处理装置，处理后有机废气能够达标稳定排放，去除效率可达</w:t>
            </w:r>
            <w:r w:rsidRPr="00D5104E">
              <w:rPr>
                <w:rFonts w:asciiTheme="minorHAnsi" w:hAnsiTheme="minorHAnsi"/>
                <w:bCs/>
                <w:szCs w:val="21"/>
              </w:rPr>
              <w:t>9</w:t>
            </w:r>
            <w:r w:rsidR="006C1395">
              <w:rPr>
                <w:rFonts w:asciiTheme="minorHAnsi" w:hAnsiTheme="minorHAnsi"/>
                <w:bCs/>
                <w:szCs w:val="21"/>
              </w:rPr>
              <w:t>0</w:t>
            </w:r>
            <w:r w:rsidRPr="00D5104E">
              <w:rPr>
                <w:rFonts w:asciiTheme="minorHAnsi" w:hAnsiTheme="minorHAnsi"/>
                <w:bCs/>
                <w:szCs w:val="21"/>
              </w:rPr>
              <w:t>%</w:t>
            </w:r>
            <w:r w:rsidRPr="00D5104E">
              <w:rPr>
                <w:rFonts w:asciiTheme="minorHAnsi" w:hAnsiTheme="minorHAnsi"/>
                <w:bCs/>
                <w:szCs w:val="21"/>
              </w:rPr>
              <w:t>以上。</w:t>
            </w:r>
          </w:p>
        </w:tc>
        <w:tc>
          <w:tcPr>
            <w:tcW w:w="384" w:type="pct"/>
            <w:vAlign w:val="center"/>
          </w:tcPr>
          <w:p w14:paraId="6BABFE97" w14:textId="77777777" w:rsidR="00D5104E" w:rsidRPr="00D5104E" w:rsidRDefault="00D5104E" w:rsidP="00F01CEC">
            <w:pPr>
              <w:spacing w:line="360" w:lineRule="exact"/>
              <w:jc w:val="center"/>
              <w:rPr>
                <w:rFonts w:asciiTheme="minorHAnsi" w:hAnsiTheme="minorHAnsi"/>
                <w:bCs/>
                <w:szCs w:val="21"/>
              </w:rPr>
            </w:pPr>
            <w:r w:rsidRPr="00D5104E">
              <w:rPr>
                <w:rFonts w:asciiTheme="minorHAnsi" w:hAnsiTheme="minorHAnsi"/>
                <w:bCs/>
                <w:szCs w:val="21"/>
              </w:rPr>
              <w:t>相符</w:t>
            </w:r>
          </w:p>
        </w:tc>
      </w:tr>
      <w:tr w:rsidR="00D5104E" w:rsidRPr="00D5104E" w14:paraId="6DAE8203" w14:textId="77777777" w:rsidTr="006B496C">
        <w:trPr>
          <w:jc w:val="center"/>
        </w:trPr>
        <w:tc>
          <w:tcPr>
            <w:tcW w:w="247" w:type="pct"/>
            <w:shd w:val="clear" w:color="auto" w:fill="auto"/>
            <w:vAlign w:val="center"/>
          </w:tcPr>
          <w:p w14:paraId="468E26BF"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6</w:t>
            </w:r>
          </w:p>
        </w:tc>
        <w:tc>
          <w:tcPr>
            <w:tcW w:w="438" w:type="pct"/>
            <w:vMerge/>
            <w:shd w:val="clear" w:color="auto" w:fill="auto"/>
            <w:vAlign w:val="center"/>
          </w:tcPr>
          <w:p w14:paraId="5671493F" w14:textId="77777777" w:rsidR="00D5104E" w:rsidRPr="00D5104E" w:rsidRDefault="00D5104E" w:rsidP="00F01CEC">
            <w:pPr>
              <w:spacing w:line="360" w:lineRule="exact"/>
              <w:jc w:val="center"/>
              <w:rPr>
                <w:rFonts w:asciiTheme="minorHAnsi" w:hAnsiTheme="minorHAnsi"/>
                <w:szCs w:val="21"/>
              </w:rPr>
            </w:pPr>
          </w:p>
        </w:tc>
        <w:tc>
          <w:tcPr>
            <w:tcW w:w="2647" w:type="pct"/>
            <w:shd w:val="clear" w:color="auto" w:fill="auto"/>
            <w:vAlign w:val="center"/>
          </w:tcPr>
          <w:p w14:paraId="5313EA40"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强化扬尘、恶臭等污染防治。加强施工扬尘管控，继续做好道路、水利等线性工程</w:t>
            </w:r>
            <w:r w:rsidRPr="00D5104E">
              <w:rPr>
                <w:rFonts w:asciiTheme="minorHAnsi" w:hAnsiTheme="minorHAnsi"/>
                <w:spacing w:val="8"/>
                <w:kern w:val="0"/>
                <w:szCs w:val="21"/>
              </w:rPr>
              <w:t>“</w:t>
            </w:r>
            <w:r w:rsidRPr="00D5104E">
              <w:rPr>
                <w:rFonts w:asciiTheme="minorHAnsi" w:hAnsiTheme="minorHAnsi"/>
                <w:spacing w:val="8"/>
                <w:kern w:val="0"/>
                <w:szCs w:val="21"/>
              </w:rPr>
              <w:t>散尘</w:t>
            </w:r>
            <w:r w:rsidRPr="00D5104E">
              <w:rPr>
                <w:rFonts w:asciiTheme="minorHAnsi" w:hAnsiTheme="minorHAnsi"/>
                <w:spacing w:val="8"/>
                <w:kern w:val="0"/>
                <w:szCs w:val="21"/>
              </w:rPr>
              <w:t>”</w:t>
            </w:r>
            <w:r w:rsidRPr="00D5104E">
              <w:rPr>
                <w:rFonts w:asciiTheme="minorHAnsi" w:hAnsiTheme="minorHAnsi"/>
                <w:spacing w:val="8"/>
                <w:kern w:val="0"/>
                <w:szCs w:val="21"/>
              </w:rPr>
              <w:t>治理，强化监督监管。推进低尘机械化湿式清扫作业，加大扬尘集聚路段冲洗保洁力度，渣土车实施硬覆盖与全封闭运输。强化裸露地面、物料堆场、露天矿山等综合整治。</w:t>
            </w:r>
            <w:r w:rsidRPr="00D5104E">
              <w:rPr>
                <w:rFonts w:asciiTheme="minorHAnsi" w:hAnsiTheme="minorHAnsi"/>
                <w:spacing w:val="8"/>
                <w:kern w:val="0"/>
                <w:szCs w:val="21"/>
              </w:rPr>
              <w:t>……</w:t>
            </w:r>
            <w:r w:rsidRPr="00D5104E">
              <w:rPr>
                <w:rFonts w:asciiTheme="minorHAnsi" w:hAnsiTheme="minorHAnsi"/>
                <w:spacing w:val="8"/>
                <w:kern w:val="0"/>
                <w:szCs w:val="21"/>
              </w:rPr>
              <w:t>积极开展重点企业和园区恶臭气体监</w:t>
            </w:r>
            <w:r w:rsidRPr="00D5104E">
              <w:rPr>
                <w:rFonts w:asciiTheme="minorHAnsi" w:hAnsiTheme="minorHAnsi"/>
                <w:spacing w:val="8"/>
                <w:kern w:val="0"/>
                <w:szCs w:val="21"/>
              </w:rPr>
              <w:lastRenderedPageBreak/>
              <w:t>测，探索建立大气氨规范化排放清单，摸清重点排放源。加强污水处理、垃圾处理、畜禽养殖、橡胶塑料制品等行业恶臭污染防治。</w:t>
            </w:r>
          </w:p>
        </w:tc>
        <w:tc>
          <w:tcPr>
            <w:tcW w:w="1284" w:type="pct"/>
            <w:shd w:val="clear" w:color="auto" w:fill="auto"/>
            <w:vAlign w:val="center"/>
          </w:tcPr>
          <w:p w14:paraId="3E0E7676" w14:textId="77777777" w:rsidR="00D5104E" w:rsidRPr="00D5104E" w:rsidRDefault="00D5104E" w:rsidP="006C1395">
            <w:pPr>
              <w:jc w:val="left"/>
              <w:rPr>
                <w:rFonts w:asciiTheme="minorHAnsi" w:hAnsiTheme="minorHAnsi"/>
                <w:bCs/>
                <w:szCs w:val="21"/>
              </w:rPr>
            </w:pPr>
            <w:r w:rsidRPr="00D5104E">
              <w:rPr>
                <w:rFonts w:asciiTheme="minorHAnsi" w:hAnsiTheme="minorHAnsi"/>
                <w:bCs/>
                <w:szCs w:val="21"/>
              </w:rPr>
              <w:lastRenderedPageBreak/>
              <w:t>项目施工期严格落实施工工地</w:t>
            </w:r>
            <w:r w:rsidR="006C1395">
              <w:rPr>
                <w:rFonts w:asciiTheme="minorHAnsi" w:hAnsiTheme="minorHAnsi" w:hint="eastAsia"/>
                <w:bCs/>
                <w:szCs w:val="21"/>
              </w:rPr>
              <w:t>“</w:t>
            </w:r>
            <w:r w:rsidR="006C1395" w:rsidRPr="00D5104E">
              <w:rPr>
                <w:rFonts w:asciiTheme="minorHAnsi" w:hAnsiTheme="minorHAnsi"/>
                <w:bCs/>
                <w:szCs w:val="21"/>
              </w:rPr>
              <w:t>六个百分百</w:t>
            </w:r>
            <w:r w:rsidR="006C1395">
              <w:rPr>
                <w:rFonts w:asciiTheme="minorHAnsi" w:hAnsiTheme="minorHAnsi" w:hint="eastAsia"/>
                <w:bCs/>
                <w:szCs w:val="21"/>
              </w:rPr>
              <w:t>”</w:t>
            </w:r>
            <w:r w:rsidRPr="00D5104E">
              <w:rPr>
                <w:rFonts w:asciiTheme="minorHAnsi" w:hAnsiTheme="minorHAnsi"/>
                <w:bCs/>
                <w:szCs w:val="21"/>
              </w:rPr>
              <w:t>和两个</w:t>
            </w:r>
            <w:r w:rsidR="006C1395">
              <w:rPr>
                <w:rFonts w:asciiTheme="minorHAnsi" w:hAnsiTheme="minorHAnsi" w:hint="eastAsia"/>
                <w:bCs/>
                <w:szCs w:val="21"/>
              </w:rPr>
              <w:t>“</w:t>
            </w:r>
            <w:r w:rsidR="006C1395" w:rsidRPr="00D5104E">
              <w:rPr>
                <w:rFonts w:asciiTheme="minorHAnsi" w:hAnsiTheme="minorHAnsi"/>
                <w:bCs/>
                <w:szCs w:val="21"/>
              </w:rPr>
              <w:t>禁止</w:t>
            </w:r>
            <w:r w:rsidR="006C1395">
              <w:rPr>
                <w:rFonts w:asciiTheme="minorHAnsi" w:hAnsiTheme="minorHAnsi" w:hint="eastAsia"/>
                <w:bCs/>
                <w:szCs w:val="21"/>
              </w:rPr>
              <w:t>”</w:t>
            </w:r>
            <w:r w:rsidRPr="00D5104E">
              <w:rPr>
                <w:rFonts w:asciiTheme="minorHAnsi" w:hAnsiTheme="minorHAnsi"/>
                <w:bCs/>
                <w:szCs w:val="21"/>
              </w:rPr>
              <w:t>的要求，施工场地渣土车做好密闭运输，清洁运输，对于施工场地内裸露物料堆存</w:t>
            </w:r>
            <w:r w:rsidRPr="00D5104E">
              <w:rPr>
                <w:rFonts w:asciiTheme="minorHAnsi" w:hAnsiTheme="minorHAnsi"/>
                <w:bCs/>
                <w:szCs w:val="21"/>
              </w:rPr>
              <w:lastRenderedPageBreak/>
              <w:t>场地，及时做好覆盖。</w:t>
            </w:r>
          </w:p>
        </w:tc>
        <w:tc>
          <w:tcPr>
            <w:tcW w:w="384" w:type="pct"/>
            <w:vAlign w:val="center"/>
          </w:tcPr>
          <w:p w14:paraId="4BE36535" w14:textId="77777777" w:rsidR="00D5104E" w:rsidRPr="00D5104E" w:rsidRDefault="00D5104E" w:rsidP="00F01CEC">
            <w:pPr>
              <w:spacing w:line="360" w:lineRule="exact"/>
              <w:jc w:val="center"/>
              <w:rPr>
                <w:rFonts w:asciiTheme="minorHAnsi" w:hAnsiTheme="minorHAnsi"/>
                <w:bCs/>
                <w:szCs w:val="21"/>
              </w:rPr>
            </w:pPr>
            <w:r w:rsidRPr="00D5104E">
              <w:rPr>
                <w:rFonts w:asciiTheme="minorHAnsi" w:hAnsiTheme="minorHAnsi"/>
                <w:bCs/>
                <w:szCs w:val="21"/>
              </w:rPr>
              <w:lastRenderedPageBreak/>
              <w:t>相符</w:t>
            </w:r>
          </w:p>
        </w:tc>
      </w:tr>
      <w:tr w:rsidR="00D5104E" w:rsidRPr="00D5104E" w14:paraId="4130CA29" w14:textId="77777777" w:rsidTr="006B496C">
        <w:trPr>
          <w:jc w:val="center"/>
        </w:trPr>
        <w:tc>
          <w:tcPr>
            <w:tcW w:w="247" w:type="pct"/>
            <w:shd w:val="clear" w:color="auto" w:fill="auto"/>
            <w:vAlign w:val="center"/>
          </w:tcPr>
          <w:p w14:paraId="5ABE8C2C"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7</w:t>
            </w:r>
          </w:p>
        </w:tc>
        <w:tc>
          <w:tcPr>
            <w:tcW w:w="438" w:type="pct"/>
            <w:vMerge/>
            <w:shd w:val="clear" w:color="auto" w:fill="auto"/>
            <w:vAlign w:val="center"/>
          </w:tcPr>
          <w:p w14:paraId="5B146127" w14:textId="77777777" w:rsidR="00D5104E" w:rsidRPr="00D5104E" w:rsidRDefault="00D5104E" w:rsidP="00F01CEC">
            <w:pPr>
              <w:spacing w:line="360" w:lineRule="exact"/>
              <w:jc w:val="center"/>
              <w:rPr>
                <w:rFonts w:asciiTheme="minorHAnsi" w:hAnsiTheme="minorHAnsi"/>
                <w:szCs w:val="21"/>
              </w:rPr>
            </w:pPr>
          </w:p>
        </w:tc>
        <w:tc>
          <w:tcPr>
            <w:tcW w:w="2647" w:type="pct"/>
            <w:shd w:val="clear" w:color="auto" w:fill="auto"/>
            <w:vAlign w:val="center"/>
          </w:tcPr>
          <w:p w14:paraId="37E007F5"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w:t>
            </w:r>
            <w:r w:rsidRPr="00D5104E">
              <w:rPr>
                <w:rFonts w:asciiTheme="minorHAnsi" w:hAnsiTheme="minorHAnsi"/>
                <w:spacing w:val="8"/>
                <w:kern w:val="0"/>
                <w:szCs w:val="21"/>
              </w:rPr>
              <w:t>严格夜间施工审批并向社会公开，强化夜间施工管理。推进工业企业噪声纳入排污许可管理，严厉查处工业企业噪声排放超标扰民行为。</w:t>
            </w:r>
            <w:r w:rsidRPr="00D5104E">
              <w:rPr>
                <w:rFonts w:asciiTheme="minorHAnsi" w:hAnsiTheme="minorHAnsi"/>
                <w:spacing w:val="8"/>
                <w:kern w:val="0"/>
                <w:szCs w:val="21"/>
              </w:rPr>
              <w:t>……</w:t>
            </w:r>
          </w:p>
        </w:tc>
        <w:tc>
          <w:tcPr>
            <w:tcW w:w="1284" w:type="pct"/>
            <w:shd w:val="clear" w:color="auto" w:fill="auto"/>
            <w:vAlign w:val="center"/>
          </w:tcPr>
          <w:p w14:paraId="289E2656" w14:textId="77777777" w:rsidR="00D5104E" w:rsidRPr="00D5104E" w:rsidRDefault="00D5104E" w:rsidP="006C1395">
            <w:pPr>
              <w:jc w:val="center"/>
              <w:rPr>
                <w:rFonts w:asciiTheme="minorHAnsi" w:hAnsiTheme="minorHAnsi"/>
                <w:szCs w:val="21"/>
              </w:rPr>
            </w:pPr>
            <w:r w:rsidRPr="00D5104E">
              <w:rPr>
                <w:rFonts w:asciiTheme="minorHAnsi" w:hAnsiTheme="minorHAnsi"/>
                <w:szCs w:val="21"/>
              </w:rPr>
              <w:t>本次项目距离敏感点距离在</w:t>
            </w:r>
            <w:r w:rsidRPr="00D5104E">
              <w:rPr>
                <w:rFonts w:asciiTheme="minorHAnsi" w:hAnsiTheme="minorHAnsi"/>
                <w:szCs w:val="21"/>
              </w:rPr>
              <w:t>500m</w:t>
            </w:r>
            <w:r w:rsidRPr="00D5104E">
              <w:rPr>
                <w:rFonts w:asciiTheme="minorHAnsi" w:hAnsiTheme="minorHAnsi"/>
                <w:szCs w:val="21"/>
              </w:rPr>
              <w:t>以上，距离敏感点较远，在施工过程中应做好施工管理，项目建成后噪声通过隔声、减震、消声等措施后，预计厂界能够做到达标排放，项目噪声预计对周边敏感点的影响不大。</w:t>
            </w:r>
          </w:p>
        </w:tc>
        <w:tc>
          <w:tcPr>
            <w:tcW w:w="384" w:type="pct"/>
            <w:vAlign w:val="center"/>
          </w:tcPr>
          <w:p w14:paraId="56316D09"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t>相符</w:t>
            </w:r>
          </w:p>
        </w:tc>
      </w:tr>
      <w:tr w:rsidR="00D5104E" w:rsidRPr="00D5104E" w14:paraId="09E112D7" w14:textId="77777777" w:rsidTr="006B496C">
        <w:trPr>
          <w:jc w:val="center"/>
        </w:trPr>
        <w:tc>
          <w:tcPr>
            <w:tcW w:w="247" w:type="pct"/>
            <w:shd w:val="clear" w:color="auto" w:fill="auto"/>
            <w:vAlign w:val="center"/>
          </w:tcPr>
          <w:p w14:paraId="07C86336"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8</w:t>
            </w:r>
          </w:p>
        </w:tc>
        <w:tc>
          <w:tcPr>
            <w:tcW w:w="438" w:type="pct"/>
            <w:vMerge/>
            <w:shd w:val="clear" w:color="auto" w:fill="auto"/>
            <w:vAlign w:val="center"/>
          </w:tcPr>
          <w:p w14:paraId="2D92B9B4" w14:textId="77777777" w:rsidR="00D5104E" w:rsidRPr="00D5104E" w:rsidRDefault="00D5104E" w:rsidP="00F01CEC">
            <w:pPr>
              <w:spacing w:line="360" w:lineRule="exact"/>
              <w:jc w:val="center"/>
              <w:rPr>
                <w:rFonts w:asciiTheme="minorHAnsi" w:hAnsiTheme="minorHAnsi"/>
                <w:szCs w:val="21"/>
              </w:rPr>
            </w:pPr>
          </w:p>
        </w:tc>
        <w:tc>
          <w:tcPr>
            <w:tcW w:w="2647" w:type="pct"/>
            <w:shd w:val="clear" w:color="auto" w:fill="auto"/>
            <w:vAlign w:val="center"/>
          </w:tcPr>
          <w:p w14:paraId="70EAF2DF"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w:t>
            </w:r>
            <w:r w:rsidRPr="00D5104E">
              <w:rPr>
                <w:rFonts w:asciiTheme="minorHAnsi" w:hAnsiTheme="minorHAnsi"/>
                <w:spacing w:val="8"/>
                <w:kern w:val="0"/>
                <w:szCs w:val="21"/>
              </w:rPr>
              <w:t>统筹推进区域地表水、地下水协同防治。依托排污许可证信息，逐步建立</w:t>
            </w:r>
            <w:r w:rsidRPr="00D5104E">
              <w:rPr>
                <w:rFonts w:asciiTheme="minorHAnsi" w:hAnsiTheme="minorHAnsi"/>
                <w:spacing w:val="8"/>
                <w:kern w:val="0"/>
                <w:szCs w:val="21"/>
              </w:rPr>
              <w:t>“</w:t>
            </w:r>
            <w:r w:rsidRPr="00D5104E">
              <w:rPr>
                <w:rFonts w:asciiTheme="minorHAnsi" w:hAnsiTheme="minorHAnsi"/>
                <w:spacing w:val="8"/>
                <w:kern w:val="0"/>
                <w:szCs w:val="21"/>
              </w:rPr>
              <w:t>水体</w:t>
            </w:r>
            <w:r w:rsidRPr="00D5104E">
              <w:rPr>
                <w:rFonts w:asciiTheme="minorHAnsi" w:hAnsiTheme="minorHAnsi"/>
                <w:spacing w:val="8"/>
                <w:kern w:val="0"/>
                <w:szCs w:val="21"/>
              </w:rPr>
              <w:t>—</w:t>
            </w:r>
            <w:r w:rsidRPr="00D5104E">
              <w:rPr>
                <w:rFonts w:asciiTheme="minorHAnsi" w:hAnsiTheme="minorHAnsi"/>
                <w:spacing w:val="8"/>
                <w:kern w:val="0"/>
                <w:szCs w:val="21"/>
              </w:rPr>
              <w:t>入河排污口</w:t>
            </w:r>
            <w:r w:rsidRPr="00D5104E">
              <w:rPr>
                <w:rFonts w:asciiTheme="minorHAnsi" w:hAnsiTheme="minorHAnsi"/>
                <w:spacing w:val="8"/>
                <w:kern w:val="0"/>
                <w:szCs w:val="21"/>
              </w:rPr>
              <w:t>—</w:t>
            </w:r>
            <w:r w:rsidRPr="00D5104E">
              <w:rPr>
                <w:rFonts w:asciiTheme="minorHAnsi" w:hAnsiTheme="minorHAnsi"/>
                <w:spacing w:val="8"/>
                <w:kern w:val="0"/>
                <w:szCs w:val="21"/>
              </w:rPr>
              <w:t>排污管线</w:t>
            </w:r>
            <w:r w:rsidRPr="00D5104E">
              <w:rPr>
                <w:rFonts w:asciiTheme="minorHAnsi" w:hAnsiTheme="minorHAnsi"/>
                <w:spacing w:val="8"/>
                <w:kern w:val="0"/>
                <w:szCs w:val="21"/>
              </w:rPr>
              <w:t>—</w:t>
            </w:r>
            <w:r w:rsidRPr="00D5104E">
              <w:rPr>
                <w:rFonts w:asciiTheme="minorHAnsi" w:hAnsiTheme="minorHAnsi"/>
                <w:spacing w:val="8"/>
                <w:kern w:val="0"/>
                <w:szCs w:val="21"/>
              </w:rPr>
              <w:t>污染源</w:t>
            </w:r>
            <w:r w:rsidRPr="00D5104E">
              <w:rPr>
                <w:rFonts w:asciiTheme="minorHAnsi" w:hAnsiTheme="minorHAnsi"/>
                <w:spacing w:val="8"/>
                <w:kern w:val="0"/>
                <w:szCs w:val="21"/>
              </w:rPr>
              <w:t>”</w:t>
            </w:r>
            <w:r w:rsidRPr="00D5104E">
              <w:rPr>
                <w:rFonts w:asciiTheme="minorHAnsi" w:hAnsiTheme="minorHAnsi"/>
                <w:spacing w:val="8"/>
                <w:kern w:val="0"/>
                <w:szCs w:val="21"/>
              </w:rPr>
              <w:t>全链条管理的水污染物排放治理体系，持续削减化学需氧量和氨氮等主要水污染物排放总量，因地制宜加强总磷、总氮排放控制。</w:t>
            </w:r>
          </w:p>
        </w:tc>
        <w:tc>
          <w:tcPr>
            <w:tcW w:w="1284" w:type="pct"/>
            <w:shd w:val="clear" w:color="auto" w:fill="auto"/>
            <w:vAlign w:val="center"/>
          </w:tcPr>
          <w:p w14:paraId="007455F8" w14:textId="77777777" w:rsidR="00D5104E" w:rsidRPr="00D5104E" w:rsidRDefault="00D5104E" w:rsidP="009A0104">
            <w:pPr>
              <w:jc w:val="center"/>
              <w:rPr>
                <w:rFonts w:asciiTheme="minorHAnsi" w:hAnsiTheme="minorHAnsi"/>
                <w:szCs w:val="21"/>
              </w:rPr>
            </w:pPr>
            <w:r w:rsidRPr="00D5104E">
              <w:rPr>
                <w:rFonts w:asciiTheme="minorHAnsi" w:hAnsiTheme="minorHAnsi"/>
                <w:szCs w:val="21"/>
              </w:rPr>
              <w:t>项目废水经厂区污水站处理达标后进入平顶山市第三污水厂再次处理达标后排放，进一步削减了化学需氧量和氨氮。</w:t>
            </w:r>
          </w:p>
        </w:tc>
        <w:tc>
          <w:tcPr>
            <w:tcW w:w="384" w:type="pct"/>
            <w:vAlign w:val="center"/>
          </w:tcPr>
          <w:p w14:paraId="0A12AF70"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t>相符</w:t>
            </w:r>
          </w:p>
        </w:tc>
      </w:tr>
      <w:tr w:rsidR="00D5104E" w:rsidRPr="00D5104E" w14:paraId="75A527E3" w14:textId="77777777" w:rsidTr="006B496C">
        <w:trPr>
          <w:jc w:val="center"/>
        </w:trPr>
        <w:tc>
          <w:tcPr>
            <w:tcW w:w="247" w:type="pct"/>
            <w:shd w:val="clear" w:color="auto" w:fill="auto"/>
            <w:vAlign w:val="center"/>
          </w:tcPr>
          <w:p w14:paraId="1A9C7519"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9</w:t>
            </w:r>
          </w:p>
        </w:tc>
        <w:tc>
          <w:tcPr>
            <w:tcW w:w="438" w:type="pct"/>
            <w:vMerge/>
            <w:shd w:val="clear" w:color="auto" w:fill="auto"/>
            <w:vAlign w:val="center"/>
          </w:tcPr>
          <w:p w14:paraId="7F44F7A3" w14:textId="77777777" w:rsidR="00D5104E" w:rsidRPr="00D5104E" w:rsidRDefault="00D5104E" w:rsidP="00F01CEC">
            <w:pPr>
              <w:spacing w:line="360" w:lineRule="exact"/>
              <w:jc w:val="center"/>
              <w:rPr>
                <w:rFonts w:asciiTheme="minorHAnsi" w:hAnsiTheme="minorHAnsi"/>
                <w:szCs w:val="21"/>
              </w:rPr>
            </w:pPr>
          </w:p>
        </w:tc>
        <w:tc>
          <w:tcPr>
            <w:tcW w:w="2647" w:type="pct"/>
            <w:shd w:val="clear" w:color="auto" w:fill="auto"/>
            <w:vAlign w:val="center"/>
          </w:tcPr>
          <w:p w14:paraId="13DD2F93"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实施地下水污染风险管控。强化地下水环境质量目标管理。开展地下水污染防治分区划定工作。</w:t>
            </w:r>
            <w:r w:rsidRPr="00D5104E">
              <w:rPr>
                <w:rFonts w:asciiTheme="minorHAnsi" w:hAnsiTheme="minorHAnsi"/>
                <w:spacing w:val="8"/>
                <w:kern w:val="0"/>
                <w:szCs w:val="21"/>
              </w:rPr>
              <w:t>……</w:t>
            </w:r>
            <w:r w:rsidRPr="00D5104E">
              <w:rPr>
                <w:rFonts w:asciiTheme="minorHAnsi" w:hAnsiTheme="minorHAnsi"/>
                <w:spacing w:val="8"/>
                <w:kern w:val="0"/>
                <w:szCs w:val="21"/>
              </w:rPr>
              <w:t>推动化学品生产企业、危险废物处置场、垃圾填埋场等重点行业企业落实防渗措施，实施防渗改造。</w:t>
            </w:r>
            <w:r w:rsidRPr="00D5104E">
              <w:rPr>
                <w:rFonts w:asciiTheme="minorHAnsi" w:hAnsiTheme="minorHAnsi"/>
                <w:spacing w:val="8"/>
                <w:kern w:val="0"/>
                <w:szCs w:val="21"/>
              </w:rPr>
              <w:t>……</w:t>
            </w:r>
          </w:p>
        </w:tc>
        <w:tc>
          <w:tcPr>
            <w:tcW w:w="1284" w:type="pct"/>
            <w:shd w:val="clear" w:color="auto" w:fill="auto"/>
            <w:vAlign w:val="center"/>
          </w:tcPr>
          <w:p w14:paraId="2776E64E" w14:textId="77777777" w:rsidR="00D5104E" w:rsidRPr="00D5104E" w:rsidRDefault="00D5104E" w:rsidP="006C1395">
            <w:pPr>
              <w:jc w:val="center"/>
              <w:rPr>
                <w:rFonts w:asciiTheme="minorHAnsi" w:hAnsiTheme="minorHAnsi"/>
                <w:szCs w:val="21"/>
              </w:rPr>
            </w:pPr>
            <w:r w:rsidRPr="00D5104E">
              <w:rPr>
                <w:rFonts w:asciiTheme="minorHAnsi" w:hAnsiTheme="minorHAnsi"/>
                <w:szCs w:val="21"/>
              </w:rPr>
              <w:t>厂区试行分区防渗管理措施，符合要求</w:t>
            </w:r>
          </w:p>
        </w:tc>
        <w:tc>
          <w:tcPr>
            <w:tcW w:w="384" w:type="pct"/>
            <w:vAlign w:val="center"/>
          </w:tcPr>
          <w:p w14:paraId="176E1841"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t>相符</w:t>
            </w:r>
          </w:p>
        </w:tc>
      </w:tr>
      <w:tr w:rsidR="00D5104E" w:rsidRPr="00D5104E" w14:paraId="127C5C57" w14:textId="77777777" w:rsidTr="006B496C">
        <w:trPr>
          <w:jc w:val="center"/>
        </w:trPr>
        <w:tc>
          <w:tcPr>
            <w:tcW w:w="247" w:type="pct"/>
            <w:shd w:val="clear" w:color="auto" w:fill="auto"/>
            <w:vAlign w:val="center"/>
          </w:tcPr>
          <w:p w14:paraId="5BF82B18"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10</w:t>
            </w:r>
          </w:p>
        </w:tc>
        <w:tc>
          <w:tcPr>
            <w:tcW w:w="438" w:type="pct"/>
            <w:vMerge w:val="restart"/>
            <w:shd w:val="clear" w:color="auto" w:fill="auto"/>
            <w:vAlign w:val="center"/>
          </w:tcPr>
          <w:p w14:paraId="5A9A2CD5" w14:textId="77777777" w:rsidR="00D5104E" w:rsidRPr="00D5104E" w:rsidRDefault="00D5104E" w:rsidP="00F01CEC">
            <w:pPr>
              <w:widowControl/>
              <w:shd w:val="clear" w:color="auto" w:fill="FFFFFF"/>
              <w:jc w:val="center"/>
              <w:rPr>
                <w:rFonts w:asciiTheme="minorHAnsi" w:hAnsiTheme="minorHAnsi"/>
                <w:spacing w:val="8"/>
                <w:kern w:val="0"/>
                <w:szCs w:val="21"/>
              </w:rPr>
            </w:pPr>
            <w:r w:rsidRPr="00D5104E">
              <w:rPr>
                <w:rFonts w:asciiTheme="minorHAnsi" w:hAnsiTheme="minorHAnsi"/>
                <w:bCs/>
                <w:spacing w:val="8"/>
                <w:kern w:val="0"/>
                <w:szCs w:val="21"/>
              </w:rPr>
              <w:t>第七章强化风险防控，</w:t>
            </w:r>
          </w:p>
          <w:p w14:paraId="67B6BD8B"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pacing w:val="8"/>
                <w:kern w:val="0"/>
                <w:szCs w:val="21"/>
              </w:rPr>
              <w:t>守牢环境安全底线</w:t>
            </w:r>
          </w:p>
        </w:tc>
        <w:tc>
          <w:tcPr>
            <w:tcW w:w="2647" w:type="pct"/>
            <w:shd w:val="clear" w:color="auto" w:fill="auto"/>
            <w:vAlign w:val="center"/>
          </w:tcPr>
          <w:p w14:paraId="6892795A"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w:t>
            </w:r>
            <w:r w:rsidRPr="00D5104E">
              <w:rPr>
                <w:rFonts w:asciiTheme="minorHAnsi" w:hAnsiTheme="minorHAnsi"/>
                <w:spacing w:val="8"/>
                <w:kern w:val="0"/>
                <w:szCs w:val="21"/>
              </w:rPr>
              <w:t>开展企业环境应急预案电子化备案，涉危涉重企业实现全覆盖。</w:t>
            </w:r>
            <w:r w:rsidRPr="00D5104E">
              <w:rPr>
                <w:rFonts w:asciiTheme="minorHAnsi" w:hAnsiTheme="minorHAnsi"/>
                <w:spacing w:val="8"/>
                <w:kern w:val="0"/>
                <w:szCs w:val="21"/>
              </w:rPr>
              <w:t>……</w:t>
            </w:r>
          </w:p>
        </w:tc>
        <w:tc>
          <w:tcPr>
            <w:tcW w:w="1284" w:type="pct"/>
            <w:shd w:val="clear" w:color="auto" w:fill="auto"/>
            <w:vAlign w:val="center"/>
          </w:tcPr>
          <w:p w14:paraId="56465533" w14:textId="77777777" w:rsidR="00D5104E" w:rsidRPr="00D5104E" w:rsidRDefault="00D5104E" w:rsidP="006C1395">
            <w:pPr>
              <w:jc w:val="center"/>
              <w:rPr>
                <w:rFonts w:asciiTheme="minorHAnsi" w:hAnsiTheme="minorHAnsi"/>
                <w:szCs w:val="21"/>
              </w:rPr>
            </w:pPr>
            <w:r w:rsidRPr="00D5104E">
              <w:rPr>
                <w:rFonts w:asciiTheme="minorHAnsi" w:hAnsiTheme="minorHAnsi"/>
                <w:szCs w:val="21"/>
              </w:rPr>
              <w:t>项目建成后，应组织开展环境应急预案的编制并备案。</w:t>
            </w:r>
          </w:p>
        </w:tc>
        <w:tc>
          <w:tcPr>
            <w:tcW w:w="384" w:type="pct"/>
            <w:vAlign w:val="center"/>
          </w:tcPr>
          <w:p w14:paraId="633F67C2"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t>相符</w:t>
            </w:r>
          </w:p>
        </w:tc>
      </w:tr>
      <w:tr w:rsidR="00D5104E" w:rsidRPr="00D5104E" w14:paraId="2072693F" w14:textId="77777777" w:rsidTr="006B496C">
        <w:trPr>
          <w:jc w:val="center"/>
        </w:trPr>
        <w:tc>
          <w:tcPr>
            <w:tcW w:w="247" w:type="pct"/>
            <w:shd w:val="clear" w:color="auto" w:fill="auto"/>
            <w:vAlign w:val="center"/>
          </w:tcPr>
          <w:p w14:paraId="47EF276F"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11</w:t>
            </w:r>
          </w:p>
        </w:tc>
        <w:tc>
          <w:tcPr>
            <w:tcW w:w="438" w:type="pct"/>
            <w:vMerge/>
            <w:shd w:val="clear" w:color="auto" w:fill="auto"/>
            <w:vAlign w:val="center"/>
          </w:tcPr>
          <w:p w14:paraId="3CC89F25" w14:textId="77777777" w:rsidR="00D5104E" w:rsidRPr="00D5104E" w:rsidRDefault="00D5104E" w:rsidP="00F01CEC">
            <w:pPr>
              <w:spacing w:line="360" w:lineRule="exact"/>
              <w:jc w:val="center"/>
              <w:rPr>
                <w:rFonts w:asciiTheme="minorHAnsi" w:hAnsiTheme="minorHAnsi"/>
                <w:szCs w:val="21"/>
              </w:rPr>
            </w:pPr>
          </w:p>
        </w:tc>
        <w:tc>
          <w:tcPr>
            <w:tcW w:w="2647" w:type="pct"/>
            <w:shd w:val="clear" w:color="auto" w:fill="auto"/>
            <w:vAlign w:val="center"/>
          </w:tcPr>
          <w:p w14:paraId="778E35C4"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提升危险废物收集与利用处置能力。全面开展小量产废单位危险废物集中收集贮存试点工作，推进区域性危险废物收集网点和贮存设施建设。鼓励石油开采、石化、化工、焦化、有色等产业基地、大型企业集团，危险废物产生量较大的省级开发区、工业园区配套建设危险废物集中贮存、预处理和利用处置设施。</w:t>
            </w:r>
          </w:p>
        </w:tc>
        <w:tc>
          <w:tcPr>
            <w:tcW w:w="1284" w:type="pct"/>
            <w:shd w:val="clear" w:color="auto" w:fill="auto"/>
            <w:vAlign w:val="center"/>
          </w:tcPr>
          <w:p w14:paraId="25B18C8D" w14:textId="77777777" w:rsidR="00D5104E" w:rsidRPr="00D5104E" w:rsidRDefault="00D5104E" w:rsidP="006C1395">
            <w:pPr>
              <w:jc w:val="center"/>
              <w:rPr>
                <w:rFonts w:asciiTheme="minorHAnsi" w:hAnsiTheme="minorHAnsi"/>
                <w:szCs w:val="21"/>
              </w:rPr>
            </w:pPr>
            <w:r w:rsidRPr="00D5104E">
              <w:rPr>
                <w:rFonts w:asciiTheme="minorHAnsi" w:hAnsiTheme="minorHAnsi"/>
                <w:szCs w:val="21"/>
              </w:rPr>
              <w:t>项目设计在厂区内建设危险废物暂存间，对危险废物进行暂存，危废暂存间应严格按照要求进行防渗、防腐等处理。</w:t>
            </w:r>
          </w:p>
        </w:tc>
        <w:tc>
          <w:tcPr>
            <w:tcW w:w="384" w:type="pct"/>
            <w:vAlign w:val="center"/>
          </w:tcPr>
          <w:p w14:paraId="2769C9E0"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t>相符</w:t>
            </w:r>
          </w:p>
        </w:tc>
      </w:tr>
      <w:tr w:rsidR="00D5104E" w:rsidRPr="00D5104E" w14:paraId="3C35DF41" w14:textId="77777777" w:rsidTr="006B496C">
        <w:trPr>
          <w:jc w:val="center"/>
        </w:trPr>
        <w:tc>
          <w:tcPr>
            <w:tcW w:w="247" w:type="pct"/>
            <w:shd w:val="clear" w:color="auto" w:fill="auto"/>
            <w:vAlign w:val="center"/>
          </w:tcPr>
          <w:p w14:paraId="603C6BAE"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szCs w:val="21"/>
              </w:rPr>
              <w:t>12</w:t>
            </w:r>
          </w:p>
        </w:tc>
        <w:tc>
          <w:tcPr>
            <w:tcW w:w="438" w:type="pct"/>
            <w:vMerge/>
            <w:shd w:val="clear" w:color="auto" w:fill="auto"/>
            <w:vAlign w:val="center"/>
          </w:tcPr>
          <w:p w14:paraId="08FBCB3B" w14:textId="77777777" w:rsidR="00D5104E" w:rsidRPr="00D5104E" w:rsidRDefault="00D5104E" w:rsidP="00F01CEC">
            <w:pPr>
              <w:spacing w:line="360" w:lineRule="exact"/>
              <w:jc w:val="center"/>
              <w:rPr>
                <w:rFonts w:asciiTheme="minorHAnsi" w:hAnsiTheme="minorHAnsi"/>
                <w:szCs w:val="21"/>
              </w:rPr>
            </w:pPr>
          </w:p>
        </w:tc>
        <w:tc>
          <w:tcPr>
            <w:tcW w:w="2647" w:type="pct"/>
            <w:shd w:val="clear" w:color="auto" w:fill="auto"/>
            <w:vAlign w:val="center"/>
          </w:tcPr>
          <w:p w14:paraId="3EB041D1" w14:textId="77777777" w:rsidR="00D5104E" w:rsidRPr="00D5104E" w:rsidRDefault="00D5104E" w:rsidP="006C1395">
            <w:pPr>
              <w:jc w:val="center"/>
              <w:rPr>
                <w:rFonts w:asciiTheme="minorHAnsi" w:hAnsiTheme="minorHAnsi"/>
                <w:szCs w:val="21"/>
              </w:rPr>
            </w:pPr>
            <w:r w:rsidRPr="00D5104E">
              <w:rPr>
                <w:rFonts w:asciiTheme="minorHAnsi" w:hAnsiTheme="minorHAnsi"/>
                <w:spacing w:val="8"/>
                <w:kern w:val="0"/>
                <w:szCs w:val="21"/>
              </w:rPr>
              <w:t>深入推进固体废物污染防治。提质建设静脉产业园，促进城镇低值废弃物协同处置和资源化利用。大力推进粉煤灰、煤矸石、脱硫石膏、冶炼废渣、尾矿、赤泥等大宗工业固体废物资源化利用和集中处置。鼓励电力、有色金属冶炼、化工等园区及企业建设大宗工业固体废物资源化利用设施。健全废旧物资回收分拣和循环利用体系，推行废旧家电、消费电子等生产企业</w:t>
            </w:r>
            <w:r w:rsidRPr="00D5104E">
              <w:rPr>
                <w:rFonts w:asciiTheme="minorHAnsi" w:hAnsiTheme="minorHAnsi"/>
                <w:spacing w:val="8"/>
                <w:kern w:val="0"/>
                <w:szCs w:val="21"/>
              </w:rPr>
              <w:t>“</w:t>
            </w:r>
            <w:r w:rsidRPr="00D5104E">
              <w:rPr>
                <w:rFonts w:asciiTheme="minorHAnsi" w:hAnsiTheme="minorHAnsi"/>
                <w:spacing w:val="8"/>
                <w:kern w:val="0"/>
                <w:szCs w:val="21"/>
              </w:rPr>
              <w:t>逆向回收</w:t>
            </w:r>
            <w:r w:rsidRPr="00D5104E">
              <w:rPr>
                <w:rFonts w:asciiTheme="minorHAnsi" w:hAnsiTheme="minorHAnsi"/>
                <w:spacing w:val="8"/>
                <w:kern w:val="0"/>
                <w:szCs w:val="21"/>
              </w:rPr>
              <w:t>”</w:t>
            </w:r>
            <w:r w:rsidRPr="00D5104E">
              <w:rPr>
                <w:rFonts w:asciiTheme="minorHAnsi" w:hAnsiTheme="minorHAnsi"/>
                <w:spacing w:val="8"/>
                <w:kern w:val="0"/>
                <w:szCs w:val="21"/>
              </w:rPr>
              <w:t>等模式。引导废旧产品回收、处理和再生利用企业</w:t>
            </w:r>
            <w:r w:rsidRPr="00D5104E">
              <w:rPr>
                <w:rFonts w:asciiTheme="minorHAnsi" w:hAnsiTheme="minorHAnsi"/>
                <w:spacing w:val="8"/>
                <w:kern w:val="0"/>
                <w:szCs w:val="21"/>
              </w:rPr>
              <w:t>“</w:t>
            </w:r>
            <w:r w:rsidRPr="00D5104E">
              <w:rPr>
                <w:rFonts w:asciiTheme="minorHAnsi" w:hAnsiTheme="minorHAnsi"/>
                <w:spacing w:val="8"/>
                <w:kern w:val="0"/>
                <w:szCs w:val="21"/>
              </w:rPr>
              <w:t>退城入园</w:t>
            </w:r>
            <w:r w:rsidRPr="00D5104E">
              <w:rPr>
                <w:rFonts w:asciiTheme="minorHAnsi" w:hAnsiTheme="minorHAnsi"/>
                <w:spacing w:val="8"/>
                <w:kern w:val="0"/>
                <w:szCs w:val="21"/>
              </w:rPr>
              <w:t>”</w:t>
            </w:r>
            <w:r w:rsidRPr="00D5104E">
              <w:rPr>
                <w:rFonts w:asciiTheme="minorHAnsi" w:hAnsiTheme="minorHAnsi"/>
                <w:spacing w:val="8"/>
                <w:kern w:val="0"/>
                <w:szCs w:val="21"/>
              </w:rPr>
              <w:t>集聚发展。规范建筑垃圾堆存、中转和资源化利用场所建设和运营。</w:t>
            </w:r>
          </w:p>
        </w:tc>
        <w:tc>
          <w:tcPr>
            <w:tcW w:w="1284" w:type="pct"/>
            <w:shd w:val="clear" w:color="auto" w:fill="auto"/>
            <w:vAlign w:val="center"/>
          </w:tcPr>
          <w:p w14:paraId="0AD9CF4A" w14:textId="77777777" w:rsidR="00D5104E" w:rsidRPr="001D6858" w:rsidRDefault="00D5104E" w:rsidP="001D6858">
            <w:pPr>
              <w:jc w:val="center"/>
              <w:rPr>
                <w:rFonts w:ascii="Calibri" w:hAnsi="Calibri"/>
                <w:color w:val="auto"/>
                <w:szCs w:val="21"/>
              </w:rPr>
            </w:pPr>
            <w:r w:rsidRPr="00D5104E">
              <w:rPr>
                <w:rFonts w:asciiTheme="minorHAnsi" w:hAnsiTheme="minorHAnsi"/>
                <w:szCs w:val="21"/>
              </w:rPr>
              <w:t>项目</w:t>
            </w:r>
            <w:r w:rsidR="006C1395">
              <w:rPr>
                <w:rFonts w:asciiTheme="minorHAnsi" w:hAnsiTheme="minorHAnsi" w:hint="eastAsia"/>
                <w:szCs w:val="21"/>
              </w:rPr>
              <w:t>瑕疵品</w:t>
            </w:r>
            <w:r w:rsidRPr="00D5104E">
              <w:rPr>
                <w:rFonts w:asciiTheme="minorHAnsi" w:hAnsiTheme="minorHAnsi"/>
                <w:szCs w:val="21"/>
              </w:rPr>
              <w:t>作为较低级的产品出售；</w:t>
            </w:r>
            <w:r w:rsidR="001D6858">
              <w:rPr>
                <w:rFonts w:ascii="Calibri" w:hAnsi="Calibri" w:hint="eastAsia"/>
                <w:color w:val="auto"/>
              </w:rPr>
              <w:t>废导热油</w:t>
            </w:r>
            <w:r w:rsidR="006C1395">
              <w:rPr>
                <w:rFonts w:ascii="Calibri" w:hAnsi="Calibri" w:hint="eastAsia"/>
                <w:color w:val="auto"/>
              </w:rPr>
              <w:t>、</w:t>
            </w:r>
            <w:r w:rsidR="001D6858">
              <w:rPr>
                <w:rFonts w:ascii="Calibri" w:hAnsi="Calibri" w:hint="eastAsia"/>
                <w:color w:val="auto"/>
              </w:rPr>
              <w:t>废机油</w:t>
            </w:r>
            <w:r w:rsidR="001D6858">
              <w:rPr>
                <w:rFonts w:ascii="Calibri" w:hAnsi="Calibri"/>
                <w:color w:val="auto"/>
              </w:rPr>
              <w:t>、</w:t>
            </w:r>
            <w:r w:rsidR="006C1395">
              <w:rPr>
                <w:rFonts w:ascii="Calibri" w:hAnsi="Calibri"/>
                <w:color w:val="auto"/>
              </w:rPr>
              <w:t>废灯管</w:t>
            </w:r>
            <w:r w:rsidR="006C1395">
              <w:rPr>
                <w:rFonts w:ascii="Calibri" w:hAnsi="Calibri" w:hint="eastAsia"/>
                <w:color w:val="auto"/>
              </w:rPr>
              <w:t>、</w:t>
            </w:r>
            <w:r w:rsidR="006C1395">
              <w:rPr>
                <w:rFonts w:ascii="Calibri" w:hAnsi="Calibri"/>
                <w:color w:val="auto"/>
              </w:rPr>
              <w:t>废活性炭</w:t>
            </w:r>
            <w:r w:rsidR="006C1395">
              <w:rPr>
                <w:rFonts w:ascii="Calibri" w:hAnsi="Calibri" w:hint="eastAsia"/>
                <w:color w:val="auto"/>
              </w:rPr>
              <w:t>、</w:t>
            </w:r>
            <w:r w:rsidR="0092085C" w:rsidRPr="0092085C">
              <w:rPr>
                <w:rFonts w:ascii="Calibri" w:hAnsi="Calibri" w:hint="eastAsia"/>
                <w:color w:val="auto"/>
              </w:rPr>
              <w:t>品控中心</w:t>
            </w:r>
            <w:r w:rsidR="006C1395">
              <w:rPr>
                <w:rFonts w:ascii="Calibri" w:hAnsi="Calibri"/>
                <w:color w:val="auto"/>
              </w:rPr>
              <w:t>废物</w:t>
            </w:r>
            <w:r w:rsidR="006C1395">
              <w:rPr>
                <w:rFonts w:ascii="Calibri" w:hAnsi="Calibri" w:hint="eastAsia"/>
                <w:color w:val="auto"/>
              </w:rPr>
              <w:t>为</w:t>
            </w:r>
            <w:r w:rsidR="006C1395" w:rsidRPr="004E1825">
              <w:rPr>
                <w:rFonts w:ascii="Calibri" w:hAnsi="Calibri" w:hint="eastAsia"/>
                <w:color w:val="auto"/>
              </w:rPr>
              <w:t>危险废物</w:t>
            </w:r>
            <w:r w:rsidR="006C1395">
              <w:rPr>
                <w:rFonts w:ascii="Calibri" w:hAnsi="Calibri" w:hint="eastAsia"/>
                <w:color w:val="auto"/>
              </w:rPr>
              <w:t>，</w:t>
            </w:r>
            <w:r w:rsidR="006C1395">
              <w:rPr>
                <w:rFonts w:ascii="Calibri" w:hAnsi="Calibri"/>
                <w:color w:val="auto"/>
              </w:rPr>
              <w:t>交由资质单位处理；</w:t>
            </w:r>
            <w:r w:rsidR="006C1395">
              <w:rPr>
                <w:rFonts w:ascii="Calibri" w:hAnsi="Calibri" w:hint="eastAsia"/>
                <w:color w:val="auto"/>
              </w:rPr>
              <w:t>污水</w:t>
            </w:r>
            <w:r w:rsidR="006C1395">
              <w:rPr>
                <w:rFonts w:ascii="Calibri" w:hAnsi="Calibri"/>
                <w:color w:val="auto"/>
              </w:rPr>
              <w:t>处理站污泥交由</w:t>
            </w:r>
            <w:r w:rsidR="006C1395" w:rsidRPr="00CC103D">
              <w:rPr>
                <w:rFonts w:ascii="Calibri" w:hAnsi="Calibri" w:hint="eastAsia"/>
                <w:color w:val="auto"/>
                <w:szCs w:val="21"/>
              </w:rPr>
              <w:t>叶县</w:t>
            </w:r>
            <w:r w:rsidR="006C1395" w:rsidRPr="00CC103D">
              <w:rPr>
                <w:rFonts w:ascii="Calibri" w:hAnsi="Calibri"/>
                <w:color w:val="auto"/>
                <w:szCs w:val="21"/>
              </w:rPr>
              <w:t>生活垃圾焚烧发电厂处理</w:t>
            </w:r>
            <w:r w:rsidR="006C1395">
              <w:rPr>
                <w:rFonts w:ascii="Calibri" w:hAnsi="Calibri" w:hint="eastAsia"/>
                <w:color w:val="auto"/>
                <w:szCs w:val="21"/>
              </w:rPr>
              <w:t>，</w:t>
            </w:r>
            <w:r w:rsidR="001D6858">
              <w:rPr>
                <w:rFonts w:ascii="Calibri" w:hAnsi="Calibri" w:hint="eastAsia"/>
                <w:color w:val="auto"/>
              </w:rPr>
              <w:t>原料拆包产生的废包装材料由</w:t>
            </w:r>
            <w:r w:rsidR="001D6858">
              <w:rPr>
                <w:rFonts w:ascii="Calibri" w:hAnsi="Calibri"/>
                <w:color w:val="auto"/>
              </w:rPr>
              <w:t>废品回收公司处理；</w:t>
            </w:r>
            <w:r w:rsidRPr="00D5104E">
              <w:rPr>
                <w:rFonts w:asciiTheme="minorHAnsi" w:hAnsiTheme="minorHAnsi"/>
                <w:szCs w:val="21"/>
              </w:rPr>
              <w:t>纯水制备废反渗透膜经厂家回收处</w:t>
            </w:r>
            <w:r w:rsidRPr="00D5104E">
              <w:rPr>
                <w:rFonts w:asciiTheme="minorHAnsi" w:hAnsiTheme="minorHAnsi"/>
                <w:szCs w:val="21"/>
              </w:rPr>
              <w:lastRenderedPageBreak/>
              <w:t>理，生活垃圾经环卫人员转运至产业集聚区垃圾中转站。固体废物根据其可回收性得到和合理妥善的处理与处置。</w:t>
            </w:r>
          </w:p>
        </w:tc>
        <w:tc>
          <w:tcPr>
            <w:tcW w:w="384" w:type="pct"/>
            <w:vAlign w:val="center"/>
          </w:tcPr>
          <w:p w14:paraId="60F1ED9F" w14:textId="77777777" w:rsidR="00D5104E" w:rsidRPr="00D5104E" w:rsidRDefault="00D5104E" w:rsidP="00F01CEC">
            <w:pPr>
              <w:spacing w:line="360" w:lineRule="exact"/>
              <w:jc w:val="center"/>
              <w:rPr>
                <w:rFonts w:asciiTheme="minorHAnsi" w:hAnsiTheme="minorHAnsi"/>
                <w:szCs w:val="21"/>
              </w:rPr>
            </w:pPr>
            <w:r w:rsidRPr="00D5104E">
              <w:rPr>
                <w:rFonts w:asciiTheme="minorHAnsi" w:hAnsiTheme="minorHAnsi"/>
                <w:bCs/>
                <w:szCs w:val="21"/>
              </w:rPr>
              <w:lastRenderedPageBreak/>
              <w:t>相符</w:t>
            </w:r>
          </w:p>
        </w:tc>
      </w:tr>
    </w:tbl>
    <w:p w14:paraId="79C28911" w14:textId="77777777" w:rsidR="006B496C" w:rsidRPr="00646C87" w:rsidRDefault="006C1395" w:rsidP="00646C87">
      <w:pPr>
        <w:pStyle w:val="ad"/>
        <w:ind w:firstLineChars="200" w:firstLine="480"/>
        <w:rPr>
          <w:rFonts w:ascii="Calibri" w:eastAsia="宋体" w:hAnsi="Times New Roman"/>
          <w:b w:val="0"/>
          <w:bCs/>
          <w:color w:val="auto"/>
          <w:sz w:val="24"/>
        </w:rPr>
      </w:pPr>
      <w:r w:rsidRPr="006C1395">
        <w:rPr>
          <w:rFonts w:ascii="Calibri" w:eastAsia="宋体" w:hAnsi="Times New Roman" w:hint="eastAsia"/>
          <w:b w:val="0"/>
          <w:bCs/>
          <w:color w:val="auto"/>
          <w:sz w:val="24"/>
        </w:rPr>
        <w:t>综上，项目符合《河南省“十四五”生态环境保护和生态经济发展规划》要求。</w:t>
      </w:r>
    </w:p>
    <w:p w14:paraId="371143D1" w14:textId="77777777" w:rsidR="006B496C" w:rsidRPr="00A44AC9" w:rsidRDefault="006C1395" w:rsidP="006B496C">
      <w:pPr>
        <w:pStyle w:val="ad"/>
        <w:rPr>
          <w:rFonts w:ascii="Calibri" w:hAnsi="Calibri"/>
          <w:color w:val="auto"/>
          <w:u w:val="single"/>
        </w:rPr>
      </w:pPr>
      <w:r w:rsidRPr="005C4969">
        <w:rPr>
          <w:rFonts w:ascii="Calibri" w:hAnsi="Calibri" w:hint="eastAsia"/>
          <w:color w:val="auto"/>
        </w:rPr>
        <w:t>1.8</w:t>
      </w:r>
      <w:r w:rsidRPr="005C4969">
        <w:rPr>
          <w:rFonts w:ascii="Calibri" w:hAnsi="Calibri"/>
          <w:color w:val="auto"/>
        </w:rPr>
        <w:t>.</w:t>
      </w:r>
      <w:r>
        <w:rPr>
          <w:rFonts w:ascii="Calibri" w:hAnsi="Calibri"/>
          <w:color w:val="auto"/>
        </w:rPr>
        <w:t>11</w:t>
      </w:r>
      <w:r w:rsidR="007841CB" w:rsidRPr="00A44AC9">
        <w:rPr>
          <w:rFonts w:ascii="Calibri" w:hAnsi="Calibri" w:hint="eastAsia"/>
          <w:color w:val="auto"/>
          <w:u w:val="single"/>
        </w:rPr>
        <w:t>《河南省生态环境厅办公室关于全面加强挥发性有机物污染治理的通知》（豫环办【</w:t>
      </w:r>
      <w:r w:rsidR="007841CB" w:rsidRPr="00A44AC9">
        <w:rPr>
          <w:rFonts w:ascii="Calibri" w:hAnsi="Calibri" w:hint="eastAsia"/>
          <w:color w:val="auto"/>
          <w:u w:val="single"/>
        </w:rPr>
        <w:t>2022</w:t>
      </w:r>
      <w:r w:rsidR="007841CB" w:rsidRPr="00A44AC9">
        <w:rPr>
          <w:rFonts w:ascii="Calibri" w:hAnsi="Calibri" w:hint="eastAsia"/>
          <w:color w:val="auto"/>
          <w:u w:val="single"/>
        </w:rPr>
        <w:t>】</w:t>
      </w:r>
      <w:r w:rsidR="007841CB" w:rsidRPr="00A44AC9">
        <w:rPr>
          <w:rFonts w:ascii="Calibri" w:hAnsi="Calibri" w:hint="eastAsia"/>
          <w:color w:val="auto"/>
          <w:u w:val="single"/>
        </w:rPr>
        <w:t>24</w:t>
      </w:r>
      <w:r w:rsidR="007841CB" w:rsidRPr="00A44AC9">
        <w:rPr>
          <w:rFonts w:ascii="Calibri" w:hAnsi="Calibri" w:hint="eastAsia"/>
          <w:color w:val="auto"/>
          <w:u w:val="single"/>
        </w:rPr>
        <w:t>号）（节选）</w:t>
      </w:r>
    </w:p>
    <w:p w14:paraId="2C637F78" w14:textId="77777777" w:rsidR="007841CB" w:rsidRPr="00A44AC9" w:rsidRDefault="007841CB" w:rsidP="007841CB">
      <w:pPr>
        <w:spacing w:line="520" w:lineRule="exact"/>
        <w:ind w:firstLineChars="200" w:firstLine="482"/>
        <w:rPr>
          <w:rFonts w:ascii="黑体" w:eastAsia="黑体" w:hAnsi="黑体"/>
          <w:b/>
          <w:sz w:val="24"/>
          <w:u w:val="single"/>
        </w:rPr>
      </w:pPr>
      <w:r w:rsidRPr="00A44AC9">
        <w:rPr>
          <w:rFonts w:ascii="黑体" w:eastAsia="黑体" w:hAnsi="黑体" w:hint="eastAsia"/>
          <w:b/>
          <w:sz w:val="24"/>
          <w:u w:val="single"/>
        </w:rPr>
        <w:t>表</w:t>
      </w:r>
      <w:r w:rsidRPr="00A44AC9">
        <w:rPr>
          <w:rFonts w:asciiTheme="minorHAnsi" w:eastAsia="黑体" w:hAnsiTheme="minorHAnsi"/>
          <w:b/>
          <w:sz w:val="24"/>
          <w:u w:val="single"/>
        </w:rPr>
        <w:t>1.8-1</w:t>
      </w:r>
      <w:r w:rsidR="0061483B" w:rsidRPr="00A44AC9">
        <w:rPr>
          <w:rFonts w:asciiTheme="minorHAnsi" w:eastAsia="黑体" w:hAnsiTheme="minorHAnsi"/>
          <w:b/>
          <w:sz w:val="24"/>
          <w:u w:val="single"/>
        </w:rPr>
        <w:t>2</w:t>
      </w:r>
      <w:r w:rsidRPr="00A44AC9">
        <w:rPr>
          <w:rFonts w:ascii="黑体" w:eastAsia="黑体" w:hAnsi="黑体" w:hint="eastAsia"/>
          <w:b/>
          <w:sz w:val="24"/>
          <w:u w:val="single"/>
        </w:rPr>
        <w:t xml:space="preserve">  </w:t>
      </w:r>
      <w:r w:rsidR="006B496C" w:rsidRPr="00A44AC9">
        <w:rPr>
          <w:rFonts w:ascii="黑体" w:eastAsia="黑体" w:hAnsi="黑体"/>
          <w:b/>
          <w:sz w:val="24"/>
          <w:u w:val="single"/>
        </w:rPr>
        <w:t xml:space="preserve">   </w:t>
      </w:r>
      <w:r w:rsidRPr="00A44AC9">
        <w:rPr>
          <w:rFonts w:ascii="黑体" w:eastAsia="黑体" w:hAnsi="黑体" w:hint="eastAsia"/>
          <w:b/>
          <w:sz w:val="24"/>
          <w:u w:val="single"/>
        </w:rPr>
        <w:t>项目建设与全面加强挥发性有机物污染治理通知相符性</w:t>
      </w:r>
    </w:p>
    <w:tbl>
      <w:tblPr>
        <w:tblW w:w="96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1"/>
        <w:gridCol w:w="1184"/>
        <w:gridCol w:w="4598"/>
        <w:gridCol w:w="3156"/>
      </w:tblGrid>
      <w:tr w:rsidR="007841CB" w:rsidRPr="00A44AC9" w14:paraId="5E09F6D8" w14:textId="77777777" w:rsidTr="007841CB">
        <w:trPr>
          <w:jc w:val="center"/>
        </w:trPr>
        <w:tc>
          <w:tcPr>
            <w:tcW w:w="691" w:type="dxa"/>
            <w:shd w:val="clear" w:color="auto" w:fill="auto"/>
            <w:vAlign w:val="center"/>
          </w:tcPr>
          <w:p w14:paraId="001DF092"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序号</w:t>
            </w:r>
          </w:p>
        </w:tc>
        <w:tc>
          <w:tcPr>
            <w:tcW w:w="5782" w:type="dxa"/>
            <w:gridSpan w:val="2"/>
            <w:shd w:val="clear" w:color="auto" w:fill="auto"/>
            <w:vAlign w:val="center"/>
          </w:tcPr>
          <w:p w14:paraId="17A2B994"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《关于全面加强挥发性有机物污染治理的通知》（豫环办【</w:t>
            </w:r>
            <w:r w:rsidRPr="00A44AC9">
              <w:rPr>
                <w:rFonts w:asciiTheme="minorHAnsi" w:hAnsiTheme="minorHAnsi"/>
                <w:b/>
                <w:szCs w:val="21"/>
                <w:u w:val="single"/>
              </w:rPr>
              <w:t>2022</w:t>
            </w:r>
            <w:r w:rsidRPr="00A44AC9">
              <w:rPr>
                <w:rFonts w:asciiTheme="minorHAnsi" w:hAnsiTheme="minorHAnsi"/>
                <w:b/>
                <w:szCs w:val="21"/>
                <w:u w:val="single"/>
              </w:rPr>
              <w:t>】</w:t>
            </w:r>
            <w:r w:rsidRPr="00A44AC9">
              <w:rPr>
                <w:rFonts w:asciiTheme="minorHAnsi" w:hAnsiTheme="minorHAnsi"/>
                <w:b/>
                <w:szCs w:val="21"/>
                <w:u w:val="single"/>
              </w:rPr>
              <w:t>24</w:t>
            </w:r>
            <w:r w:rsidRPr="00A44AC9">
              <w:rPr>
                <w:rFonts w:asciiTheme="minorHAnsi" w:hAnsiTheme="minorHAnsi"/>
                <w:b/>
                <w:szCs w:val="21"/>
                <w:u w:val="single"/>
              </w:rPr>
              <w:t>号）</w:t>
            </w:r>
          </w:p>
        </w:tc>
        <w:tc>
          <w:tcPr>
            <w:tcW w:w="3156" w:type="dxa"/>
            <w:shd w:val="clear" w:color="auto" w:fill="auto"/>
            <w:vAlign w:val="center"/>
          </w:tcPr>
          <w:p w14:paraId="58B62082"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本次项目</w:t>
            </w:r>
          </w:p>
        </w:tc>
      </w:tr>
      <w:tr w:rsidR="007841CB" w:rsidRPr="00A44AC9" w14:paraId="58421C7C" w14:textId="77777777" w:rsidTr="007841CB">
        <w:trPr>
          <w:jc w:val="center"/>
        </w:trPr>
        <w:tc>
          <w:tcPr>
            <w:tcW w:w="691" w:type="dxa"/>
            <w:shd w:val="clear" w:color="auto" w:fill="auto"/>
            <w:vAlign w:val="center"/>
          </w:tcPr>
          <w:p w14:paraId="3F4FA3CC"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1</w:t>
            </w:r>
          </w:p>
        </w:tc>
        <w:tc>
          <w:tcPr>
            <w:tcW w:w="1184" w:type="dxa"/>
            <w:shd w:val="clear" w:color="auto" w:fill="auto"/>
            <w:vAlign w:val="center"/>
          </w:tcPr>
          <w:p w14:paraId="6D4B8F17"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二、加强源头控制，推进绿色生产</w:t>
            </w:r>
          </w:p>
        </w:tc>
        <w:tc>
          <w:tcPr>
            <w:tcW w:w="4598" w:type="dxa"/>
            <w:shd w:val="clear" w:color="auto" w:fill="auto"/>
            <w:vAlign w:val="center"/>
          </w:tcPr>
          <w:p w14:paraId="06BD5839"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积极推进绿色生产工艺，减少</w:t>
            </w:r>
            <w:r w:rsidRPr="00A44AC9">
              <w:rPr>
                <w:rFonts w:asciiTheme="minorHAnsi" w:hAnsiTheme="minorHAnsi"/>
                <w:b/>
                <w:szCs w:val="21"/>
                <w:u w:val="single"/>
              </w:rPr>
              <w:t>VOCs</w:t>
            </w:r>
            <w:r w:rsidRPr="00A44AC9">
              <w:rPr>
                <w:rFonts w:asciiTheme="minorHAnsi" w:hAnsiTheme="minorHAnsi"/>
                <w:b/>
                <w:szCs w:val="21"/>
                <w:u w:val="single"/>
              </w:rPr>
              <w:t>产生量，石化、化工、医药、农药等行业实施</w:t>
            </w:r>
            <w:r w:rsidRPr="00A44AC9">
              <w:rPr>
                <w:rFonts w:asciiTheme="minorHAnsi" w:hAnsiTheme="minorHAnsi"/>
                <w:b/>
                <w:szCs w:val="21"/>
                <w:u w:val="single"/>
              </w:rPr>
              <w:t>“</w:t>
            </w:r>
            <w:r w:rsidRPr="00A44AC9">
              <w:rPr>
                <w:rFonts w:asciiTheme="minorHAnsi" w:hAnsiTheme="minorHAnsi"/>
                <w:b/>
                <w:szCs w:val="21"/>
                <w:u w:val="single"/>
              </w:rPr>
              <w:t>三化</w:t>
            </w:r>
            <w:r w:rsidRPr="00A44AC9">
              <w:rPr>
                <w:rFonts w:asciiTheme="minorHAnsi" w:hAnsiTheme="minorHAnsi"/>
                <w:b/>
                <w:szCs w:val="21"/>
                <w:u w:val="single"/>
              </w:rPr>
              <w:t>”</w:t>
            </w:r>
            <w:r w:rsidRPr="00A44AC9">
              <w:rPr>
                <w:rFonts w:asciiTheme="minorHAnsi" w:hAnsiTheme="minorHAnsi"/>
                <w:b/>
                <w:szCs w:val="21"/>
                <w:u w:val="single"/>
              </w:rPr>
              <w:t>改造（密闭化、自动化、管道化），鼓励工艺装置采取重力流布置，推广采用油品在线调和技术</w:t>
            </w:r>
            <w:r w:rsidRPr="00A44AC9">
              <w:rPr>
                <w:rFonts w:asciiTheme="minorHAnsi" w:hAnsiTheme="minorHAnsi"/>
                <w:b/>
                <w:szCs w:val="21"/>
                <w:u w:val="single"/>
              </w:rPr>
              <w:t>……</w:t>
            </w:r>
          </w:p>
        </w:tc>
        <w:tc>
          <w:tcPr>
            <w:tcW w:w="3156" w:type="dxa"/>
            <w:shd w:val="clear" w:color="auto" w:fill="auto"/>
            <w:vAlign w:val="center"/>
          </w:tcPr>
          <w:p w14:paraId="28EE47B8" w14:textId="77777777" w:rsidR="007841CB" w:rsidRPr="00A44AC9" w:rsidRDefault="00A44AC9" w:rsidP="007841CB">
            <w:pPr>
              <w:spacing w:line="360" w:lineRule="exact"/>
              <w:jc w:val="center"/>
              <w:rPr>
                <w:rFonts w:asciiTheme="minorHAnsi" w:hAnsiTheme="minorHAnsi"/>
                <w:b/>
                <w:szCs w:val="21"/>
                <w:u w:val="single"/>
              </w:rPr>
            </w:pPr>
            <w:r>
              <w:rPr>
                <w:rFonts w:asciiTheme="minorHAnsi" w:hAnsiTheme="minorHAnsi"/>
                <w:b/>
                <w:bCs/>
                <w:szCs w:val="21"/>
                <w:u w:val="single"/>
              </w:rPr>
              <w:t>本</w:t>
            </w:r>
            <w:r w:rsidR="007841CB" w:rsidRPr="00A44AC9">
              <w:rPr>
                <w:rFonts w:asciiTheme="minorHAnsi" w:hAnsiTheme="minorHAnsi"/>
                <w:b/>
                <w:bCs/>
                <w:szCs w:val="21"/>
                <w:u w:val="single"/>
              </w:rPr>
              <w:t>项目</w:t>
            </w:r>
            <w:r w:rsidR="007841CB" w:rsidRPr="00A44AC9">
              <w:rPr>
                <w:rFonts w:asciiTheme="minorHAnsi" w:hAnsiTheme="minorHAnsi"/>
                <w:b/>
                <w:u w:val="single"/>
              </w:rPr>
              <w:t>盐</w:t>
            </w:r>
            <w:r>
              <w:rPr>
                <w:rFonts w:asciiTheme="minorHAnsi" w:hAnsiTheme="minorHAnsi" w:hint="eastAsia"/>
                <w:b/>
                <w:u w:val="single"/>
              </w:rPr>
              <w:t>溶</w:t>
            </w:r>
            <w:r w:rsidR="007841CB" w:rsidRPr="00A44AC9">
              <w:rPr>
                <w:rFonts w:asciiTheme="minorHAnsi" w:hAnsiTheme="minorHAnsi"/>
                <w:b/>
                <w:u w:val="single"/>
              </w:rPr>
              <w:t>液输送均采用密闭管道输送，在</w:t>
            </w:r>
            <w:r w:rsidR="007841CB" w:rsidRPr="00A44AC9">
              <w:rPr>
                <w:rFonts w:asciiTheme="minorHAnsi" w:hAnsiTheme="minorHAnsi"/>
                <w:b/>
                <w:bCs/>
                <w:szCs w:val="21"/>
                <w:u w:val="single"/>
              </w:rPr>
              <w:t>转移和输送做好连接，进一步减少</w:t>
            </w:r>
            <w:r w:rsidR="007841CB" w:rsidRPr="00A44AC9">
              <w:rPr>
                <w:rFonts w:asciiTheme="minorHAnsi" w:hAnsiTheme="minorHAnsi"/>
                <w:b/>
                <w:u w:val="single"/>
              </w:rPr>
              <w:t>无组织</w:t>
            </w:r>
            <w:r w:rsidR="007841CB" w:rsidRPr="00A44AC9">
              <w:rPr>
                <w:rFonts w:asciiTheme="minorHAnsi" w:hAnsiTheme="minorHAnsi"/>
                <w:b/>
                <w:u w:val="single"/>
              </w:rPr>
              <w:t>VOCs</w:t>
            </w:r>
            <w:r w:rsidR="007841CB" w:rsidRPr="00A44AC9">
              <w:rPr>
                <w:rFonts w:asciiTheme="minorHAnsi" w:hAnsiTheme="minorHAnsi"/>
                <w:b/>
                <w:u w:val="single"/>
              </w:rPr>
              <w:t>的气体排放。</w:t>
            </w:r>
          </w:p>
        </w:tc>
      </w:tr>
      <w:tr w:rsidR="007841CB" w:rsidRPr="00A44AC9" w14:paraId="2F0BFAC3" w14:textId="77777777" w:rsidTr="007841CB">
        <w:trPr>
          <w:jc w:val="center"/>
        </w:trPr>
        <w:tc>
          <w:tcPr>
            <w:tcW w:w="691" w:type="dxa"/>
            <w:shd w:val="clear" w:color="auto" w:fill="auto"/>
            <w:vAlign w:val="center"/>
          </w:tcPr>
          <w:p w14:paraId="7B4B9530"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2</w:t>
            </w:r>
          </w:p>
        </w:tc>
        <w:tc>
          <w:tcPr>
            <w:tcW w:w="1184" w:type="dxa"/>
            <w:shd w:val="clear" w:color="auto" w:fill="auto"/>
            <w:vAlign w:val="center"/>
          </w:tcPr>
          <w:p w14:paraId="1DA751F8"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三、强化收集效果，减少无组织排放</w:t>
            </w:r>
          </w:p>
        </w:tc>
        <w:tc>
          <w:tcPr>
            <w:tcW w:w="4598" w:type="dxa"/>
            <w:shd w:val="clear" w:color="auto" w:fill="auto"/>
            <w:vAlign w:val="center"/>
          </w:tcPr>
          <w:p w14:paraId="37005091"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各地要严格按照《挥发性有机物无组织排放控制标准》《重点行业挥发性有机物综合治理方案》《河南省</w:t>
            </w:r>
            <w:r w:rsidRPr="00A44AC9">
              <w:rPr>
                <w:rFonts w:asciiTheme="minorHAnsi" w:hAnsiTheme="minorHAnsi"/>
                <w:b/>
                <w:szCs w:val="21"/>
                <w:u w:val="single"/>
              </w:rPr>
              <w:t>2022</w:t>
            </w:r>
            <w:r w:rsidRPr="00A44AC9">
              <w:rPr>
                <w:rFonts w:asciiTheme="minorHAnsi" w:hAnsiTheme="minorHAnsi"/>
                <w:b/>
                <w:szCs w:val="21"/>
                <w:u w:val="single"/>
              </w:rPr>
              <w:t>年大气污染攻坚战实施方案》要求，对挥发性有机物无组织排放实施有效控制，提升废气收集率，做到</w:t>
            </w:r>
            <w:r w:rsidRPr="00A44AC9">
              <w:rPr>
                <w:rFonts w:asciiTheme="minorHAnsi" w:hAnsiTheme="minorHAnsi"/>
                <w:b/>
                <w:szCs w:val="21"/>
                <w:u w:val="single"/>
              </w:rPr>
              <w:t>“</w:t>
            </w:r>
            <w:r w:rsidRPr="00A44AC9">
              <w:rPr>
                <w:rFonts w:asciiTheme="minorHAnsi" w:hAnsiTheme="minorHAnsi"/>
                <w:b/>
                <w:szCs w:val="21"/>
                <w:u w:val="single"/>
              </w:rPr>
              <w:t>应收尽收</w:t>
            </w:r>
            <w:r w:rsidRPr="00A44AC9">
              <w:rPr>
                <w:rFonts w:asciiTheme="minorHAnsi" w:hAnsiTheme="minorHAnsi"/>
                <w:b/>
                <w:szCs w:val="21"/>
                <w:u w:val="single"/>
              </w:rPr>
              <w:t>”</w:t>
            </w:r>
            <w:r w:rsidRPr="00A44AC9">
              <w:rPr>
                <w:rFonts w:asciiTheme="minorHAnsi" w:hAnsiTheme="minorHAnsi"/>
                <w:b/>
                <w:szCs w:val="21"/>
                <w:u w:val="single"/>
              </w:rPr>
              <w:t>。产生的</w:t>
            </w:r>
            <w:r w:rsidRPr="00A44AC9">
              <w:rPr>
                <w:rFonts w:asciiTheme="minorHAnsi" w:hAnsiTheme="minorHAnsi"/>
                <w:b/>
                <w:szCs w:val="21"/>
                <w:u w:val="single"/>
              </w:rPr>
              <w:t>VOCs</w:t>
            </w:r>
            <w:r w:rsidRPr="00A44AC9">
              <w:rPr>
                <w:rFonts w:asciiTheme="minorHAnsi" w:hAnsiTheme="minorHAnsi"/>
                <w:b/>
                <w:szCs w:val="21"/>
                <w:u w:val="single"/>
              </w:rPr>
              <w:t>的生产环节有限采用密闭设备、在密闭空间中操作等密闭收集方式，并保持负压运行；采用集气罩、侧吸风等措施收集无组织</w:t>
            </w:r>
            <w:r w:rsidRPr="00A44AC9">
              <w:rPr>
                <w:rFonts w:asciiTheme="minorHAnsi" w:hAnsiTheme="minorHAnsi"/>
                <w:b/>
                <w:szCs w:val="21"/>
                <w:u w:val="single"/>
              </w:rPr>
              <w:t>VOCs</w:t>
            </w:r>
            <w:r w:rsidRPr="00A44AC9">
              <w:rPr>
                <w:rFonts w:asciiTheme="minorHAnsi" w:hAnsiTheme="minorHAnsi"/>
                <w:b/>
                <w:szCs w:val="21"/>
                <w:u w:val="single"/>
              </w:rPr>
              <w:t>废气企业，距集气罩开口面最远处的</w:t>
            </w:r>
            <w:r w:rsidRPr="00A44AC9">
              <w:rPr>
                <w:rFonts w:asciiTheme="minorHAnsi" w:hAnsiTheme="minorHAnsi"/>
                <w:b/>
                <w:szCs w:val="21"/>
                <w:u w:val="single"/>
              </w:rPr>
              <w:t>VOCs</w:t>
            </w:r>
            <w:r w:rsidRPr="00A44AC9">
              <w:rPr>
                <w:rFonts w:asciiTheme="minorHAnsi" w:hAnsiTheme="minorHAnsi"/>
                <w:b/>
                <w:szCs w:val="21"/>
                <w:u w:val="single"/>
              </w:rPr>
              <w:t>无组织排放位置，控制风速不低于</w:t>
            </w:r>
            <w:r w:rsidRPr="00A44AC9">
              <w:rPr>
                <w:rFonts w:asciiTheme="minorHAnsi" w:hAnsiTheme="minorHAnsi"/>
                <w:b/>
                <w:szCs w:val="21"/>
                <w:u w:val="single"/>
              </w:rPr>
              <w:t>0.3</w:t>
            </w:r>
            <w:r w:rsidRPr="00A44AC9">
              <w:rPr>
                <w:rFonts w:asciiTheme="minorHAnsi" w:hAnsiTheme="minorHAnsi"/>
                <w:b/>
                <w:szCs w:val="21"/>
                <w:u w:val="single"/>
              </w:rPr>
              <w:t>米</w:t>
            </w:r>
            <w:r w:rsidRPr="00A44AC9">
              <w:rPr>
                <w:rFonts w:asciiTheme="minorHAnsi" w:hAnsiTheme="minorHAnsi"/>
                <w:b/>
                <w:szCs w:val="21"/>
                <w:u w:val="single"/>
              </w:rPr>
              <w:t>/</w:t>
            </w:r>
            <w:r w:rsidRPr="00A44AC9">
              <w:rPr>
                <w:rFonts w:asciiTheme="minorHAnsi" w:hAnsiTheme="minorHAnsi"/>
                <w:b/>
                <w:szCs w:val="21"/>
                <w:u w:val="single"/>
              </w:rPr>
              <w:t>秒；含</w:t>
            </w:r>
            <w:r w:rsidRPr="00A44AC9">
              <w:rPr>
                <w:rFonts w:asciiTheme="minorHAnsi" w:hAnsiTheme="minorHAnsi"/>
                <w:b/>
                <w:szCs w:val="21"/>
                <w:u w:val="single"/>
              </w:rPr>
              <w:t>VOCs</w:t>
            </w:r>
            <w:r w:rsidRPr="00A44AC9">
              <w:rPr>
                <w:rFonts w:asciiTheme="minorHAnsi" w:hAnsiTheme="minorHAnsi"/>
                <w:b/>
                <w:szCs w:val="21"/>
                <w:u w:val="single"/>
              </w:rPr>
              <w:t>物料输送应采用重力流或泵送方式，有机液体进料鼓励采用底部、浸入管给料方式。</w:t>
            </w:r>
          </w:p>
        </w:tc>
        <w:tc>
          <w:tcPr>
            <w:tcW w:w="3156" w:type="dxa"/>
            <w:shd w:val="clear" w:color="auto" w:fill="auto"/>
            <w:vAlign w:val="center"/>
          </w:tcPr>
          <w:p w14:paraId="221F8A5E" w14:textId="34CDBA1C" w:rsidR="007841CB" w:rsidRPr="00A44AC9" w:rsidRDefault="007841CB" w:rsidP="008C1537">
            <w:pPr>
              <w:spacing w:line="360" w:lineRule="exact"/>
              <w:jc w:val="center"/>
              <w:rPr>
                <w:rFonts w:asciiTheme="minorHAnsi" w:hAnsiTheme="minorHAnsi"/>
                <w:b/>
                <w:szCs w:val="21"/>
                <w:u w:val="single"/>
              </w:rPr>
            </w:pPr>
            <w:r w:rsidRPr="00A44AC9">
              <w:rPr>
                <w:rFonts w:asciiTheme="minorHAnsi" w:hAnsiTheme="minorHAnsi"/>
                <w:b/>
                <w:szCs w:val="21"/>
                <w:u w:val="single"/>
              </w:rPr>
              <w:t>项目在运行过程中，</w:t>
            </w:r>
            <w:r w:rsidRPr="00A44AC9">
              <w:rPr>
                <w:rFonts w:asciiTheme="minorHAnsi" w:hAnsiTheme="minorHAnsi"/>
                <w:b/>
                <w:szCs w:val="21"/>
                <w:u w:val="single"/>
              </w:rPr>
              <w:t>VOCs</w:t>
            </w:r>
            <w:r w:rsidRPr="00A44AC9">
              <w:rPr>
                <w:rFonts w:asciiTheme="minorHAnsi" w:hAnsiTheme="minorHAnsi"/>
                <w:b/>
                <w:szCs w:val="21"/>
                <w:u w:val="single"/>
              </w:rPr>
              <w:t>的生产环节如聚合工段，各设备上方均通过管道接入</w:t>
            </w:r>
            <w:r w:rsidR="00A44AC9">
              <w:rPr>
                <w:rFonts w:asciiTheme="minorHAnsi" w:hAnsiTheme="minorHAnsi" w:hint="eastAsia"/>
                <w:b/>
                <w:szCs w:val="21"/>
                <w:u w:val="single"/>
              </w:rPr>
              <w:t>冷却塔</w:t>
            </w:r>
            <w:r w:rsidRPr="00A44AC9">
              <w:rPr>
                <w:rFonts w:asciiTheme="minorHAnsi" w:hAnsiTheme="minorHAnsi"/>
                <w:b/>
                <w:szCs w:val="21"/>
                <w:u w:val="single"/>
              </w:rPr>
              <w:t>，最后进入</w:t>
            </w:r>
            <w:r w:rsidRPr="00A44AC9">
              <w:rPr>
                <w:rFonts w:asciiTheme="minorHAnsi" w:hAnsiTheme="minorHAnsi" w:hint="eastAsia"/>
                <w:b/>
                <w:szCs w:val="21"/>
                <w:u w:val="single"/>
              </w:rPr>
              <w:t>水喷淋</w:t>
            </w:r>
            <w:r w:rsidRPr="00A44AC9">
              <w:rPr>
                <w:rFonts w:asciiTheme="minorHAnsi" w:hAnsiTheme="minorHAnsi" w:hint="eastAsia"/>
                <w:b/>
                <w:szCs w:val="21"/>
                <w:u w:val="single"/>
              </w:rPr>
              <w:t>+</w:t>
            </w:r>
            <w:r w:rsidRPr="00A44AC9">
              <w:rPr>
                <w:rFonts w:asciiTheme="minorHAnsi" w:hAnsiTheme="minorHAnsi" w:hint="eastAsia"/>
                <w:b/>
                <w:szCs w:val="21"/>
                <w:u w:val="single"/>
              </w:rPr>
              <w:t>活性炭</w:t>
            </w:r>
            <w:r w:rsidRPr="00A44AC9">
              <w:rPr>
                <w:rFonts w:asciiTheme="minorHAnsi" w:hAnsiTheme="minorHAnsi"/>
                <w:b/>
                <w:szCs w:val="21"/>
                <w:u w:val="single"/>
              </w:rPr>
              <w:t>吸附装置</w:t>
            </w:r>
            <w:r w:rsidRPr="00A44AC9">
              <w:rPr>
                <w:rFonts w:asciiTheme="minorHAnsi" w:hAnsiTheme="minorHAnsi" w:hint="eastAsia"/>
                <w:b/>
                <w:szCs w:val="21"/>
                <w:u w:val="single"/>
              </w:rPr>
              <w:t>处理后</w:t>
            </w:r>
            <w:r w:rsidRPr="00A44AC9">
              <w:rPr>
                <w:rFonts w:asciiTheme="minorHAnsi" w:hAnsiTheme="minorHAnsi"/>
                <w:b/>
                <w:szCs w:val="21"/>
                <w:u w:val="single"/>
              </w:rPr>
              <w:t>排放，整个过程均在密闭设备、在密闭空间中操作等密闭收集方式，并保持负压运行；</w:t>
            </w:r>
            <w:r w:rsidRPr="00A44AC9">
              <w:rPr>
                <w:rFonts w:asciiTheme="minorHAnsi" w:hAnsiTheme="minorHAnsi" w:hint="eastAsia"/>
                <w:b/>
                <w:szCs w:val="21"/>
                <w:u w:val="single"/>
              </w:rPr>
              <w:t>项目</w:t>
            </w:r>
            <w:r w:rsidRPr="00A44AC9">
              <w:rPr>
                <w:rFonts w:asciiTheme="minorHAnsi" w:hAnsiTheme="minorHAnsi"/>
                <w:b/>
                <w:u w:val="single"/>
              </w:rPr>
              <w:t>盐液输送均采用密闭管道输送，</w:t>
            </w:r>
            <w:r w:rsidRPr="00A44AC9">
              <w:rPr>
                <w:rFonts w:asciiTheme="minorHAnsi" w:hAnsiTheme="minorHAnsi"/>
                <w:b/>
                <w:bCs/>
                <w:szCs w:val="21"/>
                <w:u w:val="single"/>
              </w:rPr>
              <w:t>进一步减少</w:t>
            </w:r>
            <w:r w:rsidRPr="00A44AC9">
              <w:rPr>
                <w:rFonts w:asciiTheme="minorHAnsi" w:hAnsiTheme="minorHAnsi"/>
                <w:b/>
                <w:u w:val="single"/>
              </w:rPr>
              <w:t>无组织</w:t>
            </w:r>
            <w:r w:rsidRPr="00A44AC9">
              <w:rPr>
                <w:rFonts w:asciiTheme="minorHAnsi" w:hAnsiTheme="minorHAnsi"/>
                <w:b/>
                <w:u w:val="single"/>
              </w:rPr>
              <w:t>VOCs</w:t>
            </w:r>
            <w:r w:rsidRPr="00A44AC9">
              <w:rPr>
                <w:rFonts w:asciiTheme="minorHAnsi" w:hAnsiTheme="minorHAnsi"/>
                <w:b/>
                <w:u w:val="single"/>
              </w:rPr>
              <w:t>的气体排放</w:t>
            </w:r>
            <w:r w:rsidRPr="00A44AC9">
              <w:rPr>
                <w:rFonts w:asciiTheme="minorHAnsi" w:hAnsiTheme="minorHAnsi"/>
                <w:b/>
                <w:szCs w:val="21"/>
                <w:u w:val="single"/>
              </w:rPr>
              <w:t>。</w:t>
            </w:r>
          </w:p>
        </w:tc>
      </w:tr>
      <w:tr w:rsidR="007841CB" w:rsidRPr="00A44AC9" w14:paraId="0225E421" w14:textId="77777777" w:rsidTr="007841CB">
        <w:trPr>
          <w:jc w:val="center"/>
        </w:trPr>
        <w:tc>
          <w:tcPr>
            <w:tcW w:w="691" w:type="dxa"/>
            <w:shd w:val="clear" w:color="auto" w:fill="auto"/>
            <w:vAlign w:val="center"/>
          </w:tcPr>
          <w:p w14:paraId="799FD0AB"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3</w:t>
            </w:r>
          </w:p>
        </w:tc>
        <w:tc>
          <w:tcPr>
            <w:tcW w:w="1184" w:type="dxa"/>
            <w:shd w:val="clear" w:color="auto" w:fill="auto"/>
            <w:vAlign w:val="center"/>
          </w:tcPr>
          <w:p w14:paraId="03153B6B"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四、提升治理水平，全面达标排放</w:t>
            </w:r>
          </w:p>
        </w:tc>
        <w:tc>
          <w:tcPr>
            <w:tcW w:w="4598" w:type="dxa"/>
            <w:shd w:val="clear" w:color="auto" w:fill="auto"/>
            <w:vAlign w:val="center"/>
          </w:tcPr>
          <w:p w14:paraId="60951EC2" w14:textId="77777777" w:rsidR="007841CB" w:rsidRPr="00A44AC9" w:rsidRDefault="007841CB" w:rsidP="00F01CEC">
            <w:pPr>
              <w:spacing w:line="360" w:lineRule="exact"/>
              <w:jc w:val="center"/>
              <w:rPr>
                <w:rFonts w:asciiTheme="minorHAnsi" w:hAnsiTheme="minorHAnsi"/>
                <w:b/>
                <w:szCs w:val="21"/>
                <w:u w:val="single"/>
              </w:rPr>
            </w:pPr>
            <w:r w:rsidRPr="00A44AC9">
              <w:rPr>
                <w:rFonts w:asciiTheme="minorHAnsi" w:hAnsiTheme="minorHAnsi"/>
                <w:b/>
                <w:szCs w:val="21"/>
                <w:u w:val="single"/>
              </w:rPr>
              <w:t>各地在</w:t>
            </w:r>
            <w:r w:rsidRPr="00A44AC9">
              <w:rPr>
                <w:rFonts w:asciiTheme="minorHAnsi" w:hAnsiTheme="minorHAnsi"/>
                <w:b/>
                <w:szCs w:val="21"/>
                <w:u w:val="single"/>
              </w:rPr>
              <w:t>2022</w:t>
            </w:r>
            <w:r w:rsidRPr="00A44AC9">
              <w:rPr>
                <w:rFonts w:asciiTheme="minorHAnsi" w:hAnsiTheme="minorHAnsi"/>
                <w:b/>
                <w:szCs w:val="21"/>
                <w:u w:val="single"/>
              </w:rPr>
              <w:t>年</w:t>
            </w:r>
            <w:r w:rsidRPr="00A44AC9">
              <w:rPr>
                <w:rFonts w:asciiTheme="minorHAnsi" w:hAnsiTheme="minorHAnsi"/>
                <w:b/>
                <w:szCs w:val="21"/>
                <w:u w:val="single"/>
              </w:rPr>
              <w:t>5</w:t>
            </w:r>
            <w:r w:rsidRPr="00A44AC9">
              <w:rPr>
                <w:rFonts w:asciiTheme="minorHAnsi" w:hAnsiTheme="minorHAnsi"/>
                <w:b/>
                <w:szCs w:val="21"/>
                <w:u w:val="single"/>
              </w:rPr>
              <w:t>月</w:t>
            </w:r>
            <w:r w:rsidRPr="00A44AC9">
              <w:rPr>
                <w:rFonts w:asciiTheme="minorHAnsi" w:hAnsiTheme="minorHAnsi"/>
                <w:b/>
                <w:szCs w:val="21"/>
                <w:u w:val="single"/>
              </w:rPr>
              <w:t>15</w:t>
            </w:r>
            <w:r w:rsidRPr="00A44AC9">
              <w:rPr>
                <w:rFonts w:asciiTheme="minorHAnsi" w:hAnsiTheme="minorHAnsi"/>
                <w:b/>
                <w:szCs w:val="21"/>
                <w:u w:val="single"/>
              </w:rPr>
              <w:t>日前全面梳理辖区内采用单一</w:t>
            </w:r>
            <w:r w:rsidRPr="00A44AC9">
              <w:rPr>
                <w:rFonts w:asciiTheme="minorHAnsi" w:hAnsiTheme="minorHAnsi"/>
                <w:b/>
                <w:szCs w:val="21"/>
                <w:u w:val="single"/>
              </w:rPr>
              <w:t>UV</w:t>
            </w:r>
            <w:r w:rsidRPr="00A44AC9">
              <w:rPr>
                <w:rFonts w:asciiTheme="minorHAnsi" w:hAnsiTheme="minorHAnsi"/>
                <w:b/>
                <w:szCs w:val="21"/>
                <w:u w:val="single"/>
              </w:rPr>
              <w:t>光氧催化、低温等离子、碱液喷淋等低效</w:t>
            </w:r>
            <w:r w:rsidRPr="00A44AC9">
              <w:rPr>
                <w:rFonts w:asciiTheme="minorHAnsi" w:hAnsiTheme="minorHAnsi"/>
                <w:b/>
                <w:szCs w:val="21"/>
                <w:u w:val="single"/>
              </w:rPr>
              <w:t>VOCs</w:t>
            </w:r>
            <w:r w:rsidRPr="00A44AC9">
              <w:rPr>
                <w:rFonts w:asciiTheme="minorHAnsi" w:hAnsiTheme="minorHAnsi"/>
                <w:b/>
                <w:szCs w:val="21"/>
                <w:u w:val="single"/>
              </w:rPr>
              <w:t>治理工艺企业，</w:t>
            </w:r>
            <w:r w:rsidRPr="00A44AC9">
              <w:rPr>
                <w:rFonts w:asciiTheme="minorHAnsi" w:hAnsiTheme="minorHAnsi"/>
                <w:b/>
                <w:szCs w:val="21"/>
                <w:u w:val="single"/>
              </w:rPr>
              <w:t>6</w:t>
            </w:r>
            <w:r w:rsidRPr="00A44AC9">
              <w:rPr>
                <w:rFonts w:asciiTheme="minorHAnsi" w:hAnsiTheme="minorHAnsi"/>
                <w:b/>
                <w:szCs w:val="21"/>
                <w:u w:val="single"/>
              </w:rPr>
              <w:t>月</w:t>
            </w:r>
            <w:r w:rsidRPr="00A44AC9">
              <w:rPr>
                <w:rFonts w:asciiTheme="minorHAnsi" w:hAnsiTheme="minorHAnsi"/>
                <w:b/>
                <w:szCs w:val="21"/>
                <w:u w:val="single"/>
              </w:rPr>
              <w:t>10</w:t>
            </w:r>
            <w:r w:rsidRPr="00A44AC9">
              <w:rPr>
                <w:rFonts w:asciiTheme="minorHAnsi" w:hAnsiTheme="minorHAnsi"/>
                <w:b/>
                <w:szCs w:val="21"/>
                <w:u w:val="single"/>
              </w:rPr>
              <w:t>日前在单一工艺基础上增加活性炭吸附工艺（颗粒状、柱状活性炭碘值不低于</w:t>
            </w:r>
            <w:r w:rsidRPr="00A44AC9">
              <w:rPr>
                <w:rFonts w:asciiTheme="minorHAnsi" w:hAnsiTheme="minorHAnsi"/>
                <w:b/>
                <w:szCs w:val="21"/>
                <w:u w:val="single"/>
              </w:rPr>
              <w:t>800</w:t>
            </w:r>
            <w:r w:rsidRPr="00A44AC9">
              <w:rPr>
                <w:rFonts w:asciiTheme="minorHAnsi" w:hAnsiTheme="minorHAnsi"/>
                <w:b/>
                <w:szCs w:val="21"/>
                <w:u w:val="single"/>
              </w:rPr>
              <w:t>毫克</w:t>
            </w:r>
            <w:r w:rsidRPr="00A44AC9">
              <w:rPr>
                <w:rFonts w:asciiTheme="minorHAnsi" w:hAnsiTheme="minorHAnsi"/>
                <w:b/>
                <w:szCs w:val="21"/>
                <w:u w:val="single"/>
              </w:rPr>
              <w:t>/</w:t>
            </w:r>
            <w:r w:rsidRPr="00A44AC9">
              <w:rPr>
                <w:rFonts w:asciiTheme="minorHAnsi" w:hAnsiTheme="minorHAnsi"/>
                <w:b/>
                <w:szCs w:val="21"/>
                <w:u w:val="single"/>
              </w:rPr>
              <w:t>克，蜂窝状活性炭碘值不低于</w:t>
            </w:r>
            <w:r w:rsidRPr="00A44AC9">
              <w:rPr>
                <w:rFonts w:asciiTheme="minorHAnsi" w:hAnsiTheme="minorHAnsi"/>
                <w:b/>
                <w:szCs w:val="21"/>
                <w:u w:val="single"/>
              </w:rPr>
              <w:t>650</w:t>
            </w:r>
            <w:r w:rsidRPr="00A44AC9">
              <w:rPr>
                <w:rFonts w:asciiTheme="minorHAnsi" w:hAnsiTheme="minorHAnsi"/>
                <w:b/>
                <w:szCs w:val="21"/>
                <w:u w:val="single"/>
              </w:rPr>
              <w:t>毫克</w:t>
            </w:r>
            <w:r w:rsidRPr="00A44AC9">
              <w:rPr>
                <w:rFonts w:asciiTheme="minorHAnsi" w:hAnsiTheme="minorHAnsi"/>
                <w:b/>
                <w:szCs w:val="21"/>
                <w:u w:val="single"/>
              </w:rPr>
              <w:t>/</w:t>
            </w:r>
            <w:r w:rsidRPr="00A44AC9">
              <w:rPr>
                <w:rFonts w:asciiTheme="minorHAnsi" w:hAnsiTheme="minorHAnsi"/>
                <w:b/>
                <w:szCs w:val="21"/>
                <w:u w:val="single"/>
              </w:rPr>
              <w:t>克），或建设</w:t>
            </w:r>
            <w:r w:rsidRPr="00A44AC9">
              <w:rPr>
                <w:rFonts w:asciiTheme="minorHAnsi" w:hAnsiTheme="minorHAnsi"/>
                <w:b/>
                <w:szCs w:val="21"/>
                <w:u w:val="single"/>
              </w:rPr>
              <w:t>RCO</w:t>
            </w:r>
            <w:r w:rsidRPr="00A44AC9">
              <w:rPr>
                <w:rFonts w:asciiTheme="minorHAnsi" w:hAnsiTheme="minorHAnsi"/>
                <w:b/>
                <w:szCs w:val="21"/>
                <w:u w:val="single"/>
              </w:rPr>
              <w:t>、</w:t>
            </w:r>
            <w:r w:rsidRPr="00A44AC9">
              <w:rPr>
                <w:rFonts w:asciiTheme="minorHAnsi" w:hAnsiTheme="minorHAnsi"/>
                <w:b/>
                <w:szCs w:val="21"/>
                <w:u w:val="single"/>
              </w:rPr>
              <w:t>RTO</w:t>
            </w:r>
            <w:r w:rsidRPr="00A44AC9">
              <w:rPr>
                <w:rFonts w:asciiTheme="minorHAnsi" w:hAnsiTheme="minorHAnsi"/>
                <w:b/>
                <w:szCs w:val="21"/>
                <w:u w:val="single"/>
              </w:rPr>
              <w:t>等高效处理工艺，确保废气污染物稳定达标排放。</w:t>
            </w:r>
          </w:p>
        </w:tc>
        <w:tc>
          <w:tcPr>
            <w:tcW w:w="3156" w:type="dxa"/>
            <w:shd w:val="clear" w:color="auto" w:fill="auto"/>
            <w:vAlign w:val="center"/>
          </w:tcPr>
          <w:p w14:paraId="53C9DCBB" w14:textId="77777777" w:rsidR="007841CB" w:rsidRPr="00A44AC9" w:rsidRDefault="007841CB" w:rsidP="001A4912">
            <w:pPr>
              <w:spacing w:line="360" w:lineRule="exact"/>
              <w:jc w:val="center"/>
              <w:rPr>
                <w:rFonts w:asciiTheme="minorHAnsi" w:hAnsiTheme="minorHAnsi"/>
                <w:b/>
                <w:szCs w:val="21"/>
                <w:u w:val="single"/>
              </w:rPr>
            </w:pPr>
            <w:r w:rsidRPr="00A44AC9">
              <w:rPr>
                <w:rFonts w:asciiTheme="minorHAnsi" w:hAnsiTheme="minorHAnsi"/>
                <w:b/>
                <w:szCs w:val="21"/>
                <w:u w:val="single"/>
              </w:rPr>
              <w:t>本次项目有机废气</w:t>
            </w:r>
            <w:r w:rsidRPr="00A44AC9">
              <w:rPr>
                <w:rFonts w:asciiTheme="minorHAnsi" w:hAnsiTheme="minorHAnsi" w:hint="eastAsia"/>
                <w:b/>
                <w:szCs w:val="21"/>
                <w:u w:val="single"/>
              </w:rPr>
              <w:t>采用</w:t>
            </w:r>
            <w:r w:rsidRPr="00A44AC9">
              <w:rPr>
                <w:rFonts w:asciiTheme="minorHAnsi" w:hAnsiTheme="minorHAnsi"/>
                <w:b/>
                <w:szCs w:val="21"/>
                <w:u w:val="single"/>
              </w:rPr>
              <w:t>水喷淋</w:t>
            </w:r>
            <w:r w:rsidR="001A4912" w:rsidRPr="00A44AC9">
              <w:rPr>
                <w:rFonts w:asciiTheme="minorHAnsi" w:hAnsiTheme="minorHAnsi" w:hint="eastAsia"/>
                <w:b/>
                <w:szCs w:val="21"/>
                <w:u w:val="single"/>
              </w:rPr>
              <w:t>治理</w:t>
            </w:r>
            <w:r w:rsidRPr="00A44AC9">
              <w:rPr>
                <w:rFonts w:asciiTheme="minorHAnsi" w:hAnsiTheme="minorHAnsi"/>
                <w:b/>
                <w:szCs w:val="21"/>
                <w:u w:val="single"/>
              </w:rPr>
              <w:t>有机废气基础上，增加了活性炭吸附装置，确保废气污染物稳定达标排放。</w:t>
            </w:r>
          </w:p>
        </w:tc>
      </w:tr>
    </w:tbl>
    <w:p w14:paraId="531127CD" w14:textId="01C7405C" w:rsidR="006B496C" w:rsidRPr="000A0585" w:rsidRDefault="007841CB" w:rsidP="000A0585">
      <w:pPr>
        <w:spacing w:line="520" w:lineRule="exact"/>
        <w:ind w:firstLineChars="200" w:firstLine="482"/>
        <w:rPr>
          <w:rFonts w:asciiTheme="minorEastAsia" w:eastAsiaTheme="minorEastAsia" w:hAnsiTheme="minorEastAsia" w:hint="eastAsia"/>
          <w:b/>
          <w:sz w:val="24"/>
          <w:u w:val="single"/>
        </w:rPr>
      </w:pPr>
      <w:r w:rsidRPr="00A44AC9">
        <w:rPr>
          <w:rFonts w:asciiTheme="minorEastAsia" w:eastAsiaTheme="minorEastAsia" w:hAnsiTheme="minorEastAsia" w:hint="eastAsia"/>
          <w:b/>
          <w:sz w:val="24"/>
          <w:u w:val="single"/>
        </w:rPr>
        <w:lastRenderedPageBreak/>
        <w:t>综上，项目符合《河南省关于全面加强挥发性有机物污染治理的通知》的要求。</w:t>
      </w:r>
    </w:p>
    <w:p w14:paraId="5430CF5D" w14:textId="77777777" w:rsidR="00DE642E" w:rsidRPr="003F10D2" w:rsidRDefault="00DE642E" w:rsidP="00DE642E">
      <w:pPr>
        <w:pStyle w:val="2e"/>
        <w:spacing w:line="520" w:lineRule="exact"/>
        <w:rPr>
          <w:rFonts w:asciiTheme="minorHAnsi" w:eastAsia="楷体_GB2312" w:hAnsiTheme="minorHAnsi" w:cstheme="minorHAnsi"/>
          <w:b/>
        </w:rPr>
      </w:pPr>
      <w:r w:rsidRPr="00233FF4">
        <w:rPr>
          <w:rFonts w:asciiTheme="minorHAnsi" w:eastAsia="楷体_GB2312" w:hAnsiTheme="minorHAnsi" w:cstheme="minorHAnsi" w:hint="eastAsia"/>
          <w:b/>
        </w:rPr>
        <w:t>1.8</w:t>
      </w:r>
      <w:r w:rsidRPr="00233FF4">
        <w:rPr>
          <w:rFonts w:asciiTheme="minorHAnsi" w:eastAsia="楷体_GB2312" w:hAnsiTheme="minorHAnsi" w:cstheme="minorHAnsi"/>
          <w:b/>
        </w:rPr>
        <w:t>.</w:t>
      </w:r>
      <w:r w:rsidRPr="00233FF4">
        <w:rPr>
          <w:rFonts w:asciiTheme="minorHAnsi" w:eastAsia="楷体_GB2312" w:hAnsiTheme="minorHAnsi" w:cstheme="minorHAnsi" w:hint="eastAsia"/>
          <w:b/>
        </w:rPr>
        <w:t>1</w:t>
      </w:r>
      <w:r>
        <w:rPr>
          <w:rFonts w:asciiTheme="minorHAnsi" w:eastAsia="楷体_GB2312" w:hAnsiTheme="minorHAnsi" w:cstheme="minorHAnsi"/>
          <w:b/>
        </w:rPr>
        <w:t>2</w:t>
      </w:r>
      <w:r w:rsidRPr="00233FF4">
        <w:rPr>
          <w:rFonts w:asciiTheme="minorHAnsi" w:eastAsia="楷体_GB2312" w:hAnsiTheme="minorHAnsi" w:cstheme="minorHAnsi" w:hint="eastAsia"/>
          <w:b/>
        </w:rPr>
        <w:t>与</w:t>
      </w:r>
      <w:r>
        <w:rPr>
          <w:rFonts w:asciiTheme="minorHAnsi" w:eastAsia="楷体_GB2312" w:hAnsiTheme="minorHAnsi" w:cstheme="minorHAnsi" w:hint="eastAsia"/>
          <w:b/>
        </w:rPr>
        <w:t>《</w:t>
      </w:r>
      <w:r>
        <w:rPr>
          <w:rFonts w:asciiTheme="minorHAnsi" w:eastAsia="楷体_GB2312" w:hAnsiTheme="minorHAnsi" w:cstheme="minorHAnsi" w:hint="eastAsia"/>
          <w:b/>
        </w:rPr>
        <w:t>2020</w:t>
      </w:r>
      <w:r>
        <w:rPr>
          <w:rFonts w:asciiTheme="minorHAnsi" w:eastAsia="楷体_GB2312" w:hAnsiTheme="minorHAnsi" w:cstheme="minorHAnsi" w:hint="eastAsia"/>
          <w:b/>
        </w:rPr>
        <w:t>年</w:t>
      </w:r>
      <w:r>
        <w:rPr>
          <w:rFonts w:asciiTheme="minorHAnsi" w:eastAsia="楷体_GB2312" w:hAnsiTheme="minorHAnsi" w:cstheme="minorHAnsi"/>
          <w:b/>
        </w:rPr>
        <w:t>挥发性有机物</w:t>
      </w:r>
      <w:r>
        <w:rPr>
          <w:rFonts w:asciiTheme="minorHAnsi" w:eastAsia="楷体_GB2312" w:hAnsiTheme="minorHAnsi" w:cstheme="minorHAnsi" w:hint="eastAsia"/>
          <w:b/>
        </w:rPr>
        <w:t>治理</w:t>
      </w:r>
      <w:r>
        <w:rPr>
          <w:rFonts w:asciiTheme="minorHAnsi" w:eastAsia="楷体_GB2312" w:hAnsiTheme="minorHAnsi" w:cstheme="minorHAnsi"/>
          <w:b/>
        </w:rPr>
        <w:t>攻坚方案</w:t>
      </w:r>
      <w:r>
        <w:rPr>
          <w:rFonts w:asciiTheme="minorHAnsi" w:eastAsia="楷体_GB2312" w:hAnsiTheme="minorHAnsi" w:cstheme="minorHAnsi" w:hint="eastAsia"/>
          <w:b/>
        </w:rPr>
        <w:t>》（环</w:t>
      </w:r>
      <w:r>
        <w:rPr>
          <w:rFonts w:asciiTheme="minorHAnsi" w:eastAsia="楷体_GB2312" w:hAnsiTheme="minorHAnsi" w:cstheme="minorHAnsi"/>
          <w:b/>
        </w:rPr>
        <w:t>大气【</w:t>
      </w:r>
      <w:r>
        <w:rPr>
          <w:rFonts w:asciiTheme="minorHAnsi" w:eastAsia="楷体_GB2312" w:hAnsiTheme="minorHAnsi" w:cstheme="minorHAnsi" w:hint="eastAsia"/>
          <w:b/>
        </w:rPr>
        <w:t>2020</w:t>
      </w:r>
      <w:r>
        <w:rPr>
          <w:rFonts w:asciiTheme="minorHAnsi" w:eastAsia="楷体_GB2312" w:hAnsiTheme="minorHAnsi" w:cstheme="minorHAnsi"/>
          <w:b/>
        </w:rPr>
        <w:t>】</w:t>
      </w:r>
      <w:r>
        <w:rPr>
          <w:rFonts w:asciiTheme="minorHAnsi" w:eastAsia="楷体_GB2312" w:hAnsiTheme="minorHAnsi" w:cstheme="minorHAnsi" w:hint="eastAsia"/>
          <w:b/>
        </w:rPr>
        <w:t>33</w:t>
      </w:r>
      <w:r>
        <w:rPr>
          <w:rFonts w:asciiTheme="minorHAnsi" w:eastAsia="楷体_GB2312" w:hAnsiTheme="minorHAnsi" w:cstheme="minorHAnsi" w:hint="eastAsia"/>
          <w:b/>
        </w:rPr>
        <w:t>号）</w:t>
      </w:r>
      <w:r>
        <w:rPr>
          <w:rFonts w:asciiTheme="minorHAnsi" w:eastAsia="楷体_GB2312" w:hAnsiTheme="minorHAnsi" w:cstheme="minorHAnsi"/>
          <w:b/>
        </w:rPr>
        <w:t>相符性分析</w:t>
      </w:r>
    </w:p>
    <w:p w14:paraId="6F900A8F" w14:textId="77777777" w:rsidR="00DE642E" w:rsidRPr="00DE642E" w:rsidRDefault="00DE642E" w:rsidP="00DE642E">
      <w:pPr>
        <w:pStyle w:val="ad"/>
        <w:ind w:firstLineChars="200" w:firstLine="480"/>
        <w:rPr>
          <w:rFonts w:ascii="Calibri" w:eastAsia="宋体" w:hAnsi="Times New Roman"/>
          <w:b w:val="0"/>
          <w:bCs/>
          <w:color w:val="auto"/>
          <w:sz w:val="24"/>
        </w:rPr>
      </w:pPr>
      <w:r w:rsidRPr="00DE642E">
        <w:rPr>
          <w:rFonts w:ascii="Calibri" w:eastAsia="宋体" w:hAnsi="Times New Roman" w:hint="eastAsia"/>
          <w:b w:val="0"/>
          <w:bCs/>
          <w:color w:val="auto"/>
          <w:sz w:val="24"/>
        </w:rPr>
        <w:t>生态环境部于</w:t>
      </w:r>
      <w:r>
        <w:rPr>
          <w:rFonts w:ascii="Calibri" w:eastAsia="宋体" w:hAnsi="Times New Roman" w:hint="eastAsia"/>
          <w:b w:val="0"/>
          <w:bCs/>
          <w:color w:val="auto"/>
          <w:sz w:val="24"/>
        </w:rPr>
        <w:t>2020</w:t>
      </w:r>
      <w:r w:rsidRPr="00DE642E">
        <w:rPr>
          <w:rFonts w:ascii="Calibri" w:eastAsia="宋体" w:hAnsi="Times New Roman" w:hint="eastAsia"/>
          <w:b w:val="0"/>
          <w:bCs/>
          <w:color w:val="auto"/>
          <w:sz w:val="24"/>
        </w:rPr>
        <w:t>年</w:t>
      </w:r>
      <w:r>
        <w:rPr>
          <w:rFonts w:ascii="Calibri" w:eastAsia="宋体" w:hAnsi="Times New Roman" w:hint="eastAsia"/>
          <w:b w:val="0"/>
          <w:bCs/>
          <w:color w:val="auto"/>
          <w:sz w:val="24"/>
        </w:rPr>
        <w:t>6</w:t>
      </w:r>
      <w:r w:rsidRPr="00DE642E">
        <w:rPr>
          <w:rFonts w:ascii="Calibri" w:eastAsia="宋体" w:hAnsi="Times New Roman" w:hint="eastAsia"/>
          <w:b w:val="0"/>
          <w:bCs/>
          <w:color w:val="auto"/>
          <w:sz w:val="24"/>
        </w:rPr>
        <w:t>月</w:t>
      </w:r>
      <w:r>
        <w:rPr>
          <w:rFonts w:ascii="Calibri" w:eastAsia="宋体" w:hAnsi="Times New Roman" w:hint="eastAsia"/>
          <w:b w:val="0"/>
          <w:bCs/>
          <w:color w:val="auto"/>
          <w:sz w:val="24"/>
        </w:rPr>
        <w:t>24</w:t>
      </w:r>
      <w:r w:rsidRPr="00DE642E">
        <w:rPr>
          <w:rFonts w:ascii="Calibri" w:eastAsia="宋体" w:hAnsi="Times New Roman" w:hint="eastAsia"/>
          <w:b w:val="0"/>
          <w:bCs/>
          <w:color w:val="auto"/>
          <w:sz w:val="24"/>
        </w:rPr>
        <w:t>日印发了《</w:t>
      </w:r>
      <w:r>
        <w:rPr>
          <w:rFonts w:ascii="Calibri" w:eastAsia="宋体" w:hAnsi="Times New Roman" w:hint="eastAsia"/>
          <w:b w:val="0"/>
          <w:bCs/>
          <w:color w:val="auto"/>
          <w:sz w:val="24"/>
        </w:rPr>
        <w:t>2020</w:t>
      </w:r>
      <w:r w:rsidRPr="00DE642E">
        <w:rPr>
          <w:rFonts w:ascii="Calibri" w:eastAsia="宋体" w:hAnsi="Times New Roman" w:hint="eastAsia"/>
          <w:b w:val="0"/>
          <w:bCs/>
          <w:color w:val="auto"/>
          <w:sz w:val="24"/>
        </w:rPr>
        <w:t>年挥发性有机物治理攻坚方案》</w:t>
      </w:r>
    </w:p>
    <w:p w14:paraId="03F1FFBF" w14:textId="77777777" w:rsidR="00DE642E" w:rsidRPr="00DE642E" w:rsidRDefault="00DE642E" w:rsidP="00DE642E">
      <w:pPr>
        <w:pStyle w:val="ad"/>
        <w:rPr>
          <w:rFonts w:ascii="Calibri" w:eastAsia="宋体" w:hAnsi="Times New Roman"/>
          <w:b w:val="0"/>
          <w:bCs/>
          <w:color w:val="auto"/>
          <w:sz w:val="24"/>
        </w:rPr>
      </w:pPr>
      <w:r w:rsidRPr="00DE642E">
        <w:rPr>
          <w:rFonts w:ascii="Calibri" w:eastAsia="宋体" w:hAnsi="Times New Roman" w:hint="eastAsia"/>
          <w:b w:val="0"/>
          <w:bCs/>
          <w:color w:val="auto"/>
          <w:sz w:val="24"/>
        </w:rPr>
        <w:t>（环大气〔</w:t>
      </w:r>
      <w:r w:rsidRPr="00DE642E">
        <w:rPr>
          <w:rFonts w:ascii="Calibri" w:eastAsia="宋体" w:hAnsi="Times New Roman" w:hint="eastAsia"/>
          <w:b w:val="0"/>
          <w:bCs/>
          <w:color w:val="auto"/>
          <w:sz w:val="24"/>
        </w:rPr>
        <w:t>2020</w:t>
      </w:r>
      <w:r w:rsidRPr="00DE642E">
        <w:rPr>
          <w:rFonts w:ascii="Calibri" w:eastAsia="宋体" w:hAnsi="Times New Roman" w:hint="eastAsia"/>
          <w:b w:val="0"/>
          <w:bCs/>
          <w:color w:val="auto"/>
          <w:sz w:val="24"/>
        </w:rPr>
        <w:t>〕</w:t>
      </w:r>
      <w:r>
        <w:rPr>
          <w:rFonts w:ascii="Calibri" w:eastAsia="宋体" w:hAnsi="Times New Roman" w:hint="eastAsia"/>
          <w:b w:val="0"/>
          <w:bCs/>
          <w:color w:val="auto"/>
          <w:sz w:val="24"/>
        </w:rPr>
        <w:t>33</w:t>
      </w:r>
      <w:r w:rsidRPr="00DE642E">
        <w:rPr>
          <w:rFonts w:ascii="Calibri" w:eastAsia="宋体" w:hAnsi="Times New Roman" w:hint="eastAsia"/>
          <w:b w:val="0"/>
          <w:bCs/>
          <w:color w:val="auto"/>
          <w:sz w:val="24"/>
        </w:rPr>
        <w:t>号），该计划与本项目相关的要求分析见下表。</w:t>
      </w:r>
    </w:p>
    <w:p w14:paraId="75ECF629" w14:textId="77777777" w:rsidR="00DE642E" w:rsidRPr="00A44AC9" w:rsidRDefault="00DE642E" w:rsidP="00DE642E">
      <w:pPr>
        <w:spacing w:line="520" w:lineRule="exact"/>
        <w:ind w:firstLineChars="200" w:firstLine="482"/>
        <w:rPr>
          <w:rFonts w:ascii="黑体" w:eastAsia="黑体" w:hAnsi="黑体"/>
          <w:b/>
          <w:sz w:val="24"/>
          <w:u w:val="single"/>
        </w:rPr>
      </w:pPr>
      <w:r w:rsidRPr="00A44AC9">
        <w:rPr>
          <w:rFonts w:ascii="黑体" w:eastAsia="黑体" w:hAnsi="黑体" w:hint="eastAsia"/>
          <w:b/>
          <w:sz w:val="24"/>
          <w:u w:val="single"/>
        </w:rPr>
        <w:t>表</w:t>
      </w:r>
      <w:r w:rsidRPr="00A44AC9">
        <w:rPr>
          <w:rFonts w:asciiTheme="minorHAnsi" w:eastAsia="黑体" w:hAnsiTheme="minorHAnsi"/>
          <w:b/>
          <w:sz w:val="24"/>
          <w:u w:val="single"/>
        </w:rPr>
        <w:t>1.8-1</w:t>
      </w:r>
      <w:r>
        <w:rPr>
          <w:rFonts w:asciiTheme="minorHAnsi" w:eastAsia="黑体" w:hAnsiTheme="minorHAnsi"/>
          <w:b/>
          <w:sz w:val="24"/>
          <w:u w:val="single"/>
        </w:rPr>
        <w:t>3</w:t>
      </w:r>
      <w:r w:rsidRPr="00A44AC9">
        <w:rPr>
          <w:rFonts w:ascii="黑体" w:eastAsia="黑体" w:hAnsi="黑体" w:hint="eastAsia"/>
          <w:b/>
          <w:sz w:val="24"/>
          <w:u w:val="single"/>
        </w:rPr>
        <w:t xml:space="preserve">  </w:t>
      </w:r>
      <w:r w:rsidRPr="00A44AC9">
        <w:rPr>
          <w:rFonts w:ascii="黑体" w:eastAsia="黑体" w:hAnsi="黑体"/>
          <w:b/>
          <w:sz w:val="24"/>
          <w:u w:val="single"/>
        </w:rPr>
        <w:t xml:space="preserve">  </w:t>
      </w:r>
      <w:r>
        <w:rPr>
          <w:rFonts w:ascii="黑体" w:eastAsia="黑体" w:hAnsi="黑体"/>
          <w:b/>
          <w:sz w:val="24"/>
          <w:u w:val="single"/>
        </w:rPr>
        <w:t xml:space="preserve">      </w:t>
      </w:r>
      <w:r>
        <w:rPr>
          <w:rFonts w:ascii="黑体" w:eastAsia="黑体" w:hAnsi="黑体" w:hint="eastAsia"/>
          <w:b/>
          <w:sz w:val="24"/>
          <w:u w:val="single"/>
        </w:rPr>
        <w:t>与环</w:t>
      </w:r>
      <w:r>
        <w:rPr>
          <w:rFonts w:ascii="黑体" w:eastAsia="黑体" w:hAnsi="黑体"/>
          <w:b/>
          <w:sz w:val="24"/>
          <w:u w:val="single"/>
        </w:rPr>
        <w:t>大气【</w:t>
      </w:r>
      <w:r>
        <w:rPr>
          <w:rFonts w:ascii="黑体" w:eastAsia="黑体" w:hAnsi="黑体" w:hint="eastAsia"/>
          <w:b/>
          <w:sz w:val="24"/>
          <w:u w:val="single"/>
        </w:rPr>
        <w:t>2020</w:t>
      </w:r>
      <w:r>
        <w:rPr>
          <w:rFonts w:ascii="黑体" w:eastAsia="黑体" w:hAnsi="黑体"/>
          <w:b/>
          <w:sz w:val="24"/>
          <w:u w:val="single"/>
        </w:rPr>
        <w:t>】</w:t>
      </w:r>
      <w:r>
        <w:rPr>
          <w:rFonts w:ascii="黑体" w:eastAsia="黑体" w:hAnsi="黑体" w:hint="eastAsia"/>
          <w:b/>
          <w:sz w:val="24"/>
          <w:u w:val="single"/>
        </w:rPr>
        <w:t>33号</w:t>
      </w:r>
      <w:r>
        <w:rPr>
          <w:rFonts w:ascii="黑体" w:eastAsia="黑体" w:hAnsi="黑体"/>
          <w:b/>
          <w:sz w:val="24"/>
          <w:u w:val="single"/>
        </w:rPr>
        <w:t>相符性分析</w:t>
      </w:r>
    </w:p>
    <w:tbl>
      <w:tblPr>
        <w:tblStyle w:val="af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6"/>
        <w:gridCol w:w="4964"/>
        <w:gridCol w:w="2900"/>
      </w:tblGrid>
      <w:tr w:rsidR="00DE642E" w14:paraId="16E52462" w14:textId="77777777" w:rsidTr="00DE642E">
        <w:tc>
          <w:tcPr>
            <w:tcW w:w="836" w:type="dxa"/>
          </w:tcPr>
          <w:p w14:paraId="1EAC7071"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序号</w:t>
            </w:r>
          </w:p>
        </w:tc>
        <w:tc>
          <w:tcPr>
            <w:tcW w:w="4964" w:type="dxa"/>
          </w:tcPr>
          <w:p w14:paraId="5862681B"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文件</w:t>
            </w:r>
            <w:r w:rsidRPr="00DE642E">
              <w:rPr>
                <w:rFonts w:asciiTheme="minorHAnsi" w:hAnsiTheme="minorHAnsi"/>
                <w:b/>
                <w:szCs w:val="21"/>
                <w:u w:val="single"/>
              </w:rPr>
              <w:t>相关要求</w:t>
            </w:r>
          </w:p>
        </w:tc>
        <w:tc>
          <w:tcPr>
            <w:tcW w:w="2900" w:type="dxa"/>
          </w:tcPr>
          <w:p w14:paraId="5240B178"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相符性</w:t>
            </w:r>
            <w:r w:rsidRPr="00DE642E">
              <w:rPr>
                <w:rFonts w:asciiTheme="minorHAnsi" w:hAnsiTheme="minorHAnsi"/>
                <w:b/>
                <w:szCs w:val="21"/>
                <w:u w:val="single"/>
              </w:rPr>
              <w:t>分析</w:t>
            </w:r>
          </w:p>
        </w:tc>
      </w:tr>
      <w:tr w:rsidR="00DE642E" w14:paraId="6F40694D" w14:textId="77777777" w:rsidTr="00DE642E">
        <w:tc>
          <w:tcPr>
            <w:tcW w:w="836" w:type="dxa"/>
          </w:tcPr>
          <w:p w14:paraId="6FB18AA2" w14:textId="77777777" w:rsidR="00DE642E" w:rsidRPr="00DE642E" w:rsidRDefault="00DE642E" w:rsidP="00DE642E">
            <w:pPr>
              <w:spacing w:line="360" w:lineRule="exact"/>
              <w:jc w:val="center"/>
              <w:rPr>
                <w:rFonts w:asciiTheme="minorHAnsi" w:hAnsiTheme="minorHAnsi"/>
                <w:b/>
                <w:szCs w:val="21"/>
                <w:u w:val="single"/>
              </w:rPr>
            </w:pPr>
            <w:r>
              <w:rPr>
                <w:rFonts w:asciiTheme="minorHAnsi" w:hAnsiTheme="minorHAnsi" w:hint="eastAsia"/>
                <w:b/>
                <w:szCs w:val="21"/>
                <w:u w:val="single"/>
              </w:rPr>
              <w:t>1</w:t>
            </w:r>
          </w:p>
        </w:tc>
        <w:tc>
          <w:tcPr>
            <w:tcW w:w="4964" w:type="dxa"/>
          </w:tcPr>
          <w:p w14:paraId="09204A30" w14:textId="77777777" w:rsidR="00DE642E" w:rsidRPr="00DE642E" w:rsidRDefault="00DE642E" w:rsidP="00DE642E">
            <w:pPr>
              <w:spacing w:line="360" w:lineRule="exact"/>
              <w:jc w:val="center"/>
              <w:rPr>
                <w:rFonts w:asciiTheme="minorHAnsi" w:hAnsiTheme="minorHAnsi"/>
                <w:b/>
                <w:szCs w:val="21"/>
                <w:u w:val="single"/>
              </w:rPr>
            </w:pPr>
            <w:r>
              <w:rPr>
                <w:rFonts w:asciiTheme="minorHAnsi" w:hAnsiTheme="minorHAnsi" w:hint="eastAsia"/>
                <w:b/>
                <w:szCs w:val="21"/>
                <w:u w:val="single"/>
              </w:rPr>
              <w:t>2020</w:t>
            </w:r>
            <w:r w:rsidRPr="00DE642E">
              <w:rPr>
                <w:rFonts w:asciiTheme="minorHAnsi" w:hAnsiTheme="minorHAnsi" w:hint="eastAsia"/>
                <w:b/>
                <w:szCs w:val="21"/>
                <w:u w:val="single"/>
              </w:rPr>
              <w:t>年</w:t>
            </w:r>
            <w:r>
              <w:rPr>
                <w:rFonts w:asciiTheme="minorHAnsi" w:hAnsiTheme="minorHAnsi" w:hint="eastAsia"/>
                <w:b/>
                <w:szCs w:val="21"/>
                <w:u w:val="single"/>
              </w:rPr>
              <w:t>7</w:t>
            </w:r>
            <w:r w:rsidRPr="00DE642E">
              <w:rPr>
                <w:rFonts w:asciiTheme="minorHAnsi" w:hAnsiTheme="minorHAnsi" w:hint="eastAsia"/>
                <w:b/>
                <w:szCs w:val="21"/>
                <w:u w:val="single"/>
              </w:rPr>
              <w:t>月</w:t>
            </w:r>
            <w:r>
              <w:rPr>
                <w:rFonts w:asciiTheme="minorHAnsi" w:hAnsiTheme="minorHAnsi" w:hint="eastAsia"/>
                <w:b/>
                <w:szCs w:val="21"/>
                <w:u w:val="single"/>
              </w:rPr>
              <w:t>1</w:t>
            </w:r>
            <w:r w:rsidRPr="00DE642E">
              <w:rPr>
                <w:rFonts w:asciiTheme="minorHAnsi" w:hAnsiTheme="minorHAnsi" w:hint="eastAsia"/>
                <w:b/>
                <w:szCs w:val="21"/>
                <w:u w:val="single"/>
              </w:rPr>
              <w:t>日起，全面执行《挥发性有机物无组织排放控制标准》，重点区域应落实无组织排放特别控制要求。</w:t>
            </w:r>
          </w:p>
        </w:tc>
        <w:tc>
          <w:tcPr>
            <w:tcW w:w="2900" w:type="dxa"/>
          </w:tcPr>
          <w:p w14:paraId="36CAC51E" w14:textId="77777777" w:rsidR="00DE642E" w:rsidRPr="00DE642E" w:rsidRDefault="00DE642E" w:rsidP="00DE642E">
            <w:pPr>
              <w:spacing w:line="360" w:lineRule="exact"/>
              <w:rPr>
                <w:rFonts w:asciiTheme="minorHAnsi" w:hAnsiTheme="minorHAnsi"/>
                <w:b/>
                <w:szCs w:val="21"/>
                <w:u w:val="single"/>
              </w:rPr>
            </w:pPr>
            <w:r w:rsidRPr="00DE642E">
              <w:rPr>
                <w:rFonts w:asciiTheme="minorHAnsi" w:hAnsiTheme="minorHAnsi" w:hint="eastAsia"/>
                <w:b/>
                <w:szCs w:val="21"/>
                <w:u w:val="single"/>
              </w:rPr>
              <w:t>本项目执行《挥发性有</w:t>
            </w:r>
          </w:p>
          <w:p w14:paraId="1BF8D3C9"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机物无组织排放控制标</w:t>
            </w:r>
          </w:p>
          <w:p w14:paraId="33E18F3A" w14:textId="77777777" w:rsidR="00DE642E" w:rsidRPr="00DE642E" w:rsidRDefault="004F1F5C" w:rsidP="00DE642E">
            <w:pPr>
              <w:spacing w:line="360" w:lineRule="exact"/>
              <w:jc w:val="center"/>
              <w:rPr>
                <w:rFonts w:asciiTheme="minorHAnsi" w:hAnsiTheme="minorHAnsi"/>
                <w:b/>
                <w:szCs w:val="21"/>
                <w:u w:val="single"/>
              </w:rPr>
            </w:pPr>
            <w:r>
              <w:rPr>
                <w:rFonts w:asciiTheme="minorHAnsi" w:hAnsiTheme="minorHAnsi" w:hint="eastAsia"/>
                <w:b/>
                <w:szCs w:val="21"/>
                <w:u w:val="single"/>
              </w:rPr>
              <w:t>准》</w:t>
            </w:r>
            <w:r w:rsidR="00DE642E" w:rsidRPr="00DE642E">
              <w:rPr>
                <w:rFonts w:asciiTheme="minorHAnsi" w:hAnsiTheme="minorHAnsi" w:hint="eastAsia"/>
                <w:b/>
                <w:szCs w:val="21"/>
                <w:u w:val="single"/>
              </w:rPr>
              <w:t>排放控制要求</w:t>
            </w:r>
          </w:p>
        </w:tc>
      </w:tr>
      <w:tr w:rsidR="00DE642E" w14:paraId="4D24E992" w14:textId="77777777" w:rsidTr="00DE642E">
        <w:tc>
          <w:tcPr>
            <w:tcW w:w="836" w:type="dxa"/>
          </w:tcPr>
          <w:p w14:paraId="1514A8E2" w14:textId="77777777" w:rsidR="00DE642E" w:rsidRPr="00DE642E" w:rsidRDefault="00DE642E" w:rsidP="00DE642E">
            <w:pPr>
              <w:spacing w:line="360" w:lineRule="exact"/>
              <w:jc w:val="center"/>
              <w:rPr>
                <w:rFonts w:asciiTheme="minorHAnsi" w:hAnsiTheme="minorHAnsi"/>
                <w:b/>
                <w:szCs w:val="21"/>
                <w:u w:val="single"/>
              </w:rPr>
            </w:pPr>
            <w:r>
              <w:rPr>
                <w:rFonts w:asciiTheme="minorHAnsi" w:hAnsiTheme="minorHAnsi" w:hint="eastAsia"/>
                <w:b/>
                <w:szCs w:val="21"/>
                <w:u w:val="single"/>
              </w:rPr>
              <w:t>2</w:t>
            </w:r>
          </w:p>
        </w:tc>
        <w:tc>
          <w:tcPr>
            <w:tcW w:w="4964" w:type="dxa"/>
          </w:tcPr>
          <w:p w14:paraId="549FADF5"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企业在无组织排放排查整治过程中，在保证安全的前提下，加强含</w:t>
            </w:r>
            <w:r>
              <w:rPr>
                <w:rFonts w:asciiTheme="minorHAnsi" w:hAnsiTheme="minorHAnsi" w:hint="eastAsia"/>
                <w:b/>
                <w:szCs w:val="21"/>
                <w:u w:val="single"/>
              </w:rPr>
              <w:t>VOCs</w:t>
            </w:r>
            <w:r w:rsidRPr="00DE642E">
              <w:rPr>
                <w:rFonts w:asciiTheme="minorHAnsi" w:hAnsiTheme="minorHAnsi" w:hint="eastAsia"/>
                <w:b/>
                <w:szCs w:val="21"/>
                <w:u w:val="single"/>
              </w:rPr>
              <w:t>物料全方位、全链条、全环节密闭管理。储存环节应采用密闭容器、包装袋，高效密封储罐，封闭式储库、料仓等。装卸、转移和输送环节应采用密闭管道或密闭容器、罐车</w:t>
            </w:r>
          </w:p>
          <w:p w14:paraId="0CE17144"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等。生产和使用环节应采用密闭设备，或在密闭空间中操作并有效收集废气，或进行局部气体收集；非取用状态时容器应密闭。处置环节应将盛装过</w:t>
            </w:r>
            <w:r>
              <w:rPr>
                <w:rFonts w:asciiTheme="minorHAnsi" w:hAnsiTheme="minorHAnsi" w:hint="eastAsia"/>
                <w:b/>
                <w:szCs w:val="21"/>
                <w:u w:val="single"/>
              </w:rPr>
              <w:t xml:space="preserve"> VOCs</w:t>
            </w:r>
            <w:r w:rsidRPr="00DE642E">
              <w:rPr>
                <w:rFonts w:asciiTheme="minorHAnsi" w:hAnsiTheme="minorHAnsi" w:hint="eastAsia"/>
                <w:b/>
                <w:szCs w:val="21"/>
                <w:u w:val="single"/>
              </w:rPr>
              <w:t>物料的包装容器、含非甲烷总烃废料（渣、液）、废吸附剂等通过加盖、封装等方式密闭，</w:t>
            </w:r>
          </w:p>
          <w:p w14:paraId="3FC2E856" w14:textId="77777777" w:rsidR="00DE642E" w:rsidRPr="00DE642E" w:rsidRDefault="00DE642E" w:rsidP="00DE642E">
            <w:pPr>
              <w:spacing w:line="360" w:lineRule="exact"/>
              <w:jc w:val="left"/>
              <w:rPr>
                <w:rFonts w:asciiTheme="minorHAnsi" w:hAnsiTheme="minorHAnsi"/>
                <w:b/>
                <w:szCs w:val="21"/>
                <w:u w:val="single"/>
              </w:rPr>
            </w:pPr>
            <w:r w:rsidRPr="00DE642E">
              <w:rPr>
                <w:rFonts w:asciiTheme="minorHAnsi" w:hAnsiTheme="minorHAnsi" w:hint="eastAsia"/>
                <w:b/>
                <w:szCs w:val="21"/>
                <w:u w:val="single"/>
              </w:rPr>
              <w:t>妥善存放，不得随意丢弃，</w:t>
            </w:r>
            <w:r>
              <w:rPr>
                <w:rFonts w:asciiTheme="minorHAnsi" w:hAnsiTheme="minorHAnsi" w:hint="eastAsia"/>
                <w:b/>
                <w:szCs w:val="21"/>
                <w:u w:val="single"/>
              </w:rPr>
              <w:t>7</w:t>
            </w:r>
            <w:r w:rsidRPr="00DE642E">
              <w:rPr>
                <w:rFonts w:asciiTheme="minorHAnsi" w:hAnsiTheme="minorHAnsi" w:hint="eastAsia"/>
                <w:b/>
                <w:szCs w:val="21"/>
                <w:u w:val="single"/>
              </w:rPr>
              <w:t>月</w:t>
            </w:r>
            <w:r>
              <w:rPr>
                <w:rFonts w:asciiTheme="minorHAnsi" w:hAnsiTheme="minorHAnsi" w:hint="eastAsia"/>
                <w:b/>
                <w:szCs w:val="21"/>
                <w:u w:val="single"/>
              </w:rPr>
              <w:t>15</w:t>
            </w:r>
            <w:r w:rsidRPr="00DE642E">
              <w:rPr>
                <w:rFonts w:asciiTheme="minorHAnsi" w:hAnsiTheme="minorHAnsi" w:hint="eastAsia"/>
                <w:b/>
                <w:szCs w:val="21"/>
                <w:u w:val="single"/>
              </w:rPr>
              <w:t>日前集中清运一次，交有资质的单位处置；处置单位在贮存、清洗、破碎等环节应按要求对非甲烷总烃无组织排放废气进行收集、处理。高非甲烷总烃含量废水的集输、储存和处理环节，应加盖密闭。</w:t>
            </w:r>
          </w:p>
        </w:tc>
        <w:tc>
          <w:tcPr>
            <w:tcW w:w="2900" w:type="dxa"/>
          </w:tcPr>
          <w:p w14:paraId="335812A5" w14:textId="77777777" w:rsidR="004F1F5C" w:rsidRPr="004F1F5C" w:rsidRDefault="004F1F5C" w:rsidP="004F1F5C">
            <w:pPr>
              <w:spacing w:line="360" w:lineRule="exact"/>
              <w:rPr>
                <w:rFonts w:asciiTheme="minorHAnsi" w:hAnsiTheme="minorHAnsi"/>
                <w:b/>
                <w:szCs w:val="21"/>
                <w:u w:val="single"/>
              </w:rPr>
            </w:pPr>
            <w:r w:rsidRPr="004F1F5C">
              <w:rPr>
                <w:rFonts w:asciiTheme="minorHAnsi" w:hAnsiTheme="minorHAnsi" w:hint="eastAsia"/>
                <w:b/>
                <w:szCs w:val="21"/>
                <w:u w:val="single"/>
              </w:rPr>
              <w:t>本项目生产设备采用全密闭、自动化生产技术，采用成熟工艺及设备，减少工艺过程中无组织排放。</w:t>
            </w:r>
            <w:r>
              <w:rPr>
                <w:rFonts w:asciiTheme="minorHAnsi" w:hAnsiTheme="minorHAnsi" w:hint="eastAsia"/>
                <w:b/>
                <w:szCs w:val="21"/>
                <w:u w:val="single"/>
              </w:rPr>
              <w:t>使用密闭桶</w:t>
            </w:r>
            <w:r>
              <w:rPr>
                <w:rFonts w:asciiTheme="minorHAnsi" w:hAnsiTheme="minorHAnsi"/>
                <w:b/>
                <w:szCs w:val="21"/>
                <w:u w:val="single"/>
              </w:rPr>
              <w:t>储罐液态物料，</w:t>
            </w:r>
            <w:r>
              <w:rPr>
                <w:rFonts w:asciiTheme="minorHAnsi" w:hAnsiTheme="minorHAnsi" w:hint="eastAsia"/>
                <w:b/>
                <w:szCs w:val="21"/>
                <w:u w:val="single"/>
              </w:rPr>
              <w:t>中间</w:t>
            </w:r>
            <w:r>
              <w:rPr>
                <w:rFonts w:asciiTheme="minorHAnsi" w:hAnsiTheme="minorHAnsi"/>
                <w:b/>
                <w:szCs w:val="21"/>
                <w:u w:val="single"/>
              </w:rPr>
              <w:t>储罐密闭储存尼龙</w:t>
            </w:r>
            <w:r>
              <w:rPr>
                <w:rFonts w:asciiTheme="minorHAnsi" w:hAnsiTheme="minorHAnsi" w:hint="eastAsia"/>
                <w:b/>
                <w:szCs w:val="21"/>
                <w:u w:val="single"/>
              </w:rPr>
              <w:t>66</w:t>
            </w:r>
            <w:r>
              <w:rPr>
                <w:rFonts w:asciiTheme="minorHAnsi" w:hAnsiTheme="minorHAnsi" w:hint="eastAsia"/>
                <w:b/>
                <w:szCs w:val="21"/>
                <w:u w:val="single"/>
              </w:rPr>
              <w:t>盐</w:t>
            </w:r>
            <w:r>
              <w:rPr>
                <w:rFonts w:asciiTheme="minorHAnsi" w:hAnsiTheme="minorHAnsi"/>
                <w:b/>
                <w:szCs w:val="21"/>
                <w:u w:val="single"/>
              </w:rPr>
              <w:t>、尼龙</w:t>
            </w:r>
            <w:r>
              <w:rPr>
                <w:rFonts w:asciiTheme="minorHAnsi" w:hAnsiTheme="minorHAnsi" w:hint="eastAsia"/>
                <w:b/>
                <w:szCs w:val="21"/>
                <w:u w:val="single"/>
              </w:rPr>
              <w:t>1010</w:t>
            </w:r>
            <w:r>
              <w:rPr>
                <w:rFonts w:asciiTheme="minorHAnsi" w:hAnsiTheme="minorHAnsi" w:hint="eastAsia"/>
                <w:b/>
                <w:szCs w:val="21"/>
                <w:u w:val="single"/>
              </w:rPr>
              <w:t>盐</w:t>
            </w:r>
            <w:r>
              <w:rPr>
                <w:rFonts w:asciiTheme="minorHAnsi" w:hAnsiTheme="minorHAnsi"/>
                <w:b/>
                <w:szCs w:val="21"/>
                <w:u w:val="single"/>
              </w:rPr>
              <w:t>、</w:t>
            </w:r>
            <w:r>
              <w:rPr>
                <w:rFonts w:asciiTheme="minorHAnsi" w:hAnsiTheme="minorHAnsi" w:hint="eastAsia"/>
                <w:b/>
                <w:szCs w:val="21"/>
                <w:u w:val="single"/>
              </w:rPr>
              <w:t>尼龙</w:t>
            </w:r>
            <w:r>
              <w:rPr>
                <w:rFonts w:asciiTheme="minorHAnsi" w:hAnsiTheme="minorHAnsi"/>
                <w:b/>
                <w:szCs w:val="21"/>
                <w:u w:val="single"/>
              </w:rPr>
              <w:t>12</w:t>
            </w:r>
            <w:r>
              <w:rPr>
                <w:rFonts w:asciiTheme="minorHAnsi" w:hAnsiTheme="minorHAnsi"/>
                <w:b/>
                <w:szCs w:val="21"/>
                <w:u w:val="single"/>
              </w:rPr>
              <w:t>盐及次磷酸钠混合溶液</w:t>
            </w:r>
            <w:r>
              <w:rPr>
                <w:rFonts w:asciiTheme="minorHAnsi" w:hAnsiTheme="minorHAnsi" w:hint="eastAsia"/>
                <w:b/>
                <w:szCs w:val="21"/>
                <w:u w:val="single"/>
              </w:rPr>
              <w:t>，</w:t>
            </w:r>
            <w:r>
              <w:rPr>
                <w:rFonts w:asciiTheme="minorHAnsi" w:hAnsiTheme="minorHAnsi"/>
                <w:b/>
                <w:szCs w:val="21"/>
                <w:u w:val="single"/>
              </w:rPr>
              <w:t>物</w:t>
            </w:r>
            <w:r w:rsidRPr="004F1F5C">
              <w:rPr>
                <w:rFonts w:asciiTheme="minorHAnsi" w:hAnsiTheme="minorHAnsi" w:hint="eastAsia"/>
                <w:b/>
                <w:szCs w:val="21"/>
                <w:u w:val="single"/>
              </w:rPr>
              <w:t>料输送使用密闭管道，废水收集、输送、储存和处理环节，加盖密闭，废气经收集后进入有机废气治理措施集</w:t>
            </w:r>
          </w:p>
          <w:p w14:paraId="54D010E4" w14:textId="77777777" w:rsidR="00DE642E" w:rsidRPr="00DE642E" w:rsidRDefault="004F1F5C" w:rsidP="004F1F5C">
            <w:pPr>
              <w:spacing w:line="360" w:lineRule="exact"/>
              <w:jc w:val="center"/>
              <w:rPr>
                <w:rFonts w:asciiTheme="minorHAnsi" w:hAnsiTheme="minorHAnsi"/>
                <w:b/>
                <w:szCs w:val="21"/>
                <w:u w:val="single"/>
              </w:rPr>
            </w:pPr>
            <w:r w:rsidRPr="004F1F5C">
              <w:rPr>
                <w:rFonts w:asciiTheme="minorHAnsi" w:hAnsiTheme="minorHAnsi" w:hint="eastAsia"/>
                <w:b/>
                <w:szCs w:val="21"/>
                <w:u w:val="single"/>
              </w:rPr>
              <w:t>中处理。</w:t>
            </w:r>
          </w:p>
        </w:tc>
      </w:tr>
      <w:tr w:rsidR="00DE642E" w14:paraId="334F5637" w14:textId="77777777" w:rsidTr="00DE642E">
        <w:tc>
          <w:tcPr>
            <w:tcW w:w="836" w:type="dxa"/>
          </w:tcPr>
          <w:p w14:paraId="1C2171B7" w14:textId="77777777" w:rsidR="00DE642E" w:rsidRPr="00DE642E" w:rsidRDefault="00DE642E" w:rsidP="00DE642E">
            <w:pPr>
              <w:spacing w:line="360" w:lineRule="exact"/>
              <w:jc w:val="center"/>
              <w:rPr>
                <w:rFonts w:asciiTheme="minorHAnsi" w:hAnsiTheme="minorHAnsi"/>
                <w:b/>
                <w:szCs w:val="21"/>
                <w:u w:val="single"/>
              </w:rPr>
            </w:pPr>
            <w:r>
              <w:rPr>
                <w:rFonts w:asciiTheme="minorHAnsi" w:hAnsiTheme="minorHAnsi" w:hint="eastAsia"/>
                <w:b/>
                <w:szCs w:val="21"/>
                <w:u w:val="single"/>
              </w:rPr>
              <w:t>3</w:t>
            </w:r>
          </w:p>
        </w:tc>
        <w:tc>
          <w:tcPr>
            <w:tcW w:w="4964" w:type="dxa"/>
          </w:tcPr>
          <w:p w14:paraId="4A142DA1"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按照“应收尽收”的原则提升废气收集率。推动取消废气排放系统旁路，因安全生产等原因必须保留的，应将保留旁路清单报当地生态环境部门，旁路在非紧急情况下保持关闭，并通过铅封、安装自动监控设施、流量计等方式加强监管，开启后应</w:t>
            </w:r>
          </w:p>
          <w:p w14:paraId="03276384" w14:textId="77777777" w:rsidR="00DE642E" w:rsidRPr="00DE642E" w:rsidRDefault="00DE642E" w:rsidP="00DE642E">
            <w:pPr>
              <w:spacing w:line="360" w:lineRule="exact"/>
              <w:jc w:val="center"/>
              <w:rPr>
                <w:rFonts w:asciiTheme="minorHAnsi" w:hAnsiTheme="minorHAnsi"/>
                <w:b/>
                <w:szCs w:val="21"/>
                <w:u w:val="single"/>
              </w:rPr>
            </w:pPr>
            <w:r w:rsidRPr="00DE642E">
              <w:rPr>
                <w:rFonts w:asciiTheme="minorHAnsi" w:hAnsiTheme="minorHAnsi" w:hint="eastAsia"/>
                <w:b/>
                <w:szCs w:val="21"/>
                <w:u w:val="single"/>
              </w:rPr>
              <w:t>及时向当地生态环境部门报告，做好台账记录。</w:t>
            </w:r>
          </w:p>
        </w:tc>
        <w:tc>
          <w:tcPr>
            <w:tcW w:w="2900" w:type="dxa"/>
          </w:tcPr>
          <w:p w14:paraId="19217341" w14:textId="77777777" w:rsidR="00DE642E" w:rsidRPr="00DE642E" w:rsidRDefault="004F1F5C" w:rsidP="004F1F5C">
            <w:pPr>
              <w:spacing w:line="360" w:lineRule="exact"/>
              <w:rPr>
                <w:rFonts w:asciiTheme="minorHAnsi" w:hAnsiTheme="minorHAnsi"/>
                <w:b/>
                <w:szCs w:val="21"/>
                <w:u w:val="single"/>
              </w:rPr>
            </w:pPr>
            <w:r w:rsidRPr="004F1F5C">
              <w:rPr>
                <w:rFonts w:asciiTheme="minorHAnsi" w:hAnsiTheme="minorHAnsi" w:hint="eastAsia"/>
                <w:b/>
                <w:szCs w:val="21"/>
                <w:u w:val="single"/>
              </w:rPr>
              <w:t>本项目废气遵循“应收尽收、分质收集”的原</w:t>
            </w:r>
            <w:r>
              <w:rPr>
                <w:rFonts w:asciiTheme="minorHAnsi" w:hAnsiTheme="minorHAnsi" w:hint="eastAsia"/>
                <w:b/>
                <w:szCs w:val="21"/>
                <w:u w:val="single"/>
              </w:rPr>
              <w:t>则，废气经收集后</w:t>
            </w:r>
            <w:r w:rsidRPr="004F1F5C">
              <w:rPr>
                <w:rFonts w:asciiTheme="minorHAnsi" w:hAnsiTheme="minorHAnsi" w:hint="eastAsia"/>
                <w:b/>
                <w:szCs w:val="21"/>
                <w:u w:val="single"/>
              </w:rPr>
              <w:t>经处理设施处理后排放，设备呼吸口采用密闭管道进行收集。</w:t>
            </w:r>
          </w:p>
        </w:tc>
      </w:tr>
    </w:tbl>
    <w:p w14:paraId="05AB3F0C" w14:textId="77777777" w:rsidR="004F1F5C" w:rsidRPr="004F1F5C" w:rsidRDefault="004F1F5C" w:rsidP="004F1F5C">
      <w:pPr>
        <w:pStyle w:val="ad"/>
        <w:ind w:firstLineChars="200" w:firstLine="482"/>
        <w:rPr>
          <w:rFonts w:ascii="Calibri" w:eastAsia="宋体" w:hAnsi="Times New Roman"/>
          <w:bCs/>
          <w:color w:val="auto"/>
          <w:sz w:val="24"/>
          <w:u w:val="single"/>
        </w:rPr>
      </w:pPr>
      <w:r w:rsidRPr="004F1F5C">
        <w:rPr>
          <w:rFonts w:ascii="Calibri" w:eastAsia="宋体" w:hAnsi="Times New Roman" w:hint="eastAsia"/>
          <w:bCs/>
          <w:color w:val="auto"/>
          <w:sz w:val="24"/>
          <w:u w:val="single"/>
        </w:rPr>
        <w:t>综上所述，本项目满足《</w:t>
      </w:r>
      <w:r w:rsidRPr="004F1F5C">
        <w:rPr>
          <w:rFonts w:ascii="Calibri" w:eastAsia="宋体" w:hAnsi="Times New Roman" w:hint="eastAsia"/>
          <w:bCs/>
          <w:color w:val="auto"/>
          <w:sz w:val="24"/>
          <w:u w:val="single"/>
        </w:rPr>
        <w:t>2020</w:t>
      </w:r>
      <w:r w:rsidRPr="004F1F5C">
        <w:rPr>
          <w:rFonts w:ascii="Calibri" w:eastAsia="宋体" w:hAnsi="Times New Roman" w:hint="eastAsia"/>
          <w:bCs/>
          <w:color w:val="auto"/>
          <w:sz w:val="24"/>
          <w:u w:val="single"/>
        </w:rPr>
        <w:t>年挥发性有机物治理攻坚方案》（环大气〔</w:t>
      </w:r>
      <w:r w:rsidRPr="004F1F5C">
        <w:rPr>
          <w:rFonts w:ascii="Calibri" w:eastAsia="宋体" w:hAnsi="Times New Roman" w:hint="eastAsia"/>
          <w:bCs/>
          <w:color w:val="auto"/>
          <w:sz w:val="24"/>
          <w:u w:val="single"/>
        </w:rPr>
        <w:t>2020</w:t>
      </w:r>
      <w:r w:rsidRPr="004F1F5C">
        <w:rPr>
          <w:rFonts w:ascii="Calibri" w:eastAsia="宋体" w:hAnsi="Times New Roman" w:hint="eastAsia"/>
          <w:bCs/>
          <w:color w:val="auto"/>
          <w:sz w:val="24"/>
          <w:u w:val="single"/>
        </w:rPr>
        <w:t>〕</w:t>
      </w:r>
    </w:p>
    <w:p w14:paraId="7708BB0F" w14:textId="10F62C3C" w:rsidR="00DE642E" w:rsidRPr="000A0585" w:rsidRDefault="004F1F5C" w:rsidP="006B496C">
      <w:pPr>
        <w:pStyle w:val="ad"/>
        <w:rPr>
          <w:rFonts w:ascii="Calibri" w:eastAsia="宋体" w:hAnsi="Times New Roman" w:hint="eastAsia"/>
          <w:bCs/>
          <w:color w:val="auto"/>
          <w:sz w:val="24"/>
          <w:u w:val="single"/>
        </w:rPr>
      </w:pPr>
      <w:r w:rsidRPr="004F1F5C">
        <w:rPr>
          <w:rFonts w:ascii="Calibri" w:eastAsia="宋体" w:hAnsi="Times New Roman" w:hint="eastAsia"/>
          <w:bCs/>
          <w:color w:val="auto"/>
          <w:sz w:val="24"/>
          <w:u w:val="single"/>
        </w:rPr>
        <w:t>33</w:t>
      </w:r>
      <w:r w:rsidRPr="004F1F5C">
        <w:rPr>
          <w:rFonts w:ascii="Calibri" w:eastAsia="宋体" w:hAnsi="Times New Roman" w:hint="eastAsia"/>
          <w:bCs/>
          <w:color w:val="auto"/>
          <w:sz w:val="24"/>
          <w:u w:val="single"/>
        </w:rPr>
        <w:t>号）要求。</w:t>
      </w:r>
    </w:p>
    <w:p w14:paraId="24FD1CF8" w14:textId="77777777" w:rsidR="00A652C0" w:rsidRPr="003F10D2" w:rsidRDefault="00A652C0" w:rsidP="00A652C0">
      <w:pPr>
        <w:pStyle w:val="2e"/>
        <w:spacing w:line="520" w:lineRule="exact"/>
        <w:rPr>
          <w:rFonts w:asciiTheme="minorHAnsi" w:eastAsia="楷体_GB2312" w:hAnsiTheme="minorHAnsi" w:cstheme="minorHAnsi"/>
          <w:b/>
        </w:rPr>
      </w:pPr>
      <w:r w:rsidRPr="00233FF4">
        <w:rPr>
          <w:rFonts w:asciiTheme="minorHAnsi" w:eastAsia="楷体_GB2312" w:hAnsiTheme="minorHAnsi" w:cstheme="minorHAnsi" w:hint="eastAsia"/>
          <w:b/>
        </w:rPr>
        <w:lastRenderedPageBreak/>
        <w:t>1.8</w:t>
      </w:r>
      <w:r w:rsidRPr="00233FF4">
        <w:rPr>
          <w:rFonts w:asciiTheme="minorHAnsi" w:eastAsia="楷体_GB2312" w:hAnsiTheme="minorHAnsi" w:cstheme="minorHAnsi"/>
          <w:b/>
        </w:rPr>
        <w:t>.</w:t>
      </w:r>
      <w:r w:rsidRPr="00233FF4">
        <w:rPr>
          <w:rFonts w:asciiTheme="minorHAnsi" w:eastAsia="楷体_GB2312" w:hAnsiTheme="minorHAnsi" w:cstheme="minorHAnsi" w:hint="eastAsia"/>
          <w:b/>
        </w:rPr>
        <w:t>1</w:t>
      </w:r>
      <w:r w:rsidR="004F1F5C">
        <w:rPr>
          <w:rFonts w:asciiTheme="minorHAnsi" w:eastAsia="楷体_GB2312" w:hAnsiTheme="minorHAnsi" w:cstheme="minorHAnsi"/>
          <w:b/>
        </w:rPr>
        <w:t>3</w:t>
      </w:r>
      <w:r w:rsidRPr="00233FF4">
        <w:rPr>
          <w:rFonts w:asciiTheme="minorHAnsi" w:eastAsia="楷体_GB2312" w:hAnsiTheme="minorHAnsi" w:cstheme="minorHAnsi" w:hint="eastAsia"/>
          <w:b/>
        </w:rPr>
        <w:t>与</w:t>
      </w:r>
      <w:r w:rsidRPr="003F10D2">
        <w:rPr>
          <w:rFonts w:asciiTheme="minorHAnsi" w:eastAsia="楷体_GB2312" w:hAnsiTheme="minorHAnsi" w:cstheme="minorHAnsi" w:hint="eastAsia"/>
          <w:b/>
        </w:rPr>
        <w:t>河南省发展和改革委员会关于印发《河南省承接化工产业转移“禁限控”目录》的通知</w:t>
      </w:r>
      <w:r>
        <w:rPr>
          <w:rFonts w:asciiTheme="minorHAnsi" w:eastAsia="楷体_GB2312" w:hAnsiTheme="minorHAnsi" w:cstheme="minorHAnsi" w:hint="eastAsia"/>
          <w:b/>
        </w:rPr>
        <w:t>（豫发改</w:t>
      </w:r>
      <w:r>
        <w:rPr>
          <w:rFonts w:asciiTheme="minorHAnsi" w:eastAsia="楷体_GB2312" w:hAnsiTheme="minorHAnsi" w:cstheme="minorHAnsi"/>
          <w:b/>
        </w:rPr>
        <w:t>工业【</w:t>
      </w:r>
      <w:r>
        <w:rPr>
          <w:rFonts w:asciiTheme="minorHAnsi" w:eastAsia="楷体_GB2312" w:hAnsiTheme="minorHAnsi" w:cstheme="minorHAnsi" w:hint="eastAsia"/>
          <w:b/>
        </w:rPr>
        <w:t>2022</w:t>
      </w:r>
      <w:r>
        <w:rPr>
          <w:rFonts w:asciiTheme="minorHAnsi" w:eastAsia="楷体_GB2312" w:hAnsiTheme="minorHAnsi" w:cstheme="minorHAnsi"/>
          <w:b/>
        </w:rPr>
        <w:t>】</w:t>
      </w:r>
      <w:r>
        <w:rPr>
          <w:rFonts w:asciiTheme="minorHAnsi" w:eastAsia="楷体_GB2312" w:hAnsiTheme="minorHAnsi" w:cstheme="minorHAnsi" w:hint="eastAsia"/>
          <w:b/>
        </w:rPr>
        <w:t>610</w:t>
      </w:r>
      <w:r>
        <w:rPr>
          <w:rFonts w:asciiTheme="minorHAnsi" w:eastAsia="楷体_GB2312" w:hAnsiTheme="minorHAnsi" w:cstheme="minorHAnsi" w:hint="eastAsia"/>
          <w:b/>
        </w:rPr>
        <w:t>号）符合性</w:t>
      </w:r>
      <w:r>
        <w:rPr>
          <w:rFonts w:asciiTheme="minorHAnsi" w:eastAsia="楷体_GB2312" w:hAnsiTheme="minorHAnsi" w:cstheme="minorHAnsi"/>
          <w:b/>
        </w:rPr>
        <w:t>分析</w:t>
      </w:r>
    </w:p>
    <w:p w14:paraId="1D4D2CF0" w14:textId="77777777" w:rsidR="00A652C0" w:rsidRDefault="00A652C0" w:rsidP="00A652C0">
      <w:pPr>
        <w:spacing w:line="520" w:lineRule="exact"/>
        <w:ind w:firstLineChars="200" w:firstLine="480"/>
        <w:jc w:val="left"/>
        <w:rPr>
          <w:rFonts w:ascii="Calibri"/>
          <w:bCs/>
          <w:color w:val="auto"/>
          <w:sz w:val="24"/>
        </w:rPr>
      </w:pPr>
      <w:r w:rsidRPr="00D77E9B">
        <w:rPr>
          <w:rFonts w:ascii="Calibri" w:hint="eastAsia"/>
          <w:bCs/>
          <w:color w:val="auto"/>
          <w:sz w:val="24"/>
        </w:rPr>
        <w:t>为提升承接化工产业转移水平，推动全省化工产业高质量发展，经省政府同意，河南省发展和改革委员会印发</w:t>
      </w:r>
      <w:r>
        <w:rPr>
          <w:rFonts w:ascii="Calibri" w:hint="eastAsia"/>
          <w:bCs/>
          <w:color w:val="auto"/>
          <w:sz w:val="24"/>
        </w:rPr>
        <w:t>了</w:t>
      </w:r>
      <w:r w:rsidRPr="00D77E9B">
        <w:rPr>
          <w:rFonts w:ascii="Calibri" w:hint="eastAsia"/>
          <w:bCs/>
          <w:color w:val="auto"/>
          <w:sz w:val="24"/>
        </w:rPr>
        <w:t>《河南省承接化工产业转移“禁限控”目录》</w:t>
      </w:r>
      <w:r>
        <w:rPr>
          <w:rFonts w:ascii="Calibri" w:hint="eastAsia"/>
          <w:bCs/>
          <w:color w:val="auto"/>
          <w:sz w:val="24"/>
        </w:rPr>
        <w:t>，具体内容</w:t>
      </w:r>
      <w:r>
        <w:rPr>
          <w:rFonts w:ascii="Calibri"/>
          <w:bCs/>
          <w:color w:val="auto"/>
          <w:sz w:val="24"/>
        </w:rPr>
        <w:t>如下：</w:t>
      </w:r>
    </w:p>
    <w:p w14:paraId="34C1BAAC" w14:textId="77777777" w:rsidR="00A652C0" w:rsidRPr="008F6A25" w:rsidRDefault="00A652C0" w:rsidP="00A652C0">
      <w:pPr>
        <w:spacing w:line="520" w:lineRule="exact"/>
        <w:ind w:firstLineChars="196" w:firstLine="470"/>
        <w:rPr>
          <w:rFonts w:ascii="Calibri" w:hAnsi="Calibri"/>
          <w:color w:val="auto"/>
        </w:rPr>
      </w:pPr>
      <w:r w:rsidRPr="00233FF4">
        <w:rPr>
          <w:rFonts w:ascii="Calibri" w:eastAsia="黑体"/>
          <w:color w:val="auto"/>
          <w:sz w:val="24"/>
        </w:rPr>
        <w:t>表</w:t>
      </w:r>
      <w:r w:rsidRPr="00233FF4">
        <w:rPr>
          <w:rFonts w:ascii="Calibri" w:eastAsia="黑体" w:hAnsi="Calibri" w:hint="eastAsia"/>
          <w:color w:val="auto"/>
          <w:sz w:val="24"/>
        </w:rPr>
        <w:t>1.8-1</w:t>
      </w:r>
      <w:r w:rsidR="004F1F5C">
        <w:rPr>
          <w:rFonts w:ascii="Calibri" w:eastAsia="黑体" w:hAnsi="Calibri"/>
          <w:color w:val="auto"/>
          <w:sz w:val="24"/>
        </w:rPr>
        <w:t>4</w:t>
      </w:r>
      <w:r>
        <w:rPr>
          <w:rFonts w:ascii="Calibri" w:eastAsia="黑体" w:hAnsi="Calibri"/>
          <w:color w:val="auto"/>
          <w:sz w:val="24"/>
        </w:rPr>
        <w:t xml:space="preserve">  </w:t>
      </w:r>
      <w:r>
        <w:rPr>
          <w:rFonts w:ascii="Calibri" w:eastAsia="黑体" w:hAnsi="Calibri" w:hint="eastAsia"/>
          <w:color w:val="auto"/>
          <w:sz w:val="24"/>
        </w:rPr>
        <w:t xml:space="preserve"> </w:t>
      </w:r>
      <w:r>
        <w:rPr>
          <w:rFonts w:ascii="Calibri" w:eastAsia="黑体" w:hAnsi="Calibri" w:hint="eastAsia"/>
          <w:color w:val="auto"/>
          <w:sz w:val="24"/>
        </w:rPr>
        <w:t>与</w:t>
      </w:r>
      <w:r w:rsidRPr="00EB785F">
        <w:rPr>
          <w:rFonts w:ascii="Calibri" w:eastAsia="黑体" w:hAnsi="Calibri" w:hint="eastAsia"/>
          <w:color w:val="auto"/>
          <w:sz w:val="24"/>
        </w:rPr>
        <w:t>河南省承接化工产业转移“禁限控”</w:t>
      </w:r>
      <w:r>
        <w:rPr>
          <w:rFonts w:ascii="Calibri" w:eastAsia="黑体" w:hAnsi="Calibri" w:hint="eastAsia"/>
          <w:color w:val="auto"/>
          <w:sz w:val="24"/>
        </w:rPr>
        <w:t>工艺设备对比</w:t>
      </w:r>
      <w:r>
        <w:rPr>
          <w:rFonts w:ascii="Calibri" w:eastAsia="黑体" w:hAnsi="Calibri"/>
          <w:color w:val="auto"/>
          <w:sz w:val="24"/>
        </w:rPr>
        <w:t>一览表</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713"/>
        <w:gridCol w:w="5650"/>
        <w:gridCol w:w="1420"/>
        <w:gridCol w:w="917"/>
      </w:tblGrid>
      <w:tr w:rsidR="00A652C0" w:rsidRPr="00233FF4" w14:paraId="5F3BE08E" w14:textId="77777777" w:rsidTr="005E4392">
        <w:trPr>
          <w:trHeight w:val="340"/>
        </w:trPr>
        <w:tc>
          <w:tcPr>
            <w:tcW w:w="410" w:type="pct"/>
            <w:vAlign w:val="center"/>
          </w:tcPr>
          <w:p w14:paraId="072316E7"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序号</w:t>
            </w:r>
          </w:p>
        </w:tc>
        <w:tc>
          <w:tcPr>
            <w:tcW w:w="3247" w:type="pct"/>
            <w:tcBorders>
              <w:right w:val="single" w:sz="4" w:space="0" w:color="auto"/>
            </w:tcBorders>
            <w:vAlign w:val="center"/>
          </w:tcPr>
          <w:p w14:paraId="68325B28"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hint="eastAsia"/>
                <w:color w:val="auto"/>
                <w:szCs w:val="21"/>
              </w:rPr>
              <w:t>河南省承接化工产业转移“禁限控”工艺设备</w:t>
            </w:r>
          </w:p>
        </w:tc>
        <w:tc>
          <w:tcPr>
            <w:tcW w:w="816" w:type="pct"/>
            <w:tcBorders>
              <w:left w:val="single" w:sz="4" w:space="0" w:color="auto"/>
              <w:right w:val="single" w:sz="4" w:space="0" w:color="auto"/>
            </w:tcBorders>
            <w:vAlign w:val="center"/>
          </w:tcPr>
          <w:p w14:paraId="6EDFF30E"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情况</w:t>
            </w:r>
          </w:p>
        </w:tc>
        <w:tc>
          <w:tcPr>
            <w:tcW w:w="527" w:type="pct"/>
            <w:tcBorders>
              <w:left w:val="single" w:sz="4" w:space="0" w:color="auto"/>
            </w:tcBorders>
            <w:vAlign w:val="center"/>
          </w:tcPr>
          <w:p w14:paraId="207C6503"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是否属于</w:t>
            </w:r>
          </w:p>
        </w:tc>
      </w:tr>
      <w:tr w:rsidR="00A652C0" w:rsidRPr="00233FF4" w14:paraId="3F8E5F17" w14:textId="77777777" w:rsidTr="005E4392">
        <w:trPr>
          <w:trHeight w:val="340"/>
        </w:trPr>
        <w:tc>
          <w:tcPr>
            <w:tcW w:w="410" w:type="pct"/>
            <w:vAlign w:val="center"/>
          </w:tcPr>
          <w:p w14:paraId="172297D5" w14:textId="77777777" w:rsidR="00A652C0" w:rsidRPr="00233FF4" w:rsidRDefault="00A652C0" w:rsidP="005E4392">
            <w:pPr>
              <w:jc w:val="center"/>
              <w:rPr>
                <w:rFonts w:asciiTheme="minorHAnsi" w:hAnsiTheme="minorHAnsi"/>
                <w:color w:val="auto"/>
                <w:szCs w:val="21"/>
              </w:rPr>
            </w:pPr>
            <w:r>
              <w:rPr>
                <w:rFonts w:asciiTheme="minorHAnsi" w:hAnsiTheme="minorHAnsi"/>
                <w:color w:val="auto"/>
                <w:szCs w:val="21"/>
              </w:rPr>
              <w:t>1</w:t>
            </w:r>
          </w:p>
        </w:tc>
        <w:tc>
          <w:tcPr>
            <w:tcW w:w="3247" w:type="pct"/>
            <w:tcBorders>
              <w:right w:val="single" w:sz="4" w:space="0" w:color="auto"/>
            </w:tcBorders>
            <w:vAlign w:val="center"/>
          </w:tcPr>
          <w:p w14:paraId="25277D9A"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1000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年以下常减压、</w:t>
            </w:r>
            <w:r w:rsidRPr="00EB785F">
              <w:rPr>
                <w:rFonts w:asciiTheme="minorHAnsi" w:hAnsiTheme="minorHAnsi"/>
                <w:color w:val="auto"/>
                <w:szCs w:val="21"/>
              </w:rPr>
              <w:t>150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年以下催化裂化、</w:t>
            </w:r>
            <w:r w:rsidRPr="00EB785F">
              <w:rPr>
                <w:rFonts w:asciiTheme="minorHAnsi" w:hAnsiTheme="minorHAnsi"/>
                <w:color w:val="auto"/>
                <w:szCs w:val="21"/>
              </w:rPr>
              <w:t>100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年以下连续重整（含芳烃抽提）、</w:t>
            </w:r>
            <w:r w:rsidRPr="00EB785F">
              <w:rPr>
                <w:rFonts w:asciiTheme="minorHAnsi" w:hAnsiTheme="minorHAnsi"/>
                <w:color w:val="auto"/>
                <w:szCs w:val="21"/>
              </w:rPr>
              <w:t>150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年以下加氢裂化生产装置</w:t>
            </w:r>
          </w:p>
        </w:tc>
        <w:tc>
          <w:tcPr>
            <w:tcW w:w="816" w:type="pct"/>
            <w:tcBorders>
              <w:left w:val="single" w:sz="4" w:space="0" w:color="auto"/>
              <w:right w:val="single" w:sz="4" w:space="0" w:color="auto"/>
            </w:tcBorders>
            <w:vAlign w:val="center"/>
          </w:tcPr>
          <w:p w14:paraId="770A51C3"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61EF975B"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075D53F5" w14:textId="77777777" w:rsidTr="005E4392">
        <w:trPr>
          <w:trHeight w:val="340"/>
        </w:trPr>
        <w:tc>
          <w:tcPr>
            <w:tcW w:w="410" w:type="pct"/>
            <w:vAlign w:val="center"/>
          </w:tcPr>
          <w:p w14:paraId="53E2D7CF"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2</w:t>
            </w:r>
          </w:p>
        </w:tc>
        <w:tc>
          <w:tcPr>
            <w:tcW w:w="3247" w:type="pct"/>
            <w:tcBorders>
              <w:right w:val="single" w:sz="4" w:space="0" w:color="auto"/>
            </w:tcBorders>
            <w:vAlign w:val="center"/>
          </w:tcPr>
          <w:p w14:paraId="407E13F7"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采用明火高温加热方式生产油品的釜式蒸馏装置，废旧橡胶和塑料土法炼油工艺，焦油间歇法生产沥青，</w:t>
            </w:r>
            <w:r w:rsidRPr="00EB785F">
              <w:rPr>
                <w:rFonts w:asciiTheme="minorHAnsi" w:hAnsiTheme="minorHAnsi"/>
                <w:color w:val="auto"/>
                <w:szCs w:val="21"/>
              </w:rPr>
              <w:t>2.5</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年及以下的单套粗（轻）苯精制装置，</w:t>
            </w:r>
            <w:r w:rsidRPr="00EB785F">
              <w:rPr>
                <w:rFonts w:asciiTheme="minorHAnsi" w:hAnsiTheme="minorHAnsi"/>
                <w:color w:val="auto"/>
                <w:szCs w:val="21"/>
              </w:rPr>
              <w:t>5</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年及以下的单套煤焦油加工装置</w:t>
            </w:r>
          </w:p>
        </w:tc>
        <w:tc>
          <w:tcPr>
            <w:tcW w:w="816" w:type="pct"/>
            <w:tcBorders>
              <w:left w:val="single" w:sz="4" w:space="0" w:color="auto"/>
              <w:right w:val="single" w:sz="4" w:space="0" w:color="auto"/>
            </w:tcBorders>
            <w:vAlign w:val="center"/>
          </w:tcPr>
          <w:p w14:paraId="3FD0B68F"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44F85EE5"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5948EAA2" w14:textId="77777777" w:rsidTr="005E4392">
        <w:trPr>
          <w:trHeight w:val="340"/>
        </w:trPr>
        <w:tc>
          <w:tcPr>
            <w:tcW w:w="410" w:type="pct"/>
            <w:vAlign w:val="center"/>
          </w:tcPr>
          <w:p w14:paraId="226A8C89"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3</w:t>
            </w:r>
          </w:p>
        </w:tc>
        <w:tc>
          <w:tcPr>
            <w:tcW w:w="3247" w:type="pct"/>
            <w:tcBorders>
              <w:right w:val="single" w:sz="4" w:space="0" w:color="auto"/>
            </w:tcBorders>
            <w:vAlign w:val="center"/>
          </w:tcPr>
          <w:p w14:paraId="6C9E35E3"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80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年以下石脑油裂解制乙烯、</w:t>
            </w:r>
            <w:r w:rsidRPr="00EB785F">
              <w:rPr>
                <w:rFonts w:asciiTheme="minorHAnsi" w:hAnsiTheme="minorHAnsi"/>
                <w:color w:val="auto"/>
                <w:szCs w:val="21"/>
              </w:rPr>
              <w:t>13</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年以下丙烯腈、</w:t>
            </w:r>
            <w:r w:rsidRPr="00EB785F">
              <w:rPr>
                <w:rFonts w:asciiTheme="minorHAnsi" w:hAnsiTheme="minorHAnsi"/>
                <w:color w:val="auto"/>
                <w:szCs w:val="21"/>
              </w:rPr>
              <w:t>100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年以下精对苯二甲酸、</w:t>
            </w:r>
            <w:r w:rsidRPr="00EB785F">
              <w:rPr>
                <w:rFonts w:asciiTheme="minorHAnsi" w:hAnsiTheme="minorHAnsi"/>
                <w:color w:val="auto"/>
                <w:szCs w:val="21"/>
              </w:rPr>
              <w:t>20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年以下乙二醇、</w:t>
            </w:r>
            <w:r w:rsidRPr="00EB785F">
              <w:rPr>
                <w:rFonts w:asciiTheme="minorHAnsi" w:hAnsiTheme="minorHAnsi"/>
                <w:color w:val="auto"/>
                <w:szCs w:val="21"/>
              </w:rPr>
              <w:t>20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年以下苯乙烯（干气制乙苯工艺除外）、</w:t>
            </w:r>
            <w:r w:rsidRPr="00EB785F">
              <w:rPr>
                <w:rFonts w:asciiTheme="minorHAnsi" w:hAnsiTheme="minorHAnsi"/>
                <w:color w:val="auto"/>
                <w:szCs w:val="21"/>
              </w:rPr>
              <w:t>10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年以下己内酰胺、乙烯法醋酸、</w:t>
            </w:r>
            <w:r w:rsidRPr="00EB785F">
              <w:rPr>
                <w:rFonts w:asciiTheme="minorHAnsi" w:hAnsiTheme="minorHAnsi"/>
                <w:color w:val="auto"/>
                <w:szCs w:val="21"/>
              </w:rPr>
              <w:t>30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年以下羰基合成法醋酸、天然气制甲醇（</w:t>
            </w:r>
            <w:r w:rsidRPr="00EB785F">
              <w:rPr>
                <w:rFonts w:asciiTheme="minorHAnsi" w:hAnsiTheme="minorHAnsi"/>
                <w:color w:val="auto"/>
                <w:szCs w:val="21"/>
              </w:rPr>
              <w:t>CO2</w:t>
            </w:r>
            <w:r w:rsidRPr="00EB785F">
              <w:rPr>
                <w:rFonts w:asciiTheme="minorHAnsi" w:hAnsiTheme="minorHAnsi"/>
                <w:color w:val="auto"/>
                <w:szCs w:val="21"/>
              </w:rPr>
              <w:t>含量</w:t>
            </w:r>
            <w:r w:rsidRPr="00EB785F">
              <w:rPr>
                <w:rFonts w:asciiTheme="minorHAnsi" w:hAnsiTheme="minorHAnsi"/>
                <w:color w:val="auto"/>
                <w:szCs w:val="21"/>
              </w:rPr>
              <w:t>20%</w:t>
            </w:r>
            <w:r w:rsidRPr="00EB785F">
              <w:rPr>
                <w:rFonts w:asciiTheme="minorHAnsi" w:hAnsiTheme="minorHAnsi"/>
                <w:color w:val="auto"/>
                <w:szCs w:val="21"/>
              </w:rPr>
              <w:t>以上的天然气除外），煤制甲醇生产装置，丙酮氰醇法甲基丙烯酸甲酯、粮食法丙酮</w:t>
            </w:r>
            <w:r w:rsidRPr="00EB785F">
              <w:rPr>
                <w:rFonts w:asciiTheme="minorHAnsi" w:hAnsiTheme="minorHAnsi"/>
                <w:color w:val="auto"/>
                <w:szCs w:val="21"/>
              </w:rPr>
              <w:t>/</w:t>
            </w:r>
            <w:r w:rsidRPr="00EB785F">
              <w:rPr>
                <w:rFonts w:asciiTheme="minorHAnsi" w:hAnsiTheme="minorHAnsi"/>
                <w:color w:val="auto"/>
                <w:szCs w:val="21"/>
              </w:rPr>
              <w:t>丁醇、氯醇法环氧丙烷和皂化法环氧氯丙烷生产装置，</w:t>
            </w:r>
            <w:r w:rsidRPr="00EB785F">
              <w:rPr>
                <w:rFonts w:asciiTheme="minorHAnsi" w:hAnsiTheme="minorHAnsi"/>
                <w:color w:val="auto"/>
                <w:szCs w:val="21"/>
              </w:rPr>
              <w:t>300</w:t>
            </w:r>
            <w:r w:rsidRPr="00EB785F">
              <w:rPr>
                <w:rFonts w:asciiTheme="minorHAnsi" w:hAnsiTheme="minorHAnsi"/>
                <w:color w:val="auto"/>
                <w:szCs w:val="21"/>
              </w:rPr>
              <w:t>吨</w:t>
            </w:r>
            <w:r w:rsidRPr="00EB785F">
              <w:rPr>
                <w:rFonts w:asciiTheme="minorHAnsi" w:hAnsiTheme="minorHAnsi"/>
                <w:color w:val="auto"/>
                <w:szCs w:val="21"/>
              </w:rPr>
              <w:t>/</w:t>
            </w:r>
            <w:r w:rsidRPr="00EB785F">
              <w:rPr>
                <w:rFonts w:asciiTheme="minorHAnsi" w:hAnsiTheme="minorHAnsi"/>
                <w:color w:val="auto"/>
                <w:szCs w:val="21"/>
              </w:rPr>
              <w:t>年以下皂素（含水解物）生产装置，盐酸酸解法皂素生产工艺及污染物排放不能达标的皂素生产装置</w:t>
            </w:r>
          </w:p>
        </w:tc>
        <w:tc>
          <w:tcPr>
            <w:tcW w:w="816" w:type="pct"/>
            <w:tcBorders>
              <w:left w:val="single" w:sz="4" w:space="0" w:color="auto"/>
              <w:right w:val="single" w:sz="4" w:space="0" w:color="auto"/>
            </w:tcBorders>
            <w:vAlign w:val="center"/>
          </w:tcPr>
          <w:p w14:paraId="0C8648AB"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169E7DB3"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3E7E4E62" w14:textId="77777777" w:rsidTr="005E4392">
        <w:trPr>
          <w:trHeight w:val="340"/>
        </w:trPr>
        <w:tc>
          <w:tcPr>
            <w:tcW w:w="410" w:type="pct"/>
            <w:vAlign w:val="center"/>
          </w:tcPr>
          <w:p w14:paraId="5D5E21F1"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4</w:t>
            </w:r>
          </w:p>
        </w:tc>
        <w:tc>
          <w:tcPr>
            <w:tcW w:w="3247" w:type="pct"/>
            <w:tcBorders>
              <w:right w:val="single" w:sz="4" w:space="0" w:color="auto"/>
            </w:tcBorders>
            <w:vAlign w:val="center"/>
          </w:tcPr>
          <w:p w14:paraId="7F48F343"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7</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年以下聚丙烯、</w:t>
            </w:r>
            <w:r w:rsidRPr="00EB785F">
              <w:rPr>
                <w:rFonts w:asciiTheme="minorHAnsi" w:hAnsiTheme="minorHAnsi"/>
                <w:color w:val="auto"/>
                <w:szCs w:val="21"/>
              </w:rPr>
              <w:t>20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年以下聚乙烯、</w:t>
            </w:r>
            <w:r w:rsidRPr="00EB785F">
              <w:rPr>
                <w:rFonts w:asciiTheme="minorHAnsi" w:hAnsiTheme="minorHAnsi"/>
                <w:color w:val="auto"/>
                <w:szCs w:val="21"/>
              </w:rPr>
              <w:t>10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年以下聚苯乙烯、</w:t>
            </w:r>
            <w:r w:rsidRPr="00EB785F">
              <w:rPr>
                <w:rFonts w:asciiTheme="minorHAnsi" w:hAnsiTheme="minorHAnsi"/>
                <w:color w:val="auto"/>
                <w:szCs w:val="21"/>
              </w:rPr>
              <w:t>20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年以下丙烯腈</w:t>
            </w:r>
            <w:r w:rsidRPr="00EB785F">
              <w:rPr>
                <w:rFonts w:asciiTheme="minorHAnsi" w:hAnsiTheme="minorHAnsi"/>
                <w:color w:val="auto"/>
                <w:szCs w:val="21"/>
              </w:rPr>
              <w:t>-</w:t>
            </w:r>
            <w:r w:rsidRPr="00EB785F">
              <w:rPr>
                <w:rFonts w:asciiTheme="minorHAnsi" w:hAnsiTheme="minorHAnsi"/>
                <w:color w:val="auto"/>
                <w:szCs w:val="21"/>
              </w:rPr>
              <w:t>丁二烯</w:t>
            </w:r>
            <w:r w:rsidRPr="00EB785F">
              <w:rPr>
                <w:rFonts w:asciiTheme="minorHAnsi" w:hAnsiTheme="minorHAnsi"/>
                <w:color w:val="auto"/>
                <w:szCs w:val="21"/>
              </w:rPr>
              <w:t>-</w:t>
            </w:r>
            <w:r w:rsidRPr="00EB785F">
              <w:rPr>
                <w:rFonts w:asciiTheme="minorHAnsi" w:hAnsiTheme="minorHAnsi"/>
                <w:color w:val="auto"/>
                <w:szCs w:val="21"/>
              </w:rPr>
              <w:t>苯乙烯共聚物（</w:t>
            </w:r>
            <w:r w:rsidRPr="00EB785F">
              <w:rPr>
                <w:rFonts w:asciiTheme="minorHAnsi" w:hAnsiTheme="minorHAnsi"/>
                <w:color w:val="auto"/>
                <w:szCs w:val="21"/>
              </w:rPr>
              <w:t>ABS</w:t>
            </w:r>
            <w:r w:rsidRPr="00EB785F">
              <w:rPr>
                <w:rFonts w:asciiTheme="minorHAnsi" w:hAnsiTheme="minorHAnsi"/>
                <w:color w:val="auto"/>
                <w:szCs w:val="21"/>
              </w:rPr>
              <w:t>）、</w:t>
            </w:r>
            <w:r w:rsidRPr="00EB785F">
              <w:rPr>
                <w:rFonts w:asciiTheme="minorHAnsi" w:hAnsiTheme="minorHAnsi"/>
                <w:color w:val="auto"/>
                <w:szCs w:val="21"/>
              </w:rPr>
              <w:t>3</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年以下普通合成胶乳</w:t>
            </w:r>
            <w:r w:rsidRPr="00EB785F">
              <w:rPr>
                <w:rFonts w:asciiTheme="minorHAnsi" w:hAnsiTheme="minorHAnsi"/>
                <w:color w:val="auto"/>
                <w:szCs w:val="21"/>
              </w:rPr>
              <w:t>-</w:t>
            </w:r>
            <w:r w:rsidRPr="00EB785F">
              <w:rPr>
                <w:rFonts w:asciiTheme="minorHAnsi" w:hAnsiTheme="minorHAnsi"/>
                <w:color w:val="auto"/>
                <w:szCs w:val="21"/>
              </w:rPr>
              <w:t>羧基丁苯胶（含丁苯胶乳）、聚氯乙烯生产装置，新建、改扩建氯丁橡胶类、丁苯热塑性橡胶类、聚氨酯类和聚丙烯酸酯类中溶剂型通用胶粘剂生产装置</w:t>
            </w:r>
          </w:p>
        </w:tc>
        <w:tc>
          <w:tcPr>
            <w:tcW w:w="816" w:type="pct"/>
            <w:tcBorders>
              <w:left w:val="single" w:sz="4" w:space="0" w:color="auto"/>
              <w:right w:val="single" w:sz="4" w:space="0" w:color="auto"/>
            </w:tcBorders>
            <w:vAlign w:val="center"/>
          </w:tcPr>
          <w:p w14:paraId="2CA953F1"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77060F1A"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36C9CF3E" w14:textId="77777777" w:rsidTr="005E4392">
        <w:trPr>
          <w:trHeight w:val="340"/>
        </w:trPr>
        <w:tc>
          <w:tcPr>
            <w:tcW w:w="410" w:type="pct"/>
            <w:vAlign w:val="center"/>
          </w:tcPr>
          <w:p w14:paraId="0E91DBD9"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5</w:t>
            </w:r>
          </w:p>
        </w:tc>
        <w:tc>
          <w:tcPr>
            <w:tcW w:w="3247" w:type="pct"/>
            <w:tcBorders>
              <w:right w:val="single" w:sz="4" w:space="0" w:color="auto"/>
            </w:tcBorders>
            <w:vAlign w:val="center"/>
          </w:tcPr>
          <w:p w14:paraId="0CABC9EF"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纯碱、烧碱、</w:t>
            </w:r>
            <w:r w:rsidRPr="00EB785F">
              <w:rPr>
                <w:rFonts w:asciiTheme="minorHAnsi" w:hAnsiTheme="minorHAnsi"/>
                <w:color w:val="auto"/>
                <w:szCs w:val="21"/>
              </w:rPr>
              <w:t>30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年以下硫磺制酸（单项金属离子</w:t>
            </w:r>
            <w:r w:rsidRPr="00EB785F">
              <w:rPr>
                <w:rFonts w:asciiTheme="minorHAnsi" w:hAnsiTheme="minorHAnsi"/>
                <w:color w:val="auto"/>
                <w:szCs w:val="21"/>
              </w:rPr>
              <w:t>≤100ppb</w:t>
            </w:r>
            <w:r w:rsidRPr="00EB785F">
              <w:rPr>
                <w:rFonts w:asciiTheme="minorHAnsi" w:hAnsiTheme="minorHAnsi"/>
                <w:color w:val="auto"/>
                <w:szCs w:val="21"/>
              </w:rPr>
              <w:t>的电子级硫酸除外）、</w:t>
            </w:r>
            <w:r w:rsidRPr="00EB785F">
              <w:rPr>
                <w:rFonts w:asciiTheme="minorHAnsi" w:hAnsiTheme="minorHAnsi"/>
                <w:color w:val="auto"/>
                <w:szCs w:val="21"/>
              </w:rPr>
              <w:t>20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硫铁矿制酸、平炉氧化法高锰酸钾，平炉法和大锅蒸发法硫化碱生产工艺，芒硝法硅酸钠（泡花碱）生产工艺，间歇焦炭法二硫化碳工艺，常压法及综合法硝酸、电石（以大型先进工艺设备进行等量替换的除外）、单线产能</w:t>
            </w:r>
            <w:r w:rsidRPr="00EB785F">
              <w:rPr>
                <w:rFonts w:asciiTheme="minorHAnsi" w:hAnsiTheme="minorHAnsi"/>
                <w:color w:val="auto"/>
                <w:szCs w:val="21"/>
              </w:rPr>
              <w:t>5</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年以下氢氧化钾生产装置。</w:t>
            </w:r>
          </w:p>
        </w:tc>
        <w:tc>
          <w:tcPr>
            <w:tcW w:w="816" w:type="pct"/>
            <w:tcBorders>
              <w:left w:val="single" w:sz="4" w:space="0" w:color="auto"/>
              <w:right w:val="single" w:sz="4" w:space="0" w:color="auto"/>
            </w:tcBorders>
            <w:vAlign w:val="center"/>
          </w:tcPr>
          <w:p w14:paraId="356E8ED8"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6D6AD712"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6995DB2E" w14:textId="77777777" w:rsidTr="005E4392">
        <w:trPr>
          <w:trHeight w:val="340"/>
        </w:trPr>
        <w:tc>
          <w:tcPr>
            <w:tcW w:w="410" w:type="pct"/>
            <w:vAlign w:val="center"/>
          </w:tcPr>
          <w:p w14:paraId="7720412E"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6</w:t>
            </w:r>
          </w:p>
        </w:tc>
        <w:tc>
          <w:tcPr>
            <w:tcW w:w="3247" w:type="pct"/>
            <w:tcBorders>
              <w:right w:val="single" w:sz="4" w:space="0" w:color="auto"/>
            </w:tcBorders>
            <w:vAlign w:val="center"/>
          </w:tcPr>
          <w:p w14:paraId="2B7182BD"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三聚磷酸钠、六偏磷酸钠、三氯化磷、五硫化二磷、磷酸氢钙、氯酸钠、有钙焙烧铬化合物、少钙焙烧工艺重铬酸钠、电解二氧化锰、碳酸钙、无水硫酸钠（盐业联产及副产除外）、碳酸钡、硫酸钡、氢氧化钡、氯化钡、硝酸钡、碳酸锶、白炭黑（气相法除外）、氯化胆碱生产装置。单台炉容量小于</w:t>
            </w:r>
            <w:r w:rsidRPr="00EB785F">
              <w:rPr>
                <w:rFonts w:asciiTheme="minorHAnsi" w:hAnsiTheme="minorHAnsi"/>
                <w:color w:val="auto"/>
                <w:szCs w:val="21"/>
              </w:rPr>
              <w:t>12500</w:t>
            </w:r>
            <w:r w:rsidRPr="00EB785F">
              <w:rPr>
                <w:rFonts w:asciiTheme="minorHAnsi" w:hAnsiTheme="minorHAnsi"/>
                <w:color w:val="auto"/>
                <w:szCs w:val="21"/>
              </w:rPr>
              <w:t>千伏安的电石炉及开放式电石炉，使用汞或汞化合物的甲醇钠、甲醇钾、乙醇钠、乙醇钾、聚氨酯、乙醛、生物杀虫剂和局部抗菌剂生产装置，氨钠法及氰熔体氰化钠</w:t>
            </w:r>
            <w:r w:rsidRPr="00EB785F">
              <w:rPr>
                <w:rFonts w:asciiTheme="minorHAnsi" w:hAnsiTheme="minorHAnsi"/>
                <w:color w:val="auto"/>
                <w:szCs w:val="21"/>
              </w:rPr>
              <w:lastRenderedPageBreak/>
              <w:t>生产工艺。</w:t>
            </w:r>
          </w:p>
        </w:tc>
        <w:tc>
          <w:tcPr>
            <w:tcW w:w="816" w:type="pct"/>
            <w:tcBorders>
              <w:left w:val="single" w:sz="4" w:space="0" w:color="auto"/>
              <w:right w:val="single" w:sz="4" w:space="0" w:color="auto"/>
            </w:tcBorders>
            <w:vAlign w:val="center"/>
          </w:tcPr>
          <w:p w14:paraId="3CB15E68"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lastRenderedPageBreak/>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7B7F9C23"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2F22F995" w14:textId="77777777" w:rsidTr="005E4392">
        <w:trPr>
          <w:trHeight w:val="340"/>
        </w:trPr>
        <w:tc>
          <w:tcPr>
            <w:tcW w:w="410" w:type="pct"/>
            <w:vAlign w:val="center"/>
          </w:tcPr>
          <w:p w14:paraId="35066647"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7</w:t>
            </w:r>
          </w:p>
        </w:tc>
        <w:tc>
          <w:tcPr>
            <w:tcW w:w="3247" w:type="pct"/>
            <w:tcBorders>
              <w:right w:val="single" w:sz="4" w:space="0" w:color="auto"/>
            </w:tcBorders>
            <w:vAlign w:val="center"/>
          </w:tcPr>
          <w:p w14:paraId="518E8137"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黄磷，起始规模小于</w:t>
            </w:r>
            <w:r w:rsidRPr="00EB785F">
              <w:rPr>
                <w:rFonts w:asciiTheme="minorHAnsi" w:hAnsiTheme="minorHAnsi"/>
                <w:color w:val="auto"/>
                <w:szCs w:val="21"/>
              </w:rPr>
              <w:t>3</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年、单线产能小于</w:t>
            </w:r>
            <w:r w:rsidRPr="00EB785F">
              <w:rPr>
                <w:rFonts w:asciiTheme="minorHAnsi" w:hAnsiTheme="minorHAnsi"/>
                <w:color w:val="auto"/>
                <w:szCs w:val="21"/>
              </w:rPr>
              <w:t>1</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年氰化钠（折</w:t>
            </w:r>
            <w:r w:rsidRPr="00EB785F">
              <w:rPr>
                <w:rFonts w:asciiTheme="minorHAnsi" w:hAnsiTheme="minorHAnsi"/>
                <w:color w:val="auto"/>
                <w:szCs w:val="21"/>
              </w:rPr>
              <w:t>100%</w:t>
            </w:r>
            <w:r w:rsidRPr="00EB785F">
              <w:rPr>
                <w:rFonts w:asciiTheme="minorHAnsi" w:hAnsiTheme="minorHAnsi"/>
                <w:color w:val="auto"/>
                <w:szCs w:val="21"/>
              </w:rPr>
              <w:t>），单线产能</w:t>
            </w:r>
            <w:r w:rsidRPr="00EB785F">
              <w:rPr>
                <w:rFonts w:asciiTheme="minorHAnsi" w:hAnsiTheme="minorHAnsi"/>
                <w:color w:val="auto"/>
                <w:szCs w:val="21"/>
              </w:rPr>
              <w:t>5</w:t>
            </w:r>
            <w:r w:rsidRPr="00EB785F">
              <w:rPr>
                <w:rFonts w:asciiTheme="minorHAnsi" w:hAnsiTheme="minorHAnsi"/>
                <w:color w:val="auto"/>
                <w:szCs w:val="21"/>
              </w:rPr>
              <w:t>千吨</w:t>
            </w:r>
            <w:r w:rsidRPr="00EB785F">
              <w:rPr>
                <w:rFonts w:asciiTheme="minorHAnsi" w:hAnsiTheme="minorHAnsi"/>
                <w:color w:val="auto"/>
                <w:szCs w:val="21"/>
              </w:rPr>
              <w:t>/</w:t>
            </w:r>
            <w:r w:rsidRPr="00EB785F">
              <w:rPr>
                <w:rFonts w:asciiTheme="minorHAnsi" w:hAnsiTheme="minorHAnsi"/>
                <w:color w:val="auto"/>
                <w:szCs w:val="21"/>
              </w:rPr>
              <w:t>年以下碳酸锂、氢氧化锂，干法氟化铝及单线产能</w:t>
            </w:r>
            <w:r w:rsidRPr="00EB785F">
              <w:rPr>
                <w:rFonts w:asciiTheme="minorHAnsi" w:hAnsiTheme="minorHAnsi"/>
                <w:color w:val="auto"/>
                <w:szCs w:val="21"/>
              </w:rPr>
              <w:t>2</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年以下无水氟化铝或中低分子比冰晶石生产装置。</w:t>
            </w:r>
            <w:r w:rsidRPr="00EB785F">
              <w:rPr>
                <w:rFonts w:asciiTheme="minorHAnsi" w:hAnsiTheme="minorHAnsi"/>
                <w:color w:val="auto"/>
                <w:szCs w:val="21"/>
              </w:rPr>
              <w:t>3</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年以下饲料磷酸氢钙、</w:t>
            </w:r>
            <w:r w:rsidRPr="00EB785F">
              <w:rPr>
                <w:rFonts w:asciiTheme="minorHAnsi" w:hAnsiTheme="minorHAnsi"/>
                <w:color w:val="auto"/>
                <w:szCs w:val="21"/>
              </w:rPr>
              <w:t>5000</w:t>
            </w:r>
            <w:r w:rsidRPr="00EB785F">
              <w:rPr>
                <w:rFonts w:asciiTheme="minorHAnsi" w:hAnsiTheme="minorHAnsi"/>
                <w:color w:val="auto"/>
                <w:szCs w:val="21"/>
              </w:rPr>
              <w:t>吨</w:t>
            </w:r>
            <w:r w:rsidRPr="00EB785F">
              <w:rPr>
                <w:rFonts w:asciiTheme="minorHAnsi" w:hAnsiTheme="minorHAnsi"/>
                <w:color w:val="auto"/>
                <w:szCs w:val="21"/>
              </w:rPr>
              <w:t>/</w:t>
            </w:r>
            <w:r w:rsidRPr="00EB785F">
              <w:rPr>
                <w:rFonts w:asciiTheme="minorHAnsi" w:hAnsiTheme="minorHAnsi"/>
                <w:color w:val="auto"/>
                <w:szCs w:val="21"/>
              </w:rPr>
              <w:t>年以下工艺技术落后和污染严重的氢氟酸、</w:t>
            </w:r>
            <w:r w:rsidRPr="00EB785F">
              <w:rPr>
                <w:rFonts w:asciiTheme="minorHAnsi" w:hAnsiTheme="minorHAnsi"/>
                <w:color w:val="auto"/>
                <w:szCs w:val="21"/>
              </w:rPr>
              <w:t>5000</w:t>
            </w:r>
            <w:r w:rsidRPr="00EB785F">
              <w:rPr>
                <w:rFonts w:asciiTheme="minorHAnsi" w:hAnsiTheme="minorHAnsi"/>
                <w:color w:val="auto"/>
                <w:szCs w:val="21"/>
              </w:rPr>
              <w:t>吨</w:t>
            </w:r>
            <w:r w:rsidRPr="00EB785F">
              <w:rPr>
                <w:rFonts w:asciiTheme="minorHAnsi" w:hAnsiTheme="minorHAnsi"/>
                <w:color w:val="auto"/>
                <w:szCs w:val="21"/>
              </w:rPr>
              <w:t>/</w:t>
            </w:r>
            <w:r w:rsidRPr="00EB785F">
              <w:rPr>
                <w:rFonts w:asciiTheme="minorHAnsi" w:hAnsiTheme="minorHAnsi"/>
                <w:color w:val="auto"/>
                <w:szCs w:val="21"/>
              </w:rPr>
              <w:t>年以下湿法氟化铝及敞开式结晶氟盐生产装置。</w:t>
            </w:r>
          </w:p>
        </w:tc>
        <w:tc>
          <w:tcPr>
            <w:tcW w:w="816" w:type="pct"/>
            <w:tcBorders>
              <w:left w:val="single" w:sz="4" w:space="0" w:color="auto"/>
              <w:right w:val="single" w:sz="4" w:space="0" w:color="auto"/>
            </w:tcBorders>
            <w:vAlign w:val="center"/>
          </w:tcPr>
          <w:p w14:paraId="6300097F"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13794A45"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5BA8E94C" w14:textId="77777777" w:rsidTr="005E4392">
        <w:trPr>
          <w:trHeight w:val="340"/>
        </w:trPr>
        <w:tc>
          <w:tcPr>
            <w:tcW w:w="410" w:type="pct"/>
            <w:vAlign w:val="center"/>
          </w:tcPr>
          <w:p w14:paraId="6BCD8BAA"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8</w:t>
            </w:r>
          </w:p>
        </w:tc>
        <w:tc>
          <w:tcPr>
            <w:tcW w:w="3247" w:type="pct"/>
            <w:tcBorders>
              <w:right w:val="single" w:sz="4" w:space="0" w:color="auto"/>
            </w:tcBorders>
            <w:vAlign w:val="center"/>
          </w:tcPr>
          <w:p w14:paraId="4773DDFC"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以石油、天然气为原料的氮肥，合成氨，尿素，磷铵生产装置，铜洗法氨合成原料气净化工艺。半水煤气氨水液相脱硫、一氧化碳常压变化及全中温变换（高温变换）工艺、没有配套硫磺回收装置的湿法脱硫工艺，没有配套建设吹风气余热回收、造气炉渣综合利用装置的固定层间歇式煤气化装置</w:t>
            </w:r>
          </w:p>
        </w:tc>
        <w:tc>
          <w:tcPr>
            <w:tcW w:w="816" w:type="pct"/>
            <w:tcBorders>
              <w:left w:val="single" w:sz="4" w:space="0" w:color="auto"/>
              <w:right w:val="single" w:sz="4" w:space="0" w:color="auto"/>
            </w:tcBorders>
            <w:vAlign w:val="center"/>
          </w:tcPr>
          <w:p w14:paraId="4317F5AC"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09389B42"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0642D6E2" w14:textId="77777777" w:rsidTr="005E4392">
        <w:trPr>
          <w:trHeight w:val="340"/>
        </w:trPr>
        <w:tc>
          <w:tcPr>
            <w:tcW w:w="410" w:type="pct"/>
            <w:vAlign w:val="center"/>
          </w:tcPr>
          <w:p w14:paraId="7A0AFCE5"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9</w:t>
            </w:r>
          </w:p>
        </w:tc>
        <w:tc>
          <w:tcPr>
            <w:tcW w:w="3247" w:type="pct"/>
            <w:tcBorders>
              <w:right w:val="single" w:sz="4" w:space="0" w:color="auto"/>
            </w:tcBorders>
            <w:vAlign w:val="center"/>
          </w:tcPr>
          <w:p w14:paraId="1294D9CD"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高毒、高残留以及对环境影响大的农药原药（包括氧乐果、水胺硫磷、甲基异柳磷、甲拌磷、特丁磷、杀扑磷、溴甲烷、灭多威、涕灭威、克百威、敌鼠钠、敌鼠酮、杀鼠灵、杀鼠醚、溴敌隆、溴鼠灵、肉毒素、杀虫双、灭线磷、磷化铝，有机氯类、有机锡类杀虫剂，福美类杀菌剂，复硝酚钠（钾）、氯磺隆、胺苯磺隆、甲磺隆等）生产装置</w:t>
            </w:r>
          </w:p>
        </w:tc>
        <w:tc>
          <w:tcPr>
            <w:tcW w:w="816" w:type="pct"/>
            <w:tcBorders>
              <w:left w:val="single" w:sz="4" w:space="0" w:color="auto"/>
              <w:right w:val="single" w:sz="4" w:space="0" w:color="auto"/>
            </w:tcBorders>
            <w:vAlign w:val="center"/>
          </w:tcPr>
          <w:p w14:paraId="737443A5"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4E53F74B"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36055563" w14:textId="77777777" w:rsidTr="005E4392">
        <w:trPr>
          <w:trHeight w:val="340"/>
        </w:trPr>
        <w:tc>
          <w:tcPr>
            <w:tcW w:w="410" w:type="pct"/>
            <w:vAlign w:val="center"/>
          </w:tcPr>
          <w:p w14:paraId="4D3A5F63"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10</w:t>
            </w:r>
          </w:p>
        </w:tc>
        <w:tc>
          <w:tcPr>
            <w:tcW w:w="3247" w:type="pct"/>
            <w:tcBorders>
              <w:right w:val="single" w:sz="4" w:space="0" w:color="auto"/>
            </w:tcBorders>
            <w:vAlign w:val="center"/>
          </w:tcPr>
          <w:p w14:paraId="536A3726"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草甘膦、毒死蜱（水相法工艺除外）、三唑磷、百草枯、百菌清、阿维菌素、吡虫啉、乙草胺（甲叉法工艺除外）、氯化苦生产装置。敌百虫碱法敌敌畏生产工艺，小包装（</w:t>
            </w:r>
            <w:r w:rsidRPr="00EB785F">
              <w:rPr>
                <w:rFonts w:asciiTheme="minorHAnsi" w:hAnsiTheme="minorHAnsi"/>
                <w:color w:val="auto"/>
                <w:szCs w:val="21"/>
              </w:rPr>
              <w:t>1</w:t>
            </w:r>
            <w:r w:rsidRPr="00EB785F">
              <w:rPr>
                <w:rFonts w:asciiTheme="minorHAnsi" w:hAnsiTheme="minorHAnsi"/>
                <w:color w:val="auto"/>
                <w:szCs w:val="21"/>
              </w:rPr>
              <w:t>公斤及以下）农药产品手工包（灌）装工艺及设备，雷蒙机法生产农药粉剂，以六氯苯为原料生产五氯酚（钠）装置</w:t>
            </w:r>
          </w:p>
        </w:tc>
        <w:tc>
          <w:tcPr>
            <w:tcW w:w="816" w:type="pct"/>
            <w:tcBorders>
              <w:left w:val="single" w:sz="4" w:space="0" w:color="auto"/>
              <w:right w:val="single" w:sz="4" w:space="0" w:color="auto"/>
            </w:tcBorders>
            <w:vAlign w:val="center"/>
          </w:tcPr>
          <w:p w14:paraId="2CD29302"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255E8447"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1F5C9841" w14:textId="77777777" w:rsidTr="005E4392">
        <w:trPr>
          <w:trHeight w:val="340"/>
        </w:trPr>
        <w:tc>
          <w:tcPr>
            <w:tcW w:w="410" w:type="pct"/>
            <w:vAlign w:val="center"/>
          </w:tcPr>
          <w:p w14:paraId="05A97648"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11</w:t>
            </w:r>
          </w:p>
        </w:tc>
        <w:tc>
          <w:tcPr>
            <w:tcW w:w="3247" w:type="pct"/>
            <w:tcBorders>
              <w:right w:val="single" w:sz="4" w:space="0" w:color="auto"/>
            </w:tcBorders>
            <w:vAlign w:val="center"/>
          </w:tcPr>
          <w:p w14:paraId="512B6E4A"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硫酸法钛白粉、铅铬黄、</w:t>
            </w:r>
            <w:r w:rsidRPr="00EB785F">
              <w:rPr>
                <w:rFonts w:asciiTheme="minorHAnsi" w:hAnsiTheme="minorHAnsi"/>
                <w:color w:val="auto"/>
                <w:szCs w:val="21"/>
              </w:rPr>
              <w:t>1</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年以下氧化铁系颜料、溶剂型涂料（鼓励类的涂料品种和生产工艺除外）、含异氰脲酸三缩水甘油酯（</w:t>
            </w:r>
            <w:r w:rsidRPr="00EB785F">
              <w:rPr>
                <w:rFonts w:asciiTheme="minorHAnsi" w:hAnsiTheme="minorHAnsi"/>
                <w:color w:val="auto"/>
                <w:szCs w:val="21"/>
              </w:rPr>
              <w:t>TGIC</w:t>
            </w:r>
            <w:r w:rsidRPr="00EB785F">
              <w:rPr>
                <w:rFonts w:asciiTheme="minorHAnsi" w:hAnsiTheme="minorHAnsi"/>
                <w:color w:val="auto"/>
                <w:szCs w:val="21"/>
              </w:rPr>
              <w:t>）的粉末涂料生产装置</w:t>
            </w:r>
          </w:p>
        </w:tc>
        <w:tc>
          <w:tcPr>
            <w:tcW w:w="816" w:type="pct"/>
            <w:tcBorders>
              <w:left w:val="single" w:sz="4" w:space="0" w:color="auto"/>
              <w:right w:val="single" w:sz="4" w:space="0" w:color="auto"/>
            </w:tcBorders>
            <w:vAlign w:val="center"/>
          </w:tcPr>
          <w:p w14:paraId="0A32E753"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5DE117D8"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3B4D98F8" w14:textId="77777777" w:rsidTr="005E4392">
        <w:trPr>
          <w:trHeight w:val="340"/>
        </w:trPr>
        <w:tc>
          <w:tcPr>
            <w:tcW w:w="410" w:type="pct"/>
            <w:vAlign w:val="center"/>
          </w:tcPr>
          <w:p w14:paraId="3E49C6D6"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12</w:t>
            </w:r>
          </w:p>
        </w:tc>
        <w:tc>
          <w:tcPr>
            <w:tcW w:w="3247" w:type="pct"/>
            <w:tcBorders>
              <w:right w:val="single" w:sz="4" w:space="0" w:color="auto"/>
            </w:tcBorders>
            <w:vAlign w:val="center"/>
          </w:tcPr>
          <w:p w14:paraId="2F5DD5B0"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用火直接加热的涂料用树脂、四氯化碳溶剂法制取氯化橡胶生产工艺，铁粉还原法工艺（</w:t>
            </w:r>
            <w:r w:rsidRPr="00EB785F">
              <w:rPr>
                <w:rFonts w:asciiTheme="minorHAnsi" w:hAnsiTheme="minorHAnsi"/>
                <w:color w:val="auto"/>
                <w:szCs w:val="21"/>
              </w:rPr>
              <w:t>4,4-</w:t>
            </w:r>
            <w:r w:rsidRPr="00EB785F">
              <w:rPr>
                <w:rFonts w:asciiTheme="minorHAnsi" w:hAnsiTheme="minorHAnsi"/>
                <w:color w:val="auto"/>
                <w:szCs w:val="21"/>
              </w:rPr>
              <w:t>二氨基二苯乙烯</w:t>
            </w:r>
            <w:r w:rsidRPr="00EB785F">
              <w:rPr>
                <w:rFonts w:asciiTheme="minorHAnsi" w:hAnsiTheme="minorHAnsi"/>
                <w:color w:val="auto"/>
                <w:szCs w:val="21"/>
              </w:rPr>
              <w:t>-</w:t>
            </w:r>
            <w:r w:rsidRPr="00EB785F">
              <w:rPr>
                <w:rFonts w:asciiTheme="minorHAnsi" w:hAnsiTheme="minorHAnsi"/>
                <w:color w:val="auto"/>
                <w:szCs w:val="21"/>
              </w:rPr>
              <w:t>二磺酸</w:t>
            </w:r>
            <w:r w:rsidRPr="00EB785F">
              <w:rPr>
                <w:rFonts w:asciiTheme="minorHAnsi" w:hAnsiTheme="minorHAnsi"/>
                <w:color w:val="auto"/>
                <w:szCs w:val="21"/>
              </w:rPr>
              <w:t>[DSD</w:t>
            </w:r>
            <w:r w:rsidRPr="00EB785F">
              <w:rPr>
                <w:rFonts w:asciiTheme="minorHAnsi" w:hAnsiTheme="minorHAnsi"/>
                <w:color w:val="auto"/>
                <w:szCs w:val="21"/>
              </w:rPr>
              <w:t>酸</w:t>
            </w:r>
            <w:r w:rsidRPr="00EB785F">
              <w:rPr>
                <w:rFonts w:asciiTheme="minorHAnsi" w:hAnsiTheme="minorHAnsi"/>
                <w:color w:val="auto"/>
                <w:szCs w:val="21"/>
              </w:rPr>
              <w:t>]</w:t>
            </w:r>
            <w:r w:rsidRPr="00EB785F">
              <w:rPr>
                <w:rFonts w:asciiTheme="minorHAnsi" w:hAnsiTheme="minorHAnsi"/>
                <w:color w:val="auto"/>
                <w:szCs w:val="21"/>
              </w:rPr>
              <w:t>、</w:t>
            </w:r>
            <w:r w:rsidRPr="00EB785F">
              <w:rPr>
                <w:rFonts w:asciiTheme="minorHAnsi" w:hAnsiTheme="minorHAnsi"/>
                <w:color w:val="auto"/>
                <w:szCs w:val="21"/>
              </w:rPr>
              <w:t>2-</w:t>
            </w:r>
            <w:r w:rsidRPr="00EB785F">
              <w:rPr>
                <w:rFonts w:asciiTheme="minorHAnsi" w:hAnsiTheme="minorHAnsi"/>
                <w:color w:val="auto"/>
                <w:szCs w:val="21"/>
              </w:rPr>
              <w:t>氨基</w:t>
            </w:r>
            <w:r w:rsidRPr="00EB785F">
              <w:rPr>
                <w:rFonts w:asciiTheme="minorHAnsi" w:hAnsiTheme="minorHAnsi"/>
                <w:color w:val="auto"/>
                <w:szCs w:val="21"/>
              </w:rPr>
              <w:t>-4-</w:t>
            </w:r>
            <w:r w:rsidRPr="00EB785F">
              <w:rPr>
                <w:rFonts w:asciiTheme="minorHAnsi" w:hAnsiTheme="minorHAnsi"/>
                <w:color w:val="auto"/>
                <w:szCs w:val="21"/>
              </w:rPr>
              <w:t>甲基</w:t>
            </w:r>
            <w:r w:rsidRPr="00EB785F">
              <w:rPr>
                <w:rFonts w:asciiTheme="minorHAnsi" w:hAnsiTheme="minorHAnsi"/>
                <w:color w:val="auto"/>
                <w:szCs w:val="21"/>
              </w:rPr>
              <w:t>-5-</w:t>
            </w:r>
            <w:r w:rsidRPr="00EB785F">
              <w:rPr>
                <w:rFonts w:asciiTheme="minorHAnsi" w:hAnsiTheme="minorHAnsi"/>
                <w:color w:val="auto"/>
                <w:szCs w:val="21"/>
              </w:rPr>
              <w:t>氯苯磺酸</w:t>
            </w:r>
            <w:r w:rsidRPr="00EB785F">
              <w:rPr>
                <w:rFonts w:asciiTheme="minorHAnsi" w:hAnsiTheme="minorHAnsi"/>
                <w:color w:val="auto"/>
                <w:szCs w:val="21"/>
              </w:rPr>
              <w:t>[CLT</w:t>
            </w:r>
            <w:r w:rsidRPr="00EB785F">
              <w:rPr>
                <w:rFonts w:asciiTheme="minorHAnsi" w:hAnsiTheme="minorHAnsi"/>
                <w:color w:val="auto"/>
                <w:szCs w:val="21"/>
              </w:rPr>
              <w:t>酸</w:t>
            </w:r>
            <w:r w:rsidRPr="00EB785F">
              <w:rPr>
                <w:rFonts w:asciiTheme="minorHAnsi" w:hAnsiTheme="minorHAnsi"/>
                <w:color w:val="auto"/>
                <w:szCs w:val="21"/>
              </w:rPr>
              <w:t>]</w:t>
            </w:r>
            <w:r w:rsidRPr="00EB785F">
              <w:rPr>
                <w:rFonts w:asciiTheme="minorHAnsi" w:hAnsiTheme="minorHAnsi"/>
                <w:color w:val="auto"/>
                <w:szCs w:val="21"/>
              </w:rPr>
              <w:t>、</w:t>
            </w:r>
            <w:r w:rsidRPr="00EB785F">
              <w:rPr>
                <w:rFonts w:asciiTheme="minorHAnsi" w:hAnsiTheme="minorHAnsi"/>
                <w:color w:val="auto"/>
                <w:szCs w:val="21"/>
              </w:rPr>
              <w:t>1-</w:t>
            </w:r>
            <w:r w:rsidRPr="00EB785F">
              <w:rPr>
                <w:rFonts w:asciiTheme="minorHAnsi" w:hAnsiTheme="minorHAnsi"/>
                <w:color w:val="auto"/>
                <w:szCs w:val="21"/>
              </w:rPr>
              <w:t>氨基</w:t>
            </w:r>
            <w:r w:rsidRPr="00EB785F">
              <w:rPr>
                <w:rFonts w:asciiTheme="minorHAnsi" w:hAnsiTheme="minorHAnsi"/>
                <w:color w:val="auto"/>
                <w:szCs w:val="21"/>
              </w:rPr>
              <w:t>-8-</w:t>
            </w:r>
            <w:r w:rsidRPr="00EB785F">
              <w:rPr>
                <w:rFonts w:asciiTheme="minorHAnsi" w:hAnsiTheme="minorHAnsi"/>
                <w:color w:val="auto"/>
                <w:szCs w:val="21"/>
              </w:rPr>
              <w:t>萘酚</w:t>
            </w:r>
            <w:r w:rsidRPr="00EB785F">
              <w:rPr>
                <w:rFonts w:asciiTheme="minorHAnsi" w:hAnsiTheme="minorHAnsi"/>
                <w:color w:val="auto"/>
                <w:szCs w:val="21"/>
              </w:rPr>
              <w:t>-3,6-</w:t>
            </w:r>
            <w:r w:rsidRPr="00EB785F">
              <w:rPr>
                <w:rFonts w:asciiTheme="minorHAnsi" w:hAnsiTheme="minorHAnsi"/>
                <w:color w:val="auto"/>
                <w:szCs w:val="21"/>
              </w:rPr>
              <w:t>二磺酸</w:t>
            </w:r>
            <w:r w:rsidRPr="00EB785F">
              <w:rPr>
                <w:rFonts w:asciiTheme="minorHAnsi" w:hAnsiTheme="minorHAnsi"/>
                <w:color w:val="auto"/>
                <w:szCs w:val="21"/>
              </w:rPr>
              <w:t>[H</w:t>
            </w:r>
            <w:r w:rsidRPr="00EB785F">
              <w:rPr>
                <w:rFonts w:asciiTheme="minorHAnsi" w:hAnsiTheme="minorHAnsi"/>
                <w:color w:val="auto"/>
                <w:szCs w:val="21"/>
              </w:rPr>
              <w:t>酸</w:t>
            </w:r>
            <w:r w:rsidRPr="00EB785F">
              <w:rPr>
                <w:rFonts w:asciiTheme="minorHAnsi" w:hAnsiTheme="minorHAnsi"/>
                <w:color w:val="auto"/>
                <w:szCs w:val="21"/>
              </w:rPr>
              <w:t>]</w:t>
            </w:r>
            <w:r w:rsidRPr="00EB785F">
              <w:rPr>
                <w:rFonts w:asciiTheme="minorHAnsi" w:hAnsiTheme="minorHAnsi"/>
                <w:color w:val="auto"/>
                <w:szCs w:val="21"/>
              </w:rPr>
              <w:t>三种产品暂缓执行）</w:t>
            </w:r>
          </w:p>
        </w:tc>
        <w:tc>
          <w:tcPr>
            <w:tcW w:w="816" w:type="pct"/>
            <w:tcBorders>
              <w:left w:val="single" w:sz="4" w:space="0" w:color="auto"/>
              <w:right w:val="single" w:sz="4" w:space="0" w:color="auto"/>
            </w:tcBorders>
            <w:vAlign w:val="center"/>
          </w:tcPr>
          <w:p w14:paraId="3DDB8187"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2904E18D"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2494A5A5" w14:textId="77777777" w:rsidTr="005E4392">
        <w:trPr>
          <w:trHeight w:val="340"/>
        </w:trPr>
        <w:tc>
          <w:tcPr>
            <w:tcW w:w="410" w:type="pct"/>
            <w:vAlign w:val="center"/>
          </w:tcPr>
          <w:p w14:paraId="2AF22528"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13</w:t>
            </w:r>
          </w:p>
        </w:tc>
        <w:tc>
          <w:tcPr>
            <w:tcW w:w="3247" w:type="pct"/>
            <w:tcBorders>
              <w:right w:val="single" w:sz="4" w:space="0" w:color="auto"/>
            </w:tcBorders>
            <w:vAlign w:val="center"/>
          </w:tcPr>
          <w:p w14:paraId="268838D0"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染料、染料中间体、有机颜料、印染助剂生产装置（鼓励类及采用鼓励类技术的除外）</w:t>
            </w:r>
          </w:p>
        </w:tc>
        <w:tc>
          <w:tcPr>
            <w:tcW w:w="816" w:type="pct"/>
            <w:tcBorders>
              <w:left w:val="single" w:sz="4" w:space="0" w:color="auto"/>
              <w:right w:val="single" w:sz="4" w:space="0" w:color="auto"/>
            </w:tcBorders>
            <w:vAlign w:val="center"/>
          </w:tcPr>
          <w:p w14:paraId="52F84FC4"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1B18E1A1"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10C419BE" w14:textId="77777777" w:rsidTr="005E4392">
        <w:trPr>
          <w:trHeight w:val="340"/>
        </w:trPr>
        <w:tc>
          <w:tcPr>
            <w:tcW w:w="410" w:type="pct"/>
            <w:vAlign w:val="center"/>
          </w:tcPr>
          <w:p w14:paraId="75A381B5"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14</w:t>
            </w:r>
          </w:p>
        </w:tc>
        <w:tc>
          <w:tcPr>
            <w:tcW w:w="3247" w:type="pct"/>
            <w:tcBorders>
              <w:right w:val="single" w:sz="4" w:space="0" w:color="auto"/>
            </w:tcBorders>
            <w:vAlign w:val="center"/>
          </w:tcPr>
          <w:p w14:paraId="1CB3E3A2"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氯氟烃（</w:t>
            </w:r>
            <w:r w:rsidRPr="00EB785F">
              <w:rPr>
                <w:rFonts w:asciiTheme="minorHAnsi" w:hAnsiTheme="minorHAnsi"/>
                <w:color w:val="auto"/>
                <w:szCs w:val="21"/>
              </w:rPr>
              <w:t>CFCs</w:t>
            </w:r>
            <w:r w:rsidRPr="00EB785F">
              <w:rPr>
                <w:rFonts w:asciiTheme="minorHAnsi" w:hAnsiTheme="minorHAnsi"/>
                <w:color w:val="auto"/>
                <w:szCs w:val="21"/>
              </w:rPr>
              <w:t>）、含氢氯氟烃（</w:t>
            </w:r>
            <w:r w:rsidRPr="00EB785F">
              <w:rPr>
                <w:rFonts w:asciiTheme="minorHAnsi" w:hAnsiTheme="minorHAnsi"/>
                <w:color w:val="auto"/>
                <w:szCs w:val="21"/>
              </w:rPr>
              <w:t>HCFCs</w:t>
            </w:r>
            <w:r w:rsidRPr="00EB785F">
              <w:rPr>
                <w:rFonts w:asciiTheme="minorHAnsi" w:hAnsiTheme="minorHAnsi"/>
                <w:color w:val="auto"/>
                <w:szCs w:val="21"/>
              </w:rPr>
              <w:t>，作为自身下游化工产品的原料且不对外销售的除外），用于清洗的</w:t>
            </w:r>
            <w:r w:rsidRPr="00EB785F">
              <w:rPr>
                <w:rFonts w:asciiTheme="minorHAnsi" w:hAnsiTheme="minorHAnsi"/>
                <w:color w:val="auto"/>
                <w:szCs w:val="21"/>
              </w:rPr>
              <w:t>1,1,1-</w:t>
            </w:r>
            <w:r w:rsidRPr="00EB785F">
              <w:rPr>
                <w:rFonts w:asciiTheme="minorHAnsi" w:hAnsiTheme="minorHAnsi"/>
                <w:color w:val="auto"/>
                <w:szCs w:val="21"/>
              </w:rPr>
              <w:t>三氯乙烷（甲基氯仿），主产四氯化碳（</w:t>
            </w:r>
            <w:r w:rsidRPr="00EB785F">
              <w:rPr>
                <w:rFonts w:asciiTheme="minorHAnsi" w:hAnsiTheme="minorHAnsi"/>
                <w:color w:val="auto"/>
                <w:szCs w:val="21"/>
              </w:rPr>
              <w:t>CTC</w:t>
            </w:r>
            <w:r w:rsidRPr="00EB785F">
              <w:rPr>
                <w:rFonts w:asciiTheme="minorHAnsi" w:hAnsiTheme="minorHAnsi"/>
                <w:color w:val="auto"/>
                <w:szCs w:val="21"/>
              </w:rPr>
              <w:t>）、以四氯化碳（</w:t>
            </w:r>
            <w:r w:rsidRPr="00EB785F">
              <w:rPr>
                <w:rFonts w:asciiTheme="minorHAnsi" w:hAnsiTheme="minorHAnsi"/>
                <w:color w:val="auto"/>
                <w:szCs w:val="21"/>
              </w:rPr>
              <w:t>CTC</w:t>
            </w:r>
            <w:r w:rsidRPr="00EB785F">
              <w:rPr>
                <w:rFonts w:asciiTheme="minorHAnsi" w:hAnsiTheme="minorHAnsi"/>
                <w:color w:val="auto"/>
                <w:szCs w:val="21"/>
              </w:rPr>
              <w:t>）为加工助剂的所有产品，以</w:t>
            </w:r>
            <w:r w:rsidRPr="00EB785F">
              <w:rPr>
                <w:rFonts w:asciiTheme="minorHAnsi" w:hAnsiTheme="minorHAnsi"/>
                <w:color w:val="auto"/>
                <w:szCs w:val="21"/>
              </w:rPr>
              <w:t>PFOA</w:t>
            </w:r>
            <w:r w:rsidRPr="00EB785F">
              <w:rPr>
                <w:rFonts w:asciiTheme="minorHAnsi" w:hAnsiTheme="minorHAnsi"/>
                <w:color w:val="auto"/>
                <w:szCs w:val="21"/>
              </w:rPr>
              <w:t>为加工助剂的含氟聚合物生产工艺，含滴滴涕的涂料、采用滴滴涕为原料非封闭生产三氯杀螨醇生产装置</w:t>
            </w:r>
          </w:p>
        </w:tc>
        <w:tc>
          <w:tcPr>
            <w:tcW w:w="816" w:type="pct"/>
            <w:tcBorders>
              <w:left w:val="single" w:sz="4" w:space="0" w:color="auto"/>
              <w:right w:val="single" w:sz="4" w:space="0" w:color="auto"/>
            </w:tcBorders>
            <w:vAlign w:val="center"/>
          </w:tcPr>
          <w:p w14:paraId="3C308077"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2BBD1B11"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1540D7C4" w14:textId="77777777" w:rsidTr="005E4392">
        <w:trPr>
          <w:trHeight w:val="340"/>
        </w:trPr>
        <w:tc>
          <w:tcPr>
            <w:tcW w:w="410" w:type="pct"/>
            <w:vAlign w:val="center"/>
          </w:tcPr>
          <w:p w14:paraId="4E1C5B33"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15</w:t>
            </w:r>
          </w:p>
        </w:tc>
        <w:tc>
          <w:tcPr>
            <w:tcW w:w="3247" w:type="pct"/>
            <w:tcBorders>
              <w:right w:val="single" w:sz="4" w:space="0" w:color="auto"/>
            </w:tcBorders>
            <w:vAlign w:val="center"/>
          </w:tcPr>
          <w:p w14:paraId="30E390D0"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氟化氢（</w:t>
            </w:r>
            <w:r w:rsidRPr="00EB785F">
              <w:rPr>
                <w:rFonts w:asciiTheme="minorHAnsi" w:hAnsiTheme="minorHAnsi"/>
                <w:color w:val="auto"/>
                <w:szCs w:val="21"/>
              </w:rPr>
              <w:t>HF</w:t>
            </w:r>
            <w:r w:rsidRPr="00EB785F">
              <w:rPr>
                <w:rFonts w:asciiTheme="minorHAnsi" w:hAnsiTheme="minorHAnsi"/>
                <w:color w:val="auto"/>
                <w:szCs w:val="21"/>
              </w:rPr>
              <w:t>，企业下游深加工产品配套自用、电子级及湿法磷酸配套除外），新建初始规模小于</w:t>
            </w:r>
            <w:r w:rsidRPr="00EB785F">
              <w:rPr>
                <w:rFonts w:asciiTheme="minorHAnsi" w:hAnsiTheme="minorHAnsi"/>
                <w:color w:val="auto"/>
                <w:szCs w:val="21"/>
              </w:rPr>
              <w:t>20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年、单套规模小于</w:t>
            </w:r>
            <w:r w:rsidRPr="00EB785F">
              <w:rPr>
                <w:rFonts w:asciiTheme="minorHAnsi" w:hAnsiTheme="minorHAnsi"/>
                <w:color w:val="auto"/>
                <w:szCs w:val="21"/>
              </w:rPr>
              <w:t>10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年的甲基氯硅烷单体生产装置，</w:t>
            </w:r>
            <w:r w:rsidRPr="00EB785F">
              <w:rPr>
                <w:rFonts w:asciiTheme="minorHAnsi" w:hAnsiTheme="minorHAnsi"/>
                <w:color w:val="auto"/>
                <w:szCs w:val="21"/>
              </w:rPr>
              <w:t>10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年以下（有机硅配套除外）和</w:t>
            </w:r>
            <w:r w:rsidRPr="00EB785F">
              <w:rPr>
                <w:rFonts w:asciiTheme="minorHAnsi" w:hAnsiTheme="minorHAnsi"/>
                <w:color w:val="auto"/>
                <w:szCs w:val="21"/>
              </w:rPr>
              <w:t>10</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及以上、没有副产四氯化碳配套处置设施的甲烷氯化物生产装置，没有副产三氟甲烷配套处置设施的二氟一氯甲烷生产装置，可接受用途的全氟辛基磺酸及其盐类和全氟辛基磺酰氟（其余为淘汰类）、全氟辛酸（</w:t>
            </w:r>
            <w:r w:rsidRPr="00EB785F">
              <w:rPr>
                <w:rFonts w:asciiTheme="minorHAnsi" w:hAnsiTheme="minorHAnsi"/>
                <w:color w:val="auto"/>
                <w:szCs w:val="21"/>
              </w:rPr>
              <w:t>PFOA</w:t>
            </w:r>
            <w:r w:rsidRPr="00EB785F">
              <w:rPr>
                <w:rFonts w:asciiTheme="minorHAnsi" w:hAnsiTheme="minorHAnsi"/>
                <w:color w:val="auto"/>
                <w:szCs w:val="21"/>
              </w:rPr>
              <w:t>），六氟化硫（</w:t>
            </w:r>
            <w:r w:rsidRPr="00EB785F">
              <w:rPr>
                <w:rFonts w:asciiTheme="minorHAnsi" w:hAnsiTheme="minorHAnsi"/>
                <w:color w:val="auto"/>
                <w:szCs w:val="21"/>
              </w:rPr>
              <w:t>SF6</w:t>
            </w:r>
            <w:r w:rsidRPr="00EB785F">
              <w:rPr>
                <w:rFonts w:asciiTheme="minorHAnsi" w:hAnsiTheme="minorHAnsi"/>
                <w:color w:val="auto"/>
                <w:szCs w:val="21"/>
              </w:rPr>
              <w:t>，高纯级除外），特定豁免用途的六溴环十二烷生产装置</w:t>
            </w:r>
          </w:p>
        </w:tc>
        <w:tc>
          <w:tcPr>
            <w:tcW w:w="816" w:type="pct"/>
            <w:tcBorders>
              <w:left w:val="single" w:sz="4" w:space="0" w:color="auto"/>
              <w:right w:val="single" w:sz="4" w:space="0" w:color="auto"/>
            </w:tcBorders>
            <w:vAlign w:val="center"/>
          </w:tcPr>
          <w:p w14:paraId="25375AE0"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57A5F8A6" w14:textId="77777777" w:rsidR="00A652C0" w:rsidRPr="00EB785F" w:rsidRDefault="00A652C0" w:rsidP="005E4392">
            <w:pPr>
              <w:jc w:val="center"/>
              <w:rPr>
                <w:rFonts w:asciiTheme="minorHAnsi" w:hAnsiTheme="minorHAnsi"/>
                <w:color w:val="auto"/>
                <w:szCs w:val="21"/>
              </w:rPr>
            </w:pPr>
          </w:p>
        </w:tc>
      </w:tr>
      <w:tr w:rsidR="00A652C0" w:rsidRPr="00233FF4" w14:paraId="14CD473F" w14:textId="77777777" w:rsidTr="005E4392">
        <w:trPr>
          <w:trHeight w:val="340"/>
        </w:trPr>
        <w:tc>
          <w:tcPr>
            <w:tcW w:w="410" w:type="pct"/>
            <w:vAlign w:val="center"/>
          </w:tcPr>
          <w:p w14:paraId="73A23D69"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16</w:t>
            </w:r>
          </w:p>
        </w:tc>
        <w:tc>
          <w:tcPr>
            <w:tcW w:w="3247" w:type="pct"/>
            <w:tcBorders>
              <w:right w:val="single" w:sz="4" w:space="0" w:color="auto"/>
            </w:tcBorders>
            <w:vAlign w:val="center"/>
          </w:tcPr>
          <w:p w14:paraId="321AE2BA"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斜交轮胎和力车胎（含手推车胎）、以天然棉帘子布为骨架的轮胎、</w:t>
            </w:r>
            <w:r w:rsidRPr="00EB785F">
              <w:rPr>
                <w:rFonts w:asciiTheme="minorHAnsi" w:hAnsiTheme="minorHAnsi"/>
                <w:color w:val="auto"/>
                <w:szCs w:val="21"/>
              </w:rPr>
              <w:t>1.5</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年及以下的干法造粒炭黑（特种炭黑和半补</w:t>
            </w:r>
            <w:r w:rsidRPr="00EB785F">
              <w:rPr>
                <w:rFonts w:asciiTheme="minorHAnsi" w:hAnsiTheme="minorHAnsi"/>
                <w:color w:val="auto"/>
                <w:szCs w:val="21"/>
              </w:rPr>
              <w:lastRenderedPageBreak/>
              <w:t>强炭黑除外）、</w:t>
            </w:r>
            <w:r w:rsidRPr="00EB785F">
              <w:rPr>
                <w:rFonts w:asciiTheme="minorHAnsi" w:hAnsiTheme="minorHAnsi"/>
                <w:color w:val="auto"/>
                <w:szCs w:val="21"/>
              </w:rPr>
              <w:t>3</w:t>
            </w:r>
            <w:r w:rsidRPr="00EB785F">
              <w:rPr>
                <w:rFonts w:asciiTheme="minorHAnsi" w:hAnsiTheme="minorHAnsi"/>
                <w:color w:val="auto"/>
                <w:szCs w:val="21"/>
              </w:rPr>
              <w:t>亿只</w:t>
            </w:r>
            <w:r w:rsidRPr="00EB785F">
              <w:rPr>
                <w:rFonts w:asciiTheme="minorHAnsi" w:hAnsiTheme="minorHAnsi"/>
                <w:color w:val="auto"/>
                <w:szCs w:val="21"/>
              </w:rPr>
              <w:t>/</w:t>
            </w:r>
            <w:r w:rsidRPr="00EB785F">
              <w:rPr>
                <w:rFonts w:asciiTheme="minorHAnsi" w:hAnsiTheme="minorHAnsi"/>
                <w:color w:val="auto"/>
                <w:szCs w:val="21"/>
              </w:rPr>
              <w:t>年以下的天然胶乳安全套，锦纶帘线、</w:t>
            </w:r>
            <w:r w:rsidRPr="00EB785F">
              <w:rPr>
                <w:rFonts w:asciiTheme="minorHAnsi" w:hAnsiTheme="minorHAnsi"/>
                <w:color w:val="auto"/>
                <w:szCs w:val="21"/>
              </w:rPr>
              <w:t>3</w:t>
            </w:r>
            <w:r w:rsidRPr="00EB785F">
              <w:rPr>
                <w:rFonts w:asciiTheme="minorHAnsi" w:hAnsiTheme="minorHAnsi"/>
                <w:color w:val="auto"/>
                <w:szCs w:val="21"/>
              </w:rPr>
              <w:t>万吨</w:t>
            </w:r>
            <w:r w:rsidRPr="00EB785F">
              <w:rPr>
                <w:rFonts w:asciiTheme="minorHAnsi" w:hAnsiTheme="minorHAnsi"/>
                <w:color w:val="auto"/>
                <w:szCs w:val="21"/>
              </w:rPr>
              <w:t>/</w:t>
            </w:r>
            <w:r w:rsidRPr="00EB785F">
              <w:rPr>
                <w:rFonts w:asciiTheme="minorHAnsi" w:hAnsiTheme="minorHAnsi"/>
                <w:color w:val="auto"/>
                <w:szCs w:val="21"/>
              </w:rPr>
              <w:t>年以下钢丝帘线、再生胶（常压连续脱硫工艺除外）、橡胶塑解剂五氯硫酚、橡胶促进剂二硫化四甲基秋兰姆（</w:t>
            </w:r>
            <w:r w:rsidRPr="00EB785F">
              <w:rPr>
                <w:rFonts w:asciiTheme="minorHAnsi" w:hAnsiTheme="minorHAnsi"/>
                <w:color w:val="auto"/>
                <w:szCs w:val="21"/>
              </w:rPr>
              <w:t>TMTD</w:t>
            </w:r>
            <w:r w:rsidRPr="00EB785F">
              <w:rPr>
                <w:rFonts w:asciiTheme="minorHAnsi" w:hAnsiTheme="minorHAnsi"/>
                <w:color w:val="auto"/>
                <w:szCs w:val="21"/>
              </w:rPr>
              <w:t>）、橡胶硫化促进剂</w:t>
            </w:r>
            <w:r w:rsidRPr="00EB785F">
              <w:rPr>
                <w:rFonts w:asciiTheme="minorHAnsi" w:hAnsiTheme="minorHAnsi"/>
                <w:color w:val="auto"/>
                <w:szCs w:val="21"/>
              </w:rPr>
              <w:t>N-</w:t>
            </w:r>
            <w:r w:rsidRPr="00EB785F">
              <w:rPr>
                <w:rFonts w:asciiTheme="minorHAnsi" w:hAnsiTheme="minorHAnsi"/>
                <w:color w:val="auto"/>
                <w:szCs w:val="21"/>
              </w:rPr>
              <w:t>氧联二（</w:t>
            </w:r>
            <w:r w:rsidRPr="00EB785F">
              <w:rPr>
                <w:rFonts w:asciiTheme="minorHAnsi" w:hAnsiTheme="minorHAnsi"/>
                <w:color w:val="auto"/>
                <w:szCs w:val="21"/>
              </w:rPr>
              <w:t>1,2-</w:t>
            </w:r>
            <w:r w:rsidRPr="00EB785F">
              <w:rPr>
                <w:rFonts w:asciiTheme="minorHAnsi" w:hAnsiTheme="minorHAnsi"/>
                <w:color w:val="auto"/>
                <w:szCs w:val="21"/>
              </w:rPr>
              <w:t>亚乙基）</w:t>
            </w:r>
            <w:r w:rsidRPr="00EB785F">
              <w:rPr>
                <w:rFonts w:asciiTheme="minorHAnsi" w:hAnsiTheme="minorHAnsi"/>
                <w:color w:val="auto"/>
                <w:szCs w:val="21"/>
              </w:rPr>
              <w:t>-2-</w:t>
            </w:r>
            <w:r w:rsidRPr="00EB785F">
              <w:rPr>
                <w:rFonts w:asciiTheme="minorHAnsi" w:hAnsiTheme="minorHAnsi"/>
                <w:color w:val="auto"/>
                <w:szCs w:val="21"/>
              </w:rPr>
              <w:t>苯并噻唑次磺酰胺（</w:t>
            </w:r>
            <w:r w:rsidRPr="00EB785F">
              <w:rPr>
                <w:rFonts w:asciiTheme="minorHAnsi" w:hAnsiTheme="minorHAnsi"/>
                <w:color w:val="auto"/>
                <w:szCs w:val="21"/>
              </w:rPr>
              <w:t>NOBS</w:t>
            </w:r>
            <w:r w:rsidRPr="00EB785F">
              <w:rPr>
                <w:rFonts w:asciiTheme="minorHAnsi" w:hAnsiTheme="minorHAnsi"/>
                <w:color w:val="auto"/>
                <w:szCs w:val="21"/>
              </w:rPr>
              <w:t>）和橡胶防老剂</w:t>
            </w:r>
            <w:r w:rsidRPr="00EB785F">
              <w:rPr>
                <w:rFonts w:asciiTheme="minorHAnsi" w:hAnsiTheme="minorHAnsi"/>
                <w:color w:val="auto"/>
                <w:szCs w:val="21"/>
              </w:rPr>
              <w:t>D</w:t>
            </w:r>
            <w:r w:rsidRPr="00EB785F">
              <w:rPr>
                <w:rFonts w:asciiTheme="minorHAnsi" w:hAnsiTheme="minorHAnsi"/>
                <w:color w:val="auto"/>
                <w:szCs w:val="21"/>
              </w:rPr>
              <w:t>生产装置</w:t>
            </w:r>
          </w:p>
        </w:tc>
        <w:tc>
          <w:tcPr>
            <w:tcW w:w="816" w:type="pct"/>
            <w:tcBorders>
              <w:left w:val="single" w:sz="4" w:space="0" w:color="auto"/>
              <w:right w:val="single" w:sz="4" w:space="0" w:color="auto"/>
            </w:tcBorders>
            <w:vAlign w:val="center"/>
          </w:tcPr>
          <w:p w14:paraId="4C78BD88"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lastRenderedPageBreak/>
              <w:t>本项目</w:t>
            </w:r>
            <w:r>
              <w:rPr>
                <w:rFonts w:asciiTheme="minorHAnsi" w:hAnsiTheme="minorHAnsi"/>
                <w:color w:val="auto"/>
                <w:szCs w:val="21"/>
              </w:rPr>
              <w:t>不涉及该项工艺设备</w:t>
            </w:r>
          </w:p>
        </w:tc>
        <w:tc>
          <w:tcPr>
            <w:tcW w:w="527" w:type="pct"/>
            <w:tcBorders>
              <w:left w:val="single" w:sz="4" w:space="0" w:color="auto"/>
            </w:tcBorders>
            <w:vAlign w:val="center"/>
          </w:tcPr>
          <w:p w14:paraId="4F0BDA94"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50B5AE79" w14:textId="77777777" w:rsidTr="005E4392">
        <w:trPr>
          <w:trHeight w:val="340"/>
        </w:trPr>
        <w:tc>
          <w:tcPr>
            <w:tcW w:w="410" w:type="pct"/>
            <w:vAlign w:val="center"/>
          </w:tcPr>
          <w:p w14:paraId="2232E972"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1</w:t>
            </w:r>
            <w:r>
              <w:rPr>
                <w:rFonts w:asciiTheme="minorHAnsi" w:hAnsiTheme="minorHAnsi"/>
                <w:color w:val="auto"/>
                <w:szCs w:val="21"/>
              </w:rPr>
              <w:t>7</w:t>
            </w:r>
          </w:p>
        </w:tc>
        <w:tc>
          <w:tcPr>
            <w:tcW w:w="3247" w:type="pct"/>
            <w:tcBorders>
              <w:right w:val="single" w:sz="4" w:space="0" w:color="auto"/>
            </w:tcBorders>
            <w:vAlign w:val="center"/>
          </w:tcPr>
          <w:p w14:paraId="16327EAD" w14:textId="77777777" w:rsidR="00A652C0" w:rsidRPr="00EB785F" w:rsidRDefault="00A652C0" w:rsidP="005E4392">
            <w:pPr>
              <w:jc w:val="center"/>
              <w:rPr>
                <w:rFonts w:asciiTheme="minorHAnsi" w:hAnsiTheme="minorHAnsi"/>
                <w:color w:val="auto"/>
                <w:szCs w:val="21"/>
              </w:rPr>
            </w:pPr>
            <w:r w:rsidRPr="00EB785F">
              <w:rPr>
                <w:rFonts w:asciiTheme="minorHAnsi" w:hAnsiTheme="minorHAnsi"/>
                <w:color w:val="auto"/>
                <w:szCs w:val="21"/>
              </w:rPr>
              <w:t>采用氨冷冻盐水的氯气液化工艺，使用敞开式离心机（涉及易燃、有毒物料禁用）、多节钟罩的氯乙烯气柜、煤制甲醇装置气体净化工序三元换热器和液化烃、液氯、液氨管道用软管的生产装置，未设置密闭及自动吸收系统的液氯储存仓库。无火焰监测和熄火保护系统的燃气加热炉、导热油炉</w:t>
            </w:r>
          </w:p>
        </w:tc>
        <w:tc>
          <w:tcPr>
            <w:tcW w:w="816" w:type="pct"/>
            <w:tcBorders>
              <w:left w:val="single" w:sz="4" w:space="0" w:color="auto"/>
              <w:right w:val="single" w:sz="4" w:space="0" w:color="auto"/>
            </w:tcBorders>
            <w:vAlign w:val="center"/>
          </w:tcPr>
          <w:p w14:paraId="2A327888"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本项目燃气</w:t>
            </w:r>
            <w:r>
              <w:rPr>
                <w:rFonts w:asciiTheme="minorHAnsi" w:hAnsiTheme="minorHAnsi"/>
                <w:color w:val="auto"/>
                <w:szCs w:val="21"/>
              </w:rPr>
              <w:t>导热油炉设置有火焰检测和熄</w:t>
            </w:r>
            <w:r>
              <w:rPr>
                <w:rFonts w:asciiTheme="minorHAnsi" w:hAnsiTheme="minorHAnsi" w:hint="eastAsia"/>
                <w:color w:val="auto"/>
                <w:szCs w:val="21"/>
              </w:rPr>
              <w:t>火</w:t>
            </w:r>
            <w:r>
              <w:rPr>
                <w:rFonts w:asciiTheme="minorHAnsi" w:hAnsiTheme="minorHAnsi"/>
                <w:color w:val="auto"/>
                <w:szCs w:val="21"/>
              </w:rPr>
              <w:t>保护系统</w:t>
            </w:r>
          </w:p>
        </w:tc>
        <w:tc>
          <w:tcPr>
            <w:tcW w:w="527" w:type="pct"/>
            <w:tcBorders>
              <w:left w:val="single" w:sz="4" w:space="0" w:color="auto"/>
            </w:tcBorders>
            <w:vAlign w:val="center"/>
          </w:tcPr>
          <w:p w14:paraId="6D46D065"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bl>
    <w:p w14:paraId="64F3347E" w14:textId="77777777" w:rsidR="00A652C0" w:rsidRPr="00233FF4" w:rsidRDefault="00A652C0" w:rsidP="00A652C0">
      <w:pPr>
        <w:spacing w:line="520" w:lineRule="exact"/>
        <w:ind w:firstLineChars="196" w:firstLine="470"/>
        <w:rPr>
          <w:rFonts w:ascii="Calibri" w:eastAsia="黑体" w:hAnsi="Calibri"/>
          <w:bCs/>
          <w:color w:val="auto"/>
          <w:sz w:val="24"/>
        </w:rPr>
      </w:pPr>
      <w:r w:rsidRPr="00233FF4">
        <w:rPr>
          <w:rFonts w:ascii="Calibri" w:eastAsia="黑体"/>
          <w:color w:val="auto"/>
          <w:sz w:val="24"/>
        </w:rPr>
        <w:t>表</w:t>
      </w:r>
      <w:r w:rsidRPr="00233FF4">
        <w:rPr>
          <w:rFonts w:ascii="Calibri" w:eastAsia="黑体" w:hAnsi="Calibri" w:hint="eastAsia"/>
          <w:color w:val="auto"/>
          <w:sz w:val="24"/>
        </w:rPr>
        <w:t>1.8-</w:t>
      </w:r>
      <w:r w:rsidR="004F1F5C">
        <w:rPr>
          <w:rFonts w:ascii="Calibri" w:eastAsia="黑体" w:hAnsi="Calibri"/>
          <w:color w:val="auto"/>
          <w:sz w:val="24"/>
        </w:rPr>
        <w:t>15</w:t>
      </w:r>
      <w:r>
        <w:rPr>
          <w:rFonts w:ascii="Calibri" w:eastAsia="黑体" w:hAnsi="Calibri"/>
          <w:color w:val="auto"/>
          <w:sz w:val="24"/>
        </w:rPr>
        <w:t xml:space="preserve"> </w:t>
      </w:r>
      <w:r>
        <w:rPr>
          <w:rFonts w:ascii="Calibri" w:eastAsia="黑体" w:hAnsi="Calibri" w:hint="eastAsia"/>
          <w:color w:val="auto"/>
          <w:sz w:val="24"/>
        </w:rPr>
        <w:t>与</w:t>
      </w:r>
      <w:r w:rsidRPr="00EB785F">
        <w:rPr>
          <w:rFonts w:ascii="Calibri" w:eastAsia="黑体" w:hAnsi="Calibri" w:hint="eastAsia"/>
          <w:color w:val="auto"/>
          <w:sz w:val="24"/>
        </w:rPr>
        <w:t>河南省承接化工产业转移“禁限控”</w:t>
      </w:r>
      <w:r>
        <w:rPr>
          <w:rFonts w:ascii="Calibri" w:eastAsia="黑体" w:hAnsi="Calibri" w:hint="eastAsia"/>
          <w:color w:val="auto"/>
          <w:sz w:val="24"/>
        </w:rPr>
        <w:t>产品对比</w:t>
      </w:r>
      <w:r>
        <w:rPr>
          <w:rFonts w:ascii="Calibri" w:eastAsia="黑体" w:hAnsi="Calibri"/>
          <w:color w:val="auto"/>
          <w:sz w:val="24"/>
        </w:rPr>
        <w:t>一览表</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714"/>
        <w:gridCol w:w="5792"/>
        <w:gridCol w:w="1277"/>
        <w:gridCol w:w="917"/>
      </w:tblGrid>
      <w:tr w:rsidR="00A652C0" w:rsidRPr="00233FF4" w14:paraId="3E1C477F" w14:textId="77777777" w:rsidTr="005E4392">
        <w:trPr>
          <w:trHeight w:val="340"/>
        </w:trPr>
        <w:tc>
          <w:tcPr>
            <w:tcW w:w="410" w:type="pct"/>
            <w:vAlign w:val="center"/>
          </w:tcPr>
          <w:p w14:paraId="6131AC20"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序号</w:t>
            </w:r>
          </w:p>
        </w:tc>
        <w:tc>
          <w:tcPr>
            <w:tcW w:w="3329" w:type="pct"/>
            <w:tcBorders>
              <w:right w:val="single" w:sz="4" w:space="0" w:color="auto"/>
            </w:tcBorders>
            <w:vAlign w:val="center"/>
          </w:tcPr>
          <w:p w14:paraId="49A5261C"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hint="eastAsia"/>
                <w:color w:val="auto"/>
                <w:szCs w:val="21"/>
              </w:rPr>
              <w:t>河南省承接化工产业转移“禁限控”</w:t>
            </w:r>
            <w:r>
              <w:rPr>
                <w:rFonts w:asciiTheme="minorHAnsi" w:hAnsiTheme="minorHAnsi" w:hint="eastAsia"/>
                <w:color w:val="auto"/>
                <w:szCs w:val="21"/>
              </w:rPr>
              <w:t>产品</w:t>
            </w:r>
          </w:p>
        </w:tc>
        <w:tc>
          <w:tcPr>
            <w:tcW w:w="734" w:type="pct"/>
            <w:tcBorders>
              <w:left w:val="single" w:sz="4" w:space="0" w:color="auto"/>
              <w:right w:val="single" w:sz="4" w:space="0" w:color="auto"/>
            </w:tcBorders>
            <w:vAlign w:val="center"/>
          </w:tcPr>
          <w:p w14:paraId="5FB3DBE2"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情况</w:t>
            </w:r>
          </w:p>
        </w:tc>
        <w:tc>
          <w:tcPr>
            <w:tcW w:w="527" w:type="pct"/>
            <w:tcBorders>
              <w:left w:val="single" w:sz="4" w:space="0" w:color="auto"/>
            </w:tcBorders>
            <w:vAlign w:val="center"/>
          </w:tcPr>
          <w:p w14:paraId="12075388"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是否属于</w:t>
            </w:r>
          </w:p>
        </w:tc>
      </w:tr>
      <w:tr w:rsidR="00A652C0" w:rsidRPr="00233FF4" w14:paraId="04FFDFBC" w14:textId="77777777" w:rsidTr="005E4392">
        <w:trPr>
          <w:trHeight w:val="340"/>
        </w:trPr>
        <w:tc>
          <w:tcPr>
            <w:tcW w:w="410" w:type="pct"/>
            <w:vAlign w:val="center"/>
          </w:tcPr>
          <w:p w14:paraId="5DEFAABA" w14:textId="77777777" w:rsidR="00A652C0" w:rsidRPr="00233FF4" w:rsidRDefault="00A652C0" w:rsidP="005E4392">
            <w:pPr>
              <w:jc w:val="center"/>
              <w:rPr>
                <w:rFonts w:asciiTheme="minorHAnsi" w:hAnsiTheme="minorHAnsi"/>
                <w:color w:val="auto"/>
                <w:szCs w:val="21"/>
              </w:rPr>
            </w:pPr>
            <w:r>
              <w:rPr>
                <w:rFonts w:asciiTheme="minorHAnsi" w:hAnsiTheme="minorHAnsi"/>
                <w:color w:val="auto"/>
                <w:szCs w:val="21"/>
              </w:rPr>
              <w:t>1</w:t>
            </w:r>
          </w:p>
        </w:tc>
        <w:tc>
          <w:tcPr>
            <w:tcW w:w="3329" w:type="pct"/>
            <w:tcBorders>
              <w:right w:val="single" w:sz="4" w:space="0" w:color="auto"/>
            </w:tcBorders>
            <w:vAlign w:val="center"/>
          </w:tcPr>
          <w:p w14:paraId="4E75885F" w14:textId="77777777" w:rsidR="00A652C0" w:rsidRPr="00233FF4" w:rsidRDefault="00A652C0" w:rsidP="005E4392">
            <w:pPr>
              <w:jc w:val="center"/>
              <w:rPr>
                <w:rFonts w:asciiTheme="minorHAnsi" w:hAnsiTheme="minorHAnsi"/>
                <w:color w:val="auto"/>
                <w:szCs w:val="21"/>
              </w:rPr>
            </w:pPr>
            <w:r w:rsidRPr="00E94DFE">
              <w:rPr>
                <w:rFonts w:asciiTheme="minorHAnsi" w:hAnsiTheme="minorHAnsi"/>
                <w:color w:val="auto"/>
                <w:szCs w:val="21"/>
              </w:rPr>
              <w:t>改性淀粉、改性纤维、多彩内墙（树脂以硝化纤维素为主，溶剂以二甲苯为主的</w:t>
            </w:r>
            <w:r w:rsidRPr="00E94DFE">
              <w:rPr>
                <w:rFonts w:asciiTheme="minorHAnsi" w:hAnsiTheme="minorHAnsi"/>
                <w:color w:val="auto"/>
                <w:szCs w:val="21"/>
              </w:rPr>
              <w:t>O/W</w:t>
            </w:r>
            <w:r w:rsidRPr="00E94DFE">
              <w:rPr>
                <w:rFonts w:asciiTheme="minorHAnsi" w:hAnsiTheme="minorHAnsi"/>
                <w:color w:val="auto"/>
                <w:szCs w:val="21"/>
              </w:rPr>
              <w:t>型涂料）、氯乙烯</w:t>
            </w:r>
            <w:r w:rsidRPr="00E94DFE">
              <w:rPr>
                <w:rFonts w:asciiTheme="minorHAnsi" w:hAnsiTheme="minorHAnsi"/>
                <w:color w:val="auto"/>
                <w:szCs w:val="21"/>
              </w:rPr>
              <w:t>-</w:t>
            </w:r>
            <w:r w:rsidRPr="00E94DFE">
              <w:rPr>
                <w:rFonts w:asciiTheme="minorHAnsi" w:hAnsiTheme="minorHAnsi"/>
                <w:color w:val="auto"/>
                <w:szCs w:val="21"/>
              </w:rPr>
              <w:t>偏氯乙烯共聚乳液外墙、焦油型聚氨酯防水、水性聚氯乙烯焦油防水、聚乙烯醇及其缩醛类内外墙（</w:t>
            </w:r>
            <w:r w:rsidRPr="00E94DFE">
              <w:rPr>
                <w:rFonts w:asciiTheme="minorHAnsi" w:hAnsiTheme="minorHAnsi"/>
                <w:color w:val="auto"/>
                <w:szCs w:val="21"/>
              </w:rPr>
              <w:t>106</w:t>
            </w:r>
            <w:r w:rsidRPr="00E94DFE">
              <w:rPr>
                <w:rFonts w:asciiTheme="minorHAnsi" w:hAnsiTheme="minorHAnsi"/>
                <w:color w:val="auto"/>
                <w:szCs w:val="21"/>
              </w:rPr>
              <w:t>、</w:t>
            </w:r>
            <w:r w:rsidRPr="00E94DFE">
              <w:rPr>
                <w:rFonts w:asciiTheme="minorHAnsi" w:hAnsiTheme="minorHAnsi"/>
                <w:color w:val="auto"/>
                <w:szCs w:val="21"/>
              </w:rPr>
              <w:t>107</w:t>
            </w:r>
            <w:r w:rsidRPr="00E94DFE">
              <w:rPr>
                <w:rFonts w:asciiTheme="minorHAnsi" w:hAnsiTheme="minorHAnsi"/>
                <w:color w:val="auto"/>
                <w:szCs w:val="21"/>
              </w:rPr>
              <w:t>涂料等）、聚醋酸乙烯乳液类（含乙烯</w:t>
            </w:r>
            <w:r w:rsidRPr="00E94DFE">
              <w:rPr>
                <w:rFonts w:asciiTheme="minorHAnsi" w:hAnsiTheme="minorHAnsi"/>
                <w:color w:val="auto"/>
                <w:szCs w:val="21"/>
              </w:rPr>
              <w:t>/</w:t>
            </w:r>
            <w:r w:rsidRPr="00E94DFE">
              <w:rPr>
                <w:rFonts w:asciiTheme="minorHAnsi" w:hAnsiTheme="minorHAnsi"/>
                <w:color w:val="auto"/>
                <w:szCs w:val="21"/>
              </w:rPr>
              <w:t>醋酸乙烯酯共聚物乳液）外墙涂料。</w:t>
            </w:r>
          </w:p>
        </w:tc>
        <w:tc>
          <w:tcPr>
            <w:tcW w:w="734" w:type="pct"/>
            <w:tcBorders>
              <w:left w:val="single" w:sz="4" w:space="0" w:color="auto"/>
              <w:right w:val="single" w:sz="4" w:space="0" w:color="auto"/>
            </w:tcBorders>
            <w:vAlign w:val="center"/>
          </w:tcPr>
          <w:p w14:paraId="0DFD8672"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521B8666"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7B56447B" w14:textId="77777777" w:rsidTr="005E4392">
        <w:trPr>
          <w:trHeight w:val="340"/>
        </w:trPr>
        <w:tc>
          <w:tcPr>
            <w:tcW w:w="410" w:type="pct"/>
            <w:vAlign w:val="center"/>
          </w:tcPr>
          <w:p w14:paraId="6736D941"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2</w:t>
            </w:r>
          </w:p>
        </w:tc>
        <w:tc>
          <w:tcPr>
            <w:tcW w:w="3329" w:type="pct"/>
            <w:tcBorders>
              <w:right w:val="single" w:sz="4" w:space="0" w:color="auto"/>
            </w:tcBorders>
            <w:vAlign w:val="center"/>
          </w:tcPr>
          <w:p w14:paraId="3E398807" w14:textId="77777777" w:rsidR="00A652C0" w:rsidRPr="00233FF4" w:rsidRDefault="00A652C0" w:rsidP="005E4392">
            <w:pPr>
              <w:jc w:val="center"/>
              <w:rPr>
                <w:rFonts w:asciiTheme="minorHAnsi" w:hAnsiTheme="minorHAnsi"/>
                <w:color w:val="auto"/>
                <w:szCs w:val="21"/>
              </w:rPr>
            </w:pPr>
            <w:r w:rsidRPr="00E94DFE">
              <w:rPr>
                <w:rFonts w:asciiTheme="minorHAnsi" w:hAnsiTheme="minorHAnsi"/>
                <w:color w:val="auto"/>
                <w:szCs w:val="21"/>
              </w:rPr>
              <w:t>有害物质含量超标准的内墙、溶剂型木器、玩具、汽车、外墙涂料，含双对氯苯基三氯乙烷、三丁基锡、全氟辛酸及其盐类、全氟辛烷磺酸、红丹等有害物质的涂料</w:t>
            </w:r>
          </w:p>
        </w:tc>
        <w:tc>
          <w:tcPr>
            <w:tcW w:w="734" w:type="pct"/>
            <w:tcBorders>
              <w:left w:val="single" w:sz="4" w:space="0" w:color="auto"/>
              <w:right w:val="single" w:sz="4" w:space="0" w:color="auto"/>
            </w:tcBorders>
            <w:vAlign w:val="center"/>
          </w:tcPr>
          <w:p w14:paraId="40244039"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49C08FB7"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4CD47F2E" w14:textId="77777777" w:rsidTr="005E4392">
        <w:trPr>
          <w:trHeight w:val="340"/>
        </w:trPr>
        <w:tc>
          <w:tcPr>
            <w:tcW w:w="410" w:type="pct"/>
            <w:vAlign w:val="center"/>
          </w:tcPr>
          <w:p w14:paraId="378E1D31"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3</w:t>
            </w:r>
          </w:p>
        </w:tc>
        <w:tc>
          <w:tcPr>
            <w:tcW w:w="3329" w:type="pct"/>
            <w:tcBorders>
              <w:right w:val="single" w:sz="4" w:space="0" w:color="auto"/>
            </w:tcBorders>
            <w:vAlign w:val="center"/>
          </w:tcPr>
          <w:p w14:paraId="6202BA0A" w14:textId="77777777" w:rsidR="00A652C0" w:rsidRPr="00233FF4" w:rsidRDefault="00A652C0" w:rsidP="005E4392">
            <w:pPr>
              <w:jc w:val="center"/>
              <w:rPr>
                <w:rFonts w:asciiTheme="minorHAnsi" w:hAnsiTheme="minorHAnsi"/>
                <w:color w:val="auto"/>
                <w:szCs w:val="21"/>
              </w:rPr>
            </w:pPr>
            <w:r w:rsidRPr="00E94DFE">
              <w:rPr>
                <w:rFonts w:asciiTheme="minorHAnsi" w:hAnsiTheme="minorHAnsi"/>
                <w:color w:val="auto"/>
                <w:szCs w:val="21"/>
              </w:rPr>
              <w:t>在还原条件下会裂解产生</w:t>
            </w:r>
            <w:r w:rsidRPr="00E94DFE">
              <w:rPr>
                <w:rFonts w:asciiTheme="minorHAnsi" w:hAnsiTheme="minorHAnsi"/>
                <w:color w:val="auto"/>
                <w:szCs w:val="21"/>
              </w:rPr>
              <w:t>24</w:t>
            </w:r>
            <w:r w:rsidRPr="00E94DFE">
              <w:rPr>
                <w:rFonts w:asciiTheme="minorHAnsi" w:hAnsiTheme="minorHAnsi"/>
                <w:color w:val="auto"/>
                <w:szCs w:val="21"/>
              </w:rPr>
              <w:t>种有害芳香胺的偶氮染料（非纺织品用的领域暂缓）、九种致癌性染料（用于与人体不直接接触的领域暂缓）</w:t>
            </w:r>
          </w:p>
        </w:tc>
        <w:tc>
          <w:tcPr>
            <w:tcW w:w="734" w:type="pct"/>
            <w:tcBorders>
              <w:left w:val="single" w:sz="4" w:space="0" w:color="auto"/>
              <w:right w:val="single" w:sz="4" w:space="0" w:color="auto"/>
            </w:tcBorders>
            <w:vAlign w:val="center"/>
          </w:tcPr>
          <w:p w14:paraId="1DA7F849"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4FECDC83"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5B59572E" w14:textId="77777777" w:rsidTr="005E4392">
        <w:trPr>
          <w:trHeight w:val="340"/>
        </w:trPr>
        <w:tc>
          <w:tcPr>
            <w:tcW w:w="410" w:type="pct"/>
            <w:vAlign w:val="center"/>
          </w:tcPr>
          <w:p w14:paraId="0F1FEFA4"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4</w:t>
            </w:r>
          </w:p>
        </w:tc>
        <w:tc>
          <w:tcPr>
            <w:tcW w:w="3329" w:type="pct"/>
            <w:tcBorders>
              <w:right w:val="single" w:sz="4" w:space="0" w:color="auto"/>
            </w:tcBorders>
            <w:vAlign w:val="center"/>
          </w:tcPr>
          <w:p w14:paraId="57391795" w14:textId="77777777" w:rsidR="00A652C0" w:rsidRPr="00233FF4" w:rsidRDefault="00A652C0" w:rsidP="005E4392">
            <w:pPr>
              <w:jc w:val="center"/>
              <w:rPr>
                <w:rFonts w:asciiTheme="minorHAnsi" w:hAnsiTheme="minorHAnsi"/>
                <w:color w:val="auto"/>
                <w:szCs w:val="21"/>
              </w:rPr>
            </w:pPr>
            <w:r w:rsidRPr="00E94DFE">
              <w:rPr>
                <w:rFonts w:asciiTheme="minorHAnsi" w:hAnsiTheme="minorHAnsi"/>
                <w:color w:val="auto"/>
                <w:szCs w:val="21"/>
              </w:rPr>
              <w:t>含苯类、苯酚、苯甲醛和二（三）氯甲烷的脱漆剂，立德粉，聚氯乙烯建筑防水接缝材料（焦油型），</w:t>
            </w:r>
            <w:r w:rsidRPr="00E94DFE">
              <w:rPr>
                <w:rFonts w:asciiTheme="minorHAnsi" w:hAnsiTheme="minorHAnsi"/>
                <w:color w:val="auto"/>
                <w:szCs w:val="21"/>
              </w:rPr>
              <w:t>107</w:t>
            </w:r>
            <w:r w:rsidRPr="00E94DFE">
              <w:rPr>
                <w:rFonts w:asciiTheme="minorHAnsi" w:hAnsiTheme="minorHAnsi"/>
                <w:color w:val="auto"/>
                <w:szCs w:val="21"/>
              </w:rPr>
              <w:t>胶，瘦肉精，多氯联苯（变压器油）</w:t>
            </w:r>
          </w:p>
        </w:tc>
        <w:tc>
          <w:tcPr>
            <w:tcW w:w="734" w:type="pct"/>
            <w:tcBorders>
              <w:left w:val="single" w:sz="4" w:space="0" w:color="auto"/>
              <w:right w:val="single" w:sz="4" w:space="0" w:color="auto"/>
            </w:tcBorders>
            <w:vAlign w:val="center"/>
          </w:tcPr>
          <w:p w14:paraId="444A8107"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7944B179"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1A780F25" w14:textId="77777777" w:rsidTr="005E4392">
        <w:trPr>
          <w:trHeight w:val="340"/>
        </w:trPr>
        <w:tc>
          <w:tcPr>
            <w:tcW w:w="410" w:type="pct"/>
            <w:vAlign w:val="center"/>
          </w:tcPr>
          <w:p w14:paraId="0D727307"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5</w:t>
            </w:r>
          </w:p>
        </w:tc>
        <w:tc>
          <w:tcPr>
            <w:tcW w:w="3329" w:type="pct"/>
            <w:tcBorders>
              <w:right w:val="single" w:sz="4" w:space="0" w:color="auto"/>
            </w:tcBorders>
            <w:vAlign w:val="center"/>
          </w:tcPr>
          <w:p w14:paraId="7AB39BEC" w14:textId="77777777" w:rsidR="00A652C0" w:rsidRPr="00233FF4" w:rsidRDefault="00A652C0" w:rsidP="005E4392">
            <w:pPr>
              <w:jc w:val="center"/>
              <w:rPr>
                <w:rFonts w:asciiTheme="minorHAnsi" w:hAnsiTheme="minorHAnsi"/>
                <w:color w:val="auto"/>
                <w:szCs w:val="21"/>
              </w:rPr>
            </w:pPr>
            <w:r w:rsidRPr="00E94DFE">
              <w:rPr>
                <w:rFonts w:asciiTheme="minorHAnsi" w:hAnsiTheme="minorHAnsi"/>
                <w:color w:val="auto"/>
                <w:szCs w:val="21"/>
              </w:rPr>
              <w:t>高毒农药产品：六六六、二溴乙烷、丁酰肼、敌枯双、除草醚、杀虫脒、毒鼠强、氟乙酰胺、氟乙酸钠、二溴氯丙烷、治螟磷（苏化</w:t>
            </w:r>
            <w:r w:rsidRPr="00E94DFE">
              <w:rPr>
                <w:rFonts w:asciiTheme="minorHAnsi" w:hAnsiTheme="minorHAnsi"/>
                <w:color w:val="auto"/>
                <w:szCs w:val="21"/>
              </w:rPr>
              <w:t>203</w:t>
            </w:r>
            <w:r w:rsidRPr="00E94DFE">
              <w:rPr>
                <w:rFonts w:asciiTheme="minorHAnsi" w:hAnsiTheme="minorHAnsi"/>
                <w:color w:val="auto"/>
                <w:szCs w:val="21"/>
              </w:rPr>
              <w:t>）、磷胺、甘氟、毒鼠硅、甲胺磷、对硫磷、甲基对硫磷、久效磷、硫环磷（乙基硫环磷）、福美胂、福美甲胂及所有砷制剂、汞制剂、铅制剂、</w:t>
            </w:r>
            <w:r w:rsidRPr="00E94DFE">
              <w:rPr>
                <w:rFonts w:asciiTheme="minorHAnsi" w:hAnsiTheme="minorHAnsi"/>
                <w:color w:val="auto"/>
                <w:szCs w:val="21"/>
              </w:rPr>
              <w:t>10%</w:t>
            </w:r>
            <w:r w:rsidRPr="00E94DFE">
              <w:rPr>
                <w:rFonts w:asciiTheme="minorHAnsi" w:hAnsiTheme="minorHAnsi"/>
                <w:color w:val="auto"/>
                <w:szCs w:val="21"/>
              </w:rPr>
              <w:t>草甘膦水剂，甲基硫环磷、磷化钙、磷化锌、苯线磷、地虫硫磷、磷化镁、硫线磷、蝇毒磷、治螟磷、特丁硫磷、三氯杀螨醇</w:t>
            </w:r>
          </w:p>
        </w:tc>
        <w:tc>
          <w:tcPr>
            <w:tcW w:w="734" w:type="pct"/>
            <w:tcBorders>
              <w:left w:val="single" w:sz="4" w:space="0" w:color="auto"/>
              <w:right w:val="single" w:sz="4" w:space="0" w:color="auto"/>
            </w:tcBorders>
            <w:vAlign w:val="center"/>
          </w:tcPr>
          <w:p w14:paraId="57719868"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3BF0A85F"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26EF1852" w14:textId="77777777" w:rsidTr="005E4392">
        <w:trPr>
          <w:trHeight w:val="340"/>
        </w:trPr>
        <w:tc>
          <w:tcPr>
            <w:tcW w:w="410" w:type="pct"/>
            <w:vAlign w:val="center"/>
          </w:tcPr>
          <w:p w14:paraId="0AE9AEA0"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6</w:t>
            </w:r>
          </w:p>
        </w:tc>
        <w:tc>
          <w:tcPr>
            <w:tcW w:w="3329" w:type="pct"/>
            <w:tcBorders>
              <w:right w:val="single" w:sz="4" w:space="0" w:color="auto"/>
            </w:tcBorders>
            <w:vAlign w:val="center"/>
          </w:tcPr>
          <w:p w14:paraId="41DCDBBC" w14:textId="77777777" w:rsidR="00A652C0" w:rsidRPr="00233FF4" w:rsidRDefault="00A652C0" w:rsidP="005E4392">
            <w:pPr>
              <w:jc w:val="center"/>
              <w:rPr>
                <w:rFonts w:asciiTheme="minorHAnsi" w:hAnsiTheme="minorHAnsi"/>
                <w:color w:val="auto"/>
                <w:szCs w:val="21"/>
              </w:rPr>
            </w:pPr>
            <w:r w:rsidRPr="00E94DFE">
              <w:rPr>
                <w:rFonts w:asciiTheme="minorHAnsi" w:hAnsiTheme="minorHAnsi"/>
                <w:color w:val="auto"/>
                <w:szCs w:val="21"/>
              </w:rPr>
              <w:t>氯丹、七氯、溴甲烷、滴滴涕、六氯苯、灭蚁灵、林丹、毒杀芬、艾氏剂、狄氏剂、异狄氏剂、硫丹、氟虫胺、十氯酮、</w:t>
            </w:r>
            <w:r w:rsidRPr="00E94DFE">
              <w:rPr>
                <w:rFonts w:asciiTheme="minorHAnsi" w:hAnsiTheme="minorHAnsi"/>
                <w:color w:val="auto"/>
                <w:szCs w:val="21"/>
              </w:rPr>
              <w:t>α-</w:t>
            </w:r>
            <w:r w:rsidRPr="00E94DFE">
              <w:rPr>
                <w:rFonts w:asciiTheme="minorHAnsi" w:hAnsiTheme="minorHAnsi"/>
                <w:color w:val="auto"/>
                <w:szCs w:val="21"/>
              </w:rPr>
              <w:t>六氯环己烷、</w:t>
            </w:r>
            <w:r w:rsidRPr="00E94DFE">
              <w:rPr>
                <w:rFonts w:asciiTheme="minorHAnsi" w:hAnsiTheme="minorHAnsi"/>
                <w:color w:val="auto"/>
                <w:szCs w:val="21"/>
              </w:rPr>
              <w:t>β-</w:t>
            </w:r>
            <w:r w:rsidRPr="00E94DFE">
              <w:rPr>
                <w:rFonts w:asciiTheme="minorHAnsi" w:hAnsiTheme="minorHAnsi"/>
                <w:color w:val="auto"/>
                <w:szCs w:val="21"/>
              </w:rPr>
              <w:t>六氯环己烷、多氯联苯、五氯苯、六溴联苯、四溴二苯醚和五溴二苯醚、六溴二苯醚和七溴二苯醚、六溴环十二烷（特定豁免用途为限制类）、全氟辛基磺酸及其盐类和全氟辛基磺酰氟</w:t>
            </w:r>
          </w:p>
        </w:tc>
        <w:tc>
          <w:tcPr>
            <w:tcW w:w="734" w:type="pct"/>
            <w:tcBorders>
              <w:left w:val="single" w:sz="4" w:space="0" w:color="auto"/>
              <w:right w:val="single" w:sz="4" w:space="0" w:color="auto"/>
            </w:tcBorders>
            <w:vAlign w:val="center"/>
          </w:tcPr>
          <w:p w14:paraId="50E68A32"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37508445"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026F9782" w14:textId="77777777" w:rsidTr="005E4392">
        <w:trPr>
          <w:trHeight w:val="340"/>
        </w:trPr>
        <w:tc>
          <w:tcPr>
            <w:tcW w:w="410" w:type="pct"/>
            <w:vAlign w:val="center"/>
          </w:tcPr>
          <w:p w14:paraId="3D84BFAE"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7</w:t>
            </w:r>
          </w:p>
        </w:tc>
        <w:tc>
          <w:tcPr>
            <w:tcW w:w="3329" w:type="pct"/>
            <w:tcBorders>
              <w:right w:val="single" w:sz="4" w:space="0" w:color="auto"/>
            </w:tcBorders>
            <w:vAlign w:val="center"/>
          </w:tcPr>
          <w:p w14:paraId="28BA5167" w14:textId="77777777" w:rsidR="00A652C0" w:rsidRPr="00233FF4" w:rsidRDefault="00A652C0" w:rsidP="005E4392">
            <w:pPr>
              <w:jc w:val="center"/>
              <w:rPr>
                <w:rFonts w:asciiTheme="minorHAnsi" w:hAnsiTheme="minorHAnsi"/>
                <w:color w:val="auto"/>
                <w:szCs w:val="21"/>
              </w:rPr>
            </w:pPr>
            <w:r w:rsidRPr="00E94DFE">
              <w:rPr>
                <w:rFonts w:asciiTheme="minorHAnsi" w:hAnsiTheme="minorHAnsi"/>
                <w:color w:val="auto"/>
                <w:szCs w:val="21"/>
              </w:rPr>
              <w:t>软边结构自行车胎，以棉帘线为骨架材料的普通输送带和以尼龙帘线为骨架材料的普通</w:t>
            </w:r>
            <w:r w:rsidRPr="00E94DFE">
              <w:rPr>
                <w:rFonts w:asciiTheme="minorHAnsi" w:hAnsiTheme="minorHAnsi"/>
                <w:color w:val="auto"/>
                <w:szCs w:val="21"/>
              </w:rPr>
              <w:t>V</w:t>
            </w:r>
            <w:r w:rsidRPr="00E94DFE">
              <w:rPr>
                <w:rFonts w:asciiTheme="minorHAnsi" w:hAnsiTheme="minorHAnsi"/>
                <w:color w:val="auto"/>
                <w:szCs w:val="21"/>
              </w:rPr>
              <w:t>带，轮胎、自行车胎、摩托车胎手工刻花硫化模具</w:t>
            </w:r>
          </w:p>
        </w:tc>
        <w:tc>
          <w:tcPr>
            <w:tcW w:w="734" w:type="pct"/>
            <w:tcBorders>
              <w:left w:val="single" w:sz="4" w:space="0" w:color="auto"/>
              <w:right w:val="single" w:sz="4" w:space="0" w:color="auto"/>
            </w:tcBorders>
            <w:vAlign w:val="center"/>
          </w:tcPr>
          <w:p w14:paraId="0ED19212"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18DD721E"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1B403966" w14:textId="77777777" w:rsidTr="005E4392">
        <w:trPr>
          <w:trHeight w:val="340"/>
        </w:trPr>
        <w:tc>
          <w:tcPr>
            <w:tcW w:w="410" w:type="pct"/>
            <w:vAlign w:val="center"/>
          </w:tcPr>
          <w:p w14:paraId="0E1408F5"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8</w:t>
            </w:r>
          </w:p>
        </w:tc>
        <w:tc>
          <w:tcPr>
            <w:tcW w:w="3329" w:type="pct"/>
            <w:tcBorders>
              <w:right w:val="single" w:sz="4" w:space="0" w:color="auto"/>
            </w:tcBorders>
            <w:vAlign w:val="center"/>
          </w:tcPr>
          <w:p w14:paraId="31A8515C" w14:textId="77777777" w:rsidR="00A652C0" w:rsidRPr="00EB785F" w:rsidRDefault="00A652C0" w:rsidP="005E4392">
            <w:pPr>
              <w:jc w:val="center"/>
              <w:rPr>
                <w:rFonts w:asciiTheme="minorHAnsi" w:hAnsiTheme="minorHAnsi"/>
                <w:color w:val="auto"/>
                <w:szCs w:val="21"/>
              </w:rPr>
            </w:pPr>
            <w:r w:rsidRPr="00E94DFE">
              <w:rPr>
                <w:rFonts w:asciiTheme="minorHAnsi" w:hAnsiTheme="minorHAnsi"/>
                <w:color w:val="auto"/>
                <w:szCs w:val="21"/>
              </w:rPr>
              <w:t>光气、氰化钠、氟乙酸甲酯等剧毒化学品以及硝酸铵、氯酸铵、高氯酸铵、硝化棉等爆炸危险性化学品项目</w:t>
            </w:r>
          </w:p>
        </w:tc>
        <w:tc>
          <w:tcPr>
            <w:tcW w:w="734" w:type="pct"/>
            <w:tcBorders>
              <w:left w:val="single" w:sz="4" w:space="0" w:color="auto"/>
              <w:right w:val="single" w:sz="4" w:space="0" w:color="auto"/>
            </w:tcBorders>
            <w:vAlign w:val="center"/>
          </w:tcPr>
          <w:p w14:paraId="2146034D"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本项目不</w:t>
            </w:r>
            <w:r>
              <w:rPr>
                <w:rFonts w:asciiTheme="minorHAnsi" w:hAnsiTheme="minorHAnsi"/>
                <w:color w:val="auto"/>
                <w:szCs w:val="21"/>
              </w:rPr>
              <w:t>涉及该项产品</w:t>
            </w:r>
          </w:p>
        </w:tc>
        <w:tc>
          <w:tcPr>
            <w:tcW w:w="527" w:type="pct"/>
            <w:tcBorders>
              <w:left w:val="single" w:sz="4" w:space="0" w:color="auto"/>
            </w:tcBorders>
            <w:vAlign w:val="center"/>
          </w:tcPr>
          <w:p w14:paraId="15F96263"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不属于</w:t>
            </w:r>
          </w:p>
        </w:tc>
      </w:tr>
      <w:tr w:rsidR="00A652C0" w:rsidRPr="00233FF4" w14:paraId="7240FF8F" w14:textId="77777777" w:rsidTr="005E4392">
        <w:trPr>
          <w:trHeight w:val="340"/>
        </w:trPr>
        <w:tc>
          <w:tcPr>
            <w:tcW w:w="5000" w:type="pct"/>
            <w:gridSpan w:val="4"/>
            <w:vAlign w:val="center"/>
          </w:tcPr>
          <w:p w14:paraId="09E6B1D5"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注：</w:t>
            </w:r>
            <w:r w:rsidRPr="00E94DFE">
              <w:rPr>
                <w:rFonts w:asciiTheme="minorHAnsi" w:hAnsiTheme="minorHAnsi"/>
                <w:color w:val="auto"/>
                <w:szCs w:val="21"/>
              </w:rPr>
              <w:t>属于联产产品或副产品的、回收套用且不对外销售的化学品生产项目，不作为禁止类项目</w:t>
            </w:r>
          </w:p>
        </w:tc>
      </w:tr>
    </w:tbl>
    <w:p w14:paraId="42990038" w14:textId="77777777" w:rsidR="00646C87" w:rsidRDefault="00646C87" w:rsidP="00A652C0">
      <w:pPr>
        <w:spacing w:line="520" w:lineRule="exact"/>
        <w:ind w:firstLineChars="196" w:firstLine="470"/>
        <w:rPr>
          <w:rFonts w:ascii="Calibri" w:eastAsia="黑体"/>
          <w:color w:val="auto"/>
          <w:sz w:val="24"/>
        </w:rPr>
      </w:pPr>
    </w:p>
    <w:p w14:paraId="02AA3425" w14:textId="77777777" w:rsidR="00A652C0" w:rsidRPr="00233FF4" w:rsidRDefault="00A652C0" w:rsidP="00A652C0">
      <w:pPr>
        <w:spacing w:line="520" w:lineRule="exact"/>
        <w:ind w:firstLineChars="196" w:firstLine="470"/>
        <w:rPr>
          <w:rFonts w:ascii="Calibri" w:eastAsia="黑体" w:hAnsi="Calibri"/>
          <w:bCs/>
          <w:color w:val="auto"/>
          <w:sz w:val="24"/>
        </w:rPr>
      </w:pPr>
      <w:r w:rsidRPr="00233FF4">
        <w:rPr>
          <w:rFonts w:ascii="Calibri" w:eastAsia="黑体"/>
          <w:color w:val="auto"/>
          <w:sz w:val="24"/>
        </w:rPr>
        <w:lastRenderedPageBreak/>
        <w:t>表</w:t>
      </w:r>
      <w:r w:rsidRPr="00233FF4">
        <w:rPr>
          <w:rFonts w:ascii="Calibri" w:eastAsia="黑体" w:hAnsi="Calibri" w:hint="eastAsia"/>
          <w:color w:val="auto"/>
          <w:sz w:val="24"/>
        </w:rPr>
        <w:t>1.8-1</w:t>
      </w:r>
      <w:r w:rsidR="004F1F5C">
        <w:rPr>
          <w:rFonts w:ascii="Calibri" w:eastAsia="黑体" w:hAnsi="Calibri"/>
          <w:color w:val="auto"/>
          <w:sz w:val="24"/>
        </w:rPr>
        <w:t>6</w:t>
      </w:r>
      <w:r>
        <w:rPr>
          <w:rFonts w:ascii="Calibri" w:eastAsia="黑体" w:hAnsi="Calibri"/>
          <w:color w:val="auto"/>
          <w:sz w:val="24"/>
        </w:rPr>
        <w:t xml:space="preserve">  </w:t>
      </w:r>
      <w:r>
        <w:rPr>
          <w:rFonts w:ascii="Calibri" w:eastAsia="黑体" w:hAnsi="Calibri" w:hint="eastAsia"/>
          <w:color w:val="auto"/>
          <w:sz w:val="24"/>
        </w:rPr>
        <w:t xml:space="preserve"> </w:t>
      </w:r>
      <w:r>
        <w:rPr>
          <w:rFonts w:ascii="Calibri" w:eastAsia="黑体" w:hAnsi="Calibri" w:hint="eastAsia"/>
          <w:color w:val="auto"/>
          <w:sz w:val="24"/>
        </w:rPr>
        <w:t>与</w:t>
      </w:r>
      <w:r w:rsidRPr="00EB785F">
        <w:rPr>
          <w:rFonts w:ascii="Calibri" w:eastAsia="黑体" w:hAnsi="Calibri" w:hint="eastAsia"/>
          <w:color w:val="auto"/>
          <w:sz w:val="24"/>
        </w:rPr>
        <w:t>河南省承接化工产业转移“禁限控”目录</w:t>
      </w:r>
      <w:r>
        <w:rPr>
          <w:rFonts w:ascii="Calibri" w:eastAsia="黑体" w:hAnsi="Calibri" w:hint="eastAsia"/>
          <w:color w:val="auto"/>
          <w:sz w:val="24"/>
        </w:rPr>
        <w:t>符合性</w:t>
      </w:r>
      <w:r>
        <w:rPr>
          <w:rFonts w:ascii="Calibri" w:eastAsia="黑体" w:hAnsi="Calibri"/>
          <w:color w:val="auto"/>
          <w:sz w:val="24"/>
        </w:rPr>
        <w:t>分析</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713"/>
        <w:gridCol w:w="3099"/>
        <w:gridCol w:w="4253"/>
        <w:gridCol w:w="635"/>
      </w:tblGrid>
      <w:tr w:rsidR="00A652C0" w:rsidRPr="00233FF4" w14:paraId="667E017C" w14:textId="77777777" w:rsidTr="005E4392">
        <w:trPr>
          <w:trHeight w:val="340"/>
        </w:trPr>
        <w:tc>
          <w:tcPr>
            <w:tcW w:w="410" w:type="pct"/>
            <w:vAlign w:val="center"/>
          </w:tcPr>
          <w:p w14:paraId="569F3413"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序号</w:t>
            </w:r>
          </w:p>
        </w:tc>
        <w:tc>
          <w:tcPr>
            <w:tcW w:w="1781" w:type="pct"/>
            <w:tcBorders>
              <w:right w:val="single" w:sz="4" w:space="0" w:color="auto"/>
            </w:tcBorders>
            <w:vAlign w:val="center"/>
          </w:tcPr>
          <w:p w14:paraId="349DA56E"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hint="eastAsia"/>
                <w:color w:val="auto"/>
                <w:szCs w:val="21"/>
              </w:rPr>
              <w:t>河南省承接化工产业转移“禁限控”目录</w:t>
            </w:r>
            <w:r>
              <w:rPr>
                <w:rFonts w:asciiTheme="minorHAnsi" w:hAnsiTheme="minorHAnsi" w:hint="eastAsia"/>
                <w:color w:val="auto"/>
                <w:szCs w:val="21"/>
              </w:rPr>
              <w:t>内容</w:t>
            </w:r>
          </w:p>
        </w:tc>
        <w:tc>
          <w:tcPr>
            <w:tcW w:w="2444" w:type="pct"/>
            <w:tcBorders>
              <w:left w:val="single" w:sz="4" w:space="0" w:color="auto"/>
              <w:right w:val="single" w:sz="4" w:space="0" w:color="auto"/>
            </w:tcBorders>
            <w:vAlign w:val="center"/>
          </w:tcPr>
          <w:p w14:paraId="1EE0465A"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情况</w:t>
            </w:r>
          </w:p>
        </w:tc>
        <w:tc>
          <w:tcPr>
            <w:tcW w:w="365" w:type="pct"/>
            <w:tcBorders>
              <w:left w:val="single" w:sz="4" w:space="0" w:color="auto"/>
            </w:tcBorders>
            <w:vAlign w:val="center"/>
          </w:tcPr>
          <w:p w14:paraId="1CF7B8EC"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是否</w:t>
            </w:r>
            <w:r>
              <w:rPr>
                <w:rFonts w:asciiTheme="minorHAnsi" w:hAnsiTheme="minorHAnsi"/>
                <w:color w:val="auto"/>
                <w:szCs w:val="21"/>
              </w:rPr>
              <w:t>符合</w:t>
            </w:r>
          </w:p>
        </w:tc>
      </w:tr>
      <w:tr w:rsidR="00A652C0" w:rsidRPr="00233FF4" w14:paraId="115131B0" w14:textId="77777777" w:rsidTr="005E4392">
        <w:trPr>
          <w:trHeight w:val="340"/>
        </w:trPr>
        <w:tc>
          <w:tcPr>
            <w:tcW w:w="410" w:type="pct"/>
            <w:vAlign w:val="center"/>
          </w:tcPr>
          <w:p w14:paraId="0B0BE464"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一</w:t>
            </w:r>
          </w:p>
        </w:tc>
        <w:tc>
          <w:tcPr>
            <w:tcW w:w="1781" w:type="pct"/>
            <w:tcBorders>
              <w:right w:val="single" w:sz="4" w:space="0" w:color="auto"/>
            </w:tcBorders>
            <w:vAlign w:val="center"/>
          </w:tcPr>
          <w:p w14:paraId="62458AD8"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hint="eastAsia"/>
                <w:color w:val="auto"/>
                <w:szCs w:val="21"/>
              </w:rPr>
              <w:t>禁止承接不符合国家石化、现代煤化工等产业布局规划的项目</w:t>
            </w:r>
          </w:p>
        </w:tc>
        <w:tc>
          <w:tcPr>
            <w:tcW w:w="2444" w:type="pct"/>
            <w:tcBorders>
              <w:left w:val="single" w:sz="4" w:space="0" w:color="auto"/>
              <w:right w:val="single" w:sz="4" w:space="0" w:color="auto"/>
            </w:tcBorders>
            <w:vAlign w:val="center"/>
          </w:tcPr>
          <w:p w14:paraId="20EC7B5A"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本项目为</w:t>
            </w:r>
            <w:r>
              <w:rPr>
                <w:rFonts w:asciiTheme="minorHAnsi" w:hAnsi="Calibri" w:hint="eastAsia"/>
                <w:caps/>
                <w:color w:val="000000" w:themeColor="text1"/>
              </w:rPr>
              <w:t>合成材料制造项目</w:t>
            </w:r>
            <w:r w:rsidRPr="00EB785F">
              <w:rPr>
                <w:rFonts w:asciiTheme="minorHAnsi" w:hAnsiTheme="minorHAnsi" w:hint="eastAsia"/>
                <w:color w:val="auto"/>
                <w:szCs w:val="21"/>
              </w:rPr>
              <w:t>，符合集聚区主导产业发展方向和准入要求</w:t>
            </w:r>
            <w:r>
              <w:rPr>
                <w:rFonts w:asciiTheme="minorHAnsi" w:hAnsiTheme="minorHAnsi" w:hint="eastAsia"/>
                <w:color w:val="auto"/>
                <w:szCs w:val="21"/>
              </w:rPr>
              <w:t>，</w:t>
            </w:r>
            <w:r>
              <w:rPr>
                <w:rFonts w:asciiTheme="minorHAnsi" w:hAnsiTheme="minorHAnsi"/>
                <w:color w:val="auto"/>
                <w:szCs w:val="21"/>
              </w:rPr>
              <w:t>且已经通过</w:t>
            </w:r>
            <w:r w:rsidRPr="008F6A25">
              <w:rPr>
                <w:rFonts w:asciiTheme="minorHAnsi" w:hAnsiTheme="minorHAnsi" w:hint="eastAsia"/>
                <w:color w:val="auto"/>
                <w:szCs w:val="21"/>
              </w:rPr>
              <w:t>平顶山尼龙新材料开发区</w:t>
            </w:r>
            <w:r>
              <w:rPr>
                <w:rFonts w:asciiTheme="minorHAnsi" w:hAnsiTheme="minorHAnsi"/>
                <w:color w:val="auto"/>
                <w:szCs w:val="21"/>
              </w:rPr>
              <w:t>备案，符合国家产业政策和</w:t>
            </w:r>
            <w:r>
              <w:rPr>
                <w:rFonts w:asciiTheme="minorHAnsi" w:hAnsiTheme="minorHAnsi" w:hint="eastAsia"/>
                <w:color w:val="auto"/>
                <w:szCs w:val="21"/>
              </w:rPr>
              <w:t>园区产业</w:t>
            </w:r>
            <w:r>
              <w:rPr>
                <w:rFonts w:asciiTheme="minorHAnsi" w:hAnsiTheme="minorHAnsi"/>
                <w:color w:val="auto"/>
                <w:szCs w:val="21"/>
              </w:rPr>
              <w:t>发展规划</w:t>
            </w:r>
          </w:p>
        </w:tc>
        <w:tc>
          <w:tcPr>
            <w:tcW w:w="365" w:type="pct"/>
            <w:tcBorders>
              <w:left w:val="single" w:sz="4" w:space="0" w:color="auto"/>
            </w:tcBorders>
            <w:vAlign w:val="center"/>
          </w:tcPr>
          <w:p w14:paraId="2B450157"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符合</w:t>
            </w:r>
          </w:p>
        </w:tc>
      </w:tr>
      <w:tr w:rsidR="00A652C0" w:rsidRPr="00233FF4" w14:paraId="19B2D9FA" w14:textId="77777777" w:rsidTr="005E4392">
        <w:trPr>
          <w:trHeight w:val="340"/>
        </w:trPr>
        <w:tc>
          <w:tcPr>
            <w:tcW w:w="410" w:type="pct"/>
            <w:vAlign w:val="center"/>
          </w:tcPr>
          <w:p w14:paraId="72EBE08F"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二</w:t>
            </w:r>
          </w:p>
        </w:tc>
        <w:tc>
          <w:tcPr>
            <w:tcW w:w="1781" w:type="pct"/>
            <w:tcBorders>
              <w:right w:val="single" w:sz="4" w:space="0" w:color="auto"/>
            </w:tcBorders>
            <w:vAlign w:val="center"/>
          </w:tcPr>
          <w:p w14:paraId="5E12D3EB"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hint="eastAsia"/>
                <w:color w:val="auto"/>
                <w:szCs w:val="21"/>
              </w:rPr>
              <w:t>禁止承接包含目录中所列工艺装备或产品的项目</w:t>
            </w:r>
          </w:p>
        </w:tc>
        <w:tc>
          <w:tcPr>
            <w:tcW w:w="2444" w:type="pct"/>
            <w:tcBorders>
              <w:left w:val="single" w:sz="4" w:space="0" w:color="auto"/>
              <w:right w:val="single" w:sz="4" w:space="0" w:color="auto"/>
            </w:tcBorders>
            <w:vAlign w:val="center"/>
          </w:tcPr>
          <w:p w14:paraId="1358D5E3"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经过</w:t>
            </w:r>
            <w:r>
              <w:rPr>
                <w:rFonts w:asciiTheme="minorHAnsi" w:hAnsiTheme="minorHAnsi"/>
                <w:color w:val="auto"/>
                <w:szCs w:val="21"/>
              </w:rPr>
              <w:t>逐项比对，本</w:t>
            </w:r>
            <w:r>
              <w:rPr>
                <w:rFonts w:asciiTheme="minorHAnsi" w:hAnsiTheme="minorHAnsi" w:hint="eastAsia"/>
                <w:color w:val="auto"/>
                <w:szCs w:val="21"/>
              </w:rPr>
              <w:t>项目</w:t>
            </w:r>
            <w:r>
              <w:rPr>
                <w:rFonts w:asciiTheme="minorHAnsi" w:hAnsiTheme="minorHAnsi"/>
                <w:color w:val="auto"/>
                <w:szCs w:val="21"/>
              </w:rPr>
              <w:t>工艺设备、</w:t>
            </w:r>
            <w:r>
              <w:rPr>
                <w:rFonts w:asciiTheme="minorHAnsi" w:hAnsiTheme="minorHAnsi" w:hint="eastAsia"/>
                <w:color w:val="auto"/>
                <w:szCs w:val="21"/>
              </w:rPr>
              <w:t>产品均</w:t>
            </w:r>
            <w:r>
              <w:rPr>
                <w:rFonts w:asciiTheme="minorHAnsi" w:hAnsiTheme="minorHAnsi"/>
                <w:color w:val="auto"/>
                <w:szCs w:val="21"/>
              </w:rPr>
              <w:t>不</w:t>
            </w:r>
            <w:r>
              <w:rPr>
                <w:rFonts w:asciiTheme="minorHAnsi" w:hAnsiTheme="minorHAnsi" w:hint="eastAsia"/>
                <w:color w:val="auto"/>
                <w:szCs w:val="21"/>
              </w:rPr>
              <w:t>在“禁限控”目录</w:t>
            </w:r>
          </w:p>
        </w:tc>
        <w:tc>
          <w:tcPr>
            <w:tcW w:w="365" w:type="pct"/>
            <w:tcBorders>
              <w:left w:val="single" w:sz="4" w:space="0" w:color="auto"/>
            </w:tcBorders>
            <w:vAlign w:val="center"/>
          </w:tcPr>
          <w:p w14:paraId="52120E13"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符合</w:t>
            </w:r>
          </w:p>
        </w:tc>
      </w:tr>
      <w:tr w:rsidR="00A652C0" w:rsidRPr="00233FF4" w14:paraId="1C95DB47" w14:textId="77777777" w:rsidTr="005E4392">
        <w:trPr>
          <w:trHeight w:val="340"/>
        </w:trPr>
        <w:tc>
          <w:tcPr>
            <w:tcW w:w="410" w:type="pct"/>
            <w:vAlign w:val="center"/>
          </w:tcPr>
          <w:p w14:paraId="7D6114F2"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三</w:t>
            </w:r>
          </w:p>
        </w:tc>
        <w:tc>
          <w:tcPr>
            <w:tcW w:w="1781" w:type="pct"/>
            <w:tcBorders>
              <w:right w:val="single" w:sz="4" w:space="0" w:color="auto"/>
            </w:tcBorders>
            <w:vAlign w:val="center"/>
          </w:tcPr>
          <w:p w14:paraId="106D92E9"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hint="eastAsia"/>
                <w:color w:val="auto"/>
                <w:szCs w:val="21"/>
              </w:rPr>
              <w:t>禁止大气污染防治重点区域承接煤化工产能</w:t>
            </w:r>
          </w:p>
        </w:tc>
        <w:tc>
          <w:tcPr>
            <w:tcW w:w="2444" w:type="pct"/>
            <w:tcBorders>
              <w:left w:val="single" w:sz="4" w:space="0" w:color="auto"/>
              <w:right w:val="single" w:sz="4" w:space="0" w:color="auto"/>
            </w:tcBorders>
            <w:vAlign w:val="center"/>
          </w:tcPr>
          <w:p w14:paraId="56A9A605"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w:t>
            </w:r>
            <w:r>
              <w:rPr>
                <w:rFonts w:asciiTheme="minorHAnsi" w:hAnsiTheme="minorHAnsi"/>
                <w:color w:val="auto"/>
                <w:szCs w:val="21"/>
              </w:rPr>
              <w:t>为</w:t>
            </w:r>
            <w:r>
              <w:rPr>
                <w:rFonts w:asciiTheme="minorHAnsi" w:hAnsi="Calibri" w:hint="eastAsia"/>
                <w:caps/>
                <w:color w:val="000000" w:themeColor="text1"/>
              </w:rPr>
              <w:t>合成材料制造项目</w:t>
            </w:r>
            <w:r>
              <w:rPr>
                <w:rFonts w:asciiTheme="minorHAnsi" w:hAnsiTheme="minorHAnsi" w:hint="eastAsia"/>
                <w:color w:val="auto"/>
                <w:szCs w:val="21"/>
              </w:rPr>
              <w:t>，</w:t>
            </w:r>
            <w:r>
              <w:rPr>
                <w:rFonts w:asciiTheme="minorHAnsi" w:hAnsiTheme="minorHAnsi"/>
                <w:color w:val="auto"/>
                <w:szCs w:val="21"/>
              </w:rPr>
              <w:t>不属于煤化工产能</w:t>
            </w:r>
          </w:p>
        </w:tc>
        <w:tc>
          <w:tcPr>
            <w:tcW w:w="365" w:type="pct"/>
            <w:tcBorders>
              <w:left w:val="single" w:sz="4" w:space="0" w:color="auto"/>
            </w:tcBorders>
            <w:vAlign w:val="center"/>
          </w:tcPr>
          <w:p w14:paraId="4553028E"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符合</w:t>
            </w:r>
          </w:p>
        </w:tc>
      </w:tr>
      <w:tr w:rsidR="00A652C0" w:rsidRPr="00233FF4" w14:paraId="21859F1B" w14:textId="77777777" w:rsidTr="005E4392">
        <w:trPr>
          <w:trHeight w:val="340"/>
        </w:trPr>
        <w:tc>
          <w:tcPr>
            <w:tcW w:w="410" w:type="pct"/>
            <w:vAlign w:val="center"/>
          </w:tcPr>
          <w:p w14:paraId="3C09F687"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四</w:t>
            </w:r>
          </w:p>
        </w:tc>
        <w:tc>
          <w:tcPr>
            <w:tcW w:w="1781" w:type="pct"/>
            <w:tcBorders>
              <w:right w:val="single" w:sz="4" w:space="0" w:color="auto"/>
            </w:tcBorders>
            <w:vAlign w:val="center"/>
          </w:tcPr>
          <w:p w14:paraId="65437AAC"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禁止承接一次性固定资产投资额低于</w:t>
            </w:r>
            <w:r w:rsidRPr="00EB785F">
              <w:rPr>
                <w:rFonts w:asciiTheme="minorHAnsi" w:hAnsiTheme="minorHAnsi"/>
                <w:color w:val="auto"/>
                <w:szCs w:val="21"/>
              </w:rPr>
              <w:t>3</w:t>
            </w:r>
            <w:r w:rsidRPr="00EB785F">
              <w:rPr>
                <w:rFonts w:asciiTheme="minorHAnsi" w:hAnsiTheme="minorHAnsi"/>
                <w:color w:val="auto"/>
                <w:szCs w:val="21"/>
              </w:rPr>
              <w:t>亿元（不含土地费用）的危险化学品生产建设项目（列入国家战略性新兴产业重点产品和服务指导目录的项目除外）</w:t>
            </w:r>
          </w:p>
        </w:tc>
        <w:tc>
          <w:tcPr>
            <w:tcW w:w="2444" w:type="pct"/>
            <w:tcBorders>
              <w:left w:val="single" w:sz="4" w:space="0" w:color="auto"/>
              <w:right w:val="single" w:sz="4" w:space="0" w:color="auto"/>
            </w:tcBorders>
            <w:vAlign w:val="center"/>
          </w:tcPr>
          <w:p w14:paraId="68C60C52" w14:textId="77777777" w:rsidR="00A652C0" w:rsidRPr="00233FF4" w:rsidRDefault="00A652C0" w:rsidP="005E4392">
            <w:pPr>
              <w:jc w:val="center"/>
              <w:rPr>
                <w:rFonts w:asciiTheme="minorHAnsi" w:hAnsiTheme="minorHAnsi"/>
                <w:color w:val="auto"/>
                <w:szCs w:val="21"/>
              </w:rPr>
            </w:pPr>
            <w:r>
              <w:rPr>
                <w:rFonts w:asciiTheme="minorHAnsi" w:hAnsiTheme="minorHAnsi" w:hint="eastAsia"/>
                <w:color w:val="auto"/>
                <w:szCs w:val="21"/>
              </w:rPr>
              <w:t>本项目产品</w:t>
            </w:r>
            <w:r>
              <w:rPr>
                <w:rFonts w:asciiTheme="minorHAnsi" w:hAnsiTheme="minorHAnsi"/>
                <w:color w:val="auto"/>
                <w:szCs w:val="21"/>
              </w:rPr>
              <w:t>均不属于危险化学品</w:t>
            </w:r>
          </w:p>
        </w:tc>
        <w:tc>
          <w:tcPr>
            <w:tcW w:w="365" w:type="pct"/>
            <w:tcBorders>
              <w:left w:val="single" w:sz="4" w:space="0" w:color="auto"/>
            </w:tcBorders>
            <w:vAlign w:val="center"/>
          </w:tcPr>
          <w:p w14:paraId="10D39EF4"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符合</w:t>
            </w:r>
          </w:p>
        </w:tc>
      </w:tr>
      <w:tr w:rsidR="00A652C0" w:rsidRPr="00233FF4" w14:paraId="3AB40F88" w14:textId="77777777" w:rsidTr="005E4392">
        <w:trPr>
          <w:trHeight w:val="340"/>
        </w:trPr>
        <w:tc>
          <w:tcPr>
            <w:tcW w:w="410" w:type="pct"/>
            <w:vAlign w:val="center"/>
          </w:tcPr>
          <w:p w14:paraId="1E358595" w14:textId="77777777" w:rsidR="00A652C0" w:rsidRDefault="00A652C0" w:rsidP="005E4392">
            <w:pPr>
              <w:jc w:val="center"/>
              <w:rPr>
                <w:rFonts w:asciiTheme="minorHAnsi" w:hAnsiTheme="minorHAnsi"/>
                <w:color w:val="auto"/>
                <w:szCs w:val="21"/>
              </w:rPr>
            </w:pPr>
            <w:r>
              <w:rPr>
                <w:rFonts w:asciiTheme="minorHAnsi" w:hAnsiTheme="minorHAnsi" w:hint="eastAsia"/>
                <w:color w:val="auto"/>
                <w:szCs w:val="21"/>
              </w:rPr>
              <w:t>五</w:t>
            </w:r>
          </w:p>
        </w:tc>
        <w:tc>
          <w:tcPr>
            <w:tcW w:w="1781" w:type="pct"/>
            <w:tcBorders>
              <w:right w:val="single" w:sz="4" w:space="0" w:color="auto"/>
            </w:tcBorders>
            <w:vAlign w:val="center"/>
          </w:tcPr>
          <w:p w14:paraId="06527681" w14:textId="77777777" w:rsidR="00A652C0" w:rsidRPr="00233FF4" w:rsidRDefault="00A652C0" w:rsidP="005E4392">
            <w:pPr>
              <w:jc w:val="center"/>
              <w:rPr>
                <w:rFonts w:asciiTheme="minorHAnsi" w:hAnsiTheme="minorHAnsi"/>
                <w:color w:val="auto"/>
                <w:szCs w:val="21"/>
              </w:rPr>
            </w:pPr>
            <w:r w:rsidRPr="00EB785F">
              <w:rPr>
                <w:rFonts w:asciiTheme="minorHAnsi" w:hAnsiTheme="minorHAnsi"/>
                <w:color w:val="auto"/>
                <w:szCs w:val="21"/>
              </w:rPr>
              <w:t>禁止在化工园区外承接化工项目</w:t>
            </w:r>
          </w:p>
        </w:tc>
        <w:tc>
          <w:tcPr>
            <w:tcW w:w="2444" w:type="pct"/>
            <w:tcBorders>
              <w:left w:val="single" w:sz="4" w:space="0" w:color="auto"/>
              <w:right w:val="single" w:sz="4" w:space="0" w:color="auto"/>
            </w:tcBorders>
            <w:vAlign w:val="center"/>
          </w:tcPr>
          <w:p w14:paraId="2498F062" w14:textId="2943D172" w:rsidR="00A652C0" w:rsidRPr="00C82202" w:rsidRDefault="00A652C0" w:rsidP="007430A4">
            <w:pPr>
              <w:jc w:val="center"/>
              <w:rPr>
                <w:rFonts w:asciiTheme="minorHAnsi" w:hAnsiTheme="minorHAnsi"/>
                <w:color w:val="auto"/>
                <w:szCs w:val="21"/>
              </w:rPr>
            </w:pPr>
            <w:r w:rsidRPr="00C82202">
              <w:rPr>
                <w:rFonts w:asciiTheme="minorHAnsi" w:hAnsiTheme="minorHAnsi" w:hint="eastAsia"/>
                <w:color w:val="auto"/>
                <w:szCs w:val="21"/>
              </w:rPr>
              <w:t>本项目选址位于平顶山尼龙新材料产业集聚区，</w:t>
            </w:r>
            <w:r w:rsidR="007430A4" w:rsidRPr="007430A4">
              <w:rPr>
                <w:rFonts w:asciiTheme="minorHAnsi" w:hAnsiTheme="minorHAnsi" w:hint="eastAsia"/>
                <w:color w:val="auto"/>
                <w:szCs w:val="21"/>
              </w:rPr>
              <w:t>地块</w:t>
            </w:r>
            <w:r w:rsidR="0091142E" w:rsidRPr="0091142E">
              <w:rPr>
                <w:rFonts w:asciiTheme="minorHAnsi" w:hAnsiTheme="minorHAnsi" w:hint="eastAsia"/>
                <w:color w:val="auto"/>
                <w:szCs w:val="21"/>
              </w:rPr>
              <w:t>平顶山倍安德塑化有限公司</w:t>
            </w:r>
            <w:r w:rsidR="007430A4" w:rsidRPr="007430A4">
              <w:rPr>
                <w:rFonts w:asciiTheme="minorHAnsi" w:hAnsiTheme="minorHAnsi" w:hint="eastAsia"/>
                <w:color w:val="auto"/>
                <w:szCs w:val="21"/>
              </w:rPr>
              <w:t>已经办理了国有土地使用证（豫（</w:t>
            </w:r>
            <w:r w:rsidR="007430A4" w:rsidRPr="007430A4">
              <w:rPr>
                <w:rFonts w:asciiTheme="minorHAnsi" w:hAnsiTheme="minorHAnsi" w:hint="eastAsia"/>
                <w:color w:val="auto"/>
                <w:szCs w:val="21"/>
              </w:rPr>
              <w:t>2022</w:t>
            </w:r>
            <w:r w:rsidR="007430A4" w:rsidRPr="007430A4">
              <w:rPr>
                <w:rFonts w:asciiTheme="minorHAnsi" w:hAnsiTheme="minorHAnsi" w:hint="eastAsia"/>
                <w:color w:val="auto"/>
                <w:szCs w:val="21"/>
              </w:rPr>
              <w:t>）叶县不动产权第</w:t>
            </w:r>
            <w:r w:rsidR="007430A4" w:rsidRPr="007430A4">
              <w:rPr>
                <w:rFonts w:asciiTheme="minorHAnsi" w:hAnsiTheme="minorHAnsi" w:hint="eastAsia"/>
                <w:color w:val="auto"/>
                <w:szCs w:val="21"/>
              </w:rPr>
              <w:t>0009196</w:t>
            </w:r>
            <w:r w:rsidR="007430A4" w:rsidRPr="007430A4">
              <w:rPr>
                <w:rFonts w:asciiTheme="minorHAnsi" w:hAnsiTheme="minorHAnsi" w:hint="eastAsia"/>
                <w:color w:val="auto"/>
                <w:szCs w:val="21"/>
              </w:rPr>
              <w:t>号），地类用途为工业用地，项目用地符合叶县土地利用总体规划及城市总体规划，符合平顶山尼龙新材料产业集聚区总体规划。</w:t>
            </w:r>
          </w:p>
        </w:tc>
        <w:tc>
          <w:tcPr>
            <w:tcW w:w="365" w:type="pct"/>
            <w:tcBorders>
              <w:left w:val="single" w:sz="4" w:space="0" w:color="auto"/>
            </w:tcBorders>
            <w:vAlign w:val="center"/>
          </w:tcPr>
          <w:p w14:paraId="1A4A97F3" w14:textId="77777777" w:rsidR="00A652C0" w:rsidRPr="00EB785F" w:rsidRDefault="00A652C0" w:rsidP="005E4392">
            <w:pPr>
              <w:jc w:val="center"/>
              <w:rPr>
                <w:rFonts w:asciiTheme="minorHAnsi" w:hAnsiTheme="minorHAnsi"/>
                <w:color w:val="auto"/>
                <w:szCs w:val="21"/>
              </w:rPr>
            </w:pPr>
            <w:r>
              <w:rPr>
                <w:rFonts w:asciiTheme="minorHAnsi" w:hAnsiTheme="minorHAnsi" w:hint="eastAsia"/>
                <w:color w:val="auto"/>
                <w:szCs w:val="21"/>
              </w:rPr>
              <w:t>符合</w:t>
            </w:r>
          </w:p>
        </w:tc>
      </w:tr>
    </w:tbl>
    <w:p w14:paraId="28C4AE79" w14:textId="77777777" w:rsidR="00A44AC9" w:rsidRDefault="00A44AC9" w:rsidP="00A44AC9">
      <w:pPr>
        <w:pStyle w:val="ad"/>
        <w:rPr>
          <w:rFonts w:ascii="Calibri" w:hAnsi="Calibri"/>
          <w:color w:val="auto"/>
        </w:rPr>
      </w:pPr>
      <w:r w:rsidRPr="00A73882">
        <w:rPr>
          <w:rFonts w:ascii="Calibri" w:hAnsi="Calibri" w:hint="eastAsia"/>
          <w:color w:val="auto"/>
        </w:rPr>
        <w:t>1.8</w:t>
      </w:r>
      <w:r w:rsidRPr="00A73882">
        <w:rPr>
          <w:rFonts w:ascii="Calibri" w:hAnsi="Calibri"/>
          <w:color w:val="auto"/>
        </w:rPr>
        <w:t>.1</w:t>
      </w:r>
      <w:r w:rsidR="004F1F5C">
        <w:rPr>
          <w:rFonts w:ascii="Calibri" w:hAnsi="Calibri"/>
          <w:color w:val="auto"/>
        </w:rPr>
        <w:t>4</w:t>
      </w:r>
      <w:r>
        <w:rPr>
          <w:rFonts w:ascii="Calibri" w:hAnsi="Calibri" w:hint="eastAsia"/>
          <w:color w:val="auto"/>
        </w:rPr>
        <w:t>备案</w:t>
      </w:r>
      <w:r>
        <w:rPr>
          <w:rFonts w:ascii="Calibri" w:hAnsi="Calibri"/>
          <w:color w:val="auto"/>
        </w:rPr>
        <w:t>相符性分析</w:t>
      </w:r>
    </w:p>
    <w:p w14:paraId="1C66182C" w14:textId="77777777" w:rsidR="00A44AC9" w:rsidRPr="00233FF4" w:rsidRDefault="00A44AC9" w:rsidP="00A44AC9">
      <w:pPr>
        <w:spacing w:line="520" w:lineRule="exact"/>
        <w:ind w:firstLineChars="196" w:firstLine="470"/>
        <w:rPr>
          <w:rFonts w:ascii="Calibri" w:eastAsia="黑体" w:hAnsi="Calibri"/>
          <w:bCs/>
          <w:color w:val="auto"/>
          <w:sz w:val="24"/>
        </w:rPr>
      </w:pPr>
      <w:r w:rsidRPr="00233FF4">
        <w:rPr>
          <w:rFonts w:ascii="Calibri" w:eastAsia="黑体"/>
          <w:color w:val="auto"/>
          <w:sz w:val="24"/>
        </w:rPr>
        <w:t>表</w:t>
      </w:r>
      <w:r w:rsidRPr="00233FF4">
        <w:rPr>
          <w:rFonts w:ascii="Calibri" w:eastAsia="黑体" w:hAnsi="Calibri" w:hint="eastAsia"/>
          <w:color w:val="auto"/>
          <w:sz w:val="24"/>
        </w:rPr>
        <w:t>1.8-1</w:t>
      </w:r>
      <w:r w:rsidR="004F1F5C">
        <w:rPr>
          <w:rFonts w:ascii="Calibri" w:eastAsia="黑体" w:hAnsi="Calibri"/>
          <w:color w:val="auto"/>
          <w:sz w:val="24"/>
        </w:rPr>
        <w:t>7</w:t>
      </w:r>
      <w:r>
        <w:rPr>
          <w:rFonts w:ascii="Calibri" w:eastAsia="黑体" w:hAnsi="Calibri"/>
          <w:color w:val="auto"/>
          <w:sz w:val="24"/>
        </w:rPr>
        <w:t xml:space="preserve">  </w:t>
      </w:r>
      <w:r>
        <w:rPr>
          <w:rFonts w:ascii="Calibri" w:eastAsia="黑体" w:hAnsi="Calibri" w:hint="eastAsia"/>
          <w:color w:val="auto"/>
          <w:sz w:val="24"/>
        </w:rPr>
        <w:t xml:space="preserve"> </w:t>
      </w:r>
      <w:r>
        <w:rPr>
          <w:rFonts w:ascii="Calibri" w:eastAsia="黑体" w:hAnsi="Calibri"/>
          <w:color w:val="auto"/>
          <w:sz w:val="24"/>
        </w:rPr>
        <w:t xml:space="preserve">           </w:t>
      </w:r>
      <w:r>
        <w:rPr>
          <w:rFonts w:ascii="Calibri" w:eastAsia="黑体" w:hAnsi="Calibri" w:hint="eastAsia"/>
          <w:color w:val="auto"/>
          <w:sz w:val="24"/>
        </w:rPr>
        <w:t>与备案相符性</w:t>
      </w:r>
      <w:r>
        <w:rPr>
          <w:rFonts w:ascii="Calibri" w:eastAsia="黑体" w:hAnsi="Calibri"/>
          <w:color w:val="auto"/>
          <w:sz w:val="24"/>
        </w:rPr>
        <w:t>分析一览表</w:t>
      </w:r>
    </w:p>
    <w:tbl>
      <w:tblPr>
        <w:tblStyle w:val="af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3402"/>
        <w:gridCol w:w="1485"/>
      </w:tblGrid>
      <w:tr w:rsidR="00A44AC9" w:rsidRPr="00DE642E" w14:paraId="20947CF0" w14:textId="77777777" w:rsidTr="00DE642E">
        <w:tc>
          <w:tcPr>
            <w:tcW w:w="1403" w:type="dxa"/>
            <w:vAlign w:val="center"/>
          </w:tcPr>
          <w:p w14:paraId="13BA1D04"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项目</w:t>
            </w:r>
          </w:p>
        </w:tc>
        <w:tc>
          <w:tcPr>
            <w:tcW w:w="2410" w:type="dxa"/>
            <w:vAlign w:val="center"/>
          </w:tcPr>
          <w:p w14:paraId="65F7CB70"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备案</w:t>
            </w:r>
            <w:r w:rsidRPr="00DE642E">
              <w:rPr>
                <w:rFonts w:asciiTheme="minorHAnsi" w:hAnsiTheme="minorHAnsi"/>
                <w:b/>
                <w:color w:val="auto"/>
                <w:szCs w:val="21"/>
                <w:u w:val="single"/>
              </w:rPr>
              <w:t>内容</w:t>
            </w:r>
          </w:p>
        </w:tc>
        <w:tc>
          <w:tcPr>
            <w:tcW w:w="3402" w:type="dxa"/>
            <w:vAlign w:val="center"/>
          </w:tcPr>
          <w:p w14:paraId="6E446F3C"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本项目</w:t>
            </w:r>
            <w:r w:rsidRPr="00DE642E">
              <w:rPr>
                <w:rFonts w:asciiTheme="minorHAnsi" w:hAnsiTheme="minorHAnsi"/>
                <w:b/>
                <w:color w:val="auto"/>
                <w:szCs w:val="21"/>
                <w:u w:val="single"/>
              </w:rPr>
              <w:t>实际建设内容</w:t>
            </w:r>
          </w:p>
        </w:tc>
        <w:tc>
          <w:tcPr>
            <w:tcW w:w="1485" w:type="dxa"/>
            <w:vAlign w:val="center"/>
          </w:tcPr>
          <w:p w14:paraId="526C520C"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相符性</w:t>
            </w:r>
          </w:p>
        </w:tc>
      </w:tr>
      <w:tr w:rsidR="00A44AC9" w:rsidRPr="00DE642E" w14:paraId="41090027" w14:textId="77777777" w:rsidTr="00DE642E">
        <w:tc>
          <w:tcPr>
            <w:tcW w:w="1403" w:type="dxa"/>
            <w:vAlign w:val="center"/>
          </w:tcPr>
          <w:p w14:paraId="7B89D036"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项目</w:t>
            </w:r>
            <w:r w:rsidRPr="00DE642E">
              <w:rPr>
                <w:rFonts w:asciiTheme="minorHAnsi" w:hAnsiTheme="minorHAnsi"/>
                <w:b/>
                <w:color w:val="auto"/>
                <w:szCs w:val="21"/>
                <w:u w:val="single"/>
              </w:rPr>
              <w:t>名称</w:t>
            </w:r>
          </w:p>
        </w:tc>
        <w:tc>
          <w:tcPr>
            <w:tcW w:w="2410" w:type="dxa"/>
            <w:vAlign w:val="center"/>
          </w:tcPr>
          <w:p w14:paraId="71059D54" w14:textId="77777777" w:rsidR="00A44AC9" w:rsidRPr="00DE642E" w:rsidRDefault="00A44AC9" w:rsidP="00A44AC9">
            <w:pPr>
              <w:jc w:val="center"/>
              <w:rPr>
                <w:rFonts w:ascii="Calibri" w:hAnsi="Calibri"/>
                <w:b/>
                <w:color w:val="auto"/>
                <w:u w:val="single"/>
              </w:rPr>
            </w:pPr>
            <w:r w:rsidRPr="00DE642E">
              <w:rPr>
                <w:rFonts w:asciiTheme="minorHAnsi" w:hAnsiTheme="minorHAnsi" w:hint="eastAsia"/>
                <w:b/>
                <w:color w:val="auto"/>
                <w:szCs w:val="21"/>
                <w:u w:val="single"/>
              </w:rPr>
              <w:t>年产</w:t>
            </w:r>
            <w:r w:rsidRPr="00DE642E">
              <w:rPr>
                <w:rFonts w:asciiTheme="minorHAnsi" w:hAnsiTheme="minorHAnsi" w:hint="eastAsia"/>
                <w:b/>
                <w:color w:val="auto"/>
                <w:szCs w:val="21"/>
                <w:u w:val="single"/>
              </w:rPr>
              <w:t>5000</w:t>
            </w:r>
            <w:r w:rsidRPr="00DE642E">
              <w:rPr>
                <w:rFonts w:asciiTheme="minorHAnsi" w:hAnsiTheme="minorHAnsi" w:hint="eastAsia"/>
                <w:b/>
                <w:color w:val="auto"/>
                <w:szCs w:val="21"/>
                <w:u w:val="single"/>
              </w:rPr>
              <w:t>吨透明尼龙合成制造项目</w:t>
            </w:r>
          </w:p>
        </w:tc>
        <w:tc>
          <w:tcPr>
            <w:tcW w:w="3402" w:type="dxa"/>
            <w:vAlign w:val="center"/>
          </w:tcPr>
          <w:p w14:paraId="7F718723" w14:textId="77777777" w:rsidR="00A44AC9" w:rsidRPr="00DE642E" w:rsidRDefault="00A44AC9" w:rsidP="00A44AC9">
            <w:pPr>
              <w:jc w:val="center"/>
              <w:rPr>
                <w:rFonts w:ascii="Calibri" w:hAnsi="Calibri"/>
                <w:b/>
                <w:color w:val="auto"/>
                <w:u w:val="single"/>
              </w:rPr>
            </w:pPr>
            <w:r w:rsidRPr="00DE642E">
              <w:rPr>
                <w:rFonts w:asciiTheme="minorHAnsi" w:hAnsiTheme="minorHAnsi" w:hint="eastAsia"/>
                <w:b/>
                <w:color w:val="auto"/>
                <w:szCs w:val="21"/>
                <w:u w:val="single"/>
              </w:rPr>
              <w:t>年产</w:t>
            </w:r>
            <w:r w:rsidRPr="00DE642E">
              <w:rPr>
                <w:rFonts w:asciiTheme="minorHAnsi" w:hAnsiTheme="minorHAnsi" w:hint="eastAsia"/>
                <w:b/>
                <w:color w:val="auto"/>
                <w:szCs w:val="21"/>
                <w:u w:val="single"/>
              </w:rPr>
              <w:t>5000</w:t>
            </w:r>
            <w:r w:rsidRPr="00DE642E">
              <w:rPr>
                <w:rFonts w:asciiTheme="minorHAnsi" w:hAnsiTheme="minorHAnsi" w:hint="eastAsia"/>
                <w:b/>
                <w:color w:val="auto"/>
                <w:szCs w:val="21"/>
                <w:u w:val="single"/>
              </w:rPr>
              <w:t>吨透明尼龙合成制造项目</w:t>
            </w:r>
          </w:p>
        </w:tc>
        <w:tc>
          <w:tcPr>
            <w:tcW w:w="1485" w:type="dxa"/>
            <w:vAlign w:val="center"/>
          </w:tcPr>
          <w:p w14:paraId="415A5202"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相符</w:t>
            </w:r>
          </w:p>
        </w:tc>
      </w:tr>
      <w:tr w:rsidR="00A44AC9" w:rsidRPr="00DE642E" w14:paraId="49F183C8" w14:textId="77777777" w:rsidTr="00DE642E">
        <w:tc>
          <w:tcPr>
            <w:tcW w:w="1403" w:type="dxa"/>
            <w:vAlign w:val="center"/>
          </w:tcPr>
          <w:p w14:paraId="1157A173"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建设</w:t>
            </w:r>
            <w:r w:rsidRPr="00DE642E">
              <w:rPr>
                <w:rFonts w:asciiTheme="minorHAnsi" w:hAnsiTheme="minorHAnsi"/>
                <w:b/>
                <w:color w:val="auto"/>
                <w:szCs w:val="21"/>
                <w:u w:val="single"/>
              </w:rPr>
              <w:t>地点</w:t>
            </w:r>
          </w:p>
        </w:tc>
        <w:tc>
          <w:tcPr>
            <w:tcW w:w="2410" w:type="dxa"/>
            <w:vAlign w:val="center"/>
          </w:tcPr>
          <w:p w14:paraId="69D984FA"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平顶山尼龙新材料产业集聚区化工三路西侧</w:t>
            </w:r>
          </w:p>
        </w:tc>
        <w:tc>
          <w:tcPr>
            <w:tcW w:w="3402" w:type="dxa"/>
            <w:vAlign w:val="center"/>
          </w:tcPr>
          <w:p w14:paraId="58CF609B"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平顶山尼龙新材料产业集聚区化工三路西侧</w:t>
            </w:r>
          </w:p>
        </w:tc>
        <w:tc>
          <w:tcPr>
            <w:tcW w:w="1485" w:type="dxa"/>
            <w:vAlign w:val="center"/>
          </w:tcPr>
          <w:p w14:paraId="26BA08D4"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相符</w:t>
            </w:r>
          </w:p>
        </w:tc>
      </w:tr>
      <w:tr w:rsidR="00A44AC9" w:rsidRPr="00DE642E" w14:paraId="5C7ACA75" w14:textId="77777777" w:rsidTr="00DE642E">
        <w:tc>
          <w:tcPr>
            <w:tcW w:w="1403" w:type="dxa"/>
            <w:vAlign w:val="center"/>
          </w:tcPr>
          <w:p w14:paraId="51597688"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建设</w:t>
            </w:r>
            <w:r w:rsidRPr="00DE642E">
              <w:rPr>
                <w:rFonts w:asciiTheme="minorHAnsi" w:hAnsiTheme="minorHAnsi"/>
                <w:b/>
                <w:color w:val="auto"/>
                <w:szCs w:val="21"/>
                <w:u w:val="single"/>
              </w:rPr>
              <w:t>性质</w:t>
            </w:r>
          </w:p>
        </w:tc>
        <w:tc>
          <w:tcPr>
            <w:tcW w:w="2410" w:type="dxa"/>
            <w:vAlign w:val="center"/>
          </w:tcPr>
          <w:p w14:paraId="7025284E"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新建</w:t>
            </w:r>
          </w:p>
        </w:tc>
        <w:tc>
          <w:tcPr>
            <w:tcW w:w="3402" w:type="dxa"/>
            <w:vAlign w:val="center"/>
          </w:tcPr>
          <w:p w14:paraId="5C881D90"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新建</w:t>
            </w:r>
          </w:p>
        </w:tc>
        <w:tc>
          <w:tcPr>
            <w:tcW w:w="1485" w:type="dxa"/>
            <w:vAlign w:val="center"/>
          </w:tcPr>
          <w:p w14:paraId="6CE3066F"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相符</w:t>
            </w:r>
          </w:p>
        </w:tc>
      </w:tr>
      <w:tr w:rsidR="00A44AC9" w:rsidRPr="00DE642E" w14:paraId="306A5CF4" w14:textId="77777777" w:rsidTr="00DE642E">
        <w:tc>
          <w:tcPr>
            <w:tcW w:w="1403" w:type="dxa"/>
            <w:vAlign w:val="center"/>
          </w:tcPr>
          <w:p w14:paraId="6DB5C756"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建设</w:t>
            </w:r>
            <w:r w:rsidRPr="00DE642E">
              <w:rPr>
                <w:rFonts w:asciiTheme="minorHAnsi" w:hAnsiTheme="minorHAnsi"/>
                <w:b/>
                <w:color w:val="auto"/>
                <w:szCs w:val="21"/>
                <w:u w:val="single"/>
              </w:rPr>
              <w:t>规模及内容</w:t>
            </w:r>
          </w:p>
        </w:tc>
        <w:tc>
          <w:tcPr>
            <w:tcW w:w="2410" w:type="dxa"/>
            <w:vAlign w:val="center"/>
          </w:tcPr>
          <w:p w14:paraId="71AD3077" w14:textId="77777777" w:rsidR="00A44AC9" w:rsidRPr="00DE642E" w:rsidRDefault="00027DFD" w:rsidP="00027DFD">
            <w:pPr>
              <w:jc w:val="center"/>
              <w:rPr>
                <w:rFonts w:ascii="Calibri" w:hAnsi="Calibri"/>
                <w:b/>
                <w:color w:val="auto"/>
                <w:u w:val="single"/>
              </w:rPr>
            </w:pPr>
            <w:r w:rsidRPr="00DE642E">
              <w:rPr>
                <w:rFonts w:asciiTheme="minorHAnsi" w:hAnsiTheme="minorHAnsi" w:hint="eastAsia"/>
                <w:b/>
                <w:color w:val="auto"/>
                <w:szCs w:val="21"/>
                <w:u w:val="single"/>
              </w:rPr>
              <w:t>年产</w:t>
            </w:r>
            <w:r w:rsidRPr="00DE642E">
              <w:rPr>
                <w:rFonts w:asciiTheme="minorHAnsi" w:hAnsiTheme="minorHAnsi" w:hint="eastAsia"/>
                <w:b/>
                <w:color w:val="auto"/>
                <w:szCs w:val="21"/>
                <w:u w:val="single"/>
              </w:rPr>
              <w:t>5000</w:t>
            </w:r>
            <w:r w:rsidRPr="00DE642E">
              <w:rPr>
                <w:rFonts w:asciiTheme="minorHAnsi" w:hAnsiTheme="minorHAnsi" w:hint="eastAsia"/>
                <w:b/>
                <w:color w:val="auto"/>
                <w:szCs w:val="21"/>
                <w:u w:val="single"/>
              </w:rPr>
              <w:t>吨透明尼龙，</w:t>
            </w:r>
            <w:r w:rsidRPr="00DE642E">
              <w:rPr>
                <w:rFonts w:asciiTheme="minorHAnsi" w:hAnsiTheme="minorHAnsi"/>
                <w:b/>
                <w:color w:val="auto"/>
                <w:szCs w:val="21"/>
                <w:u w:val="single"/>
              </w:rPr>
              <w:t>项目分三期建设</w:t>
            </w:r>
            <w:r w:rsidRPr="00DE642E">
              <w:rPr>
                <w:rFonts w:asciiTheme="minorHAnsi" w:hAnsiTheme="minorHAnsi" w:hint="eastAsia"/>
                <w:b/>
                <w:color w:val="auto"/>
                <w:szCs w:val="21"/>
                <w:u w:val="single"/>
              </w:rPr>
              <w:t>。</w:t>
            </w:r>
          </w:p>
        </w:tc>
        <w:tc>
          <w:tcPr>
            <w:tcW w:w="3402" w:type="dxa"/>
            <w:vAlign w:val="center"/>
          </w:tcPr>
          <w:p w14:paraId="1C2939BF" w14:textId="77777777" w:rsidR="00A44AC9" w:rsidRPr="00DE642E" w:rsidRDefault="00027DFD" w:rsidP="00027DFD">
            <w:pPr>
              <w:pStyle w:val="ad"/>
              <w:spacing w:line="240" w:lineRule="auto"/>
              <w:rPr>
                <w:rFonts w:ascii="Calibri" w:hAnsi="Calibri"/>
                <w:color w:val="auto"/>
                <w:u w:val="single"/>
              </w:rPr>
            </w:pPr>
            <w:r w:rsidRPr="00DE642E">
              <w:rPr>
                <w:rFonts w:asciiTheme="minorHAnsi" w:eastAsia="宋体" w:hAnsiTheme="minorHAnsi" w:hint="eastAsia"/>
                <w:color w:val="auto"/>
                <w:sz w:val="21"/>
                <w:szCs w:val="21"/>
                <w:u w:val="single"/>
              </w:rPr>
              <w:t>年产</w:t>
            </w:r>
            <w:r w:rsidRPr="00DE642E">
              <w:rPr>
                <w:rFonts w:asciiTheme="minorHAnsi" w:eastAsia="宋体" w:hAnsiTheme="minorHAnsi" w:hint="eastAsia"/>
                <w:color w:val="auto"/>
                <w:sz w:val="21"/>
                <w:szCs w:val="21"/>
                <w:u w:val="single"/>
              </w:rPr>
              <w:t>5000</w:t>
            </w:r>
            <w:r w:rsidRPr="00DE642E">
              <w:rPr>
                <w:rFonts w:asciiTheme="minorHAnsi" w:eastAsia="宋体" w:hAnsiTheme="minorHAnsi" w:hint="eastAsia"/>
                <w:color w:val="auto"/>
                <w:sz w:val="21"/>
                <w:szCs w:val="21"/>
                <w:u w:val="single"/>
              </w:rPr>
              <w:t>吨透明尼龙，项目仍分三期建设，</w:t>
            </w:r>
            <w:r w:rsidRPr="00DE642E">
              <w:rPr>
                <w:rFonts w:asciiTheme="minorHAnsi" w:eastAsia="宋体" w:hAnsiTheme="minorHAnsi"/>
                <w:color w:val="auto"/>
                <w:sz w:val="21"/>
                <w:szCs w:val="21"/>
                <w:u w:val="single"/>
              </w:rPr>
              <w:t>其中一期建设</w:t>
            </w:r>
            <w:r w:rsidRPr="00DE642E">
              <w:rPr>
                <w:rFonts w:asciiTheme="minorHAnsi" w:eastAsia="宋体" w:hAnsiTheme="minorHAnsi" w:hint="eastAsia"/>
                <w:color w:val="auto"/>
                <w:sz w:val="21"/>
                <w:szCs w:val="21"/>
                <w:u w:val="single"/>
              </w:rPr>
              <w:t>2500</w:t>
            </w:r>
            <w:r w:rsidRPr="00DE642E">
              <w:rPr>
                <w:rFonts w:asciiTheme="minorHAnsi" w:eastAsia="宋体" w:hAnsiTheme="minorHAnsi" w:hint="eastAsia"/>
                <w:color w:val="auto"/>
                <w:sz w:val="21"/>
                <w:szCs w:val="21"/>
                <w:u w:val="single"/>
              </w:rPr>
              <w:t>吨</w:t>
            </w:r>
            <w:r w:rsidRPr="00DE642E">
              <w:rPr>
                <w:rFonts w:asciiTheme="minorHAnsi" w:eastAsia="宋体" w:hAnsiTheme="minorHAnsi"/>
                <w:color w:val="auto"/>
                <w:sz w:val="21"/>
                <w:szCs w:val="21"/>
                <w:u w:val="single"/>
              </w:rPr>
              <w:t>，二期建设</w:t>
            </w:r>
            <w:r w:rsidRPr="00DE642E">
              <w:rPr>
                <w:rFonts w:asciiTheme="minorHAnsi" w:eastAsia="宋体" w:hAnsiTheme="minorHAnsi" w:hint="eastAsia"/>
                <w:color w:val="auto"/>
                <w:sz w:val="21"/>
                <w:szCs w:val="21"/>
                <w:u w:val="single"/>
              </w:rPr>
              <w:t>1500</w:t>
            </w:r>
            <w:r w:rsidRPr="00DE642E">
              <w:rPr>
                <w:rFonts w:asciiTheme="minorHAnsi" w:eastAsia="宋体" w:hAnsiTheme="minorHAnsi" w:hint="eastAsia"/>
                <w:color w:val="auto"/>
                <w:sz w:val="21"/>
                <w:szCs w:val="21"/>
                <w:u w:val="single"/>
              </w:rPr>
              <w:t>吨</w:t>
            </w:r>
            <w:r w:rsidRPr="00DE642E">
              <w:rPr>
                <w:rFonts w:asciiTheme="minorHAnsi" w:eastAsia="宋体" w:hAnsiTheme="minorHAnsi"/>
                <w:color w:val="auto"/>
                <w:sz w:val="21"/>
                <w:szCs w:val="21"/>
                <w:u w:val="single"/>
              </w:rPr>
              <w:t>，三期建设</w:t>
            </w:r>
            <w:r w:rsidRPr="00DE642E">
              <w:rPr>
                <w:rFonts w:asciiTheme="minorHAnsi" w:eastAsia="宋体" w:hAnsiTheme="minorHAnsi" w:hint="eastAsia"/>
                <w:color w:val="auto"/>
                <w:sz w:val="21"/>
                <w:szCs w:val="21"/>
                <w:u w:val="single"/>
              </w:rPr>
              <w:t>1000</w:t>
            </w:r>
            <w:r w:rsidRPr="00DE642E">
              <w:rPr>
                <w:rFonts w:asciiTheme="minorHAnsi" w:eastAsia="宋体" w:hAnsiTheme="minorHAnsi" w:hint="eastAsia"/>
                <w:color w:val="auto"/>
                <w:sz w:val="21"/>
                <w:szCs w:val="21"/>
                <w:u w:val="single"/>
              </w:rPr>
              <w:t>吨，</w:t>
            </w:r>
            <w:r w:rsidRPr="00DE642E">
              <w:rPr>
                <w:rFonts w:asciiTheme="minorHAnsi" w:eastAsia="宋体" w:hAnsiTheme="minorHAnsi"/>
                <w:color w:val="auto"/>
                <w:sz w:val="21"/>
                <w:szCs w:val="21"/>
                <w:u w:val="single"/>
              </w:rPr>
              <w:t>规模不变</w:t>
            </w:r>
            <w:r w:rsidRPr="00DE642E">
              <w:rPr>
                <w:rFonts w:asciiTheme="minorHAnsi" w:eastAsia="宋体" w:hAnsiTheme="minorHAnsi" w:hint="eastAsia"/>
                <w:color w:val="auto"/>
                <w:sz w:val="21"/>
                <w:szCs w:val="21"/>
                <w:u w:val="single"/>
              </w:rPr>
              <w:t>。本项目</w:t>
            </w:r>
            <w:r w:rsidRPr="00DE642E">
              <w:rPr>
                <w:rFonts w:asciiTheme="minorHAnsi" w:eastAsia="宋体" w:hAnsiTheme="minorHAnsi"/>
                <w:color w:val="auto"/>
                <w:sz w:val="21"/>
                <w:szCs w:val="21"/>
                <w:u w:val="single"/>
              </w:rPr>
              <w:t>仅对一期、二期进行</w:t>
            </w:r>
            <w:r w:rsidRPr="00DE642E">
              <w:rPr>
                <w:rFonts w:asciiTheme="minorHAnsi" w:eastAsia="宋体" w:hAnsiTheme="minorHAnsi" w:hint="eastAsia"/>
                <w:color w:val="auto"/>
                <w:sz w:val="21"/>
                <w:szCs w:val="21"/>
                <w:u w:val="single"/>
              </w:rPr>
              <w:t>评价</w:t>
            </w:r>
            <w:r w:rsidRPr="00DE642E">
              <w:rPr>
                <w:rFonts w:asciiTheme="minorHAnsi" w:eastAsia="宋体" w:hAnsiTheme="minorHAnsi"/>
                <w:color w:val="auto"/>
                <w:sz w:val="21"/>
                <w:szCs w:val="21"/>
                <w:u w:val="single"/>
              </w:rPr>
              <w:t>，三期工程另行评价。</w:t>
            </w:r>
          </w:p>
        </w:tc>
        <w:tc>
          <w:tcPr>
            <w:tcW w:w="1485" w:type="dxa"/>
            <w:vAlign w:val="center"/>
          </w:tcPr>
          <w:p w14:paraId="7499193E" w14:textId="77777777" w:rsidR="00A44AC9" w:rsidRPr="00DE642E" w:rsidRDefault="00027DFD"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相符</w:t>
            </w:r>
          </w:p>
        </w:tc>
      </w:tr>
      <w:tr w:rsidR="00A44AC9" w:rsidRPr="00DE642E" w14:paraId="0B98E30E" w14:textId="77777777" w:rsidTr="00DE642E">
        <w:tc>
          <w:tcPr>
            <w:tcW w:w="1403" w:type="dxa"/>
            <w:vAlign w:val="center"/>
          </w:tcPr>
          <w:p w14:paraId="7B7CD92C"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项目</w:t>
            </w:r>
            <w:r w:rsidRPr="00DE642E">
              <w:rPr>
                <w:rFonts w:asciiTheme="minorHAnsi" w:hAnsiTheme="minorHAnsi"/>
                <w:b/>
                <w:color w:val="auto"/>
                <w:szCs w:val="21"/>
                <w:u w:val="single"/>
              </w:rPr>
              <w:t>投资</w:t>
            </w:r>
          </w:p>
        </w:tc>
        <w:tc>
          <w:tcPr>
            <w:tcW w:w="2410" w:type="dxa"/>
            <w:vAlign w:val="center"/>
          </w:tcPr>
          <w:p w14:paraId="7FA479B2" w14:textId="77777777" w:rsidR="00A44AC9" w:rsidRPr="00DE642E" w:rsidRDefault="00027DFD" w:rsidP="00027DFD">
            <w:pPr>
              <w:jc w:val="center"/>
              <w:rPr>
                <w:rFonts w:ascii="Calibri" w:hAnsi="Calibri"/>
                <w:b/>
                <w:color w:val="auto"/>
                <w:u w:val="single"/>
              </w:rPr>
            </w:pPr>
            <w:r w:rsidRPr="00DE642E">
              <w:rPr>
                <w:rFonts w:asciiTheme="minorHAnsi" w:hAnsiTheme="minorHAnsi" w:hint="eastAsia"/>
                <w:b/>
                <w:color w:val="auto"/>
                <w:szCs w:val="21"/>
                <w:u w:val="single"/>
              </w:rPr>
              <w:t>三期</w:t>
            </w:r>
            <w:r w:rsidRPr="00DE642E">
              <w:rPr>
                <w:rFonts w:asciiTheme="minorHAnsi" w:hAnsiTheme="minorHAnsi"/>
                <w:b/>
                <w:color w:val="auto"/>
                <w:szCs w:val="21"/>
                <w:u w:val="single"/>
              </w:rPr>
              <w:t>投资</w:t>
            </w:r>
            <w:r w:rsidRPr="00DE642E">
              <w:rPr>
                <w:rFonts w:asciiTheme="minorHAnsi" w:hAnsiTheme="minorHAnsi" w:hint="eastAsia"/>
                <w:b/>
                <w:color w:val="auto"/>
                <w:szCs w:val="21"/>
                <w:u w:val="single"/>
              </w:rPr>
              <w:t>30461</w:t>
            </w:r>
            <w:r w:rsidRPr="00DE642E">
              <w:rPr>
                <w:rFonts w:asciiTheme="minorHAnsi" w:hAnsiTheme="minorHAnsi" w:hint="eastAsia"/>
                <w:b/>
                <w:color w:val="auto"/>
                <w:szCs w:val="21"/>
                <w:u w:val="single"/>
              </w:rPr>
              <w:t>万元</w:t>
            </w:r>
          </w:p>
        </w:tc>
        <w:tc>
          <w:tcPr>
            <w:tcW w:w="3402" w:type="dxa"/>
            <w:vAlign w:val="center"/>
          </w:tcPr>
          <w:p w14:paraId="63DDA6A9" w14:textId="77777777" w:rsidR="00A44AC9" w:rsidRPr="00DE642E" w:rsidRDefault="00027DFD" w:rsidP="00027DFD">
            <w:pPr>
              <w:pStyle w:val="ad"/>
              <w:spacing w:line="240" w:lineRule="auto"/>
              <w:rPr>
                <w:rFonts w:ascii="Calibri" w:hAnsi="Calibri"/>
                <w:color w:val="auto"/>
                <w:u w:val="single"/>
              </w:rPr>
            </w:pPr>
            <w:r w:rsidRPr="00DE642E">
              <w:rPr>
                <w:rFonts w:asciiTheme="minorHAnsi" w:eastAsia="宋体" w:hAnsiTheme="minorHAnsi" w:hint="eastAsia"/>
                <w:color w:val="auto"/>
                <w:sz w:val="21"/>
                <w:szCs w:val="21"/>
                <w:u w:val="single"/>
              </w:rPr>
              <w:t>实际</w:t>
            </w:r>
            <w:r w:rsidRPr="00DE642E">
              <w:rPr>
                <w:rFonts w:asciiTheme="minorHAnsi" w:eastAsia="宋体" w:hAnsiTheme="minorHAnsi"/>
                <w:color w:val="auto"/>
                <w:sz w:val="21"/>
                <w:szCs w:val="21"/>
                <w:u w:val="single"/>
              </w:rPr>
              <w:t>建设</w:t>
            </w:r>
            <w:r w:rsidRPr="00DE642E">
              <w:rPr>
                <w:rFonts w:asciiTheme="minorHAnsi" w:eastAsia="宋体" w:hAnsiTheme="minorHAnsi" w:hint="eastAsia"/>
                <w:color w:val="auto"/>
                <w:sz w:val="21"/>
                <w:szCs w:val="21"/>
                <w:u w:val="single"/>
              </w:rPr>
              <w:t>项目</w:t>
            </w:r>
            <w:r w:rsidRPr="00DE642E">
              <w:rPr>
                <w:rFonts w:asciiTheme="minorHAnsi" w:eastAsia="宋体" w:hAnsiTheme="minorHAnsi"/>
                <w:color w:val="auto"/>
                <w:sz w:val="21"/>
                <w:szCs w:val="21"/>
                <w:u w:val="single"/>
              </w:rPr>
              <w:t>一期投资</w:t>
            </w:r>
            <w:r w:rsidRPr="00DE642E">
              <w:rPr>
                <w:rFonts w:asciiTheme="minorHAnsi" w:eastAsia="宋体" w:hAnsiTheme="minorHAnsi" w:hint="eastAsia"/>
                <w:color w:val="auto"/>
                <w:sz w:val="21"/>
                <w:szCs w:val="21"/>
                <w:u w:val="single"/>
              </w:rPr>
              <w:t>18000</w:t>
            </w:r>
            <w:r w:rsidRPr="00DE642E">
              <w:rPr>
                <w:rFonts w:asciiTheme="minorHAnsi" w:eastAsia="宋体" w:hAnsiTheme="minorHAnsi" w:hint="eastAsia"/>
                <w:color w:val="auto"/>
                <w:sz w:val="21"/>
                <w:szCs w:val="21"/>
                <w:u w:val="single"/>
              </w:rPr>
              <w:t>万元</w:t>
            </w:r>
            <w:r w:rsidRPr="00DE642E">
              <w:rPr>
                <w:rFonts w:asciiTheme="minorHAnsi" w:eastAsia="宋体" w:hAnsiTheme="minorHAnsi"/>
                <w:color w:val="auto"/>
                <w:sz w:val="21"/>
                <w:szCs w:val="21"/>
                <w:u w:val="single"/>
              </w:rPr>
              <w:t>，</w:t>
            </w:r>
            <w:r w:rsidRPr="00DE642E">
              <w:rPr>
                <w:rFonts w:asciiTheme="minorHAnsi" w:eastAsia="宋体" w:hAnsiTheme="minorHAnsi" w:hint="eastAsia"/>
                <w:color w:val="auto"/>
                <w:sz w:val="21"/>
                <w:szCs w:val="21"/>
                <w:u w:val="single"/>
              </w:rPr>
              <w:t>二期</w:t>
            </w:r>
            <w:r w:rsidRPr="00DE642E">
              <w:rPr>
                <w:rFonts w:asciiTheme="minorHAnsi" w:eastAsia="宋体" w:hAnsiTheme="minorHAnsi"/>
                <w:color w:val="auto"/>
                <w:sz w:val="21"/>
                <w:szCs w:val="21"/>
                <w:u w:val="single"/>
              </w:rPr>
              <w:t>投资</w:t>
            </w:r>
            <w:r w:rsidRPr="00DE642E">
              <w:rPr>
                <w:rFonts w:asciiTheme="minorHAnsi" w:eastAsia="宋体" w:hAnsiTheme="minorHAnsi" w:hint="eastAsia"/>
                <w:color w:val="auto"/>
                <w:sz w:val="21"/>
                <w:szCs w:val="21"/>
                <w:u w:val="single"/>
              </w:rPr>
              <w:t>74</w:t>
            </w:r>
            <w:r w:rsidRPr="00DE642E">
              <w:rPr>
                <w:rFonts w:asciiTheme="minorHAnsi" w:eastAsia="宋体" w:hAnsiTheme="minorHAnsi"/>
                <w:color w:val="auto"/>
                <w:sz w:val="21"/>
                <w:szCs w:val="21"/>
                <w:u w:val="single"/>
              </w:rPr>
              <w:t>00</w:t>
            </w:r>
            <w:r w:rsidRPr="00DE642E">
              <w:rPr>
                <w:rFonts w:asciiTheme="minorHAnsi" w:eastAsia="宋体" w:hAnsiTheme="minorHAnsi" w:hint="eastAsia"/>
                <w:color w:val="auto"/>
                <w:sz w:val="21"/>
                <w:szCs w:val="21"/>
                <w:u w:val="single"/>
              </w:rPr>
              <w:t>万元</w:t>
            </w:r>
            <w:r w:rsidRPr="00DE642E">
              <w:rPr>
                <w:rFonts w:asciiTheme="minorHAnsi" w:eastAsia="宋体" w:hAnsiTheme="minorHAnsi"/>
                <w:color w:val="auto"/>
                <w:sz w:val="21"/>
                <w:szCs w:val="21"/>
                <w:u w:val="single"/>
              </w:rPr>
              <w:t>，三期投资</w:t>
            </w:r>
            <w:r w:rsidRPr="00DE642E">
              <w:rPr>
                <w:rFonts w:asciiTheme="minorHAnsi" w:eastAsia="宋体" w:hAnsiTheme="minorHAnsi" w:hint="eastAsia"/>
                <w:color w:val="auto"/>
                <w:sz w:val="21"/>
                <w:szCs w:val="21"/>
                <w:u w:val="single"/>
              </w:rPr>
              <w:t>5061</w:t>
            </w:r>
            <w:r w:rsidRPr="00DE642E">
              <w:rPr>
                <w:rFonts w:asciiTheme="minorHAnsi" w:eastAsia="宋体" w:hAnsiTheme="minorHAnsi" w:hint="eastAsia"/>
                <w:color w:val="auto"/>
                <w:sz w:val="21"/>
                <w:szCs w:val="21"/>
                <w:u w:val="single"/>
              </w:rPr>
              <w:t>万元，</w:t>
            </w:r>
            <w:r w:rsidRPr="00DE642E">
              <w:rPr>
                <w:rFonts w:asciiTheme="minorHAnsi" w:eastAsia="宋体" w:hAnsiTheme="minorHAnsi"/>
                <w:color w:val="auto"/>
                <w:sz w:val="21"/>
                <w:szCs w:val="21"/>
                <w:u w:val="single"/>
              </w:rPr>
              <w:t>总投资</w:t>
            </w:r>
            <w:r w:rsidRPr="00DE642E">
              <w:rPr>
                <w:rFonts w:asciiTheme="minorHAnsi" w:eastAsia="宋体" w:hAnsiTheme="minorHAnsi" w:hint="eastAsia"/>
                <w:color w:val="auto"/>
                <w:sz w:val="21"/>
                <w:szCs w:val="21"/>
                <w:u w:val="single"/>
              </w:rPr>
              <w:t>30461</w:t>
            </w:r>
            <w:r w:rsidRPr="00DE642E">
              <w:rPr>
                <w:rFonts w:asciiTheme="minorHAnsi" w:eastAsia="宋体" w:hAnsiTheme="minorHAnsi" w:hint="eastAsia"/>
                <w:color w:val="auto"/>
                <w:sz w:val="21"/>
                <w:szCs w:val="21"/>
                <w:u w:val="single"/>
              </w:rPr>
              <w:t>万元</w:t>
            </w:r>
          </w:p>
        </w:tc>
        <w:tc>
          <w:tcPr>
            <w:tcW w:w="1485" w:type="dxa"/>
            <w:vAlign w:val="center"/>
          </w:tcPr>
          <w:p w14:paraId="494F8B1E" w14:textId="77777777" w:rsidR="00A44AC9" w:rsidRPr="00DE642E" w:rsidRDefault="00027DFD"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相符</w:t>
            </w:r>
          </w:p>
        </w:tc>
      </w:tr>
      <w:tr w:rsidR="00A44AC9" w:rsidRPr="00DE642E" w14:paraId="2F846A26" w14:textId="77777777" w:rsidTr="00DE642E">
        <w:tc>
          <w:tcPr>
            <w:tcW w:w="1403" w:type="dxa"/>
            <w:vAlign w:val="center"/>
          </w:tcPr>
          <w:p w14:paraId="034B4BCF" w14:textId="77777777" w:rsidR="00A44AC9" w:rsidRPr="00DE642E" w:rsidRDefault="00A44AC9"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政策</w:t>
            </w:r>
            <w:r w:rsidRPr="00DE642E">
              <w:rPr>
                <w:rFonts w:asciiTheme="minorHAnsi" w:hAnsiTheme="minorHAnsi"/>
                <w:b/>
                <w:color w:val="auto"/>
                <w:szCs w:val="21"/>
                <w:u w:val="single"/>
              </w:rPr>
              <w:t>相符性</w:t>
            </w:r>
          </w:p>
        </w:tc>
        <w:tc>
          <w:tcPr>
            <w:tcW w:w="2410" w:type="dxa"/>
            <w:vAlign w:val="center"/>
          </w:tcPr>
          <w:p w14:paraId="7AA7EEC1" w14:textId="77777777" w:rsidR="00A44AC9" w:rsidRPr="00DE642E" w:rsidRDefault="00DE642E"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项目</w:t>
            </w:r>
            <w:r w:rsidRPr="00DE642E">
              <w:rPr>
                <w:rFonts w:asciiTheme="minorHAnsi" w:hAnsiTheme="minorHAnsi"/>
                <w:b/>
                <w:color w:val="auto"/>
                <w:szCs w:val="21"/>
                <w:u w:val="single"/>
              </w:rPr>
              <w:t>符合《</w:t>
            </w:r>
            <w:r w:rsidRPr="00DE642E">
              <w:rPr>
                <w:rFonts w:asciiTheme="minorHAnsi" w:hAnsiTheme="minorHAnsi" w:hint="eastAsia"/>
                <w:b/>
                <w:color w:val="auto"/>
                <w:szCs w:val="21"/>
                <w:u w:val="single"/>
              </w:rPr>
              <w:t>产业</w:t>
            </w:r>
            <w:r w:rsidRPr="00DE642E">
              <w:rPr>
                <w:rFonts w:asciiTheme="minorHAnsi" w:hAnsiTheme="minorHAnsi"/>
                <w:b/>
                <w:color w:val="auto"/>
                <w:szCs w:val="21"/>
                <w:u w:val="single"/>
              </w:rPr>
              <w:t>结构调整</w:t>
            </w:r>
            <w:r w:rsidRPr="00DE642E">
              <w:rPr>
                <w:rFonts w:asciiTheme="minorHAnsi" w:hAnsiTheme="minorHAnsi" w:hint="eastAsia"/>
                <w:b/>
                <w:color w:val="auto"/>
                <w:szCs w:val="21"/>
                <w:u w:val="single"/>
              </w:rPr>
              <w:t>指导</w:t>
            </w:r>
            <w:r w:rsidRPr="00DE642E">
              <w:rPr>
                <w:rFonts w:asciiTheme="minorHAnsi" w:hAnsiTheme="minorHAnsi"/>
                <w:b/>
                <w:color w:val="auto"/>
                <w:szCs w:val="21"/>
                <w:u w:val="single"/>
              </w:rPr>
              <w:t>目录</w:t>
            </w:r>
            <w:r w:rsidRPr="00DE642E">
              <w:rPr>
                <w:rFonts w:asciiTheme="minorHAnsi" w:hAnsiTheme="minorHAnsi" w:hint="eastAsia"/>
                <w:b/>
                <w:color w:val="auto"/>
                <w:szCs w:val="21"/>
                <w:u w:val="single"/>
              </w:rPr>
              <w:t>2019</w:t>
            </w:r>
            <w:r w:rsidRPr="00DE642E">
              <w:rPr>
                <w:rFonts w:asciiTheme="minorHAnsi" w:hAnsiTheme="minorHAnsi"/>
                <w:b/>
                <w:color w:val="auto"/>
                <w:szCs w:val="21"/>
                <w:u w:val="single"/>
              </w:rPr>
              <w:t>》</w:t>
            </w:r>
          </w:p>
        </w:tc>
        <w:tc>
          <w:tcPr>
            <w:tcW w:w="3402" w:type="dxa"/>
            <w:vAlign w:val="center"/>
          </w:tcPr>
          <w:p w14:paraId="177F68EA" w14:textId="77777777" w:rsidR="00A44AC9" w:rsidRPr="00DE642E" w:rsidRDefault="00DE642E"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项目</w:t>
            </w:r>
            <w:r w:rsidRPr="00DE642E">
              <w:rPr>
                <w:rFonts w:asciiTheme="minorHAnsi" w:hAnsiTheme="minorHAnsi"/>
                <w:b/>
                <w:color w:val="auto"/>
                <w:szCs w:val="21"/>
                <w:u w:val="single"/>
              </w:rPr>
              <w:t>符合《</w:t>
            </w:r>
            <w:r w:rsidRPr="00DE642E">
              <w:rPr>
                <w:rFonts w:asciiTheme="minorHAnsi" w:hAnsiTheme="minorHAnsi" w:hint="eastAsia"/>
                <w:b/>
                <w:color w:val="auto"/>
                <w:szCs w:val="21"/>
                <w:u w:val="single"/>
              </w:rPr>
              <w:t>产业</w:t>
            </w:r>
            <w:r w:rsidRPr="00DE642E">
              <w:rPr>
                <w:rFonts w:asciiTheme="minorHAnsi" w:hAnsiTheme="minorHAnsi"/>
                <w:b/>
                <w:color w:val="auto"/>
                <w:szCs w:val="21"/>
                <w:u w:val="single"/>
              </w:rPr>
              <w:t>结构调整</w:t>
            </w:r>
            <w:r w:rsidRPr="00DE642E">
              <w:rPr>
                <w:rFonts w:asciiTheme="minorHAnsi" w:hAnsiTheme="minorHAnsi" w:hint="eastAsia"/>
                <w:b/>
                <w:color w:val="auto"/>
                <w:szCs w:val="21"/>
                <w:u w:val="single"/>
              </w:rPr>
              <w:t>指导</w:t>
            </w:r>
            <w:r w:rsidRPr="00DE642E">
              <w:rPr>
                <w:rFonts w:asciiTheme="minorHAnsi" w:hAnsiTheme="minorHAnsi"/>
                <w:b/>
                <w:color w:val="auto"/>
                <w:szCs w:val="21"/>
                <w:u w:val="single"/>
              </w:rPr>
              <w:t>目录</w:t>
            </w:r>
            <w:r w:rsidRPr="00DE642E">
              <w:rPr>
                <w:rFonts w:asciiTheme="minorHAnsi" w:hAnsiTheme="minorHAnsi" w:hint="eastAsia"/>
                <w:b/>
                <w:color w:val="auto"/>
                <w:szCs w:val="21"/>
                <w:u w:val="single"/>
              </w:rPr>
              <w:t>2019</w:t>
            </w:r>
            <w:r w:rsidRPr="00DE642E">
              <w:rPr>
                <w:rFonts w:asciiTheme="minorHAnsi" w:hAnsiTheme="minorHAnsi"/>
                <w:b/>
                <w:color w:val="auto"/>
                <w:szCs w:val="21"/>
                <w:u w:val="single"/>
              </w:rPr>
              <w:t>》</w:t>
            </w:r>
          </w:p>
        </w:tc>
        <w:tc>
          <w:tcPr>
            <w:tcW w:w="1485" w:type="dxa"/>
            <w:vAlign w:val="center"/>
          </w:tcPr>
          <w:p w14:paraId="0DE89AB9" w14:textId="77777777" w:rsidR="00A44AC9" w:rsidRPr="00DE642E" w:rsidRDefault="00DE642E" w:rsidP="00A44AC9">
            <w:pPr>
              <w:jc w:val="center"/>
              <w:rPr>
                <w:rFonts w:asciiTheme="minorHAnsi" w:hAnsiTheme="minorHAnsi"/>
                <w:b/>
                <w:color w:val="auto"/>
                <w:szCs w:val="21"/>
                <w:u w:val="single"/>
              </w:rPr>
            </w:pPr>
            <w:r w:rsidRPr="00DE642E">
              <w:rPr>
                <w:rFonts w:asciiTheme="minorHAnsi" w:hAnsiTheme="minorHAnsi" w:hint="eastAsia"/>
                <w:b/>
                <w:color w:val="auto"/>
                <w:szCs w:val="21"/>
                <w:u w:val="single"/>
              </w:rPr>
              <w:t>相符</w:t>
            </w:r>
          </w:p>
        </w:tc>
      </w:tr>
    </w:tbl>
    <w:p w14:paraId="05E8FD77" w14:textId="77777777" w:rsidR="00A44AC9" w:rsidRPr="00A44AC9" w:rsidRDefault="00A44AC9" w:rsidP="00FF629A">
      <w:pPr>
        <w:pStyle w:val="ad"/>
        <w:rPr>
          <w:rFonts w:ascii="Calibri" w:hAnsi="Calibri"/>
          <w:color w:val="auto"/>
        </w:rPr>
      </w:pPr>
    </w:p>
    <w:p w14:paraId="5650608C" w14:textId="77777777" w:rsidR="00A44AC9" w:rsidRPr="00A44AC9" w:rsidRDefault="00A44AC9" w:rsidP="00FF629A">
      <w:pPr>
        <w:pStyle w:val="ad"/>
        <w:rPr>
          <w:rFonts w:ascii="Calibri" w:hAnsi="Calibri"/>
          <w:color w:val="auto"/>
        </w:rPr>
      </w:pPr>
    </w:p>
    <w:p w14:paraId="6494BC0A" w14:textId="77777777" w:rsidR="00A44AC9" w:rsidRDefault="00A44AC9" w:rsidP="00FF629A">
      <w:pPr>
        <w:pStyle w:val="ad"/>
        <w:rPr>
          <w:rFonts w:ascii="Calibri" w:hAnsi="Calibri"/>
          <w:color w:val="auto"/>
        </w:rPr>
      </w:pPr>
    </w:p>
    <w:p w14:paraId="38FEBC07" w14:textId="77777777" w:rsidR="00FF629A" w:rsidRDefault="00232735" w:rsidP="00FF629A">
      <w:pPr>
        <w:pStyle w:val="ad"/>
        <w:rPr>
          <w:rFonts w:ascii="Calibri" w:hAnsi="Calibri"/>
          <w:color w:val="auto"/>
        </w:rPr>
      </w:pPr>
      <w:r w:rsidRPr="00A73882">
        <w:rPr>
          <w:rFonts w:ascii="Calibri" w:hAnsi="Calibri" w:hint="eastAsia"/>
          <w:color w:val="auto"/>
        </w:rPr>
        <w:lastRenderedPageBreak/>
        <w:t>1.8</w:t>
      </w:r>
      <w:r w:rsidRPr="00A73882">
        <w:rPr>
          <w:rFonts w:ascii="Calibri" w:hAnsi="Calibri"/>
          <w:color w:val="auto"/>
        </w:rPr>
        <w:t>.</w:t>
      </w:r>
      <w:r w:rsidR="006C1395" w:rsidRPr="00A73882">
        <w:rPr>
          <w:rFonts w:ascii="Calibri" w:hAnsi="Calibri"/>
          <w:color w:val="auto"/>
        </w:rPr>
        <w:t>1</w:t>
      </w:r>
      <w:r w:rsidR="004F1F5C">
        <w:rPr>
          <w:rFonts w:ascii="Calibri" w:hAnsi="Calibri"/>
          <w:color w:val="auto"/>
        </w:rPr>
        <w:t>5</w:t>
      </w:r>
      <w:r w:rsidR="00FF629A" w:rsidRPr="00FF629A">
        <w:rPr>
          <w:rFonts w:ascii="Calibri" w:hAnsi="Calibri" w:hint="eastAsia"/>
          <w:color w:val="auto"/>
        </w:rPr>
        <w:t>平顶山市</w:t>
      </w:r>
      <w:r w:rsidR="00FF629A" w:rsidRPr="00FF629A">
        <w:rPr>
          <w:rFonts w:ascii="Calibri" w:hAnsi="Calibri" w:hint="eastAsia"/>
          <w:color w:val="auto"/>
        </w:rPr>
        <w:t>2021</w:t>
      </w:r>
      <w:r w:rsidR="00FF629A" w:rsidRPr="00FF629A">
        <w:rPr>
          <w:rFonts w:ascii="Calibri" w:hAnsi="Calibri" w:hint="eastAsia"/>
          <w:color w:val="auto"/>
        </w:rPr>
        <w:t>年重污染天气通用行业应急减排措施制定技术指南（试行）》</w:t>
      </w:r>
    </w:p>
    <w:p w14:paraId="1F801DB4" w14:textId="77777777" w:rsidR="007841CB" w:rsidRPr="00A73882" w:rsidRDefault="007841CB" w:rsidP="00FF629A">
      <w:pPr>
        <w:pStyle w:val="ad"/>
        <w:ind w:firstLineChars="200" w:firstLine="480"/>
        <w:rPr>
          <w:rFonts w:ascii="Calibri" w:eastAsia="宋体" w:hAnsi="Times New Roman"/>
          <w:b w:val="0"/>
          <w:bCs/>
          <w:color w:val="auto"/>
          <w:sz w:val="24"/>
        </w:rPr>
      </w:pPr>
      <w:r w:rsidRPr="00A73882">
        <w:rPr>
          <w:rFonts w:ascii="Calibri" w:eastAsia="宋体" w:hAnsi="Times New Roman" w:hint="eastAsia"/>
          <w:b w:val="0"/>
          <w:bCs/>
          <w:color w:val="auto"/>
          <w:sz w:val="24"/>
        </w:rPr>
        <w:t>本次项目属化学原料和化学制品制造业中</w:t>
      </w:r>
      <w:r w:rsidRPr="00A73882">
        <w:rPr>
          <w:rFonts w:ascii="Calibri" w:eastAsia="宋体" w:hAnsi="Times New Roman" w:hint="eastAsia"/>
          <w:b w:val="0"/>
          <w:bCs/>
          <w:color w:val="auto"/>
          <w:sz w:val="24"/>
        </w:rPr>
        <w:t>C265</w:t>
      </w:r>
      <w:r w:rsidRPr="00A73882">
        <w:rPr>
          <w:rFonts w:ascii="Calibri" w:eastAsia="宋体" w:hAnsi="Times New Roman" w:hint="eastAsia"/>
          <w:b w:val="0"/>
          <w:bCs/>
          <w:color w:val="auto"/>
          <w:sz w:val="24"/>
        </w:rPr>
        <w:t>合成材料制造，经比对，项目不属于《河南省重污染天气重点行业应急减排措施制定技术指南（</w:t>
      </w:r>
      <w:r w:rsidRPr="00A73882">
        <w:rPr>
          <w:rFonts w:ascii="Calibri" w:eastAsia="宋体" w:hAnsi="Times New Roman" w:hint="eastAsia"/>
          <w:b w:val="0"/>
          <w:bCs/>
          <w:color w:val="auto"/>
          <w:sz w:val="24"/>
        </w:rPr>
        <w:t>2021</w:t>
      </w:r>
      <w:r w:rsidRPr="00A73882">
        <w:rPr>
          <w:rFonts w:ascii="Calibri" w:eastAsia="宋体" w:hAnsi="Times New Roman" w:hint="eastAsia"/>
          <w:b w:val="0"/>
          <w:bCs/>
          <w:color w:val="auto"/>
          <w:sz w:val="24"/>
        </w:rPr>
        <w:t>年修订版）》“有机化工”中</w:t>
      </w:r>
      <w:r w:rsidRPr="00A73882">
        <w:rPr>
          <w:rFonts w:ascii="Calibri" w:eastAsia="宋体" w:hAnsi="Times New Roman" w:hint="eastAsia"/>
          <w:b w:val="0"/>
          <w:bCs/>
          <w:color w:val="auto"/>
          <w:sz w:val="24"/>
        </w:rPr>
        <w:t>C261</w:t>
      </w:r>
      <w:r w:rsidRPr="00A73882">
        <w:rPr>
          <w:rFonts w:ascii="Calibri" w:eastAsia="宋体" w:hAnsi="Times New Roman" w:hint="eastAsia"/>
          <w:b w:val="0"/>
          <w:bCs/>
          <w:color w:val="auto"/>
          <w:sz w:val="24"/>
        </w:rPr>
        <w:t>基础化学原料制造、</w:t>
      </w:r>
      <w:r w:rsidRPr="00A73882">
        <w:rPr>
          <w:rFonts w:ascii="Calibri" w:eastAsia="宋体" w:hAnsi="Times New Roman" w:hint="eastAsia"/>
          <w:b w:val="0"/>
          <w:bCs/>
          <w:color w:val="auto"/>
          <w:sz w:val="24"/>
        </w:rPr>
        <w:t>C266</w:t>
      </w:r>
      <w:r w:rsidRPr="00A73882">
        <w:rPr>
          <w:rFonts w:ascii="Calibri" w:eastAsia="宋体" w:hAnsi="Times New Roman" w:hint="eastAsia"/>
          <w:b w:val="0"/>
          <w:bCs/>
          <w:color w:val="auto"/>
          <w:sz w:val="24"/>
        </w:rPr>
        <w:t>专用化学产品制造、</w:t>
      </w:r>
      <w:r w:rsidRPr="00A73882">
        <w:rPr>
          <w:rFonts w:ascii="Calibri" w:eastAsia="宋体" w:hAnsi="Times New Roman" w:hint="eastAsia"/>
          <w:b w:val="0"/>
          <w:bCs/>
          <w:color w:val="auto"/>
          <w:sz w:val="24"/>
        </w:rPr>
        <w:t>C268</w:t>
      </w:r>
      <w:r w:rsidRPr="00A73882">
        <w:rPr>
          <w:rFonts w:ascii="Calibri" w:eastAsia="宋体" w:hAnsi="Times New Roman" w:hint="eastAsia"/>
          <w:b w:val="0"/>
          <w:bCs/>
          <w:color w:val="auto"/>
          <w:sz w:val="24"/>
        </w:rPr>
        <w:t>日用化学产品制造行业，不属于重点行业，属通用行业，因此本次比对</w:t>
      </w:r>
      <w:r w:rsidR="00A73882" w:rsidRPr="00A73882">
        <w:rPr>
          <w:rFonts w:ascii="Calibri" w:eastAsia="宋体" w:hAnsi="Times New Roman" w:hint="eastAsia"/>
          <w:b w:val="0"/>
          <w:bCs/>
          <w:color w:val="auto"/>
          <w:sz w:val="24"/>
        </w:rPr>
        <w:t>《平顶山市</w:t>
      </w:r>
      <w:r w:rsidR="00A73882" w:rsidRPr="00A73882">
        <w:rPr>
          <w:rFonts w:ascii="Calibri" w:eastAsia="宋体" w:hAnsi="Times New Roman" w:hint="eastAsia"/>
          <w:b w:val="0"/>
          <w:bCs/>
          <w:color w:val="auto"/>
          <w:sz w:val="24"/>
        </w:rPr>
        <w:t>2021</w:t>
      </w:r>
      <w:r w:rsidR="00A73882" w:rsidRPr="00A73882">
        <w:rPr>
          <w:rFonts w:ascii="Calibri" w:eastAsia="宋体" w:hAnsi="Times New Roman" w:hint="eastAsia"/>
          <w:b w:val="0"/>
          <w:bCs/>
          <w:color w:val="auto"/>
          <w:sz w:val="24"/>
        </w:rPr>
        <w:t>年重污染天气通用行业应急减排措施制定技术指南（试行）》</w:t>
      </w:r>
      <w:r w:rsidRPr="00A73882">
        <w:rPr>
          <w:rFonts w:ascii="Calibri" w:eastAsia="宋体" w:hAnsi="Times New Roman"/>
          <w:b w:val="0"/>
          <w:bCs/>
          <w:color w:val="auto"/>
          <w:sz w:val="24"/>
        </w:rPr>
        <w:t>比对一览表</w:t>
      </w:r>
      <w:r w:rsidRPr="00A73882">
        <w:rPr>
          <w:rFonts w:ascii="Calibri" w:eastAsia="宋体" w:hAnsi="Times New Roman" w:hint="eastAsia"/>
          <w:b w:val="0"/>
          <w:bCs/>
          <w:color w:val="auto"/>
          <w:sz w:val="24"/>
        </w:rPr>
        <w:t>见表</w:t>
      </w:r>
      <w:r w:rsidRPr="00A73882">
        <w:rPr>
          <w:rFonts w:ascii="Calibri" w:eastAsia="宋体" w:hAnsi="Times New Roman"/>
          <w:b w:val="0"/>
          <w:bCs/>
          <w:color w:val="auto"/>
          <w:sz w:val="24"/>
        </w:rPr>
        <w:t>1</w:t>
      </w:r>
      <w:r w:rsidRPr="00A73882">
        <w:rPr>
          <w:rFonts w:ascii="Calibri" w:eastAsia="宋体" w:hAnsi="Times New Roman" w:hint="eastAsia"/>
          <w:b w:val="0"/>
          <w:bCs/>
          <w:color w:val="auto"/>
          <w:sz w:val="24"/>
        </w:rPr>
        <w:t>.</w:t>
      </w:r>
      <w:r w:rsidRPr="00A73882">
        <w:rPr>
          <w:rFonts w:ascii="Calibri" w:eastAsia="宋体" w:hAnsi="Times New Roman"/>
          <w:b w:val="0"/>
          <w:bCs/>
          <w:color w:val="auto"/>
          <w:sz w:val="24"/>
        </w:rPr>
        <w:t>8</w:t>
      </w:r>
      <w:r w:rsidRPr="00A73882">
        <w:rPr>
          <w:rFonts w:ascii="Calibri" w:eastAsia="宋体" w:hAnsi="Times New Roman" w:hint="eastAsia"/>
          <w:b w:val="0"/>
          <w:bCs/>
          <w:color w:val="auto"/>
          <w:sz w:val="24"/>
        </w:rPr>
        <w:t>-</w:t>
      </w:r>
      <w:r w:rsidR="0061483B" w:rsidRPr="00A73882">
        <w:rPr>
          <w:rFonts w:ascii="Calibri" w:eastAsia="宋体" w:hAnsi="Times New Roman"/>
          <w:b w:val="0"/>
          <w:bCs/>
          <w:color w:val="auto"/>
          <w:sz w:val="24"/>
        </w:rPr>
        <w:t>1</w:t>
      </w:r>
      <w:r w:rsidR="004F1F5C">
        <w:rPr>
          <w:rFonts w:ascii="Calibri" w:eastAsia="宋体" w:hAnsi="Times New Roman"/>
          <w:b w:val="0"/>
          <w:bCs/>
          <w:color w:val="auto"/>
          <w:sz w:val="24"/>
        </w:rPr>
        <w:t>8</w:t>
      </w:r>
      <w:r w:rsidRPr="00A73882">
        <w:rPr>
          <w:rFonts w:ascii="Calibri" w:eastAsia="宋体" w:hAnsi="Times New Roman" w:hint="eastAsia"/>
          <w:b w:val="0"/>
          <w:bCs/>
          <w:color w:val="auto"/>
          <w:sz w:val="24"/>
        </w:rPr>
        <w:t>项目与通用行业应急减排措施制定技术指南中涉锅炉绩效分级指标相符性一览表见表</w:t>
      </w:r>
      <w:r w:rsidRPr="00A73882">
        <w:rPr>
          <w:rFonts w:ascii="Calibri" w:eastAsia="宋体" w:hAnsi="Times New Roman"/>
          <w:b w:val="0"/>
          <w:bCs/>
          <w:color w:val="auto"/>
          <w:sz w:val="24"/>
        </w:rPr>
        <w:t>1</w:t>
      </w:r>
      <w:r w:rsidRPr="00A73882">
        <w:rPr>
          <w:rFonts w:ascii="Calibri" w:eastAsia="宋体" w:hAnsi="Times New Roman" w:hint="eastAsia"/>
          <w:b w:val="0"/>
          <w:bCs/>
          <w:color w:val="auto"/>
          <w:sz w:val="24"/>
        </w:rPr>
        <w:t>.</w:t>
      </w:r>
      <w:r w:rsidRPr="00A73882">
        <w:rPr>
          <w:rFonts w:ascii="Calibri" w:eastAsia="宋体" w:hAnsi="Times New Roman"/>
          <w:b w:val="0"/>
          <w:bCs/>
          <w:color w:val="auto"/>
          <w:sz w:val="24"/>
        </w:rPr>
        <w:t>8</w:t>
      </w:r>
      <w:r w:rsidRPr="00A73882">
        <w:rPr>
          <w:rFonts w:ascii="Calibri" w:eastAsia="宋体" w:hAnsi="Times New Roman" w:hint="eastAsia"/>
          <w:b w:val="0"/>
          <w:bCs/>
          <w:color w:val="auto"/>
          <w:sz w:val="24"/>
        </w:rPr>
        <w:t>-1</w:t>
      </w:r>
      <w:r w:rsidR="004F1F5C">
        <w:rPr>
          <w:rFonts w:ascii="Calibri" w:eastAsia="宋体" w:hAnsi="Times New Roman"/>
          <w:b w:val="0"/>
          <w:bCs/>
          <w:color w:val="auto"/>
          <w:sz w:val="24"/>
        </w:rPr>
        <w:t>9</w:t>
      </w:r>
    </w:p>
    <w:p w14:paraId="11004EF8" w14:textId="77777777" w:rsidR="00F72C10" w:rsidRPr="0061483B" w:rsidRDefault="00F72C10" w:rsidP="00F72C10">
      <w:pPr>
        <w:spacing w:line="520" w:lineRule="exact"/>
        <w:ind w:firstLineChars="200" w:firstLine="480"/>
        <w:jc w:val="left"/>
        <w:rPr>
          <w:rFonts w:ascii="Calibri"/>
          <w:bCs/>
          <w:color w:val="auto"/>
          <w:sz w:val="24"/>
        </w:rPr>
        <w:sectPr w:rsidR="00F72C10" w:rsidRPr="0061483B" w:rsidSect="003107E2">
          <w:pgSz w:w="11906" w:h="16838" w:code="9"/>
          <w:pgMar w:top="1440" w:right="1588" w:bottom="1440" w:left="1588" w:header="851" w:footer="992" w:gutter="0"/>
          <w:cols w:space="720"/>
          <w:docGrid w:linePitch="312"/>
        </w:sectPr>
      </w:pPr>
    </w:p>
    <w:p w14:paraId="53E24BFF" w14:textId="77777777" w:rsidR="00A73882" w:rsidRPr="00864A71" w:rsidRDefault="00A73882" w:rsidP="00A73882">
      <w:pPr>
        <w:spacing w:line="520" w:lineRule="exact"/>
        <w:ind w:firstLineChars="300" w:firstLine="720"/>
        <w:rPr>
          <w:rFonts w:ascii="黑体" w:eastAsia="黑体"/>
          <w:sz w:val="24"/>
        </w:rPr>
      </w:pPr>
      <w:r w:rsidRPr="00864A71">
        <w:rPr>
          <w:rFonts w:ascii="黑体" w:eastAsia="黑体" w:hint="eastAsia"/>
          <w:sz w:val="24"/>
        </w:rPr>
        <w:lastRenderedPageBreak/>
        <w:t>表</w:t>
      </w:r>
      <w:r w:rsidRPr="00864A71">
        <w:rPr>
          <w:rFonts w:asciiTheme="minorHAnsi" w:eastAsia="黑体" w:hAnsiTheme="minorHAnsi"/>
          <w:sz w:val="24"/>
        </w:rPr>
        <w:t>1.8-1</w:t>
      </w:r>
      <w:r w:rsidR="004F1F5C">
        <w:rPr>
          <w:rFonts w:asciiTheme="minorHAnsi" w:eastAsia="黑体" w:hAnsiTheme="minorHAnsi"/>
          <w:sz w:val="24"/>
        </w:rPr>
        <w:t>8</w:t>
      </w:r>
      <w:r w:rsidRPr="00864A71">
        <w:rPr>
          <w:rFonts w:asciiTheme="minorHAnsi" w:eastAsia="黑体" w:hAnsiTheme="minorHAnsi"/>
          <w:sz w:val="24"/>
        </w:rPr>
        <w:t xml:space="preserve"> </w:t>
      </w:r>
      <w:r w:rsidRPr="00864A71">
        <w:rPr>
          <w:rFonts w:ascii="黑体" w:eastAsia="黑体" w:hint="eastAsia"/>
          <w:sz w:val="24"/>
        </w:rPr>
        <w:t xml:space="preserve">     </w:t>
      </w:r>
      <w:r w:rsidRPr="00864A71">
        <w:rPr>
          <w:rFonts w:ascii="黑体" w:eastAsia="黑体"/>
          <w:sz w:val="24"/>
        </w:rPr>
        <w:t>本项目</w:t>
      </w:r>
      <w:r w:rsidRPr="00864A71">
        <w:rPr>
          <w:rFonts w:ascii="黑体" w:eastAsia="黑体" w:hint="eastAsia"/>
          <w:sz w:val="24"/>
        </w:rPr>
        <w:t>与平顶山市</w:t>
      </w:r>
      <w:r w:rsidRPr="00DD5619">
        <w:rPr>
          <w:rFonts w:asciiTheme="minorHAnsi" w:eastAsia="黑体" w:hAnsiTheme="minorHAnsi"/>
          <w:sz w:val="24"/>
        </w:rPr>
        <w:t>2021</w:t>
      </w:r>
      <w:r w:rsidRPr="00864A71">
        <w:rPr>
          <w:rFonts w:ascii="黑体" w:eastAsia="黑体" w:hint="eastAsia"/>
          <w:sz w:val="24"/>
        </w:rPr>
        <w:t>年重污染天气通用行业应急减排措施制定技术指南</w:t>
      </w:r>
      <w:r w:rsidRPr="00864A71">
        <w:rPr>
          <w:rFonts w:ascii="黑体" w:eastAsia="黑体"/>
          <w:sz w:val="24"/>
        </w:rPr>
        <w:t>比对一览表</w:t>
      </w:r>
    </w:p>
    <w:tbl>
      <w:tblPr>
        <w:tblStyle w:val="afe"/>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9"/>
        <w:gridCol w:w="741"/>
        <w:gridCol w:w="969"/>
        <w:gridCol w:w="2354"/>
        <w:gridCol w:w="2610"/>
        <w:gridCol w:w="1557"/>
        <w:gridCol w:w="3479"/>
        <w:gridCol w:w="1109"/>
      </w:tblGrid>
      <w:tr w:rsidR="00A73882" w:rsidRPr="00864A71" w14:paraId="50FD0B89" w14:textId="77777777" w:rsidTr="00955092">
        <w:trPr>
          <w:tblHeader/>
          <w:jc w:val="center"/>
        </w:trPr>
        <w:tc>
          <w:tcPr>
            <w:tcW w:w="1012" w:type="pct"/>
            <w:gridSpan w:val="3"/>
            <w:vAlign w:val="center"/>
          </w:tcPr>
          <w:p w14:paraId="2B8A4F8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差异化指标</w:t>
            </w:r>
          </w:p>
        </w:tc>
        <w:tc>
          <w:tcPr>
            <w:tcW w:w="845" w:type="pct"/>
            <w:vAlign w:val="center"/>
          </w:tcPr>
          <w:p w14:paraId="741AACD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A</w:t>
            </w:r>
            <w:r w:rsidRPr="00864A71">
              <w:rPr>
                <w:rFonts w:asciiTheme="minorHAnsi" w:eastAsiaTheme="minorEastAsia" w:hAnsiTheme="minorHAnsi"/>
                <w:szCs w:val="21"/>
              </w:rPr>
              <w:t>级指标</w:t>
            </w:r>
          </w:p>
        </w:tc>
        <w:tc>
          <w:tcPr>
            <w:tcW w:w="937" w:type="pct"/>
            <w:vAlign w:val="center"/>
          </w:tcPr>
          <w:p w14:paraId="3E666F8E"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B</w:t>
            </w:r>
            <w:r w:rsidRPr="00864A71">
              <w:rPr>
                <w:rFonts w:asciiTheme="minorHAnsi" w:eastAsiaTheme="minorEastAsia" w:hAnsiTheme="minorHAnsi"/>
                <w:szCs w:val="21"/>
              </w:rPr>
              <w:t>级指标</w:t>
            </w:r>
          </w:p>
        </w:tc>
        <w:tc>
          <w:tcPr>
            <w:tcW w:w="559" w:type="pct"/>
            <w:vAlign w:val="center"/>
          </w:tcPr>
          <w:p w14:paraId="7AD26955"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C</w:t>
            </w:r>
            <w:r w:rsidRPr="00864A71">
              <w:rPr>
                <w:rFonts w:asciiTheme="minorHAnsi" w:eastAsiaTheme="minorEastAsia" w:hAnsiTheme="minorHAnsi"/>
                <w:szCs w:val="21"/>
              </w:rPr>
              <w:t>级指标</w:t>
            </w:r>
          </w:p>
        </w:tc>
        <w:tc>
          <w:tcPr>
            <w:tcW w:w="1249" w:type="pct"/>
            <w:vAlign w:val="center"/>
          </w:tcPr>
          <w:p w14:paraId="751FDE68"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本次项目</w:t>
            </w:r>
          </w:p>
        </w:tc>
        <w:tc>
          <w:tcPr>
            <w:tcW w:w="398" w:type="pct"/>
            <w:vAlign w:val="center"/>
          </w:tcPr>
          <w:p w14:paraId="62A437C9"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相符性</w:t>
            </w:r>
          </w:p>
        </w:tc>
      </w:tr>
      <w:tr w:rsidR="00A73882" w:rsidRPr="00864A71" w14:paraId="0992C98B" w14:textId="77777777" w:rsidTr="00955092">
        <w:trPr>
          <w:jc w:val="center"/>
        </w:trPr>
        <w:tc>
          <w:tcPr>
            <w:tcW w:w="1012" w:type="pct"/>
            <w:gridSpan w:val="3"/>
            <w:vAlign w:val="center"/>
          </w:tcPr>
          <w:p w14:paraId="16B067BB"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能源类型</w:t>
            </w:r>
          </w:p>
        </w:tc>
        <w:tc>
          <w:tcPr>
            <w:tcW w:w="845" w:type="pct"/>
            <w:vAlign w:val="center"/>
          </w:tcPr>
          <w:p w14:paraId="08882610"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使用清洁能源（天然气、电、管道蒸汽等）</w:t>
            </w:r>
          </w:p>
        </w:tc>
        <w:tc>
          <w:tcPr>
            <w:tcW w:w="1496" w:type="pct"/>
            <w:gridSpan w:val="2"/>
            <w:vAlign w:val="center"/>
          </w:tcPr>
          <w:p w14:paraId="6A28DEF8"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A</w:t>
            </w:r>
            <w:r w:rsidRPr="00864A71">
              <w:rPr>
                <w:rFonts w:asciiTheme="minorHAnsi" w:eastAsiaTheme="minorEastAsia" w:hAnsiTheme="minorHAnsi"/>
                <w:szCs w:val="21"/>
              </w:rPr>
              <w:t>级要求</w:t>
            </w:r>
          </w:p>
        </w:tc>
        <w:tc>
          <w:tcPr>
            <w:tcW w:w="1249" w:type="pct"/>
            <w:vAlign w:val="center"/>
          </w:tcPr>
          <w:p w14:paraId="3CFEC1E9"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项目导热油炉燃料采用清洁能源天然气。</w:t>
            </w:r>
          </w:p>
        </w:tc>
        <w:tc>
          <w:tcPr>
            <w:tcW w:w="398" w:type="pct"/>
            <w:vAlign w:val="center"/>
          </w:tcPr>
          <w:p w14:paraId="1461DE1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szCs w:val="21"/>
              </w:rPr>
              <w:t>A</w:t>
            </w:r>
            <w:r w:rsidRPr="00864A71">
              <w:rPr>
                <w:rFonts w:asciiTheme="minorHAnsi" w:hAnsiTheme="minorHAnsi"/>
                <w:szCs w:val="21"/>
              </w:rPr>
              <w:t>级企业</w:t>
            </w:r>
            <w:r w:rsidRPr="00864A71">
              <w:rPr>
                <w:rFonts w:asciiTheme="minorHAnsi" w:hAnsiTheme="minorHAnsi"/>
              </w:rPr>
              <w:t>要求</w:t>
            </w:r>
          </w:p>
        </w:tc>
      </w:tr>
      <w:tr w:rsidR="00A73882" w:rsidRPr="00864A71" w14:paraId="035D0669" w14:textId="77777777" w:rsidTr="00955092">
        <w:trPr>
          <w:jc w:val="center"/>
        </w:trPr>
        <w:tc>
          <w:tcPr>
            <w:tcW w:w="1012" w:type="pct"/>
            <w:gridSpan w:val="3"/>
            <w:vAlign w:val="center"/>
          </w:tcPr>
          <w:p w14:paraId="5F4A8627" w14:textId="77777777" w:rsidR="00A73882" w:rsidRPr="00864A71" w:rsidRDefault="00A73882" w:rsidP="00CE7021">
            <w:pPr>
              <w:spacing w:line="360" w:lineRule="exact"/>
              <w:jc w:val="center"/>
              <w:rPr>
                <w:rFonts w:asciiTheme="minorHAnsi" w:hAnsiTheme="minorHAnsi"/>
                <w:szCs w:val="21"/>
              </w:rPr>
            </w:pPr>
            <w:r w:rsidRPr="00864A71">
              <w:rPr>
                <w:rFonts w:asciiTheme="minorHAnsi" w:eastAsiaTheme="minorEastAsia" w:hAnsiTheme="minorHAnsi"/>
                <w:szCs w:val="21"/>
              </w:rPr>
              <w:t>装备水平</w:t>
            </w:r>
          </w:p>
        </w:tc>
        <w:tc>
          <w:tcPr>
            <w:tcW w:w="2341" w:type="pct"/>
            <w:gridSpan w:val="3"/>
            <w:vAlign w:val="center"/>
          </w:tcPr>
          <w:p w14:paraId="490969E6"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szCs w:val="21"/>
              </w:rPr>
              <w:t>1.</w:t>
            </w:r>
            <w:r w:rsidRPr="00864A71">
              <w:rPr>
                <w:rFonts w:asciiTheme="minorHAnsi" w:hAnsiTheme="minorHAnsi"/>
                <w:szCs w:val="21"/>
              </w:rPr>
              <w:t>属于《产业结构调整指导目录（</w:t>
            </w:r>
            <w:r w:rsidRPr="00864A71">
              <w:rPr>
                <w:rFonts w:asciiTheme="minorHAnsi" w:hAnsiTheme="minorHAnsi"/>
                <w:szCs w:val="21"/>
              </w:rPr>
              <w:t>2019</w:t>
            </w:r>
            <w:r w:rsidRPr="00864A71">
              <w:rPr>
                <w:rFonts w:asciiTheme="minorHAnsi" w:hAnsiTheme="minorHAnsi"/>
                <w:szCs w:val="21"/>
              </w:rPr>
              <w:t>年版）》鼓励类和允许类；</w:t>
            </w:r>
            <w:r w:rsidRPr="00864A71">
              <w:rPr>
                <w:rFonts w:asciiTheme="minorHAnsi" w:hAnsiTheme="minorHAnsi"/>
                <w:szCs w:val="21"/>
              </w:rPr>
              <w:t>2.</w:t>
            </w:r>
            <w:r w:rsidRPr="00864A71">
              <w:rPr>
                <w:rFonts w:asciiTheme="minorHAnsi" w:hAnsiTheme="minorHAnsi"/>
                <w:szCs w:val="21"/>
              </w:rPr>
              <w:t>符合相关行业产业政策；</w:t>
            </w:r>
            <w:r w:rsidRPr="00864A71">
              <w:rPr>
                <w:rFonts w:asciiTheme="minorHAnsi" w:hAnsiTheme="minorHAnsi"/>
                <w:szCs w:val="21"/>
              </w:rPr>
              <w:t>3.</w:t>
            </w:r>
            <w:r w:rsidRPr="00864A71">
              <w:rPr>
                <w:rFonts w:asciiTheme="minorHAnsi" w:hAnsiTheme="minorHAnsi"/>
                <w:szCs w:val="21"/>
              </w:rPr>
              <w:t>符合河南省相关政策要求；</w:t>
            </w:r>
            <w:r w:rsidRPr="00864A71">
              <w:rPr>
                <w:rFonts w:asciiTheme="minorHAnsi" w:hAnsiTheme="minorHAnsi"/>
                <w:szCs w:val="21"/>
              </w:rPr>
              <w:t>4.</w:t>
            </w:r>
            <w:r w:rsidRPr="00864A71">
              <w:rPr>
                <w:rFonts w:asciiTheme="minorHAnsi" w:hAnsiTheme="minorHAnsi"/>
                <w:szCs w:val="21"/>
              </w:rPr>
              <w:t>符合市级规划。</w:t>
            </w:r>
          </w:p>
        </w:tc>
        <w:tc>
          <w:tcPr>
            <w:tcW w:w="1249" w:type="pct"/>
            <w:vAlign w:val="center"/>
          </w:tcPr>
          <w:p w14:paraId="09306D55" w14:textId="15821654"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项目属</w:t>
            </w:r>
            <w:r w:rsidRPr="00864A71">
              <w:rPr>
                <w:rFonts w:asciiTheme="minorHAnsi" w:hAnsiTheme="minorHAnsi"/>
                <w:szCs w:val="21"/>
              </w:rPr>
              <w:t>《产业结构调整指导目录（</w:t>
            </w:r>
            <w:r w:rsidRPr="00864A71">
              <w:rPr>
                <w:rFonts w:asciiTheme="minorHAnsi" w:hAnsiTheme="minorHAnsi"/>
                <w:szCs w:val="21"/>
              </w:rPr>
              <w:t>2019</w:t>
            </w:r>
            <w:r w:rsidRPr="00864A71">
              <w:rPr>
                <w:rFonts w:asciiTheme="minorHAnsi" w:hAnsiTheme="minorHAnsi"/>
                <w:szCs w:val="21"/>
              </w:rPr>
              <w:t>年版）》中</w:t>
            </w:r>
            <w:r w:rsidR="009448F0" w:rsidRPr="00864A71">
              <w:rPr>
                <w:rFonts w:asciiTheme="minorHAnsi" w:hAnsiTheme="minorHAnsi"/>
                <w:szCs w:val="21"/>
              </w:rPr>
              <w:t>鼓励类</w:t>
            </w:r>
            <w:r w:rsidRPr="00864A71">
              <w:rPr>
                <w:rFonts w:asciiTheme="minorHAnsi" w:hAnsiTheme="minorHAnsi"/>
                <w:szCs w:val="21"/>
              </w:rPr>
              <w:t>；</w:t>
            </w:r>
            <w:r w:rsidRPr="00864A71">
              <w:rPr>
                <w:rFonts w:asciiTheme="minorHAnsi" w:hAnsiTheme="minorHAnsi"/>
                <w:szCs w:val="21"/>
              </w:rPr>
              <w:t>2</w:t>
            </w:r>
            <w:r w:rsidRPr="00864A71">
              <w:rPr>
                <w:rFonts w:asciiTheme="minorHAnsi" w:hAnsiTheme="minorHAnsi"/>
                <w:szCs w:val="21"/>
              </w:rPr>
              <w:t>符合相关行业产业政策；</w:t>
            </w:r>
            <w:r w:rsidRPr="00864A71">
              <w:rPr>
                <w:rFonts w:asciiTheme="minorHAnsi" w:hAnsiTheme="minorHAnsi"/>
                <w:szCs w:val="21"/>
              </w:rPr>
              <w:t>3.</w:t>
            </w:r>
            <w:r w:rsidRPr="00864A71">
              <w:rPr>
                <w:rFonts w:asciiTheme="minorHAnsi" w:hAnsiTheme="minorHAnsi"/>
                <w:szCs w:val="21"/>
              </w:rPr>
              <w:t>符合河南省相关政策要求；</w:t>
            </w:r>
            <w:r w:rsidRPr="00864A71">
              <w:rPr>
                <w:rFonts w:asciiTheme="minorHAnsi" w:hAnsiTheme="minorHAnsi"/>
                <w:szCs w:val="21"/>
              </w:rPr>
              <w:t>4.</w:t>
            </w:r>
            <w:r w:rsidRPr="00864A71">
              <w:rPr>
                <w:rFonts w:asciiTheme="minorHAnsi" w:hAnsiTheme="minorHAnsi"/>
                <w:szCs w:val="21"/>
              </w:rPr>
              <w:t>符合市级规划。</w:t>
            </w:r>
          </w:p>
        </w:tc>
        <w:tc>
          <w:tcPr>
            <w:tcW w:w="398" w:type="pct"/>
            <w:vAlign w:val="center"/>
          </w:tcPr>
          <w:p w14:paraId="21DF0204"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符合要求</w:t>
            </w:r>
          </w:p>
        </w:tc>
      </w:tr>
      <w:tr w:rsidR="00A73882" w:rsidRPr="00864A71" w14:paraId="203C5EC3" w14:textId="77777777" w:rsidTr="00955092">
        <w:trPr>
          <w:jc w:val="center"/>
        </w:trPr>
        <w:tc>
          <w:tcPr>
            <w:tcW w:w="398" w:type="pct"/>
            <w:vMerge w:val="restart"/>
            <w:vAlign w:val="center"/>
          </w:tcPr>
          <w:p w14:paraId="22CB8B0A"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无组织管控</w:t>
            </w:r>
          </w:p>
        </w:tc>
        <w:tc>
          <w:tcPr>
            <w:tcW w:w="266" w:type="pct"/>
            <w:vMerge w:val="restart"/>
            <w:vAlign w:val="center"/>
          </w:tcPr>
          <w:p w14:paraId="75A1CE81"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一、涉颗粒物类</w:t>
            </w:r>
          </w:p>
        </w:tc>
        <w:tc>
          <w:tcPr>
            <w:tcW w:w="348" w:type="pct"/>
            <w:vAlign w:val="center"/>
          </w:tcPr>
          <w:p w14:paraId="5B7C1CD4"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、物料装卸</w:t>
            </w:r>
          </w:p>
        </w:tc>
        <w:tc>
          <w:tcPr>
            <w:tcW w:w="1782" w:type="pct"/>
            <w:gridSpan w:val="2"/>
            <w:vAlign w:val="center"/>
          </w:tcPr>
          <w:p w14:paraId="436AD57F"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）粉状、粒状、块状散装物料在封闭料场内装卸，装卸过程中产尘点应设置集气除尘装置；或采取有效抑尘措施。</w:t>
            </w:r>
          </w:p>
        </w:tc>
        <w:tc>
          <w:tcPr>
            <w:tcW w:w="559" w:type="pct"/>
            <w:vMerge w:val="restart"/>
            <w:vAlign w:val="center"/>
          </w:tcPr>
          <w:p w14:paraId="748D32D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c>
          <w:tcPr>
            <w:tcW w:w="1249" w:type="pct"/>
            <w:vAlign w:val="center"/>
          </w:tcPr>
          <w:p w14:paraId="67E53E4C" w14:textId="29E323BD" w:rsidR="00A73882" w:rsidRPr="00864A71" w:rsidRDefault="0091142E" w:rsidP="00CE7021">
            <w:pPr>
              <w:spacing w:line="360" w:lineRule="exact"/>
              <w:jc w:val="center"/>
              <w:rPr>
                <w:rFonts w:asciiTheme="minorHAnsi" w:hAnsiTheme="minorHAnsi"/>
                <w:szCs w:val="21"/>
              </w:rPr>
            </w:pPr>
            <w:r>
              <w:rPr>
                <w:rFonts w:asciiTheme="minorHAnsi" w:hAnsiTheme="minorHAnsi" w:hint="eastAsia"/>
                <w:szCs w:val="21"/>
              </w:rPr>
              <w:t>本项目</w:t>
            </w:r>
            <w:r w:rsidR="00A73882" w:rsidRPr="00864A71">
              <w:rPr>
                <w:rFonts w:asciiTheme="minorHAnsi" w:hAnsiTheme="minorHAnsi"/>
                <w:szCs w:val="21"/>
              </w:rPr>
              <w:t>原料</w:t>
            </w:r>
            <w:r w:rsidR="00A73882">
              <w:rPr>
                <w:rFonts w:asciiTheme="minorHAnsi" w:hAnsiTheme="minorHAnsi" w:hint="eastAsia"/>
                <w:szCs w:val="21"/>
              </w:rPr>
              <w:t>1010</w:t>
            </w:r>
            <w:r w:rsidR="00A73882">
              <w:rPr>
                <w:rFonts w:asciiTheme="minorHAnsi" w:hAnsiTheme="minorHAnsi" w:hint="eastAsia"/>
                <w:szCs w:val="21"/>
              </w:rPr>
              <w:t>盐、</w:t>
            </w:r>
            <w:r w:rsidR="00A73882">
              <w:rPr>
                <w:rFonts w:asciiTheme="minorHAnsi" w:hAnsiTheme="minorHAnsi"/>
                <w:szCs w:val="21"/>
              </w:rPr>
              <w:t>尼龙</w:t>
            </w:r>
            <w:r w:rsidR="00A73882">
              <w:rPr>
                <w:rFonts w:asciiTheme="minorHAnsi" w:hAnsiTheme="minorHAnsi" w:hint="eastAsia"/>
                <w:szCs w:val="21"/>
              </w:rPr>
              <w:t>12</w:t>
            </w:r>
            <w:r w:rsidR="00A73882">
              <w:rPr>
                <w:rFonts w:asciiTheme="minorHAnsi" w:hAnsiTheme="minorHAnsi" w:hint="eastAsia"/>
                <w:szCs w:val="21"/>
              </w:rPr>
              <w:t>盐及</w:t>
            </w:r>
            <w:r w:rsidR="00A73882">
              <w:rPr>
                <w:rFonts w:asciiTheme="minorHAnsi" w:hAnsiTheme="minorHAnsi"/>
                <w:szCs w:val="21"/>
              </w:rPr>
              <w:t>次磷酸钠</w:t>
            </w:r>
            <w:r w:rsidR="00A73882" w:rsidRPr="00864A71">
              <w:rPr>
                <w:rFonts w:asciiTheme="minorHAnsi" w:hAnsiTheme="minorHAnsi"/>
                <w:szCs w:val="21"/>
              </w:rPr>
              <w:t>均袋装运至仓库、车间装卸，无露天装卸。</w:t>
            </w:r>
          </w:p>
        </w:tc>
        <w:tc>
          <w:tcPr>
            <w:tcW w:w="398" w:type="pct"/>
            <w:vAlign w:val="center"/>
          </w:tcPr>
          <w:p w14:paraId="6093C6BE"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08189BC2" w14:textId="77777777" w:rsidTr="00955092">
        <w:trPr>
          <w:trHeight w:val="784"/>
          <w:jc w:val="center"/>
        </w:trPr>
        <w:tc>
          <w:tcPr>
            <w:tcW w:w="398" w:type="pct"/>
            <w:vMerge/>
            <w:vAlign w:val="center"/>
          </w:tcPr>
          <w:p w14:paraId="470C1C5B"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36A8ADC5"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restart"/>
            <w:vAlign w:val="center"/>
          </w:tcPr>
          <w:p w14:paraId="001F28D3"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、物料储存</w:t>
            </w:r>
          </w:p>
        </w:tc>
        <w:tc>
          <w:tcPr>
            <w:tcW w:w="1782" w:type="pct"/>
            <w:gridSpan w:val="2"/>
            <w:vAlign w:val="center"/>
          </w:tcPr>
          <w:p w14:paraId="466DDA5A"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）粉状物料应储存于密闭</w:t>
            </w:r>
            <w:r w:rsidRPr="00864A71">
              <w:rPr>
                <w:rFonts w:asciiTheme="minorHAnsi" w:eastAsiaTheme="minorEastAsia" w:hAnsiTheme="minorHAnsi"/>
                <w:szCs w:val="21"/>
              </w:rPr>
              <w:t>/</w:t>
            </w:r>
            <w:r w:rsidRPr="00864A71">
              <w:rPr>
                <w:rFonts w:asciiTheme="minorHAnsi" w:eastAsiaTheme="minorEastAsia" w:hAnsiTheme="minorHAnsi"/>
                <w:szCs w:val="21"/>
              </w:rPr>
              <w:t>封闭料仓中，或吨包袋（有涂布、内衬塑料袋）中；</w:t>
            </w:r>
          </w:p>
        </w:tc>
        <w:tc>
          <w:tcPr>
            <w:tcW w:w="559" w:type="pct"/>
            <w:vMerge/>
            <w:vAlign w:val="center"/>
          </w:tcPr>
          <w:p w14:paraId="7F5E9545"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6A9179D7" w14:textId="77777777" w:rsidR="00A73882" w:rsidRPr="005F72AB" w:rsidRDefault="00A73882" w:rsidP="005F72AB">
            <w:pPr>
              <w:spacing w:line="360" w:lineRule="exact"/>
              <w:jc w:val="center"/>
              <w:rPr>
                <w:rFonts w:asciiTheme="minorHAnsi" w:hAnsiTheme="minorHAnsi"/>
                <w:szCs w:val="21"/>
              </w:rPr>
            </w:pPr>
            <w:r w:rsidRPr="00864A71">
              <w:rPr>
                <w:rFonts w:asciiTheme="minorHAnsi" w:hAnsiTheme="minorHAnsi"/>
                <w:szCs w:val="21"/>
              </w:rPr>
              <w:t>项目</w:t>
            </w:r>
            <w:r w:rsidR="005F72AB">
              <w:rPr>
                <w:rFonts w:asciiTheme="minorHAnsi" w:hAnsiTheme="minorHAnsi" w:hint="eastAsia"/>
                <w:szCs w:val="21"/>
              </w:rPr>
              <w:t>粉状</w:t>
            </w:r>
            <w:r w:rsidR="005F72AB">
              <w:rPr>
                <w:rFonts w:asciiTheme="minorHAnsi" w:hAnsiTheme="minorHAnsi"/>
                <w:szCs w:val="21"/>
              </w:rPr>
              <w:t>原料</w:t>
            </w:r>
            <w:r w:rsidR="005F72AB" w:rsidRPr="00864A71">
              <w:rPr>
                <w:rFonts w:asciiTheme="minorHAnsi" w:hAnsiTheme="minorHAnsi" w:hint="eastAsia"/>
                <w:szCs w:val="21"/>
              </w:rPr>
              <w:t>次磷酸钠</w:t>
            </w:r>
            <w:r w:rsidR="005F72AB">
              <w:rPr>
                <w:rFonts w:asciiTheme="minorHAnsi" w:hAnsiTheme="minorHAnsi"/>
                <w:szCs w:val="21"/>
              </w:rPr>
              <w:t>储存于</w:t>
            </w:r>
            <w:r w:rsidR="005F72AB">
              <w:rPr>
                <w:rFonts w:asciiTheme="minorHAnsi" w:hAnsiTheme="minorHAnsi" w:hint="eastAsia"/>
                <w:szCs w:val="21"/>
              </w:rPr>
              <w:t>含有</w:t>
            </w:r>
            <w:r w:rsidR="005F72AB">
              <w:rPr>
                <w:rFonts w:asciiTheme="minorHAnsi" w:hAnsiTheme="minorHAnsi"/>
                <w:szCs w:val="21"/>
              </w:rPr>
              <w:t>内衬塑料袋内</w:t>
            </w:r>
            <w:r w:rsidR="005F72AB">
              <w:rPr>
                <w:rFonts w:asciiTheme="minorHAnsi" w:hAnsiTheme="minorHAnsi" w:hint="eastAsia"/>
                <w:szCs w:val="21"/>
              </w:rPr>
              <w:t>。</w:t>
            </w:r>
            <w:r w:rsidRPr="00864A71">
              <w:rPr>
                <w:rFonts w:asciiTheme="minorHAnsi" w:hAnsiTheme="minorHAnsi"/>
                <w:szCs w:val="21"/>
              </w:rPr>
              <w:t>。</w:t>
            </w:r>
          </w:p>
        </w:tc>
        <w:tc>
          <w:tcPr>
            <w:tcW w:w="398" w:type="pct"/>
            <w:vAlign w:val="center"/>
          </w:tcPr>
          <w:p w14:paraId="69FC1E05"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1AA56B45" w14:textId="77777777" w:rsidTr="00955092">
        <w:trPr>
          <w:trHeight w:val="696"/>
          <w:jc w:val="center"/>
        </w:trPr>
        <w:tc>
          <w:tcPr>
            <w:tcW w:w="398" w:type="pct"/>
            <w:vMerge/>
            <w:vAlign w:val="center"/>
          </w:tcPr>
          <w:p w14:paraId="331C1135"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56CCECC7"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0EA475EC"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564C9A3A"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）粒装、块状物料应储存于封闭料场中，并采取喷淋、清扫或其他有效抑尘措施；</w:t>
            </w:r>
          </w:p>
        </w:tc>
        <w:tc>
          <w:tcPr>
            <w:tcW w:w="559" w:type="pct"/>
            <w:vMerge/>
            <w:vAlign w:val="center"/>
          </w:tcPr>
          <w:p w14:paraId="53C58573"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5B9D7992" w14:textId="77777777" w:rsidR="00A73882" w:rsidRPr="00864A71" w:rsidRDefault="00A73882" w:rsidP="005F72AB">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厂区粒状物料主要为</w:t>
            </w:r>
            <w:r w:rsidR="005F72AB">
              <w:rPr>
                <w:rFonts w:asciiTheme="minorHAnsi" w:hAnsiTheme="minorHAnsi" w:hint="eastAsia"/>
                <w:szCs w:val="21"/>
              </w:rPr>
              <w:t>1010</w:t>
            </w:r>
            <w:r w:rsidR="005F72AB">
              <w:rPr>
                <w:rFonts w:asciiTheme="minorHAnsi" w:hAnsiTheme="minorHAnsi" w:hint="eastAsia"/>
                <w:szCs w:val="21"/>
              </w:rPr>
              <w:t>盐、</w:t>
            </w:r>
            <w:r w:rsidR="005F72AB">
              <w:rPr>
                <w:rFonts w:asciiTheme="minorHAnsi" w:hAnsiTheme="minorHAnsi"/>
                <w:szCs w:val="21"/>
              </w:rPr>
              <w:t>尼龙</w:t>
            </w:r>
            <w:r w:rsidR="005F72AB">
              <w:rPr>
                <w:rFonts w:asciiTheme="minorHAnsi" w:hAnsiTheme="minorHAnsi" w:hint="eastAsia"/>
                <w:szCs w:val="21"/>
              </w:rPr>
              <w:t>12</w:t>
            </w:r>
            <w:r w:rsidR="005F72AB">
              <w:rPr>
                <w:rFonts w:asciiTheme="minorHAnsi" w:hAnsiTheme="minorHAnsi" w:hint="eastAsia"/>
                <w:szCs w:val="21"/>
              </w:rPr>
              <w:t>盐及</w:t>
            </w:r>
            <w:r w:rsidR="005F72AB">
              <w:rPr>
                <w:rFonts w:asciiTheme="minorHAnsi" w:hAnsiTheme="minorHAnsi"/>
                <w:szCs w:val="21"/>
              </w:rPr>
              <w:t>成品</w:t>
            </w:r>
            <w:r w:rsidR="005F72AB">
              <w:rPr>
                <w:rFonts w:asciiTheme="minorHAnsi" w:hAnsiTheme="minorHAnsi" w:hint="eastAsia"/>
                <w:szCs w:val="21"/>
              </w:rPr>
              <w:t>透明</w:t>
            </w:r>
            <w:r w:rsidR="005F72AB">
              <w:rPr>
                <w:rFonts w:asciiTheme="minorHAnsi" w:hAnsiTheme="minorHAnsi"/>
                <w:szCs w:val="21"/>
              </w:rPr>
              <w:t>尼龙</w:t>
            </w:r>
            <w:r w:rsidR="005F72AB">
              <w:rPr>
                <w:rFonts w:asciiTheme="minorHAnsi" w:hAnsiTheme="minorHAnsi" w:hint="eastAsia"/>
                <w:szCs w:val="21"/>
              </w:rPr>
              <w:t>采用</w:t>
            </w:r>
            <w:r w:rsidR="005F72AB">
              <w:rPr>
                <w:rFonts w:asciiTheme="minorHAnsi" w:hAnsiTheme="minorHAnsi"/>
                <w:szCs w:val="21"/>
              </w:rPr>
              <w:t>袋装包装后</w:t>
            </w:r>
            <w:r w:rsidRPr="00864A71">
              <w:rPr>
                <w:rFonts w:asciiTheme="minorHAnsi" w:eastAsiaTheme="minorEastAsia" w:hAnsiTheme="minorHAnsi"/>
                <w:szCs w:val="21"/>
              </w:rPr>
              <w:t>储存于成品仓库中。</w:t>
            </w:r>
          </w:p>
        </w:tc>
        <w:tc>
          <w:tcPr>
            <w:tcW w:w="398" w:type="pct"/>
            <w:vAlign w:val="center"/>
          </w:tcPr>
          <w:p w14:paraId="434DCC5A"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76295231" w14:textId="77777777" w:rsidTr="00955092">
        <w:trPr>
          <w:trHeight w:val="395"/>
          <w:jc w:val="center"/>
        </w:trPr>
        <w:tc>
          <w:tcPr>
            <w:tcW w:w="398" w:type="pct"/>
            <w:vMerge/>
            <w:vAlign w:val="center"/>
          </w:tcPr>
          <w:p w14:paraId="5710EFFC"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3FD3800C"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2FE41C9C"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5D2A54C0"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3</w:t>
            </w:r>
            <w:r w:rsidRPr="00864A71">
              <w:rPr>
                <w:rFonts w:asciiTheme="minorHAnsi" w:eastAsiaTheme="minorEastAsia" w:hAnsiTheme="minorHAnsi"/>
                <w:szCs w:val="21"/>
              </w:rPr>
              <w:t>）袋装物料应储存于封闭</w:t>
            </w:r>
            <w:r w:rsidRPr="00864A71">
              <w:rPr>
                <w:rFonts w:asciiTheme="minorHAnsi" w:eastAsiaTheme="minorEastAsia" w:hAnsiTheme="minorHAnsi"/>
                <w:szCs w:val="21"/>
              </w:rPr>
              <w:t>/</w:t>
            </w:r>
            <w:r w:rsidRPr="00864A71">
              <w:rPr>
                <w:rFonts w:asciiTheme="minorHAnsi" w:eastAsiaTheme="minorEastAsia" w:hAnsiTheme="minorHAnsi"/>
                <w:szCs w:val="21"/>
              </w:rPr>
              <w:t>半封闭料场中；</w:t>
            </w:r>
          </w:p>
        </w:tc>
        <w:tc>
          <w:tcPr>
            <w:tcW w:w="559" w:type="pct"/>
            <w:vMerge/>
            <w:vAlign w:val="center"/>
          </w:tcPr>
          <w:p w14:paraId="3C023FEA"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3D5AB8A5"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hint="eastAsia"/>
                <w:szCs w:val="21"/>
              </w:rPr>
              <w:t>原料</w:t>
            </w:r>
            <w:r w:rsidRPr="00864A71">
              <w:rPr>
                <w:rFonts w:asciiTheme="minorHAnsi" w:hAnsiTheme="minorHAnsi" w:hint="eastAsia"/>
                <w:szCs w:val="21"/>
              </w:rPr>
              <w:t>1010</w:t>
            </w:r>
            <w:r w:rsidRPr="00864A71">
              <w:rPr>
                <w:rFonts w:asciiTheme="minorHAnsi" w:hAnsiTheme="minorHAnsi" w:hint="eastAsia"/>
                <w:szCs w:val="21"/>
              </w:rPr>
              <w:t>盐、尼龙</w:t>
            </w:r>
            <w:r w:rsidRPr="00864A71">
              <w:rPr>
                <w:rFonts w:asciiTheme="minorHAnsi" w:hAnsiTheme="minorHAnsi" w:hint="eastAsia"/>
                <w:szCs w:val="21"/>
              </w:rPr>
              <w:t>12</w:t>
            </w:r>
            <w:r w:rsidRPr="00864A71">
              <w:rPr>
                <w:rFonts w:asciiTheme="minorHAnsi" w:hAnsiTheme="minorHAnsi" w:hint="eastAsia"/>
                <w:szCs w:val="21"/>
              </w:rPr>
              <w:t>盐及次磷酸钠</w:t>
            </w:r>
            <w:r>
              <w:rPr>
                <w:rFonts w:asciiTheme="minorHAnsi" w:hAnsiTheme="minorHAnsi" w:hint="eastAsia"/>
                <w:szCs w:val="21"/>
              </w:rPr>
              <w:t>以</w:t>
            </w:r>
            <w:r w:rsidRPr="00864A71">
              <w:rPr>
                <w:rFonts w:asciiTheme="minorHAnsi" w:hAnsiTheme="minorHAnsi"/>
                <w:szCs w:val="21"/>
              </w:rPr>
              <w:t>袋</w:t>
            </w:r>
            <w:r>
              <w:rPr>
                <w:rFonts w:asciiTheme="minorHAnsi" w:hAnsiTheme="minorHAnsi" w:hint="eastAsia"/>
                <w:szCs w:val="21"/>
              </w:rPr>
              <w:t>装</w:t>
            </w:r>
            <w:r w:rsidRPr="00864A71">
              <w:rPr>
                <w:rFonts w:asciiTheme="minorHAnsi" w:hAnsiTheme="minorHAnsi"/>
                <w:szCs w:val="21"/>
              </w:rPr>
              <w:t>形式储存于封闭仓库中。</w:t>
            </w:r>
          </w:p>
        </w:tc>
        <w:tc>
          <w:tcPr>
            <w:tcW w:w="398" w:type="pct"/>
            <w:vAlign w:val="center"/>
          </w:tcPr>
          <w:p w14:paraId="5C6A541A"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35700F42" w14:textId="77777777" w:rsidTr="00955092">
        <w:trPr>
          <w:trHeight w:val="414"/>
          <w:jc w:val="center"/>
        </w:trPr>
        <w:tc>
          <w:tcPr>
            <w:tcW w:w="398" w:type="pct"/>
            <w:vMerge/>
            <w:vAlign w:val="center"/>
          </w:tcPr>
          <w:p w14:paraId="2A431F75"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6C1A9681"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530CCC3F"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2D04709E"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4</w:t>
            </w:r>
            <w:r w:rsidRPr="00864A71">
              <w:rPr>
                <w:rFonts w:asciiTheme="minorHAnsi" w:eastAsiaTheme="minorEastAsia" w:hAnsiTheme="minorHAnsi"/>
                <w:szCs w:val="21"/>
              </w:rPr>
              <w:t>）封闭料场顶棚和四周围墙完整，料场内路面全部硬化；</w:t>
            </w:r>
          </w:p>
        </w:tc>
        <w:tc>
          <w:tcPr>
            <w:tcW w:w="559" w:type="pct"/>
            <w:vMerge/>
            <w:vAlign w:val="center"/>
          </w:tcPr>
          <w:p w14:paraId="1E612E2C"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1135207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仓库顶棚和四周围墙完整，其内路面全部硬化</w:t>
            </w:r>
          </w:p>
        </w:tc>
        <w:tc>
          <w:tcPr>
            <w:tcW w:w="398" w:type="pct"/>
            <w:vAlign w:val="center"/>
          </w:tcPr>
          <w:p w14:paraId="3E2BE800"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58DDD6C7" w14:textId="77777777" w:rsidTr="00955092">
        <w:trPr>
          <w:trHeight w:val="704"/>
          <w:jc w:val="center"/>
        </w:trPr>
        <w:tc>
          <w:tcPr>
            <w:tcW w:w="398" w:type="pct"/>
            <w:vMerge/>
            <w:vAlign w:val="center"/>
          </w:tcPr>
          <w:p w14:paraId="270626DA"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320D44CD"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42152A83"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410CCCB7"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5</w:t>
            </w:r>
            <w:r w:rsidRPr="00864A71">
              <w:rPr>
                <w:rFonts w:asciiTheme="minorHAnsi" w:eastAsiaTheme="minorEastAsia" w:hAnsiTheme="minorHAnsi"/>
                <w:szCs w:val="21"/>
              </w:rPr>
              <w:t>）料场货物进出大门为硬质材料门或自动感应门，在确保安全的情况下，所有门窗保持常闭状态；</w:t>
            </w:r>
          </w:p>
        </w:tc>
        <w:tc>
          <w:tcPr>
            <w:tcW w:w="559" w:type="pct"/>
            <w:vMerge/>
            <w:vAlign w:val="center"/>
          </w:tcPr>
          <w:p w14:paraId="23165C41"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2BDDDFF0"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仓库货物进出大门为硬质材料门或自动感应门，在确保安全的情况下，所有门窗保持常闭状态</w:t>
            </w:r>
          </w:p>
        </w:tc>
        <w:tc>
          <w:tcPr>
            <w:tcW w:w="398" w:type="pct"/>
            <w:vAlign w:val="center"/>
          </w:tcPr>
          <w:p w14:paraId="79E4C81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46D6B16D" w14:textId="77777777" w:rsidTr="00955092">
        <w:trPr>
          <w:trHeight w:val="671"/>
          <w:jc w:val="center"/>
        </w:trPr>
        <w:tc>
          <w:tcPr>
            <w:tcW w:w="398" w:type="pct"/>
            <w:vMerge/>
            <w:vAlign w:val="center"/>
          </w:tcPr>
          <w:p w14:paraId="51856CD4"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06ACE75F"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3234DFA2"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31742591"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6</w:t>
            </w:r>
            <w:r w:rsidRPr="00864A71">
              <w:rPr>
                <w:rFonts w:asciiTheme="minorHAnsi" w:eastAsiaTheme="minorEastAsia" w:hAnsiTheme="minorHAnsi"/>
                <w:szCs w:val="21"/>
              </w:rPr>
              <w:t>）不产尘物料（如钢材、管件）及产品如露天储存应在规定的储存区域码放整齐。</w:t>
            </w:r>
          </w:p>
        </w:tc>
        <w:tc>
          <w:tcPr>
            <w:tcW w:w="559" w:type="pct"/>
            <w:vMerge/>
            <w:vAlign w:val="center"/>
          </w:tcPr>
          <w:p w14:paraId="4FD1EBBD"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434D971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本项目不涉及</w:t>
            </w:r>
          </w:p>
        </w:tc>
        <w:tc>
          <w:tcPr>
            <w:tcW w:w="398" w:type="pct"/>
            <w:vAlign w:val="center"/>
          </w:tcPr>
          <w:p w14:paraId="12AB0B21"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w:t>
            </w:r>
          </w:p>
        </w:tc>
      </w:tr>
      <w:tr w:rsidR="00A73882" w:rsidRPr="00864A71" w14:paraId="29969D88" w14:textId="77777777" w:rsidTr="00955092">
        <w:trPr>
          <w:trHeight w:val="422"/>
          <w:jc w:val="center"/>
        </w:trPr>
        <w:tc>
          <w:tcPr>
            <w:tcW w:w="398" w:type="pct"/>
            <w:vMerge/>
            <w:vAlign w:val="center"/>
          </w:tcPr>
          <w:p w14:paraId="35618488"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79261864"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45829D01"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3ECDFFC3"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7</w:t>
            </w:r>
            <w:r w:rsidRPr="00864A71">
              <w:rPr>
                <w:rFonts w:asciiTheme="minorHAnsi" w:eastAsiaTheme="minorEastAsia" w:hAnsiTheme="minorHAnsi"/>
                <w:szCs w:val="21"/>
              </w:rPr>
              <w:t>）应有符合规范要求的危险废物储存间，危险废物储存间门口应张贴标准规范的危险废物标识和危废信息板，建立台账并挂于危废间内，危险废物的记录和货单保存</w:t>
            </w:r>
            <w:r w:rsidRPr="00864A71">
              <w:rPr>
                <w:rFonts w:asciiTheme="minorHAnsi" w:eastAsiaTheme="minorEastAsia" w:hAnsiTheme="minorHAnsi"/>
                <w:szCs w:val="21"/>
              </w:rPr>
              <w:t>3</w:t>
            </w:r>
            <w:r w:rsidRPr="00864A71">
              <w:rPr>
                <w:rFonts w:asciiTheme="minorHAnsi" w:eastAsiaTheme="minorEastAsia" w:hAnsiTheme="minorHAnsi"/>
                <w:szCs w:val="21"/>
              </w:rPr>
              <w:t>年以上。危废间内禁止存放除危险废物和应急工具外的其他物品。</w:t>
            </w:r>
          </w:p>
        </w:tc>
        <w:tc>
          <w:tcPr>
            <w:tcW w:w="559" w:type="pct"/>
            <w:vMerge/>
            <w:vAlign w:val="center"/>
          </w:tcPr>
          <w:p w14:paraId="7FD9B1DB"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5D890C7A"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szCs w:val="21"/>
              </w:rPr>
              <w:t>厂区设置有</w:t>
            </w:r>
            <w:r>
              <w:rPr>
                <w:rFonts w:asciiTheme="minorHAnsi" w:hAnsiTheme="minorHAnsi"/>
                <w:szCs w:val="21"/>
              </w:rPr>
              <w:t>1</w:t>
            </w:r>
            <w:r w:rsidRPr="00864A71">
              <w:rPr>
                <w:rFonts w:asciiTheme="minorHAnsi" w:hAnsiTheme="minorHAnsi"/>
                <w:szCs w:val="21"/>
              </w:rPr>
              <w:t>个危险废物暂存间，危废暂存间应按要求建设，危险废物储存间门口应张贴标准规范的危险废物标识和危废信息板，建立台账并挂于危废间内，危险废物的记录和货单保存</w:t>
            </w:r>
            <w:r w:rsidRPr="00864A71">
              <w:rPr>
                <w:rFonts w:asciiTheme="minorHAnsi" w:hAnsiTheme="minorHAnsi"/>
                <w:szCs w:val="21"/>
              </w:rPr>
              <w:t>3</w:t>
            </w:r>
            <w:r w:rsidRPr="00864A71">
              <w:rPr>
                <w:rFonts w:asciiTheme="minorHAnsi" w:hAnsiTheme="minorHAnsi"/>
                <w:szCs w:val="21"/>
              </w:rPr>
              <w:t>年以上，危废间内禁止存放除危险废物和应急工具外的其他物品。</w:t>
            </w:r>
          </w:p>
        </w:tc>
        <w:tc>
          <w:tcPr>
            <w:tcW w:w="398" w:type="pct"/>
            <w:vAlign w:val="center"/>
          </w:tcPr>
          <w:p w14:paraId="6DB09024"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3C4B21B7" w14:textId="77777777" w:rsidTr="00955092">
        <w:trPr>
          <w:trHeight w:val="2880"/>
          <w:jc w:val="center"/>
        </w:trPr>
        <w:tc>
          <w:tcPr>
            <w:tcW w:w="398" w:type="pct"/>
            <w:vMerge/>
            <w:vAlign w:val="center"/>
          </w:tcPr>
          <w:p w14:paraId="122625FA"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5C8BAACE"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Align w:val="center"/>
          </w:tcPr>
          <w:p w14:paraId="75248982"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、物料转移和输送</w:t>
            </w:r>
          </w:p>
          <w:p w14:paraId="15BC36EA"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70937E0E"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）各环节粉状、粒状等易产尘物料厂内转运、输送过程应采用气力输送、密闭输送；</w:t>
            </w:r>
          </w:p>
          <w:p w14:paraId="6557D120"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）各环节块状和粘湿粉状物料采用封闭输送；</w:t>
            </w:r>
          </w:p>
          <w:p w14:paraId="74FEA425"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3</w:t>
            </w:r>
            <w:r w:rsidRPr="00864A71">
              <w:rPr>
                <w:rFonts w:asciiTheme="minorHAnsi" w:eastAsiaTheme="minorEastAsia" w:hAnsiTheme="minorHAnsi"/>
                <w:szCs w:val="21"/>
              </w:rPr>
              <w:t>）无法封闭的产尘点（物料转载、下料口等）应采取集气除尘措施，或有效抑尘措施。</w:t>
            </w:r>
          </w:p>
        </w:tc>
        <w:tc>
          <w:tcPr>
            <w:tcW w:w="559" w:type="pct"/>
            <w:vMerge/>
            <w:vAlign w:val="center"/>
          </w:tcPr>
          <w:p w14:paraId="67EC1261"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668A05A7" w14:textId="77777777" w:rsidR="00A73882" w:rsidRPr="00864A71" w:rsidRDefault="00A73882" w:rsidP="005F72AB">
            <w:pPr>
              <w:spacing w:line="360" w:lineRule="exact"/>
              <w:jc w:val="center"/>
              <w:rPr>
                <w:rFonts w:asciiTheme="minorHAnsi" w:hAnsiTheme="minorHAnsi"/>
                <w:szCs w:val="21"/>
              </w:rPr>
            </w:pPr>
            <w:r w:rsidRPr="00864A71">
              <w:rPr>
                <w:rFonts w:asciiTheme="minorHAnsi" w:hAnsiTheme="minorHAnsi"/>
                <w:szCs w:val="21"/>
              </w:rPr>
              <w:t>项目</w:t>
            </w:r>
            <w:r>
              <w:rPr>
                <w:rFonts w:asciiTheme="minorHAnsi" w:hAnsiTheme="minorHAnsi" w:hint="eastAsia"/>
                <w:szCs w:val="21"/>
              </w:rPr>
              <w:t>1010</w:t>
            </w:r>
            <w:r>
              <w:rPr>
                <w:rFonts w:asciiTheme="minorHAnsi" w:hAnsiTheme="minorHAnsi" w:hint="eastAsia"/>
                <w:szCs w:val="21"/>
              </w:rPr>
              <w:t>盐</w:t>
            </w:r>
            <w:r w:rsidR="005F72AB">
              <w:rPr>
                <w:rFonts w:asciiTheme="minorHAnsi" w:hAnsiTheme="minorHAnsi" w:hint="eastAsia"/>
                <w:szCs w:val="21"/>
              </w:rPr>
              <w:t>、</w:t>
            </w:r>
            <w:r>
              <w:rPr>
                <w:rFonts w:asciiTheme="minorHAnsi" w:hAnsiTheme="minorHAnsi"/>
                <w:szCs w:val="21"/>
              </w:rPr>
              <w:t>尼龙</w:t>
            </w:r>
            <w:r>
              <w:rPr>
                <w:rFonts w:asciiTheme="minorHAnsi" w:hAnsiTheme="minorHAnsi" w:hint="eastAsia"/>
                <w:szCs w:val="21"/>
              </w:rPr>
              <w:t>12</w:t>
            </w:r>
            <w:r>
              <w:rPr>
                <w:rFonts w:asciiTheme="minorHAnsi" w:hAnsiTheme="minorHAnsi" w:hint="eastAsia"/>
                <w:szCs w:val="21"/>
              </w:rPr>
              <w:t>盐</w:t>
            </w:r>
            <w:r w:rsidR="005F72AB">
              <w:rPr>
                <w:rFonts w:asciiTheme="minorHAnsi" w:hAnsiTheme="minorHAnsi" w:hint="eastAsia"/>
                <w:szCs w:val="21"/>
              </w:rPr>
              <w:t>、</w:t>
            </w:r>
            <w:r w:rsidR="005F72AB">
              <w:rPr>
                <w:rFonts w:asciiTheme="minorHAnsi" w:hAnsiTheme="minorHAnsi"/>
                <w:szCs w:val="21"/>
              </w:rPr>
              <w:t>次磷酸钠在厂区内</w:t>
            </w:r>
            <w:r w:rsidR="005F72AB">
              <w:rPr>
                <w:rFonts w:asciiTheme="minorHAnsi" w:hAnsiTheme="minorHAnsi" w:hint="eastAsia"/>
                <w:szCs w:val="21"/>
              </w:rPr>
              <w:t>转运</w:t>
            </w:r>
            <w:r w:rsidR="005F72AB">
              <w:rPr>
                <w:rFonts w:asciiTheme="minorHAnsi" w:hAnsiTheme="minorHAnsi"/>
                <w:szCs w:val="21"/>
              </w:rPr>
              <w:t>、输送均密闭输送</w:t>
            </w:r>
            <w:r>
              <w:rPr>
                <w:rFonts w:asciiTheme="minorHAnsi" w:hAnsiTheme="minorHAnsi" w:hint="eastAsia"/>
                <w:szCs w:val="21"/>
              </w:rPr>
              <w:t>，</w:t>
            </w:r>
            <w:r w:rsidRPr="00864A71">
              <w:rPr>
                <w:rFonts w:asciiTheme="minorHAnsi" w:hAnsiTheme="minorHAnsi"/>
                <w:szCs w:val="21"/>
              </w:rPr>
              <w:t>从聚合车间出来的</w:t>
            </w:r>
            <w:r w:rsidR="005F72AB">
              <w:rPr>
                <w:rFonts w:asciiTheme="minorHAnsi" w:hAnsiTheme="minorHAnsi" w:hint="eastAsia"/>
                <w:szCs w:val="21"/>
              </w:rPr>
              <w:t>产品透明</w:t>
            </w:r>
            <w:r w:rsidR="005F72AB">
              <w:rPr>
                <w:rFonts w:asciiTheme="minorHAnsi" w:hAnsiTheme="minorHAnsi"/>
                <w:szCs w:val="21"/>
              </w:rPr>
              <w:t>尼龙</w:t>
            </w:r>
            <w:r w:rsidRPr="00864A71">
              <w:rPr>
                <w:rFonts w:asciiTheme="minorHAnsi" w:hAnsiTheme="minorHAnsi"/>
                <w:szCs w:val="21"/>
              </w:rPr>
              <w:t>通过</w:t>
            </w:r>
            <w:r>
              <w:rPr>
                <w:rFonts w:asciiTheme="minorHAnsi" w:hAnsiTheme="minorHAnsi" w:hint="eastAsia"/>
                <w:szCs w:val="21"/>
              </w:rPr>
              <w:t>密闭管道</w:t>
            </w:r>
            <w:r w:rsidRPr="00864A71">
              <w:rPr>
                <w:rFonts w:asciiTheme="minorHAnsi" w:hAnsiTheme="minorHAnsi"/>
                <w:szCs w:val="21"/>
              </w:rPr>
              <w:t>输送至成品料仓内，封闭输送。</w:t>
            </w:r>
          </w:p>
        </w:tc>
        <w:tc>
          <w:tcPr>
            <w:tcW w:w="398" w:type="pct"/>
            <w:vAlign w:val="center"/>
          </w:tcPr>
          <w:p w14:paraId="5807BF84"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20E98E0E" w14:textId="77777777" w:rsidTr="00955092">
        <w:trPr>
          <w:trHeight w:val="412"/>
          <w:jc w:val="center"/>
        </w:trPr>
        <w:tc>
          <w:tcPr>
            <w:tcW w:w="398" w:type="pct"/>
            <w:vMerge/>
            <w:vAlign w:val="center"/>
          </w:tcPr>
          <w:p w14:paraId="29593F80"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5FE5D90E"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restart"/>
            <w:vAlign w:val="center"/>
          </w:tcPr>
          <w:p w14:paraId="0FC4D9D6"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、成品</w:t>
            </w:r>
            <w:r w:rsidRPr="00864A71">
              <w:rPr>
                <w:rFonts w:asciiTheme="minorHAnsi" w:eastAsiaTheme="minorEastAsia" w:hAnsiTheme="minorHAnsi"/>
                <w:szCs w:val="21"/>
              </w:rPr>
              <w:lastRenderedPageBreak/>
              <w:t>包装</w:t>
            </w:r>
          </w:p>
        </w:tc>
        <w:tc>
          <w:tcPr>
            <w:tcW w:w="1782" w:type="pct"/>
            <w:gridSpan w:val="2"/>
            <w:vAlign w:val="center"/>
          </w:tcPr>
          <w:p w14:paraId="0DE5A1DD"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w:t>
            </w:r>
            <w:r w:rsidRPr="00864A71">
              <w:rPr>
                <w:rFonts w:asciiTheme="minorHAnsi" w:eastAsiaTheme="minorEastAsia" w:hAnsiTheme="minorHAnsi"/>
                <w:szCs w:val="21"/>
              </w:rPr>
              <w:t>1</w:t>
            </w:r>
            <w:r w:rsidRPr="00864A71">
              <w:rPr>
                <w:rFonts w:asciiTheme="minorHAnsi" w:eastAsiaTheme="minorEastAsia" w:hAnsiTheme="minorHAnsi"/>
                <w:szCs w:val="21"/>
              </w:rPr>
              <w:t>）装卸料口应完全封闭，如不能封闭应采取局部</w:t>
            </w:r>
            <w:r w:rsidRPr="00864A71">
              <w:rPr>
                <w:rFonts w:asciiTheme="minorHAnsi" w:eastAsiaTheme="minorEastAsia" w:hAnsiTheme="minorHAnsi"/>
                <w:szCs w:val="21"/>
              </w:rPr>
              <w:lastRenderedPageBreak/>
              <w:t>集气除尘措施；</w:t>
            </w:r>
          </w:p>
        </w:tc>
        <w:tc>
          <w:tcPr>
            <w:tcW w:w="559" w:type="pct"/>
            <w:vMerge/>
            <w:vAlign w:val="center"/>
          </w:tcPr>
          <w:p w14:paraId="3D7F5AD3"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59CC2BB0" w14:textId="77777777" w:rsidR="00A73882" w:rsidRPr="00864A71" w:rsidRDefault="00A73882" w:rsidP="001D6858">
            <w:pPr>
              <w:spacing w:line="360" w:lineRule="exact"/>
              <w:jc w:val="center"/>
              <w:rPr>
                <w:rFonts w:asciiTheme="minorHAnsi" w:eastAsiaTheme="minorEastAsia" w:hAnsiTheme="minorHAnsi"/>
                <w:szCs w:val="21"/>
              </w:rPr>
            </w:pPr>
            <w:r w:rsidRPr="00864A71">
              <w:rPr>
                <w:rFonts w:asciiTheme="minorHAnsi" w:hAnsiTheme="minorHAnsi"/>
                <w:szCs w:val="21"/>
              </w:rPr>
              <w:t>成品包装线采用封闭式自动包装间</w:t>
            </w:r>
            <w:r w:rsidRPr="00864A71">
              <w:rPr>
                <w:rFonts w:asciiTheme="minorHAnsi" w:hAnsiTheme="minorHAnsi"/>
                <w:szCs w:val="21"/>
              </w:rPr>
              <w:lastRenderedPageBreak/>
              <w:t>进行包装，</w:t>
            </w:r>
            <w:r w:rsidR="001D6858">
              <w:rPr>
                <w:rFonts w:asciiTheme="minorHAnsi" w:hAnsiTheme="minorHAnsi" w:hint="eastAsia"/>
                <w:szCs w:val="21"/>
              </w:rPr>
              <w:t>装卸料口</w:t>
            </w:r>
            <w:r w:rsidR="001D6858">
              <w:rPr>
                <w:rFonts w:asciiTheme="minorHAnsi" w:hAnsiTheme="minorHAnsi"/>
                <w:szCs w:val="21"/>
              </w:rPr>
              <w:t>完全封闭</w:t>
            </w:r>
          </w:p>
        </w:tc>
        <w:tc>
          <w:tcPr>
            <w:tcW w:w="398" w:type="pct"/>
            <w:vAlign w:val="center"/>
          </w:tcPr>
          <w:p w14:paraId="08B4F361"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lastRenderedPageBreak/>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lastRenderedPageBreak/>
              <w:t>级企业</w:t>
            </w:r>
            <w:r w:rsidRPr="00864A71">
              <w:rPr>
                <w:rFonts w:asciiTheme="minorHAnsi" w:hAnsiTheme="minorHAnsi"/>
              </w:rPr>
              <w:t>要求</w:t>
            </w:r>
          </w:p>
        </w:tc>
      </w:tr>
      <w:tr w:rsidR="00A73882" w:rsidRPr="00864A71" w14:paraId="3FC70B14" w14:textId="77777777" w:rsidTr="00955092">
        <w:trPr>
          <w:trHeight w:val="433"/>
          <w:jc w:val="center"/>
        </w:trPr>
        <w:tc>
          <w:tcPr>
            <w:tcW w:w="398" w:type="pct"/>
            <w:vMerge/>
            <w:vAlign w:val="center"/>
          </w:tcPr>
          <w:p w14:paraId="3AFB834E"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5DE92778"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549C0228"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000B9107"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）卸料口地面应及时清扫，地面无明显积尘。</w:t>
            </w:r>
          </w:p>
        </w:tc>
        <w:tc>
          <w:tcPr>
            <w:tcW w:w="559" w:type="pct"/>
            <w:vMerge/>
            <w:vAlign w:val="center"/>
          </w:tcPr>
          <w:p w14:paraId="56C75A83"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38E82A6F"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企业应对卸料口地面应及时清扫，地面无明显积尘。</w:t>
            </w:r>
          </w:p>
        </w:tc>
        <w:tc>
          <w:tcPr>
            <w:tcW w:w="398" w:type="pct"/>
            <w:vAlign w:val="center"/>
          </w:tcPr>
          <w:p w14:paraId="3DB0B971"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108ACD3C" w14:textId="77777777" w:rsidTr="00955092">
        <w:trPr>
          <w:trHeight w:val="821"/>
          <w:jc w:val="center"/>
        </w:trPr>
        <w:tc>
          <w:tcPr>
            <w:tcW w:w="398" w:type="pct"/>
            <w:vMerge/>
            <w:vAlign w:val="center"/>
          </w:tcPr>
          <w:p w14:paraId="5200CEBD"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040805A6"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restart"/>
            <w:vAlign w:val="center"/>
          </w:tcPr>
          <w:p w14:paraId="42CD74BE"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5</w:t>
            </w:r>
            <w:r w:rsidRPr="00864A71">
              <w:rPr>
                <w:rFonts w:asciiTheme="minorHAnsi" w:eastAsiaTheme="minorEastAsia" w:hAnsiTheme="minorHAnsi"/>
                <w:szCs w:val="21"/>
              </w:rPr>
              <w:t>、工艺过程</w:t>
            </w:r>
          </w:p>
        </w:tc>
        <w:tc>
          <w:tcPr>
            <w:tcW w:w="1782" w:type="pct"/>
            <w:gridSpan w:val="2"/>
            <w:vAlign w:val="center"/>
          </w:tcPr>
          <w:p w14:paraId="5F0462C8"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）各种物料破碎、筛分、配料、混料等过程应在封闭厂房内进行，并采取局部收尘</w:t>
            </w:r>
            <w:r w:rsidRPr="00864A71">
              <w:rPr>
                <w:rFonts w:asciiTheme="minorHAnsi" w:eastAsiaTheme="minorEastAsia" w:hAnsiTheme="minorHAnsi"/>
                <w:szCs w:val="21"/>
              </w:rPr>
              <w:t>/</w:t>
            </w:r>
            <w:r w:rsidRPr="00864A71">
              <w:rPr>
                <w:rFonts w:asciiTheme="minorHAnsi" w:eastAsiaTheme="minorEastAsia" w:hAnsiTheme="minorHAnsi"/>
                <w:szCs w:val="21"/>
              </w:rPr>
              <w:t>抑尘措施；</w:t>
            </w:r>
          </w:p>
        </w:tc>
        <w:tc>
          <w:tcPr>
            <w:tcW w:w="559" w:type="pct"/>
            <w:vMerge/>
            <w:vAlign w:val="center"/>
          </w:tcPr>
          <w:p w14:paraId="464E709E"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Merge w:val="restart"/>
            <w:vAlign w:val="center"/>
          </w:tcPr>
          <w:p w14:paraId="4A432EB2" w14:textId="77777777" w:rsidR="00A73882" w:rsidRPr="00955092" w:rsidRDefault="00955092" w:rsidP="001A4912">
            <w:pPr>
              <w:spacing w:line="360" w:lineRule="exact"/>
            </w:pPr>
            <w:r w:rsidRPr="001A4912">
              <w:rPr>
                <w:rFonts w:asciiTheme="minorHAnsi" w:eastAsiaTheme="minorEastAsia" w:hAnsiTheme="minorHAnsi" w:hint="eastAsia"/>
                <w:szCs w:val="21"/>
              </w:rPr>
              <w:t>1</w:t>
            </w:r>
            <w:r w:rsidRPr="001A4912">
              <w:rPr>
                <w:rFonts w:asciiTheme="minorHAnsi" w:eastAsiaTheme="minorEastAsia" w:hAnsiTheme="minorHAnsi" w:hint="eastAsia"/>
                <w:szCs w:val="21"/>
              </w:rPr>
              <w:t>、</w:t>
            </w:r>
            <w:r w:rsidR="00A73882" w:rsidRPr="001A4912">
              <w:rPr>
                <w:rFonts w:asciiTheme="minorHAnsi" w:eastAsiaTheme="minorEastAsia" w:hAnsiTheme="minorHAnsi" w:hint="eastAsia"/>
                <w:szCs w:val="21"/>
              </w:rPr>
              <w:t>本项目配料</w:t>
            </w:r>
            <w:r w:rsidR="00A73882" w:rsidRPr="001A4912">
              <w:rPr>
                <w:rFonts w:asciiTheme="minorHAnsi" w:eastAsiaTheme="minorEastAsia" w:hAnsiTheme="minorHAnsi"/>
                <w:szCs w:val="21"/>
              </w:rPr>
              <w:t>混料过程在密闭车间内进行；</w:t>
            </w:r>
            <w:r w:rsidR="00A73882" w:rsidRPr="001A4912">
              <w:rPr>
                <w:rFonts w:asciiTheme="minorHAnsi" w:eastAsiaTheme="minorEastAsia" w:hAnsiTheme="minorHAnsi" w:hint="eastAsia"/>
                <w:szCs w:val="21"/>
              </w:rPr>
              <w:t>本项目</w:t>
            </w:r>
            <w:r w:rsidR="00A73882" w:rsidRPr="001A4912">
              <w:rPr>
                <w:rFonts w:asciiTheme="minorHAnsi" w:eastAsiaTheme="minorEastAsia" w:hAnsiTheme="minorHAnsi"/>
                <w:szCs w:val="21"/>
              </w:rPr>
              <w:t>不涉及破碎筛分</w:t>
            </w:r>
            <w:r w:rsidR="00A73882" w:rsidRPr="001A4912">
              <w:rPr>
                <w:rFonts w:asciiTheme="minorHAnsi" w:eastAsiaTheme="minorEastAsia" w:hAnsiTheme="minorHAnsi" w:hint="eastAsia"/>
                <w:szCs w:val="21"/>
              </w:rPr>
              <w:t>、</w:t>
            </w:r>
            <w:r w:rsidR="00A73882" w:rsidRPr="001A4912">
              <w:rPr>
                <w:rFonts w:asciiTheme="minorHAnsi" w:eastAsiaTheme="minorEastAsia" w:hAnsiTheme="minorHAnsi"/>
                <w:szCs w:val="21"/>
              </w:rPr>
              <w:t>割、打磨、抛光等过程</w:t>
            </w:r>
            <w:r w:rsidR="009E132E" w:rsidRPr="001A4912">
              <w:rPr>
                <w:rFonts w:asciiTheme="minorHAnsi" w:eastAsiaTheme="minorEastAsia" w:hAnsiTheme="minorHAnsi" w:hint="eastAsia"/>
                <w:szCs w:val="21"/>
              </w:rPr>
              <w:t>；</w:t>
            </w:r>
            <w:r w:rsidR="009E132E">
              <w:rPr>
                <w:rFonts w:asciiTheme="minorHAnsi" w:eastAsiaTheme="minorEastAsia" w:hAnsiTheme="minorHAnsi" w:hint="eastAsia"/>
                <w:szCs w:val="21"/>
              </w:rPr>
              <w:t>干燥</w:t>
            </w:r>
            <w:r w:rsidR="00A73882">
              <w:rPr>
                <w:rFonts w:asciiTheme="minorHAnsi" w:eastAsiaTheme="minorEastAsia" w:hAnsiTheme="minorHAnsi"/>
                <w:szCs w:val="21"/>
              </w:rPr>
              <w:t>、造粒等过程</w:t>
            </w:r>
            <w:r w:rsidR="00A73882" w:rsidRPr="00864A71">
              <w:rPr>
                <w:rFonts w:asciiTheme="minorHAnsi" w:eastAsiaTheme="minorEastAsia" w:hAnsiTheme="minorHAnsi"/>
                <w:szCs w:val="21"/>
              </w:rPr>
              <w:t>在密闭空间进行</w:t>
            </w:r>
            <w:r w:rsidR="00A73882">
              <w:rPr>
                <w:rFonts w:asciiTheme="minorHAnsi" w:eastAsiaTheme="minorEastAsia" w:hAnsiTheme="minorHAnsi" w:hint="eastAsia"/>
                <w:szCs w:val="21"/>
              </w:rPr>
              <w:t>。</w:t>
            </w:r>
            <w:r w:rsidR="00A73882" w:rsidRPr="00864A71">
              <w:rPr>
                <w:rFonts w:asciiTheme="minorHAnsi" w:eastAsiaTheme="minorEastAsia" w:hAnsiTheme="minorHAnsi"/>
                <w:szCs w:val="21"/>
              </w:rPr>
              <w:t>2</w:t>
            </w:r>
            <w:r w:rsidR="00A73882" w:rsidRPr="00864A71">
              <w:rPr>
                <w:rFonts w:asciiTheme="minorHAnsi" w:eastAsiaTheme="minorEastAsia" w:hAnsiTheme="minorHAnsi"/>
                <w:szCs w:val="21"/>
              </w:rPr>
              <w:t>、</w:t>
            </w:r>
            <w:r w:rsidR="00A73882" w:rsidRPr="001A4912">
              <w:rPr>
                <w:rFonts w:asciiTheme="minorHAnsi" w:eastAsiaTheme="minorEastAsia" w:hAnsiTheme="minorHAnsi"/>
                <w:szCs w:val="21"/>
              </w:rPr>
              <w:t>各生产工序的车间应保持地面干净，无积料、积灰现象。生产车间不得有可见烟粉尘外逸。</w:t>
            </w:r>
          </w:p>
        </w:tc>
        <w:tc>
          <w:tcPr>
            <w:tcW w:w="398" w:type="pct"/>
            <w:vMerge w:val="restart"/>
            <w:vAlign w:val="center"/>
          </w:tcPr>
          <w:p w14:paraId="0E633F94"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11FE3729" w14:textId="77777777" w:rsidTr="00955092">
        <w:trPr>
          <w:trHeight w:val="706"/>
          <w:jc w:val="center"/>
        </w:trPr>
        <w:tc>
          <w:tcPr>
            <w:tcW w:w="398" w:type="pct"/>
            <w:vMerge/>
            <w:vAlign w:val="center"/>
          </w:tcPr>
          <w:p w14:paraId="37F040AD"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16EE0A70"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45131925"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08B86B99"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）破碎筛分设备在进、出口和配料混料过程等产尘点应设置集气除尘设施；</w:t>
            </w:r>
          </w:p>
        </w:tc>
        <w:tc>
          <w:tcPr>
            <w:tcW w:w="559" w:type="pct"/>
            <w:vMerge/>
            <w:vAlign w:val="center"/>
          </w:tcPr>
          <w:p w14:paraId="2604872E"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Merge/>
            <w:vAlign w:val="center"/>
          </w:tcPr>
          <w:p w14:paraId="16C2A4D7" w14:textId="77777777" w:rsidR="00A73882" w:rsidRPr="00864A71" w:rsidRDefault="00A73882" w:rsidP="00CE7021">
            <w:pPr>
              <w:spacing w:line="360" w:lineRule="exact"/>
              <w:jc w:val="center"/>
              <w:rPr>
                <w:rFonts w:asciiTheme="minorHAnsi" w:eastAsiaTheme="minorEastAsia" w:hAnsiTheme="minorHAnsi"/>
                <w:szCs w:val="21"/>
              </w:rPr>
            </w:pPr>
          </w:p>
        </w:tc>
        <w:tc>
          <w:tcPr>
            <w:tcW w:w="398" w:type="pct"/>
            <w:vMerge/>
            <w:vAlign w:val="center"/>
          </w:tcPr>
          <w:p w14:paraId="443A7744"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06486FAA" w14:textId="77777777" w:rsidTr="00955092">
        <w:trPr>
          <w:trHeight w:val="688"/>
          <w:jc w:val="center"/>
        </w:trPr>
        <w:tc>
          <w:tcPr>
            <w:tcW w:w="398" w:type="pct"/>
            <w:vMerge/>
            <w:vAlign w:val="center"/>
          </w:tcPr>
          <w:p w14:paraId="6096CFFF"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14B65B02"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32CE0863"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25247B55"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3</w:t>
            </w:r>
            <w:r w:rsidRPr="00864A71">
              <w:rPr>
                <w:rFonts w:asciiTheme="minorHAnsi" w:eastAsiaTheme="minorEastAsia" w:hAnsiTheme="minorHAnsi"/>
                <w:szCs w:val="21"/>
              </w:rPr>
              <w:t>割、打磨、抛光等过程在封闭厂房内进行，具有收尘</w:t>
            </w:r>
            <w:r w:rsidRPr="00864A71">
              <w:rPr>
                <w:rFonts w:asciiTheme="minorHAnsi" w:eastAsiaTheme="minorEastAsia" w:hAnsiTheme="minorHAnsi"/>
                <w:szCs w:val="21"/>
              </w:rPr>
              <w:t>/</w:t>
            </w:r>
            <w:r w:rsidRPr="00864A71">
              <w:rPr>
                <w:rFonts w:asciiTheme="minorHAnsi" w:eastAsiaTheme="minorEastAsia" w:hAnsiTheme="minorHAnsi"/>
                <w:szCs w:val="21"/>
              </w:rPr>
              <w:t>抑尘措施；</w:t>
            </w:r>
          </w:p>
        </w:tc>
        <w:tc>
          <w:tcPr>
            <w:tcW w:w="559" w:type="pct"/>
            <w:vMerge/>
            <w:vAlign w:val="center"/>
          </w:tcPr>
          <w:p w14:paraId="039C3CA8"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Merge/>
            <w:vAlign w:val="center"/>
          </w:tcPr>
          <w:p w14:paraId="1BCFA52B" w14:textId="77777777" w:rsidR="00A73882" w:rsidRPr="00864A71" w:rsidRDefault="00A73882" w:rsidP="00CE7021">
            <w:pPr>
              <w:spacing w:line="360" w:lineRule="exact"/>
              <w:jc w:val="center"/>
              <w:rPr>
                <w:rFonts w:asciiTheme="minorHAnsi" w:eastAsiaTheme="minorEastAsia" w:hAnsiTheme="minorHAnsi"/>
                <w:szCs w:val="21"/>
              </w:rPr>
            </w:pPr>
          </w:p>
        </w:tc>
        <w:tc>
          <w:tcPr>
            <w:tcW w:w="398" w:type="pct"/>
            <w:vMerge/>
            <w:vAlign w:val="center"/>
          </w:tcPr>
          <w:p w14:paraId="08001593"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3F185F8E" w14:textId="77777777" w:rsidTr="00955092">
        <w:trPr>
          <w:trHeight w:val="386"/>
          <w:jc w:val="center"/>
        </w:trPr>
        <w:tc>
          <w:tcPr>
            <w:tcW w:w="398" w:type="pct"/>
            <w:vMerge/>
            <w:vAlign w:val="center"/>
          </w:tcPr>
          <w:p w14:paraId="23F07645"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5AF600AB"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2A848487"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38DCF1CE"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4</w:t>
            </w:r>
            <w:r w:rsidRPr="00864A71">
              <w:rPr>
                <w:rFonts w:asciiTheme="minorHAnsi" w:eastAsiaTheme="minorEastAsia" w:hAnsiTheme="minorHAnsi"/>
                <w:szCs w:val="21"/>
              </w:rPr>
              <w:t>）烘干、造粒等过程应在密闭空间进行，并有有收尘</w:t>
            </w:r>
            <w:r w:rsidRPr="00864A71">
              <w:rPr>
                <w:rFonts w:asciiTheme="minorHAnsi" w:eastAsiaTheme="minorEastAsia" w:hAnsiTheme="minorHAnsi"/>
                <w:szCs w:val="21"/>
              </w:rPr>
              <w:t>/</w:t>
            </w:r>
            <w:r w:rsidRPr="00864A71">
              <w:rPr>
                <w:rFonts w:asciiTheme="minorHAnsi" w:eastAsiaTheme="minorEastAsia" w:hAnsiTheme="minorHAnsi"/>
                <w:szCs w:val="21"/>
              </w:rPr>
              <w:t>抑尘措施；</w:t>
            </w:r>
          </w:p>
        </w:tc>
        <w:tc>
          <w:tcPr>
            <w:tcW w:w="559" w:type="pct"/>
            <w:vMerge/>
            <w:vAlign w:val="center"/>
          </w:tcPr>
          <w:p w14:paraId="0F353F9C"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Merge/>
            <w:vAlign w:val="center"/>
          </w:tcPr>
          <w:p w14:paraId="08D5FA00" w14:textId="77777777" w:rsidR="00A73882" w:rsidRPr="00864A71" w:rsidRDefault="00A73882" w:rsidP="00CE7021">
            <w:pPr>
              <w:spacing w:line="360" w:lineRule="exact"/>
              <w:jc w:val="center"/>
              <w:rPr>
                <w:rFonts w:asciiTheme="minorHAnsi" w:eastAsiaTheme="minorEastAsia" w:hAnsiTheme="minorHAnsi"/>
                <w:szCs w:val="21"/>
              </w:rPr>
            </w:pPr>
          </w:p>
        </w:tc>
        <w:tc>
          <w:tcPr>
            <w:tcW w:w="398" w:type="pct"/>
            <w:vMerge/>
            <w:vAlign w:val="center"/>
          </w:tcPr>
          <w:p w14:paraId="13E47991"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502DF1A8" w14:textId="77777777" w:rsidTr="00955092">
        <w:trPr>
          <w:trHeight w:val="420"/>
          <w:jc w:val="center"/>
        </w:trPr>
        <w:tc>
          <w:tcPr>
            <w:tcW w:w="398" w:type="pct"/>
            <w:vMerge/>
            <w:vAlign w:val="center"/>
          </w:tcPr>
          <w:p w14:paraId="2516A70D"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711356BE"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0DF399A2"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555990D3"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5</w:t>
            </w:r>
            <w:r w:rsidRPr="00864A71">
              <w:rPr>
                <w:rFonts w:asciiTheme="minorHAnsi" w:eastAsiaTheme="minorEastAsia" w:hAnsiTheme="minorHAnsi"/>
                <w:szCs w:val="21"/>
              </w:rPr>
              <w:t>）各生产工序的车间地面干净，无积料、积灰现象；</w:t>
            </w:r>
          </w:p>
        </w:tc>
        <w:tc>
          <w:tcPr>
            <w:tcW w:w="559" w:type="pct"/>
            <w:vMerge/>
            <w:vAlign w:val="center"/>
          </w:tcPr>
          <w:p w14:paraId="6815D899"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Merge/>
            <w:vAlign w:val="center"/>
          </w:tcPr>
          <w:p w14:paraId="29235FA4" w14:textId="77777777" w:rsidR="00A73882" w:rsidRPr="00864A71" w:rsidRDefault="00A73882" w:rsidP="00CE7021">
            <w:pPr>
              <w:spacing w:line="360" w:lineRule="exact"/>
              <w:jc w:val="center"/>
              <w:rPr>
                <w:rFonts w:asciiTheme="minorHAnsi" w:eastAsiaTheme="minorEastAsia" w:hAnsiTheme="minorHAnsi"/>
                <w:szCs w:val="21"/>
              </w:rPr>
            </w:pPr>
          </w:p>
        </w:tc>
        <w:tc>
          <w:tcPr>
            <w:tcW w:w="398" w:type="pct"/>
            <w:vMerge/>
            <w:vAlign w:val="center"/>
          </w:tcPr>
          <w:p w14:paraId="4D18EC4C"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68F7A2FA" w14:textId="77777777" w:rsidTr="00955092">
        <w:trPr>
          <w:trHeight w:val="399"/>
          <w:jc w:val="center"/>
        </w:trPr>
        <w:tc>
          <w:tcPr>
            <w:tcW w:w="398" w:type="pct"/>
            <w:vMerge/>
            <w:vAlign w:val="center"/>
          </w:tcPr>
          <w:p w14:paraId="0D9C8FE7"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4A494A8A"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78BD5DC1"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13C2BC36"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6</w:t>
            </w:r>
            <w:r w:rsidRPr="00864A71">
              <w:rPr>
                <w:rFonts w:asciiTheme="minorHAnsi" w:eastAsiaTheme="minorEastAsia" w:hAnsiTheme="minorHAnsi"/>
                <w:szCs w:val="21"/>
              </w:rPr>
              <w:t>）生产车间不得有可见烟粉尘外逸。</w:t>
            </w:r>
          </w:p>
        </w:tc>
        <w:tc>
          <w:tcPr>
            <w:tcW w:w="559" w:type="pct"/>
            <w:vMerge/>
            <w:vAlign w:val="center"/>
          </w:tcPr>
          <w:p w14:paraId="30BB2A47"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Merge/>
            <w:vAlign w:val="center"/>
          </w:tcPr>
          <w:p w14:paraId="1751A449" w14:textId="77777777" w:rsidR="00A73882" w:rsidRPr="00864A71" w:rsidRDefault="00A73882" w:rsidP="00CE7021">
            <w:pPr>
              <w:spacing w:line="360" w:lineRule="exact"/>
              <w:jc w:val="center"/>
              <w:rPr>
                <w:rFonts w:asciiTheme="minorHAnsi" w:eastAsiaTheme="minorEastAsia" w:hAnsiTheme="minorHAnsi"/>
                <w:szCs w:val="21"/>
              </w:rPr>
            </w:pPr>
          </w:p>
        </w:tc>
        <w:tc>
          <w:tcPr>
            <w:tcW w:w="398" w:type="pct"/>
            <w:vMerge/>
            <w:vAlign w:val="center"/>
          </w:tcPr>
          <w:p w14:paraId="32184ABB"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48D848DA" w14:textId="77777777" w:rsidTr="00955092">
        <w:trPr>
          <w:trHeight w:val="419"/>
          <w:jc w:val="center"/>
        </w:trPr>
        <w:tc>
          <w:tcPr>
            <w:tcW w:w="398" w:type="pct"/>
            <w:vMerge/>
            <w:vAlign w:val="center"/>
          </w:tcPr>
          <w:p w14:paraId="7F342FC0"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1018DE47"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restart"/>
            <w:vAlign w:val="center"/>
          </w:tcPr>
          <w:p w14:paraId="2513F148"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6</w:t>
            </w:r>
            <w:r w:rsidRPr="00864A71">
              <w:rPr>
                <w:rFonts w:asciiTheme="minorHAnsi" w:eastAsiaTheme="minorEastAsia" w:hAnsiTheme="minorHAnsi"/>
                <w:szCs w:val="21"/>
              </w:rPr>
              <w:t>、其他</w:t>
            </w:r>
          </w:p>
        </w:tc>
        <w:tc>
          <w:tcPr>
            <w:tcW w:w="1782" w:type="pct"/>
            <w:gridSpan w:val="2"/>
            <w:vAlign w:val="center"/>
          </w:tcPr>
          <w:p w14:paraId="091C266F"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）除尘器应封闭方式卸灰，不得直接卸落到地面；</w:t>
            </w:r>
          </w:p>
        </w:tc>
        <w:tc>
          <w:tcPr>
            <w:tcW w:w="559" w:type="pct"/>
            <w:vMerge/>
            <w:vAlign w:val="center"/>
          </w:tcPr>
          <w:p w14:paraId="17FB2A8C"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199BF582" w14:textId="77777777" w:rsidR="00A73882" w:rsidRPr="00864A71" w:rsidRDefault="009E132E" w:rsidP="009E132E">
            <w:pPr>
              <w:spacing w:line="360" w:lineRule="exact"/>
              <w:jc w:val="center"/>
              <w:rPr>
                <w:rFonts w:asciiTheme="minorHAnsi" w:eastAsiaTheme="minorEastAsia" w:hAnsiTheme="minorHAnsi"/>
                <w:szCs w:val="21"/>
              </w:rPr>
            </w:pPr>
            <w:r>
              <w:rPr>
                <w:rFonts w:asciiTheme="minorHAnsi" w:eastAsiaTheme="minorEastAsia" w:hAnsiTheme="minorHAnsi" w:hint="eastAsia"/>
                <w:szCs w:val="21"/>
              </w:rPr>
              <w:t>不涉及</w:t>
            </w:r>
          </w:p>
        </w:tc>
        <w:tc>
          <w:tcPr>
            <w:tcW w:w="398" w:type="pct"/>
            <w:vMerge w:val="restart"/>
            <w:vAlign w:val="center"/>
          </w:tcPr>
          <w:p w14:paraId="0F263BFE"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0EE7E76D" w14:textId="77777777" w:rsidTr="00955092">
        <w:trPr>
          <w:trHeight w:val="1130"/>
          <w:jc w:val="center"/>
        </w:trPr>
        <w:tc>
          <w:tcPr>
            <w:tcW w:w="398" w:type="pct"/>
            <w:vMerge/>
            <w:vAlign w:val="center"/>
          </w:tcPr>
          <w:p w14:paraId="2C6FBB46"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55702B5E"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4B3CA52A"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70992B4D"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）厂区内道路、原辅材料和燃料堆场等路面应硬化。厂区内道路采取定期清扫、洒水等措施，保持清洁，路面无明显可见积尘。其他未利用地优先绿化，或进行硬化，无成片裸露土地。</w:t>
            </w:r>
          </w:p>
        </w:tc>
        <w:tc>
          <w:tcPr>
            <w:tcW w:w="559" w:type="pct"/>
            <w:vMerge/>
            <w:vAlign w:val="center"/>
          </w:tcPr>
          <w:p w14:paraId="3F1F0A28"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24D56AA3" w14:textId="77777777" w:rsidR="00A73882" w:rsidRPr="00864A71" w:rsidRDefault="00A73882" w:rsidP="001A4912">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厂区内道路、原辅材料和仓库等应按照要求对路面应硬化。厂区内道路采取定期清扫、洒水等措施，保持清洁，路面无明显可见积尘。其</w:t>
            </w:r>
            <w:r w:rsidRPr="00864A71">
              <w:rPr>
                <w:rFonts w:asciiTheme="minorHAnsi" w:eastAsiaTheme="minorEastAsia" w:hAnsiTheme="minorHAnsi"/>
                <w:szCs w:val="21"/>
              </w:rPr>
              <w:lastRenderedPageBreak/>
              <w:t>他未利用地优先绿化，或进行硬化，无成片裸露土地。</w:t>
            </w:r>
          </w:p>
        </w:tc>
        <w:tc>
          <w:tcPr>
            <w:tcW w:w="398" w:type="pct"/>
            <w:vMerge/>
            <w:vAlign w:val="center"/>
          </w:tcPr>
          <w:p w14:paraId="2A68BB58"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4D09FF6C" w14:textId="77777777" w:rsidTr="00955092">
        <w:trPr>
          <w:trHeight w:val="836"/>
          <w:jc w:val="center"/>
        </w:trPr>
        <w:tc>
          <w:tcPr>
            <w:tcW w:w="398" w:type="pct"/>
            <w:vMerge/>
            <w:vAlign w:val="center"/>
          </w:tcPr>
          <w:p w14:paraId="71A60CDF"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restart"/>
            <w:vAlign w:val="center"/>
          </w:tcPr>
          <w:p w14:paraId="0A48C3C5"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二、涉</w:t>
            </w:r>
            <w:r w:rsidRPr="00864A71">
              <w:rPr>
                <w:rFonts w:asciiTheme="minorHAnsi" w:eastAsiaTheme="minorEastAsia" w:hAnsiTheme="minorHAnsi"/>
                <w:szCs w:val="21"/>
              </w:rPr>
              <w:t>VOCs</w:t>
            </w:r>
            <w:r w:rsidRPr="00864A71">
              <w:rPr>
                <w:rFonts w:asciiTheme="minorHAnsi" w:eastAsiaTheme="minorEastAsia" w:hAnsiTheme="minorHAnsi"/>
                <w:szCs w:val="21"/>
              </w:rPr>
              <w:t>类</w:t>
            </w:r>
          </w:p>
        </w:tc>
        <w:tc>
          <w:tcPr>
            <w:tcW w:w="348" w:type="pct"/>
            <w:vMerge w:val="restart"/>
            <w:vAlign w:val="center"/>
          </w:tcPr>
          <w:p w14:paraId="248B20AE"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、物料储存</w:t>
            </w:r>
          </w:p>
        </w:tc>
        <w:tc>
          <w:tcPr>
            <w:tcW w:w="1782" w:type="pct"/>
            <w:gridSpan w:val="2"/>
            <w:vAlign w:val="center"/>
          </w:tcPr>
          <w:p w14:paraId="08716AF6"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）涂料、稀释剂、清洗剂等原辅材料密闭储存；</w:t>
            </w:r>
          </w:p>
        </w:tc>
        <w:tc>
          <w:tcPr>
            <w:tcW w:w="559" w:type="pct"/>
            <w:vMerge/>
            <w:vAlign w:val="center"/>
          </w:tcPr>
          <w:p w14:paraId="0221183E"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4AABB0D4" w14:textId="77777777" w:rsidR="00A73882" w:rsidRPr="00955092" w:rsidRDefault="00A73882" w:rsidP="00CE7021">
            <w:pPr>
              <w:spacing w:line="360" w:lineRule="exact"/>
              <w:rPr>
                <w:rFonts w:asciiTheme="minorHAnsi" w:hAnsiTheme="minorHAnsi"/>
                <w:szCs w:val="21"/>
              </w:rPr>
            </w:pPr>
            <w:r w:rsidRPr="00864A71">
              <w:rPr>
                <w:rFonts w:asciiTheme="minorHAnsi" w:hAnsiTheme="minorHAnsi"/>
                <w:szCs w:val="21"/>
              </w:rPr>
              <w:t>原料</w:t>
            </w:r>
            <w:r>
              <w:rPr>
                <w:rFonts w:asciiTheme="minorHAnsi" w:hAnsiTheme="minorHAnsi" w:hint="eastAsia"/>
                <w:szCs w:val="21"/>
              </w:rPr>
              <w:t>尼龙</w:t>
            </w:r>
            <w:r>
              <w:rPr>
                <w:rFonts w:asciiTheme="minorHAnsi" w:hAnsiTheme="minorHAnsi" w:hint="eastAsia"/>
                <w:szCs w:val="21"/>
              </w:rPr>
              <w:t>66</w:t>
            </w:r>
            <w:r>
              <w:rPr>
                <w:rFonts w:asciiTheme="minorHAnsi" w:hAnsiTheme="minorHAnsi" w:hint="eastAsia"/>
                <w:szCs w:val="21"/>
              </w:rPr>
              <w:t>盐</w:t>
            </w:r>
            <w:r>
              <w:rPr>
                <w:rFonts w:asciiTheme="minorHAnsi" w:hAnsiTheme="minorHAnsi"/>
                <w:szCs w:val="21"/>
              </w:rPr>
              <w:t>溶液及</w:t>
            </w:r>
            <w:r>
              <w:rPr>
                <w:rFonts w:asciiTheme="minorHAnsi" w:hAnsiTheme="minorHAnsi" w:hint="eastAsia"/>
                <w:szCs w:val="21"/>
              </w:rPr>
              <w:t>配料</w:t>
            </w:r>
            <w:r>
              <w:rPr>
                <w:rFonts w:asciiTheme="minorHAnsi" w:hAnsiTheme="minorHAnsi"/>
                <w:szCs w:val="21"/>
              </w:rPr>
              <w:t>完成后溶液均密闭储存。</w:t>
            </w:r>
          </w:p>
        </w:tc>
        <w:tc>
          <w:tcPr>
            <w:tcW w:w="398" w:type="pct"/>
            <w:vMerge w:val="restart"/>
            <w:vAlign w:val="center"/>
          </w:tcPr>
          <w:p w14:paraId="37AB9899"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31638759" w14:textId="77777777" w:rsidTr="00955092">
        <w:trPr>
          <w:trHeight w:val="836"/>
          <w:jc w:val="center"/>
        </w:trPr>
        <w:tc>
          <w:tcPr>
            <w:tcW w:w="398" w:type="pct"/>
            <w:vMerge/>
            <w:vAlign w:val="center"/>
          </w:tcPr>
          <w:p w14:paraId="1398A3E9"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61D4D4AB"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3CEF98B6"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4EC249DE"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）盛装过</w:t>
            </w:r>
            <w:r w:rsidRPr="00864A71">
              <w:rPr>
                <w:rFonts w:asciiTheme="minorHAnsi" w:eastAsiaTheme="minorEastAsia" w:hAnsiTheme="minorHAnsi"/>
                <w:szCs w:val="21"/>
              </w:rPr>
              <w:t>VOCs</w:t>
            </w:r>
            <w:r w:rsidRPr="00864A71">
              <w:rPr>
                <w:rFonts w:asciiTheme="minorHAnsi" w:eastAsiaTheme="minorEastAsia" w:hAnsiTheme="minorHAnsi"/>
                <w:szCs w:val="21"/>
              </w:rPr>
              <w:t>物料的包装容器、含</w:t>
            </w:r>
            <w:r w:rsidRPr="00864A71">
              <w:rPr>
                <w:rFonts w:asciiTheme="minorHAnsi" w:eastAsiaTheme="minorEastAsia" w:hAnsiTheme="minorHAnsi"/>
                <w:szCs w:val="21"/>
              </w:rPr>
              <w:t>VOCs</w:t>
            </w:r>
            <w:r w:rsidRPr="00864A71">
              <w:rPr>
                <w:rFonts w:asciiTheme="minorHAnsi" w:eastAsiaTheme="minorEastAsia" w:hAnsiTheme="minorHAnsi"/>
                <w:szCs w:val="21"/>
              </w:rPr>
              <w:t>废料（渣、液）、废吸收剂等通过加盖、封装等方式密闭储存；</w:t>
            </w:r>
          </w:p>
        </w:tc>
        <w:tc>
          <w:tcPr>
            <w:tcW w:w="559" w:type="pct"/>
            <w:vMerge/>
            <w:vAlign w:val="center"/>
          </w:tcPr>
          <w:p w14:paraId="0E98BBFE"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1470B9CC" w14:textId="77777777" w:rsidR="00A73882" w:rsidRPr="001A4912" w:rsidRDefault="00A73882" w:rsidP="001A4912">
            <w:pPr>
              <w:spacing w:line="360" w:lineRule="exact"/>
              <w:jc w:val="left"/>
              <w:rPr>
                <w:rFonts w:asciiTheme="minorHAnsi" w:hAnsiTheme="minorHAnsi"/>
                <w:szCs w:val="21"/>
              </w:rPr>
            </w:pPr>
            <w:r w:rsidRPr="00864A71">
              <w:rPr>
                <w:rFonts w:asciiTheme="minorHAnsi" w:hAnsiTheme="minorHAnsi"/>
                <w:szCs w:val="21"/>
              </w:rPr>
              <w:t>项目</w:t>
            </w:r>
            <w:r w:rsidR="009E132E">
              <w:rPr>
                <w:rFonts w:asciiTheme="minorHAnsi" w:hAnsiTheme="minorHAnsi" w:hint="eastAsia"/>
                <w:szCs w:val="21"/>
              </w:rPr>
              <w:t>尼龙</w:t>
            </w:r>
            <w:r w:rsidR="009E132E">
              <w:rPr>
                <w:rFonts w:asciiTheme="minorHAnsi" w:hAnsiTheme="minorHAnsi" w:hint="eastAsia"/>
                <w:szCs w:val="21"/>
              </w:rPr>
              <w:t>66</w:t>
            </w:r>
            <w:r w:rsidR="009E132E">
              <w:rPr>
                <w:rFonts w:asciiTheme="minorHAnsi" w:hAnsiTheme="minorHAnsi" w:hint="eastAsia"/>
                <w:szCs w:val="21"/>
              </w:rPr>
              <w:t>盐</w:t>
            </w:r>
            <w:r w:rsidR="009E132E">
              <w:rPr>
                <w:rFonts w:asciiTheme="minorHAnsi" w:hAnsiTheme="minorHAnsi"/>
                <w:szCs w:val="21"/>
              </w:rPr>
              <w:t>溶液</w:t>
            </w:r>
            <w:r w:rsidR="009E132E">
              <w:rPr>
                <w:rFonts w:asciiTheme="minorHAnsi" w:hAnsiTheme="minorHAnsi" w:hint="eastAsia"/>
                <w:szCs w:val="21"/>
              </w:rPr>
              <w:t>密闭</w:t>
            </w:r>
            <w:r w:rsidR="009E132E">
              <w:rPr>
                <w:rFonts w:asciiTheme="minorHAnsi" w:hAnsiTheme="minorHAnsi"/>
                <w:szCs w:val="21"/>
              </w:rPr>
              <w:t>储存</w:t>
            </w:r>
            <w:r w:rsidR="001A4912">
              <w:rPr>
                <w:rFonts w:asciiTheme="minorHAnsi" w:hAnsiTheme="minorHAnsi" w:hint="eastAsia"/>
                <w:szCs w:val="21"/>
              </w:rPr>
              <w:t>，</w:t>
            </w:r>
            <w:r w:rsidR="001A4912">
              <w:rPr>
                <w:rFonts w:asciiTheme="minorHAnsi" w:hAnsiTheme="minorHAnsi"/>
                <w:szCs w:val="21"/>
              </w:rPr>
              <w:t>生产车间循环喷淋池、真空泵循环水池</w:t>
            </w:r>
            <w:r w:rsidRPr="00864A71">
              <w:rPr>
                <w:rFonts w:asciiTheme="minorHAnsi" w:hAnsiTheme="minorHAnsi"/>
                <w:szCs w:val="21"/>
              </w:rPr>
              <w:t>等进行加盖密闭</w:t>
            </w:r>
          </w:p>
        </w:tc>
        <w:tc>
          <w:tcPr>
            <w:tcW w:w="398" w:type="pct"/>
            <w:vMerge/>
            <w:vAlign w:val="center"/>
          </w:tcPr>
          <w:p w14:paraId="43947544"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7F666A08" w14:textId="77777777" w:rsidTr="00955092">
        <w:trPr>
          <w:trHeight w:val="431"/>
          <w:jc w:val="center"/>
        </w:trPr>
        <w:tc>
          <w:tcPr>
            <w:tcW w:w="398" w:type="pct"/>
            <w:vMerge/>
            <w:vAlign w:val="center"/>
          </w:tcPr>
          <w:p w14:paraId="524C2C69"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4F509222"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610301F5"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4B6F0B84"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3</w:t>
            </w:r>
            <w:r w:rsidRPr="00864A71">
              <w:rPr>
                <w:rFonts w:asciiTheme="minorHAnsi" w:eastAsiaTheme="minorEastAsia" w:hAnsiTheme="minorHAnsi"/>
                <w:szCs w:val="21"/>
              </w:rPr>
              <w:t>）生产车间内涉</w:t>
            </w:r>
            <w:r w:rsidRPr="00864A71">
              <w:rPr>
                <w:rFonts w:asciiTheme="minorHAnsi" w:eastAsiaTheme="minorEastAsia" w:hAnsiTheme="minorHAnsi"/>
                <w:szCs w:val="21"/>
              </w:rPr>
              <w:t>VOCs</w:t>
            </w:r>
            <w:r w:rsidRPr="00864A71">
              <w:rPr>
                <w:rFonts w:asciiTheme="minorHAnsi" w:eastAsiaTheme="minorEastAsia" w:hAnsiTheme="minorHAnsi"/>
                <w:szCs w:val="21"/>
              </w:rPr>
              <w:t>物料应密闭储存；</w:t>
            </w:r>
          </w:p>
        </w:tc>
        <w:tc>
          <w:tcPr>
            <w:tcW w:w="559" w:type="pct"/>
            <w:vMerge/>
            <w:vAlign w:val="center"/>
          </w:tcPr>
          <w:p w14:paraId="7E1995ED"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3699902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生产车间内涉</w:t>
            </w:r>
            <w:r w:rsidRPr="00864A71">
              <w:rPr>
                <w:rFonts w:asciiTheme="minorHAnsi" w:eastAsiaTheme="minorEastAsia" w:hAnsiTheme="minorHAnsi"/>
                <w:szCs w:val="21"/>
              </w:rPr>
              <w:t>VOCs</w:t>
            </w:r>
            <w:r w:rsidRPr="00864A71">
              <w:rPr>
                <w:rFonts w:asciiTheme="minorHAnsi" w:eastAsiaTheme="minorEastAsia" w:hAnsiTheme="minorHAnsi"/>
                <w:szCs w:val="21"/>
              </w:rPr>
              <w:t>物料应密闭储存</w:t>
            </w:r>
          </w:p>
        </w:tc>
        <w:tc>
          <w:tcPr>
            <w:tcW w:w="398" w:type="pct"/>
            <w:vMerge/>
            <w:vAlign w:val="center"/>
          </w:tcPr>
          <w:p w14:paraId="3C3CB131"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3DF4FF85" w14:textId="77777777" w:rsidTr="00955092">
        <w:trPr>
          <w:trHeight w:val="692"/>
          <w:jc w:val="center"/>
        </w:trPr>
        <w:tc>
          <w:tcPr>
            <w:tcW w:w="398" w:type="pct"/>
            <w:vMerge/>
            <w:vAlign w:val="center"/>
          </w:tcPr>
          <w:p w14:paraId="16FEAED1"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43854FC8"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6C528CE9"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35F4BE02"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4</w:t>
            </w:r>
            <w:r w:rsidRPr="00864A71">
              <w:rPr>
                <w:rFonts w:asciiTheme="minorHAnsi" w:eastAsiaTheme="minorEastAsia" w:hAnsiTheme="minorHAnsi"/>
                <w:szCs w:val="21"/>
              </w:rPr>
              <w:t>）盛放挥发性有机液体的中间缓冲容器（中间罐、储槽、高位槽）等采用密闭集气治理；</w:t>
            </w:r>
          </w:p>
        </w:tc>
        <w:tc>
          <w:tcPr>
            <w:tcW w:w="559" w:type="pct"/>
            <w:vMerge/>
            <w:vAlign w:val="center"/>
          </w:tcPr>
          <w:p w14:paraId="092A13D8"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2E47F307"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盛放挥发性有机液体的中间缓冲容器（中间罐、储槽、高位槽）等采用密闭集气治理</w:t>
            </w:r>
          </w:p>
        </w:tc>
        <w:tc>
          <w:tcPr>
            <w:tcW w:w="398" w:type="pct"/>
            <w:vMerge/>
            <w:vAlign w:val="center"/>
          </w:tcPr>
          <w:p w14:paraId="194317CE"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5E4DA49C" w14:textId="77777777" w:rsidTr="00955092">
        <w:trPr>
          <w:trHeight w:val="836"/>
          <w:jc w:val="center"/>
        </w:trPr>
        <w:tc>
          <w:tcPr>
            <w:tcW w:w="398" w:type="pct"/>
            <w:vMerge/>
            <w:vAlign w:val="center"/>
          </w:tcPr>
          <w:p w14:paraId="7AFB684E"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19DD741F"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5FBC7F6F"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5D71ABAD"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5</w:t>
            </w:r>
            <w:r w:rsidRPr="00864A71">
              <w:rPr>
                <w:rFonts w:asciiTheme="minorHAnsi" w:eastAsiaTheme="minorEastAsia" w:hAnsiTheme="minorHAnsi"/>
                <w:szCs w:val="21"/>
              </w:rPr>
              <w:t>）挥发性有机储罐，管控参考《挥发性有机物无组织排放控制标准》（</w:t>
            </w:r>
            <w:r w:rsidRPr="00864A71">
              <w:rPr>
                <w:rFonts w:asciiTheme="minorHAnsi" w:eastAsiaTheme="minorEastAsia" w:hAnsiTheme="minorHAnsi"/>
                <w:szCs w:val="21"/>
              </w:rPr>
              <w:t>GB37822-2019</w:t>
            </w:r>
            <w:r w:rsidRPr="00864A71">
              <w:rPr>
                <w:rFonts w:asciiTheme="minorHAnsi" w:eastAsiaTheme="minorEastAsia" w:hAnsiTheme="minorHAnsi"/>
                <w:szCs w:val="21"/>
              </w:rPr>
              <w:t>）储罐特别控制要求。</w:t>
            </w:r>
          </w:p>
        </w:tc>
        <w:tc>
          <w:tcPr>
            <w:tcW w:w="559" w:type="pct"/>
            <w:vMerge/>
            <w:vAlign w:val="center"/>
          </w:tcPr>
          <w:p w14:paraId="6CD3EA54"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18D19A98" w14:textId="77777777" w:rsidR="00A73882" w:rsidRPr="00864A71" w:rsidRDefault="00A73882" w:rsidP="00CE7021">
            <w:pPr>
              <w:spacing w:line="360" w:lineRule="exact"/>
              <w:jc w:val="center"/>
              <w:rPr>
                <w:rFonts w:asciiTheme="minorHAnsi" w:eastAsiaTheme="minorEastAsia" w:hAnsiTheme="minorHAnsi"/>
                <w:szCs w:val="21"/>
              </w:rPr>
            </w:pPr>
            <w:r>
              <w:rPr>
                <w:rFonts w:asciiTheme="minorHAnsi" w:hAnsiTheme="minorHAnsi" w:hint="eastAsia"/>
                <w:szCs w:val="21"/>
              </w:rPr>
              <w:t>/</w:t>
            </w:r>
          </w:p>
        </w:tc>
        <w:tc>
          <w:tcPr>
            <w:tcW w:w="398" w:type="pct"/>
            <w:vMerge/>
            <w:vAlign w:val="center"/>
          </w:tcPr>
          <w:p w14:paraId="3C247948"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07D54776" w14:textId="77777777" w:rsidTr="00955092">
        <w:trPr>
          <w:trHeight w:val="836"/>
          <w:jc w:val="center"/>
        </w:trPr>
        <w:tc>
          <w:tcPr>
            <w:tcW w:w="398" w:type="pct"/>
            <w:vMerge/>
            <w:vAlign w:val="center"/>
          </w:tcPr>
          <w:p w14:paraId="63B0CC43"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10990D25"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5A9A0002"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60FF3613"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6</w:t>
            </w:r>
            <w:r w:rsidRPr="00864A71">
              <w:rPr>
                <w:rFonts w:asciiTheme="minorHAnsi" w:eastAsiaTheme="minorEastAsia" w:hAnsiTheme="minorHAnsi"/>
                <w:szCs w:val="21"/>
              </w:rPr>
              <w:t>）应有符合规范要求的危险废物储存间，危险废物储存间门口应张贴标准规范的危险废物标识和危废信息板，建立台账并挂于危废间内，危险废物的记录和货单保存</w:t>
            </w:r>
            <w:r w:rsidRPr="00864A71">
              <w:rPr>
                <w:rFonts w:asciiTheme="minorHAnsi" w:eastAsiaTheme="minorEastAsia" w:hAnsiTheme="minorHAnsi"/>
                <w:szCs w:val="21"/>
              </w:rPr>
              <w:t>3</w:t>
            </w:r>
            <w:r w:rsidRPr="00864A71">
              <w:rPr>
                <w:rFonts w:asciiTheme="minorHAnsi" w:eastAsiaTheme="minorEastAsia" w:hAnsiTheme="minorHAnsi"/>
                <w:szCs w:val="21"/>
              </w:rPr>
              <w:t>年以上。危废间内禁止存放除危险废物和应急工具外的其他物品。</w:t>
            </w:r>
          </w:p>
        </w:tc>
        <w:tc>
          <w:tcPr>
            <w:tcW w:w="559" w:type="pct"/>
            <w:vMerge/>
            <w:vAlign w:val="center"/>
          </w:tcPr>
          <w:p w14:paraId="39CA5F94"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23C18117"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按照要求建设危险废物储存间。</w:t>
            </w:r>
          </w:p>
        </w:tc>
        <w:tc>
          <w:tcPr>
            <w:tcW w:w="398" w:type="pct"/>
            <w:vMerge/>
            <w:vAlign w:val="center"/>
          </w:tcPr>
          <w:p w14:paraId="51821E67"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7EEE9575" w14:textId="77777777" w:rsidTr="00955092">
        <w:trPr>
          <w:trHeight w:val="836"/>
          <w:jc w:val="center"/>
        </w:trPr>
        <w:tc>
          <w:tcPr>
            <w:tcW w:w="398" w:type="pct"/>
            <w:vMerge/>
            <w:vAlign w:val="center"/>
          </w:tcPr>
          <w:p w14:paraId="1C233EE1"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0F2FFC62"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Align w:val="center"/>
          </w:tcPr>
          <w:p w14:paraId="3EF1E962"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、物料转移和输送</w:t>
            </w:r>
          </w:p>
        </w:tc>
        <w:tc>
          <w:tcPr>
            <w:tcW w:w="1782" w:type="pct"/>
            <w:gridSpan w:val="2"/>
            <w:vAlign w:val="center"/>
          </w:tcPr>
          <w:p w14:paraId="61932DC4"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）采用密闭管道或密闭容器等输送；</w:t>
            </w:r>
          </w:p>
          <w:p w14:paraId="664F97E2"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）工艺原因无法管道或密闭容器输送的，应对操作空间局部密闭或其他等效措施集气治理；</w:t>
            </w:r>
          </w:p>
        </w:tc>
        <w:tc>
          <w:tcPr>
            <w:tcW w:w="559" w:type="pct"/>
            <w:vMerge/>
            <w:vAlign w:val="center"/>
          </w:tcPr>
          <w:p w14:paraId="1682B795"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2FC999F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szCs w:val="21"/>
              </w:rPr>
              <w:t>厂区液体物料输送采用密闭管道输送。</w:t>
            </w:r>
          </w:p>
        </w:tc>
        <w:tc>
          <w:tcPr>
            <w:tcW w:w="398" w:type="pct"/>
            <w:vAlign w:val="center"/>
          </w:tcPr>
          <w:p w14:paraId="64251DA1"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5BB3E028" w14:textId="77777777" w:rsidTr="00955092">
        <w:trPr>
          <w:trHeight w:val="836"/>
          <w:jc w:val="center"/>
        </w:trPr>
        <w:tc>
          <w:tcPr>
            <w:tcW w:w="398" w:type="pct"/>
            <w:vMerge/>
            <w:vAlign w:val="center"/>
          </w:tcPr>
          <w:p w14:paraId="21E89FE5"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744AC75D"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restart"/>
            <w:vAlign w:val="center"/>
          </w:tcPr>
          <w:p w14:paraId="73CF3D4F"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、工艺过程</w:t>
            </w:r>
          </w:p>
        </w:tc>
        <w:tc>
          <w:tcPr>
            <w:tcW w:w="1782" w:type="pct"/>
            <w:gridSpan w:val="2"/>
            <w:vAlign w:val="center"/>
          </w:tcPr>
          <w:p w14:paraId="706FE9B8"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）原辅材料调配、使用（施胶、喷涂、干燥、染色、印刷等）、回收等过程采用密闭设备或在密闭空间内操作，废气收集处理；</w:t>
            </w:r>
          </w:p>
        </w:tc>
        <w:tc>
          <w:tcPr>
            <w:tcW w:w="559" w:type="pct"/>
            <w:vMerge/>
            <w:vAlign w:val="center"/>
          </w:tcPr>
          <w:p w14:paraId="106638F3"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3CA3748E"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szCs w:val="21"/>
              </w:rPr>
              <w:t>涉</w:t>
            </w:r>
            <w:r w:rsidRPr="00864A71">
              <w:rPr>
                <w:rFonts w:asciiTheme="minorHAnsi" w:hAnsiTheme="minorHAnsi"/>
                <w:szCs w:val="21"/>
              </w:rPr>
              <w:t>VOCs</w:t>
            </w:r>
            <w:r w:rsidRPr="00864A71">
              <w:rPr>
                <w:rFonts w:asciiTheme="minorHAnsi" w:hAnsiTheme="minorHAnsi"/>
                <w:szCs w:val="21"/>
              </w:rPr>
              <w:t>原料装卸、储存、转移和输送、工艺过程等环节的废气全部收集至</w:t>
            </w:r>
            <w:r w:rsidRPr="00864A71">
              <w:rPr>
                <w:rFonts w:asciiTheme="minorHAnsi" w:hAnsiTheme="minorHAnsi"/>
                <w:szCs w:val="21"/>
              </w:rPr>
              <w:t>VOCs</w:t>
            </w:r>
            <w:r w:rsidRPr="00864A71">
              <w:rPr>
                <w:rFonts w:asciiTheme="minorHAnsi" w:hAnsiTheme="minorHAnsi"/>
                <w:szCs w:val="21"/>
              </w:rPr>
              <w:t>处理系统。</w:t>
            </w:r>
          </w:p>
        </w:tc>
        <w:tc>
          <w:tcPr>
            <w:tcW w:w="398" w:type="pct"/>
            <w:vMerge w:val="restart"/>
            <w:vAlign w:val="center"/>
          </w:tcPr>
          <w:p w14:paraId="65BB40DA"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52D739E6" w14:textId="77777777" w:rsidTr="00955092">
        <w:trPr>
          <w:trHeight w:val="836"/>
          <w:jc w:val="center"/>
        </w:trPr>
        <w:tc>
          <w:tcPr>
            <w:tcW w:w="398" w:type="pct"/>
            <w:vMerge/>
            <w:vAlign w:val="center"/>
          </w:tcPr>
          <w:p w14:paraId="1EAB4D21"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2CBAA25D"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0EF3862E"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2F6F55A0"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w:t>
            </w:r>
            <w:r w:rsidRPr="00864A71">
              <w:rPr>
                <w:rFonts w:asciiTheme="minorHAnsi" w:eastAsiaTheme="minorEastAsia" w:hAnsiTheme="minorHAnsi"/>
                <w:szCs w:val="21"/>
              </w:rPr>
              <w:t>VOCs</w:t>
            </w:r>
            <w:r w:rsidRPr="00864A71">
              <w:rPr>
                <w:rFonts w:asciiTheme="minorHAnsi" w:eastAsiaTheme="minorEastAsia" w:hAnsiTheme="minorHAnsi"/>
                <w:szCs w:val="21"/>
              </w:rPr>
              <w:t>物料的反应、洗涤、过滤、蒸馏、精馏、卸料等过程采用密闭设备或在密闭空间内操作或局部集气收集处理；</w:t>
            </w:r>
          </w:p>
        </w:tc>
        <w:tc>
          <w:tcPr>
            <w:tcW w:w="559" w:type="pct"/>
            <w:vMerge/>
            <w:vAlign w:val="center"/>
          </w:tcPr>
          <w:p w14:paraId="5D349677"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457D4E0A"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VOCs</w:t>
            </w:r>
            <w:r w:rsidRPr="00864A71">
              <w:rPr>
                <w:rFonts w:asciiTheme="minorHAnsi" w:eastAsiaTheme="minorEastAsia" w:hAnsiTheme="minorHAnsi"/>
                <w:szCs w:val="21"/>
              </w:rPr>
              <w:t>物料的反应过程采用密闭设备。</w:t>
            </w:r>
          </w:p>
        </w:tc>
        <w:tc>
          <w:tcPr>
            <w:tcW w:w="398" w:type="pct"/>
            <w:vMerge/>
            <w:vAlign w:val="center"/>
          </w:tcPr>
          <w:p w14:paraId="7327A44E"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5DF12FFE" w14:textId="77777777" w:rsidTr="00955092">
        <w:trPr>
          <w:trHeight w:val="836"/>
          <w:jc w:val="center"/>
        </w:trPr>
        <w:tc>
          <w:tcPr>
            <w:tcW w:w="398" w:type="pct"/>
            <w:vMerge/>
            <w:vAlign w:val="center"/>
          </w:tcPr>
          <w:p w14:paraId="25D5063F"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785D629E"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319D4F65"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7AFBA33D"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3</w:t>
            </w:r>
            <w:r w:rsidRPr="00864A71">
              <w:rPr>
                <w:rFonts w:asciiTheme="minorHAnsi" w:eastAsiaTheme="minorEastAsia" w:hAnsiTheme="minorHAnsi"/>
                <w:szCs w:val="21"/>
              </w:rPr>
              <w:t>）其他涉</w:t>
            </w:r>
            <w:r w:rsidRPr="00864A71">
              <w:rPr>
                <w:rFonts w:asciiTheme="minorHAnsi" w:eastAsiaTheme="minorEastAsia" w:hAnsiTheme="minorHAnsi"/>
                <w:szCs w:val="21"/>
              </w:rPr>
              <w:t>VOCs</w:t>
            </w:r>
            <w:r w:rsidRPr="00864A71">
              <w:rPr>
                <w:rFonts w:asciiTheme="minorHAnsi" w:eastAsiaTheme="minorEastAsia" w:hAnsiTheme="minorHAnsi"/>
                <w:szCs w:val="21"/>
              </w:rPr>
              <w:t>工序过程密闭收集或集气罩收集处理。</w:t>
            </w:r>
          </w:p>
        </w:tc>
        <w:tc>
          <w:tcPr>
            <w:tcW w:w="559" w:type="pct"/>
            <w:vMerge/>
            <w:vAlign w:val="center"/>
          </w:tcPr>
          <w:p w14:paraId="22B25B4A"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2F64F0B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w:t>
            </w:r>
          </w:p>
        </w:tc>
        <w:tc>
          <w:tcPr>
            <w:tcW w:w="398" w:type="pct"/>
            <w:vMerge/>
            <w:vAlign w:val="center"/>
          </w:tcPr>
          <w:p w14:paraId="4E7447BE"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0A55C203" w14:textId="77777777" w:rsidTr="00955092">
        <w:trPr>
          <w:trHeight w:val="836"/>
          <w:jc w:val="center"/>
        </w:trPr>
        <w:tc>
          <w:tcPr>
            <w:tcW w:w="398" w:type="pct"/>
            <w:vMerge/>
            <w:vAlign w:val="center"/>
          </w:tcPr>
          <w:p w14:paraId="08CB19AA"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72A441EE"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restart"/>
            <w:vAlign w:val="center"/>
          </w:tcPr>
          <w:p w14:paraId="228249F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、其他</w:t>
            </w:r>
          </w:p>
        </w:tc>
        <w:tc>
          <w:tcPr>
            <w:tcW w:w="1782" w:type="pct"/>
            <w:gridSpan w:val="2"/>
            <w:vAlign w:val="center"/>
          </w:tcPr>
          <w:p w14:paraId="7B5D3291"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1</w:t>
            </w:r>
            <w:r w:rsidRPr="00864A71">
              <w:rPr>
                <w:rFonts w:asciiTheme="minorHAnsi" w:eastAsiaTheme="minorEastAsia" w:hAnsiTheme="minorHAnsi"/>
                <w:szCs w:val="21"/>
              </w:rPr>
              <w:t>）满足《挥发性有机物无组织排放控制标准》（</w:t>
            </w:r>
            <w:r w:rsidRPr="00864A71">
              <w:rPr>
                <w:rFonts w:asciiTheme="minorHAnsi" w:eastAsiaTheme="minorEastAsia" w:hAnsiTheme="minorHAnsi"/>
                <w:szCs w:val="21"/>
              </w:rPr>
              <w:t>GB37822-2019</w:t>
            </w:r>
            <w:r w:rsidRPr="00864A71">
              <w:rPr>
                <w:rFonts w:asciiTheme="minorHAnsi" w:eastAsiaTheme="minorEastAsia" w:hAnsiTheme="minorHAnsi"/>
                <w:szCs w:val="21"/>
              </w:rPr>
              <w:t>）要求；</w:t>
            </w:r>
          </w:p>
        </w:tc>
        <w:tc>
          <w:tcPr>
            <w:tcW w:w="559" w:type="pct"/>
            <w:vMerge/>
            <w:vAlign w:val="center"/>
          </w:tcPr>
          <w:p w14:paraId="4169E5B4"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169DFC24"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满足《挥发性有机物无组织排放控制标准》（</w:t>
            </w:r>
            <w:r w:rsidRPr="00864A71">
              <w:rPr>
                <w:rFonts w:asciiTheme="minorHAnsi" w:eastAsiaTheme="minorEastAsia" w:hAnsiTheme="minorHAnsi"/>
                <w:szCs w:val="21"/>
              </w:rPr>
              <w:t>GB37822-2019</w:t>
            </w:r>
            <w:r w:rsidRPr="00864A71">
              <w:rPr>
                <w:rFonts w:asciiTheme="minorHAnsi" w:eastAsiaTheme="minorEastAsia" w:hAnsiTheme="minorHAnsi"/>
                <w:szCs w:val="21"/>
              </w:rPr>
              <w:t>）要求；</w:t>
            </w:r>
          </w:p>
        </w:tc>
        <w:tc>
          <w:tcPr>
            <w:tcW w:w="398" w:type="pct"/>
            <w:vMerge w:val="restart"/>
            <w:vAlign w:val="center"/>
          </w:tcPr>
          <w:p w14:paraId="45DEAB13"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rPr>
              <w:t>A</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47D57B5F" w14:textId="77777777" w:rsidTr="00955092">
        <w:trPr>
          <w:trHeight w:val="836"/>
          <w:jc w:val="center"/>
        </w:trPr>
        <w:tc>
          <w:tcPr>
            <w:tcW w:w="398" w:type="pct"/>
            <w:vMerge/>
            <w:vAlign w:val="center"/>
          </w:tcPr>
          <w:p w14:paraId="170092DB" w14:textId="77777777" w:rsidR="00A73882" w:rsidRPr="00864A71" w:rsidRDefault="00A73882" w:rsidP="00CE7021">
            <w:pPr>
              <w:spacing w:line="360" w:lineRule="exact"/>
              <w:jc w:val="center"/>
              <w:rPr>
                <w:rFonts w:asciiTheme="minorHAnsi" w:eastAsiaTheme="minorEastAsia" w:hAnsiTheme="minorHAnsi"/>
                <w:szCs w:val="21"/>
              </w:rPr>
            </w:pPr>
          </w:p>
        </w:tc>
        <w:tc>
          <w:tcPr>
            <w:tcW w:w="266" w:type="pct"/>
            <w:vMerge/>
            <w:vAlign w:val="center"/>
          </w:tcPr>
          <w:p w14:paraId="0C0EA405" w14:textId="77777777" w:rsidR="00A73882" w:rsidRPr="00864A71" w:rsidRDefault="00A73882" w:rsidP="00CE7021">
            <w:pPr>
              <w:spacing w:line="360" w:lineRule="exact"/>
              <w:jc w:val="center"/>
              <w:rPr>
                <w:rFonts w:asciiTheme="minorHAnsi" w:eastAsiaTheme="minorEastAsia" w:hAnsiTheme="minorHAnsi"/>
                <w:szCs w:val="21"/>
              </w:rPr>
            </w:pPr>
          </w:p>
        </w:tc>
        <w:tc>
          <w:tcPr>
            <w:tcW w:w="348" w:type="pct"/>
            <w:vMerge/>
            <w:vAlign w:val="center"/>
          </w:tcPr>
          <w:p w14:paraId="28B6F9BB"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0E975154"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w:t>
            </w:r>
            <w:r w:rsidRPr="00864A71">
              <w:rPr>
                <w:rFonts w:asciiTheme="minorHAnsi" w:eastAsiaTheme="minorEastAsia" w:hAnsiTheme="minorHAnsi"/>
                <w:szCs w:val="21"/>
              </w:rPr>
              <w:t>2</w:t>
            </w:r>
            <w:r w:rsidRPr="00864A71">
              <w:rPr>
                <w:rFonts w:asciiTheme="minorHAnsi" w:eastAsiaTheme="minorEastAsia" w:hAnsiTheme="minorHAnsi"/>
                <w:szCs w:val="21"/>
              </w:rPr>
              <w:t>）厂区内道路、原辅材料和燃料堆场路面应硬化。厂区内道路采取定期清扫、洒水等措施，保持清洁、路面无明显可见积尘。其他未利用地优先绿化，或进行硬化，无成片裸露土地。</w:t>
            </w:r>
          </w:p>
        </w:tc>
        <w:tc>
          <w:tcPr>
            <w:tcW w:w="559" w:type="pct"/>
            <w:vMerge/>
            <w:vAlign w:val="center"/>
          </w:tcPr>
          <w:p w14:paraId="5E17C78D" w14:textId="77777777" w:rsidR="00A73882" w:rsidRPr="00864A71" w:rsidRDefault="00A73882" w:rsidP="00CE7021">
            <w:pPr>
              <w:spacing w:line="360" w:lineRule="exact"/>
              <w:jc w:val="center"/>
              <w:rPr>
                <w:rFonts w:asciiTheme="minorHAnsi" w:eastAsiaTheme="minorEastAsia" w:hAnsiTheme="minorHAnsi"/>
                <w:szCs w:val="21"/>
              </w:rPr>
            </w:pPr>
          </w:p>
        </w:tc>
        <w:tc>
          <w:tcPr>
            <w:tcW w:w="1249" w:type="pct"/>
            <w:vAlign w:val="center"/>
          </w:tcPr>
          <w:p w14:paraId="514F435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厂区内道路、原辅材料和燃料堆场路面应硬化。厂区内道路采取定期清扫、洒水等措施，保持清洁、路面无明显可见积尘。其他未利用地优先绿化，或进行硬化，无成片裸露土地。</w:t>
            </w:r>
          </w:p>
        </w:tc>
        <w:tc>
          <w:tcPr>
            <w:tcW w:w="398" w:type="pct"/>
            <w:vMerge/>
            <w:vAlign w:val="center"/>
          </w:tcPr>
          <w:p w14:paraId="68D82A23" w14:textId="77777777" w:rsidR="00A73882" w:rsidRPr="00864A71" w:rsidRDefault="00A73882" w:rsidP="00CE7021">
            <w:pPr>
              <w:spacing w:line="360" w:lineRule="exact"/>
              <w:jc w:val="center"/>
              <w:rPr>
                <w:rFonts w:asciiTheme="minorHAnsi" w:eastAsiaTheme="minorEastAsia" w:hAnsiTheme="minorHAnsi"/>
                <w:szCs w:val="21"/>
              </w:rPr>
            </w:pPr>
          </w:p>
        </w:tc>
      </w:tr>
      <w:tr w:rsidR="00A73882" w:rsidRPr="00864A71" w14:paraId="45FB0527" w14:textId="77777777" w:rsidTr="00955092">
        <w:trPr>
          <w:jc w:val="center"/>
        </w:trPr>
        <w:tc>
          <w:tcPr>
            <w:tcW w:w="1012" w:type="pct"/>
            <w:gridSpan w:val="3"/>
            <w:vAlign w:val="center"/>
          </w:tcPr>
          <w:p w14:paraId="63EAD29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污染治理技术</w:t>
            </w:r>
          </w:p>
        </w:tc>
        <w:tc>
          <w:tcPr>
            <w:tcW w:w="845" w:type="pct"/>
            <w:vAlign w:val="center"/>
          </w:tcPr>
          <w:p w14:paraId="429EA87A"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w:t>
            </w:r>
            <w:r w:rsidRPr="00864A71">
              <w:rPr>
                <w:rFonts w:asciiTheme="minorHAnsi" w:eastAsiaTheme="minorEastAsia" w:hAnsiTheme="minorHAnsi"/>
                <w:szCs w:val="21"/>
              </w:rPr>
              <w:t>PM</w:t>
            </w:r>
            <w:r w:rsidRPr="00864A71">
              <w:rPr>
                <w:rFonts w:asciiTheme="minorHAnsi" w:eastAsiaTheme="minorEastAsia" w:hAnsiTheme="minorHAnsi"/>
                <w:szCs w:val="21"/>
              </w:rPr>
              <w:t>治理采用覆膜滤袋、滤筒、湿式静电等高校除尘工艺；</w:t>
            </w:r>
          </w:p>
          <w:p w14:paraId="5BB2292F"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2</w:t>
            </w:r>
            <w:r w:rsidRPr="00864A71">
              <w:rPr>
                <w:rFonts w:asciiTheme="minorHAnsi" w:eastAsiaTheme="minorEastAsia" w:hAnsiTheme="minorHAnsi"/>
                <w:szCs w:val="21"/>
              </w:rPr>
              <w:t>、</w:t>
            </w:r>
            <w:r w:rsidRPr="00864A71">
              <w:rPr>
                <w:rFonts w:asciiTheme="minorHAnsi" w:eastAsiaTheme="minorEastAsia" w:hAnsiTheme="minorHAnsi"/>
                <w:szCs w:val="21"/>
              </w:rPr>
              <w:t>VOCs</w:t>
            </w:r>
            <w:r w:rsidRPr="00864A71">
              <w:rPr>
                <w:rFonts w:asciiTheme="minorHAnsi" w:eastAsiaTheme="minorEastAsia" w:hAnsiTheme="minorHAnsi"/>
                <w:szCs w:val="21"/>
              </w:rPr>
              <w:t>治理采用吸附</w:t>
            </w:r>
            <w:r w:rsidRPr="00864A71">
              <w:rPr>
                <w:rFonts w:asciiTheme="minorHAnsi" w:eastAsiaTheme="minorEastAsia" w:hAnsiTheme="minorHAnsi"/>
                <w:szCs w:val="21"/>
              </w:rPr>
              <w:t>+</w:t>
            </w:r>
            <w:r w:rsidRPr="00864A71">
              <w:rPr>
                <w:rFonts w:asciiTheme="minorHAnsi" w:eastAsiaTheme="minorEastAsia" w:hAnsiTheme="minorHAnsi"/>
                <w:szCs w:val="21"/>
              </w:rPr>
              <w:t>催化燃烧、燃烧（氧化）法、进入锅炉等；</w:t>
            </w:r>
          </w:p>
          <w:p w14:paraId="5CE2DA3F"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、异味治理采用吸附</w:t>
            </w:r>
            <w:r w:rsidRPr="00864A71">
              <w:rPr>
                <w:rFonts w:asciiTheme="minorHAnsi" w:eastAsiaTheme="minorEastAsia" w:hAnsiTheme="minorHAnsi"/>
                <w:szCs w:val="21"/>
              </w:rPr>
              <w:t>-</w:t>
            </w:r>
            <w:r w:rsidRPr="00864A71">
              <w:rPr>
                <w:rFonts w:asciiTheme="minorHAnsi" w:eastAsiaTheme="minorEastAsia" w:hAnsiTheme="minorHAnsi"/>
                <w:szCs w:val="21"/>
              </w:rPr>
              <w:t>碱洗涤、生物脱臭、燃烧（氧化）法等处理工艺；</w:t>
            </w:r>
          </w:p>
          <w:p w14:paraId="05DB8B7E"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、其他污染物采用合理工艺进行治理；</w:t>
            </w:r>
          </w:p>
        </w:tc>
        <w:tc>
          <w:tcPr>
            <w:tcW w:w="937" w:type="pct"/>
            <w:vAlign w:val="center"/>
          </w:tcPr>
          <w:p w14:paraId="528303C4"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1</w:t>
            </w:r>
            <w:r w:rsidRPr="00864A71">
              <w:rPr>
                <w:rFonts w:asciiTheme="minorHAnsi" w:eastAsiaTheme="minorEastAsia" w:hAnsiTheme="minorHAnsi"/>
                <w:szCs w:val="21"/>
              </w:rPr>
              <w:t>、</w:t>
            </w:r>
            <w:r w:rsidRPr="00864A71">
              <w:rPr>
                <w:rFonts w:asciiTheme="minorHAnsi" w:eastAsiaTheme="minorEastAsia" w:hAnsiTheme="minorHAnsi"/>
                <w:szCs w:val="21"/>
              </w:rPr>
              <w:t>PM</w:t>
            </w:r>
            <w:r w:rsidRPr="00864A71">
              <w:rPr>
                <w:rFonts w:asciiTheme="minorHAnsi" w:eastAsiaTheme="minorEastAsia" w:hAnsiTheme="minorHAnsi"/>
                <w:szCs w:val="21"/>
              </w:rPr>
              <w:t>治理采用袋式除尘器、静电除尘、湿电除尘等；</w:t>
            </w:r>
          </w:p>
          <w:p w14:paraId="07344961"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2</w:t>
            </w:r>
            <w:r w:rsidRPr="00864A71">
              <w:rPr>
                <w:rFonts w:asciiTheme="minorHAnsi" w:eastAsiaTheme="minorEastAsia" w:hAnsiTheme="minorHAnsi"/>
                <w:szCs w:val="21"/>
              </w:rPr>
              <w:t>、</w:t>
            </w:r>
            <w:r w:rsidRPr="00864A71">
              <w:rPr>
                <w:rFonts w:asciiTheme="minorHAnsi" w:eastAsiaTheme="minorEastAsia" w:hAnsiTheme="minorHAnsi"/>
                <w:szCs w:val="21"/>
              </w:rPr>
              <w:t>VOCs</w:t>
            </w:r>
            <w:r w:rsidRPr="00864A71">
              <w:rPr>
                <w:rFonts w:asciiTheme="minorHAnsi" w:eastAsiaTheme="minorEastAsia" w:hAnsiTheme="minorHAnsi"/>
                <w:szCs w:val="21"/>
              </w:rPr>
              <w:t>治理采用吸附、</w:t>
            </w:r>
            <w:r w:rsidRPr="00864A71">
              <w:rPr>
                <w:rFonts w:asciiTheme="minorHAnsi" w:eastAsiaTheme="minorEastAsia" w:hAnsiTheme="minorHAnsi"/>
                <w:szCs w:val="21"/>
              </w:rPr>
              <w:t>UV</w:t>
            </w:r>
            <w:r w:rsidRPr="00864A71">
              <w:rPr>
                <w:rFonts w:asciiTheme="minorHAnsi" w:eastAsiaTheme="minorEastAsia" w:hAnsiTheme="minorHAnsi"/>
                <w:szCs w:val="21"/>
              </w:rPr>
              <w:t>光氧、吸收等两种及以上组合工艺；</w:t>
            </w:r>
          </w:p>
          <w:p w14:paraId="7BEFB32D"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、异味气体采用吸附、</w:t>
            </w:r>
            <w:r w:rsidRPr="00864A71">
              <w:rPr>
                <w:rFonts w:asciiTheme="minorHAnsi" w:eastAsiaTheme="minorEastAsia" w:hAnsiTheme="minorHAnsi"/>
                <w:szCs w:val="21"/>
              </w:rPr>
              <w:t>UV</w:t>
            </w:r>
            <w:r w:rsidRPr="00864A71">
              <w:rPr>
                <w:rFonts w:asciiTheme="minorHAnsi" w:eastAsiaTheme="minorEastAsia" w:hAnsiTheme="minorHAnsi"/>
                <w:szCs w:val="21"/>
              </w:rPr>
              <w:t>光氧、吸收等两种及两种以上组合工艺；</w:t>
            </w:r>
          </w:p>
          <w:p w14:paraId="35B9B43E"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、同</w:t>
            </w:r>
            <w:r w:rsidRPr="00864A71">
              <w:rPr>
                <w:rFonts w:asciiTheme="minorHAnsi" w:eastAsiaTheme="minorEastAsia" w:hAnsiTheme="minorHAnsi"/>
                <w:szCs w:val="21"/>
              </w:rPr>
              <w:t>A</w:t>
            </w:r>
            <w:r w:rsidRPr="00864A71">
              <w:rPr>
                <w:rFonts w:asciiTheme="minorHAnsi" w:eastAsiaTheme="minorEastAsia" w:hAnsiTheme="minorHAnsi"/>
                <w:szCs w:val="21"/>
              </w:rPr>
              <w:t>级第</w:t>
            </w:r>
            <w:r w:rsidRPr="00864A71">
              <w:rPr>
                <w:rFonts w:asciiTheme="minorHAnsi" w:eastAsiaTheme="minorEastAsia" w:hAnsiTheme="minorHAnsi"/>
                <w:szCs w:val="21"/>
              </w:rPr>
              <w:t>4</w:t>
            </w:r>
            <w:r w:rsidRPr="00864A71">
              <w:rPr>
                <w:rFonts w:asciiTheme="minorHAnsi" w:eastAsiaTheme="minorEastAsia" w:hAnsiTheme="minorHAnsi"/>
                <w:szCs w:val="21"/>
              </w:rPr>
              <w:t>条要求；</w:t>
            </w:r>
          </w:p>
        </w:tc>
        <w:tc>
          <w:tcPr>
            <w:tcW w:w="559" w:type="pct"/>
            <w:vAlign w:val="center"/>
          </w:tcPr>
          <w:p w14:paraId="304481C5"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lastRenderedPageBreak/>
              <w:t>不满足</w:t>
            </w:r>
            <w:r w:rsidRPr="00864A71">
              <w:rPr>
                <w:rFonts w:asciiTheme="minorHAnsi" w:eastAsiaTheme="minorEastAsia" w:hAnsiTheme="minorHAnsi"/>
                <w:szCs w:val="21"/>
              </w:rPr>
              <w:t>B</w:t>
            </w:r>
            <w:r w:rsidRPr="00864A71">
              <w:rPr>
                <w:rFonts w:asciiTheme="minorHAnsi" w:eastAsiaTheme="minorEastAsia" w:hAnsiTheme="minorHAnsi"/>
                <w:szCs w:val="21"/>
              </w:rPr>
              <w:t>级要求</w:t>
            </w:r>
          </w:p>
        </w:tc>
        <w:tc>
          <w:tcPr>
            <w:tcW w:w="1249" w:type="pct"/>
            <w:vAlign w:val="center"/>
          </w:tcPr>
          <w:p w14:paraId="4F3334D6"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w:t>
            </w:r>
            <w:r w:rsidR="001A4912">
              <w:rPr>
                <w:rFonts w:asciiTheme="minorHAnsi" w:eastAsiaTheme="minorEastAsia" w:hAnsiTheme="minorHAnsi" w:hint="eastAsia"/>
                <w:szCs w:val="21"/>
              </w:rPr>
              <w:t>不涉及</w:t>
            </w:r>
            <w:r w:rsidRPr="00864A71">
              <w:rPr>
                <w:rFonts w:asciiTheme="minorHAnsi" w:eastAsiaTheme="minorEastAsia" w:hAnsiTheme="minorHAnsi"/>
                <w:szCs w:val="21"/>
              </w:rPr>
              <w:t>；</w:t>
            </w:r>
          </w:p>
          <w:p w14:paraId="7A7EE083" w14:textId="181AFE92" w:rsidR="00A73882" w:rsidRPr="00864A71" w:rsidRDefault="00A73882" w:rsidP="008C1537">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w:t>
            </w:r>
            <w:r w:rsidRPr="00864A71">
              <w:rPr>
                <w:rFonts w:asciiTheme="minorHAnsi" w:eastAsiaTheme="minorEastAsia" w:hAnsiTheme="minorHAnsi"/>
                <w:szCs w:val="21"/>
              </w:rPr>
              <w:t>VOCs</w:t>
            </w:r>
            <w:r w:rsidRPr="00864A71">
              <w:rPr>
                <w:rFonts w:asciiTheme="minorHAnsi" w:eastAsiaTheme="minorEastAsia" w:hAnsiTheme="minorHAnsi"/>
                <w:szCs w:val="21"/>
              </w:rPr>
              <w:t>采用</w:t>
            </w:r>
            <w:r>
              <w:rPr>
                <w:rFonts w:asciiTheme="minorHAnsi" w:eastAsiaTheme="minorEastAsia" w:hAnsiTheme="minorHAnsi" w:hint="eastAsia"/>
                <w:szCs w:val="21"/>
              </w:rPr>
              <w:t>水喷淋</w:t>
            </w:r>
            <w:r>
              <w:rPr>
                <w:rFonts w:asciiTheme="minorHAnsi" w:eastAsiaTheme="minorEastAsia" w:hAnsiTheme="minorHAnsi" w:hint="eastAsia"/>
                <w:szCs w:val="21"/>
              </w:rPr>
              <w:t>+</w:t>
            </w:r>
            <w:r>
              <w:rPr>
                <w:rFonts w:asciiTheme="minorHAnsi" w:eastAsiaTheme="minorEastAsia" w:hAnsiTheme="minorHAnsi" w:hint="eastAsia"/>
                <w:szCs w:val="21"/>
              </w:rPr>
              <w:t>活性炭</w:t>
            </w:r>
            <w:r>
              <w:rPr>
                <w:rFonts w:asciiTheme="minorHAnsi" w:eastAsiaTheme="minorEastAsia" w:hAnsiTheme="minorHAnsi"/>
                <w:szCs w:val="21"/>
              </w:rPr>
              <w:t>吸附装置</w:t>
            </w:r>
            <w:r w:rsidRPr="00864A71">
              <w:rPr>
                <w:rFonts w:asciiTheme="minorHAnsi" w:eastAsiaTheme="minorEastAsia" w:hAnsiTheme="minorHAnsi"/>
                <w:szCs w:val="21"/>
              </w:rPr>
              <w:t>处理措施；</w:t>
            </w:r>
          </w:p>
        </w:tc>
        <w:tc>
          <w:tcPr>
            <w:tcW w:w="398" w:type="pct"/>
            <w:vAlign w:val="center"/>
          </w:tcPr>
          <w:p w14:paraId="7077FB92"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6674B795" w14:textId="77777777" w:rsidTr="00955092">
        <w:trPr>
          <w:jc w:val="center"/>
        </w:trPr>
        <w:tc>
          <w:tcPr>
            <w:tcW w:w="1012" w:type="pct"/>
            <w:gridSpan w:val="3"/>
            <w:vAlign w:val="center"/>
          </w:tcPr>
          <w:p w14:paraId="4A017F69"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工业废水集输处理系统</w:t>
            </w:r>
          </w:p>
        </w:tc>
        <w:tc>
          <w:tcPr>
            <w:tcW w:w="845" w:type="pct"/>
            <w:vAlign w:val="center"/>
          </w:tcPr>
          <w:p w14:paraId="3681BB9B"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、含</w:t>
            </w:r>
            <w:r w:rsidRPr="00864A71">
              <w:rPr>
                <w:rFonts w:asciiTheme="minorHAnsi" w:eastAsiaTheme="minorEastAsia" w:hAnsiTheme="minorHAnsi"/>
                <w:szCs w:val="21"/>
              </w:rPr>
              <w:t>VOCs</w:t>
            </w:r>
            <w:r w:rsidRPr="00864A71">
              <w:rPr>
                <w:rFonts w:asciiTheme="minorHAnsi" w:eastAsiaTheme="minorEastAsia" w:hAnsiTheme="minorHAnsi"/>
                <w:szCs w:val="21"/>
              </w:rPr>
              <w:t>或恶臭物质的废水集输系统采用封闭管道输送；</w:t>
            </w:r>
          </w:p>
          <w:p w14:paraId="2A0708B2"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、废水储存、处理设施产生的恶臭气体，在曝气池之前加盖密闭或采取其他等效措施，密闭排气至废气治理设施；污泥沉淀池、污泥泵房、污泥装车区域采用密闭或其他等效措施，密闭排气至废气治理设施；</w:t>
            </w:r>
          </w:p>
          <w:p w14:paraId="6AE550E7"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3</w:t>
            </w:r>
            <w:r w:rsidRPr="00864A71">
              <w:rPr>
                <w:rFonts w:asciiTheme="minorHAnsi" w:eastAsiaTheme="minorEastAsia" w:hAnsiTheme="minorHAnsi"/>
                <w:szCs w:val="21"/>
              </w:rPr>
              <w:t>、污水站废气采用吸附</w:t>
            </w:r>
            <w:r w:rsidRPr="00864A71">
              <w:rPr>
                <w:rFonts w:asciiTheme="minorHAnsi" w:eastAsiaTheme="minorEastAsia" w:hAnsiTheme="minorHAnsi"/>
                <w:szCs w:val="21"/>
              </w:rPr>
              <w:t>-</w:t>
            </w:r>
            <w:r w:rsidRPr="00864A71">
              <w:rPr>
                <w:rFonts w:asciiTheme="minorHAnsi" w:eastAsiaTheme="minorEastAsia" w:hAnsiTheme="minorHAnsi"/>
                <w:szCs w:val="21"/>
              </w:rPr>
              <w:t>碱洗涤、生物脱臭、燃烧（氧化）法等处理工艺；</w:t>
            </w:r>
          </w:p>
          <w:p w14:paraId="7A5DAF9E"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、厂区内无露天堆放污泥，污水站附近无异味；</w:t>
            </w:r>
          </w:p>
        </w:tc>
        <w:tc>
          <w:tcPr>
            <w:tcW w:w="937" w:type="pct"/>
            <w:vAlign w:val="center"/>
          </w:tcPr>
          <w:p w14:paraId="77272A6B"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1</w:t>
            </w:r>
            <w:r w:rsidRPr="00864A71">
              <w:rPr>
                <w:rFonts w:asciiTheme="minorHAnsi" w:eastAsiaTheme="minorEastAsia" w:hAnsiTheme="minorHAnsi"/>
                <w:szCs w:val="21"/>
              </w:rPr>
              <w:t>、同</w:t>
            </w:r>
            <w:r w:rsidRPr="00864A71">
              <w:rPr>
                <w:rFonts w:asciiTheme="minorHAnsi" w:eastAsiaTheme="minorEastAsia" w:hAnsiTheme="minorHAnsi"/>
                <w:szCs w:val="21"/>
              </w:rPr>
              <w:t>A</w:t>
            </w:r>
            <w:r w:rsidRPr="00864A71">
              <w:rPr>
                <w:rFonts w:asciiTheme="minorHAnsi" w:eastAsiaTheme="minorEastAsia" w:hAnsiTheme="minorHAnsi"/>
                <w:szCs w:val="21"/>
              </w:rPr>
              <w:t>级第</w:t>
            </w:r>
            <w:r w:rsidRPr="00864A71">
              <w:rPr>
                <w:rFonts w:asciiTheme="minorHAnsi" w:eastAsiaTheme="minorEastAsia" w:hAnsiTheme="minorHAnsi"/>
                <w:szCs w:val="21"/>
              </w:rPr>
              <w:t>1</w:t>
            </w:r>
            <w:r w:rsidRPr="00864A71">
              <w:rPr>
                <w:rFonts w:asciiTheme="minorHAnsi" w:eastAsiaTheme="minorEastAsia" w:hAnsiTheme="minorHAnsi"/>
                <w:szCs w:val="21"/>
              </w:rPr>
              <w:t>条要求；</w:t>
            </w:r>
          </w:p>
          <w:p w14:paraId="34934BF9"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、废水储存、处理设施产生的恶臭气体，在曝气池之前加盖密闭或采取其他等效措施，密闭排气至废气治理设施；</w:t>
            </w:r>
          </w:p>
          <w:p w14:paraId="11D6681A"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、污水站废气治理采用低温等离子、光催化氧化、活性炭、洗涤塔等两种及两种以上组合工艺；</w:t>
            </w:r>
          </w:p>
          <w:p w14:paraId="69645C59"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、同</w:t>
            </w:r>
            <w:r w:rsidRPr="00864A71">
              <w:rPr>
                <w:rFonts w:asciiTheme="minorHAnsi" w:eastAsiaTheme="minorEastAsia" w:hAnsiTheme="minorHAnsi"/>
                <w:szCs w:val="21"/>
              </w:rPr>
              <w:t>A</w:t>
            </w:r>
            <w:r w:rsidRPr="00864A71">
              <w:rPr>
                <w:rFonts w:asciiTheme="minorHAnsi" w:eastAsiaTheme="minorEastAsia" w:hAnsiTheme="minorHAnsi"/>
                <w:szCs w:val="21"/>
              </w:rPr>
              <w:t>级第</w:t>
            </w:r>
            <w:r w:rsidRPr="00864A71">
              <w:rPr>
                <w:rFonts w:asciiTheme="minorHAnsi" w:eastAsiaTheme="minorEastAsia" w:hAnsiTheme="minorHAnsi"/>
                <w:szCs w:val="21"/>
              </w:rPr>
              <w:t>4</w:t>
            </w:r>
            <w:r w:rsidRPr="00864A71">
              <w:rPr>
                <w:rFonts w:asciiTheme="minorHAnsi" w:eastAsiaTheme="minorEastAsia" w:hAnsiTheme="minorHAnsi"/>
                <w:szCs w:val="21"/>
              </w:rPr>
              <w:t>条要求；</w:t>
            </w:r>
          </w:p>
        </w:tc>
        <w:tc>
          <w:tcPr>
            <w:tcW w:w="559" w:type="pct"/>
            <w:vAlign w:val="center"/>
          </w:tcPr>
          <w:p w14:paraId="4A37B74B"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B</w:t>
            </w:r>
            <w:r w:rsidRPr="00864A71">
              <w:rPr>
                <w:rFonts w:asciiTheme="minorHAnsi" w:eastAsiaTheme="minorEastAsia" w:hAnsiTheme="minorHAnsi"/>
                <w:szCs w:val="21"/>
              </w:rPr>
              <w:t>级要求</w:t>
            </w:r>
          </w:p>
        </w:tc>
        <w:tc>
          <w:tcPr>
            <w:tcW w:w="1249" w:type="pct"/>
            <w:vAlign w:val="center"/>
          </w:tcPr>
          <w:p w14:paraId="567FA6D7"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、项目含</w:t>
            </w:r>
            <w:r w:rsidRPr="00864A71">
              <w:rPr>
                <w:rFonts w:asciiTheme="minorHAnsi" w:eastAsiaTheme="minorEastAsia" w:hAnsiTheme="minorHAnsi"/>
                <w:szCs w:val="21"/>
              </w:rPr>
              <w:t>VOCs</w:t>
            </w:r>
            <w:r w:rsidRPr="00864A71">
              <w:rPr>
                <w:rFonts w:asciiTheme="minorHAnsi" w:eastAsiaTheme="minorEastAsia" w:hAnsiTheme="minorHAnsi"/>
                <w:szCs w:val="21"/>
              </w:rPr>
              <w:t>废水集输系统采用封闭管道输送；</w:t>
            </w:r>
          </w:p>
          <w:p w14:paraId="7A3063D6"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、项目设计在调节池、水解酸化池均加盖密闭，废气排气至废气治理设施；</w:t>
            </w:r>
          </w:p>
          <w:p w14:paraId="2D7311DD"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、污水站恶臭采用</w:t>
            </w:r>
            <w:r>
              <w:rPr>
                <w:rFonts w:asciiTheme="minorHAnsi" w:eastAsiaTheme="minorEastAsia" w:hAnsiTheme="minorHAnsi" w:hint="eastAsia"/>
                <w:szCs w:val="21"/>
              </w:rPr>
              <w:t>光氧催化</w:t>
            </w:r>
            <w:r w:rsidRPr="00864A71">
              <w:rPr>
                <w:rFonts w:asciiTheme="minorHAnsi" w:eastAsiaTheme="minorEastAsia" w:hAnsiTheme="minorHAnsi"/>
                <w:szCs w:val="21"/>
              </w:rPr>
              <w:t>+</w:t>
            </w:r>
            <w:r>
              <w:rPr>
                <w:rFonts w:asciiTheme="minorHAnsi" w:eastAsiaTheme="minorEastAsia" w:hAnsiTheme="minorHAnsi" w:hint="eastAsia"/>
                <w:szCs w:val="21"/>
              </w:rPr>
              <w:t>活性炭吸附</w:t>
            </w:r>
            <w:r w:rsidRPr="00864A71">
              <w:rPr>
                <w:rFonts w:asciiTheme="minorHAnsi" w:eastAsiaTheme="minorEastAsia" w:hAnsiTheme="minorHAnsi"/>
                <w:szCs w:val="21"/>
              </w:rPr>
              <w:t>处理措施。</w:t>
            </w:r>
          </w:p>
          <w:p w14:paraId="32810E59"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、加强污水站周边绿化，禁止厂区内无露天堆放污泥，使污水站附近无异味。</w:t>
            </w:r>
          </w:p>
          <w:p w14:paraId="1C10359D" w14:textId="77777777" w:rsidR="00A73882" w:rsidRPr="00864A71" w:rsidRDefault="00A73882" w:rsidP="00CE7021">
            <w:pPr>
              <w:spacing w:line="360" w:lineRule="exact"/>
              <w:jc w:val="center"/>
              <w:rPr>
                <w:rFonts w:asciiTheme="minorHAnsi" w:eastAsiaTheme="minorEastAsia" w:hAnsiTheme="minorHAnsi"/>
                <w:szCs w:val="21"/>
              </w:rPr>
            </w:pPr>
          </w:p>
        </w:tc>
        <w:tc>
          <w:tcPr>
            <w:tcW w:w="398" w:type="pct"/>
            <w:vAlign w:val="center"/>
          </w:tcPr>
          <w:p w14:paraId="34E5943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rPr>
              <w:t>符合</w:t>
            </w:r>
            <w:r w:rsidRPr="00864A71">
              <w:rPr>
                <w:rFonts w:asciiTheme="minorHAnsi" w:hAnsiTheme="minorHAnsi"/>
                <w:szCs w:val="21"/>
              </w:rPr>
              <w:t>B</w:t>
            </w:r>
            <w:r w:rsidRPr="00864A71">
              <w:rPr>
                <w:rFonts w:asciiTheme="minorHAnsi" w:hAnsiTheme="minorHAnsi"/>
                <w:szCs w:val="21"/>
              </w:rPr>
              <w:t>级企业</w:t>
            </w:r>
            <w:r w:rsidRPr="00864A71">
              <w:rPr>
                <w:rFonts w:asciiTheme="minorHAnsi" w:hAnsiTheme="minorHAnsi"/>
              </w:rPr>
              <w:t>要求</w:t>
            </w:r>
          </w:p>
        </w:tc>
      </w:tr>
      <w:tr w:rsidR="00A73882" w:rsidRPr="00864A71" w14:paraId="609CE313" w14:textId="77777777" w:rsidTr="00955092">
        <w:trPr>
          <w:jc w:val="center"/>
        </w:trPr>
        <w:tc>
          <w:tcPr>
            <w:tcW w:w="1012" w:type="pct"/>
            <w:gridSpan w:val="3"/>
            <w:vAlign w:val="center"/>
          </w:tcPr>
          <w:p w14:paraId="26B3BDA6"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排放限值</w:t>
            </w:r>
          </w:p>
        </w:tc>
        <w:tc>
          <w:tcPr>
            <w:tcW w:w="845" w:type="pct"/>
            <w:vAlign w:val="center"/>
          </w:tcPr>
          <w:p w14:paraId="587F6012"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、全厂有组织</w:t>
            </w:r>
            <w:r w:rsidRPr="00864A71">
              <w:rPr>
                <w:rFonts w:asciiTheme="minorHAnsi" w:eastAsiaTheme="minorEastAsia" w:hAnsiTheme="minorHAnsi"/>
                <w:szCs w:val="21"/>
              </w:rPr>
              <w:t>PM</w:t>
            </w:r>
            <w:r w:rsidRPr="00864A71">
              <w:rPr>
                <w:rFonts w:asciiTheme="minorHAnsi" w:eastAsiaTheme="minorEastAsia" w:hAnsiTheme="minorHAnsi"/>
                <w:szCs w:val="21"/>
              </w:rPr>
              <w:t>有组织排放浓度限值</w:t>
            </w:r>
            <w:r w:rsidRPr="00864A71">
              <w:rPr>
                <w:rFonts w:asciiTheme="minorHAnsi" w:eastAsiaTheme="minorEastAsia" w:hAnsiTheme="minorHAnsi"/>
                <w:szCs w:val="21"/>
              </w:rPr>
              <w:t>≤10mg/m</w:t>
            </w:r>
            <w:r w:rsidRPr="00864A71">
              <w:rPr>
                <w:rFonts w:asciiTheme="minorHAnsi" w:eastAsiaTheme="minorEastAsia" w:hAnsiTheme="minorHAnsi"/>
                <w:szCs w:val="21"/>
                <w:vertAlign w:val="superscript"/>
              </w:rPr>
              <w:t>3</w:t>
            </w:r>
            <w:r w:rsidRPr="00864A71">
              <w:rPr>
                <w:rFonts w:asciiTheme="minorHAnsi" w:eastAsiaTheme="minorEastAsia" w:hAnsiTheme="minorHAnsi"/>
                <w:szCs w:val="21"/>
              </w:rPr>
              <w:t>；</w:t>
            </w:r>
          </w:p>
          <w:p w14:paraId="2995796B"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w:t>
            </w:r>
            <w:r w:rsidRPr="00864A71">
              <w:rPr>
                <w:rFonts w:asciiTheme="minorHAnsi" w:eastAsiaTheme="minorEastAsia" w:hAnsiTheme="minorHAnsi"/>
                <w:szCs w:val="21"/>
              </w:rPr>
              <w:t>NMHC</w:t>
            </w:r>
            <w:r w:rsidRPr="00864A71">
              <w:rPr>
                <w:rFonts w:asciiTheme="minorHAnsi" w:eastAsiaTheme="minorEastAsia" w:hAnsiTheme="minorHAnsi"/>
                <w:szCs w:val="21"/>
              </w:rPr>
              <w:t>有组织排放限值</w:t>
            </w:r>
            <w:r w:rsidRPr="00864A71">
              <w:rPr>
                <w:rFonts w:asciiTheme="minorHAnsi" w:eastAsiaTheme="minorEastAsia" w:hAnsiTheme="minorHAnsi"/>
                <w:szCs w:val="21"/>
              </w:rPr>
              <w:t>≤20mg/m</w:t>
            </w:r>
            <w:r w:rsidRPr="00864A71">
              <w:rPr>
                <w:rFonts w:asciiTheme="minorHAnsi" w:eastAsiaTheme="minorEastAsia" w:hAnsiTheme="minorHAnsi"/>
                <w:szCs w:val="21"/>
                <w:vertAlign w:val="superscript"/>
              </w:rPr>
              <w:t>3</w:t>
            </w:r>
            <w:r w:rsidRPr="00864A71">
              <w:rPr>
                <w:rFonts w:asciiTheme="minorHAnsi" w:eastAsiaTheme="minorEastAsia" w:hAnsiTheme="minorHAnsi"/>
                <w:szCs w:val="21"/>
              </w:rPr>
              <w:t>；</w:t>
            </w:r>
          </w:p>
          <w:p w14:paraId="665FC068"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、其他污染物浓度及无组织排放满足达标排放要求。</w:t>
            </w:r>
          </w:p>
        </w:tc>
        <w:tc>
          <w:tcPr>
            <w:tcW w:w="937" w:type="pct"/>
            <w:vAlign w:val="center"/>
          </w:tcPr>
          <w:p w14:paraId="02653B03"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、同</w:t>
            </w:r>
            <w:r w:rsidRPr="00864A71">
              <w:rPr>
                <w:rFonts w:asciiTheme="minorHAnsi" w:eastAsiaTheme="minorEastAsia" w:hAnsiTheme="minorHAnsi"/>
                <w:szCs w:val="21"/>
              </w:rPr>
              <w:t>A</w:t>
            </w:r>
            <w:r w:rsidRPr="00864A71">
              <w:rPr>
                <w:rFonts w:asciiTheme="minorHAnsi" w:eastAsiaTheme="minorEastAsia" w:hAnsiTheme="minorHAnsi"/>
                <w:szCs w:val="21"/>
              </w:rPr>
              <w:t>级第</w:t>
            </w:r>
            <w:r w:rsidRPr="00864A71">
              <w:rPr>
                <w:rFonts w:asciiTheme="minorHAnsi" w:eastAsiaTheme="minorEastAsia" w:hAnsiTheme="minorHAnsi"/>
                <w:szCs w:val="21"/>
              </w:rPr>
              <w:t>1</w:t>
            </w:r>
            <w:r w:rsidRPr="00864A71">
              <w:rPr>
                <w:rFonts w:asciiTheme="minorHAnsi" w:eastAsiaTheme="minorEastAsia" w:hAnsiTheme="minorHAnsi"/>
                <w:szCs w:val="21"/>
              </w:rPr>
              <w:t>条要求；</w:t>
            </w:r>
          </w:p>
          <w:p w14:paraId="0095A4C8"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w:t>
            </w:r>
            <w:r w:rsidRPr="00864A71">
              <w:rPr>
                <w:rFonts w:asciiTheme="minorHAnsi" w:eastAsiaTheme="minorEastAsia" w:hAnsiTheme="minorHAnsi"/>
                <w:szCs w:val="21"/>
              </w:rPr>
              <w:t>NMHC</w:t>
            </w:r>
            <w:r w:rsidRPr="00864A71">
              <w:rPr>
                <w:rFonts w:asciiTheme="minorHAnsi" w:eastAsiaTheme="minorEastAsia" w:hAnsiTheme="minorHAnsi"/>
                <w:szCs w:val="21"/>
              </w:rPr>
              <w:t>有组织排放限值</w:t>
            </w:r>
            <w:r w:rsidRPr="00864A71">
              <w:rPr>
                <w:rFonts w:asciiTheme="minorHAnsi" w:eastAsiaTheme="minorEastAsia" w:hAnsiTheme="minorHAnsi"/>
                <w:szCs w:val="21"/>
              </w:rPr>
              <w:t>≤40mg/m</w:t>
            </w:r>
            <w:r w:rsidRPr="00864A71">
              <w:rPr>
                <w:rFonts w:asciiTheme="minorHAnsi" w:eastAsiaTheme="minorEastAsia" w:hAnsiTheme="minorHAnsi"/>
                <w:szCs w:val="21"/>
                <w:vertAlign w:val="superscript"/>
              </w:rPr>
              <w:t>3</w:t>
            </w:r>
            <w:r w:rsidRPr="00864A71">
              <w:rPr>
                <w:rFonts w:asciiTheme="minorHAnsi" w:eastAsiaTheme="minorEastAsia" w:hAnsiTheme="minorHAnsi"/>
                <w:szCs w:val="21"/>
              </w:rPr>
              <w:t>；</w:t>
            </w:r>
          </w:p>
          <w:p w14:paraId="07DF331A"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、同</w:t>
            </w:r>
            <w:r w:rsidRPr="00864A71">
              <w:rPr>
                <w:rFonts w:asciiTheme="minorHAnsi" w:eastAsiaTheme="minorEastAsia" w:hAnsiTheme="minorHAnsi"/>
                <w:szCs w:val="21"/>
              </w:rPr>
              <w:t>A</w:t>
            </w:r>
            <w:r w:rsidRPr="00864A71">
              <w:rPr>
                <w:rFonts w:asciiTheme="minorHAnsi" w:eastAsiaTheme="minorEastAsia" w:hAnsiTheme="minorHAnsi"/>
                <w:szCs w:val="21"/>
              </w:rPr>
              <w:t>级第</w:t>
            </w:r>
            <w:r w:rsidRPr="00864A71">
              <w:rPr>
                <w:rFonts w:asciiTheme="minorHAnsi" w:eastAsiaTheme="minorEastAsia" w:hAnsiTheme="minorHAnsi"/>
                <w:szCs w:val="21"/>
              </w:rPr>
              <w:t>3</w:t>
            </w:r>
            <w:r w:rsidRPr="00864A71">
              <w:rPr>
                <w:rFonts w:asciiTheme="minorHAnsi" w:eastAsiaTheme="minorEastAsia" w:hAnsiTheme="minorHAnsi"/>
                <w:szCs w:val="21"/>
              </w:rPr>
              <w:t>条要求。</w:t>
            </w:r>
          </w:p>
          <w:p w14:paraId="18B81787" w14:textId="77777777" w:rsidR="00A73882" w:rsidRPr="00864A71" w:rsidRDefault="00A73882" w:rsidP="00CE7021">
            <w:pPr>
              <w:spacing w:line="360" w:lineRule="exact"/>
              <w:jc w:val="left"/>
              <w:rPr>
                <w:rFonts w:asciiTheme="minorHAnsi" w:eastAsiaTheme="minorEastAsia" w:hAnsiTheme="minorHAnsi"/>
                <w:szCs w:val="21"/>
              </w:rPr>
            </w:pPr>
          </w:p>
        </w:tc>
        <w:tc>
          <w:tcPr>
            <w:tcW w:w="559" w:type="pct"/>
            <w:vAlign w:val="center"/>
          </w:tcPr>
          <w:p w14:paraId="696B4766"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B</w:t>
            </w:r>
            <w:r w:rsidRPr="00864A71">
              <w:rPr>
                <w:rFonts w:asciiTheme="minorHAnsi" w:eastAsiaTheme="minorEastAsia" w:hAnsiTheme="minorHAnsi"/>
                <w:szCs w:val="21"/>
              </w:rPr>
              <w:t>级要求</w:t>
            </w:r>
          </w:p>
        </w:tc>
        <w:tc>
          <w:tcPr>
            <w:tcW w:w="1249" w:type="pct"/>
            <w:vAlign w:val="center"/>
          </w:tcPr>
          <w:p w14:paraId="539F10A4" w14:textId="78AE331C" w:rsidR="00955092" w:rsidRPr="0091142E" w:rsidRDefault="00A73882" w:rsidP="0091142E">
            <w:pPr>
              <w:pStyle w:val="aff1"/>
              <w:numPr>
                <w:ilvl w:val="0"/>
                <w:numId w:val="49"/>
              </w:numPr>
              <w:ind w:firstLineChars="0"/>
              <w:jc w:val="left"/>
              <w:rPr>
                <w:rFonts w:asciiTheme="minorHAnsi" w:hAnsiTheme="minorHAnsi"/>
              </w:rPr>
            </w:pPr>
            <w:r w:rsidRPr="0091142E">
              <w:rPr>
                <w:rFonts w:asciiTheme="minorHAnsi" w:hAnsiTheme="minorHAnsi"/>
              </w:rPr>
              <w:t>全厂</w:t>
            </w:r>
            <w:r w:rsidR="0091142E" w:rsidRPr="0091142E">
              <w:rPr>
                <w:rFonts w:asciiTheme="minorHAnsi" w:hAnsiTheme="minorHAnsi" w:hint="eastAsia"/>
              </w:rPr>
              <w:t>仅导热油炉</w:t>
            </w:r>
            <w:r w:rsidR="0091142E" w:rsidRPr="0091142E">
              <w:rPr>
                <w:rFonts w:asciiTheme="minorHAnsi" w:hAnsiTheme="minorHAnsi"/>
              </w:rPr>
              <w:t>燃烧废气</w:t>
            </w:r>
            <w:r w:rsidR="0091142E">
              <w:rPr>
                <w:rFonts w:asciiTheme="minorHAnsi" w:hAnsiTheme="minorHAnsi" w:hint="eastAsia"/>
              </w:rPr>
              <w:t>涉及</w:t>
            </w:r>
            <w:r w:rsidR="00955092" w:rsidRPr="0091142E">
              <w:rPr>
                <w:rFonts w:asciiTheme="minorHAnsi" w:hAnsiTheme="minorHAnsi"/>
              </w:rPr>
              <w:t>有组织</w:t>
            </w:r>
            <w:r w:rsidR="00955092" w:rsidRPr="0091142E">
              <w:rPr>
                <w:rFonts w:asciiTheme="minorHAnsi" w:hAnsiTheme="minorHAnsi"/>
              </w:rPr>
              <w:t>PM</w:t>
            </w:r>
            <w:r w:rsidR="00955092" w:rsidRPr="0091142E">
              <w:rPr>
                <w:rFonts w:asciiTheme="minorHAnsi" w:hAnsiTheme="minorHAnsi"/>
              </w:rPr>
              <w:t>排放</w:t>
            </w:r>
            <w:r w:rsidR="0091142E">
              <w:rPr>
                <w:rFonts w:asciiTheme="minorHAnsi" w:hAnsiTheme="minorHAnsi" w:hint="eastAsia"/>
              </w:rPr>
              <w:t>，</w:t>
            </w:r>
            <w:r w:rsidR="0091142E" w:rsidRPr="0091142E">
              <w:rPr>
                <w:rFonts w:asciiTheme="minorHAnsi" w:hAnsiTheme="minorHAnsi"/>
              </w:rPr>
              <w:t>PM</w:t>
            </w:r>
            <w:r w:rsidR="0091142E" w:rsidRPr="0091142E">
              <w:rPr>
                <w:rFonts w:asciiTheme="minorHAnsi" w:hAnsiTheme="minorHAnsi" w:hint="eastAsia"/>
              </w:rPr>
              <w:t>有组织排放浓度限值</w:t>
            </w:r>
            <w:r w:rsidR="0091142E">
              <w:rPr>
                <w:rFonts w:asciiTheme="minorHAnsi" w:hAnsiTheme="minorHAnsi" w:hint="eastAsia"/>
              </w:rPr>
              <w:t>为</w:t>
            </w:r>
            <w:r w:rsidR="0091142E">
              <w:rPr>
                <w:rFonts w:asciiTheme="minorHAnsi" w:hAnsiTheme="minorHAnsi" w:hint="eastAsia"/>
              </w:rPr>
              <w:t>2.45</w:t>
            </w:r>
            <w:r w:rsidR="0091142E">
              <w:rPr>
                <w:rFonts w:asciiTheme="minorHAnsi" w:hAnsiTheme="minorHAnsi"/>
              </w:rPr>
              <w:t>mg/</w:t>
            </w:r>
            <w:r w:rsidR="0091142E">
              <w:rPr>
                <w:rFonts w:asciiTheme="minorHAnsi" w:hAnsiTheme="minorHAnsi" w:hint="eastAsia"/>
              </w:rPr>
              <w:t>m</w:t>
            </w:r>
            <w:r w:rsidR="0091142E" w:rsidRPr="0091142E">
              <w:rPr>
                <w:rFonts w:asciiTheme="minorHAnsi" w:hAnsiTheme="minorHAnsi"/>
                <w:vertAlign w:val="superscript"/>
              </w:rPr>
              <w:t>3</w:t>
            </w:r>
            <w:r w:rsidR="0091142E">
              <w:rPr>
                <w:rFonts w:asciiTheme="minorHAnsi" w:hAnsiTheme="minorHAnsi" w:hint="eastAsia"/>
              </w:rPr>
              <w:t>，</w:t>
            </w:r>
            <w:r w:rsidR="0091142E">
              <w:rPr>
                <w:rFonts w:asciiTheme="minorHAnsi" w:hAnsiTheme="minorHAnsi"/>
              </w:rPr>
              <w:t>其他工序不涉及颗粒物有组织排放。</w:t>
            </w:r>
          </w:p>
          <w:p w14:paraId="184E47E9" w14:textId="77777777" w:rsidR="00A73882" w:rsidRPr="00955092" w:rsidRDefault="00955092" w:rsidP="00955092">
            <w:pPr>
              <w:rPr>
                <w:rFonts w:asciiTheme="minorHAnsi" w:hAnsiTheme="minorHAnsi"/>
              </w:rPr>
            </w:pPr>
            <w:r w:rsidRPr="00955092">
              <w:rPr>
                <w:rFonts w:asciiTheme="minorHAnsi" w:hAnsiTheme="minorHAnsi"/>
              </w:rPr>
              <w:t>2</w:t>
            </w:r>
            <w:r w:rsidRPr="00955092">
              <w:rPr>
                <w:rFonts w:asciiTheme="minorHAnsi" w:hAnsiTheme="minorHAnsi"/>
              </w:rPr>
              <w:t>、</w:t>
            </w:r>
            <w:r w:rsidR="00A73882" w:rsidRPr="00955092">
              <w:rPr>
                <w:rFonts w:asciiTheme="minorHAnsi" w:hAnsiTheme="minorHAnsi"/>
              </w:rPr>
              <w:t>NMHC</w:t>
            </w:r>
            <w:r w:rsidR="00A73882" w:rsidRPr="00955092">
              <w:rPr>
                <w:rFonts w:asciiTheme="minorHAnsi" w:hAnsiTheme="minorHAnsi"/>
              </w:rPr>
              <w:t>有组织排放限值</w:t>
            </w:r>
            <w:r w:rsidRPr="00955092">
              <w:rPr>
                <w:rFonts w:asciiTheme="minorHAnsi" w:hAnsiTheme="minorHAnsi"/>
              </w:rPr>
              <w:t>3.2</w:t>
            </w:r>
            <w:r w:rsidR="00A73882" w:rsidRPr="00955092">
              <w:rPr>
                <w:rFonts w:asciiTheme="minorHAnsi" w:hAnsiTheme="minorHAnsi"/>
              </w:rPr>
              <w:t>mg/m</w:t>
            </w:r>
            <w:r w:rsidR="00A73882" w:rsidRPr="00955092">
              <w:rPr>
                <w:rFonts w:asciiTheme="minorHAnsi" w:hAnsiTheme="minorHAnsi"/>
                <w:vertAlign w:val="superscript"/>
              </w:rPr>
              <w:t>3</w:t>
            </w:r>
            <w:r w:rsidRPr="00955092">
              <w:rPr>
                <w:rFonts w:asciiTheme="minorHAnsi" w:hAnsiTheme="minorHAnsi"/>
              </w:rPr>
              <w:t>小于</w:t>
            </w:r>
            <w:r w:rsidR="00A73882" w:rsidRPr="00955092">
              <w:rPr>
                <w:rFonts w:asciiTheme="minorHAnsi" w:hAnsiTheme="minorHAnsi"/>
              </w:rPr>
              <w:t>20mg/m</w:t>
            </w:r>
            <w:r w:rsidR="00A73882" w:rsidRPr="00955092">
              <w:rPr>
                <w:rFonts w:asciiTheme="minorHAnsi" w:hAnsiTheme="minorHAnsi"/>
                <w:vertAlign w:val="superscript"/>
              </w:rPr>
              <w:t>3</w:t>
            </w:r>
            <w:r w:rsidR="00A73882" w:rsidRPr="00955092">
              <w:rPr>
                <w:rFonts w:asciiTheme="minorHAnsi" w:hAnsiTheme="minorHAnsi"/>
              </w:rPr>
              <w:t>；</w:t>
            </w:r>
          </w:p>
          <w:p w14:paraId="0E297171" w14:textId="77777777" w:rsidR="00A73882" w:rsidRPr="00955092" w:rsidRDefault="00A73882" w:rsidP="00955092">
            <w:r w:rsidRPr="00955092">
              <w:rPr>
                <w:rFonts w:asciiTheme="minorHAnsi" w:hAnsiTheme="minorHAnsi"/>
              </w:rPr>
              <w:t>3</w:t>
            </w:r>
            <w:r w:rsidRPr="00955092">
              <w:rPr>
                <w:rFonts w:asciiTheme="minorHAnsi" w:hAnsiTheme="minorHAnsi"/>
              </w:rPr>
              <w:t>、其他污染物浓度及无组织排放满足达标排放要求。</w:t>
            </w:r>
          </w:p>
        </w:tc>
        <w:tc>
          <w:tcPr>
            <w:tcW w:w="398" w:type="pct"/>
            <w:vAlign w:val="center"/>
          </w:tcPr>
          <w:p w14:paraId="66F1AD94" w14:textId="77777777" w:rsidR="00A73882" w:rsidRPr="00864A71" w:rsidRDefault="00A73882" w:rsidP="00955092">
            <w:pPr>
              <w:spacing w:line="360" w:lineRule="exact"/>
              <w:jc w:val="center"/>
              <w:rPr>
                <w:rFonts w:asciiTheme="minorHAnsi" w:eastAsiaTheme="minorEastAsia" w:hAnsiTheme="minorHAnsi"/>
                <w:szCs w:val="21"/>
              </w:rPr>
            </w:pPr>
            <w:r w:rsidRPr="00864A71">
              <w:rPr>
                <w:rFonts w:asciiTheme="minorHAnsi" w:hAnsiTheme="minorHAnsi"/>
              </w:rPr>
              <w:t>符合</w:t>
            </w:r>
            <w:r w:rsidR="00955092">
              <w:rPr>
                <w:rFonts w:asciiTheme="minorHAnsi" w:hAnsiTheme="minorHAnsi"/>
                <w:szCs w:val="21"/>
              </w:rPr>
              <w:t>A</w:t>
            </w:r>
            <w:r w:rsidRPr="00864A71">
              <w:rPr>
                <w:rFonts w:asciiTheme="minorHAnsi" w:hAnsiTheme="minorHAnsi"/>
                <w:szCs w:val="21"/>
              </w:rPr>
              <w:t>级企业</w:t>
            </w:r>
            <w:r w:rsidRPr="00864A71">
              <w:rPr>
                <w:rFonts w:asciiTheme="minorHAnsi" w:hAnsiTheme="minorHAnsi"/>
              </w:rPr>
              <w:t>要求</w:t>
            </w:r>
          </w:p>
        </w:tc>
      </w:tr>
      <w:tr w:rsidR="00A73882" w:rsidRPr="00864A71" w14:paraId="63D8A1D1" w14:textId="77777777" w:rsidTr="00955092">
        <w:trPr>
          <w:jc w:val="center"/>
        </w:trPr>
        <w:tc>
          <w:tcPr>
            <w:tcW w:w="1012" w:type="pct"/>
            <w:gridSpan w:val="3"/>
            <w:vAlign w:val="center"/>
          </w:tcPr>
          <w:p w14:paraId="7DC047B6"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监测监控水平</w:t>
            </w:r>
          </w:p>
        </w:tc>
        <w:tc>
          <w:tcPr>
            <w:tcW w:w="1782" w:type="pct"/>
            <w:gridSpan w:val="2"/>
            <w:vAlign w:val="center"/>
          </w:tcPr>
          <w:p w14:paraId="548BFBF7"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、有组织排放口按照生态环境部门要求安装烟气排放自动监控设施（</w:t>
            </w:r>
            <w:r w:rsidRPr="00864A71">
              <w:rPr>
                <w:rFonts w:asciiTheme="minorHAnsi" w:eastAsiaTheme="minorEastAsia" w:hAnsiTheme="minorHAnsi"/>
                <w:szCs w:val="21"/>
              </w:rPr>
              <w:t>CEMS</w:t>
            </w:r>
            <w:r w:rsidRPr="00864A71">
              <w:rPr>
                <w:rFonts w:asciiTheme="minorHAnsi" w:eastAsiaTheme="minorEastAsia" w:hAnsiTheme="minorHAnsi"/>
                <w:szCs w:val="21"/>
              </w:rPr>
              <w:t>），并按照要求联网；</w:t>
            </w:r>
          </w:p>
          <w:p w14:paraId="194E0D79"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、有组织排口按照排污许可证要求开展自行监测；</w:t>
            </w:r>
          </w:p>
          <w:p w14:paraId="62678D28"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、涉气生产线、生产工艺、生产装置及污染治理设施安装有用电监管设备，用电监管设备与省、市生态环境部门用电监管平台联网；</w:t>
            </w:r>
          </w:p>
          <w:p w14:paraId="399F2C32"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4</w:t>
            </w:r>
            <w:r w:rsidRPr="00864A71">
              <w:rPr>
                <w:rFonts w:asciiTheme="minorHAnsi" w:eastAsiaTheme="minorEastAsia" w:hAnsiTheme="minorHAnsi"/>
                <w:szCs w:val="21"/>
              </w:rPr>
              <w:t>、厂内未安装在线监控和用</w:t>
            </w:r>
            <w:r w:rsidRPr="00864A71">
              <w:rPr>
                <w:rFonts w:asciiTheme="minorHAnsi" w:hAnsiTheme="minorHAnsi"/>
                <w:szCs w:val="21"/>
              </w:rPr>
              <w:t>电量监管的涉气设施主</w:t>
            </w:r>
            <w:r w:rsidRPr="00864A71">
              <w:rPr>
                <w:rFonts w:asciiTheme="minorHAnsi" w:hAnsiTheme="minorHAnsi"/>
                <w:szCs w:val="21"/>
              </w:rPr>
              <w:lastRenderedPageBreak/>
              <w:t>要投料口、卸料口等位置安装视频监控设施，数据可保存三个月以上。</w:t>
            </w:r>
          </w:p>
        </w:tc>
        <w:tc>
          <w:tcPr>
            <w:tcW w:w="559" w:type="pct"/>
            <w:vAlign w:val="center"/>
          </w:tcPr>
          <w:p w14:paraId="2A6F4CE3"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lastRenderedPageBreak/>
              <w:t>不满足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c>
          <w:tcPr>
            <w:tcW w:w="1249" w:type="pct"/>
            <w:vAlign w:val="center"/>
          </w:tcPr>
          <w:p w14:paraId="0AE56853" w14:textId="77777777" w:rsidR="00A73882" w:rsidRPr="00864A71" w:rsidRDefault="00A73882" w:rsidP="00CE7021">
            <w:pPr>
              <w:spacing w:line="360" w:lineRule="exac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w:t>
            </w:r>
            <w:r>
              <w:rPr>
                <w:rFonts w:asciiTheme="minorHAnsi" w:eastAsiaTheme="minorEastAsia" w:hAnsiTheme="minorHAnsi" w:hint="eastAsia"/>
                <w:szCs w:val="21"/>
              </w:rPr>
              <w:t>不涉及</w:t>
            </w:r>
            <w:r w:rsidRPr="00864A71">
              <w:rPr>
                <w:rFonts w:asciiTheme="minorHAnsi" w:eastAsiaTheme="minorEastAsia" w:hAnsiTheme="minorHAnsi"/>
                <w:szCs w:val="21"/>
              </w:rPr>
              <w:t>；</w:t>
            </w:r>
          </w:p>
          <w:p w14:paraId="1DDFF30C" w14:textId="77777777" w:rsidR="00A73882" w:rsidRPr="00864A71" w:rsidRDefault="00A73882" w:rsidP="00CE7021">
            <w:pPr>
              <w:spacing w:line="360" w:lineRule="exac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、有组织排口按照排污许可证要求开展自行监测；</w:t>
            </w:r>
          </w:p>
          <w:p w14:paraId="337BE45C" w14:textId="77777777" w:rsidR="00A73882" w:rsidRPr="00864A71" w:rsidRDefault="00A73882" w:rsidP="00CE7021">
            <w:pPr>
              <w:spacing w:line="360" w:lineRule="exac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、涉气生产线、生产工艺、生产装置及污染治理设施安装有用电监管设备，用电监管设备与省、市生态环境部门用电监管平台联网。</w:t>
            </w:r>
          </w:p>
        </w:tc>
        <w:tc>
          <w:tcPr>
            <w:tcW w:w="398" w:type="pct"/>
            <w:vAlign w:val="center"/>
          </w:tcPr>
          <w:p w14:paraId="32F45E76"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r>
      <w:tr w:rsidR="00A73882" w:rsidRPr="00864A71" w14:paraId="48070D5B" w14:textId="77777777" w:rsidTr="00955092">
        <w:trPr>
          <w:jc w:val="center"/>
        </w:trPr>
        <w:tc>
          <w:tcPr>
            <w:tcW w:w="1012" w:type="pct"/>
            <w:gridSpan w:val="3"/>
            <w:vMerge w:val="restart"/>
            <w:vAlign w:val="center"/>
          </w:tcPr>
          <w:p w14:paraId="08C4BDA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环境管理水平</w:t>
            </w:r>
          </w:p>
        </w:tc>
        <w:tc>
          <w:tcPr>
            <w:tcW w:w="1782" w:type="pct"/>
            <w:gridSpan w:val="2"/>
            <w:vAlign w:val="center"/>
          </w:tcPr>
          <w:p w14:paraId="7EAD34CA"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、环保档案：</w:t>
            </w:r>
            <w:r w:rsidRPr="00D93CEB">
              <w:rPr>
                <w:rFonts w:ascii="宋体" w:hAnsi="宋体"/>
                <w:szCs w:val="21"/>
              </w:rPr>
              <w:t>①</w:t>
            </w:r>
            <w:r w:rsidRPr="00864A71">
              <w:rPr>
                <w:rFonts w:asciiTheme="minorHAnsi" w:eastAsiaTheme="minorEastAsia" w:hAnsiTheme="minorHAnsi"/>
                <w:szCs w:val="21"/>
              </w:rPr>
              <w:t>环评批复文件或环境现状评估备案证明；</w:t>
            </w:r>
            <w:r w:rsidRPr="00D93CEB">
              <w:rPr>
                <w:rFonts w:asciiTheme="minorEastAsia" w:eastAsiaTheme="minorEastAsia" w:hAnsiTheme="minorEastAsia"/>
                <w:szCs w:val="21"/>
              </w:rPr>
              <w:t>②</w:t>
            </w:r>
            <w:r w:rsidRPr="00864A71">
              <w:rPr>
                <w:rFonts w:asciiTheme="minorHAnsi" w:eastAsiaTheme="minorEastAsia" w:hAnsiTheme="minorHAnsi"/>
                <w:szCs w:val="21"/>
              </w:rPr>
              <w:t>排污许可证；</w:t>
            </w:r>
            <w:r w:rsidRPr="00D93CEB">
              <w:rPr>
                <w:rFonts w:ascii="宋体" w:hAnsi="宋体"/>
                <w:szCs w:val="21"/>
              </w:rPr>
              <w:t>③竣</w:t>
            </w:r>
            <w:r w:rsidRPr="00864A71">
              <w:rPr>
                <w:rFonts w:asciiTheme="minorHAnsi" w:eastAsiaTheme="minorEastAsia" w:hAnsiTheme="minorHAnsi"/>
                <w:szCs w:val="21"/>
              </w:rPr>
              <w:t>工环保验收文件；</w:t>
            </w:r>
            <w:r w:rsidRPr="00D93CEB">
              <w:rPr>
                <w:rFonts w:asciiTheme="minorEastAsia" w:eastAsiaTheme="minorEastAsia" w:hAnsiTheme="minorEastAsia"/>
                <w:szCs w:val="21"/>
              </w:rPr>
              <w:t>④</w:t>
            </w:r>
            <w:r w:rsidRPr="00864A71">
              <w:rPr>
                <w:rFonts w:asciiTheme="minorHAnsi" w:eastAsiaTheme="minorEastAsia" w:hAnsiTheme="minorHAnsi"/>
                <w:szCs w:val="21"/>
              </w:rPr>
              <w:t>环境管理制度</w:t>
            </w:r>
            <w:r w:rsidRPr="00D93CEB">
              <w:rPr>
                <w:rFonts w:ascii="宋体" w:hAnsi="宋体"/>
                <w:szCs w:val="21"/>
              </w:rPr>
              <w:t>；⑤</w:t>
            </w:r>
            <w:r w:rsidRPr="00864A71">
              <w:rPr>
                <w:rFonts w:asciiTheme="minorHAnsi" w:eastAsiaTheme="minorEastAsia" w:hAnsiTheme="minorHAnsi"/>
                <w:szCs w:val="21"/>
              </w:rPr>
              <w:t>废气治理设施运行管理规程；</w:t>
            </w:r>
            <w:r w:rsidRPr="00D93CEB">
              <w:rPr>
                <w:rFonts w:ascii="宋体" w:hAnsi="宋体"/>
                <w:szCs w:val="21"/>
              </w:rPr>
              <w:t>⑥</w:t>
            </w:r>
            <w:r w:rsidRPr="00864A71">
              <w:rPr>
                <w:rFonts w:asciiTheme="minorHAnsi" w:eastAsiaTheme="minorEastAsia" w:hAnsiTheme="minorHAnsi"/>
                <w:szCs w:val="21"/>
              </w:rPr>
              <w:t>一年内废气监测报告；</w:t>
            </w:r>
          </w:p>
        </w:tc>
        <w:tc>
          <w:tcPr>
            <w:tcW w:w="559" w:type="pct"/>
            <w:vAlign w:val="center"/>
          </w:tcPr>
          <w:p w14:paraId="55CF2A42"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c>
          <w:tcPr>
            <w:tcW w:w="1249" w:type="pct"/>
            <w:vAlign w:val="center"/>
          </w:tcPr>
          <w:p w14:paraId="07951001"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szCs w:val="21"/>
              </w:rPr>
              <w:t>评价要求企业建成后严格按照四项要求进行存档，并进行有规范的排气筒监测平台和排污口标识。</w:t>
            </w:r>
          </w:p>
        </w:tc>
        <w:tc>
          <w:tcPr>
            <w:tcW w:w="398" w:type="pct"/>
            <w:vAlign w:val="center"/>
          </w:tcPr>
          <w:p w14:paraId="7C93AAA9"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r>
      <w:tr w:rsidR="00A73882" w:rsidRPr="00864A71" w14:paraId="0009261B" w14:textId="77777777" w:rsidTr="00955092">
        <w:trPr>
          <w:jc w:val="center"/>
        </w:trPr>
        <w:tc>
          <w:tcPr>
            <w:tcW w:w="1012" w:type="pct"/>
            <w:gridSpan w:val="3"/>
            <w:vMerge/>
            <w:vAlign w:val="center"/>
          </w:tcPr>
          <w:p w14:paraId="51982E8E" w14:textId="77777777" w:rsidR="00A73882" w:rsidRPr="00864A71" w:rsidRDefault="00A73882" w:rsidP="00CE7021">
            <w:pPr>
              <w:spacing w:line="360" w:lineRule="exact"/>
              <w:jc w:val="center"/>
              <w:rPr>
                <w:rFonts w:asciiTheme="minorHAnsi" w:eastAsiaTheme="minorEastAsia" w:hAnsiTheme="minorHAnsi"/>
                <w:szCs w:val="21"/>
              </w:rPr>
            </w:pPr>
          </w:p>
        </w:tc>
        <w:tc>
          <w:tcPr>
            <w:tcW w:w="1782" w:type="pct"/>
            <w:gridSpan w:val="2"/>
            <w:vAlign w:val="center"/>
          </w:tcPr>
          <w:p w14:paraId="563ED6E6"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、台账记录：</w:t>
            </w:r>
            <w:r w:rsidRPr="00D93CEB">
              <w:rPr>
                <w:rFonts w:asciiTheme="minorEastAsia" w:eastAsiaTheme="minorEastAsia" w:hAnsiTheme="minorEastAsia"/>
                <w:szCs w:val="21"/>
              </w:rPr>
              <w:t>①生产设施运行管理信息（生产时间、运行负荷、产品产量等）；②废气污染治理设施运行管理信息；③监测记录信息（主要污染排放口废气排放记录等）；④主要原辅材料消耗记录；⑤燃</w:t>
            </w:r>
            <w:r w:rsidRPr="00864A71">
              <w:rPr>
                <w:rFonts w:asciiTheme="minorHAnsi" w:eastAsiaTheme="minorEastAsia" w:hAnsiTheme="minorHAnsi"/>
                <w:szCs w:val="21"/>
              </w:rPr>
              <w:t>料消耗记录</w:t>
            </w:r>
            <w:r w:rsidRPr="00D93CEB">
              <w:rPr>
                <w:rFonts w:asciiTheme="minorEastAsia" w:eastAsiaTheme="minorEastAsia" w:hAnsiTheme="minorEastAsia"/>
                <w:szCs w:val="21"/>
              </w:rPr>
              <w:t>；⑥电消耗</w:t>
            </w:r>
            <w:r w:rsidRPr="00864A71">
              <w:rPr>
                <w:rFonts w:asciiTheme="minorHAnsi" w:eastAsiaTheme="minorEastAsia" w:hAnsiTheme="minorHAnsi"/>
                <w:szCs w:val="21"/>
              </w:rPr>
              <w:t>记录（已安装用电监管的企业）。</w:t>
            </w:r>
          </w:p>
        </w:tc>
        <w:tc>
          <w:tcPr>
            <w:tcW w:w="559" w:type="pct"/>
            <w:vAlign w:val="center"/>
          </w:tcPr>
          <w:p w14:paraId="43C7232D"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c>
          <w:tcPr>
            <w:tcW w:w="1249" w:type="pct"/>
            <w:vAlign w:val="center"/>
          </w:tcPr>
          <w:p w14:paraId="499D4539"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szCs w:val="21"/>
              </w:rPr>
              <w:t>评价要求企业建成后严格按照五项要求完善信息记录。</w:t>
            </w:r>
          </w:p>
        </w:tc>
        <w:tc>
          <w:tcPr>
            <w:tcW w:w="398" w:type="pct"/>
            <w:vAlign w:val="center"/>
          </w:tcPr>
          <w:p w14:paraId="31756750"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r>
      <w:tr w:rsidR="00A73882" w:rsidRPr="00864A71" w14:paraId="246C0FEE" w14:textId="77777777" w:rsidTr="00955092">
        <w:trPr>
          <w:jc w:val="center"/>
        </w:trPr>
        <w:tc>
          <w:tcPr>
            <w:tcW w:w="1012" w:type="pct"/>
            <w:gridSpan w:val="3"/>
            <w:vMerge/>
            <w:vAlign w:val="center"/>
          </w:tcPr>
          <w:p w14:paraId="7A079C91" w14:textId="77777777" w:rsidR="00A73882" w:rsidRPr="00864A71" w:rsidRDefault="00A73882" w:rsidP="00CE7021">
            <w:pPr>
              <w:spacing w:line="360" w:lineRule="exact"/>
              <w:jc w:val="center"/>
              <w:rPr>
                <w:rFonts w:asciiTheme="minorHAnsi" w:eastAsiaTheme="minorEastAsia" w:hAnsiTheme="minorHAnsi"/>
                <w:szCs w:val="21"/>
              </w:rPr>
            </w:pPr>
          </w:p>
        </w:tc>
        <w:tc>
          <w:tcPr>
            <w:tcW w:w="845" w:type="pct"/>
            <w:vAlign w:val="center"/>
          </w:tcPr>
          <w:p w14:paraId="110E60D0"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、设置环保部门，配备专职环保人员，并具备相应的环境管理能力。</w:t>
            </w:r>
          </w:p>
        </w:tc>
        <w:tc>
          <w:tcPr>
            <w:tcW w:w="937" w:type="pct"/>
            <w:vAlign w:val="center"/>
          </w:tcPr>
          <w:p w14:paraId="6FA4CFAB"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、人员配置：配备专（兼）职环保人员，并具备相应的环境管理能力。</w:t>
            </w:r>
          </w:p>
        </w:tc>
        <w:tc>
          <w:tcPr>
            <w:tcW w:w="559" w:type="pct"/>
            <w:vAlign w:val="center"/>
          </w:tcPr>
          <w:p w14:paraId="20BFD799"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B</w:t>
            </w:r>
            <w:r w:rsidRPr="00864A71">
              <w:rPr>
                <w:rFonts w:asciiTheme="minorHAnsi" w:eastAsiaTheme="minorEastAsia" w:hAnsiTheme="minorHAnsi"/>
                <w:szCs w:val="21"/>
              </w:rPr>
              <w:t>级要求</w:t>
            </w:r>
          </w:p>
        </w:tc>
        <w:tc>
          <w:tcPr>
            <w:tcW w:w="1249" w:type="pct"/>
            <w:vAlign w:val="center"/>
          </w:tcPr>
          <w:p w14:paraId="7ABEC173"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企业设置环保部门，配备专职环保人员，并具备相应的环境管理能力。</w:t>
            </w:r>
          </w:p>
        </w:tc>
        <w:tc>
          <w:tcPr>
            <w:tcW w:w="398" w:type="pct"/>
            <w:vAlign w:val="center"/>
          </w:tcPr>
          <w:p w14:paraId="031053D0"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满足</w:t>
            </w:r>
            <w:r w:rsidRPr="00864A71">
              <w:rPr>
                <w:rFonts w:asciiTheme="minorHAnsi" w:eastAsiaTheme="minorEastAsia" w:hAnsiTheme="minorHAnsi"/>
                <w:szCs w:val="21"/>
              </w:rPr>
              <w:t>A</w:t>
            </w:r>
            <w:r w:rsidRPr="00864A71">
              <w:rPr>
                <w:rFonts w:asciiTheme="minorHAnsi" w:eastAsiaTheme="minorEastAsia" w:hAnsiTheme="minorHAnsi"/>
                <w:szCs w:val="21"/>
              </w:rPr>
              <w:t>级要求</w:t>
            </w:r>
          </w:p>
        </w:tc>
      </w:tr>
      <w:tr w:rsidR="00A73882" w:rsidRPr="00864A71" w14:paraId="29E5EFDE" w14:textId="77777777" w:rsidTr="00955092">
        <w:trPr>
          <w:jc w:val="center"/>
        </w:trPr>
        <w:tc>
          <w:tcPr>
            <w:tcW w:w="1012" w:type="pct"/>
            <w:gridSpan w:val="3"/>
            <w:vAlign w:val="center"/>
          </w:tcPr>
          <w:p w14:paraId="60ABEE3C"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运输方式</w:t>
            </w:r>
          </w:p>
        </w:tc>
        <w:tc>
          <w:tcPr>
            <w:tcW w:w="845" w:type="pct"/>
            <w:vAlign w:val="center"/>
          </w:tcPr>
          <w:p w14:paraId="3EDF5D4C"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1</w:t>
            </w:r>
            <w:r w:rsidRPr="00864A71">
              <w:rPr>
                <w:rFonts w:asciiTheme="minorHAnsi" w:eastAsiaTheme="minorEastAsia" w:hAnsiTheme="minorHAnsi"/>
                <w:szCs w:val="21"/>
              </w:rPr>
              <w:t>、物料、产品运输全部使用国五及以上排放标准的重型载货车辆（含燃气）或新能源车辆；</w:t>
            </w:r>
          </w:p>
          <w:p w14:paraId="1A0AFCDC"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2</w:t>
            </w:r>
            <w:r w:rsidRPr="00864A71">
              <w:rPr>
                <w:rFonts w:asciiTheme="minorHAnsi" w:eastAsiaTheme="minorEastAsia" w:hAnsiTheme="minorHAnsi"/>
                <w:szCs w:val="21"/>
              </w:rPr>
              <w:t>、厂区车辆全部达到</w:t>
            </w:r>
            <w:r w:rsidRPr="00864A71">
              <w:rPr>
                <w:rFonts w:asciiTheme="minorHAnsi" w:eastAsiaTheme="minorEastAsia" w:hAnsiTheme="minorHAnsi"/>
                <w:szCs w:val="21"/>
              </w:rPr>
              <w:lastRenderedPageBreak/>
              <w:t>国五及以上排放标准（含燃气）或使用新能源车辆；</w:t>
            </w:r>
          </w:p>
          <w:p w14:paraId="32934C01"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、厂内非道路移动机械达到国三以上标准或使用新能源机械。</w:t>
            </w:r>
          </w:p>
        </w:tc>
        <w:tc>
          <w:tcPr>
            <w:tcW w:w="937" w:type="pct"/>
            <w:vAlign w:val="center"/>
          </w:tcPr>
          <w:p w14:paraId="57D79229"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1</w:t>
            </w:r>
            <w:r w:rsidRPr="00864A71">
              <w:rPr>
                <w:rFonts w:asciiTheme="minorHAnsi" w:eastAsiaTheme="minorEastAsia" w:hAnsiTheme="minorHAnsi"/>
                <w:szCs w:val="21"/>
              </w:rPr>
              <w:t>、公路运输使用国五及以上排放标准的重型载货车辆（含燃气）或新能源车辆比例不低于</w:t>
            </w:r>
            <w:r w:rsidRPr="00864A71">
              <w:rPr>
                <w:rFonts w:asciiTheme="minorHAnsi" w:eastAsiaTheme="minorEastAsia" w:hAnsiTheme="minorHAnsi"/>
                <w:szCs w:val="21"/>
              </w:rPr>
              <w:t>80%</w:t>
            </w:r>
            <w:r w:rsidRPr="00864A71">
              <w:rPr>
                <w:rFonts w:asciiTheme="minorHAnsi" w:eastAsiaTheme="minorEastAsia" w:hAnsiTheme="minorHAnsi"/>
                <w:szCs w:val="21"/>
              </w:rPr>
              <w:t>，其他车辆达到国四排放标准（不含燃气车辆）；</w:t>
            </w:r>
          </w:p>
          <w:p w14:paraId="040F19E5"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lastRenderedPageBreak/>
              <w:t>2</w:t>
            </w:r>
            <w:r w:rsidRPr="00864A71">
              <w:rPr>
                <w:rFonts w:asciiTheme="minorHAnsi" w:eastAsiaTheme="minorEastAsia" w:hAnsiTheme="minorHAnsi"/>
                <w:szCs w:val="21"/>
              </w:rPr>
              <w:t>、厂区运输车辆达到国五及以上排放标准（含燃气）或使用新能源车辆比例不低于</w:t>
            </w:r>
            <w:r w:rsidRPr="00864A71">
              <w:rPr>
                <w:rFonts w:asciiTheme="minorHAnsi" w:eastAsiaTheme="minorEastAsia" w:hAnsiTheme="minorHAnsi"/>
                <w:szCs w:val="21"/>
              </w:rPr>
              <w:t>80%</w:t>
            </w:r>
            <w:r w:rsidRPr="00864A71">
              <w:rPr>
                <w:rFonts w:asciiTheme="minorHAnsi" w:eastAsiaTheme="minorEastAsia" w:hAnsiTheme="minorHAnsi"/>
                <w:szCs w:val="21"/>
              </w:rPr>
              <w:t>，其他车辆达到国四排放标准（不含燃气车辆）；</w:t>
            </w:r>
          </w:p>
          <w:p w14:paraId="5261285A"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eastAsiaTheme="minorEastAsia" w:hAnsiTheme="minorHAnsi"/>
                <w:szCs w:val="21"/>
              </w:rPr>
              <w:t>3</w:t>
            </w:r>
            <w:r w:rsidRPr="00864A71">
              <w:rPr>
                <w:rFonts w:asciiTheme="minorHAnsi" w:eastAsiaTheme="minorEastAsia" w:hAnsiTheme="minorHAnsi"/>
                <w:szCs w:val="21"/>
              </w:rPr>
              <w:t>、同</w:t>
            </w:r>
            <w:r w:rsidRPr="00864A71">
              <w:rPr>
                <w:rFonts w:asciiTheme="minorHAnsi" w:eastAsiaTheme="minorEastAsia" w:hAnsiTheme="minorHAnsi"/>
                <w:szCs w:val="21"/>
              </w:rPr>
              <w:t>A</w:t>
            </w:r>
            <w:r w:rsidRPr="00864A71">
              <w:rPr>
                <w:rFonts w:asciiTheme="minorHAnsi" w:eastAsiaTheme="minorEastAsia" w:hAnsiTheme="minorHAnsi"/>
                <w:szCs w:val="21"/>
              </w:rPr>
              <w:t>级第</w:t>
            </w:r>
            <w:r w:rsidRPr="00864A71">
              <w:rPr>
                <w:rFonts w:asciiTheme="minorHAnsi" w:eastAsiaTheme="minorEastAsia" w:hAnsiTheme="minorHAnsi"/>
                <w:szCs w:val="21"/>
              </w:rPr>
              <w:t>3</w:t>
            </w:r>
            <w:r w:rsidRPr="00864A71">
              <w:rPr>
                <w:rFonts w:asciiTheme="minorHAnsi" w:eastAsiaTheme="minorEastAsia" w:hAnsiTheme="minorHAnsi"/>
                <w:szCs w:val="21"/>
              </w:rPr>
              <w:t>条要求。</w:t>
            </w:r>
          </w:p>
        </w:tc>
        <w:tc>
          <w:tcPr>
            <w:tcW w:w="559" w:type="pct"/>
            <w:vAlign w:val="center"/>
          </w:tcPr>
          <w:p w14:paraId="7455ED71"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lastRenderedPageBreak/>
              <w:t>不满足</w:t>
            </w:r>
            <w:r w:rsidRPr="00864A71">
              <w:rPr>
                <w:rFonts w:asciiTheme="minorHAnsi" w:eastAsiaTheme="minorEastAsia" w:hAnsiTheme="minorHAnsi"/>
                <w:szCs w:val="21"/>
              </w:rPr>
              <w:t>B</w:t>
            </w:r>
            <w:r w:rsidRPr="00864A71">
              <w:rPr>
                <w:rFonts w:asciiTheme="minorHAnsi" w:eastAsiaTheme="minorEastAsia" w:hAnsiTheme="minorHAnsi"/>
                <w:szCs w:val="21"/>
              </w:rPr>
              <w:t>级要求</w:t>
            </w:r>
          </w:p>
        </w:tc>
        <w:tc>
          <w:tcPr>
            <w:tcW w:w="1249" w:type="pct"/>
            <w:vAlign w:val="center"/>
          </w:tcPr>
          <w:p w14:paraId="1F8305B5"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hAnsiTheme="minorHAnsi"/>
                <w:szCs w:val="21"/>
              </w:rPr>
              <w:t>本</w:t>
            </w:r>
            <w:r>
              <w:rPr>
                <w:rFonts w:asciiTheme="minorHAnsi" w:hAnsiTheme="minorHAnsi" w:hint="eastAsia"/>
                <w:szCs w:val="21"/>
              </w:rPr>
              <w:t>项目</w:t>
            </w:r>
            <w:r w:rsidRPr="00864A71">
              <w:rPr>
                <w:rFonts w:asciiTheme="minorHAnsi" w:eastAsiaTheme="minorEastAsia" w:hAnsiTheme="minorHAnsi"/>
                <w:szCs w:val="21"/>
              </w:rPr>
              <w:t>物料、产品运输全部使用国五及以上排放标准的重型载货车辆（含燃气）或新能源车辆；</w:t>
            </w:r>
            <w:r w:rsidRPr="00D93CEB">
              <w:rPr>
                <w:rFonts w:asciiTheme="minorHAnsi" w:eastAsiaTheme="minorEastAsia" w:hAnsiTheme="minorHAnsi" w:hint="eastAsia"/>
                <w:szCs w:val="21"/>
              </w:rPr>
              <w:t>厂区车辆全部达到国五及以上排放标准（含燃气）或使用新能源车辆；厂内非道路移动机械达到国三以上标</w:t>
            </w:r>
            <w:r w:rsidRPr="00D93CEB">
              <w:rPr>
                <w:rFonts w:asciiTheme="minorHAnsi" w:eastAsiaTheme="minorEastAsia" w:hAnsiTheme="minorHAnsi" w:hint="eastAsia"/>
                <w:szCs w:val="21"/>
              </w:rPr>
              <w:lastRenderedPageBreak/>
              <w:t>准或使用新能源机械。</w:t>
            </w:r>
          </w:p>
          <w:p w14:paraId="007EBBC3" w14:textId="77777777" w:rsidR="00A73882" w:rsidRPr="00864A71" w:rsidRDefault="00A73882" w:rsidP="00CE7021">
            <w:pPr>
              <w:spacing w:line="360" w:lineRule="exact"/>
              <w:rPr>
                <w:rFonts w:asciiTheme="minorHAnsi" w:eastAsiaTheme="minorEastAsia" w:hAnsiTheme="minorHAnsi"/>
                <w:szCs w:val="21"/>
              </w:rPr>
            </w:pPr>
          </w:p>
        </w:tc>
        <w:tc>
          <w:tcPr>
            <w:tcW w:w="398" w:type="pct"/>
            <w:vAlign w:val="center"/>
          </w:tcPr>
          <w:p w14:paraId="18F5D480"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lastRenderedPageBreak/>
              <w:t>满足</w:t>
            </w:r>
            <w:r>
              <w:rPr>
                <w:rFonts w:asciiTheme="minorHAnsi" w:eastAsiaTheme="minorEastAsia" w:hAnsiTheme="minorHAnsi"/>
                <w:szCs w:val="21"/>
              </w:rPr>
              <w:t>A</w:t>
            </w:r>
            <w:r w:rsidRPr="00864A71">
              <w:rPr>
                <w:rFonts w:asciiTheme="minorHAnsi" w:eastAsiaTheme="minorEastAsia" w:hAnsiTheme="minorHAnsi"/>
                <w:szCs w:val="21"/>
              </w:rPr>
              <w:t>级要求</w:t>
            </w:r>
          </w:p>
        </w:tc>
      </w:tr>
      <w:tr w:rsidR="00A73882" w:rsidRPr="00864A71" w14:paraId="65FA487D" w14:textId="77777777" w:rsidTr="00955092">
        <w:trPr>
          <w:jc w:val="center"/>
        </w:trPr>
        <w:tc>
          <w:tcPr>
            <w:tcW w:w="1012" w:type="pct"/>
            <w:gridSpan w:val="3"/>
            <w:vAlign w:val="center"/>
          </w:tcPr>
          <w:p w14:paraId="752FF3EB"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运输监管</w:t>
            </w:r>
          </w:p>
        </w:tc>
        <w:tc>
          <w:tcPr>
            <w:tcW w:w="1782" w:type="pct"/>
            <w:gridSpan w:val="2"/>
            <w:vAlign w:val="center"/>
          </w:tcPr>
          <w:p w14:paraId="4BAD85E1" w14:textId="77777777" w:rsidR="00A73882" w:rsidRPr="00864A71" w:rsidRDefault="00A73882" w:rsidP="00CE7021">
            <w:pPr>
              <w:spacing w:line="360" w:lineRule="exact"/>
              <w:jc w:val="left"/>
              <w:rPr>
                <w:rFonts w:asciiTheme="minorHAnsi" w:eastAsiaTheme="minorEastAsia" w:hAnsiTheme="minorHAnsi"/>
                <w:szCs w:val="21"/>
              </w:rPr>
            </w:pPr>
            <w:r w:rsidRPr="00864A71">
              <w:rPr>
                <w:rFonts w:asciiTheme="minorHAnsi" w:hAnsiTheme="minorHAnsi"/>
                <w:szCs w:val="21"/>
              </w:rPr>
              <w:t>日均进出货物</w:t>
            </w:r>
            <w:r w:rsidRPr="00864A71">
              <w:rPr>
                <w:rFonts w:asciiTheme="minorHAnsi" w:hAnsiTheme="minorHAnsi"/>
                <w:szCs w:val="21"/>
              </w:rPr>
              <w:t>150</w:t>
            </w:r>
            <w:r w:rsidRPr="00864A71">
              <w:rPr>
                <w:rFonts w:asciiTheme="minorHAnsi" w:hAnsiTheme="minorHAnsi"/>
                <w:szCs w:val="21"/>
              </w:rPr>
              <w:t>吨（或载货车辆日进出</w:t>
            </w:r>
            <w:r w:rsidRPr="00864A71">
              <w:rPr>
                <w:rFonts w:asciiTheme="minorHAnsi" w:hAnsiTheme="minorHAnsi"/>
                <w:szCs w:val="21"/>
              </w:rPr>
              <w:t>10</w:t>
            </w:r>
            <w:r w:rsidRPr="00864A71">
              <w:rPr>
                <w:rFonts w:asciiTheme="minorHAnsi" w:hAnsiTheme="minorHAnsi"/>
                <w:szCs w:val="21"/>
              </w:rPr>
              <w:t>辆次）及以上（货物包括原料、辅料、燃料、产品和其他与生产相关物料）的企业，或纳入我省重点行业年产值</w:t>
            </w:r>
            <w:r w:rsidRPr="00864A71">
              <w:rPr>
                <w:rFonts w:asciiTheme="minorHAnsi" w:hAnsiTheme="minorHAnsi"/>
                <w:szCs w:val="21"/>
              </w:rPr>
              <w:t>1000</w:t>
            </w:r>
            <w:r w:rsidRPr="00864A71">
              <w:rPr>
                <w:rFonts w:asciiTheme="minorHAnsi" w:hAnsiTheme="minorHAnsi"/>
                <w:szCs w:val="21"/>
              </w:rPr>
              <w:t>万及以上的企业，应参照《重污染天气重点行业移动源应急管理技术指南》建立门禁视频监控系统和电子台账；其他企业建立电子台账。</w:t>
            </w:r>
          </w:p>
        </w:tc>
        <w:tc>
          <w:tcPr>
            <w:tcW w:w="559" w:type="pct"/>
            <w:vAlign w:val="center"/>
          </w:tcPr>
          <w:p w14:paraId="5AF5E293"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不满足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c>
          <w:tcPr>
            <w:tcW w:w="1249" w:type="pct"/>
            <w:vAlign w:val="center"/>
          </w:tcPr>
          <w:p w14:paraId="26021970"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hAnsiTheme="minorHAnsi"/>
                <w:szCs w:val="21"/>
              </w:rPr>
              <w:t>评价要求企业应按照《重污染天气重点行业移动源应急管理技术指南》建立门禁视频监控系统和电子台账；其他企业建立电子台账。</w:t>
            </w:r>
          </w:p>
        </w:tc>
        <w:tc>
          <w:tcPr>
            <w:tcW w:w="398" w:type="pct"/>
            <w:vAlign w:val="center"/>
          </w:tcPr>
          <w:p w14:paraId="3996B714" w14:textId="77777777" w:rsidR="00A73882" w:rsidRPr="00864A71" w:rsidRDefault="00A73882" w:rsidP="00CE7021">
            <w:pPr>
              <w:spacing w:line="360" w:lineRule="exact"/>
              <w:jc w:val="center"/>
              <w:rPr>
                <w:rFonts w:asciiTheme="minorHAnsi" w:eastAsiaTheme="minorEastAsia" w:hAnsiTheme="minorHAnsi"/>
                <w:szCs w:val="21"/>
              </w:rPr>
            </w:pPr>
            <w:r w:rsidRPr="00864A71">
              <w:rPr>
                <w:rFonts w:asciiTheme="minorHAnsi" w:eastAsiaTheme="minorEastAsia" w:hAnsiTheme="minorHAnsi"/>
                <w:szCs w:val="21"/>
              </w:rPr>
              <w:t>满足</w:t>
            </w:r>
            <w:r w:rsidRPr="00864A71">
              <w:rPr>
                <w:rFonts w:asciiTheme="minorHAnsi" w:eastAsiaTheme="minorEastAsia" w:hAnsiTheme="minorHAnsi"/>
                <w:szCs w:val="21"/>
              </w:rPr>
              <w:t>AB</w:t>
            </w:r>
            <w:r w:rsidRPr="00864A71">
              <w:rPr>
                <w:rFonts w:asciiTheme="minorHAnsi" w:eastAsiaTheme="minorEastAsia" w:hAnsiTheme="minorHAnsi"/>
                <w:szCs w:val="21"/>
              </w:rPr>
              <w:t>级要求</w:t>
            </w:r>
          </w:p>
        </w:tc>
      </w:tr>
    </w:tbl>
    <w:p w14:paraId="4DBBD587" w14:textId="77777777" w:rsidR="00A73882" w:rsidRPr="0061483B" w:rsidRDefault="00A73882" w:rsidP="00A73882">
      <w:pPr>
        <w:spacing w:line="520" w:lineRule="exact"/>
        <w:ind w:firstLineChars="200" w:firstLine="480"/>
        <w:jc w:val="left"/>
        <w:rPr>
          <w:rFonts w:asciiTheme="minorHAnsi" w:eastAsia="黑体" w:hAnsiTheme="minorHAnsi"/>
          <w:sz w:val="24"/>
        </w:rPr>
      </w:pPr>
      <w:r w:rsidRPr="0061483B">
        <w:rPr>
          <w:rFonts w:asciiTheme="minorHAnsi" w:hAnsiTheme="minorHAnsi"/>
          <w:sz w:val="24"/>
        </w:rPr>
        <w:t>经比对，项目绩效分级能够达到《平顶山重污染天气通用行业应急减排措施制定技术指南（试行）》中</w:t>
      </w:r>
      <w:r w:rsidRPr="0061483B">
        <w:rPr>
          <w:rFonts w:asciiTheme="minorHAnsi" w:hAnsiTheme="minorHAnsi"/>
          <w:sz w:val="24"/>
        </w:rPr>
        <w:t>B</w:t>
      </w:r>
      <w:r w:rsidRPr="0061483B">
        <w:rPr>
          <w:rFonts w:asciiTheme="minorHAnsi" w:hAnsiTheme="minorHAnsi"/>
          <w:sz w:val="24"/>
        </w:rPr>
        <w:t>级企业要求。</w:t>
      </w:r>
    </w:p>
    <w:p w14:paraId="39FB6805" w14:textId="77777777" w:rsidR="00A73882" w:rsidRPr="00A73882" w:rsidRDefault="00A73882" w:rsidP="00A8223D">
      <w:pPr>
        <w:spacing w:line="520" w:lineRule="exact"/>
        <w:ind w:firstLineChars="300" w:firstLine="720"/>
        <w:rPr>
          <w:rFonts w:ascii="黑体" w:eastAsia="黑体"/>
          <w:sz w:val="24"/>
        </w:rPr>
      </w:pPr>
    </w:p>
    <w:p w14:paraId="7CD268B2" w14:textId="77777777" w:rsidR="00A73882" w:rsidRDefault="00A73882" w:rsidP="00A73882">
      <w:pPr>
        <w:spacing w:line="520" w:lineRule="exact"/>
        <w:rPr>
          <w:rFonts w:ascii="黑体" w:eastAsia="黑体"/>
          <w:sz w:val="24"/>
        </w:rPr>
      </w:pPr>
    </w:p>
    <w:p w14:paraId="2F076F8C" w14:textId="77777777" w:rsidR="00A73882" w:rsidRDefault="00A73882" w:rsidP="00A73882">
      <w:pPr>
        <w:spacing w:line="520" w:lineRule="exact"/>
        <w:rPr>
          <w:rFonts w:ascii="黑体" w:eastAsia="黑体"/>
          <w:sz w:val="24"/>
        </w:rPr>
      </w:pPr>
    </w:p>
    <w:p w14:paraId="4B4F2381" w14:textId="77777777" w:rsidR="001A4912" w:rsidRDefault="001A4912" w:rsidP="00A73882">
      <w:pPr>
        <w:spacing w:line="520" w:lineRule="exact"/>
        <w:rPr>
          <w:rFonts w:ascii="黑体" w:eastAsia="黑体"/>
          <w:sz w:val="24"/>
        </w:rPr>
      </w:pPr>
    </w:p>
    <w:p w14:paraId="3611D6F1" w14:textId="77777777" w:rsidR="001A4912" w:rsidRDefault="001A4912" w:rsidP="00A73882">
      <w:pPr>
        <w:spacing w:line="520" w:lineRule="exact"/>
        <w:rPr>
          <w:rFonts w:ascii="黑体" w:eastAsia="黑体"/>
          <w:sz w:val="24"/>
        </w:rPr>
      </w:pPr>
    </w:p>
    <w:p w14:paraId="656FB58A" w14:textId="77777777" w:rsidR="00A8223D" w:rsidRPr="00764293" w:rsidRDefault="00A8223D" w:rsidP="00A8223D">
      <w:pPr>
        <w:spacing w:line="520" w:lineRule="exact"/>
        <w:ind w:firstLineChars="300" w:firstLine="720"/>
        <w:rPr>
          <w:rFonts w:ascii="黑体" w:eastAsia="黑体"/>
          <w:sz w:val="24"/>
        </w:rPr>
      </w:pPr>
      <w:r w:rsidRPr="00764293">
        <w:rPr>
          <w:rFonts w:ascii="黑体" w:eastAsia="黑体" w:hint="eastAsia"/>
          <w:sz w:val="24"/>
        </w:rPr>
        <w:lastRenderedPageBreak/>
        <w:t>表</w:t>
      </w:r>
      <w:r>
        <w:rPr>
          <w:rFonts w:asciiTheme="minorHAnsi" w:eastAsia="黑体" w:hAnsiTheme="minorHAnsi"/>
          <w:sz w:val="24"/>
        </w:rPr>
        <w:t>1.8</w:t>
      </w:r>
      <w:r w:rsidR="004F1F5C">
        <w:rPr>
          <w:rFonts w:asciiTheme="minorHAnsi" w:eastAsia="黑体" w:hAnsiTheme="minorHAnsi"/>
          <w:sz w:val="24"/>
        </w:rPr>
        <w:t>-19</w:t>
      </w:r>
      <w:r w:rsidRPr="00A8223D">
        <w:rPr>
          <w:rFonts w:asciiTheme="minorHAnsi" w:eastAsia="黑体" w:hAnsiTheme="minorHAnsi"/>
          <w:sz w:val="24"/>
        </w:rPr>
        <w:t xml:space="preserve">  </w:t>
      </w:r>
      <w:r>
        <w:rPr>
          <w:rFonts w:ascii="黑体" w:eastAsia="黑体" w:hint="eastAsia"/>
          <w:sz w:val="24"/>
        </w:rPr>
        <w:t xml:space="preserve">        本次项目与</w:t>
      </w:r>
      <w:r w:rsidRPr="00764293">
        <w:rPr>
          <w:rFonts w:ascii="黑体" w:eastAsia="黑体" w:hint="eastAsia"/>
          <w:sz w:val="24"/>
        </w:rPr>
        <w:t>通用行业应急减排措施制定技术指南中涉锅炉绩效分级指标</w:t>
      </w:r>
      <w:r>
        <w:rPr>
          <w:rFonts w:ascii="黑体" w:eastAsia="黑体" w:hint="eastAsia"/>
          <w:sz w:val="24"/>
        </w:rPr>
        <w:t>相符性</w:t>
      </w:r>
      <w:r w:rsidRPr="00764293">
        <w:rPr>
          <w:rFonts w:ascii="黑体" w:eastAsia="黑体" w:hint="eastAsia"/>
          <w:sz w:val="24"/>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1"/>
        <w:gridCol w:w="780"/>
        <w:gridCol w:w="3479"/>
        <w:gridCol w:w="3802"/>
        <w:gridCol w:w="3566"/>
        <w:gridCol w:w="1730"/>
      </w:tblGrid>
      <w:tr w:rsidR="00A8223D" w:rsidRPr="00A8223D" w14:paraId="3A3A7F52" w14:textId="77777777" w:rsidTr="00DD5619">
        <w:trPr>
          <w:trHeight w:val="365"/>
          <w:tblHeader/>
          <w:jc w:val="center"/>
        </w:trPr>
        <w:tc>
          <w:tcPr>
            <w:tcW w:w="485" w:type="pct"/>
            <w:gridSpan w:val="2"/>
            <w:shd w:val="clear" w:color="auto" w:fill="auto"/>
            <w:vAlign w:val="center"/>
          </w:tcPr>
          <w:p w14:paraId="09944EBF"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差异化指标</w:t>
            </w:r>
          </w:p>
        </w:tc>
        <w:tc>
          <w:tcPr>
            <w:tcW w:w="1249" w:type="pct"/>
            <w:shd w:val="clear" w:color="auto" w:fill="auto"/>
            <w:vAlign w:val="center"/>
          </w:tcPr>
          <w:p w14:paraId="199DA02C"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A</w:t>
            </w:r>
            <w:r w:rsidRPr="00A8223D">
              <w:rPr>
                <w:rFonts w:asciiTheme="minorHAnsi" w:hAnsiTheme="minorHAnsi"/>
                <w:szCs w:val="21"/>
              </w:rPr>
              <w:t>级企业</w:t>
            </w:r>
          </w:p>
        </w:tc>
        <w:tc>
          <w:tcPr>
            <w:tcW w:w="1365" w:type="pct"/>
            <w:shd w:val="clear" w:color="auto" w:fill="auto"/>
            <w:vAlign w:val="center"/>
          </w:tcPr>
          <w:p w14:paraId="4F1686F5"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B</w:t>
            </w:r>
            <w:r w:rsidRPr="00A8223D">
              <w:rPr>
                <w:rFonts w:asciiTheme="minorHAnsi" w:hAnsiTheme="minorHAnsi"/>
                <w:szCs w:val="21"/>
              </w:rPr>
              <w:t>级企业</w:t>
            </w:r>
          </w:p>
        </w:tc>
        <w:tc>
          <w:tcPr>
            <w:tcW w:w="1280" w:type="pct"/>
            <w:shd w:val="clear" w:color="auto" w:fill="auto"/>
            <w:vAlign w:val="center"/>
          </w:tcPr>
          <w:p w14:paraId="2E445014"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本次工程</w:t>
            </w:r>
          </w:p>
        </w:tc>
        <w:tc>
          <w:tcPr>
            <w:tcW w:w="621" w:type="pct"/>
            <w:vAlign w:val="center"/>
          </w:tcPr>
          <w:p w14:paraId="0DC0D866"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比对</w:t>
            </w:r>
          </w:p>
        </w:tc>
      </w:tr>
      <w:tr w:rsidR="00A8223D" w:rsidRPr="00A8223D" w14:paraId="03D7500D" w14:textId="77777777" w:rsidTr="00DD5619">
        <w:trPr>
          <w:trHeight w:val="766"/>
          <w:jc w:val="center"/>
        </w:trPr>
        <w:tc>
          <w:tcPr>
            <w:tcW w:w="485" w:type="pct"/>
            <w:gridSpan w:val="2"/>
            <w:shd w:val="clear" w:color="auto" w:fill="auto"/>
            <w:vAlign w:val="center"/>
          </w:tcPr>
          <w:p w14:paraId="71334474"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能源类型</w:t>
            </w:r>
          </w:p>
        </w:tc>
        <w:tc>
          <w:tcPr>
            <w:tcW w:w="1249" w:type="pct"/>
            <w:shd w:val="clear" w:color="auto" w:fill="auto"/>
            <w:vAlign w:val="center"/>
          </w:tcPr>
          <w:p w14:paraId="56D603E9"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以电、天然气为能源</w:t>
            </w:r>
          </w:p>
        </w:tc>
        <w:tc>
          <w:tcPr>
            <w:tcW w:w="1365" w:type="pct"/>
            <w:shd w:val="clear" w:color="auto" w:fill="auto"/>
            <w:vAlign w:val="center"/>
          </w:tcPr>
          <w:p w14:paraId="6B60DF87" w14:textId="77777777" w:rsidR="00A8223D" w:rsidRPr="00A8223D" w:rsidRDefault="00A8223D" w:rsidP="00517F10">
            <w:pPr>
              <w:spacing w:line="360" w:lineRule="exact"/>
              <w:ind w:firstLineChars="100" w:firstLine="210"/>
              <w:jc w:val="center"/>
              <w:rPr>
                <w:rFonts w:asciiTheme="minorHAnsi" w:hAnsiTheme="minorHAnsi"/>
                <w:szCs w:val="21"/>
              </w:rPr>
            </w:pPr>
            <w:r w:rsidRPr="00A8223D">
              <w:rPr>
                <w:rFonts w:asciiTheme="minorHAnsi" w:hAnsiTheme="minorHAnsi"/>
                <w:szCs w:val="21"/>
              </w:rPr>
              <w:t>其他</w:t>
            </w:r>
          </w:p>
        </w:tc>
        <w:tc>
          <w:tcPr>
            <w:tcW w:w="1280" w:type="pct"/>
            <w:shd w:val="clear" w:color="auto" w:fill="auto"/>
            <w:vAlign w:val="center"/>
          </w:tcPr>
          <w:p w14:paraId="7E6C2EBB" w14:textId="5336907B" w:rsidR="00A8223D" w:rsidRPr="00A8223D" w:rsidRDefault="0091142E" w:rsidP="00517F10">
            <w:pPr>
              <w:spacing w:line="360" w:lineRule="exact"/>
              <w:rPr>
                <w:rFonts w:asciiTheme="minorHAnsi" w:hAnsiTheme="minorHAnsi"/>
                <w:szCs w:val="21"/>
              </w:rPr>
            </w:pPr>
            <w:r>
              <w:rPr>
                <w:rFonts w:asciiTheme="minorHAnsi" w:hAnsiTheme="minorHAnsi" w:hint="eastAsia"/>
                <w:szCs w:val="21"/>
              </w:rPr>
              <w:t>本次工程</w:t>
            </w:r>
            <w:r>
              <w:rPr>
                <w:rFonts w:asciiTheme="minorHAnsi" w:hAnsiTheme="minorHAnsi"/>
                <w:szCs w:val="21"/>
              </w:rPr>
              <w:t>建设</w:t>
            </w:r>
            <w:r w:rsidR="00A8223D">
              <w:rPr>
                <w:rFonts w:asciiTheme="minorHAnsi" w:hAnsiTheme="minorHAnsi"/>
                <w:szCs w:val="21"/>
              </w:rPr>
              <w:t>125</w:t>
            </w:r>
            <w:r w:rsidR="00A8223D" w:rsidRPr="00A8223D">
              <w:rPr>
                <w:rFonts w:asciiTheme="minorHAnsi" w:hAnsiTheme="minorHAnsi"/>
                <w:szCs w:val="21"/>
              </w:rPr>
              <w:t>万</w:t>
            </w:r>
            <w:r w:rsidR="00A8223D" w:rsidRPr="00A8223D">
              <w:rPr>
                <w:rFonts w:asciiTheme="minorHAnsi" w:hAnsiTheme="minorHAnsi"/>
                <w:szCs w:val="21"/>
              </w:rPr>
              <w:t>kcal</w:t>
            </w:r>
            <w:r w:rsidR="00A8223D" w:rsidRPr="00A8223D">
              <w:rPr>
                <w:rFonts w:asciiTheme="minorHAnsi" w:hAnsiTheme="minorHAnsi"/>
                <w:szCs w:val="21"/>
              </w:rPr>
              <w:t>（折合</w:t>
            </w:r>
            <w:r w:rsidR="00A8223D" w:rsidRPr="00A8223D">
              <w:rPr>
                <w:rFonts w:asciiTheme="minorHAnsi" w:hAnsiTheme="minorHAnsi"/>
                <w:szCs w:val="21"/>
              </w:rPr>
              <w:t>2t/h</w:t>
            </w:r>
            <w:r w:rsidR="00A8223D" w:rsidRPr="00A8223D">
              <w:rPr>
                <w:rFonts w:asciiTheme="minorHAnsi" w:hAnsiTheme="minorHAnsi"/>
                <w:szCs w:val="21"/>
              </w:rPr>
              <w:t>）的导热油炉</w:t>
            </w:r>
            <w:r w:rsidR="00A8223D">
              <w:rPr>
                <w:rFonts w:asciiTheme="minorHAnsi" w:hAnsiTheme="minorHAnsi"/>
                <w:szCs w:val="21"/>
              </w:rPr>
              <w:t>2</w:t>
            </w:r>
            <w:r w:rsidR="00A8223D" w:rsidRPr="00A8223D">
              <w:rPr>
                <w:rFonts w:asciiTheme="minorHAnsi" w:hAnsiTheme="minorHAnsi"/>
                <w:szCs w:val="21"/>
              </w:rPr>
              <w:t>台，燃料采用天然气。</w:t>
            </w:r>
          </w:p>
        </w:tc>
        <w:tc>
          <w:tcPr>
            <w:tcW w:w="621" w:type="pct"/>
            <w:vAlign w:val="center"/>
          </w:tcPr>
          <w:p w14:paraId="1749C355" w14:textId="77777777" w:rsidR="00A8223D" w:rsidRPr="00A8223D" w:rsidRDefault="00A8223D" w:rsidP="00517F10">
            <w:pPr>
              <w:spacing w:line="360" w:lineRule="exact"/>
              <w:jc w:val="center"/>
              <w:rPr>
                <w:rFonts w:asciiTheme="minorHAnsi" w:hAnsiTheme="minorHAnsi"/>
                <w:szCs w:val="21"/>
              </w:rPr>
            </w:pPr>
            <w:r w:rsidRPr="00517F10">
              <w:rPr>
                <w:rFonts w:asciiTheme="minorHAnsi" w:hAnsiTheme="minorHAnsi"/>
                <w:szCs w:val="21"/>
              </w:rPr>
              <w:t>符合</w:t>
            </w:r>
            <w:r w:rsidRPr="00A8223D">
              <w:rPr>
                <w:rFonts w:asciiTheme="minorHAnsi" w:hAnsiTheme="minorHAnsi"/>
                <w:szCs w:val="21"/>
              </w:rPr>
              <w:t>A</w:t>
            </w:r>
            <w:r w:rsidRPr="00A8223D">
              <w:rPr>
                <w:rFonts w:asciiTheme="minorHAnsi" w:hAnsiTheme="minorHAnsi"/>
                <w:szCs w:val="21"/>
              </w:rPr>
              <w:t>级企业</w:t>
            </w:r>
            <w:r w:rsidRPr="00517F10">
              <w:rPr>
                <w:rFonts w:asciiTheme="minorHAnsi" w:hAnsiTheme="minorHAnsi"/>
                <w:szCs w:val="21"/>
              </w:rPr>
              <w:t>要求</w:t>
            </w:r>
          </w:p>
        </w:tc>
      </w:tr>
      <w:tr w:rsidR="00A8223D" w:rsidRPr="00A8223D" w14:paraId="5B86934A" w14:textId="77777777" w:rsidTr="00DD5619">
        <w:trPr>
          <w:trHeight w:val="1037"/>
          <w:jc w:val="center"/>
        </w:trPr>
        <w:tc>
          <w:tcPr>
            <w:tcW w:w="485" w:type="pct"/>
            <w:gridSpan w:val="2"/>
            <w:shd w:val="clear" w:color="auto" w:fill="auto"/>
            <w:vAlign w:val="center"/>
          </w:tcPr>
          <w:p w14:paraId="7626B0BA"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生产工艺</w:t>
            </w:r>
          </w:p>
        </w:tc>
        <w:tc>
          <w:tcPr>
            <w:tcW w:w="2614" w:type="pct"/>
            <w:gridSpan w:val="2"/>
            <w:shd w:val="clear" w:color="auto" w:fill="auto"/>
            <w:vAlign w:val="center"/>
          </w:tcPr>
          <w:p w14:paraId="4556BDA4" w14:textId="77777777" w:rsidR="00A8223D" w:rsidRPr="00A8223D" w:rsidRDefault="00A8223D" w:rsidP="00517F10">
            <w:pPr>
              <w:spacing w:line="360" w:lineRule="exact"/>
              <w:rPr>
                <w:rFonts w:asciiTheme="minorHAnsi" w:hAnsiTheme="minorHAnsi"/>
                <w:szCs w:val="21"/>
              </w:rPr>
            </w:pPr>
            <w:r w:rsidRPr="00A8223D">
              <w:rPr>
                <w:rFonts w:asciiTheme="minorHAnsi" w:hAnsiTheme="minorHAnsi"/>
                <w:szCs w:val="21"/>
              </w:rPr>
              <w:t>1.</w:t>
            </w:r>
            <w:r w:rsidRPr="00A8223D">
              <w:rPr>
                <w:rFonts w:asciiTheme="minorHAnsi" w:hAnsiTheme="minorHAnsi"/>
                <w:szCs w:val="21"/>
              </w:rPr>
              <w:t>属于《产业结构调整指导目录（</w:t>
            </w:r>
            <w:r w:rsidRPr="00A8223D">
              <w:rPr>
                <w:rFonts w:asciiTheme="minorHAnsi" w:hAnsiTheme="minorHAnsi"/>
                <w:szCs w:val="21"/>
              </w:rPr>
              <w:t>2019</w:t>
            </w:r>
            <w:r w:rsidRPr="00A8223D">
              <w:rPr>
                <w:rFonts w:asciiTheme="minorHAnsi" w:hAnsiTheme="minorHAnsi"/>
                <w:szCs w:val="21"/>
              </w:rPr>
              <w:t>年版）》鼓励类和允许类；</w:t>
            </w:r>
            <w:r w:rsidRPr="00A8223D">
              <w:rPr>
                <w:rFonts w:asciiTheme="minorHAnsi" w:hAnsiTheme="minorHAnsi"/>
                <w:szCs w:val="21"/>
              </w:rPr>
              <w:t>2.</w:t>
            </w:r>
            <w:r w:rsidRPr="00A8223D">
              <w:rPr>
                <w:rFonts w:asciiTheme="minorHAnsi" w:hAnsiTheme="minorHAnsi"/>
                <w:szCs w:val="21"/>
              </w:rPr>
              <w:t>符合相关行业产业政策；</w:t>
            </w:r>
            <w:r w:rsidRPr="00A8223D">
              <w:rPr>
                <w:rFonts w:asciiTheme="minorHAnsi" w:hAnsiTheme="minorHAnsi"/>
                <w:szCs w:val="21"/>
              </w:rPr>
              <w:t>3.</w:t>
            </w:r>
            <w:r w:rsidRPr="00A8223D">
              <w:rPr>
                <w:rFonts w:asciiTheme="minorHAnsi" w:hAnsiTheme="minorHAnsi"/>
                <w:szCs w:val="21"/>
              </w:rPr>
              <w:t>符合河南省相关政策要求；</w:t>
            </w:r>
            <w:r w:rsidRPr="00A8223D">
              <w:rPr>
                <w:rFonts w:asciiTheme="minorHAnsi" w:hAnsiTheme="minorHAnsi"/>
                <w:szCs w:val="21"/>
              </w:rPr>
              <w:t>4.</w:t>
            </w:r>
            <w:r w:rsidRPr="00A8223D">
              <w:rPr>
                <w:rFonts w:asciiTheme="minorHAnsi" w:hAnsiTheme="minorHAnsi"/>
                <w:szCs w:val="21"/>
              </w:rPr>
              <w:t>符合市级规划。</w:t>
            </w:r>
          </w:p>
        </w:tc>
        <w:tc>
          <w:tcPr>
            <w:tcW w:w="1280" w:type="pct"/>
            <w:shd w:val="clear" w:color="auto" w:fill="auto"/>
            <w:vAlign w:val="center"/>
          </w:tcPr>
          <w:p w14:paraId="2BB60FFA" w14:textId="1538B053" w:rsidR="00A8223D" w:rsidRPr="00A8223D" w:rsidRDefault="00A8223D" w:rsidP="00517F10">
            <w:pPr>
              <w:spacing w:line="360" w:lineRule="exact"/>
              <w:rPr>
                <w:rFonts w:asciiTheme="minorHAnsi" w:hAnsiTheme="minorHAnsi"/>
                <w:szCs w:val="21"/>
              </w:rPr>
            </w:pPr>
            <w:r w:rsidRPr="00A8223D">
              <w:rPr>
                <w:rFonts w:asciiTheme="minorHAnsi" w:hAnsiTheme="minorHAnsi"/>
                <w:szCs w:val="21"/>
              </w:rPr>
              <w:t>经比对，本次工程《产业结构调整指导目录（</w:t>
            </w:r>
            <w:r w:rsidRPr="00A8223D">
              <w:rPr>
                <w:rFonts w:asciiTheme="minorHAnsi" w:hAnsiTheme="minorHAnsi"/>
                <w:szCs w:val="21"/>
              </w:rPr>
              <w:t>2019</w:t>
            </w:r>
            <w:r w:rsidRPr="00A8223D">
              <w:rPr>
                <w:rFonts w:asciiTheme="minorHAnsi" w:hAnsiTheme="minorHAnsi"/>
                <w:szCs w:val="21"/>
              </w:rPr>
              <w:t>年版）》</w:t>
            </w:r>
            <w:r w:rsidR="009448F0" w:rsidRPr="00864A71">
              <w:rPr>
                <w:rFonts w:asciiTheme="minorHAnsi" w:hAnsiTheme="minorHAnsi"/>
                <w:szCs w:val="21"/>
              </w:rPr>
              <w:t>鼓励类</w:t>
            </w:r>
            <w:r w:rsidRPr="00A8223D">
              <w:rPr>
                <w:rFonts w:asciiTheme="minorHAnsi" w:hAnsiTheme="minorHAnsi"/>
                <w:szCs w:val="21"/>
              </w:rPr>
              <w:t>，项目建设符合相关产业政策，符合河南省相关政策要求，符合市级规划要求。</w:t>
            </w:r>
            <w:r w:rsidRPr="00A8223D">
              <w:rPr>
                <w:rFonts w:asciiTheme="minorHAnsi" w:hAnsiTheme="minorHAnsi"/>
                <w:szCs w:val="21"/>
              </w:rPr>
              <w:t xml:space="preserve"> </w:t>
            </w:r>
          </w:p>
        </w:tc>
        <w:tc>
          <w:tcPr>
            <w:tcW w:w="621" w:type="pct"/>
            <w:vAlign w:val="center"/>
          </w:tcPr>
          <w:p w14:paraId="028FA3AB" w14:textId="77777777" w:rsidR="00A8223D" w:rsidRPr="00517F10" w:rsidRDefault="00A8223D" w:rsidP="00517F10">
            <w:pPr>
              <w:spacing w:line="360" w:lineRule="exact"/>
              <w:jc w:val="center"/>
              <w:rPr>
                <w:rFonts w:asciiTheme="minorHAnsi" w:hAnsiTheme="minorHAnsi"/>
                <w:szCs w:val="21"/>
              </w:rPr>
            </w:pPr>
            <w:r w:rsidRPr="00517F10">
              <w:rPr>
                <w:rFonts w:asciiTheme="minorHAnsi" w:hAnsiTheme="minorHAnsi"/>
                <w:szCs w:val="21"/>
              </w:rPr>
              <w:t>符合要求</w:t>
            </w:r>
          </w:p>
        </w:tc>
      </w:tr>
      <w:tr w:rsidR="00A8223D" w:rsidRPr="00A8223D" w14:paraId="670F56B4" w14:textId="77777777" w:rsidTr="00DD5619">
        <w:trPr>
          <w:trHeight w:val="416"/>
          <w:jc w:val="center"/>
        </w:trPr>
        <w:tc>
          <w:tcPr>
            <w:tcW w:w="485" w:type="pct"/>
            <w:gridSpan w:val="2"/>
            <w:shd w:val="clear" w:color="auto" w:fill="auto"/>
            <w:vAlign w:val="center"/>
          </w:tcPr>
          <w:p w14:paraId="54CD5241"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污染治理技术</w:t>
            </w:r>
          </w:p>
        </w:tc>
        <w:tc>
          <w:tcPr>
            <w:tcW w:w="1249" w:type="pct"/>
            <w:shd w:val="clear" w:color="auto" w:fill="auto"/>
            <w:vAlign w:val="center"/>
          </w:tcPr>
          <w:p w14:paraId="63D96652"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1.</w:t>
            </w:r>
            <w:r w:rsidRPr="00517F10">
              <w:rPr>
                <w:rFonts w:asciiTheme="minorHAnsi" w:hAnsiTheme="minorHAnsi" w:cs="Calibri"/>
                <w:sz w:val="21"/>
                <w:szCs w:val="21"/>
              </w:rPr>
              <w:t>电窑：</w:t>
            </w:r>
          </w:p>
          <w:p w14:paraId="26374868"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PM</w:t>
            </w:r>
            <w:r w:rsidRPr="00517F10">
              <w:rPr>
                <w:rFonts w:asciiTheme="minorHAnsi" w:hAnsiTheme="minorHAnsi" w:cs="Calibri"/>
                <w:sz w:val="21"/>
                <w:szCs w:val="21"/>
              </w:rPr>
              <w:t>采用袋式除尘、电袋复合除尘、湿电除尘、静电除尘等高效除尘技术。</w:t>
            </w:r>
          </w:p>
          <w:p w14:paraId="31E197D9"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2.</w:t>
            </w:r>
            <w:r w:rsidRPr="00517F10">
              <w:rPr>
                <w:rFonts w:asciiTheme="minorHAnsi" w:hAnsiTheme="minorHAnsi" w:cs="Calibri"/>
                <w:sz w:val="21"/>
                <w:szCs w:val="21"/>
              </w:rPr>
              <w:t>燃气锅炉</w:t>
            </w:r>
            <w:r w:rsidRPr="00517F10">
              <w:rPr>
                <w:rFonts w:asciiTheme="minorHAnsi" w:hAnsiTheme="minorHAnsi" w:cs="Calibri"/>
                <w:sz w:val="21"/>
                <w:szCs w:val="21"/>
              </w:rPr>
              <w:t>/</w:t>
            </w:r>
            <w:r w:rsidRPr="00517F10">
              <w:rPr>
                <w:rFonts w:asciiTheme="minorHAnsi" w:hAnsiTheme="minorHAnsi" w:cs="Calibri"/>
                <w:sz w:val="21"/>
                <w:szCs w:val="21"/>
              </w:rPr>
              <w:t>炉窑：</w:t>
            </w:r>
          </w:p>
          <w:p w14:paraId="368B200C"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w:t>
            </w:r>
            <w:r w:rsidRPr="00517F10">
              <w:rPr>
                <w:rFonts w:asciiTheme="minorHAnsi" w:hAnsiTheme="minorHAnsi" w:cs="Calibri"/>
                <w:sz w:val="21"/>
                <w:szCs w:val="21"/>
              </w:rPr>
              <w:t>1</w:t>
            </w:r>
            <w:r w:rsidRPr="00517F10">
              <w:rPr>
                <w:rFonts w:asciiTheme="minorHAnsi" w:hAnsiTheme="minorHAnsi" w:cs="Calibri"/>
                <w:sz w:val="21"/>
                <w:szCs w:val="21"/>
              </w:rPr>
              <w:t>）</w:t>
            </w:r>
            <w:r w:rsidRPr="00517F10">
              <w:rPr>
                <w:rFonts w:asciiTheme="minorHAnsi" w:hAnsiTheme="minorHAnsi" w:cs="Calibri"/>
                <w:sz w:val="21"/>
                <w:szCs w:val="21"/>
              </w:rPr>
              <w:t>PM</w:t>
            </w:r>
            <w:r w:rsidRPr="00517F10">
              <w:rPr>
                <w:rFonts w:asciiTheme="minorHAnsi" w:hAnsiTheme="minorHAnsi" w:cs="Calibri"/>
                <w:sz w:val="21"/>
                <w:szCs w:val="21"/>
              </w:rPr>
              <w:t>采用袋式除尘、静电除尘、湿电除尘等高效除尘技术；</w:t>
            </w:r>
          </w:p>
          <w:p w14:paraId="12593964"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w:t>
            </w:r>
            <w:r w:rsidRPr="00517F10">
              <w:rPr>
                <w:rFonts w:asciiTheme="minorHAnsi" w:hAnsiTheme="minorHAnsi" w:cs="Calibri"/>
                <w:sz w:val="21"/>
                <w:szCs w:val="21"/>
              </w:rPr>
              <w:t>2</w:t>
            </w:r>
            <w:r w:rsidRPr="00517F10">
              <w:rPr>
                <w:rFonts w:asciiTheme="minorHAnsi" w:hAnsiTheme="minorHAnsi" w:cs="Calibri"/>
                <w:sz w:val="21"/>
                <w:szCs w:val="21"/>
              </w:rPr>
              <w:t>）</w:t>
            </w:r>
            <w:r w:rsidRPr="00517F10">
              <w:rPr>
                <w:rFonts w:asciiTheme="minorHAnsi" w:hAnsiTheme="minorHAnsi" w:cs="Calibri"/>
                <w:sz w:val="21"/>
                <w:szCs w:val="21"/>
              </w:rPr>
              <w:t>NOx</w:t>
            </w:r>
            <w:r w:rsidRPr="00517F10">
              <w:rPr>
                <w:rFonts w:asciiTheme="minorHAnsi" w:hAnsiTheme="minorHAnsi" w:cs="Calibri"/>
                <w:sz w:val="21"/>
                <w:szCs w:val="21"/>
              </w:rPr>
              <w:t>采用低氮燃烧或</w:t>
            </w:r>
            <w:r w:rsidRPr="00517F10">
              <w:rPr>
                <w:rFonts w:asciiTheme="minorHAnsi" w:hAnsiTheme="minorHAnsi" w:cs="Calibri"/>
                <w:sz w:val="21"/>
                <w:szCs w:val="21"/>
              </w:rPr>
              <w:t>SNCR/SCR</w:t>
            </w:r>
            <w:r w:rsidRPr="00517F10">
              <w:rPr>
                <w:rFonts w:asciiTheme="minorHAnsi" w:hAnsiTheme="minorHAnsi" w:cs="Calibri"/>
                <w:sz w:val="21"/>
                <w:szCs w:val="21"/>
              </w:rPr>
              <w:t>等技术。</w:t>
            </w:r>
          </w:p>
          <w:p w14:paraId="03FB5A51"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3.</w:t>
            </w:r>
            <w:r w:rsidRPr="00517F10">
              <w:rPr>
                <w:rFonts w:asciiTheme="minorHAnsi" w:hAnsiTheme="minorHAnsi" w:cs="Calibri"/>
                <w:sz w:val="21"/>
                <w:szCs w:val="21"/>
              </w:rPr>
              <w:t>其他工序（非锅炉</w:t>
            </w:r>
            <w:r w:rsidRPr="00517F10">
              <w:rPr>
                <w:rFonts w:asciiTheme="minorHAnsi" w:hAnsiTheme="minorHAnsi" w:cs="Calibri"/>
                <w:sz w:val="21"/>
                <w:szCs w:val="21"/>
              </w:rPr>
              <w:t>/</w:t>
            </w:r>
            <w:r w:rsidRPr="00517F10">
              <w:rPr>
                <w:rFonts w:asciiTheme="minorHAnsi" w:hAnsiTheme="minorHAnsi" w:cs="Calibri"/>
                <w:sz w:val="21"/>
                <w:szCs w:val="21"/>
              </w:rPr>
              <w:t>炉窑）：</w:t>
            </w:r>
          </w:p>
          <w:p w14:paraId="5CC4969D" w14:textId="77777777" w:rsidR="00A8223D" w:rsidRPr="00A8223D" w:rsidRDefault="00A8223D" w:rsidP="00517F10">
            <w:pPr>
              <w:spacing w:line="360" w:lineRule="exact"/>
              <w:jc w:val="left"/>
              <w:rPr>
                <w:rFonts w:asciiTheme="minorHAnsi" w:hAnsiTheme="minorHAnsi"/>
                <w:szCs w:val="21"/>
              </w:rPr>
            </w:pPr>
            <w:r w:rsidRPr="00A8223D">
              <w:rPr>
                <w:rFonts w:asciiTheme="minorHAnsi" w:hAnsiTheme="minorHAnsi"/>
                <w:szCs w:val="21"/>
              </w:rPr>
              <w:t>PM</w:t>
            </w:r>
            <w:r w:rsidRPr="00A8223D">
              <w:rPr>
                <w:rFonts w:asciiTheme="minorHAnsi" w:hAnsiTheme="minorHAnsi"/>
                <w:szCs w:val="21"/>
              </w:rPr>
              <w:t>采用覆膜袋式除尘或其他先进除尘工艺。</w:t>
            </w:r>
          </w:p>
        </w:tc>
        <w:tc>
          <w:tcPr>
            <w:tcW w:w="1365" w:type="pct"/>
            <w:shd w:val="clear" w:color="auto" w:fill="auto"/>
            <w:vAlign w:val="center"/>
          </w:tcPr>
          <w:p w14:paraId="7CD2DFEB"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1.</w:t>
            </w:r>
            <w:r w:rsidRPr="00517F10">
              <w:rPr>
                <w:rFonts w:asciiTheme="minorHAnsi" w:hAnsiTheme="minorHAnsi" w:cs="Calibri"/>
                <w:sz w:val="21"/>
                <w:szCs w:val="21"/>
              </w:rPr>
              <w:t>燃煤</w:t>
            </w:r>
            <w:r w:rsidRPr="00517F10">
              <w:rPr>
                <w:rFonts w:asciiTheme="minorHAnsi" w:hAnsiTheme="minorHAnsi" w:cs="Calibri"/>
                <w:sz w:val="21"/>
                <w:szCs w:val="21"/>
              </w:rPr>
              <w:t>/</w:t>
            </w:r>
            <w:r w:rsidRPr="00517F10">
              <w:rPr>
                <w:rFonts w:asciiTheme="minorHAnsi" w:hAnsiTheme="minorHAnsi" w:cs="Calibri"/>
                <w:sz w:val="21"/>
                <w:szCs w:val="21"/>
              </w:rPr>
              <w:t>生物质</w:t>
            </w:r>
            <w:r w:rsidRPr="00517F10">
              <w:rPr>
                <w:rFonts w:asciiTheme="minorHAnsi" w:hAnsiTheme="minorHAnsi" w:cs="Calibri"/>
                <w:sz w:val="21"/>
                <w:szCs w:val="21"/>
              </w:rPr>
              <w:t>/</w:t>
            </w:r>
            <w:r w:rsidRPr="00517F10">
              <w:rPr>
                <w:rFonts w:asciiTheme="minorHAnsi" w:hAnsiTheme="minorHAnsi" w:cs="Calibri"/>
                <w:sz w:val="21"/>
                <w:szCs w:val="21"/>
              </w:rPr>
              <w:t>燃油等锅炉</w:t>
            </w:r>
            <w:r w:rsidRPr="00517F10">
              <w:rPr>
                <w:rFonts w:asciiTheme="minorHAnsi" w:hAnsiTheme="minorHAnsi" w:cs="Calibri"/>
                <w:sz w:val="21"/>
                <w:szCs w:val="21"/>
              </w:rPr>
              <w:t>/</w:t>
            </w:r>
            <w:r w:rsidRPr="00517F10">
              <w:rPr>
                <w:rFonts w:asciiTheme="minorHAnsi" w:hAnsiTheme="minorHAnsi" w:cs="Calibri"/>
                <w:sz w:val="21"/>
                <w:szCs w:val="21"/>
              </w:rPr>
              <w:t>炉窑：</w:t>
            </w:r>
          </w:p>
          <w:p w14:paraId="40E5473D"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w:t>
            </w:r>
            <w:r w:rsidRPr="00517F10">
              <w:rPr>
                <w:rFonts w:asciiTheme="minorHAnsi" w:hAnsiTheme="minorHAnsi" w:cs="Calibri"/>
                <w:sz w:val="21"/>
                <w:szCs w:val="21"/>
              </w:rPr>
              <w:t>1</w:t>
            </w:r>
            <w:r w:rsidRPr="00517F10">
              <w:rPr>
                <w:rFonts w:asciiTheme="minorHAnsi" w:hAnsiTheme="minorHAnsi" w:cs="Calibri"/>
                <w:sz w:val="21"/>
                <w:szCs w:val="21"/>
              </w:rPr>
              <w:t>）</w:t>
            </w:r>
            <w:r w:rsidRPr="00517F10">
              <w:rPr>
                <w:rFonts w:asciiTheme="minorHAnsi" w:hAnsiTheme="minorHAnsi" w:cs="Calibri"/>
                <w:sz w:val="21"/>
                <w:szCs w:val="21"/>
              </w:rPr>
              <w:t>PM</w:t>
            </w:r>
            <w:r w:rsidRPr="00517F10">
              <w:rPr>
                <w:rFonts w:asciiTheme="minorHAnsi" w:hAnsiTheme="minorHAnsi" w:cs="Calibri"/>
                <w:sz w:val="21"/>
                <w:szCs w:val="21"/>
              </w:rPr>
              <w:t>采用覆膜袋式除尘、滤筒除尘、电袋复合除尘、湿电除尘、四电场及以上静电除尘等高效除尘技术（除湿电除尘外，设计效率不低于</w:t>
            </w:r>
            <w:r w:rsidRPr="00517F10">
              <w:rPr>
                <w:rFonts w:asciiTheme="minorHAnsi" w:hAnsiTheme="minorHAnsi" w:cs="Calibri"/>
                <w:sz w:val="21"/>
                <w:szCs w:val="21"/>
              </w:rPr>
              <w:t>99%</w:t>
            </w:r>
            <w:r w:rsidRPr="00517F10">
              <w:rPr>
                <w:rFonts w:asciiTheme="minorHAnsi" w:hAnsiTheme="minorHAnsi" w:cs="Calibri"/>
                <w:sz w:val="21"/>
                <w:szCs w:val="21"/>
              </w:rPr>
              <w:t>）；</w:t>
            </w:r>
          </w:p>
          <w:p w14:paraId="36EAB538"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w:t>
            </w:r>
            <w:r w:rsidRPr="00517F10">
              <w:rPr>
                <w:rFonts w:asciiTheme="minorHAnsi" w:hAnsiTheme="minorHAnsi" w:cs="Calibri"/>
                <w:sz w:val="21"/>
                <w:szCs w:val="21"/>
              </w:rPr>
              <w:t>2</w:t>
            </w:r>
            <w:r w:rsidRPr="00517F10">
              <w:rPr>
                <w:rFonts w:asciiTheme="minorHAnsi" w:hAnsiTheme="minorHAnsi" w:cs="Calibri"/>
                <w:sz w:val="21"/>
                <w:szCs w:val="21"/>
              </w:rPr>
              <w:t>）</w:t>
            </w:r>
            <w:r w:rsidRPr="00517F10">
              <w:rPr>
                <w:rFonts w:asciiTheme="minorHAnsi" w:hAnsiTheme="minorHAnsi" w:cs="Calibri"/>
                <w:sz w:val="21"/>
                <w:szCs w:val="21"/>
              </w:rPr>
              <w:t>SO</w:t>
            </w:r>
            <w:r w:rsidRPr="00DD5619">
              <w:rPr>
                <w:rFonts w:asciiTheme="minorHAnsi" w:hAnsiTheme="minorHAnsi" w:cs="Calibri"/>
                <w:sz w:val="21"/>
                <w:szCs w:val="21"/>
                <w:vertAlign w:val="subscript"/>
              </w:rPr>
              <w:t>2</w:t>
            </w:r>
            <w:r w:rsidRPr="00517F10">
              <w:rPr>
                <w:rFonts w:asciiTheme="minorHAnsi" w:hAnsiTheme="minorHAnsi" w:cs="Calibri"/>
                <w:sz w:val="21"/>
                <w:szCs w:val="21"/>
              </w:rPr>
              <w:t>采用石灰</w:t>
            </w:r>
            <w:r w:rsidRPr="00517F10">
              <w:rPr>
                <w:rFonts w:asciiTheme="minorHAnsi" w:hAnsiTheme="minorHAnsi" w:cs="Calibri"/>
                <w:sz w:val="21"/>
                <w:szCs w:val="21"/>
              </w:rPr>
              <w:t>/</w:t>
            </w:r>
            <w:r w:rsidRPr="00517F10">
              <w:rPr>
                <w:rFonts w:asciiTheme="minorHAnsi" w:hAnsiTheme="minorHAnsi" w:cs="Calibri"/>
                <w:sz w:val="21"/>
                <w:szCs w:val="21"/>
              </w:rPr>
              <w:t>石</w:t>
            </w:r>
            <w:r w:rsidRPr="00517F10">
              <w:rPr>
                <w:rFonts w:asciiTheme="minorHAnsi" w:hAnsiTheme="minorHAnsi" w:cs="Calibri"/>
                <w:sz w:val="21"/>
                <w:szCs w:val="21"/>
              </w:rPr>
              <w:t>-</w:t>
            </w:r>
            <w:r w:rsidRPr="00517F10">
              <w:rPr>
                <w:rFonts w:asciiTheme="minorHAnsi" w:hAnsiTheme="minorHAnsi" w:cs="Calibri"/>
                <w:sz w:val="21"/>
                <w:szCs w:val="21"/>
              </w:rPr>
              <w:t>石膏、氨法、钠碱法、双碱法等湿法、干法和半干法（设计效率不低于</w:t>
            </w:r>
            <w:r w:rsidRPr="00517F10">
              <w:rPr>
                <w:rFonts w:asciiTheme="minorHAnsi" w:hAnsiTheme="minorHAnsi" w:cs="Calibri"/>
                <w:sz w:val="21"/>
                <w:szCs w:val="21"/>
              </w:rPr>
              <w:t>85%</w:t>
            </w:r>
            <w:r w:rsidRPr="00517F10">
              <w:rPr>
                <w:rFonts w:asciiTheme="minorHAnsi" w:hAnsiTheme="minorHAnsi" w:cs="Calibri"/>
                <w:sz w:val="21"/>
                <w:szCs w:val="21"/>
              </w:rPr>
              <w:t>）；</w:t>
            </w:r>
          </w:p>
          <w:p w14:paraId="6536F8D0"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w:t>
            </w:r>
            <w:r w:rsidRPr="00517F10">
              <w:rPr>
                <w:rFonts w:asciiTheme="minorHAnsi" w:hAnsiTheme="minorHAnsi" w:cs="Calibri"/>
                <w:sz w:val="21"/>
                <w:szCs w:val="21"/>
              </w:rPr>
              <w:t>3</w:t>
            </w:r>
            <w:r w:rsidRPr="00517F10">
              <w:rPr>
                <w:rFonts w:asciiTheme="minorHAnsi" w:hAnsiTheme="minorHAnsi" w:cs="Calibri"/>
                <w:sz w:val="21"/>
                <w:szCs w:val="21"/>
              </w:rPr>
              <w:t>）</w:t>
            </w:r>
            <w:r w:rsidRPr="00517F10">
              <w:rPr>
                <w:rFonts w:asciiTheme="minorHAnsi" w:hAnsiTheme="minorHAnsi" w:cs="Calibri"/>
                <w:sz w:val="21"/>
                <w:szCs w:val="21"/>
              </w:rPr>
              <w:t>NOx</w:t>
            </w:r>
            <w:r w:rsidRPr="00517F10">
              <w:rPr>
                <w:rFonts w:asciiTheme="minorHAnsi" w:hAnsiTheme="minorHAnsi" w:cs="Calibri"/>
                <w:sz w:val="21"/>
                <w:szCs w:val="21"/>
              </w:rPr>
              <w:t>采用低氮燃烧、</w:t>
            </w:r>
            <w:r w:rsidR="00DD5619" w:rsidRPr="00517F10">
              <w:rPr>
                <w:rFonts w:asciiTheme="minorHAnsi" w:hAnsiTheme="minorHAnsi" w:cs="Calibri"/>
                <w:sz w:val="21"/>
                <w:szCs w:val="21"/>
              </w:rPr>
              <w:t>SNCR/SCR</w:t>
            </w:r>
            <w:r w:rsidR="00DD5619" w:rsidRPr="00517F10">
              <w:rPr>
                <w:rFonts w:asciiTheme="minorHAnsi" w:hAnsiTheme="minorHAnsi" w:cs="Calibri"/>
                <w:sz w:val="21"/>
                <w:szCs w:val="21"/>
              </w:rPr>
              <w:t>、湿式氧化法等技术；</w:t>
            </w:r>
          </w:p>
          <w:p w14:paraId="08F42ABE"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2.</w:t>
            </w:r>
            <w:r w:rsidRPr="00517F10">
              <w:rPr>
                <w:rFonts w:asciiTheme="minorHAnsi" w:hAnsiTheme="minorHAnsi" w:cs="Calibri"/>
                <w:sz w:val="21"/>
                <w:szCs w:val="21"/>
              </w:rPr>
              <w:t>电窑、燃气锅炉</w:t>
            </w:r>
            <w:r w:rsidRPr="00517F10">
              <w:rPr>
                <w:rFonts w:asciiTheme="minorHAnsi" w:hAnsiTheme="minorHAnsi" w:cs="Calibri"/>
                <w:sz w:val="21"/>
                <w:szCs w:val="21"/>
              </w:rPr>
              <w:t>/</w:t>
            </w:r>
            <w:r w:rsidRPr="00517F10">
              <w:rPr>
                <w:rFonts w:asciiTheme="minorHAnsi" w:hAnsiTheme="minorHAnsi" w:cs="Calibri"/>
                <w:sz w:val="21"/>
                <w:szCs w:val="21"/>
              </w:rPr>
              <w:t>炉窑：未达到</w:t>
            </w:r>
            <w:r w:rsidRPr="00517F10">
              <w:rPr>
                <w:rFonts w:asciiTheme="minorHAnsi" w:hAnsiTheme="minorHAnsi" w:cs="Calibri"/>
                <w:sz w:val="21"/>
                <w:szCs w:val="21"/>
              </w:rPr>
              <w:t>A</w:t>
            </w:r>
            <w:r w:rsidRPr="00517F10">
              <w:rPr>
                <w:rFonts w:asciiTheme="minorHAnsi" w:hAnsiTheme="minorHAnsi" w:cs="Calibri"/>
                <w:sz w:val="21"/>
                <w:szCs w:val="21"/>
              </w:rPr>
              <w:t>级要求。</w:t>
            </w:r>
          </w:p>
          <w:p w14:paraId="1A187313" w14:textId="77777777" w:rsidR="00A8223D" w:rsidRPr="00517F10" w:rsidRDefault="00A8223D" w:rsidP="00517F10">
            <w:pPr>
              <w:pStyle w:val="Default"/>
              <w:spacing w:line="360" w:lineRule="exact"/>
              <w:rPr>
                <w:rFonts w:asciiTheme="minorHAnsi" w:hAnsiTheme="minorHAnsi" w:cs="Calibri"/>
                <w:sz w:val="21"/>
                <w:szCs w:val="21"/>
              </w:rPr>
            </w:pPr>
            <w:r w:rsidRPr="00517F10">
              <w:rPr>
                <w:rFonts w:asciiTheme="minorHAnsi" w:hAnsiTheme="minorHAnsi" w:cs="Calibri"/>
                <w:sz w:val="21"/>
                <w:szCs w:val="21"/>
              </w:rPr>
              <w:t>3.</w:t>
            </w:r>
            <w:r w:rsidRPr="00517F10">
              <w:rPr>
                <w:rFonts w:asciiTheme="minorHAnsi" w:hAnsiTheme="minorHAnsi" w:cs="Calibri"/>
                <w:sz w:val="21"/>
                <w:szCs w:val="21"/>
              </w:rPr>
              <w:t>其他工序（非锅炉</w:t>
            </w:r>
            <w:r w:rsidRPr="00517F10">
              <w:rPr>
                <w:rFonts w:asciiTheme="minorHAnsi" w:hAnsiTheme="minorHAnsi" w:cs="Calibri"/>
                <w:sz w:val="21"/>
                <w:szCs w:val="21"/>
              </w:rPr>
              <w:t>/</w:t>
            </w:r>
            <w:r w:rsidRPr="00517F10">
              <w:rPr>
                <w:rFonts w:asciiTheme="minorHAnsi" w:hAnsiTheme="minorHAnsi" w:cs="Calibri"/>
                <w:sz w:val="21"/>
                <w:szCs w:val="21"/>
              </w:rPr>
              <w:t>炉窑）：</w:t>
            </w:r>
          </w:p>
          <w:p w14:paraId="37034E49" w14:textId="77777777" w:rsidR="00A8223D" w:rsidRPr="00A8223D" w:rsidRDefault="00A8223D" w:rsidP="00517F10">
            <w:pPr>
              <w:spacing w:line="360" w:lineRule="exact"/>
              <w:rPr>
                <w:rFonts w:asciiTheme="minorHAnsi" w:hAnsiTheme="minorHAnsi"/>
                <w:szCs w:val="21"/>
              </w:rPr>
            </w:pPr>
            <w:r w:rsidRPr="00A8223D">
              <w:rPr>
                <w:rFonts w:asciiTheme="minorHAnsi" w:hAnsiTheme="minorHAnsi"/>
                <w:szCs w:val="21"/>
              </w:rPr>
              <w:t>PM</w:t>
            </w:r>
            <w:r w:rsidRPr="00A8223D">
              <w:rPr>
                <w:rFonts w:asciiTheme="minorHAnsi" w:hAnsiTheme="minorHAnsi"/>
                <w:szCs w:val="21"/>
              </w:rPr>
              <w:t>采用袋式除尘或其他先进除尘工艺。</w:t>
            </w:r>
          </w:p>
        </w:tc>
        <w:tc>
          <w:tcPr>
            <w:tcW w:w="1280" w:type="pct"/>
            <w:shd w:val="clear" w:color="auto" w:fill="auto"/>
            <w:vAlign w:val="center"/>
          </w:tcPr>
          <w:p w14:paraId="14DF0AB5" w14:textId="77777777" w:rsidR="00A8223D" w:rsidRPr="00A8223D" w:rsidRDefault="00DD5619" w:rsidP="00DD5619">
            <w:pPr>
              <w:spacing w:line="360" w:lineRule="exact"/>
              <w:rPr>
                <w:rFonts w:asciiTheme="minorHAnsi" w:hAnsiTheme="minorHAnsi"/>
                <w:szCs w:val="21"/>
              </w:rPr>
            </w:pPr>
            <w:r>
              <w:rPr>
                <w:rFonts w:asciiTheme="minorHAnsi" w:hAnsiTheme="minorHAnsi"/>
                <w:szCs w:val="21"/>
              </w:rPr>
              <w:t>本次工程燃气导热油炉</w:t>
            </w:r>
            <w:r>
              <w:rPr>
                <w:rFonts w:asciiTheme="minorHAnsi" w:hAnsiTheme="minorHAnsi" w:hint="eastAsia"/>
                <w:szCs w:val="21"/>
              </w:rPr>
              <w:t>仅</w:t>
            </w:r>
            <w:r>
              <w:rPr>
                <w:rFonts w:asciiTheme="minorHAnsi" w:hAnsiTheme="minorHAnsi"/>
                <w:szCs w:val="21"/>
              </w:rPr>
              <w:t>采用低氮燃烧装置</w:t>
            </w:r>
            <w:r>
              <w:rPr>
                <w:rFonts w:asciiTheme="minorHAnsi" w:hAnsiTheme="minorHAnsi" w:hint="eastAsia"/>
                <w:szCs w:val="21"/>
              </w:rPr>
              <w:t>。</w:t>
            </w:r>
          </w:p>
        </w:tc>
        <w:tc>
          <w:tcPr>
            <w:tcW w:w="621" w:type="pct"/>
            <w:vAlign w:val="center"/>
          </w:tcPr>
          <w:p w14:paraId="4BAA8078" w14:textId="77777777" w:rsidR="00A8223D" w:rsidRPr="00517F10" w:rsidRDefault="00A8223D" w:rsidP="00DD5619">
            <w:pPr>
              <w:spacing w:line="360" w:lineRule="exact"/>
              <w:jc w:val="center"/>
              <w:rPr>
                <w:rFonts w:asciiTheme="minorHAnsi" w:hAnsiTheme="minorHAnsi"/>
                <w:szCs w:val="21"/>
              </w:rPr>
            </w:pPr>
            <w:r w:rsidRPr="00517F10">
              <w:rPr>
                <w:rFonts w:asciiTheme="minorHAnsi" w:hAnsiTheme="minorHAnsi"/>
                <w:szCs w:val="21"/>
              </w:rPr>
              <w:t>符合</w:t>
            </w:r>
            <w:r w:rsidR="00DD5619">
              <w:rPr>
                <w:rFonts w:asciiTheme="minorHAnsi" w:hAnsiTheme="minorHAnsi"/>
                <w:szCs w:val="21"/>
              </w:rPr>
              <w:t>B</w:t>
            </w:r>
            <w:r w:rsidRPr="00A8223D">
              <w:rPr>
                <w:rFonts w:asciiTheme="minorHAnsi" w:hAnsiTheme="minorHAnsi"/>
                <w:szCs w:val="21"/>
              </w:rPr>
              <w:t>级企业</w:t>
            </w:r>
            <w:r w:rsidRPr="00517F10">
              <w:rPr>
                <w:rFonts w:asciiTheme="minorHAnsi" w:hAnsiTheme="minorHAnsi"/>
                <w:szCs w:val="21"/>
              </w:rPr>
              <w:t>要求</w:t>
            </w:r>
          </w:p>
        </w:tc>
      </w:tr>
      <w:tr w:rsidR="00A8223D" w:rsidRPr="00A8223D" w14:paraId="0419EC35" w14:textId="77777777" w:rsidTr="00DD5619">
        <w:trPr>
          <w:trHeight w:val="992"/>
          <w:jc w:val="center"/>
        </w:trPr>
        <w:tc>
          <w:tcPr>
            <w:tcW w:w="205" w:type="pct"/>
            <w:vMerge w:val="restart"/>
            <w:shd w:val="clear" w:color="auto" w:fill="auto"/>
            <w:vAlign w:val="center"/>
          </w:tcPr>
          <w:p w14:paraId="527E32CC"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lastRenderedPageBreak/>
              <w:t>排放限值</w:t>
            </w:r>
          </w:p>
        </w:tc>
        <w:tc>
          <w:tcPr>
            <w:tcW w:w="280" w:type="pct"/>
            <w:shd w:val="clear" w:color="auto" w:fill="auto"/>
            <w:vAlign w:val="center"/>
          </w:tcPr>
          <w:p w14:paraId="4E6F9C2B" w14:textId="77777777" w:rsidR="00A8223D" w:rsidRPr="00A8223D" w:rsidRDefault="00A8223D" w:rsidP="00517F10">
            <w:pPr>
              <w:spacing w:line="360" w:lineRule="exact"/>
              <w:rPr>
                <w:rFonts w:asciiTheme="minorHAnsi" w:hAnsiTheme="minorHAnsi"/>
                <w:szCs w:val="21"/>
              </w:rPr>
            </w:pPr>
            <w:r w:rsidRPr="00A8223D">
              <w:rPr>
                <w:rFonts w:asciiTheme="minorHAnsi" w:hAnsiTheme="minorHAnsi"/>
                <w:szCs w:val="21"/>
              </w:rPr>
              <w:t>锅炉</w:t>
            </w:r>
          </w:p>
        </w:tc>
        <w:tc>
          <w:tcPr>
            <w:tcW w:w="2614" w:type="pct"/>
            <w:gridSpan w:val="2"/>
            <w:shd w:val="clear" w:color="auto" w:fill="auto"/>
            <w:vAlign w:val="center"/>
          </w:tcPr>
          <w:p w14:paraId="2AC6F237" w14:textId="77777777" w:rsidR="00A8223D" w:rsidRPr="00DD5619" w:rsidRDefault="00A8223D" w:rsidP="00517F10">
            <w:pPr>
              <w:spacing w:line="360" w:lineRule="exact"/>
              <w:jc w:val="center"/>
              <w:rPr>
                <w:rFonts w:asciiTheme="minorHAnsi" w:hAnsiTheme="minorHAnsi"/>
                <w:szCs w:val="21"/>
                <w:vertAlign w:val="superscript"/>
              </w:rPr>
            </w:pPr>
            <w:r w:rsidRPr="00A8223D">
              <w:rPr>
                <w:rFonts w:asciiTheme="minorHAnsi" w:hAnsiTheme="minorHAnsi"/>
                <w:szCs w:val="21"/>
              </w:rPr>
              <w:t>PM</w:t>
            </w:r>
            <w:r w:rsidRPr="00A8223D">
              <w:rPr>
                <w:rFonts w:asciiTheme="minorHAnsi" w:hAnsiTheme="minorHAnsi"/>
                <w:szCs w:val="21"/>
              </w:rPr>
              <w:t>、</w:t>
            </w:r>
            <w:r w:rsidRPr="00A8223D">
              <w:rPr>
                <w:rFonts w:asciiTheme="minorHAnsi" w:hAnsiTheme="minorHAnsi"/>
                <w:szCs w:val="21"/>
              </w:rPr>
              <w:t>SO</w:t>
            </w:r>
            <w:r w:rsidRPr="00DD5619">
              <w:rPr>
                <w:rFonts w:asciiTheme="minorHAnsi" w:hAnsiTheme="minorHAnsi"/>
                <w:szCs w:val="21"/>
                <w:vertAlign w:val="subscript"/>
              </w:rPr>
              <w:t>2</w:t>
            </w:r>
            <w:r w:rsidRPr="00A8223D">
              <w:rPr>
                <w:rFonts w:asciiTheme="minorHAnsi" w:hAnsiTheme="minorHAnsi"/>
                <w:szCs w:val="21"/>
              </w:rPr>
              <w:t>、</w:t>
            </w:r>
            <w:r w:rsidRPr="00A8223D">
              <w:rPr>
                <w:rFonts w:asciiTheme="minorHAnsi" w:hAnsiTheme="minorHAnsi"/>
                <w:szCs w:val="21"/>
              </w:rPr>
              <w:t>NOx</w:t>
            </w:r>
            <w:r w:rsidRPr="00A8223D">
              <w:rPr>
                <w:rFonts w:asciiTheme="minorHAnsi" w:hAnsiTheme="minorHAnsi"/>
                <w:szCs w:val="21"/>
              </w:rPr>
              <w:t>排放浓度分别不高于：燃气：</w:t>
            </w:r>
            <w:r w:rsidRPr="00A8223D">
              <w:rPr>
                <w:rFonts w:asciiTheme="minorHAnsi" w:hAnsiTheme="minorHAnsi"/>
                <w:szCs w:val="21"/>
              </w:rPr>
              <w:t>5</w:t>
            </w:r>
            <w:r w:rsidRPr="00A8223D">
              <w:rPr>
                <w:rFonts w:asciiTheme="minorHAnsi" w:hAnsiTheme="minorHAnsi"/>
                <w:szCs w:val="21"/>
              </w:rPr>
              <w:t>、</w:t>
            </w:r>
            <w:r w:rsidRPr="00A8223D">
              <w:rPr>
                <w:rFonts w:asciiTheme="minorHAnsi" w:hAnsiTheme="minorHAnsi"/>
                <w:szCs w:val="21"/>
              </w:rPr>
              <w:t>10</w:t>
            </w:r>
            <w:r w:rsidRPr="00A8223D">
              <w:rPr>
                <w:rFonts w:asciiTheme="minorHAnsi" w:hAnsiTheme="minorHAnsi"/>
                <w:szCs w:val="21"/>
              </w:rPr>
              <w:t>、</w:t>
            </w:r>
            <w:r w:rsidRPr="00A8223D">
              <w:rPr>
                <w:rFonts w:asciiTheme="minorHAnsi" w:hAnsiTheme="minorHAnsi"/>
                <w:szCs w:val="21"/>
              </w:rPr>
              <w:t>50/30mg/m</w:t>
            </w:r>
            <w:r w:rsidRPr="00DD5619">
              <w:rPr>
                <w:rFonts w:asciiTheme="minorHAnsi" w:hAnsiTheme="minorHAnsi"/>
                <w:szCs w:val="21"/>
                <w:vertAlign w:val="superscript"/>
              </w:rPr>
              <w:t>3</w:t>
            </w:r>
          </w:p>
          <w:p w14:paraId="2D470498" w14:textId="77777777" w:rsidR="00A8223D" w:rsidRPr="00517F10" w:rsidRDefault="00A8223D" w:rsidP="00517F10">
            <w:pPr>
              <w:spacing w:line="360" w:lineRule="exact"/>
              <w:jc w:val="center"/>
              <w:rPr>
                <w:rFonts w:asciiTheme="minorHAnsi" w:hAnsiTheme="minorHAnsi"/>
                <w:szCs w:val="21"/>
              </w:rPr>
            </w:pPr>
            <w:r w:rsidRPr="00A8223D">
              <w:rPr>
                <w:rFonts w:asciiTheme="minorHAnsi" w:hAnsiTheme="minorHAnsi"/>
                <w:szCs w:val="21"/>
              </w:rPr>
              <w:t>（基准含氧量：</w:t>
            </w:r>
            <w:r w:rsidRPr="00A8223D">
              <w:rPr>
                <w:rFonts w:asciiTheme="minorHAnsi" w:hAnsiTheme="minorHAnsi"/>
                <w:szCs w:val="21"/>
              </w:rPr>
              <w:t>3.5%</w:t>
            </w:r>
            <w:r w:rsidRPr="00A8223D">
              <w:rPr>
                <w:rFonts w:asciiTheme="minorHAnsi" w:hAnsiTheme="minorHAnsi"/>
                <w:szCs w:val="21"/>
              </w:rPr>
              <w:t>）</w:t>
            </w:r>
          </w:p>
        </w:tc>
        <w:tc>
          <w:tcPr>
            <w:tcW w:w="1280" w:type="pct"/>
            <w:shd w:val="clear" w:color="auto" w:fill="auto"/>
            <w:vAlign w:val="center"/>
          </w:tcPr>
          <w:p w14:paraId="1888022E" w14:textId="77777777" w:rsidR="00A8223D" w:rsidRPr="00A8223D" w:rsidRDefault="00A8223D" w:rsidP="00517F10">
            <w:pPr>
              <w:spacing w:line="360" w:lineRule="exact"/>
              <w:rPr>
                <w:rFonts w:asciiTheme="minorHAnsi" w:hAnsiTheme="minorHAnsi"/>
                <w:szCs w:val="21"/>
              </w:rPr>
            </w:pPr>
            <w:r w:rsidRPr="00A8223D">
              <w:rPr>
                <w:rFonts w:asciiTheme="minorHAnsi" w:hAnsiTheme="minorHAnsi"/>
                <w:szCs w:val="21"/>
              </w:rPr>
              <w:t>根据工程分析核算，本次工程锅炉采用低氮燃烧技术后颗粒物、</w:t>
            </w:r>
            <w:r w:rsidRPr="00A8223D">
              <w:rPr>
                <w:rFonts w:asciiTheme="minorHAnsi" w:hAnsiTheme="minorHAnsi"/>
                <w:szCs w:val="21"/>
              </w:rPr>
              <w:t>SO</w:t>
            </w:r>
            <w:r w:rsidRPr="00DD5619">
              <w:rPr>
                <w:rFonts w:asciiTheme="minorHAnsi" w:hAnsiTheme="minorHAnsi"/>
                <w:szCs w:val="21"/>
                <w:vertAlign w:val="subscript"/>
              </w:rPr>
              <w:t>2</w:t>
            </w:r>
            <w:r w:rsidRPr="00A8223D">
              <w:rPr>
                <w:rFonts w:asciiTheme="minorHAnsi" w:hAnsiTheme="minorHAnsi"/>
                <w:szCs w:val="21"/>
              </w:rPr>
              <w:t>、</w:t>
            </w:r>
            <w:r w:rsidRPr="00A8223D">
              <w:rPr>
                <w:rFonts w:asciiTheme="minorHAnsi" w:hAnsiTheme="minorHAnsi"/>
                <w:szCs w:val="21"/>
              </w:rPr>
              <w:t>NOx</w:t>
            </w:r>
            <w:r w:rsidRPr="00A8223D">
              <w:rPr>
                <w:rFonts w:asciiTheme="minorHAnsi" w:hAnsiTheme="minorHAnsi"/>
                <w:szCs w:val="21"/>
              </w:rPr>
              <w:t>排放浓度分别为</w:t>
            </w:r>
            <w:r>
              <w:rPr>
                <w:rFonts w:asciiTheme="minorHAnsi" w:hAnsiTheme="minorHAnsi"/>
                <w:szCs w:val="21"/>
              </w:rPr>
              <w:t>2.45</w:t>
            </w:r>
            <w:r w:rsidRPr="00A8223D">
              <w:rPr>
                <w:rFonts w:asciiTheme="minorHAnsi" w:hAnsiTheme="minorHAnsi"/>
                <w:szCs w:val="21"/>
              </w:rPr>
              <w:t>mg/m</w:t>
            </w:r>
            <w:r w:rsidRPr="00DD5619">
              <w:rPr>
                <w:rFonts w:asciiTheme="minorHAnsi" w:hAnsiTheme="minorHAnsi"/>
                <w:szCs w:val="21"/>
                <w:vertAlign w:val="superscript"/>
              </w:rPr>
              <w:t>3</w:t>
            </w:r>
            <w:r w:rsidRPr="00A8223D">
              <w:rPr>
                <w:rFonts w:asciiTheme="minorHAnsi" w:hAnsiTheme="minorHAnsi"/>
                <w:szCs w:val="21"/>
              </w:rPr>
              <w:t>、</w:t>
            </w:r>
            <w:r>
              <w:rPr>
                <w:rFonts w:asciiTheme="minorHAnsi" w:hAnsiTheme="minorHAnsi"/>
                <w:szCs w:val="21"/>
              </w:rPr>
              <w:t>3.70</w:t>
            </w:r>
            <w:r w:rsidRPr="00A8223D">
              <w:rPr>
                <w:rFonts w:asciiTheme="minorHAnsi" w:hAnsiTheme="minorHAnsi"/>
                <w:szCs w:val="21"/>
              </w:rPr>
              <w:t>mg/m</w:t>
            </w:r>
            <w:r w:rsidRPr="00DD5619">
              <w:rPr>
                <w:rFonts w:asciiTheme="minorHAnsi" w:hAnsiTheme="minorHAnsi"/>
                <w:szCs w:val="21"/>
                <w:vertAlign w:val="superscript"/>
              </w:rPr>
              <w:t>3</w:t>
            </w:r>
            <w:r w:rsidRPr="00A8223D">
              <w:rPr>
                <w:rFonts w:asciiTheme="minorHAnsi" w:hAnsiTheme="minorHAnsi"/>
                <w:szCs w:val="21"/>
              </w:rPr>
              <w:t>、</w:t>
            </w:r>
            <w:r>
              <w:rPr>
                <w:rFonts w:asciiTheme="minorHAnsi" w:hAnsiTheme="minorHAnsi"/>
                <w:szCs w:val="21"/>
              </w:rPr>
              <w:t>28.20</w:t>
            </w:r>
            <w:r w:rsidRPr="00A8223D">
              <w:rPr>
                <w:rFonts w:asciiTheme="minorHAnsi" w:hAnsiTheme="minorHAnsi"/>
                <w:szCs w:val="21"/>
              </w:rPr>
              <w:t>mg/m</w:t>
            </w:r>
            <w:r w:rsidRPr="00DD5619">
              <w:rPr>
                <w:rFonts w:asciiTheme="minorHAnsi" w:hAnsiTheme="minorHAnsi"/>
                <w:szCs w:val="21"/>
                <w:vertAlign w:val="superscript"/>
              </w:rPr>
              <w:t>3</w:t>
            </w:r>
          </w:p>
        </w:tc>
        <w:tc>
          <w:tcPr>
            <w:tcW w:w="621" w:type="pct"/>
            <w:vAlign w:val="center"/>
          </w:tcPr>
          <w:p w14:paraId="34C852B6" w14:textId="77777777" w:rsidR="00A8223D" w:rsidRPr="00517F10" w:rsidRDefault="00A8223D" w:rsidP="00517F10">
            <w:pPr>
              <w:spacing w:line="360" w:lineRule="exact"/>
              <w:jc w:val="center"/>
              <w:rPr>
                <w:rFonts w:asciiTheme="minorHAnsi" w:hAnsiTheme="minorHAnsi"/>
                <w:szCs w:val="21"/>
              </w:rPr>
            </w:pPr>
            <w:r w:rsidRPr="00517F10">
              <w:rPr>
                <w:rFonts w:asciiTheme="minorHAnsi" w:hAnsiTheme="minorHAnsi"/>
                <w:szCs w:val="21"/>
              </w:rPr>
              <w:t>符合要求</w:t>
            </w:r>
          </w:p>
        </w:tc>
      </w:tr>
      <w:tr w:rsidR="00A8223D" w:rsidRPr="00A8223D" w14:paraId="46BC2FE6" w14:textId="77777777" w:rsidTr="00DD5619">
        <w:trPr>
          <w:trHeight w:val="992"/>
          <w:jc w:val="center"/>
        </w:trPr>
        <w:tc>
          <w:tcPr>
            <w:tcW w:w="205" w:type="pct"/>
            <w:vMerge/>
            <w:shd w:val="clear" w:color="auto" w:fill="auto"/>
            <w:vAlign w:val="center"/>
          </w:tcPr>
          <w:p w14:paraId="718769CB" w14:textId="77777777" w:rsidR="00A8223D" w:rsidRPr="00A8223D" w:rsidRDefault="00A8223D" w:rsidP="00517F10">
            <w:pPr>
              <w:spacing w:line="360" w:lineRule="exact"/>
              <w:jc w:val="center"/>
              <w:rPr>
                <w:rFonts w:asciiTheme="minorHAnsi" w:hAnsiTheme="minorHAnsi"/>
                <w:szCs w:val="21"/>
              </w:rPr>
            </w:pPr>
          </w:p>
        </w:tc>
        <w:tc>
          <w:tcPr>
            <w:tcW w:w="280" w:type="pct"/>
            <w:shd w:val="clear" w:color="auto" w:fill="auto"/>
            <w:vAlign w:val="center"/>
          </w:tcPr>
          <w:p w14:paraId="72F287F4"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其他工序</w:t>
            </w:r>
          </w:p>
        </w:tc>
        <w:tc>
          <w:tcPr>
            <w:tcW w:w="2614" w:type="pct"/>
            <w:gridSpan w:val="2"/>
            <w:shd w:val="clear" w:color="auto" w:fill="auto"/>
            <w:vAlign w:val="center"/>
          </w:tcPr>
          <w:p w14:paraId="5D569B8B" w14:textId="77777777" w:rsidR="00A8223D" w:rsidRPr="00A8223D" w:rsidRDefault="00A8223D" w:rsidP="00517F10">
            <w:pPr>
              <w:spacing w:line="360" w:lineRule="exact"/>
              <w:jc w:val="center"/>
              <w:rPr>
                <w:rFonts w:asciiTheme="minorHAnsi" w:hAnsiTheme="minorHAnsi"/>
                <w:szCs w:val="21"/>
              </w:rPr>
            </w:pPr>
            <w:r w:rsidRPr="00A8223D">
              <w:rPr>
                <w:rFonts w:asciiTheme="minorHAnsi" w:hAnsiTheme="minorHAnsi"/>
                <w:szCs w:val="21"/>
              </w:rPr>
              <w:t>PM</w:t>
            </w:r>
            <w:r w:rsidRPr="00A8223D">
              <w:rPr>
                <w:rFonts w:asciiTheme="minorHAnsi" w:hAnsiTheme="minorHAnsi"/>
                <w:szCs w:val="21"/>
              </w:rPr>
              <w:t>排放浓度不高于</w:t>
            </w:r>
            <w:r w:rsidRPr="00A8223D">
              <w:rPr>
                <w:rFonts w:asciiTheme="minorHAnsi" w:hAnsiTheme="minorHAnsi"/>
                <w:szCs w:val="21"/>
              </w:rPr>
              <w:t>10mg/m</w:t>
            </w:r>
            <w:r w:rsidRPr="00DD5619">
              <w:rPr>
                <w:rFonts w:asciiTheme="minorHAnsi" w:hAnsiTheme="minorHAnsi"/>
                <w:szCs w:val="21"/>
                <w:vertAlign w:val="superscript"/>
              </w:rPr>
              <w:t>3</w:t>
            </w:r>
          </w:p>
        </w:tc>
        <w:tc>
          <w:tcPr>
            <w:tcW w:w="1280" w:type="pct"/>
            <w:shd w:val="clear" w:color="auto" w:fill="auto"/>
            <w:vAlign w:val="center"/>
          </w:tcPr>
          <w:p w14:paraId="5E99FFBB" w14:textId="77777777" w:rsidR="00A8223D" w:rsidRPr="00A8223D" w:rsidRDefault="00A8223D" w:rsidP="00517F10">
            <w:pPr>
              <w:spacing w:line="360" w:lineRule="exact"/>
              <w:rPr>
                <w:rFonts w:asciiTheme="minorHAnsi" w:hAnsiTheme="minorHAnsi"/>
                <w:szCs w:val="21"/>
              </w:rPr>
            </w:pPr>
            <w:r>
              <w:rPr>
                <w:rFonts w:asciiTheme="minorHAnsi" w:hAnsiTheme="minorHAnsi"/>
                <w:szCs w:val="21"/>
              </w:rPr>
              <w:t>根据工程分析核算，本次工程</w:t>
            </w:r>
            <w:r w:rsidRPr="00A8223D">
              <w:rPr>
                <w:rFonts w:asciiTheme="minorHAnsi" w:hAnsiTheme="minorHAnsi"/>
                <w:szCs w:val="21"/>
              </w:rPr>
              <w:t>产尘工序粉尘排放浓度</w:t>
            </w:r>
            <w:r w:rsidR="00955092">
              <w:rPr>
                <w:rFonts w:asciiTheme="minorHAnsi" w:hAnsiTheme="minorHAnsi" w:hint="eastAsia"/>
                <w:szCs w:val="21"/>
              </w:rPr>
              <w:t>范围</w:t>
            </w:r>
            <w:r w:rsidR="00955092">
              <w:rPr>
                <w:rFonts w:asciiTheme="minorHAnsi" w:hAnsiTheme="minorHAnsi"/>
                <w:szCs w:val="21"/>
              </w:rPr>
              <w:t>在</w:t>
            </w:r>
            <w:r w:rsidR="00955092">
              <w:rPr>
                <w:rFonts w:asciiTheme="minorHAnsi" w:hAnsiTheme="minorHAnsi" w:hint="eastAsia"/>
                <w:szCs w:val="21"/>
              </w:rPr>
              <w:t>0.0241</w:t>
            </w:r>
            <w:r w:rsidR="00955092" w:rsidRPr="00955092">
              <w:rPr>
                <w:rFonts w:asciiTheme="minorHAnsi" w:hAnsiTheme="minorHAnsi" w:hint="eastAsia"/>
                <w:szCs w:val="21"/>
              </w:rPr>
              <w:t>～</w:t>
            </w:r>
            <w:r w:rsidR="00955092">
              <w:rPr>
                <w:rFonts w:asciiTheme="minorHAnsi" w:hAnsiTheme="minorHAnsi" w:hint="eastAsia"/>
                <w:szCs w:val="21"/>
              </w:rPr>
              <w:t>0.0474</w:t>
            </w:r>
            <w:r w:rsidR="00955092" w:rsidRPr="00A964FF">
              <w:rPr>
                <w:rFonts w:ascii="Calibri" w:hAnsi="Calibri"/>
                <w:color w:val="auto"/>
                <w:szCs w:val="21"/>
              </w:rPr>
              <w:t>μg/m³</w:t>
            </w:r>
            <w:r w:rsidR="00955092">
              <w:rPr>
                <w:rFonts w:ascii="Calibri" w:hAnsi="Calibri" w:hint="eastAsia"/>
                <w:color w:val="auto"/>
                <w:szCs w:val="21"/>
              </w:rPr>
              <w:t>，</w:t>
            </w:r>
            <w:r w:rsidRPr="00A8223D">
              <w:rPr>
                <w:rFonts w:asciiTheme="minorHAnsi" w:hAnsiTheme="minorHAnsi"/>
                <w:szCs w:val="21"/>
              </w:rPr>
              <w:t>均低于</w:t>
            </w:r>
            <w:r w:rsidRPr="00A8223D">
              <w:rPr>
                <w:rFonts w:asciiTheme="minorHAnsi" w:hAnsiTheme="minorHAnsi"/>
                <w:szCs w:val="21"/>
              </w:rPr>
              <w:t>10mg/m</w:t>
            </w:r>
            <w:r w:rsidRPr="00DD5619">
              <w:rPr>
                <w:rFonts w:asciiTheme="minorHAnsi" w:hAnsiTheme="minorHAnsi"/>
                <w:szCs w:val="21"/>
                <w:vertAlign w:val="superscript"/>
              </w:rPr>
              <w:t>3</w:t>
            </w:r>
          </w:p>
        </w:tc>
        <w:tc>
          <w:tcPr>
            <w:tcW w:w="621" w:type="pct"/>
            <w:vAlign w:val="center"/>
          </w:tcPr>
          <w:p w14:paraId="54F499C6" w14:textId="77777777" w:rsidR="00A8223D" w:rsidRPr="00517F10" w:rsidRDefault="00A8223D" w:rsidP="00517F10">
            <w:pPr>
              <w:spacing w:line="360" w:lineRule="exact"/>
              <w:jc w:val="center"/>
              <w:rPr>
                <w:rFonts w:asciiTheme="minorHAnsi" w:hAnsiTheme="minorHAnsi"/>
                <w:szCs w:val="21"/>
              </w:rPr>
            </w:pPr>
            <w:r w:rsidRPr="00517F10">
              <w:rPr>
                <w:rFonts w:asciiTheme="minorHAnsi" w:hAnsiTheme="minorHAnsi"/>
                <w:szCs w:val="21"/>
              </w:rPr>
              <w:t>符合要求</w:t>
            </w:r>
          </w:p>
        </w:tc>
      </w:tr>
    </w:tbl>
    <w:p w14:paraId="3C8664C5" w14:textId="77777777" w:rsidR="00A8223D" w:rsidRPr="00A8223D" w:rsidRDefault="00A8223D" w:rsidP="00A8223D">
      <w:pPr>
        <w:spacing w:line="520" w:lineRule="exact"/>
        <w:ind w:firstLineChars="200" w:firstLine="480"/>
        <w:jc w:val="left"/>
        <w:rPr>
          <w:rFonts w:ascii="Calibri" w:hAnsi="Calibri"/>
          <w:color w:val="auto"/>
          <w:sz w:val="24"/>
        </w:rPr>
      </w:pPr>
      <w:r w:rsidRPr="00A8223D">
        <w:rPr>
          <w:rFonts w:ascii="Calibri" w:hAnsi="Calibri" w:hint="eastAsia"/>
          <w:color w:val="auto"/>
          <w:sz w:val="24"/>
        </w:rPr>
        <w:t>经比对，项目绩效分级能够达到《河南省重污染天气通用行业应急减排措施制定技术指南（</w:t>
      </w:r>
      <w:r w:rsidRPr="00A8223D">
        <w:rPr>
          <w:rFonts w:ascii="Calibri" w:hAnsi="Calibri" w:hint="eastAsia"/>
          <w:color w:val="auto"/>
          <w:sz w:val="24"/>
        </w:rPr>
        <w:t>2021</w:t>
      </w:r>
      <w:r w:rsidRPr="00A8223D">
        <w:rPr>
          <w:rFonts w:ascii="Calibri" w:hAnsi="Calibri" w:hint="eastAsia"/>
          <w:color w:val="auto"/>
          <w:sz w:val="24"/>
        </w:rPr>
        <w:t>年修订版）》中</w:t>
      </w:r>
      <w:r w:rsidR="00955092">
        <w:rPr>
          <w:rFonts w:ascii="Calibri" w:hAnsi="Calibri"/>
          <w:color w:val="auto"/>
          <w:sz w:val="24"/>
        </w:rPr>
        <w:t>B</w:t>
      </w:r>
      <w:r w:rsidRPr="00A8223D">
        <w:rPr>
          <w:rFonts w:ascii="Calibri" w:hAnsi="Calibri" w:hint="eastAsia"/>
          <w:color w:val="auto"/>
          <w:sz w:val="24"/>
        </w:rPr>
        <w:t>级企业要求。</w:t>
      </w:r>
    </w:p>
    <w:p w14:paraId="0AD4A7B8" w14:textId="77777777" w:rsidR="00A8223D" w:rsidRDefault="00A8223D" w:rsidP="00A8223D">
      <w:pPr>
        <w:spacing w:line="520" w:lineRule="exact"/>
        <w:ind w:firstLineChars="200" w:firstLine="480"/>
        <w:jc w:val="left"/>
        <w:rPr>
          <w:rFonts w:eastAsia="黑体"/>
          <w:sz w:val="24"/>
          <w:u w:val="single"/>
        </w:rPr>
      </w:pPr>
    </w:p>
    <w:p w14:paraId="1B3302A1" w14:textId="77777777" w:rsidR="00A8223D" w:rsidRPr="00A8223D" w:rsidRDefault="00A8223D" w:rsidP="00F72C10">
      <w:pPr>
        <w:spacing w:line="520" w:lineRule="exact"/>
        <w:ind w:firstLineChars="200" w:firstLine="480"/>
        <w:jc w:val="left"/>
        <w:rPr>
          <w:rFonts w:ascii="Calibri"/>
          <w:bCs/>
          <w:color w:val="auto"/>
          <w:sz w:val="24"/>
        </w:rPr>
      </w:pPr>
    </w:p>
    <w:p w14:paraId="0EF8AA97" w14:textId="77777777" w:rsidR="00A8223D" w:rsidRPr="00955092" w:rsidRDefault="00A8223D" w:rsidP="00F72C10">
      <w:pPr>
        <w:spacing w:line="520" w:lineRule="exact"/>
        <w:ind w:firstLineChars="200" w:firstLine="480"/>
        <w:jc w:val="left"/>
        <w:rPr>
          <w:rFonts w:ascii="Calibri"/>
          <w:bCs/>
          <w:color w:val="auto"/>
          <w:sz w:val="24"/>
        </w:rPr>
      </w:pPr>
    </w:p>
    <w:p w14:paraId="74B51CFF" w14:textId="77777777" w:rsidR="00A8223D" w:rsidRDefault="00A8223D" w:rsidP="00F72C10">
      <w:pPr>
        <w:spacing w:line="520" w:lineRule="exact"/>
        <w:ind w:firstLineChars="200" w:firstLine="480"/>
        <w:jc w:val="left"/>
        <w:rPr>
          <w:rFonts w:ascii="Calibri"/>
          <w:bCs/>
          <w:color w:val="auto"/>
          <w:sz w:val="24"/>
        </w:rPr>
      </w:pPr>
    </w:p>
    <w:p w14:paraId="6326610A" w14:textId="77777777" w:rsidR="00A8223D" w:rsidRDefault="00A8223D" w:rsidP="00F72C10">
      <w:pPr>
        <w:spacing w:line="520" w:lineRule="exact"/>
        <w:ind w:firstLineChars="200" w:firstLine="480"/>
        <w:jc w:val="left"/>
        <w:rPr>
          <w:rFonts w:ascii="Calibri"/>
          <w:bCs/>
          <w:color w:val="auto"/>
          <w:sz w:val="24"/>
        </w:rPr>
      </w:pPr>
    </w:p>
    <w:p w14:paraId="5265A6F5" w14:textId="77777777" w:rsidR="00A8223D" w:rsidRDefault="00A8223D" w:rsidP="00F72C10">
      <w:pPr>
        <w:spacing w:line="520" w:lineRule="exact"/>
        <w:ind w:firstLineChars="200" w:firstLine="480"/>
        <w:jc w:val="left"/>
        <w:rPr>
          <w:rFonts w:ascii="Calibri"/>
          <w:bCs/>
          <w:color w:val="auto"/>
          <w:sz w:val="24"/>
        </w:rPr>
      </w:pPr>
    </w:p>
    <w:p w14:paraId="20C2D52E" w14:textId="77777777" w:rsidR="00A8223D" w:rsidRDefault="00A8223D" w:rsidP="00F72C10">
      <w:pPr>
        <w:spacing w:line="520" w:lineRule="exact"/>
        <w:ind w:firstLineChars="200" w:firstLine="480"/>
        <w:jc w:val="left"/>
        <w:rPr>
          <w:rFonts w:ascii="Calibri"/>
          <w:bCs/>
          <w:color w:val="auto"/>
          <w:sz w:val="24"/>
        </w:rPr>
      </w:pPr>
    </w:p>
    <w:p w14:paraId="6D7906D2" w14:textId="77777777" w:rsidR="00A8223D" w:rsidRDefault="00A8223D" w:rsidP="00F72C10">
      <w:pPr>
        <w:spacing w:line="520" w:lineRule="exact"/>
        <w:ind w:firstLineChars="200" w:firstLine="480"/>
        <w:jc w:val="left"/>
        <w:rPr>
          <w:rFonts w:ascii="Calibri"/>
          <w:bCs/>
          <w:color w:val="auto"/>
          <w:sz w:val="24"/>
        </w:rPr>
      </w:pPr>
    </w:p>
    <w:p w14:paraId="5707A092" w14:textId="77777777" w:rsidR="00A8223D" w:rsidRPr="00A8223D" w:rsidRDefault="00A8223D" w:rsidP="00A73882">
      <w:pPr>
        <w:spacing w:line="520" w:lineRule="exact"/>
        <w:jc w:val="left"/>
        <w:rPr>
          <w:rFonts w:ascii="Calibri"/>
          <w:bCs/>
          <w:color w:val="auto"/>
          <w:sz w:val="24"/>
        </w:rPr>
      </w:pPr>
    </w:p>
    <w:p w14:paraId="5AA7EBA9" w14:textId="77777777" w:rsidR="00A8223D" w:rsidRPr="00A964FF" w:rsidRDefault="00A8223D" w:rsidP="0061483B">
      <w:pPr>
        <w:spacing w:line="520" w:lineRule="exact"/>
        <w:jc w:val="left"/>
        <w:rPr>
          <w:rFonts w:ascii="Calibri"/>
          <w:bCs/>
          <w:color w:val="auto"/>
          <w:sz w:val="24"/>
        </w:rPr>
        <w:sectPr w:rsidR="00A8223D" w:rsidRPr="00A964FF" w:rsidSect="00F72C10">
          <w:pgSz w:w="16838" w:h="11906" w:orient="landscape" w:code="9"/>
          <w:pgMar w:top="1588" w:right="1440" w:bottom="1588" w:left="1440" w:header="851" w:footer="992" w:gutter="0"/>
          <w:cols w:space="720"/>
          <w:docGrid w:linePitch="312"/>
        </w:sectPr>
      </w:pPr>
    </w:p>
    <w:p w14:paraId="77089E70" w14:textId="77777777" w:rsidR="0055605A" w:rsidRPr="00A964FF" w:rsidRDefault="0055605A" w:rsidP="0055605A">
      <w:pPr>
        <w:pStyle w:val="1"/>
        <w:spacing w:line="240" w:lineRule="auto"/>
        <w:jc w:val="center"/>
        <w:rPr>
          <w:rFonts w:ascii="Calibri" w:hAnsi="Calibri"/>
          <w:color w:val="auto"/>
        </w:rPr>
      </w:pPr>
      <w:bookmarkStart w:id="41" w:name="_Toc112999903"/>
      <w:r w:rsidRPr="00A964FF">
        <w:rPr>
          <w:rFonts w:ascii="Calibri" w:hAnsi="Calibri"/>
          <w:color w:val="auto"/>
        </w:rPr>
        <w:lastRenderedPageBreak/>
        <w:t>第</w:t>
      </w:r>
      <w:r w:rsidRPr="00A964FF">
        <w:rPr>
          <w:rFonts w:ascii="Calibri" w:hAnsi="Calibri" w:hint="eastAsia"/>
          <w:color w:val="auto"/>
        </w:rPr>
        <w:t>二</w:t>
      </w:r>
      <w:r w:rsidRPr="00A964FF">
        <w:rPr>
          <w:rFonts w:ascii="Calibri" w:hAnsi="Calibri"/>
          <w:color w:val="auto"/>
        </w:rPr>
        <w:t>章</w:t>
      </w:r>
      <w:r w:rsidRPr="00A964FF">
        <w:rPr>
          <w:rFonts w:ascii="Calibri" w:hAnsi="Calibri"/>
          <w:color w:val="auto"/>
        </w:rPr>
        <w:t xml:space="preserve">    </w:t>
      </w:r>
      <w:bookmarkStart w:id="42" w:name="_Toc447804111"/>
      <w:bookmarkEnd w:id="40"/>
      <w:r w:rsidRPr="00A964FF">
        <w:rPr>
          <w:rFonts w:ascii="Calibri" w:hAnsi="Calibri" w:hint="eastAsia"/>
          <w:color w:val="auto"/>
        </w:rPr>
        <w:t>工程分析</w:t>
      </w:r>
      <w:bookmarkEnd w:id="41"/>
    </w:p>
    <w:p w14:paraId="20B32C0B" w14:textId="77777777" w:rsidR="0055605A" w:rsidRPr="00A964FF" w:rsidRDefault="0055605A" w:rsidP="0055605A">
      <w:pPr>
        <w:pStyle w:val="2"/>
        <w:spacing w:before="200" w:after="100"/>
        <w:rPr>
          <w:rFonts w:ascii="Calibri" w:hAnsi="Calibri"/>
          <w:bCs/>
          <w:color w:val="auto"/>
          <w:szCs w:val="28"/>
        </w:rPr>
      </w:pPr>
      <w:bookmarkStart w:id="43" w:name="_Toc112999904"/>
      <w:r w:rsidRPr="00A964FF">
        <w:rPr>
          <w:rFonts w:ascii="Calibri" w:hAnsi="Calibri" w:hint="eastAsia"/>
          <w:bCs/>
          <w:color w:val="auto"/>
          <w:szCs w:val="28"/>
        </w:rPr>
        <w:t>2</w:t>
      </w:r>
      <w:r w:rsidRPr="00A964FF">
        <w:rPr>
          <w:rFonts w:ascii="Calibri" w:hAnsi="Calibri"/>
          <w:bCs/>
          <w:color w:val="auto"/>
          <w:szCs w:val="28"/>
        </w:rPr>
        <w:t>.1</w:t>
      </w:r>
      <w:bookmarkEnd w:id="42"/>
      <w:r w:rsidRPr="00A964FF">
        <w:rPr>
          <w:rFonts w:ascii="Calibri" w:hAnsi="Calibri" w:hint="eastAsia"/>
          <w:bCs/>
          <w:color w:val="auto"/>
          <w:szCs w:val="28"/>
        </w:rPr>
        <w:t>建设项目概况</w:t>
      </w:r>
      <w:bookmarkEnd w:id="43"/>
    </w:p>
    <w:p w14:paraId="14AD777E" w14:textId="77777777" w:rsidR="004554C2" w:rsidRPr="00A964FF" w:rsidRDefault="004554C2" w:rsidP="004554C2">
      <w:pPr>
        <w:pStyle w:val="ad"/>
        <w:rPr>
          <w:rFonts w:ascii="Calibri" w:hAnsi="Calibri"/>
          <w:color w:val="auto"/>
        </w:rPr>
      </w:pPr>
      <w:r w:rsidRPr="00A964FF">
        <w:rPr>
          <w:rFonts w:ascii="Calibri" w:hAnsi="Calibri"/>
          <w:color w:val="auto"/>
        </w:rPr>
        <w:t>2.1.1</w:t>
      </w:r>
      <w:r w:rsidRPr="00A964FF">
        <w:rPr>
          <w:rFonts w:ascii="Calibri" w:hAnsi="Calibri" w:hint="eastAsia"/>
          <w:color w:val="auto"/>
        </w:rPr>
        <w:t>建设项目</w:t>
      </w:r>
      <w:r w:rsidRPr="00A964FF">
        <w:rPr>
          <w:rFonts w:ascii="Calibri" w:hAnsi="Calibri"/>
          <w:color w:val="auto"/>
        </w:rPr>
        <w:t>基本情况</w:t>
      </w:r>
    </w:p>
    <w:p w14:paraId="5DCDD9EA" w14:textId="77777777" w:rsidR="004554C2" w:rsidRPr="00A964FF" w:rsidRDefault="004554C2" w:rsidP="00004A0D">
      <w:pPr>
        <w:pStyle w:val="00"/>
        <w:rPr>
          <w:rFonts w:ascii="Calibri" w:hAnsi="Calibri"/>
          <w:color w:val="auto"/>
        </w:rPr>
      </w:pPr>
      <w:r w:rsidRPr="00A964FF">
        <w:rPr>
          <w:rFonts w:ascii="Calibri" w:hAnsi="Calibri" w:hint="eastAsia"/>
          <w:color w:val="auto"/>
        </w:rPr>
        <w:t>本次评价对象为</w:t>
      </w:r>
      <w:r w:rsidR="0088215F" w:rsidRPr="0088215F">
        <w:rPr>
          <w:rFonts w:ascii="Calibri" w:hAnsi="Calibri" w:hint="eastAsia"/>
          <w:color w:val="auto"/>
        </w:rPr>
        <w:t>平顶山倍安德塑化有限公司年产</w:t>
      </w:r>
      <w:r w:rsidR="0088215F" w:rsidRPr="0088215F">
        <w:rPr>
          <w:rFonts w:ascii="Calibri" w:hAnsi="Calibri" w:hint="eastAsia"/>
          <w:color w:val="auto"/>
        </w:rPr>
        <w:t>5000</w:t>
      </w:r>
      <w:r w:rsidR="0088215F" w:rsidRPr="0088215F">
        <w:rPr>
          <w:rFonts w:ascii="Calibri" w:hAnsi="Calibri" w:hint="eastAsia"/>
          <w:color w:val="auto"/>
        </w:rPr>
        <w:t>吨透明尼龙合成制造项目</w:t>
      </w:r>
      <w:r w:rsidRPr="00A964FF">
        <w:rPr>
          <w:rFonts w:ascii="Calibri" w:hAnsi="Calibri" w:hint="eastAsia"/>
          <w:color w:val="auto"/>
        </w:rPr>
        <w:t>，其基本情况汇总见表</w:t>
      </w:r>
      <w:r w:rsidRPr="00A964FF">
        <w:rPr>
          <w:rFonts w:ascii="Calibri" w:hAnsi="Calibri" w:hint="eastAsia"/>
          <w:color w:val="auto"/>
        </w:rPr>
        <w:t>2</w:t>
      </w:r>
      <w:r w:rsidR="00136AA7" w:rsidRPr="00A964FF">
        <w:rPr>
          <w:rFonts w:ascii="Calibri" w:hAnsi="Calibri" w:hint="eastAsia"/>
          <w:color w:val="auto"/>
        </w:rPr>
        <w:t>.1</w:t>
      </w:r>
      <w:r w:rsidRPr="00A964FF">
        <w:rPr>
          <w:rFonts w:ascii="Calibri" w:hAnsi="Calibri" w:hint="eastAsia"/>
          <w:color w:val="auto"/>
        </w:rPr>
        <w:t>-1</w:t>
      </w:r>
      <w:r w:rsidRPr="00A964FF">
        <w:rPr>
          <w:rFonts w:ascii="Calibri" w:hAnsi="Calibri" w:hint="eastAsia"/>
          <w:color w:val="auto"/>
        </w:rPr>
        <w:t>。</w:t>
      </w:r>
    </w:p>
    <w:p w14:paraId="3D2DC83D" w14:textId="77777777" w:rsidR="004554C2" w:rsidRPr="00A964FF" w:rsidRDefault="004554C2" w:rsidP="004554C2">
      <w:pPr>
        <w:pStyle w:val="00"/>
        <w:rPr>
          <w:rFonts w:ascii="Calibri" w:eastAsia="黑体" w:hAnsi="Calibri"/>
          <w:color w:val="auto"/>
        </w:rPr>
      </w:pPr>
      <w:r w:rsidRPr="00A964FF">
        <w:rPr>
          <w:rFonts w:ascii="Calibri" w:eastAsia="黑体" w:hAnsi="Calibri"/>
          <w:color w:val="auto"/>
        </w:rPr>
        <w:t>表</w:t>
      </w:r>
      <w:r w:rsidRPr="00A964FF">
        <w:rPr>
          <w:rFonts w:ascii="Calibri" w:eastAsia="黑体" w:hAnsi="Calibri"/>
          <w:color w:val="auto"/>
        </w:rPr>
        <w:t>2</w:t>
      </w:r>
      <w:r w:rsidR="00136AA7" w:rsidRPr="00A964FF">
        <w:rPr>
          <w:rFonts w:ascii="Calibri" w:eastAsia="黑体" w:hAnsi="Calibri" w:hint="eastAsia"/>
          <w:color w:val="auto"/>
        </w:rPr>
        <w:t>.1</w:t>
      </w:r>
      <w:r w:rsidRPr="00A964FF">
        <w:rPr>
          <w:rFonts w:ascii="Calibri" w:eastAsia="黑体" w:hAnsi="Calibri"/>
          <w:color w:val="auto"/>
        </w:rPr>
        <w:t xml:space="preserve">-1                  </w:t>
      </w:r>
      <w:r w:rsidRPr="00A964FF">
        <w:rPr>
          <w:rFonts w:ascii="Calibri" w:eastAsia="黑体" w:hAnsi="Calibri"/>
          <w:color w:val="auto"/>
        </w:rPr>
        <w:t>项目基本情况一览表</w:t>
      </w:r>
    </w:p>
    <w:tbl>
      <w:tblPr>
        <w:tblW w:w="5000" w:type="pct"/>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000" w:firstRow="0" w:lastRow="0" w:firstColumn="0" w:lastColumn="0" w:noHBand="0" w:noVBand="0"/>
      </w:tblPr>
      <w:tblGrid>
        <w:gridCol w:w="884"/>
        <w:gridCol w:w="1618"/>
        <w:gridCol w:w="6198"/>
      </w:tblGrid>
      <w:tr w:rsidR="004554C2" w:rsidRPr="00A964FF" w14:paraId="20DC7730" w14:textId="77777777" w:rsidTr="00260988">
        <w:trPr>
          <w:trHeight w:val="340"/>
        </w:trPr>
        <w:tc>
          <w:tcPr>
            <w:tcW w:w="508" w:type="pct"/>
            <w:vAlign w:val="center"/>
          </w:tcPr>
          <w:p w14:paraId="2067AB06"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序号</w:t>
            </w:r>
          </w:p>
        </w:tc>
        <w:tc>
          <w:tcPr>
            <w:tcW w:w="930" w:type="pct"/>
            <w:vAlign w:val="center"/>
          </w:tcPr>
          <w:p w14:paraId="4418B702"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项目</w:t>
            </w:r>
          </w:p>
        </w:tc>
        <w:tc>
          <w:tcPr>
            <w:tcW w:w="3562" w:type="pct"/>
            <w:vAlign w:val="center"/>
          </w:tcPr>
          <w:p w14:paraId="0331998D"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内容</w:t>
            </w:r>
          </w:p>
        </w:tc>
      </w:tr>
      <w:tr w:rsidR="004554C2" w:rsidRPr="00A964FF" w14:paraId="623609B0" w14:textId="77777777" w:rsidTr="00260988">
        <w:trPr>
          <w:trHeight w:val="340"/>
        </w:trPr>
        <w:tc>
          <w:tcPr>
            <w:tcW w:w="508" w:type="pct"/>
            <w:vAlign w:val="center"/>
          </w:tcPr>
          <w:p w14:paraId="44D5326C"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1</w:t>
            </w:r>
          </w:p>
        </w:tc>
        <w:tc>
          <w:tcPr>
            <w:tcW w:w="930" w:type="pct"/>
            <w:vAlign w:val="center"/>
          </w:tcPr>
          <w:p w14:paraId="41FC3CBD" w14:textId="77777777" w:rsidR="004554C2" w:rsidRPr="00A964FF" w:rsidRDefault="004554C2" w:rsidP="004554C2">
            <w:pPr>
              <w:jc w:val="center"/>
              <w:rPr>
                <w:rFonts w:ascii="Calibri" w:hAnsi="Calibri"/>
                <w:caps/>
                <w:color w:val="auto"/>
              </w:rPr>
            </w:pPr>
            <w:r w:rsidRPr="00A964FF">
              <w:rPr>
                <w:rFonts w:ascii="Calibri" w:hAnsi="Calibri"/>
                <w:caps/>
                <w:color w:val="auto"/>
              </w:rPr>
              <w:t>项目名称</w:t>
            </w:r>
          </w:p>
        </w:tc>
        <w:tc>
          <w:tcPr>
            <w:tcW w:w="3562" w:type="pct"/>
            <w:vAlign w:val="center"/>
          </w:tcPr>
          <w:p w14:paraId="04B300E5" w14:textId="77777777" w:rsidR="004554C2" w:rsidRPr="00A964FF" w:rsidRDefault="0088215F" w:rsidP="00FC28EF">
            <w:pPr>
              <w:jc w:val="center"/>
              <w:rPr>
                <w:rFonts w:ascii="Calibri" w:hAnsi="Calibri"/>
                <w:caps/>
                <w:color w:val="auto"/>
              </w:rPr>
            </w:pPr>
            <w:r w:rsidRPr="0088215F">
              <w:rPr>
                <w:rFonts w:ascii="Calibri" w:hAnsi="Calibri" w:hint="eastAsia"/>
                <w:caps/>
              </w:rPr>
              <w:t>平顶山倍安德塑化有限公司年产</w:t>
            </w:r>
            <w:r w:rsidRPr="0088215F">
              <w:rPr>
                <w:rFonts w:ascii="Calibri" w:hAnsi="Calibri" w:hint="eastAsia"/>
                <w:caps/>
              </w:rPr>
              <w:t>5000</w:t>
            </w:r>
            <w:r w:rsidRPr="0088215F">
              <w:rPr>
                <w:rFonts w:ascii="Calibri" w:hAnsi="Calibri" w:hint="eastAsia"/>
                <w:caps/>
              </w:rPr>
              <w:t>吨透明尼龙合成制造项目</w:t>
            </w:r>
          </w:p>
        </w:tc>
      </w:tr>
      <w:tr w:rsidR="004554C2" w:rsidRPr="00A964FF" w14:paraId="39474907" w14:textId="77777777" w:rsidTr="00260988">
        <w:trPr>
          <w:trHeight w:val="340"/>
        </w:trPr>
        <w:tc>
          <w:tcPr>
            <w:tcW w:w="508" w:type="pct"/>
            <w:vAlign w:val="center"/>
          </w:tcPr>
          <w:p w14:paraId="4E1E7D21"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2</w:t>
            </w:r>
          </w:p>
        </w:tc>
        <w:tc>
          <w:tcPr>
            <w:tcW w:w="930" w:type="pct"/>
            <w:vAlign w:val="center"/>
          </w:tcPr>
          <w:p w14:paraId="02B32CD0" w14:textId="77777777" w:rsidR="004554C2" w:rsidRPr="00A964FF" w:rsidRDefault="004554C2" w:rsidP="004554C2">
            <w:pPr>
              <w:jc w:val="center"/>
              <w:rPr>
                <w:rFonts w:ascii="Calibri" w:hAnsi="Calibri"/>
                <w:caps/>
                <w:color w:val="auto"/>
              </w:rPr>
            </w:pPr>
            <w:r w:rsidRPr="00A964FF">
              <w:rPr>
                <w:rFonts w:ascii="Calibri" w:hAnsi="Calibri"/>
                <w:caps/>
                <w:color w:val="auto"/>
              </w:rPr>
              <w:t>建设单位</w:t>
            </w:r>
          </w:p>
        </w:tc>
        <w:tc>
          <w:tcPr>
            <w:tcW w:w="3562" w:type="pct"/>
            <w:vAlign w:val="center"/>
          </w:tcPr>
          <w:p w14:paraId="2ECAE887" w14:textId="77777777" w:rsidR="004554C2" w:rsidRPr="0089454A" w:rsidRDefault="0088215F" w:rsidP="004554C2">
            <w:pPr>
              <w:jc w:val="center"/>
              <w:rPr>
                <w:rFonts w:ascii="Calibri" w:hAnsi="Calibri"/>
                <w:caps/>
              </w:rPr>
            </w:pPr>
            <w:r w:rsidRPr="0089454A">
              <w:rPr>
                <w:rFonts w:ascii="Calibri" w:hAnsi="Calibri" w:hint="eastAsia"/>
                <w:caps/>
              </w:rPr>
              <w:t>平顶山倍安德塑化有限公司</w:t>
            </w:r>
          </w:p>
        </w:tc>
      </w:tr>
      <w:tr w:rsidR="004554C2" w:rsidRPr="00A964FF" w14:paraId="6F3E2E8A" w14:textId="77777777" w:rsidTr="00260988">
        <w:trPr>
          <w:trHeight w:val="340"/>
        </w:trPr>
        <w:tc>
          <w:tcPr>
            <w:tcW w:w="508" w:type="pct"/>
            <w:vAlign w:val="center"/>
          </w:tcPr>
          <w:p w14:paraId="7EC9750B"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3</w:t>
            </w:r>
          </w:p>
        </w:tc>
        <w:tc>
          <w:tcPr>
            <w:tcW w:w="930" w:type="pct"/>
            <w:vAlign w:val="center"/>
          </w:tcPr>
          <w:p w14:paraId="119C2F98" w14:textId="77777777" w:rsidR="004554C2" w:rsidRPr="00A964FF" w:rsidRDefault="004554C2" w:rsidP="004554C2">
            <w:pPr>
              <w:jc w:val="center"/>
              <w:rPr>
                <w:rFonts w:ascii="Calibri" w:hAnsi="Calibri"/>
                <w:caps/>
                <w:color w:val="auto"/>
              </w:rPr>
            </w:pPr>
            <w:r w:rsidRPr="00A964FF">
              <w:rPr>
                <w:rFonts w:ascii="Calibri" w:hAnsi="Calibri"/>
                <w:caps/>
                <w:color w:val="auto"/>
              </w:rPr>
              <w:t>建设地点</w:t>
            </w:r>
          </w:p>
        </w:tc>
        <w:tc>
          <w:tcPr>
            <w:tcW w:w="3562" w:type="pct"/>
            <w:vAlign w:val="center"/>
          </w:tcPr>
          <w:p w14:paraId="2FDA92CA" w14:textId="77777777" w:rsidR="004554C2" w:rsidRPr="00F74D79" w:rsidRDefault="003B048A" w:rsidP="007A745D">
            <w:pPr>
              <w:jc w:val="center"/>
              <w:rPr>
                <w:rFonts w:ascii="Calibri" w:hAnsi="Calibri"/>
                <w:caps/>
                <w:color w:val="auto"/>
              </w:rPr>
            </w:pPr>
            <w:r w:rsidRPr="00A964FF">
              <w:rPr>
                <w:rFonts w:ascii="Calibri"/>
                <w:color w:val="auto"/>
              </w:rPr>
              <w:t>平顶山尼龙新材料产业集聚区</w:t>
            </w:r>
            <w:r w:rsidR="00F74D79">
              <w:rPr>
                <w:rFonts w:ascii="Calibri" w:hint="eastAsia"/>
                <w:color w:val="auto"/>
              </w:rPr>
              <w:t>化工</w:t>
            </w:r>
            <w:r w:rsidR="00F74D79">
              <w:rPr>
                <w:rFonts w:ascii="Calibri"/>
                <w:color w:val="auto"/>
              </w:rPr>
              <w:t>三路西侧，总占地</w:t>
            </w:r>
            <w:r w:rsidR="00F74D79">
              <w:rPr>
                <w:rFonts w:ascii="Calibri" w:hint="eastAsia"/>
                <w:color w:val="auto"/>
              </w:rPr>
              <w:t>78033.8</w:t>
            </w:r>
            <w:r w:rsidR="00F74D79">
              <w:rPr>
                <w:rFonts w:ascii="Calibri"/>
                <w:color w:val="auto"/>
              </w:rPr>
              <w:t>m</w:t>
            </w:r>
            <w:r w:rsidR="00F74D79" w:rsidRPr="00F74D79">
              <w:rPr>
                <w:rFonts w:ascii="Calibri"/>
                <w:color w:val="auto"/>
                <w:vertAlign w:val="superscript"/>
              </w:rPr>
              <w:t>2</w:t>
            </w:r>
          </w:p>
        </w:tc>
      </w:tr>
      <w:tr w:rsidR="004554C2" w:rsidRPr="00A964FF" w14:paraId="552C0A52" w14:textId="77777777" w:rsidTr="00260988">
        <w:trPr>
          <w:trHeight w:val="340"/>
        </w:trPr>
        <w:tc>
          <w:tcPr>
            <w:tcW w:w="508" w:type="pct"/>
            <w:vAlign w:val="center"/>
          </w:tcPr>
          <w:p w14:paraId="3F8C5832"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4</w:t>
            </w:r>
          </w:p>
        </w:tc>
        <w:tc>
          <w:tcPr>
            <w:tcW w:w="930" w:type="pct"/>
            <w:vAlign w:val="center"/>
          </w:tcPr>
          <w:p w14:paraId="06205DF2" w14:textId="77777777" w:rsidR="004554C2" w:rsidRPr="00A964FF" w:rsidRDefault="004554C2" w:rsidP="004554C2">
            <w:pPr>
              <w:jc w:val="center"/>
              <w:rPr>
                <w:rFonts w:ascii="Calibri" w:hAnsi="Calibri"/>
                <w:caps/>
                <w:color w:val="auto"/>
              </w:rPr>
            </w:pPr>
            <w:r w:rsidRPr="00A964FF">
              <w:rPr>
                <w:rFonts w:ascii="Calibri" w:hAnsi="Calibri"/>
                <w:caps/>
                <w:color w:val="auto"/>
              </w:rPr>
              <w:t>建设性质</w:t>
            </w:r>
          </w:p>
        </w:tc>
        <w:tc>
          <w:tcPr>
            <w:tcW w:w="3562" w:type="pct"/>
            <w:vAlign w:val="center"/>
          </w:tcPr>
          <w:p w14:paraId="22C0AFFC" w14:textId="77777777" w:rsidR="004554C2" w:rsidRPr="00A964FF" w:rsidRDefault="004554C2" w:rsidP="004554C2">
            <w:pPr>
              <w:jc w:val="center"/>
              <w:rPr>
                <w:rFonts w:ascii="Calibri" w:hAnsi="Calibri"/>
                <w:caps/>
                <w:color w:val="auto"/>
              </w:rPr>
            </w:pPr>
            <w:r w:rsidRPr="00A964FF">
              <w:rPr>
                <w:rFonts w:ascii="Calibri" w:hAnsi="Calibri"/>
                <w:caps/>
                <w:color w:val="auto"/>
              </w:rPr>
              <w:t>新建</w:t>
            </w:r>
          </w:p>
        </w:tc>
      </w:tr>
      <w:tr w:rsidR="004554C2" w:rsidRPr="00A964FF" w14:paraId="4F944512" w14:textId="77777777" w:rsidTr="00260988">
        <w:trPr>
          <w:trHeight w:val="340"/>
        </w:trPr>
        <w:tc>
          <w:tcPr>
            <w:tcW w:w="508" w:type="pct"/>
            <w:vAlign w:val="center"/>
          </w:tcPr>
          <w:p w14:paraId="1594D956"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5</w:t>
            </w:r>
          </w:p>
        </w:tc>
        <w:tc>
          <w:tcPr>
            <w:tcW w:w="930" w:type="pct"/>
            <w:vAlign w:val="center"/>
          </w:tcPr>
          <w:p w14:paraId="0A628127" w14:textId="77777777" w:rsidR="004554C2" w:rsidRPr="00A964FF" w:rsidRDefault="004554C2" w:rsidP="004554C2">
            <w:pPr>
              <w:jc w:val="center"/>
              <w:rPr>
                <w:rFonts w:ascii="Calibri" w:hAnsi="Calibri"/>
                <w:caps/>
                <w:color w:val="auto"/>
              </w:rPr>
            </w:pPr>
            <w:r w:rsidRPr="00A964FF">
              <w:rPr>
                <w:rFonts w:ascii="Calibri" w:hAnsi="Calibri"/>
                <w:caps/>
                <w:color w:val="auto"/>
              </w:rPr>
              <w:t>工程投资</w:t>
            </w:r>
          </w:p>
        </w:tc>
        <w:tc>
          <w:tcPr>
            <w:tcW w:w="3562" w:type="pct"/>
            <w:vAlign w:val="center"/>
          </w:tcPr>
          <w:p w14:paraId="00015E88" w14:textId="4B854CF1" w:rsidR="004554C2" w:rsidRPr="00A964FF" w:rsidRDefault="0093420D" w:rsidP="004554C2">
            <w:pPr>
              <w:jc w:val="center"/>
              <w:rPr>
                <w:rFonts w:ascii="Calibri" w:hAnsi="Calibri"/>
                <w:caps/>
                <w:color w:val="auto"/>
              </w:rPr>
            </w:pPr>
            <w:r>
              <w:rPr>
                <w:rFonts w:ascii="Calibri" w:hAnsi="Calibri" w:hint="eastAsia"/>
                <w:caps/>
                <w:color w:val="auto"/>
              </w:rPr>
              <w:t>总投资</w:t>
            </w:r>
            <w:r w:rsidR="0088215F">
              <w:rPr>
                <w:rFonts w:ascii="Calibri" w:hAnsi="Calibri"/>
                <w:caps/>
                <w:color w:val="auto"/>
              </w:rPr>
              <w:t>30461</w:t>
            </w:r>
            <w:r w:rsidR="004554C2" w:rsidRPr="006E4A45">
              <w:rPr>
                <w:rFonts w:ascii="Calibri" w:hAnsi="Calibri"/>
                <w:caps/>
                <w:color w:val="auto"/>
              </w:rPr>
              <w:t>万元</w:t>
            </w:r>
            <w:r>
              <w:rPr>
                <w:rFonts w:ascii="Calibri" w:hAnsi="Calibri" w:hint="eastAsia"/>
                <w:caps/>
                <w:color w:val="auto"/>
              </w:rPr>
              <w:t>，</w:t>
            </w:r>
            <w:r>
              <w:rPr>
                <w:rFonts w:ascii="Calibri" w:hAnsi="Calibri"/>
                <w:caps/>
                <w:color w:val="auto"/>
              </w:rPr>
              <w:t>一期二期工程投资</w:t>
            </w:r>
            <w:r>
              <w:rPr>
                <w:rFonts w:ascii="Calibri" w:hAnsi="Calibri" w:hint="eastAsia"/>
                <w:caps/>
                <w:color w:val="auto"/>
              </w:rPr>
              <w:t>25400</w:t>
            </w:r>
            <w:r>
              <w:rPr>
                <w:rFonts w:ascii="Calibri" w:hAnsi="Calibri" w:hint="eastAsia"/>
                <w:caps/>
                <w:color w:val="auto"/>
              </w:rPr>
              <w:t>万元</w:t>
            </w:r>
          </w:p>
        </w:tc>
      </w:tr>
      <w:tr w:rsidR="004554C2" w:rsidRPr="00A964FF" w14:paraId="6F9E3F29" w14:textId="77777777" w:rsidTr="00260988">
        <w:trPr>
          <w:trHeight w:val="340"/>
        </w:trPr>
        <w:tc>
          <w:tcPr>
            <w:tcW w:w="508" w:type="pct"/>
            <w:vAlign w:val="center"/>
          </w:tcPr>
          <w:p w14:paraId="062AB031"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6</w:t>
            </w:r>
          </w:p>
        </w:tc>
        <w:tc>
          <w:tcPr>
            <w:tcW w:w="930" w:type="pct"/>
            <w:vAlign w:val="center"/>
          </w:tcPr>
          <w:p w14:paraId="2EB5F150" w14:textId="77777777" w:rsidR="004554C2" w:rsidRPr="00A964FF" w:rsidRDefault="004554C2" w:rsidP="004554C2">
            <w:pPr>
              <w:jc w:val="center"/>
              <w:rPr>
                <w:rFonts w:ascii="Calibri" w:hAnsi="Calibri"/>
                <w:caps/>
                <w:color w:val="auto"/>
              </w:rPr>
            </w:pPr>
            <w:r w:rsidRPr="00A964FF">
              <w:rPr>
                <w:rFonts w:ascii="Calibri" w:hAnsi="Calibri"/>
                <w:caps/>
                <w:color w:val="auto"/>
              </w:rPr>
              <w:t>法人代表</w:t>
            </w:r>
          </w:p>
        </w:tc>
        <w:tc>
          <w:tcPr>
            <w:tcW w:w="3562" w:type="pct"/>
            <w:vAlign w:val="center"/>
          </w:tcPr>
          <w:p w14:paraId="14F755AB" w14:textId="77777777" w:rsidR="004554C2" w:rsidRPr="00A964FF" w:rsidRDefault="0088215F" w:rsidP="004554C2">
            <w:pPr>
              <w:jc w:val="center"/>
              <w:rPr>
                <w:rFonts w:ascii="Calibri" w:hAnsi="Calibri"/>
                <w:color w:val="auto"/>
              </w:rPr>
            </w:pPr>
            <w:r w:rsidRPr="0088215F">
              <w:rPr>
                <w:rFonts w:hint="eastAsia"/>
              </w:rPr>
              <w:t>孙俊卿</w:t>
            </w:r>
          </w:p>
        </w:tc>
      </w:tr>
      <w:tr w:rsidR="00D36A8F" w:rsidRPr="00A964FF" w14:paraId="3423D787" w14:textId="77777777" w:rsidTr="00260988">
        <w:trPr>
          <w:trHeight w:val="340"/>
        </w:trPr>
        <w:tc>
          <w:tcPr>
            <w:tcW w:w="508" w:type="pct"/>
            <w:vAlign w:val="center"/>
          </w:tcPr>
          <w:p w14:paraId="24E9F105" w14:textId="77777777" w:rsidR="00D36A8F" w:rsidRPr="00A964FF" w:rsidRDefault="00D36A8F" w:rsidP="004554C2">
            <w:pPr>
              <w:jc w:val="center"/>
              <w:rPr>
                <w:rFonts w:ascii="Calibri" w:hAnsi="Calibri"/>
                <w:caps/>
                <w:color w:val="auto"/>
                <w:szCs w:val="21"/>
              </w:rPr>
            </w:pPr>
            <w:r w:rsidRPr="00A964FF">
              <w:rPr>
                <w:rFonts w:ascii="Calibri" w:hAnsi="Calibri"/>
                <w:caps/>
                <w:color w:val="auto"/>
                <w:szCs w:val="21"/>
              </w:rPr>
              <w:t>7</w:t>
            </w:r>
          </w:p>
        </w:tc>
        <w:tc>
          <w:tcPr>
            <w:tcW w:w="930" w:type="pct"/>
            <w:vAlign w:val="center"/>
          </w:tcPr>
          <w:p w14:paraId="3DD020A9" w14:textId="77777777" w:rsidR="00D36A8F" w:rsidRPr="00A964FF" w:rsidRDefault="00D36A8F" w:rsidP="004554C2">
            <w:pPr>
              <w:jc w:val="center"/>
              <w:rPr>
                <w:rFonts w:ascii="Calibri" w:hAnsi="Calibri"/>
                <w:caps/>
                <w:color w:val="auto"/>
              </w:rPr>
            </w:pPr>
            <w:r w:rsidRPr="00A964FF">
              <w:rPr>
                <w:rFonts w:ascii="Calibri" w:hAnsi="Calibri"/>
                <w:caps/>
                <w:color w:val="auto"/>
              </w:rPr>
              <w:t>联系人</w:t>
            </w:r>
          </w:p>
        </w:tc>
        <w:tc>
          <w:tcPr>
            <w:tcW w:w="3562" w:type="pct"/>
            <w:vAlign w:val="center"/>
          </w:tcPr>
          <w:p w14:paraId="7481D70C" w14:textId="77777777" w:rsidR="00D36A8F" w:rsidRPr="00A964FF" w:rsidRDefault="0088215F" w:rsidP="00693F59">
            <w:pPr>
              <w:jc w:val="center"/>
              <w:rPr>
                <w:rFonts w:ascii="Calibri" w:hAnsi="Calibri"/>
                <w:color w:val="auto"/>
              </w:rPr>
            </w:pPr>
            <w:r w:rsidRPr="0088215F">
              <w:rPr>
                <w:rFonts w:ascii="Calibri" w:hAnsi="Calibri" w:hint="eastAsia"/>
                <w:color w:val="auto"/>
              </w:rPr>
              <w:t>宋兵兵</w:t>
            </w:r>
          </w:p>
        </w:tc>
      </w:tr>
      <w:tr w:rsidR="00D36A8F" w:rsidRPr="00A964FF" w14:paraId="56A7927F" w14:textId="77777777" w:rsidTr="00260988">
        <w:trPr>
          <w:trHeight w:val="340"/>
        </w:trPr>
        <w:tc>
          <w:tcPr>
            <w:tcW w:w="508" w:type="pct"/>
            <w:vAlign w:val="center"/>
          </w:tcPr>
          <w:p w14:paraId="5E102CBC" w14:textId="77777777" w:rsidR="00D36A8F" w:rsidRPr="00A964FF" w:rsidRDefault="00D36A8F" w:rsidP="004554C2">
            <w:pPr>
              <w:jc w:val="center"/>
              <w:rPr>
                <w:rFonts w:ascii="Calibri" w:hAnsi="Calibri"/>
                <w:caps/>
                <w:color w:val="auto"/>
                <w:szCs w:val="21"/>
              </w:rPr>
            </w:pPr>
            <w:r w:rsidRPr="00A964FF">
              <w:rPr>
                <w:rFonts w:ascii="Calibri" w:hAnsi="Calibri"/>
                <w:caps/>
                <w:color w:val="auto"/>
                <w:szCs w:val="21"/>
              </w:rPr>
              <w:t>8</w:t>
            </w:r>
          </w:p>
        </w:tc>
        <w:tc>
          <w:tcPr>
            <w:tcW w:w="930" w:type="pct"/>
            <w:vAlign w:val="center"/>
          </w:tcPr>
          <w:p w14:paraId="2D910835" w14:textId="77777777" w:rsidR="00D36A8F" w:rsidRPr="00A964FF" w:rsidRDefault="00D36A8F" w:rsidP="004554C2">
            <w:pPr>
              <w:jc w:val="center"/>
              <w:rPr>
                <w:rFonts w:ascii="Calibri" w:hAnsi="Calibri"/>
                <w:caps/>
                <w:color w:val="auto"/>
              </w:rPr>
            </w:pPr>
            <w:r w:rsidRPr="00A964FF">
              <w:rPr>
                <w:rFonts w:ascii="Calibri" w:hAnsi="Calibri"/>
                <w:caps/>
                <w:color w:val="auto"/>
              </w:rPr>
              <w:t>联系人电话</w:t>
            </w:r>
          </w:p>
        </w:tc>
        <w:tc>
          <w:tcPr>
            <w:tcW w:w="3562" w:type="pct"/>
            <w:vAlign w:val="center"/>
          </w:tcPr>
          <w:p w14:paraId="2FF49FEA" w14:textId="77777777" w:rsidR="00D36A8F" w:rsidRPr="00A964FF" w:rsidRDefault="0088215F" w:rsidP="00693F59">
            <w:pPr>
              <w:jc w:val="center"/>
              <w:rPr>
                <w:rFonts w:ascii="Calibri" w:hAnsi="Calibri"/>
                <w:color w:val="auto"/>
              </w:rPr>
            </w:pPr>
            <w:r w:rsidRPr="0088215F">
              <w:rPr>
                <w:rFonts w:ascii="Calibri" w:hAnsi="Calibri"/>
                <w:color w:val="auto"/>
              </w:rPr>
              <w:t>17839396633</w:t>
            </w:r>
          </w:p>
        </w:tc>
      </w:tr>
      <w:tr w:rsidR="004554C2" w:rsidRPr="00A964FF" w14:paraId="62787A2C" w14:textId="77777777" w:rsidTr="00260988">
        <w:trPr>
          <w:trHeight w:val="340"/>
        </w:trPr>
        <w:tc>
          <w:tcPr>
            <w:tcW w:w="508" w:type="pct"/>
            <w:vAlign w:val="center"/>
          </w:tcPr>
          <w:p w14:paraId="75ABFEB4"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9</w:t>
            </w:r>
          </w:p>
        </w:tc>
        <w:tc>
          <w:tcPr>
            <w:tcW w:w="930" w:type="pct"/>
            <w:vAlign w:val="center"/>
          </w:tcPr>
          <w:p w14:paraId="62574729" w14:textId="77777777" w:rsidR="004554C2" w:rsidRPr="00A964FF" w:rsidRDefault="004554C2" w:rsidP="004554C2">
            <w:pPr>
              <w:jc w:val="center"/>
              <w:rPr>
                <w:rFonts w:ascii="Calibri" w:hAnsi="Calibri"/>
                <w:caps/>
                <w:color w:val="auto"/>
              </w:rPr>
            </w:pPr>
            <w:r w:rsidRPr="00A964FF">
              <w:rPr>
                <w:rFonts w:ascii="Calibri" w:hAnsi="Calibri"/>
                <w:caps/>
                <w:color w:val="auto"/>
              </w:rPr>
              <w:t>立项审批部门</w:t>
            </w:r>
          </w:p>
        </w:tc>
        <w:tc>
          <w:tcPr>
            <w:tcW w:w="3562" w:type="pct"/>
            <w:vAlign w:val="center"/>
          </w:tcPr>
          <w:p w14:paraId="4951CED4" w14:textId="77777777" w:rsidR="004554C2" w:rsidRPr="00A964FF" w:rsidRDefault="005E4392" w:rsidP="004554C2">
            <w:pPr>
              <w:jc w:val="center"/>
              <w:rPr>
                <w:rFonts w:ascii="Calibri" w:hAnsi="Calibri"/>
                <w:color w:val="auto"/>
              </w:rPr>
            </w:pPr>
            <w:r w:rsidRPr="00A964FF">
              <w:rPr>
                <w:rFonts w:ascii="Calibri" w:hAnsi="Calibri" w:hint="eastAsia"/>
                <w:color w:val="auto"/>
              </w:rPr>
              <w:t>平顶山尼龙新材料产业集聚区管理委员会</w:t>
            </w:r>
          </w:p>
        </w:tc>
      </w:tr>
      <w:tr w:rsidR="004554C2" w:rsidRPr="00A964FF" w14:paraId="632B8DB0" w14:textId="77777777" w:rsidTr="00260988">
        <w:trPr>
          <w:trHeight w:val="340"/>
        </w:trPr>
        <w:tc>
          <w:tcPr>
            <w:tcW w:w="508" w:type="pct"/>
            <w:vAlign w:val="center"/>
          </w:tcPr>
          <w:p w14:paraId="42F3DE0C"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10</w:t>
            </w:r>
          </w:p>
        </w:tc>
        <w:tc>
          <w:tcPr>
            <w:tcW w:w="930" w:type="pct"/>
            <w:vAlign w:val="center"/>
          </w:tcPr>
          <w:p w14:paraId="209A5A10" w14:textId="77777777" w:rsidR="004554C2" w:rsidRPr="00A964FF" w:rsidRDefault="004554C2" w:rsidP="004554C2">
            <w:pPr>
              <w:jc w:val="center"/>
              <w:rPr>
                <w:rFonts w:ascii="Calibri" w:hAnsi="Calibri"/>
                <w:caps/>
                <w:color w:val="auto"/>
              </w:rPr>
            </w:pPr>
            <w:r w:rsidRPr="00A964FF">
              <w:rPr>
                <w:rFonts w:ascii="Calibri" w:hAnsi="Calibri" w:hint="eastAsia"/>
                <w:color w:val="auto"/>
              </w:rPr>
              <w:t>项目代码</w:t>
            </w:r>
          </w:p>
        </w:tc>
        <w:tc>
          <w:tcPr>
            <w:tcW w:w="3562" w:type="pct"/>
            <w:vAlign w:val="center"/>
          </w:tcPr>
          <w:p w14:paraId="5C7DDA46" w14:textId="77777777" w:rsidR="004554C2" w:rsidRPr="00A964FF" w:rsidRDefault="0088215F" w:rsidP="004554C2">
            <w:pPr>
              <w:jc w:val="center"/>
              <w:rPr>
                <w:rFonts w:ascii="Calibri" w:hAnsi="Calibri"/>
                <w:color w:val="auto"/>
              </w:rPr>
            </w:pPr>
            <w:r>
              <w:rPr>
                <w:rFonts w:ascii="Calibri" w:hAnsi="Calibri"/>
                <w:color w:val="auto"/>
              </w:rPr>
              <w:t>2112-410422-04-01-510771</w:t>
            </w:r>
          </w:p>
        </w:tc>
      </w:tr>
      <w:tr w:rsidR="004554C2" w:rsidRPr="00A964FF" w14:paraId="654BC5CC" w14:textId="77777777" w:rsidTr="00260988">
        <w:trPr>
          <w:trHeight w:val="340"/>
        </w:trPr>
        <w:tc>
          <w:tcPr>
            <w:tcW w:w="508" w:type="pct"/>
            <w:vAlign w:val="center"/>
          </w:tcPr>
          <w:p w14:paraId="18E7861C" w14:textId="77777777" w:rsidR="004554C2" w:rsidRPr="00A964FF" w:rsidRDefault="004554C2" w:rsidP="004554C2">
            <w:pPr>
              <w:jc w:val="center"/>
              <w:rPr>
                <w:rFonts w:ascii="Calibri" w:hAnsi="Calibri"/>
                <w:caps/>
                <w:color w:val="auto"/>
                <w:szCs w:val="21"/>
              </w:rPr>
            </w:pPr>
            <w:r w:rsidRPr="00A964FF">
              <w:rPr>
                <w:rFonts w:ascii="Calibri" w:hAnsi="Calibri"/>
                <w:caps/>
                <w:color w:val="auto"/>
                <w:szCs w:val="21"/>
              </w:rPr>
              <w:t>11</w:t>
            </w:r>
          </w:p>
        </w:tc>
        <w:tc>
          <w:tcPr>
            <w:tcW w:w="930" w:type="pct"/>
            <w:vAlign w:val="center"/>
          </w:tcPr>
          <w:p w14:paraId="0510AC9A" w14:textId="77777777" w:rsidR="004554C2" w:rsidRPr="00A964FF" w:rsidRDefault="004554C2" w:rsidP="004554C2">
            <w:pPr>
              <w:jc w:val="center"/>
              <w:rPr>
                <w:rFonts w:ascii="Calibri" w:hAnsi="Calibri"/>
                <w:caps/>
                <w:color w:val="auto"/>
              </w:rPr>
            </w:pPr>
            <w:r w:rsidRPr="00A964FF">
              <w:rPr>
                <w:rFonts w:ascii="Calibri" w:hAnsi="Calibri"/>
                <w:caps/>
                <w:color w:val="auto"/>
              </w:rPr>
              <w:t>建设规模</w:t>
            </w:r>
          </w:p>
        </w:tc>
        <w:tc>
          <w:tcPr>
            <w:tcW w:w="3562" w:type="pct"/>
            <w:vAlign w:val="center"/>
          </w:tcPr>
          <w:p w14:paraId="6BBA4DE9" w14:textId="77777777" w:rsidR="004554C2" w:rsidRPr="003341EF" w:rsidRDefault="009274EB" w:rsidP="009274EB">
            <w:pPr>
              <w:jc w:val="left"/>
              <w:rPr>
                <w:rFonts w:asciiTheme="minorHAnsi" w:hAnsi="Calibri" w:cstheme="minorHAnsi"/>
                <w:color w:val="auto"/>
              </w:rPr>
            </w:pPr>
            <w:r w:rsidRPr="009274EB">
              <w:rPr>
                <w:rFonts w:asciiTheme="minorHAnsi" w:hAnsi="Calibri" w:cstheme="minorHAnsi" w:hint="eastAsia"/>
                <w:color w:val="auto"/>
              </w:rPr>
              <w:t>根据项目备案内容，</w:t>
            </w:r>
            <w:r w:rsidR="0088215F">
              <w:rPr>
                <w:rFonts w:asciiTheme="minorHAnsi" w:hAnsi="Calibri" w:cstheme="minorHAnsi" w:hint="eastAsia"/>
                <w:color w:val="auto"/>
              </w:rPr>
              <w:t>本项目</w:t>
            </w:r>
            <w:r w:rsidR="0088215F">
              <w:rPr>
                <w:rFonts w:asciiTheme="minorHAnsi" w:hAnsi="Calibri" w:cstheme="minorHAnsi"/>
                <w:color w:val="auto"/>
              </w:rPr>
              <w:t>分三期建设，</w:t>
            </w:r>
            <w:r>
              <w:rPr>
                <w:rFonts w:asciiTheme="minorHAnsi" w:hAnsi="Calibri" w:cstheme="minorHAnsi" w:hint="eastAsia"/>
                <w:color w:val="auto"/>
              </w:rPr>
              <w:t>总规模</w:t>
            </w:r>
            <w:r>
              <w:rPr>
                <w:rFonts w:asciiTheme="minorHAnsi" w:hAnsi="Calibri" w:cstheme="minorHAnsi"/>
                <w:color w:val="auto"/>
              </w:rPr>
              <w:t>为年产</w:t>
            </w:r>
            <w:r w:rsidRPr="009274EB">
              <w:rPr>
                <w:rFonts w:asciiTheme="minorHAnsi" w:hAnsi="Calibri" w:cstheme="minorHAnsi" w:hint="eastAsia"/>
                <w:color w:val="auto"/>
              </w:rPr>
              <w:t>透明尼龙</w:t>
            </w:r>
            <w:r w:rsidRPr="009274EB">
              <w:rPr>
                <w:rFonts w:asciiTheme="minorHAnsi" w:hAnsi="Calibri" w:cstheme="minorHAnsi" w:hint="eastAsia"/>
                <w:color w:val="auto"/>
              </w:rPr>
              <w:t>5000</w:t>
            </w:r>
            <w:r w:rsidRPr="009274EB">
              <w:rPr>
                <w:rFonts w:asciiTheme="minorHAnsi" w:hAnsi="Calibri" w:cstheme="minorHAnsi" w:hint="eastAsia"/>
                <w:color w:val="auto"/>
              </w:rPr>
              <w:t>吨</w:t>
            </w:r>
            <w:r>
              <w:rPr>
                <w:rFonts w:asciiTheme="minorHAnsi" w:hAnsi="Calibri" w:cstheme="minorHAnsi" w:hint="eastAsia"/>
                <w:color w:val="auto"/>
              </w:rPr>
              <w:t>，其中一期</w:t>
            </w:r>
            <w:r>
              <w:rPr>
                <w:rFonts w:asciiTheme="minorHAnsi" w:hAnsi="Calibri" w:cstheme="minorHAnsi"/>
                <w:color w:val="auto"/>
              </w:rPr>
              <w:t>年产</w:t>
            </w:r>
            <w:r w:rsidRPr="009274EB">
              <w:rPr>
                <w:rFonts w:asciiTheme="minorHAnsi" w:hAnsi="Calibri" w:cstheme="minorHAnsi" w:hint="eastAsia"/>
                <w:color w:val="auto"/>
              </w:rPr>
              <w:t>透明尼龙</w:t>
            </w:r>
            <w:r>
              <w:rPr>
                <w:rFonts w:asciiTheme="minorHAnsi" w:hAnsi="Calibri" w:cstheme="minorHAnsi" w:hint="eastAsia"/>
                <w:color w:val="auto"/>
              </w:rPr>
              <w:t>25</w:t>
            </w:r>
            <w:r>
              <w:rPr>
                <w:rFonts w:asciiTheme="minorHAnsi" w:hAnsi="Calibri" w:cstheme="minorHAnsi"/>
                <w:color w:val="auto"/>
              </w:rPr>
              <w:t>00</w:t>
            </w:r>
            <w:r>
              <w:rPr>
                <w:rFonts w:asciiTheme="minorHAnsi" w:hAnsi="Calibri" w:cstheme="minorHAnsi" w:hint="eastAsia"/>
                <w:color w:val="auto"/>
              </w:rPr>
              <w:t>吨；二期</w:t>
            </w:r>
            <w:r>
              <w:rPr>
                <w:rFonts w:asciiTheme="minorHAnsi" w:hAnsi="Calibri" w:cstheme="minorHAnsi"/>
                <w:color w:val="auto"/>
              </w:rPr>
              <w:t>年</w:t>
            </w:r>
            <w:r w:rsidRPr="009274EB">
              <w:rPr>
                <w:rFonts w:asciiTheme="minorHAnsi" w:hAnsi="Calibri" w:cstheme="minorHAnsi" w:hint="eastAsia"/>
                <w:color w:val="auto"/>
              </w:rPr>
              <w:t>产透明尼龙</w:t>
            </w:r>
            <w:r>
              <w:rPr>
                <w:rFonts w:asciiTheme="minorHAnsi" w:hAnsi="Calibri" w:cstheme="minorHAnsi"/>
                <w:color w:val="auto"/>
              </w:rPr>
              <w:t>1</w:t>
            </w:r>
            <w:r w:rsidRPr="009274EB">
              <w:rPr>
                <w:rFonts w:asciiTheme="minorHAnsi" w:hAnsi="Calibri" w:cstheme="minorHAnsi" w:hint="eastAsia"/>
                <w:color w:val="auto"/>
              </w:rPr>
              <w:t>500</w:t>
            </w:r>
            <w:r w:rsidRPr="009274EB">
              <w:rPr>
                <w:rFonts w:asciiTheme="minorHAnsi" w:hAnsi="Calibri" w:cstheme="minorHAnsi" w:hint="eastAsia"/>
                <w:color w:val="auto"/>
              </w:rPr>
              <w:t>吨</w:t>
            </w:r>
            <w:r>
              <w:rPr>
                <w:rFonts w:asciiTheme="minorHAnsi" w:hAnsi="Calibri" w:cstheme="minorHAnsi" w:hint="eastAsia"/>
                <w:color w:val="auto"/>
              </w:rPr>
              <w:t>；三期</w:t>
            </w:r>
            <w:r w:rsidRPr="009274EB">
              <w:rPr>
                <w:rFonts w:asciiTheme="minorHAnsi" w:hAnsi="Calibri" w:cstheme="minorHAnsi" w:hint="eastAsia"/>
                <w:color w:val="auto"/>
              </w:rPr>
              <w:t>年产透明尼龙</w:t>
            </w:r>
            <w:r>
              <w:rPr>
                <w:rFonts w:asciiTheme="minorHAnsi" w:hAnsi="Calibri" w:cstheme="minorHAnsi"/>
                <w:color w:val="auto"/>
              </w:rPr>
              <w:t>10</w:t>
            </w:r>
            <w:r w:rsidRPr="009274EB">
              <w:rPr>
                <w:rFonts w:asciiTheme="minorHAnsi" w:hAnsi="Calibri" w:cstheme="minorHAnsi" w:hint="eastAsia"/>
                <w:color w:val="auto"/>
              </w:rPr>
              <w:t>00</w:t>
            </w:r>
            <w:r w:rsidRPr="009274EB">
              <w:rPr>
                <w:rFonts w:asciiTheme="minorHAnsi" w:hAnsi="Calibri" w:cstheme="minorHAnsi" w:hint="eastAsia"/>
                <w:color w:val="auto"/>
              </w:rPr>
              <w:t>吨</w:t>
            </w:r>
            <w:r>
              <w:rPr>
                <w:rFonts w:asciiTheme="minorHAnsi" w:hAnsi="Calibri" w:cstheme="minorHAnsi" w:hint="eastAsia"/>
                <w:color w:val="auto"/>
              </w:rPr>
              <w:t>，</w:t>
            </w:r>
            <w:r>
              <w:rPr>
                <w:rFonts w:asciiTheme="minorHAnsi" w:hAnsi="Calibri" w:cstheme="minorHAnsi"/>
                <w:color w:val="auto"/>
              </w:rPr>
              <w:t>本次仅针对一期、二期进行评价</w:t>
            </w:r>
            <w:r>
              <w:rPr>
                <w:rFonts w:asciiTheme="minorHAnsi" w:hAnsi="Calibri" w:cstheme="minorHAnsi" w:hint="eastAsia"/>
                <w:color w:val="auto"/>
              </w:rPr>
              <w:t>。</w:t>
            </w:r>
          </w:p>
        </w:tc>
      </w:tr>
    </w:tbl>
    <w:p w14:paraId="26F02184" w14:textId="77777777" w:rsidR="004554C2" w:rsidRPr="00A964FF" w:rsidRDefault="004554C2" w:rsidP="004554C2">
      <w:pPr>
        <w:pStyle w:val="ad"/>
        <w:rPr>
          <w:rFonts w:ascii="Calibri" w:hAnsi="Calibri"/>
          <w:color w:val="auto"/>
        </w:rPr>
      </w:pPr>
      <w:r w:rsidRPr="00A964FF">
        <w:rPr>
          <w:rFonts w:ascii="Calibri" w:hAnsi="Calibri"/>
          <w:color w:val="auto"/>
        </w:rPr>
        <w:t>2.1.</w:t>
      </w:r>
      <w:r w:rsidRPr="00A964FF">
        <w:rPr>
          <w:rFonts w:ascii="Calibri" w:hAnsi="Calibri" w:hint="eastAsia"/>
          <w:color w:val="auto"/>
        </w:rPr>
        <w:t>2</w:t>
      </w:r>
      <w:r w:rsidRPr="00A964FF">
        <w:rPr>
          <w:rFonts w:ascii="Calibri" w:hAnsi="Calibri" w:hint="eastAsia"/>
          <w:color w:val="auto"/>
        </w:rPr>
        <w:t>项目用地现状及周围环境</w:t>
      </w:r>
    </w:p>
    <w:p w14:paraId="654288D6" w14:textId="50E527B7" w:rsidR="006E4A45" w:rsidRPr="00CE7021" w:rsidRDefault="004554C2" w:rsidP="000A0585">
      <w:pPr>
        <w:pStyle w:val="00"/>
        <w:rPr>
          <w:rFonts w:ascii="Calibri" w:hAnsi="Calibri"/>
          <w:color w:val="auto"/>
        </w:rPr>
      </w:pPr>
      <w:r w:rsidRPr="00B1625A">
        <w:rPr>
          <w:rFonts w:ascii="Calibri" w:hAnsi="Calibri" w:hint="eastAsia"/>
          <w:color w:val="auto"/>
        </w:rPr>
        <w:t>本项目选址</w:t>
      </w:r>
      <w:r w:rsidR="008C7A91" w:rsidRPr="00B1625A">
        <w:rPr>
          <w:rFonts w:ascii="Calibri" w:hAnsi="Calibri" w:hint="eastAsia"/>
          <w:color w:val="auto"/>
        </w:rPr>
        <w:t>位于平顶山尼龙新材料产业集聚区</w:t>
      </w:r>
      <w:r w:rsidRPr="00B1625A">
        <w:rPr>
          <w:rFonts w:ascii="Calibri" w:hAnsi="Calibri" w:hint="eastAsia"/>
          <w:color w:val="auto"/>
        </w:rPr>
        <w:t>，</w:t>
      </w:r>
      <w:r w:rsidR="00806B1B" w:rsidRPr="00B1625A">
        <w:rPr>
          <w:rFonts w:ascii="Calibri" w:hAnsi="Calibri" w:hint="eastAsia"/>
          <w:color w:val="auto"/>
        </w:rPr>
        <w:t>用地现状为空地，该宗土地用地性质为工业用地。</w:t>
      </w:r>
      <w:r w:rsidR="00D36A8F" w:rsidRPr="00A964FF">
        <w:rPr>
          <w:rFonts w:ascii="Calibri" w:hAnsi="Calibri"/>
          <w:color w:val="auto"/>
        </w:rPr>
        <w:t>根据现场踏勘，</w:t>
      </w:r>
      <w:r w:rsidR="009274EB">
        <w:rPr>
          <w:rFonts w:ascii="Calibri" w:hAnsi="Calibri" w:hint="eastAsia"/>
          <w:color w:val="auto"/>
        </w:rPr>
        <w:t>项目</w:t>
      </w:r>
      <w:r w:rsidR="009274EB">
        <w:rPr>
          <w:rFonts w:ascii="Calibri" w:hAnsi="Calibri"/>
          <w:color w:val="auto"/>
        </w:rPr>
        <w:t>北侧为</w:t>
      </w:r>
      <w:r w:rsidR="009274EB">
        <w:rPr>
          <w:rFonts w:ascii="Calibri" w:hAnsi="Calibri" w:hint="eastAsia"/>
          <w:color w:val="auto"/>
        </w:rPr>
        <w:t>沙河四</w:t>
      </w:r>
      <w:r w:rsidR="009274EB">
        <w:rPr>
          <w:rFonts w:ascii="Calibri" w:hAnsi="Calibri"/>
          <w:color w:val="auto"/>
        </w:rPr>
        <w:t>路</w:t>
      </w:r>
      <w:r w:rsidR="009274EB">
        <w:rPr>
          <w:rFonts w:ascii="Calibri" w:hAnsi="Calibri" w:hint="eastAsia"/>
          <w:color w:val="auto"/>
        </w:rPr>
        <w:t>（正在</w:t>
      </w:r>
      <w:r w:rsidR="009274EB">
        <w:rPr>
          <w:rFonts w:ascii="Calibri" w:hAnsi="Calibri"/>
          <w:color w:val="auto"/>
        </w:rPr>
        <w:t>建设中</w:t>
      </w:r>
      <w:r w:rsidR="009274EB">
        <w:rPr>
          <w:rFonts w:ascii="Calibri" w:hAnsi="Calibri" w:hint="eastAsia"/>
          <w:color w:val="auto"/>
        </w:rPr>
        <w:t>），项目</w:t>
      </w:r>
      <w:r w:rsidR="009274EB">
        <w:rPr>
          <w:rFonts w:ascii="Calibri" w:hAnsi="Calibri"/>
          <w:color w:val="auto"/>
        </w:rPr>
        <w:t>东侧为化工三路，项目西侧</w:t>
      </w:r>
      <w:r w:rsidR="000A0585">
        <w:rPr>
          <w:rFonts w:ascii="Calibri" w:hAnsi="Calibri" w:hint="eastAsia"/>
          <w:color w:val="auto"/>
        </w:rPr>
        <w:t>待建设</w:t>
      </w:r>
      <w:r w:rsidR="000A0585">
        <w:rPr>
          <w:rFonts w:ascii="Calibri" w:hAnsi="Calibri"/>
          <w:color w:val="auto"/>
        </w:rPr>
        <w:t>用地，现状为农田；</w:t>
      </w:r>
      <w:r w:rsidR="000A0585">
        <w:rPr>
          <w:rFonts w:ascii="Calibri" w:hAnsi="Calibri" w:hint="eastAsia"/>
          <w:color w:val="auto"/>
        </w:rPr>
        <w:t>南侧</w:t>
      </w:r>
      <w:r w:rsidR="000A0585">
        <w:rPr>
          <w:rFonts w:ascii="Calibri" w:hAnsi="Calibri"/>
          <w:color w:val="auto"/>
        </w:rPr>
        <w:t>为</w:t>
      </w:r>
      <w:r w:rsidR="000A0585" w:rsidRPr="000A0585">
        <w:rPr>
          <w:rFonts w:ascii="Calibri" w:hAnsi="Calibri" w:hint="eastAsia"/>
          <w:color w:val="auto"/>
        </w:rPr>
        <w:t>新旭新材料有限公司</w:t>
      </w:r>
      <w:r w:rsidR="000A0585">
        <w:rPr>
          <w:rFonts w:ascii="Calibri" w:hAnsi="Calibri" w:hint="eastAsia"/>
          <w:color w:val="auto"/>
        </w:rPr>
        <w:t>橡胶</w:t>
      </w:r>
      <w:r w:rsidR="000A0585">
        <w:rPr>
          <w:rFonts w:ascii="Calibri" w:hAnsi="Calibri"/>
          <w:color w:val="auto"/>
        </w:rPr>
        <w:t>跑道项目。</w:t>
      </w:r>
      <w:r w:rsidR="009274EB">
        <w:rPr>
          <w:rFonts w:ascii="Calibri" w:hAnsi="Calibri" w:hint="eastAsia"/>
          <w:color w:val="auto"/>
        </w:rPr>
        <w:t>本项目</w:t>
      </w:r>
      <w:r w:rsidR="009274EB">
        <w:rPr>
          <w:rFonts w:ascii="Calibri" w:hAnsi="Calibri"/>
          <w:color w:val="auto"/>
        </w:rPr>
        <w:t>距离东南侧的泥河张村</w:t>
      </w:r>
      <w:r w:rsidR="00CE7021">
        <w:rPr>
          <w:rFonts w:ascii="Calibri" w:hAnsi="Calibri"/>
          <w:color w:val="auto"/>
        </w:rPr>
        <w:t>556</w:t>
      </w:r>
      <w:r w:rsidR="009274EB">
        <w:rPr>
          <w:rFonts w:ascii="Calibri" w:hAnsi="Calibri"/>
          <w:color w:val="auto"/>
        </w:rPr>
        <w:t>m</w:t>
      </w:r>
      <w:r w:rsidR="009274EB">
        <w:rPr>
          <w:rFonts w:ascii="Calibri" w:hAnsi="Calibri"/>
          <w:color w:val="auto"/>
        </w:rPr>
        <w:t>；</w:t>
      </w:r>
      <w:r w:rsidR="00CE7021">
        <w:rPr>
          <w:rFonts w:ascii="Calibri" w:hAnsi="Calibri"/>
          <w:color w:val="auto"/>
        </w:rPr>
        <w:t>距离东南侧的</w:t>
      </w:r>
      <w:r w:rsidR="00CE7021">
        <w:rPr>
          <w:rFonts w:ascii="Calibri" w:hAnsi="Calibri" w:hint="eastAsia"/>
          <w:color w:val="auto"/>
        </w:rPr>
        <w:t>杨庄</w:t>
      </w:r>
      <w:r w:rsidR="00CE7021">
        <w:rPr>
          <w:rFonts w:ascii="Calibri" w:hAnsi="Calibri"/>
          <w:color w:val="auto"/>
        </w:rPr>
        <w:t>553m</w:t>
      </w:r>
      <w:r w:rsidR="00CE7021">
        <w:rPr>
          <w:rFonts w:ascii="Calibri" w:hAnsi="Calibri" w:hint="eastAsia"/>
          <w:color w:val="auto"/>
        </w:rPr>
        <w:t>；</w:t>
      </w:r>
      <w:r w:rsidR="009274EB">
        <w:rPr>
          <w:rFonts w:ascii="Calibri" w:hAnsi="Calibri"/>
          <w:color w:val="auto"/>
        </w:rPr>
        <w:t>距离</w:t>
      </w:r>
      <w:r w:rsidR="00CE7021">
        <w:rPr>
          <w:rFonts w:ascii="Calibri" w:hAnsi="Calibri" w:hint="eastAsia"/>
          <w:color w:val="auto"/>
        </w:rPr>
        <w:t>南侧</w:t>
      </w:r>
      <w:r w:rsidR="00CE7021">
        <w:rPr>
          <w:rFonts w:ascii="Calibri" w:hAnsi="Calibri"/>
          <w:color w:val="auto"/>
        </w:rPr>
        <w:t>周庄村</w:t>
      </w:r>
      <w:r w:rsidR="00CE7021">
        <w:rPr>
          <w:rFonts w:ascii="Calibri" w:hAnsi="Calibri" w:hint="eastAsia"/>
          <w:color w:val="auto"/>
        </w:rPr>
        <w:t>890</w:t>
      </w:r>
      <w:r w:rsidR="00CE7021">
        <w:rPr>
          <w:rFonts w:ascii="Calibri" w:hAnsi="Calibri"/>
          <w:color w:val="auto"/>
        </w:rPr>
        <w:t>m</w:t>
      </w:r>
      <w:r w:rsidR="00CE7021">
        <w:rPr>
          <w:rFonts w:ascii="Calibri" w:hAnsi="Calibri" w:hint="eastAsia"/>
          <w:color w:val="auto"/>
        </w:rPr>
        <w:t>；</w:t>
      </w:r>
      <w:r w:rsidR="00B1625A" w:rsidRPr="00A964FF">
        <w:rPr>
          <w:rFonts w:ascii="Calibri" w:hAnsi="Calibri" w:hint="eastAsia"/>
          <w:color w:val="auto"/>
        </w:rPr>
        <w:t>其余敏感点均在</w:t>
      </w:r>
      <w:r w:rsidR="00B1625A" w:rsidRPr="00A964FF">
        <w:rPr>
          <w:rFonts w:ascii="Calibri" w:hAnsi="Calibri" w:hint="eastAsia"/>
          <w:color w:val="auto"/>
        </w:rPr>
        <w:t>1km</w:t>
      </w:r>
      <w:r w:rsidR="00B1625A">
        <w:rPr>
          <w:rFonts w:ascii="Calibri" w:hAnsi="Calibri" w:hint="eastAsia"/>
          <w:color w:val="auto"/>
        </w:rPr>
        <w:t>范围之外。</w:t>
      </w:r>
      <w:r w:rsidR="009614E9" w:rsidRPr="00A964FF">
        <w:rPr>
          <w:rFonts w:ascii="Calibri" w:hAnsi="Calibri" w:hint="eastAsia"/>
          <w:color w:val="auto"/>
        </w:rPr>
        <w:t>项目营运后厂区废水经自建废水处理站处理达标后排入集聚区市政污水管网，进入第三污水处理厂集中处理达标后排入关庙沟，项目不直接对关庙沟排水。</w:t>
      </w:r>
      <w:r w:rsidR="00D45FF5" w:rsidRPr="00A964FF">
        <w:rPr>
          <w:rFonts w:ascii="Calibri" w:hAnsi="Calibri"/>
          <w:color w:val="auto"/>
        </w:rPr>
        <w:t>本项目距离</w:t>
      </w:r>
      <w:r w:rsidR="00F74D79">
        <w:rPr>
          <w:rFonts w:ascii="Calibri" w:hAnsi="Calibri" w:hint="eastAsia"/>
          <w:color w:val="auto"/>
        </w:rPr>
        <w:t>西南</w:t>
      </w:r>
      <w:r w:rsidR="00D45FF5" w:rsidRPr="00A964FF">
        <w:rPr>
          <w:rFonts w:ascii="Calibri" w:hAnsi="Calibri"/>
          <w:color w:val="auto"/>
        </w:rPr>
        <w:t>望娘楼</w:t>
      </w:r>
      <w:r w:rsidR="00CE7021">
        <w:rPr>
          <w:rFonts w:ascii="Calibri" w:hAnsi="Calibri"/>
          <w:color w:val="auto"/>
        </w:rPr>
        <w:t>710</w:t>
      </w:r>
      <w:r w:rsidR="00D45FF5" w:rsidRPr="00A964FF">
        <w:rPr>
          <w:rFonts w:ascii="Calibri" w:hAnsi="Calibri"/>
          <w:color w:val="auto"/>
        </w:rPr>
        <w:t>m</w:t>
      </w:r>
      <w:r w:rsidR="00D45FF5" w:rsidRPr="00A964FF">
        <w:rPr>
          <w:rFonts w:ascii="Calibri" w:hAnsi="Calibri"/>
          <w:color w:val="auto"/>
        </w:rPr>
        <w:t>，选址不在其保护范围</w:t>
      </w:r>
      <w:r w:rsidR="002658D5" w:rsidRPr="00A964FF">
        <w:rPr>
          <w:rFonts w:ascii="Calibri" w:hAnsi="Calibri" w:hint="eastAsia"/>
          <w:color w:val="auto"/>
        </w:rPr>
        <w:t>和建设控制地带</w:t>
      </w:r>
      <w:r w:rsidR="00E3588F">
        <w:rPr>
          <w:rFonts w:ascii="Calibri" w:hAnsi="Calibri"/>
          <w:color w:val="auto"/>
        </w:rPr>
        <w:t>内</w:t>
      </w:r>
      <w:r w:rsidR="00E3588F">
        <w:rPr>
          <w:rFonts w:ascii="Calibri" w:hAnsi="Calibri" w:hint="eastAsia"/>
          <w:color w:val="auto"/>
        </w:rPr>
        <w:t>；距离</w:t>
      </w:r>
      <w:r w:rsidR="00067594" w:rsidRPr="00E3588F">
        <w:rPr>
          <w:rFonts w:ascii="Calibri" w:hAnsi="Calibri" w:hint="eastAsia"/>
          <w:color w:val="auto"/>
        </w:rPr>
        <w:t>常李</w:t>
      </w:r>
      <w:r w:rsidR="00067594" w:rsidRPr="00E3588F">
        <w:rPr>
          <w:rFonts w:asciiTheme="minorHAnsi" w:eastAsiaTheme="minorEastAsia" w:hAnsiTheme="minorEastAsia" w:cstheme="minorHAnsi"/>
          <w:color w:val="auto"/>
          <w:szCs w:val="21"/>
        </w:rPr>
        <w:t>东南岗遗址</w:t>
      </w:r>
      <w:r w:rsidR="00E3588F" w:rsidRPr="00E3588F">
        <w:rPr>
          <w:rFonts w:asciiTheme="minorHAnsi" w:eastAsiaTheme="minorEastAsia" w:hAnsiTheme="minorEastAsia" w:cstheme="minorHAnsi"/>
          <w:color w:val="auto"/>
          <w:szCs w:val="21"/>
        </w:rPr>
        <w:t>保护</w:t>
      </w:r>
      <w:r w:rsidR="00CE7021">
        <w:rPr>
          <w:rFonts w:asciiTheme="minorHAnsi" w:eastAsiaTheme="minorEastAsia" w:hAnsiTheme="minorEastAsia" w:cstheme="minorHAnsi" w:hint="eastAsia"/>
          <w:color w:val="auto"/>
          <w:szCs w:val="21"/>
        </w:rPr>
        <w:t>区域</w:t>
      </w:r>
      <w:r w:rsidR="00CE7021">
        <w:rPr>
          <w:rFonts w:asciiTheme="minorHAnsi" w:eastAsiaTheme="minorEastAsia" w:hAnsiTheme="minorEastAsia" w:cstheme="minorHAnsi" w:hint="eastAsia"/>
          <w:color w:val="auto"/>
          <w:szCs w:val="21"/>
        </w:rPr>
        <w:t>230</w:t>
      </w:r>
      <w:r w:rsidR="00CE7021">
        <w:rPr>
          <w:rFonts w:asciiTheme="minorHAnsi" w:eastAsiaTheme="minorEastAsia" w:hAnsiTheme="minorEastAsia" w:cstheme="minorHAnsi"/>
          <w:color w:val="auto"/>
          <w:szCs w:val="21"/>
        </w:rPr>
        <w:t>m</w:t>
      </w:r>
      <w:r w:rsidR="00CE7021">
        <w:rPr>
          <w:rFonts w:asciiTheme="minorHAnsi" w:eastAsiaTheme="minorEastAsia" w:hAnsiTheme="minorEastAsia" w:cstheme="minorHAnsi" w:hint="eastAsia"/>
          <w:color w:val="auto"/>
          <w:szCs w:val="21"/>
        </w:rPr>
        <w:t>，</w:t>
      </w:r>
      <w:r w:rsidR="00CE7021">
        <w:rPr>
          <w:rFonts w:asciiTheme="minorHAnsi" w:eastAsiaTheme="minorEastAsia" w:hAnsiTheme="minorEastAsia" w:cstheme="minorHAnsi"/>
          <w:color w:val="auto"/>
          <w:szCs w:val="21"/>
        </w:rPr>
        <w:t>距离</w:t>
      </w:r>
      <w:r w:rsidR="00E3588F" w:rsidRPr="00E3588F">
        <w:rPr>
          <w:rFonts w:asciiTheme="minorHAnsi" w:eastAsiaTheme="minorEastAsia" w:hAnsiTheme="minorEastAsia" w:cstheme="minorHAnsi"/>
          <w:color w:val="auto"/>
          <w:szCs w:val="21"/>
        </w:rPr>
        <w:t>建设控制地带</w:t>
      </w:r>
      <w:r w:rsidR="00CE7021">
        <w:rPr>
          <w:rFonts w:asciiTheme="minorHAnsi" w:eastAsiaTheme="minorEastAsia" w:hAnsiTheme="minorHAnsi" w:cstheme="minorHAnsi"/>
          <w:color w:val="auto"/>
          <w:szCs w:val="21"/>
        </w:rPr>
        <w:t>90</w:t>
      </w:r>
      <w:r w:rsidR="00E3588F" w:rsidRPr="00E3588F">
        <w:rPr>
          <w:rFonts w:asciiTheme="minorHAnsi" w:eastAsiaTheme="minorEastAsia" w:hAnsiTheme="minorHAnsi" w:cstheme="minorHAnsi"/>
          <w:color w:val="auto"/>
          <w:szCs w:val="21"/>
        </w:rPr>
        <w:t>m</w:t>
      </w:r>
      <w:r w:rsidR="00E3588F" w:rsidRPr="00E3588F">
        <w:rPr>
          <w:rFonts w:asciiTheme="minorHAnsi" w:eastAsiaTheme="minorEastAsia" w:hAnsiTheme="minorEastAsia" w:cstheme="minorHAnsi"/>
          <w:color w:val="auto"/>
          <w:szCs w:val="21"/>
        </w:rPr>
        <w:t>，不在其保护范围内。</w:t>
      </w:r>
      <w:r w:rsidR="00F74D79" w:rsidRPr="00F74D79">
        <w:rPr>
          <w:rFonts w:asciiTheme="minorHAnsi" w:eastAsiaTheme="minorEastAsia" w:hAnsiTheme="minorEastAsia" w:cstheme="minorHAnsi" w:hint="eastAsia"/>
          <w:color w:val="auto"/>
          <w:szCs w:val="21"/>
        </w:rPr>
        <w:t>本项目周围环境示意图见附图</w:t>
      </w:r>
      <w:r w:rsidR="00F74D79">
        <w:rPr>
          <w:rFonts w:asciiTheme="minorHAnsi" w:eastAsiaTheme="minorEastAsia" w:hAnsiTheme="minorEastAsia" w:cstheme="minorHAnsi" w:hint="eastAsia"/>
          <w:color w:val="auto"/>
          <w:szCs w:val="21"/>
        </w:rPr>
        <w:t>二</w:t>
      </w:r>
      <w:r w:rsidR="00F74D79" w:rsidRPr="00F74D79">
        <w:rPr>
          <w:rFonts w:asciiTheme="minorHAnsi" w:eastAsiaTheme="minorEastAsia" w:hAnsiTheme="minorEastAsia" w:cstheme="minorHAnsi" w:hint="eastAsia"/>
          <w:color w:val="auto"/>
          <w:szCs w:val="21"/>
        </w:rPr>
        <w:t>。</w:t>
      </w:r>
    </w:p>
    <w:p w14:paraId="4488694F" w14:textId="77777777" w:rsidR="004554C2" w:rsidRPr="004C4420" w:rsidRDefault="004554C2" w:rsidP="004554C2">
      <w:pPr>
        <w:pStyle w:val="ad"/>
        <w:rPr>
          <w:rFonts w:ascii="Calibri" w:hAnsi="Calibri"/>
          <w:color w:val="auto"/>
        </w:rPr>
      </w:pPr>
      <w:r w:rsidRPr="004C4420">
        <w:rPr>
          <w:rFonts w:ascii="Calibri" w:hAnsi="Calibri" w:hint="eastAsia"/>
          <w:color w:val="auto"/>
        </w:rPr>
        <w:lastRenderedPageBreak/>
        <w:t>2</w:t>
      </w:r>
      <w:r w:rsidRPr="004C4420">
        <w:rPr>
          <w:rFonts w:ascii="Calibri" w:hAnsi="Calibri"/>
          <w:color w:val="auto"/>
        </w:rPr>
        <w:t>.</w:t>
      </w:r>
      <w:r w:rsidRPr="004C4420">
        <w:rPr>
          <w:rFonts w:ascii="Calibri" w:hAnsi="Calibri" w:hint="eastAsia"/>
          <w:color w:val="auto"/>
        </w:rPr>
        <w:t>1.3</w:t>
      </w:r>
      <w:r w:rsidRPr="004C4420">
        <w:rPr>
          <w:rFonts w:ascii="Calibri" w:hAnsi="Calibri" w:hint="eastAsia"/>
          <w:color w:val="auto"/>
        </w:rPr>
        <w:t>建设内容及工程组成</w:t>
      </w:r>
    </w:p>
    <w:p w14:paraId="403CE74C" w14:textId="77777777" w:rsidR="004554C2" w:rsidRPr="00A964FF" w:rsidRDefault="004554C2" w:rsidP="00CE7021">
      <w:pPr>
        <w:pStyle w:val="00"/>
        <w:rPr>
          <w:rFonts w:ascii="Calibri" w:hAnsi="Calibri"/>
          <w:color w:val="auto"/>
        </w:rPr>
      </w:pPr>
      <w:r w:rsidRPr="00A964FF">
        <w:rPr>
          <w:rFonts w:ascii="Calibri" w:hAnsi="Calibri" w:hint="eastAsia"/>
          <w:color w:val="auto"/>
        </w:rPr>
        <w:t>本项目建设内容包括主体工程、辅助工程、公用工程和环保工程，</w:t>
      </w:r>
      <w:r w:rsidR="00E3588F">
        <w:rPr>
          <w:rFonts w:ascii="Calibri" w:hAnsi="Calibri" w:hint="eastAsia"/>
          <w:color w:val="auto"/>
        </w:rPr>
        <w:t>主体工程包括生产车间</w:t>
      </w:r>
      <w:r w:rsidR="0079117D" w:rsidRPr="00A964FF">
        <w:rPr>
          <w:rFonts w:ascii="Calibri" w:hAnsi="Calibri" w:hint="eastAsia"/>
          <w:color w:val="auto"/>
        </w:rPr>
        <w:t>。辅助工程包括综合楼、</w:t>
      </w:r>
      <w:r w:rsidR="00CE7021">
        <w:rPr>
          <w:rFonts w:ascii="Calibri" w:hAnsi="Calibri" w:hint="eastAsia"/>
          <w:color w:val="auto"/>
        </w:rPr>
        <w:t>中心</w:t>
      </w:r>
      <w:r w:rsidR="00CE7021">
        <w:rPr>
          <w:rFonts w:ascii="Calibri" w:hAnsi="Calibri"/>
          <w:color w:val="auto"/>
        </w:rPr>
        <w:t>化验室、</w:t>
      </w:r>
      <w:r w:rsidR="001D3D21">
        <w:rPr>
          <w:rFonts w:ascii="Calibri" w:hAnsi="Calibri" w:hint="eastAsia"/>
          <w:color w:val="auto"/>
          <w:szCs w:val="21"/>
        </w:rPr>
        <w:t>品控中心</w:t>
      </w:r>
      <w:r w:rsidR="00CE7021">
        <w:rPr>
          <w:rFonts w:ascii="Calibri" w:hAnsi="Calibri"/>
          <w:color w:val="auto"/>
        </w:rPr>
        <w:t>、门卫室</w:t>
      </w:r>
      <w:r w:rsidR="00131180" w:rsidRPr="00A964FF">
        <w:rPr>
          <w:rFonts w:ascii="Calibri" w:hAnsi="Calibri" w:hint="eastAsia"/>
          <w:color w:val="auto"/>
        </w:rPr>
        <w:t>等；</w:t>
      </w:r>
      <w:r w:rsidRPr="00A964FF">
        <w:rPr>
          <w:rFonts w:ascii="Calibri" w:hAnsi="Calibri" w:hint="eastAsia"/>
          <w:color w:val="auto"/>
        </w:rPr>
        <w:t>公用工程包括给水系统、排水系统</w:t>
      </w:r>
      <w:r w:rsidR="008D3F71" w:rsidRPr="00A964FF">
        <w:rPr>
          <w:rFonts w:ascii="Calibri" w:hAnsi="Calibri" w:hint="eastAsia"/>
          <w:color w:val="auto"/>
        </w:rPr>
        <w:t>、</w:t>
      </w:r>
      <w:r w:rsidRPr="00A964FF">
        <w:rPr>
          <w:rFonts w:ascii="Calibri" w:hAnsi="Calibri" w:hint="eastAsia"/>
          <w:color w:val="auto"/>
        </w:rPr>
        <w:t>配电系统等；</w:t>
      </w:r>
      <w:r w:rsidR="008D3F71" w:rsidRPr="00A964FF">
        <w:rPr>
          <w:rFonts w:ascii="Calibri" w:hAnsi="Calibri" w:hint="eastAsia"/>
          <w:color w:val="auto"/>
        </w:rPr>
        <w:t>储运工程包括</w:t>
      </w:r>
      <w:r w:rsidR="00CE7021">
        <w:rPr>
          <w:rFonts w:ascii="Calibri" w:hAnsi="Calibri" w:hint="eastAsia"/>
          <w:color w:val="auto"/>
        </w:rPr>
        <w:t>原料</w:t>
      </w:r>
      <w:r w:rsidR="00CE7021">
        <w:rPr>
          <w:rFonts w:ascii="Calibri" w:hAnsi="Calibri"/>
          <w:color w:val="auto"/>
        </w:rPr>
        <w:t>成品</w:t>
      </w:r>
      <w:r w:rsidR="00CE7021">
        <w:rPr>
          <w:rFonts w:ascii="Calibri" w:hAnsi="Calibri" w:hint="eastAsia"/>
          <w:color w:val="auto"/>
        </w:rPr>
        <w:t>仓库</w:t>
      </w:r>
      <w:r w:rsidR="008D3F71" w:rsidRPr="00A964FF">
        <w:rPr>
          <w:rFonts w:ascii="Calibri" w:hAnsi="Calibri" w:hint="eastAsia"/>
          <w:color w:val="auto"/>
        </w:rPr>
        <w:t>等</w:t>
      </w:r>
      <w:r w:rsidR="00DC69A2" w:rsidRPr="00A964FF">
        <w:rPr>
          <w:rFonts w:ascii="Calibri" w:hAnsi="Calibri" w:hint="eastAsia"/>
          <w:color w:val="auto"/>
        </w:rPr>
        <w:t>；</w:t>
      </w:r>
      <w:r w:rsidRPr="00A964FF">
        <w:rPr>
          <w:rFonts w:ascii="Calibri" w:hAnsi="Calibri" w:hint="eastAsia"/>
          <w:color w:val="auto"/>
        </w:rPr>
        <w:t>环保工程包括废气治理设施、</w:t>
      </w:r>
      <w:r w:rsidR="003025E9" w:rsidRPr="00A964FF">
        <w:rPr>
          <w:rFonts w:ascii="Calibri" w:hAnsi="Calibri" w:hint="eastAsia"/>
          <w:color w:val="auto"/>
        </w:rPr>
        <w:t>危废暂存间</w:t>
      </w:r>
      <w:r w:rsidRPr="00A964FF">
        <w:rPr>
          <w:rFonts w:ascii="Calibri" w:hAnsi="Calibri" w:hint="eastAsia"/>
          <w:color w:val="auto"/>
        </w:rPr>
        <w:t>、废水处理站等。</w:t>
      </w:r>
    </w:p>
    <w:p w14:paraId="7B822227" w14:textId="77777777" w:rsidR="004554C2" w:rsidRPr="00A964FF" w:rsidRDefault="004554C2" w:rsidP="004554C2">
      <w:pPr>
        <w:pStyle w:val="00"/>
        <w:rPr>
          <w:rFonts w:ascii="Calibri" w:hAnsi="Calibri"/>
          <w:color w:val="auto"/>
        </w:rPr>
      </w:pPr>
      <w:r w:rsidRPr="00A964FF">
        <w:rPr>
          <w:rFonts w:ascii="Calibri" w:hAnsi="Calibri" w:hint="eastAsia"/>
          <w:color w:val="auto"/>
        </w:rPr>
        <w:t>本项目工程组成见表</w:t>
      </w:r>
      <w:r w:rsidRPr="00A964FF">
        <w:rPr>
          <w:rFonts w:ascii="Calibri" w:hAnsi="Calibri" w:hint="eastAsia"/>
          <w:color w:val="auto"/>
        </w:rPr>
        <w:t>2</w:t>
      </w:r>
      <w:r w:rsidR="00136AA7" w:rsidRPr="00A964FF">
        <w:rPr>
          <w:rFonts w:ascii="Calibri" w:hAnsi="Calibri" w:hint="eastAsia"/>
          <w:color w:val="auto"/>
        </w:rPr>
        <w:t>.1</w:t>
      </w:r>
      <w:r w:rsidRPr="00A964FF">
        <w:rPr>
          <w:rFonts w:ascii="Calibri" w:hAnsi="Calibri" w:hint="eastAsia"/>
          <w:color w:val="auto"/>
        </w:rPr>
        <w:t>-2</w:t>
      </w:r>
      <w:r w:rsidRPr="00A964FF">
        <w:rPr>
          <w:rFonts w:ascii="Calibri" w:hAnsi="Calibri" w:hint="eastAsia"/>
          <w:color w:val="auto"/>
        </w:rPr>
        <w:t>。</w:t>
      </w:r>
    </w:p>
    <w:p w14:paraId="4A652050" w14:textId="77777777" w:rsidR="004554C2" w:rsidRPr="00A964FF" w:rsidRDefault="004554C2" w:rsidP="000E33B8">
      <w:pPr>
        <w:spacing w:line="520" w:lineRule="exact"/>
        <w:ind w:firstLineChars="200" w:firstLine="480"/>
        <w:rPr>
          <w:rFonts w:ascii="Calibri" w:eastAsia="黑体" w:hAnsi="Calibri"/>
          <w:color w:val="auto"/>
          <w:sz w:val="24"/>
        </w:rPr>
      </w:pPr>
      <w:r w:rsidRPr="00944F74">
        <w:rPr>
          <w:rFonts w:ascii="Calibri" w:eastAsia="黑体"/>
          <w:color w:val="auto"/>
          <w:sz w:val="24"/>
        </w:rPr>
        <w:t>表</w:t>
      </w:r>
      <w:r w:rsidRPr="00944F74">
        <w:rPr>
          <w:rFonts w:ascii="Calibri" w:eastAsia="黑体" w:hAnsi="Calibri"/>
          <w:color w:val="auto"/>
          <w:sz w:val="24"/>
        </w:rPr>
        <w:t>2</w:t>
      </w:r>
      <w:r w:rsidR="00136AA7" w:rsidRPr="00944F74">
        <w:rPr>
          <w:rFonts w:ascii="Calibri" w:eastAsia="黑体" w:hAnsi="Calibri" w:hint="eastAsia"/>
          <w:color w:val="auto"/>
          <w:sz w:val="24"/>
        </w:rPr>
        <w:t>.1</w:t>
      </w:r>
      <w:r w:rsidRPr="00944F74">
        <w:rPr>
          <w:rFonts w:ascii="Calibri" w:eastAsia="黑体" w:hAnsi="Calibri"/>
          <w:color w:val="auto"/>
          <w:sz w:val="24"/>
        </w:rPr>
        <w:t>-</w:t>
      </w:r>
      <w:r w:rsidRPr="00944F74">
        <w:rPr>
          <w:rFonts w:ascii="Calibri" w:eastAsia="黑体" w:hAnsi="Calibri" w:hint="eastAsia"/>
          <w:color w:val="auto"/>
          <w:sz w:val="24"/>
        </w:rPr>
        <w:t>2</w:t>
      </w:r>
      <w:r w:rsidRPr="00944F74">
        <w:rPr>
          <w:rFonts w:ascii="Calibri" w:eastAsia="黑体" w:hAnsi="Calibri"/>
          <w:color w:val="auto"/>
          <w:sz w:val="24"/>
        </w:rPr>
        <w:t xml:space="preserve">                   </w:t>
      </w:r>
      <w:r w:rsidRPr="00944F74">
        <w:rPr>
          <w:rFonts w:ascii="Calibri" w:eastAsia="黑体" w:hint="eastAsia"/>
          <w:color w:val="auto"/>
          <w:sz w:val="24"/>
        </w:rPr>
        <w:t>项目工程组成一览表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433"/>
        <w:gridCol w:w="498"/>
        <w:gridCol w:w="1606"/>
        <w:gridCol w:w="3685"/>
        <w:gridCol w:w="2478"/>
      </w:tblGrid>
      <w:tr w:rsidR="004554C2" w:rsidRPr="00A964FF" w14:paraId="4E980D3D" w14:textId="77777777" w:rsidTr="00CE7A1F">
        <w:trPr>
          <w:trHeight w:val="369"/>
          <w:jc w:val="center"/>
        </w:trPr>
        <w:tc>
          <w:tcPr>
            <w:tcW w:w="535" w:type="pct"/>
            <w:gridSpan w:val="2"/>
            <w:vAlign w:val="center"/>
          </w:tcPr>
          <w:p w14:paraId="24957781" w14:textId="77777777" w:rsidR="004554C2" w:rsidRPr="00A964FF" w:rsidRDefault="005F731C" w:rsidP="004554C2">
            <w:pPr>
              <w:jc w:val="center"/>
              <w:rPr>
                <w:rFonts w:ascii="Calibri" w:hAnsi="Calibri"/>
                <w:color w:val="auto"/>
                <w:szCs w:val="21"/>
              </w:rPr>
            </w:pPr>
            <w:r w:rsidRPr="00A964FF">
              <w:rPr>
                <w:rFonts w:ascii="Calibri" w:hAnsi="Calibri" w:hint="eastAsia"/>
                <w:color w:val="auto"/>
                <w:szCs w:val="21"/>
              </w:rPr>
              <w:t>类别</w:t>
            </w:r>
          </w:p>
        </w:tc>
        <w:tc>
          <w:tcPr>
            <w:tcW w:w="923" w:type="pct"/>
            <w:vAlign w:val="center"/>
          </w:tcPr>
          <w:p w14:paraId="15164C8F" w14:textId="77777777" w:rsidR="004554C2" w:rsidRPr="00A964FF" w:rsidRDefault="004554C2" w:rsidP="004554C2">
            <w:pPr>
              <w:jc w:val="center"/>
              <w:rPr>
                <w:rFonts w:ascii="Calibri" w:hAnsi="Calibri"/>
                <w:color w:val="auto"/>
                <w:szCs w:val="21"/>
              </w:rPr>
            </w:pPr>
            <w:r w:rsidRPr="00A964FF">
              <w:rPr>
                <w:rFonts w:ascii="Calibri" w:hAnsi="Calibri"/>
                <w:color w:val="auto"/>
                <w:szCs w:val="21"/>
              </w:rPr>
              <w:t>工程名称</w:t>
            </w:r>
          </w:p>
        </w:tc>
        <w:tc>
          <w:tcPr>
            <w:tcW w:w="2118" w:type="pct"/>
            <w:tcBorders>
              <w:right w:val="single" w:sz="4" w:space="0" w:color="auto"/>
            </w:tcBorders>
            <w:vAlign w:val="center"/>
          </w:tcPr>
          <w:p w14:paraId="1383C260" w14:textId="77777777" w:rsidR="004554C2" w:rsidRPr="00A964FF" w:rsidRDefault="004554C2" w:rsidP="004554C2">
            <w:pPr>
              <w:jc w:val="center"/>
              <w:rPr>
                <w:rFonts w:ascii="Calibri" w:hAnsi="Calibri"/>
                <w:color w:val="auto"/>
                <w:szCs w:val="21"/>
              </w:rPr>
            </w:pPr>
            <w:r w:rsidRPr="00A964FF">
              <w:rPr>
                <w:rFonts w:ascii="Calibri" w:hAnsi="Calibri"/>
                <w:color w:val="auto"/>
                <w:szCs w:val="21"/>
              </w:rPr>
              <w:t>建设内容</w:t>
            </w:r>
          </w:p>
        </w:tc>
        <w:tc>
          <w:tcPr>
            <w:tcW w:w="1424" w:type="pct"/>
            <w:tcBorders>
              <w:left w:val="single" w:sz="4" w:space="0" w:color="auto"/>
            </w:tcBorders>
            <w:vAlign w:val="center"/>
          </w:tcPr>
          <w:p w14:paraId="40C487BC" w14:textId="77777777" w:rsidR="004554C2" w:rsidRPr="00A964FF" w:rsidRDefault="004554C2" w:rsidP="004554C2">
            <w:pPr>
              <w:jc w:val="center"/>
              <w:rPr>
                <w:rFonts w:ascii="Calibri" w:hAnsi="Calibri"/>
                <w:color w:val="auto"/>
                <w:szCs w:val="21"/>
              </w:rPr>
            </w:pPr>
            <w:r w:rsidRPr="00A964FF">
              <w:rPr>
                <w:rFonts w:ascii="Calibri" w:hAnsi="Calibri"/>
                <w:color w:val="auto"/>
                <w:szCs w:val="21"/>
              </w:rPr>
              <w:t>备注</w:t>
            </w:r>
          </w:p>
        </w:tc>
      </w:tr>
      <w:tr w:rsidR="00DC69A2" w:rsidRPr="00A964FF" w14:paraId="31911CA2" w14:textId="77777777" w:rsidTr="00CE7A1F">
        <w:trPr>
          <w:trHeight w:val="369"/>
          <w:jc w:val="center"/>
        </w:trPr>
        <w:tc>
          <w:tcPr>
            <w:tcW w:w="535" w:type="pct"/>
            <w:gridSpan w:val="2"/>
            <w:vAlign w:val="center"/>
          </w:tcPr>
          <w:p w14:paraId="3A40C41D" w14:textId="77777777" w:rsidR="005F731C" w:rsidRPr="00A964FF" w:rsidRDefault="00DC69A2" w:rsidP="004554C2">
            <w:pPr>
              <w:jc w:val="center"/>
              <w:rPr>
                <w:rFonts w:ascii="Calibri" w:hAnsi="Calibri"/>
                <w:color w:val="auto"/>
                <w:szCs w:val="21"/>
              </w:rPr>
            </w:pPr>
            <w:r w:rsidRPr="00A964FF">
              <w:rPr>
                <w:rFonts w:ascii="Calibri" w:hAnsi="Calibri"/>
                <w:color w:val="auto"/>
                <w:szCs w:val="21"/>
              </w:rPr>
              <w:t>主体</w:t>
            </w:r>
          </w:p>
          <w:p w14:paraId="61B0560A" w14:textId="77777777" w:rsidR="00DC69A2" w:rsidRPr="00A964FF" w:rsidRDefault="00DC69A2" w:rsidP="004554C2">
            <w:pPr>
              <w:jc w:val="center"/>
              <w:rPr>
                <w:rFonts w:ascii="Calibri" w:hAnsi="Calibri"/>
                <w:color w:val="auto"/>
                <w:szCs w:val="21"/>
              </w:rPr>
            </w:pPr>
            <w:r w:rsidRPr="00A964FF">
              <w:rPr>
                <w:rFonts w:ascii="Calibri" w:hAnsi="Calibri"/>
                <w:color w:val="auto"/>
                <w:szCs w:val="21"/>
              </w:rPr>
              <w:t>工程</w:t>
            </w:r>
          </w:p>
        </w:tc>
        <w:tc>
          <w:tcPr>
            <w:tcW w:w="923" w:type="pct"/>
            <w:vAlign w:val="center"/>
          </w:tcPr>
          <w:p w14:paraId="44E19EBD" w14:textId="77777777" w:rsidR="00DC69A2" w:rsidRPr="00435100" w:rsidRDefault="000E2CCB" w:rsidP="00F415EE">
            <w:pPr>
              <w:jc w:val="center"/>
              <w:rPr>
                <w:rFonts w:ascii="Calibri" w:hAnsi="Calibri"/>
                <w:b/>
                <w:color w:val="auto"/>
                <w:szCs w:val="21"/>
                <w:u w:val="single"/>
              </w:rPr>
            </w:pPr>
            <w:r w:rsidRPr="00435100">
              <w:rPr>
                <w:rFonts w:ascii="Calibri" w:hAnsi="Calibri" w:hint="eastAsia"/>
                <w:b/>
                <w:color w:val="auto"/>
                <w:szCs w:val="21"/>
                <w:u w:val="single"/>
              </w:rPr>
              <w:t>生产车间</w:t>
            </w:r>
          </w:p>
        </w:tc>
        <w:tc>
          <w:tcPr>
            <w:tcW w:w="2118" w:type="pct"/>
            <w:tcBorders>
              <w:right w:val="single" w:sz="4" w:space="0" w:color="auto"/>
            </w:tcBorders>
            <w:vAlign w:val="center"/>
          </w:tcPr>
          <w:p w14:paraId="1E93A216" w14:textId="77777777" w:rsidR="00DC69A2" w:rsidRPr="00435100" w:rsidRDefault="00B05776" w:rsidP="00944F74">
            <w:pPr>
              <w:jc w:val="center"/>
              <w:rPr>
                <w:rFonts w:ascii="Calibri" w:hAnsi="Calibri"/>
                <w:b/>
                <w:color w:val="auto"/>
                <w:szCs w:val="21"/>
                <w:u w:val="single"/>
              </w:rPr>
            </w:pPr>
            <w:r w:rsidRPr="00435100">
              <w:rPr>
                <w:rFonts w:ascii="Calibri" w:hAnsi="Calibri" w:hint="eastAsia"/>
                <w:b/>
                <w:color w:val="auto"/>
                <w:szCs w:val="21"/>
                <w:u w:val="single"/>
              </w:rPr>
              <w:t>1</w:t>
            </w:r>
            <w:r w:rsidRPr="00435100">
              <w:rPr>
                <w:rFonts w:ascii="Calibri" w:hAnsi="Calibri" w:hint="eastAsia"/>
                <w:b/>
                <w:color w:val="auto"/>
                <w:szCs w:val="21"/>
                <w:u w:val="single"/>
              </w:rPr>
              <w:t>栋，长度为</w:t>
            </w:r>
            <w:r w:rsidR="00944F74" w:rsidRPr="00435100">
              <w:rPr>
                <w:rFonts w:ascii="Calibri" w:hAnsi="Calibri"/>
                <w:b/>
                <w:color w:val="auto"/>
                <w:szCs w:val="21"/>
                <w:u w:val="single"/>
              </w:rPr>
              <w:t>120</w:t>
            </w:r>
            <w:r w:rsidRPr="00435100">
              <w:rPr>
                <w:rFonts w:ascii="Calibri" w:hAnsi="Calibri" w:hint="eastAsia"/>
                <w:b/>
                <w:color w:val="auto"/>
                <w:szCs w:val="21"/>
                <w:u w:val="single"/>
              </w:rPr>
              <w:t>m</w:t>
            </w:r>
            <w:r w:rsidRPr="00435100">
              <w:rPr>
                <w:rFonts w:ascii="Calibri" w:hAnsi="Calibri" w:hint="eastAsia"/>
                <w:b/>
                <w:color w:val="auto"/>
                <w:szCs w:val="21"/>
                <w:u w:val="single"/>
              </w:rPr>
              <w:t>，宽</w:t>
            </w:r>
            <w:r w:rsidR="00944F74" w:rsidRPr="00435100">
              <w:rPr>
                <w:rFonts w:ascii="Calibri" w:hAnsi="Calibri"/>
                <w:b/>
                <w:color w:val="auto"/>
                <w:szCs w:val="21"/>
                <w:u w:val="single"/>
              </w:rPr>
              <w:t>96</w:t>
            </w:r>
            <w:r w:rsidRPr="00435100">
              <w:rPr>
                <w:rFonts w:ascii="Calibri" w:hAnsi="Calibri" w:hint="eastAsia"/>
                <w:b/>
                <w:color w:val="auto"/>
                <w:szCs w:val="21"/>
                <w:u w:val="single"/>
              </w:rPr>
              <w:t>m</w:t>
            </w:r>
            <w:r w:rsidRPr="00435100">
              <w:rPr>
                <w:rFonts w:ascii="Calibri" w:hAnsi="Calibri" w:hint="eastAsia"/>
                <w:b/>
                <w:color w:val="auto"/>
                <w:szCs w:val="21"/>
                <w:u w:val="single"/>
              </w:rPr>
              <w:t>，高</w:t>
            </w:r>
            <w:r w:rsidR="00944F74" w:rsidRPr="00435100">
              <w:rPr>
                <w:rFonts w:ascii="Calibri" w:hAnsi="Calibri"/>
                <w:b/>
                <w:color w:val="auto"/>
                <w:szCs w:val="21"/>
                <w:u w:val="single"/>
              </w:rPr>
              <w:t>20</w:t>
            </w:r>
            <w:r w:rsidRPr="00435100">
              <w:rPr>
                <w:rFonts w:ascii="Calibri" w:hAnsi="Calibri" w:hint="eastAsia"/>
                <w:b/>
                <w:color w:val="auto"/>
                <w:szCs w:val="21"/>
                <w:u w:val="single"/>
              </w:rPr>
              <w:t>m</w:t>
            </w:r>
            <w:r w:rsidRPr="00435100">
              <w:rPr>
                <w:rFonts w:ascii="Calibri" w:hAnsi="Calibri" w:hint="eastAsia"/>
                <w:b/>
                <w:color w:val="auto"/>
                <w:szCs w:val="21"/>
                <w:u w:val="single"/>
              </w:rPr>
              <w:t>，本项目</w:t>
            </w:r>
            <w:r w:rsidR="00944F74" w:rsidRPr="00435100">
              <w:rPr>
                <w:rFonts w:ascii="Calibri" w:hAnsi="Calibri" w:hint="eastAsia"/>
                <w:b/>
                <w:color w:val="auto"/>
                <w:szCs w:val="21"/>
                <w:u w:val="single"/>
              </w:rPr>
              <w:t>一期、</w:t>
            </w:r>
            <w:r w:rsidR="00944F74" w:rsidRPr="00435100">
              <w:rPr>
                <w:rFonts w:ascii="Calibri" w:hAnsi="Calibri"/>
                <w:b/>
                <w:color w:val="auto"/>
                <w:szCs w:val="21"/>
                <w:u w:val="single"/>
              </w:rPr>
              <w:t>二期</w:t>
            </w:r>
            <w:r w:rsidR="00944F74" w:rsidRPr="00435100">
              <w:rPr>
                <w:rFonts w:ascii="Calibri" w:hAnsi="Calibri" w:hint="eastAsia"/>
                <w:b/>
                <w:color w:val="auto"/>
                <w:szCs w:val="21"/>
                <w:u w:val="single"/>
              </w:rPr>
              <w:t>设备</w:t>
            </w:r>
            <w:r w:rsidRPr="00435100">
              <w:rPr>
                <w:rFonts w:ascii="Calibri" w:hAnsi="Calibri" w:hint="eastAsia"/>
                <w:b/>
                <w:color w:val="auto"/>
                <w:szCs w:val="21"/>
                <w:u w:val="single"/>
              </w:rPr>
              <w:t>全部布置在该车间</w:t>
            </w:r>
          </w:p>
        </w:tc>
        <w:tc>
          <w:tcPr>
            <w:tcW w:w="1424" w:type="pct"/>
            <w:tcBorders>
              <w:left w:val="single" w:sz="4" w:space="0" w:color="auto"/>
            </w:tcBorders>
            <w:vAlign w:val="center"/>
          </w:tcPr>
          <w:p w14:paraId="20BDEF46" w14:textId="77777777" w:rsidR="00DC69A2" w:rsidRPr="00435100" w:rsidRDefault="00623EF2" w:rsidP="00A21554">
            <w:pPr>
              <w:jc w:val="center"/>
              <w:rPr>
                <w:rFonts w:ascii="Calibri" w:hAnsi="Calibri"/>
                <w:b/>
                <w:color w:val="auto"/>
                <w:szCs w:val="21"/>
                <w:u w:val="single"/>
              </w:rPr>
            </w:pPr>
            <w:r w:rsidRPr="00435100">
              <w:rPr>
                <w:rFonts w:ascii="Calibri" w:hAnsi="Calibri" w:hint="eastAsia"/>
                <w:b/>
                <w:color w:val="auto"/>
                <w:szCs w:val="21"/>
                <w:u w:val="single"/>
              </w:rPr>
              <w:t>框架</w:t>
            </w:r>
            <w:r w:rsidRPr="00435100">
              <w:rPr>
                <w:rFonts w:ascii="Calibri" w:hAnsi="Calibri"/>
                <w:b/>
                <w:color w:val="auto"/>
                <w:szCs w:val="21"/>
                <w:u w:val="single"/>
              </w:rPr>
              <w:t>结构</w:t>
            </w:r>
            <w:r w:rsidRPr="00435100">
              <w:rPr>
                <w:rFonts w:ascii="Calibri" w:hAnsi="Calibri" w:hint="eastAsia"/>
                <w:b/>
                <w:color w:val="auto"/>
                <w:szCs w:val="21"/>
                <w:u w:val="single"/>
              </w:rPr>
              <w:t>，</w:t>
            </w:r>
            <w:r w:rsidR="00B05776" w:rsidRPr="00435100">
              <w:rPr>
                <w:rFonts w:ascii="Calibri" w:hAnsi="Calibri" w:hint="eastAsia"/>
                <w:b/>
                <w:color w:val="auto"/>
                <w:szCs w:val="21"/>
                <w:u w:val="single"/>
              </w:rPr>
              <w:t>车间</w:t>
            </w:r>
            <w:r w:rsidR="001A4912" w:rsidRPr="00435100">
              <w:rPr>
                <w:rFonts w:ascii="Calibri" w:hAnsi="Calibri" w:hint="eastAsia"/>
                <w:b/>
                <w:color w:val="auto"/>
                <w:szCs w:val="21"/>
                <w:u w:val="single"/>
              </w:rPr>
              <w:t>局部</w:t>
            </w:r>
            <w:r w:rsidR="00944F74" w:rsidRPr="00435100">
              <w:rPr>
                <w:rFonts w:ascii="Calibri" w:hAnsi="Calibri"/>
                <w:b/>
                <w:color w:val="auto"/>
                <w:szCs w:val="21"/>
                <w:u w:val="single"/>
              </w:rPr>
              <w:t>4</w:t>
            </w:r>
            <w:r w:rsidR="00B05776" w:rsidRPr="00435100">
              <w:rPr>
                <w:rFonts w:ascii="Calibri" w:hAnsi="Calibri" w:hint="eastAsia"/>
                <w:b/>
                <w:color w:val="auto"/>
                <w:szCs w:val="21"/>
                <w:u w:val="single"/>
              </w:rPr>
              <w:t>层，</w:t>
            </w:r>
            <w:r w:rsidR="00944F74" w:rsidRPr="00435100">
              <w:rPr>
                <w:rFonts w:ascii="Calibri" w:hAnsi="Calibri" w:hint="eastAsia"/>
                <w:b/>
                <w:color w:val="auto"/>
                <w:szCs w:val="21"/>
                <w:u w:val="single"/>
              </w:rPr>
              <w:t>20</w:t>
            </w:r>
            <w:r w:rsidR="00944F74" w:rsidRPr="00435100">
              <w:rPr>
                <w:rFonts w:ascii="Calibri" w:hAnsi="Calibri"/>
                <w:b/>
                <w:color w:val="auto"/>
                <w:szCs w:val="21"/>
                <w:u w:val="single"/>
              </w:rPr>
              <w:t>m</w:t>
            </w:r>
            <w:r w:rsidR="00944F74" w:rsidRPr="00435100">
              <w:rPr>
                <w:rFonts w:ascii="Calibri" w:hAnsi="Calibri" w:hint="eastAsia"/>
                <w:b/>
                <w:color w:val="auto"/>
                <w:szCs w:val="21"/>
                <w:u w:val="single"/>
              </w:rPr>
              <w:t>高</w:t>
            </w:r>
            <w:r w:rsidR="00A21554" w:rsidRPr="00435100">
              <w:rPr>
                <w:rFonts w:ascii="Calibri" w:hAnsi="Calibri" w:hint="eastAsia"/>
                <w:b/>
                <w:color w:val="auto"/>
                <w:szCs w:val="21"/>
                <w:u w:val="single"/>
              </w:rPr>
              <w:t>，</w:t>
            </w:r>
            <w:r w:rsidR="00A21554" w:rsidRPr="00435100">
              <w:rPr>
                <w:rFonts w:ascii="Calibri" w:hAnsi="Calibri"/>
                <w:b/>
                <w:color w:val="auto"/>
                <w:szCs w:val="21"/>
                <w:u w:val="single"/>
              </w:rPr>
              <w:t>根据生产工艺，</w:t>
            </w:r>
            <w:r w:rsidR="00A21554" w:rsidRPr="00435100">
              <w:rPr>
                <w:rFonts w:ascii="Calibri" w:hAnsi="Calibri" w:hint="eastAsia"/>
                <w:b/>
                <w:color w:val="auto"/>
                <w:szCs w:val="21"/>
                <w:u w:val="single"/>
              </w:rPr>
              <w:t>四层</w:t>
            </w:r>
            <w:r w:rsidR="00A21554" w:rsidRPr="00435100">
              <w:rPr>
                <w:rFonts w:ascii="Calibri" w:hAnsi="Calibri"/>
                <w:b/>
                <w:color w:val="auto"/>
                <w:szCs w:val="21"/>
                <w:u w:val="single"/>
              </w:rPr>
              <w:t>用于</w:t>
            </w:r>
            <w:r w:rsidR="00A21554" w:rsidRPr="00435100">
              <w:rPr>
                <w:rFonts w:ascii="Calibri" w:hAnsi="Calibri" w:hint="eastAsia"/>
                <w:b/>
                <w:color w:val="auto"/>
                <w:szCs w:val="21"/>
                <w:u w:val="single"/>
              </w:rPr>
              <w:t>原料调配</w:t>
            </w:r>
            <w:r w:rsidR="00A21554" w:rsidRPr="00435100">
              <w:rPr>
                <w:rFonts w:ascii="Calibri" w:hAnsi="Calibri"/>
                <w:b/>
                <w:color w:val="auto"/>
                <w:szCs w:val="21"/>
                <w:u w:val="single"/>
              </w:rPr>
              <w:t>及</w:t>
            </w:r>
            <w:r w:rsidR="009B4F57" w:rsidRPr="00435100">
              <w:rPr>
                <w:rFonts w:ascii="Calibri" w:hAnsi="Calibri" w:hint="eastAsia"/>
                <w:b/>
                <w:color w:val="auto"/>
                <w:szCs w:val="21"/>
                <w:u w:val="single"/>
              </w:rPr>
              <w:t>混料</w:t>
            </w:r>
            <w:r w:rsidR="00A21554" w:rsidRPr="00435100">
              <w:rPr>
                <w:rFonts w:ascii="Calibri" w:hAnsi="Calibri"/>
                <w:b/>
                <w:color w:val="auto"/>
                <w:szCs w:val="21"/>
                <w:u w:val="single"/>
              </w:rPr>
              <w:t>储存，三层</w:t>
            </w:r>
            <w:r w:rsidR="00A21554" w:rsidRPr="00435100">
              <w:rPr>
                <w:rFonts w:ascii="Calibri" w:hAnsi="Calibri" w:hint="eastAsia"/>
                <w:b/>
                <w:color w:val="auto"/>
                <w:szCs w:val="21"/>
                <w:u w:val="single"/>
              </w:rPr>
              <w:t>用于</w:t>
            </w:r>
            <w:r w:rsidR="00A21554" w:rsidRPr="00435100">
              <w:rPr>
                <w:rFonts w:ascii="Calibri" w:hAnsi="Calibri"/>
                <w:b/>
                <w:color w:val="auto"/>
                <w:szCs w:val="21"/>
                <w:u w:val="single"/>
              </w:rPr>
              <w:t>聚合</w:t>
            </w:r>
            <w:r w:rsidR="00A21554" w:rsidRPr="00435100">
              <w:rPr>
                <w:rFonts w:ascii="Calibri" w:hAnsi="Calibri" w:hint="eastAsia"/>
                <w:b/>
                <w:color w:val="auto"/>
                <w:szCs w:val="21"/>
                <w:u w:val="single"/>
              </w:rPr>
              <w:t>，</w:t>
            </w:r>
            <w:r w:rsidR="00A21554" w:rsidRPr="00435100">
              <w:rPr>
                <w:rFonts w:ascii="Calibri" w:hAnsi="Calibri"/>
                <w:b/>
                <w:color w:val="auto"/>
                <w:szCs w:val="21"/>
                <w:u w:val="single"/>
              </w:rPr>
              <w:t>二层冷却</w:t>
            </w:r>
            <w:r w:rsidR="00A21554" w:rsidRPr="00435100">
              <w:rPr>
                <w:rFonts w:ascii="Calibri" w:hAnsi="Calibri" w:hint="eastAsia"/>
                <w:b/>
                <w:color w:val="auto"/>
                <w:szCs w:val="21"/>
                <w:u w:val="single"/>
              </w:rPr>
              <w:t>制</w:t>
            </w:r>
            <w:r w:rsidR="00A21554" w:rsidRPr="00435100">
              <w:rPr>
                <w:rFonts w:ascii="Calibri" w:hAnsi="Calibri"/>
                <w:b/>
                <w:color w:val="auto"/>
                <w:szCs w:val="21"/>
                <w:u w:val="single"/>
              </w:rPr>
              <w:t>粒，一层干燥</w:t>
            </w:r>
            <w:r w:rsidR="00A21554" w:rsidRPr="00435100">
              <w:rPr>
                <w:rFonts w:ascii="Calibri" w:hAnsi="Calibri" w:hint="eastAsia"/>
                <w:b/>
                <w:color w:val="auto"/>
                <w:szCs w:val="21"/>
                <w:u w:val="single"/>
              </w:rPr>
              <w:t>包装</w:t>
            </w:r>
          </w:p>
        </w:tc>
      </w:tr>
      <w:tr w:rsidR="009B4F57" w:rsidRPr="00A964FF" w14:paraId="66737CBE" w14:textId="77777777" w:rsidTr="00CE7A1F">
        <w:trPr>
          <w:trHeight w:val="369"/>
          <w:jc w:val="center"/>
        </w:trPr>
        <w:tc>
          <w:tcPr>
            <w:tcW w:w="535" w:type="pct"/>
            <w:gridSpan w:val="2"/>
            <w:vMerge w:val="restart"/>
            <w:vAlign w:val="center"/>
          </w:tcPr>
          <w:p w14:paraId="27044247" w14:textId="77777777" w:rsidR="009B4F57" w:rsidRPr="00A964FF" w:rsidRDefault="009B4F57" w:rsidP="004554C2">
            <w:pPr>
              <w:jc w:val="center"/>
              <w:rPr>
                <w:rFonts w:ascii="Calibri" w:hAnsi="Calibri"/>
                <w:color w:val="auto"/>
                <w:szCs w:val="21"/>
              </w:rPr>
            </w:pPr>
            <w:r w:rsidRPr="00A964FF">
              <w:rPr>
                <w:rFonts w:ascii="Calibri" w:hAnsi="Calibri"/>
                <w:color w:val="auto"/>
                <w:szCs w:val="21"/>
              </w:rPr>
              <w:t>辅助</w:t>
            </w:r>
          </w:p>
          <w:p w14:paraId="696F65F2" w14:textId="77777777" w:rsidR="009B4F57" w:rsidRPr="00A964FF" w:rsidRDefault="009B4F57" w:rsidP="004554C2">
            <w:pPr>
              <w:jc w:val="center"/>
              <w:rPr>
                <w:rFonts w:ascii="Calibri" w:hAnsi="Calibri"/>
                <w:color w:val="auto"/>
                <w:szCs w:val="21"/>
              </w:rPr>
            </w:pPr>
            <w:r w:rsidRPr="00A964FF">
              <w:rPr>
                <w:rFonts w:ascii="Calibri" w:hAnsi="Calibri"/>
                <w:color w:val="auto"/>
                <w:szCs w:val="21"/>
              </w:rPr>
              <w:t>工程</w:t>
            </w:r>
          </w:p>
        </w:tc>
        <w:tc>
          <w:tcPr>
            <w:tcW w:w="923" w:type="pct"/>
            <w:vAlign w:val="center"/>
          </w:tcPr>
          <w:p w14:paraId="71A6F20B" w14:textId="77777777" w:rsidR="009B4F57" w:rsidRPr="00435100" w:rsidRDefault="009B4F57" w:rsidP="00F278CC">
            <w:pPr>
              <w:widowControl/>
              <w:jc w:val="center"/>
              <w:rPr>
                <w:rFonts w:ascii="Calibri" w:hAnsi="Calibri"/>
                <w:b/>
                <w:color w:val="auto"/>
                <w:szCs w:val="21"/>
                <w:u w:val="single"/>
              </w:rPr>
            </w:pPr>
            <w:r w:rsidRPr="00435100">
              <w:rPr>
                <w:rFonts w:hint="eastAsia"/>
                <w:b/>
                <w:szCs w:val="21"/>
                <w:u w:val="single"/>
              </w:rPr>
              <w:t>导热油站</w:t>
            </w:r>
          </w:p>
        </w:tc>
        <w:tc>
          <w:tcPr>
            <w:tcW w:w="2118" w:type="pct"/>
            <w:tcBorders>
              <w:right w:val="single" w:sz="4" w:space="0" w:color="auto"/>
            </w:tcBorders>
            <w:vAlign w:val="center"/>
          </w:tcPr>
          <w:p w14:paraId="2CA076E0" w14:textId="77777777" w:rsidR="009B4F57" w:rsidRPr="00435100" w:rsidRDefault="009B4F57" w:rsidP="001D3D21">
            <w:pPr>
              <w:jc w:val="center"/>
              <w:rPr>
                <w:rFonts w:ascii="Calibri" w:hAnsi="Calibri"/>
                <w:b/>
                <w:color w:val="auto"/>
                <w:szCs w:val="21"/>
                <w:u w:val="single"/>
              </w:rPr>
            </w:pPr>
            <w:r w:rsidRPr="00435100">
              <w:rPr>
                <w:rFonts w:ascii="Calibri" w:hAnsi="Calibri" w:hint="eastAsia"/>
                <w:b/>
                <w:color w:val="auto"/>
                <w:szCs w:val="21"/>
                <w:u w:val="single"/>
              </w:rPr>
              <w:t>项目拟建导热油站</w:t>
            </w:r>
            <w:r w:rsidRPr="00435100">
              <w:rPr>
                <w:rFonts w:ascii="Calibri" w:hAnsi="Calibri" w:hint="eastAsia"/>
                <w:b/>
                <w:color w:val="auto"/>
                <w:szCs w:val="21"/>
                <w:u w:val="single"/>
              </w:rPr>
              <w:t>1</w:t>
            </w:r>
            <w:r w:rsidRPr="00435100">
              <w:rPr>
                <w:rFonts w:ascii="Calibri" w:hAnsi="Calibri" w:hint="eastAsia"/>
                <w:b/>
                <w:color w:val="auto"/>
                <w:szCs w:val="21"/>
                <w:u w:val="single"/>
              </w:rPr>
              <w:t>座，位于</w:t>
            </w:r>
            <w:r w:rsidR="001D3D21" w:rsidRPr="00435100">
              <w:rPr>
                <w:rFonts w:ascii="Calibri" w:hAnsi="Calibri" w:hint="eastAsia"/>
                <w:b/>
                <w:color w:val="auto"/>
                <w:szCs w:val="21"/>
                <w:u w:val="single"/>
              </w:rPr>
              <w:t>生产</w:t>
            </w:r>
            <w:r w:rsidRPr="00435100">
              <w:rPr>
                <w:rFonts w:ascii="Calibri" w:hAnsi="Calibri" w:hint="eastAsia"/>
                <w:b/>
                <w:color w:val="auto"/>
                <w:szCs w:val="21"/>
                <w:u w:val="single"/>
              </w:rPr>
              <w:t>车间</w:t>
            </w:r>
            <w:r w:rsidRPr="00435100">
              <w:rPr>
                <w:rFonts w:ascii="Calibri" w:hAnsi="Calibri"/>
                <w:b/>
                <w:color w:val="auto"/>
                <w:szCs w:val="21"/>
                <w:u w:val="single"/>
              </w:rPr>
              <w:t>南侧</w:t>
            </w:r>
            <w:r w:rsidR="001A4912" w:rsidRPr="00435100">
              <w:rPr>
                <w:rFonts w:ascii="Calibri" w:hAnsi="Calibri"/>
                <w:b/>
                <w:color w:val="auto"/>
                <w:szCs w:val="21"/>
                <w:u w:val="single"/>
              </w:rPr>
              <w:t>1</w:t>
            </w:r>
            <w:r w:rsidR="001A4912" w:rsidRPr="00435100">
              <w:rPr>
                <w:rFonts w:ascii="Calibri" w:hAnsi="Calibri" w:hint="eastAsia"/>
                <w:b/>
                <w:color w:val="auto"/>
                <w:szCs w:val="21"/>
                <w:u w:val="single"/>
              </w:rPr>
              <w:t>层</w:t>
            </w:r>
            <w:r w:rsidRPr="00435100">
              <w:rPr>
                <w:rFonts w:ascii="Calibri" w:hAnsi="Calibri" w:hint="eastAsia"/>
                <w:b/>
                <w:color w:val="auto"/>
                <w:szCs w:val="21"/>
                <w:u w:val="single"/>
              </w:rPr>
              <w:t>，占地面积</w:t>
            </w:r>
            <w:r w:rsidRPr="00435100">
              <w:rPr>
                <w:rFonts w:ascii="Calibri" w:hAnsi="Calibri"/>
                <w:b/>
                <w:color w:val="auto"/>
                <w:szCs w:val="21"/>
                <w:u w:val="single"/>
              </w:rPr>
              <w:t>200</w:t>
            </w:r>
            <w:r w:rsidRPr="00435100">
              <w:rPr>
                <w:rFonts w:ascii="Calibri" w:hAnsi="Calibri" w:hint="eastAsia"/>
                <w:b/>
                <w:color w:val="auto"/>
                <w:szCs w:val="21"/>
                <w:u w:val="single"/>
              </w:rPr>
              <w:t>m</w:t>
            </w:r>
            <w:r w:rsidRPr="00435100">
              <w:rPr>
                <w:rFonts w:ascii="Calibri" w:hAnsi="Calibri" w:hint="eastAsia"/>
                <w:b/>
                <w:color w:val="auto"/>
                <w:szCs w:val="21"/>
                <w:u w:val="single"/>
                <w:vertAlign w:val="superscript"/>
              </w:rPr>
              <w:t>2</w:t>
            </w:r>
            <w:r w:rsidRPr="00435100">
              <w:rPr>
                <w:rFonts w:ascii="Calibri" w:hAnsi="Calibri" w:hint="eastAsia"/>
                <w:b/>
                <w:color w:val="auto"/>
                <w:szCs w:val="21"/>
                <w:u w:val="single"/>
              </w:rPr>
              <w:t>，其内设计建设</w:t>
            </w:r>
            <w:r w:rsidRPr="00435100">
              <w:rPr>
                <w:rFonts w:ascii="Calibri" w:hAnsi="Calibri"/>
                <w:b/>
                <w:color w:val="auto"/>
                <w:szCs w:val="21"/>
                <w:u w:val="single"/>
              </w:rPr>
              <w:t>2</w:t>
            </w:r>
            <w:r w:rsidRPr="00435100">
              <w:rPr>
                <w:rFonts w:ascii="Calibri" w:hAnsi="Calibri" w:hint="eastAsia"/>
                <w:b/>
                <w:color w:val="auto"/>
                <w:szCs w:val="21"/>
                <w:u w:val="single"/>
              </w:rPr>
              <w:t>套</w:t>
            </w:r>
            <w:r w:rsidRPr="00435100">
              <w:rPr>
                <w:rFonts w:ascii="Calibri" w:hAnsi="Calibri"/>
                <w:b/>
                <w:color w:val="auto"/>
                <w:szCs w:val="21"/>
                <w:u w:val="single"/>
              </w:rPr>
              <w:t>125</w:t>
            </w:r>
            <w:r w:rsidRPr="00435100">
              <w:rPr>
                <w:rFonts w:ascii="Calibri" w:hAnsi="Calibri" w:hint="eastAsia"/>
                <w:b/>
                <w:color w:val="auto"/>
                <w:szCs w:val="21"/>
                <w:u w:val="single"/>
              </w:rPr>
              <w:t>万</w:t>
            </w:r>
            <w:r w:rsidRPr="00435100">
              <w:rPr>
                <w:rFonts w:ascii="Calibri" w:hAnsi="Calibri" w:hint="eastAsia"/>
                <w:b/>
                <w:color w:val="auto"/>
                <w:szCs w:val="21"/>
                <w:u w:val="single"/>
              </w:rPr>
              <w:t>Kcal</w:t>
            </w:r>
            <w:r w:rsidRPr="00435100">
              <w:rPr>
                <w:rFonts w:ascii="Calibri" w:hAnsi="Calibri" w:hint="eastAsia"/>
                <w:b/>
                <w:color w:val="auto"/>
                <w:szCs w:val="21"/>
                <w:u w:val="single"/>
              </w:rPr>
              <w:t>（折合</w:t>
            </w:r>
            <w:r w:rsidRPr="00435100">
              <w:rPr>
                <w:rFonts w:ascii="Calibri" w:hAnsi="Calibri" w:hint="eastAsia"/>
                <w:b/>
                <w:color w:val="auto"/>
                <w:szCs w:val="21"/>
                <w:u w:val="single"/>
              </w:rPr>
              <w:t>2t/h</w:t>
            </w:r>
            <w:r w:rsidRPr="00435100">
              <w:rPr>
                <w:rFonts w:ascii="Calibri" w:hAnsi="Calibri" w:hint="eastAsia"/>
                <w:b/>
                <w:color w:val="auto"/>
                <w:szCs w:val="21"/>
                <w:u w:val="single"/>
              </w:rPr>
              <w:t>）的导热油炉，以外供天然气为燃料。</w:t>
            </w:r>
          </w:p>
        </w:tc>
        <w:tc>
          <w:tcPr>
            <w:tcW w:w="1424" w:type="pct"/>
            <w:tcBorders>
              <w:left w:val="single" w:sz="4" w:space="0" w:color="auto"/>
            </w:tcBorders>
            <w:vAlign w:val="center"/>
          </w:tcPr>
          <w:p w14:paraId="22FD31FD" w14:textId="77777777" w:rsidR="009B4F57" w:rsidRPr="00435100" w:rsidRDefault="00623EF2" w:rsidP="00623EF2">
            <w:pPr>
              <w:ind w:firstLineChars="250" w:firstLine="527"/>
              <w:rPr>
                <w:rFonts w:ascii="Calibri" w:hAnsi="Calibri"/>
                <w:b/>
                <w:color w:val="auto"/>
                <w:szCs w:val="21"/>
                <w:u w:val="single"/>
              </w:rPr>
            </w:pPr>
            <w:r w:rsidRPr="00435100">
              <w:rPr>
                <w:rFonts w:ascii="Calibri" w:hAnsi="Calibri" w:hint="eastAsia"/>
                <w:b/>
                <w:color w:val="auto"/>
                <w:szCs w:val="21"/>
                <w:u w:val="single"/>
              </w:rPr>
              <w:t>框架</w:t>
            </w:r>
            <w:r w:rsidRPr="00435100">
              <w:rPr>
                <w:rFonts w:ascii="Calibri" w:hAnsi="Calibri"/>
                <w:b/>
                <w:color w:val="auto"/>
                <w:szCs w:val="21"/>
                <w:u w:val="single"/>
              </w:rPr>
              <w:t>结构</w:t>
            </w:r>
          </w:p>
        </w:tc>
      </w:tr>
      <w:tr w:rsidR="009B4F57" w:rsidRPr="00A964FF" w14:paraId="110B02AB" w14:textId="77777777" w:rsidTr="00CE7A1F">
        <w:trPr>
          <w:trHeight w:val="369"/>
          <w:jc w:val="center"/>
        </w:trPr>
        <w:tc>
          <w:tcPr>
            <w:tcW w:w="535" w:type="pct"/>
            <w:gridSpan w:val="2"/>
            <w:vMerge/>
            <w:vAlign w:val="center"/>
          </w:tcPr>
          <w:p w14:paraId="778569F3" w14:textId="77777777" w:rsidR="009B4F57" w:rsidRPr="00A964FF" w:rsidRDefault="009B4F57" w:rsidP="004554C2">
            <w:pPr>
              <w:jc w:val="center"/>
              <w:rPr>
                <w:rFonts w:ascii="Calibri" w:hAnsi="Calibri"/>
                <w:color w:val="auto"/>
                <w:szCs w:val="21"/>
              </w:rPr>
            </w:pPr>
          </w:p>
        </w:tc>
        <w:tc>
          <w:tcPr>
            <w:tcW w:w="923" w:type="pct"/>
            <w:vAlign w:val="center"/>
          </w:tcPr>
          <w:p w14:paraId="543E82D1" w14:textId="77777777" w:rsidR="009B4F57" w:rsidRPr="00435100" w:rsidRDefault="009B4F57" w:rsidP="00F278CC">
            <w:pPr>
              <w:widowControl/>
              <w:jc w:val="center"/>
              <w:rPr>
                <w:rFonts w:ascii="Calibri" w:hAnsi="Calibri"/>
                <w:b/>
                <w:color w:val="auto"/>
                <w:szCs w:val="21"/>
                <w:u w:val="single"/>
              </w:rPr>
            </w:pPr>
            <w:r w:rsidRPr="00435100">
              <w:rPr>
                <w:rFonts w:ascii="Calibri" w:hAnsi="Calibri" w:hint="eastAsia"/>
                <w:b/>
                <w:color w:val="auto"/>
                <w:szCs w:val="21"/>
                <w:u w:val="single"/>
              </w:rPr>
              <w:t>综合楼</w:t>
            </w:r>
          </w:p>
        </w:tc>
        <w:tc>
          <w:tcPr>
            <w:tcW w:w="2118" w:type="pct"/>
            <w:tcBorders>
              <w:right w:val="single" w:sz="4" w:space="0" w:color="auto"/>
            </w:tcBorders>
            <w:vAlign w:val="center"/>
          </w:tcPr>
          <w:p w14:paraId="7D2D695C" w14:textId="77777777" w:rsidR="009B4F57" w:rsidRPr="00435100" w:rsidRDefault="009B4F57" w:rsidP="00944F74">
            <w:pPr>
              <w:jc w:val="center"/>
              <w:rPr>
                <w:rFonts w:ascii="Calibri" w:hAnsi="Calibri"/>
                <w:b/>
                <w:color w:val="auto"/>
                <w:szCs w:val="21"/>
                <w:u w:val="single"/>
              </w:rPr>
            </w:pPr>
            <w:r w:rsidRPr="00435100">
              <w:rPr>
                <w:rFonts w:ascii="Calibri" w:hAnsi="Calibri" w:hint="eastAsia"/>
                <w:b/>
                <w:color w:val="auto"/>
                <w:szCs w:val="21"/>
                <w:u w:val="single"/>
              </w:rPr>
              <w:t>1</w:t>
            </w:r>
            <w:r w:rsidRPr="00435100">
              <w:rPr>
                <w:rFonts w:ascii="Calibri" w:hAnsi="Calibri" w:hint="eastAsia"/>
                <w:b/>
                <w:color w:val="auto"/>
                <w:szCs w:val="21"/>
                <w:u w:val="single"/>
              </w:rPr>
              <w:t>栋，</w:t>
            </w:r>
            <w:r w:rsidRPr="00435100">
              <w:rPr>
                <w:rFonts w:ascii="Calibri" w:hAnsi="Calibri"/>
                <w:b/>
                <w:color w:val="auto"/>
                <w:szCs w:val="21"/>
                <w:u w:val="single"/>
              </w:rPr>
              <w:t>4</w:t>
            </w:r>
            <w:r w:rsidRPr="00435100">
              <w:rPr>
                <w:rFonts w:ascii="Calibri" w:hAnsi="Calibri" w:hint="eastAsia"/>
                <w:b/>
                <w:color w:val="auto"/>
                <w:szCs w:val="21"/>
                <w:u w:val="single"/>
              </w:rPr>
              <w:t>F</w:t>
            </w:r>
            <w:r w:rsidRPr="00435100">
              <w:rPr>
                <w:rFonts w:ascii="Calibri" w:hAnsi="Calibri" w:hint="eastAsia"/>
                <w:b/>
                <w:color w:val="auto"/>
                <w:szCs w:val="21"/>
                <w:u w:val="single"/>
              </w:rPr>
              <w:t>，建筑面积</w:t>
            </w:r>
            <w:r w:rsidRPr="00435100">
              <w:rPr>
                <w:rFonts w:ascii="Calibri" w:hAnsi="Calibri"/>
                <w:b/>
                <w:color w:val="auto"/>
                <w:szCs w:val="21"/>
                <w:u w:val="single"/>
              </w:rPr>
              <w:t>4480</w:t>
            </w:r>
            <w:r w:rsidRPr="00435100">
              <w:rPr>
                <w:rFonts w:ascii="Calibri" w:hAnsi="Calibri" w:hint="eastAsia"/>
                <w:b/>
                <w:color w:val="auto"/>
                <w:szCs w:val="21"/>
                <w:u w:val="single"/>
              </w:rPr>
              <w:t>m</w:t>
            </w:r>
            <w:r w:rsidRPr="00435100">
              <w:rPr>
                <w:rFonts w:ascii="Calibri" w:hAnsi="Calibri" w:hint="eastAsia"/>
                <w:b/>
                <w:color w:val="auto"/>
                <w:szCs w:val="21"/>
                <w:u w:val="single"/>
                <w:vertAlign w:val="superscript"/>
              </w:rPr>
              <w:t>2</w:t>
            </w:r>
            <w:r w:rsidRPr="00435100">
              <w:rPr>
                <w:rFonts w:ascii="Calibri" w:hAnsi="Calibri" w:hint="eastAsia"/>
                <w:b/>
                <w:color w:val="auto"/>
                <w:szCs w:val="21"/>
                <w:u w:val="single"/>
              </w:rPr>
              <w:t>，</w:t>
            </w:r>
            <w:r w:rsidRPr="00435100">
              <w:rPr>
                <w:rFonts w:ascii="Calibri" w:hAnsi="Calibri"/>
                <w:b/>
                <w:color w:val="auto"/>
                <w:szCs w:val="21"/>
                <w:u w:val="single"/>
              </w:rPr>
              <w:t>高</w:t>
            </w:r>
            <w:r w:rsidRPr="00435100">
              <w:rPr>
                <w:rFonts w:ascii="Calibri" w:hAnsi="Calibri" w:hint="eastAsia"/>
                <w:b/>
                <w:color w:val="auto"/>
                <w:szCs w:val="21"/>
                <w:u w:val="single"/>
              </w:rPr>
              <w:t>19</w:t>
            </w:r>
            <w:r w:rsidRPr="00435100">
              <w:rPr>
                <w:rFonts w:ascii="Calibri" w:hAnsi="Calibri"/>
                <w:b/>
                <w:color w:val="auto"/>
                <w:szCs w:val="21"/>
                <w:u w:val="single"/>
              </w:rPr>
              <w:t>m</w:t>
            </w:r>
          </w:p>
        </w:tc>
        <w:tc>
          <w:tcPr>
            <w:tcW w:w="1424" w:type="pct"/>
            <w:tcBorders>
              <w:left w:val="single" w:sz="4" w:space="0" w:color="auto"/>
            </w:tcBorders>
            <w:vAlign w:val="center"/>
          </w:tcPr>
          <w:p w14:paraId="522FDBAB" w14:textId="77777777" w:rsidR="009B4F57" w:rsidRPr="00435100" w:rsidRDefault="00623EF2" w:rsidP="00623EF2">
            <w:pPr>
              <w:rPr>
                <w:rFonts w:ascii="Calibri" w:hAnsi="Calibri"/>
                <w:b/>
                <w:color w:val="auto"/>
                <w:szCs w:val="21"/>
                <w:u w:val="single"/>
              </w:rPr>
            </w:pPr>
            <w:r w:rsidRPr="00435100">
              <w:rPr>
                <w:rFonts w:ascii="Calibri" w:hAnsi="Calibri" w:hint="eastAsia"/>
                <w:b/>
                <w:color w:val="auto"/>
                <w:szCs w:val="21"/>
                <w:u w:val="single"/>
              </w:rPr>
              <w:t>框架</w:t>
            </w:r>
            <w:r w:rsidRPr="00435100">
              <w:rPr>
                <w:rFonts w:ascii="Calibri" w:hAnsi="Calibri"/>
                <w:b/>
                <w:color w:val="auto"/>
                <w:szCs w:val="21"/>
                <w:u w:val="single"/>
              </w:rPr>
              <w:t>结构</w:t>
            </w:r>
            <w:r w:rsidRPr="00435100">
              <w:rPr>
                <w:rFonts w:ascii="Calibri" w:hAnsi="Calibri" w:hint="eastAsia"/>
                <w:b/>
                <w:color w:val="auto"/>
                <w:szCs w:val="21"/>
                <w:u w:val="single"/>
              </w:rPr>
              <w:t>，</w:t>
            </w:r>
            <w:r w:rsidR="009B4F57" w:rsidRPr="00435100">
              <w:rPr>
                <w:rFonts w:ascii="Calibri" w:hAnsi="Calibri" w:hint="eastAsia"/>
                <w:b/>
                <w:color w:val="auto"/>
                <w:szCs w:val="21"/>
                <w:u w:val="single"/>
              </w:rPr>
              <w:t>办公及</w:t>
            </w:r>
            <w:r w:rsidR="009B4F57" w:rsidRPr="00435100">
              <w:rPr>
                <w:rFonts w:ascii="Calibri" w:hAnsi="Calibri"/>
                <w:b/>
                <w:color w:val="auto"/>
                <w:szCs w:val="21"/>
                <w:u w:val="single"/>
              </w:rPr>
              <w:t>会议室</w:t>
            </w:r>
          </w:p>
        </w:tc>
      </w:tr>
      <w:tr w:rsidR="009B4F57" w:rsidRPr="00A964FF" w14:paraId="79145E7E" w14:textId="77777777" w:rsidTr="00CE7A1F">
        <w:trPr>
          <w:trHeight w:val="369"/>
          <w:jc w:val="center"/>
        </w:trPr>
        <w:tc>
          <w:tcPr>
            <w:tcW w:w="535" w:type="pct"/>
            <w:gridSpan w:val="2"/>
            <w:vMerge/>
            <w:vAlign w:val="center"/>
          </w:tcPr>
          <w:p w14:paraId="6E7221E6" w14:textId="77777777" w:rsidR="009B4F57" w:rsidRPr="00A964FF" w:rsidRDefault="009B4F57" w:rsidP="004554C2">
            <w:pPr>
              <w:jc w:val="center"/>
              <w:rPr>
                <w:rFonts w:ascii="Calibri" w:hAnsi="Calibri"/>
                <w:color w:val="auto"/>
                <w:szCs w:val="21"/>
              </w:rPr>
            </w:pPr>
          </w:p>
        </w:tc>
        <w:tc>
          <w:tcPr>
            <w:tcW w:w="923" w:type="pct"/>
            <w:vAlign w:val="center"/>
          </w:tcPr>
          <w:p w14:paraId="2B8B7535" w14:textId="77777777" w:rsidR="009B4F57" w:rsidRPr="00435100" w:rsidRDefault="009B4F57" w:rsidP="00F278CC">
            <w:pPr>
              <w:widowControl/>
              <w:jc w:val="center"/>
              <w:rPr>
                <w:rFonts w:ascii="Calibri" w:hAnsi="Calibri"/>
                <w:b/>
                <w:color w:val="auto"/>
                <w:szCs w:val="21"/>
                <w:u w:val="single"/>
              </w:rPr>
            </w:pPr>
            <w:r w:rsidRPr="00435100">
              <w:rPr>
                <w:rFonts w:ascii="Calibri" w:hAnsi="Calibri" w:hint="eastAsia"/>
                <w:b/>
                <w:color w:val="auto"/>
                <w:szCs w:val="21"/>
                <w:u w:val="single"/>
              </w:rPr>
              <w:t>中心</w:t>
            </w:r>
            <w:r w:rsidRPr="00435100">
              <w:rPr>
                <w:rFonts w:ascii="Calibri" w:hAnsi="Calibri"/>
                <w:b/>
                <w:color w:val="auto"/>
                <w:szCs w:val="21"/>
                <w:u w:val="single"/>
              </w:rPr>
              <w:t>化验室</w:t>
            </w:r>
          </w:p>
        </w:tc>
        <w:tc>
          <w:tcPr>
            <w:tcW w:w="2118" w:type="pct"/>
            <w:tcBorders>
              <w:right w:val="single" w:sz="4" w:space="0" w:color="auto"/>
            </w:tcBorders>
            <w:vAlign w:val="center"/>
          </w:tcPr>
          <w:p w14:paraId="201C4773" w14:textId="77777777" w:rsidR="009B4F57" w:rsidRPr="00435100" w:rsidRDefault="009B4F57" w:rsidP="00944F74">
            <w:pPr>
              <w:jc w:val="center"/>
              <w:rPr>
                <w:rFonts w:ascii="Calibri" w:hAnsi="Calibri"/>
                <w:b/>
                <w:color w:val="auto"/>
                <w:szCs w:val="21"/>
                <w:u w:val="single"/>
              </w:rPr>
            </w:pPr>
            <w:r w:rsidRPr="00435100">
              <w:rPr>
                <w:rFonts w:ascii="Calibri" w:hAnsi="Calibri" w:hint="eastAsia"/>
                <w:b/>
                <w:color w:val="auto"/>
                <w:szCs w:val="21"/>
                <w:u w:val="single"/>
              </w:rPr>
              <w:t>1</w:t>
            </w:r>
            <w:r w:rsidRPr="00435100">
              <w:rPr>
                <w:rFonts w:ascii="Calibri" w:hAnsi="Calibri" w:hint="eastAsia"/>
                <w:b/>
                <w:color w:val="auto"/>
                <w:szCs w:val="21"/>
                <w:u w:val="single"/>
              </w:rPr>
              <w:t>栋，</w:t>
            </w:r>
            <w:r w:rsidRPr="00435100">
              <w:rPr>
                <w:rFonts w:ascii="Calibri" w:hAnsi="Calibri"/>
                <w:b/>
                <w:color w:val="auto"/>
                <w:szCs w:val="21"/>
                <w:u w:val="single"/>
              </w:rPr>
              <w:t>3</w:t>
            </w:r>
            <w:r w:rsidRPr="00435100">
              <w:rPr>
                <w:rFonts w:ascii="Calibri" w:hAnsi="Calibri" w:hint="eastAsia"/>
                <w:b/>
                <w:color w:val="auto"/>
                <w:szCs w:val="21"/>
                <w:u w:val="single"/>
              </w:rPr>
              <w:t>F</w:t>
            </w:r>
            <w:r w:rsidRPr="00435100">
              <w:rPr>
                <w:rFonts w:ascii="Calibri" w:hAnsi="Calibri" w:hint="eastAsia"/>
                <w:b/>
                <w:color w:val="auto"/>
                <w:szCs w:val="21"/>
                <w:u w:val="single"/>
              </w:rPr>
              <w:t>，建筑面积</w:t>
            </w:r>
            <w:r w:rsidRPr="00435100">
              <w:rPr>
                <w:rFonts w:ascii="Calibri" w:hAnsi="Calibri"/>
                <w:b/>
                <w:color w:val="auto"/>
                <w:szCs w:val="21"/>
                <w:u w:val="single"/>
              </w:rPr>
              <w:t>2150</w:t>
            </w:r>
            <w:r w:rsidRPr="00435100">
              <w:rPr>
                <w:rFonts w:ascii="Calibri" w:hAnsi="Calibri" w:hint="eastAsia"/>
                <w:b/>
                <w:color w:val="auto"/>
                <w:szCs w:val="21"/>
                <w:u w:val="single"/>
              </w:rPr>
              <w:t>m</w:t>
            </w:r>
            <w:r w:rsidRPr="00435100">
              <w:rPr>
                <w:rFonts w:ascii="Calibri" w:hAnsi="Calibri" w:hint="eastAsia"/>
                <w:b/>
                <w:color w:val="auto"/>
                <w:szCs w:val="21"/>
                <w:u w:val="single"/>
                <w:vertAlign w:val="superscript"/>
              </w:rPr>
              <w:t>2</w:t>
            </w:r>
            <w:r w:rsidRPr="00435100">
              <w:rPr>
                <w:rFonts w:ascii="Calibri" w:hAnsi="Calibri" w:hint="eastAsia"/>
                <w:b/>
                <w:color w:val="auto"/>
                <w:szCs w:val="21"/>
                <w:u w:val="single"/>
              </w:rPr>
              <w:t>，</w:t>
            </w:r>
            <w:r w:rsidRPr="00435100">
              <w:rPr>
                <w:rFonts w:ascii="Calibri" w:hAnsi="Calibri"/>
                <w:b/>
                <w:color w:val="auto"/>
                <w:szCs w:val="21"/>
                <w:u w:val="single"/>
              </w:rPr>
              <w:t>高</w:t>
            </w:r>
            <w:r w:rsidRPr="00435100">
              <w:rPr>
                <w:rFonts w:ascii="Calibri" w:hAnsi="Calibri"/>
                <w:b/>
                <w:color w:val="auto"/>
                <w:szCs w:val="21"/>
                <w:u w:val="single"/>
              </w:rPr>
              <w:t>12m</w:t>
            </w:r>
          </w:p>
        </w:tc>
        <w:tc>
          <w:tcPr>
            <w:tcW w:w="1424" w:type="pct"/>
            <w:tcBorders>
              <w:left w:val="single" w:sz="4" w:space="0" w:color="auto"/>
            </w:tcBorders>
            <w:vAlign w:val="center"/>
          </w:tcPr>
          <w:p w14:paraId="77EDCE68" w14:textId="77777777" w:rsidR="009B4F57" w:rsidRPr="00435100" w:rsidRDefault="00623EF2" w:rsidP="001A4912">
            <w:pPr>
              <w:rPr>
                <w:rFonts w:ascii="Calibri" w:hAnsi="Calibri"/>
                <w:b/>
                <w:color w:val="auto"/>
                <w:szCs w:val="21"/>
                <w:u w:val="single"/>
              </w:rPr>
            </w:pPr>
            <w:r w:rsidRPr="00435100">
              <w:rPr>
                <w:rFonts w:ascii="Calibri" w:hAnsi="Calibri" w:hint="eastAsia"/>
                <w:b/>
                <w:color w:val="auto"/>
                <w:szCs w:val="21"/>
                <w:u w:val="single"/>
              </w:rPr>
              <w:t>框架</w:t>
            </w:r>
            <w:r w:rsidRPr="00435100">
              <w:rPr>
                <w:rFonts w:ascii="Calibri" w:hAnsi="Calibri"/>
                <w:b/>
                <w:color w:val="auto"/>
                <w:szCs w:val="21"/>
                <w:u w:val="single"/>
              </w:rPr>
              <w:t>结构</w:t>
            </w:r>
            <w:r w:rsidRPr="00435100">
              <w:rPr>
                <w:rFonts w:ascii="Calibri" w:hAnsi="Calibri" w:hint="eastAsia"/>
                <w:b/>
                <w:color w:val="auto"/>
                <w:szCs w:val="21"/>
                <w:u w:val="single"/>
              </w:rPr>
              <w:t>，</w:t>
            </w:r>
            <w:r w:rsidR="001A4912" w:rsidRPr="00435100">
              <w:rPr>
                <w:rFonts w:ascii="Calibri" w:hAnsi="Calibri" w:hint="eastAsia"/>
                <w:b/>
                <w:color w:val="auto"/>
                <w:szCs w:val="21"/>
                <w:u w:val="single"/>
              </w:rPr>
              <w:t>主要用于</w:t>
            </w:r>
            <w:r w:rsidR="001A4912" w:rsidRPr="00435100">
              <w:rPr>
                <w:rFonts w:ascii="Calibri" w:hAnsi="Calibri"/>
                <w:b/>
                <w:color w:val="auto"/>
                <w:szCs w:val="21"/>
                <w:u w:val="single"/>
              </w:rPr>
              <w:t>是物理性质的检测</w:t>
            </w:r>
            <w:r w:rsidR="001A4912" w:rsidRPr="00435100">
              <w:rPr>
                <w:rFonts w:ascii="Calibri" w:hAnsi="Calibri" w:hint="eastAsia"/>
                <w:b/>
                <w:color w:val="auto"/>
                <w:szCs w:val="21"/>
                <w:u w:val="single"/>
              </w:rPr>
              <w:t>实验</w:t>
            </w:r>
            <w:r w:rsidR="009B4F57" w:rsidRPr="00435100">
              <w:rPr>
                <w:rFonts w:ascii="Calibri" w:hAnsi="Calibri" w:hint="eastAsia"/>
                <w:b/>
                <w:color w:val="auto"/>
                <w:szCs w:val="21"/>
                <w:u w:val="single"/>
              </w:rPr>
              <w:t>及</w:t>
            </w:r>
            <w:r w:rsidR="009B4F57" w:rsidRPr="00435100">
              <w:rPr>
                <w:rFonts w:ascii="Calibri" w:hAnsi="Calibri"/>
                <w:b/>
                <w:color w:val="auto"/>
                <w:szCs w:val="21"/>
                <w:u w:val="single"/>
              </w:rPr>
              <w:t>职工食堂</w:t>
            </w:r>
            <w:r w:rsidR="009B4F57" w:rsidRPr="00435100">
              <w:rPr>
                <w:rFonts w:ascii="Calibri" w:hAnsi="Calibri" w:hint="eastAsia"/>
                <w:b/>
                <w:color w:val="auto"/>
                <w:szCs w:val="21"/>
                <w:u w:val="single"/>
              </w:rPr>
              <w:t xml:space="preserve"> </w:t>
            </w:r>
          </w:p>
        </w:tc>
      </w:tr>
      <w:tr w:rsidR="009B4F57" w:rsidRPr="00A964FF" w14:paraId="77E4D974" w14:textId="77777777" w:rsidTr="00CE7A1F">
        <w:trPr>
          <w:trHeight w:val="369"/>
          <w:jc w:val="center"/>
        </w:trPr>
        <w:tc>
          <w:tcPr>
            <w:tcW w:w="535" w:type="pct"/>
            <w:gridSpan w:val="2"/>
            <w:vMerge/>
            <w:vAlign w:val="center"/>
          </w:tcPr>
          <w:p w14:paraId="1D7A0B93" w14:textId="77777777" w:rsidR="009B4F57" w:rsidRPr="00A964FF" w:rsidRDefault="009B4F57" w:rsidP="004554C2">
            <w:pPr>
              <w:jc w:val="center"/>
              <w:rPr>
                <w:rFonts w:ascii="Calibri" w:hAnsi="Calibri"/>
                <w:color w:val="auto"/>
                <w:szCs w:val="21"/>
              </w:rPr>
            </w:pPr>
          </w:p>
        </w:tc>
        <w:tc>
          <w:tcPr>
            <w:tcW w:w="923" w:type="pct"/>
            <w:vAlign w:val="center"/>
          </w:tcPr>
          <w:p w14:paraId="6E1ACD5B" w14:textId="77777777" w:rsidR="009B4F57" w:rsidRPr="00435100" w:rsidRDefault="001D3D21" w:rsidP="00F278CC">
            <w:pPr>
              <w:widowControl/>
              <w:jc w:val="center"/>
              <w:rPr>
                <w:rFonts w:ascii="Calibri" w:hAnsi="Calibri"/>
                <w:b/>
                <w:color w:val="auto"/>
                <w:szCs w:val="21"/>
                <w:u w:val="single"/>
              </w:rPr>
            </w:pPr>
            <w:r w:rsidRPr="00435100">
              <w:rPr>
                <w:rFonts w:ascii="Calibri" w:hAnsi="Calibri" w:hint="eastAsia"/>
                <w:b/>
                <w:color w:val="auto"/>
                <w:szCs w:val="21"/>
                <w:u w:val="single"/>
              </w:rPr>
              <w:t>品控中心</w:t>
            </w:r>
          </w:p>
        </w:tc>
        <w:tc>
          <w:tcPr>
            <w:tcW w:w="2118" w:type="pct"/>
            <w:tcBorders>
              <w:right w:val="single" w:sz="4" w:space="0" w:color="auto"/>
            </w:tcBorders>
            <w:vAlign w:val="center"/>
          </w:tcPr>
          <w:p w14:paraId="15451CCA" w14:textId="77777777" w:rsidR="009B4F57" w:rsidRPr="00435100" w:rsidRDefault="009B4F57" w:rsidP="00F7756F">
            <w:pPr>
              <w:jc w:val="center"/>
              <w:rPr>
                <w:rFonts w:ascii="Calibri" w:hAnsi="Calibri"/>
                <w:b/>
                <w:color w:val="auto"/>
                <w:szCs w:val="21"/>
                <w:u w:val="single"/>
              </w:rPr>
            </w:pPr>
            <w:r w:rsidRPr="00435100">
              <w:rPr>
                <w:rFonts w:ascii="Calibri" w:hAnsi="Calibri" w:hint="eastAsia"/>
                <w:b/>
                <w:color w:val="auto"/>
                <w:szCs w:val="21"/>
                <w:u w:val="single"/>
              </w:rPr>
              <w:t>1</w:t>
            </w:r>
            <w:r w:rsidRPr="00435100">
              <w:rPr>
                <w:rFonts w:ascii="Calibri" w:hAnsi="Calibri" w:hint="eastAsia"/>
                <w:b/>
                <w:color w:val="auto"/>
                <w:szCs w:val="21"/>
                <w:u w:val="single"/>
              </w:rPr>
              <w:t>栋，</w:t>
            </w:r>
            <w:r w:rsidR="00F7756F" w:rsidRPr="00435100">
              <w:rPr>
                <w:rFonts w:ascii="Calibri" w:hAnsi="Calibri"/>
                <w:b/>
                <w:color w:val="auto"/>
                <w:szCs w:val="21"/>
                <w:u w:val="single"/>
              </w:rPr>
              <w:t>4</w:t>
            </w:r>
            <w:r w:rsidRPr="00435100">
              <w:rPr>
                <w:rFonts w:ascii="Calibri" w:hAnsi="Calibri" w:hint="eastAsia"/>
                <w:b/>
                <w:color w:val="auto"/>
                <w:szCs w:val="21"/>
                <w:u w:val="single"/>
              </w:rPr>
              <w:t>F</w:t>
            </w:r>
            <w:r w:rsidRPr="00435100">
              <w:rPr>
                <w:rFonts w:ascii="Calibri" w:hAnsi="Calibri" w:hint="eastAsia"/>
                <w:b/>
                <w:color w:val="auto"/>
                <w:szCs w:val="21"/>
                <w:u w:val="single"/>
              </w:rPr>
              <w:t>，建筑面积</w:t>
            </w:r>
            <w:r w:rsidRPr="00435100">
              <w:rPr>
                <w:rFonts w:ascii="Calibri" w:hAnsi="Calibri"/>
                <w:b/>
                <w:color w:val="auto"/>
                <w:szCs w:val="21"/>
                <w:u w:val="single"/>
              </w:rPr>
              <w:t>4495</w:t>
            </w:r>
            <w:r w:rsidRPr="00435100">
              <w:rPr>
                <w:rFonts w:ascii="Calibri" w:hAnsi="Calibri" w:hint="eastAsia"/>
                <w:b/>
                <w:color w:val="auto"/>
                <w:szCs w:val="21"/>
                <w:u w:val="single"/>
              </w:rPr>
              <w:t>m</w:t>
            </w:r>
            <w:r w:rsidRPr="00435100">
              <w:rPr>
                <w:rFonts w:ascii="Calibri" w:hAnsi="Calibri" w:hint="eastAsia"/>
                <w:b/>
                <w:color w:val="auto"/>
                <w:szCs w:val="21"/>
                <w:u w:val="single"/>
                <w:vertAlign w:val="superscript"/>
              </w:rPr>
              <w:t>2</w:t>
            </w:r>
            <w:r w:rsidRPr="00435100">
              <w:rPr>
                <w:rFonts w:ascii="Calibri" w:hAnsi="Calibri" w:hint="eastAsia"/>
                <w:b/>
                <w:color w:val="auto"/>
                <w:szCs w:val="21"/>
                <w:u w:val="single"/>
              </w:rPr>
              <w:t>，</w:t>
            </w:r>
            <w:r w:rsidRPr="00435100">
              <w:rPr>
                <w:rFonts w:ascii="Calibri" w:hAnsi="Calibri"/>
                <w:b/>
                <w:color w:val="auto"/>
                <w:szCs w:val="21"/>
                <w:u w:val="single"/>
              </w:rPr>
              <w:t>高</w:t>
            </w:r>
            <w:r w:rsidRPr="00435100">
              <w:rPr>
                <w:rFonts w:ascii="Calibri" w:hAnsi="Calibri"/>
                <w:b/>
                <w:color w:val="auto"/>
                <w:szCs w:val="21"/>
                <w:u w:val="single"/>
              </w:rPr>
              <w:t>1</w:t>
            </w:r>
            <w:r w:rsidR="00F7756F" w:rsidRPr="00435100">
              <w:rPr>
                <w:rFonts w:ascii="Calibri" w:hAnsi="Calibri"/>
                <w:b/>
                <w:color w:val="auto"/>
                <w:szCs w:val="21"/>
                <w:u w:val="single"/>
              </w:rPr>
              <w:t>8</w:t>
            </w:r>
            <w:r w:rsidRPr="00435100">
              <w:rPr>
                <w:rFonts w:ascii="Calibri" w:hAnsi="Calibri"/>
                <w:b/>
                <w:color w:val="auto"/>
                <w:szCs w:val="21"/>
                <w:u w:val="single"/>
              </w:rPr>
              <w:t>m</w:t>
            </w:r>
          </w:p>
        </w:tc>
        <w:tc>
          <w:tcPr>
            <w:tcW w:w="1424" w:type="pct"/>
            <w:tcBorders>
              <w:left w:val="single" w:sz="4" w:space="0" w:color="auto"/>
            </w:tcBorders>
            <w:vAlign w:val="center"/>
          </w:tcPr>
          <w:p w14:paraId="176E2742" w14:textId="77777777" w:rsidR="009B4F57" w:rsidRPr="00435100" w:rsidRDefault="00623EF2" w:rsidP="00623EF2">
            <w:pPr>
              <w:rPr>
                <w:rFonts w:ascii="Calibri" w:hAnsi="Calibri"/>
                <w:b/>
                <w:color w:val="auto"/>
                <w:szCs w:val="21"/>
                <w:u w:val="single"/>
              </w:rPr>
            </w:pPr>
            <w:r w:rsidRPr="00435100">
              <w:rPr>
                <w:rFonts w:ascii="Calibri" w:hAnsi="Calibri" w:hint="eastAsia"/>
                <w:b/>
                <w:color w:val="auto"/>
                <w:szCs w:val="21"/>
                <w:u w:val="single"/>
              </w:rPr>
              <w:t>框架</w:t>
            </w:r>
            <w:r w:rsidRPr="00435100">
              <w:rPr>
                <w:rFonts w:ascii="Calibri" w:hAnsi="Calibri"/>
                <w:b/>
                <w:color w:val="auto"/>
                <w:szCs w:val="21"/>
                <w:u w:val="single"/>
              </w:rPr>
              <w:t>结构</w:t>
            </w:r>
            <w:r w:rsidRPr="00435100">
              <w:rPr>
                <w:rFonts w:ascii="Calibri" w:hAnsi="Calibri" w:hint="eastAsia"/>
                <w:b/>
                <w:color w:val="auto"/>
                <w:szCs w:val="21"/>
                <w:u w:val="single"/>
              </w:rPr>
              <w:t>，</w:t>
            </w:r>
            <w:r w:rsidR="001D3D21" w:rsidRPr="00435100">
              <w:rPr>
                <w:rFonts w:ascii="Calibri" w:hAnsi="Calibri" w:hint="eastAsia"/>
                <w:b/>
                <w:color w:val="auto"/>
                <w:szCs w:val="21"/>
                <w:u w:val="single"/>
              </w:rPr>
              <w:t>用于从原料、生产加工、产品制成、成品检测到成品入库质量控制</w:t>
            </w:r>
          </w:p>
        </w:tc>
      </w:tr>
      <w:tr w:rsidR="009B4F57" w:rsidRPr="00A964FF" w14:paraId="4FB7B6E0" w14:textId="77777777" w:rsidTr="00CE7A1F">
        <w:trPr>
          <w:trHeight w:val="369"/>
          <w:jc w:val="center"/>
        </w:trPr>
        <w:tc>
          <w:tcPr>
            <w:tcW w:w="535" w:type="pct"/>
            <w:gridSpan w:val="2"/>
            <w:vMerge/>
            <w:vAlign w:val="center"/>
          </w:tcPr>
          <w:p w14:paraId="2177261D" w14:textId="77777777" w:rsidR="009B4F57" w:rsidRPr="00A964FF" w:rsidRDefault="009B4F57" w:rsidP="004554C2">
            <w:pPr>
              <w:jc w:val="center"/>
              <w:rPr>
                <w:rFonts w:ascii="Calibri" w:hAnsi="Calibri"/>
                <w:color w:val="auto"/>
                <w:szCs w:val="21"/>
              </w:rPr>
            </w:pPr>
          </w:p>
        </w:tc>
        <w:tc>
          <w:tcPr>
            <w:tcW w:w="923" w:type="pct"/>
            <w:vAlign w:val="center"/>
          </w:tcPr>
          <w:p w14:paraId="72FDDA75" w14:textId="77777777" w:rsidR="009B4F57" w:rsidRPr="00435100" w:rsidRDefault="009B4F57" w:rsidP="00F7756F">
            <w:pPr>
              <w:widowControl/>
              <w:jc w:val="center"/>
              <w:rPr>
                <w:rFonts w:ascii="Calibri" w:hAnsi="Calibri"/>
                <w:b/>
                <w:color w:val="auto"/>
                <w:szCs w:val="21"/>
                <w:u w:val="single"/>
              </w:rPr>
            </w:pPr>
            <w:r w:rsidRPr="00435100">
              <w:rPr>
                <w:rFonts w:ascii="Calibri" w:hAnsi="Calibri" w:hint="eastAsia"/>
                <w:b/>
                <w:color w:val="auto"/>
                <w:szCs w:val="21"/>
                <w:u w:val="single"/>
              </w:rPr>
              <w:t>门卫</w:t>
            </w:r>
            <w:r w:rsidR="00F7756F" w:rsidRPr="00435100">
              <w:rPr>
                <w:rFonts w:ascii="Calibri" w:hAnsi="Calibri" w:hint="eastAsia"/>
                <w:b/>
                <w:color w:val="auto"/>
                <w:szCs w:val="21"/>
                <w:u w:val="single"/>
              </w:rPr>
              <w:t>室</w:t>
            </w:r>
          </w:p>
        </w:tc>
        <w:tc>
          <w:tcPr>
            <w:tcW w:w="2118" w:type="pct"/>
            <w:tcBorders>
              <w:right w:val="single" w:sz="4" w:space="0" w:color="auto"/>
            </w:tcBorders>
            <w:vAlign w:val="center"/>
          </w:tcPr>
          <w:p w14:paraId="0FB2B5FD" w14:textId="77777777" w:rsidR="009B4F57" w:rsidRPr="00435100" w:rsidRDefault="00F7756F" w:rsidP="00F7756F">
            <w:pPr>
              <w:rPr>
                <w:rFonts w:ascii="Calibri" w:hAnsi="Calibri"/>
                <w:b/>
                <w:color w:val="auto"/>
                <w:szCs w:val="21"/>
                <w:u w:val="single"/>
              </w:rPr>
            </w:pPr>
            <w:r w:rsidRPr="00435100">
              <w:rPr>
                <w:rFonts w:ascii="Calibri" w:hAnsi="Calibri" w:hint="eastAsia"/>
                <w:b/>
                <w:color w:val="auto"/>
                <w:szCs w:val="21"/>
                <w:u w:val="single"/>
              </w:rPr>
              <w:t>2</w:t>
            </w:r>
            <w:r w:rsidRPr="00435100">
              <w:rPr>
                <w:rFonts w:ascii="Calibri" w:hAnsi="Calibri" w:hint="eastAsia"/>
                <w:b/>
                <w:color w:val="auto"/>
                <w:szCs w:val="21"/>
                <w:u w:val="single"/>
              </w:rPr>
              <w:t>座</w:t>
            </w:r>
            <w:r w:rsidRPr="00435100">
              <w:rPr>
                <w:rFonts w:ascii="Calibri" w:hAnsi="Calibri"/>
                <w:b/>
                <w:color w:val="auto"/>
                <w:szCs w:val="21"/>
                <w:u w:val="single"/>
              </w:rPr>
              <w:t>，</w:t>
            </w:r>
            <w:r w:rsidRPr="00435100">
              <w:rPr>
                <w:rFonts w:ascii="Calibri" w:hAnsi="Calibri" w:hint="eastAsia"/>
                <w:b/>
                <w:color w:val="auto"/>
                <w:szCs w:val="21"/>
                <w:u w:val="single"/>
              </w:rPr>
              <w:t>每座门卫室</w:t>
            </w:r>
            <w:r w:rsidRPr="00435100">
              <w:rPr>
                <w:rFonts w:ascii="Calibri" w:hAnsi="Calibri" w:hint="eastAsia"/>
                <w:b/>
                <w:color w:val="auto"/>
                <w:szCs w:val="21"/>
                <w:u w:val="single"/>
              </w:rPr>
              <w:t>35</w:t>
            </w:r>
            <w:r w:rsidRPr="00435100">
              <w:rPr>
                <w:rFonts w:ascii="Calibri" w:hAnsi="Calibri"/>
                <w:b/>
                <w:color w:val="auto"/>
                <w:szCs w:val="21"/>
                <w:u w:val="single"/>
              </w:rPr>
              <w:t>m</w:t>
            </w:r>
            <w:r w:rsidRPr="00435100">
              <w:rPr>
                <w:rFonts w:ascii="Calibri" w:hAnsi="Calibri"/>
                <w:b/>
                <w:color w:val="auto"/>
                <w:szCs w:val="21"/>
                <w:u w:val="single"/>
                <w:vertAlign w:val="superscript"/>
              </w:rPr>
              <w:t>2</w:t>
            </w:r>
            <w:r w:rsidRPr="00435100">
              <w:rPr>
                <w:rFonts w:ascii="Calibri" w:hAnsi="Calibri" w:hint="eastAsia"/>
                <w:b/>
                <w:color w:val="auto"/>
                <w:szCs w:val="21"/>
                <w:u w:val="single"/>
              </w:rPr>
              <w:t>，</w:t>
            </w:r>
            <w:r w:rsidRPr="00435100">
              <w:rPr>
                <w:rFonts w:ascii="Calibri" w:hAnsi="Calibri"/>
                <w:b/>
                <w:color w:val="auto"/>
                <w:szCs w:val="21"/>
                <w:u w:val="single"/>
              </w:rPr>
              <w:t>总</w:t>
            </w:r>
            <w:r w:rsidR="009B4F57" w:rsidRPr="00435100">
              <w:rPr>
                <w:rFonts w:ascii="Calibri" w:hAnsi="Calibri" w:hint="eastAsia"/>
                <w:b/>
                <w:color w:val="auto"/>
                <w:szCs w:val="21"/>
                <w:u w:val="single"/>
              </w:rPr>
              <w:t>建筑面积</w:t>
            </w:r>
            <w:r w:rsidRPr="00435100">
              <w:rPr>
                <w:rFonts w:ascii="Calibri" w:hAnsi="Calibri"/>
                <w:b/>
                <w:color w:val="auto"/>
                <w:szCs w:val="21"/>
                <w:u w:val="single"/>
              </w:rPr>
              <w:t>70</w:t>
            </w:r>
            <w:r w:rsidR="009B4F57" w:rsidRPr="00435100">
              <w:rPr>
                <w:rFonts w:ascii="Calibri" w:hAnsi="Calibri" w:hint="eastAsia"/>
                <w:b/>
                <w:color w:val="auto"/>
                <w:szCs w:val="21"/>
                <w:u w:val="single"/>
              </w:rPr>
              <w:t>m</w:t>
            </w:r>
            <w:r w:rsidR="009B4F57" w:rsidRPr="00435100">
              <w:rPr>
                <w:rFonts w:ascii="Calibri" w:hAnsi="Calibri" w:hint="eastAsia"/>
                <w:b/>
                <w:color w:val="auto"/>
                <w:szCs w:val="21"/>
                <w:u w:val="single"/>
                <w:vertAlign w:val="superscript"/>
              </w:rPr>
              <w:t>2</w:t>
            </w:r>
          </w:p>
        </w:tc>
        <w:tc>
          <w:tcPr>
            <w:tcW w:w="1424" w:type="pct"/>
            <w:tcBorders>
              <w:left w:val="single" w:sz="4" w:space="0" w:color="auto"/>
            </w:tcBorders>
            <w:vAlign w:val="center"/>
          </w:tcPr>
          <w:p w14:paraId="55FC6B92" w14:textId="77777777" w:rsidR="009B4F57" w:rsidRPr="00435100" w:rsidRDefault="00623EF2" w:rsidP="00F7756F">
            <w:pPr>
              <w:jc w:val="center"/>
              <w:rPr>
                <w:rFonts w:ascii="Calibri" w:hAnsi="Calibri"/>
                <w:b/>
                <w:color w:val="auto"/>
                <w:szCs w:val="21"/>
                <w:u w:val="single"/>
              </w:rPr>
            </w:pPr>
            <w:r w:rsidRPr="00435100">
              <w:rPr>
                <w:rFonts w:ascii="Calibri" w:hAnsi="Calibri" w:hint="eastAsia"/>
                <w:b/>
                <w:color w:val="auto"/>
                <w:szCs w:val="21"/>
                <w:u w:val="single"/>
              </w:rPr>
              <w:t>砖混</w:t>
            </w:r>
            <w:r w:rsidRPr="00435100">
              <w:rPr>
                <w:rFonts w:ascii="Calibri" w:hAnsi="Calibri"/>
                <w:b/>
                <w:color w:val="auto"/>
                <w:szCs w:val="21"/>
                <w:u w:val="single"/>
              </w:rPr>
              <w:t>结构</w:t>
            </w:r>
            <w:r w:rsidRPr="00435100">
              <w:rPr>
                <w:rFonts w:ascii="Calibri" w:hAnsi="Calibri" w:hint="eastAsia"/>
                <w:b/>
                <w:color w:val="auto"/>
                <w:szCs w:val="21"/>
                <w:u w:val="single"/>
              </w:rPr>
              <w:t>，</w:t>
            </w:r>
            <w:r w:rsidR="00F7756F" w:rsidRPr="00435100">
              <w:rPr>
                <w:rFonts w:ascii="Calibri" w:hAnsi="Calibri" w:hint="eastAsia"/>
                <w:b/>
                <w:color w:val="auto"/>
                <w:szCs w:val="21"/>
                <w:u w:val="single"/>
              </w:rPr>
              <w:t>项目东厂界</w:t>
            </w:r>
            <w:r w:rsidR="00F7756F" w:rsidRPr="00435100">
              <w:rPr>
                <w:rFonts w:ascii="Calibri" w:hAnsi="Calibri"/>
                <w:b/>
                <w:color w:val="auto"/>
                <w:szCs w:val="21"/>
                <w:u w:val="single"/>
              </w:rPr>
              <w:t>南北各</w:t>
            </w:r>
            <w:r w:rsidR="00F7756F" w:rsidRPr="00435100">
              <w:rPr>
                <w:rFonts w:ascii="Calibri" w:hAnsi="Calibri" w:hint="eastAsia"/>
                <w:b/>
                <w:color w:val="auto"/>
                <w:szCs w:val="21"/>
                <w:u w:val="single"/>
              </w:rPr>
              <w:t>设置一座门卫室</w:t>
            </w:r>
          </w:p>
        </w:tc>
      </w:tr>
      <w:tr w:rsidR="00870431" w:rsidRPr="00A964FF" w14:paraId="700B5AFE" w14:textId="77777777" w:rsidTr="00CE7A1F">
        <w:trPr>
          <w:trHeight w:val="369"/>
          <w:jc w:val="center"/>
        </w:trPr>
        <w:tc>
          <w:tcPr>
            <w:tcW w:w="535" w:type="pct"/>
            <w:gridSpan w:val="2"/>
            <w:vMerge w:val="restart"/>
            <w:vAlign w:val="center"/>
          </w:tcPr>
          <w:p w14:paraId="55EF8C5C" w14:textId="77777777" w:rsidR="00870431" w:rsidRPr="00A964FF" w:rsidRDefault="00870431" w:rsidP="004554C2">
            <w:pPr>
              <w:jc w:val="center"/>
              <w:rPr>
                <w:rFonts w:ascii="Calibri" w:hAnsi="Calibri"/>
                <w:color w:val="auto"/>
                <w:szCs w:val="21"/>
              </w:rPr>
            </w:pPr>
            <w:r w:rsidRPr="00A964FF">
              <w:rPr>
                <w:rFonts w:ascii="Calibri" w:hAnsi="Calibri"/>
                <w:color w:val="auto"/>
                <w:szCs w:val="21"/>
              </w:rPr>
              <w:t>公用</w:t>
            </w:r>
          </w:p>
          <w:p w14:paraId="61E88F38" w14:textId="77777777" w:rsidR="00870431" w:rsidRPr="00A964FF" w:rsidRDefault="00870431" w:rsidP="004554C2">
            <w:pPr>
              <w:jc w:val="center"/>
              <w:rPr>
                <w:rFonts w:ascii="Calibri" w:hAnsi="Calibri"/>
                <w:color w:val="auto"/>
                <w:szCs w:val="21"/>
              </w:rPr>
            </w:pPr>
            <w:r w:rsidRPr="00A964FF">
              <w:rPr>
                <w:rFonts w:ascii="Calibri" w:hAnsi="Calibri"/>
                <w:color w:val="auto"/>
                <w:szCs w:val="21"/>
              </w:rPr>
              <w:t>工程</w:t>
            </w:r>
          </w:p>
        </w:tc>
        <w:tc>
          <w:tcPr>
            <w:tcW w:w="923" w:type="pct"/>
            <w:vAlign w:val="center"/>
          </w:tcPr>
          <w:p w14:paraId="31CB4377" w14:textId="77777777" w:rsidR="00870431" w:rsidRPr="00A964FF" w:rsidRDefault="00870431" w:rsidP="004554C2">
            <w:pPr>
              <w:widowControl/>
              <w:jc w:val="center"/>
              <w:rPr>
                <w:rFonts w:ascii="Calibri" w:hAnsi="Calibri"/>
                <w:color w:val="auto"/>
                <w:kern w:val="0"/>
                <w:szCs w:val="21"/>
              </w:rPr>
            </w:pPr>
            <w:r w:rsidRPr="00A964FF">
              <w:rPr>
                <w:rFonts w:ascii="Calibri" w:hAnsi="Calibri"/>
                <w:color w:val="auto"/>
                <w:kern w:val="0"/>
                <w:szCs w:val="21"/>
              </w:rPr>
              <w:t>给水系统</w:t>
            </w:r>
          </w:p>
        </w:tc>
        <w:tc>
          <w:tcPr>
            <w:tcW w:w="2118" w:type="pct"/>
            <w:tcBorders>
              <w:right w:val="single" w:sz="4" w:space="0" w:color="auto"/>
            </w:tcBorders>
            <w:vAlign w:val="center"/>
          </w:tcPr>
          <w:p w14:paraId="5DE80A30" w14:textId="77777777" w:rsidR="00870431" w:rsidRPr="00A964FF" w:rsidRDefault="00870431" w:rsidP="004554C2">
            <w:pPr>
              <w:jc w:val="center"/>
              <w:rPr>
                <w:rFonts w:ascii="Calibri" w:hAnsi="Calibri"/>
                <w:color w:val="auto"/>
                <w:szCs w:val="21"/>
              </w:rPr>
            </w:pPr>
            <w:r w:rsidRPr="00A964FF">
              <w:rPr>
                <w:rFonts w:ascii="Calibri" w:hAnsi="Calibri"/>
                <w:color w:val="auto"/>
                <w:szCs w:val="21"/>
              </w:rPr>
              <w:t>接集聚区市政供水管网</w:t>
            </w:r>
          </w:p>
        </w:tc>
        <w:tc>
          <w:tcPr>
            <w:tcW w:w="1424" w:type="pct"/>
            <w:tcBorders>
              <w:left w:val="single" w:sz="4" w:space="0" w:color="auto"/>
            </w:tcBorders>
            <w:vAlign w:val="center"/>
          </w:tcPr>
          <w:p w14:paraId="29DBCB1A" w14:textId="77777777" w:rsidR="00870431" w:rsidRPr="00A964FF" w:rsidRDefault="00870431" w:rsidP="004554C2">
            <w:pPr>
              <w:jc w:val="center"/>
              <w:rPr>
                <w:rFonts w:ascii="Calibri" w:hAnsi="Calibri"/>
                <w:color w:val="auto"/>
                <w:szCs w:val="21"/>
              </w:rPr>
            </w:pPr>
            <w:r w:rsidRPr="00A964FF">
              <w:rPr>
                <w:rFonts w:ascii="Calibri" w:hAnsi="Calibri"/>
                <w:color w:val="auto"/>
                <w:szCs w:val="21"/>
              </w:rPr>
              <w:t>/</w:t>
            </w:r>
          </w:p>
        </w:tc>
      </w:tr>
      <w:tr w:rsidR="00870431" w:rsidRPr="00A964FF" w14:paraId="24C91BE6" w14:textId="77777777" w:rsidTr="00CE7A1F">
        <w:trPr>
          <w:trHeight w:val="369"/>
          <w:jc w:val="center"/>
        </w:trPr>
        <w:tc>
          <w:tcPr>
            <w:tcW w:w="535" w:type="pct"/>
            <w:gridSpan w:val="2"/>
            <w:vMerge/>
            <w:vAlign w:val="center"/>
          </w:tcPr>
          <w:p w14:paraId="7EAEA51A" w14:textId="77777777" w:rsidR="00870431" w:rsidRPr="00A964FF" w:rsidRDefault="00870431" w:rsidP="004554C2">
            <w:pPr>
              <w:jc w:val="center"/>
              <w:rPr>
                <w:rFonts w:ascii="Calibri" w:hAnsi="Calibri"/>
                <w:color w:val="auto"/>
                <w:szCs w:val="21"/>
              </w:rPr>
            </w:pPr>
          </w:p>
        </w:tc>
        <w:tc>
          <w:tcPr>
            <w:tcW w:w="923" w:type="pct"/>
            <w:vAlign w:val="center"/>
          </w:tcPr>
          <w:p w14:paraId="0D00C6C4" w14:textId="77777777" w:rsidR="00870431" w:rsidRPr="00A964FF" w:rsidRDefault="00870431" w:rsidP="004554C2">
            <w:pPr>
              <w:widowControl/>
              <w:jc w:val="center"/>
              <w:rPr>
                <w:rFonts w:ascii="Calibri" w:hAnsi="Calibri"/>
                <w:color w:val="auto"/>
                <w:kern w:val="0"/>
                <w:szCs w:val="21"/>
              </w:rPr>
            </w:pPr>
            <w:r w:rsidRPr="00A964FF">
              <w:rPr>
                <w:rFonts w:ascii="Calibri" w:hAnsi="Calibri"/>
                <w:color w:val="auto"/>
                <w:kern w:val="0"/>
                <w:szCs w:val="21"/>
              </w:rPr>
              <w:t>排水系统</w:t>
            </w:r>
          </w:p>
        </w:tc>
        <w:tc>
          <w:tcPr>
            <w:tcW w:w="2118" w:type="pct"/>
            <w:tcBorders>
              <w:right w:val="single" w:sz="4" w:space="0" w:color="auto"/>
            </w:tcBorders>
            <w:vAlign w:val="center"/>
          </w:tcPr>
          <w:p w14:paraId="71D60B77" w14:textId="77777777" w:rsidR="00870431" w:rsidRPr="00A964FF" w:rsidRDefault="00870431" w:rsidP="004554C2">
            <w:pPr>
              <w:jc w:val="center"/>
              <w:rPr>
                <w:rFonts w:ascii="Calibri" w:hAnsi="Calibri"/>
                <w:color w:val="auto"/>
                <w:szCs w:val="21"/>
              </w:rPr>
            </w:pPr>
            <w:r w:rsidRPr="00A964FF">
              <w:rPr>
                <w:rFonts w:ascii="Calibri" w:hAnsi="Calibri"/>
                <w:color w:val="auto"/>
                <w:szCs w:val="21"/>
              </w:rPr>
              <w:t>雨污分流，雨水、污水分别与集聚区雨水管网、污水管网对接</w:t>
            </w:r>
          </w:p>
        </w:tc>
        <w:tc>
          <w:tcPr>
            <w:tcW w:w="1424" w:type="pct"/>
            <w:tcBorders>
              <w:left w:val="single" w:sz="4" w:space="0" w:color="auto"/>
            </w:tcBorders>
            <w:vAlign w:val="center"/>
          </w:tcPr>
          <w:p w14:paraId="3B82D243" w14:textId="77777777" w:rsidR="00870431" w:rsidRPr="00A964FF" w:rsidRDefault="00870431" w:rsidP="004554C2">
            <w:pPr>
              <w:jc w:val="center"/>
              <w:rPr>
                <w:rFonts w:ascii="Calibri" w:hAnsi="Calibri"/>
                <w:color w:val="auto"/>
                <w:szCs w:val="21"/>
              </w:rPr>
            </w:pPr>
            <w:r w:rsidRPr="00A964FF">
              <w:rPr>
                <w:rFonts w:ascii="Calibri" w:hAnsi="Calibri"/>
                <w:color w:val="auto"/>
                <w:szCs w:val="21"/>
              </w:rPr>
              <w:t>/</w:t>
            </w:r>
          </w:p>
        </w:tc>
      </w:tr>
      <w:tr w:rsidR="00870431" w:rsidRPr="00A964FF" w14:paraId="3951B86B" w14:textId="77777777" w:rsidTr="00CE7A1F">
        <w:trPr>
          <w:trHeight w:val="369"/>
          <w:jc w:val="center"/>
        </w:trPr>
        <w:tc>
          <w:tcPr>
            <w:tcW w:w="535" w:type="pct"/>
            <w:gridSpan w:val="2"/>
            <w:vMerge/>
            <w:vAlign w:val="center"/>
          </w:tcPr>
          <w:p w14:paraId="52400BF0" w14:textId="77777777" w:rsidR="00870431" w:rsidRPr="00A964FF" w:rsidRDefault="00870431" w:rsidP="004554C2">
            <w:pPr>
              <w:jc w:val="center"/>
              <w:rPr>
                <w:rFonts w:ascii="Calibri" w:hAnsi="Calibri"/>
                <w:color w:val="auto"/>
                <w:szCs w:val="21"/>
              </w:rPr>
            </w:pPr>
          </w:p>
        </w:tc>
        <w:tc>
          <w:tcPr>
            <w:tcW w:w="923" w:type="pct"/>
            <w:vAlign w:val="center"/>
          </w:tcPr>
          <w:p w14:paraId="7E16D7AA" w14:textId="77777777" w:rsidR="00870431" w:rsidRPr="00A964FF" w:rsidRDefault="00870431" w:rsidP="004554C2">
            <w:pPr>
              <w:widowControl/>
              <w:jc w:val="center"/>
              <w:rPr>
                <w:rFonts w:ascii="Calibri" w:hAnsi="Calibri"/>
                <w:color w:val="auto"/>
                <w:kern w:val="0"/>
                <w:szCs w:val="21"/>
              </w:rPr>
            </w:pPr>
            <w:r w:rsidRPr="00A964FF">
              <w:rPr>
                <w:rFonts w:ascii="Calibri" w:hAnsi="Calibri"/>
                <w:color w:val="auto"/>
                <w:kern w:val="0"/>
                <w:szCs w:val="21"/>
              </w:rPr>
              <w:t>供电系统</w:t>
            </w:r>
          </w:p>
        </w:tc>
        <w:tc>
          <w:tcPr>
            <w:tcW w:w="2118" w:type="pct"/>
            <w:tcBorders>
              <w:right w:val="single" w:sz="4" w:space="0" w:color="auto"/>
            </w:tcBorders>
            <w:vAlign w:val="center"/>
          </w:tcPr>
          <w:p w14:paraId="4D5CA106" w14:textId="77777777" w:rsidR="00870431" w:rsidRPr="00A964FF" w:rsidRDefault="00870431" w:rsidP="004554C2">
            <w:pPr>
              <w:jc w:val="center"/>
              <w:rPr>
                <w:rFonts w:ascii="Calibri" w:hAnsi="Calibri"/>
                <w:color w:val="auto"/>
                <w:szCs w:val="21"/>
              </w:rPr>
            </w:pPr>
            <w:r w:rsidRPr="00A964FF">
              <w:rPr>
                <w:rFonts w:ascii="Calibri" w:hAnsi="Calibri"/>
                <w:color w:val="auto"/>
                <w:szCs w:val="21"/>
              </w:rPr>
              <w:t>接集聚区市政供电电网</w:t>
            </w:r>
          </w:p>
        </w:tc>
        <w:tc>
          <w:tcPr>
            <w:tcW w:w="1424" w:type="pct"/>
            <w:tcBorders>
              <w:left w:val="single" w:sz="4" w:space="0" w:color="auto"/>
            </w:tcBorders>
            <w:vAlign w:val="center"/>
          </w:tcPr>
          <w:p w14:paraId="759A3E37" w14:textId="77777777" w:rsidR="00870431" w:rsidRPr="00A964FF" w:rsidRDefault="00870431" w:rsidP="004554C2">
            <w:pPr>
              <w:jc w:val="center"/>
              <w:rPr>
                <w:rFonts w:ascii="Calibri" w:hAnsi="Calibri"/>
                <w:color w:val="auto"/>
                <w:szCs w:val="21"/>
              </w:rPr>
            </w:pPr>
            <w:r w:rsidRPr="00A964FF">
              <w:rPr>
                <w:rFonts w:ascii="Calibri" w:hAnsi="Calibri" w:hint="eastAsia"/>
                <w:color w:val="auto"/>
                <w:szCs w:val="21"/>
              </w:rPr>
              <w:t>/</w:t>
            </w:r>
          </w:p>
        </w:tc>
      </w:tr>
      <w:tr w:rsidR="00870431" w:rsidRPr="00A964FF" w14:paraId="29B30E66" w14:textId="77777777" w:rsidTr="00CE7A1F">
        <w:trPr>
          <w:trHeight w:val="369"/>
          <w:jc w:val="center"/>
        </w:trPr>
        <w:tc>
          <w:tcPr>
            <w:tcW w:w="535" w:type="pct"/>
            <w:gridSpan w:val="2"/>
            <w:vAlign w:val="center"/>
          </w:tcPr>
          <w:p w14:paraId="0F1CC534" w14:textId="77777777" w:rsidR="00870431" w:rsidRPr="00A964FF" w:rsidRDefault="00870431" w:rsidP="004554C2">
            <w:pPr>
              <w:jc w:val="center"/>
              <w:rPr>
                <w:rFonts w:ascii="Calibri" w:hAnsi="Calibri"/>
                <w:color w:val="auto"/>
                <w:szCs w:val="21"/>
              </w:rPr>
            </w:pPr>
            <w:r w:rsidRPr="00A964FF">
              <w:rPr>
                <w:rFonts w:ascii="Calibri" w:hAnsi="Calibri" w:hint="eastAsia"/>
                <w:color w:val="auto"/>
                <w:szCs w:val="21"/>
              </w:rPr>
              <w:t>储运</w:t>
            </w:r>
          </w:p>
          <w:p w14:paraId="5DC617AF" w14:textId="77777777" w:rsidR="00870431" w:rsidRPr="00A964FF" w:rsidRDefault="00870431" w:rsidP="004554C2">
            <w:pPr>
              <w:jc w:val="center"/>
              <w:rPr>
                <w:rFonts w:ascii="Calibri" w:hAnsi="Calibri"/>
                <w:color w:val="auto"/>
                <w:szCs w:val="21"/>
              </w:rPr>
            </w:pPr>
            <w:r w:rsidRPr="00A964FF">
              <w:rPr>
                <w:rFonts w:ascii="Calibri" w:hAnsi="Calibri" w:hint="eastAsia"/>
                <w:color w:val="auto"/>
                <w:szCs w:val="21"/>
              </w:rPr>
              <w:t>工程</w:t>
            </w:r>
          </w:p>
        </w:tc>
        <w:tc>
          <w:tcPr>
            <w:tcW w:w="923" w:type="pct"/>
            <w:vAlign w:val="center"/>
          </w:tcPr>
          <w:p w14:paraId="13876C78" w14:textId="77777777" w:rsidR="00870431" w:rsidRPr="00A964FF" w:rsidRDefault="00A21554" w:rsidP="00F278CC">
            <w:pPr>
              <w:widowControl/>
              <w:jc w:val="center"/>
              <w:rPr>
                <w:rFonts w:ascii="Calibri" w:hAnsi="Calibri"/>
                <w:color w:val="auto"/>
                <w:kern w:val="0"/>
                <w:szCs w:val="21"/>
                <w:highlight w:val="yellow"/>
              </w:rPr>
            </w:pPr>
            <w:r>
              <w:rPr>
                <w:rFonts w:ascii="Calibri" w:hAnsi="Calibri" w:hint="eastAsia"/>
                <w:color w:val="auto"/>
                <w:szCs w:val="21"/>
              </w:rPr>
              <w:t>仓库</w:t>
            </w:r>
          </w:p>
        </w:tc>
        <w:tc>
          <w:tcPr>
            <w:tcW w:w="2118" w:type="pct"/>
            <w:tcBorders>
              <w:right w:val="single" w:sz="4" w:space="0" w:color="auto"/>
            </w:tcBorders>
            <w:vAlign w:val="center"/>
          </w:tcPr>
          <w:p w14:paraId="4D58ED8B" w14:textId="77777777" w:rsidR="00870431" w:rsidRPr="00A21554" w:rsidRDefault="00043921" w:rsidP="00A21554">
            <w:pPr>
              <w:jc w:val="center"/>
              <w:rPr>
                <w:rFonts w:ascii="Calibri" w:hAnsi="Calibri"/>
                <w:color w:val="auto"/>
                <w:szCs w:val="21"/>
              </w:rPr>
            </w:pPr>
            <w:r w:rsidRPr="00A21554">
              <w:rPr>
                <w:rFonts w:ascii="Calibri" w:hAnsi="Calibri" w:hint="eastAsia"/>
                <w:color w:val="auto"/>
                <w:szCs w:val="21"/>
              </w:rPr>
              <w:t>占地面积</w:t>
            </w:r>
            <w:r w:rsidR="00A21554" w:rsidRPr="00A21554">
              <w:rPr>
                <w:rFonts w:ascii="Calibri" w:hAnsi="Calibri"/>
                <w:color w:val="auto"/>
                <w:szCs w:val="21"/>
              </w:rPr>
              <w:t>3456</w:t>
            </w:r>
            <w:r w:rsidRPr="00A21554">
              <w:rPr>
                <w:rFonts w:ascii="Calibri" w:hAnsi="Calibri" w:hint="eastAsia"/>
                <w:color w:val="auto"/>
                <w:szCs w:val="21"/>
              </w:rPr>
              <w:t>m</w:t>
            </w:r>
            <w:r w:rsidRPr="00A21554">
              <w:rPr>
                <w:rFonts w:ascii="Calibri" w:hAnsi="Calibri" w:hint="eastAsia"/>
                <w:color w:val="auto"/>
                <w:szCs w:val="21"/>
                <w:vertAlign w:val="superscript"/>
              </w:rPr>
              <w:t>2</w:t>
            </w:r>
            <w:r w:rsidR="00A21554" w:rsidRPr="00A21554">
              <w:rPr>
                <w:rFonts w:ascii="Calibri" w:hAnsi="Calibri" w:hint="eastAsia"/>
                <w:color w:val="auto"/>
                <w:szCs w:val="21"/>
              </w:rPr>
              <w:t>，</w:t>
            </w:r>
            <w:r w:rsidR="00A21554" w:rsidRPr="00A21554">
              <w:rPr>
                <w:rFonts w:ascii="Calibri" w:hAnsi="Calibri" w:hint="eastAsia"/>
                <w:color w:val="auto"/>
                <w:szCs w:val="21"/>
              </w:rPr>
              <w:t>2</w:t>
            </w:r>
            <w:r w:rsidR="00A21554" w:rsidRPr="00A21554">
              <w:rPr>
                <w:rFonts w:ascii="Calibri" w:hAnsi="Calibri" w:hint="eastAsia"/>
                <w:color w:val="auto"/>
                <w:szCs w:val="21"/>
              </w:rPr>
              <w:t>层</w:t>
            </w:r>
          </w:p>
        </w:tc>
        <w:tc>
          <w:tcPr>
            <w:tcW w:w="1424" w:type="pct"/>
            <w:tcBorders>
              <w:left w:val="single" w:sz="4" w:space="0" w:color="auto"/>
            </w:tcBorders>
            <w:vAlign w:val="center"/>
          </w:tcPr>
          <w:p w14:paraId="679DBEF1" w14:textId="77777777" w:rsidR="00870431" w:rsidRPr="00A964FF" w:rsidRDefault="00623EF2" w:rsidP="00F278CC">
            <w:pPr>
              <w:jc w:val="center"/>
              <w:rPr>
                <w:rFonts w:ascii="Calibri" w:hAnsi="Calibri"/>
                <w:color w:val="auto"/>
                <w:szCs w:val="21"/>
              </w:rPr>
            </w:pPr>
            <w:r>
              <w:rPr>
                <w:rFonts w:ascii="Calibri" w:hAnsi="Calibri" w:hint="eastAsia"/>
                <w:color w:val="auto"/>
                <w:szCs w:val="21"/>
              </w:rPr>
              <w:t>框架</w:t>
            </w:r>
            <w:r>
              <w:rPr>
                <w:rFonts w:ascii="Calibri" w:hAnsi="Calibri"/>
                <w:color w:val="auto"/>
                <w:szCs w:val="21"/>
              </w:rPr>
              <w:t>结构</w:t>
            </w:r>
            <w:r>
              <w:rPr>
                <w:rFonts w:ascii="Calibri" w:hAnsi="Calibri" w:hint="eastAsia"/>
                <w:color w:val="auto"/>
                <w:szCs w:val="21"/>
              </w:rPr>
              <w:t>，</w:t>
            </w:r>
            <w:r w:rsidR="00A21554">
              <w:rPr>
                <w:rFonts w:ascii="Calibri" w:hAnsi="Calibri" w:hint="eastAsia"/>
                <w:color w:val="auto"/>
                <w:szCs w:val="21"/>
              </w:rPr>
              <w:t>原料</w:t>
            </w:r>
            <w:r w:rsidR="00A21554">
              <w:rPr>
                <w:rFonts w:ascii="Calibri" w:hAnsi="Calibri"/>
                <w:color w:val="auto"/>
                <w:szCs w:val="21"/>
              </w:rPr>
              <w:t>及成品存放区域</w:t>
            </w:r>
          </w:p>
        </w:tc>
      </w:tr>
      <w:tr w:rsidR="009B4F57" w:rsidRPr="00A964FF" w14:paraId="27FEC23E" w14:textId="77777777" w:rsidTr="00CE7A1F">
        <w:trPr>
          <w:trHeight w:val="369"/>
          <w:jc w:val="center"/>
        </w:trPr>
        <w:tc>
          <w:tcPr>
            <w:tcW w:w="249" w:type="pct"/>
            <w:vMerge w:val="restart"/>
            <w:tcBorders>
              <w:right w:val="single" w:sz="4" w:space="0" w:color="auto"/>
            </w:tcBorders>
            <w:vAlign w:val="center"/>
          </w:tcPr>
          <w:p w14:paraId="553C39A4" w14:textId="77777777" w:rsidR="009B4F57" w:rsidRPr="00A964FF" w:rsidRDefault="009B4F57" w:rsidP="004554C2">
            <w:pPr>
              <w:jc w:val="center"/>
              <w:rPr>
                <w:rFonts w:ascii="Calibri" w:hAnsi="Calibri"/>
                <w:color w:val="auto"/>
                <w:szCs w:val="21"/>
              </w:rPr>
            </w:pPr>
            <w:r w:rsidRPr="00A964FF">
              <w:rPr>
                <w:rFonts w:ascii="Calibri" w:hAnsi="Calibri"/>
                <w:color w:val="auto"/>
                <w:szCs w:val="21"/>
              </w:rPr>
              <w:t>环保工程</w:t>
            </w:r>
          </w:p>
        </w:tc>
        <w:tc>
          <w:tcPr>
            <w:tcW w:w="286" w:type="pct"/>
            <w:vMerge w:val="restart"/>
            <w:tcBorders>
              <w:left w:val="single" w:sz="4" w:space="0" w:color="auto"/>
            </w:tcBorders>
            <w:vAlign w:val="center"/>
          </w:tcPr>
          <w:p w14:paraId="027C3993" w14:textId="77777777" w:rsidR="009B4F57" w:rsidRPr="00A964FF" w:rsidRDefault="009B4F57" w:rsidP="004554C2">
            <w:pPr>
              <w:jc w:val="center"/>
              <w:rPr>
                <w:rFonts w:ascii="Calibri" w:hAnsi="Calibri"/>
                <w:color w:val="auto"/>
                <w:szCs w:val="21"/>
              </w:rPr>
            </w:pPr>
            <w:r w:rsidRPr="00A964FF">
              <w:rPr>
                <w:rFonts w:ascii="Calibri" w:hAnsi="Calibri"/>
                <w:color w:val="auto"/>
                <w:szCs w:val="21"/>
              </w:rPr>
              <w:t>废气</w:t>
            </w:r>
          </w:p>
        </w:tc>
        <w:tc>
          <w:tcPr>
            <w:tcW w:w="923" w:type="pct"/>
            <w:vAlign w:val="center"/>
          </w:tcPr>
          <w:p w14:paraId="72B96C94" w14:textId="77777777" w:rsidR="009B4F57" w:rsidRPr="00A964FF" w:rsidRDefault="009B4F57" w:rsidP="00870431">
            <w:pPr>
              <w:widowControl/>
              <w:jc w:val="center"/>
              <w:rPr>
                <w:rFonts w:ascii="Calibri" w:hAnsi="Calibri"/>
                <w:color w:val="auto"/>
                <w:kern w:val="0"/>
                <w:szCs w:val="21"/>
              </w:rPr>
            </w:pPr>
            <w:r>
              <w:rPr>
                <w:rFonts w:ascii="Calibri" w:hAnsi="Calibri" w:hint="eastAsia"/>
                <w:color w:val="auto"/>
                <w:kern w:val="0"/>
                <w:szCs w:val="21"/>
              </w:rPr>
              <w:t>生产工艺</w:t>
            </w:r>
          </w:p>
        </w:tc>
        <w:tc>
          <w:tcPr>
            <w:tcW w:w="2118" w:type="pct"/>
            <w:tcBorders>
              <w:right w:val="single" w:sz="4" w:space="0" w:color="auto"/>
            </w:tcBorders>
            <w:vAlign w:val="center"/>
          </w:tcPr>
          <w:p w14:paraId="4E87621A" w14:textId="6AF3507A" w:rsidR="009B4F57" w:rsidRPr="00A964FF" w:rsidRDefault="00A06A90" w:rsidP="008C1537">
            <w:pPr>
              <w:jc w:val="center"/>
              <w:rPr>
                <w:rFonts w:ascii="Calibri" w:hAnsi="Calibri"/>
                <w:color w:val="auto"/>
                <w:szCs w:val="21"/>
              </w:rPr>
            </w:pPr>
            <w:r>
              <w:rPr>
                <w:rFonts w:ascii="Calibri" w:hAnsi="Calibri" w:hint="eastAsia"/>
                <w:color w:val="auto"/>
              </w:rPr>
              <w:t>聚合</w:t>
            </w:r>
            <w:r>
              <w:rPr>
                <w:rFonts w:ascii="Calibri" w:hAnsi="Calibri" w:hint="eastAsia"/>
                <w:szCs w:val="21"/>
              </w:rPr>
              <w:t>及</w:t>
            </w:r>
            <w:r w:rsidRPr="00A06A90">
              <w:rPr>
                <w:rFonts w:ascii="Calibri" w:hAnsi="Calibri" w:hint="eastAsia"/>
                <w:color w:val="auto"/>
              </w:rPr>
              <w:t>聚合釜下料</w:t>
            </w:r>
            <w:r w:rsidR="009B4F57" w:rsidRPr="009B4F57">
              <w:rPr>
                <w:rFonts w:ascii="Calibri" w:hAnsi="Calibri" w:hint="eastAsia"/>
                <w:color w:val="auto"/>
                <w:szCs w:val="21"/>
              </w:rPr>
              <w:t>废气</w:t>
            </w:r>
            <w:r w:rsidR="009B4F57">
              <w:rPr>
                <w:rFonts w:ascii="Calibri" w:hAnsi="Calibri"/>
                <w:color w:val="auto"/>
                <w:szCs w:val="21"/>
              </w:rPr>
              <w:t>：</w:t>
            </w:r>
            <w:r w:rsidR="009B4F57" w:rsidRPr="00944F74">
              <w:rPr>
                <w:rFonts w:ascii="Calibri" w:hAnsi="Calibri" w:hint="eastAsia"/>
                <w:color w:val="auto"/>
                <w:szCs w:val="21"/>
              </w:rPr>
              <w:t>集气管道</w:t>
            </w:r>
            <w:r w:rsidR="009B4F57" w:rsidRPr="00944F74">
              <w:rPr>
                <w:rFonts w:ascii="Calibri" w:hAnsi="Calibri" w:hint="eastAsia"/>
                <w:color w:val="auto"/>
                <w:szCs w:val="21"/>
              </w:rPr>
              <w:t>+</w:t>
            </w:r>
            <w:r w:rsidR="0075760C" w:rsidRPr="0075760C">
              <w:rPr>
                <w:rFonts w:ascii="Calibri" w:hAnsi="Calibri" w:hint="eastAsia"/>
                <w:color w:val="auto"/>
                <w:szCs w:val="21"/>
              </w:rPr>
              <w:t>水喷淋</w:t>
            </w:r>
            <w:r w:rsidR="0075760C" w:rsidRPr="0075760C">
              <w:rPr>
                <w:rFonts w:ascii="Calibri" w:hAnsi="Calibri" w:hint="eastAsia"/>
                <w:color w:val="auto"/>
                <w:szCs w:val="21"/>
              </w:rPr>
              <w:t>+</w:t>
            </w:r>
            <w:r w:rsidR="0075760C" w:rsidRPr="0075760C">
              <w:rPr>
                <w:rFonts w:ascii="Calibri" w:hAnsi="Calibri" w:hint="eastAsia"/>
                <w:color w:val="auto"/>
                <w:szCs w:val="21"/>
              </w:rPr>
              <w:t>活性炭吸附装置</w:t>
            </w:r>
            <w:r w:rsidR="009B4F57" w:rsidRPr="00944F74">
              <w:rPr>
                <w:rFonts w:ascii="Calibri" w:hAnsi="Calibri" w:hint="eastAsia"/>
                <w:color w:val="auto"/>
                <w:szCs w:val="21"/>
              </w:rPr>
              <w:t>+</w:t>
            </w:r>
            <w:r w:rsidR="009B4F57">
              <w:rPr>
                <w:rFonts w:ascii="Calibri" w:hAnsi="Calibri"/>
                <w:color w:val="auto"/>
                <w:szCs w:val="21"/>
              </w:rPr>
              <w:t>25</w:t>
            </w:r>
            <w:r w:rsidR="009B4F57">
              <w:rPr>
                <w:rFonts w:ascii="Calibri" w:hAnsi="Calibri" w:hint="eastAsia"/>
                <w:color w:val="auto"/>
                <w:szCs w:val="21"/>
              </w:rPr>
              <w:t>m</w:t>
            </w:r>
            <w:r w:rsidR="009B4F57" w:rsidRPr="00944F74">
              <w:rPr>
                <w:rFonts w:ascii="Calibri" w:hAnsi="Calibri" w:hint="eastAsia"/>
                <w:color w:val="auto"/>
                <w:szCs w:val="21"/>
              </w:rPr>
              <w:t>排气筒</w:t>
            </w:r>
          </w:p>
        </w:tc>
        <w:tc>
          <w:tcPr>
            <w:tcW w:w="1424" w:type="pct"/>
            <w:tcBorders>
              <w:left w:val="single" w:sz="4" w:space="0" w:color="auto"/>
            </w:tcBorders>
            <w:vAlign w:val="center"/>
          </w:tcPr>
          <w:p w14:paraId="3ACB656C" w14:textId="77777777" w:rsidR="009B4F57" w:rsidRPr="00A964FF"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37767F3C" w14:textId="77777777" w:rsidTr="00CE7A1F">
        <w:trPr>
          <w:trHeight w:val="369"/>
          <w:jc w:val="center"/>
        </w:trPr>
        <w:tc>
          <w:tcPr>
            <w:tcW w:w="249" w:type="pct"/>
            <w:vMerge/>
            <w:tcBorders>
              <w:right w:val="single" w:sz="4" w:space="0" w:color="auto"/>
            </w:tcBorders>
            <w:vAlign w:val="center"/>
          </w:tcPr>
          <w:p w14:paraId="736E8E7A"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735CC2DF" w14:textId="77777777" w:rsidR="009B4F57" w:rsidRPr="00A964FF" w:rsidRDefault="009B4F57" w:rsidP="004554C2">
            <w:pPr>
              <w:jc w:val="center"/>
              <w:rPr>
                <w:rFonts w:ascii="Calibri" w:hAnsi="Calibri"/>
                <w:color w:val="auto"/>
                <w:szCs w:val="21"/>
              </w:rPr>
            </w:pPr>
          </w:p>
        </w:tc>
        <w:tc>
          <w:tcPr>
            <w:tcW w:w="923" w:type="pct"/>
            <w:vAlign w:val="center"/>
          </w:tcPr>
          <w:p w14:paraId="48ACDC39" w14:textId="77777777" w:rsidR="009B4F57" w:rsidRPr="00A964FF" w:rsidRDefault="009B4F57" w:rsidP="00DF3D69">
            <w:pPr>
              <w:pStyle w:val="00"/>
              <w:spacing w:line="240" w:lineRule="auto"/>
              <w:ind w:firstLine="0"/>
              <w:jc w:val="center"/>
              <w:rPr>
                <w:rFonts w:ascii="Calibri" w:hAnsi="Calibri"/>
                <w:color w:val="auto"/>
                <w:sz w:val="21"/>
                <w:szCs w:val="21"/>
              </w:rPr>
            </w:pPr>
            <w:r w:rsidRPr="00944F74">
              <w:rPr>
                <w:rFonts w:ascii="Calibri" w:hAnsi="Calibri" w:hint="eastAsia"/>
                <w:color w:val="auto"/>
                <w:sz w:val="21"/>
                <w:szCs w:val="21"/>
              </w:rPr>
              <w:t>添加剂配制粉尘</w:t>
            </w:r>
          </w:p>
        </w:tc>
        <w:tc>
          <w:tcPr>
            <w:tcW w:w="2118" w:type="pct"/>
            <w:tcBorders>
              <w:right w:val="single" w:sz="4" w:space="0" w:color="auto"/>
            </w:tcBorders>
            <w:vAlign w:val="center"/>
          </w:tcPr>
          <w:p w14:paraId="2A89503F" w14:textId="77777777" w:rsidR="009B4F57" w:rsidRPr="00A964FF" w:rsidRDefault="009B4F57" w:rsidP="00E638FF">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密闭投料</w:t>
            </w:r>
          </w:p>
        </w:tc>
        <w:tc>
          <w:tcPr>
            <w:tcW w:w="1424" w:type="pct"/>
            <w:tcBorders>
              <w:left w:val="single" w:sz="4" w:space="0" w:color="auto"/>
            </w:tcBorders>
            <w:vAlign w:val="center"/>
          </w:tcPr>
          <w:p w14:paraId="70D85D0C" w14:textId="77777777" w:rsidR="009B4F57" w:rsidRPr="00A964FF"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5441A213" w14:textId="77777777" w:rsidTr="00CE7A1F">
        <w:trPr>
          <w:trHeight w:val="369"/>
          <w:jc w:val="center"/>
        </w:trPr>
        <w:tc>
          <w:tcPr>
            <w:tcW w:w="249" w:type="pct"/>
            <w:vMerge/>
            <w:tcBorders>
              <w:right w:val="single" w:sz="4" w:space="0" w:color="auto"/>
            </w:tcBorders>
            <w:vAlign w:val="center"/>
          </w:tcPr>
          <w:p w14:paraId="57FBED99"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76D6E763" w14:textId="77777777" w:rsidR="009B4F57" w:rsidRPr="00A964FF" w:rsidRDefault="009B4F57" w:rsidP="004554C2">
            <w:pPr>
              <w:jc w:val="center"/>
              <w:rPr>
                <w:rFonts w:ascii="Calibri" w:hAnsi="Calibri"/>
                <w:color w:val="auto"/>
                <w:szCs w:val="21"/>
              </w:rPr>
            </w:pPr>
          </w:p>
        </w:tc>
        <w:tc>
          <w:tcPr>
            <w:tcW w:w="923" w:type="pct"/>
            <w:vAlign w:val="center"/>
          </w:tcPr>
          <w:p w14:paraId="2D77B4E1" w14:textId="77777777" w:rsidR="009B4F57" w:rsidRPr="00944F74" w:rsidRDefault="0092085C" w:rsidP="00DF3D69">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品控中心</w:t>
            </w:r>
            <w:r w:rsidR="009B4F57">
              <w:rPr>
                <w:rFonts w:ascii="Calibri" w:hAnsi="Calibri"/>
                <w:color w:val="auto"/>
                <w:sz w:val="21"/>
                <w:szCs w:val="21"/>
              </w:rPr>
              <w:t>废气</w:t>
            </w:r>
          </w:p>
        </w:tc>
        <w:tc>
          <w:tcPr>
            <w:tcW w:w="2118" w:type="pct"/>
            <w:tcBorders>
              <w:right w:val="single" w:sz="4" w:space="0" w:color="auto"/>
            </w:tcBorders>
            <w:vAlign w:val="center"/>
          </w:tcPr>
          <w:p w14:paraId="6462F593" w14:textId="77777777" w:rsidR="009B4F57" w:rsidRDefault="009B4F57" w:rsidP="00E638FF">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安装</w:t>
            </w:r>
            <w:r>
              <w:rPr>
                <w:rFonts w:ascii="Calibri" w:hAnsi="Calibri"/>
                <w:color w:val="auto"/>
                <w:sz w:val="21"/>
                <w:szCs w:val="21"/>
              </w:rPr>
              <w:t>通风橱收集废气引至活性炭吸附装置处理后楼顶排放</w:t>
            </w:r>
          </w:p>
        </w:tc>
        <w:tc>
          <w:tcPr>
            <w:tcW w:w="1424" w:type="pct"/>
            <w:tcBorders>
              <w:left w:val="single" w:sz="4" w:space="0" w:color="auto"/>
            </w:tcBorders>
            <w:vAlign w:val="center"/>
          </w:tcPr>
          <w:p w14:paraId="43740070" w14:textId="77777777" w:rsidR="009B4F57"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5F422672" w14:textId="77777777" w:rsidTr="00CE7A1F">
        <w:trPr>
          <w:trHeight w:val="369"/>
          <w:jc w:val="center"/>
        </w:trPr>
        <w:tc>
          <w:tcPr>
            <w:tcW w:w="249" w:type="pct"/>
            <w:vMerge/>
            <w:tcBorders>
              <w:right w:val="single" w:sz="4" w:space="0" w:color="auto"/>
            </w:tcBorders>
            <w:vAlign w:val="center"/>
          </w:tcPr>
          <w:p w14:paraId="74F3A77D"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426D5887" w14:textId="77777777" w:rsidR="009B4F57" w:rsidRPr="00A964FF" w:rsidRDefault="009B4F57" w:rsidP="004554C2">
            <w:pPr>
              <w:jc w:val="center"/>
              <w:rPr>
                <w:rFonts w:ascii="Calibri" w:hAnsi="Calibri"/>
                <w:color w:val="auto"/>
                <w:szCs w:val="21"/>
              </w:rPr>
            </w:pPr>
          </w:p>
        </w:tc>
        <w:tc>
          <w:tcPr>
            <w:tcW w:w="923" w:type="pct"/>
            <w:vAlign w:val="center"/>
          </w:tcPr>
          <w:p w14:paraId="77E9FF18" w14:textId="77777777" w:rsidR="009B4F57" w:rsidRPr="00A964FF" w:rsidRDefault="009B4F57" w:rsidP="00870431">
            <w:pPr>
              <w:pStyle w:val="00"/>
              <w:spacing w:line="240" w:lineRule="auto"/>
              <w:ind w:firstLine="0"/>
              <w:jc w:val="center"/>
              <w:rPr>
                <w:rFonts w:ascii="Calibri" w:hAnsi="Calibri"/>
                <w:color w:val="auto"/>
                <w:sz w:val="21"/>
                <w:szCs w:val="21"/>
              </w:rPr>
            </w:pPr>
            <w:r w:rsidRPr="00944F74">
              <w:rPr>
                <w:rFonts w:ascii="Calibri" w:hAnsi="Calibri" w:hint="eastAsia"/>
                <w:color w:val="auto"/>
                <w:sz w:val="21"/>
                <w:szCs w:val="21"/>
              </w:rPr>
              <w:t>天然气导热油</w:t>
            </w:r>
            <w:r w:rsidRPr="00944F74">
              <w:rPr>
                <w:rFonts w:ascii="Calibri" w:hAnsi="Calibri" w:hint="eastAsia"/>
                <w:color w:val="auto"/>
                <w:sz w:val="21"/>
                <w:szCs w:val="21"/>
              </w:rPr>
              <w:lastRenderedPageBreak/>
              <w:t>炉废气</w:t>
            </w:r>
          </w:p>
        </w:tc>
        <w:tc>
          <w:tcPr>
            <w:tcW w:w="2118" w:type="pct"/>
            <w:tcBorders>
              <w:right w:val="single" w:sz="4" w:space="0" w:color="auto"/>
            </w:tcBorders>
            <w:vAlign w:val="center"/>
          </w:tcPr>
          <w:p w14:paraId="66EC2391" w14:textId="77777777" w:rsidR="009B4F57" w:rsidRPr="00A964FF" w:rsidRDefault="009B4F57" w:rsidP="009B4F57">
            <w:pPr>
              <w:jc w:val="center"/>
              <w:rPr>
                <w:rFonts w:ascii="Calibri" w:hAnsi="Calibri"/>
                <w:color w:val="auto"/>
                <w:szCs w:val="21"/>
              </w:rPr>
            </w:pPr>
            <w:r w:rsidRPr="00944F74">
              <w:rPr>
                <w:rFonts w:ascii="Calibri" w:hAnsi="Calibri" w:hint="eastAsia"/>
                <w:color w:val="auto"/>
                <w:szCs w:val="21"/>
              </w:rPr>
              <w:lastRenderedPageBreak/>
              <w:t>低氮燃烧器</w:t>
            </w:r>
            <w:r w:rsidRPr="00944F74">
              <w:rPr>
                <w:rFonts w:ascii="Calibri" w:hAnsi="Calibri" w:hint="eastAsia"/>
                <w:color w:val="auto"/>
                <w:szCs w:val="21"/>
              </w:rPr>
              <w:t>+</w:t>
            </w:r>
            <w:r>
              <w:rPr>
                <w:rFonts w:ascii="Calibri" w:hAnsi="Calibri"/>
                <w:color w:val="auto"/>
                <w:szCs w:val="21"/>
              </w:rPr>
              <w:t>15m</w:t>
            </w:r>
            <w:r>
              <w:rPr>
                <w:rFonts w:ascii="Calibri" w:hAnsi="Calibri" w:hint="eastAsia"/>
                <w:color w:val="auto"/>
                <w:szCs w:val="21"/>
              </w:rPr>
              <w:t>排</w:t>
            </w:r>
            <w:r w:rsidRPr="00944F74">
              <w:rPr>
                <w:rFonts w:ascii="Calibri" w:hAnsi="Calibri" w:hint="eastAsia"/>
                <w:color w:val="auto"/>
                <w:szCs w:val="21"/>
              </w:rPr>
              <w:t>气筒</w:t>
            </w:r>
          </w:p>
        </w:tc>
        <w:tc>
          <w:tcPr>
            <w:tcW w:w="1424" w:type="pct"/>
            <w:tcBorders>
              <w:left w:val="single" w:sz="4" w:space="0" w:color="auto"/>
            </w:tcBorders>
            <w:vAlign w:val="center"/>
          </w:tcPr>
          <w:p w14:paraId="0C1D6897" w14:textId="77777777" w:rsidR="009B4F57" w:rsidRPr="00A964FF"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0C6CF125" w14:textId="77777777" w:rsidTr="00CE7A1F">
        <w:trPr>
          <w:trHeight w:val="369"/>
          <w:jc w:val="center"/>
        </w:trPr>
        <w:tc>
          <w:tcPr>
            <w:tcW w:w="249" w:type="pct"/>
            <w:vMerge/>
            <w:tcBorders>
              <w:right w:val="single" w:sz="4" w:space="0" w:color="auto"/>
            </w:tcBorders>
            <w:vAlign w:val="center"/>
          </w:tcPr>
          <w:p w14:paraId="07C9C918"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633463DA" w14:textId="77777777" w:rsidR="009B4F57" w:rsidRPr="00A964FF" w:rsidRDefault="009B4F57" w:rsidP="004554C2">
            <w:pPr>
              <w:jc w:val="center"/>
              <w:rPr>
                <w:rFonts w:ascii="Calibri" w:hAnsi="Calibri"/>
                <w:color w:val="auto"/>
                <w:szCs w:val="21"/>
              </w:rPr>
            </w:pPr>
          </w:p>
        </w:tc>
        <w:tc>
          <w:tcPr>
            <w:tcW w:w="923" w:type="pct"/>
            <w:vAlign w:val="center"/>
          </w:tcPr>
          <w:p w14:paraId="6BE77CA2" w14:textId="77777777" w:rsidR="009B4F57" w:rsidRPr="00A964FF" w:rsidRDefault="009B4F57" w:rsidP="00DF3D69">
            <w:pPr>
              <w:pStyle w:val="00"/>
              <w:spacing w:line="240" w:lineRule="auto"/>
              <w:ind w:firstLine="0"/>
              <w:jc w:val="center"/>
              <w:rPr>
                <w:rFonts w:ascii="Calibri" w:hAnsi="Calibri"/>
                <w:color w:val="auto"/>
                <w:sz w:val="21"/>
                <w:szCs w:val="21"/>
              </w:rPr>
            </w:pPr>
            <w:r w:rsidRPr="00944F74">
              <w:rPr>
                <w:rFonts w:ascii="Calibri" w:hAnsi="Calibri" w:hint="eastAsia"/>
                <w:color w:val="auto"/>
                <w:sz w:val="21"/>
                <w:szCs w:val="21"/>
              </w:rPr>
              <w:t>污水处理站恶臭气体</w:t>
            </w:r>
          </w:p>
        </w:tc>
        <w:tc>
          <w:tcPr>
            <w:tcW w:w="2118" w:type="pct"/>
            <w:tcBorders>
              <w:right w:val="single" w:sz="4" w:space="0" w:color="auto"/>
            </w:tcBorders>
            <w:vAlign w:val="center"/>
          </w:tcPr>
          <w:p w14:paraId="2AA535E9" w14:textId="77777777" w:rsidR="009B4F57" w:rsidRPr="00A964FF" w:rsidRDefault="009B4F57" w:rsidP="00E638FF">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光氧催化</w:t>
            </w:r>
            <w:r>
              <w:rPr>
                <w:rFonts w:ascii="Calibri" w:hAnsi="Calibri" w:hint="eastAsia"/>
                <w:color w:val="auto"/>
                <w:sz w:val="21"/>
                <w:szCs w:val="21"/>
              </w:rPr>
              <w:t>+</w:t>
            </w:r>
            <w:r>
              <w:rPr>
                <w:rFonts w:ascii="Calibri" w:hAnsi="Calibri" w:hint="eastAsia"/>
                <w:color w:val="auto"/>
                <w:sz w:val="21"/>
                <w:szCs w:val="21"/>
              </w:rPr>
              <w:t>活性炭</w:t>
            </w:r>
            <w:r>
              <w:rPr>
                <w:rFonts w:ascii="Calibri" w:hAnsi="Calibri"/>
                <w:color w:val="auto"/>
                <w:sz w:val="21"/>
                <w:szCs w:val="21"/>
              </w:rPr>
              <w:t>吸附装置</w:t>
            </w:r>
            <w:r>
              <w:rPr>
                <w:rFonts w:ascii="Calibri" w:hAnsi="Calibri" w:hint="eastAsia"/>
                <w:color w:val="auto"/>
                <w:sz w:val="21"/>
                <w:szCs w:val="21"/>
              </w:rPr>
              <w:t>+15m</w:t>
            </w:r>
            <w:r w:rsidRPr="00944F74">
              <w:rPr>
                <w:rFonts w:ascii="Calibri" w:hAnsi="Calibri" w:hint="eastAsia"/>
                <w:color w:val="auto"/>
                <w:sz w:val="21"/>
                <w:szCs w:val="21"/>
              </w:rPr>
              <w:t>排气筒</w:t>
            </w:r>
          </w:p>
        </w:tc>
        <w:tc>
          <w:tcPr>
            <w:tcW w:w="1424" w:type="pct"/>
            <w:tcBorders>
              <w:left w:val="single" w:sz="4" w:space="0" w:color="auto"/>
            </w:tcBorders>
            <w:vAlign w:val="center"/>
          </w:tcPr>
          <w:p w14:paraId="1F11E438" w14:textId="77777777" w:rsidR="009B4F57" w:rsidRPr="00A964FF"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60EBFAB8" w14:textId="77777777" w:rsidTr="00CE7A1F">
        <w:trPr>
          <w:trHeight w:val="369"/>
          <w:jc w:val="center"/>
        </w:trPr>
        <w:tc>
          <w:tcPr>
            <w:tcW w:w="249" w:type="pct"/>
            <w:vMerge/>
            <w:tcBorders>
              <w:right w:val="single" w:sz="4" w:space="0" w:color="auto"/>
            </w:tcBorders>
            <w:vAlign w:val="center"/>
          </w:tcPr>
          <w:p w14:paraId="4A6BBFC7"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22A91CFF" w14:textId="77777777" w:rsidR="009B4F57" w:rsidRPr="00A964FF" w:rsidRDefault="009B4F57" w:rsidP="004554C2">
            <w:pPr>
              <w:jc w:val="center"/>
              <w:rPr>
                <w:rFonts w:ascii="Calibri" w:hAnsi="Calibri"/>
                <w:color w:val="auto"/>
                <w:szCs w:val="21"/>
              </w:rPr>
            </w:pPr>
          </w:p>
        </w:tc>
        <w:tc>
          <w:tcPr>
            <w:tcW w:w="923" w:type="pct"/>
            <w:vAlign w:val="center"/>
          </w:tcPr>
          <w:p w14:paraId="4CCA2519" w14:textId="77777777" w:rsidR="009B4F57" w:rsidRDefault="009B4F57" w:rsidP="00DF3D69">
            <w:pPr>
              <w:pStyle w:val="00"/>
              <w:spacing w:line="240" w:lineRule="auto"/>
              <w:ind w:firstLine="0"/>
              <w:jc w:val="center"/>
              <w:rPr>
                <w:rFonts w:ascii="Calibri" w:hAnsi="Calibri"/>
                <w:color w:val="auto"/>
                <w:sz w:val="21"/>
                <w:szCs w:val="21"/>
              </w:rPr>
            </w:pPr>
            <w:r w:rsidRPr="00184059">
              <w:rPr>
                <w:rFonts w:ascii="Calibri" w:hAnsi="Calibri"/>
                <w:color w:val="auto"/>
                <w:sz w:val="21"/>
                <w:szCs w:val="21"/>
              </w:rPr>
              <w:t>食堂油烟</w:t>
            </w:r>
          </w:p>
        </w:tc>
        <w:tc>
          <w:tcPr>
            <w:tcW w:w="2118" w:type="pct"/>
            <w:tcBorders>
              <w:right w:val="single" w:sz="4" w:space="0" w:color="auto"/>
            </w:tcBorders>
            <w:vAlign w:val="center"/>
          </w:tcPr>
          <w:p w14:paraId="01FE0E59" w14:textId="77777777" w:rsidR="009B4F57" w:rsidRDefault="009B4F57" w:rsidP="00E638FF">
            <w:pPr>
              <w:pStyle w:val="00"/>
              <w:spacing w:line="240" w:lineRule="auto"/>
              <w:ind w:firstLine="0"/>
              <w:jc w:val="center"/>
              <w:rPr>
                <w:rFonts w:ascii="Calibri" w:hAnsi="Calibri"/>
                <w:color w:val="auto"/>
                <w:sz w:val="21"/>
                <w:szCs w:val="21"/>
              </w:rPr>
            </w:pPr>
            <w:r w:rsidRPr="00184059">
              <w:rPr>
                <w:rFonts w:ascii="Calibri" w:hAnsi="Calibri"/>
                <w:color w:val="auto"/>
                <w:sz w:val="21"/>
                <w:szCs w:val="21"/>
              </w:rPr>
              <w:t>安装油烟净化装置</w:t>
            </w:r>
          </w:p>
        </w:tc>
        <w:tc>
          <w:tcPr>
            <w:tcW w:w="1424" w:type="pct"/>
            <w:tcBorders>
              <w:left w:val="single" w:sz="4" w:space="0" w:color="auto"/>
            </w:tcBorders>
            <w:vAlign w:val="center"/>
          </w:tcPr>
          <w:p w14:paraId="0A790CC8" w14:textId="77777777" w:rsidR="009B4F57"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32BC3B12" w14:textId="77777777" w:rsidTr="00CE7A1F">
        <w:trPr>
          <w:trHeight w:val="369"/>
          <w:jc w:val="center"/>
        </w:trPr>
        <w:tc>
          <w:tcPr>
            <w:tcW w:w="249" w:type="pct"/>
            <w:vMerge/>
            <w:tcBorders>
              <w:right w:val="single" w:sz="4" w:space="0" w:color="auto"/>
            </w:tcBorders>
            <w:vAlign w:val="center"/>
          </w:tcPr>
          <w:p w14:paraId="57FE602A"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54BC1B6D" w14:textId="77777777" w:rsidR="009B4F57" w:rsidRPr="00A964FF" w:rsidRDefault="009B4F57" w:rsidP="004554C2">
            <w:pPr>
              <w:jc w:val="center"/>
              <w:rPr>
                <w:rFonts w:ascii="Calibri" w:hAnsi="Calibri"/>
                <w:color w:val="auto"/>
                <w:szCs w:val="21"/>
              </w:rPr>
            </w:pPr>
          </w:p>
        </w:tc>
        <w:tc>
          <w:tcPr>
            <w:tcW w:w="923" w:type="pct"/>
            <w:vAlign w:val="center"/>
          </w:tcPr>
          <w:p w14:paraId="4F74FB37" w14:textId="77777777" w:rsidR="009B4F57" w:rsidRPr="00184059" w:rsidRDefault="009B4F57" w:rsidP="00DF3D69">
            <w:pPr>
              <w:pStyle w:val="00"/>
              <w:spacing w:line="240" w:lineRule="auto"/>
              <w:ind w:firstLine="0"/>
              <w:jc w:val="center"/>
              <w:rPr>
                <w:rFonts w:ascii="Calibri" w:hAnsi="Calibri"/>
                <w:color w:val="auto"/>
                <w:sz w:val="21"/>
                <w:szCs w:val="21"/>
              </w:rPr>
            </w:pPr>
            <w:r w:rsidRPr="00944F74">
              <w:rPr>
                <w:rFonts w:ascii="Calibri" w:hAnsi="Calibri" w:hint="eastAsia"/>
                <w:color w:val="auto"/>
                <w:sz w:val="21"/>
                <w:szCs w:val="21"/>
              </w:rPr>
              <w:t>无组织废气</w:t>
            </w:r>
          </w:p>
        </w:tc>
        <w:tc>
          <w:tcPr>
            <w:tcW w:w="2118" w:type="pct"/>
            <w:tcBorders>
              <w:right w:val="single" w:sz="4" w:space="0" w:color="auto"/>
            </w:tcBorders>
            <w:vAlign w:val="center"/>
          </w:tcPr>
          <w:p w14:paraId="55D645EB" w14:textId="77777777" w:rsidR="009B4F57" w:rsidRPr="00184059" w:rsidRDefault="009B4F57" w:rsidP="009B4F57">
            <w:pPr>
              <w:pStyle w:val="00"/>
              <w:spacing w:line="240" w:lineRule="auto"/>
              <w:ind w:firstLine="0"/>
              <w:jc w:val="center"/>
              <w:rPr>
                <w:rFonts w:ascii="Calibri" w:hAnsi="Calibri"/>
                <w:color w:val="auto"/>
                <w:sz w:val="21"/>
                <w:szCs w:val="21"/>
              </w:rPr>
            </w:pPr>
            <w:r w:rsidRPr="00944F74">
              <w:rPr>
                <w:rFonts w:ascii="Calibri" w:hAnsi="Calibri" w:hint="eastAsia"/>
                <w:color w:val="auto"/>
                <w:sz w:val="21"/>
                <w:szCs w:val="21"/>
              </w:rPr>
              <w:t>加大气体的有组织收集率，加强设备维护，减少生产过程中跑、冒、滴、漏等现象</w:t>
            </w:r>
          </w:p>
        </w:tc>
        <w:tc>
          <w:tcPr>
            <w:tcW w:w="1424" w:type="pct"/>
            <w:tcBorders>
              <w:left w:val="single" w:sz="4" w:space="0" w:color="auto"/>
            </w:tcBorders>
            <w:vAlign w:val="center"/>
          </w:tcPr>
          <w:p w14:paraId="18453984" w14:textId="77777777" w:rsidR="009B4F57"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21820920" w14:textId="77777777" w:rsidTr="00CE7A1F">
        <w:trPr>
          <w:trHeight w:val="369"/>
          <w:jc w:val="center"/>
        </w:trPr>
        <w:tc>
          <w:tcPr>
            <w:tcW w:w="249" w:type="pct"/>
            <w:vMerge/>
            <w:tcBorders>
              <w:right w:val="single" w:sz="4" w:space="0" w:color="auto"/>
            </w:tcBorders>
            <w:vAlign w:val="center"/>
          </w:tcPr>
          <w:p w14:paraId="7A32EB44" w14:textId="77777777" w:rsidR="009B4F57" w:rsidRPr="00A964FF" w:rsidRDefault="009B4F57" w:rsidP="004554C2">
            <w:pPr>
              <w:jc w:val="center"/>
              <w:rPr>
                <w:rFonts w:ascii="Calibri" w:hAnsi="Calibri"/>
                <w:color w:val="auto"/>
                <w:szCs w:val="21"/>
              </w:rPr>
            </w:pPr>
          </w:p>
        </w:tc>
        <w:tc>
          <w:tcPr>
            <w:tcW w:w="286" w:type="pct"/>
            <w:vMerge w:val="restart"/>
            <w:tcBorders>
              <w:left w:val="single" w:sz="4" w:space="0" w:color="auto"/>
            </w:tcBorders>
            <w:vAlign w:val="center"/>
          </w:tcPr>
          <w:p w14:paraId="0E7885B8" w14:textId="77777777" w:rsidR="009B4F57" w:rsidRPr="00A964FF" w:rsidRDefault="009B4F57" w:rsidP="004554C2">
            <w:pPr>
              <w:jc w:val="center"/>
              <w:rPr>
                <w:rFonts w:ascii="Calibri" w:hAnsi="Calibri"/>
                <w:color w:val="auto"/>
                <w:szCs w:val="21"/>
              </w:rPr>
            </w:pPr>
            <w:r w:rsidRPr="00A964FF">
              <w:rPr>
                <w:rFonts w:ascii="Calibri" w:hAnsi="Calibri"/>
                <w:color w:val="auto"/>
                <w:szCs w:val="21"/>
              </w:rPr>
              <w:t>废水</w:t>
            </w:r>
          </w:p>
        </w:tc>
        <w:tc>
          <w:tcPr>
            <w:tcW w:w="923" w:type="pct"/>
            <w:vAlign w:val="center"/>
          </w:tcPr>
          <w:p w14:paraId="40AE9A9E" w14:textId="77777777" w:rsidR="009B4F57" w:rsidRPr="00184059" w:rsidRDefault="009B4F57" w:rsidP="00AB2DC7">
            <w:pPr>
              <w:pStyle w:val="00"/>
              <w:spacing w:line="240" w:lineRule="auto"/>
              <w:ind w:firstLine="0"/>
              <w:jc w:val="center"/>
              <w:rPr>
                <w:rFonts w:ascii="Calibri" w:hAnsi="Calibri"/>
                <w:color w:val="auto"/>
                <w:sz w:val="21"/>
                <w:szCs w:val="21"/>
              </w:rPr>
            </w:pPr>
            <w:r w:rsidRPr="00184059">
              <w:rPr>
                <w:rFonts w:ascii="Calibri" w:hAnsi="Calibri"/>
                <w:color w:val="auto"/>
                <w:kern w:val="0"/>
                <w:sz w:val="21"/>
                <w:szCs w:val="21"/>
              </w:rPr>
              <w:t>厂区废水</w:t>
            </w:r>
          </w:p>
        </w:tc>
        <w:tc>
          <w:tcPr>
            <w:tcW w:w="2118" w:type="pct"/>
            <w:tcBorders>
              <w:right w:val="single" w:sz="4" w:space="0" w:color="auto"/>
            </w:tcBorders>
            <w:vAlign w:val="center"/>
          </w:tcPr>
          <w:p w14:paraId="056E70C6" w14:textId="66F9114F" w:rsidR="009B4F57" w:rsidRPr="00A964FF" w:rsidRDefault="009B4F57" w:rsidP="00217891">
            <w:pPr>
              <w:jc w:val="center"/>
              <w:rPr>
                <w:rFonts w:ascii="Calibri" w:hAnsi="Calibri"/>
                <w:color w:val="auto"/>
                <w:szCs w:val="21"/>
              </w:rPr>
            </w:pPr>
            <w:r>
              <w:rPr>
                <w:rFonts w:ascii="Calibri" w:hAnsi="Calibri" w:hint="eastAsia"/>
                <w:color w:val="auto"/>
                <w:szCs w:val="21"/>
              </w:rPr>
              <w:t>生产</w:t>
            </w:r>
            <w:r w:rsidRPr="00944F74">
              <w:rPr>
                <w:rFonts w:ascii="Calibri" w:hAnsi="Calibri" w:hint="eastAsia"/>
                <w:color w:val="auto"/>
                <w:szCs w:val="21"/>
              </w:rPr>
              <w:t>和生活污水</w:t>
            </w:r>
            <w:r>
              <w:rPr>
                <w:rFonts w:ascii="Calibri" w:hAnsi="Calibri" w:hint="eastAsia"/>
                <w:color w:val="auto"/>
                <w:szCs w:val="21"/>
              </w:rPr>
              <w:t>进入</w:t>
            </w:r>
            <w:r w:rsidRPr="00944F74">
              <w:rPr>
                <w:rFonts w:ascii="Calibri" w:hAnsi="Calibri" w:hint="eastAsia"/>
                <w:color w:val="auto"/>
                <w:szCs w:val="21"/>
              </w:rPr>
              <w:t>厂区污水处理站处理，污水站设计规模</w:t>
            </w:r>
            <w:r w:rsidR="00217891">
              <w:rPr>
                <w:rFonts w:ascii="Calibri" w:hAnsi="Calibri"/>
                <w:color w:val="auto"/>
                <w:szCs w:val="21"/>
              </w:rPr>
              <w:t>100</w:t>
            </w:r>
            <w:r w:rsidRPr="000C5806">
              <w:rPr>
                <w:rFonts w:ascii="Calibri" w:hAnsi="Calibri" w:hint="eastAsia"/>
                <w:color w:val="auto"/>
                <w:szCs w:val="21"/>
              </w:rPr>
              <w:t>m</w:t>
            </w:r>
            <w:r w:rsidRPr="000C5806">
              <w:rPr>
                <w:rFonts w:ascii="Calibri" w:hAnsi="Calibri" w:hint="eastAsia"/>
                <w:color w:val="auto"/>
                <w:szCs w:val="21"/>
                <w:vertAlign w:val="superscript"/>
              </w:rPr>
              <w:t>3</w:t>
            </w:r>
            <w:r w:rsidRPr="000C5806">
              <w:rPr>
                <w:rFonts w:ascii="Calibri" w:hAnsi="Calibri" w:hint="eastAsia"/>
                <w:color w:val="auto"/>
                <w:szCs w:val="21"/>
              </w:rPr>
              <w:t>/d</w:t>
            </w:r>
            <w:r w:rsidRPr="000C5806">
              <w:rPr>
                <w:rFonts w:ascii="Calibri" w:hAnsi="Calibri" w:hint="eastAsia"/>
                <w:color w:val="auto"/>
                <w:szCs w:val="21"/>
              </w:rPr>
              <w:t>，</w:t>
            </w:r>
            <w:r w:rsidRPr="00944F74">
              <w:rPr>
                <w:rFonts w:ascii="Calibri" w:hAnsi="Calibri" w:hint="eastAsia"/>
                <w:color w:val="auto"/>
                <w:szCs w:val="21"/>
              </w:rPr>
              <w:t>采用“水解酸化</w:t>
            </w:r>
            <w:r>
              <w:rPr>
                <w:rFonts w:ascii="Calibri" w:hAnsi="Calibri" w:hint="eastAsia"/>
                <w:color w:val="auto"/>
                <w:szCs w:val="21"/>
              </w:rPr>
              <w:t>+A/O</w:t>
            </w:r>
            <w:r w:rsidRPr="00944F74">
              <w:rPr>
                <w:rFonts w:ascii="Calibri" w:hAnsi="Calibri" w:hint="eastAsia"/>
                <w:color w:val="auto"/>
                <w:szCs w:val="21"/>
              </w:rPr>
              <w:t>+</w:t>
            </w:r>
            <w:r w:rsidR="00E01926">
              <w:rPr>
                <w:rFonts w:ascii="Calibri" w:hAnsi="Calibri" w:hint="eastAsia"/>
                <w:color w:val="auto"/>
                <w:szCs w:val="21"/>
              </w:rPr>
              <w:t>混凝沉淀”工艺，处理达标后通过集聚区污水管网进入平顶山</w:t>
            </w:r>
            <w:r w:rsidRPr="00944F74">
              <w:rPr>
                <w:rFonts w:ascii="Calibri" w:hAnsi="Calibri" w:hint="eastAsia"/>
                <w:color w:val="auto"/>
                <w:szCs w:val="21"/>
              </w:rPr>
              <w:t>第三污水处理厂再次处理达标后排放</w:t>
            </w:r>
          </w:p>
        </w:tc>
        <w:tc>
          <w:tcPr>
            <w:tcW w:w="1424" w:type="pct"/>
            <w:tcBorders>
              <w:left w:val="single" w:sz="4" w:space="0" w:color="auto"/>
            </w:tcBorders>
            <w:vAlign w:val="center"/>
          </w:tcPr>
          <w:p w14:paraId="78E91971" w14:textId="77777777" w:rsidR="009B4F57" w:rsidRPr="00A964FF" w:rsidRDefault="009B4F57" w:rsidP="004554C2">
            <w:pPr>
              <w:jc w:val="center"/>
              <w:rPr>
                <w:rFonts w:ascii="Calibri" w:hAnsi="Calibri"/>
                <w:color w:val="auto"/>
                <w:szCs w:val="21"/>
              </w:rPr>
            </w:pPr>
            <w:r>
              <w:rPr>
                <w:rFonts w:ascii="Calibri" w:hAnsi="Calibri"/>
                <w:color w:val="auto"/>
                <w:szCs w:val="21"/>
              </w:rPr>
              <w:t>达标排放</w:t>
            </w:r>
          </w:p>
        </w:tc>
      </w:tr>
      <w:tr w:rsidR="009B4F57" w:rsidRPr="00A964FF" w14:paraId="57040CA2" w14:textId="77777777" w:rsidTr="00CE7A1F">
        <w:trPr>
          <w:trHeight w:val="369"/>
          <w:jc w:val="center"/>
        </w:trPr>
        <w:tc>
          <w:tcPr>
            <w:tcW w:w="249" w:type="pct"/>
            <w:vMerge/>
            <w:tcBorders>
              <w:right w:val="single" w:sz="4" w:space="0" w:color="auto"/>
            </w:tcBorders>
            <w:vAlign w:val="center"/>
          </w:tcPr>
          <w:p w14:paraId="14A4DAE2"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136DC3CE" w14:textId="77777777" w:rsidR="009B4F57" w:rsidRPr="00A964FF" w:rsidRDefault="009B4F57" w:rsidP="004554C2">
            <w:pPr>
              <w:jc w:val="center"/>
              <w:rPr>
                <w:rFonts w:ascii="Calibri" w:hAnsi="Calibri"/>
                <w:color w:val="auto"/>
                <w:szCs w:val="21"/>
              </w:rPr>
            </w:pPr>
          </w:p>
        </w:tc>
        <w:tc>
          <w:tcPr>
            <w:tcW w:w="923" w:type="pct"/>
            <w:vAlign w:val="center"/>
          </w:tcPr>
          <w:p w14:paraId="74FD760C" w14:textId="77777777" w:rsidR="009B4F57" w:rsidRPr="00184059" w:rsidRDefault="009B4F57" w:rsidP="00AB2DC7">
            <w:pPr>
              <w:pStyle w:val="00"/>
              <w:spacing w:line="240" w:lineRule="auto"/>
              <w:ind w:firstLine="0"/>
              <w:jc w:val="center"/>
              <w:rPr>
                <w:rFonts w:ascii="Calibri" w:hAnsi="Calibri"/>
                <w:color w:val="auto"/>
                <w:kern w:val="0"/>
                <w:sz w:val="21"/>
                <w:szCs w:val="21"/>
              </w:rPr>
            </w:pPr>
            <w:r w:rsidRPr="00184059">
              <w:rPr>
                <w:rFonts w:ascii="Calibri" w:hAnsi="Calibri"/>
                <w:color w:val="auto"/>
                <w:kern w:val="0"/>
                <w:sz w:val="21"/>
                <w:szCs w:val="21"/>
              </w:rPr>
              <w:t>初期雨水</w:t>
            </w:r>
          </w:p>
        </w:tc>
        <w:tc>
          <w:tcPr>
            <w:tcW w:w="2118" w:type="pct"/>
            <w:tcBorders>
              <w:right w:val="single" w:sz="4" w:space="0" w:color="auto"/>
            </w:tcBorders>
            <w:vAlign w:val="center"/>
          </w:tcPr>
          <w:p w14:paraId="3AA69DC0" w14:textId="77777777" w:rsidR="009B4F57" w:rsidRDefault="009B4F57" w:rsidP="000C5806">
            <w:pPr>
              <w:jc w:val="center"/>
              <w:rPr>
                <w:rFonts w:ascii="Calibri" w:hAnsi="Calibri"/>
                <w:color w:val="auto"/>
                <w:szCs w:val="21"/>
              </w:rPr>
            </w:pPr>
            <w:r>
              <w:rPr>
                <w:rFonts w:ascii="Calibri" w:hAnsi="Calibri"/>
                <w:color w:val="auto"/>
                <w:szCs w:val="21"/>
              </w:rPr>
              <w:t>项目设置初期雨水收集池，初期雨水送入厂区污水站进行处理；后期干净雨水排入市政雨水管网，</w:t>
            </w:r>
            <w:r w:rsidRPr="000C5806">
              <w:rPr>
                <w:rFonts w:ascii="Calibri" w:hAnsi="Calibri"/>
                <w:color w:val="auto"/>
                <w:szCs w:val="21"/>
              </w:rPr>
              <w:t>设置一座</w:t>
            </w:r>
            <w:r w:rsidRPr="000C5806">
              <w:rPr>
                <w:rFonts w:ascii="Calibri" w:hAnsi="Calibri"/>
                <w:color w:val="auto"/>
                <w:szCs w:val="21"/>
              </w:rPr>
              <w:t>580m</w:t>
            </w:r>
            <w:r w:rsidRPr="000C5806">
              <w:rPr>
                <w:rFonts w:ascii="Calibri" w:hAnsi="Calibri"/>
                <w:color w:val="auto"/>
                <w:szCs w:val="21"/>
                <w:vertAlign w:val="superscript"/>
              </w:rPr>
              <w:t>3</w:t>
            </w:r>
            <w:r w:rsidRPr="000C5806">
              <w:rPr>
                <w:rFonts w:ascii="Calibri" w:hAnsi="Calibri"/>
                <w:color w:val="auto"/>
                <w:szCs w:val="21"/>
              </w:rPr>
              <w:t>的初期雨水池。</w:t>
            </w:r>
          </w:p>
        </w:tc>
        <w:tc>
          <w:tcPr>
            <w:tcW w:w="1424" w:type="pct"/>
            <w:tcBorders>
              <w:left w:val="single" w:sz="4" w:space="0" w:color="auto"/>
            </w:tcBorders>
            <w:vAlign w:val="center"/>
          </w:tcPr>
          <w:p w14:paraId="24FE9E1A" w14:textId="77777777" w:rsidR="009B4F57" w:rsidRDefault="009B4F57" w:rsidP="004554C2">
            <w:pPr>
              <w:jc w:val="center"/>
              <w:rPr>
                <w:rFonts w:ascii="Calibri" w:hAnsi="Calibri"/>
                <w:color w:val="auto"/>
                <w:szCs w:val="21"/>
              </w:rPr>
            </w:pPr>
            <w:r>
              <w:rPr>
                <w:rFonts w:ascii="Calibri" w:hAnsi="Calibri"/>
                <w:color w:val="auto"/>
                <w:szCs w:val="21"/>
              </w:rPr>
              <w:t>初期雨水不外排</w:t>
            </w:r>
          </w:p>
        </w:tc>
      </w:tr>
      <w:tr w:rsidR="009B4F57" w:rsidRPr="00A964FF" w14:paraId="66C809A2" w14:textId="77777777" w:rsidTr="00CE7A1F">
        <w:trPr>
          <w:trHeight w:val="369"/>
          <w:jc w:val="center"/>
        </w:trPr>
        <w:tc>
          <w:tcPr>
            <w:tcW w:w="249" w:type="pct"/>
            <w:vMerge/>
            <w:tcBorders>
              <w:right w:val="single" w:sz="4" w:space="0" w:color="auto"/>
            </w:tcBorders>
            <w:vAlign w:val="center"/>
          </w:tcPr>
          <w:p w14:paraId="51657DBD" w14:textId="77777777" w:rsidR="009B4F57" w:rsidRPr="00A964FF" w:rsidRDefault="009B4F57" w:rsidP="004554C2">
            <w:pPr>
              <w:jc w:val="center"/>
              <w:rPr>
                <w:rFonts w:ascii="Calibri" w:hAnsi="Calibri"/>
                <w:color w:val="auto"/>
                <w:szCs w:val="21"/>
              </w:rPr>
            </w:pPr>
          </w:p>
        </w:tc>
        <w:tc>
          <w:tcPr>
            <w:tcW w:w="286" w:type="pct"/>
            <w:vMerge w:val="restart"/>
            <w:tcBorders>
              <w:left w:val="single" w:sz="4" w:space="0" w:color="auto"/>
            </w:tcBorders>
            <w:vAlign w:val="center"/>
          </w:tcPr>
          <w:p w14:paraId="3D95A22A" w14:textId="77777777" w:rsidR="009B4F57" w:rsidRPr="00A964FF" w:rsidRDefault="009B4F57" w:rsidP="004554C2">
            <w:pPr>
              <w:jc w:val="center"/>
              <w:rPr>
                <w:rFonts w:ascii="Calibri" w:hAnsi="Calibri"/>
                <w:color w:val="auto"/>
                <w:szCs w:val="21"/>
              </w:rPr>
            </w:pPr>
            <w:r w:rsidRPr="00A964FF">
              <w:rPr>
                <w:rFonts w:ascii="Calibri" w:hAnsi="Calibri"/>
                <w:color w:val="auto"/>
                <w:szCs w:val="21"/>
              </w:rPr>
              <w:t>固废</w:t>
            </w:r>
          </w:p>
        </w:tc>
        <w:tc>
          <w:tcPr>
            <w:tcW w:w="923" w:type="pct"/>
            <w:vAlign w:val="center"/>
          </w:tcPr>
          <w:p w14:paraId="307AEB51" w14:textId="77777777" w:rsidR="009B4F57" w:rsidRPr="00A964FF" w:rsidRDefault="009B4F57" w:rsidP="00AB2DC7">
            <w:pPr>
              <w:widowControl/>
              <w:jc w:val="center"/>
              <w:rPr>
                <w:rFonts w:ascii="Calibri" w:hAnsi="Calibri"/>
                <w:color w:val="auto"/>
                <w:kern w:val="0"/>
                <w:szCs w:val="21"/>
              </w:rPr>
            </w:pPr>
            <w:r>
              <w:rPr>
                <w:rFonts w:ascii="Calibri" w:hAnsi="Calibri"/>
                <w:color w:val="auto"/>
                <w:kern w:val="0"/>
                <w:szCs w:val="21"/>
              </w:rPr>
              <w:t>危险固废</w:t>
            </w:r>
          </w:p>
        </w:tc>
        <w:tc>
          <w:tcPr>
            <w:tcW w:w="2118" w:type="pct"/>
            <w:tcBorders>
              <w:right w:val="single" w:sz="4" w:space="0" w:color="auto"/>
            </w:tcBorders>
            <w:vAlign w:val="center"/>
          </w:tcPr>
          <w:p w14:paraId="76A255E5" w14:textId="032DCF4A" w:rsidR="009B4F57" w:rsidRPr="0080053B" w:rsidRDefault="009B4F57" w:rsidP="0091142E">
            <w:pPr>
              <w:widowControl/>
              <w:rPr>
                <w:rFonts w:ascii="Calibri" w:hAnsi="Calibri"/>
                <w:color w:val="auto"/>
                <w:szCs w:val="21"/>
              </w:rPr>
            </w:pPr>
            <w:r w:rsidRPr="0080053B">
              <w:rPr>
                <w:rFonts w:ascii="Calibri" w:hAnsi="Calibri"/>
                <w:color w:val="auto"/>
                <w:szCs w:val="21"/>
              </w:rPr>
              <w:t>设置危废暂存间</w:t>
            </w:r>
            <w:r w:rsidRPr="0080053B">
              <w:rPr>
                <w:rFonts w:ascii="Calibri" w:hAnsi="Calibri"/>
                <w:color w:val="auto"/>
                <w:szCs w:val="21"/>
              </w:rPr>
              <w:t>1</w:t>
            </w:r>
            <w:r w:rsidRPr="0080053B">
              <w:rPr>
                <w:rFonts w:ascii="Calibri" w:hAnsi="Calibri"/>
                <w:color w:val="auto"/>
                <w:szCs w:val="21"/>
              </w:rPr>
              <w:t>座，建筑面积</w:t>
            </w:r>
            <w:r>
              <w:rPr>
                <w:rFonts w:ascii="Calibri" w:hAnsi="Calibri"/>
                <w:color w:val="auto"/>
                <w:szCs w:val="21"/>
              </w:rPr>
              <w:t>15</w:t>
            </w:r>
            <w:r w:rsidRPr="0080053B">
              <w:rPr>
                <w:rFonts w:ascii="Calibri" w:hAnsi="Calibri"/>
                <w:color w:val="auto"/>
                <w:szCs w:val="21"/>
              </w:rPr>
              <w:t>m</w:t>
            </w:r>
            <w:r w:rsidRPr="0080053B">
              <w:rPr>
                <w:rFonts w:ascii="Calibri" w:hAnsi="Calibri"/>
                <w:color w:val="auto"/>
                <w:szCs w:val="21"/>
                <w:vertAlign w:val="superscript"/>
              </w:rPr>
              <w:t>2</w:t>
            </w:r>
            <w:r w:rsidRPr="0080053B">
              <w:rPr>
                <w:rFonts w:ascii="Calibri" w:hAnsi="Calibri"/>
                <w:color w:val="auto"/>
                <w:szCs w:val="21"/>
              </w:rPr>
              <w:t>，用于存储各类危险固废；地面硬化，并做防渗处理。</w:t>
            </w:r>
          </w:p>
        </w:tc>
        <w:tc>
          <w:tcPr>
            <w:tcW w:w="1424" w:type="pct"/>
            <w:tcBorders>
              <w:left w:val="single" w:sz="4" w:space="0" w:color="auto"/>
            </w:tcBorders>
            <w:vAlign w:val="center"/>
          </w:tcPr>
          <w:p w14:paraId="4CC6195E" w14:textId="77777777" w:rsidR="009B4F57" w:rsidRPr="00A964FF" w:rsidRDefault="009B4F57" w:rsidP="005B3B2F">
            <w:pPr>
              <w:jc w:val="center"/>
              <w:rPr>
                <w:rFonts w:ascii="Calibri" w:hAnsi="Calibri"/>
                <w:color w:val="auto"/>
                <w:szCs w:val="21"/>
              </w:rPr>
            </w:pPr>
            <w:r>
              <w:rPr>
                <w:rFonts w:ascii="Calibri" w:hAnsi="Calibri"/>
                <w:color w:val="auto"/>
                <w:szCs w:val="21"/>
              </w:rPr>
              <w:t>危险固废委托资质单位安全处置</w:t>
            </w:r>
          </w:p>
        </w:tc>
      </w:tr>
      <w:tr w:rsidR="009B4F57" w:rsidRPr="00A964FF" w14:paraId="3BE09E88" w14:textId="77777777" w:rsidTr="00CE7A1F">
        <w:trPr>
          <w:trHeight w:val="369"/>
          <w:jc w:val="center"/>
        </w:trPr>
        <w:tc>
          <w:tcPr>
            <w:tcW w:w="249" w:type="pct"/>
            <w:vMerge/>
            <w:tcBorders>
              <w:right w:val="single" w:sz="4" w:space="0" w:color="auto"/>
            </w:tcBorders>
            <w:vAlign w:val="center"/>
          </w:tcPr>
          <w:p w14:paraId="23266791"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135FE5BE" w14:textId="77777777" w:rsidR="009B4F57" w:rsidRPr="00A964FF" w:rsidRDefault="009B4F57" w:rsidP="004554C2">
            <w:pPr>
              <w:jc w:val="center"/>
              <w:rPr>
                <w:rFonts w:ascii="Calibri" w:hAnsi="Calibri"/>
                <w:color w:val="auto"/>
                <w:szCs w:val="21"/>
              </w:rPr>
            </w:pPr>
          </w:p>
        </w:tc>
        <w:tc>
          <w:tcPr>
            <w:tcW w:w="923" w:type="pct"/>
            <w:vAlign w:val="center"/>
          </w:tcPr>
          <w:p w14:paraId="60FD691D" w14:textId="77777777" w:rsidR="009B4F57" w:rsidRPr="00A964FF" w:rsidRDefault="009B4F57" w:rsidP="005B3B2F">
            <w:pPr>
              <w:widowControl/>
              <w:jc w:val="center"/>
              <w:rPr>
                <w:rFonts w:ascii="Calibri" w:hAnsi="Calibri"/>
                <w:color w:val="auto"/>
                <w:kern w:val="0"/>
                <w:szCs w:val="21"/>
              </w:rPr>
            </w:pPr>
            <w:r>
              <w:rPr>
                <w:rFonts w:ascii="Calibri" w:hAnsi="Calibri"/>
                <w:color w:val="auto"/>
                <w:kern w:val="0"/>
                <w:szCs w:val="21"/>
              </w:rPr>
              <w:t>一般固废</w:t>
            </w:r>
          </w:p>
        </w:tc>
        <w:tc>
          <w:tcPr>
            <w:tcW w:w="2118" w:type="pct"/>
            <w:tcBorders>
              <w:right w:val="single" w:sz="4" w:space="0" w:color="auto"/>
            </w:tcBorders>
            <w:vAlign w:val="center"/>
          </w:tcPr>
          <w:p w14:paraId="74B65520" w14:textId="77777777" w:rsidR="009B4F57" w:rsidRPr="00944F74" w:rsidRDefault="009B4F57" w:rsidP="0080053B">
            <w:pPr>
              <w:widowControl/>
              <w:jc w:val="center"/>
              <w:rPr>
                <w:rFonts w:ascii="Calibri" w:hAnsi="Calibri" w:cs="宋体"/>
                <w:color w:val="auto"/>
                <w:kern w:val="0"/>
                <w:szCs w:val="21"/>
                <w:highlight w:val="yellow"/>
              </w:rPr>
            </w:pPr>
            <w:r w:rsidRPr="0080053B">
              <w:rPr>
                <w:rFonts w:ascii="Calibri" w:hAnsi="Calibri"/>
                <w:color w:val="auto"/>
                <w:szCs w:val="21"/>
              </w:rPr>
              <w:t>在厂区划定一般固废暂存间，</w:t>
            </w:r>
            <w:r w:rsidRPr="0080053B">
              <w:rPr>
                <w:rFonts w:ascii="Calibri" w:hAnsi="Calibri"/>
                <w:color w:val="auto"/>
                <w:kern w:val="0"/>
                <w:szCs w:val="21"/>
              </w:rPr>
              <w:t>建筑面积</w:t>
            </w:r>
            <w:r w:rsidRPr="0080053B">
              <w:rPr>
                <w:rFonts w:ascii="Calibri" w:hAnsi="Calibri"/>
                <w:color w:val="auto"/>
                <w:kern w:val="0"/>
                <w:szCs w:val="21"/>
              </w:rPr>
              <w:t>30m</w:t>
            </w:r>
            <w:r w:rsidRPr="0080053B">
              <w:rPr>
                <w:rFonts w:ascii="Calibri" w:hAnsi="Calibri"/>
                <w:color w:val="auto"/>
                <w:kern w:val="0"/>
                <w:szCs w:val="21"/>
                <w:vertAlign w:val="superscript"/>
              </w:rPr>
              <w:t>2</w:t>
            </w:r>
            <w:r w:rsidRPr="0080053B">
              <w:rPr>
                <w:rFonts w:ascii="Calibri" w:hAnsi="Calibri"/>
                <w:color w:val="auto"/>
                <w:kern w:val="0"/>
                <w:szCs w:val="21"/>
              </w:rPr>
              <w:t>；地面硬化，并做防渗处理</w:t>
            </w:r>
          </w:p>
        </w:tc>
        <w:tc>
          <w:tcPr>
            <w:tcW w:w="1424" w:type="pct"/>
            <w:tcBorders>
              <w:left w:val="single" w:sz="4" w:space="0" w:color="auto"/>
            </w:tcBorders>
            <w:vAlign w:val="center"/>
          </w:tcPr>
          <w:p w14:paraId="11EC936E" w14:textId="77777777" w:rsidR="009B4F57" w:rsidRPr="00A964FF" w:rsidRDefault="009B4F57" w:rsidP="00196525">
            <w:pPr>
              <w:jc w:val="center"/>
              <w:rPr>
                <w:rFonts w:ascii="Calibri" w:hAnsi="Calibri"/>
                <w:color w:val="auto"/>
                <w:szCs w:val="21"/>
              </w:rPr>
            </w:pPr>
            <w:r>
              <w:rPr>
                <w:rFonts w:ascii="Calibri" w:hAnsi="Calibri"/>
                <w:color w:val="auto"/>
                <w:szCs w:val="21"/>
              </w:rPr>
              <w:t>合理</w:t>
            </w:r>
            <w:r>
              <w:rPr>
                <w:rFonts w:ascii="Calibri" w:hAnsi="Calibri" w:hint="eastAsia"/>
                <w:color w:val="auto"/>
                <w:szCs w:val="21"/>
              </w:rPr>
              <w:t>处置</w:t>
            </w:r>
          </w:p>
        </w:tc>
      </w:tr>
      <w:tr w:rsidR="009B4F57" w:rsidRPr="00A964FF" w14:paraId="53EDC9DD" w14:textId="77777777" w:rsidTr="00CE7A1F">
        <w:trPr>
          <w:trHeight w:val="369"/>
          <w:jc w:val="center"/>
        </w:trPr>
        <w:tc>
          <w:tcPr>
            <w:tcW w:w="249" w:type="pct"/>
            <w:vMerge/>
            <w:tcBorders>
              <w:right w:val="single" w:sz="4" w:space="0" w:color="auto"/>
            </w:tcBorders>
            <w:vAlign w:val="center"/>
          </w:tcPr>
          <w:p w14:paraId="332E8A65" w14:textId="77777777" w:rsidR="009B4F57" w:rsidRPr="00A964FF" w:rsidRDefault="009B4F57" w:rsidP="004554C2">
            <w:pPr>
              <w:jc w:val="center"/>
              <w:rPr>
                <w:rFonts w:ascii="Calibri" w:hAnsi="Calibri"/>
                <w:color w:val="auto"/>
                <w:szCs w:val="21"/>
              </w:rPr>
            </w:pPr>
          </w:p>
        </w:tc>
        <w:tc>
          <w:tcPr>
            <w:tcW w:w="286" w:type="pct"/>
            <w:vMerge/>
            <w:tcBorders>
              <w:left w:val="single" w:sz="4" w:space="0" w:color="auto"/>
            </w:tcBorders>
            <w:vAlign w:val="center"/>
          </w:tcPr>
          <w:p w14:paraId="1B800701" w14:textId="77777777" w:rsidR="009B4F57" w:rsidRPr="00A964FF" w:rsidRDefault="009B4F57" w:rsidP="004554C2">
            <w:pPr>
              <w:jc w:val="center"/>
              <w:rPr>
                <w:rFonts w:ascii="Calibri" w:hAnsi="Calibri"/>
                <w:color w:val="auto"/>
                <w:szCs w:val="21"/>
              </w:rPr>
            </w:pPr>
          </w:p>
        </w:tc>
        <w:tc>
          <w:tcPr>
            <w:tcW w:w="923" w:type="pct"/>
            <w:vAlign w:val="center"/>
          </w:tcPr>
          <w:p w14:paraId="199981B0" w14:textId="77777777" w:rsidR="009B4F57" w:rsidRPr="00A964FF" w:rsidRDefault="009B4F57" w:rsidP="00AB2DC7">
            <w:pPr>
              <w:widowControl/>
              <w:jc w:val="center"/>
              <w:rPr>
                <w:rFonts w:ascii="Calibri" w:hAnsi="Calibri"/>
                <w:color w:val="auto"/>
                <w:kern w:val="0"/>
                <w:szCs w:val="21"/>
              </w:rPr>
            </w:pPr>
            <w:r>
              <w:rPr>
                <w:rFonts w:ascii="Calibri" w:hAnsi="Calibri"/>
                <w:color w:val="auto"/>
                <w:kern w:val="0"/>
                <w:szCs w:val="21"/>
              </w:rPr>
              <w:t>生活垃圾</w:t>
            </w:r>
          </w:p>
        </w:tc>
        <w:tc>
          <w:tcPr>
            <w:tcW w:w="2118" w:type="pct"/>
            <w:tcBorders>
              <w:right w:val="single" w:sz="4" w:space="0" w:color="auto"/>
            </w:tcBorders>
            <w:vAlign w:val="center"/>
          </w:tcPr>
          <w:p w14:paraId="31110BFD" w14:textId="77777777" w:rsidR="009B4F57" w:rsidRPr="00A964FF" w:rsidRDefault="009B4F57" w:rsidP="00AB2DC7">
            <w:pPr>
              <w:jc w:val="center"/>
              <w:rPr>
                <w:rFonts w:ascii="Calibri" w:hAnsi="Calibri"/>
                <w:color w:val="auto"/>
                <w:szCs w:val="21"/>
              </w:rPr>
            </w:pPr>
            <w:r>
              <w:rPr>
                <w:rFonts w:ascii="Calibri" w:hAnsi="Calibri"/>
                <w:color w:val="auto"/>
                <w:szCs w:val="21"/>
              </w:rPr>
              <w:t>厂区设置分类生活垃圾桶</w:t>
            </w:r>
          </w:p>
        </w:tc>
        <w:tc>
          <w:tcPr>
            <w:tcW w:w="1424" w:type="pct"/>
            <w:tcBorders>
              <w:left w:val="single" w:sz="4" w:space="0" w:color="auto"/>
            </w:tcBorders>
            <w:vAlign w:val="center"/>
          </w:tcPr>
          <w:p w14:paraId="7605B496" w14:textId="77777777" w:rsidR="009B4F57" w:rsidRPr="00A964FF" w:rsidRDefault="009B4F57" w:rsidP="00AB2DC7">
            <w:pPr>
              <w:jc w:val="center"/>
              <w:rPr>
                <w:rFonts w:ascii="Calibri" w:hAnsi="Calibri"/>
                <w:color w:val="auto"/>
                <w:szCs w:val="21"/>
              </w:rPr>
            </w:pPr>
            <w:r>
              <w:rPr>
                <w:rFonts w:ascii="Calibri" w:hAnsi="Calibri" w:hint="eastAsia"/>
                <w:color w:val="auto"/>
                <w:szCs w:val="21"/>
              </w:rPr>
              <w:t>集聚区垃圾中转站</w:t>
            </w:r>
          </w:p>
        </w:tc>
      </w:tr>
      <w:tr w:rsidR="009B4F57" w:rsidRPr="00A964FF" w14:paraId="4D55FF98" w14:textId="77777777" w:rsidTr="00CE7A1F">
        <w:trPr>
          <w:trHeight w:val="271"/>
          <w:jc w:val="center"/>
        </w:trPr>
        <w:tc>
          <w:tcPr>
            <w:tcW w:w="249" w:type="pct"/>
            <w:vMerge/>
            <w:tcBorders>
              <w:right w:val="single" w:sz="4" w:space="0" w:color="auto"/>
            </w:tcBorders>
            <w:vAlign w:val="center"/>
          </w:tcPr>
          <w:p w14:paraId="6466085D" w14:textId="77777777" w:rsidR="009B4F57" w:rsidRPr="00A964FF" w:rsidRDefault="009B4F57" w:rsidP="004554C2">
            <w:pPr>
              <w:jc w:val="center"/>
              <w:rPr>
                <w:rFonts w:ascii="Calibri" w:hAnsi="Calibri"/>
                <w:color w:val="auto"/>
                <w:szCs w:val="21"/>
              </w:rPr>
            </w:pPr>
          </w:p>
        </w:tc>
        <w:tc>
          <w:tcPr>
            <w:tcW w:w="286" w:type="pct"/>
            <w:tcBorders>
              <w:left w:val="single" w:sz="4" w:space="0" w:color="auto"/>
            </w:tcBorders>
            <w:vAlign w:val="center"/>
          </w:tcPr>
          <w:p w14:paraId="395BB2E6" w14:textId="77777777" w:rsidR="009B4F57" w:rsidRPr="00A964FF" w:rsidRDefault="009B4F57" w:rsidP="004554C2">
            <w:pPr>
              <w:jc w:val="center"/>
              <w:rPr>
                <w:rFonts w:ascii="Calibri" w:hAnsi="Calibri"/>
                <w:color w:val="auto"/>
                <w:szCs w:val="21"/>
              </w:rPr>
            </w:pPr>
            <w:r w:rsidRPr="00A964FF">
              <w:rPr>
                <w:rFonts w:ascii="Calibri" w:hAnsi="Calibri"/>
                <w:color w:val="auto"/>
                <w:szCs w:val="21"/>
              </w:rPr>
              <w:t>噪声</w:t>
            </w:r>
          </w:p>
        </w:tc>
        <w:tc>
          <w:tcPr>
            <w:tcW w:w="923" w:type="pct"/>
            <w:vAlign w:val="center"/>
          </w:tcPr>
          <w:p w14:paraId="0DEAF69A" w14:textId="77777777" w:rsidR="009B4F57" w:rsidRPr="00A964FF" w:rsidRDefault="009B4F57" w:rsidP="004554C2">
            <w:pPr>
              <w:widowControl/>
              <w:jc w:val="center"/>
              <w:rPr>
                <w:rFonts w:ascii="Calibri" w:hAnsi="Calibri"/>
                <w:color w:val="auto"/>
                <w:kern w:val="0"/>
                <w:szCs w:val="21"/>
              </w:rPr>
            </w:pPr>
            <w:r>
              <w:rPr>
                <w:rFonts w:ascii="Calibri" w:hAnsi="Calibri"/>
                <w:color w:val="auto"/>
                <w:kern w:val="0"/>
                <w:szCs w:val="21"/>
              </w:rPr>
              <w:t>设备噪声</w:t>
            </w:r>
          </w:p>
        </w:tc>
        <w:tc>
          <w:tcPr>
            <w:tcW w:w="2118" w:type="pct"/>
            <w:tcBorders>
              <w:right w:val="single" w:sz="4" w:space="0" w:color="auto"/>
            </w:tcBorders>
            <w:vAlign w:val="center"/>
          </w:tcPr>
          <w:p w14:paraId="0A032BA5" w14:textId="77777777" w:rsidR="009B4F57" w:rsidRPr="00A964FF" w:rsidRDefault="009B4F57" w:rsidP="004554C2">
            <w:pPr>
              <w:jc w:val="center"/>
              <w:rPr>
                <w:rFonts w:ascii="Calibri" w:hAnsi="Calibri"/>
                <w:color w:val="auto"/>
                <w:szCs w:val="21"/>
              </w:rPr>
            </w:pPr>
            <w:r>
              <w:rPr>
                <w:rFonts w:ascii="Calibri" w:hAnsi="Calibri"/>
                <w:color w:val="auto"/>
                <w:szCs w:val="21"/>
              </w:rPr>
              <w:t>消声、减振、车间隔声等</w:t>
            </w:r>
          </w:p>
        </w:tc>
        <w:tc>
          <w:tcPr>
            <w:tcW w:w="1424" w:type="pct"/>
            <w:tcBorders>
              <w:left w:val="single" w:sz="4" w:space="0" w:color="auto"/>
            </w:tcBorders>
            <w:vAlign w:val="center"/>
          </w:tcPr>
          <w:p w14:paraId="36AE072C" w14:textId="77777777" w:rsidR="009B4F57" w:rsidRPr="00A964FF" w:rsidRDefault="009B4F57" w:rsidP="004554C2">
            <w:pPr>
              <w:jc w:val="center"/>
              <w:rPr>
                <w:rFonts w:ascii="Calibri" w:hAnsi="Calibri"/>
                <w:color w:val="auto"/>
                <w:szCs w:val="21"/>
              </w:rPr>
            </w:pPr>
            <w:r>
              <w:rPr>
                <w:rFonts w:ascii="Calibri" w:hAnsi="Calibri"/>
                <w:color w:val="auto"/>
                <w:szCs w:val="21"/>
              </w:rPr>
              <w:t>厂界实现达标排放</w:t>
            </w:r>
          </w:p>
        </w:tc>
      </w:tr>
      <w:tr w:rsidR="009B4F57" w:rsidRPr="00A964FF" w14:paraId="64DB8EF8" w14:textId="77777777" w:rsidTr="00CE7A1F">
        <w:trPr>
          <w:trHeight w:val="271"/>
          <w:jc w:val="center"/>
        </w:trPr>
        <w:tc>
          <w:tcPr>
            <w:tcW w:w="249" w:type="pct"/>
            <w:vMerge/>
            <w:tcBorders>
              <w:right w:val="single" w:sz="4" w:space="0" w:color="auto"/>
            </w:tcBorders>
            <w:vAlign w:val="center"/>
          </w:tcPr>
          <w:p w14:paraId="773B5789" w14:textId="77777777" w:rsidR="009B4F57" w:rsidRPr="00A964FF" w:rsidRDefault="009B4F57" w:rsidP="004554C2">
            <w:pPr>
              <w:jc w:val="center"/>
              <w:rPr>
                <w:rFonts w:ascii="Calibri" w:hAnsi="Calibri"/>
                <w:color w:val="auto"/>
                <w:szCs w:val="21"/>
              </w:rPr>
            </w:pPr>
          </w:p>
        </w:tc>
        <w:tc>
          <w:tcPr>
            <w:tcW w:w="286" w:type="pct"/>
            <w:tcBorders>
              <w:left w:val="single" w:sz="4" w:space="0" w:color="auto"/>
            </w:tcBorders>
            <w:vAlign w:val="center"/>
          </w:tcPr>
          <w:p w14:paraId="3A9A237F" w14:textId="77777777" w:rsidR="009B4F57" w:rsidRPr="00A964FF" w:rsidRDefault="009B4F57" w:rsidP="004554C2">
            <w:pPr>
              <w:jc w:val="center"/>
              <w:rPr>
                <w:rFonts w:ascii="Calibri" w:hAnsi="Calibri"/>
                <w:color w:val="auto"/>
                <w:szCs w:val="21"/>
              </w:rPr>
            </w:pPr>
            <w:r>
              <w:rPr>
                <w:rFonts w:ascii="Calibri" w:hAnsi="Calibri" w:hint="eastAsia"/>
                <w:color w:val="auto"/>
                <w:szCs w:val="21"/>
              </w:rPr>
              <w:t>风险</w:t>
            </w:r>
          </w:p>
        </w:tc>
        <w:tc>
          <w:tcPr>
            <w:tcW w:w="923" w:type="pct"/>
            <w:vAlign w:val="center"/>
          </w:tcPr>
          <w:p w14:paraId="46509B60" w14:textId="77777777" w:rsidR="009B4F57" w:rsidRDefault="009B4F57" w:rsidP="004554C2">
            <w:pPr>
              <w:widowControl/>
              <w:jc w:val="center"/>
              <w:rPr>
                <w:rFonts w:ascii="Calibri" w:hAnsi="Calibri"/>
                <w:color w:val="auto"/>
                <w:kern w:val="0"/>
                <w:szCs w:val="21"/>
              </w:rPr>
            </w:pPr>
            <w:r>
              <w:rPr>
                <w:rFonts w:ascii="Calibri" w:hAnsi="Calibri" w:hint="eastAsia"/>
                <w:color w:val="auto"/>
                <w:kern w:val="0"/>
                <w:szCs w:val="21"/>
              </w:rPr>
              <w:t>生产区</w:t>
            </w:r>
            <w:r>
              <w:rPr>
                <w:rFonts w:ascii="Calibri" w:hAnsi="Calibri"/>
                <w:color w:val="auto"/>
                <w:kern w:val="0"/>
                <w:szCs w:val="21"/>
              </w:rPr>
              <w:t>、原料仓库及污水处理区</w:t>
            </w:r>
          </w:p>
        </w:tc>
        <w:tc>
          <w:tcPr>
            <w:tcW w:w="2118" w:type="pct"/>
            <w:tcBorders>
              <w:right w:val="single" w:sz="4" w:space="0" w:color="auto"/>
            </w:tcBorders>
            <w:vAlign w:val="center"/>
          </w:tcPr>
          <w:p w14:paraId="1D657C5B" w14:textId="77777777" w:rsidR="009B4F57" w:rsidRDefault="009B4F57" w:rsidP="009B4F57">
            <w:pPr>
              <w:jc w:val="center"/>
              <w:rPr>
                <w:rFonts w:ascii="Calibri" w:hAnsi="Calibri"/>
                <w:color w:val="auto"/>
                <w:szCs w:val="21"/>
              </w:rPr>
            </w:pPr>
            <w:r>
              <w:rPr>
                <w:rFonts w:ascii="Calibri" w:hAnsi="Calibri" w:hint="eastAsia"/>
                <w:color w:val="auto"/>
                <w:szCs w:val="21"/>
              </w:rPr>
              <w:t>液体</w:t>
            </w:r>
            <w:r>
              <w:rPr>
                <w:rFonts w:ascii="Calibri" w:hAnsi="Calibri"/>
                <w:color w:val="auto"/>
                <w:szCs w:val="21"/>
              </w:rPr>
              <w:t>原料及</w:t>
            </w:r>
            <w:r>
              <w:rPr>
                <w:rFonts w:ascii="Calibri" w:hAnsi="Calibri" w:hint="eastAsia"/>
                <w:color w:val="auto"/>
                <w:szCs w:val="21"/>
              </w:rPr>
              <w:t>危废</w:t>
            </w:r>
            <w:r>
              <w:rPr>
                <w:rFonts w:ascii="Calibri" w:hAnsi="Calibri"/>
                <w:color w:val="auto"/>
                <w:szCs w:val="21"/>
              </w:rPr>
              <w:t>储存区域设置围堰，设置一座</w:t>
            </w:r>
            <w:r>
              <w:rPr>
                <w:rFonts w:ascii="Calibri" w:hAnsi="Calibri"/>
                <w:color w:val="auto"/>
                <w:szCs w:val="21"/>
              </w:rPr>
              <w:t>500m</w:t>
            </w:r>
            <w:r>
              <w:rPr>
                <w:rFonts w:ascii="Calibri" w:hAnsi="Calibri"/>
                <w:color w:val="auto"/>
                <w:szCs w:val="21"/>
                <w:vertAlign w:val="superscript"/>
              </w:rPr>
              <w:t>3</w:t>
            </w:r>
            <w:r>
              <w:rPr>
                <w:rFonts w:ascii="Calibri" w:hAnsi="Calibri"/>
                <w:color w:val="auto"/>
                <w:szCs w:val="21"/>
              </w:rPr>
              <w:t>的事故池</w:t>
            </w:r>
          </w:p>
        </w:tc>
        <w:tc>
          <w:tcPr>
            <w:tcW w:w="1424" w:type="pct"/>
            <w:tcBorders>
              <w:left w:val="single" w:sz="4" w:space="0" w:color="auto"/>
            </w:tcBorders>
            <w:vAlign w:val="center"/>
          </w:tcPr>
          <w:p w14:paraId="596077AA" w14:textId="77777777" w:rsidR="009B4F57" w:rsidRDefault="009B4F57" w:rsidP="004554C2">
            <w:pPr>
              <w:jc w:val="center"/>
              <w:rPr>
                <w:rFonts w:ascii="Calibri" w:hAnsi="Calibri"/>
                <w:color w:val="auto"/>
                <w:szCs w:val="21"/>
              </w:rPr>
            </w:pPr>
            <w:r>
              <w:rPr>
                <w:rFonts w:ascii="Calibri" w:hAnsi="Calibri" w:hint="eastAsia"/>
                <w:color w:val="auto"/>
                <w:szCs w:val="21"/>
              </w:rPr>
              <w:t>/</w:t>
            </w:r>
          </w:p>
        </w:tc>
      </w:tr>
    </w:tbl>
    <w:p w14:paraId="5608B49B" w14:textId="77777777" w:rsidR="004554C2" w:rsidRPr="00A964FF" w:rsidRDefault="004554C2" w:rsidP="004554C2">
      <w:pPr>
        <w:pStyle w:val="ad"/>
        <w:rPr>
          <w:rFonts w:ascii="Calibri" w:hAnsi="Calibri"/>
          <w:color w:val="auto"/>
        </w:rPr>
      </w:pPr>
      <w:r w:rsidRPr="00A964FF">
        <w:rPr>
          <w:rFonts w:ascii="Calibri" w:hAnsi="Calibri" w:hint="eastAsia"/>
          <w:color w:val="auto"/>
        </w:rPr>
        <w:t>2.1.4</w:t>
      </w:r>
      <w:r w:rsidRPr="00A964FF">
        <w:rPr>
          <w:rFonts w:ascii="Calibri" w:hAnsi="Calibri" w:hint="eastAsia"/>
          <w:color w:val="auto"/>
        </w:rPr>
        <w:t>建设规模</w:t>
      </w:r>
    </w:p>
    <w:p w14:paraId="27058975" w14:textId="77777777" w:rsidR="00F3688C" w:rsidRDefault="00F3688C" w:rsidP="00F3688C">
      <w:pPr>
        <w:pStyle w:val="p15"/>
        <w:spacing w:line="520" w:lineRule="atLeast"/>
        <w:ind w:firstLine="480"/>
        <w:rPr>
          <w:rFonts w:ascii="Calibri" w:hAnsi="Calibri"/>
          <w:color w:val="auto"/>
          <w:sz w:val="24"/>
        </w:rPr>
      </w:pPr>
      <w:r w:rsidRPr="00F3688C">
        <w:rPr>
          <w:rFonts w:ascii="Calibri" w:hAnsi="Calibri" w:hint="eastAsia"/>
          <w:color w:val="auto"/>
          <w:sz w:val="24"/>
        </w:rPr>
        <w:t>本项目分三期建设，总规模为年产透明尼龙</w:t>
      </w:r>
      <w:r w:rsidRPr="00F3688C">
        <w:rPr>
          <w:rFonts w:ascii="Calibri" w:hAnsi="Calibri" w:hint="eastAsia"/>
          <w:color w:val="auto"/>
          <w:sz w:val="24"/>
        </w:rPr>
        <w:t>5000</w:t>
      </w:r>
      <w:r w:rsidRPr="00F3688C">
        <w:rPr>
          <w:rFonts w:ascii="Calibri" w:hAnsi="Calibri" w:hint="eastAsia"/>
          <w:color w:val="auto"/>
          <w:sz w:val="24"/>
        </w:rPr>
        <w:t>吨，其中一期年产透明尼龙</w:t>
      </w:r>
      <w:r w:rsidRPr="00F3688C">
        <w:rPr>
          <w:rFonts w:ascii="Calibri" w:hAnsi="Calibri" w:hint="eastAsia"/>
          <w:color w:val="auto"/>
          <w:sz w:val="24"/>
        </w:rPr>
        <w:t>2500</w:t>
      </w:r>
      <w:r w:rsidRPr="00F3688C">
        <w:rPr>
          <w:rFonts w:ascii="Calibri" w:hAnsi="Calibri" w:hint="eastAsia"/>
          <w:color w:val="auto"/>
          <w:sz w:val="24"/>
        </w:rPr>
        <w:t>吨；二期年产透明尼龙</w:t>
      </w:r>
      <w:r w:rsidRPr="00F3688C">
        <w:rPr>
          <w:rFonts w:ascii="Calibri" w:hAnsi="Calibri" w:hint="eastAsia"/>
          <w:color w:val="auto"/>
          <w:sz w:val="24"/>
        </w:rPr>
        <w:t>1500</w:t>
      </w:r>
      <w:r w:rsidRPr="00F3688C">
        <w:rPr>
          <w:rFonts w:ascii="Calibri" w:hAnsi="Calibri" w:hint="eastAsia"/>
          <w:color w:val="auto"/>
          <w:sz w:val="24"/>
        </w:rPr>
        <w:t>吨；三期年产透明尼龙</w:t>
      </w:r>
      <w:r w:rsidRPr="00F3688C">
        <w:rPr>
          <w:rFonts w:ascii="Calibri" w:hAnsi="Calibri" w:hint="eastAsia"/>
          <w:color w:val="auto"/>
          <w:sz w:val="24"/>
        </w:rPr>
        <w:t>1000</w:t>
      </w:r>
      <w:r w:rsidRPr="00F3688C">
        <w:rPr>
          <w:rFonts w:ascii="Calibri" w:hAnsi="Calibri" w:hint="eastAsia"/>
          <w:color w:val="auto"/>
          <w:sz w:val="24"/>
        </w:rPr>
        <w:t>吨，本次仅针对一期、二期进行评价。</w:t>
      </w:r>
    </w:p>
    <w:p w14:paraId="1A771D9B" w14:textId="77777777" w:rsidR="00CE50CC" w:rsidRPr="00927C6D" w:rsidRDefault="004554C2" w:rsidP="00927C6D">
      <w:pPr>
        <w:pStyle w:val="ad"/>
        <w:rPr>
          <w:rFonts w:ascii="Calibri" w:hAnsi="Calibri"/>
          <w:color w:val="auto"/>
        </w:rPr>
      </w:pPr>
      <w:r w:rsidRPr="00804045">
        <w:rPr>
          <w:rFonts w:ascii="Calibri" w:hAnsi="Calibri" w:hint="eastAsia"/>
          <w:color w:val="auto"/>
        </w:rPr>
        <w:t>2.1.5</w:t>
      </w:r>
      <w:r w:rsidRPr="00804045">
        <w:rPr>
          <w:rFonts w:ascii="Calibri" w:hAnsi="Calibri" w:hint="eastAsia"/>
          <w:color w:val="auto"/>
        </w:rPr>
        <w:t>主要设备情况</w:t>
      </w:r>
    </w:p>
    <w:p w14:paraId="66B77D73" w14:textId="77777777" w:rsidR="006D31D9" w:rsidRPr="006D31D9" w:rsidRDefault="00133CE6" w:rsidP="002F5676">
      <w:pPr>
        <w:pStyle w:val="p15"/>
        <w:widowControl w:val="0"/>
        <w:spacing w:line="520" w:lineRule="atLeast"/>
        <w:ind w:firstLine="480"/>
        <w:jc w:val="left"/>
        <w:rPr>
          <w:rFonts w:ascii="Calibri" w:hAnsi="Calibri"/>
          <w:color w:val="auto"/>
          <w:kern w:val="2"/>
          <w:sz w:val="24"/>
          <w:szCs w:val="24"/>
        </w:rPr>
      </w:pPr>
      <w:r w:rsidRPr="00A964FF">
        <w:rPr>
          <w:rFonts w:ascii="Calibri" w:hAnsi="Calibri" w:hint="eastAsia"/>
          <w:color w:val="auto"/>
          <w:kern w:val="2"/>
          <w:sz w:val="24"/>
          <w:szCs w:val="24"/>
        </w:rPr>
        <w:t>本</w:t>
      </w:r>
      <w:r>
        <w:rPr>
          <w:rFonts w:ascii="Calibri" w:hAnsi="Calibri" w:hint="eastAsia"/>
          <w:color w:val="auto"/>
          <w:kern w:val="2"/>
          <w:sz w:val="24"/>
          <w:szCs w:val="24"/>
        </w:rPr>
        <w:t>次评价针对一期工程和二期工程，产品没有</w:t>
      </w:r>
      <w:r>
        <w:rPr>
          <w:rFonts w:ascii="Calibri" w:hAnsi="Calibri"/>
          <w:color w:val="auto"/>
          <w:kern w:val="2"/>
          <w:sz w:val="24"/>
          <w:szCs w:val="24"/>
        </w:rPr>
        <w:t>发生变化，</w:t>
      </w:r>
      <w:r w:rsidR="002F5676">
        <w:rPr>
          <w:rFonts w:ascii="Calibri" w:hAnsi="Calibri" w:hint="eastAsia"/>
          <w:color w:val="auto"/>
          <w:kern w:val="2"/>
          <w:sz w:val="24"/>
          <w:szCs w:val="24"/>
        </w:rPr>
        <w:t>二期工程</w:t>
      </w:r>
      <w:r w:rsidR="002F5676">
        <w:rPr>
          <w:rFonts w:ascii="Calibri" w:hAnsi="Calibri"/>
          <w:color w:val="auto"/>
          <w:kern w:val="2"/>
          <w:sz w:val="24"/>
          <w:szCs w:val="24"/>
        </w:rPr>
        <w:t>建设仅在</w:t>
      </w:r>
      <w:r w:rsidR="002F5676">
        <w:rPr>
          <w:rFonts w:ascii="Calibri" w:hAnsi="Calibri" w:hint="eastAsia"/>
          <w:color w:val="auto"/>
          <w:kern w:val="2"/>
          <w:sz w:val="24"/>
          <w:szCs w:val="24"/>
        </w:rPr>
        <w:t>一期</w:t>
      </w:r>
      <w:r w:rsidR="002F5676">
        <w:rPr>
          <w:rFonts w:ascii="Calibri" w:hAnsi="Calibri"/>
          <w:color w:val="auto"/>
          <w:kern w:val="2"/>
          <w:sz w:val="24"/>
          <w:szCs w:val="24"/>
        </w:rPr>
        <w:t>工程</w:t>
      </w:r>
      <w:r w:rsidR="002F5676">
        <w:rPr>
          <w:rFonts w:ascii="Calibri" w:hAnsi="Calibri" w:hint="eastAsia"/>
          <w:color w:val="auto"/>
          <w:kern w:val="2"/>
          <w:sz w:val="24"/>
          <w:szCs w:val="24"/>
        </w:rPr>
        <w:t>生产</w:t>
      </w:r>
      <w:r w:rsidR="002F5676">
        <w:rPr>
          <w:rFonts w:ascii="Calibri" w:hAnsi="Calibri"/>
          <w:color w:val="auto"/>
          <w:kern w:val="2"/>
          <w:sz w:val="24"/>
          <w:szCs w:val="24"/>
        </w:rPr>
        <w:t>区域增加生产设备，</w:t>
      </w:r>
      <w:r w:rsidR="002F5676">
        <w:rPr>
          <w:rFonts w:ascii="Calibri" w:hAnsi="Calibri" w:hint="eastAsia"/>
          <w:color w:val="auto"/>
          <w:kern w:val="2"/>
          <w:sz w:val="24"/>
          <w:szCs w:val="24"/>
        </w:rPr>
        <w:t>进而增加</w:t>
      </w:r>
      <w:r>
        <w:rPr>
          <w:rFonts w:ascii="Calibri" w:hAnsi="Calibri"/>
          <w:color w:val="auto"/>
          <w:kern w:val="2"/>
          <w:sz w:val="24"/>
          <w:szCs w:val="24"/>
        </w:rPr>
        <w:t>生产规模。</w:t>
      </w:r>
      <w:r w:rsidR="003A305B">
        <w:rPr>
          <w:rFonts w:ascii="Calibri" w:hAnsi="Calibri" w:hint="eastAsia"/>
          <w:color w:val="auto"/>
          <w:kern w:val="2"/>
          <w:sz w:val="24"/>
          <w:szCs w:val="24"/>
        </w:rPr>
        <w:t>其主要生产设备见</w:t>
      </w:r>
      <w:r w:rsidR="004554C2" w:rsidRPr="00A964FF">
        <w:rPr>
          <w:rFonts w:ascii="Calibri" w:hAnsi="Calibri" w:hint="eastAsia"/>
          <w:color w:val="auto"/>
          <w:kern w:val="2"/>
          <w:sz w:val="24"/>
          <w:szCs w:val="24"/>
        </w:rPr>
        <w:t>表</w:t>
      </w:r>
      <w:r w:rsidR="004554C2" w:rsidRPr="00A964FF">
        <w:rPr>
          <w:rFonts w:ascii="Calibri" w:hAnsi="Calibri" w:hint="eastAsia"/>
          <w:color w:val="auto"/>
          <w:kern w:val="2"/>
          <w:sz w:val="24"/>
          <w:szCs w:val="24"/>
        </w:rPr>
        <w:t>2</w:t>
      </w:r>
      <w:r w:rsidR="00136AA7" w:rsidRPr="00A964FF">
        <w:rPr>
          <w:rFonts w:ascii="Calibri" w:hAnsi="Calibri" w:hint="eastAsia"/>
          <w:color w:val="auto"/>
          <w:kern w:val="2"/>
          <w:sz w:val="24"/>
          <w:szCs w:val="24"/>
        </w:rPr>
        <w:t>.1</w:t>
      </w:r>
      <w:r w:rsidR="004554C2" w:rsidRPr="00A964FF">
        <w:rPr>
          <w:rFonts w:ascii="Calibri" w:hAnsi="Calibri" w:hint="eastAsia"/>
          <w:color w:val="auto"/>
          <w:kern w:val="2"/>
          <w:sz w:val="24"/>
          <w:szCs w:val="24"/>
        </w:rPr>
        <w:t>-3</w:t>
      </w:r>
      <w:r w:rsidR="004554C2" w:rsidRPr="00A964FF">
        <w:rPr>
          <w:rFonts w:ascii="Calibri" w:hAnsi="Calibri" w:hint="eastAsia"/>
          <w:color w:val="auto"/>
          <w:kern w:val="2"/>
          <w:sz w:val="24"/>
          <w:szCs w:val="24"/>
        </w:rPr>
        <w:t>。</w:t>
      </w:r>
    </w:p>
    <w:p w14:paraId="2854A32F" w14:textId="77777777" w:rsidR="002F190B" w:rsidRDefault="002F190B" w:rsidP="00133CE6">
      <w:pPr>
        <w:spacing w:line="520" w:lineRule="exact"/>
        <w:ind w:firstLineChars="200" w:firstLine="480"/>
        <w:rPr>
          <w:rFonts w:ascii="Calibri" w:eastAsia="黑体"/>
          <w:color w:val="auto"/>
          <w:sz w:val="24"/>
        </w:rPr>
      </w:pPr>
    </w:p>
    <w:p w14:paraId="520505F5" w14:textId="77777777" w:rsidR="002F190B" w:rsidRDefault="002F190B" w:rsidP="00133CE6">
      <w:pPr>
        <w:spacing w:line="520" w:lineRule="exact"/>
        <w:ind w:firstLineChars="200" w:firstLine="480"/>
        <w:rPr>
          <w:rFonts w:ascii="Calibri" w:eastAsia="黑体"/>
          <w:color w:val="auto"/>
          <w:sz w:val="24"/>
        </w:rPr>
      </w:pPr>
    </w:p>
    <w:p w14:paraId="25C27793" w14:textId="77777777" w:rsidR="002F190B" w:rsidRDefault="002F190B" w:rsidP="00133CE6">
      <w:pPr>
        <w:spacing w:line="520" w:lineRule="exact"/>
        <w:ind w:firstLineChars="200" w:firstLine="480"/>
        <w:rPr>
          <w:rFonts w:ascii="Calibri" w:eastAsia="黑体"/>
          <w:color w:val="auto"/>
          <w:sz w:val="24"/>
        </w:rPr>
      </w:pPr>
    </w:p>
    <w:p w14:paraId="307207A3" w14:textId="77777777" w:rsidR="002F190B" w:rsidRDefault="002F190B" w:rsidP="00133CE6">
      <w:pPr>
        <w:spacing w:line="520" w:lineRule="exact"/>
        <w:ind w:firstLineChars="200" w:firstLine="480"/>
        <w:rPr>
          <w:rFonts w:ascii="Calibri" w:eastAsia="黑体"/>
          <w:color w:val="auto"/>
          <w:sz w:val="24"/>
        </w:rPr>
      </w:pPr>
    </w:p>
    <w:p w14:paraId="219BCBC3" w14:textId="77777777" w:rsidR="00133CE6" w:rsidRDefault="00133CE6" w:rsidP="00171BA9">
      <w:pPr>
        <w:spacing w:line="520" w:lineRule="exact"/>
        <w:ind w:firstLineChars="250" w:firstLine="600"/>
        <w:rPr>
          <w:rFonts w:ascii="Calibri" w:eastAsia="黑体" w:hAnsi="Calibri"/>
          <w:color w:val="auto"/>
          <w:sz w:val="24"/>
        </w:rPr>
      </w:pPr>
      <w:r w:rsidRPr="00A964FF">
        <w:rPr>
          <w:rFonts w:ascii="Calibri" w:eastAsia="黑体"/>
          <w:color w:val="auto"/>
          <w:sz w:val="24"/>
        </w:rPr>
        <w:lastRenderedPageBreak/>
        <w:t>表</w:t>
      </w:r>
      <w:r w:rsidRPr="00A964FF">
        <w:rPr>
          <w:rFonts w:ascii="Calibri" w:eastAsia="黑体" w:hAnsi="Calibri"/>
          <w:color w:val="auto"/>
          <w:sz w:val="24"/>
        </w:rPr>
        <w:t>2</w:t>
      </w:r>
      <w:r w:rsidRPr="00A964FF">
        <w:rPr>
          <w:rFonts w:ascii="Calibri" w:eastAsia="黑体" w:hAnsi="Calibri" w:hint="eastAsia"/>
          <w:color w:val="auto"/>
          <w:sz w:val="24"/>
        </w:rPr>
        <w:t>.1</w:t>
      </w:r>
      <w:r w:rsidRPr="00A964FF">
        <w:rPr>
          <w:rFonts w:ascii="Calibri" w:eastAsia="黑体" w:hAnsi="Calibri"/>
          <w:color w:val="auto"/>
          <w:sz w:val="24"/>
        </w:rPr>
        <w:t>-</w:t>
      </w:r>
      <w:r>
        <w:rPr>
          <w:rFonts w:ascii="Calibri" w:eastAsia="黑体" w:hAnsi="Calibri"/>
          <w:color w:val="auto"/>
          <w:sz w:val="24"/>
        </w:rPr>
        <w:t xml:space="preserve">3 </w:t>
      </w:r>
      <w:r>
        <w:rPr>
          <w:rFonts w:ascii="Calibri" w:eastAsia="黑体" w:hAnsi="Calibri" w:hint="eastAsia"/>
          <w:color w:val="auto"/>
          <w:sz w:val="24"/>
        </w:rPr>
        <w:t xml:space="preserve">   </w:t>
      </w:r>
      <w:r>
        <w:rPr>
          <w:rFonts w:ascii="Calibri" w:eastAsia="黑体" w:hAnsi="Calibri"/>
          <w:color w:val="auto"/>
          <w:sz w:val="24"/>
        </w:rPr>
        <w:t xml:space="preserve">          </w:t>
      </w:r>
      <w:r w:rsidRPr="00A964FF">
        <w:rPr>
          <w:rFonts w:ascii="Calibri" w:eastAsia="黑体" w:hAnsi="Calibri" w:hint="eastAsia"/>
          <w:color w:val="auto"/>
          <w:sz w:val="24"/>
        </w:rPr>
        <w:t>一期</w:t>
      </w:r>
      <w:r>
        <w:rPr>
          <w:rFonts w:ascii="Calibri" w:eastAsia="黑体" w:hAnsi="Calibri" w:hint="eastAsia"/>
          <w:color w:val="auto"/>
          <w:sz w:val="24"/>
        </w:rPr>
        <w:t>、二期</w:t>
      </w:r>
      <w:r w:rsidRPr="00A964FF">
        <w:rPr>
          <w:rFonts w:ascii="Calibri" w:eastAsia="黑体" w:hAnsi="Calibri" w:hint="eastAsia"/>
          <w:color w:val="auto"/>
          <w:sz w:val="24"/>
        </w:rPr>
        <w:t>工程</w:t>
      </w:r>
      <w:r>
        <w:rPr>
          <w:rFonts w:ascii="Calibri" w:eastAsia="黑体" w:hAnsi="Calibri" w:hint="eastAsia"/>
          <w:color w:val="auto"/>
          <w:sz w:val="24"/>
        </w:rPr>
        <w:t>主要设备明细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5"/>
        <w:gridCol w:w="2640"/>
        <w:gridCol w:w="1883"/>
        <w:gridCol w:w="1465"/>
        <w:gridCol w:w="1627"/>
      </w:tblGrid>
      <w:tr w:rsidR="002F190B" w:rsidRPr="00821059" w14:paraId="1298110E" w14:textId="77777777" w:rsidTr="008A5076">
        <w:trPr>
          <w:trHeight w:val="340"/>
          <w:jc w:val="center"/>
        </w:trPr>
        <w:tc>
          <w:tcPr>
            <w:tcW w:w="5000" w:type="pct"/>
            <w:gridSpan w:val="5"/>
            <w:shd w:val="clear" w:color="auto" w:fill="FFFFFF" w:themeFill="background1"/>
            <w:vAlign w:val="center"/>
          </w:tcPr>
          <w:p w14:paraId="70E4BF9E" w14:textId="77777777" w:rsidR="002F190B" w:rsidRPr="00133CE6" w:rsidRDefault="002F190B" w:rsidP="008A5076">
            <w:pPr>
              <w:widowControl/>
              <w:jc w:val="center"/>
              <w:rPr>
                <w:rFonts w:ascii="Calibri" w:hAnsi="Calibri"/>
                <w:color w:val="auto"/>
                <w:kern w:val="0"/>
                <w:szCs w:val="21"/>
              </w:rPr>
            </w:pPr>
            <w:r w:rsidRPr="00133CE6">
              <w:rPr>
                <w:rFonts w:ascii="Calibri" w:hAnsi="Calibri" w:hint="eastAsia"/>
                <w:color w:val="auto"/>
                <w:kern w:val="0"/>
                <w:szCs w:val="21"/>
              </w:rPr>
              <w:t>一期</w:t>
            </w:r>
            <w:r w:rsidRPr="00133CE6">
              <w:rPr>
                <w:rFonts w:ascii="Calibri" w:hAnsi="Calibri"/>
                <w:color w:val="auto"/>
                <w:kern w:val="0"/>
                <w:szCs w:val="21"/>
              </w:rPr>
              <w:t>主要生产设备</w:t>
            </w:r>
          </w:p>
        </w:tc>
      </w:tr>
      <w:tr w:rsidR="002F190B" w:rsidRPr="00821059" w14:paraId="0D0E8B32" w14:textId="77777777" w:rsidTr="00CE7021">
        <w:trPr>
          <w:trHeight w:val="340"/>
          <w:jc w:val="center"/>
        </w:trPr>
        <w:tc>
          <w:tcPr>
            <w:tcW w:w="624" w:type="pct"/>
            <w:vAlign w:val="center"/>
          </w:tcPr>
          <w:p w14:paraId="6ED2F4EA"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序号</w:t>
            </w:r>
          </w:p>
        </w:tc>
        <w:tc>
          <w:tcPr>
            <w:tcW w:w="1517" w:type="pct"/>
            <w:vAlign w:val="center"/>
          </w:tcPr>
          <w:p w14:paraId="2E0AA301"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名</w:t>
            </w:r>
            <w:r w:rsidRPr="00133CE6">
              <w:rPr>
                <w:rFonts w:ascii="Calibri" w:hAnsi="Calibri"/>
                <w:color w:val="auto"/>
                <w:kern w:val="0"/>
                <w:szCs w:val="21"/>
              </w:rPr>
              <w:t xml:space="preserve">      </w:t>
            </w:r>
            <w:r w:rsidRPr="00133CE6">
              <w:rPr>
                <w:rFonts w:ascii="Calibri" w:hAnsi="Calibri"/>
                <w:color w:val="auto"/>
                <w:kern w:val="0"/>
                <w:szCs w:val="21"/>
              </w:rPr>
              <w:t>称</w:t>
            </w:r>
          </w:p>
        </w:tc>
        <w:tc>
          <w:tcPr>
            <w:tcW w:w="1082" w:type="pct"/>
            <w:vAlign w:val="center"/>
          </w:tcPr>
          <w:p w14:paraId="691C29B7"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规格型号</w:t>
            </w:r>
          </w:p>
        </w:tc>
        <w:tc>
          <w:tcPr>
            <w:tcW w:w="842" w:type="pct"/>
            <w:vAlign w:val="center"/>
          </w:tcPr>
          <w:p w14:paraId="78792ED7"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产</w:t>
            </w:r>
            <w:r w:rsidRPr="00133CE6">
              <w:rPr>
                <w:rFonts w:ascii="Calibri" w:hAnsi="Calibri"/>
                <w:color w:val="auto"/>
                <w:kern w:val="0"/>
                <w:szCs w:val="21"/>
              </w:rPr>
              <w:t xml:space="preserve"> </w:t>
            </w:r>
            <w:r w:rsidRPr="00133CE6">
              <w:rPr>
                <w:rFonts w:ascii="Calibri" w:hAnsi="Calibri"/>
                <w:color w:val="auto"/>
                <w:kern w:val="0"/>
                <w:szCs w:val="21"/>
              </w:rPr>
              <w:t>地</w:t>
            </w:r>
          </w:p>
        </w:tc>
        <w:tc>
          <w:tcPr>
            <w:tcW w:w="935" w:type="pct"/>
            <w:vAlign w:val="center"/>
          </w:tcPr>
          <w:p w14:paraId="5C06D462"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数量</w:t>
            </w:r>
            <w:r w:rsidRPr="00133CE6">
              <w:rPr>
                <w:rFonts w:ascii="Calibri" w:hAnsi="Calibri"/>
                <w:color w:val="auto"/>
                <w:kern w:val="0"/>
                <w:szCs w:val="21"/>
              </w:rPr>
              <w:t>/</w:t>
            </w:r>
            <w:r w:rsidRPr="00133CE6">
              <w:rPr>
                <w:rFonts w:ascii="Calibri" w:hAnsi="Calibri"/>
                <w:color w:val="auto"/>
                <w:kern w:val="0"/>
                <w:szCs w:val="21"/>
              </w:rPr>
              <w:t>台</w:t>
            </w:r>
          </w:p>
        </w:tc>
      </w:tr>
      <w:tr w:rsidR="002F190B" w:rsidRPr="00821059" w14:paraId="1EE22015" w14:textId="77777777" w:rsidTr="00CE7021">
        <w:trPr>
          <w:trHeight w:val="340"/>
          <w:jc w:val="center"/>
        </w:trPr>
        <w:tc>
          <w:tcPr>
            <w:tcW w:w="624" w:type="pct"/>
            <w:vAlign w:val="center"/>
          </w:tcPr>
          <w:p w14:paraId="01FEBD9B"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1</w:t>
            </w:r>
          </w:p>
        </w:tc>
        <w:tc>
          <w:tcPr>
            <w:tcW w:w="1517" w:type="pct"/>
            <w:vAlign w:val="center"/>
          </w:tcPr>
          <w:p w14:paraId="24BC9EE1"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不锈钢反应釜</w:t>
            </w:r>
          </w:p>
        </w:tc>
        <w:tc>
          <w:tcPr>
            <w:tcW w:w="1082" w:type="pct"/>
            <w:vAlign w:val="center"/>
          </w:tcPr>
          <w:p w14:paraId="7327E0B9"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1500L</w:t>
            </w:r>
          </w:p>
        </w:tc>
        <w:tc>
          <w:tcPr>
            <w:tcW w:w="842" w:type="pct"/>
            <w:vAlign w:val="center"/>
          </w:tcPr>
          <w:p w14:paraId="5BE518E2" w14:textId="77777777" w:rsidR="002F190B" w:rsidRPr="00133CE6" w:rsidRDefault="002F190B" w:rsidP="008A5076">
            <w:pPr>
              <w:widowControl/>
              <w:jc w:val="center"/>
              <w:rPr>
                <w:rFonts w:ascii="Calibri" w:hAnsi="Calibri"/>
                <w:color w:val="auto"/>
                <w:kern w:val="0"/>
                <w:szCs w:val="21"/>
              </w:rPr>
            </w:pPr>
            <w:r>
              <w:rPr>
                <w:rFonts w:ascii="Calibri" w:hAnsi="Calibri" w:hint="eastAsia"/>
                <w:color w:val="auto"/>
                <w:kern w:val="0"/>
                <w:szCs w:val="21"/>
              </w:rPr>
              <w:t>山东</w:t>
            </w:r>
          </w:p>
        </w:tc>
        <w:tc>
          <w:tcPr>
            <w:tcW w:w="935" w:type="pct"/>
            <w:vAlign w:val="center"/>
          </w:tcPr>
          <w:p w14:paraId="7EF883B8" w14:textId="77777777" w:rsidR="002F190B" w:rsidRPr="00133CE6" w:rsidRDefault="00F7756F" w:rsidP="008A5076">
            <w:pPr>
              <w:widowControl/>
              <w:jc w:val="center"/>
              <w:rPr>
                <w:rFonts w:ascii="Calibri" w:hAnsi="Calibri"/>
                <w:color w:val="auto"/>
                <w:kern w:val="0"/>
                <w:szCs w:val="21"/>
              </w:rPr>
            </w:pPr>
            <w:r>
              <w:rPr>
                <w:rFonts w:ascii="Calibri" w:hAnsi="Calibri"/>
                <w:color w:val="auto"/>
                <w:kern w:val="0"/>
                <w:szCs w:val="21"/>
              </w:rPr>
              <w:t>12</w:t>
            </w:r>
          </w:p>
        </w:tc>
      </w:tr>
      <w:tr w:rsidR="002F190B" w:rsidRPr="00821059" w14:paraId="795394AF" w14:textId="77777777" w:rsidTr="00CE7021">
        <w:trPr>
          <w:trHeight w:val="340"/>
          <w:jc w:val="center"/>
        </w:trPr>
        <w:tc>
          <w:tcPr>
            <w:tcW w:w="624" w:type="pct"/>
            <w:vAlign w:val="center"/>
          </w:tcPr>
          <w:p w14:paraId="63F59161"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2</w:t>
            </w:r>
          </w:p>
        </w:tc>
        <w:tc>
          <w:tcPr>
            <w:tcW w:w="1517" w:type="pct"/>
            <w:vAlign w:val="center"/>
          </w:tcPr>
          <w:p w14:paraId="5ED72894"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不锈钢储罐</w:t>
            </w:r>
          </w:p>
        </w:tc>
        <w:tc>
          <w:tcPr>
            <w:tcW w:w="1082" w:type="pct"/>
            <w:vAlign w:val="center"/>
          </w:tcPr>
          <w:p w14:paraId="7F3C96A5"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6000</w:t>
            </w:r>
            <w:r w:rsidRPr="00133CE6">
              <w:rPr>
                <w:rFonts w:ascii="Calibri" w:hAnsi="Calibri"/>
                <w:color w:val="auto"/>
                <w:kern w:val="0"/>
                <w:szCs w:val="21"/>
              </w:rPr>
              <w:t>L</w:t>
            </w:r>
          </w:p>
        </w:tc>
        <w:tc>
          <w:tcPr>
            <w:tcW w:w="842" w:type="pct"/>
            <w:vAlign w:val="center"/>
          </w:tcPr>
          <w:p w14:paraId="526C32D3"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郑州</w:t>
            </w:r>
          </w:p>
        </w:tc>
        <w:tc>
          <w:tcPr>
            <w:tcW w:w="935" w:type="pct"/>
            <w:vAlign w:val="center"/>
          </w:tcPr>
          <w:p w14:paraId="1BE69E4C"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15</w:t>
            </w:r>
          </w:p>
        </w:tc>
      </w:tr>
      <w:tr w:rsidR="002F190B" w:rsidRPr="00821059" w14:paraId="5833676A" w14:textId="77777777" w:rsidTr="00CE7021">
        <w:trPr>
          <w:trHeight w:val="340"/>
          <w:jc w:val="center"/>
        </w:trPr>
        <w:tc>
          <w:tcPr>
            <w:tcW w:w="624" w:type="pct"/>
            <w:vAlign w:val="center"/>
          </w:tcPr>
          <w:p w14:paraId="167BFDEE"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3</w:t>
            </w:r>
          </w:p>
        </w:tc>
        <w:tc>
          <w:tcPr>
            <w:tcW w:w="1517" w:type="pct"/>
            <w:vAlign w:val="center"/>
          </w:tcPr>
          <w:p w14:paraId="2DC94CC8" w14:textId="77777777" w:rsidR="002F190B" w:rsidRPr="00133CE6" w:rsidRDefault="002F190B" w:rsidP="008A5076">
            <w:pPr>
              <w:widowControl/>
              <w:jc w:val="center"/>
              <w:rPr>
                <w:rFonts w:ascii="Calibri" w:hAnsi="Calibri"/>
                <w:color w:val="auto"/>
                <w:kern w:val="0"/>
                <w:szCs w:val="21"/>
              </w:rPr>
            </w:pPr>
            <w:r w:rsidRPr="00133CE6">
              <w:rPr>
                <w:rFonts w:ascii="Calibri" w:hAnsi="Calibri"/>
                <w:color w:val="auto"/>
                <w:kern w:val="0"/>
                <w:szCs w:val="21"/>
              </w:rPr>
              <w:t>切粒机</w:t>
            </w:r>
          </w:p>
        </w:tc>
        <w:tc>
          <w:tcPr>
            <w:tcW w:w="1082" w:type="pct"/>
            <w:vAlign w:val="center"/>
          </w:tcPr>
          <w:p w14:paraId="1E936CC6"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LM900</w:t>
            </w:r>
          </w:p>
        </w:tc>
        <w:tc>
          <w:tcPr>
            <w:tcW w:w="842" w:type="pct"/>
            <w:vAlign w:val="center"/>
          </w:tcPr>
          <w:p w14:paraId="18C0B2C9" w14:textId="77777777" w:rsidR="002F190B" w:rsidRPr="00133CE6" w:rsidRDefault="002F190B" w:rsidP="008A5076">
            <w:pPr>
              <w:widowControl/>
              <w:jc w:val="center"/>
              <w:rPr>
                <w:rFonts w:ascii="Calibri" w:hAnsi="Calibri"/>
                <w:color w:val="auto"/>
                <w:kern w:val="0"/>
                <w:szCs w:val="21"/>
              </w:rPr>
            </w:pPr>
            <w:r>
              <w:rPr>
                <w:rFonts w:ascii="Calibri" w:hAnsi="Calibri" w:hint="eastAsia"/>
                <w:color w:val="auto"/>
                <w:kern w:val="0"/>
                <w:szCs w:val="21"/>
              </w:rPr>
              <w:t>浙江</w:t>
            </w:r>
          </w:p>
        </w:tc>
        <w:tc>
          <w:tcPr>
            <w:tcW w:w="935" w:type="pct"/>
            <w:vAlign w:val="center"/>
          </w:tcPr>
          <w:p w14:paraId="33978E1B"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7</w:t>
            </w:r>
          </w:p>
        </w:tc>
      </w:tr>
      <w:tr w:rsidR="002F190B" w:rsidRPr="00821059" w14:paraId="52AF319F" w14:textId="77777777" w:rsidTr="00CE7021">
        <w:trPr>
          <w:trHeight w:val="340"/>
          <w:jc w:val="center"/>
        </w:trPr>
        <w:tc>
          <w:tcPr>
            <w:tcW w:w="624" w:type="pct"/>
            <w:vAlign w:val="center"/>
          </w:tcPr>
          <w:p w14:paraId="471343E5"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4</w:t>
            </w:r>
          </w:p>
        </w:tc>
        <w:tc>
          <w:tcPr>
            <w:tcW w:w="1517" w:type="pct"/>
            <w:vAlign w:val="center"/>
          </w:tcPr>
          <w:p w14:paraId="492081BB" w14:textId="77777777" w:rsidR="002F190B" w:rsidRPr="00133CE6" w:rsidRDefault="002F190B" w:rsidP="008A5076">
            <w:pPr>
              <w:widowControl/>
              <w:jc w:val="center"/>
              <w:rPr>
                <w:rFonts w:ascii="Calibri" w:hAnsi="Calibri"/>
                <w:color w:val="auto"/>
                <w:kern w:val="0"/>
                <w:szCs w:val="21"/>
              </w:rPr>
            </w:pPr>
            <w:r>
              <w:rPr>
                <w:rFonts w:ascii="Calibri" w:hAnsi="Calibri" w:hint="eastAsia"/>
                <w:color w:val="auto"/>
                <w:kern w:val="0"/>
                <w:szCs w:val="21"/>
              </w:rPr>
              <w:t>包装设备</w:t>
            </w:r>
          </w:p>
        </w:tc>
        <w:tc>
          <w:tcPr>
            <w:tcW w:w="1082" w:type="pct"/>
            <w:vAlign w:val="center"/>
          </w:tcPr>
          <w:p w14:paraId="7F1DBF18"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w:t>
            </w:r>
          </w:p>
        </w:tc>
        <w:tc>
          <w:tcPr>
            <w:tcW w:w="842" w:type="pct"/>
            <w:vAlign w:val="center"/>
          </w:tcPr>
          <w:p w14:paraId="3338E598" w14:textId="77777777" w:rsidR="002F190B" w:rsidRPr="00133CE6"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28CCC506" w14:textId="77777777" w:rsidR="002F190B" w:rsidRPr="00133CE6" w:rsidRDefault="002F190B" w:rsidP="008A5076">
            <w:pPr>
              <w:widowControl/>
              <w:jc w:val="center"/>
              <w:rPr>
                <w:rFonts w:ascii="Calibri" w:hAnsi="Calibri"/>
                <w:color w:val="auto"/>
                <w:kern w:val="0"/>
                <w:szCs w:val="21"/>
              </w:rPr>
            </w:pPr>
            <w:r>
              <w:rPr>
                <w:rFonts w:ascii="Calibri" w:hAnsi="Calibri"/>
                <w:color w:val="auto"/>
                <w:kern w:val="0"/>
                <w:szCs w:val="21"/>
              </w:rPr>
              <w:t>6</w:t>
            </w:r>
          </w:p>
        </w:tc>
      </w:tr>
      <w:tr w:rsidR="002F190B" w:rsidRPr="00821059" w14:paraId="51688117" w14:textId="77777777" w:rsidTr="00CE7021">
        <w:trPr>
          <w:trHeight w:val="340"/>
          <w:jc w:val="center"/>
        </w:trPr>
        <w:tc>
          <w:tcPr>
            <w:tcW w:w="624" w:type="pct"/>
            <w:vAlign w:val="center"/>
          </w:tcPr>
          <w:p w14:paraId="260F94AD" w14:textId="77777777" w:rsidR="002F190B" w:rsidRPr="00133CE6" w:rsidRDefault="002F190B" w:rsidP="008A5076">
            <w:pPr>
              <w:widowControl/>
              <w:jc w:val="center"/>
              <w:rPr>
                <w:rFonts w:ascii="Calibri" w:hAnsi="Calibri"/>
                <w:color w:val="auto"/>
                <w:kern w:val="0"/>
                <w:szCs w:val="21"/>
              </w:rPr>
            </w:pPr>
            <w:r>
              <w:rPr>
                <w:rFonts w:ascii="Calibri" w:hAnsi="Calibri" w:hint="eastAsia"/>
                <w:color w:val="auto"/>
                <w:kern w:val="0"/>
                <w:szCs w:val="21"/>
              </w:rPr>
              <w:t>5</w:t>
            </w:r>
          </w:p>
        </w:tc>
        <w:tc>
          <w:tcPr>
            <w:tcW w:w="1517" w:type="pct"/>
            <w:vAlign w:val="center"/>
          </w:tcPr>
          <w:p w14:paraId="3EC78A9D"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冷水</w:t>
            </w:r>
            <w:r>
              <w:rPr>
                <w:rFonts w:ascii="Calibri" w:hAnsi="Calibri"/>
                <w:color w:val="auto"/>
                <w:kern w:val="0"/>
                <w:szCs w:val="21"/>
              </w:rPr>
              <w:t>塔</w:t>
            </w:r>
          </w:p>
        </w:tc>
        <w:tc>
          <w:tcPr>
            <w:tcW w:w="1082" w:type="pct"/>
            <w:vAlign w:val="center"/>
          </w:tcPr>
          <w:p w14:paraId="081D73BE"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842" w:type="pct"/>
            <w:vAlign w:val="center"/>
          </w:tcPr>
          <w:p w14:paraId="6CEDF72B"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003020D7"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1</w:t>
            </w:r>
          </w:p>
        </w:tc>
      </w:tr>
      <w:tr w:rsidR="002F190B" w:rsidRPr="00821059" w14:paraId="7A232B2B" w14:textId="77777777" w:rsidTr="00CE7021">
        <w:trPr>
          <w:trHeight w:val="340"/>
          <w:jc w:val="center"/>
        </w:trPr>
        <w:tc>
          <w:tcPr>
            <w:tcW w:w="624" w:type="pct"/>
            <w:vAlign w:val="center"/>
          </w:tcPr>
          <w:p w14:paraId="312D36E9" w14:textId="77777777" w:rsidR="002F190B" w:rsidRPr="00133CE6" w:rsidRDefault="002F190B" w:rsidP="008A5076">
            <w:pPr>
              <w:widowControl/>
              <w:jc w:val="center"/>
              <w:rPr>
                <w:rFonts w:ascii="Calibri" w:hAnsi="Calibri"/>
                <w:color w:val="auto"/>
                <w:kern w:val="0"/>
                <w:szCs w:val="21"/>
              </w:rPr>
            </w:pPr>
            <w:r>
              <w:rPr>
                <w:rFonts w:ascii="Calibri" w:hAnsi="Calibri" w:hint="eastAsia"/>
                <w:color w:val="auto"/>
                <w:kern w:val="0"/>
                <w:szCs w:val="21"/>
              </w:rPr>
              <w:t>6</w:t>
            </w:r>
          </w:p>
        </w:tc>
        <w:tc>
          <w:tcPr>
            <w:tcW w:w="1517" w:type="pct"/>
            <w:vAlign w:val="center"/>
          </w:tcPr>
          <w:p w14:paraId="2EA04B8F"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干燥机</w:t>
            </w:r>
          </w:p>
        </w:tc>
        <w:tc>
          <w:tcPr>
            <w:tcW w:w="1082" w:type="pct"/>
            <w:vAlign w:val="center"/>
          </w:tcPr>
          <w:p w14:paraId="567F684B"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842" w:type="pct"/>
            <w:vAlign w:val="center"/>
          </w:tcPr>
          <w:p w14:paraId="70D0D9B0"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173C29FA"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12</w:t>
            </w:r>
          </w:p>
        </w:tc>
      </w:tr>
      <w:tr w:rsidR="002F190B" w:rsidRPr="00821059" w14:paraId="7F922EDC" w14:textId="77777777" w:rsidTr="00CE7021">
        <w:trPr>
          <w:trHeight w:val="340"/>
          <w:jc w:val="center"/>
        </w:trPr>
        <w:tc>
          <w:tcPr>
            <w:tcW w:w="624" w:type="pct"/>
            <w:vAlign w:val="center"/>
          </w:tcPr>
          <w:p w14:paraId="323BF82C"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7</w:t>
            </w:r>
          </w:p>
        </w:tc>
        <w:tc>
          <w:tcPr>
            <w:tcW w:w="1517" w:type="pct"/>
            <w:vAlign w:val="center"/>
          </w:tcPr>
          <w:p w14:paraId="41AC8B06"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空压机</w:t>
            </w:r>
          </w:p>
        </w:tc>
        <w:tc>
          <w:tcPr>
            <w:tcW w:w="1082" w:type="pct"/>
            <w:vAlign w:val="center"/>
          </w:tcPr>
          <w:p w14:paraId="135E3342"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842" w:type="pct"/>
            <w:vAlign w:val="center"/>
          </w:tcPr>
          <w:p w14:paraId="1FE128CB"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1BE6C7F8" w14:textId="77777777" w:rsidR="002F190B" w:rsidRDefault="00F7756F" w:rsidP="00F7756F">
            <w:pPr>
              <w:widowControl/>
              <w:jc w:val="center"/>
              <w:rPr>
                <w:rFonts w:ascii="Calibri" w:hAnsi="Calibri"/>
                <w:color w:val="auto"/>
                <w:kern w:val="0"/>
                <w:szCs w:val="21"/>
              </w:rPr>
            </w:pPr>
            <w:r>
              <w:rPr>
                <w:rFonts w:ascii="Calibri" w:hAnsi="Calibri"/>
                <w:color w:val="auto"/>
                <w:kern w:val="0"/>
                <w:szCs w:val="21"/>
              </w:rPr>
              <w:t>4</w:t>
            </w:r>
            <w:r>
              <w:rPr>
                <w:rFonts w:ascii="Calibri" w:hAnsi="Calibri" w:hint="eastAsia"/>
                <w:color w:val="auto"/>
                <w:kern w:val="0"/>
                <w:szCs w:val="21"/>
              </w:rPr>
              <w:t>（</w:t>
            </w:r>
            <w:r>
              <w:rPr>
                <w:rFonts w:ascii="Calibri" w:hAnsi="Calibri" w:hint="eastAsia"/>
                <w:color w:val="auto"/>
                <w:kern w:val="0"/>
                <w:szCs w:val="21"/>
              </w:rPr>
              <w:t>3</w:t>
            </w:r>
            <w:r>
              <w:rPr>
                <w:rFonts w:ascii="Calibri" w:hAnsi="Calibri" w:hint="eastAsia"/>
                <w:color w:val="auto"/>
                <w:kern w:val="0"/>
                <w:szCs w:val="21"/>
              </w:rPr>
              <w:t>用</w:t>
            </w:r>
            <w:r>
              <w:rPr>
                <w:rFonts w:ascii="Calibri" w:hAnsi="Calibri" w:hint="eastAsia"/>
                <w:color w:val="auto"/>
                <w:kern w:val="0"/>
                <w:szCs w:val="21"/>
              </w:rPr>
              <w:t>1</w:t>
            </w:r>
            <w:r>
              <w:rPr>
                <w:rFonts w:ascii="Calibri" w:hAnsi="Calibri" w:hint="eastAsia"/>
                <w:color w:val="auto"/>
                <w:kern w:val="0"/>
                <w:szCs w:val="21"/>
              </w:rPr>
              <w:t>备）</w:t>
            </w:r>
          </w:p>
        </w:tc>
      </w:tr>
      <w:tr w:rsidR="00CE7021" w:rsidRPr="00821059" w14:paraId="3DFA5A37" w14:textId="77777777" w:rsidTr="00CE7021">
        <w:trPr>
          <w:trHeight w:val="340"/>
          <w:jc w:val="center"/>
        </w:trPr>
        <w:tc>
          <w:tcPr>
            <w:tcW w:w="624" w:type="pct"/>
            <w:vAlign w:val="center"/>
          </w:tcPr>
          <w:p w14:paraId="261CAFD9" w14:textId="77777777" w:rsidR="00CE7021" w:rsidRDefault="00CE7021" w:rsidP="00CE7021">
            <w:pPr>
              <w:widowControl/>
              <w:jc w:val="center"/>
              <w:rPr>
                <w:rFonts w:ascii="Calibri" w:hAnsi="Calibri"/>
                <w:color w:val="auto"/>
                <w:kern w:val="0"/>
                <w:szCs w:val="21"/>
              </w:rPr>
            </w:pPr>
            <w:r>
              <w:rPr>
                <w:rFonts w:ascii="Calibri" w:hAnsi="Calibri" w:hint="eastAsia"/>
                <w:color w:val="auto"/>
                <w:kern w:val="0"/>
                <w:szCs w:val="21"/>
              </w:rPr>
              <w:t>8</w:t>
            </w:r>
          </w:p>
        </w:tc>
        <w:tc>
          <w:tcPr>
            <w:tcW w:w="1517" w:type="pct"/>
            <w:vAlign w:val="center"/>
          </w:tcPr>
          <w:p w14:paraId="3592F079" w14:textId="77777777" w:rsidR="00CE7021" w:rsidRPr="00133CE6" w:rsidRDefault="00CE7021" w:rsidP="005D56B8">
            <w:pPr>
              <w:widowControl/>
              <w:ind w:firstLineChars="350" w:firstLine="735"/>
              <w:rPr>
                <w:rFonts w:ascii="Calibri" w:hAnsi="Calibri"/>
                <w:color w:val="auto"/>
                <w:kern w:val="0"/>
                <w:szCs w:val="21"/>
              </w:rPr>
            </w:pPr>
            <w:r w:rsidRPr="00133CE6">
              <w:rPr>
                <w:rFonts w:ascii="Calibri" w:hAnsi="Calibri"/>
                <w:color w:val="auto"/>
                <w:kern w:val="0"/>
                <w:szCs w:val="21"/>
              </w:rPr>
              <w:t>导热油炉</w:t>
            </w:r>
          </w:p>
        </w:tc>
        <w:tc>
          <w:tcPr>
            <w:tcW w:w="1082" w:type="pct"/>
            <w:vAlign w:val="center"/>
          </w:tcPr>
          <w:p w14:paraId="61202739" w14:textId="77777777" w:rsidR="00CE7021" w:rsidRPr="00133CE6" w:rsidRDefault="00CE7021" w:rsidP="00CE7021">
            <w:pPr>
              <w:widowControl/>
              <w:jc w:val="center"/>
              <w:rPr>
                <w:rFonts w:ascii="Calibri" w:hAnsi="Calibri"/>
                <w:color w:val="auto"/>
                <w:kern w:val="0"/>
                <w:szCs w:val="21"/>
              </w:rPr>
            </w:pPr>
            <w:r w:rsidRPr="00133CE6">
              <w:rPr>
                <w:rFonts w:ascii="Calibri" w:hAnsi="Calibri"/>
                <w:color w:val="auto"/>
                <w:kern w:val="0"/>
                <w:szCs w:val="21"/>
              </w:rPr>
              <w:t>1500Y</w:t>
            </w:r>
          </w:p>
        </w:tc>
        <w:tc>
          <w:tcPr>
            <w:tcW w:w="842" w:type="pct"/>
            <w:vAlign w:val="center"/>
          </w:tcPr>
          <w:p w14:paraId="298DAAAC" w14:textId="77777777" w:rsidR="00CE7021" w:rsidRPr="00133CE6" w:rsidRDefault="00CE7021" w:rsidP="00CE7021">
            <w:pPr>
              <w:widowControl/>
              <w:jc w:val="center"/>
              <w:rPr>
                <w:rFonts w:ascii="Calibri" w:hAnsi="Calibri"/>
                <w:color w:val="auto"/>
                <w:kern w:val="0"/>
                <w:szCs w:val="21"/>
              </w:rPr>
            </w:pPr>
            <w:r w:rsidRPr="00133CE6">
              <w:rPr>
                <w:rFonts w:ascii="Calibri" w:hAnsi="Calibri"/>
                <w:color w:val="auto"/>
                <w:kern w:val="0"/>
                <w:szCs w:val="21"/>
              </w:rPr>
              <w:t>常州</w:t>
            </w:r>
          </w:p>
        </w:tc>
        <w:tc>
          <w:tcPr>
            <w:tcW w:w="935" w:type="pct"/>
            <w:vAlign w:val="center"/>
          </w:tcPr>
          <w:p w14:paraId="3AD950B7" w14:textId="77777777" w:rsidR="00CE7021" w:rsidRPr="00133CE6" w:rsidRDefault="00CE7021" w:rsidP="00CE7021">
            <w:pPr>
              <w:widowControl/>
              <w:jc w:val="center"/>
              <w:rPr>
                <w:rFonts w:ascii="Calibri" w:hAnsi="Calibri"/>
                <w:color w:val="auto"/>
                <w:kern w:val="0"/>
                <w:szCs w:val="21"/>
              </w:rPr>
            </w:pPr>
            <w:r w:rsidRPr="00133CE6">
              <w:rPr>
                <w:rFonts w:ascii="Calibri" w:hAnsi="Calibri"/>
                <w:color w:val="auto"/>
                <w:kern w:val="0"/>
                <w:szCs w:val="21"/>
              </w:rPr>
              <w:t>2</w:t>
            </w:r>
            <w:r>
              <w:rPr>
                <w:rFonts w:ascii="Calibri" w:hAnsi="Calibri" w:hint="eastAsia"/>
                <w:color w:val="auto"/>
                <w:kern w:val="0"/>
                <w:szCs w:val="21"/>
              </w:rPr>
              <w:t>（一期</w:t>
            </w:r>
            <w:r>
              <w:rPr>
                <w:rFonts w:ascii="Calibri" w:hAnsi="Calibri"/>
                <w:color w:val="auto"/>
                <w:kern w:val="0"/>
                <w:szCs w:val="21"/>
              </w:rPr>
              <w:t>、二期共用</w:t>
            </w:r>
            <w:r>
              <w:rPr>
                <w:rFonts w:ascii="Calibri" w:hAnsi="Calibri" w:hint="eastAsia"/>
                <w:color w:val="auto"/>
                <w:kern w:val="0"/>
                <w:szCs w:val="21"/>
              </w:rPr>
              <w:t>）</w:t>
            </w:r>
          </w:p>
        </w:tc>
      </w:tr>
      <w:tr w:rsidR="00CE7021" w:rsidRPr="00821059" w14:paraId="50391E6F" w14:textId="77777777" w:rsidTr="00CE7021">
        <w:trPr>
          <w:trHeight w:val="340"/>
          <w:jc w:val="center"/>
        </w:trPr>
        <w:tc>
          <w:tcPr>
            <w:tcW w:w="624" w:type="pct"/>
            <w:vAlign w:val="center"/>
          </w:tcPr>
          <w:p w14:paraId="4863D2BC" w14:textId="77777777" w:rsidR="00CE7021" w:rsidRDefault="00CE7021" w:rsidP="00CE7021">
            <w:pPr>
              <w:widowControl/>
              <w:jc w:val="center"/>
              <w:rPr>
                <w:rFonts w:ascii="Calibri" w:hAnsi="Calibri"/>
                <w:color w:val="auto"/>
                <w:kern w:val="0"/>
                <w:szCs w:val="21"/>
              </w:rPr>
            </w:pPr>
            <w:r>
              <w:rPr>
                <w:rFonts w:ascii="Calibri" w:hAnsi="Calibri" w:hint="eastAsia"/>
                <w:color w:val="auto"/>
                <w:kern w:val="0"/>
                <w:szCs w:val="21"/>
              </w:rPr>
              <w:t>9</w:t>
            </w:r>
          </w:p>
        </w:tc>
        <w:tc>
          <w:tcPr>
            <w:tcW w:w="1517" w:type="pct"/>
            <w:vAlign w:val="center"/>
          </w:tcPr>
          <w:p w14:paraId="38985F92" w14:textId="77777777" w:rsidR="00CE7021" w:rsidRPr="00133CE6" w:rsidRDefault="00CE7021" w:rsidP="00CE7021">
            <w:pPr>
              <w:widowControl/>
              <w:jc w:val="center"/>
              <w:rPr>
                <w:rFonts w:ascii="Calibri" w:hAnsi="Calibri"/>
                <w:color w:val="auto"/>
                <w:kern w:val="0"/>
                <w:szCs w:val="21"/>
              </w:rPr>
            </w:pPr>
            <w:r>
              <w:rPr>
                <w:rFonts w:ascii="Calibri" w:hAnsi="Calibri" w:hint="eastAsia"/>
                <w:color w:val="auto"/>
                <w:kern w:val="0"/>
                <w:szCs w:val="21"/>
              </w:rPr>
              <w:t>纯水</w:t>
            </w:r>
            <w:r>
              <w:rPr>
                <w:rFonts w:ascii="Calibri" w:hAnsi="Calibri"/>
                <w:color w:val="auto"/>
                <w:kern w:val="0"/>
                <w:szCs w:val="21"/>
              </w:rPr>
              <w:t>制备</w:t>
            </w:r>
            <w:r>
              <w:rPr>
                <w:rFonts w:ascii="Calibri" w:hAnsi="Calibri" w:hint="eastAsia"/>
                <w:color w:val="auto"/>
                <w:kern w:val="0"/>
                <w:szCs w:val="21"/>
              </w:rPr>
              <w:t>机</w:t>
            </w:r>
          </w:p>
        </w:tc>
        <w:tc>
          <w:tcPr>
            <w:tcW w:w="1082" w:type="pct"/>
            <w:vAlign w:val="center"/>
          </w:tcPr>
          <w:p w14:paraId="489745BF" w14:textId="77777777" w:rsidR="00CE7021" w:rsidRPr="00133CE6" w:rsidRDefault="00CE7021" w:rsidP="00CE7021">
            <w:pPr>
              <w:widowControl/>
              <w:jc w:val="center"/>
              <w:rPr>
                <w:rFonts w:ascii="Calibri" w:hAnsi="Calibri"/>
                <w:color w:val="auto"/>
                <w:kern w:val="0"/>
                <w:szCs w:val="21"/>
              </w:rPr>
            </w:pPr>
            <w:r>
              <w:rPr>
                <w:rFonts w:ascii="Calibri" w:hAnsi="Calibri" w:hint="eastAsia"/>
                <w:color w:val="auto"/>
                <w:kern w:val="0"/>
                <w:szCs w:val="21"/>
              </w:rPr>
              <w:t>3</w:t>
            </w:r>
            <w:r>
              <w:rPr>
                <w:rFonts w:ascii="Calibri" w:hAnsi="Calibri"/>
                <w:color w:val="auto"/>
                <w:kern w:val="0"/>
                <w:szCs w:val="21"/>
              </w:rPr>
              <w:t>t/h</w:t>
            </w:r>
          </w:p>
        </w:tc>
        <w:tc>
          <w:tcPr>
            <w:tcW w:w="842" w:type="pct"/>
            <w:vAlign w:val="center"/>
          </w:tcPr>
          <w:p w14:paraId="6E5B84D4" w14:textId="77777777" w:rsidR="00CE7021" w:rsidRPr="00133CE6" w:rsidRDefault="00CE7021" w:rsidP="00CE7021">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4803AE0E" w14:textId="77777777" w:rsidR="00CE7021" w:rsidRPr="00133CE6" w:rsidRDefault="00CE7021" w:rsidP="00CE7021">
            <w:pPr>
              <w:widowControl/>
              <w:jc w:val="center"/>
              <w:rPr>
                <w:rFonts w:ascii="Calibri" w:hAnsi="Calibri"/>
                <w:color w:val="auto"/>
                <w:kern w:val="0"/>
                <w:szCs w:val="21"/>
              </w:rPr>
            </w:pPr>
            <w:r>
              <w:rPr>
                <w:rFonts w:ascii="Calibri" w:hAnsi="Calibri"/>
                <w:color w:val="auto"/>
                <w:kern w:val="0"/>
                <w:szCs w:val="21"/>
              </w:rPr>
              <w:t>1</w:t>
            </w:r>
            <w:r>
              <w:rPr>
                <w:rFonts w:ascii="Calibri" w:hAnsi="Calibri" w:hint="eastAsia"/>
                <w:color w:val="auto"/>
                <w:kern w:val="0"/>
                <w:szCs w:val="21"/>
              </w:rPr>
              <w:t>（一期</w:t>
            </w:r>
            <w:r>
              <w:rPr>
                <w:rFonts w:ascii="Calibri" w:hAnsi="Calibri"/>
                <w:color w:val="auto"/>
                <w:kern w:val="0"/>
                <w:szCs w:val="21"/>
              </w:rPr>
              <w:t>、二期共用</w:t>
            </w:r>
            <w:r>
              <w:rPr>
                <w:rFonts w:ascii="Calibri" w:hAnsi="Calibri" w:hint="eastAsia"/>
                <w:color w:val="auto"/>
                <w:kern w:val="0"/>
                <w:szCs w:val="21"/>
              </w:rPr>
              <w:t>）</w:t>
            </w:r>
          </w:p>
        </w:tc>
      </w:tr>
      <w:tr w:rsidR="001A4912" w:rsidRPr="00821059" w14:paraId="427081C4" w14:textId="77777777" w:rsidTr="00CE7021">
        <w:trPr>
          <w:trHeight w:val="340"/>
          <w:jc w:val="center"/>
        </w:trPr>
        <w:tc>
          <w:tcPr>
            <w:tcW w:w="624" w:type="pct"/>
            <w:vAlign w:val="center"/>
          </w:tcPr>
          <w:p w14:paraId="3A516FE0" w14:textId="77777777" w:rsidR="001A4912" w:rsidRDefault="001A4912" w:rsidP="00CE7021">
            <w:pPr>
              <w:widowControl/>
              <w:jc w:val="center"/>
              <w:rPr>
                <w:rFonts w:ascii="Calibri" w:hAnsi="Calibri"/>
                <w:color w:val="auto"/>
                <w:kern w:val="0"/>
                <w:szCs w:val="21"/>
              </w:rPr>
            </w:pPr>
            <w:r>
              <w:rPr>
                <w:rFonts w:ascii="Calibri" w:hAnsi="Calibri" w:hint="eastAsia"/>
                <w:color w:val="auto"/>
                <w:kern w:val="0"/>
                <w:szCs w:val="21"/>
              </w:rPr>
              <w:t>10</w:t>
            </w:r>
          </w:p>
        </w:tc>
        <w:tc>
          <w:tcPr>
            <w:tcW w:w="1517" w:type="pct"/>
            <w:vAlign w:val="center"/>
          </w:tcPr>
          <w:p w14:paraId="613DBF43" w14:textId="77777777" w:rsidR="001A4912" w:rsidRDefault="001A4912" w:rsidP="00CE7021">
            <w:pPr>
              <w:widowControl/>
              <w:jc w:val="center"/>
              <w:rPr>
                <w:rFonts w:ascii="Calibri" w:hAnsi="Calibri"/>
                <w:color w:val="auto"/>
                <w:kern w:val="0"/>
                <w:szCs w:val="21"/>
              </w:rPr>
            </w:pPr>
            <w:r w:rsidRPr="001A4912">
              <w:rPr>
                <w:rFonts w:ascii="Calibri" w:hAnsi="Calibri" w:hint="eastAsia"/>
                <w:color w:val="auto"/>
                <w:kern w:val="0"/>
                <w:szCs w:val="21"/>
              </w:rPr>
              <w:t>吸附式制氮机</w:t>
            </w:r>
          </w:p>
        </w:tc>
        <w:tc>
          <w:tcPr>
            <w:tcW w:w="1082" w:type="pct"/>
            <w:vAlign w:val="center"/>
          </w:tcPr>
          <w:p w14:paraId="18DF53D8" w14:textId="77777777" w:rsidR="001A4912" w:rsidRDefault="00171BA9" w:rsidP="00CE7021">
            <w:pPr>
              <w:widowControl/>
              <w:jc w:val="center"/>
              <w:rPr>
                <w:rFonts w:ascii="Calibri" w:hAnsi="Calibri"/>
                <w:color w:val="auto"/>
                <w:kern w:val="0"/>
                <w:szCs w:val="21"/>
              </w:rPr>
            </w:pPr>
            <w:r>
              <w:rPr>
                <w:rFonts w:ascii="Calibri" w:hAnsi="Calibri"/>
                <w:color w:val="auto"/>
                <w:kern w:val="0"/>
                <w:szCs w:val="21"/>
              </w:rPr>
              <w:t>8</w:t>
            </w:r>
            <w:r w:rsidR="001A4912">
              <w:rPr>
                <w:rFonts w:ascii="Calibri" w:hAnsi="Calibri"/>
                <w:color w:val="auto"/>
                <w:kern w:val="0"/>
                <w:szCs w:val="21"/>
              </w:rPr>
              <w:t>m</w:t>
            </w:r>
            <w:r w:rsidR="001A4912" w:rsidRPr="001A4912">
              <w:rPr>
                <w:rFonts w:ascii="Calibri" w:hAnsi="Calibri"/>
                <w:color w:val="auto"/>
                <w:kern w:val="0"/>
                <w:szCs w:val="21"/>
                <w:vertAlign w:val="superscript"/>
              </w:rPr>
              <w:t>3</w:t>
            </w:r>
            <w:r w:rsidR="001A4912">
              <w:rPr>
                <w:rFonts w:ascii="Calibri" w:hAnsi="Calibri"/>
                <w:color w:val="auto"/>
                <w:kern w:val="0"/>
                <w:szCs w:val="21"/>
              </w:rPr>
              <w:t>/h</w:t>
            </w:r>
          </w:p>
        </w:tc>
        <w:tc>
          <w:tcPr>
            <w:tcW w:w="842" w:type="pct"/>
            <w:vAlign w:val="center"/>
          </w:tcPr>
          <w:p w14:paraId="4AA04B87" w14:textId="77777777" w:rsidR="001A4912" w:rsidRDefault="001A4912" w:rsidP="00CE7021">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027E4D84" w14:textId="77777777" w:rsidR="001A4912" w:rsidRDefault="001A4912" w:rsidP="00CE7021">
            <w:pPr>
              <w:widowControl/>
              <w:jc w:val="center"/>
              <w:rPr>
                <w:rFonts w:ascii="Calibri" w:hAnsi="Calibri"/>
                <w:color w:val="auto"/>
                <w:kern w:val="0"/>
                <w:szCs w:val="21"/>
              </w:rPr>
            </w:pPr>
            <w:r>
              <w:rPr>
                <w:rFonts w:ascii="Calibri" w:hAnsi="Calibri" w:hint="eastAsia"/>
                <w:color w:val="auto"/>
                <w:kern w:val="0"/>
                <w:szCs w:val="21"/>
              </w:rPr>
              <w:t>1</w:t>
            </w:r>
          </w:p>
        </w:tc>
      </w:tr>
      <w:tr w:rsidR="002F190B" w:rsidRPr="00821059" w14:paraId="371CE4C8" w14:textId="77777777" w:rsidTr="008A5076">
        <w:trPr>
          <w:trHeight w:val="340"/>
          <w:jc w:val="center"/>
        </w:trPr>
        <w:tc>
          <w:tcPr>
            <w:tcW w:w="5000" w:type="pct"/>
            <w:gridSpan w:val="5"/>
            <w:vAlign w:val="center"/>
          </w:tcPr>
          <w:p w14:paraId="712F1A9D"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二</w:t>
            </w:r>
            <w:r w:rsidRPr="00133CE6">
              <w:rPr>
                <w:rFonts w:ascii="Calibri" w:hAnsi="Calibri" w:hint="eastAsia"/>
                <w:color w:val="auto"/>
                <w:kern w:val="0"/>
                <w:szCs w:val="21"/>
              </w:rPr>
              <w:t>期</w:t>
            </w:r>
            <w:r w:rsidRPr="00133CE6">
              <w:rPr>
                <w:rFonts w:ascii="Calibri" w:hAnsi="Calibri"/>
                <w:color w:val="auto"/>
                <w:kern w:val="0"/>
                <w:szCs w:val="21"/>
              </w:rPr>
              <w:t>主要生产设备</w:t>
            </w:r>
          </w:p>
        </w:tc>
      </w:tr>
      <w:tr w:rsidR="002F190B" w:rsidRPr="00821059" w14:paraId="00858ADA" w14:textId="77777777" w:rsidTr="00CE7021">
        <w:trPr>
          <w:trHeight w:val="340"/>
          <w:jc w:val="center"/>
        </w:trPr>
        <w:tc>
          <w:tcPr>
            <w:tcW w:w="624" w:type="pct"/>
            <w:vAlign w:val="center"/>
          </w:tcPr>
          <w:p w14:paraId="6A81AE49"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1</w:t>
            </w:r>
          </w:p>
        </w:tc>
        <w:tc>
          <w:tcPr>
            <w:tcW w:w="1517" w:type="pct"/>
            <w:vAlign w:val="center"/>
          </w:tcPr>
          <w:p w14:paraId="0C081A5D"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不锈钢反应釜</w:t>
            </w:r>
          </w:p>
        </w:tc>
        <w:tc>
          <w:tcPr>
            <w:tcW w:w="1082" w:type="pct"/>
            <w:vAlign w:val="center"/>
          </w:tcPr>
          <w:p w14:paraId="2DE80E38" w14:textId="77777777" w:rsidR="002F190B" w:rsidRPr="00754242" w:rsidRDefault="002F190B" w:rsidP="008A5076">
            <w:pPr>
              <w:widowControl/>
              <w:jc w:val="center"/>
              <w:rPr>
                <w:rFonts w:ascii="Calibri" w:hAnsi="Calibri"/>
                <w:color w:val="auto"/>
                <w:kern w:val="0"/>
                <w:szCs w:val="21"/>
              </w:rPr>
            </w:pPr>
            <w:r w:rsidRPr="00754242">
              <w:rPr>
                <w:rFonts w:ascii="Calibri" w:hAnsi="Calibri"/>
                <w:color w:val="auto"/>
                <w:kern w:val="0"/>
                <w:szCs w:val="21"/>
              </w:rPr>
              <w:t>1500L</w:t>
            </w:r>
          </w:p>
        </w:tc>
        <w:tc>
          <w:tcPr>
            <w:tcW w:w="842" w:type="pct"/>
            <w:vAlign w:val="center"/>
          </w:tcPr>
          <w:p w14:paraId="3A76492B"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山东</w:t>
            </w:r>
          </w:p>
        </w:tc>
        <w:tc>
          <w:tcPr>
            <w:tcW w:w="935" w:type="pct"/>
            <w:vAlign w:val="center"/>
          </w:tcPr>
          <w:p w14:paraId="66E1D3C1"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8</w:t>
            </w:r>
          </w:p>
        </w:tc>
      </w:tr>
      <w:tr w:rsidR="002F190B" w:rsidRPr="00821059" w14:paraId="3BBFF0C3" w14:textId="77777777" w:rsidTr="00CE7021">
        <w:trPr>
          <w:trHeight w:val="340"/>
          <w:jc w:val="center"/>
        </w:trPr>
        <w:tc>
          <w:tcPr>
            <w:tcW w:w="624" w:type="pct"/>
            <w:vAlign w:val="center"/>
          </w:tcPr>
          <w:p w14:paraId="1E2C8AB7"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2</w:t>
            </w:r>
          </w:p>
        </w:tc>
        <w:tc>
          <w:tcPr>
            <w:tcW w:w="1517" w:type="pct"/>
            <w:vAlign w:val="center"/>
          </w:tcPr>
          <w:p w14:paraId="2DD246D4"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不锈钢储罐</w:t>
            </w:r>
          </w:p>
        </w:tc>
        <w:tc>
          <w:tcPr>
            <w:tcW w:w="1082" w:type="pct"/>
            <w:vAlign w:val="center"/>
          </w:tcPr>
          <w:p w14:paraId="76F408C5" w14:textId="77777777" w:rsidR="002F190B" w:rsidRPr="00754242" w:rsidRDefault="002F190B" w:rsidP="008A5076">
            <w:pPr>
              <w:widowControl/>
              <w:jc w:val="center"/>
              <w:rPr>
                <w:rFonts w:ascii="Calibri" w:hAnsi="Calibri"/>
                <w:color w:val="auto"/>
                <w:kern w:val="0"/>
                <w:szCs w:val="21"/>
              </w:rPr>
            </w:pPr>
            <w:r w:rsidRPr="00754242">
              <w:rPr>
                <w:rFonts w:ascii="Calibri" w:hAnsi="Calibri"/>
                <w:color w:val="auto"/>
                <w:kern w:val="0"/>
                <w:szCs w:val="21"/>
              </w:rPr>
              <w:t>6000L</w:t>
            </w:r>
          </w:p>
        </w:tc>
        <w:tc>
          <w:tcPr>
            <w:tcW w:w="842" w:type="pct"/>
            <w:vAlign w:val="center"/>
          </w:tcPr>
          <w:p w14:paraId="0B015648"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郑州</w:t>
            </w:r>
          </w:p>
        </w:tc>
        <w:tc>
          <w:tcPr>
            <w:tcW w:w="935" w:type="pct"/>
            <w:vAlign w:val="center"/>
          </w:tcPr>
          <w:p w14:paraId="4D57C8D2"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10</w:t>
            </w:r>
          </w:p>
        </w:tc>
      </w:tr>
      <w:tr w:rsidR="002F190B" w:rsidRPr="00821059" w14:paraId="22D0722A" w14:textId="77777777" w:rsidTr="00CE7021">
        <w:trPr>
          <w:trHeight w:val="340"/>
          <w:jc w:val="center"/>
        </w:trPr>
        <w:tc>
          <w:tcPr>
            <w:tcW w:w="624" w:type="pct"/>
            <w:vAlign w:val="center"/>
          </w:tcPr>
          <w:p w14:paraId="4D8445D3"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3</w:t>
            </w:r>
          </w:p>
        </w:tc>
        <w:tc>
          <w:tcPr>
            <w:tcW w:w="1517" w:type="pct"/>
            <w:vAlign w:val="center"/>
          </w:tcPr>
          <w:p w14:paraId="66779973"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切粒机</w:t>
            </w:r>
          </w:p>
        </w:tc>
        <w:tc>
          <w:tcPr>
            <w:tcW w:w="1082" w:type="pct"/>
            <w:vAlign w:val="center"/>
          </w:tcPr>
          <w:p w14:paraId="1546BCE7" w14:textId="77777777" w:rsidR="002F190B" w:rsidRPr="00754242" w:rsidRDefault="002F190B" w:rsidP="008A5076">
            <w:pPr>
              <w:widowControl/>
              <w:jc w:val="center"/>
              <w:rPr>
                <w:rFonts w:ascii="Calibri" w:hAnsi="Calibri"/>
                <w:color w:val="auto"/>
                <w:kern w:val="0"/>
                <w:szCs w:val="21"/>
              </w:rPr>
            </w:pPr>
            <w:r w:rsidRPr="00754242">
              <w:rPr>
                <w:rFonts w:ascii="Calibri" w:hAnsi="Calibri"/>
                <w:color w:val="auto"/>
                <w:kern w:val="0"/>
                <w:szCs w:val="21"/>
              </w:rPr>
              <w:t>LM900</w:t>
            </w:r>
          </w:p>
        </w:tc>
        <w:tc>
          <w:tcPr>
            <w:tcW w:w="842" w:type="pct"/>
            <w:vAlign w:val="center"/>
          </w:tcPr>
          <w:p w14:paraId="55C9A184"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浙江</w:t>
            </w:r>
          </w:p>
        </w:tc>
        <w:tc>
          <w:tcPr>
            <w:tcW w:w="935" w:type="pct"/>
            <w:vAlign w:val="center"/>
          </w:tcPr>
          <w:p w14:paraId="33461640"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5</w:t>
            </w:r>
          </w:p>
        </w:tc>
      </w:tr>
      <w:tr w:rsidR="002F190B" w:rsidRPr="00821059" w14:paraId="2DB657D3" w14:textId="77777777" w:rsidTr="00CE7021">
        <w:trPr>
          <w:trHeight w:val="340"/>
          <w:jc w:val="center"/>
        </w:trPr>
        <w:tc>
          <w:tcPr>
            <w:tcW w:w="624" w:type="pct"/>
            <w:vAlign w:val="center"/>
          </w:tcPr>
          <w:p w14:paraId="31B871BA"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4</w:t>
            </w:r>
          </w:p>
        </w:tc>
        <w:tc>
          <w:tcPr>
            <w:tcW w:w="1517" w:type="pct"/>
            <w:vAlign w:val="center"/>
          </w:tcPr>
          <w:p w14:paraId="0BEFB674"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包装设备</w:t>
            </w:r>
          </w:p>
        </w:tc>
        <w:tc>
          <w:tcPr>
            <w:tcW w:w="1082" w:type="pct"/>
            <w:vAlign w:val="center"/>
          </w:tcPr>
          <w:p w14:paraId="0637375E"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842" w:type="pct"/>
            <w:vAlign w:val="center"/>
          </w:tcPr>
          <w:p w14:paraId="0F53BF9B"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1AEA6877"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4</w:t>
            </w:r>
          </w:p>
        </w:tc>
      </w:tr>
      <w:tr w:rsidR="002F190B" w:rsidRPr="00821059" w14:paraId="0936B27D" w14:textId="77777777" w:rsidTr="00CE7021">
        <w:trPr>
          <w:trHeight w:val="340"/>
          <w:jc w:val="center"/>
        </w:trPr>
        <w:tc>
          <w:tcPr>
            <w:tcW w:w="624" w:type="pct"/>
            <w:vAlign w:val="center"/>
          </w:tcPr>
          <w:p w14:paraId="47541524"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5</w:t>
            </w:r>
          </w:p>
        </w:tc>
        <w:tc>
          <w:tcPr>
            <w:tcW w:w="1517" w:type="pct"/>
            <w:vAlign w:val="center"/>
          </w:tcPr>
          <w:p w14:paraId="7FBBD799"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冷水塔</w:t>
            </w:r>
          </w:p>
        </w:tc>
        <w:tc>
          <w:tcPr>
            <w:tcW w:w="1082" w:type="pct"/>
            <w:vAlign w:val="center"/>
          </w:tcPr>
          <w:p w14:paraId="644AFA65"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842" w:type="pct"/>
            <w:vAlign w:val="center"/>
          </w:tcPr>
          <w:p w14:paraId="2B74F199"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40654C8E"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1</w:t>
            </w:r>
          </w:p>
        </w:tc>
      </w:tr>
      <w:tr w:rsidR="002F190B" w:rsidRPr="00821059" w14:paraId="1FDF8158" w14:textId="77777777" w:rsidTr="00CE7021">
        <w:trPr>
          <w:trHeight w:val="340"/>
          <w:jc w:val="center"/>
        </w:trPr>
        <w:tc>
          <w:tcPr>
            <w:tcW w:w="624" w:type="pct"/>
            <w:vAlign w:val="center"/>
          </w:tcPr>
          <w:p w14:paraId="126A2327"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6</w:t>
            </w:r>
          </w:p>
        </w:tc>
        <w:tc>
          <w:tcPr>
            <w:tcW w:w="1517" w:type="pct"/>
            <w:vAlign w:val="center"/>
          </w:tcPr>
          <w:p w14:paraId="0CD35C6C"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干燥机</w:t>
            </w:r>
          </w:p>
        </w:tc>
        <w:tc>
          <w:tcPr>
            <w:tcW w:w="1082" w:type="pct"/>
            <w:vAlign w:val="center"/>
          </w:tcPr>
          <w:p w14:paraId="238D5921"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842" w:type="pct"/>
            <w:vAlign w:val="center"/>
          </w:tcPr>
          <w:p w14:paraId="00A0FBD1"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3AE93693"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8</w:t>
            </w:r>
          </w:p>
        </w:tc>
      </w:tr>
      <w:tr w:rsidR="002F190B" w:rsidRPr="00821059" w14:paraId="1EA1D650" w14:textId="77777777" w:rsidTr="00CE7021">
        <w:trPr>
          <w:trHeight w:val="340"/>
          <w:jc w:val="center"/>
        </w:trPr>
        <w:tc>
          <w:tcPr>
            <w:tcW w:w="624" w:type="pct"/>
            <w:vAlign w:val="center"/>
          </w:tcPr>
          <w:p w14:paraId="5C71C709"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7</w:t>
            </w:r>
          </w:p>
        </w:tc>
        <w:tc>
          <w:tcPr>
            <w:tcW w:w="1517" w:type="pct"/>
            <w:vAlign w:val="center"/>
          </w:tcPr>
          <w:p w14:paraId="13ED9BB5" w14:textId="77777777" w:rsidR="002F190B" w:rsidRPr="00754242" w:rsidRDefault="002F190B" w:rsidP="008A5076">
            <w:pPr>
              <w:widowControl/>
              <w:jc w:val="center"/>
              <w:rPr>
                <w:rFonts w:ascii="Calibri" w:hAnsi="Calibri"/>
                <w:color w:val="auto"/>
                <w:kern w:val="0"/>
                <w:szCs w:val="21"/>
              </w:rPr>
            </w:pPr>
            <w:r w:rsidRPr="00754242">
              <w:rPr>
                <w:rFonts w:ascii="Calibri" w:hAnsi="Calibri" w:hint="eastAsia"/>
                <w:color w:val="auto"/>
                <w:kern w:val="0"/>
                <w:szCs w:val="21"/>
              </w:rPr>
              <w:t>空压机</w:t>
            </w:r>
          </w:p>
        </w:tc>
        <w:tc>
          <w:tcPr>
            <w:tcW w:w="1082" w:type="pct"/>
            <w:vAlign w:val="center"/>
          </w:tcPr>
          <w:p w14:paraId="1D7B36C3"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842" w:type="pct"/>
            <w:vAlign w:val="center"/>
          </w:tcPr>
          <w:p w14:paraId="1AF09FAC"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w:t>
            </w:r>
          </w:p>
        </w:tc>
        <w:tc>
          <w:tcPr>
            <w:tcW w:w="935" w:type="pct"/>
            <w:vAlign w:val="center"/>
          </w:tcPr>
          <w:p w14:paraId="1C2A523E" w14:textId="77777777" w:rsidR="002F190B" w:rsidRDefault="002F190B" w:rsidP="008A5076">
            <w:pPr>
              <w:widowControl/>
              <w:jc w:val="center"/>
              <w:rPr>
                <w:rFonts w:ascii="Calibri" w:hAnsi="Calibri"/>
                <w:color w:val="auto"/>
                <w:kern w:val="0"/>
                <w:szCs w:val="21"/>
              </w:rPr>
            </w:pPr>
            <w:r>
              <w:rPr>
                <w:rFonts w:ascii="Calibri" w:hAnsi="Calibri" w:hint="eastAsia"/>
                <w:color w:val="auto"/>
                <w:kern w:val="0"/>
                <w:szCs w:val="21"/>
              </w:rPr>
              <w:t>2</w:t>
            </w:r>
          </w:p>
        </w:tc>
      </w:tr>
    </w:tbl>
    <w:p w14:paraId="41A780F9" w14:textId="77777777" w:rsidR="00171BA9" w:rsidRPr="007D44E5" w:rsidRDefault="007D44E5" w:rsidP="007D44E5">
      <w:pPr>
        <w:pStyle w:val="ad"/>
        <w:ind w:firstLineChars="200" w:firstLine="422"/>
        <w:rPr>
          <w:rFonts w:ascii="Calibri" w:eastAsia="宋体" w:hAnsi="Calibri"/>
          <w:color w:val="auto"/>
          <w:sz w:val="21"/>
          <w:szCs w:val="21"/>
          <w:u w:val="single"/>
        </w:rPr>
      </w:pPr>
      <w:r w:rsidRPr="007D44E5">
        <w:rPr>
          <w:rFonts w:ascii="Calibri" w:eastAsia="宋体" w:hAnsi="Calibri" w:hint="eastAsia"/>
          <w:color w:val="auto"/>
          <w:sz w:val="21"/>
          <w:szCs w:val="21"/>
          <w:u w:val="single"/>
        </w:rPr>
        <w:t>备注</w:t>
      </w:r>
      <w:r w:rsidRPr="007D44E5">
        <w:rPr>
          <w:rFonts w:ascii="Calibri" w:eastAsia="宋体" w:hAnsi="Calibri"/>
          <w:color w:val="auto"/>
          <w:sz w:val="21"/>
          <w:szCs w:val="21"/>
          <w:u w:val="single"/>
        </w:rPr>
        <w:t>：</w:t>
      </w:r>
      <w:r w:rsidRPr="007D44E5">
        <w:rPr>
          <w:rFonts w:ascii="Calibri" w:eastAsia="宋体" w:hAnsi="Calibri" w:hint="eastAsia"/>
          <w:color w:val="auto"/>
          <w:sz w:val="21"/>
          <w:szCs w:val="21"/>
          <w:u w:val="single"/>
        </w:rPr>
        <w:t>本项目选用</w:t>
      </w:r>
      <w:r w:rsidRPr="007D44E5">
        <w:rPr>
          <w:rFonts w:ascii="Calibri" w:eastAsia="宋体" w:hAnsi="Calibri" w:hint="eastAsia"/>
          <w:color w:val="auto"/>
          <w:sz w:val="21"/>
          <w:szCs w:val="21"/>
          <w:u w:val="single"/>
        </w:rPr>
        <w:t>1500L</w:t>
      </w:r>
      <w:r w:rsidRPr="007D44E5">
        <w:rPr>
          <w:rFonts w:ascii="Calibri" w:eastAsia="宋体" w:hAnsi="Calibri"/>
          <w:color w:val="auto"/>
          <w:sz w:val="21"/>
          <w:szCs w:val="21"/>
          <w:u w:val="single"/>
        </w:rPr>
        <w:t>反应釜</w:t>
      </w:r>
      <w:r w:rsidRPr="007D44E5">
        <w:rPr>
          <w:rFonts w:ascii="Calibri" w:eastAsia="宋体" w:hAnsi="Calibri" w:hint="eastAsia"/>
          <w:color w:val="auto"/>
          <w:sz w:val="21"/>
          <w:szCs w:val="21"/>
          <w:u w:val="single"/>
        </w:rPr>
        <w:t>进行</w:t>
      </w:r>
      <w:r w:rsidRPr="007D44E5">
        <w:rPr>
          <w:rFonts w:ascii="Calibri" w:eastAsia="宋体" w:hAnsi="Calibri"/>
          <w:color w:val="auto"/>
          <w:sz w:val="21"/>
          <w:szCs w:val="21"/>
          <w:u w:val="single"/>
        </w:rPr>
        <w:t>聚合反应，每台聚合反应釜产生物料</w:t>
      </w:r>
      <w:r w:rsidRPr="007D44E5">
        <w:rPr>
          <w:rFonts w:ascii="Calibri" w:eastAsia="宋体" w:hAnsi="Calibri" w:hint="eastAsia"/>
          <w:color w:val="auto"/>
          <w:sz w:val="21"/>
          <w:szCs w:val="21"/>
          <w:u w:val="single"/>
        </w:rPr>
        <w:t>约</w:t>
      </w:r>
      <w:r w:rsidRPr="007D44E5">
        <w:rPr>
          <w:rFonts w:ascii="Calibri" w:eastAsia="宋体" w:hAnsi="Calibri" w:hint="eastAsia"/>
          <w:color w:val="auto"/>
          <w:sz w:val="21"/>
          <w:szCs w:val="21"/>
          <w:u w:val="single"/>
        </w:rPr>
        <w:t>0.3</w:t>
      </w:r>
      <w:r w:rsidRPr="007D44E5">
        <w:rPr>
          <w:rFonts w:ascii="Calibri" w:eastAsia="宋体" w:hAnsi="Calibri"/>
          <w:color w:val="auto"/>
          <w:sz w:val="21"/>
          <w:szCs w:val="21"/>
          <w:u w:val="single"/>
        </w:rPr>
        <w:t>t</w:t>
      </w:r>
      <w:r w:rsidRPr="007D44E5">
        <w:rPr>
          <w:rFonts w:ascii="Calibri" w:eastAsia="宋体" w:hAnsi="Calibri" w:hint="eastAsia"/>
          <w:color w:val="auto"/>
          <w:sz w:val="21"/>
          <w:szCs w:val="21"/>
          <w:u w:val="single"/>
        </w:rPr>
        <w:t>，从原料</w:t>
      </w:r>
      <w:r w:rsidRPr="007D44E5">
        <w:rPr>
          <w:rFonts w:ascii="Calibri" w:eastAsia="宋体" w:hAnsi="Calibri"/>
          <w:color w:val="auto"/>
          <w:sz w:val="21"/>
          <w:szCs w:val="21"/>
          <w:u w:val="single"/>
        </w:rPr>
        <w:t>投</w:t>
      </w:r>
      <w:r w:rsidRPr="007D44E5">
        <w:rPr>
          <w:rFonts w:ascii="Calibri" w:eastAsia="宋体" w:hAnsi="Calibri" w:hint="eastAsia"/>
          <w:color w:val="auto"/>
          <w:sz w:val="21"/>
          <w:szCs w:val="21"/>
          <w:u w:val="single"/>
        </w:rPr>
        <w:t>加</w:t>
      </w:r>
      <w:r w:rsidRPr="007D44E5">
        <w:rPr>
          <w:rFonts w:ascii="Calibri" w:eastAsia="宋体" w:hAnsi="Calibri"/>
          <w:color w:val="auto"/>
          <w:sz w:val="21"/>
          <w:szCs w:val="21"/>
          <w:u w:val="single"/>
        </w:rPr>
        <w:t>到成品需要</w:t>
      </w:r>
      <w:r w:rsidRPr="007D44E5">
        <w:rPr>
          <w:rFonts w:ascii="Calibri" w:eastAsia="宋体" w:hAnsi="Calibri" w:hint="eastAsia"/>
          <w:color w:val="auto"/>
          <w:sz w:val="21"/>
          <w:szCs w:val="21"/>
          <w:u w:val="single"/>
        </w:rPr>
        <w:t>10</w:t>
      </w:r>
      <w:r w:rsidRPr="007D44E5">
        <w:rPr>
          <w:rFonts w:ascii="Calibri" w:eastAsia="宋体" w:hAnsi="Calibri"/>
          <w:color w:val="auto"/>
          <w:sz w:val="21"/>
          <w:szCs w:val="21"/>
          <w:u w:val="single"/>
        </w:rPr>
        <w:t>h</w:t>
      </w:r>
      <w:r w:rsidRPr="007D44E5">
        <w:rPr>
          <w:rFonts w:ascii="Calibri" w:eastAsia="宋体" w:hAnsi="Calibri"/>
          <w:color w:val="auto"/>
          <w:sz w:val="21"/>
          <w:szCs w:val="21"/>
          <w:u w:val="single"/>
        </w:rPr>
        <w:t>，本项目年生产</w:t>
      </w:r>
      <w:r w:rsidRPr="007D44E5">
        <w:rPr>
          <w:rFonts w:ascii="Calibri" w:eastAsia="宋体" w:hAnsi="Calibri" w:hint="eastAsia"/>
          <w:color w:val="auto"/>
          <w:sz w:val="21"/>
          <w:szCs w:val="21"/>
          <w:u w:val="single"/>
        </w:rPr>
        <w:t>300</w:t>
      </w:r>
      <w:r w:rsidRPr="007D44E5">
        <w:rPr>
          <w:rFonts w:ascii="Calibri" w:eastAsia="宋体" w:hAnsi="Calibri"/>
          <w:color w:val="auto"/>
          <w:sz w:val="21"/>
          <w:szCs w:val="21"/>
          <w:u w:val="single"/>
        </w:rPr>
        <w:t>d</w:t>
      </w:r>
      <w:r w:rsidRPr="007D44E5">
        <w:rPr>
          <w:rFonts w:ascii="Calibri" w:eastAsia="宋体" w:hAnsi="Calibri"/>
          <w:color w:val="auto"/>
          <w:sz w:val="21"/>
          <w:szCs w:val="21"/>
          <w:u w:val="single"/>
        </w:rPr>
        <w:t>，每天生产</w:t>
      </w:r>
      <w:r w:rsidRPr="007D44E5">
        <w:rPr>
          <w:rFonts w:ascii="Calibri" w:eastAsia="宋体" w:hAnsi="Calibri" w:hint="eastAsia"/>
          <w:color w:val="auto"/>
          <w:sz w:val="21"/>
          <w:szCs w:val="21"/>
          <w:u w:val="single"/>
        </w:rPr>
        <w:t>24</w:t>
      </w:r>
      <w:r w:rsidRPr="007D44E5">
        <w:rPr>
          <w:rFonts w:ascii="Calibri" w:eastAsia="宋体" w:hAnsi="Calibri"/>
          <w:color w:val="auto"/>
          <w:sz w:val="21"/>
          <w:szCs w:val="21"/>
          <w:u w:val="single"/>
        </w:rPr>
        <w:t>h</w:t>
      </w:r>
      <w:r w:rsidRPr="007D44E5">
        <w:rPr>
          <w:rFonts w:ascii="Calibri" w:eastAsia="宋体" w:hAnsi="Calibri" w:hint="eastAsia"/>
          <w:color w:val="auto"/>
          <w:sz w:val="21"/>
          <w:szCs w:val="21"/>
          <w:u w:val="single"/>
        </w:rPr>
        <w:t>，</w:t>
      </w:r>
      <w:r w:rsidRPr="007D44E5">
        <w:rPr>
          <w:rFonts w:ascii="Calibri" w:eastAsia="宋体" w:hAnsi="Calibri"/>
          <w:color w:val="auto"/>
          <w:sz w:val="21"/>
          <w:szCs w:val="21"/>
          <w:u w:val="single"/>
        </w:rPr>
        <w:t>一期工程</w:t>
      </w:r>
      <w:r w:rsidRPr="007D44E5">
        <w:rPr>
          <w:rFonts w:ascii="Calibri" w:eastAsia="宋体" w:hAnsi="Calibri" w:hint="eastAsia"/>
          <w:color w:val="auto"/>
          <w:sz w:val="21"/>
          <w:szCs w:val="21"/>
          <w:u w:val="single"/>
        </w:rPr>
        <w:t>设置</w:t>
      </w:r>
      <w:r w:rsidRPr="007D44E5">
        <w:rPr>
          <w:rFonts w:ascii="Calibri" w:eastAsia="宋体" w:hAnsi="Calibri" w:hint="eastAsia"/>
          <w:color w:val="auto"/>
          <w:sz w:val="21"/>
          <w:szCs w:val="21"/>
          <w:u w:val="single"/>
        </w:rPr>
        <w:t>12</w:t>
      </w:r>
      <w:r w:rsidRPr="007D44E5">
        <w:rPr>
          <w:rFonts w:ascii="Calibri" w:eastAsia="宋体" w:hAnsi="Calibri" w:hint="eastAsia"/>
          <w:color w:val="auto"/>
          <w:sz w:val="21"/>
          <w:szCs w:val="21"/>
          <w:u w:val="single"/>
        </w:rPr>
        <w:t>台</w:t>
      </w:r>
      <w:r w:rsidRPr="007D44E5">
        <w:rPr>
          <w:rFonts w:ascii="Calibri" w:eastAsia="宋体" w:hAnsi="Calibri" w:hint="eastAsia"/>
          <w:color w:val="auto"/>
          <w:sz w:val="21"/>
          <w:szCs w:val="21"/>
          <w:u w:val="single"/>
        </w:rPr>
        <w:t>1500L</w:t>
      </w:r>
      <w:r w:rsidRPr="007D44E5">
        <w:rPr>
          <w:rFonts w:ascii="Calibri" w:eastAsia="宋体" w:hAnsi="Calibri"/>
          <w:color w:val="auto"/>
          <w:sz w:val="21"/>
          <w:szCs w:val="21"/>
          <w:u w:val="single"/>
        </w:rPr>
        <w:t>反应釜</w:t>
      </w:r>
      <w:r w:rsidRPr="007D44E5">
        <w:rPr>
          <w:rFonts w:ascii="Calibri" w:eastAsia="宋体" w:hAnsi="Calibri" w:hint="eastAsia"/>
          <w:color w:val="auto"/>
          <w:sz w:val="21"/>
          <w:szCs w:val="21"/>
          <w:u w:val="single"/>
        </w:rPr>
        <w:t>，则</w:t>
      </w:r>
      <w:r w:rsidRPr="007D44E5">
        <w:rPr>
          <w:rFonts w:ascii="Calibri" w:eastAsia="宋体" w:hAnsi="Calibri"/>
          <w:color w:val="auto"/>
          <w:sz w:val="21"/>
          <w:szCs w:val="21"/>
          <w:u w:val="single"/>
        </w:rPr>
        <w:t>年产</w:t>
      </w:r>
      <w:r w:rsidRPr="007D44E5">
        <w:rPr>
          <w:rFonts w:ascii="Calibri" w:eastAsia="宋体" w:hAnsi="Calibri" w:hint="eastAsia"/>
          <w:color w:val="auto"/>
          <w:sz w:val="21"/>
          <w:szCs w:val="21"/>
          <w:u w:val="single"/>
        </w:rPr>
        <w:t>2592</w:t>
      </w:r>
      <w:r w:rsidRPr="007D44E5">
        <w:rPr>
          <w:rFonts w:ascii="Calibri" w:eastAsia="宋体" w:hAnsi="Calibri"/>
          <w:color w:val="auto"/>
          <w:sz w:val="21"/>
          <w:szCs w:val="21"/>
          <w:u w:val="single"/>
        </w:rPr>
        <w:t>t/a</w:t>
      </w:r>
      <w:r w:rsidRPr="007D44E5">
        <w:rPr>
          <w:rFonts w:ascii="Calibri" w:eastAsia="宋体" w:hAnsi="Calibri" w:hint="eastAsia"/>
          <w:color w:val="auto"/>
          <w:sz w:val="21"/>
          <w:szCs w:val="21"/>
          <w:u w:val="single"/>
        </w:rPr>
        <w:t>，</w:t>
      </w:r>
      <w:r w:rsidRPr="007D44E5">
        <w:rPr>
          <w:rFonts w:ascii="Calibri" w:eastAsia="宋体" w:hAnsi="Calibri"/>
          <w:color w:val="auto"/>
          <w:sz w:val="21"/>
          <w:szCs w:val="21"/>
          <w:u w:val="single"/>
        </w:rPr>
        <w:t>满足一期工程</w:t>
      </w:r>
      <w:r w:rsidRPr="007D44E5">
        <w:rPr>
          <w:rFonts w:ascii="Calibri" w:eastAsia="宋体" w:hAnsi="Calibri" w:hint="eastAsia"/>
          <w:color w:val="auto"/>
          <w:sz w:val="21"/>
          <w:szCs w:val="21"/>
          <w:u w:val="single"/>
        </w:rPr>
        <w:t>产能</w:t>
      </w:r>
      <w:r w:rsidRPr="007D44E5">
        <w:rPr>
          <w:rFonts w:ascii="Calibri" w:eastAsia="宋体" w:hAnsi="Calibri"/>
          <w:color w:val="auto"/>
          <w:sz w:val="21"/>
          <w:szCs w:val="21"/>
          <w:u w:val="single"/>
        </w:rPr>
        <w:t>需要；二期工程设置</w:t>
      </w:r>
      <w:r w:rsidRPr="007D44E5">
        <w:rPr>
          <w:rFonts w:ascii="Calibri" w:eastAsia="宋体" w:hAnsi="Calibri"/>
          <w:color w:val="auto"/>
          <w:sz w:val="21"/>
          <w:szCs w:val="21"/>
          <w:u w:val="single"/>
        </w:rPr>
        <w:t>8</w:t>
      </w:r>
      <w:r w:rsidRPr="007D44E5">
        <w:rPr>
          <w:rFonts w:ascii="Calibri" w:eastAsia="宋体" w:hAnsi="Calibri" w:hint="eastAsia"/>
          <w:color w:val="auto"/>
          <w:sz w:val="21"/>
          <w:szCs w:val="21"/>
          <w:u w:val="single"/>
        </w:rPr>
        <w:t>台</w:t>
      </w:r>
      <w:r w:rsidRPr="007D44E5">
        <w:rPr>
          <w:rFonts w:ascii="Calibri" w:eastAsia="宋体" w:hAnsi="Calibri" w:hint="eastAsia"/>
          <w:color w:val="auto"/>
          <w:sz w:val="21"/>
          <w:szCs w:val="21"/>
          <w:u w:val="single"/>
        </w:rPr>
        <w:t>1500L</w:t>
      </w:r>
      <w:r w:rsidRPr="007D44E5">
        <w:rPr>
          <w:rFonts w:ascii="Calibri" w:eastAsia="宋体" w:hAnsi="Calibri"/>
          <w:color w:val="auto"/>
          <w:sz w:val="21"/>
          <w:szCs w:val="21"/>
          <w:u w:val="single"/>
        </w:rPr>
        <w:t>反应釜</w:t>
      </w:r>
      <w:r w:rsidRPr="007D44E5">
        <w:rPr>
          <w:rFonts w:ascii="Calibri" w:eastAsia="宋体" w:hAnsi="Calibri" w:hint="eastAsia"/>
          <w:color w:val="auto"/>
          <w:sz w:val="21"/>
          <w:szCs w:val="21"/>
          <w:u w:val="single"/>
        </w:rPr>
        <w:t>，则</w:t>
      </w:r>
      <w:r w:rsidRPr="007D44E5">
        <w:rPr>
          <w:rFonts w:ascii="Calibri" w:eastAsia="宋体" w:hAnsi="Calibri"/>
          <w:color w:val="auto"/>
          <w:sz w:val="21"/>
          <w:szCs w:val="21"/>
          <w:u w:val="single"/>
        </w:rPr>
        <w:t>年产</w:t>
      </w:r>
      <w:r w:rsidRPr="007D44E5">
        <w:rPr>
          <w:rFonts w:ascii="Calibri" w:eastAsia="宋体" w:hAnsi="Calibri"/>
          <w:color w:val="auto"/>
          <w:sz w:val="21"/>
          <w:szCs w:val="21"/>
          <w:u w:val="single"/>
        </w:rPr>
        <w:t>1728t/a</w:t>
      </w:r>
      <w:r w:rsidRPr="007D44E5">
        <w:rPr>
          <w:rFonts w:ascii="Calibri" w:eastAsia="宋体" w:hAnsi="Calibri" w:hint="eastAsia"/>
          <w:color w:val="auto"/>
          <w:sz w:val="21"/>
          <w:szCs w:val="21"/>
          <w:u w:val="single"/>
        </w:rPr>
        <w:t>，</w:t>
      </w:r>
      <w:r w:rsidRPr="007D44E5">
        <w:rPr>
          <w:rFonts w:ascii="Calibri" w:eastAsia="宋体" w:hAnsi="Calibri"/>
          <w:color w:val="auto"/>
          <w:sz w:val="21"/>
          <w:szCs w:val="21"/>
          <w:u w:val="single"/>
        </w:rPr>
        <w:t>满足</w:t>
      </w:r>
      <w:r w:rsidRPr="007D44E5">
        <w:rPr>
          <w:rFonts w:ascii="Calibri" w:eastAsia="宋体" w:hAnsi="Calibri" w:hint="eastAsia"/>
          <w:color w:val="auto"/>
          <w:sz w:val="21"/>
          <w:szCs w:val="21"/>
          <w:u w:val="single"/>
        </w:rPr>
        <w:t>二</w:t>
      </w:r>
      <w:r w:rsidRPr="007D44E5">
        <w:rPr>
          <w:rFonts w:ascii="Calibri" w:eastAsia="宋体" w:hAnsi="Calibri"/>
          <w:color w:val="auto"/>
          <w:sz w:val="21"/>
          <w:szCs w:val="21"/>
          <w:u w:val="single"/>
        </w:rPr>
        <w:t>期工程</w:t>
      </w:r>
      <w:r w:rsidRPr="007D44E5">
        <w:rPr>
          <w:rFonts w:ascii="Calibri" w:eastAsia="宋体" w:hAnsi="Calibri" w:hint="eastAsia"/>
          <w:color w:val="auto"/>
          <w:sz w:val="21"/>
          <w:szCs w:val="21"/>
          <w:u w:val="single"/>
        </w:rPr>
        <w:t>产能</w:t>
      </w:r>
      <w:r w:rsidRPr="007D44E5">
        <w:rPr>
          <w:rFonts w:ascii="Calibri" w:eastAsia="宋体" w:hAnsi="Calibri"/>
          <w:color w:val="auto"/>
          <w:sz w:val="21"/>
          <w:szCs w:val="21"/>
          <w:u w:val="single"/>
        </w:rPr>
        <w:t>需要</w:t>
      </w:r>
      <w:r w:rsidRPr="007D44E5">
        <w:rPr>
          <w:rFonts w:ascii="Calibri" w:eastAsia="宋体" w:hAnsi="Calibri" w:hint="eastAsia"/>
          <w:color w:val="auto"/>
          <w:sz w:val="21"/>
          <w:szCs w:val="21"/>
          <w:u w:val="single"/>
        </w:rPr>
        <w:t>。</w:t>
      </w:r>
    </w:p>
    <w:p w14:paraId="520B95FD" w14:textId="77777777" w:rsidR="004554C2" w:rsidRPr="00A964FF" w:rsidRDefault="004554C2" w:rsidP="00C61733">
      <w:pPr>
        <w:pStyle w:val="ad"/>
        <w:rPr>
          <w:rFonts w:ascii="Calibri" w:hAnsi="Calibri"/>
          <w:color w:val="auto"/>
        </w:rPr>
      </w:pPr>
      <w:r w:rsidRPr="00A964FF">
        <w:rPr>
          <w:rFonts w:ascii="Calibri" w:hAnsi="Calibri" w:hint="eastAsia"/>
          <w:color w:val="auto"/>
        </w:rPr>
        <w:t>2.1.6</w:t>
      </w:r>
      <w:r w:rsidRPr="00A964FF">
        <w:rPr>
          <w:rFonts w:ascii="Calibri" w:hAnsi="Calibri" w:hint="eastAsia"/>
          <w:color w:val="auto"/>
        </w:rPr>
        <w:t>产品方案</w:t>
      </w:r>
    </w:p>
    <w:p w14:paraId="2185FA55" w14:textId="77777777" w:rsidR="00623EF2" w:rsidRPr="00171BA9" w:rsidRDefault="004A5BF5" w:rsidP="00171BA9">
      <w:pPr>
        <w:pStyle w:val="p15"/>
        <w:spacing w:line="520" w:lineRule="atLeast"/>
        <w:ind w:firstLine="480"/>
        <w:rPr>
          <w:rFonts w:ascii="Calibri" w:hAnsi="Calibri"/>
          <w:color w:val="auto"/>
          <w:sz w:val="24"/>
        </w:rPr>
      </w:pPr>
      <w:r>
        <w:rPr>
          <w:rFonts w:ascii="Calibri" w:hAnsi="Calibri"/>
          <w:color w:val="auto"/>
          <w:sz w:val="24"/>
        </w:rPr>
        <w:t>本项目产品</w:t>
      </w:r>
      <w:r w:rsidRPr="004A5BF5">
        <w:rPr>
          <w:rFonts w:ascii="Calibri" w:hAnsi="Calibri" w:hint="eastAsia"/>
          <w:color w:val="auto"/>
          <w:sz w:val="24"/>
        </w:rPr>
        <w:t>及生产规模见表</w:t>
      </w:r>
      <w:r w:rsidRPr="004A5BF5">
        <w:rPr>
          <w:rFonts w:ascii="Calibri" w:hAnsi="Calibri" w:hint="eastAsia"/>
          <w:color w:val="auto"/>
          <w:sz w:val="24"/>
        </w:rPr>
        <w:t>2.</w:t>
      </w:r>
      <w:r>
        <w:rPr>
          <w:rFonts w:ascii="Calibri" w:hAnsi="Calibri"/>
          <w:color w:val="auto"/>
          <w:sz w:val="24"/>
        </w:rPr>
        <w:t>1-4</w:t>
      </w:r>
      <w:r>
        <w:rPr>
          <w:rFonts w:ascii="Calibri" w:hAnsi="Calibri"/>
          <w:color w:val="auto"/>
          <w:sz w:val="24"/>
        </w:rPr>
        <w:t>。</w:t>
      </w:r>
    </w:p>
    <w:p w14:paraId="2BE1462D" w14:textId="77777777" w:rsidR="007D44E5" w:rsidRDefault="007D44E5" w:rsidP="004A5BF5">
      <w:pPr>
        <w:spacing w:line="520" w:lineRule="exact"/>
        <w:ind w:firstLineChars="350" w:firstLine="840"/>
        <w:rPr>
          <w:rFonts w:ascii="Calibri" w:eastAsia="黑体"/>
          <w:color w:val="auto"/>
          <w:sz w:val="24"/>
        </w:rPr>
      </w:pPr>
    </w:p>
    <w:p w14:paraId="7C4E0822" w14:textId="77777777" w:rsidR="007D44E5" w:rsidRDefault="007D44E5" w:rsidP="004A5BF5">
      <w:pPr>
        <w:spacing w:line="520" w:lineRule="exact"/>
        <w:ind w:firstLineChars="350" w:firstLine="840"/>
        <w:rPr>
          <w:rFonts w:ascii="Calibri" w:eastAsia="黑体"/>
          <w:color w:val="auto"/>
          <w:sz w:val="24"/>
        </w:rPr>
      </w:pPr>
    </w:p>
    <w:p w14:paraId="589AEDBF" w14:textId="77777777" w:rsidR="007D44E5" w:rsidRDefault="007D44E5" w:rsidP="004A5BF5">
      <w:pPr>
        <w:spacing w:line="520" w:lineRule="exact"/>
        <w:ind w:firstLineChars="350" w:firstLine="840"/>
        <w:rPr>
          <w:rFonts w:ascii="Calibri" w:eastAsia="黑体"/>
          <w:color w:val="auto"/>
          <w:sz w:val="24"/>
        </w:rPr>
      </w:pPr>
    </w:p>
    <w:p w14:paraId="4A9F99B8" w14:textId="77777777" w:rsidR="007D44E5" w:rsidRDefault="007D44E5" w:rsidP="004A5BF5">
      <w:pPr>
        <w:spacing w:line="520" w:lineRule="exact"/>
        <w:ind w:firstLineChars="350" w:firstLine="840"/>
        <w:rPr>
          <w:rFonts w:ascii="Calibri" w:eastAsia="黑体"/>
          <w:color w:val="auto"/>
          <w:sz w:val="24"/>
        </w:rPr>
      </w:pPr>
    </w:p>
    <w:p w14:paraId="67D8FFCF" w14:textId="77777777" w:rsidR="007D44E5" w:rsidRDefault="007D44E5" w:rsidP="004A5BF5">
      <w:pPr>
        <w:spacing w:line="520" w:lineRule="exact"/>
        <w:ind w:firstLineChars="350" w:firstLine="840"/>
        <w:rPr>
          <w:rFonts w:ascii="Calibri" w:eastAsia="黑体"/>
          <w:color w:val="auto"/>
          <w:sz w:val="24"/>
        </w:rPr>
      </w:pPr>
    </w:p>
    <w:p w14:paraId="0ADA8B7C" w14:textId="77777777" w:rsidR="004A5BF5" w:rsidRDefault="004A5BF5" w:rsidP="004A5BF5">
      <w:pPr>
        <w:spacing w:line="520" w:lineRule="exact"/>
        <w:ind w:firstLineChars="350" w:firstLine="840"/>
        <w:rPr>
          <w:rFonts w:ascii="Calibri" w:eastAsia="黑体" w:hAnsi="Calibri"/>
          <w:color w:val="auto"/>
          <w:sz w:val="24"/>
        </w:rPr>
      </w:pPr>
      <w:r w:rsidRPr="00A964FF">
        <w:rPr>
          <w:rFonts w:ascii="Calibri" w:eastAsia="黑体"/>
          <w:color w:val="auto"/>
          <w:sz w:val="24"/>
        </w:rPr>
        <w:lastRenderedPageBreak/>
        <w:t>表</w:t>
      </w:r>
      <w:r w:rsidRPr="00A964FF">
        <w:rPr>
          <w:rFonts w:ascii="Calibri" w:eastAsia="黑体" w:hAnsi="Calibri"/>
          <w:color w:val="auto"/>
          <w:sz w:val="24"/>
        </w:rPr>
        <w:t>2</w:t>
      </w:r>
      <w:r w:rsidRPr="00A964FF">
        <w:rPr>
          <w:rFonts w:ascii="Calibri" w:eastAsia="黑体" w:hAnsi="Calibri" w:hint="eastAsia"/>
          <w:color w:val="auto"/>
          <w:sz w:val="24"/>
        </w:rPr>
        <w:t>.1</w:t>
      </w:r>
      <w:r w:rsidRPr="00A964FF">
        <w:rPr>
          <w:rFonts w:ascii="Calibri" w:eastAsia="黑体" w:hAnsi="Calibri"/>
          <w:color w:val="auto"/>
          <w:sz w:val="24"/>
        </w:rPr>
        <w:t>-</w:t>
      </w:r>
      <w:r>
        <w:rPr>
          <w:rFonts w:ascii="Calibri" w:eastAsia="黑体" w:hAnsi="Calibri"/>
          <w:color w:val="auto"/>
          <w:sz w:val="24"/>
        </w:rPr>
        <w:t>4</w:t>
      </w:r>
      <w:r>
        <w:rPr>
          <w:rFonts w:ascii="Calibri" w:eastAsia="黑体" w:hAnsi="Calibri" w:hint="eastAsia"/>
          <w:color w:val="auto"/>
          <w:sz w:val="24"/>
        </w:rPr>
        <w:t xml:space="preserve">   </w:t>
      </w:r>
      <w:r>
        <w:rPr>
          <w:rFonts w:ascii="Calibri" w:eastAsia="黑体" w:hAnsi="Calibri"/>
          <w:color w:val="auto"/>
          <w:sz w:val="24"/>
        </w:rPr>
        <w:t xml:space="preserve">              </w:t>
      </w:r>
      <w:r>
        <w:rPr>
          <w:rFonts w:ascii="Calibri" w:eastAsia="黑体" w:hAnsi="Calibri"/>
          <w:color w:val="auto"/>
          <w:sz w:val="24"/>
        </w:rPr>
        <w:t>产品及生产规模</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510"/>
        <w:gridCol w:w="2078"/>
        <w:gridCol w:w="1101"/>
        <w:gridCol w:w="3454"/>
        <w:gridCol w:w="1557"/>
      </w:tblGrid>
      <w:tr w:rsidR="004A5BF5" w:rsidRPr="00A964FF" w14:paraId="6386BEE2" w14:textId="77777777" w:rsidTr="004A5BF5">
        <w:trPr>
          <w:cantSplit/>
          <w:trHeight w:val="435"/>
          <w:jc w:val="center"/>
        </w:trPr>
        <w:tc>
          <w:tcPr>
            <w:tcW w:w="293" w:type="pct"/>
            <w:vAlign w:val="center"/>
          </w:tcPr>
          <w:p w14:paraId="7D25BB02" w14:textId="77777777" w:rsidR="004A5BF5" w:rsidRPr="00A964FF" w:rsidRDefault="004A5BF5" w:rsidP="00385A80">
            <w:pPr>
              <w:jc w:val="center"/>
              <w:rPr>
                <w:rFonts w:ascii="Calibri" w:hAnsi="Calibri"/>
                <w:color w:val="auto"/>
                <w:szCs w:val="21"/>
              </w:rPr>
            </w:pPr>
            <w:r w:rsidRPr="00A964FF">
              <w:rPr>
                <w:rFonts w:ascii="Calibri" w:hAnsi="Calibri"/>
                <w:color w:val="auto"/>
                <w:szCs w:val="21"/>
              </w:rPr>
              <w:t>序号</w:t>
            </w:r>
          </w:p>
        </w:tc>
        <w:tc>
          <w:tcPr>
            <w:tcW w:w="1194" w:type="pct"/>
            <w:tcBorders>
              <w:right w:val="single" w:sz="2" w:space="0" w:color="auto"/>
            </w:tcBorders>
            <w:vAlign w:val="center"/>
          </w:tcPr>
          <w:p w14:paraId="2B8426F3" w14:textId="77777777" w:rsidR="004A5BF5" w:rsidRPr="00A964FF" w:rsidRDefault="004A5BF5" w:rsidP="00385A80">
            <w:pPr>
              <w:jc w:val="center"/>
              <w:rPr>
                <w:rFonts w:ascii="Calibri" w:hAnsi="Calibri"/>
                <w:color w:val="auto"/>
                <w:szCs w:val="21"/>
              </w:rPr>
            </w:pPr>
            <w:r w:rsidRPr="00A964FF">
              <w:rPr>
                <w:rFonts w:ascii="Calibri" w:hAnsi="Calibri" w:hint="eastAsia"/>
                <w:color w:val="auto"/>
                <w:szCs w:val="21"/>
              </w:rPr>
              <w:t>产品名称</w:t>
            </w:r>
          </w:p>
        </w:tc>
        <w:tc>
          <w:tcPr>
            <w:tcW w:w="633" w:type="pct"/>
            <w:tcBorders>
              <w:left w:val="single" w:sz="2" w:space="0" w:color="auto"/>
            </w:tcBorders>
            <w:vAlign w:val="center"/>
          </w:tcPr>
          <w:p w14:paraId="07D70F6C" w14:textId="77777777" w:rsidR="004A5BF5" w:rsidRPr="00A964FF" w:rsidRDefault="004A5BF5" w:rsidP="00385A80">
            <w:pPr>
              <w:jc w:val="center"/>
              <w:rPr>
                <w:rFonts w:ascii="Calibri" w:hAnsi="Calibri"/>
                <w:color w:val="auto"/>
                <w:szCs w:val="21"/>
              </w:rPr>
            </w:pPr>
            <w:r w:rsidRPr="00A964FF">
              <w:rPr>
                <w:rFonts w:ascii="Calibri" w:hAnsi="Calibri" w:hint="eastAsia"/>
                <w:color w:val="auto"/>
                <w:szCs w:val="21"/>
              </w:rPr>
              <w:t>设计年产量（</w:t>
            </w:r>
            <w:r w:rsidRPr="00A964FF">
              <w:rPr>
                <w:rFonts w:ascii="Calibri" w:hAnsi="Calibri" w:hint="eastAsia"/>
                <w:color w:val="auto"/>
                <w:szCs w:val="21"/>
              </w:rPr>
              <w:t>t/a</w:t>
            </w:r>
            <w:r w:rsidRPr="00A964FF">
              <w:rPr>
                <w:rFonts w:ascii="Calibri" w:hAnsi="Calibri" w:hint="eastAsia"/>
                <w:color w:val="auto"/>
                <w:szCs w:val="21"/>
              </w:rPr>
              <w:t>）</w:t>
            </w:r>
          </w:p>
        </w:tc>
        <w:tc>
          <w:tcPr>
            <w:tcW w:w="1985" w:type="pct"/>
            <w:tcBorders>
              <w:left w:val="single" w:sz="2" w:space="0" w:color="auto"/>
              <w:right w:val="single" w:sz="2" w:space="0" w:color="auto"/>
            </w:tcBorders>
            <w:vAlign w:val="center"/>
          </w:tcPr>
          <w:p w14:paraId="60775F39" w14:textId="77777777" w:rsidR="004A5BF5" w:rsidRDefault="004A5BF5" w:rsidP="00385A80">
            <w:pPr>
              <w:jc w:val="center"/>
              <w:rPr>
                <w:rFonts w:ascii="Calibri" w:hAnsi="Calibri"/>
                <w:color w:val="auto"/>
                <w:szCs w:val="21"/>
              </w:rPr>
            </w:pPr>
            <w:r w:rsidRPr="004A5BF5">
              <w:rPr>
                <w:rFonts w:ascii="Calibri" w:hAnsi="Calibri" w:hint="eastAsia"/>
                <w:color w:val="auto"/>
                <w:szCs w:val="21"/>
              </w:rPr>
              <w:t>技术指标及规格</w:t>
            </w:r>
          </w:p>
        </w:tc>
        <w:tc>
          <w:tcPr>
            <w:tcW w:w="895" w:type="pct"/>
            <w:tcBorders>
              <w:left w:val="single" w:sz="2" w:space="0" w:color="auto"/>
            </w:tcBorders>
            <w:vAlign w:val="center"/>
          </w:tcPr>
          <w:p w14:paraId="5E8D085D" w14:textId="77777777" w:rsidR="004A5BF5" w:rsidRPr="00A964FF" w:rsidRDefault="004A5BF5" w:rsidP="00385A80">
            <w:pPr>
              <w:jc w:val="center"/>
              <w:rPr>
                <w:rFonts w:ascii="Calibri" w:hAnsi="Calibri"/>
                <w:color w:val="auto"/>
                <w:szCs w:val="21"/>
              </w:rPr>
            </w:pPr>
            <w:r>
              <w:rPr>
                <w:rFonts w:ascii="Calibri" w:hAnsi="Calibri" w:hint="eastAsia"/>
                <w:color w:val="auto"/>
                <w:szCs w:val="21"/>
              </w:rPr>
              <w:t>备注</w:t>
            </w:r>
          </w:p>
        </w:tc>
      </w:tr>
      <w:tr w:rsidR="004A5BF5" w:rsidRPr="00A964FF" w14:paraId="50C85A25" w14:textId="77777777" w:rsidTr="004A5BF5">
        <w:trPr>
          <w:cantSplit/>
          <w:trHeight w:val="435"/>
          <w:jc w:val="center"/>
        </w:trPr>
        <w:tc>
          <w:tcPr>
            <w:tcW w:w="5000" w:type="pct"/>
            <w:gridSpan w:val="5"/>
            <w:vAlign w:val="center"/>
          </w:tcPr>
          <w:p w14:paraId="4355E1E8" w14:textId="77777777" w:rsidR="004A5BF5" w:rsidRDefault="004A5BF5" w:rsidP="00385A80">
            <w:pPr>
              <w:jc w:val="center"/>
              <w:rPr>
                <w:rFonts w:ascii="Calibri" w:hAnsi="Calibri"/>
                <w:color w:val="auto"/>
                <w:szCs w:val="21"/>
              </w:rPr>
            </w:pPr>
            <w:r>
              <w:rPr>
                <w:rFonts w:ascii="Calibri" w:hAnsi="Calibri" w:hint="eastAsia"/>
                <w:color w:val="auto"/>
                <w:szCs w:val="21"/>
              </w:rPr>
              <w:t>一期</w:t>
            </w:r>
            <w:r>
              <w:rPr>
                <w:rFonts w:ascii="Calibri" w:hAnsi="Calibri"/>
                <w:color w:val="auto"/>
                <w:szCs w:val="21"/>
              </w:rPr>
              <w:t>工程</w:t>
            </w:r>
          </w:p>
        </w:tc>
      </w:tr>
      <w:tr w:rsidR="004A5BF5" w:rsidRPr="00A964FF" w14:paraId="05326FF4" w14:textId="77777777" w:rsidTr="004A5BF5">
        <w:trPr>
          <w:cantSplit/>
          <w:trHeight w:val="435"/>
          <w:jc w:val="center"/>
        </w:trPr>
        <w:tc>
          <w:tcPr>
            <w:tcW w:w="293" w:type="pct"/>
            <w:vAlign w:val="center"/>
          </w:tcPr>
          <w:p w14:paraId="3137279E" w14:textId="77777777" w:rsidR="004A5BF5" w:rsidRPr="00A964FF" w:rsidRDefault="004A5BF5" w:rsidP="00385A80">
            <w:pPr>
              <w:jc w:val="center"/>
              <w:rPr>
                <w:rFonts w:ascii="Calibri" w:hAnsi="Calibri"/>
                <w:color w:val="auto"/>
                <w:szCs w:val="21"/>
              </w:rPr>
            </w:pPr>
            <w:r>
              <w:rPr>
                <w:rFonts w:ascii="Calibri" w:hAnsi="Calibri" w:hint="eastAsia"/>
                <w:color w:val="auto"/>
                <w:szCs w:val="21"/>
              </w:rPr>
              <w:t>1</w:t>
            </w:r>
          </w:p>
        </w:tc>
        <w:tc>
          <w:tcPr>
            <w:tcW w:w="1194" w:type="pct"/>
            <w:tcBorders>
              <w:right w:val="single" w:sz="2" w:space="0" w:color="auto"/>
            </w:tcBorders>
            <w:vAlign w:val="center"/>
          </w:tcPr>
          <w:p w14:paraId="2BF79AA3" w14:textId="77777777" w:rsidR="004A5BF5" w:rsidRPr="00A964FF" w:rsidRDefault="00F7756F" w:rsidP="004A5BF5">
            <w:pPr>
              <w:jc w:val="center"/>
              <w:rPr>
                <w:rFonts w:ascii="Calibri" w:hAnsi="Calibri"/>
                <w:color w:val="auto"/>
                <w:szCs w:val="21"/>
              </w:rPr>
            </w:pPr>
            <w:r w:rsidRPr="00F7756F">
              <w:rPr>
                <w:rFonts w:ascii="Calibri" w:hAnsi="Calibri" w:hint="eastAsia"/>
                <w:color w:val="auto"/>
                <w:szCs w:val="21"/>
              </w:rPr>
              <w:t>透明尼龙</w:t>
            </w:r>
          </w:p>
        </w:tc>
        <w:tc>
          <w:tcPr>
            <w:tcW w:w="633" w:type="pct"/>
            <w:tcBorders>
              <w:left w:val="single" w:sz="2" w:space="0" w:color="auto"/>
            </w:tcBorders>
            <w:vAlign w:val="center"/>
          </w:tcPr>
          <w:p w14:paraId="54F42892" w14:textId="77777777" w:rsidR="004A5BF5" w:rsidRPr="00A964FF" w:rsidRDefault="004A5BF5" w:rsidP="004A5BF5">
            <w:pPr>
              <w:jc w:val="center"/>
              <w:rPr>
                <w:rFonts w:ascii="Calibri" w:hAnsi="Calibri"/>
                <w:color w:val="auto"/>
                <w:szCs w:val="21"/>
              </w:rPr>
            </w:pPr>
            <w:r>
              <w:rPr>
                <w:rFonts w:ascii="Calibri" w:hAnsi="Calibri" w:hint="eastAsia"/>
                <w:color w:val="auto"/>
                <w:szCs w:val="21"/>
              </w:rPr>
              <w:t>2500</w:t>
            </w:r>
          </w:p>
        </w:tc>
        <w:tc>
          <w:tcPr>
            <w:tcW w:w="1985" w:type="pct"/>
            <w:tcBorders>
              <w:left w:val="single" w:sz="2" w:space="0" w:color="auto"/>
              <w:right w:val="single" w:sz="2" w:space="0" w:color="auto"/>
            </w:tcBorders>
            <w:vAlign w:val="center"/>
          </w:tcPr>
          <w:p w14:paraId="35C53C36" w14:textId="77777777" w:rsidR="004A5BF5" w:rsidRDefault="00CD2364" w:rsidP="004A5BF5">
            <w:pPr>
              <w:jc w:val="center"/>
              <w:rPr>
                <w:rFonts w:ascii="Calibri" w:hAnsi="Calibri"/>
                <w:color w:val="auto"/>
                <w:szCs w:val="21"/>
              </w:rPr>
            </w:pPr>
            <w:r w:rsidRPr="00CD2364">
              <w:rPr>
                <w:rFonts w:ascii="Calibri" w:hAnsi="Calibri" w:hint="eastAsia"/>
                <w:color w:val="auto"/>
                <w:szCs w:val="21"/>
              </w:rPr>
              <w:t>粒子白或微黄透明均匀颗粒，粒度每克大于</w:t>
            </w:r>
            <w:r w:rsidRPr="00CD2364">
              <w:rPr>
                <w:rFonts w:ascii="Calibri" w:hAnsi="Calibri" w:hint="eastAsia"/>
                <w:color w:val="auto"/>
                <w:szCs w:val="21"/>
              </w:rPr>
              <w:t>30</w:t>
            </w:r>
            <w:r w:rsidRPr="00CD2364">
              <w:rPr>
                <w:rFonts w:ascii="Calibri" w:hAnsi="Calibri" w:hint="eastAsia"/>
                <w:color w:val="auto"/>
                <w:szCs w:val="21"/>
              </w:rPr>
              <w:t>粒，带黑点颗粒含量不大于</w:t>
            </w:r>
            <w:r w:rsidRPr="00CD2364">
              <w:rPr>
                <w:rFonts w:ascii="Calibri" w:hAnsi="Calibri" w:hint="eastAsia"/>
                <w:color w:val="auto"/>
                <w:szCs w:val="21"/>
              </w:rPr>
              <w:t>2%</w:t>
            </w:r>
          </w:p>
        </w:tc>
        <w:tc>
          <w:tcPr>
            <w:tcW w:w="895" w:type="pct"/>
            <w:tcBorders>
              <w:left w:val="single" w:sz="2" w:space="0" w:color="auto"/>
            </w:tcBorders>
            <w:vAlign w:val="center"/>
          </w:tcPr>
          <w:p w14:paraId="6AA3AEEB" w14:textId="77777777" w:rsidR="004A5BF5" w:rsidRPr="004A5BF5" w:rsidRDefault="004A5BF5" w:rsidP="004A5BF5">
            <w:pPr>
              <w:jc w:val="center"/>
              <w:rPr>
                <w:rFonts w:ascii="Calibri" w:hAnsi="Calibri"/>
                <w:color w:val="auto"/>
                <w:szCs w:val="21"/>
              </w:rPr>
            </w:pPr>
            <w:r w:rsidRPr="004A5BF5">
              <w:rPr>
                <w:rFonts w:ascii="Calibri" w:hAnsi="Calibri" w:hint="eastAsia"/>
                <w:color w:val="auto"/>
                <w:szCs w:val="21"/>
              </w:rPr>
              <w:t>广泛用于制造工程塑料、纤</w:t>
            </w:r>
          </w:p>
          <w:p w14:paraId="247A5C44" w14:textId="77777777" w:rsidR="004A5BF5" w:rsidRDefault="004A5BF5" w:rsidP="004A5BF5">
            <w:pPr>
              <w:jc w:val="center"/>
              <w:rPr>
                <w:rFonts w:ascii="Calibri" w:hAnsi="Calibri"/>
                <w:color w:val="auto"/>
                <w:szCs w:val="21"/>
              </w:rPr>
            </w:pPr>
            <w:r w:rsidRPr="004A5BF5">
              <w:rPr>
                <w:rFonts w:ascii="Calibri" w:hAnsi="Calibri" w:hint="eastAsia"/>
                <w:color w:val="auto"/>
                <w:szCs w:val="21"/>
              </w:rPr>
              <w:t>维及高级合成原料</w:t>
            </w:r>
          </w:p>
        </w:tc>
      </w:tr>
      <w:tr w:rsidR="004A5BF5" w:rsidRPr="00A964FF" w14:paraId="2ABC1831" w14:textId="77777777" w:rsidTr="004A5BF5">
        <w:trPr>
          <w:cantSplit/>
          <w:trHeight w:val="435"/>
          <w:jc w:val="center"/>
        </w:trPr>
        <w:tc>
          <w:tcPr>
            <w:tcW w:w="293" w:type="pct"/>
            <w:vAlign w:val="center"/>
          </w:tcPr>
          <w:p w14:paraId="7AFD8F8C" w14:textId="77777777" w:rsidR="004A5BF5" w:rsidRPr="00A964FF" w:rsidRDefault="004A5BF5" w:rsidP="00385A80">
            <w:pPr>
              <w:jc w:val="center"/>
              <w:rPr>
                <w:rFonts w:ascii="Calibri" w:hAnsi="Calibri"/>
                <w:color w:val="auto"/>
                <w:szCs w:val="21"/>
              </w:rPr>
            </w:pPr>
            <w:r>
              <w:rPr>
                <w:rFonts w:ascii="Calibri" w:hAnsi="Calibri" w:hint="eastAsia"/>
                <w:color w:val="auto"/>
                <w:szCs w:val="21"/>
              </w:rPr>
              <w:t>2</w:t>
            </w:r>
          </w:p>
        </w:tc>
        <w:tc>
          <w:tcPr>
            <w:tcW w:w="1194" w:type="pct"/>
            <w:tcBorders>
              <w:right w:val="single" w:sz="2" w:space="0" w:color="auto"/>
            </w:tcBorders>
            <w:vAlign w:val="center"/>
          </w:tcPr>
          <w:p w14:paraId="6C78D8A1" w14:textId="77777777" w:rsidR="004A5BF5" w:rsidRPr="00A964FF" w:rsidRDefault="00F7756F" w:rsidP="004A5BF5">
            <w:pPr>
              <w:jc w:val="center"/>
              <w:rPr>
                <w:rFonts w:ascii="Calibri" w:hAnsi="Calibri"/>
                <w:color w:val="auto"/>
                <w:szCs w:val="21"/>
              </w:rPr>
            </w:pPr>
            <w:r w:rsidRPr="00F7756F">
              <w:rPr>
                <w:rFonts w:ascii="Calibri" w:hAnsi="Calibri" w:hint="eastAsia"/>
                <w:color w:val="auto"/>
                <w:szCs w:val="21"/>
              </w:rPr>
              <w:t>透明尼龙</w:t>
            </w:r>
            <w:r w:rsidR="004A5BF5" w:rsidRPr="004A5BF5">
              <w:rPr>
                <w:rFonts w:ascii="Calibri" w:hAnsi="Calibri" w:hint="eastAsia"/>
                <w:color w:val="auto"/>
                <w:szCs w:val="21"/>
              </w:rPr>
              <w:t>瑕疵品</w:t>
            </w:r>
          </w:p>
        </w:tc>
        <w:tc>
          <w:tcPr>
            <w:tcW w:w="633" w:type="pct"/>
            <w:tcBorders>
              <w:left w:val="single" w:sz="2" w:space="0" w:color="auto"/>
            </w:tcBorders>
            <w:vAlign w:val="center"/>
          </w:tcPr>
          <w:p w14:paraId="731B928B" w14:textId="77777777" w:rsidR="004A5BF5" w:rsidRPr="00A964FF" w:rsidRDefault="00031A77" w:rsidP="004A5BF5">
            <w:pPr>
              <w:jc w:val="center"/>
              <w:rPr>
                <w:rFonts w:ascii="Calibri" w:hAnsi="Calibri"/>
                <w:color w:val="auto"/>
                <w:szCs w:val="21"/>
              </w:rPr>
            </w:pPr>
            <w:r>
              <w:rPr>
                <w:rFonts w:ascii="Calibri" w:hAnsi="Calibri"/>
                <w:color w:val="auto"/>
                <w:szCs w:val="21"/>
              </w:rPr>
              <w:t>26</w:t>
            </w:r>
          </w:p>
        </w:tc>
        <w:tc>
          <w:tcPr>
            <w:tcW w:w="1985" w:type="pct"/>
            <w:tcBorders>
              <w:left w:val="single" w:sz="2" w:space="0" w:color="auto"/>
              <w:right w:val="single" w:sz="2" w:space="0" w:color="auto"/>
            </w:tcBorders>
            <w:vAlign w:val="center"/>
          </w:tcPr>
          <w:p w14:paraId="03D1DAA8" w14:textId="77777777" w:rsidR="004A5BF5" w:rsidRDefault="004A5BF5" w:rsidP="004A5BF5">
            <w:pPr>
              <w:jc w:val="center"/>
              <w:rPr>
                <w:rFonts w:ascii="Calibri" w:hAnsi="Calibri"/>
                <w:color w:val="auto"/>
                <w:szCs w:val="21"/>
              </w:rPr>
            </w:pPr>
            <w:r w:rsidRPr="004A5BF5">
              <w:rPr>
                <w:rFonts w:ascii="Calibri" w:hAnsi="Calibri" w:hint="eastAsia"/>
                <w:color w:val="auto"/>
                <w:szCs w:val="21"/>
              </w:rPr>
              <w:t>不能满足工艺及产品要求</w:t>
            </w:r>
          </w:p>
        </w:tc>
        <w:tc>
          <w:tcPr>
            <w:tcW w:w="895" w:type="pct"/>
            <w:tcBorders>
              <w:left w:val="single" w:sz="2" w:space="0" w:color="auto"/>
            </w:tcBorders>
            <w:vAlign w:val="center"/>
          </w:tcPr>
          <w:p w14:paraId="24BE11C2" w14:textId="77777777" w:rsidR="004A5BF5" w:rsidRDefault="00CD2364" w:rsidP="00385A80">
            <w:pPr>
              <w:jc w:val="center"/>
              <w:rPr>
                <w:rFonts w:ascii="Calibri" w:hAnsi="Calibri"/>
                <w:color w:val="auto"/>
                <w:szCs w:val="21"/>
              </w:rPr>
            </w:pPr>
            <w:r>
              <w:rPr>
                <w:rFonts w:ascii="Calibri" w:hAnsi="Calibri" w:hint="eastAsia"/>
                <w:color w:val="auto"/>
                <w:szCs w:val="21"/>
              </w:rPr>
              <w:t>出售相关</w:t>
            </w:r>
            <w:r>
              <w:rPr>
                <w:rFonts w:ascii="Calibri" w:hAnsi="Calibri"/>
                <w:color w:val="auto"/>
                <w:szCs w:val="21"/>
              </w:rPr>
              <w:t>企业，</w:t>
            </w:r>
            <w:r w:rsidR="004A5BF5" w:rsidRPr="004A5BF5">
              <w:rPr>
                <w:rFonts w:ascii="Calibri" w:hAnsi="Calibri" w:hint="eastAsia"/>
                <w:color w:val="auto"/>
                <w:szCs w:val="21"/>
              </w:rPr>
              <w:t>加工后用于以上领域</w:t>
            </w:r>
          </w:p>
        </w:tc>
      </w:tr>
      <w:tr w:rsidR="004A5BF5" w:rsidRPr="00A964FF" w14:paraId="4484061D" w14:textId="77777777" w:rsidTr="004A5BF5">
        <w:trPr>
          <w:cantSplit/>
          <w:trHeight w:val="435"/>
          <w:jc w:val="center"/>
        </w:trPr>
        <w:tc>
          <w:tcPr>
            <w:tcW w:w="5000" w:type="pct"/>
            <w:gridSpan w:val="5"/>
            <w:vAlign w:val="center"/>
          </w:tcPr>
          <w:p w14:paraId="0CF8EC0A" w14:textId="77777777" w:rsidR="004A5BF5" w:rsidRDefault="004A5BF5" w:rsidP="00385A80">
            <w:pPr>
              <w:jc w:val="center"/>
              <w:rPr>
                <w:rFonts w:ascii="Calibri" w:hAnsi="Calibri"/>
                <w:color w:val="auto"/>
                <w:szCs w:val="21"/>
              </w:rPr>
            </w:pPr>
            <w:r>
              <w:rPr>
                <w:rFonts w:ascii="Calibri" w:hAnsi="Calibri" w:hint="eastAsia"/>
                <w:color w:val="auto"/>
                <w:szCs w:val="21"/>
              </w:rPr>
              <w:t>二期</w:t>
            </w:r>
            <w:r>
              <w:rPr>
                <w:rFonts w:ascii="Calibri" w:hAnsi="Calibri"/>
                <w:color w:val="auto"/>
                <w:szCs w:val="21"/>
              </w:rPr>
              <w:t>工程</w:t>
            </w:r>
          </w:p>
        </w:tc>
      </w:tr>
      <w:tr w:rsidR="004A5BF5" w:rsidRPr="00A964FF" w14:paraId="3D58CE19" w14:textId="77777777" w:rsidTr="004A5BF5">
        <w:trPr>
          <w:cantSplit/>
          <w:trHeight w:val="435"/>
          <w:jc w:val="center"/>
        </w:trPr>
        <w:tc>
          <w:tcPr>
            <w:tcW w:w="293" w:type="pct"/>
            <w:vAlign w:val="center"/>
          </w:tcPr>
          <w:p w14:paraId="17EB4F25" w14:textId="77777777" w:rsidR="004A5BF5" w:rsidRPr="004A5BF5" w:rsidRDefault="004A5BF5" w:rsidP="004A5BF5">
            <w:pPr>
              <w:jc w:val="center"/>
              <w:rPr>
                <w:rFonts w:ascii="Calibri" w:hAnsi="Calibri"/>
                <w:color w:val="auto"/>
                <w:szCs w:val="21"/>
              </w:rPr>
            </w:pPr>
            <w:r w:rsidRPr="004A5BF5">
              <w:rPr>
                <w:rFonts w:ascii="Calibri" w:hAnsi="Calibri" w:hint="eastAsia"/>
                <w:color w:val="auto"/>
                <w:szCs w:val="21"/>
              </w:rPr>
              <w:t>1</w:t>
            </w:r>
          </w:p>
        </w:tc>
        <w:tc>
          <w:tcPr>
            <w:tcW w:w="1194" w:type="pct"/>
            <w:tcBorders>
              <w:right w:val="single" w:sz="2" w:space="0" w:color="auto"/>
            </w:tcBorders>
            <w:vAlign w:val="center"/>
          </w:tcPr>
          <w:p w14:paraId="3947F24B" w14:textId="77777777" w:rsidR="004A5BF5" w:rsidRPr="004A5BF5" w:rsidRDefault="00F7756F" w:rsidP="004A5BF5">
            <w:pPr>
              <w:jc w:val="center"/>
              <w:rPr>
                <w:rFonts w:ascii="Calibri" w:hAnsi="Calibri"/>
                <w:color w:val="auto"/>
                <w:szCs w:val="21"/>
              </w:rPr>
            </w:pPr>
            <w:r w:rsidRPr="00F7756F">
              <w:rPr>
                <w:rFonts w:ascii="Calibri" w:hAnsi="Calibri" w:hint="eastAsia"/>
                <w:color w:val="auto"/>
                <w:szCs w:val="21"/>
              </w:rPr>
              <w:t>透明尼龙</w:t>
            </w:r>
          </w:p>
        </w:tc>
        <w:tc>
          <w:tcPr>
            <w:tcW w:w="633" w:type="pct"/>
            <w:tcBorders>
              <w:left w:val="single" w:sz="2" w:space="0" w:color="auto"/>
            </w:tcBorders>
            <w:vAlign w:val="center"/>
          </w:tcPr>
          <w:p w14:paraId="1826F566" w14:textId="77777777" w:rsidR="004A5BF5" w:rsidRPr="004A5BF5" w:rsidRDefault="004A5BF5" w:rsidP="004A5BF5">
            <w:pPr>
              <w:jc w:val="center"/>
              <w:rPr>
                <w:rFonts w:ascii="Calibri" w:hAnsi="Calibri"/>
                <w:color w:val="auto"/>
                <w:szCs w:val="21"/>
              </w:rPr>
            </w:pPr>
            <w:r>
              <w:rPr>
                <w:rFonts w:ascii="Calibri" w:hAnsi="Calibri"/>
                <w:color w:val="auto"/>
                <w:szCs w:val="21"/>
              </w:rPr>
              <w:t>1500</w:t>
            </w:r>
          </w:p>
        </w:tc>
        <w:tc>
          <w:tcPr>
            <w:tcW w:w="1985" w:type="pct"/>
            <w:tcBorders>
              <w:left w:val="single" w:sz="2" w:space="0" w:color="auto"/>
              <w:right w:val="single" w:sz="2" w:space="0" w:color="auto"/>
            </w:tcBorders>
            <w:vAlign w:val="center"/>
          </w:tcPr>
          <w:p w14:paraId="29A10ED7" w14:textId="77777777" w:rsidR="004A5BF5" w:rsidRDefault="00CD2364" w:rsidP="004A5BF5">
            <w:pPr>
              <w:jc w:val="center"/>
              <w:rPr>
                <w:rFonts w:ascii="Calibri" w:hAnsi="Calibri"/>
                <w:color w:val="auto"/>
                <w:szCs w:val="21"/>
              </w:rPr>
            </w:pPr>
            <w:r w:rsidRPr="00CD2364">
              <w:rPr>
                <w:rFonts w:ascii="Calibri" w:hAnsi="Calibri" w:hint="eastAsia"/>
                <w:color w:val="auto"/>
                <w:szCs w:val="21"/>
              </w:rPr>
              <w:t>粒子白或微黄透明均匀颗粒，粒度每克大于</w:t>
            </w:r>
            <w:r w:rsidRPr="00CD2364">
              <w:rPr>
                <w:rFonts w:ascii="Calibri" w:hAnsi="Calibri" w:hint="eastAsia"/>
                <w:color w:val="auto"/>
                <w:szCs w:val="21"/>
              </w:rPr>
              <w:t>30</w:t>
            </w:r>
            <w:r w:rsidRPr="00CD2364">
              <w:rPr>
                <w:rFonts w:ascii="Calibri" w:hAnsi="Calibri" w:hint="eastAsia"/>
                <w:color w:val="auto"/>
                <w:szCs w:val="21"/>
              </w:rPr>
              <w:t>粒，带黑点颗粒含量不大于</w:t>
            </w:r>
            <w:r w:rsidRPr="00CD2364">
              <w:rPr>
                <w:rFonts w:ascii="Calibri" w:hAnsi="Calibri" w:hint="eastAsia"/>
                <w:color w:val="auto"/>
                <w:szCs w:val="21"/>
              </w:rPr>
              <w:t>2%</w:t>
            </w:r>
          </w:p>
        </w:tc>
        <w:tc>
          <w:tcPr>
            <w:tcW w:w="895" w:type="pct"/>
            <w:tcBorders>
              <w:left w:val="single" w:sz="2" w:space="0" w:color="auto"/>
            </w:tcBorders>
            <w:vAlign w:val="center"/>
          </w:tcPr>
          <w:p w14:paraId="22C31E35" w14:textId="77777777" w:rsidR="004A5BF5" w:rsidRPr="004A5BF5" w:rsidRDefault="004A5BF5" w:rsidP="004A5BF5">
            <w:pPr>
              <w:jc w:val="center"/>
              <w:rPr>
                <w:rFonts w:ascii="Calibri" w:hAnsi="Calibri"/>
                <w:color w:val="auto"/>
                <w:szCs w:val="21"/>
              </w:rPr>
            </w:pPr>
            <w:r w:rsidRPr="004A5BF5">
              <w:rPr>
                <w:rFonts w:ascii="Calibri" w:hAnsi="Calibri" w:hint="eastAsia"/>
                <w:color w:val="auto"/>
                <w:szCs w:val="21"/>
              </w:rPr>
              <w:t>广泛用于制造工程塑料、纤</w:t>
            </w:r>
          </w:p>
          <w:p w14:paraId="326A9166" w14:textId="77777777" w:rsidR="004A5BF5" w:rsidRDefault="004A5BF5" w:rsidP="004A5BF5">
            <w:pPr>
              <w:jc w:val="center"/>
              <w:rPr>
                <w:rFonts w:ascii="Calibri" w:hAnsi="Calibri"/>
                <w:color w:val="auto"/>
                <w:szCs w:val="21"/>
              </w:rPr>
            </w:pPr>
            <w:r w:rsidRPr="004A5BF5">
              <w:rPr>
                <w:rFonts w:ascii="Calibri" w:hAnsi="Calibri" w:hint="eastAsia"/>
                <w:color w:val="auto"/>
                <w:szCs w:val="21"/>
              </w:rPr>
              <w:t>维及高级合成原料</w:t>
            </w:r>
          </w:p>
        </w:tc>
      </w:tr>
      <w:tr w:rsidR="004A5BF5" w:rsidRPr="00A964FF" w14:paraId="467061E7" w14:textId="77777777" w:rsidTr="004A5BF5">
        <w:trPr>
          <w:cantSplit/>
          <w:trHeight w:val="435"/>
          <w:jc w:val="center"/>
        </w:trPr>
        <w:tc>
          <w:tcPr>
            <w:tcW w:w="293" w:type="pct"/>
            <w:vAlign w:val="center"/>
          </w:tcPr>
          <w:p w14:paraId="12E758F8" w14:textId="77777777" w:rsidR="004A5BF5" w:rsidRPr="004A5BF5" w:rsidRDefault="004A5BF5" w:rsidP="004A5BF5">
            <w:pPr>
              <w:jc w:val="center"/>
              <w:rPr>
                <w:rFonts w:ascii="Calibri" w:hAnsi="Calibri"/>
                <w:color w:val="auto"/>
                <w:szCs w:val="21"/>
              </w:rPr>
            </w:pPr>
            <w:r w:rsidRPr="004A5BF5">
              <w:rPr>
                <w:rFonts w:ascii="Calibri" w:hAnsi="Calibri" w:hint="eastAsia"/>
                <w:color w:val="auto"/>
                <w:szCs w:val="21"/>
              </w:rPr>
              <w:t>2</w:t>
            </w:r>
          </w:p>
        </w:tc>
        <w:tc>
          <w:tcPr>
            <w:tcW w:w="1194" w:type="pct"/>
            <w:tcBorders>
              <w:right w:val="single" w:sz="2" w:space="0" w:color="auto"/>
            </w:tcBorders>
            <w:vAlign w:val="center"/>
          </w:tcPr>
          <w:p w14:paraId="504CEB4C" w14:textId="77777777" w:rsidR="004A5BF5" w:rsidRPr="004A5BF5" w:rsidRDefault="00F7756F" w:rsidP="004A5BF5">
            <w:pPr>
              <w:jc w:val="center"/>
              <w:rPr>
                <w:rFonts w:ascii="Calibri" w:hAnsi="Calibri"/>
                <w:color w:val="auto"/>
                <w:szCs w:val="21"/>
              </w:rPr>
            </w:pPr>
            <w:r w:rsidRPr="00F7756F">
              <w:rPr>
                <w:rFonts w:ascii="Calibri" w:hAnsi="Calibri" w:hint="eastAsia"/>
                <w:color w:val="auto"/>
                <w:szCs w:val="21"/>
              </w:rPr>
              <w:t>透明尼龙</w:t>
            </w:r>
            <w:r w:rsidR="004A5BF5" w:rsidRPr="004A5BF5">
              <w:rPr>
                <w:rFonts w:ascii="Calibri" w:hAnsi="Calibri" w:hint="eastAsia"/>
                <w:color w:val="auto"/>
                <w:szCs w:val="21"/>
              </w:rPr>
              <w:t>瑕疵品</w:t>
            </w:r>
          </w:p>
        </w:tc>
        <w:tc>
          <w:tcPr>
            <w:tcW w:w="633" w:type="pct"/>
            <w:tcBorders>
              <w:left w:val="single" w:sz="2" w:space="0" w:color="auto"/>
            </w:tcBorders>
            <w:vAlign w:val="center"/>
          </w:tcPr>
          <w:p w14:paraId="31EBAE35" w14:textId="77777777" w:rsidR="004A5BF5" w:rsidRPr="004A5BF5" w:rsidRDefault="00031A77" w:rsidP="004A5BF5">
            <w:pPr>
              <w:jc w:val="center"/>
              <w:rPr>
                <w:rFonts w:ascii="Calibri" w:hAnsi="Calibri"/>
                <w:color w:val="auto"/>
                <w:szCs w:val="21"/>
              </w:rPr>
            </w:pPr>
            <w:r>
              <w:rPr>
                <w:rFonts w:ascii="Calibri" w:hAnsi="Calibri"/>
                <w:color w:val="auto"/>
                <w:szCs w:val="21"/>
              </w:rPr>
              <w:t>16</w:t>
            </w:r>
          </w:p>
        </w:tc>
        <w:tc>
          <w:tcPr>
            <w:tcW w:w="1985" w:type="pct"/>
            <w:tcBorders>
              <w:left w:val="single" w:sz="2" w:space="0" w:color="auto"/>
              <w:right w:val="single" w:sz="2" w:space="0" w:color="auto"/>
            </w:tcBorders>
            <w:vAlign w:val="center"/>
          </w:tcPr>
          <w:p w14:paraId="3986FACD" w14:textId="77777777" w:rsidR="004A5BF5" w:rsidRDefault="004A5BF5" w:rsidP="004A5BF5">
            <w:pPr>
              <w:jc w:val="center"/>
              <w:rPr>
                <w:rFonts w:ascii="Calibri" w:hAnsi="Calibri"/>
                <w:color w:val="auto"/>
                <w:szCs w:val="21"/>
              </w:rPr>
            </w:pPr>
            <w:r w:rsidRPr="004A5BF5">
              <w:rPr>
                <w:rFonts w:ascii="Calibri" w:hAnsi="Calibri" w:hint="eastAsia"/>
                <w:color w:val="auto"/>
                <w:szCs w:val="21"/>
              </w:rPr>
              <w:t>不能满足工艺及产品要求</w:t>
            </w:r>
          </w:p>
        </w:tc>
        <w:tc>
          <w:tcPr>
            <w:tcW w:w="895" w:type="pct"/>
            <w:tcBorders>
              <w:left w:val="single" w:sz="2" w:space="0" w:color="auto"/>
            </w:tcBorders>
            <w:vAlign w:val="center"/>
          </w:tcPr>
          <w:p w14:paraId="0A505242" w14:textId="77777777" w:rsidR="004A5BF5" w:rsidRDefault="00CD2364" w:rsidP="004A5BF5">
            <w:pPr>
              <w:jc w:val="center"/>
              <w:rPr>
                <w:rFonts w:ascii="Calibri" w:hAnsi="Calibri"/>
                <w:color w:val="auto"/>
                <w:szCs w:val="21"/>
              </w:rPr>
            </w:pPr>
            <w:r>
              <w:rPr>
                <w:rFonts w:ascii="Calibri" w:hAnsi="Calibri" w:hint="eastAsia"/>
                <w:color w:val="auto"/>
                <w:szCs w:val="21"/>
              </w:rPr>
              <w:t>出售相关</w:t>
            </w:r>
            <w:r>
              <w:rPr>
                <w:rFonts w:ascii="Calibri" w:hAnsi="Calibri"/>
                <w:color w:val="auto"/>
                <w:szCs w:val="21"/>
              </w:rPr>
              <w:t>企业，</w:t>
            </w:r>
            <w:r w:rsidR="004A5BF5" w:rsidRPr="004A5BF5">
              <w:rPr>
                <w:rFonts w:ascii="Calibri" w:hAnsi="Calibri" w:hint="eastAsia"/>
                <w:color w:val="auto"/>
                <w:szCs w:val="21"/>
              </w:rPr>
              <w:t>加工后用于以上领域</w:t>
            </w:r>
          </w:p>
        </w:tc>
      </w:tr>
    </w:tbl>
    <w:p w14:paraId="6068B009" w14:textId="77777777" w:rsidR="004554C2" w:rsidRPr="00A964FF" w:rsidRDefault="004554C2" w:rsidP="00B96561">
      <w:pPr>
        <w:pStyle w:val="ad"/>
        <w:rPr>
          <w:rFonts w:ascii="Calibri" w:hAnsi="Calibri"/>
          <w:color w:val="auto"/>
        </w:rPr>
      </w:pPr>
      <w:r w:rsidRPr="00A964FF">
        <w:rPr>
          <w:rFonts w:ascii="Calibri" w:hAnsi="Calibri" w:hint="eastAsia"/>
          <w:color w:val="auto"/>
        </w:rPr>
        <w:t>2.1.7</w:t>
      </w:r>
      <w:r w:rsidRPr="00A964FF">
        <w:rPr>
          <w:rFonts w:ascii="Calibri" w:hAnsi="Calibri" w:hint="eastAsia"/>
          <w:color w:val="auto"/>
        </w:rPr>
        <w:t>原辅材料</w:t>
      </w:r>
      <w:r w:rsidR="00F2530A">
        <w:rPr>
          <w:rFonts w:ascii="Calibri" w:hAnsi="Calibri" w:hint="eastAsia"/>
          <w:color w:val="auto"/>
        </w:rPr>
        <w:t>、</w:t>
      </w:r>
      <w:r w:rsidR="00F2530A">
        <w:rPr>
          <w:rFonts w:ascii="Calibri" w:hAnsi="Calibri"/>
          <w:color w:val="auto"/>
        </w:rPr>
        <w:t>能源</w:t>
      </w:r>
      <w:r w:rsidRPr="00A964FF">
        <w:rPr>
          <w:rFonts w:ascii="Calibri" w:hAnsi="Calibri" w:hint="eastAsia"/>
          <w:color w:val="auto"/>
        </w:rPr>
        <w:t>消耗及理化性质</w:t>
      </w:r>
    </w:p>
    <w:p w14:paraId="2B36304C" w14:textId="77777777" w:rsidR="004554C2" w:rsidRPr="00A964FF" w:rsidRDefault="004554C2" w:rsidP="004554C2">
      <w:pPr>
        <w:pStyle w:val="p15"/>
        <w:widowControl w:val="0"/>
        <w:spacing w:line="520" w:lineRule="atLeast"/>
        <w:ind w:firstLine="480"/>
        <w:rPr>
          <w:rFonts w:ascii="Calibri" w:hAnsi="Calibri"/>
          <w:b/>
          <w:color w:val="auto"/>
          <w:kern w:val="2"/>
          <w:sz w:val="24"/>
          <w:szCs w:val="24"/>
        </w:rPr>
      </w:pPr>
      <w:r w:rsidRPr="00A964FF">
        <w:rPr>
          <w:rFonts w:ascii="Calibri" w:hAnsi="Calibri" w:hint="eastAsia"/>
          <w:b/>
          <w:color w:val="auto"/>
          <w:kern w:val="2"/>
          <w:sz w:val="24"/>
          <w:szCs w:val="24"/>
        </w:rPr>
        <w:t>1</w:t>
      </w:r>
      <w:r w:rsidRPr="00A964FF">
        <w:rPr>
          <w:rFonts w:ascii="Calibri" w:hAnsi="Calibri" w:hint="eastAsia"/>
          <w:b/>
          <w:color w:val="auto"/>
          <w:kern w:val="2"/>
          <w:sz w:val="24"/>
          <w:szCs w:val="24"/>
        </w:rPr>
        <w:t>、原辅材料</w:t>
      </w:r>
      <w:r w:rsidR="00F2530A">
        <w:rPr>
          <w:rFonts w:ascii="Calibri" w:hAnsi="Calibri" w:hint="eastAsia"/>
          <w:b/>
          <w:color w:val="auto"/>
          <w:kern w:val="2"/>
          <w:sz w:val="24"/>
          <w:szCs w:val="24"/>
        </w:rPr>
        <w:t>、</w:t>
      </w:r>
      <w:r w:rsidR="00F2530A">
        <w:rPr>
          <w:rFonts w:ascii="Calibri" w:hAnsi="Calibri"/>
          <w:b/>
          <w:color w:val="auto"/>
          <w:kern w:val="2"/>
          <w:sz w:val="24"/>
          <w:szCs w:val="24"/>
        </w:rPr>
        <w:t>能源</w:t>
      </w:r>
      <w:r w:rsidRPr="00A964FF">
        <w:rPr>
          <w:rFonts w:ascii="Calibri" w:hAnsi="Calibri" w:hint="eastAsia"/>
          <w:b/>
          <w:color w:val="auto"/>
          <w:kern w:val="2"/>
          <w:sz w:val="24"/>
          <w:szCs w:val="24"/>
        </w:rPr>
        <w:t>消耗情况</w:t>
      </w:r>
    </w:p>
    <w:p w14:paraId="58E7A415" w14:textId="77777777" w:rsidR="004554C2" w:rsidRPr="00A964FF" w:rsidRDefault="004554C2" w:rsidP="004554C2">
      <w:pPr>
        <w:pStyle w:val="p15"/>
        <w:widowControl w:val="0"/>
        <w:spacing w:line="520" w:lineRule="atLeast"/>
        <w:ind w:firstLine="480"/>
        <w:rPr>
          <w:rFonts w:ascii="Calibri" w:hAnsi="Calibri"/>
          <w:color w:val="auto"/>
          <w:kern w:val="2"/>
          <w:sz w:val="24"/>
          <w:szCs w:val="24"/>
        </w:rPr>
      </w:pPr>
      <w:r w:rsidRPr="00A964FF">
        <w:rPr>
          <w:rFonts w:ascii="Calibri" w:hAnsi="Calibri" w:hint="eastAsia"/>
          <w:color w:val="auto"/>
          <w:kern w:val="2"/>
          <w:sz w:val="24"/>
          <w:szCs w:val="24"/>
        </w:rPr>
        <w:t>本项目</w:t>
      </w:r>
      <w:r w:rsidR="00CE7A1F">
        <w:rPr>
          <w:rFonts w:ascii="Calibri" w:hAnsi="Calibri" w:hint="eastAsia"/>
          <w:color w:val="auto"/>
          <w:kern w:val="2"/>
          <w:sz w:val="24"/>
          <w:szCs w:val="24"/>
        </w:rPr>
        <w:t>生产</w:t>
      </w:r>
      <w:r w:rsidR="00CE7A1F">
        <w:rPr>
          <w:rFonts w:ascii="Calibri" w:hAnsi="Calibri"/>
          <w:color w:val="auto"/>
          <w:kern w:val="2"/>
          <w:sz w:val="24"/>
          <w:szCs w:val="24"/>
        </w:rPr>
        <w:t>使用</w:t>
      </w:r>
      <w:r w:rsidRPr="00A964FF">
        <w:rPr>
          <w:rFonts w:ascii="Calibri" w:hAnsi="Calibri" w:hint="eastAsia"/>
          <w:color w:val="auto"/>
          <w:kern w:val="2"/>
          <w:sz w:val="24"/>
          <w:szCs w:val="24"/>
        </w:rPr>
        <w:t>原辅材料消耗情况见表</w:t>
      </w:r>
      <w:r w:rsidRPr="00A964FF">
        <w:rPr>
          <w:rFonts w:ascii="Calibri" w:hAnsi="Calibri" w:hint="eastAsia"/>
          <w:color w:val="auto"/>
          <w:kern w:val="2"/>
          <w:sz w:val="24"/>
          <w:szCs w:val="24"/>
        </w:rPr>
        <w:t>2</w:t>
      </w:r>
      <w:r w:rsidR="007C4323" w:rsidRPr="00A964FF">
        <w:rPr>
          <w:rFonts w:ascii="Calibri" w:hAnsi="Calibri" w:hint="eastAsia"/>
          <w:color w:val="auto"/>
          <w:kern w:val="2"/>
          <w:sz w:val="24"/>
          <w:szCs w:val="24"/>
        </w:rPr>
        <w:t>.1</w:t>
      </w:r>
      <w:r w:rsidRPr="00A964FF">
        <w:rPr>
          <w:rFonts w:ascii="Calibri" w:hAnsi="Calibri" w:hint="eastAsia"/>
          <w:color w:val="auto"/>
          <w:kern w:val="2"/>
          <w:sz w:val="24"/>
          <w:szCs w:val="24"/>
        </w:rPr>
        <w:t>-</w:t>
      </w:r>
      <w:r w:rsidR="004A5BF5">
        <w:rPr>
          <w:rFonts w:ascii="Calibri" w:hAnsi="Calibri" w:hint="eastAsia"/>
          <w:color w:val="auto"/>
          <w:kern w:val="2"/>
          <w:sz w:val="24"/>
          <w:szCs w:val="24"/>
        </w:rPr>
        <w:t>5</w:t>
      </w:r>
      <w:r w:rsidRPr="00A964FF">
        <w:rPr>
          <w:rFonts w:ascii="Calibri" w:hAnsi="Calibri" w:hint="eastAsia"/>
          <w:color w:val="auto"/>
          <w:kern w:val="2"/>
          <w:sz w:val="24"/>
          <w:szCs w:val="24"/>
        </w:rPr>
        <w:t>。</w:t>
      </w:r>
    </w:p>
    <w:p w14:paraId="498E969D" w14:textId="77777777" w:rsidR="004554C2" w:rsidRDefault="004554C2" w:rsidP="004554C2">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007C4323" w:rsidRPr="00A964FF">
        <w:rPr>
          <w:rFonts w:ascii="Calibri" w:eastAsia="黑体" w:hAnsi="Calibri" w:hint="eastAsia"/>
          <w:color w:val="auto"/>
          <w:sz w:val="24"/>
        </w:rPr>
        <w:t>.1</w:t>
      </w:r>
      <w:r w:rsidRPr="00A964FF">
        <w:rPr>
          <w:rFonts w:ascii="Calibri" w:eastAsia="黑体" w:hAnsi="Calibri"/>
          <w:color w:val="auto"/>
          <w:sz w:val="24"/>
        </w:rPr>
        <w:t>-</w:t>
      </w:r>
      <w:r w:rsidR="004A5BF5">
        <w:rPr>
          <w:rFonts w:ascii="Calibri" w:eastAsia="黑体" w:hAnsi="Calibri" w:hint="eastAsia"/>
          <w:color w:val="auto"/>
          <w:sz w:val="24"/>
        </w:rPr>
        <w:t>5</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原辅材料</w:t>
      </w:r>
      <w:r w:rsidR="00031A77">
        <w:rPr>
          <w:rFonts w:ascii="Calibri" w:eastAsia="黑体" w:hAnsi="Calibri" w:hint="eastAsia"/>
          <w:color w:val="auto"/>
          <w:sz w:val="24"/>
        </w:rPr>
        <w:t>、</w:t>
      </w:r>
      <w:r w:rsidR="00031A77">
        <w:rPr>
          <w:rFonts w:ascii="Calibri" w:eastAsia="黑体" w:hAnsi="Calibri"/>
          <w:color w:val="auto"/>
          <w:sz w:val="24"/>
        </w:rPr>
        <w:t>能源</w:t>
      </w:r>
      <w:r w:rsidRPr="00A964FF">
        <w:rPr>
          <w:rFonts w:ascii="Calibri" w:eastAsia="黑体" w:hAnsi="Calibri" w:hint="eastAsia"/>
          <w:color w:val="auto"/>
          <w:sz w:val="24"/>
        </w:rPr>
        <w:t>消耗情况</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60"/>
        <w:gridCol w:w="1126"/>
        <w:gridCol w:w="1843"/>
        <w:gridCol w:w="1527"/>
        <w:gridCol w:w="1244"/>
        <w:gridCol w:w="915"/>
        <w:gridCol w:w="1485"/>
      </w:tblGrid>
      <w:tr w:rsidR="00F13A8B" w:rsidRPr="007419A4" w14:paraId="2D578464" w14:textId="77777777" w:rsidTr="000953CC">
        <w:trPr>
          <w:trHeight w:val="340"/>
        </w:trPr>
        <w:tc>
          <w:tcPr>
            <w:tcW w:w="1686" w:type="dxa"/>
            <w:gridSpan w:val="2"/>
            <w:tcBorders>
              <w:top w:val="single" w:sz="12" w:space="0" w:color="auto"/>
            </w:tcBorders>
            <w:shd w:val="clear" w:color="auto" w:fill="auto"/>
            <w:vAlign w:val="center"/>
          </w:tcPr>
          <w:p w14:paraId="7E34EED5" w14:textId="77777777" w:rsidR="00F13A8B" w:rsidRPr="004A5BF5" w:rsidRDefault="00F13A8B" w:rsidP="004A5BF5">
            <w:pPr>
              <w:jc w:val="center"/>
              <w:rPr>
                <w:rFonts w:ascii="Calibri" w:hAnsi="Calibri"/>
                <w:color w:val="auto"/>
                <w:szCs w:val="21"/>
              </w:rPr>
            </w:pPr>
            <w:r w:rsidRPr="004A5BF5">
              <w:rPr>
                <w:rFonts w:ascii="Calibri" w:hAnsi="Calibri"/>
                <w:color w:val="auto"/>
                <w:szCs w:val="21"/>
              </w:rPr>
              <w:t>序号</w:t>
            </w:r>
          </w:p>
        </w:tc>
        <w:tc>
          <w:tcPr>
            <w:tcW w:w="1843" w:type="dxa"/>
            <w:tcBorders>
              <w:top w:val="single" w:sz="12" w:space="0" w:color="auto"/>
              <w:bottom w:val="single" w:sz="4" w:space="0" w:color="auto"/>
            </w:tcBorders>
            <w:shd w:val="clear" w:color="auto" w:fill="auto"/>
            <w:vAlign w:val="center"/>
          </w:tcPr>
          <w:p w14:paraId="4FBB4D80" w14:textId="77777777" w:rsidR="00F13A8B" w:rsidRPr="004A5BF5" w:rsidRDefault="00F13A8B" w:rsidP="004A5BF5">
            <w:pPr>
              <w:jc w:val="center"/>
              <w:rPr>
                <w:rFonts w:ascii="Calibri" w:hAnsi="Calibri"/>
                <w:color w:val="auto"/>
                <w:szCs w:val="21"/>
              </w:rPr>
            </w:pPr>
            <w:r w:rsidRPr="004A5BF5">
              <w:rPr>
                <w:rFonts w:ascii="Calibri" w:hAnsi="Calibri"/>
                <w:color w:val="auto"/>
                <w:szCs w:val="21"/>
              </w:rPr>
              <w:t>名称</w:t>
            </w:r>
          </w:p>
        </w:tc>
        <w:tc>
          <w:tcPr>
            <w:tcW w:w="1527" w:type="dxa"/>
            <w:tcBorders>
              <w:top w:val="single" w:sz="12" w:space="0" w:color="auto"/>
            </w:tcBorders>
            <w:shd w:val="clear" w:color="auto" w:fill="auto"/>
            <w:vAlign w:val="center"/>
          </w:tcPr>
          <w:p w14:paraId="5F990589" w14:textId="77777777" w:rsidR="00F13A8B" w:rsidRPr="004A5BF5" w:rsidRDefault="00F13A8B" w:rsidP="00F2530A">
            <w:pPr>
              <w:jc w:val="center"/>
              <w:rPr>
                <w:rFonts w:ascii="Calibri" w:hAnsi="Calibri"/>
                <w:color w:val="auto"/>
                <w:szCs w:val="21"/>
              </w:rPr>
            </w:pPr>
            <w:r w:rsidRPr="004A5BF5">
              <w:rPr>
                <w:rFonts w:ascii="Calibri" w:hAnsi="Calibri"/>
                <w:color w:val="auto"/>
                <w:szCs w:val="21"/>
              </w:rPr>
              <w:t>年用量</w:t>
            </w:r>
          </w:p>
        </w:tc>
        <w:tc>
          <w:tcPr>
            <w:tcW w:w="1244" w:type="dxa"/>
            <w:tcBorders>
              <w:top w:val="single" w:sz="12" w:space="0" w:color="auto"/>
            </w:tcBorders>
            <w:shd w:val="clear" w:color="auto" w:fill="auto"/>
            <w:vAlign w:val="center"/>
          </w:tcPr>
          <w:p w14:paraId="0C76310A" w14:textId="77777777" w:rsidR="00F13A8B" w:rsidRPr="004A5BF5" w:rsidRDefault="00F13A8B" w:rsidP="0091675D">
            <w:pPr>
              <w:jc w:val="center"/>
              <w:rPr>
                <w:rFonts w:ascii="Calibri" w:hAnsi="Calibri"/>
                <w:color w:val="auto"/>
                <w:szCs w:val="21"/>
              </w:rPr>
            </w:pPr>
            <w:r w:rsidRPr="004A5BF5">
              <w:rPr>
                <w:rFonts w:ascii="Calibri" w:hAnsi="Calibri"/>
                <w:color w:val="auto"/>
                <w:szCs w:val="21"/>
              </w:rPr>
              <w:t>厂内</w:t>
            </w:r>
            <w:r w:rsidRPr="004A5BF5">
              <w:rPr>
                <w:rFonts w:ascii="Calibri" w:hAnsi="Calibri" w:hint="eastAsia"/>
                <w:color w:val="auto"/>
                <w:szCs w:val="21"/>
              </w:rPr>
              <w:t>最大</w:t>
            </w:r>
            <w:r w:rsidRPr="004A5BF5">
              <w:rPr>
                <w:rFonts w:ascii="Calibri" w:hAnsi="Calibri"/>
                <w:color w:val="auto"/>
                <w:szCs w:val="21"/>
              </w:rPr>
              <w:t>储量</w:t>
            </w:r>
          </w:p>
        </w:tc>
        <w:tc>
          <w:tcPr>
            <w:tcW w:w="915" w:type="dxa"/>
            <w:tcBorders>
              <w:top w:val="single" w:sz="12" w:space="0" w:color="auto"/>
            </w:tcBorders>
            <w:vAlign w:val="center"/>
          </w:tcPr>
          <w:p w14:paraId="2D43FF10" w14:textId="77777777" w:rsidR="00F13A8B" w:rsidRPr="004A5BF5" w:rsidRDefault="00F13A8B" w:rsidP="004A5BF5">
            <w:pPr>
              <w:jc w:val="center"/>
              <w:rPr>
                <w:rFonts w:ascii="Calibri" w:hAnsi="Calibri"/>
                <w:color w:val="auto"/>
                <w:szCs w:val="21"/>
              </w:rPr>
            </w:pPr>
            <w:r>
              <w:rPr>
                <w:rFonts w:ascii="Calibri" w:hAnsi="Calibri" w:hint="eastAsia"/>
                <w:color w:val="auto"/>
                <w:szCs w:val="21"/>
              </w:rPr>
              <w:t>贮存周期</w:t>
            </w:r>
          </w:p>
        </w:tc>
        <w:tc>
          <w:tcPr>
            <w:tcW w:w="1485" w:type="dxa"/>
            <w:tcBorders>
              <w:top w:val="single" w:sz="12" w:space="0" w:color="auto"/>
            </w:tcBorders>
            <w:shd w:val="clear" w:color="auto" w:fill="auto"/>
            <w:vAlign w:val="center"/>
          </w:tcPr>
          <w:p w14:paraId="249CC5A8" w14:textId="77777777" w:rsidR="00F13A8B" w:rsidRPr="004A5BF5" w:rsidRDefault="00F13A8B" w:rsidP="004A5BF5">
            <w:pPr>
              <w:jc w:val="center"/>
              <w:rPr>
                <w:rFonts w:ascii="Calibri" w:hAnsi="Calibri"/>
                <w:color w:val="auto"/>
                <w:szCs w:val="21"/>
              </w:rPr>
            </w:pPr>
            <w:r>
              <w:rPr>
                <w:rFonts w:ascii="Calibri" w:hAnsi="Calibri" w:hint="eastAsia"/>
                <w:color w:val="auto"/>
                <w:szCs w:val="21"/>
              </w:rPr>
              <w:t>备注</w:t>
            </w:r>
          </w:p>
        </w:tc>
      </w:tr>
      <w:tr w:rsidR="00F13A8B" w:rsidRPr="007419A4" w14:paraId="4597E264" w14:textId="77777777" w:rsidTr="00F430A4">
        <w:trPr>
          <w:trHeight w:val="340"/>
        </w:trPr>
        <w:tc>
          <w:tcPr>
            <w:tcW w:w="8700" w:type="dxa"/>
            <w:gridSpan w:val="7"/>
            <w:vAlign w:val="center"/>
          </w:tcPr>
          <w:p w14:paraId="117EB950" w14:textId="77777777" w:rsidR="00F13A8B" w:rsidRPr="004A5BF5" w:rsidRDefault="00F13A8B" w:rsidP="004A5BF5">
            <w:pPr>
              <w:jc w:val="center"/>
              <w:rPr>
                <w:rFonts w:ascii="Calibri" w:hAnsi="Calibri"/>
                <w:color w:val="auto"/>
                <w:szCs w:val="21"/>
              </w:rPr>
            </w:pPr>
            <w:r>
              <w:rPr>
                <w:rFonts w:ascii="Calibri" w:hAnsi="Calibri" w:hint="eastAsia"/>
                <w:color w:val="auto"/>
                <w:szCs w:val="21"/>
              </w:rPr>
              <w:t>一期</w:t>
            </w:r>
            <w:r>
              <w:rPr>
                <w:rFonts w:ascii="Calibri" w:hAnsi="Calibri"/>
                <w:color w:val="auto"/>
                <w:szCs w:val="21"/>
              </w:rPr>
              <w:t>工程</w:t>
            </w:r>
          </w:p>
        </w:tc>
      </w:tr>
      <w:tr w:rsidR="00623EF2" w:rsidRPr="007419A4" w14:paraId="325406ED" w14:textId="77777777" w:rsidTr="000953CC">
        <w:trPr>
          <w:trHeight w:val="340"/>
        </w:trPr>
        <w:tc>
          <w:tcPr>
            <w:tcW w:w="560" w:type="dxa"/>
            <w:tcBorders>
              <w:right w:val="single" w:sz="4" w:space="0" w:color="auto"/>
            </w:tcBorders>
            <w:shd w:val="clear" w:color="auto" w:fill="auto"/>
            <w:vAlign w:val="center"/>
          </w:tcPr>
          <w:p w14:paraId="6ED4F63C" w14:textId="77777777" w:rsidR="00623EF2" w:rsidRPr="004A5BF5" w:rsidRDefault="00623EF2" w:rsidP="004A5BF5">
            <w:pPr>
              <w:jc w:val="center"/>
              <w:rPr>
                <w:rFonts w:ascii="Calibri" w:hAnsi="Calibri"/>
                <w:color w:val="auto"/>
                <w:szCs w:val="21"/>
              </w:rPr>
            </w:pPr>
            <w:r w:rsidRPr="004A5BF5">
              <w:rPr>
                <w:rFonts w:ascii="Calibri" w:hAnsi="Calibri"/>
                <w:color w:val="auto"/>
                <w:szCs w:val="21"/>
              </w:rPr>
              <w:t>1</w:t>
            </w:r>
          </w:p>
        </w:tc>
        <w:tc>
          <w:tcPr>
            <w:tcW w:w="1126" w:type="dxa"/>
            <w:vMerge w:val="restart"/>
            <w:tcBorders>
              <w:top w:val="single" w:sz="4" w:space="0" w:color="auto"/>
              <w:left w:val="single" w:sz="4" w:space="0" w:color="auto"/>
            </w:tcBorders>
            <w:shd w:val="clear" w:color="auto" w:fill="auto"/>
            <w:vAlign w:val="center"/>
          </w:tcPr>
          <w:p w14:paraId="7AF748D0" w14:textId="77777777" w:rsidR="00623EF2" w:rsidRPr="004A5BF5" w:rsidRDefault="00623EF2" w:rsidP="00F13A8B">
            <w:pPr>
              <w:rPr>
                <w:rFonts w:ascii="Calibri" w:hAnsi="Calibri"/>
                <w:color w:val="auto"/>
                <w:szCs w:val="21"/>
              </w:rPr>
            </w:pPr>
            <w:r w:rsidRPr="004A5BF5">
              <w:rPr>
                <w:rFonts w:ascii="Calibri" w:hAnsi="Calibri" w:hint="eastAsia"/>
                <w:color w:val="auto"/>
                <w:szCs w:val="21"/>
              </w:rPr>
              <w:t>主要原料</w:t>
            </w:r>
          </w:p>
        </w:tc>
        <w:tc>
          <w:tcPr>
            <w:tcW w:w="1843" w:type="dxa"/>
            <w:tcBorders>
              <w:top w:val="single" w:sz="4" w:space="0" w:color="auto"/>
            </w:tcBorders>
            <w:shd w:val="clear" w:color="auto" w:fill="auto"/>
            <w:vAlign w:val="center"/>
          </w:tcPr>
          <w:p w14:paraId="7BB15EDA" w14:textId="77777777" w:rsidR="00623EF2" w:rsidRPr="004A5BF5" w:rsidRDefault="00623EF2" w:rsidP="004A5BF5">
            <w:pPr>
              <w:rPr>
                <w:rFonts w:ascii="Calibri" w:hAnsi="Calibri"/>
                <w:color w:val="auto"/>
                <w:szCs w:val="21"/>
              </w:rPr>
            </w:pPr>
            <w:r w:rsidRPr="004A5BF5">
              <w:rPr>
                <w:rFonts w:ascii="Calibri" w:hAnsi="Calibri" w:hint="eastAsia"/>
                <w:color w:val="auto"/>
                <w:szCs w:val="21"/>
              </w:rPr>
              <w:t>尼龙</w:t>
            </w:r>
            <w:r w:rsidRPr="004A5BF5">
              <w:rPr>
                <w:rFonts w:ascii="Calibri" w:hAnsi="Calibri" w:hint="eastAsia"/>
                <w:color w:val="auto"/>
                <w:szCs w:val="21"/>
              </w:rPr>
              <w:t>66</w:t>
            </w:r>
            <w:r w:rsidRPr="004A5BF5">
              <w:rPr>
                <w:rFonts w:ascii="Calibri" w:hAnsi="Calibri" w:hint="eastAsia"/>
                <w:color w:val="auto"/>
                <w:szCs w:val="21"/>
              </w:rPr>
              <w:t>盐（液体）</w:t>
            </w:r>
          </w:p>
        </w:tc>
        <w:tc>
          <w:tcPr>
            <w:tcW w:w="1527" w:type="dxa"/>
            <w:vAlign w:val="center"/>
          </w:tcPr>
          <w:p w14:paraId="5E90C4CF" w14:textId="77777777" w:rsidR="00623EF2" w:rsidRPr="004A5BF5" w:rsidRDefault="00623EF2" w:rsidP="004A5BF5">
            <w:pPr>
              <w:jc w:val="center"/>
              <w:rPr>
                <w:rFonts w:ascii="Calibri" w:hAnsi="Calibri"/>
                <w:color w:val="auto"/>
                <w:szCs w:val="21"/>
              </w:rPr>
            </w:pPr>
            <w:r>
              <w:rPr>
                <w:rFonts w:ascii="Calibri" w:hAnsi="Calibri"/>
                <w:color w:val="auto"/>
                <w:szCs w:val="21"/>
              </w:rPr>
              <w:t>2400t</w:t>
            </w:r>
            <w:r>
              <w:rPr>
                <w:rFonts w:ascii="Calibri" w:hAnsi="Calibri" w:hint="eastAsia"/>
                <w:color w:val="auto"/>
                <w:szCs w:val="21"/>
              </w:rPr>
              <w:t>/a</w:t>
            </w:r>
          </w:p>
        </w:tc>
        <w:tc>
          <w:tcPr>
            <w:tcW w:w="1244" w:type="dxa"/>
            <w:vAlign w:val="center"/>
          </w:tcPr>
          <w:p w14:paraId="72DB1D87" w14:textId="77777777" w:rsidR="00623EF2" w:rsidRPr="004A5BF5" w:rsidRDefault="00623EF2" w:rsidP="004A5BF5">
            <w:pPr>
              <w:jc w:val="center"/>
              <w:rPr>
                <w:rFonts w:ascii="Calibri" w:hAnsi="Calibri"/>
                <w:color w:val="auto"/>
                <w:szCs w:val="21"/>
              </w:rPr>
            </w:pPr>
            <w:r>
              <w:rPr>
                <w:rFonts w:ascii="Calibri" w:hAnsi="Calibri"/>
                <w:color w:val="auto"/>
                <w:szCs w:val="21"/>
              </w:rPr>
              <w:t>360</w:t>
            </w:r>
            <w:r w:rsidRPr="004A5BF5">
              <w:rPr>
                <w:rFonts w:ascii="Calibri" w:hAnsi="Calibri" w:hint="eastAsia"/>
                <w:color w:val="auto"/>
                <w:szCs w:val="21"/>
              </w:rPr>
              <w:t>t</w:t>
            </w:r>
          </w:p>
        </w:tc>
        <w:tc>
          <w:tcPr>
            <w:tcW w:w="915" w:type="dxa"/>
            <w:vAlign w:val="center"/>
          </w:tcPr>
          <w:p w14:paraId="5B08A633" w14:textId="77777777" w:rsidR="00623EF2" w:rsidRPr="004A5BF5" w:rsidRDefault="00623EF2" w:rsidP="004A5BF5">
            <w:pPr>
              <w:jc w:val="center"/>
              <w:rPr>
                <w:rFonts w:ascii="Calibri" w:hAnsi="Calibri"/>
                <w:color w:val="auto"/>
                <w:szCs w:val="21"/>
              </w:rPr>
            </w:pPr>
            <w:r>
              <w:rPr>
                <w:rFonts w:ascii="Calibri" w:hAnsi="Calibri"/>
                <w:color w:val="auto"/>
                <w:szCs w:val="21"/>
              </w:rPr>
              <w:t>4</w:t>
            </w:r>
            <w:r>
              <w:rPr>
                <w:rFonts w:ascii="Calibri" w:hAnsi="Calibri" w:hint="eastAsia"/>
                <w:color w:val="auto"/>
                <w:szCs w:val="21"/>
              </w:rPr>
              <w:t>5</w:t>
            </w:r>
            <w:r>
              <w:rPr>
                <w:rFonts w:ascii="Calibri" w:hAnsi="Calibri"/>
                <w:color w:val="auto"/>
                <w:szCs w:val="21"/>
              </w:rPr>
              <w:t>d</w:t>
            </w:r>
          </w:p>
        </w:tc>
        <w:tc>
          <w:tcPr>
            <w:tcW w:w="1485" w:type="dxa"/>
            <w:vAlign w:val="center"/>
          </w:tcPr>
          <w:p w14:paraId="75DCCA91" w14:textId="77777777" w:rsidR="00623EF2" w:rsidRPr="004A5BF5" w:rsidRDefault="00623EF2" w:rsidP="004A5BF5">
            <w:pPr>
              <w:jc w:val="center"/>
              <w:rPr>
                <w:rFonts w:ascii="Calibri" w:hAnsi="Calibri"/>
                <w:color w:val="auto"/>
                <w:szCs w:val="21"/>
              </w:rPr>
            </w:pPr>
            <w:r w:rsidRPr="004A5BF5">
              <w:rPr>
                <w:rFonts w:ascii="Calibri" w:hAnsi="Calibri" w:hint="eastAsia"/>
                <w:color w:val="auto"/>
                <w:szCs w:val="21"/>
              </w:rPr>
              <w:t>外购，液体浓度</w:t>
            </w:r>
            <w:r w:rsidRPr="004A5BF5">
              <w:rPr>
                <w:rFonts w:ascii="Calibri" w:hAnsi="Calibri" w:hint="eastAsia"/>
                <w:color w:val="auto"/>
                <w:szCs w:val="21"/>
              </w:rPr>
              <w:t>50%</w:t>
            </w:r>
            <w:r w:rsidRPr="004A5BF5">
              <w:rPr>
                <w:rFonts w:ascii="Calibri" w:hAnsi="Calibri" w:hint="eastAsia"/>
                <w:color w:val="auto"/>
                <w:szCs w:val="21"/>
              </w:rPr>
              <w:t>，桶装；</w:t>
            </w:r>
            <w:r w:rsidRPr="004A5BF5">
              <w:rPr>
                <w:rFonts w:ascii="Calibri" w:hAnsi="Calibri"/>
                <w:color w:val="auto"/>
                <w:szCs w:val="21"/>
              </w:rPr>
              <w:t xml:space="preserve"> </w:t>
            </w:r>
          </w:p>
        </w:tc>
      </w:tr>
      <w:tr w:rsidR="00623EF2" w:rsidRPr="007419A4" w14:paraId="0A541D17" w14:textId="77777777" w:rsidTr="000953CC">
        <w:trPr>
          <w:trHeight w:val="340"/>
        </w:trPr>
        <w:tc>
          <w:tcPr>
            <w:tcW w:w="560" w:type="dxa"/>
            <w:tcBorders>
              <w:right w:val="single" w:sz="4" w:space="0" w:color="auto"/>
            </w:tcBorders>
            <w:shd w:val="clear" w:color="auto" w:fill="auto"/>
            <w:vAlign w:val="center"/>
          </w:tcPr>
          <w:p w14:paraId="5C9A7B73" w14:textId="77777777" w:rsidR="00623EF2" w:rsidRPr="004A5BF5" w:rsidRDefault="00623EF2" w:rsidP="004A5BF5">
            <w:pPr>
              <w:jc w:val="center"/>
              <w:rPr>
                <w:rFonts w:ascii="Calibri" w:hAnsi="Calibri"/>
                <w:color w:val="auto"/>
                <w:szCs w:val="21"/>
              </w:rPr>
            </w:pPr>
            <w:r>
              <w:rPr>
                <w:rFonts w:ascii="Calibri" w:hAnsi="Calibri"/>
                <w:color w:val="auto"/>
                <w:szCs w:val="21"/>
              </w:rPr>
              <w:t>2</w:t>
            </w:r>
          </w:p>
        </w:tc>
        <w:tc>
          <w:tcPr>
            <w:tcW w:w="1126" w:type="dxa"/>
            <w:vMerge/>
            <w:tcBorders>
              <w:left w:val="single" w:sz="4" w:space="0" w:color="auto"/>
            </w:tcBorders>
            <w:shd w:val="clear" w:color="auto" w:fill="auto"/>
            <w:vAlign w:val="center"/>
          </w:tcPr>
          <w:p w14:paraId="2D7EE450" w14:textId="77777777" w:rsidR="00623EF2" w:rsidRPr="004A5BF5" w:rsidRDefault="00623EF2" w:rsidP="00F13A8B">
            <w:pPr>
              <w:rPr>
                <w:rFonts w:ascii="Calibri" w:hAnsi="Calibri"/>
                <w:color w:val="auto"/>
                <w:szCs w:val="21"/>
              </w:rPr>
            </w:pPr>
          </w:p>
        </w:tc>
        <w:tc>
          <w:tcPr>
            <w:tcW w:w="1843" w:type="dxa"/>
            <w:tcBorders>
              <w:top w:val="single" w:sz="4" w:space="0" w:color="auto"/>
              <w:bottom w:val="single" w:sz="4" w:space="0" w:color="auto"/>
            </w:tcBorders>
            <w:shd w:val="clear" w:color="auto" w:fill="auto"/>
            <w:vAlign w:val="center"/>
          </w:tcPr>
          <w:p w14:paraId="78099C5D" w14:textId="77777777" w:rsidR="00623EF2" w:rsidRPr="004A5BF5" w:rsidRDefault="00623EF2" w:rsidP="004A5BF5">
            <w:pPr>
              <w:jc w:val="center"/>
              <w:rPr>
                <w:rFonts w:ascii="Calibri" w:hAnsi="Calibri"/>
                <w:color w:val="auto"/>
                <w:szCs w:val="21"/>
              </w:rPr>
            </w:pPr>
            <w:r w:rsidRPr="004A5BF5">
              <w:rPr>
                <w:rFonts w:ascii="Calibri" w:hAnsi="Calibri" w:hint="eastAsia"/>
                <w:color w:val="auto"/>
                <w:szCs w:val="21"/>
              </w:rPr>
              <w:t>尼龙</w:t>
            </w:r>
            <w:r w:rsidRPr="004A5BF5">
              <w:rPr>
                <w:rFonts w:ascii="Calibri" w:hAnsi="Calibri" w:hint="eastAsia"/>
                <w:color w:val="auto"/>
                <w:szCs w:val="21"/>
              </w:rPr>
              <w:t>1010</w:t>
            </w:r>
            <w:r w:rsidRPr="004A5BF5">
              <w:rPr>
                <w:rFonts w:ascii="Calibri" w:hAnsi="Calibri" w:hint="eastAsia"/>
                <w:color w:val="auto"/>
                <w:szCs w:val="21"/>
              </w:rPr>
              <w:t>盐</w:t>
            </w:r>
          </w:p>
        </w:tc>
        <w:tc>
          <w:tcPr>
            <w:tcW w:w="1527" w:type="dxa"/>
            <w:vAlign w:val="center"/>
          </w:tcPr>
          <w:p w14:paraId="23C08AAE" w14:textId="77777777" w:rsidR="00623EF2" w:rsidRPr="004A5BF5" w:rsidRDefault="00623EF2" w:rsidP="004A5BF5">
            <w:pPr>
              <w:jc w:val="center"/>
              <w:rPr>
                <w:rFonts w:ascii="Calibri" w:hAnsi="Calibri"/>
                <w:color w:val="auto"/>
                <w:szCs w:val="21"/>
              </w:rPr>
            </w:pPr>
            <w:r>
              <w:rPr>
                <w:rFonts w:ascii="Calibri" w:hAnsi="Calibri"/>
                <w:color w:val="auto"/>
                <w:szCs w:val="21"/>
              </w:rPr>
              <w:t>300t</w:t>
            </w:r>
            <w:r>
              <w:rPr>
                <w:rFonts w:ascii="Calibri" w:hAnsi="Calibri" w:hint="eastAsia"/>
                <w:color w:val="auto"/>
                <w:szCs w:val="21"/>
              </w:rPr>
              <w:t>/a</w:t>
            </w:r>
          </w:p>
        </w:tc>
        <w:tc>
          <w:tcPr>
            <w:tcW w:w="1244" w:type="dxa"/>
            <w:vAlign w:val="center"/>
          </w:tcPr>
          <w:p w14:paraId="2C950875" w14:textId="77777777" w:rsidR="00623EF2" w:rsidRPr="004A5BF5" w:rsidRDefault="00623EF2" w:rsidP="004A5BF5">
            <w:pPr>
              <w:jc w:val="center"/>
              <w:rPr>
                <w:rFonts w:ascii="Calibri" w:hAnsi="Calibri"/>
                <w:color w:val="auto"/>
                <w:szCs w:val="21"/>
              </w:rPr>
            </w:pPr>
            <w:r>
              <w:rPr>
                <w:rFonts w:ascii="Calibri" w:hAnsi="Calibri"/>
                <w:color w:val="auto"/>
                <w:szCs w:val="21"/>
              </w:rPr>
              <w:t>45</w:t>
            </w:r>
            <w:r w:rsidRPr="004A5BF5">
              <w:rPr>
                <w:rFonts w:ascii="Calibri" w:hAnsi="Calibri" w:hint="eastAsia"/>
                <w:color w:val="auto"/>
                <w:szCs w:val="21"/>
              </w:rPr>
              <w:t>t</w:t>
            </w:r>
          </w:p>
        </w:tc>
        <w:tc>
          <w:tcPr>
            <w:tcW w:w="915" w:type="dxa"/>
            <w:vAlign w:val="center"/>
          </w:tcPr>
          <w:p w14:paraId="6C7242C6" w14:textId="77777777" w:rsidR="00623EF2" w:rsidRPr="004A5BF5" w:rsidRDefault="00623EF2" w:rsidP="004A5BF5">
            <w:pPr>
              <w:jc w:val="center"/>
              <w:rPr>
                <w:rFonts w:ascii="Calibri" w:hAnsi="Calibri"/>
                <w:color w:val="auto"/>
                <w:szCs w:val="21"/>
              </w:rPr>
            </w:pPr>
            <w:r>
              <w:rPr>
                <w:rFonts w:ascii="Calibri" w:hAnsi="Calibri"/>
                <w:color w:val="auto"/>
                <w:szCs w:val="21"/>
              </w:rPr>
              <w:t>4</w:t>
            </w:r>
            <w:r>
              <w:rPr>
                <w:rFonts w:ascii="Calibri" w:hAnsi="Calibri" w:hint="eastAsia"/>
                <w:color w:val="auto"/>
                <w:szCs w:val="21"/>
              </w:rPr>
              <w:t>5</w:t>
            </w:r>
            <w:r>
              <w:rPr>
                <w:rFonts w:ascii="Calibri" w:hAnsi="Calibri"/>
                <w:color w:val="auto"/>
                <w:szCs w:val="21"/>
              </w:rPr>
              <w:t>d</w:t>
            </w:r>
          </w:p>
        </w:tc>
        <w:tc>
          <w:tcPr>
            <w:tcW w:w="1485" w:type="dxa"/>
            <w:vAlign w:val="center"/>
          </w:tcPr>
          <w:p w14:paraId="767890B3" w14:textId="77777777" w:rsidR="00623EF2" w:rsidRPr="004A5BF5" w:rsidRDefault="00623EF2" w:rsidP="004A5BF5">
            <w:pPr>
              <w:jc w:val="center"/>
              <w:rPr>
                <w:rFonts w:ascii="Calibri" w:hAnsi="Calibri"/>
                <w:color w:val="auto"/>
                <w:szCs w:val="21"/>
              </w:rPr>
            </w:pPr>
            <w:r w:rsidRPr="004A5BF5">
              <w:rPr>
                <w:rFonts w:ascii="Calibri" w:hAnsi="Calibri" w:hint="eastAsia"/>
                <w:color w:val="auto"/>
                <w:szCs w:val="21"/>
              </w:rPr>
              <w:t>外购，固体袋装</w:t>
            </w:r>
          </w:p>
        </w:tc>
      </w:tr>
      <w:tr w:rsidR="00623EF2" w:rsidRPr="007419A4" w14:paraId="531E262D" w14:textId="77777777" w:rsidTr="000953CC">
        <w:trPr>
          <w:trHeight w:val="340"/>
        </w:trPr>
        <w:tc>
          <w:tcPr>
            <w:tcW w:w="560" w:type="dxa"/>
            <w:tcBorders>
              <w:bottom w:val="single" w:sz="4" w:space="0" w:color="auto"/>
              <w:right w:val="single" w:sz="4" w:space="0" w:color="auto"/>
            </w:tcBorders>
            <w:shd w:val="clear" w:color="auto" w:fill="auto"/>
            <w:vAlign w:val="center"/>
          </w:tcPr>
          <w:p w14:paraId="57ECAAC9" w14:textId="77777777" w:rsidR="00623EF2" w:rsidRPr="004A5BF5" w:rsidRDefault="00623EF2" w:rsidP="004A5BF5">
            <w:pPr>
              <w:jc w:val="center"/>
              <w:rPr>
                <w:rFonts w:ascii="Calibri" w:hAnsi="Calibri"/>
                <w:color w:val="auto"/>
                <w:szCs w:val="21"/>
              </w:rPr>
            </w:pPr>
            <w:r>
              <w:rPr>
                <w:rFonts w:ascii="Calibri" w:hAnsi="Calibri" w:hint="eastAsia"/>
                <w:color w:val="auto"/>
                <w:szCs w:val="21"/>
              </w:rPr>
              <w:t>3</w:t>
            </w:r>
          </w:p>
        </w:tc>
        <w:tc>
          <w:tcPr>
            <w:tcW w:w="1126" w:type="dxa"/>
            <w:vMerge/>
            <w:tcBorders>
              <w:left w:val="single" w:sz="4" w:space="0" w:color="auto"/>
              <w:bottom w:val="single" w:sz="4" w:space="0" w:color="auto"/>
            </w:tcBorders>
            <w:shd w:val="clear" w:color="auto" w:fill="auto"/>
            <w:vAlign w:val="center"/>
          </w:tcPr>
          <w:p w14:paraId="2D60BA09" w14:textId="77777777" w:rsidR="00623EF2" w:rsidRPr="004A5BF5" w:rsidRDefault="00623EF2" w:rsidP="004A5BF5">
            <w:pPr>
              <w:jc w:val="center"/>
              <w:rPr>
                <w:rFonts w:ascii="Calibri" w:hAnsi="Calibri"/>
                <w:color w:val="auto"/>
                <w:szCs w:val="21"/>
              </w:rPr>
            </w:pPr>
          </w:p>
        </w:tc>
        <w:tc>
          <w:tcPr>
            <w:tcW w:w="1843" w:type="dxa"/>
            <w:tcBorders>
              <w:top w:val="single" w:sz="4" w:space="0" w:color="auto"/>
              <w:bottom w:val="single" w:sz="4" w:space="0" w:color="auto"/>
            </w:tcBorders>
            <w:shd w:val="clear" w:color="auto" w:fill="auto"/>
            <w:vAlign w:val="center"/>
          </w:tcPr>
          <w:p w14:paraId="72CDBD03" w14:textId="77777777" w:rsidR="00623EF2" w:rsidRPr="004A5BF5" w:rsidRDefault="00623EF2" w:rsidP="004A5BF5">
            <w:pPr>
              <w:jc w:val="center"/>
              <w:rPr>
                <w:rFonts w:ascii="Calibri" w:hAnsi="Calibri"/>
                <w:color w:val="auto"/>
                <w:szCs w:val="21"/>
              </w:rPr>
            </w:pPr>
            <w:r>
              <w:rPr>
                <w:rFonts w:ascii="Calibri" w:hAnsi="Calibri" w:hint="eastAsia"/>
                <w:color w:val="auto"/>
                <w:szCs w:val="21"/>
              </w:rPr>
              <w:t>尼龙</w:t>
            </w:r>
            <w:r>
              <w:rPr>
                <w:rFonts w:ascii="Calibri" w:hAnsi="Calibri" w:hint="eastAsia"/>
                <w:color w:val="auto"/>
                <w:szCs w:val="21"/>
              </w:rPr>
              <w:t>12</w:t>
            </w:r>
            <w:r>
              <w:rPr>
                <w:rFonts w:ascii="Calibri" w:hAnsi="Calibri" w:hint="eastAsia"/>
                <w:color w:val="auto"/>
                <w:szCs w:val="21"/>
              </w:rPr>
              <w:t>盐</w:t>
            </w:r>
          </w:p>
        </w:tc>
        <w:tc>
          <w:tcPr>
            <w:tcW w:w="1527" w:type="dxa"/>
            <w:vAlign w:val="center"/>
          </w:tcPr>
          <w:p w14:paraId="59D922CF" w14:textId="77777777" w:rsidR="00623EF2" w:rsidRPr="004A5BF5" w:rsidRDefault="00623EF2" w:rsidP="004A5BF5">
            <w:pPr>
              <w:jc w:val="center"/>
              <w:rPr>
                <w:rFonts w:ascii="Calibri" w:hAnsi="Calibri"/>
                <w:color w:val="auto"/>
                <w:szCs w:val="21"/>
              </w:rPr>
            </w:pPr>
            <w:r>
              <w:rPr>
                <w:rFonts w:ascii="Calibri" w:hAnsi="Calibri" w:hint="eastAsia"/>
                <w:color w:val="auto"/>
                <w:szCs w:val="21"/>
              </w:rPr>
              <w:t>1200</w:t>
            </w:r>
            <w:r>
              <w:rPr>
                <w:rFonts w:ascii="Calibri" w:hAnsi="Calibri"/>
                <w:color w:val="auto"/>
                <w:szCs w:val="21"/>
              </w:rPr>
              <w:t>t</w:t>
            </w:r>
            <w:r>
              <w:rPr>
                <w:rFonts w:ascii="Calibri" w:hAnsi="Calibri" w:hint="eastAsia"/>
                <w:color w:val="auto"/>
                <w:szCs w:val="21"/>
              </w:rPr>
              <w:t>/a</w:t>
            </w:r>
          </w:p>
        </w:tc>
        <w:tc>
          <w:tcPr>
            <w:tcW w:w="1244" w:type="dxa"/>
            <w:vAlign w:val="center"/>
          </w:tcPr>
          <w:p w14:paraId="7A194FD0" w14:textId="77777777" w:rsidR="00623EF2" w:rsidRPr="004A5BF5" w:rsidRDefault="00623EF2" w:rsidP="004A5BF5">
            <w:pPr>
              <w:jc w:val="center"/>
              <w:rPr>
                <w:rFonts w:ascii="Calibri" w:hAnsi="Calibri"/>
                <w:color w:val="auto"/>
                <w:szCs w:val="21"/>
              </w:rPr>
            </w:pPr>
            <w:r>
              <w:rPr>
                <w:rFonts w:ascii="Calibri" w:hAnsi="Calibri"/>
                <w:color w:val="auto"/>
                <w:szCs w:val="21"/>
              </w:rPr>
              <w:t>180</w:t>
            </w:r>
            <w:r w:rsidRPr="004A5BF5">
              <w:rPr>
                <w:rFonts w:ascii="Calibri" w:hAnsi="Calibri" w:hint="eastAsia"/>
                <w:color w:val="auto"/>
                <w:szCs w:val="21"/>
              </w:rPr>
              <w:t>t</w:t>
            </w:r>
          </w:p>
        </w:tc>
        <w:tc>
          <w:tcPr>
            <w:tcW w:w="915" w:type="dxa"/>
            <w:vAlign w:val="center"/>
          </w:tcPr>
          <w:p w14:paraId="3817DEFE" w14:textId="77777777" w:rsidR="00623EF2" w:rsidRPr="004A5BF5" w:rsidRDefault="00623EF2" w:rsidP="004A5BF5">
            <w:pPr>
              <w:jc w:val="center"/>
              <w:rPr>
                <w:rFonts w:ascii="Calibri" w:hAnsi="Calibri"/>
                <w:color w:val="auto"/>
                <w:szCs w:val="21"/>
              </w:rPr>
            </w:pPr>
            <w:r>
              <w:rPr>
                <w:rFonts w:ascii="Calibri" w:hAnsi="Calibri"/>
                <w:color w:val="auto"/>
                <w:szCs w:val="21"/>
              </w:rPr>
              <w:t>4</w:t>
            </w:r>
            <w:r>
              <w:rPr>
                <w:rFonts w:ascii="Calibri" w:hAnsi="Calibri" w:hint="eastAsia"/>
                <w:color w:val="auto"/>
                <w:szCs w:val="21"/>
              </w:rPr>
              <w:t>5</w:t>
            </w:r>
            <w:r>
              <w:rPr>
                <w:rFonts w:ascii="Calibri" w:hAnsi="Calibri"/>
                <w:color w:val="auto"/>
                <w:szCs w:val="21"/>
              </w:rPr>
              <w:t>d</w:t>
            </w:r>
          </w:p>
        </w:tc>
        <w:tc>
          <w:tcPr>
            <w:tcW w:w="1485" w:type="dxa"/>
            <w:vAlign w:val="center"/>
          </w:tcPr>
          <w:p w14:paraId="06D276A4" w14:textId="77777777" w:rsidR="00623EF2" w:rsidRPr="004A5BF5" w:rsidRDefault="00623EF2" w:rsidP="004A5BF5">
            <w:pPr>
              <w:jc w:val="center"/>
              <w:rPr>
                <w:rFonts w:ascii="Calibri" w:hAnsi="Calibri"/>
                <w:color w:val="auto"/>
                <w:szCs w:val="21"/>
              </w:rPr>
            </w:pPr>
            <w:r w:rsidRPr="004A5BF5">
              <w:rPr>
                <w:rFonts w:ascii="Calibri" w:hAnsi="Calibri" w:hint="eastAsia"/>
                <w:color w:val="auto"/>
                <w:szCs w:val="21"/>
              </w:rPr>
              <w:t>外购，固体袋装</w:t>
            </w:r>
          </w:p>
        </w:tc>
      </w:tr>
      <w:tr w:rsidR="00F13A8B" w:rsidRPr="007419A4" w14:paraId="12DCA2F6" w14:textId="77777777" w:rsidTr="000953CC">
        <w:trPr>
          <w:trHeight w:val="340"/>
        </w:trPr>
        <w:tc>
          <w:tcPr>
            <w:tcW w:w="560" w:type="dxa"/>
            <w:tcBorders>
              <w:top w:val="single" w:sz="4" w:space="0" w:color="auto"/>
              <w:right w:val="single" w:sz="4" w:space="0" w:color="auto"/>
            </w:tcBorders>
            <w:shd w:val="clear" w:color="auto" w:fill="auto"/>
            <w:vAlign w:val="center"/>
          </w:tcPr>
          <w:p w14:paraId="46AB79D1" w14:textId="77777777" w:rsidR="00F13A8B" w:rsidRPr="004A5BF5" w:rsidRDefault="00F13A8B" w:rsidP="004A5BF5">
            <w:pPr>
              <w:jc w:val="center"/>
              <w:rPr>
                <w:rFonts w:ascii="Calibri" w:hAnsi="Calibri"/>
                <w:color w:val="auto"/>
                <w:szCs w:val="21"/>
              </w:rPr>
            </w:pPr>
            <w:r w:rsidRPr="004A5BF5">
              <w:rPr>
                <w:rFonts w:ascii="Calibri" w:hAnsi="Calibri" w:hint="eastAsia"/>
                <w:color w:val="auto"/>
                <w:szCs w:val="21"/>
              </w:rPr>
              <w:t>4</w:t>
            </w:r>
          </w:p>
        </w:tc>
        <w:tc>
          <w:tcPr>
            <w:tcW w:w="1126" w:type="dxa"/>
            <w:tcBorders>
              <w:top w:val="single" w:sz="4" w:space="0" w:color="auto"/>
              <w:left w:val="single" w:sz="4" w:space="0" w:color="auto"/>
              <w:bottom w:val="single" w:sz="4" w:space="0" w:color="auto"/>
            </w:tcBorders>
            <w:shd w:val="clear" w:color="auto" w:fill="auto"/>
            <w:vAlign w:val="center"/>
          </w:tcPr>
          <w:p w14:paraId="3B6D2F3A" w14:textId="77777777" w:rsidR="00F13A8B" w:rsidRPr="004A5BF5" w:rsidRDefault="00623EF2" w:rsidP="004A5BF5">
            <w:pPr>
              <w:jc w:val="center"/>
              <w:rPr>
                <w:rFonts w:ascii="Calibri" w:hAnsi="Calibri"/>
                <w:color w:val="auto"/>
                <w:szCs w:val="21"/>
              </w:rPr>
            </w:pPr>
            <w:r>
              <w:rPr>
                <w:rFonts w:ascii="Calibri" w:hAnsi="Calibri"/>
                <w:color w:val="auto"/>
                <w:szCs w:val="21"/>
              </w:rPr>
              <w:t>辅助原料</w:t>
            </w:r>
          </w:p>
        </w:tc>
        <w:tc>
          <w:tcPr>
            <w:tcW w:w="1843" w:type="dxa"/>
            <w:tcBorders>
              <w:top w:val="single" w:sz="4" w:space="0" w:color="auto"/>
              <w:bottom w:val="single" w:sz="4" w:space="0" w:color="auto"/>
            </w:tcBorders>
            <w:shd w:val="clear" w:color="auto" w:fill="auto"/>
            <w:vAlign w:val="center"/>
          </w:tcPr>
          <w:p w14:paraId="66B997EA" w14:textId="77777777" w:rsidR="00F13A8B" w:rsidRPr="004A5BF5" w:rsidRDefault="0080053B" w:rsidP="004A5BF5">
            <w:pPr>
              <w:jc w:val="center"/>
              <w:rPr>
                <w:rFonts w:ascii="Calibri" w:hAnsi="Calibri"/>
                <w:color w:val="auto"/>
                <w:szCs w:val="21"/>
              </w:rPr>
            </w:pPr>
            <w:r>
              <w:rPr>
                <w:rFonts w:ascii="Calibri" w:hAnsi="Calibri"/>
                <w:color w:val="auto"/>
                <w:szCs w:val="21"/>
              </w:rPr>
              <w:t>次磷酸钠</w:t>
            </w:r>
          </w:p>
        </w:tc>
        <w:tc>
          <w:tcPr>
            <w:tcW w:w="1527" w:type="dxa"/>
            <w:vAlign w:val="center"/>
          </w:tcPr>
          <w:p w14:paraId="7905CFA9" w14:textId="77777777" w:rsidR="00F13A8B" w:rsidRPr="004A5BF5" w:rsidRDefault="00F2530A" w:rsidP="004A5BF5">
            <w:pPr>
              <w:jc w:val="center"/>
              <w:rPr>
                <w:rFonts w:ascii="Calibri" w:hAnsi="Calibri"/>
                <w:color w:val="auto"/>
                <w:szCs w:val="21"/>
              </w:rPr>
            </w:pPr>
            <w:r>
              <w:rPr>
                <w:rFonts w:ascii="Calibri" w:hAnsi="Calibri"/>
                <w:color w:val="auto"/>
                <w:szCs w:val="21"/>
              </w:rPr>
              <w:t>0.2t</w:t>
            </w:r>
            <w:r>
              <w:rPr>
                <w:rFonts w:ascii="Calibri" w:hAnsi="Calibri" w:hint="eastAsia"/>
                <w:color w:val="auto"/>
                <w:szCs w:val="21"/>
              </w:rPr>
              <w:t>/a</w:t>
            </w:r>
          </w:p>
        </w:tc>
        <w:tc>
          <w:tcPr>
            <w:tcW w:w="1244" w:type="dxa"/>
            <w:vAlign w:val="center"/>
          </w:tcPr>
          <w:p w14:paraId="6EFC768F" w14:textId="77777777" w:rsidR="00F13A8B" w:rsidRPr="004A5BF5" w:rsidRDefault="0091675D" w:rsidP="004A5BF5">
            <w:pPr>
              <w:jc w:val="center"/>
              <w:rPr>
                <w:rFonts w:ascii="Calibri" w:hAnsi="Calibri"/>
                <w:color w:val="auto"/>
                <w:szCs w:val="21"/>
              </w:rPr>
            </w:pPr>
            <w:r>
              <w:rPr>
                <w:rFonts w:ascii="Calibri" w:hAnsi="Calibri"/>
                <w:color w:val="auto"/>
                <w:szCs w:val="21"/>
              </w:rPr>
              <w:t>0.04</w:t>
            </w:r>
          </w:p>
        </w:tc>
        <w:tc>
          <w:tcPr>
            <w:tcW w:w="915" w:type="dxa"/>
            <w:vAlign w:val="center"/>
          </w:tcPr>
          <w:p w14:paraId="665D4901" w14:textId="77777777" w:rsidR="00F13A8B" w:rsidRPr="004A5BF5" w:rsidRDefault="0091675D" w:rsidP="004A5BF5">
            <w:pPr>
              <w:jc w:val="center"/>
              <w:rPr>
                <w:rFonts w:ascii="Calibri" w:hAnsi="Calibri"/>
                <w:color w:val="auto"/>
                <w:szCs w:val="21"/>
              </w:rPr>
            </w:pPr>
            <w:r>
              <w:rPr>
                <w:rFonts w:ascii="Calibri" w:hAnsi="Calibri" w:hint="eastAsia"/>
                <w:color w:val="auto"/>
                <w:szCs w:val="21"/>
              </w:rPr>
              <w:t>60d</w:t>
            </w:r>
          </w:p>
        </w:tc>
        <w:tc>
          <w:tcPr>
            <w:tcW w:w="1485" w:type="dxa"/>
            <w:vAlign w:val="center"/>
          </w:tcPr>
          <w:p w14:paraId="23C68B59" w14:textId="77777777" w:rsidR="00F13A8B" w:rsidRPr="004A5BF5" w:rsidRDefault="00F13A8B" w:rsidP="004A5BF5">
            <w:pPr>
              <w:jc w:val="center"/>
              <w:rPr>
                <w:rFonts w:ascii="Calibri" w:hAnsi="Calibri"/>
                <w:color w:val="auto"/>
                <w:szCs w:val="21"/>
              </w:rPr>
            </w:pPr>
            <w:r w:rsidRPr="004A5BF5">
              <w:rPr>
                <w:rFonts w:ascii="Calibri" w:hAnsi="Calibri" w:hint="eastAsia"/>
                <w:color w:val="auto"/>
                <w:szCs w:val="21"/>
              </w:rPr>
              <w:t>外购，固体，袋装</w:t>
            </w:r>
          </w:p>
        </w:tc>
      </w:tr>
      <w:tr w:rsidR="00623EF2" w:rsidRPr="00AD5E29" w14:paraId="35C7BE0D" w14:textId="77777777" w:rsidTr="000953CC">
        <w:trPr>
          <w:trHeight w:val="340"/>
        </w:trPr>
        <w:tc>
          <w:tcPr>
            <w:tcW w:w="560" w:type="dxa"/>
            <w:tcBorders>
              <w:top w:val="single" w:sz="4" w:space="0" w:color="auto"/>
              <w:right w:val="single" w:sz="4" w:space="0" w:color="auto"/>
            </w:tcBorders>
            <w:shd w:val="clear" w:color="auto" w:fill="auto"/>
            <w:vAlign w:val="center"/>
          </w:tcPr>
          <w:p w14:paraId="356471BD" w14:textId="77777777" w:rsidR="00623EF2" w:rsidRPr="00AD5E29" w:rsidRDefault="00623EF2" w:rsidP="004A5BF5">
            <w:pPr>
              <w:jc w:val="center"/>
              <w:rPr>
                <w:rFonts w:ascii="Calibri" w:hAnsi="Calibri"/>
                <w:b/>
                <w:color w:val="auto"/>
                <w:szCs w:val="21"/>
                <w:u w:val="single"/>
              </w:rPr>
            </w:pPr>
            <w:r w:rsidRPr="00AD5E29">
              <w:rPr>
                <w:rFonts w:ascii="Calibri" w:hAnsi="Calibri" w:hint="eastAsia"/>
                <w:b/>
                <w:color w:val="auto"/>
                <w:szCs w:val="21"/>
                <w:u w:val="single"/>
              </w:rPr>
              <w:t>5</w:t>
            </w:r>
          </w:p>
        </w:tc>
        <w:tc>
          <w:tcPr>
            <w:tcW w:w="1126" w:type="dxa"/>
            <w:tcBorders>
              <w:top w:val="single" w:sz="4" w:space="0" w:color="auto"/>
              <w:left w:val="single" w:sz="4" w:space="0" w:color="auto"/>
              <w:bottom w:val="single" w:sz="4" w:space="0" w:color="auto"/>
            </w:tcBorders>
            <w:shd w:val="clear" w:color="auto" w:fill="auto"/>
            <w:vAlign w:val="center"/>
          </w:tcPr>
          <w:p w14:paraId="696C263E" w14:textId="77777777" w:rsidR="00623EF2" w:rsidRPr="00AD5E29" w:rsidRDefault="00623EF2" w:rsidP="004A5BF5">
            <w:pPr>
              <w:jc w:val="center"/>
              <w:rPr>
                <w:rFonts w:ascii="Calibri" w:hAnsi="Calibri"/>
                <w:b/>
                <w:color w:val="auto"/>
                <w:szCs w:val="21"/>
                <w:u w:val="single"/>
              </w:rPr>
            </w:pPr>
            <w:r w:rsidRPr="00AD5E29">
              <w:rPr>
                <w:rFonts w:ascii="Calibri" w:hAnsi="Calibri" w:hint="eastAsia"/>
                <w:b/>
                <w:color w:val="auto"/>
                <w:szCs w:val="21"/>
                <w:u w:val="single"/>
              </w:rPr>
              <w:t>导热油炉</w:t>
            </w:r>
          </w:p>
        </w:tc>
        <w:tc>
          <w:tcPr>
            <w:tcW w:w="1843" w:type="dxa"/>
            <w:tcBorders>
              <w:top w:val="single" w:sz="4" w:space="0" w:color="auto"/>
              <w:bottom w:val="single" w:sz="4" w:space="0" w:color="auto"/>
            </w:tcBorders>
            <w:shd w:val="clear" w:color="auto" w:fill="auto"/>
            <w:vAlign w:val="center"/>
          </w:tcPr>
          <w:p w14:paraId="7503F668" w14:textId="77777777" w:rsidR="00623EF2" w:rsidRPr="00AD5E29" w:rsidRDefault="000953CC" w:rsidP="004A5BF5">
            <w:pPr>
              <w:jc w:val="center"/>
              <w:rPr>
                <w:rFonts w:ascii="Calibri" w:hAnsi="Calibri"/>
                <w:b/>
                <w:color w:val="auto"/>
                <w:szCs w:val="21"/>
                <w:u w:val="single"/>
              </w:rPr>
            </w:pPr>
            <w:r w:rsidRPr="00AD5E29">
              <w:rPr>
                <w:rFonts w:ascii="Calibri" w:hAnsi="Calibri" w:hint="eastAsia"/>
                <w:b/>
                <w:color w:val="auto"/>
                <w:szCs w:val="21"/>
                <w:u w:val="single"/>
              </w:rPr>
              <w:t>合成导热油</w:t>
            </w:r>
            <w:r w:rsidRPr="00AD5E29">
              <w:rPr>
                <w:rFonts w:ascii="Calibri" w:hAnsi="Calibri" w:hint="eastAsia"/>
                <w:b/>
                <w:color w:val="auto"/>
                <w:szCs w:val="21"/>
                <w:u w:val="single"/>
              </w:rPr>
              <w:t>T66</w:t>
            </w:r>
          </w:p>
        </w:tc>
        <w:tc>
          <w:tcPr>
            <w:tcW w:w="1527" w:type="dxa"/>
            <w:vAlign w:val="center"/>
          </w:tcPr>
          <w:p w14:paraId="3410E479" w14:textId="77777777" w:rsidR="00623EF2" w:rsidRPr="00AD5E29" w:rsidRDefault="000953CC" w:rsidP="004A5BF5">
            <w:pPr>
              <w:jc w:val="center"/>
              <w:rPr>
                <w:rFonts w:ascii="Calibri" w:hAnsi="Calibri"/>
                <w:b/>
                <w:color w:val="auto"/>
                <w:szCs w:val="21"/>
                <w:u w:val="single"/>
              </w:rPr>
            </w:pPr>
            <w:r w:rsidRPr="00AD5E29">
              <w:rPr>
                <w:rFonts w:ascii="Calibri" w:hAnsi="Calibri"/>
                <w:b/>
                <w:color w:val="auto"/>
                <w:szCs w:val="21"/>
                <w:u w:val="single"/>
              </w:rPr>
              <w:t>/</w:t>
            </w:r>
          </w:p>
        </w:tc>
        <w:tc>
          <w:tcPr>
            <w:tcW w:w="1244" w:type="dxa"/>
            <w:vAlign w:val="center"/>
          </w:tcPr>
          <w:p w14:paraId="0719D6FE" w14:textId="77777777" w:rsidR="00623EF2" w:rsidRPr="00AD5E29" w:rsidRDefault="000953CC" w:rsidP="004A5BF5">
            <w:pPr>
              <w:jc w:val="center"/>
              <w:rPr>
                <w:rFonts w:ascii="Calibri" w:hAnsi="Calibri"/>
                <w:b/>
                <w:color w:val="auto"/>
                <w:szCs w:val="21"/>
                <w:u w:val="single"/>
              </w:rPr>
            </w:pPr>
            <w:r w:rsidRPr="00AD5E29">
              <w:rPr>
                <w:rFonts w:ascii="Calibri" w:hAnsi="Calibri" w:hint="eastAsia"/>
                <w:b/>
                <w:color w:val="auto"/>
                <w:szCs w:val="21"/>
                <w:u w:val="single"/>
              </w:rPr>
              <w:t>14t</w:t>
            </w:r>
          </w:p>
        </w:tc>
        <w:tc>
          <w:tcPr>
            <w:tcW w:w="915" w:type="dxa"/>
            <w:vAlign w:val="center"/>
          </w:tcPr>
          <w:p w14:paraId="05598A5F" w14:textId="77777777" w:rsidR="00623EF2" w:rsidRPr="00AD5E29" w:rsidRDefault="000953CC" w:rsidP="004A5BF5">
            <w:pPr>
              <w:jc w:val="center"/>
              <w:rPr>
                <w:rFonts w:ascii="Calibri" w:hAnsi="Calibri"/>
                <w:b/>
                <w:color w:val="auto"/>
                <w:szCs w:val="21"/>
                <w:u w:val="single"/>
              </w:rPr>
            </w:pPr>
            <w:r w:rsidRPr="00AD5E29">
              <w:rPr>
                <w:rFonts w:ascii="Calibri" w:hAnsi="Calibri" w:hint="eastAsia"/>
                <w:b/>
                <w:color w:val="auto"/>
                <w:szCs w:val="21"/>
                <w:u w:val="single"/>
              </w:rPr>
              <w:t>/</w:t>
            </w:r>
          </w:p>
        </w:tc>
        <w:tc>
          <w:tcPr>
            <w:tcW w:w="1485" w:type="dxa"/>
            <w:vAlign w:val="center"/>
          </w:tcPr>
          <w:p w14:paraId="571E058C" w14:textId="77777777" w:rsidR="00623EF2" w:rsidRPr="00AD5E29" w:rsidRDefault="000953CC" w:rsidP="004A5BF5">
            <w:pPr>
              <w:jc w:val="center"/>
              <w:rPr>
                <w:rFonts w:ascii="Calibri" w:hAnsi="Calibri"/>
                <w:b/>
                <w:color w:val="auto"/>
                <w:szCs w:val="21"/>
                <w:u w:val="single"/>
              </w:rPr>
            </w:pPr>
            <w:r w:rsidRPr="00AD5E29">
              <w:rPr>
                <w:rFonts w:ascii="Calibri" w:hAnsi="Calibri" w:hint="eastAsia"/>
                <w:b/>
                <w:color w:val="auto"/>
                <w:szCs w:val="21"/>
                <w:u w:val="single"/>
              </w:rPr>
              <w:t>导热油炉</w:t>
            </w:r>
            <w:r w:rsidRPr="00AD5E29">
              <w:rPr>
                <w:rFonts w:ascii="Calibri" w:hAnsi="Calibri"/>
                <w:b/>
                <w:color w:val="auto"/>
                <w:szCs w:val="21"/>
                <w:u w:val="single"/>
              </w:rPr>
              <w:t>内储存</w:t>
            </w:r>
            <w:r w:rsidRPr="00AD5E29">
              <w:rPr>
                <w:rFonts w:ascii="Calibri" w:hAnsi="Calibri" w:hint="eastAsia"/>
                <w:b/>
                <w:color w:val="auto"/>
                <w:szCs w:val="21"/>
                <w:u w:val="single"/>
              </w:rPr>
              <w:t>，</w:t>
            </w:r>
            <w:r w:rsidRPr="00AD5E29">
              <w:rPr>
                <w:rFonts w:ascii="Calibri" w:hAnsi="Calibri"/>
                <w:b/>
                <w:color w:val="auto"/>
                <w:szCs w:val="21"/>
                <w:u w:val="single"/>
              </w:rPr>
              <w:t>厂区</w:t>
            </w:r>
            <w:r w:rsidRPr="00AD5E29">
              <w:rPr>
                <w:rFonts w:ascii="Calibri" w:hAnsi="Calibri" w:hint="eastAsia"/>
                <w:b/>
                <w:color w:val="auto"/>
                <w:szCs w:val="21"/>
                <w:u w:val="single"/>
              </w:rPr>
              <w:t>不设置</w:t>
            </w:r>
            <w:r w:rsidRPr="00AD5E29">
              <w:rPr>
                <w:rFonts w:ascii="Calibri" w:hAnsi="Calibri"/>
                <w:b/>
                <w:color w:val="auto"/>
                <w:szCs w:val="21"/>
                <w:u w:val="single"/>
              </w:rPr>
              <w:t>导热油炉储罐</w:t>
            </w:r>
            <w:r w:rsidRPr="00AD5E29">
              <w:rPr>
                <w:rFonts w:ascii="Calibri" w:hAnsi="Calibri" w:hint="eastAsia"/>
                <w:b/>
                <w:color w:val="auto"/>
                <w:szCs w:val="21"/>
                <w:u w:val="single"/>
              </w:rPr>
              <w:t>，</w:t>
            </w:r>
            <w:r w:rsidRPr="00AD5E29">
              <w:rPr>
                <w:rFonts w:ascii="Calibri" w:hAnsi="Calibri"/>
                <w:b/>
                <w:color w:val="auto"/>
                <w:szCs w:val="21"/>
                <w:u w:val="single"/>
              </w:rPr>
              <w:t>定期更换</w:t>
            </w:r>
          </w:p>
        </w:tc>
      </w:tr>
      <w:tr w:rsidR="00F13A8B" w:rsidRPr="007419A4" w14:paraId="2904BABA" w14:textId="77777777" w:rsidTr="000953CC">
        <w:trPr>
          <w:trHeight w:val="340"/>
        </w:trPr>
        <w:tc>
          <w:tcPr>
            <w:tcW w:w="560" w:type="dxa"/>
            <w:tcBorders>
              <w:right w:val="single" w:sz="4" w:space="0" w:color="auto"/>
            </w:tcBorders>
            <w:shd w:val="clear" w:color="auto" w:fill="auto"/>
            <w:vAlign w:val="center"/>
          </w:tcPr>
          <w:p w14:paraId="4AD2CBAB" w14:textId="77777777" w:rsidR="00F13A8B" w:rsidRPr="004A5BF5" w:rsidRDefault="00623EF2" w:rsidP="004A5BF5">
            <w:pPr>
              <w:jc w:val="center"/>
              <w:rPr>
                <w:rFonts w:ascii="Calibri" w:hAnsi="Calibri"/>
                <w:color w:val="auto"/>
                <w:szCs w:val="21"/>
              </w:rPr>
            </w:pPr>
            <w:r>
              <w:rPr>
                <w:rFonts w:ascii="Calibri" w:hAnsi="Calibri"/>
                <w:color w:val="auto"/>
                <w:szCs w:val="21"/>
              </w:rPr>
              <w:t>6</w:t>
            </w:r>
          </w:p>
        </w:tc>
        <w:tc>
          <w:tcPr>
            <w:tcW w:w="1126" w:type="dxa"/>
            <w:vMerge w:val="restart"/>
            <w:tcBorders>
              <w:top w:val="single" w:sz="4" w:space="0" w:color="auto"/>
              <w:left w:val="single" w:sz="4" w:space="0" w:color="auto"/>
            </w:tcBorders>
            <w:shd w:val="clear" w:color="auto" w:fill="auto"/>
            <w:vAlign w:val="center"/>
          </w:tcPr>
          <w:p w14:paraId="13DC3BE3" w14:textId="77777777" w:rsidR="00F13A8B" w:rsidRPr="004A5BF5" w:rsidRDefault="00F13A8B" w:rsidP="00F13A8B">
            <w:pPr>
              <w:rPr>
                <w:rFonts w:ascii="Calibri" w:hAnsi="Calibri"/>
                <w:color w:val="auto"/>
                <w:szCs w:val="21"/>
              </w:rPr>
            </w:pPr>
            <w:r w:rsidRPr="004A5BF5">
              <w:rPr>
                <w:rFonts w:ascii="Calibri" w:hAnsi="Calibri" w:hint="eastAsia"/>
                <w:color w:val="auto"/>
                <w:szCs w:val="21"/>
              </w:rPr>
              <w:t>能源消耗</w:t>
            </w:r>
          </w:p>
        </w:tc>
        <w:tc>
          <w:tcPr>
            <w:tcW w:w="1843" w:type="dxa"/>
            <w:tcBorders>
              <w:top w:val="single" w:sz="4" w:space="0" w:color="auto"/>
            </w:tcBorders>
            <w:shd w:val="clear" w:color="auto" w:fill="auto"/>
            <w:vAlign w:val="center"/>
          </w:tcPr>
          <w:p w14:paraId="02F22200" w14:textId="77777777" w:rsidR="00F13A8B" w:rsidRPr="004A5BF5" w:rsidRDefault="00F13A8B" w:rsidP="004A5BF5">
            <w:pPr>
              <w:jc w:val="center"/>
              <w:rPr>
                <w:rFonts w:ascii="Calibri" w:hAnsi="Calibri"/>
                <w:color w:val="auto"/>
                <w:szCs w:val="21"/>
              </w:rPr>
            </w:pPr>
            <w:r>
              <w:rPr>
                <w:rFonts w:ascii="Calibri" w:hAnsi="Calibri" w:hint="eastAsia"/>
                <w:color w:val="auto"/>
                <w:szCs w:val="21"/>
              </w:rPr>
              <w:t>天然气</w:t>
            </w:r>
          </w:p>
        </w:tc>
        <w:tc>
          <w:tcPr>
            <w:tcW w:w="1527" w:type="dxa"/>
            <w:vAlign w:val="center"/>
          </w:tcPr>
          <w:p w14:paraId="1E0F05C3" w14:textId="77777777" w:rsidR="00F13A8B" w:rsidRPr="00F2530A" w:rsidRDefault="0091675D" w:rsidP="004A5BF5">
            <w:pPr>
              <w:jc w:val="center"/>
              <w:rPr>
                <w:rFonts w:ascii="Calibri" w:hAnsi="Calibri"/>
                <w:color w:val="auto"/>
                <w:szCs w:val="21"/>
              </w:rPr>
            </w:pPr>
            <w:r>
              <w:rPr>
                <w:rFonts w:ascii="Calibri" w:hAnsi="Calibri"/>
                <w:color w:val="auto"/>
                <w:szCs w:val="21"/>
              </w:rPr>
              <w:t>104.9</w:t>
            </w:r>
            <w:r w:rsidR="00F2530A">
              <w:rPr>
                <w:rFonts w:ascii="Calibri" w:hAnsi="Calibri" w:hint="eastAsia"/>
                <w:color w:val="auto"/>
                <w:szCs w:val="21"/>
              </w:rPr>
              <w:t>万</w:t>
            </w:r>
            <w:r w:rsidR="00F2530A">
              <w:rPr>
                <w:rFonts w:ascii="Calibri" w:hAnsi="Calibri"/>
                <w:color w:val="auto"/>
                <w:szCs w:val="21"/>
              </w:rPr>
              <w:t>m</w:t>
            </w:r>
            <w:r w:rsidR="00F2530A" w:rsidRPr="00F2530A">
              <w:rPr>
                <w:rFonts w:ascii="Calibri" w:hAnsi="Calibri"/>
                <w:color w:val="auto"/>
                <w:szCs w:val="21"/>
                <w:vertAlign w:val="superscript"/>
              </w:rPr>
              <w:t>3</w:t>
            </w:r>
            <w:r w:rsidR="00F2530A">
              <w:rPr>
                <w:rFonts w:ascii="Calibri" w:hAnsi="Calibri"/>
                <w:color w:val="auto"/>
                <w:szCs w:val="21"/>
              </w:rPr>
              <w:t>/a</w:t>
            </w:r>
          </w:p>
        </w:tc>
        <w:tc>
          <w:tcPr>
            <w:tcW w:w="1244" w:type="dxa"/>
            <w:vAlign w:val="center"/>
          </w:tcPr>
          <w:p w14:paraId="415CC051" w14:textId="77777777" w:rsidR="00F13A8B" w:rsidRPr="004A5BF5" w:rsidRDefault="0091675D" w:rsidP="004A5BF5">
            <w:pPr>
              <w:jc w:val="center"/>
              <w:rPr>
                <w:rFonts w:ascii="Calibri" w:hAnsi="Calibri"/>
                <w:color w:val="auto"/>
                <w:szCs w:val="21"/>
              </w:rPr>
            </w:pPr>
            <w:r>
              <w:rPr>
                <w:rFonts w:ascii="Calibri" w:hAnsi="Calibri"/>
                <w:color w:val="auto"/>
                <w:szCs w:val="21"/>
              </w:rPr>
              <w:t>/</w:t>
            </w:r>
          </w:p>
        </w:tc>
        <w:tc>
          <w:tcPr>
            <w:tcW w:w="915" w:type="dxa"/>
            <w:vAlign w:val="center"/>
          </w:tcPr>
          <w:p w14:paraId="1E4AAFEE" w14:textId="77777777" w:rsidR="00F13A8B" w:rsidRPr="004A5BF5" w:rsidRDefault="0091675D" w:rsidP="004A5BF5">
            <w:pPr>
              <w:jc w:val="center"/>
              <w:rPr>
                <w:rFonts w:ascii="Calibri" w:hAnsi="Calibri"/>
                <w:color w:val="auto"/>
                <w:szCs w:val="21"/>
              </w:rPr>
            </w:pPr>
            <w:r>
              <w:rPr>
                <w:rFonts w:ascii="Calibri" w:hAnsi="Calibri" w:hint="eastAsia"/>
                <w:color w:val="auto"/>
                <w:szCs w:val="21"/>
              </w:rPr>
              <w:t>/</w:t>
            </w:r>
          </w:p>
        </w:tc>
        <w:tc>
          <w:tcPr>
            <w:tcW w:w="1485" w:type="dxa"/>
            <w:vAlign w:val="center"/>
          </w:tcPr>
          <w:p w14:paraId="324C0265" w14:textId="77777777" w:rsidR="00F13A8B" w:rsidRPr="004A5BF5" w:rsidRDefault="0091675D" w:rsidP="004A5BF5">
            <w:pPr>
              <w:jc w:val="center"/>
              <w:rPr>
                <w:rFonts w:ascii="Calibri" w:hAnsi="Calibri"/>
                <w:color w:val="auto"/>
                <w:szCs w:val="21"/>
              </w:rPr>
            </w:pPr>
            <w:r>
              <w:rPr>
                <w:rFonts w:ascii="Calibri" w:hAnsi="Calibri" w:hint="eastAsia"/>
                <w:color w:val="auto"/>
                <w:szCs w:val="21"/>
              </w:rPr>
              <w:t>接集聚区天然气</w:t>
            </w:r>
            <w:r>
              <w:rPr>
                <w:rFonts w:ascii="Calibri" w:hAnsi="Calibri"/>
                <w:color w:val="auto"/>
                <w:szCs w:val="21"/>
              </w:rPr>
              <w:t>管道</w:t>
            </w:r>
          </w:p>
        </w:tc>
      </w:tr>
      <w:tr w:rsidR="00F13A8B" w:rsidRPr="007419A4" w14:paraId="759E94A2" w14:textId="77777777" w:rsidTr="000953CC">
        <w:trPr>
          <w:trHeight w:val="340"/>
        </w:trPr>
        <w:tc>
          <w:tcPr>
            <w:tcW w:w="560" w:type="dxa"/>
            <w:tcBorders>
              <w:right w:val="single" w:sz="4" w:space="0" w:color="auto"/>
            </w:tcBorders>
            <w:shd w:val="clear" w:color="auto" w:fill="auto"/>
            <w:vAlign w:val="center"/>
          </w:tcPr>
          <w:p w14:paraId="357C49D6" w14:textId="77777777" w:rsidR="00F13A8B" w:rsidRPr="004A5BF5" w:rsidRDefault="00623EF2" w:rsidP="004A5BF5">
            <w:pPr>
              <w:jc w:val="center"/>
              <w:rPr>
                <w:rFonts w:ascii="Calibri" w:hAnsi="Calibri"/>
                <w:color w:val="auto"/>
                <w:szCs w:val="21"/>
              </w:rPr>
            </w:pPr>
            <w:r>
              <w:rPr>
                <w:rFonts w:ascii="Calibri" w:hAnsi="Calibri"/>
                <w:color w:val="auto"/>
                <w:szCs w:val="21"/>
              </w:rPr>
              <w:t>7</w:t>
            </w:r>
          </w:p>
        </w:tc>
        <w:tc>
          <w:tcPr>
            <w:tcW w:w="1126" w:type="dxa"/>
            <w:vMerge/>
            <w:tcBorders>
              <w:left w:val="single" w:sz="4" w:space="0" w:color="auto"/>
            </w:tcBorders>
            <w:shd w:val="clear" w:color="auto" w:fill="auto"/>
            <w:vAlign w:val="center"/>
          </w:tcPr>
          <w:p w14:paraId="7C296F87" w14:textId="77777777" w:rsidR="00F13A8B" w:rsidRPr="004A5BF5" w:rsidRDefault="00F13A8B" w:rsidP="004A5BF5">
            <w:pPr>
              <w:ind w:firstLineChars="200" w:firstLine="420"/>
              <w:jc w:val="center"/>
              <w:rPr>
                <w:rFonts w:ascii="Calibri" w:hAnsi="Calibri"/>
                <w:color w:val="auto"/>
                <w:szCs w:val="21"/>
              </w:rPr>
            </w:pPr>
          </w:p>
        </w:tc>
        <w:tc>
          <w:tcPr>
            <w:tcW w:w="1843" w:type="dxa"/>
            <w:tcBorders>
              <w:right w:val="single" w:sz="4" w:space="0" w:color="auto"/>
            </w:tcBorders>
            <w:shd w:val="clear" w:color="auto" w:fill="auto"/>
            <w:vAlign w:val="center"/>
          </w:tcPr>
          <w:p w14:paraId="5CA8979C" w14:textId="77777777" w:rsidR="00F13A8B" w:rsidRPr="004A5BF5" w:rsidRDefault="00F13A8B" w:rsidP="004A5BF5">
            <w:pPr>
              <w:jc w:val="center"/>
              <w:rPr>
                <w:rFonts w:ascii="Calibri" w:hAnsi="Calibri"/>
                <w:color w:val="auto"/>
                <w:szCs w:val="21"/>
              </w:rPr>
            </w:pPr>
            <w:r w:rsidRPr="004A5BF5">
              <w:rPr>
                <w:rFonts w:ascii="Calibri" w:hAnsi="Calibri" w:hint="eastAsia"/>
                <w:color w:val="auto"/>
                <w:szCs w:val="21"/>
              </w:rPr>
              <w:t>电</w:t>
            </w:r>
          </w:p>
        </w:tc>
        <w:tc>
          <w:tcPr>
            <w:tcW w:w="1527" w:type="dxa"/>
            <w:tcBorders>
              <w:left w:val="single" w:sz="4" w:space="0" w:color="auto"/>
            </w:tcBorders>
            <w:vAlign w:val="center"/>
          </w:tcPr>
          <w:p w14:paraId="4ACD2864" w14:textId="77777777" w:rsidR="00F13A8B" w:rsidRPr="004A5BF5" w:rsidRDefault="00F2530A" w:rsidP="004A5BF5">
            <w:pPr>
              <w:jc w:val="center"/>
              <w:rPr>
                <w:rFonts w:ascii="Calibri" w:hAnsi="Calibri"/>
                <w:color w:val="auto"/>
                <w:szCs w:val="21"/>
              </w:rPr>
            </w:pPr>
            <w:r>
              <w:rPr>
                <w:rFonts w:ascii="Calibri" w:hAnsi="Calibri"/>
                <w:color w:val="auto"/>
                <w:szCs w:val="21"/>
              </w:rPr>
              <w:t>721.8</w:t>
            </w:r>
            <w:r w:rsidR="00F13A8B" w:rsidRPr="004A5BF5">
              <w:rPr>
                <w:rFonts w:ascii="Calibri" w:hAnsi="Calibri" w:hint="eastAsia"/>
                <w:color w:val="auto"/>
                <w:szCs w:val="21"/>
              </w:rPr>
              <w:t>万</w:t>
            </w:r>
            <w:r w:rsidR="00F13A8B" w:rsidRPr="004A5BF5">
              <w:rPr>
                <w:rFonts w:ascii="Calibri" w:hAnsi="Calibri" w:hint="eastAsia"/>
                <w:color w:val="auto"/>
                <w:szCs w:val="21"/>
              </w:rPr>
              <w:t>KWh</w:t>
            </w:r>
            <w:r>
              <w:rPr>
                <w:rFonts w:ascii="Calibri" w:hAnsi="Calibri"/>
                <w:color w:val="auto"/>
                <w:szCs w:val="21"/>
              </w:rPr>
              <w:t>/a</w:t>
            </w:r>
          </w:p>
        </w:tc>
        <w:tc>
          <w:tcPr>
            <w:tcW w:w="1244" w:type="dxa"/>
            <w:vAlign w:val="center"/>
          </w:tcPr>
          <w:p w14:paraId="3B9373AC" w14:textId="77777777" w:rsidR="00F13A8B" w:rsidRPr="004A5BF5" w:rsidRDefault="00F13A8B" w:rsidP="004A5BF5">
            <w:pPr>
              <w:jc w:val="center"/>
              <w:rPr>
                <w:rFonts w:ascii="Calibri" w:hAnsi="Calibri"/>
                <w:color w:val="auto"/>
                <w:szCs w:val="21"/>
              </w:rPr>
            </w:pPr>
            <w:r w:rsidRPr="004A5BF5">
              <w:rPr>
                <w:rFonts w:ascii="Calibri" w:hAnsi="Calibri" w:hint="eastAsia"/>
                <w:color w:val="auto"/>
                <w:szCs w:val="21"/>
              </w:rPr>
              <w:t>/</w:t>
            </w:r>
          </w:p>
        </w:tc>
        <w:tc>
          <w:tcPr>
            <w:tcW w:w="915" w:type="dxa"/>
            <w:vAlign w:val="center"/>
          </w:tcPr>
          <w:p w14:paraId="22C9642E" w14:textId="77777777" w:rsidR="00F13A8B" w:rsidRPr="004A5BF5" w:rsidRDefault="0091675D" w:rsidP="004A5BF5">
            <w:pPr>
              <w:jc w:val="center"/>
              <w:rPr>
                <w:rFonts w:ascii="Calibri" w:hAnsi="Calibri"/>
                <w:color w:val="auto"/>
                <w:szCs w:val="21"/>
              </w:rPr>
            </w:pPr>
            <w:r>
              <w:rPr>
                <w:rFonts w:ascii="Calibri" w:hAnsi="Calibri" w:hint="eastAsia"/>
                <w:color w:val="auto"/>
                <w:szCs w:val="21"/>
              </w:rPr>
              <w:t>/</w:t>
            </w:r>
          </w:p>
        </w:tc>
        <w:tc>
          <w:tcPr>
            <w:tcW w:w="1485" w:type="dxa"/>
            <w:vAlign w:val="center"/>
          </w:tcPr>
          <w:p w14:paraId="2314F242" w14:textId="77777777" w:rsidR="00F13A8B" w:rsidRPr="004A5BF5" w:rsidRDefault="0091675D" w:rsidP="004A5BF5">
            <w:pPr>
              <w:jc w:val="center"/>
              <w:rPr>
                <w:rFonts w:ascii="Calibri" w:hAnsi="Calibri"/>
                <w:color w:val="auto"/>
                <w:szCs w:val="21"/>
              </w:rPr>
            </w:pPr>
            <w:r>
              <w:rPr>
                <w:rFonts w:ascii="Calibri" w:hAnsi="Calibri" w:hint="eastAsia"/>
                <w:color w:val="auto"/>
                <w:szCs w:val="21"/>
              </w:rPr>
              <w:t>接集聚区</w:t>
            </w:r>
            <w:r w:rsidR="00F13A8B" w:rsidRPr="004A5BF5">
              <w:rPr>
                <w:rFonts w:ascii="Calibri" w:hAnsi="Calibri" w:hint="eastAsia"/>
                <w:color w:val="auto"/>
                <w:szCs w:val="21"/>
              </w:rPr>
              <w:t>电网</w:t>
            </w:r>
          </w:p>
        </w:tc>
      </w:tr>
      <w:tr w:rsidR="00F13A8B" w:rsidRPr="007419A4" w14:paraId="04575AEF" w14:textId="77777777" w:rsidTr="000953CC">
        <w:trPr>
          <w:trHeight w:val="340"/>
        </w:trPr>
        <w:tc>
          <w:tcPr>
            <w:tcW w:w="560" w:type="dxa"/>
            <w:tcBorders>
              <w:right w:val="single" w:sz="4" w:space="0" w:color="auto"/>
            </w:tcBorders>
            <w:shd w:val="clear" w:color="auto" w:fill="auto"/>
            <w:vAlign w:val="center"/>
          </w:tcPr>
          <w:p w14:paraId="5FB8EFB4" w14:textId="77777777" w:rsidR="00F13A8B" w:rsidRPr="004A5BF5" w:rsidRDefault="00623EF2" w:rsidP="004A5BF5">
            <w:pPr>
              <w:jc w:val="center"/>
              <w:rPr>
                <w:rFonts w:ascii="Calibri" w:hAnsi="Calibri"/>
                <w:color w:val="auto"/>
                <w:szCs w:val="21"/>
              </w:rPr>
            </w:pPr>
            <w:r>
              <w:rPr>
                <w:rFonts w:ascii="Calibri" w:hAnsi="Calibri"/>
                <w:color w:val="auto"/>
                <w:szCs w:val="21"/>
              </w:rPr>
              <w:t>8</w:t>
            </w:r>
          </w:p>
        </w:tc>
        <w:tc>
          <w:tcPr>
            <w:tcW w:w="1126" w:type="dxa"/>
            <w:vMerge/>
            <w:tcBorders>
              <w:left w:val="single" w:sz="4" w:space="0" w:color="auto"/>
            </w:tcBorders>
            <w:shd w:val="clear" w:color="auto" w:fill="auto"/>
            <w:vAlign w:val="center"/>
          </w:tcPr>
          <w:p w14:paraId="54D0B91C" w14:textId="77777777" w:rsidR="00F13A8B" w:rsidRPr="004A5BF5" w:rsidRDefault="00F13A8B" w:rsidP="004A5BF5">
            <w:pPr>
              <w:ind w:firstLineChars="200" w:firstLine="420"/>
              <w:jc w:val="center"/>
              <w:rPr>
                <w:rFonts w:ascii="Calibri" w:hAnsi="Calibri"/>
                <w:color w:val="auto"/>
                <w:szCs w:val="21"/>
              </w:rPr>
            </w:pPr>
          </w:p>
        </w:tc>
        <w:tc>
          <w:tcPr>
            <w:tcW w:w="1843" w:type="dxa"/>
            <w:tcBorders>
              <w:right w:val="single" w:sz="4" w:space="0" w:color="auto"/>
            </w:tcBorders>
            <w:shd w:val="clear" w:color="auto" w:fill="auto"/>
            <w:vAlign w:val="center"/>
          </w:tcPr>
          <w:p w14:paraId="665A5683" w14:textId="77777777" w:rsidR="00F13A8B" w:rsidRPr="004A5BF5" w:rsidRDefault="00F13A8B" w:rsidP="004A5BF5">
            <w:pPr>
              <w:jc w:val="center"/>
              <w:rPr>
                <w:rFonts w:ascii="Calibri" w:hAnsi="Calibri"/>
                <w:color w:val="auto"/>
                <w:szCs w:val="21"/>
              </w:rPr>
            </w:pPr>
            <w:r w:rsidRPr="004A5BF5">
              <w:rPr>
                <w:rFonts w:ascii="Calibri" w:hAnsi="Calibri" w:hint="eastAsia"/>
                <w:color w:val="auto"/>
                <w:szCs w:val="21"/>
              </w:rPr>
              <w:t>水</w:t>
            </w:r>
          </w:p>
        </w:tc>
        <w:tc>
          <w:tcPr>
            <w:tcW w:w="1527" w:type="dxa"/>
            <w:tcBorders>
              <w:left w:val="single" w:sz="4" w:space="0" w:color="auto"/>
            </w:tcBorders>
            <w:vAlign w:val="center"/>
          </w:tcPr>
          <w:p w14:paraId="32B5DCA5" w14:textId="77777777" w:rsidR="00F13A8B" w:rsidRPr="004A5BF5" w:rsidRDefault="00F2530A" w:rsidP="004A5BF5">
            <w:pPr>
              <w:jc w:val="center"/>
              <w:rPr>
                <w:rFonts w:ascii="Calibri" w:hAnsi="Calibri"/>
                <w:color w:val="auto"/>
                <w:szCs w:val="21"/>
              </w:rPr>
            </w:pPr>
            <w:r>
              <w:rPr>
                <w:rFonts w:ascii="Calibri" w:hAnsi="Calibri"/>
                <w:color w:val="auto"/>
                <w:szCs w:val="21"/>
              </w:rPr>
              <w:t>5.89</w:t>
            </w:r>
            <w:r>
              <w:rPr>
                <w:rFonts w:ascii="Calibri" w:hAnsi="Calibri" w:hint="eastAsia"/>
                <w:color w:val="auto"/>
                <w:szCs w:val="21"/>
              </w:rPr>
              <w:t>万</w:t>
            </w:r>
            <w:r>
              <w:rPr>
                <w:rFonts w:ascii="Calibri" w:hAnsi="Calibri"/>
                <w:color w:val="auto"/>
                <w:szCs w:val="21"/>
              </w:rPr>
              <w:t>m</w:t>
            </w:r>
            <w:r w:rsidRPr="00F2530A">
              <w:rPr>
                <w:rFonts w:ascii="Calibri" w:hAnsi="Calibri"/>
                <w:color w:val="auto"/>
                <w:szCs w:val="21"/>
                <w:vertAlign w:val="superscript"/>
              </w:rPr>
              <w:t>3</w:t>
            </w:r>
            <w:r>
              <w:rPr>
                <w:rFonts w:ascii="Calibri" w:hAnsi="Calibri"/>
                <w:color w:val="auto"/>
                <w:szCs w:val="21"/>
              </w:rPr>
              <w:t>/a</w:t>
            </w:r>
          </w:p>
        </w:tc>
        <w:tc>
          <w:tcPr>
            <w:tcW w:w="1244" w:type="dxa"/>
            <w:vAlign w:val="center"/>
          </w:tcPr>
          <w:p w14:paraId="05DE85DA" w14:textId="77777777" w:rsidR="00F13A8B" w:rsidRPr="004A5BF5" w:rsidRDefault="00F13A8B" w:rsidP="004A5BF5">
            <w:pPr>
              <w:jc w:val="center"/>
              <w:rPr>
                <w:rFonts w:ascii="Calibri" w:hAnsi="Calibri"/>
                <w:color w:val="auto"/>
                <w:szCs w:val="21"/>
              </w:rPr>
            </w:pPr>
            <w:r w:rsidRPr="004A5BF5">
              <w:rPr>
                <w:rFonts w:ascii="Calibri" w:hAnsi="Calibri" w:hint="eastAsia"/>
                <w:color w:val="auto"/>
                <w:szCs w:val="21"/>
              </w:rPr>
              <w:t>/</w:t>
            </w:r>
          </w:p>
        </w:tc>
        <w:tc>
          <w:tcPr>
            <w:tcW w:w="915" w:type="dxa"/>
            <w:vAlign w:val="center"/>
          </w:tcPr>
          <w:p w14:paraId="44C1C2DA" w14:textId="77777777" w:rsidR="00F13A8B" w:rsidRPr="004A5BF5" w:rsidRDefault="0091675D" w:rsidP="004A5BF5">
            <w:pPr>
              <w:jc w:val="center"/>
              <w:rPr>
                <w:rFonts w:ascii="Calibri" w:hAnsi="Calibri"/>
                <w:color w:val="auto"/>
                <w:szCs w:val="21"/>
              </w:rPr>
            </w:pPr>
            <w:r>
              <w:rPr>
                <w:rFonts w:ascii="Calibri" w:hAnsi="Calibri" w:hint="eastAsia"/>
                <w:color w:val="auto"/>
                <w:szCs w:val="21"/>
              </w:rPr>
              <w:t>/</w:t>
            </w:r>
          </w:p>
        </w:tc>
        <w:tc>
          <w:tcPr>
            <w:tcW w:w="1485" w:type="dxa"/>
            <w:vAlign w:val="center"/>
          </w:tcPr>
          <w:p w14:paraId="585D0A0C" w14:textId="77777777" w:rsidR="00F13A8B" w:rsidRPr="004A5BF5" w:rsidRDefault="0091675D" w:rsidP="004A5BF5">
            <w:pPr>
              <w:jc w:val="center"/>
              <w:rPr>
                <w:rFonts w:ascii="Calibri" w:hAnsi="Calibri"/>
                <w:color w:val="auto"/>
                <w:szCs w:val="21"/>
              </w:rPr>
            </w:pPr>
            <w:r>
              <w:rPr>
                <w:rFonts w:ascii="Calibri" w:hAnsi="Calibri" w:hint="eastAsia"/>
                <w:color w:val="auto"/>
                <w:szCs w:val="21"/>
              </w:rPr>
              <w:t>接集聚区</w:t>
            </w:r>
            <w:r>
              <w:rPr>
                <w:rFonts w:ascii="Calibri" w:hAnsi="Calibri"/>
                <w:color w:val="auto"/>
                <w:szCs w:val="21"/>
              </w:rPr>
              <w:t>官网</w:t>
            </w:r>
          </w:p>
        </w:tc>
      </w:tr>
      <w:tr w:rsidR="00F13A8B" w:rsidRPr="007419A4" w14:paraId="3C7A4C95" w14:textId="77777777" w:rsidTr="00F430A4">
        <w:trPr>
          <w:trHeight w:val="340"/>
        </w:trPr>
        <w:tc>
          <w:tcPr>
            <w:tcW w:w="8700" w:type="dxa"/>
            <w:gridSpan w:val="7"/>
            <w:vAlign w:val="center"/>
          </w:tcPr>
          <w:p w14:paraId="26483DDF" w14:textId="77777777" w:rsidR="00F13A8B" w:rsidRPr="004A5BF5" w:rsidRDefault="00F13A8B" w:rsidP="004A5BF5">
            <w:pPr>
              <w:jc w:val="center"/>
              <w:rPr>
                <w:rFonts w:ascii="Calibri" w:hAnsi="Calibri"/>
                <w:color w:val="auto"/>
                <w:szCs w:val="21"/>
              </w:rPr>
            </w:pPr>
            <w:r>
              <w:rPr>
                <w:rFonts w:ascii="Calibri" w:hAnsi="Calibri" w:hint="eastAsia"/>
                <w:color w:val="auto"/>
                <w:szCs w:val="21"/>
              </w:rPr>
              <w:lastRenderedPageBreak/>
              <w:t>二期</w:t>
            </w:r>
            <w:r>
              <w:rPr>
                <w:rFonts w:ascii="Calibri" w:hAnsi="Calibri"/>
                <w:color w:val="auto"/>
                <w:szCs w:val="21"/>
              </w:rPr>
              <w:t>工程</w:t>
            </w:r>
          </w:p>
        </w:tc>
      </w:tr>
      <w:tr w:rsidR="00CE7A1F" w:rsidRPr="007419A4" w14:paraId="19653C4B" w14:textId="77777777" w:rsidTr="000953CC">
        <w:trPr>
          <w:trHeight w:val="340"/>
        </w:trPr>
        <w:tc>
          <w:tcPr>
            <w:tcW w:w="560" w:type="dxa"/>
            <w:tcBorders>
              <w:right w:val="single" w:sz="4" w:space="0" w:color="auto"/>
            </w:tcBorders>
            <w:shd w:val="clear" w:color="auto" w:fill="auto"/>
            <w:vAlign w:val="center"/>
          </w:tcPr>
          <w:p w14:paraId="3AD8CF4A" w14:textId="77777777" w:rsidR="00CE7A1F" w:rsidRPr="004A5BF5" w:rsidRDefault="00CE7A1F" w:rsidP="0091675D">
            <w:pPr>
              <w:jc w:val="center"/>
              <w:rPr>
                <w:rFonts w:ascii="Calibri" w:hAnsi="Calibri"/>
                <w:color w:val="auto"/>
                <w:szCs w:val="21"/>
              </w:rPr>
            </w:pPr>
            <w:r>
              <w:rPr>
                <w:rFonts w:ascii="Calibri" w:hAnsi="Calibri" w:hint="eastAsia"/>
                <w:color w:val="auto"/>
                <w:szCs w:val="21"/>
              </w:rPr>
              <w:t>1</w:t>
            </w:r>
          </w:p>
        </w:tc>
        <w:tc>
          <w:tcPr>
            <w:tcW w:w="1126" w:type="dxa"/>
            <w:vMerge w:val="restart"/>
            <w:tcBorders>
              <w:left w:val="single" w:sz="4" w:space="0" w:color="auto"/>
            </w:tcBorders>
            <w:shd w:val="clear" w:color="auto" w:fill="auto"/>
            <w:vAlign w:val="center"/>
          </w:tcPr>
          <w:p w14:paraId="2A951796" w14:textId="77777777" w:rsidR="00CE7A1F" w:rsidRPr="004A5BF5" w:rsidRDefault="00CE7A1F" w:rsidP="0091675D">
            <w:pPr>
              <w:rPr>
                <w:rFonts w:ascii="Calibri" w:hAnsi="Calibri"/>
                <w:color w:val="auto"/>
                <w:szCs w:val="21"/>
              </w:rPr>
            </w:pPr>
            <w:r w:rsidRPr="004A5BF5">
              <w:rPr>
                <w:rFonts w:ascii="Calibri" w:hAnsi="Calibri" w:hint="eastAsia"/>
                <w:color w:val="auto"/>
                <w:szCs w:val="21"/>
              </w:rPr>
              <w:t>主要原料</w:t>
            </w:r>
          </w:p>
        </w:tc>
        <w:tc>
          <w:tcPr>
            <w:tcW w:w="1843" w:type="dxa"/>
            <w:shd w:val="clear" w:color="auto" w:fill="auto"/>
            <w:vAlign w:val="center"/>
          </w:tcPr>
          <w:p w14:paraId="34B696D5" w14:textId="77777777" w:rsidR="00CE7A1F" w:rsidRPr="004A5BF5" w:rsidRDefault="00CE7A1F" w:rsidP="0091675D">
            <w:pPr>
              <w:rPr>
                <w:rFonts w:ascii="Calibri" w:hAnsi="Calibri"/>
                <w:color w:val="auto"/>
                <w:szCs w:val="21"/>
              </w:rPr>
            </w:pPr>
            <w:r w:rsidRPr="004A5BF5">
              <w:rPr>
                <w:rFonts w:ascii="Calibri" w:hAnsi="Calibri" w:hint="eastAsia"/>
                <w:color w:val="auto"/>
                <w:szCs w:val="21"/>
              </w:rPr>
              <w:t>尼龙</w:t>
            </w:r>
            <w:r w:rsidRPr="004A5BF5">
              <w:rPr>
                <w:rFonts w:ascii="Calibri" w:hAnsi="Calibri" w:hint="eastAsia"/>
                <w:color w:val="auto"/>
                <w:szCs w:val="21"/>
              </w:rPr>
              <w:t>66</w:t>
            </w:r>
            <w:r w:rsidRPr="004A5BF5">
              <w:rPr>
                <w:rFonts w:ascii="Calibri" w:hAnsi="Calibri" w:hint="eastAsia"/>
                <w:color w:val="auto"/>
                <w:szCs w:val="21"/>
              </w:rPr>
              <w:t>盐（液体）</w:t>
            </w:r>
          </w:p>
        </w:tc>
        <w:tc>
          <w:tcPr>
            <w:tcW w:w="1527" w:type="dxa"/>
            <w:vAlign w:val="center"/>
          </w:tcPr>
          <w:p w14:paraId="5BC52BD7" w14:textId="77777777" w:rsidR="00CE7A1F" w:rsidRPr="004A5BF5" w:rsidRDefault="00CE7A1F" w:rsidP="0091675D">
            <w:pPr>
              <w:jc w:val="center"/>
              <w:rPr>
                <w:rFonts w:ascii="Calibri" w:hAnsi="Calibri"/>
                <w:color w:val="auto"/>
                <w:szCs w:val="21"/>
              </w:rPr>
            </w:pPr>
            <w:r>
              <w:rPr>
                <w:rFonts w:ascii="Calibri" w:hAnsi="Calibri" w:hint="eastAsia"/>
                <w:color w:val="auto"/>
                <w:szCs w:val="21"/>
              </w:rPr>
              <w:t>1440</w:t>
            </w:r>
            <w:r>
              <w:rPr>
                <w:rFonts w:ascii="Calibri" w:hAnsi="Calibri"/>
                <w:color w:val="auto"/>
                <w:szCs w:val="21"/>
              </w:rPr>
              <w:t>t</w:t>
            </w:r>
            <w:r>
              <w:rPr>
                <w:rFonts w:ascii="Calibri" w:hAnsi="Calibri" w:hint="eastAsia"/>
                <w:color w:val="auto"/>
                <w:szCs w:val="21"/>
              </w:rPr>
              <w:t>/a</w:t>
            </w:r>
          </w:p>
        </w:tc>
        <w:tc>
          <w:tcPr>
            <w:tcW w:w="1244" w:type="dxa"/>
            <w:vAlign w:val="center"/>
          </w:tcPr>
          <w:p w14:paraId="362FB55E" w14:textId="77777777" w:rsidR="00CE7A1F" w:rsidRPr="004A5BF5" w:rsidRDefault="00CE7A1F" w:rsidP="0091675D">
            <w:pPr>
              <w:jc w:val="center"/>
              <w:rPr>
                <w:rFonts w:ascii="Calibri" w:hAnsi="Calibri"/>
                <w:color w:val="auto"/>
                <w:szCs w:val="21"/>
              </w:rPr>
            </w:pPr>
            <w:r>
              <w:rPr>
                <w:rFonts w:ascii="Calibri" w:hAnsi="Calibri"/>
                <w:color w:val="auto"/>
                <w:szCs w:val="21"/>
              </w:rPr>
              <w:t>220</w:t>
            </w:r>
            <w:r w:rsidRPr="004A5BF5">
              <w:rPr>
                <w:rFonts w:ascii="Calibri" w:hAnsi="Calibri" w:hint="eastAsia"/>
                <w:color w:val="auto"/>
                <w:szCs w:val="21"/>
              </w:rPr>
              <w:t>t</w:t>
            </w:r>
          </w:p>
        </w:tc>
        <w:tc>
          <w:tcPr>
            <w:tcW w:w="915" w:type="dxa"/>
            <w:vAlign w:val="center"/>
          </w:tcPr>
          <w:p w14:paraId="5F4D9DF4" w14:textId="77777777" w:rsidR="00CE7A1F" w:rsidRPr="004A5BF5" w:rsidRDefault="00CE7A1F" w:rsidP="0091675D">
            <w:pPr>
              <w:jc w:val="center"/>
              <w:rPr>
                <w:rFonts w:ascii="Calibri" w:hAnsi="Calibri"/>
                <w:color w:val="auto"/>
                <w:szCs w:val="21"/>
              </w:rPr>
            </w:pPr>
            <w:r>
              <w:rPr>
                <w:rFonts w:ascii="Calibri" w:hAnsi="Calibri"/>
                <w:color w:val="auto"/>
                <w:szCs w:val="21"/>
              </w:rPr>
              <w:t>45d</w:t>
            </w:r>
          </w:p>
        </w:tc>
        <w:tc>
          <w:tcPr>
            <w:tcW w:w="1485" w:type="dxa"/>
            <w:vAlign w:val="center"/>
          </w:tcPr>
          <w:p w14:paraId="3FB18C6E" w14:textId="77777777" w:rsidR="00CE7A1F" w:rsidRPr="004A5BF5" w:rsidRDefault="00CE7A1F" w:rsidP="0091675D">
            <w:pPr>
              <w:jc w:val="center"/>
              <w:rPr>
                <w:rFonts w:ascii="Calibri" w:hAnsi="Calibri"/>
                <w:color w:val="auto"/>
                <w:szCs w:val="21"/>
              </w:rPr>
            </w:pPr>
            <w:r w:rsidRPr="004A5BF5">
              <w:rPr>
                <w:rFonts w:ascii="Calibri" w:hAnsi="Calibri" w:hint="eastAsia"/>
                <w:color w:val="auto"/>
                <w:szCs w:val="21"/>
              </w:rPr>
              <w:t>外购，液体浓度</w:t>
            </w:r>
            <w:r w:rsidRPr="004A5BF5">
              <w:rPr>
                <w:rFonts w:ascii="Calibri" w:hAnsi="Calibri" w:hint="eastAsia"/>
                <w:color w:val="auto"/>
                <w:szCs w:val="21"/>
              </w:rPr>
              <w:t>50%</w:t>
            </w:r>
            <w:r w:rsidRPr="004A5BF5">
              <w:rPr>
                <w:rFonts w:ascii="Calibri" w:hAnsi="Calibri" w:hint="eastAsia"/>
                <w:color w:val="auto"/>
                <w:szCs w:val="21"/>
              </w:rPr>
              <w:t>，桶装；</w:t>
            </w:r>
            <w:r w:rsidRPr="004A5BF5">
              <w:rPr>
                <w:rFonts w:ascii="Calibri" w:hAnsi="Calibri"/>
                <w:color w:val="auto"/>
                <w:szCs w:val="21"/>
              </w:rPr>
              <w:t xml:space="preserve"> </w:t>
            </w:r>
          </w:p>
        </w:tc>
      </w:tr>
      <w:tr w:rsidR="00CE7A1F" w:rsidRPr="007419A4" w14:paraId="3EC6BA0C" w14:textId="77777777" w:rsidTr="000953CC">
        <w:trPr>
          <w:trHeight w:val="340"/>
        </w:trPr>
        <w:tc>
          <w:tcPr>
            <w:tcW w:w="560" w:type="dxa"/>
            <w:tcBorders>
              <w:right w:val="single" w:sz="4" w:space="0" w:color="auto"/>
            </w:tcBorders>
            <w:shd w:val="clear" w:color="auto" w:fill="auto"/>
            <w:vAlign w:val="center"/>
          </w:tcPr>
          <w:p w14:paraId="5BC6C50A" w14:textId="77777777" w:rsidR="00CE7A1F" w:rsidRPr="004A5BF5" w:rsidRDefault="00CE7A1F" w:rsidP="0091675D">
            <w:pPr>
              <w:jc w:val="center"/>
              <w:rPr>
                <w:rFonts w:ascii="Calibri" w:hAnsi="Calibri"/>
                <w:color w:val="auto"/>
                <w:szCs w:val="21"/>
              </w:rPr>
            </w:pPr>
            <w:r>
              <w:rPr>
                <w:rFonts w:ascii="Calibri" w:hAnsi="Calibri" w:hint="eastAsia"/>
                <w:color w:val="auto"/>
                <w:szCs w:val="21"/>
              </w:rPr>
              <w:t>2</w:t>
            </w:r>
          </w:p>
        </w:tc>
        <w:tc>
          <w:tcPr>
            <w:tcW w:w="1126" w:type="dxa"/>
            <w:vMerge/>
            <w:tcBorders>
              <w:left w:val="single" w:sz="4" w:space="0" w:color="auto"/>
            </w:tcBorders>
            <w:shd w:val="clear" w:color="auto" w:fill="auto"/>
            <w:vAlign w:val="center"/>
          </w:tcPr>
          <w:p w14:paraId="7381E885" w14:textId="77777777" w:rsidR="00CE7A1F" w:rsidRPr="004A5BF5" w:rsidRDefault="00CE7A1F" w:rsidP="0091675D">
            <w:pPr>
              <w:rPr>
                <w:rFonts w:ascii="Calibri" w:hAnsi="Calibri"/>
                <w:color w:val="auto"/>
                <w:szCs w:val="21"/>
              </w:rPr>
            </w:pPr>
          </w:p>
        </w:tc>
        <w:tc>
          <w:tcPr>
            <w:tcW w:w="1843" w:type="dxa"/>
            <w:shd w:val="clear" w:color="auto" w:fill="auto"/>
            <w:vAlign w:val="center"/>
          </w:tcPr>
          <w:p w14:paraId="59C238FD" w14:textId="77777777" w:rsidR="00CE7A1F" w:rsidRPr="004A5BF5" w:rsidRDefault="00CE7A1F" w:rsidP="0091675D">
            <w:pPr>
              <w:jc w:val="center"/>
              <w:rPr>
                <w:rFonts w:ascii="Calibri" w:hAnsi="Calibri"/>
                <w:color w:val="auto"/>
                <w:szCs w:val="21"/>
              </w:rPr>
            </w:pPr>
            <w:r w:rsidRPr="004A5BF5">
              <w:rPr>
                <w:rFonts w:ascii="Calibri" w:hAnsi="Calibri" w:hint="eastAsia"/>
                <w:color w:val="auto"/>
                <w:szCs w:val="21"/>
              </w:rPr>
              <w:t>尼龙</w:t>
            </w:r>
            <w:r w:rsidRPr="004A5BF5">
              <w:rPr>
                <w:rFonts w:ascii="Calibri" w:hAnsi="Calibri" w:hint="eastAsia"/>
                <w:color w:val="auto"/>
                <w:szCs w:val="21"/>
              </w:rPr>
              <w:t>1010</w:t>
            </w:r>
            <w:r w:rsidRPr="004A5BF5">
              <w:rPr>
                <w:rFonts w:ascii="Calibri" w:hAnsi="Calibri" w:hint="eastAsia"/>
                <w:color w:val="auto"/>
                <w:szCs w:val="21"/>
              </w:rPr>
              <w:t>盐</w:t>
            </w:r>
          </w:p>
        </w:tc>
        <w:tc>
          <w:tcPr>
            <w:tcW w:w="1527" w:type="dxa"/>
            <w:vAlign w:val="center"/>
          </w:tcPr>
          <w:p w14:paraId="0B1139B9" w14:textId="77777777" w:rsidR="00CE7A1F" w:rsidRPr="004A5BF5" w:rsidRDefault="00CE7A1F" w:rsidP="0091675D">
            <w:pPr>
              <w:jc w:val="center"/>
              <w:rPr>
                <w:rFonts w:ascii="Calibri" w:hAnsi="Calibri"/>
                <w:color w:val="auto"/>
                <w:szCs w:val="21"/>
              </w:rPr>
            </w:pPr>
            <w:r>
              <w:rPr>
                <w:rFonts w:ascii="Calibri" w:hAnsi="Calibri"/>
                <w:color w:val="auto"/>
                <w:szCs w:val="21"/>
              </w:rPr>
              <w:t>180t</w:t>
            </w:r>
            <w:r>
              <w:rPr>
                <w:rFonts w:ascii="Calibri" w:hAnsi="Calibri" w:hint="eastAsia"/>
                <w:color w:val="auto"/>
                <w:szCs w:val="21"/>
              </w:rPr>
              <w:t>/a</w:t>
            </w:r>
          </w:p>
        </w:tc>
        <w:tc>
          <w:tcPr>
            <w:tcW w:w="1244" w:type="dxa"/>
            <w:vAlign w:val="center"/>
          </w:tcPr>
          <w:p w14:paraId="2EE032B1" w14:textId="77777777" w:rsidR="00CE7A1F" w:rsidRPr="004A5BF5" w:rsidRDefault="00CE7A1F" w:rsidP="0091675D">
            <w:pPr>
              <w:jc w:val="center"/>
              <w:rPr>
                <w:rFonts w:ascii="Calibri" w:hAnsi="Calibri"/>
                <w:color w:val="auto"/>
                <w:szCs w:val="21"/>
              </w:rPr>
            </w:pPr>
            <w:r>
              <w:rPr>
                <w:rFonts w:ascii="Calibri" w:hAnsi="Calibri"/>
                <w:color w:val="auto"/>
                <w:szCs w:val="21"/>
              </w:rPr>
              <w:t>27</w:t>
            </w:r>
            <w:r w:rsidRPr="004A5BF5">
              <w:rPr>
                <w:rFonts w:ascii="Calibri" w:hAnsi="Calibri" w:hint="eastAsia"/>
                <w:color w:val="auto"/>
                <w:szCs w:val="21"/>
              </w:rPr>
              <w:t>t</w:t>
            </w:r>
          </w:p>
        </w:tc>
        <w:tc>
          <w:tcPr>
            <w:tcW w:w="915" w:type="dxa"/>
            <w:vAlign w:val="center"/>
          </w:tcPr>
          <w:p w14:paraId="6A058AE3" w14:textId="77777777" w:rsidR="00CE7A1F" w:rsidRPr="004A5BF5" w:rsidRDefault="00CE7A1F" w:rsidP="0091675D">
            <w:pPr>
              <w:jc w:val="center"/>
              <w:rPr>
                <w:rFonts w:ascii="Calibri" w:hAnsi="Calibri"/>
                <w:color w:val="auto"/>
                <w:szCs w:val="21"/>
              </w:rPr>
            </w:pPr>
            <w:r>
              <w:rPr>
                <w:rFonts w:ascii="Calibri" w:hAnsi="Calibri"/>
                <w:color w:val="auto"/>
                <w:szCs w:val="21"/>
              </w:rPr>
              <w:t>45d</w:t>
            </w:r>
          </w:p>
        </w:tc>
        <w:tc>
          <w:tcPr>
            <w:tcW w:w="1485" w:type="dxa"/>
            <w:vAlign w:val="center"/>
          </w:tcPr>
          <w:p w14:paraId="71AE1774" w14:textId="77777777" w:rsidR="00CE7A1F" w:rsidRPr="004A5BF5" w:rsidRDefault="00CE7A1F" w:rsidP="0091675D">
            <w:pPr>
              <w:jc w:val="center"/>
              <w:rPr>
                <w:rFonts w:ascii="Calibri" w:hAnsi="Calibri"/>
                <w:color w:val="auto"/>
                <w:szCs w:val="21"/>
              </w:rPr>
            </w:pPr>
            <w:r w:rsidRPr="004A5BF5">
              <w:rPr>
                <w:rFonts w:ascii="Calibri" w:hAnsi="Calibri" w:hint="eastAsia"/>
                <w:color w:val="auto"/>
                <w:szCs w:val="21"/>
              </w:rPr>
              <w:t>外购，固体袋装</w:t>
            </w:r>
          </w:p>
        </w:tc>
      </w:tr>
      <w:tr w:rsidR="00CE7A1F" w:rsidRPr="007419A4" w14:paraId="2F7A4697" w14:textId="77777777" w:rsidTr="00CE7A1F">
        <w:trPr>
          <w:trHeight w:val="340"/>
        </w:trPr>
        <w:tc>
          <w:tcPr>
            <w:tcW w:w="560" w:type="dxa"/>
            <w:tcBorders>
              <w:right w:val="single" w:sz="4" w:space="0" w:color="auto"/>
            </w:tcBorders>
            <w:shd w:val="clear" w:color="auto" w:fill="auto"/>
            <w:vAlign w:val="center"/>
          </w:tcPr>
          <w:p w14:paraId="68DC3067" w14:textId="77777777" w:rsidR="00CE7A1F" w:rsidRPr="004A5BF5" w:rsidRDefault="00CE7A1F" w:rsidP="0091675D">
            <w:pPr>
              <w:jc w:val="center"/>
              <w:rPr>
                <w:rFonts w:ascii="Calibri" w:hAnsi="Calibri"/>
                <w:color w:val="auto"/>
                <w:szCs w:val="21"/>
              </w:rPr>
            </w:pPr>
            <w:r>
              <w:rPr>
                <w:rFonts w:ascii="Calibri" w:hAnsi="Calibri" w:hint="eastAsia"/>
                <w:color w:val="auto"/>
                <w:szCs w:val="21"/>
              </w:rPr>
              <w:t>3</w:t>
            </w:r>
          </w:p>
        </w:tc>
        <w:tc>
          <w:tcPr>
            <w:tcW w:w="1126" w:type="dxa"/>
            <w:vMerge/>
            <w:tcBorders>
              <w:left w:val="single" w:sz="4" w:space="0" w:color="auto"/>
              <w:bottom w:val="single" w:sz="4" w:space="0" w:color="auto"/>
            </w:tcBorders>
            <w:shd w:val="clear" w:color="auto" w:fill="auto"/>
            <w:vAlign w:val="center"/>
          </w:tcPr>
          <w:p w14:paraId="6239DBA6" w14:textId="77777777" w:rsidR="00CE7A1F" w:rsidRPr="004A5BF5" w:rsidRDefault="00CE7A1F" w:rsidP="0091675D">
            <w:pPr>
              <w:ind w:firstLineChars="200" w:firstLine="420"/>
              <w:jc w:val="center"/>
              <w:rPr>
                <w:rFonts w:ascii="Calibri" w:hAnsi="Calibri"/>
                <w:color w:val="auto"/>
                <w:szCs w:val="21"/>
              </w:rPr>
            </w:pPr>
          </w:p>
        </w:tc>
        <w:tc>
          <w:tcPr>
            <w:tcW w:w="1843" w:type="dxa"/>
            <w:tcBorders>
              <w:bottom w:val="single" w:sz="4" w:space="0" w:color="auto"/>
            </w:tcBorders>
            <w:shd w:val="clear" w:color="auto" w:fill="auto"/>
            <w:vAlign w:val="center"/>
          </w:tcPr>
          <w:p w14:paraId="60AC4F49" w14:textId="77777777" w:rsidR="00CE7A1F" w:rsidRPr="004A5BF5" w:rsidRDefault="00CE7A1F" w:rsidP="0091675D">
            <w:pPr>
              <w:jc w:val="center"/>
              <w:rPr>
                <w:rFonts w:ascii="Calibri" w:hAnsi="Calibri"/>
                <w:color w:val="auto"/>
                <w:szCs w:val="21"/>
              </w:rPr>
            </w:pPr>
            <w:r>
              <w:rPr>
                <w:rFonts w:ascii="Calibri" w:hAnsi="Calibri" w:hint="eastAsia"/>
                <w:color w:val="auto"/>
                <w:szCs w:val="21"/>
              </w:rPr>
              <w:t>尼龙</w:t>
            </w:r>
            <w:r>
              <w:rPr>
                <w:rFonts w:ascii="Calibri" w:hAnsi="Calibri" w:hint="eastAsia"/>
                <w:color w:val="auto"/>
                <w:szCs w:val="21"/>
              </w:rPr>
              <w:t>12</w:t>
            </w:r>
            <w:r>
              <w:rPr>
                <w:rFonts w:ascii="Calibri" w:hAnsi="Calibri" w:hint="eastAsia"/>
                <w:color w:val="auto"/>
                <w:szCs w:val="21"/>
              </w:rPr>
              <w:t>盐</w:t>
            </w:r>
          </w:p>
        </w:tc>
        <w:tc>
          <w:tcPr>
            <w:tcW w:w="1527" w:type="dxa"/>
            <w:vAlign w:val="center"/>
          </w:tcPr>
          <w:p w14:paraId="4D6A9782" w14:textId="77777777" w:rsidR="00CE7A1F" w:rsidRPr="004A5BF5" w:rsidRDefault="00CE7A1F" w:rsidP="0091675D">
            <w:pPr>
              <w:jc w:val="center"/>
              <w:rPr>
                <w:rFonts w:ascii="Calibri" w:hAnsi="Calibri"/>
                <w:color w:val="auto"/>
                <w:szCs w:val="21"/>
              </w:rPr>
            </w:pPr>
            <w:r>
              <w:rPr>
                <w:rFonts w:ascii="Calibri" w:hAnsi="Calibri" w:hint="eastAsia"/>
                <w:color w:val="auto"/>
                <w:szCs w:val="21"/>
              </w:rPr>
              <w:t>720</w:t>
            </w:r>
            <w:r>
              <w:rPr>
                <w:rFonts w:ascii="Calibri" w:hAnsi="Calibri"/>
                <w:color w:val="auto"/>
                <w:szCs w:val="21"/>
              </w:rPr>
              <w:t>t</w:t>
            </w:r>
            <w:r>
              <w:rPr>
                <w:rFonts w:ascii="Calibri" w:hAnsi="Calibri" w:hint="eastAsia"/>
                <w:color w:val="auto"/>
                <w:szCs w:val="21"/>
              </w:rPr>
              <w:t>/a</w:t>
            </w:r>
          </w:p>
        </w:tc>
        <w:tc>
          <w:tcPr>
            <w:tcW w:w="1244" w:type="dxa"/>
            <w:vAlign w:val="center"/>
          </w:tcPr>
          <w:p w14:paraId="0D4336F6" w14:textId="77777777" w:rsidR="00CE7A1F" w:rsidRPr="004A5BF5" w:rsidRDefault="00CE7A1F" w:rsidP="0091675D">
            <w:pPr>
              <w:jc w:val="center"/>
              <w:rPr>
                <w:rFonts w:ascii="Calibri" w:hAnsi="Calibri"/>
                <w:color w:val="auto"/>
                <w:szCs w:val="21"/>
              </w:rPr>
            </w:pPr>
            <w:r>
              <w:rPr>
                <w:rFonts w:ascii="Calibri" w:hAnsi="Calibri"/>
                <w:color w:val="auto"/>
                <w:szCs w:val="21"/>
              </w:rPr>
              <w:t>110</w:t>
            </w:r>
            <w:r w:rsidRPr="004A5BF5">
              <w:rPr>
                <w:rFonts w:ascii="Calibri" w:hAnsi="Calibri" w:hint="eastAsia"/>
                <w:color w:val="auto"/>
                <w:szCs w:val="21"/>
              </w:rPr>
              <w:t>t</w:t>
            </w:r>
          </w:p>
        </w:tc>
        <w:tc>
          <w:tcPr>
            <w:tcW w:w="915" w:type="dxa"/>
            <w:vAlign w:val="center"/>
          </w:tcPr>
          <w:p w14:paraId="66A041F3" w14:textId="77777777" w:rsidR="00CE7A1F" w:rsidRPr="004A5BF5" w:rsidRDefault="00CE7A1F" w:rsidP="0091675D">
            <w:pPr>
              <w:jc w:val="center"/>
              <w:rPr>
                <w:rFonts w:ascii="Calibri" w:hAnsi="Calibri"/>
                <w:color w:val="auto"/>
                <w:szCs w:val="21"/>
              </w:rPr>
            </w:pPr>
            <w:r>
              <w:rPr>
                <w:rFonts w:ascii="Calibri" w:hAnsi="Calibri"/>
                <w:color w:val="auto"/>
                <w:szCs w:val="21"/>
              </w:rPr>
              <w:t>45d</w:t>
            </w:r>
          </w:p>
        </w:tc>
        <w:tc>
          <w:tcPr>
            <w:tcW w:w="1485" w:type="dxa"/>
            <w:vAlign w:val="center"/>
          </w:tcPr>
          <w:p w14:paraId="2D0EE52A" w14:textId="77777777" w:rsidR="00CE7A1F" w:rsidRPr="004A5BF5" w:rsidRDefault="00CE7A1F" w:rsidP="0091675D">
            <w:pPr>
              <w:jc w:val="center"/>
              <w:rPr>
                <w:rFonts w:ascii="Calibri" w:hAnsi="Calibri"/>
                <w:color w:val="auto"/>
                <w:szCs w:val="21"/>
              </w:rPr>
            </w:pPr>
            <w:r w:rsidRPr="004A5BF5">
              <w:rPr>
                <w:rFonts w:ascii="Calibri" w:hAnsi="Calibri" w:hint="eastAsia"/>
                <w:color w:val="auto"/>
                <w:szCs w:val="21"/>
              </w:rPr>
              <w:t>外购，固体袋装</w:t>
            </w:r>
          </w:p>
        </w:tc>
      </w:tr>
      <w:tr w:rsidR="0091675D" w:rsidRPr="007419A4" w14:paraId="48987810" w14:textId="77777777" w:rsidTr="00CE7A1F">
        <w:trPr>
          <w:trHeight w:val="340"/>
        </w:trPr>
        <w:tc>
          <w:tcPr>
            <w:tcW w:w="560" w:type="dxa"/>
            <w:tcBorders>
              <w:right w:val="single" w:sz="4" w:space="0" w:color="auto"/>
            </w:tcBorders>
            <w:shd w:val="clear" w:color="auto" w:fill="auto"/>
            <w:vAlign w:val="center"/>
          </w:tcPr>
          <w:p w14:paraId="00F2C987"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4</w:t>
            </w:r>
          </w:p>
        </w:tc>
        <w:tc>
          <w:tcPr>
            <w:tcW w:w="1126" w:type="dxa"/>
            <w:tcBorders>
              <w:top w:val="single" w:sz="4" w:space="0" w:color="auto"/>
              <w:left w:val="single" w:sz="4" w:space="0" w:color="auto"/>
            </w:tcBorders>
            <w:shd w:val="clear" w:color="auto" w:fill="auto"/>
            <w:vAlign w:val="center"/>
          </w:tcPr>
          <w:p w14:paraId="7D29FC22" w14:textId="77777777" w:rsidR="0091675D" w:rsidRPr="004A5BF5" w:rsidRDefault="00CE7A1F" w:rsidP="00CE7A1F">
            <w:pPr>
              <w:rPr>
                <w:rFonts w:ascii="Calibri" w:hAnsi="Calibri"/>
                <w:color w:val="auto"/>
                <w:szCs w:val="21"/>
              </w:rPr>
            </w:pPr>
            <w:r w:rsidRPr="00CE7A1F">
              <w:rPr>
                <w:rFonts w:ascii="Calibri" w:hAnsi="Calibri" w:hint="eastAsia"/>
                <w:color w:val="auto"/>
                <w:szCs w:val="21"/>
              </w:rPr>
              <w:t>辅助原料</w:t>
            </w:r>
          </w:p>
        </w:tc>
        <w:tc>
          <w:tcPr>
            <w:tcW w:w="1843" w:type="dxa"/>
            <w:tcBorders>
              <w:top w:val="single" w:sz="4" w:space="0" w:color="auto"/>
            </w:tcBorders>
            <w:shd w:val="clear" w:color="auto" w:fill="auto"/>
            <w:vAlign w:val="center"/>
          </w:tcPr>
          <w:p w14:paraId="4EBA981E" w14:textId="77777777" w:rsidR="0091675D" w:rsidRPr="004A5BF5" w:rsidRDefault="0091675D" w:rsidP="0091675D">
            <w:pPr>
              <w:jc w:val="center"/>
              <w:rPr>
                <w:rFonts w:ascii="Calibri" w:hAnsi="Calibri"/>
                <w:color w:val="auto"/>
                <w:szCs w:val="21"/>
              </w:rPr>
            </w:pPr>
            <w:r>
              <w:rPr>
                <w:rFonts w:ascii="Calibri" w:hAnsi="Calibri"/>
                <w:color w:val="auto"/>
                <w:szCs w:val="21"/>
              </w:rPr>
              <w:t>次磷酸钠</w:t>
            </w:r>
          </w:p>
        </w:tc>
        <w:tc>
          <w:tcPr>
            <w:tcW w:w="1527" w:type="dxa"/>
            <w:vAlign w:val="center"/>
          </w:tcPr>
          <w:p w14:paraId="676A8E56"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0.1</w:t>
            </w:r>
            <w:r>
              <w:rPr>
                <w:rFonts w:ascii="Calibri" w:hAnsi="Calibri"/>
                <w:color w:val="auto"/>
                <w:szCs w:val="21"/>
              </w:rPr>
              <w:t>t</w:t>
            </w:r>
            <w:r>
              <w:rPr>
                <w:rFonts w:ascii="Calibri" w:hAnsi="Calibri" w:hint="eastAsia"/>
                <w:color w:val="auto"/>
                <w:szCs w:val="21"/>
              </w:rPr>
              <w:t>/a</w:t>
            </w:r>
          </w:p>
        </w:tc>
        <w:tc>
          <w:tcPr>
            <w:tcW w:w="1244" w:type="dxa"/>
            <w:vAlign w:val="center"/>
          </w:tcPr>
          <w:p w14:paraId="7DE37878"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0.02</w:t>
            </w:r>
            <w:r>
              <w:rPr>
                <w:rFonts w:ascii="Calibri" w:hAnsi="Calibri"/>
                <w:color w:val="auto"/>
                <w:szCs w:val="21"/>
              </w:rPr>
              <w:t>t</w:t>
            </w:r>
          </w:p>
        </w:tc>
        <w:tc>
          <w:tcPr>
            <w:tcW w:w="915" w:type="dxa"/>
            <w:vAlign w:val="center"/>
          </w:tcPr>
          <w:p w14:paraId="1A917DC5"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60d</w:t>
            </w:r>
          </w:p>
        </w:tc>
        <w:tc>
          <w:tcPr>
            <w:tcW w:w="1485" w:type="dxa"/>
            <w:vAlign w:val="center"/>
          </w:tcPr>
          <w:p w14:paraId="5A92B0E0" w14:textId="77777777" w:rsidR="0091675D" w:rsidRPr="004A5BF5" w:rsidRDefault="0091675D" w:rsidP="0091675D">
            <w:pPr>
              <w:jc w:val="center"/>
              <w:rPr>
                <w:rFonts w:ascii="Calibri" w:hAnsi="Calibri"/>
                <w:color w:val="auto"/>
                <w:szCs w:val="21"/>
              </w:rPr>
            </w:pPr>
            <w:r w:rsidRPr="004A5BF5">
              <w:rPr>
                <w:rFonts w:ascii="Calibri" w:hAnsi="Calibri" w:hint="eastAsia"/>
                <w:color w:val="auto"/>
                <w:szCs w:val="21"/>
              </w:rPr>
              <w:t>外购，固体，袋装</w:t>
            </w:r>
          </w:p>
        </w:tc>
      </w:tr>
      <w:tr w:rsidR="0091675D" w:rsidRPr="007419A4" w14:paraId="0DBC6B74" w14:textId="77777777" w:rsidTr="000953CC">
        <w:trPr>
          <w:trHeight w:val="340"/>
        </w:trPr>
        <w:tc>
          <w:tcPr>
            <w:tcW w:w="560" w:type="dxa"/>
            <w:tcBorders>
              <w:right w:val="single" w:sz="4" w:space="0" w:color="auto"/>
            </w:tcBorders>
            <w:shd w:val="clear" w:color="auto" w:fill="auto"/>
            <w:vAlign w:val="center"/>
          </w:tcPr>
          <w:p w14:paraId="1C42CCDD"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5</w:t>
            </w:r>
          </w:p>
        </w:tc>
        <w:tc>
          <w:tcPr>
            <w:tcW w:w="1126" w:type="dxa"/>
            <w:vMerge w:val="restart"/>
            <w:tcBorders>
              <w:left w:val="single" w:sz="4" w:space="0" w:color="auto"/>
            </w:tcBorders>
            <w:shd w:val="clear" w:color="auto" w:fill="auto"/>
            <w:vAlign w:val="center"/>
          </w:tcPr>
          <w:p w14:paraId="49BA05F6" w14:textId="77777777" w:rsidR="0091675D" w:rsidRPr="004A5BF5" w:rsidRDefault="0091675D" w:rsidP="0091675D">
            <w:pPr>
              <w:rPr>
                <w:rFonts w:ascii="Calibri" w:hAnsi="Calibri"/>
                <w:color w:val="auto"/>
                <w:szCs w:val="21"/>
              </w:rPr>
            </w:pPr>
            <w:r w:rsidRPr="004A5BF5">
              <w:rPr>
                <w:rFonts w:ascii="Calibri" w:hAnsi="Calibri" w:hint="eastAsia"/>
                <w:color w:val="auto"/>
                <w:szCs w:val="21"/>
              </w:rPr>
              <w:t>能源消耗</w:t>
            </w:r>
          </w:p>
        </w:tc>
        <w:tc>
          <w:tcPr>
            <w:tcW w:w="1843" w:type="dxa"/>
            <w:shd w:val="clear" w:color="auto" w:fill="auto"/>
            <w:vAlign w:val="center"/>
          </w:tcPr>
          <w:p w14:paraId="008399BE"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天然气</w:t>
            </w:r>
          </w:p>
        </w:tc>
        <w:tc>
          <w:tcPr>
            <w:tcW w:w="1527" w:type="dxa"/>
            <w:vAlign w:val="center"/>
          </w:tcPr>
          <w:p w14:paraId="53ADCCAA" w14:textId="77777777" w:rsidR="0091675D" w:rsidRPr="00F2530A" w:rsidRDefault="0091675D" w:rsidP="0091675D">
            <w:pPr>
              <w:jc w:val="center"/>
              <w:rPr>
                <w:rFonts w:ascii="Calibri" w:hAnsi="Calibri"/>
                <w:color w:val="auto"/>
                <w:szCs w:val="21"/>
              </w:rPr>
            </w:pPr>
            <w:r>
              <w:rPr>
                <w:rFonts w:ascii="Calibri" w:hAnsi="Calibri"/>
                <w:color w:val="auto"/>
                <w:szCs w:val="21"/>
              </w:rPr>
              <w:t>62.9</w:t>
            </w:r>
            <w:r>
              <w:rPr>
                <w:rFonts w:ascii="Calibri" w:hAnsi="Calibri" w:hint="eastAsia"/>
                <w:color w:val="auto"/>
                <w:szCs w:val="21"/>
              </w:rPr>
              <w:t>万</w:t>
            </w:r>
            <w:r>
              <w:rPr>
                <w:rFonts w:ascii="Calibri" w:hAnsi="Calibri"/>
                <w:color w:val="auto"/>
                <w:szCs w:val="21"/>
              </w:rPr>
              <w:t>m</w:t>
            </w:r>
            <w:r w:rsidRPr="00F2530A">
              <w:rPr>
                <w:rFonts w:ascii="Calibri" w:hAnsi="Calibri"/>
                <w:color w:val="auto"/>
                <w:szCs w:val="21"/>
                <w:vertAlign w:val="superscript"/>
              </w:rPr>
              <w:t>3</w:t>
            </w:r>
            <w:r>
              <w:rPr>
                <w:rFonts w:ascii="Calibri" w:hAnsi="Calibri"/>
                <w:color w:val="auto"/>
                <w:szCs w:val="21"/>
              </w:rPr>
              <w:t>/a</w:t>
            </w:r>
          </w:p>
        </w:tc>
        <w:tc>
          <w:tcPr>
            <w:tcW w:w="1244" w:type="dxa"/>
            <w:vAlign w:val="center"/>
          </w:tcPr>
          <w:p w14:paraId="4D9169E7"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w:t>
            </w:r>
          </w:p>
        </w:tc>
        <w:tc>
          <w:tcPr>
            <w:tcW w:w="915" w:type="dxa"/>
            <w:vAlign w:val="center"/>
          </w:tcPr>
          <w:p w14:paraId="5E98A78C"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w:t>
            </w:r>
          </w:p>
        </w:tc>
        <w:tc>
          <w:tcPr>
            <w:tcW w:w="1485" w:type="dxa"/>
            <w:vAlign w:val="center"/>
          </w:tcPr>
          <w:p w14:paraId="21607D87"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接集聚区天然气</w:t>
            </w:r>
            <w:r>
              <w:rPr>
                <w:rFonts w:ascii="Calibri" w:hAnsi="Calibri"/>
                <w:color w:val="auto"/>
                <w:szCs w:val="21"/>
              </w:rPr>
              <w:t>管道</w:t>
            </w:r>
          </w:p>
        </w:tc>
      </w:tr>
      <w:tr w:rsidR="0091675D" w:rsidRPr="007419A4" w14:paraId="5419CD4A" w14:textId="77777777" w:rsidTr="000953CC">
        <w:trPr>
          <w:trHeight w:val="340"/>
        </w:trPr>
        <w:tc>
          <w:tcPr>
            <w:tcW w:w="560" w:type="dxa"/>
            <w:tcBorders>
              <w:right w:val="single" w:sz="4" w:space="0" w:color="auto"/>
            </w:tcBorders>
            <w:shd w:val="clear" w:color="auto" w:fill="auto"/>
            <w:vAlign w:val="center"/>
          </w:tcPr>
          <w:p w14:paraId="1072F897" w14:textId="77777777" w:rsidR="0091675D" w:rsidRPr="004A5BF5" w:rsidRDefault="0091675D" w:rsidP="0091675D">
            <w:pPr>
              <w:jc w:val="center"/>
              <w:rPr>
                <w:rFonts w:ascii="Calibri" w:hAnsi="Calibri"/>
                <w:color w:val="auto"/>
                <w:szCs w:val="21"/>
              </w:rPr>
            </w:pPr>
            <w:r>
              <w:rPr>
                <w:rFonts w:ascii="Calibri" w:hAnsi="Calibri"/>
                <w:color w:val="auto"/>
                <w:szCs w:val="21"/>
              </w:rPr>
              <w:t>6</w:t>
            </w:r>
          </w:p>
        </w:tc>
        <w:tc>
          <w:tcPr>
            <w:tcW w:w="1126" w:type="dxa"/>
            <w:vMerge/>
            <w:tcBorders>
              <w:left w:val="single" w:sz="4" w:space="0" w:color="auto"/>
            </w:tcBorders>
            <w:shd w:val="clear" w:color="auto" w:fill="auto"/>
            <w:vAlign w:val="center"/>
          </w:tcPr>
          <w:p w14:paraId="25B77C38" w14:textId="77777777" w:rsidR="0091675D" w:rsidRPr="004A5BF5" w:rsidRDefault="0091675D" w:rsidP="0091675D">
            <w:pPr>
              <w:ind w:firstLineChars="200" w:firstLine="420"/>
              <w:jc w:val="center"/>
              <w:rPr>
                <w:rFonts w:ascii="Calibri" w:hAnsi="Calibri"/>
                <w:color w:val="auto"/>
                <w:szCs w:val="21"/>
              </w:rPr>
            </w:pPr>
          </w:p>
        </w:tc>
        <w:tc>
          <w:tcPr>
            <w:tcW w:w="1843" w:type="dxa"/>
            <w:shd w:val="clear" w:color="auto" w:fill="auto"/>
            <w:vAlign w:val="center"/>
          </w:tcPr>
          <w:p w14:paraId="0B252F23" w14:textId="77777777" w:rsidR="0091675D" w:rsidRPr="004A5BF5" w:rsidRDefault="0091675D" w:rsidP="0091675D">
            <w:pPr>
              <w:jc w:val="center"/>
              <w:rPr>
                <w:rFonts w:ascii="Calibri" w:hAnsi="Calibri"/>
                <w:color w:val="auto"/>
                <w:szCs w:val="21"/>
              </w:rPr>
            </w:pPr>
            <w:r w:rsidRPr="004A5BF5">
              <w:rPr>
                <w:rFonts w:ascii="Calibri" w:hAnsi="Calibri" w:hint="eastAsia"/>
                <w:color w:val="auto"/>
                <w:szCs w:val="21"/>
              </w:rPr>
              <w:t>电</w:t>
            </w:r>
          </w:p>
        </w:tc>
        <w:tc>
          <w:tcPr>
            <w:tcW w:w="1527" w:type="dxa"/>
            <w:vAlign w:val="center"/>
          </w:tcPr>
          <w:p w14:paraId="2C8E0D6F" w14:textId="77777777" w:rsidR="0091675D" w:rsidRPr="004A5BF5" w:rsidRDefault="0091675D" w:rsidP="0091675D">
            <w:pPr>
              <w:jc w:val="center"/>
              <w:rPr>
                <w:rFonts w:ascii="Calibri" w:hAnsi="Calibri"/>
                <w:color w:val="auto"/>
                <w:szCs w:val="21"/>
              </w:rPr>
            </w:pPr>
            <w:r>
              <w:rPr>
                <w:rFonts w:ascii="Calibri" w:hAnsi="Calibri"/>
                <w:color w:val="auto"/>
                <w:szCs w:val="21"/>
              </w:rPr>
              <w:t>433.1</w:t>
            </w:r>
            <w:r w:rsidRPr="004A5BF5">
              <w:rPr>
                <w:rFonts w:ascii="Calibri" w:hAnsi="Calibri" w:hint="eastAsia"/>
                <w:color w:val="auto"/>
                <w:szCs w:val="21"/>
              </w:rPr>
              <w:t>万</w:t>
            </w:r>
            <w:r w:rsidRPr="004A5BF5">
              <w:rPr>
                <w:rFonts w:ascii="Calibri" w:hAnsi="Calibri" w:hint="eastAsia"/>
                <w:color w:val="auto"/>
                <w:szCs w:val="21"/>
              </w:rPr>
              <w:t>KWh</w:t>
            </w:r>
            <w:r>
              <w:rPr>
                <w:rFonts w:ascii="Calibri" w:hAnsi="Calibri"/>
                <w:color w:val="auto"/>
                <w:szCs w:val="21"/>
              </w:rPr>
              <w:t>/a</w:t>
            </w:r>
          </w:p>
        </w:tc>
        <w:tc>
          <w:tcPr>
            <w:tcW w:w="1244" w:type="dxa"/>
            <w:vAlign w:val="center"/>
          </w:tcPr>
          <w:p w14:paraId="60A62C3F"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w:t>
            </w:r>
          </w:p>
        </w:tc>
        <w:tc>
          <w:tcPr>
            <w:tcW w:w="915" w:type="dxa"/>
            <w:vAlign w:val="center"/>
          </w:tcPr>
          <w:p w14:paraId="61FC4D51"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w:t>
            </w:r>
          </w:p>
        </w:tc>
        <w:tc>
          <w:tcPr>
            <w:tcW w:w="1485" w:type="dxa"/>
            <w:vAlign w:val="center"/>
          </w:tcPr>
          <w:p w14:paraId="272F13DD"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接集聚区</w:t>
            </w:r>
            <w:r w:rsidRPr="004A5BF5">
              <w:rPr>
                <w:rFonts w:ascii="Calibri" w:hAnsi="Calibri" w:hint="eastAsia"/>
                <w:color w:val="auto"/>
                <w:szCs w:val="21"/>
              </w:rPr>
              <w:t>电网</w:t>
            </w:r>
          </w:p>
        </w:tc>
      </w:tr>
      <w:tr w:rsidR="0091675D" w:rsidRPr="007419A4" w14:paraId="29022077" w14:textId="77777777" w:rsidTr="000953CC">
        <w:trPr>
          <w:trHeight w:val="340"/>
        </w:trPr>
        <w:tc>
          <w:tcPr>
            <w:tcW w:w="560" w:type="dxa"/>
            <w:tcBorders>
              <w:right w:val="single" w:sz="4" w:space="0" w:color="auto"/>
            </w:tcBorders>
            <w:shd w:val="clear" w:color="auto" w:fill="auto"/>
            <w:vAlign w:val="center"/>
          </w:tcPr>
          <w:p w14:paraId="7CE57F13"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7</w:t>
            </w:r>
          </w:p>
        </w:tc>
        <w:tc>
          <w:tcPr>
            <w:tcW w:w="1126" w:type="dxa"/>
            <w:vMerge/>
            <w:tcBorders>
              <w:left w:val="single" w:sz="4" w:space="0" w:color="auto"/>
            </w:tcBorders>
            <w:shd w:val="clear" w:color="auto" w:fill="auto"/>
            <w:vAlign w:val="center"/>
          </w:tcPr>
          <w:p w14:paraId="0B48EB06" w14:textId="77777777" w:rsidR="0091675D" w:rsidRPr="004A5BF5" w:rsidRDefault="0091675D" w:rsidP="0091675D">
            <w:pPr>
              <w:ind w:firstLineChars="200" w:firstLine="420"/>
              <w:jc w:val="center"/>
              <w:rPr>
                <w:rFonts w:ascii="Calibri" w:hAnsi="Calibri"/>
                <w:color w:val="auto"/>
                <w:szCs w:val="21"/>
              </w:rPr>
            </w:pPr>
          </w:p>
        </w:tc>
        <w:tc>
          <w:tcPr>
            <w:tcW w:w="1843" w:type="dxa"/>
            <w:shd w:val="clear" w:color="auto" w:fill="auto"/>
            <w:vAlign w:val="center"/>
          </w:tcPr>
          <w:p w14:paraId="076D070C" w14:textId="77777777" w:rsidR="0091675D" w:rsidRPr="004A5BF5" w:rsidRDefault="0091675D" w:rsidP="0091675D">
            <w:pPr>
              <w:jc w:val="center"/>
              <w:rPr>
                <w:rFonts w:ascii="Calibri" w:hAnsi="Calibri"/>
                <w:color w:val="auto"/>
                <w:szCs w:val="21"/>
              </w:rPr>
            </w:pPr>
            <w:r w:rsidRPr="004A5BF5">
              <w:rPr>
                <w:rFonts w:ascii="Calibri" w:hAnsi="Calibri" w:hint="eastAsia"/>
                <w:color w:val="auto"/>
                <w:szCs w:val="21"/>
              </w:rPr>
              <w:t>水</w:t>
            </w:r>
          </w:p>
        </w:tc>
        <w:tc>
          <w:tcPr>
            <w:tcW w:w="1527" w:type="dxa"/>
            <w:vAlign w:val="center"/>
          </w:tcPr>
          <w:p w14:paraId="7CB3FDDF" w14:textId="77777777" w:rsidR="0091675D" w:rsidRPr="004A5BF5" w:rsidRDefault="0091675D" w:rsidP="0091675D">
            <w:pPr>
              <w:jc w:val="center"/>
              <w:rPr>
                <w:rFonts w:ascii="Calibri" w:hAnsi="Calibri"/>
                <w:color w:val="auto"/>
                <w:szCs w:val="21"/>
              </w:rPr>
            </w:pPr>
            <w:r>
              <w:rPr>
                <w:rFonts w:ascii="Calibri" w:hAnsi="Calibri"/>
                <w:color w:val="auto"/>
                <w:szCs w:val="21"/>
              </w:rPr>
              <w:t>3.53</w:t>
            </w:r>
            <w:r>
              <w:rPr>
                <w:rFonts w:ascii="Calibri" w:hAnsi="Calibri" w:hint="eastAsia"/>
                <w:color w:val="auto"/>
                <w:szCs w:val="21"/>
              </w:rPr>
              <w:t>万</w:t>
            </w:r>
            <w:r>
              <w:rPr>
                <w:rFonts w:ascii="Calibri" w:hAnsi="Calibri"/>
                <w:color w:val="auto"/>
                <w:szCs w:val="21"/>
              </w:rPr>
              <w:t>m</w:t>
            </w:r>
            <w:r w:rsidRPr="00F2530A">
              <w:rPr>
                <w:rFonts w:ascii="Calibri" w:hAnsi="Calibri"/>
                <w:color w:val="auto"/>
                <w:szCs w:val="21"/>
                <w:vertAlign w:val="superscript"/>
              </w:rPr>
              <w:t>3</w:t>
            </w:r>
            <w:r>
              <w:rPr>
                <w:rFonts w:ascii="Calibri" w:hAnsi="Calibri"/>
                <w:color w:val="auto"/>
                <w:szCs w:val="21"/>
              </w:rPr>
              <w:t>/a</w:t>
            </w:r>
          </w:p>
        </w:tc>
        <w:tc>
          <w:tcPr>
            <w:tcW w:w="1244" w:type="dxa"/>
            <w:vAlign w:val="center"/>
          </w:tcPr>
          <w:p w14:paraId="201F3BCA"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w:t>
            </w:r>
          </w:p>
        </w:tc>
        <w:tc>
          <w:tcPr>
            <w:tcW w:w="915" w:type="dxa"/>
            <w:vAlign w:val="center"/>
          </w:tcPr>
          <w:p w14:paraId="69457DE3"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w:t>
            </w:r>
          </w:p>
        </w:tc>
        <w:tc>
          <w:tcPr>
            <w:tcW w:w="1485" w:type="dxa"/>
            <w:vAlign w:val="center"/>
          </w:tcPr>
          <w:p w14:paraId="29FB4E93" w14:textId="77777777" w:rsidR="0091675D" w:rsidRPr="004A5BF5" w:rsidRDefault="0091675D" w:rsidP="0091675D">
            <w:pPr>
              <w:jc w:val="center"/>
              <w:rPr>
                <w:rFonts w:ascii="Calibri" w:hAnsi="Calibri"/>
                <w:color w:val="auto"/>
                <w:szCs w:val="21"/>
              </w:rPr>
            </w:pPr>
            <w:r>
              <w:rPr>
                <w:rFonts w:ascii="Calibri" w:hAnsi="Calibri" w:hint="eastAsia"/>
                <w:color w:val="auto"/>
                <w:szCs w:val="21"/>
              </w:rPr>
              <w:t>接集聚区</w:t>
            </w:r>
            <w:r>
              <w:rPr>
                <w:rFonts w:ascii="Calibri" w:hAnsi="Calibri"/>
                <w:color w:val="auto"/>
                <w:szCs w:val="21"/>
              </w:rPr>
              <w:t>官网</w:t>
            </w:r>
          </w:p>
        </w:tc>
      </w:tr>
      <w:tr w:rsidR="0091675D" w:rsidRPr="007419A4" w14:paraId="24FEF3CB" w14:textId="77777777" w:rsidTr="00F430A4">
        <w:trPr>
          <w:trHeight w:val="340"/>
        </w:trPr>
        <w:tc>
          <w:tcPr>
            <w:tcW w:w="8700" w:type="dxa"/>
            <w:gridSpan w:val="7"/>
            <w:shd w:val="clear" w:color="auto" w:fill="auto"/>
            <w:vAlign w:val="center"/>
          </w:tcPr>
          <w:p w14:paraId="51A43E82" w14:textId="77777777" w:rsidR="0091675D" w:rsidRDefault="0091675D" w:rsidP="0091675D">
            <w:pPr>
              <w:jc w:val="center"/>
              <w:rPr>
                <w:rFonts w:ascii="Calibri" w:hAnsi="Calibri"/>
                <w:color w:val="auto"/>
                <w:szCs w:val="21"/>
              </w:rPr>
            </w:pPr>
            <w:r>
              <w:rPr>
                <w:rFonts w:ascii="Calibri" w:hAnsi="Calibri" w:hint="eastAsia"/>
                <w:color w:val="auto"/>
                <w:szCs w:val="21"/>
              </w:rPr>
              <w:t>一期</w:t>
            </w:r>
            <w:r>
              <w:rPr>
                <w:rFonts w:ascii="Calibri" w:hAnsi="Calibri"/>
                <w:color w:val="auto"/>
                <w:szCs w:val="21"/>
              </w:rPr>
              <w:t>、</w:t>
            </w:r>
            <w:r>
              <w:rPr>
                <w:rFonts w:ascii="Calibri" w:hAnsi="Calibri" w:hint="eastAsia"/>
                <w:color w:val="auto"/>
                <w:szCs w:val="21"/>
              </w:rPr>
              <w:t>二期</w:t>
            </w:r>
            <w:r>
              <w:rPr>
                <w:rFonts w:ascii="Calibri" w:hAnsi="Calibri"/>
                <w:color w:val="auto"/>
                <w:szCs w:val="21"/>
              </w:rPr>
              <w:t>工程</w:t>
            </w:r>
          </w:p>
        </w:tc>
      </w:tr>
      <w:tr w:rsidR="00CE7A1F" w:rsidRPr="007419A4" w14:paraId="44A09DEB" w14:textId="77777777" w:rsidTr="00DD2AE9">
        <w:trPr>
          <w:trHeight w:val="340"/>
        </w:trPr>
        <w:tc>
          <w:tcPr>
            <w:tcW w:w="560" w:type="dxa"/>
            <w:tcBorders>
              <w:bottom w:val="single" w:sz="4" w:space="0" w:color="auto"/>
              <w:right w:val="single" w:sz="4" w:space="0" w:color="auto"/>
            </w:tcBorders>
            <w:shd w:val="clear" w:color="auto" w:fill="auto"/>
            <w:vAlign w:val="center"/>
          </w:tcPr>
          <w:p w14:paraId="63DB822B" w14:textId="77777777" w:rsidR="00CE7A1F" w:rsidRDefault="00CE7A1F" w:rsidP="00031A77">
            <w:pPr>
              <w:jc w:val="center"/>
              <w:rPr>
                <w:rFonts w:ascii="Calibri" w:hAnsi="Calibri"/>
                <w:color w:val="auto"/>
                <w:szCs w:val="21"/>
              </w:rPr>
            </w:pPr>
            <w:r>
              <w:rPr>
                <w:rFonts w:ascii="Calibri" w:hAnsi="Calibri" w:hint="eastAsia"/>
                <w:color w:val="auto"/>
                <w:szCs w:val="21"/>
              </w:rPr>
              <w:t>1</w:t>
            </w:r>
          </w:p>
        </w:tc>
        <w:tc>
          <w:tcPr>
            <w:tcW w:w="1126" w:type="dxa"/>
            <w:vMerge w:val="restart"/>
            <w:tcBorders>
              <w:left w:val="single" w:sz="4" w:space="0" w:color="auto"/>
            </w:tcBorders>
            <w:shd w:val="clear" w:color="auto" w:fill="auto"/>
            <w:vAlign w:val="center"/>
          </w:tcPr>
          <w:p w14:paraId="771D9A23" w14:textId="77777777" w:rsidR="00CE7A1F" w:rsidRPr="004A5BF5" w:rsidRDefault="00CE7A1F" w:rsidP="00031A77">
            <w:pPr>
              <w:rPr>
                <w:rFonts w:ascii="Calibri" w:hAnsi="Calibri"/>
                <w:color w:val="auto"/>
                <w:szCs w:val="21"/>
              </w:rPr>
            </w:pPr>
            <w:r w:rsidRPr="004A5BF5">
              <w:rPr>
                <w:rFonts w:ascii="Calibri" w:hAnsi="Calibri" w:hint="eastAsia"/>
                <w:color w:val="auto"/>
                <w:szCs w:val="21"/>
              </w:rPr>
              <w:t>主要原料</w:t>
            </w:r>
          </w:p>
        </w:tc>
        <w:tc>
          <w:tcPr>
            <w:tcW w:w="1843" w:type="dxa"/>
            <w:tcBorders>
              <w:bottom w:val="single" w:sz="4" w:space="0" w:color="auto"/>
            </w:tcBorders>
            <w:shd w:val="clear" w:color="auto" w:fill="auto"/>
            <w:vAlign w:val="center"/>
          </w:tcPr>
          <w:p w14:paraId="45AF2DD8" w14:textId="77777777" w:rsidR="00CE7A1F" w:rsidRPr="004A5BF5" w:rsidRDefault="00CE7A1F" w:rsidP="00031A77">
            <w:pPr>
              <w:rPr>
                <w:rFonts w:ascii="Calibri" w:hAnsi="Calibri"/>
                <w:color w:val="auto"/>
                <w:szCs w:val="21"/>
              </w:rPr>
            </w:pPr>
            <w:r w:rsidRPr="004A5BF5">
              <w:rPr>
                <w:rFonts w:ascii="Calibri" w:hAnsi="Calibri" w:hint="eastAsia"/>
                <w:color w:val="auto"/>
                <w:szCs w:val="21"/>
              </w:rPr>
              <w:t>尼龙</w:t>
            </w:r>
            <w:r w:rsidRPr="004A5BF5">
              <w:rPr>
                <w:rFonts w:ascii="Calibri" w:hAnsi="Calibri" w:hint="eastAsia"/>
                <w:color w:val="auto"/>
                <w:szCs w:val="21"/>
              </w:rPr>
              <w:t>66</w:t>
            </w:r>
            <w:r w:rsidRPr="004A5BF5">
              <w:rPr>
                <w:rFonts w:ascii="Calibri" w:hAnsi="Calibri" w:hint="eastAsia"/>
                <w:color w:val="auto"/>
                <w:szCs w:val="21"/>
              </w:rPr>
              <w:t>盐（液体）</w:t>
            </w:r>
          </w:p>
        </w:tc>
        <w:tc>
          <w:tcPr>
            <w:tcW w:w="1527" w:type="dxa"/>
            <w:vAlign w:val="center"/>
          </w:tcPr>
          <w:p w14:paraId="6C7E9E7E" w14:textId="77777777" w:rsidR="00CE7A1F" w:rsidRDefault="00CE7A1F" w:rsidP="00031A77">
            <w:pPr>
              <w:jc w:val="center"/>
              <w:rPr>
                <w:rFonts w:ascii="Calibri" w:hAnsi="Calibri"/>
                <w:color w:val="auto"/>
                <w:szCs w:val="21"/>
              </w:rPr>
            </w:pPr>
            <w:r>
              <w:rPr>
                <w:rFonts w:ascii="Calibri" w:hAnsi="Calibri"/>
                <w:color w:val="auto"/>
                <w:szCs w:val="21"/>
              </w:rPr>
              <w:t>3840t</w:t>
            </w:r>
            <w:r>
              <w:rPr>
                <w:rFonts w:ascii="Calibri" w:hAnsi="Calibri" w:hint="eastAsia"/>
                <w:color w:val="auto"/>
                <w:szCs w:val="21"/>
              </w:rPr>
              <w:t>/a</w:t>
            </w:r>
          </w:p>
        </w:tc>
        <w:tc>
          <w:tcPr>
            <w:tcW w:w="1244" w:type="dxa"/>
            <w:vAlign w:val="center"/>
          </w:tcPr>
          <w:p w14:paraId="50933E9C" w14:textId="77777777" w:rsidR="00CE7A1F" w:rsidRDefault="00CE7A1F" w:rsidP="00031A77">
            <w:pPr>
              <w:jc w:val="center"/>
              <w:rPr>
                <w:rFonts w:ascii="Calibri" w:hAnsi="Calibri"/>
                <w:color w:val="auto"/>
                <w:szCs w:val="21"/>
              </w:rPr>
            </w:pPr>
            <w:r>
              <w:rPr>
                <w:rFonts w:ascii="Calibri" w:hAnsi="Calibri"/>
                <w:color w:val="auto"/>
                <w:szCs w:val="21"/>
              </w:rPr>
              <w:t>580</w:t>
            </w:r>
            <w:r w:rsidRPr="004A5BF5">
              <w:rPr>
                <w:rFonts w:ascii="Calibri" w:hAnsi="Calibri" w:hint="eastAsia"/>
                <w:color w:val="auto"/>
                <w:szCs w:val="21"/>
              </w:rPr>
              <w:t>t</w:t>
            </w:r>
          </w:p>
        </w:tc>
        <w:tc>
          <w:tcPr>
            <w:tcW w:w="915" w:type="dxa"/>
            <w:vAlign w:val="center"/>
          </w:tcPr>
          <w:p w14:paraId="3BD5C3CF" w14:textId="77777777" w:rsidR="00CE7A1F" w:rsidRPr="004A5BF5" w:rsidRDefault="00CE7A1F" w:rsidP="00031A77">
            <w:pPr>
              <w:jc w:val="center"/>
              <w:rPr>
                <w:rFonts w:ascii="Calibri" w:hAnsi="Calibri"/>
                <w:color w:val="auto"/>
                <w:szCs w:val="21"/>
              </w:rPr>
            </w:pPr>
            <w:r>
              <w:rPr>
                <w:rFonts w:ascii="Calibri" w:hAnsi="Calibri"/>
                <w:color w:val="auto"/>
                <w:szCs w:val="21"/>
              </w:rPr>
              <w:t>45d</w:t>
            </w:r>
          </w:p>
        </w:tc>
        <w:tc>
          <w:tcPr>
            <w:tcW w:w="1485" w:type="dxa"/>
            <w:vAlign w:val="center"/>
          </w:tcPr>
          <w:p w14:paraId="12C5AD93" w14:textId="77777777" w:rsidR="00CE7A1F" w:rsidRPr="004A5BF5" w:rsidRDefault="00CE7A1F" w:rsidP="00031A77">
            <w:pPr>
              <w:jc w:val="center"/>
              <w:rPr>
                <w:rFonts w:ascii="Calibri" w:hAnsi="Calibri"/>
                <w:color w:val="auto"/>
                <w:szCs w:val="21"/>
              </w:rPr>
            </w:pPr>
            <w:r w:rsidRPr="004A5BF5">
              <w:rPr>
                <w:rFonts w:ascii="Calibri" w:hAnsi="Calibri" w:hint="eastAsia"/>
                <w:color w:val="auto"/>
                <w:szCs w:val="21"/>
              </w:rPr>
              <w:t>外购，液体浓度</w:t>
            </w:r>
            <w:r w:rsidRPr="004A5BF5">
              <w:rPr>
                <w:rFonts w:ascii="Calibri" w:hAnsi="Calibri" w:hint="eastAsia"/>
                <w:color w:val="auto"/>
                <w:szCs w:val="21"/>
              </w:rPr>
              <w:t>50%</w:t>
            </w:r>
            <w:r w:rsidRPr="004A5BF5">
              <w:rPr>
                <w:rFonts w:ascii="Calibri" w:hAnsi="Calibri" w:hint="eastAsia"/>
                <w:color w:val="auto"/>
                <w:szCs w:val="21"/>
              </w:rPr>
              <w:t>，桶装；</w:t>
            </w:r>
            <w:r w:rsidRPr="004A5BF5">
              <w:rPr>
                <w:rFonts w:ascii="Calibri" w:hAnsi="Calibri"/>
                <w:color w:val="auto"/>
                <w:szCs w:val="21"/>
              </w:rPr>
              <w:t xml:space="preserve"> </w:t>
            </w:r>
          </w:p>
        </w:tc>
      </w:tr>
      <w:tr w:rsidR="00CE7A1F" w:rsidRPr="007419A4" w14:paraId="7CA6E5D5" w14:textId="77777777" w:rsidTr="000953CC">
        <w:trPr>
          <w:trHeight w:val="340"/>
        </w:trPr>
        <w:tc>
          <w:tcPr>
            <w:tcW w:w="560" w:type="dxa"/>
            <w:tcBorders>
              <w:right w:val="single" w:sz="4" w:space="0" w:color="auto"/>
            </w:tcBorders>
            <w:shd w:val="clear" w:color="auto" w:fill="auto"/>
            <w:vAlign w:val="center"/>
          </w:tcPr>
          <w:p w14:paraId="60D71F14" w14:textId="77777777" w:rsidR="00CE7A1F" w:rsidRDefault="00CE7A1F" w:rsidP="00031A77">
            <w:pPr>
              <w:jc w:val="center"/>
              <w:rPr>
                <w:rFonts w:ascii="Calibri" w:hAnsi="Calibri"/>
                <w:color w:val="auto"/>
                <w:szCs w:val="21"/>
              </w:rPr>
            </w:pPr>
            <w:r>
              <w:rPr>
                <w:rFonts w:ascii="Calibri" w:hAnsi="Calibri" w:hint="eastAsia"/>
                <w:color w:val="auto"/>
                <w:szCs w:val="21"/>
              </w:rPr>
              <w:t>2</w:t>
            </w:r>
          </w:p>
        </w:tc>
        <w:tc>
          <w:tcPr>
            <w:tcW w:w="1126" w:type="dxa"/>
            <w:vMerge/>
            <w:tcBorders>
              <w:left w:val="single" w:sz="4" w:space="0" w:color="auto"/>
            </w:tcBorders>
            <w:shd w:val="clear" w:color="auto" w:fill="auto"/>
            <w:vAlign w:val="center"/>
          </w:tcPr>
          <w:p w14:paraId="37D032E2" w14:textId="77777777" w:rsidR="00CE7A1F" w:rsidRPr="004A5BF5" w:rsidRDefault="00CE7A1F" w:rsidP="00031A77">
            <w:pPr>
              <w:rPr>
                <w:rFonts w:ascii="Calibri" w:hAnsi="Calibri"/>
                <w:color w:val="auto"/>
                <w:szCs w:val="21"/>
              </w:rPr>
            </w:pPr>
          </w:p>
        </w:tc>
        <w:tc>
          <w:tcPr>
            <w:tcW w:w="1843" w:type="dxa"/>
            <w:shd w:val="clear" w:color="auto" w:fill="auto"/>
            <w:vAlign w:val="center"/>
          </w:tcPr>
          <w:p w14:paraId="493CE22A" w14:textId="77777777" w:rsidR="00CE7A1F" w:rsidRPr="004A5BF5" w:rsidRDefault="00CE7A1F" w:rsidP="00031A77">
            <w:pPr>
              <w:jc w:val="center"/>
              <w:rPr>
                <w:rFonts w:ascii="Calibri" w:hAnsi="Calibri"/>
                <w:color w:val="auto"/>
                <w:szCs w:val="21"/>
              </w:rPr>
            </w:pPr>
            <w:r w:rsidRPr="004A5BF5">
              <w:rPr>
                <w:rFonts w:ascii="Calibri" w:hAnsi="Calibri" w:hint="eastAsia"/>
                <w:color w:val="auto"/>
                <w:szCs w:val="21"/>
              </w:rPr>
              <w:t>尼龙</w:t>
            </w:r>
            <w:r w:rsidRPr="004A5BF5">
              <w:rPr>
                <w:rFonts w:ascii="Calibri" w:hAnsi="Calibri" w:hint="eastAsia"/>
                <w:color w:val="auto"/>
                <w:szCs w:val="21"/>
              </w:rPr>
              <w:t>1010</w:t>
            </w:r>
            <w:r w:rsidRPr="004A5BF5">
              <w:rPr>
                <w:rFonts w:ascii="Calibri" w:hAnsi="Calibri" w:hint="eastAsia"/>
                <w:color w:val="auto"/>
                <w:szCs w:val="21"/>
              </w:rPr>
              <w:t>盐</w:t>
            </w:r>
          </w:p>
        </w:tc>
        <w:tc>
          <w:tcPr>
            <w:tcW w:w="1527" w:type="dxa"/>
            <w:vAlign w:val="center"/>
          </w:tcPr>
          <w:p w14:paraId="3FBD4BD6" w14:textId="77777777" w:rsidR="00CE7A1F" w:rsidRDefault="00CE7A1F" w:rsidP="00031A77">
            <w:pPr>
              <w:jc w:val="center"/>
              <w:rPr>
                <w:rFonts w:ascii="Calibri" w:hAnsi="Calibri"/>
                <w:color w:val="auto"/>
                <w:szCs w:val="21"/>
              </w:rPr>
            </w:pPr>
            <w:r>
              <w:rPr>
                <w:rFonts w:ascii="Calibri" w:hAnsi="Calibri"/>
                <w:color w:val="auto"/>
                <w:szCs w:val="21"/>
              </w:rPr>
              <w:t>480t</w:t>
            </w:r>
            <w:r>
              <w:rPr>
                <w:rFonts w:ascii="Calibri" w:hAnsi="Calibri" w:hint="eastAsia"/>
                <w:color w:val="auto"/>
                <w:szCs w:val="21"/>
              </w:rPr>
              <w:t>/a</w:t>
            </w:r>
          </w:p>
        </w:tc>
        <w:tc>
          <w:tcPr>
            <w:tcW w:w="1244" w:type="dxa"/>
            <w:vAlign w:val="center"/>
          </w:tcPr>
          <w:p w14:paraId="5C131DC4" w14:textId="77777777" w:rsidR="00CE7A1F" w:rsidRDefault="00CE7A1F" w:rsidP="00031A77">
            <w:pPr>
              <w:jc w:val="center"/>
              <w:rPr>
                <w:rFonts w:ascii="Calibri" w:hAnsi="Calibri"/>
                <w:color w:val="auto"/>
                <w:szCs w:val="21"/>
              </w:rPr>
            </w:pPr>
            <w:r>
              <w:rPr>
                <w:rFonts w:ascii="Calibri" w:hAnsi="Calibri"/>
                <w:color w:val="auto"/>
                <w:szCs w:val="21"/>
              </w:rPr>
              <w:t>72</w:t>
            </w:r>
            <w:r w:rsidRPr="004A5BF5">
              <w:rPr>
                <w:rFonts w:ascii="Calibri" w:hAnsi="Calibri" w:hint="eastAsia"/>
                <w:color w:val="auto"/>
                <w:szCs w:val="21"/>
              </w:rPr>
              <w:t>t</w:t>
            </w:r>
          </w:p>
        </w:tc>
        <w:tc>
          <w:tcPr>
            <w:tcW w:w="915" w:type="dxa"/>
            <w:vAlign w:val="center"/>
          </w:tcPr>
          <w:p w14:paraId="6469DDEA" w14:textId="77777777" w:rsidR="00CE7A1F" w:rsidRPr="004A5BF5" w:rsidRDefault="00CE7A1F" w:rsidP="00031A77">
            <w:pPr>
              <w:jc w:val="center"/>
              <w:rPr>
                <w:rFonts w:ascii="Calibri" w:hAnsi="Calibri"/>
                <w:color w:val="auto"/>
                <w:szCs w:val="21"/>
              </w:rPr>
            </w:pPr>
            <w:r>
              <w:rPr>
                <w:rFonts w:ascii="Calibri" w:hAnsi="Calibri"/>
                <w:color w:val="auto"/>
                <w:szCs w:val="21"/>
              </w:rPr>
              <w:t>45d</w:t>
            </w:r>
          </w:p>
        </w:tc>
        <w:tc>
          <w:tcPr>
            <w:tcW w:w="1485" w:type="dxa"/>
            <w:vAlign w:val="center"/>
          </w:tcPr>
          <w:p w14:paraId="4C73418F" w14:textId="77777777" w:rsidR="00CE7A1F" w:rsidRPr="004A5BF5" w:rsidRDefault="00CE7A1F" w:rsidP="00031A77">
            <w:pPr>
              <w:jc w:val="center"/>
              <w:rPr>
                <w:rFonts w:ascii="Calibri" w:hAnsi="Calibri"/>
                <w:color w:val="auto"/>
                <w:szCs w:val="21"/>
              </w:rPr>
            </w:pPr>
            <w:r w:rsidRPr="004A5BF5">
              <w:rPr>
                <w:rFonts w:ascii="Calibri" w:hAnsi="Calibri" w:hint="eastAsia"/>
                <w:color w:val="auto"/>
                <w:szCs w:val="21"/>
              </w:rPr>
              <w:t>外购，固体袋装</w:t>
            </w:r>
          </w:p>
        </w:tc>
      </w:tr>
      <w:tr w:rsidR="00CE7A1F" w:rsidRPr="007419A4" w14:paraId="7959A8A2" w14:textId="77777777" w:rsidTr="00CE7A1F">
        <w:trPr>
          <w:trHeight w:val="340"/>
        </w:trPr>
        <w:tc>
          <w:tcPr>
            <w:tcW w:w="560" w:type="dxa"/>
            <w:tcBorders>
              <w:right w:val="single" w:sz="4" w:space="0" w:color="auto"/>
            </w:tcBorders>
            <w:shd w:val="clear" w:color="auto" w:fill="auto"/>
            <w:vAlign w:val="center"/>
          </w:tcPr>
          <w:p w14:paraId="29CC293F" w14:textId="77777777" w:rsidR="00CE7A1F" w:rsidRDefault="00CE7A1F" w:rsidP="00031A77">
            <w:pPr>
              <w:jc w:val="center"/>
              <w:rPr>
                <w:rFonts w:ascii="Calibri" w:hAnsi="Calibri"/>
                <w:color w:val="auto"/>
                <w:szCs w:val="21"/>
              </w:rPr>
            </w:pPr>
            <w:r>
              <w:rPr>
                <w:rFonts w:ascii="Calibri" w:hAnsi="Calibri" w:hint="eastAsia"/>
                <w:color w:val="auto"/>
                <w:szCs w:val="21"/>
              </w:rPr>
              <w:t>3</w:t>
            </w:r>
          </w:p>
        </w:tc>
        <w:tc>
          <w:tcPr>
            <w:tcW w:w="1126" w:type="dxa"/>
            <w:vMerge/>
            <w:tcBorders>
              <w:left w:val="single" w:sz="4" w:space="0" w:color="auto"/>
              <w:bottom w:val="single" w:sz="4" w:space="0" w:color="auto"/>
            </w:tcBorders>
            <w:shd w:val="clear" w:color="auto" w:fill="auto"/>
            <w:vAlign w:val="center"/>
          </w:tcPr>
          <w:p w14:paraId="18571BF3" w14:textId="77777777" w:rsidR="00CE7A1F" w:rsidRPr="004A5BF5" w:rsidRDefault="00CE7A1F" w:rsidP="00031A77">
            <w:pPr>
              <w:ind w:firstLineChars="200" w:firstLine="420"/>
              <w:jc w:val="center"/>
              <w:rPr>
                <w:rFonts w:ascii="Calibri" w:hAnsi="Calibri"/>
                <w:color w:val="auto"/>
                <w:szCs w:val="21"/>
              </w:rPr>
            </w:pPr>
          </w:p>
        </w:tc>
        <w:tc>
          <w:tcPr>
            <w:tcW w:w="1843" w:type="dxa"/>
            <w:shd w:val="clear" w:color="auto" w:fill="auto"/>
            <w:vAlign w:val="center"/>
          </w:tcPr>
          <w:p w14:paraId="60D7E662" w14:textId="77777777" w:rsidR="00CE7A1F" w:rsidRPr="004A5BF5" w:rsidRDefault="00CE7A1F" w:rsidP="00031A77">
            <w:pPr>
              <w:jc w:val="center"/>
              <w:rPr>
                <w:rFonts w:ascii="Calibri" w:hAnsi="Calibri"/>
                <w:color w:val="auto"/>
                <w:szCs w:val="21"/>
              </w:rPr>
            </w:pPr>
            <w:r>
              <w:rPr>
                <w:rFonts w:ascii="Calibri" w:hAnsi="Calibri" w:hint="eastAsia"/>
                <w:color w:val="auto"/>
                <w:szCs w:val="21"/>
              </w:rPr>
              <w:t>尼龙</w:t>
            </w:r>
            <w:r>
              <w:rPr>
                <w:rFonts w:ascii="Calibri" w:hAnsi="Calibri" w:hint="eastAsia"/>
                <w:color w:val="auto"/>
                <w:szCs w:val="21"/>
              </w:rPr>
              <w:t>12</w:t>
            </w:r>
            <w:r>
              <w:rPr>
                <w:rFonts w:ascii="Calibri" w:hAnsi="Calibri" w:hint="eastAsia"/>
                <w:color w:val="auto"/>
                <w:szCs w:val="21"/>
              </w:rPr>
              <w:t>盐</w:t>
            </w:r>
          </w:p>
        </w:tc>
        <w:tc>
          <w:tcPr>
            <w:tcW w:w="1527" w:type="dxa"/>
            <w:vAlign w:val="center"/>
          </w:tcPr>
          <w:p w14:paraId="55AE24C7" w14:textId="77777777" w:rsidR="00CE7A1F" w:rsidRDefault="00CE7A1F" w:rsidP="00031A77">
            <w:pPr>
              <w:jc w:val="center"/>
              <w:rPr>
                <w:rFonts w:ascii="Calibri" w:hAnsi="Calibri"/>
                <w:color w:val="auto"/>
                <w:szCs w:val="21"/>
              </w:rPr>
            </w:pPr>
            <w:r>
              <w:rPr>
                <w:rFonts w:ascii="Calibri" w:hAnsi="Calibri"/>
                <w:color w:val="auto"/>
                <w:szCs w:val="21"/>
              </w:rPr>
              <w:t>1920t</w:t>
            </w:r>
            <w:r>
              <w:rPr>
                <w:rFonts w:ascii="Calibri" w:hAnsi="Calibri" w:hint="eastAsia"/>
                <w:color w:val="auto"/>
                <w:szCs w:val="21"/>
              </w:rPr>
              <w:t>/a</w:t>
            </w:r>
          </w:p>
        </w:tc>
        <w:tc>
          <w:tcPr>
            <w:tcW w:w="1244" w:type="dxa"/>
            <w:vAlign w:val="center"/>
          </w:tcPr>
          <w:p w14:paraId="14C5C4B5" w14:textId="77777777" w:rsidR="00CE7A1F" w:rsidRDefault="00CE7A1F" w:rsidP="00031A77">
            <w:pPr>
              <w:jc w:val="center"/>
              <w:rPr>
                <w:rFonts w:ascii="Calibri" w:hAnsi="Calibri"/>
                <w:color w:val="auto"/>
                <w:szCs w:val="21"/>
              </w:rPr>
            </w:pPr>
            <w:r>
              <w:rPr>
                <w:rFonts w:ascii="Calibri" w:hAnsi="Calibri"/>
                <w:color w:val="auto"/>
                <w:szCs w:val="21"/>
              </w:rPr>
              <w:t>290</w:t>
            </w:r>
            <w:r w:rsidRPr="004A5BF5">
              <w:rPr>
                <w:rFonts w:ascii="Calibri" w:hAnsi="Calibri" w:hint="eastAsia"/>
                <w:color w:val="auto"/>
                <w:szCs w:val="21"/>
              </w:rPr>
              <w:t>t</w:t>
            </w:r>
          </w:p>
        </w:tc>
        <w:tc>
          <w:tcPr>
            <w:tcW w:w="915" w:type="dxa"/>
            <w:vAlign w:val="center"/>
          </w:tcPr>
          <w:p w14:paraId="02180223" w14:textId="77777777" w:rsidR="00CE7A1F" w:rsidRPr="004A5BF5" w:rsidRDefault="00CE7A1F" w:rsidP="00031A77">
            <w:pPr>
              <w:jc w:val="center"/>
              <w:rPr>
                <w:rFonts w:ascii="Calibri" w:hAnsi="Calibri"/>
                <w:color w:val="auto"/>
                <w:szCs w:val="21"/>
              </w:rPr>
            </w:pPr>
            <w:r>
              <w:rPr>
                <w:rFonts w:ascii="Calibri" w:hAnsi="Calibri"/>
                <w:color w:val="auto"/>
                <w:szCs w:val="21"/>
              </w:rPr>
              <w:t>45d</w:t>
            </w:r>
          </w:p>
        </w:tc>
        <w:tc>
          <w:tcPr>
            <w:tcW w:w="1485" w:type="dxa"/>
            <w:vAlign w:val="center"/>
          </w:tcPr>
          <w:p w14:paraId="6E16BCE6" w14:textId="77777777" w:rsidR="00CE7A1F" w:rsidRPr="004A5BF5" w:rsidRDefault="00CE7A1F" w:rsidP="00031A77">
            <w:pPr>
              <w:jc w:val="center"/>
              <w:rPr>
                <w:rFonts w:ascii="Calibri" w:hAnsi="Calibri"/>
                <w:color w:val="auto"/>
                <w:szCs w:val="21"/>
              </w:rPr>
            </w:pPr>
            <w:r w:rsidRPr="004A5BF5">
              <w:rPr>
                <w:rFonts w:ascii="Calibri" w:hAnsi="Calibri" w:hint="eastAsia"/>
                <w:color w:val="auto"/>
                <w:szCs w:val="21"/>
              </w:rPr>
              <w:t>外购，固体袋装</w:t>
            </w:r>
          </w:p>
        </w:tc>
      </w:tr>
      <w:tr w:rsidR="00CE7A1F" w:rsidRPr="007419A4" w14:paraId="5D070112" w14:textId="77777777" w:rsidTr="00DD2AE9">
        <w:trPr>
          <w:trHeight w:val="830"/>
        </w:trPr>
        <w:tc>
          <w:tcPr>
            <w:tcW w:w="560" w:type="dxa"/>
            <w:tcBorders>
              <w:right w:val="single" w:sz="4" w:space="0" w:color="auto"/>
            </w:tcBorders>
            <w:shd w:val="clear" w:color="auto" w:fill="auto"/>
            <w:vAlign w:val="center"/>
          </w:tcPr>
          <w:p w14:paraId="7FA740F7" w14:textId="77777777" w:rsidR="00CE7A1F" w:rsidRDefault="00CE7A1F" w:rsidP="00031A77">
            <w:pPr>
              <w:jc w:val="center"/>
              <w:rPr>
                <w:rFonts w:ascii="Calibri" w:hAnsi="Calibri"/>
                <w:color w:val="auto"/>
                <w:szCs w:val="21"/>
              </w:rPr>
            </w:pPr>
            <w:r>
              <w:rPr>
                <w:rFonts w:ascii="Calibri" w:hAnsi="Calibri" w:hint="eastAsia"/>
                <w:color w:val="auto"/>
                <w:szCs w:val="21"/>
              </w:rPr>
              <w:t>4</w:t>
            </w:r>
          </w:p>
        </w:tc>
        <w:tc>
          <w:tcPr>
            <w:tcW w:w="1126" w:type="dxa"/>
            <w:tcBorders>
              <w:top w:val="single" w:sz="4" w:space="0" w:color="auto"/>
              <w:left w:val="single" w:sz="4" w:space="0" w:color="auto"/>
            </w:tcBorders>
            <w:shd w:val="clear" w:color="auto" w:fill="auto"/>
            <w:vAlign w:val="center"/>
          </w:tcPr>
          <w:p w14:paraId="4E743625" w14:textId="77777777" w:rsidR="00CE7A1F" w:rsidRPr="004A5BF5" w:rsidRDefault="00CE7A1F" w:rsidP="00CE7A1F">
            <w:pPr>
              <w:rPr>
                <w:rFonts w:ascii="Calibri" w:hAnsi="Calibri"/>
                <w:color w:val="auto"/>
                <w:szCs w:val="21"/>
              </w:rPr>
            </w:pPr>
            <w:r w:rsidRPr="00CE7A1F">
              <w:rPr>
                <w:rFonts w:ascii="Calibri" w:hAnsi="Calibri" w:hint="eastAsia"/>
                <w:color w:val="auto"/>
                <w:szCs w:val="21"/>
              </w:rPr>
              <w:t>辅助原料</w:t>
            </w:r>
          </w:p>
        </w:tc>
        <w:tc>
          <w:tcPr>
            <w:tcW w:w="1843" w:type="dxa"/>
            <w:shd w:val="clear" w:color="auto" w:fill="auto"/>
            <w:vAlign w:val="center"/>
          </w:tcPr>
          <w:p w14:paraId="5B4E115E" w14:textId="77777777" w:rsidR="00CE7A1F" w:rsidRPr="004A5BF5" w:rsidRDefault="00CE7A1F" w:rsidP="00031A77">
            <w:pPr>
              <w:jc w:val="center"/>
              <w:rPr>
                <w:rFonts w:ascii="Calibri" w:hAnsi="Calibri"/>
                <w:color w:val="auto"/>
                <w:szCs w:val="21"/>
              </w:rPr>
            </w:pPr>
            <w:r>
              <w:rPr>
                <w:rFonts w:ascii="Calibri" w:hAnsi="Calibri"/>
                <w:color w:val="auto"/>
                <w:szCs w:val="21"/>
              </w:rPr>
              <w:t>次磷酸钠</w:t>
            </w:r>
          </w:p>
        </w:tc>
        <w:tc>
          <w:tcPr>
            <w:tcW w:w="1527" w:type="dxa"/>
            <w:vAlign w:val="center"/>
          </w:tcPr>
          <w:p w14:paraId="5CFD1A83" w14:textId="77777777" w:rsidR="00CE7A1F" w:rsidRDefault="00CE7A1F" w:rsidP="00031A77">
            <w:pPr>
              <w:jc w:val="center"/>
              <w:rPr>
                <w:rFonts w:ascii="Calibri" w:hAnsi="Calibri"/>
                <w:color w:val="auto"/>
                <w:szCs w:val="21"/>
              </w:rPr>
            </w:pPr>
            <w:r>
              <w:rPr>
                <w:rFonts w:ascii="Calibri" w:hAnsi="Calibri"/>
                <w:color w:val="auto"/>
                <w:szCs w:val="21"/>
              </w:rPr>
              <w:t>0.3t</w:t>
            </w:r>
            <w:r>
              <w:rPr>
                <w:rFonts w:ascii="Calibri" w:hAnsi="Calibri" w:hint="eastAsia"/>
                <w:color w:val="auto"/>
                <w:szCs w:val="21"/>
              </w:rPr>
              <w:t>/a</w:t>
            </w:r>
          </w:p>
        </w:tc>
        <w:tc>
          <w:tcPr>
            <w:tcW w:w="1244" w:type="dxa"/>
            <w:vAlign w:val="center"/>
          </w:tcPr>
          <w:p w14:paraId="74EF0BD9" w14:textId="77777777" w:rsidR="00CE7A1F" w:rsidRDefault="00CE7A1F" w:rsidP="00031A77">
            <w:pPr>
              <w:jc w:val="center"/>
              <w:rPr>
                <w:rFonts w:ascii="Calibri" w:hAnsi="Calibri"/>
                <w:color w:val="auto"/>
                <w:szCs w:val="21"/>
              </w:rPr>
            </w:pPr>
            <w:r>
              <w:rPr>
                <w:rFonts w:ascii="Calibri" w:hAnsi="Calibri" w:hint="eastAsia"/>
                <w:color w:val="auto"/>
                <w:szCs w:val="21"/>
              </w:rPr>
              <w:t>0.06</w:t>
            </w:r>
          </w:p>
        </w:tc>
        <w:tc>
          <w:tcPr>
            <w:tcW w:w="915" w:type="dxa"/>
            <w:vAlign w:val="center"/>
          </w:tcPr>
          <w:p w14:paraId="11A67221" w14:textId="77777777" w:rsidR="00CE7A1F" w:rsidRPr="004A5BF5" w:rsidRDefault="00CE7A1F" w:rsidP="00031A77">
            <w:pPr>
              <w:jc w:val="center"/>
              <w:rPr>
                <w:rFonts w:ascii="Calibri" w:hAnsi="Calibri"/>
                <w:color w:val="auto"/>
                <w:szCs w:val="21"/>
              </w:rPr>
            </w:pPr>
            <w:r>
              <w:rPr>
                <w:rFonts w:ascii="Calibri" w:hAnsi="Calibri" w:hint="eastAsia"/>
                <w:color w:val="auto"/>
                <w:szCs w:val="21"/>
              </w:rPr>
              <w:t>60d</w:t>
            </w:r>
          </w:p>
        </w:tc>
        <w:tc>
          <w:tcPr>
            <w:tcW w:w="1485" w:type="dxa"/>
            <w:vAlign w:val="center"/>
          </w:tcPr>
          <w:p w14:paraId="39751DDA" w14:textId="77777777" w:rsidR="00CE7A1F" w:rsidRPr="004A5BF5" w:rsidRDefault="00CE7A1F" w:rsidP="00031A77">
            <w:pPr>
              <w:jc w:val="center"/>
              <w:rPr>
                <w:rFonts w:ascii="Calibri" w:hAnsi="Calibri"/>
                <w:color w:val="auto"/>
                <w:szCs w:val="21"/>
              </w:rPr>
            </w:pPr>
            <w:r w:rsidRPr="004A5BF5">
              <w:rPr>
                <w:rFonts w:ascii="Calibri" w:hAnsi="Calibri" w:hint="eastAsia"/>
                <w:color w:val="auto"/>
                <w:szCs w:val="21"/>
              </w:rPr>
              <w:t>外购，固体，袋装</w:t>
            </w:r>
          </w:p>
        </w:tc>
      </w:tr>
      <w:tr w:rsidR="00CE7A1F" w:rsidRPr="007419A4" w14:paraId="6B448577" w14:textId="77777777" w:rsidTr="00DD2AE9">
        <w:trPr>
          <w:trHeight w:val="830"/>
        </w:trPr>
        <w:tc>
          <w:tcPr>
            <w:tcW w:w="560" w:type="dxa"/>
            <w:tcBorders>
              <w:right w:val="single" w:sz="4" w:space="0" w:color="auto"/>
            </w:tcBorders>
            <w:shd w:val="clear" w:color="auto" w:fill="auto"/>
            <w:vAlign w:val="center"/>
          </w:tcPr>
          <w:p w14:paraId="70C0F750" w14:textId="77777777" w:rsidR="00CE7A1F" w:rsidRDefault="00CE7A1F" w:rsidP="00CE7A1F">
            <w:pPr>
              <w:jc w:val="center"/>
              <w:rPr>
                <w:rFonts w:ascii="Calibri" w:hAnsi="Calibri"/>
                <w:color w:val="auto"/>
                <w:szCs w:val="21"/>
              </w:rPr>
            </w:pPr>
            <w:r>
              <w:rPr>
                <w:rFonts w:ascii="Calibri" w:hAnsi="Calibri" w:hint="eastAsia"/>
                <w:color w:val="auto"/>
                <w:szCs w:val="21"/>
              </w:rPr>
              <w:t>5</w:t>
            </w:r>
          </w:p>
        </w:tc>
        <w:tc>
          <w:tcPr>
            <w:tcW w:w="1126" w:type="dxa"/>
            <w:tcBorders>
              <w:top w:val="single" w:sz="4" w:space="0" w:color="auto"/>
              <w:left w:val="single" w:sz="4" w:space="0" w:color="auto"/>
            </w:tcBorders>
            <w:shd w:val="clear" w:color="auto" w:fill="auto"/>
            <w:vAlign w:val="center"/>
          </w:tcPr>
          <w:p w14:paraId="35DCA7DB" w14:textId="77777777" w:rsidR="00CE7A1F" w:rsidRPr="00AD5E29" w:rsidRDefault="00CE7A1F" w:rsidP="00CE7A1F">
            <w:pPr>
              <w:jc w:val="center"/>
              <w:rPr>
                <w:rFonts w:ascii="Calibri" w:hAnsi="Calibri"/>
                <w:b/>
                <w:color w:val="auto"/>
                <w:szCs w:val="21"/>
                <w:u w:val="single"/>
              </w:rPr>
            </w:pPr>
            <w:r w:rsidRPr="00AD5E29">
              <w:rPr>
                <w:rFonts w:ascii="Calibri" w:hAnsi="Calibri" w:hint="eastAsia"/>
                <w:b/>
                <w:color w:val="auto"/>
                <w:szCs w:val="21"/>
                <w:u w:val="single"/>
              </w:rPr>
              <w:t>导热油炉</w:t>
            </w:r>
          </w:p>
        </w:tc>
        <w:tc>
          <w:tcPr>
            <w:tcW w:w="1843" w:type="dxa"/>
            <w:shd w:val="clear" w:color="auto" w:fill="auto"/>
            <w:vAlign w:val="center"/>
          </w:tcPr>
          <w:p w14:paraId="6D2056B2" w14:textId="77777777" w:rsidR="00CE7A1F" w:rsidRPr="00AD5E29" w:rsidRDefault="00CE7A1F" w:rsidP="00CE7A1F">
            <w:pPr>
              <w:jc w:val="center"/>
              <w:rPr>
                <w:rFonts w:ascii="Calibri" w:hAnsi="Calibri"/>
                <w:b/>
                <w:color w:val="auto"/>
                <w:szCs w:val="21"/>
                <w:u w:val="single"/>
              </w:rPr>
            </w:pPr>
            <w:r w:rsidRPr="00AD5E29">
              <w:rPr>
                <w:rFonts w:ascii="Calibri" w:hAnsi="Calibri" w:hint="eastAsia"/>
                <w:b/>
                <w:color w:val="auto"/>
                <w:szCs w:val="21"/>
                <w:u w:val="single"/>
              </w:rPr>
              <w:t>合成导热油</w:t>
            </w:r>
            <w:r w:rsidRPr="00AD5E29">
              <w:rPr>
                <w:rFonts w:ascii="Calibri" w:hAnsi="Calibri" w:hint="eastAsia"/>
                <w:b/>
                <w:color w:val="auto"/>
                <w:szCs w:val="21"/>
                <w:u w:val="single"/>
              </w:rPr>
              <w:t>T66</w:t>
            </w:r>
          </w:p>
        </w:tc>
        <w:tc>
          <w:tcPr>
            <w:tcW w:w="1527" w:type="dxa"/>
            <w:vAlign w:val="center"/>
          </w:tcPr>
          <w:p w14:paraId="0CAAD836" w14:textId="77777777" w:rsidR="00CE7A1F" w:rsidRPr="00AD5E29" w:rsidRDefault="00CE7A1F" w:rsidP="00CE7A1F">
            <w:pPr>
              <w:jc w:val="center"/>
              <w:rPr>
                <w:rFonts w:ascii="Calibri" w:hAnsi="Calibri"/>
                <w:b/>
                <w:color w:val="auto"/>
                <w:szCs w:val="21"/>
                <w:u w:val="single"/>
              </w:rPr>
            </w:pPr>
            <w:r w:rsidRPr="00AD5E29">
              <w:rPr>
                <w:rFonts w:ascii="Calibri" w:hAnsi="Calibri"/>
                <w:b/>
                <w:color w:val="auto"/>
                <w:szCs w:val="21"/>
                <w:u w:val="single"/>
              </w:rPr>
              <w:t>/</w:t>
            </w:r>
          </w:p>
        </w:tc>
        <w:tc>
          <w:tcPr>
            <w:tcW w:w="1244" w:type="dxa"/>
            <w:vAlign w:val="center"/>
          </w:tcPr>
          <w:p w14:paraId="113558AD" w14:textId="77777777" w:rsidR="00CE7A1F" w:rsidRPr="00AD5E29" w:rsidRDefault="00CE7A1F" w:rsidP="00CE7A1F">
            <w:pPr>
              <w:jc w:val="center"/>
              <w:rPr>
                <w:rFonts w:ascii="Calibri" w:hAnsi="Calibri"/>
                <w:b/>
                <w:color w:val="auto"/>
                <w:szCs w:val="21"/>
                <w:u w:val="single"/>
              </w:rPr>
            </w:pPr>
            <w:r w:rsidRPr="00AD5E29">
              <w:rPr>
                <w:rFonts w:ascii="Calibri" w:hAnsi="Calibri" w:hint="eastAsia"/>
                <w:b/>
                <w:color w:val="auto"/>
                <w:szCs w:val="21"/>
                <w:u w:val="single"/>
              </w:rPr>
              <w:t>14t</w:t>
            </w:r>
          </w:p>
        </w:tc>
        <w:tc>
          <w:tcPr>
            <w:tcW w:w="915" w:type="dxa"/>
            <w:vAlign w:val="center"/>
          </w:tcPr>
          <w:p w14:paraId="46979C25" w14:textId="77777777" w:rsidR="00CE7A1F" w:rsidRPr="00AD5E29" w:rsidRDefault="00CE7A1F" w:rsidP="00CE7A1F">
            <w:pPr>
              <w:jc w:val="center"/>
              <w:rPr>
                <w:rFonts w:ascii="Calibri" w:hAnsi="Calibri"/>
                <w:b/>
                <w:color w:val="auto"/>
                <w:szCs w:val="21"/>
                <w:u w:val="single"/>
              </w:rPr>
            </w:pPr>
            <w:r w:rsidRPr="00AD5E29">
              <w:rPr>
                <w:rFonts w:ascii="Calibri" w:hAnsi="Calibri" w:hint="eastAsia"/>
                <w:b/>
                <w:color w:val="auto"/>
                <w:szCs w:val="21"/>
                <w:u w:val="single"/>
              </w:rPr>
              <w:t>/</w:t>
            </w:r>
          </w:p>
        </w:tc>
        <w:tc>
          <w:tcPr>
            <w:tcW w:w="1485" w:type="dxa"/>
            <w:vAlign w:val="center"/>
          </w:tcPr>
          <w:p w14:paraId="414E133B" w14:textId="77777777" w:rsidR="00CE7A1F" w:rsidRPr="00AD5E29" w:rsidRDefault="00CE7A1F" w:rsidP="00CE7A1F">
            <w:pPr>
              <w:jc w:val="center"/>
              <w:rPr>
                <w:rFonts w:ascii="Calibri" w:hAnsi="Calibri"/>
                <w:b/>
                <w:color w:val="auto"/>
                <w:szCs w:val="21"/>
                <w:u w:val="single"/>
              </w:rPr>
            </w:pPr>
            <w:r w:rsidRPr="00AD5E29">
              <w:rPr>
                <w:rFonts w:ascii="Calibri" w:hAnsi="Calibri" w:hint="eastAsia"/>
                <w:b/>
                <w:color w:val="auto"/>
                <w:szCs w:val="21"/>
                <w:u w:val="single"/>
              </w:rPr>
              <w:t>导热油炉</w:t>
            </w:r>
            <w:r w:rsidRPr="00AD5E29">
              <w:rPr>
                <w:rFonts w:ascii="Calibri" w:hAnsi="Calibri"/>
                <w:b/>
                <w:color w:val="auto"/>
                <w:szCs w:val="21"/>
                <w:u w:val="single"/>
              </w:rPr>
              <w:t>内储存</w:t>
            </w:r>
            <w:r w:rsidRPr="00AD5E29">
              <w:rPr>
                <w:rFonts w:ascii="Calibri" w:hAnsi="Calibri" w:hint="eastAsia"/>
                <w:b/>
                <w:color w:val="auto"/>
                <w:szCs w:val="21"/>
                <w:u w:val="single"/>
              </w:rPr>
              <w:t>，</w:t>
            </w:r>
            <w:r w:rsidRPr="00AD5E29">
              <w:rPr>
                <w:rFonts w:ascii="Calibri" w:hAnsi="Calibri"/>
                <w:b/>
                <w:color w:val="auto"/>
                <w:szCs w:val="21"/>
                <w:u w:val="single"/>
              </w:rPr>
              <w:t>厂区</w:t>
            </w:r>
            <w:r w:rsidRPr="00AD5E29">
              <w:rPr>
                <w:rFonts w:ascii="Calibri" w:hAnsi="Calibri" w:hint="eastAsia"/>
                <w:b/>
                <w:color w:val="auto"/>
                <w:szCs w:val="21"/>
                <w:u w:val="single"/>
              </w:rPr>
              <w:t>不设置</w:t>
            </w:r>
            <w:r w:rsidRPr="00AD5E29">
              <w:rPr>
                <w:rFonts w:ascii="Calibri" w:hAnsi="Calibri"/>
                <w:b/>
                <w:color w:val="auto"/>
                <w:szCs w:val="21"/>
                <w:u w:val="single"/>
              </w:rPr>
              <w:t>导热油炉储罐</w:t>
            </w:r>
            <w:r w:rsidRPr="00AD5E29">
              <w:rPr>
                <w:rFonts w:ascii="Calibri" w:hAnsi="Calibri" w:hint="eastAsia"/>
                <w:b/>
                <w:color w:val="auto"/>
                <w:szCs w:val="21"/>
                <w:u w:val="single"/>
              </w:rPr>
              <w:t>，</w:t>
            </w:r>
            <w:r w:rsidRPr="00AD5E29">
              <w:rPr>
                <w:rFonts w:ascii="Calibri" w:hAnsi="Calibri"/>
                <w:b/>
                <w:color w:val="auto"/>
                <w:szCs w:val="21"/>
                <w:u w:val="single"/>
              </w:rPr>
              <w:t>定期更换</w:t>
            </w:r>
          </w:p>
        </w:tc>
      </w:tr>
      <w:tr w:rsidR="00031A77" w:rsidRPr="007419A4" w14:paraId="46FF0959" w14:textId="77777777" w:rsidTr="000953CC">
        <w:trPr>
          <w:trHeight w:val="340"/>
        </w:trPr>
        <w:tc>
          <w:tcPr>
            <w:tcW w:w="560" w:type="dxa"/>
            <w:tcBorders>
              <w:right w:val="single" w:sz="4" w:space="0" w:color="auto"/>
            </w:tcBorders>
            <w:shd w:val="clear" w:color="auto" w:fill="auto"/>
            <w:vAlign w:val="center"/>
          </w:tcPr>
          <w:p w14:paraId="3EC10790" w14:textId="77777777" w:rsidR="00031A77" w:rsidRDefault="00CE7A1F" w:rsidP="00031A77">
            <w:pPr>
              <w:jc w:val="center"/>
              <w:rPr>
                <w:rFonts w:ascii="Calibri" w:hAnsi="Calibri"/>
                <w:color w:val="auto"/>
                <w:szCs w:val="21"/>
              </w:rPr>
            </w:pPr>
            <w:r>
              <w:rPr>
                <w:rFonts w:ascii="Calibri" w:hAnsi="Calibri"/>
                <w:color w:val="auto"/>
                <w:szCs w:val="21"/>
              </w:rPr>
              <w:t>6</w:t>
            </w:r>
          </w:p>
        </w:tc>
        <w:tc>
          <w:tcPr>
            <w:tcW w:w="1126" w:type="dxa"/>
            <w:vMerge w:val="restart"/>
            <w:tcBorders>
              <w:left w:val="single" w:sz="4" w:space="0" w:color="auto"/>
            </w:tcBorders>
            <w:shd w:val="clear" w:color="auto" w:fill="auto"/>
            <w:vAlign w:val="center"/>
          </w:tcPr>
          <w:p w14:paraId="0E4BF75B" w14:textId="77777777" w:rsidR="00031A77" w:rsidRPr="004A5BF5" w:rsidRDefault="00031A77" w:rsidP="00031A77">
            <w:pPr>
              <w:rPr>
                <w:rFonts w:ascii="Calibri" w:hAnsi="Calibri"/>
                <w:color w:val="auto"/>
                <w:szCs w:val="21"/>
              </w:rPr>
            </w:pPr>
            <w:r w:rsidRPr="004A5BF5">
              <w:rPr>
                <w:rFonts w:ascii="Calibri" w:hAnsi="Calibri" w:hint="eastAsia"/>
                <w:color w:val="auto"/>
                <w:szCs w:val="21"/>
              </w:rPr>
              <w:t>能源消耗</w:t>
            </w:r>
          </w:p>
        </w:tc>
        <w:tc>
          <w:tcPr>
            <w:tcW w:w="1843" w:type="dxa"/>
            <w:shd w:val="clear" w:color="auto" w:fill="auto"/>
            <w:vAlign w:val="center"/>
          </w:tcPr>
          <w:p w14:paraId="135D21F2" w14:textId="77777777" w:rsidR="00031A77" w:rsidRPr="004A5BF5" w:rsidRDefault="00031A77" w:rsidP="00031A77">
            <w:pPr>
              <w:jc w:val="center"/>
              <w:rPr>
                <w:rFonts w:ascii="Calibri" w:hAnsi="Calibri"/>
                <w:color w:val="auto"/>
                <w:szCs w:val="21"/>
              </w:rPr>
            </w:pPr>
            <w:r>
              <w:rPr>
                <w:rFonts w:ascii="Calibri" w:hAnsi="Calibri" w:hint="eastAsia"/>
                <w:color w:val="auto"/>
                <w:szCs w:val="21"/>
              </w:rPr>
              <w:t>天然气</w:t>
            </w:r>
          </w:p>
        </w:tc>
        <w:tc>
          <w:tcPr>
            <w:tcW w:w="1527" w:type="dxa"/>
            <w:vAlign w:val="center"/>
          </w:tcPr>
          <w:p w14:paraId="76EC0A1E" w14:textId="77777777" w:rsidR="00031A77" w:rsidRDefault="00031A77" w:rsidP="00031A77">
            <w:pPr>
              <w:jc w:val="center"/>
              <w:rPr>
                <w:rFonts w:ascii="Calibri" w:hAnsi="Calibri"/>
                <w:color w:val="auto"/>
                <w:szCs w:val="21"/>
              </w:rPr>
            </w:pPr>
            <w:r>
              <w:rPr>
                <w:rFonts w:ascii="Calibri" w:hAnsi="Calibri"/>
                <w:color w:val="auto"/>
                <w:szCs w:val="21"/>
              </w:rPr>
              <w:t>167.8</w:t>
            </w:r>
            <w:r>
              <w:rPr>
                <w:rFonts w:ascii="Calibri" w:hAnsi="Calibri" w:hint="eastAsia"/>
                <w:color w:val="auto"/>
                <w:szCs w:val="21"/>
              </w:rPr>
              <w:t>万</w:t>
            </w:r>
            <w:r>
              <w:rPr>
                <w:rFonts w:ascii="Calibri" w:hAnsi="Calibri"/>
                <w:color w:val="auto"/>
                <w:szCs w:val="21"/>
              </w:rPr>
              <w:t>m</w:t>
            </w:r>
            <w:r w:rsidRPr="00F2530A">
              <w:rPr>
                <w:rFonts w:ascii="Calibri" w:hAnsi="Calibri"/>
                <w:color w:val="auto"/>
                <w:szCs w:val="21"/>
                <w:vertAlign w:val="superscript"/>
              </w:rPr>
              <w:t>3</w:t>
            </w:r>
            <w:r>
              <w:rPr>
                <w:rFonts w:ascii="Calibri" w:hAnsi="Calibri"/>
                <w:color w:val="auto"/>
                <w:szCs w:val="21"/>
              </w:rPr>
              <w:t>/a</w:t>
            </w:r>
          </w:p>
        </w:tc>
        <w:tc>
          <w:tcPr>
            <w:tcW w:w="1244" w:type="dxa"/>
            <w:vAlign w:val="center"/>
          </w:tcPr>
          <w:p w14:paraId="584D0C7F" w14:textId="77777777" w:rsidR="00031A77" w:rsidRDefault="00031A77" w:rsidP="00031A77">
            <w:pPr>
              <w:jc w:val="center"/>
              <w:rPr>
                <w:rFonts w:ascii="Calibri" w:hAnsi="Calibri"/>
                <w:color w:val="auto"/>
                <w:szCs w:val="21"/>
              </w:rPr>
            </w:pPr>
            <w:r>
              <w:rPr>
                <w:rFonts w:ascii="Calibri" w:hAnsi="Calibri" w:hint="eastAsia"/>
                <w:color w:val="auto"/>
                <w:szCs w:val="21"/>
              </w:rPr>
              <w:t>/</w:t>
            </w:r>
          </w:p>
        </w:tc>
        <w:tc>
          <w:tcPr>
            <w:tcW w:w="915" w:type="dxa"/>
            <w:vAlign w:val="center"/>
          </w:tcPr>
          <w:p w14:paraId="1EE537AF" w14:textId="77777777" w:rsidR="00031A77" w:rsidRDefault="00031A77" w:rsidP="00031A77">
            <w:pPr>
              <w:jc w:val="center"/>
              <w:rPr>
                <w:rFonts w:ascii="Calibri" w:hAnsi="Calibri"/>
                <w:color w:val="auto"/>
                <w:szCs w:val="21"/>
              </w:rPr>
            </w:pPr>
            <w:r>
              <w:rPr>
                <w:rFonts w:ascii="Calibri" w:hAnsi="Calibri" w:hint="eastAsia"/>
                <w:color w:val="auto"/>
                <w:szCs w:val="21"/>
              </w:rPr>
              <w:t>/</w:t>
            </w:r>
          </w:p>
        </w:tc>
        <w:tc>
          <w:tcPr>
            <w:tcW w:w="1485" w:type="dxa"/>
            <w:vAlign w:val="center"/>
          </w:tcPr>
          <w:p w14:paraId="5A95FC5B" w14:textId="77777777" w:rsidR="00031A77" w:rsidRPr="004A5BF5" w:rsidRDefault="00031A77" w:rsidP="00031A77">
            <w:pPr>
              <w:jc w:val="center"/>
              <w:rPr>
                <w:rFonts w:ascii="Calibri" w:hAnsi="Calibri"/>
                <w:color w:val="auto"/>
                <w:szCs w:val="21"/>
              </w:rPr>
            </w:pPr>
            <w:r>
              <w:rPr>
                <w:rFonts w:ascii="Calibri" w:hAnsi="Calibri" w:hint="eastAsia"/>
                <w:color w:val="auto"/>
                <w:szCs w:val="21"/>
              </w:rPr>
              <w:t>接集聚区天然气</w:t>
            </w:r>
            <w:r>
              <w:rPr>
                <w:rFonts w:ascii="Calibri" w:hAnsi="Calibri"/>
                <w:color w:val="auto"/>
                <w:szCs w:val="21"/>
              </w:rPr>
              <w:t>管道</w:t>
            </w:r>
          </w:p>
        </w:tc>
      </w:tr>
      <w:tr w:rsidR="00031A77" w:rsidRPr="007419A4" w14:paraId="4814CFDC" w14:textId="77777777" w:rsidTr="000953CC">
        <w:trPr>
          <w:trHeight w:val="340"/>
        </w:trPr>
        <w:tc>
          <w:tcPr>
            <w:tcW w:w="560" w:type="dxa"/>
            <w:tcBorders>
              <w:right w:val="single" w:sz="4" w:space="0" w:color="auto"/>
            </w:tcBorders>
            <w:shd w:val="clear" w:color="auto" w:fill="auto"/>
            <w:vAlign w:val="center"/>
          </w:tcPr>
          <w:p w14:paraId="41167073" w14:textId="77777777" w:rsidR="00031A77" w:rsidRDefault="00CE7A1F" w:rsidP="00031A77">
            <w:pPr>
              <w:jc w:val="center"/>
              <w:rPr>
                <w:rFonts w:ascii="Calibri" w:hAnsi="Calibri"/>
                <w:color w:val="auto"/>
                <w:szCs w:val="21"/>
              </w:rPr>
            </w:pPr>
            <w:r>
              <w:rPr>
                <w:rFonts w:ascii="Calibri" w:hAnsi="Calibri"/>
                <w:color w:val="auto"/>
                <w:szCs w:val="21"/>
              </w:rPr>
              <w:t>7</w:t>
            </w:r>
          </w:p>
        </w:tc>
        <w:tc>
          <w:tcPr>
            <w:tcW w:w="1126" w:type="dxa"/>
            <w:vMerge/>
            <w:tcBorders>
              <w:left w:val="single" w:sz="4" w:space="0" w:color="auto"/>
            </w:tcBorders>
            <w:shd w:val="clear" w:color="auto" w:fill="auto"/>
            <w:vAlign w:val="center"/>
          </w:tcPr>
          <w:p w14:paraId="14E4D2CF" w14:textId="77777777" w:rsidR="00031A77" w:rsidRPr="004A5BF5" w:rsidRDefault="00031A77" w:rsidP="00031A77">
            <w:pPr>
              <w:ind w:firstLineChars="200" w:firstLine="420"/>
              <w:jc w:val="center"/>
              <w:rPr>
                <w:rFonts w:ascii="Calibri" w:hAnsi="Calibri"/>
                <w:color w:val="auto"/>
                <w:szCs w:val="21"/>
              </w:rPr>
            </w:pPr>
          </w:p>
        </w:tc>
        <w:tc>
          <w:tcPr>
            <w:tcW w:w="1843" w:type="dxa"/>
            <w:shd w:val="clear" w:color="auto" w:fill="auto"/>
            <w:vAlign w:val="center"/>
          </w:tcPr>
          <w:p w14:paraId="2977F950" w14:textId="77777777" w:rsidR="00031A77" w:rsidRPr="004A5BF5" w:rsidRDefault="00031A77" w:rsidP="00031A77">
            <w:pPr>
              <w:jc w:val="center"/>
              <w:rPr>
                <w:rFonts w:ascii="Calibri" w:hAnsi="Calibri"/>
                <w:color w:val="auto"/>
                <w:szCs w:val="21"/>
              </w:rPr>
            </w:pPr>
            <w:r w:rsidRPr="004A5BF5">
              <w:rPr>
                <w:rFonts w:ascii="Calibri" w:hAnsi="Calibri" w:hint="eastAsia"/>
                <w:color w:val="auto"/>
                <w:szCs w:val="21"/>
              </w:rPr>
              <w:t>电</w:t>
            </w:r>
          </w:p>
        </w:tc>
        <w:tc>
          <w:tcPr>
            <w:tcW w:w="1527" w:type="dxa"/>
            <w:vAlign w:val="center"/>
          </w:tcPr>
          <w:p w14:paraId="7AA428AF" w14:textId="77777777" w:rsidR="00031A77" w:rsidRDefault="00031A77" w:rsidP="00031A77">
            <w:pPr>
              <w:jc w:val="center"/>
              <w:rPr>
                <w:rFonts w:ascii="Calibri" w:hAnsi="Calibri"/>
                <w:color w:val="auto"/>
                <w:szCs w:val="21"/>
              </w:rPr>
            </w:pPr>
            <w:r>
              <w:rPr>
                <w:rFonts w:ascii="Calibri" w:hAnsi="Calibri"/>
                <w:color w:val="auto"/>
                <w:szCs w:val="21"/>
              </w:rPr>
              <w:t>1154.9</w:t>
            </w:r>
            <w:r w:rsidRPr="004A5BF5">
              <w:rPr>
                <w:rFonts w:ascii="Calibri" w:hAnsi="Calibri" w:hint="eastAsia"/>
                <w:color w:val="auto"/>
                <w:szCs w:val="21"/>
              </w:rPr>
              <w:t>万</w:t>
            </w:r>
            <w:r w:rsidRPr="004A5BF5">
              <w:rPr>
                <w:rFonts w:ascii="Calibri" w:hAnsi="Calibri" w:hint="eastAsia"/>
                <w:color w:val="auto"/>
                <w:szCs w:val="21"/>
              </w:rPr>
              <w:t>KWh</w:t>
            </w:r>
            <w:r>
              <w:rPr>
                <w:rFonts w:ascii="Calibri" w:hAnsi="Calibri"/>
                <w:color w:val="auto"/>
                <w:szCs w:val="21"/>
              </w:rPr>
              <w:t>/a</w:t>
            </w:r>
          </w:p>
        </w:tc>
        <w:tc>
          <w:tcPr>
            <w:tcW w:w="1244" w:type="dxa"/>
            <w:vAlign w:val="center"/>
          </w:tcPr>
          <w:p w14:paraId="06B9AB60" w14:textId="77777777" w:rsidR="00031A77" w:rsidRDefault="00031A77" w:rsidP="00031A77">
            <w:pPr>
              <w:jc w:val="center"/>
              <w:rPr>
                <w:rFonts w:ascii="Calibri" w:hAnsi="Calibri"/>
                <w:color w:val="auto"/>
                <w:szCs w:val="21"/>
              </w:rPr>
            </w:pPr>
            <w:r>
              <w:rPr>
                <w:rFonts w:ascii="Calibri" w:hAnsi="Calibri" w:hint="eastAsia"/>
                <w:color w:val="auto"/>
                <w:szCs w:val="21"/>
              </w:rPr>
              <w:t>/</w:t>
            </w:r>
          </w:p>
        </w:tc>
        <w:tc>
          <w:tcPr>
            <w:tcW w:w="915" w:type="dxa"/>
            <w:vAlign w:val="center"/>
          </w:tcPr>
          <w:p w14:paraId="1BF047A3" w14:textId="77777777" w:rsidR="00031A77" w:rsidRDefault="00031A77" w:rsidP="00031A77">
            <w:pPr>
              <w:jc w:val="center"/>
              <w:rPr>
                <w:rFonts w:ascii="Calibri" w:hAnsi="Calibri"/>
                <w:color w:val="auto"/>
                <w:szCs w:val="21"/>
              </w:rPr>
            </w:pPr>
            <w:r>
              <w:rPr>
                <w:rFonts w:ascii="Calibri" w:hAnsi="Calibri" w:hint="eastAsia"/>
                <w:color w:val="auto"/>
                <w:szCs w:val="21"/>
              </w:rPr>
              <w:t>/</w:t>
            </w:r>
          </w:p>
        </w:tc>
        <w:tc>
          <w:tcPr>
            <w:tcW w:w="1485" w:type="dxa"/>
            <w:vAlign w:val="center"/>
          </w:tcPr>
          <w:p w14:paraId="6BF8EFCF" w14:textId="77777777" w:rsidR="00031A77" w:rsidRPr="004A5BF5" w:rsidRDefault="00031A77" w:rsidP="00031A77">
            <w:pPr>
              <w:jc w:val="center"/>
              <w:rPr>
                <w:rFonts w:ascii="Calibri" w:hAnsi="Calibri"/>
                <w:color w:val="auto"/>
                <w:szCs w:val="21"/>
              </w:rPr>
            </w:pPr>
            <w:r>
              <w:rPr>
                <w:rFonts w:ascii="Calibri" w:hAnsi="Calibri" w:hint="eastAsia"/>
                <w:color w:val="auto"/>
                <w:szCs w:val="21"/>
              </w:rPr>
              <w:t>接集聚区</w:t>
            </w:r>
            <w:r w:rsidRPr="004A5BF5">
              <w:rPr>
                <w:rFonts w:ascii="Calibri" w:hAnsi="Calibri" w:hint="eastAsia"/>
                <w:color w:val="auto"/>
                <w:szCs w:val="21"/>
              </w:rPr>
              <w:t>电网</w:t>
            </w:r>
          </w:p>
        </w:tc>
      </w:tr>
      <w:tr w:rsidR="00031A77" w:rsidRPr="007419A4" w14:paraId="003E1D2D" w14:textId="77777777" w:rsidTr="000953CC">
        <w:trPr>
          <w:trHeight w:val="340"/>
        </w:trPr>
        <w:tc>
          <w:tcPr>
            <w:tcW w:w="560" w:type="dxa"/>
            <w:tcBorders>
              <w:bottom w:val="single" w:sz="12" w:space="0" w:color="auto"/>
              <w:right w:val="single" w:sz="4" w:space="0" w:color="auto"/>
            </w:tcBorders>
            <w:shd w:val="clear" w:color="auto" w:fill="auto"/>
            <w:vAlign w:val="center"/>
          </w:tcPr>
          <w:p w14:paraId="617707E8" w14:textId="77777777" w:rsidR="00031A77" w:rsidRDefault="00CE7A1F" w:rsidP="00031A77">
            <w:pPr>
              <w:jc w:val="center"/>
              <w:rPr>
                <w:rFonts w:ascii="Calibri" w:hAnsi="Calibri"/>
                <w:color w:val="auto"/>
                <w:szCs w:val="21"/>
              </w:rPr>
            </w:pPr>
            <w:r>
              <w:rPr>
                <w:rFonts w:ascii="Calibri" w:hAnsi="Calibri"/>
                <w:color w:val="auto"/>
                <w:szCs w:val="21"/>
              </w:rPr>
              <w:t>8</w:t>
            </w:r>
          </w:p>
        </w:tc>
        <w:tc>
          <w:tcPr>
            <w:tcW w:w="1126" w:type="dxa"/>
            <w:vMerge/>
            <w:tcBorders>
              <w:left w:val="single" w:sz="4" w:space="0" w:color="auto"/>
              <w:bottom w:val="single" w:sz="12" w:space="0" w:color="auto"/>
            </w:tcBorders>
            <w:shd w:val="clear" w:color="auto" w:fill="auto"/>
            <w:vAlign w:val="center"/>
          </w:tcPr>
          <w:p w14:paraId="2E773915" w14:textId="77777777" w:rsidR="00031A77" w:rsidRPr="004A5BF5" w:rsidRDefault="00031A77" w:rsidP="00031A77">
            <w:pPr>
              <w:ind w:firstLineChars="200" w:firstLine="420"/>
              <w:jc w:val="center"/>
              <w:rPr>
                <w:rFonts w:ascii="Calibri" w:hAnsi="Calibri"/>
                <w:color w:val="auto"/>
                <w:szCs w:val="21"/>
              </w:rPr>
            </w:pPr>
          </w:p>
        </w:tc>
        <w:tc>
          <w:tcPr>
            <w:tcW w:w="1843" w:type="dxa"/>
            <w:tcBorders>
              <w:bottom w:val="single" w:sz="12" w:space="0" w:color="auto"/>
            </w:tcBorders>
            <w:shd w:val="clear" w:color="auto" w:fill="auto"/>
            <w:vAlign w:val="center"/>
          </w:tcPr>
          <w:p w14:paraId="2ED5A063" w14:textId="77777777" w:rsidR="00031A77" w:rsidRPr="004A5BF5" w:rsidRDefault="00031A77" w:rsidP="00031A77">
            <w:pPr>
              <w:jc w:val="center"/>
              <w:rPr>
                <w:rFonts w:ascii="Calibri" w:hAnsi="Calibri"/>
                <w:color w:val="auto"/>
                <w:szCs w:val="21"/>
              </w:rPr>
            </w:pPr>
            <w:r w:rsidRPr="004A5BF5">
              <w:rPr>
                <w:rFonts w:ascii="Calibri" w:hAnsi="Calibri" w:hint="eastAsia"/>
                <w:color w:val="auto"/>
                <w:szCs w:val="21"/>
              </w:rPr>
              <w:t>水</w:t>
            </w:r>
          </w:p>
        </w:tc>
        <w:tc>
          <w:tcPr>
            <w:tcW w:w="1527" w:type="dxa"/>
            <w:tcBorders>
              <w:bottom w:val="single" w:sz="12" w:space="0" w:color="auto"/>
            </w:tcBorders>
            <w:vAlign w:val="center"/>
          </w:tcPr>
          <w:p w14:paraId="5476D3ED" w14:textId="77777777" w:rsidR="00031A77" w:rsidRDefault="00031A77" w:rsidP="00031A77">
            <w:pPr>
              <w:jc w:val="center"/>
              <w:rPr>
                <w:rFonts w:ascii="Calibri" w:hAnsi="Calibri"/>
                <w:color w:val="auto"/>
                <w:szCs w:val="21"/>
              </w:rPr>
            </w:pPr>
            <w:r>
              <w:rPr>
                <w:rFonts w:ascii="Calibri" w:hAnsi="Calibri"/>
                <w:color w:val="auto"/>
                <w:szCs w:val="21"/>
              </w:rPr>
              <w:t>9.42</w:t>
            </w:r>
            <w:r>
              <w:rPr>
                <w:rFonts w:ascii="Calibri" w:hAnsi="Calibri" w:hint="eastAsia"/>
                <w:color w:val="auto"/>
                <w:szCs w:val="21"/>
              </w:rPr>
              <w:t>万</w:t>
            </w:r>
            <w:r>
              <w:rPr>
                <w:rFonts w:ascii="Calibri" w:hAnsi="Calibri"/>
                <w:color w:val="auto"/>
                <w:szCs w:val="21"/>
              </w:rPr>
              <w:t>m</w:t>
            </w:r>
            <w:r w:rsidRPr="00F2530A">
              <w:rPr>
                <w:rFonts w:ascii="Calibri" w:hAnsi="Calibri"/>
                <w:color w:val="auto"/>
                <w:szCs w:val="21"/>
                <w:vertAlign w:val="superscript"/>
              </w:rPr>
              <w:t>3</w:t>
            </w:r>
            <w:r>
              <w:rPr>
                <w:rFonts w:ascii="Calibri" w:hAnsi="Calibri"/>
                <w:color w:val="auto"/>
                <w:szCs w:val="21"/>
              </w:rPr>
              <w:t>/a</w:t>
            </w:r>
          </w:p>
        </w:tc>
        <w:tc>
          <w:tcPr>
            <w:tcW w:w="1244" w:type="dxa"/>
            <w:tcBorders>
              <w:bottom w:val="single" w:sz="12" w:space="0" w:color="auto"/>
            </w:tcBorders>
            <w:vAlign w:val="center"/>
          </w:tcPr>
          <w:p w14:paraId="6DACFC64" w14:textId="77777777" w:rsidR="00031A77" w:rsidRDefault="00031A77" w:rsidP="00031A77">
            <w:pPr>
              <w:jc w:val="center"/>
              <w:rPr>
                <w:rFonts w:ascii="Calibri" w:hAnsi="Calibri"/>
                <w:color w:val="auto"/>
                <w:szCs w:val="21"/>
              </w:rPr>
            </w:pPr>
            <w:r>
              <w:rPr>
                <w:rFonts w:ascii="Calibri" w:hAnsi="Calibri" w:hint="eastAsia"/>
                <w:color w:val="auto"/>
                <w:szCs w:val="21"/>
              </w:rPr>
              <w:t>/</w:t>
            </w:r>
          </w:p>
        </w:tc>
        <w:tc>
          <w:tcPr>
            <w:tcW w:w="915" w:type="dxa"/>
            <w:tcBorders>
              <w:bottom w:val="single" w:sz="12" w:space="0" w:color="auto"/>
            </w:tcBorders>
            <w:vAlign w:val="center"/>
          </w:tcPr>
          <w:p w14:paraId="205B8B9B" w14:textId="77777777" w:rsidR="00031A77" w:rsidRDefault="00031A77" w:rsidP="00031A77">
            <w:pPr>
              <w:jc w:val="center"/>
              <w:rPr>
                <w:rFonts w:ascii="Calibri" w:hAnsi="Calibri"/>
                <w:color w:val="auto"/>
                <w:szCs w:val="21"/>
              </w:rPr>
            </w:pPr>
            <w:r>
              <w:rPr>
                <w:rFonts w:ascii="Calibri" w:hAnsi="Calibri" w:hint="eastAsia"/>
                <w:color w:val="auto"/>
                <w:szCs w:val="21"/>
              </w:rPr>
              <w:t>/</w:t>
            </w:r>
          </w:p>
        </w:tc>
        <w:tc>
          <w:tcPr>
            <w:tcW w:w="1485" w:type="dxa"/>
            <w:tcBorders>
              <w:bottom w:val="single" w:sz="12" w:space="0" w:color="auto"/>
            </w:tcBorders>
            <w:vAlign w:val="center"/>
          </w:tcPr>
          <w:p w14:paraId="730775C6" w14:textId="77777777" w:rsidR="00031A77" w:rsidRPr="004A5BF5" w:rsidRDefault="00031A77" w:rsidP="00031A77">
            <w:pPr>
              <w:jc w:val="center"/>
              <w:rPr>
                <w:rFonts w:ascii="Calibri" w:hAnsi="Calibri"/>
                <w:color w:val="auto"/>
                <w:szCs w:val="21"/>
              </w:rPr>
            </w:pPr>
            <w:r>
              <w:rPr>
                <w:rFonts w:ascii="Calibri" w:hAnsi="Calibri" w:hint="eastAsia"/>
                <w:color w:val="auto"/>
                <w:szCs w:val="21"/>
              </w:rPr>
              <w:t>接集聚区</w:t>
            </w:r>
            <w:r>
              <w:rPr>
                <w:rFonts w:ascii="Calibri" w:hAnsi="Calibri"/>
                <w:color w:val="auto"/>
                <w:szCs w:val="21"/>
              </w:rPr>
              <w:t>官网</w:t>
            </w:r>
          </w:p>
        </w:tc>
      </w:tr>
    </w:tbl>
    <w:p w14:paraId="69F1FEB8" w14:textId="77777777" w:rsidR="00B3084E" w:rsidRDefault="00B3084E" w:rsidP="008448B0">
      <w:pPr>
        <w:adjustRightInd w:val="0"/>
        <w:snapToGrid w:val="0"/>
        <w:spacing w:line="520" w:lineRule="exact"/>
        <w:ind w:firstLineChars="200" w:firstLine="480"/>
        <w:rPr>
          <w:rFonts w:ascii="Calibri" w:hAnsi="宋体"/>
          <w:color w:val="auto"/>
          <w:sz w:val="24"/>
        </w:rPr>
      </w:pPr>
      <w:r w:rsidRPr="00260988">
        <w:rPr>
          <w:rFonts w:ascii="Calibri" w:hAnsi="宋体" w:hint="eastAsia"/>
          <w:color w:val="auto"/>
          <w:sz w:val="24"/>
        </w:rPr>
        <w:t>由上表可知，本项目所用能耗主要为电能</w:t>
      </w:r>
      <w:r>
        <w:rPr>
          <w:rFonts w:ascii="Calibri" w:hAnsi="宋体" w:hint="eastAsia"/>
          <w:color w:val="auto"/>
          <w:sz w:val="24"/>
        </w:rPr>
        <w:t>和</w:t>
      </w:r>
      <w:r>
        <w:rPr>
          <w:rFonts w:ascii="Calibri" w:hAnsi="宋体"/>
          <w:color w:val="auto"/>
          <w:sz w:val="24"/>
        </w:rPr>
        <w:t>天然气</w:t>
      </w:r>
      <w:r w:rsidRPr="00260988">
        <w:rPr>
          <w:rFonts w:ascii="Calibri" w:hAnsi="宋体" w:hint="eastAsia"/>
          <w:color w:val="auto"/>
          <w:sz w:val="24"/>
        </w:rPr>
        <w:t>，</w:t>
      </w:r>
      <w:r>
        <w:rPr>
          <w:rFonts w:ascii="Calibri" w:hAnsi="宋体" w:hint="eastAsia"/>
          <w:color w:val="auto"/>
          <w:sz w:val="24"/>
        </w:rPr>
        <w:t>其中</w:t>
      </w:r>
      <w:r w:rsidRPr="00260988">
        <w:rPr>
          <w:rFonts w:ascii="Calibri" w:hAnsi="宋体" w:hint="eastAsia"/>
          <w:color w:val="auto"/>
          <w:sz w:val="24"/>
        </w:rPr>
        <w:t>用电量为</w:t>
      </w:r>
      <w:r>
        <w:rPr>
          <w:rFonts w:ascii="Calibri" w:hAnsi="宋体"/>
          <w:color w:val="auto"/>
          <w:sz w:val="24"/>
        </w:rPr>
        <w:t>1154.9</w:t>
      </w:r>
      <w:r w:rsidRPr="00260988">
        <w:rPr>
          <w:rFonts w:ascii="Calibri" w:hAnsi="宋体" w:hint="eastAsia"/>
          <w:color w:val="auto"/>
          <w:sz w:val="24"/>
        </w:rPr>
        <w:t>万</w:t>
      </w:r>
      <w:r w:rsidRPr="00260988">
        <w:rPr>
          <w:rFonts w:ascii="Calibri" w:hAnsi="宋体" w:hint="eastAsia"/>
          <w:color w:val="auto"/>
          <w:sz w:val="24"/>
        </w:rPr>
        <w:t>kwh/a</w:t>
      </w:r>
      <w:r w:rsidRPr="00260988">
        <w:rPr>
          <w:rFonts w:ascii="Calibri" w:hAnsi="宋体" w:hint="eastAsia"/>
          <w:color w:val="auto"/>
          <w:sz w:val="24"/>
        </w:rPr>
        <w:t>，折合标准煤量</w:t>
      </w:r>
      <w:r w:rsidR="00430E40">
        <w:rPr>
          <w:rFonts w:ascii="Calibri" w:hAnsi="宋体" w:hint="eastAsia"/>
          <w:color w:val="auto"/>
          <w:sz w:val="24"/>
        </w:rPr>
        <w:t>当量</w:t>
      </w:r>
      <w:r w:rsidR="00430E40">
        <w:rPr>
          <w:rFonts w:ascii="Calibri" w:hAnsi="宋体"/>
          <w:color w:val="auto"/>
          <w:sz w:val="24"/>
        </w:rPr>
        <w:t>值</w:t>
      </w:r>
      <w:r w:rsidRPr="00260988">
        <w:rPr>
          <w:rFonts w:ascii="Calibri" w:hAnsi="宋体" w:hint="eastAsia"/>
          <w:color w:val="auto"/>
          <w:sz w:val="24"/>
        </w:rPr>
        <w:t>为</w:t>
      </w:r>
      <w:r w:rsidR="008448B0">
        <w:rPr>
          <w:rFonts w:ascii="Calibri" w:hAnsi="宋体" w:hint="eastAsia"/>
          <w:color w:val="auto"/>
          <w:sz w:val="24"/>
        </w:rPr>
        <w:t>1419.44</w:t>
      </w:r>
      <w:r w:rsidR="008448B0" w:rsidRPr="008448B0">
        <w:t xml:space="preserve"> </w:t>
      </w:r>
      <w:r w:rsidR="008448B0" w:rsidRPr="008448B0">
        <w:rPr>
          <w:rFonts w:ascii="Calibri" w:hAnsi="宋体"/>
          <w:color w:val="auto"/>
          <w:sz w:val="24"/>
        </w:rPr>
        <w:t>t/a</w:t>
      </w:r>
      <w:r w:rsidR="008448B0">
        <w:rPr>
          <w:rFonts w:ascii="Calibri" w:hAnsi="宋体" w:hint="eastAsia"/>
          <w:color w:val="auto"/>
          <w:sz w:val="24"/>
        </w:rPr>
        <w:t>（等价值</w:t>
      </w:r>
      <w:r w:rsidR="008448B0">
        <w:rPr>
          <w:rFonts w:ascii="Calibri" w:hAnsi="宋体"/>
          <w:color w:val="auto"/>
          <w:sz w:val="24"/>
        </w:rPr>
        <w:t>为</w:t>
      </w:r>
      <w:r w:rsidR="008448B0">
        <w:rPr>
          <w:rFonts w:ascii="Calibri" w:hAnsi="宋体" w:hint="eastAsia"/>
          <w:color w:val="auto"/>
          <w:sz w:val="24"/>
        </w:rPr>
        <w:t>3464.86</w:t>
      </w:r>
      <w:r w:rsidR="008448B0">
        <w:rPr>
          <w:rFonts w:ascii="Calibri" w:hAnsi="宋体"/>
          <w:color w:val="auto"/>
          <w:sz w:val="24"/>
        </w:rPr>
        <w:t>t/a</w:t>
      </w:r>
      <w:r w:rsidR="008448B0">
        <w:rPr>
          <w:rFonts w:ascii="Calibri" w:hAnsi="宋体" w:hint="eastAsia"/>
          <w:color w:val="auto"/>
          <w:sz w:val="24"/>
        </w:rPr>
        <w:t>）；</w:t>
      </w:r>
      <w:r w:rsidRPr="00260988">
        <w:rPr>
          <w:rFonts w:ascii="Calibri" w:hAnsi="宋体" w:hint="eastAsia"/>
          <w:color w:val="auto"/>
          <w:sz w:val="24"/>
        </w:rPr>
        <w:t>年用</w:t>
      </w:r>
      <w:r>
        <w:rPr>
          <w:rFonts w:ascii="Calibri" w:hAnsi="宋体" w:hint="eastAsia"/>
          <w:color w:val="auto"/>
          <w:sz w:val="24"/>
        </w:rPr>
        <w:t>天然气量</w:t>
      </w:r>
      <w:r>
        <w:rPr>
          <w:rFonts w:ascii="Calibri" w:hAnsi="宋体"/>
          <w:color w:val="auto"/>
          <w:sz w:val="24"/>
        </w:rPr>
        <w:t>为</w:t>
      </w:r>
      <w:r>
        <w:rPr>
          <w:rFonts w:ascii="Calibri" w:hAnsi="宋体" w:hint="eastAsia"/>
          <w:color w:val="auto"/>
          <w:sz w:val="24"/>
        </w:rPr>
        <w:t>167.8</w:t>
      </w:r>
      <w:r w:rsidRPr="00B3084E">
        <w:rPr>
          <w:rFonts w:ascii="Calibri" w:hAnsi="宋体" w:hint="eastAsia"/>
          <w:color w:val="auto"/>
          <w:sz w:val="24"/>
        </w:rPr>
        <w:t>万</w:t>
      </w:r>
      <w:r w:rsidRPr="00B3084E">
        <w:rPr>
          <w:rFonts w:ascii="Calibri" w:hAnsi="宋体" w:hint="eastAsia"/>
          <w:color w:val="auto"/>
          <w:sz w:val="24"/>
        </w:rPr>
        <w:t>m</w:t>
      </w:r>
      <w:r w:rsidRPr="00B3084E">
        <w:rPr>
          <w:rFonts w:ascii="Calibri" w:hAnsi="宋体" w:hint="eastAsia"/>
          <w:color w:val="auto"/>
          <w:sz w:val="24"/>
          <w:vertAlign w:val="superscript"/>
        </w:rPr>
        <w:t>3</w:t>
      </w:r>
      <w:r w:rsidRPr="00B3084E">
        <w:rPr>
          <w:rFonts w:ascii="Calibri" w:hAnsi="宋体" w:hint="eastAsia"/>
          <w:color w:val="auto"/>
          <w:sz w:val="24"/>
        </w:rPr>
        <w:t>/a</w:t>
      </w:r>
      <w:r>
        <w:rPr>
          <w:rFonts w:ascii="Calibri" w:hAnsi="宋体" w:hint="eastAsia"/>
          <w:color w:val="auto"/>
          <w:sz w:val="24"/>
        </w:rPr>
        <w:t>，</w:t>
      </w:r>
      <w:r w:rsidRPr="00B3084E">
        <w:rPr>
          <w:rFonts w:ascii="Calibri" w:hAnsi="宋体" w:hint="eastAsia"/>
          <w:color w:val="auto"/>
          <w:sz w:val="24"/>
        </w:rPr>
        <w:t>折合标准煤量为</w:t>
      </w:r>
      <w:r w:rsidR="008448B0">
        <w:rPr>
          <w:rFonts w:ascii="Calibri" w:hAnsi="宋体"/>
          <w:color w:val="auto"/>
          <w:sz w:val="24"/>
        </w:rPr>
        <w:t>2038.37</w:t>
      </w:r>
      <w:r w:rsidRPr="00B3084E">
        <w:rPr>
          <w:rFonts w:ascii="Calibri" w:hAnsi="宋体" w:hint="eastAsia"/>
          <w:color w:val="auto"/>
          <w:sz w:val="24"/>
        </w:rPr>
        <w:t>t/a</w:t>
      </w:r>
      <w:r w:rsidRPr="00B3084E">
        <w:rPr>
          <w:rFonts w:ascii="Calibri" w:hAnsi="宋体" w:hint="eastAsia"/>
          <w:color w:val="auto"/>
          <w:sz w:val="24"/>
        </w:rPr>
        <w:t>；</w:t>
      </w:r>
      <w:r>
        <w:rPr>
          <w:rFonts w:ascii="Calibri" w:hAnsi="宋体" w:hint="eastAsia"/>
          <w:color w:val="auto"/>
          <w:sz w:val="24"/>
        </w:rPr>
        <w:t>合计</w:t>
      </w:r>
      <w:r w:rsidR="008448B0">
        <w:rPr>
          <w:rFonts w:ascii="Calibri" w:hAnsi="宋体"/>
          <w:color w:val="auto"/>
          <w:sz w:val="24"/>
        </w:rPr>
        <w:t>3457.81</w:t>
      </w:r>
      <w:r>
        <w:rPr>
          <w:rFonts w:ascii="Calibri" w:hAnsi="宋体"/>
          <w:color w:val="auto"/>
          <w:sz w:val="24"/>
        </w:rPr>
        <w:t>t/a</w:t>
      </w:r>
      <w:r>
        <w:rPr>
          <w:rFonts w:ascii="Calibri" w:hAnsi="宋体" w:hint="eastAsia"/>
          <w:color w:val="auto"/>
          <w:sz w:val="24"/>
        </w:rPr>
        <w:t>。</w:t>
      </w:r>
    </w:p>
    <w:p w14:paraId="03C5BB9B" w14:textId="3F320EB2" w:rsidR="00646C87" w:rsidRPr="00CE7A1F" w:rsidRDefault="00F430A4" w:rsidP="00CE7A1F">
      <w:pPr>
        <w:pStyle w:val="p15"/>
        <w:spacing w:line="520" w:lineRule="atLeast"/>
        <w:ind w:firstLineChars="200" w:firstLine="480"/>
        <w:rPr>
          <w:rFonts w:ascii="Calibri" w:hAnsi="Calibri"/>
          <w:color w:val="auto"/>
          <w:kern w:val="2"/>
          <w:sz w:val="24"/>
          <w:szCs w:val="24"/>
        </w:rPr>
      </w:pPr>
      <w:r w:rsidRPr="00F430A4">
        <w:rPr>
          <w:rFonts w:ascii="Calibri" w:hAnsi="Calibri" w:hint="eastAsia"/>
          <w:color w:val="auto"/>
          <w:kern w:val="2"/>
          <w:sz w:val="24"/>
          <w:szCs w:val="24"/>
        </w:rPr>
        <w:t>本项目</w:t>
      </w:r>
      <w:r w:rsidRPr="00F430A4">
        <w:rPr>
          <w:rFonts w:ascii="Calibri" w:hAnsi="Calibri"/>
          <w:color w:val="auto"/>
          <w:kern w:val="2"/>
          <w:sz w:val="24"/>
          <w:szCs w:val="24"/>
        </w:rPr>
        <w:t>设置了</w:t>
      </w:r>
      <w:r w:rsidR="0092085C" w:rsidRPr="0092085C">
        <w:rPr>
          <w:rFonts w:ascii="Calibri" w:hAnsi="Calibri" w:hint="eastAsia"/>
          <w:color w:val="auto"/>
          <w:kern w:val="2"/>
          <w:sz w:val="24"/>
          <w:szCs w:val="24"/>
        </w:rPr>
        <w:t>品控中心</w:t>
      </w:r>
      <w:r>
        <w:rPr>
          <w:rFonts w:ascii="Calibri" w:hAnsi="Calibri"/>
          <w:color w:val="auto"/>
          <w:kern w:val="2"/>
          <w:sz w:val="24"/>
          <w:szCs w:val="24"/>
        </w:rPr>
        <w:t>，</w:t>
      </w:r>
      <w:r w:rsidR="0092085C" w:rsidRPr="0092085C">
        <w:rPr>
          <w:rFonts w:ascii="Calibri" w:hAnsi="Calibri" w:hint="eastAsia"/>
          <w:color w:val="auto"/>
          <w:kern w:val="2"/>
          <w:sz w:val="24"/>
          <w:szCs w:val="24"/>
        </w:rPr>
        <w:t>从原料、生产加工、产品制成、成品检测到成品入库、以及售后质量的跟踪解决等全过程把控，包括完整的质量控制和管理链</w:t>
      </w:r>
      <w:r w:rsidR="0092085C">
        <w:rPr>
          <w:rFonts w:ascii="Calibri" w:hAnsi="Calibri" w:hint="eastAsia"/>
          <w:color w:val="auto"/>
          <w:kern w:val="2"/>
          <w:sz w:val="24"/>
          <w:szCs w:val="24"/>
        </w:rPr>
        <w:t>，</w:t>
      </w:r>
      <w:r w:rsidR="0092085C" w:rsidRPr="0092085C">
        <w:rPr>
          <w:rFonts w:ascii="Calibri" w:hAnsi="Calibri" w:hint="eastAsia"/>
          <w:color w:val="auto"/>
          <w:kern w:val="2"/>
          <w:sz w:val="24"/>
          <w:szCs w:val="24"/>
        </w:rPr>
        <w:t>它是对产品制成的质量控制。</w:t>
      </w:r>
      <w:r w:rsidR="0092085C">
        <w:rPr>
          <w:rFonts w:ascii="Calibri" w:hAnsi="Calibri" w:hint="eastAsia"/>
          <w:color w:val="auto"/>
          <w:kern w:val="2"/>
          <w:sz w:val="24"/>
          <w:szCs w:val="24"/>
        </w:rPr>
        <w:t>品控</w:t>
      </w:r>
      <w:r>
        <w:rPr>
          <w:rFonts w:ascii="Calibri" w:hAnsi="Calibri"/>
          <w:color w:val="auto"/>
          <w:kern w:val="2"/>
          <w:sz w:val="24"/>
          <w:szCs w:val="24"/>
        </w:rPr>
        <w:t>中心定期</w:t>
      </w:r>
      <w:r>
        <w:rPr>
          <w:rFonts w:ascii="Calibri" w:hAnsi="Calibri" w:hint="eastAsia"/>
          <w:color w:val="auto"/>
          <w:kern w:val="2"/>
          <w:sz w:val="24"/>
          <w:szCs w:val="24"/>
        </w:rPr>
        <w:t>采样</w:t>
      </w:r>
      <w:r>
        <w:rPr>
          <w:rFonts w:ascii="Calibri" w:hAnsi="Calibri"/>
          <w:color w:val="auto"/>
          <w:kern w:val="2"/>
          <w:sz w:val="24"/>
          <w:szCs w:val="24"/>
        </w:rPr>
        <w:t>进行指标分析，主要包括：</w:t>
      </w:r>
      <w:r>
        <w:rPr>
          <w:rFonts w:ascii="Calibri" w:hAnsi="Calibri" w:hint="eastAsia"/>
          <w:color w:val="auto"/>
          <w:kern w:val="2"/>
          <w:sz w:val="24"/>
          <w:szCs w:val="24"/>
        </w:rPr>
        <w:t>盐液浓度</w:t>
      </w:r>
      <w:r>
        <w:rPr>
          <w:rFonts w:ascii="Calibri" w:hAnsi="Calibri"/>
          <w:color w:val="auto"/>
          <w:kern w:val="2"/>
          <w:sz w:val="24"/>
          <w:szCs w:val="24"/>
        </w:rPr>
        <w:t>、</w:t>
      </w:r>
      <w:r>
        <w:rPr>
          <w:rFonts w:ascii="Calibri" w:hAnsi="Calibri" w:hint="eastAsia"/>
          <w:color w:val="auto"/>
          <w:kern w:val="2"/>
          <w:sz w:val="24"/>
          <w:szCs w:val="24"/>
        </w:rPr>
        <w:t>PH</w:t>
      </w:r>
      <w:r>
        <w:rPr>
          <w:rFonts w:ascii="Calibri" w:hAnsi="Calibri" w:hint="eastAsia"/>
          <w:color w:val="auto"/>
          <w:kern w:val="2"/>
          <w:sz w:val="24"/>
          <w:szCs w:val="24"/>
        </w:rPr>
        <w:t>值</w:t>
      </w:r>
      <w:r>
        <w:rPr>
          <w:rFonts w:ascii="Calibri" w:hAnsi="Calibri"/>
          <w:color w:val="auto"/>
          <w:kern w:val="2"/>
          <w:sz w:val="24"/>
          <w:szCs w:val="24"/>
        </w:rPr>
        <w:t>、</w:t>
      </w:r>
      <w:r>
        <w:rPr>
          <w:rFonts w:ascii="Calibri" w:hAnsi="Calibri"/>
          <w:color w:val="auto"/>
          <w:kern w:val="2"/>
          <w:sz w:val="24"/>
          <w:szCs w:val="24"/>
        </w:rPr>
        <w:lastRenderedPageBreak/>
        <w:t>电导</w:t>
      </w:r>
      <w:r>
        <w:rPr>
          <w:rFonts w:ascii="Calibri" w:hAnsi="Calibri" w:hint="eastAsia"/>
          <w:color w:val="auto"/>
          <w:kern w:val="2"/>
          <w:sz w:val="24"/>
          <w:szCs w:val="24"/>
        </w:rPr>
        <w:t>率</w:t>
      </w:r>
      <w:r>
        <w:rPr>
          <w:rFonts w:ascii="Calibri" w:hAnsi="Calibri"/>
          <w:color w:val="auto"/>
          <w:kern w:val="2"/>
          <w:sz w:val="24"/>
          <w:szCs w:val="24"/>
        </w:rPr>
        <w:t>、</w:t>
      </w:r>
      <w:r>
        <w:rPr>
          <w:rFonts w:ascii="Calibri" w:hAnsi="Calibri" w:hint="eastAsia"/>
          <w:color w:val="auto"/>
          <w:kern w:val="2"/>
          <w:sz w:val="24"/>
          <w:szCs w:val="24"/>
        </w:rPr>
        <w:t>切片粘度</w:t>
      </w:r>
      <w:r>
        <w:rPr>
          <w:rFonts w:ascii="Calibri" w:hAnsi="Calibri"/>
          <w:color w:val="auto"/>
          <w:kern w:val="2"/>
          <w:sz w:val="24"/>
          <w:szCs w:val="24"/>
        </w:rPr>
        <w:t>、切片</w:t>
      </w:r>
      <w:r>
        <w:rPr>
          <w:rFonts w:ascii="Calibri" w:hAnsi="Calibri" w:hint="eastAsia"/>
          <w:color w:val="auto"/>
          <w:kern w:val="2"/>
          <w:sz w:val="24"/>
          <w:szCs w:val="24"/>
        </w:rPr>
        <w:t>含水</w:t>
      </w:r>
      <w:r>
        <w:rPr>
          <w:rFonts w:ascii="Calibri" w:hAnsi="Calibri"/>
          <w:color w:val="auto"/>
          <w:kern w:val="2"/>
          <w:sz w:val="24"/>
          <w:szCs w:val="24"/>
        </w:rPr>
        <w:t>率、切片熔点等</w:t>
      </w:r>
      <w:r w:rsidR="000A0585">
        <w:rPr>
          <w:rFonts w:ascii="Calibri" w:hAnsi="Calibri" w:hint="eastAsia"/>
          <w:color w:val="auto"/>
          <w:kern w:val="2"/>
          <w:sz w:val="24"/>
          <w:szCs w:val="24"/>
        </w:rPr>
        <w:t>，</w:t>
      </w:r>
      <w:r>
        <w:rPr>
          <w:rFonts w:ascii="Calibri" w:hAnsi="Calibri"/>
          <w:color w:val="auto"/>
          <w:kern w:val="2"/>
          <w:sz w:val="24"/>
          <w:szCs w:val="24"/>
        </w:rPr>
        <w:t>均需</w:t>
      </w:r>
      <w:r>
        <w:rPr>
          <w:rFonts w:ascii="Calibri" w:hAnsi="Calibri" w:hint="eastAsia"/>
          <w:color w:val="auto"/>
          <w:kern w:val="2"/>
          <w:sz w:val="24"/>
          <w:szCs w:val="24"/>
        </w:rPr>
        <w:t>耗用</w:t>
      </w:r>
      <w:r>
        <w:rPr>
          <w:rFonts w:ascii="Calibri" w:hAnsi="Calibri"/>
          <w:color w:val="auto"/>
          <w:kern w:val="2"/>
          <w:sz w:val="24"/>
          <w:szCs w:val="24"/>
        </w:rPr>
        <w:t>一定量实验试剂，具体使用量见</w:t>
      </w:r>
      <w:r w:rsidRPr="00A964FF">
        <w:rPr>
          <w:rFonts w:ascii="Calibri" w:hAnsi="Calibri" w:hint="eastAsia"/>
          <w:color w:val="auto"/>
          <w:kern w:val="2"/>
          <w:sz w:val="24"/>
          <w:szCs w:val="24"/>
        </w:rPr>
        <w:t>表</w:t>
      </w:r>
      <w:r w:rsidRPr="00A964FF">
        <w:rPr>
          <w:rFonts w:ascii="Calibri" w:hAnsi="Calibri" w:hint="eastAsia"/>
          <w:color w:val="auto"/>
          <w:kern w:val="2"/>
          <w:sz w:val="24"/>
          <w:szCs w:val="24"/>
        </w:rPr>
        <w:t>2.1-</w:t>
      </w:r>
      <w:r>
        <w:rPr>
          <w:rFonts w:ascii="Calibri" w:hAnsi="Calibri"/>
          <w:color w:val="auto"/>
          <w:kern w:val="2"/>
          <w:sz w:val="24"/>
          <w:szCs w:val="24"/>
        </w:rPr>
        <w:t>6</w:t>
      </w:r>
      <w:r w:rsidRPr="00A964FF">
        <w:rPr>
          <w:rFonts w:ascii="Calibri" w:hAnsi="Calibri" w:hint="eastAsia"/>
          <w:color w:val="auto"/>
          <w:kern w:val="2"/>
          <w:sz w:val="24"/>
          <w:szCs w:val="24"/>
        </w:rPr>
        <w:t>。</w:t>
      </w:r>
    </w:p>
    <w:p w14:paraId="53BAD43E" w14:textId="77777777" w:rsidR="008B5E36" w:rsidRDefault="008B5E36" w:rsidP="008B5E36">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.1</w:t>
      </w:r>
      <w:r w:rsidRPr="00A964FF">
        <w:rPr>
          <w:rFonts w:ascii="Calibri" w:eastAsia="黑体" w:hAnsi="Calibri"/>
          <w:color w:val="auto"/>
          <w:sz w:val="24"/>
        </w:rPr>
        <w:t>-</w:t>
      </w:r>
      <w:r>
        <w:rPr>
          <w:rFonts w:ascii="Calibri" w:eastAsia="黑体" w:hAnsi="Calibri"/>
          <w:color w:val="auto"/>
          <w:sz w:val="24"/>
        </w:rPr>
        <w:t>6</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00852DCA">
        <w:rPr>
          <w:rFonts w:ascii="Calibri" w:eastAsia="黑体" w:hAnsi="Calibri" w:hint="eastAsia"/>
          <w:color w:val="auto"/>
          <w:sz w:val="24"/>
        </w:rPr>
        <w:t>品控</w:t>
      </w:r>
      <w:r w:rsidR="00852DCA">
        <w:rPr>
          <w:rFonts w:ascii="Calibri" w:eastAsia="黑体" w:hAnsi="Calibri"/>
          <w:color w:val="auto"/>
          <w:sz w:val="24"/>
        </w:rPr>
        <w:t>中心</w:t>
      </w:r>
      <w:r>
        <w:rPr>
          <w:rFonts w:ascii="Calibri" w:eastAsia="黑体" w:hAnsi="Calibri" w:hint="eastAsia"/>
          <w:color w:val="auto"/>
          <w:sz w:val="24"/>
        </w:rPr>
        <w:t>检测</w:t>
      </w:r>
      <w:r>
        <w:rPr>
          <w:rFonts w:ascii="Calibri" w:eastAsia="黑体" w:hAnsi="Calibri"/>
          <w:color w:val="auto"/>
          <w:sz w:val="24"/>
        </w:rPr>
        <w:t>分析耗用试剂</w:t>
      </w:r>
    </w:p>
    <w:tbl>
      <w:tblPr>
        <w:tblStyle w:val="afe"/>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3"/>
        <w:gridCol w:w="1742"/>
        <w:gridCol w:w="1740"/>
        <w:gridCol w:w="1738"/>
        <w:gridCol w:w="1737"/>
      </w:tblGrid>
      <w:tr w:rsidR="008B5E36" w:rsidRPr="008B5E36" w14:paraId="3DA55644" w14:textId="77777777" w:rsidTr="00DD676F">
        <w:trPr>
          <w:trHeight w:val="340"/>
        </w:trPr>
        <w:tc>
          <w:tcPr>
            <w:tcW w:w="1002" w:type="pct"/>
            <w:vAlign w:val="center"/>
          </w:tcPr>
          <w:p w14:paraId="416D2B6F" w14:textId="77777777" w:rsidR="008B5E36" w:rsidRPr="00DD676F" w:rsidRDefault="008B5E36" w:rsidP="00DD676F">
            <w:pPr>
              <w:jc w:val="center"/>
              <w:rPr>
                <w:rFonts w:ascii="Calibri" w:hAnsi="Calibri"/>
                <w:color w:val="auto"/>
                <w:szCs w:val="21"/>
              </w:rPr>
            </w:pPr>
            <w:r w:rsidRPr="00DD676F">
              <w:rPr>
                <w:rFonts w:ascii="Calibri" w:hAnsi="Calibri" w:hint="eastAsia"/>
                <w:color w:val="auto"/>
                <w:szCs w:val="21"/>
              </w:rPr>
              <w:t>类别</w:t>
            </w:r>
          </w:p>
        </w:tc>
        <w:tc>
          <w:tcPr>
            <w:tcW w:w="1001" w:type="pct"/>
            <w:vAlign w:val="center"/>
          </w:tcPr>
          <w:p w14:paraId="14282428" w14:textId="77777777" w:rsidR="008B5E36" w:rsidRPr="00DD676F" w:rsidRDefault="008B5E36" w:rsidP="00DD676F">
            <w:pPr>
              <w:jc w:val="center"/>
              <w:rPr>
                <w:rFonts w:ascii="Calibri" w:hAnsi="Calibri"/>
                <w:color w:val="auto"/>
                <w:szCs w:val="21"/>
              </w:rPr>
            </w:pPr>
            <w:r w:rsidRPr="00DD676F">
              <w:rPr>
                <w:rFonts w:ascii="Calibri" w:hAnsi="Calibri" w:hint="eastAsia"/>
                <w:color w:val="auto"/>
                <w:szCs w:val="21"/>
              </w:rPr>
              <w:t>名称</w:t>
            </w:r>
          </w:p>
        </w:tc>
        <w:tc>
          <w:tcPr>
            <w:tcW w:w="1000" w:type="pct"/>
            <w:vAlign w:val="center"/>
          </w:tcPr>
          <w:p w14:paraId="62FFDC69" w14:textId="77777777" w:rsidR="008B5E36" w:rsidRPr="00DD676F" w:rsidRDefault="008B5E36" w:rsidP="00DD676F">
            <w:pPr>
              <w:jc w:val="center"/>
              <w:rPr>
                <w:rFonts w:ascii="Calibri" w:hAnsi="Calibri"/>
                <w:color w:val="auto"/>
                <w:szCs w:val="21"/>
              </w:rPr>
            </w:pPr>
            <w:r w:rsidRPr="00DD676F">
              <w:rPr>
                <w:rFonts w:ascii="Calibri" w:hAnsi="Calibri" w:hint="eastAsia"/>
                <w:color w:val="auto"/>
                <w:szCs w:val="21"/>
              </w:rPr>
              <w:t>化学式</w:t>
            </w:r>
          </w:p>
        </w:tc>
        <w:tc>
          <w:tcPr>
            <w:tcW w:w="999" w:type="pct"/>
            <w:vAlign w:val="center"/>
          </w:tcPr>
          <w:p w14:paraId="0CB785BC" w14:textId="77777777" w:rsidR="008B5E36" w:rsidRPr="00DD676F" w:rsidRDefault="008B5E36" w:rsidP="00DD676F">
            <w:pPr>
              <w:jc w:val="center"/>
              <w:rPr>
                <w:rFonts w:ascii="Calibri" w:hAnsi="Calibri"/>
                <w:color w:val="auto"/>
                <w:szCs w:val="21"/>
              </w:rPr>
            </w:pPr>
            <w:r w:rsidRPr="00DD676F">
              <w:rPr>
                <w:rFonts w:ascii="Calibri" w:hAnsi="Calibri" w:hint="eastAsia"/>
                <w:color w:val="auto"/>
                <w:szCs w:val="21"/>
              </w:rPr>
              <w:t>最大储存量（</w:t>
            </w:r>
            <w:r w:rsidRPr="00DD676F">
              <w:rPr>
                <w:rFonts w:ascii="Calibri" w:hAnsi="Calibri" w:hint="eastAsia"/>
                <w:color w:val="auto"/>
                <w:szCs w:val="21"/>
              </w:rPr>
              <w:t>L/a</w:t>
            </w:r>
            <w:r w:rsidRPr="00DD676F">
              <w:rPr>
                <w:rFonts w:ascii="Calibri" w:hAnsi="Calibri" w:hint="eastAsia"/>
                <w:color w:val="auto"/>
                <w:szCs w:val="21"/>
              </w:rPr>
              <w:t>）</w:t>
            </w:r>
          </w:p>
        </w:tc>
        <w:tc>
          <w:tcPr>
            <w:tcW w:w="998" w:type="pct"/>
            <w:vAlign w:val="center"/>
          </w:tcPr>
          <w:p w14:paraId="77922BC0" w14:textId="77777777" w:rsidR="008B5E36" w:rsidRPr="00DD676F" w:rsidRDefault="008B5E36" w:rsidP="00DD676F">
            <w:pPr>
              <w:jc w:val="center"/>
              <w:rPr>
                <w:rFonts w:ascii="Calibri" w:hAnsi="Calibri"/>
                <w:color w:val="auto"/>
                <w:szCs w:val="21"/>
              </w:rPr>
            </w:pPr>
            <w:r w:rsidRPr="00DD676F">
              <w:rPr>
                <w:rFonts w:ascii="Calibri" w:hAnsi="Calibri" w:hint="eastAsia"/>
                <w:color w:val="auto"/>
                <w:szCs w:val="21"/>
              </w:rPr>
              <w:t>年用量（</w:t>
            </w:r>
            <w:r w:rsidRPr="00DD676F">
              <w:rPr>
                <w:rFonts w:ascii="Calibri" w:hAnsi="Calibri" w:hint="eastAsia"/>
                <w:color w:val="auto"/>
                <w:szCs w:val="21"/>
              </w:rPr>
              <w:t>L/a</w:t>
            </w:r>
            <w:r w:rsidRPr="00DD676F">
              <w:rPr>
                <w:rFonts w:ascii="Calibri" w:hAnsi="Calibri" w:hint="eastAsia"/>
                <w:color w:val="auto"/>
                <w:szCs w:val="21"/>
              </w:rPr>
              <w:t>）</w:t>
            </w:r>
          </w:p>
        </w:tc>
      </w:tr>
      <w:tr w:rsidR="00DD676F" w:rsidRPr="008B5E36" w14:paraId="046F2FE1" w14:textId="77777777" w:rsidTr="00DD676F">
        <w:trPr>
          <w:trHeight w:val="340"/>
        </w:trPr>
        <w:tc>
          <w:tcPr>
            <w:tcW w:w="1002" w:type="pct"/>
            <w:vMerge w:val="restart"/>
            <w:vAlign w:val="center"/>
          </w:tcPr>
          <w:p w14:paraId="0AEB4FBD"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有机试剂</w:t>
            </w:r>
          </w:p>
        </w:tc>
        <w:tc>
          <w:tcPr>
            <w:tcW w:w="1001" w:type="pct"/>
            <w:vAlign w:val="center"/>
          </w:tcPr>
          <w:p w14:paraId="005EC1C2"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乙醇</w:t>
            </w:r>
          </w:p>
        </w:tc>
        <w:tc>
          <w:tcPr>
            <w:tcW w:w="1000" w:type="pct"/>
            <w:vAlign w:val="center"/>
          </w:tcPr>
          <w:p w14:paraId="4E3BD683" w14:textId="77777777" w:rsidR="00DD676F" w:rsidRPr="00DD676F" w:rsidRDefault="00DD676F" w:rsidP="00DD676F">
            <w:pPr>
              <w:jc w:val="center"/>
              <w:rPr>
                <w:rFonts w:ascii="Calibri" w:hAnsi="Calibri"/>
                <w:color w:val="auto"/>
                <w:szCs w:val="21"/>
              </w:rPr>
            </w:pPr>
            <w:r w:rsidRPr="00DD676F">
              <w:rPr>
                <w:rFonts w:ascii="Calibri" w:hAnsi="Calibri"/>
                <w:color w:val="auto"/>
                <w:szCs w:val="21"/>
              </w:rPr>
              <w:t>C</w:t>
            </w:r>
            <w:r w:rsidRPr="00DD676F">
              <w:rPr>
                <w:rFonts w:ascii="Calibri" w:hAnsi="Calibri"/>
                <w:color w:val="auto"/>
                <w:szCs w:val="21"/>
                <w:vertAlign w:val="subscript"/>
              </w:rPr>
              <w:t>2</w:t>
            </w:r>
            <w:r w:rsidRPr="00DD676F">
              <w:rPr>
                <w:rFonts w:ascii="Calibri" w:hAnsi="Calibri"/>
                <w:color w:val="auto"/>
                <w:szCs w:val="21"/>
              </w:rPr>
              <w:t>H</w:t>
            </w:r>
            <w:r w:rsidRPr="00DD676F">
              <w:rPr>
                <w:rFonts w:ascii="Calibri" w:hAnsi="Calibri"/>
                <w:color w:val="auto"/>
                <w:szCs w:val="21"/>
                <w:vertAlign w:val="subscript"/>
              </w:rPr>
              <w:t>6</w:t>
            </w:r>
            <w:r w:rsidRPr="00DD676F">
              <w:rPr>
                <w:rFonts w:ascii="Calibri" w:hAnsi="Calibri"/>
                <w:color w:val="auto"/>
                <w:szCs w:val="21"/>
              </w:rPr>
              <w:t>O</w:t>
            </w:r>
          </w:p>
        </w:tc>
        <w:tc>
          <w:tcPr>
            <w:tcW w:w="999" w:type="pct"/>
            <w:vAlign w:val="center"/>
          </w:tcPr>
          <w:p w14:paraId="68A151C8" w14:textId="77777777" w:rsidR="00DD676F" w:rsidRPr="00DD676F" w:rsidRDefault="00F7756F" w:rsidP="00DD676F">
            <w:pPr>
              <w:jc w:val="center"/>
              <w:rPr>
                <w:rFonts w:ascii="Calibri" w:hAnsi="Calibri"/>
                <w:color w:val="auto"/>
                <w:szCs w:val="21"/>
              </w:rPr>
            </w:pPr>
            <w:r>
              <w:rPr>
                <w:rFonts w:ascii="Calibri" w:hAnsi="Calibri"/>
                <w:color w:val="auto"/>
                <w:szCs w:val="21"/>
              </w:rPr>
              <w:t>50</w:t>
            </w:r>
          </w:p>
        </w:tc>
        <w:tc>
          <w:tcPr>
            <w:tcW w:w="998" w:type="pct"/>
            <w:vAlign w:val="center"/>
          </w:tcPr>
          <w:p w14:paraId="0FCB46FE" w14:textId="77777777" w:rsidR="00DD676F" w:rsidRPr="00DD676F" w:rsidRDefault="00F7756F" w:rsidP="00DD676F">
            <w:pPr>
              <w:jc w:val="center"/>
              <w:rPr>
                <w:rFonts w:ascii="Calibri" w:hAnsi="Calibri"/>
                <w:color w:val="auto"/>
                <w:szCs w:val="21"/>
              </w:rPr>
            </w:pPr>
            <w:r>
              <w:rPr>
                <w:rFonts w:ascii="Calibri" w:hAnsi="Calibri"/>
                <w:color w:val="auto"/>
                <w:szCs w:val="21"/>
              </w:rPr>
              <w:t>50</w:t>
            </w:r>
          </w:p>
        </w:tc>
      </w:tr>
      <w:tr w:rsidR="00DD676F" w:rsidRPr="008B5E36" w14:paraId="4A497860" w14:textId="77777777" w:rsidTr="00DD676F">
        <w:trPr>
          <w:trHeight w:val="340"/>
        </w:trPr>
        <w:tc>
          <w:tcPr>
            <w:tcW w:w="1002" w:type="pct"/>
            <w:vMerge/>
            <w:vAlign w:val="center"/>
          </w:tcPr>
          <w:p w14:paraId="388C87A8" w14:textId="77777777" w:rsidR="00DD676F" w:rsidRPr="00DD676F" w:rsidRDefault="00DD676F" w:rsidP="00DD676F">
            <w:pPr>
              <w:jc w:val="center"/>
              <w:rPr>
                <w:rFonts w:ascii="Calibri" w:hAnsi="Calibri"/>
                <w:color w:val="auto"/>
                <w:szCs w:val="21"/>
              </w:rPr>
            </w:pPr>
          </w:p>
        </w:tc>
        <w:tc>
          <w:tcPr>
            <w:tcW w:w="1001" w:type="pct"/>
            <w:vAlign w:val="center"/>
          </w:tcPr>
          <w:p w14:paraId="023D055D"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甲酸</w:t>
            </w:r>
          </w:p>
        </w:tc>
        <w:tc>
          <w:tcPr>
            <w:tcW w:w="1000" w:type="pct"/>
            <w:vAlign w:val="center"/>
          </w:tcPr>
          <w:p w14:paraId="7A035F47" w14:textId="77777777" w:rsidR="00DD676F" w:rsidRPr="00DD676F" w:rsidRDefault="00DD676F" w:rsidP="00DD676F">
            <w:pPr>
              <w:jc w:val="center"/>
              <w:rPr>
                <w:rFonts w:ascii="Calibri" w:hAnsi="Calibri"/>
                <w:color w:val="auto"/>
                <w:szCs w:val="21"/>
              </w:rPr>
            </w:pPr>
            <w:r w:rsidRPr="00DD676F">
              <w:rPr>
                <w:rFonts w:ascii="Calibri" w:hAnsi="Calibri"/>
                <w:color w:val="auto"/>
                <w:szCs w:val="21"/>
              </w:rPr>
              <w:t>HCOOH</w:t>
            </w:r>
          </w:p>
        </w:tc>
        <w:tc>
          <w:tcPr>
            <w:tcW w:w="999" w:type="pct"/>
            <w:vAlign w:val="center"/>
          </w:tcPr>
          <w:p w14:paraId="6E6B2439"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c>
          <w:tcPr>
            <w:tcW w:w="998" w:type="pct"/>
            <w:vAlign w:val="center"/>
          </w:tcPr>
          <w:p w14:paraId="1F59922D"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r>
      <w:tr w:rsidR="00DD676F" w:rsidRPr="008B5E36" w14:paraId="7FCC58F2" w14:textId="77777777" w:rsidTr="00DD676F">
        <w:trPr>
          <w:trHeight w:val="340"/>
        </w:trPr>
        <w:tc>
          <w:tcPr>
            <w:tcW w:w="1002" w:type="pct"/>
            <w:vMerge w:val="restart"/>
            <w:vAlign w:val="center"/>
          </w:tcPr>
          <w:p w14:paraId="7F9BE545"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无机试剂</w:t>
            </w:r>
          </w:p>
        </w:tc>
        <w:tc>
          <w:tcPr>
            <w:tcW w:w="1001" w:type="pct"/>
            <w:vAlign w:val="center"/>
          </w:tcPr>
          <w:p w14:paraId="1AB78593"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0.02M</w:t>
            </w:r>
            <w:r w:rsidRPr="00DD676F">
              <w:rPr>
                <w:rFonts w:ascii="Calibri" w:hAnsi="Calibri" w:hint="eastAsia"/>
                <w:color w:val="auto"/>
                <w:szCs w:val="21"/>
              </w:rPr>
              <w:t>盐酸</w:t>
            </w:r>
          </w:p>
        </w:tc>
        <w:tc>
          <w:tcPr>
            <w:tcW w:w="1000" w:type="pct"/>
            <w:vAlign w:val="center"/>
          </w:tcPr>
          <w:p w14:paraId="0D8C1579"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HCl</w:t>
            </w:r>
          </w:p>
        </w:tc>
        <w:tc>
          <w:tcPr>
            <w:tcW w:w="999" w:type="pct"/>
            <w:vAlign w:val="center"/>
          </w:tcPr>
          <w:p w14:paraId="522077DB"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c>
          <w:tcPr>
            <w:tcW w:w="998" w:type="pct"/>
            <w:vAlign w:val="center"/>
          </w:tcPr>
          <w:p w14:paraId="42A2EF8A"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r>
      <w:tr w:rsidR="00DD676F" w:rsidRPr="008B5E36" w14:paraId="6B7FCDC2" w14:textId="77777777" w:rsidTr="00DD676F">
        <w:trPr>
          <w:trHeight w:val="340"/>
        </w:trPr>
        <w:tc>
          <w:tcPr>
            <w:tcW w:w="1002" w:type="pct"/>
            <w:vMerge/>
            <w:vAlign w:val="center"/>
          </w:tcPr>
          <w:p w14:paraId="5D7D379F" w14:textId="77777777" w:rsidR="00DD676F" w:rsidRPr="00DD676F" w:rsidRDefault="00DD676F" w:rsidP="00DD676F">
            <w:pPr>
              <w:jc w:val="center"/>
              <w:rPr>
                <w:rFonts w:ascii="Calibri" w:hAnsi="Calibri"/>
                <w:color w:val="auto"/>
                <w:szCs w:val="21"/>
              </w:rPr>
            </w:pPr>
          </w:p>
        </w:tc>
        <w:tc>
          <w:tcPr>
            <w:tcW w:w="1001" w:type="pct"/>
            <w:vAlign w:val="center"/>
          </w:tcPr>
          <w:p w14:paraId="27CBA468"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0.02M</w:t>
            </w:r>
            <w:r w:rsidRPr="00DD676F">
              <w:rPr>
                <w:rFonts w:ascii="Calibri" w:hAnsi="Calibri" w:hint="eastAsia"/>
                <w:color w:val="auto"/>
                <w:szCs w:val="21"/>
              </w:rPr>
              <w:t>氢氧化钠</w:t>
            </w:r>
          </w:p>
        </w:tc>
        <w:tc>
          <w:tcPr>
            <w:tcW w:w="1000" w:type="pct"/>
            <w:vAlign w:val="center"/>
          </w:tcPr>
          <w:p w14:paraId="4A6EF4DC"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NaOH</w:t>
            </w:r>
          </w:p>
        </w:tc>
        <w:tc>
          <w:tcPr>
            <w:tcW w:w="999" w:type="pct"/>
            <w:vAlign w:val="center"/>
          </w:tcPr>
          <w:p w14:paraId="1DB475EA"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c>
          <w:tcPr>
            <w:tcW w:w="998" w:type="pct"/>
            <w:vAlign w:val="center"/>
          </w:tcPr>
          <w:p w14:paraId="2F1C4B41"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r>
      <w:tr w:rsidR="00DD676F" w:rsidRPr="008B5E36" w14:paraId="0838C12F" w14:textId="77777777" w:rsidTr="00DD676F">
        <w:trPr>
          <w:trHeight w:val="340"/>
        </w:trPr>
        <w:tc>
          <w:tcPr>
            <w:tcW w:w="1002" w:type="pct"/>
            <w:vMerge/>
            <w:vAlign w:val="center"/>
          </w:tcPr>
          <w:p w14:paraId="210580D1" w14:textId="77777777" w:rsidR="00DD676F" w:rsidRPr="00DD676F" w:rsidRDefault="00DD676F" w:rsidP="00DD676F">
            <w:pPr>
              <w:jc w:val="center"/>
              <w:rPr>
                <w:rFonts w:ascii="Calibri" w:hAnsi="Calibri"/>
                <w:color w:val="auto"/>
                <w:szCs w:val="21"/>
              </w:rPr>
            </w:pPr>
          </w:p>
        </w:tc>
        <w:tc>
          <w:tcPr>
            <w:tcW w:w="1001" w:type="pct"/>
            <w:vAlign w:val="center"/>
          </w:tcPr>
          <w:p w14:paraId="6B2B96C8"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0.5M</w:t>
            </w:r>
            <w:r w:rsidRPr="00DD676F">
              <w:rPr>
                <w:rFonts w:ascii="Calibri" w:hAnsi="Calibri" w:hint="eastAsia"/>
                <w:color w:val="auto"/>
                <w:szCs w:val="21"/>
              </w:rPr>
              <w:t>氢氧化钠</w:t>
            </w:r>
          </w:p>
        </w:tc>
        <w:tc>
          <w:tcPr>
            <w:tcW w:w="1000" w:type="pct"/>
            <w:vAlign w:val="center"/>
          </w:tcPr>
          <w:p w14:paraId="02447417"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NaOH</w:t>
            </w:r>
          </w:p>
        </w:tc>
        <w:tc>
          <w:tcPr>
            <w:tcW w:w="999" w:type="pct"/>
            <w:vAlign w:val="center"/>
          </w:tcPr>
          <w:p w14:paraId="17264C88"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c>
          <w:tcPr>
            <w:tcW w:w="998" w:type="pct"/>
            <w:vAlign w:val="center"/>
          </w:tcPr>
          <w:p w14:paraId="3352BD66"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20</w:t>
            </w:r>
          </w:p>
        </w:tc>
      </w:tr>
      <w:tr w:rsidR="00DD676F" w:rsidRPr="008B5E36" w14:paraId="486AAB85" w14:textId="77777777" w:rsidTr="00DD676F">
        <w:trPr>
          <w:trHeight w:val="340"/>
        </w:trPr>
        <w:tc>
          <w:tcPr>
            <w:tcW w:w="1002" w:type="pct"/>
            <w:vMerge w:val="restart"/>
            <w:vAlign w:val="center"/>
          </w:tcPr>
          <w:p w14:paraId="0457D45C"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试剂</w:t>
            </w:r>
          </w:p>
        </w:tc>
        <w:tc>
          <w:tcPr>
            <w:tcW w:w="1001" w:type="pct"/>
            <w:vAlign w:val="center"/>
          </w:tcPr>
          <w:p w14:paraId="387A8E50"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PH4.0</w:t>
            </w:r>
            <w:r w:rsidRPr="00DD676F">
              <w:rPr>
                <w:rFonts w:ascii="Calibri" w:hAnsi="Calibri" w:hint="eastAsia"/>
                <w:color w:val="auto"/>
                <w:szCs w:val="21"/>
              </w:rPr>
              <w:t>缓冲试剂（邻苯</w:t>
            </w:r>
            <w:r w:rsidRPr="00DD676F">
              <w:rPr>
                <w:rFonts w:ascii="Calibri" w:hAnsi="Calibri"/>
                <w:color w:val="auto"/>
                <w:szCs w:val="21"/>
              </w:rPr>
              <w:t>二甲酸氢钾</w:t>
            </w:r>
            <w:r w:rsidRPr="00DD676F">
              <w:rPr>
                <w:rFonts w:ascii="Calibri" w:hAnsi="Calibri" w:hint="eastAsia"/>
                <w:color w:val="auto"/>
                <w:szCs w:val="21"/>
              </w:rPr>
              <w:t>）</w:t>
            </w:r>
          </w:p>
        </w:tc>
        <w:tc>
          <w:tcPr>
            <w:tcW w:w="1000" w:type="pct"/>
            <w:vAlign w:val="center"/>
          </w:tcPr>
          <w:p w14:paraId="50B25214" w14:textId="77777777" w:rsidR="00DD676F" w:rsidRPr="00DD676F" w:rsidRDefault="00DD676F" w:rsidP="00DD676F">
            <w:pPr>
              <w:jc w:val="center"/>
              <w:rPr>
                <w:rFonts w:ascii="Calibri" w:hAnsi="Calibri"/>
                <w:color w:val="auto"/>
                <w:szCs w:val="21"/>
              </w:rPr>
            </w:pPr>
            <w:r w:rsidRPr="00DD676F">
              <w:rPr>
                <w:rFonts w:ascii="Calibri" w:hAnsi="Calibri"/>
                <w:color w:val="auto"/>
                <w:szCs w:val="21"/>
              </w:rPr>
              <w:t>C</w:t>
            </w:r>
            <w:r w:rsidRPr="00DD676F">
              <w:rPr>
                <w:rFonts w:ascii="Calibri" w:hAnsi="Calibri"/>
                <w:color w:val="auto"/>
                <w:szCs w:val="21"/>
                <w:vertAlign w:val="subscript"/>
              </w:rPr>
              <w:t>8</w:t>
            </w:r>
            <w:r w:rsidRPr="00DD676F">
              <w:rPr>
                <w:rFonts w:ascii="Calibri" w:hAnsi="Calibri"/>
                <w:color w:val="auto"/>
                <w:szCs w:val="21"/>
              </w:rPr>
              <w:t>H</w:t>
            </w:r>
            <w:r w:rsidRPr="00DD676F">
              <w:rPr>
                <w:rFonts w:ascii="Calibri" w:hAnsi="Calibri"/>
                <w:color w:val="auto"/>
                <w:szCs w:val="21"/>
                <w:vertAlign w:val="subscript"/>
              </w:rPr>
              <w:t>5</w:t>
            </w:r>
            <w:r w:rsidRPr="00DD676F">
              <w:rPr>
                <w:rFonts w:ascii="Calibri" w:hAnsi="Calibri"/>
                <w:color w:val="auto"/>
                <w:szCs w:val="21"/>
              </w:rPr>
              <w:t>KO</w:t>
            </w:r>
            <w:r w:rsidRPr="00DD676F">
              <w:rPr>
                <w:rFonts w:ascii="Calibri" w:hAnsi="Calibri"/>
                <w:color w:val="auto"/>
                <w:szCs w:val="21"/>
                <w:vertAlign w:val="subscript"/>
              </w:rPr>
              <w:t>4</w:t>
            </w:r>
          </w:p>
        </w:tc>
        <w:tc>
          <w:tcPr>
            <w:tcW w:w="999" w:type="pct"/>
            <w:vAlign w:val="center"/>
          </w:tcPr>
          <w:p w14:paraId="640399E3"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0.5</w:t>
            </w:r>
          </w:p>
        </w:tc>
        <w:tc>
          <w:tcPr>
            <w:tcW w:w="998" w:type="pct"/>
            <w:vAlign w:val="center"/>
          </w:tcPr>
          <w:p w14:paraId="79338462"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0.5</w:t>
            </w:r>
          </w:p>
        </w:tc>
      </w:tr>
      <w:tr w:rsidR="00DD676F" w:rsidRPr="008B5E36" w14:paraId="41B442B1" w14:textId="77777777" w:rsidTr="00DD676F">
        <w:trPr>
          <w:trHeight w:val="340"/>
        </w:trPr>
        <w:tc>
          <w:tcPr>
            <w:tcW w:w="1002" w:type="pct"/>
            <w:vMerge/>
            <w:vAlign w:val="center"/>
          </w:tcPr>
          <w:p w14:paraId="3F42FA56" w14:textId="77777777" w:rsidR="00DD676F" w:rsidRPr="00DD676F" w:rsidRDefault="00DD676F" w:rsidP="00DD676F">
            <w:pPr>
              <w:jc w:val="center"/>
              <w:rPr>
                <w:rFonts w:ascii="Calibri" w:hAnsi="Calibri"/>
                <w:color w:val="auto"/>
                <w:szCs w:val="21"/>
              </w:rPr>
            </w:pPr>
          </w:p>
        </w:tc>
        <w:tc>
          <w:tcPr>
            <w:tcW w:w="1001" w:type="pct"/>
            <w:vAlign w:val="center"/>
          </w:tcPr>
          <w:p w14:paraId="078A9A19"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PH</w:t>
            </w:r>
            <w:r w:rsidRPr="00DD676F">
              <w:rPr>
                <w:rFonts w:ascii="Calibri" w:hAnsi="Calibri"/>
                <w:color w:val="auto"/>
                <w:szCs w:val="21"/>
              </w:rPr>
              <w:t>6.86</w:t>
            </w:r>
            <w:r w:rsidRPr="00DD676F">
              <w:rPr>
                <w:rFonts w:ascii="Calibri" w:hAnsi="Calibri" w:hint="eastAsia"/>
                <w:color w:val="auto"/>
                <w:szCs w:val="21"/>
              </w:rPr>
              <w:t>缓冲试剂</w:t>
            </w:r>
          </w:p>
          <w:p w14:paraId="6B46774A"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（混合</w:t>
            </w:r>
            <w:r w:rsidRPr="00DD676F">
              <w:rPr>
                <w:rFonts w:ascii="Calibri" w:hAnsi="Calibri"/>
                <w:color w:val="auto"/>
                <w:szCs w:val="21"/>
              </w:rPr>
              <w:t>磷酸盐</w:t>
            </w:r>
            <w:r w:rsidRPr="00DD676F">
              <w:rPr>
                <w:rFonts w:ascii="Calibri" w:hAnsi="Calibri" w:hint="eastAsia"/>
                <w:color w:val="auto"/>
                <w:szCs w:val="21"/>
              </w:rPr>
              <w:t>）</w:t>
            </w:r>
          </w:p>
        </w:tc>
        <w:tc>
          <w:tcPr>
            <w:tcW w:w="1000" w:type="pct"/>
            <w:vAlign w:val="center"/>
          </w:tcPr>
          <w:p w14:paraId="095B334B"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w:t>
            </w:r>
          </w:p>
        </w:tc>
        <w:tc>
          <w:tcPr>
            <w:tcW w:w="999" w:type="pct"/>
            <w:vAlign w:val="center"/>
          </w:tcPr>
          <w:p w14:paraId="0ACB7CD2"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0.5</w:t>
            </w:r>
          </w:p>
        </w:tc>
        <w:tc>
          <w:tcPr>
            <w:tcW w:w="998" w:type="pct"/>
            <w:vAlign w:val="center"/>
          </w:tcPr>
          <w:p w14:paraId="3B803D16"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0.5</w:t>
            </w:r>
          </w:p>
        </w:tc>
      </w:tr>
      <w:tr w:rsidR="00DD676F" w:rsidRPr="008B5E36" w14:paraId="69A2F269" w14:textId="77777777" w:rsidTr="00DD676F">
        <w:trPr>
          <w:trHeight w:val="340"/>
        </w:trPr>
        <w:tc>
          <w:tcPr>
            <w:tcW w:w="1002" w:type="pct"/>
            <w:vMerge/>
            <w:vAlign w:val="center"/>
          </w:tcPr>
          <w:p w14:paraId="3B6F6801" w14:textId="77777777" w:rsidR="00DD676F" w:rsidRPr="00DD676F" w:rsidRDefault="00DD676F" w:rsidP="00DD676F">
            <w:pPr>
              <w:jc w:val="center"/>
              <w:rPr>
                <w:rFonts w:ascii="Calibri" w:hAnsi="Calibri"/>
                <w:color w:val="auto"/>
                <w:szCs w:val="21"/>
              </w:rPr>
            </w:pPr>
          </w:p>
        </w:tc>
        <w:tc>
          <w:tcPr>
            <w:tcW w:w="1001" w:type="pct"/>
            <w:vAlign w:val="center"/>
          </w:tcPr>
          <w:p w14:paraId="3BF5B0D3"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PH</w:t>
            </w:r>
            <w:r w:rsidRPr="00DD676F">
              <w:rPr>
                <w:rFonts w:ascii="Calibri" w:hAnsi="Calibri"/>
                <w:color w:val="auto"/>
                <w:szCs w:val="21"/>
              </w:rPr>
              <w:t>9.18</w:t>
            </w:r>
            <w:r w:rsidRPr="00DD676F">
              <w:rPr>
                <w:rFonts w:ascii="Calibri" w:hAnsi="Calibri" w:hint="eastAsia"/>
                <w:color w:val="auto"/>
                <w:szCs w:val="21"/>
              </w:rPr>
              <w:t>缓冲试剂</w:t>
            </w:r>
          </w:p>
          <w:p w14:paraId="5B8D6CE9" w14:textId="77777777" w:rsidR="00DD676F" w:rsidRPr="00DD676F" w:rsidRDefault="00DD676F" w:rsidP="00DD676F">
            <w:pPr>
              <w:jc w:val="center"/>
              <w:rPr>
                <w:rFonts w:ascii="Calibri" w:hAnsi="Calibri"/>
                <w:color w:val="auto"/>
                <w:szCs w:val="21"/>
              </w:rPr>
            </w:pPr>
            <w:r w:rsidRPr="00DD676F">
              <w:rPr>
                <w:rFonts w:ascii="Calibri" w:hAnsi="Calibri" w:hint="eastAsia"/>
                <w:color w:val="auto"/>
                <w:szCs w:val="21"/>
              </w:rPr>
              <w:t>（四硼</w:t>
            </w:r>
            <w:r w:rsidRPr="00DD676F">
              <w:rPr>
                <w:rFonts w:ascii="Calibri" w:hAnsi="Calibri"/>
                <w:color w:val="auto"/>
                <w:szCs w:val="21"/>
              </w:rPr>
              <w:t>酸钠</w:t>
            </w:r>
            <w:r w:rsidRPr="00DD676F">
              <w:rPr>
                <w:rFonts w:ascii="Calibri" w:hAnsi="Calibri" w:hint="eastAsia"/>
                <w:color w:val="auto"/>
                <w:szCs w:val="21"/>
              </w:rPr>
              <w:t>）</w:t>
            </w:r>
          </w:p>
        </w:tc>
        <w:tc>
          <w:tcPr>
            <w:tcW w:w="1000" w:type="pct"/>
            <w:vAlign w:val="center"/>
          </w:tcPr>
          <w:p w14:paraId="5B9813D0" w14:textId="77777777" w:rsidR="00DD676F" w:rsidRPr="00DD676F" w:rsidRDefault="00DD676F" w:rsidP="00DD676F">
            <w:pPr>
              <w:jc w:val="center"/>
              <w:rPr>
                <w:rFonts w:ascii="Calibri" w:hAnsi="Calibri"/>
                <w:color w:val="auto"/>
                <w:szCs w:val="21"/>
              </w:rPr>
            </w:pPr>
            <w:r w:rsidRPr="00DD676F">
              <w:rPr>
                <w:rFonts w:ascii="Calibri" w:hAnsi="Calibri"/>
                <w:color w:val="auto"/>
                <w:szCs w:val="21"/>
              </w:rPr>
              <w:t>Na</w:t>
            </w:r>
            <w:r w:rsidRPr="00DD676F">
              <w:rPr>
                <w:rFonts w:ascii="Calibri" w:hAnsi="Calibri"/>
                <w:color w:val="auto"/>
                <w:szCs w:val="21"/>
                <w:vertAlign w:val="subscript"/>
              </w:rPr>
              <w:t>2</w:t>
            </w:r>
            <w:r w:rsidRPr="00DD676F">
              <w:rPr>
                <w:rFonts w:ascii="Calibri" w:hAnsi="Calibri"/>
                <w:color w:val="auto"/>
                <w:szCs w:val="21"/>
              </w:rPr>
              <w:t>B</w:t>
            </w:r>
            <w:r w:rsidRPr="00DD676F">
              <w:rPr>
                <w:rFonts w:ascii="Calibri" w:hAnsi="Calibri"/>
                <w:color w:val="auto"/>
                <w:szCs w:val="21"/>
                <w:vertAlign w:val="subscript"/>
              </w:rPr>
              <w:t>4</w:t>
            </w:r>
            <w:r w:rsidRPr="00DD676F">
              <w:rPr>
                <w:rFonts w:ascii="Calibri" w:hAnsi="Calibri"/>
                <w:color w:val="auto"/>
                <w:szCs w:val="21"/>
              </w:rPr>
              <w:t>O</w:t>
            </w:r>
            <w:r w:rsidRPr="00DD676F">
              <w:rPr>
                <w:rFonts w:ascii="Calibri" w:hAnsi="Calibri"/>
                <w:color w:val="auto"/>
                <w:szCs w:val="21"/>
                <w:vertAlign w:val="subscript"/>
              </w:rPr>
              <w:t>7</w:t>
            </w:r>
            <w:r w:rsidRPr="00DD676F">
              <w:rPr>
                <w:rFonts w:ascii="Calibri" w:hAnsi="Calibri"/>
                <w:color w:val="auto"/>
                <w:szCs w:val="21"/>
              </w:rPr>
              <w:t>.10H</w:t>
            </w:r>
            <w:r w:rsidRPr="00DD676F">
              <w:rPr>
                <w:rFonts w:ascii="Calibri" w:hAnsi="Calibri"/>
                <w:color w:val="auto"/>
                <w:szCs w:val="21"/>
                <w:vertAlign w:val="subscript"/>
              </w:rPr>
              <w:t>2</w:t>
            </w:r>
            <w:r w:rsidRPr="00DD676F">
              <w:rPr>
                <w:rFonts w:ascii="Calibri" w:hAnsi="Calibri"/>
                <w:color w:val="auto"/>
                <w:szCs w:val="21"/>
              </w:rPr>
              <w:t>O</w:t>
            </w:r>
          </w:p>
        </w:tc>
        <w:tc>
          <w:tcPr>
            <w:tcW w:w="999" w:type="pct"/>
            <w:vAlign w:val="center"/>
          </w:tcPr>
          <w:p w14:paraId="743D055A"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0.5</w:t>
            </w:r>
          </w:p>
        </w:tc>
        <w:tc>
          <w:tcPr>
            <w:tcW w:w="998" w:type="pct"/>
            <w:vAlign w:val="center"/>
          </w:tcPr>
          <w:p w14:paraId="64033206" w14:textId="77777777" w:rsidR="00DD676F" w:rsidRPr="00DD676F" w:rsidRDefault="00DD676F" w:rsidP="00DD676F">
            <w:pPr>
              <w:jc w:val="center"/>
              <w:rPr>
                <w:rFonts w:ascii="Calibri" w:hAnsi="Calibri"/>
                <w:color w:val="auto"/>
                <w:szCs w:val="21"/>
              </w:rPr>
            </w:pPr>
            <w:r>
              <w:rPr>
                <w:rFonts w:ascii="Calibri" w:hAnsi="Calibri" w:hint="eastAsia"/>
                <w:color w:val="auto"/>
                <w:szCs w:val="21"/>
              </w:rPr>
              <w:t>0.5</w:t>
            </w:r>
          </w:p>
        </w:tc>
      </w:tr>
    </w:tbl>
    <w:p w14:paraId="2B3A8501" w14:textId="77777777" w:rsidR="004554C2" w:rsidRPr="00A964FF" w:rsidRDefault="00F13A8B" w:rsidP="00DD676F">
      <w:pPr>
        <w:pStyle w:val="p15"/>
        <w:spacing w:line="520" w:lineRule="atLeast"/>
        <w:ind w:firstLineChars="200" w:firstLine="482"/>
        <w:rPr>
          <w:rFonts w:ascii="Calibri" w:hAnsi="Calibri"/>
          <w:b/>
          <w:color w:val="auto"/>
          <w:kern w:val="2"/>
          <w:sz w:val="24"/>
          <w:szCs w:val="24"/>
        </w:rPr>
      </w:pPr>
      <w:r>
        <w:rPr>
          <w:rFonts w:ascii="Calibri" w:hAnsi="Calibri"/>
          <w:b/>
          <w:color w:val="auto"/>
          <w:kern w:val="2"/>
          <w:sz w:val="24"/>
          <w:szCs w:val="24"/>
        </w:rPr>
        <w:t>2</w:t>
      </w:r>
      <w:r w:rsidR="004554C2" w:rsidRPr="00A964FF">
        <w:rPr>
          <w:rFonts w:ascii="Calibri" w:hAnsi="Calibri" w:hint="eastAsia"/>
          <w:b/>
          <w:color w:val="auto"/>
          <w:kern w:val="2"/>
          <w:sz w:val="24"/>
          <w:szCs w:val="24"/>
        </w:rPr>
        <w:t>、理化性质</w:t>
      </w:r>
    </w:p>
    <w:p w14:paraId="7F0D4F8D" w14:textId="77777777" w:rsidR="00297513" w:rsidRPr="00BB0668" w:rsidRDefault="00E35551" w:rsidP="00BB0668">
      <w:pPr>
        <w:pStyle w:val="p15"/>
        <w:spacing w:line="520" w:lineRule="atLeast"/>
        <w:ind w:firstLine="480"/>
        <w:rPr>
          <w:rFonts w:ascii="Calibri" w:hAnsi="Calibri"/>
          <w:color w:val="auto"/>
          <w:kern w:val="2"/>
          <w:sz w:val="24"/>
          <w:szCs w:val="24"/>
        </w:rPr>
      </w:pPr>
      <w:r w:rsidRPr="00E35551">
        <w:rPr>
          <w:rFonts w:ascii="Calibri" w:hAnsi="Calibri" w:hint="eastAsia"/>
          <w:color w:val="auto"/>
          <w:kern w:val="2"/>
          <w:sz w:val="24"/>
          <w:szCs w:val="24"/>
        </w:rPr>
        <w:t>本项目</w:t>
      </w:r>
      <w:r w:rsidRPr="00E35551">
        <w:rPr>
          <w:rFonts w:ascii="Calibri" w:hAnsi="Calibri"/>
          <w:color w:val="auto"/>
          <w:kern w:val="2"/>
          <w:sz w:val="24"/>
          <w:szCs w:val="24"/>
        </w:rPr>
        <w:t>一期、二期</w:t>
      </w:r>
      <w:r w:rsidRPr="00E35551">
        <w:rPr>
          <w:rFonts w:ascii="Calibri" w:hAnsi="Calibri" w:hint="eastAsia"/>
          <w:color w:val="auto"/>
          <w:kern w:val="2"/>
          <w:sz w:val="24"/>
          <w:szCs w:val="24"/>
        </w:rPr>
        <w:t>所用</w:t>
      </w:r>
      <w:r w:rsidRPr="00E35551">
        <w:rPr>
          <w:rFonts w:ascii="Calibri" w:hAnsi="Calibri"/>
          <w:color w:val="auto"/>
          <w:kern w:val="2"/>
          <w:sz w:val="24"/>
          <w:szCs w:val="24"/>
        </w:rPr>
        <w:t>的原料种类相同，</w:t>
      </w:r>
      <w:r>
        <w:rPr>
          <w:rFonts w:ascii="Calibri" w:hAnsi="Calibri" w:hint="eastAsia"/>
          <w:color w:val="auto"/>
          <w:kern w:val="2"/>
          <w:sz w:val="24"/>
          <w:szCs w:val="24"/>
        </w:rPr>
        <w:t>本项目原辅料</w:t>
      </w:r>
      <w:r>
        <w:rPr>
          <w:rFonts w:ascii="Calibri" w:hAnsi="Calibri"/>
          <w:color w:val="auto"/>
          <w:kern w:val="2"/>
          <w:sz w:val="24"/>
          <w:szCs w:val="24"/>
        </w:rPr>
        <w:t>材料</w:t>
      </w:r>
      <w:r w:rsidR="00297513">
        <w:rPr>
          <w:rFonts w:ascii="Calibri" w:hAnsi="Calibri" w:hint="eastAsia"/>
          <w:color w:val="auto"/>
          <w:kern w:val="2"/>
          <w:sz w:val="24"/>
          <w:szCs w:val="24"/>
        </w:rPr>
        <w:t>及</w:t>
      </w:r>
      <w:r w:rsidR="00852DCA">
        <w:rPr>
          <w:rFonts w:ascii="Calibri" w:hAnsi="Calibri" w:hint="eastAsia"/>
          <w:color w:val="auto"/>
          <w:kern w:val="2"/>
          <w:sz w:val="24"/>
          <w:szCs w:val="24"/>
        </w:rPr>
        <w:t>品控</w:t>
      </w:r>
      <w:r w:rsidR="00852DCA">
        <w:rPr>
          <w:rFonts w:ascii="Calibri" w:hAnsi="Calibri"/>
          <w:color w:val="auto"/>
          <w:kern w:val="2"/>
          <w:sz w:val="24"/>
          <w:szCs w:val="24"/>
        </w:rPr>
        <w:t>中心检测试剂</w:t>
      </w:r>
      <w:r>
        <w:rPr>
          <w:rFonts w:ascii="Calibri" w:hAnsi="Calibri" w:hint="eastAsia"/>
          <w:color w:val="auto"/>
          <w:kern w:val="2"/>
          <w:sz w:val="24"/>
          <w:szCs w:val="24"/>
        </w:rPr>
        <w:t>理化性质见下表：</w:t>
      </w:r>
    </w:p>
    <w:p w14:paraId="3CB1CC68" w14:textId="77777777" w:rsidR="00E35551" w:rsidRPr="00A964FF" w:rsidRDefault="00E35551" w:rsidP="00E35551">
      <w:pPr>
        <w:spacing w:line="520" w:lineRule="exact"/>
        <w:ind w:firstLineChars="400" w:firstLine="960"/>
        <w:rPr>
          <w:rFonts w:eastAsia="黑体"/>
          <w:color w:val="auto"/>
          <w:sz w:val="24"/>
        </w:rPr>
      </w:pPr>
      <w:r w:rsidRPr="00A964FF">
        <w:rPr>
          <w:rFonts w:ascii="Calibri" w:eastAsia="黑体" w:hAnsi="Calibri" w:hint="eastAsia"/>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.1</w:t>
      </w:r>
      <w:r w:rsidRPr="00A964FF">
        <w:rPr>
          <w:rFonts w:ascii="Calibri" w:eastAsia="黑体" w:hAnsi="Calibri"/>
          <w:color w:val="auto"/>
          <w:sz w:val="24"/>
        </w:rPr>
        <w:t>-</w:t>
      </w:r>
      <w:r w:rsidR="006B496C">
        <w:rPr>
          <w:rFonts w:ascii="Calibri" w:eastAsia="黑体" w:hAnsi="Calibri"/>
          <w:color w:val="auto"/>
          <w:sz w:val="24"/>
        </w:rPr>
        <w:t>7</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Pr>
          <w:rFonts w:ascii="Calibri" w:eastAsia="黑体" w:hAnsi="Calibri" w:hint="eastAsia"/>
          <w:color w:val="auto"/>
          <w:sz w:val="24"/>
        </w:rPr>
        <w:t>本项目原辅材料理化性质一览表</w:t>
      </w:r>
    </w:p>
    <w:tbl>
      <w:tblPr>
        <w:tblStyle w:val="TableNormal"/>
        <w:tblW w:w="8821" w:type="dxa"/>
        <w:tblInd w:w="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Look w:val="04A0" w:firstRow="1" w:lastRow="0" w:firstColumn="1" w:lastColumn="0" w:noHBand="0" w:noVBand="1"/>
      </w:tblPr>
      <w:tblGrid>
        <w:gridCol w:w="928"/>
        <w:gridCol w:w="928"/>
        <w:gridCol w:w="4249"/>
        <w:gridCol w:w="1134"/>
        <w:gridCol w:w="1582"/>
      </w:tblGrid>
      <w:tr w:rsidR="00E35551" w:rsidRPr="00E35551" w14:paraId="5CBE0670" w14:textId="77777777" w:rsidTr="005C008F">
        <w:tc>
          <w:tcPr>
            <w:tcW w:w="928" w:type="dxa"/>
            <w:vAlign w:val="center"/>
          </w:tcPr>
          <w:p w14:paraId="0BFB991C" w14:textId="77777777" w:rsidR="00E35551" w:rsidRPr="00E35551" w:rsidRDefault="00E35551"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序号</w:t>
            </w:r>
          </w:p>
        </w:tc>
        <w:tc>
          <w:tcPr>
            <w:tcW w:w="928" w:type="dxa"/>
            <w:vAlign w:val="center"/>
          </w:tcPr>
          <w:p w14:paraId="4E2D8D28" w14:textId="77777777" w:rsidR="00E35551" w:rsidRPr="00E35551" w:rsidRDefault="00E35551" w:rsidP="00385A80">
            <w:pPr>
              <w:adjustRightInd w:val="0"/>
              <w:snapToGrid w:val="0"/>
              <w:spacing w:before="78"/>
              <w:jc w:val="center"/>
              <w:rPr>
                <w:rFonts w:asciiTheme="minorHAnsi" w:eastAsiaTheme="minorEastAsia" w:hAnsiTheme="minorHAnsi"/>
                <w:spacing w:val="-8"/>
                <w:szCs w:val="21"/>
              </w:rPr>
            </w:pPr>
            <w:r w:rsidRPr="00E35551">
              <w:rPr>
                <w:rFonts w:asciiTheme="minorHAnsi" w:eastAsiaTheme="minorEastAsia" w:hAnsiTheme="minorHAnsi"/>
                <w:spacing w:val="-8"/>
                <w:szCs w:val="21"/>
              </w:rPr>
              <w:t>名称</w:t>
            </w:r>
          </w:p>
        </w:tc>
        <w:tc>
          <w:tcPr>
            <w:tcW w:w="4249" w:type="dxa"/>
            <w:vAlign w:val="center"/>
          </w:tcPr>
          <w:p w14:paraId="448D0408" w14:textId="77777777" w:rsidR="00E35551" w:rsidRPr="00E35551" w:rsidRDefault="00E35551" w:rsidP="00385A80">
            <w:pPr>
              <w:adjustRightInd w:val="0"/>
              <w:snapToGrid w:val="0"/>
              <w:spacing w:before="78"/>
              <w:jc w:val="center"/>
              <w:rPr>
                <w:rFonts w:asciiTheme="minorHAnsi" w:eastAsiaTheme="minorEastAsia" w:hAnsiTheme="minorHAnsi"/>
                <w:spacing w:val="-8"/>
                <w:szCs w:val="21"/>
              </w:rPr>
            </w:pPr>
            <w:r w:rsidRPr="00E35551">
              <w:rPr>
                <w:rFonts w:asciiTheme="minorHAnsi" w:eastAsiaTheme="minorEastAsia" w:hAnsiTheme="minorHAnsi"/>
                <w:spacing w:val="-8"/>
                <w:szCs w:val="21"/>
              </w:rPr>
              <w:t>理化性质</w:t>
            </w:r>
          </w:p>
        </w:tc>
        <w:tc>
          <w:tcPr>
            <w:tcW w:w="1134" w:type="dxa"/>
            <w:vAlign w:val="center"/>
          </w:tcPr>
          <w:p w14:paraId="70E09233" w14:textId="77777777" w:rsidR="00E35551" w:rsidRPr="00E35551" w:rsidRDefault="00E35551" w:rsidP="00385A80">
            <w:pPr>
              <w:adjustRightInd w:val="0"/>
              <w:snapToGrid w:val="0"/>
              <w:spacing w:before="78"/>
              <w:jc w:val="center"/>
              <w:rPr>
                <w:rFonts w:asciiTheme="minorHAnsi" w:eastAsiaTheme="minorEastAsia" w:hAnsiTheme="minorHAnsi"/>
                <w:spacing w:val="-8"/>
                <w:szCs w:val="21"/>
              </w:rPr>
            </w:pPr>
            <w:r w:rsidRPr="00E35551">
              <w:rPr>
                <w:rFonts w:asciiTheme="minorHAnsi" w:eastAsiaTheme="minorEastAsia" w:hAnsiTheme="minorHAnsi"/>
                <w:spacing w:val="-8"/>
                <w:szCs w:val="21"/>
              </w:rPr>
              <w:t>燃烧爆炸性</w:t>
            </w:r>
          </w:p>
        </w:tc>
        <w:tc>
          <w:tcPr>
            <w:tcW w:w="1582" w:type="dxa"/>
            <w:vAlign w:val="center"/>
          </w:tcPr>
          <w:p w14:paraId="7255B2EC" w14:textId="77777777" w:rsidR="00E35551" w:rsidRPr="00E35551" w:rsidRDefault="00E35551" w:rsidP="00385A80">
            <w:pPr>
              <w:adjustRightInd w:val="0"/>
              <w:snapToGrid w:val="0"/>
              <w:spacing w:before="78"/>
              <w:jc w:val="center"/>
              <w:rPr>
                <w:rFonts w:asciiTheme="minorHAnsi" w:eastAsiaTheme="minorEastAsia" w:hAnsiTheme="minorHAnsi"/>
                <w:spacing w:val="-8"/>
                <w:szCs w:val="21"/>
              </w:rPr>
            </w:pPr>
            <w:r w:rsidRPr="00E35551">
              <w:rPr>
                <w:rFonts w:asciiTheme="minorHAnsi" w:eastAsiaTheme="minorEastAsia" w:hAnsiTheme="minorHAnsi"/>
                <w:spacing w:val="-8"/>
                <w:szCs w:val="21"/>
              </w:rPr>
              <w:t>毒理毒性</w:t>
            </w:r>
          </w:p>
        </w:tc>
      </w:tr>
      <w:tr w:rsidR="00E35551" w:rsidRPr="00E35551" w14:paraId="6FEE2B8D" w14:textId="77777777" w:rsidTr="005C008F">
        <w:tc>
          <w:tcPr>
            <w:tcW w:w="928" w:type="dxa"/>
            <w:vAlign w:val="center"/>
          </w:tcPr>
          <w:p w14:paraId="0109D686" w14:textId="77777777" w:rsidR="00E35551" w:rsidRPr="00E35551" w:rsidRDefault="00E35551"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1</w:t>
            </w:r>
          </w:p>
        </w:tc>
        <w:tc>
          <w:tcPr>
            <w:tcW w:w="928" w:type="dxa"/>
            <w:vAlign w:val="center"/>
          </w:tcPr>
          <w:p w14:paraId="7177925E" w14:textId="77777777" w:rsidR="00E35551" w:rsidRPr="00E35551" w:rsidRDefault="00E35551" w:rsidP="00CE7A1F">
            <w:pPr>
              <w:adjustRightInd w:val="0"/>
              <w:snapToGrid w:val="0"/>
              <w:spacing w:before="78"/>
              <w:ind w:left="194" w:hangingChars="100" w:hanging="194"/>
              <w:rPr>
                <w:rFonts w:asciiTheme="minorHAnsi" w:eastAsiaTheme="minorEastAsia" w:hAnsiTheme="minorHAnsi"/>
                <w:spacing w:val="-8"/>
                <w:szCs w:val="21"/>
              </w:rPr>
            </w:pPr>
            <w:r w:rsidRPr="00E35551">
              <w:rPr>
                <w:rFonts w:asciiTheme="minorHAnsi" w:eastAsiaTheme="minorEastAsia" w:hAnsiTheme="minorHAnsi" w:hint="eastAsia"/>
                <w:spacing w:val="-8"/>
                <w:szCs w:val="21"/>
              </w:rPr>
              <w:t>尼龙</w:t>
            </w:r>
            <w:r w:rsidRPr="00E35551">
              <w:rPr>
                <w:rFonts w:asciiTheme="minorHAnsi" w:eastAsiaTheme="minorEastAsia" w:hAnsiTheme="minorHAnsi" w:hint="eastAsia"/>
                <w:spacing w:val="-8"/>
                <w:szCs w:val="21"/>
              </w:rPr>
              <w:t>66</w:t>
            </w:r>
            <w:r w:rsidRPr="00E35551">
              <w:rPr>
                <w:rFonts w:asciiTheme="minorHAnsi" w:eastAsiaTheme="minorEastAsia" w:hAnsiTheme="minorHAnsi" w:hint="eastAsia"/>
                <w:spacing w:val="-8"/>
                <w:szCs w:val="21"/>
              </w:rPr>
              <w:t>盐</w:t>
            </w:r>
            <w:r w:rsidR="00CE7A1F">
              <w:rPr>
                <w:rFonts w:asciiTheme="minorHAnsi" w:eastAsiaTheme="minorEastAsia" w:hAnsiTheme="minorHAnsi" w:hint="eastAsia"/>
                <w:spacing w:val="-8"/>
                <w:szCs w:val="21"/>
              </w:rPr>
              <w:t>溶液</w:t>
            </w:r>
          </w:p>
        </w:tc>
        <w:tc>
          <w:tcPr>
            <w:tcW w:w="4249" w:type="dxa"/>
            <w:vAlign w:val="center"/>
          </w:tcPr>
          <w:p w14:paraId="13370921" w14:textId="77777777" w:rsidR="00E35551" w:rsidRPr="00E35551" w:rsidRDefault="00E35551" w:rsidP="00E35551">
            <w:pPr>
              <w:adjustRightInd w:val="0"/>
              <w:snapToGrid w:val="0"/>
              <w:spacing w:before="78"/>
              <w:jc w:val="left"/>
              <w:rPr>
                <w:rFonts w:asciiTheme="minorHAnsi" w:eastAsiaTheme="minorEastAsia" w:hAnsiTheme="minorHAnsi"/>
                <w:spacing w:val="-8"/>
                <w:szCs w:val="21"/>
              </w:rPr>
            </w:pPr>
            <w:r w:rsidRPr="00E35551">
              <w:rPr>
                <w:rFonts w:asciiTheme="minorHAnsi" w:eastAsiaTheme="minorEastAsia" w:hAnsiTheme="minorHAnsi"/>
                <w:spacing w:val="-8"/>
                <w:szCs w:val="21"/>
              </w:rPr>
              <w:t>CAS</w:t>
            </w:r>
            <w:r w:rsidRPr="00E35551">
              <w:rPr>
                <w:rFonts w:asciiTheme="minorHAnsi" w:eastAsiaTheme="minorEastAsia" w:hAnsiTheme="minorHAnsi"/>
                <w:spacing w:val="-8"/>
                <w:szCs w:val="21"/>
              </w:rPr>
              <w:t>：</w:t>
            </w:r>
            <w:r>
              <w:rPr>
                <w:rFonts w:asciiTheme="minorHAnsi" w:eastAsiaTheme="minorEastAsia" w:hAnsiTheme="minorHAnsi"/>
                <w:spacing w:val="-8"/>
                <w:szCs w:val="21"/>
              </w:rPr>
              <w:t>32131-17-2</w:t>
            </w:r>
            <w:r w:rsidRPr="00E35551">
              <w:rPr>
                <w:rFonts w:asciiTheme="minorHAnsi" w:eastAsiaTheme="minorEastAsia" w:hAnsiTheme="minorHAnsi"/>
                <w:spacing w:val="-8"/>
                <w:szCs w:val="21"/>
              </w:rPr>
              <w:t>；</w:t>
            </w:r>
            <w:r w:rsidRPr="00E35551">
              <w:rPr>
                <w:rFonts w:asciiTheme="minorHAnsi" w:eastAsiaTheme="minorEastAsia" w:hAnsiTheme="minorHAnsi" w:hint="eastAsia"/>
                <w:spacing w:val="-8"/>
                <w:szCs w:val="21"/>
              </w:rPr>
              <w:t>尼龙</w:t>
            </w:r>
            <w:r w:rsidRPr="00E35551">
              <w:rPr>
                <w:rFonts w:asciiTheme="minorHAnsi" w:eastAsiaTheme="minorEastAsia" w:hAnsiTheme="minorHAnsi" w:hint="eastAsia"/>
                <w:spacing w:val="-8"/>
                <w:szCs w:val="21"/>
              </w:rPr>
              <w:t>66</w:t>
            </w:r>
            <w:r w:rsidRPr="00E35551">
              <w:rPr>
                <w:rFonts w:asciiTheme="minorHAnsi" w:eastAsiaTheme="minorEastAsia" w:hAnsiTheme="minorHAnsi" w:hint="eastAsia"/>
                <w:spacing w:val="-8"/>
                <w:szCs w:val="21"/>
              </w:rPr>
              <w:t>盐是己二酸己二胺盐的俗称，分子式：</w:t>
            </w:r>
            <w:r w:rsidRPr="00E35551">
              <w:rPr>
                <w:rFonts w:asciiTheme="minorHAnsi" w:eastAsiaTheme="minorEastAsia" w:hAnsiTheme="minorHAnsi" w:hint="eastAsia"/>
                <w:spacing w:val="-8"/>
                <w:szCs w:val="21"/>
              </w:rPr>
              <w:t>C</w:t>
            </w:r>
            <w:r w:rsidRPr="00E35551">
              <w:rPr>
                <w:rFonts w:asciiTheme="minorHAnsi" w:eastAsiaTheme="minorEastAsia" w:hAnsiTheme="minorHAnsi" w:hint="eastAsia"/>
                <w:spacing w:val="-8"/>
                <w:szCs w:val="21"/>
                <w:vertAlign w:val="subscript"/>
              </w:rPr>
              <w:t>12</w:t>
            </w:r>
            <w:r w:rsidRPr="00E35551">
              <w:rPr>
                <w:rFonts w:asciiTheme="minorHAnsi" w:eastAsiaTheme="minorEastAsia" w:hAnsiTheme="minorHAnsi" w:hint="eastAsia"/>
                <w:spacing w:val="-8"/>
                <w:szCs w:val="21"/>
              </w:rPr>
              <w:t>H</w:t>
            </w:r>
            <w:r w:rsidRPr="00E35551">
              <w:rPr>
                <w:rFonts w:asciiTheme="minorHAnsi" w:eastAsiaTheme="minorEastAsia" w:hAnsiTheme="minorHAnsi" w:hint="eastAsia"/>
                <w:spacing w:val="-8"/>
                <w:szCs w:val="21"/>
                <w:vertAlign w:val="subscript"/>
              </w:rPr>
              <w:t>26</w:t>
            </w:r>
            <w:r w:rsidRPr="00E35551">
              <w:rPr>
                <w:rFonts w:asciiTheme="minorHAnsi" w:eastAsiaTheme="minorEastAsia" w:hAnsiTheme="minorHAnsi" w:hint="eastAsia"/>
                <w:spacing w:val="-8"/>
                <w:szCs w:val="21"/>
              </w:rPr>
              <w:t>O</w:t>
            </w:r>
            <w:r w:rsidRPr="00E35551">
              <w:rPr>
                <w:rFonts w:asciiTheme="minorHAnsi" w:eastAsiaTheme="minorEastAsia" w:hAnsiTheme="minorHAnsi" w:hint="eastAsia"/>
                <w:spacing w:val="-8"/>
                <w:szCs w:val="21"/>
                <w:vertAlign w:val="subscript"/>
              </w:rPr>
              <w:t>4</w:t>
            </w:r>
            <w:r w:rsidRPr="00E35551">
              <w:rPr>
                <w:rFonts w:asciiTheme="minorHAnsi" w:eastAsiaTheme="minorEastAsia" w:hAnsiTheme="minorHAnsi" w:hint="eastAsia"/>
                <w:spacing w:val="-8"/>
                <w:szCs w:val="21"/>
              </w:rPr>
              <w:t>N</w:t>
            </w:r>
            <w:r w:rsidRPr="00E35551">
              <w:rPr>
                <w:rFonts w:asciiTheme="minorHAnsi" w:eastAsiaTheme="minorEastAsia" w:hAnsiTheme="minorHAnsi" w:hint="eastAsia"/>
                <w:spacing w:val="-8"/>
                <w:szCs w:val="21"/>
                <w:vertAlign w:val="subscript"/>
              </w:rPr>
              <w:t>2</w:t>
            </w:r>
            <w:r w:rsidRPr="00E35551">
              <w:rPr>
                <w:rFonts w:asciiTheme="minorHAnsi" w:eastAsiaTheme="minorEastAsia" w:hAnsiTheme="minorHAnsi" w:hint="eastAsia"/>
                <w:spacing w:val="-8"/>
                <w:szCs w:val="21"/>
              </w:rPr>
              <w:t>，分子量</w:t>
            </w:r>
            <w:r w:rsidRPr="00E35551">
              <w:rPr>
                <w:rFonts w:asciiTheme="minorHAnsi" w:eastAsiaTheme="minorEastAsia" w:hAnsiTheme="minorHAnsi" w:hint="eastAsia"/>
                <w:spacing w:val="-8"/>
                <w:szCs w:val="21"/>
              </w:rPr>
              <w:t>262.35</w:t>
            </w:r>
            <w:r w:rsidRPr="00E35551">
              <w:rPr>
                <w:rFonts w:asciiTheme="minorHAnsi" w:eastAsiaTheme="minorEastAsia" w:hAnsiTheme="minorHAnsi" w:hint="eastAsia"/>
                <w:spacing w:val="-8"/>
                <w:szCs w:val="21"/>
              </w:rPr>
              <w:t>，结构式：</w:t>
            </w:r>
            <w:r w:rsidRPr="00E35551">
              <w:rPr>
                <w:rFonts w:asciiTheme="minorHAnsi" w:eastAsiaTheme="minorEastAsia" w:hAnsiTheme="minorHAnsi" w:hint="eastAsia"/>
                <w:spacing w:val="-8"/>
                <w:szCs w:val="21"/>
                <w:vertAlign w:val="superscript"/>
              </w:rPr>
              <w:t>[+</w:t>
            </w:r>
            <w:r w:rsidRPr="00E35551">
              <w:rPr>
                <w:rFonts w:asciiTheme="minorHAnsi" w:eastAsiaTheme="minorEastAsia" w:hAnsiTheme="minorHAnsi" w:hint="eastAsia"/>
                <w:spacing w:val="-8"/>
                <w:szCs w:val="21"/>
              </w:rPr>
              <w:t>H</w:t>
            </w:r>
            <w:r w:rsidRPr="00E35551">
              <w:rPr>
                <w:rFonts w:asciiTheme="minorHAnsi" w:eastAsiaTheme="minorEastAsia" w:hAnsiTheme="minorHAnsi" w:hint="eastAsia"/>
                <w:spacing w:val="-8"/>
                <w:szCs w:val="21"/>
                <w:vertAlign w:val="subscript"/>
              </w:rPr>
              <w:t>3</w:t>
            </w:r>
            <w:r w:rsidRPr="00E35551">
              <w:rPr>
                <w:rFonts w:asciiTheme="minorHAnsi" w:eastAsiaTheme="minorEastAsia" w:hAnsiTheme="minorHAnsi" w:hint="eastAsia"/>
                <w:spacing w:val="-8"/>
                <w:szCs w:val="21"/>
              </w:rPr>
              <w:t>N(CH</w:t>
            </w:r>
            <w:r w:rsidRPr="00E35551">
              <w:rPr>
                <w:rFonts w:asciiTheme="minorHAnsi" w:eastAsiaTheme="minorEastAsia" w:hAnsiTheme="minorHAnsi" w:hint="eastAsia"/>
                <w:spacing w:val="-8"/>
                <w:szCs w:val="21"/>
                <w:vertAlign w:val="subscript"/>
              </w:rPr>
              <w:t>2</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vertAlign w:val="subscript"/>
              </w:rPr>
              <w:t>6</w:t>
            </w:r>
            <w:r w:rsidRPr="00E35551">
              <w:rPr>
                <w:rFonts w:asciiTheme="minorHAnsi" w:eastAsiaTheme="minorEastAsia" w:hAnsiTheme="minorHAnsi" w:hint="eastAsia"/>
                <w:spacing w:val="-8"/>
                <w:szCs w:val="21"/>
              </w:rPr>
              <w:t>NH</w:t>
            </w:r>
            <w:r w:rsidRPr="00E35551">
              <w:rPr>
                <w:rFonts w:asciiTheme="minorHAnsi" w:eastAsiaTheme="minorEastAsia" w:hAnsiTheme="minorHAnsi" w:hint="eastAsia"/>
                <w:spacing w:val="-8"/>
                <w:szCs w:val="21"/>
                <w:vertAlign w:val="superscript"/>
              </w:rPr>
              <w:t>3+</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rPr>
              <w:t>-OOC(CH</w:t>
            </w:r>
            <w:r w:rsidRPr="00E35551">
              <w:rPr>
                <w:rFonts w:asciiTheme="minorHAnsi" w:eastAsiaTheme="minorEastAsia" w:hAnsiTheme="minorHAnsi" w:hint="eastAsia"/>
                <w:spacing w:val="-8"/>
                <w:szCs w:val="21"/>
                <w:vertAlign w:val="subscript"/>
              </w:rPr>
              <w:t>2</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vertAlign w:val="subscript"/>
              </w:rPr>
              <w:t>4</w:t>
            </w:r>
            <w:r w:rsidRPr="00E35551">
              <w:rPr>
                <w:rFonts w:asciiTheme="minorHAnsi" w:eastAsiaTheme="minorEastAsia" w:hAnsiTheme="minorHAnsi" w:hint="eastAsia"/>
                <w:spacing w:val="-8"/>
                <w:szCs w:val="21"/>
              </w:rPr>
              <w:t>COO</w:t>
            </w:r>
            <w:r w:rsidRPr="00E35551">
              <w:rPr>
                <w:rFonts w:asciiTheme="minorHAnsi" w:eastAsiaTheme="minorEastAsia" w:hAnsiTheme="minorHAnsi" w:hint="eastAsia"/>
                <w:spacing w:val="-8"/>
                <w:szCs w:val="21"/>
                <w:vertAlign w:val="superscript"/>
              </w:rPr>
              <w:t>-</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rPr>
              <w:t>。尼龙</w:t>
            </w:r>
            <w:r w:rsidRPr="00E35551">
              <w:rPr>
                <w:rFonts w:asciiTheme="minorHAnsi" w:eastAsiaTheme="minorEastAsia" w:hAnsiTheme="minorHAnsi" w:hint="eastAsia"/>
                <w:spacing w:val="-8"/>
                <w:szCs w:val="21"/>
              </w:rPr>
              <w:t>66</w:t>
            </w:r>
            <w:r w:rsidRPr="00E35551">
              <w:rPr>
                <w:rFonts w:asciiTheme="minorHAnsi" w:eastAsiaTheme="minorEastAsia" w:hAnsiTheme="minorHAnsi" w:hint="eastAsia"/>
                <w:spacing w:val="-8"/>
                <w:szCs w:val="21"/>
              </w:rPr>
              <w:t>盐是无臭、</w:t>
            </w:r>
            <w:r w:rsidR="00CE7A1F">
              <w:rPr>
                <w:rFonts w:asciiTheme="minorHAnsi" w:eastAsiaTheme="minorEastAsia" w:hAnsiTheme="minorHAnsi" w:hint="eastAsia"/>
                <w:spacing w:val="-8"/>
                <w:szCs w:val="21"/>
              </w:rPr>
              <w:t>无腐蚀、略带氨味的白色或微黄色宝石状单斜晶系结晶。室温下，</w:t>
            </w:r>
            <w:r w:rsidRPr="00E35551">
              <w:rPr>
                <w:rFonts w:asciiTheme="minorHAnsi" w:eastAsiaTheme="minorEastAsia" w:hAnsiTheme="minorHAnsi" w:hint="eastAsia"/>
                <w:spacing w:val="-8"/>
                <w:szCs w:val="21"/>
              </w:rPr>
              <w:t>溶液中的尼龙</w:t>
            </w:r>
            <w:r w:rsidRPr="00E35551">
              <w:rPr>
                <w:rFonts w:asciiTheme="minorHAnsi" w:eastAsiaTheme="minorEastAsia" w:hAnsiTheme="minorHAnsi" w:hint="eastAsia"/>
                <w:spacing w:val="-8"/>
                <w:szCs w:val="21"/>
              </w:rPr>
              <w:t>-66</w:t>
            </w:r>
            <w:r w:rsidRPr="00E35551">
              <w:rPr>
                <w:rFonts w:asciiTheme="minorHAnsi" w:eastAsiaTheme="minorEastAsia" w:hAnsiTheme="minorHAnsi" w:hint="eastAsia"/>
                <w:spacing w:val="-8"/>
                <w:szCs w:val="21"/>
              </w:rPr>
              <w:t>盐比较稳定，但温度高于</w:t>
            </w:r>
            <w:r w:rsidRPr="00E35551">
              <w:rPr>
                <w:rFonts w:asciiTheme="minorHAnsi" w:eastAsiaTheme="minorEastAsia" w:hAnsiTheme="minorHAnsi" w:hint="eastAsia"/>
                <w:spacing w:val="-8"/>
                <w:szCs w:val="21"/>
              </w:rPr>
              <w:t>200</w:t>
            </w:r>
            <w:r w:rsidRPr="00E35551">
              <w:rPr>
                <w:rFonts w:asciiTheme="minorHAnsi" w:eastAsiaTheme="minorEastAsia" w:hAnsiTheme="minorHAnsi" w:hint="eastAsia"/>
                <w:spacing w:val="-8"/>
                <w:szCs w:val="21"/>
              </w:rPr>
              <w:t>℃时，会发生聚合反应。其熔点：</w:t>
            </w:r>
            <w:r w:rsidRPr="00E35551">
              <w:rPr>
                <w:rFonts w:asciiTheme="minorHAnsi" w:eastAsiaTheme="minorEastAsia" w:hAnsiTheme="minorHAnsi" w:hint="eastAsia"/>
                <w:spacing w:val="-8"/>
                <w:szCs w:val="21"/>
              </w:rPr>
              <w:t>193</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rPr>
              <w:t>197</w:t>
            </w:r>
            <w:r w:rsidRPr="00E35551">
              <w:rPr>
                <w:rFonts w:asciiTheme="minorHAnsi" w:eastAsiaTheme="minorEastAsia" w:hAnsiTheme="minorHAnsi" w:hint="eastAsia"/>
                <w:spacing w:val="-8"/>
                <w:szCs w:val="21"/>
              </w:rPr>
              <w:t>℃，生成热：</w:t>
            </w:r>
            <w:r w:rsidRPr="00E35551">
              <w:rPr>
                <w:rFonts w:asciiTheme="minorHAnsi" w:eastAsiaTheme="minorEastAsia" w:hAnsiTheme="minorHAnsi" w:hint="eastAsia"/>
                <w:spacing w:val="-8"/>
                <w:szCs w:val="21"/>
              </w:rPr>
              <w:t>3.169</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rPr>
              <w:t>10J/kg</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rPr>
              <w:t>K</w:t>
            </w:r>
            <w:r w:rsidRPr="00E35551">
              <w:rPr>
                <w:rFonts w:asciiTheme="minorHAnsi" w:eastAsiaTheme="minorEastAsia" w:hAnsiTheme="minorHAnsi" w:hint="eastAsia"/>
                <w:spacing w:val="-8"/>
                <w:szCs w:val="21"/>
              </w:rPr>
              <w:t>，水中溶解率：</w:t>
            </w:r>
            <w:r w:rsidRPr="00E35551">
              <w:rPr>
                <w:rFonts w:asciiTheme="minorHAnsi" w:eastAsiaTheme="minorEastAsia" w:hAnsiTheme="minorHAnsi" w:hint="eastAsia"/>
                <w:spacing w:val="-8"/>
                <w:szCs w:val="21"/>
              </w:rPr>
              <w:t>54.00g/ml</w:t>
            </w:r>
            <w:r w:rsidRPr="00E35551">
              <w:rPr>
                <w:rFonts w:asciiTheme="minorHAnsi" w:eastAsiaTheme="minorEastAsia" w:hAnsiTheme="minorHAnsi" w:hint="eastAsia"/>
                <w:spacing w:val="-8"/>
                <w:szCs w:val="21"/>
              </w:rPr>
              <w:t>（</w:t>
            </w:r>
            <w:r w:rsidRPr="00E35551">
              <w:rPr>
                <w:rFonts w:asciiTheme="minorHAnsi" w:eastAsiaTheme="minorEastAsia" w:hAnsiTheme="minorHAnsi" w:hint="eastAsia"/>
                <w:spacing w:val="-8"/>
                <w:szCs w:val="21"/>
              </w:rPr>
              <w:t>50</w:t>
            </w:r>
            <w:r w:rsidRPr="00E35551">
              <w:rPr>
                <w:rFonts w:asciiTheme="minorHAnsi" w:eastAsiaTheme="minorEastAsia" w:hAnsiTheme="minorHAnsi" w:hint="eastAsia"/>
                <w:spacing w:val="-8"/>
                <w:szCs w:val="21"/>
              </w:rPr>
              <w:t>℃），升华温度：</w:t>
            </w:r>
            <w:r w:rsidRPr="00E35551">
              <w:rPr>
                <w:rFonts w:asciiTheme="minorHAnsi" w:eastAsiaTheme="minorEastAsia" w:hAnsiTheme="minorHAnsi" w:hint="eastAsia"/>
                <w:spacing w:val="-8"/>
                <w:szCs w:val="21"/>
              </w:rPr>
              <w:t>78</w:t>
            </w:r>
            <w:r w:rsidRPr="00E35551">
              <w:rPr>
                <w:rFonts w:asciiTheme="minorHAnsi" w:eastAsiaTheme="minorEastAsia" w:hAnsiTheme="minorHAnsi" w:hint="eastAsia"/>
                <w:spacing w:val="-8"/>
                <w:szCs w:val="21"/>
              </w:rPr>
              <w:t>℃，密度：</w:t>
            </w:r>
            <w:r w:rsidRPr="00E35551">
              <w:rPr>
                <w:rFonts w:asciiTheme="minorHAnsi" w:eastAsiaTheme="minorEastAsia" w:hAnsiTheme="minorHAnsi" w:hint="eastAsia"/>
                <w:spacing w:val="-8"/>
                <w:szCs w:val="21"/>
              </w:rPr>
              <w:t>1.201g/cm</w:t>
            </w:r>
            <w:r w:rsidRPr="00E35551">
              <w:rPr>
                <w:rFonts w:asciiTheme="minorHAnsi" w:eastAsiaTheme="minorEastAsia" w:hAnsiTheme="minorHAnsi" w:hint="eastAsia"/>
                <w:spacing w:val="-8"/>
                <w:szCs w:val="21"/>
                <w:vertAlign w:val="superscript"/>
              </w:rPr>
              <w:t>3</w:t>
            </w:r>
            <w:r w:rsidRPr="00E35551">
              <w:rPr>
                <w:rFonts w:asciiTheme="minorHAnsi" w:eastAsiaTheme="minorEastAsia" w:hAnsiTheme="minorHAnsi" w:hint="eastAsia"/>
                <w:spacing w:val="-8"/>
                <w:szCs w:val="21"/>
              </w:rPr>
              <w:t>。尼龙</w:t>
            </w:r>
            <w:r w:rsidRPr="00E35551">
              <w:rPr>
                <w:rFonts w:asciiTheme="minorHAnsi" w:eastAsiaTheme="minorEastAsia" w:hAnsiTheme="minorHAnsi" w:hint="eastAsia"/>
                <w:spacing w:val="-8"/>
                <w:szCs w:val="21"/>
              </w:rPr>
              <w:t>66</w:t>
            </w:r>
            <w:r w:rsidRPr="00E35551">
              <w:rPr>
                <w:rFonts w:asciiTheme="minorHAnsi" w:eastAsiaTheme="minorEastAsia" w:hAnsiTheme="minorHAnsi" w:hint="eastAsia"/>
                <w:spacing w:val="-8"/>
                <w:szCs w:val="21"/>
              </w:rPr>
              <w:t>盐在水中的溶解度很大，且随着温度上升而增大。</w:t>
            </w:r>
          </w:p>
        </w:tc>
        <w:tc>
          <w:tcPr>
            <w:tcW w:w="1134" w:type="dxa"/>
            <w:vAlign w:val="center"/>
          </w:tcPr>
          <w:p w14:paraId="4165E213" w14:textId="77777777" w:rsidR="00E35551" w:rsidRPr="00E35551" w:rsidRDefault="00F7756F"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不燃</w:t>
            </w:r>
          </w:p>
        </w:tc>
        <w:tc>
          <w:tcPr>
            <w:tcW w:w="1582" w:type="dxa"/>
            <w:vAlign w:val="center"/>
          </w:tcPr>
          <w:p w14:paraId="7C9EB762" w14:textId="77777777" w:rsidR="00E35551" w:rsidRPr="00E35551" w:rsidRDefault="00DB768A" w:rsidP="00385A80">
            <w:pPr>
              <w:pStyle w:val="a1"/>
              <w:ind w:firstLine="0"/>
              <w:jc w:val="center"/>
              <w:rPr>
                <w:rFonts w:asciiTheme="minorHAnsi" w:eastAsiaTheme="minorEastAsia" w:hAnsiTheme="minorHAnsi"/>
                <w:szCs w:val="21"/>
              </w:rPr>
            </w:pPr>
            <w:r>
              <w:rPr>
                <w:rFonts w:asciiTheme="minorHAnsi" w:eastAsiaTheme="minorEastAsia" w:hAnsiTheme="minorHAnsi" w:hint="eastAsia"/>
                <w:szCs w:val="21"/>
              </w:rPr>
              <w:t>无毒</w:t>
            </w:r>
          </w:p>
        </w:tc>
      </w:tr>
      <w:tr w:rsidR="00E35551" w:rsidRPr="00E35551" w14:paraId="1FB9322F" w14:textId="77777777" w:rsidTr="005C008F">
        <w:tc>
          <w:tcPr>
            <w:tcW w:w="928" w:type="dxa"/>
            <w:vAlign w:val="center"/>
          </w:tcPr>
          <w:p w14:paraId="1F09B14B" w14:textId="77777777" w:rsidR="00E35551" w:rsidRPr="00E35551" w:rsidRDefault="00E35551"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2</w:t>
            </w:r>
          </w:p>
        </w:tc>
        <w:tc>
          <w:tcPr>
            <w:tcW w:w="928" w:type="dxa"/>
            <w:vAlign w:val="center"/>
          </w:tcPr>
          <w:p w14:paraId="51E34178" w14:textId="77777777" w:rsidR="00E35551" w:rsidRPr="00E35551" w:rsidRDefault="00DB768A" w:rsidP="00385A80">
            <w:pPr>
              <w:adjustRightInd w:val="0"/>
              <w:snapToGrid w:val="0"/>
              <w:spacing w:before="78"/>
              <w:jc w:val="center"/>
              <w:rPr>
                <w:rFonts w:asciiTheme="minorHAnsi" w:eastAsiaTheme="minorEastAsia" w:hAnsiTheme="minorHAnsi"/>
                <w:spacing w:val="-8"/>
                <w:szCs w:val="21"/>
              </w:rPr>
            </w:pPr>
            <w:r w:rsidRPr="00DB768A">
              <w:rPr>
                <w:rFonts w:asciiTheme="minorHAnsi" w:eastAsiaTheme="minorEastAsia" w:hAnsiTheme="minorHAnsi" w:hint="eastAsia"/>
                <w:spacing w:val="-8"/>
                <w:szCs w:val="21"/>
              </w:rPr>
              <w:t>1010</w:t>
            </w:r>
            <w:r w:rsidRPr="00DB768A">
              <w:rPr>
                <w:rFonts w:asciiTheme="minorHAnsi" w:eastAsiaTheme="minorEastAsia" w:hAnsiTheme="minorHAnsi" w:hint="eastAsia"/>
                <w:spacing w:val="-8"/>
                <w:szCs w:val="21"/>
              </w:rPr>
              <w:t>盐</w:t>
            </w:r>
          </w:p>
        </w:tc>
        <w:tc>
          <w:tcPr>
            <w:tcW w:w="4249" w:type="dxa"/>
            <w:vAlign w:val="center"/>
          </w:tcPr>
          <w:p w14:paraId="16536D6A" w14:textId="77777777" w:rsidR="00E35551" w:rsidRPr="00D80DBD" w:rsidRDefault="00DB768A" w:rsidP="001E5955">
            <w:pPr>
              <w:pStyle w:val="p15"/>
              <w:widowControl w:val="0"/>
              <w:jc w:val="left"/>
              <w:rPr>
                <w:rFonts w:ascii="Calibri" w:hAnsi="Calibri"/>
                <w:color w:val="auto"/>
                <w:kern w:val="2"/>
              </w:rPr>
            </w:pPr>
            <w:r w:rsidRPr="00D80DBD">
              <w:rPr>
                <w:rFonts w:ascii="Calibri" w:hAnsi="Calibri" w:hint="eastAsia"/>
                <w:color w:val="auto"/>
              </w:rPr>
              <w:t>1010</w:t>
            </w:r>
            <w:r w:rsidRPr="00D80DBD">
              <w:rPr>
                <w:rFonts w:ascii="Calibri" w:hAnsi="Calibri" w:hint="eastAsia"/>
                <w:color w:val="auto"/>
              </w:rPr>
              <w:t>盐即聚癸二酰癸二胺，为半透明结晶形热塑性聚合物。分子式</w:t>
            </w:r>
            <w:r w:rsidRPr="00D80DBD">
              <w:rPr>
                <w:rFonts w:ascii="Calibri" w:hAnsi="Calibri" w:hint="eastAsia"/>
                <w:color w:val="auto"/>
              </w:rPr>
              <w:t>NH</w:t>
            </w:r>
            <w:r w:rsidRPr="00D80DBD">
              <w:rPr>
                <w:rFonts w:ascii="Calibri" w:hAnsi="Calibri" w:hint="eastAsia"/>
                <w:color w:val="auto"/>
              </w:rPr>
              <w:t>—</w:t>
            </w:r>
            <w:r w:rsidRPr="00D80DBD">
              <w:rPr>
                <w:rFonts w:ascii="Calibri" w:hAnsi="Calibri" w:hint="eastAsia"/>
                <w:color w:val="auto"/>
              </w:rPr>
              <w:t>(CH</w:t>
            </w:r>
            <w:r w:rsidRPr="00D80DBD">
              <w:rPr>
                <w:rFonts w:ascii="Calibri" w:hAnsi="Calibri" w:hint="eastAsia"/>
                <w:color w:val="auto"/>
                <w:vertAlign w:val="subscript"/>
              </w:rPr>
              <w:t>2</w:t>
            </w:r>
            <w:r w:rsidRPr="00D80DBD">
              <w:rPr>
                <w:rFonts w:ascii="Calibri" w:hAnsi="Calibri" w:hint="eastAsia"/>
                <w:color w:val="auto"/>
              </w:rPr>
              <w:t>)</w:t>
            </w:r>
            <w:r w:rsidRPr="00D80DBD">
              <w:rPr>
                <w:rFonts w:ascii="Calibri" w:hAnsi="Calibri" w:hint="eastAsia"/>
                <w:color w:val="auto"/>
                <w:vertAlign w:val="subscript"/>
              </w:rPr>
              <w:t>10</w:t>
            </w:r>
            <w:r w:rsidRPr="00D80DBD">
              <w:rPr>
                <w:rFonts w:ascii="Calibri" w:hAnsi="Calibri" w:hint="eastAsia"/>
                <w:color w:val="auto"/>
              </w:rPr>
              <w:t>—</w:t>
            </w:r>
            <w:r w:rsidRPr="00D80DBD">
              <w:rPr>
                <w:rFonts w:ascii="Calibri" w:hAnsi="Calibri" w:hint="eastAsia"/>
                <w:color w:val="auto"/>
              </w:rPr>
              <w:t>NH</w:t>
            </w:r>
            <w:r w:rsidRPr="00D80DBD">
              <w:rPr>
                <w:rFonts w:ascii="Calibri" w:hAnsi="Calibri" w:hint="eastAsia"/>
                <w:color w:val="auto"/>
              </w:rPr>
              <w:t>—</w:t>
            </w:r>
            <w:r w:rsidRPr="00D80DBD">
              <w:rPr>
                <w:rFonts w:ascii="Calibri" w:hAnsi="Calibri" w:hint="eastAsia"/>
                <w:color w:val="auto"/>
              </w:rPr>
              <w:t>CO</w:t>
            </w:r>
            <w:r w:rsidRPr="00D80DBD">
              <w:rPr>
                <w:rFonts w:ascii="Calibri" w:hAnsi="Calibri" w:hint="eastAsia"/>
                <w:color w:val="auto"/>
              </w:rPr>
              <w:t>—</w:t>
            </w:r>
            <w:r w:rsidRPr="00D80DBD">
              <w:rPr>
                <w:rFonts w:ascii="Calibri" w:hAnsi="Calibri" w:hint="eastAsia"/>
                <w:color w:val="auto"/>
              </w:rPr>
              <w:t>(CH</w:t>
            </w:r>
            <w:r w:rsidRPr="00D80DBD">
              <w:rPr>
                <w:rFonts w:ascii="Calibri" w:hAnsi="Calibri" w:hint="eastAsia"/>
                <w:color w:val="auto"/>
                <w:vertAlign w:val="subscript"/>
              </w:rPr>
              <w:t>2</w:t>
            </w:r>
            <w:r w:rsidRPr="00D80DBD">
              <w:rPr>
                <w:rFonts w:ascii="Calibri" w:hAnsi="Calibri" w:hint="eastAsia"/>
                <w:color w:val="auto"/>
              </w:rPr>
              <w:t>)</w:t>
            </w:r>
            <w:r w:rsidRPr="00D80DBD">
              <w:rPr>
                <w:rFonts w:ascii="Calibri" w:hAnsi="Calibri" w:hint="eastAsia"/>
                <w:color w:val="auto"/>
                <w:vertAlign w:val="subscript"/>
              </w:rPr>
              <w:t>8</w:t>
            </w:r>
            <w:r w:rsidRPr="00D80DBD">
              <w:rPr>
                <w:rFonts w:ascii="Calibri" w:hAnsi="Calibri" w:hint="eastAsia"/>
                <w:color w:val="auto"/>
              </w:rPr>
              <w:t>—</w:t>
            </w:r>
            <w:r w:rsidRPr="00D80DBD">
              <w:rPr>
                <w:rFonts w:ascii="Calibri" w:hAnsi="Calibri" w:hint="eastAsia"/>
                <w:color w:val="auto"/>
              </w:rPr>
              <w:t>CO</w:t>
            </w:r>
            <w:r w:rsidRPr="00D80DBD">
              <w:rPr>
                <w:rFonts w:ascii="Calibri" w:hAnsi="Calibri" w:hint="eastAsia"/>
                <w:color w:val="auto"/>
              </w:rPr>
              <w:t>，密度</w:t>
            </w:r>
            <w:r w:rsidRPr="00D80DBD">
              <w:rPr>
                <w:rFonts w:ascii="Calibri" w:hAnsi="Calibri" w:hint="eastAsia"/>
                <w:color w:val="auto"/>
              </w:rPr>
              <w:t>1.05g/cm</w:t>
            </w:r>
            <w:r w:rsidRPr="00D80DBD">
              <w:rPr>
                <w:rFonts w:ascii="Calibri" w:hAnsi="Calibri" w:hint="eastAsia"/>
                <w:color w:val="auto"/>
                <w:vertAlign w:val="superscript"/>
              </w:rPr>
              <w:t>3</w:t>
            </w:r>
            <w:r w:rsidRPr="00D80DBD">
              <w:rPr>
                <w:rFonts w:ascii="Calibri" w:hAnsi="Calibri" w:hint="eastAsia"/>
                <w:color w:val="auto"/>
              </w:rPr>
              <w:t>，吸水率</w:t>
            </w:r>
            <w:r w:rsidRPr="00D80DBD">
              <w:rPr>
                <w:rFonts w:ascii="Calibri" w:hAnsi="Calibri" w:hint="eastAsia"/>
                <w:color w:val="auto"/>
              </w:rPr>
              <w:t>1.5%</w:t>
            </w:r>
            <w:r w:rsidRPr="00D80DBD">
              <w:rPr>
                <w:rFonts w:ascii="Calibri" w:hAnsi="Calibri" w:hint="eastAsia"/>
                <w:color w:val="auto"/>
              </w:rPr>
              <w:t>，脆化温度—</w:t>
            </w:r>
            <w:r w:rsidRPr="00D80DBD">
              <w:rPr>
                <w:rFonts w:ascii="Calibri" w:hAnsi="Calibri" w:hint="eastAsia"/>
                <w:color w:val="auto"/>
              </w:rPr>
              <w:t>60</w:t>
            </w:r>
            <w:r w:rsidRPr="00D80DBD">
              <w:rPr>
                <w:rFonts w:ascii="Calibri" w:hAnsi="Calibri" w:hint="eastAsia"/>
                <w:color w:val="auto"/>
              </w:rPr>
              <w:t>℃，热分解温度大于</w:t>
            </w:r>
            <w:r w:rsidRPr="00D80DBD">
              <w:rPr>
                <w:rFonts w:ascii="Calibri" w:hAnsi="Calibri" w:hint="eastAsia"/>
                <w:color w:val="auto"/>
              </w:rPr>
              <w:t>350</w:t>
            </w:r>
            <w:r w:rsidRPr="00D80DBD">
              <w:rPr>
                <w:rFonts w:ascii="Calibri" w:hAnsi="Calibri" w:hint="eastAsia"/>
                <w:color w:val="auto"/>
              </w:rPr>
              <w:t>℃。尼龙</w:t>
            </w:r>
            <w:r w:rsidRPr="00D80DBD">
              <w:rPr>
                <w:rFonts w:ascii="Calibri" w:hAnsi="Calibri" w:hint="eastAsia"/>
                <w:color w:val="auto"/>
              </w:rPr>
              <w:t>1010</w:t>
            </w:r>
            <w:r w:rsidRPr="00D80DBD">
              <w:rPr>
                <w:rFonts w:ascii="Calibri" w:hAnsi="Calibri" w:hint="eastAsia"/>
                <w:color w:val="auto"/>
              </w:rPr>
              <w:t>是半透明、轻而硬、表面光亮的结晶形白色或微黄色颗粒</w:t>
            </w:r>
            <w:r w:rsidR="001E5955" w:rsidRPr="00D80DBD">
              <w:rPr>
                <w:rFonts w:ascii="Calibri" w:hAnsi="Calibri" w:hint="eastAsia"/>
                <w:color w:val="auto"/>
              </w:rPr>
              <w:t>，</w:t>
            </w:r>
            <w:r w:rsidR="001E5955" w:rsidRPr="00D80DBD">
              <w:rPr>
                <w:rFonts w:ascii="Calibri" w:hAnsi="Calibri" w:hint="eastAsia"/>
                <w:color w:val="auto"/>
                <w:kern w:val="2"/>
              </w:rPr>
              <w:t>不溶于大部分非极性溶剂，如烃、脂类、低级醇等，但溶解于强极性溶剂，如苯酚、浓硫酸、甲酸、水合三氯乙醛等，耐霉菌、细菌和虫蛀。</w:t>
            </w:r>
          </w:p>
        </w:tc>
        <w:tc>
          <w:tcPr>
            <w:tcW w:w="1134" w:type="dxa"/>
            <w:vAlign w:val="center"/>
          </w:tcPr>
          <w:p w14:paraId="199946AA" w14:textId="77777777" w:rsidR="00E35551" w:rsidRPr="00E35551" w:rsidRDefault="00385A80"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不燃</w:t>
            </w:r>
          </w:p>
        </w:tc>
        <w:tc>
          <w:tcPr>
            <w:tcW w:w="1582" w:type="dxa"/>
            <w:vAlign w:val="center"/>
          </w:tcPr>
          <w:p w14:paraId="2838A25B" w14:textId="77777777" w:rsidR="00E35551" w:rsidRPr="00E35551" w:rsidRDefault="00DB768A" w:rsidP="00385A80">
            <w:pPr>
              <w:adjustRightInd w:val="0"/>
              <w:snapToGrid w:val="0"/>
              <w:spacing w:before="78"/>
              <w:jc w:val="center"/>
              <w:rPr>
                <w:rFonts w:asciiTheme="minorHAnsi" w:eastAsiaTheme="minorEastAsia" w:hAnsiTheme="minorHAnsi"/>
                <w:spacing w:val="-8"/>
                <w:szCs w:val="21"/>
              </w:rPr>
            </w:pPr>
            <w:r>
              <w:rPr>
                <w:rFonts w:ascii="Helvetica" w:hAnsi="Helvetica"/>
                <w:color w:val="333333"/>
                <w:szCs w:val="21"/>
                <w:shd w:val="clear" w:color="auto" w:fill="FFFFFF"/>
              </w:rPr>
              <w:t>有毒，刺激皮肤和黏膜。</w:t>
            </w:r>
          </w:p>
        </w:tc>
      </w:tr>
      <w:tr w:rsidR="00E35551" w:rsidRPr="00E35551" w14:paraId="334D9906" w14:textId="77777777" w:rsidTr="005C008F">
        <w:trPr>
          <w:trHeight w:val="1533"/>
        </w:trPr>
        <w:tc>
          <w:tcPr>
            <w:tcW w:w="928" w:type="dxa"/>
            <w:vAlign w:val="center"/>
          </w:tcPr>
          <w:p w14:paraId="1EC70699" w14:textId="77777777" w:rsidR="00E35551" w:rsidRPr="00E35551" w:rsidRDefault="00DB768A"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lastRenderedPageBreak/>
              <w:t>3</w:t>
            </w:r>
          </w:p>
        </w:tc>
        <w:tc>
          <w:tcPr>
            <w:tcW w:w="928" w:type="dxa"/>
            <w:vAlign w:val="center"/>
          </w:tcPr>
          <w:p w14:paraId="5454E709" w14:textId="77777777" w:rsidR="00E35551" w:rsidRPr="00E35551" w:rsidRDefault="00DB768A" w:rsidP="00385A80">
            <w:pPr>
              <w:adjustRightInd w:val="0"/>
              <w:snapToGrid w:val="0"/>
              <w:spacing w:before="78"/>
              <w:jc w:val="center"/>
              <w:rPr>
                <w:rFonts w:asciiTheme="minorHAnsi" w:eastAsiaTheme="minorEastAsia" w:hAnsiTheme="minorHAnsi"/>
                <w:spacing w:val="-8"/>
                <w:szCs w:val="21"/>
              </w:rPr>
            </w:pPr>
            <w:r w:rsidRPr="00DB768A">
              <w:rPr>
                <w:rFonts w:asciiTheme="minorHAnsi" w:eastAsiaTheme="minorEastAsia" w:hAnsiTheme="minorHAnsi" w:hint="eastAsia"/>
                <w:spacing w:val="-8"/>
                <w:szCs w:val="21"/>
              </w:rPr>
              <w:t>尼龙</w:t>
            </w:r>
            <w:r w:rsidRPr="00DB768A">
              <w:rPr>
                <w:rFonts w:asciiTheme="minorHAnsi" w:eastAsiaTheme="minorEastAsia" w:hAnsiTheme="minorHAnsi" w:hint="eastAsia"/>
                <w:spacing w:val="-8"/>
                <w:szCs w:val="21"/>
              </w:rPr>
              <w:t>-12</w:t>
            </w:r>
            <w:r w:rsidRPr="00DB768A">
              <w:rPr>
                <w:rFonts w:asciiTheme="minorHAnsi" w:eastAsiaTheme="minorEastAsia" w:hAnsiTheme="minorHAnsi" w:hint="eastAsia"/>
                <w:spacing w:val="-8"/>
                <w:szCs w:val="21"/>
              </w:rPr>
              <w:t>盐</w:t>
            </w:r>
          </w:p>
        </w:tc>
        <w:tc>
          <w:tcPr>
            <w:tcW w:w="4249" w:type="dxa"/>
            <w:vAlign w:val="center"/>
          </w:tcPr>
          <w:p w14:paraId="58301ABC" w14:textId="77777777" w:rsidR="00E35551" w:rsidRPr="00D80DBD" w:rsidRDefault="00DB768A" w:rsidP="00DB768A">
            <w:pPr>
              <w:adjustRightInd w:val="0"/>
              <w:snapToGrid w:val="0"/>
              <w:spacing w:before="78"/>
              <w:jc w:val="left"/>
              <w:rPr>
                <w:rFonts w:asciiTheme="minorHAnsi" w:eastAsiaTheme="minorEastAsia" w:hAnsiTheme="minorHAnsi"/>
              </w:rPr>
            </w:pPr>
            <w:r w:rsidRPr="00DB768A">
              <w:rPr>
                <w:rFonts w:asciiTheme="minorHAnsi" w:eastAsiaTheme="minorEastAsia" w:hAnsiTheme="minorHAnsi"/>
                <w:spacing w:val="-8"/>
                <w:szCs w:val="21"/>
              </w:rPr>
              <w:t>CAS</w:t>
            </w:r>
            <w:r w:rsidRPr="00DB768A">
              <w:rPr>
                <w:rFonts w:asciiTheme="minorHAnsi" w:eastAsiaTheme="minorEastAsia" w:hAnsiTheme="minorHAnsi"/>
                <w:spacing w:val="-8"/>
                <w:szCs w:val="21"/>
              </w:rPr>
              <w:t>：</w:t>
            </w:r>
            <w:r w:rsidRPr="00DB768A">
              <w:rPr>
                <w:rFonts w:asciiTheme="minorHAnsi" w:eastAsiaTheme="minorEastAsia" w:hAnsiTheme="minorHAnsi"/>
                <w:spacing w:val="-8"/>
                <w:szCs w:val="21"/>
              </w:rPr>
              <w:t>24937-16-4</w:t>
            </w:r>
            <w:r w:rsidRPr="00DB768A">
              <w:rPr>
                <w:rFonts w:asciiTheme="minorHAnsi" w:eastAsiaTheme="minorEastAsia" w:hAnsiTheme="minorHAnsi"/>
                <w:spacing w:val="-8"/>
                <w:szCs w:val="21"/>
              </w:rPr>
              <w:t>，</w:t>
            </w:r>
            <w:r w:rsidRPr="00DB768A">
              <w:rPr>
                <w:rFonts w:asciiTheme="minorHAnsi" w:eastAsiaTheme="minorEastAsia" w:hAnsiTheme="minorHAnsi"/>
              </w:rPr>
              <w:t>聚十二内酰胺。分子式：</w:t>
            </w:r>
            <w:r w:rsidRPr="00DB768A">
              <w:rPr>
                <w:rFonts w:asciiTheme="minorHAnsi" w:eastAsiaTheme="minorEastAsia" w:hAnsiTheme="minorHAnsi"/>
              </w:rPr>
              <w:t>(C</w:t>
            </w:r>
            <w:r w:rsidRPr="00DB768A">
              <w:rPr>
                <w:rFonts w:asciiTheme="minorHAnsi" w:eastAsiaTheme="minorEastAsia" w:hAnsiTheme="minorHAnsi"/>
                <w:vertAlign w:val="subscript"/>
              </w:rPr>
              <w:t>12</w:t>
            </w:r>
            <w:r w:rsidRPr="00DB768A">
              <w:rPr>
                <w:rFonts w:asciiTheme="minorHAnsi" w:eastAsiaTheme="minorEastAsia" w:hAnsiTheme="minorHAnsi"/>
              </w:rPr>
              <w:t>H</w:t>
            </w:r>
            <w:r w:rsidRPr="00DB768A">
              <w:rPr>
                <w:rFonts w:asciiTheme="minorHAnsi" w:eastAsiaTheme="minorEastAsia" w:hAnsiTheme="minorHAnsi"/>
                <w:vertAlign w:val="subscript"/>
              </w:rPr>
              <w:t>23</w:t>
            </w:r>
            <w:r w:rsidRPr="00DB768A">
              <w:rPr>
                <w:rFonts w:asciiTheme="minorHAnsi" w:eastAsiaTheme="minorEastAsia" w:hAnsiTheme="minorHAnsi"/>
              </w:rPr>
              <w:t>NO)n</w:t>
            </w:r>
            <w:r w:rsidRPr="00DB768A">
              <w:rPr>
                <w:rFonts w:asciiTheme="minorHAnsi" w:eastAsiaTheme="minorEastAsia" w:hAnsiTheme="minorHAnsi"/>
              </w:rPr>
              <w:t>，</w:t>
            </w:r>
            <w:r w:rsidRPr="00DB768A">
              <w:rPr>
                <w:rFonts w:asciiTheme="minorHAnsi" w:eastAsiaTheme="minorEastAsia" w:hAnsiTheme="minorHAnsi"/>
                <w:color w:val="333333"/>
                <w:szCs w:val="21"/>
                <w:shd w:val="clear" w:color="auto" w:fill="FFFFFF"/>
              </w:rPr>
              <w:t>性状：</w:t>
            </w:r>
            <w:r w:rsidRPr="00DB768A">
              <w:rPr>
                <w:rFonts w:asciiTheme="minorHAnsi" w:eastAsiaTheme="minorEastAsia" w:hAnsiTheme="minorHAnsi"/>
                <w:color w:val="333333"/>
                <w:szCs w:val="21"/>
                <w:shd w:val="clear" w:color="auto" w:fill="FFFFFF"/>
              </w:rPr>
              <w:t>5mm</w:t>
            </w:r>
            <w:r w:rsidRPr="00DB768A">
              <w:rPr>
                <w:rFonts w:asciiTheme="minorHAnsi" w:eastAsiaTheme="minorEastAsia" w:hAnsiTheme="minorHAnsi"/>
                <w:color w:val="333333"/>
                <w:szCs w:val="21"/>
                <w:shd w:val="clear" w:color="auto" w:fill="FFFFFF"/>
              </w:rPr>
              <w:t>大小的丸状，密度：</w:t>
            </w:r>
            <w:r w:rsidRPr="00DB768A">
              <w:rPr>
                <w:rFonts w:asciiTheme="minorHAnsi" w:eastAsiaTheme="minorEastAsia" w:hAnsiTheme="minorHAnsi"/>
              </w:rPr>
              <w:t>1.01g/mLat25°C</w:t>
            </w:r>
            <w:r w:rsidRPr="00DB768A">
              <w:rPr>
                <w:rFonts w:asciiTheme="minorHAnsi" w:eastAsiaTheme="minorEastAsia" w:hAnsiTheme="minorHAnsi"/>
              </w:rPr>
              <w:t>，尼龙</w:t>
            </w:r>
            <w:r w:rsidRPr="00DB768A">
              <w:rPr>
                <w:rFonts w:asciiTheme="minorHAnsi" w:eastAsiaTheme="minorEastAsia" w:hAnsiTheme="minorHAnsi"/>
              </w:rPr>
              <w:t>12</w:t>
            </w:r>
            <w:r w:rsidRPr="00DB768A">
              <w:rPr>
                <w:rFonts w:asciiTheme="minorHAnsi" w:eastAsiaTheme="minorEastAsia" w:hAnsiTheme="minorHAnsi"/>
              </w:rPr>
              <w:t>是一种长碳链聚酰胺，其亚甲基链较长，酰胺基密度低；具有密度小，熔点低，热稳定性好，分解温度高；耐低温，耐油，耐腐蚀，耐摩擦损耗等优良特性。</w:t>
            </w:r>
          </w:p>
        </w:tc>
        <w:tc>
          <w:tcPr>
            <w:tcW w:w="1134" w:type="dxa"/>
            <w:vAlign w:val="center"/>
          </w:tcPr>
          <w:p w14:paraId="487E8FAA" w14:textId="77777777" w:rsidR="00E35551" w:rsidRPr="00E35551" w:rsidRDefault="00385A80" w:rsidP="00385A80">
            <w:pPr>
              <w:adjustRightInd w:val="0"/>
              <w:snapToGrid w:val="0"/>
              <w:spacing w:before="78"/>
              <w:jc w:val="center"/>
              <w:rPr>
                <w:rFonts w:asciiTheme="minorHAnsi" w:eastAsiaTheme="minorEastAsia" w:hAnsiTheme="minorHAnsi"/>
                <w:spacing w:val="-8"/>
                <w:szCs w:val="21"/>
              </w:rPr>
            </w:pPr>
            <w:r w:rsidRPr="00385A80">
              <w:rPr>
                <w:rFonts w:asciiTheme="minorHAnsi" w:eastAsiaTheme="minorEastAsia" w:hAnsiTheme="minorHAnsi" w:hint="eastAsia"/>
                <w:spacing w:val="-8"/>
                <w:szCs w:val="21"/>
              </w:rPr>
              <w:t>不燃</w:t>
            </w:r>
          </w:p>
        </w:tc>
        <w:tc>
          <w:tcPr>
            <w:tcW w:w="1582" w:type="dxa"/>
            <w:vAlign w:val="center"/>
          </w:tcPr>
          <w:p w14:paraId="3A5A3FC7" w14:textId="77777777" w:rsidR="00E35551" w:rsidRPr="00E35551" w:rsidRDefault="00DB768A"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zCs w:val="21"/>
              </w:rPr>
              <w:t>无毒</w:t>
            </w:r>
          </w:p>
        </w:tc>
      </w:tr>
      <w:tr w:rsidR="005C008F" w:rsidRPr="00E35551" w14:paraId="134EF620" w14:textId="77777777" w:rsidTr="005C008F">
        <w:trPr>
          <w:trHeight w:val="1533"/>
        </w:trPr>
        <w:tc>
          <w:tcPr>
            <w:tcW w:w="928" w:type="dxa"/>
            <w:vAlign w:val="center"/>
          </w:tcPr>
          <w:p w14:paraId="42F44BF4" w14:textId="77777777" w:rsidR="005C008F" w:rsidRDefault="005C008F"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4</w:t>
            </w:r>
          </w:p>
        </w:tc>
        <w:tc>
          <w:tcPr>
            <w:tcW w:w="928" w:type="dxa"/>
            <w:vAlign w:val="center"/>
          </w:tcPr>
          <w:p w14:paraId="3112A223" w14:textId="77777777" w:rsidR="005C008F" w:rsidRPr="005C008F" w:rsidRDefault="005C008F" w:rsidP="005C008F">
            <w:pPr>
              <w:adjustRightInd w:val="0"/>
              <w:snapToGrid w:val="0"/>
              <w:spacing w:before="78"/>
              <w:jc w:val="center"/>
              <w:rPr>
                <w:rFonts w:asciiTheme="minorHAnsi" w:eastAsiaTheme="minorEastAsia" w:hAnsiTheme="minorHAnsi"/>
                <w:spacing w:val="-8"/>
                <w:szCs w:val="21"/>
              </w:rPr>
            </w:pPr>
            <w:r w:rsidRPr="005C008F">
              <w:rPr>
                <w:rFonts w:asciiTheme="minorHAnsi" w:eastAsiaTheme="minorEastAsia" w:hAnsiTheme="minorHAnsi" w:hint="eastAsia"/>
                <w:spacing w:val="-8"/>
                <w:szCs w:val="21"/>
              </w:rPr>
              <w:t>次磷酸</w:t>
            </w:r>
          </w:p>
          <w:p w14:paraId="32E2F208" w14:textId="77777777" w:rsidR="005C008F" w:rsidRPr="00DB768A" w:rsidRDefault="005C008F" w:rsidP="005C008F">
            <w:pPr>
              <w:adjustRightInd w:val="0"/>
              <w:snapToGrid w:val="0"/>
              <w:spacing w:before="78"/>
              <w:jc w:val="center"/>
              <w:rPr>
                <w:rFonts w:asciiTheme="minorHAnsi" w:eastAsiaTheme="minorEastAsia" w:hAnsiTheme="minorHAnsi"/>
                <w:spacing w:val="-8"/>
                <w:szCs w:val="21"/>
              </w:rPr>
            </w:pPr>
            <w:r w:rsidRPr="005C008F">
              <w:rPr>
                <w:rFonts w:asciiTheme="minorHAnsi" w:eastAsiaTheme="minorEastAsia" w:hAnsiTheme="minorHAnsi" w:hint="eastAsia"/>
                <w:spacing w:val="-8"/>
                <w:szCs w:val="21"/>
              </w:rPr>
              <w:t>钠</w:t>
            </w:r>
          </w:p>
        </w:tc>
        <w:tc>
          <w:tcPr>
            <w:tcW w:w="4249" w:type="dxa"/>
            <w:vAlign w:val="center"/>
          </w:tcPr>
          <w:p w14:paraId="476BE42A" w14:textId="77777777" w:rsidR="005C008F" w:rsidRPr="005C008F" w:rsidRDefault="005C008F" w:rsidP="005C008F">
            <w:pPr>
              <w:adjustRightInd w:val="0"/>
              <w:snapToGrid w:val="0"/>
              <w:spacing w:before="78"/>
              <w:jc w:val="left"/>
              <w:rPr>
                <w:rFonts w:ascii="Arial" w:hAnsi="Arial" w:cs="Arial"/>
                <w:szCs w:val="21"/>
                <w:shd w:val="clear" w:color="auto" w:fill="FFFFFF"/>
              </w:rPr>
            </w:pPr>
            <w:r w:rsidRPr="005C008F">
              <w:rPr>
                <w:rFonts w:asciiTheme="minorHAnsi" w:eastAsiaTheme="minorEastAsia" w:hAnsiTheme="minorHAnsi"/>
                <w:spacing w:val="-8"/>
                <w:szCs w:val="21"/>
              </w:rPr>
              <w:t>CAS</w:t>
            </w:r>
            <w:r w:rsidRPr="005C008F">
              <w:rPr>
                <w:rFonts w:asciiTheme="minorHAnsi" w:eastAsiaTheme="minorEastAsia" w:hAnsiTheme="minorHAnsi"/>
                <w:spacing w:val="-8"/>
                <w:szCs w:val="21"/>
              </w:rPr>
              <w:t>：</w:t>
            </w:r>
            <w:r w:rsidRPr="005C008F">
              <w:rPr>
                <w:rFonts w:ascii="Arial" w:hAnsi="Arial" w:cs="Arial"/>
                <w:szCs w:val="21"/>
                <w:shd w:val="clear" w:color="auto" w:fill="FFFFFF"/>
              </w:rPr>
              <w:t>7681-53-0</w:t>
            </w:r>
            <w:r w:rsidRPr="005C008F">
              <w:rPr>
                <w:rFonts w:ascii="Arial" w:hAnsi="Arial" w:cs="Arial"/>
                <w:szCs w:val="21"/>
                <w:shd w:val="clear" w:color="auto" w:fill="FFFFFF"/>
              </w:rPr>
              <w:t>，</w:t>
            </w:r>
            <w:r w:rsidRPr="005C008F">
              <w:rPr>
                <w:rFonts w:ascii="Arial" w:hAnsi="Arial" w:cs="Arial" w:hint="eastAsia"/>
                <w:szCs w:val="21"/>
                <w:shd w:val="clear" w:color="auto" w:fill="FFFFFF"/>
              </w:rPr>
              <w:t>分子量</w:t>
            </w:r>
            <w:r w:rsidRPr="005C008F">
              <w:rPr>
                <w:rFonts w:ascii="Arial" w:hAnsi="Arial" w:cs="Arial" w:hint="eastAsia"/>
                <w:szCs w:val="21"/>
                <w:shd w:val="clear" w:color="auto" w:fill="FFFFFF"/>
              </w:rPr>
              <w:t>105.99</w:t>
            </w:r>
            <w:r w:rsidRPr="005C008F">
              <w:rPr>
                <w:rFonts w:ascii="Arial" w:hAnsi="Arial" w:cs="Arial" w:hint="eastAsia"/>
                <w:szCs w:val="21"/>
                <w:shd w:val="clear" w:color="auto" w:fill="FFFFFF"/>
              </w:rPr>
              <w:t>，无臭，味咸，是一种无色单斜晶系结晶或有珍珠光泽的晶体或白色结晶粉末。易溶于水、乙醇、甘油。可作为化学镀剂，食品，工业锅炉水添加剂，抗氧剂等。水溶液呈弱碱性，在</w:t>
            </w:r>
            <w:r w:rsidRPr="005C008F">
              <w:rPr>
                <w:rFonts w:ascii="Arial" w:hAnsi="Arial" w:cs="Arial" w:hint="eastAsia"/>
                <w:szCs w:val="21"/>
                <w:shd w:val="clear" w:color="auto" w:fill="FFFFFF"/>
              </w:rPr>
              <w:t>100</w:t>
            </w:r>
            <w:r w:rsidRPr="005C008F">
              <w:rPr>
                <w:rFonts w:ascii="Arial" w:hAnsi="Arial" w:cs="Arial" w:hint="eastAsia"/>
                <w:szCs w:val="21"/>
                <w:shd w:val="clear" w:color="auto" w:fill="FFFFFF"/>
              </w:rPr>
              <w:t>℃时的水中溶解度为</w:t>
            </w:r>
            <w:r>
              <w:rPr>
                <w:rFonts w:ascii="Arial" w:hAnsi="Arial" w:cs="Arial" w:hint="eastAsia"/>
                <w:szCs w:val="21"/>
                <w:shd w:val="clear" w:color="auto" w:fill="FFFFFF"/>
              </w:rPr>
              <w:t>667g/100g</w:t>
            </w:r>
            <w:r w:rsidRPr="005C008F">
              <w:rPr>
                <w:rFonts w:ascii="Arial" w:hAnsi="Arial" w:cs="Arial" w:hint="eastAsia"/>
                <w:szCs w:val="21"/>
                <w:shd w:val="clear" w:color="auto" w:fill="FFFFFF"/>
              </w:rPr>
              <w:t>水。</w:t>
            </w:r>
          </w:p>
        </w:tc>
        <w:tc>
          <w:tcPr>
            <w:tcW w:w="1134" w:type="dxa"/>
            <w:vAlign w:val="center"/>
          </w:tcPr>
          <w:p w14:paraId="111CEF22" w14:textId="77777777" w:rsidR="005C008F" w:rsidRPr="00385A80" w:rsidRDefault="005C008F"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可燃</w:t>
            </w:r>
          </w:p>
        </w:tc>
        <w:tc>
          <w:tcPr>
            <w:tcW w:w="1582" w:type="dxa"/>
            <w:vAlign w:val="center"/>
          </w:tcPr>
          <w:p w14:paraId="1E0EB6F5" w14:textId="77777777" w:rsidR="005C008F" w:rsidRPr="005C008F" w:rsidRDefault="005C008F" w:rsidP="005C008F">
            <w:pPr>
              <w:adjustRightInd w:val="0"/>
              <w:snapToGrid w:val="0"/>
              <w:spacing w:before="78"/>
              <w:jc w:val="center"/>
              <w:rPr>
                <w:rFonts w:asciiTheme="minorHAnsi" w:eastAsiaTheme="minorEastAsia" w:hAnsiTheme="minorHAnsi"/>
                <w:szCs w:val="21"/>
              </w:rPr>
            </w:pPr>
            <w:r w:rsidRPr="005C008F">
              <w:rPr>
                <w:rFonts w:asciiTheme="minorHAnsi" w:eastAsiaTheme="minorEastAsia" w:hAnsiTheme="minorHAnsi" w:hint="eastAsia"/>
                <w:szCs w:val="21"/>
              </w:rPr>
              <w:t>急性毒性：</w:t>
            </w:r>
            <w:r w:rsidRPr="005C008F">
              <w:rPr>
                <w:rFonts w:asciiTheme="minorHAnsi" w:eastAsiaTheme="minorEastAsia" w:hAnsiTheme="minorHAnsi" w:hint="eastAsia"/>
                <w:szCs w:val="21"/>
              </w:rPr>
              <w:t>LD50</w:t>
            </w:r>
            <w:r w:rsidRPr="005C008F">
              <w:rPr>
                <w:rFonts w:asciiTheme="minorHAnsi" w:eastAsiaTheme="minorEastAsia" w:hAnsiTheme="minorHAnsi" w:hint="eastAsia"/>
                <w:szCs w:val="21"/>
              </w:rPr>
              <w:t>：</w:t>
            </w:r>
          </w:p>
          <w:p w14:paraId="358D930C" w14:textId="77777777" w:rsidR="005C008F" w:rsidRDefault="005C008F" w:rsidP="005C008F">
            <w:pPr>
              <w:adjustRightInd w:val="0"/>
              <w:snapToGrid w:val="0"/>
              <w:spacing w:before="78"/>
              <w:jc w:val="center"/>
              <w:rPr>
                <w:rFonts w:asciiTheme="minorHAnsi" w:eastAsiaTheme="minorEastAsia" w:hAnsiTheme="minorHAnsi"/>
                <w:szCs w:val="21"/>
              </w:rPr>
            </w:pPr>
            <w:r w:rsidRPr="005C008F">
              <w:rPr>
                <w:rFonts w:asciiTheme="minorHAnsi" w:eastAsiaTheme="minorEastAsia" w:hAnsiTheme="minorHAnsi" w:hint="eastAsia"/>
                <w:szCs w:val="21"/>
              </w:rPr>
              <w:t>4000mg/Kg</w:t>
            </w:r>
            <w:r w:rsidRPr="005C008F">
              <w:rPr>
                <w:rFonts w:asciiTheme="minorHAnsi" w:eastAsiaTheme="minorEastAsia" w:hAnsiTheme="minorHAnsi" w:hint="eastAsia"/>
                <w:szCs w:val="21"/>
              </w:rPr>
              <w:t>（大鼠经</w:t>
            </w:r>
            <w:r>
              <w:rPr>
                <w:rFonts w:asciiTheme="minorHAnsi" w:eastAsiaTheme="minorEastAsia" w:hAnsiTheme="minorHAnsi" w:hint="eastAsia"/>
                <w:szCs w:val="21"/>
              </w:rPr>
              <w:t>口）</w:t>
            </w:r>
            <w:r w:rsidRPr="005C008F">
              <w:rPr>
                <w:rFonts w:asciiTheme="minorHAnsi" w:eastAsiaTheme="minorEastAsia" w:hAnsiTheme="minorHAnsi" w:hint="eastAsia"/>
                <w:szCs w:val="21"/>
              </w:rPr>
              <w:t>4720mg/Kg</w:t>
            </w:r>
            <w:r w:rsidRPr="005C008F">
              <w:rPr>
                <w:rFonts w:asciiTheme="minorHAnsi" w:eastAsiaTheme="minorEastAsia" w:hAnsiTheme="minorHAnsi" w:hint="eastAsia"/>
                <w:szCs w:val="21"/>
              </w:rPr>
              <w:t>（兔经皮）。</w:t>
            </w:r>
            <w:r w:rsidRPr="005C008F">
              <w:rPr>
                <w:rFonts w:asciiTheme="minorHAnsi" w:eastAsiaTheme="minorEastAsia" w:hAnsiTheme="minorHAnsi" w:hint="eastAsia"/>
                <w:szCs w:val="21"/>
              </w:rPr>
              <w:t>LC50</w:t>
            </w:r>
            <w:r w:rsidRPr="005C008F">
              <w:rPr>
                <w:rFonts w:asciiTheme="minorHAnsi" w:eastAsiaTheme="minorEastAsia" w:hAnsiTheme="minorHAnsi" w:hint="eastAsia"/>
                <w:szCs w:val="21"/>
              </w:rPr>
              <w:t>：</w:t>
            </w:r>
            <w:r w:rsidRPr="005C008F">
              <w:rPr>
                <w:rFonts w:asciiTheme="minorHAnsi" w:eastAsiaTheme="minorEastAsia" w:hAnsiTheme="minorHAnsi" w:hint="eastAsia"/>
                <w:szCs w:val="21"/>
              </w:rPr>
              <w:t>9400mg/m</w:t>
            </w:r>
            <w:r w:rsidRPr="005C008F">
              <w:rPr>
                <w:rFonts w:asciiTheme="minorHAnsi" w:eastAsiaTheme="minorEastAsia" w:hAnsiTheme="minorHAnsi" w:hint="eastAsia"/>
                <w:szCs w:val="21"/>
                <w:vertAlign w:val="superscript"/>
              </w:rPr>
              <w:t>3</w:t>
            </w:r>
            <w:r w:rsidRPr="005C008F">
              <w:rPr>
                <w:rFonts w:asciiTheme="minorHAnsi" w:eastAsiaTheme="minorEastAsia" w:hAnsiTheme="minorHAnsi" w:hint="eastAsia"/>
                <w:szCs w:val="21"/>
              </w:rPr>
              <w:t>，</w:t>
            </w:r>
            <w:r>
              <w:rPr>
                <w:rFonts w:asciiTheme="minorHAnsi" w:eastAsiaTheme="minorEastAsia" w:hAnsiTheme="minorHAnsi" w:hint="eastAsia"/>
                <w:szCs w:val="21"/>
              </w:rPr>
              <w:t>2</w:t>
            </w:r>
            <w:r w:rsidRPr="005C008F">
              <w:rPr>
                <w:rFonts w:asciiTheme="minorHAnsi" w:eastAsiaTheme="minorEastAsia" w:hAnsiTheme="minorHAnsi" w:hint="eastAsia"/>
                <w:szCs w:val="21"/>
              </w:rPr>
              <w:t>小时（小鼠吸入）。</w:t>
            </w:r>
          </w:p>
        </w:tc>
      </w:tr>
      <w:tr w:rsidR="00DD676F" w:rsidRPr="00E35551" w14:paraId="33CC92A8" w14:textId="77777777" w:rsidTr="005C008F">
        <w:trPr>
          <w:trHeight w:val="1533"/>
        </w:trPr>
        <w:tc>
          <w:tcPr>
            <w:tcW w:w="928" w:type="dxa"/>
            <w:vAlign w:val="center"/>
          </w:tcPr>
          <w:p w14:paraId="5744D708" w14:textId="77777777" w:rsidR="00DD676F" w:rsidRDefault="00DD676F"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5</w:t>
            </w:r>
          </w:p>
        </w:tc>
        <w:tc>
          <w:tcPr>
            <w:tcW w:w="928" w:type="dxa"/>
            <w:vAlign w:val="center"/>
          </w:tcPr>
          <w:p w14:paraId="06FA2A99" w14:textId="77777777" w:rsidR="00DD676F" w:rsidRPr="005C008F" w:rsidRDefault="00DD676F" w:rsidP="005C008F">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乙醇</w:t>
            </w:r>
          </w:p>
        </w:tc>
        <w:tc>
          <w:tcPr>
            <w:tcW w:w="4249" w:type="dxa"/>
            <w:vAlign w:val="center"/>
          </w:tcPr>
          <w:p w14:paraId="4640D725" w14:textId="77777777" w:rsidR="00DD676F" w:rsidRPr="005C008F" w:rsidRDefault="008E6FBC" w:rsidP="000461B1">
            <w:pPr>
              <w:adjustRightInd w:val="0"/>
              <w:snapToGrid w:val="0"/>
              <w:spacing w:before="78"/>
              <w:jc w:val="left"/>
              <w:rPr>
                <w:rFonts w:asciiTheme="minorHAnsi" w:eastAsiaTheme="minorEastAsia" w:hAnsiTheme="minorHAnsi"/>
                <w:spacing w:val="-8"/>
                <w:szCs w:val="21"/>
              </w:rPr>
            </w:pPr>
            <w:r w:rsidRPr="008E6FBC">
              <w:rPr>
                <w:rFonts w:asciiTheme="minorHAnsi" w:eastAsiaTheme="minorEastAsia" w:hAnsiTheme="minorHAnsi" w:hint="eastAsia"/>
                <w:spacing w:val="-8"/>
                <w:szCs w:val="21"/>
              </w:rPr>
              <w:t>CAS</w:t>
            </w:r>
            <w:r w:rsidRPr="008E6FBC">
              <w:rPr>
                <w:rFonts w:asciiTheme="minorHAnsi" w:eastAsiaTheme="minorEastAsia" w:hAnsiTheme="minorHAnsi" w:hint="eastAsia"/>
                <w:spacing w:val="-8"/>
                <w:szCs w:val="21"/>
              </w:rPr>
              <w:t>：</w:t>
            </w:r>
            <w:r w:rsidRPr="008E6FBC">
              <w:rPr>
                <w:rFonts w:asciiTheme="minorHAnsi" w:eastAsiaTheme="minorEastAsia" w:hAnsiTheme="minorHAnsi" w:hint="eastAsia"/>
                <w:spacing w:val="-8"/>
                <w:szCs w:val="21"/>
              </w:rPr>
              <w:t>64-17-5</w:t>
            </w:r>
            <w:r w:rsidRPr="008E6FBC">
              <w:rPr>
                <w:rFonts w:asciiTheme="minorHAnsi" w:eastAsiaTheme="minorEastAsia" w:hAnsiTheme="minorHAnsi" w:hint="eastAsia"/>
                <w:spacing w:val="-8"/>
                <w:szCs w:val="21"/>
              </w:rPr>
              <w:t>，分子式为</w:t>
            </w:r>
            <w:r w:rsidRPr="008E6FBC">
              <w:rPr>
                <w:rFonts w:asciiTheme="minorHAnsi" w:eastAsiaTheme="minorEastAsia" w:hAnsiTheme="minorHAnsi" w:hint="eastAsia"/>
                <w:spacing w:val="-8"/>
                <w:szCs w:val="21"/>
              </w:rPr>
              <w:t>C</w:t>
            </w:r>
            <w:r w:rsidRPr="000461B1">
              <w:rPr>
                <w:rFonts w:asciiTheme="minorHAnsi" w:eastAsiaTheme="minorEastAsia" w:hAnsiTheme="minorHAnsi" w:hint="eastAsia"/>
                <w:spacing w:val="-8"/>
                <w:szCs w:val="21"/>
                <w:vertAlign w:val="subscript"/>
              </w:rPr>
              <w:t>2</w:t>
            </w:r>
            <w:r w:rsidRPr="008E6FBC">
              <w:rPr>
                <w:rFonts w:asciiTheme="minorHAnsi" w:eastAsiaTheme="minorEastAsia" w:hAnsiTheme="minorHAnsi" w:hint="eastAsia"/>
                <w:spacing w:val="-8"/>
                <w:szCs w:val="21"/>
              </w:rPr>
              <w:t>H</w:t>
            </w:r>
            <w:r w:rsidRPr="000461B1">
              <w:rPr>
                <w:rFonts w:asciiTheme="minorHAnsi" w:eastAsiaTheme="minorEastAsia" w:hAnsiTheme="minorHAnsi" w:hint="eastAsia"/>
                <w:spacing w:val="-8"/>
                <w:szCs w:val="21"/>
                <w:vertAlign w:val="subscript"/>
              </w:rPr>
              <w:t>6</w:t>
            </w:r>
            <w:r w:rsidRPr="008E6FBC">
              <w:rPr>
                <w:rFonts w:asciiTheme="minorHAnsi" w:eastAsiaTheme="minorEastAsia" w:hAnsiTheme="minorHAnsi" w:hint="eastAsia"/>
                <w:spacing w:val="-8"/>
                <w:szCs w:val="21"/>
              </w:rPr>
              <w:t>O</w:t>
            </w:r>
            <w:r w:rsidRPr="008E6FBC">
              <w:rPr>
                <w:rFonts w:asciiTheme="minorHAnsi" w:eastAsiaTheme="minorEastAsia" w:hAnsiTheme="minorHAnsi" w:hint="eastAsia"/>
                <w:spacing w:val="-8"/>
                <w:szCs w:val="21"/>
              </w:rPr>
              <w:t>，</w:t>
            </w:r>
            <w:r w:rsidR="000461B1">
              <w:rPr>
                <w:rFonts w:asciiTheme="minorHAnsi" w:eastAsiaTheme="minorEastAsia" w:hAnsiTheme="minorHAnsi" w:hint="eastAsia"/>
                <w:spacing w:val="-8"/>
                <w:szCs w:val="21"/>
              </w:rPr>
              <w:t>熔点：</w:t>
            </w:r>
            <w:r w:rsidR="000461B1">
              <w:rPr>
                <w:rFonts w:asciiTheme="minorHAnsi" w:eastAsiaTheme="minorEastAsia" w:hAnsiTheme="minorHAnsi" w:hint="eastAsia"/>
                <w:spacing w:val="-8"/>
                <w:szCs w:val="21"/>
              </w:rPr>
              <w:t>-114.1</w:t>
            </w:r>
            <w:r w:rsidR="000461B1">
              <w:rPr>
                <w:rFonts w:asciiTheme="minorHAnsi" w:eastAsiaTheme="minorEastAsia" w:hAnsiTheme="minorHAnsi" w:hint="eastAsia"/>
                <w:spacing w:val="-8"/>
                <w:szCs w:val="21"/>
              </w:rPr>
              <w:t>℃</w:t>
            </w:r>
            <w:r w:rsidR="000461B1">
              <w:rPr>
                <w:rFonts w:asciiTheme="minorHAnsi" w:eastAsiaTheme="minorEastAsia" w:hAnsiTheme="minorHAnsi"/>
                <w:spacing w:val="-8"/>
                <w:szCs w:val="21"/>
              </w:rPr>
              <w:t>，沸点</w:t>
            </w:r>
            <w:r w:rsidR="000461B1">
              <w:rPr>
                <w:rFonts w:asciiTheme="minorHAnsi" w:eastAsiaTheme="minorEastAsia" w:hAnsiTheme="minorHAnsi" w:hint="eastAsia"/>
                <w:spacing w:val="-8"/>
                <w:szCs w:val="21"/>
              </w:rPr>
              <w:t>78.3</w:t>
            </w:r>
            <w:r w:rsidR="000461B1">
              <w:rPr>
                <w:rFonts w:asciiTheme="minorHAnsi" w:eastAsiaTheme="minorEastAsia" w:hAnsiTheme="minorHAnsi" w:hint="eastAsia"/>
                <w:spacing w:val="-8"/>
                <w:szCs w:val="21"/>
              </w:rPr>
              <w:t>℃</w:t>
            </w:r>
            <w:r w:rsidR="000461B1">
              <w:rPr>
                <w:rFonts w:asciiTheme="minorHAnsi" w:eastAsiaTheme="minorEastAsia" w:hAnsiTheme="minorHAnsi"/>
                <w:spacing w:val="-8"/>
                <w:szCs w:val="21"/>
              </w:rPr>
              <w:t>，密度：</w:t>
            </w:r>
            <w:r w:rsidR="000461B1">
              <w:rPr>
                <w:rFonts w:asciiTheme="minorHAnsi" w:eastAsiaTheme="minorEastAsia" w:hAnsiTheme="minorHAnsi"/>
                <w:spacing w:val="-8"/>
                <w:szCs w:val="21"/>
              </w:rPr>
              <w:t>0.7893g/cm</w:t>
            </w:r>
            <w:r w:rsidR="000461B1" w:rsidRPr="000461B1">
              <w:rPr>
                <w:rFonts w:asciiTheme="minorHAnsi" w:eastAsiaTheme="minorEastAsia" w:hAnsiTheme="minorHAnsi"/>
                <w:spacing w:val="-8"/>
                <w:szCs w:val="21"/>
                <w:vertAlign w:val="superscript"/>
              </w:rPr>
              <w:t>3</w:t>
            </w:r>
            <w:r w:rsidR="000461B1">
              <w:rPr>
                <w:rFonts w:asciiTheme="minorHAnsi" w:eastAsiaTheme="minorEastAsia" w:hAnsiTheme="minorHAnsi" w:hint="eastAsia"/>
                <w:spacing w:val="-8"/>
                <w:szCs w:val="21"/>
              </w:rPr>
              <w:t>，</w:t>
            </w:r>
            <w:r w:rsidR="000461B1">
              <w:rPr>
                <w:rFonts w:asciiTheme="minorHAnsi" w:eastAsiaTheme="minorEastAsia" w:hAnsiTheme="minorHAnsi"/>
                <w:spacing w:val="-8"/>
                <w:szCs w:val="21"/>
              </w:rPr>
              <w:t>蒸气压</w:t>
            </w:r>
            <w:r w:rsidR="000461B1">
              <w:rPr>
                <w:rFonts w:asciiTheme="minorHAnsi" w:eastAsiaTheme="minorEastAsia" w:hAnsiTheme="minorHAnsi" w:hint="eastAsia"/>
                <w:spacing w:val="-8"/>
                <w:szCs w:val="21"/>
              </w:rPr>
              <w:t>5.333</w:t>
            </w:r>
            <w:r w:rsidR="000461B1">
              <w:rPr>
                <w:rFonts w:asciiTheme="minorHAnsi" w:eastAsiaTheme="minorEastAsia" w:hAnsiTheme="minorHAnsi"/>
                <w:spacing w:val="-8"/>
                <w:szCs w:val="21"/>
              </w:rPr>
              <w:t>kpa</w:t>
            </w:r>
            <w:r w:rsidR="000461B1">
              <w:rPr>
                <w:rFonts w:asciiTheme="minorHAnsi" w:eastAsiaTheme="minorEastAsia" w:hAnsiTheme="minorHAnsi" w:hint="eastAsia"/>
                <w:spacing w:val="-8"/>
                <w:szCs w:val="21"/>
              </w:rPr>
              <w:t>（</w:t>
            </w:r>
            <w:r w:rsidR="000461B1">
              <w:rPr>
                <w:rFonts w:asciiTheme="minorHAnsi" w:eastAsiaTheme="minorEastAsia" w:hAnsiTheme="minorHAnsi" w:hint="eastAsia"/>
                <w:spacing w:val="-8"/>
                <w:szCs w:val="21"/>
              </w:rPr>
              <w:t>19</w:t>
            </w:r>
            <w:r w:rsidR="000461B1">
              <w:rPr>
                <w:rFonts w:asciiTheme="minorHAnsi" w:eastAsiaTheme="minorEastAsia" w:hAnsiTheme="minorHAnsi" w:hint="eastAsia"/>
                <w:spacing w:val="-8"/>
                <w:szCs w:val="21"/>
              </w:rPr>
              <w:t>℃），</w:t>
            </w:r>
            <w:r w:rsidRPr="008E6FBC">
              <w:rPr>
                <w:rFonts w:asciiTheme="minorHAnsi" w:eastAsiaTheme="minorEastAsia" w:hAnsiTheme="minorHAnsi" w:hint="eastAsia"/>
                <w:spacing w:val="-8"/>
                <w:szCs w:val="21"/>
              </w:rPr>
              <w:t>是一种易挥发的无色透明液体，低毒性，纯液体不可直接饮用。乙醇的水溶液具有酒香的气味，并略带刺激性，味甘。</w:t>
            </w:r>
          </w:p>
        </w:tc>
        <w:tc>
          <w:tcPr>
            <w:tcW w:w="1134" w:type="dxa"/>
            <w:vAlign w:val="center"/>
          </w:tcPr>
          <w:p w14:paraId="408A7CAF" w14:textId="77777777" w:rsidR="00DD676F" w:rsidRDefault="008E6FBC" w:rsidP="000461B1">
            <w:pPr>
              <w:adjustRightInd w:val="0"/>
              <w:snapToGrid w:val="0"/>
              <w:spacing w:before="78"/>
              <w:jc w:val="center"/>
              <w:rPr>
                <w:rFonts w:asciiTheme="minorHAnsi" w:eastAsiaTheme="minorEastAsia" w:hAnsiTheme="minorHAnsi"/>
                <w:spacing w:val="-8"/>
                <w:szCs w:val="21"/>
              </w:rPr>
            </w:pPr>
            <w:r>
              <w:rPr>
                <w:rFonts w:ascii="Helvetica" w:hAnsi="Helvetica" w:cs="Helvetica"/>
                <w:color w:val="333333"/>
                <w:szCs w:val="21"/>
                <w:shd w:val="clear" w:color="auto" w:fill="FFFFFF"/>
              </w:rPr>
              <w:t>易挥发，易燃烧</w:t>
            </w:r>
          </w:p>
        </w:tc>
        <w:tc>
          <w:tcPr>
            <w:tcW w:w="1582" w:type="dxa"/>
            <w:vAlign w:val="center"/>
          </w:tcPr>
          <w:p w14:paraId="1BDE220A" w14:textId="77777777" w:rsidR="00DD676F" w:rsidRPr="008E6FBC" w:rsidRDefault="008E6FBC" w:rsidP="008E6FBC">
            <w:pPr>
              <w:widowControl/>
              <w:shd w:val="clear" w:color="auto" w:fill="FFFFFF"/>
              <w:jc w:val="left"/>
              <w:rPr>
                <w:rFonts w:asciiTheme="minorHAnsi" w:eastAsiaTheme="minorEastAsia" w:hAnsiTheme="minorHAnsi"/>
                <w:szCs w:val="21"/>
              </w:rPr>
            </w:pPr>
            <w:r w:rsidRPr="008E6FBC">
              <w:rPr>
                <w:rFonts w:asciiTheme="minorHAnsi" w:eastAsiaTheme="minorEastAsia" w:hAnsiTheme="minorHAnsi"/>
                <w:spacing w:val="-8"/>
                <w:szCs w:val="21"/>
              </w:rPr>
              <w:t>微毒</w:t>
            </w:r>
            <w:r w:rsidRPr="008E6FBC">
              <w:rPr>
                <w:rFonts w:asciiTheme="minorHAnsi" w:eastAsiaTheme="minorEastAsia" w:hAnsiTheme="minorHAnsi" w:hint="eastAsia"/>
                <w:spacing w:val="-8"/>
                <w:szCs w:val="21"/>
              </w:rPr>
              <w:t>，</w:t>
            </w:r>
            <w:r w:rsidRPr="008E6FBC">
              <w:rPr>
                <w:rFonts w:asciiTheme="minorHAnsi" w:eastAsiaTheme="minorEastAsia" w:hAnsiTheme="minorHAnsi" w:hint="eastAsia"/>
                <w:spacing w:val="-8"/>
                <w:szCs w:val="21"/>
              </w:rPr>
              <w:t>LD50</w:t>
            </w:r>
            <w:r>
              <w:rPr>
                <w:rFonts w:asciiTheme="minorHAnsi" w:eastAsiaTheme="minorEastAsia" w:hAnsiTheme="minorHAnsi" w:hint="eastAsia"/>
                <w:spacing w:val="-8"/>
                <w:szCs w:val="21"/>
              </w:rPr>
              <w:t>：</w:t>
            </w:r>
            <w:r w:rsidRPr="008E6FBC">
              <w:rPr>
                <w:rFonts w:asciiTheme="minorHAnsi" w:eastAsiaTheme="minorEastAsia" w:hAnsiTheme="minorHAnsi" w:hint="eastAsia"/>
                <w:spacing w:val="-8"/>
                <w:szCs w:val="21"/>
              </w:rPr>
              <w:t>7060mg/kg</w:t>
            </w:r>
            <w:r w:rsidRPr="008E6FBC">
              <w:rPr>
                <w:rFonts w:asciiTheme="minorHAnsi" w:eastAsiaTheme="minorEastAsia" w:hAnsiTheme="minorHAnsi" w:hint="eastAsia"/>
                <w:spacing w:val="-8"/>
                <w:szCs w:val="21"/>
              </w:rPr>
              <w:t>（兔经口）；</w:t>
            </w:r>
            <w:r w:rsidRPr="008E6FBC">
              <w:rPr>
                <w:rFonts w:asciiTheme="minorHAnsi" w:eastAsiaTheme="minorEastAsia" w:hAnsiTheme="minorHAnsi" w:hint="eastAsia"/>
                <w:spacing w:val="-8"/>
                <w:szCs w:val="21"/>
              </w:rPr>
              <w:t>LD50</w:t>
            </w:r>
            <w:r>
              <w:rPr>
                <w:rFonts w:asciiTheme="minorHAnsi" w:eastAsiaTheme="minorEastAsia" w:hAnsiTheme="minorHAnsi" w:hint="eastAsia"/>
                <w:spacing w:val="-8"/>
                <w:szCs w:val="21"/>
              </w:rPr>
              <w:t>：</w:t>
            </w:r>
            <w:r w:rsidRPr="008E6FBC">
              <w:rPr>
                <w:rFonts w:asciiTheme="minorHAnsi" w:eastAsiaTheme="minorEastAsia" w:hAnsiTheme="minorHAnsi" w:hint="eastAsia"/>
                <w:spacing w:val="-8"/>
                <w:szCs w:val="21"/>
              </w:rPr>
              <w:t>7340 mg/kg</w:t>
            </w:r>
            <w:r w:rsidRPr="008E6FBC">
              <w:rPr>
                <w:rFonts w:asciiTheme="minorHAnsi" w:eastAsiaTheme="minorEastAsia" w:hAnsiTheme="minorHAnsi" w:hint="eastAsia"/>
                <w:spacing w:val="-8"/>
                <w:szCs w:val="21"/>
              </w:rPr>
              <w:t>（兔经皮）；</w:t>
            </w:r>
            <w:r w:rsidRPr="008E6FBC">
              <w:rPr>
                <w:rFonts w:asciiTheme="minorHAnsi" w:eastAsiaTheme="minorEastAsia" w:hAnsiTheme="minorHAnsi" w:hint="eastAsia"/>
                <w:spacing w:val="-8"/>
                <w:szCs w:val="21"/>
              </w:rPr>
              <w:t>LC50</w:t>
            </w:r>
            <w:r>
              <w:rPr>
                <w:rFonts w:asciiTheme="minorHAnsi" w:eastAsiaTheme="minorEastAsia" w:hAnsiTheme="minorHAnsi" w:hint="eastAsia"/>
                <w:spacing w:val="-8"/>
                <w:szCs w:val="21"/>
              </w:rPr>
              <w:t>：</w:t>
            </w:r>
            <w:r w:rsidRPr="008E6FBC">
              <w:rPr>
                <w:rFonts w:asciiTheme="minorHAnsi" w:eastAsiaTheme="minorEastAsia" w:hAnsiTheme="minorHAnsi" w:hint="eastAsia"/>
                <w:spacing w:val="-8"/>
                <w:szCs w:val="21"/>
              </w:rPr>
              <w:t>37620mg/m</w:t>
            </w:r>
            <w:r w:rsidRPr="008E6FBC">
              <w:rPr>
                <w:rFonts w:asciiTheme="minorHAnsi" w:eastAsiaTheme="minorEastAsia" w:hAnsiTheme="minorHAnsi" w:hint="eastAsia"/>
                <w:spacing w:val="-8"/>
                <w:szCs w:val="21"/>
              </w:rPr>
              <w:t>³</w:t>
            </w:r>
          </w:p>
        </w:tc>
      </w:tr>
      <w:tr w:rsidR="00DD676F" w:rsidRPr="00E35551" w14:paraId="75CB6116" w14:textId="77777777" w:rsidTr="005C008F">
        <w:trPr>
          <w:trHeight w:val="1533"/>
        </w:trPr>
        <w:tc>
          <w:tcPr>
            <w:tcW w:w="928" w:type="dxa"/>
            <w:vAlign w:val="center"/>
          </w:tcPr>
          <w:p w14:paraId="4A22F346" w14:textId="77777777" w:rsidR="00DD676F" w:rsidRDefault="00DD676F"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6</w:t>
            </w:r>
          </w:p>
        </w:tc>
        <w:tc>
          <w:tcPr>
            <w:tcW w:w="928" w:type="dxa"/>
            <w:vAlign w:val="center"/>
          </w:tcPr>
          <w:p w14:paraId="39DB9FC5" w14:textId="77777777" w:rsidR="00DD676F" w:rsidRDefault="00DD676F" w:rsidP="005C008F">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甲酸</w:t>
            </w:r>
          </w:p>
        </w:tc>
        <w:tc>
          <w:tcPr>
            <w:tcW w:w="4249" w:type="dxa"/>
            <w:vAlign w:val="center"/>
          </w:tcPr>
          <w:p w14:paraId="398D0C27" w14:textId="77777777" w:rsidR="00DD676F" w:rsidRPr="008E6FBC" w:rsidRDefault="00DD676F" w:rsidP="004A177D">
            <w:pPr>
              <w:adjustRightInd w:val="0"/>
              <w:snapToGrid w:val="0"/>
              <w:spacing w:before="78"/>
              <w:jc w:val="left"/>
              <w:rPr>
                <w:rFonts w:asciiTheme="minorHAnsi" w:eastAsiaTheme="minorEastAsia" w:hAnsiTheme="minorHAnsi"/>
                <w:spacing w:val="-8"/>
                <w:szCs w:val="21"/>
              </w:rPr>
            </w:pPr>
            <w:r w:rsidRPr="005C008F">
              <w:rPr>
                <w:rFonts w:asciiTheme="minorHAnsi" w:eastAsiaTheme="minorEastAsia" w:hAnsiTheme="minorHAnsi"/>
                <w:spacing w:val="-8"/>
                <w:szCs w:val="21"/>
              </w:rPr>
              <w:t>CAS</w:t>
            </w:r>
            <w:r w:rsidRPr="005C008F">
              <w:rPr>
                <w:rFonts w:asciiTheme="minorHAnsi" w:eastAsiaTheme="minorEastAsia" w:hAnsiTheme="minorHAnsi"/>
                <w:spacing w:val="-8"/>
                <w:szCs w:val="21"/>
              </w:rPr>
              <w:t>：</w:t>
            </w:r>
            <w:r w:rsidRPr="008E6FBC">
              <w:rPr>
                <w:rFonts w:asciiTheme="minorHAnsi" w:eastAsiaTheme="minorEastAsia" w:hAnsiTheme="minorHAnsi"/>
                <w:spacing w:val="-8"/>
                <w:szCs w:val="21"/>
              </w:rPr>
              <w:t>64-18-6</w:t>
            </w:r>
            <w:r w:rsidRPr="008E6FBC">
              <w:rPr>
                <w:rFonts w:asciiTheme="minorHAnsi" w:eastAsiaTheme="minorEastAsia" w:hAnsiTheme="minorHAnsi"/>
                <w:spacing w:val="-8"/>
              </w:rPr>
              <w:t>化学式为</w:t>
            </w:r>
            <w:r w:rsidRPr="008E6FBC">
              <w:rPr>
                <w:rFonts w:asciiTheme="minorHAnsi" w:eastAsiaTheme="minorEastAsia" w:hAnsiTheme="minorHAnsi"/>
                <w:spacing w:val="-8"/>
              </w:rPr>
              <w:t>HCOOH</w:t>
            </w:r>
            <w:r w:rsidRPr="008E6FBC">
              <w:rPr>
                <w:rFonts w:asciiTheme="minorHAnsi" w:eastAsiaTheme="minorEastAsia" w:hAnsiTheme="minorHAnsi"/>
                <w:spacing w:val="-8"/>
              </w:rPr>
              <w:t>，分子量</w:t>
            </w:r>
            <w:r w:rsidRPr="008E6FBC">
              <w:rPr>
                <w:rFonts w:asciiTheme="minorHAnsi" w:eastAsiaTheme="minorEastAsia" w:hAnsiTheme="minorHAnsi"/>
                <w:spacing w:val="-8"/>
              </w:rPr>
              <w:t>46.03</w:t>
            </w:r>
            <w:r w:rsidRPr="008E6FBC">
              <w:rPr>
                <w:rFonts w:asciiTheme="minorHAnsi" w:eastAsiaTheme="minorEastAsia" w:hAnsiTheme="minorHAnsi"/>
                <w:spacing w:val="-8"/>
              </w:rPr>
              <w:t>，</w:t>
            </w:r>
            <w:r w:rsidRPr="008E6FBC">
              <w:rPr>
                <w:rFonts w:asciiTheme="minorHAnsi" w:eastAsiaTheme="minorEastAsia" w:hAnsiTheme="minorHAnsi"/>
                <w:spacing w:val="-8"/>
                <w:szCs w:val="21"/>
              </w:rPr>
              <w:t>为无色而有刺激性气味的液体</w:t>
            </w:r>
            <w:r w:rsidRPr="008E6FBC">
              <w:rPr>
                <w:rFonts w:asciiTheme="minorHAnsi" w:eastAsiaTheme="minorEastAsia" w:hAnsiTheme="minorHAnsi" w:hint="eastAsia"/>
                <w:spacing w:val="-8"/>
                <w:szCs w:val="21"/>
              </w:rPr>
              <w:t>，</w:t>
            </w:r>
            <w:r w:rsidRPr="008E6FBC">
              <w:rPr>
                <w:rFonts w:asciiTheme="minorHAnsi" w:eastAsiaTheme="minorEastAsia" w:hAnsiTheme="minorHAnsi"/>
                <w:spacing w:val="-8"/>
                <w:szCs w:val="21"/>
              </w:rPr>
              <w:t>能溶于水、乙醇、乙醚、苯等有机溶剂</w:t>
            </w:r>
            <w:r w:rsidRPr="008E6FBC">
              <w:rPr>
                <w:rFonts w:asciiTheme="minorHAnsi" w:eastAsiaTheme="minorEastAsia" w:hAnsiTheme="minorHAnsi" w:hint="eastAsia"/>
                <w:spacing w:val="-8"/>
                <w:szCs w:val="21"/>
              </w:rPr>
              <w:t>，熔点</w:t>
            </w:r>
            <w:r w:rsidRPr="008E6FBC">
              <w:rPr>
                <w:rFonts w:asciiTheme="minorHAnsi" w:eastAsiaTheme="minorEastAsia" w:hAnsiTheme="minorHAnsi"/>
                <w:spacing w:val="-8"/>
                <w:szCs w:val="21"/>
              </w:rPr>
              <w:t>：</w:t>
            </w:r>
            <w:r w:rsidRPr="008E6FBC">
              <w:rPr>
                <w:rFonts w:asciiTheme="minorHAnsi" w:eastAsiaTheme="minorEastAsia" w:hAnsiTheme="minorHAnsi" w:hint="eastAsia"/>
                <w:spacing w:val="-8"/>
                <w:szCs w:val="21"/>
              </w:rPr>
              <w:t>8.2-8.4</w:t>
            </w:r>
            <w:r w:rsidRPr="008E6FBC">
              <w:rPr>
                <w:rFonts w:asciiTheme="minorHAnsi" w:eastAsiaTheme="minorEastAsia" w:hAnsiTheme="minorHAnsi" w:hint="eastAsia"/>
                <w:spacing w:val="-8"/>
                <w:szCs w:val="21"/>
              </w:rPr>
              <w:t>℃</w:t>
            </w:r>
            <w:r w:rsidRPr="008E6FBC">
              <w:rPr>
                <w:rFonts w:asciiTheme="minorHAnsi" w:eastAsiaTheme="minorEastAsia" w:hAnsiTheme="minorHAnsi"/>
                <w:spacing w:val="-8"/>
                <w:szCs w:val="21"/>
              </w:rPr>
              <w:t>，</w:t>
            </w:r>
            <w:r w:rsidRPr="008E6FBC">
              <w:rPr>
                <w:rFonts w:asciiTheme="minorHAnsi" w:eastAsiaTheme="minorEastAsia" w:hAnsiTheme="minorHAnsi" w:hint="eastAsia"/>
                <w:spacing w:val="-8"/>
                <w:szCs w:val="21"/>
              </w:rPr>
              <w:t>沸点</w:t>
            </w:r>
            <w:r w:rsidRPr="008E6FBC">
              <w:rPr>
                <w:rFonts w:asciiTheme="minorHAnsi" w:eastAsiaTheme="minorEastAsia" w:hAnsiTheme="minorHAnsi" w:hint="eastAsia"/>
                <w:spacing w:val="-8"/>
                <w:szCs w:val="21"/>
              </w:rPr>
              <w:t>100.6</w:t>
            </w:r>
            <w:r w:rsidRPr="008E6FBC">
              <w:rPr>
                <w:rFonts w:asciiTheme="minorHAnsi" w:eastAsiaTheme="minorEastAsia" w:hAnsiTheme="minorHAnsi" w:hint="eastAsia"/>
                <w:spacing w:val="-8"/>
                <w:szCs w:val="21"/>
              </w:rPr>
              <w:t>℃</w:t>
            </w:r>
            <w:r w:rsidRPr="008E6FBC">
              <w:rPr>
                <w:rFonts w:asciiTheme="minorHAnsi" w:eastAsiaTheme="minorEastAsia" w:hAnsiTheme="minorHAnsi"/>
                <w:spacing w:val="-8"/>
                <w:szCs w:val="21"/>
              </w:rPr>
              <w:t>，</w:t>
            </w:r>
            <w:r w:rsidRPr="008E6FBC">
              <w:rPr>
                <w:rFonts w:asciiTheme="minorHAnsi" w:eastAsiaTheme="minorEastAsia" w:hAnsiTheme="minorHAnsi" w:hint="eastAsia"/>
                <w:spacing w:val="-8"/>
                <w:szCs w:val="21"/>
              </w:rPr>
              <w:t>密度</w:t>
            </w:r>
            <w:r w:rsidRPr="008E6FBC">
              <w:rPr>
                <w:rFonts w:asciiTheme="minorHAnsi" w:eastAsiaTheme="minorEastAsia" w:hAnsiTheme="minorHAnsi"/>
                <w:spacing w:val="-8"/>
                <w:szCs w:val="21"/>
              </w:rPr>
              <w:t>：</w:t>
            </w:r>
            <w:r w:rsidRPr="008E6FBC">
              <w:rPr>
                <w:rFonts w:asciiTheme="minorHAnsi" w:eastAsiaTheme="minorEastAsia" w:hAnsiTheme="minorHAnsi" w:hint="eastAsia"/>
                <w:spacing w:val="-8"/>
                <w:szCs w:val="21"/>
              </w:rPr>
              <w:t>1.22</w:t>
            </w:r>
            <w:r w:rsidRPr="008E6FBC">
              <w:rPr>
                <w:rFonts w:asciiTheme="minorHAnsi" w:eastAsiaTheme="minorEastAsia" w:hAnsiTheme="minorHAnsi"/>
                <w:spacing w:val="-8"/>
                <w:szCs w:val="21"/>
              </w:rPr>
              <w:t>g/cm</w:t>
            </w:r>
            <w:r w:rsidRPr="008E6FBC">
              <w:rPr>
                <w:rFonts w:asciiTheme="minorHAnsi" w:eastAsiaTheme="minorEastAsia" w:hAnsiTheme="minorHAnsi"/>
                <w:spacing w:val="-8"/>
                <w:szCs w:val="21"/>
                <w:vertAlign w:val="superscript"/>
              </w:rPr>
              <w:t>3</w:t>
            </w:r>
            <w:r w:rsidR="004A177D">
              <w:rPr>
                <w:rFonts w:asciiTheme="minorHAnsi" w:eastAsiaTheme="minorEastAsia" w:hAnsiTheme="minorHAnsi" w:hint="eastAsia"/>
                <w:spacing w:val="-8"/>
                <w:szCs w:val="21"/>
              </w:rPr>
              <w:t>，饱和</w:t>
            </w:r>
            <w:r w:rsidR="004A177D">
              <w:rPr>
                <w:rFonts w:asciiTheme="minorHAnsi" w:eastAsiaTheme="minorEastAsia" w:hAnsiTheme="minorHAnsi"/>
                <w:spacing w:val="-8"/>
                <w:szCs w:val="21"/>
              </w:rPr>
              <w:t>蒸气压（</w:t>
            </w:r>
            <w:r w:rsidR="004A177D">
              <w:rPr>
                <w:rFonts w:asciiTheme="minorHAnsi" w:eastAsiaTheme="minorEastAsia" w:hAnsiTheme="minorHAnsi" w:hint="eastAsia"/>
                <w:spacing w:val="-8"/>
                <w:szCs w:val="21"/>
              </w:rPr>
              <w:t>24</w:t>
            </w:r>
            <w:r w:rsidR="004A177D">
              <w:rPr>
                <w:rFonts w:asciiTheme="minorHAnsi" w:eastAsiaTheme="minorEastAsia" w:hAnsiTheme="minorHAnsi" w:hint="eastAsia"/>
                <w:spacing w:val="-8"/>
                <w:szCs w:val="21"/>
              </w:rPr>
              <w:t>℃</w:t>
            </w:r>
            <w:r w:rsidR="004A177D">
              <w:rPr>
                <w:rFonts w:asciiTheme="minorHAnsi" w:eastAsiaTheme="minorEastAsia" w:hAnsiTheme="minorHAnsi"/>
                <w:spacing w:val="-8"/>
                <w:szCs w:val="21"/>
              </w:rPr>
              <w:t>）</w:t>
            </w:r>
            <w:r w:rsidR="004A177D">
              <w:rPr>
                <w:rFonts w:asciiTheme="minorHAnsi" w:eastAsiaTheme="minorEastAsia" w:hAnsiTheme="minorHAnsi" w:hint="eastAsia"/>
                <w:spacing w:val="-8"/>
                <w:szCs w:val="21"/>
              </w:rPr>
              <w:t>：</w:t>
            </w:r>
            <w:r w:rsidR="004A177D">
              <w:rPr>
                <w:rFonts w:asciiTheme="minorHAnsi" w:eastAsiaTheme="minorEastAsia" w:hAnsiTheme="minorHAnsi" w:hint="eastAsia"/>
                <w:spacing w:val="-8"/>
                <w:szCs w:val="21"/>
              </w:rPr>
              <w:t>5.33</w:t>
            </w:r>
            <w:r w:rsidR="004A177D">
              <w:rPr>
                <w:rFonts w:asciiTheme="minorHAnsi" w:eastAsiaTheme="minorEastAsia" w:hAnsiTheme="minorHAnsi"/>
                <w:spacing w:val="-8"/>
                <w:szCs w:val="21"/>
              </w:rPr>
              <w:t>kpa</w:t>
            </w:r>
            <w:r w:rsidR="004A177D">
              <w:rPr>
                <w:rFonts w:asciiTheme="minorHAnsi" w:eastAsiaTheme="minorEastAsia" w:hAnsiTheme="minorHAnsi" w:hint="eastAsia"/>
                <w:spacing w:val="-8"/>
                <w:szCs w:val="21"/>
              </w:rPr>
              <w:t>。</w:t>
            </w:r>
          </w:p>
        </w:tc>
        <w:tc>
          <w:tcPr>
            <w:tcW w:w="1134" w:type="dxa"/>
            <w:vAlign w:val="center"/>
          </w:tcPr>
          <w:p w14:paraId="731807DC" w14:textId="77777777" w:rsidR="00DD676F" w:rsidRDefault="00DD676F" w:rsidP="00385A80">
            <w:pPr>
              <w:adjustRightInd w:val="0"/>
              <w:snapToGrid w:val="0"/>
              <w:spacing w:before="78"/>
              <w:jc w:val="center"/>
              <w:rPr>
                <w:rFonts w:asciiTheme="minorHAnsi" w:eastAsiaTheme="minorEastAsia" w:hAnsiTheme="minorHAnsi"/>
                <w:spacing w:val="-8"/>
                <w:szCs w:val="21"/>
              </w:rPr>
            </w:pPr>
            <w:r>
              <w:rPr>
                <w:rFonts w:ascii="Helvetica" w:hAnsi="Helvetica" w:cs="Helvetica"/>
                <w:color w:val="333333"/>
                <w:szCs w:val="21"/>
                <w:shd w:val="clear" w:color="auto" w:fill="FFFFFF"/>
              </w:rPr>
              <w:t>可燃；其蒸气与空气可形成爆炸性混合物，遇明火、高热能引起燃烧爆炸。与强氧化剂接触可发生化学反应。具有较强的腐蚀性。</w:t>
            </w:r>
          </w:p>
        </w:tc>
        <w:tc>
          <w:tcPr>
            <w:tcW w:w="1582" w:type="dxa"/>
            <w:vAlign w:val="center"/>
          </w:tcPr>
          <w:p w14:paraId="7BF27F00" w14:textId="77777777" w:rsidR="00DD676F" w:rsidRPr="008E6FBC" w:rsidRDefault="00DD676F" w:rsidP="008E6FBC">
            <w:pPr>
              <w:widowControl/>
              <w:shd w:val="clear" w:color="auto" w:fill="FFFFFF"/>
              <w:jc w:val="left"/>
              <w:rPr>
                <w:rFonts w:asciiTheme="minorHAnsi" w:eastAsiaTheme="minorEastAsia" w:hAnsiTheme="minorHAnsi"/>
                <w:spacing w:val="-8"/>
                <w:szCs w:val="21"/>
              </w:rPr>
            </w:pPr>
            <w:r w:rsidRPr="008E6FBC">
              <w:rPr>
                <w:rFonts w:asciiTheme="minorHAnsi" w:eastAsiaTheme="minorEastAsia" w:hAnsiTheme="minorHAnsi"/>
                <w:spacing w:val="-8"/>
                <w:szCs w:val="21"/>
              </w:rPr>
              <w:t>LD50</w:t>
            </w:r>
            <w:r w:rsidRPr="008E6FBC">
              <w:rPr>
                <w:rFonts w:asciiTheme="minorHAnsi" w:eastAsiaTheme="minorEastAsia" w:hAnsiTheme="minorHAnsi"/>
                <w:spacing w:val="-8"/>
                <w:szCs w:val="21"/>
              </w:rPr>
              <w:t>：</w:t>
            </w:r>
            <w:r w:rsidRPr="008E6FBC">
              <w:rPr>
                <w:rFonts w:asciiTheme="minorHAnsi" w:eastAsiaTheme="minorEastAsia" w:hAnsiTheme="minorHAnsi"/>
                <w:spacing w:val="-8"/>
                <w:szCs w:val="21"/>
              </w:rPr>
              <w:t>1100 mg/kg</w:t>
            </w:r>
            <w:r w:rsidRPr="008E6FBC">
              <w:rPr>
                <w:rFonts w:asciiTheme="minorHAnsi" w:eastAsiaTheme="minorEastAsia" w:hAnsiTheme="minorHAnsi"/>
                <w:spacing w:val="-8"/>
                <w:szCs w:val="21"/>
              </w:rPr>
              <w:t>（大鼠经口）</w:t>
            </w:r>
            <w:r w:rsidRPr="008E6FBC">
              <w:rPr>
                <w:rFonts w:asciiTheme="minorHAnsi" w:eastAsiaTheme="minorEastAsia" w:hAnsiTheme="minorHAnsi"/>
                <w:spacing w:val="-8"/>
                <w:szCs w:val="21"/>
              </w:rPr>
              <w:t>LC50</w:t>
            </w:r>
            <w:r w:rsidR="008E6FBC">
              <w:rPr>
                <w:rFonts w:asciiTheme="minorHAnsi" w:eastAsiaTheme="minorEastAsia" w:hAnsiTheme="minorHAnsi" w:hint="eastAsia"/>
                <w:spacing w:val="-8"/>
                <w:szCs w:val="21"/>
              </w:rPr>
              <w:t>：</w:t>
            </w:r>
            <w:r w:rsidR="008E6FBC">
              <w:rPr>
                <w:rFonts w:asciiTheme="minorHAnsi" w:eastAsiaTheme="minorEastAsia" w:hAnsiTheme="minorHAnsi"/>
                <w:spacing w:val="-8"/>
                <w:szCs w:val="21"/>
              </w:rPr>
              <w:t>15000</w:t>
            </w:r>
            <w:r w:rsidRPr="008E6FBC">
              <w:rPr>
                <w:rFonts w:asciiTheme="minorHAnsi" w:eastAsiaTheme="minorEastAsia" w:hAnsiTheme="minorHAnsi"/>
                <w:spacing w:val="-8"/>
                <w:szCs w:val="21"/>
              </w:rPr>
              <w:t>mg/m</w:t>
            </w:r>
            <w:r w:rsidRPr="008E6FBC">
              <w:rPr>
                <w:rFonts w:asciiTheme="minorHAnsi" w:eastAsiaTheme="minorEastAsia" w:hAnsiTheme="minorHAnsi"/>
                <w:spacing w:val="-8"/>
                <w:szCs w:val="21"/>
                <w:vertAlign w:val="superscript"/>
              </w:rPr>
              <w:t>3</w:t>
            </w:r>
            <w:r w:rsidRPr="008E6FBC">
              <w:rPr>
                <w:rFonts w:asciiTheme="minorHAnsi" w:eastAsiaTheme="minorEastAsia" w:hAnsiTheme="minorHAnsi"/>
                <w:spacing w:val="-8"/>
                <w:szCs w:val="21"/>
              </w:rPr>
              <w:t>（大鼠吸入，</w:t>
            </w:r>
            <w:r w:rsidR="008E6FBC">
              <w:rPr>
                <w:rFonts w:asciiTheme="minorHAnsi" w:eastAsiaTheme="minorEastAsia" w:hAnsiTheme="minorHAnsi"/>
                <w:spacing w:val="-8"/>
                <w:szCs w:val="21"/>
              </w:rPr>
              <w:t>15</w:t>
            </w:r>
            <w:r w:rsidRPr="008E6FBC">
              <w:rPr>
                <w:rFonts w:asciiTheme="minorHAnsi" w:eastAsiaTheme="minorEastAsia" w:hAnsiTheme="minorHAnsi"/>
                <w:spacing w:val="-8"/>
                <w:szCs w:val="21"/>
              </w:rPr>
              <w:t>min</w:t>
            </w:r>
            <w:r w:rsidRPr="008E6FBC">
              <w:rPr>
                <w:rFonts w:asciiTheme="minorHAnsi" w:eastAsiaTheme="minorEastAsia" w:hAnsiTheme="minorHAnsi"/>
                <w:spacing w:val="-8"/>
                <w:szCs w:val="21"/>
              </w:rPr>
              <w:t>）</w:t>
            </w:r>
          </w:p>
          <w:p w14:paraId="20FF1B69" w14:textId="77777777" w:rsidR="00DD676F" w:rsidRPr="008E6FBC" w:rsidRDefault="00DD676F" w:rsidP="005C008F">
            <w:pPr>
              <w:adjustRightInd w:val="0"/>
              <w:snapToGrid w:val="0"/>
              <w:spacing w:before="78"/>
              <w:jc w:val="center"/>
              <w:rPr>
                <w:rFonts w:asciiTheme="minorHAnsi" w:eastAsiaTheme="minorEastAsia" w:hAnsiTheme="minorHAnsi"/>
                <w:spacing w:val="-8"/>
                <w:szCs w:val="21"/>
              </w:rPr>
            </w:pPr>
          </w:p>
        </w:tc>
      </w:tr>
      <w:tr w:rsidR="00B25ECA" w:rsidRPr="00E35551" w14:paraId="42B34B90" w14:textId="77777777" w:rsidTr="005C008F">
        <w:trPr>
          <w:trHeight w:val="1533"/>
        </w:trPr>
        <w:tc>
          <w:tcPr>
            <w:tcW w:w="928" w:type="dxa"/>
            <w:vAlign w:val="center"/>
          </w:tcPr>
          <w:p w14:paraId="16586FF2" w14:textId="77777777" w:rsidR="00B25ECA" w:rsidRDefault="00B25ECA" w:rsidP="00385A80">
            <w:pPr>
              <w:adjustRightInd w:val="0"/>
              <w:snapToGrid w:val="0"/>
              <w:spacing w:before="78"/>
              <w:jc w:val="center"/>
              <w:rPr>
                <w:rFonts w:asciiTheme="minorHAnsi" w:eastAsiaTheme="minorEastAsia" w:hAnsiTheme="minorHAnsi"/>
                <w:spacing w:val="-8"/>
                <w:szCs w:val="21"/>
              </w:rPr>
            </w:pPr>
            <w:r>
              <w:rPr>
                <w:rFonts w:asciiTheme="minorHAnsi" w:eastAsiaTheme="minorEastAsia" w:hAnsiTheme="minorHAnsi" w:hint="eastAsia"/>
                <w:spacing w:val="-8"/>
                <w:szCs w:val="21"/>
              </w:rPr>
              <w:t>7</w:t>
            </w:r>
          </w:p>
        </w:tc>
        <w:tc>
          <w:tcPr>
            <w:tcW w:w="928" w:type="dxa"/>
            <w:vAlign w:val="center"/>
          </w:tcPr>
          <w:p w14:paraId="59CB6091" w14:textId="77777777" w:rsidR="00B25ECA" w:rsidRDefault="00B25ECA" w:rsidP="005C008F">
            <w:pPr>
              <w:adjustRightInd w:val="0"/>
              <w:snapToGrid w:val="0"/>
              <w:spacing w:before="78"/>
              <w:jc w:val="center"/>
              <w:rPr>
                <w:rFonts w:asciiTheme="minorHAnsi" w:eastAsiaTheme="minorEastAsia" w:hAnsiTheme="minorHAnsi"/>
                <w:spacing w:val="-8"/>
                <w:szCs w:val="21"/>
              </w:rPr>
            </w:pPr>
            <w:r>
              <w:rPr>
                <w:rFonts w:hint="eastAsia"/>
                <w:szCs w:val="21"/>
              </w:rPr>
              <w:t>管道天然气（甲烷）</w:t>
            </w:r>
          </w:p>
        </w:tc>
        <w:tc>
          <w:tcPr>
            <w:tcW w:w="4249" w:type="dxa"/>
            <w:vAlign w:val="center"/>
          </w:tcPr>
          <w:p w14:paraId="6A4489B8" w14:textId="77777777" w:rsidR="00B25ECA" w:rsidRPr="005C008F" w:rsidRDefault="00B25ECA" w:rsidP="004A177D">
            <w:pPr>
              <w:adjustRightInd w:val="0"/>
              <w:snapToGrid w:val="0"/>
              <w:spacing w:before="78"/>
              <w:jc w:val="left"/>
              <w:rPr>
                <w:rFonts w:asciiTheme="minorHAnsi" w:eastAsiaTheme="minorEastAsia" w:hAnsiTheme="minorHAnsi"/>
                <w:spacing w:val="-8"/>
                <w:szCs w:val="21"/>
              </w:rPr>
            </w:pPr>
            <w:r>
              <w:rPr>
                <w:rFonts w:hint="eastAsia"/>
                <w:color w:val="333333"/>
                <w:szCs w:val="21"/>
                <w:shd w:val="clear" w:color="auto" w:fill="FFFFFF"/>
              </w:rPr>
              <w:t>主要成分甲烷，甲烷</w:t>
            </w:r>
            <w:r>
              <w:rPr>
                <w:rFonts w:ascii="Helvetica" w:hAnsi="Helvetica"/>
                <w:color w:val="333333"/>
                <w:szCs w:val="21"/>
                <w:shd w:val="clear" w:color="auto" w:fill="FFFFFF"/>
              </w:rPr>
              <w:t>分子式是</w:t>
            </w:r>
            <w:r>
              <w:rPr>
                <w:rFonts w:ascii="Helvetica" w:hAnsi="Helvetica"/>
                <w:color w:val="333333"/>
                <w:szCs w:val="21"/>
                <w:shd w:val="clear" w:color="auto" w:fill="FFFFFF"/>
              </w:rPr>
              <w:t>CH</w:t>
            </w:r>
            <w:r>
              <w:rPr>
                <w:rFonts w:ascii="Helvetica" w:hAnsi="Helvetica"/>
                <w:color w:val="333333"/>
                <w:sz w:val="18"/>
                <w:szCs w:val="18"/>
                <w:shd w:val="clear" w:color="auto" w:fill="FFFFFF"/>
                <w:vertAlign w:val="subscript"/>
              </w:rPr>
              <w:t>4</w:t>
            </w:r>
            <w:r>
              <w:rPr>
                <w:rFonts w:ascii="Helvetica" w:hAnsi="Helvetica"/>
                <w:color w:val="333333"/>
                <w:szCs w:val="21"/>
                <w:shd w:val="clear" w:color="auto" w:fill="FFFFFF"/>
              </w:rPr>
              <w:t>，分子量为</w:t>
            </w:r>
            <w:r>
              <w:rPr>
                <w:rFonts w:ascii="Helvetica" w:hAnsi="Helvetica"/>
                <w:color w:val="333333"/>
                <w:szCs w:val="21"/>
                <w:shd w:val="clear" w:color="auto" w:fill="FFFFFF"/>
              </w:rPr>
              <w:t>16.043</w:t>
            </w:r>
            <w:r>
              <w:rPr>
                <w:rFonts w:ascii="Helvetica" w:hAnsi="Helvetica" w:hint="eastAsia"/>
                <w:color w:val="333333"/>
                <w:szCs w:val="21"/>
                <w:shd w:val="clear" w:color="auto" w:fill="FFFFFF"/>
              </w:rPr>
              <w:t>，</w:t>
            </w:r>
            <w:r>
              <w:rPr>
                <w:rFonts w:hint="eastAsia"/>
                <w:color w:val="333333"/>
                <w:szCs w:val="21"/>
                <w:shd w:val="clear" w:color="auto" w:fill="FFFFFF"/>
              </w:rPr>
              <w:t>常温下为无色无气味气体</w:t>
            </w:r>
            <w:r>
              <w:rPr>
                <w:rFonts w:ascii="Helvetica" w:hAnsi="Helvetica"/>
                <w:color w:val="333333"/>
                <w:szCs w:val="21"/>
                <w:shd w:val="clear" w:color="auto" w:fill="FFFFFF"/>
              </w:rPr>
              <w:t>。</w:t>
            </w:r>
            <w:r>
              <w:rPr>
                <w:rFonts w:ascii="Arial" w:hAnsi="Arial" w:cs="Arial"/>
                <w:color w:val="333333"/>
                <w:szCs w:val="21"/>
                <w:shd w:val="clear" w:color="auto" w:fill="FFFFFF"/>
              </w:rPr>
              <w:t>常温、常压下甲烷的密度为</w:t>
            </w:r>
            <w:r>
              <w:rPr>
                <w:rFonts w:ascii="Arial" w:hAnsi="Arial" w:cs="Arial"/>
                <w:color w:val="333333"/>
                <w:szCs w:val="21"/>
                <w:shd w:val="clear" w:color="auto" w:fill="FFFFFF"/>
              </w:rPr>
              <w:t>0.7174kg/m</w:t>
            </w:r>
            <w:r w:rsidRPr="00B25ECA">
              <w:rPr>
                <w:rFonts w:ascii="Arial" w:hAnsi="Arial" w:cs="Arial"/>
                <w:color w:val="333333"/>
                <w:szCs w:val="21"/>
                <w:shd w:val="clear" w:color="auto" w:fill="FFFFFF"/>
                <w:vertAlign w:val="superscript"/>
              </w:rPr>
              <w:t>3</w:t>
            </w:r>
            <w:r>
              <w:rPr>
                <w:rFonts w:ascii="Arial" w:hAnsi="Arial" w:cs="Arial" w:hint="eastAsia"/>
                <w:color w:val="333333"/>
                <w:szCs w:val="21"/>
                <w:shd w:val="clear" w:color="auto" w:fill="FFFFFF"/>
              </w:rPr>
              <w:t>，</w:t>
            </w:r>
            <w:r>
              <w:rPr>
                <w:rFonts w:ascii="Helvetica" w:hAnsi="Helvetica" w:hint="eastAsia"/>
                <w:color w:val="333333"/>
                <w:szCs w:val="21"/>
                <w:shd w:val="clear" w:color="auto" w:fill="FFFFFF"/>
              </w:rPr>
              <w:t>熔点</w:t>
            </w:r>
            <w:r>
              <w:rPr>
                <w:rFonts w:ascii="Helvetica" w:hAnsi="Helvetica" w:hint="eastAsia"/>
                <w:color w:val="333333"/>
                <w:szCs w:val="21"/>
                <w:shd w:val="clear" w:color="auto" w:fill="FFFFFF"/>
              </w:rPr>
              <w:t>-182.5</w:t>
            </w:r>
            <w:r>
              <w:rPr>
                <w:rFonts w:ascii="Helvetica" w:hAnsi="Helvetica" w:hint="eastAsia"/>
                <w:color w:val="333333"/>
                <w:szCs w:val="21"/>
                <w:shd w:val="clear" w:color="auto" w:fill="FFFFFF"/>
              </w:rPr>
              <w:t>℃，沸点</w:t>
            </w:r>
            <w:r>
              <w:rPr>
                <w:rFonts w:ascii="Helvetica" w:hAnsi="Helvetica" w:hint="eastAsia"/>
                <w:color w:val="333333"/>
                <w:szCs w:val="21"/>
                <w:shd w:val="clear" w:color="auto" w:fill="FFFFFF"/>
              </w:rPr>
              <w:t>-161.5</w:t>
            </w:r>
            <w:r>
              <w:rPr>
                <w:rFonts w:ascii="Helvetica" w:hAnsi="Helvetica" w:hint="eastAsia"/>
                <w:color w:val="333333"/>
                <w:szCs w:val="21"/>
                <w:shd w:val="clear" w:color="auto" w:fill="FFFFFF"/>
              </w:rPr>
              <w:t>℃，闪点</w:t>
            </w:r>
            <w:r>
              <w:rPr>
                <w:rFonts w:ascii="Helvetica" w:hAnsi="Helvetica" w:hint="eastAsia"/>
                <w:color w:val="333333"/>
                <w:szCs w:val="21"/>
                <w:shd w:val="clear" w:color="auto" w:fill="FFFFFF"/>
              </w:rPr>
              <w:t>-188</w:t>
            </w:r>
            <w:r>
              <w:rPr>
                <w:rFonts w:ascii="Helvetica" w:hAnsi="Helvetica" w:hint="eastAsia"/>
                <w:color w:val="333333"/>
                <w:szCs w:val="21"/>
                <w:shd w:val="clear" w:color="auto" w:fill="FFFFFF"/>
              </w:rPr>
              <w:t>℃。</w:t>
            </w:r>
          </w:p>
        </w:tc>
        <w:tc>
          <w:tcPr>
            <w:tcW w:w="1134" w:type="dxa"/>
            <w:vAlign w:val="center"/>
          </w:tcPr>
          <w:p w14:paraId="62643906" w14:textId="77777777" w:rsidR="00B25ECA" w:rsidRPr="00B25ECA" w:rsidRDefault="00B25ECA" w:rsidP="00385A80">
            <w:pPr>
              <w:adjustRightInd w:val="0"/>
              <w:snapToGrid w:val="0"/>
              <w:spacing w:before="78"/>
              <w:jc w:val="center"/>
              <w:rPr>
                <w:rFonts w:asciiTheme="minorHAnsi" w:eastAsiaTheme="minorEastAsia" w:hAnsiTheme="minorHAnsi"/>
                <w:spacing w:val="-8"/>
                <w:szCs w:val="21"/>
              </w:rPr>
            </w:pPr>
            <w:r w:rsidRPr="00B25ECA">
              <w:rPr>
                <w:rFonts w:asciiTheme="minorHAnsi" w:eastAsiaTheme="minorEastAsia" w:hAnsiTheme="minorHAnsi"/>
                <w:spacing w:val="-8"/>
                <w:szCs w:val="21"/>
              </w:rPr>
              <w:t>易燃，与空气混合能形成爆炸性混合物，遇热源和明火有燃烧爆炸的危险</w:t>
            </w:r>
          </w:p>
        </w:tc>
        <w:tc>
          <w:tcPr>
            <w:tcW w:w="1582" w:type="dxa"/>
            <w:vAlign w:val="center"/>
          </w:tcPr>
          <w:p w14:paraId="39EC8B93" w14:textId="77777777" w:rsidR="00B25ECA" w:rsidRPr="008E6FBC" w:rsidRDefault="00B25ECA" w:rsidP="008E6FBC">
            <w:pPr>
              <w:widowControl/>
              <w:shd w:val="clear" w:color="auto" w:fill="FFFFFF"/>
              <w:jc w:val="left"/>
              <w:rPr>
                <w:rFonts w:asciiTheme="minorHAnsi" w:eastAsiaTheme="minorEastAsia" w:hAnsiTheme="minorHAnsi"/>
                <w:spacing w:val="-8"/>
                <w:szCs w:val="21"/>
              </w:rPr>
            </w:pPr>
            <w:r w:rsidRPr="00B25ECA">
              <w:rPr>
                <w:rFonts w:asciiTheme="minorHAnsi" w:eastAsiaTheme="minorEastAsia" w:hAnsiTheme="minorHAnsi" w:hint="eastAsia"/>
                <w:spacing w:val="-8"/>
                <w:szCs w:val="21"/>
              </w:rPr>
              <w:t>LD50</w:t>
            </w:r>
            <w:r w:rsidRPr="00B25ECA">
              <w:rPr>
                <w:rFonts w:asciiTheme="minorHAnsi" w:eastAsiaTheme="minorEastAsia" w:hAnsiTheme="minorHAnsi" w:hint="eastAsia"/>
                <w:spacing w:val="-8"/>
                <w:szCs w:val="21"/>
              </w:rPr>
              <w:t>：</w:t>
            </w:r>
            <w:r w:rsidRPr="00B25ECA">
              <w:rPr>
                <w:rFonts w:asciiTheme="minorHAnsi" w:eastAsiaTheme="minorEastAsia" w:hAnsiTheme="minorHAnsi" w:hint="eastAsia"/>
                <w:spacing w:val="-8"/>
                <w:szCs w:val="21"/>
              </w:rPr>
              <w:t>2779mg/Kg</w:t>
            </w:r>
            <w:r w:rsidRPr="00B25ECA">
              <w:rPr>
                <w:rFonts w:asciiTheme="minorHAnsi" w:eastAsiaTheme="minorEastAsia" w:hAnsiTheme="minorHAnsi" w:hint="eastAsia"/>
                <w:spacing w:val="-8"/>
                <w:szCs w:val="21"/>
              </w:rPr>
              <w:t>（大鼠经口）</w:t>
            </w:r>
          </w:p>
        </w:tc>
      </w:tr>
    </w:tbl>
    <w:p w14:paraId="73669FE3" w14:textId="77777777" w:rsidR="00CE7A1F" w:rsidRPr="004765E1" w:rsidRDefault="00CE7A1F" w:rsidP="004765E1">
      <w:pPr>
        <w:pStyle w:val="p15"/>
        <w:spacing w:line="520" w:lineRule="atLeast"/>
        <w:ind w:firstLine="480"/>
        <w:rPr>
          <w:rFonts w:ascii="Calibri" w:hAnsi="Calibri"/>
          <w:b/>
          <w:color w:val="auto"/>
          <w:kern w:val="2"/>
          <w:sz w:val="24"/>
          <w:szCs w:val="24"/>
          <w:u w:val="single"/>
        </w:rPr>
      </w:pPr>
      <w:r w:rsidRPr="005B57A0">
        <w:rPr>
          <w:rFonts w:ascii="Calibri" w:hAnsi="Calibri" w:hint="eastAsia"/>
          <w:b/>
          <w:color w:val="auto"/>
          <w:kern w:val="2"/>
          <w:sz w:val="24"/>
          <w:szCs w:val="24"/>
          <w:u w:val="single"/>
        </w:rPr>
        <w:t>根据</w:t>
      </w:r>
      <w:r w:rsidRPr="005B57A0">
        <w:rPr>
          <w:rFonts w:ascii="Calibri" w:hAnsi="Calibri"/>
          <w:b/>
          <w:color w:val="auto"/>
          <w:kern w:val="2"/>
          <w:sz w:val="24"/>
          <w:szCs w:val="24"/>
          <w:u w:val="single"/>
        </w:rPr>
        <w:t>生产使用的原辅材料及</w:t>
      </w:r>
      <w:r w:rsidRPr="005B57A0">
        <w:rPr>
          <w:rFonts w:ascii="Calibri" w:hAnsi="Calibri" w:hint="eastAsia"/>
          <w:b/>
          <w:color w:val="auto"/>
          <w:kern w:val="2"/>
          <w:sz w:val="24"/>
          <w:szCs w:val="24"/>
          <w:u w:val="single"/>
        </w:rPr>
        <w:t>品控</w:t>
      </w:r>
      <w:r w:rsidRPr="005B57A0">
        <w:rPr>
          <w:rFonts w:ascii="Calibri" w:hAnsi="Calibri"/>
          <w:b/>
          <w:color w:val="auto"/>
          <w:kern w:val="2"/>
          <w:sz w:val="24"/>
          <w:szCs w:val="24"/>
          <w:u w:val="single"/>
        </w:rPr>
        <w:t>中心</w:t>
      </w:r>
      <w:r w:rsidRPr="005B57A0">
        <w:rPr>
          <w:rFonts w:ascii="Calibri" w:hAnsi="Calibri" w:hint="eastAsia"/>
          <w:b/>
          <w:color w:val="auto"/>
          <w:kern w:val="2"/>
          <w:sz w:val="24"/>
          <w:szCs w:val="24"/>
          <w:u w:val="single"/>
        </w:rPr>
        <w:t>实验室消耗的</w:t>
      </w:r>
      <w:r w:rsidRPr="005B57A0">
        <w:rPr>
          <w:rFonts w:ascii="Calibri" w:hAnsi="Calibri"/>
          <w:b/>
          <w:color w:val="auto"/>
          <w:kern w:val="2"/>
          <w:sz w:val="24"/>
          <w:szCs w:val="24"/>
          <w:u w:val="single"/>
        </w:rPr>
        <w:t>试剂</w:t>
      </w:r>
      <w:r w:rsidRPr="005B57A0">
        <w:rPr>
          <w:rFonts w:ascii="Calibri" w:hAnsi="Calibri" w:hint="eastAsia"/>
          <w:b/>
          <w:color w:val="auto"/>
          <w:kern w:val="2"/>
          <w:sz w:val="24"/>
          <w:szCs w:val="24"/>
          <w:u w:val="single"/>
        </w:rPr>
        <w:t>的</w:t>
      </w:r>
      <w:r w:rsidR="004765E1">
        <w:rPr>
          <w:rFonts w:ascii="Calibri" w:hAnsi="Calibri" w:hint="eastAsia"/>
          <w:b/>
          <w:color w:val="auto"/>
          <w:kern w:val="2"/>
          <w:sz w:val="24"/>
          <w:szCs w:val="24"/>
          <w:u w:val="single"/>
        </w:rPr>
        <w:t>理化性质</w:t>
      </w:r>
      <w:r w:rsidRPr="005B57A0">
        <w:rPr>
          <w:rFonts w:ascii="Calibri" w:hAnsi="Calibri"/>
          <w:b/>
          <w:color w:val="auto"/>
          <w:kern w:val="2"/>
          <w:sz w:val="24"/>
          <w:szCs w:val="24"/>
          <w:u w:val="single"/>
        </w:rPr>
        <w:t>判定可知</w:t>
      </w:r>
      <w:r w:rsidRPr="005B57A0">
        <w:rPr>
          <w:rFonts w:ascii="Calibri" w:hAnsi="Calibri" w:hint="eastAsia"/>
          <w:b/>
          <w:color w:val="auto"/>
          <w:kern w:val="2"/>
          <w:sz w:val="24"/>
          <w:szCs w:val="24"/>
          <w:u w:val="single"/>
        </w:rPr>
        <w:t>，</w:t>
      </w:r>
      <w:r w:rsidR="005B57A0" w:rsidRPr="005B57A0">
        <w:rPr>
          <w:rFonts w:ascii="Calibri" w:hAnsi="Calibri" w:hint="eastAsia"/>
          <w:b/>
          <w:color w:val="auto"/>
          <w:kern w:val="2"/>
          <w:sz w:val="24"/>
          <w:szCs w:val="24"/>
          <w:u w:val="single"/>
        </w:rPr>
        <w:t>尼龙</w:t>
      </w:r>
      <w:r w:rsidR="005B57A0" w:rsidRPr="005B57A0">
        <w:rPr>
          <w:rFonts w:ascii="Calibri" w:hAnsi="Calibri" w:hint="eastAsia"/>
          <w:b/>
          <w:color w:val="auto"/>
          <w:kern w:val="2"/>
          <w:sz w:val="24"/>
          <w:szCs w:val="24"/>
          <w:u w:val="single"/>
        </w:rPr>
        <w:t>66</w:t>
      </w:r>
      <w:r w:rsidR="005B57A0" w:rsidRPr="005B57A0">
        <w:rPr>
          <w:rFonts w:ascii="Calibri" w:hAnsi="Calibri" w:hint="eastAsia"/>
          <w:b/>
          <w:color w:val="auto"/>
          <w:kern w:val="2"/>
          <w:sz w:val="24"/>
          <w:szCs w:val="24"/>
          <w:u w:val="single"/>
        </w:rPr>
        <w:t>盐溶液是由</w:t>
      </w:r>
      <w:r w:rsidR="005B57A0" w:rsidRPr="005B57A0">
        <w:rPr>
          <w:rFonts w:ascii="Calibri" w:hAnsi="Calibri"/>
          <w:b/>
          <w:color w:val="auto"/>
          <w:kern w:val="2"/>
          <w:sz w:val="24"/>
          <w:szCs w:val="24"/>
          <w:u w:val="single"/>
        </w:rPr>
        <w:t>己二胺和己二酸聚合</w:t>
      </w:r>
      <w:r w:rsidR="005B57A0" w:rsidRPr="005B57A0">
        <w:rPr>
          <w:rFonts w:ascii="Calibri" w:hAnsi="Calibri" w:hint="eastAsia"/>
          <w:b/>
          <w:color w:val="auto"/>
          <w:kern w:val="2"/>
          <w:sz w:val="24"/>
          <w:szCs w:val="24"/>
          <w:u w:val="single"/>
        </w:rPr>
        <w:t>成</w:t>
      </w:r>
      <w:r w:rsidR="005B57A0" w:rsidRPr="005B57A0">
        <w:rPr>
          <w:rFonts w:ascii="Calibri" w:hAnsi="Calibri"/>
          <w:b/>
          <w:color w:val="auto"/>
          <w:kern w:val="2"/>
          <w:sz w:val="24"/>
          <w:szCs w:val="24"/>
          <w:u w:val="single"/>
        </w:rPr>
        <w:t>的</w:t>
      </w:r>
      <w:r w:rsidR="005B57A0" w:rsidRPr="005B57A0">
        <w:rPr>
          <w:rFonts w:ascii="Calibri" w:hAnsi="Calibri" w:hint="eastAsia"/>
          <w:b/>
          <w:color w:val="auto"/>
          <w:kern w:val="2"/>
          <w:sz w:val="24"/>
          <w:szCs w:val="24"/>
          <w:u w:val="single"/>
        </w:rPr>
        <w:t>己二酸己二胺盐</w:t>
      </w:r>
      <w:r w:rsidR="005B57A0" w:rsidRPr="005B57A0">
        <w:rPr>
          <w:rFonts w:ascii="Calibri" w:hAnsi="Calibri"/>
          <w:b/>
          <w:color w:val="auto"/>
          <w:kern w:val="2"/>
          <w:sz w:val="24"/>
          <w:szCs w:val="24"/>
          <w:u w:val="single"/>
        </w:rPr>
        <w:t>[+H</w:t>
      </w:r>
      <w:r w:rsidR="005B57A0" w:rsidRPr="005B57A0">
        <w:rPr>
          <w:rFonts w:ascii="Calibri" w:hAnsi="Calibri"/>
          <w:b/>
          <w:color w:val="auto"/>
          <w:kern w:val="2"/>
          <w:sz w:val="24"/>
          <w:szCs w:val="24"/>
          <w:u w:val="single"/>
          <w:vertAlign w:val="subscript"/>
        </w:rPr>
        <w:t>3</w:t>
      </w:r>
      <w:r w:rsidR="005B57A0" w:rsidRPr="005B57A0">
        <w:rPr>
          <w:rFonts w:ascii="Calibri" w:hAnsi="Calibri"/>
          <w:b/>
          <w:color w:val="auto"/>
          <w:kern w:val="2"/>
          <w:sz w:val="24"/>
          <w:szCs w:val="24"/>
          <w:u w:val="single"/>
        </w:rPr>
        <w:t>N(CH</w:t>
      </w:r>
      <w:r w:rsidR="005B57A0" w:rsidRPr="005B57A0">
        <w:rPr>
          <w:rFonts w:ascii="Calibri" w:hAnsi="Calibri"/>
          <w:b/>
          <w:color w:val="auto"/>
          <w:kern w:val="2"/>
          <w:sz w:val="24"/>
          <w:szCs w:val="24"/>
          <w:u w:val="single"/>
          <w:vertAlign w:val="subscript"/>
        </w:rPr>
        <w:t>2</w:t>
      </w:r>
      <w:r w:rsidR="005B57A0" w:rsidRPr="005B57A0">
        <w:rPr>
          <w:rFonts w:ascii="Calibri" w:hAnsi="Calibri"/>
          <w:b/>
          <w:color w:val="auto"/>
          <w:kern w:val="2"/>
          <w:sz w:val="24"/>
          <w:szCs w:val="24"/>
          <w:u w:val="single"/>
        </w:rPr>
        <w:t>)</w:t>
      </w:r>
      <w:r w:rsidR="005B57A0" w:rsidRPr="005B57A0">
        <w:rPr>
          <w:rFonts w:ascii="Calibri" w:hAnsi="Calibri"/>
          <w:b/>
          <w:color w:val="auto"/>
          <w:kern w:val="2"/>
          <w:sz w:val="24"/>
          <w:szCs w:val="24"/>
          <w:u w:val="single"/>
          <w:vertAlign w:val="subscript"/>
        </w:rPr>
        <w:t>6</w:t>
      </w:r>
      <w:r w:rsidR="005B57A0" w:rsidRPr="005B57A0">
        <w:rPr>
          <w:rFonts w:ascii="Calibri" w:hAnsi="Calibri"/>
          <w:b/>
          <w:color w:val="auto"/>
          <w:kern w:val="2"/>
          <w:sz w:val="24"/>
          <w:szCs w:val="24"/>
          <w:u w:val="single"/>
        </w:rPr>
        <w:t>NH</w:t>
      </w:r>
      <w:r w:rsidR="005B57A0" w:rsidRPr="005B57A0">
        <w:rPr>
          <w:rFonts w:ascii="Calibri" w:hAnsi="Calibri"/>
          <w:b/>
          <w:color w:val="auto"/>
          <w:kern w:val="2"/>
          <w:sz w:val="24"/>
          <w:szCs w:val="24"/>
          <w:u w:val="single"/>
          <w:vertAlign w:val="subscript"/>
        </w:rPr>
        <w:t>3</w:t>
      </w:r>
      <w:r w:rsidR="005B57A0" w:rsidRPr="005B57A0">
        <w:rPr>
          <w:rFonts w:ascii="Calibri" w:hAnsi="Calibri"/>
          <w:b/>
          <w:color w:val="auto"/>
          <w:kern w:val="2"/>
          <w:sz w:val="24"/>
          <w:szCs w:val="24"/>
          <w:u w:val="single"/>
        </w:rPr>
        <w:t>+·-OOC(CH</w:t>
      </w:r>
      <w:r w:rsidR="005B57A0" w:rsidRPr="005B57A0">
        <w:rPr>
          <w:rFonts w:ascii="Calibri" w:hAnsi="Calibri"/>
          <w:b/>
          <w:color w:val="auto"/>
          <w:kern w:val="2"/>
          <w:sz w:val="24"/>
          <w:szCs w:val="24"/>
          <w:u w:val="single"/>
          <w:vertAlign w:val="subscript"/>
        </w:rPr>
        <w:t>2</w:t>
      </w:r>
      <w:r w:rsidR="005B57A0" w:rsidRPr="005B57A0">
        <w:rPr>
          <w:rFonts w:ascii="Calibri" w:hAnsi="Calibri"/>
          <w:b/>
          <w:color w:val="auto"/>
          <w:kern w:val="2"/>
          <w:sz w:val="24"/>
          <w:szCs w:val="24"/>
          <w:u w:val="single"/>
        </w:rPr>
        <w:t>)</w:t>
      </w:r>
      <w:r w:rsidR="005B57A0" w:rsidRPr="005B57A0">
        <w:rPr>
          <w:rFonts w:ascii="Calibri" w:hAnsi="Calibri"/>
          <w:b/>
          <w:color w:val="auto"/>
          <w:kern w:val="2"/>
          <w:sz w:val="24"/>
          <w:szCs w:val="24"/>
          <w:u w:val="single"/>
          <w:vertAlign w:val="subscript"/>
        </w:rPr>
        <w:t>4</w:t>
      </w:r>
      <w:r w:rsidR="005B57A0" w:rsidRPr="005B57A0">
        <w:rPr>
          <w:rFonts w:ascii="Calibri" w:hAnsi="Calibri"/>
          <w:b/>
          <w:color w:val="auto"/>
          <w:kern w:val="2"/>
          <w:sz w:val="24"/>
          <w:szCs w:val="24"/>
          <w:u w:val="single"/>
        </w:rPr>
        <w:t>COO-]</w:t>
      </w:r>
      <w:r w:rsidR="005B57A0" w:rsidRPr="005B57A0">
        <w:rPr>
          <w:rFonts w:ascii="Calibri" w:hAnsi="Calibri" w:hint="eastAsia"/>
          <w:b/>
          <w:color w:val="auto"/>
          <w:kern w:val="2"/>
          <w:sz w:val="24"/>
          <w:szCs w:val="24"/>
          <w:u w:val="single"/>
        </w:rPr>
        <w:t>，</w:t>
      </w:r>
      <w:r w:rsidR="00BA20A4">
        <w:rPr>
          <w:rFonts w:ascii="Calibri" w:hAnsi="Calibri" w:hint="eastAsia"/>
          <w:b/>
          <w:color w:val="auto"/>
          <w:kern w:val="2"/>
          <w:sz w:val="24"/>
          <w:szCs w:val="24"/>
          <w:u w:val="single"/>
        </w:rPr>
        <w:t>在</w:t>
      </w:r>
      <w:r w:rsidR="00BA20A4">
        <w:rPr>
          <w:rFonts w:ascii="Calibri" w:hAnsi="Calibri"/>
          <w:b/>
          <w:color w:val="auto"/>
          <w:kern w:val="2"/>
          <w:sz w:val="24"/>
          <w:szCs w:val="24"/>
          <w:u w:val="single"/>
        </w:rPr>
        <w:t>常温常压下不涉及</w:t>
      </w:r>
      <w:r w:rsidR="00BA20A4">
        <w:rPr>
          <w:rFonts w:ascii="Calibri" w:hAnsi="Calibri" w:hint="eastAsia"/>
          <w:b/>
          <w:color w:val="auto"/>
          <w:kern w:val="2"/>
          <w:sz w:val="24"/>
          <w:szCs w:val="24"/>
          <w:u w:val="single"/>
        </w:rPr>
        <w:t>VOC</w:t>
      </w:r>
      <w:r w:rsidR="00BA20A4" w:rsidRPr="00BA20A4">
        <w:rPr>
          <w:rFonts w:ascii="Calibri" w:hAnsi="Calibri" w:hint="eastAsia"/>
          <w:b/>
          <w:color w:val="auto"/>
          <w:kern w:val="2"/>
          <w:sz w:val="24"/>
          <w:szCs w:val="24"/>
          <w:u w:val="single"/>
          <w:vertAlign w:val="subscript"/>
        </w:rPr>
        <w:t>S</w:t>
      </w:r>
      <w:r w:rsidR="00BA20A4">
        <w:rPr>
          <w:rFonts w:ascii="Calibri" w:hAnsi="Calibri" w:hint="eastAsia"/>
          <w:b/>
          <w:color w:val="auto"/>
          <w:kern w:val="2"/>
          <w:sz w:val="24"/>
          <w:szCs w:val="24"/>
          <w:u w:val="single"/>
        </w:rPr>
        <w:t>气体</w:t>
      </w:r>
      <w:r w:rsidR="00BA20A4">
        <w:rPr>
          <w:rFonts w:ascii="Calibri" w:hAnsi="Calibri"/>
          <w:b/>
          <w:color w:val="auto"/>
          <w:kern w:val="2"/>
          <w:sz w:val="24"/>
          <w:szCs w:val="24"/>
          <w:u w:val="single"/>
        </w:rPr>
        <w:t>挥发，但</w:t>
      </w:r>
      <w:r w:rsidR="00BA20A4">
        <w:rPr>
          <w:rFonts w:ascii="Calibri" w:hAnsi="Calibri" w:hint="eastAsia"/>
          <w:b/>
          <w:color w:val="auto"/>
          <w:kern w:val="2"/>
          <w:sz w:val="24"/>
          <w:szCs w:val="24"/>
          <w:u w:val="single"/>
        </w:rPr>
        <w:t>生产</w:t>
      </w:r>
      <w:r w:rsidR="00BA20A4">
        <w:rPr>
          <w:rFonts w:ascii="Calibri" w:hAnsi="Calibri"/>
          <w:b/>
          <w:color w:val="auto"/>
          <w:kern w:val="2"/>
          <w:sz w:val="24"/>
          <w:szCs w:val="24"/>
          <w:u w:val="single"/>
        </w:rPr>
        <w:t>过程中加热</w:t>
      </w:r>
      <w:r w:rsidR="00BA20A4">
        <w:rPr>
          <w:rFonts w:ascii="Calibri" w:hAnsi="Calibri" w:hint="eastAsia"/>
          <w:b/>
          <w:color w:val="auto"/>
          <w:kern w:val="2"/>
          <w:sz w:val="24"/>
          <w:szCs w:val="24"/>
          <w:u w:val="single"/>
        </w:rPr>
        <w:t>至</w:t>
      </w:r>
      <w:r w:rsidR="00BA20A4">
        <w:rPr>
          <w:rFonts w:ascii="Calibri" w:hAnsi="Calibri" w:hint="eastAsia"/>
          <w:b/>
          <w:color w:val="auto"/>
          <w:kern w:val="2"/>
          <w:sz w:val="24"/>
          <w:szCs w:val="24"/>
          <w:u w:val="single"/>
        </w:rPr>
        <w:t>220-280</w:t>
      </w:r>
      <w:r w:rsidR="00BA20A4">
        <w:rPr>
          <w:rFonts w:ascii="Calibri" w:hAnsi="Calibri" w:hint="eastAsia"/>
          <w:b/>
          <w:color w:val="auto"/>
          <w:kern w:val="2"/>
          <w:sz w:val="24"/>
          <w:szCs w:val="24"/>
          <w:u w:val="single"/>
        </w:rPr>
        <w:t>℃</w:t>
      </w:r>
      <w:r w:rsidR="00BA20A4">
        <w:rPr>
          <w:rFonts w:ascii="Calibri" w:hAnsi="Calibri"/>
          <w:b/>
          <w:color w:val="auto"/>
          <w:kern w:val="2"/>
          <w:sz w:val="24"/>
          <w:szCs w:val="24"/>
          <w:u w:val="single"/>
        </w:rPr>
        <w:t>，则会</w:t>
      </w:r>
      <w:r w:rsidR="00BA20A4">
        <w:rPr>
          <w:rFonts w:ascii="Calibri" w:hAnsi="Calibri" w:hint="eastAsia"/>
          <w:b/>
          <w:color w:val="auto"/>
          <w:kern w:val="2"/>
          <w:sz w:val="24"/>
          <w:szCs w:val="24"/>
          <w:u w:val="single"/>
        </w:rPr>
        <w:t>挥发出有机废气（己二胺</w:t>
      </w:r>
      <w:r w:rsidR="00BA20A4">
        <w:rPr>
          <w:rFonts w:ascii="Calibri" w:hAnsi="Calibri"/>
          <w:b/>
          <w:color w:val="auto"/>
          <w:kern w:val="2"/>
          <w:sz w:val="24"/>
          <w:szCs w:val="24"/>
          <w:u w:val="single"/>
        </w:rPr>
        <w:t>、己二酸</w:t>
      </w:r>
      <w:r w:rsidR="00BA20A4">
        <w:rPr>
          <w:rFonts w:ascii="Calibri" w:hAnsi="Calibri" w:hint="eastAsia"/>
          <w:b/>
          <w:color w:val="auto"/>
          <w:kern w:val="2"/>
          <w:sz w:val="24"/>
          <w:szCs w:val="24"/>
          <w:u w:val="single"/>
        </w:rPr>
        <w:t>）；</w:t>
      </w:r>
      <w:r w:rsidR="005B57A0" w:rsidRPr="005B57A0">
        <w:rPr>
          <w:rFonts w:ascii="Calibri" w:hAnsi="Calibri" w:hint="eastAsia"/>
          <w:b/>
          <w:color w:val="auto"/>
          <w:kern w:val="2"/>
          <w:sz w:val="24"/>
          <w:szCs w:val="24"/>
          <w:u w:val="single"/>
        </w:rPr>
        <w:t>1010</w:t>
      </w:r>
      <w:r w:rsidR="005B57A0" w:rsidRPr="005B57A0">
        <w:rPr>
          <w:rFonts w:ascii="Calibri" w:hAnsi="Calibri" w:hint="eastAsia"/>
          <w:b/>
          <w:color w:val="auto"/>
          <w:kern w:val="2"/>
          <w:sz w:val="24"/>
          <w:szCs w:val="24"/>
          <w:u w:val="single"/>
        </w:rPr>
        <w:t>盐及尼龙</w:t>
      </w:r>
      <w:r w:rsidR="005B57A0" w:rsidRPr="005B57A0">
        <w:rPr>
          <w:rFonts w:ascii="Calibri" w:hAnsi="Calibri" w:hint="eastAsia"/>
          <w:b/>
          <w:color w:val="auto"/>
          <w:kern w:val="2"/>
          <w:sz w:val="24"/>
          <w:szCs w:val="24"/>
          <w:u w:val="single"/>
        </w:rPr>
        <w:t>-12</w:t>
      </w:r>
      <w:r w:rsidR="005B57A0" w:rsidRPr="005B57A0">
        <w:rPr>
          <w:rFonts w:ascii="Calibri" w:hAnsi="Calibri" w:hint="eastAsia"/>
          <w:b/>
          <w:color w:val="auto"/>
          <w:kern w:val="2"/>
          <w:sz w:val="24"/>
          <w:szCs w:val="24"/>
          <w:u w:val="single"/>
        </w:rPr>
        <w:t>盐均为</w:t>
      </w:r>
      <w:r w:rsidR="005B57A0" w:rsidRPr="005B57A0">
        <w:rPr>
          <w:rFonts w:ascii="Calibri" w:hAnsi="Calibri"/>
          <w:b/>
          <w:color w:val="auto"/>
          <w:kern w:val="2"/>
          <w:sz w:val="24"/>
          <w:szCs w:val="24"/>
          <w:u w:val="single"/>
        </w:rPr>
        <w:t>聚合物固</w:t>
      </w:r>
      <w:r w:rsidR="005B57A0" w:rsidRPr="005B57A0">
        <w:rPr>
          <w:rFonts w:ascii="Calibri" w:hAnsi="Calibri"/>
          <w:b/>
          <w:color w:val="auto"/>
          <w:kern w:val="2"/>
          <w:sz w:val="24"/>
          <w:szCs w:val="24"/>
          <w:u w:val="single"/>
        </w:rPr>
        <w:lastRenderedPageBreak/>
        <w:t>体</w:t>
      </w:r>
      <w:r w:rsidR="005B57A0" w:rsidRPr="005B57A0">
        <w:rPr>
          <w:rFonts w:ascii="Calibri" w:hAnsi="Calibri" w:hint="eastAsia"/>
          <w:b/>
          <w:color w:val="auto"/>
          <w:kern w:val="2"/>
          <w:sz w:val="24"/>
          <w:szCs w:val="24"/>
          <w:u w:val="single"/>
        </w:rPr>
        <w:t>，</w:t>
      </w:r>
      <w:r w:rsidR="00435100">
        <w:rPr>
          <w:rFonts w:ascii="Calibri" w:hAnsi="Calibri" w:hint="eastAsia"/>
          <w:b/>
          <w:color w:val="auto"/>
          <w:kern w:val="2"/>
          <w:sz w:val="24"/>
          <w:szCs w:val="24"/>
          <w:u w:val="single"/>
        </w:rPr>
        <w:t>在</w:t>
      </w:r>
      <w:r w:rsidR="00435100">
        <w:rPr>
          <w:rFonts w:ascii="Calibri" w:hAnsi="Calibri"/>
          <w:b/>
          <w:color w:val="auto"/>
          <w:kern w:val="2"/>
          <w:sz w:val="24"/>
          <w:szCs w:val="24"/>
          <w:u w:val="single"/>
        </w:rPr>
        <w:t>常温常压下</w:t>
      </w:r>
      <w:r w:rsidR="004765E1">
        <w:rPr>
          <w:rFonts w:ascii="Calibri" w:hAnsi="Calibri"/>
          <w:b/>
          <w:color w:val="auto"/>
          <w:kern w:val="2"/>
          <w:sz w:val="24"/>
          <w:szCs w:val="24"/>
          <w:u w:val="single"/>
        </w:rPr>
        <w:t>不涉及</w:t>
      </w:r>
      <w:r w:rsidR="004765E1">
        <w:rPr>
          <w:rFonts w:ascii="Calibri" w:hAnsi="Calibri" w:hint="eastAsia"/>
          <w:b/>
          <w:color w:val="auto"/>
          <w:kern w:val="2"/>
          <w:sz w:val="24"/>
          <w:szCs w:val="24"/>
          <w:u w:val="single"/>
        </w:rPr>
        <w:t>VOC</w:t>
      </w:r>
      <w:r w:rsidR="004765E1" w:rsidRPr="00BA20A4">
        <w:rPr>
          <w:rFonts w:ascii="Calibri" w:hAnsi="Calibri" w:hint="eastAsia"/>
          <w:b/>
          <w:color w:val="auto"/>
          <w:kern w:val="2"/>
          <w:sz w:val="24"/>
          <w:szCs w:val="24"/>
          <w:u w:val="single"/>
          <w:vertAlign w:val="subscript"/>
        </w:rPr>
        <w:t>S</w:t>
      </w:r>
      <w:r w:rsidR="004765E1">
        <w:rPr>
          <w:rFonts w:ascii="Calibri" w:hAnsi="Calibri" w:hint="eastAsia"/>
          <w:b/>
          <w:color w:val="auto"/>
          <w:kern w:val="2"/>
          <w:sz w:val="24"/>
          <w:szCs w:val="24"/>
          <w:u w:val="single"/>
        </w:rPr>
        <w:t>气体</w:t>
      </w:r>
      <w:r w:rsidR="004765E1">
        <w:rPr>
          <w:rFonts w:ascii="Calibri" w:hAnsi="Calibri"/>
          <w:b/>
          <w:color w:val="auto"/>
          <w:kern w:val="2"/>
          <w:sz w:val="24"/>
          <w:szCs w:val="24"/>
          <w:u w:val="single"/>
        </w:rPr>
        <w:t>挥发，</w:t>
      </w:r>
      <w:r w:rsidR="00435100">
        <w:rPr>
          <w:rFonts w:ascii="Calibri" w:hAnsi="Calibri"/>
          <w:b/>
          <w:color w:val="auto"/>
          <w:kern w:val="2"/>
          <w:sz w:val="24"/>
          <w:szCs w:val="24"/>
          <w:u w:val="single"/>
        </w:rPr>
        <w:t>工作温度</w:t>
      </w:r>
      <w:r w:rsidR="00435100">
        <w:rPr>
          <w:rFonts w:ascii="Calibri" w:hAnsi="Calibri" w:hint="eastAsia"/>
          <w:b/>
          <w:color w:val="auto"/>
          <w:kern w:val="2"/>
          <w:sz w:val="24"/>
          <w:szCs w:val="24"/>
          <w:u w:val="single"/>
        </w:rPr>
        <w:t>压力（</w:t>
      </w:r>
      <w:r w:rsidR="00435100">
        <w:rPr>
          <w:rFonts w:ascii="Calibri" w:hAnsi="Calibri" w:hint="eastAsia"/>
          <w:b/>
          <w:color w:val="auto"/>
          <w:kern w:val="2"/>
          <w:sz w:val="24"/>
          <w:szCs w:val="24"/>
          <w:u w:val="single"/>
        </w:rPr>
        <w:t>1MPa</w:t>
      </w:r>
      <w:r w:rsidR="00644292">
        <w:rPr>
          <w:rFonts w:ascii="Calibri" w:hAnsi="Calibri" w:hint="eastAsia"/>
          <w:b/>
          <w:color w:val="auto"/>
          <w:kern w:val="2"/>
          <w:sz w:val="24"/>
          <w:szCs w:val="24"/>
          <w:u w:val="single"/>
        </w:rPr>
        <w:t>及</w:t>
      </w:r>
      <w:r w:rsidR="00644292" w:rsidRPr="00644292">
        <w:rPr>
          <w:rFonts w:ascii="Calibri" w:hAnsi="Calibri" w:hint="eastAsia"/>
          <w:b/>
          <w:color w:val="auto"/>
          <w:kern w:val="2"/>
          <w:sz w:val="24"/>
          <w:szCs w:val="24"/>
          <w:u w:val="single"/>
        </w:rPr>
        <w:t>220-280</w:t>
      </w:r>
      <w:r w:rsidR="00644292" w:rsidRPr="00644292">
        <w:rPr>
          <w:rFonts w:ascii="Calibri" w:hAnsi="Calibri" w:hint="eastAsia"/>
          <w:b/>
          <w:color w:val="auto"/>
          <w:kern w:val="2"/>
          <w:sz w:val="24"/>
          <w:szCs w:val="24"/>
          <w:u w:val="single"/>
        </w:rPr>
        <w:t>℃</w:t>
      </w:r>
      <w:r w:rsidR="00435100">
        <w:rPr>
          <w:rFonts w:ascii="Calibri" w:hAnsi="Calibri" w:hint="eastAsia"/>
          <w:b/>
          <w:color w:val="auto"/>
          <w:kern w:val="2"/>
          <w:sz w:val="24"/>
          <w:szCs w:val="24"/>
          <w:u w:val="single"/>
        </w:rPr>
        <w:t>）</w:t>
      </w:r>
      <w:r w:rsidR="00435100">
        <w:rPr>
          <w:rFonts w:ascii="Calibri" w:hAnsi="Calibri"/>
          <w:b/>
          <w:color w:val="auto"/>
          <w:kern w:val="2"/>
          <w:sz w:val="24"/>
          <w:szCs w:val="24"/>
          <w:u w:val="single"/>
        </w:rPr>
        <w:t>下</w:t>
      </w:r>
      <w:r w:rsidR="00151C62">
        <w:rPr>
          <w:rFonts w:ascii="Calibri" w:hAnsi="Calibri" w:hint="eastAsia"/>
          <w:b/>
          <w:color w:val="auto"/>
          <w:kern w:val="2"/>
          <w:sz w:val="24"/>
          <w:szCs w:val="24"/>
          <w:u w:val="single"/>
        </w:rPr>
        <w:t>挥发</w:t>
      </w:r>
      <w:r w:rsidR="00151C62">
        <w:rPr>
          <w:rFonts w:ascii="Calibri" w:hAnsi="Calibri"/>
          <w:b/>
          <w:color w:val="auto"/>
          <w:kern w:val="2"/>
          <w:sz w:val="24"/>
          <w:szCs w:val="24"/>
          <w:u w:val="single"/>
        </w:rPr>
        <w:t>出物质单体</w:t>
      </w:r>
      <w:r w:rsidR="00151C62">
        <w:rPr>
          <w:rFonts w:ascii="Calibri" w:hAnsi="Calibri" w:hint="eastAsia"/>
          <w:b/>
          <w:color w:val="auto"/>
          <w:kern w:val="2"/>
          <w:sz w:val="24"/>
          <w:szCs w:val="24"/>
          <w:u w:val="single"/>
        </w:rPr>
        <w:t>，</w:t>
      </w:r>
      <w:r w:rsidR="00151C62">
        <w:rPr>
          <w:rFonts w:ascii="Calibri" w:hAnsi="Calibri" w:hint="eastAsia"/>
          <w:b/>
          <w:color w:val="auto"/>
          <w:kern w:val="2"/>
          <w:sz w:val="24"/>
          <w:szCs w:val="24"/>
          <w:u w:val="single"/>
        </w:rPr>
        <w:t>1010</w:t>
      </w:r>
      <w:r w:rsidR="00151C62">
        <w:rPr>
          <w:rFonts w:ascii="Calibri" w:hAnsi="Calibri" w:hint="eastAsia"/>
          <w:b/>
          <w:color w:val="auto"/>
          <w:kern w:val="2"/>
          <w:sz w:val="24"/>
          <w:szCs w:val="24"/>
          <w:u w:val="single"/>
        </w:rPr>
        <w:t>盐</w:t>
      </w:r>
      <w:r w:rsidR="00151C62">
        <w:rPr>
          <w:rFonts w:ascii="Calibri" w:hAnsi="Calibri"/>
          <w:b/>
          <w:color w:val="auto"/>
          <w:kern w:val="2"/>
          <w:sz w:val="24"/>
          <w:szCs w:val="24"/>
          <w:u w:val="single"/>
        </w:rPr>
        <w:t>挥发出单体癸二胺</w:t>
      </w:r>
      <w:r w:rsidR="004765E1">
        <w:rPr>
          <w:rFonts w:ascii="Calibri" w:hAnsi="Calibri" w:hint="eastAsia"/>
          <w:b/>
          <w:color w:val="auto"/>
          <w:kern w:val="2"/>
          <w:sz w:val="24"/>
          <w:szCs w:val="24"/>
          <w:u w:val="single"/>
        </w:rPr>
        <w:t>、</w:t>
      </w:r>
      <w:r w:rsidR="004765E1" w:rsidRPr="004765E1">
        <w:rPr>
          <w:rFonts w:ascii="Calibri" w:hAnsi="Calibri" w:hint="eastAsia"/>
          <w:b/>
          <w:color w:val="auto"/>
          <w:kern w:val="2"/>
          <w:sz w:val="24"/>
          <w:szCs w:val="24"/>
          <w:u w:val="single"/>
        </w:rPr>
        <w:t>癸二酸</w:t>
      </w:r>
      <w:r w:rsidR="00151C62">
        <w:rPr>
          <w:rFonts w:ascii="Calibri" w:hAnsi="Calibri"/>
          <w:b/>
          <w:color w:val="auto"/>
          <w:kern w:val="2"/>
          <w:sz w:val="24"/>
          <w:szCs w:val="24"/>
          <w:u w:val="single"/>
        </w:rPr>
        <w:t>，</w:t>
      </w:r>
      <w:r w:rsidR="00151C62">
        <w:rPr>
          <w:rFonts w:ascii="Calibri" w:hAnsi="Calibri" w:hint="eastAsia"/>
          <w:b/>
          <w:color w:val="auto"/>
          <w:kern w:val="2"/>
          <w:sz w:val="24"/>
          <w:szCs w:val="24"/>
          <w:u w:val="single"/>
        </w:rPr>
        <w:t>尼龙</w:t>
      </w:r>
      <w:r w:rsidR="00151C62">
        <w:rPr>
          <w:rFonts w:ascii="Calibri" w:hAnsi="Calibri" w:hint="eastAsia"/>
          <w:b/>
          <w:color w:val="auto"/>
          <w:kern w:val="2"/>
          <w:sz w:val="24"/>
          <w:szCs w:val="24"/>
          <w:u w:val="single"/>
        </w:rPr>
        <w:t>12</w:t>
      </w:r>
      <w:r w:rsidR="00151C62">
        <w:rPr>
          <w:rFonts w:ascii="Calibri" w:hAnsi="Calibri" w:hint="eastAsia"/>
          <w:b/>
          <w:color w:val="auto"/>
          <w:kern w:val="2"/>
          <w:sz w:val="24"/>
          <w:szCs w:val="24"/>
          <w:u w:val="single"/>
        </w:rPr>
        <w:t>盐</w:t>
      </w:r>
      <w:r w:rsidR="00151C62">
        <w:rPr>
          <w:rFonts w:ascii="Calibri" w:hAnsi="Calibri"/>
          <w:b/>
          <w:color w:val="auto"/>
          <w:kern w:val="2"/>
          <w:sz w:val="24"/>
          <w:szCs w:val="24"/>
          <w:u w:val="single"/>
        </w:rPr>
        <w:t>挥发出</w:t>
      </w:r>
      <w:r w:rsidR="00151C62">
        <w:rPr>
          <w:rFonts w:ascii="Calibri" w:hAnsi="Calibri" w:hint="eastAsia"/>
          <w:b/>
          <w:color w:val="auto"/>
          <w:kern w:val="2"/>
          <w:sz w:val="24"/>
          <w:szCs w:val="24"/>
          <w:u w:val="single"/>
        </w:rPr>
        <w:t>单体</w:t>
      </w:r>
      <w:r w:rsidR="00151C62">
        <w:rPr>
          <w:rFonts w:ascii="Calibri" w:hAnsi="Calibri"/>
          <w:b/>
          <w:color w:val="auto"/>
          <w:kern w:val="2"/>
          <w:sz w:val="24"/>
          <w:szCs w:val="24"/>
          <w:u w:val="single"/>
        </w:rPr>
        <w:t>十二</w:t>
      </w:r>
      <w:r w:rsidR="00151C62">
        <w:rPr>
          <w:rFonts w:ascii="Calibri" w:hAnsi="Calibri" w:hint="eastAsia"/>
          <w:b/>
          <w:color w:val="auto"/>
          <w:kern w:val="2"/>
          <w:sz w:val="24"/>
          <w:szCs w:val="24"/>
          <w:u w:val="single"/>
        </w:rPr>
        <w:t>内</w:t>
      </w:r>
      <w:r w:rsidR="00151C62">
        <w:rPr>
          <w:rFonts w:ascii="Calibri" w:hAnsi="Calibri"/>
          <w:b/>
          <w:color w:val="auto"/>
          <w:kern w:val="2"/>
          <w:sz w:val="24"/>
          <w:szCs w:val="24"/>
          <w:u w:val="single"/>
        </w:rPr>
        <w:t>酰胺</w:t>
      </w:r>
      <w:r w:rsidR="005B57A0" w:rsidRPr="005B57A0">
        <w:rPr>
          <w:rFonts w:ascii="Calibri" w:hAnsi="Calibri" w:hint="eastAsia"/>
          <w:b/>
          <w:color w:val="auto"/>
          <w:kern w:val="2"/>
          <w:sz w:val="24"/>
          <w:szCs w:val="24"/>
          <w:u w:val="single"/>
        </w:rPr>
        <w:t>，品控</w:t>
      </w:r>
      <w:r w:rsidR="005B57A0" w:rsidRPr="005B57A0">
        <w:rPr>
          <w:rFonts w:ascii="Calibri" w:hAnsi="Calibri"/>
          <w:b/>
          <w:color w:val="auto"/>
          <w:kern w:val="2"/>
          <w:sz w:val="24"/>
          <w:szCs w:val="24"/>
          <w:u w:val="single"/>
        </w:rPr>
        <w:t>中心</w:t>
      </w:r>
      <w:r w:rsidRPr="005B57A0">
        <w:rPr>
          <w:rFonts w:ascii="Calibri" w:hAnsi="Calibri"/>
          <w:b/>
          <w:color w:val="auto"/>
          <w:kern w:val="2"/>
          <w:sz w:val="24"/>
          <w:szCs w:val="24"/>
          <w:u w:val="single"/>
        </w:rPr>
        <w:t>试剂中涉及</w:t>
      </w:r>
      <w:r w:rsidRPr="005B57A0">
        <w:rPr>
          <w:rFonts w:ascii="Calibri" w:hAnsi="Calibri"/>
          <w:b/>
          <w:color w:val="auto"/>
          <w:kern w:val="2"/>
          <w:sz w:val="24"/>
          <w:szCs w:val="24"/>
          <w:u w:val="single"/>
        </w:rPr>
        <w:t>VOCs</w:t>
      </w:r>
      <w:r w:rsidRPr="005B57A0">
        <w:rPr>
          <w:rFonts w:ascii="Calibri" w:hAnsi="Calibri" w:hint="eastAsia"/>
          <w:b/>
          <w:color w:val="auto"/>
          <w:kern w:val="2"/>
          <w:sz w:val="24"/>
          <w:szCs w:val="24"/>
          <w:u w:val="single"/>
        </w:rPr>
        <w:t>物料</w:t>
      </w:r>
      <w:r w:rsidRPr="005B57A0">
        <w:rPr>
          <w:rFonts w:ascii="Calibri" w:hAnsi="Calibri"/>
          <w:b/>
          <w:color w:val="auto"/>
          <w:kern w:val="2"/>
          <w:sz w:val="24"/>
          <w:szCs w:val="24"/>
          <w:u w:val="single"/>
        </w:rPr>
        <w:t>为</w:t>
      </w:r>
      <w:r w:rsidRPr="005B57A0">
        <w:rPr>
          <w:rFonts w:ascii="Calibri" w:hAnsi="Calibri" w:hint="eastAsia"/>
          <w:b/>
          <w:color w:val="auto"/>
          <w:kern w:val="2"/>
          <w:sz w:val="24"/>
          <w:szCs w:val="24"/>
          <w:u w:val="single"/>
        </w:rPr>
        <w:t>乙醇</w:t>
      </w:r>
      <w:r w:rsidRPr="005B57A0">
        <w:rPr>
          <w:rFonts w:ascii="Calibri" w:hAnsi="Calibri"/>
          <w:b/>
          <w:color w:val="auto"/>
          <w:kern w:val="2"/>
          <w:sz w:val="24"/>
          <w:szCs w:val="24"/>
          <w:u w:val="single"/>
        </w:rPr>
        <w:t>、甲酸</w:t>
      </w:r>
      <w:r w:rsidR="005B57A0" w:rsidRPr="005B57A0">
        <w:rPr>
          <w:rFonts w:ascii="Calibri" w:hAnsi="Calibri" w:hint="eastAsia"/>
          <w:b/>
          <w:color w:val="auto"/>
          <w:kern w:val="2"/>
          <w:sz w:val="24"/>
          <w:szCs w:val="24"/>
          <w:u w:val="single"/>
        </w:rPr>
        <w:t>。</w:t>
      </w:r>
    </w:p>
    <w:p w14:paraId="4310B9BB" w14:textId="77777777" w:rsidR="004554C2" w:rsidRPr="00A964FF" w:rsidRDefault="004554C2" w:rsidP="004554C2">
      <w:pPr>
        <w:pStyle w:val="ad"/>
        <w:rPr>
          <w:rFonts w:ascii="Calibri" w:hAnsi="Calibri"/>
          <w:color w:val="auto"/>
        </w:rPr>
      </w:pPr>
      <w:r w:rsidRPr="00A964FF">
        <w:rPr>
          <w:rFonts w:ascii="Calibri" w:hAnsi="Calibri" w:hint="eastAsia"/>
          <w:color w:val="auto"/>
        </w:rPr>
        <w:t>2.1.</w:t>
      </w:r>
      <w:r w:rsidR="004E2EC9">
        <w:rPr>
          <w:rFonts w:ascii="Calibri" w:hAnsi="Calibri"/>
          <w:color w:val="auto"/>
        </w:rPr>
        <w:t>8</w:t>
      </w:r>
      <w:r w:rsidRPr="00A964FF">
        <w:rPr>
          <w:rFonts w:ascii="Calibri" w:hAnsi="Calibri" w:hint="eastAsia"/>
          <w:color w:val="auto"/>
        </w:rPr>
        <w:t>项目投资与建设计划</w:t>
      </w:r>
    </w:p>
    <w:p w14:paraId="73B214EB" w14:textId="09428457" w:rsidR="004554C2" w:rsidRPr="00A964FF" w:rsidRDefault="004554C2" w:rsidP="004554C2">
      <w:pPr>
        <w:adjustRightInd w:val="0"/>
        <w:snapToGrid w:val="0"/>
        <w:spacing w:line="520" w:lineRule="exact"/>
        <w:ind w:firstLineChars="200" w:firstLine="480"/>
        <w:rPr>
          <w:rFonts w:ascii="Calibri" w:hAnsi="宋体"/>
          <w:color w:val="auto"/>
          <w:sz w:val="24"/>
        </w:rPr>
      </w:pPr>
      <w:r w:rsidRPr="00A964FF">
        <w:rPr>
          <w:rFonts w:ascii="Calibri" w:hAnsi="宋体" w:hint="eastAsia"/>
          <w:color w:val="auto"/>
          <w:sz w:val="24"/>
        </w:rPr>
        <w:t>本项目总投资</w:t>
      </w:r>
      <w:r w:rsidR="001E5955">
        <w:rPr>
          <w:rFonts w:ascii="Calibri" w:hAnsi="宋体"/>
          <w:color w:val="auto"/>
          <w:sz w:val="24"/>
        </w:rPr>
        <w:t>30461</w:t>
      </w:r>
      <w:r w:rsidRPr="00A964FF">
        <w:rPr>
          <w:rFonts w:ascii="Calibri" w:hAnsi="宋体" w:hint="eastAsia"/>
          <w:color w:val="auto"/>
          <w:sz w:val="24"/>
        </w:rPr>
        <w:t>万元</w:t>
      </w:r>
      <w:r w:rsidR="000A0585">
        <w:rPr>
          <w:rFonts w:ascii="Calibri" w:hAnsi="宋体" w:hint="eastAsia"/>
          <w:color w:val="auto"/>
          <w:sz w:val="24"/>
        </w:rPr>
        <w:t>，</w:t>
      </w:r>
      <w:r w:rsidR="000A0585" w:rsidRPr="000A0585">
        <w:rPr>
          <w:rFonts w:ascii="Calibri" w:hAnsi="宋体" w:hint="eastAsia"/>
          <w:color w:val="auto"/>
          <w:sz w:val="24"/>
        </w:rPr>
        <w:t>其中一期、二期工程总投资</w:t>
      </w:r>
      <w:r w:rsidR="000A0585" w:rsidRPr="000A0585">
        <w:rPr>
          <w:rFonts w:ascii="Calibri" w:hAnsi="宋体" w:hint="eastAsia"/>
          <w:color w:val="auto"/>
          <w:sz w:val="24"/>
        </w:rPr>
        <w:t>25400</w:t>
      </w:r>
      <w:r w:rsidR="000A0585" w:rsidRPr="000A0585">
        <w:rPr>
          <w:rFonts w:ascii="Calibri" w:hAnsi="宋体" w:hint="eastAsia"/>
          <w:color w:val="auto"/>
          <w:sz w:val="24"/>
        </w:rPr>
        <w:t>万元</w:t>
      </w:r>
      <w:r w:rsidR="000A0585">
        <w:rPr>
          <w:rFonts w:ascii="Calibri" w:hAnsi="宋体" w:hint="eastAsia"/>
          <w:color w:val="auto"/>
          <w:sz w:val="24"/>
        </w:rPr>
        <w:t>。</w:t>
      </w:r>
    </w:p>
    <w:p w14:paraId="11D98159" w14:textId="77777777" w:rsidR="000E504E" w:rsidRPr="00171BA9" w:rsidRDefault="004554C2" w:rsidP="00171BA9">
      <w:pPr>
        <w:adjustRightInd w:val="0"/>
        <w:snapToGrid w:val="0"/>
        <w:spacing w:line="520" w:lineRule="exact"/>
        <w:ind w:firstLineChars="200" w:firstLine="480"/>
        <w:rPr>
          <w:rFonts w:ascii="Calibri" w:hAnsi="宋体"/>
          <w:color w:val="auto"/>
          <w:sz w:val="24"/>
        </w:rPr>
      </w:pPr>
      <w:r w:rsidRPr="00A964FF">
        <w:rPr>
          <w:rFonts w:ascii="Calibri" w:hAnsi="宋体" w:hint="eastAsia"/>
          <w:color w:val="auto"/>
          <w:sz w:val="24"/>
        </w:rPr>
        <w:t>本项目</w:t>
      </w:r>
      <w:r w:rsidR="008C49BE" w:rsidRPr="00A964FF">
        <w:rPr>
          <w:rFonts w:ascii="Calibri" w:hAnsi="宋体" w:hint="eastAsia"/>
          <w:color w:val="auto"/>
          <w:sz w:val="24"/>
        </w:rPr>
        <w:t>施工期</w:t>
      </w:r>
      <w:r w:rsidR="00611E6B">
        <w:rPr>
          <w:rFonts w:ascii="Calibri" w:hAnsi="宋体" w:hint="eastAsia"/>
          <w:color w:val="auto"/>
          <w:sz w:val="24"/>
        </w:rPr>
        <w:t>10</w:t>
      </w:r>
      <w:r w:rsidR="008C49BE" w:rsidRPr="00A964FF">
        <w:rPr>
          <w:rFonts w:ascii="Calibri" w:hAnsi="宋体" w:hint="eastAsia"/>
          <w:color w:val="auto"/>
          <w:sz w:val="24"/>
        </w:rPr>
        <w:t>个月</w:t>
      </w:r>
      <w:r w:rsidRPr="00A964FF">
        <w:rPr>
          <w:rFonts w:ascii="Calibri" w:hAnsi="宋体" w:hint="eastAsia"/>
          <w:color w:val="auto"/>
          <w:sz w:val="24"/>
        </w:rPr>
        <w:t>，预计</w:t>
      </w:r>
      <w:r w:rsidRPr="00A964FF">
        <w:rPr>
          <w:rFonts w:ascii="Calibri" w:hAnsi="宋体" w:hint="eastAsia"/>
          <w:color w:val="auto"/>
          <w:sz w:val="24"/>
        </w:rPr>
        <w:t>202</w:t>
      </w:r>
      <w:r w:rsidR="00611E6B">
        <w:rPr>
          <w:rFonts w:ascii="Calibri" w:hAnsi="宋体" w:hint="eastAsia"/>
          <w:color w:val="auto"/>
          <w:sz w:val="24"/>
        </w:rPr>
        <w:t>2</w:t>
      </w:r>
      <w:r w:rsidRPr="00A964FF">
        <w:rPr>
          <w:rFonts w:ascii="Calibri" w:hAnsi="宋体" w:hint="eastAsia"/>
          <w:color w:val="auto"/>
          <w:sz w:val="24"/>
        </w:rPr>
        <w:t>年</w:t>
      </w:r>
      <w:r w:rsidR="001E5955">
        <w:rPr>
          <w:rFonts w:ascii="Calibri" w:hAnsi="宋体"/>
          <w:color w:val="auto"/>
          <w:sz w:val="24"/>
        </w:rPr>
        <w:t>10</w:t>
      </w:r>
      <w:r w:rsidRPr="00A964FF">
        <w:rPr>
          <w:rFonts w:ascii="Calibri" w:hAnsi="宋体" w:hint="eastAsia"/>
          <w:color w:val="auto"/>
          <w:sz w:val="24"/>
        </w:rPr>
        <w:t>月开工，</w:t>
      </w:r>
      <w:r w:rsidRPr="00A964FF">
        <w:rPr>
          <w:rFonts w:ascii="Calibri" w:hAnsi="宋体" w:hint="eastAsia"/>
          <w:color w:val="auto"/>
          <w:sz w:val="24"/>
        </w:rPr>
        <w:t>202</w:t>
      </w:r>
      <w:r w:rsidR="00611E6B">
        <w:rPr>
          <w:rFonts w:ascii="Calibri" w:hAnsi="宋体" w:hint="eastAsia"/>
          <w:color w:val="auto"/>
          <w:sz w:val="24"/>
        </w:rPr>
        <w:t>3</w:t>
      </w:r>
      <w:r w:rsidRPr="00A964FF">
        <w:rPr>
          <w:rFonts w:ascii="Calibri" w:hAnsi="宋体" w:hint="eastAsia"/>
          <w:color w:val="auto"/>
          <w:sz w:val="24"/>
        </w:rPr>
        <w:t>年</w:t>
      </w:r>
      <w:r w:rsidR="001E5955">
        <w:rPr>
          <w:rFonts w:ascii="Calibri" w:hAnsi="宋体"/>
          <w:color w:val="auto"/>
          <w:sz w:val="24"/>
        </w:rPr>
        <w:t>8</w:t>
      </w:r>
      <w:r w:rsidRPr="00A964FF">
        <w:rPr>
          <w:rFonts w:ascii="Calibri" w:hAnsi="宋体" w:hint="eastAsia"/>
          <w:color w:val="auto"/>
          <w:sz w:val="24"/>
        </w:rPr>
        <w:t>月建成并投入使用。</w:t>
      </w:r>
    </w:p>
    <w:p w14:paraId="6043DE1D" w14:textId="77777777" w:rsidR="004554C2" w:rsidRPr="00A964FF" w:rsidRDefault="004554C2" w:rsidP="004554C2">
      <w:pPr>
        <w:pStyle w:val="ad"/>
        <w:rPr>
          <w:rFonts w:ascii="Calibri" w:hAnsi="Calibri"/>
          <w:color w:val="auto"/>
        </w:rPr>
      </w:pPr>
      <w:r w:rsidRPr="00A964FF">
        <w:rPr>
          <w:rFonts w:ascii="Calibri" w:hAnsi="Calibri" w:hint="eastAsia"/>
          <w:color w:val="auto"/>
        </w:rPr>
        <w:t>2.1.</w:t>
      </w:r>
      <w:r w:rsidR="004E2EC9">
        <w:rPr>
          <w:rFonts w:ascii="Calibri" w:hAnsi="Calibri"/>
          <w:color w:val="auto"/>
        </w:rPr>
        <w:t>9</w:t>
      </w:r>
      <w:r w:rsidRPr="00A964FF">
        <w:rPr>
          <w:rFonts w:ascii="Calibri" w:hAnsi="Calibri" w:hint="eastAsia"/>
          <w:color w:val="auto"/>
        </w:rPr>
        <w:t>公用工程</w:t>
      </w:r>
    </w:p>
    <w:p w14:paraId="26ACF3E0" w14:textId="77777777" w:rsidR="004554C2" w:rsidRPr="00A964FF" w:rsidRDefault="004554C2" w:rsidP="004554C2">
      <w:pPr>
        <w:pStyle w:val="p15"/>
        <w:spacing w:line="520" w:lineRule="atLeast"/>
        <w:ind w:firstLine="480"/>
        <w:rPr>
          <w:rFonts w:ascii="Calibri" w:hAnsi="Calibri"/>
          <w:b/>
          <w:color w:val="auto"/>
          <w:kern w:val="2"/>
          <w:sz w:val="24"/>
          <w:szCs w:val="24"/>
        </w:rPr>
      </w:pPr>
      <w:r w:rsidRPr="00A964FF">
        <w:rPr>
          <w:rFonts w:ascii="Calibri" w:hAnsi="Calibri" w:hint="eastAsia"/>
          <w:b/>
          <w:color w:val="auto"/>
          <w:kern w:val="2"/>
          <w:sz w:val="24"/>
          <w:szCs w:val="24"/>
        </w:rPr>
        <w:t>1</w:t>
      </w:r>
      <w:r w:rsidRPr="00A964FF">
        <w:rPr>
          <w:rFonts w:ascii="Calibri" w:hAnsi="Calibri" w:hint="eastAsia"/>
          <w:b/>
          <w:color w:val="auto"/>
          <w:kern w:val="2"/>
          <w:sz w:val="24"/>
          <w:szCs w:val="24"/>
        </w:rPr>
        <w:t>、给水</w:t>
      </w:r>
    </w:p>
    <w:p w14:paraId="54149D15" w14:textId="77777777" w:rsidR="00CF4ADD" w:rsidRPr="00A964FF" w:rsidRDefault="00CF4ADD" w:rsidP="00CF4ADD">
      <w:pPr>
        <w:pStyle w:val="p15"/>
        <w:spacing w:line="520" w:lineRule="atLeast"/>
        <w:ind w:firstLine="480"/>
        <w:rPr>
          <w:rFonts w:ascii="Calibri" w:hAnsi="Calibri"/>
          <w:color w:val="auto"/>
          <w:kern w:val="2"/>
          <w:sz w:val="24"/>
          <w:szCs w:val="24"/>
        </w:rPr>
      </w:pPr>
      <w:r w:rsidRPr="00A964FF">
        <w:rPr>
          <w:rFonts w:ascii="Calibri" w:hAnsi="Calibri" w:hint="eastAsia"/>
          <w:color w:val="auto"/>
          <w:kern w:val="2"/>
          <w:sz w:val="24"/>
          <w:szCs w:val="24"/>
        </w:rPr>
        <w:t>（</w:t>
      </w:r>
      <w:r w:rsidRPr="00A964FF">
        <w:rPr>
          <w:rFonts w:ascii="Calibri" w:hAnsi="Calibri" w:hint="eastAsia"/>
          <w:color w:val="auto"/>
          <w:kern w:val="2"/>
          <w:sz w:val="24"/>
          <w:szCs w:val="24"/>
        </w:rPr>
        <w:t>1</w:t>
      </w:r>
      <w:r w:rsidRPr="00A964FF">
        <w:rPr>
          <w:rFonts w:ascii="Calibri" w:hAnsi="Calibri" w:hint="eastAsia"/>
          <w:color w:val="auto"/>
          <w:kern w:val="2"/>
          <w:sz w:val="24"/>
          <w:szCs w:val="24"/>
        </w:rPr>
        <w:t>）供水水源</w:t>
      </w:r>
    </w:p>
    <w:p w14:paraId="35DB1E20" w14:textId="77777777" w:rsidR="001E5955" w:rsidRDefault="004554C2" w:rsidP="00FC7A13">
      <w:pPr>
        <w:pStyle w:val="p15"/>
        <w:spacing w:line="520" w:lineRule="atLeast"/>
        <w:ind w:firstLine="480"/>
        <w:rPr>
          <w:rFonts w:ascii="Calibri" w:hAnsi="Calibri"/>
          <w:color w:val="auto"/>
          <w:kern w:val="2"/>
          <w:sz w:val="24"/>
          <w:szCs w:val="24"/>
        </w:rPr>
      </w:pPr>
      <w:r w:rsidRPr="00A964FF">
        <w:rPr>
          <w:rFonts w:ascii="Calibri" w:hAnsi="Calibri" w:hint="eastAsia"/>
          <w:color w:val="auto"/>
          <w:kern w:val="2"/>
          <w:sz w:val="24"/>
          <w:szCs w:val="24"/>
        </w:rPr>
        <w:t>本项目</w:t>
      </w:r>
      <w:r w:rsidR="00CF4ADD" w:rsidRPr="00A964FF">
        <w:rPr>
          <w:rFonts w:ascii="Calibri" w:hAnsi="Calibri" w:hint="eastAsia"/>
          <w:color w:val="auto"/>
          <w:kern w:val="2"/>
          <w:sz w:val="24"/>
          <w:szCs w:val="24"/>
        </w:rPr>
        <w:t>用水接平顶山尼龙新材料</w:t>
      </w:r>
      <w:r w:rsidRPr="00A964FF">
        <w:rPr>
          <w:rFonts w:ascii="Calibri" w:hAnsi="Calibri" w:hint="eastAsia"/>
          <w:color w:val="auto"/>
          <w:kern w:val="2"/>
          <w:sz w:val="24"/>
          <w:szCs w:val="24"/>
        </w:rPr>
        <w:t>集聚区市政供水管网，</w:t>
      </w:r>
      <w:r w:rsidR="001E5955">
        <w:rPr>
          <w:rFonts w:ascii="Calibri" w:hAnsi="Calibri" w:hint="eastAsia"/>
          <w:color w:val="auto"/>
          <w:kern w:val="2"/>
          <w:sz w:val="24"/>
          <w:szCs w:val="24"/>
        </w:rPr>
        <w:t>可满足生产、生活使用</w:t>
      </w:r>
      <w:r w:rsidR="001E5955" w:rsidRPr="00A964FF">
        <w:rPr>
          <w:rFonts w:ascii="Calibri" w:hAnsi="Calibri" w:hint="eastAsia"/>
          <w:color w:val="auto"/>
          <w:kern w:val="2"/>
          <w:sz w:val="24"/>
          <w:szCs w:val="24"/>
        </w:rPr>
        <w:t>。</w:t>
      </w:r>
    </w:p>
    <w:p w14:paraId="321F6FE4" w14:textId="77777777" w:rsidR="004554C2" w:rsidRPr="00A964FF" w:rsidRDefault="004554C2" w:rsidP="008C3653">
      <w:pPr>
        <w:pStyle w:val="p15"/>
        <w:widowControl w:val="0"/>
        <w:spacing w:line="520" w:lineRule="atLeast"/>
        <w:ind w:firstLine="482"/>
        <w:rPr>
          <w:rFonts w:ascii="Calibri" w:hAnsi="宋体"/>
          <w:color w:val="auto"/>
          <w:kern w:val="2"/>
          <w:sz w:val="24"/>
          <w:szCs w:val="24"/>
        </w:rPr>
      </w:pPr>
      <w:r w:rsidRPr="00EA4888">
        <w:rPr>
          <w:rFonts w:ascii="Calibri" w:hAnsi="Calibri" w:hint="eastAsia"/>
          <w:b/>
          <w:color w:val="auto"/>
          <w:kern w:val="2"/>
          <w:sz w:val="24"/>
          <w:szCs w:val="24"/>
        </w:rPr>
        <w:t>2</w:t>
      </w:r>
      <w:r w:rsidRPr="00EA4888">
        <w:rPr>
          <w:rFonts w:ascii="Calibri" w:hAnsi="Calibri" w:hint="eastAsia"/>
          <w:b/>
          <w:color w:val="auto"/>
          <w:kern w:val="2"/>
          <w:sz w:val="24"/>
          <w:szCs w:val="24"/>
        </w:rPr>
        <w:t>、排水</w:t>
      </w:r>
    </w:p>
    <w:p w14:paraId="7B14557E" w14:textId="77777777" w:rsidR="004554C2" w:rsidRPr="00A964FF" w:rsidRDefault="00E521EA" w:rsidP="0091675D">
      <w:pPr>
        <w:pStyle w:val="p15"/>
        <w:widowControl w:val="0"/>
        <w:spacing w:line="520" w:lineRule="exact"/>
        <w:ind w:firstLine="482"/>
        <w:rPr>
          <w:rFonts w:ascii="Calibri" w:hAnsi="Calibri"/>
          <w:color w:val="auto"/>
          <w:kern w:val="2"/>
          <w:sz w:val="24"/>
          <w:szCs w:val="24"/>
        </w:rPr>
      </w:pPr>
      <w:r w:rsidRPr="00A964FF">
        <w:rPr>
          <w:rFonts w:ascii="Calibri" w:hAnsi="Calibri" w:hint="eastAsia"/>
          <w:color w:val="auto"/>
          <w:kern w:val="2"/>
          <w:sz w:val="24"/>
          <w:szCs w:val="24"/>
        </w:rPr>
        <w:t>本项目厂区</w:t>
      </w:r>
      <w:r w:rsidR="004554C2" w:rsidRPr="00A964FF">
        <w:rPr>
          <w:rFonts w:ascii="Calibri" w:hAnsi="Calibri" w:hint="eastAsia"/>
          <w:color w:val="auto"/>
          <w:kern w:val="2"/>
          <w:sz w:val="24"/>
          <w:szCs w:val="24"/>
        </w:rPr>
        <w:t>采用雨污分流制，</w:t>
      </w:r>
      <w:r w:rsidRPr="00A964FF">
        <w:rPr>
          <w:rFonts w:ascii="Calibri" w:hAnsi="Calibri" w:hint="eastAsia"/>
          <w:color w:val="auto"/>
          <w:kern w:val="2"/>
          <w:sz w:val="24"/>
          <w:szCs w:val="24"/>
        </w:rPr>
        <w:t>配套完善的雨污管网，并于集聚区现有市政雨水管网、污水管网实现对接。</w:t>
      </w:r>
    </w:p>
    <w:p w14:paraId="5620B08B" w14:textId="77777777" w:rsidR="00E521EA" w:rsidRPr="00A964FF" w:rsidRDefault="004554C2" w:rsidP="004554C2">
      <w:pPr>
        <w:pStyle w:val="p15"/>
        <w:spacing w:line="520" w:lineRule="atLeast"/>
        <w:ind w:firstLine="480"/>
        <w:rPr>
          <w:rFonts w:ascii="Calibri" w:hAnsi="Calibri"/>
          <w:color w:val="auto"/>
          <w:sz w:val="24"/>
          <w:szCs w:val="24"/>
        </w:rPr>
      </w:pPr>
      <w:r w:rsidRPr="00A964FF">
        <w:rPr>
          <w:rFonts w:ascii="Calibri" w:hAnsi="Calibri" w:hint="eastAsia"/>
          <w:color w:val="auto"/>
          <w:sz w:val="24"/>
          <w:szCs w:val="24"/>
        </w:rPr>
        <w:t>本项目</w:t>
      </w:r>
      <w:r w:rsidR="00E521EA" w:rsidRPr="00A964FF">
        <w:rPr>
          <w:rFonts w:ascii="Calibri" w:hAnsi="Calibri" w:hint="eastAsia"/>
          <w:color w:val="auto"/>
          <w:sz w:val="24"/>
          <w:szCs w:val="24"/>
        </w:rPr>
        <w:t>生产过程中产生的废水和职工生活污水经厂区自建废水处理站</w:t>
      </w:r>
      <w:r w:rsidR="00891396">
        <w:rPr>
          <w:rFonts w:ascii="Calibri" w:hAnsi="Calibri" w:hint="eastAsia"/>
          <w:color w:val="auto"/>
          <w:sz w:val="24"/>
          <w:szCs w:val="24"/>
        </w:rPr>
        <w:t>（设计</w:t>
      </w:r>
      <w:r w:rsidR="00891396">
        <w:rPr>
          <w:rFonts w:ascii="Calibri" w:hAnsi="Calibri"/>
          <w:color w:val="auto"/>
          <w:sz w:val="24"/>
          <w:szCs w:val="24"/>
        </w:rPr>
        <w:t>规模满足一期、二期工程需要</w:t>
      </w:r>
      <w:r w:rsidR="00891396">
        <w:rPr>
          <w:rFonts w:ascii="Calibri" w:hAnsi="Calibri" w:hint="eastAsia"/>
          <w:color w:val="auto"/>
          <w:sz w:val="24"/>
          <w:szCs w:val="24"/>
        </w:rPr>
        <w:t>）</w:t>
      </w:r>
      <w:r w:rsidR="00E521EA" w:rsidRPr="00A964FF">
        <w:rPr>
          <w:rFonts w:ascii="Calibri" w:hAnsi="Calibri" w:hint="eastAsia"/>
          <w:color w:val="auto"/>
          <w:sz w:val="24"/>
          <w:szCs w:val="24"/>
        </w:rPr>
        <w:t>处理达标后排入集聚区污水管网，进入平顶山第三污水处理厂集中处理，进入灰河。</w:t>
      </w:r>
    </w:p>
    <w:p w14:paraId="3F21A262" w14:textId="77777777" w:rsidR="004554C2" w:rsidRPr="00A964FF" w:rsidRDefault="004554C2" w:rsidP="00E521EA">
      <w:pPr>
        <w:pStyle w:val="p15"/>
        <w:widowControl w:val="0"/>
        <w:spacing w:line="520" w:lineRule="atLeast"/>
        <w:ind w:firstLine="482"/>
        <w:rPr>
          <w:rFonts w:ascii="Calibri" w:hAnsi="Calibri"/>
          <w:b/>
          <w:color w:val="auto"/>
          <w:kern w:val="2"/>
          <w:sz w:val="24"/>
          <w:szCs w:val="24"/>
        </w:rPr>
      </w:pPr>
      <w:r w:rsidRPr="00EA4888">
        <w:rPr>
          <w:rFonts w:ascii="Calibri" w:hAnsi="Calibri" w:hint="eastAsia"/>
          <w:b/>
          <w:color w:val="auto"/>
          <w:kern w:val="2"/>
          <w:sz w:val="24"/>
          <w:szCs w:val="24"/>
        </w:rPr>
        <w:t>3</w:t>
      </w:r>
      <w:r w:rsidRPr="00EA4888">
        <w:rPr>
          <w:rFonts w:ascii="Calibri" w:hAnsi="Calibri" w:hint="eastAsia"/>
          <w:b/>
          <w:color w:val="auto"/>
          <w:kern w:val="2"/>
          <w:sz w:val="24"/>
          <w:szCs w:val="24"/>
        </w:rPr>
        <w:t>、供电</w:t>
      </w:r>
    </w:p>
    <w:p w14:paraId="085F53EF" w14:textId="77777777" w:rsidR="00E521EA" w:rsidRPr="00A964FF" w:rsidRDefault="004554C2" w:rsidP="00627F38">
      <w:pPr>
        <w:pStyle w:val="p15"/>
        <w:widowControl w:val="0"/>
        <w:spacing w:line="520" w:lineRule="atLeast"/>
        <w:ind w:firstLine="482"/>
        <w:rPr>
          <w:rFonts w:ascii="Calibri" w:hAnsi="Calibri"/>
          <w:bCs/>
          <w:color w:val="auto"/>
          <w:sz w:val="24"/>
          <w:szCs w:val="24"/>
        </w:rPr>
      </w:pPr>
      <w:r w:rsidRPr="00A964FF">
        <w:rPr>
          <w:rFonts w:ascii="Calibri" w:hAnsi="Calibri" w:hint="eastAsia"/>
          <w:color w:val="auto"/>
          <w:kern w:val="2"/>
          <w:sz w:val="24"/>
          <w:szCs w:val="24"/>
        </w:rPr>
        <w:t>本项目供电接</w:t>
      </w:r>
      <w:r w:rsidR="00E521EA" w:rsidRPr="00A964FF">
        <w:rPr>
          <w:rFonts w:ascii="Calibri" w:hAnsi="Calibri" w:hint="eastAsia"/>
          <w:color w:val="auto"/>
          <w:kern w:val="2"/>
          <w:sz w:val="24"/>
          <w:szCs w:val="24"/>
        </w:rPr>
        <w:t>平顶山尼龙新材料</w:t>
      </w:r>
      <w:r w:rsidRPr="00A964FF">
        <w:rPr>
          <w:rFonts w:ascii="Calibri" w:hAnsi="Calibri" w:hint="eastAsia"/>
          <w:color w:val="auto"/>
          <w:kern w:val="2"/>
          <w:sz w:val="24"/>
          <w:szCs w:val="24"/>
        </w:rPr>
        <w:t>集聚区市政供电电网，</w:t>
      </w:r>
      <w:r w:rsidR="00627F38" w:rsidRPr="00A964FF">
        <w:rPr>
          <w:rFonts w:ascii="Calibri" w:hAnsi="Calibri" w:hint="eastAsia"/>
          <w:bCs/>
          <w:color w:val="auto"/>
          <w:sz w:val="24"/>
          <w:szCs w:val="24"/>
        </w:rPr>
        <w:t>能满足项目生产、生活需要。</w:t>
      </w:r>
    </w:p>
    <w:p w14:paraId="4C23B27E" w14:textId="77777777" w:rsidR="00C405F4" w:rsidRPr="00A964FF" w:rsidRDefault="00C405F4" w:rsidP="00C405F4">
      <w:pPr>
        <w:pStyle w:val="p15"/>
        <w:widowControl w:val="0"/>
        <w:spacing w:line="520" w:lineRule="atLeast"/>
        <w:ind w:firstLine="482"/>
        <w:rPr>
          <w:rFonts w:ascii="Calibri" w:hAnsi="Calibri"/>
          <w:b/>
          <w:color w:val="auto"/>
          <w:kern w:val="2"/>
          <w:sz w:val="24"/>
          <w:szCs w:val="24"/>
        </w:rPr>
      </w:pPr>
      <w:r>
        <w:rPr>
          <w:rFonts w:ascii="Calibri" w:hAnsi="Calibri"/>
          <w:b/>
          <w:color w:val="auto"/>
          <w:kern w:val="2"/>
          <w:sz w:val="24"/>
          <w:szCs w:val="24"/>
        </w:rPr>
        <w:t>4</w:t>
      </w:r>
      <w:r w:rsidRPr="00EA4888">
        <w:rPr>
          <w:rFonts w:ascii="Calibri" w:hAnsi="Calibri" w:hint="eastAsia"/>
          <w:b/>
          <w:color w:val="auto"/>
          <w:kern w:val="2"/>
          <w:sz w:val="24"/>
          <w:szCs w:val="24"/>
        </w:rPr>
        <w:t>、</w:t>
      </w:r>
      <w:r>
        <w:rPr>
          <w:rFonts w:ascii="Calibri" w:hAnsi="Calibri" w:hint="eastAsia"/>
          <w:b/>
          <w:color w:val="auto"/>
          <w:kern w:val="2"/>
          <w:sz w:val="24"/>
          <w:szCs w:val="24"/>
        </w:rPr>
        <w:t>导热油炉</w:t>
      </w:r>
      <w:r>
        <w:rPr>
          <w:rFonts w:ascii="Calibri" w:hAnsi="Calibri"/>
          <w:b/>
          <w:color w:val="auto"/>
          <w:kern w:val="2"/>
          <w:sz w:val="24"/>
          <w:szCs w:val="24"/>
        </w:rPr>
        <w:t>供热</w:t>
      </w:r>
    </w:p>
    <w:p w14:paraId="10836E3C" w14:textId="77777777" w:rsidR="00C405F4" w:rsidRPr="00C405F4" w:rsidRDefault="00C405F4" w:rsidP="001A4912">
      <w:pPr>
        <w:pStyle w:val="p15"/>
        <w:widowControl w:val="0"/>
        <w:spacing w:line="520" w:lineRule="atLeast"/>
        <w:ind w:firstLine="482"/>
        <w:rPr>
          <w:rFonts w:ascii="Calibri" w:hAnsi="Calibri"/>
          <w:color w:val="auto"/>
          <w:kern w:val="2"/>
          <w:sz w:val="24"/>
          <w:szCs w:val="24"/>
        </w:rPr>
      </w:pPr>
      <w:r w:rsidRPr="00C405F4">
        <w:rPr>
          <w:rFonts w:ascii="Calibri" w:hAnsi="Calibri" w:hint="eastAsia"/>
          <w:color w:val="auto"/>
          <w:kern w:val="2"/>
          <w:sz w:val="24"/>
          <w:szCs w:val="24"/>
        </w:rPr>
        <w:t>本项目</w:t>
      </w:r>
      <w:r w:rsidR="001A4912">
        <w:rPr>
          <w:rFonts w:ascii="Calibri" w:hAnsi="Calibri" w:hint="eastAsia"/>
          <w:color w:val="auto"/>
          <w:kern w:val="2"/>
          <w:sz w:val="24"/>
          <w:szCs w:val="24"/>
        </w:rPr>
        <w:t>透明</w:t>
      </w:r>
      <w:r w:rsidR="001A4912">
        <w:rPr>
          <w:rFonts w:ascii="Calibri" w:hAnsi="Calibri"/>
          <w:color w:val="auto"/>
          <w:kern w:val="2"/>
          <w:sz w:val="24"/>
          <w:szCs w:val="24"/>
        </w:rPr>
        <w:t>尼龙</w:t>
      </w:r>
      <w:r w:rsidRPr="00C405F4">
        <w:rPr>
          <w:rFonts w:ascii="Calibri" w:hAnsi="Calibri" w:hint="eastAsia"/>
          <w:color w:val="auto"/>
          <w:kern w:val="2"/>
          <w:sz w:val="24"/>
          <w:szCs w:val="24"/>
        </w:rPr>
        <w:t>聚合</w:t>
      </w:r>
      <w:r w:rsidRPr="00C405F4">
        <w:rPr>
          <w:rFonts w:ascii="Calibri" w:hAnsi="Calibri"/>
          <w:color w:val="auto"/>
          <w:kern w:val="2"/>
          <w:sz w:val="24"/>
          <w:szCs w:val="24"/>
        </w:rPr>
        <w:t>过程需外界持续供应热量，工艺生产中通过</w:t>
      </w:r>
      <w:r w:rsidRPr="00C405F4">
        <w:rPr>
          <w:rFonts w:ascii="Calibri" w:hAnsi="Calibri" w:hint="eastAsia"/>
          <w:color w:val="auto"/>
          <w:kern w:val="2"/>
          <w:sz w:val="24"/>
          <w:szCs w:val="24"/>
        </w:rPr>
        <w:t>循环</w:t>
      </w:r>
      <w:r w:rsidRPr="00C405F4">
        <w:rPr>
          <w:rFonts w:ascii="Calibri" w:hAnsi="Calibri"/>
          <w:color w:val="auto"/>
          <w:kern w:val="2"/>
          <w:sz w:val="24"/>
          <w:szCs w:val="24"/>
        </w:rPr>
        <w:t>导热油</w:t>
      </w:r>
      <w:r w:rsidRPr="00C405F4">
        <w:rPr>
          <w:rFonts w:ascii="Calibri" w:hAnsi="Calibri" w:hint="eastAsia"/>
          <w:color w:val="auto"/>
          <w:kern w:val="2"/>
          <w:sz w:val="24"/>
          <w:szCs w:val="24"/>
        </w:rPr>
        <w:t>供热</w:t>
      </w:r>
      <w:r w:rsidRPr="00C405F4">
        <w:rPr>
          <w:rFonts w:ascii="Calibri" w:hAnsi="Calibri"/>
          <w:color w:val="auto"/>
          <w:kern w:val="2"/>
          <w:sz w:val="24"/>
          <w:szCs w:val="24"/>
        </w:rPr>
        <w:t>的方式解决。根据</w:t>
      </w:r>
      <w:r w:rsidRPr="00C405F4">
        <w:rPr>
          <w:rFonts w:ascii="Calibri" w:hAnsi="Calibri" w:hint="eastAsia"/>
          <w:color w:val="auto"/>
          <w:kern w:val="2"/>
          <w:sz w:val="24"/>
          <w:szCs w:val="24"/>
        </w:rPr>
        <w:t>设计产能</w:t>
      </w:r>
      <w:r w:rsidRPr="00C405F4">
        <w:rPr>
          <w:rFonts w:ascii="Calibri" w:hAnsi="Calibri"/>
          <w:color w:val="auto"/>
          <w:kern w:val="2"/>
          <w:sz w:val="24"/>
          <w:szCs w:val="24"/>
        </w:rPr>
        <w:t>的</w:t>
      </w:r>
      <w:r w:rsidRPr="00C405F4">
        <w:rPr>
          <w:rFonts w:ascii="Calibri" w:hAnsi="Calibri" w:hint="eastAsia"/>
          <w:color w:val="auto"/>
          <w:kern w:val="2"/>
          <w:sz w:val="24"/>
          <w:szCs w:val="24"/>
        </w:rPr>
        <w:t>需要</w:t>
      </w:r>
      <w:r w:rsidRPr="00C405F4">
        <w:rPr>
          <w:rFonts w:ascii="Calibri" w:hAnsi="Calibri"/>
          <w:color w:val="auto"/>
          <w:kern w:val="2"/>
          <w:sz w:val="24"/>
          <w:szCs w:val="24"/>
        </w:rPr>
        <w:t>，本项目需要</w:t>
      </w:r>
      <w:r w:rsidRPr="00C405F4">
        <w:rPr>
          <w:rFonts w:ascii="Calibri" w:hAnsi="Calibri" w:hint="eastAsia"/>
          <w:color w:val="auto"/>
          <w:kern w:val="2"/>
          <w:sz w:val="24"/>
          <w:szCs w:val="24"/>
        </w:rPr>
        <w:t>独立设置</w:t>
      </w:r>
      <w:r w:rsidRPr="00C405F4">
        <w:rPr>
          <w:rFonts w:ascii="Calibri" w:hAnsi="Calibri"/>
          <w:color w:val="auto"/>
          <w:kern w:val="2"/>
          <w:sz w:val="24"/>
          <w:szCs w:val="24"/>
        </w:rPr>
        <w:t>导热油站</w:t>
      </w:r>
      <w:r w:rsidRPr="00C405F4">
        <w:rPr>
          <w:rFonts w:ascii="Calibri" w:hAnsi="Calibri" w:hint="eastAsia"/>
          <w:color w:val="auto"/>
          <w:kern w:val="2"/>
          <w:sz w:val="24"/>
          <w:szCs w:val="24"/>
        </w:rPr>
        <w:t>1</w:t>
      </w:r>
      <w:r w:rsidRPr="00C405F4">
        <w:rPr>
          <w:rFonts w:ascii="Calibri" w:hAnsi="Calibri" w:hint="eastAsia"/>
          <w:color w:val="auto"/>
          <w:kern w:val="2"/>
          <w:sz w:val="24"/>
          <w:szCs w:val="24"/>
        </w:rPr>
        <w:t>座</w:t>
      </w:r>
      <w:r w:rsidRPr="00C405F4">
        <w:rPr>
          <w:rFonts w:ascii="Calibri" w:hAnsi="Calibri"/>
          <w:color w:val="auto"/>
          <w:kern w:val="2"/>
          <w:sz w:val="24"/>
          <w:szCs w:val="24"/>
        </w:rPr>
        <w:t>，</w:t>
      </w:r>
      <w:r w:rsidR="00891396" w:rsidRPr="00C405F4">
        <w:rPr>
          <w:rFonts w:ascii="Calibri" w:hAnsi="Calibri"/>
          <w:color w:val="auto"/>
          <w:kern w:val="2"/>
          <w:sz w:val="24"/>
          <w:szCs w:val="24"/>
        </w:rPr>
        <w:t>拟</w:t>
      </w:r>
      <w:r w:rsidR="00891396" w:rsidRPr="00C405F4">
        <w:rPr>
          <w:rFonts w:ascii="Calibri" w:hAnsi="Calibri" w:hint="eastAsia"/>
          <w:color w:val="auto"/>
          <w:kern w:val="2"/>
          <w:sz w:val="24"/>
          <w:szCs w:val="24"/>
        </w:rPr>
        <w:t>规划</w:t>
      </w:r>
      <w:r w:rsidR="00891396" w:rsidRPr="00C405F4">
        <w:rPr>
          <w:rFonts w:ascii="Calibri" w:hAnsi="Calibri"/>
          <w:color w:val="auto"/>
          <w:kern w:val="2"/>
          <w:sz w:val="24"/>
          <w:szCs w:val="24"/>
        </w:rPr>
        <w:t>建设负荷为</w:t>
      </w:r>
      <w:r w:rsidR="00891396">
        <w:rPr>
          <w:rFonts w:ascii="Calibri" w:hAnsi="Calibri"/>
          <w:color w:val="auto"/>
          <w:kern w:val="2"/>
          <w:sz w:val="24"/>
          <w:szCs w:val="24"/>
        </w:rPr>
        <w:t>125</w:t>
      </w:r>
      <w:r w:rsidR="00891396" w:rsidRPr="00C405F4">
        <w:rPr>
          <w:rFonts w:ascii="Calibri" w:hAnsi="Calibri" w:hint="eastAsia"/>
          <w:color w:val="auto"/>
          <w:kern w:val="2"/>
          <w:sz w:val="24"/>
          <w:szCs w:val="24"/>
        </w:rPr>
        <w:t>万</w:t>
      </w:r>
      <w:r w:rsidR="00891396" w:rsidRPr="00C405F4">
        <w:rPr>
          <w:rFonts w:ascii="Calibri" w:hAnsi="Calibri"/>
          <w:color w:val="auto"/>
          <w:kern w:val="2"/>
          <w:sz w:val="24"/>
          <w:szCs w:val="24"/>
        </w:rPr>
        <w:t>kcal</w:t>
      </w:r>
      <w:r w:rsidR="00891396" w:rsidRPr="00C405F4">
        <w:rPr>
          <w:rFonts w:ascii="Calibri" w:hAnsi="Calibri"/>
          <w:color w:val="auto"/>
          <w:kern w:val="2"/>
          <w:sz w:val="24"/>
          <w:szCs w:val="24"/>
        </w:rPr>
        <w:t>的导热油炉</w:t>
      </w:r>
      <w:r w:rsidR="00891396">
        <w:rPr>
          <w:rFonts w:ascii="Calibri" w:hAnsi="Calibri"/>
          <w:color w:val="auto"/>
          <w:kern w:val="2"/>
          <w:sz w:val="24"/>
          <w:szCs w:val="24"/>
        </w:rPr>
        <w:t>2</w:t>
      </w:r>
      <w:r w:rsidR="00891396" w:rsidRPr="00C405F4">
        <w:rPr>
          <w:rFonts w:ascii="Calibri" w:hAnsi="Calibri" w:hint="eastAsia"/>
          <w:color w:val="auto"/>
          <w:kern w:val="2"/>
          <w:sz w:val="24"/>
          <w:szCs w:val="24"/>
        </w:rPr>
        <w:t>台</w:t>
      </w:r>
      <w:r w:rsidR="00891396" w:rsidRPr="00C405F4">
        <w:rPr>
          <w:rFonts w:ascii="Calibri" w:hAnsi="Calibri"/>
          <w:color w:val="auto"/>
          <w:kern w:val="2"/>
          <w:sz w:val="24"/>
          <w:szCs w:val="24"/>
        </w:rPr>
        <w:t>，以外供天然气为</w:t>
      </w:r>
      <w:r w:rsidR="00891396" w:rsidRPr="00C405F4">
        <w:rPr>
          <w:rFonts w:ascii="Calibri" w:hAnsi="Calibri" w:hint="eastAsia"/>
          <w:color w:val="auto"/>
          <w:kern w:val="2"/>
          <w:sz w:val="24"/>
          <w:szCs w:val="24"/>
        </w:rPr>
        <w:t>燃料。</w:t>
      </w:r>
      <w:r w:rsidR="00891396">
        <w:rPr>
          <w:rFonts w:ascii="Calibri" w:hAnsi="Calibri" w:hint="eastAsia"/>
          <w:color w:val="auto"/>
          <w:kern w:val="2"/>
          <w:sz w:val="24"/>
          <w:szCs w:val="24"/>
        </w:rPr>
        <w:t>一期工程</w:t>
      </w:r>
      <w:r w:rsidR="00891396">
        <w:rPr>
          <w:rFonts w:ascii="Calibri" w:hAnsi="Calibri"/>
          <w:color w:val="auto"/>
          <w:kern w:val="2"/>
          <w:sz w:val="24"/>
          <w:szCs w:val="24"/>
        </w:rPr>
        <w:t>建设，</w:t>
      </w:r>
      <w:r w:rsidR="00891396">
        <w:rPr>
          <w:rFonts w:ascii="Calibri" w:hAnsi="Calibri" w:hint="eastAsia"/>
          <w:color w:val="auto"/>
          <w:kern w:val="2"/>
          <w:sz w:val="24"/>
          <w:szCs w:val="24"/>
        </w:rPr>
        <w:t>满足</w:t>
      </w:r>
      <w:r w:rsidR="00891396">
        <w:rPr>
          <w:rFonts w:ascii="Calibri" w:hAnsi="Calibri"/>
          <w:color w:val="auto"/>
          <w:kern w:val="2"/>
          <w:sz w:val="24"/>
          <w:szCs w:val="24"/>
        </w:rPr>
        <w:t>一期、二期工程需要</w:t>
      </w:r>
      <w:r w:rsidR="00891396">
        <w:rPr>
          <w:rFonts w:ascii="Calibri" w:hAnsi="Calibri" w:hint="eastAsia"/>
          <w:color w:val="auto"/>
          <w:kern w:val="2"/>
          <w:sz w:val="24"/>
          <w:szCs w:val="24"/>
        </w:rPr>
        <w:t>。</w:t>
      </w:r>
    </w:p>
    <w:p w14:paraId="1D289AD6" w14:textId="77777777" w:rsidR="00C405F4" w:rsidRPr="00A964FF" w:rsidRDefault="00C405F4" w:rsidP="00C405F4">
      <w:pPr>
        <w:pStyle w:val="p15"/>
        <w:widowControl w:val="0"/>
        <w:spacing w:line="520" w:lineRule="atLeast"/>
        <w:ind w:firstLine="482"/>
        <w:rPr>
          <w:rFonts w:ascii="Calibri" w:hAnsi="Calibri"/>
          <w:b/>
          <w:color w:val="auto"/>
          <w:kern w:val="2"/>
          <w:sz w:val="24"/>
          <w:szCs w:val="24"/>
        </w:rPr>
      </w:pPr>
      <w:r>
        <w:rPr>
          <w:rFonts w:ascii="Calibri" w:hAnsi="Calibri"/>
          <w:b/>
          <w:color w:val="auto"/>
          <w:kern w:val="2"/>
          <w:sz w:val="24"/>
          <w:szCs w:val="24"/>
        </w:rPr>
        <w:t>5</w:t>
      </w:r>
      <w:r w:rsidRPr="00EA4888">
        <w:rPr>
          <w:rFonts w:ascii="Calibri" w:hAnsi="Calibri" w:hint="eastAsia"/>
          <w:b/>
          <w:color w:val="auto"/>
          <w:kern w:val="2"/>
          <w:sz w:val="24"/>
          <w:szCs w:val="24"/>
        </w:rPr>
        <w:t>、</w:t>
      </w:r>
      <w:r>
        <w:rPr>
          <w:rFonts w:ascii="Calibri" w:hAnsi="Calibri" w:hint="eastAsia"/>
          <w:b/>
          <w:color w:val="auto"/>
          <w:kern w:val="2"/>
          <w:sz w:val="24"/>
          <w:szCs w:val="24"/>
        </w:rPr>
        <w:t>循环水站</w:t>
      </w:r>
    </w:p>
    <w:p w14:paraId="39C8CF92" w14:textId="77777777" w:rsidR="00C405F4" w:rsidRPr="00C405F4" w:rsidRDefault="00C405F4" w:rsidP="00C405F4">
      <w:pPr>
        <w:pStyle w:val="p15"/>
        <w:widowControl w:val="0"/>
        <w:spacing w:line="520" w:lineRule="atLeast"/>
        <w:ind w:firstLine="482"/>
        <w:rPr>
          <w:rFonts w:ascii="Calibri" w:hAnsi="Calibri"/>
          <w:color w:val="auto"/>
          <w:kern w:val="2"/>
          <w:sz w:val="24"/>
          <w:szCs w:val="24"/>
        </w:rPr>
      </w:pPr>
      <w:r w:rsidRPr="00C405F4">
        <w:rPr>
          <w:rFonts w:ascii="Calibri" w:hAnsi="Calibri" w:hint="eastAsia"/>
          <w:color w:val="auto"/>
          <w:kern w:val="2"/>
          <w:sz w:val="24"/>
          <w:szCs w:val="24"/>
        </w:rPr>
        <w:t>本项目建设循环水站一座，规划</w:t>
      </w:r>
      <w:r>
        <w:rPr>
          <w:rFonts w:ascii="Calibri" w:hAnsi="Calibri" w:hint="eastAsia"/>
          <w:color w:val="auto"/>
          <w:kern w:val="2"/>
          <w:sz w:val="24"/>
          <w:szCs w:val="24"/>
        </w:rPr>
        <w:t>一期、</w:t>
      </w:r>
      <w:r>
        <w:rPr>
          <w:rFonts w:ascii="Calibri" w:hAnsi="Calibri"/>
          <w:color w:val="auto"/>
          <w:kern w:val="2"/>
          <w:sz w:val="24"/>
          <w:szCs w:val="24"/>
        </w:rPr>
        <w:t>二期各</w:t>
      </w:r>
      <w:r>
        <w:rPr>
          <w:rFonts w:ascii="Calibri" w:hAnsi="Calibri" w:hint="eastAsia"/>
          <w:color w:val="auto"/>
          <w:kern w:val="2"/>
          <w:sz w:val="24"/>
          <w:szCs w:val="24"/>
        </w:rPr>
        <w:t>设置</w:t>
      </w:r>
      <w:r>
        <w:rPr>
          <w:rFonts w:ascii="Calibri" w:hAnsi="Calibri" w:hint="eastAsia"/>
          <w:color w:val="auto"/>
          <w:kern w:val="2"/>
          <w:sz w:val="24"/>
          <w:szCs w:val="24"/>
        </w:rPr>
        <w:t>1</w:t>
      </w:r>
      <w:r>
        <w:rPr>
          <w:rFonts w:ascii="Calibri" w:hAnsi="Calibri" w:hint="eastAsia"/>
          <w:color w:val="auto"/>
          <w:kern w:val="2"/>
          <w:sz w:val="24"/>
          <w:szCs w:val="24"/>
        </w:rPr>
        <w:t>台</w:t>
      </w:r>
      <w:r w:rsidRPr="00C405F4">
        <w:rPr>
          <w:rFonts w:ascii="Calibri" w:hAnsi="Calibri" w:hint="eastAsia"/>
          <w:color w:val="auto"/>
          <w:kern w:val="2"/>
          <w:sz w:val="24"/>
          <w:szCs w:val="24"/>
        </w:rPr>
        <w:t>单台能力为</w:t>
      </w:r>
      <w:r>
        <w:rPr>
          <w:rFonts w:ascii="Calibri" w:hAnsi="Calibri"/>
          <w:color w:val="auto"/>
          <w:kern w:val="2"/>
          <w:sz w:val="24"/>
          <w:szCs w:val="24"/>
        </w:rPr>
        <w:t>100</w:t>
      </w:r>
      <w:r w:rsidRPr="00C405F4">
        <w:rPr>
          <w:rFonts w:ascii="Calibri" w:hAnsi="Calibri" w:hint="eastAsia"/>
          <w:color w:val="auto"/>
          <w:kern w:val="2"/>
          <w:sz w:val="24"/>
          <w:szCs w:val="24"/>
        </w:rPr>
        <w:t>m</w:t>
      </w:r>
      <w:r w:rsidRPr="00C405F4">
        <w:rPr>
          <w:rFonts w:ascii="Calibri" w:hAnsi="Calibri" w:hint="eastAsia"/>
          <w:color w:val="auto"/>
          <w:kern w:val="2"/>
          <w:sz w:val="24"/>
          <w:szCs w:val="24"/>
          <w:vertAlign w:val="superscript"/>
        </w:rPr>
        <w:t>3</w:t>
      </w:r>
      <w:r w:rsidRPr="00C405F4">
        <w:rPr>
          <w:rFonts w:ascii="Calibri" w:hAnsi="Calibri" w:hint="eastAsia"/>
          <w:color w:val="auto"/>
          <w:kern w:val="2"/>
          <w:sz w:val="24"/>
          <w:szCs w:val="24"/>
        </w:rPr>
        <w:t>/h</w:t>
      </w:r>
      <w:r w:rsidRPr="00C405F4">
        <w:rPr>
          <w:rFonts w:ascii="Calibri" w:hAnsi="Calibri" w:hint="eastAsia"/>
          <w:color w:val="auto"/>
          <w:kern w:val="2"/>
          <w:sz w:val="24"/>
          <w:szCs w:val="24"/>
        </w:rPr>
        <w:t>的</w:t>
      </w:r>
      <w:r w:rsidRPr="00C405F4">
        <w:rPr>
          <w:rFonts w:ascii="Calibri" w:hAnsi="Calibri" w:hint="eastAsia"/>
          <w:color w:val="auto"/>
          <w:kern w:val="2"/>
          <w:sz w:val="24"/>
          <w:szCs w:val="24"/>
        </w:rPr>
        <w:lastRenderedPageBreak/>
        <w:t>循环冷却水塔，泵出口循环水压力约为</w:t>
      </w:r>
      <w:r w:rsidRPr="00C405F4">
        <w:rPr>
          <w:rFonts w:ascii="Calibri" w:hAnsi="Calibri" w:hint="eastAsia"/>
          <w:color w:val="auto"/>
          <w:kern w:val="2"/>
          <w:sz w:val="24"/>
          <w:szCs w:val="24"/>
        </w:rPr>
        <w:t>0.45MPaG</w:t>
      </w:r>
      <w:r w:rsidRPr="00C405F4">
        <w:rPr>
          <w:rFonts w:ascii="Calibri" w:hAnsi="Calibri" w:hint="eastAsia"/>
          <w:color w:val="auto"/>
          <w:kern w:val="2"/>
          <w:sz w:val="24"/>
          <w:szCs w:val="24"/>
        </w:rPr>
        <w:t>。</w:t>
      </w:r>
    </w:p>
    <w:p w14:paraId="67CFE6FC" w14:textId="77777777" w:rsidR="00C405F4" w:rsidRPr="00A964FF" w:rsidRDefault="00C405F4" w:rsidP="00C405F4">
      <w:pPr>
        <w:pStyle w:val="p15"/>
        <w:widowControl w:val="0"/>
        <w:spacing w:line="520" w:lineRule="atLeast"/>
        <w:ind w:firstLine="482"/>
        <w:rPr>
          <w:rFonts w:ascii="Calibri" w:hAnsi="Calibri"/>
          <w:b/>
          <w:color w:val="auto"/>
          <w:kern w:val="2"/>
          <w:sz w:val="24"/>
          <w:szCs w:val="24"/>
        </w:rPr>
      </w:pPr>
      <w:r>
        <w:rPr>
          <w:rFonts w:ascii="Calibri" w:hAnsi="Calibri"/>
          <w:b/>
          <w:color w:val="auto"/>
          <w:kern w:val="2"/>
          <w:sz w:val="24"/>
          <w:szCs w:val="24"/>
        </w:rPr>
        <w:t>6</w:t>
      </w:r>
      <w:r w:rsidRPr="00EA4888">
        <w:rPr>
          <w:rFonts w:ascii="Calibri" w:hAnsi="Calibri" w:hint="eastAsia"/>
          <w:b/>
          <w:color w:val="auto"/>
          <w:kern w:val="2"/>
          <w:sz w:val="24"/>
          <w:szCs w:val="24"/>
        </w:rPr>
        <w:t>、</w:t>
      </w:r>
      <w:r>
        <w:rPr>
          <w:rFonts w:ascii="Calibri" w:hAnsi="Calibri" w:hint="eastAsia"/>
          <w:b/>
          <w:color w:val="auto"/>
          <w:kern w:val="2"/>
          <w:sz w:val="24"/>
          <w:szCs w:val="24"/>
        </w:rPr>
        <w:t>动力站</w:t>
      </w:r>
    </w:p>
    <w:p w14:paraId="2DDD2E4F" w14:textId="77777777" w:rsidR="00C405F4" w:rsidRPr="00C405F4" w:rsidRDefault="00C405F4" w:rsidP="00C405F4">
      <w:pPr>
        <w:pStyle w:val="p15"/>
        <w:widowControl w:val="0"/>
        <w:spacing w:line="520" w:lineRule="atLeast"/>
        <w:ind w:firstLine="482"/>
        <w:rPr>
          <w:rFonts w:ascii="Calibri" w:hAnsi="Calibri"/>
          <w:color w:val="auto"/>
          <w:kern w:val="2"/>
          <w:sz w:val="24"/>
          <w:szCs w:val="24"/>
        </w:rPr>
      </w:pPr>
      <w:r w:rsidRPr="00C405F4">
        <w:rPr>
          <w:rFonts w:ascii="Calibri" w:hAnsi="Calibri" w:hint="eastAsia"/>
          <w:color w:val="auto"/>
          <w:kern w:val="2"/>
          <w:sz w:val="24"/>
          <w:szCs w:val="24"/>
        </w:rPr>
        <w:t>项目新建动力站</w:t>
      </w:r>
      <w:r w:rsidRPr="00C405F4">
        <w:rPr>
          <w:rFonts w:ascii="Calibri" w:hAnsi="Calibri" w:hint="eastAsia"/>
          <w:color w:val="auto"/>
          <w:kern w:val="2"/>
          <w:sz w:val="24"/>
          <w:szCs w:val="24"/>
        </w:rPr>
        <w:t>1</w:t>
      </w:r>
      <w:r w:rsidRPr="00C405F4">
        <w:rPr>
          <w:rFonts w:ascii="Calibri" w:hAnsi="Calibri" w:hint="eastAsia"/>
          <w:color w:val="auto"/>
          <w:kern w:val="2"/>
          <w:sz w:val="24"/>
          <w:szCs w:val="24"/>
        </w:rPr>
        <w:t>座，位于</w:t>
      </w:r>
      <w:r>
        <w:rPr>
          <w:rFonts w:ascii="Calibri" w:hAnsi="Calibri" w:hint="eastAsia"/>
          <w:color w:val="auto"/>
          <w:kern w:val="2"/>
          <w:sz w:val="24"/>
          <w:szCs w:val="24"/>
        </w:rPr>
        <w:t>车间</w:t>
      </w:r>
      <w:r>
        <w:rPr>
          <w:rFonts w:ascii="Calibri" w:hAnsi="Calibri"/>
          <w:color w:val="auto"/>
          <w:kern w:val="2"/>
          <w:sz w:val="24"/>
          <w:szCs w:val="24"/>
        </w:rPr>
        <w:t>一层北侧</w:t>
      </w:r>
      <w:r>
        <w:rPr>
          <w:rFonts w:ascii="Calibri" w:hAnsi="Calibri" w:hint="eastAsia"/>
          <w:color w:val="auto"/>
          <w:kern w:val="2"/>
          <w:sz w:val="24"/>
          <w:szCs w:val="24"/>
        </w:rPr>
        <w:t>，</w:t>
      </w:r>
      <w:r w:rsidRPr="00C405F4">
        <w:rPr>
          <w:rFonts w:ascii="Calibri" w:hAnsi="Calibri" w:hint="eastAsia"/>
          <w:color w:val="auto"/>
          <w:kern w:val="2"/>
          <w:sz w:val="24"/>
          <w:szCs w:val="24"/>
        </w:rPr>
        <w:t>占地面积</w:t>
      </w:r>
      <w:r>
        <w:rPr>
          <w:rFonts w:ascii="Calibri" w:hAnsi="Calibri"/>
          <w:color w:val="auto"/>
          <w:kern w:val="2"/>
          <w:sz w:val="24"/>
          <w:szCs w:val="24"/>
        </w:rPr>
        <w:t>1080</w:t>
      </w:r>
      <w:r w:rsidRPr="00C405F4">
        <w:rPr>
          <w:rFonts w:ascii="Calibri" w:hAnsi="Calibri" w:hint="eastAsia"/>
          <w:color w:val="auto"/>
          <w:kern w:val="2"/>
          <w:sz w:val="24"/>
          <w:szCs w:val="24"/>
        </w:rPr>
        <w:t>m</w:t>
      </w:r>
      <w:r w:rsidRPr="00C405F4">
        <w:rPr>
          <w:rFonts w:ascii="Calibri" w:hAnsi="Calibri" w:hint="eastAsia"/>
          <w:color w:val="auto"/>
          <w:kern w:val="2"/>
          <w:sz w:val="24"/>
          <w:szCs w:val="24"/>
          <w:vertAlign w:val="superscript"/>
        </w:rPr>
        <w:t>2</w:t>
      </w:r>
      <w:r w:rsidRPr="00C405F4">
        <w:rPr>
          <w:rFonts w:ascii="Calibri" w:hAnsi="Calibri" w:hint="eastAsia"/>
          <w:color w:val="auto"/>
          <w:kern w:val="2"/>
          <w:sz w:val="24"/>
          <w:szCs w:val="24"/>
        </w:rPr>
        <w:t>，主要用于</w:t>
      </w:r>
      <w:r w:rsidRPr="00C405F4">
        <w:rPr>
          <w:rFonts w:ascii="Calibri" w:hAnsi="Calibri"/>
          <w:color w:val="auto"/>
          <w:kern w:val="2"/>
          <w:sz w:val="24"/>
          <w:szCs w:val="24"/>
        </w:rPr>
        <w:t>含</w:t>
      </w:r>
      <w:r w:rsidRPr="00C405F4">
        <w:rPr>
          <w:rFonts w:ascii="Calibri" w:hAnsi="Calibri" w:hint="eastAsia"/>
          <w:color w:val="auto"/>
          <w:kern w:val="2"/>
          <w:sz w:val="24"/>
          <w:szCs w:val="24"/>
        </w:rPr>
        <w:t>压缩</w:t>
      </w:r>
      <w:r w:rsidRPr="00C405F4">
        <w:rPr>
          <w:rFonts w:ascii="Calibri" w:hAnsi="Calibri"/>
          <w:color w:val="auto"/>
          <w:kern w:val="2"/>
          <w:sz w:val="24"/>
          <w:szCs w:val="24"/>
        </w:rPr>
        <w:t>空气</w:t>
      </w:r>
      <w:r w:rsidRPr="00C405F4">
        <w:rPr>
          <w:rFonts w:ascii="Calibri" w:hAnsi="Calibri" w:hint="eastAsia"/>
          <w:color w:val="auto"/>
          <w:kern w:val="2"/>
          <w:sz w:val="24"/>
          <w:szCs w:val="24"/>
        </w:rPr>
        <w:t>/</w:t>
      </w:r>
      <w:r w:rsidRPr="00C405F4">
        <w:rPr>
          <w:rFonts w:ascii="Calibri" w:hAnsi="Calibri" w:hint="eastAsia"/>
          <w:color w:val="auto"/>
          <w:kern w:val="2"/>
          <w:sz w:val="24"/>
          <w:szCs w:val="24"/>
        </w:rPr>
        <w:t>仪表空气</w:t>
      </w:r>
      <w:r w:rsidRPr="00C405F4">
        <w:rPr>
          <w:rFonts w:ascii="Calibri" w:hAnsi="Calibri"/>
          <w:color w:val="auto"/>
          <w:kern w:val="2"/>
          <w:sz w:val="24"/>
          <w:szCs w:val="24"/>
        </w:rPr>
        <w:t>/</w:t>
      </w:r>
      <w:r w:rsidRPr="00C405F4">
        <w:rPr>
          <w:rFonts w:ascii="Calibri" w:hAnsi="Calibri" w:hint="eastAsia"/>
          <w:color w:val="auto"/>
          <w:kern w:val="2"/>
          <w:sz w:val="24"/>
          <w:szCs w:val="24"/>
        </w:rPr>
        <w:t>氮气</w:t>
      </w:r>
      <w:r w:rsidRPr="00C405F4">
        <w:rPr>
          <w:rFonts w:ascii="Calibri" w:hAnsi="Calibri"/>
          <w:color w:val="auto"/>
          <w:kern w:val="2"/>
          <w:sz w:val="24"/>
          <w:szCs w:val="24"/>
        </w:rPr>
        <w:t>缓冲</w:t>
      </w:r>
      <w:r>
        <w:rPr>
          <w:rFonts w:ascii="Calibri" w:hAnsi="Calibri" w:hint="eastAsia"/>
          <w:color w:val="auto"/>
          <w:kern w:val="2"/>
          <w:sz w:val="24"/>
          <w:szCs w:val="24"/>
        </w:rPr>
        <w:t>、</w:t>
      </w:r>
      <w:r w:rsidRPr="00C405F4">
        <w:rPr>
          <w:rFonts w:ascii="Calibri" w:hAnsi="Calibri" w:hint="eastAsia"/>
          <w:color w:val="auto"/>
          <w:kern w:val="2"/>
          <w:sz w:val="24"/>
          <w:szCs w:val="24"/>
        </w:rPr>
        <w:t>高</w:t>
      </w:r>
      <w:r w:rsidRPr="00C405F4">
        <w:rPr>
          <w:rFonts w:ascii="Calibri" w:hAnsi="Calibri"/>
          <w:color w:val="auto"/>
          <w:kern w:val="2"/>
          <w:sz w:val="24"/>
          <w:szCs w:val="24"/>
        </w:rPr>
        <w:t>纯水制备等</w:t>
      </w:r>
      <w:r w:rsidRPr="00C405F4">
        <w:rPr>
          <w:rFonts w:ascii="Calibri" w:hAnsi="Calibri" w:hint="eastAsia"/>
          <w:color w:val="auto"/>
          <w:kern w:val="2"/>
          <w:sz w:val="24"/>
          <w:szCs w:val="24"/>
        </w:rPr>
        <w:t>。</w:t>
      </w:r>
    </w:p>
    <w:p w14:paraId="19466198" w14:textId="77777777" w:rsidR="00891396" w:rsidRPr="00891396" w:rsidRDefault="00891396" w:rsidP="00891396">
      <w:pPr>
        <w:pStyle w:val="p15"/>
        <w:widowControl w:val="0"/>
        <w:spacing w:line="520" w:lineRule="atLeast"/>
        <w:ind w:firstLine="482"/>
        <w:rPr>
          <w:rFonts w:ascii="Calibri" w:hAnsi="Calibri"/>
          <w:color w:val="auto"/>
          <w:kern w:val="2"/>
          <w:sz w:val="24"/>
          <w:szCs w:val="24"/>
        </w:rPr>
      </w:pPr>
      <w:r>
        <w:rPr>
          <w:rFonts w:ascii="Calibri" w:hAnsi="Calibri" w:hint="eastAsia"/>
          <w:color w:val="auto"/>
          <w:kern w:val="2"/>
          <w:sz w:val="24"/>
          <w:szCs w:val="24"/>
        </w:rPr>
        <w:t>压缩空气：本项目</w:t>
      </w:r>
      <w:r w:rsidR="00C405F4" w:rsidRPr="00C405F4">
        <w:rPr>
          <w:rFonts w:ascii="Calibri" w:hAnsi="Calibri" w:hint="eastAsia"/>
          <w:color w:val="auto"/>
          <w:kern w:val="2"/>
          <w:sz w:val="24"/>
          <w:szCs w:val="24"/>
        </w:rPr>
        <w:t>动力站</w:t>
      </w:r>
      <w:r>
        <w:rPr>
          <w:rFonts w:ascii="Calibri" w:hAnsi="Calibri" w:hint="eastAsia"/>
          <w:color w:val="auto"/>
          <w:kern w:val="2"/>
          <w:sz w:val="24"/>
          <w:szCs w:val="24"/>
        </w:rPr>
        <w:t>一期</w:t>
      </w:r>
      <w:r w:rsidR="00C405F4" w:rsidRPr="00C405F4">
        <w:rPr>
          <w:rFonts w:ascii="Calibri" w:hAnsi="Calibri" w:hint="eastAsia"/>
          <w:color w:val="auto"/>
          <w:kern w:val="2"/>
          <w:sz w:val="24"/>
          <w:szCs w:val="24"/>
        </w:rPr>
        <w:t>拟建螺杆空气压缩机</w:t>
      </w:r>
      <w:r>
        <w:rPr>
          <w:rFonts w:ascii="Calibri" w:hAnsi="Calibri"/>
          <w:color w:val="auto"/>
          <w:kern w:val="2"/>
          <w:sz w:val="24"/>
          <w:szCs w:val="24"/>
        </w:rPr>
        <w:t>4</w:t>
      </w:r>
      <w:r w:rsidR="00C405F4" w:rsidRPr="00C405F4">
        <w:rPr>
          <w:rFonts w:ascii="Calibri" w:hAnsi="Calibri" w:hint="eastAsia"/>
          <w:color w:val="auto"/>
          <w:kern w:val="2"/>
          <w:sz w:val="24"/>
          <w:szCs w:val="24"/>
        </w:rPr>
        <w:t>台</w:t>
      </w:r>
      <w:r>
        <w:rPr>
          <w:rFonts w:ascii="Calibri" w:hAnsi="Calibri" w:hint="eastAsia"/>
          <w:color w:val="auto"/>
          <w:kern w:val="2"/>
          <w:sz w:val="24"/>
          <w:szCs w:val="24"/>
        </w:rPr>
        <w:t>（</w:t>
      </w:r>
      <w:r w:rsidRPr="00891396">
        <w:rPr>
          <w:rFonts w:ascii="Calibri" w:hAnsi="Calibri" w:hint="eastAsia"/>
          <w:color w:val="auto"/>
          <w:kern w:val="2"/>
          <w:sz w:val="24"/>
          <w:szCs w:val="24"/>
        </w:rPr>
        <w:t>3</w:t>
      </w:r>
      <w:r w:rsidRPr="00891396">
        <w:rPr>
          <w:rFonts w:ascii="Calibri" w:hAnsi="Calibri" w:hint="eastAsia"/>
          <w:color w:val="auto"/>
          <w:kern w:val="2"/>
          <w:sz w:val="24"/>
          <w:szCs w:val="24"/>
        </w:rPr>
        <w:t>用</w:t>
      </w:r>
      <w:r w:rsidRPr="00891396">
        <w:rPr>
          <w:rFonts w:ascii="Calibri" w:hAnsi="Calibri" w:hint="eastAsia"/>
          <w:color w:val="auto"/>
          <w:kern w:val="2"/>
          <w:sz w:val="24"/>
          <w:szCs w:val="24"/>
        </w:rPr>
        <w:t>1</w:t>
      </w:r>
      <w:r w:rsidRPr="00891396">
        <w:rPr>
          <w:rFonts w:ascii="Calibri" w:hAnsi="Calibri" w:hint="eastAsia"/>
          <w:color w:val="auto"/>
          <w:kern w:val="2"/>
          <w:sz w:val="24"/>
          <w:szCs w:val="24"/>
        </w:rPr>
        <w:t>备</w:t>
      </w:r>
      <w:r>
        <w:rPr>
          <w:rFonts w:ascii="Calibri" w:hAnsi="Calibri" w:hint="eastAsia"/>
          <w:color w:val="auto"/>
          <w:kern w:val="2"/>
          <w:sz w:val="24"/>
          <w:szCs w:val="24"/>
        </w:rPr>
        <w:t>）</w:t>
      </w:r>
      <w:r w:rsidR="00C405F4" w:rsidRPr="00C405F4">
        <w:rPr>
          <w:rFonts w:ascii="Calibri" w:hAnsi="Calibri" w:hint="eastAsia"/>
          <w:color w:val="auto"/>
          <w:kern w:val="2"/>
          <w:sz w:val="24"/>
          <w:szCs w:val="24"/>
        </w:rPr>
        <w:t>，单台最大工作压力</w:t>
      </w:r>
      <w:r w:rsidR="001A4912">
        <w:rPr>
          <w:rFonts w:ascii="Calibri" w:hAnsi="Calibri" w:hint="eastAsia"/>
          <w:color w:val="auto"/>
          <w:kern w:val="2"/>
          <w:sz w:val="24"/>
          <w:szCs w:val="24"/>
        </w:rPr>
        <w:t>1.4</w:t>
      </w:r>
      <w:r w:rsidR="00C405F4" w:rsidRPr="00C405F4">
        <w:rPr>
          <w:rFonts w:ascii="Calibri" w:hAnsi="Calibri" w:hint="eastAsia"/>
          <w:color w:val="auto"/>
          <w:kern w:val="2"/>
          <w:sz w:val="24"/>
          <w:szCs w:val="24"/>
        </w:rPr>
        <w:t>MPa</w:t>
      </w:r>
      <w:r w:rsidR="00C405F4" w:rsidRPr="00C405F4">
        <w:rPr>
          <w:rFonts w:ascii="Calibri" w:hAnsi="Calibri" w:hint="eastAsia"/>
          <w:color w:val="auto"/>
          <w:kern w:val="2"/>
          <w:sz w:val="24"/>
          <w:szCs w:val="24"/>
        </w:rPr>
        <w:t>、最大排气量</w:t>
      </w:r>
      <w:r w:rsidR="001A4912">
        <w:rPr>
          <w:rFonts w:ascii="Calibri" w:hAnsi="Calibri" w:hint="eastAsia"/>
          <w:color w:val="auto"/>
          <w:kern w:val="2"/>
          <w:sz w:val="24"/>
          <w:szCs w:val="24"/>
        </w:rPr>
        <w:t>46</w:t>
      </w:r>
      <w:r w:rsidR="00C405F4" w:rsidRPr="00C405F4">
        <w:rPr>
          <w:rFonts w:ascii="Calibri" w:hAnsi="Calibri" w:hint="eastAsia"/>
          <w:color w:val="auto"/>
          <w:kern w:val="2"/>
          <w:sz w:val="24"/>
          <w:szCs w:val="24"/>
        </w:rPr>
        <w:t>m</w:t>
      </w:r>
      <w:r w:rsidR="00C405F4" w:rsidRPr="006B496C">
        <w:rPr>
          <w:rFonts w:ascii="Calibri" w:hAnsi="Calibri" w:hint="eastAsia"/>
          <w:color w:val="auto"/>
          <w:kern w:val="2"/>
          <w:sz w:val="24"/>
          <w:szCs w:val="24"/>
          <w:vertAlign w:val="superscript"/>
        </w:rPr>
        <w:t>3</w:t>
      </w:r>
      <w:r w:rsidR="00C405F4" w:rsidRPr="00C405F4">
        <w:rPr>
          <w:rFonts w:ascii="Calibri" w:hAnsi="Calibri" w:hint="eastAsia"/>
          <w:color w:val="auto"/>
          <w:kern w:val="2"/>
          <w:sz w:val="24"/>
          <w:szCs w:val="24"/>
        </w:rPr>
        <w:t>/min</w:t>
      </w:r>
      <w:r w:rsidR="00C405F4" w:rsidRPr="00C405F4">
        <w:rPr>
          <w:rFonts w:ascii="Calibri" w:hAnsi="Calibri" w:hint="eastAsia"/>
          <w:color w:val="auto"/>
          <w:kern w:val="2"/>
          <w:sz w:val="24"/>
          <w:szCs w:val="24"/>
        </w:rPr>
        <w:t>；</w:t>
      </w:r>
      <w:r>
        <w:rPr>
          <w:rFonts w:ascii="Calibri" w:hAnsi="Calibri" w:hint="eastAsia"/>
          <w:color w:val="auto"/>
          <w:kern w:val="2"/>
          <w:sz w:val="24"/>
          <w:szCs w:val="24"/>
        </w:rPr>
        <w:t>二期</w:t>
      </w:r>
      <w:r w:rsidRPr="00C405F4">
        <w:rPr>
          <w:rFonts w:ascii="Calibri" w:hAnsi="Calibri" w:hint="eastAsia"/>
          <w:color w:val="auto"/>
          <w:kern w:val="2"/>
          <w:sz w:val="24"/>
          <w:szCs w:val="24"/>
        </w:rPr>
        <w:t>拟建螺杆空气压缩机</w:t>
      </w:r>
      <w:r>
        <w:rPr>
          <w:rFonts w:ascii="Calibri" w:hAnsi="Calibri"/>
          <w:color w:val="auto"/>
          <w:kern w:val="2"/>
          <w:sz w:val="24"/>
          <w:szCs w:val="24"/>
        </w:rPr>
        <w:t>2</w:t>
      </w:r>
      <w:r w:rsidRPr="00C405F4">
        <w:rPr>
          <w:rFonts w:ascii="Calibri" w:hAnsi="Calibri" w:hint="eastAsia"/>
          <w:color w:val="auto"/>
          <w:kern w:val="2"/>
          <w:sz w:val="24"/>
          <w:szCs w:val="24"/>
        </w:rPr>
        <w:t>台，单台最大工作压力</w:t>
      </w:r>
      <w:r w:rsidR="001A4912">
        <w:rPr>
          <w:rFonts w:ascii="Calibri" w:hAnsi="Calibri" w:hint="eastAsia"/>
          <w:color w:val="auto"/>
          <w:kern w:val="2"/>
          <w:sz w:val="24"/>
          <w:szCs w:val="24"/>
        </w:rPr>
        <w:t>1.4</w:t>
      </w:r>
      <w:r w:rsidRPr="00C405F4">
        <w:rPr>
          <w:rFonts w:ascii="Calibri" w:hAnsi="Calibri" w:hint="eastAsia"/>
          <w:color w:val="auto"/>
          <w:kern w:val="2"/>
          <w:sz w:val="24"/>
          <w:szCs w:val="24"/>
        </w:rPr>
        <w:t>MPa</w:t>
      </w:r>
      <w:r w:rsidRPr="00C405F4">
        <w:rPr>
          <w:rFonts w:ascii="Calibri" w:hAnsi="Calibri" w:hint="eastAsia"/>
          <w:color w:val="auto"/>
          <w:kern w:val="2"/>
          <w:sz w:val="24"/>
          <w:szCs w:val="24"/>
        </w:rPr>
        <w:t>、最大排气量</w:t>
      </w:r>
      <w:r w:rsidR="001A4912">
        <w:rPr>
          <w:rFonts w:ascii="Calibri" w:hAnsi="Calibri" w:hint="eastAsia"/>
          <w:color w:val="auto"/>
          <w:kern w:val="2"/>
          <w:sz w:val="24"/>
          <w:szCs w:val="24"/>
        </w:rPr>
        <w:t>46</w:t>
      </w:r>
      <w:r w:rsidRPr="00C405F4">
        <w:rPr>
          <w:rFonts w:ascii="Calibri" w:hAnsi="Calibri" w:hint="eastAsia"/>
          <w:color w:val="auto"/>
          <w:kern w:val="2"/>
          <w:sz w:val="24"/>
          <w:szCs w:val="24"/>
        </w:rPr>
        <w:t>m</w:t>
      </w:r>
      <w:r w:rsidRPr="006B496C">
        <w:rPr>
          <w:rFonts w:ascii="Calibri" w:hAnsi="Calibri" w:hint="eastAsia"/>
          <w:color w:val="auto"/>
          <w:kern w:val="2"/>
          <w:sz w:val="24"/>
          <w:szCs w:val="24"/>
          <w:vertAlign w:val="superscript"/>
        </w:rPr>
        <w:t>3</w:t>
      </w:r>
      <w:r w:rsidRPr="00C405F4">
        <w:rPr>
          <w:rFonts w:ascii="Calibri" w:hAnsi="Calibri" w:hint="eastAsia"/>
          <w:color w:val="auto"/>
          <w:kern w:val="2"/>
          <w:sz w:val="24"/>
          <w:szCs w:val="24"/>
        </w:rPr>
        <w:t>/min</w:t>
      </w:r>
      <w:r w:rsidRPr="00C405F4">
        <w:rPr>
          <w:rFonts w:ascii="Calibri" w:hAnsi="Calibri" w:hint="eastAsia"/>
          <w:color w:val="auto"/>
          <w:kern w:val="2"/>
          <w:sz w:val="24"/>
          <w:szCs w:val="24"/>
        </w:rPr>
        <w:t>；</w:t>
      </w:r>
    </w:p>
    <w:p w14:paraId="3C1AD657" w14:textId="77777777" w:rsidR="001D3D21" w:rsidRPr="001D3D21" w:rsidRDefault="00C405F4" w:rsidP="001D3D21">
      <w:pPr>
        <w:pStyle w:val="p15"/>
        <w:spacing w:line="520" w:lineRule="atLeast"/>
        <w:ind w:firstLine="482"/>
        <w:rPr>
          <w:rFonts w:ascii="Calibri" w:hAnsi="Calibri"/>
          <w:b/>
          <w:color w:val="auto"/>
          <w:kern w:val="2"/>
          <w:sz w:val="24"/>
          <w:szCs w:val="24"/>
          <w:u w:val="single"/>
        </w:rPr>
      </w:pPr>
      <w:r w:rsidRPr="001D3D21">
        <w:rPr>
          <w:rFonts w:ascii="Calibri" w:hAnsi="Calibri" w:hint="eastAsia"/>
          <w:b/>
          <w:color w:val="auto"/>
          <w:kern w:val="2"/>
          <w:sz w:val="24"/>
          <w:szCs w:val="24"/>
          <w:u w:val="single"/>
        </w:rPr>
        <w:t>氮气系统：本次动力站</w:t>
      </w:r>
      <w:r w:rsidR="00891396" w:rsidRPr="001D3D21">
        <w:rPr>
          <w:rFonts w:ascii="Calibri" w:hAnsi="Calibri" w:hint="eastAsia"/>
          <w:b/>
          <w:color w:val="auto"/>
          <w:kern w:val="2"/>
          <w:sz w:val="24"/>
          <w:szCs w:val="24"/>
          <w:u w:val="single"/>
        </w:rPr>
        <w:t>一期工程</w:t>
      </w:r>
      <w:r w:rsidRPr="001D3D21">
        <w:rPr>
          <w:rFonts w:ascii="Calibri" w:hAnsi="Calibri" w:hint="eastAsia"/>
          <w:b/>
          <w:color w:val="auto"/>
          <w:kern w:val="2"/>
          <w:sz w:val="24"/>
          <w:szCs w:val="24"/>
          <w:u w:val="single"/>
        </w:rPr>
        <w:t>拟建吸附式制氮机</w:t>
      </w:r>
      <w:r w:rsidRPr="001D3D21">
        <w:rPr>
          <w:rFonts w:ascii="Calibri" w:hAnsi="Calibri"/>
          <w:b/>
          <w:color w:val="auto"/>
          <w:kern w:val="2"/>
          <w:sz w:val="24"/>
          <w:szCs w:val="24"/>
          <w:u w:val="single"/>
        </w:rPr>
        <w:t>1</w:t>
      </w:r>
      <w:r w:rsidRPr="001D3D21">
        <w:rPr>
          <w:rFonts w:ascii="Calibri" w:hAnsi="Calibri" w:hint="eastAsia"/>
          <w:b/>
          <w:color w:val="auto"/>
          <w:kern w:val="2"/>
          <w:sz w:val="24"/>
          <w:szCs w:val="24"/>
          <w:u w:val="single"/>
        </w:rPr>
        <w:t>台</w:t>
      </w:r>
      <w:r w:rsidR="00891396" w:rsidRPr="001D3D21">
        <w:rPr>
          <w:rFonts w:ascii="Calibri" w:hAnsi="Calibri" w:hint="eastAsia"/>
          <w:b/>
          <w:color w:val="auto"/>
          <w:kern w:val="2"/>
          <w:sz w:val="24"/>
          <w:szCs w:val="24"/>
          <w:u w:val="single"/>
        </w:rPr>
        <w:t>（一期</w:t>
      </w:r>
      <w:r w:rsidR="00891396" w:rsidRPr="001D3D21">
        <w:rPr>
          <w:rFonts w:ascii="Calibri" w:hAnsi="Calibri"/>
          <w:b/>
          <w:color w:val="auto"/>
          <w:kern w:val="2"/>
          <w:sz w:val="24"/>
          <w:szCs w:val="24"/>
          <w:u w:val="single"/>
        </w:rPr>
        <w:t>、二期共用</w:t>
      </w:r>
      <w:r w:rsidR="00891396" w:rsidRPr="001D3D21">
        <w:rPr>
          <w:rFonts w:ascii="Calibri" w:hAnsi="Calibri" w:hint="eastAsia"/>
          <w:b/>
          <w:color w:val="auto"/>
          <w:kern w:val="2"/>
          <w:sz w:val="24"/>
          <w:szCs w:val="24"/>
          <w:u w:val="single"/>
        </w:rPr>
        <w:t>）</w:t>
      </w:r>
      <w:r w:rsidRPr="001D3D21">
        <w:rPr>
          <w:rFonts w:ascii="Calibri" w:hAnsi="Calibri" w:hint="eastAsia"/>
          <w:b/>
          <w:color w:val="auto"/>
          <w:kern w:val="2"/>
          <w:sz w:val="24"/>
          <w:szCs w:val="24"/>
          <w:u w:val="single"/>
        </w:rPr>
        <w:t>，制氮纯度</w:t>
      </w:r>
      <w:r w:rsidR="005D56B8" w:rsidRPr="001D3D21">
        <w:rPr>
          <w:rFonts w:ascii="Calibri" w:hAnsi="Calibri" w:hint="eastAsia"/>
          <w:b/>
          <w:color w:val="auto"/>
          <w:kern w:val="2"/>
          <w:sz w:val="24"/>
          <w:szCs w:val="24"/>
          <w:u w:val="single"/>
        </w:rPr>
        <w:t>为</w:t>
      </w:r>
      <w:r w:rsidR="005D56B8" w:rsidRPr="001D3D21">
        <w:rPr>
          <w:rFonts w:ascii="Calibri" w:hAnsi="Calibri" w:hint="eastAsia"/>
          <w:b/>
          <w:color w:val="auto"/>
          <w:kern w:val="2"/>
          <w:sz w:val="24"/>
          <w:szCs w:val="24"/>
          <w:u w:val="single"/>
        </w:rPr>
        <w:t>99</w:t>
      </w:r>
      <w:r w:rsidRPr="001D3D21">
        <w:rPr>
          <w:rFonts w:ascii="Calibri" w:hAnsi="Calibri" w:hint="eastAsia"/>
          <w:b/>
          <w:color w:val="auto"/>
          <w:kern w:val="2"/>
          <w:sz w:val="24"/>
          <w:szCs w:val="24"/>
          <w:u w:val="single"/>
        </w:rPr>
        <w:t>%</w:t>
      </w:r>
      <w:r w:rsidRPr="001D3D21">
        <w:rPr>
          <w:rFonts w:ascii="Calibri" w:hAnsi="Calibri" w:hint="eastAsia"/>
          <w:b/>
          <w:color w:val="auto"/>
          <w:kern w:val="2"/>
          <w:sz w:val="24"/>
          <w:szCs w:val="24"/>
          <w:u w:val="single"/>
        </w:rPr>
        <w:t>，产气量</w:t>
      </w:r>
      <w:r w:rsidR="005D56B8" w:rsidRPr="001D3D21">
        <w:rPr>
          <w:rFonts w:ascii="Calibri" w:hAnsi="Calibri"/>
          <w:b/>
          <w:color w:val="auto"/>
          <w:kern w:val="2"/>
          <w:sz w:val="24"/>
          <w:szCs w:val="24"/>
          <w:u w:val="single"/>
        </w:rPr>
        <w:t>8</w:t>
      </w:r>
      <w:r w:rsidRPr="001D3D21">
        <w:rPr>
          <w:rFonts w:ascii="Calibri" w:hAnsi="Calibri" w:hint="eastAsia"/>
          <w:b/>
          <w:color w:val="auto"/>
          <w:kern w:val="2"/>
          <w:sz w:val="24"/>
          <w:szCs w:val="24"/>
          <w:u w:val="single"/>
        </w:rPr>
        <w:t>m</w:t>
      </w:r>
      <w:r w:rsidRPr="001D3D21">
        <w:rPr>
          <w:rFonts w:ascii="Calibri" w:hAnsi="Calibri" w:hint="eastAsia"/>
          <w:b/>
          <w:color w:val="auto"/>
          <w:kern w:val="2"/>
          <w:sz w:val="24"/>
          <w:szCs w:val="24"/>
          <w:u w:val="single"/>
        </w:rPr>
        <w:t>³</w:t>
      </w:r>
      <w:r w:rsidRPr="001D3D21">
        <w:rPr>
          <w:rFonts w:ascii="Calibri" w:hAnsi="Calibri" w:hint="eastAsia"/>
          <w:b/>
          <w:color w:val="auto"/>
          <w:kern w:val="2"/>
          <w:sz w:val="24"/>
          <w:szCs w:val="24"/>
          <w:u w:val="single"/>
        </w:rPr>
        <w:t>/h</w:t>
      </w:r>
      <w:r w:rsidRPr="001D3D21">
        <w:rPr>
          <w:rFonts w:ascii="Calibri" w:hAnsi="Calibri" w:hint="eastAsia"/>
          <w:b/>
          <w:color w:val="auto"/>
          <w:kern w:val="2"/>
          <w:sz w:val="24"/>
          <w:szCs w:val="24"/>
          <w:u w:val="single"/>
        </w:rPr>
        <w:t>，露点≤</w:t>
      </w:r>
      <w:r w:rsidRPr="001D3D21">
        <w:rPr>
          <w:rFonts w:ascii="Calibri" w:hAnsi="Calibri" w:hint="eastAsia"/>
          <w:b/>
          <w:color w:val="auto"/>
          <w:kern w:val="2"/>
          <w:sz w:val="24"/>
          <w:szCs w:val="24"/>
          <w:u w:val="single"/>
        </w:rPr>
        <w:t>-</w:t>
      </w:r>
      <w:r w:rsidR="005D56B8" w:rsidRPr="001D3D21">
        <w:rPr>
          <w:rFonts w:ascii="Calibri" w:hAnsi="Calibri"/>
          <w:b/>
          <w:color w:val="auto"/>
          <w:kern w:val="2"/>
          <w:sz w:val="24"/>
          <w:szCs w:val="24"/>
          <w:u w:val="single"/>
        </w:rPr>
        <w:t>2</w:t>
      </w:r>
      <w:r w:rsidRPr="001D3D21">
        <w:rPr>
          <w:rFonts w:ascii="Calibri" w:hAnsi="Calibri" w:hint="eastAsia"/>
          <w:b/>
          <w:color w:val="auto"/>
          <w:kern w:val="2"/>
          <w:sz w:val="24"/>
          <w:szCs w:val="24"/>
          <w:u w:val="single"/>
        </w:rPr>
        <w:t>℃；</w:t>
      </w:r>
      <w:r w:rsidR="001D3D21" w:rsidRPr="001D3D21">
        <w:rPr>
          <w:rFonts w:ascii="Calibri" w:hAnsi="Calibri" w:hint="eastAsia"/>
          <w:b/>
          <w:color w:val="auto"/>
          <w:kern w:val="2"/>
          <w:sz w:val="24"/>
          <w:szCs w:val="24"/>
          <w:u w:val="single"/>
        </w:rPr>
        <w:t>空分制氮设备是采用变压吸附原理，利用碳分子筛从空气中提取氮气的装置。变压吸附制氮机的吸附罐，在压力高时，碳分子筛吸附空气中的氧，而不易被吸附的氮气成为产品；在压力低时，氧从碳分子筛中脱附出来。利用压力的变化，就能有效地从空气中分离出所需要的氮气。</w:t>
      </w:r>
      <w:r w:rsidR="001D3D21" w:rsidRPr="001D3D21">
        <w:rPr>
          <w:rFonts w:ascii="宋体" w:hAnsi="宋体" w:hint="eastAsia"/>
          <w:b/>
          <w:sz w:val="24"/>
          <w:szCs w:val="24"/>
          <w:u w:val="single"/>
        </w:rPr>
        <w:t>碳分子筛吸附的氧气通过排气阀降压释放回大气当中。</w:t>
      </w:r>
      <w:r w:rsidR="00EE25A1" w:rsidRPr="001D3D21">
        <w:rPr>
          <w:rFonts w:ascii="Calibri" w:hAnsi="Calibri"/>
          <w:b/>
          <w:color w:val="auto"/>
          <w:kern w:val="2"/>
          <w:sz w:val="24"/>
          <w:szCs w:val="24"/>
          <w:u w:val="single"/>
        </w:rPr>
        <w:t xml:space="preserve"> </w:t>
      </w:r>
    </w:p>
    <w:p w14:paraId="6C9DA470" w14:textId="77777777" w:rsidR="00C405F4" w:rsidRPr="00FD241A" w:rsidRDefault="00C405F4" w:rsidP="00891396">
      <w:pPr>
        <w:pStyle w:val="p15"/>
        <w:spacing w:line="520" w:lineRule="atLeast"/>
        <w:ind w:firstLine="480"/>
        <w:rPr>
          <w:rFonts w:ascii="Calibri" w:hAnsi="Calibri"/>
          <w:color w:val="auto"/>
          <w:kern w:val="2"/>
          <w:sz w:val="24"/>
          <w:szCs w:val="24"/>
        </w:rPr>
      </w:pPr>
      <w:r w:rsidRPr="00C405F4">
        <w:rPr>
          <w:rFonts w:ascii="Calibri" w:hAnsi="Calibri" w:hint="eastAsia"/>
          <w:color w:val="auto"/>
          <w:kern w:val="2"/>
          <w:sz w:val="24"/>
          <w:szCs w:val="24"/>
        </w:rPr>
        <w:t>纯水制备：本次动力站</w:t>
      </w:r>
      <w:r w:rsidR="00891396">
        <w:rPr>
          <w:rFonts w:ascii="Calibri" w:hAnsi="Calibri" w:hint="eastAsia"/>
          <w:color w:val="auto"/>
          <w:kern w:val="2"/>
          <w:sz w:val="24"/>
          <w:szCs w:val="24"/>
        </w:rPr>
        <w:t>一期工程</w:t>
      </w:r>
      <w:r w:rsidRPr="00C405F4">
        <w:rPr>
          <w:rFonts w:ascii="Calibri" w:hAnsi="Calibri" w:hint="eastAsia"/>
          <w:color w:val="auto"/>
          <w:kern w:val="2"/>
          <w:sz w:val="24"/>
          <w:szCs w:val="24"/>
        </w:rPr>
        <w:t>拟建高纯水制备系统</w:t>
      </w:r>
      <w:r w:rsidR="00FD241A">
        <w:rPr>
          <w:rFonts w:ascii="Calibri" w:hAnsi="Calibri"/>
          <w:color w:val="auto"/>
          <w:kern w:val="2"/>
          <w:sz w:val="24"/>
          <w:szCs w:val="24"/>
        </w:rPr>
        <w:t>1</w:t>
      </w:r>
      <w:r w:rsidRPr="00C405F4">
        <w:rPr>
          <w:rFonts w:ascii="Calibri" w:hAnsi="Calibri" w:hint="eastAsia"/>
          <w:color w:val="auto"/>
          <w:kern w:val="2"/>
          <w:sz w:val="24"/>
          <w:szCs w:val="24"/>
        </w:rPr>
        <w:t>套</w:t>
      </w:r>
      <w:r w:rsidR="00891396">
        <w:rPr>
          <w:rFonts w:ascii="Calibri" w:hAnsi="Calibri" w:hint="eastAsia"/>
          <w:color w:val="auto"/>
          <w:kern w:val="2"/>
          <w:sz w:val="24"/>
          <w:szCs w:val="24"/>
        </w:rPr>
        <w:t>（一期</w:t>
      </w:r>
      <w:r w:rsidR="00891396">
        <w:rPr>
          <w:rFonts w:ascii="Calibri" w:hAnsi="Calibri"/>
          <w:color w:val="auto"/>
          <w:kern w:val="2"/>
          <w:sz w:val="24"/>
          <w:szCs w:val="24"/>
        </w:rPr>
        <w:t>、二期共用</w:t>
      </w:r>
      <w:r w:rsidR="00891396">
        <w:rPr>
          <w:rFonts w:ascii="Calibri" w:hAnsi="Calibri" w:hint="eastAsia"/>
          <w:color w:val="auto"/>
          <w:kern w:val="2"/>
          <w:sz w:val="24"/>
          <w:szCs w:val="24"/>
        </w:rPr>
        <w:t>）</w:t>
      </w:r>
      <w:r w:rsidRPr="00C405F4">
        <w:rPr>
          <w:rFonts w:ascii="Calibri" w:hAnsi="Calibri" w:hint="eastAsia"/>
          <w:color w:val="auto"/>
          <w:kern w:val="2"/>
          <w:sz w:val="24"/>
          <w:szCs w:val="24"/>
        </w:rPr>
        <w:t>，制水能力为</w:t>
      </w:r>
      <w:r w:rsidR="00FD241A">
        <w:rPr>
          <w:rFonts w:ascii="Calibri" w:hAnsi="Calibri"/>
          <w:color w:val="auto"/>
          <w:kern w:val="2"/>
          <w:sz w:val="24"/>
          <w:szCs w:val="24"/>
        </w:rPr>
        <w:t>3</w:t>
      </w:r>
      <w:r w:rsidRPr="00C405F4">
        <w:rPr>
          <w:rFonts w:ascii="Calibri" w:hAnsi="Calibri" w:hint="eastAsia"/>
          <w:color w:val="auto"/>
          <w:kern w:val="2"/>
          <w:sz w:val="24"/>
          <w:szCs w:val="24"/>
        </w:rPr>
        <w:t>t/h</w:t>
      </w:r>
      <w:r w:rsidR="00FD241A">
        <w:rPr>
          <w:rFonts w:ascii="Calibri" w:hAnsi="Calibri" w:hint="eastAsia"/>
          <w:color w:val="auto"/>
          <w:kern w:val="2"/>
          <w:sz w:val="24"/>
          <w:szCs w:val="24"/>
        </w:rPr>
        <w:t>，</w:t>
      </w:r>
      <w:r w:rsidR="00FD241A" w:rsidRPr="00A964FF">
        <w:rPr>
          <w:rFonts w:ascii="Calibri" w:hAnsi="Calibri" w:hint="eastAsia"/>
          <w:color w:val="auto"/>
          <w:kern w:val="2"/>
          <w:sz w:val="24"/>
          <w:szCs w:val="24"/>
        </w:rPr>
        <w:t>采用</w:t>
      </w:r>
      <w:r w:rsidR="00FD241A">
        <w:rPr>
          <w:rFonts w:ascii="Calibri" w:hAnsi="Calibri" w:hint="eastAsia"/>
          <w:color w:val="auto"/>
          <w:kern w:val="2"/>
          <w:sz w:val="24"/>
          <w:szCs w:val="24"/>
        </w:rPr>
        <w:t>预处理</w:t>
      </w:r>
      <w:r w:rsidR="00FD241A" w:rsidRPr="00A964FF">
        <w:rPr>
          <w:rFonts w:ascii="Calibri" w:hAnsi="Calibri" w:hint="eastAsia"/>
          <w:color w:val="auto"/>
          <w:kern w:val="2"/>
          <w:sz w:val="24"/>
          <w:szCs w:val="24"/>
        </w:rPr>
        <w:t>+</w:t>
      </w:r>
      <w:r w:rsidR="00FD241A">
        <w:rPr>
          <w:rFonts w:ascii="Calibri" w:hAnsi="Calibri" w:hint="eastAsia"/>
          <w:color w:val="auto"/>
          <w:kern w:val="2"/>
          <w:sz w:val="24"/>
          <w:szCs w:val="24"/>
        </w:rPr>
        <w:t>一级反渗透</w:t>
      </w:r>
      <w:r w:rsidR="00FD241A" w:rsidRPr="00A964FF">
        <w:rPr>
          <w:rFonts w:ascii="Calibri" w:hAnsi="Calibri" w:hint="eastAsia"/>
          <w:color w:val="auto"/>
          <w:kern w:val="2"/>
          <w:sz w:val="24"/>
          <w:szCs w:val="24"/>
        </w:rPr>
        <w:t>+</w:t>
      </w:r>
      <w:r w:rsidR="00FD241A">
        <w:rPr>
          <w:rFonts w:ascii="Calibri" w:hAnsi="Calibri" w:hint="eastAsia"/>
          <w:color w:val="auto"/>
          <w:kern w:val="2"/>
          <w:sz w:val="24"/>
          <w:szCs w:val="24"/>
        </w:rPr>
        <w:t>二级反渗透</w:t>
      </w:r>
      <w:r w:rsidR="00FD241A" w:rsidRPr="00A964FF">
        <w:rPr>
          <w:rFonts w:ascii="Calibri" w:hAnsi="Calibri" w:hint="eastAsia"/>
          <w:color w:val="auto"/>
          <w:kern w:val="2"/>
          <w:sz w:val="24"/>
          <w:szCs w:val="24"/>
        </w:rPr>
        <w:t>。</w:t>
      </w:r>
      <w:r w:rsidR="00FD241A" w:rsidRPr="001E5955">
        <w:rPr>
          <w:rFonts w:ascii="Calibri" w:hAnsi="Calibri"/>
          <w:color w:val="auto"/>
          <w:kern w:val="2"/>
          <w:sz w:val="24"/>
          <w:szCs w:val="24"/>
        </w:rPr>
        <w:t>预处理单元主要由多介质过滤器、软化器和活性炭过滤器组成。</w:t>
      </w:r>
    </w:p>
    <w:p w14:paraId="76BA5EE9" w14:textId="77777777" w:rsidR="00C405F4" w:rsidRDefault="00FD241A" w:rsidP="00485A51">
      <w:pPr>
        <w:pStyle w:val="p15"/>
        <w:widowControl w:val="0"/>
        <w:spacing w:line="520" w:lineRule="atLeast"/>
        <w:ind w:firstLine="482"/>
        <w:rPr>
          <w:rFonts w:ascii="Calibri" w:hAnsi="Calibri"/>
          <w:b/>
          <w:color w:val="auto"/>
          <w:kern w:val="2"/>
          <w:sz w:val="24"/>
          <w:szCs w:val="24"/>
        </w:rPr>
      </w:pPr>
      <w:r>
        <w:rPr>
          <w:rFonts w:ascii="Calibri" w:hAnsi="Calibri"/>
          <w:b/>
          <w:color w:val="auto"/>
          <w:kern w:val="2"/>
          <w:sz w:val="24"/>
          <w:szCs w:val="24"/>
        </w:rPr>
        <w:t>7</w:t>
      </w:r>
      <w:r w:rsidRPr="00EA4888">
        <w:rPr>
          <w:rFonts w:ascii="Calibri" w:hAnsi="Calibri" w:hint="eastAsia"/>
          <w:b/>
          <w:color w:val="auto"/>
          <w:kern w:val="2"/>
          <w:sz w:val="24"/>
          <w:szCs w:val="24"/>
        </w:rPr>
        <w:t>、</w:t>
      </w:r>
      <w:r w:rsidRPr="00FD241A">
        <w:rPr>
          <w:rFonts w:ascii="Calibri" w:hAnsi="Calibri" w:hint="eastAsia"/>
          <w:b/>
          <w:color w:val="auto"/>
          <w:kern w:val="2"/>
          <w:sz w:val="24"/>
          <w:szCs w:val="24"/>
        </w:rPr>
        <w:t>中央控制室</w:t>
      </w:r>
    </w:p>
    <w:p w14:paraId="66D80528" w14:textId="77777777" w:rsidR="00C405F4" w:rsidRPr="00FD241A" w:rsidRDefault="00FD241A" w:rsidP="00FD241A">
      <w:pPr>
        <w:pStyle w:val="p15"/>
        <w:widowControl w:val="0"/>
        <w:spacing w:line="520" w:lineRule="atLeast"/>
        <w:ind w:firstLine="482"/>
        <w:rPr>
          <w:rFonts w:ascii="Calibri" w:hAnsi="Calibri"/>
          <w:color w:val="auto"/>
          <w:kern w:val="2"/>
          <w:sz w:val="24"/>
          <w:szCs w:val="24"/>
        </w:rPr>
      </w:pPr>
      <w:r w:rsidRPr="00FD241A">
        <w:rPr>
          <w:rFonts w:ascii="Calibri" w:hAnsi="Calibri" w:hint="eastAsia"/>
          <w:color w:val="auto"/>
          <w:kern w:val="2"/>
          <w:sz w:val="24"/>
          <w:szCs w:val="24"/>
        </w:rPr>
        <w:t>项目新建中央控制室</w:t>
      </w:r>
      <w:r w:rsidRPr="00FD241A">
        <w:rPr>
          <w:rFonts w:ascii="Calibri" w:hAnsi="Calibri" w:hint="eastAsia"/>
          <w:color w:val="auto"/>
          <w:kern w:val="2"/>
          <w:sz w:val="24"/>
          <w:szCs w:val="24"/>
        </w:rPr>
        <w:t>1</w:t>
      </w:r>
      <w:r w:rsidRPr="00FD241A">
        <w:rPr>
          <w:rFonts w:ascii="Calibri" w:hAnsi="Calibri" w:hint="eastAsia"/>
          <w:color w:val="auto"/>
          <w:kern w:val="2"/>
          <w:sz w:val="24"/>
          <w:szCs w:val="24"/>
        </w:rPr>
        <w:t>座，位于</w:t>
      </w:r>
      <w:r>
        <w:rPr>
          <w:rFonts w:ascii="Calibri" w:hAnsi="Calibri" w:hint="eastAsia"/>
          <w:color w:val="auto"/>
          <w:kern w:val="2"/>
          <w:sz w:val="24"/>
          <w:szCs w:val="24"/>
        </w:rPr>
        <w:t>生产车间</w:t>
      </w:r>
      <w:r w:rsidR="001A4912">
        <w:rPr>
          <w:rFonts w:ascii="Calibri" w:hAnsi="Calibri"/>
          <w:color w:val="auto"/>
          <w:kern w:val="2"/>
          <w:sz w:val="24"/>
          <w:szCs w:val="24"/>
        </w:rPr>
        <w:t>1</w:t>
      </w:r>
      <w:r>
        <w:rPr>
          <w:rFonts w:ascii="Calibri" w:hAnsi="Calibri"/>
          <w:color w:val="auto"/>
          <w:kern w:val="2"/>
          <w:sz w:val="24"/>
          <w:szCs w:val="24"/>
        </w:rPr>
        <w:t>F</w:t>
      </w:r>
      <w:r w:rsidRPr="00FD241A">
        <w:rPr>
          <w:rFonts w:ascii="Calibri" w:hAnsi="Calibri" w:hint="eastAsia"/>
          <w:color w:val="auto"/>
          <w:kern w:val="2"/>
          <w:sz w:val="24"/>
          <w:szCs w:val="24"/>
        </w:rPr>
        <w:t>，占地面积</w:t>
      </w:r>
      <w:r>
        <w:rPr>
          <w:rFonts w:ascii="Calibri" w:hAnsi="Calibri"/>
          <w:color w:val="auto"/>
          <w:kern w:val="2"/>
          <w:sz w:val="24"/>
          <w:szCs w:val="24"/>
        </w:rPr>
        <w:t>2</w:t>
      </w:r>
      <w:r w:rsidRPr="00FD241A">
        <w:rPr>
          <w:rFonts w:ascii="Calibri" w:hAnsi="Calibri" w:hint="eastAsia"/>
          <w:color w:val="auto"/>
          <w:kern w:val="2"/>
          <w:sz w:val="24"/>
          <w:szCs w:val="24"/>
        </w:rPr>
        <w:t>00m</w:t>
      </w:r>
      <w:r w:rsidRPr="00FD241A">
        <w:rPr>
          <w:rFonts w:ascii="Calibri" w:hAnsi="Calibri" w:hint="eastAsia"/>
          <w:color w:val="auto"/>
          <w:kern w:val="2"/>
          <w:sz w:val="24"/>
          <w:szCs w:val="24"/>
          <w:vertAlign w:val="superscript"/>
        </w:rPr>
        <w:t>2</w:t>
      </w:r>
      <w:r w:rsidRPr="00FD241A">
        <w:rPr>
          <w:rFonts w:ascii="Calibri" w:hAnsi="Calibri" w:hint="eastAsia"/>
          <w:color w:val="auto"/>
          <w:kern w:val="2"/>
          <w:sz w:val="24"/>
          <w:szCs w:val="24"/>
        </w:rPr>
        <w:t>，主要用于全厂生产自动控制。</w:t>
      </w:r>
    </w:p>
    <w:p w14:paraId="084ABAC2" w14:textId="77777777" w:rsidR="004554C2" w:rsidRPr="00A964FF" w:rsidRDefault="004554C2" w:rsidP="004554C2">
      <w:pPr>
        <w:pStyle w:val="ad"/>
        <w:rPr>
          <w:rFonts w:ascii="Calibri" w:hAnsi="Calibri"/>
          <w:color w:val="auto"/>
        </w:rPr>
      </w:pPr>
      <w:r w:rsidRPr="00A964FF">
        <w:rPr>
          <w:rFonts w:ascii="Calibri" w:hAnsi="Calibri" w:hint="eastAsia"/>
          <w:color w:val="auto"/>
        </w:rPr>
        <w:t>2.1.1</w:t>
      </w:r>
      <w:r w:rsidR="004E2EC9">
        <w:rPr>
          <w:rFonts w:ascii="Calibri" w:hAnsi="Calibri"/>
          <w:color w:val="auto"/>
        </w:rPr>
        <w:t>0</w:t>
      </w:r>
      <w:r w:rsidRPr="00A964FF">
        <w:rPr>
          <w:rFonts w:ascii="Calibri" w:hAnsi="Calibri" w:hint="eastAsia"/>
          <w:color w:val="auto"/>
        </w:rPr>
        <w:t>职工定员及工作制度</w:t>
      </w:r>
    </w:p>
    <w:p w14:paraId="35EB552E" w14:textId="77777777" w:rsidR="005C4D45" w:rsidRPr="00A964FF" w:rsidRDefault="005C4D45" w:rsidP="001A4912">
      <w:pPr>
        <w:spacing w:line="520" w:lineRule="exact"/>
        <w:ind w:firstLineChars="200" w:firstLine="480"/>
        <w:rPr>
          <w:rFonts w:ascii="Calibri" w:hAnsi="Calibri"/>
          <w:color w:val="auto"/>
          <w:sz w:val="24"/>
        </w:rPr>
      </w:pPr>
      <w:r w:rsidRPr="00A964FF">
        <w:rPr>
          <w:rFonts w:ascii="Calibri" w:hAnsi="Calibri" w:hint="eastAsia"/>
          <w:color w:val="auto"/>
          <w:sz w:val="24"/>
        </w:rPr>
        <w:t>本项目</w:t>
      </w:r>
      <w:r w:rsidR="00BC0BFE" w:rsidRPr="00A964FF">
        <w:rPr>
          <w:rFonts w:ascii="Calibri" w:hAnsi="Calibri" w:hint="eastAsia"/>
          <w:color w:val="auto"/>
          <w:sz w:val="24"/>
        </w:rPr>
        <w:t>营运后</w:t>
      </w:r>
      <w:r w:rsidRPr="00A964FF">
        <w:rPr>
          <w:rFonts w:ascii="Calibri" w:hAnsi="Calibri" w:hint="eastAsia"/>
          <w:color w:val="auto"/>
          <w:sz w:val="24"/>
        </w:rPr>
        <w:t>实行三</w:t>
      </w:r>
      <w:r w:rsidR="001A4912">
        <w:rPr>
          <w:rFonts w:ascii="Calibri" w:hAnsi="Calibri" w:hint="eastAsia"/>
          <w:color w:val="auto"/>
          <w:sz w:val="24"/>
        </w:rPr>
        <w:t>班</w:t>
      </w:r>
      <w:r w:rsidRPr="00A964FF">
        <w:rPr>
          <w:rFonts w:ascii="Calibri" w:hAnsi="Calibri" w:hint="eastAsia"/>
          <w:color w:val="auto"/>
          <w:sz w:val="24"/>
        </w:rPr>
        <w:t>八小时工作制，</w:t>
      </w:r>
      <w:r w:rsidR="00D35688">
        <w:rPr>
          <w:rFonts w:ascii="Calibri" w:hAnsi="Calibri" w:hint="eastAsia"/>
          <w:color w:val="auto"/>
          <w:sz w:val="24"/>
        </w:rPr>
        <w:t>年工作</w:t>
      </w:r>
      <w:r w:rsidR="00D35688">
        <w:rPr>
          <w:rFonts w:ascii="Calibri" w:hAnsi="Calibri" w:hint="eastAsia"/>
          <w:color w:val="auto"/>
          <w:sz w:val="24"/>
        </w:rPr>
        <w:t>300</w:t>
      </w:r>
      <w:r w:rsidR="00D35688">
        <w:rPr>
          <w:rFonts w:ascii="Calibri" w:hAnsi="Calibri" w:hint="eastAsia"/>
          <w:color w:val="auto"/>
          <w:sz w:val="24"/>
        </w:rPr>
        <w:t>天</w:t>
      </w:r>
      <w:r w:rsidR="00D35688">
        <w:rPr>
          <w:rFonts w:ascii="Calibri" w:hAnsi="Calibri"/>
          <w:color w:val="auto"/>
          <w:sz w:val="24"/>
        </w:rPr>
        <w:t>，</w:t>
      </w:r>
      <w:r w:rsidR="00D35688">
        <w:rPr>
          <w:rFonts w:ascii="Calibri" w:hAnsi="Calibri" w:hint="eastAsia"/>
          <w:color w:val="auto"/>
          <w:sz w:val="24"/>
        </w:rPr>
        <w:t>厂区</w:t>
      </w:r>
      <w:r w:rsidR="00D35688">
        <w:rPr>
          <w:rFonts w:ascii="Calibri" w:hAnsi="Calibri"/>
          <w:color w:val="auto"/>
          <w:sz w:val="24"/>
        </w:rPr>
        <w:t>设有职工食堂</w:t>
      </w:r>
      <w:r w:rsidR="00D35688">
        <w:rPr>
          <w:rFonts w:ascii="Calibri" w:hAnsi="Calibri" w:hint="eastAsia"/>
          <w:color w:val="auto"/>
          <w:sz w:val="24"/>
        </w:rPr>
        <w:t>，</w:t>
      </w:r>
      <w:r w:rsidR="00D35688">
        <w:rPr>
          <w:rFonts w:ascii="Calibri" w:hAnsi="Calibri"/>
          <w:color w:val="auto"/>
          <w:sz w:val="24"/>
        </w:rPr>
        <w:t>不提供</w:t>
      </w:r>
      <w:r w:rsidR="00D35688">
        <w:rPr>
          <w:rFonts w:ascii="Calibri" w:hAnsi="Calibri" w:hint="eastAsia"/>
          <w:color w:val="auto"/>
          <w:sz w:val="24"/>
        </w:rPr>
        <w:t>住宿。</w:t>
      </w:r>
      <w:r w:rsidR="00891396">
        <w:rPr>
          <w:rFonts w:ascii="Calibri" w:hAnsi="Calibri" w:hint="eastAsia"/>
          <w:color w:val="auto"/>
          <w:sz w:val="24"/>
        </w:rPr>
        <w:t>本项目职工定员</w:t>
      </w:r>
      <w:r w:rsidR="00891396">
        <w:rPr>
          <w:rFonts w:ascii="Calibri" w:hAnsi="Calibri"/>
          <w:color w:val="auto"/>
          <w:sz w:val="24"/>
        </w:rPr>
        <w:t>一期工程</w:t>
      </w:r>
      <w:r w:rsidR="00891396">
        <w:rPr>
          <w:rFonts w:ascii="Calibri" w:hAnsi="Calibri" w:hint="eastAsia"/>
          <w:color w:val="auto"/>
          <w:sz w:val="24"/>
        </w:rPr>
        <w:t>总计</w:t>
      </w:r>
      <w:r w:rsidR="00891396">
        <w:rPr>
          <w:rFonts w:ascii="Calibri" w:hAnsi="Calibri"/>
          <w:color w:val="auto"/>
          <w:sz w:val="24"/>
        </w:rPr>
        <w:t>90</w:t>
      </w:r>
      <w:r w:rsidR="00891396">
        <w:rPr>
          <w:rFonts w:ascii="Calibri" w:hAnsi="Calibri" w:hint="eastAsia"/>
          <w:color w:val="auto"/>
          <w:sz w:val="24"/>
        </w:rPr>
        <w:t>人</w:t>
      </w:r>
      <w:r w:rsidR="00891396">
        <w:rPr>
          <w:rFonts w:ascii="Calibri" w:hAnsi="Calibri"/>
          <w:color w:val="auto"/>
          <w:sz w:val="24"/>
        </w:rPr>
        <w:t>，二期</w:t>
      </w:r>
      <w:r w:rsidR="00891396">
        <w:rPr>
          <w:rFonts w:ascii="Calibri" w:hAnsi="Calibri" w:hint="eastAsia"/>
          <w:color w:val="auto"/>
          <w:sz w:val="24"/>
        </w:rPr>
        <w:t>工程</w:t>
      </w:r>
      <w:r w:rsidR="00891396">
        <w:rPr>
          <w:rFonts w:ascii="Calibri" w:hAnsi="Calibri"/>
          <w:color w:val="auto"/>
          <w:sz w:val="24"/>
        </w:rPr>
        <w:t>总计</w:t>
      </w:r>
      <w:r w:rsidR="00891396">
        <w:rPr>
          <w:rFonts w:ascii="Calibri" w:hAnsi="Calibri"/>
          <w:color w:val="auto"/>
          <w:sz w:val="24"/>
        </w:rPr>
        <w:t>30</w:t>
      </w:r>
      <w:r w:rsidR="00891396">
        <w:rPr>
          <w:rFonts w:ascii="Calibri" w:hAnsi="Calibri" w:hint="eastAsia"/>
          <w:color w:val="auto"/>
          <w:sz w:val="24"/>
        </w:rPr>
        <w:t>人</w:t>
      </w:r>
      <w:r w:rsidRPr="005C008F">
        <w:rPr>
          <w:rFonts w:ascii="Calibri" w:hAnsi="Calibri" w:hint="eastAsia"/>
          <w:color w:val="auto"/>
          <w:sz w:val="24"/>
        </w:rPr>
        <w:t>。</w:t>
      </w:r>
    </w:p>
    <w:p w14:paraId="202FA21A" w14:textId="77777777" w:rsidR="007B3ACE" w:rsidRPr="007B3ACE" w:rsidRDefault="004554C2" w:rsidP="007B3ACE">
      <w:pPr>
        <w:pStyle w:val="2"/>
        <w:spacing w:before="200" w:after="100"/>
        <w:rPr>
          <w:rFonts w:ascii="Calibri" w:hAnsi="Calibri"/>
          <w:bCs/>
          <w:color w:val="auto"/>
          <w:szCs w:val="28"/>
        </w:rPr>
      </w:pPr>
      <w:bookmarkStart w:id="44" w:name="_Toc112999905"/>
      <w:r w:rsidRPr="00A964FF">
        <w:rPr>
          <w:rFonts w:ascii="Calibri" w:hAnsi="Calibri" w:hint="eastAsia"/>
          <w:bCs/>
          <w:color w:val="auto"/>
          <w:szCs w:val="28"/>
        </w:rPr>
        <w:t>2</w:t>
      </w:r>
      <w:r w:rsidRPr="00A964FF">
        <w:rPr>
          <w:rFonts w:ascii="Calibri" w:hAnsi="Calibri"/>
          <w:bCs/>
          <w:color w:val="auto"/>
          <w:szCs w:val="28"/>
        </w:rPr>
        <w:t>.</w:t>
      </w:r>
      <w:r w:rsidR="00627F38" w:rsidRPr="00A964FF">
        <w:rPr>
          <w:rFonts w:ascii="Calibri" w:hAnsi="Calibri" w:hint="eastAsia"/>
          <w:bCs/>
          <w:color w:val="auto"/>
          <w:szCs w:val="28"/>
        </w:rPr>
        <w:t>2</w:t>
      </w:r>
      <w:r w:rsidRPr="00A964FF">
        <w:rPr>
          <w:rFonts w:hint="eastAsia"/>
          <w:color w:val="auto"/>
        </w:rPr>
        <w:t>营运期工艺流程及产污环节分析</w:t>
      </w:r>
      <w:bookmarkEnd w:id="44"/>
    </w:p>
    <w:p w14:paraId="5E6A717F" w14:textId="77777777" w:rsidR="00A94A71" w:rsidRPr="00A964FF" w:rsidRDefault="00A94A71" w:rsidP="00A94A71">
      <w:pPr>
        <w:pStyle w:val="ad"/>
        <w:rPr>
          <w:rFonts w:ascii="Calibri" w:hAnsi="Calibri"/>
          <w:color w:val="auto"/>
        </w:rPr>
      </w:pPr>
      <w:r w:rsidRPr="00A964FF">
        <w:rPr>
          <w:rFonts w:ascii="Calibri" w:hAnsi="Calibri" w:hint="eastAsia"/>
          <w:color w:val="auto"/>
        </w:rPr>
        <w:t>2.</w:t>
      </w:r>
      <w:r>
        <w:rPr>
          <w:rFonts w:ascii="Calibri" w:hAnsi="Calibri"/>
          <w:color w:val="auto"/>
        </w:rPr>
        <w:t>2</w:t>
      </w:r>
      <w:r w:rsidRPr="00A964FF">
        <w:rPr>
          <w:rFonts w:ascii="Calibri" w:hAnsi="Calibri" w:hint="eastAsia"/>
          <w:color w:val="auto"/>
        </w:rPr>
        <w:t>.</w:t>
      </w:r>
      <w:r>
        <w:rPr>
          <w:rFonts w:ascii="Calibri" w:hAnsi="Calibri"/>
          <w:color w:val="auto"/>
        </w:rPr>
        <w:t>1</w:t>
      </w:r>
      <w:r>
        <w:rPr>
          <w:rFonts w:ascii="Calibri" w:hAnsi="Calibri" w:hint="eastAsia"/>
          <w:color w:val="auto"/>
        </w:rPr>
        <w:t>工艺流程</w:t>
      </w:r>
    </w:p>
    <w:p w14:paraId="3490FBDD" w14:textId="77777777" w:rsidR="00321C47" w:rsidRPr="00031A77" w:rsidRDefault="00321C47" w:rsidP="00031A77">
      <w:pPr>
        <w:spacing w:line="520" w:lineRule="exact"/>
        <w:ind w:firstLineChars="200" w:firstLine="480"/>
        <w:rPr>
          <w:rFonts w:ascii="Calibri" w:hAnsi="Calibri"/>
          <w:color w:val="auto"/>
          <w:sz w:val="24"/>
        </w:rPr>
      </w:pPr>
      <w:r w:rsidRPr="00321C47">
        <w:rPr>
          <w:rFonts w:ascii="Calibri" w:hAnsi="Calibri" w:hint="eastAsia"/>
          <w:color w:val="auto"/>
          <w:sz w:val="24"/>
        </w:rPr>
        <w:t>本项目</w:t>
      </w:r>
      <w:r w:rsidRPr="00321C47">
        <w:rPr>
          <w:rFonts w:ascii="Calibri" w:hAnsi="Calibri"/>
          <w:color w:val="auto"/>
          <w:sz w:val="24"/>
        </w:rPr>
        <w:t>分期建设</w:t>
      </w:r>
      <w:r>
        <w:rPr>
          <w:rFonts w:ascii="Calibri" w:hAnsi="Calibri" w:hint="eastAsia"/>
          <w:color w:val="auto"/>
          <w:sz w:val="24"/>
        </w:rPr>
        <w:t>，</w:t>
      </w:r>
      <w:r>
        <w:rPr>
          <w:rFonts w:ascii="Calibri" w:hAnsi="Calibri"/>
          <w:color w:val="auto"/>
          <w:sz w:val="24"/>
        </w:rPr>
        <w:t>一期、二期工程的产品及工艺均相同，仅规模大小不同。</w:t>
      </w:r>
    </w:p>
    <w:p w14:paraId="391B2840" w14:textId="77777777" w:rsidR="007B3ACE" w:rsidRPr="007B3ACE" w:rsidRDefault="00A94A71" w:rsidP="00A94A71">
      <w:pPr>
        <w:spacing w:line="520" w:lineRule="exact"/>
        <w:ind w:firstLineChars="200" w:firstLine="482"/>
        <w:rPr>
          <w:rFonts w:ascii="Calibri" w:hAnsi="Calibri"/>
          <w:b/>
          <w:color w:val="auto"/>
          <w:sz w:val="24"/>
        </w:rPr>
      </w:pPr>
      <w:r>
        <w:rPr>
          <w:rFonts w:ascii="Calibri" w:hAnsi="Calibri" w:hint="eastAsia"/>
          <w:b/>
          <w:color w:val="auto"/>
          <w:sz w:val="24"/>
        </w:rPr>
        <w:t>1</w:t>
      </w:r>
      <w:r>
        <w:rPr>
          <w:rFonts w:ascii="Calibri" w:hAnsi="Calibri" w:hint="eastAsia"/>
          <w:b/>
          <w:color w:val="auto"/>
          <w:sz w:val="24"/>
        </w:rPr>
        <w:t>、</w:t>
      </w:r>
      <w:r w:rsidR="007B3ACE" w:rsidRPr="007B3ACE">
        <w:rPr>
          <w:rFonts w:ascii="Calibri" w:hAnsi="Calibri"/>
          <w:b/>
          <w:color w:val="auto"/>
          <w:sz w:val="24"/>
        </w:rPr>
        <w:t>工艺流程说明</w:t>
      </w:r>
    </w:p>
    <w:p w14:paraId="61E3E65B" w14:textId="77777777" w:rsidR="00031627" w:rsidRPr="00B16D08" w:rsidRDefault="00B16D08" w:rsidP="001A4912">
      <w:pPr>
        <w:spacing w:line="520" w:lineRule="exact"/>
        <w:ind w:firstLineChars="200" w:firstLine="480"/>
        <w:rPr>
          <w:rFonts w:ascii="Calibri" w:hAnsi="Calibri"/>
          <w:color w:val="auto"/>
          <w:sz w:val="24"/>
        </w:rPr>
      </w:pPr>
      <w:r w:rsidRPr="00B16D08">
        <w:rPr>
          <w:rFonts w:ascii="Calibri" w:hAnsi="Calibri" w:hint="eastAsia"/>
          <w:color w:val="auto"/>
          <w:sz w:val="24"/>
        </w:rPr>
        <w:lastRenderedPageBreak/>
        <w:t>尼龙</w:t>
      </w:r>
      <w:r w:rsidRPr="00B16D08">
        <w:rPr>
          <w:rFonts w:ascii="Calibri" w:hAnsi="Calibri" w:hint="eastAsia"/>
          <w:color w:val="auto"/>
          <w:sz w:val="24"/>
        </w:rPr>
        <w:t>66</w:t>
      </w:r>
      <w:r w:rsidRPr="00B16D08">
        <w:rPr>
          <w:rFonts w:ascii="Calibri" w:hAnsi="Calibri" w:hint="eastAsia"/>
          <w:color w:val="auto"/>
          <w:sz w:val="24"/>
        </w:rPr>
        <w:t>盐的缩聚需要在高温下进行，伴随着水的脱除，生成线型高分子量</w:t>
      </w:r>
      <w:r w:rsidR="001A4912">
        <w:rPr>
          <w:rFonts w:ascii="Calibri" w:hAnsi="Calibri" w:hint="eastAsia"/>
          <w:color w:val="auto"/>
          <w:sz w:val="24"/>
        </w:rPr>
        <w:t>透明</w:t>
      </w:r>
      <w:r w:rsidR="001A4912">
        <w:rPr>
          <w:rFonts w:ascii="Calibri" w:hAnsi="Calibri"/>
          <w:color w:val="auto"/>
          <w:sz w:val="24"/>
        </w:rPr>
        <w:t>尼龙</w:t>
      </w:r>
      <w:r w:rsidRPr="00B16D08">
        <w:rPr>
          <w:rFonts w:ascii="Calibri" w:hAnsi="Calibri" w:hint="eastAsia"/>
          <w:color w:val="auto"/>
          <w:sz w:val="24"/>
        </w:rPr>
        <w:t>。</w:t>
      </w:r>
      <w:r w:rsidR="001A4912">
        <w:rPr>
          <w:rFonts w:ascii="Calibri" w:hAnsi="Calibri" w:hint="eastAsia"/>
          <w:color w:val="auto"/>
          <w:sz w:val="24"/>
        </w:rPr>
        <w:t>透明尼龙</w:t>
      </w:r>
      <w:r>
        <w:rPr>
          <w:rFonts w:ascii="Calibri" w:hAnsi="Calibri" w:hint="eastAsia"/>
          <w:color w:val="auto"/>
          <w:sz w:val="24"/>
        </w:rPr>
        <w:t>的</w:t>
      </w:r>
      <w:r>
        <w:rPr>
          <w:rFonts w:ascii="Calibri" w:hAnsi="Calibri"/>
          <w:color w:val="auto"/>
          <w:sz w:val="24"/>
        </w:rPr>
        <w:t>聚合</w:t>
      </w:r>
      <w:r>
        <w:rPr>
          <w:rFonts w:ascii="Calibri" w:hAnsi="Calibri" w:hint="eastAsia"/>
          <w:color w:val="auto"/>
          <w:sz w:val="24"/>
        </w:rPr>
        <w:t>工艺</w:t>
      </w:r>
      <w:r w:rsidRPr="00B16D08">
        <w:rPr>
          <w:rFonts w:ascii="Calibri" w:hAnsi="Calibri" w:hint="eastAsia"/>
          <w:color w:val="auto"/>
          <w:sz w:val="24"/>
        </w:rPr>
        <w:t>分间歇法和连续法两种。连续法适合大规模生产，间歇法在两种情况下采用：一是生产特殊或试验品级；二是生产能力为</w:t>
      </w:r>
      <w:r w:rsidRPr="00B16D08">
        <w:rPr>
          <w:rFonts w:ascii="Calibri" w:hAnsi="Calibri" w:hint="eastAsia"/>
          <w:color w:val="auto"/>
          <w:sz w:val="24"/>
        </w:rPr>
        <w:t>4500t/a</w:t>
      </w:r>
      <w:r w:rsidRPr="00B16D08">
        <w:rPr>
          <w:rFonts w:ascii="Calibri" w:hAnsi="Calibri" w:hint="eastAsia"/>
          <w:color w:val="auto"/>
          <w:sz w:val="24"/>
        </w:rPr>
        <w:t>以下的小装置中。本项目分期建设，一期生产能力为</w:t>
      </w:r>
      <w:r w:rsidRPr="00B16D08">
        <w:rPr>
          <w:rFonts w:ascii="Calibri" w:hAnsi="Calibri" w:hint="eastAsia"/>
          <w:color w:val="auto"/>
          <w:sz w:val="24"/>
        </w:rPr>
        <w:t>2500</w:t>
      </w:r>
      <w:r w:rsidRPr="00B16D08">
        <w:rPr>
          <w:rFonts w:ascii="Calibri" w:hAnsi="Calibri" w:hint="eastAsia"/>
          <w:color w:val="auto"/>
          <w:sz w:val="24"/>
        </w:rPr>
        <w:t>吨，二期生产能力为</w:t>
      </w:r>
      <w:r w:rsidRPr="00B16D08">
        <w:rPr>
          <w:rFonts w:ascii="Calibri" w:hAnsi="Calibri" w:hint="eastAsia"/>
          <w:color w:val="auto"/>
          <w:sz w:val="24"/>
        </w:rPr>
        <w:t>1500</w:t>
      </w:r>
      <w:r w:rsidRPr="00B16D08">
        <w:rPr>
          <w:rFonts w:ascii="Calibri" w:hAnsi="Calibri" w:hint="eastAsia"/>
          <w:color w:val="auto"/>
          <w:sz w:val="24"/>
        </w:rPr>
        <w:t>吨，采用间歇法进行生产。其生产流程如下：</w:t>
      </w:r>
    </w:p>
    <w:p w14:paraId="7F09195B" w14:textId="77777777" w:rsidR="00B16D08" w:rsidRPr="00E71265" w:rsidRDefault="00E71265" w:rsidP="00E71265">
      <w:pPr>
        <w:spacing w:line="520" w:lineRule="exact"/>
        <w:ind w:firstLineChars="200" w:firstLine="480"/>
        <w:rPr>
          <w:color w:val="auto"/>
          <w:sz w:val="24"/>
        </w:rPr>
      </w:pPr>
      <w:r>
        <w:rPr>
          <w:color w:val="auto"/>
          <w:sz w:val="24"/>
        </w:rPr>
        <w:fldChar w:fldCharType="begin"/>
      </w:r>
      <w:r>
        <w:rPr>
          <w:color w:val="auto"/>
          <w:sz w:val="24"/>
        </w:rPr>
        <w:instrText xml:space="preserve"> </w:instrText>
      </w:r>
      <w:r>
        <w:rPr>
          <w:rFonts w:hint="eastAsia"/>
          <w:color w:val="auto"/>
          <w:sz w:val="24"/>
        </w:rPr>
        <w:instrText>= 1 \* GB3</w:instrText>
      </w:r>
      <w:r>
        <w:rPr>
          <w:color w:val="auto"/>
          <w:sz w:val="24"/>
        </w:rPr>
        <w:instrText xml:space="preserve"> </w:instrText>
      </w:r>
      <w:r>
        <w:rPr>
          <w:color w:val="auto"/>
          <w:sz w:val="24"/>
        </w:rPr>
        <w:fldChar w:fldCharType="separate"/>
      </w:r>
      <w:r>
        <w:rPr>
          <w:rFonts w:hint="eastAsia"/>
          <w:noProof/>
          <w:color w:val="auto"/>
          <w:sz w:val="24"/>
        </w:rPr>
        <w:t>①</w:t>
      </w:r>
      <w:r>
        <w:rPr>
          <w:color w:val="auto"/>
          <w:sz w:val="24"/>
        </w:rPr>
        <w:fldChar w:fldCharType="end"/>
      </w:r>
      <w:r w:rsidR="00B16D08" w:rsidRPr="00E71265">
        <w:rPr>
          <w:rFonts w:hint="eastAsia"/>
          <w:color w:val="auto"/>
          <w:sz w:val="24"/>
        </w:rPr>
        <w:t>原料储存</w:t>
      </w:r>
    </w:p>
    <w:p w14:paraId="1B1EB245" w14:textId="77777777" w:rsidR="00852BCB" w:rsidRDefault="00B16D08" w:rsidP="00B16D08">
      <w:pPr>
        <w:spacing w:line="520" w:lineRule="exact"/>
        <w:ind w:firstLineChars="200" w:firstLine="480"/>
        <w:rPr>
          <w:rFonts w:ascii="Calibri" w:hAnsi="Calibri"/>
          <w:color w:val="auto"/>
          <w:sz w:val="24"/>
        </w:rPr>
      </w:pPr>
      <w:r w:rsidRPr="00B16D08">
        <w:rPr>
          <w:rFonts w:ascii="Calibri" w:hAnsi="Calibri" w:hint="eastAsia"/>
          <w:color w:val="auto"/>
          <w:sz w:val="24"/>
        </w:rPr>
        <w:t>本项目生产采用外购的</w:t>
      </w:r>
      <w:r w:rsidRPr="00B16D08">
        <w:rPr>
          <w:rFonts w:ascii="Calibri" w:hAnsi="Calibri"/>
          <w:color w:val="auto"/>
          <w:sz w:val="24"/>
        </w:rPr>
        <w:t>66</w:t>
      </w:r>
      <w:r w:rsidRPr="00B16D08">
        <w:rPr>
          <w:rFonts w:ascii="Calibri" w:hAnsi="Calibri"/>
          <w:color w:val="auto"/>
          <w:sz w:val="24"/>
        </w:rPr>
        <w:t>盐溶液</w:t>
      </w:r>
      <w:r w:rsidRPr="00B16D08">
        <w:rPr>
          <w:rFonts w:ascii="Calibri" w:hAnsi="Calibri" w:hint="eastAsia"/>
          <w:color w:val="auto"/>
          <w:sz w:val="24"/>
        </w:rPr>
        <w:t>、</w:t>
      </w:r>
      <w:r w:rsidRPr="00B16D08">
        <w:rPr>
          <w:rFonts w:ascii="Calibri" w:hAnsi="Calibri"/>
          <w:color w:val="auto"/>
          <w:sz w:val="24"/>
        </w:rPr>
        <w:t>1010</w:t>
      </w:r>
      <w:r w:rsidRPr="00B16D08">
        <w:rPr>
          <w:rFonts w:ascii="Calibri" w:hAnsi="Calibri"/>
          <w:color w:val="auto"/>
          <w:sz w:val="24"/>
        </w:rPr>
        <w:t>盐</w:t>
      </w:r>
      <w:r w:rsidRPr="00B16D08">
        <w:rPr>
          <w:rFonts w:ascii="Calibri" w:hAnsi="Calibri" w:hint="eastAsia"/>
          <w:color w:val="auto"/>
          <w:sz w:val="24"/>
        </w:rPr>
        <w:t>、</w:t>
      </w:r>
      <w:r w:rsidRPr="00B16D08">
        <w:rPr>
          <w:rFonts w:ascii="Calibri" w:hAnsi="Calibri"/>
          <w:color w:val="auto"/>
          <w:sz w:val="24"/>
        </w:rPr>
        <w:t>尼龙</w:t>
      </w:r>
      <w:r w:rsidRPr="00B16D08">
        <w:rPr>
          <w:rFonts w:ascii="Calibri" w:hAnsi="Calibri" w:hint="eastAsia"/>
          <w:color w:val="auto"/>
          <w:sz w:val="24"/>
        </w:rPr>
        <w:t>-12</w:t>
      </w:r>
      <w:r w:rsidRPr="00B16D08">
        <w:rPr>
          <w:rFonts w:ascii="Calibri" w:hAnsi="Calibri" w:hint="eastAsia"/>
          <w:color w:val="auto"/>
          <w:sz w:val="24"/>
        </w:rPr>
        <w:t>盐</w:t>
      </w:r>
      <w:r w:rsidR="00F7756F" w:rsidRPr="00F7756F">
        <w:rPr>
          <w:rFonts w:ascii="Calibri" w:hAnsi="Calibri" w:hint="eastAsia"/>
          <w:color w:val="auto"/>
          <w:sz w:val="24"/>
        </w:rPr>
        <w:t>等尼龙盐</w:t>
      </w:r>
      <w:r w:rsidRPr="00B16D08">
        <w:rPr>
          <w:rFonts w:ascii="Calibri" w:hAnsi="Calibri"/>
          <w:color w:val="auto"/>
          <w:sz w:val="24"/>
        </w:rPr>
        <w:t>为主要原料。尼龙</w:t>
      </w:r>
      <w:r w:rsidRPr="00B16D08">
        <w:rPr>
          <w:rFonts w:ascii="Calibri" w:hAnsi="Calibri"/>
          <w:color w:val="auto"/>
          <w:sz w:val="24"/>
        </w:rPr>
        <w:t>66</w:t>
      </w:r>
      <w:r w:rsidRPr="00B16D08">
        <w:rPr>
          <w:rFonts w:ascii="Calibri" w:hAnsi="Calibri"/>
          <w:color w:val="auto"/>
          <w:sz w:val="24"/>
        </w:rPr>
        <w:t>盐溶液为桶包装，</w:t>
      </w:r>
      <w:r w:rsidRPr="00B16D08">
        <w:rPr>
          <w:rFonts w:ascii="Calibri" w:hAnsi="Calibri"/>
          <w:color w:val="auto"/>
          <w:sz w:val="24"/>
        </w:rPr>
        <w:t>1010</w:t>
      </w:r>
      <w:r w:rsidRPr="00B16D08">
        <w:rPr>
          <w:rFonts w:ascii="Calibri" w:hAnsi="Calibri"/>
          <w:color w:val="auto"/>
          <w:sz w:val="24"/>
        </w:rPr>
        <w:t>盐</w:t>
      </w:r>
      <w:r w:rsidR="00852BCB">
        <w:rPr>
          <w:rFonts w:ascii="Calibri" w:hAnsi="Calibri" w:hint="eastAsia"/>
          <w:color w:val="auto"/>
          <w:sz w:val="24"/>
        </w:rPr>
        <w:t>、</w:t>
      </w:r>
      <w:r w:rsidRPr="00B16D08">
        <w:rPr>
          <w:rFonts w:ascii="Calibri" w:hAnsi="Calibri" w:hint="eastAsia"/>
          <w:color w:val="auto"/>
          <w:sz w:val="24"/>
        </w:rPr>
        <w:t>尼龙</w:t>
      </w:r>
      <w:r w:rsidRPr="00B16D08">
        <w:rPr>
          <w:rFonts w:ascii="Calibri" w:hAnsi="Calibri"/>
          <w:color w:val="auto"/>
          <w:sz w:val="24"/>
        </w:rPr>
        <w:t>-12</w:t>
      </w:r>
      <w:r w:rsidRPr="00B16D08">
        <w:rPr>
          <w:rFonts w:ascii="Calibri" w:hAnsi="Calibri"/>
          <w:color w:val="auto"/>
          <w:sz w:val="24"/>
        </w:rPr>
        <w:t>盐</w:t>
      </w:r>
      <w:r w:rsidR="00852BCB">
        <w:rPr>
          <w:rFonts w:ascii="Calibri" w:hAnsi="Calibri" w:hint="eastAsia"/>
          <w:color w:val="auto"/>
          <w:sz w:val="24"/>
        </w:rPr>
        <w:t>、</w:t>
      </w:r>
      <w:r w:rsidR="00852BCB" w:rsidRPr="005C008F">
        <w:rPr>
          <w:rFonts w:ascii="Calibri" w:hAnsi="Calibri" w:hint="eastAsia"/>
          <w:color w:val="auto"/>
          <w:sz w:val="24"/>
        </w:rPr>
        <w:t>次磷酸钠</w:t>
      </w:r>
      <w:r w:rsidR="00852BCB">
        <w:rPr>
          <w:rFonts w:ascii="Calibri" w:hAnsi="Calibri" w:hint="eastAsia"/>
          <w:color w:val="auto"/>
          <w:sz w:val="24"/>
        </w:rPr>
        <w:t>采用</w:t>
      </w:r>
      <w:r w:rsidR="00852BCB">
        <w:rPr>
          <w:rFonts w:ascii="Calibri" w:hAnsi="Calibri"/>
          <w:color w:val="auto"/>
          <w:sz w:val="24"/>
        </w:rPr>
        <w:t>袋装</w:t>
      </w:r>
      <w:r w:rsidR="00852BCB">
        <w:rPr>
          <w:rFonts w:ascii="Calibri" w:hAnsi="Calibri" w:hint="eastAsia"/>
          <w:color w:val="auto"/>
          <w:sz w:val="24"/>
        </w:rPr>
        <w:t>，</w:t>
      </w:r>
      <w:r w:rsidR="00852BCB">
        <w:rPr>
          <w:rFonts w:ascii="Calibri" w:hAnsi="Calibri"/>
          <w:color w:val="auto"/>
          <w:sz w:val="24"/>
        </w:rPr>
        <w:t>在厂区仓库内进行储存</w:t>
      </w:r>
      <w:r w:rsidR="00852BCB">
        <w:rPr>
          <w:rFonts w:ascii="Calibri" w:hAnsi="Calibri" w:hint="eastAsia"/>
          <w:color w:val="auto"/>
          <w:sz w:val="24"/>
        </w:rPr>
        <w:t>。</w:t>
      </w:r>
    </w:p>
    <w:p w14:paraId="03A9BE70" w14:textId="77777777" w:rsidR="00B16D08" w:rsidRPr="00951AD6" w:rsidRDefault="00B16D08" w:rsidP="00951AD6">
      <w:pPr>
        <w:spacing w:line="520" w:lineRule="exact"/>
        <w:ind w:firstLineChars="200" w:firstLine="480"/>
        <w:rPr>
          <w:sz w:val="24"/>
        </w:rPr>
      </w:pPr>
      <w:r w:rsidRPr="00951AD6">
        <w:rPr>
          <w:rFonts w:hint="eastAsia"/>
          <w:sz w:val="24"/>
        </w:rPr>
        <w:t>②配料工段</w:t>
      </w:r>
    </w:p>
    <w:p w14:paraId="21FB7919" w14:textId="77777777" w:rsidR="00B16D08" w:rsidRPr="00663421" w:rsidRDefault="00B16D08" w:rsidP="007660BC">
      <w:pPr>
        <w:spacing w:line="520" w:lineRule="exact"/>
        <w:ind w:firstLineChars="200" w:firstLine="482"/>
        <w:rPr>
          <w:rFonts w:ascii="Calibri" w:hAnsi="Calibri"/>
          <w:b/>
          <w:color w:val="auto"/>
          <w:sz w:val="24"/>
          <w:u w:val="single"/>
        </w:rPr>
      </w:pPr>
      <w:r w:rsidRPr="00663421">
        <w:rPr>
          <w:rFonts w:ascii="Calibri" w:hAnsi="Calibri" w:hint="eastAsia"/>
          <w:b/>
          <w:color w:val="auto"/>
          <w:sz w:val="24"/>
          <w:u w:val="single"/>
        </w:rPr>
        <w:t>将尼龙</w:t>
      </w:r>
      <w:r w:rsidRPr="00663421">
        <w:rPr>
          <w:rFonts w:ascii="Calibri" w:hAnsi="Calibri"/>
          <w:b/>
          <w:color w:val="auto"/>
          <w:sz w:val="24"/>
          <w:u w:val="single"/>
        </w:rPr>
        <w:t>66</w:t>
      </w:r>
      <w:r w:rsidRPr="00663421">
        <w:rPr>
          <w:rFonts w:ascii="Calibri" w:hAnsi="Calibri"/>
          <w:b/>
          <w:color w:val="auto"/>
          <w:sz w:val="24"/>
          <w:u w:val="single"/>
        </w:rPr>
        <w:t>盐溶液（</w:t>
      </w:r>
      <w:r w:rsidRPr="00663421">
        <w:rPr>
          <w:rFonts w:ascii="Calibri" w:hAnsi="Calibri"/>
          <w:b/>
          <w:color w:val="auto"/>
          <w:sz w:val="24"/>
          <w:u w:val="single"/>
        </w:rPr>
        <w:t>50%</w:t>
      </w:r>
      <w:r w:rsidRPr="00663421">
        <w:rPr>
          <w:rFonts w:ascii="Calibri" w:hAnsi="Calibri"/>
          <w:b/>
          <w:color w:val="auto"/>
          <w:sz w:val="24"/>
          <w:u w:val="single"/>
        </w:rPr>
        <w:t>浓度）放入配料罐中，</w:t>
      </w:r>
      <w:r w:rsidR="00663421" w:rsidRPr="00663421">
        <w:rPr>
          <w:rFonts w:ascii="Calibri" w:hAnsi="Calibri" w:hint="eastAsia"/>
          <w:b/>
          <w:color w:val="auto"/>
          <w:sz w:val="24"/>
          <w:u w:val="single"/>
        </w:rPr>
        <w:t>通过</w:t>
      </w:r>
      <w:r w:rsidRPr="00663421">
        <w:rPr>
          <w:rFonts w:ascii="Calibri" w:hAnsi="Calibri"/>
          <w:b/>
          <w:color w:val="auto"/>
          <w:sz w:val="24"/>
          <w:u w:val="single"/>
        </w:rPr>
        <w:t>加入一定量的</w:t>
      </w:r>
      <w:r w:rsidRPr="00663421">
        <w:rPr>
          <w:rFonts w:ascii="Calibri" w:hAnsi="Calibri"/>
          <w:b/>
          <w:color w:val="auto"/>
          <w:sz w:val="24"/>
          <w:u w:val="single"/>
        </w:rPr>
        <w:t>1010</w:t>
      </w:r>
      <w:r w:rsidRPr="00663421">
        <w:rPr>
          <w:rFonts w:ascii="Calibri" w:hAnsi="Calibri"/>
          <w:b/>
          <w:color w:val="auto"/>
          <w:sz w:val="24"/>
          <w:u w:val="single"/>
        </w:rPr>
        <w:t>盐</w:t>
      </w:r>
      <w:r w:rsidR="005C008F" w:rsidRPr="00663421">
        <w:rPr>
          <w:rFonts w:ascii="Calibri" w:hAnsi="Calibri" w:hint="eastAsia"/>
          <w:b/>
          <w:color w:val="auto"/>
          <w:sz w:val="24"/>
          <w:u w:val="single"/>
        </w:rPr>
        <w:t>、</w:t>
      </w:r>
      <w:r w:rsidR="005C008F" w:rsidRPr="00663421">
        <w:rPr>
          <w:rFonts w:ascii="Calibri" w:hAnsi="Calibri"/>
          <w:b/>
          <w:color w:val="auto"/>
          <w:sz w:val="24"/>
          <w:u w:val="single"/>
        </w:rPr>
        <w:t>尼龙</w:t>
      </w:r>
      <w:r w:rsidR="005C008F" w:rsidRPr="00663421">
        <w:rPr>
          <w:rFonts w:ascii="Calibri" w:hAnsi="Calibri" w:hint="eastAsia"/>
          <w:b/>
          <w:color w:val="auto"/>
          <w:sz w:val="24"/>
          <w:u w:val="single"/>
        </w:rPr>
        <w:t>-12</w:t>
      </w:r>
      <w:r w:rsidR="005C008F" w:rsidRPr="00663421">
        <w:rPr>
          <w:rFonts w:ascii="Calibri" w:hAnsi="Calibri" w:hint="eastAsia"/>
          <w:b/>
          <w:color w:val="auto"/>
          <w:sz w:val="24"/>
          <w:u w:val="single"/>
        </w:rPr>
        <w:t>盐</w:t>
      </w:r>
      <w:r w:rsidRPr="00663421">
        <w:rPr>
          <w:rFonts w:ascii="Calibri" w:hAnsi="Calibri"/>
          <w:b/>
          <w:color w:val="auto"/>
          <w:sz w:val="24"/>
          <w:u w:val="single"/>
        </w:rPr>
        <w:t>和抗氧剂</w:t>
      </w:r>
      <w:r w:rsidR="005C008F" w:rsidRPr="00663421">
        <w:rPr>
          <w:rFonts w:ascii="Calibri" w:hAnsi="Calibri" w:hint="eastAsia"/>
          <w:b/>
          <w:color w:val="auto"/>
          <w:sz w:val="24"/>
          <w:u w:val="single"/>
        </w:rPr>
        <w:t>次磷酸钠</w:t>
      </w:r>
      <w:r w:rsidR="00663421" w:rsidRPr="00663421">
        <w:rPr>
          <w:rFonts w:ascii="Calibri" w:hAnsi="Calibri" w:hint="eastAsia"/>
          <w:b/>
          <w:color w:val="auto"/>
          <w:sz w:val="24"/>
          <w:u w:val="single"/>
        </w:rPr>
        <w:t>进行</w:t>
      </w:r>
      <w:r w:rsidR="00663421" w:rsidRPr="00663421">
        <w:rPr>
          <w:rFonts w:ascii="Calibri" w:hAnsi="Calibri"/>
          <w:b/>
          <w:color w:val="auto"/>
          <w:sz w:val="24"/>
          <w:u w:val="single"/>
        </w:rPr>
        <w:t>物理改性，</w:t>
      </w:r>
      <w:r w:rsidR="007660BC">
        <w:rPr>
          <w:rFonts w:ascii="Calibri" w:hAnsi="Calibri" w:hint="eastAsia"/>
          <w:b/>
          <w:color w:val="auto"/>
          <w:sz w:val="24"/>
          <w:u w:val="single"/>
        </w:rPr>
        <w:t>物理</w:t>
      </w:r>
      <w:r w:rsidR="007660BC">
        <w:rPr>
          <w:rFonts w:ascii="Calibri" w:hAnsi="Calibri"/>
          <w:b/>
          <w:color w:val="auto"/>
          <w:sz w:val="24"/>
          <w:u w:val="single"/>
        </w:rPr>
        <w:t>改性就是在整个改性过程中</w:t>
      </w:r>
      <w:r w:rsidR="007660BC">
        <w:rPr>
          <w:rFonts w:ascii="Calibri" w:hAnsi="Calibri" w:hint="eastAsia"/>
          <w:b/>
          <w:color w:val="auto"/>
          <w:sz w:val="24"/>
          <w:u w:val="single"/>
        </w:rPr>
        <w:t>不发生化学</w:t>
      </w:r>
      <w:r w:rsidR="007660BC">
        <w:rPr>
          <w:rFonts w:ascii="Calibri" w:hAnsi="Calibri"/>
          <w:b/>
          <w:color w:val="auto"/>
          <w:sz w:val="24"/>
          <w:u w:val="single"/>
        </w:rPr>
        <w:t>变化或</w:t>
      </w:r>
      <w:r w:rsidR="007660BC">
        <w:rPr>
          <w:rFonts w:ascii="Calibri" w:hAnsi="Calibri" w:hint="eastAsia"/>
          <w:b/>
          <w:color w:val="auto"/>
          <w:sz w:val="24"/>
          <w:u w:val="single"/>
        </w:rPr>
        <w:t>只</w:t>
      </w:r>
      <w:r w:rsidR="007660BC">
        <w:rPr>
          <w:rFonts w:ascii="Calibri" w:hAnsi="Calibri"/>
          <w:b/>
          <w:color w:val="auto"/>
          <w:sz w:val="24"/>
          <w:u w:val="single"/>
        </w:rPr>
        <w:t>发生极小</w:t>
      </w:r>
      <w:r w:rsidR="007660BC">
        <w:rPr>
          <w:rFonts w:ascii="Calibri" w:hAnsi="Calibri" w:hint="eastAsia"/>
          <w:b/>
          <w:color w:val="auto"/>
          <w:sz w:val="24"/>
          <w:u w:val="single"/>
        </w:rPr>
        <w:t>程度的</w:t>
      </w:r>
      <w:r w:rsidR="007660BC">
        <w:rPr>
          <w:rFonts w:ascii="Calibri" w:hAnsi="Calibri"/>
          <w:b/>
          <w:color w:val="auto"/>
          <w:sz w:val="24"/>
          <w:u w:val="single"/>
        </w:rPr>
        <w:t>化学反应</w:t>
      </w:r>
      <w:r w:rsidR="007660BC">
        <w:rPr>
          <w:rFonts w:ascii="Calibri" w:hAnsi="Calibri" w:hint="eastAsia"/>
          <w:b/>
          <w:color w:val="auto"/>
          <w:sz w:val="24"/>
          <w:u w:val="single"/>
        </w:rPr>
        <w:t>的</w:t>
      </w:r>
      <w:r w:rsidR="007660BC">
        <w:rPr>
          <w:rFonts w:ascii="Calibri" w:hAnsi="Calibri"/>
          <w:b/>
          <w:color w:val="auto"/>
          <w:sz w:val="24"/>
          <w:u w:val="single"/>
        </w:rPr>
        <w:t>一类的改性方法。物理</w:t>
      </w:r>
      <w:r w:rsidR="007660BC">
        <w:rPr>
          <w:rFonts w:ascii="Calibri" w:hAnsi="Calibri" w:hint="eastAsia"/>
          <w:b/>
          <w:color w:val="auto"/>
          <w:sz w:val="24"/>
          <w:u w:val="single"/>
        </w:rPr>
        <w:t>改性</w:t>
      </w:r>
      <w:r w:rsidR="007660BC">
        <w:rPr>
          <w:rFonts w:ascii="Calibri" w:hAnsi="Calibri"/>
          <w:b/>
          <w:color w:val="auto"/>
          <w:sz w:val="24"/>
          <w:u w:val="single"/>
        </w:rPr>
        <w:t>主要靠不同组分之间物理作用</w:t>
      </w:r>
      <w:r w:rsidR="007660BC">
        <w:rPr>
          <w:rFonts w:ascii="Calibri" w:hAnsi="Calibri" w:hint="eastAsia"/>
          <w:b/>
          <w:color w:val="auto"/>
          <w:sz w:val="24"/>
          <w:u w:val="single"/>
        </w:rPr>
        <w:t>，</w:t>
      </w:r>
      <w:r w:rsidR="007660BC">
        <w:rPr>
          <w:rFonts w:ascii="Calibri" w:hAnsi="Calibri"/>
          <w:b/>
          <w:color w:val="auto"/>
          <w:sz w:val="24"/>
          <w:u w:val="single"/>
        </w:rPr>
        <w:t>如吸附、络合或氢键</w:t>
      </w:r>
      <w:r w:rsidR="007660BC">
        <w:rPr>
          <w:rFonts w:ascii="Calibri" w:hAnsi="Calibri" w:hint="eastAsia"/>
          <w:b/>
          <w:color w:val="auto"/>
          <w:sz w:val="24"/>
          <w:u w:val="single"/>
        </w:rPr>
        <w:t>等</w:t>
      </w:r>
      <w:r w:rsidR="007660BC">
        <w:rPr>
          <w:rFonts w:ascii="Calibri" w:hAnsi="Calibri"/>
          <w:b/>
          <w:color w:val="auto"/>
          <w:sz w:val="24"/>
          <w:u w:val="single"/>
        </w:rPr>
        <w:t>作用</w:t>
      </w:r>
      <w:r w:rsidR="007660BC">
        <w:rPr>
          <w:rFonts w:ascii="Calibri" w:hAnsi="Calibri" w:hint="eastAsia"/>
          <w:b/>
          <w:color w:val="auto"/>
          <w:sz w:val="24"/>
          <w:u w:val="single"/>
        </w:rPr>
        <w:t>以及</w:t>
      </w:r>
      <w:r w:rsidR="007660BC">
        <w:rPr>
          <w:rFonts w:ascii="Calibri" w:hAnsi="Calibri"/>
          <w:b/>
          <w:color w:val="auto"/>
          <w:sz w:val="24"/>
          <w:u w:val="single"/>
        </w:rPr>
        <w:t>整</w:t>
      </w:r>
      <w:r w:rsidR="007660BC">
        <w:rPr>
          <w:rFonts w:ascii="Calibri" w:hAnsi="Calibri" w:hint="eastAsia"/>
          <w:b/>
          <w:color w:val="auto"/>
          <w:sz w:val="24"/>
          <w:u w:val="single"/>
        </w:rPr>
        <w:t>个</w:t>
      </w:r>
      <w:r w:rsidR="007660BC">
        <w:rPr>
          <w:rFonts w:ascii="Calibri" w:hAnsi="Calibri"/>
          <w:b/>
          <w:color w:val="auto"/>
          <w:sz w:val="24"/>
          <w:u w:val="single"/>
        </w:rPr>
        <w:t>组分</w:t>
      </w:r>
      <w:r w:rsidR="007660BC">
        <w:rPr>
          <w:rFonts w:ascii="Calibri" w:hAnsi="Calibri" w:hint="eastAsia"/>
          <w:b/>
          <w:color w:val="auto"/>
          <w:sz w:val="24"/>
          <w:u w:val="single"/>
        </w:rPr>
        <w:t>本身</w:t>
      </w:r>
      <w:r w:rsidR="007660BC">
        <w:rPr>
          <w:rFonts w:ascii="Calibri" w:hAnsi="Calibri"/>
          <w:b/>
          <w:color w:val="auto"/>
          <w:sz w:val="24"/>
          <w:u w:val="single"/>
        </w:rPr>
        <w:t>的力、形变及形态变化而实现改性</w:t>
      </w:r>
      <w:r w:rsidR="007660BC">
        <w:rPr>
          <w:rFonts w:ascii="Calibri" w:hAnsi="Calibri" w:hint="eastAsia"/>
          <w:b/>
          <w:color w:val="auto"/>
          <w:sz w:val="24"/>
          <w:u w:val="single"/>
        </w:rPr>
        <w:t>目的</w:t>
      </w:r>
      <w:r w:rsidR="007660BC">
        <w:rPr>
          <w:rFonts w:ascii="Calibri" w:hAnsi="Calibri"/>
          <w:b/>
          <w:color w:val="auto"/>
          <w:sz w:val="24"/>
          <w:u w:val="single"/>
        </w:rPr>
        <w:t>的</w:t>
      </w:r>
      <w:r w:rsidR="007660BC">
        <w:rPr>
          <w:rFonts w:ascii="Calibri" w:hAnsi="Calibri" w:hint="eastAsia"/>
          <w:b/>
          <w:color w:val="auto"/>
          <w:sz w:val="24"/>
          <w:u w:val="single"/>
        </w:rPr>
        <w:t>方法</w:t>
      </w:r>
      <w:r w:rsidR="007660BC">
        <w:rPr>
          <w:rFonts w:ascii="Calibri" w:hAnsi="Calibri"/>
          <w:b/>
          <w:color w:val="auto"/>
          <w:sz w:val="24"/>
          <w:u w:val="single"/>
        </w:rPr>
        <w:t>。</w:t>
      </w:r>
      <w:r w:rsidR="007660BC">
        <w:rPr>
          <w:rFonts w:ascii="Calibri" w:hAnsi="Calibri" w:hint="eastAsia"/>
          <w:b/>
          <w:color w:val="auto"/>
          <w:sz w:val="24"/>
          <w:u w:val="single"/>
        </w:rPr>
        <w:t>尼龙</w:t>
      </w:r>
      <w:r w:rsidR="007660BC">
        <w:rPr>
          <w:rFonts w:ascii="Calibri" w:hAnsi="Calibri" w:hint="eastAsia"/>
          <w:b/>
          <w:color w:val="auto"/>
          <w:sz w:val="24"/>
          <w:u w:val="single"/>
        </w:rPr>
        <w:t>66</w:t>
      </w:r>
      <w:r w:rsidR="007660BC">
        <w:rPr>
          <w:rFonts w:ascii="Calibri" w:hAnsi="Calibri" w:hint="eastAsia"/>
          <w:b/>
          <w:color w:val="auto"/>
          <w:sz w:val="24"/>
          <w:u w:val="single"/>
        </w:rPr>
        <w:t>盐溶液</w:t>
      </w:r>
      <w:r w:rsidR="007660BC">
        <w:rPr>
          <w:rFonts w:ascii="Calibri" w:hAnsi="Calibri"/>
          <w:b/>
          <w:color w:val="auto"/>
          <w:sz w:val="24"/>
          <w:u w:val="single"/>
        </w:rPr>
        <w:t>通过加入</w:t>
      </w:r>
      <w:r w:rsidR="007660BC" w:rsidRPr="00663421">
        <w:rPr>
          <w:rFonts w:ascii="Calibri" w:hAnsi="Calibri"/>
          <w:b/>
          <w:color w:val="auto"/>
          <w:sz w:val="24"/>
          <w:u w:val="single"/>
        </w:rPr>
        <w:t>1010</w:t>
      </w:r>
      <w:r w:rsidR="007660BC" w:rsidRPr="00663421">
        <w:rPr>
          <w:rFonts w:ascii="Calibri" w:hAnsi="Calibri"/>
          <w:b/>
          <w:color w:val="auto"/>
          <w:sz w:val="24"/>
          <w:u w:val="single"/>
        </w:rPr>
        <w:t>盐</w:t>
      </w:r>
      <w:r w:rsidR="007660BC" w:rsidRPr="00663421">
        <w:rPr>
          <w:rFonts w:ascii="Calibri" w:hAnsi="Calibri" w:hint="eastAsia"/>
          <w:b/>
          <w:color w:val="auto"/>
          <w:sz w:val="24"/>
          <w:u w:val="single"/>
        </w:rPr>
        <w:t>、</w:t>
      </w:r>
      <w:r w:rsidR="007660BC" w:rsidRPr="00663421">
        <w:rPr>
          <w:rFonts w:ascii="Calibri" w:hAnsi="Calibri"/>
          <w:b/>
          <w:color w:val="auto"/>
          <w:sz w:val="24"/>
          <w:u w:val="single"/>
        </w:rPr>
        <w:t>尼龙</w:t>
      </w:r>
      <w:r w:rsidR="007660BC" w:rsidRPr="00663421">
        <w:rPr>
          <w:rFonts w:ascii="Calibri" w:hAnsi="Calibri" w:hint="eastAsia"/>
          <w:b/>
          <w:color w:val="auto"/>
          <w:sz w:val="24"/>
          <w:u w:val="single"/>
        </w:rPr>
        <w:t>-12</w:t>
      </w:r>
      <w:r w:rsidR="007660BC" w:rsidRPr="00663421">
        <w:rPr>
          <w:rFonts w:ascii="Calibri" w:hAnsi="Calibri" w:hint="eastAsia"/>
          <w:b/>
          <w:color w:val="auto"/>
          <w:sz w:val="24"/>
          <w:u w:val="single"/>
        </w:rPr>
        <w:t>盐</w:t>
      </w:r>
      <w:r w:rsidR="007660BC" w:rsidRPr="00663421">
        <w:rPr>
          <w:rFonts w:ascii="Calibri" w:hAnsi="Calibri"/>
          <w:b/>
          <w:color w:val="auto"/>
          <w:sz w:val="24"/>
          <w:u w:val="single"/>
        </w:rPr>
        <w:t>和抗氧剂</w:t>
      </w:r>
      <w:r w:rsidR="007660BC" w:rsidRPr="00663421">
        <w:rPr>
          <w:rFonts w:ascii="Calibri" w:hAnsi="Calibri" w:hint="eastAsia"/>
          <w:b/>
          <w:color w:val="auto"/>
          <w:sz w:val="24"/>
          <w:u w:val="single"/>
        </w:rPr>
        <w:t>次磷酸钠</w:t>
      </w:r>
      <w:r w:rsidR="007660BC">
        <w:rPr>
          <w:rFonts w:ascii="Calibri" w:hAnsi="Calibri"/>
          <w:b/>
          <w:color w:val="auto"/>
          <w:sz w:val="24"/>
          <w:u w:val="single"/>
        </w:rPr>
        <w:t>防止原料氧化变黄</w:t>
      </w:r>
      <w:r w:rsidR="00663421" w:rsidRPr="00663421">
        <w:rPr>
          <w:rFonts w:ascii="Calibri" w:hAnsi="Calibri"/>
          <w:b/>
          <w:color w:val="auto"/>
          <w:sz w:val="24"/>
          <w:u w:val="single"/>
        </w:rPr>
        <w:t>，同时改善</w:t>
      </w:r>
      <w:r w:rsidR="00663421" w:rsidRPr="00663421">
        <w:rPr>
          <w:rFonts w:ascii="Calibri" w:hAnsi="Calibri" w:hint="eastAsia"/>
          <w:b/>
          <w:color w:val="auto"/>
          <w:sz w:val="24"/>
          <w:u w:val="single"/>
        </w:rPr>
        <w:t>透明</w:t>
      </w:r>
      <w:r w:rsidR="00663421" w:rsidRPr="00663421">
        <w:rPr>
          <w:rFonts w:ascii="Calibri" w:hAnsi="Calibri"/>
          <w:b/>
          <w:color w:val="auto"/>
          <w:sz w:val="24"/>
          <w:u w:val="single"/>
        </w:rPr>
        <w:t>尼龙</w:t>
      </w:r>
      <w:r w:rsidR="00663421" w:rsidRPr="00663421">
        <w:rPr>
          <w:rFonts w:ascii="Calibri" w:hAnsi="Calibri" w:hint="eastAsia"/>
          <w:b/>
          <w:color w:val="auto"/>
          <w:sz w:val="24"/>
          <w:u w:val="single"/>
        </w:rPr>
        <w:t>吸水性、阻燃性及机械强度等</w:t>
      </w:r>
      <w:r w:rsidR="00663421" w:rsidRPr="00663421">
        <w:rPr>
          <w:rFonts w:ascii="Calibri" w:hAnsi="Calibri"/>
          <w:b/>
          <w:color w:val="auto"/>
          <w:sz w:val="24"/>
          <w:u w:val="single"/>
        </w:rPr>
        <w:t>物理性质</w:t>
      </w:r>
      <w:r w:rsidRPr="00663421">
        <w:rPr>
          <w:rFonts w:ascii="Calibri" w:hAnsi="Calibri"/>
          <w:b/>
          <w:color w:val="auto"/>
          <w:sz w:val="24"/>
          <w:u w:val="single"/>
        </w:rPr>
        <w:t>，加入纯水调节浓度至</w:t>
      </w:r>
      <w:r w:rsidRPr="00663421">
        <w:rPr>
          <w:rFonts w:ascii="Calibri" w:hAnsi="Calibri"/>
          <w:b/>
          <w:color w:val="auto"/>
          <w:sz w:val="24"/>
          <w:u w:val="single"/>
        </w:rPr>
        <w:t>52%</w:t>
      </w:r>
      <w:r w:rsidRPr="00663421">
        <w:rPr>
          <w:rFonts w:ascii="Calibri" w:hAnsi="Calibri"/>
          <w:b/>
          <w:color w:val="auto"/>
          <w:sz w:val="24"/>
          <w:u w:val="single"/>
        </w:rPr>
        <w:t>左右后送入储罐备用。</w:t>
      </w:r>
    </w:p>
    <w:p w14:paraId="47618694" w14:textId="3E9C90AF" w:rsidR="00B96560" w:rsidRDefault="005C008F" w:rsidP="0091142E">
      <w:pPr>
        <w:spacing w:line="520" w:lineRule="exact"/>
        <w:ind w:firstLineChars="200" w:firstLine="480"/>
        <w:rPr>
          <w:rFonts w:ascii="Calibri" w:hAnsi="Calibri"/>
          <w:color w:val="auto"/>
          <w:sz w:val="24"/>
        </w:rPr>
      </w:pPr>
      <w:r>
        <w:rPr>
          <w:rFonts w:ascii="Calibri" w:hAnsi="Calibri" w:hint="eastAsia"/>
          <w:color w:val="auto"/>
          <w:sz w:val="24"/>
        </w:rPr>
        <w:t>为</w:t>
      </w:r>
      <w:r>
        <w:rPr>
          <w:rFonts w:ascii="Calibri" w:hAnsi="Calibri"/>
          <w:color w:val="auto"/>
          <w:sz w:val="24"/>
        </w:rPr>
        <w:t>防止尼龙</w:t>
      </w:r>
      <w:r>
        <w:rPr>
          <w:rFonts w:ascii="Calibri" w:hAnsi="Calibri" w:hint="eastAsia"/>
          <w:color w:val="auto"/>
          <w:sz w:val="24"/>
        </w:rPr>
        <w:t>66</w:t>
      </w:r>
      <w:r>
        <w:rPr>
          <w:rFonts w:ascii="Calibri" w:hAnsi="Calibri" w:hint="eastAsia"/>
          <w:color w:val="auto"/>
          <w:sz w:val="24"/>
        </w:rPr>
        <w:t>盐</w:t>
      </w:r>
      <w:r>
        <w:rPr>
          <w:rFonts w:ascii="Calibri" w:hAnsi="Calibri"/>
          <w:color w:val="auto"/>
          <w:sz w:val="24"/>
        </w:rPr>
        <w:t>在调配及贮存</w:t>
      </w:r>
      <w:r>
        <w:rPr>
          <w:rFonts w:ascii="Calibri" w:hAnsi="Calibri" w:hint="eastAsia"/>
          <w:color w:val="auto"/>
          <w:sz w:val="24"/>
        </w:rPr>
        <w:t>过程</w:t>
      </w:r>
      <w:r>
        <w:rPr>
          <w:rFonts w:ascii="Calibri" w:hAnsi="Calibri"/>
          <w:color w:val="auto"/>
          <w:sz w:val="24"/>
        </w:rPr>
        <w:t>中产生结晶，调配罐</w:t>
      </w:r>
      <w:r>
        <w:rPr>
          <w:rFonts w:ascii="Calibri" w:hAnsi="Calibri" w:hint="eastAsia"/>
          <w:color w:val="auto"/>
          <w:sz w:val="24"/>
        </w:rPr>
        <w:t>及</w:t>
      </w:r>
      <w:r>
        <w:rPr>
          <w:rFonts w:ascii="Calibri" w:hAnsi="Calibri"/>
          <w:color w:val="auto"/>
          <w:sz w:val="24"/>
        </w:rPr>
        <w:t>贮存罐</w:t>
      </w:r>
      <w:r>
        <w:rPr>
          <w:rFonts w:ascii="Calibri" w:hAnsi="Calibri" w:hint="eastAsia"/>
          <w:color w:val="auto"/>
          <w:sz w:val="24"/>
        </w:rPr>
        <w:t>都有</w:t>
      </w:r>
      <w:r>
        <w:rPr>
          <w:rFonts w:ascii="Calibri" w:hAnsi="Calibri"/>
          <w:color w:val="auto"/>
          <w:sz w:val="24"/>
        </w:rPr>
        <w:t>夹套保温，溶解温度保持在</w:t>
      </w:r>
      <w:r>
        <w:rPr>
          <w:rFonts w:ascii="Calibri" w:hAnsi="Calibri" w:hint="eastAsia"/>
          <w:color w:val="auto"/>
          <w:sz w:val="24"/>
        </w:rPr>
        <w:t>50-60</w:t>
      </w:r>
      <w:r>
        <w:rPr>
          <w:rFonts w:ascii="Calibri" w:hAnsi="Calibri" w:hint="eastAsia"/>
          <w:color w:val="auto"/>
          <w:sz w:val="24"/>
        </w:rPr>
        <w:t>℃</w:t>
      </w:r>
      <w:r>
        <w:rPr>
          <w:rFonts w:ascii="Calibri" w:hAnsi="Calibri"/>
          <w:color w:val="auto"/>
          <w:sz w:val="24"/>
        </w:rPr>
        <w:t>。</w:t>
      </w:r>
    </w:p>
    <w:p w14:paraId="0374B516" w14:textId="77777777" w:rsidR="00B96560" w:rsidRPr="00B96560" w:rsidRDefault="00B96560" w:rsidP="00ED657C">
      <w:pPr>
        <w:spacing w:line="520" w:lineRule="exact"/>
        <w:ind w:firstLineChars="200" w:firstLine="480"/>
        <w:rPr>
          <w:rFonts w:ascii="Calibri" w:hAnsi="Calibri"/>
          <w:color w:val="auto"/>
          <w:sz w:val="24"/>
        </w:rPr>
      </w:pPr>
      <w:r w:rsidRPr="00B96560">
        <w:rPr>
          <w:rFonts w:ascii="Calibri" w:hAnsi="Calibri" w:hint="eastAsia"/>
          <w:color w:val="auto"/>
          <w:sz w:val="24"/>
        </w:rPr>
        <w:t>污染治理：</w:t>
      </w:r>
      <w:r w:rsidR="00ED657C" w:rsidRPr="00B16D08">
        <w:rPr>
          <w:rFonts w:ascii="Calibri" w:hAnsi="Calibri"/>
          <w:color w:val="auto"/>
          <w:sz w:val="24"/>
        </w:rPr>
        <w:t>1010</w:t>
      </w:r>
      <w:r w:rsidR="00ED657C" w:rsidRPr="00B16D08">
        <w:rPr>
          <w:rFonts w:ascii="Calibri" w:hAnsi="Calibri"/>
          <w:color w:val="auto"/>
          <w:sz w:val="24"/>
        </w:rPr>
        <w:t>盐</w:t>
      </w:r>
      <w:r w:rsidR="00ED657C">
        <w:rPr>
          <w:rFonts w:ascii="Calibri" w:hAnsi="Calibri" w:hint="eastAsia"/>
          <w:color w:val="auto"/>
          <w:sz w:val="24"/>
        </w:rPr>
        <w:t>、</w:t>
      </w:r>
      <w:r w:rsidR="00ED657C" w:rsidRPr="00B16D08">
        <w:rPr>
          <w:rFonts w:ascii="Calibri" w:hAnsi="Calibri"/>
          <w:color w:val="auto"/>
          <w:sz w:val="24"/>
        </w:rPr>
        <w:t>尼龙</w:t>
      </w:r>
      <w:r w:rsidR="00ED657C" w:rsidRPr="00B16D08">
        <w:rPr>
          <w:rFonts w:ascii="Calibri" w:hAnsi="Calibri" w:hint="eastAsia"/>
          <w:color w:val="auto"/>
          <w:sz w:val="24"/>
        </w:rPr>
        <w:t>-12</w:t>
      </w:r>
      <w:r w:rsidR="00ED657C" w:rsidRPr="00B16D08">
        <w:rPr>
          <w:rFonts w:ascii="Calibri" w:hAnsi="Calibri" w:hint="eastAsia"/>
          <w:color w:val="auto"/>
          <w:sz w:val="24"/>
        </w:rPr>
        <w:t>盐</w:t>
      </w:r>
      <w:r w:rsidR="00ED657C">
        <w:rPr>
          <w:rFonts w:ascii="Calibri" w:hAnsi="Calibri" w:hint="eastAsia"/>
          <w:color w:val="auto"/>
          <w:sz w:val="24"/>
        </w:rPr>
        <w:t>为</w:t>
      </w:r>
      <w:r w:rsidR="00ED657C">
        <w:rPr>
          <w:rFonts w:ascii="Calibri" w:hAnsi="Calibri"/>
          <w:color w:val="auto"/>
          <w:sz w:val="24"/>
        </w:rPr>
        <w:t>颗粒状的，投料过程不产生粉尘</w:t>
      </w:r>
      <w:r w:rsidR="00ED657C">
        <w:rPr>
          <w:rFonts w:ascii="Calibri" w:hAnsi="Calibri" w:hint="eastAsia"/>
          <w:color w:val="auto"/>
          <w:sz w:val="24"/>
        </w:rPr>
        <w:t>；</w:t>
      </w:r>
      <w:r w:rsidRPr="00B96560">
        <w:rPr>
          <w:rFonts w:ascii="Calibri" w:hAnsi="Calibri" w:hint="eastAsia"/>
          <w:color w:val="auto"/>
          <w:sz w:val="24"/>
        </w:rPr>
        <w:t>助剂</w:t>
      </w:r>
      <w:r w:rsidRPr="005C008F">
        <w:rPr>
          <w:rFonts w:ascii="Calibri" w:hAnsi="Calibri" w:hint="eastAsia"/>
          <w:color w:val="auto"/>
          <w:sz w:val="24"/>
        </w:rPr>
        <w:t>次磷酸钠</w:t>
      </w:r>
      <w:r w:rsidRPr="00B96560">
        <w:rPr>
          <w:rFonts w:ascii="Calibri" w:hAnsi="Calibri" w:hint="eastAsia"/>
          <w:color w:val="auto"/>
          <w:sz w:val="24"/>
        </w:rPr>
        <w:t>下料过程中会产生粉尘废气，</w:t>
      </w:r>
      <w:r w:rsidR="006A6BCC">
        <w:rPr>
          <w:rFonts w:ascii="Calibri" w:hAnsi="Calibri"/>
          <w:color w:val="auto"/>
          <w:sz w:val="24"/>
        </w:rPr>
        <w:t>但由于使用量较少，且密闭投加，进一步减少粉尘的产生量。</w:t>
      </w:r>
    </w:p>
    <w:p w14:paraId="2F53ADE3" w14:textId="77777777" w:rsidR="00B16D08" w:rsidRPr="00B16D08" w:rsidRDefault="00B16D08" w:rsidP="00B16D08">
      <w:pPr>
        <w:spacing w:line="520" w:lineRule="exact"/>
        <w:ind w:firstLineChars="200" w:firstLine="480"/>
        <w:rPr>
          <w:rFonts w:ascii="Calibri" w:hAnsi="Calibri"/>
          <w:color w:val="auto"/>
          <w:sz w:val="24"/>
        </w:rPr>
      </w:pPr>
      <w:r w:rsidRPr="00B16D08">
        <w:rPr>
          <w:rFonts w:ascii="Calibri" w:hAnsi="Calibri" w:hint="eastAsia"/>
          <w:color w:val="auto"/>
          <w:sz w:val="24"/>
        </w:rPr>
        <w:t>③聚合工段</w:t>
      </w:r>
    </w:p>
    <w:p w14:paraId="3842AD57" w14:textId="77777777" w:rsidR="00B16D08" w:rsidRPr="00B16D08" w:rsidRDefault="00B16D08" w:rsidP="00951AD6">
      <w:pPr>
        <w:spacing w:line="520" w:lineRule="exact"/>
        <w:ind w:firstLineChars="200" w:firstLine="480"/>
        <w:rPr>
          <w:rFonts w:ascii="Calibri" w:hAnsi="Calibri"/>
          <w:color w:val="auto"/>
          <w:sz w:val="24"/>
        </w:rPr>
      </w:pPr>
      <w:r w:rsidRPr="00B16D08">
        <w:rPr>
          <w:rFonts w:ascii="Calibri" w:hAnsi="Calibri" w:hint="eastAsia"/>
          <w:color w:val="auto"/>
          <w:sz w:val="24"/>
        </w:rPr>
        <w:t>用导热油对反应釜加热，加热至</w:t>
      </w:r>
      <w:r w:rsidRPr="00B16D08">
        <w:rPr>
          <w:rFonts w:ascii="Calibri" w:hAnsi="Calibri"/>
          <w:color w:val="auto"/>
          <w:sz w:val="24"/>
        </w:rPr>
        <w:t>220</w:t>
      </w:r>
      <w:r w:rsidRPr="00B16D08">
        <w:rPr>
          <w:rFonts w:ascii="Calibri" w:hAnsi="Calibri"/>
          <w:color w:val="auto"/>
          <w:sz w:val="24"/>
        </w:rPr>
        <w:t>～</w:t>
      </w:r>
      <w:r w:rsidRPr="00B16D08">
        <w:rPr>
          <w:rFonts w:ascii="Calibri" w:hAnsi="Calibri"/>
          <w:color w:val="auto"/>
          <w:sz w:val="24"/>
        </w:rPr>
        <w:t>250</w:t>
      </w:r>
      <w:r w:rsidRPr="00B16D08">
        <w:rPr>
          <w:rFonts w:ascii="Calibri" w:hAnsi="Calibri" w:hint="eastAsia"/>
          <w:color w:val="auto"/>
          <w:sz w:val="24"/>
        </w:rPr>
        <w:t>℃</w:t>
      </w:r>
      <w:r w:rsidRPr="00B16D08">
        <w:rPr>
          <w:rFonts w:ascii="Calibri" w:hAnsi="Calibri"/>
          <w:color w:val="auto"/>
          <w:sz w:val="24"/>
        </w:rPr>
        <w:t>，加热产生水蒸气，在釜中产生所需要的压力</w:t>
      </w:r>
      <w:r w:rsidR="00951AD6" w:rsidRPr="00951AD6">
        <w:rPr>
          <w:rFonts w:ascii="Calibri" w:hAnsi="Calibri" w:hint="eastAsia"/>
          <w:color w:val="auto"/>
          <w:sz w:val="24"/>
        </w:rPr>
        <w:t>1MPa</w:t>
      </w:r>
      <w:r w:rsidR="00951AD6" w:rsidRPr="00951AD6">
        <w:rPr>
          <w:rFonts w:ascii="Calibri" w:hAnsi="Calibri" w:hint="eastAsia"/>
          <w:color w:val="auto"/>
          <w:sz w:val="24"/>
        </w:rPr>
        <w:t>左右并保持</w:t>
      </w:r>
      <w:r w:rsidR="00951AD6">
        <w:rPr>
          <w:rFonts w:ascii="Calibri" w:hAnsi="Calibri"/>
          <w:color w:val="auto"/>
          <w:sz w:val="24"/>
        </w:rPr>
        <w:t>2</w:t>
      </w:r>
      <w:r w:rsidR="00951AD6" w:rsidRPr="00951AD6">
        <w:rPr>
          <w:rFonts w:ascii="Calibri" w:hAnsi="Calibri" w:hint="eastAsia"/>
          <w:color w:val="auto"/>
          <w:sz w:val="24"/>
        </w:rPr>
        <w:t>h</w:t>
      </w:r>
      <w:r w:rsidR="00951AD6" w:rsidRPr="00951AD6">
        <w:rPr>
          <w:rFonts w:ascii="Calibri" w:hAnsi="Calibri" w:hint="eastAsia"/>
          <w:color w:val="auto"/>
          <w:sz w:val="24"/>
        </w:rPr>
        <w:t>左右</w:t>
      </w:r>
      <w:r w:rsidRPr="00B16D08">
        <w:rPr>
          <w:rFonts w:ascii="Calibri" w:hAnsi="Calibri"/>
          <w:color w:val="auto"/>
          <w:sz w:val="24"/>
        </w:rPr>
        <w:t>进行初步缩聚。然后逐步</w:t>
      </w:r>
      <w:r w:rsidR="00951AD6">
        <w:rPr>
          <w:rFonts w:ascii="Calibri" w:hAnsi="Calibri" w:hint="eastAsia"/>
          <w:color w:val="auto"/>
          <w:sz w:val="24"/>
        </w:rPr>
        <w:t>减压</w:t>
      </w:r>
      <w:r w:rsidR="00951AD6">
        <w:rPr>
          <w:rFonts w:ascii="Calibri" w:hAnsi="Calibri"/>
          <w:color w:val="auto"/>
          <w:sz w:val="24"/>
        </w:rPr>
        <w:t>，</w:t>
      </w:r>
      <w:r w:rsidRPr="00B16D08">
        <w:rPr>
          <w:rFonts w:ascii="Calibri" w:hAnsi="Calibri"/>
          <w:color w:val="auto"/>
          <w:sz w:val="24"/>
        </w:rPr>
        <w:t>使压力在</w:t>
      </w:r>
      <w:r w:rsidRPr="00B16D08">
        <w:rPr>
          <w:rFonts w:ascii="Calibri" w:hAnsi="Calibri"/>
          <w:color w:val="auto"/>
          <w:sz w:val="24"/>
        </w:rPr>
        <w:t>2h</w:t>
      </w:r>
      <w:r w:rsidRPr="00B16D08">
        <w:rPr>
          <w:rFonts w:ascii="Calibri" w:hAnsi="Calibri"/>
          <w:color w:val="auto"/>
          <w:sz w:val="24"/>
        </w:rPr>
        <w:t>左右下降至接近常压，而温度则逐步上升至</w:t>
      </w:r>
      <w:r w:rsidRPr="00B16D08">
        <w:rPr>
          <w:rFonts w:ascii="Calibri" w:hAnsi="Calibri"/>
          <w:color w:val="auto"/>
          <w:sz w:val="24"/>
        </w:rPr>
        <w:t>270</w:t>
      </w:r>
      <w:r w:rsidRPr="00B16D08">
        <w:rPr>
          <w:rFonts w:ascii="Calibri" w:hAnsi="Calibri"/>
          <w:color w:val="auto"/>
          <w:sz w:val="24"/>
        </w:rPr>
        <w:t>～</w:t>
      </w:r>
      <w:r w:rsidRPr="00B16D08">
        <w:rPr>
          <w:rFonts w:ascii="Calibri" w:hAnsi="Calibri"/>
          <w:color w:val="auto"/>
          <w:sz w:val="24"/>
        </w:rPr>
        <w:t>280</w:t>
      </w:r>
      <w:r w:rsidRPr="00B16D08">
        <w:rPr>
          <w:rFonts w:ascii="Calibri" w:hAnsi="Calibri" w:hint="eastAsia"/>
          <w:color w:val="auto"/>
          <w:sz w:val="24"/>
        </w:rPr>
        <w:t>℃</w:t>
      </w:r>
      <w:r w:rsidRPr="00B16D08">
        <w:rPr>
          <w:rFonts w:ascii="Calibri" w:hAnsi="Calibri"/>
          <w:color w:val="auto"/>
          <w:sz w:val="24"/>
        </w:rPr>
        <w:t>。接着抽真空，使真空度逐步</w:t>
      </w:r>
      <w:r w:rsidRPr="00B16D08">
        <w:rPr>
          <w:rFonts w:ascii="Calibri" w:hAnsi="Calibri"/>
          <w:color w:val="auto"/>
          <w:sz w:val="24"/>
        </w:rPr>
        <w:lastRenderedPageBreak/>
        <w:t>提高，经</w:t>
      </w:r>
      <w:r w:rsidRPr="00B16D08">
        <w:rPr>
          <w:rFonts w:ascii="Calibri" w:hAnsi="Calibri"/>
          <w:color w:val="auto"/>
          <w:sz w:val="24"/>
        </w:rPr>
        <w:t>1h</w:t>
      </w:r>
      <w:r w:rsidRPr="00B16D08">
        <w:rPr>
          <w:rFonts w:ascii="Calibri" w:hAnsi="Calibri"/>
          <w:color w:val="auto"/>
          <w:sz w:val="24"/>
        </w:rPr>
        <w:t>左右真空度达</w:t>
      </w:r>
      <w:r w:rsidRPr="00B16D08">
        <w:rPr>
          <w:rFonts w:ascii="Calibri" w:hAnsi="Calibri"/>
          <w:color w:val="auto"/>
          <w:sz w:val="24"/>
        </w:rPr>
        <w:t>93</w:t>
      </w:r>
      <w:r w:rsidRPr="00B16D08">
        <w:rPr>
          <w:rFonts w:ascii="Calibri" w:hAnsi="Calibri"/>
          <w:color w:val="auto"/>
          <w:sz w:val="24"/>
        </w:rPr>
        <w:t>～</w:t>
      </w:r>
      <w:r w:rsidRPr="00B16D08">
        <w:rPr>
          <w:rFonts w:ascii="Calibri" w:hAnsi="Calibri"/>
          <w:color w:val="auto"/>
          <w:sz w:val="24"/>
        </w:rPr>
        <w:t>100KPa</w:t>
      </w:r>
      <w:r w:rsidRPr="00B16D08">
        <w:rPr>
          <w:rFonts w:ascii="Calibri" w:hAnsi="Calibri"/>
          <w:color w:val="auto"/>
          <w:sz w:val="24"/>
        </w:rPr>
        <w:t>，在该真空度下保持</w:t>
      </w:r>
      <w:r w:rsidRPr="00B16D08">
        <w:rPr>
          <w:rFonts w:ascii="Calibri" w:hAnsi="Calibri"/>
          <w:color w:val="auto"/>
          <w:sz w:val="24"/>
        </w:rPr>
        <w:t>45min</w:t>
      </w:r>
      <w:r w:rsidRPr="00B16D08">
        <w:rPr>
          <w:rFonts w:ascii="Calibri" w:hAnsi="Calibri"/>
          <w:color w:val="auto"/>
          <w:sz w:val="24"/>
        </w:rPr>
        <w:t>聚合结束。在整个聚合过程中多余的蒸汽经管道，冷凝器排出生成高品质的冷却水，以备配料使用。</w:t>
      </w:r>
    </w:p>
    <w:p w14:paraId="7100AE35" w14:textId="77777777" w:rsidR="001C5996" w:rsidRPr="001C5996" w:rsidRDefault="00B16D08" w:rsidP="001C5996">
      <w:pPr>
        <w:spacing w:line="520" w:lineRule="exact"/>
        <w:ind w:firstLineChars="200" w:firstLine="482"/>
        <w:rPr>
          <w:rFonts w:ascii="Calibri" w:hAnsi="Calibri"/>
          <w:b/>
          <w:color w:val="auto"/>
          <w:sz w:val="24"/>
          <w:u w:val="single"/>
        </w:rPr>
      </w:pPr>
      <w:r w:rsidRPr="008A7321">
        <w:rPr>
          <w:rFonts w:ascii="Calibri" w:hAnsi="Calibri" w:hint="eastAsia"/>
          <w:b/>
          <w:color w:val="auto"/>
          <w:sz w:val="24"/>
          <w:u w:val="single"/>
        </w:rPr>
        <w:t>其在反应釜内发生的主要缩聚反应方程式如下：</w:t>
      </w:r>
    </w:p>
    <w:p w14:paraId="42280BA8" w14:textId="77777777" w:rsidR="001C5996" w:rsidRPr="007660BC" w:rsidRDefault="001C5996" w:rsidP="001C5996">
      <w:pPr>
        <w:spacing w:line="520" w:lineRule="exact"/>
        <w:ind w:firstLineChars="200" w:firstLine="482"/>
        <w:rPr>
          <w:rFonts w:ascii="Calibri" w:hAnsi="Calibri"/>
          <w:b/>
          <w:color w:val="auto"/>
          <w:sz w:val="24"/>
          <w:u w:val="single"/>
        </w:rPr>
      </w:pPr>
      <w:r w:rsidRPr="007660BC">
        <w:rPr>
          <w:rFonts w:ascii="Calibri" w:hAnsi="Calibri" w:hint="eastAsia"/>
          <w:b/>
          <w:color w:val="auto"/>
          <w:sz w:val="24"/>
          <w:u w:val="single"/>
        </w:rPr>
        <w:t>[-NH-(CH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11</w:t>
      </w:r>
      <w:r w:rsidRPr="007660BC">
        <w:rPr>
          <w:rFonts w:ascii="Calibri" w:hAnsi="Calibri" w:hint="eastAsia"/>
          <w:b/>
          <w:color w:val="auto"/>
          <w:sz w:val="24"/>
          <w:u w:val="single"/>
        </w:rPr>
        <w:t>-CO-]n+[H</w:t>
      </w:r>
      <w:r w:rsidRPr="007660BC">
        <w:rPr>
          <w:rFonts w:ascii="Calibri" w:hAnsi="Calibri" w:hint="eastAsia"/>
          <w:b/>
          <w:color w:val="auto"/>
          <w:sz w:val="24"/>
          <w:u w:val="single"/>
          <w:vertAlign w:val="subscript"/>
        </w:rPr>
        <w:t>3</w:t>
      </w:r>
      <w:r w:rsidRPr="007660BC">
        <w:rPr>
          <w:rFonts w:ascii="Calibri" w:hAnsi="Calibri" w:hint="eastAsia"/>
          <w:b/>
          <w:color w:val="auto"/>
          <w:sz w:val="24"/>
          <w:u w:val="single"/>
        </w:rPr>
        <w:t>N</w:t>
      </w:r>
      <w:r w:rsidR="00B9000E" w:rsidRPr="00B9000E">
        <w:rPr>
          <w:rFonts w:ascii="Calibri" w:hAnsi="Calibri"/>
          <w:b/>
          <w:color w:val="auto"/>
          <w:sz w:val="24"/>
          <w:u w:val="single"/>
          <w:vertAlign w:val="superscript"/>
        </w:rPr>
        <w:t>+</w:t>
      </w:r>
      <w:r w:rsidRPr="007660BC">
        <w:rPr>
          <w:rFonts w:ascii="Calibri" w:hAnsi="Calibri" w:hint="eastAsia"/>
          <w:b/>
          <w:color w:val="auto"/>
          <w:sz w:val="24"/>
          <w:u w:val="single"/>
        </w:rPr>
        <w:t>(CH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6</w:t>
      </w:r>
      <w:r w:rsidRPr="007660BC">
        <w:rPr>
          <w:rFonts w:ascii="Calibri" w:hAnsi="Calibri" w:hint="eastAsia"/>
          <w:b/>
          <w:color w:val="auto"/>
          <w:sz w:val="24"/>
          <w:u w:val="single"/>
        </w:rPr>
        <w:t>NH</w:t>
      </w:r>
      <w:r w:rsidRPr="007660BC">
        <w:rPr>
          <w:rFonts w:ascii="Calibri" w:hAnsi="Calibri" w:hint="eastAsia"/>
          <w:b/>
          <w:color w:val="auto"/>
          <w:sz w:val="24"/>
          <w:u w:val="single"/>
          <w:vertAlign w:val="subscript"/>
        </w:rPr>
        <w:t>3</w:t>
      </w:r>
      <w:r w:rsidRPr="00B9000E">
        <w:rPr>
          <w:rFonts w:ascii="Calibri" w:hAnsi="Calibri" w:hint="eastAsia"/>
          <w:b/>
          <w:color w:val="auto"/>
          <w:sz w:val="24"/>
          <w:u w:val="single"/>
          <w:vertAlign w:val="superscript"/>
        </w:rPr>
        <w:t>+</w:t>
      </w:r>
      <w:r w:rsidR="00B9000E" w:rsidRPr="00B9000E">
        <w:rPr>
          <w:rFonts w:asciiTheme="minorHAnsi" w:hAnsiTheme="minorHAnsi"/>
          <w:b/>
          <w:color w:val="auto"/>
          <w:sz w:val="24"/>
          <w:u w:val="single"/>
        </w:rPr>
        <w:t>·</w:t>
      </w:r>
      <w:r w:rsidRPr="00B9000E">
        <w:rPr>
          <w:rFonts w:ascii="Calibri" w:hAnsi="Calibri" w:hint="eastAsia"/>
          <w:b/>
          <w:color w:val="auto"/>
          <w:sz w:val="24"/>
          <w:u w:val="single"/>
          <w:vertAlign w:val="superscript"/>
        </w:rPr>
        <w:t>-</w:t>
      </w:r>
      <w:r w:rsidRPr="007660BC">
        <w:rPr>
          <w:rFonts w:ascii="Calibri" w:hAnsi="Calibri" w:hint="eastAsia"/>
          <w:b/>
          <w:color w:val="auto"/>
          <w:sz w:val="24"/>
          <w:u w:val="single"/>
        </w:rPr>
        <w:t>OOC(CH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4</w:t>
      </w:r>
      <w:r w:rsidRPr="007660BC">
        <w:rPr>
          <w:rFonts w:ascii="Calibri" w:hAnsi="Calibri" w:hint="eastAsia"/>
          <w:b/>
          <w:color w:val="auto"/>
          <w:sz w:val="24"/>
          <w:u w:val="single"/>
        </w:rPr>
        <w:t>COO-]n</w:t>
      </w:r>
      <w:r w:rsidR="00B9000E" w:rsidRPr="00B9000E">
        <w:rPr>
          <w:rFonts w:asciiTheme="minorEastAsia" w:eastAsiaTheme="minorEastAsia" w:hAnsiTheme="minorEastAsia"/>
          <w:b/>
          <w:color w:val="auto"/>
          <w:sz w:val="24"/>
          <w:u w:val="single"/>
        </w:rPr>
        <w:t>→</w:t>
      </w:r>
      <w:r w:rsidRPr="007660BC">
        <w:rPr>
          <w:rFonts w:ascii="Calibri" w:hAnsi="Calibri" w:hint="eastAsia"/>
          <w:b/>
          <w:color w:val="auto"/>
          <w:sz w:val="24"/>
          <w:u w:val="single"/>
        </w:rPr>
        <w:t>[-NH-(CH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11</w:t>
      </w:r>
      <w:r w:rsidRPr="007660BC">
        <w:rPr>
          <w:rFonts w:ascii="Calibri" w:hAnsi="Calibri" w:hint="eastAsia"/>
          <w:b/>
          <w:color w:val="auto"/>
          <w:sz w:val="24"/>
          <w:u w:val="single"/>
        </w:rPr>
        <w:t>-COHN(CH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6</w:t>
      </w:r>
      <w:r w:rsidRPr="007660BC">
        <w:rPr>
          <w:rFonts w:ascii="Calibri" w:hAnsi="Calibri" w:hint="eastAsia"/>
          <w:b/>
          <w:color w:val="auto"/>
          <w:sz w:val="24"/>
          <w:u w:val="single"/>
        </w:rPr>
        <w:t>NHCO(CH</w:t>
      </w:r>
      <w:r w:rsidRPr="00B9000E">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9D596E">
        <w:rPr>
          <w:rFonts w:ascii="Calibri" w:hAnsi="Calibri" w:hint="eastAsia"/>
          <w:b/>
          <w:color w:val="auto"/>
          <w:sz w:val="24"/>
          <w:u w:val="single"/>
          <w:vertAlign w:val="subscript"/>
        </w:rPr>
        <w:t>4</w:t>
      </w:r>
      <w:r w:rsidRPr="007660BC">
        <w:rPr>
          <w:rFonts w:ascii="Calibri" w:hAnsi="Calibri" w:hint="eastAsia"/>
          <w:b/>
          <w:color w:val="auto"/>
          <w:sz w:val="24"/>
          <w:u w:val="single"/>
        </w:rPr>
        <w:t>CO-]n+2nH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O</w:t>
      </w:r>
    </w:p>
    <w:p w14:paraId="15541529" w14:textId="77777777" w:rsidR="00DD2AE9" w:rsidRPr="007660BC" w:rsidRDefault="001C5996" w:rsidP="007660BC">
      <w:pPr>
        <w:spacing w:line="520" w:lineRule="exact"/>
        <w:ind w:firstLineChars="200" w:firstLine="482"/>
        <w:rPr>
          <w:rFonts w:ascii="Calibri" w:hAnsi="Calibri"/>
          <w:b/>
          <w:color w:val="auto"/>
          <w:sz w:val="24"/>
          <w:u w:val="single"/>
        </w:rPr>
      </w:pPr>
      <w:r w:rsidRPr="007660BC">
        <w:rPr>
          <w:rFonts w:ascii="Calibri" w:hAnsi="Calibri" w:hint="eastAsia"/>
          <w:b/>
          <w:color w:val="auto"/>
          <w:sz w:val="24"/>
          <w:u w:val="single"/>
        </w:rPr>
        <w:t>[-NH-(CH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10</w:t>
      </w:r>
      <w:r w:rsidRPr="007660BC">
        <w:rPr>
          <w:rFonts w:ascii="Calibri" w:hAnsi="Calibri" w:hint="eastAsia"/>
          <w:b/>
          <w:color w:val="auto"/>
          <w:sz w:val="24"/>
          <w:u w:val="single"/>
        </w:rPr>
        <w:t>-NHCO-(CH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8</w:t>
      </w:r>
      <w:r w:rsidRPr="007660BC">
        <w:rPr>
          <w:rFonts w:ascii="Calibri" w:hAnsi="Calibri" w:hint="eastAsia"/>
          <w:b/>
          <w:color w:val="auto"/>
          <w:sz w:val="24"/>
          <w:u w:val="single"/>
        </w:rPr>
        <w:t>-CO-]n+[H</w:t>
      </w:r>
      <w:r w:rsidRPr="007660BC">
        <w:rPr>
          <w:rFonts w:ascii="Calibri" w:hAnsi="Calibri" w:hint="eastAsia"/>
          <w:b/>
          <w:color w:val="auto"/>
          <w:sz w:val="24"/>
          <w:u w:val="single"/>
          <w:vertAlign w:val="subscript"/>
        </w:rPr>
        <w:t>3</w:t>
      </w:r>
      <w:r w:rsidRPr="007660BC">
        <w:rPr>
          <w:rFonts w:ascii="Calibri" w:hAnsi="Calibri" w:hint="eastAsia"/>
          <w:b/>
          <w:color w:val="auto"/>
          <w:sz w:val="24"/>
          <w:u w:val="single"/>
        </w:rPr>
        <w:t>N(CH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6</w:t>
      </w:r>
      <w:r w:rsidRPr="007660BC">
        <w:rPr>
          <w:rFonts w:ascii="Calibri" w:hAnsi="Calibri" w:hint="eastAsia"/>
          <w:b/>
          <w:color w:val="auto"/>
          <w:sz w:val="24"/>
          <w:u w:val="single"/>
        </w:rPr>
        <w:t>NH</w:t>
      </w:r>
      <w:r w:rsidRPr="007660BC">
        <w:rPr>
          <w:rFonts w:ascii="Calibri" w:hAnsi="Calibri" w:hint="eastAsia"/>
          <w:b/>
          <w:color w:val="auto"/>
          <w:sz w:val="24"/>
          <w:u w:val="single"/>
          <w:vertAlign w:val="subscript"/>
        </w:rPr>
        <w:t>3</w:t>
      </w:r>
      <w:r w:rsidRPr="00B9000E">
        <w:rPr>
          <w:rFonts w:ascii="Calibri" w:hAnsi="Calibri" w:hint="eastAsia"/>
          <w:b/>
          <w:color w:val="auto"/>
          <w:sz w:val="24"/>
          <w:u w:val="single"/>
          <w:vertAlign w:val="superscript"/>
        </w:rPr>
        <w:t>+</w:t>
      </w:r>
      <w:r w:rsidR="00B9000E" w:rsidRPr="00B9000E">
        <w:rPr>
          <w:rFonts w:asciiTheme="minorHAnsi" w:hAnsiTheme="minorHAnsi"/>
          <w:b/>
          <w:color w:val="auto"/>
          <w:sz w:val="24"/>
          <w:u w:val="single"/>
        </w:rPr>
        <w:t>·</w:t>
      </w:r>
      <w:r w:rsidRPr="00B9000E">
        <w:rPr>
          <w:rFonts w:ascii="Calibri" w:hAnsi="Calibri" w:hint="eastAsia"/>
          <w:b/>
          <w:color w:val="auto"/>
          <w:sz w:val="24"/>
          <w:u w:val="single"/>
          <w:vertAlign w:val="superscript"/>
        </w:rPr>
        <w:t>-</w:t>
      </w:r>
      <w:r w:rsidRPr="007660BC">
        <w:rPr>
          <w:rFonts w:ascii="Calibri" w:hAnsi="Calibri" w:hint="eastAsia"/>
          <w:b/>
          <w:color w:val="auto"/>
          <w:sz w:val="24"/>
          <w:u w:val="single"/>
        </w:rPr>
        <w:t>OOC(CH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4</w:t>
      </w:r>
      <w:r w:rsidRPr="007660BC">
        <w:rPr>
          <w:rFonts w:ascii="Calibri" w:hAnsi="Calibri" w:hint="eastAsia"/>
          <w:b/>
          <w:color w:val="auto"/>
          <w:sz w:val="24"/>
          <w:u w:val="single"/>
        </w:rPr>
        <w:t>COO-]n</w:t>
      </w:r>
      <w:r w:rsidRPr="007660BC">
        <w:rPr>
          <w:rFonts w:ascii="Calibri" w:hAnsi="Calibri" w:hint="eastAsia"/>
          <w:b/>
          <w:color w:val="auto"/>
          <w:sz w:val="24"/>
          <w:u w:val="single"/>
        </w:rPr>
        <w:t>→</w:t>
      </w:r>
      <w:r w:rsidRPr="007660BC">
        <w:rPr>
          <w:rFonts w:ascii="Calibri" w:hAnsi="Calibri" w:hint="eastAsia"/>
          <w:b/>
          <w:color w:val="auto"/>
          <w:sz w:val="24"/>
          <w:u w:val="single"/>
        </w:rPr>
        <w:t>[-NH-(CH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10</w:t>
      </w:r>
      <w:r w:rsidRPr="007660BC">
        <w:rPr>
          <w:rFonts w:ascii="Calibri" w:hAnsi="Calibri" w:hint="eastAsia"/>
          <w:b/>
          <w:color w:val="auto"/>
          <w:sz w:val="24"/>
          <w:u w:val="single"/>
        </w:rPr>
        <w:t>-NHCO-(CH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8</w:t>
      </w:r>
      <w:r w:rsidRPr="007660BC">
        <w:rPr>
          <w:rFonts w:ascii="Calibri" w:hAnsi="Calibri" w:hint="eastAsia"/>
          <w:b/>
          <w:color w:val="auto"/>
          <w:sz w:val="24"/>
          <w:u w:val="single"/>
        </w:rPr>
        <w:t>-COHN(CH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6</w:t>
      </w:r>
      <w:r w:rsidRPr="007660BC">
        <w:rPr>
          <w:rFonts w:ascii="Calibri" w:hAnsi="Calibri" w:hint="eastAsia"/>
          <w:b/>
          <w:color w:val="auto"/>
          <w:sz w:val="24"/>
          <w:u w:val="single"/>
        </w:rPr>
        <w:t>NHCO(CH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w:t>
      </w:r>
      <w:r w:rsidRPr="007660BC">
        <w:rPr>
          <w:rFonts w:ascii="Calibri" w:hAnsi="Calibri" w:hint="eastAsia"/>
          <w:b/>
          <w:color w:val="auto"/>
          <w:sz w:val="24"/>
          <w:u w:val="single"/>
          <w:vertAlign w:val="subscript"/>
        </w:rPr>
        <w:t>4</w:t>
      </w:r>
      <w:r w:rsidRPr="007660BC">
        <w:rPr>
          <w:rFonts w:ascii="Calibri" w:hAnsi="Calibri" w:hint="eastAsia"/>
          <w:b/>
          <w:color w:val="auto"/>
          <w:sz w:val="24"/>
          <w:u w:val="single"/>
        </w:rPr>
        <w:t>CO-]n+2nH</w:t>
      </w:r>
      <w:r w:rsidRPr="007660BC">
        <w:rPr>
          <w:rFonts w:ascii="Calibri" w:hAnsi="Calibri" w:hint="eastAsia"/>
          <w:b/>
          <w:color w:val="auto"/>
          <w:sz w:val="24"/>
          <w:u w:val="single"/>
          <w:vertAlign w:val="subscript"/>
        </w:rPr>
        <w:t>2</w:t>
      </w:r>
      <w:r w:rsidRPr="007660BC">
        <w:rPr>
          <w:rFonts w:ascii="Calibri" w:hAnsi="Calibri" w:hint="eastAsia"/>
          <w:b/>
          <w:color w:val="auto"/>
          <w:sz w:val="24"/>
          <w:u w:val="single"/>
        </w:rPr>
        <w:t>O</w:t>
      </w:r>
    </w:p>
    <w:p w14:paraId="55BC734D" w14:textId="77777777" w:rsidR="008926ED" w:rsidRPr="008A7321" w:rsidRDefault="008438F0" w:rsidP="007660BC">
      <w:pPr>
        <w:spacing w:line="520" w:lineRule="exact"/>
        <w:ind w:firstLineChars="200" w:firstLine="482"/>
        <w:rPr>
          <w:rFonts w:ascii="Calibri" w:hAnsi="Calibri"/>
          <w:b/>
          <w:color w:val="auto"/>
          <w:sz w:val="24"/>
          <w:u w:val="single"/>
        </w:rPr>
      </w:pPr>
      <w:r w:rsidRPr="008A7321">
        <w:rPr>
          <w:rFonts w:ascii="Calibri" w:hAnsi="Calibri" w:hint="eastAsia"/>
          <w:b/>
          <w:color w:val="auto"/>
          <w:sz w:val="24"/>
          <w:u w:val="single"/>
        </w:rPr>
        <w:t>此外，</w:t>
      </w:r>
      <w:r w:rsidR="00540004">
        <w:rPr>
          <w:rFonts w:ascii="Calibri" w:hAnsi="Calibri" w:hint="eastAsia"/>
          <w:b/>
          <w:color w:val="auto"/>
          <w:sz w:val="24"/>
          <w:u w:val="single"/>
        </w:rPr>
        <w:t>6</w:t>
      </w:r>
      <w:r w:rsidR="00540004">
        <w:rPr>
          <w:rFonts w:ascii="Calibri" w:hAnsi="Calibri"/>
          <w:b/>
          <w:color w:val="auto"/>
          <w:sz w:val="24"/>
          <w:u w:val="single"/>
        </w:rPr>
        <w:t>6</w:t>
      </w:r>
      <w:r w:rsidR="007660BC">
        <w:rPr>
          <w:rFonts w:ascii="Calibri" w:hAnsi="Calibri"/>
          <w:b/>
          <w:color w:val="auto"/>
          <w:sz w:val="24"/>
          <w:u w:val="single"/>
        </w:rPr>
        <w:t>盐</w:t>
      </w:r>
      <w:r w:rsidR="007660BC">
        <w:rPr>
          <w:rFonts w:ascii="Calibri" w:hAnsi="Calibri" w:hint="eastAsia"/>
          <w:b/>
          <w:color w:val="auto"/>
          <w:sz w:val="24"/>
          <w:u w:val="single"/>
        </w:rPr>
        <w:t>分解</w:t>
      </w:r>
      <w:r w:rsidR="007660BC">
        <w:rPr>
          <w:rFonts w:ascii="Calibri" w:hAnsi="Calibri"/>
          <w:b/>
          <w:color w:val="auto"/>
          <w:sz w:val="24"/>
          <w:u w:val="single"/>
        </w:rPr>
        <w:t>或者含有的单体己二胺及</w:t>
      </w:r>
      <w:r w:rsidR="00B16D08" w:rsidRPr="008A7321">
        <w:rPr>
          <w:rFonts w:ascii="Calibri" w:hAnsi="Calibri" w:hint="eastAsia"/>
          <w:b/>
          <w:color w:val="auto"/>
          <w:sz w:val="24"/>
          <w:u w:val="single"/>
        </w:rPr>
        <w:t>尼龙</w:t>
      </w:r>
      <w:r w:rsidR="00B16D08" w:rsidRPr="008A7321">
        <w:rPr>
          <w:rFonts w:ascii="Calibri" w:hAnsi="Calibri"/>
          <w:b/>
          <w:color w:val="auto"/>
          <w:sz w:val="24"/>
          <w:u w:val="single"/>
        </w:rPr>
        <w:t>66</w:t>
      </w:r>
      <w:r w:rsidR="00B16D08" w:rsidRPr="008A7321">
        <w:rPr>
          <w:rFonts w:ascii="Calibri" w:hAnsi="Calibri"/>
          <w:b/>
          <w:color w:val="auto"/>
          <w:sz w:val="24"/>
          <w:u w:val="single"/>
        </w:rPr>
        <w:t>聚合物可降解形成不同的副产物如环戊</w:t>
      </w:r>
      <w:r w:rsidR="00B16D08" w:rsidRPr="008A7321">
        <w:rPr>
          <w:rFonts w:ascii="Calibri" w:hAnsi="Calibri" w:hint="eastAsia"/>
          <w:b/>
          <w:color w:val="auto"/>
          <w:sz w:val="24"/>
          <w:u w:val="single"/>
        </w:rPr>
        <w:t>酮、环己亚胺等，反应方程式如下：</w:t>
      </w:r>
    </w:p>
    <w:p w14:paraId="39A02DA9" w14:textId="77777777" w:rsidR="00B16D08" w:rsidRPr="00B16D08" w:rsidRDefault="00B16D08" w:rsidP="00B16D08">
      <w:pPr>
        <w:rPr>
          <w:rFonts w:ascii="Calibri" w:hAnsi="Calibri"/>
          <w:color w:val="auto"/>
          <w:sz w:val="24"/>
        </w:rPr>
      </w:pPr>
      <w:r w:rsidRPr="00B16D08">
        <w:rPr>
          <w:rFonts w:ascii="Calibri" w:hAnsi="Calibri"/>
          <w:noProof/>
          <w:color w:val="auto"/>
          <w:sz w:val="24"/>
        </w:rPr>
        <w:drawing>
          <wp:anchor distT="0" distB="0" distL="114300" distR="114300" simplePos="0" relativeHeight="251792384" behindDoc="0" locked="0" layoutInCell="1" allowOverlap="1" wp14:anchorId="20AAFA36" wp14:editId="5A4DBCDC">
            <wp:simplePos x="0" y="0"/>
            <wp:positionH relativeFrom="margin">
              <wp:posOffset>609600</wp:posOffset>
            </wp:positionH>
            <wp:positionV relativeFrom="paragraph">
              <wp:posOffset>60960</wp:posOffset>
            </wp:positionV>
            <wp:extent cx="3771900" cy="917772"/>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0908" cy="922397"/>
                    </a:xfrm>
                    <a:prstGeom prst="rect">
                      <a:avLst/>
                    </a:prstGeom>
                  </pic:spPr>
                </pic:pic>
              </a:graphicData>
            </a:graphic>
            <wp14:sizeRelH relativeFrom="page">
              <wp14:pctWidth>0</wp14:pctWidth>
            </wp14:sizeRelH>
            <wp14:sizeRelV relativeFrom="page">
              <wp14:pctHeight>0</wp14:pctHeight>
            </wp14:sizeRelV>
          </wp:anchor>
        </w:drawing>
      </w:r>
    </w:p>
    <w:p w14:paraId="51047A52" w14:textId="77777777" w:rsidR="00B16D08" w:rsidRPr="00B16D08" w:rsidRDefault="00B16D08" w:rsidP="00B16D08">
      <w:pPr>
        <w:rPr>
          <w:rFonts w:ascii="Calibri" w:hAnsi="Calibri"/>
          <w:color w:val="auto"/>
          <w:sz w:val="24"/>
        </w:rPr>
      </w:pPr>
    </w:p>
    <w:p w14:paraId="33D57208" w14:textId="77777777" w:rsidR="00B16D08" w:rsidRPr="00B16D08" w:rsidRDefault="00B16D08" w:rsidP="00B16D08">
      <w:pPr>
        <w:rPr>
          <w:rFonts w:ascii="Calibri" w:hAnsi="Calibri"/>
          <w:color w:val="auto"/>
          <w:sz w:val="24"/>
        </w:rPr>
      </w:pPr>
    </w:p>
    <w:p w14:paraId="1E84795F" w14:textId="77777777" w:rsidR="00B16D08" w:rsidRPr="00B16D08" w:rsidRDefault="00B16D08" w:rsidP="00951AD6">
      <w:pPr>
        <w:spacing w:line="520" w:lineRule="exact"/>
        <w:rPr>
          <w:rFonts w:ascii="Calibri" w:hAnsi="Calibri"/>
          <w:color w:val="auto"/>
          <w:sz w:val="24"/>
        </w:rPr>
      </w:pPr>
    </w:p>
    <w:p w14:paraId="5B30EA88" w14:textId="30B6C228" w:rsidR="001A4912" w:rsidRPr="008A7321" w:rsidRDefault="00E761DA" w:rsidP="0075760C">
      <w:pPr>
        <w:spacing w:line="520" w:lineRule="exact"/>
        <w:ind w:firstLineChars="200" w:firstLine="482"/>
        <w:rPr>
          <w:rFonts w:ascii="Calibri" w:hAnsi="Calibri"/>
          <w:b/>
          <w:color w:val="auto"/>
          <w:sz w:val="24"/>
          <w:u w:val="single"/>
        </w:rPr>
      </w:pPr>
      <w:r w:rsidRPr="008A7321">
        <w:rPr>
          <w:rFonts w:ascii="Calibri" w:hAnsi="Calibri" w:hint="eastAsia"/>
          <w:b/>
          <w:color w:val="auto"/>
          <w:sz w:val="24"/>
          <w:u w:val="single"/>
        </w:rPr>
        <w:t>污染治理：聚合工段主要产生的过热蒸汽，经</w:t>
      </w:r>
      <w:r w:rsidRPr="008A7321">
        <w:rPr>
          <w:rFonts w:ascii="Calibri" w:hAnsi="Calibri"/>
          <w:b/>
          <w:color w:val="auto"/>
          <w:sz w:val="24"/>
          <w:u w:val="single"/>
        </w:rPr>
        <w:t>冷却塔</w:t>
      </w:r>
      <w:r w:rsidRPr="008A7321">
        <w:rPr>
          <w:rFonts w:ascii="Calibri" w:hAnsi="Calibri" w:hint="eastAsia"/>
          <w:b/>
          <w:color w:val="auto"/>
          <w:sz w:val="24"/>
          <w:u w:val="single"/>
        </w:rPr>
        <w:t>冷却后</w:t>
      </w:r>
      <w:r w:rsidR="00B96560" w:rsidRPr="008A7321">
        <w:rPr>
          <w:rFonts w:ascii="Calibri" w:hAnsi="Calibri" w:hint="eastAsia"/>
          <w:b/>
          <w:color w:val="auto"/>
          <w:sz w:val="24"/>
          <w:u w:val="single"/>
        </w:rPr>
        <w:t>，</w:t>
      </w:r>
      <w:r w:rsidR="00B96560" w:rsidRPr="008A7321">
        <w:rPr>
          <w:rFonts w:ascii="Calibri" w:hAnsi="Calibri"/>
          <w:b/>
          <w:color w:val="auto"/>
          <w:sz w:val="24"/>
          <w:u w:val="single"/>
        </w:rPr>
        <w:t>一部分用作</w:t>
      </w:r>
      <w:r w:rsidR="00B96560" w:rsidRPr="008A7321">
        <w:rPr>
          <w:rFonts w:ascii="Calibri" w:hAnsi="Calibri" w:hint="eastAsia"/>
          <w:b/>
          <w:color w:val="auto"/>
          <w:sz w:val="24"/>
          <w:u w:val="single"/>
        </w:rPr>
        <w:t>为</w:t>
      </w:r>
      <w:r w:rsidR="00B96560" w:rsidRPr="008A7321">
        <w:rPr>
          <w:rFonts w:ascii="Calibri" w:hAnsi="Calibri"/>
          <w:b/>
          <w:color w:val="auto"/>
          <w:sz w:val="24"/>
          <w:u w:val="single"/>
        </w:rPr>
        <w:t>配料用水，</w:t>
      </w:r>
      <w:r w:rsidR="00B96560" w:rsidRPr="008A7321">
        <w:rPr>
          <w:rFonts w:ascii="Calibri" w:hAnsi="Calibri" w:hint="eastAsia"/>
          <w:b/>
          <w:color w:val="auto"/>
          <w:sz w:val="24"/>
          <w:u w:val="single"/>
        </w:rPr>
        <w:t>一部分进入</w:t>
      </w:r>
      <w:r w:rsidR="00B96560" w:rsidRPr="008A7321">
        <w:rPr>
          <w:rFonts w:ascii="Calibri" w:hAnsi="Calibri"/>
          <w:b/>
          <w:color w:val="auto"/>
          <w:sz w:val="24"/>
          <w:u w:val="single"/>
        </w:rPr>
        <w:t>污水</w:t>
      </w:r>
      <w:r w:rsidR="00B96560" w:rsidRPr="008A7321">
        <w:rPr>
          <w:rFonts w:ascii="Calibri" w:hAnsi="Calibri" w:hint="eastAsia"/>
          <w:b/>
          <w:color w:val="auto"/>
          <w:sz w:val="24"/>
          <w:u w:val="single"/>
        </w:rPr>
        <w:t>处理站</w:t>
      </w:r>
      <w:r w:rsidRPr="008A7321">
        <w:rPr>
          <w:rFonts w:ascii="Calibri" w:hAnsi="Calibri" w:hint="eastAsia"/>
          <w:b/>
          <w:color w:val="auto"/>
          <w:sz w:val="24"/>
          <w:u w:val="single"/>
        </w:rPr>
        <w:t>，尾气主要成分为微量的己二胺</w:t>
      </w:r>
      <w:r w:rsidR="007660BC">
        <w:rPr>
          <w:rFonts w:ascii="Calibri" w:hAnsi="Calibri" w:hint="eastAsia"/>
          <w:b/>
          <w:color w:val="auto"/>
          <w:sz w:val="24"/>
          <w:u w:val="single"/>
        </w:rPr>
        <w:t>、</w:t>
      </w:r>
      <w:r w:rsidR="007660BC">
        <w:rPr>
          <w:rFonts w:ascii="Calibri" w:hAnsi="Calibri"/>
          <w:b/>
          <w:color w:val="auto"/>
          <w:sz w:val="24"/>
          <w:u w:val="single"/>
        </w:rPr>
        <w:t>己二酸</w:t>
      </w:r>
      <w:r w:rsidRPr="008A7321">
        <w:rPr>
          <w:rFonts w:ascii="Calibri" w:hAnsi="Calibri" w:hint="eastAsia"/>
          <w:b/>
          <w:color w:val="auto"/>
          <w:sz w:val="24"/>
          <w:u w:val="single"/>
        </w:rPr>
        <w:t>以及低聚物环戊酮、环己亚胺</w:t>
      </w:r>
      <w:r w:rsidR="00B96560" w:rsidRPr="008A7321">
        <w:rPr>
          <w:rFonts w:ascii="Calibri" w:hAnsi="Calibri" w:hint="eastAsia"/>
          <w:b/>
          <w:color w:val="auto"/>
          <w:sz w:val="24"/>
          <w:u w:val="single"/>
        </w:rPr>
        <w:t>、</w:t>
      </w:r>
      <w:r w:rsidR="00B96560" w:rsidRPr="008A7321">
        <w:rPr>
          <w:rFonts w:ascii="Calibri" w:hAnsi="Calibri"/>
          <w:b/>
          <w:color w:val="auto"/>
          <w:sz w:val="24"/>
          <w:u w:val="single"/>
        </w:rPr>
        <w:t>氨</w:t>
      </w:r>
      <w:r w:rsidR="007660BC">
        <w:rPr>
          <w:rFonts w:ascii="Calibri" w:hAnsi="Calibri" w:hint="eastAsia"/>
          <w:b/>
          <w:color w:val="auto"/>
          <w:sz w:val="24"/>
          <w:u w:val="single"/>
        </w:rPr>
        <w:t>、</w:t>
      </w:r>
      <w:r w:rsidR="007660BC">
        <w:rPr>
          <w:rFonts w:ascii="Calibri" w:hAnsi="Calibri"/>
          <w:b/>
          <w:color w:val="auto"/>
          <w:sz w:val="24"/>
          <w:u w:val="single"/>
        </w:rPr>
        <w:t>癸二胺</w:t>
      </w:r>
      <w:r w:rsidR="007660BC">
        <w:rPr>
          <w:rFonts w:ascii="Calibri" w:hAnsi="Calibri" w:hint="eastAsia"/>
          <w:b/>
          <w:color w:val="auto"/>
          <w:sz w:val="24"/>
          <w:u w:val="single"/>
        </w:rPr>
        <w:t>、</w:t>
      </w:r>
      <w:r w:rsidR="007660BC" w:rsidRPr="004765E1">
        <w:rPr>
          <w:rFonts w:ascii="Calibri" w:hAnsi="Calibri" w:hint="eastAsia"/>
          <w:b/>
          <w:color w:val="auto"/>
          <w:sz w:val="24"/>
          <w:u w:val="single"/>
        </w:rPr>
        <w:t>癸二酸</w:t>
      </w:r>
      <w:r w:rsidR="007660BC">
        <w:rPr>
          <w:rFonts w:ascii="Calibri" w:hAnsi="Calibri" w:hint="eastAsia"/>
          <w:b/>
          <w:color w:val="auto"/>
          <w:sz w:val="24"/>
          <w:u w:val="single"/>
        </w:rPr>
        <w:t>、</w:t>
      </w:r>
      <w:r w:rsidR="007660BC">
        <w:rPr>
          <w:rFonts w:ascii="Calibri" w:hAnsi="Calibri"/>
          <w:b/>
          <w:color w:val="auto"/>
          <w:sz w:val="24"/>
          <w:u w:val="single"/>
        </w:rPr>
        <w:t>十二</w:t>
      </w:r>
      <w:r w:rsidR="007660BC">
        <w:rPr>
          <w:rFonts w:ascii="Calibri" w:hAnsi="Calibri" w:hint="eastAsia"/>
          <w:b/>
          <w:color w:val="auto"/>
          <w:sz w:val="24"/>
          <w:u w:val="single"/>
        </w:rPr>
        <w:t>内</w:t>
      </w:r>
      <w:r w:rsidR="007660BC">
        <w:rPr>
          <w:rFonts w:ascii="Calibri" w:hAnsi="Calibri"/>
          <w:b/>
          <w:color w:val="auto"/>
          <w:sz w:val="24"/>
          <w:u w:val="single"/>
        </w:rPr>
        <w:t>酰胺</w:t>
      </w:r>
      <w:r w:rsidR="0075760C">
        <w:rPr>
          <w:rFonts w:ascii="Calibri" w:hAnsi="Calibri" w:hint="eastAsia"/>
          <w:b/>
          <w:color w:val="auto"/>
          <w:sz w:val="24"/>
          <w:u w:val="single"/>
        </w:rPr>
        <w:t>等，进入聚合车间</w:t>
      </w:r>
      <w:r w:rsidRPr="008A7321">
        <w:rPr>
          <w:rFonts w:ascii="Calibri" w:hAnsi="Calibri" w:hint="eastAsia"/>
          <w:b/>
          <w:color w:val="auto"/>
          <w:sz w:val="24"/>
          <w:u w:val="single"/>
        </w:rPr>
        <w:t>喷淋装置</w:t>
      </w:r>
      <w:r w:rsidR="0075760C">
        <w:rPr>
          <w:rFonts w:ascii="Calibri" w:hAnsi="Calibri" w:hint="eastAsia"/>
          <w:b/>
          <w:color w:val="auto"/>
          <w:sz w:val="24"/>
          <w:u w:val="single"/>
        </w:rPr>
        <w:t>+</w:t>
      </w:r>
      <w:r w:rsidR="00B96560" w:rsidRPr="008A7321">
        <w:rPr>
          <w:rFonts w:ascii="Calibri" w:hAnsi="Calibri"/>
          <w:b/>
          <w:color w:val="auto"/>
          <w:sz w:val="24"/>
          <w:u w:val="single"/>
        </w:rPr>
        <w:t>活性炭吸附装置处理后排放。</w:t>
      </w:r>
    </w:p>
    <w:p w14:paraId="7EA24602" w14:textId="77777777" w:rsidR="00B16D08" w:rsidRPr="00B16D08" w:rsidRDefault="00B16D08" w:rsidP="00951AD6">
      <w:pPr>
        <w:spacing w:line="520" w:lineRule="exact"/>
        <w:ind w:firstLineChars="200" w:firstLine="480"/>
        <w:rPr>
          <w:color w:val="auto"/>
          <w:sz w:val="24"/>
        </w:rPr>
      </w:pPr>
      <w:r w:rsidRPr="00B16D08">
        <w:rPr>
          <w:rFonts w:hint="eastAsia"/>
          <w:color w:val="auto"/>
          <w:sz w:val="24"/>
        </w:rPr>
        <w:t>④</w:t>
      </w:r>
      <w:r w:rsidR="001A4912">
        <w:rPr>
          <w:rFonts w:hint="eastAsia"/>
          <w:color w:val="auto"/>
          <w:sz w:val="24"/>
        </w:rPr>
        <w:t>聚合釜</w:t>
      </w:r>
      <w:r w:rsidR="001A4912">
        <w:rPr>
          <w:color w:val="auto"/>
          <w:sz w:val="24"/>
        </w:rPr>
        <w:t>下料工序</w:t>
      </w:r>
    </w:p>
    <w:p w14:paraId="3264BC6E" w14:textId="77777777" w:rsidR="00E761DA" w:rsidRDefault="00F7756F" w:rsidP="00F7756F">
      <w:pPr>
        <w:spacing w:line="520" w:lineRule="exact"/>
        <w:ind w:firstLineChars="200" w:firstLine="480"/>
        <w:rPr>
          <w:rFonts w:ascii="Calibri" w:hAnsi="Calibri"/>
          <w:color w:val="auto"/>
          <w:sz w:val="24"/>
        </w:rPr>
      </w:pPr>
      <w:r>
        <w:rPr>
          <w:rFonts w:ascii="Calibri" w:hAnsi="Calibri"/>
          <w:color w:val="auto"/>
          <w:sz w:val="24"/>
        </w:rPr>
        <w:t>用</w:t>
      </w:r>
      <w:r>
        <w:rPr>
          <w:rFonts w:ascii="Calibri" w:hAnsi="Calibri" w:hint="eastAsia"/>
          <w:color w:val="auto"/>
          <w:sz w:val="24"/>
        </w:rPr>
        <w:t>氮气</w:t>
      </w:r>
      <w:r w:rsidR="008926ED" w:rsidRPr="00B16D08">
        <w:rPr>
          <w:rFonts w:ascii="Calibri" w:hAnsi="Calibri"/>
          <w:color w:val="auto"/>
          <w:sz w:val="24"/>
        </w:rPr>
        <w:t>将聚合物</w:t>
      </w:r>
      <w:r w:rsidR="008926ED">
        <w:rPr>
          <w:rFonts w:ascii="Calibri" w:hAnsi="Calibri" w:hint="eastAsia"/>
          <w:color w:val="auto"/>
          <w:sz w:val="24"/>
        </w:rPr>
        <w:t>从</w:t>
      </w:r>
      <w:r w:rsidR="008926ED" w:rsidRPr="00B16D08">
        <w:rPr>
          <w:rFonts w:ascii="Calibri" w:hAnsi="Calibri" w:hint="eastAsia"/>
          <w:color w:val="auto"/>
          <w:sz w:val="24"/>
        </w:rPr>
        <w:t>反应器底部</w:t>
      </w:r>
      <w:r w:rsidR="008926ED">
        <w:rPr>
          <w:rFonts w:ascii="Calibri" w:hAnsi="Calibri" w:hint="eastAsia"/>
          <w:color w:val="auto"/>
          <w:sz w:val="24"/>
        </w:rPr>
        <w:t>压出</w:t>
      </w:r>
      <w:r w:rsidR="008926ED">
        <w:rPr>
          <w:rFonts w:ascii="Calibri" w:hAnsi="Calibri"/>
          <w:color w:val="auto"/>
          <w:sz w:val="24"/>
        </w:rPr>
        <w:t>，</w:t>
      </w:r>
      <w:r w:rsidR="00B16D08" w:rsidRPr="00B16D08">
        <w:rPr>
          <w:rFonts w:ascii="Calibri" w:hAnsi="Calibri" w:hint="eastAsia"/>
          <w:color w:val="auto"/>
          <w:sz w:val="24"/>
        </w:rPr>
        <w:t>通过一个模具挤出</w:t>
      </w:r>
      <w:r>
        <w:rPr>
          <w:rFonts w:ascii="Calibri" w:hAnsi="Calibri" w:hint="eastAsia"/>
          <w:color w:val="auto"/>
          <w:sz w:val="24"/>
        </w:rPr>
        <w:t>透明尼龙</w:t>
      </w:r>
      <w:r w:rsidR="00B16D08" w:rsidRPr="00B16D08">
        <w:rPr>
          <w:rFonts w:ascii="Calibri" w:hAnsi="Calibri" w:hint="eastAsia"/>
          <w:color w:val="auto"/>
          <w:sz w:val="24"/>
        </w:rPr>
        <w:t>料条，料条落入一个</w:t>
      </w:r>
      <w:r>
        <w:rPr>
          <w:rFonts w:ascii="Calibri" w:hAnsi="Calibri" w:hint="eastAsia"/>
          <w:color w:val="auto"/>
          <w:sz w:val="24"/>
        </w:rPr>
        <w:t>冷却</w:t>
      </w:r>
      <w:r w:rsidR="00B16D08" w:rsidRPr="00B16D08">
        <w:rPr>
          <w:rFonts w:ascii="Calibri" w:hAnsi="Calibri" w:hint="eastAsia"/>
          <w:color w:val="auto"/>
          <w:sz w:val="24"/>
        </w:rPr>
        <w:t>水槽中，通过循环水冷却</w:t>
      </w:r>
      <w:r w:rsidR="00B16D08" w:rsidRPr="00B16D08">
        <w:rPr>
          <w:rFonts w:ascii="Calibri" w:hAnsi="Calibri"/>
          <w:color w:val="auto"/>
          <w:sz w:val="24"/>
        </w:rPr>
        <w:t>。</w:t>
      </w:r>
      <w:r w:rsidR="005D3403" w:rsidRPr="005D3403">
        <w:rPr>
          <w:rFonts w:ascii="Calibri" w:hAnsi="Calibri" w:hint="eastAsia"/>
          <w:color w:val="auto"/>
          <w:sz w:val="24"/>
        </w:rPr>
        <w:t>冷却后的带条送往切粒机，切割成</w:t>
      </w:r>
      <w:r w:rsidR="00E761DA" w:rsidRPr="00E761DA">
        <w:rPr>
          <w:rFonts w:ascii="Calibri" w:hAnsi="Calibri" w:hint="eastAsia"/>
          <w:color w:val="auto"/>
          <w:sz w:val="24"/>
        </w:rPr>
        <w:t>所需规格的切粒。</w:t>
      </w:r>
    </w:p>
    <w:p w14:paraId="5D9D8B9F" w14:textId="4DC1D86C" w:rsidR="00E761DA" w:rsidRPr="00E761DA" w:rsidRDefault="00E761DA" w:rsidP="0091142E">
      <w:pPr>
        <w:spacing w:line="520" w:lineRule="exact"/>
        <w:ind w:firstLineChars="200" w:firstLine="480"/>
        <w:rPr>
          <w:rFonts w:ascii="Calibri" w:hAnsi="Calibri"/>
          <w:color w:val="auto"/>
          <w:sz w:val="24"/>
        </w:rPr>
      </w:pPr>
      <w:r w:rsidRPr="00E761DA">
        <w:rPr>
          <w:rFonts w:ascii="Calibri" w:hAnsi="Calibri" w:hint="eastAsia"/>
          <w:color w:val="auto"/>
          <w:sz w:val="24"/>
        </w:rPr>
        <w:t>污染治理：</w:t>
      </w:r>
      <w:r w:rsidR="0091142E">
        <w:rPr>
          <w:rFonts w:hint="eastAsia"/>
          <w:color w:val="auto"/>
          <w:sz w:val="24"/>
        </w:rPr>
        <w:t>聚合釜</w:t>
      </w:r>
      <w:r w:rsidR="0091142E">
        <w:rPr>
          <w:color w:val="auto"/>
          <w:sz w:val="24"/>
        </w:rPr>
        <w:t>下料工序</w:t>
      </w:r>
      <w:r w:rsidR="00217891">
        <w:rPr>
          <w:rFonts w:ascii="Calibri" w:hAnsi="Calibri" w:hint="eastAsia"/>
          <w:color w:val="auto"/>
          <w:sz w:val="24"/>
        </w:rPr>
        <w:t>高温熔融体与低温下的切粒循环水接触会挥发出微量气体</w:t>
      </w:r>
      <w:r w:rsidRPr="00E761DA">
        <w:rPr>
          <w:rFonts w:ascii="Calibri" w:hAnsi="Calibri" w:hint="eastAsia"/>
          <w:color w:val="auto"/>
          <w:sz w:val="24"/>
        </w:rPr>
        <w:t>，主要成分为己二胺</w:t>
      </w:r>
      <w:r>
        <w:rPr>
          <w:rFonts w:ascii="Calibri" w:hAnsi="Calibri" w:hint="eastAsia"/>
          <w:color w:val="auto"/>
          <w:sz w:val="24"/>
        </w:rPr>
        <w:t>、</w:t>
      </w:r>
      <w:r>
        <w:rPr>
          <w:rFonts w:ascii="Calibri" w:hAnsi="Calibri"/>
          <w:color w:val="auto"/>
          <w:sz w:val="24"/>
        </w:rPr>
        <w:t>水蒸气</w:t>
      </w:r>
      <w:r w:rsidRPr="00E761DA">
        <w:rPr>
          <w:rFonts w:ascii="Calibri" w:hAnsi="Calibri" w:hint="eastAsia"/>
          <w:color w:val="auto"/>
          <w:sz w:val="24"/>
        </w:rPr>
        <w:t>，由排气管接入喷淋塔；切粒水循环系统主要靠冷却水冷却，为保持循环水的清洁，循环水部分</w:t>
      </w:r>
      <w:r>
        <w:rPr>
          <w:rFonts w:ascii="Calibri" w:hAnsi="Calibri" w:hint="eastAsia"/>
          <w:color w:val="auto"/>
          <w:sz w:val="24"/>
        </w:rPr>
        <w:t>会</w:t>
      </w:r>
      <w:r w:rsidRPr="00E761DA">
        <w:rPr>
          <w:rFonts w:ascii="Calibri" w:hAnsi="Calibri" w:hint="eastAsia"/>
          <w:color w:val="auto"/>
          <w:sz w:val="24"/>
        </w:rPr>
        <w:t>产生制粒废水。</w:t>
      </w:r>
    </w:p>
    <w:p w14:paraId="00022D6E" w14:textId="77777777" w:rsidR="00453871" w:rsidRDefault="005C008F" w:rsidP="005D3403">
      <w:pPr>
        <w:spacing w:line="520" w:lineRule="exact"/>
        <w:ind w:firstLineChars="200" w:firstLine="480"/>
        <w:rPr>
          <w:rFonts w:ascii="Calibri" w:hAnsi="Calibri"/>
          <w:color w:val="auto"/>
          <w:sz w:val="24"/>
        </w:rPr>
      </w:pPr>
      <w:r w:rsidRPr="005C008F">
        <w:rPr>
          <w:rFonts w:ascii="Calibri" w:hAnsi="Calibri" w:hint="eastAsia"/>
          <w:color w:val="auto"/>
          <w:sz w:val="24"/>
        </w:rPr>
        <w:t>⑤</w:t>
      </w:r>
      <w:r>
        <w:rPr>
          <w:rFonts w:ascii="Calibri" w:hAnsi="Calibri" w:hint="eastAsia"/>
          <w:color w:val="auto"/>
          <w:sz w:val="24"/>
        </w:rPr>
        <w:t>干燥</w:t>
      </w:r>
      <w:r w:rsidR="0029521A">
        <w:rPr>
          <w:rFonts w:ascii="Calibri" w:hAnsi="Calibri" w:hint="eastAsia"/>
          <w:color w:val="auto"/>
          <w:sz w:val="24"/>
        </w:rPr>
        <w:t>包装</w:t>
      </w:r>
    </w:p>
    <w:p w14:paraId="6E958031" w14:textId="77777777" w:rsidR="00301E7D" w:rsidRDefault="00B16D08" w:rsidP="0029521A">
      <w:pPr>
        <w:spacing w:line="520" w:lineRule="exact"/>
        <w:ind w:firstLineChars="200" w:firstLine="480"/>
        <w:rPr>
          <w:rFonts w:ascii="Calibri" w:hAnsi="Calibri"/>
          <w:color w:val="auto"/>
          <w:sz w:val="24"/>
        </w:rPr>
      </w:pPr>
      <w:r w:rsidRPr="00B16D08">
        <w:rPr>
          <w:rFonts w:ascii="Calibri" w:hAnsi="Calibri" w:hint="eastAsia"/>
          <w:color w:val="auto"/>
          <w:sz w:val="24"/>
        </w:rPr>
        <w:t>经切粒机出来的切片温度为</w:t>
      </w:r>
      <w:r w:rsidRPr="00B16D08">
        <w:rPr>
          <w:rFonts w:ascii="Calibri" w:hAnsi="Calibri"/>
          <w:color w:val="auto"/>
          <w:sz w:val="24"/>
        </w:rPr>
        <w:t>80</w:t>
      </w:r>
      <w:r w:rsidR="00951AD6" w:rsidRPr="00951AD6">
        <w:rPr>
          <w:rFonts w:ascii="Calibri" w:hAnsi="Calibri" w:hint="eastAsia"/>
          <w:color w:val="auto"/>
          <w:sz w:val="24"/>
        </w:rPr>
        <w:t>～</w:t>
      </w:r>
      <w:r w:rsidRPr="00B16D08">
        <w:rPr>
          <w:rFonts w:ascii="Calibri" w:hAnsi="Calibri"/>
          <w:color w:val="auto"/>
          <w:sz w:val="24"/>
        </w:rPr>
        <w:t>90</w:t>
      </w:r>
      <w:r w:rsidRPr="00B16D08">
        <w:rPr>
          <w:rFonts w:ascii="Calibri" w:hAnsi="Calibri" w:hint="eastAsia"/>
          <w:color w:val="auto"/>
          <w:sz w:val="24"/>
        </w:rPr>
        <w:t>℃</w:t>
      </w:r>
      <w:r w:rsidRPr="00B16D08">
        <w:rPr>
          <w:rFonts w:ascii="Calibri" w:hAnsi="Calibri"/>
          <w:color w:val="auto"/>
          <w:sz w:val="24"/>
        </w:rPr>
        <w:t>并含有微量的水分，</w:t>
      </w:r>
      <w:r w:rsidR="005D3403">
        <w:rPr>
          <w:rFonts w:ascii="Calibri" w:hAnsi="Calibri" w:hint="eastAsia"/>
          <w:color w:val="auto"/>
          <w:sz w:val="24"/>
        </w:rPr>
        <w:t>需</w:t>
      </w:r>
      <w:r w:rsidR="0029521A">
        <w:rPr>
          <w:rFonts w:ascii="Calibri" w:hAnsi="Calibri"/>
          <w:color w:val="auto"/>
          <w:sz w:val="24"/>
        </w:rPr>
        <w:t>干燥</w:t>
      </w:r>
      <w:r w:rsidR="0029521A">
        <w:rPr>
          <w:rFonts w:ascii="Calibri" w:hAnsi="Calibri" w:hint="eastAsia"/>
          <w:color w:val="auto"/>
          <w:sz w:val="24"/>
        </w:rPr>
        <w:t>除</w:t>
      </w:r>
      <w:r w:rsidR="0029521A">
        <w:rPr>
          <w:rFonts w:ascii="Calibri" w:hAnsi="Calibri"/>
          <w:color w:val="auto"/>
          <w:sz w:val="24"/>
        </w:rPr>
        <w:t>湿，</w:t>
      </w:r>
      <w:r w:rsidR="005D3403">
        <w:rPr>
          <w:rFonts w:ascii="Calibri" w:hAnsi="Calibri" w:hint="eastAsia"/>
          <w:color w:val="auto"/>
          <w:sz w:val="24"/>
        </w:rPr>
        <w:t>切片</w:t>
      </w:r>
      <w:r w:rsidR="005D3403">
        <w:rPr>
          <w:rFonts w:ascii="Calibri" w:hAnsi="Calibri"/>
          <w:color w:val="auto"/>
          <w:sz w:val="24"/>
        </w:rPr>
        <w:t>由管道进入干燥系统</w:t>
      </w:r>
      <w:r w:rsidR="005D3403">
        <w:rPr>
          <w:rFonts w:ascii="Calibri" w:hAnsi="Calibri" w:hint="eastAsia"/>
          <w:color w:val="auto"/>
          <w:sz w:val="24"/>
        </w:rPr>
        <w:t>，通过</w:t>
      </w:r>
      <w:r w:rsidR="00301E7D">
        <w:rPr>
          <w:rFonts w:ascii="Calibri" w:hAnsi="Calibri" w:hint="eastAsia"/>
          <w:color w:val="auto"/>
          <w:sz w:val="24"/>
        </w:rPr>
        <w:t>分子筛式</w:t>
      </w:r>
      <w:r w:rsidR="00301E7D">
        <w:rPr>
          <w:rFonts w:ascii="Calibri" w:hAnsi="Calibri"/>
          <w:color w:val="auto"/>
          <w:sz w:val="24"/>
        </w:rPr>
        <w:t>除湿干燥机</w:t>
      </w:r>
      <w:r w:rsidR="00301E7D" w:rsidRPr="00301E7D">
        <w:rPr>
          <w:rFonts w:ascii="Calibri" w:hAnsi="Calibri" w:hint="eastAsia"/>
          <w:color w:val="auto"/>
          <w:sz w:val="24"/>
        </w:rPr>
        <w:t>去除水分而达到干燥的目的。</w:t>
      </w:r>
    </w:p>
    <w:p w14:paraId="7863D095" w14:textId="77777777" w:rsidR="00CD2364" w:rsidRPr="00CD2364" w:rsidRDefault="00B16D08" w:rsidP="00CD2364">
      <w:pPr>
        <w:spacing w:line="520" w:lineRule="exact"/>
        <w:ind w:firstLineChars="200" w:firstLine="480"/>
        <w:rPr>
          <w:rFonts w:ascii="Calibri" w:hAnsi="Calibri"/>
          <w:color w:val="auto"/>
          <w:sz w:val="24"/>
        </w:rPr>
      </w:pPr>
      <w:r w:rsidRPr="00B16D08">
        <w:rPr>
          <w:rFonts w:ascii="Calibri" w:hAnsi="Calibri"/>
          <w:color w:val="auto"/>
          <w:sz w:val="24"/>
        </w:rPr>
        <w:t>干燥后的切片靠重力作用从干燥机进入下游进入粒料输送系统。</w:t>
      </w:r>
    </w:p>
    <w:p w14:paraId="2845EAC7" w14:textId="77777777" w:rsidR="00E761DA" w:rsidRPr="00E761DA" w:rsidRDefault="00E761DA" w:rsidP="00E761DA">
      <w:pPr>
        <w:spacing w:line="520" w:lineRule="exact"/>
        <w:ind w:firstLineChars="200" w:firstLine="480"/>
        <w:rPr>
          <w:rFonts w:ascii="Calibri" w:hAnsi="Calibri"/>
          <w:color w:val="auto"/>
          <w:sz w:val="24"/>
        </w:rPr>
      </w:pPr>
      <w:r w:rsidRPr="00E761DA">
        <w:rPr>
          <w:rFonts w:ascii="Calibri" w:hAnsi="Calibri"/>
          <w:color w:val="auto"/>
          <w:sz w:val="24"/>
        </w:rPr>
        <w:lastRenderedPageBreak/>
        <w:t>本项目</w:t>
      </w:r>
      <w:r w:rsidRPr="00E761DA">
        <w:rPr>
          <w:rFonts w:ascii="Calibri" w:hAnsi="Calibri" w:hint="eastAsia"/>
          <w:color w:val="auto"/>
          <w:sz w:val="24"/>
        </w:rPr>
        <w:t>干燥温度较低为</w:t>
      </w:r>
      <w:r w:rsidRPr="00E761DA">
        <w:rPr>
          <w:rFonts w:ascii="Calibri" w:hAnsi="Calibri" w:hint="eastAsia"/>
          <w:color w:val="auto"/>
          <w:sz w:val="24"/>
        </w:rPr>
        <w:t>70</w:t>
      </w:r>
      <w:r w:rsidRPr="00E761DA">
        <w:rPr>
          <w:rFonts w:ascii="Calibri" w:hAnsi="Calibri" w:hint="eastAsia"/>
          <w:color w:val="auto"/>
          <w:sz w:val="24"/>
        </w:rPr>
        <w:t>～</w:t>
      </w:r>
      <w:r w:rsidRPr="00E761DA">
        <w:rPr>
          <w:rFonts w:ascii="Calibri" w:hAnsi="Calibri" w:hint="eastAsia"/>
          <w:color w:val="auto"/>
          <w:sz w:val="24"/>
        </w:rPr>
        <w:t>80</w:t>
      </w:r>
      <w:r w:rsidRPr="00E761DA">
        <w:rPr>
          <w:rFonts w:ascii="Calibri" w:hAnsi="Calibri" w:hint="eastAsia"/>
          <w:color w:val="auto"/>
          <w:sz w:val="24"/>
        </w:rPr>
        <w:t>℃</w:t>
      </w:r>
      <w:r>
        <w:rPr>
          <w:rFonts w:ascii="Calibri" w:hAnsi="Calibri" w:hint="eastAsia"/>
          <w:color w:val="auto"/>
          <w:sz w:val="24"/>
        </w:rPr>
        <w:t>，</w:t>
      </w:r>
      <w:r w:rsidRPr="00E761DA">
        <w:rPr>
          <w:rFonts w:ascii="Calibri" w:hAnsi="Calibri" w:hint="eastAsia"/>
          <w:color w:val="auto"/>
          <w:sz w:val="24"/>
        </w:rPr>
        <w:t>其干燥过程使用干燥空气，气流为密闭循环系统</w:t>
      </w:r>
      <w:r w:rsidR="001D6858">
        <w:rPr>
          <w:rFonts w:ascii="Calibri" w:hAnsi="Calibri" w:hint="eastAsia"/>
          <w:color w:val="auto"/>
          <w:sz w:val="24"/>
        </w:rPr>
        <w:t>，</w:t>
      </w:r>
      <w:r w:rsidRPr="00E761DA">
        <w:rPr>
          <w:rFonts w:ascii="Calibri" w:hAnsi="Calibri" w:hint="eastAsia"/>
          <w:color w:val="auto"/>
          <w:sz w:val="24"/>
        </w:rPr>
        <w:t>不会产生外排废气。</w:t>
      </w:r>
      <w:r>
        <w:rPr>
          <w:rFonts w:ascii="Calibri" w:hAnsi="Calibri" w:hint="eastAsia"/>
          <w:color w:val="auto"/>
          <w:sz w:val="24"/>
        </w:rPr>
        <w:t>由于</w:t>
      </w:r>
      <w:r>
        <w:rPr>
          <w:rFonts w:ascii="Calibri" w:hAnsi="Calibri"/>
          <w:color w:val="auto"/>
          <w:sz w:val="24"/>
        </w:rPr>
        <w:t>包装</w:t>
      </w:r>
      <w:r>
        <w:rPr>
          <w:rFonts w:ascii="Calibri" w:hAnsi="Calibri" w:hint="eastAsia"/>
          <w:color w:val="auto"/>
          <w:sz w:val="24"/>
        </w:rPr>
        <w:t>口</w:t>
      </w:r>
      <w:r>
        <w:rPr>
          <w:rFonts w:ascii="Calibri" w:hAnsi="Calibri"/>
          <w:color w:val="auto"/>
          <w:sz w:val="24"/>
        </w:rPr>
        <w:t>下料是</w:t>
      </w:r>
      <w:r>
        <w:rPr>
          <w:rFonts w:ascii="Calibri" w:hAnsi="Calibri" w:hint="eastAsia"/>
          <w:color w:val="auto"/>
          <w:sz w:val="24"/>
        </w:rPr>
        <w:t>密闭</w:t>
      </w:r>
      <w:r>
        <w:rPr>
          <w:rFonts w:ascii="Calibri" w:hAnsi="Calibri"/>
          <w:color w:val="auto"/>
          <w:sz w:val="24"/>
        </w:rPr>
        <w:t>状态，不会产生</w:t>
      </w:r>
      <w:r>
        <w:rPr>
          <w:rFonts w:ascii="Calibri" w:hAnsi="Calibri" w:hint="eastAsia"/>
          <w:color w:val="auto"/>
          <w:sz w:val="24"/>
        </w:rPr>
        <w:t>粉尘</w:t>
      </w:r>
      <w:r>
        <w:rPr>
          <w:rFonts w:ascii="Calibri" w:hAnsi="Calibri"/>
          <w:color w:val="auto"/>
          <w:sz w:val="24"/>
        </w:rPr>
        <w:t>。</w:t>
      </w:r>
    </w:p>
    <w:p w14:paraId="1D4C9782" w14:textId="77777777" w:rsidR="00301E7D" w:rsidRPr="00301E7D" w:rsidRDefault="00A94A71" w:rsidP="00A94A71">
      <w:pPr>
        <w:spacing w:line="520" w:lineRule="exact"/>
        <w:ind w:firstLineChars="200" w:firstLine="482"/>
        <w:rPr>
          <w:rFonts w:ascii="Calibri" w:hAnsi="Calibri"/>
          <w:b/>
          <w:color w:val="auto"/>
          <w:sz w:val="24"/>
        </w:rPr>
      </w:pPr>
      <w:r>
        <w:rPr>
          <w:rFonts w:ascii="Calibri" w:hAnsi="Calibri"/>
          <w:b/>
          <w:color w:val="auto"/>
          <w:sz w:val="24"/>
        </w:rPr>
        <w:t>2</w:t>
      </w:r>
      <w:r>
        <w:rPr>
          <w:rFonts w:ascii="Calibri" w:hAnsi="Calibri" w:hint="eastAsia"/>
          <w:b/>
          <w:color w:val="auto"/>
          <w:sz w:val="24"/>
        </w:rPr>
        <w:t>、</w:t>
      </w:r>
      <w:r w:rsidRPr="007B3ACE">
        <w:rPr>
          <w:rFonts w:ascii="Calibri" w:hAnsi="Calibri"/>
          <w:b/>
          <w:color w:val="auto"/>
          <w:sz w:val="24"/>
        </w:rPr>
        <w:t>工艺流程</w:t>
      </w:r>
      <w:r>
        <w:rPr>
          <w:rFonts w:ascii="Calibri" w:hAnsi="Calibri" w:hint="eastAsia"/>
          <w:b/>
          <w:color w:val="auto"/>
          <w:sz w:val="24"/>
        </w:rPr>
        <w:t>图</w:t>
      </w:r>
    </w:p>
    <w:p w14:paraId="1E5D0715" w14:textId="77777777" w:rsidR="006A6BCC" w:rsidRDefault="007B3ACE" w:rsidP="007660BC">
      <w:pPr>
        <w:spacing w:line="500" w:lineRule="exact"/>
        <w:ind w:firstLineChars="200" w:firstLine="480"/>
        <w:rPr>
          <w:rFonts w:ascii="Calibri" w:hAnsi="Calibri"/>
          <w:color w:val="auto"/>
          <w:sz w:val="24"/>
        </w:rPr>
      </w:pPr>
      <w:r>
        <w:rPr>
          <w:rFonts w:ascii="Calibri" w:hAnsi="Calibri" w:hint="eastAsia"/>
          <w:color w:val="auto"/>
          <w:sz w:val="24"/>
        </w:rPr>
        <w:t>本项目工艺流程</w:t>
      </w:r>
      <w:r>
        <w:rPr>
          <w:rFonts w:ascii="Calibri" w:hAnsi="Calibri"/>
          <w:color w:val="auto"/>
          <w:sz w:val="24"/>
        </w:rPr>
        <w:t>及产物环节图</w:t>
      </w:r>
      <w:r>
        <w:rPr>
          <w:rFonts w:ascii="Calibri" w:hAnsi="Calibri" w:hint="eastAsia"/>
          <w:color w:val="auto"/>
          <w:sz w:val="24"/>
        </w:rPr>
        <w:t>见</w:t>
      </w:r>
      <w:r>
        <w:rPr>
          <w:rFonts w:ascii="Calibri" w:hAnsi="Calibri"/>
          <w:color w:val="auto"/>
          <w:sz w:val="24"/>
        </w:rPr>
        <w:t>图</w:t>
      </w:r>
      <w:r>
        <w:rPr>
          <w:rFonts w:ascii="Calibri" w:hAnsi="Calibri" w:hint="eastAsia"/>
          <w:color w:val="auto"/>
          <w:sz w:val="24"/>
        </w:rPr>
        <w:t>2.2-1</w:t>
      </w:r>
      <w:r>
        <w:rPr>
          <w:rFonts w:ascii="Calibri" w:hAnsi="Calibri" w:hint="eastAsia"/>
          <w:color w:val="auto"/>
          <w:sz w:val="24"/>
        </w:rPr>
        <w:t>。</w:t>
      </w:r>
    </w:p>
    <w:p w14:paraId="71E57496" w14:textId="77777777" w:rsidR="001A4912" w:rsidRDefault="001A4912" w:rsidP="00171BA9">
      <w:pPr>
        <w:spacing w:line="500" w:lineRule="exact"/>
        <w:rPr>
          <w:rFonts w:ascii="Calibri" w:hAnsi="Calibri"/>
          <w:color w:val="auto"/>
          <w:sz w:val="24"/>
        </w:rPr>
      </w:pPr>
    </w:p>
    <w:p w14:paraId="0AB69508" w14:textId="77777777" w:rsidR="000C0061" w:rsidRDefault="00FD241A" w:rsidP="00031A77">
      <w:pPr>
        <w:spacing w:line="500" w:lineRule="exact"/>
        <w:ind w:firstLineChars="200" w:firstLine="480"/>
        <w:rPr>
          <w:rFonts w:ascii="Calibri" w:hAnsi="Calibri"/>
          <w:color w:val="auto"/>
          <w:sz w:val="24"/>
        </w:rPr>
      </w:pPr>
      <w:r>
        <w:rPr>
          <w:rFonts w:ascii="Calibri" w:hAnsi="Calibri"/>
          <w:noProof/>
          <w:color w:val="auto"/>
          <w:sz w:val="24"/>
        </w:rPr>
        <mc:AlternateContent>
          <mc:Choice Requires="wpc">
            <w:drawing>
              <wp:anchor distT="0" distB="0" distL="114300" distR="114300" simplePos="0" relativeHeight="253603328" behindDoc="0" locked="0" layoutInCell="1" allowOverlap="1" wp14:anchorId="73533C8E" wp14:editId="5B46FE5B">
                <wp:simplePos x="0" y="0"/>
                <wp:positionH relativeFrom="margin">
                  <wp:align>center</wp:align>
                </wp:positionH>
                <wp:positionV relativeFrom="paragraph">
                  <wp:posOffset>-109220</wp:posOffset>
                </wp:positionV>
                <wp:extent cx="5495925" cy="6909435"/>
                <wp:effectExtent l="0" t="0" r="0" b="0"/>
                <wp:wrapNone/>
                <wp:docPr id="37415" name="画布 374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389" name="Rectangle 37362"/>
                        <wps:cNvSpPr>
                          <a:spLocks noChangeArrowheads="1"/>
                        </wps:cNvSpPr>
                        <wps:spPr bwMode="auto">
                          <a:xfrm>
                            <a:off x="503555" y="610235"/>
                            <a:ext cx="962025" cy="640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27EA138C" w14:textId="77777777" w:rsidR="00217891" w:rsidRDefault="00217891" w:rsidP="00FC7A13">
                              <w:pPr>
                                <w:rPr>
                                  <w:rFonts w:asciiTheme="minorHAnsi" w:hAnsiTheme="minorHAnsi"/>
                                </w:rPr>
                              </w:pPr>
                              <w:r w:rsidRPr="007B3ACE">
                                <w:rPr>
                                  <w:rFonts w:asciiTheme="minorHAnsi" w:hAnsiTheme="minorHAnsi"/>
                                </w:rPr>
                                <w:t>尼龙</w:t>
                              </w:r>
                              <w:r>
                                <w:rPr>
                                  <w:rFonts w:asciiTheme="minorHAnsi" w:hAnsiTheme="minorHAnsi" w:hint="eastAsia"/>
                                </w:rPr>
                                <w:t>66</w:t>
                              </w:r>
                              <w:r w:rsidRPr="007B3ACE">
                                <w:rPr>
                                  <w:rFonts w:asciiTheme="minorHAnsi" w:hAnsiTheme="minorHAnsi"/>
                                </w:rPr>
                                <w:t>盐</w:t>
                              </w:r>
                            </w:p>
                            <w:p w14:paraId="59FCAF8F" w14:textId="77777777" w:rsidR="00217891" w:rsidRDefault="00217891" w:rsidP="00FC7A13">
                              <w:pPr>
                                <w:rPr>
                                  <w:rFonts w:asciiTheme="minorHAnsi" w:hAnsiTheme="minorHAnsi"/>
                                </w:rPr>
                              </w:pPr>
                              <w:r w:rsidRPr="00FC7A13">
                                <w:rPr>
                                  <w:rFonts w:asciiTheme="minorHAnsi" w:hAnsiTheme="minorHAnsi" w:hint="eastAsia"/>
                                </w:rPr>
                                <w:t>尼龙</w:t>
                              </w:r>
                              <w:r w:rsidRPr="00FC7A13">
                                <w:rPr>
                                  <w:rFonts w:asciiTheme="minorHAnsi" w:hAnsiTheme="minorHAnsi" w:hint="eastAsia"/>
                                </w:rPr>
                                <w:t>1010</w:t>
                              </w:r>
                              <w:r w:rsidRPr="00FC7A13">
                                <w:rPr>
                                  <w:rFonts w:asciiTheme="minorHAnsi" w:hAnsiTheme="minorHAnsi" w:hint="eastAsia"/>
                                </w:rPr>
                                <w:t>盐</w:t>
                              </w:r>
                            </w:p>
                            <w:p w14:paraId="4DE7E8A6" w14:textId="77777777" w:rsidR="00217891" w:rsidRPr="007B3ACE" w:rsidRDefault="00217891" w:rsidP="00FC7A13">
                              <w:pPr>
                                <w:rPr>
                                  <w:rFonts w:asciiTheme="minorHAnsi" w:hAnsiTheme="minorHAnsi"/>
                                </w:rPr>
                              </w:pPr>
                              <w:r>
                                <w:rPr>
                                  <w:rFonts w:asciiTheme="minorHAnsi" w:hAnsiTheme="minorHAnsi" w:hint="eastAsia"/>
                                </w:rPr>
                                <w:t>尼龙</w:t>
                              </w:r>
                              <w:r>
                                <w:rPr>
                                  <w:rFonts w:asciiTheme="minorHAnsi" w:hAnsiTheme="minorHAnsi" w:hint="eastAsia"/>
                                </w:rPr>
                                <w:t>-12</w:t>
                              </w:r>
                              <w:r>
                                <w:rPr>
                                  <w:rFonts w:asciiTheme="minorHAnsi" w:hAnsiTheme="minorHAnsi" w:hint="eastAsia"/>
                                </w:rPr>
                                <w:t>盐</w:t>
                              </w:r>
                            </w:p>
                          </w:txbxContent>
                        </wps:txbx>
                        <wps:bodyPr rot="0" vert="horz" wrap="square" lIns="91440" tIns="45720" rIns="91440" bIns="45720" anchor="t" anchorCtr="0" upright="1">
                          <a:noAutofit/>
                        </wps:bodyPr>
                      </wps:wsp>
                      <wps:wsp>
                        <wps:cNvPr id="27390" name="AutoShape 37363"/>
                        <wps:cNvCnPr>
                          <a:cxnSpLocks noChangeShapeType="1"/>
                        </wps:cNvCnPr>
                        <wps:spPr bwMode="auto">
                          <a:xfrm>
                            <a:off x="1475740" y="934720"/>
                            <a:ext cx="390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91" name="Rectangle 37416"/>
                        <wps:cNvSpPr>
                          <a:spLocks noChangeArrowheads="1"/>
                        </wps:cNvSpPr>
                        <wps:spPr bwMode="auto">
                          <a:xfrm>
                            <a:off x="1859915" y="1697990"/>
                            <a:ext cx="9620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0CFEFD40" w14:textId="77777777" w:rsidR="00217891" w:rsidRPr="007B3ACE" w:rsidRDefault="00217891" w:rsidP="00F66045">
                              <w:pPr>
                                <w:ind w:firstLineChars="50" w:firstLine="105"/>
                                <w:rPr>
                                  <w:rFonts w:asciiTheme="minorHAnsi" w:hAnsiTheme="minorHAnsi"/>
                                </w:rPr>
                              </w:pPr>
                              <w:r>
                                <w:rPr>
                                  <w:rFonts w:asciiTheme="minorHAnsi" w:hAnsiTheme="minorHAnsi" w:hint="eastAsia"/>
                                </w:rPr>
                                <w:t>中间储罐</w:t>
                              </w:r>
                            </w:p>
                          </w:txbxContent>
                        </wps:txbx>
                        <wps:bodyPr rot="0" vert="horz" wrap="square" lIns="91440" tIns="45720" rIns="91440" bIns="45720" anchor="t" anchorCtr="0" upright="1">
                          <a:noAutofit/>
                        </wps:bodyPr>
                      </wps:wsp>
                      <wps:wsp>
                        <wps:cNvPr id="37664" name="AutoShape 37422"/>
                        <wps:cNvCnPr>
                          <a:cxnSpLocks noChangeShapeType="1"/>
                        </wps:cNvCnPr>
                        <wps:spPr bwMode="auto">
                          <a:xfrm>
                            <a:off x="2296795" y="198691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65" name="Rectangle 37423"/>
                        <wps:cNvSpPr>
                          <a:spLocks noChangeArrowheads="1"/>
                        </wps:cNvSpPr>
                        <wps:spPr bwMode="auto">
                          <a:xfrm>
                            <a:off x="1821815" y="2338070"/>
                            <a:ext cx="9620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7C20D6DF" w14:textId="77777777" w:rsidR="00217891" w:rsidRPr="007B3ACE" w:rsidRDefault="00217891" w:rsidP="0087180A">
                              <w:pPr>
                                <w:ind w:firstLineChars="100" w:firstLine="210"/>
                                <w:rPr>
                                  <w:rFonts w:asciiTheme="minorHAnsi" w:hAnsiTheme="minorHAnsi"/>
                                </w:rPr>
                              </w:pPr>
                              <w:r>
                                <w:rPr>
                                  <w:rFonts w:asciiTheme="minorHAnsi" w:hAnsiTheme="minorHAnsi" w:hint="eastAsia"/>
                                </w:rPr>
                                <w:t>聚合釜</w:t>
                              </w:r>
                            </w:p>
                          </w:txbxContent>
                        </wps:txbx>
                        <wps:bodyPr rot="0" vert="horz" wrap="square" lIns="91440" tIns="45720" rIns="91440" bIns="45720" anchor="t" anchorCtr="0" upright="1">
                          <a:noAutofit/>
                        </wps:bodyPr>
                      </wps:wsp>
                      <wps:wsp>
                        <wps:cNvPr id="37666" name="AutoShape 37424"/>
                        <wps:cNvCnPr>
                          <a:cxnSpLocks noChangeShapeType="1"/>
                        </wps:cNvCnPr>
                        <wps:spPr bwMode="auto">
                          <a:xfrm>
                            <a:off x="1461135" y="2490470"/>
                            <a:ext cx="372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67" name="Rectangle 37425"/>
                        <wps:cNvSpPr>
                          <a:spLocks noChangeArrowheads="1"/>
                        </wps:cNvSpPr>
                        <wps:spPr bwMode="auto">
                          <a:xfrm>
                            <a:off x="645160" y="2338070"/>
                            <a:ext cx="78105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3E2C629F" w14:textId="77777777" w:rsidR="00217891" w:rsidRDefault="00217891" w:rsidP="0064009E">
                              <w:pPr>
                                <w:jc w:val="center"/>
                              </w:pPr>
                              <w:r>
                                <w:rPr>
                                  <w:rFonts w:hint="eastAsia"/>
                                </w:rPr>
                                <w:t>导热油炉</w:t>
                              </w:r>
                            </w:p>
                          </w:txbxContent>
                        </wps:txbx>
                        <wps:bodyPr rot="0" vert="horz" wrap="square" lIns="91440" tIns="45720" rIns="91440" bIns="45720" anchor="t" anchorCtr="0" upright="1">
                          <a:noAutofit/>
                        </wps:bodyPr>
                      </wps:wsp>
                      <wps:wsp>
                        <wps:cNvPr id="37668" name="Rectangle 37426"/>
                        <wps:cNvSpPr>
                          <a:spLocks noChangeArrowheads="1"/>
                        </wps:cNvSpPr>
                        <wps:spPr bwMode="auto">
                          <a:xfrm>
                            <a:off x="1334770" y="2242820"/>
                            <a:ext cx="676275" cy="28575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47F4" w14:textId="77777777" w:rsidR="00217891" w:rsidRDefault="00217891" w:rsidP="0064009E">
                              <w:pPr>
                                <w:jc w:val="center"/>
                              </w:pPr>
                              <w:r>
                                <w:rPr>
                                  <w:rFonts w:hint="eastAsia"/>
                                </w:rPr>
                                <w:t>加热</w:t>
                              </w:r>
                            </w:p>
                          </w:txbxContent>
                        </wps:txbx>
                        <wps:bodyPr rot="0" vert="horz" wrap="square" lIns="91440" tIns="45720" rIns="91440" bIns="45720" anchor="t" anchorCtr="0" upright="1">
                          <a:noAutofit/>
                        </wps:bodyPr>
                      </wps:wsp>
                      <wps:wsp>
                        <wps:cNvPr id="37669" name="AutoShape 37436"/>
                        <wps:cNvCnPr>
                          <a:cxnSpLocks noChangeShapeType="1"/>
                        </wps:cNvCnPr>
                        <wps:spPr bwMode="auto">
                          <a:xfrm>
                            <a:off x="1050925" y="2175510"/>
                            <a:ext cx="942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71" name="Rectangle 37437"/>
                        <wps:cNvSpPr>
                          <a:spLocks noChangeArrowheads="1"/>
                        </wps:cNvSpPr>
                        <wps:spPr bwMode="auto">
                          <a:xfrm>
                            <a:off x="3181985" y="2322830"/>
                            <a:ext cx="68770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0E15EF32" w14:textId="77777777" w:rsidR="00217891" w:rsidRPr="007B3ACE" w:rsidRDefault="00217891" w:rsidP="001415D6">
                              <w:pPr>
                                <w:rPr>
                                  <w:rFonts w:asciiTheme="minorHAnsi" w:hAnsiTheme="minorHAnsi"/>
                                </w:rPr>
                              </w:pPr>
                              <w:r>
                                <w:rPr>
                                  <w:rFonts w:asciiTheme="minorHAnsi" w:hAnsiTheme="minorHAnsi" w:hint="eastAsia"/>
                                </w:rPr>
                                <w:t>冷却塔</w:t>
                              </w:r>
                            </w:p>
                          </w:txbxContent>
                        </wps:txbx>
                        <wps:bodyPr rot="0" vert="horz" wrap="square" lIns="91440" tIns="45720" rIns="91440" bIns="45720" anchor="t" anchorCtr="0" upright="1">
                          <a:noAutofit/>
                        </wps:bodyPr>
                      </wps:wsp>
                      <wps:wsp>
                        <wps:cNvPr id="37672" name="AutoShape 37438"/>
                        <wps:cNvCnPr>
                          <a:cxnSpLocks noChangeShapeType="1"/>
                        </wps:cNvCnPr>
                        <wps:spPr bwMode="auto">
                          <a:xfrm>
                            <a:off x="3869690" y="2444750"/>
                            <a:ext cx="39052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673" name="Rectangle 37439"/>
                        <wps:cNvSpPr>
                          <a:spLocks noChangeArrowheads="1"/>
                        </wps:cNvSpPr>
                        <wps:spPr bwMode="auto">
                          <a:xfrm>
                            <a:off x="4248785" y="2315210"/>
                            <a:ext cx="108394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0532D94F" w14:textId="77777777" w:rsidR="00217891" w:rsidRPr="007B3ACE" w:rsidRDefault="00217891" w:rsidP="00275C27">
                              <w:pPr>
                                <w:rPr>
                                  <w:rFonts w:asciiTheme="minorHAnsi" w:hAnsiTheme="minorHAnsi"/>
                                </w:rPr>
                              </w:pPr>
                              <w:r>
                                <w:rPr>
                                  <w:rFonts w:asciiTheme="minorHAnsi" w:hAnsiTheme="minorHAnsi" w:hint="eastAsia"/>
                                </w:rPr>
                                <w:t>废气处理装置</w:t>
                              </w:r>
                            </w:p>
                          </w:txbxContent>
                        </wps:txbx>
                        <wps:bodyPr rot="0" vert="horz" wrap="square" lIns="91440" tIns="45720" rIns="91440" bIns="45720" anchor="t" anchorCtr="0" upright="1">
                          <a:noAutofit/>
                        </wps:bodyPr>
                      </wps:wsp>
                      <wps:wsp>
                        <wps:cNvPr id="37674" name="AutoShape 37442"/>
                        <wps:cNvCnPr>
                          <a:cxnSpLocks noChangeShapeType="1"/>
                        </wps:cNvCnPr>
                        <wps:spPr bwMode="auto">
                          <a:xfrm flipV="1">
                            <a:off x="4660265" y="2004060"/>
                            <a:ext cx="635" cy="302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77" name="AutoShape 37446"/>
                        <wps:cNvCnPr>
                          <a:cxnSpLocks noChangeShapeType="1"/>
                        </wps:cNvCnPr>
                        <wps:spPr bwMode="auto">
                          <a:xfrm>
                            <a:off x="2305685" y="2620645"/>
                            <a:ext cx="635" cy="54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78" name="Rectangle 37447"/>
                        <wps:cNvSpPr>
                          <a:spLocks noChangeArrowheads="1"/>
                        </wps:cNvSpPr>
                        <wps:spPr bwMode="auto">
                          <a:xfrm>
                            <a:off x="1833880" y="3161030"/>
                            <a:ext cx="9620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203BB4C2" w14:textId="77777777" w:rsidR="00217891" w:rsidRPr="007B3ACE" w:rsidRDefault="00217891" w:rsidP="00DC4C63">
                              <w:pPr>
                                <w:ind w:firstLineChars="50" w:firstLine="105"/>
                                <w:rPr>
                                  <w:rFonts w:asciiTheme="minorHAnsi" w:hAnsiTheme="minorHAnsi"/>
                                </w:rPr>
                              </w:pPr>
                              <w:r>
                                <w:rPr>
                                  <w:rFonts w:asciiTheme="minorHAnsi" w:hAnsiTheme="minorHAnsi" w:hint="eastAsia"/>
                                </w:rPr>
                                <w:t>冷却</w:t>
                              </w:r>
                              <w:r>
                                <w:rPr>
                                  <w:rFonts w:asciiTheme="minorHAnsi" w:hAnsiTheme="minorHAnsi"/>
                                </w:rPr>
                                <w:t>水槽</w:t>
                              </w:r>
                            </w:p>
                          </w:txbxContent>
                        </wps:txbx>
                        <wps:bodyPr rot="0" vert="horz" wrap="square" lIns="91440" tIns="45720" rIns="91440" bIns="45720" anchor="t" anchorCtr="0" upright="1">
                          <a:noAutofit/>
                        </wps:bodyPr>
                      </wps:wsp>
                      <wps:wsp>
                        <wps:cNvPr id="37679" name="AutoShape 37448"/>
                        <wps:cNvCnPr>
                          <a:cxnSpLocks noChangeShapeType="1"/>
                        </wps:cNvCnPr>
                        <wps:spPr bwMode="auto">
                          <a:xfrm>
                            <a:off x="2791460" y="3294380"/>
                            <a:ext cx="390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80" name="Rectangle 37449"/>
                        <wps:cNvSpPr>
                          <a:spLocks noChangeArrowheads="1"/>
                        </wps:cNvSpPr>
                        <wps:spPr bwMode="auto">
                          <a:xfrm>
                            <a:off x="3174365" y="3161030"/>
                            <a:ext cx="8096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60458EED" w14:textId="77777777" w:rsidR="00217891" w:rsidRPr="007B3ACE" w:rsidRDefault="00217891" w:rsidP="001415D6">
                              <w:pPr>
                                <w:rPr>
                                  <w:rFonts w:asciiTheme="minorHAnsi" w:hAnsiTheme="minorHAnsi"/>
                                </w:rPr>
                              </w:pPr>
                              <w:r>
                                <w:rPr>
                                  <w:rFonts w:asciiTheme="minorHAnsi" w:hAnsiTheme="minorHAnsi" w:hint="eastAsia"/>
                                </w:rPr>
                                <w:t>冷却系统</w:t>
                              </w:r>
                            </w:p>
                          </w:txbxContent>
                        </wps:txbx>
                        <wps:bodyPr rot="0" vert="horz" wrap="square" lIns="91440" tIns="45720" rIns="91440" bIns="45720" anchor="t" anchorCtr="0" upright="1">
                          <a:noAutofit/>
                        </wps:bodyPr>
                      </wps:wsp>
                      <wps:wsp>
                        <wps:cNvPr id="37681" name="AutoShape 37450"/>
                        <wps:cNvCnPr>
                          <a:cxnSpLocks noChangeShapeType="1"/>
                        </wps:cNvCnPr>
                        <wps:spPr bwMode="auto">
                          <a:xfrm flipV="1">
                            <a:off x="3983990" y="3302000"/>
                            <a:ext cx="33718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682" name="AutoShape 37451"/>
                        <wps:cNvCnPr>
                          <a:cxnSpLocks noChangeShapeType="1"/>
                        </wps:cNvCnPr>
                        <wps:spPr bwMode="auto">
                          <a:xfrm>
                            <a:off x="3307080" y="2848610"/>
                            <a:ext cx="635" cy="3581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683" name="AutoShape 37452"/>
                        <wps:cNvCnPr>
                          <a:cxnSpLocks noChangeShapeType="1"/>
                        </wps:cNvCnPr>
                        <wps:spPr bwMode="auto">
                          <a:xfrm>
                            <a:off x="2534920" y="2856230"/>
                            <a:ext cx="635" cy="2825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684" name="AutoShape 37453"/>
                        <wps:cNvCnPr>
                          <a:cxnSpLocks noChangeShapeType="1"/>
                        </wps:cNvCnPr>
                        <wps:spPr bwMode="auto">
                          <a:xfrm>
                            <a:off x="3584575" y="280987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85" name="Rectangle 37454"/>
                        <wps:cNvSpPr>
                          <a:spLocks noChangeArrowheads="1"/>
                        </wps:cNvSpPr>
                        <wps:spPr bwMode="auto">
                          <a:xfrm>
                            <a:off x="3503930" y="2844165"/>
                            <a:ext cx="729615" cy="29464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345C6" w14:textId="77777777" w:rsidR="00217891" w:rsidRPr="007B3ACE" w:rsidRDefault="00217891" w:rsidP="0087180A">
                              <w:pPr>
                                <w:rPr>
                                  <w:rFonts w:asciiTheme="minorHAnsi" w:hAnsiTheme="minorHAnsi"/>
                                </w:rPr>
                              </w:pPr>
                              <w:r>
                                <w:rPr>
                                  <w:rFonts w:asciiTheme="minorHAnsi" w:hAnsiTheme="minorHAnsi" w:hint="eastAsia"/>
                                </w:rPr>
                                <w:t>补充纯水</w:t>
                              </w:r>
                            </w:p>
                          </w:txbxContent>
                        </wps:txbx>
                        <wps:bodyPr rot="0" vert="horz" wrap="square" lIns="91440" tIns="45720" rIns="91440" bIns="45720" anchor="t" anchorCtr="0" upright="1">
                          <a:noAutofit/>
                        </wps:bodyPr>
                      </wps:wsp>
                      <wps:wsp>
                        <wps:cNvPr id="37686" name="Rectangle 37455"/>
                        <wps:cNvSpPr>
                          <a:spLocks noChangeArrowheads="1"/>
                        </wps:cNvSpPr>
                        <wps:spPr bwMode="auto">
                          <a:xfrm>
                            <a:off x="4050030" y="3336290"/>
                            <a:ext cx="742315"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DEF1B" w14:textId="77777777" w:rsidR="00217891" w:rsidRPr="001415D6" w:rsidRDefault="00217891" w:rsidP="0064009E">
                              <w:pPr>
                                <w:jc w:val="center"/>
                                <w:rPr>
                                  <w:rFonts w:asciiTheme="minorHAnsi" w:hAnsiTheme="minorHAnsi"/>
                                </w:rPr>
                              </w:pPr>
                              <w:r>
                                <w:rPr>
                                  <w:rFonts w:asciiTheme="minorHAnsi" w:hAnsiTheme="minorHAnsi"/>
                                </w:rPr>
                                <w:t>W3</w:t>
                              </w:r>
                            </w:p>
                          </w:txbxContent>
                        </wps:txbx>
                        <wps:bodyPr rot="0" vert="horz" wrap="square" lIns="91440" tIns="45720" rIns="91440" bIns="45720" anchor="t" anchorCtr="0" upright="1">
                          <a:noAutofit/>
                        </wps:bodyPr>
                      </wps:wsp>
                      <wps:wsp>
                        <wps:cNvPr id="37687" name="AutoShape 37457"/>
                        <wps:cNvCnPr>
                          <a:cxnSpLocks noChangeShapeType="1"/>
                        </wps:cNvCnPr>
                        <wps:spPr bwMode="auto">
                          <a:xfrm>
                            <a:off x="2339340" y="4269740"/>
                            <a:ext cx="12700" cy="464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88" name="AutoShape 37459"/>
                        <wps:cNvCnPr>
                          <a:cxnSpLocks noChangeShapeType="1"/>
                        </wps:cNvCnPr>
                        <wps:spPr bwMode="auto">
                          <a:xfrm flipV="1">
                            <a:off x="2520950" y="2856230"/>
                            <a:ext cx="793750" cy="82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689" name="Rectangle 37461"/>
                        <wps:cNvSpPr>
                          <a:spLocks noChangeArrowheads="1"/>
                        </wps:cNvSpPr>
                        <wps:spPr bwMode="auto">
                          <a:xfrm>
                            <a:off x="3087370" y="1687195"/>
                            <a:ext cx="86296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16926CE6" w14:textId="77777777" w:rsidR="00217891" w:rsidRPr="007B3ACE" w:rsidRDefault="00217891" w:rsidP="001A41EE">
                              <w:pPr>
                                <w:ind w:firstLineChars="50" w:firstLine="105"/>
                                <w:rPr>
                                  <w:rFonts w:asciiTheme="minorHAnsi" w:hAnsiTheme="minorHAnsi"/>
                                </w:rPr>
                              </w:pPr>
                              <w:r>
                                <w:rPr>
                                  <w:rFonts w:asciiTheme="minorHAnsi" w:hAnsiTheme="minorHAnsi" w:hint="eastAsia"/>
                                </w:rPr>
                                <w:t>冷凝水罐</w:t>
                              </w:r>
                            </w:p>
                          </w:txbxContent>
                        </wps:txbx>
                        <wps:bodyPr rot="0" vert="horz" wrap="square" lIns="91440" tIns="45720" rIns="91440" bIns="45720" anchor="t" anchorCtr="0" upright="1">
                          <a:noAutofit/>
                        </wps:bodyPr>
                      </wps:wsp>
                      <wps:wsp>
                        <wps:cNvPr id="37690" name="AutoShape 37464"/>
                        <wps:cNvCnPr>
                          <a:cxnSpLocks noChangeShapeType="1"/>
                        </wps:cNvCnPr>
                        <wps:spPr bwMode="auto">
                          <a:xfrm>
                            <a:off x="2362835" y="505904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91" name="Rectangle 37465"/>
                        <wps:cNvSpPr>
                          <a:spLocks noChangeArrowheads="1"/>
                        </wps:cNvSpPr>
                        <wps:spPr bwMode="auto">
                          <a:xfrm>
                            <a:off x="1873885" y="5417820"/>
                            <a:ext cx="9620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6239F018" w14:textId="77777777" w:rsidR="00217891" w:rsidRPr="007B3ACE" w:rsidRDefault="00217891" w:rsidP="005E7687">
                              <w:pPr>
                                <w:ind w:firstLineChars="150" w:firstLine="315"/>
                                <w:rPr>
                                  <w:rFonts w:asciiTheme="minorHAnsi" w:hAnsiTheme="minorHAnsi"/>
                                </w:rPr>
                              </w:pPr>
                              <w:r>
                                <w:rPr>
                                  <w:rFonts w:asciiTheme="minorHAnsi" w:hAnsiTheme="minorHAnsi" w:hint="eastAsia"/>
                                </w:rPr>
                                <w:t>包装</w:t>
                              </w:r>
                            </w:p>
                          </w:txbxContent>
                        </wps:txbx>
                        <wps:bodyPr rot="0" vert="horz" wrap="square" lIns="91440" tIns="45720" rIns="91440" bIns="45720" anchor="t" anchorCtr="0" upright="1">
                          <a:noAutofit/>
                        </wps:bodyPr>
                      </wps:wsp>
                      <wps:wsp>
                        <wps:cNvPr id="37692" name="AutoShape 37466"/>
                        <wps:cNvCnPr>
                          <a:cxnSpLocks noChangeShapeType="1"/>
                        </wps:cNvCnPr>
                        <wps:spPr bwMode="auto">
                          <a:xfrm>
                            <a:off x="2377440" y="570674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93" name="Rectangle 37467"/>
                        <wps:cNvSpPr>
                          <a:spLocks noChangeArrowheads="1"/>
                        </wps:cNvSpPr>
                        <wps:spPr bwMode="auto">
                          <a:xfrm>
                            <a:off x="2030095" y="6065520"/>
                            <a:ext cx="729615" cy="29464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C3DF2" w14:textId="77777777" w:rsidR="00217891" w:rsidRPr="007B3ACE" w:rsidRDefault="00217891" w:rsidP="005E7687">
                              <w:pPr>
                                <w:ind w:firstLineChars="100" w:firstLine="210"/>
                                <w:rPr>
                                  <w:rFonts w:asciiTheme="minorHAnsi" w:hAnsiTheme="minorHAnsi"/>
                                </w:rPr>
                              </w:pPr>
                              <w:r>
                                <w:rPr>
                                  <w:rFonts w:asciiTheme="minorHAnsi" w:hAnsiTheme="minorHAnsi" w:hint="eastAsia"/>
                                </w:rPr>
                                <w:t>产品</w:t>
                              </w:r>
                            </w:p>
                          </w:txbxContent>
                        </wps:txbx>
                        <wps:bodyPr rot="0" vert="horz" wrap="square" lIns="91440" tIns="45720" rIns="91440" bIns="45720" anchor="t" anchorCtr="0" upright="1">
                          <a:noAutofit/>
                        </wps:bodyPr>
                      </wps:wsp>
                      <wps:wsp>
                        <wps:cNvPr id="37694" name="Rectangle 37471"/>
                        <wps:cNvSpPr>
                          <a:spLocks noChangeArrowheads="1"/>
                        </wps:cNvSpPr>
                        <wps:spPr bwMode="auto">
                          <a:xfrm>
                            <a:off x="2498090" y="2660650"/>
                            <a:ext cx="729615" cy="29464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42BCA" w14:textId="77777777" w:rsidR="00217891" w:rsidRPr="007B3ACE" w:rsidRDefault="00217891" w:rsidP="0087180A">
                              <w:pPr>
                                <w:rPr>
                                  <w:rFonts w:asciiTheme="minorHAnsi" w:hAnsiTheme="minorHAnsi"/>
                                </w:rPr>
                              </w:pPr>
                              <w:r>
                                <w:rPr>
                                  <w:rFonts w:asciiTheme="minorHAnsi" w:hAnsiTheme="minorHAnsi" w:hint="eastAsia"/>
                                </w:rPr>
                                <w:t>冷却水</w:t>
                              </w:r>
                            </w:p>
                          </w:txbxContent>
                        </wps:txbx>
                        <wps:bodyPr rot="0" vert="horz" wrap="square" lIns="91440" tIns="45720" rIns="91440" bIns="45720" anchor="t" anchorCtr="0" upright="1">
                          <a:noAutofit/>
                        </wps:bodyPr>
                      </wps:wsp>
                      <wps:wsp>
                        <wps:cNvPr id="37695" name="Rectangle 37441"/>
                        <wps:cNvSpPr>
                          <a:spLocks noChangeArrowheads="1"/>
                        </wps:cNvSpPr>
                        <wps:spPr bwMode="auto">
                          <a:xfrm>
                            <a:off x="4607560" y="4117975"/>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6560" w14:textId="77777777" w:rsidR="00217891" w:rsidRPr="001415D6" w:rsidRDefault="00217891" w:rsidP="0064009E">
                              <w:pPr>
                                <w:jc w:val="center"/>
                                <w:rPr>
                                  <w:rFonts w:asciiTheme="minorHAnsi" w:hAnsiTheme="minorHAnsi"/>
                                </w:rPr>
                              </w:pPr>
                              <w:r>
                                <w:rPr>
                                  <w:rFonts w:asciiTheme="minorHAnsi" w:hAnsiTheme="minorHAnsi"/>
                                </w:rPr>
                                <w:t>W1</w:t>
                              </w:r>
                            </w:p>
                          </w:txbxContent>
                        </wps:txbx>
                        <wps:bodyPr rot="0" vert="horz" wrap="square" lIns="91440" tIns="45720" rIns="91440" bIns="45720" anchor="t" anchorCtr="0" upright="1">
                          <a:noAutofit/>
                        </wps:bodyPr>
                      </wps:wsp>
                      <wps:wsp>
                        <wps:cNvPr id="1312" name="AutoShape 37480"/>
                        <wps:cNvCnPr>
                          <a:cxnSpLocks noChangeShapeType="1"/>
                        </wps:cNvCnPr>
                        <wps:spPr bwMode="auto">
                          <a:xfrm flipV="1">
                            <a:off x="1049020" y="2175510"/>
                            <a:ext cx="63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AutoShape 37482"/>
                        <wps:cNvCnPr>
                          <a:cxnSpLocks noChangeShapeType="1"/>
                        </wps:cNvCnPr>
                        <wps:spPr bwMode="auto">
                          <a:xfrm flipV="1">
                            <a:off x="1993265" y="1971675"/>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 name="Rectangle 37483"/>
                        <wps:cNvSpPr>
                          <a:spLocks noChangeArrowheads="1"/>
                        </wps:cNvSpPr>
                        <wps:spPr bwMode="auto">
                          <a:xfrm>
                            <a:off x="1479550" y="1976120"/>
                            <a:ext cx="676275" cy="28575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31AF" w14:textId="77777777" w:rsidR="00217891" w:rsidRDefault="00217891" w:rsidP="0064009E">
                              <w:pPr>
                                <w:jc w:val="center"/>
                              </w:pPr>
                              <w:r>
                                <w:rPr>
                                  <w:rFonts w:hint="eastAsia"/>
                                </w:rPr>
                                <w:t>保温</w:t>
                              </w:r>
                            </w:p>
                          </w:txbxContent>
                        </wps:txbx>
                        <wps:bodyPr rot="0" vert="horz" wrap="square" lIns="91440" tIns="45720" rIns="91440" bIns="45720" anchor="t" anchorCtr="0" upright="1">
                          <a:noAutofit/>
                        </wps:bodyPr>
                      </wps:wsp>
                      <wps:wsp>
                        <wps:cNvPr id="1315" name="AutoShape 37484"/>
                        <wps:cNvCnPr>
                          <a:cxnSpLocks noChangeShapeType="1"/>
                        </wps:cNvCnPr>
                        <wps:spPr bwMode="auto">
                          <a:xfrm>
                            <a:off x="2788285" y="2489835"/>
                            <a:ext cx="39052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20" name="Rectangle 37486"/>
                        <wps:cNvSpPr>
                          <a:spLocks noChangeArrowheads="1"/>
                        </wps:cNvSpPr>
                        <wps:spPr bwMode="auto">
                          <a:xfrm>
                            <a:off x="1859915" y="4761230"/>
                            <a:ext cx="9620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19E649FB" w14:textId="77777777" w:rsidR="00217891" w:rsidRPr="007B3ACE" w:rsidRDefault="00217891" w:rsidP="00453871">
                              <w:pPr>
                                <w:ind w:firstLineChars="200" w:firstLine="420"/>
                                <w:rPr>
                                  <w:rFonts w:asciiTheme="minorHAnsi" w:hAnsiTheme="minorHAnsi"/>
                                </w:rPr>
                              </w:pPr>
                              <w:r>
                                <w:rPr>
                                  <w:rFonts w:asciiTheme="minorHAnsi" w:hAnsiTheme="minorHAnsi" w:hint="eastAsia"/>
                                </w:rPr>
                                <w:t>干燥</w:t>
                              </w:r>
                            </w:p>
                          </w:txbxContent>
                        </wps:txbx>
                        <wps:bodyPr rot="0" vert="horz" wrap="square" lIns="91440" tIns="45720" rIns="91440" bIns="45720" anchor="t" anchorCtr="0" upright="1">
                          <a:noAutofit/>
                        </wps:bodyPr>
                      </wps:wsp>
                      <wps:wsp>
                        <wps:cNvPr id="1321" name="AutoShape 37492"/>
                        <wps:cNvCnPr>
                          <a:cxnSpLocks noChangeShapeType="1"/>
                        </wps:cNvCnPr>
                        <wps:spPr bwMode="auto">
                          <a:xfrm flipH="1" flipV="1">
                            <a:off x="2549525" y="4448810"/>
                            <a:ext cx="8255" cy="2901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23" name="Rectangle 37493"/>
                        <wps:cNvSpPr>
                          <a:spLocks noChangeArrowheads="1"/>
                        </wps:cNvSpPr>
                        <wps:spPr bwMode="auto">
                          <a:xfrm>
                            <a:off x="2381885" y="4265930"/>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3053" w14:textId="77777777" w:rsidR="00217891" w:rsidRPr="001415D6" w:rsidRDefault="00217891" w:rsidP="00E61924">
                              <w:pPr>
                                <w:rPr>
                                  <w:rFonts w:asciiTheme="minorHAnsi" w:hAnsiTheme="minorHAnsi"/>
                                </w:rPr>
                              </w:pPr>
                              <w:r>
                                <w:rPr>
                                  <w:rFonts w:asciiTheme="minorHAnsi" w:hAnsiTheme="minorHAnsi"/>
                                </w:rPr>
                                <w:t>N3</w:t>
                              </w:r>
                            </w:p>
                          </w:txbxContent>
                        </wps:txbx>
                        <wps:bodyPr rot="0" vert="horz" wrap="square" lIns="91440" tIns="45720" rIns="91440" bIns="45720" anchor="t" anchorCtr="0" upright="1">
                          <a:noAutofit/>
                        </wps:bodyPr>
                      </wps:wsp>
                      <wps:wsp>
                        <wps:cNvPr id="1325" name="AutoShape 37496"/>
                        <wps:cNvCnPr>
                          <a:cxnSpLocks noChangeShapeType="1"/>
                        </wps:cNvCnPr>
                        <wps:spPr bwMode="auto">
                          <a:xfrm>
                            <a:off x="2313940" y="3447415"/>
                            <a:ext cx="1270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6" name="Rectangle 37497"/>
                        <wps:cNvSpPr>
                          <a:spLocks noChangeArrowheads="1"/>
                        </wps:cNvSpPr>
                        <wps:spPr bwMode="auto">
                          <a:xfrm>
                            <a:off x="1859915" y="3977005"/>
                            <a:ext cx="9620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346DD27E" w14:textId="77777777" w:rsidR="00217891" w:rsidRPr="007B3ACE" w:rsidRDefault="00217891" w:rsidP="00DC4C63">
                              <w:pPr>
                                <w:ind w:firstLineChars="200" w:firstLine="420"/>
                                <w:rPr>
                                  <w:rFonts w:asciiTheme="minorHAnsi" w:hAnsiTheme="minorHAnsi"/>
                                </w:rPr>
                              </w:pPr>
                              <w:r>
                                <w:rPr>
                                  <w:rFonts w:asciiTheme="minorHAnsi" w:hAnsiTheme="minorHAnsi" w:hint="eastAsia"/>
                                </w:rPr>
                                <w:t>制粒</w:t>
                              </w:r>
                            </w:p>
                          </w:txbxContent>
                        </wps:txbx>
                        <wps:bodyPr rot="0" vert="horz" wrap="square" lIns="91440" tIns="45720" rIns="91440" bIns="45720" anchor="t" anchorCtr="0" upright="1">
                          <a:noAutofit/>
                        </wps:bodyPr>
                      </wps:wsp>
                      <wps:wsp>
                        <wps:cNvPr id="1327" name="AutoShape 37500"/>
                        <wps:cNvCnPr>
                          <a:cxnSpLocks noChangeShapeType="1"/>
                        </wps:cNvCnPr>
                        <wps:spPr bwMode="auto">
                          <a:xfrm>
                            <a:off x="2512060" y="3449955"/>
                            <a:ext cx="635"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utoShape 37501"/>
                        <wps:cNvCnPr>
                          <a:cxnSpLocks noChangeShapeType="1"/>
                        </wps:cNvCnPr>
                        <wps:spPr bwMode="auto">
                          <a:xfrm flipV="1">
                            <a:off x="2520950" y="3709035"/>
                            <a:ext cx="2281555" cy="18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AutoShape 37502"/>
                        <wps:cNvCnPr>
                          <a:cxnSpLocks noChangeShapeType="1"/>
                        </wps:cNvCnPr>
                        <wps:spPr bwMode="auto">
                          <a:xfrm flipV="1">
                            <a:off x="4801870" y="2634615"/>
                            <a:ext cx="635"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4" name="Rectangle 37504"/>
                        <wps:cNvSpPr>
                          <a:spLocks noChangeArrowheads="1"/>
                        </wps:cNvSpPr>
                        <wps:spPr bwMode="auto">
                          <a:xfrm>
                            <a:off x="3804920" y="2201545"/>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3723F" w14:textId="77777777" w:rsidR="00217891" w:rsidRPr="001415D6" w:rsidRDefault="00217891" w:rsidP="0064009E">
                              <w:pPr>
                                <w:jc w:val="center"/>
                                <w:rPr>
                                  <w:rFonts w:asciiTheme="minorHAnsi" w:hAnsiTheme="minorHAnsi"/>
                                </w:rPr>
                              </w:pPr>
                              <w:r>
                                <w:rPr>
                                  <w:rFonts w:asciiTheme="minorHAnsi" w:hAnsiTheme="minorHAnsi"/>
                                </w:rPr>
                                <w:t>G2</w:t>
                              </w:r>
                            </w:p>
                          </w:txbxContent>
                        </wps:txbx>
                        <wps:bodyPr rot="0" vert="horz" wrap="square" lIns="91440" tIns="45720" rIns="91440" bIns="45720" anchor="t" anchorCtr="0" upright="1">
                          <a:noAutofit/>
                        </wps:bodyPr>
                      </wps:wsp>
                      <wps:wsp>
                        <wps:cNvPr id="1335" name="Rectangle 37505"/>
                        <wps:cNvSpPr>
                          <a:spLocks noChangeArrowheads="1"/>
                        </wps:cNvSpPr>
                        <wps:spPr bwMode="auto">
                          <a:xfrm>
                            <a:off x="3460115" y="3493770"/>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524A" w14:textId="77777777" w:rsidR="00217891" w:rsidRPr="001415D6" w:rsidRDefault="00217891" w:rsidP="0064009E">
                              <w:pPr>
                                <w:jc w:val="center"/>
                                <w:rPr>
                                  <w:rFonts w:asciiTheme="minorHAnsi" w:hAnsiTheme="minorHAnsi"/>
                                </w:rPr>
                              </w:pPr>
                              <w:r>
                                <w:rPr>
                                  <w:rFonts w:asciiTheme="minorHAnsi" w:hAnsiTheme="minorHAnsi"/>
                                </w:rPr>
                                <w:t>G3</w:t>
                              </w:r>
                            </w:p>
                          </w:txbxContent>
                        </wps:txbx>
                        <wps:bodyPr rot="0" vert="horz" wrap="square" lIns="91440" tIns="45720" rIns="91440" bIns="45720" anchor="t" anchorCtr="0" upright="1">
                          <a:noAutofit/>
                        </wps:bodyPr>
                      </wps:wsp>
                      <wps:wsp>
                        <wps:cNvPr id="1336" name="AutoShape 37508"/>
                        <wps:cNvCnPr>
                          <a:cxnSpLocks noChangeShapeType="1"/>
                        </wps:cNvCnPr>
                        <wps:spPr bwMode="auto">
                          <a:xfrm flipV="1">
                            <a:off x="3507740" y="1933575"/>
                            <a:ext cx="635"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9" name="AutoShape 37509"/>
                        <wps:cNvCnPr>
                          <a:cxnSpLocks noChangeShapeType="1"/>
                        </wps:cNvCnPr>
                        <wps:spPr bwMode="auto">
                          <a:xfrm flipH="1">
                            <a:off x="2795905" y="1842135"/>
                            <a:ext cx="29019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0" name="AutoShape 37510"/>
                        <wps:cNvCnPr>
                          <a:cxnSpLocks noChangeShapeType="1"/>
                        </wps:cNvCnPr>
                        <wps:spPr bwMode="auto">
                          <a:xfrm>
                            <a:off x="2534285" y="2146935"/>
                            <a:ext cx="63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56" name="Rectangle 37511"/>
                        <wps:cNvSpPr>
                          <a:spLocks noChangeArrowheads="1"/>
                        </wps:cNvSpPr>
                        <wps:spPr bwMode="auto">
                          <a:xfrm>
                            <a:off x="2450465" y="2014855"/>
                            <a:ext cx="67818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3386" w14:textId="77777777" w:rsidR="00217891" w:rsidRPr="001A41EE" w:rsidRDefault="00217891" w:rsidP="001A41EE">
                              <w:pPr>
                                <w:ind w:firstLineChars="50" w:firstLine="105"/>
                                <w:rPr>
                                  <w:rFonts w:asciiTheme="minorHAnsi" w:hAnsiTheme="minorHAnsi"/>
                                </w:rPr>
                              </w:pPr>
                              <w:r>
                                <w:rPr>
                                  <w:rFonts w:asciiTheme="minorHAnsi" w:hAnsiTheme="minorHAnsi"/>
                                </w:rPr>
                                <w:t>N</w:t>
                              </w:r>
                              <w:r w:rsidRPr="001A41EE">
                                <w:rPr>
                                  <w:rFonts w:asciiTheme="minorHAnsi" w:hAnsiTheme="minorHAnsi"/>
                                  <w:vertAlign w:val="subscript"/>
                                </w:rPr>
                                <w:t>2</w:t>
                              </w:r>
                              <w:r>
                                <w:rPr>
                                  <w:rFonts w:asciiTheme="minorHAnsi" w:hAnsiTheme="minorHAnsi" w:hint="eastAsia"/>
                                </w:rPr>
                                <w:t>保护</w:t>
                              </w:r>
                            </w:p>
                          </w:txbxContent>
                        </wps:txbx>
                        <wps:bodyPr rot="0" vert="horz" wrap="square" lIns="91440" tIns="45720" rIns="91440" bIns="45720" anchor="t" anchorCtr="0" upright="1">
                          <a:noAutofit/>
                        </wps:bodyPr>
                      </wps:wsp>
                      <wps:wsp>
                        <wps:cNvPr id="27457" name="AutoShape 37514"/>
                        <wps:cNvCnPr>
                          <a:cxnSpLocks noChangeShapeType="1"/>
                        </wps:cNvCnPr>
                        <wps:spPr bwMode="auto">
                          <a:xfrm flipH="1" flipV="1">
                            <a:off x="2600960" y="5111750"/>
                            <a:ext cx="8255" cy="2901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458" name="Rectangle 37515"/>
                        <wps:cNvSpPr>
                          <a:spLocks noChangeArrowheads="1"/>
                        </wps:cNvSpPr>
                        <wps:spPr bwMode="auto">
                          <a:xfrm>
                            <a:off x="2600959" y="5077460"/>
                            <a:ext cx="670197"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8170" w14:textId="77777777" w:rsidR="00217891" w:rsidRPr="001415D6" w:rsidRDefault="00217891" w:rsidP="00E61924">
                              <w:pPr>
                                <w:rPr>
                                  <w:rFonts w:asciiTheme="minorHAnsi" w:hAnsiTheme="minorHAnsi"/>
                                </w:rPr>
                              </w:pPr>
                              <w:r>
                                <w:rPr>
                                  <w:rFonts w:asciiTheme="minorHAnsi" w:hAnsiTheme="minorHAnsi"/>
                                </w:rPr>
                                <w:t>N4</w:t>
                              </w:r>
                            </w:p>
                          </w:txbxContent>
                        </wps:txbx>
                        <wps:bodyPr rot="0" vert="horz" wrap="square" lIns="91440" tIns="45720" rIns="91440" bIns="45720" anchor="t" anchorCtr="0" upright="1">
                          <a:noAutofit/>
                        </wps:bodyPr>
                      </wps:wsp>
                      <wps:wsp>
                        <wps:cNvPr id="27459" name="AutoShape 37516"/>
                        <wps:cNvCnPr>
                          <a:cxnSpLocks noChangeShapeType="1"/>
                        </wps:cNvCnPr>
                        <wps:spPr bwMode="auto">
                          <a:xfrm flipH="1" flipV="1">
                            <a:off x="2098040" y="3686810"/>
                            <a:ext cx="8255" cy="2901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460" name="Rectangle 37517"/>
                        <wps:cNvSpPr>
                          <a:spLocks noChangeArrowheads="1"/>
                        </wps:cNvSpPr>
                        <wps:spPr bwMode="auto">
                          <a:xfrm>
                            <a:off x="3585210" y="2028825"/>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DFCDA" w14:textId="77777777" w:rsidR="00217891" w:rsidRPr="001415D6" w:rsidRDefault="00217891" w:rsidP="002C54C3">
                              <w:pPr>
                                <w:ind w:firstLineChars="50" w:firstLine="105"/>
                                <w:rPr>
                                  <w:rFonts w:asciiTheme="minorHAnsi" w:hAnsiTheme="minorHAnsi"/>
                                </w:rPr>
                              </w:pPr>
                              <w:r>
                                <w:rPr>
                                  <w:rFonts w:asciiTheme="minorHAnsi" w:hAnsiTheme="minorHAnsi"/>
                                </w:rPr>
                                <w:t>N1</w:t>
                              </w:r>
                            </w:p>
                          </w:txbxContent>
                        </wps:txbx>
                        <wps:bodyPr rot="0" vert="horz" wrap="square" lIns="91440" tIns="45720" rIns="91440" bIns="45720" anchor="t" anchorCtr="0" upright="1">
                          <a:noAutofit/>
                        </wps:bodyPr>
                      </wps:wsp>
                      <wps:wsp>
                        <wps:cNvPr id="27461" name="Rectangle 37408"/>
                        <wps:cNvSpPr>
                          <a:spLocks noChangeArrowheads="1"/>
                        </wps:cNvSpPr>
                        <wps:spPr bwMode="auto">
                          <a:xfrm>
                            <a:off x="3857625" y="5544820"/>
                            <a:ext cx="1638300" cy="72390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DA78" w14:textId="77777777" w:rsidR="00217891" w:rsidRDefault="00217891" w:rsidP="007B3ACE">
                              <w:pPr>
                                <w:jc w:val="left"/>
                              </w:pPr>
                              <w:r>
                                <w:rPr>
                                  <w:rFonts w:hint="eastAsia"/>
                                </w:rPr>
                                <w:t>其中：</w:t>
                              </w:r>
                            </w:p>
                            <w:p w14:paraId="67662122" w14:textId="77777777" w:rsidR="00217891" w:rsidRPr="002C54C3" w:rsidRDefault="00217891" w:rsidP="007B3ACE">
                              <w:pPr>
                                <w:jc w:val="left"/>
                                <w:rPr>
                                  <w:rFonts w:asciiTheme="minorHAnsi" w:hAnsiTheme="minorHAnsi"/>
                                </w:rPr>
                              </w:pPr>
                              <w:r w:rsidRPr="002C54C3">
                                <w:rPr>
                                  <w:rFonts w:asciiTheme="minorHAnsi" w:hAnsiTheme="minorHAnsi"/>
                                </w:rPr>
                                <w:t>G—</w:t>
                              </w:r>
                              <w:r w:rsidRPr="002C54C3">
                                <w:rPr>
                                  <w:rFonts w:asciiTheme="minorHAnsi" w:hAnsiTheme="minorHAnsi"/>
                                </w:rPr>
                                <w:t>废气；</w:t>
                              </w:r>
                              <w:r w:rsidRPr="002C54C3">
                                <w:rPr>
                                  <w:rFonts w:asciiTheme="minorHAnsi" w:hAnsiTheme="minorHAnsi"/>
                                </w:rPr>
                                <w:t>W—</w:t>
                              </w:r>
                              <w:r w:rsidRPr="002C54C3">
                                <w:rPr>
                                  <w:rFonts w:asciiTheme="minorHAnsi" w:hAnsiTheme="minorHAnsi"/>
                                </w:rPr>
                                <w:t>废水；</w:t>
                              </w:r>
                            </w:p>
                            <w:p w14:paraId="5411F2A3" w14:textId="77777777" w:rsidR="00217891" w:rsidRPr="002C54C3" w:rsidRDefault="00217891" w:rsidP="007B3ACE">
                              <w:pPr>
                                <w:jc w:val="left"/>
                                <w:rPr>
                                  <w:rFonts w:asciiTheme="minorHAnsi" w:hAnsiTheme="minorHAnsi"/>
                                </w:rPr>
                              </w:pPr>
                              <w:r w:rsidRPr="002C54C3">
                                <w:rPr>
                                  <w:rFonts w:asciiTheme="minorHAnsi" w:hAnsiTheme="minorHAnsi"/>
                                </w:rPr>
                                <w:t>N—</w:t>
                              </w:r>
                              <w:r w:rsidRPr="002C54C3">
                                <w:rPr>
                                  <w:rFonts w:asciiTheme="minorHAnsi" w:hAnsiTheme="minorHAnsi"/>
                                </w:rPr>
                                <w:t>噪声；</w:t>
                              </w:r>
                              <w:r w:rsidRPr="002C54C3">
                                <w:rPr>
                                  <w:rFonts w:asciiTheme="minorHAnsi" w:hAnsiTheme="minorHAnsi"/>
                                </w:rPr>
                                <w:t>S—</w:t>
                              </w:r>
                              <w:r w:rsidRPr="002C54C3">
                                <w:rPr>
                                  <w:rFonts w:asciiTheme="minorHAnsi" w:hAnsiTheme="minorHAnsi"/>
                                </w:rPr>
                                <w:t>固废</w:t>
                              </w:r>
                            </w:p>
                          </w:txbxContent>
                        </wps:txbx>
                        <wps:bodyPr rot="0" vert="horz" wrap="square" lIns="91440" tIns="45720" rIns="91440" bIns="45720" anchor="t" anchorCtr="0" upright="1">
                          <a:noAutofit/>
                        </wps:bodyPr>
                      </wps:wsp>
                      <wps:wsp>
                        <wps:cNvPr id="27462" name="AutoShape 37520"/>
                        <wps:cNvCnPr>
                          <a:cxnSpLocks noChangeShapeType="1"/>
                        </wps:cNvCnPr>
                        <wps:spPr bwMode="auto">
                          <a:xfrm>
                            <a:off x="2557780" y="472440"/>
                            <a:ext cx="635"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63" name="Text Box 37521"/>
                        <wps:cNvSpPr txBox="1">
                          <a:spLocks noChangeArrowheads="1"/>
                        </wps:cNvSpPr>
                        <wps:spPr bwMode="auto">
                          <a:xfrm>
                            <a:off x="932180" y="6403975"/>
                            <a:ext cx="3825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68E51" w14:textId="77777777" w:rsidR="00217891" w:rsidRPr="001E3E77" w:rsidRDefault="00217891">
                              <w:pPr>
                                <w:rPr>
                                  <w:rFonts w:asciiTheme="minorHAnsi" w:eastAsia="黑体" w:hAnsiTheme="minorHAnsi"/>
                                  <w:b/>
                                  <w:sz w:val="24"/>
                                  <w:u w:val="single"/>
                                </w:rPr>
                              </w:pPr>
                              <w:r w:rsidRPr="001E3E77">
                                <w:rPr>
                                  <w:rFonts w:asciiTheme="minorHAnsi" w:eastAsia="黑体" w:hAnsiTheme="minorHAnsi"/>
                                  <w:b/>
                                  <w:sz w:val="24"/>
                                  <w:u w:val="single"/>
                                </w:rPr>
                                <w:t>图</w:t>
                              </w:r>
                              <w:r w:rsidRPr="001E3E77">
                                <w:rPr>
                                  <w:rFonts w:asciiTheme="minorHAnsi" w:eastAsia="黑体" w:hAnsiTheme="minorHAnsi"/>
                                  <w:b/>
                                  <w:sz w:val="24"/>
                                  <w:u w:val="single"/>
                                </w:rPr>
                                <w:t xml:space="preserve">2.2-1      </w:t>
                              </w:r>
                              <w:r w:rsidRPr="001E3E77">
                                <w:rPr>
                                  <w:rFonts w:asciiTheme="minorHAnsi" w:eastAsia="黑体" w:hAnsiTheme="minorHAnsi"/>
                                  <w:b/>
                                  <w:sz w:val="24"/>
                                  <w:u w:val="single"/>
                                </w:rPr>
                                <w:t>本项目</w:t>
                              </w:r>
                              <w:r w:rsidRPr="001E3E77">
                                <w:rPr>
                                  <w:rFonts w:asciiTheme="minorHAnsi" w:eastAsia="黑体" w:hAnsiTheme="minorHAnsi" w:hint="eastAsia"/>
                                  <w:b/>
                                  <w:sz w:val="24"/>
                                  <w:u w:val="single"/>
                                </w:rPr>
                                <w:t>（一期</w:t>
                              </w:r>
                              <w:r w:rsidRPr="001E3E77">
                                <w:rPr>
                                  <w:rFonts w:asciiTheme="minorHAnsi" w:eastAsia="黑体" w:hAnsiTheme="minorHAnsi"/>
                                  <w:b/>
                                  <w:sz w:val="24"/>
                                  <w:u w:val="single"/>
                                </w:rPr>
                                <w:t>、二期</w:t>
                              </w:r>
                              <w:r w:rsidRPr="001E3E77">
                                <w:rPr>
                                  <w:rFonts w:asciiTheme="minorHAnsi" w:eastAsia="黑体" w:hAnsiTheme="minorHAnsi" w:hint="eastAsia"/>
                                  <w:b/>
                                  <w:sz w:val="24"/>
                                  <w:u w:val="single"/>
                                </w:rPr>
                                <w:t>）</w:t>
                              </w:r>
                              <w:r w:rsidRPr="001E3E77">
                                <w:rPr>
                                  <w:rFonts w:asciiTheme="minorHAnsi" w:eastAsia="黑体" w:hAnsiTheme="minorHAnsi"/>
                                  <w:b/>
                                  <w:sz w:val="24"/>
                                  <w:u w:val="single"/>
                                </w:rPr>
                                <w:t>生产工艺流程图</w:t>
                              </w:r>
                            </w:p>
                          </w:txbxContent>
                        </wps:txbx>
                        <wps:bodyPr rot="0" vert="horz" wrap="square" lIns="91440" tIns="45720" rIns="91440" bIns="45720" anchor="t" anchorCtr="0" upright="1">
                          <a:noAutofit/>
                        </wps:bodyPr>
                      </wps:wsp>
                      <wps:wsp>
                        <wps:cNvPr id="27464" name="AutoShape 37522"/>
                        <wps:cNvCnPr>
                          <a:cxnSpLocks noChangeShapeType="1"/>
                        </wps:cNvCnPr>
                        <wps:spPr bwMode="auto">
                          <a:xfrm>
                            <a:off x="2826385" y="4117975"/>
                            <a:ext cx="38544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465" name="Rectangle 37523"/>
                        <wps:cNvSpPr>
                          <a:spLocks noChangeArrowheads="1"/>
                        </wps:cNvSpPr>
                        <wps:spPr bwMode="auto">
                          <a:xfrm>
                            <a:off x="3189605" y="3991610"/>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FFAD" w14:textId="77777777" w:rsidR="00217891" w:rsidRPr="001415D6" w:rsidRDefault="00217891" w:rsidP="00453871">
                              <w:pPr>
                                <w:rPr>
                                  <w:rFonts w:asciiTheme="minorHAnsi" w:hAnsiTheme="minorHAnsi"/>
                                </w:rPr>
                              </w:pPr>
                              <w:r>
                                <w:rPr>
                                  <w:rFonts w:asciiTheme="minorHAnsi" w:hAnsiTheme="minorHAnsi"/>
                                </w:rPr>
                                <w:t>S1</w:t>
                              </w:r>
                            </w:p>
                          </w:txbxContent>
                        </wps:txbx>
                        <wps:bodyPr rot="0" vert="horz" wrap="square" lIns="91440" tIns="45720" rIns="91440" bIns="45720" anchor="t" anchorCtr="0" upright="1">
                          <a:noAutofit/>
                        </wps:bodyPr>
                      </wps:wsp>
                      <wps:wsp>
                        <wps:cNvPr id="27466" name="Rectangle 37524"/>
                        <wps:cNvSpPr>
                          <a:spLocks noChangeArrowheads="1"/>
                        </wps:cNvSpPr>
                        <wps:spPr bwMode="auto">
                          <a:xfrm>
                            <a:off x="1866265" y="791210"/>
                            <a:ext cx="96202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621ABB22" w14:textId="77777777" w:rsidR="00217891" w:rsidRPr="007B3ACE" w:rsidRDefault="00217891" w:rsidP="00F66045">
                              <w:pPr>
                                <w:ind w:firstLineChars="100" w:firstLine="210"/>
                                <w:rPr>
                                  <w:rFonts w:asciiTheme="minorHAnsi" w:hAnsiTheme="minorHAnsi"/>
                                </w:rPr>
                              </w:pPr>
                              <w:r>
                                <w:rPr>
                                  <w:rFonts w:asciiTheme="minorHAnsi" w:hAnsiTheme="minorHAnsi" w:hint="eastAsia"/>
                                </w:rPr>
                                <w:t>调配罐</w:t>
                              </w:r>
                            </w:p>
                          </w:txbxContent>
                        </wps:txbx>
                        <wps:bodyPr rot="0" vert="horz" wrap="square" lIns="91440" tIns="45720" rIns="91440" bIns="45720" anchor="t" anchorCtr="0" upright="1">
                          <a:noAutofit/>
                        </wps:bodyPr>
                      </wps:wsp>
                      <wps:wsp>
                        <wps:cNvPr id="27467" name="AutoShape 37525"/>
                        <wps:cNvCnPr>
                          <a:cxnSpLocks noChangeShapeType="1"/>
                        </wps:cNvCnPr>
                        <wps:spPr bwMode="auto">
                          <a:xfrm>
                            <a:off x="2097405" y="432435"/>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68" name="Rectangle 37526"/>
                        <wps:cNvSpPr>
                          <a:spLocks noChangeArrowheads="1"/>
                        </wps:cNvSpPr>
                        <wps:spPr bwMode="auto">
                          <a:xfrm>
                            <a:off x="1743710" y="449580"/>
                            <a:ext cx="729615" cy="29464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D4F0" w14:textId="77777777" w:rsidR="00217891" w:rsidRPr="007B3ACE" w:rsidRDefault="00217891" w:rsidP="0087180A">
                              <w:pPr>
                                <w:rPr>
                                  <w:rFonts w:asciiTheme="minorHAnsi" w:hAnsiTheme="minorHAnsi"/>
                                </w:rPr>
                              </w:pPr>
                              <w:r>
                                <w:rPr>
                                  <w:rFonts w:asciiTheme="minorHAnsi" w:hAnsiTheme="minorHAnsi" w:hint="eastAsia"/>
                                </w:rPr>
                                <w:t>添加剂</w:t>
                              </w:r>
                            </w:p>
                          </w:txbxContent>
                        </wps:txbx>
                        <wps:bodyPr rot="0" vert="horz" wrap="square" lIns="91440" tIns="45720" rIns="91440" bIns="45720" anchor="t" anchorCtr="0" upright="1">
                          <a:noAutofit/>
                        </wps:bodyPr>
                      </wps:wsp>
                      <wps:wsp>
                        <wps:cNvPr id="27470" name="AutoShape 37530"/>
                        <wps:cNvCnPr>
                          <a:cxnSpLocks noChangeShapeType="1"/>
                        </wps:cNvCnPr>
                        <wps:spPr bwMode="auto">
                          <a:xfrm>
                            <a:off x="2313940" y="1080135"/>
                            <a:ext cx="127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71" name="AutoShape 37610"/>
                        <wps:cNvCnPr>
                          <a:cxnSpLocks noChangeShapeType="1"/>
                        </wps:cNvCnPr>
                        <wps:spPr bwMode="auto">
                          <a:xfrm flipH="1" flipV="1">
                            <a:off x="3676650" y="2047875"/>
                            <a:ext cx="8255" cy="2901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472" name="Rectangle 37611"/>
                        <wps:cNvSpPr>
                          <a:spLocks noChangeArrowheads="1"/>
                        </wps:cNvSpPr>
                        <wps:spPr bwMode="auto">
                          <a:xfrm>
                            <a:off x="1779270" y="3449955"/>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BE737" w14:textId="77777777" w:rsidR="00217891" w:rsidRPr="001415D6" w:rsidRDefault="00217891" w:rsidP="002C54C3">
                              <w:pPr>
                                <w:ind w:firstLineChars="50" w:firstLine="105"/>
                                <w:rPr>
                                  <w:rFonts w:asciiTheme="minorHAnsi" w:hAnsiTheme="minorHAnsi"/>
                                </w:rPr>
                              </w:pPr>
                              <w:r>
                                <w:rPr>
                                  <w:rFonts w:asciiTheme="minorHAnsi" w:hAnsiTheme="minorHAnsi"/>
                                </w:rPr>
                                <w:t>N2</w:t>
                              </w:r>
                            </w:p>
                          </w:txbxContent>
                        </wps:txbx>
                        <wps:bodyPr rot="0" vert="horz" wrap="square" lIns="91440" tIns="45720" rIns="91440" bIns="45720" anchor="t" anchorCtr="0" upright="1">
                          <a:noAutofit/>
                        </wps:bodyPr>
                      </wps:wsp>
                      <wps:wsp>
                        <wps:cNvPr id="711" name="AutoShape 37438"/>
                        <wps:cNvCnPr>
                          <a:cxnSpLocks noChangeShapeType="1"/>
                        </wps:cNvCnPr>
                        <wps:spPr bwMode="auto">
                          <a:xfrm>
                            <a:off x="2835910" y="934085"/>
                            <a:ext cx="39052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12" name="Rectangle 37504"/>
                        <wps:cNvSpPr>
                          <a:spLocks noChangeArrowheads="1"/>
                        </wps:cNvSpPr>
                        <wps:spPr bwMode="auto">
                          <a:xfrm>
                            <a:off x="3220085" y="791210"/>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84AF" w14:textId="77777777" w:rsidR="00217891" w:rsidRPr="001415D6" w:rsidRDefault="00217891" w:rsidP="0064009E">
                              <w:pPr>
                                <w:jc w:val="center"/>
                                <w:rPr>
                                  <w:rFonts w:asciiTheme="minorHAnsi" w:hAnsiTheme="minorHAnsi"/>
                                </w:rPr>
                              </w:pPr>
                              <w:r>
                                <w:rPr>
                                  <w:rFonts w:asciiTheme="minorHAnsi" w:hAnsiTheme="minorHAnsi"/>
                                </w:rPr>
                                <w:t>G1</w:t>
                              </w:r>
                            </w:p>
                          </w:txbxContent>
                        </wps:txbx>
                        <wps:bodyPr rot="0" vert="horz" wrap="square" lIns="91440" tIns="45720" rIns="91440" bIns="45720" anchor="t" anchorCtr="0" upright="1">
                          <a:noAutofit/>
                        </wps:bodyPr>
                      </wps:wsp>
                      <wps:wsp>
                        <wps:cNvPr id="706" name="Rectangle 37437"/>
                        <wps:cNvSpPr>
                          <a:spLocks noChangeArrowheads="1"/>
                        </wps:cNvSpPr>
                        <wps:spPr bwMode="auto">
                          <a:xfrm>
                            <a:off x="2221865" y="159385"/>
                            <a:ext cx="77279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F1DD"/>
                                </a:solidFill>
                              </a14:hiddenFill>
                            </a:ext>
                          </a:extLst>
                        </wps:spPr>
                        <wps:txbx>
                          <w:txbxContent>
                            <w:p w14:paraId="7A3E4EE7" w14:textId="77777777" w:rsidR="00217891" w:rsidRPr="007B3ACE" w:rsidRDefault="00217891" w:rsidP="001415D6">
                              <w:pPr>
                                <w:rPr>
                                  <w:rFonts w:asciiTheme="minorHAnsi" w:hAnsiTheme="minorHAnsi"/>
                                </w:rPr>
                              </w:pPr>
                              <w:r>
                                <w:rPr>
                                  <w:rFonts w:asciiTheme="minorHAnsi" w:hAnsiTheme="minorHAnsi" w:hint="eastAsia"/>
                                </w:rPr>
                                <w:t>纯水制备</w:t>
                              </w:r>
                            </w:p>
                          </w:txbxContent>
                        </wps:txbx>
                        <wps:bodyPr rot="0" vert="horz" wrap="square" lIns="91440" tIns="45720" rIns="91440" bIns="45720" anchor="t" anchorCtr="0" upright="1">
                          <a:noAutofit/>
                        </wps:bodyPr>
                      </wps:wsp>
                      <wps:wsp>
                        <wps:cNvPr id="707" name="Rectangle 37511"/>
                        <wps:cNvSpPr>
                          <a:spLocks noChangeArrowheads="1"/>
                        </wps:cNvSpPr>
                        <wps:spPr bwMode="auto">
                          <a:xfrm>
                            <a:off x="2450465" y="449580"/>
                            <a:ext cx="67818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CE5B" w14:textId="77777777" w:rsidR="00217891" w:rsidRPr="001A41EE" w:rsidRDefault="00217891" w:rsidP="001A41EE">
                              <w:pPr>
                                <w:ind w:firstLineChars="50" w:firstLine="105"/>
                                <w:rPr>
                                  <w:rFonts w:asciiTheme="minorHAnsi" w:hAnsiTheme="minorHAnsi"/>
                                </w:rPr>
                              </w:pPr>
                              <w:r>
                                <w:rPr>
                                  <w:rFonts w:asciiTheme="minorHAnsi" w:hAnsiTheme="minorHAnsi" w:hint="eastAsia"/>
                                </w:rPr>
                                <w:t>纯水</w:t>
                              </w:r>
                            </w:p>
                          </w:txbxContent>
                        </wps:txbx>
                        <wps:bodyPr rot="0" vert="horz" wrap="square" lIns="91440" tIns="45720" rIns="91440" bIns="45720" anchor="t" anchorCtr="0" upright="1">
                          <a:noAutofit/>
                        </wps:bodyPr>
                      </wps:wsp>
                      <wps:wsp>
                        <wps:cNvPr id="708" name="AutoShape 37438"/>
                        <wps:cNvCnPr>
                          <a:cxnSpLocks noChangeShapeType="1"/>
                        </wps:cNvCnPr>
                        <wps:spPr bwMode="auto">
                          <a:xfrm>
                            <a:off x="3003550" y="301625"/>
                            <a:ext cx="39052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09" name="Rectangle 37504"/>
                        <wps:cNvSpPr>
                          <a:spLocks noChangeArrowheads="1"/>
                        </wps:cNvSpPr>
                        <wps:spPr bwMode="auto">
                          <a:xfrm>
                            <a:off x="3392805" y="135890"/>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25DC6" w14:textId="77777777" w:rsidR="00217891" w:rsidRPr="001415D6" w:rsidRDefault="00217891" w:rsidP="0064009E">
                              <w:pPr>
                                <w:jc w:val="center"/>
                                <w:rPr>
                                  <w:rFonts w:asciiTheme="minorHAnsi" w:hAnsiTheme="minorHAnsi"/>
                                </w:rPr>
                              </w:pPr>
                              <w:r>
                                <w:rPr>
                                  <w:rFonts w:asciiTheme="minorHAnsi" w:hAnsiTheme="minorHAnsi"/>
                                </w:rPr>
                                <w:t>W5</w:t>
                              </w:r>
                            </w:p>
                          </w:txbxContent>
                        </wps:txbx>
                        <wps:bodyPr rot="0" vert="horz" wrap="square" lIns="91440" tIns="45720" rIns="91440" bIns="45720" anchor="t" anchorCtr="0" upright="1">
                          <a:noAutofit/>
                        </wps:bodyPr>
                      </wps:wsp>
                      <wps:wsp>
                        <wps:cNvPr id="710" name="AutoShape 37438"/>
                        <wps:cNvCnPr>
                          <a:cxnSpLocks noChangeShapeType="1"/>
                        </wps:cNvCnPr>
                        <wps:spPr bwMode="auto">
                          <a:xfrm flipH="1" flipV="1">
                            <a:off x="830580" y="1960245"/>
                            <a:ext cx="8890" cy="3625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14" name="Rectangle 37504"/>
                        <wps:cNvSpPr>
                          <a:spLocks noChangeArrowheads="1"/>
                        </wps:cNvSpPr>
                        <wps:spPr bwMode="auto">
                          <a:xfrm>
                            <a:off x="586105" y="1708785"/>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7762" w14:textId="77777777" w:rsidR="00217891" w:rsidRPr="001415D6" w:rsidRDefault="00217891" w:rsidP="0064009E">
                              <w:pPr>
                                <w:jc w:val="center"/>
                                <w:rPr>
                                  <w:rFonts w:asciiTheme="minorHAnsi" w:hAnsiTheme="minorHAnsi"/>
                                </w:rPr>
                              </w:pPr>
                              <w:r>
                                <w:rPr>
                                  <w:rFonts w:asciiTheme="minorHAnsi" w:hAnsiTheme="minorHAnsi"/>
                                </w:rPr>
                                <w:t>G4</w:t>
                              </w:r>
                            </w:p>
                          </w:txbxContent>
                        </wps:txbx>
                        <wps:bodyPr rot="0" vert="horz" wrap="square" lIns="91440" tIns="45720" rIns="91440" bIns="45720" anchor="t" anchorCtr="0" upright="1">
                          <a:noAutofit/>
                        </wps:bodyPr>
                      </wps:wsp>
                      <wps:wsp>
                        <wps:cNvPr id="715" name="AutoShape 37444"/>
                        <wps:cNvCnPr>
                          <a:cxnSpLocks noChangeShapeType="1"/>
                        </wps:cNvCnPr>
                        <wps:spPr bwMode="auto">
                          <a:xfrm flipV="1">
                            <a:off x="3487420" y="1393190"/>
                            <a:ext cx="635" cy="266700"/>
                          </a:xfrm>
                          <a:prstGeom prst="straightConnector1">
                            <a:avLst/>
                          </a:prstGeom>
                          <a:noFill/>
                          <a:ln w="9525">
                            <a:solidFill>
                              <a:srgbClr val="000000"/>
                            </a:solidFill>
                            <a:prstDash val="solid"/>
                            <a:round/>
                            <a:headEnd type="none" w="med" len="med"/>
                            <a:tailEnd type="none" w="med" len="med"/>
                          </a:ln>
                          <a:extLst>
                            <a:ext uri="{909E8E84-426E-40DD-AFC4-6F175D3DCCD1}">
                              <a14:hiddenFill xmlns:a14="http://schemas.microsoft.com/office/drawing/2010/main">
                                <a:noFill/>
                              </a14:hiddenFill>
                            </a:ext>
                          </a:extLst>
                        </wps:spPr>
                        <wps:bodyPr/>
                      </wps:wsp>
                      <wps:wsp>
                        <wps:cNvPr id="42" name="直接连接符 42"/>
                        <wps:cNvCnPr/>
                        <wps:spPr>
                          <a:xfrm>
                            <a:off x="2577465" y="1384300"/>
                            <a:ext cx="910590"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直接箭头连接符 43"/>
                        <wps:cNvCnPr/>
                        <wps:spPr>
                          <a:xfrm flipV="1">
                            <a:off x="2577465" y="1076960"/>
                            <a:ext cx="0" cy="316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7" name="Rectangle 37504"/>
                        <wps:cNvSpPr>
                          <a:spLocks noChangeArrowheads="1"/>
                        </wps:cNvSpPr>
                        <wps:spPr bwMode="auto">
                          <a:xfrm>
                            <a:off x="2557780" y="1172845"/>
                            <a:ext cx="9220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9FB8" w14:textId="77777777" w:rsidR="00217891" w:rsidRPr="001415D6" w:rsidRDefault="00217891" w:rsidP="002441EA">
                              <w:pPr>
                                <w:rPr>
                                  <w:rFonts w:asciiTheme="minorHAnsi" w:hAnsiTheme="minorHAnsi"/>
                                </w:rPr>
                              </w:pPr>
                              <w:r>
                                <w:rPr>
                                  <w:rFonts w:asciiTheme="minorHAnsi" w:hAnsiTheme="minorHAnsi" w:hint="eastAsia"/>
                                </w:rPr>
                                <w:t>一部分</w:t>
                              </w:r>
                              <w:r>
                                <w:rPr>
                                  <w:rFonts w:asciiTheme="minorHAnsi" w:hAnsiTheme="minorHAnsi"/>
                                </w:rPr>
                                <w:t>配料</w:t>
                              </w:r>
                            </w:p>
                          </w:txbxContent>
                        </wps:txbx>
                        <wps:bodyPr rot="0" vert="horz" wrap="square" lIns="91440" tIns="45720" rIns="91440" bIns="45720" anchor="t" anchorCtr="0" upright="1">
                          <a:noAutofit/>
                        </wps:bodyPr>
                      </wps:wsp>
                      <wps:wsp>
                        <wps:cNvPr id="719" name="AutoShape 37438"/>
                        <wps:cNvCnPr>
                          <a:cxnSpLocks noChangeShapeType="1"/>
                        </wps:cNvCnPr>
                        <wps:spPr bwMode="auto">
                          <a:xfrm>
                            <a:off x="3950335" y="1833245"/>
                            <a:ext cx="39052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24" name="Rectangle 37441"/>
                        <wps:cNvSpPr>
                          <a:spLocks noChangeArrowheads="1"/>
                        </wps:cNvSpPr>
                        <wps:spPr bwMode="auto">
                          <a:xfrm>
                            <a:off x="4112260" y="1527175"/>
                            <a:ext cx="46482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9B892" w14:textId="77777777" w:rsidR="00217891" w:rsidRPr="001415D6" w:rsidRDefault="00217891" w:rsidP="0064009E">
                              <w:pPr>
                                <w:jc w:val="center"/>
                                <w:rPr>
                                  <w:rFonts w:asciiTheme="minorHAnsi" w:hAnsiTheme="minorHAnsi"/>
                                </w:rPr>
                              </w:pPr>
                              <w:r>
                                <w:rPr>
                                  <w:rFonts w:asciiTheme="minorHAnsi" w:hAnsiTheme="minorHAnsi"/>
                                </w:rPr>
                                <w:t>W1</w:t>
                              </w:r>
                            </w:p>
                          </w:txbxContent>
                        </wps:txbx>
                        <wps:bodyPr rot="0" vert="horz" wrap="square" lIns="91440" tIns="45720" rIns="91440" bIns="45720" anchor="t" anchorCtr="0" upright="1">
                          <a:noAutofit/>
                        </wps:bodyPr>
                      </wps:wsp>
                      <wps:wsp>
                        <wps:cNvPr id="726" name="Rectangle 37441"/>
                        <wps:cNvSpPr>
                          <a:spLocks noChangeArrowheads="1"/>
                        </wps:cNvSpPr>
                        <wps:spPr bwMode="auto">
                          <a:xfrm>
                            <a:off x="4729480" y="1923415"/>
                            <a:ext cx="657860" cy="27813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96B8" w14:textId="77777777" w:rsidR="00217891" w:rsidRPr="001415D6" w:rsidRDefault="00217891" w:rsidP="0064009E">
                              <w:pPr>
                                <w:jc w:val="center"/>
                                <w:rPr>
                                  <w:rFonts w:asciiTheme="minorHAnsi" w:hAnsiTheme="minorHAnsi"/>
                                </w:rPr>
                              </w:pPr>
                              <w:r>
                                <w:rPr>
                                  <w:rFonts w:asciiTheme="minorHAnsi" w:hAnsiTheme="minorHAnsi"/>
                                </w:rPr>
                                <w:t>W2</w:t>
                              </w:r>
                              <w:r>
                                <w:rPr>
                                  <w:rFonts w:asciiTheme="minorHAnsi" w:hAnsiTheme="minorHAnsi" w:hint="eastAsia"/>
                                </w:rPr>
                                <w:t>、</w:t>
                              </w:r>
                              <w:r>
                                <w:rPr>
                                  <w:rFonts w:asciiTheme="minorHAnsi" w:hAnsiTheme="minorHAnsi" w:hint="eastAsia"/>
                                </w:rPr>
                                <w:t>S4</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533C8E" id="画布 37415" o:spid="_x0000_s1056" editas="canvas" style="position:absolute;left:0;text-align:left;margin-left:0;margin-top:-8.6pt;width:432.75pt;height:544.05pt;z-index:253603328;mso-position-horizontal:center;mso-position-horizontal-relative:margin" coordsize="54959,6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">
                <v:shape id="_x0000_s1057" type="#_x0000_t75" style="position:absolute;width:54959;height:69094;visibility:visible;mso-wrap-style:square">
                  <v:fill o:detectmouseclick="t"/>
                  <v:path o:connecttype="none"/>
                </v:shape>
                <v:rect id="Rectangle 37362" o:spid="_x0000_s1058" style="position:absolute;left:5035;top:6102;width:9620;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" filled="f" fillcolor="#eaf1dd">
                  <v:textbox>
                    <w:txbxContent>
                      <w:p w14:paraId="27EA138C" w14:textId="77777777" w:rsidR="00217891" w:rsidRDefault="00217891" w:rsidP="00FC7A13">
                        <w:pPr>
                          <w:rPr>
                            <w:rFonts w:asciiTheme="minorHAnsi" w:hAnsiTheme="minorHAnsi"/>
                          </w:rPr>
                        </w:pPr>
                        <w:r w:rsidRPr="007B3ACE">
                          <w:rPr>
                            <w:rFonts w:asciiTheme="minorHAnsi" w:hAnsiTheme="minorHAnsi"/>
                          </w:rPr>
                          <w:t>尼龙</w:t>
                        </w:r>
                        <w:r>
                          <w:rPr>
                            <w:rFonts w:asciiTheme="minorHAnsi" w:hAnsiTheme="minorHAnsi" w:hint="eastAsia"/>
                          </w:rPr>
                          <w:t>66</w:t>
                        </w:r>
                        <w:r w:rsidRPr="007B3ACE">
                          <w:rPr>
                            <w:rFonts w:asciiTheme="minorHAnsi" w:hAnsiTheme="minorHAnsi"/>
                          </w:rPr>
                          <w:t>盐</w:t>
                        </w:r>
                      </w:p>
                      <w:p w14:paraId="59FCAF8F" w14:textId="77777777" w:rsidR="00217891" w:rsidRDefault="00217891" w:rsidP="00FC7A13">
                        <w:pPr>
                          <w:rPr>
                            <w:rFonts w:asciiTheme="minorHAnsi" w:hAnsiTheme="minorHAnsi"/>
                          </w:rPr>
                        </w:pPr>
                        <w:r w:rsidRPr="00FC7A13">
                          <w:rPr>
                            <w:rFonts w:asciiTheme="minorHAnsi" w:hAnsiTheme="minorHAnsi" w:hint="eastAsia"/>
                          </w:rPr>
                          <w:t>尼龙</w:t>
                        </w:r>
                        <w:r w:rsidRPr="00FC7A13">
                          <w:rPr>
                            <w:rFonts w:asciiTheme="minorHAnsi" w:hAnsiTheme="minorHAnsi" w:hint="eastAsia"/>
                          </w:rPr>
                          <w:t>1010</w:t>
                        </w:r>
                        <w:r w:rsidRPr="00FC7A13">
                          <w:rPr>
                            <w:rFonts w:asciiTheme="minorHAnsi" w:hAnsiTheme="minorHAnsi" w:hint="eastAsia"/>
                          </w:rPr>
                          <w:t>盐</w:t>
                        </w:r>
                      </w:p>
                      <w:p w14:paraId="4DE7E8A6" w14:textId="77777777" w:rsidR="00217891" w:rsidRPr="007B3ACE" w:rsidRDefault="00217891" w:rsidP="00FC7A13">
                        <w:pPr>
                          <w:rPr>
                            <w:rFonts w:asciiTheme="minorHAnsi" w:hAnsiTheme="minorHAnsi"/>
                          </w:rPr>
                        </w:pPr>
                        <w:r>
                          <w:rPr>
                            <w:rFonts w:asciiTheme="minorHAnsi" w:hAnsiTheme="minorHAnsi" w:hint="eastAsia"/>
                          </w:rPr>
                          <w:t>尼龙</w:t>
                        </w:r>
                        <w:r>
                          <w:rPr>
                            <w:rFonts w:asciiTheme="minorHAnsi" w:hAnsiTheme="minorHAnsi" w:hint="eastAsia"/>
                          </w:rPr>
                          <w:t>-12</w:t>
                        </w:r>
                        <w:r>
                          <w:rPr>
                            <w:rFonts w:asciiTheme="minorHAnsi" w:hAnsiTheme="minorHAnsi" w:hint="eastAsia"/>
                          </w:rPr>
                          <w:t>盐</w:t>
                        </w:r>
                      </w:p>
                    </w:txbxContent>
                  </v:textbox>
                </v:rect>
                <v:shape id="AutoShape 37363" o:spid="_x0000_s1059" type="#_x0000_t32" style="position:absolute;left:14757;top:9347;width:390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">
                  <v:stroke endarrow="block"/>
                </v:shape>
                <v:rect id="Rectangle 37416" o:spid="_x0000_s1060" style="position:absolute;left:18599;top:16979;width:962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" filled="f" fillcolor="#eaf1dd">
                  <v:textbox>
                    <w:txbxContent>
                      <w:p w14:paraId="0CFEFD40" w14:textId="77777777" w:rsidR="00217891" w:rsidRPr="007B3ACE" w:rsidRDefault="00217891" w:rsidP="00F66045">
                        <w:pPr>
                          <w:ind w:firstLineChars="50" w:firstLine="105"/>
                          <w:rPr>
                            <w:rFonts w:asciiTheme="minorHAnsi" w:hAnsiTheme="minorHAnsi"/>
                          </w:rPr>
                        </w:pPr>
                        <w:r>
                          <w:rPr>
                            <w:rFonts w:asciiTheme="minorHAnsi" w:hAnsiTheme="minorHAnsi" w:hint="eastAsia"/>
                          </w:rPr>
                          <w:t>中间储罐</w:t>
                        </w:r>
                      </w:p>
                    </w:txbxContent>
                  </v:textbox>
                </v:rect>
                <v:shape id="AutoShape 37422" o:spid="_x0000_s1061" type="#_x0000_t32" style="position:absolute;left:22967;top:19869;width:7;height:3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">
                  <v:stroke endarrow="block"/>
                </v:shape>
                <v:rect id="Rectangle 37423" o:spid="_x0000_s1062" style="position:absolute;left:18218;top:23380;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" filled="f" fillcolor="#eaf1dd">
                  <v:textbox>
                    <w:txbxContent>
                      <w:p w14:paraId="7C20D6DF" w14:textId="77777777" w:rsidR="00217891" w:rsidRPr="007B3ACE" w:rsidRDefault="00217891" w:rsidP="0087180A">
                        <w:pPr>
                          <w:ind w:firstLineChars="100" w:firstLine="210"/>
                          <w:rPr>
                            <w:rFonts w:asciiTheme="minorHAnsi" w:hAnsiTheme="minorHAnsi"/>
                          </w:rPr>
                        </w:pPr>
                        <w:r>
                          <w:rPr>
                            <w:rFonts w:asciiTheme="minorHAnsi" w:hAnsiTheme="minorHAnsi" w:hint="eastAsia"/>
                          </w:rPr>
                          <w:t>聚合釜</w:t>
                        </w:r>
                      </w:p>
                    </w:txbxContent>
                  </v:textbox>
                </v:rect>
                <v:shape id="AutoShape 37424" o:spid="_x0000_s1063" type="#_x0000_t32" style="position:absolute;left:14611;top:24904;width:372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">
                  <v:stroke endarrow="block"/>
                </v:shape>
                <v:rect id="Rectangle 37425" o:spid="_x0000_s1064" style="position:absolute;left:6451;top:23380;width:78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" filled="f" fillcolor="#eaf1dd">
                  <v:textbox>
                    <w:txbxContent>
                      <w:p w14:paraId="3E2C629F" w14:textId="77777777" w:rsidR="00217891" w:rsidRDefault="00217891" w:rsidP="0064009E">
                        <w:pPr>
                          <w:jc w:val="center"/>
                        </w:pPr>
                        <w:r>
                          <w:rPr>
                            <w:rFonts w:hint="eastAsia"/>
                          </w:rPr>
                          <w:t>导热油炉</w:t>
                        </w:r>
                      </w:p>
                    </w:txbxContent>
                  </v:textbox>
                </v:rect>
                <v:rect id="Rectangle 37426" o:spid="_x0000_s1065" style="position:absolute;left:13347;top:22428;width:6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" filled="f" fillcolor="#eaf1dd" stroked="f">
                  <v:textbox>
                    <w:txbxContent>
                      <w:p w14:paraId="1D1847F4" w14:textId="77777777" w:rsidR="00217891" w:rsidRDefault="00217891" w:rsidP="0064009E">
                        <w:pPr>
                          <w:jc w:val="center"/>
                        </w:pPr>
                        <w:r>
                          <w:rPr>
                            <w:rFonts w:hint="eastAsia"/>
                          </w:rPr>
                          <w:t>加热</w:t>
                        </w:r>
                      </w:p>
                    </w:txbxContent>
                  </v:textbox>
                </v:rect>
                <v:shape id="AutoShape 37436" o:spid="_x0000_s1066" type="#_x0000_t32" style="position:absolute;left:10509;top:21755;width:943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"/>
                <v:rect id="Rectangle 37437" o:spid="_x0000_s1067" style="position:absolute;left:31819;top:23228;width:687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" filled="f" fillcolor="#eaf1dd">
                  <v:textbox>
                    <w:txbxContent>
                      <w:p w14:paraId="0E15EF32" w14:textId="77777777" w:rsidR="00217891" w:rsidRPr="007B3ACE" w:rsidRDefault="00217891" w:rsidP="001415D6">
                        <w:pPr>
                          <w:rPr>
                            <w:rFonts w:asciiTheme="minorHAnsi" w:hAnsiTheme="minorHAnsi"/>
                          </w:rPr>
                        </w:pPr>
                        <w:r>
                          <w:rPr>
                            <w:rFonts w:asciiTheme="minorHAnsi" w:hAnsiTheme="minorHAnsi" w:hint="eastAsia"/>
                          </w:rPr>
                          <w:t>冷却塔</w:t>
                        </w:r>
                      </w:p>
                    </w:txbxContent>
                  </v:textbox>
                </v:rect>
                <v:shape id="AutoShape 37438" o:spid="_x0000_s1068" type="#_x0000_t32" style="position:absolute;left:38696;top:24447;width:390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">
                  <v:stroke dashstyle="dash" endarrow="block"/>
                </v:shape>
                <v:rect id="Rectangle 37439" o:spid="_x0000_s1069" style="position:absolute;left:42487;top:23152;width:1084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" filled="f" fillcolor="#eaf1dd">
                  <v:textbox>
                    <w:txbxContent>
                      <w:p w14:paraId="0532D94F" w14:textId="77777777" w:rsidR="00217891" w:rsidRPr="007B3ACE" w:rsidRDefault="00217891" w:rsidP="00275C27">
                        <w:pPr>
                          <w:rPr>
                            <w:rFonts w:asciiTheme="minorHAnsi" w:hAnsiTheme="minorHAnsi"/>
                          </w:rPr>
                        </w:pPr>
                        <w:r>
                          <w:rPr>
                            <w:rFonts w:asciiTheme="minorHAnsi" w:hAnsiTheme="minorHAnsi" w:hint="eastAsia"/>
                          </w:rPr>
                          <w:t>废气处理装置</w:t>
                        </w:r>
                      </w:p>
                    </w:txbxContent>
                  </v:textbox>
                </v:rect>
                <v:shape id="AutoShape 37442" o:spid="_x0000_s1070" type="#_x0000_t32" style="position:absolute;left:46602;top:20040;width:7;height:30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">
                  <v:stroke endarrow="block"/>
                </v:shape>
                <v:shape id="AutoShape 37446" o:spid="_x0000_s1071" type="#_x0000_t32" style="position:absolute;left:23056;top:26206;width:7;height:5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">
                  <v:stroke endarrow="block"/>
                </v:shape>
                <v:rect id="Rectangle 37447" o:spid="_x0000_s1072" style="position:absolute;left:18338;top:31610;width:962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" filled="f" fillcolor="#eaf1dd">
                  <v:textbox>
                    <w:txbxContent>
                      <w:p w14:paraId="203BB4C2" w14:textId="77777777" w:rsidR="00217891" w:rsidRPr="007B3ACE" w:rsidRDefault="00217891" w:rsidP="00DC4C63">
                        <w:pPr>
                          <w:ind w:firstLineChars="50" w:firstLine="105"/>
                          <w:rPr>
                            <w:rFonts w:asciiTheme="minorHAnsi" w:hAnsiTheme="minorHAnsi"/>
                          </w:rPr>
                        </w:pPr>
                        <w:r>
                          <w:rPr>
                            <w:rFonts w:asciiTheme="minorHAnsi" w:hAnsiTheme="minorHAnsi" w:hint="eastAsia"/>
                          </w:rPr>
                          <w:t>冷却</w:t>
                        </w:r>
                        <w:r>
                          <w:rPr>
                            <w:rFonts w:asciiTheme="minorHAnsi" w:hAnsiTheme="minorHAnsi"/>
                          </w:rPr>
                          <w:t>水槽</w:t>
                        </w:r>
                      </w:p>
                    </w:txbxContent>
                  </v:textbox>
                </v:rect>
                <v:shape id="AutoShape 37448" o:spid="_x0000_s1073" type="#_x0000_t32" style="position:absolute;left:27914;top:32943;width:390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">
                  <v:stroke endarrow="block"/>
                </v:shape>
                <v:rect id="Rectangle 37449" o:spid="_x0000_s1074" style="position:absolute;left:31743;top:31610;width:809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" filled="f" fillcolor="#eaf1dd">
                  <v:textbox>
                    <w:txbxContent>
                      <w:p w14:paraId="60458EED" w14:textId="77777777" w:rsidR="00217891" w:rsidRPr="007B3ACE" w:rsidRDefault="00217891" w:rsidP="001415D6">
                        <w:pPr>
                          <w:rPr>
                            <w:rFonts w:asciiTheme="minorHAnsi" w:hAnsiTheme="minorHAnsi"/>
                          </w:rPr>
                        </w:pPr>
                        <w:r>
                          <w:rPr>
                            <w:rFonts w:asciiTheme="minorHAnsi" w:hAnsiTheme="minorHAnsi" w:hint="eastAsia"/>
                          </w:rPr>
                          <w:t>冷却系统</w:t>
                        </w:r>
                      </w:p>
                    </w:txbxContent>
                  </v:textbox>
                </v:rect>
                <v:shape id="AutoShape 37450" o:spid="_x0000_s1075" type="#_x0000_t32" style="position:absolute;left:39839;top:33020;width:337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">
                  <v:stroke dashstyle="dash" endarrow="block"/>
                </v:shape>
                <v:shape id="AutoShape 37451" o:spid="_x0000_s1076" type="#_x0000_t32" style="position:absolute;left:33070;top:28486;width:7;height:3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">
                  <v:stroke dashstyle="dash" endarrow="block"/>
                </v:shape>
                <v:shape id="AutoShape 37452" o:spid="_x0000_s1077" type="#_x0000_t32" style="position:absolute;left:25349;top:28562;width:6;height:2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">
                  <v:stroke dashstyle="dash"/>
                </v:shape>
                <v:shape id="AutoShape 37453" o:spid="_x0000_s1078" type="#_x0000_t32" style="position:absolute;left:35845;top:28098;width:7;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">
                  <v:stroke endarrow="block"/>
                </v:shape>
                <v:rect id="Rectangle 37454" o:spid="_x0000_s1079" style="position:absolute;left:35039;top:28441;width:729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" filled="f" fillcolor="#eaf1dd" stroked="f">
                  <v:textbox>
                    <w:txbxContent>
                      <w:p w14:paraId="0CE345C6" w14:textId="77777777" w:rsidR="00217891" w:rsidRPr="007B3ACE" w:rsidRDefault="00217891" w:rsidP="0087180A">
                        <w:pPr>
                          <w:rPr>
                            <w:rFonts w:asciiTheme="minorHAnsi" w:hAnsiTheme="minorHAnsi"/>
                          </w:rPr>
                        </w:pPr>
                        <w:r>
                          <w:rPr>
                            <w:rFonts w:asciiTheme="minorHAnsi" w:hAnsiTheme="minorHAnsi" w:hint="eastAsia"/>
                          </w:rPr>
                          <w:t>补充纯水</w:t>
                        </w:r>
                      </w:p>
                    </w:txbxContent>
                  </v:textbox>
                </v:rect>
                <v:rect id="Rectangle 37455" o:spid="_x0000_s1080" style="position:absolute;left:40500;top:33362;width:7423;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" filled="f" fillcolor="#eaf1dd" stroked="f">
                  <v:textbox>
                    <w:txbxContent>
                      <w:p w14:paraId="2A7DEF1B" w14:textId="77777777" w:rsidR="00217891" w:rsidRPr="001415D6" w:rsidRDefault="00217891" w:rsidP="0064009E">
                        <w:pPr>
                          <w:jc w:val="center"/>
                          <w:rPr>
                            <w:rFonts w:asciiTheme="minorHAnsi" w:hAnsiTheme="minorHAnsi"/>
                          </w:rPr>
                        </w:pPr>
                        <w:r>
                          <w:rPr>
                            <w:rFonts w:asciiTheme="minorHAnsi" w:hAnsiTheme="minorHAnsi"/>
                          </w:rPr>
                          <w:t>W3</w:t>
                        </w:r>
                      </w:p>
                    </w:txbxContent>
                  </v:textbox>
                </v:rect>
                <v:shape id="AutoShape 37457" o:spid="_x0000_s1081" type="#_x0000_t32" style="position:absolute;left:23393;top:42697;width:127;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">
                  <v:stroke endarrow="block"/>
                </v:shape>
                <v:shape id="AutoShape 37459" o:spid="_x0000_s1082" type="#_x0000_t32" style="position:absolute;left:25209;top:28562;width:7938;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">
                  <v:stroke dashstyle="dash"/>
                </v:shape>
                <v:rect id="Rectangle 37461" o:spid="_x0000_s1083" style="position:absolute;left:30873;top:16871;width:863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" filled="f" fillcolor="#eaf1dd">
                  <v:textbox>
                    <w:txbxContent>
                      <w:p w14:paraId="16926CE6" w14:textId="77777777" w:rsidR="00217891" w:rsidRPr="007B3ACE" w:rsidRDefault="00217891" w:rsidP="001A41EE">
                        <w:pPr>
                          <w:ind w:firstLineChars="50" w:firstLine="105"/>
                          <w:rPr>
                            <w:rFonts w:asciiTheme="minorHAnsi" w:hAnsiTheme="minorHAnsi"/>
                          </w:rPr>
                        </w:pPr>
                        <w:r>
                          <w:rPr>
                            <w:rFonts w:asciiTheme="minorHAnsi" w:hAnsiTheme="minorHAnsi" w:hint="eastAsia"/>
                          </w:rPr>
                          <w:t>冷凝水罐</w:t>
                        </w:r>
                      </w:p>
                    </w:txbxContent>
                  </v:textbox>
                </v:rect>
                <v:shape id="AutoShape 37464" o:spid="_x0000_s1084" type="#_x0000_t32" style="position:absolute;left:23628;top:50590;width:6;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">
                  <v:stroke endarrow="block"/>
                </v:shape>
                <v:rect id="Rectangle 37465" o:spid="_x0000_s1085" style="position:absolute;left:18738;top:54178;width:962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" filled="f" fillcolor="#eaf1dd">
                  <v:textbox>
                    <w:txbxContent>
                      <w:p w14:paraId="6239F018" w14:textId="77777777" w:rsidR="00217891" w:rsidRPr="007B3ACE" w:rsidRDefault="00217891" w:rsidP="005E7687">
                        <w:pPr>
                          <w:ind w:firstLineChars="150" w:firstLine="315"/>
                          <w:rPr>
                            <w:rFonts w:asciiTheme="minorHAnsi" w:hAnsiTheme="minorHAnsi"/>
                          </w:rPr>
                        </w:pPr>
                        <w:r>
                          <w:rPr>
                            <w:rFonts w:asciiTheme="minorHAnsi" w:hAnsiTheme="minorHAnsi" w:hint="eastAsia"/>
                          </w:rPr>
                          <w:t>包装</w:t>
                        </w:r>
                      </w:p>
                    </w:txbxContent>
                  </v:textbox>
                </v:rect>
                <v:shape id="AutoShape 37466" o:spid="_x0000_s1086" type="#_x0000_t32" style="position:absolute;left:23774;top:57067;width:6;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">
                  <v:stroke endarrow="block"/>
                </v:shape>
                <v:rect id="Rectangle 37467" o:spid="_x0000_s1087" style="position:absolute;left:20300;top:60655;width:729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" filled="f" fillcolor="#eaf1dd" stroked="f">
                  <v:textbox>
                    <w:txbxContent>
                      <w:p w14:paraId="591C3DF2" w14:textId="77777777" w:rsidR="00217891" w:rsidRPr="007B3ACE" w:rsidRDefault="00217891" w:rsidP="005E7687">
                        <w:pPr>
                          <w:ind w:firstLineChars="100" w:firstLine="210"/>
                          <w:rPr>
                            <w:rFonts w:asciiTheme="minorHAnsi" w:hAnsiTheme="minorHAnsi"/>
                          </w:rPr>
                        </w:pPr>
                        <w:r>
                          <w:rPr>
                            <w:rFonts w:asciiTheme="minorHAnsi" w:hAnsiTheme="minorHAnsi" w:hint="eastAsia"/>
                          </w:rPr>
                          <w:t>产品</w:t>
                        </w:r>
                      </w:p>
                    </w:txbxContent>
                  </v:textbox>
                </v:rect>
                <v:rect id="Rectangle 37471" o:spid="_x0000_s1088" style="position:absolute;left:24980;top:26606;width:729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" filled="f" fillcolor="#eaf1dd" stroked="f">
                  <v:textbox>
                    <w:txbxContent>
                      <w:p w14:paraId="19842BCA" w14:textId="77777777" w:rsidR="00217891" w:rsidRPr="007B3ACE" w:rsidRDefault="00217891" w:rsidP="0087180A">
                        <w:pPr>
                          <w:rPr>
                            <w:rFonts w:asciiTheme="minorHAnsi" w:hAnsiTheme="minorHAnsi"/>
                          </w:rPr>
                        </w:pPr>
                        <w:r>
                          <w:rPr>
                            <w:rFonts w:asciiTheme="minorHAnsi" w:hAnsiTheme="minorHAnsi" w:hint="eastAsia"/>
                          </w:rPr>
                          <w:t>冷却水</w:t>
                        </w:r>
                      </w:p>
                    </w:txbxContent>
                  </v:textbox>
                </v:rect>
                <v:rect id="Rectangle 37441" o:spid="_x0000_s1089" style="position:absolute;left:46075;top:41179;width:464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" filled="f" fillcolor="#eaf1dd" stroked="f">
                  <v:textbox>
                    <w:txbxContent>
                      <w:p w14:paraId="0C0D6560" w14:textId="77777777" w:rsidR="00217891" w:rsidRPr="001415D6" w:rsidRDefault="00217891" w:rsidP="0064009E">
                        <w:pPr>
                          <w:jc w:val="center"/>
                          <w:rPr>
                            <w:rFonts w:asciiTheme="minorHAnsi" w:hAnsiTheme="minorHAnsi"/>
                          </w:rPr>
                        </w:pPr>
                        <w:r>
                          <w:rPr>
                            <w:rFonts w:asciiTheme="minorHAnsi" w:hAnsiTheme="minorHAnsi"/>
                          </w:rPr>
                          <w:t>W1</w:t>
                        </w:r>
                      </w:p>
                    </w:txbxContent>
                  </v:textbox>
                </v:rect>
                <v:shape id="AutoShape 37480" o:spid="_x0000_s1090" type="#_x0000_t32" style="position:absolute;left:10490;top:21755;width:6;height:1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"/>
                <v:shape id="AutoShape 37482" o:spid="_x0000_s1091" type="#_x0000_t32" style="position:absolute;left:19932;top:19716;width:7;height:20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">
                  <v:stroke endarrow="block"/>
                </v:shape>
                <v:rect id="Rectangle 37483" o:spid="_x0000_s1092" style="position:absolute;left:14795;top:19761;width:6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" filled="f" fillcolor="#eaf1dd" stroked="f">
                  <v:textbox>
                    <w:txbxContent>
                      <w:p w14:paraId="2C2E31AF" w14:textId="77777777" w:rsidR="00217891" w:rsidRDefault="00217891" w:rsidP="0064009E">
                        <w:pPr>
                          <w:jc w:val="center"/>
                        </w:pPr>
                        <w:r>
                          <w:rPr>
                            <w:rFonts w:hint="eastAsia"/>
                          </w:rPr>
                          <w:t>保温</w:t>
                        </w:r>
                      </w:p>
                    </w:txbxContent>
                  </v:textbox>
                </v:rect>
                <v:shape id="AutoShape 37484" o:spid="_x0000_s1093" type="#_x0000_t32" style="position:absolute;left:27882;top:24898;width:390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">
                  <v:stroke dashstyle="dash" endarrow="block"/>
                </v:shape>
                <v:rect id="Rectangle 37486" o:spid="_x0000_s1094" style="position:absolute;left:18599;top:47612;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" filled="f" fillcolor="#eaf1dd">
                  <v:textbox>
                    <w:txbxContent>
                      <w:p w14:paraId="19E649FB" w14:textId="77777777" w:rsidR="00217891" w:rsidRPr="007B3ACE" w:rsidRDefault="00217891" w:rsidP="00453871">
                        <w:pPr>
                          <w:ind w:firstLineChars="200" w:firstLine="420"/>
                          <w:rPr>
                            <w:rFonts w:asciiTheme="minorHAnsi" w:hAnsiTheme="minorHAnsi"/>
                          </w:rPr>
                        </w:pPr>
                        <w:r>
                          <w:rPr>
                            <w:rFonts w:asciiTheme="minorHAnsi" w:hAnsiTheme="minorHAnsi" w:hint="eastAsia"/>
                          </w:rPr>
                          <w:t>干燥</w:t>
                        </w:r>
                      </w:p>
                    </w:txbxContent>
                  </v:textbox>
                </v:rect>
                <v:shape id="AutoShape 37492" o:spid="_x0000_s1095" type="#_x0000_t32" style="position:absolute;left:25495;top:44488;width:82;height:29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">
                  <v:stroke dashstyle="dash" endarrow="block"/>
                </v:shape>
                <v:rect id="Rectangle 37493" o:spid="_x0000_s1096" style="position:absolute;left:23818;top:42659;width:464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" filled="f" fillcolor="#eaf1dd" stroked="f">
                  <v:textbox>
                    <w:txbxContent>
                      <w:p w14:paraId="48E43053" w14:textId="77777777" w:rsidR="00217891" w:rsidRPr="001415D6" w:rsidRDefault="00217891" w:rsidP="00E61924">
                        <w:pPr>
                          <w:rPr>
                            <w:rFonts w:asciiTheme="minorHAnsi" w:hAnsiTheme="minorHAnsi"/>
                          </w:rPr>
                        </w:pPr>
                        <w:r>
                          <w:rPr>
                            <w:rFonts w:asciiTheme="minorHAnsi" w:hAnsiTheme="minorHAnsi"/>
                          </w:rPr>
                          <w:t>N3</w:t>
                        </w:r>
                      </w:p>
                    </w:txbxContent>
                  </v:textbox>
                </v:rect>
                <v:shape id="AutoShape 37496" o:spid="_x0000_s1097" type="#_x0000_t32" style="position:absolute;left:23139;top:34474;width:127;height:5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">
                  <v:stroke endarrow="block"/>
                </v:shape>
                <v:rect id="Rectangle 37497" o:spid="_x0000_s1098" style="position:absolute;left:18599;top:39770;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" filled="f" fillcolor="#eaf1dd">
                  <v:textbox>
                    <w:txbxContent>
                      <w:p w14:paraId="346DD27E" w14:textId="77777777" w:rsidR="00217891" w:rsidRPr="007B3ACE" w:rsidRDefault="00217891" w:rsidP="00DC4C63">
                        <w:pPr>
                          <w:ind w:firstLineChars="200" w:firstLine="420"/>
                          <w:rPr>
                            <w:rFonts w:asciiTheme="minorHAnsi" w:hAnsiTheme="minorHAnsi"/>
                          </w:rPr>
                        </w:pPr>
                        <w:r>
                          <w:rPr>
                            <w:rFonts w:asciiTheme="minorHAnsi" w:hAnsiTheme="minorHAnsi" w:hint="eastAsia"/>
                          </w:rPr>
                          <w:t>制粒</w:t>
                        </w:r>
                      </w:p>
                    </w:txbxContent>
                  </v:textbox>
                </v:rect>
                <v:shape id="AutoShape 37500" o:spid="_x0000_s1099" type="#_x0000_t32" style="position:absolute;left:25120;top:34499;width:6;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"/>
                <v:shape id="AutoShape 37501" o:spid="_x0000_s1100" type="#_x0000_t32" style="position:absolute;left:25209;top:37090;width:22816;height: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"/>
                <v:shape id="AutoShape 37502" o:spid="_x0000_s1101" type="#_x0000_t32" style="position:absolute;left:48018;top:26346;width:7;height:10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">
                  <v:stroke endarrow="block"/>
                </v:shape>
                <v:rect id="Rectangle 37504" o:spid="_x0000_s1102" style="position:absolute;left:38049;top:22015;width:46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" filled="f" fillcolor="#eaf1dd" stroked="f">
                  <v:textbox>
                    <w:txbxContent>
                      <w:p w14:paraId="16F3723F" w14:textId="77777777" w:rsidR="00217891" w:rsidRPr="001415D6" w:rsidRDefault="00217891" w:rsidP="0064009E">
                        <w:pPr>
                          <w:jc w:val="center"/>
                          <w:rPr>
                            <w:rFonts w:asciiTheme="minorHAnsi" w:hAnsiTheme="minorHAnsi"/>
                          </w:rPr>
                        </w:pPr>
                        <w:r>
                          <w:rPr>
                            <w:rFonts w:asciiTheme="minorHAnsi" w:hAnsiTheme="minorHAnsi"/>
                          </w:rPr>
                          <w:t>G2</w:t>
                        </w:r>
                      </w:p>
                    </w:txbxContent>
                  </v:textbox>
                </v:rect>
                <v:rect id="Rectangle 37505" o:spid="_x0000_s1103" style="position:absolute;left:34601;top:34937;width:464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" filled="f" fillcolor="#eaf1dd" stroked="f">
                  <v:textbox>
                    <w:txbxContent>
                      <w:p w14:paraId="0A3F524A" w14:textId="77777777" w:rsidR="00217891" w:rsidRPr="001415D6" w:rsidRDefault="00217891" w:rsidP="0064009E">
                        <w:pPr>
                          <w:jc w:val="center"/>
                          <w:rPr>
                            <w:rFonts w:asciiTheme="minorHAnsi" w:hAnsiTheme="minorHAnsi"/>
                          </w:rPr>
                        </w:pPr>
                        <w:r>
                          <w:rPr>
                            <w:rFonts w:asciiTheme="minorHAnsi" w:hAnsiTheme="minorHAnsi"/>
                          </w:rPr>
                          <w:t>G3</w:t>
                        </w:r>
                      </w:p>
                    </w:txbxContent>
                  </v:textbox>
                </v:rect>
                <v:shape id="AutoShape 37508" o:spid="_x0000_s1104" type="#_x0000_t32" style="position:absolute;left:35077;top:19335;width: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">
                  <v:stroke endarrow="block"/>
                </v:shape>
                <v:shape id="AutoShape 37509" o:spid="_x0000_s1105" type="#_x0000_t32" style="position:absolute;left:27959;top:18421;width:2902;height: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">
                  <v:stroke endarrow="block"/>
                </v:shape>
                <v:shape id="AutoShape 37510" o:spid="_x0000_s1106" type="#_x0000_t32" style="position:absolute;left:25342;top:21469;width:7;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">
                  <v:stroke endarrow="block"/>
                </v:shape>
                <v:rect id="Rectangle 37511" o:spid="_x0000_s1107" style="position:absolute;left:24504;top:20148;width:678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" filled="f" fillcolor="#eaf1dd" stroked="f">
                  <v:textbox>
                    <w:txbxContent>
                      <w:p w14:paraId="72363386" w14:textId="77777777" w:rsidR="00217891" w:rsidRPr="001A41EE" w:rsidRDefault="00217891" w:rsidP="001A41EE">
                        <w:pPr>
                          <w:ind w:firstLineChars="50" w:firstLine="105"/>
                          <w:rPr>
                            <w:rFonts w:asciiTheme="minorHAnsi" w:hAnsiTheme="minorHAnsi"/>
                          </w:rPr>
                        </w:pPr>
                        <w:r>
                          <w:rPr>
                            <w:rFonts w:asciiTheme="minorHAnsi" w:hAnsiTheme="minorHAnsi"/>
                          </w:rPr>
                          <w:t>N</w:t>
                        </w:r>
                        <w:r w:rsidRPr="001A41EE">
                          <w:rPr>
                            <w:rFonts w:asciiTheme="minorHAnsi" w:hAnsiTheme="minorHAnsi"/>
                            <w:vertAlign w:val="subscript"/>
                          </w:rPr>
                          <w:t>2</w:t>
                        </w:r>
                        <w:r>
                          <w:rPr>
                            <w:rFonts w:asciiTheme="minorHAnsi" w:hAnsiTheme="minorHAnsi" w:hint="eastAsia"/>
                          </w:rPr>
                          <w:t>保护</w:t>
                        </w:r>
                      </w:p>
                    </w:txbxContent>
                  </v:textbox>
                </v:rect>
                <v:shape id="AutoShape 37514" o:spid="_x0000_s1108" type="#_x0000_t32" style="position:absolute;left:26009;top:51117;width:83;height:29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">
                  <v:stroke dashstyle="dash" endarrow="block"/>
                </v:shape>
                <v:rect id="Rectangle 37515" o:spid="_x0000_s1109" style="position:absolute;left:26009;top:50774;width:670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" filled="f" fillcolor="#eaf1dd" stroked="f">
                  <v:textbox>
                    <w:txbxContent>
                      <w:p w14:paraId="1C268170" w14:textId="77777777" w:rsidR="00217891" w:rsidRPr="001415D6" w:rsidRDefault="00217891" w:rsidP="00E61924">
                        <w:pPr>
                          <w:rPr>
                            <w:rFonts w:asciiTheme="minorHAnsi" w:hAnsiTheme="minorHAnsi"/>
                          </w:rPr>
                        </w:pPr>
                        <w:r>
                          <w:rPr>
                            <w:rFonts w:asciiTheme="minorHAnsi" w:hAnsiTheme="minorHAnsi"/>
                          </w:rPr>
                          <w:t>N4</w:t>
                        </w:r>
                      </w:p>
                    </w:txbxContent>
                  </v:textbox>
                </v:rect>
                <v:shape id="AutoShape 37516" o:spid="_x0000_s1110" type="#_x0000_t32" style="position:absolute;left:20980;top:36868;width:82;height:29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">
                  <v:stroke dashstyle="dash" endarrow="block"/>
                </v:shape>
                <v:rect id="Rectangle 37517" o:spid="_x0000_s1111" style="position:absolute;left:35852;top:20288;width:46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" filled="f" fillcolor="#eaf1dd" stroked="f">
                  <v:textbox>
                    <w:txbxContent>
                      <w:p w14:paraId="1D7DFCDA" w14:textId="77777777" w:rsidR="00217891" w:rsidRPr="001415D6" w:rsidRDefault="00217891" w:rsidP="002C54C3">
                        <w:pPr>
                          <w:ind w:firstLineChars="50" w:firstLine="105"/>
                          <w:rPr>
                            <w:rFonts w:asciiTheme="minorHAnsi" w:hAnsiTheme="minorHAnsi"/>
                          </w:rPr>
                        </w:pPr>
                        <w:r>
                          <w:rPr>
                            <w:rFonts w:asciiTheme="minorHAnsi" w:hAnsiTheme="minorHAnsi"/>
                          </w:rPr>
                          <w:t>N1</w:t>
                        </w:r>
                      </w:p>
                    </w:txbxContent>
                  </v:textbox>
                </v:rect>
                <v:rect id="Rectangle 37408" o:spid="_x0000_s1112" style="position:absolute;left:38576;top:55448;width:1638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" filled="f" fillcolor="#eaf1dd" stroked="f">
                  <v:textbox>
                    <w:txbxContent>
                      <w:p w14:paraId="684CDA78" w14:textId="77777777" w:rsidR="00217891" w:rsidRDefault="00217891" w:rsidP="007B3ACE">
                        <w:pPr>
                          <w:jc w:val="left"/>
                        </w:pPr>
                        <w:r>
                          <w:rPr>
                            <w:rFonts w:hint="eastAsia"/>
                          </w:rPr>
                          <w:t>其中：</w:t>
                        </w:r>
                      </w:p>
                      <w:p w14:paraId="67662122" w14:textId="77777777" w:rsidR="00217891" w:rsidRPr="002C54C3" w:rsidRDefault="00217891" w:rsidP="007B3ACE">
                        <w:pPr>
                          <w:jc w:val="left"/>
                          <w:rPr>
                            <w:rFonts w:asciiTheme="minorHAnsi" w:hAnsiTheme="minorHAnsi"/>
                          </w:rPr>
                        </w:pPr>
                        <w:r w:rsidRPr="002C54C3">
                          <w:rPr>
                            <w:rFonts w:asciiTheme="minorHAnsi" w:hAnsiTheme="minorHAnsi"/>
                          </w:rPr>
                          <w:t>G—</w:t>
                        </w:r>
                        <w:r w:rsidRPr="002C54C3">
                          <w:rPr>
                            <w:rFonts w:asciiTheme="minorHAnsi" w:hAnsiTheme="minorHAnsi"/>
                          </w:rPr>
                          <w:t>废气；</w:t>
                        </w:r>
                        <w:r w:rsidRPr="002C54C3">
                          <w:rPr>
                            <w:rFonts w:asciiTheme="minorHAnsi" w:hAnsiTheme="minorHAnsi"/>
                          </w:rPr>
                          <w:t>W—</w:t>
                        </w:r>
                        <w:r w:rsidRPr="002C54C3">
                          <w:rPr>
                            <w:rFonts w:asciiTheme="minorHAnsi" w:hAnsiTheme="minorHAnsi"/>
                          </w:rPr>
                          <w:t>废水；</w:t>
                        </w:r>
                      </w:p>
                      <w:p w14:paraId="5411F2A3" w14:textId="77777777" w:rsidR="00217891" w:rsidRPr="002C54C3" w:rsidRDefault="00217891" w:rsidP="007B3ACE">
                        <w:pPr>
                          <w:jc w:val="left"/>
                          <w:rPr>
                            <w:rFonts w:asciiTheme="minorHAnsi" w:hAnsiTheme="minorHAnsi"/>
                          </w:rPr>
                        </w:pPr>
                        <w:r w:rsidRPr="002C54C3">
                          <w:rPr>
                            <w:rFonts w:asciiTheme="minorHAnsi" w:hAnsiTheme="minorHAnsi"/>
                          </w:rPr>
                          <w:t>N—</w:t>
                        </w:r>
                        <w:r w:rsidRPr="002C54C3">
                          <w:rPr>
                            <w:rFonts w:asciiTheme="minorHAnsi" w:hAnsiTheme="minorHAnsi"/>
                          </w:rPr>
                          <w:t>噪声；</w:t>
                        </w:r>
                        <w:r w:rsidRPr="002C54C3">
                          <w:rPr>
                            <w:rFonts w:asciiTheme="minorHAnsi" w:hAnsiTheme="minorHAnsi"/>
                          </w:rPr>
                          <w:t>S—</w:t>
                        </w:r>
                        <w:r w:rsidRPr="002C54C3">
                          <w:rPr>
                            <w:rFonts w:asciiTheme="minorHAnsi" w:hAnsiTheme="minorHAnsi"/>
                          </w:rPr>
                          <w:t>固废</w:t>
                        </w:r>
                      </w:p>
                    </w:txbxContent>
                  </v:textbox>
                </v:rect>
                <v:shape id="AutoShape 37520" o:spid="_x0000_s1113" type="#_x0000_t32" style="position:absolute;left:25577;top:4724;width:7;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">
                  <v:stroke endarrow="block"/>
                </v:shape>
                <v:shapetype id="_x0000_t202" coordsize="21600,21600" o:spt="202" path="m,l,21600r21600,l21600,xe">
                  <v:stroke joinstyle="miter"/>
                  <v:path gradientshapeok="t" o:connecttype="rect"/>
                </v:shapetype>
                <v:shape id="Text Box 37521" o:spid="_x0000_s1114" type="#_x0000_t202" style="position:absolute;left:9321;top:64039;width:3825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" filled="f" stroked="f">
                  <v:textbox>
                    <w:txbxContent>
                      <w:p w14:paraId="50B68E51" w14:textId="77777777" w:rsidR="00217891" w:rsidRPr="001E3E77" w:rsidRDefault="00217891">
                        <w:pPr>
                          <w:rPr>
                            <w:rFonts w:asciiTheme="minorHAnsi" w:eastAsia="黑体" w:hAnsiTheme="minorHAnsi"/>
                            <w:b/>
                            <w:sz w:val="24"/>
                            <w:u w:val="single"/>
                          </w:rPr>
                        </w:pPr>
                        <w:r w:rsidRPr="001E3E77">
                          <w:rPr>
                            <w:rFonts w:asciiTheme="minorHAnsi" w:eastAsia="黑体" w:hAnsiTheme="minorHAnsi"/>
                            <w:b/>
                            <w:sz w:val="24"/>
                            <w:u w:val="single"/>
                          </w:rPr>
                          <w:t>图</w:t>
                        </w:r>
                        <w:r w:rsidRPr="001E3E77">
                          <w:rPr>
                            <w:rFonts w:asciiTheme="minorHAnsi" w:eastAsia="黑体" w:hAnsiTheme="minorHAnsi"/>
                            <w:b/>
                            <w:sz w:val="24"/>
                            <w:u w:val="single"/>
                          </w:rPr>
                          <w:t xml:space="preserve">2.2-1      </w:t>
                        </w:r>
                        <w:r w:rsidRPr="001E3E77">
                          <w:rPr>
                            <w:rFonts w:asciiTheme="minorHAnsi" w:eastAsia="黑体" w:hAnsiTheme="minorHAnsi"/>
                            <w:b/>
                            <w:sz w:val="24"/>
                            <w:u w:val="single"/>
                          </w:rPr>
                          <w:t>本项目</w:t>
                        </w:r>
                        <w:r w:rsidRPr="001E3E77">
                          <w:rPr>
                            <w:rFonts w:asciiTheme="minorHAnsi" w:eastAsia="黑体" w:hAnsiTheme="minorHAnsi" w:hint="eastAsia"/>
                            <w:b/>
                            <w:sz w:val="24"/>
                            <w:u w:val="single"/>
                          </w:rPr>
                          <w:t>（一期</w:t>
                        </w:r>
                        <w:r w:rsidRPr="001E3E77">
                          <w:rPr>
                            <w:rFonts w:asciiTheme="minorHAnsi" w:eastAsia="黑体" w:hAnsiTheme="minorHAnsi"/>
                            <w:b/>
                            <w:sz w:val="24"/>
                            <w:u w:val="single"/>
                          </w:rPr>
                          <w:t>、二期</w:t>
                        </w:r>
                        <w:r w:rsidRPr="001E3E77">
                          <w:rPr>
                            <w:rFonts w:asciiTheme="minorHAnsi" w:eastAsia="黑体" w:hAnsiTheme="minorHAnsi" w:hint="eastAsia"/>
                            <w:b/>
                            <w:sz w:val="24"/>
                            <w:u w:val="single"/>
                          </w:rPr>
                          <w:t>）</w:t>
                        </w:r>
                        <w:r w:rsidRPr="001E3E77">
                          <w:rPr>
                            <w:rFonts w:asciiTheme="minorHAnsi" w:eastAsia="黑体" w:hAnsiTheme="minorHAnsi"/>
                            <w:b/>
                            <w:sz w:val="24"/>
                            <w:u w:val="single"/>
                          </w:rPr>
                          <w:t>生产工艺流程图</w:t>
                        </w:r>
                      </w:p>
                    </w:txbxContent>
                  </v:textbox>
                </v:shape>
                <v:shape id="AutoShape 37522" o:spid="_x0000_s1115" type="#_x0000_t32" style="position:absolute;left:28263;top:41179;width:385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">
                  <v:stroke dashstyle="dash" endarrow="block"/>
                </v:shape>
                <v:rect id="Rectangle 37523" o:spid="_x0000_s1116" style="position:absolute;left:31896;top:39916;width:46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" filled="f" fillcolor="#eaf1dd" stroked="f">
                  <v:textbox>
                    <w:txbxContent>
                      <w:p w14:paraId="41BBFFAD" w14:textId="77777777" w:rsidR="00217891" w:rsidRPr="001415D6" w:rsidRDefault="00217891" w:rsidP="00453871">
                        <w:pPr>
                          <w:rPr>
                            <w:rFonts w:asciiTheme="minorHAnsi" w:hAnsiTheme="minorHAnsi"/>
                          </w:rPr>
                        </w:pPr>
                        <w:r>
                          <w:rPr>
                            <w:rFonts w:asciiTheme="minorHAnsi" w:hAnsiTheme="minorHAnsi"/>
                          </w:rPr>
                          <w:t>S1</w:t>
                        </w:r>
                      </w:p>
                    </w:txbxContent>
                  </v:textbox>
                </v:rect>
                <v:rect id="Rectangle 37524" o:spid="_x0000_s1117" style="position:absolute;left:18662;top:7912;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" filled="f" fillcolor="#eaf1dd">
                  <v:textbox>
                    <w:txbxContent>
                      <w:p w14:paraId="621ABB22" w14:textId="77777777" w:rsidR="00217891" w:rsidRPr="007B3ACE" w:rsidRDefault="00217891" w:rsidP="00F66045">
                        <w:pPr>
                          <w:ind w:firstLineChars="100" w:firstLine="210"/>
                          <w:rPr>
                            <w:rFonts w:asciiTheme="minorHAnsi" w:hAnsiTheme="minorHAnsi"/>
                          </w:rPr>
                        </w:pPr>
                        <w:r>
                          <w:rPr>
                            <w:rFonts w:asciiTheme="minorHAnsi" w:hAnsiTheme="minorHAnsi" w:hint="eastAsia"/>
                          </w:rPr>
                          <w:t>调配罐</w:t>
                        </w:r>
                      </w:p>
                    </w:txbxContent>
                  </v:textbox>
                </v:rect>
                <v:shape id="AutoShape 37525" o:spid="_x0000_s1118" type="#_x0000_t32" style="position:absolute;left:20974;top:4324;width:6;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">
                  <v:stroke endarrow="block"/>
                </v:shape>
                <v:rect id="Rectangle 37526" o:spid="_x0000_s1119" style="position:absolute;left:17437;top:4495;width:729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" filled="f" fillcolor="#eaf1dd" stroked="f">
                  <v:textbox>
                    <w:txbxContent>
                      <w:p w14:paraId="66DDD4F0" w14:textId="77777777" w:rsidR="00217891" w:rsidRPr="007B3ACE" w:rsidRDefault="00217891" w:rsidP="0087180A">
                        <w:pPr>
                          <w:rPr>
                            <w:rFonts w:asciiTheme="minorHAnsi" w:hAnsiTheme="minorHAnsi"/>
                          </w:rPr>
                        </w:pPr>
                        <w:r>
                          <w:rPr>
                            <w:rFonts w:asciiTheme="minorHAnsi" w:hAnsiTheme="minorHAnsi" w:hint="eastAsia"/>
                          </w:rPr>
                          <w:t>添加剂</w:t>
                        </w:r>
                      </w:p>
                    </w:txbxContent>
                  </v:textbox>
                </v:rect>
                <v:shape id="AutoShape 37530" o:spid="_x0000_s1120" type="#_x0000_t32" style="position:absolute;left:23139;top:10801;width:13;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">
                  <v:stroke endarrow="block"/>
                </v:shape>
                <v:shape id="AutoShape 37610" o:spid="_x0000_s1121" type="#_x0000_t32" style="position:absolute;left:36766;top:20478;width:83;height:29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">
                  <v:stroke dashstyle="dash" endarrow="block"/>
                </v:shape>
                <v:rect id="Rectangle 37611" o:spid="_x0000_s1122" style="position:absolute;left:17792;top:34499;width:46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" filled="f" fillcolor="#eaf1dd" stroked="f">
                  <v:textbox>
                    <w:txbxContent>
                      <w:p w14:paraId="755BE737" w14:textId="77777777" w:rsidR="00217891" w:rsidRPr="001415D6" w:rsidRDefault="00217891" w:rsidP="002C54C3">
                        <w:pPr>
                          <w:ind w:firstLineChars="50" w:firstLine="105"/>
                          <w:rPr>
                            <w:rFonts w:asciiTheme="minorHAnsi" w:hAnsiTheme="minorHAnsi"/>
                          </w:rPr>
                        </w:pPr>
                        <w:r>
                          <w:rPr>
                            <w:rFonts w:asciiTheme="minorHAnsi" w:hAnsiTheme="minorHAnsi"/>
                          </w:rPr>
                          <w:t>N2</w:t>
                        </w:r>
                      </w:p>
                    </w:txbxContent>
                  </v:textbox>
                </v:rect>
                <v:shape id="AutoShape 37438" o:spid="_x0000_s1123" type="#_x0000_t32" style="position:absolute;left:28359;top:9340;width:390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">
                  <v:stroke dashstyle="dash" endarrow="block"/>
                </v:shape>
                <v:rect id="Rectangle 37504" o:spid="_x0000_s1124" style="position:absolute;left:32200;top:7912;width:464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" filled="f" fillcolor="#eaf1dd" stroked="f">
                  <v:textbox>
                    <w:txbxContent>
                      <w:p w14:paraId="6DAD84AF" w14:textId="77777777" w:rsidR="00217891" w:rsidRPr="001415D6" w:rsidRDefault="00217891" w:rsidP="0064009E">
                        <w:pPr>
                          <w:jc w:val="center"/>
                          <w:rPr>
                            <w:rFonts w:asciiTheme="minorHAnsi" w:hAnsiTheme="minorHAnsi"/>
                          </w:rPr>
                        </w:pPr>
                        <w:r>
                          <w:rPr>
                            <w:rFonts w:asciiTheme="minorHAnsi" w:hAnsiTheme="minorHAnsi"/>
                          </w:rPr>
                          <w:t>G1</w:t>
                        </w:r>
                      </w:p>
                    </w:txbxContent>
                  </v:textbox>
                </v:rect>
                <v:rect id="Rectangle 37437" o:spid="_x0000_s1125" style="position:absolute;left:22218;top:1593;width:7728;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" filled="f" fillcolor="#eaf1dd">
                  <v:textbox>
                    <w:txbxContent>
                      <w:p w14:paraId="7A3E4EE7" w14:textId="77777777" w:rsidR="00217891" w:rsidRPr="007B3ACE" w:rsidRDefault="00217891" w:rsidP="001415D6">
                        <w:pPr>
                          <w:rPr>
                            <w:rFonts w:asciiTheme="minorHAnsi" w:hAnsiTheme="minorHAnsi"/>
                          </w:rPr>
                        </w:pPr>
                        <w:r>
                          <w:rPr>
                            <w:rFonts w:asciiTheme="minorHAnsi" w:hAnsiTheme="minorHAnsi" w:hint="eastAsia"/>
                          </w:rPr>
                          <w:t>纯水制备</w:t>
                        </w:r>
                      </w:p>
                    </w:txbxContent>
                  </v:textbox>
                </v:rect>
                <v:rect id="Rectangle 37511" o:spid="_x0000_s1126" style="position:absolute;left:24504;top:4495;width:678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" filled="f" fillcolor="#eaf1dd" stroked="f">
                  <v:textbox>
                    <w:txbxContent>
                      <w:p w14:paraId="37A6CE5B" w14:textId="77777777" w:rsidR="00217891" w:rsidRPr="001A41EE" w:rsidRDefault="00217891" w:rsidP="001A41EE">
                        <w:pPr>
                          <w:ind w:firstLineChars="50" w:firstLine="105"/>
                          <w:rPr>
                            <w:rFonts w:asciiTheme="minorHAnsi" w:hAnsiTheme="minorHAnsi"/>
                          </w:rPr>
                        </w:pPr>
                        <w:r>
                          <w:rPr>
                            <w:rFonts w:asciiTheme="minorHAnsi" w:hAnsiTheme="minorHAnsi" w:hint="eastAsia"/>
                          </w:rPr>
                          <w:t>纯水</w:t>
                        </w:r>
                      </w:p>
                    </w:txbxContent>
                  </v:textbox>
                </v:rect>
                <v:shape id="AutoShape 37438" o:spid="_x0000_s1127" type="#_x0000_t32" style="position:absolute;left:30035;top:3016;width:390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">
                  <v:stroke dashstyle="dash" endarrow="block"/>
                </v:shape>
                <v:rect id="Rectangle 37504" o:spid="_x0000_s1128" style="position:absolute;left:33928;top:1358;width:464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" filled="f" fillcolor="#eaf1dd" stroked="f">
                  <v:textbox>
                    <w:txbxContent>
                      <w:p w14:paraId="68925DC6" w14:textId="77777777" w:rsidR="00217891" w:rsidRPr="001415D6" w:rsidRDefault="00217891" w:rsidP="0064009E">
                        <w:pPr>
                          <w:jc w:val="center"/>
                          <w:rPr>
                            <w:rFonts w:asciiTheme="minorHAnsi" w:hAnsiTheme="minorHAnsi"/>
                          </w:rPr>
                        </w:pPr>
                        <w:r>
                          <w:rPr>
                            <w:rFonts w:asciiTheme="minorHAnsi" w:hAnsiTheme="minorHAnsi"/>
                          </w:rPr>
                          <w:t>W5</w:t>
                        </w:r>
                      </w:p>
                    </w:txbxContent>
                  </v:textbox>
                </v:rect>
                <v:shape id="AutoShape 37438" o:spid="_x0000_s1129" type="#_x0000_t32" style="position:absolute;left:8305;top:19602;width:89;height:36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">
                  <v:stroke dashstyle="dash" endarrow="block"/>
                </v:shape>
                <v:rect id="Rectangle 37504" o:spid="_x0000_s1130" style="position:absolute;left:5861;top:17087;width:464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" filled="f" fillcolor="#eaf1dd" stroked="f">
                  <v:textbox>
                    <w:txbxContent>
                      <w:p w14:paraId="57D47762" w14:textId="77777777" w:rsidR="00217891" w:rsidRPr="001415D6" w:rsidRDefault="00217891" w:rsidP="0064009E">
                        <w:pPr>
                          <w:jc w:val="center"/>
                          <w:rPr>
                            <w:rFonts w:asciiTheme="minorHAnsi" w:hAnsiTheme="minorHAnsi"/>
                          </w:rPr>
                        </w:pPr>
                        <w:r>
                          <w:rPr>
                            <w:rFonts w:asciiTheme="minorHAnsi" w:hAnsiTheme="minorHAnsi"/>
                          </w:rPr>
                          <w:t>G4</w:t>
                        </w:r>
                      </w:p>
                    </w:txbxContent>
                  </v:textbox>
                </v:rect>
                <v:shape id="AutoShape 37444" o:spid="_x0000_s1131" type="#_x0000_t32" style="position:absolute;left:34874;top:13931;width:6;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"/>
                <v:line id="直接连接符 42" o:spid="_x0000_s1132" style="position:absolute;visibility:visible;mso-wrap-style:square" from="25774,13843" to="34880,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" strokecolor="black [3040]"/>
                <v:shape id="直接箭头连接符 43" o:spid="_x0000_s1133" type="#_x0000_t32" style="position:absolute;left:25774;top:10769;width:0;height:3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" strokecolor="black [3040]">
                  <v:stroke endarrow="block"/>
                </v:shape>
                <v:rect id="Rectangle 37504" o:spid="_x0000_s1134" style="position:absolute;left:25577;top:11728;width:922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" filled="f" fillcolor="#eaf1dd" stroked="f">
                  <v:textbox>
                    <w:txbxContent>
                      <w:p w14:paraId="242C9FB8" w14:textId="77777777" w:rsidR="00217891" w:rsidRPr="001415D6" w:rsidRDefault="00217891" w:rsidP="002441EA">
                        <w:pPr>
                          <w:rPr>
                            <w:rFonts w:asciiTheme="minorHAnsi" w:hAnsiTheme="minorHAnsi"/>
                          </w:rPr>
                        </w:pPr>
                        <w:r>
                          <w:rPr>
                            <w:rFonts w:asciiTheme="minorHAnsi" w:hAnsiTheme="minorHAnsi" w:hint="eastAsia"/>
                          </w:rPr>
                          <w:t>一部分</w:t>
                        </w:r>
                        <w:r>
                          <w:rPr>
                            <w:rFonts w:asciiTheme="minorHAnsi" w:hAnsiTheme="minorHAnsi"/>
                          </w:rPr>
                          <w:t>配料</w:t>
                        </w:r>
                      </w:p>
                    </w:txbxContent>
                  </v:textbox>
                </v:rect>
                <v:shape id="AutoShape 37438" o:spid="_x0000_s1135" type="#_x0000_t32" style="position:absolute;left:39503;top:18332;width:390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">
                  <v:stroke dashstyle="dash" endarrow="block"/>
                </v:shape>
                <v:rect id="Rectangle 37441" o:spid="_x0000_s1136" style="position:absolute;left:41122;top:15271;width:464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" filled="f" fillcolor="#eaf1dd" stroked="f">
                  <v:textbox>
                    <w:txbxContent>
                      <w:p w14:paraId="6D39B892" w14:textId="77777777" w:rsidR="00217891" w:rsidRPr="001415D6" w:rsidRDefault="00217891" w:rsidP="0064009E">
                        <w:pPr>
                          <w:jc w:val="center"/>
                          <w:rPr>
                            <w:rFonts w:asciiTheme="minorHAnsi" w:hAnsiTheme="minorHAnsi"/>
                          </w:rPr>
                        </w:pPr>
                        <w:r>
                          <w:rPr>
                            <w:rFonts w:asciiTheme="minorHAnsi" w:hAnsiTheme="minorHAnsi"/>
                          </w:rPr>
                          <w:t>W1</w:t>
                        </w:r>
                      </w:p>
                    </w:txbxContent>
                  </v:textbox>
                </v:rect>
                <v:rect id="Rectangle 37441" o:spid="_x0000_s1137" style="position:absolute;left:47294;top:19234;width:657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" filled="f" fillcolor="#eaf1dd" stroked="f">
                  <v:textbox>
                    <w:txbxContent>
                      <w:p w14:paraId="481296B8" w14:textId="77777777" w:rsidR="00217891" w:rsidRPr="001415D6" w:rsidRDefault="00217891" w:rsidP="0064009E">
                        <w:pPr>
                          <w:jc w:val="center"/>
                          <w:rPr>
                            <w:rFonts w:asciiTheme="minorHAnsi" w:hAnsiTheme="minorHAnsi"/>
                          </w:rPr>
                        </w:pPr>
                        <w:r>
                          <w:rPr>
                            <w:rFonts w:asciiTheme="minorHAnsi" w:hAnsiTheme="minorHAnsi"/>
                          </w:rPr>
                          <w:t>W2</w:t>
                        </w:r>
                        <w:r>
                          <w:rPr>
                            <w:rFonts w:asciiTheme="minorHAnsi" w:hAnsiTheme="minorHAnsi" w:hint="eastAsia"/>
                          </w:rPr>
                          <w:t>、</w:t>
                        </w:r>
                        <w:r>
                          <w:rPr>
                            <w:rFonts w:asciiTheme="minorHAnsi" w:hAnsiTheme="minorHAnsi" w:hint="eastAsia"/>
                          </w:rPr>
                          <w:t>S4</w:t>
                        </w:r>
                      </w:p>
                    </w:txbxContent>
                  </v:textbox>
                </v:rect>
                <w10:wrap anchorx="margin"/>
              </v:group>
            </w:pict>
          </mc:Fallback>
        </mc:AlternateContent>
      </w:r>
    </w:p>
    <w:p w14:paraId="1980152C" w14:textId="77777777" w:rsidR="00301E7D" w:rsidRDefault="00301E7D" w:rsidP="007B3ACE">
      <w:pPr>
        <w:spacing w:line="500" w:lineRule="exact"/>
        <w:ind w:firstLineChars="200" w:firstLine="480"/>
        <w:rPr>
          <w:rFonts w:ascii="Calibri" w:hAnsi="Calibri"/>
          <w:color w:val="auto"/>
          <w:sz w:val="24"/>
        </w:rPr>
      </w:pPr>
    </w:p>
    <w:p w14:paraId="61B8F47A" w14:textId="77777777" w:rsidR="0087180A" w:rsidRDefault="0087180A" w:rsidP="007B3ACE">
      <w:pPr>
        <w:spacing w:line="500" w:lineRule="exact"/>
        <w:ind w:firstLineChars="200" w:firstLine="480"/>
        <w:rPr>
          <w:rFonts w:ascii="Calibri" w:hAnsi="Calibri"/>
          <w:color w:val="auto"/>
          <w:sz w:val="24"/>
        </w:rPr>
      </w:pPr>
    </w:p>
    <w:p w14:paraId="0F87CEB4" w14:textId="77777777" w:rsidR="0087180A" w:rsidRDefault="0087180A" w:rsidP="007B3ACE">
      <w:pPr>
        <w:spacing w:line="500" w:lineRule="exact"/>
        <w:ind w:firstLineChars="200" w:firstLine="480"/>
        <w:rPr>
          <w:rFonts w:ascii="Calibri" w:hAnsi="Calibri"/>
          <w:color w:val="auto"/>
          <w:sz w:val="24"/>
        </w:rPr>
      </w:pPr>
    </w:p>
    <w:p w14:paraId="681195D2" w14:textId="77777777" w:rsidR="0087180A" w:rsidRDefault="0087180A" w:rsidP="007B3ACE">
      <w:pPr>
        <w:spacing w:line="500" w:lineRule="exact"/>
        <w:ind w:firstLineChars="200" w:firstLine="480"/>
        <w:rPr>
          <w:rFonts w:ascii="Calibri" w:hAnsi="Calibri"/>
          <w:color w:val="auto"/>
          <w:sz w:val="24"/>
        </w:rPr>
      </w:pPr>
    </w:p>
    <w:p w14:paraId="05AD8F9B" w14:textId="77777777" w:rsidR="0087180A" w:rsidRDefault="0087180A" w:rsidP="007B3ACE">
      <w:pPr>
        <w:spacing w:line="500" w:lineRule="exact"/>
        <w:ind w:firstLineChars="200" w:firstLine="480"/>
        <w:rPr>
          <w:rFonts w:ascii="Calibri" w:hAnsi="Calibri"/>
          <w:color w:val="auto"/>
          <w:sz w:val="24"/>
        </w:rPr>
      </w:pPr>
    </w:p>
    <w:p w14:paraId="6E6AD984" w14:textId="77777777" w:rsidR="0087180A" w:rsidRDefault="0087180A" w:rsidP="007B3ACE">
      <w:pPr>
        <w:spacing w:line="500" w:lineRule="exact"/>
        <w:ind w:firstLineChars="200" w:firstLine="480"/>
        <w:rPr>
          <w:rFonts w:ascii="Calibri" w:hAnsi="Calibri"/>
          <w:color w:val="auto"/>
          <w:sz w:val="24"/>
        </w:rPr>
      </w:pPr>
    </w:p>
    <w:p w14:paraId="14277D3D" w14:textId="77777777" w:rsidR="0087180A" w:rsidRDefault="0087180A" w:rsidP="007B3ACE">
      <w:pPr>
        <w:spacing w:line="500" w:lineRule="exact"/>
        <w:ind w:firstLineChars="200" w:firstLine="480"/>
        <w:rPr>
          <w:rFonts w:ascii="Calibri" w:hAnsi="Calibri"/>
          <w:color w:val="auto"/>
          <w:sz w:val="24"/>
        </w:rPr>
      </w:pPr>
    </w:p>
    <w:p w14:paraId="49FC505F" w14:textId="77777777" w:rsidR="0087180A" w:rsidRDefault="0087180A" w:rsidP="007B3ACE">
      <w:pPr>
        <w:spacing w:line="500" w:lineRule="exact"/>
        <w:ind w:firstLineChars="200" w:firstLine="480"/>
        <w:rPr>
          <w:rFonts w:ascii="Calibri" w:hAnsi="Calibri"/>
          <w:color w:val="auto"/>
          <w:sz w:val="24"/>
        </w:rPr>
      </w:pPr>
    </w:p>
    <w:p w14:paraId="6FA423BA" w14:textId="77777777" w:rsidR="0087180A" w:rsidRDefault="0087180A" w:rsidP="007B3ACE">
      <w:pPr>
        <w:spacing w:line="500" w:lineRule="exact"/>
        <w:ind w:firstLineChars="200" w:firstLine="480"/>
        <w:rPr>
          <w:rFonts w:ascii="Calibri" w:hAnsi="Calibri"/>
          <w:color w:val="auto"/>
          <w:sz w:val="24"/>
        </w:rPr>
      </w:pPr>
    </w:p>
    <w:p w14:paraId="06FB80E6" w14:textId="77777777" w:rsidR="0087180A" w:rsidRDefault="0087180A" w:rsidP="007B3ACE">
      <w:pPr>
        <w:spacing w:line="500" w:lineRule="exact"/>
        <w:ind w:firstLineChars="200" w:firstLine="480"/>
        <w:rPr>
          <w:rFonts w:ascii="Calibri" w:hAnsi="Calibri"/>
          <w:color w:val="auto"/>
          <w:sz w:val="24"/>
        </w:rPr>
      </w:pPr>
    </w:p>
    <w:p w14:paraId="798CA170" w14:textId="77777777" w:rsidR="0087180A" w:rsidRDefault="0087180A" w:rsidP="007B3ACE">
      <w:pPr>
        <w:spacing w:line="500" w:lineRule="exact"/>
        <w:ind w:firstLineChars="200" w:firstLine="480"/>
        <w:rPr>
          <w:rFonts w:ascii="Calibri" w:hAnsi="Calibri"/>
          <w:color w:val="auto"/>
          <w:sz w:val="24"/>
        </w:rPr>
      </w:pPr>
    </w:p>
    <w:p w14:paraId="231A3422" w14:textId="77777777" w:rsidR="0087180A" w:rsidRDefault="0087180A" w:rsidP="007B3ACE">
      <w:pPr>
        <w:spacing w:line="500" w:lineRule="exact"/>
        <w:ind w:firstLineChars="200" w:firstLine="480"/>
        <w:rPr>
          <w:rFonts w:ascii="Calibri" w:hAnsi="Calibri"/>
          <w:color w:val="auto"/>
          <w:sz w:val="24"/>
        </w:rPr>
      </w:pPr>
    </w:p>
    <w:p w14:paraId="3F4ECC4D" w14:textId="77777777" w:rsidR="0087180A" w:rsidRDefault="0087180A" w:rsidP="007B3ACE">
      <w:pPr>
        <w:spacing w:line="500" w:lineRule="exact"/>
        <w:ind w:firstLineChars="200" w:firstLine="480"/>
        <w:rPr>
          <w:rFonts w:ascii="Calibri" w:hAnsi="Calibri"/>
          <w:color w:val="auto"/>
          <w:sz w:val="24"/>
        </w:rPr>
      </w:pPr>
    </w:p>
    <w:p w14:paraId="4D00788B" w14:textId="77777777" w:rsidR="0087180A" w:rsidRPr="0029521A" w:rsidRDefault="0087180A" w:rsidP="007B3ACE">
      <w:pPr>
        <w:spacing w:line="500" w:lineRule="exact"/>
        <w:ind w:firstLineChars="200" w:firstLine="480"/>
        <w:rPr>
          <w:rFonts w:ascii="Calibri" w:hAnsi="Calibri"/>
          <w:color w:val="auto"/>
          <w:sz w:val="24"/>
        </w:rPr>
      </w:pPr>
    </w:p>
    <w:p w14:paraId="261D4CC8" w14:textId="77777777" w:rsidR="0087180A" w:rsidRDefault="0087180A" w:rsidP="007B3ACE">
      <w:pPr>
        <w:spacing w:line="500" w:lineRule="exact"/>
        <w:ind w:firstLineChars="200" w:firstLine="480"/>
        <w:rPr>
          <w:rFonts w:ascii="Calibri" w:hAnsi="Calibri"/>
          <w:color w:val="auto"/>
          <w:sz w:val="24"/>
        </w:rPr>
      </w:pPr>
    </w:p>
    <w:p w14:paraId="4D1757CB" w14:textId="77777777" w:rsidR="0087180A" w:rsidRDefault="0087180A" w:rsidP="007B3ACE">
      <w:pPr>
        <w:spacing w:line="500" w:lineRule="exact"/>
        <w:ind w:firstLineChars="200" w:firstLine="480"/>
        <w:rPr>
          <w:rFonts w:ascii="Calibri" w:hAnsi="Calibri"/>
          <w:color w:val="auto"/>
          <w:sz w:val="24"/>
        </w:rPr>
      </w:pPr>
    </w:p>
    <w:p w14:paraId="138FD6FF" w14:textId="77777777" w:rsidR="0087180A" w:rsidRDefault="0087180A" w:rsidP="007B3ACE">
      <w:pPr>
        <w:spacing w:line="500" w:lineRule="exact"/>
        <w:ind w:firstLineChars="200" w:firstLine="480"/>
        <w:rPr>
          <w:rFonts w:ascii="Calibri" w:hAnsi="Calibri"/>
          <w:color w:val="auto"/>
          <w:sz w:val="24"/>
        </w:rPr>
      </w:pPr>
    </w:p>
    <w:p w14:paraId="1037BCB9" w14:textId="77777777" w:rsidR="00D80DBD" w:rsidRDefault="00D80DBD" w:rsidP="00CD2364">
      <w:pPr>
        <w:spacing w:line="520" w:lineRule="exact"/>
        <w:rPr>
          <w:rFonts w:ascii="Calibri" w:hAnsi="Calibri"/>
          <w:b/>
          <w:color w:val="auto"/>
          <w:sz w:val="24"/>
        </w:rPr>
      </w:pPr>
    </w:p>
    <w:p w14:paraId="454FAEA4" w14:textId="77777777" w:rsidR="000C0061" w:rsidRDefault="000C0061" w:rsidP="00CD2364">
      <w:pPr>
        <w:spacing w:line="520" w:lineRule="exact"/>
        <w:rPr>
          <w:rFonts w:ascii="Calibri" w:hAnsi="Calibri"/>
          <w:b/>
          <w:color w:val="auto"/>
          <w:sz w:val="24"/>
        </w:rPr>
      </w:pPr>
    </w:p>
    <w:p w14:paraId="1CEBB494" w14:textId="77777777" w:rsidR="000C0061" w:rsidRDefault="000C0061" w:rsidP="00CD2364">
      <w:pPr>
        <w:spacing w:line="520" w:lineRule="exact"/>
        <w:rPr>
          <w:rFonts w:ascii="Calibri" w:hAnsi="Calibri"/>
          <w:b/>
          <w:color w:val="auto"/>
          <w:sz w:val="24"/>
        </w:rPr>
      </w:pPr>
    </w:p>
    <w:p w14:paraId="197B53EE" w14:textId="77777777" w:rsidR="007660BC" w:rsidRDefault="007660BC" w:rsidP="00B06EE8">
      <w:pPr>
        <w:spacing w:line="520" w:lineRule="exact"/>
        <w:ind w:firstLineChars="200" w:firstLine="482"/>
        <w:rPr>
          <w:rFonts w:ascii="Calibri" w:hAnsi="Calibri"/>
          <w:b/>
          <w:color w:val="auto"/>
          <w:sz w:val="24"/>
        </w:rPr>
      </w:pPr>
    </w:p>
    <w:p w14:paraId="2B4F93D9" w14:textId="77777777" w:rsidR="0087180A" w:rsidRPr="00B06EE8" w:rsidRDefault="00A94A71" w:rsidP="00B06EE8">
      <w:pPr>
        <w:spacing w:line="520" w:lineRule="exact"/>
        <w:ind w:firstLineChars="200" w:firstLine="482"/>
        <w:rPr>
          <w:rFonts w:ascii="Calibri" w:hAnsi="Calibri"/>
          <w:b/>
          <w:color w:val="auto"/>
          <w:sz w:val="24"/>
        </w:rPr>
      </w:pPr>
      <w:r>
        <w:rPr>
          <w:rFonts w:ascii="Calibri" w:hAnsi="Calibri" w:hint="eastAsia"/>
          <w:b/>
          <w:color w:val="auto"/>
          <w:sz w:val="24"/>
        </w:rPr>
        <w:lastRenderedPageBreak/>
        <w:t>3</w:t>
      </w:r>
      <w:r w:rsidR="00B06EE8" w:rsidRPr="00B06EE8">
        <w:rPr>
          <w:rFonts w:ascii="Calibri" w:hAnsi="Calibri"/>
          <w:b/>
          <w:color w:val="auto"/>
          <w:sz w:val="24"/>
        </w:rPr>
        <w:t>、产物</w:t>
      </w:r>
      <w:r w:rsidR="00B06EE8" w:rsidRPr="00B06EE8">
        <w:rPr>
          <w:rFonts w:ascii="Calibri" w:hAnsi="Calibri" w:hint="eastAsia"/>
          <w:b/>
          <w:color w:val="auto"/>
          <w:sz w:val="24"/>
        </w:rPr>
        <w:t>环节</w:t>
      </w:r>
      <w:r w:rsidR="00B06EE8" w:rsidRPr="00B06EE8">
        <w:rPr>
          <w:rFonts w:ascii="Calibri" w:hAnsi="Calibri"/>
          <w:b/>
          <w:color w:val="auto"/>
          <w:sz w:val="24"/>
        </w:rPr>
        <w:t>汇总</w:t>
      </w:r>
    </w:p>
    <w:p w14:paraId="26E7C320" w14:textId="77777777" w:rsidR="001C75DE" w:rsidRPr="007660BC" w:rsidRDefault="00AF5AB9" w:rsidP="007660BC">
      <w:pPr>
        <w:spacing w:line="500" w:lineRule="exact"/>
        <w:ind w:firstLineChars="200" w:firstLine="480"/>
        <w:rPr>
          <w:rFonts w:ascii="Calibri" w:hAnsi="Calibri"/>
          <w:color w:val="auto"/>
          <w:sz w:val="24"/>
        </w:rPr>
      </w:pPr>
      <w:r>
        <w:rPr>
          <w:rFonts w:ascii="Calibri" w:hAnsi="Calibri" w:hint="eastAsia"/>
          <w:color w:val="auto"/>
          <w:sz w:val="24"/>
        </w:rPr>
        <w:t>透明</w:t>
      </w:r>
      <w:r>
        <w:rPr>
          <w:rFonts w:ascii="Calibri" w:hAnsi="Calibri"/>
          <w:color w:val="auto"/>
          <w:sz w:val="24"/>
        </w:rPr>
        <w:t>尼龙</w:t>
      </w:r>
      <w:r w:rsidR="00B06EE8">
        <w:rPr>
          <w:rFonts w:ascii="Calibri" w:hAnsi="Calibri" w:hint="eastAsia"/>
          <w:color w:val="auto"/>
          <w:sz w:val="24"/>
        </w:rPr>
        <w:t>切片</w:t>
      </w:r>
      <w:r w:rsidR="00B06EE8">
        <w:rPr>
          <w:rFonts w:ascii="Calibri" w:hAnsi="Calibri"/>
          <w:color w:val="auto"/>
          <w:sz w:val="24"/>
        </w:rPr>
        <w:t>生产过程中产物环节汇总</w:t>
      </w:r>
      <w:r w:rsidR="00B06EE8">
        <w:rPr>
          <w:rFonts w:ascii="Calibri" w:hAnsi="Calibri" w:hint="eastAsia"/>
          <w:color w:val="auto"/>
          <w:sz w:val="24"/>
        </w:rPr>
        <w:t>见</w:t>
      </w:r>
      <w:r w:rsidR="00B06EE8">
        <w:rPr>
          <w:rFonts w:ascii="Calibri" w:hAnsi="Calibri"/>
          <w:color w:val="auto"/>
          <w:sz w:val="24"/>
        </w:rPr>
        <w:t>表</w:t>
      </w:r>
      <w:r w:rsidR="00B06EE8">
        <w:rPr>
          <w:rFonts w:ascii="Calibri" w:hAnsi="Calibri" w:hint="eastAsia"/>
          <w:color w:val="auto"/>
          <w:sz w:val="24"/>
        </w:rPr>
        <w:t>2.2-1</w:t>
      </w:r>
      <w:r w:rsidR="00B06EE8">
        <w:rPr>
          <w:rFonts w:ascii="Calibri" w:hAnsi="Calibri" w:hint="eastAsia"/>
          <w:color w:val="auto"/>
          <w:sz w:val="24"/>
        </w:rPr>
        <w:t>。</w:t>
      </w:r>
    </w:p>
    <w:p w14:paraId="24356D8E" w14:textId="77777777" w:rsidR="00B06EE8" w:rsidRPr="00A964FF" w:rsidRDefault="00B06EE8" w:rsidP="00B06EE8">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.2</w:t>
      </w:r>
      <w:r w:rsidRPr="00A964FF">
        <w:rPr>
          <w:rFonts w:ascii="Calibri" w:eastAsia="黑体" w:hAnsi="Calibri"/>
          <w:color w:val="auto"/>
          <w:sz w:val="24"/>
        </w:rPr>
        <w:t>-</w:t>
      </w:r>
      <w:r w:rsidRPr="00A964FF">
        <w:rPr>
          <w:rFonts w:ascii="Calibri" w:eastAsia="黑体" w:hAnsi="Calibri" w:hint="eastAsia"/>
          <w:color w:val="auto"/>
          <w:sz w:val="24"/>
        </w:rPr>
        <w:t>1</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00321C47">
        <w:rPr>
          <w:rFonts w:ascii="Calibri" w:eastAsia="黑体" w:hAnsi="Calibri" w:hint="eastAsia"/>
          <w:color w:val="auto"/>
          <w:sz w:val="24"/>
        </w:rPr>
        <w:t xml:space="preserve">     </w:t>
      </w:r>
      <w:r w:rsidR="00AF5AB9">
        <w:rPr>
          <w:rFonts w:ascii="Calibri" w:eastAsia="黑体" w:hAnsi="Calibri" w:hint="eastAsia"/>
          <w:color w:val="auto"/>
          <w:sz w:val="24"/>
        </w:rPr>
        <w:t>透明尼龙</w:t>
      </w:r>
      <w:r>
        <w:rPr>
          <w:rFonts w:ascii="Calibri" w:eastAsia="黑体" w:hAnsi="Calibri" w:hint="eastAsia"/>
          <w:color w:val="auto"/>
          <w:sz w:val="24"/>
        </w:rPr>
        <w:t>切片</w:t>
      </w:r>
      <w:r w:rsidRPr="00A964FF">
        <w:rPr>
          <w:rFonts w:ascii="Calibri" w:eastAsia="黑体" w:hAnsi="Calibri" w:hint="eastAsia"/>
          <w:color w:val="auto"/>
          <w:sz w:val="24"/>
        </w:rPr>
        <w:t>生产</w:t>
      </w:r>
      <w:r>
        <w:rPr>
          <w:rFonts w:ascii="Calibri" w:eastAsia="黑体" w:hAnsi="Calibri" w:hint="eastAsia"/>
          <w:color w:val="auto"/>
          <w:sz w:val="24"/>
        </w:rPr>
        <w:t>工序</w:t>
      </w:r>
      <w:r w:rsidRPr="00A964FF">
        <w:rPr>
          <w:rFonts w:ascii="Calibri" w:eastAsia="黑体" w:hAnsi="Calibri" w:hint="eastAsia"/>
          <w:color w:val="auto"/>
          <w:sz w:val="24"/>
        </w:rPr>
        <w:t>产污环节汇总表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761"/>
        <w:gridCol w:w="2225"/>
        <w:gridCol w:w="760"/>
        <w:gridCol w:w="2121"/>
        <w:gridCol w:w="2833"/>
      </w:tblGrid>
      <w:tr w:rsidR="00B30095" w:rsidRPr="001E3E77" w14:paraId="7ADE8121" w14:textId="77777777" w:rsidTr="006A6BCC">
        <w:trPr>
          <w:cantSplit/>
          <w:trHeight w:val="340"/>
          <w:jc w:val="center"/>
        </w:trPr>
        <w:tc>
          <w:tcPr>
            <w:tcW w:w="437" w:type="pct"/>
            <w:vAlign w:val="center"/>
          </w:tcPr>
          <w:p w14:paraId="30B8ACA4" w14:textId="77777777" w:rsidR="00B30095" w:rsidRPr="001E3E77" w:rsidRDefault="00B30095"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类别</w:t>
            </w:r>
          </w:p>
        </w:tc>
        <w:tc>
          <w:tcPr>
            <w:tcW w:w="1279" w:type="pct"/>
            <w:vAlign w:val="center"/>
          </w:tcPr>
          <w:p w14:paraId="37C3D111" w14:textId="77777777" w:rsidR="00B30095" w:rsidRPr="001E3E77" w:rsidRDefault="00B30095"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产污环节</w:t>
            </w:r>
          </w:p>
        </w:tc>
        <w:tc>
          <w:tcPr>
            <w:tcW w:w="437" w:type="pct"/>
            <w:vAlign w:val="center"/>
          </w:tcPr>
          <w:p w14:paraId="6E384992" w14:textId="77777777" w:rsidR="00B30095" w:rsidRPr="001E3E77" w:rsidRDefault="00B30095"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编号</w:t>
            </w:r>
          </w:p>
        </w:tc>
        <w:tc>
          <w:tcPr>
            <w:tcW w:w="1219" w:type="pct"/>
            <w:vAlign w:val="center"/>
          </w:tcPr>
          <w:p w14:paraId="006B626D" w14:textId="77777777" w:rsidR="00B30095" w:rsidRPr="001E3E77" w:rsidRDefault="00B30095"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主要成分</w:t>
            </w:r>
          </w:p>
        </w:tc>
        <w:tc>
          <w:tcPr>
            <w:tcW w:w="1628" w:type="pct"/>
            <w:vAlign w:val="center"/>
          </w:tcPr>
          <w:p w14:paraId="32AB90CB" w14:textId="77777777" w:rsidR="00B30095" w:rsidRPr="001E3E77" w:rsidRDefault="00B30095"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治理措施</w:t>
            </w:r>
          </w:p>
        </w:tc>
      </w:tr>
      <w:tr w:rsidR="006A6BCC" w:rsidRPr="001E3E77" w14:paraId="7628FAEB" w14:textId="77777777" w:rsidTr="006A6BCC">
        <w:trPr>
          <w:cantSplit/>
          <w:trHeight w:val="340"/>
          <w:jc w:val="center"/>
        </w:trPr>
        <w:tc>
          <w:tcPr>
            <w:tcW w:w="437" w:type="pct"/>
            <w:vMerge w:val="restart"/>
            <w:vAlign w:val="center"/>
          </w:tcPr>
          <w:p w14:paraId="450CBBF9" w14:textId="77777777" w:rsidR="006A6BCC" w:rsidRPr="001E3E77" w:rsidRDefault="006A6BCC" w:rsidP="00A92ACE">
            <w:pPr>
              <w:jc w:val="center"/>
              <w:rPr>
                <w:rFonts w:ascii="Calibri" w:hAnsi="Calibri"/>
                <w:b/>
                <w:color w:val="auto"/>
                <w:kern w:val="0"/>
                <w:szCs w:val="21"/>
                <w:u w:val="single"/>
              </w:rPr>
            </w:pPr>
            <w:r w:rsidRPr="001E3E77">
              <w:rPr>
                <w:rFonts w:ascii="Calibri" w:hAnsi="Calibri" w:hint="eastAsia"/>
                <w:b/>
                <w:color w:val="auto"/>
                <w:kern w:val="0"/>
                <w:szCs w:val="21"/>
                <w:u w:val="single"/>
              </w:rPr>
              <w:t>废气</w:t>
            </w:r>
          </w:p>
        </w:tc>
        <w:tc>
          <w:tcPr>
            <w:tcW w:w="1279" w:type="pct"/>
            <w:vAlign w:val="center"/>
          </w:tcPr>
          <w:p w14:paraId="14940DC3" w14:textId="77777777" w:rsidR="006A6BCC" w:rsidRPr="001E3E77" w:rsidRDefault="006A6BCC"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次磷酸钠</w:t>
            </w:r>
            <w:r w:rsidRPr="001E3E77">
              <w:rPr>
                <w:rFonts w:ascii="Calibri" w:hAnsi="Calibri"/>
                <w:b/>
                <w:color w:val="auto"/>
                <w:kern w:val="0"/>
                <w:szCs w:val="21"/>
                <w:u w:val="single"/>
              </w:rPr>
              <w:t>投料粉尘</w:t>
            </w:r>
          </w:p>
        </w:tc>
        <w:tc>
          <w:tcPr>
            <w:tcW w:w="437" w:type="pct"/>
            <w:vAlign w:val="center"/>
          </w:tcPr>
          <w:p w14:paraId="0EE09E33" w14:textId="77777777" w:rsidR="006A6BCC" w:rsidRPr="001E3E77" w:rsidRDefault="006A6BCC" w:rsidP="006A6BCC">
            <w:pPr>
              <w:widowControl/>
              <w:jc w:val="center"/>
              <w:rPr>
                <w:rFonts w:ascii="Calibri" w:hAnsi="Calibri"/>
                <w:b/>
                <w:color w:val="auto"/>
                <w:kern w:val="0"/>
                <w:szCs w:val="21"/>
                <w:u w:val="single"/>
              </w:rPr>
            </w:pPr>
            <w:r w:rsidRPr="001E3E77">
              <w:rPr>
                <w:rFonts w:ascii="Calibri" w:hAnsi="Calibri"/>
                <w:b/>
                <w:color w:val="auto"/>
                <w:kern w:val="0"/>
                <w:szCs w:val="21"/>
                <w:u w:val="single"/>
              </w:rPr>
              <w:t>G1</w:t>
            </w:r>
          </w:p>
        </w:tc>
        <w:tc>
          <w:tcPr>
            <w:tcW w:w="1219" w:type="pct"/>
            <w:vAlign w:val="center"/>
          </w:tcPr>
          <w:p w14:paraId="5A21D262" w14:textId="77777777" w:rsidR="006A6BCC" w:rsidRPr="001E3E77" w:rsidRDefault="006A6BCC" w:rsidP="00387105">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颗粒物</w:t>
            </w:r>
          </w:p>
        </w:tc>
        <w:tc>
          <w:tcPr>
            <w:tcW w:w="1628" w:type="pct"/>
            <w:vAlign w:val="center"/>
          </w:tcPr>
          <w:p w14:paraId="5E90DADB" w14:textId="77777777" w:rsidR="006A6BCC" w:rsidRPr="001E3E77" w:rsidRDefault="006A6BCC"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密闭投加</w:t>
            </w:r>
          </w:p>
        </w:tc>
      </w:tr>
      <w:tr w:rsidR="006A6BCC" w:rsidRPr="001E3E77" w14:paraId="25A14411" w14:textId="77777777" w:rsidTr="006A6BCC">
        <w:trPr>
          <w:cantSplit/>
          <w:trHeight w:val="340"/>
          <w:jc w:val="center"/>
        </w:trPr>
        <w:tc>
          <w:tcPr>
            <w:tcW w:w="437" w:type="pct"/>
            <w:vMerge/>
            <w:vAlign w:val="center"/>
          </w:tcPr>
          <w:p w14:paraId="1D2EF0C6" w14:textId="77777777" w:rsidR="006A6BCC" w:rsidRPr="001E3E77" w:rsidRDefault="006A6BCC" w:rsidP="00A92ACE">
            <w:pPr>
              <w:widowControl/>
              <w:jc w:val="center"/>
              <w:rPr>
                <w:rFonts w:ascii="Calibri" w:hAnsi="Calibri"/>
                <w:b/>
                <w:color w:val="auto"/>
                <w:kern w:val="0"/>
                <w:szCs w:val="21"/>
                <w:u w:val="single"/>
              </w:rPr>
            </w:pPr>
          </w:p>
        </w:tc>
        <w:tc>
          <w:tcPr>
            <w:tcW w:w="1279" w:type="pct"/>
            <w:vAlign w:val="center"/>
          </w:tcPr>
          <w:p w14:paraId="2CD7A8E2" w14:textId="77777777" w:rsidR="006A6BCC" w:rsidRPr="001E3E77" w:rsidRDefault="006A6BCC" w:rsidP="00A92AC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聚合废气</w:t>
            </w:r>
          </w:p>
        </w:tc>
        <w:tc>
          <w:tcPr>
            <w:tcW w:w="437" w:type="pct"/>
            <w:vAlign w:val="center"/>
          </w:tcPr>
          <w:p w14:paraId="6876AE7B" w14:textId="77777777" w:rsidR="006A6BCC" w:rsidRPr="001E3E77" w:rsidRDefault="006A6BCC" w:rsidP="006A6BCC">
            <w:pPr>
              <w:widowControl/>
              <w:jc w:val="center"/>
              <w:rPr>
                <w:rFonts w:ascii="Calibri" w:hAnsi="Calibri"/>
                <w:b/>
                <w:color w:val="auto"/>
                <w:kern w:val="0"/>
                <w:szCs w:val="21"/>
                <w:u w:val="single"/>
              </w:rPr>
            </w:pPr>
            <w:r w:rsidRPr="001E3E77">
              <w:rPr>
                <w:rFonts w:ascii="Calibri" w:hAnsi="Calibri"/>
                <w:b/>
                <w:color w:val="auto"/>
                <w:kern w:val="0"/>
                <w:szCs w:val="21"/>
                <w:u w:val="single"/>
              </w:rPr>
              <w:t>G2</w:t>
            </w:r>
          </w:p>
        </w:tc>
        <w:tc>
          <w:tcPr>
            <w:tcW w:w="1219" w:type="pct"/>
            <w:vAlign w:val="center"/>
          </w:tcPr>
          <w:p w14:paraId="2C10905B" w14:textId="77777777" w:rsidR="006A6BCC" w:rsidRPr="001E3E77" w:rsidRDefault="006A6BCC" w:rsidP="00387105">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己二胺、己二酸、环戊酮、环己亚胺、</w:t>
            </w:r>
            <w:r w:rsidRPr="001E3E77">
              <w:rPr>
                <w:rFonts w:ascii="Calibri" w:hAnsi="Calibri"/>
                <w:b/>
                <w:color w:val="auto"/>
                <w:kern w:val="0"/>
                <w:szCs w:val="21"/>
                <w:u w:val="single"/>
              </w:rPr>
              <w:t>氨气</w:t>
            </w:r>
            <w:r w:rsidR="007660BC">
              <w:rPr>
                <w:rFonts w:ascii="Calibri" w:hAnsi="Calibri" w:hint="eastAsia"/>
                <w:b/>
                <w:color w:val="auto"/>
                <w:kern w:val="0"/>
                <w:szCs w:val="21"/>
                <w:u w:val="single"/>
              </w:rPr>
              <w:t>、</w:t>
            </w:r>
            <w:r w:rsidR="007660BC" w:rsidRPr="007660BC">
              <w:rPr>
                <w:rFonts w:ascii="Calibri" w:hAnsi="Calibri" w:hint="eastAsia"/>
                <w:b/>
                <w:color w:val="auto"/>
                <w:kern w:val="0"/>
                <w:szCs w:val="21"/>
                <w:u w:val="single"/>
              </w:rPr>
              <w:t>癸二胺、癸二酸、十二内酰胺</w:t>
            </w:r>
          </w:p>
        </w:tc>
        <w:tc>
          <w:tcPr>
            <w:tcW w:w="1628" w:type="pct"/>
            <w:vAlign w:val="center"/>
          </w:tcPr>
          <w:p w14:paraId="127ECD93" w14:textId="274554D8" w:rsidR="006A6BCC" w:rsidRPr="001E3E77" w:rsidRDefault="006A6BCC" w:rsidP="008C1537">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水喷淋</w:t>
            </w:r>
            <w:r w:rsidR="0075760C">
              <w:rPr>
                <w:rFonts w:ascii="Calibri" w:hAnsi="Calibri" w:hint="eastAsia"/>
                <w:b/>
                <w:color w:val="auto"/>
                <w:kern w:val="0"/>
                <w:szCs w:val="21"/>
                <w:u w:val="single"/>
              </w:rPr>
              <w:t>+</w:t>
            </w:r>
            <w:r w:rsidRPr="001E3E77">
              <w:rPr>
                <w:rFonts w:ascii="Calibri" w:hAnsi="Calibri" w:hint="eastAsia"/>
                <w:b/>
                <w:color w:val="auto"/>
                <w:kern w:val="0"/>
                <w:szCs w:val="21"/>
                <w:u w:val="single"/>
              </w:rPr>
              <w:t>活性炭</w:t>
            </w:r>
            <w:r w:rsidRPr="001E3E77">
              <w:rPr>
                <w:rFonts w:ascii="Calibri" w:hAnsi="Calibri"/>
                <w:b/>
                <w:color w:val="auto"/>
                <w:kern w:val="0"/>
                <w:szCs w:val="21"/>
                <w:u w:val="single"/>
              </w:rPr>
              <w:t>吸附装置</w:t>
            </w:r>
          </w:p>
        </w:tc>
      </w:tr>
      <w:tr w:rsidR="006A6BCC" w:rsidRPr="001E3E77" w14:paraId="6C1F0A94" w14:textId="77777777" w:rsidTr="006A6BCC">
        <w:trPr>
          <w:cantSplit/>
          <w:trHeight w:val="340"/>
          <w:jc w:val="center"/>
        </w:trPr>
        <w:tc>
          <w:tcPr>
            <w:tcW w:w="437" w:type="pct"/>
            <w:vMerge/>
            <w:vAlign w:val="center"/>
          </w:tcPr>
          <w:p w14:paraId="36BCF47A"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09FBBDEC"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聚合釜下料废气</w:t>
            </w:r>
          </w:p>
        </w:tc>
        <w:tc>
          <w:tcPr>
            <w:tcW w:w="437" w:type="pct"/>
            <w:vAlign w:val="center"/>
          </w:tcPr>
          <w:p w14:paraId="19B1B2CB" w14:textId="77777777" w:rsidR="006A6BCC" w:rsidRPr="001E3E77" w:rsidRDefault="006A6BCC" w:rsidP="006A6BCC">
            <w:pPr>
              <w:widowControl/>
              <w:jc w:val="center"/>
              <w:rPr>
                <w:rFonts w:ascii="Calibri" w:hAnsi="Calibri"/>
                <w:b/>
                <w:color w:val="auto"/>
                <w:kern w:val="0"/>
                <w:szCs w:val="21"/>
                <w:u w:val="single"/>
              </w:rPr>
            </w:pPr>
            <w:r w:rsidRPr="001E3E77">
              <w:rPr>
                <w:rFonts w:ascii="Calibri" w:hAnsi="Calibri"/>
                <w:b/>
                <w:color w:val="auto"/>
                <w:kern w:val="0"/>
                <w:szCs w:val="21"/>
                <w:u w:val="single"/>
              </w:rPr>
              <w:t>G3</w:t>
            </w:r>
          </w:p>
        </w:tc>
        <w:tc>
          <w:tcPr>
            <w:tcW w:w="1219" w:type="pct"/>
            <w:vAlign w:val="center"/>
          </w:tcPr>
          <w:p w14:paraId="5124E817"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己二胺</w:t>
            </w:r>
          </w:p>
        </w:tc>
        <w:tc>
          <w:tcPr>
            <w:tcW w:w="1628" w:type="pct"/>
            <w:vAlign w:val="center"/>
          </w:tcPr>
          <w:p w14:paraId="0FE8AC1A" w14:textId="45E144E3" w:rsidR="006A6BCC" w:rsidRPr="001E3E77" w:rsidRDefault="0075760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水喷淋</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活性炭</w:t>
            </w:r>
            <w:r w:rsidRPr="001E3E77">
              <w:rPr>
                <w:rFonts w:ascii="Calibri" w:hAnsi="Calibri"/>
                <w:b/>
                <w:color w:val="auto"/>
                <w:kern w:val="0"/>
                <w:szCs w:val="21"/>
                <w:u w:val="single"/>
              </w:rPr>
              <w:t>吸附装置</w:t>
            </w:r>
          </w:p>
        </w:tc>
      </w:tr>
      <w:tr w:rsidR="006A6BCC" w:rsidRPr="001E3E77" w14:paraId="02DAF813" w14:textId="77777777" w:rsidTr="006A6BCC">
        <w:trPr>
          <w:cantSplit/>
          <w:trHeight w:val="340"/>
          <w:jc w:val="center"/>
        </w:trPr>
        <w:tc>
          <w:tcPr>
            <w:tcW w:w="437" w:type="pct"/>
            <w:vMerge/>
            <w:vAlign w:val="center"/>
          </w:tcPr>
          <w:p w14:paraId="7DE5C540"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72CD2142"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导热油炉燃料</w:t>
            </w:r>
            <w:r w:rsidRPr="001E3E77">
              <w:rPr>
                <w:rFonts w:ascii="Calibri" w:hAnsi="Calibri"/>
                <w:b/>
                <w:color w:val="auto"/>
                <w:kern w:val="0"/>
                <w:szCs w:val="21"/>
                <w:u w:val="single"/>
              </w:rPr>
              <w:t>燃烧废气</w:t>
            </w:r>
          </w:p>
        </w:tc>
        <w:tc>
          <w:tcPr>
            <w:tcW w:w="437" w:type="pct"/>
            <w:vAlign w:val="center"/>
          </w:tcPr>
          <w:p w14:paraId="4281C84E" w14:textId="77777777" w:rsidR="006A6BCC" w:rsidRPr="001E3E77" w:rsidRDefault="006A6BCC" w:rsidP="00290094">
            <w:pPr>
              <w:widowControl/>
              <w:jc w:val="center"/>
              <w:rPr>
                <w:rFonts w:ascii="Calibri" w:hAnsi="Calibri"/>
                <w:b/>
                <w:color w:val="auto"/>
                <w:kern w:val="0"/>
                <w:szCs w:val="21"/>
                <w:u w:val="single"/>
              </w:rPr>
            </w:pPr>
            <w:r w:rsidRPr="001E3E77">
              <w:rPr>
                <w:rFonts w:ascii="Calibri" w:hAnsi="Calibri"/>
                <w:b/>
                <w:color w:val="auto"/>
                <w:kern w:val="0"/>
                <w:szCs w:val="21"/>
                <w:u w:val="single"/>
              </w:rPr>
              <w:t>G</w:t>
            </w:r>
            <w:r w:rsidR="00290094">
              <w:rPr>
                <w:rFonts w:ascii="Calibri" w:hAnsi="Calibri"/>
                <w:b/>
                <w:color w:val="auto"/>
                <w:kern w:val="0"/>
                <w:szCs w:val="21"/>
                <w:u w:val="single"/>
              </w:rPr>
              <w:t>4</w:t>
            </w:r>
          </w:p>
        </w:tc>
        <w:tc>
          <w:tcPr>
            <w:tcW w:w="1219" w:type="pct"/>
            <w:vAlign w:val="center"/>
          </w:tcPr>
          <w:p w14:paraId="07EE1E66" w14:textId="77777777" w:rsidR="006A6BCC" w:rsidRPr="001E3E77" w:rsidRDefault="006A6BCC" w:rsidP="0064009E">
            <w:pPr>
              <w:widowControl/>
              <w:rPr>
                <w:rFonts w:ascii="Calibri" w:hAnsi="Calibri"/>
                <w:b/>
                <w:color w:val="auto"/>
                <w:kern w:val="0"/>
                <w:szCs w:val="21"/>
                <w:u w:val="single"/>
              </w:rPr>
            </w:pPr>
            <w:r w:rsidRPr="001E3E77">
              <w:rPr>
                <w:rFonts w:ascii="Calibri" w:hAnsi="Calibri" w:hint="eastAsia"/>
                <w:b/>
                <w:color w:val="auto"/>
                <w:kern w:val="0"/>
                <w:szCs w:val="21"/>
                <w:u w:val="single"/>
              </w:rPr>
              <w:t>颗粒物、</w:t>
            </w:r>
            <w:r w:rsidRPr="001E3E77">
              <w:rPr>
                <w:rFonts w:ascii="Calibri" w:hAnsi="Calibri"/>
                <w:b/>
                <w:color w:val="auto"/>
                <w:kern w:val="0"/>
                <w:szCs w:val="21"/>
                <w:u w:val="single"/>
              </w:rPr>
              <w:t>SO</w:t>
            </w:r>
            <w:r w:rsidRPr="001E3E77">
              <w:rPr>
                <w:rFonts w:ascii="Calibri" w:hAnsi="Calibri"/>
                <w:b/>
                <w:color w:val="auto"/>
                <w:kern w:val="0"/>
                <w:szCs w:val="21"/>
                <w:u w:val="single"/>
                <w:vertAlign w:val="subscript"/>
              </w:rPr>
              <w:t>2</w:t>
            </w:r>
            <w:r w:rsidRPr="001E3E77">
              <w:rPr>
                <w:rFonts w:ascii="Calibri" w:hAnsi="Calibri" w:hint="eastAsia"/>
                <w:b/>
                <w:color w:val="auto"/>
                <w:kern w:val="0"/>
                <w:szCs w:val="21"/>
                <w:u w:val="single"/>
              </w:rPr>
              <w:t>、</w:t>
            </w:r>
            <w:r w:rsidRPr="001E3E77">
              <w:rPr>
                <w:rFonts w:ascii="Calibri" w:hAnsi="Calibri"/>
                <w:b/>
                <w:color w:val="auto"/>
                <w:kern w:val="0"/>
                <w:szCs w:val="21"/>
                <w:u w:val="single"/>
              </w:rPr>
              <w:t>NOx</w:t>
            </w:r>
          </w:p>
        </w:tc>
        <w:tc>
          <w:tcPr>
            <w:tcW w:w="1628" w:type="pct"/>
            <w:vAlign w:val="center"/>
          </w:tcPr>
          <w:p w14:paraId="5510DC29"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低氮燃烧器</w:t>
            </w:r>
          </w:p>
        </w:tc>
      </w:tr>
      <w:tr w:rsidR="006A6BCC" w:rsidRPr="001E3E77" w14:paraId="1E8A7E6D" w14:textId="77777777" w:rsidTr="006A6BCC">
        <w:trPr>
          <w:cantSplit/>
          <w:trHeight w:val="340"/>
          <w:jc w:val="center"/>
        </w:trPr>
        <w:tc>
          <w:tcPr>
            <w:tcW w:w="437" w:type="pct"/>
            <w:vMerge/>
            <w:vAlign w:val="center"/>
          </w:tcPr>
          <w:p w14:paraId="256BA8F3"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2E3D4706"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污水</w:t>
            </w:r>
            <w:r w:rsidRPr="001E3E77">
              <w:rPr>
                <w:rFonts w:ascii="Calibri" w:hAnsi="Calibri"/>
                <w:b/>
                <w:color w:val="auto"/>
                <w:kern w:val="0"/>
                <w:szCs w:val="21"/>
                <w:u w:val="single"/>
              </w:rPr>
              <w:t>处理站废气</w:t>
            </w:r>
          </w:p>
        </w:tc>
        <w:tc>
          <w:tcPr>
            <w:tcW w:w="437" w:type="pct"/>
            <w:vAlign w:val="center"/>
          </w:tcPr>
          <w:p w14:paraId="7FDA8C5D" w14:textId="77777777" w:rsidR="006A6BCC" w:rsidRPr="001E3E77" w:rsidRDefault="006A6BCC" w:rsidP="00290094">
            <w:pPr>
              <w:widowControl/>
              <w:jc w:val="center"/>
              <w:rPr>
                <w:rFonts w:ascii="Calibri" w:hAnsi="Calibri"/>
                <w:b/>
                <w:color w:val="auto"/>
                <w:kern w:val="0"/>
                <w:szCs w:val="21"/>
                <w:u w:val="single"/>
              </w:rPr>
            </w:pPr>
            <w:r w:rsidRPr="001E3E77">
              <w:rPr>
                <w:rFonts w:ascii="Calibri" w:hAnsi="Calibri"/>
                <w:b/>
                <w:color w:val="auto"/>
                <w:kern w:val="0"/>
                <w:szCs w:val="21"/>
                <w:u w:val="single"/>
              </w:rPr>
              <w:t>G</w:t>
            </w:r>
            <w:r w:rsidR="00290094">
              <w:rPr>
                <w:rFonts w:ascii="Calibri" w:hAnsi="Calibri"/>
                <w:b/>
                <w:color w:val="auto"/>
                <w:kern w:val="0"/>
                <w:szCs w:val="21"/>
                <w:u w:val="single"/>
              </w:rPr>
              <w:t>5</w:t>
            </w:r>
          </w:p>
        </w:tc>
        <w:tc>
          <w:tcPr>
            <w:tcW w:w="1219" w:type="pct"/>
            <w:vAlign w:val="center"/>
          </w:tcPr>
          <w:p w14:paraId="7E47CE28"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b/>
                <w:color w:val="auto"/>
                <w:kern w:val="0"/>
                <w:szCs w:val="21"/>
                <w:u w:val="single"/>
              </w:rPr>
              <w:t>NH</w:t>
            </w:r>
            <w:r w:rsidRPr="001E3E77">
              <w:rPr>
                <w:rFonts w:ascii="Calibri" w:hAnsi="Calibri"/>
                <w:b/>
                <w:color w:val="auto"/>
                <w:kern w:val="0"/>
                <w:szCs w:val="21"/>
                <w:u w:val="single"/>
                <w:vertAlign w:val="subscript"/>
              </w:rPr>
              <w:t>3</w:t>
            </w:r>
            <w:r w:rsidRPr="001E3E77">
              <w:rPr>
                <w:rFonts w:ascii="Calibri" w:hAnsi="Calibri" w:hint="eastAsia"/>
                <w:b/>
                <w:color w:val="auto"/>
                <w:kern w:val="0"/>
                <w:szCs w:val="21"/>
                <w:u w:val="single"/>
              </w:rPr>
              <w:t>、</w:t>
            </w:r>
            <w:r w:rsidRPr="001E3E77">
              <w:rPr>
                <w:rFonts w:ascii="Calibri" w:hAnsi="Calibri"/>
                <w:b/>
                <w:color w:val="auto"/>
                <w:kern w:val="0"/>
                <w:szCs w:val="21"/>
                <w:u w:val="single"/>
              </w:rPr>
              <w:t>H</w:t>
            </w:r>
            <w:r w:rsidRPr="001E3E77">
              <w:rPr>
                <w:rFonts w:ascii="Calibri" w:hAnsi="Calibri"/>
                <w:b/>
                <w:color w:val="auto"/>
                <w:kern w:val="0"/>
                <w:szCs w:val="21"/>
                <w:u w:val="single"/>
                <w:vertAlign w:val="subscript"/>
              </w:rPr>
              <w:t>2</w:t>
            </w:r>
            <w:r w:rsidRPr="001E3E77">
              <w:rPr>
                <w:rFonts w:ascii="Calibri" w:hAnsi="Calibri"/>
                <w:b/>
                <w:color w:val="auto"/>
                <w:kern w:val="0"/>
                <w:szCs w:val="21"/>
                <w:u w:val="single"/>
              </w:rPr>
              <w:t>S</w:t>
            </w:r>
            <w:r w:rsidRPr="001E3E77">
              <w:rPr>
                <w:rFonts w:ascii="Calibri" w:hAnsi="Calibri" w:hint="eastAsia"/>
                <w:b/>
                <w:color w:val="auto"/>
                <w:kern w:val="0"/>
                <w:szCs w:val="21"/>
                <w:u w:val="single"/>
              </w:rPr>
              <w:t>、有机废气</w:t>
            </w:r>
          </w:p>
        </w:tc>
        <w:tc>
          <w:tcPr>
            <w:tcW w:w="1628" w:type="pct"/>
            <w:vAlign w:val="center"/>
          </w:tcPr>
          <w:p w14:paraId="23BCD6D5"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UV</w:t>
            </w:r>
            <w:r w:rsidRPr="001E3E77">
              <w:rPr>
                <w:rFonts w:ascii="Calibri" w:hAnsi="Calibri" w:hint="eastAsia"/>
                <w:b/>
                <w:color w:val="auto"/>
                <w:kern w:val="0"/>
                <w:szCs w:val="21"/>
                <w:u w:val="single"/>
              </w:rPr>
              <w:t>光氧催化</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活性炭</w:t>
            </w:r>
            <w:r w:rsidRPr="001E3E77">
              <w:rPr>
                <w:rFonts w:ascii="Calibri" w:hAnsi="Calibri"/>
                <w:b/>
                <w:color w:val="auto"/>
                <w:kern w:val="0"/>
                <w:szCs w:val="21"/>
                <w:u w:val="single"/>
              </w:rPr>
              <w:t>吸附装置</w:t>
            </w:r>
          </w:p>
        </w:tc>
      </w:tr>
      <w:tr w:rsidR="006A6BCC" w:rsidRPr="001E3E77" w14:paraId="3A988AF1" w14:textId="77777777" w:rsidTr="006A6BCC">
        <w:trPr>
          <w:cantSplit/>
          <w:trHeight w:val="340"/>
          <w:jc w:val="center"/>
        </w:trPr>
        <w:tc>
          <w:tcPr>
            <w:tcW w:w="437" w:type="pct"/>
            <w:vMerge/>
            <w:vAlign w:val="center"/>
          </w:tcPr>
          <w:p w14:paraId="4220D54B"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00A372D8" w14:textId="77777777" w:rsidR="006A6BCC" w:rsidRPr="001E3E77" w:rsidRDefault="00852DCA" w:rsidP="0064009E">
            <w:pPr>
              <w:widowControl/>
              <w:jc w:val="center"/>
              <w:rPr>
                <w:rFonts w:ascii="Calibri" w:hAnsi="Calibri"/>
                <w:b/>
                <w:color w:val="auto"/>
                <w:kern w:val="0"/>
                <w:szCs w:val="21"/>
                <w:u w:val="single"/>
              </w:rPr>
            </w:pPr>
            <w:r>
              <w:rPr>
                <w:rFonts w:ascii="Calibri" w:hAnsi="Calibri" w:hint="eastAsia"/>
                <w:b/>
                <w:color w:val="auto"/>
                <w:kern w:val="0"/>
                <w:szCs w:val="21"/>
                <w:u w:val="single"/>
              </w:rPr>
              <w:t>品控中心</w:t>
            </w:r>
            <w:r w:rsidR="006A6BCC" w:rsidRPr="001E3E77">
              <w:rPr>
                <w:rFonts w:ascii="Calibri" w:hAnsi="Calibri"/>
                <w:b/>
                <w:color w:val="auto"/>
                <w:kern w:val="0"/>
                <w:szCs w:val="21"/>
                <w:u w:val="single"/>
              </w:rPr>
              <w:t>废气</w:t>
            </w:r>
          </w:p>
        </w:tc>
        <w:tc>
          <w:tcPr>
            <w:tcW w:w="437" w:type="pct"/>
            <w:vAlign w:val="center"/>
          </w:tcPr>
          <w:p w14:paraId="19797EB8" w14:textId="77777777" w:rsidR="006A6BCC" w:rsidRPr="001E3E77" w:rsidRDefault="006A6BCC" w:rsidP="00290094">
            <w:pPr>
              <w:widowControl/>
              <w:jc w:val="center"/>
              <w:rPr>
                <w:rFonts w:ascii="Calibri" w:hAnsi="Calibri"/>
                <w:b/>
                <w:color w:val="auto"/>
                <w:kern w:val="0"/>
                <w:szCs w:val="21"/>
                <w:u w:val="single"/>
              </w:rPr>
            </w:pPr>
            <w:r w:rsidRPr="001E3E77">
              <w:rPr>
                <w:rFonts w:ascii="Calibri" w:hAnsi="Calibri"/>
                <w:b/>
                <w:color w:val="auto"/>
                <w:kern w:val="0"/>
                <w:szCs w:val="21"/>
                <w:u w:val="single"/>
              </w:rPr>
              <w:t>G</w:t>
            </w:r>
            <w:r w:rsidR="00290094">
              <w:rPr>
                <w:rFonts w:ascii="Calibri" w:hAnsi="Calibri"/>
                <w:b/>
                <w:color w:val="auto"/>
                <w:kern w:val="0"/>
                <w:szCs w:val="21"/>
                <w:u w:val="single"/>
              </w:rPr>
              <w:t>6</w:t>
            </w:r>
          </w:p>
        </w:tc>
        <w:tc>
          <w:tcPr>
            <w:tcW w:w="1219" w:type="pct"/>
            <w:vAlign w:val="center"/>
          </w:tcPr>
          <w:p w14:paraId="64FF1FCD"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酸性气体、有机废气</w:t>
            </w:r>
            <w:r w:rsidR="00171BA9">
              <w:rPr>
                <w:rFonts w:ascii="Calibri" w:hAnsi="Calibri" w:hint="eastAsia"/>
                <w:b/>
                <w:color w:val="auto"/>
                <w:kern w:val="0"/>
                <w:szCs w:val="21"/>
                <w:u w:val="single"/>
              </w:rPr>
              <w:t>（乙醇</w:t>
            </w:r>
            <w:r w:rsidR="00171BA9">
              <w:rPr>
                <w:rFonts w:ascii="Calibri" w:hAnsi="Calibri"/>
                <w:b/>
                <w:color w:val="auto"/>
                <w:kern w:val="0"/>
                <w:szCs w:val="21"/>
                <w:u w:val="single"/>
              </w:rPr>
              <w:t>、甲酸</w:t>
            </w:r>
            <w:r w:rsidR="00171BA9">
              <w:rPr>
                <w:rFonts w:ascii="Calibri" w:hAnsi="Calibri" w:hint="eastAsia"/>
                <w:b/>
                <w:color w:val="auto"/>
                <w:kern w:val="0"/>
                <w:szCs w:val="21"/>
                <w:u w:val="single"/>
              </w:rPr>
              <w:t>）</w:t>
            </w:r>
          </w:p>
        </w:tc>
        <w:tc>
          <w:tcPr>
            <w:tcW w:w="1628" w:type="pct"/>
            <w:vAlign w:val="center"/>
          </w:tcPr>
          <w:p w14:paraId="2A73E157"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活性炭</w:t>
            </w:r>
            <w:r w:rsidRPr="001E3E77">
              <w:rPr>
                <w:rFonts w:ascii="Calibri" w:hAnsi="Calibri"/>
                <w:b/>
                <w:color w:val="auto"/>
                <w:kern w:val="0"/>
                <w:szCs w:val="21"/>
                <w:u w:val="single"/>
              </w:rPr>
              <w:t>吸附装置</w:t>
            </w:r>
          </w:p>
        </w:tc>
      </w:tr>
      <w:tr w:rsidR="00321C47" w:rsidRPr="001E3E77" w14:paraId="1E0DE70D" w14:textId="77777777" w:rsidTr="006A6BCC">
        <w:trPr>
          <w:cantSplit/>
          <w:trHeight w:val="574"/>
          <w:jc w:val="center"/>
        </w:trPr>
        <w:tc>
          <w:tcPr>
            <w:tcW w:w="437" w:type="pct"/>
            <w:vMerge w:val="restart"/>
            <w:vAlign w:val="center"/>
          </w:tcPr>
          <w:p w14:paraId="09170C35" w14:textId="77777777" w:rsidR="00321C47" w:rsidRPr="001E3E77" w:rsidRDefault="00321C47"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废水</w:t>
            </w:r>
          </w:p>
        </w:tc>
        <w:tc>
          <w:tcPr>
            <w:tcW w:w="1279" w:type="pct"/>
            <w:vAlign w:val="center"/>
          </w:tcPr>
          <w:p w14:paraId="543BF9C3" w14:textId="77777777" w:rsidR="00321C47" w:rsidRPr="001E3E77" w:rsidRDefault="00321C47"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蒸发</w:t>
            </w:r>
            <w:r w:rsidRPr="001E3E77">
              <w:rPr>
                <w:rFonts w:ascii="Calibri" w:hAnsi="Calibri"/>
                <w:b/>
                <w:color w:val="auto"/>
                <w:kern w:val="0"/>
                <w:szCs w:val="21"/>
                <w:u w:val="single"/>
              </w:rPr>
              <w:t>冷凝水</w:t>
            </w:r>
          </w:p>
        </w:tc>
        <w:tc>
          <w:tcPr>
            <w:tcW w:w="437" w:type="pct"/>
            <w:vAlign w:val="center"/>
          </w:tcPr>
          <w:p w14:paraId="1BE983A3" w14:textId="77777777" w:rsidR="00321C47" w:rsidRPr="001E3E77" w:rsidRDefault="00321C47" w:rsidP="00321C47">
            <w:pPr>
              <w:jc w:val="center"/>
              <w:rPr>
                <w:rFonts w:ascii="Calibri" w:hAnsi="Calibri"/>
                <w:b/>
                <w:color w:val="auto"/>
                <w:kern w:val="0"/>
                <w:szCs w:val="21"/>
                <w:u w:val="single"/>
              </w:rPr>
            </w:pPr>
            <w:r w:rsidRPr="001E3E77">
              <w:rPr>
                <w:rFonts w:ascii="Calibri" w:hAnsi="Calibri" w:hint="eastAsia"/>
                <w:b/>
                <w:color w:val="auto"/>
                <w:kern w:val="0"/>
                <w:szCs w:val="21"/>
                <w:u w:val="single"/>
              </w:rPr>
              <w:t>W</w:t>
            </w:r>
            <w:r w:rsidRPr="001E3E77">
              <w:rPr>
                <w:rFonts w:ascii="Calibri" w:hAnsi="Calibri"/>
                <w:b/>
                <w:color w:val="auto"/>
                <w:kern w:val="0"/>
                <w:szCs w:val="21"/>
                <w:u w:val="single"/>
              </w:rPr>
              <w:t>1</w:t>
            </w:r>
          </w:p>
        </w:tc>
        <w:tc>
          <w:tcPr>
            <w:tcW w:w="1219" w:type="pct"/>
            <w:vAlign w:val="center"/>
          </w:tcPr>
          <w:p w14:paraId="686BB6DD" w14:textId="77777777" w:rsidR="00321C47" w:rsidRPr="001E3E77" w:rsidRDefault="00321C47" w:rsidP="00E71265">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COD</w:t>
            </w:r>
            <w:r w:rsidRPr="001E3E77">
              <w:rPr>
                <w:rFonts w:ascii="Calibri" w:hAnsi="Calibri" w:hint="eastAsia"/>
                <w:b/>
                <w:color w:val="auto"/>
                <w:kern w:val="0"/>
                <w:szCs w:val="21"/>
                <w:u w:val="single"/>
              </w:rPr>
              <w:t>、</w:t>
            </w:r>
            <w:r w:rsidR="00E71265" w:rsidRPr="001E3E77">
              <w:rPr>
                <w:rFonts w:ascii="Calibri" w:hAnsi="Calibri" w:hint="eastAsia"/>
                <w:b/>
                <w:color w:val="auto"/>
                <w:kern w:val="0"/>
                <w:szCs w:val="21"/>
                <w:u w:val="single"/>
              </w:rPr>
              <w:t>BOD</w:t>
            </w:r>
            <w:r w:rsidR="00E71265" w:rsidRPr="001E3E77">
              <w:rPr>
                <w:rFonts w:ascii="Calibri" w:hAnsi="Calibri" w:hint="eastAsia"/>
                <w:b/>
                <w:color w:val="auto"/>
                <w:kern w:val="0"/>
                <w:szCs w:val="21"/>
                <w:u w:val="single"/>
                <w:vertAlign w:val="subscript"/>
              </w:rPr>
              <w:t>5</w:t>
            </w:r>
            <w:r w:rsidR="00E71265"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NH</w:t>
            </w:r>
            <w:r w:rsidRPr="001E3E77">
              <w:rPr>
                <w:rFonts w:ascii="Calibri" w:hAnsi="Calibri" w:hint="eastAsia"/>
                <w:b/>
                <w:color w:val="auto"/>
                <w:kern w:val="0"/>
                <w:szCs w:val="21"/>
                <w:u w:val="single"/>
                <w:vertAlign w:val="subscript"/>
              </w:rPr>
              <w:t>3</w:t>
            </w:r>
            <w:r w:rsidRPr="001E3E77">
              <w:rPr>
                <w:rFonts w:ascii="Calibri" w:hAnsi="Calibri" w:hint="eastAsia"/>
                <w:b/>
                <w:color w:val="auto"/>
                <w:kern w:val="0"/>
                <w:szCs w:val="21"/>
                <w:u w:val="single"/>
              </w:rPr>
              <w:t>-N</w:t>
            </w:r>
          </w:p>
        </w:tc>
        <w:tc>
          <w:tcPr>
            <w:tcW w:w="1628" w:type="pct"/>
            <w:vAlign w:val="center"/>
          </w:tcPr>
          <w:p w14:paraId="07533466" w14:textId="77777777" w:rsidR="00321C47" w:rsidRPr="001E3E77" w:rsidRDefault="00321C47"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进入冷凝</w:t>
            </w:r>
            <w:r w:rsidRPr="001E3E77">
              <w:rPr>
                <w:rFonts w:ascii="Calibri" w:hAnsi="Calibri"/>
                <w:b/>
                <w:color w:val="auto"/>
                <w:kern w:val="0"/>
                <w:szCs w:val="21"/>
                <w:u w:val="single"/>
              </w:rPr>
              <w:t>水罐进行储存，用于配料</w:t>
            </w:r>
            <w:r w:rsidRPr="001E3E77">
              <w:rPr>
                <w:rFonts w:ascii="Calibri" w:hAnsi="Calibri" w:hint="eastAsia"/>
                <w:b/>
                <w:color w:val="auto"/>
                <w:kern w:val="0"/>
                <w:szCs w:val="21"/>
                <w:u w:val="single"/>
              </w:rPr>
              <w:t>，剩余</w:t>
            </w:r>
            <w:r w:rsidRPr="001E3E77">
              <w:rPr>
                <w:rFonts w:ascii="Calibri" w:hAnsi="Calibri"/>
                <w:b/>
                <w:color w:val="auto"/>
                <w:kern w:val="0"/>
                <w:szCs w:val="21"/>
                <w:u w:val="single"/>
              </w:rPr>
              <w:t>排入污水处理站</w:t>
            </w:r>
          </w:p>
        </w:tc>
      </w:tr>
      <w:tr w:rsidR="00B30095" w:rsidRPr="001E3E77" w14:paraId="3C51C2F7" w14:textId="77777777" w:rsidTr="006A6BCC">
        <w:trPr>
          <w:cantSplit/>
          <w:trHeight w:val="340"/>
          <w:jc w:val="center"/>
        </w:trPr>
        <w:tc>
          <w:tcPr>
            <w:tcW w:w="437" w:type="pct"/>
            <w:vMerge/>
            <w:vAlign w:val="center"/>
          </w:tcPr>
          <w:p w14:paraId="1665A7D4" w14:textId="77777777" w:rsidR="00B30095" w:rsidRPr="001E3E77" w:rsidRDefault="00B30095" w:rsidP="0064009E">
            <w:pPr>
              <w:widowControl/>
              <w:jc w:val="center"/>
              <w:rPr>
                <w:rFonts w:ascii="Calibri" w:hAnsi="Calibri"/>
                <w:b/>
                <w:color w:val="auto"/>
                <w:kern w:val="0"/>
                <w:szCs w:val="21"/>
                <w:u w:val="single"/>
              </w:rPr>
            </w:pPr>
          </w:p>
        </w:tc>
        <w:tc>
          <w:tcPr>
            <w:tcW w:w="1279" w:type="pct"/>
            <w:vAlign w:val="center"/>
          </w:tcPr>
          <w:p w14:paraId="54E43C24" w14:textId="77777777" w:rsidR="00B30095" w:rsidRPr="001E3E77" w:rsidRDefault="00B30095" w:rsidP="00383797">
            <w:pPr>
              <w:widowControl/>
              <w:jc w:val="center"/>
              <w:rPr>
                <w:rFonts w:ascii="Calibri" w:hAnsi="Calibri"/>
                <w:b/>
                <w:color w:val="auto"/>
                <w:kern w:val="0"/>
                <w:szCs w:val="21"/>
                <w:u w:val="single"/>
              </w:rPr>
            </w:pPr>
            <w:r w:rsidRPr="001E3E77">
              <w:rPr>
                <w:rFonts w:ascii="Calibri" w:hAnsi="Calibri"/>
                <w:b/>
                <w:color w:val="auto"/>
                <w:kern w:val="0"/>
                <w:szCs w:val="21"/>
                <w:u w:val="single"/>
              </w:rPr>
              <w:t>气体</w:t>
            </w:r>
            <w:r w:rsidR="00383797" w:rsidRPr="001E3E77">
              <w:rPr>
                <w:rFonts w:ascii="Calibri" w:hAnsi="Calibri" w:hint="eastAsia"/>
                <w:b/>
                <w:color w:val="auto"/>
                <w:kern w:val="0"/>
                <w:szCs w:val="21"/>
                <w:u w:val="single"/>
              </w:rPr>
              <w:t>水</w:t>
            </w:r>
            <w:r w:rsidRPr="001E3E77">
              <w:rPr>
                <w:rFonts w:ascii="Calibri" w:hAnsi="Calibri" w:hint="eastAsia"/>
                <w:b/>
                <w:color w:val="auto"/>
                <w:kern w:val="0"/>
                <w:szCs w:val="21"/>
                <w:u w:val="single"/>
              </w:rPr>
              <w:t>喷淋水</w:t>
            </w:r>
          </w:p>
        </w:tc>
        <w:tc>
          <w:tcPr>
            <w:tcW w:w="437" w:type="pct"/>
            <w:vAlign w:val="center"/>
          </w:tcPr>
          <w:p w14:paraId="52E41FE5" w14:textId="77777777" w:rsidR="00B30095" w:rsidRPr="001E3E77" w:rsidRDefault="00B30095" w:rsidP="00321C47">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W</w:t>
            </w:r>
            <w:r w:rsidR="00321C47" w:rsidRPr="001E3E77">
              <w:rPr>
                <w:rFonts w:ascii="Calibri" w:hAnsi="Calibri"/>
                <w:b/>
                <w:color w:val="auto"/>
                <w:kern w:val="0"/>
                <w:szCs w:val="21"/>
                <w:u w:val="single"/>
              </w:rPr>
              <w:t>2</w:t>
            </w:r>
          </w:p>
        </w:tc>
        <w:tc>
          <w:tcPr>
            <w:tcW w:w="1219" w:type="pct"/>
            <w:vAlign w:val="center"/>
          </w:tcPr>
          <w:p w14:paraId="14A886D6" w14:textId="77777777" w:rsidR="00B30095" w:rsidRPr="001E3E77" w:rsidRDefault="00E71265" w:rsidP="00E71265">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COD</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BOD</w:t>
            </w:r>
            <w:r w:rsidRPr="001E3E77">
              <w:rPr>
                <w:rFonts w:ascii="Calibri" w:hAnsi="Calibri" w:hint="eastAsia"/>
                <w:b/>
                <w:color w:val="auto"/>
                <w:kern w:val="0"/>
                <w:szCs w:val="21"/>
                <w:u w:val="single"/>
                <w:vertAlign w:val="subscript"/>
              </w:rPr>
              <w:t>5</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NH</w:t>
            </w:r>
            <w:r w:rsidRPr="001E3E77">
              <w:rPr>
                <w:rFonts w:ascii="Calibri" w:hAnsi="Calibri" w:hint="eastAsia"/>
                <w:b/>
                <w:color w:val="auto"/>
                <w:kern w:val="0"/>
                <w:szCs w:val="21"/>
                <w:u w:val="single"/>
                <w:vertAlign w:val="subscript"/>
              </w:rPr>
              <w:t>3</w:t>
            </w:r>
            <w:r w:rsidRPr="001E3E77">
              <w:rPr>
                <w:rFonts w:ascii="Calibri" w:hAnsi="Calibri" w:hint="eastAsia"/>
                <w:b/>
                <w:color w:val="auto"/>
                <w:kern w:val="0"/>
                <w:szCs w:val="21"/>
                <w:u w:val="single"/>
              </w:rPr>
              <w:t>-N</w:t>
            </w:r>
          </w:p>
        </w:tc>
        <w:tc>
          <w:tcPr>
            <w:tcW w:w="1628" w:type="pct"/>
            <w:vAlign w:val="center"/>
          </w:tcPr>
          <w:p w14:paraId="20496FC6"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排放至污水</w:t>
            </w:r>
            <w:r w:rsidRPr="001E3E77">
              <w:rPr>
                <w:rFonts w:ascii="Calibri" w:hAnsi="Calibri"/>
                <w:b/>
                <w:color w:val="auto"/>
                <w:kern w:val="0"/>
                <w:szCs w:val="21"/>
                <w:u w:val="single"/>
              </w:rPr>
              <w:t>处理站</w:t>
            </w:r>
          </w:p>
        </w:tc>
      </w:tr>
      <w:tr w:rsidR="00B30095" w:rsidRPr="001E3E77" w14:paraId="41B3D689" w14:textId="77777777" w:rsidTr="006A6BCC">
        <w:trPr>
          <w:cantSplit/>
          <w:trHeight w:val="340"/>
          <w:jc w:val="center"/>
        </w:trPr>
        <w:tc>
          <w:tcPr>
            <w:tcW w:w="437" w:type="pct"/>
            <w:vMerge/>
            <w:vAlign w:val="center"/>
          </w:tcPr>
          <w:p w14:paraId="27B154E0" w14:textId="77777777" w:rsidR="00B30095" w:rsidRPr="001E3E77" w:rsidRDefault="00B30095" w:rsidP="0064009E">
            <w:pPr>
              <w:widowControl/>
              <w:jc w:val="center"/>
              <w:rPr>
                <w:rFonts w:ascii="Calibri" w:hAnsi="Calibri"/>
                <w:b/>
                <w:color w:val="auto"/>
                <w:kern w:val="0"/>
                <w:szCs w:val="21"/>
                <w:u w:val="single"/>
              </w:rPr>
            </w:pPr>
          </w:p>
        </w:tc>
        <w:tc>
          <w:tcPr>
            <w:tcW w:w="1279" w:type="pct"/>
            <w:vAlign w:val="center"/>
          </w:tcPr>
          <w:p w14:paraId="5911D25E"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制粒工序循环</w:t>
            </w:r>
            <w:r w:rsidRPr="001E3E77">
              <w:rPr>
                <w:rFonts w:ascii="Calibri" w:hAnsi="Calibri"/>
                <w:b/>
                <w:color w:val="auto"/>
                <w:kern w:val="0"/>
                <w:szCs w:val="21"/>
                <w:u w:val="single"/>
              </w:rPr>
              <w:t>排污水</w:t>
            </w:r>
          </w:p>
        </w:tc>
        <w:tc>
          <w:tcPr>
            <w:tcW w:w="437" w:type="pct"/>
            <w:vAlign w:val="center"/>
          </w:tcPr>
          <w:p w14:paraId="1BC03472" w14:textId="77777777" w:rsidR="00B30095" w:rsidRPr="001E3E77" w:rsidRDefault="00B30095" w:rsidP="00321C47">
            <w:pPr>
              <w:widowControl/>
              <w:jc w:val="center"/>
              <w:rPr>
                <w:rFonts w:ascii="Calibri" w:hAnsi="Calibri"/>
                <w:b/>
                <w:color w:val="auto"/>
                <w:kern w:val="0"/>
                <w:szCs w:val="21"/>
                <w:u w:val="single"/>
              </w:rPr>
            </w:pPr>
            <w:r w:rsidRPr="001E3E77">
              <w:rPr>
                <w:rFonts w:ascii="Calibri" w:hAnsi="Calibri"/>
                <w:b/>
                <w:color w:val="auto"/>
                <w:kern w:val="0"/>
                <w:szCs w:val="21"/>
                <w:u w:val="single"/>
              </w:rPr>
              <w:t>W</w:t>
            </w:r>
            <w:r w:rsidR="00321C47" w:rsidRPr="001E3E77">
              <w:rPr>
                <w:rFonts w:ascii="Calibri" w:hAnsi="Calibri"/>
                <w:b/>
                <w:color w:val="auto"/>
                <w:kern w:val="0"/>
                <w:szCs w:val="21"/>
                <w:u w:val="single"/>
              </w:rPr>
              <w:t>3</w:t>
            </w:r>
          </w:p>
        </w:tc>
        <w:tc>
          <w:tcPr>
            <w:tcW w:w="1219" w:type="pct"/>
            <w:vAlign w:val="center"/>
          </w:tcPr>
          <w:p w14:paraId="37A8BA27" w14:textId="77777777" w:rsidR="00B30095" w:rsidRPr="001E3E77" w:rsidRDefault="00E71265" w:rsidP="00E71265">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COD</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BOD</w:t>
            </w:r>
            <w:r w:rsidRPr="001E3E77">
              <w:rPr>
                <w:rFonts w:ascii="Calibri" w:hAnsi="Calibri" w:hint="eastAsia"/>
                <w:b/>
                <w:color w:val="auto"/>
                <w:kern w:val="0"/>
                <w:szCs w:val="21"/>
                <w:u w:val="single"/>
                <w:vertAlign w:val="subscript"/>
              </w:rPr>
              <w:t>5</w:t>
            </w:r>
            <w:r w:rsidRPr="001E3E77">
              <w:rPr>
                <w:rFonts w:ascii="Calibri" w:hAnsi="Calibri" w:hint="eastAsia"/>
                <w:b/>
                <w:color w:val="auto"/>
                <w:kern w:val="0"/>
                <w:szCs w:val="21"/>
                <w:u w:val="single"/>
              </w:rPr>
              <w:t>、</w:t>
            </w:r>
            <w:r w:rsidR="00B30095" w:rsidRPr="001E3E77">
              <w:rPr>
                <w:rFonts w:ascii="Calibri" w:hAnsi="Calibri" w:hint="eastAsia"/>
                <w:b/>
                <w:color w:val="auto"/>
                <w:kern w:val="0"/>
                <w:szCs w:val="21"/>
                <w:u w:val="single"/>
              </w:rPr>
              <w:t>SS</w:t>
            </w:r>
          </w:p>
        </w:tc>
        <w:tc>
          <w:tcPr>
            <w:tcW w:w="1628" w:type="pct"/>
            <w:vAlign w:val="center"/>
          </w:tcPr>
          <w:p w14:paraId="5EFA419C" w14:textId="77777777" w:rsidR="00B30095" w:rsidRPr="001E3E77" w:rsidRDefault="00B30095" w:rsidP="009D6DC6">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循环使用，定期排放至污水</w:t>
            </w:r>
            <w:r w:rsidRPr="001E3E77">
              <w:rPr>
                <w:rFonts w:ascii="Calibri" w:hAnsi="Calibri"/>
                <w:b/>
                <w:color w:val="auto"/>
                <w:kern w:val="0"/>
                <w:szCs w:val="21"/>
                <w:u w:val="single"/>
              </w:rPr>
              <w:t>处理站</w:t>
            </w:r>
          </w:p>
        </w:tc>
      </w:tr>
      <w:tr w:rsidR="00B30095" w:rsidRPr="001E3E77" w14:paraId="3EC52BEC" w14:textId="77777777" w:rsidTr="006A6BCC">
        <w:trPr>
          <w:cantSplit/>
          <w:trHeight w:val="340"/>
          <w:jc w:val="center"/>
        </w:trPr>
        <w:tc>
          <w:tcPr>
            <w:tcW w:w="437" w:type="pct"/>
            <w:vMerge/>
            <w:vAlign w:val="center"/>
          </w:tcPr>
          <w:p w14:paraId="2B3A2FF2" w14:textId="77777777" w:rsidR="00B30095" w:rsidRPr="001E3E77" w:rsidRDefault="00B30095" w:rsidP="0064009E">
            <w:pPr>
              <w:widowControl/>
              <w:jc w:val="center"/>
              <w:rPr>
                <w:rFonts w:ascii="Calibri" w:hAnsi="Calibri"/>
                <w:b/>
                <w:color w:val="auto"/>
                <w:kern w:val="0"/>
                <w:szCs w:val="21"/>
                <w:u w:val="single"/>
              </w:rPr>
            </w:pPr>
          </w:p>
        </w:tc>
        <w:tc>
          <w:tcPr>
            <w:tcW w:w="1279" w:type="pct"/>
            <w:vAlign w:val="center"/>
          </w:tcPr>
          <w:p w14:paraId="724E1926"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真空泵</w:t>
            </w:r>
            <w:r w:rsidRPr="001E3E77">
              <w:rPr>
                <w:rFonts w:ascii="Calibri" w:hAnsi="Calibri"/>
                <w:b/>
                <w:color w:val="auto"/>
                <w:kern w:val="0"/>
                <w:szCs w:val="21"/>
                <w:u w:val="single"/>
              </w:rPr>
              <w:t>排污水</w:t>
            </w:r>
          </w:p>
        </w:tc>
        <w:tc>
          <w:tcPr>
            <w:tcW w:w="437" w:type="pct"/>
            <w:vAlign w:val="center"/>
          </w:tcPr>
          <w:p w14:paraId="3927B686" w14:textId="77777777" w:rsidR="00B30095" w:rsidRPr="001E3E77" w:rsidRDefault="00B30095" w:rsidP="00321C47">
            <w:pPr>
              <w:widowControl/>
              <w:jc w:val="center"/>
              <w:rPr>
                <w:rFonts w:ascii="Calibri" w:hAnsi="Calibri"/>
                <w:b/>
                <w:color w:val="auto"/>
                <w:kern w:val="0"/>
                <w:szCs w:val="21"/>
                <w:u w:val="single"/>
              </w:rPr>
            </w:pPr>
            <w:r w:rsidRPr="001E3E77">
              <w:rPr>
                <w:rFonts w:ascii="Calibri" w:hAnsi="Calibri"/>
                <w:b/>
                <w:color w:val="auto"/>
                <w:kern w:val="0"/>
                <w:szCs w:val="21"/>
                <w:u w:val="single"/>
              </w:rPr>
              <w:t>W</w:t>
            </w:r>
            <w:r w:rsidR="00321C47" w:rsidRPr="001E3E77">
              <w:rPr>
                <w:rFonts w:ascii="Calibri" w:hAnsi="Calibri"/>
                <w:b/>
                <w:color w:val="auto"/>
                <w:kern w:val="0"/>
                <w:szCs w:val="21"/>
                <w:u w:val="single"/>
              </w:rPr>
              <w:t>4</w:t>
            </w:r>
          </w:p>
        </w:tc>
        <w:tc>
          <w:tcPr>
            <w:tcW w:w="1219" w:type="pct"/>
            <w:vAlign w:val="center"/>
          </w:tcPr>
          <w:p w14:paraId="439205ED" w14:textId="77777777" w:rsidR="00B30095" w:rsidRPr="001E3E77" w:rsidRDefault="00E71265" w:rsidP="009D6DC6">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COD</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BOD</w:t>
            </w:r>
            <w:r w:rsidRPr="001E3E77">
              <w:rPr>
                <w:rFonts w:ascii="Calibri" w:hAnsi="Calibri" w:hint="eastAsia"/>
                <w:b/>
                <w:color w:val="auto"/>
                <w:kern w:val="0"/>
                <w:szCs w:val="21"/>
                <w:u w:val="single"/>
                <w:vertAlign w:val="subscript"/>
              </w:rPr>
              <w:t>5</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NH</w:t>
            </w:r>
            <w:r w:rsidRPr="001E3E77">
              <w:rPr>
                <w:rFonts w:ascii="Calibri" w:hAnsi="Calibri" w:hint="eastAsia"/>
                <w:b/>
                <w:color w:val="auto"/>
                <w:kern w:val="0"/>
                <w:szCs w:val="21"/>
                <w:u w:val="single"/>
                <w:vertAlign w:val="subscript"/>
              </w:rPr>
              <w:t>3</w:t>
            </w:r>
            <w:r w:rsidRPr="001E3E77">
              <w:rPr>
                <w:rFonts w:ascii="Calibri" w:hAnsi="Calibri" w:hint="eastAsia"/>
                <w:b/>
                <w:color w:val="auto"/>
                <w:kern w:val="0"/>
                <w:szCs w:val="21"/>
                <w:u w:val="single"/>
              </w:rPr>
              <w:t>-N</w:t>
            </w:r>
          </w:p>
        </w:tc>
        <w:tc>
          <w:tcPr>
            <w:tcW w:w="1628" w:type="pct"/>
            <w:vAlign w:val="center"/>
          </w:tcPr>
          <w:p w14:paraId="53FA275E"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排放至污水处理站</w:t>
            </w:r>
          </w:p>
        </w:tc>
      </w:tr>
      <w:tr w:rsidR="00B30095" w:rsidRPr="001E3E77" w14:paraId="3CC2DDDC" w14:textId="77777777" w:rsidTr="006A6BCC">
        <w:trPr>
          <w:cantSplit/>
          <w:trHeight w:val="340"/>
          <w:jc w:val="center"/>
        </w:trPr>
        <w:tc>
          <w:tcPr>
            <w:tcW w:w="437" w:type="pct"/>
            <w:vMerge/>
            <w:vAlign w:val="center"/>
          </w:tcPr>
          <w:p w14:paraId="2D32D05B" w14:textId="77777777" w:rsidR="00B30095" w:rsidRPr="001E3E77" w:rsidRDefault="00B30095" w:rsidP="0064009E">
            <w:pPr>
              <w:widowControl/>
              <w:jc w:val="center"/>
              <w:rPr>
                <w:rFonts w:ascii="Calibri" w:hAnsi="Calibri"/>
                <w:b/>
                <w:color w:val="auto"/>
                <w:kern w:val="0"/>
                <w:szCs w:val="21"/>
                <w:u w:val="single"/>
              </w:rPr>
            </w:pPr>
          </w:p>
        </w:tc>
        <w:tc>
          <w:tcPr>
            <w:tcW w:w="1279" w:type="pct"/>
            <w:vAlign w:val="center"/>
          </w:tcPr>
          <w:p w14:paraId="117001D0" w14:textId="77777777" w:rsidR="00B30095" w:rsidRPr="001E3E77" w:rsidRDefault="009305B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纯水</w:t>
            </w:r>
            <w:r w:rsidR="00B30095" w:rsidRPr="001E3E77">
              <w:rPr>
                <w:rFonts w:ascii="Calibri" w:hAnsi="Calibri" w:hint="eastAsia"/>
                <w:b/>
                <w:color w:val="auto"/>
                <w:kern w:val="0"/>
                <w:szCs w:val="21"/>
                <w:u w:val="single"/>
              </w:rPr>
              <w:t>制备废水</w:t>
            </w:r>
          </w:p>
        </w:tc>
        <w:tc>
          <w:tcPr>
            <w:tcW w:w="437" w:type="pct"/>
            <w:vAlign w:val="center"/>
          </w:tcPr>
          <w:p w14:paraId="1102385F" w14:textId="77777777" w:rsidR="00B30095" w:rsidRPr="001E3E77" w:rsidRDefault="00B30095" w:rsidP="00321C47">
            <w:pPr>
              <w:widowControl/>
              <w:jc w:val="center"/>
              <w:rPr>
                <w:rFonts w:ascii="Calibri" w:hAnsi="Calibri"/>
                <w:b/>
                <w:color w:val="auto"/>
                <w:kern w:val="0"/>
                <w:szCs w:val="21"/>
                <w:u w:val="single"/>
              </w:rPr>
            </w:pPr>
            <w:r w:rsidRPr="001E3E77">
              <w:rPr>
                <w:rFonts w:ascii="Calibri" w:hAnsi="Calibri"/>
                <w:b/>
                <w:color w:val="auto"/>
                <w:kern w:val="0"/>
                <w:szCs w:val="21"/>
                <w:u w:val="single"/>
              </w:rPr>
              <w:t>W</w:t>
            </w:r>
            <w:r w:rsidR="00321C47" w:rsidRPr="001E3E77">
              <w:rPr>
                <w:rFonts w:ascii="Calibri" w:hAnsi="Calibri"/>
                <w:b/>
                <w:color w:val="auto"/>
                <w:kern w:val="0"/>
                <w:szCs w:val="21"/>
                <w:u w:val="single"/>
              </w:rPr>
              <w:t>5</w:t>
            </w:r>
          </w:p>
        </w:tc>
        <w:tc>
          <w:tcPr>
            <w:tcW w:w="1219" w:type="pct"/>
            <w:vAlign w:val="center"/>
          </w:tcPr>
          <w:p w14:paraId="1D3943A5"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COD</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NH</w:t>
            </w:r>
            <w:r w:rsidRPr="001E3E77">
              <w:rPr>
                <w:rFonts w:ascii="Calibri" w:hAnsi="Calibri" w:hint="eastAsia"/>
                <w:b/>
                <w:color w:val="auto"/>
                <w:kern w:val="0"/>
                <w:szCs w:val="21"/>
                <w:u w:val="single"/>
                <w:vertAlign w:val="subscript"/>
              </w:rPr>
              <w:t>3</w:t>
            </w:r>
            <w:r w:rsidRPr="001E3E77">
              <w:rPr>
                <w:rFonts w:ascii="Calibri" w:hAnsi="Calibri" w:hint="eastAsia"/>
                <w:b/>
                <w:color w:val="auto"/>
                <w:kern w:val="0"/>
                <w:szCs w:val="21"/>
                <w:u w:val="single"/>
              </w:rPr>
              <w:t>-N</w:t>
            </w:r>
          </w:p>
        </w:tc>
        <w:tc>
          <w:tcPr>
            <w:tcW w:w="1628" w:type="pct"/>
            <w:vAlign w:val="center"/>
          </w:tcPr>
          <w:p w14:paraId="38E4CE15"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厂区总排口排放</w:t>
            </w:r>
          </w:p>
        </w:tc>
      </w:tr>
      <w:tr w:rsidR="00ED657C" w:rsidRPr="001E3E77" w14:paraId="48B77243" w14:textId="77777777" w:rsidTr="006A6BCC">
        <w:trPr>
          <w:cantSplit/>
          <w:trHeight w:val="340"/>
          <w:jc w:val="center"/>
        </w:trPr>
        <w:tc>
          <w:tcPr>
            <w:tcW w:w="437" w:type="pct"/>
            <w:vMerge/>
            <w:vAlign w:val="center"/>
          </w:tcPr>
          <w:p w14:paraId="1AC61FC9" w14:textId="77777777" w:rsidR="00ED657C" w:rsidRPr="001E3E77" w:rsidRDefault="00ED657C" w:rsidP="0064009E">
            <w:pPr>
              <w:widowControl/>
              <w:jc w:val="center"/>
              <w:rPr>
                <w:rFonts w:ascii="Calibri" w:hAnsi="Calibri"/>
                <w:b/>
                <w:color w:val="auto"/>
                <w:kern w:val="0"/>
                <w:szCs w:val="21"/>
                <w:u w:val="single"/>
              </w:rPr>
            </w:pPr>
          </w:p>
        </w:tc>
        <w:tc>
          <w:tcPr>
            <w:tcW w:w="1279" w:type="pct"/>
            <w:vAlign w:val="center"/>
          </w:tcPr>
          <w:p w14:paraId="3DBE13D9" w14:textId="77777777" w:rsidR="00ED657C" w:rsidRPr="001E3E77" w:rsidRDefault="00852DCA" w:rsidP="0064009E">
            <w:pPr>
              <w:widowControl/>
              <w:jc w:val="center"/>
              <w:rPr>
                <w:rFonts w:ascii="Calibri" w:hAnsi="Calibri"/>
                <w:b/>
                <w:color w:val="auto"/>
                <w:kern w:val="0"/>
                <w:szCs w:val="21"/>
                <w:u w:val="single"/>
              </w:rPr>
            </w:pPr>
            <w:r>
              <w:rPr>
                <w:rFonts w:ascii="Calibri" w:hAnsi="Calibri" w:hint="eastAsia"/>
                <w:b/>
                <w:color w:val="auto"/>
                <w:kern w:val="0"/>
                <w:szCs w:val="21"/>
                <w:u w:val="single"/>
              </w:rPr>
              <w:t>品控中心</w:t>
            </w:r>
            <w:r w:rsidR="00ED657C" w:rsidRPr="001E3E77">
              <w:rPr>
                <w:rFonts w:ascii="Calibri" w:hAnsi="Calibri"/>
                <w:b/>
                <w:color w:val="auto"/>
                <w:kern w:val="0"/>
                <w:szCs w:val="21"/>
                <w:u w:val="single"/>
              </w:rPr>
              <w:t>废水</w:t>
            </w:r>
          </w:p>
        </w:tc>
        <w:tc>
          <w:tcPr>
            <w:tcW w:w="437" w:type="pct"/>
            <w:vAlign w:val="center"/>
          </w:tcPr>
          <w:p w14:paraId="400C3DA7" w14:textId="77777777" w:rsidR="00ED657C" w:rsidRPr="001E3E77" w:rsidRDefault="00ED657C" w:rsidP="00ED657C">
            <w:pPr>
              <w:widowControl/>
              <w:jc w:val="center"/>
              <w:rPr>
                <w:rFonts w:ascii="Calibri" w:hAnsi="Calibri"/>
                <w:b/>
                <w:color w:val="auto"/>
                <w:kern w:val="0"/>
                <w:szCs w:val="21"/>
                <w:u w:val="single"/>
              </w:rPr>
            </w:pPr>
            <w:r w:rsidRPr="001E3E77">
              <w:rPr>
                <w:rFonts w:ascii="Calibri" w:hAnsi="Calibri"/>
                <w:b/>
                <w:color w:val="auto"/>
                <w:kern w:val="0"/>
                <w:szCs w:val="21"/>
                <w:u w:val="single"/>
              </w:rPr>
              <w:t>W6</w:t>
            </w:r>
          </w:p>
        </w:tc>
        <w:tc>
          <w:tcPr>
            <w:tcW w:w="1219" w:type="pct"/>
            <w:vAlign w:val="center"/>
          </w:tcPr>
          <w:p w14:paraId="30A616FF" w14:textId="77777777" w:rsidR="00ED657C" w:rsidRPr="001E3E77" w:rsidRDefault="00ED657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COD</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BOD</w:t>
            </w:r>
            <w:r w:rsidRPr="001E3E77">
              <w:rPr>
                <w:rFonts w:ascii="Calibri" w:hAnsi="Calibri" w:hint="eastAsia"/>
                <w:b/>
                <w:color w:val="auto"/>
                <w:kern w:val="0"/>
                <w:szCs w:val="21"/>
                <w:u w:val="single"/>
                <w:vertAlign w:val="subscript"/>
              </w:rPr>
              <w:t>5</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NH</w:t>
            </w:r>
            <w:r w:rsidRPr="001E3E77">
              <w:rPr>
                <w:rFonts w:ascii="Calibri" w:hAnsi="Calibri" w:hint="eastAsia"/>
                <w:b/>
                <w:color w:val="auto"/>
                <w:kern w:val="0"/>
                <w:szCs w:val="21"/>
                <w:u w:val="single"/>
                <w:vertAlign w:val="subscript"/>
              </w:rPr>
              <w:t>3</w:t>
            </w:r>
            <w:r w:rsidRPr="001E3E77">
              <w:rPr>
                <w:rFonts w:ascii="Calibri" w:hAnsi="Calibri" w:hint="eastAsia"/>
                <w:b/>
                <w:color w:val="auto"/>
                <w:kern w:val="0"/>
                <w:szCs w:val="21"/>
                <w:u w:val="single"/>
              </w:rPr>
              <w:t>-N</w:t>
            </w:r>
          </w:p>
        </w:tc>
        <w:tc>
          <w:tcPr>
            <w:tcW w:w="1628" w:type="pct"/>
            <w:vAlign w:val="center"/>
          </w:tcPr>
          <w:p w14:paraId="6ECCFA9E" w14:textId="77777777" w:rsidR="00ED657C" w:rsidRPr="001E3E77" w:rsidRDefault="00ED657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排放至污水处理站</w:t>
            </w:r>
          </w:p>
        </w:tc>
      </w:tr>
      <w:tr w:rsidR="00B30095" w:rsidRPr="001E3E77" w14:paraId="75276077" w14:textId="77777777" w:rsidTr="006A6BCC">
        <w:trPr>
          <w:cantSplit/>
          <w:trHeight w:val="340"/>
          <w:jc w:val="center"/>
        </w:trPr>
        <w:tc>
          <w:tcPr>
            <w:tcW w:w="437" w:type="pct"/>
            <w:vMerge/>
            <w:vAlign w:val="center"/>
          </w:tcPr>
          <w:p w14:paraId="40A75FB6" w14:textId="77777777" w:rsidR="00B30095" w:rsidRPr="001E3E77" w:rsidRDefault="00B30095" w:rsidP="0064009E">
            <w:pPr>
              <w:widowControl/>
              <w:jc w:val="center"/>
              <w:rPr>
                <w:rFonts w:ascii="Calibri" w:hAnsi="Calibri"/>
                <w:b/>
                <w:color w:val="auto"/>
                <w:kern w:val="0"/>
                <w:szCs w:val="21"/>
                <w:u w:val="single"/>
              </w:rPr>
            </w:pPr>
          </w:p>
        </w:tc>
        <w:tc>
          <w:tcPr>
            <w:tcW w:w="1716" w:type="pct"/>
            <w:gridSpan w:val="2"/>
            <w:vAlign w:val="center"/>
          </w:tcPr>
          <w:p w14:paraId="700FAE1E" w14:textId="77777777" w:rsidR="00B30095" w:rsidRPr="001E3E77" w:rsidRDefault="00B30095" w:rsidP="00ED657C">
            <w:pPr>
              <w:widowControl/>
              <w:ind w:firstLineChars="200" w:firstLine="422"/>
              <w:rPr>
                <w:rFonts w:ascii="Calibri" w:hAnsi="Calibri"/>
                <w:b/>
                <w:color w:val="auto"/>
                <w:kern w:val="0"/>
                <w:szCs w:val="21"/>
                <w:u w:val="single"/>
              </w:rPr>
            </w:pPr>
            <w:r w:rsidRPr="001E3E77">
              <w:rPr>
                <w:rFonts w:ascii="Calibri" w:hAnsi="Calibri" w:hint="eastAsia"/>
                <w:b/>
                <w:color w:val="auto"/>
                <w:kern w:val="0"/>
                <w:szCs w:val="21"/>
                <w:u w:val="single"/>
              </w:rPr>
              <w:t>职工生活污水</w:t>
            </w:r>
          </w:p>
        </w:tc>
        <w:tc>
          <w:tcPr>
            <w:tcW w:w="1219" w:type="pct"/>
            <w:vAlign w:val="center"/>
          </w:tcPr>
          <w:p w14:paraId="2497AF68"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COD</w:t>
            </w:r>
            <w:r w:rsidRPr="001E3E77">
              <w:rPr>
                <w:rFonts w:ascii="Calibri" w:hAnsi="Calibri" w:hint="eastAsia"/>
                <w:b/>
                <w:color w:val="auto"/>
                <w:kern w:val="0"/>
                <w:szCs w:val="21"/>
                <w:u w:val="single"/>
              </w:rPr>
              <w:t>、</w:t>
            </w:r>
            <w:r w:rsidRPr="001E3E77">
              <w:rPr>
                <w:rFonts w:ascii="Calibri" w:hAnsi="Calibri" w:hint="eastAsia"/>
                <w:b/>
                <w:color w:val="auto"/>
                <w:kern w:val="0"/>
                <w:szCs w:val="21"/>
                <w:u w:val="single"/>
              </w:rPr>
              <w:t>NH</w:t>
            </w:r>
            <w:r w:rsidRPr="001E3E77">
              <w:rPr>
                <w:rFonts w:ascii="Calibri" w:hAnsi="Calibri" w:hint="eastAsia"/>
                <w:b/>
                <w:color w:val="auto"/>
                <w:kern w:val="0"/>
                <w:szCs w:val="21"/>
                <w:u w:val="single"/>
                <w:vertAlign w:val="subscript"/>
              </w:rPr>
              <w:t>3</w:t>
            </w:r>
            <w:r w:rsidRPr="001E3E77">
              <w:rPr>
                <w:rFonts w:ascii="Calibri" w:hAnsi="Calibri" w:hint="eastAsia"/>
                <w:b/>
                <w:color w:val="auto"/>
                <w:kern w:val="0"/>
                <w:szCs w:val="21"/>
                <w:u w:val="single"/>
              </w:rPr>
              <w:t>-N</w:t>
            </w:r>
          </w:p>
        </w:tc>
        <w:tc>
          <w:tcPr>
            <w:tcW w:w="1628" w:type="pct"/>
            <w:vAlign w:val="center"/>
          </w:tcPr>
          <w:p w14:paraId="6A310205" w14:textId="77777777" w:rsidR="00B30095" w:rsidRPr="001E3E77" w:rsidRDefault="00B30095"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进入厂区污水处理站处理</w:t>
            </w:r>
          </w:p>
        </w:tc>
      </w:tr>
      <w:tr w:rsidR="006A6BCC" w:rsidRPr="001E3E77" w14:paraId="62D8E1F1" w14:textId="77777777" w:rsidTr="006A6BCC">
        <w:trPr>
          <w:cantSplit/>
          <w:trHeight w:val="285"/>
          <w:jc w:val="center"/>
        </w:trPr>
        <w:tc>
          <w:tcPr>
            <w:tcW w:w="437" w:type="pct"/>
            <w:vMerge w:val="restart"/>
            <w:vAlign w:val="center"/>
          </w:tcPr>
          <w:p w14:paraId="02ACAF98" w14:textId="77777777" w:rsidR="006A6BCC" w:rsidRPr="001E3E77" w:rsidRDefault="006A6BCC" w:rsidP="0064009E">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固废</w:t>
            </w:r>
          </w:p>
        </w:tc>
        <w:tc>
          <w:tcPr>
            <w:tcW w:w="1279" w:type="pct"/>
            <w:vAlign w:val="center"/>
          </w:tcPr>
          <w:p w14:paraId="35D8FF29" w14:textId="77777777" w:rsidR="006A6BCC" w:rsidRPr="001E3E77" w:rsidRDefault="006A6BCC" w:rsidP="001E75BF">
            <w:pPr>
              <w:jc w:val="center"/>
              <w:rPr>
                <w:rFonts w:ascii="Calibri" w:hAnsi="Calibri"/>
                <w:b/>
                <w:color w:val="auto"/>
                <w:kern w:val="0"/>
                <w:szCs w:val="21"/>
                <w:u w:val="single"/>
              </w:rPr>
            </w:pPr>
            <w:r w:rsidRPr="001E3E77">
              <w:rPr>
                <w:rFonts w:ascii="Calibri" w:hAnsi="Calibri" w:hint="eastAsia"/>
                <w:b/>
                <w:color w:val="auto"/>
                <w:kern w:val="0"/>
                <w:szCs w:val="21"/>
                <w:u w:val="single"/>
              </w:rPr>
              <w:t>制粒</w:t>
            </w:r>
          </w:p>
        </w:tc>
        <w:tc>
          <w:tcPr>
            <w:tcW w:w="437" w:type="pct"/>
            <w:vAlign w:val="center"/>
          </w:tcPr>
          <w:p w14:paraId="60C1906D" w14:textId="77777777" w:rsidR="006A6BCC" w:rsidRPr="001E3E77" w:rsidRDefault="006A6BCC" w:rsidP="00321C47">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1</w:t>
            </w:r>
          </w:p>
        </w:tc>
        <w:tc>
          <w:tcPr>
            <w:tcW w:w="1219" w:type="pct"/>
            <w:vAlign w:val="center"/>
          </w:tcPr>
          <w:p w14:paraId="7CCE8FD8"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szCs w:val="21"/>
                <w:u w:val="single"/>
              </w:rPr>
              <w:t>瑕疵品</w:t>
            </w:r>
          </w:p>
        </w:tc>
        <w:tc>
          <w:tcPr>
            <w:tcW w:w="1628" w:type="pct"/>
            <w:vAlign w:val="center"/>
          </w:tcPr>
          <w:p w14:paraId="1B71410A"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收集后</w:t>
            </w:r>
            <w:r w:rsidR="001D6858" w:rsidRPr="001E3E77">
              <w:rPr>
                <w:rFonts w:ascii="Calibri" w:hAnsi="Calibri" w:hint="eastAsia"/>
                <w:b/>
                <w:color w:val="auto"/>
                <w:kern w:val="0"/>
                <w:szCs w:val="21"/>
                <w:u w:val="single"/>
              </w:rPr>
              <w:t>作为</w:t>
            </w:r>
            <w:r w:rsidR="001D6858" w:rsidRPr="001E3E77">
              <w:rPr>
                <w:rFonts w:ascii="Calibri" w:hAnsi="Calibri"/>
                <w:b/>
                <w:color w:val="auto"/>
                <w:kern w:val="0"/>
                <w:szCs w:val="21"/>
                <w:u w:val="single"/>
              </w:rPr>
              <w:t>低级产品</w:t>
            </w:r>
            <w:r w:rsidRPr="001E3E77">
              <w:rPr>
                <w:rFonts w:ascii="Calibri" w:hAnsi="Calibri"/>
                <w:b/>
                <w:color w:val="auto"/>
                <w:kern w:val="0"/>
                <w:szCs w:val="21"/>
                <w:u w:val="single"/>
              </w:rPr>
              <w:t>外售</w:t>
            </w:r>
          </w:p>
        </w:tc>
      </w:tr>
      <w:tr w:rsidR="006A6BCC" w:rsidRPr="001E3E77" w14:paraId="57ECBFBD" w14:textId="77777777" w:rsidTr="006A6BCC">
        <w:trPr>
          <w:cantSplit/>
          <w:trHeight w:val="340"/>
          <w:jc w:val="center"/>
        </w:trPr>
        <w:tc>
          <w:tcPr>
            <w:tcW w:w="437" w:type="pct"/>
            <w:vMerge/>
            <w:vAlign w:val="center"/>
          </w:tcPr>
          <w:p w14:paraId="3560B511"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5A0F10D6" w14:textId="77777777" w:rsidR="006A6BCC" w:rsidRPr="001E3E77" w:rsidRDefault="0092085C" w:rsidP="001E75BF">
            <w:pPr>
              <w:widowControl/>
              <w:jc w:val="center"/>
              <w:rPr>
                <w:rFonts w:ascii="Calibri" w:hAnsi="Calibri"/>
                <w:b/>
                <w:color w:val="auto"/>
                <w:kern w:val="0"/>
                <w:szCs w:val="21"/>
                <w:u w:val="single"/>
              </w:rPr>
            </w:pPr>
            <w:r>
              <w:rPr>
                <w:rFonts w:ascii="Calibri" w:hAnsi="Calibri" w:hint="eastAsia"/>
                <w:b/>
                <w:color w:val="auto"/>
                <w:kern w:val="0"/>
                <w:szCs w:val="21"/>
                <w:u w:val="single"/>
              </w:rPr>
              <w:t>品控中心</w:t>
            </w:r>
            <w:r w:rsidR="006A6BCC" w:rsidRPr="001E3E77">
              <w:rPr>
                <w:rFonts w:ascii="Calibri" w:hAnsi="Calibri"/>
                <w:b/>
                <w:color w:val="auto"/>
                <w:kern w:val="0"/>
                <w:szCs w:val="21"/>
                <w:u w:val="single"/>
              </w:rPr>
              <w:t>废物</w:t>
            </w:r>
          </w:p>
        </w:tc>
        <w:tc>
          <w:tcPr>
            <w:tcW w:w="437" w:type="pct"/>
            <w:vAlign w:val="center"/>
          </w:tcPr>
          <w:p w14:paraId="0F05BC69" w14:textId="77777777" w:rsidR="006A6BCC" w:rsidRPr="001E3E77" w:rsidRDefault="006A6BCC" w:rsidP="00321C47">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2</w:t>
            </w:r>
          </w:p>
        </w:tc>
        <w:tc>
          <w:tcPr>
            <w:tcW w:w="1219" w:type="pct"/>
            <w:vAlign w:val="center"/>
          </w:tcPr>
          <w:p w14:paraId="6A19B360"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废</w:t>
            </w:r>
            <w:r w:rsidRPr="001E3E77">
              <w:rPr>
                <w:rFonts w:ascii="Calibri" w:hAnsi="Calibri"/>
                <w:b/>
                <w:color w:val="auto"/>
                <w:kern w:val="0"/>
                <w:szCs w:val="21"/>
                <w:u w:val="single"/>
              </w:rPr>
              <w:t>试剂</w:t>
            </w:r>
          </w:p>
        </w:tc>
        <w:tc>
          <w:tcPr>
            <w:tcW w:w="1628" w:type="pct"/>
            <w:vAlign w:val="center"/>
          </w:tcPr>
          <w:p w14:paraId="770362A8"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交由</w:t>
            </w:r>
            <w:r w:rsidRPr="001E3E77">
              <w:rPr>
                <w:rFonts w:ascii="Calibri" w:hAnsi="Calibri"/>
                <w:b/>
                <w:color w:val="auto"/>
                <w:kern w:val="0"/>
                <w:szCs w:val="21"/>
                <w:u w:val="single"/>
              </w:rPr>
              <w:t>资质单位处置</w:t>
            </w:r>
          </w:p>
        </w:tc>
      </w:tr>
      <w:tr w:rsidR="006A6BCC" w:rsidRPr="001E3E77" w14:paraId="1890DA76" w14:textId="77777777" w:rsidTr="006A6BCC">
        <w:trPr>
          <w:cantSplit/>
          <w:trHeight w:val="340"/>
          <w:jc w:val="center"/>
        </w:trPr>
        <w:tc>
          <w:tcPr>
            <w:tcW w:w="437" w:type="pct"/>
            <w:vMerge/>
            <w:vAlign w:val="center"/>
          </w:tcPr>
          <w:p w14:paraId="3084A77A"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6C19C9C9" w14:textId="77777777" w:rsidR="006A6BCC" w:rsidRPr="001E3E77" w:rsidRDefault="001D6858" w:rsidP="001E75BF">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原料</w:t>
            </w:r>
            <w:r w:rsidR="006A6BCC" w:rsidRPr="001E3E77">
              <w:rPr>
                <w:rFonts w:ascii="Calibri" w:hAnsi="Calibri" w:hint="eastAsia"/>
                <w:b/>
                <w:color w:val="auto"/>
                <w:kern w:val="0"/>
                <w:szCs w:val="21"/>
                <w:u w:val="single"/>
              </w:rPr>
              <w:t>废</w:t>
            </w:r>
            <w:r w:rsidR="006A6BCC" w:rsidRPr="001E3E77">
              <w:rPr>
                <w:rFonts w:ascii="Calibri" w:hAnsi="Calibri"/>
                <w:b/>
                <w:color w:val="auto"/>
                <w:kern w:val="0"/>
                <w:szCs w:val="21"/>
                <w:u w:val="single"/>
              </w:rPr>
              <w:t>包装袋</w:t>
            </w:r>
          </w:p>
        </w:tc>
        <w:tc>
          <w:tcPr>
            <w:tcW w:w="437" w:type="pct"/>
            <w:vAlign w:val="center"/>
          </w:tcPr>
          <w:p w14:paraId="345F1563" w14:textId="77777777" w:rsidR="006A6BCC" w:rsidRPr="001E3E77" w:rsidRDefault="006A6BCC" w:rsidP="00321C47">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3</w:t>
            </w:r>
          </w:p>
        </w:tc>
        <w:tc>
          <w:tcPr>
            <w:tcW w:w="1219" w:type="pct"/>
            <w:vAlign w:val="center"/>
          </w:tcPr>
          <w:p w14:paraId="3EC44A10"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破损</w:t>
            </w:r>
            <w:r w:rsidRPr="001E3E77">
              <w:rPr>
                <w:rFonts w:ascii="Calibri" w:hAnsi="Calibri"/>
                <w:b/>
                <w:color w:val="auto"/>
                <w:kern w:val="0"/>
                <w:szCs w:val="21"/>
                <w:u w:val="single"/>
              </w:rPr>
              <w:t>包装袋</w:t>
            </w:r>
          </w:p>
        </w:tc>
        <w:tc>
          <w:tcPr>
            <w:tcW w:w="1628" w:type="pct"/>
            <w:vAlign w:val="center"/>
          </w:tcPr>
          <w:p w14:paraId="0B5A0C27" w14:textId="77777777" w:rsidR="006A6BCC" w:rsidRPr="001E3E77" w:rsidRDefault="006A6BCC" w:rsidP="001D6858">
            <w:pPr>
              <w:jc w:val="center"/>
              <w:rPr>
                <w:rFonts w:ascii="Calibri" w:hAnsi="Calibri"/>
                <w:b/>
                <w:color w:val="auto"/>
                <w:kern w:val="0"/>
                <w:szCs w:val="21"/>
                <w:u w:val="single"/>
              </w:rPr>
            </w:pPr>
            <w:r w:rsidRPr="001E3E77">
              <w:rPr>
                <w:rFonts w:ascii="Calibri" w:hAnsi="Calibri" w:hint="eastAsia"/>
                <w:b/>
                <w:color w:val="auto"/>
                <w:kern w:val="0"/>
                <w:szCs w:val="21"/>
                <w:u w:val="single"/>
              </w:rPr>
              <w:t>交由</w:t>
            </w:r>
            <w:r w:rsidR="001D6858" w:rsidRPr="001E3E77">
              <w:rPr>
                <w:rFonts w:ascii="Calibri" w:hAnsi="Calibri" w:hint="eastAsia"/>
                <w:b/>
                <w:color w:val="auto"/>
                <w:kern w:val="0"/>
                <w:szCs w:val="21"/>
                <w:u w:val="single"/>
              </w:rPr>
              <w:t>废品回收公司</w:t>
            </w:r>
            <w:r w:rsidR="001D6858" w:rsidRPr="001E3E77">
              <w:rPr>
                <w:rFonts w:ascii="Calibri" w:hAnsi="Calibri"/>
                <w:b/>
                <w:color w:val="auto"/>
                <w:kern w:val="0"/>
                <w:szCs w:val="21"/>
                <w:u w:val="single"/>
              </w:rPr>
              <w:t>处理</w:t>
            </w:r>
          </w:p>
        </w:tc>
      </w:tr>
      <w:tr w:rsidR="006A6BCC" w:rsidRPr="001E3E77" w14:paraId="04A49C2E" w14:textId="77777777" w:rsidTr="006A6BCC">
        <w:trPr>
          <w:cantSplit/>
          <w:trHeight w:val="340"/>
          <w:jc w:val="center"/>
        </w:trPr>
        <w:tc>
          <w:tcPr>
            <w:tcW w:w="437" w:type="pct"/>
            <w:vMerge/>
            <w:vAlign w:val="center"/>
          </w:tcPr>
          <w:p w14:paraId="08198D61"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575171AB" w14:textId="77777777" w:rsidR="006A6BCC" w:rsidRPr="001E3E77" w:rsidRDefault="006A6BCC" w:rsidP="001E75BF">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活性炭更换</w:t>
            </w:r>
          </w:p>
        </w:tc>
        <w:tc>
          <w:tcPr>
            <w:tcW w:w="437" w:type="pct"/>
            <w:vAlign w:val="center"/>
          </w:tcPr>
          <w:p w14:paraId="6A828622" w14:textId="77777777" w:rsidR="006A6BCC" w:rsidRPr="001E3E77" w:rsidRDefault="006A6BCC" w:rsidP="00321C47">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4</w:t>
            </w:r>
          </w:p>
        </w:tc>
        <w:tc>
          <w:tcPr>
            <w:tcW w:w="1219" w:type="pct"/>
            <w:vAlign w:val="center"/>
          </w:tcPr>
          <w:p w14:paraId="2C60BE77"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废活性炭</w:t>
            </w:r>
          </w:p>
        </w:tc>
        <w:tc>
          <w:tcPr>
            <w:tcW w:w="1628" w:type="pct"/>
            <w:vAlign w:val="center"/>
          </w:tcPr>
          <w:p w14:paraId="1677953A"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交由</w:t>
            </w:r>
            <w:r w:rsidRPr="001E3E77">
              <w:rPr>
                <w:rFonts w:ascii="Calibri" w:hAnsi="Calibri"/>
                <w:b/>
                <w:color w:val="auto"/>
                <w:kern w:val="0"/>
                <w:szCs w:val="21"/>
                <w:u w:val="single"/>
              </w:rPr>
              <w:t>资质单位处置</w:t>
            </w:r>
          </w:p>
        </w:tc>
      </w:tr>
      <w:tr w:rsidR="006A6BCC" w:rsidRPr="001E3E77" w14:paraId="709F616E" w14:textId="77777777" w:rsidTr="006A6BCC">
        <w:trPr>
          <w:cantSplit/>
          <w:trHeight w:val="340"/>
          <w:jc w:val="center"/>
        </w:trPr>
        <w:tc>
          <w:tcPr>
            <w:tcW w:w="437" w:type="pct"/>
            <w:vMerge/>
            <w:vAlign w:val="center"/>
          </w:tcPr>
          <w:p w14:paraId="3A08367A"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681EAEC6" w14:textId="77777777" w:rsidR="006A6BCC" w:rsidRPr="001E3E77" w:rsidRDefault="006A6BCC" w:rsidP="001E75BF">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光氧</w:t>
            </w:r>
            <w:r w:rsidRPr="001E3E77">
              <w:rPr>
                <w:rFonts w:ascii="Calibri" w:hAnsi="Calibri"/>
                <w:b/>
                <w:color w:val="auto"/>
                <w:kern w:val="0"/>
                <w:szCs w:val="21"/>
                <w:u w:val="single"/>
              </w:rPr>
              <w:t>催化装置</w:t>
            </w:r>
          </w:p>
        </w:tc>
        <w:tc>
          <w:tcPr>
            <w:tcW w:w="437" w:type="pct"/>
            <w:vAlign w:val="center"/>
          </w:tcPr>
          <w:p w14:paraId="7C23D491"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5</w:t>
            </w:r>
          </w:p>
        </w:tc>
        <w:tc>
          <w:tcPr>
            <w:tcW w:w="1219" w:type="pct"/>
            <w:vAlign w:val="center"/>
          </w:tcPr>
          <w:p w14:paraId="059EBB6F"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废紫外灯管</w:t>
            </w:r>
          </w:p>
        </w:tc>
        <w:tc>
          <w:tcPr>
            <w:tcW w:w="1628" w:type="pct"/>
            <w:vAlign w:val="center"/>
          </w:tcPr>
          <w:p w14:paraId="3589556F"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交由</w:t>
            </w:r>
            <w:r w:rsidRPr="001E3E77">
              <w:rPr>
                <w:rFonts w:ascii="Calibri" w:hAnsi="Calibri"/>
                <w:b/>
                <w:color w:val="auto"/>
                <w:kern w:val="0"/>
                <w:szCs w:val="21"/>
                <w:u w:val="single"/>
              </w:rPr>
              <w:t>资质单位处置</w:t>
            </w:r>
          </w:p>
        </w:tc>
      </w:tr>
      <w:tr w:rsidR="006A6BCC" w:rsidRPr="001E3E77" w14:paraId="7426E184" w14:textId="77777777" w:rsidTr="006A6BCC">
        <w:trPr>
          <w:cantSplit/>
          <w:trHeight w:val="340"/>
          <w:jc w:val="center"/>
        </w:trPr>
        <w:tc>
          <w:tcPr>
            <w:tcW w:w="437" w:type="pct"/>
            <w:vMerge/>
            <w:vAlign w:val="center"/>
          </w:tcPr>
          <w:p w14:paraId="2D69BE8F" w14:textId="77777777" w:rsidR="006A6BCC" w:rsidRPr="001E3E77" w:rsidRDefault="006A6BCC" w:rsidP="0064009E">
            <w:pPr>
              <w:widowControl/>
              <w:jc w:val="center"/>
              <w:rPr>
                <w:rFonts w:ascii="Calibri" w:hAnsi="Calibri"/>
                <w:b/>
                <w:color w:val="auto"/>
                <w:kern w:val="0"/>
                <w:szCs w:val="21"/>
                <w:u w:val="single"/>
              </w:rPr>
            </w:pPr>
          </w:p>
        </w:tc>
        <w:tc>
          <w:tcPr>
            <w:tcW w:w="1279" w:type="pct"/>
            <w:vAlign w:val="center"/>
          </w:tcPr>
          <w:p w14:paraId="4CC048B1" w14:textId="77777777" w:rsidR="006A6BCC" w:rsidRPr="001E3E77" w:rsidRDefault="006A6BCC" w:rsidP="001E75BF">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废</w:t>
            </w:r>
            <w:r w:rsidRPr="001E3E77">
              <w:rPr>
                <w:rFonts w:ascii="Calibri" w:hAnsi="Calibri"/>
                <w:b/>
                <w:color w:val="auto"/>
                <w:kern w:val="0"/>
                <w:szCs w:val="21"/>
                <w:u w:val="single"/>
              </w:rPr>
              <w:t>导热油炉</w:t>
            </w:r>
          </w:p>
        </w:tc>
        <w:tc>
          <w:tcPr>
            <w:tcW w:w="437" w:type="pct"/>
            <w:vAlign w:val="center"/>
          </w:tcPr>
          <w:p w14:paraId="07B198DA"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6</w:t>
            </w:r>
          </w:p>
        </w:tc>
        <w:tc>
          <w:tcPr>
            <w:tcW w:w="1219" w:type="pct"/>
            <w:vAlign w:val="center"/>
          </w:tcPr>
          <w:p w14:paraId="4341A1E9"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导热油降解</w:t>
            </w:r>
          </w:p>
        </w:tc>
        <w:tc>
          <w:tcPr>
            <w:tcW w:w="1628" w:type="pct"/>
            <w:vAlign w:val="center"/>
          </w:tcPr>
          <w:p w14:paraId="47ED42C2" w14:textId="77777777" w:rsidR="006A6BCC" w:rsidRPr="001E3E77" w:rsidRDefault="006A6BCC" w:rsidP="0064009E">
            <w:pPr>
              <w:jc w:val="center"/>
              <w:rPr>
                <w:rFonts w:ascii="Calibri" w:hAnsi="Calibri"/>
                <w:b/>
                <w:color w:val="auto"/>
                <w:kern w:val="0"/>
                <w:szCs w:val="21"/>
                <w:u w:val="single"/>
              </w:rPr>
            </w:pPr>
            <w:r w:rsidRPr="001E3E77">
              <w:rPr>
                <w:rFonts w:ascii="Calibri" w:hAnsi="Calibri" w:hint="eastAsia"/>
                <w:b/>
                <w:color w:val="auto"/>
                <w:kern w:val="0"/>
                <w:szCs w:val="21"/>
                <w:u w:val="single"/>
              </w:rPr>
              <w:t>交由</w:t>
            </w:r>
            <w:r w:rsidRPr="001E3E77">
              <w:rPr>
                <w:rFonts w:ascii="Calibri" w:hAnsi="Calibri"/>
                <w:b/>
                <w:color w:val="auto"/>
                <w:kern w:val="0"/>
                <w:szCs w:val="21"/>
                <w:u w:val="single"/>
              </w:rPr>
              <w:t>资质单位处置</w:t>
            </w:r>
          </w:p>
        </w:tc>
      </w:tr>
      <w:tr w:rsidR="006A6BCC" w:rsidRPr="001E3E77" w14:paraId="1AE7FB03" w14:textId="77777777" w:rsidTr="006A6BCC">
        <w:trPr>
          <w:cantSplit/>
          <w:trHeight w:val="340"/>
          <w:jc w:val="center"/>
        </w:trPr>
        <w:tc>
          <w:tcPr>
            <w:tcW w:w="437" w:type="pct"/>
            <w:vMerge/>
            <w:vAlign w:val="center"/>
          </w:tcPr>
          <w:p w14:paraId="12A68B61" w14:textId="77777777" w:rsidR="006A6BCC" w:rsidRPr="001E3E77" w:rsidRDefault="006A6BCC" w:rsidP="006A6BCC">
            <w:pPr>
              <w:widowControl/>
              <w:jc w:val="center"/>
              <w:rPr>
                <w:rFonts w:ascii="Calibri" w:hAnsi="Calibri"/>
                <w:b/>
                <w:color w:val="auto"/>
                <w:kern w:val="0"/>
                <w:szCs w:val="21"/>
                <w:u w:val="single"/>
              </w:rPr>
            </w:pPr>
          </w:p>
        </w:tc>
        <w:tc>
          <w:tcPr>
            <w:tcW w:w="1279" w:type="pct"/>
            <w:vAlign w:val="center"/>
          </w:tcPr>
          <w:p w14:paraId="1A3DB69F" w14:textId="77777777" w:rsidR="006A6BCC" w:rsidRPr="001E3E77" w:rsidRDefault="006A6BCC" w:rsidP="006A6BCC">
            <w:pPr>
              <w:jc w:val="center"/>
              <w:rPr>
                <w:rFonts w:ascii="Calibri" w:hAnsi="Calibri"/>
                <w:b/>
                <w:color w:val="auto"/>
                <w:szCs w:val="21"/>
                <w:u w:val="single"/>
              </w:rPr>
            </w:pPr>
            <w:r w:rsidRPr="001E3E77">
              <w:rPr>
                <w:rFonts w:ascii="Calibri" w:hAnsi="Calibri" w:hint="eastAsia"/>
                <w:b/>
                <w:color w:val="auto"/>
                <w:szCs w:val="21"/>
                <w:u w:val="single"/>
              </w:rPr>
              <w:t>设备维护和检修</w:t>
            </w:r>
          </w:p>
        </w:tc>
        <w:tc>
          <w:tcPr>
            <w:tcW w:w="437" w:type="pct"/>
            <w:vAlign w:val="center"/>
          </w:tcPr>
          <w:p w14:paraId="4C93B5F2"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7</w:t>
            </w:r>
          </w:p>
        </w:tc>
        <w:tc>
          <w:tcPr>
            <w:tcW w:w="1219" w:type="pct"/>
            <w:vAlign w:val="center"/>
          </w:tcPr>
          <w:p w14:paraId="59B7E9FE"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废机油</w:t>
            </w:r>
          </w:p>
        </w:tc>
        <w:tc>
          <w:tcPr>
            <w:tcW w:w="1628" w:type="pct"/>
            <w:vAlign w:val="center"/>
          </w:tcPr>
          <w:p w14:paraId="7F989062"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交由</w:t>
            </w:r>
            <w:r w:rsidRPr="001E3E77">
              <w:rPr>
                <w:rFonts w:ascii="Calibri" w:hAnsi="Calibri"/>
                <w:b/>
                <w:color w:val="auto"/>
                <w:kern w:val="0"/>
                <w:szCs w:val="21"/>
                <w:u w:val="single"/>
              </w:rPr>
              <w:t>资质单位处置</w:t>
            </w:r>
          </w:p>
        </w:tc>
      </w:tr>
      <w:tr w:rsidR="006A6BCC" w:rsidRPr="001E3E77" w14:paraId="5D8E9C75" w14:textId="77777777" w:rsidTr="006A6BCC">
        <w:trPr>
          <w:cantSplit/>
          <w:trHeight w:val="340"/>
          <w:jc w:val="center"/>
        </w:trPr>
        <w:tc>
          <w:tcPr>
            <w:tcW w:w="437" w:type="pct"/>
            <w:vMerge/>
            <w:vAlign w:val="center"/>
          </w:tcPr>
          <w:p w14:paraId="50955BDC" w14:textId="77777777" w:rsidR="006A6BCC" w:rsidRPr="001E3E77" w:rsidRDefault="006A6BCC" w:rsidP="006A6BCC">
            <w:pPr>
              <w:widowControl/>
              <w:jc w:val="center"/>
              <w:rPr>
                <w:rFonts w:ascii="Calibri" w:hAnsi="Calibri"/>
                <w:b/>
                <w:color w:val="auto"/>
                <w:kern w:val="0"/>
                <w:szCs w:val="21"/>
                <w:u w:val="single"/>
              </w:rPr>
            </w:pPr>
          </w:p>
        </w:tc>
        <w:tc>
          <w:tcPr>
            <w:tcW w:w="1279" w:type="pct"/>
            <w:vAlign w:val="center"/>
          </w:tcPr>
          <w:p w14:paraId="0CF1E27D" w14:textId="77777777" w:rsidR="006A6BCC" w:rsidRPr="001E3E77" w:rsidRDefault="006A6BCC" w:rsidP="006A6BCC">
            <w:pPr>
              <w:jc w:val="center"/>
              <w:rPr>
                <w:rFonts w:ascii="Calibri" w:hAnsi="Calibri"/>
                <w:b/>
                <w:color w:val="auto"/>
                <w:szCs w:val="21"/>
                <w:u w:val="single"/>
              </w:rPr>
            </w:pPr>
            <w:r w:rsidRPr="001E3E77">
              <w:rPr>
                <w:rFonts w:ascii="Calibri" w:hAnsi="Calibri" w:hint="eastAsia"/>
                <w:b/>
                <w:color w:val="auto"/>
                <w:szCs w:val="21"/>
                <w:u w:val="single"/>
              </w:rPr>
              <w:t>纯水</w:t>
            </w:r>
            <w:r w:rsidRPr="001E3E77">
              <w:rPr>
                <w:rFonts w:ascii="Calibri" w:hAnsi="Calibri"/>
                <w:b/>
                <w:color w:val="auto"/>
                <w:szCs w:val="21"/>
                <w:u w:val="single"/>
              </w:rPr>
              <w:t>制备</w:t>
            </w:r>
          </w:p>
        </w:tc>
        <w:tc>
          <w:tcPr>
            <w:tcW w:w="437" w:type="pct"/>
            <w:vAlign w:val="center"/>
          </w:tcPr>
          <w:p w14:paraId="368A878A"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8</w:t>
            </w:r>
          </w:p>
        </w:tc>
        <w:tc>
          <w:tcPr>
            <w:tcW w:w="1219" w:type="pct"/>
            <w:vAlign w:val="center"/>
          </w:tcPr>
          <w:p w14:paraId="7B7E8076"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szCs w:val="21"/>
                <w:u w:val="single"/>
              </w:rPr>
              <w:t>废反渗透膜</w:t>
            </w:r>
          </w:p>
        </w:tc>
        <w:tc>
          <w:tcPr>
            <w:tcW w:w="1628" w:type="pct"/>
            <w:vAlign w:val="center"/>
          </w:tcPr>
          <w:p w14:paraId="3F132C13" w14:textId="77777777" w:rsidR="006A6BCC" w:rsidRPr="001E3E77" w:rsidRDefault="006A6BCC" w:rsidP="006A6BCC">
            <w:pPr>
              <w:jc w:val="center"/>
              <w:rPr>
                <w:rFonts w:ascii="Calibri" w:hAnsi="Calibri"/>
                <w:b/>
                <w:color w:val="auto"/>
                <w:kern w:val="0"/>
                <w:szCs w:val="21"/>
                <w:u w:val="single"/>
              </w:rPr>
            </w:pPr>
            <w:r w:rsidRPr="001E3E77">
              <w:rPr>
                <w:rFonts w:ascii="Calibri"/>
                <w:b/>
                <w:color w:val="auto"/>
                <w:szCs w:val="20"/>
                <w:u w:val="single"/>
              </w:rPr>
              <w:t>定期更换后由供货厂家回收再利用</w:t>
            </w:r>
          </w:p>
        </w:tc>
      </w:tr>
      <w:tr w:rsidR="001D6858" w:rsidRPr="001E3E77" w14:paraId="1DAE32FC" w14:textId="77777777" w:rsidTr="006A6BCC">
        <w:trPr>
          <w:cantSplit/>
          <w:trHeight w:val="340"/>
          <w:jc w:val="center"/>
        </w:trPr>
        <w:tc>
          <w:tcPr>
            <w:tcW w:w="437" w:type="pct"/>
            <w:vMerge/>
            <w:vAlign w:val="center"/>
          </w:tcPr>
          <w:p w14:paraId="43152040" w14:textId="77777777" w:rsidR="001D6858" w:rsidRPr="001E3E77" w:rsidRDefault="001D6858" w:rsidP="006A6BCC">
            <w:pPr>
              <w:widowControl/>
              <w:jc w:val="center"/>
              <w:rPr>
                <w:rFonts w:ascii="Calibri" w:hAnsi="Calibri"/>
                <w:b/>
                <w:color w:val="auto"/>
                <w:kern w:val="0"/>
                <w:szCs w:val="21"/>
                <w:u w:val="single"/>
              </w:rPr>
            </w:pPr>
          </w:p>
        </w:tc>
        <w:tc>
          <w:tcPr>
            <w:tcW w:w="1279" w:type="pct"/>
            <w:vAlign w:val="center"/>
          </w:tcPr>
          <w:p w14:paraId="1C8318BC" w14:textId="77777777" w:rsidR="001D6858" w:rsidRPr="001E3E77" w:rsidRDefault="001D6858" w:rsidP="006A6BCC">
            <w:pPr>
              <w:jc w:val="center"/>
              <w:rPr>
                <w:rFonts w:ascii="Calibri" w:hAnsi="Calibri"/>
                <w:b/>
                <w:color w:val="auto"/>
                <w:szCs w:val="21"/>
                <w:u w:val="single"/>
              </w:rPr>
            </w:pPr>
            <w:r w:rsidRPr="001E3E77">
              <w:rPr>
                <w:rFonts w:ascii="Calibri" w:hAnsi="Calibri" w:hint="eastAsia"/>
                <w:b/>
                <w:color w:val="auto"/>
                <w:szCs w:val="21"/>
                <w:u w:val="single"/>
              </w:rPr>
              <w:t>污水</w:t>
            </w:r>
            <w:r w:rsidRPr="001E3E77">
              <w:rPr>
                <w:rFonts w:ascii="Calibri" w:hAnsi="Calibri"/>
                <w:b/>
                <w:color w:val="auto"/>
                <w:szCs w:val="21"/>
                <w:u w:val="single"/>
              </w:rPr>
              <w:t>处理站</w:t>
            </w:r>
          </w:p>
        </w:tc>
        <w:tc>
          <w:tcPr>
            <w:tcW w:w="437" w:type="pct"/>
            <w:vAlign w:val="center"/>
          </w:tcPr>
          <w:p w14:paraId="6C58A3D5" w14:textId="77777777" w:rsidR="001D6858" w:rsidRPr="001E3E77" w:rsidRDefault="001D6858" w:rsidP="001D6858">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Pr="001E3E77">
              <w:rPr>
                <w:rFonts w:ascii="Calibri" w:hAnsi="Calibri"/>
                <w:b/>
                <w:color w:val="auto"/>
                <w:kern w:val="0"/>
                <w:szCs w:val="21"/>
                <w:u w:val="single"/>
              </w:rPr>
              <w:t>9</w:t>
            </w:r>
          </w:p>
        </w:tc>
        <w:tc>
          <w:tcPr>
            <w:tcW w:w="1219" w:type="pct"/>
            <w:vAlign w:val="center"/>
          </w:tcPr>
          <w:p w14:paraId="1F9223C8" w14:textId="77777777" w:rsidR="001D6858" w:rsidRPr="001E3E77" w:rsidRDefault="001D6858" w:rsidP="006A6BCC">
            <w:pPr>
              <w:jc w:val="center"/>
              <w:rPr>
                <w:rFonts w:ascii="Calibri" w:hAnsi="Calibri"/>
                <w:b/>
                <w:color w:val="auto"/>
                <w:szCs w:val="21"/>
                <w:u w:val="single"/>
              </w:rPr>
            </w:pPr>
            <w:r w:rsidRPr="001E3E77">
              <w:rPr>
                <w:rFonts w:ascii="Calibri" w:hAnsi="Calibri" w:hint="eastAsia"/>
                <w:b/>
                <w:color w:val="auto"/>
                <w:szCs w:val="21"/>
                <w:u w:val="single"/>
              </w:rPr>
              <w:t>污泥</w:t>
            </w:r>
          </w:p>
        </w:tc>
        <w:tc>
          <w:tcPr>
            <w:tcW w:w="1628" w:type="pct"/>
            <w:vAlign w:val="center"/>
          </w:tcPr>
          <w:p w14:paraId="44737DCE" w14:textId="77777777" w:rsidR="001D6858" w:rsidRPr="001E3E77" w:rsidRDefault="001D6858" w:rsidP="006A6BCC">
            <w:pPr>
              <w:jc w:val="center"/>
              <w:rPr>
                <w:rFonts w:ascii="Calibri"/>
                <w:b/>
                <w:color w:val="auto"/>
                <w:szCs w:val="20"/>
                <w:u w:val="single"/>
              </w:rPr>
            </w:pPr>
            <w:r w:rsidRPr="001E3E77">
              <w:rPr>
                <w:rFonts w:ascii="Calibri" w:hint="eastAsia"/>
                <w:b/>
                <w:color w:val="auto"/>
                <w:szCs w:val="20"/>
                <w:u w:val="single"/>
              </w:rPr>
              <w:t>交由叶县生活垃圾焚烧发电厂处理</w:t>
            </w:r>
          </w:p>
        </w:tc>
      </w:tr>
      <w:tr w:rsidR="006A6BCC" w:rsidRPr="001E3E77" w14:paraId="77CB45D1" w14:textId="77777777" w:rsidTr="006A6BCC">
        <w:trPr>
          <w:cantSplit/>
          <w:trHeight w:val="340"/>
          <w:jc w:val="center"/>
        </w:trPr>
        <w:tc>
          <w:tcPr>
            <w:tcW w:w="437" w:type="pct"/>
            <w:vMerge/>
            <w:vAlign w:val="center"/>
          </w:tcPr>
          <w:p w14:paraId="3EE6BDA5" w14:textId="77777777" w:rsidR="006A6BCC" w:rsidRPr="001E3E77" w:rsidRDefault="006A6BCC" w:rsidP="006A6BCC">
            <w:pPr>
              <w:widowControl/>
              <w:jc w:val="center"/>
              <w:rPr>
                <w:rFonts w:ascii="Calibri" w:hAnsi="Calibri"/>
                <w:b/>
                <w:color w:val="auto"/>
                <w:kern w:val="0"/>
                <w:szCs w:val="21"/>
                <w:u w:val="single"/>
              </w:rPr>
            </w:pPr>
          </w:p>
        </w:tc>
        <w:tc>
          <w:tcPr>
            <w:tcW w:w="1279" w:type="pct"/>
            <w:vAlign w:val="center"/>
          </w:tcPr>
          <w:p w14:paraId="35064373" w14:textId="77777777" w:rsidR="006A6BCC" w:rsidRPr="001E3E77" w:rsidRDefault="006A6BCC" w:rsidP="006A6BCC">
            <w:pPr>
              <w:jc w:val="center"/>
              <w:rPr>
                <w:rFonts w:ascii="Calibri" w:hAnsi="Calibri"/>
                <w:b/>
                <w:color w:val="auto"/>
                <w:szCs w:val="21"/>
                <w:u w:val="single"/>
              </w:rPr>
            </w:pPr>
            <w:r w:rsidRPr="001E3E77">
              <w:rPr>
                <w:rFonts w:ascii="Calibri" w:hAnsi="Calibri" w:hint="eastAsia"/>
                <w:b/>
                <w:color w:val="auto"/>
                <w:szCs w:val="21"/>
                <w:u w:val="single"/>
              </w:rPr>
              <w:t>职工</w:t>
            </w:r>
            <w:r w:rsidRPr="001E3E77">
              <w:rPr>
                <w:rFonts w:ascii="Calibri" w:hAnsi="Calibri"/>
                <w:b/>
                <w:color w:val="auto"/>
                <w:szCs w:val="21"/>
                <w:u w:val="single"/>
              </w:rPr>
              <w:t>生活</w:t>
            </w:r>
          </w:p>
        </w:tc>
        <w:tc>
          <w:tcPr>
            <w:tcW w:w="437" w:type="pct"/>
            <w:vAlign w:val="center"/>
          </w:tcPr>
          <w:p w14:paraId="4C566AD1" w14:textId="77777777" w:rsidR="006A6BCC" w:rsidRPr="001E3E77" w:rsidRDefault="006A6BCC" w:rsidP="001D6858">
            <w:pPr>
              <w:jc w:val="center"/>
              <w:rPr>
                <w:rFonts w:ascii="Calibri" w:hAnsi="Calibri"/>
                <w:b/>
                <w:color w:val="auto"/>
                <w:kern w:val="0"/>
                <w:szCs w:val="21"/>
                <w:u w:val="single"/>
              </w:rPr>
            </w:pPr>
            <w:r w:rsidRPr="001E3E77">
              <w:rPr>
                <w:rFonts w:ascii="Calibri" w:hAnsi="Calibri" w:hint="eastAsia"/>
                <w:b/>
                <w:color w:val="auto"/>
                <w:kern w:val="0"/>
                <w:szCs w:val="21"/>
                <w:u w:val="single"/>
              </w:rPr>
              <w:t>S</w:t>
            </w:r>
            <w:r w:rsidR="001D6858" w:rsidRPr="001E3E77">
              <w:rPr>
                <w:rFonts w:ascii="Calibri" w:hAnsi="Calibri"/>
                <w:b/>
                <w:color w:val="auto"/>
                <w:kern w:val="0"/>
                <w:szCs w:val="21"/>
                <w:u w:val="single"/>
              </w:rPr>
              <w:t>10</w:t>
            </w:r>
          </w:p>
        </w:tc>
        <w:tc>
          <w:tcPr>
            <w:tcW w:w="1219" w:type="pct"/>
            <w:vAlign w:val="center"/>
          </w:tcPr>
          <w:p w14:paraId="2A4CBE2D" w14:textId="77777777" w:rsidR="006A6BCC" w:rsidRPr="001E3E77" w:rsidRDefault="006A6BCC" w:rsidP="006A6BCC">
            <w:pPr>
              <w:jc w:val="center"/>
              <w:rPr>
                <w:rFonts w:ascii="Calibri" w:hAnsi="Calibri"/>
                <w:b/>
                <w:color w:val="auto"/>
                <w:szCs w:val="21"/>
                <w:u w:val="single"/>
              </w:rPr>
            </w:pPr>
            <w:r w:rsidRPr="001E3E77">
              <w:rPr>
                <w:rFonts w:ascii="Calibri" w:hAnsi="Calibri" w:hint="eastAsia"/>
                <w:b/>
                <w:color w:val="auto"/>
                <w:szCs w:val="21"/>
                <w:u w:val="single"/>
              </w:rPr>
              <w:t>生活</w:t>
            </w:r>
            <w:r w:rsidRPr="001E3E77">
              <w:rPr>
                <w:rFonts w:ascii="Calibri" w:hAnsi="Calibri"/>
                <w:b/>
                <w:color w:val="auto"/>
                <w:szCs w:val="21"/>
                <w:u w:val="single"/>
              </w:rPr>
              <w:t>垃圾</w:t>
            </w:r>
          </w:p>
        </w:tc>
        <w:tc>
          <w:tcPr>
            <w:tcW w:w="1628" w:type="pct"/>
            <w:vAlign w:val="center"/>
          </w:tcPr>
          <w:p w14:paraId="5D288D8D" w14:textId="77777777" w:rsidR="006A6BCC" w:rsidRPr="001E3E77" w:rsidRDefault="006A6BCC" w:rsidP="006A6BCC">
            <w:pPr>
              <w:jc w:val="center"/>
              <w:rPr>
                <w:rFonts w:ascii="Calibri"/>
                <w:b/>
                <w:color w:val="auto"/>
                <w:szCs w:val="20"/>
                <w:u w:val="single"/>
              </w:rPr>
            </w:pPr>
            <w:r w:rsidRPr="001E3E77">
              <w:rPr>
                <w:rFonts w:ascii="Calibri" w:hint="eastAsia"/>
                <w:b/>
                <w:color w:val="auto"/>
                <w:szCs w:val="20"/>
                <w:u w:val="single"/>
              </w:rPr>
              <w:t>送集聚区垃圾中转站</w:t>
            </w:r>
          </w:p>
        </w:tc>
      </w:tr>
      <w:tr w:rsidR="006A6BCC" w:rsidRPr="001E3E77" w14:paraId="3E1ED9C9" w14:textId="77777777" w:rsidTr="006A6BCC">
        <w:trPr>
          <w:cantSplit/>
          <w:trHeight w:val="340"/>
          <w:jc w:val="center"/>
        </w:trPr>
        <w:tc>
          <w:tcPr>
            <w:tcW w:w="437" w:type="pct"/>
            <w:vAlign w:val="center"/>
          </w:tcPr>
          <w:p w14:paraId="4C425CD5" w14:textId="77777777" w:rsidR="006A6BCC" w:rsidRPr="001E3E77" w:rsidRDefault="006A6BCC" w:rsidP="006A6BCC">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噪声</w:t>
            </w:r>
          </w:p>
        </w:tc>
        <w:tc>
          <w:tcPr>
            <w:tcW w:w="1279" w:type="pct"/>
            <w:vAlign w:val="center"/>
          </w:tcPr>
          <w:p w14:paraId="28F0459A" w14:textId="77777777" w:rsidR="006A6BCC" w:rsidRPr="001E3E77" w:rsidRDefault="006A6BCC" w:rsidP="006A6BCC">
            <w:pPr>
              <w:widowControl/>
              <w:jc w:val="center"/>
              <w:rPr>
                <w:rFonts w:ascii="Calibri" w:hAnsi="Calibri"/>
                <w:b/>
                <w:color w:val="auto"/>
                <w:kern w:val="0"/>
                <w:szCs w:val="21"/>
                <w:u w:val="single"/>
              </w:rPr>
            </w:pPr>
            <w:r w:rsidRPr="001E3E77">
              <w:rPr>
                <w:rFonts w:ascii="Calibri" w:hAnsi="Calibri" w:hint="eastAsia"/>
                <w:b/>
                <w:color w:val="auto"/>
                <w:kern w:val="0"/>
                <w:szCs w:val="21"/>
                <w:u w:val="single"/>
              </w:rPr>
              <w:t>设备</w:t>
            </w:r>
            <w:r w:rsidRPr="001E3E77">
              <w:rPr>
                <w:rFonts w:ascii="Calibri" w:hAnsi="Calibri"/>
                <w:b/>
                <w:color w:val="auto"/>
                <w:kern w:val="0"/>
                <w:szCs w:val="21"/>
                <w:u w:val="single"/>
              </w:rPr>
              <w:t>噪声</w:t>
            </w:r>
          </w:p>
        </w:tc>
        <w:tc>
          <w:tcPr>
            <w:tcW w:w="437" w:type="pct"/>
            <w:vAlign w:val="center"/>
          </w:tcPr>
          <w:p w14:paraId="24AADFD7"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N1-N4</w:t>
            </w:r>
          </w:p>
        </w:tc>
        <w:tc>
          <w:tcPr>
            <w:tcW w:w="1219" w:type="pct"/>
            <w:vAlign w:val="center"/>
          </w:tcPr>
          <w:p w14:paraId="4A5A0C1A"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w:t>
            </w:r>
          </w:p>
        </w:tc>
        <w:tc>
          <w:tcPr>
            <w:tcW w:w="1628" w:type="pct"/>
            <w:vAlign w:val="center"/>
          </w:tcPr>
          <w:p w14:paraId="7B8F28D8" w14:textId="77777777" w:rsidR="006A6BCC" w:rsidRPr="001E3E77" w:rsidRDefault="006A6BCC" w:rsidP="006A6BCC">
            <w:pPr>
              <w:jc w:val="center"/>
              <w:rPr>
                <w:rFonts w:ascii="Calibri" w:hAnsi="Calibri"/>
                <w:b/>
                <w:color w:val="auto"/>
                <w:kern w:val="0"/>
                <w:szCs w:val="21"/>
                <w:u w:val="single"/>
              </w:rPr>
            </w:pPr>
            <w:r w:rsidRPr="001E3E77">
              <w:rPr>
                <w:rFonts w:ascii="Calibri" w:hAnsi="Calibri" w:hint="eastAsia"/>
                <w:b/>
                <w:color w:val="auto"/>
                <w:kern w:val="0"/>
                <w:szCs w:val="21"/>
                <w:u w:val="single"/>
              </w:rPr>
              <w:t>隔声</w:t>
            </w:r>
            <w:r w:rsidRPr="001E3E77">
              <w:rPr>
                <w:rFonts w:ascii="Calibri" w:hAnsi="Calibri"/>
                <w:b/>
                <w:color w:val="auto"/>
                <w:kern w:val="0"/>
                <w:szCs w:val="21"/>
                <w:u w:val="single"/>
              </w:rPr>
              <w:t>、减</w:t>
            </w:r>
            <w:r w:rsidRPr="001E3E77">
              <w:rPr>
                <w:rFonts w:ascii="Calibri" w:hAnsi="Calibri" w:hint="eastAsia"/>
                <w:b/>
                <w:color w:val="auto"/>
                <w:kern w:val="0"/>
                <w:szCs w:val="21"/>
                <w:u w:val="single"/>
              </w:rPr>
              <w:t>振</w:t>
            </w:r>
          </w:p>
        </w:tc>
      </w:tr>
    </w:tbl>
    <w:p w14:paraId="4B6C6099" w14:textId="50BFD40D" w:rsidR="001C75DE" w:rsidRDefault="001C75DE" w:rsidP="00A94A71">
      <w:pPr>
        <w:pStyle w:val="ad"/>
        <w:rPr>
          <w:rFonts w:ascii="Calibri" w:hAnsi="Calibri"/>
          <w:color w:val="auto"/>
        </w:rPr>
      </w:pPr>
    </w:p>
    <w:p w14:paraId="6A36E551" w14:textId="77777777" w:rsidR="000A0585" w:rsidRDefault="000A0585" w:rsidP="00A94A71">
      <w:pPr>
        <w:pStyle w:val="ad"/>
        <w:rPr>
          <w:rFonts w:ascii="Calibri" w:hAnsi="Calibri" w:hint="eastAsia"/>
          <w:color w:val="auto"/>
        </w:rPr>
      </w:pPr>
    </w:p>
    <w:p w14:paraId="17C2A3FA" w14:textId="59F702E4" w:rsidR="00A94A71" w:rsidRPr="00A964FF" w:rsidRDefault="00A94A71" w:rsidP="00A94A71">
      <w:pPr>
        <w:pStyle w:val="ad"/>
        <w:rPr>
          <w:rFonts w:ascii="Calibri" w:hAnsi="Calibri"/>
          <w:color w:val="auto"/>
        </w:rPr>
      </w:pPr>
      <w:r w:rsidRPr="00A964FF">
        <w:rPr>
          <w:rFonts w:ascii="Calibri" w:hAnsi="Calibri" w:hint="eastAsia"/>
          <w:color w:val="auto"/>
        </w:rPr>
        <w:lastRenderedPageBreak/>
        <w:t>2.</w:t>
      </w:r>
      <w:r>
        <w:rPr>
          <w:rFonts w:ascii="Calibri" w:hAnsi="Calibri"/>
          <w:color w:val="auto"/>
        </w:rPr>
        <w:t>2</w:t>
      </w:r>
      <w:r w:rsidRPr="00A964FF">
        <w:rPr>
          <w:rFonts w:ascii="Calibri" w:hAnsi="Calibri" w:hint="eastAsia"/>
          <w:color w:val="auto"/>
        </w:rPr>
        <w:t>.</w:t>
      </w:r>
      <w:r>
        <w:rPr>
          <w:rFonts w:ascii="Calibri" w:hAnsi="Calibri"/>
          <w:color w:val="auto"/>
        </w:rPr>
        <w:t>2</w:t>
      </w:r>
      <w:r w:rsidR="00B30095">
        <w:rPr>
          <w:rFonts w:ascii="Calibri" w:hAnsi="Calibri" w:hint="eastAsia"/>
          <w:color w:val="auto"/>
        </w:rPr>
        <w:t>生产</w:t>
      </w:r>
      <w:r w:rsidR="00B30095">
        <w:rPr>
          <w:rFonts w:ascii="Calibri" w:hAnsi="Calibri"/>
          <w:color w:val="auto"/>
        </w:rPr>
        <w:t>物料</w:t>
      </w:r>
      <w:r w:rsidR="00B30095">
        <w:rPr>
          <w:rFonts w:ascii="Calibri" w:hAnsi="Calibri" w:hint="eastAsia"/>
          <w:color w:val="auto"/>
        </w:rPr>
        <w:t>平衡</w:t>
      </w:r>
    </w:p>
    <w:p w14:paraId="211971DB" w14:textId="77777777" w:rsidR="00B30095" w:rsidRPr="00290094" w:rsidRDefault="00B30095" w:rsidP="00B30095">
      <w:pPr>
        <w:spacing w:line="520" w:lineRule="exact"/>
        <w:ind w:firstLineChars="200" w:firstLine="482"/>
        <w:rPr>
          <w:rFonts w:ascii="Calibri" w:hAnsi="Calibri"/>
          <w:b/>
          <w:color w:val="auto"/>
          <w:sz w:val="24"/>
          <w:u w:val="single"/>
        </w:rPr>
      </w:pPr>
      <w:r w:rsidRPr="00290094">
        <w:rPr>
          <w:rFonts w:ascii="Calibri" w:hAnsi="Calibri"/>
          <w:b/>
          <w:color w:val="auto"/>
          <w:sz w:val="24"/>
          <w:u w:val="single"/>
        </w:rPr>
        <w:t>1</w:t>
      </w:r>
      <w:r w:rsidRPr="00290094">
        <w:rPr>
          <w:rFonts w:ascii="Calibri" w:hAnsi="Calibri"/>
          <w:b/>
          <w:color w:val="auto"/>
          <w:sz w:val="24"/>
          <w:u w:val="single"/>
        </w:rPr>
        <w:t>、</w:t>
      </w:r>
      <w:r w:rsidRPr="00290094">
        <w:rPr>
          <w:rFonts w:ascii="Calibri" w:hAnsi="Calibri" w:hint="eastAsia"/>
          <w:b/>
          <w:color w:val="auto"/>
          <w:sz w:val="24"/>
          <w:u w:val="single"/>
        </w:rPr>
        <w:t>生产物料</w:t>
      </w:r>
      <w:r w:rsidRPr="00290094">
        <w:rPr>
          <w:rFonts w:ascii="Calibri" w:hAnsi="Calibri"/>
          <w:b/>
          <w:color w:val="auto"/>
          <w:sz w:val="24"/>
          <w:u w:val="single"/>
        </w:rPr>
        <w:t>平衡</w:t>
      </w:r>
    </w:p>
    <w:p w14:paraId="6831B5B3" w14:textId="77777777" w:rsidR="001E3E77" w:rsidRPr="00290094" w:rsidRDefault="001E3E77" w:rsidP="001E3E77">
      <w:pPr>
        <w:spacing w:line="520" w:lineRule="exact"/>
        <w:ind w:firstLineChars="200" w:firstLine="482"/>
        <w:rPr>
          <w:rFonts w:ascii="Calibri" w:hAnsi="Calibri"/>
          <w:b/>
          <w:color w:val="auto"/>
          <w:sz w:val="24"/>
          <w:u w:val="single"/>
        </w:rPr>
      </w:pPr>
      <w:r w:rsidRPr="00290094">
        <w:rPr>
          <w:rFonts w:ascii="Calibri" w:hAnsi="Calibri" w:hint="eastAsia"/>
          <w:b/>
          <w:color w:val="auto"/>
          <w:sz w:val="24"/>
          <w:u w:val="single"/>
        </w:rPr>
        <w:t>根据</w:t>
      </w:r>
      <w:r w:rsidRPr="00290094">
        <w:rPr>
          <w:rFonts w:ascii="Calibri" w:hAnsi="Calibri"/>
          <w:b/>
          <w:color w:val="auto"/>
          <w:sz w:val="24"/>
          <w:u w:val="single"/>
        </w:rPr>
        <w:t>尼龙</w:t>
      </w:r>
      <w:r w:rsidRPr="00290094">
        <w:rPr>
          <w:rFonts w:ascii="Calibri" w:hAnsi="Calibri" w:hint="eastAsia"/>
          <w:b/>
          <w:color w:val="auto"/>
          <w:sz w:val="24"/>
          <w:u w:val="single"/>
        </w:rPr>
        <w:t>66</w:t>
      </w:r>
      <w:r w:rsidRPr="00290094">
        <w:rPr>
          <w:rFonts w:ascii="Calibri" w:hAnsi="Calibri" w:hint="eastAsia"/>
          <w:b/>
          <w:color w:val="auto"/>
          <w:sz w:val="24"/>
          <w:u w:val="single"/>
        </w:rPr>
        <w:t>盐</w:t>
      </w:r>
      <w:r w:rsidRPr="00290094">
        <w:rPr>
          <w:rFonts w:ascii="Calibri" w:hAnsi="Calibri"/>
          <w:b/>
          <w:color w:val="auto"/>
          <w:sz w:val="24"/>
          <w:u w:val="single"/>
        </w:rPr>
        <w:t>溶液</w:t>
      </w:r>
      <w:r w:rsidRPr="00290094">
        <w:rPr>
          <w:rFonts w:ascii="Calibri" w:hAnsi="Calibri" w:hint="eastAsia"/>
          <w:b/>
          <w:color w:val="auto"/>
          <w:sz w:val="24"/>
          <w:u w:val="single"/>
        </w:rPr>
        <w:t>成分、冷却塔冷却</w:t>
      </w:r>
      <w:r w:rsidRPr="00290094">
        <w:rPr>
          <w:rFonts w:ascii="Calibri" w:hAnsi="Calibri"/>
          <w:b/>
          <w:color w:val="auto"/>
          <w:sz w:val="24"/>
          <w:u w:val="single"/>
        </w:rPr>
        <w:t>效率</w:t>
      </w:r>
      <w:r w:rsidRPr="00290094">
        <w:rPr>
          <w:rFonts w:ascii="Calibri" w:hAnsi="Calibri" w:hint="eastAsia"/>
          <w:b/>
          <w:color w:val="auto"/>
          <w:sz w:val="24"/>
          <w:u w:val="single"/>
        </w:rPr>
        <w:t>及平顶山神马工程塑料科技发展有限公司生产</w:t>
      </w:r>
      <w:r w:rsidRPr="00290094">
        <w:rPr>
          <w:rFonts w:ascii="Calibri" w:hAnsi="Calibri"/>
          <w:b/>
          <w:color w:val="auto"/>
          <w:sz w:val="24"/>
          <w:u w:val="single"/>
        </w:rPr>
        <w:t>经验数据，</w:t>
      </w:r>
      <w:r w:rsidRPr="00290094">
        <w:rPr>
          <w:rFonts w:ascii="Calibri" w:hAnsi="Calibri" w:hint="eastAsia"/>
          <w:b/>
          <w:color w:val="auto"/>
          <w:sz w:val="24"/>
          <w:u w:val="single"/>
        </w:rPr>
        <w:t>确定</w:t>
      </w:r>
      <w:r w:rsidRPr="00290094">
        <w:rPr>
          <w:rFonts w:ascii="Calibri" w:hAnsi="Calibri"/>
          <w:b/>
          <w:color w:val="auto"/>
          <w:sz w:val="24"/>
          <w:u w:val="single"/>
        </w:rPr>
        <w:t>本项目</w:t>
      </w:r>
      <w:r w:rsidRPr="00290094">
        <w:rPr>
          <w:rFonts w:ascii="Calibri" w:hAnsi="Calibri" w:hint="eastAsia"/>
          <w:b/>
          <w:color w:val="auto"/>
          <w:sz w:val="24"/>
          <w:u w:val="single"/>
        </w:rPr>
        <w:t>各</w:t>
      </w:r>
      <w:r w:rsidRPr="00290094">
        <w:rPr>
          <w:rFonts w:ascii="Calibri" w:hAnsi="Calibri"/>
          <w:b/>
          <w:color w:val="auto"/>
          <w:sz w:val="24"/>
          <w:u w:val="single"/>
        </w:rPr>
        <w:t>污染物产生量。</w:t>
      </w:r>
    </w:p>
    <w:p w14:paraId="56147762" w14:textId="77777777" w:rsidR="00321C47" w:rsidRPr="00290094" w:rsidRDefault="00321C47" w:rsidP="00321C47">
      <w:pPr>
        <w:spacing w:line="520" w:lineRule="exact"/>
        <w:ind w:firstLineChars="200" w:firstLine="482"/>
        <w:rPr>
          <w:rFonts w:ascii="Calibri" w:hAnsi="Calibri"/>
          <w:b/>
          <w:color w:val="auto"/>
          <w:sz w:val="24"/>
          <w:u w:val="single"/>
        </w:rPr>
      </w:pPr>
      <w:r w:rsidRPr="00290094">
        <w:rPr>
          <w:rFonts w:ascii="Calibri" w:hAnsi="Calibri" w:hint="eastAsia"/>
          <w:b/>
          <w:color w:val="auto"/>
          <w:sz w:val="24"/>
          <w:u w:val="single"/>
        </w:rPr>
        <w:t>（</w:t>
      </w:r>
      <w:r w:rsidRPr="00290094">
        <w:rPr>
          <w:rFonts w:ascii="Calibri" w:hAnsi="Calibri" w:hint="eastAsia"/>
          <w:b/>
          <w:color w:val="auto"/>
          <w:sz w:val="24"/>
          <w:u w:val="single"/>
        </w:rPr>
        <w:t>1</w:t>
      </w:r>
      <w:r w:rsidRPr="00290094">
        <w:rPr>
          <w:rFonts w:ascii="Calibri" w:hAnsi="Calibri" w:hint="eastAsia"/>
          <w:b/>
          <w:color w:val="auto"/>
          <w:sz w:val="24"/>
          <w:u w:val="single"/>
        </w:rPr>
        <w:t>）一期</w:t>
      </w:r>
      <w:r w:rsidRPr="00290094">
        <w:rPr>
          <w:rFonts w:ascii="Calibri" w:hAnsi="Calibri"/>
          <w:b/>
          <w:color w:val="auto"/>
          <w:sz w:val="24"/>
          <w:u w:val="single"/>
        </w:rPr>
        <w:t>工程</w:t>
      </w:r>
    </w:p>
    <w:p w14:paraId="6A34BEE5" w14:textId="77777777" w:rsidR="003210FE" w:rsidRPr="00290094" w:rsidRDefault="00B30095" w:rsidP="00031A77">
      <w:pPr>
        <w:spacing w:line="520" w:lineRule="exact"/>
        <w:ind w:firstLineChars="200" w:firstLine="482"/>
        <w:rPr>
          <w:rFonts w:ascii="Calibri" w:hAnsi="Calibri"/>
          <w:b/>
          <w:color w:val="auto"/>
          <w:sz w:val="24"/>
          <w:u w:val="single"/>
        </w:rPr>
      </w:pPr>
      <w:r w:rsidRPr="00290094">
        <w:rPr>
          <w:rFonts w:ascii="Calibri" w:hAnsi="Calibri" w:hint="eastAsia"/>
          <w:b/>
          <w:color w:val="auto"/>
          <w:sz w:val="24"/>
          <w:u w:val="single"/>
        </w:rPr>
        <w:t>项目正常运营后需要原料为尼龙</w:t>
      </w:r>
      <w:r w:rsidRPr="00290094">
        <w:rPr>
          <w:rFonts w:ascii="Calibri" w:hAnsi="Calibri" w:hint="eastAsia"/>
          <w:b/>
          <w:color w:val="auto"/>
          <w:sz w:val="24"/>
          <w:u w:val="single"/>
        </w:rPr>
        <w:t>66</w:t>
      </w:r>
      <w:r w:rsidRPr="00290094">
        <w:rPr>
          <w:rFonts w:ascii="Calibri" w:hAnsi="Calibri" w:hint="eastAsia"/>
          <w:b/>
          <w:color w:val="auto"/>
          <w:sz w:val="24"/>
          <w:u w:val="single"/>
        </w:rPr>
        <w:t>盐溶液（</w:t>
      </w:r>
      <w:r w:rsidRPr="00290094">
        <w:rPr>
          <w:rFonts w:ascii="Calibri" w:hAnsi="Calibri" w:hint="eastAsia"/>
          <w:b/>
          <w:color w:val="auto"/>
          <w:sz w:val="24"/>
          <w:u w:val="single"/>
        </w:rPr>
        <w:t>50%</w:t>
      </w:r>
      <w:r w:rsidRPr="00290094">
        <w:rPr>
          <w:rFonts w:ascii="Calibri" w:hAnsi="Calibri" w:hint="eastAsia"/>
          <w:b/>
          <w:color w:val="auto"/>
          <w:sz w:val="24"/>
          <w:u w:val="single"/>
        </w:rPr>
        <w:t>）、尼龙</w:t>
      </w:r>
      <w:r w:rsidRPr="00290094">
        <w:rPr>
          <w:rFonts w:ascii="Calibri" w:hAnsi="Calibri" w:hint="eastAsia"/>
          <w:b/>
          <w:color w:val="auto"/>
          <w:sz w:val="24"/>
          <w:u w:val="single"/>
        </w:rPr>
        <w:t>12</w:t>
      </w:r>
      <w:r w:rsidRPr="00290094">
        <w:rPr>
          <w:rFonts w:ascii="Calibri" w:hAnsi="Calibri" w:hint="eastAsia"/>
          <w:b/>
          <w:color w:val="auto"/>
          <w:sz w:val="24"/>
          <w:u w:val="single"/>
        </w:rPr>
        <w:t>盐、尼龙</w:t>
      </w:r>
      <w:r w:rsidRPr="00290094">
        <w:rPr>
          <w:rFonts w:ascii="Calibri" w:hAnsi="Calibri" w:hint="eastAsia"/>
          <w:b/>
          <w:color w:val="auto"/>
          <w:sz w:val="24"/>
          <w:u w:val="single"/>
        </w:rPr>
        <w:t>1010</w:t>
      </w:r>
      <w:r w:rsidRPr="00290094">
        <w:rPr>
          <w:rFonts w:ascii="Calibri" w:hAnsi="Calibri" w:hint="eastAsia"/>
          <w:b/>
          <w:color w:val="auto"/>
          <w:sz w:val="24"/>
          <w:u w:val="single"/>
        </w:rPr>
        <w:t>盐以及少量添加剂（抗氧剂次磷酸钠），聚合物浓度</w:t>
      </w:r>
      <w:r w:rsidRPr="00290094">
        <w:rPr>
          <w:rFonts w:ascii="Calibri" w:hAnsi="Calibri" w:hint="eastAsia"/>
          <w:b/>
          <w:color w:val="auto"/>
          <w:sz w:val="24"/>
          <w:u w:val="single"/>
        </w:rPr>
        <w:t>99.</w:t>
      </w:r>
      <w:r w:rsidR="00A91D4E" w:rsidRPr="00290094">
        <w:rPr>
          <w:rFonts w:ascii="Calibri" w:hAnsi="Calibri"/>
          <w:b/>
          <w:color w:val="auto"/>
          <w:sz w:val="24"/>
          <w:u w:val="single"/>
        </w:rPr>
        <w:t>9</w:t>
      </w:r>
      <w:r w:rsidRPr="00290094">
        <w:rPr>
          <w:rFonts w:ascii="Calibri" w:hAnsi="Calibri" w:hint="eastAsia"/>
          <w:b/>
          <w:color w:val="auto"/>
          <w:sz w:val="24"/>
          <w:u w:val="single"/>
        </w:rPr>
        <w:t>%</w:t>
      </w:r>
      <w:r w:rsidRPr="00290094">
        <w:rPr>
          <w:rFonts w:ascii="Calibri" w:hAnsi="Calibri" w:hint="eastAsia"/>
          <w:b/>
          <w:color w:val="auto"/>
          <w:sz w:val="24"/>
          <w:u w:val="single"/>
        </w:rPr>
        <w:t>，根据投入原料量</w:t>
      </w:r>
      <w:r w:rsidR="0083308C" w:rsidRPr="00290094">
        <w:rPr>
          <w:rFonts w:ascii="Calibri" w:hAnsi="Calibri" w:hint="eastAsia"/>
          <w:b/>
          <w:color w:val="auto"/>
          <w:sz w:val="24"/>
          <w:u w:val="single"/>
        </w:rPr>
        <w:t>，</w:t>
      </w:r>
      <w:r w:rsidRPr="00290094">
        <w:rPr>
          <w:rFonts w:ascii="Calibri" w:hAnsi="Calibri" w:hint="eastAsia"/>
          <w:b/>
          <w:color w:val="auto"/>
          <w:sz w:val="24"/>
          <w:u w:val="single"/>
        </w:rPr>
        <w:t>确定生产工艺物料平衡一览表见</w:t>
      </w:r>
      <w:r w:rsidRPr="00290094">
        <w:rPr>
          <w:rFonts w:ascii="Calibri" w:hAnsi="Calibri" w:hint="eastAsia"/>
          <w:b/>
          <w:color w:val="auto"/>
          <w:sz w:val="24"/>
          <w:u w:val="single"/>
        </w:rPr>
        <w:t>2.</w:t>
      </w:r>
      <w:r w:rsidR="00A91D4E" w:rsidRPr="00290094">
        <w:rPr>
          <w:rFonts w:ascii="Calibri" w:hAnsi="Calibri"/>
          <w:b/>
          <w:color w:val="auto"/>
          <w:sz w:val="24"/>
          <w:u w:val="single"/>
        </w:rPr>
        <w:t>2</w:t>
      </w:r>
      <w:r w:rsidRPr="00290094">
        <w:rPr>
          <w:rFonts w:ascii="Calibri" w:hAnsi="Calibri" w:hint="eastAsia"/>
          <w:b/>
          <w:color w:val="auto"/>
          <w:sz w:val="24"/>
          <w:u w:val="single"/>
        </w:rPr>
        <w:t>-2</w:t>
      </w:r>
      <w:r w:rsidRPr="00290094">
        <w:rPr>
          <w:rFonts w:ascii="Calibri" w:hAnsi="Calibri" w:hint="eastAsia"/>
          <w:b/>
          <w:color w:val="auto"/>
          <w:sz w:val="24"/>
          <w:u w:val="single"/>
        </w:rPr>
        <w:t>，</w:t>
      </w:r>
      <w:r w:rsidR="003210FE" w:rsidRPr="00290094">
        <w:rPr>
          <w:rFonts w:ascii="Calibri" w:hAnsi="Calibri" w:hint="eastAsia"/>
          <w:b/>
          <w:color w:val="auto"/>
          <w:sz w:val="24"/>
          <w:u w:val="single"/>
        </w:rPr>
        <w:t>己二胺</w:t>
      </w:r>
      <w:r w:rsidR="003210FE" w:rsidRPr="00290094">
        <w:rPr>
          <w:rFonts w:ascii="Calibri" w:hAnsi="Calibri"/>
          <w:b/>
          <w:color w:val="auto"/>
          <w:sz w:val="24"/>
          <w:u w:val="single"/>
        </w:rPr>
        <w:t>物料平衡</w:t>
      </w:r>
      <w:r w:rsidR="003210FE" w:rsidRPr="00290094">
        <w:rPr>
          <w:rFonts w:ascii="Calibri" w:hAnsi="Calibri" w:hint="eastAsia"/>
          <w:b/>
          <w:color w:val="auto"/>
          <w:sz w:val="24"/>
          <w:u w:val="single"/>
        </w:rPr>
        <w:t>一览表</w:t>
      </w:r>
      <w:r w:rsidR="003210FE" w:rsidRPr="00290094">
        <w:rPr>
          <w:rFonts w:ascii="Calibri" w:hAnsi="Calibri"/>
          <w:b/>
          <w:color w:val="auto"/>
          <w:sz w:val="24"/>
          <w:u w:val="single"/>
        </w:rPr>
        <w:t>见</w:t>
      </w:r>
      <w:r w:rsidR="003210FE" w:rsidRPr="00290094">
        <w:rPr>
          <w:rFonts w:ascii="Calibri" w:hAnsi="Calibri" w:hint="eastAsia"/>
          <w:b/>
          <w:color w:val="auto"/>
          <w:sz w:val="24"/>
          <w:u w:val="single"/>
        </w:rPr>
        <w:t>2.2-3</w:t>
      </w:r>
      <w:r w:rsidR="003210FE" w:rsidRPr="00290094">
        <w:rPr>
          <w:rFonts w:ascii="Calibri" w:hAnsi="Calibri" w:hint="eastAsia"/>
          <w:b/>
          <w:color w:val="auto"/>
          <w:sz w:val="24"/>
          <w:u w:val="single"/>
        </w:rPr>
        <w:t>，一期物料平衡</w:t>
      </w:r>
      <w:r w:rsidRPr="00290094">
        <w:rPr>
          <w:rFonts w:ascii="Calibri" w:hAnsi="Calibri" w:hint="eastAsia"/>
          <w:b/>
          <w:color w:val="auto"/>
          <w:sz w:val="24"/>
          <w:u w:val="single"/>
        </w:rPr>
        <w:t>见</w:t>
      </w:r>
      <w:r w:rsidR="003210FE" w:rsidRPr="00290094">
        <w:rPr>
          <w:rFonts w:ascii="Calibri" w:hAnsi="Calibri" w:hint="eastAsia"/>
          <w:b/>
          <w:color w:val="auto"/>
          <w:sz w:val="24"/>
          <w:u w:val="single"/>
        </w:rPr>
        <w:t>图</w:t>
      </w:r>
      <w:r w:rsidRPr="00290094">
        <w:rPr>
          <w:rFonts w:ascii="Calibri" w:hAnsi="Calibri" w:hint="eastAsia"/>
          <w:b/>
          <w:color w:val="auto"/>
          <w:sz w:val="24"/>
          <w:u w:val="single"/>
        </w:rPr>
        <w:t>2.</w:t>
      </w:r>
      <w:r w:rsidR="00A91D4E" w:rsidRPr="00290094">
        <w:rPr>
          <w:rFonts w:ascii="Calibri" w:hAnsi="Calibri"/>
          <w:b/>
          <w:color w:val="auto"/>
          <w:sz w:val="24"/>
          <w:u w:val="single"/>
        </w:rPr>
        <w:t>2</w:t>
      </w:r>
      <w:r w:rsidRPr="00290094">
        <w:rPr>
          <w:rFonts w:ascii="Calibri" w:hAnsi="Calibri" w:hint="eastAsia"/>
          <w:b/>
          <w:color w:val="auto"/>
          <w:sz w:val="24"/>
          <w:u w:val="single"/>
        </w:rPr>
        <w:t>-2</w:t>
      </w:r>
      <w:r w:rsidRPr="00290094">
        <w:rPr>
          <w:rFonts w:ascii="Calibri" w:hAnsi="Calibri" w:hint="eastAsia"/>
          <w:b/>
          <w:color w:val="auto"/>
          <w:sz w:val="24"/>
          <w:u w:val="single"/>
        </w:rPr>
        <w:t>。</w:t>
      </w:r>
    </w:p>
    <w:p w14:paraId="048C3E4C" w14:textId="77777777" w:rsidR="00A91D4E" w:rsidRPr="00A964FF" w:rsidRDefault="00A91D4E" w:rsidP="00A91D4E">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.2</w:t>
      </w:r>
      <w:r w:rsidRPr="00A964FF">
        <w:rPr>
          <w:rFonts w:ascii="Calibri" w:eastAsia="黑体" w:hAnsi="Calibri"/>
          <w:color w:val="auto"/>
          <w:sz w:val="24"/>
        </w:rPr>
        <w:t>-</w:t>
      </w:r>
      <w:r>
        <w:rPr>
          <w:rFonts w:ascii="Calibri" w:eastAsia="黑体" w:hAnsi="Calibri"/>
          <w:color w:val="auto"/>
          <w:sz w:val="24"/>
        </w:rPr>
        <w:t>2</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Pr>
          <w:rFonts w:ascii="Calibri" w:eastAsia="黑体" w:hAnsi="Calibri" w:hint="eastAsia"/>
          <w:color w:val="auto"/>
          <w:sz w:val="24"/>
        </w:rPr>
        <w:t xml:space="preserve">   </w:t>
      </w:r>
      <w:r w:rsidR="0083308C" w:rsidRPr="0083308C">
        <w:rPr>
          <w:rFonts w:ascii="Calibri" w:eastAsia="黑体" w:hAnsi="Calibri" w:hint="eastAsia"/>
          <w:color w:val="auto"/>
          <w:sz w:val="24"/>
        </w:rPr>
        <w:t>透明尼龙</w:t>
      </w:r>
      <w:r>
        <w:rPr>
          <w:rFonts w:ascii="Calibri" w:eastAsia="黑体" w:hAnsi="Calibri" w:hint="eastAsia"/>
          <w:color w:val="auto"/>
          <w:sz w:val="24"/>
        </w:rPr>
        <w:t>切片</w:t>
      </w:r>
      <w:r w:rsidR="009671B2">
        <w:rPr>
          <w:rFonts w:ascii="Calibri" w:eastAsia="黑体" w:hAnsi="Calibri" w:hint="eastAsia"/>
          <w:color w:val="auto"/>
          <w:sz w:val="24"/>
        </w:rPr>
        <w:t>一期</w:t>
      </w:r>
      <w:r w:rsidRPr="00A964FF">
        <w:rPr>
          <w:rFonts w:ascii="Calibri" w:eastAsia="黑体" w:hAnsi="Calibri" w:hint="eastAsia"/>
          <w:color w:val="auto"/>
          <w:sz w:val="24"/>
        </w:rPr>
        <w:t>生产</w:t>
      </w:r>
      <w:r>
        <w:rPr>
          <w:rFonts w:ascii="Calibri" w:eastAsia="黑体" w:hAnsi="Calibri" w:hint="eastAsia"/>
          <w:color w:val="auto"/>
          <w:sz w:val="24"/>
        </w:rPr>
        <w:t>工艺物料</w:t>
      </w:r>
      <w:r>
        <w:rPr>
          <w:rFonts w:ascii="Calibri" w:eastAsia="黑体" w:hAnsi="Calibri"/>
          <w:color w:val="auto"/>
          <w:sz w:val="24"/>
        </w:rPr>
        <w:t>平衡</w:t>
      </w:r>
      <w:r>
        <w:rPr>
          <w:rFonts w:ascii="Calibri" w:eastAsia="黑体" w:hAnsi="Calibri" w:hint="eastAsia"/>
          <w:color w:val="auto"/>
          <w:sz w:val="24"/>
        </w:rPr>
        <w:t>一览</w:t>
      </w:r>
      <w:r>
        <w:rPr>
          <w:rFonts w:ascii="Calibri" w:eastAsia="黑体" w:hAnsi="Calibri"/>
          <w:color w:val="auto"/>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680"/>
        <w:gridCol w:w="2018"/>
        <w:gridCol w:w="2377"/>
        <w:gridCol w:w="1625"/>
      </w:tblGrid>
      <w:tr w:rsidR="00B10481" w:rsidRPr="00A964FF" w14:paraId="0493E4A6" w14:textId="77777777" w:rsidTr="003210FE">
        <w:trPr>
          <w:cantSplit/>
          <w:trHeight w:val="340"/>
          <w:jc w:val="center"/>
        </w:trPr>
        <w:tc>
          <w:tcPr>
            <w:tcW w:w="2700" w:type="pct"/>
            <w:gridSpan w:val="2"/>
            <w:vAlign w:val="center"/>
          </w:tcPr>
          <w:p w14:paraId="133E9AB1" w14:textId="77777777" w:rsidR="00B10481" w:rsidRPr="00A964FF" w:rsidRDefault="00B10481" w:rsidP="002015D7">
            <w:pPr>
              <w:jc w:val="center"/>
              <w:rPr>
                <w:rFonts w:ascii="Calibri" w:hAnsi="Calibri"/>
                <w:color w:val="auto"/>
                <w:szCs w:val="21"/>
              </w:rPr>
            </w:pPr>
            <w:r w:rsidRPr="00A964FF">
              <w:rPr>
                <w:rFonts w:ascii="Calibri"/>
                <w:color w:val="auto"/>
                <w:szCs w:val="21"/>
              </w:rPr>
              <w:t>输入方</w:t>
            </w:r>
          </w:p>
        </w:tc>
        <w:tc>
          <w:tcPr>
            <w:tcW w:w="2300" w:type="pct"/>
            <w:gridSpan w:val="2"/>
            <w:tcBorders>
              <w:left w:val="single" w:sz="4" w:space="0" w:color="auto"/>
            </w:tcBorders>
            <w:vAlign w:val="center"/>
          </w:tcPr>
          <w:p w14:paraId="63C12ACD" w14:textId="77777777" w:rsidR="00B10481" w:rsidRPr="00A964FF" w:rsidRDefault="00B10481" w:rsidP="002015D7">
            <w:pPr>
              <w:jc w:val="center"/>
              <w:rPr>
                <w:rFonts w:ascii="Calibri" w:hAnsi="Calibri"/>
                <w:color w:val="auto"/>
                <w:szCs w:val="21"/>
              </w:rPr>
            </w:pPr>
            <w:r w:rsidRPr="00A964FF">
              <w:rPr>
                <w:rFonts w:ascii="Calibri"/>
                <w:color w:val="auto"/>
                <w:szCs w:val="21"/>
              </w:rPr>
              <w:t>输出方</w:t>
            </w:r>
          </w:p>
        </w:tc>
      </w:tr>
      <w:tr w:rsidR="00B10481" w:rsidRPr="00A964FF" w14:paraId="6F9CFC7C" w14:textId="77777777" w:rsidTr="00AF5AB9">
        <w:trPr>
          <w:cantSplit/>
          <w:trHeight w:val="340"/>
          <w:jc w:val="center"/>
        </w:trPr>
        <w:tc>
          <w:tcPr>
            <w:tcW w:w="1540" w:type="pct"/>
            <w:vAlign w:val="center"/>
          </w:tcPr>
          <w:p w14:paraId="38B7768B" w14:textId="77777777" w:rsidR="00B10481" w:rsidRPr="00A964FF" w:rsidRDefault="00B10481" w:rsidP="002015D7">
            <w:pPr>
              <w:jc w:val="center"/>
              <w:rPr>
                <w:rFonts w:ascii="Calibri" w:hAnsi="Calibri"/>
                <w:color w:val="auto"/>
                <w:szCs w:val="21"/>
              </w:rPr>
            </w:pPr>
            <w:r w:rsidRPr="00A964FF">
              <w:rPr>
                <w:rFonts w:ascii="Calibri"/>
                <w:color w:val="auto"/>
                <w:szCs w:val="21"/>
              </w:rPr>
              <w:t>名称</w:t>
            </w:r>
          </w:p>
        </w:tc>
        <w:tc>
          <w:tcPr>
            <w:tcW w:w="1160" w:type="pct"/>
            <w:vAlign w:val="center"/>
          </w:tcPr>
          <w:p w14:paraId="714B7BD9" w14:textId="77777777" w:rsidR="00B10481" w:rsidRPr="00A964FF" w:rsidRDefault="00B10481" w:rsidP="003E5D2B">
            <w:pPr>
              <w:jc w:val="center"/>
              <w:rPr>
                <w:rFonts w:ascii="Calibri"/>
                <w:color w:val="auto"/>
                <w:szCs w:val="21"/>
              </w:rPr>
            </w:pPr>
            <w:r>
              <w:rPr>
                <w:rFonts w:ascii="Calibri" w:hint="eastAsia"/>
                <w:color w:val="auto"/>
                <w:szCs w:val="21"/>
              </w:rPr>
              <w:t>物料消耗</w:t>
            </w:r>
            <w:r w:rsidRPr="00A964FF">
              <w:rPr>
                <w:rFonts w:ascii="Calibri" w:hint="eastAsia"/>
                <w:color w:val="auto"/>
                <w:szCs w:val="21"/>
              </w:rPr>
              <w:t>（</w:t>
            </w:r>
            <w:r>
              <w:rPr>
                <w:rFonts w:ascii="Calibri"/>
                <w:color w:val="auto"/>
                <w:szCs w:val="21"/>
              </w:rPr>
              <w:t>t</w:t>
            </w:r>
            <w:r>
              <w:rPr>
                <w:rFonts w:ascii="Calibri" w:hint="eastAsia"/>
                <w:color w:val="auto"/>
                <w:szCs w:val="21"/>
              </w:rPr>
              <w:t>/</w:t>
            </w:r>
            <w:r>
              <w:rPr>
                <w:rFonts w:ascii="Calibri"/>
                <w:color w:val="auto"/>
                <w:szCs w:val="21"/>
              </w:rPr>
              <w:t>a</w:t>
            </w:r>
            <w:r w:rsidRPr="00A964FF">
              <w:rPr>
                <w:rFonts w:ascii="Calibri" w:hint="eastAsia"/>
                <w:color w:val="auto"/>
                <w:szCs w:val="21"/>
              </w:rPr>
              <w:t>）</w:t>
            </w:r>
          </w:p>
        </w:tc>
        <w:tc>
          <w:tcPr>
            <w:tcW w:w="1366" w:type="pct"/>
            <w:tcBorders>
              <w:left w:val="single" w:sz="4" w:space="0" w:color="auto"/>
            </w:tcBorders>
            <w:vAlign w:val="center"/>
          </w:tcPr>
          <w:p w14:paraId="77DB2D5D" w14:textId="77777777" w:rsidR="00B10481" w:rsidRPr="00A964FF" w:rsidRDefault="00B10481" w:rsidP="002015D7">
            <w:pPr>
              <w:jc w:val="center"/>
              <w:rPr>
                <w:rFonts w:ascii="Calibri" w:hAnsi="Calibri"/>
                <w:color w:val="auto"/>
                <w:szCs w:val="21"/>
              </w:rPr>
            </w:pPr>
            <w:r w:rsidRPr="00A964FF">
              <w:rPr>
                <w:rFonts w:ascii="Calibri"/>
                <w:color w:val="auto"/>
                <w:szCs w:val="21"/>
              </w:rPr>
              <w:t>名称</w:t>
            </w:r>
          </w:p>
        </w:tc>
        <w:tc>
          <w:tcPr>
            <w:tcW w:w="934" w:type="pct"/>
            <w:vAlign w:val="center"/>
          </w:tcPr>
          <w:p w14:paraId="2E683A9A" w14:textId="77777777" w:rsidR="00B10481" w:rsidRPr="00A964FF" w:rsidRDefault="00B10481" w:rsidP="002015D7">
            <w:pPr>
              <w:jc w:val="center"/>
              <w:rPr>
                <w:rFonts w:ascii="Calibri"/>
                <w:color w:val="auto"/>
                <w:szCs w:val="21"/>
              </w:rPr>
            </w:pPr>
            <w:r>
              <w:rPr>
                <w:rFonts w:ascii="Calibri" w:hint="eastAsia"/>
                <w:color w:val="auto"/>
                <w:szCs w:val="21"/>
              </w:rPr>
              <w:t>数量</w:t>
            </w:r>
            <w:r w:rsidRPr="00A964FF">
              <w:rPr>
                <w:rFonts w:ascii="Calibri" w:hint="eastAsia"/>
                <w:color w:val="auto"/>
                <w:szCs w:val="21"/>
              </w:rPr>
              <w:t>（</w:t>
            </w:r>
            <w:r>
              <w:rPr>
                <w:rFonts w:ascii="Calibri"/>
                <w:color w:val="auto"/>
                <w:szCs w:val="21"/>
              </w:rPr>
              <w:t>t</w:t>
            </w:r>
            <w:r>
              <w:rPr>
                <w:rFonts w:ascii="Calibri" w:hint="eastAsia"/>
                <w:color w:val="auto"/>
                <w:szCs w:val="21"/>
              </w:rPr>
              <w:t>/</w:t>
            </w:r>
            <w:r>
              <w:rPr>
                <w:rFonts w:ascii="Calibri"/>
                <w:color w:val="auto"/>
                <w:szCs w:val="21"/>
              </w:rPr>
              <w:t>a</w:t>
            </w:r>
            <w:r w:rsidRPr="00A964FF">
              <w:rPr>
                <w:rFonts w:ascii="Calibri" w:hint="eastAsia"/>
                <w:color w:val="auto"/>
                <w:szCs w:val="21"/>
              </w:rPr>
              <w:t>）</w:t>
            </w:r>
          </w:p>
        </w:tc>
      </w:tr>
      <w:tr w:rsidR="00B10481" w:rsidRPr="00A964FF" w14:paraId="6475E87F" w14:textId="77777777" w:rsidTr="00AF5AB9">
        <w:trPr>
          <w:cantSplit/>
          <w:trHeight w:val="270"/>
          <w:jc w:val="center"/>
        </w:trPr>
        <w:tc>
          <w:tcPr>
            <w:tcW w:w="1540" w:type="pct"/>
            <w:vAlign w:val="center"/>
          </w:tcPr>
          <w:p w14:paraId="748F1961" w14:textId="77777777" w:rsidR="00B10481" w:rsidRPr="003210FE" w:rsidRDefault="00B10481" w:rsidP="002015D7">
            <w:pPr>
              <w:jc w:val="center"/>
              <w:rPr>
                <w:rFonts w:ascii="Calibri"/>
                <w:color w:val="auto"/>
                <w:szCs w:val="21"/>
              </w:rPr>
            </w:pPr>
            <w:r w:rsidRPr="003210FE">
              <w:rPr>
                <w:rFonts w:ascii="Calibri" w:hint="eastAsia"/>
                <w:color w:val="auto"/>
                <w:szCs w:val="21"/>
              </w:rPr>
              <w:t>尼龙</w:t>
            </w:r>
            <w:r w:rsidRPr="003210FE">
              <w:rPr>
                <w:rFonts w:ascii="Calibri" w:hint="eastAsia"/>
                <w:color w:val="auto"/>
                <w:szCs w:val="21"/>
              </w:rPr>
              <w:t>66</w:t>
            </w:r>
            <w:r w:rsidRPr="003210FE">
              <w:rPr>
                <w:rFonts w:ascii="Calibri" w:hint="eastAsia"/>
                <w:color w:val="auto"/>
                <w:szCs w:val="21"/>
              </w:rPr>
              <w:t>盐溶液（</w:t>
            </w:r>
            <w:r w:rsidRPr="003210FE">
              <w:rPr>
                <w:rFonts w:ascii="Calibri" w:hint="eastAsia"/>
                <w:color w:val="auto"/>
                <w:szCs w:val="21"/>
              </w:rPr>
              <w:t>50%</w:t>
            </w:r>
            <w:r w:rsidRPr="003210FE">
              <w:rPr>
                <w:rFonts w:ascii="Calibri" w:hint="eastAsia"/>
                <w:color w:val="auto"/>
                <w:szCs w:val="21"/>
              </w:rPr>
              <w:t>）</w:t>
            </w:r>
          </w:p>
        </w:tc>
        <w:tc>
          <w:tcPr>
            <w:tcW w:w="1160" w:type="pct"/>
            <w:vAlign w:val="center"/>
          </w:tcPr>
          <w:p w14:paraId="30CD93A7" w14:textId="77777777" w:rsidR="00B10481" w:rsidRPr="003210FE" w:rsidRDefault="00B10481" w:rsidP="002015D7">
            <w:pPr>
              <w:jc w:val="center"/>
              <w:rPr>
                <w:rFonts w:ascii="Calibri"/>
                <w:color w:val="auto"/>
                <w:szCs w:val="21"/>
              </w:rPr>
            </w:pPr>
            <w:r w:rsidRPr="003210FE">
              <w:rPr>
                <w:rFonts w:ascii="Calibri" w:hint="eastAsia"/>
                <w:color w:val="auto"/>
                <w:szCs w:val="21"/>
              </w:rPr>
              <w:t>2400</w:t>
            </w:r>
          </w:p>
        </w:tc>
        <w:tc>
          <w:tcPr>
            <w:tcW w:w="1366" w:type="pct"/>
            <w:vAlign w:val="center"/>
          </w:tcPr>
          <w:p w14:paraId="59A6396B" w14:textId="77777777" w:rsidR="00B10481" w:rsidRPr="00A964FF" w:rsidRDefault="00AF5AB9" w:rsidP="002015D7">
            <w:pPr>
              <w:jc w:val="center"/>
              <w:rPr>
                <w:rFonts w:ascii="Calibri" w:hAnsi="Calibri"/>
                <w:color w:val="auto"/>
                <w:szCs w:val="21"/>
              </w:rPr>
            </w:pPr>
            <w:r>
              <w:rPr>
                <w:rFonts w:ascii="Calibri" w:hAnsi="Calibri" w:hint="eastAsia"/>
                <w:color w:val="auto"/>
                <w:szCs w:val="21"/>
              </w:rPr>
              <w:t>透明尼龙切片</w:t>
            </w:r>
          </w:p>
        </w:tc>
        <w:tc>
          <w:tcPr>
            <w:tcW w:w="934" w:type="pct"/>
            <w:vAlign w:val="center"/>
          </w:tcPr>
          <w:p w14:paraId="58F5B036" w14:textId="77777777" w:rsidR="00B10481" w:rsidRPr="00A964FF" w:rsidRDefault="00B10481" w:rsidP="002015D7">
            <w:pPr>
              <w:jc w:val="center"/>
              <w:rPr>
                <w:rFonts w:ascii="Calibri" w:hAnsi="Calibri"/>
                <w:color w:val="auto"/>
                <w:szCs w:val="21"/>
              </w:rPr>
            </w:pPr>
            <w:r>
              <w:rPr>
                <w:rFonts w:ascii="Calibri" w:hAnsi="Calibri"/>
                <w:color w:val="auto"/>
              </w:rPr>
              <w:t>2500</w:t>
            </w:r>
          </w:p>
        </w:tc>
      </w:tr>
      <w:tr w:rsidR="003210FE" w:rsidRPr="00A964FF" w14:paraId="78222B86" w14:textId="77777777" w:rsidTr="00AF5AB9">
        <w:trPr>
          <w:cantSplit/>
          <w:trHeight w:val="270"/>
          <w:jc w:val="center"/>
        </w:trPr>
        <w:tc>
          <w:tcPr>
            <w:tcW w:w="1540" w:type="pct"/>
            <w:vAlign w:val="center"/>
          </w:tcPr>
          <w:p w14:paraId="1A654B06" w14:textId="77777777" w:rsidR="003210FE" w:rsidRPr="003210FE" w:rsidRDefault="003210FE" w:rsidP="003210FE">
            <w:pPr>
              <w:jc w:val="center"/>
              <w:rPr>
                <w:rFonts w:ascii="Calibri"/>
                <w:color w:val="auto"/>
                <w:szCs w:val="21"/>
              </w:rPr>
            </w:pPr>
            <w:r w:rsidRPr="003210FE">
              <w:rPr>
                <w:rFonts w:ascii="Calibri" w:hint="eastAsia"/>
                <w:color w:val="auto"/>
                <w:szCs w:val="21"/>
              </w:rPr>
              <w:t>尼龙</w:t>
            </w:r>
            <w:r w:rsidRPr="003210FE">
              <w:rPr>
                <w:rFonts w:ascii="Calibri" w:hint="eastAsia"/>
                <w:color w:val="auto"/>
                <w:szCs w:val="21"/>
              </w:rPr>
              <w:t>12</w:t>
            </w:r>
            <w:r w:rsidRPr="003210FE">
              <w:rPr>
                <w:rFonts w:ascii="Calibri" w:hint="eastAsia"/>
                <w:color w:val="auto"/>
                <w:szCs w:val="21"/>
              </w:rPr>
              <w:t>盐</w:t>
            </w:r>
          </w:p>
        </w:tc>
        <w:tc>
          <w:tcPr>
            <w:tcW w:w="1160" w:type="pct"/>
            <w:vAlign w:val="center"/>
          </w:tcPr>
          <w:p w14:paraId="3AFBD476" w14:textId="77777777" w:rsidR="003210FE" w:rsidRPr="003210FE" w:rsidRDefault="003210FE" w:rsidP="003210FE">
            <w:pPr>
              <w:jc w:val="center"/>
              <w:rPr>
                <w:rFonts w:ascii="Calibri"/>
                <w:color w:val="auto"/>
                <w:szCs w:val="21"/>
              </w:rPr>
            </w:pPr>
            <w:r w:rsidRPr="003210FE">
              <w:rPr>
                <w:rFonts w:ascii="Calibri" w:hint="eastAsia"/>
                <w:color w:val="auto"/>
                <w:szCs w:val="21"/>
              </w:rPr>
              <w:t>1200</w:t>
            </w:r>
          </w:p>
        </w:tc>
        <w:tc>
          <w:tcPr>
            <w:tcW w:w="1366" w:type="pct"/>
            <w:vAlign w:val="center"/>
          </w:tcPr>
          <w:p w14:paraId="6A127DF1" w14:textId="77777777" w:rsidR="003210FE" w:rsidRDefault="00AF5AB9" w:rsidP="003210FE">
            <w:pPr>
              <w:jc w:val="center"/>
              <w:rPr>
                <w:rFonts w:ascii="Calibri" w:hAnsi="Calibri"/>
                <w:color w:val="auto"/>
                <w:szCs w:val="21"/>
              </w:rPr>
            </w:pPr>
            <w:r>
              <w:rPr>
                <w:rFonts w:ascii="Calibri" w:hAnsi="Calibri" w:hint="eastAsia"/>
                <w:color w:val="auto"/>
                <w:szCs w:val="21"/>
              </w:rPr>
              <w:t>透明尼龙</w:t>
            </w:r>
            <w:r w:rsidR="003210FE">
              <w:rPr>
                <w:rFonts w:ascii="Calibri" w:hAnsi="Calibri" w:hint="eastAsia"/>
                <w:color w:val="auto"/>
                <w:szCs w:val="21"/>
              </w:rPr>
              <w:t>切片次品</w:t>
            </w:r>
          </w:p>
        </w:tc>
        <w:tc>
          <w:tcPr>
            <w:tcW w:w="934" w:type="pct"/>
            <w:vAlign w:val="center"/>
          </w:tcPr>
          <w:p w14:paraId="627686E7" w14:textId="77777777" w:rsidR="003210FE" w:rsidRDefault="001A1CFE" w:rsidP="003210FE">
            <w:pPr>
              <w:jc w:val="center"/>
              <w:rPr>
                <w:rFonts w:ascii="Calibri" w:hAnsi="Calibri"/>
                <w:color w:val="auto"/>
              </w:rPr>
            </w:pPr>
            <w:r>
              <w:rPr>
                <w:rFonts w:ascii="Calibri" w:hAnsi="Calibri"/>
                <w:color w:val="auto"/>
              </w:rPr>
              <w:t>15.47</w:t>
            </w:r>
          </w:p>
        </w:tc>
      </w:tr>
      <w:tr w:rsidR="0078778C" w:rsidRPr="00A964FF" w14:paraId="5EA39158" w14:textId="77777777" w:rsidTr="00AF5AB9">
        <w:trPr>
          <w:cantSplit/>
          <w:trHeight w:val="340"/>
          <w:jc w:val="center"/>
        </w:trPr>
        <w:tc>
          <w:tcPr>
            <w:tcW w:w="1540" w:type="pct"/>
            <w:vAlign w:val="center"/>
          </w:tcPr>
          <w:p w14:paraId="51ECAB31" w14:textId="77777777" w:rsidR="0078778C" w:rsidRPr="003210FE" w:rsidRDefault="0078778C" w:rsidP="0078778C">
            <w:pPr>
              <w:jc w:val="center"/>
              <w:rPr>
                <w:rFonts w:ascii="Calibri"/>
                <w:color w:val="auto"/>
                <w:szCs w:val="21"/>
              </w:rPr>
            </w:pPr>
            <w:r w:rsidRPr="003210FE">
              <w:rPr>
                <w:rFonts w:ascii="Calibri" w:hint="eastAsia"/>
                <w:color w:val="auto"/>
                <w:szCs w:val="21"/>
              </w:rPr>
              <w:t>尼龙</w:t>
            </w:r>
            <w:r w:rsidRPr="003210FE">
              <w:rPr>
                <w:rFonts w:ascii="Calibri" w:hint="eastAsia"/>
                <w:color w:val="auto"/>
                <w:szCs w:val="21"/>
              </w:rPr>
              <w:t>1010</w:t>
            </w:r>
            <w:r w:rsidRPr="003210FE">
              <w:rPr>
                <w:rFonts w:ascii="Calibri" w:hint="eastAsia"/>
                <w:color w:val="auto"/>
                <w:szCs w:val="21"/>
              </w:rPr>
              <w:t>盐</w:t>
            </w:r>
          </w:p>
        </w:tc>
        <w:tc>
          <w:tcPr>
            <w:tcW w:w="1160" w:type="pct"/>
            <w:vAlign w:val="center"/>
          </w:tcPr>
          <w:p w14:paraId="7F7045D9" w14:textId="77777777" w:rsidR="0078778C" w:rsidRPr="003210FE" w:rsidRDefault="0078778C" w:rsidP="0078778C">
            <w:pPr>
              <w:jc w:val="center"/>
              <w:rPr>
                <w:rFonts w:ascii="Calibri"/>
                <w:color w:val="auto"/>
                <w:szCs w:val="21"/>
              </w:rPr>
            </w:pPr>
            <w:r w:rsidRPr="003210FE">
              <w:rPr>
                <w:rFonts w:ascii="Calibri" w:hint="eastAsia"/>
                <w:color w:val="auto"/>
                <w:szCs w:val="21"/>
              </w:rPr>
              <w:t>300</w:t>
            </w:r>
          </w:p>
        </w:tc>
        <w:tc>
          <w:tcPr>
            <w:tcW w:w="1366" w:type="pct"/>
            <w:vAlign w:val="center"/>
          </w:tcPr>
          <w:p w14:paraId="113487E0" w14:textId="77777777" w:rsidR="0078778C" w:rsidRPr="00A964FF" w:rsidRDefault="0078778C" w:rsidP="0078778C">
            <w:pPr>
              <w:jc w:val="center"/>
              <w:rPr>
                <w:rFonts w:ascii="Calibri" w:hAnsi="Calibri"/>
                <w:color w:val="auto"/>
                <w:szCs w:val="21"/>
              </w:rPr>
            </w:pPr>
            <w:r>
              <w:rPr>
                <w:rFonts w:ascii="Calibri" w:hAnsi="Calibri" w:hint="eastAsia"/>
                <w:color w:val="auto"/>
                <w:szCs w:val="21"/>
              </w:rPr>
              <w:t>废气带走</w:t>
            </w:r>
          </w:p>
        </w:tc>
        <w:tc>
          <w:tcPr>
            <w:tcW w:w="934" w:type="pct"/>
            <w:vAlign w:val="center"/>
          </w:tcPr>
          <w:p w14:paraId="274D6189" w14:textId="77777777" w:rsidR="0078778C" w:rsidRDefault="001A1CFE" w:rsidP="0078778C">
            <w:pPr>
              <w:jc w:val="center"/>
              <w:rPr>
                <w:rFonts w:ascii="Calibri" w:hAnsi="Calibri"/>
                <w:color w:val="auto"/>
                <w:szCs w:val="21"/>
              </w:rPr>
            </w:pPr>
            <w:r>
              <w:rPr>
                <w:rFonts w:ascii="Calibri" w:hAnsi="Calibri"/>
                <w:color w:val="auto"/>
                <w:szCs w:val="21"/>
              </w:rPr>
              <w:t>11.654</w:t>
            </w:r>
          </w:p>
        </w:tc>
      </w:tr>
      <w:tr w:rsidR="0078778C" w:rsidRPr="00A964FF" w14:paraId="7EA418FC" w14:textId="77777777" w:rsidTr="00AF5AB9">
        <w:trPr>
          <w:cantSplit/>
          <w:trHeight w:val="340"/>
          <w:jc w:val="center"/>
        </w:trPr>
        <w:tc>
          <w:tcPr>
            <w:tcW w:w="1540" w:type="pct"/>
            <w:vAlign w:val="center"/>
          </w:tcPr>
          <w:p w14:paraId="440BCF3C" w14:textId="77777777" w:rsidR="0078778C" w:rsidRPr="003210FE" w:rsidRDefault="0078778C" w:rsidP="0078778C">
            <w:pPr>
              <w:jc w:val="center"/>
              <w:rPr>
                <w:rFonts w:ascii="Calibri"/>
                <w:color w:val="auto"/>
                <w:szCs w:val="21"/>
              </w:rPr>
            </w:pPr>
            <w:r w:rsidRPr="003210FE">
              <w:rPr>
                <w:rFonts w:ascii="Calibri" w:hint="eastAsia"/>
                <w:color w:val="auto"/>
                <w:szCs w:val="21"/>
              </w:rPr>
              <w:t>次磷酸钠</w:t>
            </w:r>
          </w:p>
        </w:tc>
        <w:tc>
          <w:tcPr>
            <w:tcW w:w="1160" w:type="pct"/>
            <w:vAlign w:val="center"/>
          </w:tcPr>
          <w:p w14:paraId="141A0AB7" w14:textId="77777777" w:rsidR="0078778C" w:rsidRPr="003210FE" w:rsidRDefault="0078778C" w:rsidP="0078778C">
            <w:pPr>
              <w:jc w:val="center"/>
              <w:rPr>
                <w:rFonts w:ascii="Calibri"/>
                <w:color w:val="auto"/>
                <w:szCs w:val="21"/>
              </w:rPr>
            </w:pPr>
            <w:r w:rsidRPr="003210FE">
              <w:rPr>
                <w:rFonts w:ascii="Calibri" w:hint="eastAsia"/>
                <w:color w:val="auto"/>
                <w:szCs w:val="21"/>
              </w:rPr>
              <w:t>0.2</w:t>
            </w:r>
          </w:p>
        </w:tc>
        <w:tc>
          <w:tcPr>
            <w:tcW w:w="1366" w:type="pct"/>
            <w:vAlign w:val="center"/>
          </w:tcPr>
          <w:p w14:paraId="4619C0C2" w14:textId="77777777" w:rsidR="0078778C" w:rsidRPr="00A964FF" w:rsidRDefault="0078778C" w:rsidP="0078778C">
            <w:pPr>
              <w:jc w:val="center"/>
              <w:rPr>
                <w:rFonts w:ascii="Calibri" w:hAnsi="Calibri"/>
                <w:color w:val="auto"/>
                <w:szCs w:val="21"/>
              </w:rPr>
            </w:pPr>
            <w:r>
              <w:rPr>
                <w:rFonts w:ascii="Calibri" w:hAnsi="Calibri" w:hint="eastAsia"/>
                <w:color w:val="auto"/>
                <w:szCs w:val="21"/>
              </w:rPr>
              <w:t>废水</w:t>
            </w:r>
          </w:p>
        </w:tc>
        <w:tc>
          <w:tcPr>
            <w:tcW w:w="934" w:type="pct"/>
            <w:vAlign w:val="center"/>
          </w:tcPr>
          <w:p w14:paraId="6504A7BE" w14:textId="77777777" w:rsidR="0078778C" w:rsidRDefault="001A1CFE" w:rsidP="0078778C">
            <w:pPr>
              <w:jc w:val="center"/>
              <w:rPr>
                <w:rFonts w:ascii="Calibri" w:hAnsi="Calibri"/>
                <w:color w:val="auto"/>
                <w:szCs w:val="21"/>
              </w:rPr>
            </w:pPr>
            <w:r>
              <w:rPr>
                <w:rFonts w:ascii="Calibri" w:hAnsi="Calibri"/>
                <w:color w:val="auto"/>
                <w:szCs w:val="21"/>
              </w:rPr>
              <w:t>1805.076</w:t>
            </w:r>
          </w:p>
        </w:tc>
      </w:tr>
      <w:tr w:rsidR="003210FE" w:rsidRPr="00A964FF" w14:paraId="01B62C80" w14:textId="77777777" w:rsidTr="00AF5AB9">
        <w:trPr>
          <w:cantSplit/>
          <w:trHeight w:val="340"/>
          <w:jc w:val="center"/>
        </w:trPr>
        <w:tc>
          <w:tcPr>
            <w:tcW w:w="1540" w:type="pct"/>
            <w:vAlign w:val="center"/>
          </w:tcPr>
          <w:p w14:paraId="785F6A23" w14:textId="77777777" w:rsidR="003210FE" w:rsidRPr="003210FE" w:rsidRDefault="003210FE" w:rsidP="003210FE">
            <w:pPr>
              <w:jc w:val="center"/>
              <w:rPr>
                <w:rFonts w:ascii="Calibri"/>
                <w:color w:val="auto"/>
                <w:szCs w:val="21"/>
              </w:rPr>
            </w:pPr>
            <w:r w:rsidRPr="003210FE">
              <w:rPr>
                <w:rFonts w:ascii="Calibri" w:hint="eastAsia"/>
                <w:color w:val="auto"/>
                <w:szCs w:val="21"/>
              </w:rPr>
              <w:t>制粒冷却纯水</w:t>
            </w:r>
          </w:p>
        </w:tc>
        <w:tc>
          <w:tcPr>
            <w:tcW w:w="1160" w:type="pct"/>
            <w:vAlign w:val="center"/>
          </w:tcPr>
          <w:p w14:paraId="7F77C4CF" w14:textId="77777777" w:rsidR="003210FE" w:rsidRPr="003210FE" w:rsidRDefault="003210FE" w:rsidP="003210FE">
            <w:pPr>
              <w:jc w:val="center"/>
              <w:rPr>
                <w:rFonts w:ascii="Calibri"/>
                <w:color w:val="auto"/>
                <w:szCs w:val="21"/>
              </w:rPr>
            </w:pPr>
            <w:r w:rsidRPr="003210FE">
              <w:rPr>
                <w:rFonts w:ascii="Calibri" w:hint="eastAsia"/>
                <w:color w:val="auto"/>
                <w:szCs w:val="21"/>
              </w:rPr>
              <w:t>129</w:t>
            </w:r>
          </w:p>
        </w:tc>
        <w:tc>
          <w:tcPr>
            <w:tcW w:w="1366" w:type="pct"/>
            <w:vAlign w:val="center"/>
          </w:tcPr>
          <w:p w14:paraId="30C64265" w14:textId="77777777" w:rsidR="003210FE" w:rsidRDefault="003210FE" w:rsidP="003210FE">
            <w:pPr>
              <w:jc w:val="center"/>
              <w:rPr>
                <w:rFonts w:ascii="Calibri" w:hAnsi="Calibri"/>
                <w:color w:val="auto"/>
                <w:szCs w:val="21"/>
              </w:rPr>
            </w:pPr>
          </w:p>
        </w:tc>
        <w:tc>
          <w:tcPr>
            <w:tcW w:w="934" w:type="pct"/>
            <w:vAlign w:val="center"/>
          </w:tcPr>
          <w:p w14:paraId="40EDE6A5" w14:textId="77777777" w:rsidR="003210FE" w:rsidRDefault="003210FE" w:rsidP="003210FE">
            <w:pPr>
              <w:jc w:val="center"/>
              <w:rPr>
                <w:rFonts w:ascii="Calibri" w:hAnsi="Calibri"/>
                <w:color w:val="auto"/>
                <w:szCs w:val="21"/>
              </w:rPr>
            </w:pPr>
          </w:p>
        </w:tc>
      </w:tr>
      <w:tr w:rsidR="003210FE" w:rsidRPr="00A964FF" w14:paraId="21487738" w14:textId="77777777" w:rsidTr="00AF5AB9">
        <w:trPr>
          <w:cantSplit/>
          <w:trHeight w:val="340"/>
          <w:jc w:val="center"/>
        </w:trPr>
        <w:tc>
          <w:tcPr>
            <w:tcW w:w="1540" w:type="pct"/>
            <w:vAlign w:val="center"/>
          </w:tcPr>
          <w:p w14:paraId="44D5D4D6" w14:textId="77777777" w:rsidR="003210FE" w:rsidRPr="003210FE" w:rsidRDefault="00383797" w:rsidP="003210FE">
            <w:pPr>
              <w:jc w:val="center"/>
              <w:rPr>
                <w:rFonts w:ascii="Calibri"/>
                <w:color w:val="auto"/>
                <w:szCs w:val="21"/>
              </w:rPr>
            </w:pPr>
            <w:r>
              <w:rPr>
                <w:rFonts w:ascii="Calibri" w:hint="eastAsia"/>
                <w:color w:val="auto"/>
                <w:szCs w:val="21"/>
              </w:rPr>
              <w:t>喷淋塔</w:t>
            </w:r>
            <w:r w:rsidR="003210FE" w:rsidRPr="003210FE">
              <w:rPr>
                <w:rFonts w:ascii="Calibri" w:hint="eastAsia"/>
                <w:color w:val="auto"/>
                <w:szCs w:val="21"/>
              </w:rPr>
              <w:t>新鲜水</w:t>
            </w:r>
          </w:p>
        </w:tc>
        <w:tc>
          <w:tcPr>
            <w:tcW w:w="1160" w:type="pct"/>
            <w:vAlign w:val="center"/>
          </w:tcPr>
          <w:p w14:paraId="5A52E145" w14:textId="77777777" w:rsidR="003210FE" w:rsidRPr="003210FE" w:rsidRDefault="003210FE" w:rsidP="003210FE">
            <w:pPr>
              <w:jc w:val="center"/>
              <w:rPr>
                <w:rFonts w:ascii="Calibri"/>
                <w:color w:val="auto"/>
                <w:szCs w:val="21"/>
              </w:rPr>
            </w:pPr>
            <w:r w:rsidRPr="003210FE">
              <w:rPr>
                <w:rFonts w:ascii="Calibri" w:hint="eastAsia"/>
                <w:color w:val="auto"/>
                <w:szCs w:val="21"/>
              </w:rPr>
              <w:t>303</w:t>
            </w:r>
          </w:p>
        </w:tc>
        <w:tc>
          <w:tcPr>
            <w:tcW w:w="1366" w:type="pct"/>
            <w:vAlign w:val="center"/>
          </w:tcPr>
          <w:p w14:paraId="38990881" w14:textId="77777777" w:rsidR="003210FE" w:rsidRDefault="003210FE" w:rsidP="003210FE">
            <w:pPr>
              <w:jc w:val="center"/>
              <w:rPr>
                <w:rFonts w:ascii="Calibri" w:hAnsi="Calibri"/>
                <w:color w:val="auto"/>
                <w:szCs w:val="21"/>
              </w:rPr>
            </w:pPr>
          </w:p>
        </w:tc>
        <w:tc>
          <w:tcPr>
            <w:tcW w:w="934" w:type="pct"/>
            <w:vAlign w:val="center"/>
          </w:tcPr>
          <w:p w14:paraId="61E8210A" w14:textId="77777777" w:rsidR="003210FE" w:rsidRDefault="003210FE" w:rsidP="003210FE">
            <w:pPr>
              <w:jc w:val="center"/>
              <w:rPr>
                <w:rFonts w:ascii="Calibri" w:hAnsi="Calibri"/>
                <w:color w:val="auto"/>
                <w:szCs w:val="21"/>
              </w:rPr>
            </w:pPr>
          </w:p>
        </w:tc>
      </w:tr>
      <w:tr w:rsidR="003210FE" w:rsidRPr="00A964FF" w14:paraId="3F32C8CB" w14:textId="77777777" w:rsidTr="00AF5AB9">
        <w:trPr>
          <w:cantSplit/>
          <w:trHeight w:val="340"/>
          <w:jc w:val="center"/>
        </w:trPr>
        <w:tc>
          <w:tcPr>
            <w:tcW w:w="1540" w:type="pct"/>
            <w:vAlign w:val="center"/>
          </w:tcPr>
          <w:p w14:paraId="7412591C" w14:textId="77777777" w:rsidR="003210FE" w:rsidRPr="003210FE" w:rsidRDefault="003210FE" w:rsidP="003210FE">
            <w:pPr>
              <w:jc w:val="center"/>
              <w:rPr>
                <w:rFonts w:ascii="Calibri"/>
                <w:color w:val="auto"/>
                <w:szCs w:val="21"/>
              </w:rPr>
            </w:pPr>
            <w:r w:rsidRPr="003210FE">
              <w:rPr>
                <w:rFonts w:ascii="Calibri" w:hint="eastAsia"/>
                <w:color w:val="auto"/>
                <w:szCs w:val="21"/>
              </w:rPr>
              <w:t>合计</w:t>
            </w:r>
          </w:p>
        </w:tc>
        <w:tc>
          <w:tcPr>
            <w:tcW w:w="1160" w:type="pct"/>
            <w:vAlign w:val="center"/>
          </w:tcPr>
          <w:p w14:paraId="7EF18918" w14:textId="77777777" w:rsidR="003210FE" w:rsidRPr="003210FE" w:rsidRDefault="003210FE" w:rsidP="003210FE">
            <w:pPr>
              <w:jc w:val="center"/>
              <w:rPr>
                <w:rFonts w:ascii="Calibri"/>
                <w:color w:val="auto"/>
                <w:szCs w:val="21"/>
              </w:rPr>
            </w:pPr>
            <w:r w:rsidRPr="003210FE">
              <w:rPr>
                <w:rFonts w:ascii="Calibri" w:hint="eastAsia"/>
                <w:color w:val="auto"/>
                <w:szCs w:val="21"/>
              </w:rPr>
              <w:t>4332.2</w:t>
            </w:r>
          </w:p>
        </w:tc>
        <w:tc>
          <w:tcPr>
            <w:tcW w:w="1366" w:type="pct"/>
            <w:tcBorders>
              <w:left w:val="single" w:sz="4" w:space="0" w:color="auto"/>
            </w:tcBorders>
            <w:vAlign w:val="center"/>
          </w:tcPr>
          <w:p w14:paraId="13255CBA" w14:textId="77777777" w:rsidR="003210FE" w:rsidRPr="003210FE" w:rsidRDefault="003210FE" w:rsidP="003210FE">
            <w:pPr>
              <w:jc w:val="center"/>
              <w:rPr>
                <w:rFonts w:ascii="Calibri"/>
                <w:color w:val="auto"/>
                <w:szCs w:val="21"/>
              </w:rPr>
            </w:pPr>
            <w:r w:rsidRPr="003210FE">
              <w:rPr>
                <w:rFonts w:ascii="Calibri" w:hint="eastAsia"/>
                <w:color w:val="auto"/>
                <w:szCs w:val="21"/>
              </w:rPr>
              <w:t>合计</w:t>
            </w:r>
          </w:p>
        </w:tc>
        <w:tc>
          <w:tcPr>
            <w:tcW w:w="934" w:type="pct"/>
            <w:vAlign w:val="center"/>
          </w:tcPr>
          <w:p w14:paraId="1B62FA8E" w14:textId="77777777" w:rsidR="003210FE" w:rsidRPr="003210FE" w:rsidRDefault="003210FE" w:rsidP="003210FE">
            <w:pPr>
              <w:jc w:val="center"/>
              <w:rPr>
                <w:rFonts w:ascii="Calibri"/>
                <w:color w:val="auto"/>
                <w:szCs w:val="21"/>
              </w:rPr>
            </w:pPr>
            <w:r w:rsidRPr="003210FE">
              <w:rPr>
                <w:rFonts w:ascii="Calibri" w:hint="eastAsia"/>
                <w:color w:val="auto"/>
                <w:szCs w:val="21"/>
              </w:rPr>
              <w:t>4332.2</w:t>
            </w:r>
          </w:p>
        </w:tc>
      </w:tr>
    </w:tbl>
    <w:p w14:paraId="1A4DD7DC" w14:textId="77777777" w:rsidR="003210FE" w:rsidRPr="00A964FF" w:rsidRDefault="003210FE" w:rsidP="003210FE">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.2</w:t>
      </w:r>
      <w:r w:rsidRPr="00A964FF">
        <w:rPr>
          <w:rFonts w:ascii="Calibri" w:eastAsia="黑体" w:hAnsi="Calibri"/>
          <w:color w:val="auto"/>
          <w:sz w:val="24"/>
        </w:rPr>
        <w:t>-</w:t>
      </w:r>
      <w:r>
        <w:rPr>
          <w:rFonts w:ascii="Calibri" w:eastAsia="黑体" w:hAnsi="Calibri"/>
          <w:color w:val="auto"/>
          <w:sz w:val="24"/>
        </w:rPr>
        <w:t>3</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Pr>
          <w:rFonts w:ascii="Calibri" w:eastAsia="黑体" w:hAnsi="Calibri" w:hint="eastAsia"/>
          <w:color w:val="auto"/>
          <w:sz w:val="24"/>
        </w:rPr>
        <w:t xml:space="preserve">   </w:t>
      </w:r>
      <w:r w:rsidRPr="00A964FF">
        <w:rPr>
          <w:rFonts w:ascii="Calibri" w:eastAsia="黑体" w:hAnsi="Calibri"/>
          <w:color w:val="auto"/>
          <w:sz w:val="24"/>
        </w:rPr>
        <w:t xml:space="preserve"> </w:t>
      </w:r>
      <w:r w:rsidR="0083308C" w:rsidRPr="0083308C">
        <w:rPr>
          <w:rFonts w:ascii="Calibri" w:eastAsia="黑体" w:hAnsi="Calibri" w:hint="eastAsia"/>
          <w:color w:val="auto"/>
          <w:sz w:val="24"/>
        </w:rPr>
        <w:t>透明尼龙</w:t>
      </w:r>
      <w:r>
        <w:rPr>
          <w:rFonts w:ascii="Calibri" w:eastAsia="黑体" w:hAnsi="Calibri" w:hint="eastAsia"/>
          <w:color w:val="auto"/>
          <w:sz w:val="24"/>
        </w:rPr>
        <w:t>切片一期己二胺</w:t>
      </w:r>
      <w:r w:rsidRPr="00A964FF">
        <w:rPr>
          <w:rFonts w:ascii="Calibri" w:eastAsia="黑体" w:hAnsi="Calibri" w:hint="eastAsia"/>
          <w:color w:val="auto"/>
          <w:sz w:val="24"/>
        </w:rPr>
        <w:t>生产</w:t>
      </w:r>
      <w:r>
        <w:rPr>
          <w:rFonts w:ascii="Calibri" w:eastAsia="黑体" w:hAnsi="Calibri" w:hint="eastAsia"/>
          <w:color w:val="auto"/>
          <w:sz w:val="24"/>
        </w:rPr>
        <w:t>工艺物料</w:t>
      </w:r>
      <w:r>
        <w:rPr>
          <w:rFonts w:ascii="Calibri" w:eastAsia="黑体" w:hAnsi="Calibri"/>
          <w:color w:val="auto"/>
          <w:sz w:val="24"/>
        </w:rPr>
        <w:t>平衡</w:t>
      </w:r>
      <w:r>
        <w:rPr>
          <w:rFonts w:ascii="Calibri" w:eastAsia="黑体" w:hAnsi="Calibri" w:hint="eastAsia"/>
          <w:color w:val="auto"/>
          <w:sz w:val="24"/>
        </w:rPr>
        <w:t>一览</w:t>
      </w:r>
      <w:r>
        <w:rPr>
          <w:rFonts w:ascii="Calibri" w:eastAsia="黑体" w:hAnsi="Calibri"/>
          <w:color w:val="auto"/>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168"/>
        <w:gridCol w:w="2212"/>
        <w:gridCol w:w="2695"/>
        <w:gridCol w:w="1625"/>
      </w:tblGrid>
      <w:tr w:rsidR="003210FE" w:rsidRPr="00CE7C3C" w14:paraId="597F34BA" w14:textId="77777777" w:rsidTr="00E547F9">
        <w:trPr>
          <w:cantSplit/>
          <w:trHeight w:val="340"/>
          <w:jc w:val="center"/>
        </w:trPr>
        <w:tc>
          <w:tcPr>
            <w:tcW w:w="2517" w:type="pct"/>
            <w:gridSpan w:val="2"/>
            <w:vAlign w:val="center"/>
          </w:tcPr>
          <w:p w14:paraId="375ECAAB" w14:textId="77777777" w:rsidR="003210FE" w:rsidRPr="00CE7C3C" w:rsidRDefault="003210FE" w:rsidP="003210FE">
            <w:pPr>
              <w:jc w:val="center"/>
              <w:rPr>
                <w:rFonts w:ascii="Calibri" w:hAnsi="Calibri"/>
                <w:b/>
                <w:color w:val="auto"/>
                <w:szCs w:val="21"/>
                <w:u w:val="single"/>
              </w:rPr>
            </w:pPr>
            <w:r w:rsidRPr="00CE7C3C">
              <w:rPr>
                <w:rFonts w:ascii="Calibri"/>
                <w:b/>
                <w:color w:val="auto"/>
                <w:szCs w:val="21"/>
                <w:u w:val="single"/>
              </w:rPr>
              <w:t>输入方</w:t>
            </w:r>
          </w:p>
        </w:tc>
        <w:tc>
          <w:tcPr>
            <w:tcW w:w="2483" w:type="pct"/>
            <w:gridSpan w:val="2"/>
            <w:tcBorders>
              <w:left w:val="single" w:sz="4" w:space="0" w:color="auto"/>
            </w:tcBorders>
            <w:vAlign w:val="center"/>
          </w:tcPr>
          <w:p w14:paraId="4A91E15B" w14:textId="77777777" w:rsidR="003210FE" w:rsidRPr="00CE7C3C" w:rsidRDefault="003210FE" w:rsidP="003210FE">
            <w:pPr>
              <w:jc w:val="center"/>
              <w:rPr>
                <w:rFonts w:ascii="Calibri" w:hAnsi="Calibri"/>
                <w:b/>
                <w:color w:val="auto"/>
                <w:szCs w:val="21"/>
                <w:u w:val="single"/>
              </w:rPr>
            </w:pPr>
            <w:r w:rsidRPr="00CE7C3C">
              <w:rPr>
                <w:rFonts w:ascii="Calibri"/>
                <w:b/>
                <w:color w:val="auto"/>
                <w:szCs w:val="21"/>
                <w:u w:val="single"/>
              </w:rPr>
              <w:t>输出方</w:t>
            </w:r>
          </w:p>
        </w:tc>
      </w:tr>
      <w:tr w:rsidR="003210FE" w:rsidRPr="00CE7C3C" w14:paraId="65794A83" w14:textId="77777777" w:rsidTr="00E547F9">
        <w:trPr>
          <w:cantSplit/>
          <w:trHeight w:val="340"/>
          <w:jc w:val="center"/>
        </w:trPr>
        <w:tc>
          <w:tcPr>
            <w:tcW w:w="1246" w:type="pct"/>
            <w:vAlign w:val="center"/>
          </w:tcPr>
          <w:p w14:paraId="0016A727" w14:textId="77777777" w:rsidR="003210FE" w:rsidRPr="00CE7C3C" w:rsidRDefault="003210FE" w:rsidP="003210FE">
            <w:pPr>
              <w:jc w:val="center"/>
              <w:rPr>
                <w:rFonts w:ascii="Calibri" w:hAnsi="Calibri"/>
                <w:b/>
                <w:color w:val="auto"/>
                <w:szCs w:val="21"/>
                <w:u w:val="single"/>
              </w:rPr>
            </w:pPr>
            <w:r w:rsidRPr="00CE7C3C">
              <w:rPr>
                <w:rFonts w:ascii="Calibri"/>
                <w:b/>
                <w:color w:val="auto"/>
                <w:szCs w:val="21"/>
                <w:u w:val="single"/>
              </w:rPr>
              <w:t>名称</w:t>
            </w:r>
          </w:p>
        </w:tc>
        <w:tc>
          <w:tcPr>
            <w:tcW w:w="1271" w:type="pct"/>
            <w:vAlign w:val="center"/>
          </w:tcPr>
          <w:p w14:paraId="00174602" w14:textId="77777777" w:rsidR="003210FE" w:rsidRPr="00CE7C3C" w:rsidRDefault="003210FE" w:rsidP="003210FE">
            <w:pPr>
              <w:jc w:val="center"/>
              <w:rPr>
                <w:rFonts w:ascii="Calibri"/>
                <w:b/>
                <w:color w:val="auto"/>
                <w:szCs w:val="21"/>
                <w:u w:val="single"/>
              </w:rPr>
            </w:pPr>
            <w:r w:rsidRPr="00CE7C3C">
              <w:rPr>
                <w:rFonts w:ascii="Calibri" w:hint="eastAsia"/>
                <w:b/>
                <w:color w:val="auto"/>
                <w:szCs w:val="21"/>
                <w:u w:val="single"/>
              </w:rPr>
              <w:t>物料消耗（</w:t>
            </w:r>
            <w:r w:rsidRPr="00CE7C3C">
              <w:rPr>
                <w:rFonts w:ascii="Calibri"/>
                <w:b/>
                <w:color w:val="auto"/>
                <w:szCs w:val="21"/>
                <w:u w:val="single"/>
              </w:rPr>
              <w:t>t</w:t>
            </w:r>
            <w:r w:rsidRPr="00CE7C3C">
              <w:rPr>
                <w:rFonts w:ascii="Calibri" w:hint="eastAsia"/>
                <w:b/>
                <w:color w:val="auto"/>
                <w:szCs w:val="21"/>
                <w:u w:val="single"/>
              </w:rPr>
              <w:t>/</w:t>
            </w:r>
            <w:r w:rsidRPr="00CE7C3C">
              <w:rPr>
                <w:rFonts w:ascii="Calibri"/>
                <w:b/>
                <w:color w:val="auto"/>
                <w:szCs w:val="21"/>
                <w:u w:val="single"/>
              </w:rPr>
              <w:t>a</w:t>
            </w:r>
            <w:r w:rsidRPr="00CE7C3C">
              <w:rPr>
                <w:rFonts w:ascii="Calibri" w:hint="eastAsia"/>
                <w:b/>
                <w:color w:val="auto"/>
                <w:szCs w:val="21"/>
                <w:u w:val="single"/>
              </w:rPr>
              <w:t>）</w:t>
            </w:r>
          </w:p>
        </w:tc>
        <w:tc>
          <w:tcPr>
            <w:tcW w:w="1549" w:type="pct"/>
            <w:tcBorders>
              <w:left w:val="single" w:sz="4" w:space="0" w:color="auto"/>
            </w:tcBorders>
            <w:vAlign w:val="center"/>
          </w:tcPr>
          <w:p w14:paraId="17E56F1B" w14:textId="77777777" w:rsidR="003210FE" w:rsidRPr="00CE7C3C" w:rsidRDefault="003210FE" w:rsidP="003210FE">
            <w:pPr>
              <w:jc w:val="center"/>
              <w:rPr>
                <w:rFonts w:ascii="Calibri" w:hAnsi="Calibri"/>
                <w:b/>
                <w:color w:val="auto"/>
                <w:szCs w:val="21"/>
                <w:u w:val="single"/>
              </w:rPr>
            </w:pPr>
            <w:r w:rsidRPr="00CE7C3C">
              <w:rPr>
                <w:rFonts w:ascii="Calibri"/>
                <w:b/>
                <w:color w:val="auto"/>
                <w:szCs w:val="21"/>
                <w:u w:val="single"/>
              </w:rPr>
              <w:t>名称</w:t>
            </w:r>
          </w:p>
        </w:tc>
        <w:tc>
          <w:tcPr>
            <w:tcW w:w="934" w:type="pct"/>
            <w:vAlign w:val="center"/>
          </w:tcPr>
          <w:p w14:paraId="57E41EAA" w14:textId="77777777" w:rsidR="003210FE" w:rsidRPr="00CE7C3C" w:rsidRDefault="003210FE" w:rsidP="003210FE">
            <w:pPr>
              <w:jc w:val="center"/>
              <w:rPr>
                <w:rFonts w:ascii="Calibri"/>
                <w:b/>
                <w:color w:val="auto"/>
                <w:szCs w:val="21"/>
                <w:u w:val="single"/>
              </w:rPr>
            </w:pPr>
            <w:r w:rsidRPr="00CE7C3C">
              <w:rPr>
                <w:rFonts w:ascii="Calibri" w:hint="eastAsia"/>
                <w:b/>
                <w:color w:val="auto"/>
                <w:szCs w:val="21"/>
                <w:u w:val="single"/>
              </w:rPr>
              <w:t>数量（</w:t>
            </w:r>
            <w:r w:rsidRPr="00CE7C3C">
              <w:rPr>
                <w:rFonts w:ascii="Calibri"/>
                <w:b/>
                <w:color w:val="auto"/>
                <w:szCs w:val="21"/>
                <w:u w:val="single"/>
              </w:rPr>
              <w:t>t</w:t>
            </w:r>
            <w:r w:rsidRPr="00CE7C3C">
              <w:rPr>
                <w:rFonts w:ascii="Calibri" w:hint="eastAsia"/>
                <w:b/>
                <w:color w:val="auto"/>
                <w:szCs w:val="21"/>
                <w:u w:val="single"/>
              </w:rPr>
              <w:t>/</w:t>
            </w:r>
            <w:r w:rsidRPr="00CE7C3C">
              <w:rPr>
                <w:rFonts w:ascii="Calibri"/>
                <w:b/>
                <w:color w:val="auto"/>
                <w:szCs w:val="21"/>
                <w:u w:val="single"/>
              </w:rPr>
              <w:t>a</w:t>
            </w:r>
            <w:r w:rsidRPr="00CE7C3C">
              <w:rPr>
                <w:rFonts w:ascii="Calibri" w:hint="eastAsia"/>
                <w:b/>
                <w:color w:val="auto"/>
                <w:szCs w:val="21"/>
                <w:u w:val="single"/>
              </w:rPr>
              <w:t>）</w:t>
            </w:r>
          </w:p>
        </w:tc>
      </w:tr>
      <w:tr w:rsidR="00DF692E" w:rsidRPr="00CE7C3C" w14:paraId="2DB6599F" w14:textId="77777777" w:rsidTr="00E547F9">
        <w:trPr>
          <w:cantSplit/>
          <w:trHeight w:val="270"/>
          <w:jc w:val="center"/>
        </w:trPr>
        <w:tc>
          <w:tcPr>
            <w:tcW w:w="1246" w:type="pct"/>
            <w:vAlign w:val="center"/>
          </w:tcPr>
          <w:p w14:paraId="792C5F13" w14:textId="77777777" w:rsidR="00DF692E" w:rsidRPr="00CE7C3C" w:rsidRDefault="00DF692E" w:rsidP="00DF692E">
            <w:pPr>
              <w:jc w:val="center"/>
              <w:rPr>
                <w:rFonts w:ascii="Calibri"/>
                <w:b/>
                <w:color w:val="auto"/>
                <w:szCs w:val="21"/>
                <w:u w:val="single"/>
              </w:rPr>
            </w:pPr>
            <w:r w:rsidRPr="00CE7C3C">
              <w:rPr>
                <w:rFonts w:ascii="Calibri" w:hint="eastAsia"/>
                <w:b/>
                <w:color w:val="auto"/>
                <w:szCs w:val="21"/>
                <w:u w:val="single"/>
              </w:rPr>
              <w:t>己二胺</w:t>
            </w:r>
          </w:p>
        </w:tc>
        <w:tc>
          <w:tcPr>
            <w:tcW w:w="1271" w:type="pct"/>
            <w:vAlign w:val="center"/>
          </w:tcPr>
          <w:p w14:paraId="364853CA" w14:textId="77777777" w:rsidR="00DF692E" w:rsidRPr="00CE7C3C" w:rsidRDefault="00CE7C3C" w:rsidP="0016273A">
            <w:pPr>
              <w:jc w:val="center"/>
              <w:rPr>
                <w:rFonts w:ascii="Calibri"/>
                <w:b/>
                <w:color w:val="auto"/>
                <w:szCs w:val="21"/>
                <w:u w:val="single"/>
              </w:rPr>
            </w:pPr>
            <w:r w:rsidRPr="00CE7C3C">
              <w:rPr>
                <w:rFonts w:ascii="Calibri" w:hint="eastAsia"/>
                <w:b/>
                <w:color w:val="auto"/>
                <w:szCs w:val="21"/>
                <w:u w:val="single"/>
              </w:rPr>
              <w:t>5.4</w:t>
            </w:r>
            <w:r w:rsidR="0016273A">
              <w:rPr>
                <w:rFonts w:ascii="Calibri"/>
                <w:b/>
                <w:color w:val="auto"/>
                <w:szCs w:val="21"/>
                <w:u w:val="single"/>
              </w:rPr>
              <w:t>9</w:t>
            </w:r>
          </w:p>
        </w:tc>
        <w:tc>
          <w:tcPr>
            <w:tcW w:w="1549" w:type="pct"/>
            <w:vAlign w:val="center"/>
          </w:tcPr>
          <w:p w14:paraId="0FC337D7" w14:textId="77777777" w:rsidR="00DF692E" w:rsidRPr="00CE7C3C" w:rsidRDefault="00DF692E" w:rsidP="00DF692E">
            <w:pPr>
              <w:jc w:val="center"/>
              <w:rPr>
                <w:rFonts w:ascii="Calibri" w:hAnsi="Calibri"/>
                <w:b/>
                <w:color w:val="auto"/>
                <w:szCs w:val="21"/>
                <w:u w:val="single"/>
              </w:rPr>
            </w:pPr>
            <w:r w:rsidRPr="00CE7C3C">
              <w:rPr>
                <w:rFonts w:ascii="Calibri" w:hAnsi="Calibri" w:hint="eastAsia"/>
                <w:b/>
                <w:color w:val="auto"/>
                <w:szCs w:val="21"/>
                <w:u w:val="single"/>
              </w:rPr>
              <w:t>生成</w:t>
            </w:r>
            <w:r w:rsidRPr="00CE7C3C">
              <w:rPr>
                <w:rFonts w:ascii="Calibri" w:hAnsi="Calibri"/>
                <w:b/>
                <w:color w:val="auto"/>
                <w:szCs w:val="21"/>
                <w:u w:val="single"/>
              </w:rPr>
              <w:t>环己亚胺</w:t>
            </w:r>
            <w:r w:rsidRPr="00CE7C3C">
              <w:rPr>
                <w:rFonts w:ascii="Calibri" w:hAnsi="Calibri" w:hint="eastAsia"/>
                <w:b/>
                <w:color w:val="auto"/>
                <w:szCs w:val="21"/>
                <w:u w:val="single"/>
              </w:rPr>
              <w:t>消耗</w:t>
            </w:r>
          </w:p>
        </w:tc>
        <w:tc>
          <w:tcPr>
            <w:tcW w:w="934" w:type="pct"/>
            <w:vAlign w:val="center"/>
          </w:tcPr>
          <w:p w14:paraId="4F41E335" w14:textId="77777777" w:rsidR="00DF692E" w:rsidRPr="00CE7C3C" w:rsidRDefault="00CE7C3C" w:rsidP="00DF692E">
            <w:pPr>
              <w:jc w:val="center"/>
              <w:rPr>
                <w:rFonts w:ascii="Calibri" w:hAnsi="Calibri"/>
                <w:b/>
                <w:color w:val="auto"/>
                <w:u w:val="single"/>
              </w:rPr>
            </w:pPr>
            <w:r w:rsidRPr="00CE7C3C">
              <w:rPr>
                <w:rFonts w:ascii="Calibri" w:hAnsi="Calibri" w:hint="eastAsia"/>
                <w:b/>
                <w:color w:val="auto"/>
                <w:u w:val="single"/>
              </w:rPr>
              <w:t>0.53</w:t>
            </w:r>
          </w:p>
        </w:tc>
      </w:tr>
      <w:tr w:rsidR="00DF692E" w:rsidRPr="00CE7C3C" w14:paraId="595ED5D8" w14:textId="77777777" w:rsidTr="00E547F9">
        <w:trPr>
          <w:cantSplit/>
          <w:trHeight w:val="270"/>
          <w:jc w:val="center"/>
        </w:trPr>
        <w:tc>
          <w:tcPr>
            <w:tcW w:w="1246" w:type="pct"/>
            <w:vAlign w:val="center"/>
          </w:tcPr>
          <w:p w14:paraId="4798FBC8" w14:textId="77777777" w:rsidR="00DF692E" w:rsidRPr="00CE7C3C" w:rsidRDefault="00DF692E" w:rsidP="00DF692E">
            <w:pPr>
              <w:jc w:val="center"/>
              <w:rPr>
                <w:rFonts w:ascii="Calibri"/>
                <w:b/>
                <w:color w:val="auto"/>
                <w:szCs w:val="21"/>
                <w:u w:val="single"/>
              </w:rPr>
            </w:pPr>
            <w:r w:rsidRPr="00CE7C3C">
              <w:rPr>
                <w:rFonts w:ascii="Calibri" w:hint="eastAsia"/>
                <w:b/>
                <w:color w:val="auto"/>
                <w:szCs w:val="21"/>
                <w:u w:val="single"/>
              </w:rPr>
              <w:t>聚合物</w:t>
            </w:r>
            <w:r w:rsidRPr="00CE7C3C">
              <w:rPr>
                <w:rFonts w:ascii="Calibri"/>
                <w:b/>
                <w:color w:val="auto"/>
                <w:szCs w:val="21"/>
                <w:u w:val="single"/>
              </w:rPr>
              <w:t>降解</w:t>
            </w:r>
          </w:p>
        </w:tc>
        <w:tc>
          <w:tcPr>
            <w:tcW w:w="1271" w:type="pct"/>
            <w:vAlign w:val="center"/>
          </w:tcPr>
          <w:p w14:paraId="53000B63" w14:textId="77777777" w:rsidR="00DF692E" w:rsidRPr="00CE7C3C" w:rsidRDefault="00CE7C3C" w:rsidP="00E844EB">
            <w:pPr>
              <w:jc w:val="center"/>
              <w:rPr>
                <w:rFonts w:ascii="Calibri"/>
                <w:b/>
                <w:color w:val="auto"/>
                <w:szCs w:val="21"/>
                <w:u w:val="single"/>
              </w:rPr>
            </w:pPr>
            <w:r w:rsidRPr="00CE7C3C">
              <w:rPr>
                <w:rFonts w:ascii="Calibri" w:hint="eastAsia"/>
                <w:b/>
                <w:color w:val="auto"/>
                <w:szCs w:val="21"/>
                <w:u w:val="single"/>
              </w:rPr>
              <w:t>0.5</w:t>
            </w:r>
            <w:r w:rsidR="00E844EB">
              <w:rPr>
                <w:rFonts w:ascii="Calibri"/>
                <w:b/>
                <w:color w:val="auto"/>
                <w:szCs w:val="21"/>
                <w:u w:val="single"/>
              </w:rPr>
              <w:t>2</w:t>
            </w:r>
          </w:p>
        </w:tc>
        <w:tc>
          <w:tcPr>
            <w:tcW w:w="1549" w:type="pct"/>
            <w:vAlign w:val="center"/>
          </w:tcPr>
          <w:p w14:paraId="43C1A5BD" w14:textId="77777777" w:rsidR="00DF692E" w:rsidRPr="00CE7C3C" w:rsidRDefault="00DF692E" w:rsidP="00DF692E">
            <w:pPr>
              <w:jc w:val="center"/>
              <w:rPr>
                <w:rFonts w:ascii="Calibri" w:hAnsi="Calibri"/>
                <w:b/>
                <w:color w:val="auto"/>
                <w:szCs w:val="21"/>
                <w:u w:val="single"/>
              </w:rPr>
            </w:pPr>
            <w:r w:rsidRPr="00CE7C3C">
              <w:rPr>
                <w:rFonts w:ascii="Calibri" w:hAnsi="Calibri" w:hint="eastAsia"/>
                <w:b/>
                <w:color w:val="auto"/>
                <w:szCs w:val="21"/>
                <w:u w:val="single"/>
              </w:rPr>
              <w:t>废气带走</w:t>
            </w:r>
          </w:p>
        </w:tc>
        <w:tc>
          <w:tcPr>
            <w:tcW w:w="934" w:type="pct"/>
            <w:vAlign w:val="center"/>
          </w:tcPr>
          <w:p w14:paraId="77001627" w14:textId="77777777" w:rsidR="00DF692E" w:rsidRPr="00CE7C3C" w:rsidRDefault="001A1CFE" w:rsidP="00DF692E">
            <w:pPr>
              <w:jc w:val="center"/>
              <w:rPr>
                <w:rFonts w:ascii="Calibri" w:hAnsi="Calibri"/>
                <w:b/>
                <w:color w:val="auto"/>
                <w:szCs w:val="21"/>
                <w:u w:val="single"/>
              </w:rPr>
            </w:pPr>
            <w:r>
              <w:rPr>
                <w:rFonts w:ascii="Calibri" w:hAnsi="Calibri"/>
                <w:b/>
                <w:color w:val="auto"/>
                <w:szCs w:val="21"/>
                <w:u w:val="single"/>
              </w:rPr>
              <w:t>0.88</w:t>
            </w:r>
          </w:p>
        </w:tc>
      </w:tr>
      <w:tr w:rsidR="00DF692E" w:rsidRPr="00CE7C3C" w14:paraId="185C5A9D" w14:textId="77777777" w:rsidTr="00E547F9">
        <w:trPr>
          <w:cantSplit/>
          <w:trHeight w:val="340"/>
          <w:jc w:val="center"/>
        </w:trPr>
        <w:tc>
          <w:tcPr>
            <w:tcW w:w="1246" w:type="pct"/>
            <w:vAlign w:val="center"/>
          </w:tcPr>
          <w:p w14:paraId="263EAD17" w14:textId="77777777" w:rsidR="00DF692E" w:rsidRPr="00CE7C3C" w:rsidRDefault="00DF692E" w:rsidP="00DF692E">
            <w:pPr>
              <w:jc w:val="center"/>
              <w:rPr>
                <w:rFonts w:ascii="Calibri"/>
                <w:b/>
                <w:color w:val="auto"/>
                <w:szCs w:val="21"/>
                <w:u w:val="single"/>
              </w:rPr>
            </w:pPr>
          </w:p>
        </w:tc>
        <w:tc>
          <w:tcPr>
            <w:tcW w:w="1271" w:type="pct"/>
            <w:vAlign w:val="center"/>
          </w:tcPr>
          <w:p w14:paraId="4D831B3B" w14:textId="77777777" w:rsidR="00DF692E" w:rsidRPr="00CE7C3C" w:rsidRDefault="00DF692E" w:rsidP="00DF692E">
            <w:pPr>
              <w:jc w:val="center"/>
              <w:rPr>
                <w:rFonts w:ascii="Calibri"/>
                <w:b/>
                <w:color w:val="auto"/>
                <w:szCs w:val="21"/>
                <w:u w:val="single"/>
              </w:rPr>
            </w:pPr>
          </w:p>
        </w:tc>
        <w:tc>
          <w:tcPr>
            <w:tcW w:w="1549" w:type="pct"/>
            <w:vAlign w:val="center"/>
          </w:tcPr>
          <w:p w14:paraId="39B87209" w14:textId="77777777" w:rsidR="00DF692E" w:rsidRPr="00CE7C3C" w:rsidRDefault="00DF692E" w:rsidP="00DF692E">
            <w:pPr>
              <w:jc w:val="center"/>
              <w:rPr>
                <w:rFonts w:ascii="Calibri" w:hAnsi="Calibri"/>
                <w:b/>
                <w:color w:val="auto"/>
                <w:szCs w:val="21"/>
                <w:u w:val="single"/>
              </w:rPr>
            </w:pPr>
            <w:r w:rsidRPr="00CE7C3C">
              <w:rPr>
                <w:rFonts w:ascii="Calibri" w:hAnsi="Calibri" w:hint="eastAsia"/>
                <w:b/>
                <w:color w:val="auto"/>
                <w:szCs w:val="21"/>
                <w:u w:val="single"/>
              </w:rPr>
              <w:t>进入废水</w:t>
            </w:r>
          </w:p>
        </w:tc>
        <w:tc>
          <w:tcPr>
            <w:tcW w:w="934" w:type="pct"/>
            <w:vAlign w:val="center"/>
          </w:tcPr>
          <w:p w14:paraId="73FBA7AC" w14:textId="77777777" w:rsidR="00DF692E" w:rsidRPr="00CE7C3C" w:rsidRDefault="001A1CFE" w:rsidP="00DF692E">
            <w:pPr>
              <w:ind w:firstLineChars="250" w:firstLine="527"/>
              <w:rPr>
                <w:rFonts w:ascii="Calibri" w:hAnsi="Calibri"/>
                <w:b/>
                <w:color w:val="auto"/>
                <w:szCs w:val="21"/>
                <w:u w:val="single"/>
              </w:rPr>
            </w:pPr>
            <w:r>
              <w:rPr>
                <w:rFonts w:ascii="Calibri" w:hAnsi="Calibri"/>
                <w:b/>
                <w:color w:val="auto"/>
                <w:szCs w:val="21"/>
                <w:u w:val="single"/>
              </w:rPr>
              <w:t>2.85</w:t>
            </w:r>
          </w:p>
        </w:tc>
      </w:tr>
      <w:tr w:rsidR="00DF692E" w:rsidRPr="00CE7C3C" w14:paraId="2FA6CD21" w14:textId="77777777" w:rsidTr="00E547F9">
        <w:trPr>
          <w:cantSplit/>
          <w:trHeight w:val="340"/>
          <w:jc w:val="center"/>
        </w:trPr>
        <w:tc>
          <w:tcPr>
            <w:tcW w:w="1246" w:type="pct"/>
            <w:vAlign w:val="center"/>
          </w:tcPr>
          <w:p w14:paraId="2A0CE685" w14:textId="77777777" w:rsidR="00DF692E" w:rsidRPr="00CE7C3C" w:rsidRDefault="00DF692E" w:rsidP="00DF692E">
            <w:pPr>
              <w:jc w:val="center"/>
              <w:rPr>
                <w:rFonts w:ascii="Calibri"/>
                <w:b/>
                <w:color w:val="auto"/>
                <w:szCs w:val="21"/>
                <w:u w:val="single"/>
              </w:rPr>
            </w:pPr>
          </w:p>
        </w:tc>
        <w:tc>
          <w:tcPr>
            <w:tcW w:w="1271" w:type="pct"/>
            <w:vAlign w:val="center"/>
          </w:tcPr>
          <w:p w14:paraId="4BF4399B" w14:textId="77777777" w:rsidR="00DF692E" w:rsidRPr="00CE7C3C" w:rsidRDefault="00DF692E" w:rsidP="00DF692E">
            <w:pPr>
              <w:jc w:val="center"/>
              <w:rPr>
                <w:rFonts w:ascii="Calibri"/>
                <w:b/>
                <w:color w:val="auto"/>
                <w:szCs w:val="21"/>
                <w:u w:val="single"/>
              </w:rPr>
            </w:pPr>
          </w:p>
        </w:tc>
        <w:tc>
          <w:tcPr>
            <w:tcW w:w="1549" w:type="pct"/>
            <w:vAlign w:val="center"/>
          </w:tcPr>
          <w:p w14:paraId="7352DF79" w14:textId="77777777" w:rsidR="00DF692E" w:rsidRPr="00CE7C3C" w:rsidRDefault="00DF692E" w:rsidP="00DF692E">
            <w:pPr>
              <w:jc w:val="center"/>
              <w:rPr>
                <w:rFonts w:ascii="Calibri" w:hAnsi="Calibri"/>
                <w:b/>
                <w:color w:val="auto"/>
                <w:szCs w:val="21"/>
                <w:u w:val="single"/>
              </w:rPr>
            </w:pPr>
            <w:r w:rsidRPr="00CE7C3C">
              <w:rPr>
                <w:rFonts w:ascii="Calibri" w:hAnsi="Calibri" w:hint="eastAsia"/>
                <w:b/>
                <w:color w:val="auto"/>
                <w:szCs w:val="21"/>
                <w:u w:val="single"/>
              </w:rPr>
              <w:t>冷凝</w:t>
            </w:r>
            <w:r w:rsidRPr="00CE7C3C">
              <w:rPr>
                <w:rFonts w:ascii="Calibri" w:hAnsi="Calibri"/>
                <w:b/>
                <w:color w:val="auto"/>
                <w:szCs w:val="21"/>
                <w:u w:val="single"/>
              </w:rPr>
              <w:t>回用</w:t>
            </w:r>
          </w:p>
        </w:tc>
        <w:tc>
          <w:tcPr>
            <w:tcW w:w="934" w:type="pct"/>
            <w:vAlign w:val="center"/>
          </w:tcPr>
          <w:p w14:paraId="4D5421F0" w14:textId="77777777" w:rsidR="00DF692E" w:rsidRPr="00CE7C3C" w:rsidRDefault="001A1CFE" w:rsidP="00DF692E">
            <w:pPr>
              <w:ind w:firstLineChars="250" w:firstLine="527"/>
              <w:rPr>
                <w:rFonts w:ascii="Calibri" w:hAnsi="Calibri"/>
                <w:b/>
                <w:color w:val="auto"/>
                <w:szCs w:val="21"/>
                <w:u w:val="single"/>
              </w:rPr>
            </w:pPr>
            <w:r>
              <w:rPr>
                <w:rFonts w:ascii="Calibri" w:hAnsi="Calibri"/>
                <w:b/>
                <w:color w:val="auto"/>
                <w:szCs w:val="21"/>
                <w:u w:val="single"/>
              </w:rPr>
              <w:t>1.75</w:t>
            </w:r>
          </w:p>
        </w:tc>
      </w:tr>
      <w:tr w:rsidR="0078778C" w:rsidRPr="00CE7C3C" w14:paraId="650CB29B" w14:textId="77777777" w:rsidTr="00E547F9">
        <w:trPr>
          <w:cantSplit/>
          <w:trHeight w:val="340"/>
          <w:jc w:val="center"/>
        </w:trPr>
        <w:tc>
          <w:tcPr>
            <w:tcW w:w="1246" w:type="pct"/>
            <w:vAlign w:val="center"/>
          </w:tcPr>
          <w:p w14:paraId="2D1835C5" w14:textId="77777777" w:rsidR="0078778C" w:rsidRPr="00CE7C3C" w:rsidRDefault="0078778C" w:rsidP="0078778C">
            <w:pPr>
              <w:jc w:val="center"/>
              <w:rPr>
                <w:rFonts w:ascii="Calibri"/>
                <w:b/>
                <w:color w:val="auto"/>
                <w:szCs w:val="21"/>
                <w:u w:val="single"/>
              </w:rPr>
            </w:pPr>
            <w:r w:rsidRPr="00CE7C3C">
              <w:rPr>
                <w:rFonts w:ascii="Calibri" w:hint="eastAsia"/>
                <w:b/>
                <w:color w:val="auto"/>
                <w:szCs w:val="21"/>
                <w:u w:val="single"/>
              </w:rPr>
              <w:t>合计</w:t>
            </w:r>
          </w:p>
        </w:tc>
        <w:tc>
          <w:tcPr>
            <w:tcW w:w="1271" w:type="pct"/>
            <w:vAlign w:val="center"/>
          </w:tcPr>
          <w:p w14:paraId="14D384AF" w14:textId="77777777" w:rsidR="0078778C" w:rsidRPr="00CE7C3C" w:rsidRDefault="0016273A" w:rsidP="0078778C">
            <w:pPr>
              <w:jc w:val="center"/>
              <w:rPr>
                <w:rFonts w:ascii="Calibri"/>
                <w:b/>
                <w:color w:val="auto"/>
                <w:szCs w:val="21"/>
                <w:u w:val="single"/>
              </w:rPr>
            </w:pPr>
            <w:r>
              <w:rPr>
                <w:rFonts w:ascii="Calibri"/>
                <w:b/>
                <w:color w:val="auto"/>
                <w:szCs w:val="21"/>
                <w:u w:val="single"/>
              </w:rPr>
              <w:t>6.01</w:t>
            </w:r>
          </w:p>
        </w:tc>
        <w:tc>
          <w:tcPr>
            <w:tcW w:w="1549" w:type="pct"/>
            <w:vAlign w:val="center"/>
          </w:tcPr>
          <w:p w14:paraId="1195F74F" w14:textId="77777777" w:rsidR="0078778C" w:rsidRPr="00CE7C3C" w:rsidRDefault="0078778C" w:rsidP="0078778C">
            <w:pPr>
              <w:jc w:val="center"/>
              <w:rPr>
                <w:rFonts w:ascii="Calibri"/>
                <w:b/>
                <w:color w:val="auto"/>
                <w:szCs w:val="21"/>
                <w:u w:val="single"/>
              </w:rPr>
            </w:pPr>
            <w:r w:rsidRPr="00CE7C3C">
              <w:rPr>
                <w:rFonts w:ascii="Calibri" w:hint="eastAsia"/>
                <w:b/>
                <w:color w:val="auto"/>
                <w:szCs w:val="21"/>
                <w:u w:val="single"/>
              </w:rPr>
              <w:t>合计</w:t>
            </w:r>
          </w:p>
        </w:tc>
        <w:tc>
          <w:tcPr>
            <w:tcW w:w="934" w:type="pct"/>
            <w:vAlign w:val="center"/>
          </w:tcPr>
          <w:p w14:paraId="413D3AFC" w14:textId="77777777" w:rsidR="0078778C" w:rsidRPr="00CE7C3C" w:rsidRDefault="0016273A" w:rsidP="0078778C">
            <w:pPr>
              <w:jc w:val="center"/>
              <w:rPr>
                <w:rFonts w:ascii="Calibri"/>
                <w:b/>
                <w:color w:val="auto"/>
                <w:szCs w:val="21"/>
                <w:u w:val="single"/>
              </w:rPr>
            </w:pPr>
            <w:r>
              <w:rPr>
                <w:rFonts w:ascii="Calibri"/>
                <w:b/>
                <w:color w:val="auto"/>
                <w:szCs w:val="21"/>
                <w:u w:val="single"/>
              </w:rPr>
              <w:t>6.01</w:t>
            </w:r>
          </w:p>
        </w:tc>
      </w:tr>
    </w:tbl>
    <w:p w14:paraId="332CD514" w14:textId="77777777" w:rsidR="00031627" w:rsidRPr="003210FE" w:rsidRDefault="00031627" w:rsidP="00EE4B9C">
      <w:pPr>
        <w:spacing w:line="500" w:lineRule="exact"/>
        <w:ind w:firstLineChars="200" w:firstLine="482"/>
        <w:rPr>
          <w:rFonts w:asciiTheme="minorHAnsi" w:eastAsiaTheme="minorEastAsia" w:hAnsiTheme="minorHAnsi" w:cstheme="minorHAnsi"/>
          <w:b/>
          <w:color w:val="auto"/>
          <w:sz w:val="24"/>
        </w:rPr>
      </w:pPr>
    </w:p>
    <w:p w14:paraId="59F721E7" w14:textId="77777777" w:rsidR="00031627" w:rsidRDefault="00031627" w:rsidP="00EE4B9C">
      <w:pPr>
        <w:spacing w:line="500" w:lineRule="exact"/>
        <w:ind w:firstLineChars="200" w:firstLine="482"/>
        <w:rPr>
          <w:rFonts w:asciiTheme="minorHAnsi" w:eastAsiaTheme="minorEastAsia" w:hAnsiTheme="minorHAnsi" w:cstheme="minorHAnsi"/>
          <w:b/>
          <w:color w:val="auto"/>
          <w:sz w:val="24"/>
        </w:rPr>
      </w:pPr>
    </w:p>
    <w:p w14:paraId="78DC7940" w14:textId="77777777" w:rsidR="00031627" w:rsidRPr="003210FE" w:rsidRDefault="00031627" w:rsidP="00EE4B9C">
      <w:pPr>
        <w:spacing w:line="500" w:lineRule="exact"/>
        <w:ind w:firstLineChars="200" w:firstLine="482"/>
        <w:rPr>
          <w:rFonts w:asciiTheme="minorHAnsi" w:eastAsiaTheme="minorEastAsia" w:hAnsiTheme="minorHAnsi" w:cstheme="minorHAnsi"/>
          <w:b/>
          <w:color w:val="auto"/>
          <w:sz w:val="24"/>
        </w:rPr>
      </w:pPr>
    </w:p>
    <w:p w14:paraId="3D248064" w14:textId="77777777" w:rsidR="00031627" w:rsidRPr="00A91D4E" w:rsidRDefault="00031627" w:rsidP="00EE4B9C">
      <w:pPr>
        <w:spacing w:line="500" w:lineRule="exact"/>
        <w:ind w:firstLineChars="200" w:firstLine="482"/>
        <w:rPr>
          <w:rFonts w:asciiTheme="minorHAnsi" w:eastAsiaTheme="minorEastAsia" w:hAnsiTheme="minorHAnsi" w:cstheme="minorHAnsi"/>
          <w:b/>
          <w:color w:val="auto"/>
          <w:sz w:val="24"/>
        </w:rPr>
      </w:pPr>
    </w:p>
    <w:p w14:paraId="3C5E44C9" w14:textId="77777777" w:rsidR="00031627" w:rsidRDefault="00031627" w:rsidP="00EE4B9C">
      <w:pPr>
        <w:spacing w:line="500" w:lineRule="exact"/>
        <w:ind w:firstLineChars="200" w:firstLine="482"/>
        <w:rPr>
          <w:rFonts w:asciiTheme="minorHAnsi" w:eastAsiaTheme="minorEastAsia" w:hAnsiTheme="minorHAnsi" w:cstheme="minorHAnsi"/>
          <w:b/>
          <w:color w:val="auto"/>
          <w:sz w:val="24"/>
        </w:rPr>
      </w:pPr>
    </w:p>
    <w:p w14:paraId="07819F4D" w14:textId="77777777" w:rsidR="00F430A4" w:rsidRDefault="001A1CFE" w:rsidP="004C3763">
      <w:pPr>
        <w:spacing w:line="500" w:lineRule="exact"/>
        <w:rPr>
          <w:rFonts w:asciiTheme="minorHAnsi" w:eastAsiaTheme="minorEastAsia" w:hAnsiTheme="minorHAnsi" w:cstheme="minorHAnsi"/>
          <w:b/>
          <w:color w:val="auto"/>
          <w:sz w:val="24"/>
        </w:rPr>
      </w:pPr>
      <w:r>
        <w:rPr>
          <w:rFonts w:asciiTheme="minorHAnsi" w:eastAsiaTheme="minorEastAsia" w:hAnsiTheme="minorHAnsi" w:cstheme="minorHAnsi"/>
          <w:b/>
          <w:noProof/>
          <w:color w:val="000000" w:themeColor="text1"/>
          <w:sz w:val="24"/>
        </w:rPr>
        <w:lastRenderedPageBreak/>
        <mc:AlternateContent>
          <mc:Choice Requires="wpc">
            <w:drawing>
              <wp:anchor distT="0" distB="0" distL="114300" distR="114300" simplePos="0" relativeHeight="253706752" behindDoc="0" locked="0" layoutInCell="1" allowOverlap="1" wp14:anchorId="4D98E31E" wp14:editId="7D4DCB9D">
                <wp:simplePos x="0" y="0"/>
                <wp:positionH relativeFrom="margin">
                  <wp:align>center</wp:align>
                </wp:positionH>
                <wp:positionV relativeFrom="paragraph">
                  <wp:posOffset>-271780</wp:posOffset>
                </wp:positionV>
                <wp:extent cx="6111240" cy="8442960"/>
                <wp:effectExtent l="0" t="0" r="0" b="0"/>
                <wp:wrapNone/>
                <wp:docPr id="146" name="画布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37672"/>
                        <wps:cNvSpPr>
                          <a:spLocks noChangeArrowheads="1"/>
                        </wps:cNvSpPr>
                        <wps:spPr bwMode="auto">
                          <a:xfrm>
                            <a:off x="1385570" y="1157605"/>
                            <a:ext cx="962025" cy="288925"/>
                          </a:xfrm>
                          <a:prstGeom prst="rect">
                            <a:avLst/>
                          </a:prstGeom>
                          <a:noFill/>
                          <a:ln w="9525">
                            <a:solidFill>
                              <a:srgbClr val="000000"/>
                            </a:solidFill>
                            <a:miter lim="800000"/>
                          </a:ln>
                        </wps:spPr>
                        <wps:txbx>
                          <w:txbxContent>
                            <w:p w14:paraId="347B92FE" w14:textId="77777777" w:rsidR="00217891" w:rsidRDefault="00217891" w:rsidP="001A1CFE">
                              <w:pPr>
                                <w:ind w:firstLineChars="100" w:firstLine="210"/>
                                <w:rPr>
                                  <w:rFonts w:ascii="等线" w:hAnsi="等线"/>
                                </w:rPr>
                              </w:pPr>
                              <w:r>
                                <w:rPr>
                                  <w:rFonts w:ascii="等线" w:hAnsi="等线" w:hint="eastAsia"/>
                                </w:rPr>
                                <w:t>调配罐</w:t>
                              </w:r>
                            </w:p>
                          </w:txbxContent>
                        </wps:txbx>
                        <wps:bodyPr rot="0" vert="horz" wrap="square" lIns="91440" tIns="45720" rIns="91440" bIns="45720" anchor="t" anchorCtr="0" upright="1">
                          <a:noAutofit/>
                        </wps:bodyPr>
                      </wps:wsp>
                      <wps:wsp>
                        <wps:cNvPr id="27136" name="AutoShape 37673"/>
                        <wps:cNvCnPr>
                          <a:cxnSpLocks noChangeShapeType="1"/>
                        </wps:cNvCnPr>
                        <wps:spPr bwMode="auto">
                          <a:xfrm>
                            <a:off x="1982470" y="798830"/>
                            <a:ext cx="635" cy="358775"/>
                          </a:xfrm>
                          <a:prstGeom prst="straightConnector1">
                            <a:avLst/>
                          </a:prstGeom>
                          <a:noFill/>
                          <a:ln w="9525">
                            <a:solidFill>
                              <a:srgbClr val="000000"/>
                            </a:solidFill>
                            <a:round/>
                            <a:tailEnd type="triangle" w="med" len="med"/>
                          </a:ln>
                        </wps:spPr>
                        <wps:bodyPr/>
                      </wps:wsp>
                      <wps:wsp>
                        <wps:cNvPr id="27141" name="AutoShape 37674"/>
                        <wps:cNvCnPr>
                          <a:cxnSpLocks noChangeShapeType="1"/>
                        </wps:cNvCnPr>
                        <wps:spPr bwMode="auto">
                          <a:xfrm>
                            <a:off x="2347595" y="1294765"/>
                            <a:ext cx="390525" cy="635"/>
                          </a:xfrm>
                          <a:prstGeom prst="straightConnector1">
                            <a:avLst/>
                          </a:prstGeom>
                          <a:noFill/>
                          <a:ln w="9525">
                            <a:solidFill>
                              <a:srgbClr val="000000"/>
                            </a:solidFill>
                            <a:round/>
                            <a:tailEnd type="triangle" w="med" len="med"/>
                          </a:ln>
                        </wps:spPr>
                        <wps:bodyPr/>
                      </wps:wsp>
                      <wps:wsp>
                        <wps:cNvPr id="27143" name="Rectangle 37675"/>
                        <wps:cNvSpPr>
                          <a:spLocks noChangeArrowheads="1"/>
                        </wps:cNvSpPr>
                        <wps:spPr bwMode="auto">
                          <a:xfrm>
                            <a:off x="2757170" y="1111885"/>
                            <a:ext cx="962025" cy="288925"/>
                          </a:xfrm>
                          <a:prstGeom prst="rect">
                            <a:avLst/>
                          </a:prstGeom>
                          <a:noFill/>
                          <a:ln w="9525">
                            <a:solidFill>
                              <a:srgbClr val="000000"/>
                            </a:solidFill>
                            <a:miter lim="800000"/>
                          </a:ln>
                        </wps:spPr>
                        <wps:txbx>
                          <w:txbxContent>
                            <w:p w14:paraId="6A27222D" w14:textId="77777777" w:rsidR="00217891" w:rsidRDefault="00217891" w:rsidP="001A1CFE">
                              <w:pPr>
                                <w:ind w:firstLineChars="100" w:firstLine="210"/>
                                <w:rPr>
                                  <w:rFonts w:ascii="等线" w:hAnsi="等线"/>
                                </w:rPr>
                              </w:pPr>
                              <w:r>
                                <w:rPr>
                                  <w:rFonts w:ascii="等线" w:hAnsi="等线" w:hint="eastAsia"/>
                                </w:rPr>
                                <w:t>中间罐</w:t>
                              </w:r>
                            </w:p>
                          </w:txbxContent>
                        </wps:txbx>
                        <wps:bodyPr rot="0" vert="horz" wrap="square" lIns="91440" tIns="45720" rIns="91440" bIns="45720" anchor="t" anchorCtr="0" upright="1">
                          <a:noAutofit/>
                        </wps:bodyPr>
                      </wps:wsp>
                      <wps:wsp>
                        <wps:cNvPr id="27144" name="AutoShape 37676"/>
                        <wps:cNvCnPr>
                          <a:cxnSpLocks noChangeShapeType="1"/>
                        </wps:cNvCnPr>
                        <wps:spPr bwMode="auto">
                          <a:xfrm>
                            <a:off x="3221355" y="1407160"/>
                            <a:ext cx="1270" cy="600075"/>
                          </a:xfrm>
                          <a:prstGeom prst="straightConnector1">
                            <a:avLst/>
                          </a:prstGeom>
                          <a:noFill/>
                          <a:ln w="9525">
                            <a:solidFill>
                              <a:srgbClr val="000000"/>
                            </a:solidFill>
                            <a:round/>
                            <a:tailEnd type="triangle" w="med" len="med"/>
                          </a:ln>
                        </wps:spPr>
                        <wps:bodyPr/>
                      </wps:wsp>
                      <wps:wsp>
                        <wps:cNvPr id="27145" name="Rectangle 37677"/>
                        <wps:cNvSpPr>
                          <a:spLocks noChangeArrowheads="1"/>
                        </wps:cNvSpPr>
                        <wps:spPr bwMode="auto">
                          <a:xfrm>
                            <a:off x="2802890" y="1995805"/>
                            <a:ext cx="962025" cy="288925"/>
                          </a:xfrm>
                          <a:prstGeom prst="rect">
                            <a:avLst/>
                          </a:prstGeom>
                          <a:noFill/>
                          <a:ln w="9525">
                            <a:solidFill>
                              <a:srgbClr val="000000"/>
                            </a:solidFill>
                            <a:miter lim="800000"/>
                          </a:ln>
                        </wps:spPr>
                        <wps:txbx>
                          <w:txbxContent>
                            <w:p w14:paraId="7A52CB05" w14:textId="77777777" w:rsidR="00217891" w:rsidRDefault="00217891" w:rsidP="001A1CFE">
                              <w:pPr>
                                <w:ind w:firstLineChars="100" w:firstLine="210"/>
                                <w:rPr>
                                  <w:rFonts w:ascii="等线" w:hAnsi="等线"/>
                                </w:rPr>
                              </w:pPr>
                              <w:r>
                                <w:rPr>
                                  <w:rFonts w:ascii="等线" w:hAnsi="等线" w:hint="eastAsia"/>
                                </w:rPr>
                                <w:t>聚合釜</w:t>
                              </w:r>
                            </w:p>
                          </w:txbxContent>
                        </wps:txbx>
                        <wps:bodyPr rot="0" vert="horz" wrap="square" lIns="91440" tIns="45720" rIns="91440" bIns="45720" anchor="t" anchorCtr="0" upright="1">
                          <a:noAutofit/>
                        </wps:bodyPr>
                      </wps:wsp>
                      <wps:wsp>
                        <wps:cNvPr id="27147" name="AutoShape 37678"/>
                        <wps:cNvCnPr>
                          <a:cxnSpLocks noChangeShapeType="1"/>
                        </wps:cNvCnPr>
                        <wps:spPr bwMode="auto">
                          <a:xfrm flipV="1">
                            <a:off x="4423410" y="891540"/>
                            <a:ext cx="7620" cy="1081405"/>
                          </a:xfrm>
                          <a:prstGeom prst="straightConnector1">
                            <a:avLst/>
                          </a:prstGeom>
                          <a:noFill/>
                          <a:ln w="9525">
                            <a:solidFill>
                              <a:srgbClr val="000000"/>
                            </a:solidFill>
                            <a:round/>
                          </a:ln>
                        </wps:spPr>
                        <wps:bodyPr/>
                      </wps:wsp>
                      <wps:wsp>
                        <wps:cNvPr id="27149" name="AutoShape 37679"/>
                        <wps:cNvCnPr>
                          <a:cxnSpLocks noChangeShapeType="1"/>
                        </wps:cNvCnPr>
                        <wps:spPr bwMode="auto">
                          <a:xfrm>
                            <a:off x="4261485" y="3961765"/>
                            <a:ext cx="261620" cy="635"/>
                          </a:xfrm>
                          <a:prstGeom prst="straightConnector1">
                            <a:avLst/>
                          </a:prstGeom>
                          <a:noFill/>
                          <a:ln w="9525">
                            <a:solidFill>
                              <a:srgbClr val="000000"/>
                            </a:solidFill>
                            <a:prstDash val="dash"/>
                            <a:round/>
                            <a:tailEnd type="triangle" w="med" len="med"/>
                          </a:ln>
                        </wps:spPr>
                        <wps:bodyPr/>
                      </wps:wsp>
                      <wps:wsp>
                        <wps:cNvPr id="27163" name="Rectangle 37680"/>
                        <wps:cNvSpPr>
                          <a:spLocks noChangeArrowheads="1"/>
                        </wps:cNvSpPr>
                        <wps:spPr bwMode="auto">
                          <a:xfrm>
                            <a:off x="4523105" y="3910965"/>
                            <a:ext cx="358140" cy="767715"/>
                          </a:xfrm>
                          <a:prstGeom prst="rect">
                            <a:avLst/>
                          </a:prstGeom>
                          <a:noFill/>
                          <a:ln w="9525">
                            <a:solidFill>
                              <a:srgbClr val="000000"/>
                            </a:solidFill>
                            <a:miter lim="800000"/>
                          </a:ln>
                        </wps:spPr>
                        <wps:txbx>
                          <w:txbxContent>
                            <w:p w14:paraId="19FC6E19" w14:textId="77777777" w:rsidR="00217891" w:rsidRDefault="00217891" w:rsidP="001A1CFE">
                              <w:r>
                                <w:rPr>
                                  <w:rFonts w:hint="eastAsia"/>
                                </w:rPr>
                                <w:t>水喷淋</w:t>
                              </w:r>
                            </w:p>
                          </w:txbxContent>
                        </wps:txbx>
                        <wps:bodyPr rot="0" vert="horz" wrap="square" lIns="91440" tIns="45720" rIns="91440" bIns="45720" anchor="t" anchorCtr="0" upright="1">
                          <a:noAutofit/>
                        </wps:bodyPr>
                      </wps:wsp>
                      <wps:wsp>
                        <wps:cNvPr id="27164" name="AutoShape 37681"/>
                        <wps:cNvCnPr>
                          <a:cxnSpLocks noChangeShapeType="1"/>
                        </wps:cNvCnPr>
                        <wps:spPr bwMode="auto">
                          <a:xfrm flipH="1">
                            <a:off x="3204210" y="2277110"/>
                            <a:ext cx="12700" cy="1830070"/>
                          </a:xfrm>
                          <a:prstGeom prst="straightConnector1">
                            <a:avLst/>
                          </a:prstGeom>
                          <a:noFill/>
                          <a:ln w="9525">
                            <a:solidFill>
                              <a:srgbClr val="000000"/>
                            </a:solidFill>
                            <a:round/>
                            <a:tailEnd type="triangle" w="med" len="med"/>
                          </a:ln>
                        </wps:spPr>
                        <wps:bodyPr/>
                      </wps:wsp>
                      <wps:wsp>
                        <wps:cNvPr id="33" name="Rectangle 37682"/>
                        <wps:cNvSpPr>
                          <a:spLocks noChangeArrowheads="1"/>
                        </wps:cNvSpPr>
                        <wps:spPr bwMode="auto">
                          <a:xfrm>
                            <a:off x="2727960" y="4076700"/>
                            <a:ext cx="962025" cy="288925"/>
                          </a:xfrm>
                          <a:prstGeom prst="rect">
                            <a:avLst/>
                          </a:prstGeom>
                          <a:noFill/>
                          <a:ln w="9525">
                            <a:solidFill>
                              <a:srgbClr val="000000"/>
                            </a:solidFill>
                            <a:miter lim="800000"/>
                          </a:ln>
                        </wps:spPr>
                        <wps:txbx>
                          <w:txbxContent>
                            <w:p w14:paraId="3C07B2BA" w14:textId="77777777" w:rsidR="00217891" w:rsidRDefault="00217891" w:rsidP="001A1CFE">
                              <w:pPr>
                                <w:ind w:firstLineChars="100" w:firstLine="210"/>
                                <w:rPr>
                                  <w:rFonts w:ascii="等线" w:hAnsi="等线"/>
                                </w:rPr>
                              </w:pPr>
                              <w:r>
                                <w:rPr>
                                  <w:rFonts w:ascii="等线" w:hAnsi="等线" w:hint="eastAsia"/>
                                </w:rPr>
                                <w:t>冷却池</w:t>
                              </w:r>
                            </w:p>
                          </w:txbxContent>
                        </wps:txbx>
                        <wps:bodyPr rot="0" vert="horz" wrap="square" lIns="91440" tIns="45720" rIns="91440" bIns="45720" anchor="t" anchorCtr="0" upright="1">
                          <a:noAutofit/>
                        </wps:bodyPr>
                      </wps:wsp>
                      <wps:wsp>
                        <wps:cNvPr id="52" name="AutoShape 37683"/>
                        <wps:cNvCnPr>
                          <a:cxnSpLocks noChangeShapeType="1"/>
                        </wps:cNvCnPr>
                        <wps:spPr bwMode="auto">
                          <a:xfrm flipH="1">
                            <a:off x="5792470" y="2178685"/>
                            <a:ext cx="12700" cy="5844540"/>
                          </a:xfrm>
                          <a:prstGeom prst="straightConnector1">
                            <a:avLst/>
                          </a:prstGeom>
                          <a:noFill/>
                          <a:ln w="9525">
                            <a:solidFill>
                              <a:srgbClr val="000000"/>
                            </a:solidFill>
                            <a:round/>
                            <a:tailEnd type="triangle" w="med" len="med"/>
                          </a:ln>
                        </wps:spPr>
                        <wps:bodyPr/>
                      </wps:wsp>
                      <wps:wsp>
                        <wps:cNvPr id="57" name="AutoShape 37684"/>
                        <wps:cNvCnPr>
                          <a:cxnSpLocks noChangeShapeType="1"/>
                        </wps:cNvCnPr>
                        <wps:spPr bwMode="auto">
                          <a:xfrm>
                            <a:off x="3766820" y="2132330"/>
                            <a:ext cx="405130" cy="635"/>
                          </a:xfrm>
                          <a:prstGeom prst="straightConnector1">
                            <a:avLst/>
                          </a:prstGeom>
                          <a:noFill/>
                          <a:ln w="9525">
                            <a:solidFill>
                              <a:srgbClr val="000000"/>
                            </a:solidFill>
                            <a:round/>
                            <a:tailEnd type="triangle" w="med" len="med"/>
                          </a:ln>
                        </wps:spPr>
                        <wps:bodyPr/>
                      </wps:wsp>
                      <wps:wsp>
                        <wps:cNvPr id="59" name="AutoShape 37686"/>
                        <wps:cNvCnPr>
                          <a:cxnSpLocks noChangeShapeType="1"/>
                        </wps:cNvCnPr>
                        <wps:spPr bwMode="auto">
                          <a:xfrm>
                            <a:off x="2358390" y="4205605"/>
                            <a:ext cx="390525" cy="635"/>
                          </a:xfrm>
                          <a:prstGeom prst="straightConnector1">
                            <a:avLst/>
                          </a:prstGeom>
                          <a:noFill/>
                          <a:ln w="9525">
                            <a:solidFill>
                              <a:srgbClr val="000000"/>
                            </a:solidFill>
                            <a:round/>
                            <a:tailEnd type="triangle" w="med" len="med"/>
                          </a:ln>
                        </wps:spPr>
                        <wps:bodyPr/>
                      </wps:wsp>
                      <wps:wsp>
                        <wps:cNvPr id="62" name="Rectangle 37687"/>
                        <wps:cNvSpPr>
                          <a:spLocks noChangeArrowheads="1"/>
                        </wps:cNvSpPr>
                        <wps:spPr bwMode="auto">
                          <a:xfrm>
                            <a:off x="1396365" y="4022725"/>
                            <a:ext cx="962025" cy="288925"/>
                          </a:xfrm>
                          <a:prstGeom prst="rect">
                            <a:avLst/>
                          </a:prstGeom>
                          <a:noFill/>
                          <a:ln w="9525">
                            <a:solidFill>
                              <a:srgbClr val="000000"/>
                            </a:solidFill>
                            <a:miter lim="800000"/>
                          </a:ln>
                        </wps:spPr>
                        <wps:txbx>
                          <w:txbxContent>
                            <w:p w14:paraId="23202154" w14:textId="77777777" w:rsidR="00217891" w:rsidRDefault="00217891" w:rsidP="001A1CFE">
                              <w:pPr>
                                <w:ind w:firstLineChars="100" w:firstLine="210"/>
                                <w:rPr>
                                  <w:rFonts w:ascii="等线" w:hAnsi="等线"/>
                                </w:rPr>
                              </w:pPr>
                              <w:r>
                                <w:rPr>
                                  <w:rFonts w:ascii="等线" w:hAnsi="等线" w:hint="eastAsia"/>
                                </w:rPr>
                                <w:t>循环系统</w:t>
                              </w:r>
                            </w:p>
                          </w:txbxContent>
                        </wps:txbx>
                        <wps:bodyPr rot="0" vert="horz" wrap="square" lIns="91440" tIns="45720" rIns="91440" bIns="45720" anchor="t" anchorCtr="0" upright="1">
                          <a:noAutofit/>
                        </wps:bodyPr>
                      </wps:wsp>
                      <wps:wsp>
                        <wps:cNvPr id="66" name="AutoShape 37688"/>
                        <wps:cNvCnPr>
                          <a:cxnSpLocks noChangeShapeType="1"/>
                        </wps:cNvCnPr>
                        <wps:spPr bwMode="auto">
                          <a:xfrm>
                            <a:off x="936625" y="4175125"/>
                            <a:ext cx="459740" cy="635"/>
                          </a:xfrm>
                          <a:prstGeom prst="straightConnector1">
                            <a:avLst/>
                          </a:prstGeom>
                          <a:noFill/>
                          <a:ln w="9525">
                            <a:solidFill>
                              <a:srgbClr val="000000"/>
                            </a:solidFill>
                            <a:round/>
                            <a:tailEnd type="triangle" w="med" len="med"/>
                          </a:ln>
                        </wps:spPr>
                        <wps:bodyPr/>
                      </wps:wsp>
                      <wps:wsp>
                        <wps:cNvPr id="68" name="Rectangle 37689"/>
                        <wps:cNvSpPr>
                          <a:spLocks noChangeArrowheads="1"/>
                        </wps:cNvSpPr>
                        <wps:spPr bwMode="auto">
                          <a:xfrm>
                            <a:off x="584835" y="3910965"/>
                            <a:ext cx="1085850" cy="279400"/>
                          </a:xfrm>
                          <a:prstGeom prst="rect">
                            <a:avLst/>
                          </a:prstGeom>
                          <a:noFill/>
                          <a:ln>
                            <a:noFill/>
                          </a:ln>
                        </wps:spPr>
                        <wps:txbx>
                          <w:txbxContent>
                            <w:p w14:paraId="2050AA21" w14:textId="77777777" w:rsidR="00217891" w:rsidRDefault="00217891" w:rsidP="001A1CFE">
                              <w:pPr>
                                <w:rPr>
                                  <w:rFonts w:asciiTheme="minorHAnsi" w:hAnsiTheme="minorHAnsi"/>
                                </w:rPr>
                              </w:pPr>
                              <w:r>
                                <w:rPr>
                                  <w:rFonts w:asciiTheme="minorHAnsi" w:hAnsiTheme="minorHAnsi" w:hint="eastAsia"/>
                                </w:rPr>
                                <w:t>脱盐水</w:t>
                              </w:r>
                              <w:r w:rsidRPr="00C16801">
                                <w:rPr>
                                  <w:rFonts w:ascii="Calibri" w:hAnsi="Calibri"/>
                                </w:rPr>
                                <w:t>129</w:t>
                              </w:r>
                            </w:p>
                          </w:txbxContent>
                        </wps:txbx>
                        <wps:bodyPr rot="0" vert="horz" wrap="square" lIns="91440" tIns="45720" rIns="91440" bIns="45720" anchor="t" anchorCtr="0" upright="1">
                          <a:noAutofit/>
                        </wps:bodyPr>
                      </wps:wsp>
                      <wps:wsp>
                        <wps:cNvPr id="69" name="AutoShape 37690"/>
                        <wps:cNvCnPr>
                          <a:cxnSpLocks noChangeShapeType="1"/>
                        </wps:cNvCnPr>
                        <wps:spPr bwMode="auto">
                          <a:xfrm>
                            <a:off x="2010410" y="4320540"/>
                            <a:ext cx="0" cy="2514600"/>
                          </a:xfrm>
                          <a:prstGeom prst="straightConnector1">
                            <a:avLst/>
                          </a:prstGeom>
                          <a:noFill/>
                          <a:ln w="9525">
                            <a:solidFill>
                              <a:srgbClr val="000000"/>
                            </a:solidFill>
                            <a:round/>
                          </a:ln>
                        </wps:spPr>
                        <wps:bodyPr/>
                      </wps:wsp>
                      <wps:wsp>
                        <wps:cNvPr id="76" name="Rectangle 37691"/>
                        <wps:cNvSpPr>
                          <a:spLocks noChangeArrowheads="1"/>
                        </wps:cNvSpPr>
                        <wps:spPr bwMode="auto">
                          <a:xfrm>
                            <a:off x="906145" y="4942205"/>
                            <a:ext cx="1418590" cy="818515"/>
                          </a:xfrm>
                          <a:prstGeom prst="rect">
                            <a:avLst/>
                          </a:prstGeom>
                          <a:noFill/>
                          <a:ln>
                            <a:noFill/>
                          </a:ln>
                        </wps:spPr>
                        <wps:txbx>
                          <w:txbxContent>
                            <w:p w14:paraId="52C027AF" w14:textId="77777777" w:rsidR="00217891" w:rsidRPr="00C97A7B" w:rsidRDefault="00217891" w:rsidP="001A1CFE">
                              <w:pPr>
                                <w:ind w:firstLineChars="100" w:firstLine="200"/>
                                <w:rPr>
                                  <w:rFonts w:ascii="Calibri" w:hAnsi="Calibri"/>
                                  <w:sz w:val="20"/>
                                  <w:szCs w:val="20"/>
                                </w:rPr>
                              </w:pPr>
                              <w:r w:rsidRPr="00C97A7B">
                                <w:rPr>
                                  <w:rFonts w:ascii="Calibri" w:hAnsi="Calibri"/>
                                  <w:sz w:val="20"/>
                                  <w:szCs w:val="20"/>
                                </w:rPr>
                                <w:t>排污水：</w:t>
                              </w:r>
                              <w:r w:rsidRPr="00C97A7B">
                                <w:rPr>
                                  <w:rFonts w:ascii="Calibri" w:hAnsi="Calibri"/>
                                  <w:sz w:val="20"/>
                                  <w:szCs w:val="20"/>
                                </w:rPr>
                                <w:t>13</w:t>
                              </w:r>
                            </w:p>
                            <w:p w14:paraId="30BF51AC" w14:textId="77777777" w:rsidR="00217891" w:rsidRPr="00C97A7B" w:rsidRDefault="00217891" w:rsidP="001A1CFE">
                              <w:pPr>
                                <w:rPr>
                                  <w:rFonts w:ascii="Calibri" w:hAnsi="Calibri"/>
                                  <w:sz w:val="20"/>
                                  <w:szCs w:val="20"/>
                                </w:rPr>
                              </w:pPr>
                              <w:r w:rsidRPr="00C97A7B">
                                <w:rPr>
                                  <w:rFonts w:ascii="Calibri" w:hAnsi="Calibri"/>
                                  <w:sz w:val="20"/>
                                  <w:szCs w:val="20"/>
                                </w:rPr>
                                <w:t>（己二胺</w:t>
                              </w:r>
                              <w:r w:rsidRPr="00C97A7B">
                                <w:rPr>
                                  <w:rFonts w:ascii="Calibri" w:hAnsi="Calibri"/>
                                  <w:sz w:val="20"/>
                                  <w:szCs w:val="20"/>
                                </w:rPr>
                                <w:t>0.05</w:t>
                              </w:r>
                              <w:r w:rsidRPr="00C97A7B">
                                <w:rPr>
                                  <w:rFonts w:ascii="Calibri" w:hAnsi="Calibri"/>
                                  <w:sz w:val="20"/>
                                  <w:szCs w:val="20"/>
                                </w:rPr>
                                <w:t>）</w:t>
                              </w:r>
                            </w:p>
                          </w:txbxContent>
                        </wps:txbx>
                        <wps:bodyPr rot="0" vert="horz" wrap="square" lIns="91440" tIns="45720" rIns="91440" bIns="45720" anchor="t" anchorCtr="0" upright="1">
                          <a:noAutofit/>
                        </wps:bodyPr>
                      </wps:wsp>
                      <wps:wsp>
                        <wps:cNvPr id="77" name="AutoShape 37692"/>
                        <wps:cNvCnPr>
                          <a:cxnSpLocks noChangeShapeType="1"/>
                        </wps:cNvCnPr>
                        <wps:spPr bwMode="auto">
                          <a:xfrm>
                            <a:off x="3700145" y="4236085"/>
                            <a:ext cx="810895" cy="635"/>
                          </a:xfrm>
                          <a:prstGeom prst="straightConnector1">
                            <a:avLst/>
                          </a:prstGeom>
                          <a:noFill/>
                          <a:ln w="9525">
                            <a:solidFill>
                              <a:srgbClr val="000000"/>
                            </a:solidFill>
                            <a:prstDash val="dash"/>
                            <a:round/>
                            <a:tailEnd type="triangle" w="med" len="med"/>
                          </a:ln>
                        </wps:spPr>
                        <wps:bodyPr/>
                      </wps:wsp>
                      <wps:wsp>
                        <wps:cNvPr id="80" name="Rectangle 37693"/>
                        <wps:cNvSpPr>
                          <a:spLocks noChangeArrowheads="1"/>
                        </wps:cNvSpPr>
                        <wps:spPr bwMode="auto">
                          <a:xfrm>
                            <a:off x="3359784" y="3977005"/>
                            <a:ext cx="1163321" cy="755015"/>
                          </a:xfrm>
                          <a:prstGeom prst="rect">
                            <a:avLst/>
                          </a:prstGeom>
                          <a:noFill/>
                          <a:ln>
                            <a:noFill/>
                          </a:ln>
                        </wps:spPr>
                        <wps:txbx>
                          <w:txbxContent>
                            <w:p w14:paraId="24D71E01" w14:textId="77777777" w:rsidR="00217891" w:rsidRPr="00AE1181" w:rsidRDefault="00217891" w:rsidP="001A1CFE">
                              <w:pPr>
                                <w:rPr>
                                  <w:rFonts w:ascii="Calibri" w:hAnsi="Calibri"/>
                                  <w:sz w:val="20"/>
                                  <w:szCs w:val="20"/>
                                </w:rPr>
                              </w:pPr>
                              <w:r w:rsidRPr="00AE1181">
                                <w:rPr>
                                  <w:rFonts w:ascii="Calibri" w:hAnsi="Calibri"/>
                                  <w:sz w:val="20"/>
                                  <w:szCs w:val="20"/>
                                </w:rPr>
                                <w:t>蒸发废气：</w:t>
                              </w:r>
                              <w:r w:rsidRPr="00AE1181">
                                <w:rPr>
                                  <w:rFonts w:ascii="Calibri" w:hAnsi="Calibri"/>
                                  <w:sz w:val="20"/>
                                  <w:szCs w:val="20"/>
                                </w:rPr>
                                <w:t>116</w:t>
                              </w:r>
                            </w:p>
                            <w:p w14:paraId="6BA6C7C7" w14:textId="77777777" w:rsidR="00217891" w:rsidRPr="00AE1181" w:rsidRDefault="00217891" w:rsidP="001A1CFE">
                              <w:pPr>
                                <w:rPr>
                                  <w:rFonts w:ascii="Calibri" w:hAnsi="Calibri"/>
                                  <w:sz w:val="20"/>
                                  <w:szCs w:val="20"/>
                                </w:rPr>
                              </w:pPr>
                              <w:r w:rsidRPr="00AE1181">
                                <w:rPr>
                                  <w:rFonts w:ascii="Calibri" w:hAnsi="Calibri"/>
                                  <w:sz w:val="20"/>
                                  <w:szCs w:val="20"/>
                                </w:rPr>
                                <w:t>（其中水：</w:t>
                              </w:r>
                              <w:r w:rsidRPr="00AE1181">
                                <w:rPr>
                                  <w:rFonts w:ascii="Calibri" w:hAnsi="Calibri"/>
                                  <w:sz w:val="20"/>
                                  <w:szCs w:val="20"/>
                                </w:rPr>
                                <w:t>115.97</w:t>
                              </w:r>
                            </w:p>
                            <w:p w14:paraId="784B1F11" w14:textId="77777777" w:rsidR="00217891" w:rsidRDefault="00217891" w:rsidP="001A1CFE">
                              <w:pPr>
                                <w:rPr>
                                  <w:rFonts w:asciiTheme="minorHAnsi" w:hAnsiTheme="minorHAnsi"/>
                                  <w:sz w:val="20"/>
                                  <w:szCs w:val="20"/>
                                </w:rPr>
                              </w:pPr>
                              <w:r w:rsidRPr="00AE1181">
                                <w:rPr>
                                  <w:rFonts w:ascii="Calibri" w:hAnsi="Calibri"/>
                                  <w:sz w:val="20"/>
                                  <w:szCs w:val="20"/>
                                </w:rPr>
                                <w:t>己二胺</w:t>
                              </w:r>
                              <w:r w:rsidRPr="00AE1181">
                                <w:rPr>
                                  <w:rFonts w:ascii="Calibri" w:hAnsi="Calibri"/>
                                  <w:sz w:val="20"/>
                                  <w:szCs w:val="20"/>
                                </w:rPr>
                                <w:t>0.03</w:t>
                              </w:r>
                              <w:r w:rsidRPr="00AE1181">
                                <w:rPr>
                                  <w:rFonts w:ascii="Calibri" w:hAnsi="Calibri"/>
                                  <w:sz w:val="20"/>
                                  <w:szCs w:val="20"/>
                                </w:rPr>
                                <w:t>）</w:t>
                              </w:r>
                            </w:p>
                          </w:txbxContent>
                        </wps:txbx>
                        <wps:bodyPr rot="0" vert="horz" wrap="square" lIns="91440" tIns="45720" rIns="91440" bIns="45720" anchor="t" anchorCtr="0" upright="1">
                          <a:noAutofit/>
                        </wps:bodyPr>
                      </wps:wsp>
                      <wps:wsp>
                        <wps:cNvPr id="81" name="AutoShape 37694"/>
                        <wps:cNvCnPr>
                          <a:cxnSpLocks noChangeShapeType="1"/>
                        </wps:cNvCnPr>
                        <wps:spPr bwMode="auto">
                          <a:xfrm>
                            <a:off x="3187700" y="4365625"/>
                            <a:ext cx="1905" cy="517525"/>
                          </a:xfrm>
                          <a:prstGeom prst="straightConnector1">
                            <a:avLst/>
                          </a:prstGeom>
                          <a:noFill/>
                          <a:ln w="9525">
                            <a:solidFill>
                              <a:srgbClr val="000000"/>
                            </a:solidFill>
                            <a:round/>
                            <a:tailEnd type="triangle" w="med" len="med"/>
                          </a:ln>
                        </wps:spPr>
                        <wps:bodyPr/>
                      </wps:wsp>
                      <wps:wsp>
                        <wps:cNvPr id="82" name="Rectangle 37695"/>
                        <wps:cNvSpPr>
                          <a:spLocks noChangeArrowheads="1"/>
                        </wps:cNvSpPr>
                        <wps:spPr bwMode="auto">
                          <a:xfrm>
                            <a:off x="2711450" y="4888230"/>
                            <a:ext cx="962025" cy="288925"/>
                          </a:xfrm>
                          <a:prstGeom prst="rect">
                            <a:avLst/>
                          </a:prstGeom>
                          <a:noFill/>
                          <a:ln w="9525">
                            <a:solidFill>
                              <a:srgbClr val="000000"/>
                            </a:solidFill>
                            <a:miter lim="800000"/>
                          </a:ln>
                        </wps:spPr>
                        <wps:txbx>
                          <w:txbxContent>
                            <w:p w14:paraId="461D285E" w14:textId="77777777" w:rsidR="00217891" w:rsidRDefault="00217891" w:rsidP="001A1CFE">
                              <w:pPr>
                                <w:ind w:firstLineChars="200" w:firstLine="420"/>
                                <w:rPr>
                                  <w:rFonts w:ascii="等线" w:hAnsi="等线"/>
                                </w:rPr>
                              </w:pPr>
                              <w:r>
                                <w:rPr>
                                  <w:rFonts w:ascii="等线" w:hAnsi="等线" w:hint="eastAsia"/>
                                </w:rPr>
                                <w:t>制粒</w:t>
                              </w:r>
                            </w:p>
                          </w:txbxContent>
                        </wps:txbx>
                        <wps:bodyPr rot="0" vert="horz" wrap="square" lIns="91440" tIns="45720" rIns="91440" bIns="45720" anchor="t" anchorCtr="0" upright="1">
                          <a:noAutofit/>
                        </wps:bodyPr>
                      </wps:wsp>
                      <wps:wsp>
                        <wps:cNvPr id="83" name="AutoShape 37696"/>
                        <wps:cNvCnPr>
                          <a:cxnSpLocks noChangeShapeType="1"/>
                        </wps:cNvCnPr>
                        <wps:spPr bwMode="auto">
                          <a:xfrm>
                            <a:off x="3673475" y="5043170"/>
                            <a:ext cx="459740" cy="635"/>
                          </a:xfrm>
                          <a:prstGeom prst="straightConnector1">
                            <a:avLst/>
                          </a:prstGeom>
                          <a:noFill/>
                          <a:ln w="9525">
                            <a:solidFill>
                              <a:srgbClr val="000000"/>
                            </a:solidFill>
                            <a:round/>
                            <a:tailEnd type="triangle" w="med" len="med"/>
                          </a:ln>
                        </wps:spPr>
                        <wps:bodyPr/>
                      </wps:wsp>
                      <wps:wsp>
                        <wps:cNvPr id="84" name="Rectangle 37697"/>
                        <wps:cNvSpPr>
                          <a:spLocks noChangeArrowheads="1"/>
                        </wps:cNvSpPr>
                        <wps:spPr bwMode="auto">
                          <a:xfrm>
                            <a:off x="3396615" y="5053965"/>
                            <a:ext cx="1085850" cy="279400"/>
                          </a:xfrm>
                          <a:prstGeom prst="rect">
                            <a:avLst/>
                          </a:prstGeom>
                          <a:noFill/>
                          <a:ln>
                            <a:noFill/>
                          </a:ln>
                        </wps:spPr>
                        <wps:txbx>
                          <w:txbxContent>
                            <w:p w14:paraId="5F6070E4" w14:textId="77777777" w:rsidR="00217891" w:rsidRPr="00C16801" w:rsidRDefault="00217891" w:rsidP="001A1CFE">
                              <w:pPr>
                                <w:rPr>
                                  <w:rFonts w:ascii="Calibri" w:hAnsi="Calibri"/>
                                </w:rPr>
                              </w:pPr>
                              <w:r w:rsidRPr="00C16801">
                                <w:rPr>
                                  <w:rFonts w:ascii="Calibri" w:hAnsi="Calibri"/>
                                </w:rPr>
                                <w:t>瑕疵品：</w:t>
                              </w:r>
                              <w:r>
                                <w:rPr>
                                  <w:rFonts w:ascii="Calibri" w:hAnsi="Calibri"/>
                                </w:rPr>
                                <w:t>15.47</w:t>
                              </w:r>
                            </w:p>
                          </w:txbxContent>
                        </wps:txbx>
                        <wps:bodyPr rot="0" vert="horz" wrap="square" lIns="91440" tIns="45720" rIns="91440" bIns="45720" anchor="t" anchorCtr="0" upright="1">
                          <a:noAutofit/>
                        </wps:bodyPr>
                      </wps:wsp>
                      <wps:wsp>
                        <wps:cNvPr id="85" name="AutoShape 37698"/>
                        <wps:cNvCnPr>
                          <a:cxnSpLocks noChangeShapeType="1"/>
                        </wps:cNvCnPr>
                        <wps:spPr bwMode="auto">
                          <a:xfrm>
                            <a:off x="3190240" y="5179060"/>
                            <a:ext cx="1905" cy="517525"/>
                          </a:xfrm>
                          <a:prstGeom prst="straightConnector1">
                            <a:avLst/>
                          </a:prstGeom>
                          <a:noFill/>
                          <a:ln w="9525">
                            <a:solidFill>
                              <a:srgbClr val="000000"/>
                            </a:solidFill>
                            <a:round/>
                            <a:tailEnd type="triangle" w="med" len="med"/>
                          </a:ln>
                        </wps:spPr>
                        <wps:bodyPr/>
                      </wps:wsp>
                      <wps:wsp>
                        <wps:cNvPr id="86" name="Rectangle 37699"/>
                        <wps:cNvSpPr>
                          <a:spLocks noChangeArrowheads="1"/>
                        </wps:cNvSpPr>
                        <wps:spPr bwMode="auto">
                          <a:xfrm>
                            <a:off x="2738120" y="5713095"/>
                            <a:ext cx="962025" cy="288925"/>
                          </a:xfrm>
                          <a:prstGeom prst="rect">
                            <a:avLst/>
                          </a:prstGeom>
                          <a:noFill/>
                          <a:ln w="9525">
                            <a:solidFill>
                              <a:srgbClr val="000000"/>
                            </a:solidFill>
                            <a:miter lim="800000"/>
                          </a:ln>
                        </wps:spPr>
                        <wps:txbx>
                          <w:txbxContent>
                            <w:p w14:paraId="1CBC0477" w14:textId="77777777" w:rsidR="00217891" w:rsidRDefault="00217891" w:rsidP="001A1CFE">
                              <w:pPr>
                                <w:ind w:firstLineChars="200" w:firstLine="420"/>
                                <w:rPr>
                                  <w:rFonts w:ascii="等线" w:hAnsi="等线"/>
                                </w:rPr>
                              </w:pPr>
                              <w:r>
                                <w:rPr>
                                  <w:rFonts w:ascii="等线" w:hAnsi="等线" w:hint="eastAsia"/>
                                </w:rPr>
                                <w:t>干燥</w:t>
                              </w:r>
                            </w:p>
                          </w:txbxContent>
                        </wps:txbx>
                        <wps:bodyPr rot="0" vert="horz" wrap="square" lIns="91440" tIns="45720" rIns="91440" bIns="45720" anchor="t" anchorCtr="0" upright="1">
                          <a:noAutofit/>
                        </wps:bodyPr>
                      </wps:wsp>
                      <wps:wsp>
                        <wps:cNvPr id="87" name="AutoShape 37700"/>
                        <wps:cNvCnPr>
                          <a:cxnSpLocks noChangeShapeType="1"/>
                        </wps:cNvCnPr>
                        <wps:spPr bwMode="auto">
                          <a:xfrm>
                            <a:off x="3700145" y="5873750"/>
                            <a:ext cx="459740" cy="635"/>
                          </a:xfrm>
                          <a:prstGeom prst="straightConnector1">
                            <a:avLst/>
                          </a:prstGeom>
                          <a:noFill/>
                          <a:ln w="9525">
                            <a:solidFill>
                              <a:srgbClr val="000000"/>
                            </a:solidFill>
                            <a:round/>
                            <a:tailEnd type="triangle" w="med" len="med"/>
                          </a:ln>
                        </wps:spPr>
                        <wps:bodyPr/>
                      </wps:wsp>
                      <wps:wsp>
                        <wps:cNvPr id="88" name="Rectangle 37701"/>
                        <wps:cNvSpPr>
                          <a:spLocks noChangeArrowheads="1"/>
                        </wps:cNvSpPr>
                        <wps:spPr bwMode="auto">
                          <a:xfrm>
                            <a:off x="3267075" y="5950585"/>
                            <a:ext cx="1085850" cy="279400"/>
                          </a:xfrm>
                          <a:prstGeom prst="rect">
                            <a:avLst/>
                          </a:prstGeom>
                          <a:noFill/>
                          <a:ln>
                            <a:noFill/>
                          </a:ln>
                        </wps:spPr>
                        <wps:txbx>
                          <w:txbxContent>
                            <w:p w14:paraId="5B6C561C" w14:textId="77777777" w:rsidR="00217891" w:rsidRPr="00C97A7B" w:rsidRDefault="00217891" w:rsidP="001A1CFE">
                              <w:pPr>
                                <w:rPr>
                                  <w:rFonts w:ascii="Calibri" w:hAnsi="Calibri"/>
                                </w:rPr>
                              </w:pPr>
                              <w:r w:rsidRPr="00C97A7B">
                                <w:rPr>
                                  <w:rFonts w:ascii="Calibri" w:hAnsi="Calibri"/>
                                </w:rPr>
                                <w:t>蒸发水：</w:t>
                              </w:r>
                              <w:r>
                                <w:rPr>
                                  <w:rFonts w:ascii="Calibri" w:hAnsi="Calibri"/>
                                </w:rPr>
                                <w:t>10.31</w:t>
                              </w:r>
                            </w:p>
                          </w:txbxContent>
                        </wps:txbx>
                        <wps:bodyPr rot="0" vert="horz" wrap="square" lIns="91440" tIns="45720" rIns="91440" bIns="45720" anchor="t" anchorCtr="0" upright="1">
                          <a:noAutofit/>
                        </wps:bodyPr>
                      </wps:wsp>
                      <wps:wsp>
                        <wps:cNvPr id="89" name="AutoShape 37702"/>
                        <wps:cNvCnPr>
                          <a:cxnSpLocks noChangeShapeType="1"/>
                        </wps:cNvCnPr>
                        <wps:spPr bwMode="auto">
                          <a:xfrm>
                            <a:off x="3202305" y="6017260"/>
                            <a:ext cx="1905" cy="517525"/>
                          </a:xfrm>
                          <a:prstGeom prst="straightConnector1">
                            <a:avLst/>
                          </a:prstGeom>
                          <a:noFill/>
                          <a:ln w="9525">
                            <a:solidFill>
                              <a:srgbClr val="000000"/>
                            </a:solidFill>
                            <a:round/>
                            <a:tailEnd type="triangle" w="med" len="med"/>
                          </a:ln>
                        </wps:spPr>
                        <wps:bodyPr/>
                      </wps:wsp>
                      <wps:wsp>
                        <wps:cNvPr id="90" name="Rectangle 37703"/>
                        <wps:cNvSpPr>
                          <a:spLocks noChangeArrowheads="1"/>
                        </wps:cNvSpPr>
                        <wps:spPr bwMode="auto">
                          <a:xfrm>
                            <a:off x="2757170" y="6478905"/>
                            <a:ext cx="1085850" cy="279400"/>
                          </a:xfrm>
                          <a:prstGeom prst="rect">
                            <a:avLst/>
                          </a:prstGeom>
                          <a:noFill/>
                          <a:ln>
                            <a:noFill/>
                          </a:ln>
                        </wps:spPr>
                        <wps:txbx>
                          <w:txbxContent>
                            <w:p w14:paraId="67829084" w14:textId="77777777" w:rsidR="00217891" w:rsidRPr="00C16801" w:rsidRDefault="00217891" w:rsidP="001A1CFE">
                              <w:pPr>
                                <w:rPr>
                                  <w:rFonts w:ascii="Calibri" w:hAnsi="Calibri"/>
                                </w:rPr>
                              </w:pPr>
                              <w:r>
                                <w:rPr>
                                  <w:rFonts w:asciiTheme="minorHAnsi" w:hAnsiTheme="minorHAnsi" w:hint="eastAsia"/>
                                </w:rPr>
                                <w:t>成品：</w:t>
                              </w:r>
                              <w:r w:rsidRPr="00C16801">
                                <w:rPr>
                                  <w:rFonts w:ascii="Calibri" w:hAnsi="Calibri"/>
                                </w:rPr>
                                <w:t>2500</w:t>
                              </w:r>
                            </w:p>
                          </w:txbxContent>
                        </wps:txbx>
                        <wps:bodyPr rot="0" vert="horz" wrap="square" lIns="91440" tIns="45720" rIns="91440" bIns="45720" anchor="t" anchorCtr="0" upright="1">
                          <a:noAutofit/>
                        </wps:bodyPr>
                      </wps:wsp>
                      <wps:wsp>
                        <wps:cNvPr id="91" name="Rectangle 37704"/>
                        <wps:cNvSpPr>
                          <a:spLocks noChangeArrowheads="1"/>
                        </wps:cNvSpPr>
                        <wps:spPr bwMode="auto">
                          <a:xfrm>
                            <a:off x="2983865" y="5348605"/>
                            <a:ext cx="1085850" cy="279400"/>
                          </a:xfrm>
                          <a:prstGeom prst="rect">
                            <a:avLst/>
                          </a:prstGeom>
                          <a:noFill/>
                          <a:ln>
                            <a:noFill/>
                          </a:ln>
                        </wps:spPr>
                        <wps:txbx>
                          <w:txbxContent>
                            <w:p w14:paraId="6AAFE888" w14:textId="77777777" w:rsidR="00217891" w:rsidRPr="00C97A7B" w:rsidRDefault="00217891" w:rsidP="001A1CFE">
                              <w:pPr>
                                <w:ind w:firstLineChars="150" w:firstLine="315"/>
                                <w:rPr>
                                  <w:rFonts w:ascii="Calibri" w:hAnsi="Calibri"/>
                                </w:rPr>
                              </w:pPr>
                              <w:r w:rsidRPr="00C97A7B">
                                <w:rPr>
                                  <w:rFonts w:ascii="Calibri" w:hAnsi="Calibri"/>
                                </w:rPr>
                                <w:t>25</w:t>
                              </w:r>
                              <w:r>
                                <w:rPr>
                                  <w:rFonts w:ascii="Calibri" w:hAnsi="Calibri"/>
                                </w:rPr>
                                <w:t>10</w:t>
                              </w:r>
                              <w:r w:rsidRPr="00C97A7B">
                                <w:rPr>
                                  <w:rFonts w:ascii="Calibri" w:hAnsi="Calibri"/>
                                </w:rPr>
                                <w:t>.</w:t>
                              </w:r>
                              <w:r>
                                <w:rPr>
                                  <w:rFonts w:ascii="Calibri" w:hAnsi="Calibri"/>
                                </w:rPr>
                                <w:t>31</w:t>
                              </w:r>
                            </w:p>
                          </w:txbxContent>
                        </wps:txbx>
                        <wps:bodyPr rot="0" vert="horz" wrap="square" lIns="91440" tIns="45720" rIns="91440" bIns="45720" anchor="t" anchorCtr="0" upright="1">
                          <a:noAutofit/>
                        </wps:bodyPr>
                      </wps:wsp>
                      <wps:wsp>
                        <wps:cNvPr id="92" name="Rectangle 37705"/>
                        <wps:cNvSpPr>
                          <a:spLocks noChangeArrowheads="1"/>
                        </wps:cNvSpPr>
                        <wps:spPr bwMode="auto">
                          <a:xfrm>
                            <a:off x="3031490" y="4575810"/>
                            <a:ext cx="1085850" cy="279400"/>
                          </a:xfrm>
                          <a:prstGeom prst="rect">
                            <a:avLst/>
                          </a:prstGeom>
                          <a:noFill/>
                          <a:ln>
                            <a:noFill/>
                          </a:ln>
                        </wps:spPr>
                        <wps:txbx>
                          <w:txbxContent>
                            <w:p w14:paraId="2429A1B1" w14:textId="77777777" w:rsidR="00217891" w:rsidRPr="00C97A7B" w:rsidRDefault="00217891" w:rsidP="001A1CFE">
                              <w:pPr>
                                <w:ind w:firstLineChars="100" w:firstLine="210"/>
                                <w:rPr>
                                  <w:rFonts w:ascii="Calibri" w:hAnsi="Calibri"/>
                                </w:rPr>
                              </w:pPr>
                              <w:r>
                                <w:rPr>
                                  <w:rFonts w:ascii="Calibri" w:hAnsi="Calibri"/>
                                </w:rPr>
                                <w:t>2525.78</w:t>
                              </w:r>
                            </w:p>
                          </w:txbxContent>
                        </wps:txbx>
                        <wps:bodyPr rot="0" vert="horz" wrap="square" lIns="91440" tIns="45720" rIns="91440" bIns="45720" anchor="t" anchorCtr="0" upright="1">
                          <a:noAutofit/>
                        </wps:bodyPr>
                      </wps:wsp>
                      <wps:wsp>
                        <wps:cNvPr id="93" name="Rectangle 37706"/>
                        <wps:cNvSpPr>
                          <a:spLocks noChangeArrowheads="1"/>
                        </wps:cNvSpPr>
                        <wps:spPr bwMode="auto">
                          <a:xfrm>
                            <a:off x="4154170" y="1988185"/>
                            <a:ext cx="702310" cy="288925"/>
                          </a:xfrm>
                          <a:prstGeom prst="rect">
                            <a:avLst/>
                          </a:prstGeom>
                          <a:noFill/>
                          <a:ln w="9525">
                            <a:solidFill>
                              <a:srgbClr val="000000"/>
                            </a:solidFill>
                            <a:miter lim="800000"/>
                          </a:ln>
                        </wps:spPr>
                        <wps:txbx>
                          <w:txbxContent>
                            <w:p w14:paraId="0DCB1B2C" w14:textId="77777777" w:rsidR="00217891" w:rsidRDefault="00217891" w:rsidP="001A1CFE">
                              <w:pPr>
                                <w:rPr>
                                  <w:rFonts w:ascii="等线" w:hAnsi="等线"/>
                                </w:rPr>
                              </w:pPr>
                              <w:r>
                                <w:rPr>
                                  <w:rFonts w:ascii="等线" w:hAnsi="等线" w:hint="eastAsia"/>
                                </w:rPr>
                                <w:t>冷却塔</w:t>
                              </w:r>
                            </w:p>
                          </w:txbxContent>
                        </wps:txbx>
                        <wps:bodyPr rot="0" vert="horz" wrap="square" lIns="91440" tIns="45720" rIns="91440" bIns="45720" anchor="t" anchorCtr="0" upright="1">
                          <a:noAutofit/>
                        </wps:bodyPr>
                      </wps:wsp>
                      <wps:wsp>
                        <wps:cNvPr id="94" name="AutoShape 37707"/>
                        <wps:cNvCnPr>
                          <a:cxnSpLocks noChangeShapeType="1"/>
                        </wps:cNvCnPr>
                        <wps:spPr bwMode="auto">
                          <a:xfrm flipH="1">
                            <a:off x="2246630" y="890270"/>
                            <a:ext cx="2181225" cy="1270"/>
                          </a:xfrm>
                          <a:prstGeom prst="straightConnector1">
                            <a:avLst/>
                          </a:prstGeom>
                          <a:noFill/>
                          <a:ln w="9525">
                            <a:solidFill>
                              <a:srgbClr val="000000"/>
                            </a:solidFill>
                            <a:round/>
                          </a:ln>
                        </wps:spPr>
                        <wps:bodyPr/>
                      </wps:wsp>
                      <wps:wsp>
                        <wps:cNvPr id="95" name="AutoShape 37708"/>
                        <wps:cNvCnPr>
                          <a:cxnSpLocks noChangeShapeType="1"/>
                        </wps:cNvCnPr>
                        <wps:spPr bwMode="auto">
                          <a:xfrm flipH="1">
                            <a:off x="2235835" y="891540"/>
                            <a:ext cx="10795" cy="281940"/>
                          </a:xfrm>
                          <a:prstGeom prst="straightConnector1">
                            <a:avLst/>
                          </a:prstGeom>
                          <a:noFill/>
                          <a:ln w="9525">
                            <a:solidFill>
                              <a:srgbClr val="000000"/>
                            </a:solidFill>
                            <a:round/>
                            <a:tailEnd type="triangle" w="med" len="med"/>
                          </a:ln>
                        </wps:spPr>
                        <wps:bodyPr/>
                      </wps:wsp>
                      <wps:wsp>
                        <wps:cNvPr id="37428" name="Rectangle 37709"/>
                        <wps:cNvSpPr>
                          <a:spLocks noChangeArrowheads="1"/>
                        </wps:cNvSpPr>
                        <wps:spPr bwMode="auto">
                          <a:xfrm>
                            <a:off x="3396615" y="1852930"/>
                            <a:ext cx="1085850" cy="279400"/>
                          </a:xfrm>
                          <a:prstGeom prst="rect">
                            <a:avLst/>
                          </a:prstGeom>
                          <a:noFill/>
                          <a:ln>
                            <a:noFill/>
                          </a:ln>
                        </wps:spPr>
                        <wps:txbx>
                          <w:txbxContent>
                            <w:p w14:paraId="3951020F" w14:textId="77777777" w:rsidR="00217891" w:rsidRPr="00C97A7B" w:rsidRDefault="00217891" w:rsidP="001A1CFE">
                              <w:pPr>
                                <w:ind w:firstLineChars="200" w:firstLine="420"/>
                                <w:rPr>
                                  <w:rFonts w:ascii="Calibri" w:hAnsi="Calibri"/>
                                </w:rPr>
                              </w:pPr>
                              <w:r>
                                <w:rPr>
                                  <w:rFonts w:ascii="Calibri" w:hAnsi="Calibri"/>
                                </w:rPr>
                                <w:t>2674.22</w:t>
                              </w:r>
                            </w:p>
                          </w:txbxContent>
                        </wps:txbx>
                        <wps:bodyPr rot="0" vert="horz" wrap="square" lIns="91440" tIns="45720" rIns="91440" bIns="45720" anchor="t" anchorCtr="0" upright="1">
                          <a:noAutofit/>
                        </wps:bodyPr>
                      </wps:wsp>
                      <wps:wsp>
                        <wps:cNvPr id="128" name="AutoShape 37711"/>
                        <wps:cNvCnPr>
                          <a:cxnSpLocks noChangeShapeType="1"/>
                        </wps:cNvCnPr>
                        <wps:spPr bwMode="auto">
                          <a:xfrm flipH="1">
                            <a:off x="4236720" y="2284730"/>
                            <a:ext cx="19050" cy="1707515"/>
                          </a:xfrm>
                          <a:prstGeom prst="straightConnector1">
                            <a:avLst/>
                          </a:prstGeom>
                          <a:noFill/>
                          <a:ln w="9525">
                            <a:solidFill>
                              <a:srgbClr val="000000"/>
                            </a:solidFill>
                            <a:prstDash val="dash"/>
                            <a:round/>
                          </a:ln>
                        </wps:spPr>
                        <wps:bodyPr/>
                      </wps:wsp>
                      <wps:wsp>
                        <wps:cNvPr id="129" name="Rectangle 37712"/>
                        <wps:cNvSpPr>
                          <a:spLocks noChangeArrowheads="1"/>
                        </wps:cNvSpPr>
                        <wps:spPr bwMode="auto">
                          <a:xfrm>
                            <a:off x="3161030" y="2262505"/>
                            <a:ext cx="1886585" cy="1741170"/>
                          </a:xfrm>
                          <a:prstGeom prst="rect">
                            <a:avLst/>
                          </a:prstGeom>
                          <a:noFill/>
                          <a:ln>
                            <a:noFill/>
                          </a:ln>
                        </wps:spPr>
                        <wps:txbx>
                          <w:txbxContent>
                            <w:p w14:paraId="79AC5792" w14:textId="77777777" w:rsidR="00217891" w:rsidRPr="00C97A7B" w:rsidRDefault="00217891" w:rsidP="001A1CFE">
                              <w:pPr>
                                <w:ind w:firstLineChars="200" w:firstLine="400"/>
                                <w:rPr>
                                  <w:rFonts w:ascii="Calibri" w:hAnsi="Calibri"/>
                                  <w:sz w:val="20"/>
                                  <w:szCs w:val="20"/>
                                </w:rPr>
                              </w:pPr>
                              <w:r w:rsidRPr="00C97A7B">
                                <w:rPr>
                                  <w:rFonts w:ascii="Calibri" w:hAnsi="Calibri"/>
                                  <w:sz w:val="20"/>
                                  <w:szCs w:val="20"/>
                                </w:rPr>
                                <w:t>不凝气：</w:t>
                              </w:r>
                              <w:r>
                                <w:rPr>
                                  <w:rFonts w:ascii="Calibri" w:hAnsi="Calibri"/>
                                  <w:sz w:val="20"/>
                                  <w:szCs w:val="20"/>
                                </w:rPr>
                                <w:t>269.11</w:t>
                              </w:r>
                            </w:p>
                            <w:p w14:paraId="63A86EC1" w14:textId="77777777" w:rsidR="00217891" w:rsidRDefault="00217891" w:rsidP="001A1CFE">
                              <w:pPr>
                                <w:ind w:firstLineChars="200" w:firstLine="400"/>
                                <w:rPr>
                                  <w:rFonts w:ascii="Calibri" w:hAnsi="Calibri"/>
                                  <w:sz w:val="20"/>
                                  <w:szCs w:val="20"/>
                                </w:rPr>
                              </w:pPr>
                              <w:r w:rsidRPr="00C97A7B">
                                <w:rPr>
                                  <w:rFonts w:ascii="Calibri" w:hAnsi="Calibri"/>
                                  <w:sz w:val="20"/>
                                  <w:szCs w:val="20"/>
                                </w:rPr>
                                <w:t>（其中水：</w:t>
                              </w:r>
                              <w:r>
                                <w:rPr>
                                  <w:rFonts w:ascii="Calibri" w:hAnsi="Calibri"/>
                                  <w:sz w:val="20"/>
                                  <w:szCs w:val="20"/>
                                </w:rPr>
                                <w:t>265.8</w:t>
                              </w:r>
                              <w:r>
                                <w:rPr>
                                  <w:rFonts w:ascii="Calibri" w:hAnsi="Calibri" w:hint="eastAsia"/>
                                  <w:sz w:val="20"/>
                                  <w:szCs w:val="20"/>
                                </w:rPr>
                                <w:t>；</w:t>
                              </w:r>
                              <w:r w:rsidRPr="00C97A7B">
                                <w:rPr>
                                  <w:rFonts w:ascii="Calibri" w:hAnsi="Calibri"/>
                                  <w:sz w:val="20"/>
                                  <w:szCs w:val="20"/>
                                </w:rPr>
                                <w:t>氨：</w:t>
                              </w:r>
                              <w:r w:rsidRPr="00C97A7B">
                                <w:rPr>
                                  <w:rFonts w:ascii="Calibri" w:hAnsi="Calibri"/>
                                  <w:sz w:val="20"/>
                                  <w:szCs w:val="20"/>
                                </w:rPr>
                                <w:t>0.01</w:t>
                              </w:r>
                              <w:r>
                                <w:rPr>
                                  <w:rFonts w:ascii="Calibri" w:hAnsi="Calibri" w:hint="eastAsia"/>
                                  <w:sz w:val="20"/>
                                  <w:szCs w:val="20"/>
                                </w:rPr>
                                <w:t>；</w:t>
                              </w:r>
                              <w:r w:rsidRPr="00C97A7B">
                                <w:rPr>
                                  <w:rFonts w:ascii="Calibri" w:hAnsi="Calibri"/>
                                  <w:sz w:val="20"/>
                                  <w:szCs w:val="20"/>
                                </w:rPr>
                                <w:t>己二酸：</w:t>
                              </w:r>
                              <w:r>
                                <w:rPr>
                                  <w:rFonts w:ascii="Calibri" w:hAnsi="Calibri"/>
                                  <w:sz w:val="20"/>
                                  <w:szCs w:val="20"/>
                                </w:rPr>
                                <w:t>0.34</w:t>
                              </w:r>
                              <w:r>
                                <w:rPr>
                                  <w:rFonts w:ascii="Calibri" w:hAnsi="Calibri" w:hint="eastAsia"/>
                                  <w:sz w:val="20"/>
                                  <w:szCs w:val="20"/>
                                </w:rPr>
                                <w:t>；</w:t>
                              </w:r>
                              <w:r w:rsidRPr="00C97A7B">
                                <w:rPr>
                                  <w:rFonts w:ascii="Calibri" w:hAnsi="Calibri"/>
                                  <w:sz w:val="20"/>
                                  <w:szCs w:val="20"/>
                                </w:rPr>
                                <w:t>环戊酮：</w:t>
                              </w:r>
                              <w:r w:rsidRPr="00C97A7B">
                                <w:rPr>
                                  <w:rFonts w:ascii="Calibri" w:hAnsi="Calibri"/>
                                  <w:sz w:val="20"/>
                                  <w:szCs w:val="20"/>
                                </w:rPr>
                                <w:t>0.04</w:t>
                              </w:r>
                              <w:r>
                                <w:rPr>
                                  <w:rFonts w:ascii="Calibri" w:hAnsi="Calibri" w:hint="eastAsia"/>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0.05</w:t>
                              </w:r>
                              <w:r w:rsidRPr="00C97A7B">
                                <w:rPr>
                                  <w:rFonts w:ascii="Calibri" w:hAnsi="Calibri"/>
                                  <w:sz w:val="20"/>
                                  <w:szCs w:val="20"/>
                                </w:rPr>
                                <w:t>己二胺</w:t>
                              </w:r>
                              <w:r>
                                <w:rPr>
                                  <w:rFonts w:ascii="Calibri" w:hAnsi="Calibri" w:hint="eastAsia"/>
                                  <w:sz w:val="20"/>
                                  <w:szCs w:val="20"/>
                                </w:rPr>
                                <w:t>:2.16</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0.07</w:t>
                              </w:r>
                              <w:r>
                                <w:rPr>
                                  <w:rFonts w:ascii="Calibri" w:hAnsi="Calibri" w:hint="eastAsia"/>
                                  <w:sz w:val="20"/>
                                  <w:szCs w:val="20"/>
                                </w:rPr>
                                <w:t>；</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 xml:space="preserve">0.04 </w:t>
                              </w:r>
                              <w:r>
                                <w:rPr>
                                  <w:rFonts w:ascii="Calibri" w:hAnsi="Calibri"/>
                                  <w:sz w:val="20"/>
                                  <w:szCs w:val="20"/>
                                </w:rPr>
                                <w:t xml:space="preserve"> </w:t>
                              </w:r>
                            </w:p>
                            <w:p w14:paraId="4FADBF8C" w14:textId="77777777" w:rsidR="00217891" w:rsidRPr="00C97A7B" w:rsidRDefault="00217891" w:rsidP="001A1CFE">
                              <w:pPr>
                                <w:ind w:firstLineChars="200" w:firstLine="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0.6</w:t>
                              </w:r>
                              <w:r w:rsidRPr="00C97A7B">
                                <w:rPr>
                                  <w:rFonts w:ascii="Calibri" w:hAnsi="Calibri"/>
                                  <w:sz w:val="20"/>
                                  <w:szCs w:val="20"/>
                                </w:rPr>
                                <w:t>）</w:t>
                              </w:r>
                            </w:p>
                          </w:txbxContent>
                        </wps:txbx>
                        <wps:bodyPr rot="0" vert="horz" wrap="square" lIns="91440" tIns="45720" rIns="91440" bIns="45720" anchor="t" anchorCtr="0" upright="1">
                          <a:noAutofit/>
                        </wps:bodyPr>
                      </wps:wsp>
                      <wps:wsp>
                        <wps:cNvPr id="130" name="AutoShape 37713"/>
                        <wps:cNvCnPr>
                          <a:cxnSpLocks noChangeShapeType="1"/>
                        </wps:cNvCnPr>
                        <wps:spPr bwMode="auto">
                          <a:xfrm>
                            <a:off x="4848860" y="2155190"/>
                            <a:ext cx="972820" cy="1270"/>
                          </a:xfrm>
                          <a:prstGeom prst="straightConnector1">
                            <a:avLst/>
                          </a:prstGeom>
                          <a:noFill/>
                          <a:ln w="9525">
                            <a:solidFill>
                              <a:srgbClr val="000000"/>
                            </a:solidFill>
                            <a:round/>
                            <a:tailEnd type="triangle" w="med" len="med"/>
                          </a:ln>
                        </wps:spPr>
                        <wps:bodyPr/>
                      </wps:wsp>
                      <wps:wsp>
                        <wps:cNvPr id="131" name="Rectangle 37714"/>
                        <wps:cNvSpPr>
                          <a:spLocks noChangeArrowheads="1"/>
                        </wps:cNvSpPr>
                        <wps:spPr bwMode="auto">
                          <a:xfrm>
                            <a:off x="4640580" y="609600"/>
                            <a:ext cx="1413510" cy="1537971"/>
                          </a:xfrm>
                          <a:prstGeom prst="rect">
                            <a:avLst/>
                          </a:prstGeom>
                          <a:noFill/>
                          <a:ln>
                            <a:noFill/>
                          </a:ln>
                        </wps:spPr>
                        <wps:txbx>
                          <w:txbxContent>
                            <w:p w14:paraId="55401E34" w14:textId="77777777" w:rsidR="00217891" w:rsidRPr="00C97A7B" w:rsidRDefault="00217891" w:rsidP="001A1CFE">
                              <w:pPr>
                                <w:rPr>
                                  <w:rFonts w:ascii="Calibri" w:hAnsi="Calibri"/>
                                  <w:sz w:val="20"/>
                                  <w:szCs w:val="20"/>
                                </w:rPr>
                              </w:pPr>
                              <w:r w:rsidRPr="00C97A7B">
                                <w:rPr>
                                  <w:rFonts w:ascii="Calibri" w:hAnsi="Calibri"/>
                                  <w:sz w:val="20"/>
                                  <w:szCs w:val="20"/>
                                </w:rPr>
                                <w:t>冷凝液</w:t>
                              </w:r>
                              <w:r>
                                <w:rPr>
                                  <w:rFonts w:ascii="Calibri" w:hAnsi="Calibri"/>
                                  <w:sz w:val="20"/>
                                  <w:szCs w:val="20"/>
                                </w:rPr>
                                <w:t>1105.31</w:t>
                              </w:r>
                            </w:p>
                            <w:p w14:paraId="17D3911A" w14:textId="77777777" w:rsidR="00217891" w:rsidRPr="00C97A7B" w:rsidRDefault="00217891" w:rsidP="001A1CFE">
                              <w:pPr>
                                <w:rPr>
                                  <w:rFonts w:ascii="Calibri" w:hAnsi="Calibri"/>
                                  <w:sz w:val="20"/>
                                  <w:szCs w:val="20"/>
                                </w:rPr>
                              </w:pPr>
                              <w:r w:rsidRPr="00C97A7B">
                                <w:rPr>
                                  <w:rFonts w:ascii="Calibri" w:hAnsi="Calibri"/>
                                  <w:sz w:val="20"/>
                                  <w:szCs w:val="20"/>
                                </w:rPr>
                                <w:t>（其中水：</w:t>
                              </w:r>
                              <w:r>
                                <w:rPr>
                                  <w:rFonts w:ascii="Calibri" w:hAnsi="Calibri"/>
                                  <w:sz w:val="20"/>
                                  <w:szCs w:val="20"/>
                                </w:rPr>
                                <w:t>1099.1</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3</w:t>
                              </w:r>
                              <w:r w:rsidRPr="00C97A7B">
                                <w:rPr>
                                  <w:rFonts w:ascii="Calibri" w:hAnsi="Calibri"/>
                                  <w:sz w:val="20"/>
                                  <w:szCs w:val="20"/>
                                </w:rPr>
                                <w:t>；己二酸</w:t>
                              </w:r>
                              <w:r w:rsidRPr="00C97A7B">
                                <w:rPr>
                                  <w:rFonts w:ascii="Calibri" w:hAnsi="Calibri"/>
                                  <w:sz w:val="20"/>
                                  <w:szCs w:val="20"/>
                                </w:rPr>
                                <w:t>:</w:t>
                              </w:r>
                              <w:r>
                                <w:rPr>
                                  <w:rFonts w:ascii="Calibri" w:hAnsi="Calibri"/>
                                  <w:sz w:val="20"/>
                                  <w:szCs w:val="20"/>
                                </w:rPr>
                                <w:t>1.41</w:t>
                              </w:r>
                              <w:r w:rsidRPr="00C97A7B">
                                <w:rPr>
                                  <w:rFonts w:ascii="Calibri" w:hAnsi="Calibri"/>
                                  <w:sz w:val="20"/>
                                  <w:szCs w:val="20"/>
                                </w:rPr>
                                <w:t>；环戊酮：</w:t>
                              </w:r>
                              <w:r>
                                <w:rPr>
                                  <w:rFonts w:ascii="Calibri" w:hAnsi="Calibri"/>
                                  <w:sz w:val="20"/>
                                  <w:szCs w:val="20"/>
                                </w:rPr>
                                <w:t>0.16</w:t>
                              </w:r>
                              <w:r w:rsidRPr="00C97A7B">
                                <w:rPr>
                                  <w:rFonts w:ascii="Calibri" w:hAnsi="Calibri"/>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w:t>
                              </w:r>
                              <w:r>
                                <w:rPr>
                                  <w:rFonts w:ascii="Calibri" w:hAnsi="Calibri"/>
                                  <w:color w:val="auto"/>
                                  <w:kern w:val="0"/>
                                  <w:sz w:val="20"/>
                                  <w:szCs w:val="20"/>
                                </w:rPr>
                                <w:t>18</w:t>
                              </w:r>
                              <w:r w:rsidRPr="00C97A7B">
                                <w:rPr>
                                  <w:rFonts w:ascii="Calibri" w:hAnsi="Calibri"/>
                                  <w:color w:val="auto"/>
                                  <w:kern w:val="0"/>
                                  <w:sz w:val="20"/>
                                  <w:szCs w:val="20"/>
                                </w:rPr>
                                <w:t>；</w:t>
                              </w:r>
                              <w:r w:rsidRPr="00C97A7B">
                                <w:rPr>
                                  <w:rFonts w:ascii="Calibri" w:hAnsi="Calibri"/>
                                  <w:sz w:val="20"/>
                                  <w:szCs w:val="20"/>
                                </w:rPr>
                                <w:t>己二胺</w:t>
                              </w:r>
                              <w:r w:rsidRPr="00C97A7B">
                                <w:rPr>
                                  <w:rFonts w:ascii="Calibri" w:hAnsi="Calibri"/>
                                  <w:sz w:val="20"/>
                                  <w:szCs w:val="20"/>
                                </w:rPr>
                                <w:t>1.</w:t>
                              </w:r>
                              <w:r>
                                <w:rPr>
                                  <w:rFonts w:ascii="Calibri" w:hAnsi="Calibri"/>
                                  <w:sz w:val="20"/>
                                  <w:szCs w:val="20"/>
                                </w:rPr>
                                <w:t>49</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0.29</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0.17</w:t>
                              </w: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2.48</w:t>
                              </w:r>
                              <w:r w:rsidRPr="00C97A7B">
                                <w:rPr>
                                  <w:rFonts w:ascii="Calibri" w:hAnsi="Calibri"/>
                                  <w:sz w:val="20"/>
                                  <w:szCs w:val="20"/>
                                </w:rPr>
                                <w:t>）</w:t>
                              </w:r>
                            </w:p>
                          </w:txbxContent>
                        </wps:txbx>
                        <wps:bodyPr rot="0" vert="horz" wrap="square" lIns="91440" tIns="45720" rIns="91440" bIns="45720" anchor="t" anchorCtr="0" upright="1">
                          <a:noAutofit/>
                        </wps:bodyPr>
                      </wps:wsp>
                      <wps:wsp>
                        <wps:cNvPr id="133" name="AutoShape 37715"/>
                        <wps:cNvCnPr>
                          <a:cxnSpLocks noChangeShapeType="1"/>
                        </wps:cNvCnPr>
                        <wps:spPr bwMode="auto">
                          <a:xfrm>
                            <a:off x="4873625" y="4472305"/>
                            <a:ext cx="501015" cy="635"/>
                          </a:xfrm>
                          <a:prstGeom prst="straightConnector1">
                            <a:avLst/>
                          </a:prstGeom>
                          <a:noFill/>
                          <a:ln w="9525">
                            <a:solidFill>
                              <a:srgbClr val="000000"/>
                            </a:solidFill>
                            <a:round/>
                            <a:tailEnd type="triangle" w="med" len="med"/>
                          </a:ln>
                        </wps:spPr>
                        <wps:bodyPr/>
                      </wps:wsp>
                      <wps:wsp>
                        <wps:cNvPr id="134" name="AutoShape 37716"/>
                        <wps:cNvCnPr>
                          <a:cxnSpLocks noChangeShapeType="1"/>
                        </wps:cNvCnPr>
                        <wps:spPr bwMode="auto">
                          <a:xfrm flipH="1">
                            <a:off x="4780915" y="3417570"/>
                            <a:ext cx="14605" cy="483235"/>
                          </a:xfrm>
                          <a:prstGeom prst="straightConnector1">
                            <a:avLst/>
                          </a:prstGeom>
                          <a:noFill/>
                          <a:ln w="9525">
                            <a:solidFill>
                              <a:srgbClr val="000000"/>
                            </a:solidFill>
                            <a:prstDash val="dash"/>
                            <a:round/>
                            <a:headEnd type="triangle" w="med" len="med"/>
                          </a:ln>
                        </wps:spPr>
                        <wps:bodyPr/>
                      </wps:wsp>
                      <wps:wsp>
                        <wps:cNvPr id="135" name="AutoShape 37718"/>
                        <wps:cNvCnPr>
                          <a:cxnSpLocks noChangeShapeType="1"/>
                        </wps:cNvCnPr>
                        <wps:spPr bwMode="auto">
                          <a:xfrm>
                            <a:off x="4652646" y="3648710"/>
                            <a:ext cx="635" cy="252095"/>
                          </a:xfrm>
                          <a:prstGeom prst="straightConnector1">
                            <a:avLst/>
                          </a:prstGeom>
                          <a:noFill/>
                          <a:ln w="9525">
                            <a:solidFill>
                              <a:srgbClr val="000000"/>
                            </a:solidFill>
                            <a:round/>
                            <a:tailEnd type="triangle" w="med" len="med"/>
                          </a:ln>
                        </wps:spPr>
                        <wps:bodyPr/>
                      </wps:wsp>
                      <wps:wsp>
                        <wps:cNvPr id="136" name="Rectangle 37719"/>
                        <wps:cNvSpPr>
                          <a:spLocks noChangeArrowheads="1"/>
                        </wps:cNvSpPr>
                        <wps:spPr bwMode="auto">
                          <a:xfrm>
                            <a:off x="3950970" y="3498215"/>
                            <a:ext cx="1085850" cy="279400"/>
                          </a:xfrm>
                          <a:prstGeom prst="rect">
                            <a:avLst/>
                          </a:prstGeom>
                          <a:noFill/>
                          <a:ln>
                            <a:noFill/>
                          </a:ln>
                        </wps:spPr>
                        <wps:txbx>
                          <w:txbxContent>
                            <w:p w14:paraId="7E3EB167" w14:textId="77777777" w:rsidR="00217891" w:rsidRPr="00C97A7B" w:rsidRDefault="00217891" w:rsidP="001A1CFE">
                              <w:pPr>
                                <w:rPr>
                                  <w:rFonts w:ascii="Calibri" w:hAnsi="Calibri"/>
                                </w:rPr>
                              </w:pPr>
                              <w:r w:rsidRPr="00C97A7B">
                                <w:rPr>
                                  <w:rFonts w:ascii="Calibri" w:hAnsi="Calibri"/>
                                </w:rPr>
                                <w:t>新鲜水</w:t>
                              </w:r>
                              <w:r w:rsidRPr="00C97A7B">
                                <w:rPr>
                                  <w:rFonts w:ascii="Calibri" w:hAnsi="Calibri"/>
                                </w:rPr>
                                <w:t>303</w:t>
                              </w:r>
                            </w:p>
                          </w:txbxContent>
                        </wps:txbx>
                        <wps:bodyPr rot="0" vert="horz" wrap="square" lIns="91440" tIns="45720" rIns="91440" bIns="45720" anchor="t" anchorCtr="0" upright="1">
                          <a:noAutofit/>
                        </wps:bodyPr>
                      </wps:wsp>
                      <wps:wsp>
                        <wps:cNvPr id="137" name="AutoShape 37720"/>
                        <wps:cNvCnPr>
                          <a:cxnSpLocks noChangeShapeType="1"/>
                        </wps:cNvCnPr>
                        <wps:spPr bwMode="auto">
                          <a:xfrm>
                            <a:off x="2010410" y="6826885"/>
                            <a:ext cx="3782060" cy="8255"/>
                          </a:xfrm>
                          <a:prstGeom prst="straightConnector1">
                            <a:avLst/>
                          </a:prstGeom>
                          <a:noFill/>
                          <a:ln w="9525">
                            <a:solidFill>
                              <a:srgbClr val="000000"/>
                            </a:solidFill>
                            <a:round/>
                            <a:tailEnd type="triangle" w="med" len="med"/>
                          </a:ln>
                        </wps:spPr>
                        <wps:bodyPr/>
                      </wps:wsp>
                      <wps:wsp>
                        <wps:cNvPr id="138" name="Rectangle 37722"/>
                        <wps:cNvSpPr>
                          <a:spLocks noChangeArrowheads="1"/>
                        </wps:cNvSpPr>
                        <wps:spPr bwMode="auto">
                          <a:xfrm>
                            <a:off x="2176780" y="1367790"/>
                            <a:ext cx="969645" cy="279400"/>
                          </a:xfrm>
                          <a:prstGeom prst="rect">
                            <a:avLst/>
                          </a:prstGeom>
                          <a:noFill/>
                          <a:ln>
                            <a:noFill/>
                          </a:ln>
                        </wps:spPr>
                        <wps:txbx>
                          <w:txbxContent>
                            <w:p w14:paraId="212150CF" w14:textId="77777777" w:rsidR="00217891" w:rsidRPr="00C97A7B" w:rsidRDefault="00217891" w:rsidP="001A1CFE">
                              <w:pPr>
                                <w:rPr>
                                  <w:rFonts w:ascii="Calibri" w:hAnsi="Calibri"/>
                                </w:rPr>
                              </w:pPr>
                              <w:r>
                                <w:rPr>
                                  <w:rFonts w:ascii="Calibri" w:hAnsi="Calibri"/>
                                </w:rPr>
                                <w:t>5200</w:t>
                              </w:r>
                              <w:r w:rsidRPr="00C97A7B">
                                <w:rPr>
                                  <w:rFonts w:ascii="Calibri" w:hAnsi="Calibri"/>
                                </w:rPr>
                                <w:t>（</w:t>
                              </w:r>
                              <w:r w:rsidRPr="00C97A7B">
                                <w:rPr>
                                  <w:rFonts w:ascii="Calibri" w:hAnsi="Calibri"/>
                                </w:rPr>
                                <w:t>52%</w:t>
                              </w:r>
                              <w:r w:rsidRPr="00C97A7B">
                                <w:rPr>
                                  <w:rFonts w:ascii="Calibri" w:hAnsi="Calibri"/>
                                </w:rPr>
                                <w:t>）</w:t>
                              </w:r>
                            </w:p>
                          </w:txbxContent>
                        </wps:txbx>
                        <wps:bodyPr rot="0" vert="horz" wrap="square" lIns="91440" tIns="45720" rIns="91440" bIns="45720" anchor="t" anchorCtr="0" upright="1">
                          <a:noAutofit/>
                        </wps:bodyPr>
                      </wps:wsp>
                      <wps:wsp>
                        <wps:cNvPr id="139" name="Rectangle 37723"/>
                        <wps:cNvSpPr>
                          <a:spLocks noChangeArrowheads="1"/>
                        </wps:cNvSpPr>
                        <wps:spPr bwMode="auto">
                          <a:xfrm>
                            <a:off x="2503805" y="3164205"/>
                            <a:ext cx="1085850" cy="279400"/>
                          </a:xfrm>
                          <a:prstGeom prst="rect">
                            <a:avLst/>
                          </a:prstGeom>
                          <a:noFill/>
                          <a:ln>
                            <a:noFill/>
                          </a:ln>
                        </wps:spPr>
                        <wps:txbx>
                          <w:txbxContent>
                            <w:p w14:paraId="4384BB87" w14:textId="77777777" w:rsidR="00217891" w:rsidRPr="00AE1181" w:rsidRDefault="00217891" w:rsidP="001A1CFE">
                              <w:pPr>
                                <w:ind w:firstLineChars="100" w:firstLine="210"/>
                                <w:rPr>
                                  <w:rFonts w:ascii="Calibri" w:hAnsi="Calibri"/>
                                </w:rPr>
                              </w:pPr>
                              <w:r w:rsidRPr="00AE1181">
                                <w:rPr>
                                  <w:rFonts w:ascii="Calibri" w:hAnsi="Calibri"/>
                                </w:rPr>
                                <w:t>2525.</w:t>
                              </w:r>
                              <w:r>
                                <w:rPr>
                                  <w:rFonts w:ascii="Calibri" w:hAnsi="Calibri"/>
                                </w:rPr>
                                <w:t>78</w:t>
                              </w:r>
                            </w:p>
                          </w:txbxContent>
                        </wps:txbx>
                        <wps:bodyPr rot="0" vert="horz" wrap="square" lIns="91440" tIns="45720" rIns="91440" bIns="45720" anchor="t" anchorCtr="0" upright="1">
                          <a:noAutofit/>
                        </wps:bodyPr>
                      </wps:wsp>
                      <wps:wsp>
                        <wps:cNvPr id="140" name="Rectangle 37725"/>
                        <wps:cNvSpPr>
                          <a:spLocks noChangeArrowheads="1"/>
                        </wps:cNvSpPr>
                        <wps:spPr bwMode="auto">
                          <a:xfrm>
                            <a:off x="4910455" y="7992745"/>
                            <a:ext cx="1061085" cy="288925"/>
                          </a:xfrm>
                          <a:prstGeom prst="rect">
                            <a:avLst/>
                          </a:prstGeom>
                          <a:noFill/>
                          <a:ln w="9525">
                            <a:solidFill>
                              <a:srgbClr val="000000"/>
                            </a:solidFill>
                            <a:miter lim="800000"/>
                          </a:ln>
                        </wps:spPr>
                        <wps:txbx>
                          <w:txbxContent>
                            <w:p w14:paraId="649EF036" w14:textId="77777777" w:rsidR="00217891" w:rsidRDefault="00217891" w:rsidP="001A1CFE">
                              <w:pPr>
                                <w:ind w:firstLineChars="100" w:firstLine="210"/>
                                <w:rPr>
                                  <w:rFonts w:ascii="等线" w:hAnsi="等线"/>
                                </w:rPr>
                              </w:pPr>
                              <w:r>
                                <w:rPr>
                                  <w:rFonts w:ascii="等线" w:hAnsi="等线" w:hint="eastAsia"/>
                                </w:rPr>
                                <w:t>污水</w:t>
                              </w:r>
                              <w:r>
                                <w:rPr>
                                  <w:rFonts w:ascii="等线" w:hAnsi="等线"/>
                                </w:rPr>
                                <w:t>处理站</w:t>
                              </w:r>
                            </w:p>
                          </w:txbxContent>
                        </wps:txbx>
                        <wps:bodyPr rot="0" vert="horz" wrap="square" lIns="91440" tIns="45720" rIns="91440" bIns="45720" anchor="t" anchorCtr="0" upright="1">
                          <a:noAutofit/>
                        </wps:bodyPr>
                      </wps:wsp>
                      <wps:wsp>
                        <wps:cNvPr id="141" name="Rectangle 37726"/>
                        <wps:cNvSpPr>
                          <a:spLocks noChangeArrowheads="1"/>
                        </wps:cNvSpPr>
                        <wps:spPr bwMode="auto">
                          <a:xfrm>
                            <a:off x="3950970" y="6872605"/>
                            <a:ext cx="1957070" cy="1313815"/>
                          </a:xfrm>
                          <a:prstGeom prst="rect">
                            <a:avLst/>
                          </a:prstGeom>
                          <a:noFill/>
                          <a:ln>
                            <a:noFill/>
                          </a:ln>
                        </wps:spPr>
                        <wps:txbx>
                          <w:txbxContent>
                            <w:p w14:paraId="7A400036" w14:textId="77777777" w:rsidR="00217891" w:rsidRPr="00C97A7B" w:rsidRDefault="00217891" w:rsidP="00D027F6">
                              <w:pPr>
                                <w:ind w:firstLineChars="50" w:firstLine="100"/>
                                <w:rPr>
                                  <w:rFonts w:ascii="Calibri" w:hAnsi="Calibri"/>
                                  <w:sz w:val="20"/>
                                  <w:szCs w:val="20"/>
                                </w:rPr>
                              </w:pPr>
                              <w:r w:rsidRPr="00C97A7B">
                                <w:rPr>
                                  <w:rFonts w:ascii="Calibri" w:hAnsi="Calibri"/>
                                  <w:sz w:val="20"/>
                                  <w:szCs w:val="20"/>
                                </w:rPr>
                                <w:t>废水：</w:t>
                              </w:r>
                              <w:r w:rsidRPr="00D027F6">
                                <w:rPr>
                                  <w:rFonts w:ascii="Calibri" w:hAnsi="Calibri"/>
                                  <w:sz w:val="20"/>
                                  <w:szCs w:val="20"/>
                                </w:rPr>
                                <w:t>1805.076</w:t>
                              </w:r>
                              <w:r w:rsidRPr="00C97A7B">
                                <w:rPr>
                                  <w:rFonts w:ascii="Calibri" w:hAnsi="Calibri"/>
                                  <w:sz w:val="20"/>
                                  <w:szCs w:val="20"/>
                                </w:rPr>
                                <w:t>其中水：</w:t>
                              </w:r>
                              <w:r>
                                <w:rPr>
                                  <w:rFonts w:ascii="Calibri" w:hAnsi="Calibri"/>
                                  <w:sz w:val="20"/>
                                  <w:szCs w:val="20"/>
                                </w:rPr>
                                <w:t>1796.87</w:t>
                              </w:r>
                              <w:r>
                                <w:rPr>
                                  <w:rFonts w:ascii="Calibri" w:hAnsi="Calibri" w:hint="eastAsia"/>
                                  <w:sz w:val="20"/>
                                  <w:szCs w:val="20"/>
                                </w:rPr>
                                <w:t>；</w:t>
                              </w:r>
                              <w:r w:rsidRPr="00C97A7B">
                                <w:rPr>
                                  <w:rFonts w:ascii="Calibri" w:hAnsi="Calibri"/>
                                  <w:sz w:val="20"/>
                                  <w:szCs w:val="20"/>
                                </w:rPr>
                                <w:t>己二胺：</w:t>
                              </w:r>
                              <w:r>
                                <w:rPr>
                                  <w:rFonts w:ascii="Calibri" w:hAnsi="Calibri"/>
                                  <w:sz w:val="20"/>
                                  <w:szCs w:val="20"/>
                                </w:rPr>
                                <w:t>2.80</w:t>
                              </w:r>
                            </w:p>
                            <w:p w14:paraId="0454FE46" w14:textId="77777777" w:rsidR="00217891" w:rsidRPr="00C97A7B" w:rsidRDefault="00217891" w:rsidP="001A1CFE">
                              <w:pPr>
                                <w:ind w:left="400" w:hangingChars="200" w:hanging="400"/>
                                <w:rPr>
                                  <w:rFonts w:ascii="Calibri" w:hAnsi="Calibri"/>
                                  <w:sz w:val="20"/>
                                  <w:szCs w:val="20"/>
                                </w:rPr>
                              </w:pPr>
                              <w:r w:rsidRPr="00C97A7B">
                                <w:rPr>
                                  <w:rFonts w:ascii="Calibri" w:hAnsi="Calibri"/>
                                  <w:sz w:val="20"/>
                                  <w:szCs w:val="20"/>
                                </w:rPr>
                                <w:t>己二酸：</w:t>
                              </w:r>
                              <w:r>
                                <w:rPr>
                                  <w:rFonts w:ascii="Calibri" w:hAnsi="Calibri"/>
                                  <w:sz w:val="20"/>
                                  <w:szCs w:val="20"/>
                                </w:rPr>
                                <w:t>1.61</w:t>
                              </w:r>
                              <w:r>
                                <w:rPr>
                                  <w:rFonts w:ascii="Calibri" w:hAnsi="Calibri" w:hint="eastAsia"/>
                                  <w:sz w:val="20"/>
                                  <w:szCs w:val="20"/>
                                </w:rPr>
                                <w:t>；</w:t>
                              </w:r>
                              <w:r w:rsidRPr="00C97A7B">
                                <w:rPr>
                                  <w:rFonts w:ascii="Calibri" w:hAnsi="Calibri"/>
                                  <w:sz w:val="20"/>
                                  <w:szCs w:val="20"/>
                                </w:rPr>
                                <w:t>环戊酮：</w:t>
                              </w:r>
                              <w:r>
                                <w:rPr>
                                  <w:rFonts w:ascii="Calibri" w:hAnsi="Calibri"/>
                                  <w:sz w:val="20"/>
                                  <w:szCs w:val="20"/>
                                </w:rPr>
                                <w:t>0.184</w:t>
                              </w:r>
                            </w:p>
                            <w:p w14:paraId="4BAB7136" w14:textId="77777777" w:rsidR="00217891" w:rsidRDefault="00217891" w:rsidP="001A1CFE">
                              <w:pPr>
                                <w:ind w:left="400" w:hangingChars="200" w:hanging="400"/>
                                <w:rPr>
                                  <w:rFonts w:ascii="Calibri" w:hAnsi="Calibri"/>
                                  <w:sz w:val="20"/>
                                  <w:szCs w:val="20"/>
                                </w:rPr>
                              </w:pPr>
                              <w:r w:rsidRPr="00C97A7B">
                                <w:rPr>
                                  <w:rFonts w:ascii="Calibri" w:hAnsi="Calibri"/>
                                  <w:color w:val="auto"/>
                                  <w:kern w:val="0"/>
                                  <w:sz w:val="20"/>
                                  <w:szCs w:val="20"/>
                                </w:rPr>
                                <w:t>环己亚胺：</w:t>
                              </w:r>
                              <w:r>
                                <w:rPr>
                                  <w:rFonts w:ascii="Calibri" w:hAnsi="Calibri"/>
                                  <w:color w:val="auto"/>
                                  <w:kern w:val="0"/>
                                  <w:sz w:val="20"/>
                                  <w:szCs w:val="20"/>
                                </w:rPr>
                                <w:t>0.21</w:t>
                              </w:r>
                              <w:r>
                                <w:rPr>
                                  <w:rFonts w:ascii="Calibri" w:hAnsi="Calibri" w:hint="eastAsia"/>
                                  <w:color w:val="auto"/>
                                  <w:kern w:val="0"/>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36</w:t>
                              </w:r>
                              <w:r>
                                <w:rPr>
                                  <w:rFonts w:ascii="Calibri" w:hAnsi="Calibri" w:hint="eastAsia"/>
                                  <w:sz w:val="20"/>
                                  <w:szCs w:val="20"/>
                                </w:rPr>
                                <w:t>；</w:t>
                              </w:r>
                            </w:p>
                            <w:p w14:paraId="0B22FDC9" w14:textId="77777777" w:rsidR="00217891" w:rsidRDefault="00217891" w:rsidP="001A1CFE">
                              <w:pPr>
                                <w:ind w:left="400" w:hangingChars="200" w:hanging="400"/>
                                <w:rPr>
                                  <w:rFonts w:ascii="Calibri" w:hAnsi="Calibri"/>
                                  <w:sz w:val="20"/>
                                  <w:szCs w:val="20"/>
                                </w:rPr>
                              </w:pP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0.332</w:t>
                              </w:r>
                              <w:r w:rsidRPr="00E13A8E">
                                <w:rPr>
                                  <w:rFonts w:ascii="Calibri" w:hAnsi="Calibri" w:hint="eastAsia"/>
                                  <w:sz w:val="20"/>
                                  <w:szCs w:val="20"/>
                                </w:rPr>
                                <w:t>癸二酸</w:t>
                              </w:r>
                              <w:r>
                                <w:rPr>
                                  <w:rFonts w:ascii="Calibri" w:hAnsi="Calibri" w:hint="eastAsia"/>
                                  <w:sz w:val="20"/>
                                  <w:szCs w:val="20"/>
                                </w:rPr>
                                <w:t>：</w:t>
                              </w:r>
                              <w:r>
                                <w:rPr>
                                  <w:rFonts w:ascii="Calibri" w:hAnsi="Calibri"/>
                                  <w:sz w:val="20"/>
                                  <w:szCs w:val="20"/>
                                </w:rPr>
                                <w:t>0.194</w:t>
                              </w:r>
                              <w:r>
                                <w:rPr>
                                  <w:rFonts w:ascii="Calibri" w:hAnsi="Calibri" w:hint="eastAsia"/>
                                  <w:sz w:val="20"/>
                                  <w:szCs w:val="20"/>
                                </w:rPr>
                                <w:t>；</w:t>
                              </w:r>
                            </w:p>
                            <w:p w14:paraId="586EC157" w14:textId="77777777" w:rsidR="00217891" w:rsidRPr="00C97A7B" w:rsidRDefault="00217891" w:rsidP="001A1CFE">
                              <w:pPr>
                                <w:ind w:left="400" w:hangingChars="200" w:hanging="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sz w:val="20"/>
                                  <w:szCs w:val="20"/>
                                </w:rPr>
                                <w:t>2.84</w:t>
                              </w:r>
                            </w:p>
                          </w:txbxContent>
                        </wps:txbx>
                        <wps:bodyPr rot="0" vert="horz" wrap="square" lIns="91440" tIns="45720" rIns="91440" bIns="45720" anchor="t" anchorCtr="0" upright="1">
                          <a:noAutofit/>
                        </wps:bodyPr>
                      </wps:wsp>
                      <wps:wsp>
                        <wps:cNvPr id="142" name="Rectangle 37727"/>
                        <wps:cNvSpPr>
                          <a:spLocks noChangeArrowheads="1"/>
                        </wps:cNvSpPr>
                        <wps:spPr bwMode="auto">
                          <a:xfrm>
                            <a:off x="0" y="304800"/>
                            <a:ext cx="1533525" cy="890905"/>
                          </a:xfrm>
                          <a:prstGeom prst="rect">
                            <a:avLst/>
                          </a:prstGeom>
                          <a:noFill/>
                          <a:ln>
                            <a:noFill/>
                          </a:ln>
                        </wps:spPr>
                        <wps:txbx>
                          <w:txbxContent>
                            <w:p w14:paraId="7D67CA0F" w14:textId="77777777" w:rsidR="00217891" w:rsidRPr="00C97A7B" w:rsidRDefault="00217891" w:rsidP="001A1CFE">
                              <w:pPr>
                                <w:ind w:firstLineChars="150" w:firstLine="315"/>
                                <w:rPr>
                                  <w:rFonts w:ascii="Calibri" w:hAnsi="Calibri"/>
                                </w:rPr>
                              </w:pPr>
                              <w:r w:rsidRPr="00C97A7B">
                                <w:rPr>
                                  <w:rFonts w:ascii="Calibri" w:hAnsi="Calibri"/>
                                </w:rPr>
                                <w:t>50%</w:t>
                              </w:r>
                              <w:r w:rsidRPr="00C97A7B">
                                <w:rPr>
                                  <w:rFonts w:ascii="Calibri" w:hAnsi="Calibri"/>
                                </w:rPr>
                                <w:t>尼龙</w:t>
                              </w:r>
                              <w:r w:rsidRPr="00C97A7B">
                                <w:rPr>
                                  <w:rFonts w:ascii="Calibri" w:hAnsi="Calibri"/>
                                </w:rPr>
                                <w:t>66</w:t>
                              </w:r>
                              <w:r w:rsidRPr="00C97A7B">
                                <w:rPr>
                                  <w:rFonts w:ascii="Calibri" w:hAnsi="Calibri"/>
                                </w:rPr>
                                <w:t>盐</w:t>
                              </w:r>
                              <w:r w:rsidRPr="00C97A7B">
                                <w:rPr>
                                  <w:rFonts w:ascii="Calibri" w:hAnsi="Calibri"/>
                                </w:rPr>
                                <w:t>2400</w:t>
                              </w:r>
                            </w:p>
                            <w:p w14:paraId="11BF8CE6" w14:textId="77777777" w:rsidR="00217891" w:rsidRPr="00C97A7B" w:rsidRDefault="00217891" w:rsidP="001A1CFE">
                              <w:pPr>
                                <w:ind w:firstLineChars="200" w:firstLine="420"/>
                                <w:rPr>
                                  <w:rFonts w:ascii="Calibri" w:hAnsi="Calibri"/>
                                </w:rPr>
                              </w:pPr>
                              <w:r w:rsidRPr="00C97A7B">
                                <w:rPr>
                                  <w:rFonts w:ascii="Calibri" w:hAnsi="Calibri"/>
                                </w:rPr>
                                <w:t>尼龙</w:t>
                              </w:r>
                              <w:r w:rsidRPr="00C97A7B">
                                <w:rPr>
                                  <w:rFonts w:ascii="Calibri" w:hAnsi="Calibri"/>
                                </w:rPr>
                                <w:t>12</w:t>
                              </w:r>
                              <w:r w:rsidRPr="00C97A7B">
                                <w:rPr>
                                  <w:rFonts w:ascii="Calibri" w:hAnsi="Calibri"/>
                                </w:rPr>
                                <w:t>盐</w:t>
                              </w:r>
                              <w:r w:rsidRPr="00C97A7B">
                                <w:rPr>
                                  <w:rFonts w:ascii="Calibri" w:hAnsi="Calibri"/>
                                </w:rPr>
                                <w:t>1200</w:t>
                              </w:r>
                            </w:p>
                            <w:p w14:paraId="7C8D194F" w14:textId="77777777" w:rsidR="00217891" w:rsidRPr="00C97A7B" w:rsidRDefault="00217891" w:rsidP="001A1CFE">
                              <w:pPr>
                                <w:ind w:firstLineChars="200" w:firstLine="420"/>
                                <w:rPr>
                                  <w:rFonts w:ascii="Calibri" w:hAnsi="Calibri"/>
                                </w:rPr>
                              </w:pPr>
                              <w:r w:rsidRPr="00C97A7B">
                                <w:rPr>
                                  <w:rFonts w:ascii="Calibri" w:hAnsi="Calibri"/>
                                </w:rPr>
                                <w:t>尼龙</w:t>
                              </w:r>
                              <w:r w:rsidRPr="00C97A7B">
                                <w:rPr>
                                  <w:rFonts w:ascii="Calibri" w:hAnsi="Calibri"/>
                                </w:rPr>
                                <w:t>1010</w:t>
                              </w:r>
                              <w:r w:rsidRPr="00C97A7B">
                                <w:rPr>
                                  <w:rFonts w:ascii="Calibri" w:hAnsi="Calibri"/>
                                </w:rPr>
                                <w:t>盐</w:t>
                              </w:r>
                              <w:r w:rsidRPr="00C97A7B">
                                <w:rPr>
                                  <w:rFonts w:ascii="Calibri" w:hAnsi="Calibri"/>
                                </w:rPr>
                                <w:t>300</w:t>
                              </w:r>
                            </w:p>
                            <w:p w14:paraId="4C10F006" w14:textId="77777777" w:rsidR="00217891" w:rsidRPr="00C97A7B" w:rsidRDefault="00217891" w:rsidP="001A1CFE">
                              <w:pPr>
                                <w:ind w:firstLineChars="100" w:firstLine="210"/>
                                <w:rPr>
                                  <w:rFonts w:ascii="Calibri" w:hAnsi="Calibri"/>
                                </w:rPr>
                              </w:pPr>
                              <w:r w:rsidRPr="00C97A7B">
                                <w:rPr>
                                  <w:rFonts w:ascii="Calibri" w:hAnsi="Calibri"/>
                                </w:rPr>
                                <w:t>次磷酸钠</w:t>
                              </w:r>
                              <w:r w:rsidRPr="00C97A7B">
                                <w:rPr>
                                  <w:rFonts w:ascii="Calibri" w:hAnsi="Calibri"/>
                                </w:rPr>
                                <w:t>0.2</w:t>
                              </w:r>
                            </w:p>
                          </w:txbxContent>
                        </wps:txbx>
                        <wps:bodyPr rot="0" vert="horz" wrap="square" lIns="91440" tIns="45720" rIns="91440" bIns="45720" anchor="t" anchorCtr="0" upright="1">
                          <a:noAutofit/>
                        </wps:bodyPr>
                      </wps:wsp>
                      <wps:wsp>
                        <wps:cNvPr id="143" name="Rectangle 37722"/>
                        <wps:cNvSpPr>
                          <a:spLocks noChangeArrowheads="1"/>
                        </wps:cNvSpPr>
                        <wps:spPr bwMode="auto">
                          <a:xfrm>
                            <a:off x="4823460" y="2818765"/>
                            <a:ext cx="1287780" cy="1958340"/>
                          </a:xfrm>
                          <a:prstGeom prst="rect">
                            <a:avLst/>
                          </a:prstGeom>
                          <a:noFill/>
                          <a:ln>
                            <a:noFill/>
                          </a:ln>
                        </wps:spPr>
                        <wps:txbx>
                          <w:txbxContent>
                            <w:p w14:paraId="42C6CFF9" w14:textId="77777777" w:rsidR="00217891" w:rsidRPr="001B4635" w:rsidRDefault="00217891" w:rsidP="001A1CFE">
                              <w:pPr>
                                <w:ind w:leftChars="200" w:left="520" w:hangingChars="50" w:hanging="100"/>
                                <w:rPr>
                                  <w:rFonts w:ascii="Calibri" w:hAnsi="Calibri"/>
                                  <w:color w:val="FF0000"/>
                                  <w:sz w:val="20"/>
                                  <w:szCs w:val="20"/>
                                </w:rPr>
                              </w:pPr>
                              <w:r w:rsidRPr="001B4635">
                                <w:rPr>
                                  <w:rFonts w:ascii="Calibri" w:hAnsi="Calibri"/>
                                  <w:color w:val="FF0000"/>
                                  <w:sz w:val="20"/>
                                  <w:szCs w:val="20"/>
                                </w:rPr>
                                <w:t>废气：</w:t>
                              </w:r>
                              <w:r>
                                <w:rPr>
                                  <w:rFonts w:ascii="Calibri" w:hAnsi="Calibri"/>
                                  <w:color w:val="FF0000"/>
                                  <w:sz w:val="20"/>
                                  <w:szCs w:val="20"/>
                                </w:rPr>
                                <w:t>1.346</w:t>
                              </w:r>
                            </w:p>
                            <w:p w14:paraId="60255E0B" w14:textId="77777777" w:rsidR="00217891" w:rsidRPr="00335723" w:rsidRDefault="00217891" w:rsidP="001A1CFE">
                              <w:pPr>
                                <w:pStyle w:val="af1"/>
                                <w:ind w:left="403" w:hanging="403"/>
                                <w:jc w:val="both"/>
                                <w:rPr>
                                  <w:color w:val="FF0000"/>
                                </w:rPr>
                              </w:pPr>
                              <w:r w:rsidRPr="001B4635">
                                <w:rPr>
                                  <w:rFonts w:ascii="Calibri" w:hAnsi="Calibri"/>
                                  <w:color w:val="FF0000"/>
                                  <w:sz w:val="20"/>
                                  <w:szCs w:val="20"/>
                                </w:rPr>
                                <w:t>其中：</w:t>
                              </w:r>
                              <w:r w:rsidRPr="001B4635">
                                <w:rPr>
                                  <w:rFonts w:ascii="Calibri" w:cs="Calibri" w:hint="eastAsia"/>
                                  <w:color w:val="FF0000"/>
                                  <w:kern w:val="2"/>
                                  <w:sz w:val="20"/>
                                  <w:szCs w:val="20"/>
                                </w:rPr>
                                <w:t>己二胺：</w:t>
                              </w:r>
                              <w:r>
                                <w:rPr>
                                  <w:rFonts w:ascii="Calibri" w:hAnsi="Calibri" w:cs="Calibri"/>
                                  <w:color w:val="FF0000"/>
                                  <w:kern w:val="2"/>
                                  <w:sz w:val="20"/>
                                  <w:szCs w:val="20"/>
                                </w:rPr>
                                <w:t>0.88</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Pr>
                                  <w:rFonts w:ascii="Calibri" w:hAnsi="Calibri" w:cs="Calibri"/>
                                  <w:color w:val="FF0000"/>
                                  <w:kern w:val="2"/>
                                  <w:sz w:val="20"/>
                                  <w:szCs w:val="20"/>
                                </w:rPr>
                                <w:t>0.14</w:t>
                              </w:r>
                              <w:r>
                                <w:rPr>
                                  <w:rFonts w:ascii="Calibri" w:hAnsi="Calibri" w:cs="Calibri" w:hint="eastAsia"/>
                                  <w:color w:val="FF0000"/>
                                  <w:kern w:val="2"/>
                                  <w:sz w:val="20"/>
                                  <w:szCs w:val="20"/>
                                </w:rPr>
                                <w:t>；</w:t>
                              </w: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16</w:t>
                              </w:r>
                              <w:r>
                                <w:rPr>
                                  <w:rFonts w:ascii="Calibri" w:hAnsi="Calibri" w:cs="Calibri" w:hint="eastAsia"/>
                                  <w:color w:val="FF0000"/>
                                  <w:kern w:val="2"/>
                                  <w:sz w:val="20"/>
                                  <w:szCs w:val="20"/>
                                </w:rPr>
                                <w:t>；</w:t>
                              </w: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2</w:t>
                              </w:r>
                              <w:r>
                                <w:rPr>
                                  <w:rFonts w:ascii="Calibri" w:hAnsi="Calibri" w:cs="Calibri" w:hint="eastAsia"/>
                                  <w:color w:val="FF0000"/>
                                  <w:sz w:val="20"/>
                                  <w:szCs w:val="20"/>
                                </w:rPr>
                                <w:t>；</w:t>
                              </w: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6</w:t>
                              </w:r>
                            </w:p>
                            <w:p w14:paraId="1495BCFE"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28</w:t>
                              </w:r>
                            </w:p>
                            <w:p w14:paraId="4F800C74"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16</w:t>
                              </w:r>
                            </w:p>
                            <w:p w14:paraId="7E6A901C"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color w:val="FF0000"/>
                                  <w:kern w:val="2"/>
                                  <w:sz w:val="20"/>
                                  <w:szCs w:val="20"/>
                                </w:rPr>
                                <w:t>0.24</w:t>
                              </w:r>
                            </w:p>
                            <w:p w14:paraId="5927776F" w14:textId="77777777" w:rsidR="00217891" w:rsidRPr="00C9603E" w:rsidRDefault="00217891" w:rsidP="001A1CFE">
                              <w:pPr>
                                <w:ind w:firstLineChars="200" w:firstLine="400"/>
                                <w:rPr>
                                  <w:rFonts w:ascii="Calibri" w:hAnsi="Calibri"/>
                                  <w:color w:val="FF0000"/>
                                  <w:sz w:val="20"/>
                                  <w:szCs w:val="20"/>
                                </w:rPr>
                              </w:pPr>
                            </w:p>
                          </w:txbxContent>
                        </wps:txbx>
                        <wps:bodyPr rot="0" vert="horz" wrap="square" lIns="91440" tIns="45720" rIns="91440" bIns="45720" anchor="t" anchorCtr="0" upright="1">
                          <a:noAutofit/>
                        </wps:bodyPr>
                      </wps:wsp>
                      <wps:wsp>
                        <wps:cNvPr id="144" name="Rectangle 37710"/>
                        <wps:cNvSpPr>
                          <a:spLocks noChangeArrowheads="1"/>
                        </wps:cNvSpPr>
                        <wps:spPr bwMode="auto">
                          <a:xfrm>
                            <a:off x="1879260" y="15240"/>
                            <a:ext cx="2811780" cy="903900"/>
                          </a:xfrm>
                          <a:prstGeom prst="rect">
                            <a:avLst/>
                          </a:prstGeom>
                          <a:noFill/>
                          <a:ln>
                            <a:noFill/>
                          </a:ln>
                        </wps:spPr>
                        <wps:txbx>
                          <w:txbxContent>
                            <w:p w14:paraId="42954615" w14:textId="77777777" w:rsidR="00217891" w:rsidRDefault="00217891" w:rsidP="001A1CFE">
                              <w:pPr>
                                <w:pStyle w:val="af1"/>
                                <w:ind w:firstLine="403"/>
                                <w:jc w:val="both"/>
                              </w:pPr>
                              <w:r>
                                <w:rPr>
                                  <w:rFonts w:ascii="Calibri" w:cs="Calibri" w:hint="eastAsia"/>
                                  <w:kern w:val="2"/>
                                  <w:sz w:val="20"/>
                                  <w:szCs w:val="20"/>
                                </w:rPr>
                                <w:t>回用冷凝液</w:t>
                              </w:r>
                              <w:r>
                                <w:rPr>
                                  <w:rFonts w:ascii="Calibri" w:hAnsi="Calibri" w:cs="Calibri"/>
                                  <w:kern w:val="2"/>
                                  <w:sz w:val="20"/>
                                  <w:szCs w:val="20"/>
                                </w:rPr>
                                <w:t>1299.8</w:t>
                              </w:r>
                              <w:r>
                                <w:rPr>
                                  <w:rFonts w:ascii="Calibri" w:cs="Calibri" w:hint="eastAsia"/>
                                  <w:kern w:val="2"/>
                                  <w:sz w:val="20"/>
                                  <w:szCs w:val="20"/>
                                </w:rPr>
                                <w:t>（其中水：</w:t>
                              </w:r>
                              <w:r>
                                <w:rPr>
                                  <w:rFonts w:ascii="Calibri" w:hAnsi="Calibri" w:cs="Calibri"/>
                                  <w:kern w:val="2"/>
                                  <w:sz w:val="20"/>
                                  <w:szCs w:val="20"/>
                                </w:rPr>
                                <w:t>1292.54</w:t>
                              </w:r>
                              <w:r>
                                <w:rPr>
                                  <w:rFonts w:ascii="Calibri" w:cs="Calibri" w:hint="eastAsia"/>
                                  <w:kern w:val="2"/>
                                  <w:sz w:val="20"/>
                                  <w:szCs w:val="20"/>
                                </w:rPr>
                                <w:t>氨：</w:t>
                              </w:r>
                              <w:r>
                                <w:rPr>
                                  <w:rFonts w:ascii="Calibri" w:hAnsi="Calibri" w:cs="Calibri"/>
                                  <w:kern w:val="2"/>
                                  <w:sz w:val="20"/>
                                  <w:szCs w:val="20"/>
                                </w:rPr>
                                <w:t>0.03</w:t>
                              </w:r>
                              <w:r>
                                <w:rPr>
                                  <w:rFonts w:ascii="Calibri" w:cs="Calibri" w:hint="eastAsia"/>
                                  <w:kern w:val="2"/>
                                  <w:sz w:val="20"/>
                                  <w:szCs w:val="20"/>
                                </w:rPr>
                                <w:t>；己二酸：</w:t>
                              </w:r>
                              <w:r>
                                <w:rPr>
                                  <w:rFonts w:ascii="Calibri" w:hAnsi="Calibri" w:cs="Calibri"/>
                                  <w:kern w:val="2"/>
                                  <w:sz w:val="20"/>
                                  <w:szCs w:val="20"/>
                                </w:rPr>
                                <w:t>1.65</w:t>
                              </w:r>
                              <w:r>
                                <w:rPr>
                                  <w:rFonts w:ascii="Calibri" w:cs="Calibri" w:hint="eastAsia"/>
                                  <w:kern w:val="2"/>
                                  <w:sz w:val="20"/>
                                  <w:szCs w:val="20"/>
                                </w:rPr>
                                <w:t>；环戊酮：</w:t>
                              </w:r>
                              <w:r>
                                <w:rPr>
                                  <w:rFonts w:ascii="Calibri" w:hAnsi="Calibri" w:cs="Calibri"/>
                                  <w:kern w:val="2"/>
                                  <w:sz w:val="20"/>
                                  <w:szCs w:val="20"/>
                                </w:rPr>
                                <w:t>0.18</w:t>
                              </w:r>
                              <w:r>
                                <w:rPr>
                                  <w:rFonts w:ascii="Calibri" w:cs="Calibri" w:hint="eastAsia"/>
                                  <w:kern w:val="2"/>
                                  <w:sz w:val="20"/>
                                  <w:szCs w:val="20"/>
                                </w:rPr>
                                <w:t>；</w:t>
                              </w:r>
                              <w:r>
                                <w:rPr>
                                  <w:rFonts w:ascii="Calibri" w:cs="Calibri" w:hint="eastAsia"/>
                                  <w:sz w:val="20"/>
                                  <w:szCs w:val="20"/>
                                </w:rPr>
                                <w:t>环己亚胺：</w:t>
                              </w:r>
                              <w:r>
                                <w:rPr>
                                  <w:rFonts w:ascii="Calibri" w:hAnsi="Calibri" w:cs="Calibri"/>
                                  <w:sz w:val="20"/>
                                  <w:szCs w:val="20"/>
                                </w:rPr>
                                <w:t>0.22</w:t>
                              </w:r>
                              <w:r>
                                <w:rPr>
                                  <w:rFonts w:ascii="Calibri" w:cs="Calibri" w:hint="eastAsia"/>
                                  <w:kern w:val="2"/>
                                  <w:sz w:val="20"/>
                                  <w:szCs w:val="20"/>
                                </w:rPr>
                                <w:t>；己二胺</w:t>
                              </w:r>
                              <w:r>
                                <w:rPr>
                                  <w:rFonts w:ascii="Calibri" w:hAnsi="Calibri" w:cs="Calibri"/>
                                  <w:kern w:val="2"/>
                                  <w:sz w:val="20"/>
                                  <w:szCs w:val="20"/>
                                </w:rPr>
                                <w:t>1.75</w:t>
                              </w:r>
                              <w:r>
                                <w:rPr>
                                  <w:rFonts w:ascii="Calibri" w:hAnsi="Calibri" w:cs="Calibri" w:hint="eastAsia"/>
                                  <w:kern w:val="2"/>
                                  <w:sz w:val="20"/>
                                  <w:szCs w:val="20"/>
                                </w:rPr>
                                <w:t>；</w:t>
                              </w:r>
                              <w:r w:rsidRPr="00E13A8E">
                                <w:rPr>
                                  <w:rFonts w:ascii="Calibri" w:hAnsi="Calibri" w:cs="Calibri" w:hint="eastAsia"/>
                                  <w:kern w:val="2"/>
                                  <w:sz w:val="20"/>
                                  <w:szCs w:val="20"/>
                                </w:rPr>
                                <w:t>癸二胺</w:t>
                              </w:r>
                              <w:r>
                                <w:rPr>
                                  <w:rFonts w:ascii="Calibri" w:hAnsi="Calibri" w:cs="Calibri" w:hint="eastAsia"/>
                                  <w:kern w:val="2"/>
                                  <w:sz w:val="20"/>
                                  <w:szCs w:val="20"/>
                                </w:rPr>
                                <w:t>：</w:t>
                              </w:r>
                              <w:r>
                                <w:rPr>
                                  <w:rFonts w:ascii="Calibri" w:hAnsi="Calibri" w:cs="Calibri" w:hint="eastAsia"/>
                                  <w:kern w:val="2"/>
                                  <w:sz w:val="20"/>
                                  <w:szCs w:val="20"/>
                                </w:rPr>
                                <w:t xml:space="preserve">0.33 </w:t>
                              </w:r>
                              <w:r w:rsidRPr="00E13A8E">
                                <w:rPr>
                                  <w:rFonts w:ascii="Calibri" w:hAnsi="Calibri" w:cs="Calibri" w:hint="eastAsia"/>
                                  <w:kern w:val="2"/>
                                  <w:sz w:val="20"/>
                                  <w:szCs w:val="20"/>
                                </w:rPr>
                                <w:t>癸二酸</w:t>
                              </w:r>
                              <w:r>
                                <w:rPr>
                                  <w:rFonts w:ascii="Calibri" w:hAnsi="Calibri" w:cs="Calibri" w:hint="eastAsia"/>
                                  <w:kern w:val="2"/>
                                  <w:sz w:val="20"/>
                                  <w:szCs w:val="20"/>
                                </w:rPr>
                                <w:t>：</w:t>
                              </w:r>
                              <w:r>
                                <w:rPr>
                                  <w:rFonts w:ascii="Calibri" w:hAnsi="Calibri" w:cs="Calibri" w:hint="eastAsia"/>
                                  <w:kern w:val="2"/>
                                  <w:sz w:val="20"/>
                                  <w:szCs w:val="20"/>
                                </w:rPr>
                                <w:t xml:space="preserve">0.20 </w:t>
                              </w:r>
                              <w:r>
                                <w:rPr>
                                  <w:rFonts w:ascii="Calibri" w:hAnsi="Calibri" w:cs="Calibri"/>
                                  <w:kern w:val="2"/>
                                  <w:sz w:val="20"/>
                                  <w:szCs w:val="20"/>
                                </w:rPr>
                                <w:t xml:space="preserve"> </w:t>
                              </w:r>
                              <w:r w:rsidRPr="00E13A8E">
                                <w:rPr>
                                  <w:rFonts w:ascii="Calibri" w:cs="Calibri" w:hint="eastAsia"/>
                                  <w:kern w:val="2"/>
                                  <w:sz w:val="20"/>
                                  <w:szCs w:val="20"/>
                                </w:rPr>
                                <w:t>十二内酰胺</w:t>
                              </w:r>
                              <w:r>
                                <w:rPr>
                                  <w:rFonts w:ascii="Calibri" w:cs="Calibri" w:hint="eastAsia"/>
                                  <w:kern w:val="2"/>
                                  <w:sz w:val="20"/>
                                  <w:szCs w:val="20"/>
                                </w:rPr>
                                <w:t>：</w:t>
                              </w:r>
                              <w:r>
                                <w:rPr>
                                  <w:rFonts w:ascii="Calibri" w:cs="Calibri"/>
                                  <w:kern w:val="2"/>
                                  <w:sz w:val="20"/>
                                  <w:szCs w:val="20"/>
                                </w:rPr>
                                <w:t>2.90</w:t>
                              </w:r>
                              <w:r w:rsidRPr="00E13A8E">
                                <w:rPr>
                                  <w:rFonts w:ascii="Calibri" w:cs="Calibri" w:hint="eastAsia"/>
                                  <w:kern w:val="2"/>
                                  <w:sz w:val="20"/>
                                  <w:szCs w:val="20"/>
                                </w:rPr>
                                <w:t>）</w:t>
                              </w:r>
                            </w:p>
                          </w:txbxContent>
                        </wps:txbx>
                        <wps:bodyPr rot="0" vert="horz" wrap="square" lIns="91440" tIns="45720" rIns="91440" bIns="45720" anchor="t" anchorCtr="0" upright="1">
                          <a:noAutofit/>
                        </wps:bodyPr>
                      </wps:wsp>
                      <wps:wsp>
                        <wps:cNvPr id="145" name="Rectangle 37685"/>
                        <wps:cNvSpPr>
                          <a:spLocks noChangeArrowheads="1"/>
                        </wps:cNvSpPr>
                        <wps:spPr bwMode="auto">
                          <a:xfrm>
                            <a:off x="4511040" y="4503420"/>
                            <a:ext cx="1600200" cy="191262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DB68" w14:textId="77777777" w:rsidR="00217891" w:rsidRPr="001B4635" w:rsidRDefault="00217891" w:rsidP="001A1CFE">
                              <w:pPr>
                                <w:pStyle w:val="af1"/>
                                <w:ind w:firstLine="403"/>
                                <w:jc w:val="both"/>
                                <w:rPr>
                                  <w:color w:val="FF0000"/>
                                </w:rPr>
                              </w:pPr>
                              <w:r w:rsidRPr="001B4635">
                                <w:rPr>
                                  <w:rFonts w:ascii="Calibri" w:cs="Calibri" w:hint="eastAsia"/>
                                  <w:color w:val="FF0000"/>
                                  <w:kern w:val="2"/>
                                  <w:sz w:val="20"/>
                                  <w:szCs w:val="20"/>
                                </w:rPr>
                                <w:t>废水</w:t>
                              </w:r>
                              <w:r>
                                <w:rPr>
                                  <w:rFonts w:ascii="Calibri" w:cs="Calibri" w:hint="eastAsia"/>
                                  <w:color w:val="FF0000"/>
                                  <w:kern w:val="2"/>
                                  <w:sz w:val="20"/>
                                  <w:szCs w:val="20"/>
                                </w:rPr>
                                <w:t>:</w:t>
                              </w:r>
                              <w:r>
                                <w:rPr>
                                  <w:rFonts w:ascii="Calibri" w:cs="Calibri"/>
                                  <w:color w:val="FF0000"/>
                                  <w:kern w:val="2"/>
                                  <w:sz w:val="20"/>
                                  <w:szCs w:val="20"/>
                                </w:rPr>
                                <w:t>686.764</w:t>
                              </w:r>
                            </w:p>
                            <w:p w14:paraId="243CD70F" w14:textId="77777777" w:rsidR="00217891" w:rsidRPr="001B4635" w:rsidRDefault="00217891" w:rsidP="001A1CFE">
                              <w:pPr>
                                <w:pStyle w:val="af1"/>
                                <w:ind w:left="403" w:hanging="403"/>
                                <w:jc w:val="both"/>
                                <w:rPr>
                                  <w:color w:val="FF0000"/>
                                </w:rPr>
                              </w:pPr>
                              <w:r w:rsidRPr="001B4635">
                                <w:rPr>
                                  <w:rFonts w:ascii="Calibri" w:cs="Calibri" w:hint="eastAsia"/>
                                  <w:color w:val="FF0000"/>
                                  <w:kern w:val="2"/>
                                  <w:sz w:val="20"/>
                                  <w:szCs w:val="20"/>
                                </w:rPr>
                                <w:t>其中水：</w:t>
                              </w:r>
                              <w:r>
                                <w:rPr>
                                  <w:rFonts w:ascii="Calibri" w:hAnsi="Calibri" w:cs="Calibri"/>
                                  <w:color w:val="FF0000"/>
                                  <w:kern w:val="2"/>
                                  <w:sz w:val="20"/>
                                  <w:szCs w:val="20"/>
                                </w:rPr>
                                <w:t>684.77</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己二胺：</w:t>
                              </w:r>
                              <w:r>
                                <w:rPr>
                                  <w:rFonts w:ascii="Calibri" w:hAnsi="Calibri" w:cs="Calibri"/>
                                  <w:color w:val="FF0000"/>
                                  <w:kern w:val="2"/>
                                  <w:sz w:val="20"/>
                                  <w:szCs w:val="20"/>
                                </w:rPr>
                                <w:t>1.31</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sidRPr="001B4635">
                                <w:rPr>
                                  <w:rFonts w:ascii="Calibri" w:hAnsi="Calibri" w:cs="Calibri"/>
                                  <w:color w:val="FF0000"/>
                                  <w:kern w:val="2"/>
                                  <w:sz w:val="20"/>
                                  <w:szCs w:val="20"/>
                                </w:rPr>
                                <w:t>0.</w:t>
                              </w:r>
                              <w:r>
                                <w:rPr>
                                  <w:rFonts w:ascii="Calibri" w:hAnsi="Calibri" w:cs="Calibri"/>
                                  <w:color w:val="FF0000"/>
                                  <w:kern w:val="2"/>
                                  <w:sz w:val="20"/>
                                  <w:szCs w:val="20"/>
                                </w:rPr>
                                <w:t>20</w:t>
                              </w:r>
                            </w:p>
                            <w:p w14:paraId="4D132FB8" w14:textId="77777777" w:rsidR="00217891" w:rsidRPr="001B4635" w:rsidRDefault="00217891" w:rsidP="001A1CFE">
                              <w:pPr>
                                <w:pStyle w:val="af1"/>
                                <w:ind w:left="403" w:hanging="403"/>
                                <w:jc w:val="both"/>
                                <w:rPr>
                                  <w:color w:val="FF0000"/>
                                </w:rPr>
                              </w:pP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24</w:t>
                              </w:r>
                            </w:p>
                            <w:p w14:paraId="741A7471" w14:textId="77777777" w:rsidR="00217891" w:rsidRPr="001B4635" w:rsidRDefault="00217891" w:rsidP="001A1CFE">
                              <w:pPr>
                                <w:pStyle w:val="af1"/>
                                <w:ind w:left="403" w:hanging="403"/>
                                <w:jc w:val="both"/>
                                <w:rPr>
                                  <w:color w:val="FF0000"/>
                                </w:rPr>
                              </w:pP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3</w:t>
                              </w:r>
                            </w:p>
                            <w:p w14:paraId="35F201A5" w14:textId="77777777" w:rsidR="00217891" w:rsidRDefault="00217891" w:rsidP="001A1CFE">
                              <w:pPr>
                                <w:pStyle w:val="af1"/>
                                <w:jc w:val="both"/>
                                <w:rPr>
                                  <w:rFonts w:ascii="Calibri" w:hAnsi="Calibri" w:cs="Calibri"/>
                                  <w:color w:val="FF0000"/>
                                  <w:kern w:val="2"/>
                                  <w:sz w:val="20"/>
                                  <w:szCs w:val="20"/>
                                </w:rPr>
                              </w:pP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4</w:t>
                              </w:r>
                            </w:p>
                            <w:p w14:paraId="2035F4AE"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0.042</w:t>
                              </w:r>
                            </w:p>
                            <w:p w14:paraId="50F8739A"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0.024</w:t>
                              </w:r>
                            </w:p>
                            <w:p w14:paraId="6677C438"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hint="eastAsia"/>
                                  <w:color w:val="FF0000"/>
                                  <w:kern w:val="2"/>
                                  <w:sz w:val="20"/>
                                  <w:szCs w:val="20"/>
                                </w:rPr>
                                <w:t>0.36</w:t>
                              </w: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4D98E31E" id="画布 146" o:spid="_x0000_s1138" editas="canvas" style="position:absolute;left:0;text-align:left;margin-left:0;margin-top:-21.4pt;width:481.2pt;height:664.8pt;z-index:253706752;mso-position-horizontal:center;mso-position-horizontal-relative:margin;mso-height-relative:margin" coordsize="61112,8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">
                <v:shape id="_x0000_s1139" type="#_x0000_t75" style="position:absolute;width:61112;height:84429;visibility:visible;mso-wrap-style:square">
                  <v:fill o:detectmouseclick="t"/>
                  <v:path o:connecttype="none"/>
                </v:shape>
                <v:rect id="Rectangle 37672" o:spid="_x0000_s1140" style="position:absolute;left:13855;top:11576;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" filled="f">
                  <v:textbox>
                    <w:txbxContent>
                      <w:p w14:paraId="347B92FE" w14:textId="77777777" w:rsidR="00217891" w:rsidRDefault="00217891" w:rsidP="001A1CFE">
                        <w:pPr>
                          <w:ind w:firstLineChars="100" w:firstLine="210"/>
                          <w:rPr>
                            <w:rFonts w:ascii="等线" w:hAnsi="等线"/>
                          </w:rPr>
                        </w:pPr>
                        <w:r>
                          <w:rPr>
                            <w:rFonts w:ascii="等线" w:hAnsi="等线" w:hint="eastAsia"/>
                          </w:rPr>
                          <w:t>调配罐</w:t>
                        </w:r>
                      </w:p>
                    </w:txbxContent>
                  </v:textbox>
                </v:rect>
                <v:shape id="AutoShape 37673" o:spid="_x0000_s1141" type="#_x0000_t32" style="position:absolute;left:19824;top:7988;width:7;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">
                  <v:stroke endarrow="block"/>
                </v:shape>
                <v:shape id="AutoShape 37674" o:spid="_x0000_s1142" type="#_x0000_t32" style="position:absolute;left:23475;top:12947;width:39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">
                  <v:stroke endarrow="block"/>
                </v:shape>
                <v:rect id="Rectangle 37675" o:spid="_x0000_s1143" style="position:absolute;left:27571;top:11118;width:962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" filled="f">
                  <v:textbox>
                    <w:txbxContent>
                      <w:p w14:paraId="6A27222D" w14:textId="77777777" w:rsidR="00217891" w:rsidRDefault="00217891" w:rsidP="001A1CFE">
                        <w:pPr>
                          <w:ind w:firstLineChars="100" w:firstLine="210"/>
                          <w:rPr>
                            <w:rFonts w:ascii="等线" w:hAnsi="等线"/>
                          </w:rPr>
                        </w:pPr>
                        <w:r>
                          <w:rPr>
                            <w:rFonts w:ascii="等线" w:hAnsi="等线" w:hint="eastAsia"/>
                          </w:rPr>
                          <w:t>中间罐</w:t>
                        </w:r>
                      </w:p>
                    </w:txbxContent>
                  </v:textbox>
                </v:rect>
                <v:shape id="AutoShape 37676" o:spid="_x0000_s1144" type="#_x0000_t32" style="position:absolute;left:32213;top:14071;width:13;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">
                  <v:stroke endarrow="block"/>
                </v:shape>
                <v:rect id="Rectangle 37677" o:spid="_x0000_s1145" style="position:absolute;left:28028;top:19958;width:962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" filled="f">
                  <v:textbox>
                    <w:txbxContent>
                      <w:p w14:paraId="7A52CB05" w14:textId="77777777" w:rsidR="00217891" w:rsidRDefault="00217891" w:rsidP="001A1CFE">
                        <w:pPr>
                          <w:ind w:firstLineChars="100" w:firstLine="210"/>
                          <w:rPr>
                            <w:rFonts w:ascii="等线" w:hAnsi="等线"/>
                          </w:rPr>
                        </w:pPr>
                        <w:r>
                          <w:rPr>
                            <w:rFonts w:ascii="等线" w:hAnsi="等线" w:hint="eastAsia"/>
                          </w:rPr>
                          <w:t>聚合釜</w:t>
                        </w:r>
                      </w:p>
                    </w:txbxContent>
                  </v:textbox>
                </v:rect>
                <v:shape id="AutoShape 37678" o:spid="_x0000_s1146" type="#_x0000_t32" style="position:absolute;left:44234;top:8915;width:76;height:10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"/>
                <v:shape id="AutoShape 37679" o:spid="_x0000_s1147" type="#_x0000_t32" style="position:absolute;left:42614;top:39617;width:261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">
                  <v:stroke dashstyle="dash" endarrow="block"/>
                </v:shape>
                <v:rect id="Rectangle 37680" o:spid="_x0000_s1148" style="position:absolute;left:45231;top:39109;width:358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" filled="f">
                  <v:textbox>
                    <w:txbxContent>
                      <w:p w14:paraId="19FC6E19" w14:textId="77777777" w:rsidR="00217891" w:rsidRDefault="00217891" w:rsidP="001A1CFE">
                        <w:r>
                          <w:rPr>
                            <w:rFonts w:hint="eastAsia"/>
                          </w:rPr>
                          <w:t>水喷淋</w:t>
                        </w:r>
                      </w:p>
                    </w:txbxContent>
                  </v:textbox>
                </v:rect>
                <v:shape id="AutoShape 37681" o:spid="_x0000_s1149" type="#_x0000_t32" style="position:absolute;left:32042;top:22771;width:127;height:18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">
                  <v:stroke endarrow="block"/>
                </v:shape>
                <v:rect id="Rectangle 37682" o:spid="_x0000_s1150" style="position:absolute;left:27279;top:40767;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v:textbox>
                    <w:txbxContent>
                      <w:p w14:paraId="3C07B2BA" w14:textId="77777777" w:rsidR="00217891" w:rsidRDefault="00217891" w:rsidP="001A1CFE">
                        <w:pPr>
                          <w:ind w:firstLineChars="100" w:firstLine="210"/>
                          <w:rPr>
                            <w:rFonts w:ascii="等线" w:hAnsi="等线"/>
                          </w:rPr>
                        </w:pPr>
                        <w:r>
                          <w:rPr>
                            <w:rFonts w:ascii="等线" w:hAnsi="等线" w:hint="eastAsia"/>
                          </w:rPr>
                          <w:t>冷却池</w:t>
                        </w:r>
                      </w:p>
                    </w:txbxContent>
                  </v:textbox>
                </v:rect>
                <v:shape id="AutoShape 37683" o:spid="_x0000_s1151" type="#_x0000_t32" style="position:absolute;left:57924;top:21786;width:127;height:58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7684" o:spid="_x0000_s1152" type="#_x0000_t32" style="position:absolute;left:37668;top:21323;width:40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7686" o:spid="_x0000_s1153" type="#_x0000_t32" style="position:absolute;left:23583;top:42056;width:390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rect id="Rectangle 37687" o:spid="_x0000_s1154" style="position:absolute;left:13963;top:40227;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v:textbox>
                    <w:txbxContent>
                      <w:p w14:paraId="23202154" w14:textId="77777777" w:rsidR="00217891" w:rsidRDefault="00217891" w:rsidP="001A1CFE">
                        <w:pPr>
                          <w:ind w:firstLineChars="100" w:firstLine="210"/>
                          <w:rPr>
                            <w:rFonts w:ascii="等线" w:hAnsi="等线"/>
                          </w:rPr>
                        </w:pPr>
                        <w:r>
                          <w:rPr>
                            <w:rFonts w:ascii="等线" w:hAnsi="等线" w:hint="eastAsia"/>
                          </w:rPr>
                          <w:t>循环系统</w:t>
                        </w:r>
                      </w:p>
                    </w:txbxContent>
                  </v:textbox>
                </v:rect>
                <v:shape id="AutoShape 37688" o:spid="_x0000_s1155" type="#_x0000_t32" style="position:absolute;left:9366;top:41751;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rect id="Rectangle 37689" o:spid="_x0000_s1156" style="position:absolute;left:5848;top:3910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textbox>
                    <w:txbxContent>
                      <w:p w14:paraId="2050AA21" w14:textId="77777777" w:rsidR="00217891" w:rsidRDefault="00217891" w:rsidP="001A1CFE">
                        <w:pPr>
                          <w:rPr>
                            <w:rFonts w:asciiTheme="minorHAnsi" w:hAnsiTheme="minorHAnsi"/>
                          </w:rPr>
                        </w:pPr>
                        <w:r>
                          <w:rPr>
                            <w:rFonts w:asciiTheme="minorHAnsi" w:hAnsiTheme="minorHAnsi" w:hint="eastAsia"/>
                          </w:rPr>
                          <w:t>脱盐水</w:t>
                        </w:r>
                        <w:r w:rsidRPr="00C16801">
                          <w:rPr>
                            <w:rFonts w:ascii="Calibri" w:hAnsi="Calibri"/>
                          </w:rPr>
                          <w:t>129</w:t>
                        </w:r>
                      </w:p>
                    </w:txbxContent>
                  </v:textbox>
                </v:rect>
                <v:shape id="AutoShape 37690" o:spid="_x0000_s1157" type="#_x0000_t32" style="position:absolute;left:20104;top:43205;width:0;height:2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rect id="Rectangle 37691" o:spid="_x0000_s1158" style="position:absolute;left:9061;top:49422;width:14186;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52C027AF" w14:textId="77777777" w:rsidR="00217891" w:rsidRPr="00C97A7B" w:rsidRDefault="00217891" w:rsidP="001A1CFE">
                        <w:pPr>
                          <w:ind w:firstLineChars="100" w:firstLine="200"/>
                          <w:rPr>
                            <w:rFonts w:ascii="Calibri" w:hAnsi="Calibri"/>
                            <w:sz w:val="20"/>
                            <w:szCs w:val="20"/>
                          </w:rPr>
                        </w:pPr>
                        <w:r w:rsidRPr="00C97A7B">
                          <w:rPr>
                            <w:rFonts w:ascii="Calibri" w:hAnsi="Calibri"/>
                            <w:sz w:val="20"/>
                            <w:szCs w:val="20"/>
                          </w:rPr>
                          <w:t>排污水：</w:t>
                        </w:r>
                        <w:r w:rsidRPr="00C97A7B">
                          <w:rPr>
                            <w:rFonts w:ascii="Calibri" w:hAnsi="Calibri"/>
                            <w:sz w:val="20"/>
                            <w:szCs w:val="20"/>
                          </w:rPr>
                          <w:t>13</w:t>
                        </w:r>
                      </w:p>
                      <w:p w14:paraId="30BF51AC" w14:textId="77777777" w:rsidR="00217891" w:rsidRPr="00C97A7B" w:rsidRDefault="00217891" w:rsidP="001A1CFE">
                        <w:pPr>
                          <w:rPr>
                            <w:rFonts w:ascii="Calibri" w:hAnsi="Calibri"/>
                            <w:sz w:val="20"/>
                            <w:szCs w:val="20"/>
                          </w:rPr>
                        </w:pPr>
                        <w:r w:rsidRPr="00C97A7B">
                          <w:rPr>
                            <w:rFonts w:ascii="Calibri" w:hAnsi="Calibri"/>
                            <w:sz w:val="20"/>
                            <w:szCs w:val="20"/>
                          </w:rPr>
                          <w:t>（己二胺</w:t>
                        </w:r>
                        <w:r w:rsidRPr="00C97A7B">
                          <w:rPr>
                            <w:rFonts w:ascii="Calibri" w:hAnsi="Calibri"/>
                            <w:sz w:val="20"/>
                            <w:szCs w:val="20"/>
                          </w:rPr>
                          <w:t>0.05</w:t>
                        </w:r>
                        <w:r w:rsidRPr="00C97A7B">
                          <w:rPr>
                            <w:rFonts w:ascii="Calibri" w:hAnsi="Calibri"/>
                            <w:sz w:val="20"/>
                            <w:szCs w:val="20"/>
                          </w:rPr>
                          <w:t>）</w:t>
                        </w:r>
                      </w:p>
                    </w:txbxContent>
                  </v:textbox>
                </v:rect>
                <v:shape id="AutoShape 37692" o:spid="_x0000_s1159" type="#_x0000_t32" style="position:absolute;left:37001;top:42360;width:810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">
                  <v:stroke dashstyle="dash" endarrow="block"/>
                </v:shape>
                <v:rect id="Rectangle 37693" o:spid="_x0000_s1160" style="position:absolute;left:33597;top:39770;width:1163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textbox>
                    <w:txbxContent>
                      <w:p w14:paraId="24D71E01" w14:textId="77777777" w:rsidR="00217891" w:rsidRPr="00AE1181" w:rsidRDefault="00217891" w:rsidP="001A1CFE">
                        <w:pPr>
                          <w:rPr>
                            <w:rFonts w:ascii="Calibri" w:hAnsi="Calibri"/>
                            <w:sz w:val="20"/>
                            <w:szCs w:val="20"/>
                          </w:rPr>
                        </w:pPr>
                        <w:r w:rsidRPr="00AE1181">
                          <w:rPr>
                            <w:rFonts w:ascii="Calibri" w:hAnsi="Calibri"/>
                            <w:sz w:val="20"/>
                            <w:szCs w:val="20"/>
                          </w:rPr>
                          <w:t>蒸发废气：</w:t>
                        </w:r>
                        <w:r w:rsidRPr="00AE1181">
                          <w:rPr>
                            <w:rFonts w:ascii="Calibri" w:hAnsi="Calibri"/>
                            <w:sz w:val="20"/>
                            <w:szCs w:val="20"/>
                          </w:rPr>
                          <w:t>116</w:t>
                        </w:r>
                      </w:p>
                      <w:p w14:paraId="6BA6C7C7" w14:textId="77777777" w:rsidR="00217891" w:rsidRPr="00AE1181" w:rsidRDefault="00217891" w:rsidP="001A1CFE">
                        <w:pPr>
                          <w:rPr>
                            <w:rFonts w:ascii="Calibri" w:hAnsi="Calibri"/>
                            <w:sz w:val="20"/>
                            <w:szCs w:val="20"/>
                          </w:rPr>
                        </w:pPr>
                        <w:r w:rsidRPr="00AE1181">
                          <w:rPr>
                            <w:rFonts w:ascii="Calibri" w:hAnsi="Calibri"/>
                            <w:sz w:val="20"/>
                            <w:szCs w:val="20"/>
                          </w:rPr>
                          <w:t>（其中水：</w:t>
                        </w:r>
                        <w:r w:rsidRPr="00AE1181">
                          <w:rPr>
                            <w:rFonts w:ascii="Calibri" w:hAnsi="Calibri"/>
                            <w:sz w:val="20"/>
                            <w:szCs w:val="20"/>
                          </w:rPr>
                          <w:t>115.97</w:t>
                        </w:r>
                      </w:p>
                      <w:p w14:paraId="784B1F11" w14:textId="77777777" w:rsidR="00217891" w:rsidRDefault="00217891" w:rsidP="001A1CFE">
                        <w:pPr>
                          <w:rPr>
                            <w:rFonts w:asciiTheme="minorHAnsi" w:hAnsiTheme="minorHAnsi"/>
                            <w:sz w:val="20"/>
                            <w:szCs w:val="20"/>
                          </w:rPr>
                        </w:pPr>
                        <w:r w:rsidRPr="00AE1181">
                          <w:rPr>
                            <w:rFonts w:ascii="Calibri" w:hAnsi="Calibri"/>
                            <w:sz w:val="20"/>
                            <w:szCs w:val="20"/>
                          </w:rPr>
                          <w:t>己二胺</w:t>
                        </w:r>
                        <w:r w:rsidRPr="00AE1181">
                          <w:rPr>
                            <w:rFonts w:ascii="Calibri" w:hAnsi="Calibri"/>
                            <w:sz w:val="20"/>
                            <w:szCs w:val="20"/>
                          </w:rPr>
                          <w:t>0.03</w:t>
                        </w:r>
                        <w:r w:rsidRPr="00AE1181">
                          <w:rPr>
                            <w:rFonts w:ascii="Calibri" w:hAnsi="Calibri"/>
                            <w:sz w:val="20"/>
                            <w:szCs w:val="20"/>
                          </w:rPr>
                          <w:t>）</w:t>
                        </w:r>
                      </w:p>
                    </w:txbxContent>
                  </v:textbox>
                </v:rect>
                <v:shape id="AutoShape 37694" o:spid="_x0000_s1161" type="#_x0000_t32" style="position:absolute;left:31877;top:43656;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rect id="Rectangle 37695" o:spid="_x0000_s1162" style="position:absolute;left:27114;top:48882;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" filled="f">
                  <v:textbox>
                    <w:txbxContent>
                      <w:p w14:paraId="461D285E" w14:textId="77777777" w:rsidR="00217891" w:rsidRDefault="00217891" w:rsidP="001A1CFE">
                        <w:pPr>
                          <w:ind w:firstLineChars="200" w:firstLine="420"/>
                          <w:rPr>
                            <w:rFonts w:ascii="等线" w:hAnsi="等线"/>
                          </w:rPr>
                        </w:pPr>
                        <w:r>
                          <w:rPr>
                            <w:rFonts w:ascii="等线" w:hAnsi="等线" w:hint="eastAsia"/>
                          </w:rPr>
                          <w:t>制粒</w:t>
                        </w:r>
                      </w:p>
                    </w:txbxContent>
                  </v:textbox>
                </v:rect>
                <v:shape id="AutoShape 37696" o:spid="_x0000_s1163" type="#_x0000_t32" style="position:absolute;left:36734;top:50431;width:459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rect id="Rectangle 37697" o:spid="_x0000_s1164" style="position:absolute;left:33966;top:5053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v:textbox>
                    <w:txbxContent>
                      <w:p w14:paraId="5F6070E4" w14:textId="77777777" w:rsidR="00217891" w:rsidRPr="00C16801" w:rsidRDefault="00217891" w:rsidP="001A1CFE">
                        <w:pPr>
                          <w:rPr>
                            <w:rFonts w:ascii="Calibri" w:hAnsi="Calibri"/>
                          </w:rPr>
                        </w:pPr>
                        <w:r w:rsidRPr="00C16801">
                          <w:rPr>
                            <w:rFonts w:ascii="Calibri" w:hAnsi="Calibri"/>
                          </w:rPr>
                          <w:t>瑕疵品：</w:t>
                        </w:r>
                        <w:r>
                          <w:rPr>
                            <w:rFonts w:ascii="Calibri" w:hAnsi="Calibri"/>
                          </w:rPr>
                          <w:t>15.47</w:t>
                        </w:r>
                      </w:p>
                    </w:txbxContent>
                  </v:textbox>
                </v:rect>
                <v:shape id="AutoShape 37698" o:spid="_x0000_s1165" type="#_x0000_t32" style="position:absolute;left:31902;top:51790;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rect id="Rectangle 37699" o:spid="_x0000_s1166" style="position:absolute;left:27381;top:57130;width:962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" filled="f">
                  <v:textbox>
                    <w:txbxContent>
                      <w:p w14:paraId="1CBC0477" w14:textId="77777777" w:rsidR="00217891" w:rsidRDefault="00217891" w:rsidP="001A1CFE">
                        <w:pPr>
                          <w:ind w:firstLineChars="200" w:firstLine="420"/>
                          <w:rPr>
                            <w:rFonts w:ascii="等线" w:hAnsi="等线"/>
                          </w:rPr>
                        </w:pPr>
                        <w:r>
                          <w:rPr>
                            <w:rFonts w:ascii="等线" w:hAnsi="等线" w:hint="eastAsia"/>
                          </w:rPr>
                          <w:t>干燥</w:t>
                        </w:r>
                      </w:p>
                    </w:txbxContent>
                  </v:textbox>
                </v:rect>
                <v:shape id="AutoShape 37700" o:spid="_x0000_s1167" type="#_x0000_t32" style="position:absolute;left:37001;top:58737;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rect id="Rectangle 37701" o:spid="_x0000_s1168" style="position:absolute;left:32670;top:59505;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textbox>
                    <w:txbxContent>
                      <w:p w14:paraId="5B6C561C" w14:textId="77777777" w:rsidR="00217891" w:rsidRPr="00C97A7B" w:rsidRDefault="00217891" w:rsidP="001A1CFE">
                        <w:pPr>
                          <w:rPr>
                            <w:rFonts w:ascii="Calibri" w:hAnsi="Calibri"/>
                          </w:rPr>
                        </w:pPr>
                        <w:r w:rsidRPr="00C97A7B">
                          <w:rPr>
                            <w:rFonts w:ascii="Calibri" w:hAnsi="Calibri"/>
                          </w:rPr>
                          <w:t>蒸发水：</w:t>
                        </w:r>
                        <w:r>
                          <w:rPr>
                            <w:rFonts w:ascii="Calibri" w:hAnsi="Calibri"/>
                          </w:rPr>
                          <w:t>10.31</w:t>
                        </w:r>
                      </w:p>
                    </w:txbxContent>
                  </v:textbox>
                </v:rect>
                <v:shape id="AutoShape 37702" o:spid="_x0000_s1169" type="#_x0000_t32" style="position:absolute;left:32023;top:60172;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rect id="Rectangle 37703" o:spid="_x0000_s1170" style="position:absolute;left:27571;top:64789;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textbox>
                    <w:txbxContent>
                      <w:p w14:paraId="67829084" w14:textId="77777777" w:rsidR="00217891" w:rsidRPr="00C16801" w:rsidRDefault="00217891" w:rsidP="001A1CFE">
                        <w:pPr>
                          <w:rPr>
                            <w:rFonts w:ascii="Calibri" w:hAnsi="Calibri"/>
                          </w:rPr>
                        </w:pPr>
                        <w:r>
                          <w:rPr>
                            <w:rFonts w:asciiTheme="minorHAnsi" w:hAnsiTheme="minorHAnsi" w:hint="eastAsia"/>
                          </w:rPr>
                          <w:t>成品：</w:t>
                        </w:r>
                        <w:r w:rsidRPr="00C16801">
                          <w:rPr>
                            <w:rFonts w:ascii="Calibri" w:hAnsi="Calibri"/>
                          </w:rPr>
                          <w:t>2500</w:t>
                        </w:r>
                      </w:p>
                    </w:txbxContent>
                  </v:textbox>
                </v:rect>
                <v:rect id="Rectangle 37704" o:spid="_x0000_s1171" style="position:absolute;left:29838;top:53486;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textbox>
                    <w:txbxContent>
                      <w:p w14:paraId="6AAFE888" w14:textId="77777777" w:rsidR="00217891" w:rsidRPr="00C97A7B" w:rsidRDefault="00217891" w:rsidP="001A1CFE">
                        <w:pPr>
                          <w:ind w:firstLineChars="150" w:firstLine="315"/>
                          <w:rPr>
                            <w:rFonts w:ascii="Calibri" w:hAnsi="Calibri"/>
                          </w:rPr>
                        </w:pPr>
                        <w:r w:rsidRPr="00C97A7B">
                          <w:rPr>
                            <w:rFonts w:ascii="Calibri" w:hAnsi="Calibri"/>
                          </w:rPr>
                          <w:t>25</w:t>
                        </w:r>
                        <w:r>
                          <w:rPr>
                            <w:rFonts w:ascii="Calibri" w:hAnsi="Calibri"/>
                          </w:rPr>
                          <w:t>10</w:t>
                        </w:r>
                        <w:r w:rsidRPr="00C97A7B">
                          <w:rPr>
                            <w:rFonts w:ascii="Calibri" w:hAnsi="Calibri"/>
                          </w:rPr>
                          <w:t>.</w:t>
                        </w:r>
                        <w:r>
                          <w:rPr>
                            <w:rFonts w:ascii="Calibri" w:hAnsi="Calibri"/>
                          </w:rPr>
                          <w:t>31</w:t>
                        </w:r>
                      </w:p>
                    </w:txbxContent>
                  </v:textbox>
                </v:rect>
                <v:rect id="Rectangle 37705" o:spid="_x0000_s1172" style="position:absolute;left:30314;top:45758;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14:paraId="2429A1B1" w14:textId="77777777" w:rsidR="00217891" w:rsidRPr="00C97A7B" w:rsidRDefault="00217891" w:rsidP="001A1CFE">
                        <w:pPr>
                          <w:ind w:firstLineChars="100" w:firstLine="210"/>
                          <w:rPr>
                            <w:rFonts w:ascii="Calibri" w:hAnsi="Calibri"/>
                          </w:rPr>
                        </w:pPr>
                        <w:r>
                          <w:rPr>
                            <w:rFonts w:ascii="Calibri" w:hAnsi="Calibri"/>
                          </w:rPr>
                          <w:t>2525.78</w:t>
                        </w:r>
                      </w:p>
                    </w:txbxContent>
                  </v:textbox>
                </v:rect>
                <v:rect id="Rectangle 37706" o:spid="_x0000_s1173" style="position:absolute;left:41541;top:19881;width:702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" filled="f">
                  <v:textbox>
                    <w:txbxContent>
                      <w:p w14:paraId="0DCB1B2C" w14:textId="77777777" w:rsidR="00217891" w:rsidRDefault="00217891" w:rsidP="001A1CFE">
                        <w:pPr>
                          <w:rPr>
                            <w:rFonts w:ascii="等线" w:hAnsi="等线"/>
                          </w:rPr>
                        </w:pPr>
                        <w:r>
                          <w:rPr>
                            <w:rFonts w:ascii="等线" w:hAnsi="等线" w:hint="eastAsia"/>
                          </w:rPr>
                          <w:t>冷却塔</w:t>
                        </w:r>
                      </w:p>
                    </w:txbxContent>
                  </v:textbox>
                </v:rect>
                <v:shape id="AutoShape 37707" o:spid="_x0000_s1174" type="#_x0000_t32" style="position:absolute;left:22466;top:8902;width:2181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8PxAAAANsAAAAPAAAAZHJzL2Rvd25yZXYueG1sRI9BawIx&#10;FITvhf6H8AQvRbMrR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OnlPw/EAAAA2wAAAA8A&#10;AAAAAAAAAAAAAAAABwIAAGRycy9kb3ducmV2LnhtbFBLBQYAAAAAAwADALcAAAD4AgAAAAA=&#10;"/>
                <v:shape id="AutoShape 37708" o:spid="_x0000_s1175" type="#_x0000_t32" style="position:absolute;left:22358;top:8915;width:108;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rect id="Rectangle 37709" o:spid="_x0000_s1176" style="position:absolute;left:33966;top:1852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" filled="f" stroked="f">
                  <v:textbox>
                    <w:txbxContent>
                      <w:p w14:paraId="3951020F" w14:textId="77777777" w:rsidR="00217891" w:rsidRPr="00C97A7B" w:rsidRDefault="00217891" w:rsidP="001A1CFE">
                        <w:pPr>
                          <w:ind w:firstLineChars="200" w:firstLine="420"/>
                          <w:rPr>
                            <w:rFonts w:ascii="Calibri" w:hAnsi="Calibri"/>
                          </w:rPr>
                        </w:pPr>
                        <w:r>
                          <w:rPr>
                            <w:rFonts w:ascii="Calibri" w:hAnsi="Calibri"/>
                          </w:rPr>
                          <w:t>2674.22</w:t>
                        </w:r>
                      </w:p>
                    </w:txbxContent>
                  </v:textbox>
                </v:rect>
                <v:shape id="AutoShape 37711" o:spid="_x0000_s1177" type="#_x0000_t32" style="position:absolute;left:42367;top:22847;width:190;height:170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">
                  <v:stroke dashstyle="dash"/>
                </v:shape>
                <v:rect id="Rectangle 37712" o:spid="_x0000_s1178" style="position:absolute;left:31610;top:22625;width:18866;height:1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" filled="f" stroked="f">
                  <v:textbox>
                    <w:txbxContent>
                      <w:p w14:paraId="79AC5792" w14:textId="77777777" w:rsidR="00217891" w:rsidRPr="00C97A7B" w:rsidRDefault="00217891" w:rsidP="001A1CFE">
                        <w:pPr>
                          <w:ind w:firstLineChars="200" w:firstLine="400"/>
                          <w:rPr>
                            <w:rFonts w:ascii="Calibri" w:hAnsi="Calibri"/>
                            <w:sz w:val="20"/>
                            <w:szCs w:val="20"/>
                          </w:rPr>
                        </w:pPr>
                        <w:r w:rsidRPr="00C97A7B">
                          <w:rPr>
                            <w:rFonts w:ascii="Calibri" w:hAnsi="Calibri"/>
                            <w:sz w:val="20"/>
                            <w:szCs w:val="20"/>
                          </w:rPr>
                          <w:t>不凝气：</w:t>
                        </w:r>
                        <w:r>
                          <w:rPr>
                            <w:rFonts w:ascii="Calibri" w:hAnsi="Calibri"/>
                            <w:sz w:val="20"/>
                            <w:szCs w:val="20"/>
                          </w:rPr>
                          <w:t>269.11</w:t>
                        </w:r>
                      </w:p>
                      <w:p w14:paraId="63A86EC1" w14:textId="77777777" w:rsidR="00217891" w:rsidRDefault="00217891" w:rsidP="001A1CFE">
                        <w:pPr>
                          <w:ind w:firstLineChars="200" w:firstLine="400"/>
                          <w:rPr>
                            <w:rFonts w:ascii="Calibri" w:hAnsi="Calibri"/>
                            <w:sz w:val="20"/>
                            <w:szCs w:val="20"/>
                          </w:rPr>
                        </w:pPr>
                        <w:r w:rsidRPr="00C97A7B">
                          <w:rPr>
                            <w:rFonts w:ascii="Calibri" w:hAnsi="Calibri"/>
                            <w:sz w:val="20"/>
                            <w:szCs w:val="20"/>
                          </w:rPr>
                          <w:t>（其中水：</w:t>
                        </w:r>
                        <w:r>
                          <w:rPr>
                            <w:rFonts w:ascii="Calibri" w:hAnsi="Calibri"/>
                            <w:sz w:val="20"/>
                            <w:szCs w:val="20"/>
                          </w:rPr>
                          <w:t>265.8</w:t>
                        </w:r>
                        <w:r>
                          <w:rPr>
                            <w:rFonts w:ascii="Calibri" w:hAnsi="Calibri" w:hint="eastAsia"/>
                            <w:sz w:val="20"/>
                            <w:szCs w:val="20"/>
                          </w:rPr>
                          <w:t>；</w:t>
                        </w:r>
                        <w:r w:rsidRPr="00C97A7B">
                          <w:rPr>
                            <w:rFonts w:ascii="Calibri" w:hAnsi="Calibri"/>
                            <w:sz w:val="20"/>
                            <w:szCs w:val="20"/>
                          </w:rPr>
                          <w:t>氨：</w:t>
                        </w:r>
                        <w:r w:rsidRPr="00C97A7B">
                          <w:rPr>
                            <w:rFonts w:ascii="Calibri" w:hAnsi="Calibri"/>
                            <w:sz w:val="20"/>
                            <w:szCs w:val="20"/>
                          </w:rPr>
                          <w:t>0.01</w:t>
                        </w:r>
                        <w:r>
                          <w:rPr>
                            <w:rFonts w:ascii="Calibri" w:hAnsi="Calibri" w:hint="eastAsia"/>
                            <w:sz w:val="20"/>
                            <w:szCs w:val="20"/>
                          </w:rPr>
                          <w:t>；</w:t>
                        </w:r>
                        <w:r w:rsidRPr="00C97A7B">
                          <w:rPr>
                            <w:rFonts w:ascii="Calibri" w:hAnsi="Calibri"/>
                            <w:sz w:val="20"/>
                            <w:szCs w:val="20"/>
                          </w:rPr>
                          <w:t>己二酸：</w:t>
                        </w:r>
                        <w:r>
                          <w:rPr>
                            <w:rFonts w:ascii="Calibri" w:hAnsi="Calibri"/>
                            <w:sz w:val="20"/>
                            <w:szCs w:val="20"/>
                          </w:rPr>
                          <w:t>0.34</w:t>
                        </w:r>
                        <w:r>
                          <w:rPr>
                            <w:rFonts w:ascii="Calibri" w:hAnsi="Calibri" w:hint="eastAsia"/>
                            <w:sz w:val="20"/>
                            <w:szCs w:val="20"/>
                          </w:rPr>
                          <w:t>；</w:t>
                        </w:r>
                        <w:r w:rsidRPr="00C97A7B">
                          <w:rPr>
                            <w:rFonts w:ascii="Calibri" w:hAnsi="Calibri"/>
                            <w:sz w:val="20"/>
                            <w:szCs w:val="20"/>
                          </w:rPr>
                          <w:t>环戊酮：</w:t>
                        </w:r>
                        <w:r w:rsidRPr="00C97A7B">
                          <w:rPr>
                            <w:rFonts w:ascii="Calibri" w:hAnsi="Calibri"/>
                            <w:sz w:val="20"/>
                            <w:szCs w:val="20"/>
                          </w:rPr>
                          <w:t>0.04</w:t>
                        </w:r>
                        <w:r>
                          <w:rPr>
                            <w:rFonts w:ascii="Calibri" w:hAnsi="Calibri" w:hint="eastAsia"/>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0.05</w:t>
                        </w:r>
                        <w:r w:rsidRPr="00C97A7B">
                          <w:rPr>
                            <w:rFonts w:ascii="Calibri" w:hAnsi="Calibri"/>
                            <w:sz w:val="20"/>
                            <w:szCs w:val="20"/>
                          </w:rPr>
                          <w:t>己二胺</w:t>
                        </w:r>
                        <w:r>
                          <w:rPr>
                            <w:rFonts w:ascii="Calibri" w:hAnsi="Calibri" w:hint="eastAsia"/>
                            <w:sz w:val="20"/>
                            <w:szCs w:val="20"/>
                          </w:rPr>
                          <w:t>:2.16</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0.07</w:t>
                        </w:r>
                        <w:r>
                          <w:rPr>
                            <w:rFonts w:ascii="Calibri" w:hAnsi="Calibri" w:hint="eastAsia"/>
                            <w:sz w:val="20"/>
                            <w:szCs w:val="20"/>
                          </w:rPr>
                          <w:t>；</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 xml:space="preserve">0.04 </w:t>
                        </w:r>
                        <w:r>
                          <w:rPr>
                            <w:rFonts w:ascii="Calibri" w:hAnsi="Calibri"/>
                            <w:sz w:val="20"/>
                            <w:szCs w:val="20"/>
                          </w:rPr>
                          <w:t xml:space="preserve"> </w:t>
                        </w:r>
                      </w:p>
                      <w:p w14:paraId="4FADBF8C" w14:textId="77777777" w:rsidR="00217891" w:rsidRPr="00C97A7B" w:rsidRDefault="00217891" w:rsidP="001A1CFE">
                        <w:pPr>
                          <w:ind w:firstLineChars="200" w:firstLine="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0.6</w:t>
                        </w:r>
                        <w:r w:rsidRPr="00C97A7B">
                          <w:rPr>
                            <w:rFonts w:ascii="Calibri" w:hAnsi="Calibri"/>
                            <w:sz w:val="20"/>
                            <w:szCs w:val="20"/>
                          </w:rPr>
                          <w:t>）</w:t>
                        </w:r>
                      </w:p>
                    </w:txbxContent>
                  </v:textbox>
                </v:rect>
                <v:shape id="AutoShape 37713" o:spid="_x0000_s1179" type="#_x0000_t32" style="position:absolute;left:48488;top:21551;width:972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rect id="Rectangle 37714" o:spid="_x0000_s1180" style="position:absolute;left:46405;top:6096;width:14135;height:1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0wgAAANwAAAAPAAAAZHJzL2Rvd25yZXYueG1sRE9Na8JA&#10;EL0X/A/LCL2UulFB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CPUvQ0wgAAANwAAAAPAAAA&#10;AAAAAAAAAAAAAAcCAABkcnMvZG93bnJldi54bWxQSwUGAAAAAAMAAwC3AAAA9gIAAAAA&#10;" filled="f" stroked="f">
                  <v:textbox>
                    <w:txbxContent>
                      <w:p w14:paraId="55401E34" w14:textId="77777777" w:rsidR="00217891" w:rsidRPr="00C97A7B" w:rsidRDefault="00217891" w:rsidP="001A1CFE">
                        <w:pPr>
                          <w:rPr>
                            <w:rFonts w:ascii="Calibri" w:hAnsi="Calibri"/>
                            <w:sz w:val="20"/>
                            <w:szCs w:val="20"/>
                          </w:rPr>
                        </w:pPr>
                        <w:r w:rsidRPr="00C97A7B">
                          <w:rPr>
                            <w:rFonts w:ascii="Calibri" w:hAnsi="Calibri"/>
                            <w:sz w:val="20"/>
                            <w:szCs w:val="20"/>
                          </w:rPr>
                          <w:t>冷凝液</w:t>
                        </w:r>
                        <w:r>
                          <w:rPr>
                            <w:rFonts w:ascii="Calibri" w:hAnsi="Calibri"/>
                            <w:sz w:val="20"/>
                            <w:szCs w:val="20"/>
                          </w:rPr>
                          <w:t>1105.31</w:t>
                        </w:r>
                      </w:p>
                      <w:p w14:paraId="17D3911A" w14:textId="77777777" w:rsidR="00217891" w:rsidRPr="00C97A7B" w:rsidRDefault="00217891" w:rsidP="001A1CFE">
                        <w:pPr>
                          <w:rPr>
                            <w:rFonts w:ascii="Calibri" w:hAnsi="Calibri"/>
                            <w:sz w:val="20"/>
                            <w:szCs w:val="20"/>
                          </w:rPr>
                        </w:pPr>
                        <w:r w:rsidRPr="00C97A7B">
                          <w:rPr>
                            <w:rFonts w:ascii="Calibri" w:hAnsi="Calibri"/>
                            <w:sz w:val="20"/>
                            <w:szCs w:val="20"/>
                          </w:rPr>
                          <w:t>（其中水：</w:t>
                        </w:r>
                        <w:r>
                          <w:rPr>
                            <w:rFonts w:ascii="Calibri" w:hAnsi="Calibri"/>
                            <w:sz w:val="20"/>
                            <w:szCs w:val="20"/>
                          </w:rPr>
                          <w:t>1099.1</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3</w:t>
                        </w:r>
                        <w:r w:rsidRPr="00C97A7B">
                          <w:rPr>
                            <w:rFonts w:ascii="Calibri" w:hAnsi="Calibri"/>
                            <w:sz w:val="20"/>
                            <w:szCs w:val="20"/>
                          </w:rPr>
                          <w:t>；己二酸</w:t>
                        </w:r>
                        <w:r w:rsidRPr="00C97A7B">
                          <w:rPr>
                            <w:rFonts w:ascii="Calibri" w:hAnsi="Calibri"/>
                            <w:sz w:val="20"/>
                            <w:szCs w:val="20"/>
                          </w:rPr>
                          <w:t>:</w:t>
                        </w:r>
                        <w:r>
                          <w:rPr>
                            <w:rFonts w:ascii="Calibri" w:hAnsi="Calibri"/>
                            <w:sz w:val="20"/>
                            <w:szCs w:val="20"/>
                          </w:rPr>
                          <w:t>1.41</w:t>
                        </w:r>
                        <w:r w:rsidRPr="00C97A7B">
                          <w:rPr>
                            <w:rFonts w:ascii="Calibri" w:hAnsi="Calibri"/>
                            <w:sz w:val="20"/>
                            <w:szCs w:val="20"/>
                          </w:rPr>
                          <w:t>；环戊酮：</w:t>
                        </w:r>
                        <w:r>
                          <w:rPr>
                            <w:rFonts w:ascii="Calibri" w:hAnsi="Calibri"/>
                            <w:sz w:val="20"/>
                            <w:szCs w:val="20"/>
                          </w:rPr>
                          <w:t>0.16</w:t>
                        </w:r>
                        <w:r w:rsidRPr="00C97A7B">
                          <w:rPr>
                            <w:rFonts w:ascii="Calibri" w:hAnsi="Calibri"/>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w:t>
                        </w:r>
                        <w:r>
                          <w:rPr>
                            <w:rFonts w:ascii="Calibri" w:hAnsi="Calibri"/>
                            <w:color w:val="auto"/>
                            <w:kern w:val="0"/>
                            <w:sz w:val="20"/>
                            <w:szCs w:val="20"/>
                          </w:rPr>
                          <w:t>18</w:t>
                        </w:r>
                        <w:r w:rsidRPr="00C97A7B">
                          <w:rPr>
                            <w:rFonts w:ascii="Calibri" w:hAnsi="Calibri"/>
                            <w:color w:val="auto"/>
                            <w:kern w:val="0"/>
                            <w:sz w:val="20"/>
                            <w:szCs w:val="20"/>
                          </w:rPr>
                          <w:t>；</w:t>
                        </w:r>
                        <w:r w:rsidRPr="00C97A7B">
                          <w:rPr>
                            <w:rFonts w:ascii="Calibri" w:hAnsi="Calibri"/>
                            <w:sz w:val="20"/>
                            <w:szCs w:val="20"/>
                          </w:rPr>
                          <w:t>己二胺</w:t>
                        </w:r>
                        <w:r w:rsidRPr="00C97A7B">
                          <w:rPr>
                            <w:rFonts w:ascii="Calibri" w:hAnsi="Calibri"/>
                            <w:sz w:val="20"/>
                            <w:szCs w:val="20"/>
                          </w:rPr>
                          <w:t>1.</w:t>
                        </w:r>
                        <w:r>
                          <w:rPr>
                            <w:rFonts w:ascii="Calibri" w:hAnsi="Calibri"/>
                            <w:sz w:val="20"/>
                            <w:szCs w:val="20"/>
                          </w:rPr>
                          <w:t>49</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0.29</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0.17</w:t>
                        </w: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2.48</w:t>
                        </w:r>
                        <w:r w:rsidRPr="00C97A7B">
                          <w:rPr>
                            <w:rFonts w:ascii="Calibri" w:hAnsi="Calibri"/>
                            <w:sz w:val="20"/>
                            <w:szCs w:val="20"/>
                          </w:rPr>
                          <w:t>）</w:t>
                        </w:r>
                      </w:p>
                    </w:txbxContent>
                  </v:textbox>
                </v:rect>
                <v:shape id="AutoShape 37715" o:spid="_x0000_s1181" type="#_x0000_t32" style="position:absolute;left:48736;top:44723;width:501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AutoShape 37716" o:spid="_x0000_s1182" type="#_x0000_t32" style="position:absolute;left:47809;top:34175;width:146;height:48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">
                  <v:stroke dashstyle="dash" startarrow="block"/>
                </v:shape>
                <v:shape id="AutoShape 37718" o:spid="_x0000_s1183" type="#_x0000_t32" style="position:absolute;left:46526;top:36487;width:6;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rect id="Rectangle 37719" o:spid="_x0000_s1184" style="position:absolute;left:39509;top:34982;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textbox>
                    <w:txbxContent>
                      <w:p w14:paraId="7E3EB167" w14:textId="77777777" w:rsidR="00217891" w:rsidRPr="00C97A7B" w:rsidRDefault="00217891" w:rsidP="001A1CFE">
                        <w:pPr>
                          <w:rPr>
                            <w:rFonts w:ascii="Calibri" w:hAnsi="Calibri"/>
                          </w:rPr>
                        </w:pPr>
                        <w:r w:rsidRPr="00C97A7B">
                          <w:rPr>
                            <w:rFonts w:ascii="Calibri" w:hAnsi="Calibri"/>
                          </w:rPr>
                          <w:t>新鲜水</w:t>
                        </w:r>
                        <w:r w:rsidRPr="00C97A7B">
                          <w:rPr>
                            <w:rFonts w:ascii="Calibri" w:hAnsi="Calibri"/>
                          </w:rPr>
                          <w:t>303</w:t>
                        </w:r>
                      </w:p>
                    </w:txbxContent>
                  </v:textbox>
                </v:rect>
                <v:shape id="AutoShape 37720" o:spid="_x0000_s1185" type="#_x0000_t32" style="position:absolute;left:20104;top:68268;width:3782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dwwAAANwAAAAPAAAAZHJzL2Rvd25yZXYueG1sRE9NawIx&#10;EL0L/Q9hCt40q4L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tjp8XcMAAADcAAAADwAA&#10;AAAAAAAAAAAAAAAHAgAAZHJzL2Rvd25yZXYueG1sUEsFBgAAAAADAAMAtwAAAPcCAAAAAA==&#10;">
                  <v:stroke endarrow="block"/>
                </v:shape>
                <v:rect id="Rectangle 37722" o:spid="_x0000_s1186" style="position:absolute;left:21767;top:13677;width:969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textbox>
                    <w:txbxContent>
                      <w:p w14:paraId="212150CF" w14:textId="77777777" w:rsidR="00217891" w:rsidRPr="00C97A7B" w:rsidRDefault="00217891" w:rsidP="001A1CFE">
                        <w:pPr>
                          <w:rPr>
                            <w:rFonts w:ascii="Calibri" w:hAnsi="Calibri"/>
                          </w:rPr>
                        </w:pPr>
                        <w:r>
                          <w:rPr>
                            <w:rFonts w:ascii="Calibri" w:hAnsi="Calibri"/>
                          </w:rPr>
                          <w:t>5200</w:t>
                        </w:r>
                        <w:r w:rsidRPr="00C97A7B">
                          <w:rPr>
                            <w:rFonts w:ascii="Calibri" w:hAnsi="Calibri"/>
                          </w:rPr>
                          <w:t>（</w:t>
                        </w:r>
                        <w:r w:rsidRPr="00C97A7B">
                          <w:rPr>
                            <w:rFonts w:ascii="Calibri" w:hAnsi="Calibri"/>
                          </w:rPr>
                          <w:t>52%</w:t>
                        </w:r>
                        <w:r w:rsidRPr="00C97A7B">
                          <w:rPr>
                            <w:rFonts w:ascii="Calibri" w:hAnsi="Calibri"/>
                          </w:rPr>
                          <w:t>）</w:t>
                        </w:r>
                      </w:p>
                    </w:txbxContent>
                  </v:textbox>
                </v:rect>
                <v:rect id="Rectangle 37723" o:spid="_x0000_s1187" style="position:absolute;left:25038;top:31642;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v:textbox>
                    <w:txbxContent>
                      <w:p w14:paraId="4384BB87" w14:textId="77777777" w:rsidR="00217891" w:rsidRPr="00AE1181" w:rsidRDefault="00217891" w:rsidP="001A1CFE">
                        <w:pPr>
                          <w:ind w:firstLineChars="100" w:firstLine="210"/>
                          <w:rPr>
                            <w:rFonts w:ascii="Calibri" w:hAnsi="Calibri"/>
                          </w:rPr>
                        </w:pPr>
                        <w:r w:rsidRPr="00AE1181">
                          <w:rPr>
                            <w:rFonts w:ascii="Calibri" w:hAnsi="Calibri"/>
                          </w:rPr>
                          <w:t>2525.</w:t>
                        </w:r>
                        <w:r>
                          <w:rPr>
                            <w:rFonts w:ascii="Calibri" w:hAnsi="Calibri"/>
                          </w:rPr>
                          <w:t>78</w:t>
                        </w:r>
                      </w:p>
                    </w:txbxContent>
                  </v:textbox>
                </v:rect>
                <v:rect id="Rectangle 37725" o:spid="_x0000_s1188" style="position:absolute;left:49104;top:79927;width:1061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" filled="f">
                  <v:textbox>
                    <w:txbxContent>
                      <w:p w14:paraId="649EF036" w14:textId="77777777" w:rsidR="00217891" w:rsidRDefault="00217891" w:rsidP="001A1CFE">
                        <w:pPr>
                          <w:ind w:firstLineChars="100" w:firstLine="210"/>
                          <w:rPr>
                            <w:rFonts w:ascii="等线" w:hAnsi="等线"/>
                          </w:rPr>
                        </w:pPr>
                        <w:r>
                          <w:rPr>
                            <w:rFonts w:ascii="等线" w:hAnsi="等线" w:hint="eastAsia"/>
                          </w:rPr>
                          <w:t>污水</w:t>
                        </w:r>
                        <w:r>
                          <w:rPr>
                            <w:rFonts w:ascii="等线" w:hAnsi="等线"/>
                          </w:rPr>
                          <w:t>处理站</w:t>
                        </w:r>
                      </w:p>
                    </w:txbxContent>
                  </v:textbox>
                </v:rect>
                <v:rect id="Rectangle 37726" o:spid="_x0000_s1189" style="position:absolute;left:39509;top:68726;width:19571;height:1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textbox>
                    <w:txbxContent>
                      <w:p w14:paraId="7A400036" w14:textId="77777777" w:rsidR="00217891" w:rsidRPr="00C97A7B" w:rsidRDefault="00217891" w:rsidP="00D027F6">
                        <w:pPr>
                          <w:ind w:firstLineChars="50" w:firstLine="100"/>
                          <w:rPr>
                            <w:rFonts w:ascii="Calibri" w:hAnsi="Calibri"/>
                            <w:sz w:val="20"/>
                            <w:szCs w:val="20"/>
                          </w:rPr>
                        </w:pPr>
                        <w:r w:rsidRPr="00C97A7B">
                          <w:rPr>
                            <w:rFonts w:ascii="Calibri" w:hAnsi="Calibri"/>
                            <w:sz w:val="20"/>
                            <w:szCs w:val="20"/>
                          </w:rPr>
                          <w:t>废水：</w:t>
                        </w:r>
                        <w:r w:rsidRPr="00D027F6">
                          <w:rPr>
                            <w:rFonts w:ascii="Calibri" w:hAnsi="Calibri"/>
                            <w:sz w:val="20"/>
                            <w:szCs w:val="20"/>
                          </w:rPr>
                          <w:t>1805.076</w:t>
                        </w:r>
                        <w:r w:rsidRPr="00C97A7B">
                          <w:rPr>
                            <w:rFonts w:ascii="Calibri" w:hAnsi="Calibri"/>
                            <w:sz w:val="20"/>
                            <w:szCs w:val="20"/>
                          </w:rPr>
                          <w:t>其中水：</w:t>
                        </w:r>
                        <w:r>
                          <w:rPr>
                            <w:rFonts w:ascii="Calibri" w:hAnsi="Calibri"/>
                            <w:sz w:val="20"/>
                            <w:szCs w:val="20"/>
                          </w:rPr>
                          <w:t>1796.87</w:t>
                        </w:r>
                        <w:r>
                          <w:rPr>
                            <w:rFonts w:ascii="Calibri" w:hAnsi="Calibri" w:hint="eastAsia"/>
                            <w:sz w:val="20"/>
                            <w:szCs w:val="20"/>
                          </w:rPr>
                          <w:t>；</w:t>
                        </w:r>
                        <w:r w:rsidRPr="00C97A7B">
                          <w:rPr>
                            <w:rFonts w:ascii="Calibri" w:hAnsi="Calibri"/>
                            <w:sz w:val="20"/>
                            <w:szCs w:val="20"/>
                          </w:rPr>
                          <w:t>己二胺：</w:t>
                        </w:r>
                        <w:r>
                          <w:rPr>
                            <w:rFonts w:ascii="Calibri" w:hAnsi="Calibri"/>
                            <w:sz w:val="20"/>
                            <w:szCs w:val="20"/>
                          </w:rPr>
                          <w:t>2.80</w:t>
                        </w:r>
                      </w:p>
                      <w:p w14:paraId="0454FE46" w14:textId="77777777" w:rsidR="00217891" w:rsidRPr="00C97A7B" w:rsidRDefault="00217891" w:rsidP="001A1CFE">
                        <w:pPr>
                          <w:ind w:left="400" w:hangingChars="200" w:hanging="400"/>
                          <w:rPr>
                            <w:rFonts w:ascii="Calibri" w:hAnsi="Calibri"/>
                            <w:sz w:val="20"/>
                            <w:szCs w:val="20"/>
                          </w:rPr>
                        </w:pPr>
                        <w:r w:rsidRPr="00C97A7B">
                          <w:rPr>
                            <w:rFonts w:ascii="Calibri" w:hAnsi="Calibri"/>
                            <w:sz w:val="20"/>
                            <w:szCs w:val="20"/>
                          </w:rPr>
                          <w:t>己二酸：</w:t>
                        </w:r>
                        <w:r>
                          <w:rPr>
                            <w:rFonts w:ascii="Calibri" w:hAnsi="Calibri"/>
                            <w:sz w:val="20"/>
                            <w:szCs w:val="20"/>
                          </w:rPr>
                          <w:t>1.61</w:t>
                        </w:r>
                        <w:r>
                          <w:rPr>
                            <w:rFonts w:ascii="Calibri" w:hAnsi="Calibri" w:hint="eastAsia"/>
                            <w:sz w:val="20"/>
                            <w:szCs w:val="20"/>
                          </w:rPr>
                          <w:t>；</w:t>
                        </w:r>
                        <w:r w:rsidRPr="00C97A7B">
                          <w:rPr>
                            <w:rFonts w:ascii="Calibri" w:hAnsi="Calibri"/>
                            <w:sz w:val="20"/>
                            <w:szCs w:val="20"/>
                          </w:rPr>
                          <w:t>环戊酮：</w:t>
                        </w:r>
                        <w:r>
                          <w:rPr>
                            <w:rFonts w:ascii="Calibri" w:hAnsi="Calibri"/>
                            <w:sz w:val="20"/>
                            <w:szCs w:val="20"/>
                          </w:rPr>
                          <w:t>0.184</w:t>
                        </w:r>
                      </w:p>
                      <w:p w14:paraId="4BAB7136" w14:textId="77777777" w:rsidR="00217891" w:rsidRDefault="00217891" w:rsidP="001A1CFE">
                        <w:pPr>
                          <w:ind w:left="400" w:hangingChars="200" w:hanging="400"/>
                          <w:rPr>
                            <w:rFonts w:ascii="Calibri" w:hAnsi="Calibri"/>
                            <w:sz w:val="20"/>
                            <w:szCs w:val="20"/>
                          </w:rPr>
                        </w:pPr>
                        <w:r w:rsidRPr="00C97A7B">
                          <w:rPr>
                            <w:rFonts w:ascii="Calibri" w:hAnsi="Calibri"/>
                            <w:color w:val="auto"/>
                            <w:kern w:val="0"/>
                            <w:sz w:val="20"/>
                            <w:szCs w:val="20"/>
                          </w:rPr>
                          <w:t>环己亚胺：</w:t>
                        </w:r>
                        <w:r>
                          <w:rPr>
                            <w:rFonts w:ascii="Calibri" w:hAnsi="Calibri"/>
                            <w:color w:val="auto"/>
                            <w:kern w:val="0"/>
                            <w:sz w:val="20"/>
                            <w:szCs w:val="20"/>
                          </w:rPr>
                          <w:t>0.21</w:t>
                        </w:r>
                        <w:r>
                          <w:rPr>
                            <w:rFonts w:ascii="Calibri" w:hAnsi="Calibri" w:hint="eastAsia"/>
                            <w:color w:val="auto"/>
                            <w:kern w:val="0"/>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36</w:t>
                        </w:r>
                        <w:r>
                          <w:rPr>
                            <w:rFonts w:ascii="Calibri" w:hAnsi="Calibri" w:hint="eastAsia"/>
                            <w:sz w:val="20"/>
                            <w:szCs w:val="20"/>
                          </w:rPr>
                          <w:t>；</w:t>
                        </w:r>
                      </w:p>
                      <w:p w14:paraId="0B22FDC9" w14:textId="77777777" w:rsidR="00217891" w:rsidRDefault="00217891" w:rsidP="001A1CFE">
                        <w:pPr>
                          <w:ind w:left="400" w:hangingChars="200" w:hanging="400"/>
                          <w:rPr>
                            <w:rFonts w:ascii="Calibri" w:hAnsi="Calibri"/>
                            <w:sz w:val="20"/>
                            <w:szCs w:val="20"/>
                          </w:rPr>
                        </w:pP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0.332</w:t>
                        </w:r>
                        <w:r w:rsidRPr="00E13A8E">
                          <w:rPr>
                            <w:rFonts w:ascii="Calibri" w:hAnsi="Calibri" w:hint="eastAsia"/>
                            <w:sz w:val="20"/>
                            <w:szCs w:val="20"/>
                          </w:rPr>
                          <w:t>癸二酸</w:t>
                        </w:r>
                        <w:r>
                          <w:rPr>
                            <w:rFonts w:ascii="Calibri" w:hAnsi="Calibri" w:hint="eastAsia"/>
                            <w:sz w:val="20"/>
                            <w:szCs w:val="20"/>
                          </w:rPr>
                          <w:t>：</w:t>
                        </w:r>
                        <w:r>
                          <w:rPr>
                            <w:rFonts w:ascii="Calibri" w:hAnsi="Calibri"/>
                            <w:sz w:val="20"/>
                            <w:szCs w:val="20"/>
                          </w:rPr>
                          <w:t>0.194</w:t>
                        </w:r>
                        <w:r>
                          <w:rPr>
                            <w:rFonts w:ascii="Calibri" w:hAnsi="Calibri" w:hint="eastAsia"/>
                            <w:sz w:val="20"/>
                            <w:szCs w:val="20"/>
                          </w:rPr>
                          <w:t>；</w:t>
                        </w:r>
                      </w:p>
                      <w:p w14:paraId="586EC157" w14:textId="77777777" w:rsidR="00217891" w:rsidRPr="00C97A7B" w:rsidRDefault="00217891" w:rsidP="001A1CFE">
                        <w:pPr>
                          <w:ind w:left="400" w:hangingChars="200" w:hanging="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sz w:val="20"/>
                            <w:szCs w:val="20"/>
                          </w:rPr>
                          <w:t>2.84</w:t>
                        </w:r>
                      </w:p>
                    </w:txbxContent>
                  </v:textbox>
                </v:rect>
                <v:rect id="Rectangle 37727" o:spid="_x0000_s1190" style="position:absolute;top:3048;width:15335;height:8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14:paraId="7D67CA0F" w14:textId="77777777" w:rsidR="00217891" w:rsidRPr="00C97A7B" w:rsidRDefault="00217891" w:rsidP="001A1CFE">
                        <w:pPr>
                          <w:ind w:firstLineChars="150" w:firstLine="315"/>
                          <w:rPr>
                            <w:rFonts w:ascii="Calibri" w:hAnsi="Calibri"/>
                          </w:rPr>
                        </w:pPr>
                        <w:r w:rsidRPr="00C97A7B">
                          <w:rPr>
                            <w:rFonts w:ascii="Calibri" w:hAnsi="Calibri"/>
                          </w:rPr>
                          <w:t>50%</w:t>
                        </w:r>
                        <w:r w:rsidRPr="00C97A7B">
                          <w:rPr>
                            <w:rFonts w:ascii="Calibri" w:hAnsi="Calibri"/>
                          </w:rPr>
                          <w:t>尼龙</w:t>
                        </w:r>
                        <w:r w:rsidRPr="00C97A7B">
                          <w:rPr>
                            <w:rFonts w:ascii="Calibri" w:hAnsi="Calibri"/>
                          </w:rPr>
                          <w:t>66</w:t>
                        </w:r>
                        <w:r w:rsidRPr="00C97A7B">
                          <w:rPr>
                            <w:rFonts w:ascii="Calibri" w:hAnsi="Calibri"/>
                          </w:rPr>
                          <w:t>盐</w:t>
                        </w:r>
                        <w:r w:rsidRPr="00C97A7B">
                          <w:rPr>
                            <w:rFonts w:ascii="Calibri" w:hAnsi="Calibri"/>
                          </w:rPr>
                          <w:t>2400</w:t>
                        </w:r>
                      </w:p>
                      <w:p w14:paraId="11BF8CE6" w14:textId="77777777" w:rsidR="00217891" w:rsidRPr="00C97A7B" w:rsidRDefault="00217891" w:rsidP="001A1CFE">
                        <w:pPr>
                          <w:ind w:firstLineChars="200" w:firstLine="420"/>
                          <w:rPr>
                            <w:rFonts w:ascii="Calibri" w:hAnsi="Calibri"/>
                          </w:rPr>
                        </w:pPr>
                        <w:r w:rsidRPr="00C97A7B">
                          <w:rPr>
                            <w:rFonts w:ascii="Calibri" w:hAnsi="Calibri"/>
                          </w:rPr>
                          <w:t>尼龙</w:t>
                        </w:r>
                        <w:r w:rsidRPr="00C97A7B">
                          <w:rPr>
                            <w:rFonts w:ascii="Calibri" w:hAnsi="Calibri"/>
                          </w:rPr>
                          <w:t>12</w:t>
                        </w:r>
                        <w:r w:rsidRPr="00C97A7B">
                          <w:rPr>
                            <w:rFonts w:ascii="Calibri" w:hAnsi="Calibri"/>
                          </w:rPr>
                          <w:t>盐</w:t>
                        </w:r>
                        <w:r w:rsidRPr="00C97A7B">
                          <w:rPr>
                            <w:rFonts w:ascii="Calibri" w:hAnsi="Calibri"/>
                          </w:rPr>
                          <w:t>1200</w:t>
                        </w:r>
                      </w:p>
                      <w:p w14:paraId="7C8D194F" w14:textId="77777777" w:rsidR="00217891" w:rsidRPr="00C97A7B" w:rsidRDefault="00217891" w:rsidP="001A1CFE">
                        <w:pPr>
                          <w:ind w:firstLineChars="200" w:firstLine="420"/>
                          <w:rPr>
                            <w:rFonts w:ascii="Calibri" w:hAnsi="Calibri"/>
                          </w:rPr>
                        </w:pPr>
                        <w:r w:rsidRPr="00C97A7B">
                          <w:rPr>
                            <w:rFonts w:ascii="Calibri" w:hAnsi="Calibri"/>
                          </w:rPr>
                          <w:t>尼龙</w:t>
                        </w:r>
                        <w:r w:rsidRPr="00C97A7B">
                          <w:rPr>
                            <w:rFonts w:ascii="Calibri" w:hAnsi="Calibri"/>
                          </w:rPr>
                          <w:t>1010</w:t>
                        </w:r>
                        <w:r w:rsidRPr="00C97A7B">
                          <w:rPr>
                            <w:rFonts w:ascii="Calibri" w:hAnsi="Calibri"/>
                          </w:rPr>
                          <w:t>盐</w:t>
                        </w:r>
                        <w:r w:rsidRPr="00C97A7B">
                          <w:rPr>
                            <w:rFonts w:ascii="Calibri" w:hAnsi="Calibri"/>
                          </w:rPr>
                          <w:t>300</w:t>
                        </w:r>
                      </w:p>
                      <w:p w14:paraId="4C10F006" w14:textId="77777777" w:rsidR="00217891" w:rsidRPr="00C97A7B" w:rsidRDefault="00217891" w:rsidP="001A1CFE">
                        <w:pPr>
                          <w:ind w:firstLineChars="100" w:firstLine="210"/>
                          <w:rPr>
                            <w:rFonts w:ascii="Calibri" w:hAnsi="Calibri"/>
                          </w:rPr>
                        </w:pPr>
                        <w:r w:rsidRPr="00C97A7B">
                          <w:rPr>
                            <w:rFonts w:ascii="Calibri" w:hAnsi="Calibri"/>
                          </w:rPr>
                          <w:t>次磷酸钠</w:t>
                        </w:r>
                        <w:r w:rsidRPr="00C97A7B">
                          <w:rPr>
                            <w:rFonts w:ascii="Calibri" w:hAnsi="Calibri"/>
                          </w:rPr>
                          <w:t>0.2</w:t>
                        </w:r>
                      </w:p>
                    </w:txbxContent>
                  </v:textbox>
                </v:rect>
                <v:rect id="Rectangle 37722" o:spid="_x0000_s1191" style="position:absolute;left:48234;top:28187;width:12878;height:19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textbox>
                    <w:txbxContent>
                      <w:p w14:paraId="42C6CFF9" w14:textId="77777777" w:rsidR="00217891" w:rsidRPr="001B4635" w:rsidRDefault="00217891" w:rsidP="001A1CFE">
                        <w:pPr>
                          <w:ind w:leftChars="200" w:left="520" w:hangingChars="50" w:hanging="100"/>
                          <w:rPr>
                            <w:rFonts w:ascii="Calibri" w:hAnsi="Calibri"/>
                            <w:color w:val="FF0000"/>
                            <w:sz w:val="20"/>
                            <w:szCs w:val="20"/>
                          </w:rPr>
                        </w:pPr>
                        <w:r w:rsidRPr="001B4635">
                          <w:rPr>
                            <w:rFonts w:ascii="Calibri" w:hAnsi="Calibri"/>
                            <w:color w:val="FF0000"/>
                            <w:sz w:val="20"/>
                            <w:szCs w:val="20"/>
                          </w:rPr>
                          <w:t>废气：</w:t>
                        </w:r>
                        <w:r>
                          <w:rPr>
                            <w:rFonts w:ascii="Calibri" w:hAnsi="Calibri"/>
                            <w:color w:val="FF0000"/>
                            <w:sz w:val="20"/>
                            <w:szCs w:val="20"/>
                          </w:rPr>
                          <w:t>1.346</w:t>
                        </w:r>
                      </w:p>
                      <w:p w14:paraId="60255E0B" w14:textId="77777777" w:rsidR="00217891" w:rsidRPr="00335723" w:rsidRDefault="00217891" w:rsidP="001A1CFE">
                        <w:pPr>
                          <w:pStyle w:val="af1"/>
                          <w:ind w:left="403" w:hanging="403"/>
                          <w:jc w:val="both"/>
                          <w:rPr>
                            <w:color w:val="FF0000"/>
                          </w:rPr>
                        </w:pPr>
                        <w:r w:rsidRPr="001B4635">
                          <w:rPr>
                            <w:rFonts w:ascii="Calibri" w:hAnsi="Calibri"/>
                            <w:color w:val="FF0000"/>
                            <w:sz w:val="20"/>
                            <w:szCs w:val="20"/>
                          </w:rPr>
                          <w:t>其中：</w:t>
                        </w:r>
                        <w:r w:rsidRPr="001B4635">
                          <w:rPr>
                            <w:rFonts w:ascii="Calibri" w:cs="Calibri" w:hint="eastAsia"/>
                            <w:color w:val="FF0000"/>
                            <w:kern w:val="2"/>
                            <w:sz w:val="20"/>
                            <w:szCs w:val="20"/>
                          </w:rPr>
                          <w:t>己二胺：</w:t>
                        </w:r>
                        <w:r>
                          <w:rPr>
                            <w:rFonts w:ascii="Calibri" w:hAnsi="Calibri" w:cs="Calibri"/>
                            <w:color w:val="FF0000"/>
                            <w:kern w:val="2"/>
                            <w:sz w:val="20"/>
                            <w:szCs w:val="20"/>
                          </w:rPr>
                          <w:t>0.88</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Pr>
                            <w:rFonts w:ascii="Calibri" w:hAnsi="Calibri" w:cs="Calibri"/>
                            <w:color w:val="FF0000"/>
                            <w:kern w:val="2"/>
                            <w:sz w:val="20"/>
                            <w:szCs w:val="20"/>
                          </w:rPr>
                          <w:t>0.14</w:t>
                        </w:r>
                        <w:r>
                          <w:rPr>
                            <w:rFonts w:ascii="Calibri" w:hAnsi="Calibri" w:cs="Calibri" w:hint="eastAsia"/>
                            <w:color w:val="FF0000"/>
                            <w:kern w:val="2"/>
                            <w:sz w:val="20"/>
                            <w:szCs w:val="20"/>
                          </w:rPr>
                          <w:t>；</w:t>
                        </w: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16</w:t>
                        </w:r>
                        <w:r>
                          <w:rPr>
                            <w:rFonts w:ascii="Calibri" w:hAnsi="Calibri" w:cs="Calibri" w:hint="eastAsia"/>
                            <w:color w:val="FF0000"/>
                            <w:kern w:val="2"/>
                            <w:sz w:val="20"/>
                            <w:szCs w:val="20"/>
                          </w:rPr>
                          <w:t>；</w:t>
                        </w: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2</w:t>
                        </w:r>
                        <w:r>
                          <w:rPr>
                            <w:rFonts w:ascii="Calibri" w:hAnsi="Calibri" w:cs="Calibri" w:hint="eastAsia"/>
                            <w:color w:val="FF0000"/>
                            <w:sz w:val="20"/>
                            <w:szCs w:val="20"/>
                          </w:rPr>
                          <w:t>；</w:t>
                        </w: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6</w:t>
                        </w:r>
                      </w:p>
                      <w:p w14:paraId="1495BCFE"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28</w:t>
                        </w:r>
                      </w:p>
                      <w:p w14:paraId="4F800C74"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16</w:t>
                        </w:r>
                      </w:p>
                      <w:p w14:paraId="7E6A901C"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color w:val="FF0000"/>
                            <w:kern w:val="2"/>
                            <w:sz w:val="20"/>
                            <w:szCs w:val="20"/>
                          </w:rPr>
                          <w:t>0.24</w:t>
                        </w:r>
                      </w:p>
                      <w:p w14:paraId="5927776F" w14:textId="77777777" w:rsidR="00217891" w:rsidRPr="00C9603E" w:rsidRDefault="00217891" w:rsidP="001A1CFE">
                        <w:pPr>
                          <w:ind w:firstLineChars="200" w:firstLine="400"/>
                          <w:rPr>
                            <w:rFonts w:ascii="Calibri" w:hAnsi="Calibri"/>
                            <w:color w:val="FF0000"/>
                            <w:sz w:val="20"/>
                            <w:szCs w:val="20"/>
                          </w:rPr>
                        </w:pPr>
                      </w:p>
                    </w:txbxContent>
                  </v:textbox>
                </v:rect>
                <v:rect id="Rectangle 37710" o:spid="_x0000_s1192" style="position:absolute;left:18792;top:152;width:28118;height:9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textbox>
                    <w:txbxContent>
                      <w:p w14:paraId="42954615" w14:textId="77777777" w:rsidR="00217891" w:rsidRDefault="00217891" w:rsidP="001A1CFE">
                        <w:pPr>
                          <w:pStyle w:val="af1"/>
                          <w:ind w:firstLine="403"/>
                          <w:jc w:val="both"/>
                        </w:pPr>
                        <w:r>
                          <w:rPr>
                            <w:rFonts w:ascii="Calibri" w:cs="Calibri" w:hint="eastAsia"/>
                            <w:kern w:val="2"/>
                            <w:sz w:val="20"/>
                            <w:szCs w:val="20"/>
                          </w:rPr>
                          <w:t>回用冷凝液</w:t>
                        </w:r>
                        <w:r>
                          <w:rPr>
                            <w:rFonts w:ascii="Calibri" w:hAnsi="Calibri" w:cs="Calibri"/>
                            <w:kern w:val="2"/>
                            <w:sz w:val="20"/>
                            <w:szCs w:val="20"/>
                          </w:rPr>
                          <w:t>1299.8</w:t>
                        </w:r>
                        <w:r>
                          <w:rPr>
                            <w:rFonts w:ascii="Calibri" w:cs="Calibri" w:hint="eastAsia"/>
                            <w:kern w:val="2"/>
                            <w:sz w:val="20"/>
                            <w:szCs w:val="20"/>
                          </w:rPr>
                          <w:t>（其中水：</w:t>
                        </w:r>
                        <w:r>
                          <w:rPr>
                            <w:rFonts w:ascii="Calibri" w:hAnsi="Calibri" w:cs="Calibri"/>
                            <w:kern w:val="2"/>
                            <w:sz w:val="20"/>
                            <w:szCs w:val="20"/>
                          </w:rPr>
                          <w:t>1292.54</w:t>
                        </w:r>
                        <w:r>
                          <w:rPr>
                            <w:rFonts w:ascii="Calibri" w:cs="Calibri" w:hint="eastAsia"/>
                            <w:kern w:val="2"/>
                            <w:sz w:val="20"/>
                            <w:szCs w:val="20"/>
                          </w:rPr>
                          <w:t>氨：</w:t>
                        </w:r>
                        <w:r>
                          <w:rPr>
                            <w:rFonts w:ascii="Calibri" w:hAnsi="Calibri" w:cs="Calibri"/>
                            <w:kern w:val="2"/>
                            <w:sz w:val="20"/>
                            <w:szCs w:val="20"/>
                          </w:rPr>
                          <w:t>0.03</w:t>
                        </w:r>
                        <w:r>
                          <w:rPr>
                            <w:rFonts w:ascii="Calibri" w:cs="Calibri" w:hint="eastAsia"/>
                            <w:kern w:val="2"/>
                            <w:sz w:val="20"/>
                            <w:szCs w:val="20"/>
                          </w:rPr>
                          <w:t>；己二酸：</w:t>
                        </w:r>
                        <w:r>
                          <w:rPr>
                            <w:rFonts w:ascii="Calibri" w:hAnsi="Calibri" w:cs="Calibri"/>
                            <w:kern w:val="2"/>
                            <w:sz w:val="20"/>
                            <w:szCs w:val="20"/>
                          </w:rPr>
                          <w:t>1.65</w:t>
                        </w:r>
                        <w:r>
                          <w:rPr>
                            <w:rFonts w:ascii="Calibri" w:cs="Calibri" w:hint="eastAsia"/>
                            <w:kern w:val="2"/>
                            <w:sz w:val="20"/>
                            <w:szCs w:val="20"/>
                          </w:rPr>
                          <w:t>；环戊酮：</w:t>
                        </w:r>
                        <w:r>
                          <w:rPr>
                            <w:rFonts w:ascii="Calibri" w:hAnsi="Calibri" w:cs="Calibri"/>
                            <w:kern w:val="2"/>
                            <w:sz w:val="20"/>
                            <w:szCs w:val="20"/>
                          </w:rPr>
                          <w:t>0.18</w:t>
                        </w:r>
                        <w:r>
                          <w:rPr>
                            <w:rFonts w:ascii="Calibri" w:cs="Calibri" w:hint="eastAsia"/>
                            <w:kern w:val="2"/>
                            <w:sz w:val="20"/>
                            <w:szCs w:val="20"/>
                          </w:rPr>
                          <w:t>；</w:t>
                        </w:r>
                        <w:r>
                          <w:rPr>
                            <w:rFonts w:ascii="Calibri" w:cs="Calibri" w:hint="eastAsia"/>
                            <w:sz w:val="20"/>
                            <w:szCs w:val="20"/>
                          </w:rPr>
                          <w:t>环己亚胺：</w:t>
                        </w:r>
                        <w:r>
                          <w:rPr>
                            <w:rFonts w:ascii="Calibri" w:hAnsi="Calibri" w:cs="Calibri"/>
                            <w:sz w:val="20"/>
                            <w:szCs w:val="20"/>
                          </w:rPr>
                          <w:t>0.22</w:t>
                        </w:r>
                        <w:r>
                          <w:rPr>
                            <w:rFonts w:ascii="Calibri" w:cs="Calibri" w:hint="eastAsia"/>
                            <w:kern w:val="2"/>
                            <w:sz w:val="20"/>
                            <w:szCs w:val="20"/>
                          </w:rPr>
                          <w:t>；己二胺</w:t>
                        </w:r>
                        <w:r>
                          <w:rPr>
                            <w:rFonts w:ascii="Calibri" w:hAnsi="Calibri" w:cs="Calibri"/>
                            <w:kern w:val="2"/>
                            <w:sz w:val="20"/>
                            <w:szCs w:val="20"/>
                          </w:rPr>
                          <w:t>1.75</w:t>
                        </w:r>
                        <w:r>
                          <w:rPr>
                            <w:rFonts w:ascii="Calibri" w:hAnsi="Calibri" w:cs="Calibri" w:hint="eastAsia"/>
                            <w:kern w:val="2"/>
                            <w:sz w:val="20"/>
                            <w:szCs w:val="20"/>
                          </w:rPr>
                          <w:t>；</w:t>
                        </w:r>
                        <w:r w:rsidRPr="00E13A8E">
                          <w:rPr>
                            <w:rFonts w:ascii="Calibri" w:hAnsi="Calibri" w:cs="Calibri" w:hint="eastAsia"/>
                            <w:kern w:val="2"/>
                            <w:sz w:val="20"/>
                            <w:szCs w:val="20"/>
                          </w:rPr>
                          <w:t>癸二胺</w:t>
                        </w:r>
                        <w:r>
                          <w:rPr>
                            <w:rFonts w:ascii="Calibri" w:hAnsi="Calibri" w:cs="Calibri" w:hint="eastAsia"/>
                            <w:kern w:val="2"/>
                            <w:sz w:val="20"/>
                            <w:szCs w:val="20"/>
                          </w:rPr>
                          <w:t>：</w:t>
                        </w:r>
                        <w:r>
                          <w:rPr>
                            <w:rFonts w:ascii="Calibri" w:hAnsi="Calibri" w:cs="Calibri" w:hint="eastAsia"/>
                            <w:kern w:val="2"/>
                            <w:sz w:val="20"/>
                            <w:szCs w:val="20"/>
                          </w:rPr>
                          <w:t xml:space="preserve">0.33 </w:t>
                        </w:r>
                        <w:r w:rsidRPr="00E13A8E">
                          <w:rPr>
                            <w:rFonts w:ascii="Calibri" w:hAnsi="Calibri" w:cs="Calibri" w:hint="eastAsia"/>
                            <w:kern w:val="2"/>
                            <w:sz w:val="20"/>
                            <w:szCs w:val="20"/>
                          </w:rPr>
                          <w:t>癸二酸</w:t>
                        </w:r>
                        <w:r>
                          <w:rPr>
                            <w:rFonts w:ascii="Calibri" w:hAnsi="Calibri" w:cs="Calibri" w:hint="eastAsia"/>
                            <w:kern w:val="2"/>
                            <w:sz w:val="20"/>
                            <w:szCs w:val="20"/>
                          </w:rPr>
                          <w:t>：</w:t>
                        </w:r>
                        <w:r>
                          <w:rPr>
                            <w:rFonts w:ascii="Calibri" w:hAnsi="Calibri" w:cs="Calibri" w:hint="eastAsia"/>
                            <w:kern w:val="2"/>
                            <w:sz w:val="20"/>
                            <w:szCs w:val="20"/>
                          </w:rPr>
                          <w:t xml:space="preserve">0.20 </w:t>
                        </w:r>
                        <w:r>
                          <w:rPr>
                            <w:rFonts w:ascii="Calibri" w:hAnsi="Calibri" w:cs="Calibri"/>
                            <w:kern w:val="2"/>
                            <w:sz w:val="20"/>
                            <w:szCs w:val="20"/>
                          </w:rPr>
                          <w:t xml:space="preserve"> </w:t>
                        </w:r>
                        <w:r w:rsidRPr="00E13A8E">
                          <w:rPr>
                            <w:rFonts w:ascii="Calibri" w:cs="Calibri" w:hint="eastAsia"/>
                            <w:kern w:val="2"/>
                            <w:sz w:val="20"/>
                            <w:szCs w:val="20"/>
                          </w:rPr>
                          <w:t>十二内酰胺</w:t>
                        </w:r>
                        <w:r>
                          <w:rPr>
                            <w:rFonts w:ascii="Calibri" w:cs="Calibri" w:hint="eastAsia"/>
                            <w:kern w:val="2"/>
                            <w:sz w:val="20"/>
                            <w:szCs w:val="20"/>
                          </w:rPr>
                          <w:t>：</w:t>
                        </w:r>
                        <w:r>
                          <w:rPr>
                            <w:rFonts w:ascii="Calibri" w:cs="Calibri"/>
                            <w:kern w:val="2"/>
                            <w:sz w:val="20"/>
                            <w:szCs w:val="20"/>
                          </w:rPr>
                          <w:t>2.90</w:t>
                        </w:r>
                        <w:r w:rsidRPr="00E13A8E">
                          <w:rPr>
                            <w:rFonts w:ascii="Calibri" w:cs="Calibri" w:hint="eastAsia"/>
                            <w:kern w:val="2"/>
                            <w:sz w:val="20"/>
                            <w:szCs w:val="20"/>
                          </w:rPr>
                          <w:t>）</w:t>
                        </w:r>
                      </w:p>
                    </w:txbxContent>
                  </v:textbox>
                </v:rect>
                <v:rect id="_x0000_s1193" style="position:absolute;left:45110;top:45034;width:16002;height:19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" filled="f" fillcolor="#eaf1dd" stroked="f">
                  <v:textbox>
                    <w:txbxContent>
                      <w:p w14:paraId="069BDB68" w14:textId="77777777" w:rsidR="00217891" w:rsidRPr="001B4635" w:rsidRDefault="00217891" w:rsidP="001A1CFE">
                        <w:pPr>
                          <w:pStyle w:val="af1"/>
                          <w:ind w:firstLine="403"/>
                          <w:jc w:val="both"/>
                          <w:rPr>
                            <w:color w:val="FF0000"/>
                          </w:rPr>
                        </w:pPr>
                        <w:r w:rsidRPr="001B4635">
                          <w:rPr>
                            <w:rFonts w:ascii="Calibri" w:cs="Calibri" w:hint="eastAsia"/>
                            <w:color w:val="FF0000"/>
                            <w:kern w:val="2"/>
                            <w:sz w:val="20"/>
                            <w:szCs w:val="20"/>
                          </w:rPr>
                          <w:t>废水</w:t>
                        </w:r>
                        <w:r>
                          <w:rPr>
                            <w:rFonts w:ascii="Calibri" w:cs="Calibri" w:hint="eastAsia"/>
                            <w:color w:val="FF0000"/>
                            <w:kern w:val="2"/>
                            <w:sz w:val="20"/>
                            <w:szCs w:val="20"/>
                          </w:rPr>
                          <w:t>:</w:t>
                        </w:r>
                        <w:r>
                          <w:rPr>
                            <w:rFonts w:ascii="Calibri" w:cs="Calibri"/>
                            <w:color w:val="FF0000"/>
                            <w:kern w:val="2"/>
                            <w:sz w:val="20"/>
                            <w:szCs w:val="20"/>
                          </w:rPr>
                          <w:t>686.764</w:t>
                        </w:r>
                      </w:p>
                      <w:p w14:paraId="243CD70F" w14:textId="77777777" w:rsidR="00217891" w:rsidRPr="001B4635" w:rsidRDefault="00217891" w:rsidP="001A1CFE">
                        <w:pPr>
                          <w:pStyle w:val="af1"/>
                          <w:ind w:left="403" w:hanging="403"/>
                          <w:jc w:val="both"/>
                          <w:rPr>
                            <w:color w:val="FF0000"/>
                          </w:rPr>
                        </w:pPr>
                        <w:r w:rsidRPr="001B4635">
                          <w:rPr>
                            <w:rFonts w:ascii="Calibri" w:cs="Calibri" w:hint="eastAsia"/>
                            <w:color w:val="FF0000"/>
                            <w:kern w:val="2"/>
                            <w:sz w:val="20"/>
                            <w:szCs w:val="20"/>
                          </w:rPr>
                          <w:t>其中水：</w:t>
                        </w:r>
                        <w:r>
                          <w:rPr>
                            <w:rFonts w:ascii="Calibri" w:hAnsi="Calibri" w:cs="Calibri"/>
                            <w:color w:val="FF0000"/>
                            <w:kern w:val="2"/>
                            <w:sz w:val="20"/>
                            <w:szCs w:val="20"/>
                          </w:rPr>
                          <w:t>684.77</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己二胺：</w:t>
                        </w:r>
                        <w:r>
                          <w:rPr>
                            <w:rFonts w:ascii="Calibri" w:hAnsi="Calibri" w:cs="Calibri"/>
                            <w:color w:val="FF0000"/>
                            <w:kern w:val="2"/>
                            <w:sz w:val="20"/>
                            <w:szCs w:val="20"/>
                          </w:rPr>
                          <w:t>1.31</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sidRPr="001B4635">
                          <w:rPr>
                            <w:rFonts w:ascii="Calibri" w:hAnsi="Calibri" w:cs="Calibri"/>
                            <w:color w:val="FF0000"/>
                            <w:kern w:val="2"/>
                            <w:sz w:val="20"/>
                            <w:szCs w:val="20"/>
                          </w:rPr>
                          <w:t>0.</w:t>
                        </w:r>
                        <w:r>
                          <w:rPr>
                            <w:rFonts w:ascii="Calibri" w:hAnsi="Calibri" w:cs="Calibri"/>
                            <w:color w:val="FF0000"/>
                            <w:kern w:val="2"/>
                            <w:sz w:val="20"/>
                            <w:szCs w:val="20"/>
                          </w:rPr>
                          <w:t>20</w:t>
                        </w:r>
                      </w:p>
                      <w:p w14:paraId="4D132FB8" w14:textId="77777777" w:rsidR="00217891" w:rsidRPr="001B4635" w:rsidRDefault="00217891" w:rsidP="001A1CFE">
                        <w:pPr>
                          <w:pStyle w:val="af1"/>
                          <w:ind w:left="403" w:hanging="403"/>
                          <w:jc w:val="both"/>
                          <w:rPr>
                            <w:color w:val="FF0000"/>
                          </w:rPr>
                        </w:pP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24</w:t>
                        </w:r>
                      </w:p>
                      <w:p w14:paraId="741A7471" w14:textId="77777777" w:rsidR="00217891" w:rsidRPr="001B4635" w:rsidRDefault="00217891" w:rsidP="001A1CFE">
                        <w:pPr>
                          <w:pStyle w:val="af1"/>
                          <w:ind w:left="403" w:hanging="403"/>
                          <w:jc w:val="both"/>
                          <w:rPr>
                            <w:color w:val="FF0000"/>
                          </w:rPr>
                        </w:pP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3</w:t>
                        </w:r>
                      </w:p>
                      <w:p w14:paraId="35F201A5" w14:textId="77777777" w:rsidR="00217891" w:rsidRDefault="00217891" w:rsidP="001A1CFE">
                        <w:pPr>
                          <w:pStyle w:val="af1"/>
                          <w:jc w:val="both"/>
                          <w:rPr>
                            <w:rFonts w:ascii="Calibri" w:hAnsi="Calibri" w:cs="Calibri"/>
                            <w:color w:val="FF0000"/>
                            <w:kern w:val="2"/>
                            <w:sz w:val="20"/>
                            <w:szCs w:val="20"/>
                          </w:rPr>
                        </w:pP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4</w:t>
                        </w:r>
                      </w:p>
                      <w:p w14:paraId="2035F4AE"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0.042</w:t>
                        </w:r>
                      </w:p>
                      <w:p w14:paraId="50F8739A"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0.024</w:t>
                        </w:r>
                      </w:p>
                      <w:p w14:paraId="6677C438" w14:textId="77777777" w:rsidR="00217891" w:rsidRPr="00C9603E" w:rsidRDefault="00217891" w:rsidP="001A1CFE">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hint="eastAsia"/>
                            <w:color w:val="FF0000"/>
                            <w:kern w:val="2"/>
                            <w:sz w:val="20"/>
                            <w:szCs w:val="20"/>
                          </w:rPr>
                          <w:t>0.36</w:t>
                        </w:r>
                      </w:p>
                    </w:txbxContent>
                  </v:textbox>
                </v:rect>
                <w10:wrap anchorx="margin"/>
              </v:group>
            </w:pict>
          </mc:Fallback>
        </mc:AlternateContent>
      </w:r>
    </w:p>
    <w:p w14:paraId="12C8FD01" w14:textId="77777777" w:rsidR="002015D7" w:rsidRDefault="002015D7" w:rsidP="002015D7">
      <w:pPr>
        <w:spacing w:line="500" w:lineRule="exact"/>
        <w:rPr>
          <w:rFonts w:asciiTheme="minorHAnsi" w:eastAsiaTheme="minorEastAsia" w:hAnsiTheme="minorHAnsi" w:cstheme="minorHAnsi"/>
          <w:b/>
          <w:color w:val="auto"/>
          <w:sz w:val="24"/>
        </w:rPr>
      </w:pPr>
    </w:p>
    <w:p w14:paraId="439ED366"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3F20C732"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6786AC84"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34953E9D"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5C8FCDC6"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13D5FC60"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133FA161"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0B1ECA0D"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373A16F6"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4A8FA4B9"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03AF2062"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7079F48A"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11A74108"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58767CCA"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549E23A7"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51CAA871"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66ACCAAB" w14:textId="77777777" w:rsidR="002015D7" w:rsidRDefault="009D596E" w:rsidP="00EE4B9C">
      <w:pPr>
        <w:spacing w:line="500" w:lineRule="exact"/>
        <w:ind w:firstLineChars="200" w:firstLine="482"/>
        <w:rPr>
          <w:rFonts w:asciiTheme="minorHAnsi" w:eastAsiaTheme="minorEastAsia" w:hAnsiTheme="minorHAnsi" w:cstheme="minorHAnsi"/>
          <w:b/>
          <w:color w:val="auto"/>
          <w:sz w:val="24"/>
        </w:rPr>
      </w:pPr>
      <w:r>
        <w:rPr>
          <w:rFonts w:asciiTheme="minorHAnsi" w:eastAsiaTheme="minorEastAsia" w:hAnsiTheme="minorHAnsi" w:cstheme="minorHAnsi"/>
          <w:b/>
          <w:noProof/>
          <w:color w:val="auto"/>
          <w:sz w:val="24"/>
        </w:rPr>
        <mc:AlternateContent>
          <mc:Choice Requires="wps">
            <w:drawing>
              <wp:anchor distT="0" distB="0" distL="114300" distR="114300" simplePos="0" relativeHeight="253702656" behindDoc="0" locked="0" layoutInCell="1" allowOverlap="1" wp14:anchorId="2C893E72" wp14:editId="282D715C">
                <wp:simplePos x="0" y="0"/>
                <wp:positionH relativeFrom="margin">
                  <wp:posOffset>7320280</wp:posOffset>
                </wp:positionH>
                <wp:positionV relativeFrom="paragraph">
                  <wp:posOffset>279400</wp:posOffset>
                </wp:positionV>
                <wp:extent cx="1195070" cy="1318260"/>
                <wp:effectExtent l="0" t="0" r="0" b="0"/>
                <wp:wrapNone/>
                <wp:docPr id="27138" name="Rectangle 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131826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A192B" w14:textId="77777777" w:rsidR="00217891" w:rsidRPr="00E547F9" w:rsidRDefault="00217891" w:rsidP="002015D7">
                            <w:pPr>
                              <w:ind w:firstLineChars="200" w:firstLine="400"/>
                              <w:rPr>
                                <w:rFonts w:asciiTheme="minorHAnsi" w:hAnsiTheme="minorHAnsi"/>
                                <w:sz w:val="20"/>
                                <w:szCs w:val="20"/>
                              </w:rPr>
                            </w:pPr>
                            <w:r w:rsidRPr="00E547F9">
                              <w:rPr>
                                <w:rFonts w:asciiTheme="minorHAnsi" w:hAnsiTheme="minorHAnsi" w:hint="eastAsia"/>
                                <w:sz w:val="20"/>
                                <w:szCs w:val="20"/>
                              </w:rPr>
                              <w:t>废水</w:t>
                            </w:r>
                            <w:r w:rsidRPr="00E547F9">
                              <w:rPr>
                                <w:rFonts w:asciiTheme="minorHAnsi" w:hAnsiTheme="minorHAnsi"/>
                                <w:sz w:val="20"/>
                                <w:szCs w:val="20"/>
                              </w:rPr>
                              <w:t>1397.25</w:t>
                            </w:r>
                          </w:p>
                          <w:p w14:paraId="70D4554B"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其中</w:t>
                            </w:r>
                            <w:r w:rsidRPr="00E547F9">
                              <w:rPr>
                                <w:rFonts w:asciiTheme="minorHAnsi" w:hAnsiTheme="minorHAnsi"/>
                                <w:sz w:val="20"/>
                                <w:szCs w:val="20"/>
                              </w:rPr>
                              <w:t>水：</w:t>
                            </w:r>
                            <w:r w:rsidRPr="00E547F9">
                              <w:rPr>
                                <w:rFonts w:asciiTheme="minorHAnsi" w:hAnsiTheme="minorHAnsi" w:hint="eastAsia"/>
                                <w:sz w:val="20"/>
                                <w:szCs w:val="20"/>
                              </w:rPr>
                              <w:t>1397.04</w:t>
                            </w:r>
                          </w:p>
                          <w:p w14:paraId="1CD913D0"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己二胺</w:t>
                            </w:r>
                            <w:r w:rsidRPr="00E547F9">
                              <w:rPr>
                                <w:rFonts w:asciiTheme="minorHAnsi" w:hAnsiTheme="minorHAnsi"/>
                                <w:sz w:val="20"/>
                                <w:szCs w:val="20"/>
                              </w:rPr>
                              <w:t>：</w:t>
                            </w:r>
                            <w:r w:rsidRPr="00E547F9">
                              <w:rPr>
                                <w:rFonts w:asciiTheme="minorHAnsi" w:hAnsiTheme="minorHAnsi" w:hint="eastAsia"/>
                                <w:sz w:val="20"/>
                                <w:szCs w:val="20"/>
                              </w:rPr>
                              <w:t>0.165</w:t>
                            </w:r>
                          </w:p>
                          <w:p w14:paraId="4ED9C5E3"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己二酸</w:t>
                            </w:r>
                            <w:r w:rsidRPr="00E547F9">
                              <w:rPr>
                                <w:rFonts w:asciiTheme="minorHAnsi" w:hAnsiTheme="minorHAnsi"/>
                                <w:sz w:val="20"/>
                                <w:szCs w:val="20"/>
                              </w:rPr>
                              <w:t>：</w:t>
                            </w:r>
                            <w:r w:rsidRPr="00E547F9">
                              <w:rPr>
                                <w:rFonts w:asciiTheme="minorHAnsi" w:hAnsiTheme="minorHAnsi" w:hint="eastAsia"/>
                                <w:sz w:val="20"/>
                                <w:szCs w:val="20"/>
                              </w:rPr>
                              <w:t>0.024</w:t>
                            </w:r>
                          </w:p>
                          <w:p w14:paraId="13897F91"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环戊酮</w:t>
                            </w:r>
                            <w:r w:rsidRPr="00E547F9">
                              <w:rPr>
                                <w:rFonts w:asciiTheme="minorHAnsi" w:hAnsiTheme="minorHAnsi"/>
                                <w:sz w:val="20"/>
                                <w:szCs w:val="20"/>
                              </w:rPr>
                              <w:t>：</w:t>
                            </w:r>
                            <w:r w:rsidRPr="00E547F9">
                              <w:rPr>
                                <w:rFonts w:asciiTheme="minorHAnsi" w:hAnsiTheme="minorHAnsi" w:hint="eastAsia"/>
                                <w:sz w:val="20"/>
                                <w:szCs w:val="20"/>
                              </w:rPr>
                              <w:t>0.012</w:t>
                            </w:r>
                          </w:p>
                          <w:p w14:paraId="1CEF98F2" w14:textId="77777777" w:rsidR="00217891" w:rsidRPr="00E547F9" w:rsidRDefault="00217891" w:rsidP="00FB71B3">
                            <w:pPr>
                              <w:ind w:left="400" w:hangingChars="200" w:hanging="400"/>
                              <w:rPr>
                                <w:rFonts w:asciiTheme="minorHAnsi" w:hAnsiTheme="minorHAnsi"/>
                                <w:sz w:val="20"/>
                                <w:szCs w:val="20"/>
                              </w:rPr>
                            </w:pPr>
                            <w:r w:rsidRPr="00E547F9">
                              <w:rPr>
                                <w:rFonts w:ascii="Calibri" w:hAnsi="Calibri" w:hint="eastAsia"/>
                                <w:color w:val="auto"/>
                                <w:kern w:val="0"/>
                                <w:sz w:val="20"/>
                                <w:szCs w:val="20"/>
                              </w:rPr>
                              <w:t>环己亚胺：</w:t>
                            </w:r>
                            <w:r w:rsidRPr="00E547F9">
                              <w:rPr>
                                <w:rFonts w:ascii="Calibri" w:hAnsi="Calibri" w:hint="eastAsia"/>
                                <w:color w:val="auto"/>
                                <w:kern w:val="0"/>
                                <w:sz w:val="20"/>
                                <w:szCs w:val="20"/>
                              </w:rPr>
                              <w:t>0.012</w:t>
                            </w:r>
                          </w:p>
                          <w:p w14:paraId="2ECB4964" w14:textId="77777777" w:rsidR="00217891" w:rsidRPr="00632D0E" w:rsidRDefault="00217891" w:rsidP="00F74B17">
                            <w:pPr>
                              <w:rPr>
                                <w:rFonts w:asciiTheme="minorHAnsi" w:hAnsiTheme="minorHAnsi"/>
                                <w:sz w:val="20"/>
                                <w:szCs w:val="20"/>
                              </w:rPr>
                            </w:pPr>
                            <w:r w:rsidRPr="00632D0E">
                              <w:rPr>
                                <w:rFonts w:asciiTheme="minorHAnsi" w:hAnsiTheme="minorHAnsi" w:hint="eastAsia"/>
                                <w:sz w:val="20"/>
                                <w:szCs w:val="20"/>
                              </w:rPr>
                              <w:t>氨</w:t>
                            </w:r>
                            <w:r w:rsidRPr="00632D0E">
                              <w:rPr>
                                <w:rFonts w:asciiTheme="minorHAnsi" w:hAnsiTheme="minorHAnsi"/>
                                <w:sz w:val="20"/>
                                <w:szCs w:val="20"/>
                              </w:rPr>
                              <w:t>：</w:t>
                            </w:r>
                            <w:r>
                              <w:rPr>
                                <w:rFonts w:asciiTheme="minorHAnsi" w:hAnsiTheme="minorHAnsi" w:hint="eastAsia"/>
                                <w:sz w:val="20"/>
                                <w:szCs w:val="20"/>
                              </w:rPr>
                              <w:t>0.0</w:t>
                            </w:r>
                            <w:r>
                              <w:rPr>
                                <w:rFonts w:asciiTheme="minorHAnsi" w:hAnsiTheme="minorHAnsi"/>
                                <w:sz w:val="20"/>
                                <w:szCs w:val="20"/>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93E72" id="Rectangle 37685" o:spid="_x0000_s1194" style="position:absolute;left:0;text-align:left;margin-left:576.4pt;margin-top:22pt;width:94.1pt;height:103.8pt;z-index:2537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" filled="f" fillcolor="#eaf1dd" stroked="f">
                <v:textbox>
                  <w:txbxContent>
                    <w:p w14:paraId="35EA192B" w14:textId="77777777" w:rsidR="00217891" w:rsidRPr="00E547F9" w:rsidRDefault="00217891" w:rsidP="002015D7">
                      <w:pPr>
                        <w:ind w:firstLineChars="200" w:firstLine="400"/>
                        <w:rPr>
                          <w:rFonts w:asciiTheme="minorHAnsi" w:hAnsiTheme="minorHAnsi"/>
                          <w:sz w:val="20"/>
                          <w:szCs w:val="20"/>
                        </w:rPr>
                      </w:pPr>
                      <w:r w:rsidRPr="00E547F9">
                        <w:rPr>
                          <w:rFonts w:asciiTheme="minorHAnsi" w:hAnsiTheme="minorHAnsi" w:hint="eastAsia"/>
                          <w:sz w:val="20"/>
                          <w:szCs w:val="20"/>
                        </w:rPr>
                        <w:t>废水</w:t>
                      </w:r>
                      <w:r w:rsidRPr="00E547F9">
                        <w:rPr>
                          <w:rFonts w:asciiTheme="minorHAnsi" w:hAnsiTheme="minorHAnsi"/>
                          <w:sz w:val="20"/>
                          <w:szCs w:val="20"/>
                        </w:rPr>
                        <w:t>1397.25</w:t>
                      </w:r>
                    </w:p>
                    <w:p w14:paraId="70D4554B"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其中</w:t>
                      </w:r>
                      <w:r w:rsidRPr="00E547F9">
                        <w:rPr>
                          <w:rFonts w:asciiTheme="minorHAnsi" w:hAnsiTheme="minorHAnsi"/>
                          <w:sz w:val="20"/>
                          <w:szCs w:val="20"/>
                        </w:rPr>
                        <w:t>水：</w:t>
                      </w:r>
                      <w:r w:rsidRPr="00E547F9">
                        <w:rPr>
                          <w:rFonts w:asciiTheme="minorHAnsi" w:hAnsiTheme="minorHAnsi" w:hint="eastAsia"/>
                          <w:sz w:val="20"/>
                          <w:szCs w:val="20"/>
                        </w:rPr>
                        <w:t>1397.04</w:t>
                      </w:r>
                    </w:p>
                    <w:p w14:paraId="1CD913D0"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己二胺</w:t>
                      </w:r>
                      <w:r w:rsidRPr="00E547F9">
                        <w:rPr>
                          <w:rFonts w:asciiTheme="minorHAnsi" w:hAnsiTheme="minorHAnsi"/>
                          <w:sz w:val="20"/>
                          <w:szCs w:val="20"/>
                        </w:rPr>
                        <w:t>：</w:t>
                      </w:r>
                      <w:r w:rsidRPr="00E547F9">
                        <w:rPr>
                          <w:rFonts w:asciiTheme="minorHAnsi" w:hAnsiTheme="minorHAnsi" w:hint="eastAsia"/>
                          <w:sz w:val="20"/>
                          <w:szCs w:val="20"/>
                        </w:rPr>
                        <w:t>0.165</w:t>
                      </w:r>
                    </w:p>
                    <w:p w14:paraId="4ED9C5E3"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己二酸</w:t>
                      </w:r>
                      <w:r w:rsidRPr="00E547F9">
                        <w:rPr>
                          <w:rFonts w:asciiTheme="minorHAnsi" w:hAnsiTheme="minorHAnsi"/>
                          <w:sz w:val="20"/>
                          <w:szCs w:val="20"/>
                        </w:rPr>
                        <w:t>：</w:t>
                      </w:r>
                      <w:r w:rsidRPr="00E547F9">
                        <w:rPr>
                          <w:rFonts w:asciiTheme="minorHAnsi" w:hAnsiTheme="minorHAnsi" w:hint="eastAsia"/>
                          <w:sz w:val="20"/>
                          <w:szCs w:val="20"/>
                        </w:rPr>
                        <w:t>0.024</w:t>
                      </w:r>
                    </w:p>
                    <w:p w14:paraId="13897F91" w14:textId="77777777" w:rsidR="00217891" w:rsidRPr="00E547F9" w:rsidRDefault="00217891" w:rsidP="00FB71B3">
                      <w:pPr>
                        <w:ind w:left="400" w:hangingChars="200" w:hanging="400"/>
                        <w:rPr>
                          <w:rFonts w:asciiTheme="minorHAnsi" w:hAnsiTheme="minorHAnsi"/>
                          <w:sz w:val="20"/>
                          <w:szCs w:val="20"/>
                        </w:rPr>
                      </w:pPr>
                      <w:r w:rsidRPr="00E547F9">
                        <w:rPr>
                          <w:rFonts w:asciiTheme="minorHAnsi" w:hAnsiTheme="minorHAnsi" w:hint="eastAsia"/>
                          <w:sz w:val="20"/>
                          <w:szCs w:val="20"/>
                        </w:rPr>
                        <w:t>环戊酮</w:t>
                      </w:r>
                      <w:r w:rsidRPr="00E547F9">
                        <w:rPr>
                          <w:rFonts w:asciiTheme="minorHAnsi" w:hAnsiTheme="minorHAnsi"/>
                          <w:sz w:val="20"/>
                          <w:szCs w:val="20"/>
                        </w:rPr>
                        <w:t>：</w:t>
                      </w:r>
                      <w:r w:rsidRPr="00E547F9">
                        <w:rPr>
                          <w:rFonts w:asciiTheme="minorHAnsi" w:hAnsiTheme="minorHAnsi" w:hint="eastAsia"/>
                          <w:sz w:val="20"/>
                          <w:szCs w:val="20"/>
                        </w:rPr>
                        <w:t>0.012</w:t>
                      </w:r>
                    </w:p>
                    <w:p w14:paraId="1CEF98F2" w14:textId="77777777" w:rsidR="00217891" w:rsidRPr="00E547F9" w:rsidRDefault="00217891" w:rsidP="00FB71B3">
                      <w:pPr>
                        <w:ind w:left="400" w:hangingChars="200" w:hanging="400"/>
                        <w:rPr>
                          <w:rFonts w:asciiTheme="minorHAnsi" w:hAnsiTheme="minorHAnsi"/>
                          <w:sz w:val="20"/>
                          <w:szCs w:val="20"/>
                        </w:rPr>
                      </w:pPr>
                      <w:r w:rsidRPr="00E547F9">
                        <w:rPr>
                          <w:rFonts w:ascii="Calibri" w:hAnsi="Calibri" w:hint="eastAsia"/>
                          <w:color w:val="auto"/>
                          <w:kern w:val="0"/>
                          <w:sz w:val="20"/>
                          <w:szCs w:val="20"/>
                        </w:rPr>
                        <w:t>环己亚胺：</w:t>
                      </w:r>
                      <w:r w:rsidRPr="00E547F9">
                        <w:rPr>
                          <w:rFonts w:ascii="Calibri" w:hAnsi="Calibri" w:hint="eastAsia"/>
                          <w:color w:val="auto"/>
                          <w:kern w:val="0"/>
                          <w:sz w:val="20"/>
                          <w:szCs w:val="20"/>
                        </w:rPr>
                        <w:t>0.012</w:t>
                      </w:r>
                    </w:p>
                    <w:p w14:paraId="2ECB4964" w14:textId="77777777" w:rsidR="00217891" w:rsidRPr="00632D0E" w:rsidRDefault="00217891" w:rsidP="00F74B17">
                      <w:pPr>
                        <w:rPr>
                          <w:rFonts w:asciiTheme="minorHAnsi" w:hAnsiTheme="minorHAnsi"/>
                          <w:sz w:val="20"/>
                          <w:szCs w:val="20"/>
                        </w:rPr>
                      </w:pPr>
                      <w:r w:rsidRPr="00632D0E">
                        <w:rPr>
                          <w:rFonts w:asciiTheme="minorHAnsi" w:hAnsiTheme="minorHAnsi" w:hint="eastAsia"/>
                          <w:sz w:val="20"/>
                          <w:szCs w:val="20"/>
                        </w:rPr>
                        <w:t>氨</w:t>
                      </w:r>
                      <w:r w:rsidRPr="00632D0E">
                        <w:rPr>
                          <w:rFonts w:asciiTheme="minorHAnsi" w:hAnsiTheme="minorHAnsi"/>
                          <w:sz w:val="20"/>
                          <w:szCs w:val="20"/>
                        </w:rPr>
                        <w:t>：</w:t>
                      </w:r>
                      <w:r>
                        <w:rPr>
                          <w:rFonts w:asciiTheme="minorHAnsi" w:hAnsiTheme="minorHAnsi" w:hint="eastAsia"/>
                          <w:sz w:val="20"/>
                          <w:szCs w:val="20"/>
                        </w:rPr>
                        <w:t>0.0</w:t>
                      </w:r>
                      <w:r>
                        <w:rPr>
                          <w:rFonts w:asciiTheme="minorHAnsi" w:hAnsiTheme="minorHAnsi"/>
                          <w:sz w:val="20"/>
                          <w:szCs w:val="20"/>
                        </w:rPr>
                        <w:t>04</w:t>
                      </w:r>
                    </w:p>
                  </w:txbxContent>
                </v:textbox>
                <w10:wrap anchorx="margin"/>
              </v:rect>
            </w:pict>
          </mc:Fallback>
        </mc:AlternateContent>
      </w:r>
    </w:p>
    <w:p w14:paraId="0DE7F73D"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17048EF8"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24ED6F3A"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43D0C136"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3A9116D9"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6B2661B0" w14:textId="77777777" w:rsidR="002015D7" w:rsidRDefault="002015D7" w:rsidP="00EE4B9C">
      <w:pPr>
        <w:spacing w:line="500" w:lineRule="exact"/>
        <w:ind w:firstLineChars="200" w:firstLine="482"/>
        <w:rPr>
          <w:rFonts w:asciiTheme="minorHAnsi" w:eastAsiaTheme="minorEastAsia" w:hAnsiTheme="minorHAnsi" w:cstheme="minorHAnsi"/>
          <w:b/>
          <w:color w:val="auto"/>
          <w:sz w:val="24"/>
        </w:rPr>
      </w:pPr>
    </w:p>
    <w:p w14:paraId="3A7E9B7E" w14:textId="77777777" w:rsidR="00031627" w:rsidRDefault="00031627" w:rsidP="00EE4B9C">
      <w:pPr>
        <w:spacing w:line="500" w:lineRule="exact"/>
        <w:ind w:firstLineChars="200" w:firstLine="482"/>
        <w:rPr>
          <w:rFonts w:asciiTheme="minorHAnsi" w:eastAsiaTheme="minorEastAsia" w:hAnsiTheme="minorHAnsi" w:cstheme="minorHAnsi"/>
          <w:b/>
          <w:color w:val="auto"/>
          <w:sz w:val="24"/>
        </w:rPr>
      </w:pPr>
    </w:p>
    <w:p w14:paraId="262002AC" w14:textId="77777777" w:rsidR="00290094" w:rsidRPr="002B2BE7" w:rsidRDefault="0056677B" w:rsidP="002B2BE7">
      <w:pPr>
        <w:spacing w:line="500" w:lineRule="exact"/>
        <w:rPr>
          <w:rFonts w:asciiTheme="minorHAnsi" w:eastAsiaTheme="minorEastAsia" w:hAnsiTheme="minorHAnsi" w:cstheme="minorHAnsi"/>
          <w:b/>
          <w:color w:val="auto"/>
          <w:sz w:val="24"/>
        </w:rPr>
      </w:pPr>
      <w:r>
        <w:rPr>
          <w:rFonts w:asciiTheme="minorHAnsi" w:eastAsiaTheme="minorEastAsia" w:hAnsiTheme="minorHAnsi" w:cstheme="minorHAnsi"/>
          <w:b/>
          <w:noProof/>
          <w:color w:val="auto"/>
          <w:sz w:val="24"/>
        </w:rPr>
        <mc:AlternateContent>
          <mc:Choice Requires="wps">
            <w:drawing>
              <wp:anchor distT="0" distB="0" distL="114300" distR="114300" simplePos="0" relativeHeight="253610496" behindDoc="0" locked="0" layoutInCell="1" allowOverlap="1" wp14:anchorId="72629702" wp14:editId="4B481798">
                <wp:simplePos x="0" y="0"/>
                <wp:positionH relativeFrom="margin">
                  <wp:align>center</wp:align>
                </wp:positionH>
                <wp:positionV relativeFrom="paragraph">
                  <wp:posOffset>7620</wp:posOffset>
                </wp:positionV>
                <wp:extent cx="4191000" cy="518160"/>
                <wp:effectExtent l="0" t="0" r="0" b="0"/>
                <wp:wrapNone/>
                <wp:docPr id="37761" name="Text Box 37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71E73" w14:textId="77777777" w:rsidR="00217891" w:rsidRPr="00A86586" w:rsidRDefault="00217891">
                            <w:pPr>
                              <w:rPr>
                                <w:u w:val="single"/>
                              </w:rPr>
                            </w:pPr>
                            <w:r w:rsidRPr="00A86586">
                              <w:rPr>
                                <w:rFonts w:ascii="Calibri" w:eastAsia="黑体" w:hAnsi="Calibri" w:hint="eastAsia"/>
                                <w:color w:val="auto"/>
                                <w:sz w:val="24"/>
                                <w:u w:val="single"/>
                              </w:rPr>
                              <w:t>图</w:t>
                            </w:r>
                            <w:r w:rsidRPr="00A86586">
                              <w:rPr>
                                <w:rFonts w:ascii="Calibri" w:eastAsia="黑体" w:hAnsi="Calibri" w:hint="eastAsia"/>
                                <w:color w:val="auto"/>
                                <w:sz w:val="24"/>
                                <w:u w:val="single"/>
                              </w:rPr>
                              <w:t xml:space="preserve">2.2-2   </w:t>
                            </w:r>
                            <w:r w:rsidRPr="00A86586">
                              <w:rPr>
                                <w:rFonts w:hint="eastAsia"/>
                                <w:u w:val="single"/>
                              </w:rPr>
                              <w:t xml:space="preserve">  </w:t>
                            </w:r>
                            <w:r w:rsidRPr="00A86586">
                              <w:rPr>
                                <w:rFonts w:ascii="Calibri" w:eastAsia="黑体" w:hAnsi="Calibri" w:hint="eastAsia"/>
                                <w:color w:val="auto"/>
                                <w:sz w:val="24"/>
                                <w:u w:val="single"/>
                              </w:rPr>
                              <w:t>透明尼龙切片一期生产工艺物料</w:t>
                            </w:r>
                            <w:r w:rsidRPr="00A86586">
                              <w:rPr>
                                <w:rFonts w:ascii="Calibri" w:eastAsia="黑体" w:hAnsi="Calibri"/>
                                <w:color w:val="auto"/>
                                <w:sz w:val="24"/>
                                <w:u w:val="single"/>
                              </w:rPr>
                              <w:t>平衡</w:t>
                            </w:r>
                            <w:r w:rsidRPr="00A86586">
                              <w:rPr>
                                <w:rFonts w:ascii="Calibri" w:eastAsia="黑体" w:hAnsi="Calibri" w:hint="eastAsia"/>
                                <w:color w:val="auto"/>
                                <w:sz w:val="24"/>
                                <w:u w:val="single"/>
                              </w:rPr>
                              <w:t>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9702" id="Text Box 37759" o:spid="_x0000_s1195" type="#_x0000_t202" style="position:absolute;left:0;text-align:left;margin-left:0;margin-top:.6pt;width:330pt;height:40.8pt;z-index:25361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" filled="f" stroked="f">
                <v:textbox>
                  <w:txbxContent>
                    <w:p w14:paraId="5E671E73" w14:textId="77777777" w:rsidR="00217891" w:rsidRPr="00A86586" w:rsidRDefault="00217891">
                      <w:pPr>
                        <w:rPr>
                          <w:u w:val="single"/>
                        </w:rPr>
                      </w:pPr>
                      <w:r w:rsidRPr="00A86586">
                        <w:rPr>
                          <w:rFonts w:ascii="Calibri" w:eastAsia="黑体" w:hAnsi="Calibri" w:hint="eastAsia"/>
                          <w:color w:val="auto"/>
                          <w:sz w:val="24"/>
                          <w:u w:val="single"/>
                        </w:rPr>
                        <w:t>图</w:t>
                      </w:r>
                      <w:r w:rsidRPr="00A86586">
                        <w:rPr>
                          <w:rFonts w:ascii="Calibri" w:eastAsia="黑体" w:hAnsi="Calibri" w:hint="eastAsia"/>
                          <w:color w:val="auto"/>
                          <w:sz w:val="24"/>
                          <w:u w:val="single"/>
                        </w:rPr>
                        <w:t xml:space="preserve">2.2-2   </w:t>
                      </w:r>
                      <w:r w:rsidRPr="00A86586">
                        <w:rPr>
                          <w:rFonts w:hint="eastAsia"/>
                          <w:u w:val="single"/>
                        </w:rPr>
                        <w:t xml:space="preserve">  </w:t>
                      </w:r>
                      <w:r w:rsidRPr="00A86586">
                        <w:rPr>
                          <w:rFonts w:ascii="Calibri" w:eastAsia="黑体" w:hAnsi="Calibri" w:hint="eastAsia"/>
                          <w:color w:val="auto"/>
                          <w:sz w:val="24"/>
                          <w:u w:val="single"/>
                        </w:rPr>
                        <w:t>透明尼龙切片一期生产工艺物料</w:t>
                      </w:r>
                      <w:r w:rsidRPr="00A86586">
                        <w:rPr>
                          <w:rFonts w:ascii="Calibri" w:eastAsia="黑体" w:hAnsi="Calibri"/>
                          <w:color w:val="auto"/>
                          <w:sz w:val="24"/>
                          <w:u w:val="single"/>
                        </w:rPr>
                        <w:t>平衡</w:t>
                      </w:r>
                      <w:r w:rsidRPr="00A86586">
                        <w:rPr>
                          <w:rFonts w:ascii="Calibri" w:eastAsia="黑体" w:hAnsi="Calibri" w:hint="eastAsia"/>
                          <w:color w:val="auto"/>
                          <w:sz w:val="24"/>
                          <w:u w:val="single"/>
                        </w:rPr>
                        <w:t>图</w:t>
                      </w:r>
                    </w:p>
                  </w:txbxContent>
                </v:textbox>
                <w10:wrap anchorx="margin"/>
              </v:shape>
            </w:pict>
          </mc:Fallback>
        </mc:AlternateContent>
      </w:r>
    </w:p>
    <w:p w14:paraId="3513486B" w14:textId="77777777" w:rsidR="00B10481" w:rsidRDefault="00B10481" w:rsidP="00B10481">
      <w:pPr>
        <w:spacing w:line="520" w:lineRule="exact"/>
        <w:ind w:firstLineChars="200" w:firstLine="480"/>
        <w:rPr>
          <w:rFonts w:ascii="Calibri" w:hAnsi="Calibri"/>
          <w:color w:val="auto"/>
          <w:sz w:val="24"/>
        </w:rPr>
      </w:pPr>
      <w:r>
        <w:rPr>
          <w:rFonts w:ascii="Calibri" w:hAnsi="Calibri" w:hint="eastAsia"/>
          <w:color w:val="auto"/>
          <w:sz w:val="24"/>
        </w:rPr>
        <w:lastRenderedPageBreak/>
        <w:t>（</w:t>
      </w:r>
      <w:r>
        <w:rPr>
          <w:rFonts w:ascii="Calibri" w:hAnsi="Calibri"/>
          <w:color w:val="auto"/>
          <w:sz w:val="24"/>
        </w:rPr>
        <w:t>2</w:t>
      </w:r>
      <w:r>
        <w:rPr>
          <w:rFonts w:ascii="Calibri" w:hAnsi="Calibri" w:hint="eastAsia"/>
          <w:color w:val="auto"/>
          <w:sz w:val="24"/>
        </w:rPr>
        <w:t>）二期</w:t>
      </w:r>
      <w:r>
        <w:rPr>
          <w:rFonts w:ascii="Calibri" w:hAnsi="Calibri"/>
          <w:color w:val="auto"/>
          <w:sz w:val="24"/>
        </w:rPr>
        <w:t>工程</w:t>
      </w:r>
    </w:p>
    <w:p w14:paraId="3FCDF2BC" w14:textId="77777777" w:rsidR="0096614E" w:rsidRPr="00321C47" w:rsidRDefault="00B10481" w:rsidP="0096614E">
      <w:pPr>
        <w:spacing w:line="520" w:lineRule="exact"/>
        <w:ind w:firstLineChars="200" w:firstLine="480"/>
        <w:rPr>
          <w:rFonts w:ascii="Calibri" w:hAnsi="Calibri"/>
          <w:color w:val="auto"/>
          <w:sz w:val="24"/>
        </w:rPr>
      </w:pPr>
      <w:r w:rsidRPr="00B30095">
        <w:rPr>
          <w:rFonts w:ascii="Calibri" w:hAnsi="Calibri" w:hint="eastAsia"/>
          <w:color w:val="auto"/>
          <w:sz w:val="24"/>
        </w:rPr>
        <w:t>项目正常运营后需要原料为尼龙</w:t>
      </w:r>
      <w:r w:rsidRPr="00B30095">
        <w:rPr>
          <w:rFonts w:ascii="Calibri" w:hAnsi="Calibri" w:hint="eastAsia"/>
          <w:color w:val="auto"/>
          <w:sz w:val="24"/>
        </w:rPr>
        <w:t>66</w:t>
      </w:r>
      <w:r w:rsidRPr="00B30095">
        <w:rPr>
          <w:rFonts w:ascii="Calibri" w:hAnsi="Calibri" w:hint="eastAsia"/>
          <w:color w:val="auto"/>
          <w:sz w:val="24"/>
        </w:rPr>
        <w:t>盐溶液</w:t>
      </w:r>
      <w:r>
        <w:rPr>
          <w:rFonts w:ascii="Calibri" w:hAnsi="Calibri" w:hint="eastAsia"/>
          <w:color w:val="auto"/>
          <w:sz w:val="24"/>
        </w:rPr>
        <w:t>（</w:t>
      </w:r>
      <w:r>
        <w:rPr>
          <w:rFonts w:ascii="Calibri" w:hAnsi="Calibri" w:hint="eastAsia"/>
          <w:color w:val="auto"/>
          <w:sz w:val="24"/>
        </w:rPr>
        <w:t>50%</w:t>
      </w:r>
      <w:r>
        <w:rPr>
          <w:rFonts w:ascii="Calibri" w:hAnsi="Calibri" w:hint="eastAsia"/>
          <w:color w:val="auto"/>
          <w:sz w:val="24"/>
        </w:rPr>
        <w:t>）、</w:t>
      </w:r>
      <w:r w:rsidRPr="00B30095">
        <w:rPr>
          <w:rFonts w:ascii="Calibri" w:hAnsi="Calibri" w:hint="eastAsia"/>
          <w:color w:val="auto"/>
          <w:sz w:val="24"/>
        </w:rPr>
        <w:t>尼龙</w:t>
      </w:r>
      <w:r w:rsidRPr="00B30095">
        <w:rPr>
          <w:rFonts w:ascii="Calibri" w:hAnsi="Calibri" w:hint="eastAsia"/>
          <w:color w:val="auto"/>
          <w:sz w:val="24"/>
        </w:rPr>
        <w:t>12</w:t>
      </w:r>
      <w:r w:rsidRPr="00B30095">
        <w:rPr>
          <w:rFonts w:ascii="Calibri" w:hAnsi="Calibri" w:hint="eastAsia"/>
          <w:color w:val="auto"/>
          <w:sz w:val="24"/>
        </w:rPr>
        <w:t>盐</w:t>
      </w:r>
      <w:r>
        <w:rPr>
          <w:rFonts w:ascii="Calibri" w:hAnsi="Calibri" w:hint="eastAsia"/>
          <w:color w:val="auto"/>
          <w:sz w:val="24"/>
        </w:rPr>
        <w:t>、</w:t>
      </w:r>
      <w:r w:rsidRPr="00B30095">
        <w:rPr>
          <w:rFonts w:ascii="Calibri" w:hAnsi="Calibri" w:hint="eastAsia"/>
          <w:color w:val="auto"/>
          <w:sz w:val="24"/>
        </w:rPr>
        <w:t>尼龙</w:t>
      </w:r>
      <w:r w:rsidRPr="00B30095">
        <w:rPr>
          <w:rFonts w:ascii="Calibri" w:hAnsi="Calibri" w:hint="eastAsia"/>
          <w:color w:val="auto"/>
          <w:sz w:val="24"/>
        </w:rPr>
        <w:t>1010</w:t>
      </w:r>
      <w:r w:rsidRPr="00B30095">
        <w:rPr>
          <w:rFonts w:ascii="Calibri" w:hAnsi="Calibri" w:hint="eastAsia"/>
          <w:color w:val="auto"/>
          <w:sz w:val="24"/>
        </w:rPr>
        <w:t>盐以及少量添加剂</w:t>
      </w:r>
      <w:r>
        <w:rPr>
          <w:rFonts w:ascii="Calibri" w:hAnsi="Calibri" w:hint="eastAsia"/>
          <w:color w:val="auto"/>
          <w:sz w:val="24"/>
        </w:rPr>
        <w:t>（</w:t>
      </w:r>
      <w:r w:rsidRPr="00B30095">
        <w:rPr>
          <w:rFonts w:ascii="Calibri" w:hAnsi="Calibri" w:hint="eastAsia"/>
          <w:color w:val="auto"/>
          <w:sz w:val="24"/>
        </w:rPr>
        <w:t>抗氧剂次磷酸钠</w:t>
      </w:r>
      <w:r>
        <w:rPr>
          <w:rFonts w:ascii="Calibri" w:hAnsi="Calibri" w:hint="eastAsia"/>
          <w:color w:val="auto"/>
          <w:sz w:val="24"/>
        </w:rPr>
        <w:t>），</w:t>
      </w:r>
      <w:r w:rsidRPr="00B30095">
        <w:rPr>
          <w:rFonts w:ascii="Calibri" w:hAnsi="Calibri" w:hint="eastAsia"/>
          <w:color w:val="auto"/>
          <w:sz w:val="24"/>
        </w:rPr>
        <w:t>聚合物浓度</w:t>
      </w:r>
      <w:r w:rsidRPr="00B30095">
        <w:rPr>
          <w:rFonts w:ascii="Calibri" w:hAnsi="Calibri" w:hint="eastAsia"/>
          <w:color w:val="auto"/>
          <w:sz w:val="24"/>
        </w:rPr>
        <w:t>99.</w:t>
      </w:r>
      <w:r>
        <w:rPr>
          <w:rFonts w:ascii="Calibri" w:hAnsi="Calibri"/>
          <w:color w:val="auto"/>
          <w:sz w:val="24"/>
        </w:rPr>
        <w:t>9</w:t>
      </w:r>
      <w:r w:rsidRPr="00B30095">
        <w:rPr>
          <w:rFonts w:ascii="Calibri" w:hAnsi="Calibri" w:hint="eastAsia"/>
          <w:color w:val="auto"/>
          <w:sz w:val="24"/>
        </w:rPr>
        <w:t>%</w:t>
      </w:r>
      <w:r w:rsidRPr="00B30095">
        <w:rPr>
          <w:rFonts w:ascii="Calibri" w:hAnsi="Calibri" w:hint="eastAsia"/>
          <w:color w:val="auto"/>
          <w:sz w:val="24"/>
        </w:rPr>
        <w:t>，根据投入原料量，确定</w:t>
      </w:r>
      <w:r w:rsidR="0096614E">
        <w:rPr>
          <w:rFonts w:ascii="Calibri" w:hAnsi="Calibri" w:hint="eastAsia"/>
          <w:color w:val="auto"/>
          <w:sz w:val="24"/>
        </w:rPr>
        <w:t>二期</w:t>
      </w:r>
      <w:r w:rsidRPr="00B30095">
        <w:rPr>
          <w:rFonts w:ascii="Calibri" w:hAnsi="Calibri" w:hint="eastAsia"/>
          <w:color w:val="auto"/>
          <w:sz w:val="24"/>
        </w:rPr>
        <w:t>生产工艺物料平衡一览表见</w:t>
      </w:r>
      <w:r w:rsidRPr="00B30095">
        <w:rPr>
          <w:rFonts w:ascii="Calibri" w:hAnsi="Calibri" w:hint="eastAsia"/>
          <w:color w:val="auto"/>
          <w:sz w:val="24"/>
        </w:rPr>
        <w:t>2.</w:t>
      </w:r>
      <w:r>
        <w:rPr>
          <w:rFonts w:ascii="Calibri" w:hAnsi="Calibri"/>
          <w:color w:val="auto"/>
          <w:sz w:val="24"/>
        </w:rPr>
        <w:t>2</w:t>
      </w:r>
      <w:r w:rsidRPr="00B30095">
        <w:rPr>
          <w:rFonts w:ascii="Calibri" w:hAnsi="Calibri" w:hint="eastAsia"/>
          <w:color w:val="auto"/>
          <w:sz w:val="24"/>
        </w:rPr>
        <w:t>-</w:t>
      </w:r>
      <w:r w:rsidR="0096614E">
        <w:rPr>
          <w:rFonts w:ascii="Calibri" w:hAnsi="Calibri"/>
          <w:color w:val="auto"/>
          <w:sz w:val="24"/>
        </w:rPr>
        <w:t>4</w:t>
      </w:r>
      <w:r w:rsidRPr="00B30095">
        <w:rPr>
          <w:rFonts w:ascii="Calibri" w:hAnsi="Calibri" w:hint="eastAsia"/>
          <w:color w:val="auto"/>
          <w:sz w:val="24"/>
        </w:rPr>
        <w:t>，</w:t>
      </w:r>
      <w:r w:rsidR="0096614E" w:rsidRPr="0096614E">
        <w:rPr>
          <w:rFonts w:ascii="Calibri" w:hAnsi="Calibri" w:hint="eastAsia"/>
          <w:color w:val="auto"/>
          <w:sz w:val="24"/>
        </w:rPr>
        <w:t>己二胺物料平衡一览表见</w:t>
      </w:r>
      <w:r w:rsidR="0096614E" w:rsidRPr="0096614E">
        <w:rPr>
          <w:rFonts w:ascii="Calibri" w:hAnsi="Calibri" w:hint="eastAsia"/>
          <w:color w:val="auto"/>
          <w:sz w:val="24"/>
        </w:rPr>
        <w:t>2.2-</w:t>
      </w:r>
      <w:r w:rsidR="0096614E">
        <w:rPr>
          <w:rFonts w:ascii="Calibri" w:hAnsi="Calibri"/>
          <w:color w:val="auto"/>
          <w:sz w:val="24"/>
        </w:rPr>
        <w:t>5</w:t>
      </w:r>
      <w:r w:rsidR="0096614E">
        <w:rPr>
          <w:rFonts w:ascii="Calibri" w:hAnsi="Calibri" w:hint="eastAsia"/>
          <w:color w:val="auto"/>
          <w:sz w:val="24"/>
        </w:rPr>
        <w:t>；二期物料平衡</w:t>
      </w:r>
      <w:r w:rsidR="0096614E" w:rsidRPr="00B30095">
        <w:rPr>
          <w:rFonts w:ascii="Calibri" w:hAnsi="Calibri" w:hint="eastAsia"/>
          <w:color w:val="auto"/>
          <w:sz w:val="24"/>
        </w:rPr>
        <w:t>见</w:t>
      </w:r>
      <w:r w:rsidR="0096614E">
        <w:rPr>
          <w:rFonts w:ascii="Calibri" w:hAnsi="Calibri" w:hint="eastAsia"/>
          <w:color w:val="auto"/>
          <w:sz w:val="24"/>
        </w:rPr>
        <w:t>图</w:t>
      </w:r>
      <w:r w:rsidR="0096614E" w:rsidRPr="00B30095">
        <w:rPr>
          <w:rFonts w:ascii="Calibri" w:hAnsi="Calibri" w:hint="eastAsia"/>
          <w:color w:val="auto"/>
          <w:sz w:val="24"/>
        </w:rPr>
        <w:t>2.</w:t>
      </w:r>
      <w:r w:rsidR="0096614E">
        <w:rPr>
          <w:rFonts w:ascii="Calibri" w:hAnsi="Calibri"/>
          <w:color w:val="auto"/>
          <w:sz w:val="24"/>
        </w:rPr>
        <w:t>2</w:t>
      </w:r>
      <w:r w:rsidR="0096614E" w:rsidRPr="00B30095">
        <w:rPr>
          <w:rFonts w:ascii="Calibri" w:hAnsi="Calibri" w:hint="eastAsia"/>
          <w:color w:val="auto"/>
          <w:sz w:val="24"/>
        </w:rPr>
        <w:t>-</w:t>
      </w:r>
      <w:r w:rsidR="0096614E">
        <w:rPr>
          <w:rFonts w:ascii="Calibri" w:hAnsi="Calibri"/>
          <w:color w:val="auto"/>
          <w:sz w:val="24"/>
        </w:rPr>
        <w:t>3</w:t>
      </w:r>
      <w:r w:rsidR="0096614E" w:rsidRPr="00B30095">
        <w:rPr>
          <w:rFonts w:ascii="Calibri" w:hAnsi="Calibri" w:hint="eastAsia"/>
          <w:color w:val="auto"/>
          <w:sz w:val="24"/>
        </w:rPr>
        <w:t>。</w:t>
      </w:r>
    </w:p>
    <w:p w14:paraId="5AE5E32C" w14:textId="77777777" w:rsidR="00B10481" w:rsidRPr="00A964FF" w:rsidRDefault="00B10481" w:rsidP="00B10481">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.2</w:t>
      </w:r>
      <w:r w:rsidRPr="00A964FF">
        <w:rPr>
          <w:rFonts w:ascii="Calibri" w:eastAsia="黑体" w:hAnsi="Calibri"/>
          <w:color w:val="auto"/>
          <w:sz w:val="24"/>
        </w:rPr>
        <w:t>-</w:t>
      </w:r>
      <w:r w:rsidR="0096614E">
        <w:rPr>
          <w:rFonts w:ascii="Calibri" w:eastAsia="黑体" w:hAnsi="Calibri"/>
          <w:color w:val="auto"/>
          <w:sz w:val="24"/>
        </w:rPr>
        <w:t>4</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Pr>
          <w:rFonts w:ascii="Calibri" w:eastAsia="黑体" w:hAnsi="Calibri" w:hint="eastAsia"/>
          <w:color w:val="auto"/>
          <w:sz w:val="24"/>
        </w:rPr>
        <w:t xml:space="preserve">   </w:t>
      </w:r>
      <w:r w:rsidRPr="00A964FF">
        <w:rPr>
          <w:rFonts w:ascii="Calibri" w:eastAsia="黑体" w:hAnsi="Calibri"/>
          <w:color w:val="auto"/>
          <w:sz w:val="24"/>
        </w:rPr>
        <w:t xml:space="preserve"> </w:t>
      </w:r>
      <w:r w:rsidR="0083308C" w:rsidRPr="0083308C">
        <w:rPr>
          <w:rFonts w:ascii="Calibri" w:eastAsia="黑体" w:hAnsi="Calibri" w:hint="eastAsia"/>
          <w:color w:val="auto"/>
          <w:sz w:val="24"/>
        </w:rPr>
        <w:t>透明尼龙</w:t>
      </w:r>
      <w:r>
        <w:rPr>
          <w:rFonts w:ascii="Calibri" w:eastAsia="黑体" w:hAnsi="Calibri" w:hint="eastAsia"/>
          <w:color w:val="auto"/>
          <w:sz w:val="24"/>
        </w:rPr>
        <w:t>切片二期</w:t>
      </w:r>
      <w:r w:rsidRPr="00A964FF">
        <w:rPr>
          <w:rFonts w:ascii="Calibri" w:eastAsia="黑体" w:hAnsi="Calibri" w:hint="eastAsia"/>
          <w:color w:val="auto"/>
          <w:sz w:val="24"/>
        </w:rPr>
        <w:t>生产</w:t>
      </w:r>
      <w:r>
        <w:rPr>
          <w:rFonts w:ascii="Calibri" w:eastAsia="黑体" w:hAnsi="Calibri" w:hint="eastAsia"/>
          <w:color w:val="auto"/>
          <w:sz w:val="24"/>
        </w:rPr>
        <w:t>工艺物料</w:t>
      </w:r>
      <w:r>
        <w:rPr>
          <w:rFonts w:ascii="Calibri" w:eastAsia="黑体" w:hAnsi="Calibri"/>
          <w:color w:val="auto"/>
          <w:sz w:val="24"/>
        </w:rPr>
        <w:t>平衡</w:t>
      </w:r>
      <w:r>
        <w:rPr>
          <w:rFonts w:ascii="Calibri" w:eastAsia="黑体" w:hAnsi="Calibri" w:hint="eastAsia"/>
          <w:color w:val="auto"/>
          <w:sz w:val="24"/>
        </w:rPr>
        <w:t>一览</w:t>
      </w:r>
      <w:r>
        <w:rPr>
          <w:rFonts w:ascii="Calibri" w:eastAsia="黑体" w:hAnsi="Calibri"/>
          <w:color w:val="auto"/>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168"/>
        <w:gridCol w:w="2530"/>
        <w:gridCol w:w="2377"/>
        <w:gridCol w:w="1625"/>
      </w:tblGrid>
      <w:tr w:rsidR="00B10481" w:rsidRPr="00A86586" w14:paraId="168D1135" w14:textId="77777777" w:rsidTr="003210FE">
        <w:trPr>
          <w:cantSplit/>
          <w:trHeight w:val="340"/>
          <w:jc w:val="center"/>
        </w:trPr>
        <w:tc>
          <w:tcPr>
            <w:tcW w:w="2700" w:type="pct"/>
            <w:gridSpan w:val="2"/>
            <w:vAlign w:val="center"/>
          </w:tcPr>
          <w:p w14:paraId="4048F6C3" w14:textId="77777777" w:rsidR="00B10481" w:rsidRPr="00A86586" w:rsidRDefault="00B10481" w:rsidP="003210FE">
            <w:pPr>
              <w:jc w:val="center"/>
              <w:rPr>
                <w:rFonts w:ascii="Calibri" w:hAnsi="Calibri"/>
                <w:b/>
                <w:color w:val="auto"/>
                <w:szCs w:val="21"/>
                <w:u w:val="single"/>
              </w:rPr>
            </w:pPr>
            <w:r w:rsidRPr="00A86586">
              <w:rPr>
                <w:rFonts w:ascii="Calibri"/>
                <w:b/>
                <w:color w:val="auto"/>
                <w:szCs w:val="21"/>
                <w:u w:val="single"/>
              </w:rPr>
              <w:t>输入方</w:t>
            </w:r>
          </w:p>
        </w:tc>
        <w:tc>
          <w:tcPr>
            <w:tcW w:w="2300" w:type="pct"/>
            <w:gridSpan w:val="2"/>
            <w:tcBorders>
              <w:left w:val="single" w:sz="4" w:space="0" w:color="auto"/>
            </w:tcBorders>
            <w:vAlign w:val="center"/>
          </w:tcPr>
          <w:p w14:paraId="4A2F6045" w14:textId="77777777" w:rsidR="00B10481" w:rsidRPr="00A86586" w:rsidRDefault="00B10481" w:rsidP="003210FE">
            <w:pPr>
              <w:jc w:val="center"/>
              <w:rPr>
                <w:rFonts w:ascii="Calibri" w:hAnsi="Calibri"/>
                <w:b/>
                <w:color w:val="auto"/>
                <w:szCs w:val="21"/>
                <w:u w:val="single"/>
              </w:rPr>
            </w:pPr>
            <w:r w:rsidRPr="00A86586">
              <w:rPr>
                <w:rFonts w:ascii="Calibri"/>
                <w:b/>
                <w:color w:val="auto"/>
                <w:szCs w:val="21"/>
                <w:u w:val="single"/>
              </w:rPr>
              <w:t>输出方</w:t>
            </w:r>
          </w:p>
        </w:tc>
      </w:tr>
      <w:tr w:rsidR="00B10481" w:rsidRPr="00A86586" w14:paraId="5DA80769" w14:textId="77777777" w:rsidTr="0096614E">
        <w:trPr>
          <w:cantSplit/>
          <w:trHeight w:val="340"/>
          <w:jc w:val="center"/>
        </w:trPr>
        <w:tc>
          <w:tcPr>
            <w:tcW w:w="1246" w:type="pct"/>
            <w:vAlign w:val="center"/>
          </w:tcPr>
          <w:p w14:paraId="3CD9E570" w14:textId="77777777" w:rsidR="00B10481" w:rsidRPr="00A86586" w:rsidRDefault="00B10481" w:rsidP="003210FE">
            <w:pPr>
              <w:jc w:val="center"/>
              <w:rPr>
                <w:rFonts w:ascii="Calibri" w:hAnsi="Calibri"/>
                <w:b/>
                <w:color w:val="auto"/>
                <w:szCs w:val="21"/>
                <w:u w:val="single"/>
              </w:rPr>
            </w:pPr>
            <w:r w:rsidRPr="00A86586">
              <w:rPr>
                <w:rFonts w:ascii="Calibri"/>
                <w:b/>
                <w:color w:val="auto"/>
                <w:szCs w:val="21"/>
                <w:u w:val="single"/>
              </w:rPr>
              <w:t>名称</w:t>
            </w:r>
          </w:p>
        </w:tc>
        <w:tc>
          <w:tcPr>
            <w:tcW w:w="1454" w:type="pct"/>
            <w:vAlign w:val="center"/>
          </w:tcPr>
          <w:p w14:paraId="0E43C299" w14:textId="77777777" w:rsidR="00B10481" w:rsidRPr="00A86586" w:rsidRDefault="00B10481" w:rsidP="003210FE">
            <w:pPr>
              <w:jc w:val="center"/>
              <w:rPr>
                <w:rFonts w:ascii="Calibri"/>
                <w:b/>
                <w:color w:val="auto"/>
                <w:szCs w:val="21"/>
                <w:u w:val="single"/>
              </w:rPr>
            </w:pPr>
            <w:r w:rsidRPr="00A86586">
              <w:rPr>
                <w:rFonts w:ascii="Calibri" w:hint="eastAsia"/>
                <w:b/>
                <w:color w:val="auto"/>
                <w:szCs w:val="21"/>
                <w:u w:val="single"/>
              </w:rPr>
              <w:t>物料消耗（</w:t>
            </w:r>
            <w:r w:rsidRPr="00A86586">
              <w:rPr>
                <w:rFonts w:ascii="Calibri"/>
                <w:b/>
                <w:color w:val="auto"/>
                <w:szCs w:val="21"/>
                <w:u w:val="single"/>
              </w:rPr>
              <w:t>t</w:t>
            </w:r>
            <w:r w:rsidRPr="00A86586">
              <w:rPr>
                <w:rFonts w:ascii="Calibri" w:hint="eastAsia"/>
                <w:b/>
                <w:color w:val="auto"/>
                <w:szCs w:val="21"/>
                <w:u w:val="single"/>
              </w:rPr>
              <w:t>/</w:t>
            </w:r>
            <w:r w:rsidRPr="00A86586">
              <w:rPr>
                <w:rFonts w:ascii="Calibri"/>
                <w:b/>
                <w:color w:val="auto"/>
                <w:szCs w:val="21"/>
                <w:u w:val="single"/>
              </w:rPr>
              <w:t>a</w:t>
            </w:r>
            <w:r w:rsidRPr="00A86586">
              <w:rPr>
                <w:rFonts w:ascii="Calibri" w:hint="eastAsia"/>
                <w:b/>
                <w:color w:val="auto"/>
                <w:szCs w:val="21"/>
                <w:u w:val="single"/>
              </w:rPr>
              <w:t>）</w:t>
            </w:r>
          </w:p>
        </w:tc>
        <w:tc>
          <w:tcPr>
            <w:tcW w:w="1366" w:type="pct"/>
            <w:tcBorders>
              <w:left w:val="single" w:sz="4" w:space="0" w:color="auto"/>
            </w:tcBorders>
            <w:vAlign w:val="center"/>
          </w:tcPr>
          <w:p w14:paraId="588D10F1" w14:textId="77777777" w:rsidR="00B10481" w:rsidRPr="00A86586" w:rsidRDefault="00B10481" w:rsidP="003210FE">
            <w:pPr>
              <w:jc w:val="center"/>
              <w:rPr>
                <w:rFonts w:ascii="Calibri" w:hAnsi="Calibri"/>
                <w:b/>
                <w:color w:val="auto"/>
                <w:szCs w:val="21"/>
                <w:u w:val="single"/>
              </w:rPr>
            </w:pPr>
            <w:r w:rsidRPr="00A86586">
              <w:rPr>
                <w:rFonts w:ascii="Calibri"/>
                <w:b/>
                <w:color w:val="auto"/>
                <w:szCs w:val="21"/>
                <w:u w:val="single"/>
              </w:rPr>
              <w:t>名称</w:t>
            </w:r>
          </w:p>
        </w:tc>
        <w:tc>
          <w:tcPr>
            <w:tcW w:w="934" w:type="pct"/>
            <w:vAlign w:val="center"/>
          </w:tcPr>
          <w:p w14:paraId="36CFD195" w14:textId="77777777" w:rsidR="00B10481" w:rsidRPr="00A86586" w:rsidRDefault="00B10481" w:rsidP="003210FE">
            <w:pPr>
              <w:jc w:val="center"/>
              <w:rPr>
                <w:rFonts w:ascii="Calibri"/>
                <w:b/>
                <w:color w:val="auto"/>
                <w:szCs w:val="21"/>
                <w:u w:val="single"/>
              </w:rPr>
            </w:pPr>
            <w:r w:rsidRPr="00A86586">
              <w:rPr>
                <w:rFonts w:ascii="Calibri" w:hint="eastAsia"/>
                <w:b/>
                <w:color w:val="auto"/>
                <w:szCs w:val="21"/>
                <w:u w:val="single"/>
              </w:rPr>
              <w:t>数量（</w:t>
            </w:r>
            <w:r w:rsidRPr="00A86586">
              <w:rPr>
                <w:rFonts w:ascii="Calibri"/>
                <w:b/>
                <w:color w:val="auto"/>
                <w:szCs w:val="21"/>
                <w:u w:val="single"/>
              </w:rPr>
              <w:t>t</w:t>
            </w:r>
            <w:r w:rsidRPr="00A86586">
              <w:rPr>
                <w:rFonts w:ascii="Calibri" w:hint="eastAsia"/>
                <w:b/>
                <w:color w:val="auto"/>
                <w:szCs w:val="21"/>
                <w:u w:val="single"/>
              </w:rPr>
              <w:t>/</w:t>
            </w:r>
            <w:r w:rsidRPr="00A86586">
              <w:rPr>
                <w:rFonts w:ascii="Calibri"/>
                <w:b/>
                <w:color w:val="auto"/>
                <w:szCs w:val="21"/>
                <w:u w:val="single"/>
              </w:rPr>
              <w:t>a</w:t>
            </w:r>
            <w:r w:rsidRPr="00A86586">
              <w:rPr>
                <w:rFonts w:ascii="Calibri" w:hint="eastAsia"/>
                <w:b/>
                <w:color w:val="auto"/>
                <w:szCs w:val="21"/>
                <w:u w:val="single"/>
              </w:rPr>
              <w:t>）</w:t>
            </w:r>
          </w:p>
        </w:tc>
      </w:tr>
      <w:tr w:rsidR="00B10481" w:rsidRPr="00A86586" w14:paraId="0218D62C" w14:textId="77777777" w:rsidTr="0096614E">
        <w:trPr>
          <w:cantSplit/>
          <w:trHeight w:val="270"/>
          <w:jc w:val="center"/>
        </w:trPr>
        <w:tc>
          <w:tcPr>
            <w:tcW w:w="1246" w:type="pct"/>
            <w:vMerge w:val="restart"/>
            <w:vAlign w:val="center"/>
          </w:tcPr>
          <w:p w14:paraId="12312F86" w14:textId="77777777" w:rsidR="00B10481" w:rsidRPr="00A86586" w:rsidRDefault="00B10481" w:rsidP="003210FE">
            <w:pPr>
              <w:jc w:val="center"/>
              <w:rPr>
                <w:rFonts w:ascii="Calibri" w:hAnsi="Calibri"/>
                <w:b/>
                <w:color w:val="auto"/>
                <w:szCs w:val="21"/>
                <w:u w:val="single"/>
              </w:rPr>
            </w:pPr>
            <w:r w:rsidRPr="00A86586">
              <w:rPr>
                <w:rFonts w:ascii="Calibri" w:hAnsi="Calibri" w:hint="eastAsia"/>
                <w:b/>
                <w:color w:val="auto"/>
                <w:szCs w:val="21"/>
                <w:u w:val="single"/>
              </w:rPr>
              <w:t>尼龙</w:t>
            </w:r>
            <w:r w:rsidRPr="00A86586">
              <w:rPr>
                <w:rFonts w:ascii="Calibri" w:hAnsi="Calibri" w:hint="eastAsia"/>
                <w:b/>
                <w:color w:val="auto"/>
                <w:szCs w:val="21"/>
                <w:u w:val="single"/>
              </w:rPr>
              <w:t>66</w:t>
            </w:r>
            <w:r w:rsidRPr="00A86586">
              <w:rPr>
                <w:rFonts w:ascii="Calibri" w:hAnsi="Calibri" w:hint="eastAsia"/>
                <w:b/>
                <w:color w:val="auto"/>
                <w:szCs w:val="21"/>
                <w:u w:val="single"/>
              </w:rPr>
              <w:t>盐溶液（</w:t>
            </w:r>
            <w:r w:rsidRPr="00A86586">
              <w:rPr>
                <w:rFonts w:ascii="Calibri" w:hAnsi="Calibri" w:hint="eastAsia"/>
                <w:b/>
                <w:color w:val="auto"/>
                <w:szCs w:val="21"/>
                <w:u w:val="single"/>
              </w:rPr>
              <w:t>50%</w:t>
            </w:r>
            <w:r w:rsidRPr="00A86586">
              <w:rPr>
                <w:rFonts w:ascii="Calibri" w:hAnsi="Calibri" w:hint="eastAsia"/>
                <w:b/>
                <w:color w:val="auto"/>
                <w:szCs w:val="21"/>
                <w:u w:val="single"/>
              </w:rPr>
              <w:t>）</w:t>
            </w:r>
          </w:p>
        </w:tc>
        <w:tc>
          <w:tcPr>
            <w:tcW w:w="1454" w:type="pct"/>
            <w:vMerge w:val="restart"/>
            <w:vAlign w:val="center"/>
          </w:tcPr>
          <w:p w14:paraId="03F8DC22" w14:textId="77777777" w:rsidR="00B10481" w:rsidRPr="00A86586" w:rsidRDefault="00E65B69" w:rsidP="003210FE">
            <w:pPr>
              <w:jc w:val="center"/>
              <w:rPr>
                <w:rFonts w:ascii="Calibri" w:hAnsi="Calibri"/>
                <w:b/>
                <w:color w:val="auto"/>
                <w:szCs w:val="21"/>
                <w:u w:val="single"/>
              </w:rPr>
            </w:pPr>
            <w:r w:rsidRPr="00A86586">
              <w:rPr>
                <w:rFonts w:ascii="Calibri" w:hAnsi="Calibri"/>
                <w:b/>
                <w:color w:val="auto"/>
                <w:szCs w:val="21"/>
                <w:u w:val="single"/>
              </w:rPr>
              <w:t>1440</w:t>
            </w:r>
          </w:p>
        </w:tc>
        <w:tc>
          <w:tcPr>
            <w:tcW w:w="1366" w:type="pct"/>
            <w:vAlign w:val="center"/>
          </w:tcPr>
          <w:p w14:paraId="7D21BD85" w14:textId="77777777" w:rsidR="00B10481" w:rsidRPr="00A86586" w:rsidRDefault="00AF5AB9" w:rsidP="003210FE">
            <w:pPr>
              <w:jc w:val="center"/>
              <w:rPr>
                <w:rFonts w:ascii="Calibri" w:hAnsi="Calibri"/>
                <w:b/>
                <w:color w:val="auto"/>
                <w:szCs w:val="21"/>
                <w:u w:val="single"/>
              </w:rPr>
            </w:pPr>
            <w:r w:rsidRPr="00A86586">
              <w:rPr>
                <w:rFonts w:ascii="Calibri" w:hAnsi="Calibri" w:hint="eastAsia"/>
                <w:b/>
                <w:color w:val="auto"/>
                <w:szCs w:val="21"/>
                <w:u w:val="single"/>
              </w:rPr>
              <w:t>透明尼龙</w:t>
            </w:r>
            <w:r w:rsidR="00B10481" w:rsidRPr="00A86586">
              <w:rPr>
                <w:rFonts w:ascii="Calibri" w:hAnsi="Calibri" w:hint="eastAsia"/>
                <w:b/>
                <w:color w:val="auto"/>
                <w:szCs w:val="21"/>
                <w:u w:val="single"/>
              </w:rPr>
              <w:t>切片</w:t>
            </w:r>
          </w:p>
        </w:tc>
        <w:tc>
          <w:tcPr>
            <w:tcW w:w="934" w:type="pct"/>
            <w:vAlign w:val="center"/>
          </w:tcPr>
          <w:p w14:paraId="127087DD" w14:textId="77777777" w:rsidR="00B10481" w:rsidRPr="00A86586" w:rsidRDefault="00E65B69" w:rsidP="003210FE">
            <w:pPr>
              <w:jc w:val="center"/>
              <w:rPr>
                <w:rFonts w:ascii="Calibri" w:hAnsi="Calibri"/>
                <w:b/>
                <w:color w:val="auto"/>
                <w:szCs w:val="21"/>
                <w:u w:val="single"/>
              </w:rPr>
            </w:pPr>
            <w:r w:rsidRPr="00A86586">
              <w:rPr>
                <w:rFonts w:ascii="Calibri" w:hAnsi="Calibri"/>
                <w:b/>
                <w:color w:val="auto"/>
                <w:u w:val="single"/>
              </w:rPr>
              <w:t>1500</w:t>
            </w:r>
          </w:p>
        </w:tc>
      </w:tr>
      <w:tr w:rsidR="00B10481" w:rsidRPr="00A86586" w14:paraId="7B566611" w14:textId="77777777" w:rsidTr="0096614E">
        <w:trPr>
          <w:cantSplit/>
          <w:trHeight w:val="270"/>
          <w:jc w:val="center"/>
        </w:trPr>
        <w:tc>
          <w:tcPr>
            <w:tcW w:w="1246" w:type="pct"/>
            <w:vMerge/>
            <w:vAlign w:val="center"/>
          </w:tcPr>
          <w:p w14:paraId="0DDD01E5" w14:textId="77777777" w:rsidR="00B10481" w:rsidRPr="00A86586" w:rsidRDefault="00B10481" w:rsidP="003210FE">
            <w:pPr>
              <w:jc w:val="center"/>
              <w:rPr>
                <w:rFonts w:ascii="Calibri" w:hAnsi="Calibri"/>
                <w:b/>
                <w:color w:val="auto"/>
                <w:szCs w:val="21"/>
                <w:u w:val="single"/>
              </w:rPr>
            </w:pPr>
          </w:p>
        </w:tc>
        <w:tc>
          <w:tcPr>
            <w:tcW w:w="1454" w:type="pct"/>
            <w:vMerge/>
            <w:vAlign w:val="center"/>
          </w:tcPr>
          <w:p w14:paraId="729E729A" w14:textId="77777777" w:rsidR="00B10481" w:rsidRPr="00A86586" w:rsidRDefault="00B10481" w:rsidP="003210FE">
            <w:pPr>
              <w:jc w:val="center"/>
              <w:rPr>
                <w:rFonts w:ascii="Calibri" w:hAnsi="Calibri"/>
                <w:b/>
                <w:color w:val="auto"/>
                <w:szCs w:val="21"/>
                <w:u w:val="single"/>
              </w:rPr>
            </w:pPr>
          </w:p>
        </w:tc>
        <w:tc>
          <w:tcPr>
            <w:tcW w:w="1366" w:type="pct"/>
            <w:vAlign w:val="center"/>
          </w:tcPr>
          <w:p w14:paraId="439F6892" w14:textId="77777777" w:rsidR="00B10481" w:rsidRPr="00A86586" w:rsidRDefault="00AF5AB9" w:rsidP="003210FE">
            <w:pPr>
              <w:jc w:val="center"/>
              <w:rPr>
                <w:rFonts w:ascii="Calibri" w:hAnsi="Calibri"/>
                <w:b/>
                <w:color w:val="auto"/>
                <w:szCs w:val="21"/>
                <w:u w:val="single"/>
              </w:rPr>
            </w:pPr>
            <w:r w:rsidRPr="00A86586">
              <w:rPr>
                <w:rFonts w:ascii="Calibri" w:hAnsi="Calibri" w:hint="eastAsia"/>
                <w:b/>
                <w:color w:val="auto"/>
                <w:szCs w:val="21"/>
                <w:u w:val="single"/>
              </w:rPr>
              <w:t>透明尼龙</w:t>
            </w:r>
            <w:r w:rsidR="00B10481" w:rsidRPr="00A86586">
              <w:rPr>
                <w:rFonts w:ascii="Calibri" w:hAnsi="Calibri" w:hint="eastAsia"/>
                <w:b/>
                <w:color w:val="auto"/>
                <w:szCs w:val="21"/>
                <w:u w:val="single"/>
              </w:rPr>
              <w:t>切片次品</w:t>
            </w:r>
          </w:p>
        </w:tc>
        <w:tc>
          <w:tcPr>
            <w:tcW w:w="934" w:type="pct"/>
            <w:vAlign w:val="center"/>
          </w:tcPr>
          <w:p w14:paraId="557B6ECC" w14:textId="77777777" w:rsidR="00B10481" w:rsidRPr="00A86586" w:rsidRDefault="00A86586" w:rsidP="003210FE">
            <w:pPr>
              <w:jc w:val="center"/>
              <w:rPr>
                <w:rFonts w:ascii="Calibri" w:hAnsi="Calibri"/>
                <w:b/>
                <w:color w:val="auto"/>
                <w:u w:val="single"/>
              </w:rPr>
            </w:pPr>
            <w:r w:rsidRPr="00A86586">
              <w:rPr>
                <w:rFonts w:ascii="Calibri" w:hAnsi="Calibri"/>
                <w:b/>
                <w:color w:val="auto"/>
                <w:u w:val="single"/>
              </w:rPr>
              <w:t>9</w:t>
            </w:r>
            <w:r w:rsidR="00576CA2" w:rsidRPr="00A86586">
              <w:rPr>
                <w:rFonts w:ascii="Calibri" w:hAnsi="Calibri"/>
                <w:b/>
                <w:color w:val="auto"/>
                <w:u w:val="single"/>
              </w:rPr>
              <w:t>.244</w:t>
            </w:r>
          </w:p>
        </w:tc>
      </w:tr>
      <w:tr w:rsidR="00B10481" w:rsidRPr="00A86586" w14:paraId="53B1C707" w14:textId="77777777" w:rsidTr="0096614E">
        <w:trPr>
          <w:cantSplit/>
          <w:trHeight w:val="340"/>
          <w:jc w:val="center"/>
        </w:trPr>
        <w:tc>
          <w:tcPr>
            <w:tcW w:w="1246" w:type="pct"/>
            <w:vAlign w:val="center"/>
          </w:tcPr>
          <w:p w14:paraId="3C9691D6" w14:textId="77777777" w:rsidR="00B10481" w:rsidRPr="00A86586" w:rsidRDefault="00B10481" w:rsidP="003210FE">
            <w:pPr>
              <w:jc w:val="center"/>
              <w:rPr>
                <w:rFonts w:ascii="Calibri" w:hAnsi="Calibri"/>
                <w:b/>
                <w:color w:val="auto"/>
                <w:szCs w:val="21"/>
                <w:u w:val="single"/>
              </w:rPr>
            </w:pPr>
            <w:r w:rsidRPr="00A86586">
              <w:rPr>
                <w:rFonts w:ascii="Calibri" w:hAnsi="Calibri" w:hint="eastAsia"/>
                <w:b/>
                <w:color w:val="auto"/>
                <w:szCs w:val="21"/>
                <w:u w:val="single"/>
              </w:rPr>
              <w:t>尼龙</w:t>
            </w:r>
            <w:r w:rsidRPr="00A86586">
              <w:rPr>
                <w:rFonts w:ascii="Calibri" w:hAnsi="Calibri" w:hint="eastAsia"/>
                <w:b/>
                <w:color w:val="auto"/>
                <w:szCs w:val="21"/>
                <w:u w:val="single"/>
              </w:rPr>
              <w:t>12</w:t>
            </w:r>
            <w:r w:rsidRPr="00A86586">
              <w:rPr>
                <w:rFonts w:ascii="Calibri" w:hAnsi="Calibri" w:hint="eastAsia"/>
                <w:b/>
                <w:color w:val="auto"/>
                <w:szCs w:val="21"/>
                <w:u w:val="single"/>
              </w:rPr>
              <w:t>盐</w:t>
            </w:r>
          </w:p>
        </w:tc>
        <w:tc>
          <w:tcPr>
            <w:tcW w:w="1454" w:type="pct"/>
            <w:vAlign w:val="center"/>
          </w:tcPr>
          <w:p w14:paraId="77659BBA" w14:textId="77777777" w:rsidR="00B10481" w:rsidRPr="00A86586" w:rsidRDefault="00E65B69" w:rsidP="003210FE">
            <w:pPr>
              <w:jc w:val="center"/>
              <w:rPr>
                <w:rFonts w:ascii="Calibri" w:hAnsi="Calibri"/>
                <w:b/>
                <w:color w:val="auto"/>
                <w:szCs w:val="21"/>
                <w:u w:val="single"/>
              </w:rPr>
            </w:pPr>
            <w:r w:rsidRPr="00A86586">
              <w:rPr>
                <w:rFonts w:ascii="Calibri" w:hAnsi="Calibri"/>
                <w:b/>
                <w:color w:val="auto"/>
                <w:szCs w:val="21"/>
                <w:u w:val="single"/>
              </w:rPr>
              <w:t>720</w:t>
            </w:r>
          </w:p>
        </w:tc>
        <w:tc>
          <w:tcPr>
            <w:tcW w:w="1366" w:type="pct"/>
            <w:vAlign w:val="center"/>
          </w:tcPr>
          <w:p w14:paraId="1014185F" w14:textId="77777777" w:rsidR="00B10481" w:rsidRPr="00A86586" w:rsidRDefault="00B10481" w:rsidP="003210FE">
            <w:pPr>
              <w:jc w:val="center"/>
              <w:rPr>
                <w:rFonts w:ascii="Calibri" w:hAnsi="Calibri"/>
                <w:b/>
                <w:color w:val="auto"/>
                <w:szCs w:val="21"/>
                <w:u w:val="single"/>
              </w:rPr>
            </w:pPr>
            <w:r w:rsidRPr="00A86586">
              <w:rPr>
                <w:rFonts w:ascii="Calibri" w:hAnsi="Calibri" w:hint="eastAsia"/>
                <w:b/>
                <w:color w:val="auto"/>
                <w:szCs w:val="21"/>
                <w:u w:val="single"/>
              </w:rPr>
              <w:t>废气带走</w:t>
            </w:r>
          </w:p>
        </w:tc>
        <w:tc>
          <w:tcPr>
            <w:tcW w:w="934" w:type="pct"/>
            <w:vAlign w:val="center"/>
          </w:tcPr>
          <w:p w14:paraId="6DF7BA44" w14:textId="77777777" w:rsidR="00B10481" w:rsidRPr="00A86586" w:rsidRDefault="00576CA2" w:rsidP="00BB3CB4">
            <w:pPr>
              <w:jc w:val="center"/>
              <w:rPr>
                <w:rFonts w:ascii="Calibri" w:hAnsi="Calibri"/>
                <w:b/>
                <w:color w:val="auto"/>
                <w:szCs w:val="21"/>
                <w:u w:val="single"/>
              </w:rPr>
            </w:pPr>
            <w:r w:rsidRPr="00A86586">
              <w:rPr>
                <w:rFonts w:ascii="Calibri" w:hAnsi="Calibri"/>
                <w:b/>
                <w:color w:val="auto"/>
                <w:szCs w:val="21"/>
                <w:u w:val="single"/>
              </w:rPr>
              <w:t>6.991</w:t>
            </w:r>
          </w:p>
        </w:tc>
      </w:tr>
      <w:tr w:rsidR="00B10481" w:rsidRPr="00A86586" w14:paraId="60FCB452" w14:textId="77777777" w:rsidTr="0096614E">
        <w:trPr>
          <w:cantSplit/>
          <w:trHeight w:val="340"/>
          <w:jc w:val="center"/>
        </w:trPr>
        <w:tc>
          <w:tcPr>
            <w:tcW w:w="1246" w:type="pct"/>
            <w:vAlign w:val="center"/>
          </w:tcPr>
          <w:p w14:paraId="662D28FD" w14:textId="77777777" w:rsidR="00B10481" w:rsidRPr="00A86586" w:rsidRDefault="00B10481" w:rsidP="003210FE">
            <w:pPr>
              <w:jc w:val="center"/>
              <w:rPr>
                <w:rFonts w:ascii="Calibri" w:hAnsi="Calibri"/>
                <w:b/>
                <w:color w:val="auto"/>
                <w:szCs w:val="21"/>
                <w:u w:val="single"/>
              </w:rPr>
            </w:pPr>
            <w:r w:rsidRPr="00A86586">
              <w:rPr>
                <w:rFonts w:ascii="Calibri" w:hAnsi="Calibri" w:hint="eastAsia"/>
                <w:b/>
                <w:color w:val="auto"/>
                <w:szCs w:val="21"/>
                <w:u w:val="single"/>
              </w:rPr>
              <w:t>尼龙</w:t>
            </w:r>
            <w:r w:rsidRPr="00A86586">
              <w:rPr>
                <w:rFonts w:ascii="Calibri" w:hAnsi="Calibri" w:hint="eastAsia"/>
                <w:b/>
                <w:color w:val="auto"/>
                <w:szCs w:val="21"/>
                <w:u w:val="single"/>
              </w:rPr>
              <w:t>1010</w:t>
            </w:r>
            <w:r w:rsidRPr="00A86586">
              <w:rPr>
                <w:rFonts w:ascii="Calibri" w:hAnsi="Calibri" w:hint="eastAsia"/>
                <w:b/>
                <w:color w:val="auto"/>
                <w:szCs w:val="21"/>
                <w:u w:val="single"/>
              </w:rPr>
              <w:t>盐</w:t>
            </w:r>
          </w:p>
        </w:tc>
        <w:tc>
          <w:tcPr>
            <w:tcW w:w="1454" w:type="pct"/>
            <w:vAlign w:val="center"/>
          </w:tcPr>
          <w:p w14:paraId="6D8A5CC1" w14:textId="77777777" w:rsidR="00B10481" w:rsidRPr="00A86586" w:rsidRDefault="00E65B69" w:rsidP="003210FE">
            <w:pPr>
              <w:jc w:val="center"/>
              <w:rPr>
                <w:rFonts w:ascii="Calibri" w:hAnsi="Calibri"/>
                <w:b/>
                <w:color w:val="auto"/>
                <w:szCs w:val="21"/>
                <w:u w:val="single"/>
              </w:rPr>
            </w:pPr>
            <w:r w:rsidRPr="00A86586">
              <w:rPr>
                <w:rFonts w:ascii="Calibri" w:hAnsi="Calibri"/>
                <w:b/>
                <w:color w:val="auto"/>
                <w:szCs w:val="21"/>
                <w:u w:val="single"/>
              </w:rPr>
              <w:t>180</w:t>
            </w:r>
          </w:p>
        </w:tc>
        <w:tc>
          <w:tcPr>
            <w:tcW w:w="1366" w:type="pct"/>
            <w:vAlign w:val="center"/>
          </w:tcPr>
          <w:p w14:paraId="70155910" w14:textId="77777777" w:rsidR="00B10481" w:rsidRPr="00A86586" w:rsidRDefault="00B10481" w:rsidP="003210FE">
            <w:pPr>
              <w:jc w:val="center"/>
              <w:rPr>
                <w:rFonts w:ascii="Calibri" w:hAnsi="Calibri"/>
                <w:b/>
                <w:color w:val="auto"/>
                <w:szCs w:val="21"/>
                <w:u w:val="single"/>
              </w:rPr>
            </w:pPr>
            <w:r w:rsidRPr="00A86586">
              <w:rPr>
                <w:rFonts w:ascii="Calibri" w:hAnsi="Calibri" w:hint="eastAsia"/>
                <w:b/>
                <w:color w:val="auto"/>
                <w:szCs w:val="21"/>
                <w:u w:val="single"/>
              </w:rPr>
              <w:t>废水</w:t>
            </w:r>
          </w:p>
        </w:tc>
        <w:tc>
          <w:tcPr>
            <w:tcW w:w="934" w:type="pct"/>
            <w:vAlign w:val="center"/>
          </w:tcPr>
          <w:p w14:paraId="7E06ABE0" w14:textId="77777777" w:rsidR="00B10481" w:rsidRPr="00A86586" w:rsidRDefault="00576CA2" w:rsidP="003210FE">
            <w:pPr>
              <w:jc w:val="center"/>
              <w:rPr>
                <w:rFonts w:ascii="Calibri" w:hAnsi="Calibri"/>
                <w:b/>
                <w:color w:val="auto"/>
                <w:szCs w:val="21"/>
                <w:u w:val="single"/>
              </w:rPr>
            </w:pPr>
            <w:r w:rsidRPr="00A86586">
              <w:rPr>
                <w:rFonts w:ascii="Calibri" w:hAnsi="Calibri"/>
                <w:b/>
                <w:color w:val="auto"/>
                <w:szCs w:val="21"/>
                <w:u w:val="single"/>
              </w:rPr>
              <w:t>1082.865</w:t>
            </w:r>
          </w:p>
        </w:tc>
      </w:tr>
      <w:tr w:rsidR="00B10481" w:rsidRPr="00A86586" w14:paraId="7C2A06B5" w14:textId="77777777" w:rsidTr="0096614E">
        <w:trPr>
          <w:cantSplit/>
          <w:trHeight w:val="340"/>
          <w:jc w:val="center"/>
        </w:trPr>
        <w:tc>
          <w:tcPr>
            <w:tcW w:w="1246" w:type="pct"/>
            <w:vAlign w:val="center"/>
          </w:tcPr>
          <w:p w14:paraId="599EA90B" w14:textId="77777777" w:rsidR="00B10481" w:rsidRPr="00A86586" w:rsidRDefault="00B10481" w:rsidP="003210FE">
            <w:pPr>
              <w:jc w:val="center"/>
              <w:rPr>
                <w:rFonts w:ascii="Calibri" w:hAnsi="Calibri"/>
                <w:b/>
                <w:color w:val="auto"/>
                <w:szCs w:val="21"/>
                <w:u w:val="single"/>
              </w:rPr>
            </w:pPr>
            <w:r w:rsidRPr="00A86586">
              <w:rPr>
                <w:rFonts w:ascii="Calibri" w:hAnsi="Calibri" w:hint="eastAsia"/>
                <w:b/>
                <w:color w:val="auto"/>
                <w:szCs w:val="21"/>
                <w:u w:val="single"/>
              </w:rPr>
              <w:t>次磷酸钠</w:t>
            </w:r>
          </w:p>
        </w:tc>
        <w:tc>
          <w:tcPr>
            <w:tcW w:w="1454" w:type="pct"/>
            <w:vAlign w:val="center"/>
          </w:tcPr>
          <w:p w14:paraId="36C8037B" w14:textId="77777777" w:rsidR="00B10481" w:rsidRPr="00A86586" w:rsidRDefault="00E65B69" w:rsidP="003210FE">
            <w:pPr>
              <w:jc w:val="center"/>
              <w:rPr>
                <w:rFonts w:ascii="Calibri" w:hAnsi="Calibri"/>
                <w:b/>
                <w:color w:val="auto"/>
                <w:szCs w:val="21"/>
                <w:u w:val="single"/>
              </w:rPr>
            </w:pPr>
            <w:r w:rsidRPr="00A86586">
              <w:rPr>
                <w:rFonts w:ascii="Calibri" w:hAnsi="Calibri"/>
                <w:b/>
                <w:color w:val="auto"/>
                <w:szCs w:val="21"/>
                <w:u w:val="single"/>
              </w:rPr>
              <w:t>0.1</w:t>
            </w:r>
          </w:p>
        </w:tc>
        <w:tc>
          <w:tcPr>
            <w:tcW w:w="1366" w:type="pct"/>
            <w:vAlign w:val="center"/>
          </w:tcPr>
          <w:p w14:paraId="323A6285" w14:textId="77777777" w:rsidR="00B10481" w:rsidRPr="00A86586" w:rsidRDefault="00B10481" w:rsidP="003210FE">
            <w:pPr>
              <w:jc w:val="center"/>
              <w:rPr>
                <w:rFonts w:ascii="Calibri" w:hAnsi="Calibri"/>
                <w:b/>
                <w:color w:val="auto"/>
                <w:szCs w:val="21"/>
                <w:u w:val="single"/>
              </w:rPr>
            </w:pPr>
          </w:p>
        </w:tc>
        <w:tc>
          <w:tcPr>
            <w:tcW w:w="934" w:type="pct"/>
            <w:vAlign w:val="center"/>
          </w:tcPr>
          <w:p w14:paraId="04E2642F" w14:textId="77777777" w:rsidR="00B10481" w:rsidRPr="00A86586" w:rsidRDefault="00B10481" w:rsidP="003210FE">
            <w:pPr>
              <w:jc w:val="center"/>
              <w:rPr>
                <w:rFonts w:ascii="Calibri" w:hAnsi="Calibri"/>
                <w:b/>
                <w:color w:val="auto"/>
                <w:szCs w:val="21"/>
                <w:u w:val="single"/>
              </w:rPr>
            </w:pPr>
          </w:p>
        </w:tc>
      </w:tr>
      <w:tr w:rsidR="00B10481" w:rsidRPr="00A86586" w14:paraId="5DF0AC28" w14:textId="77777777" w:rsidTr="0096614E">
        <w:trPr>
          <w:cantSplit/>
          <w:trHeight w:val="340"/>
          <w:jc w:val="center"/>
        </w:trPr>
        <w:tc>
          <w:tcPr>
            <w:tcW w:w="1246" w:type="pct"/>
            <w:vAlign w:val="center"/>
          </w:tcPr>
          <w:p w14:paraId="73505153" w14:textId="77777777" w:rsidR="00B10481" w:rsidRPr="00A86586" w:rsidRDefault="00B10481" w:rsidP="003210FE">
            <w:pPr>
              <w:jc w:val="center"/>
              <w:rPr>
                <w:rFonts w:ascii="Calibri" w:hAnsi="Calibri"/>
                <w:b/>
                <w:color w:val="auto"/>
                <w:szCs w:val="21"/>
                <w:u w:val="single"/>
              </w:rPr>
            </w:pPr>
            <w:r w:rsidRPr="00A86586">
              <w:rPr>
                <w:rFonts w:ascii="Calibri" w:hAnsi="Calibri" w:hint="eastAsia"/>
                <w:b/>
                <w:color w:val="auto"/>
                <w:szCs w:val="21"/>
                <w:u w:val="single"/>
              </w:rPr>
              <w:t>制</w:t>
            </w:r>
            <w:r w:rsidRPr="00A86586">
              <w:rPr>
                <w:rFonts w:ascii="Calibri" w:hAnsi="Calibri"/>
                <w:b/>
                <w:color w:val="auto"/>
                <w:szCs w:val="21"/>
                <w:u w:val="single"/>
              </w:rPr>
              <w:t>粒</w:t>
            </w:r>
            <w:r w:rsidRPr="00A86586">
              <w:rPr>
                <w:rFonts w:ascii="Calibri" w:hAnsi="Calibri" w:hint="eastAsia"/>
                <w:b/>
                <w:color w:val="auto"/>
                <w:szCs w:val="21"/>
                <w:u w:val="single"/>
              </w:rPr>
              <w:t>冷却</w:t>
            </w:r>
            <w:r w:rsidRPr="00A86586">
              <w:rPr>
                <w:rFonts w:ascii="Calibri" w:hAnsi="Calibri"/>
                <w:b/>
                <w:color w:val="auto"/>
                <w:szCs w:val="21"/>
                <w:u w:val="single"/>
              </w:rPr>
              <w:t>纯水</w:t>
            </w:r>
          </w:p>
        </w:tc>
        <w:tc>
          <w:tcPr>
            <w:tcW w:w="1454" w:type="pct"/>
            <w:vAlign w:val="center"/>
          </w:tcPr>
          <w:p w14:paraId="6B4CDBDB" w14:textId="77777777" w:rsidR="00B10481" w:rsidRPr="00A86586" w:rsidRDefault="00E65B69" w:rsidP="00BB3CB4">
            <w:pPr>
              <w:jc w:val="center"/>
              <w:rPr>
                <w:rFonts w:ascii="Calibri" w:hAnsi="Calibri"/>
                <w:b/>
                <w:color w:val="auto"/>
                <w:szCs w:val="21"/>
                <w:u w:val="single"/>
              </w:rPr>
            </w:pPr>
            <w:r w:rsidRPr="00A86586">
              <w:rPr>
                <w:rFonts w:ascii="Calibri" w:hAnsi="Calibri"/>
                <w:b/>
                <w:color w:val="auto"/>
                <w:szCs w:val="21"/>
                <w:u w:val="single"/>
              </w:rPr>
              <w:t>7</w:t>
            </w:r>
            <w:r w:rsidR="00BB3CB4" w:rsidRPr="00A86586">
              <w:rPr>
                <w:rFonts w:ascii="Calibri" w:hAnsi="Calibri"/>
                <w:b/>
                <w:color w:val="auto"/>
                <w:szCs w:val="21"/>
                <w:u w:val="single"/>
              </w:rPr>
              <w:t>7</w:t>
            </w:r>
          </w:p>
        </w:tc>
        <w:tc>
          <w:tcPr>
            <w:tcW w:w="1366" w:type="pct"/>
            <w:vAlign w:val="center"/>
          </w:tcPr>
          <w:p w14:paraId="7E9B4063" w14:textId="77777777" w:rsidR="00B10481" w:rsidRPr="00A86586" w:rsidRDefault="00B10481" w:rsidP="003210FE">
            <w:pPr>
              <w:jc w:val="center"/>
              <w:rPr>
                <w:rFonts w:ascii="Calibri" w:hAnsi="Calibri"/>
                <w:b/>
                <w:color w:val="auto"/>
                <w:szCs w:val="21"/>
                <w:u w:val="single"/>
              </w:rPr>
            </w:pPr>
          </w:p>
        </w:tc>
        <w:tc>
          <w:tcPr>
            <w:tcW w:w="934" w:type="pct"/>
            <w:vAlign w:val="center"/>
          </w:tcPr>
          <w:p w14:paraId="25022275" w14:textId="77777777" w:rsidR="00B10481" w:rsidRPr="00A86586" w:rsidRDefault="00B10481" w:rsidP="003210FE">
            <w:pPr>
              <w:jc w:val="center"/>
              <w:rPr>
                <w:rFonts w:ascii="Calibri" w:hAnsi="Calibri"/>
                <w:b/>
                <w:color w:val="auto"/>
                <w:szCs w:val="21"/>
                <w:u w:val="single"/>
              </w:rPr>
            </w:pPr>
          </w:p>
        </w:tc>
      </w:tr>
      <w:tr w:rsidR="00B10481" w:rsidRPr="00A86586" w14:paraId="5358E892" w14:textId="77777777" w:rsidTr="0096614E">
        <w:trPr>
          <w:cantSplit/>
          <w:trHeight w:val="340"/>
          <w:jc w:val="center"/>
        </w:trPr>
        <w:tc>
          <w:tcPr>
            <w:tcW w:w="1246" w:type="pct"/>
            <w:vAlign w:val="center"/>
          </w:tcPr>
          <w:p w14:paraId="75096992" w14:textId="77777777" w:rsidR="00B10481" w:rsidRPr="00A86586" w:rsidRDefault="00383797" w:rsidP="003210FE">
            <w:pPr>
              <w:jc w:val="center"/>
              <w:rPr>
                <w:rFonts w:ascii="Calibri" w:hAnsi="Calibri"/>
                <w:b/>
                <w:color w:val="auto"/>
                <w:szCs w:val="21"/>
                <w:u w:val="single"/>
              </w:rPr>
            </w:pPr>
            <w:r w:rsidRPr="00A86586">
              <w:rPr>
                <w:rFonts w:ascii="Calibri" w:hint="eastAsia"/>
                <w:b/>
                <w:color w:val="auto"/>
                <w:szCs w:val="21"/>
                <w:u w:val="single"/>
              </w:rPr>
              <w:t>喷淋塔新鲜水</w:t>
            </w:r>
          </w:p>
        </w:tc>
        <w:tc>
          <w:tcPr>
            <w:tcW w:w="1454" w:type="pct"/>
            <w:vAlign w:val="center"/>
          </w:tcPr>
          <w:p w14:paraId="05240D97" w14:textId="77777777" w:rsidR="00B10481" w:rsidRPr="00A86586" w:rsidRDefault="00E65B69" w:rsidP="003210FE">
            <w:pPr>
              <w:jc w:val="center"/>
              <w:rPr>
                <w:rFonts w:ascii="Calibri" w:hAnsi="Calibri"/>
                <w:b/>
                <w:color w:val="auto"/>
                <w:szCs w:val="21"/>
                <w:u w:val="single"/>
              </w:rPr>
            </w:pPr>
            <w:r w:rsidRPr="00A86586">
              <w:rPr>
                <w:rFonts w:ascii="Calibri" w:hAnsi="Calibri"/>
                <w:b/>
                <w:color w:val="auto"/>
                <w:szCs w:val="21"/>
                <w:u w:val="single"/>
              </w:rPr>
              <w:t>182</w:t>
            </w:r>
          </w:p>
        </w:tc>
        <w:tc>
          <w:tcPr>
            <w:tcW w:w="1366" w:type="pct"/>
            <w:tcBorders>
              <w:left w:val="single" w:sz="4" w:space="0" w:color="auto"/>
            </w:tcBorders>
            <w:vAlign w:val="center"/>
          </w:tcPr>
          <w:p w14:paraId="5329FD98" w14:textId="77777777" w:rsidR="00B10481" w:rsidRPr="00A86586" w:rsidRDefault="00B10481" w:rsidP="003210FE">
            <w:pPr>
              <w:jc w:val="center"/>
              <w:rPr>
                <w:rFonts w:ascii="Calibri" w:hAnsi="Calibri"/>
                <w:b/>
                <w:color w:val="auto"/>
                <w:szCs w:val="21"/>
                <w:u w:val="single"/>
              </w:rPr>
            </w:pPr>
          </w:p>
        </w:tc>
        <w:tc>
          <w:tcPr>
            <w:tcW w:w="934" w:type="pct"/>
            <w:vAlign w:val="center"/>
          </w:tcPr>
          <w:p w14:paraId="0CF2A2B6" w14:textId="77777777" w:rsidR="00B10481" w:rsidRPr="00A86586" w:rsidRDefault="00B10481" w:rsidP="003210FE">
            <w:pPr>
              <w:jc w:val="center"/>
              <w:rPr>
                <w:rFonts w:ascii="Calibri" w:hAnsi="Calibri"/>
                <w:b/>
                <w:color w:val="auto"/>
                <w:szCs w:val="21"/>
                <w:u w:val="single"/>
              </w:rPr>
            </w:pPr>
          </w:p>
        </w:tc>
      </w:tr>
      <w:tr w:rsidR="00B10481" w:rsidRPr="00A86586" w14:paraId="5B24A69A" w14:textId="77777777" w:rsidTr="0096614E">
        <w:trPr>
          <w:cantSplit/>
          <w:trHeight w:val="340"/>
          <w:jc w:val="center"/>
        </w:trPr>
        <w:tc>
          <w:tcPr>
            <w:tcW w:w="1246" w:type="pct"/>
            <w:vAlign w:val="center"/>
          </w:tcPr>
          <w:p w14:paraId="14DF1BAF" w14:textId="77777777" w:rsidR="00B10481" w:rsidRPr="00A86586" w:rsidRDefault="00B10481" w:rsidP="003210FE">
            <w:pPr>
              <w:jc w:val="center"/>
              <w:rPr>
                <w:rFonts w:ascii="Calibri" w:hAnsi="Calibri"/>
                <w:b/>
                <w:color w:val="auto"/>
                <w:szCs w:val="21"/>
                <w:u w:val="single"/>
              </w:rPr>
            </w:pPr>
            <w:r w:rsidRPr="00A86586">
              <w:rPr>
                <w:rFonts w:ascii="Calibri"/>
                <w:b/>
                <w:color w:val="auto"/>
                <w:kern w:val="0"/>
                <w:szCs w:val="21"/>
                <w:u w:val="single"/>
              </w:rPr>
              <w:t>合计</w:t>
            </w:r>
          </w:p>
        </w:tc>
        <w:tc>
          <w:tcPr>
            <w:tcW w:w="1454" w:type="pct"/>
            <w:vAlign w:val="center"/>
          </w:tcPr>
          <w:p w14:paraId="4E35B89A" w14:textId="77777777" w:rsidR="00B10481" w:rsidRPr="00A86586" w:rsidRDefault="00E65B69" w:rsidP="00BB3CB4">
            <w:pPr>
              <w:jc w:val="center"/>
              <w:rPr>
                <w:rFonts w:ascii="Calibri" w:hAnsi="Calibri"/>
                <w:b/>
                <w:color w:val="auto"/>
                <w:szCs w:val="21"/>
                <w:u w:val="single"/>
              </w:rPr>
            </w:pPr>
            <w:r w:rsidRPr="00A86586">
              <w:rPr>
                <w:rFonts w:ascii="Calibri" w:hAnsi="Calibri"/>
                <w:b/>
                <w:color w:val="auto"/>
                <w:szCs w:val="21"/>
                <w:u w:val="single"/>
              </w:rPr>
              <w:t>2</w:t>
            </w:r>
            <w:r w:rsidR="00BB3CB4" w:rsidRPr="00A86586">
              <w:rPr>
                <w:rFonts w:ascii="Calibri" w:hAnsi="Calibri"/>
                <w:b/>
                <w:color w:val="auto"/>
                <w:szCs w:val="21"/>
                <w:u w:val="single"/>
              </w:rPr>
              <w:t>599</w:t>
            </w:r>
            <w:r w:rsidRPr="00A86586">
              <w:rPr>
                <w:rFonts w:ascii="Calibri" w:hAnsi="Calibri"/>
                <w:b/>
                <w:color w:val="auto"/>
                <w:szCs w:val="21"/>
                <w:u w:val="single"/>
              </w:rPr>
              <w:t>.1</w:t>
            </w:r>
          </w:p>
        </w:tc>
        <w:tc>
          <w:tcPr>
            <w:tcW w:w="1366" w:type="pct"/>
            <w:tcBorders>
              <w:left w:val="single" w:sz="4" w:space="0" w:color="auto"/>
            </w:tcBorders>
            <w:vAlign w:val="center"/>
          </w:tcPr>
          <w:p w14:paraId="7DF7D657" w14:textId="77777777" w:rsidR="00B10481" w:rsidRPr="00A86586" w:rsidRDefault="00B10481" w:rsidP="003210FE">
            <w:pPr>
              <w:jc w:val="center"/>
              <w:rPr>
                <w:rFonts w:ascii="Calibri" w:hAnsi="Calibri"/>
                <w:b/>
                <w:color w:val="auto"/>
                <w:szCs w:val="21"/>
                <w:u w:val="single"/>
              </w:rPr>
            </w:pPr>
            <w:r w:rsidRPr="00A86586">
              <w:rPr>
                <w:rFonts w:ascii="Calibri"/>
                <w:b/>
                <w:color w:val="auto"/>
                <w:szCs w:val="21"/>
                <w:u w:val="single"/>
              </w:rPr>
              <w:t>合计</w:t>
            </w:r>
          </w:p>
        </w:tc>
        <w:tc>
          <w:tcPr>
            <w:tcW w:w="934" w:type="pct"/>
            <w:vAlign w:val="center"/>
          </w:tcPr>
          <w:p w14:paraId="27E6C51D" w14:textId="77777777" w:rsidR="00B10481" w:rsidRPr="00A86586" w:rsidRDefault="00E65B69" w:rsidP="00BB3CB4">
            <w:pPr>
              <w:jc w:val="center"/>
              <w:rPr>
                <w:rFonts w:ascii="Calibri" w:hAnsi="Calibri"/>
                <w:b/>
                <w:color w:val="auto"/>
                <w:szCs w:val="21"/>
                <w:u w:val="single"/>
              </w:rPr>
            </w:pPr>
            <w:r w:rsidRPr="00A86586">
              <w:rPr>
                <w:rFonts w:ascii="Calibri" w:hAnsi="Calibri"/>
                <w:b/>
                <w:color w:val="auto"/>
                <w:szCs w:val="21"/>
                <w:u w:val="single"/>
              </w:rPr>
              <w:t>2</w:t>
            </w:r>
            <w:r w:rsidR="00BB3CB4" w:rsidRPr="00A86586">
              <w:rPr>
                <w:rFonts w:ascii="Calibri" w:hAnsi="Calibri"/>
                <w:b/>
                <w:color w:val="auto"/>
                <w:szCs w:val="21"/>
                <w:u w:val="single"/>
              </w:rPr>
              <w:t>599</w:t>
            </w:r>
            <w:r w:rsidRPr="00A86586">
              <w:rPr>
                <w:rFonts w:ascii="Calibri" w:hAnsi="Calibri"/>
                <w:b/>
                <w:color w:val="auto"/>
                <w:szCs w:val="21"/>
                <w:u w:val="single"/>
              </w:rPr>
              <w:t>.1</w:t>
            </w:r>
          </w:p>
        </w:tc>
      </w:tr>
    </w:tbl>
    <w:p w14:paraId="28183D36" w14:textId="77777777" w:rsidR="0096614E" w:rsidRDefault="0096614E" w:rsidP="0096614E">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.2</w:t>
      </w:r>
      <w:r w:rsidRPr="00A964FF">
        <w:rPr>
          <w:rFonts w:ascii="Calibri" w:eastAsia="黑体" w:hAnsi="Calibri"/>
          <w:color w:val="auto"/>
          <w:sz w:val="24"/>
        </w:rPr>
        <w:t>-</w:t>
      </w:r>
      <w:r>
        <w:rPr>
          <w:rFonts w:ascii="Calibri" w:eastAsia="黑体" w:hAnsi="Calibri"/>
          <w:color w:val="auto"/>
          <w:sz w:val="24"/>
        </w:rPr>
        <w:t>5</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Pr>
          <w:rFonts w:ascii="Calibri" w:eastAsia="黑体" w:hAnsi="Calibri" w:hint="eastAsia"/>
          <w:color w:val="auto"/>
          <w:sz w:val="24"/>
        </w:rPr>
        <w:t xml:space="preserve">   </w:t>
      </w:r>
      <w:r w:rsidRPr="00A964FF">
        <w:rPr>
          <w:rFonts w:ascii="Calibri" w:eastAsia="黑体" w:hAnsi="Calibri"/>
          <w:color w:val="auto"/>
          <w:sz w:val="24"/>
        </w:rPr>
        <w:t xml:space="preserve"> </w:t>
      </w:r>
      <w:r w:rsidR="0083308C" w:rsidRPr="0083308C">
        <w:rPr>
          <w:rFonts w:ascii="Calibri" w:eastAsia="黑体" w:hAnsi="Calibri" w:hint="eastAsia"/>
          <w:color w:val="auto"/>
          <w:sz w:val="24"/>
        </w:rPr>
        <w:t>透明尼龙</w:t>
      </w:r>
      <w:r>
        <w:rPr>
          <w:rFonts w:ascii="Calibri" w:eastAsia="黑体" w:hAnsi="Calibri" w:hint="eastAsia"/>
          <w:color w:val="auto"/>
          <w:sz w:val="24"/>
        </w:rPr>
        <w:t>切片二期己二胺工艺物料</w:t>
      </w:r>
      <w:r>
        <w:rPr>
          <w:rFonts w:ascii="Calibri" w:eastAsia="黑体" w:hAnsi="Calibri"/>
          <w:color w:val="auto"/>
          <w:sz w:val="24"/>
        </w:rPr>
        <w:t>平衡</w:t>
      </w:r>
      <w:r>
        <w:rPr>
          <w:rFonts w:ascii="Calibri" w:eastAsia="黑体" w:hAnsi="Calibri" w:hint="eastAsia"/>
          <w:color w:val="auto"/>
          <w:sz w:val="24"/>
        </w:rPr>
        <w:t>一览</w:t>
      </w:r>
      <w:r>
        <w:rPr>
          <w:rFonts w:ascii="Calibri" w:eastAsia="黑体" w:hAnsi="Calibri"/>
          <w:color w:val="auto"/>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168"/>
        <w:gridCol w:w="2212"/>
        <w:gridCol w:w="2695"/>
        <w:gridCol w:w="1625"/>
      </w:tblGrid>
      <w:tr w:rsidR="00CE7C3C" w:rsidRPr="00CE7C3C" w14:paraId="7EB06260" w14:textId="77777777" w:rsidTr="0007105B">
        <w:trPr>
          <w:cantSplit/>
          <w:trHeight w:val="340"/>
          <w:jc w:val="center"/>
        </w:trPr>
        <w:tc>
          <w:tcPr>
            <w:tcW w:w="2517" w:type="pct"/>
            <w:gridSpan w:val="2"/>
            <w:vAlign w:val="center"/>
          </w:tcPr>
          <w:p w14:paraId="44F0FD3C" w14:textId="77777777" w:rsidR="00CE7C3C" w:rsidRPr="00CE7C3C" w:rsidRDefault="00CE7C3C" w:rsidP="0007105B">
            <w:pPr>
              <w:jc w:val="center"/>
              <w:rPr>
                <w:rFonts w:ascii="Calibri" w:hAnsi="Calibri"/>
                <w:b/>
                <w:color w:val="auto"/>
                <w:szCs w:val="21"/>
                <w:u w:val="single"/>
              </w:rPr>
            </w:pPr>
            <w:r w:rsidRPr="00CE7C3C">
              <w:rPr>
                <w:rFonts w:ascii="Calibri"/>
                <w:b/>
                <w:color w:val="auto"/>
                <w:szCs w:val="21"/>
                <w:u w:val="single"/>
              </w:rPr>
              <w:t>输入方</w:t>
            </w:r>
          </w:p>
        </w:tc>
        <w:tc>
          <w:tcPr>
            <w:tcW w:w="2483" w:type="pct"/>
            <w:gridSpan w:val="2"/>
            <w:tcBorders>
              <w:left w:val="single" w:sz="4" w:space="0" w:color="auto"/>
            </w:tcBorders>
            <w:vAlign w:val="center"/>
          </w:tcPr>
          <w:p w14:paraId="6C2FBE9C" w14:textId="77777777" w:rsidR="00CE7C3C" w:rsidRPr="00CE7C3C" w:rsidRDefault="00CE7C3C" w:rsidP="0007105B">
            <w:pPr>
              <w:jc w:val="center"/>
              <w:rPr>
                <w:rFonts w:ascii="Calibri" w:hAnsi="Calibri"/>
                <w:b/>
                <w:color w:val="auto"/>
                <w:szCs w:val="21"/>
                <w:u w:val="single"/>
              </w:rPr>
            </w:pPr>
            <w:r w:rsidRPr="00CE7C3C">
              <w:rPr>
                <w:rFonts w:ascii="Calibri"/>
                <w:b/>
                <w:color w:val="auto"/>
                <w:szCs w:val="21"/>
                <w:u w:val="single"/>
              </w:rPr>
              <w:t>输出方</w:t>
            </w:r>
          </w:p>
        </w:tc>
      </w:tr>
      <w:tr w:rsidR="00CE7C3C" w:rsidRPr="00CE7C3C" w14:paraId="106D2B91" w14:textId="77777777" w:rsidTr="0007105B">
        <w:trPr>
          <w:cantSplit/>
          <w:trHeight w:val="340"/>
          <w:jc w:val="center"/>
        </w:trPr>
        <w:tc>
          <w:tcPr>
            <w:tcW w:w="1246" w:type="pct"/>
            <w:vAlign w:val="center"/>
          </w:tcPr>
          <w:p w14:paraId="4FBAF8E1" w14:textId="77777777" w:rsidR="00CE7C3C" w:rsidRPr="00CE7C3C" w:rsidRDefault="00CE7C3C" w:rsidP="0007105B">
            <w:pPr>
              <w:jc w:val="center"/>
              <w:rPr>
                <w:rFonts w:ascii="Calibri" w:hAnsi="Calibri"/>
                <w:b/>
                <w:color w:val="auto"/>
                <w:szCs w:val="21"/>
                <w:u w:val="single"/>
              </w:rPr>
            </w:pPr>
            <w:r w:rsidRPr="00CE7C3C">
              <w:rPr>
                <w:rFonts w:ascii="Calibri"/>
                <w:b/>
                <w:color w:val="auto"/>
                <w:szCs w:val="21"/>
                <w:u w:val="single"/>
              </w:rPr>
              <w:t>名称</w:t>
            </w:r>
          </w:p>
        </w:tc>
        <w:tc>
          <w:tcPr>
            <w:tcW w:w="1271" w:type="pct"/>
            <w:vAlign w:val="center"/>
          </w:tcPr>
          <w:p w14:paraId="52EAC141" w14:textId="77777777" w:rsidR="00CE7C3C" w:rsidRPr="00CE7C3C" w:rsidRDefault="00CE7C3C" w:rsidP="0007105B">
            <w:pPr>
              <w:jc w:val="center"/>
              <w:rPr>
                <w:rFonts w:ascii="Calibri"/>
                <w:b/>
                <w:color w:val="auto"/>
                <w:szCs w:val="21"/>
                <w:u w:val="single"/>
              </w:rPr>
            </w:pPr>
            <w:r w:rsidRPr="00CE7C3C">
              <w:rPr>
                <w:rFonts w:ascii="Calibri" w:hint="eastAsia"/>
                <w:b/>
                <w:color w:val="auto"/>
                <w:szCs w:val="21"/>
                <w:u w:val="single"/>
              </w:rPr>
              <w:t>物料消耗（</w:t>
            </w:r>
            <w:r w:rsidRPr="00CE7C3C">
              <w:rPr>
                <w:rFonts w:ascii="Calibri"/>
                <w:b/>
                <w:color w:val="auto"/>
                <w:szCs w:val="21"/>
                <w:u w:val="single"/>
              </w:rPr>
              <w:t>t</w:t>
            </w:r>
            <w:r w:rsidRPr="00CE7C3C">
              <w:rPr>
                <w:rFonts w:ascii="Calibri" w:hint="eastAsia"/>
                <w:b/>
                <w:color w:val="auto"/>
                <w:szCs w:val="21"/>
                <w:u w:val="single"/>
              </w:rPr>
              <w:t>/</w:t>
            </w:r>
            <w:r w:rsidRPr="00CE7C3C">
              <w:rPr>
                <w:rFonts w:ascii="Calibri"/>
                <w:b/>
                <w:color w:val="auto"/>
                <w:szCs w:val="21"/>
                <w:u w:val="single"/>
              </w:rPr>
              <w:t>a</w:t>
            </w:r>
            <w:r w:rsidRPr="00CE7C3C">
              <w:rPr>
                <w:rFonts w:ascii="Calibri" w:hint="eastAsia"/>
                <w:b/>
                <w:color w:val="auto"/>
                <w:szCs w:val="21"/>
                <w:u w:val="single"/>
              </w:rPr>
              <w:t>）</w:t>
            </w:r>
          </w:p>
        </w:tc>
        <w:tc>
          <w:tcPr>
            <w:tcW w:w="1549" w:type="pct"/>
            <w:tcBorders>
              <w:left w:val="single" w:sz="4" w:space="0" w:color="auto"/>
            </w:tcBorders>
            <w:vAlign w:val="center"/>
          </w:tcPr>
          <w:p w14:paraId="1304BB93" w14:textId="77777777" w:rsidR="00CE7C3C" w:rsidRPr="00CE7C3C" w:rsidRDefault="00CE7C3C" w:rsidP="0007105B">
            <w:pPr>
              <w:jc w:val="center"/>
              <w:rPr>
                <w:rFonts w:ascii="Calibri" w:hAnsi="Calibri"/>
                <w:b/>
                <w:color w:val="auto"/>
                <w:szCs w:val="21"/>
                <w:u w:val="single"/>
              </w:rPr>
            </w:pPr>
            <w:r w:rsidRPr="00CE7C3C">
              <w:rPr>
                <w:rFonts w:ascii="Calibri"/>
                <w:b/>
                <w:color w:val="auto"/>
                <w:szCs w:val="21"/>
                <w:u w:val="single"/>
              </w:rPr>
              <w:t>名称</w:t>
            </w:r>
          </w:p>
        </w:tc>
        <w:tc>
          <w:tcPr>
            <w:tcW w:w="934" w:type="pct"/>
            <w:vAlign w:val="center"/>
          </w:tcPr>
          <w:p w14:paraId="379CAB87" w14:textId="77777777" w:rsidR="00CE7C3C" w:rsidRPr="00CE7C3C" w:rsidRDefault="00CE7C3C" w:rsidP="0007105B">
            <w:pPr>
              <w:jc w:val="center"/>
              <w:rPr>
                <w:rFonts w:ascii="Calibri"/>
                <w:b/>
                <w:color w:val="auto"/>
                <w:szCs w:val="21"/>
                <w:u w:val="single"/>
              </w:rPr>
            </w:pPr>
            <w:r w:rsidRPr="00CE7C3C">
              <w:rPr>
                <w:rFonts w:ascii="Calibri" w:hint="eastAsia"/>
                <w:b/>
                <w:color w:val="auto"/>
                <w:szCs w:val="21"/>
                <w:u w:val="single"/>
              </w:rPr>
              <w:t>数量（</w:t>
            </w:r>
            <w:r w:rsidRPr="00CE7C3C">
              <w:rPr>
                <w:rFonts w:ascii="Calibri"/>
                <w:b/>
                <w:color w:val="auto"/>
                <w:szCs w:val="21"/>
                <w:u w:val="single"/>
              </w:rPr>
              <w:t>t</w:t>
            </w:r>
            <w:r w:rsidRPr="00CE7C3C">
              <w:rPr>
                <w:rFonts w:ascii="Calibri" w:hint="eastAsia"/>
                <w:b/>
                <w:color w:val="auto"/>
                <w:szCs w:val="21"/>
                <w:u w:val="single"/>
              </w:rPr>
              <w:t>/</w:t>
            </w:r>
            <w:r w:rsidRPr="00CE7C3C">
              <w:rPr>
                <w:rFonts w:ascii="Calibri"/>
                <w:b/>
                <w:color w:val="auto"/>
                <w:szCs w:val="21"/>
                <w:u w:val="single"/>
              </w:rPr>
              <w:t>a</w:t>
            </w:r>
            <w:r w:rsidRPr="00CE7C3C">
              <w:rPr>
                <w:rFonts w:ascii="Calibri" w:hint="eastAsia"/>
                <w:b/>
                <w:color w:val="auto"/>
                <w:szCs w:val="21"/>
                <w:u w:val="single"/>
              </w:rPr>
              <w:t>）</w:t>
            </w:r>
          </w:p>
        </w:tc>
      </w:tr>
      <w:tr w:rsidR="00CE7C3C" w:rsidRPr="00CE7C3C" w14:paraId="05D3F29F" w14:textId="77777777" w:rsidTr="0007105B">
        <w:trPr>
          <w:cantSplit/>
          <w:trHeight w:val="270"/>
          <w:jc w:val="center"/>
        </w:trPr>
        <w:tc>
          <w:tcPr>
            <w:tcW w:w="1246" w:type="pct"/>
            <w:vAlign w:val="center"/>
          </w:tcPr>
          <w:p w14:paraId="472D2521" w14:textId="77777777" w:rsidR="00CE7C3C" w:rsidRPr="00CE7C3C" w:rsidRDefault="00CE7C3C" w:rsidP="0007105B">
            <w:pPr>
              <w:jc w:val="center"/>
              <w:rPr>
                <w:rFonts w:ascii="Calibri"/>
                <w:b/>
                <w:color w:val="auto"/>
                <w:szCs w:val="21"/>
                <w:u w:val="single"/>
              </w:rPr>
            </w:pPr>
            <w:r w:rsidRPr="00CE7C3C">
              <w:rPr>
                <w:rFonts w:ascii="Calibri" w:hint="eastAsia"/>
                <w:b/>
                <w:color w:val="auto"/>
                <w:szCs w:val="21"/>
                <w:u w:val="single"/>
              </w:rPr>
              <w:t>己二胺</w:t>
            </w:r>
          </w:p>
        </w:tc>
        <w:tc>
          <w:tcPr>
            <w:tcW w:w="1271" w:type="pct"/>
            <w:vAlign w:val="center"/>
          </w:tcPr>
          <w:p w14:paraId="29F63975" w14:textId="77777777" w:rsidR="00CE7C3C" w:rsidRPr="00CE7C3C" w:rsidRDefault="00E844EB" w:rsidP="00A86586">
            <w:pPr>
              <w:jc w:val="center"/>
              <w:rPr>
                <w:rFonts w:ascii="Calibri"/>
                <w:b/>
                <w:color w:val="auto"/>
                <w:szCs w:val="21"/>
                <w:u w:val="single"/>
              </w:rPr>
            </w:pPr>
            <w:r>
              <w:rPr>
                <w:rFonts w:ascii="Calibri"/>
                <w:b/>
                <w:color w:val="auto"/>
                <w:szCs w:val="21"/>
                <w:u w:val="single"/>
              </w:rPr>
              <w:t>3.3</w:t>
            </w:r>
            <w:r w:rsidR="00A86586">
              <w:rPr>
                <w:rFonts w:ascii="Calibri"/>
                <w:b/>
                <w:color w:val="auto"/>
                <w:szCs w:val="21"/>
                <w:u w:val="single"/>
              </w:rPr>
              <w:t>1</w:t>
            </w:r>
          </w:p>
        </w:tc>
        <w:tc>
          <w:tcPr>
            <w:tcW w:w="1549" w:type="pct"/>
            <w:vAlign w:val="center"/>
          </w:tcPr>
          <w:p w14:paraId="66070881" w14:textId="77777777" w:rsidR="00CE7C3C" w:rsidRPr="00CE7C3C" w:rsidRDefault="00CE7C3C" w:rsidP="0007105B">
            <w:pPr>
              <w:jc w:val="center"/>
              <w:rPr>
                <w:rFonts w:ascii="Calibri" w:hAnsi="Calibri"/>
                <w:b/>
                <w:color w:val="auto"/>
                <w:szCs w:val="21"/>
                <w:u w:val="single"/>
              </w:rPr>
            </w:pPr>
            <w:r w:rsidRPr="00CE7C3C">
              <w:rPr>
                <w:rFonts w:ascii="Calibri" w:hAnsi="Calibri" w:hint="eastAsia"/>
                <w:b/>
                <w:color w:val="auto"/>
                <w:szCs w:val="21"/>
                <w:u w:val="single"/>
              </w:rPr>
              <w:t>生成</w:t>
            </w:r>
            <w:r w:rsidRPr="00CE7C3C">
              <w:rPr>
                <w:rFonts w:ascii="Calibri" w:hAnsi="Calibri"/>
                <w:b/>
                <w:color w:val="auto"/>
                <w:szCs w:val="21"/>
                <w:u w:val="single"/>
              </w:rPr>
              <w:t>环己亚胺</w:t>
            </w:r>
            <w:r w:rsidRPr="00CE7C3C">
              <w:rPr>
                <w:rFonts w:ascii="Calibri" w:hAnsi="Calibri" w:hint="eastAsia"/>
                <w:b/>
                <w:color w:val="auto"/>
                <w:szCs w:val="21"/>
                <w:u w:val="single"/>
              </w:rPr>
              <w:t>消耗</w:t>
            </w:r>
          </w:p>
        </w:tc>
        <w:tc>
          <w:tcPr>
            <w:tcW w:w="934" w:type="pct"/>
            <w:vAlign w:val="center"/>
          </w:tcPr>
          <w:p w14:paraId="36DE363F" w14:textId="77777777" w:rsidR="00CE7C3C" w:rsidRPr="00CE7C3C" w:rsidRDefault="00E844EB" w:rsidP="0007105B">
            <w:pPr>
              <w:jc w:val="center"/>
              <w:rPr>
                <w:rFonts w:ascii="Calibri" w:hAnsi="Calibri"/>
                <w:b/>
                <w:color w:val="auto"/>
                <w:u w:val="single"/>
              </w:rPr>
            </w:pPr>
            <w:r>
              <w:rPr>
                <w:rFonts w:ascii="Calibri" w:hAnsi="Calibri"/>
                <w:b/>
                <w:color w:val="auto"/>
                <w:u w:val="single"/>
              </w:rPr>
              <w:t>0.32</w:t>
            </w:r>
          </w:p>
        </w:tc>
      </w:tr>
      <w:tr w:rsidR="00CE7C3C" w:rsidRPr="00CE7C3C" w14:paraId="1E9980DA" w14:textId="77777777" w:rsidTr="0007105B">
        <w:trPr>
          <w:cantSplit/>
          <w:trHeight w:val="270"/>
          <w:jc w:val="center"/>
        </w:trPr>
        <w:tc>
          <w:tcPr>
            <w:tcW w:w="1246" w:type="pct"/>
            <w:vAlign w:val="center"/>
          </w:tcPr>
          <w:p w14:paraId="2F0F682C" w14:textId="77777777" w:rsidR="00CE7C3C" w:rsidRPr="00CE7C3C" w:rsidRDefault="00CE7C3C" w:rsidP="0007105B">
            <w:pPr>
              <w:jc w:val="center"/>
              <w:rPr>
                <w:rFonts w:ascii="Calibri"/>
                <w:b/>
                <w:color w:val="auto"/>
                <w:szCs w:val="21"/>
                <w:u w:val="single"/>
              </w:rPr>
            </w:pPr>
            <w:r w:rsidRPr="00CE7C3C">
              <w:rPr>
                <w:rFonts w:ascii="Calibri" w:hint="eastAsia"/>
                <w:b/>
                <w:color w:val="auto"/>
                <w:szCs w:val="21"/>
                <w:u w:val="single"/>
              </w:rPr>
              <w:t>聚合物</w:t>
            </w:r>
            <w:r w:rsidRPr="00CE7C3C">
              <w:rPr>
                <w:rFonts w:ascii="Calibri"/>
                <w:b/>
                <w:color w:val="auto"/>
                <w:szCs w:val="21"/>
                <w:u w:val="single"/>
              </w:rPr>
              <w:t>降解</w:t>
            </w:r>
          </w:p>
        </w:tc>
        <w:tc>
          <w:tcPr>
            <w:tcW w:w="1271" w:type="pct"/>
            <w:vAlign w:val="center"/>
          </w:tcPr>
          <w:p w14:paraId="7D1C327A" w14:textId="77777777" w:rsidR="00CE7C3C" w:rsidRPr="00CE7C3C" w:rsidRDefault="00E844EB" w:rsidP="00E844EB">
            <w:pPr>
              <w:jc w:val="center"/>
              <w:rPr>
                <w:rFonts w:ascii="Calibri"/>
                <w:b/>
                <w:color w:val="auto"/>
                <w:szCs w:val="21"/>
                <w:u w:val="single"/>
              </w:rPr>
            </w:pPr>
            <w:r>
              <w:rPr>
                <w:rFonts w:ascii="Calibri"/>
                <w:b/>
                <w:color w:val="auto"/>
                <w:szCs w:val="21"/>
                <w:u w:val="single"/>
              </w:rPr>
              <w:t>0.30</w:t>
            </w:r>
          </w:p>
        </w:tc>
        <w:tc>
          <w:tcPr>
            <w:tcW w:w="1549" w:type="pct"/>
            <w:vAlign w:val="center"/>
          </w:tcPr>
          <w:p w14:paraId="3DC97200" w14:textId="77777777" w:rsidR="00CE7C3C" w:rsidRPr="00CE7C3C" w:rsidRDefault="00CE7C3C" w:rsidP="0007105B">
            <w:pPr>
              <w:jc w:val="center"/>
              <w:rPr>
                <w:rFonts w:ascii="Calibri" w:hAnsi="Calibri"/>
                <w:b/>
                <w:color w:val="auto"/>
                <w:szCs w:val="21"/>
                <w:u w:val="single"/>
              </w:rPr>
            </w:pPr>
            <w:r w:rsidRPr="00CE7C3C">
              <w:rPr>
                <w:rFonts w:ascii="Calibri" w:hAnsi="Calibri" w:hint="eastAsia"/>
                <w:b/>
                <w:color w:val="auto"/>
                <w:szCs w:val="21"/>
                <w:u w:val="single"/>
              </w:rPr>
              <w:t>废气带走</w:t>
            </w:r>
          </w:p>
        </w:tc>
        <w:tc>
          <w:tcPr>
            <w:tcW w:w="934" w:type="pct"/>
            <w:vAlign w:val="center"/>
          </w:tcPr>
          <w:p w14:paraId="74273141" w14:textId="77777777" w:rsidR="00CE7C3C" w:rsidRPr="00CE7C3C" w:rsidRDefault="00A86586" w:rsidP="0007105B">
            <w:pPr>
              <w:jc w:val="center"/>
              <w:rPr>
                <w:rFonts w:ascii="Calibri" w:hAnsi="Calibri"/>
                <w:b/>
                <w:color w:val="auto"/>
                <w:szCs w:val="21"/>
                <w:u w:val="single"/>
              </w:rPr>
            </w:pPr>
            <w:r>
              <w:rPr>
                <w:rFonts w:ascii="Calibri" w:hAnsi="Calibri"/>
                <w:b/>
                <w:color w:val="auto"/>
                <w:szCs w:val="21"/>
                <w:u w:val="single"/>
              </w:rPr>
              <w:t>0.53</w:t>
            </w:r>
          </w:p>
        </w:tc>
      </w:tr>
      <w:tr w:rsidR="00CE7C3C" w:rsidRPr="00CE7C3C" w14:paraId="521458F8" w14:textId="77777777" w:rsidTr="0007105B">
        <w:trPr>
          <w:cantSplit/>
          <w:trHeight w:val="340"/>
          <w:jc w:val="center"/>
        </w:trPr>
        <w:tc>
          <w:tcPr>
            <w:tcW w:w="1246" w:type="pct"/>
            <w:vAlign w:val="center"/>
          </w:tcPr>
          <w:p w14:paraId="01F0F6F4" w14:textId="77777777" w:rsidR="00CE7C3C" w:rsidRPr="00CE7C3C" w:rsidRDefault="00CE7C3C" w:rsidP="0007105B">
            <w:pPr>
              <w:jc w:val="center"/>
              <w:rPr>
                <w:rFonts w:ascii="Calibri"/>
                <w:b/>
                <w:color w:val="auto"/>
                <w:szCs w:val="21"/>
                <w:u w:val="single"/>
              </w:rPr>
            </w:pPr>
          </w:p>
        </w:tc>
        <w:tc>
          <w:tcPr>
            <w:tcW w:w="1271" w:type="pct"/>
            <w:vAlign w:val="center"/>
          </w:tcPr>
          <w:p w14:paraId="143E9442" w14:textId="77777777" w:rsidR="00CE7C3C" w:rsidRPr="00CE7C3C" w:rsidRDefault="00CE7C3C" w:rsidP="0007105B">
            <w:pPr>
              <w:jc w:val="center"/>
              <w:rPr>
                <w:rFonts w:ascii="Calibri"/>
                <w:b/>
                <w:color w:val="auto"/>
                <w:szCs w:val="21"/>
                <w:u w:val="single"/>
              </w:rPr>
            </w:pPr>
          </w:p>
        </w:tc>
        <w:tc>
          <w:tcPr>
            <w:tcW w:w="1549" w:type="pct"/>
            <w:vAlign w:val="center"/>
          </w:tcPr>
          <w:p w14:paraId="3FCA6280" w14:textId="77777777" w:rsidR="00CE7C3C" w:rsidRPr="00CE7C3C" w:rsidRDefault="00CE7C3C" w:rsidP="0007105B">
            <w:pPr>
              <w:jc w:val="center"/>
              <w:rPr>
                <w:rFonts w:ascii="Calibri" w:hAnsi="Calibri"/>
                <w:b/>
                <w:color w:val="auto"/>
                <w:szCs w:val="21"/>
                <w:u w:val="single"/>
              </w:rPr>
            </w:pPr>
            <w:r w:rsidRPr="00CE7C3C">
              <w:rPr>
                <w:rFonts w:ascii="Calibri" w:hAnsi="Calibri" w:hint="eastAsia"/>
                <w:b/>
                <w:color w:val="auto"/>
                <w:szCs w:val="21"/>
                <w:u w:val="single"/>
              </w:rPr>
              <w:t>进入废水</w:t>
            </w:r>
          </w:p>
        </w:tc>
        <w:tc>
          <w:tcPr>
            <w:tcW w:w="934" w:type="pct"/>
            <w:vAlign w:val="center"/>
          </w:tcPr>
          <w:p w14:paraId="52318DA8" w14:textId="77777777" w:rsidR="00CE7C3C" w:rsidRPr="00CE7C3C" w:rsidRDefault="00A86586" w:rsidP="0007105B">
            <w:pPr>
              <w:ind w:firstLineChars="250" w:firstLine="527"/>
              <w:rPr>
                <w:rFonts w:ascii="Calibri" w:hAnsi="Calibri"/>
                <w:b/>
                <w:color w:val="auto"/>
                <w:szCs w:val="21"/>
                <w:u w:val="single"/>
              </w:rPr>
            </w:pPr>
            <w:r>
              <w:rPr>
                <w:rFonts w:ascii="Calibri" w:hAnsi="Calibri"/>
                <w:b/>
                <w:color w:val="auto"/>
                <w:szCs w:val="21"/>
                <w:u w:val="single"/>
              </w:rPr>
              <w:t>1.71</w:t>
            </w:r>
          </w:p>
        </w:tc>
      </w:tr>
      <w:tr w:rsidR="00CE7C3C" w:rsidRPr="00CE7C3C" w14:paraId="7F66681C" w14:textId="77777777" w:rsidTr="0007105B">
        <w:trPr>
          <w:cantSplit/>
          <w:trHeight w:val="340"/>
          <w:jc w:val="center"/>
        </w:trPr>
        <w:tc>
          <w:tcPr>
            <w:tcW w:w="1246" w:type="pct"/>
            <w:vAlign w:val="center"/>
          </w:tcPr>
          <w:p w14:paraId="71A6145B" w14:textId="77777777" w:rsidR="00CE7C3C" w:rsidRPr="00CE7C3C" w:rsidRDefault="00CE7C3C" w:rsidP="0007105B">
            <w:pPr>
              <w:jc w:val="center"/>
              <w:rPr>
                <w:rFonts w:ascii="Calibri"/>
                <w:b/>
                <w:color w:val="auto"/>
                <w:szCs w:val="21"/>
                <w:u w:val="single"/>
              </w:rPr>
            </w:pPr>
          </w:p>
        </w:tc>
        <w:tc>
          <w:tcPr>
            <w:tcW w:w="1271" w:type="pct"/>
            <w:vAlign w:val="center"/>
          </w:tcPr>
          <w:p w14:paraId="0B67E757" w14:textId="77777777" w:rsidR="00CE7C3C" w:rsidRPr="00CE7C3C" w:rsidRDefault="00CE7C3C" w:rsidP="0007105B">
            <w:pPr>
              <w:jc w:val="center"/>
              <w:rPr>
                <w:rFonts w:ascii="Calibri"/>
                <w:b/>
                <w:color w:val="auto"/>
                <w:szCs w:val="21"/>
                <w:u w:val="single"/>
              </w:rPr>
            </w:pPr>
          </w:p>
        </w:tc>
        <w:tc>
          <w:tcPr>
            <w:tcW w:w="1549" w:type="pct"/>
            <w:vAlign w:val="center"/>
          </w:tcPr>
          <w:p w14:paraId="2C22A6E2" w14:textId="77777777" w:rsidR="00CE7C3C" w:rsidRPr="00CE7C3C" w:rsidRDefault="00CE7C3C" w:rsidP="0007105B">
            <w:pPr>
              <w:jc w:val="center"/>
              <w:rPr>
                <w:rFonts w:ascii="Calibri" w:hAnsi="Calibri"/>
                <w:b/>
                <w:color w:val="auto"/>
                <w:szCs w:val="21"/>
                <w:u w:val="single"/>
              </w:rPr>
            </w:pPr>
            <w:r w:rsidRPr="00CE7C3C">
              <w:rPr>
                <w:rFonts w:ascii="Calibri" w:hAnsi="Calibri" w:hint="eastAsia"/>
                <w:b/>
                <w:color w:val="auto"/>
                <w:szCs w:val="21"/>
                <w:u w:val="single"/>
              </w:rPr>
              <w:t>冷凝</w:t>
            </w:r>
            <w:r w:rsidRPr="00CE7C3C">
              <w:rPr>
                <w:rFonts w:ascii="Calibri" w:hAnsi="Calibri"/>
                <w:b/>
                <w:color w:val="auto"/>
                <w:szCs w:val="21"/>
                <w:u w:val="single"/>
              </w:rPr>
              <w:t>回用</w:t>
            </w:r>
          </w:p>
        </w:tc>
        <w:tc>
          <w:tcPr>
            <w:tcW w:w="934" w:type="pct"/>
            <w:vAlign w:val="center"/>
          </w:tcPr>
          <w:p w14:paraId="4869015F" w14:textId="77777777" w:rsidR="00CE7C3C" w:rsidRPr="00CE7C3C" w:rsidRDefault="00A86586" w:rsidP="0007105B">
            <w:pPr>
              <w:ind w:firstLineChars="250" w:firstLine="527"/>
              <w:rPr>
                <w:rFonts w:ascii="Calibri" w:hAnsi="Calibri"/>
                <w:b/>
                <w:color w:val="auto"/>
                <w:szCs w:val="21"/>
                <w:u w:val="single"/>
              </w:rPr>
            </w:pPr>
            <w:r>
              <w:rPr>
                <w:rFonts w:ascii="Calibri" w:hAnsi="Calibri"/>
                <w:b/>
                <w:color w:val="auto"/>
                <w:szCs w:val="21"/>
                <w:u w:val="single"/>
              </w:rPr>
              <w:t>1.05</w:t>
            </w:r>
          </w:p>
        </w:tc>
      </w:tr>
      <w:tr w:rsidR="00CE7C3C" w:rsidRPr="00CE7C3C" w14:paraId="612BA35B" w14:textId="77777777" w:rsidTr="0007105B">
        <w:trPr>
          <w:cantSplit/>
          <w:trHeight w:val="340"/>
          <w:jc w:val="center"/>
        </w:trPr>
        <w:tc>
          <w:tcPr>
            <w:tcW w:w="1246" w:type="pct"/>
            <w:vAlign w:val="center"/>
          </w:tcPr>
          <w:p w14:paraId="16B4E8C5" w14:textId="77777777" w:rsidR="00CE7C3C" w:rsidRPr="00CE7C3C" w:rsidRDefault="00CE7C3C" w:rsidP="0007105B">
            <w:pPr>
              <w:jc w:val="center"/>
              <w:rPr>
                <w:rFonts w:ascii="Calibri"/>
                <w:b/>
                <w:color w:val="auto"/>
                <w:szCs w:val="21"/>
                <w:u w:val="single"/>
              </w:rPr>
            </w:pPr>
            <w:r w:rsidRPr="00CE7C3C">
              <w:rPr>
                <w:rFonts w:ascii="Calibri" w:hint="eastAsia"/>
                <w:b/>
                <w:color w:val="auto"/>
                <w:szCs w:val="21"/>
                <w:u w:val="single"/>
              </w:rPr>
              <w:t>合计</w:t>
            </w:r>
          </w:p>
        </w:tc>
        <w:tc>
          <w:tcPr>
            <w:tcW w:w="1271" w:type="pct"/>
            <w:vAlign w:val="center"/>
          </w:tcPr>
          <w:p w14:paraId="355284F0" w14:textId="77777777" w:rsidR="00CE7C3C" w:rsidRPr="00CE7C3C" w:rsidRDefault="00E844EB" w:rsidP="00A86586">
            <w:pPr>
              <w:jc w:val="center"/>
              <w:rPr>
                <w:rFonts w:ascii="Calibri"/>
                <w:b/>
                <w:color w:val="auto"/>
                <w:szCs w:val="21"/>
                <w:u w:val="single"/>
              </w:rPr>
            </w:pPr>
            <w:r>
              <w:rPr>
                <w:rFonts w:ascii="Calibri"/>
                <w:b/>
                <w:color w:val="auto"/>
                <w:szCs w:val="21"/>
                <w:u w:val="single"/>
              </w:rPr>
              <w:t>3.6</w:t>
            </w:r>
            <w:r w:rsidR="00A86586">
              <w:rPr>
                <w:rFonts w:ascii="Calibri"/>
                <w:b/>
                <w:color w:val="auto"/>
                <w:szCs w:val="21"/>
                <w:u w:val="single"/>
              </w:rPr>
              <w:t>1</w:t>
            </w:r>
          </w:p>
        </w:tc>
        <w:tc>
          <w:tcPr>
            <w:tcW w:w="1549" w:type="pct"/>
            <w:vAlign w:val="center"/>
          </w:tcPr>
          <w:p w14:paraId="39C2CDF2" w14:textId="77777777" w:rsidR="00CE7C3C" w:rsidRPr="00CE7C3C" w:rsidRDefault="00CE7C3C" w:rsidP="0007105B">
            <w:pPr>
              <w:jc w:val="center"/>
              <w:rPr>
                <w:rFonts w:ascii="Calibri"/>
                <w:b/>
                <w:color w:val="auto"/>
                <w:szCs w:val="21"/>
                <w:u w:val="single"/>
              </w:rPr>
            </w:pPr>
            <w:r w:rsidRPr="00CE7C3C">
              <w:rPr>
                <w:rFonts w:ascii="Calibri" w:hint="eastAsia"/>
                <w:b/>
                <w:color w:val="auto"/>
                <w:szCs w:val="21"/>
                <w:u w:val="single"/>
              </w:rPr>
              <w:t>合计</w:t>
            </w:r>
          </w:p>
        </w:tc>
        <w:tc>
          <w:tcPr>
            <w:tcW w:w="934" w:type="pct"/>
            <w:vAlign w:val="center"/>
          </w:tcPr>
          <w:p w14:paraId="01637FD4" w14:textId="77777777" w:rsidR="00CE7C3C" w:rsidRPr="00CE7C3C" w:rsidRDefault="00E844EB" w:rsidP="00A86586">
            <w:pPr>
              <w:jc w:val="center"/>
              <w:rPr>
                <w:rFonts w:ascii="Calibri"/>
                <w:b/>
                <w:color w:val="auto"/>
                <w:szCs w:val="21"/>
                <w:u w:val="single"/>
              </w:rPr>
            </w:pPr>
            <w:r>
              <w:rPr>
                <w:rFonts w:ascii="Calibri" w:hint="eastAsia"/>
                <w:b/>
                <w:color w:val="auto"/>
                <w:szCs w:val="21"/>
                <w:u w:val="single"/>
              </w:rPr>
              <w:t>3.6</w:t>
            </w:r>
            <w:r w:rsidR="00A86586">
              <w:rPr>
                <w:rFonts w:ascii="Calibri"/>
                <w:b/>
                <w:color w:val="auto"/>
                <w:szCs w:val="21"/>
                <w:u w:val="single"/>
              </w:rPr>
              <w:t>1</w:t>
            </w:r>
          </w:p>
        </w:tc>
      </w:tr>
    </w:tbl>
    <w:p w14:paraId="6226D4DE" w14:textId="77777777" w:rsidR="00CE7C3C" w:rsidRPr="00A964FF" w:rsidRDefault="00CE7C3C" w:rsidP="00CE7C3C">
      <w:pPr>
        <w:spacing w:line="520" w:lineRule="exact"/>
        <w:rPr>
          <w:rFonts w:ascii="Calibri" w:eastAsia="黑体" w:hAnsi="Calibri"/>
          <w:color w:val="auto"/>
          <w:sz w:val="24"/>
        </w:rPr>
      </w:pPr>
    </w:p>
    <w:p w14:paraId="06C122CA" w14:textId="77777777" w:rsidR="00B10481" w:rsidRDefault="00B10481" w:rsidP="00EE4B9C">
      <w:pPr>
        <w:spacing w:line="500" w:lineRule="exact"/>
        <w:ind w:firstLineChars="200" w:firstLine="482"/>
        <w:rPr>
          <w:rFonts w:asciiTheme="minorHAnsi" w:eastAsiaTheme="minorEastAsia" w:hAnsiTheme="minorHAnsi" w:cstheme="minorHAnsi"/>
          <w:b/>
          <w:color w:val="auto"/>
          <w:sz w:val="24"/>
        </w:rPr>
      </w:pPr>
    </w:p>
    <w:p w14:paraId="3A606691" w14:textId="77777777" w:rsidR="00086DD5" w:rsidRDefault="00086DD5" w:rsidP="00EE4B9C">
      <w:pPr>
        <w:spacing w:line="500" w:lineRule="exact"/>
        <w:ind w:firstLineChars="200" w:firstLine="482"/>
        <w:rPr>
          <w:rFonts w:asciiTheme="minorHAnsi" w:eastAsiaTheme="minorEastAsia" w:hAnsiTheme="minorHAnsi" w:cstheme="minorHAnsi"/>
          <w:b/>
          <w:color w:val="auto"/>
          <w:sz w:val="24"/>
        </w:rPr>
      </w:pPr>
    </w:p>
    <w:p w14:paraId="1F4B9195" w14:textId="77777777" w:rsidR="00086DD5" w:rsidRDefault="00086DD5" w:rsidP="00EE4B9C">
      <w:pPr>
        <w:spacing w:line="500" w:lineRule="exact"/>
        <w:ind w:firstLineChars="200" w:firstLine="482"/>
        <w:rPr>
          <w:rFonts w:asciiTheme="minorHAnsi" w:eastAsiaTheme="minorEastAsia" w:hAnsiTheme="minorHAnsi" w:cstheme="minorHAnsi"/>
          <w:b/>
          <w:color w:val="auto"/>
          <w:sz w:val="24"/>
        </w:rPr>
      </w:pPr>
    </w:p>
    <w:p w14:paraId="311CD0DB" w14:textId="77777777" w:rsidR="00C46D8E" w:rsidRDefault="00C46D8E" w:rsidP="00632D0E">
      <w:pPr>
        <w:spacing w:line="500" w:lineRule="exact"/>
        <w:rPr>
          <w:rFonts w:asciiTheme="minorHAnsi" w:eastAsiaTheme="minorEastAsia" w:hAnsiTheme="minorHAnsi" w:cstheme="minorHAnsi"/>
          <w:b/>
          <w:color w:val="auto"/>
          <w:sz w:val="24"/>
        </w:rPr>
      </w:pPr>
    </w:p>
    <w:p w14:paraId="39851F3A" w14:textId="77777777" w:rsidR="001C75DE" w:rsidRDefault="001C75DE" w:rsidP="00632D0E">
      <w:pPr>
        <w:spacing w:line="500" w:lineRule="exact"/>
        <w:rPr>
          <w:rFonts w:asciiTheme="minorHAnsi" w:eastAsiaTheme="minorEastAsia" w:hAnsiTheme="minorHAnsi" w:cstheme="minorHAnsi"/>
          <w:b/>
          <w:color w:val="auto"/>
          <w:sz w:val="24"/>
        </w:rPr>
      </w:pPr>
    </w:p>
    <w:p w14:paraId="430BBA5A" w14:textId="77777777" w:rsidR="001C75DE" w:rsidRDefault="001C75DE" w:rsidP="00632D0E">
      <w:pPr>
        <w:spacing w:line="500" w:lineRule="exact"/>
        <w:rPr>
          <w:rFonts w:asciiTheme="minorHAnsi" w:eastAsiaTheme="minorEastAsia" w:hAnsiTheme="minorHAnsi" w:cstheme="minorHAnsi"/>
          <w:b/>
          <w:color w:val="auto"/>
          <w:sz w:val="24"/>
        </w:rPr>
      </w:pPr>
    </w:p>
    <w:p w14:paraId="33F8F712" w14:textId="12FA3BC4" w:rsidR="001C75DE" w:rsidRDefault="001C75DE" w:rsidP="00632D0E">
      <w:pPr>
        <w:spacing w:line="500" w:lineRule="exact"/>
        <w:rPr>
          <w:rFonts w:asciiTheme="minorHAnsi" w:eastAsiaTheme="minorEastAsia" w:hAnsiTheme="minorHAnsi" w:cstheme="minorHAnsi"/>
          <w:b/>
          <w:color w:val="auto"/>
          <w:sz w:val="24"/>
        </w:rPr>
      </w:pPr>
    </w:p>
    <w:p w14:paraId="712B4859" w14:textId="19E5BF1B" w:rsidR="001C75DE" w:rsidRDefault="001C75DE" w:rsidP="00632D0E">
      <w:pPr>
        <w:spacing w:line="500" w:lineRule="exact"/>
        <w:rPr>
          <w:rFonts w:asciiTheme="minorHAnsi" w:eastAsiaTheme="minorEastAsia" w:hAnsiTheme="minorHAnsi" w:cstheme="minorHAnsi" w:hint="eastAsia"/>
          <w:b/>
          <w:color w:val="auto"/>
          <w:sz w:val="24"/>
        </w:rPr>
      </w:pPr>
    </w:p>
    <w:p w14:paraId="2483843B" w14:textId="77777777" w:rsidR="0056677B" w:rsidRDefault="00576CA2" w:rsidP="00EE4B9C">
      <w:pPr>
        <w:spacing w:line="500" w:lineRule="exact"/>
        <w:ind w:firstLineChars="200" w:firstLine="482"/>
        <w:rPr>
          <w:rFonts w:asciiTheme="minorHAnsi" w:eastAsiaTheme="minorEastAsia" w:hAnsiTheme="minorHAnsi" w:cstheme="minorHAnsi"/>
          <w:b/>
          <w:color w:val="auto"/>
          <w:sz w:val="24"/>
        </w:rPr>
      </w:pPr>
      <w:r>
        <w:rPr>
          <w:rFonts w:asciiTheme="minorHAnsi" w:eastAsiaTheme="minorEastAsia" w:hAnsiTheme="minorHAnsi" w:cstheme="minorHAnsi"/>
          <w:b/>
          <w:noProof/>
          <w:color w:val="000000" w:themeColor="text1"/>
          <w:sz w:val="24"/>
        </w:rPr>
        <w:lastRenderedPageBreak/>
        <mc:AlternateContent>
          <mc:Choice Requires="wpc">
            <w:drawing>
              <wp:anchor distT="0" distB="0" distL="114300" distR="114300" simplePos="0" relativeHeight="253708800" behindDoc="0" locked="0" layoutInCell="1" allowOverlap="1" wp14:anchorId="27BE0367" wp14:editId="3F955073">
                <wp:simplePos x="0" y="0"/>
                <wp:positionH relativeFrom="margin">
                  <wp:align>right</wp:align>
                </wp:positionH>
                <wp:positionV relativeFrom="paragraph">
                  <wp:posOffset>-127000</wp:posOffset>
                </wp:positionV>
                <wp:extent cx="6111240" cy="8442960"/>
                <wp:effectExtent l="0" t="0" r="0" b="0"/>
                <wp:wrapNone/>
                <wp:docPr id="25791" name="画布 257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7" name="Rectangle 37672"/>
                        <wps:cNvSpPr>
                          <a:spLocks noChangeArrowheads="1"/>
                        </wps:cNvSpPr>
                        <wps:spPr bwMode="auto">
                          <a:xfrm>
                            <a:off x="1385570" y="1157605"/>
                            <a:ext cx="962025" cy="288925"/>
                          </a:xfrm>
                          <a:prstGeom prst="rect">
                            <a:avLst/>
                          </a:prstGeom>
                          <a:noFill/>
                          <a:ln w="9525">
                            <a:solidFill>
                              <a:srgbClr val="000000"/>
                            </a:solidFill>
                            <a:miter lim="800000"/>
                          </a:ln>
                        </wps:spPr>
                        <wps:txbx>
                          <w:txbxContent>
                            <w:p w14:paraId="0ECB2862" w14:textId="77777777" w:rsidR="00217891" w:rsidRDefault="00217891" w:rsidP="00576CA2">
                              <w:pPr>
                                <w:ind w:firstLineChars="100" w:firstLine="210"/>
                                <w:rPr>
                                  <w:rFonts w:ascii="等线" w:hAnsi="等线"/>
                                </w:rPr>
                              </w:pPr>
                              <w:r>
                                <w:rPr>
                                  <w:rFonts w:ascii="等线" w:hAnsi="等线" w:hint="eastAsia"/>
                                </w:rPr>
                                <w:t>调配罐</w:t>
                              </w:r>
                            </w:p>
                          </w:txbxContent>
                        </wps:txbx>
                        <wps:bodyPr rot="0" vert="horz" wrap="square" lIns="91440" tIns="45720" rIns="91440" bIns="45720" anchor="t" anchorCtr="0" upright="1">
                          <a:noAutofit/>
                        </wps:bodyPr>
                      </wps:wsp>
                      <wps:wsp>
                        <wps:cNvPr id="148" name="AutoShape 37673"/>
                        <wps:cNvCnPr>
                          <a:cxnSpLocks noChangeShapeType="1"/>
                        </wps:cNvCnPr>
                        <wps:spPr bwMode="auto">
                          <a:xfrm>
                            <a:off x="1982470" y="798830"/>
                            <a:ext cx="635" cy="358775"/>
                          </a:xfrm>
                          <a:prstGeom prst="straightConnector1">
                            <a:avLst/>
                          </a:prstGeom>
                          <a:noFill/>
                          <a:ln w="9525">
                            <a:solidFill>
                              <a:srgbClr val="000000"/>
                            </a:solidFill>
                            <a:round/>
                            <a:tailEnd type="triangle" w="med" len="med"/>
                          </a:ln>
                        </wps:spPr>
                        <wps:bodyPr/>
                      </wps:wsp>
                      <wps:wsp>
                        <wps:cNvPr id="149" name="AutoShape 37674"/>
                        <wps:cNvCnPr>
                          <a:cxnSpLocks noChangeShapeType="1"/>
                        </wps:cNvCnPr>
                        <wps:spPr bwMode="auto">
                          <a:xfrm>
                            <a:off x="2347595" y="1294765"/>
                            <a:ext cx="390525" cy="635"/>
                          </a:xfrm>
                          <a:prstGeom prst="straightConnector1">
                            <a:avLst/>
                          </a:prstGeom>
                          <a:noFill/>
                          <a:ln w="9525">
                            <a:solidFill>
                              <a:srgbClr val="000000"/>
                            </a:solidFill>
                            <a:round/>
                            <a:tailEnd type="triangle" w="med" len="med"/>
                          </a:ln>
                        </wps:spPr>
                        <wps:bodyPr/>
                      </wps:wsp>
                      <wps:wsp>
                        <wps:cNvPr id="150" name="Rectangle 37675"/>
                        <wps:cNvSpPr>
                          <a:spLocks noChangeArrowheads="1"/>
                        </wps:cNvSpPr>
                        <wps:spPr bwMode="auto">
                          <a:xfrm>
                            <a:off x="2757170" y="1111885"/>
                            <a:ext cx="962025" cy="288925"/>
                          </a:xfrm>
                          <a:prstGeom prst="rect">
                            <a:avLst/>
                          </a:prstGeom>
                          <a:noFill/>
                          <a:ln w="9525">
                            <a:solidFill>
                              <a:srgbClr val="000000"/>
                            </a:solidFill>
                            <a:miter lim="800000"/>
                          </a:ln>
                        </wps:spPr>
                        <wps:txbx>
                          <w:txbxContent>
                            <w:p w14:paraId="78405E9B" w14:textId="77777777" w:rsidR="00217891" w:rsidRDefault="00217891" w:rsidP="00576CA2">
                              <w:pPr>
                                <w:ind w:firstLineChars="100" w:firstLine="210"/>
                                <w:rPr>
                                  <w:rFonts w:ascii="等线" w:hAnsi="等线"/>
                                </w:rPr>
                              </w:pPr>
                              <w:r>
                                <w:rPr>
                                  <w:rFonts w:ascii="等线" w:hAnsi="等线" w:hint="eastAsia"/>
                                </w:rPr>
                                <w:t>中间罐</w:t>
                              </w:r>
                            </w:p>
                          </w:txbxContent>
                        </wps:txbx>
                        <wps:bodyPr rot="0" vert="horz" wrap="square" lIns="91440" tIns="45720" rIns="91440" bIns="45720" anchor="t" anchorCtr="0" upright="1">
                          <a:noAutofit/>
                        </wps:bodyPr>
                      </wps:wsp>
                      <wps:wsp>
                        <wps:cNvPr id="151" name="AutoShape 37676"/>
                        <wps:cNvCnPr>
                          <a:cxnSpLocks noChangeShapeType="1"/>
                        </wps:cNvCnPr>
                        <wps:spPr bwMode="auto">
                          <a:xfrm>
                            <a:off x="3221355" y="1407160"/>
                            <a:ext cx="1270" cy="600075"/>
                          </a:xfrm>
                          <a:prstGeom prst="straightConnector1">
                            <a:avLst/>
                          </a:prstGeom>
                          <a:noFill/>
                          <a:ln w="9525">
                            <a:solidFill>
                              <a:srgbClr val="000000"/>
                            </a:solidFill>
                            <a:round/>
                            <a:tailEnd type="triangle" w="med" len="med"/>
                          </a:ln>
                        </wps:spPr>
                        <wps:bodyPr/>
                      </wps:wsp>
                      <wps:wsp>
                        <wps:cNvPr id="152" name="Rectangle 37677"/>
                        <wps:cNvSpPr>
                          <a:spLocks noChangeArrowheads="1"/>
                        </wps:cNvSpPr>
                        <wps:spPr bwMode="auto">
                          <a:xfrm>
                            <a:off x="2802890" y="1995805"/>
                            <a:ext cx="962025" cy="288925"/>
                          </a:xfrm>
                          <a:prstGeom prst="rect">
                            <a:avLst/>
                          </a:prstGeom>
                          <a:noFill/>
                          <a:ln w="9525">
                            <a:solidFill>
                              <a:srgbClr val="000000"/>
                            </a:solidFill>
                            <a:miter lim="800000"/>
                          </a:ln>
                        </wps:spPr>
                        <wps:txbx>
                          <w:txbxContent>
                            <w:p w14:paraId="677F6E3C" w14:textId="77777777" w:rsidR="00217891" w:rsidRDefault="00217891" w:rsidP="00576CA2">
                              <w:pPr>
                                <w:ind w:firstLineChars="100" w:firstLine="210"/>
                                <w:rPr>
                                  <w:rFonts w:ascii="等线" w:hAnsi="等线"/>
                                </w:rPr>
                              </w:pPr>
                              <w:r>
                                <w:rPr>
                                  <w:rFonts w:ascii="等线" w:hAnsi="等线" w:hint="eastAsia"/>
                                </w:rPr>
                                <w:t>聚合釜</w:t>
                              </w:r>
                            </w:p>
                          </w:txbxContent>
                        </wps:txbx>
                        <wps:bodyPr rot="0" vert="horz" wrap="square" lIns="91440" tIns="45720" rIns="91440" bIns="45720" anchor="t" anchorCtr="0" upright="1">
                          <a:noAutofit/>
                        </wps:bodyPr>
                      </wps:wsp>
                      <wps:wsp>
                        <wps:cNvPr id="153" name="AutoShape 37678"/>
                        <wps:cNvCnPr>
                          <a:cxnSpLocks noChangeShapeType="1"/>
                        </wps:cNvCnPr>
                        <wps:spPr bwMode="auto">
                          <a:xfrm flipV="1">
                            <a:off x="4423410" y="891540"/>
                            <a:ext cx="7620" cy="1081405"/>
                          </a:xfrm>
                          <a:prstGeom prst="straightConnector1">
                            <a:avLst/>
                          </a:prstGeom>
                          <a:noFill/>
                          <a:ln w="9525">
                            <a:solidFill>
                              <a:srgbClr val="000000"/>
                            </a:solidFill>
                            <a:round/>
                          </a:ln>
                        </wps:spPr>
                        <wps:bodyPr/>
                      </wps:wsp>
                      <wps:wsp>
                        <wps:cNvPr id="154" name="AutoShape 37679"/>
                        <wps:cNvCnPr>
                          <a:cxnSpLocks noChangeShapeType="1"/>
                        </wps:cNvCnPr>
                        <wps:spPr bwMode="auto">
                          <a:xfrm>
                            <a:off x="4261485" y="3961765"/>
                            <a:ext cx="261620" cy="635"/>
                          </a:xfrm>
                          <a:prstGeom prst="straightConnector1">
                            <a:avLst/>
                          </a:prstGeom>
                          <a:noFill/>
                          <a:ln w="9525">
                            <a:solidFill>
                              <a:srgbClr val="000000"/>
                            </a:solidFill>
                            <a:prstDash val="dash"/>
                            <a:round/>
                            <a:tailEnd type="triangle" w="med" len="med"/>
                          </a:ln>
                        </wps:spPr>
                        <wps:bodyPr/>
                      </wps:wsp>
                      <wps:wsp>
                        <wps:cNvPr id="155" name="Rectangle 37680"/>
                        <wps:cNvSpPr>
                          <a:spLocks noChangeArrowheads="1"/>
                        </wps:cNvSpPr>
                        <wps:spPr bwMode="auto">
                          <a:xfrm>
                            <a:off x="4523105" y="3910965"/>
                            <a:ext cx="358140" cy="767715"/>
                          </a:xfrm>
                          <a:prstGeom prst="rect">
                            <a:avLst/>
                          </a:prstGeom>
                          <a:noFill/>
                          <a:ln w="9525">
                            <a:solidFill>
                              <a:srgbClr val="000000"/>
                            </a:solidFill>
                            <a:miter lim="800000"/>
                          </a:ln>
                        </wps:spPr>
                        <wps:txbx>
                          <w:txbxContent>
                            <w:p w14:paraId="1C35B5E0" w14:textId="77777777" w:rsidR="00217891" w:rsidRDefault="00217891" w:rsidP="00576CA2">
                              <w:r>
                                <w:rPr>
                                  <w:rFonts w:hint="eastAsia"/>
                                </w:rPr>
                                <w:t>水喷淋</w:t>
                              </w:r>
                            </w:p>
                          </w:txbxContent>
                        </wps:txbx>
                        <wps:bodyPr rot="0" vert="horz" wrap="square" lIns="91440" tIns="45720" rIns="91440" bIns="45720" anchor="t" anchorCtr="0" upright="1">
                          <a:noAutofit/>
                        </wps:bodyPr>
                      </wps:wsp>
                      <wps:wsp>
                        <wps:cNvPr id="156" name="AutoShape 37681"/>
                        <wps:cNvCnPr>
                          <a:cxnSpLocks noChangeShapeType="1"/>
                        </wps:cNvCnPr>
                        <wps:spPr bwMode="auto">
                          <a:xfrm flipH="1">
                            <a:off x="3204210" y="2277110"/>
                            <a:ext cx="12700" cy="1830070"/>
                          </a:xfrm>
                          <a:prstGeom prst="straightConnector1">
                            <a:avLst/>
                          </a:prstGeom>
                          <a:noFill/>
                          <a:ln w="9525">
                            <a:solidFill>
                              <a:srgbClr val="000000"/>
                            </a:solidFill>
                            <a:round/>
                            <a:tailEnd type="triangle" w="med" len="med"/>
                          </a:ln>
                        </wps:spPr>
                        <wps:bodyPr/>
                      </wps:wsp>
                      <wps:wsp>
                        <wps:cNvPr id="157" name="Rectangle 37682"/>
                        <wps:cNvSpPr>
                          <a:spLocks noChangeArrowheads="1"/>
                        </wps:cNvSpPr>
                        <wps:spPr bwMode="auto">
                          <a:xfrm>
                            <a:off x="2727960" y="4076700"/>
                            <a:ext cx="962025" cy="288925"/>
                          </a:xfrm>
                          <a:prstGeom prst="rect">
                            <a:avLst/>
                          </a:prstGeom>
                          <a:noFill/>
                          <a:ln w="9525">
                            <a:solidFill>
                              <a:srgbClr val="000000"/>
                            </a:solidFill>
                            <a:miter lim="800000"/>
                          </a:ln>
                        </wps:spPr>
                        <wps:txbx>
                          <w:txbxContent>
                            <w:p w14:paraId="351BFD1D" w14:textId="77777777" w:rsidR="00217891" w:rsidRDefault="00217891" w:rsidP="00576CA2">
                              <w:pPr>
                                <w:ind w:firstLineChars="100" w:firstLine="210"/>
                                <w:rPr>
                                  <w:rFonts w:ascii="等线" w:hAnsi="等线"/>
                                </w:rPr>
                              </w:pPr>
                              <w:r>
                                <w:rPr>
                                  <w:rFonts w:ascii="等线" w:hAnsi="等线" w:hint="eastAsia"/>
                                </w:rPr>
                                <w:t>冷却池</w:t>
                              </w:r>
                            </w:p>
                          </w:txbxContent>
                        </wps:txbx>
                        <wps:bodyPr rot="0" vert="horz" wrap="square" lIns="91440" tIns="45720" rIns="91440" bIns="45720" anchor="t" anchorCtr="0" upright="1">
                          <a:noAutofit/>
                        </wps:bodyPr>
                      </wps:wsp>
                      <wps:wsp>
                        <wps:cNvPr id="158" name="AutoShape 37683"/>
                        <wps:cNvCnPr>
                          <a:cxnSpLocks noChangeShapeType="1"/>
                        </wps:cNvCnPr>
                        <wps:spPr bwMode="auto">
                          <a:xfrm flipH="1">
                            <a:off x="5792470" y="2178685"/>
                            <a:ext cx="12700" cy="5844540"/>
                          </a:xfrm>
                          <a:prstGeom prst="straightConnector1">
                            <a:avLst/>
                          </a:prstGeom>
                          <a:noFill/>
                          <a:ln w="9525">
                            <a:solidFill>
                              <a:srgbClr val="000000"/>
                            </a:solidFill>
                            <a:round/>
                            <a:tailEnd type="triangle" w="med" len="med"/>
                          </a:ln>
                        </wps:spPr>
                        <wps:bodyPr/>
                      </wps:wsp>
                      <wps:wsp>
                        <wps:cNvPr id="159" name="AutoShape 37684"/>
                        <wps:cNvCnPr>
                          <a:cxnSpLocks noChangeShapeType="1"/>
                        </wps:cNvCnPr>
                        <wps:spPr bwMode="auto">
                          <a:xfrm>
                            <a:off x="3766820" y="2132330"/>
                            <a:ext cx="405130" cy="635"/>
                          </a:xfrm>
                          <a:prstGeom prst="straightConnector1">
                            <a:avLst/>
                          </a:prstGeom>
                          <a:noFill/>
                          <a:ln w="9525">
                            <a:solidFill>
                              <a:srgbClr val="000000"/>
                            </a:solidFill>
                            <a:round/>
                            <a:tailEnd type="triangle" w="med" len="med"/>
                          </a:ln>
                        </wps:spPr>
                        <wps:bodyPr/>
                      </wps:wsp>
                      <wps:wsp>
                        <wps:cNvPr id="27360" name="AutoShape 37686"/>
                        <wps:cNvCnPr>
                          <a:cxnSpLocks noChangeShapeType="1"/>
                        </wps:cNvCnPr>
                        <wps:spPr bwMode="auto">
                          <a:xfrm>
                            <a:off x="2358390" y="4205605"/>
                            <a:ext cx="390525" cy="635"/>
                          </a:xfrm>
                          <a:prstGeom prst="straightConnector1">
                            <a:avLst/>
                          </a:prstGeom>
                          <a:noFill/>
                          <a:ln w="9525">
                            <a:solidFill>
                              <a:srgbClr val="000000"/>
                            </a:solidFill>
                            <a:round/>
                            <a:tailEnd type="triangle" w="med" len="med"/>
                          </a:ln>
                        </wps:spPr>
                        <wps:bodyPr/>
                      </wps:wsp>
                      <wps:wsp>
                        <wps:cNvPr id="27372" name="Rectangle 37687"/>
                        <wps:cNvSpPr>
                          <a:spLocks noChangeArrowheads="1"/>
                        </wps:cNvSpPr>
                        <wps:spPr bwMode="auto">
                          <a:xfrm>
                            <a:off x="1396365" y="4022725"/>
                            <a:ext cx="962025" cy="288925"/>
                          </a:xfrm>
                          <a:prstGeom prst="rect">
                            <a:avLst/>
                          </a:prstGeom>
                          <a:noFill/>
                          <a:ln w="9525">
                            <a:solidFill>
                              <a:srgbClr val="000000"/>
                            </a:solidFill>
                            <a:miter lim="800000"/>
                          </a:ln>
                        </wps:spPr>
                        <wps:txbx>
                          <w:txbxContent>
                            <w:p w14:paraId="1A9AC54E" w14:textId="77777777" w:rsidR="00217891" w:rsidRDefault="00217891" w:rsidP="00576CA2">
                              <w:pPr>
                                <w:ind w:firstLineChars="100" w:firstLine="210"/>
                                <w:rPr>
                                  <w:rFonts w:ascii="等线" w:hAnsi="等线"/>
                                </w:rPr>
                              </w:pPr>
                              <w:r>
                                <w:rPr>
                                  <w:rFonts w:ascii="等线" w:hAnsi="等线" w:hint="eastAsia"/>
                                </w:rPr>
                                <w:t>循环系统</w:t>
                              </w:r>
                            </w:p>
                          </w:txbxContent>
                        </wps:txbx>
                        <wps:bodyPr rot="0" vert="horz" wrap="square" lIns="91440" tIns="45720" rIns="91440" bIns="45720" anchor="t" anchorCtr="0" upright="1">
                          <a:noAutofit/>
                        </wps:bodyPr>
                      </wps:wsp>
                      <wps:wsp>
                        <wps:cNvPr id="27376" name="AutoShape 37688"/>
                        <wps:cNvCnPr>
                          <a:cxnSpLocks noChangeShapeType="1"/>
                        </wps:cNvCnPr>
                        <wps:spPr bwMode="auto">
                          <a:xfrm>
                            <a:off x="936625" y="4175125"/>
                            <a:ext cx="459740" cy="635"/>
                          </a:xfrm>
                          <a:prstGeom prst="straightConnector1">
                            <a:avLst/>
                          </a:prstGeom>
                          <a:noFill/>
                          <a:ln w="9525">
                            <a:solidFill>
                              <a:srgbClr val="000000"/>
                            </a:solidFill>
                            <a:round/>
                            <a:tailEnd type="triangle" w="med" len="med"/>
                          </a:ln>
                        </wps:spPr>
                        <wps:bodyPr/>
                      </wps:wsp>
                      <wps:wsp>
                        <wps:cNvPr id="27380" name="Rectangle 37689"/>
                        <wps:cNvSpPr>
                          <a:spLocks noChangeArrowheads="1"/>
                        </wps:cNvSpPr>
                        <wps:spPr bwMode="auto">
                          <a:xfrm>
                            <a:off x="584835" y="3910965"/>
                            <a:ext cx="1085850" cy="279400"/>
                          </a:xfrm>
                          <a:prstGeom prst="rect">
                            <a:avLst/>
                          </a:prstGeom>
                          <a:noFill/>
                          <a:ln>
                            <a:noFill/>
                          </a:ln>
                        </wps:spPr>
                        <wps:txbx>
                          <w:txbxContent>
                            <w:p w14:paraId="33D4FF8E" w14:textId="77777777" w:rsidR="00217891" w:rsidRDefault="00217891" w:rsidP="00576CA2">
                              <w:pPr>
                                <w:rPr>
                                  <w:rFonts w:asciiTheme="minorHAnsi" w:hAnsiTheme="minorHAnsi"/>
                                </w:rPr>
                              </w:pPr>
                              <w:r>
                                <w:rPr>
                                  <w:rFonts w:asciiTheme="minorHAnsi" w:hAnsiTheme="minorHAnsi" w:hint="eastAsia"/>
                                </w:rPr>
                                <w:t>脱盐水</w:t>
                              </w:r>
                              <w:r>
                                <w:rPr>
                                  <w:rFonts w:ascii="Calibri" w:hAnsi="Calibri"/>
                                </w:rPr>
                                <w:t>77</w:t>
                              </w:r>
                            </w:p>
                          </w:txbxContent>
                        </wps:txbx>
                        <wps:bodyPr rot="0" vert="horz" wrap="square" lIns="91440" tIns="45720" rIns="91440" bIns="45720" anchor="t" anchorCtr="0" upright="1">
                          <a:noAutofit/>
                        </wps:bodyPr>
                      </wps:wsp>
                      <wps:wsp>
                        <wps:cNvPr id="27384" name="AutoShape 37690"/>
                        <wps:cNvCnPr>
                          <a:cxnSpLocks noChangeShapeType="1"/>
                        </wps:cNvCnPr>
                        <wps:spPr bwMode="auto">
                          <a:xfrm>
                            <a:off x="2010410" y="4320540"/>
                            <a:ext cx="0" cy="2514600"/>
                          </a:xfrm>
                          <a:prstGeom prst="straightConnector1">
                            <a:avLst/>
                          </a:prstGeom>
                          <a:noFill/>
                          <a:ln w="9525">
                            <a:solidFill>
                              <a:srgbClr val="000000"/>
                            </a:solidFill>
                            <a:round/>
                          </a:ln>
                        </wps:spPr>
                        <wps:bodyPr/>
                      </wps:wsp>
                      <wps:wsp>
                        <wps:cNvPr id="27385" name="Rectangle 37691"/>
                        <wps:cNvSpPr>
                          <a:spLocks noChangeArrowheads="1"/>
                        </wps:cNvSpPr>
                        <wps:spPr bwMode="auto">
                          <a:xfrm>
                            <a:off x="906145" y="4942205"/>
                            <a:ext cx="1418590" cy="818515"/>
                          </a:xfrm>
                          <a:prstGeom prst="rect">
                            <a:avLst/>
                          </a:prstGeom>
                          <a:noFill/>
                          <a:ln>
                            <a:noFill/>
                          </a:ln>
                        </wps:spPr>
                        <wps:txbx>
                          <w:txbxContent>
                            <w:p w14:paraId="388F964D" w14:textId="77777777" w:rsidR="00217891" w:rsidRPr="00C97A7B" w:rsidRDefault="00217891" w:rsidP="00576CA2">
                              <w:pPr>
                                <w:ind w:firstLineChars="100" w:firstLine="200"/>
                                <w:rPr>
                                  <w:rFonts w:ascii="Calibri" w:hAnsi="Calibri"/>
                                  <w:sz w:val="20"/>
                                  <w:szCs w:val="20"/>
                                </w:rPr>
                              </w:pPr>
                              <w:r w:rsidRPr="00C97A7B">
                                <w:rPr>
                                  <w:rFonts w:ascii="Calibri" w:hAnsi="Calibri"/>
                                  <w:sz w:val="20"/>
                                  <w:szCs w:val="20"/>
                                </w:rPr>
                                <w:t>排污水：</w:t>
                              </w:r>
                              <w:r>
                                <w:rPr>
                                  <w:rFonts w:ascii="Calibri" w:hAnsi="Calibri"/>
                                  <w:sz w:val="20"/>
                                  <w:szCs w:val="20"/>
                                </w:rPr>
                                <w:t>8</w:t>
                              </w:r>
                            </w:p>
                            <w:p w14:paraId="7785CC4E" w14:textId="77777777" w:rsidR="00217891" w:rsidRPr="00C97A7B" w:rsidRDefault="00217891" w:rsidP="00576CA2">
                              <w:pPr>
                                <w:rPr>
                                  <w:rFonts w:ascii="Calibri" w:hAnsi="Calibri"/>
                                  <w:sz w:val="20"/>
                                  <w:szCs w:val="20"/>
                                </w:rPr>
                              </w:pPr>
                              <w:r w:rsidRPr="00C97A7B">
                                <w:rPr>
                                  <w:rFonts w:ascii="Calibri" w:hAnsi="Calibri"/>
                                  <w:sz w:val="20"/>
                                  <w:szCs w:val="20"/>
                                </w:rPr>
                                <w:t>（己二胺</w:t>
                              </w:r>
                              <w:r w:rsidRPr="00C97A7B">
                                <w:rPr>
                                  <w:rFonts w:ascii="Calibri" w:hAnsi="Calibri"/>
                                  <w:sz w:val="20"/>
                                  <w:szCs w:val="20"/>
                                </w:rPr>
                                <w:t>0.0</w:t>
                              </w:r>
                              <w:r>
                                <w:rPr>
                                  <w:rFonts w:ascii="Calibri" w:hAnsi="Calibri"/>
                                  <w:sz w:val="20"/>
                                  <w:szCs w:val="20"/>
                                </w:rPr>
                                <w:t>3</w:t>
                              </w:r>
                              <w:r w:rsidRPr="00C97A7B">
                                <w:rPr>
                                  <w:rFonts w:ascii="Calibri" w:hAnsi="Calibri"/>
                                  <w:sz w:val="20"/>
                                  <w:szCs w:val="20"/>
                                </w:rPr>
                                <w:t>）</w:t>
                              </w:r>
                            </w:p>
                          </w:txbxContent>
                        </wps:txbx>
                        <wps:bodyPr rot="0" vert="horz" wrap="square" lIns="91440" tIns="45720" rIns="91440" bIns="45720" anchor="t" anchorCtr="0" upright="1">
                          <a:noAutofit/>
                        </wps:bodyPr>
                      </wps:wsp>
                      <wps:wsp>
                        <wps:cNvPr id="27388" name="AutoShape 37692"/>
                        <wps:cNvCnPr>
                          <a:cxnSpLocks noChangeShapeType="1"/>
                        </wps:cNvCnPr>
                        <wps:spPr bwMode="auto">
                          <a:xfrm>
                            <a:off x="3700145" y="4236085"/>
                            <a:ext cx="810895" cy="635"/>
                          </a:xfrm>
                          <a:prstGeom prst="straightConnector1">
                            <a:avLst/>
                          </a:prstGeom>
                          <a:noFill/>
                          <a:ln w="9525">
                            <a:solidFill>
                              <a:srgbClr val="000000"/>
                            </a:solidFill>
                            <a:prstDash val="dash"/>
                            <a:round/>
                            <a:tailEnd type="triangle" w="med" len="med"/>
                          </a:ln>
                        </wps:spPr>
                        <wps:bodyPr/>
                      </wps:wsp>
                      <wps:wsp>
                        <wps:cNvPr id="27469" name="Rectangle 37693"/>
                        <wps:cNvSpPr>
                          <a:spLocks noChangeArrowheads="1"/>
                        </wps:cNvSpPr>
                        <wps:spPr bwMode="auto">
                          <a:xfrm>
                            <a:off x="3359784" y="3977005"/>
                            <a:ext cx="1163321" cy="755015"/>
                          </a:xfrm>
                          <a:prstGeom prst="rect">
                            <a:avLst/>
                          </a:prstGeom>
                          <a:noFill/>
                          <a:ln>
                            <a:noFill/>
                          </a:ln>
                        </wps:spPr>
                        <wps:txbx>
                          <w:txbxContent>
                            <w:p w14:paraId="6EE8B2A3" w14:textId="77777777" w:rsidR="00217891" w:rsidRPr="00AE1181" w:rsidRDefault="00217891" w:rsidP="00576CA2">
                              <w:pPr>
                                <w:rPr>
                                  <w:rFonts w:ascii="Calibri" w:hAnsi="Calibri"/>
                                  <w:sz w:val="20"/>
                                  <w:szCs w:val="20"/>
                                </w:rPr>
                              </w:pPr>
                              <w:r w:rsidRPr="00AE1181">
                                <w:rPr>
                                  <w:rFonts w:ascii="Calibri" w:hAnsi="Calibri"/>
                                  <w:sz w:val="20"/>
                                  <w:szCs w:val="20"/>
                                </w:rPr>
                                <w:t>蒸发废气：</w:t>
                              </w:r>
                              <w:r>
                                <w:rPr>
                                  <w:rFonts w:ascii="Calibri" w:hAnsi="Calibri"/>
                                  <w:sz w:val="20"/>
                                  <w:szCs w:val="20"/>
                                </w:rPr>
                                <w:t>69</w:t>
                              </w:r>
                            </w:p>
                            <w:p w14:paraId="701A1A56" w14:textId="77777777" w:rsidR="00217891" w:rsidRPr="00AE1181" w:rsidRDefault="00217891" w:rsidP="00576CA2">
                              <w:pPr>
                                <w:rPr>
                                  <w:rFonts w:ascii="Calibri" w:hAnsi="Calibri"/>
                                  <w:sz w:val="20"/>
                                  <w:szCs w:val="20"/>
                                </w:rPr>
                              </w:pPr>
                              <w:r w:rsidRPr="00AE1181">
                                <w:rPr>
                                  <w:rFonts w:ascii="Calibri" w:hAnsi="Calibri"/>
                                  <w:sz w:val="20"/>
                                  <w:szCs w:val="20"/>
                                </w:rPr>
                                <w:t>（其中水：</w:t>
                              </w:r>
                              <w:r>
                                <w:rPr>
                                  <w:rFonts w:ascii="Calibri" w:hAnsi="Calibri"/>
                                  <w:sz w:val="20"/>
                                  <w:szCs w:val="20"/>
                                </w:rPr>
                                <w:t>68.98</w:t>
                              </w:r>
                            </w:p>
                            <w:p w14:paraId="347150A6" w14:textId="77777777" w:rsidR="00217891" w:rsidRDefault="00217891" w:rsidP="00576CA2">
                              <w:pPr>
                                <w:rPr>
                                  <w:rFonts w:asciiTheme="minorHAnsi" w:hAnsiTheme="minorHAnsi"/>
                                  <w:sz w:val="20"/>
                                  <w:szCs w:val="20"/>
                                </w:rPr>
                              </w:pPr>
                              <w:r w:rsidRPr="00AE1181">
                                <w:rPr>
                                  <w:rFonts w:ascii="Calibri" w:hAnsi="Calibri"/>
                                  <w:sz w:val="20"/>
                                  <w:szCs w:val="20"/>
                                </w:rPr>
                                <w:t>己二胺</w:t>
                              </w:r>
                              <w:r w:rsidRPr="00AE1181">
                                <w:rPr>
                                  <w:rFonts w:ascii="Calibri" w:hAnsi="Calibri"/>
                                  <w:sz w:val="20"/>
                                  <w:szCs w:val="20"/>
                                </w:rPr>
                                <w:t>0.0</w:t>
                              </w:r>
                              <w:r>
                                <w:rPr>
                                  <w:rFonts w:ascii="Calibri" w:hAnsi="Calibri"/>
                                  <w:sz w:val="20"/>
                                  <w:szCs w:val="20"/>
                                </w:rPr>
                                <w:t>2</w:t>
                              </w:r>
                              <w:r w:rsidRPr="00AE1181">
                                <w:rPr>
                                  <w:rFonts w:ascii="Calibri" w:hAnsi="Calibri"/>
                                  <w:sz w:val="20"/>
                                  <w:szCs w:val="20"/>
                                </w:rPr>
                                <w:t>）</w:t>
                              </w:r>
                            </w:p>
                          </w:txbxContent>
                        </wps:txbx>
                        <wps:bodyPr rot="0" vert="horz" wrap="square" lIns="91440" tIns="45720" rIns="91440" bIns="45720" anchor="t" anchorCtr="0" upright="1">
                          <a:noAutofit/>
                        </wps:bodyPr>
                      </wps:wsp>
                      <wps:wsp>
                        <wps:cNvPr id="27479" name="AutoShape 37694"/>
                        <wps:cNvCnPr>
                          <a:cxnSpLocks noChangeShapeType="1"/>
                        </wps:cNvCnPr>
                        <wps:spPr bwMode="auto">
                          <a:xfrm>
                            <a:off x="3187700" y="4365625"/>
                            <a:ext cx="1905" cy="517525"/>
                          </a:xfrm>
                          <a:prstGeom prst="straightConnector1">
                            <a:avLst/>
                          </a:prstGeom>
                          <a:noFill/>
                          <a:ln w="9525">
                            <a:solidFill>
                              <a:srgbClr val="000000"/>
                            </a:solidFill>
                            <a:round/>
                            <a:tailEnd type="triangle" w="med" len="med"/>
                          </a:ln>
                        </wps:spPr>
                        <wps:bodyPr/>
                      </wps:wsp>
                      <wps:wsp>
                        <wps:cNvPr id="27480" name="Rectangle 37695"/>
                        <wps:cNvSpPr>
                          <a:spLocks noChangeArrowheads="1"/>
                        </wps:cNvSpPr>
                        <wps:spPr bwMode="auto">
                          <a:xfrm>
                            <a:off x="2711450" y="4888230"/>
                            <a:ext cx="962025" cy="288925"/>
                          </a:xfrm>
                          <a:prstGeom prst="rect">
                            <a:avLst/>
                          </a:prstGeom>
                          <a:noFill/>
                          <a:ln w="9525">
                            <a:solidFill>
                              <a:srgbClr val="000000"/>
                            </a:solidFill>
                            <a:miter lim="800000"/>
                          </a:ln>
                        </wps:spPr>
                        <wps:txbx>
                          <w:txbxContent>
                            <w:p w14:paraId="175C3441" w14:textId="77777777" w:rsidR="00217891" w:rsidRDefault="00217891" w:rsidP="00576CA2">
                              <w:pPr>
                                <w:ind w:firstLineChars="200" w:firstLine="420"/>
                                <w:rPr>
                                  <w:rFonts w:ascii="等线" w:hAnsi="等线"/>
                                </w:rPr>
                              </w:pPr>
                              <w:r>
                                <w:rPr>
                                  <w:rFonts w:ascii="等线" w:hAnsi="等线" w:hint="eastAsia"/>
                                </w:rPr>
                                <w:t>制粒</w:t>
                              </w:r>
                            </w:p>
                          </w:txbxContent>
                        </wps:txbx>
                        <wps:bodyPr rot="0" vert="horz" wrap="square" lIns="91440" tIns="45720" rIns="91440" bIns="45720" anchor="t" anchorCtr="0" upright="1">
                          <a:noAutofit/>
                        </wps:bodyPr>
                      </wps:wsp>
                      <wps:wsp>
                        <wps:cNvPr id="27481" name="AutoShape 37696"/>
                        <wps:cNvCnPr>
                          <a:cxnSpLocks noChangeShapeType="1"/>
                        </wps:cNvCnPr>
                        <wps:spPr bwMode="auto">
                          <a:xfrm>
                            <a:off x="3673475" y="5043170"/>
                            <a:ext cx="459740" cy="635"/>
                          </a:xfrm>
                          <a:prstGeom prst="straightConnector1">
                            <a:avLst/>
                          </a:prstGeom>
                          <a:noFill/>
                          <a:ln w="9525">
                            <a:solidFill>
                              <a:srgbClr val="000000"/>
                            </a:solidFill>
                            <a:round/>
                            <a:tailEnd type="triangle" w="med" len="med"/>
                          </a:ln>
                        </wps:spPr>
                        <wps:bodyPr/>
                      </wps:wsp>
                      <wps:wsp>
                        <wps:cNvPr id="25760" name="Rectangle 37697"/>
                        <wps:cNvSpPr>
                          <a:spLocks noChangeArrowheads="1"/>
                        </wps:cNvSpPr>
                        <wps:spPr bwMode="auto">
                          <a:xfrm>
                            <a:off x="3259455" y="5114925"/>
                            <a:ext cx="1085850" cy="279400"/>
                          </a:xfrm>
                          <a:prstGeom prst="rect">
                            <a:avLst/>
                          </a:prstGeom>
                          <a:noFill/>
                          <a:ln>
                            <a:noFill/>
                          </a:ln>
                        </wps:spPr>
                        <wps:txbx>
                          <w:txbxContent>
                            <w:p w14:paraId="7C982718" w14:textId="77777777" w:rsidR="00217891" w:rsidRPr="00C16801" w:rsidRDefault="00217891" w:rsidP="00576CA2">
                              <w:pPr>
                                <w:rPr>
                                  <w:rFonts w:ascii="Calibri" w:hAnsi="Calibri"/>
                                </w:rPr>
                              </w:pPr>
                              <w:r w:rsidRPr="00C16801">
                                <w:rPr>
                                  <w:rFonts w:ascii="Calibri" w:hAnsi="Calibri"/>
                                </w:rPr>
                                <w:t>瑕疵品：</w:t>
                              </w:r>
                              <w:r>
                                <w:rPr>
                                  <w:rFonts w:ascii="Calibri" w:hAnsi="Calibri"/>
                                </w:rPr>
                                <w:t>8.244</w:t>
                              </w:r>
                            </w:p>
                          </w:txbxContent>
                        </wps:txbx>
                        <wps:bodyPr rot="0" vert="horz" wrap="square" lIns="91440" tIns="45720" rIns="91440" bIns="45720" anchor="t" anchorCtr="0" upright="1">
                          <a:noAutofit/>
                        </wps:bodyPr>
                      </wps:wsp>
                      <wps:wsp>
                        <wps:cNvPr id="25761" name="AutoShape 37698"/>
                        <wps:cNvCnPr>
                          <a:cxnSpLocks noChangeShapeType="1"/>
                        </wps:cNvCnPr>
                        <wps:spPr bwMode="auto">
                          <a:xfrm>
                            <a:off x="3190240" y="5179060"/>
                            <a:ext cx="1905" cy="517525"/>
                          </a:xfrm>
                          <a:prstGeom prst="straightConnector1">
                            <a:avLst/>
                          </a:prstGeom>
                          <a:noFill/>
                          <a:ln w="9525">
                            <a:solidFill>
                              <a:srgbClr val="000000"/>
                            </a:solidFill>
                            <a:round/>
                            <a:tailEnd type="triangle" w="med" len="med"/>
                          </a:ln>
                        </wps:spPr>
                        <wps:bodyPr/>
                      </wps:wsp>
                      <wps:wsp>
                        <wps:cNvPr id="25762" name="Rectangle 37699"/>
                        <wps:cNvSpPr>
                          <a:spLocks noChangeArrowheads="1"/>
                        </wps:cNvSpPr>
                        <wps:spPr bwMode="auto">
                          <a:xfrm>
                            <a:off x="2738120" y="5713095"/>
                            <a:ext cx="962025" cy="288925"/>
                          </a:xfrm>
                          <a:prstGeom prst="rect">
                            <a:avLst/>
                          </a:prstGeom>
                          <a:noFill/>
                          <a:ln w="9525">
                            <a:solidFill>
                              <a:srgbClr val="000000"/>
                            </a:solidFill>
                            <a:miter lim="800000"/>
                          </a:ln>
                        </wps:spPr>
                        <wps:txbx>
                          <w:txbxContent>
                            <w:p w14:paraId="2659D9E2" w14:textId="77777777" w:rsidR="00217891" w:rsidRDefault="00217891" w:rsidP="00576CA2">
                              <w:pPr>
                                <w:ind w:firstLineChars="200" w:firstLine="420"/>
                                <w:rPr>
                                  <w:rFonts w:ascii="等线" w:hAnsi="等线"/>
                                </w:rPr>
                              </w:pPr>
                              <w:r>
                                <w:rPr>
                                  <w:rFonts w:ascii="等线" w:hAnsi="等线" w:hint="eastAsia"/>
                                </w:rPr>
                                <w:t>干燥</w:t>
                              </w:r>
                            </w:p>
                          </w:txbxContent>
                        </wps:txbx>
                        <wps:bodyPr rot="0" vert="horz" wrap="square" lIns="91440" tIns="45720" rIns="91440" bIns="45720" anchor="t" anchorCtr="0" upright="1">
                          <a:noAutofit/>
                        </wps:bodyPr>
                      </wps:wsp>
                      <wps:wsp>
                        <wps:cNvPr id="25763" name="AutoShape 37700"/>
                        <wps:cNvCnPr>
                          <a:cxnSpLocks noChangeShapeType="1"/>
                        </wps:cNvCnPr>
                        <wps:spPr bwMode="auto">
                          <a:xfrm>
                            <a:off x="3700145" y="5873750"/>
                            <a:ext cx="459740" cy="635"/>
                          </a:xfrm>
                          <a:prstGeom prst="straightConnector1">
                            <a:avLst/>
                          </a:prstGeom>
                          <a:noFill/>
                          <a:ln w="9525">
                            <a:solidFill>
                              <a:srgbClr val="000000"/>
                            </a:solidFill>
                            <a:round/>
                            <a:tailEnd type="triangle" w="med" len="med"/>
                          </a:ln>
                        </wps:spPr>
                        <wps:bodyPr/>
                      </wps:wsp>
                      <wps:wsp>
                        <wps:cNvPr id="25764" name="Rectangle 37701"/>
                        <wps:cNvSpPr>
                          <a:spLocks noChangeArrowheads="1"/>
                        </wps:cNvSpPr>
                        <wps:spPr bwMode="auto">
                          <a:xfrm>
                            <a:off x="3267075" y="5950585"/>
                            <a:ext cx="1085850" cy="279400"/>
                          </a:xfrm>
                          <a:prstGeom prst="rect">
                            <a:avLst/>
                          </a:prstGeom>
                          <a:noFill/>
                          <a:ln>
                            <a:noFill/>
                          </a:ln>
                        </wps:spPr>
                        <wps:txbx>
                          <w:txbxContent>
                            <w:p w14:paraId="3EF7BA8E" w14:textId="77777777" w:rsidR="00217891" w:rsidRPr="00C97A7B" w:rsidRDefault="00217891" w:rsidP="00576CA2">
                              <w:pPr>
                                <w:rPr>
                                  <w:rFonts w:ascii="Calibri" w:hAnsi="Calibri"/>
                                </w:rPr>
                              </w:pPr>
                              <w:r w:rsidRPr="00C97A7B">
                                <w:rPr>
                                  <w:rFonts w:ascii="Calibri" w:hAnsi="Calibri"/>
                                </w:rPr>
                                <w:t>蒸发水：</w:t>
                              </w:r>
                              <w:r>
                                <w:rPr>
                                  <w:rFonts w:ascii="Calibri" w:hAnsi="Calibri"/>
                                </w:rPr>
                                <w:t>6.19</w:t>
                              </w:r>
                            </w:p>
                          </w:txbxContent>
                        </wps:txbx>
                        <wps:bodyPr rot="0" vert="horz" wrap="square" lIns="91440" tIns="45720" rIns="91440" bIns="45720" anchor="t" anchorCtr="0" upright="1">
                          <a:noAutofit/>
                        </wps:bodyPr>
                      </wps:wsp>
                      <wps:wsp>
                        <wps:cNvPr id="25765" name="AutoShape 37702"/>
                        <wps:cNvCnPr>
                          <a:cxnSpLocks noChangeShapeType="1"/>
                        </wps:cNvCnPr>
                        <wps:spPr bwMode="auto">
                          <a:xfrm>
                            <a:off x="3202305" y="6017260"/>
                            <a:ext cx="1905" cy="517525"/>
                          </a:xfrm>
                          <a:prstGeom prst="straightConnector1">
                            <a:avLst/>
                          </a:prstGeom>
                          <a:noFill/>
                          <a:ln w="9525">
                            <a:solidFill>
                              <a:srgbClr val="000000"/>
                            </a:solidFill>
                            <a:round/>
                            <a:tailEnd type="triangle" w="med" len="med"/>
                          </a:ln>
                        </wps:spPr>
                        <wps:bodyPr/>
                      </wps:wsp>
                      <wps:wsp>
                        <wps:cNvPr id="25766" name="Rectangle 37703"/>
                        <wps:cNvSpPr>
                          <a:spLocks noChangeArrowheads="1"/>
                        </wps:cNvSpPr>
                        <wps:spPr bwMode="auto">
                          <a:xfrm>
                            <a:off x="2757170" y="6478905"/>
                            <a:ext cx="1085850" cy="279400"/>
                          </a:xfrm>
                          <a:prstGeom prst="rect">
                            <a:avLst/>
                          </a:prstGeom>
                          <a:noFill/>
                          <a:ln>
                            <a:noFill/>
                          </a:ln>
                        </wps:spPr>
                        <wps:txbx>
                          <w:txbxContent>
                            <w:p w14:paraId="23FC9A19" w14:textId="77777777" w:rsidR="00217891" w:rsidRPr="00C16801" w:rsidRDefault="00217891" w:rsidP="00576CA2">
                              <w:pPr>
                                <w:rPr>
                                  <w:rFonts w:ascii="Calibri" w:hAnsi="Calibri"/>
                                </w:rPr>
                              </w:pPr>
                              <w:r>
                                <w:rPr>
                                  <w:rFonts w:asciiTheme="minorHAnsi" w:hAnsiTheme="minorHAnsi" w:hint="eastAsia"/>
                                </w:rPr>
                                <w:t>成品：</w:t>
                              </w:r>
                              <w:r>
                                <w:rPr>
                                  <w:rFonts w:ascii="Calibri" w:hAnsi="Calibri"/>
                                </w:rPr>
                                <w:t>1</w:t>
                              </w:r>
                              <w:r w:rsidRPr="00C16801">
                                <w:rPr>
                                  <w:rFonts w:ascii="Calibri" w:hAnsi="Calibri"/>
                                </w:rPr>
                                <w:t>500</w:t>
                              </w:r>
                            </w:p>
                          </w:txbxContent>
                        </wps:txbx>
                        <wps:bodyPr rot="0" vert="horz" wrap="square" lIns="91440" tIns="45720" rIns="91440" bIns="45720" anchor="t" anchorCtr="0" upright="1">
                          <a:noAutofit/>
                        </wps:bodyPr>
                      </wps:wsp>
                      <wps:wsp>
                        <wps:cNvPr id="25767" name="Rectangle 37704"/>
                        <wps:cNvSpPr>
                          <a:spLocks noChangeArrowheads="1"/>
                        </wps:cNvSpPr>
                        <wps:spPr bwMode="auto">
                          <a:xfrm>
                            <a:off x="2983865" y="5348605"/>
                            <a:ext cx="1085850" cy="279400"/>
                          </a:xfrm>
                          <a:prstGeom prst="rect">
                            <a:avLst/>
                          </a:prstGeom>
                          <a:noFill/>
                          <a:ln>
                            <a:noFill/>
                          </a:ln>
                        </wps:spPr>
                        <wps:txbx>
                          <w:txbxContent>
                            <w:p w14:paraId="0761C45D" w14:textId="77777777" w:rsidR="00217891" w:rsidRPr="00C97A7B" w:rsidRDefault="00217891" w:rsidP="00576CA2">
                              <w:pPr>
                                <w:ind w:firstLineChars="150" w:firstLine="315"/>
                                <w:rPr>
                                  <w:rFonts w:ascii="Calibri" w:hAnsi="Calibri"/>
                                </w:rPr>
                              </w:pPr>
                              <w:r>
                                <w:rPr>
                                  <w:rFonts w:ascii="Calibri" w:hAnsi="Calibri"/>
                                </w:rPr>
                                <w:t>1506.19</w:t>
                              </w:r>
                            </w:p>
                          </w:txbxContent>
                        </wps:txbx>
                        <wps:bodyPr rot="0" vert="horz" wrap="square" lIns="91440" tIns="45720" rIns="91440" bIns="45720" anchor="t" anchorCtr="0" upright="1">
                          <a:noAutofit/>
                        </wps:bodyPr>
                      </wps:wsp>
                      <wps:wsp>
                        <wps:cNvPr id="25768" name="Rectangle 37705"/>
                        <wps:cNvSpPr>
                          <a:spLocks noChangeArrowheads="1"/>
                        </wps:cNvSpPr>
                        <wps:spPr bwMode="auto">
                          <a:xfrm>
                            <a:off x="3031490" y="4575810"/>
                            <a:ext cx="1085850" cy="279400"/>
                          </a:xfrm>
                          <a:prstGeom prst="rect">
                            <a:avLst/>
                          </a:prstGeom>
                          <a:noFill/>
                          <a:ln>
                            <a:noFill/>
                          </a:ln>
                        </wps:spPr>
                        <wps:txbx>
                          <w:txbxContent>
                            <w:p w14:paraId="1F38E252" w14:textId="77777777" w:rsidR="00217891" w:rsidRPr="00C97A7B" w:rsidRDefault="00217891" w:rsidP="00576CA2">
                              <w:pPr>
                                <w:ind w:firstLineChars="100" w:firstLine="210"/>
                                <w:rPr>
                                  <w:rFonts w:ascii="Calibri" w:hAnsi="Calibri"/>
                                </w:rPr>
                              </w:pPr>
                              <w:r w:rsidRPr="00B16450">
                                <w:rPr>
                                  <w:rFonts w:ascii="Calibri" w:hAnsi="Calibri"/>
                                </w:rPr>
                                <w:t>1514.434</w:t>
                              </w:r>
                            </w:p>
                          </w:txbxContent>
                        </wps:txbx>
                        <wps:bodyPr rot="0" vert="horz" wrap="square" lIns="91440" tIns="45720" rIns="91440" bIns="45720" anchor="t" anchorCtr="0" upright="1">
                          <a:noAutofit/>
                        </wps:bodyPr>
                      </wps:wsp>
                      <wps:wsp>
                        <wps:cNvPr id="25769" name="Rectangle 37706"/>
                        <wps:cNvSpPr>
                          <a:spLocks noChangeArrowheads="1"/>
                        </wps:cNvSpPr>
                        <wps:spPr bwMode="auto">
                          <a:xfrm>
                            <a:off x="4154170" y="1988185"/>
                            <a:ext cx="702310" cy="288925"/>
                          </a:xfrm>
                          <a:prstGeom prst="rect">
                            <a:avLst/>
                          </a:prstGeom>
                          <a:noFill/>
                          <a:ln w="9525">
                            <a:solidFill>
                              <a:srgbClr val="000000"/>
                            </a:solidFill>
                            <a:miter lim="800000"/>
                          </a:ln>
                        </wps:spPr>
                        <wps:txbx>
                          <w:txbxContent>
                            <w:p w14:paraId="4DD6E85A" w14:textId="77777777" w:rsidR="00217891" w:rsidRDefault="00217891" w:rsidP="00576CA2">
                              <w:pPr>
                                <w:rPr>
                                  <w:rFonts w:ascii="等线" w:hAnsi="等线"/>
                                </w:rPr>
                              </w:pPr>
                              <w:r>
                                <w:rPr>
                                  <w:rFonts w:ascii="等线" w:hAnsi="等线" w:hint="eastAsia"/>
                                </w:rPr>
                                <w:t>冷却塔</w:t>
                              </w:r>
                            </w:p>
                          </w:txbxContent>
                        </wps:txbx>
                        <wps:bodyPr rot="0" vert="horz" wrap="square" lIns="91440" tIns="45720" rIns="91440" bIns="45720" anchor="t" anchorCtr="0" upright="1">
                          <a:noAutofit/>
                        </wps:bodyPr>
                      </wps:wsp>
                      <wps:wsp>
                        <wps:cNvPr id="25770" name="AutoShape 37707"/>
                        <wps:cNvCnPr>
                          <a:cxnSpLocks noChangeShapeType="1"/>
                        </wps:cNvCnPr>
                        <wps:spPr bwMode="auto">
                          <a:xfrm flipH="1">
                            <a:off x="2246630" y="890270"/>
                            <a:ext cx="2181225" cy="1270"/>
                          </a:xfrm>
                          <a:prstGeom prst="straightConnector1">
                            <a:avLst/>
                          </a:prstGeom>
                          <a:noFill/>
                          <a:ln w="9525">
                            <a:solidFill>
                              <a:srgbClr val="000000"/>
                            </a:solidFill>
                            <a:round/>
                          </a:ln>
                        </wps:spPr>
                        <wps:bodyPr/>
                      </wps:wsp>
                      <wps:wsp>
                        <wps:cNvPr id="25771" name="AutoShape 37708"/>
                        <wps:cNvCnPr>
                          <a:cxnSpLocks noChangeShapeType="1"/>
                        </wps:cNvCnPr>
                        <wps:spPr bwMode="auto">
                          <a:xfrm flipH="1">
                            <a:off x="2235835" y="891540"/>
                            <a:ext cx="10795" cy="281940"/>
                          </a:xfrm>
                          <a:prstGeom prst="straightConnector1">
                            <a:avLst/>
                          </a:prstGeom>
                          <a:noFill/>
                          <a:ln w="9525">
                            <a:solidFill>
                              <a:srgbClr val="000000"/>
                            </a:solidFill>
                            <a:round/>
                            <a:tailEnd type="triangle" w="med" len="med"/>
                          </a:ln>
                        </wps:spPr>
                        <wps:bodyPr/>
                      </wps:wsp>
                      <wps:wsp>
                        <wps:cNvPr id="25773" name="Rectangle 37709"/>
                        <wps:cNvSpPr>
                          <a:spLocks noChangeArrowheads="1"/>
                        </wps:cNvSpPr>
                        <wps:spPr bwMode="auto">
                          <a:xfrm>
                            <a:off x="3396615" y="1852930"/>
                            <a:ext cx="1085850" cy="279400"/>
                          </a:xfrm>
                          <a:prstGeom prst="rect">
                            <a:avLst/>
                          </a:prstGeom>
                          <a:noFill/>
                          <a:ln>
                            <a:noFill/>
                          </a:ln>
                        </wps:spPr>
                        <wps:txbx>
                          <w:txbxContent>
                            <w:p w14:paraId="3B2A4310" w14:textId="77777777" w:rsidR="00217891" w:rsidRPr="00C97A7B" w:rsidRDefault="00217891" w:rsidP="00576CA2">
                              <w:pPr>
                                <w:ind w:firstLineChars="200" w:firstLine="420"/>
                                <w:rPr>
                                  <w:rFonts w:ascii="Calibri" w:hAnsi="Calibri"/>
                                </w:rPr>
                              </w:pPr>
                              <w:r>
                                <w:rPr>
                                  <w:rFonts w:ascii="Calibri" w:hAnsi="Calibri"/>
                                </w:rPr>
                                <w:t>1604.546</w:t>
                              </w:r>
                            </w:p>
                          </w:txbxContent>
                        </wps:txbx>
                        <wps:bodyPr rot="0" vert="horz" wrap="square" lIns="91440" tIns="45720" rIns="91440" bIns="45720" anchor="t" anchorCtr="0" upright="1">
                          <a:noAutofit/>
                        </wps:bodyPr>
                      </wps:wsp>
                      <wps:wsp>
                        <wps:cNvPr id="25774" name="AutoShape 37711"/>
                        <wps:cNvCnPr>
                          <a:cxnSpLocks noChangeShapeType="1"/>
                        </wps:cNvCnPr>
                        <wps:spPr bwMode="auto">
                          <a:xfrm flipH="1">
                            <a:off x="4236720" y="2284730"/>
                            <a:ext cx="19050" cy="1707515"/>
                          </a:xfrm>
                          <a:prstGeom prst="straightConnector1">
                            <a:avLst/>
                          </a:prstGeom>
                          <a:noFill/>
                          <a:ln w="9525">
                            <a:solidFill>
                              <a:srgbClr val="000000"/>
                            </a:solidFill>
                            <a:prstDash val="dash"/>
                            <a:round/>
                          </a:ln>
                        </wps:spPr>
                        <wps:bodyPr/>
                      </wps:wsp>
                      <wps:wsp>
                        <wps:cNvPr id="25775" name="Rectangle 37712"/>
                        <wps:cNvSpPr>
                          <a:spLocks noChangeArrowheads="1"/>
                        </wps:cNvSpPr>
                        <wps:spPr bwMode="auto">
                          <a:xfrm>
                            <a:off x="3161030" y="2262505"/>
                            <a:ext cx="1886585" cy="1280795"/>
                          </a:xfrm>
                          <a:prstGeom prst="rect">
                            <a:avLst/>
                          </a:prstGeom>
                          <a:noFill/>
                          <a:ln>
                            <a:noFill/>
                          </a:ln>
                        </wps:spPr>
                        <wps:txbx>
                          <w:txbxContent>
                            <w:p w14:paraId="57A99699" w14:textId="77777777" w:rsidR="00217891" w:rsidRPr="00C97A7B" w:rsidRDefault="00217891" w:rsidP="00576CA2">
                              <w:pPr>
                                <w:ind w:firstLineChars="200" w:firstLine="400"/>
                                <w:rPr>
                                  <w:rFonts w:ascii="Calibri" w:hAnsi="Calibri"/>
                                  <w:sz w:val="20"/>
                                  <w:szCs w:val="20"/>
                                </w:rPr>
                              </w:pPr>
                              <w:r w:rsidRPr="00C97A7B">
                                <w:rPr>
                                  <w:rFonts w:ascii="Calibri" w:hAnsi="Calibri"/>
                                  <w:sz w:val="20"/>
                                  <w:szCs w:val="20"/>
                                </w:rPr>
                                <w:t>不凝气：</w:t>
                              </w:r>
                              <w:r>
                                <w:rPr>
                                  <w:rFonts w:ascii="Calibri" w:hAnsi="Calibri"/>
                                  <w:sz w:val="20"/>
                                  <w:szCs w:val="20"/>
                                </w:rPr>
                                <w:t>161.476</w:t>
                              </w:r>
                            </w:p>
                            <w:p w14:paraId="20034D37" w14:textId="77777777" w:rsidR="00217891" w:rsidRPr="00C97A7B" w:rsidRDefault="00217891" w:rsidP="00576CA2">
                              <w:pPr>
                                <w:ind w:firstLineChars="200" w:firstLine="400"/>
                                <w:rPr>
                                  <w:rFonts w:ascii="Calibri" w:hAnsi="Calibri"/>
                                  <w:sz w:val="20"/>
                                  <w:szCs w:val="20"/>
                                </w:rPr>
                              </w:pPr>
                              <w:r w:rsidRPr="00C97A7B">
                                <w:rPr>
                                  <w:rFonts w:ascii="Calibri" w:hAnsi="Calibri"/>
                                  <w:sz w:val="20"/>
                                  <w:szCs w:val="20"/>
                                </w:rPr>
                                <w:t>（其中水：</w:t>
                              </w:r>
                              <w:r>
                                <w:rPr>
                                  <w:rFonts w:ascii="Calibri" w:hAnsi="Calibri"/>
                                  <w:sz w:val="20"/>
                                  <w:szCs w:val="20"/>
                                </w:rPr>
                                <w:t>159.48</w:t>
                              </w:r>
                              <w:r>
                                <w:rPr>
                                  <w:rFonts w:ascii="Calibri" w:hAnsi="Calibri" w:hint="eastAsia"/>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06</w:t>
                              </w:r>
                              <w:r>
                                <w:rPr>
                                  <w:rFonts w:ascii="Calibri" w:hAnsi="Calibri" w:hint="eastAsia"/>
                                  <w:sz w:val="20"/>
                                  <w:szCs w:val="20"/>
                                </w:rPr>
                                <w:t>；</w:t>
                              </w:r>
                              <w:r w:rsidRPr="00C97A7B">
                                <w:rPr>
                                  <w:rFonts w:ascii="Calibri" w:hAnsi="Calibri"/>
                                  <w:sz w:val="20"/>
                                  <w:szCs w:val="20"/>
                                </w:rPr>
                                <w:t>己二酸：</w:t>
                              </w:r>
                              <w:r>
                                <w:rPr>
                                  <w:rFonts w:ascii="Calibri" w:hAnsi="Calibri"/>
                                  <w:sz w:val="20"/>
                                  <w:szCs w:val="20"/>
                                </w:rPr>
                                <w:t>0.21</w:t>
                              </w:r>
                              <w:r>
                                <w:rPr>
                                  <w:rFonts w:ascii="Calibri" w:hAnsi="Calibri" w:hint="eastAsia"/>
                                  <w:sz w:val="20"/>
                                  <w:szCs w:val="20"/>
                                </w:rPr>
                                <w:t>；</w:t>
                              </w:r>
                              <w:r w:rsidRPr="00C97A7B">
                                <w:rPr>
                                  <w:rFonts w:ascii="Calibri" w:hAnsi="Calibri"/>
                                  <w:sz w:val="20"/>
                                  <w:szCs w:val="20"/>
                                </w:rPr>
                                <w:t>环戊酮：</w:t>
                              </w:r>
                              <w:r w:rsidRPr="00C97A7B">
                                <w:rPr>
                                  <w:rFonts w:ascii="Calibri" w:hAnsi="Calibri"/>
                                  <w:sz w:val="20"/>
                                  <w:szCs w:val="20"/>
                                </w:rPr>
                                <w:t>0.0</w:t>
                              </w:r>
                              <w:r>
                                <w:rPr>
                                  <w:rFonts w:ascii="Calibri" w:hAnsi="Calibri"/>
                                  <w:sz w:val="20"/>
                                  <w:szCs w:val="20"/>
                                </w:rPr>
                                <w:t>24</w:t>
                              </w:r>
                              <w:r>
                                <w:rPr>
                                  <w:rFonts w:ascii="Calibri" w:hAnsi="Calibri" w:hint="eastAsia"/>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0.0</w:t>
                              </w:r>
                              <w:r>
                                <w:rPr>
                                  <w:rFonts w:ascii="Calibri" w:hAnsi="Calibri"/>
                                  <w:color w:val="auto"/>
                                  <w:kern w:val="0"/>
                                  <w:sz w:val="20"/>
                                  <w:szCs w:val="20"/>
                                </w:rPr>
                                <w:t>3</w:t>
                              </w:r>
                              <w:r w:rsidRPr="00C97A7B">
                                <w:rPr>
                                  <w:rFonts w:ascii="Calibri" w:hAnsi="Calibri"/>
                                  <w:sz w:val="20"/>
                                  <w:szCs w:val="20"/>
                                </w:rPr>
                                <w:t>己二胺</w:t>
                              </w:r>
                              <w:r>
                                <w:rPr>
                                  <w:rFonts w:ascii="Calibri" w:hAnsi="Calibri" w:hint="eastAsia"/>
                                  <w:sz w:val="20"/>
                                  <w:szCs w:val="20"/>
                                </w:rPr>
                                <w:t>:</w:t>
                              </w:r>
                              <w:r>
                                <w:rPr>
                                  <w:rFonts w:ascii="Calibri" w:hAnsi="Calibri"/>
                                  <w:sz w:val="20"/>
                                  <w:szCs w:val="20"/>
                                </w:rPr>
                                <w:t>1.30</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0.0</w:t>
                              </w:r>
                              <w:r>
                                <w:rPr>
                                  <w:rFonts w:ascii="Calibri" w:hAnsi="Calibri"/>
                                  <w:sz w:val="20"/>
                                  <w:szCs w:val="20"/>
                                </w:rPr>
                                <w:t>42</w:t>
                              </w:r>
                              <w:r>
                                <w:rPr>
                                  <w:rFonts w:ascii="Calibri" w:hAnsi="Calibri" w:hint="eastAsia"/>
                                  <w:sz w:val="20"/>
                                  <w:szCs w:val="20"/>
                                </w:rPr>
                                <w:t>；</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0.0</w:t>
                              </w:r>
                              <w:r>
                                <w:rPr>
                                  <w:rFonts w:ascii="Calibri" w:hAnsi="Calibri"/>
                                  <w:sz w:val="20"/>
                                  <w:szCs w:val="20"/>
                                </w:rPr>
                                <w:t>24</w:t>
                              </w:r>
                              <w:r>
                                <w:rPr>
                                  <w:rFonts w:ascii="Calibri" w:hAnsi="Calibri" w:hint="eastAsia"/>
                                  <w:sz w:val="20"/>
                                  <w:szCs w:val="20"/>
                                </w:rPr>
                                <w:t>；</w:t>
                              </w: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0.</w:t>
                              </w:r>
                              <w:r>
                                <w:rPr>
                                  <w:rFonts w:ascii="Calibri"/>
                                  <w:sz w:val="20"/>
                                  <w:szCs w:val="20"/>
                                </w:rPr>
                                <w:t>3</w:t>
                              </w:r>
                              <w:r>
                                <w:rPr>
                                  <w:rFonts w:ascii="Calibri" w:hint="eastAsia"/>
                                  <w:sz w:val="20"/>
                                  <w:szCs w:val="20"/>
                                </w:rPr>
                                <w:t>6</w:t>
                              </w:r>
                              <w:r w:rsidRPr="00C97A7B">
                                <w:rPr>
                                  <w:rFonts w:ascii="Calibri" w:hAnsi="Calibri"/>
                                  <w:sz w:val="20"/>
                                  <w:szCs w:val="20"/>
                                </w:rPr>
                                <w:t>）</w:t>
                              </w:r>
                            </w:p>
                          </w:txbxContent>
                        </wps:txbx>
                        <wps:bodyPr rot="0" vert="horz" wrap="square" lIns="91440" tIns="45720" rIns="91440" bIns="45720" anchor="t" anchorCtr="0" upright="1">
                          <a:noAutofit/>
                        </wps:bodyPr>
                      </wps:wsp>
                      <wps:wsp>
                        <wps:cNvPr id="25776" name="AutoShape 37713"/>
                        <wps:cNvCnPr>
                          <a:cxnSpLocks noChangeShapeType="1"/>
                        </wps:cNvCnPr>
                        <wps:spPr bwMode="auto">
                          <a:xfrm>
                            <a:off x="4848860" y="2155190"/>
                            <a:ext cx="972820" cy="1270"/>
                          </a:xfrm>
                          <a:prstGeom prst="straightConnector1">
                            <a:avLst/>
                          </a:prstGeom>
                          <a:noFill/>
                          <a:ln w="9525">
                            <a:solidFill>
                              <a:srgbClr val="000000"/>
                            </a:solidFill>
                            <a:round/>
                            <a:tailEnd type="triangle" w="med" len="med"/>
                          </a:ln>
                        </wps:spPr>
                        <wps:bodyPr/>
                      </wps:wsp>
                      <wps:wsp>
                        <wps:cNvPr id="25777" name="Rectangle 37714"/>
                        <wps:cNvSpPr>
                          <a:spLocks noChangeArrowheads="1"/>
                        </wps:cNvSpPr>
                        <wps:spPr bwMode="auto">
                          <a:xfrm>
                            <a:off x="4640580" y="609600"/>
                            <a:ext cx="1413510" cy="1537971"/>
                          </a:xfrm>
                          <a:prstGeom prst="rect">
                            <a:avLst/>
                          </a:prstGeom>
                          <a:noFill/>
                          <a:ln>
                            <a:noFill/>
                          </a:ln>
                        </wps:spPr>
                        <wps:txbx>
                          <w:txbxContent>
                            <w:p w14:paraId="16D5CF4D" w14:textId="77777777" w:rsidR="00217891" w:rsidRPr="00C97A7B" w:rsidRDefault="00217891" w:rsidP="00576CA2">
                              <w:pPr>
                                <w:rPr>
                                  <w:rFonts w:ascii="Calibri" w:hAnsi="Calibri"/>
                                  <w:sz w:val="20"/>
                                  <w:szCs w:val="20"/>
                                </w:rPr>
                              </w:pPr>
                              <w:r w:rsidRPr="00C97A7B">
                                <w:rPr>
                                  <w:rFonts w:ascii="Calibri" w:hAnsi="Calibri"/>
                                  <w:sz w:val="20"/>
                                  <w:szCs w:val="20"/>
                                </w:rPr>
                                <w:t>冷凝液</w:t>
                              </w:r>
                              <w:r>
                                <w:rPr>
                                  <w:rFonts w:ascii="Calibri" w:hAnsi="Calibri"/>
                                  <w:sz w:val="20"/>
                                  <w:szCs w:val="20"/>
                                </w:rPr>
                                <w:t>663.19</w:t>
                              </w:r>
                            </w:p>
                            <w:p w14:paraId="237E8BCD" w14:textId="77777777" w:rsidR="00217891" w:rsidRPr="00C97A7B" w:rsidRDefault="00217891" w:rsidP="00576CA2">
                              <w:pPr>
                                <w:rPr>
                                  <w:rFonts w:ascii="Calibri" w:hAnsi="Calibri"/>
                                  <w:sz w:val="20"/>
                                  <w:szCs w:val="20"/>
                                </w:rPr>
                              </w:pPr>
                              <w:r w:rsidRPr="00C97A7B">
                                <w:rPr>
                                  <w:rFonts w:ascii="Calibri" w:hAnsi="Calibri"/>
                                  <w:sz w:val="20"/>
                                  <w:szCs w:val="20"/>
                                </w:rPr>
                                <w:t>（其中水：</w:t>
                              </w:r>
                              <w:r>
                                <w:rPr>
                                  <w:rFonts w:ascii="Calibri" w:hAnsi="Calibri"/>
                                  <w:sz w:val="20"/>
                                  <w:szCs w:val="20"/>
                                </w:rPr>
                                <w:t>659.46</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2</w:t>
                              </w:r>
                              <w:r w:rsidRPr="00C97A7B">
                                <w:rPr>
                                  <w:rFonts w:ascii="Calibri" w:hAnsi="Calibri"/>
                                  <w:sz w:val="20"/>
                                  <w:szCs w:val="20"/>
                                </w:rPr>
                                <w:t>；己二酸</w:t>
                              </w:r>
                              <w:r w:rsidRPr="00C97A7B">
                                <w:rPr>
                                  <w:rFonts w:ascii="Calibri" w:hAnsi="Calibri"/>
                                  <w:sz w:val="20"/>
                                  <w:szCs w:val="20"/>
                                </w:rPr>
                                <w:t>:</w:t>
                              </w:r>
                              <w:r>
                                <w:rPr>
                                  <w:rFonts w:ascii="Calibri" w:hAnsi="Calibri"/>
                                  <w:sz w:val="20"/>
                                  <w:szCs w:val="20"/>
                                </w:rPr>
                                <w:t>0.85</w:t>
                              </w:r>
                              <w:r w:rsidRPr="00C97A7B">
                                <w:rPr>
                                  <w:rFonts w:ascii="Calibri" w:hAnsi="Calibri"/>
                                  <w:sz w:val="20"/>
                                  <w:szCs w:val="20"/>
                                </w:rPr>
                                <w:t>；环戊酮：</w:t>
                              </w:r>
                              <w:r>
                                <w:rPr>
                                  <w:rFonts w:ascii="Calibri" w:hAnsi="Calibri"/>
                                  <w:sz w:val="20"/>
                                  <w:szCs w:val="20"/>
                                </w:rPr>
                                <w:t>0.10</w:t>
                              </w:r>
                              <w:r w:rsidRPr="00C97A7B">
                                <w:rPr>
                                  <w:rFonts w:ascii="Calibri" w:hAnsi="Calibri"/>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w:t>
                              </w:r>
                              <w:r>
                                <w:rPr>
                                  <w:rFonts w:ascii="Calibri" w:hAnsi="Calibri"/>
                                  <w:color w:val="auto"/>
                                  <w:kern w:val="0"/>
                                  <w:sz w:val="20"/>
                                  <w:szCs w:val="20"/>
                                </w:rPr>
                                <w:t>11</w:t>
                              </w:r>
                              <w:r w:rsidRPr="00C97A7B">
                                <w:rPr>
                                  <w:rFonts w:ascii="Calibri" w:hAnsi="Calibri"/>
                                  <w:color w:val="auto"/>
                                  <w:kern w:val="0"/>
                                  <w:sz w:val="20"/>
                                  <w:szCs w:val="20"/>
                                </w:rPr>
                                <w:t>；</w:t>
                              </w:r>
                              <w:r w:rsidRPr="00C97A7B">
                                <w:rPr>
                                  <w:rFonts w:ascii="Calibri" w:hAnsi="Calibri"/>
                                  <w:sz w:val="20"/>
                                  <w:szCs w:val="20"/>
                                </w:rPr>
                                <w:t>己二胺</w:t>
                              </w:r>
                              <w:r>
                                <w:rPr>
                                  <w:rFonts w:ascii="Calibri" w:hAnsi="Calibri"/>
                                  <w:sz w:val="20"/>
                                  <w:szCs w:val="20"/>
                                </w:rPr>
                                <w:t>0.89</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w:t>
                              </w:r>
                              <w:r>
                                <w:rPr>
                                  <w:rFonts w:ascii="Calibri" w:hAnsi="Calibri"/>
                                  <w:sz w:val="20"/>
                                  <w:szCs w:val="20"/>
                                </w:rPr>
                                <w:t>17</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0.1</w:t>
                              </w:r>
                              <w:r>
                                <w:rPr>
                                  <w:rFonts w:ascii="Calibri" w:hAnsi="Calibri"/>
                                  <w:sz w:val="20"/>
                                  <w:szCs w:val="20"/>
                                </w:rPr>
                                <w:t>0</w:t>
                              </w:r>
                              <w:r w:rsidRPr="00E13A8E">
                                <w:rPr>
                                  <w:rFonts w:ascii="Calibri" w:hAnsi="宋体" w:hint="eastAsia"/>
                                  <w:sz w:val="20"/>
                                  <w:szCs w:val="20"/>
                                </w:rPr>
                                <w:t>十二内酰胺</w:t>
                              </w:r>
                              <w:r>
                                <w:rPr>
                                  <w:rFonts w:ascii="Calibri" w:hint="eastAsia"/>
                                  <w:sz w:val="20"/>
                                  <w:szCs w:val="20"/>
                                </w:rPr>
                                <w:t>：</w:t>
                              </w:r>
                              <w:r>
                                <w:rPr>
                                  <w:rFonts w:ascii="Calibri"/>
                                  <w:sz w:val="20"/>
                                  <w:szCs w:val="20"/>
                                </w:rPr>
                                <w:t>1.49</w:t>
                              </w:r>
                              <w:r w:rsidRPr="00C97A7B">
                                <w:rPr>
                                  <w:rFonts w:ascii="Calibri" w:hAnsi="Calibri"/>
                                  <w:sz w:val="20"/>
                                  <w:szCs w:val="20"/>
                                </w:rPr>
                                <w:t>）</w:t>
                              </w:r>
                            </w:p>
                          </w:txbxContent>
                        </wps:txbx>
                        <wps:bodyPr rot="0" vert="horz" wrap="square" lIns="91440" tIns="45720" rIns="91440" bIns="45720" anchor="t" anchorCtr="0" upright="1">
                          <a:noAutofit/>
                        </wps:bodyPr>
                      </wps:wsp>
                      <wps:wsp>
                        <wps:cNvPr id="25778" name="AutoShape 37715"/>
                        <wps:cNvCnPr>
                          <a:cxnSpLocks noChangeShapeType="1"/>
                        </wps:cNvCnPr>
                        <wps:spPr bwMode="auto">
                          <a:xfrm>
                            <a:off x="4873625" y="4472305"/>
                            <a:ext cx="501015" cy="635"/>
                          </a:xfrm>
                          <a:prstGeom prst="straightConnector1">
                            <a:avLst/>
                          </a:prstGeom>
                          <a:noFill/>
                          <a:ln w="9525">
                            <a:solidFill>
                              <a:srgbClr val="000000"/>
                            </a:solidFill>
                            <a:round/>
                            <a:tailEnd type="triangle" w="med" len="med"/>
                          </a:ln>
                        </wps:spPr>
                        <wps:bodyPr/>
                      </wps:wsp>
                      <wps:wsp>
                        <wps:cNvPr id="25779" name="AutoShape 37716"/>
                        <wps:cNvCnPr>
                          <a:cxnSpLocks noChangeShapeType="1"/>
                        </wps:cNvCnPr>
                        <wps:spPr bwMode="auto">
                          <a:xfrm flipH="1">
                            <a:off x="4780915" y="3417570"/>
                            <a:ext cx="14605" cy="483235"/>
                          </a:xfrm>
                          <a:prstGeom prst="straightConnector1">
                            <a:avLst/>
                          </a:prstGeom>
                          <a:noFill/>
                          <a:ln w="9525">
                            <a:solidFill>
                              <a:srgbClr val="000000"/>
                            </a:solidFill>
                            <a:prstDash val="dash"/>
                            <a:round/>
                            <a:headEnd type="triangle" w="med" len="med"/>
                          </a:ln>
                        </wps:spPr>
                        <wps:bodyPr/>
                      </wps:wsp>
                      <wps:wsp>
                        <wps:cNvPr id="25780" name="AutoShape 37718"/>
                        <wps:cNvCnPr>
                          <a:cxnSpLocks noChangeShapeType="1"/>
                        </wps:cNvCnPr>
                        <wps:spPr bwMode="auto">
                          <a:xfrm>
                            <a:off x="4652646" y="3648710"/>
                            <a:ext cx="635" cy="252095"/>
                          </a:xfrm>
                          <a:prstGeom prst="straightConnector1">
                            <a:avLst/>
                          </a:prstGeom>
                          <a:noFill/>
                          <a:ln w="9525">
                            <a:solidFill>
                              <a:srgbClr val="000000"/>
                            </a:solidFill>
                            <a:round/>
                            <a:tailEnd type="triangle" w="med" len="med"/>
                          </a:ln>
                        </wps:spPr>
                        <wps:bodyPr/>
                      </wps:wsp>
                      <wps:wsp>
                        <wps:cNvPr id="25781" name="Rectangle 37719"/>
                        <wps:cNvSpPr>
                          <a:spLocks noChangeArrowheads="1"/>
                        </wps:cNvSpPr>
                        <wps:spPr bwMode="auto">
                          <a:xfrm>
                            <a:off x="3950970" y="3498215"/>
                            <a:ext cx="1085850" cy="279400"/>
                          </a:xfrm>
                          <a:prstGeom prst="rect">
                            <a:avLst/>
                          </a:prstGeom>
                          <a:noFill/>
                          <a:ln>
                            <a:noFill/>
                          </a:ln>
                        </wps:spPr>
                        <wps:txbx>
                          <w:txbxContent>
                            <w:p w14:paraId="6C51B842" w14:textId="77777777" w:rsidR="00217891" w:rsidRPr="00C97A7B" w:rsidRDefault="00217891" w:rsidP="00576CA2">
                              <w:pPr>
                                <w:rPr>
                                  <w:rFonts w:ascii="Calibri" w:hAnsi="Calibri"/>
                                </w:rPr>
                              </w:pPr>
                              <w:r w:rsidRPr="00C97A7B">
                                <w:rPr>
                                  <w:rFonts w:ascii="Calibri" w:hAnsi="Calibri"/>
                                </w:rPr>
                                <w:t>新鲜水</w:t>
                              </w:r>
                              <w:r>
                                <w:rPr>
                                  <w:rFonts w:ascii="Calibri" w:hAnsi="Calibri"/>
                                </w:rPr>
                                <w:t>182</w:t>
                              </w:r>
                            </w:p>
                          </w:txbxContent>
                        </wps:txbx>
                        <wps:bodyPr rot="0" vert="horz" wrap="square" lIns="91440" tIns="45720" rIns="91440" bIns="45720" anchor="t" anchorCtr="0" upright="1">
                          <a:noAutofit/>
                        </wps:bodyPr>
                      </wps:wsp>
                      <wps:wsp>
                        <wps:cNvPr id="25782" name="AutoShape 37720"/>
                        <wps:cNvCnPr>
                          <a:cxnSpLocks noChangeShapeType="1"/>
                        </wps:cNvCnPr>
                        <wps:spPr bwMode="auto">
                          <a:xfrm>
                            <a:off x="2010410" y="6826885"/>
                            <a:ext cx="3782060" cy="8255"/>
                          </a:xfrm>
                          <a:prstGeom prst="straightConnector1">
                            <a:avLst/>
                          </a:prstGeom>
                          <a:noFill/>
                          <a:ln w="9525">
                            <a:solidFill>
                              <a:srgbClr val="000000"/>
                            </a:solidFill>
                            <a:round/>
                            <a:tailEnd type="triangle" w="med" len="med"/>
                          </a:ln>
                        </wps:spPr>
                        <wps:bodyPr/>
                      </wps:wsp>
                      <wps:wsp>
                        <wps:cNvPr id="25783" name="Rectangle 37722"/>
                        <wps:cNvSpPr>
                          <a:spLocks noChangeArrowheads="1"/>
                        </wps:cNvSpPr>
                        <wps:spPr bwMode="auto">
                          <a:xfrm>
                            <a:off x="2065020" y="1367790"/>
                            <a:ext cx="1081405" cy="279400"/>
                          </a:xfrm>
                          <a:prstGeom prst="rect">
                            <a:avLst/>
                          </a:prstGeom>
                          <a:noFill/>
                          <a:ln>
                            <a:noFill/>
                          </a:ln>
                        </wps:spPr>
                        <wps:txbx>
                          <w:txbxContent>
                            <w:p w14:paraId="7CFF7357" w14:textId="77777777" w:rsidR="00217891" w:rsidRPr="00C97A7B" w:rsidRDefault="00217891" w:rsidP="00576CA2">
                              <w:pPr>
                                <w:rPr>
                                  <w:rFonts w:ascii="Calibri" w:hAnsi="Calibri"/>
                                </w:rPr>
                              </w:pPr>
                              <w:r>
                                <w:rPr>
                                  <w:rFonts w:ascii="Calibri" w:hAnsi="Calibri"/>
                                </w:rPr>
                                <w:t>3118.98</w:t>
                              </w:r>
                              <w:r w:rsidRPr="00C97A7B">
                                <w:rPr>
                                  <w:rFonts w:ascii="Calibri" w:hAnsi="Calibri"/>
                                </w:rPr>
                                <w:t>（</w:t>
                              </w:r>
                              <w:r w:rsidRPr="00C97A7B">
                                <w:rPr>
                                  <w:rFonts w:ascii="Calibri" w:hAnsi="Calibri"/>
                                </w:rPr>
                                <w:t>52%</w:t>
                              </w:r>
                              <w:r w:rsidRPr="00C97A7B">
                                <w:rPr>
                                  <w:rFonts w:ascii="Calibri" w:hAnsi="Calibri"/>
                                </w:rPr>
                                <w:t>）</w:t>
                              </w:r>
                            </w:p>
                          </w:txbxContent>
                        </wps:txbx>
                        <wps:bodyPr rot="0" vert="horz" wrap="square" lIns="91440" tIns="45720" rIns="91440" bIns="45720" anchor="t" anchorCtr="0" upright="1">
                          <a:noAutofit/>
                        </wps:bodyPr>
                      </wps:wsp>
                      <wps:wsp>
                        <wps:cNvPr id="25784" name="Rectangle 37723"/>
                        <wps:cNvSpPr>
                          <a:spLocks noChangeArrowheads="1"/>
                        </wps:cNvSpPr>
                        <wps:spPr bwMode="auto">
                          <a:xfrm>
                            <a:off x="2427605" y="3202305"/>
                            <a:ext cx="1085850" cy="279400"/>
                          </a:xfrm>
                          <a:prstGeom prst="rect">
                            <a:avLst/>
                          </a:prstGeom>
                          <a:noFill/>
                          <a:ln>
                            <a:noFill/>
                          </a:ln>
                        </wps:spPr>
                        <wps:txbx>
                          <w:txbxContent>
                            <w:p w14:paraId="5924D5BE" w14:textId="77777777" w:rsidR="00217891" w:rsidRPr="00AE1181" w:rsidRDefault="00217891" w:rsidP="00576CA2">
                              <w:pPr>
                                <w:ind w:firstLineChars="100" w:firstLine="210"/>
                                <w:rPr>
                                  <w:rFonts w:ascii="Calibri" w:hAnsi="Calibri"/>
                                </w:rPr>
                              </w:pPr>
                              <w:r>
                                <w:rPr>
                                  <w:rFonts w:ascii="Calibri" w:hAnsi="Calibri"/>
                                </w:rPr>
                                <w:t>1514.434</w:t>
                              </w:r>
                            </w:p>
                          </w:txbxContent>
                        </wps:txbx>
                        <wps:bodyPr rot="0" vert="horz" wrap="square" lIns="91440" tIns="45720" rIns="91440" bIns="45720" anchor="t" anchorCtr="0" upright="1">
                          <a:noAutofit/>
                        </wps:bodyPr>
                      </wps:wsp>
                      <wps:wsp>
                        <wps:cNvPr id="25785" name="Rectangle 37725"/>
                        <wps:cNvSpPr>
                          <a:spLocks noChangeArrowheads="1"/>
                        </wps:cNvSpPr>
                        <wps:spPr bwMode="auto">
                          <a:xfrm>
                            <a:off x="4910455" y="7992745"/>
                            <a:ext cx="1061085" cy="288925"/>
                          </a:xfrm>
                          <a:prstGeom prst="rect">
                            <a:avLst/>
                          </a:prstGeom>
                          <a:noFill/>
                          <a:ln w="9525">
                            <a:solidFill>
                              <a:srgbClr val="000000"/>
                            </a:solidFill>
                            <a:miter lim="800000"/>
                          </a:ln>
                        </wps:spPr>
                        <wps:txbx>
                          <w:txbxContent>
                            <w:p w14:paraId="3782E032" w14:textId="77777777" w:rsidR="00217891" w:rsidRDefault="00217891" w:rsidP="00576CA2">
                              <w:pPr>
                                <w:ind w:firstLineChars="100" w:firstLine="210"/>
                                <w:rPr>
                                  <w:rFonts w:ascii="等线" w:hAnsi="等线"/>
                                </w:rPr>
                              </w:pPr>
                              <w:r>
                                <w:rPr>
                                  <w:rFonts w:ascii="等线" w:hAnsi="等线" w:hint="eastAsia"/>
                                </w:rPr>
                                <w:t>污水</w:t>
                              </w:r>
                              <w:r>
                                <w:rPr>
                                  <w:rFonts w:ascii="等线" w:hAnsi="等线"/>
                                </w:rPr>
                                <w:t>处理站</w:t>
                              </w:r>
                            </w:p>
                          </w:txbxContent>
                        </wps:txbx>
                        <wps:bodyPr rot="0" vert="horz" wrap="square" lIns="91440" tIns="45720" rIns="91440" bIns="45720" anchor="t" anchorCtr="0" upright="1">
                          <a:noAutofit/>
                        </wps:bodyPr>
                      </wps:wsp>
                      <wps:wsp>
                        <wps:cNvPr id="25786" name="Rectangle 37726"/>
                        <wps:cNvSpPr>
                          <a:spLocks noChangeArrowheads="1"/>
                        </wps:cNvSpPr>
                        <wps:spPr bwMode="auto">
                          <a:xfrm>
                            <a:off x="3933190" y="6758305"/>
                            <a:ext cx="1957070" cy="1313815"/>
                          </a:xfrm>
                          <a:prstGeom prst="rect">
                            <a:avLst/>
                          </a:prstGeom>
                          <a:noFill/>
                          <a:ln>
                            <a:noFill/>
                          </a:ln>
                        </wps:spPr>
                        <wps:txbx>
                          <w:txbxContent>
                            <w:p w14:paraId="4C214A58" w14:textId="77777777" w:rsidR="00217891" w:rsidRPr="00C97A7B" w:rsidRDefault="00217891" w:rsidP="00576CA2">
                              <w:pPr>
                                <w:ind w:firstLineChars="50" w:firstLine="100"/>
                                <w:rPr>
                                  <w:rFonts w:ascii="Calibri" w:hAnsi="Calibri"/>
                                  <w:sz w:val="20"/>
                                  <w:szCs w:val="20"/>
                                </w:rPr>
                              </w:pPr>
                              <w:r w:rsidRPr="00C97A7B">
                                <w:rPr>
                                  <w:rFonts w:ascii="Calibri" w:hAnsi="Calibri"/>
                                  <w:sz w:val="20"/>
                                  <w:szCs w:val="20"/>
                                </w:rPr>
                                <w:t>废水：</w:t>
                              </w:r>
                              <w:r>
                                <w:rPr>
                                  <w:rFonts w:ascii="Calibri" w:hAnsi="Calibri"/>
                                  <w:sz w:val="20"/>
                                  <w:szCs w:val="20"/>
                                </w:rPr>
                                <w:t>1082.865</w:t>
                              </w:r>
                            </w:p>
                            <w:p w14:paraId="342DF5D9" w14:textId="77777777" w:rsidR="00217891" w:rsidRPr="00C97A7B" w:rsidRDefault="00217891" w:rsidP="00576CA2">
                              <w:pPr>
                                <w:ind w:left="400" w:hangingChars="200" w:hanging="400"/>
                                <w:rPr>
                                  <w:rFonts w:ascii="Calibri" w:hAnsi="Calibri"/>
                                  <w:sz w:val="20"/>
                                  <w:szCs w:val="20"/>
                                </w:rPr>
                              </w:pPr>
                              <w:r w:rsidRPr="00C97A7B">
                                <w:rPr>
                                  <w:rFonts w:ascii="Calibri" w:hAnsi="Calibri"/>
                                  <w:sz w:val="20"/>
                                  <w:szCs w:val="20"/>
                                </w:rPr>
                                <w:t>其中水：</w:t>
                              </w:r>
                              <w:r>
                                <w:rPr>
                                  <w:rFonts w:ascii="Calibri" w:hAnsi="Calibri"/>
                                  <w:sz w:val="20"/>
                                  <w:szCs w:val="20"/>
                                </w:rPr>
                                <w:t>1077.89</w:t>
                              </w:r>
                              <w:r>
                                <w:rPr>
                                  <w:rFonts w:ascii="Calibri" w:hAnsi="Calibri" w:hint="eastAsia"/>
                                  <w:sz w:val="20"/>
                                  <w:szCs w:val="20"/>
                                </w:rPr>
                                <w:t>；</w:t>
                              </w:r>
                              <w:r w:rsidRPr="00C97A7B">
                                <w:rPr>
                                  <w:rFonts w:ascii="Calibri" w:hAnsi="Calibri"/>
                                  <w:sz w:val="20"/>
                                  <w:szCs w:val="20"/>
                                </w:rPr>
                                <w:t>己二胺：</w:t>
                              </w:r>
                              <w:r>
                                <w:rPr>
                                  <w:rFonts w:ascii="Calibri" w:hAnsi="Calibri"/>
                                  <w:sz w:val="20"/>
                                  <w:szCs w:val="20"/>
                                </w:rPr>
                                <w:t>1.71</w:t>
                              </w:r>
                            </w:p>
                            <w:p w14:paraId="623D648A" w14:textId="77777777" w:rsidR="00217891" w:rsidRPr="00C97A7B" w:rsidRDefault="00217891" w:rsidP="00576CA2">
                              <w:pPr>
                                <w:ind w:left="400" w:hangingChars="200" w:hanging="400"/>
                                <w:rPr>
                                  <w:rFonts w:ascii="Calibri" w:hAnsi="Calibri"/>
                                  <w:sz w:val="20"/>
                                  <w:szCs w:val="20"/>
                                </w:rPr>
                              </w:pPr>
                              <w:r w:rsidRPr="00C97A7B">
                                <w:rPr>
                                  <w:rFonts w:ascii="Calibri" w:hAnsi="Calibri"/>
                                  <w:sz w:val="20"/>
                                  <w:szCs w:val="20"/>
                                </w:rPr>
                                <w:t>己二酸：</w:t>
                              </w:r>
                              <w:r>
                                <w:rPr>
                                  <w:rFonts w:ascii="Calibri" w:hAnsi="Calibri"/>
                                  <w:sz w:val="20"/>
                                  <w:szCs w:val="20"/>
                                </w:rPr>
                                <w:t>0.98</w:t>
                              </w:r>
                              <w:r>
                                <w:rPr>
                                  <w:rFonts w:ascii="Calibri" w:hAnsi="Calibri" w:hint="eastAsia"/>
                                  <w:sz w:val="20"/>
                                  <w:szCs w:val="20"/>
                                </w:rPr>
                                <w:t>；</w:t>
                              </w:r>
                              <w:r w:rsidRPr="00C97A7B">
                                <w:rPr>
                                  <w:rFonts w:ascii="Calibri" w:hAnsi="Calibri"/>
                                  <w:sz w:val="20"/>
                                  <w:szCs w:val="20"/>
                                </w:rPr>
                                <w:t>环戊酮：</w:t>
                              </w:r>
                              <w:r>
                                <w:rPr>
                                  <w:rFonts w:ascii="Calibri" w:hAnsi="Calibri"/>
                                  <w:sz w:val="20"/>
                                  <w:szCs w:val="20"/>
                                </w:rPr>
                                <w:t>0.114</w:t>
                              </w:r>
                            </w:p>
                            <w:p w14:paraId="6846F2BF" w14:textId="77777777" w:rsidR="00217891" w:rsidRDefault="00217891" w:rsidP="00576CA2">
                              <w:pPr>
                                <w:ind w:left="400" w:hangingChars="200" w:hanging="400"/>
                                <w:rPr>
                                  <w:rFonts w:ascii="Calibri" w:hAnsi="Calibri"/>
                                  <w:sz w:val="20"/>
                                  <w:szCs w:val="20"/>
                                </w:rPr>
                              </w:pPr>
                              <w:r w:rsidRPr="00C97A7B">
                                <w:rPr>
                                  <w:rFonts w:ascii="Calibri" w:hAnsi="Calibri"/>
                                  <w:color w:val="auto"/>
                                  <w:kern w:val="0"/>
                                  <w:sz w:val="20"/>
                                  <w:szCs w:val="20"/>
                                </w:rPr>
                                <w:t>环己亚胺：</w:t>
                              </w:r>
                              <w:r>
                                <w:rPr>
                                  <w:rFonts w:ascii="Calibri" w:hAnsi="Calibri"/>
                                  <w:color w:val="auto"/>
                                  <w:kern w:val="0"/>
                                  <w:sz w:val="20"/>
                                  <w:szCs w:val="20"/>
                                </w:rPr>
                                <w:t>0.13</w:t>
                              </w:r>
                              <w:r>
                                <w:rPr>
                                  <w:rFonts w:ascii="Calibri" w:hAnsi="Calibri" w:hint="eastAsia"/>
                                  <w:color w:val="auto"/>
                                  <w:kern w:val="0"/>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22</w:t>
                              </w:r>
                              <w:r>
                                <w:rPr>
                                  <w:rFonts w:ascii="Calibri" w:hAnsi="Calibri" w:hint="eastAsia"/>
                                  <w:sz w:val="20"/>
                                  <w:szCs w:val="20"/>
                                </w:rPr>
                                <w:t>；</w:t>
                              </w:r>
                            </w:p>
                            <w:p w14:paraId="04DB89D1" w14:textId="77777777" w:rsidR="00217891" w:rsidRDefault="00217891" w:rsidP="00576CA2">
                              <w:pPr>
                                <w:ind w:left="400" w:hangingChars="200" w:hanging="400"/>
                                <w:rPr>
                                  <w:rFonts w:ascii="Calibri" w:hAnsi="Calibri"/>
                                  <w:sz w:val="20"/>
                                  <w:szCs w:val="20"/>
                                </w:rPr>
                              </w:pP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0.195</w:t>
                              </w:r>
                              <w:r w:rsidRPr="00E13A8E">
                                <w:rPr>
                                  <w:rFonts w:ascii="Calibri" w:hAnsi="Calibri" w:hint="eastAsia"/>
                                  <w:sz w:val="20"/>
                                  <w:szCs w:val="20"/>
                                </w:rPr>
                                <w:t>癸二酸</w:t>
                              </w:r>
                              <w:r>
                                <w:rPr>
                                  <w:rFonts w:ascii="Calibri" w:hAnsi="Calibri" w:hint="eastAsia"/>
                                  <w:sz w:val="20"/>
                                  <w:szCs w:val="20"/>
                                </w:rPr>
                                <w:t>：</w:t>
                              </w:r>
                              <w:r>
                                <w:rPr>
                                  <w:rFonts w:ascii="Calibri" w:hAnsi="Calibri"/>
                                  <w:sz w:val="20"/>
                                  <w:szCs w:val="20"/>
                                </w:rPr>
                                <w:t>0.114</w:t>
                              </w:r>
                              <w:r>
                                <w:rPr>
                                  <w:rFonts w:ascii="Calibri" w:hAnsi="Calibri" w:hint="eastAsia"/>
                                  <w:sz w:val="20"/>
                                  <w:szCs w:val="20"/>
                                </w:rPr>
                                <w:t>；</w:t>
                              </w:r>
                            </w:p>
                            <w:p w14:paraId="7542D723" w14:textId="77777777" w:rsidR="00217891" w:rsidRPr="00C97A7B" w:rsidRDefault="00217891" w:rsidP="00576CA2">
                              <w:pPr>
                                <w:ind w:left="400" w:hangingChars="200" w:hanging="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sz w:val="20"/>
                                  <w:szCs w:val="20"/>
                                </w:rPr>
                                <w:t>1.71</w:t>
                              </w:r>
                            </w:p>
                          </w:txbxContent>
                        </wps:txbx>
                        <wps:bodyPr rot="0" vert="horz" wrap="square" lIns="91440" tIns="45720" rIns="91440" bIns="45720" anchor="t" anchorCtr="0" upright="1">
                          <a:noAutofit/>
                        </wps:bodyPr>
                      </wps:wsp>
                      <wps:wsp>
                        <wps:cNvPr id="25787" name="Rectangle 37727"/>
                        <wps:cNvSpPr>
                          <a:spLocks noChangeArrowheads="1"/>
                        </wps:cNvSpPr>
                        <wps:spPr bwMode="auto">
                          <a:xfrm>
                            <a:off x="0" y="304800"/>
                            <a:ext cx="1533525" cy="890905"/>
                          </a:xfrm>
                          <a:prstGeom prst="rect">
                            <a:avLst/>
                          </a:prstGeom>
                          <a:noFill/>
                          <a:ln>
                            <a:noFill/>
                          </a:ln>
                        </wps:spPr>
                        <wps:txbx>
                          <w:txbxContent>
                            <w:p w14:paraId="774ED428" w14:textId="77777777" w:rsidR="00217891" w:rsidRPr="00C97A7B" w:rsidRDefault="00217891" w:rsidP="00576CA2">
                              <w:pPr>
                                <w:ind w:firstLineChars="150" w:firstLine="315"/>
                                <w:rPr>
                                  <w:rFonts w:ascii="Calibri" w:hAnsi="Calibri"/>
                                </w:rPr>
                              </w:pPr>
                              <w:r w:rsidRPr="00C97A7B">
                                <w:rPr>
                                  <w:rFonts w:ascii="Calibri" w:hAnsi="Calibri"/>
                                </w:rPr>
                                <w:t>50%</w:t>
                              </w:r>
                              <w:r w:rsidRPr="00C97A7B">
                                <w:rPr>
                                  <w:rFonts w:ascii="Calibri" w:hAnsi="Calibri"/>
                                </w:rPr>
                                <w:t>尼龙</w:t>
                              </w:r>
                              <w:r w:rsidRPr="00C97A7B">
                                <w:rPr>
                                  <w:rFonts w:ascii="Calibri" w:hAnsi="Calibri"/>
                                </w:rPr>
                                <w:t>66</w:t>
                              </w:r>
                              <w:r w:rsidRPr="00C97A7B">
                                <w:rPr>
                                  <w:rFonts w:ascii="Calibri" w:hAnsi="Calibri"/>
                                </w:rPr>
                                <w:t>盐</w:t>
                              </w:r>
                              <w:r>
                                <w:rPr>
                                  <w:rFonts w:ascii="Calibri" w:hAnsi="Calibri"/>
                                </w:rPr>
                                <w:t>1440</w:t>
                              </w:r>
                            </w:p>
                            <w:p w14:paraId="262DEA16" w14:textId="77777777" w:rsidR="00217891" w:rsidRPr="00C97A7B" w:rsidRDefault="00217891" w:rsidP="00576CA2">
                              <w:pPr>
                                <w:ind w:firstLineChars="200" w:firstLine="420"/>
                                <w:rPr>
                                  <w:rFonts w:ascii="Calibri" w:hAnsi="Calibri"/>
                                </w:rPr>
                              </w:pPr>
                              <w:r w:rsidRPr="00C97A7B">
                                <w:rPr>
                                  <w:rFonts w:ascii="Calibri" w:hAnsi="Calibri"/>
                                </w:rPr>
                                <w:t>尼龙</w:t>
                              </w:r>
                              <w:r w:rsidRPr="00C97A7B">
                                <w:rPr>
                                  <w:rFonts w:ascii="Calibri" w:hAnsi="Calibri"/>
                                </w:rPr>
                                <w:t>12</w:t>
                              </w:r>
                              <w:r w:rsidRPr="00C97A7B">
                                <w:rPr>
                                  <w:rFonts w:ascii="Calibri" w:hAnsi="Calibri"/>
                                </w:rPr>
                                <w:t>盐</w:t>
                              </w:r>
                              <w:r>
                                <w:rPr>
                                  <w:rFonts w:ascii="Calibri" w:hAnsi="Calibri"/>
                                </w:rPr>
                                <w:t>720</w:t>
                              </w:r>
                            </w:p>
                            <w:p w14:paraId="4A7A02AB" w14:textId="77777777" w:rsidR="00217891" w:rsidRPr="00C97A7B" w:rsidRDefault="00217891" w:rsidP="00576CA2">
                              <w:pPr>
                                <w:ind w:firstLineChars="200" w:firstLine="420"/>
                                <w:rPr>
                                  <w:rFonts w:ascii="Calibri" w:hAnsi="Calibri"/>
                                </w:rPr>
                              </w:pPr>
                              <w:r w:rsidRPr="00C97A7B">
                                <w:rPr>
                                  <w:rFonts w:ascii="Calibri" w:hAnsi="Calibri"/>
                                </w:rPr>
                                <w:t>尼龙</w:t>
                              </w:r>
                              <w:r w:rsidRPr="00C97A7B">
                                <w:rPr>
                                  <w:rFonts w:ascii="Calibri" w:hAnsi="Calibri"/>
                                </w:rPr>
                                <w:t>1010</w:t>
                              </w:r>
                              <w:r w:rsidRPr="00C97A7B">
                                <w:rPr>
                                  <w:rFonts w:ascii="Calibri" w:hAnsi="Calibri"/>
                                </w:rPr>
                                <w:t>盐</w:t>
                              </w:r>
                              <w:r>
                                <w:rPr>
                                  <w:rFonts w:ascii="Calibri" w:hAnsi="Calibri"/>
                                </w:rPr>
                                <w:t>180</w:t>
                              </w:r>
                            </w:p>
                            <w:p w14:paraId="45C52832" w14:textId="77777777" w:rsidR="00217891" w:rsidRPr="00C97A7B" w:rsidRDefault="00217891" w:rsidP="00576CA2">
                              <w:pPr>
                                <w:ind w:firstLineChars="100" w:firstLine="210"/>
                                <w:rPr>
                                  <w:rFonts w:ascii="Calibri" w:hAnsi="Calibri"/>
                                </w:rPr>
                              </w:pPr>
                              <w:r w:rsidRPr="00C97A7B">
                                <w:rPr>
                                  <w:rFonts w:ascii="Calibri" w:hAnsi="Calibri"/>
                                </w:rPr>
                                <w:t>次磷酸钠</w:t>
                              </w:r>
                              <w:r w:rsidRPr="00C97A7B">
                                <w:rPr>
                                  <w:rFonts w:ascii="Calibri" w:hAnsi="Calibri"/>
                                </w:rPr>
                                <w:t>0.</w:t>
                              </w:r>
                              <w:r>
                                <w:rPr>
                                  <w:rFonts w:ascii="Calibri" w:hAnsi="Calibri"/>
                                </w:rPr>
                                <w:t>1</w:t>
                              </w:r>
                            </w:p>
                          </w:txbxContent>
                        </wps:txbx>
                        <wps:bodyPr rot="0" vert="horz" wrap="square" lIns="91440" tIns="45720" rIns="91440" bIns="45720" anchor="t" anchorCtr="0" upright="1">
                          <a:noAutofit/>
                        </wps:bodyPr>
                      </wps:wsp>
                      <wps:wsp>
                        <wps:cNvPr id="25788" name="Rectangle 37722"/>
                        <wps:cNvSpPr>
                          <a:spLocks noChangeArrowheads="1"/>
                        </wps:cNvSpPr>
                        <wps:spPr bwMode="auto">
                          <a:xfrm>
                            <a:off x="4823460" y="2262505"/>
                            <a:ext cx="1287780" cy="1958340"/>
                          </a:xfrm>
                          <a:prstGeom prst="rect">
                            <a:avLst/>
                          </a:prstGeom>
                          <a:noFill/>
                          <a:ln>
                            <a:noFill/>
                          </a:ln>
                        </wps:spPr>
                        <wps:txbx>
                          <w:txbxContent>
                            <w:p w14:paraId="26620631" w14:textId="77777777" w:rsidR="00217891" w:rsidRPr="001B4635" w:rsidRDefault="00217891" w:rsidP="00576CA2">
                              <w:pPr>
                                <w:ind w:leftChars="200" w:left="520" w:hangingChars="50" w:hanging="100"/>
                                <w:rPr>
                                  <w:rFonts w:ascii="Calibri" w:hAnsi="Calibri"/>
                                  <w:color w:val="FF0000"/>
                                  <w:sz w:val="20"/>
                                  <w:szCs w:val="20"/>
                                </w:rPr>
                              </w:pPr>
                              <w:r w:rsidRPr="001B4635">
                                <w:rPr>
                                  <w:rFonts w:ascii="Calibri" w:hAnsi="Calibri"/>
                                  <w:color w:val="FF0000"/>
                                  <w:sz w:val="20"/>
                                  <w:szCs w:val="20"/>
                                </w:rPr>
                                <w:t>废气：</w:t>
                              </w:r>
                              <w:r>
                                <w:rPr>
                                  <w:rFonts w:ascii="Calibri" w:hAnsi="Calibri"/>
                                  <w:color w:val="FF0000"/>
                                  <w:sz w:val="20"/>
                                  <w:szCs w:val="20"/>
                                </w:rPr>
                                <w:t>0.801</w:t>
                              </w:r>
                            </w:p>
                            <w:p w14:paraId="19943F93" w14:textId="77777777" w:rsidR="00217891" w:rsidRPr="00335723" w:rsidRDefault="00217891" w:rsidP="00576CA2">
                              <w:pPr>
                                <w:pStyle w:val="af1"/>
                                <w:ind w:left="403" w:hanging="403"/>
                                <w:jc w:val="both"/>
                                <w:rPr>
                                  <w:color w:val="FF0000"/>
                                </w:rPr>
                              </w:pPr>
                              <w:r w:rsidRPr="001B4635">
                                <w:rPr>
                                  <w:rFonts w:ascii="Calibri" w:hAnsi="Calibri"/>
                                  <w:color w:val="FF0000"/>
                                  <w:sz w:val="20"/>
                                  <w:szCs w:val="20"/>
                                </w:rPr>
                                <w:t>其中：</w:t>
                              </w:r>
                              <w:r w:rsidRPr="001B4635">
                                <w:rPr>
                                  <w:rFonts w:ascii="Calibri" w:cs="Calibri" w:hint="eastAsia"/>
                                  <w:color w:val="FF0000"/>
                                  <w:kern w:val="2"/>
                                  <w:sz w:val="20"/>
                                  <w:szCs w:val="20"/>
                                </w:rPr>
                                <w:t>己二胺：</w:t>
                              </w:r>
                              <w:r>
                                <w:rPr>
                                  <w:rFonts w:ascii="Calibri" w:hAnsi="Calibri" w:cs="Calibri"/>
                                  <w:color w:val="FF0000"/>
                                  <w:kern w:val="2"/>
                                  <w:sz w:val="20"/>
                                  <w:szCs w:val="20"/>
                                </w:rPr>
                                <w:t>0.53</w:t>
                              </w:r>
                              <w:r w:rsidRPr="001B4635">
                                <w:rPr>
                                  <w:rFonts w:ascii="Calibri" w:cs="Calibri" w:hint="eastAsia"/>
                                  <w:color w:val="FF0000"/>
                                  <w:kern w:val="2"/>
                                  <w:sz w:val="20"/>
                                  <w:szCs w:val="20"/>
                                </w:rPr>
                                <w:t>己二酸：</w:t>
                              </w:r>
                              <w:r>
                                <w:rPr>
                                  <w:rFonts w:ascii="Calibri" w:hAnsi="Calibri" w:cs="Calibri"/>
                                  <w:color w:val="FF0000"/>
                                  <w:kern w:val="2"/>
                                  <w:sz w:val="20"/>
                                  <w:szCs w:val="20"/>
                                </w:rPr>
                                <w:t>0.08</w:t>
                              </w:r>
                              <w:r>
                                <w:rPr>
                                  <w:rFonts w:ascii="Calibri" w:hAnsi="Calibri" w:cs="Calibri" w:hint="eastAsia"/>
                                  <w:color w:val="FF0000"/>
                                  <w:kern w:val="2"/>
                                  <w:sz w:val="20"/>
                                  <w:szCs w:val="20"/>
                                </w:rPr>
                                <w:t>；</w:t>
                              </w: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1</w:t>
                              </w:r>
                              <w:r>
                                <w:rPr>
                                  <w:rFonts w:ascii="Calibri" w:hAnsi="Calibri" w:cs="Calibri" w:hint="eastAsia"/>
                                  <w:color w:val="FF0000"/>
                                  <w:kern w:val="2"/>
                                  <w:sz w:val="20"/>
                                  <w:szCs w:val="20"/>
                                </w:rPr>
                                <w:t>；</w:t>
                              </w: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1</w:t>
                              </w:r>
                              <w:r>
                                <w:rPr>
                                  <w:rFonts w:ascii="Calibri" w:hAnsi="Calibri" w:cs="Calibri" w:hint="eastAsia"/>
                                  <w:color w:val="FF0000"/>
                                  <w:sz w:val="20"/>
                                  <w:szCs w:val="20"/>
                                </w:rPr>
                                <w:t>；</w:t>
                              </w: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4</w:t>
                              </w:r>
                            </w:p>
                            <w:p w14:paraId="67579F99"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17</w:t>
                              </w:r>
                            </w:p>
                            <w:p w14:paraId="2792AF70"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w:t>
                              </w:r>
                            </w:p>
                            <w:p w14:paraId="41612305"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color w:val="FF0000"/>
                                  <w:kern w:val="2"/>
                                  <w:sz w:val="20"/>
                                  <w:szCs w:val="20"/>
                                </w:rPr>
                                <w:t>0.14</w:t>
                              </w:r>
                            </w:p>
                            <w:p w14:paraId="46894DA9" w14:textId="77777777" w:rsidR="00217891" w:rsidRPr="00C9603E" w:rsidRDefault="00217891" w:rsidP="00576CA2">
                              <w:pPr>
                                <w:ind w:firstLineChars="200" w:firstLine="400"/>
                                <w:rPr>
                                  <w:rFonts w:ascii="Calibri" w:hAnsi="Calibri"/>
                                  <w:color w:val="FF0000"/>
                                  <w:sz w:val="20"/>
                                  <w:szCs w:val="20"/>
                                </w:rPr>
                              </w:pPr>
                            </w:p>
                          </w:txbxContent>
                        </wps:txbx>
                        <wps:bodyPr rot="0" vert="horz" wrap="square" lIns="91440" tIns="45720" rIns="91440" bIns="45720" anchor="t" anchorCtr="0" upright="1">
                          <a:noAutofit/>
                        </wps:bodyPr>
                      </wps:wsp>
                      <wps:wsp>
                        <wps:cNvPr id="25789" name="Rectangle 37710"/>
                        <wps:cNvSpPr>
                          <a:spLocks noChangeArrowheads="1"/>
                        </wps:cNvSpPr>
                        <wps:spPr bwMode="auto">
                          <a:xfrm>
                            <a:off x="1879260" y="15240"/>
                            <a:ext cx="2811780" cy="903900"/>
                          </a:xfrm>
                          <a:prstGeom prst="rect">
                            <a:avLst/>
                          </a:prstGeom>
                          <a:noFill/>
                          <a:ln>
                            <a:noFill/>
                          </a:ln>
                        </wps:spPr>
                        <wps:txbx>
                          <w:txbxContent>
                            <w:p w14:paraId="52885D27" w14:textId="77777777" w:rsidR="00217891" w:rsidRDefault="00217891" w:rsidP="00576CA2">
                              <w:pPr>
                                <w:pStyle w:val="af1"/>
                                <w:ind w:firstLine="403"/>
                                <w:jc w:val="both"/>
                              </w:pPr>
                              <w:r>
                                <w:rPr>
                                  <w:rFonts w:ascii="Calibri" w:cs="Calibri" w:hint="eastAsia"/>
                                  <w:kern w:val="2"/>
                                  <w:sz w:val="20"/>
                                  <w:szCs w:val="20"/>
                                </w:rPr>
                                <w:t>回用冷凝液</w:t>
                              </w:r>
                              <w:r>
                                <w:rPr>
                                  <w:rFonts w:ascii="Calibri" w:hAnsi="Calibri" w:cs="Calibri"/>
                                  <w:kern w:val="2"/>
                                  <w:sz w:val="20"/>
                                  <w:szCs w:val="20"/>
                                </w:rPr>
                                <w:t>779.88</w:t>
                              </w:r>
                              <w:r>
                                <w:rPr>
                                  <w:rFonts w:ascii="Calibri" w:cs="Calibri" w:hint="eastAsia"/>
                                  <w:kern w:val="2"/>
                                  <w:sz w:val="20"/>
                                  <w:szCs w:val="20"/>
                                </w:rPr>
                                <w:t>（其中水：</w:t>
                              </w:r>
                              <w:r>
                                <w:rPr>
                                  <w:rFonts w:ascii="Calibri" w:hAnsi="Calibri" w:cs="Calibri"/>
                                  <w:kern w:val="2"/>
                                  <w:sz w:val="20"/>
                                  <w:szCs w:val="20"/>
                                </w:rPr>
                                <w:t>775.52</w:t>
                              </w:r>
                              <w:r>
                                <w:rPr>
                                  <w:rFonts w:ascii="Calibri" w:cs="Calibri" w:hint="eastAsia"/>
                                  <w:kern w:val="2"/>
                                  <w:sz w:val="20"/>
                                  <w:szCs w:val="20"/>
                                </w:rPr>
                                <w:t>氨：</w:t>
                              </w:r>
                              <w:r>
                                <w:rPr>
                                  <w:rFonts w:ascii="Calibri" w:hAnsi="Calibri" w:cs="Calibri"/>
                                  <w:kern w:val="2"/>
                                  <w:sz w:val="20"/>
                                  <w:szCs w:val="20"/>
                                </w:rPr>
                                <w:t>0.02</w:t>
                              </w:r>
                              <w:r>
                                <w:rPr>
                                  <w:rFonts w:ascii="Calibri" w:cs="Calibri" w:hint="eastAsia"/>
                                  <w:kern w:val="2"/>
                                  <w:sz w:val="20"/>
                                  <w:szCs w:val="20"/>
                                </w:rPr>
                                <w:t>；己二酸：</w:t>
                              </w:r>
                              <w:r>
                                <w:rPr>
                                  <w:rFonts w:ascii="Calibri" w:hAnsi="Calibri" w:cs="Calibri"/>
                                  <w:kern w:val="2"/>
                                  <w:sz w:val="20"/>
                                  <w:szCs w:val="20"/>
                                </w:rPr>
                                <w:t>0.99</w:t>
                              </w:r>
                              <w:r>
                                <w:rPr>
                                  <w:rFonts w:ascii="Calibri" w:cs="Calibri" w:hint="eastAsia"/>
                                  <w:kern w:val="2"/>
                                  <w:sz w:val="20"/>
                                  <w:szCs w:val="20"/>
                                </w:rPr>
                                <w:t>；环戊酮：</w:t>
                              </w:r>
                              <w:r>
                                <w:rPr>
                                  <w:rFonts w:ascii="Calibri" w:hAnsi="Calibri" w:cs="Calibri"/>
                                  <w:kern w:val="2"/>
                                  <w:sz w:val="20"/>
                                  <w:szCs w:val="20"/>
                                </w:rPr>
                                <w:t>0.11</w:t>
                              </w:r>
                              <w:r>
                                <w:rPr>
                                  <w:rFonts w:ascii="Calibri" w:cs="Calibri" w:hint="eastAsia"/>
                                  <w:kern w:val="2"/>
                                  <w:sz w:val="20"/>
                                  <w:szCs w:val="20"/>
                                </w:rPr>
                                <w:t>；</w:t>
                              </w:r>
                              <w:r>
                                <w:rPr>
                                  <w:rFonts w:ascii="Calibri" w:cs="Calibri" w:hint="eastAsia"/>
                                  <w:sz w:val="20"/>
                                  <w:szCs w:val="20"/>
                                </w:rPr>
                                <w:t>环己亚胺：</w:t>
                              </w:r>
                              <w:r>
                                <w:rPr>
                                  <w:rFonts w:ascii="Calibri" w:hAnsi="Calibri" w:cs="Calibri"/>
                                  <w:sz w:val="20"/>
                                  <w:szCs w:val="20"/>
                                </w:rPr>
                                <w:t>0.13</w:t>
                              </w:r>
                              <w:r>
                                <w:rPr>
                                  <w:rFonts w:ascii="Calibri" w:cs="Calibri" w:hint="eastAsia"/>
                                  <w:kern w:val="2"/>
                                  <w:sz w:val="20"/>
                                  <w:szCs w:val="20"/>
                                </w:rPr>
                                <w:t>；己二胺</w:t>
                              </w:r>
                              <w:r>
                                <w:rPr>
                                  <w:rFonts w:ascii="Calibri" w:hAnsi="Calibri" w:cs="Calibri"/>
                                  <w:kern w:val="2"/>
                                  <w:sz w:val="20"/>
                                  <w:szCs w:val="20"/>
                                </w:rPr>
                                <w:t>1.05</w:t>
                              </w:r>
                              <w:r>
                                <w:rPr>
                                  <w:rFonts w:ascii="Calibri" w:hAnsi="Calibri" w:cs="Calibri" w:hint="eastAsia"/>
                                  <w:kern w:val="2"/>
                                  <w:sz w:val="20"/>
                                  <w:szCs w:val="20"/>
                                </w:rPr>
                                <w:t>；</w:t>
                              </w:r>
                              <w:r w:rsidRPr="00E13A8E">
                                <w:rPr>
                                  <w:rFonts w:ascii="Calibri" w:hAnsi="Calibri" w:cs="Calibri" w:hint="eastAsia"/>
                                  <w:kern w:val="2"/>
                                  <w:sz w:val="20"/>
                                  <w:szCs w:val="20"/>
                                </w:rPr>
                                <w:t>癸二胺</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20</w:t>
                              </w:r>
                              <w:r>
                                <w:rPr>
                                  <w:rFonts w:ascii="Calibri" w:hAnsi="Calibri" w:cs="Calibri" w:hint="eastAsia"/>
                                  <w:kern w:val="2"/>
                                  <w:sz w:val="20"/>
                                  <w:szCs w:val="20"/>
                                </w:rPr>
                                <w:t xml:space="preserve"> </w:t>
                              </w:r>
                              <w:r w:rsidRPr="00E13A8E">
                                <w:rPr>
                                  <w:rFonts w:ascii="Calibri" w:hAnsi="Calibri" w:cs="Calibri" w:hint="eastAsia"/>
                                  <w:kern w:val="2"/>
                                  <w:sz w:val="20"/>
                                  <w:szCs w:val="20"/>
                                </w:rPr>
                                <w:t>癸二酸</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12</w:t>
                              </w:r>
                              <w:r>
                                <w:rPr>
                                  <w:rFonts w:ascii="Calibri" w:hAnsi="Calibri" w:cs="Calibri" w:hint="eastAsia"/>
                                  <w:kern w:val="2"/>
                                  <w:sz w:val="20"/>
                                  <w:szCs w:val="20"/>
                                </w:rPr>
                                <w:t xml:space="preserve"> </w:t>
                              </w:r>
                              <w:r>
                                <w:rPr>
                                  <w:rFonts w:ascii="Calibri" w:hAnsi="Calibri" w:cs="Calibri"/>
                                  <w:kern w:val="2"/>
                                  <w:sz w:val="20"/>
                                  <w:szCs w:val="20"/>
                                </w:rPr>
                                <w:t xml:space="preserve"> </w:t>
                              </w:r>
                              <w:r w:rsidRPr="00E13A8E">
                                <w:rPr>
                                  <w:rFonts w:ascii="Calibri" w:cs="Calibri" w:hint="eastAsia"/>
                                  <w:kern w:val="2"/>
                                  <w:sz w:val="20"/>
                                  <w:szCs w:val="20"/>
                                </w:rPr>
                                <w:t>十二内酰胺</w:t>
                              </w:r>
                              <w:r>
                                <w:rPr>
                                  <w:rFonts w:ascii="Calibri" w:cs="Calibri" w:hint="eastAsia"/>
                                  <w:kern w:val="2"/>
                                  <w:sz w:val="20"/>
                                  <w:szCs w:val="20"/>
                                </w:rPr>
                                <w:t>：</w:t>
                              </w:r>
                              <w:r>
                                <w:rPr>
                                  <w:rFonts w:ascii="Calibri" w:cs="Calibri"/>
                                  <w:kern w:val="2"/>
                                  <w:sz w:val="20"/>
                                  <w:szCs w:val="20"/>
                                </w:rPr>
                                <w:t>1.74</w:t>
                              </w:r>
                              <w:r w:rsidRPr="00E13A8E">
                                <w:rPr>
                                  <w:rFonts w:ascii="Calibri" w:cs="Calibri" w:hint="eastAsia"/>
                                  <w:kern w:val="2"/>
                                  <w:sz w:val="20"/>
                                  <w:szCs w:val="20"/>
                                </w:rPr>
                                <w:t>）</w:t>
                              </w:r>
                            </w:p>
                          </w:txbxContent>
                        </wps:txbx>
                        <wps:bodyPr rot="0" vert="horz" wrap="square" lIns="91440" tIns="45720" rIns="91440" bIns="45720" anchor="t" anchorCtr="0" upright="1">
                          <a:noAutofit/>
                        </wps:bodyPr>
                      </wps:wsp>
                      <wps:wsp>
                        <wps:cNvPr id="25790" name="Rectangle 37685"/>
                        <wps:cNvSpPr>
                          <a:spLocks noChangeArrowheads="1"/>
                        </wps:cNvSpPr>
                        <wps:spPr bwMode="auto">
                          <a:xfrm>
                            <a:off x="4335780" y="4427220"/>
                            <a:ext cx="1600200" cy="191262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1919" w14:textId="77777777" w:rsidR="00217891" w:rsidRPr="001B4635" w:rsidRDefault="00217891" w:rsidP="00576CA2">
                              <w:pPr>
                                <w:pStyle w:val="af1"/>
                                <w:ind w:firstLine="403"/>
                                <w:jc w:val="both"/>
                                <w:rPr>
                                  <w:color w:val="FF0000"/>
                                </w:rPr>
                              </w:pPr>
                              <w:r w:rsidRPr="001B4635">
                                <w:rPr>
                                  <w:rFonts w:ascii="Calibri" w:cs="Calibri" w:hint="eastAsia"/>
                                  <w:color w:val="FF0000"/>
                                  <w:kern w:val="2"/>
                                  <w:sz w:val="20"/>
                                  <w:szCs w:val="20"/>
                                </w:rPr>
                                <w:t>废水</w:t>
                              </w:r>
                              <w:r>
                                <w:rPr>
                                  <w:rFonts w:ascii="Calibri" w:cs="Calibri" w:hint="eastAsia"/>
                                  <w:color w:val="FF0000"/>
                                  <w:kern w:val="2"/>
                                  <w:sz w:val="20"/>
                                  <w:szCs w:val="20"/>
                                </w:rPr>
                                <w:t>:</w:t>
                              </w:r>
                              <w:r>
                                <w:rPr>
                                  <w:rFonts w:ascii="Calibri" w:cs="Calibri"/>
                                  <w:color w:val="FF0000"/>
                                  <w:kern w:val="2"/>
                                  <w:sz w:val="20"/>
                                  <w:szCs w:val="20"/>
                                </w:rPr>
                                <w:t>411.675</w:t>
                              </w:r>
                            </w:p>
                            <w:p w14:paraId="2BEC8C48" w14:textId="77777777" w:rsidR="00217891" w:rsidRPr="001B4635" w:rsidRDefault="00217891" w:rsidP="00576CA2">
                              <w:pPr>
                                <w:pStyle w:val="af1"/>
                                <w:ind w:left="403" w:hanging="403"/>
                                <w:jc w:val="both"/>
                                <w:rPr>
                                  <w:color w:val="FF0000"/>
                                </w:rPr>
                              </w:pPr>
                              <w:r w:rsidRPr="001B4635">
                                <w:rPr>
                                  <w:rFonts w:ascii="Calibri" w:cs="Calibri" w:hint="eastAsia"/>
                                  <w:color w:val="FF0000"/>
                                  <w:kern w:val="2"/>
                                  <w:sz w:val="20"/>
                                  <w:szCs w:val="20"/>
                                </w:rPr>
                                <w:t>其中水：</w:t>
                              </w:r>
                              <w:r>
                                <w:rPr>
                                  <w:rFonts w:ascii="Calibri" w:hAnsi="Calibri" w:cs="Calibri"/>
                                  <w:color w:val="FF0000"/>
                                  <w:kern w:val="2"/>
                                  <w:sz w:val="20"/>
                                  <w:szCs w:val="20"/>
                                </w:rPr>
                                <w:t>410.46</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己二胺：</w:t>
                              </w:r>
                              <w:r>
                                <w:rPr>
                                  <w:rFonts w:ascii="Calibri" w:hAnsi="Calibri" w:cs="Calibri"/>
                                  <w:color w:val="FF0000"/>
                                  <w:kern w:val="2"/>
                                  <w:sz w:val="20"/>
                                  <w:szCs w:val="20"/>
                                </w:rPr>
                                <w:t>0.79</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Pr>
                                  <w:rFonts w:ascii="Calibri" w:hAnsi="Calibri" w:cs="Calibri"/>
                                  <w:color w:val="FF0000"/>
                                  <w:kern w:val="2"/>
                                  <w:sz w:val="20"/>
                                  <w:szCs w:val="20"/>
                                </w:rPr>
                                <w:t>0.13</w:t>
                              </w:r>
                            </w:p>
                            <w:p w14:paraId="2CCE627A" w14:textId="77777777" w:rsidR="00217891" w:rsidRPr="001B4635" w:rsidRDefault="00217891" w:rsidP="00576CA2">
                              <w:pPr>
                                <w:pStyle w:val="af1"/>
                                <w:ind w:left="403" w:hanging="403"/>
                                <w:jc w:val="both"/>
                                <w:rPr>
                                  <w:color w:val="FF0000"/>
                                </w:rPr>
                              </w:pP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14</w:t>
                              </w:r>
                            </w:p>
                            <w:p w14:paraId="04A49E44" w14:textId="77777777" w:rsidR="00217891" w:rsidRPr="001B4635" w:rsidRDefault="00217891" w:rsidP="00576CA2">
                              <w:pPr>
                                <w:pStyle w:val="af1"/>
                                <w:ind w:left="403" w:hanging="403"/>
                                <w:jc w:val="both"/>
                                <w:rPr>
                                  <w:color w:val="FF0000"/>
                                </w:rPr>
                              </w:pP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2</w:t>
                              </w:r>
                            </w:p>
                            <w:p w14:paraId="3A58562B" w14:textId="77777777" w:rsidR="00217891" w:rsidRDefault="00217891" w:rsidP="00576CA2">
                              <w:pPr>
                                <w:pStyle w:val="af1"/>
                                <w:jc w:val="both"/>
                                <w:rPr>
                                  <w:rFonts w:ascii="Calibri" w:hAnsi="Calibri" w:cs="Calibri"/>
                                  <w:color w:val="FF0000"/>
                                  <w:kern w:val="2"/>
                                  <w:sz w:val="20"/>
                                  <w:szCs w:val="20"/>
                                </w:rPr>
                              </w:pP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2</w:t>
                              </w:r>
                            </w:p>
                            <w:p w14:paraId="69EE83B0"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25</w:t>
                              </w:r>
                            </w:p>
                            <w:p w14:paraId="7E3EEF7E"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w:t>
                              </w:r>
                              <w:r>
                                <w:rPr>
                                  <w:rFonts w:ascii="Calibri" w:cs="Calibri" w:hint="eastAsia"/>
                                  <w:color w:val="FF0000"/>
                                  <w:kern w:val="2"/>
                                  <w:sz w:val="20"/>
                                  <w:szCs w:val="20"/>
                                </w:rPr>
                                <w:t>4</w:t>
                              </w:r>
                            </w:p>
                            <w:p w14:paraId="4F76BEF1"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hint="eastAsia"/>
                                  <w:color w:val="FF0000"/>
                                  <w:kern w:val="2"/>
                                  <w:sz w:val="20"/>
                                  <w:szCs w:val="20"/>
                                </w:rPr>
                                <w:t>0.</w:t>
                              </w:r>
                              <w:r>
                                <w:rPr>
                                  <w:rFonts w:ascii="Calibri" w:cs="Calibri"/>
                                  <w:color w:val="FF0000"/>
                                  <w:kern w:val="2"/>
                                  <w:sz w:val="20"/>
                                  <w:szCs w:val="20"/>
                                </w:rPr>
                                <w:t>22</w:t>
                              </w: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7BE0367" id="画布 25791" o:spid="_x0000_s1196" editas="canvas" style="position:absolute;left:0;text-align:left;margin-left:430pt;margin-top:-10pt;width:481.2pt;height:664.8pt;z-index:253708800;mso-position-horizontal:right;mso-position-horizontal-relative:margin;mso-height-relative:margin" coordsize="61112,8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">
                <v:shape id="_x0000_s1197" type="#_x0000_t75" style="position:absolute;width:61112;height:84429;visibility:visible;mso-wrap-style:square">
                  <v:fill o:detectmouseclick="t"/>
                  <v:path o:connecttype="none"/>
                </v:shape>
                <v:rect id="Rectangle 37672" o:spid="_x0000_s1198" style="position:absolute;left:13855;top:11576;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" filled="f">
                  <v:textbox>
                    <w:txbxContent>
                      <w:p w14:paraId="0ECB2862" w14:textId="77777777" w:rsidR="00217891" w:rsidRDefault="00217891" w:rsidP="00576CA2">
                        <w:pPr>
                          <w:ind w:firstLineChars="100" w:firstLine="210"/>
                          <w:rPr>
                            <w:rFonts w:ascii="等线" w:hAnsi="等线"/>
                          </w:rPr>
                        </w:pPr>
                        <w:r>
                          <w:rPr>
                            <w:rFonts w:ascii="等线" w:hAnsi="等线" w:hint="eastAsia"/>
                          </w:rPr>
                          <w:t>调配罐</w:t>
                        </w:r>
                      </w:p>
                    </w:txbxContent>
                  </v:textbox>
                </v:rect>
                <v:shape id="AutoShape 37673" o:spid="_x0000_s1199" type="#_x0000_t32" style="position:absolute;left:19824;top:7988;width:7;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AutoShape 37674" o:spid="_x0000_s1200" type="#_x0000_t32" style="position:absolute;left:23475;top:12947;width:39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rect id="Rectangle 37675" o:spid="_x0000_s1201" style="position:absolute;left:27571;top:11118;width:962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" filled="f">
                  <v:textbox>
                    <w:txbxContent>
                      <w:p w14:paraId="78405E9B" w14:textId="77777777" w:rsidR="00217891" w:rsidRDefault="00217891" w:rsidP="00576CA2">
                        <w:pPr>
                          <w:ind w:firstLineChars="100" w:firstLine="210"/>
                          <w:rPr>
                            <w:rFonts w:ascii="等线" w:hAnsi="等线"/>
                          </w:rPr>
                        </w:pPr>
                        <w:r>
                          <w:rPr>
                            <w:rFonts w:ascii="等线" w:hAnsi="等线" w:hint="eastAsia"/>
                          </w:rPr>
                          <w:t>中间罐</w:t>
                        </w:r>
                      </w:p>
                    </w:txbxContent>
                  </v:textbox>
                </v:rect>
                <v:shape id="AutoShape 37676" o:spid="_x0000_s1202" type="#_x0000_t32" style="position:absolute;left:32213;top:14071;width:13;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rect id="Rectangle 37677" o:spid="_x0000_s1203" style="position:absolute;left:28028;top:19958;width:962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" filled="f">
                  <v:textbox>
                    <w:txbxContent>
                      <w:p w14:paraId="677F6E3C" w14:textId="77777777" w:rsidR="00217891" w:rsidRDefault="00217891" w:rsidP="00576CA2">
                        <w:pPr>
                          <w:ind w:firstLineChars="100" w:firstLine="210"/>
                          <w:rPr>
                            <w:rFonts w:ascii="等线" w:hAnsi="等线"/>
                          </w:rPr>
                        </w:pPr>
                        <w:r>
                          <w:rPr>
                            <w:rFonts w:ascii="等线" w:hAnsi="等线" w:hint="eastAsia"/>
                          </w:rPr>
                          <w:t>聚合釜</w:t>
                        </w:r>
                      </w:p>
                    </w:txbxContent>
                  </v:textbox>
                </v:rect>
                <v:shape id="AutoShape 37678" o:spid="_x0000_s1204" type="#_x0000_t32" style="position:absolute;left:44234;top:8915;width:76;height:10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PCwgAAANwAAAAPAAAAZHJzL2Rvd25yZXYueG1sRE9NawIx&#10;EL0X+h/CCF6KZtei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DJ6LPCwgAAANwAAAAPAAAA&#10;AAAAAAAAAAAAAAcCAABkcnMvZG93bnJldi54bWxQSwUGAAAAAAMAAwC3AAAA9gIAAAAA&#10;"/>
                <v:shape id="AutoShape 37679" o:spid="_x0000_s1205" type="#_x0000_t32" style="position:absolute;left:42614;top:39617;width:261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">
                  <v:stroke dashstyle="dash" endarrow="block"/>
                </v:shape>
                <v:rect id="Rectangle 37680" o:spid="_x0000_s1206" style="position:absolute;left:45231;top:39109;width:358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" filled="f">
                  <v:textbox>
                    <w:txbxContent>
                      <w:p w14:paraId="1C35B5E0" w14:textId="77777777" w:rsidR="00217891" w:rsidRDefault="00217891" w:rsidP="00576CA2">
                        <w:r>
                          <w:rPr>
                            <w:rFonts w:hint="eastAsia"/>
                          </w:rPr>
                          <w:t>水喷淋</w:t>
                        </w:r>
                      </w:p>
                    </w:txbxContent>
                  </v:textbox>
                </v:rect>
                <v:shape id="AutoShape 37681" o:spid="_x0000_s1207" type="#_x0000_t32" style="position:absolute;left:32042;top:22771;width:127;height:18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">
                  <v:stroke endarrow="block"/>
                </v:shape>
                <v:rect id="Rectangle 37682" o:spid="_x0000_s1208" style="position:absolute;left:27279;top:40767;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" filled="f">
                  <v:textbox>
                    <w:txbxContent>
                      <w:p w14:paraId="351BFD1D" w14:textId="77777777" w:rsidR="00217891" w:rsidRDefault="00217891" w:rsidP="00576CA2">
                        <w:pPr>
                          <w:ind w:firstLineChars="100" w:firstLine="210"/>
                          <w:rPr>
                            <w:rFonts w:ascii="等线" w:hAnsi="等线"/>
                          </w:rPr>
                        </w:pPr>
                        <w:r>
                          <w:rPr>
                            <w:rFonts w:ascii="等线" w:hAnsi="等线" w:hint="eastAsia"/>
                          </w:rPr>
                          <w:t>冷却池</w:t>
                        </w:r>
                      </w:p>
                    </w:txbxContent>
                  </v:textbox>
                </v:rect>
                <v:shape id="AutoShape 37683" o:spid="_x0000_s1209" type="#_x0000_t32" style="position:absolute;left:57924;top:21786;width:127;height:58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">
                  <v:stroke endarrow="block"/>
                </v:shape>
                <v:shape id="AutoShape 37684" o:spid="_x0000_s1210" type="#_x0000_t32" style="position:absolute;left:37668;top:21323;width:40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AutoShape 37686" o:spid="_x0000_s1211" type="#_x0000_t32" style="position:absolute;left:23583;top:42056;width:390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">
                  <v:stroke endarrow="block"/>
                </v:shape>
                <v:rect id="Rectangle 37687" o:spid="_x0000_s1212" style="position:absolute;left:13963;top:40227;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" filled="f">
                  <v:textbox>
                    <w:txbxContent>
                      <w:p w14:paraId="1A9AC54E" w14:textId="77777777" w:rsidR="00217891" w:rsidRDefault="00217891" w:rsidP="00576CA2">
                        <w:pPr>
                          <w:ind w:firstLineChars="100" w:firstLine="210"/>
                          <w:rPr>
                            <w:rFonts w:ascii="等线" w:hAnsi="等线"/>
                          </w:rPr>
                        </w:pPr>
                        <w:r>
                          <w:rPr>
                            <w:rFonts w:ascii="等线" w:hAnsi="等线" w:hint="eastAsia"/>
                          </w:rPr>
                          <w:t>循环系统</w:t>
                        </w:r>
                      </w:p>
                    </w:txbxContent>
                  </v:textbox>
                </v:rect>
                <v:shape id="AutoShape 37688" o:spid="_x0000_s1213" type="#_x0000_t32" style="position:absolute;left:9366;top:41751;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">
                  <v:stroke endarrow="block"/>
                </v:shape>
                <v:rect id="Rectangle 37689" o:spid="_x0000_s1214" style="position:absolute;left:5848;top:3910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" filled="f" stroked="f">
                  <v:textbox>
                    <w:txbxContent>
                      <w:p w14:paraId="33D4FF8E" w14:textId="77777777" w:rsidR="00217891" w:rsidRDefault="00217891" w:rsidP="00576CA2">
                        <w:pPr>
                          <w:rPr>
                            <w:rFonts w:asciiTheme="minorHAnsi" w:hAnsiTheme="minorHAnsi"/>
                          </w:rPr>
                        </w:pPr>
                        <w:r>
                          <w:rPr>
                            <w:rFonts w:asciiTheme="minorHAnsi" w:hAnsiTheme="minorHAnsi" w:hint="eastAsia"/>
                          </w:rPr>
                          <w:t>脱盐水</w:t>
                        </w:r>
                        <w:r>
                          <w:rPr>
                            <w:rFonts w:ascii="Calibri" w:hAnsi="Calibri"/>
                          </w:rPr>
                          <w:t>77</w:t>
                        </w:r>
                      </w:p>
                    </w:txbxContent>
                  </v:textbox>
                </v:rect>
                <v:shape id="AutoShape 37690" o:spid="_x0000_s1215" type="#_x0000_t32" style="position:absolute;left:20104;top:43205;width:0;height:2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"/>
                <v:rect id="Rectangle 37691" o:spid="_x0000_s1216" style="position:absolute;left:9061;top:49422;width:14186;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" filled="f" stroked="f">
                  <v:textbox>
                    <w:txbxContent>
                      <w:p w14:paraId="388F964D" w14:textId="77777777" w:rsidR="00217891" w:rsidRPr="00C97A7B" w:rsidRDefault="00217891" w:rsidP="00576CA2">
                        <w:pPr>
                          <w:ind w:firstLineChars="100" w:firstLine="200"/>
                          <w:rPr>
                            <w:rFonts w:ascii="Calibri" w:hAnsi="Calibri"/>
                            <w:sz w:val="20"/>
                            <w:szCs w:val="20"/>
                          </w:rPr>
                        </w:pPr>
                        <w:r w:rsidRPr="00C97A7B">
                          <w:rPr>
                            <w:rFonts w:ascii="Calibri" w:hAnsi="Calibri"/>
                            <w:sz w:val="20"/>
                            <w:szCs w:val="20"/>
                          </w:rPr>
                          <w:t>排污水：</w:t>
                        </w:r>
                        <w:r>
                          <w:rPr>
                            <w:rFonts w:ascii="Calibri" w:hAnsi="Calibri"/>
                            <w:sz w:val="20"/>
                            <w:szCs w:val="20"/>
                          </w:rPr>
                          <w:t>8</w:t>
                        </w:r>
                      </w:p>
                      <w:p w14:paraId="7785CC4E" w14:textId="77777777" w:rsidR="00217891" w:rsidRPr="00C97A7B" w:rsidRDefault="00217891" w:rsidP="00576CA2">
                        <w:pPr>
                          <w:rPr>
                            <w:rFonts w:ascii="Calibri" w:hAnsi="Calibri"/>
                            <w:sz w:val="20"/>
                            <w:szCs w:val="20"/>
                          </w:rPr>
                        </w:pPr>
                        <w:r w:rsidRPr="00C97A7B">
                          <w:rPr>
                            <w:rFonts w:ascii="Calibri" w:hAnsi="Calibri"/>
                            <w:sz w:val="20"/>
                            <w:szCs w:val="20"/>
                          </w:rPr>
                          <w:t>（己二胺</w:t>
                        </w:r>
                        <w:r w:rsidRPr="00C97A7B">
                          <w:rPr>
                            <w:rFonts w:ascii="Calibri" w:hAnsi="Calibri"/>
                            <w:sz w:val="20"/>
                            <w:szCs w:val="20"/>
                          </w:rPr>
                          <w:t>0.0</w:t>
                        </w:r>
                        <w:r>
                          <w:rPr>
                            <w:rFonts w:ascii="Calibri" w:hAnsi="Calibri"/>
                            <w:sz w:val="20"/>
                            <w:szCs w:val="20"/>
                          </w:rPr>
                          <w:t>3</w:t>
                        </w:r>
                        <w:r w:rsidRPr="00C97A7B">
                          <w:rPr>
                            <w:rFonts w:ascii="Calibri" w:hAnsi="Calibri"/>
                            <w:sz w:val="20"/>
                            <w:szCs w:val="20"/>
                          </w:rPr>
                          <w:t>）</w:t>
                        </w:r>
                      </w:p>
                    </w:txbxContent>
                  </v:textbox>
                </v:rect>
                <v:shape id="AutoShape 37692" o:spid="_x0000_s1217" type="#_x0000_t32" style="position:absolute;left:37001;top:42360;width:810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">
                  <v:stroke dashstyle="dash" endarrow="block"/>
                </v:shape>
                <v:rect id="Rectangle 37693" o:spid="_x0000_s1218" style="position:absolute;left:33597;top:39770;width:1163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" filled="f" stroked="f">
                  <v:textbox>
                    <w:txbxContent>
                      <w:p w14:paraId="6EE8B2A3" w14:textId="77777777" w:rsidR="00217891" w:rsidRPr="00AE1181" w:rsidRDefault="00217891" w:rsidP="00576CA2">
                        <w:pPr>
                          <w:rPr>
                            <w:rFonts w:ascii="Calibri" w:hAnsi="Calibri"/>
                            <w:sz w:val="20"/>
                            <w:szCs w:val="20"/>
                          </w:rPr>
                        </w:pPr>
                        <w:r w:rsidRPr="00AE1181">
                          <w:rPr>
                            <w:rFonts w:ascii="Calibri" w:hAnsi="Calibri"/>
                            <w:sz w:val="20"/>
                            <w:szCs w:val="20"/>
                          </w:rPr>
                          <w:t>蒸发废气：</w:t>
                        </w:r>
                        <w:r>
                          <w:rPr>
                            <w:rFonts w:ascii="Calibri" w:hAnsi="Calibri"/>
                            <w:sz w:val="20"/>
                            <w:szCs w:val="20"/>
                          </w:rPr>
                          <w:t>69</w:t>
                        </w:r>
                      </w:p>
                      <w:p w14:paraId="701A1A56" w14:textId="77777777" w:rsidR="00217891" w:rsidRPr="00AE1181" w:rsidRDefault="00217891" w:rsidP="00576CA2">
                        <w:pPr>
                          <w:rPr>
                            <w:rFonts w:ascii="Calibri" w:hAnsi="Calibri"/>
                            <w:sz w:val="20"/>
                            <w:szCs w:val="20"/>
                          </w:rPr>
                        </w:pPr>
                        <w:r w:rsidRPr="00AE1181">
                          <w:rPr>
                            <w:rFonts w:ascii="Calibri" w:hAnsi="Calibri"/>
                            <w:sz w:val="20"/>
                            <w:szCs w:val="20"/>
                          </w:rPr>
                          <w:t>（其中水：</w:t>
                        </w:r>
                        <w:r>
                          <w:rPr>
                            <w:rFonts w:ascii="Calibri" w:hAnsi="Calibri"/>
                            <w:sz w:val="20"/>
                            <w:szCs w:val="20"/>
                          </w:rPr>
                          <w:t>68.98</w:t>
                        </w:r>
                      </w:p>
                      <w:p w14:paraId="347150A6" w14:textId="77777777" w:rsidR="00217891" w:rsidRDefault="00217891" w:rsidP="00576CA2">
                        <w:pPr>
                          <w:rPr>
                            <w:rFonts w:asciiTheme="minorHAnsi" w:hAnsiTheme="minorHAnsi"/>
                            <w:sz w:val="20"/>
                            <w:szCs w:val="20"/>
                          </w:rPr>
                        </w:pPr>
                        <w:r w:rsidRPr="00AE1181">
                          <w:rPr>
                            <w:rFonts w:ascii="Calibri" w:hAnsi="Calibri"/>
                            <w:sz w:val="20"/>
                            <w:szCs w:val="20"/>
                          </w:rPr>
                          <w:t>己二胺</w:t>
                        </w:r>
                        <w:r w:rsidRPr="00AE1181">
                          <w:rPr>
                            <w:rFonts w:ascii="Calibri" w:hAnsi="Calibri"/>
                            <w:sz w:val="20"/>
                            <w:szCs w:val="20"/>
                          </w:rPr>
                          <w:t>0.0</w:t>
                        </w:r>
                        <w:r>
                          <w:rPr>
                            <w:rFonts w:ascii="Calibri" w:hAnsi="Calibri"/>
                            <w:sz w:val="20"/>
                            <w:szCs w:val="20"/>
                          </w:rPr>
                          <w:t>2</w:t>
                        </w:r>
                        <w:r w:rsidRPr="00AE1181">
                          <w:rPr>
                            <w:rFonts w:ascii="Calibri" w:hAnsi="Calibri"/>
                            <w:sz w:val="20"/>
                            <w:szCs w:val="20"/>
                          </w:rPr>
                          <w:t>）</w:t>
                        </w:r>
                      </w:p>
                    </w:txbxContent>
                  </v:textbox>
                </v:rect>
                <v:shape id="AutoShape 37694" o:spid="_x0000_s1219" type="#_x0000_t32" style="position:absolute;left:31877;top:43656;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">
                  <v:stroke endarrow="block"/>
                </v:shape>
                <v:rect id="Rectangle 37695" o:spid="_x0000_s1220" style="position:absolute;left:27114;top:48882;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" filled="f">
                  <v:textbox>
                    <w:txbxContent>
                      <w:p w14:paraId="175C3441" w14:textId="77777777" w:rsidR="00217891" w:rsidRDefault="00217891" w:rsidP="00576CA2">
                        <w:pPr>
                          <w:ind w:firstLineChars="200" w:firstLine="420"/>
                          <w:rPr>
                            <w:rFonts w:ascii="等线" w:hAnsi="等线"/>
                          </w:rPr>
                        </w:pPr>
                        <w:r>
                          <w:rPr>
                            <w:rFonts w:ascii="等线" w:hAnsi="等线" w:hint="eastAsia"/>
                          </w:rPr>
                          <w:t>制粒</w:t>
                        </w:r>
                      </w:p>
                    </w:txbxContent>
                  </v:textbox>
                </v:rect>
                <v:shape id="AutoShape 37696" o:spid="_x0000_s1221" type="#_x0000_t32" style="position:absolute;left:36734;top:50431;width:459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">
                  <v:stroke endarrow="block"/>
                </v:shape>
                <v:rect id="Rectangle 37697" o:spid="_x0000_s1222" style="position:absolute;left:32594;top:51149;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" filled="f" stroked="f">
                  <v:textbox>
                    <w:txbxContent>
                      <w:p w14:paraId="7C982718" w14:textId="77777777" w:rsidR="00217891" w:rsidRPr="00C16801" w:rsidRDefault="00217891" w:rsidP="00576CA2">
                        <w:pPr>
                          <w:rPr>
                            <w:rFonts w:ascii="Calibri" w:hAnsi="Calibri"/>
                          </w:rPr>
                        </w:pPr>
                        <w:r w:rsidRPr="00C16801">
                          <w:rPr>
                            <w:rFonts w:ascii="Calibri" w:hAnsi="Calibri"/>
                          </w:rPr>
                          <w:t>瑕疵品：</w:t>
                        </w:r>
                        <w:r>
                          <w:rPr>
                            <w:rFonts w:ascii="Calibri" w:hAnsi="Calibri"/>
                          </w:rPr>
                          <w:t>8.244</w:t>
                        </w:r>
                      </w:p>
                    </w:txbxContent>
                  </v:textbox>
                </v:rect>
                <v:shape id="AutoShape 37698" o:spid="_x0000_s1223" type="#_x0000_t32" style="position:absolute;left:31902;top:51790;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">
                  <v:stroke endarrow="block"/>
                </v:shape>
                <v:rect id="Rectangle 37699" o:spid="_x0000_s1224" style="position:absolute;left:27381;top:57130;width:962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" filled="f">
                  <v:textbox>
                    <w:txbxContent>
                      <w:p w14:paraId="2659D9E2" w14:textId="77777777" w:rsidR="00217891" w:rsidRDefault="00217891" w:rsidP="00576CA2">
                        <w:pPr>
                          <w:ind w:firstLineChars="200" w:firstLine="420"/>
                          <w:rPr>
                            <w:rFonts w:ascii="等线" w:hAnsi="等线"/>
                          </w:rPr>
                        </w:pPr>
                        <w:r>
                          <w:rPr>
                            <w:rFonts w:ascii="等线" w:hAnsi="等线" w:hint="eastAsia"/>
                          </w:rPr>
                          <w:t>干燥</w:t>
                        </w:r>
                      </w:p>
                    </w:txbxContent>
                  </v:textbox>
                </v:rect>
                <v:shape id="AutoShape 37700" o:spid="_x0000_s1225" type="#_x0000_t32" style="position:absolute;left:37001;top:58737;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">
                  <v:stroke endarrow="block"/>
                </v:shape>
                <v:rect id="Rectangle 37701" o:spid="_x0000_s1226" style="position:absolute;left:32670;top:59505;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" filled="f" stroked="f">
                  <v:textbox>
                    <w:txbxContent>
                      <w:p w14:paraId="3EF7BA8E" w14:textId="77777777" w:rsidR="00217891" w:rsidRPr="00C97A7B" w:rsidRDefault="00217891" w:rsidP="00576CA2">
                        <w:pPr>
                          <w:rPr>
                            <w:rFonts w:ascii="Calibri" w:hAnsi="Calibri"/>
                          </w:rPr>
                        </w:pPr>
                        <w:r w:rsidRPr="00C97A7B">
                          <w:rPr>
                            <w:rFonts w:ascii="Calibri" w:hAnsi="Calibri"/>
                          </w:rPr>
                          <w:t>蒸发水：</w:t>
                        </w:r>
                        <w:r>
                          <w:rPr>
                            <w:rFonts w:ascii="Calibri" w:hAnsi="Calibri"/>
                          </w:rPr>
                          <w:t>6.19</w:t>
                        </w:r>
                      </w:p>
                    </w:txbxContent>
                  </v:textbox>
                </v:rect>
                <v:shape id="AutoShape 37702" o:spid="_x0000_s1227" type="#_x0000_t32" style="position:absolute;left:32023;top:60172;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">
                  <v:stroke endarrow="block"/>
                </v:shape>
                <v:rect id="Rectangle 37703" o:spid="_x0000_s1228" style="position:absolute;left:27571;top:64789;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" filled="f" stroked="f">
                  <v:textbox>
                    <w:txbxContent>
                      <w:p w14:paraId="23FC9A19" w14:textId="77777777" w:rsidR="00217891" w:rsidRPr="00C16801" w:rsidRDefault="00217891" w:rsidP="00576CA2">
                        <w:pPr>
                          <w:rPr>
                            <w:rFonts w:ascii="Calibri" w:hAnsi="Calibri"/>
                          </w:rPr>
                        </w:pPr>
                        <w:r>
                          <w:rPr>
                            <w:rFonts w:asciiTheme="minorHAnsi" w:hAnsiTheme="minorHAnsi" w:hint="eastAsia"/>
                          </w:rPr>
                          <w:t>成品：</w:t>
                        </w:r>
                        <w:r>
                          <w:rPr>
                            <w:rFonts w:ascii="Calibri" w:hAnsi="Calibri"/>
                          </w:rPr>
                          <w:t>1</w:t>
                        </w:r>
                        <w:r w:rsidRPr="00C16801">
                          <w:rPr>
                            <w:rFonts w:ascii="Calibri" w:hAnsi="Calibri"/>
                          </w:rPr>
                          <w:t>500</w:t>
                        </w:r>
                      </w:p>
                    </w:txbxContent>
                  </v:textbox>
                </v:rect>
                <v:rect id="Rectangle 37704" o:spid="_x0000_s1229" style="position:absolute;left:29838;top:53486;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" filled="f" stroked="f">
                  <v:textbox>
                    <w:txbxContent>
                      <w:p w14:paraId="0761C45D" w14:textId="77777777" w:rsidR="00217891" w:rsidRPr="00C97A7B" w:rsidRDefault="00217891" w:rsidP="00576CA2">
                        <w:pPr>
                          <w:ind w:firstLineChars="150" w:firstLine="315"/>
                          <w:rPr>
                            <w:rFonts w:ascii="Calibri" w:hAnsi="Calibri"/>
                          </w:rPr>
                        </w:pPr>
                        <w:r>
                          <w:rPr>
                            <w:rFonts w:ascii="Calibri" w:hAnsi="Calibri"/>
                          </w:rPr>
                          <w:t>1506.19</w:t>
                        </w:r>
                      </w:p>
                    </w:txbxContent>
                  </v:textbox>
                </v:rect>
                <v:rect id="Rectangle 37705" o:spid="_x0000_s1230" style="position:absolute;left:30314;top:45758;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" filled="f" stroked="f">
                  <v:textbox>
                    <w:txbxContent>
                      <w:p w14:paraId="1F38E252" w14:textId="77777777" w:rsidR="00217891" w:rsidRPr="00C97A7B" w:rsidRDefault="00217891" w:rsidP="00576CA2">
                        <w:pPr>
                          <w:ind w:firstLineChars="100" w:firstLine="210"/>
                          <w:rPr>
                            <w:rFonts w:ascii="Calibri" w:hAnsi="Calibri"/>
                          </w:rPr>
                        </w:pPr>
                        <w:r w:rsidRPr="00B16450">
                          <w:rPr>
                            <w:rFonts w:ascii="Calibri" w:hAnsi="Calibri"/>
                          </w:rPr>
                          <w:t>1514.434</w:t>
                        </w:r>
                      </w:p>
                    </w:txbxContent>
                  </v:textbox>
                </v:rect>
                <v:rect id="Rectangle 37706" o:spid="_x0000_s1231" style="position:absolute;left:41541;top:19881;width:702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" filled="f">
                  <v:textbox>
                    <w:txbxContent>
                      <w:p w14:paraId="4DD6E85A" w14:textId="77777777" w:rsidR="00217891" w:rsidRDefault="00217891" w:rsidP="00576CA2">
                        <w:pPr>
                          <w:rPr>
                            <w:rFonts w:ascii="等线" w:hAnsi="等线"/>
                          </w:rPr>
                        </w:pPr>
                        <w:r>
                          <w:rPr>
                            <w:rFonts w:ascii="等线" w:hAnsi="等线" w:hint="eastAsia"/>
                          </w:rPr>
                          <w:t>冷却塔</w:t>
                        </w:r>
                      </w:p>
                    </w:txbxContent>
                  </v:textbox>
                </v:rect>
                <v:shape id="AutoShape 37707" o:spid="_x0000_s1232" type="#_x0000_t32" style="position:absolute;left:22466;top:8902;width:2181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"/>
                <v:shape id="AutoShape 37708" o:spid="_x0000_s1233" type="#_x0000_t32" style="position:absolute;left:22358;top:8915;width:108;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">
                  <v:stroke endarrow="block"/>
                </v:shape>
                <v:rect id="Rectangle 37709" o:spid="_x0000_s1234" style="position:absolute;left:33966;top:1852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" filled="f" stroked="f">
                  <v:textbox>
                    <w:txbxContent>
                      <w:p w14:paraId="3B2A4310" w14:textId="77777777" w:rsidR="00217891" w:rsidRPr="00C97A7B" w:rsidRDefault="00217891" w:rsidP="00576CA2">
                        <w:pPr>
                          <w:ind w:firstLineChars="200" w:firstLine="420"/>
                          <w:rPr>
                            <w:rFonts w:ascii="Calibri" w:hAnsi="Calibri"/>
                          </w:rPr>
                        </w:pPr>
                        <w:r>
                          <w:rPr>
                            <w:rFonts w:ascii="Calibri" w:hAnsi="Calibri"/>
                          </w:rPr>
                          <w:t>1604.546</w:t>
                        </w:r>
                      </w:p>
                    </w:txbxContent>
                  </v:textbox>
                </v:rect>
                <v:shape id="AutoShape 37711" o:spid="_x0000_s1235" type="#_x0000_t32" style="position:absolute;left:42367;top:22847;width:190;height:170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">
                  <v:stroke dashstyle="dash"/>
                </v:shape>
                <v:rect id="Rectangle 37712" o:spid="_x0000_s1236" style="position:absolute;left:31610;top:22625;width:18866;height:1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" filled="f" stroked="f">
                  <v:textbox>
                    <w:txbxContent>
                      <w:p w14:paraId="57A99699" w14:textId="77777777" w:rsidR="00217891" w:rsidRPr="00C97A7B" w:rsidRDefault="00217891" w:rsidP="00576CA2">
                        <w:pPr>
                          <w:ind w:firstLineChars="200" w:firstLine="400"/>
                          <w:rPr>
                            <w:rFonts w:ascii="Calibri" w:hAnsi="Calibri"/>
                            <w:sz w:val="20"/>
                            <w:szCs w:val="20"/>
                          </w:rPr>
                        </w:pPr>
                        <w:r w:rsidRPr="00C97A7B">
                          <w:rPr>
                            <w:rFonts w:ascii="Calibri" w:hAnsi="Calibri"/>
                            <w:sz w:val="20"/>
                            <w:szCs w:val="20"/>
                          </w:rPr>
                          <w:t>不凝气：</w:t>
                        </w:r>
                        <w:r>
                          <w:rPr>
                            <w:rFonts w:ascii="Calibri" w:hAnsi="Calibri"/>
                            <w:sz w:val="20"/>
                            <w:szCs w:val="20"/>
                          </w:rPr>
                          <w:t>161.476</w:t>
                        </w:r>
                      </w:p>
                      <w:p w14:paraId="20034D37" w14:textId="77777777" w:rsidR="00217891" w:rsidRPr="00C97A7B" w:rsidRDefault="00217891" w:rsidP="00576CA2">
                        <w:pPr>
                          <w:ind w:firstLineChars="200" w:firstLine="400"/>
                          <w:rPr>
                            <w:rFonts w:ascii="Calibri" w:hAnsi="Calibri"/>
                            <w:sz w:val="20"/>
                            <w:szCs w:val="20"/>
                          </w:rPr>
                        </w:pPr>
                        <w:r w:rsidRPr="00C97A7B">
                          <w:rPr>
                            <w:rFonts w:ascii="Calibri" w:hAnsi="Calibri"/>
                            <w:sz w:val="20"/>
                            <w:szCs w:val="20"/>
                          </w:rPr>
                          <w:t>（其中水：</w:t>
                        </w:r>
                        <w:r>
                          <w:rPr>
                            <w:rFonts w:ascii="Calibri" w:hAnsi="Calibri"/>
                            <w:sz w:val="20"/>
                            <w:szCs w:val="20"/>
                          </w:rPr>
                          <w:t>159.48</w:t>
                        </w:r>
                        <w:r>
                          <w:rPr>
                            <w:rFonts w:ascii="Calibri" w:hAnsi="Calibri" w:hint="eastAsia"/>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06</w:t>
                        </w:r>
                        <w:r>
                          <w:rPr>
                            <w:rFonts w:ascii="Calibri" w:hAnsi="Calibri" w:hint="eastAsia"/>
                            <w:sz w:val="20"/>
                            <w:szCs w:val="20"/>
                          </w:rPr>
                          <w:t>；</w:t>
                        </w:r>
                        <w:r w:rsidRPr="00C97A7B">
                          <w:rPr>
                            <w:rFonts w:ascii="Calibri" w:hAnsi="Calibri"/>
                            <w:sz w:val="20"/>
                            <w:szCs w:val="20"/>
                          </w:rPr>
                          <w:t>己二酸：</w:t>
                        </w:r>
                        <w:r>
                          <w:rPr>
                            <w:rFonts w:ascii="Calibri" w:hAnsi="Calibri"/>
                            <w:sz w:val="20"/>
                            <w:szCs w:val="20"/>
                          </w:rPr>
                          <w:t>0.21</w:t>
                        </w:r>
                        <w:r>
                          <w:rPr>
                            <w:rFonts w:ascii="Calibri" w:hAnsi="Calibri" w:hint="eastAsia"/>
                            <w:sz w:val="20"/>
                            <w:szCs w:val="20"/>
                          </w:rPr>
                          <w:t>；</w:t>
                        </w:r>
                        <w:r w:rsidRPr="00C97A7B">
                          <w:rPr>
                            <w:rFonts w:ascii="Calibri" w:hAnsi="Calibri"/>
                            <w:sz w:val="20"/>
                            <w:szCs w:val="20"/>
                          </w:rPr>
                          <w:t>环戊酮：</w:t>
                        </w:r>
                        <w:r w:rsidRPr="00C97A7B">
                          <w:rPr>
                            <w:rFonts w:ascii="Calibri" w:hAnsi="Calibri"/>
                            <w:sz w:val="20"/>
                            <w:szCs w:val="20"/>
                          </w:rPr>
                          <w:t>0.0</w:t>
                        </w:r>
                        <w:r>
                          <w:rPr>
                            <w:rFonts w:ascii="Calibri" w:hAnsi="Calibri"/>
                            <w:sz w:val="20"/>
                            <w:szCs w:val="20"/>
                          </w:rPr>
                          <w:t>24</w:t>
                        </w:r>
                        <w:r>
                          <w:rPr>
                            <w:rFonts w:ascii="Calibri" w:hAnsi="Calibri" w:hint="eastAsia"/>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0.0</w:t>
                        </w:r>
                        <w:r>
                          <w:rPr>
                            <w:rFonts w:ascii="Calibri" w:hAnsi="Calibri"/>
                            <w:color w:val="auto"/>
                            <w:kern w:val="0"/>
                            <w:sz w:val="20"/>
                            <w:szCs w:val="20"/>
                          </w:rPr>
                          <w:t>3</w:t>
                        </w:r>
                        <w:r w:rsidRPr="00C97A7B">
                          <w:rPr>
                            <w:rFonts w:ascii="Calibri" w:hAnsi="Calibri"/>
                            <w:sz w:val="20"/>
                            <w:szCs w:val="20"/>
                          </w:rPr>
                          <w:t>己二胺</w:t>
                        </w:r>
                        <w:r>
                          <w:rPr>
                            <w:rFonts w:ascii="Calibri" w:hAnsi="Calibri" w:hint="eastAsia"/>
                            <w:sz w:val="20"/>
                            <w:szCs w:val="20"/>
                          </w:rPr>
                          <w:t>:</w:t>
                        </w:r>
                        <w:r>
                          <w:rPr>
                            <w:rFonts w:ascii="Calibri" w:hAnsi="Calibri"/>
                            <w:sz w:val="20"/>
                            <w:szCs w:val="20"/>
                          </w:rPr>
                          <w:t>1.30</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0.0</w:t>
                        </w:r>
                        <w:r>
                          <w:rPr>
                            <w:rFonts w:ascii="Calibri" w:hAnsi="Calibri"/>
                            <w:sz w:val="20"/>
                            <w:szCs w:val="20"/>
                          </w:rPr>
                          <w:t>42</w:t>
                        </w:r>
                        <w:r>
                          <w:rPr>
                            <w:rFonts w:ascii="Calibri" w:hAnsi="Calibri" w:hint="eastAsia"/>
                            <w:sz w:val="20"/>
                            <w:szCs w:val="20"/>
                          </w:rPr>
                          <w:t>；</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0.0</w:t>
                        </w:r>
                        <w:r>
                          <w:rPr>
                            <w:rFonts w:ascii="Calibri" w:hAnsi="Calibri"/>
                            <w:sz w:val="20"/>
                            <w:szCs w:val="20"/>
                          </w:rPr>
                          <w:t>24</w:t>
                        </w:r>
                        <w:r>
                          <w:rPr>
                            <w:rFonts w:ascii="Calibri" w:hAnsi="Calibri" w:hint="eastAsia"/>
                            <w:sz w:val="20"/>
                            <w:szCs w:val="20"/>
                          </w:rPr>
                          <w:t>；</w:t>
                        </w: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0.</w:t>
                        </w:r>
                        <w:r>
                          <w:rPr>
                            <w:rFonts w:ascii="Calibri"/>
                            <w:sz w:val="20"/>
                            <w:szCs w:val="20"/>
                          </w:rPr>
                          <w:t>3</w:t>
                        </w:r>
                        <w:r>
                          <w:rPr>
                            <w:rFonts w:ascii="Calibri" w:hint="eastAsia"/>
                            <w:sz w:val="20"/>
                            <w:szCs w:val="20"/>
                          </w:rPr>
                          <w:t>6</w:t>
                        </w:r>
                        <w:r w:rsidRPr="00C97A7B">
                          <w:rPr>
                            <w:rFonts w:ascii="Calibri" w:hAnsi="Calibri"/>
                            <w:sz w:val="20"/>
                            <w:szCs w:val="20"/>
                          </w:rPr>
                          <w:t>）</w:t>
                        </w:r>
                      </w:p>
                    </w:txbxContent>
                  </v:textbox>
                </v:rect>
                <v:shape id="AutoShape 37713" o:spid="_x0000_s1237" type="#_x0000_t32" style="position:absolute;left:48488;top:21551;width:972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">
                  <v:stroke endarrow="block"/>
                </v:shape>
                <v:rect id="Rectangle 37714" o:spid="_x0000_s1238" style="position:absolute;left:46405;top:6096;width:14135;height:1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" filled="f" stroked="f">
                  <v:textbox>
                    <w:txbxContent>
                      <w:p w14:paraId="16D5CF4D" w14:textId="77777777" w:rsidR="00217891" w:rsidRPr="00C97A7B" w:rsidRDefault="00217891" w:rsidP="00576CA2">
                        <w:pPr>
                          <w:rPr>
                            <w:rFonts w:ascii="Calibri" w:hAnsi="Calibri"/>
                            <w:sz w:val="20"/>
                            <w:szCs w:val="20"/>
                          </w:rPr>
                        </w:pPr>
                        <w:r w:rsidRPr="00C97A7B">
                          <w:rPr>
                            <w:rFonts w:ascii="Calibri" w:hAnsi="Calibri"/>
                            <w:sz w:val="20"/>
                            <w:szCs w:val="20"/>
                          </w:rPr>
                          <w:t>冷凝液</w:t>
                        </w:r>
                        <w:r>
                          <w:rPr>
                            <w:rFonts w:ascii="Calibri" w:hAnsi="Calibri"/>
                            <w:sz w:val="20"/>
                            <w:szCs w:val="20"/>
                          </w:rPr>
                          <w:t>663.19</w:t>
                        </w:r>
                      </w:p>
                      <w:p w14:paraId="237E8BCD" w14:textId="77777777" w:rsidR="00217891" w:rsidRPr="00C97A7B" w:rsidRDefault="00217891" w:rsidP="00576CA2">
                        <w:pPr>
                          <w:rPr>
                            <w:rFonts w:ascii="Calibri" w:hAnsi="Calibri"/>
                            <w:sz w:val="20"/>
                            <w:szCs w:val="20"/>
                          </w:rPr>
                        </w:pPr>
                        <w:r w:rsidRPr="00C97A7B">
                          <w:rPr>
                            <w:rFonts w:ascii="Calibri" w:hAnsi="Calibri"/>
                            <w:sz w:val="20"/>
                            <w:szCs w:val="20"/>
                          </w:rPr>
                          <w:t>（其中水：</w:t>
                        </w:r>
                        <w:r>
                          <w:rPr>
                            <w:rFonts w:ascii="Calibri" w:hAnsi="Calibri"/>
                            <w:sz w:val="20"/>
                            <w:szCs w:val="20"/>
                          </w:rPr>
                          <w:t>659.46</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2</w:t>
                        </w:r>
                        <w:r w:rsidRPr="00C97A7B">
                          <w:rPr>
                            <w:rFonts w:ascii="Calibri" w:hAnsi="Calibri"/>
                            <w:sz w:val="20"/>
                            <w:szCs w:val="20"/>
                          </w:rPr>
                          <w:t>；己二酸</w:t>
                        </w:r>
                        <w:r w:rsidRPr="00C97A7B">
                          <w:rPr>
                            <w:rFonts w:ascii="Calibri" w:hAnsi="Calibri"/>
                            <w:sz w:val="20"/>
                            <w:szCs w:val="20"/>
                          </w:rPr>
                          <w:t>:</w:t>
                        </w:r>
                        <w:r>
                          <w:rPr>
                            <w:rFonts w:ascii="Calibri" w:hAnsi="Calibri"/>
                            <w:sz w:val="20"/>
                            <w:szCs w:val="20"/>
                          </w:rPr>
                          <w:t>0.85</w:t>
                        </w:r>
                        <w:r w:rsidRPr="00C97A7B">
                          <w:rPr>
                            <w:rFonts w:ascii="Calibri" w:hAnsi="Calibri"/>
                            <w:sz w:val="20"/>
                            <w:szCs w:val="20"/>
                          </w:rPr>
                          <w:t>；环戊酮：</w:t>
                        </w:r>
                        <w:r>
                          <w:rPr>
                            <w:rFonts w:ascii="Calibri" w:hAnsi="Calibri"/>
                            <w:sz w:val="20"/>
                            <w:szCs w:val="20"/>
                          </w:rPr>
                          <w:t>0.10</w:t>
                        </w:r>
                        <w:r w:rsidRPr="00C97A7B">
                          <w:rPr>
                            <w:rFonts w:ascii="Calibri" w:hAnsi="Calibri"/>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w:t>
                        </w:r>
                        <w:r>
                          <w:rPr>
                            <w:rFonts w:ascii="Calibri" w:hAnsi="Calibri"/>
                            <w:color w:val="auto"/>
                            <w:kern w:val="0"/>
                            <w:sz w:val="20"/>
                            <w:szCs w:val="20"/>
                          </w:rPr>
                          <w:t>11</w:t>
                        </w:r>
                        <w:r w:rsidRPr="00C97A7B">
                          <w:rPr>
                            <w:rFonts w:ascii="Calibri" w:hAnsi="Calibri"/>
                            <w:color w:val="auto"/>
                            <w:kern w:val="0"/>
                            <w:sz w:val="20"/>
                            <w:szCs w:val="20"/>
                          </w:rPr>
                          <w:t>；</w:t>
                        </w:r>
                        <w:r w:rsidRPr="00C97A7B">
                          <w:rPr>
                            <w:rFonts w:ascii="Calibri" w:hAnsi="Calibri"/>
                            <w:sz w:val="20"/>
                            <w:szCs w:val="20"/>
                          </w:rPr>
                          <w:t>己二胺</w:t>
                        </w:r>
                        <w:r>
                          <w:rPr>
                            <w:rFonts w:ascii="Calibri" w:hAnsi="Calibri"/>
                            <w:sz w:val="20"/>
                            <w:szCs w:val="20"/>
                          </w:rPr>
                          <w:t>0.89</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hint="eastAsia"/>
                            <w:sz w:val="20"/>
                            <w:szCs w:val="20"/>
                          </w:rPr>
                          <w:t>0.</w:t>
                        </w:r>
                        <w:r>
                          <w:rPr>
                            <w:rFonts w:ascii="Calibri" w:hAnsi="Calibri"/>
                            <w:sz w:val="20"/>
                            <w:szCs w:val="20"/>
                          </w:rPr>
                          <w:t>17</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0.1</w:t>
                        </w:r>
                        <w:r>
                          <w:rPr>
                            <w:rFonts w:ascii="Calibri" w:hAnsi="Calibri"/>
                            <w:sz w:val="20"/>
                            <w:szCs w:val="20"/>
                          </w:rPr>
                          <w:t>0</w:t>
                        </w:r>
                        <w:r w:rsidRPr="00E13A8E">
                          <w:rPr>
                            <w:rFonts w:ascii="Calibri" w:hAnsi="宋体" w:hint="eastAsia"/>
                            <w:sz w:val="20"/>
                            <w:szCs w:val="20"/>
                          </w:rPr>
                          <w:t>十二内酰胺</w:t>
                        </w:r>
                        <w:r>
                          <w:rPr>
                            <w:rFonts w:ascii="Calibri" w:hint="eastAsia"/>
                            <w:sz w:val="20"/>
                            <w:szCs w:val="20"/>
                          </w:rPr>
                          <w:t>：</w:t>
                        </w:r>
                        <w:r>
                          <w:rPr>
                            <w:rFonts w:ascii="Calibri"/>
                            <w:sz w:val="20"/>
                            <w:szCs w:val="20"/>
                          </w:rPr>
                          <w:t>1.49</w:t>
                        </w:r>
                        <w:r w:rsidRPr="00C97A7B">
                          <w:rPr>
                            <w:rFonts w:ascii="Calibri" w:hAnsi="Calibri"/>
                            <w:sz w:val="20"/>
                            <w:szCs w:val="20"/>
                          </w:rPr>
                          <w:t>）</w:t>
                        </w:r>
                      </w:p>
                    </w:txbxContent>
                  </v:textbox>
                </v:rect>
                <v:shape id="AutoShape 37715" o:spid="_x0000_s1239" type="#_x0000_t32" style="position:absolute;left:48736;top:44723;width:501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">
                  <v:stroke endarrow="block"/>
                </v:shape>
                <v:shape id="AutoShape 37716" o:spid="_x0000_s1240" type="#_x0000_t32" style="position:absolute;left:47809;top:34175;width:146;height:48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">
                  <v:stroke dashstyle="dash" startarrow="block"/>
                </v:shape>
                <v:shape id="AutoShape 37718" o:spid="_x0000_s1241" type="#_x0000_t32" style="position:absolute;left:46526;top:36487;width:6;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">
                  <v:stroke endarrow="block"/>
                </v:shape>
                <v:rect id="Rectangle 37719" o:spid="_x0000_s1242" style="position:absolute;left:39509;top:34982;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" filled="f" stroked="f">
                  <v:textbox>
                    <w:txbxContent>
                      <w:p w14:paraId="6C51B842" w14:textId="77777777" w:rsidR="00217891" w:rsidRPr="00C97A7B" w:rsidRDefault="00217891" w:rsidP="00576CA2">
                        <w:pPr>
                          <w:rPr>
                            <w:rFonts w:ascii="Calibri" w:hAnsi="Calibri"/>
                          </w:rPr>
                        </w:pPr>
                        <w:r w:rsidRPr="00C97A7B">
                          <w:rPr>
                            <w:rFonts w:ascii="Calibri" w:hAnsi="Calibri"/>
                          </w:rPr>
                          <w:t>新鲜水</w:t>
                        </w:r>
                        <w:r>
                          <w:rPr>
                            <w:rFonts w:ascii="Calibri" w:hAnsi="Calibri"/>
                          </w:rPr>
                          <w:t>182</w:t>
                        </w:r>
                      </w:p>
                    </w:txbxContent>
                  </v:textbox>
                </v:rect>
                <v:shape id="AutoShape 37720" o:spid="_x0000_s1243" type="#_x0000_t32" style="position:absolute;left:20104;top:68268;width:3782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">
                  <v:stroke endarrow="block"/>
                </v:shape>
                <v:rect id="Rectangle 37722" o:spid="_x0000_s1244" style="position:absolute;left:20650;top:13677;width:1081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" filled="f" stroked="f">
                  <v:textbox>
                    <w:txbxContent>
                      <w:p w14:paraId="7CFF7357" w14:textId="77777777" w:rsidR="00217891" w:rsidRPr="00C97A7B" w:rsidRDefault="00217891" w:rsidP="00576CA2">
                        <w:pPr>
                          <w:rPr>
                            <w:rFonts w:ascii="Calibri" w:hAnsi="Calibri"/>
                          </w:rPr>
                        </w:pPr>
                        <w:r>
                          <w:rPr>
                            <w:rFonts w:ascii="Calibri" w:hAnsi="Calibri"/>
                          </w:rPr>
                          <w:t>3118.98</w:t>
                        </w:r>
                        <w:r w:rsidRPr="00C97A7B">
                          <w:rPr>
                            <w:rFonts w:ascii="Calibri" w:hAnsi="Calibri"/>
                          </w:rPr>
                          <w:t>（</w:t>
                        </w:r>
                        <w:r w:rsidRPr="00C97A7B">
                          <w:rPr>
                            <w:rFonts w:ascii="Calibri" w:hAnsi="Calibri"/>
                          </w:rPr>
                          <w:t>52%</w:t>
                        </w:r>
                        <w:r w:rsidRPr="00C97A7B">
                          <w:rPr>
                            <w:rFonts w:ascii="Calibri" w:hAnsi="Calibri"/>
                          </w:rPr>
                          <w:t>）</w:t>
                        </w:r>
                      </w:p>
                    </w:txbxContent>
                  </v:textbox>
                </v:rect>
                <v:rect id="Rectangle 37723" o:spid="_x0000_s1245" style="position:absolute;left:24276;top:32023;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" filled="f" stroked="f">
                  <v:textbox>
                    <w:txbxContent>
                      <w:p w14:paraId="5924D5BE" w14:textId="77777777" w:rsidR="00217891" w:rsidRPr="00AE1181" w:rsidRDefault="00217891" w:rsidP="00576CA2">
                        <w:pPr>
                          <w:ind w:firstLineChars="100" w:firstLine="210"/>
                          <w:rPr>
                            <w:rFonts w:ascii="Calibri" w:hAnsi="Calibri"/>
                          </w:rPr>
                        </w:pPr>
                        <w:r>
                          <w:rPr>
                            <w:rFonts w:ascii="Calibri" w:hAnsi="Calibri"/>
                          </w:rPr>
                          <w:t>1514.434</w:t>
                        </w:r>
                      </w:p>
                    </w:txbxContent>
                  </v:textbox>
                </v:rect>
                <v:rect id="Rectangle 37725" o:spid="_x0000_s1246" style="position:absolute;left:49104;top:79927;width:1061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" filled="f">
                  <v:textbox>
                    <w:txbxContent>
                      <w:p w14:paraId="3782E032" w14:textId="77777777" w:rsidR="00217891" w:rsidRDefault="00217891" w:rsidP="00576CA2">
                        <w:pPr>
                          <w:ind w:firstLineChars="100" w:firstLine="210"/>
                          <w:rPr>
                            <w:rFonts w:ascii="等线" w:hAnsi="等线"/>
                          </w:rPr>
                        </w:pPr>
                        <w:r>
                          <w:rPr>
                            <w:rFonts w:ascii="等线" w:hAnsi="等线" w:hint="eastAsia"/>
                          </w:rPr>
                          <w:t>污水</w:t>
                        </w:r>
                        <w:r>
                          <w:rPr>
                            <w:rFonts w:ascii="等线" w:hAnsi="等线"/>
                          </w:rPr>
                          <w:t>处理站</w:t>
                        </w:r>
                      </w:p>
                    </w:txbxContent>
                  </v:textbox>
                </v:rect>
                <v:rect id="Rectangle 37726" o:spid="_x0000_s1247" style="position:absolute;left:39331;top:67583;width:19571;height:1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" filled="f" stroked="f">
                  <v:textbox>
                    <w:txbxContent>
                      <w:p w14:paraId="4C214A58" w14:textId="77777777" w:rsidR="00217891" w:rsidRPr="00C97A7B" w:rsidRDefault="00217891" w:rsidP="00576CA2">
                        <w:pPr>
                          <w:ind w:firstLineChars="50" w:firstLine="100"/>
                          <w:rPr>
                            <w:rFonts w:ascii="Calibri" w:hAnsi="Calibri"/>
                            <w:sz w:val="20"/>
                            <w:szCs w:val="20"/>
                          </w:rPr>
                        </w:pPr>
                        <w:r w:rsidRPr="00C97A7B">
                          <w:rPr>
                            <w:rFonts w:ascii="Calibri" w:hAnsi="Calibri"/>
                            <w:sz w:val="20"/>
                            <w:szCs w:val="20"/>
                          </w:rPr>
                          <w:t>废水：</w:t>
                        </w:r>
                        <w:r>
                          <w:rPr>
                            <w:rFonts w:ascii="Calibri" w:hAnsi="Calibri"/>
                            <w:sz w:val="20"/>
                            <w:szCs w:val="20"/>
                          </w:rPr>
                          <w:t>1082.865</w:t>
                        </w:r>
                      </w:p>
                      <w:p w14:paraId="342DF5D9" w14:textId="77777777" w:rsidR="00217891" w:rsidRPr="00C97A7B" w:rsidRDefault="00217891" w:rsidP="00576CA2">
                        <w:pPr>
                          <w:ind w:left="400" w:hangingChars="200" w:hanging="400"/>
                          <w:rPr>
                            <w:rFonts w:ascii="Calibri" w:hAnsi="Calibri"/>
                            <w:sz w:val="20"/>
                            <w:szCs w:val="20"/>
                          </w:rPr>
                        </w:pPr>
                        <w:r w:rsidRPr="00C97A7B">
                          <w:rPr>
                            <w:rFonts w:ascii="Calibri" w:hAnsi="Calibri"/>
                            <w:sz w:val="20"/>
                            <w:szCs w:val="20"/>
                          </w:rPr>
                          <w:t>其中水：</w:t>
                        </w:r>
                        <w:r>
                          <w:rPr>
                            <w:rFonts w:ascii="Calibri" w:hAnsi="Calibri"/>
                            <w:sz w:val="20"/>
                            <w:szCs w:val="20"/>
                          </w:rPr>
                          <w:t>1077.89</w:t>
                        </w:r>
                        <w:r>
                          <w:rPr>
                            <w:rFonts w:ascii="Calibri" w:hAnsi="Calibri" w:hint="eastAsia"/>
                            <w:sz w:val="20"/>
                            <w:szCs w:val="20"/>
                          </w:rPr>
                          <w:t>；</w:t>
                        </w:r>
                        <w:r w:rsidRPr="00C97A7B">
                          <w:rPr>
                            <w:rFonts w:ascii="Calibri" w:hAnsi="Calibri"/>
                            <w:sz w:val="20"/>
                            <w:szCs w:val="20"/>
                          </w:rPr>
                          <w:t>己二胺：</w:t>
                        </w:r>
                        <w:r>
                          <w:rPr>
                            <w:rFonts w:ascii="Calibri" w:hAnsi="Calibri"/>
                            <w:sz w:val="20"/>
                            <w:szCs w:val="20"/>
                          </w:rPr>
                          <w:t>1.71</w:t>
                        </w:r>
                      </w:p>
                      <w:p w14:paraId="623D648A" w14:textId="77777777" w:rsidR="00217891" w:rsidRPr="00C97A7B" w:rsidRDefault="00217891" w:rsidP="00576CA2">
                        <w:pPr>
                          <w:ind w:left="400" w:hangingChars="200" w:hanging="400"/>
                          <w:rPr>
                            <w:rFonts w:ascii="Calibri" w:hAnsi="Calibri"/>
                            <w:sz w:val="20"/>
                            <w:szCs w:val="20"/>
                          </w:rPr>
                        </w:pPr>
                        <w:r w:rsidRPr="00C97A7B">
                          <w:rPr>
                            <w:rFonts w:ascii="Calibri" w:hAnsi="Calibri"/>
                            <w:sz w:val="20"/>
                            <w:szCs w:val="20"/>
                          </w:rPr>
                          <w:t>己二酸：</w:t>
                        </w:r>
                        <w:r>
                          <w:rPr>
                            <w:rFonts w:ascii="Calibri" w:hAnsi="Calibri"/>
                            <w:sz w:val="20"/>
                            <w:szCs w:val="20"/>
                          </w:rPr>
                          <w:t>0.98</w:t>
                        </w:r>
                        <w:r>
                          <w:rPr>
                            <w:rFonts w:ascii="Calibri" w:hAnsi="Calibri" w:hint="eastAsia"/>
                            <w:sz w:val="20"/>
                            <w:szCs w:val="20"/>
                          </w:rPr>
                          <w:t>；</w:t>
                        </w:r>
                        <w:r w:rsidRPr="00C97A7B">
                          <w:rPr>
                            <w:rFonts w:ascii="Calibri" w:hAnsi="Calibri"/>
                            <w:sz w:val="20"/>
                            <w:szCs w:val="20"/>
                          </w:rPr>
                          <w:t>环戊酮：</w:t>
                        </w:r>
                        <w:r>
                          <w:rPr>
                            <w:rFonts w:ascii="Calibri" w:hAnsi="Calibri"/>
                            <w:sz w:val="20"/>
                            <w:szCs w:val="20"/>
                          </w:rPr>
                          <w:t>0.114</w:t>
                        </w:r>
                      </w:p>
                      <w:p w14:paraId="6846F2BF" w14:textId="77777777" w:rsidR="00217891" w:rsidRDefault="00217891" w:rsidP="00576CA2">
                        <w:pPr>
                          <w:ind w:left="400" w:hangingChars="200" w:hanging="400"/>
                          <w:rPr>
                            <w:rFonts w:ascii="Calibri" w:hAnsi="Calibri"/>
                            <w:sz w:val="20"/>
                            <w:szCs w:val="20"/>
                          </w:rPr>
                        </w:pPr>
                        <w:r w:rsidRPr="00C97A7B">
                          <w:rPr>
                            <w:rFonts w:ascii="Calibri" w:hAnsi="Calibri"/>
                            <w:color w:val="auto"/>
                            <w:kern w:val="0"/>
                            <w:sz w:val="20"/>
                            <w:szCs w:val="20"/>
                          </w:rPr>
                          <w:t>环己亚胺：</w:t>
                        </w:r>
                        <w:r>
                          <w:rPr>
                            <w:rFonts w:ascii="Calibri" w:hAnsi="Calibri"/>
                            <w:color w:val="auto"/>
                            <w:kern w:val="0"/>
                            <w:sz w:val="20"/>
                            <w:szCs w:val="20"/>
                          </w:rPr>
                          <w:t>0.13</w:t>
                        </w:r>
                        <w:r>
                          <w:rPr>
                            <w:rFonts w:ascii="Calibri" w:hAnsi="Calibri" w:hint="eastAsia"/>
                            <w:color w:val="auto"/>
                            <w:kern w:val="0"/>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22</w:t>
                        </w:r>
                        <w:r>
                          <w:rPr>
                            <w:rFonts w:ascii="Calibri" w:hAnsi="Calibri" w:hint="eastAsia"/>
                            <w:sz w:val="20"/>
                            <w:szCs w:val="20"/>
                          </w:rPr>
                          <w:t>；</w:t>
                        </w:r>
                      </w:p>
                      <w:p w14:paraId="04DB89D1" w14:textId="77777777" w:rsidR="00217891" w:rsidRDefault="00217891" w:rsidP="00576CA2">
                        <w:pPr>
                          <w:ind w:left="400" w:hangingChars="200" w:hanging="400"/>
                          <w:rPr>
                            <w:rFonts w:ascii="Calibri" w:hAnsi="Calibri"/>
                            <w:sz w:val="20"/>
                            <w:szCs w:val="20"/>
                          </w:rPr>
                        </w:pP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0.195</w:t>
                        </w:r>
                        <w:r w:rsidRPr="00E13A8E">
                          <w:rPr>
                            <w:rFonts w:ascii="Calibri" w:hAnsi="Calibri" w:hint="eastAsia"/>
                            <w:sz w:val="20"/>
                            <w:szCs w:val="20"/>
                          </w:rPr>
                          <w:t>癸二酸</w:t>
                        </w:r>
                        <w:r>
                          <w:rPr>
                            <w:rFonts w:ascii="Calibri" w:hAnsi="Calibri" w:hint="eastAsia"/>
                            <w:sz w:val="20"/>
                            <w:szCs w:val="20"/>
                          </w:rPr>
                          <w:t>：</w:t>
                        </w:r>
                        <w:r>
                          <w:rPr>
                            <w:rFonts w:ascii="Calibri" w:hAnsi="Calibri"/>
                            <w:sz w:val="20"/>
                            <w:szCs w:val="20"/>
                          </w:rPr>
                          <w:t>0.114</w:t>
                        </w:r>
                        <w:r>
                          <w:rPr>
                            <w:rFonts w:ascii="Calibri" w:hAnsi="Calibri" w:hint="eastAsia"/>
                            <w:sz w:val="20"/>
                            <w:szCs w:val="20"/>
                          </w:rPr>
                          <w:t>；</w:t>
                        </w:r>
                      </w:p>
                      <w:p w14:paraId="7542D723" w14:textId="77777777" w:rsidR="00217891" w:rsidRPr="00C97A7B" w:rsidRDefault="00217891" w:rsidP="00576CA2">
                        <w:pPr>
                          <w:ind w:left="400" w:hangingChars="200" w:hanging="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sz w:val="20"/>
                            <w:szCs w:val="20"/>
                          </w:rPr>
                          <w:t>1.71</w:t>
                        </w:r>
                      </w:p>
                    </w:txbxContent>
                  </v:textbox>
                </v:rect>
                <v:rect id="Rectangle 37727" o:spid="_x0000_s1248" style="position:absolute;top:3048;width:15335;height:8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" filled="f" stroked="f">
                  <v:textbox>
                    <w:txbxContent>
                      <w:p w14:paraId="774ED428" w14:textId="77777777" w:rsidR="00217891" w:rsidRPr="00C97A7B" w:rsidRDefault="00217891" w:rsidP="00576CA2">
                        <w:pPr>
                          <w:ind w:firstLineChars="150" w:firstLine="315"/>
                          <w:rPr>
                            <w:rFonts w:ascii="Calibri" w:hAnsi="Calibri"/>
                          </w:rPr>
                        </w:pPr>
                        <w:r w:rsidRPr="00C97A7B">
                          <w:rPr>
                            <w:rFonts w:ascii="Calibri" w:hAnsi="Calibri"/>
                          </w:rPr>
                          <w:t>50%</w:t>
                        </w:r>
                        <w:r w:rsidRPr="00C97A7B">
                          <w:rPr>
                            <w:rFonts w:ascii="Calibri" w:hAnsi="Calibri"/>
                          </w:rPr>
                          <w:t>尼龙</w:t>
                        </w:r>
                        <w:r w:rsidRPr="00C97A7B">
                          <w:rPr>
                            <w:rFonts w:ascii="Calibri" w:hAnsi="Calibri"/>
                          </w:rPr>
                          <w:t>66</w:t>
                        </w:r>
                        <w:r w:rsidRPr="00C97A7B">
                          <w:rPr>
                            <w:rFonts w:ascii="Calibri" w:hAnsi="Calibri"/>
                          </w:rPr>
                          <w:t>盐</w:t>
                        </w:r>
                        <w:r>
                          <w:rPr>
                            <w:rFonts w:ascii="Calibri" w:hAnsi="Calibri"/>
                          </w:rPr>
                          <w:t>1440</w:t>
                        </w:r>
                      </w:p>
                      <w:p w14:paraId="262DEA16" w14:textId="77777777" w:rsidR="00217891" w:rsidRPr="00C97A7B" w:rsidRDefault="00217891" w:rsidP="00576CA2">
                        <w:pPr>
                          <w:ind w:firstLineChars="200" w:firstLine="420"/>
                          <w:rPr>
                            <w:rFonts w:ascii="Calibri" w:hAnsi="Calibri"/>
                          </w:rPr>
                        </w:pPr>
                        <w:r w:rsidRPr="00C97A7B">
                          <w:rPr>
                            <w:rFonts w:ascii="Calibri" w:hAnsi="Calibri"/>
                          </w:rPr>
                          <w:t>尼龙</w:t>
                        </w:r>
                        <w:r w:rsidRPr="00C97A7B">
                          <w:rPr>
                            <w:rFonts w:ascii="Calibri" w:hAnsi="Calibri"/>
                          </w:rPr>
                          <w:t>12</w:t>
                        </w:r>
                        <w:r w:rsidRPr="00C97A7B">
                          <w:rPr>
                            <w:rFonts w:ascii="Calibri" w:hAnsi="Calibri"/>
                          </w:rPr>
                          <w:t>盐</w:t>
                        </w:r>
                        <w:r>
                          <w:rPr>
                            <w:rFonts w:ascii="Calibri" w:hAnsi="Calibri"/>
                          </w:rPr>
                          <w:t>720</w:t>
                        </w:r>
                      </w:p>
                      <w:p w14:paraId="4A7A02AB" w14:textId="77777777" w:rsidR="00217891" w:rsidRPr="00C97A7B" w:rsidRDefault="00217891" w:rsidP="00576CA2">
                        <w:pPr>
                          <w:ind w:firstLineChars="200" w:firstLine="420"/>
                          <w:rPr>
                            <w:rFonts w:ascii="Calibri" w:hAnsi="Calibri"/>
                          </w:rPr>
                        </w:pPr>
                        <w:r w:rsidRPr="00C97A7B">
                          <w:rPr>
                            <w:rFonts w:ascii="Calibri" w:hAnsi="Calibri"/>
                          </w:rPr>
                          <w:t>尼龙</w:t>
                        </w:r>
                        <w:r w:rsidRPr="00C97A7B">
                          <w:rPr>
                            <w:rFonts w:ascii="Calibri" w:hAnsi="Calibri"/>
                          </w:rPr>
                          <w:t>1010</w:t>
                        </w:r>
                        <w:r w:rsidRPr="00C97A7B">
                          <w:rPr>
                            <w:rFonts w:ascii="Calibri" w:hAnsi="Calibri"/>
                          </w:rPr>
                          <w:t>盐</w:t>
                        </w:r>
                        <w:r>
                          <w:rPr>
                            <w:rFonts w:ascii="Calibri" w:hAnsi="Calibri"/>
                          </w:rPr>
                          <w:t>180</w:t>
                        </w:r>
                      </w:p>
                      <w:p w14:paraId="45C52832" w14:textId="77777777" w:rsidR="00217891" w:rsidRPr="00C97A7B" w:rsidRDefault="00217891" w:rsidP="00576CA2">
                        <w:pPr>
                          <w:ind w:firstLineChars="100" w:firstLine="210"/>
                          <w:rPr>
                            <w:rFonts w:ascii="Calibri" w:hAnsi="Calibri"/>
                          </w:rPr>
                        </w:pPr>
                        <w:r w:rsidRPr="00C97A7B">
                          <w:rPr>
                            <w:rFonts w:ascii="Calibri" w:hAnsi="Calibri"/>
                          </w:rPr>
                          <w:t>次磷酸钠</w:t>
                        </w:r>
                        <w:r w:rsidRPr="00C97A7B">
                          <w:rPr>
                            <w:rFonts w:ascii="Calibri" w:hAnsi="Calibri"/>
                          </w:rPr>
                          <w:t>0.</w:t>
                        </w:r>
                        <w:r>
                          <w:rPr>
                            <w:rFonts w:ascii="Calibri" w:hAnsi="Calibri"/>
                          </w:rPr>
                          <w:t>1</w:t>
                        </w:r>
                      </w:p>
                    </w:txbxContent>
                  </v:textbox>
                </v:rect>
                <v:rect id="Rectangle 37722" o:spid="_x0000_s1249" style="position:absolute;left:48234;top:22625;width:12878;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" filled="f" stroked="f">
                  <v:textbox>
                    <w:txbxContent>
                      <w:p w14:paraId="26620631" w14:textId="77777777" w:rsidR="00217891" w:rsidRPr="001B4635" w:rsidRDefault="00217891" w:rsidP="00576CA2">
                        <w:pPr>
                          <w:ind w:leftChars="200" w:left="520" w:hangingChars="50" w:hanging="100"/>
                          <w:rPr>
                            <w:rFonts w:ascii="Calibri" w:hAnsi="Calibri"/>
                            <w:color w:val="FF0000"/>
                            <w:sz w:val="20"/>
                            <w:szCs w:val="20"/>
                          </w:rPr>
                        </w:pPr>
                        <w:r w:rsidRPr="001B4635">
                          <w:rPr>
                            <w:rFonts w:ascii="Calibri" w:hAnsi="Calibri"/>
                            <w:color w:val="FF0000"/>
                            <w:sz w:val="20"/>
                            <w:szCs w:val="20"/>
                          </w:rPr>
                          <w:t>废气：</w:t>
                        </w:r>
                        <w:r>
                          <w:rPr>
                            <w:rFonts w:ascii="Calibri" w:hAnsi="Calibri"/>
                            <w:color w:val="FF0000"/>
                            <w:sz w:val="20"/>
                            <w:szCs w:val="20"/>
                          </w:rPr>
                          <w:t>0.801</w:t>
                        </w:r>
                      </w:p>
                      <w:p w14:paraId="19943F93" w14:textId="77777777" w:rsidR="00217891" w:rsidRPr="00335723" w:rsidRDefault="00217891" w:rsidP="00576CA2">
                        <w:pPr>
                          <w:pStyle w:val="af1"/>
                          <w:ind w:left="403" w:hanging="403"/>
                          <w:jc w:val="both"/>
                          <w:rPr>
                            <w:color w:val="FF0000"/>
                          </w:rPr>
                        </w:pPr>
                        <w:r w:rsidRPr="001B4635">
                          <w:rPr>
                            <w:rFonts w:ascii="Calibri" w:hAnsi="Calibri"/>
                            <w:color w:val="FF0000"/>
                            <w:sz w:val="20"/>
                            <w:szCs w:val="20"/>
                          </w:rPr>
                          <w:t>其中：</w:t>
                        </w:r>
                        <w:r w:rsidRPr="001B4635">
                          <w:rPr>
                            <w:rFonts w:ascii="Calibri" w:cs="Calibri" w:hint="eastAsia"/>
                            <w:color w:val="FF0000"/>
                            <w:kern w:val="2"/>
                            <w:sz w:val="20"/>
                            <w:szCs w:val="20"/>
                          </w:rPr>
                          <w:t>己二胺：</w:t>
                        </w:r>
                        <w:r>
                          <w:rPr>
                            <w:rFonts w:ascii="Calibri" w:hAnsi="Calibri" w:cs="Calibri"/>
                            <w:color w:val="FF0000"/>
                            <w:kern w:val="2"/>
                            <w:sz w:val="20"/>
                            <w:szCs w:val="20"/>
                          </w:rPr>
                          <w:t>0.53</w:t>
                        </w:r>
                        <w:r w:rsidRPr="001B4635">
                          <w:rPr>
                            <w:rFonts w:ascii="Calibri" w:cs="Calibri" w:hint="eastAsia"/>
                            <w:color w:val="FF0000"/>
                            <w:kern w:val="2"/>
                            <w:sz w:val="20"/>
                            <w:szCs w:val="20"/>
                          </w:rPr>
                          <w:t>己二酸：</w:t>
                        </w:r>
                        <w:r>
                          <w:rPr>
                            <w:rFonts w:ascii="Calibri" w:hAnsi="Calibri" w:cs="Calibri"/>
                            <w:color w:val="FF0000"/>
                            <w:kern w:val="2"/>
                            <w:sz w:val="20"/>
                            <w:szCs w:val="20"/>
                          </w:rPr>
                          <w:t>0.08</w:t>
                        </w:r>
                        <w:r>
                          <w:rPr>
                            <w:rFonts w:ascii="Calibri" w:hAnsi="Calibri" w:cs="Calibri" w:hint="eastAsia"/>
                            <w:color w:val="FF0000"/>
                            <w:kern w:val="2"/>
                            <w:sz w:val="20"/>
                            <w:szCs w:val="20"/>
                          </w:rPr>
                          <w:t>；</w:t>
                        </w: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1</w:t>
                        </w:r>
                        <w:r>
                          <w:rPr>
                            <w:rFonts w:ascii="Calibri" w:hAnsi="Calibri" w:cs="Calibri" w:hint="eastAsia"/>
                            <w:color w:val="FF0000"/>
                            <w:kern w:val="2"/>
                            <w:sz w:val="20"/>
                            <w:szCs w:val="20"/>
                          </w:rPr>
                          <w:t>；</w:t>
                        </w: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1</w:t>
                        </w:r>
                        <w:r>
                          <w:rPr>
                            <w:rFonts w:ascii="Calibri" w:hAnsi="Calibri" w:cs="Calibri" w:hint="eastAsia"/>
                            <w:color w:val="FF0000"/>
                            <w:sz w:val="20"/>
                            <w:szCs w:val="20"/>
                          </w:rPr>
                          <w:t>；</w:t>
                        </w: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4</w:t>
                        </w:r>
                      </w:p>
                      <w:p w14:paraId="67579F99"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17</w:t>
                        </w:r>
                      </w:p>
                      <w:p w14:paraId="2792AF70"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w:t>
                        </w:r>
                      </w:p>
                      <w:p w14:paraId="41612305"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color w:val="FF0000"/>
                            <w:kern w:val="2"/>
                            <w:sz w:val="20"/>
                            <w:szCs w:val="20"/>
                          </w:rPr>
                          <w:t>0.14</w:t>
                        </w:r>
                      </w:p>
                      <w:p w14:paraId="46894DA9" w14:textId="77777777" w:rsidR="00217891" w:rsidRPr="00C9603E" w:rsidRDefault="00217891" w:rsidP="00576CA2">
                        <w:pPr>
                          <w:ind w:firstLineChars="200" w:firstLine="400"/>
                          <w:rPr>
                            <w:rFonts w:ascii="Calibri" w:hAnsi="Calibri"/>
                            <w:color w:val="FF0000"/>
                            <w:sz w:val="20"/>
                            <w:szCs w:val="20"/>
                          </w:rPr>
                        </w:pPr>
                      </w:p>
                    </w:txbxContent>
                  </v:textbox>
                </v:rect>
                <v:rect id="Rectangle 37710" o:spid="_x0000_s1250" style="position:absolute;left:18792;top:152;width:28118;height:9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" filled="f" stroked="f">
                  <v:textbox>
                    <w:txbxContent>
                      <w:p w14:paraId="52885D27" w14:textId="77777777" w:rsidR="00217891" w:rsidRDefault="00217891" w:rsidP="00576CA2">
                        <w:pPr>
                          <w:pStyle w:val="af1"/>
                          <w:ind w:firstLine="403"/>
                          <w:jc w:val="both"/>
                        </w:pPr>
                        <w:r>
                          <w:rPr>
                            <w:rFonts w:ascii="Calibri" w:cs="Calibri" w:hint="eastAsia"/>
                            <w:kern w:val="2"/>
                            <w:sz w:val="20"/>
                            <w:szCs w:val="20"/>
                          </w:rPr>
                          <w:t>回用冷凝液</w:t>
                        </w:r>
                        <w:r>
                          <w:rPr>
                            <w:rFonts w:ascii="Calibri" w:hAnsi="Calibri" w:cs="Calibri"/>
                            <w:kern w:val="2"/>
                            <w:sz w:val="20"/>
                            <w:szCs w:val="20"/>
                          </w:rPr>
                          <w:t>779.88</w:t>
                        </w:r>
                        <w:r>
                          <w:rPr>
                            <w:rFonts w:ascii="Calibri" w:cs="Calibri" w:hint="eastAsia"/>
                            <w:kern w:val="2"/>
                            <w:sz w:val="20"/>
                            <w:szCs w:val="20"/>
                          </w:rPr>
                          <w:t>（其中水：</w:t>
                        </w:r>
                        <w:r>
                          <w:rPr>
                            <w:rFonts w:ascii="Calibri" w:hAnsi="Calibri" w:cs="Calibri"/>
                            <w:kern w:val="2"/>
                            <w:sz w:val="20"/>
                            <w:szCs w:val="20"/>
                          </w:rPr>
                          <w:t>775.52</w:t>
                        </w:r>
                        <w:r>
                          <w:rPr>
                            <w:rFonts w:ascii="Calibri" w:cs="Calibri" w:hint="eastAsia"/>
                            <w:kern w:val="2"/>
                            <w:sz w:val="20"/>
                            <w:szCs w:val="20"/>
                          </w:rPr>
                          <w:t>氨：</w:t>
                        </w:r>
                        <w:r>
                          <w:rPr>
                            <w:rFonts w:ascii="Calibri" w:hAnsi="Calibri" w:cs="Calibri"/>
                            <w:kern w:val="2"/>
                            <w:sz w:val="20"/>
                            <w:szCs w:val="20"/>
                          </w:rPr>
                          <w:t>0.02</w:t>
                        </w:r>
                        <w:r>
                          <w:rPr>
                            <w:rFonts w:ascii="Calibri" w:cs="Calibri" w:hint="eastAsia"/>
                            <w:kern w:val="2"/>
                            <w:sz w:val="20"/>
                            <w:szCs w:val="20"/>
                          </w:rPr>
                          <w:t>；己二酸：</w:t>
                        </w:r>
                        <w:r>
                          <w:rPr>
                            <w:rFonts w:ascii="Calibri" w:hAnsi="Calibri" w:cs="Calibri"/>
                            <w:kern w:val="2"/>
                            <w:sz w:val="20"/>
                            <w:szCs w:val="20"/>
                          </w:rPr>
                          <w:t>0.99</w:t>
                        </w:r>
                        <w:r>
                          <w:rPr>
                            <w:rFonts w:ascii="Calibri" w:cs="Calibri" w:hint="eastAsia"/>
                            <w:kern w:val="2"/>
                            <w:sz w:val="20"/>
                            <w:szCs w:val="20"/>
                          </w:rPr>
                          <w:t>；环戊酮：</w:t>
                        </w:r>
                        <w:r>
                          <w:rPr>
                            <w:rFonts w:ascii="Calibri" w:hAnsi="Calibri" w:cs="Calibri"/>
                            <w:kern w:val="2"/>
                            <w:sz w:val="20"/>
                            <w:szCs w:val="20"/>
                          </w:rPr>
                          <w:t>0.11</w:t>
                        </w:r>
                        <w:r>
                          <w:rPr>
                            <w:rFonts w:ascii="Calibri" w:cs="Calibri" w:hint="eastAsia"/>
                            <w:kern w:val="2"/>
                            <w:sz w:val="20"/>
                            <w:szCs w:val="20"/>
                          </w:rPr>
                          <w:t>；</w:t>
                        </w:r>
                        <w:r>
                          <w:rPr>
                            <w:rFonts w:ascii="Calibri" w:cs="Calibri" w:hint="eastAsia"/>
                            <w:sz w:val="20"/>
                            <w:szCs w:val="20"/>
                          </w:rPr>
                          <w:t>环己亚胺：</w:t>
                        </w:r>
                        <w:r>
                          <w:rPr>
                            <w:rFonts w:ascii="Calibri" w:hAnsi="Calibri" w:cs="Calibri"/>
                            <w:sz w:val="20"/>
                            <w:szCs w:val="20"/>
                          </w:rPr>
                          <w:t>0.13</w:t>
                        </w:r>
                        <w:r>
                          <w:rPr>
                            <w:rFonts w:ascii="Calibri" w:cs="Calibri" w:hint="eastAsia"/>
                            <w:kern w:val="2"/>
                            <w:sz w:val="20"/>
                            <w:szCs w:val="20"/>
                          </w:rPr>
                          <w:t>；己二胺</w:t>
                        </w:r>
                        <w:r>
                          <w:rPr>
                            <w:rFonts w:ascii="Calibri" w:hAnsi="Calibri" w:cs="Calibri"/>
                            <w:kern w:val="2"/>
                            <w:sz w:val="20"/>
                            <w:szCs w:val="20"/>
                          </w:rPr>
                          <w:t>1.05</w:t>
                        </w:r>
                        <w:r>
                          <w:rPr>
                            <w:rFonts w:ascii="Calibri" w:hAnsi="Calibri" w:cs="Calibri" w:hint="eastAsia"/>
                            <w:kern w:val="2"/>
                            <w:sz w:val="20"/>
                            <w:szCs w:val="20"/>
                          </w:rPr>
                          <w:t>；</w:t>
                        </w:r>
                        <w:r w:rsidRPr="00E13A8E">
                          <w:rPr>
                            <w:rFonts w:ascii="Calibri" w:hAnsi="Calibri" w:cs="Calibri" w:hint="eastAsia"/>
                            <w:kern w:val="2"/>
                            <w:sz w:val="20"/>
                            <w:szCs w:val="20"/>
                          </w:rPr>
                          <w:t>癸二胺</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20</w:t>
                        </w:r>
                        <w:r>
                          <w:rPr>
                            <w:rFonts w:ascii="Calibri" w:hAnsi="Calibri" w:cs="Calibri" w:hint="eastAsia"/>
                            <w:kern w:val="2"/>
                            <w:sz w:val="20"/>
                            <w:szCs w:val="20"/>
                          </w:rPr>
                          <w:t xml:space="preserve"> </w:t>
                        </w:r>
                        <w:r w:rsidRPr="00E13A8E">
                          <w:rPr>
                            <w:rFonts w:ascii="Calibri" w:hAnsi="Calibri" w:cs="Calibri" w:hint="eastAsia"/>
                            <w:kern w:val="2"/>
                            <w:sz w:val="20"/>
                            <w:szCs w:val="20"/>
                          </w:rPr>
                          <w:t>癸二酸</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12</w:t>
                        </w:r>
                        <w:r>
                          <w:rPr>
                            <w:rFonts w:ascii="Calibri" w:hAnsi="Calibri" w:cs="Calibri" w:hint="eastAsia"/>
                            <w:kern w:val="2"/>
                            <w:sz w:val="20"/>
                            <w:szCs w:val="20"/>
                          </w:rPr>
                          <w:t xml:space="preserve"> </w:t>
                        </w:r>
                        <w:r>
                          <w:rPr>
                            <w:rFonts w:ascii="Calibri" w:hAnsi="Calibri" w:cs="Calibri"/>
                            <w:kern w:val="2"/>
                            <w:sz w:val="20"/>
                            <w:szCs w:val="20"/>
                          </w:rPr>
                          <w:t xml:space="preserve"> </w:t>
                        </w:r>
                        <w:r w:rsidRPr="00E13A8E">
                          <w:rPr>
                            <w:rFonts w:ascii="Calibri" w:cs="Calibri" w:hint="eastAsia"/>
                            <w:kern w:val="2"/>
                            <w:sz w:val="20"/>
                            <w:szCs w:val="20"/>
                          </w:rPr>
                          <w:t>十二内酰胺</w:t>
                        </w:r>
                        <w:r>
                          <w:rPr>
                            <w:rFonts w:ascii="Calibri" w:cs="Calibri" w:hint="eastAsia"/>
                            <w:kern w:val="2"/>
                            <w:sz w:val="20"/>
                            <w:szCs w:val="20"/>
                          </w:rPr>
                          <w:t>：</w:t>
                        </w:r>
                        <w:r>
                          <w:rPr>
                            <w:rFonts w:ascii="Calibri" w:cs="Calibri"/>
                            <w:kern w:val="2"/>
                            <w:sz w:val="20"/>
                            <w:szCs w:val="20"/>
                          </w:rPr>
                          <w:t>1.74</w:t>
                        </w:r>
                        <w:r w:rsidRPr="00E13A8E">
                          <w:rPr>
                            <w:rFonts w:ascii="Calibri" w:cs="Calibri" w:hint="eastAsia"/>
                            <w:kern w:val="2"/>
                            <w:sz w:val="20"/>
                            <w:szCs w:val="20"/>
                          </w:rPr>
                          <w:t>）</w:t>
                        </w:r>
                      </w:p>
                    </w:txbxContent>
                  </v:textbox>
                </v:rect>
                <v:rect id="_x0000_s1251" style="position:absolute;left:43357;top:44272;width:16002;height:19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" filled="f" fillcolor="#eaf1dd" stroked="f">
                  <v:textbox>
                    <w:txbxContent>
                      <w:p w14:paraId="15C11919" w14:textId="77777777" w:rsidR="00217891" w:rsidRPr="001B4635" w:rsidRDefault="00217891" w:rsidP="00576CA2">
                        <w:pPr>
                          <w:pStyle w:val="af1"/>
                          <w:ind w:firstLine="403"/>
                          <w:jc w:val="both"/>
                          <w:rPr>
                            <w:color w:val="FF0000"/>
                          </w:rPr>
                        </w:pPr>
                        <w:r w:rsidRPr="001B4635">
                          <w:rPr>
                            <w:rFonts w:ascii="Calibri" w:cs="Calibri" w:hint="eastAsia"/>
                            <w:color w:val="FF0000"/>
                            <w:kern w:val="2"/>
                            <w:sz w:val="20"/>
                            <w:szCs w:val="20"/>
                          </w:rPr>
                          <w:t>废水</w:t>
                        </w:r>
                        <w:r>
                          <w:rPr>
                            <w:rFonts w:ascii="Calibri" w:cs="Calibri" w:hint="eastAsia"/>
                            <w:color w:val="FF0000"/>
                            <w:kern w:val="2"/>
                            <w:sz w:val="20"/>
                            <w:szCs w:val="20"/>
                          </w:rPr>
                          <w:t>:</w:t>
                        </w:r>
                        <w:r>
                          <w:rPr>
                            <w:rFonts w:ascii="Calibri" w:cs="Calibri"/>
                            <w:color w:val="FF0000"/>
                            <w:kern w:val="2"/>
                            <w:sz w:val="20"/>
                            <w:szCs w:val="20"/>
                          </w:rPr>
                          <w:t>411.675</w:t>
                        </w:r>
                      </w:p>
                      <w:p w14:paraId="2BEC8C48" w14:textId="77777777" w:rsidR="00217891" w:rsidRPr="001B4635" w:rsidRDefault="00217891" w:rsidP="00576CA2">
                        <w:pPr>
                          <w:pStyle w:val="af1"/>
                          <w:ind w:left="403" w:hanging="403"/>
                          <w:jc w:val="both"/>
                          <w:rPr>
                            <w:color w:val="FF0000"/>
                          </w:rPr>
                        </w:pPr>
                        <w:r w:rsidRPr="001B4635">
                          <w:rPr>
                            <w:rFonts w:ascii="Calibri" w:cs="Calibri" w:hint="eastAsia"/>
                            <w:color w:val="FF0000"/>
                            <w:kern w:val="2"/>
                            <w:sz w:val="20"/>
                            <w:szCs w:val="20"/>
                          </w:rPr>
                          <w:t>其中水：</w:t>
                        </w:r>
                        <w:r>
                          <w:rPr>
                            <w:rFonts w:ascii="Calibri" w:hAnsi="Calibri" w:cs="Calibri"/>
                            <w:color w:val="FF0000"/>
                            <w:kern w:val="2"/>
                            <w:sz w:val="20"/>
                            <w:szCs w:val="20"/>
                          </w:rPr>
                          <w:t>410.46</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己二胺：</w:t>
                        </w:r>
                        <w:r>
                          <w:rPr>
                            <w:rFonts w:ascii="Calibri" w:hAnsi="Calibri" w:cs="Calibri"/>
                            <w:color w:val="FF0000"/>
                            <w:kern w:val="2"/>
                            <w:sz w:val="20"/>
                            <w:szCs w:val="20"/>
                          </w:rPr>
                          <w:t>0.79</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Pr>
                            <w:rFonts w:ascii="Calibri" w:hAnsi="Calibri" w:cs="Calibri"/>
                            <w:color w:val="FF0000"/>
                            <w:kern w:val="2"/>
                            <w:sz w:val="20"/>
                            <w:szCs w:val="20"/>
                          </w:rPr>
                          <w:t>0.13</w:t>
                        </w:r>
                      </w:p>
                      <w:p w14:paraId="2CCE627A" w14:textId="77777777" w:rsidR="00217891" w:rsidRPr="001B4635" w:rsidRDefault="00217891" w:rsidP="00576CA2">
                        <w:pPr>
                          <w:pStyle w:val="af1"/>
                          <w:ind w:left="403" w:hanging="403"/>
                          <w:jc w:val="both"/>
                          <w:rPr>
                            <w:color w:val="FF0000"/>
                          </w:rPr>
                        </w:pP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14</w:t>
                        </w:r>
                      </w:p>
                      <w:p w14:paraId="04A49E44" w14:textId="77777777" w:rsidR="00217891" w:rsidRPr="001B4635" w:rsidRDefault="00217891" w:rsidP="00576CA2">
                        <w:pPr>
                          <w:pStyle w:val="af1"/>
                          <w:ind w:left="403" w:hanging="403"/>
                          <w:jc w:val="both"/>
                          <w:rPr>
                            <w:color w:val="FF0000"/>
                          </w:rPr>
                        </w:pP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2</w:t>
                        </w:r>
                      </w:p>
                      <w:p w14:paraId="3A58562B" w14:textId="77777777" w:rsidR="00217891" w:rsidRDefault="00217891" w:rsidP="00576CA2">
                        <w:pPr>
                          <w:pStyle w:val="af1"/>
                          <w:jc w:val="both"/>
                          <w:rPr>
                            <w:rFonts w:ascii="Calibri" w:hAnsi="Calibri" w:cs="Calibri"/>
                            <w:color w:val="FF0000"/>
                            <w:kern w:val="2"/>
                            <w:sz w:val="20"/>
                            <w:szCs w:val="20"/>
                          </w:rPr>
                        </w:pP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2</w:t>
                        </w:r>
                      </w:p>
                      <w:p w14:paraId="69EE83B0"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25</w:t>
                        </w:r>
                      </w:p>
                      <w:p w14:paraId="7E3EEF7E"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1</w:t>
                        </w:r>
                        <w:r>
                          <w:rPr>
                            <w:rFonts w:ascii="Calibri" w:cs="Calibri" w:hint="eastAsia"/>
                            <w:color w:val="FF0000"/>
                            <w:kern w:val="2"/>
                            <w:sz w:val="20"/>
                            <w:szCs w:val="20"/>
                          </w:rPr>
                          <w:t>4</w:t>
                        </w:r>
                      </w:p>
                      <w:p w14:paraId="4F76BEF1" w14:textId="77777777" w:rsidR="00217891" w:rsidRPr="00C9603E" w:rsidRDefault="00217891" w:rsidP="00576CA2">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hint="eastAsia"/>
                            <w:color w:val="FF0000"/>
                            <w:kern w:val="2"/>
                            <w:sz w:val="20"/>
                            <w:szCs w:val="20"/>
                          </w:rPr>
                          <w:t>0.</w:t>
                        </w:r>
                        <w:r>
                          <w:rPr>
                            <w:rFonts w:ascii="Calibri" w:cs="Calibri"/>
                            <w:color w:val="FF0000"/>
                            <w:kern w:val="2"/>
                            <w:sz w:val="20"/>
                            <w:szCs w:val="20"/>
                          </w:rPr>
                          <w:t>22</w:t>
                        </w:r>
                      </w:p>
                    </w:txbxContent>
                  </v:textbox>
                </v:rect>
                <w10:wrap anchorx="margin"/>
              </v:group>
            </w:pict>
          </mc:Fallback>
        </mc:AlternateContent>
      </w:r>
    </w:p>
    <w:p w14:paraId="647495B0"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679F5B00"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6772F593"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4043FBCB"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0B1F6A19"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4F360245"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6601EBF4"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72C5D624"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2AB50F80"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7F20750B"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1B371525"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2B32E085"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59DC0B02"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699F2A82"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1A2EB4D1"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0CDB6582"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57D1ECD0"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2B76D76F"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09337812"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16920D9A"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7C209639"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092FFB47"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10C77BEF"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4FEA2896" w14:textId="77777777" w:rsidR="0056677B" w:rsidRDefault="0056677B" w:rsidP="00EE4B9C">
      <w:pPr>
        <w:spacing w:line="500" w:lineRule="exact"/>
        <w:ind w:firstLineChars="200" w:firstLine="482"/>
        <w:rPr>
          <w:rFonts w:asciiTheme="minorHAnsi" w:eastAsiaTheme="minorEastAsia" w:hAnsiTheme="minorHAnsi" w:cstheme="minorHAnsi"/>
          <w:b/>
          <w:color w:val="auto"/>
          <w:sz w:val="24"/>
        </w:rPr>
      </w:pPr>
    </w:p>
    <w:p w14:paraId="6523D523" w14:textId="77777777" w:rsidR="00B10481" w:rsidRDefault="00971B8B" w:rsidP="00632D0E">
      <w:pPr>
        <w:spacing w:line="500" w:lineRule="exact"/>
        <w:rPr>
          <w:rFonts w:asciiTheme="minorHAnsi" w:eastAsiaTheme="minorEastAsia" w:hAnsiTheme="minorHAnsi" w:cstheme="minorHAnsi"/>
          <w:b/>
          <w:color w:val="auto"/>
          <w:sz w:val="24"/>
        </w:rPr>
      </w:pPr>
      <w:r>
        <w:rPr>
          <w:rFonts w:asciiTheme="minorHAnsi" w:eastAsiaTheme="minorEastAsia" w:hAnsiTheme="minorHAnsi" w:cstheme="minorHAnsi"/>
          <w:b/>
          <w:noProof/>
          <w:color w:val="auto"/>
          <w:sz w:val="24"/>
        </w:rPr>
        <mc:AlternateContent>
          <mc:Choice Requires="wps">
            <w:drawing>
              <wp:anchor distT="0" distB="0" distL="114300" distR="114300" simplePos="0" relativeHeight="253613568" behindDoc="0" locked="0" layoutInCell="1" allowOverlap="1" wp14:anchorId="5E3C10EF" wp14:editId="416293C4">
                <wp:simplePos x="0" y="0"/>
                <wp:positionH relativeFrom="column">
                  <wp:posOffset>1049020</wp:posOffset>
                </wp:positionH>
                <wp:positionV relativeFrom="paragraph">
                  <wp:posOffset>307340</wp:posOffset>
                </wp:positionV>
                <wp:extent cx="4191000" cy="518160"/>
                <wp:effectExtent l="0" t="0" r="0" b="0"/>
                <wp:wrapNone/>
                <wp:docPr id="25829" name="Text Box 37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3AA0" w14:textId="77777777" w:rsidR="00217891" w:rsidRPr="00523A89" w:rsidRDefault="00217891" w:rsidP="00E65B69">
                            <w:pPr>
                              <w:rPr>
                                <w:b/>
                                <w:u w:val="single"/>
                              </w:rPr>
                            </w:pPr>
                            <w:r w:rsidRPr="00523A89">
                              <w:rPr>
                                <w:rFonts w:ascii="Calibri" w:eastAsia="黑体" w:hAnsi="Calibri" w:hint="eastAsia"/>
                                <w:b/>
                                <w:color w:val="auto"/>
                                <w:sz w:val="24"/>
                                <w:u w:val="single"/>
                              </w:rPr>
                              <w:t>图</w:t>
                            </w:r>
                            <w:r w:rsidRPr="00523A89">
                              <w:rPr>
                                <w:rFonts w:ascii="Calibri" w:eastAsia="黑体" w:hAnsi="Calibri" w:hint="eastAsia"/>
                                <w:b/>
                                <w:color w:val="auto"/>
                                <w:sz w:val="24"/>
                                <w:u w:val="single"/>
                              </w:rPr>
                              <w:t>2.2-</w:t>
                            </w:r>
                            <w:r w:rsidRPr="00523A89">
                              <w:rPr>
                                <w:rFonts w:ascii="Calibri" w:eastAsia="黑体" w:hAnsi="Calibri"/>
                                <w:b/>
                                <w:color w:val="auto"/>
                                <w:sz w:val="24"/>
                                <w:u w:val="single"/>
                              </w:rPr>
                              <w:t>3</w:t>
                            </w:r>
                            <w:r w:rsidRPr="00523A89">
                              <w:rPr>
                                <w:rFonts w:ascii="Calibri" w:eastAsia="黑体" w:hAnsi="Calibri" w:hint="eastAsia"/>
                                <w:b/>
                                <w:color w:val="auto"/>
                                <w:sz w:val="24"/>
                                <w:u w:val="single"/>
                              </w:rPr>
                              <w:t xml:space="preserve">   </w:t>
                            </w:r>
                            <w:r w:rsidRPr="00523A89">
                              <w:rPr>
                                <w:rFonts w:hint="eastAsia"/>
                                <w:b/>
                                <w:u w:val="single"/>
                              </w:rPr>
                              <w:t xml:space="preserve">  </w:t>
                            </w:r>
                            <w:r w:rsidRPr="00523A89">
                              <w:rPr>
                                <w:rFonts w:ascii="Calibri" w:eastAsia="黑体" w:hAnsi="Calibri" w:hint="eastAsia"/>
                                <w:b/>
                                <w:color w:val="auto"/>
                                <w:sz w:val="24"/>
                                <w:u w:val="single"/>
                              </w:rPr>
                              <w:t>透明尼龙切片二期生产工艺物料</w:t>
                            </w:r>
                            <w:r w:rsidRPr="00523A89">
                              <w:rPr>
                                <w:rFonts w:ascii="Calibri" w:eastAsia="黑体" w:hAnsi="Calibri"/>
                                <w:b/>
                                <w:color w:val="auto"/>
                                <w:sz w:val="24"/>
                                <w:u w:val="single"/>
                              </w:rPr>
                              <w:t>平衡</w:t>
                            </w:r>
                            <w:r w:rsidRPr="00523A89">
                              <w:rPr>
                                <w:rFonts w:ascii="Calibri" w:eastAsia="黑体" w:hAnsi="Calibri" w:hint="eastAsia"/>
                                <w:b/>
                                <w:color w:val="auto"/>
                                <w:sz w:val="24"/>
                                <w:u w:val="single"/>
                              </w:rPr>
                              <w:t>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C10EF" id="Text Box 37818" o:spid="_x0000_s1252" type="#_x0000_t202" style="position:absolute;left:0;text-align:left;margin-left:82.6pt;margin-top:24.2pt;width:330pt;height:40.8pt;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" filled="f" stroked="f">
                <v:textbox>
                  <w:txbxContent>
                    <w:p w14:paraId="10C03AA0" w14:textId="77777777" w:rsidR="00217891" w:rsidRPr="00523A89" w:rsidRDefault="00217891" w:rsidP="00E65B69">
                      <w:pPr>
                        <w:rPr>
                          <w:b/>
                          <w:u w:val="single"/>
                        </w:rPr>
                      </w:pPr>
                      <w:r w:rsidRPr="00523A89">
                        <w:rPr>
                          <w:rFonts w:ascii="Calibri" w:eastAsia="黑体" w:hAnsi="Calibri" w:hint="eastAsia"/>
                          <w:b/>
                          <w:color w:val="auto"/>
                          <w:sz w:val="24"/>
                          <w:u w:val="single"/>
                        </w:rPr>
                        <w:t>图</w:t>
                      </w:r>
                      <w:r w:rsidRPr="00523A89">
                        <w:rPr>
                          <w:rFonts w:ascii="Calibri" w:eastAsia="黑体" w:hAnsi="Calibri" w:hint="eastAsia"/>
                          <w:b/>
                          <w:color w:val="auto"/>
                          <w:sz w:val="24"/>
                          <w:u w:val="single"/>
                        </w:rPr>
                        <w:t>2.2-</w:t>
                      </w:r>
                      <w:r w:rsidRPr="00523A89">
                        <w:rPr>
                          <w:rFonts w:ascii="Calibri" w:eastAsia="黑体" w:hAnsi="Calibri"/>
                          <w:b/>
                          <w:color w:val="auto"/>
                          <w:sz w:val="24"/>
                          <w:u w:val="single"/>
                        </w:rPr>
                        <w:t>3</w:t>
                      </w:r>
                      <w:r w:rsidRPr="00523A89">
                        <w:rPr>
                          <w:rFonts w:ascii="Calibri" w:eastAsia="黑体" w:hAnsi="Calibri" w:hint="eastAsia"/>
                          <w:b/>
                          <w:color w:val="auto"/>
                          <w:sz w:val="24"/>
                          <w:u w:val="single"/>
                        </w:rPr>
                        <w:t xml:space="preserve">   </w:t>
                      </w:r>
                      <w:r w:rsidRPr="00523A89">
                        <w:rPr>
                          <w:rFonts w:hint="eastAsia"/>
                          <w:b/>
                          <w:u w:val="single"/>
                        </w:rPr>
                        <w:t xml:space="preserve">  </w:t>
                      </w:r>
                      <w:r w:rsidRPr="00523A89">
                        <w:rPr>
                          <w:rFonts w:ascii="Calibri" w:eastAsia="黑体" w:hAnsi="Calibri" w:hint="eastAsia"/>
                          <w:b/>
                          <w:color w:val="auto"/>
                          <w:sz w:val="24"/>
                          <w:u w:val="single"/>
                        </w:rPr>
                        <w:t>透明尼龙切片二期生产工艺物料</w:t>
                      </w:r>
                      <w:r w:rsidRPr="00523A89">
                        <w:rPr>
                          <w:rFonts w:ascii="Calibri" w:eastAsia="黑体" w:hAnsi="Calibri"/>
                          <w:b/>
                          <w:color w:val="auto"/>
                          <w:sz w:val="24"/>
                          <w:u w:val="single"/>
                        </w:rPr>
                        <w:t>平衡</w:t>
                      </w:r>
                      <w:r w:rsidRPr="00523A89">
                        <w:rPr>
                          <w:rFonts w:ascii="Calibri" w:eastAsia="黑体" w:hAnsi="Calibri" w:hint="eastAsia"/>
                          <w:b/>
                          <w:color w:val="auto"/>
                          <w:sz w:val="24"/>
                          <w:u w:val="single"/>
                        </w:rPr>
                        <w:t>图</w:t>
                      </w:r>
                    </w:p>
                  </w:txbxContent>
                </v:textbox>
              </v:shape>
            </w:pict>
          </mc:Fallback>
        </mc:AlternateContent>
      </w:r>
    </w:p>
    <w:p w14:paraId="2AB486F8" w14:textId="77777777" w:rsidR="00B10481" w:rsidRDefault="00B10481" w:rsidP="00B10481">
      <w:pPr>
        <w:spacing w:line="500" w:lineRule="exact"/>
        <w:rPr>
          <w:rFonts w:asciiTheme="minorHAnsi" w:eastAsiaTheme="minorEastAsia" w:hAnsiTheme="minorHAnsi" w:cstheme="minorHAnsi"/>
          <w:b/>
          <w:color w:val="auto"/>
          <w:sz w:val="24"/>
        </w:rPr>
      </w:pPr>
    </w:p>
    <w:p w14:paraId="6AAA971B" w14:textId="77777777" w:rsidR="00E65B69" w:rsidRDefault="00E65B69" w:rsidP="00E65B69">
      <w:pPr>
        <w:spacing w:line="520" w:lineRule="exact"/>
        <w:ind w:firstLineChars="200" w:firstLine="480"/>
        <w:rPr>
          <w:rFonts w:ascii="Calibri" w:hAnsi="Calibri"/>
          <w:color w:val="auto"/>
          <w:sz w:val="24"/>
        </w:rPr>
      </w:pPr>
      <w:r>
        <w:rPr>
          <w:rFonts w:ascii="Calibri" w:hAnsi="Calibri" w:hint="eastAsia"/>
          <w:color w:val="auto"/>
          <w:sz w:val="24"/>
        </w:rPr>
        <w:lastRenderedPageBreak/>
        <w:t>（</w:t>
      </w:r>
      <w:r>
        <w:rPr>
          <w:rFonts w:ascii="Calibri" w:hAnsi="Calibri"/>
          <w:color w:val="auto"/>
          <w:sz w:val="24"/>
        </w:rPr>
        <w:t>3</w:t>
      </w:r>
      <w:r>
        <w:rPr>
          <w:rFonts w:ascii="Calibri" w:hAnsi="Calibri" w:hint="eastAsia"/>
          <w:color w:val="auto"/>
          <w:sz w:val="24"/>
        </w:rPr>
        <w:t>）一期</w:t>
      </w:r>
      <w:r>
        <w:rPr>
          <w:rFonts w:ascii="Calibri" w:hAnsi="Calibri"/>
          <w:color w:val="auto"/>
          <w:sz w:val="24"/>
        </w:rPr>
        <w:t>、</w:t>
      </w:r>
      <w:r>
        <w:rPr>
          <w:rFonts w:ascii="Calibri" w:hAnsi="Calibri" w:hint="eastAsia"/>
          <w:color w:val="auto"/>
          <w:sz w:val="24"/>
        </w:rPr>
        <w:t>二期</w:t>
      </w:r>
      <w:r>
        <w:rPr>
          <w:rFonts w:ascii="Calibri" w:hAnsi="Calibri"/>
          <w:color w:val="auto"/>
          <w:sz w:val="24"/>
        </w:rPr>
        <w:t>工程</w:t>
      </w:r>
    </w:p>
    <w:p w14:paraId="2D73DDCC" w14:textId="77777777" w:rsidR="00C658AC" w:rsidRDefault="00E65B69" w:rsidP="00C658AC">
      <w:pPr>
        <w:spacing w:line="520" w:lineRule="exact"/>
        <w:ind w:firstLineChars="200" w:firstLine="480"/>
        <w:rPr>
          <w:rFonts w:ascii="Calibri" w:hAnsi="Calibri"/>
          <w:color w:val="auto"/>
          <w:sz w:val="24"/>
        </w:rPr>
      </w:pPr>
      <w:r w:rsidRPr="00B30095">
        <w:rPr>
          <w:rFonts w:ascii="Calibri" w:hAnsi="Calibri" w:hint="eastAsia"/>
          <w:color w:val="auto"/>
          <w:sz w:val="24"/>
        </w:rPr>
        <w:t>项目</w:t>
      </w:r>
      <w:r>
        <w:rPr>
          <w:rFonts w:ascii="Calibri" w:hAnsi="Calibri" w:hint="eastAsia"/>
          <w:color w:val="auto"/>
          <w:sz w:val="24"/>
        </w:rPr>
        <w:t>一期</w:t>
      </w:r>
      <w:r>
        <w:rPr>
          <w:rFonts w:ascii="Calibri" w:hAnsi="Calibri"/>
          <w:color w:val="auto"/>
          <w:sz w:val="24"/>
        </w:rPr>
        <w:t>、二期</w:t>
      </w:r>
      <w:r w:rsidRPr="00B30095">
        <w:rPr>
          <w:rFonts w:ascii="Calibri" w:hAnsi="Calibri" w:hint="eastAsia"/>
          <w:color w:val="auto"/>
          <w:sz w:val="24"/>
        </w:rPr>
        <w:t>正常运营后需要原料为尼龙</w:t>
      </w:r>
      <w:r w:rsidRPr="00B30095">
        <w:rPr>
          <w:rFonts w:ascii="Calibri" w:hAnsi="Calibri" w:hint="eastAsia"/>
          <w:color w:val="auto"/>
          <w:sz w:val="24"/>
        </w:rPr>
        <w:t>66</w:t>
      </w:r>
      <w:r w:rsidRPr="00B30095">
        <w:rPr>
          <w:rFonts w:ascii="Calibri" w:hAnsi="Calibri" w:hint="eastAsia"/>
          <w:color w:val="auto"/>
          <w:sz w:val="24"/>
        </w:rPr>
        <w:t>盐溶液</w:t>
      </w:r>
      <w:r>
        <w:rPr>
          <w:rFonts w:ascii="Calibri" w:hAnsi="Calibri" w:hint="eastAsia"/>
          <w:color w:val="auto"/>
          <w:sz w:val="24"/>
        </w:rPr>
        <w:t>（</w:t>
      </w:r>
      <w:r>
        <w:rPr>
          <w:rFonts w:ascii="Calibri" w:hAnsi="Calibri" w:hint="eastAsia"/>
          <w:color w:val="auto"/>
          <w:sz w:val="24"/>
        </w:rPr>
        <w:t>50%</w:t>
      </w:r>
      <w:r>
        <w:rPr>
          <w:rFonts w:ascii="Calibri" w:hAnsi="Calibri" w:hint="eastAsia"/>
          <w:color w:val="auto"/>
          <w:sz w:val="24"/>
        </w:rPr>
        <w:t>）、</w:t>
      </w:r>
      <w:r w:rsidRPr="00B30095">
        <w:rPr>
          <w:rFonts w:ascii="Calibri" w:hAnsi="Calibri" w:hint="eastAsia"/>
          <w:color w:val="auto"/>
          <w:sz w:val="24"/>
        </w:rPr>
        <w:t>尼龙</w:t>
      </w:r>
      <w:r w:rsidRPr="00B30095">
        <w:rPr>
          <w:rFonts w:ascii="Calibri" w:hAnsi="Calibri" w:hint="eastAsia"/>
          <w:color w:val="auto"/>
          <w:sz w:val="24"/>
        </w:rPr>
        <w:t>12</w:t>
      </w:r>
      <w:r w:rsidRPr="00B30095">
        <w:rPr>
          <w:rFonts w:ascii="Calibri" w:hAnsi="Calibri" w:hint="eastAsia"/>
          <w:color w:val="auto"/>
          <w:sz w:val="24"/>
        </w:rPr>
        <w:t>盐</w:t>
      </w:r>
      <w:r>
        <w:rPr>
          <w:rFonts w:ascii="Calibri" w:hAnsi="Calibri" w:hint="eastAsia"/>
          <w:color w:val="auto"/>
          <w:sz w:val="24"/>
        </w:rPr>
        <w:t>、</w:t>
      </w:r>
      <w:r w:rsidRPr="00B30095">
        <w:rPr>
          <w:rFonts w:ascii="Calibri" w:hAnsi="Calibri" w:hint="eastAsia"/>
          <w:color w:val="auto"/>
          <w:sz w:val="24"/>
        </w:rPr>
        <w:t>尼龙</w:t>
      </w:r>
      <w:r w:rsidRPr="00B30095">
        <w:rPr>
          <w:rFonts w:ascii="Calibri" w:hAnsi="Calibri" w:hint="eastAsia"/>
          <w:color w:val="auto"/>
          <w:sz w:val="24"/>
        </w:rPr>
        <w:t>1010</w:t>
      </w:r>
      <w:r w:rsidRPr="00B30095">
        <w:rPr>
          <w:rFonts w:ascii="Calibri" w:hAnsi="Calibri" w:hint="eastAsia"/>
          <w:color w:val="auto"/>
          <w:sz w:val="24"/>
        </w:rPr>
        <w:t>盐以及少量添加剂</w:t>
      </w:r>
      <w:r>
        <w:rPr>
          <w:rFonts w:ascii="Calibri" w:hAnsi="Calibri" w:hint="eastAsia"/>
          <w:color w:val="auto"/>
          <w:sz w:val="24"/>
        </w:rPr>
        <w:t>（</w:t>
      </w:r>
      <w:r w:rsidRPr="00B30095">
        <w:rPr>
          <w:rFonts w:ascii="Calibri" w:hAnsi="Calibri" w:hint="eastAsia"/>
          <w:color w:val="auto"/>
          <w:sz w:val="24"/>
        </w:rPr>
        <w:t>抗氧剂次磷酸钠</w:t>
      </w:r>
      <w:r>
        <w:rPr>
          <w:rFonts w:ascii="Calibri" w:hAnsi="Calibri" w:hint="eastAsia"/>
          <w:color w:val="auto"/>
          <w:sz w:val="24"/>
        </w:rPr>
        <w:t>），</w:t>
      </w:r>
      <w:r w:rsidRPr="00B30095">
        <w:rPr>
          <w:rFonts w:ascii="Calibri" w:hAnsi="Calibri" w:hint="eastAsia"/>
          <w:color w:val="auto"/>
          <w:sz w:val="24"/>
        </w:rPr>
        <w:t>聚合物浓度</w:t>
      </w:r>
      <w:r w:rsidRPr="00B30095">
        <w:rPr>
          <w:rFonts w:ascii="Calibri" w:hAnsi="Calibri" w:hint="eastAsia"/>
          <w:color w:val="auto"/>
          <w:sz w:val="24"/>
        </w:rPr>
        <w:t>99.</w:t>
      </w:r>
      <w:r>
        <w:rPr>
          <w:rFonts w:ascii="Calibri" w:hAnsi="Calibri"/>
          <w:color w:val="auto"/>
          <w:sz w:val="24"/>
        </w:rPr>
        <w:t>9</w:t>
      </w:r>
      <w:r w:rsidRPr="00B30095">
        <w:rPr>
          <w:rFonts w:ascii="Calibri" w:hAnsi="Calibri" w:hint="eastAsia"/>
          <w:color w:val="auto"/>
          <w:sz w:val="24"/>
        </w:rPr>
        <w:t>%</w:t>
      </w:r>
      <w:r w:rsidRPr="00B30095">
        <w:rPr>
          <w:rFonts w:ascii="Calibri" w:hAnsi="Calibri" w:hint="eastAsia"/>
          <w:color w:val="auto"/>
          <w:sz w:val="24"/>
        </w:rPr>
        <w:t>，根据投入原料量，确定</w:t>
      </w:r>
      <w:r w:rsidR="00C658AC">
        <w:rPr>
          <w:rFonts w:ascii="Calibri" w:hAnsi="Calibri" w:hint="eastAsia"/>
          <w:color w:val="auto"/>
          <w:sz w:val="24"/>
        </w:rPr>
        <w:t>一期</w:t>
      </w:r>
      <w:r w:rsidR="00C658AC">
        <w:rPr>
          <w:rFonts w:ascii="Calibri" w:hAnsi="Calibri"/>
          <w:color w:val="auto"/>
          <w:sz w:val="24"/>
        </w:rPr>
        <w:t>、二期</w:t>
      </w:r>
      <w:r w:rsidRPr="00B30095">
        <w:rPr>
          <w:rFonts w:ascii="Calibri" w:hAnsi="Calibri" w:hint="eastAsia"/>
          <w:color w:val="auto"/>
          <w:sz w:val="24"/>
        </w:rPr>
        <w:t>生产工艺物料平衡一览表见</w:t>
      </w:r>
      <w:r w:rsidRPr="00B30095">
        <w:rPr>
          <w:rFonts w:ascii="Calibri" w:hAnsi="Calibri" w:hint="eastAsia"/>
          <w:color w:val="auto"/>
          <w:sz w:val="24"/>
        </w:rPr>
        <w:t>2.</w:t>
      </w:r>
      <w:r>
        <w:rPr>
          <w:rFonts w:ascii="Calibri" w:hAnsi="Calibri"/>
          <w:color w:val="auto"/>
          <w:sz w:val="24"/>
        </w:rPr>
        <w:t>2</w:t>
      </w:r>
      <w:r w:rsidRPr="00B30095">
        <w:rPr>
          <w:rFonts w:ascii="Calibri" w:hAnsi="Calibri" w:hint="eastAsia"/>
          <w:color w:val="auto"/>
          <w:sz w:val="24"/>
        </w:rPr>
        <w:t>-</w:t>
      </w:r>
      <w:r w:rsidR="00C658AC">
        <w:rPr>
          <w:rFonts w:ascii="Calibri" w:hAnsi="Calibri"/>
          <w:color w:val="auto"/>
          <w:sz w:val="24"/>
        </w:rPr>
        <w:t>6</w:t>
      </w:r>
      <w:r w:rsidRPr="00B30095">
        <w:rPr>
          <w:rFonts w:ascii="Calibri" w:hAnsi="Calibri" w:hint="eastAsia"/>
          <w:color w:val="auto"/>
          <w:sz w:val="24"/>
        </w:rPr>
        <w:t>，</w:t>
      </w:r>
      <w:r w:rsidR="00C658AC" w:rsidRPr="0096614E">
        <w:rPr>
          <w:rFonts w:ascii="Calibri" w:hAnsi="Calibri" w:hint="eastAsia"/>
          <w:color w:val="auto"/>
          <w:sz w:val="24"/>
        </w:rPr>
        <w:t>己二胺物料平衡一览表见</w:t>
      </w:r>
      <w:r w:rsidR="00C658AC" w:rsidRPr="0096614E">
        <w:rPr>
          <w:rFonts w:ascii="Calibri" w:hAnsi="Calibri" w:hint="eastAsia"/>
          <w:color w:val="auto"/>
          <w:sz w:val="24"/>
        </w:rPr>
        <w:t>2.2-</w:t>
      </w:r>
      <w:r w:rsidR="00C658AC">
        <w:rPr>
          <w:rFonts w:ascii="Calibri" w:hAnsi="Calibri"/>
          <w:color w:val="auto"/>
          <w:sz w:val="24"/>
        </w:rPr>
        <w:t>7</w:t>
      </w:r>
      <w:r w:rsidR="00C658AC">
        <w:rPr>
          <w:rFonts w:ascii="Calibri" w:hAnsi="Calibri" w:hint="eastAsia"/>
          <w:color w:val="auto"/>
          <w:sz w:val="24"/>
        </w:rPr>
        <w:t>；一期</w:t>
      </w:r>
      <w:r w:rsidR="00C658AC">
        <w:rPr>
          <w:rFonts w:ascii="Calibri" w:hAnsi="Calibri"/>
          <w:color w:val="auto"/>
          <w:sz w:val="24"/>
        </w:rPr>
        <w:t>、</w:t>
      </w:r>
      <w:r w:rsidR="00C658AC">
        <w:rPr>
          <w:rFonts w:ascii="Calibri" w:hAnsi="Calibri" w:hint="eastAsia"/>
          <w:color w:val="auto"/>
          <w:sz w:val="24"/>
        </w:rPr>
        <w:t>二期总物料平衡</w:t>
      </w:r>
      <w:r w:rsidR="00C658AC" w:rsidRPr="00B30095">
        <w:rPr>
          <w:rFonts w:ascii="Calibri" w:hAnsi="Calibri" w:hint="eastAsia"/>
          <w:color w:val="auto"/>
          <w:sz w:val="24"/>
        </w:rPr>
        <w:t>见</w:t>
      </w:r>
      <w:r w:rsidR="00C658AC">
        <w:rPr>
          <w:rFonts w:ascii="Calibri" w:hAnsi="Calibri" w:hint="eastAsia"/>
          <w:color w:val="auto"/>
          <w:sz w:val="24"/>
        </w:rPr>
        <w:t>图</w:t>
      </w:r>
      <w:r w:rsidR="00C658AC" w:rsidRPr="00B30095">
        <w:rPr>
          <w:rFonts w:ascii="Calibri" w:hAnsi="Calibri" w:hint="eastAsia"/>
          <w:color w:val="auto"/>
          <w:sz w:val="24"/>
        </w:rPr>
        <w:t>2.</w:t>
      </w:r>
      <w:r w:rsidR="00C658AC">
        <w:rPr>
          <w:rFonts w:ascii="Calibri" w:hAnsi="Calibri"/>
          <w:color w:val="auto"/>
          <w:sz w:val="24"/>
        </w:rPr>
        <w:t>2</w:t>
      </w:r>
      <w:r w:rsidR="00C658AC" w:rsidRPr="00B30095">
        <w:rPr>
          <w:rFonts w:ascii="Calibri" w:hAnsi="Calibri" w:hint="eastAsia"/>
          <w:color w:val="auto"/>
          <w:sz w:val="24"/>
        </w:rPr>
        <w:t>-</w:t>
      </w:r>
      <w:r w:rsidR="00C658AC">
        <w:rPr>
          <w:rFonts w:ascii="Calibri" w:hAnsi="Calibri"/>
          <w:color w:val="auto"/>
          <w:sz w:val="24"/>
        </w:rPr>
        <w:t>4</w:t>
      </w:r>
      <w:r w:rsidR="00C658AC" w:rsidRPr="00B30095">
        <w:rPr>
          <w:rFonts w:ascii="Calibri" w:hAnsi="Calibri" w:hint="eastAsia"/>
          <w:color w:val="auto"/>
          <w:sz w:val="24"/>
        </w:rPr>
        <w:t>。</w:t>
      </w:r>
    </w:p>
    <w:p w14:paraId="51109FAB" w14:textId="77777777" w:rsidR="00E65B69" w:rsidRPr="00A964FF" w:rsidRDefault="00E65B69" w:rsidP="00E65B69">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.2</w:t>
      </w:r>
      <w:r w:rsidRPr="00A964FF">
        <w:rPr>
          <w:rFonts w:ascii="Calibri" w:eastAsia="黑体" w:hAnsi="Calibri"/>
          <w:color w:val="auto"/>
          <w:sz w:val="24"/>
        </w:rPr>
        <w:t>-</w:t>
      </w:r>
      <w:r w:rsidR="00C658AC">
        <w:rPr>
          <w:rFonts w:ascii="Calibri" w:eastAsia="黑体" w:hAnsi="Calibri"/>
          <w:color w:val="auto"/>
          <w:sz w:val="24"/>
        </w:rPr>
        <w:t>6</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Pr>
          <w:rFonts w:ascii="Calibri" w:eastAsia="黑体" w:hAnsi="Calibri" w:hint="eastAsia"/>
          <w:color w:val="auto"/>
          <w:sz w:val="24"/>
        </w:rPr>
        <w:t xml:space="preserve">  </w:t>
      </w:r>
      <w:r w:rsidR="0083308C">
        <w:rPr>
          <w:rFonts w:ascii="Calibri" w:eastAsia="黑体" w:hAnsi="Calibri"/>
          <w:color w:val="auto"/>
          <w:sz w:val="24"/>
        </w:rPr>
        <w:t xml:space="preserve"> </w:t>
      </w:r>
      <w:r w:rsidR="0083308C" w:rsidRPr="0083308C">
        <w:rPr>
          <w:rFonts w:ascii="Calibri" w:eastAsia="黑体" w:hAnsi="Calibri" w:hint="eastAsia"/>
          <w:color w:val="auto"/>
          <w:sz w:val="24"/>
        </w:rPr>
        <w:t>透明尼龙</w:t>
      </w:r>
      <w:r>
        <w:rPr>
          <w:rFonts w:ascii="Calibri" w:eastAsia="黑体" w:hAnsi="Calibri" w:hint="eastAsia"/>
          <w:color w:val="auto"/>
          <w:sz w:val="24"/>
        </w:rPr>
        <w:t>切片一期</w:t>
      </w:r>
      <w:r>
        <w:rPr>
          <w:rFonts w:ascii="Calibri" w:eastAsia="黑体" w:hAnsi="Calibri"/>
          <w:color w:val="auto"/>
          <w:sz w:val="24"/>
        </w:rPr>
        <w:t>、</w:t>
      </w:r>
      <w:r>
        <w:rPr>
          <w:rFonts w:ascii="Calibri" w:eastAsia="黑体" w:hAnsi="Calibri" w:hint="eastAsia"/>
          <w:color w:val="auto"/>
          <w:sz w:val="24"/>
        </w:rPr>
        <w:t>二期</w:t>
      </w:r>
      <w:r w:rsidRPr="00A964FF">
        <w:rPr>
          <w:rFonts w:ascii="Calibri" w:eastAsia="黑体" w:hAnsi="Calibri" w:hint="eastAsia"/>
          <w:color w:val="auto"/>
          <w:sz w:val="24"/>
        </w:rPr>
        <w:t>生产</w:t>
      </w:r>
      <w:r>
        <w:rPr>
          <w:rFonts w:ascii="Calibri" w:eastAsia="黑体" w:hAnsi="Calibri" w:hint="eastAsia"/>
          <w:color w:val="auto"/>
          <w:sz w:val="24"/>
        </w:rPr>
        <w:t>工艺物料</w:t>
      </w:r>
      <w:r>
        <w:rPr>
          <w:rFonts w:ascii="Calibri" w:eastAsia="黑体" w:hAnsi="Calibri"/>
          <w:color w:val="auto"/>
          <w:sz w:val="24"/>
        </w:rPr>
        <w:t>平衡</w:t>
      </w:r>
      <w:r>
        <w:rPr>
          <w:rFonts w:ascii="Calibri" w:eastAsia="黑体" w:hAnsi="Calibri" w:hint="eastAsia"/>
          <w:color w:val="auto"/>
          <w:sz w:val="24"/>
        </w:rPr>
        <w:t>一览</w:t>
      </w:r>
      <w:r>
        <w:rPr>
          <w:rFonts w:ascii="Calibri" w:eastAsia="黑体" w:hAnsi="Calibri"/>
          <w:color w:val="auto"/>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168"/>
        <w:gridCol w:w="2530"/>
        <w:gridCol w:w="2377"/>
        <w:gridCol w:w="1625"/>
      </w:tblGrid>
      <w:tr w:rsidR="00E65B69" w:rsidRPr="009F7E71" w14:paraId="587EA2C2" w14:textId="77777777" w:rsidTr="003210FE">
        <w:trPr>
          <w:cantSplit/>
          <w:trHeight w:val="340"/>
          <w:jc w:val="center"/>
        </w:trPr>
        <w:tc>
          <w:tcPr>
            <w:tcW w:w="2700" w:type="pct"/>
            <w:gridSpan w:val="2"/>
            <w:vAlign w:val="center"/>
          </w:tcPr>
          <w:p w14:paraId="05CA44AE" w14:textId="77777777" w:rsidR="00E65B69" w:rsidRPr="009F7E71" w:rsidRDefault="00E65B69" w:rsidP="003210FE">
            <w:pPr>
              <w:jc w:val="center"/>
              <w:rPr>
                <w:rFonts w:ascii="Calibri" w:hAnsi="Calibri"/>
                <w:b/>
                <w:color w:val="auto"/>
                <w:szCs w:val="21"/>
                <w:u w:val="single"/>
              </w:rPr>
            </w:pPr>
            <w:r w:rsidRPr="009F7E71">
              <w:rPr>
                <w:rFonts w:ascii="Calibri"/>
                <w:b/>
                <w:color w:val="auto"/>
                <w:szCs w:val="21"/>
                <w:u w:val="single"/>
              </w:rPr>
              <w:t>输入方</w:t>
            </w:r>
          </w:p>
        </w:tc>
        <w:tc>
          <w:tcPr>
            <w:tcW w:w="2300" w:type="pct"/>
            <w:gridSpan w:val="2"/>
            <w:tcBorders>
              <w:left w:val="single" w:sz="4" w:space="0" w:color="auto"/>
            </w:tcBorders>
            <w:vAlign w:val="center"/>
          </w:tcPr>
          <w:p w14:paraId="3BB98DB8" w14:textId="77777777" w:rsidR="00E65B69" w:rsidRPr="009F7E71" w:rsidRDefault="00E65B69" w:rsidP="003210FE">
            <w:pPr>
              <w:jc w:val="center"/>
              <w:rPr>
                <w:rFonts w:ascii="Calibri" w:hAnsi="Calibri"/>
                <w:b/>
                <w:color w:val="auto"/>
                <w:szCs w:val="21"/>
                <w:u w:val="single"/>
              </w:rPr>
            </w:pPr>
            <w:r w:rsidRPr="009F7E71">
              <w:rPr>
                <w:rFonts w:ascii="Calibri"/>
                <w:b/>
                <w:color w:val="auto"/>
                <w:szCs w:val="21"/>
                <w:u w:val="single"/>
              </w:rPr>
              <w:t>输出方</w:t>
            </w:r>
          </w:p>
        </w:tc>
      </w:tr>
      <w:tr w:rsidR="00E65B69" w:rsidRPr="009F7E71" w14:paraId="50A5AAAA" w14:textId="77777777" w:rsidTr="00C658AC">
        <w:trPr>
          <w:cantSplit/>
          <w:trHeight w:val="340"/>
          <w:jc w:val="center"/>
        </w:trPr>
        <w:tc>
          <w:tcPr>
            <w:tcW w:w="1246" w:type="pct"/>
            <w:vAlign w:val="center"/>
          </w:tcPr>
          <w:p w14:paraId="0D36E14B" w14:textId="77777777" w:rsidR="00E65B69" w:rsidRPr="009F7E71" w:rsidRDefault="00E65B69" w:rsidP="003210FE">
            <w:pPr>
              <w:jc w:val="center"/>
              <w:rPr>
                <w:rFonts w:ascii="Calibri" w:hAnsi="Calibri"/>
                <w:b/>
                <w:color w:val="auto"/>
                <w:szCs w:val="21"/>
                <w:u w:val="single"/>
              </w:rPr>
            </w:pPr>
            <w:r w:rsidRPr="009F7E71">
              <w:rPr>
                <w:rFonts w:ascii="Calibri"/>
                <w:b/>
                <w:color w:val="auto"/>
                <w:szCs w:val="21"/>
                <w:u w:val="single"/>
              </w:rPr>
              <w:t>名称</w:t>
            </w:r>
          </w:p>
        </w:tc>
        <w:tc>
          <w:tcPr>
            <w:tcW w:w="1454" w:type="pct"/>
            <w:vAlign w:val="center"/>
          </w:tcPr>
          <w:p w14:paraId="0D6DB48B" w14:textId="77777777" w:rsidR="00E65B69" w:rsidRPr="009F7E71" w:rsidRDefault="00E65B69" w:rsidP="003210FE">
            <w:pPr>
              <w:jc w:val="center"/>
              <w:rPr>
                <w:rFonts w:ascii="Calibri"/>
                <w:b/>
                <w:color w:val="auto"/>
                <w:szCs w:val="21"/>
                <w:u w:val="single"/>
              </w:rPr>
            </w:pPr>
            <w:r w:rsidRPr="009F7E71">
              <w:rPr>
                <w:rFonts w:ascii="Calibri" w:hint="eastAsia"/>
                <w:b/>
                <w:color w:val="auto"/>
                <w:szCs w:val="21"/>
                <w:u w:val="single"/>
              </w:rPr>
              <w:t>物料消耗（</w:t>
            </w:r>
            <w:r w:rsidRPr="009F7E71">
              <w:rPr>
                <w:rFonts w:ascii="Calibri"/>
                <w:b/>
                <w:color w:val="auto"/>
                <w:szCs w:val="21"/>
                <w:u w:val="single"/>
              </w:rPr>
              <w:t>t</w:t>
            </w:r>
            <w:r w:rsidRPr="009F7E71">
              <w:rPr>
                <w:rFonts w:ascii="Calibri" w:hint="eastAsia"/>
                <w:b/>
                <w:color w:val="auto"/>
                <w:szCs w:val="21"/>
                <w:u w:val="single"/>
              </w:rPr>
              <w:t>/</w:t>
            </w:r>
            <w:r w:rsidRPr="009F7E71">
              <w:rPr>
                <w:rFonts w:ascii="Calibri"/>
                <w:b/>
                <w:color w:val="auto"/>
                <w:szCs w:val="21"/>
                <w:u w:val="single"/>
              </w:rPr>
              <w:t>a</w:t>
            </w:r>
            <w:r w:rsidRPr="009F7E71">
              <w:rPr>
                <w:rFonts w:ascii="Calibri" w:hint="eastAsia"/>
                <w:b/>
                <w:color w:val="auto"/>
                <w:szCs w:val="21"/>
                <w:u w:val="single"/>
              </w:rPr>
              <w:t>）</w:t>
            </w:r>
          </w:p>
        </w:tc>
        <w:tc>
          <w:tcPr>
            <w:tcW w:w="1366" w:type="pct"/>
            <w:tcBorders>
              <w:left w:val="single" w:sz="4" w:space="0" w:color="auto"/>
            </w:tcBorders>
            <w:vAlign w:val="center"/>
          </w:tcPr>
          <w:p w14:paraId="44B3F81C" w14:textId="77777777" w:rsidR="00E65B69" w:rsidRPr="009F7E71" w:rsidRDefault="00E65B69" w:rsidP="003210FE">
            <w:pPr>
              <w:jc w:val="center"/>
              <w:rPr>
                <w:rFonts w:ascii="Calibri" w:hAnsi="Calibri"/>
                <w:b/>
                <w:color w:val="auto"/>
                <w:szCs w:val="21"/>
                <w:u w:val="single"/>
              </w:rPr>
            </w:pPr>
            <w:r w:rsidRPr="009F7E71">
              <w:rPr>
                <w:rFonts w:ascii="Calibri"/>
                <w:b/>
                <w:color w:val="auto"/>
                <w:szCs w:val="21"/>
                <w:u w:val="single"/>
              </w:rPr>
              <w:t>名称</w:t>
            </w:r>
          </w:p>
        </w:tc>
        <w:tc>
          <w:tcPr>
            <w:tcW w:w="934" w:type="pct"/>
            <w:vAlign w:val="center"/>
          </w:tcPr>
          <w:p w14:paraId="47422C2E" w14:textId="77777777" w:rsidR="00E65B69" w:rsidRPr="009F7E71" w:rsidRDefault="00E65B69" w:rsidP="003210FE">
            <w:pPr>
              <w:jc w:val="center"/>
              <w:rPr>
                <w:rFonts w:ascii="Calibri"/>
                <w:b/>
                <w:color w:val="auto"/>
                <w:szCs w:val="21"/>
                <w:u w:val="single"/>
              </w:rPr>
            </w:pPr>
            <w:r w:rsidRPr="009F7E71">
              <w:rPr>
                <w:rFonts w:ascii="Calibri" w:hint="eastAsia"/>
                <w:b/>
                <w:color w:val="auto"/>
                <w:szCs w:val="21"/>
                <w:u w:val="single"/>
              </w:rPr>
              <w:t>数量（</w:t>
            </w:r>
            <w:r w:rsidRPr="009F7E71">
              <w:rPr>
                <w:rFonts w:ascii="Calibri"/>
                <w:b/>
                <w:color w:val="auto"/>
                <w:szCs w:val="21"/>
                <w:u w:val="single"/>
              </w:rPr>
              <w:t>t</w:t>
            </w:r>
            <w:r w:rsidRPr="009F7E71">
              <w:rPr>
                <w:rFonts w:ascii="Calibri" w:hint="eastAsia"/>
                <w:b/>
                <w:color w:val="auto"/>
                <w:szCs w:val="21"/>
                <w:u w:val="single"/>
              </w:rPr>
              <w:t>/</w:t>
            </w:r>
            <w:r w:rsidRPr="009F7E71">
              <w:rPr>
                <w:rFonts w:ascii="Calibri"/>
                <w:b/>
                <w:color w:val="auto"/>
                <w:szCs w:val="21"/>
                <w:u w:val="single"/>
              </w:rPr>
              <w:t>a</w:t>
            </w:r>
            <w:r w:rsidRPr="009F7E71">
              <w:rPr>
                <w:rFonts w:ascii="Calibri" w:hint="eastAsia"/>
                <w:b/>
                <w:color w:val="auto"/>
                <w:szCs w:val="21"/>
                <w:u w:val="single"/>
              </w:rPr>
              <w:t>）</w:t>
            </w:r>
          </w:p>
        </w:tc>
      </w:tr>
      <w:tr w:rsidR="00E65B69" w:rsidRPr="009F7E71" w14:paraId="4E363744" w14:textId="77777777" w:rsidTr="00C658AC">
        <w:trPr>
          <w:cantSplit/>
          <w:trHeight w:val="270"/>
          <w:jc w:val="center"/>
        </w:trPr>
        <w:tc>
          <w:tcPr>
            <w:tcW w:w="1246" w:type="pct"/>
            <w:vMerge w:val="restart"/>
            <w:vAlign w:val="center"/>
          </w:tcPr>
          <w:p w14:paraId="7E91204F" w14:textId="77777777" w:rsidR="00E65B69" w:rsidRPr="009F7E71" w:rsidRDefault="00E65B69" w:rsidP="003210FE">
            <w:pPr>
              <w:jc w:val="center"/>
              <w:rPr>
                <w:rFonts w:ascii="Calibri" w:hAnsi="Calibri"/>
                <w:b/>
                <w:color w:val="auto"/>
                <w:szCs w:val="21"/>
                <w:u w:val="single"/>
              </w:rPr>
            </w:pPr>
            <w:r w:rsidRPr="009F7E71">
              <w:rPr>
                <w:rFonts w:ascii="Calibri" w:hAnsi="Calibri" w:hint="eastAsia"/>
                <w:b/>
                <w:color w:val="auto"/>
                <w:szCs w:val="21"/>
                <w:u w:val="single"/>
              </w:rPr>
              <w:t>尼龙</w:t>
            </w:r>
            <w:r w:rsidRPr="009F7E71">
              <w:rPr>
                <w:rFonts w:ascii="Calibri" w:hAnsi="Calibri" w:hint="eastAsia"/>
                <w:b/>
                <w:color w:val="auto"/>
                <w:szCs w:val="21"/>
                <w:u w:val="single"/>
              </w:rPr>
              <w:t>66</w:t>
            </w:r>
            <w:r w:rsidRPr="009F7E71">
              <w:rPr>
                <w:rFonts w:ascii="Calibri" w:hAnsi="Calibri" w:hint="eastAsia"/>
                <w:b/>
                <w:color w:val="auto"/>
                <w:szCs w:val="21"/>
                <w:u w:val="single"/>
              </w:rPr>
              <w:t>盐溶液（</w:t>
            </w:r>
            <w:r w:rsidRPr="009F7E71">
              <w:rPr>
                <w:rFonts w:ascii="Calibri" w:hAnsi="Calibri" w:hint="eastAsia"/>
                <w:b/>
                <w:color w:val="auto"/>
                <w:szCs w:val="21"/>
                <w:u w:val="single"/>
              </w:rPr>
              <w:t>50%</w:t>
            </w:r>
            <w:r w:rsidRPr="009F7E71">
              <w:rPr>
                <w:rFonts w:ascii="Calibri" w:hAnsi="Calibri" w:hint="eastAsia"/>
                <w:b/>
                <w:color w:val="auto"/>
                <w:szCs w:val="21"/>
                <w:u w:val="single"/>
              </w:rPr>
              <w:t>）</w:t>
            </w:r>
          </w:p>
        </w:tc>
        <w:tc>
          <w:tcPr>
            <w:tcW w:w="1454" w:type="pct"/>
            <w:vMerge w:val="restart"/>
            <w:vAlign w:val="center"/>
          </w:tcPr>
          <w:p w14:paraId="20916DC3" w14:textId="77777777" w:rsidR="00E65B69" w:rsidRPr="009F7E71" w:rsidRDefault="00E65B69" w:rsidP="003210FE">
            <w:pPr>
              <w:jc w:val="center"/>
              <w:rPr>
                <w:rFonts w:ascii="Calibri" w:hAnsi="Calibri"/>
                <w:b/>
                <w:color w:val="auto"/>
                <w:szCs w:val="21"/>
                <w:u w:val="single"/>
              </w:rPr>
            </w:pPr>
            <w:r w:rsidRPr="009F7E71">
              <w:rPr>
                <w:rFonts w:ascii="Calibri" w:hAnsi="Calibri"/>
                <w:b/>
                <w:color w:val="auto"/>
                <w:szCs w:val="21"/>
                <w:u w:val="single"/>
              </w:rPr>
              <w:t>3840</w:t>
            </w:r>
          </w:p>
        </w:tc>
        <w:tc>
          <w:tcPr>
            <w:tcW w:w="1366" w:type="pct"/>
            <w:vAlign w:val="center"/>
          </w:tcPr>
          <w:p w14:paraId="062C9D72" w14:textId="77777777" w:rsidR="00E65B69" w:rsidRPr="009F7E71" w:rsidRDefault="00AF5AB9" w:rsidP="003210FE">
            <w:pPr>
              <w:jc w:val="center"/>
              <w:rPr>
                <w:rFonts w:ascii="Calibri" w:hAnsi="Calibri"/>
                <w:b/>
                <w:color w:val="auto"/>
                <w:szCs w:val="21"/>
                <w:u w:val="single"/>
              </w:rPr>
            </w:pPr>
            <w:r w:rsidRPr="009F7E71">
              <w:rPr>
                <w:rFonts w:ascii="Calibri" w:hAnsi="Calibri" w:hint="eastAsia"/>
                <w:b/>
                <w:color w:val="auto"/>
                <w:szCs w:val="21"/>
                <w:u w:val="single"/>
              </w:rPr>
              <w:t>透明尼龙</w:t>
            </w:r>
            <w:r w:rsidR="00E65B69" w:rsidRPr="009F7E71">
              <w:rPr>
                <w:rFonts w:ascii="Calibri" w:hAnsi="Calibri" w:hint="eastAsia"/>
                <w:b/>
                <w:color w:val="auto"/>
                <w:szCs w:val="21"/>
                <w:u w:val="single"/>
              </w:rPr>
              <w:t>切片</w:t>
            </w:r>
          </w:p>
        </w:tc>
        <w:tc>
          <w:tcPr>
            <w:tcW w:w="934" w:type="pct"/>
            <w:vAlign w:val="center"/>
          </w:tcPr>
          <w:p w14:paraId="78A0DC74" w14:textId="77777777" w:rsidR="00E65B69" w:rsidRPr="009F7E71" w:rsidRDefault="00E65B69" w:rsidP="003210FE">
            <w:pPr>
              <w:jc w:val="center"/>
              <w:rPr>
                <w:rFonts w:ascii="Calibri" w:hAnsi="Calibri"/>
                <w:b/>
                <w:color w:val="auto"/>
                <w:szCs w:val="21"/>
                <w:u w:val="single"/>
              </w:rPr>
            </w:pPr>
            <w:r w:rsidRPr="009F7E71">
              <w:rPr>
                <w:rFonts w:ascii="Calibri" w:hAnsi="Calibri"/>
                <w:b/>
                <w:color w:val="auto"/>
                <w:u w:val="single"/>
              </w:rPr>
              <w:t>4000</w:t>
            </w:r>
          </w:p>
        </w:tc>
      </w:tr>
      <w:tr w:rsidR="00E65B69" w:rsidRPr="009F7E71" w14:paraId="2A9374A9" w14:textId="77777777" w:rsidTr="00C658AC">
        <w:trPr>
          <w:cantSplit/>
          <w:trHeight w:val="270"/>
          <w:jc w:val="center"/>
        </w:trPr>
        <w:tc>
          <w:tcPr>
            <w:tcW w:w="1246" w:type="pct"/>
            <w:vMerge/>
            <w:vAlign w:val="center"/>
          </w:tcPr>
          <w:p w14:paraId="10F2FF8D" w14:textId="77777777" w:rsidR="00E65B69" w:rsidRPr="009F7E71" w:rsidRDefault="00E65B69" w:rsidP="003210FE">
            <w:pPr>
              <w:jc w:val="center"/>
              <w:rPr>
                <w:rFonts w:ascii="Calibri" w:hAnsi="Calibri"/>
                <w:b/>
                <w:color w:val="auto"/>
                <w:szCs w:val="21"/>
                <w:u w:val="single"/>
              </w:rPr>
            </w:pPr>
          </w:p>
        </w:tc>
        <w:tc>
          <w:tcPr>
            <w:tcW w:w="1454" w:type="pct"/>
            <w:vMerge/>
            <w:vAlign w:val="center"/>
          </w:tcPr>
          <w:p w14:paraId="55428183" w14:textId="77777777" w:rsidR="00E65B69" w:rsidRPr="009F7E71" w:rsidRDefault="00E65B69" w:rsidP="003210FE">
            <w:pPr>
              <w:jc w:val="center"/>
              <w:rPr>
                <w:rFonts w:ascii="Calibri" w:hAnsi="Calibri"/>
                <w:b/>
                <w:color w:val="auto"/>
                <w:szCs w:val="21"/>
                <w:u w:val="single"/>
              </w:rPr>
            </w:pPr>
          </w:p>
        </w:tc>
        <w:tc>
          <w:tcPr>
            <w:tcW w:w="1366" w:type="pct"/>
            <w:vAlign w:val="center"/>
          </w:tcPr>
          <w:p w14:paraId="736F6EC1" w14:textId="77777777" w:rsidR="00E65B69" w:rsidRPr="009F7E71" w:rsidRDefault="00AF5AB9" w:rsidP="003210FE">
            <w:pPr>
              <w:jc w:val="center"/>
              <w:rPr>
                <w:rFonts w:ascii="Calibri" w:hAnsi="Calibri"/>
                <w:b/>
                <w:color w:val="auto"/>
                <w:szCs w:val="21"/>
                <w:u w:val="single"/>
              </w:rPr>
            </w:pPr>
            <w:r w:rsidRPr="009F7E71">
              <w:rPr>
                <w:rFonts w:ascii="Calibri" w:hAnsi="Calibri" w:hint="eastAsia"/>
                <w:b/>
                <w:color w:val="auto"/>
                <w:szCs w:val="21"/>
                <w:u w:val="single"/>
              </w:rPr>
              <w:t>透明尼龙</w:t>
            </w:r>
            <w:r w:rsidR="00E65B69" w:rsidRPr="009F7E71">
              <w:rPr>
                <w:rFonts w:ascii="Calibri" w:hAnsi="Calibri" w:hint="eastAsia"/>
                <w:b/>
                <w:color w:val="auto"/>
                <w:szCs w:val="21"/>
                <w:u w:val="single"/>
              </w:rPr>
              <w:t>切片次品</w:t>
            </w:r>
          </w:p>
        </w:tc>
        <w:tc>
          <w:tcPr>
            <w:tcW w:w="934" w:type="pct"/>
            <w:vAlign w:val="center"/>
          </w:tcPr>
          <w:p w14:paraId="14F8DF19" w14:textId="77777777" w:rsidR="00E65B69" w:rsidRPr="009F7E71" w:rsidRDefault="00A86586" w:rsidP="003210FE">
            <w:pPr>
              <w:jc w:val="center"/>
              <w:rPr>
                <w:rFonts w:ascii="Calibri" w:hAnsi="Calibri"/>
                <w:b/>
                <w:color w:val="auto"/>
                <w:u w:val="single"/>
              </w:rPr>
            </w:pPr>
            <w:r w:rsidRPr="009F7E71">
              <w:rPr>
                <w:rFonts w:ascii="Calibri" w:hAnsi="Calibri"/>
                <w:b/>
                <w:color w:val="auto"/>
                <w:u w:val="single"/>
              </w:rPr>
              <w:t>24.714</w:t>
            </w:r>
          </w:p>
        </w:tc>
      </w:tr>
      <w:tr w:rsidR="00E65B69" w:rsidRPr="009F7E71" w14:paraId="51E4F546" w14:textId="77777777" w:rsidTr="00C658AC">
        <w:trPr>
          <w:cantSplit/>
          <w:trHeight w:val="340"/>
          <w:jc w:val="center"/>
        </w:trPr>
        <w:tc>
          <w:tcPr>
            <w:tcW w:w="1246" w:type="pct"/>
            <w:vAlign w:val="center"/>
          </w:tcPr>
          <w:p w14:paraId="75EF422C" w14:textId="77777777" w:rsidR="00E65B69" w:rsidRPr="009F7E71" w:rsidRDefault="00E65B69" w:rsidP="003210FE">
            <w:pPr>
              <w:jc w:val="center"/>
              <w:rPr>
                <w:rFonts w:ascii="Calibri" w:hAnsi="Calibri"/>
                <w:b/>
                <w:color w:val="auto"/>
                <w:szCs w:val="21"/>
                <w:u w:val="single"/>
              </w:rPr>
            </w:pPr>
            <w:r w:rsidRPr="009F7E71">
              <w:rPr>
                <w:rFonts w:ascii="Calibri" w:hAnsi="Calibri" w:hint="eastAsia"/>
                <w:b/>
                <w:color w:val="auto"/>
                <w:szCs w:val="21"/>
                <w:u w:val="single"/>
              </w:rPr>
              <w:t>尼龙</w:t>
            </w:r>
            <w:r w:rsidRPr="009F7E71">
              <w:rPr>
                <w:rFonts w:ascii="Calibri" w:hAnsi="Calibri" w:hint="eastAsia"/>
                <w:b/>
                <w:color w:val="auto"/>
                <w:szCs w:val="21"/>
                <w:u w:val="single"/>
              </w:rPr>
              <w:t>12</w:t>
            </w:r>
            <w:r w:rsidRPr="009F7E71">
              <w:rPr>
                <w:rFonts w:ascii="Calibri" w:hAnsi="Calibri" w:hint="eastAsia"/>
                <w:b/>
                <w:color w:val="auto"/>
                <w:szCs w:val="21"/>
                <w:u w:val="single"/>
              </w:rPr>
              <w:t>盐</w:t>
            </w:r>
          </w:p>
        </w:tc>
        <w:tc>
          <w:tcPr>
            <w:tcW w:w="1454" w:type="pct"/>
            <w:vAlign w:val="center"/>
          </w:tcPr>
          <w:p w14:paraId="76CA7676" w14:textId="77777777" w:rsidR="00E65B69" w:rsidRPr="009F7E71" w:rsidRDefault="00E65B69" w:rsidP="003210FE">
            <w:pPr>
              <w:jc w:val="center"/>
              <w:rPr>
                <w:rFonts w:ascii="Calibri" w:hAnsi="Calibri"/>
                <w:b/>
                <w:color w:val="auto"/>
                <w:szCs w:val="21"/>
                <w:u w:val="single"/>
              </w:rPr>
            </w:pPr>
            <w:r w:rsidRPr="009F7E71">
              <w:rPr>
                <w:rFonts w:ascii="Calibri" w:hAnsi="Calibri"/>
                <w:b/>
                <w:color w:val="auto"/>
                <w:szCs w:val="21"/>
                <w:u w:val="single"/>
              </w:rPr>
              <w:t>1920</w:t>
            </w:r>
          </w:p>
        </w:tc>
        <w:tc>
          <w:tcPr>
            <w:tcW w:w="1366" w:type="pct"/>
            <w:vAlign w:val="center"/>
          </w:tcPr>
          <w:p w14:paraId="502F7D09" w14:textId="77777777" w:rsidR="00E65B69" w:rsidRPr="009F7E71" w:rsidRDefault="00E65B69" w:rsidP="003210FE">
            <w:pPr>
              <w:jc w:val="center"/>
              <w:rPr>
                <w:rFonts w:ascii="Calibri" w:hAnsi="Calibri"/>
                <w:b/>
                <w:color w:val="auto"/>
                <w:szCs w:val="21"/>
                <w:u w:val="single"/>
              </w:rPr>
            </w:pPr>
            <w:r w:rsidRPr="009F7E71">
              <w:rPr>
                <w:rFonts w:ascii="Calibri" w:hAnsi="Calibri" w:hint="eastAsia"/>
                <w:b/>
                <w:color w:val="auto"/>
                <w:szCs w:val="21"/>
                <w:u w:val="single"/>
              </w:rPr>
              <w:t>废气带走</w:t>
            </w:r>
          </w:p>
        </w:tc>
        <w:tc>
          <w:tcPr>
            <w:tcW w:w="934" w:type="pct"/>
            <w:vAlign w:val="center"/>
          </w:tcPr>
          <w:p w14:paraId="48DC98F6" w14:textId="77777777" w:rsidR="00E65B69" w:rsidRPr="009F7E71" w:rsidRDefault="00A86586" w:rsidP="003210FE">
            <w:pPr>
              <w:jc w:val="center"/>
              <w:rPr>
                <w:rFonts w:ascii="Calibri" w:hAnsi="Calibri"/>
                <w:b/>
                <w:color w:val="auto"/>
                <w:szCs w:val="21"/>
                <w:u w:val="single"/>
              </w:rPr>
            </w:pPr>
            <w:r w:rsidRPr="009F7E71">
              <w:rPr>
                <w:rFonts w:ascii="Calibri" w:hAnsi="Calibri"/>
                <w:b/>
                <w:color w:val="auto"/>
                <w:szCs w:val="21"/>
                <w:u w:val="single"/>
              </w:rPr>
              <w:t>18.645</w:t>
            </w:r>
          </w:p>
        </w:tc>
      </w:tr>
      <w:tr w:rsidR="00E65B69" w:rsidRPr="009F7E71" w14:paraId="4159807E" w14:textId="77777777" w:rsidTr="00C658AC">
        <w:trPr>
          <w:cantSplit/>
          <w:trHeight w:val="340"/>
          <w:jc w:val="center"/>
        </w:trPr>
        <w:tc>
          <w:tcPr>
            <w:tcW w:w="1246" w:type="pct"/>
            <w:vAlign w:val="center"/>
          </w:tcPr>
          <w:p w14:paraId="57A26B73" w14:textId="77777777" w:rsidR="00E65B69" w:rsidRPr="009F7E71" w:rsidRDefault="00E65B69" w:rsidP="003210FE">
            <w:pPr>
              <w:jc w:val="center"/>
              <w:rPr>
                <w:rFonts w:ascii="Calibri" w:hAnsi="Calibri"/>
                <w:b/>
                <w:color w:val="auto"/>
                <w:szCs w:val="21"/>
                <w:u w:val="single"/>
              </w:rPr>
            </w:pPr>
            <w:r w:rsidRPr="009F7E71">
              <w:rPr>
                <w:rFonts w:ascii="Calibri" w:hAnsi="Calibri" w:hint="eastAsia"/>
                <w:b/>
                <w:color w:val="auto"/>
                <w:szCs w:val="21"/>
                <w:u w:val="single"/>
              </w:rPr>
              <w:t>尼龙</w:t>
            </w:r>
            <w:r w:rsidRPr="009F7E71">
              <w:rPr>
                <w:rFonts w:ascii="Calibri" w:hAnsi="Calibri" w:hint="eastAsia"/>
                <w:b/>
                <w:color w:val="auto"/>
                <w:szCs w:val="21"/>
                <w:u w:val="single"/>
              </w:rPr>
              <w:t>1010</w:t>
            </w:r>
            <w:r w:rsidRPr="009F7E71">
              <w:rPr>
                <w:rFonts w:ascii="Calibri" w:hAnsi="Calibri" w:hint="eastAsia"/>
                <w:b/>
                <w:color w:val="auto"/>
                <w:szCs w:val="21"/>
                <w:u w:val="single"/>
              </w:rPr>
              <w:t>盐</w:t>
            </w:r>
          </w:p>
        </w:tc>
        <w:tc>
          <w:tcPr>
            <w:tcW w:w="1454" w:type="pct"/>
            <w:vAlign w:val="center"/>
          </w:tcPr>
          <w:p w14:paraId="0D00FFA2" w14:textId="77777777" w:rsidR="00E65B69" w:rsidRPr="009F7E71" w:rsidRDefault="00E65B69" w:rsidP="003210FE">
            <w:pPr>
              <w:jc w:val="center"/>
              <w:rPr>
                <w:rFonts w:ascii="Calibri" w:hAnsi="Calibri"/>
                <w:b/>
                <w:color w:val="auto"/>
                <w:szCs w:val="21"/>
                <w:u w:val="single"/>
              </w:rPr>
            </w:pPr>
            <w:r w:rsidRPr="009F7E71">
              <w:rPr>
                <w:rFonts w:ascii="Calibri" w:hAnsi="Calibri"/>
                <w:b/>
                <w:color w:val="auto"/>
                <w:szCs w:val="21"/>
                <w:u w:val="single"/>
              </w:rPr>
              <w:t>480</w:t>
            </w:r>
          </w:p>
        </w:tc>
        <w:tc>
          <w:tcPr>
            <w:tcW w:w="1366" w:type="pct"/>
            <w:vAlign w:val="center"/>
          </w:tcPr>
          <w:p w14:paraId="7A5BB00E" w14:textId="77777777" w:rsidR="00E65B69" w:rsidRPr="009F7E71" w:rsidRDefault="00E65B69" w:rsidP="003210FE">
            <w:pPr>
              <w:jc w:val="center"/>
              <w:rPr>
                <w:rFonts w:ascii="Calibri" w:hAnsi="Calibri"/>
                <w:b/>
                <w:color w:val="auto"/>
                <w:szCs w:val="21"/>
                <w:u w:val="single"/>
              </w:rPr>
            </w:pPr>
            <w:r w:rsidRPr="009F7E71">
              <w:rPr>
                <w:rFonts w:ascii="Calibri" w:hAnsi="Calibri" w:hint="eastAsia"/>
                <w:b/>
                <w:color w:val="auto"/>
                <w:szCs w:val="21"/>
                <w:u w:val="single"/>
              </w:rPr>
              <w:t>废水</w:t>
            </w:r>
          </w:p>
        </w:tc>
        <w:tc>
          <w:tcPr>
            <w:tcW w:w="934" w:type="pct"/>
            <w:vAlign w:val="center"/>
          </w:tcPr>
          <w:p w14:paraId="2A7E10DC" w14:textId="77777777" w:rsidR="00E65B69" w:rsidRPr="009F7E71" w:rsidRDefault="00A86586" w:rsidP="003210FE">
            <w:pPr>
              <w:jc w:val="center"/>
              <w:rPr>
                <w:rFonts w:ascii="Calibri" w:hAnsi="Calibri"/>
                <w:b/>
                <w:color w:val="auto"/>
                <w:szCs w:val="21"/>
                <w:u w:val="single"/>
              </w:rPr>
            </w:pPr>
            <w:r w:rsidRPr="009F7E71">
              <w:rPr>
                <w:rFonts w:ascii="Calibri" w:hAnsi="Calibri"/>
                <w:b/>
                <w:color w:val="auto"/>
                <w:szCs w:val="21"/>
                <w:u w:val="single"/>
              </w:rPr>
              <w:t>2887.941</w:t>
            </w:r>
          </w:p>
        </w:tc>
      </w:tr>
      <w:tr w:rsidR="00E65B69" w:rsidRPr="009F7E71" w14:paraId="144FE013" w14:textId="77777777" w:rsidTr="00C658AC">
        <w:trPr>
          <w:cantSplit/>
          <w:trHeight w:val="340"/>
          <w:jc w:val="center"/>
        </w:trPr>
        <w:tc>
          <w:tcPr>
            <w:tcW w:w="1246" w:type="pct"/>
            <w:vAlign w:val="center"/>
          </w:tcPr>
          <w:p w14:paraId="21A340EF" w14:textId="77777777" w:rsidR="00E65B69" w:rsidRPr="009F7E71" w:rsidRDefault="00E65B69" w:rsidP="003210FE">
            <w:pPr>
              <w:jc w:val="center"/>
              <w:rPr>
                <w:rFonts w:ascii="Calibri" w:hAnsi="Calibri"/>
                <w:b/>
                <w:color w:val="auto"/>
                <w:szCs w:val="21"/>
                <w:u w:val="single"/>
              </w:rPr>
            </w:pPr>
            <w:r w:rsidRPr="009F7E71">
              <w:rPr>
                <w:rFonts w:ascii="Calibri" w:hAnsi="Calibri" w:hint="eastAsia"/>
                <w:b/>
                <w:color w:val="auto"/>
                <w:szCs w:val="21"/>
                <w:u w:val="single"/>
              </w:rPr>
              <w:t>次磷酸钠</w:t>
            </w:r>
          </w:p>
        </w:tc>
        <w:tc>
          <w:tcPr>
            <w:tcW w:w="1454" w:type="pct"/>
            <w:vAlign w:val="center"/>
          </w:tcPr>
          <w:p w14:paraId="0EFEDE87" w14:textId="77777777" w:rsidR="00E65B69" w:rsidRPr="009F7E71" w:rsidRDefault="00E65B69" w:rsidP="003210FE">
            <w:pPr>
              <w:jc w:val="center"/>
              <w:rPr>
                <w:rFonts w:ascii="Calibri" w:hAnsi="Calibri"/>
                <w:b/>
                <w:color w:val="auto"/>
                <w:szCs w:val="21"/>
                <w:u w:val="single"/>
              </w:rPr>
            </w:pPr>
            <w:r w:rsidRPr="009F7E71">
              <w:rPr>
                <w:rFonts w:ascii="Calibri" w:hAnsi="Calibri"/>
                <w:b/>
                <w:color w:val="auto"/>
                <w:szCs w:val="21"/>
                <w:u w:val="single"/>
              </w:rPr>
              <w:t>0.3</w:t>
            </w:r>
          </w:p>
        </w:tc>
        <w:tc>
          <w:tcPr>
            <w:tcW w:w="1366" w:type="pct"/>
            <w:vAlign w:val="center"/>
          </w:tcPr>
          <w:p w14:paraId="62ABA261" w14:textId="77777777" w:rsidR="00E65B69" w:rsidRPr="009F7E71" w:rsidRDefault="00E65B69" w:rsidP="003210FE">
            <w:pPr>
              <w:jc w:val="center"/>
              <w:rPr>
                <w:rFonts w:ascii="Calibri" w:hAnsi="Calibri"/>
                <w:b/>
                <w:color w:val="auto"/>
                <w:szCs w:val="21"/>
                <w:u w:val="single"/>
              </w:rPr>
            </w:pPr>
          </w:p>
        </w:tc>
        <w:tc>
          <w:tcPr>
            <w:tcW w:w="934" w:type="pct"/>
            <w:vAlign w:val="center"/>
          </w:tcPr>
          <w:p w14:paraId="6D814C0F" w14:textId="77777777" w:rsidR="00E65B69" w:rsidRPr="009F7E71" w:rsidRDefault="00E65B69" w:rsidP="003210FE">
            <w:pPr>
              <w:jc w:val="center"/>
              <w:rPr>
                <w:rFonts w:ascii="Calibri" w:hAnsi="Calibri"/>
                <w:b/>
                <w:color w:val="auto"/>
                <w:szCs w:val="21"/>
                <w:u w:val="single"/>
              </w:rPr>
            </w:pPr>
          </w:p>
        </w:tc>
      </w:tr>
      <w:tr w:rsidR="00E65B69" w:rsidRPr="009F7E71" w14:paraId="3FEE0CD4" w14:textId="77777777" w:rsidTr="00C658AC">
        <w:trPr>
          <w:cantSplit/>
          <w:trHeight w:val="340"/>
          <w:jc w:val="center"/>
        </w:trPr>
        <w:tc>
          <w:tcPr>
            <w:tcW w:w="1246" w:type="pct"/>
            <w:vAlign w:val="center"/>
          </w:tcPr>
          <w:p w14:paraId="5753FFDC" w14:textId="77777777" w:rsidR="00E65B69" w:rsidRPr="009F7E71" w:rsidRDefault="00E65B69" w:rsidP="003210FE">
            <w:pPr>
              <w:jc w:val="center"/>
              <w:rPr>
                <w:rFonts w:ascii="Calibri" w:hAnsi="Calibri"/>
                <w:b/>
                <w:color w:val="auto"/>
                <w:szCs w:val="21"/>
                <w:u w:val="single"/>
              </w:rPr>
            </w:pPr>
            <w:r w:rsidRPr="009F7E71">
              <w:rPr>
                <w:rFonts w:ascii="Calibri" w:hAnsi="Calibri" w:hint="eastAsia"/>
                <w:b/>
                <w:color w:val="auto"/>
                <w:szCs w:val="21"/>
                <w:u w:val="single"/>
              </w:rPr>
              <w:t>制</w:t>
            </w:r>
            <w:r w:rsidRPr="009F7E71">
              <w:rPr>
                <w:rFonts w:ascii="Calibri" w:hAnsi="Calibri"/>
                <w:b/>
                <w:color w:val="auto"/>
                <w:szCs w:val="21"/>
                <w:u w:val="single"/>
              </w:rPr>
              <w:t>粒</w:t>
            </w:r>
            <w:r w:rsidRPr="009F7E71">
              <w:rPr>
                <w:rFonts w:ascii="Calibri" w:hAnsi="Calibri" w:hint="eastAsia"/>
                <w:b/>
                <w:color w:val="auto"/>
                <w:szCs w:val="21"/>
                <w:u w:val="single"/>
              </w:rPr>
              <w:t>冷却</w:t>
            </w:r>
            <w:r w:rsidRPr="009F7E71">
              <w:rPr>
                <w:rFonts w:ascii="Calibri" w:hAnsi="Calibri"/>
                <w:b/>
                <w:color w:val="auto"/>
                <w:szCs w:val="21"/>
                <w:u w:val="single"/>
              </w:rPr>
              <w:t>纯水</w:t>
            </w:r>
          </w:p>
        </w:tc>
        <w:tc>
          <w:tcPr>
            <w:tcW w:w="1454" w:type="pct"/>
            <w:vAlign w:val="center"/>
          </w:tcPr>
          <w:p w14:paraId="4C8B7549" w14:textId="77777777" w:rsidR="00E65B69" w:rsidRPr="009F7E71" w:rsidRDefault="00040A38" w:rsidP="003210FE">
            <w:pPr>
              <w:jc w:val="center"/>
              <w:rPr>
                <w:rFonts w:ascii="Calibri" w:hAnsi="Calibri"/>
                <w:b/>
                <w:color w:val="auto"/>
                <w:szCs w:val="21"/>
                <w:u w:val="single"/>
              </w:rPr>
            </w:pPr>
            <w:r w:rsidRPr="009F7E71">
              <w:rPr>
                <w:rFonts w:ascii="Calibri" w:hAnsi="Calibri"/>
                <w:b/>
                <w:color w:val="auto"/>
                <w:szCs w:val="21"/>
                <w:u w:val="single"/>
              </w:rPr>
              <w:t>206</w:t>
            </w:r>
          </w:p>
        </w:tc>
        <w:tc>
          <w:tcPr>
            <w:tcW w:w="1366" w:type="pct"/>
            <w:vAlign w:val="center"/>
          </w:tcPr>
          <w:p w14:paraId="1D1F4D9C" w14:textId="77777777" w:rsidR="00E65B69" w:rsidRPr="009F7E71" w:rsidRDefault="00E65B69" w:rsidP="003210FE">
            <w:pPr>
              <w:jc w:val="center"/>
              <w:rPr>
                <w:rFonts w:ascii="Calibri" w:hAnsi="Calibri"/>
                <w:b/>
                <w:color w:val="auto"/>
                <w:szCs w:val="21"/>
                <w:u w:val="single"/>
              </w:rPr>
            </w:pPr>
          </w:p>
        </w:tc>
        <w:tc>
          <w:tcPr>
            <w:tcW w:w="934" w:type="pct"/>
            <w:vAlign w:val="center"/>
          </w:tcPr>
          <w:p w14:paraId="54F11637" w14:textId="77777777" w:rsidR="00E65B69" w:rsidRPr="009F7E71" w:rsidRDefault="00E65B69" w:rsidP="003210FE">
            <w:pPr>
              <w:jc w:val="center"/>
              <w:rPr>
                <w:rFonts w:ascii="Calibri" w:hAnsi="Calibri"/>
                <w:b/>
                <w:color w:val="auto"/>
                <w:szCs w:val="21"/>
                <w:u w:val="single"/>
              </w:rPr>
            </w:pPr>
          </w:p>
        </w:tc>
      </w:tr>
      <w:tr w:rsidR="00E65B69" w:rsidRPr="009F7E71" w14:paraId="1B9903A6" w14:textId="77777777" w:rsidTr="00C658AC">
        <w:trPr>
          <w:cantSplit/>
          <w:trHeight w:val="340"/>
          <w:jc w:val="center"/>
        </w:trPr>
        <w:tc>
          <w:tcPr>
            <w:tcW w:w="1246" w:type="pct"/>
            <w:vAlign w:val="center"/>
          </w:tcPr>
          <w:p w14:paraId="2A6EFA7B" w14:textId="77777777" w:rsidR="00E65B69" w:rsidRPr="009F7E71" w:rsidRDefault="00383797" w:rsidP="003210FE">
            <w:pPr>
              <w:jc w:val="center"/>
              <w:rPr>
                <w:rFonts w:ascii="Calibri" w:hAnsi="Calibri"/>
                <w:b/>
                <w:color w:val="auto"/>
                <w:szCs w:val="21"/>
                <w:u w:val="single"/>
              </w:rPr>
            </w:pPr>
            <w:r w:rsidRPr="009F7E71">
              <w:rPr>
                <w:rFonts w:ascii="Calibri" w:hint="eastAsia"/>
                <w:b/>
                <w:color w:val="auto"/>
                <w:szCs w:val="21"/>
                <w:u w:val="single"/>
              </w:rPr>
              <w:t>喷淋塔新鲜水</w:t>
            </w:r>
          </w:p>
        </w:tc>
        <w:tc>
          <w:tcPr>
            <w:tcW w:w="1454" w:type="pct"/>
            <w:vAlign w:val="center"/>
          </w:tcPr>
          <w:p w14:paraId="7E8C15E0" w14:textId="77777777" w:rsidR="00E65B69" w:rsidRPr="009F7E71" w:rsidRDefault="00E65B69" w:rsidP="003210FE">
            <w:pPr>
              <w:jc w:val="center"/>
              <w:rPr>
                <w:rFonts w:ascii="Calibri" w:hAnsi="Calibri"/>
                <w:b/>
                <w:color w:val="auto"/>
                <w:szCs w:val="21"/>
                <w:u w:val="single"/>
              </w:rPr>
            </w:pPr>
            <w:r w:rsidRPr="009F7E71">
              <w:rPr>
                <w:rFonts w:ascii="Calibri" w:hAnsi="Calibri"/>
                <w:b/>
                <w:color w:val="auto"/>
                <w:szCs w:val="21"/>
                <w:u w:val="single"/>
              </w:rPr>
              <w:t>485</w:t>
            </w:r>
          </w:p>
        </w:tc>
        <w:tc>
          <w:tcPr>
            <w:tcW w:w="1366" w:type="pct"/>
            <w:tcBorders>
              <w:left w:val="single" w:sz="4" w:space="0" w:color="auto"/>
            </w:tcBorders>
            <w:vAlign w:val="center"/>
          </w:tcPr>
          <w:p w14:paraId="5F30205E" w14:textId="77777777" w:rsidR="00E65B69" w:rsidRPr="009F7E71" w:rsidRDefault="00E65B69" w:rsidP="003210FE">
            <w:pPr>
              <w:jc w:val="center"/>
              <w:rPr>
                <w:rFonts w:ascii="Calibri" w:hAnsi="Calibri"/>
                <w:b/>
                <w:color w:val="auto"/>
                <w:szCs w:val="21"/>
                <w:u w:val="single"/>
              </w:rPr>
            </w:pPr>
          </w:p>
        </w:tc>
        <w:tc>
          <w:tcPr>
            <w:tcW w:w="934" w:type="pct"/>
            <w:vAlign w:val="center"/>
          </w:tcPr>
          <w:p w14:paraId="5456A8DD" w14:textId="77777777" w:rsidR="00E65B69" w:rsidRPr="009F7E71" w:rsidRDefault="00E65B69" w:rsidP="003210FE">
            <w:pPr>
              <w:jc w:val="center"/>
              <w:rPr>
                <w:rFonts w:ascii="Calibri" w:hAnsi="Calibri"/>
                <w:b/>
                <w:color w:val="auto"/>
                <w:szCs w:val="21"/>
                <w:u w:val="single"/>
              </w:rPr>
            </w:pPr>
          </w:p>
        </w:tc>
      </w:tr>
      <w:tr w:rsidR="00E65B69" w:rsidRPr="009F7E71" w14:paraId="46A1BB1A" w14:textId="77777777" w:rsidTr="00C658AC">
        <w:trPr>
          <w:cantSplit/>
          <w:trHeight w:val="340"/>
          <w:jc w:val="center"/>
        </w:trPr>
        <w:tc>
          <w:tcPr>
            <w:tcW w:w="1246" w:type="pct"/>
            <w:vAlign w:val="center"/>
          </w:tcPr>
          <w:p w14:paraId="582DB738" w14:textId="77777777" w:rsidR="00E65B69" w:rsidRPr="009F7E71" w:rsidRDefault="00E65B69" w:rsidP="003210FE">
            <w:pPr>
              <w:jc w:val="center"/>
              <w:rPr>
                <w:rFonts w:ascii="Calibri" w:hAnsi="Calibri"/>
                <w:b/>
                <w:color w:val="auto"/>
                <w:szCs w:val="21"/>
                <w:u w:val="single"/>
              </w:rPr>
            </w:pPr>
            <w:r w:rsidRPr="009F7E71">
              <w:rPr>
                <w:rFonts w:ascii="Calibri"/>
                <w:b/>
                <w:color w:val="auto"/>
                <w:kern w:val="0"/>
                <w:szCs w:val="21"/>
                <w:u w:val="single"/>
              </w:rPr>
              <w:t>合计</w:t>
            </w:r>
          </w:p>
        </w:tc>
        <w:tc>
          <w:tcPr>
            <w:tcW w:w="1454" w:type="pct"/>
            <w:vAlign w:val="center"/>
          </w:tcPr>
          <w:p w14:paraId="6CDAB6DC" w14:textId="77777777" w:rsidR="00E65B69" w:rsidRPr="009F7E71" w:rsidRDefault="00E65B69" w:rsidP="00040A38">
            <w:pPr>
              <w:jc w:val="center"/>
              <w:rPr>
                <w:rFonts w:ascii="Calibri" w:hAnsi="Calibri"/>
                <w:b/>
                <w:color w:val="auto"/>
                <w:szCs w:val="21"/>
                <w:u w:val="single"/>
              </w:rPr>
            </w:pPr>
            <w:r w:rsidRPr="009F7E71">
              <w:rPr>
                <w:rFonts w:ascii="Calibri" w:hAnsi="Calibri"/>
                <w:b/>
                <w:color w:val="auto"/>
                <w:szCs w:val="21"/>
                <w:u w:val="single"/>
              </w:rPr>
              <w:t>693</w:t>
            </w:r>
            <w:r w:rsidR="00040A38" w:rsidRPr="009F7E71">
              <w:rPr>
                <w:rFonts w:ascii="Calibri" w:hAnsi="Calibri"/>
                <w:b/>
                <w:color w:val="auto"/>
                <w:szCs w:val="21"/>
                <w:u w:val="single"/>
              </w:rPr>
              <w:t>1</w:t>
            </w:r>
            <w:r w:rsidRPr="009F7E71">
              <w:rPr>
                <w:rFonts w:ascii="Calibri" w:hAnsi="Calibri"/>
                <w:b/>
                <w:color w:val="auto"/>
                <w:szCs w:val="21"/>
                <w:u w:val="single"/>
              </w:rPr>
              <w:t>.3</w:t>
            </w:r>
          </w:p>
        </w:tc>
        <w:tc>
          <w:tcPr>
            <w:tcW w:w="1366" w:type="pct"/>
            <w:tcBorders>
              <w:left w:val="single" w:sz="4" w:space="0" w:color="auto"/>
            </w:tcBorders>
            <w:vAlign w:val="center"/>
          </w:tcPr>
          <w:p w14:paraId="1DA5F5C2" w14:textId="77777777" w:rsidR="00E65B69" w:rsidRPr="009F7E71" w:rsidRDefault="00E65B69" w:rsidP="003210FE">
            <w:pPr>
              <w:jc w:val="center"/>
              <w:rPr>
                <w:rFonts w:ascii="Calibri" w:hAnsi="Calibri"/>
                <w:b/>
                <w:color w:val="auto"/>
                <w:szCs w:val="21"/>
                <w:u w:val="single"/>
              </w:rPr>
            </w:pPr>
            <w:r w:rsidRPr="009F7E71">
              <w:rPr>
                <w:rFonts w:ascii="Calibri"/>
                <w:b/>
                <w:color w:val="auto"/>
                <w:szCs w:val="21"/>
                <w:u w:val="single"/>
              </w:rPr>
              <w:t>合计</w:t>
            </w:r>
          </w:p>
        </w:tc>
        <w:tc>
          <w:tcPr>
            <w:tcW w:w="934" w:type="pct"/>
            <w:vAlign w:val="center"/>
          </w:tcPr>
          <w:p w14:paraId="02D1D33F" w14:textId="77777777" w:rsidR="00E65B69" w:rsidRPr="009F7E71" w:rsidRDefault="00E65B69" w:rsidP="00040A38">
            <w:pPr>
              <w:jc w:val="center"/>
              <w:rPr>
                <w:rFonts w:ascii="Calibri" w:hAnsi="Calibri"/>
                <w:b/>
                <w:color w:val="auto"/>
                <w:szCs w:val="21"/>
                <w:u w:val="single"/>
              </w:rPr>
            </w:pPr>
            <w:r w:rsidRPr="009F7E71">
              <w:rPr>
                <w:rFonts w:ascii="Calibri" w:hAnsi="Calibri"/>
                <w:b/>
                <w:color w:val="auto"/>
                <w:szCs w:val="21"/>
                <w:u w:val="single"/>
              </w:rPr>
              <w:t>693</w:t>
            </w:r>
            <w:r w:rsidR="00040A38" w:rsidRPr="009F7E71">
              <w:rPr>
                <w:rFonts w:ascii="Calibri" w:hAnsi="Calibri"/>
                <w:b/>
                <w:color w:val="auto"/>
                <w:szCs w:val="21"/>
                <w:u w:val="single"/>
              </w:rPr>
              <w:t>1</w:t>
            </w:r>
            <w:r w:rsidRPr="009F7E71">
              <w:rPr>
                <w:rFonts w:ascii="Calibri" w:hAnsi="Calibri"/>
                <w:b/>
                <w:color w:val="auto"/>
                <w:szCs w:val="21"/>
                <w:u w:val="single"/>
              </w:rPr>
              <w:t>.3</w:t>
            </w:r>
          </w:p>
        </w:tc>
      </w:tr>
    </w:tbl>
    <w:p w14:paraId="4593BC86" w14:textId="77777777" w:rsidR="00C658AC" w:rsidRDefault="00C658AC" w:rsidP="00C658AC">
      <w:pPr>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.2</w:t>
      </w:r>
      <w:r w:rsidRPr="00A964FF">
        <w:rPr>
          <w:rFonts w:ascii="Calibri" w:eastAsia="黑体" w:hAnsi="Calibri"/>
          <w:color w:val="auto"/>
          <w:sz w:val="24"/>
        </w:rPr>
        <w:t>-</w:t>
      </w:r>
      <w:r w:rsidR="003574DC">
        <w:rPr>
          <w:rFonts w:ascii="Calibri" w:eastAsia="黑体" w:hAnsi="Calibri"/>
          <w:color w:val="auto"/>
          <w:sz w:val="24"/>
        </w:rPr>
        <w:t>7</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Pr>
          <w:rFonts w:ascii="Calibri" w:eastAsia="黑体" w:hAnsi="Calibri" w:hint="eastAsia"/>
          <w:color w:val="auto"/>
          <w:sz w:val="24"/>
        </w:rPr>
        <w:t xml:space="preserve">   </w:t>
      </w:r>
      <w:r w:rsidRPr="00A964FF">
        <w:rPr>
          <w:rFonts w:ascii="Calibri" w:eastAsia="黑体" w:hAnsi="Calibri"/>
          <w:color w:val="auto"/>
          <w:sz w:val="24"/>
        </w:rPr>
        <w:t xml:space="preserve"> </w:t>
      </w:r>
      <w:r w:rsidR="0083308C" w:rsidRPr="0083308C">
        <w:rPr>
          <w:rFonts w:ascii="Calibri" w:eastAsia="黑体" w:hAnsi="Calibri" w:hint="eastAsia"/>
          <w:color w:val="auto"/>
          <w:sz w:val="24"/>
        </w:rPr>
        <w:t>透明尼龙</w:t>
      </w:r>
      <w:r>
        <w:rPr>
          <w:rFonts w:ascii="Calibri" w:eastAsia="黑体" w:hAnsi="Calibri" w:hint="eastAsia"/>
          <w:color w:val="auto"/>
          <w:sz w:val="24"/>
        </w:rPr>
        <w:t>切片一期</w:t>
      </w:r>
      <w:r>
        <w:rPr>
          <w:rFonts w:ascii="Calibri" w:eastAsia="黑体" w:hAnsi="Calibri"/>
          <w:color w:val="auto"/>
          <w:sz w:val="24"/>
        </w:rPr>
        <w:t>、</w:t>
      </w:r>
      <w:r>
        <w:rPr>
          <w:rFonts w:ascii="Calibri" w:eastAsia="黑体" w:hAnsi="Calibri" w:hint="eastAsia"/>
          <w:color w:val="auto"/>
          <w:sz w:val="24"/>
        </w:rPr>
        <w:t>二期己二胺工艺物料</w:t>
      </w:r>
      <w:r>
        <w:rPr>
          <w:rFonts w:ascii="Calibri" w:eastAsia="黑体" w:hAnsi="Calibri"/>
          <w:color w:val="auto"/>
          <w:sz w:val="24"/>
        </w:rPr>
        <w:t>平衡</w:t>
      </w:r>
      <w:r>
        <w:rPr>
          <w:rFonts w:ascii="Calibri" w:eastAsia="黑体" w:hAnsi="Calibri" w:hint="eastAsia"/>
          <w:color w:val="auto"/>
          <w:sz w:val="24"/>
        </w:rPr>
        <w:t>一览</w:t>
      </w:r>
      <w:r>
        <w:rPr>
          <w:rFonts w:ascii="Calibri" w:eastAsia="黑体" w:hAnsi="Calibri"/>
          <w:color w:val="auto"/>
          <w:sz w:val="24"/>
        </w:rPr>
        <w:t>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168"/>
        <w:gridCol w:w="2212"/>
        <w:gridCol w:w="2695"/>
        <w:gridCol w:w="1625"/>
      </w:tblGrid>
      <w:tr w:rsidR="00E844EB" w:rsidRPr="00CE7C3C" w14:paraId="55782DFC" w14:textId="77777777" w:rsidTr="0007105B">
        <w:trPr>
          <w:cantSplit/>
          <w:trHeight w:val="340"/>
          <w:jc w:val="center"/>
        </w:trPr>
        <w:tc>
          <w:tcPr>
            <w:tcW w:w="2517" w:type="pct"/>
            <w:gridSpan w:val="2"/>
            <w:vAlign w:val="center"/>
          </w:tcPr>
          <w:p w14:paraId="4FB4369F" w14:textId="77777777" w:rsidR="00E844EB" w:rsidRPr="00CE7C3C" w:rsidRDefault="00E844EB" w:rsidP="0007105B">
            <w:pPr>
              <w:jc w:val="center"/>
              <w:rPr>
                <w:rFonts w:ascii="Calibri" w:hAnsi="Calibri"/>
                <w:b/>
                <w:color w:val="auto"/>
                <w:szCs w:val="21"/>
                <w:u w:val="single"/>
              </w:rPr>
            </w:pPr>
            <w:r w:rsidRPr="00CE7C3C">
              <w:rPr>
                <w:rFonts w:ascii="Calibri"/>
                <w:b/>
                <w:color w:val="auto"/>
                <w:szCs w:val="21"/>
                <w:u w:val="single"/>
              </w:rPr>
              <w:t>输入方</w:t>
            </w:r>
          </w:p>
        </w:tc>
        <w:tc>
          <w:tcPr>
            <w:tcW w:w="2483" w:type="pct"/>
            <w:gridSpan w:val="2"/>
            <w:tcBorders>
              <w:left w:val="single" w:sz="4" w:space="0" w:color="auto"/>
            </w:tcBorders>
            <w:vAlign w:val="center"/>
          </w:tcPr>
          <w:p w14:paraId="4FA058B6" w14:textId="77777777" w:rsidR="00E844EB" w:rsidRPr="00CE7C3C" w:rsidRDefault="00E844EB" w:rsidP="0007105B">
            <w:pPr>
              <w:jc w:val="center"/>
              <w:rPr>
                <w:rFonts w:ascii="Calibri" w:hAnsi="Calibri"/>
                <w:b/>
                <w:color w:val="auto"/>
                <w:szCs w:val="21"/>
                <w:u w:val="single"/>
              </w:rPr>
            </w:pPr>
            <w:r w:rsidRPr="00CE7C3C">
              <w:rPr>
                <w:rFonts w:ascii="Calibri"/>
                <w:b/>
                <w:color w:val="auto"/>
                <w:szCs w:val="21"/>
                <w:u w:val="single"/>
              </w:rPr>
              <w:t>输出方</w:t>
            </w:r>
          </w:p>
        </w:tc>
      </w:tr>
      <w:tr w:rsidR="00E844EB" w:rsidRPr="00CE7C3C" w14:paraId="405F4F35" w14:textId="77777777" w:rsidTr="0007105B">
        <w:trPr>
          <w:cantSplit/>
          <w:trHeight w:val="340"/>
          <w:jc w:val="center"/>
        </w:trPr>
        <w:tc>
          <w:tcPr>
            <w:tcW w:w="1246" w:type="pct"/>
            <w:vAlign w:val="center"/>
          </w:tcPr>
          <w:p w14:paraId="7E88FDA7" w14:textId="77777777" w:rsidR="00E844EB" w:rsidRPr="00CE7C3C" w:rsidRDefault="00E844EB" w:rsidP="0007105B">
            <w:pPr>
              <w:jc w:val="center"/>
              <w:rPr>
                <w:rFonts w:ascii="Calibri" w:hAnsi="Calibri"/>
                <w:b/>
                <w:color w:val="auto"/>
                <w:szCs w:val="21"/>
                <w:u w:val="single"/>
              </w:rPr>
            </w:pPr>
            <w:r w:rsidRPr="00CE7C3C">
              <w:rPr>
                <w:rFonts w:ascii="Calibri"/>
                <w:b/>
                <w:color w:val="auto"/>
                <w:szCs w:val="21"/>
                <w:u w:val="single"/>
              </w:rPr>
              <w:t>名称</w:t>
            </w:r>
          </w:p>
        </w:tc>
        <w:tc>
          <w:tcPr>
            <w:tcW w:w="1271" w:type="pct"/>
            <w:vAlign w:val="center"/>
          </w:tcPr>
          <w:p w14:paraId="6877D917" w14:textId="77777777" w:rsidR="00E844EB" w:rsidRPr="00CE7C3C" w:rsidRDefault="00E844EB" w:rsidP="0007105B">
            <w:pPr>
              <w:jc w:val="center"/>
              <w:rPr>
                <w:rFonts w:ascii="Calibri"/>
                <w:b/>
                <w:color w:val="auto"/>
                <w:szCs w:val="21"/>
                <w:u w:val="single"/>
              </w:rPr>
            </w:pPr>
            <w:r w:rsidRPr="00CE7C3C">
              <w:rPr>
                <w:rFonts w:ascii="Calibri" w:hint="eastAsia"/>
                <w:b/>
                <w:color w:val="auto"/>
                <w:szCs w:val="21"/>
                <w:u w:val="single"/>
              </w:rPr>
              <w:t>物料消耗（</w:t>
            </w:r>
            <w:r w:rsidRPr="00CE7C3C">
              <w:rPr>
                <w:rFonts w:ascii="Calibri"/>
                <w:b/>
                <w:color w:val="auto"/>
                <w:szCs w:val="21"/>
                <w:u w:val="single"/>
              </w:rPr>
              <w:t>t</w:t>
            </w:r>
            <w:r w:rsidRPr="00CE7C3C">
              <w:rPr>
                <w:rFonts w:ascii="Calibri" w:hint="eastAsia"/>
                <w:b/>
                <w:color w:val="auto"/>
                <w:szCs w:val="21"/>
                <w:u w:val="single"/>
              </w:rPr>
              <w:t>/</w:t>
            </w:r>
            <w:r w:rsidRPr="00CE7C3C">
              <w:rPr>
                <w:rFonts w:ascii="Calibri"/>
                <w:b/>
                <w:color w:val="auto"/>
                <w:szCs w:val="21"/>
                <w:u w:val="single"/>
              </w:rPr>
              <w:t>a</w:t>
            </w:r>
            <w:r w:rsidRPr="00CE7C3C">
              <w:rPr>
                <w:rFonts w:ascii="Calibri" w:hint="eastAsia"/>
                <w:b/>
                <w:color w:val="auto"/>
                <w:szCs w:val="21"/>
                <w:u w:val="single"/>
              </w:rPr>
              <w:t>）</w:t>
            </w:r>
          </w:p>
        </w:tc>
        <w:tc>
          <w:tcPr>
            <w:tcW w:w="1549" w:type="pct"/>
            <w:tcBorders>
              <w:left w:val="single" w:sz="4" w:space="0" w:color="auto"/>
            </w:tcBorders>
            <w:vAlign w:val="center"/>
          </w:tcPr>
          <w:p w14:paraId="58D03713" w14:textId="77777777" w:rsidR="00E844EB" w:rsidRPr="00CE7C3C" w:rsidRDefault="00E844EB" w:rsidP="0007105B">
            <w:pPr>
              <w:jc w:val="center"/>
              <w:rPr>
                <w:rFonts w:ascii="Calibri" w:hAnsi="Calibri"/>
                <w:b/>
                <w:color w:val="auto"/>
                <w:szCs w:val="21"/>
                <w:u w:val="single"/>
              </w:rPr>
            </w:pPr>
            <w:r w:rsidRPr="00CE7C3C">
              <w:rPr>
                <w:rFonts w:ascii="Calibri"/>
                <w:b/>
                <w:color w:val="auto"/>
                <w:szCs w:val="21"/>
                <w:u w:val="single"/>
              </w:rPr>
              <w:t>名称</w:t>
            </w:r>
          </w:p>
        </w:tc>
        <w:tc>
          <w:tcPr>
            <w:tcW w:w="934" w:type="pct"/>
            <w:vAlign w:val="center"/>
          </w:tcPr>
          <w:p w14:paraId="46DDA713" w14:textId="77777777" w:rsidR="00E844EB" w:rsidRPr="00CE7C3C" w:rsidRDefault="00E844EB" w:rsidP="0007105B">
            <w:pPr>
              <w:jc w:val="center"/>
              <w:rPr>
                <w:rFonts w:ascii="Calibri"/>
                <w:b/>
                <w:color w:val="auto"/>
                <w:szCs w:val="21"/>
                <w:u w:val="single"/>
              </w:rPr>
            </w:pPr>
            <w:r w:rsidRPr="00CE7C3C">
              <w:rPr>
                <w:rFonts w:ascii="Calibri" w:hint="eastAsia"/>
                <w:b/>
                <w:color w:val="auto"/>
                <w:szCs w:val="21"/>
                <w:u w:val="single"/>
              </w:rPr>
              <w:t>数量（</w:t>
            </w:r>
            <w:r w:rsidRPr="00CE7C3C">
              <w:rPr>
                <w:rFonts w:ascii="Calibri"/>
                <w:b/>
                <w:color w:val="auto"/>
                <w:szCs w:val="21"/>
                <w:u w:val="single"/>
              </w:rPr>
              <w:t>t</w:t>
            </w:r>
            <w:r w:rsidRPr="00CE7C3C">
              <w:rPr>
                <w:rFonts w:ascii="Calibri" w:hint="eastAsia"/>
                <w:b/>
                <w:color w:val="auto"/>
                <w:szCs w:val="21"/>
                <w:u w:val="single"/>
              </w:rPr>
              <w:t>/</w:t>
            </w:r>
            <w:r w:rsidRPr="00CE7C3C">
              <w:rPr>
                <w:rFonts w:ascii="Calibri"/>
                <w:b/>
                <w:color w:val="auto"/>
                <w:szCs w:val="21"/>
                <w:u w:val="single"/>
              </w:rPr>
              <w:t>a</w:t>
            </w:r>
            <w:r w:rsidRPr="00CE7C3C">
              <w:rPr>
                <w:rFonts w:ascii="Calibri" w:hint="eastAsia"/>
                <w:b/>
                <w:color w:val="auto"/>
                <w:szCs w:val="21"/>
                <w:u w:val="single"/>
              </w:rPr>
              <w:t>）</w:t>
            </w:r>
          </w:p>
        </w:tc>
      </w:tr>
      <w:tr w:rsidR="00E844EB" w:rsidRPr="00CE7C3C" w14:paraId="1622920E" w14:textId="77777777" w:rsidTr="0007105B">
        <w:trPr>
          <w:cantSplit/>
          <w:trHeight w:val="270"/>
          <w:jc w:val="center"/>
        </w:trPr>
        <w:tc>
          <w:tcPr>
            <w:tcW w:w="1246" w:type="pct"/>
            <w:vAlign w:val="center"/>
          </w:tcPr>
          <w:p w14:paraId="236E6CC9" w14:textId="77777777" w:rsidR="00E844EB" w:rsidRPr="00CE7C3C" w:rsidRDefault="00E844EB" w:rsidP="0007105B">
            <w:pPr>
              <w:jc w:val="center"/>
              <w:rPr>
                <w:rFonts w:ascii="Calibri"/>
                <w:b/>
                <w:color w:val="auto"/>
                <w:szCs w:val="21"/>
                <w:u w:val="single"/>
              </w:rPr>
            </w:pPr>
            <w:r w:rsidRPr="00CE7C3C">
              <w:rPr>
                <w:rFonts w:ascii="Calibri" w:hint="eastAsia"/>
                <w:b/>
                <w:color w:val="auto"/>
                <w:szCs w:val="21"/>
                <w:u w:val="single"/>
              </w:rPr>
              <w:t>己二胺</w:t>
            </w:r>
          </w:p>
        </w:tc>
        <w:tc>
          <w:tcPr>
            <w:tcW w:w="1271" w:type="pct"/>
            <w:vAlign w:val="center"/>
          </w:tcPr>
          <w:p w14:paraId="5E502E43" w14:textId="77777777" w:rsidR="00E844EB" w:rsidRPr="00CE7C3C" w:rsidRDefault="00DB1048" w:rsidP="009F7E71">
            <w:pPr>
              <w:jc w:val="center"/>
              <w:rPr>
                <w:rFonts w:ascii="Calibri"/>
                <w:b/>
                <w:color w:val="auto"/>
                <w:szCs w:val="21"/>
                <w:u w:val="single"/>
              </w:rPr>
            </w:pPr>
            <w:r>
              <w:rPr>
                <w:rFonts w:ascii="Calibri"/>
                <w:b/>
                <w:color w:val="auto"/>
                <w:szCs w:val="21"/>
                <w:u w:val="single"/>
              </w:rPr>
              <w:t>8.</w:t>
            </w:r>
            <w:r w:rsidR="009F7E71">
              <w:rPr>
                <w:rFonts w:ascii="Calibri"/>
                <w:b/>
                <w:color w:val="auto"/>
                <w:szCs w:val="21"/>
                <w:u w:val="single"/>
              </w:rPr>
              <w:t>8</w:t>
            </w:r>
          </w:p>
        </w:tc>
        <w:tc>
          <w:tcPr>
            <w:tcW w:w="1549" w:type="pct"/>
            <w:vAlign w:val="center"/>
          </w:tcPr>
          <w:p w14:paraId="450BB8F9" w14:textId="77777777" w:rsidR="00E844EB" w:rsidRPr="00CE7C3C" w:rsidRDefault="00E844EB" w:rsidP="0007105B">
            <w:pPr>
              <w:jc w:val="center"/>
              <w:rPr>
                <w:rFonts w:ascii="Calibri" w:hAnsi="Calibri"/>
                <w:b/>
                <w:color w:val="auto"/>
                <w:szCs w:val="21"/>
                <w:u w:val="single"/>
              </w:rPr>
            </w:pPr>
            <w:r w:rsidRPr="00CE7C3C">
              <w:rPr>
                <w:rFonts w:ascii="Calibri" w:hAnsi="Calibri" w:hint="eastAsia"/>
                <w:b/>
                <w:color w:val="auto"/>
                <w:szCs w:val="21"/>
                <w:u w:val="single"/>
              </w:rPr>
              <w:t>生成</w:t>
            </w:r>
            <w:r w:rsidRPr="00CE7C3C">
              <w:rPr>
                <w:rFonts w:ascii="Calibri" w:hAnsi="Calibri"/>
                <w:b/>
                <w:color w:val="auto"/>
                <w:szCs w:val="21"/>
                <w:u w:val="single"/>
              </w:rPr>
              <w:t>环己亚胺</w:t>
            </w:r>
            <w:r w:rsidRPr="00CE7C3C">
              <w:rPr>
                <w:rFonts w:ascii="Calibri" w:hAnsi="Calibri" w:hint="eastAsia"/>
                <w:b/>
                <w:color w:val="auto"/>
                <w:szCs w:val="21"/>
                <w:u w:val="single"/>
              </w:rPr>
              <w:t>消耗</w:t>
            </w:r>
          </w:p>
        </w:tc>
        <w:tc>
          <w:tcPr>
            <w:tcW w:w="934" w:type="pct"/>
            <w:vAlign w:val="center"/>
          </w:tcPr>
          <w:p w14:paraId="6DC4133A" w14:textId="77777777" w:rsidR="00E844EB" w:rsidRPr="00CE7C3C" w:rsidRDefault="00DB1048" w:rsidP="0007105B">
            <w:pPr>
              <w:jc w:val="center"/>
              <w:rPr>
                <w:rFonts w:ascii="Calibri" w:hAnsi="Calibri"/>
                <w:b/>
                <w:color w:val="auto"/>
                <w:u w:val="single"/>
              </w:rPr>
            </w:pPr>
            <w:r>
              <w:rPr>
                <w:rFonts w:ascii="Calibri" w:hAnsi="Calibri"/>
                <w:b/>
                <w:color w:val="auto"/>
                <w:u w:val="single"/>
              </w:rPr>
              <w:t>0.85</w:t>
            </w:r>
          </w:p>
        </w:tc>
      </w:tr>
      <w:tr w:rsidR="00E844EB" w:rsidRPr="00CE7C3C" w14:paraId="0FA58473" w14:textId="77777777" w:rsidTr="0007105B">
        <w:trPr>
          <w:cantSplit/>
          <w:trHeight w:val="270"/>
          <w:jc w:val="center"/>
        </w:trPr>
        <w:tc>
          <w:tcPr>
            <w:tcW w:w="1246" w:type="pct"/>
            <w:vAlign w:val="center"/>
          </w:tcPr>
          <w:p w14:paraId="4749F1D6" w14:textId="77777777" w:rsidR="00E844EB" w:rsidRPr="00CE7C3C" w:rsidRDefault="00E844EB" w:rsidP="0007105B">
            <w:pPr>
              <w:jc w:val="center"/>
              <w:rPr>
                <w:rFonts w:ascii="Calibri"/>
                <w:b/>
                <w:color w:val="auto"/>
                <w:szCs w:val="21"/>
                <w:u w:val="single"/>
              </w:rPr>
            </w:pPr>
            <w:r w:rsidRPr="00CE7C3C">
              <w:rPr>
                <w:rFonts w:ascii="Calibri" w:hint="eastAsia"/>
                <w:b/>
                <w:color w:val="auto"/>
                <w:szCs w:val="21"/>
                <w:u w:val="single"/>
              </w:rPr>
              <w:t>聚合物</w:t>
            </w:r>
            <w:r w:rsidRPr="00CE7C3C">
              <w:rPr>
                <w:rFonts w:ascii="Calibri"/>
                <w:b/>
                <w:color w:val="auto"/>
                <w:szCs w:val="21"/>
                <w:u w:val="single"/>
              </w:rPr>
              <w:t>降解</w:t>
            </w:r>
          </w:p>
        </w:tc>
        <w:tc>
          <w:tcPr>
            <w:tcW w:w="1271" w:type="pct"/>
            <w:vAlign w:val="center"/>
          </w:tcPr>
          <w:p w14:paraId="7ACF74E8" w14:textId="77777777" w:rsidR="00E844EB" w:rsidRPr="00CE7C3C" w:rsidRDefault="00DB1048" w:rsidP="0007105B">
            <w:pPr>
              <w:jc w:val="center"/>
              <w:rPr>
                <w:rFonts w:ascii="Calibri"/>
                <w:b/>
                <w:color w:val="auto"/>
                <w:szCs w:val="21"/>
                <w:u w:val="single"/>
              </w:rPr>
            </w:pPr>
            <w:r>
              <w:rPr>
                <w:rFonts w:ascii="Calibri"/>
                <w:b/>
                <w:color w:val="auto"/>
                <w:szCs w:val="21"/>
                <w:u w:val="single"/>
              </w:rPr>
              <w:t>0.82</w:t>
            </w:r>
          </w:p>
        </w:tc>
        <w:tc>
          <w:tcPr>
            <w:tcW w:w="1549" w:type="pct"/>
            <w:vAlign w:val="center"/>
          </w:tcPr>
          <w:p w14:paraId="03C4E424" w14:textId="77777777" w:rsidR="00E844EB" w:rsidRPr="00CE7C3C" w:rsidRDefault="00E844EB" w:rsidP="0007105B">
            <w:pPr>
              <w:jc w:val="center"/>
              <w:rPr>
                <w:rFonts w:ascii="Calibri" w:hAnsi="Calibri"/>
                <w:b/>
                <w:color w:val="auto"/>
                <w:szCs w:val="21"/>
                <w:u w:val="single"/>
              </w:rPr>
            </w:pPr>
            <w:r w:rsidRPr="00CE7C3C">
              <w:rPr>
                <w:rFonts w:ascii="Calibri" w:hAnsi="Calibri" w:hint="eastAsia"/>
                <w:b/>
                <w:color w:val="auto"/>
                <w:szCs w:val="21"/>
                <w:u w:val="single"/>
              </w:rPr>
              <w:t>废气带走</w:t>
            </w:r>
          </w:p>
        </w:tc>
        <w:tc>
          <w:tcPr>
            <w:tcW w:w="934" w:type="pct"/>
            <w:vAlign w:val="center"/>
          </w:tcPr>
          <w:p w14:paraId="3370F64C" w14:textId="77777777" w:rsidR="00E844EB" w:rsidRPr="00CE7C3C" w:rsidRDefault="009F7E71" w:rsidP="0007105B">
            <w:pPr>
              <w:jc w:val="center"/>
              <w:rPr>
                <w:rFonts w:ascii="Calibri" w:hAnsi="Calibri"/>
                <w:b/>
                <w:color w:val="auto"/>
                <w:szCs w:val="21"/>
                <w:u w:val="single"/>
              </w:rPr>
            </w:pPr>
            <w:r>
              <w:rPr>
                <w:rFonts w:ascii="Calibri" w:hAnsi="Calibri"/>
                <w:b/>
                <w:color w:val="auto"/>
                <w:szCs w:val="21"/>
                <w:u w:val="single"/>
              </w:rPr>
              <w:t>1.41</w:t>
            </w:r>
          </w:p>
        </w:tc>
      </w:tr>
      <w:tr w:rsidR="00E844EB" w:rsidRPr="00CE7C3C" w14:paraId="005D1632" w14:textId="77777777" w:rsidTr="0007105B">
        <w:trPr>
          <w:cantSplit/>
          <w:trHeight w:val="340"/>
          <w:jc w:val="center"/>
        </w:trPr>
        <w:tc>
          <w:tcPr>
            <w:tcW w:w="1246" w:type="pct"/>
            <w:vAlign w:val="center"/>
          </w:tcPr>
          <w:p w14:paraId="5BD6E427" w14:textId="77777777" w:rsidR="00E844EB" w:rsidRPr="00CE7C3C" w:rsidRDefault="00E844EB" w:rsidP="0007105B">
            <w:pPr>
              <w:jc w:val="center"/>
              <w:rPr>
                <w:rFonts w:ascii="Calibri"/>
                <w:b/>
                <w:color w:val="auto"/>
                <w:szCs w:val="21"/>
                <w:u w:val="single"/>
              </w:rPr>
            </w:pPr>
          </w:p>
        </w:tc>
        <w:tc>
          <w:tcPr>
            <w:tcW w:w="1271" w:type="pct"/>
            <w:vAlign w:val="center"/>
          </w:tcPr>
          <w:p w14:paraId="5DFB84BB" w14:textId="77777777" w:rsidR="00E844EB" w:rsidRPr="00CE7C3C" w:rsidRDefault="00E844EB" w:rsidP="0007105B">
            <w:pPr>
              <w:jc w:val="center"/>
              <w:rPr>
                <w:rFonts w:ascii="Calibri"/>
                <w:b/>
                <w:color w:val="auto"/>
                <w:szCs w:val="21"/>
                <w:u w:val="single"/>
              </w:rPr>
            </w:pPr>
          </w:p>
        </w:tc>
        <w:tc>
          <w:tcPr>
            <w:tcW w:w="1549" w:type="pct"/>
            <w:vAlign w:val="center"/>
          </w:tcPr>
          <w:p w14:paraId="151FEE9A" w14:textId="77777777" w:rsidR="00E844EB" w:rsidRPr="00CE7C3C" w:rsidRDefault="00E844EB" w:rsidP="0007105B">
            <w:pPr>
              <w:jc w:val="center"/>
              <w:rPr>
                <w:rFonts w:ascii="Calibri" w:hAnsi="Calibri"/>
                <w:b/>
                <w:color w:val="auto"/>
                <w:szCs w:val="21"/>
                <w:u w:val="single"/>
              </w:rPr>
            </w:pPr>
            <w:r w:rsidRPr="00CE7C3C">
              <w:rPr>
                <w:rFonts w:ascii="Calibri" w:hAnsi="Calibri" w:hint="eastAsia"/>
                <w:b/>
                <w:color w:val="auto"/>
                <w:szCs w:val="21"/>
                <w:u w:val="single"/>
              </w:rPr>
              <w:t>进入废水</w:t>
            </w:r>
          </w:p>
        </w:tc>
        <w:tc>
          <w:tcPr>
            <w:tcW w:w="934" w:type="pct"/>
            <w:vAlign w:val="center"/>
          </w:tcPr>
          <w:p w14:paraId="0511364F" w14:textId="77777777" w:rsidR="00E844EB" w:rsidRPr="00CE7C3C" w:rsidRDefault="009F7E71" w:rsidP="0007105B">
            <w:pPr>
              <w:ind w:firstLineChars="250" w:firstLine="527"/>
              <w:rPr>
                <w:rFonts w:ascii="Calibri" w:hAnsi="Calibri"/>
                <w:b/>
                <w:color w:val="auto"/>
                <w:szCs w:val="21"/>
                <w:u w:val="single"/>
              </w:rPr>
            </w:pPr>
            <w:r>
              <w:rPr>
                <w:rFonts w:ascii="Calibri" w:hAnsi="Calibri"/>
                <w:b/>
                <w:color w:val="auto"/>
                <w:szCs w:val="21"/>
                <w:u w:val="single"/>
              </w:rPr>
              <w:t>4.56</w:t>
            </w:r>
          </w:p>
        </w:tc>
      </w:tr>
      <w:tr w:rsidR="00E844EB" w:rsidRPr="00CE7C3C" w14:paraId="121101A0" w14:textId="77777777" w:rsidTr="0007105B">
        <w:trPr>
          <w:cantSplit/>
          <w:trHeight w:val="340"/>
          <w:jc w:val="center"/>
        </w:trPr>
        <w:tc>
          <w:tcPr>
            <w:tcW w:w="1246" w:type="pct"/>
            <w:vAlign w:val="center"/>
          </w:tcPr>
          <w:p w14:paraId="0E293710" w14:textId="77777777" w:rsidR="00E844EB" w:rsidRPr="00CE7C3C" w:rsidRDefault="00E844EB" w:rsidP="0007105B">
            <w:pPr>
              <w:jc w:val="center"/>
              <w:rPr>
                <w:rFonts w:ascii="Calibri"/>
                <w:b/>
                <w:color w:val="auto"/>
                <w:szCs w:val="21"/>
                <w:u w:val="single"/>
              </w:rPr>
            </w:pPr>
          </w:p>
        </w:tc>
        <w:tc>
          <w:tcPr>
            <w:tcW w:w="1271" w:type="pct"/>
            <w:vAlign w:val="center"/>
          </w:tcPr>
          <w:p w14:paraId="5E320B72" w14:textId="77777777" w:rsidR="00E844EB" w:rsidRPr="00CE7C3C" w:rsidRDefault="00E844EB" w:rsidP="0007105B">
            <w:pPr>
              <w:jc w:val="center"/>
              <w:rPr>
                <w:rFonts w:ascii="Calibri"/>
                <w:b/>
                <w:color w:val="auto"/>
                <w:szCs w:val="21"/>
                <w:u w:val="single"/>
              </w:rPr>
            </w:pPr>
          </w:p>
        </w:tc>
        <w:tc>
          <w:tcPr>
            <w:tcW w:w="1549" w:type="pct"/>
            <w:vAlign w:val="center"/>
          </w:tcPr>
          <w:p w14:paraId="40EE0A2F" w14:textId="77777777" w:rsidR="00E844EB" w:rsidRPr="00CE7C3C" w:rsidRDefault="00E844EB" w:rsidP="0007105B">
            <w:pPr>
              <w:jc w:val="center"/>
              <w:rPr>
                <w:rFonts w:ascii="Calibri" w:hAnsi="Calibri"/>
                <w:b/>
                <w:color w:val="auto"/>
                <w:szCs w:val="21"/>
                <w:u w:val="single"/>
              </w:rPr>
            </w:pPr>
            <w:r w:rsidRPr="00CE7C3C">
              <w:rPr>
                <w:rFonts w:ascii="Calibri" w:hAnsi="Calibri" w:hint="eastAsia"/>
                <w:b/>
                <w:color w:val="auto"/>
                <w:szCs w:val="21"/>
                <w:u w:val="single"/>
              </w:rPr>
              <w:t>冷凝</w:t>
            </w:r>
            <w:r w:rsidRPr="00CE7C3C">
              <w:rPr>
                <w:rFonts w:ascii="Calibri" w:hAnsi="Calibri"/>
                <w:b/>
                <w:color w:val="auto"/>
                <w:szCs w:val="21"/>
                <w:u w:val="single"/>
              </w:rPr>
              <w:t>回用</w:t>
            </w:r>
          </w:p>
        </w:tc>
        <w:tc>
          <w:tcPr>
            <w:tcW w:w="934" w:type="pct"/>
            <w:vAlign w:val="center"/>
          </w:tcPr>
          <w:p w14:paraId="07097D1A" w14:textId="77777777" w:rsidR="00E844EB" w:rsidRPr="00CE7C3C" w:rsidRDefault="009F7E71" w:rsidP="0007105B">
            <w:pPr>
              <w:ind w:firstLineChars="250" w:firstLine="527"/>
              <w:rPr>
                <w:rFonts w:ascii="Calibri" w:hAnsi="Calibri"/>
                <w:b/>
                <w:color w:val="auto"/>
                <w:szCs w:val="21"/>
                <w:u w:val="single"/>
              </w:rPr>
            </w:pPr>
            <w:r>
              <w:rPr>
                <w:rFonts w:ascii="Calibri" w:hAnsi="Calibri"/>
                <w:b/>
                <w:color w:val="auto"/>
                <w:szCs w:val="21"/>
                <w:u w:val="single"/>
              </w:rPr>
              <w:t>2.80</w:t>
            </w:r>
          </w:p>
        </w:tc>
      </w:tr>
      <w:tr w:rsidR="00E844EB" w:rsidRPr="00CE7C3C" w14:paraId="2D5300DD" w14:textId="77777777" w:rsidTr="0007105B">
        <w:trPr>
          <w:cantSplit/>
          <w:trHeight w:val="340"/>
          <w:jc w:val="center"/>
        </w:trPr>
        <w:tc>
          <w:tcPr>
            <w:tcW w:w="1246" w:type="pct"/>
            <w:vAlign w:val="center"/>
          </w:tcPr>
          <w:p w14:paraId="31780CED" w14:textId="77777777" w:rsidR="00E844EB" w:rsidRPr="00CE7C3C" w:rsidRDefault="00E844EB" w:rsidP="0007105B">
            <w:pPr>
              <w:jc w:val="center"/>
              <w:rPr>
                <w:rFonts w:ascii="Calibri"/>
                <w:b/>
                <w:color w:val="auto"/>
                <w:szCs w:val="21"/>
                <w:u w:val="single"/>
              </w:rPr>
            </w:pPr>
            <w:r w:rsidRPr="00CE7C3C">
              <w:rPr>
                <w:rFonts w:ascii="Calibri" w:hint="eastAsia"/>
                <w:b/>
                <w:color w:val="auto"/>
                <w:szCs w:val="21"/>
                <w:u w:val="single"/>
              </w:rPr>
              <w:t>合计</w:t>
            </w:r>
          </w:p>
        </w:tc>
        <w:tc>
          <w:tcPr>
            <w:tcW w:w="1271" w:type="pct"/>
            <w:vAlign w:val="center"/>
          </w:tcPr>
          <w:p w14:paraId="6594A39B" w14:textId="77777777" w:rsidR="00E844EB" w:rsidRPr="00CE7C3C" w:rsidRDefault="009F7E71" w:rsidP="0007105B">
            <w:pPr>
              <w:jc w:val="center"/>
              <w:rPr>
                <w:rFonts w:ascii="Calibri"/>
                <w:b/>
                <w:color w:val="auto"/>
                <w:szCs w:val="21"/>
                <w:u w:val="single"/>
              </w:rPr>
            </w:pPr>
            <w:r>
              <w:rPr>
                <w:rFonts w:ascii="Calibri"/>
                <w:b/>
                <w:color w:val="auto"/>
                <w:szCs w:val="21"/>
                <w:u w:val="single"/>
              </w:rPr>
              <w:t>9.62</w:t>
            </w:r>
          </w:p>
        </w:tc>
        <w:tc>
          <w:tcPr>
            <w:tcW w:w="1549" w:type="pct"/>
            <w:vAlign w:val="center"/>
          </w:tcPr>
          <w:p w14:paraId="12556467" w14:textId="77777777" w:rsidR="00E844EB" w:rsidRPr="00CE7C3C" w:rsidRDefault="00E844EB" w:rsidP="0007105B">
            <w:pPr>
              <w:jc w:val="center"/>
              <w:rPr>
                <w:rFonts w:ascii="Calibri"/>
                <w:b/>
                <w:color w:val="auto"/>
                <w:szCs w:val="21"/>
                <w:u w:val="single"/>
              </w:rPr>
            </w:pPr>
            <w:r w:rsidRPr="00CE7C3C">
              <w:rPr>
                <w:rFonts w:ascii="Calibri" w:hint="eastAsia"/>
                <w:b/>
                <w:color w:val="auto"/>
                <w:szCs w:val="21"/>
                <w:u w:val="single"/>
              </w:rPr>
              <w:t>合计</w:t>
            </w:r>
          </w:p>
        </w:tc>
        <w:tc>
          <w:tcPr>
            <w:tcW w:w="934" w:type="pct"/>
            <w:vAlign w:val="center"/>
          </w:tcPr>
          <w:p w14:paraId="70F976E4" w14:textId="77777777" w:rsidR="00E844EB" w:rsidRPr="00CE7C3C" w:rsidRDefault="009F7E71" w:rsidP="0007105B">
            <w:pPr>
              <w:jc w:val="center"/>
              <w:rPr>
                <w:rFonts w:ascii="Calibri"/>
                <w:b/>
                <w:color w:val="auto"/>
                <w:szCs w:val="21"/>
                <w:u w:val="single"/>
              </w:rPr>
            </w:pPr>
            <w:r>
              <w:rPr>
                <w:rFonts w:ascii="Calibri"/>
                <w:b/>
                <w:color w:val="auto"/>
                <w:szCs w:val="21"/>
                <w:u w:val="single"/>
              </w:rPr>
              <w:t>9.62</w:t>
            </w:r>
          </w:p>
        </w:tc>
      </w:tr>
    </w:tbl>
    <w:p w14:paraId="6454F7D3" w14:textId="77777777" w:rsidR="00E844EB" w:rsidRDefault="00E844EB" w:rsidP="00C658AC">
      <w:pPr>
        <w:spacing w:line="520" w:lineRule="exact"/>
        <w:ind w:firstLineChars="200" w:firstLine="480"/>
        <w:rPr>
          <w:rFonts w:ascii="Calibri" w:eastAsia="黑体" w:hAnsi="Calibri"/>
          <w:color w:val="auto"/>
          <w:sz w:val="24"/>
        </w:rPr>
      </w:pPr>
    </w:p>
    <w:p w14:paraId="2AB435D1" w14:textId="77777777" w:rsidR="00E844EB" w:rsidRDefault="00E844EB" w:rsidP="00C658AC">
      <w:pPr>
        <w:spacing w:line="520" w:lineRule="exact"/>
        <w:ind w:firstLineChars="200" w:firstLine="480"/>
        <w:rPr>
          <w:rFonts w:ascii="Calibri" w:eastAsia="黑体" w:hAnsi="Calibri"/>
          <w:color w:val="auto"/>
          <w:sz w:val="24"/>
        </w:rPr>
      </w:pPr>
    </w:p>
    <w:p w14:paraId="5E81566F" w14:textId="77777777" w:rsidR="00E844EB" w:rsidRDefault="00E844EB" w:rsidP="00C658AC">
      <w:pPr>
        <w:spacing w:line="520" w:lineRule="exact"/>
        <w:ind w:firstLineChars="200" w:firstLine="480"/>
        <w:rPr>
          <w:rFonts w:ascii="Calibri" w:eastAsia="黑体" w:hAnsi="Calibri"/>
          <w:color w:val="auto"/>
          <w:sz w:val="24"/>
        </w:rPr>
      </w:pPr>
    </w:p>
    <w:p w14:paraId="22DDD36B" w14:textId="77777777" w:rsidR="00E844EB" w:rsidRDefault="00E844EB" w:rsidP="00C658AC">
      <w:pPr>
        <w:spacing w:line="520" w:lineRule="exact"/>
        <w:ind w:firstLineChars="200" w:firstLine="480"/>
        <w:rPr>
          <w:rFonts w:ascii="Calibri" w:eastAsia="黑体" w:hAnsi="Calibri"/>
          <w:color w:val="auto"/>
          <w:sz w:val="24"/>
        </w:rPr>
      </w:pPr>
    </w:p>
    <w:p w14:paraId="33046359" w14:textId="77777777" w:rsidR="003B36F7" w:rsidRDefault="003B36F7" w:rsidP="00C658AC">
      <w:pPr>
        <w:spacing w:line="520" w:lineRule="exact"/>
        <w:ind w:firstLineChars="200" w:firstLine="480"/>
        <w:rPr>
          <w:rFonts w:ascii="Calibri" w:eastAsia="黑体" w:hAnsi="Calibri"/>
          <w:color w:val="auto"/>
          <w:sz w:val="24"/>
        </w:rPr>
      </w:pPr>
    </w:p>
    <w:p w14:paraId="4A641F01" w14:textId="25B79623" w:rsidR="003B36F7" w:rsidRDefault="003B36F7" w:rsidP="00C658AC">
      <w:pPr>
        <w:spacing w:line="520" w:lineRule="exact"/>
        <w:ind w:firstLineChars="200" w:firstLine="480"/>
        <w:rPr>
          <w:rFonts w:ascii="Calibri" w:eastAsia="黑体" w:hAnsi="Calibri"/>
          <w:color w:val="auto"/>
          <w:sz w:val="24"/>
        </w:rPr>
      </w:pPr>
    </w:p>
    <w:p w14:paraId="7E0642C0" w14:textId="54526270" w:rsidR="002B2BE7" w:rsidRDefault="002B2BE7" w:rsidP="000A0585">
      <w:pPr>
        <w:spacing w:line="520" w:lineRule="exact"/>
        <w:rPr>
          <w:rFonts w:ascii="Calibri" w:eastAsia="黑体" w:hAnsi="Calibri" w:hint="eastAsia"/>
          <w:color w:val="auto"/>
          <w:sz w:val="24"/>
        </w:rPr>
      </w:pPr>
    </w:p>
    <w:p w14:paraId="513BB456" w14:textId="5A4E3DD0" w:rsidR="00E65B69" w:rsidRPr="00B10481" w:rsidRDefault="00E65B69" w:rsidP="00B10481">
      <w:pPr>
        <w:spacing w:line="500" w:lineRule="exact"/>
        <w:rPr>
          <w:rFonts w:asciiTheme="minorHAnsi" w:eastAsiaTheme="minorEastAsia" w:hAnsiTheme="minorHAnsi" w:cstheme="minorHAnsi"/>
          <w:b/>
          <w:color w:val="auto"/>
          <w:sz w:val="24"/>
        </w:rPr>
      </w:pPr>
    </w:p>
    <w:p w14:paraId="7A82395B" w14:textId="06A63839" w:rsidR="00321C47" w:rsidRDefault="00523A89" w:rsidP="00EE4B9C">
      <w:pPr>
        <w:spacing w:line="500" w:lineRule="exact"/>
        <w:ind w:firstLineChars="200" w:firstLine="482"/>
        <w:rPr>
          <w:rFonts w:asciiTheme="minorHAnsi" w:eastAsiaTheme="minorEastAsia" w:hAnsiTheme="minorHAnsi" w:cstheme="minorHAnsi"/>
          <w:b/>
          <w:color w:val="auto"/>
          <w:sz w:val="24"/>
        </w:rPr>
      </w:pPr>
      <w:r>
        <w:rPr>
          <w:rFonts w:asciiTheme="minorHAnsi" w:eastAsiaTheme="minorEastAsia" w:hAnsiTheme="minorHAnsi" w:cstheme="minorHAnsi"/>
          <w:b/>
          <w:noProof/>
          <w:color w:val="000000" w:themeColor="text1"/>
          <w:sz w:val="24"/>
        </w:rPr>
        <w:lastRenderedPageBreak/>
        <mc:AlternateContent>
          <mc:Choice Requires="wpc">
            <w:drawing>
              <wp:anchor distT="0" distB="0" distL="114300" distR="114300" simplePos="0" relativeHeight="253710848" behindDoc="0" locked="0" layoutInCell="1" allowOverlap="1" wp14:anchorId="7DCB921A" wp14:editId="241EA1C3">
                <wp:simplePos x="0" y="0"/>
                <wp:positionH relativeFrom="margin">
                  <wp:align>center</wp:align>
                </wp:positionH>
                <wp:positionV relativeFrom="paragraph">
                  <wp:posOffset>-220980</wp:posOffset>
                </wp:positionV>
                <wp:extent cx="6111240" cy="8801100"/>
                <wp:effectExtent l="0" t="0" r="0" b="0"/>
                <wp:wrapNone/>
                <wp:docPr id="25854" name="画布 258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675" name="Rectangle 37672"/>
                        <wps:cNvSpPr>
                          <a:spLocks noChangeArrowheads="1"/>
                        </wps:cNvSpPr>
                        <wps:spPr bwMode="auto">
                          <a:xfrm>
                            <a:off x="1385570" y="1157605"/>
                            <a:ext cx="962025" cy="288925"/>
                          </a:xfrm>
                          <a:prstGeom prst="rect">
                            <a:avLst/>
                          </a:prstGeom>
                          <a:noFill/>
                          <a:ln w="9525">
                            <a:solidFill>
                              <a:srgbClr val="000000"/>
                            </a:solidFill>
                            <a:miter lim="800000"/>
                          </a:ln>
                        </wps:spPr>
                        <wps:txbx>
                          <w:txbxContent>
                            <w:p w14:paraId="40DE88E0" w14:textId="77777777" w:rsidR="00217891" w:rsidRDefault="00217891" w:rsidP="009F7E71">
                              <w:pPr>
                                <w:ind w:firstLineChars="100" w:firstLine="210"/>
                                <w:rPr>
                                  <w:rFonts w:ascii="等线" w:hAnsi="等线"/>
                                </w:rPr>
                              </w:pPr>
                              <w:r>
                                <w:rPr>
                                  <w:rFonts w:ascii="等线" w:hAnsi="等线" w:hint="eastAsia"/>
                                </w:rPr>
                                <w:t>调配罐</w:t>
                              </w:r>
                            </w:p>
                          </w:txbxContent>
                        </wps:txbx>
                        <wps:bodyPr rot="0" vert="horz" wrap="square" lIns="91440" tIns="45720" rIns="91440" bIns="45720" anchor="t" anchorCtr="0" upright="1">
                          <a:noAutofit/>
                        </wps:bodyPr>
                      </wps:wsp>
                      <wps:wsp>
                        <wps:cNvPr id="37676" name="AutoShape 37673"/>
                        <wps:cNvCnPr>
                          <a:cxnSpLocks noChangeShapeType="1"/>
                        </wps:cNvCnPr>
                        <wps:spPr bwMode="auto">
                          <a:xfrm>
                            <a:off x="1982470" y="798830"/>
                            <a:ext cx="635" cy="358775"/>
                          </a:xfrm>
                          <a:prstGeom prst="straightConnector1">
                            <a:avLst/>
                          </a:prstGeom>
                          <a:noFill/>
                          <a:ln w="9525">
                            <a:solidFill>
                              <a:srgbClr val="000000"/>
                            </a:solidFill>
                            <a:round/>
                            <a:tailEnd type="triangle" w="med" len="med"/>
                          </a:ln>
                        </wps:spPr>
                        <wps:bodyPr/>
                      </wps:wsp>
                      <wps:wsp>
                        <wps:cNvPr id="19008" name="AutoShape 37674"/>
                        <wps:cNvCnPr>
                          <a:cxnSpLocks noChangeShapeType="1"/>
                        </wps:cNvCnPr>
                        <wps:spPr bwMode="auto">
                          <a:xfrm>
                            <a:off x="2347595" y="1294765"/>
                            <a:ext cx="390525" cy="635"/>
                          </a:xfrm>
                          <a:prstGeom prst="straightConnector1">
                            <a:avLst/>
                          </a:prstGeom>
                          <a:noFill/>
                          <a:ln w="9525">
                            <a:solidFill>
                              <a:srgbClr val="000000"/>
                            </a:solidFill>
                            <a:round/>
                            <a:tailEnd type="triangle" w="med" len="med"/>
                          </a:ln>
                        </wps:spPr>
                        <wps:bodyPr/>
                      </wps:wsp>
                      <wps:wsp>
                        <wps:cNvPr id="19009" name="Rectangle 37675"/>
                        <wps:cNvSpPr>
                          <a:spLocks noChangeArrowheads="1"/>
                        </wps:cNvSpPr>
                        <wps:spPr bwMode="auto">
                          <a:xfrm>
                            <a:off x="2757170" y="1111885"/>
                            <a:ext cx="962025" cy="288925"/>
                          </a:xfrm>
                          <a:prstGeom prst="rect">
                            <a:avLst/>
                          </a:prstGeom>
                          <a:noFill/>
                          <a:ln w="9525">
                            <a:solidFill>
                              <a:srgbClr val="000000"/>
                            </a:solidFill>
                            <a:miter lim="800000"/>
                          </a:ln>
                        </wps:spPr>
                        <wps:txbx>
                          <w:txbxContent>
                            <w:p w14:paraId="111FA935" w14:textId="77777777" w:rsidR="00217891" w:rsidRDefault="00217891" w:rsidP="009F7E71">
                              <w:pPr>
                                <w:ind w:firstLineChars="100" w:firstLine="210"/>
                                <w:rPr>
                                  <w:rFonts w:ascii="等线" w:hAnsi="等线"/>
                                </w:rPr>
                              </w:pPr>
                              <w:r>
                                <w:rPr>
                                  <w:rFonts w:ascii="等线" w:hAnsi="等线" w:hint="eastAsia"/>
                                </w:rPr>
                                <w:t>中间罐</w:t>
                              </w:r>
                            </w:p>
                          </w:txbxContent>
                        </wps:txbx>
                        <wps:bodyPr rot="0" vert="horz" wrap="square" lIns="91440" tIns="45720" rIns="91440" bIns="45720" anchor="t" anchorCtr="0" upright="1">
                          <a:noAutofit/>
                        </wps:bodyPr>
                      </wps:wsp>
                      <wps:wsp>
                        <wps:cNvPr id="19010" name="AutoShape 37676"/>
                        <wps:cNvCnPr>
                          <a:cxnSpLocks noChangeShapeType="1"/>
                        </wps:cNvCnPr>
                        <wps:spPr bwMode="auto">
                          <a:xfrm>
                            <a:off x="3221355" y="1407160"/>
                            <a:ext cx="1270" cy="600075"/>
                          </a:xfrm>
                          <a:prstGeom prst="straightConnector1">
                            <a:avLst/>
                          </a:prstGeom>
                          <a:noFill/>
                          <a:ln w="9525">
                            <a:solidFill>
                              <a:srgbClr val="000000"/>
                            </a:solidFill>
                            <a:round/>
                            <a:tailEnd type="triangle" w="med" len="med"/>
                          </a:ln>
                        </wps:spPr>
                        <wps:bodyPr/>
                      </wps:wsp>
                      <wps:wsp>
                        <wps:cNvPr id="19011" name="Rectangle 37677"/>
                        <wps:cNvSpPr>
                          <a:spLocks noChangeArrowheads="1"/>
                        </wps:cNvSpPr>
                        <wps:spPr bwMode="auto">
                          <a:xfrm>
                            <a:off x="2802890" y="1995805"/>
                            <a:ext cx="962025" cy="288925"/>
                          </a:xfrm>
                          <a:prstGeom prst="rect">
                            <a:avLst/>
                          </a:prstGeom>
                          <a:noFill/>
                          <a:ln w="9525">
                            <a:solidFill>
                              <a:srgbClr val="000000"/>
                            </a:solidFill>
                            <a:miter lim="800000"/>
                          </a:ln>
                        </wps:spPr>
                        <wps:txbx>
                          <w:txbxContent>
                            <w:p w14:paraId="6992E8C3" w14:textId="77777777" w:rsidR="00217891" w:rsidRDefault="00217891" w:rsidP="009F7E71">
                              <w:pPr>
                                <w:ind w:firstLineChars="100" w:firstLine="210"/>
                                <w:rPr>
                                  <w:rFonts w:ascii="等线" w:hAnsi="等线"/>
                                </w:rPr>
                              </w:pPr>
                              <w:r>
                                <w:rPr>
                                  <w:rFonts w:ascii="等线" w:hAnsi="等线" w:hint="eastAsia"/>
                                </w:rPr>
                                <w:t>聚合釜</w:t>
                              </w:r>
                            </w:p>
                          </w:txbxContent>
                        </wps:txbx>
                        <wps:bodyPr rot="0" vert="horz" wrap="square" lIns="91440" tIns="45720" rIns="91440" bIns="45720" anchor="t" anchorCtr="0" upright="1">
                          <a:noAutofit/>
                        </wps:bodyPr>
                      </wps:wsp>
                      <wps:wsp>
                        <wps:cNvPr id="19012" name="AutoShape 37678"/>
                        <wps:cNvCnPr>
                          <a:cxnSpLocks noChangeShapeType="1"/>
                        </wps:cNvCnPr>
                        <wps:spPr bwMode="auto">
                          <a:xfrm flipV="1">
                            <a:off x="4423410" y="891540"/>
                            <a:ext cx="7620" cy="1081405"/>
                          </a:xfrm>
                          <a:prstGeom prst="straightConnector1">
                            <a:avLst/>
                          </a:prstGeom>
                          <a:noFill/>
                          <a:ln w="9525">
                            <a:solidFill>
                              <a:srgbClr val="000000"/>
                            </a:solidFill>
                            <a:round/>
                          </a:ln>
                        </wps:spPr>
                        <wps:bodyPr/>
                      </wps:wsp>
                      <wps:wsp>
                        <wps:cNvPr id="19013" name="AutoShape 37679"/>
                        <wps:cNvCnPr>
                          <a:cxnSpLocks noChangeShapeType="1"/>
                        </wps:cNvCnPr>
                        <wps:spPr bwMode="auto">
                          <a:xfrm>
                            <a:off x="4261485" y="3961765"/>
                            <a:ext cx="261620" cy="635"/>
                          </a:xfrm>
                          <a:prstGeom prst="straightConnector1">
                            <a:avLst/>
                          </a:prstGeom>
                          <a:noFill/>
                          <a:ln w="9525">
                            <a:solidFill>
                              <a:srgbClr val="000000"/>
                            </a:solidFill>
                            <a:prstDash val="dash"/>
                            <a:round/>
                            <a:tailEnd type="triangle" w="med" len="med"/>
                          </a:ln>
                        </wps:spPr>
                        <wps:bodyPr/>
                      </wps:wsp>
                      <wps:wsp>
                        <wps:cNvPr id="19014" name="Rectangle 37680"/>
                        <wps:cNvSpPr>
                          <a:spLocks noChangeArrowheads="1"/>
                        </wps:cNvSpPr>
                        <wps:spPr bwMode="auto">
                          <a:xfrm>
                            <a:off x="4523105" y="3910965"/>
                            <a:ext cx="358140" cy="767715"/>
                          </a:xfrm>
                          <a:prstGeom prst="rect">
                            <a:avLst/>
                          </a:prstGeom>
                          <a:noFill/>
                          <a:ln w="9525">
                            <a:solidFill>
                              <a:srgbClr val="000000"/>
                            </a:solidFill>
                            <a:miter lim="800000"/>
                          </a:ln>
                        </wps:spPr>
                        <wps:txbx>
                          <w:txbxContent>
                            <w:p w14:paraId="2A3A1132" w14:textId="77777777" w:rsidR="00217891" w:rsidRDefault="00217891" w:rsidP="009F7E71">
                              <w:r>
                                <w:rPr>
                                  <w:rFonts w:hint="eastAsia"/>
                                </w:rPr>
                                <w:t>水喷淋</w:t>
                              </w:r>
                            </w:p>
                          </w:txbxContent>
                        </wps:txbx>
                        <wps:bodyPr rot="0" vert="horz" wrap="square" lIns="91440" tIns="45720" rIns="91440" bIns="45720" anchor="t" anchorCtr="0" upright="1">
                          <a:noAutofit/>
                        </wps:bodyPr>
                      </wps:wsp>
                      <wps:wsp>
                        <wps:cNvPr id="19015" name="AutoShape 37681"/>
                        <wps:cNvCnPr>
                          <a:cxnSpLocks noChangeShapeType="1"/>
                        </wps:cNvCnPr>
                        <wps:spPr bwMode="auto">
                          <a:xfrm flipH="1">
                            <a:off x="3204210" y="2277110"/>
                            <a:ext cx="12700" cy="1830070"/>
                          </a:xfrm>
                          <a:prstGeom prst="straightConnector1">
                            <a:avLst/>
                          </a:prstGeom>
                          <a:noFill/>
                          <a:ln w="9525">
                            <a:solidFill>
                              <a:srgbClr val="000000"/>
                            </a:solidFill>
                            <a:round/>
                            <a:tailEnd type="triangle" w="med" len="med"/>
                          </a:ln>
                        </wps:spPr>
                        <wps:bodyPr/>
                      </wps:wsp>
                      <wps:wsp>
                        <wps:cNvPr id="19016" name="Rectangle 37682"/>
                        <wps:cNvSpPr>
                          <a:spLocks noChangeArrowheads="1"/>
                        </wps:cNvSpPr>
                        <wps:spPr bwMode="auto">
                          <a:xfrm>
                            <a:off x="2727960" y="4076700"/>
                            <a:ext cx="962025" cy="288925"/>
                          </a:xfrm>
                          <a:prstGeom prst="rect">
                            <a:avLst/>
                          </a:prstGeom>
                          <a:noFill/>
                          <a:ln w="9525">
                            <a:solidFill>
                              <a:srgbClr val="000000"/>
                            </a:solidFill>
                            <a:miter lim="800000"/>
                          </a:ln>
                        </wps:spPr>
                        <wps:txbx>
                          <w:txbxContent>
                            <w:p w14:paraId="2766B9EC" w14:textId="77777777" w:rsidR="00217891" w:rsidRDefault="00217891" w:rsidP="009F7E71">
                              <w:pPr>
                                <w:ind w:firstLineChars="100" w:firstLine="210"/>
                                <w:rPr>
                                  <w:rFonts w:ascii="等线" w:hAnsi="等线"/>
                                </w:rPr>
                              </w:pPr>
                              <w:r>
                                <w:rPr>
                                  <w:rFonts w:ascii="等线" w:hAnsi="等线" w:hint="eastAsia"/>
                                </w:rPr>
                                <w:t>冷却池</w:t>
                              </w:r>
                            </w:p>
                          </w:txbxContent>
                        </wps:txbx>
                        <wps:bodyPr rot="0" vert="horz" wrap="square" lIns="91440" tIns="45720" rIns="91440" bIns="45720" anchor="t" anchorCtr="0" upright="1">
                          <a:noAutofit/>
                        </wps:bodyPr>
                      </wps:wsp>
                      <wps:wsp>
                        <wps:cNvPr id="19017" name="AutoShape 37683"/>
                        <wps:cNvCnPr>
                          <a:cxnSpLocks noChangeShapeType="1"/>
                        </wps:cNvCnPr>
                        <wps:spPr bwMode="auto">
                          <a:xfrm flipH="1">
                            <a:off x="5792470" y="2178685"/>
                            <a:ext cx="12700" cy="5844540"/>
                          </a:xfrm>
                          <a:prstGeom prst="straightConnector1">
                            <a:avLst/>
                          </a:prstGeom>
                          <a:noFill/>
                          <a:ln w="9525">
                            <a:solidFill>
                              <a:srgbClr val="000000"/>
                            </a:solidFill>
                            <a:round/>
                            <a:tailEnd type="triangle" w="med" len="med"/>
                          </a:ln>
                        </wps:spPr>
                        <wps:bodyPr/>
                      </wps:wsp>
                      <wps:wsp>
                        <wps:cNvPr id="19018" name="AutoShape 37684"/>
                        <wps:cNvCnPr>
                          <a:cxnSpLocks noChangeShapeType="1"/>
                        </wps:cNvCnPr>
                        <wps:spPr bwMode="auto">
                          <a:xfrm>
                            <a:off x="3766820" y="2132330"/>
                            <a:ext cx="405130" cy="635"/>
                          </a:xfrm>
                          <a:prstGeom prst="straightConnector1">
                            <a:avLst/>
                          </a:prstGeom>
                          <a:noFill/>
                          <a:ln w="9525">
                            <a:solidFill>
                              <a:srgbClr val="000000"/>
                            </a:solidFill>
                            <a:round/>
                            <a:tailEnd type="triangle" w="med" len="med"/>
                          </a:ln>
                        </wps:spPr>
                        <wps:bodyPr/>
                      </wps:wsp>
                      <wps:wsp>
                        <wps:cNvPr id="19019" name="AutoShape 37686"/>
                        <wps:cNvCnPr>
                          <a:cxnSpLocks noChangeShapeType="1"/>
                        </wps:cNvCnPr>
                        <wps:spPr bwMode="auto">
                          <a:xfrm>
                            <a:off x="2358390" y="4205605"/>
                            <a:ext cx="390525" cy="635"/>
                          </a:xfrm>
                          <a:prstGeom prst="straightConnector1">
                            <a:avLst/>
                          </a:prstGeom>
                          <a:noFill/>
                          <a:ln w="9525">
                            <a:solidFill>
                              <a:srgbClr val="000000"/>
                            </a:solidFill>
                            <a:round/>
                            <a:tailEnd type="triangle" w="med" len="med"/>
                          </a:ln>
                        </wps:spPr>
                        <wps:bodyPr/>
                      </wps:wsp>
                      <wps:wsp>
                        <wps:cNvPr id="19020" name="Rectangle 37687"/>
                        <wps:cNvSpPr>
                          <a:spLocks noChangeArrowheads="1"/>
                        </wps:cNvSpPr>
                        <wps:spPr bwMode="auto">
                          <a:xfrm>
                            <a:off x="1396365" y="4022725"/>
                            <a:ext cx="962025" cy="288925"/>
                          </a:xfrm>
                          <a:prstGeom prst="rect">
                            <a:avLst/>
                          </a:prstGeom>
                          <a:noFill/>
                          <a:ln w="9525">
                            <a:solidFill>
                              <a:srgbClr val="000000"/>
                            </a:solidFill>
                            <a:miter lim="800000"/>
                          </a:ln>
                        </wps:spPr>
                        <wps:txbx>
                          <w:txbxContent>
                            <w:p w14:paraId="6EB72FF9" w14:textId="77777777" w:rsidR="00217891" w:rsidRDefault="00217891" w:rsidP="009F7E71">
                              <w:pPr>
                                <w:ind w:firstLineChars="100" w:firstLine="210"/>
                                <w:rPr>
                                  <w:rFonts w:ascii="等线" w:hAnsi="等线"/>
                                </w:rPr>
                              </w:pPr>
                              <w:r>
                                <w:rPr>
                                  <w:rFonts w:ascii="等线" w:hAnsi="等线" w:hint="eastAsia"/>
                                </w:rPr>
                                <w:t>循环系统</w:t>
                              </w:r>
                            </w:p>
                          </w:txbxContent>
                        </wps:txbx>
                        <wps:bodyPr rot="0" vert="horz" wrap="square" lIns="91440" tIns="45720" rIns="91440" bIns="45720" anchor="t" anchorCtr="0" upright="1">
                          <a:noAutofit/>
                        </wps:bodyPr>
                      </wps:wsp>
                      <wps:wsp>
                        <wps:cNvPr id="19021" name="AutoShape 37688"/>
                        <wps:cNvCnPr>
                          <a:cxnSpLocks noChangeShapeType="1"/>
                        </wps:cNvCnPr>
                        <wps:spPr bwMode="auto">
                          <a:xfrm>
                            <a:off x="936625" y="4175125"/>
                            <a:ext cx="459740" cy="635"/>
                          </a:xfrm>
                          <a:prstGeom prst="straightConnector1">
                            <a:avLst/>
                          </a:prstGeom>
                          <a:noFill/>
                          <a:ln w="9525">
                            <a:solidFill>
                              <a:srgbClr val="000000"/>
                            </a:solidFill>
                            <a:round/>
                            <a:tailEnd type="triangle" w="med" len="med"/>
                          </a:ln>
                        </wps:spPr>
                        <wps:bodyPr/>
                      </wps:wsp>
                      <wps:wsp>
                        <wps:cNvPr id="19022" name="Rectangle 37689"/>
                        <wps:cNvSpPr>
                          <a:spLocks noChangeArrowheads="1"/>
                        </wps:cNvSpPr>
                        <wps:spPr bwMode="auto">
                          <a:xfrm>
                            <a:off x="584835" y="3910965"/>
                            <a:ext cx="1085850" cy="279400"/>
                          </a:xfrm>
                          <a:prstGeom prst="rect">
                            <a:avLst/>
                          </a:prstGeom>
                          <a:noFill/>
                          <a:ln>
                            <a:noFill/>
                          </a:ln>
                        </wps:spPr>
                        <wps:txbx>
                          <w:txbxContent>
                            <w:p w14:paraId="2CFD085F" w14:textId="77777777" w:rsidR="00217891" w:rsidRDefault="00217891" w:rsidP="009F7E71">
                              <w:pPr>
                                <w:rPr>
                                  <w:rFonts w:asciiTheme="minorHAnsi" w:hAnsiTheme="minorHAnsi"/>
                                </w:rPr>
                              </w:pPr>
                              <w:r>
                                <w:rPr>
                                  <w:rFonts w:asciiTheme="minorHAnsi" w:hAnsiTheme="minorHAnsi" w:hint="eastAsia"/>
                                </w:rPr>
                                <w:t>脱盐水</w:t>
                              </w:r>
                              <w:r>
                                <w:rPr>
                                  <w:rFonts w:ascii="Calibri" w:hAnsi="Calibri"/>
                                </w:rPr>
                                <w:t>206</w:t>
                              </w:r>
                            </w:p>
                          </w:txbxContent>
                        </wps:txbx>
                        <wps:bodyPr rot="0" vert="horz" wrap="square" lIns="91440" tIns="45720" rIns="91440" bIns="45720" anchor="t" anchorCtr="0" upright="1">
                          <a:noAutofit/>
                        </wps:bodyPr>
                      </wps:wsp>
                      <wps:wsp>
                        <wps:cNvPr id="19023" name="AutoShape 37690"/>
                        <wps:cNvCnPr>
                          <a:cxnSpLocks noChangeShapeType="1"/>
                        </wps:cNvCnPr>
                        <wps:spPr bwMode="auto">
                          <a:xfrm>
                            <a:off x="2010410" y="4320540"/>
                            <a:ext cx="0" cy="2514600"/>
                          </a:xfrm>
                          <a:prstGeom prst="straightConnector1">
                            <a:avLst/>
                          </a:prstGeom>
                          <a:noFill/>
                          <a:ln w="9525">
                            <a:solidFill>
                              <a:srgbClr val="000000"/>
                            </a:solidFill>
                            <a:round/>
                          </a:ln>
                        </wps:spPr>
                        <wps:bodyPr/>
                      </wps:wsp>
                      <wps:wsp>
                        <wps:cNvPr id="19024" name="Rectangle 37691"/>
                        <wps:cNvSpPr>
                          <a:spLocks noChangeArrowheads="1"/>
                        </wps:cNvSpPr>
                        <wps:spPr bwMode="auto">
                          <a:xfrm>
                            <a:off x="906145" y="4942205"/>
                            <a:ext cx="1418590" cy="818515"/>
                          </a:xfrm>
                          <a:prstGeom prst="rect">
                            <a:avLst/>
                          </a:prstGeom>
                          <a:noFill/>
                          <a:ln>
                            <a:noFill/>
                          </a:ln>
                        </wps:spPr>
                        <wps:txbx>
                          <w:txbxContent>
                            <w:p w14:paraId="12417A73" w14:textId="77777777" w:rsidR="00217891" w:rsidRPr="00C97A7B" w:rsidRDefault="00217891" w:rsidP="009F7E71">
                              <w:pPr>
                                <w:ind w:firstLineChars="100" w:firstLine="200"/>
                                <w:rPr>
                                  <w:rFonts w:ascii="Calibri" w:hAnsi="Calibri"/>
                                  <w:sz w:val="20"/>
                                  <w:szCs w:val="20"/>
                                </w:rPr>
                              </w:pPr>
                              <w:r w:rsidRPr="00C97A7B">
                                <w:rPr>
                                  <w:rFonts w:ascii="Calibri" w:hAnsi="Calibri"/>
                                  <w:sz w:val="20"/>
                                  <w:szCs w:val="20"/>
                                </w:rPr>
                                <w:t>排污水：</w:t>
                              </w:r>
                              <w:r>
                                <w:rPr>
                                  <w:rFonts w:ascii="Calibri" w:hAnsi="Calibri"/>
                                  <w:sz w:val="20"/>
                                  <w:szCs w:val="20"/>
                                </w:rPr>
                                <w:t>21</w:t>
                              </w:r>
                            </w:p>
                            <w:p w14:paraId="750342AD" w14:textId="77777777" w:rsidR="00217891" w:rsidRPr="00C97A7B" w:rsidRDefault="00217891" w:rsidP="009F7E71">
                              <w:pPr>
                                <w:rPr>
                                  <w:rFonts w:ascii="Calibri" w:hAnsi="Calibri"/>
                                  <w:sz w:val="20"/>
                                  <w:szCs w:val="20"/>
                                </w:rPr>
                              </w:pPr>
                              <w:r w:rsidRPr="00C97A7B">
                                <w:rPr>
                                  <w:rFonts w:ascii="Calibri" w:hAnsi="Calibri"/>
                                  <w:sz w:val="20"/>
                                  <w:szCs w:val="20"/>
                                </w:rPr>
                                <w:t>（己二胺</w:t>
                              </w:r>
                              <w:r w:rsidRPr="00C97A7B">
                                <w:rPr>
                                  <w:rFonts w:ascii="Calibri" w:hAnsi="Calibri"/>
                                  <w:sz w:val="20"/>
                                  <w:szCs w:val="20"/>
                                </w:rPr>
                                <w:t>0.0</w:t>
                              </w:r>
                              <w:r>
                                <w:rPr>
                                  <w:rFonts w:ascii="Calibri" w:hAnsi="Calibri"/>
                                  <w:sz w:val="20"/>
                                  <w:szCs w:val="20"/>
                                </w:rPr>
                                <w:t>8</w:t>
                              </w:r>
                              <w:r w:rsidRPr="00C97A7B">
                                <w:rPr>
                                  <w:rFonts w:ascii="Calibri" w:hAnsi="Calibri"/>
                                  <w:sz w:val="20"/>
                                  <w:szCs w:val="20"/>
                                </w:rPr>
                                <w:t>）</w:t>
                              </w:r>
                            </w:p>
                          </w:txbxContent>
                        </wps:txbx>
                        <wps:bodyPr rot="0" vert="horz" wrap="square" lIns="91440" tIns="45720" rIns="91440" bIns="45720" anchor="t" anchorCtr="0" upright="1">
                          <a:noAutofit/>
                        </wps:bodyPr>
                      </wps:wsp>
                      <wps:wsp>
                        <wps:cNvPr id="19025" name="AutoShape 37692"/>
                        <wps:cNvCnPr>
                          <a:cxnSpLocks noChangeShapeType="1"/>
                        </wps:cNvCnPr>
                        <wps:spPr bwMode="auto">
                          <a:xfrm>
                            <a:off x="3700145" y="4236085"/>
                            <a:ext cx="810895" cy="635"/>
                          </a:xfrm>
                          <a:prstGeom prst="straightConnector1">
                            <a:avLst/>
                          </a:prstGeom>
                          <a:noFill/>
                          <a:ln w="9525">
                            <a:solidFill>
                              <a:srgbClr val="000000"/>
                            </a:solidFill>
                            <a:prstDash val="dash"/>
                            <a:round/>
                            <a:tailEnd type="triangle" w="med" len="med"/>
                          </a:ln>
                        </wps:spPr>
                        <wps:bodyPr/>
                      </wps:wsp>
                      <wps:wsp>
                        <wps:cNvPr id="19026" name="Rectangle 37693"/>
                        <wps:cNvSpPr>
                          <a:spLocks noChangeArrowheads="1"/>
                        </wps:cNvSpPr>
                        <wps:spPr bwMode="auto">
                          <a:xfrm>
                            <a:off x="3359784" y="3977005"/>
                            <a:ext cx="1163321" cy="755015"/>
                          </a:xfrm>
                          <a:prstGeom prst="rect">
                            <a:avLst/>
                          </a:prstGeom>
                          <a:noFill/>
                          <a:ln>
                            <a:noFill/>
                          </a:ln>
                        </wps:spPr>
                        <wps:txbx>
                          <w:txbxContent>
                            <w:p w14:paraId="43BB1A21" w14:textId="77777777" w:rsidR="00217891" w:rsidRPr="00AE1181" w:rsidRDefault="00217891" w:rsidP="009F7E71">
                              <w:pPr>
                                <w:rPr>
                                  <w:rFonts w:ascii="Calibri" w:hAnsi="Calibri"/>
                                  <w:sz w:val="20"/>
                                  <w:szCs w:val="20"/>
                                </w:rPr>
                              </w:pPr>
                              <w:r w:rsidRPr="00AE1181">
                                <w:rPr>
                                  <w:rFonts w:ascii="Calibri" w:hAnsi="Calibri"/>
                                  <w:sz w:val="20"/>
                                  <w:szCs w:val="20"/>
                                </w:rPr>
                                <w:t>蒸发废气：</w:t>
                              </w:r>
                              <w:r>
                                <w:rPr>
                                  <w:rFonts w:ascii="Calibri" w:hAnsi="Calibri"/>
                                  <w:sz w:val="20"/>
                                  <w:szCs w:val="20"/>
                                </w:rPr>
                                <w:t>185</w:t>
                              </w:r>
                            </w:p>
                            <w:p w14:paraId="7BE63A27" w14:textId="77777777" w:rsidR="00217891" w:rsidRPr="00AE1181" w:rsidRDefault="00217891" w:rsidP="009F7E71">
                              <w:pPr>
                                <w:rPr>
                                  <w:rFonts w:ascii="Calibri" w:hAnsi="Calibri"/>
                                  <w:sz w:val="20"/>
                                  <w:szCs w:val="20"/>
                                </w:rPr>
                              </w:pPr>
                              <w:r w:rsidRPr="00AE1181">
                                <w:rPr>
                                  <w:rFonts w:ascii="Calibri" w:hAnsi="Calibri"/>
                                  <w:sz w:val="20"/>
                                  <w:szCs w:val="20"/>
                                </w:rPr>
                                <w:t>（其中水：</w:t>
                              </w:r>
                              <w:r>
                                <w:rPr>
                                  <w:rFonts w:ascii="Calibri" w:hAnsi="Calibri"/>
                                  <w:sz w:val="20"/>
                                  <w:szCs w:val="20"/>
                                </w:rPr>
                                <w:t>184.95</w:t>
                              </w:r>
                            </w:p>
                            <w:p w14:paraId="4A51E606" w14:textId="77777777" w:rsidR="00217891" w:rsidRDefault="00217891" w:rsidP="009F7E71">
                              <w:pPr>
                                <w:rPr>
                                  <w:rFonts w:asciiTheme="minorHAnsi" w:hAnsiTheme="minorHAnsi"/>
                                  <w:sz w:val="20"/>
                                  <w:szCs w:val="20"/>
                                </w:rPr>
                              </w:pPr>
                              <w:r w:rsidRPr="00AE1181">
                                <w:rPr>
                                  <w:rFonts w:ascii="Calibri" w:hAnsi="Calibri"/>
                                  <w:sz w:val="20"/>
                                  <w:szCs w:val="20"/>
                                </w:rPr>
                                <w:t>己二胺</w:t>
                              </w:r>
                              <w:r w:rsidRPr="00AE1181">
                                <w:rPr>
                                  <w:rFonts w:ascii="Calibri" w:hAnsi="Calibri"/>
                                  <w:sz w:val="20"/>
                                  <w:szCs w:val="20"/>
                                </w:rPr>
                                <w:t>0.0</w:t>
                              </w:r>
                              <w:r>
                                <w:rPr>
                                  <w:rFonts w:ascii="Calibri" w:hAnsi="Calibri"/>
                                  <w:sz w:val="20"/>
                                  <w:szCs w:val="20"/>
                                </w:rPr>
                                <w:t>5</w:t>
                              </w:r>
                              <w:r w:rsidRPr="00AE1181">
                                <w:rPr>
                                  <w:rFonts w:ascii="Calibri" w:hAnsi="Calibri"/>
                                  <w:sz w:val="20"/>
                                  <w:szCs w:val="20"/>
                                </w:rPr>
                                <w:t>）</w:t>
                              </w:r>
                            </w:p>
                          </w:txbxContent>
                        </wps:txbx>
                        <wps:bodyPr rot="0" vert="horz" wrap="square" lIns="91440" tIns="45720" rIns="91440" bIns="45720" anchor="t" anchorCtr="0" upright="1">
                          <a:noAutofit/>
                        </wps:bodyPr>
                      </wps:wsp>
                      <wps:wsp>
                        <wps:cNvPr id="19028" name="AutoShape 37694"/>
                        <wps:cNvCnPr>
                          <a:cxnSpLocks noChangeShapeType="1"/>
                        </wps:cNvCnPr>
                        <wps:spPr bwMode="auto">
                          <a:xfrm>
                            <a:off x="3187700" y="4365625"/>
                            <a:ext cx="1905" cy="517525"/>
                          </a:xfrm>
                          <a:prstGeom prst="straightConnector1">
                            <a:avLst/>
                          </a:prstGeom>
                          <a:noFill/>
                          <a:ln w="9525">
                            <a:solidFill>
                              <a:srgbClr val="000000"/>
                            </a:solidFill>
                            <a:round/>
                            <a:tailEnd type="triangle" w="med" len="med"/>
                          </a:ln>
                        </wps:spPr>
                        <wps:bodyPr/>
                      </wps:wsp>
                      <wps:wsp>
                        <wps:cNvPr id="19029" name="Rectangle 37695"/>
                        <wps:cNvSpPr>
                          <a:spLocks noChangeArrowheads="1"/>
                        </wps:cNvSpPr>
                        <wps:spPr bwMode="auto">
                          <a:xfrm>
                            <a:off x="2711450" y="4888230"/>
                            <a:ext cx="962025" cy="288925"/>
                          </a:xfrm>
                          <a:prstGeom prst="rect">
                            <a:avLst/>
                          </a:prstGeom>
                          <a:noFill/>
                          <a:ln w="9525">
                            <a:solidFill>
                              <a:srgbClr val="000000"/>
                            </a:solidFill>
                            <a:miter lim="800000"/>
                          </a:ln>
                        </wps:spPr>
                        <wps:txbx>
                          <w:txbxContent>
                            <w:p w14:paraId="661D96AD" w14:textId="77777777" w:rsidR="00217891" w:rsidRDefault="00217891" w:rsidP="009F7E71">
                              <w:pPr>
                                <w:ind w:firstLineChars="200" w:firstLine="420"/>
                                <w:rPr>
                                  <w:rFonts w:ascii="等线" w:hAnsi="等线"/>
                                </w:rPr>
                              </w:pPr>
                              <w:r>
                                <w:rPr>
                                  <w:rFonts w:ascii="等线" w:hAnsi="等线" w:hint="eastAsia"/>
                                </w:rPr>
                                <w:t>制粒</w:t>
                              </w:r>
                            </w:p>
                          </w:txbxContent>
                        </wps:txbx>
                        <wps:bodyPr rot="0" vert="horz" wrap="square" lIns="91440" tIns="45720" rIns="91440" bIns="45720" anchor="t" anchorCtr="0" upright="1">
                          <a:noAutofit/>
                        </wps:bodyPr>
                      </wps:wsp>
                      <wps:wsp>
                        <wps:cNvPr id="19030" name="AutoShape 37696"/>
                        <wps:cNvCnPr>
                          <a:cxnSpLocks noChangeShapeType="1"/>
                        </wps:cNvCnPr>
                        <wps:spPr bwMode="auto">
                          <a:xfrm>
                            <a:off x="3673475" y="5043170"/>
                            <a:ext cx="459740" cy="635"/>
                          </a:xfrm>
                          <a:prstGeom prst="straightConnector1">
                            <a:avLst/>
                          </a:prstGeom>
                          <a:noFill/>
                          <a:ln w="9525">
                            <a:solidFill>
                              <a:srgbClr val="000000"/>
                            </a:solidFill>
                            <a:round/>
                            <a:tailEnd type="triangle" w="med" len="med"/>
                          </a:ln>
                        </wps:spPr>
                        <wps:bodyPr/>
                      </wps:wsp>
                      <wps:wsp>
                        <wps:cNvPr id="19031" name="Rectangle 37697"/>
                        <wps:cNvSpPr>
                          <a:spLocks noChangeArrowheads="1"/>
                        </wps:cNvSpPr>
                        <wps:spPr bwMode="auto">
                          <a:xfrm>
                            <a:off x="3396615" y="5053965"/>
                            <a:ext cx="1085850" cy="279400"/>
                          </a:xfrm>
                          <a:prstGeom prst="rect">
                            <a:avLst/>
                          </a:prstGeom>
                          <a:noFill/>
                          <a:ln>
                            <a:noFill/>
                          </a:ln>
                        </wps:spPr>
                        <wps:txbx>
                          <w:txbxContent>
                            <w:p w14:paraId="28BC640F" w14:textId="77777777" w:rsidR="00217891" w:rsidRPr="00C16801" w:rsidRDefault="00217891" w:rsidP="009F7E71">
                              <w:pPr>
                                <w:rPr>
                                  <w:rFonts w:ascii="Calibri" w:hAnsi="Calibri"/>
                                </w:rPr>
                              </w:pPr>
                              <w:r w:rsidRPr="00C16801">
                                <w:rPr>
                                  <w:rFonts w:ascii="Calibri" w:hAnsi="Calibri"/>
                                </w:rPr>
                                <w:t>瑕疵品：</w:t>
                              </w:r>
                              <w:r>
                                <w:rPr>
                                  <w:rFonts w:ascii="Calibri" w:hAnsi="Calibri"/>
                                </w:rPr>
                                <w:t>24.714</w:t>
                              </w:r>
                            </w:p>
                          </w:txbxContent>
                        </wps:txbx>
                        <wps:bodyPr rot="0" vert="horz" wrap="square" lIns="91440" tIns="45720" rIns="91440" bIns="45720" anchor="t" anchorCtr="0" upright="1">
                          <a:noAutofit/>
                        </wps:bodyPr>
                      </wps:wsp>
                      <wps:wsp>
                        <wps:cNvPr id="19032" name="AutoShape 37698"/>
                        <wps:cNvCnPr>
                          <a:cxnSpLocks noChangeShapeType="1"/>
                        </wps:cNvCnPr>
                        <wps:spPr bwMode="auto">
                          <a:xfrm>
                            <a:off x="3190240" y="5179060"/>
                            <a:ext cx="1905" cy="517525"/>
                          </a:xfrm>
                          <a:prstGeom prst="straightConnector1">
                            <a:avLst/>
                          </a:prstGeom>
                          <a:noFill/>
                          <a:ln w="9525">
                            <a:solidFill>
                              <a:srgbClr val="000000"/>
                            </a:solidFill>
                            <a:round/>
                            <a:tailEnd type="triangle" w="med" len="med"/>
                          </a:ln>
                        </wps:spPr>
                        <wps:bodyPr/>
                      </wps:wsp>
                      <wps:wsp>
                        <wps:cNvPr id="19033" name="Rectangle 37699"/>
                        <wps:cNvSpPr>
                          <a:spLocks noChangeArrowheads="1"/>
                        </wps:cNvSpPr>
                        <wps:spPr bwMode="auto">
                          <a:xfrm>
                            <a:off x="2738120" y="5713095"/>
                            <a:ext cx="962025" cy="288925"/>
                          </a:xfrm>
                          <a:prstGeom prst="rect">
                            <a:avLst/>
                          </a:prstGeom>
                          <a:noFill/>
                          <a:ln w="9525">
                            <a:solidFill>
                              <a:srgbClr val="000000"/>
                            </a:solidFill>
                            <a:miter lim="800000"/>
                          </a:ln>
                        </wps:spPr>
                        <wps:txbx>
                          <w:txbxContent>
                            <w:p w14:paraId="594DD578" w14:textId="77777777" w:rsidR="00217891" w:rsidRDefault="00217891" w:rsidP="009F7E71">
                              <w:pPr>
                                <w:ind w:firstLineChars="200" w:firstLine="420"/>
                                <w:rPr>
                                  <w:rFonts w:ascii="等线" w:hAnsi="等线"/>
                                </w:rPr>
                              </w:pPr>
                              <w:r>
                                <w:rPr>
                                  <w:rFonts w:ascii="等线" w:hAnsi="等线" w:hint="eastAsia"/>
                                </w:rPr>
                                <w:t>干燥</w:t>
                              </w:r>
                            </w:p>
                          </w:txbxContent>
                        </wps:txbx>
                        <wps:bodyPr rot="0" vert="horz" wrap="square" lIns="91440" tIns="45720" rIns="91440" bIns="45720" anchor="t" anchorCtr="0" upright="1">
                          <a:noAutofit/>
                        </wps:bodyPr>
                      </wps:wsp>
                      <wps:wsp>
                        <wps:cNvPr id="19034" name="AutoShape 37700"/>
                        <wps:cNvCnPr>
                          <a:cxnSpLocks noChangeShapeType="1"/>
                        </wps:cNvCnPr>
                        <wps:spPr bwMode="auto">
                          <a:xfrm>
                            <a:off x="3700145" y="5873750"/>
                            <a:ext cx="459740" cy="635"/>
                          </a:xfrm>
                          <a:prstGeom prst="straightConnector1">
                            <a:avLst/>
                          </a:prstGeom>
                          <a:noFill/>
                          <a:ln w="9525">
                            <a:solidFill>
                              <a:srgbClr val="000000"/>
                            </a:solidFill>
                            <a:round/>
                            <a:tailEnd type="triangle" w="med" len="med"/>
                          </a:ln>
                        </wps:spPr>
                        <wps:bodyPr/>
                      </wps:wsp>
                      <wps:wsp>
                        <wps:cNvPr id="19035" name="Rectangle 37701"/>
                        <wps:cNvSpPr>
                          <a:spLocks noChangeArrowheads="1"/>
                        </wps:cNvSpPr>
                        <wps:spPr bwMode="auto">
                          <a:xfrm>
                            <a:off x="3267075" y="5950585"/>
                            <a:ext cx="1085850" cy="279400"/>
                          </a:xfrm>
                          <a:prstGeom prst="rect">
                            <a:avLst/>
                          </a:prstGeom>
                          <a:noFill/>
                          <a:ln>
                            <a:noFill/>
                          </a:ln>
                        </wps:spPr>
                        <wps:txbx>
                          <w:txbxContent>
                            <w:p w14:paraId="0B59EED3" w14:textId="77777777" w:rsidR="00217891" w:rsidRPr="00C97A7B" w:rsidRDefault="00217891" w:rsidP="009F7E71">
                              <w:pPr>
                                <w:rPr>
                                  <w:rFonts w:ascii="Calibri" w:hAnsi="Calibri"/>
                                </w:rPr>
                              </w:pPr>
                              <w:r w:rsidRPr="00C97A7B">
                                <w:rPr>
                                  <w:rFonts w:ascii="Calibri" w:hAnsi="Calibri"/>
                                </w:rPr>
                                <w:t>蒸发水：</w:t>
                              </w:r>
                              <w:r>
                                <w:rPr>
                                  <w:rFonts w:ascii="Calibri" w:hAnsi="Calibri"/>
                                </w:rPr>
                                <w:t>16.5</w:t>
                              </w:r>
                            </w:p>
                          </w:txbxContent>
                        </wps:txbx>
                        <wps:bodyPr rot="0" vert="horz" wrap="square" lIns="91440" tIns="45720" rIns="91440" bIns="45720" anchor="t" anchorCtr="0" upright="1">
                          <a:noAutofit/>
                        </wps:bodyPr>
                      </wps:wsp>
                      <wps:wsp>
                        <wps:cNvPr id="19036" name="AutoShape 37702"/>
                        <wps:cNvCnPr>
                          <a:cxnSpLocks noChangeShapeType="1"/>
                        </wps:cNvCnPr>
                        <wps:spPr bwMode="auto">
                          <a:xfrm>
                            <a:off x="3202305" y="6017260"/>
                            <a:ext cx="1905" cy="517525"/>
                          </a:xfrm>
                          <a:prstGeom prst="straightConnector1">
                            <a:avLst/>
                          </a:prstGeom>
                          <a:noFill/>
                          <a:ln w="9525">
                            <a:solidFill>
                              <a:srgbClr val="000000"/>
                            </a:solidFill>
                            <a:round/>
                            <a:tailEnd type="triangle" w="med" len="med"/>
                          </a:ln>
                        </wps:spPr>
                        <wps:bodyPr/>
                      </wps:wsp>
                      <wps:wsp>
                        <wps:cNvPr id="19037" name="Rectangle 37703"/>
                        <wps:cNvSpPr>
                          <a:spLocks noChangeArrowheads="1"/>
                        </wps:cNvSpPr>
                        <wps:spPr bwMode="auto">
                          <a:xfrm>
                            <a:off x="2757170" y="6478905"/>
                            <a:ext cx="1085850" cy="279400"/>
                          </a:xfrm>
                          <a:prstGeom prst="rect">
                            <a:avLst/>
                          </a:prstGeom>
                          <a:noFill/>
                          <a:ln>
                            <a:noFill/>
                          </a:ln>
                        </wps:spPr>
                        <wps:txbx>
                          <w:txbxContent>
                            <w:p w14:paraId="6D563AEB" w14:textId="77777777" w:rsidR="00217891" w:rsidRPr="00C16801" w:rsidRDefault="00217891" w:rsidP="009F7E71">
                              <w:pPr>
                                <w:rPr>
                                  <w:rFonts w:ascii="Calibri" w:hAnsi="Calibri"/>
                                </w:rPr>
                              </w:pPr>
                              <w:r>
                                <w:rPr>
                                  <w:rFonts w:asciiTheme="minorHAnsi" w:hAnsiTheme="minorHAnsi" w:hint="eastAsia"/>
                                </w:rPr>
                                <w:t>成品：</w:t>
                              </w:r>
                              <w:r>
                                <w:rPr>
                                  <w:rFonts w:ascii="Calibri" w:hAnsi="Calibri"/>
                                </w:rPr>
                                <w:t>4000</w:t>
                              </w:r>
                            </w:p>
                          </w:txbxContent>
                        </wps:txbx>
                        <wps:bodyPr rot="0" vert="horz" wrap="square" lIns="91440" tIns="45720" rIns="91440" bIns="45720" anchor="t" anchorCtr="0" upright="1">
                          <a:noAutofit/>
                        </wps:bodyPr>
                      </wps:wsp>
                      <wps:wsp>
                        <wps:cNvPr id="19038" name="Rectangle 37704"/>
                        <wps:cNvSpPr>
                          <a:spLocks noChangeArrowheads="1"/>
                        </wps:cNvSpPr>
                        <wps:spPr bwMode="auto">
                          <a:xfrm>
                            <a:off x="2983865" y="5348605"/>
                            <a:ext cx="1085850" cy="279400"/>
                          </a:xfrm>
                          <a:prstGeom prst="rect">
                            <a:avLst/>
                          </a:prstGeom>
                          <a:noFill/>
                          <a:ln>
                            <a:noFill/>
                          </a:ln>
                        </wps:spPr>
                        <wps:txbx>
                          <w:txbxContent>
                            <w:p w14:paraId="6967F464" w14:textId="77777777" w:rsidR="00217891" w:rsidRPr="00C97A7B" w:rsidRDefault="00217891" w:rsidP="009F7E71">
                              <w:pPr>
                                <w:ind w:firstLineChars="150" w:firstLine="315"/>
                                <w:rPr>
                                  <w:rFonts w:ascii="Calibri" w:hAnsi="Calibri"/>
                                </w:rPr>
                              </w:pPr>
                              <w:r>
                                <w:rPr>
                                  <w:rFonts w:ascii="Calibri" w:hAnsi="Calibri"/>
                                </w:rPr>
                                <w:t>4016.5</w:t>
                              </w:r>
                            </w:p>
                          </w:txbxContent>
                        </wps:txbx>
                        <wps:bodyPr rot="0" vert="horz" wrap="square" lIns="91440" tIns="45720" rIns="91440" bIns="45720" anchor="t" anchorCtr="0" upright="1">
                          <a:noAutofit/>
                        </wps:bodyPr>
                      </wps:wsp>
                      <wps:wsp>
                        <wps:cNvPr id="19039" name="Rectangle 37705"/>
                        <wps:cNvSpPr>
                          <a:spLocks noChangeArrowheads="1"/>
                        </wps:cNvSpPr>
                        <wps:spPr bwMode="auto">
                          <a:xfrm>
                            <a:off x="3031490" y="4575810"/>
                            <a:ext cx="1085850" cy="279400"/>
                          </a:xfrm>
                          <a:prstGeom prst="rect">
                            <a:avLst/>
                          </a:prstGeom>
                          <a:noFill/>
                          <a:ln>
                            <a:noFill/>
                          </a:ln>
                        </wps:spPr>
                        <wps:txbx>
                          <w:txbxContent>
                            <w:p w14:paraId="276E0A7D" w14:textId="77777777" w:rsidR="00217891" w:rsidRPr="00C97A7B" w:rsidRDefault="00217891" w:rsidP="009F7E71">
                              <w:pPr>
                                <w:ind w:firstLineChars="100" w:firstLine="210"/>
                                <w:rPr>
                                  <w:rFonts w:ascii="Calibri" w:hAnsi="Calibri"/>
                                </w:rPr>
                              </w:pPr>
                              <w:r>
                                <w:rPr>
                                  <w:rFonts w:ascii="Calibri" w:hAnsi="Calibri"/>
                                </w:rPr>
                                <w:t>4041.214</w:t>
                              </w:r>
                            </w:p>
                          </w:txbxContent>
                        </wps:txbx>
                        <wps:bodyPr rot="0" vert="horz" wrap="square" lIns="91440" tIns="45720" rIns="91440" bIns="45720" anchor="t" anchorCtr="0" upright="1">
                          <a:noAutofit/>
                        </wps:bodyPr>
                      </wps:wsp>
                      <wps:wsp>
                        <wps:cNvPr id="25824" name="Rectangle 37706"/>
                        <wps:cNvSpPr>
                          <a:spLocks noChangeArrowheads="1"/>
                        </wps:cNvSpPr>
                        <wps:spPr bwMode="auto">
                          <a:xfrm>
                            <a:off x="4154170" y="1988185"/>
                            <a:ext cx="702310" cy="288925"/>
                          </a:xfrm>
                          <a:prstGeom prst="rect">
                            <a:avLst/>
                          </a:prstGeom>
                          <a:noFill/>
                          <a:ln w="9525">
                            <a:solidFill>
                              <a:srgbClr val="000000"/>
                            </a:solidFill>
                            <a:miter lim="800000"/>
                          </a:ln>
                        </wps:spPr>
                        <wps:txbx>
                          <w:txbxContent>
                            <w:p w14:paraId="4B30E98E" w14:textId="77777777" w:rsidR="00217891" w:rsidRDefault="00217891" w:rsidP="009F7E71">
                              <w:pPr>
                                <w:rPr>
                                  <w:rFonts w:ascii="等线" w:hAnsi="等线"/>
                                </w:rPr>
                              </w:pPr>
                              <w:r>
                                <w:rPr>
                                  <w:rFonts w:ascii="等线" w:hAnsi="等线" w:hint="eastAsia"/>
                                </w:rPr>
                                <w:t>冷却塔</w:t>
                              </w:r>
                            </w:p>
                          </w:txbxContent>
                        </wps:txbx>
                        <wps:bodyPr rot="0" vert="horz" wrap="square" lIns="91440" tIns="45720" rIns="91440" bIns="45720" anchor="t" anchorCtr="0" upright="1">
                          <a:noAutofit/>
                        </wps:bodyPr>
                      </wps:wsp>
                      <wps:wsp>
                        <wps:cNvPr id="25825" name="AutoShape 37707"/>
                        <wps:cNvCnPr>
                          <a:cxnSpLocks noChangeShapeType="1"/>
                        </wps:cNvCnPr>
                        <wps:spPr bwMode="auto">
                          <a:xfrm flipH="1">
                            <a:off x="2246630" y="890270"/>
                            <a:ext cx="2181225" cy="1270"/>
                          </a:xfrm>
                          <a:prstGeom prst="straightConnector1">
                            <a:avLst/>
                          </a:prstGeom>
                          <a:noFill/>
                          <a:ln w="9525">
                            <a:solidFill>
                              <a:srgbClr val="000000"/>
                            </a:solidFill>
                            <a:round/>
                          </a:ln>
                        </wps:spPr>
                        <wps:bodyPr/>
                      </wps:wsp>
                      <wps:wsp>
                        <wps:cNvPr id="25826" name="AutoShape 37708"/>
                        <wps:cNvCnPr>
                          <a:cxnSpLocks noChangeShapeType="1"/>
                        </wps:cNvCnPr>
                        <wps:spPr bwMode="auto">
                          <a:xfrm flipH="1">
                            <a:off x="2235835" y="891540"/>
                            <a:ext cx="10795" cy="281940"/>
                          </a:xfrm>
                          <a:prstGeom prst="straightConnector1">
                            <a:avLst/>
                          </a:prstGeom>
                          <a:noFill/>
                          <a:ln w="9525">
                            <a:solidFill>
                              <a:srgbClr val="000000"/>
                            </a:solidFill>
                            <a:round/>
                            <a:tailEnd type="triangle" w="med" len="med"/>
                          </a:ln>
                        </wps:spPr>
                        <wps:bodyPr/>
                      </wps:wsp>
                      <wps:wsp>
                        <wps:cNvPr id="25827" name="Rectangle 37709"/>
                        <wps:cNvSpPr>
                          <a:spLocks noChangeArrowheads="1"/>
                        </wps:cNvSpPr>
                        <wps:spPr bwMode="auto">
                          <a:xfrm>
                            <a:off x="3396615" y="1852930"/>
                            <a:ext cx="1085850" cy="279400"/>
                          </a:xfrm>
                          <a:prstGeom prst="rect">
                            <a:avLst/>
                          </a:prstGeom>
                          <a:noFill/>
                          <a:ln>
                            <a:noFill/>
                          </a:ln>
                        </wps:spPr>
                        <wps:txbx>
                          <w:txbxContent>
                            <w:p w14:paraId="054224D9" w14:textId="77777777" w:rsidR="00217891" w:rsidRPr="00C97A7B" w:rsidRDefault="00217891" w:rsidP="009F7E71">
                              <w:pPr>
                                <w:ind w:firstLineChars="200" w:firstLine="420"/>
                                <w:rPr>
                                  <w:rFonts w:ascii="Calibri" w:hAnsi="Calibri"/>
                                </w:rPr>
                              </w:pPr>
                              <w:r w:rsidRPr="006032CF">
                                <w:rPr>
                                  <w:rFonts w:ascii="Calibri" w:hAnsi="Calibri"/>
                                </w:rPr>
                                <w:t>4278.766</w:t>
                              </w:r>
                            </w:p>
                          </w:txbxContent>
                        </wps:txbx>
                        <wps:bodyPr rot="0" vert="horz" wrap="square" lIns="91440" tIns="45720" rIns="91440" bIns="45720" anchor="t" anchorCtr="0" upright="1">
                          <a:noAutofit/>
                        </wps:bodyPr>
                      </wps:wsp>
                      <wps:wsp>
                        <wps:cNvPr id="25828" name="AutoShape 37711"/>
                        <wps:cNvCnPr>
                          <a:cxnSpLocks noChangeShapeType="1"/>
                        </wps:cNvCnPr>
                        <wps:spPr bwMode="auto">
                          <a:xfrm flipH="1">
                            <a:off x="4236720" y="2284730"/>
                            <a:ext cx="19050" cy="1707515"/>
                          </a:xfrm>
                          <a:prstGeom prst="straightConnector1">
                            <a:avLst/>
                          </a:prstGeom>
                          <a:noFill/>
                          <a:ln w="9525">
                            <a:solidFill>
                              <a:srgbClr val="000000"/>
                            </a:solidFill>
                            <a:prstDash val="dash"/>
                            <a:round/>
                          </a:ln>
                        </wps:spPr>
                        <wps:bodyPr/>
                      </wps:wsp>
                      <wps:wsp>
                        <wps:cNvPr id="25830" name="Rectangle 37712"/>
                        <wps:cNvSpPr>
                          <a:spLocks noChangeArrowheads="1"/>
                        </wps:cNvSpPr>
                        <wps:spPr bwMode="auto">
                          <a:xfrm>
                            <a:off x="3161030" y="2262505"/>
                            <a:ext cx="1886585" cy="1741170"/>
                          </a:xfrm>
                          <a:prstGeom prst="rect">
                            <a:avLst/>
                          </a:prstGeom>
                          <a:noFill/>
                          <a:ln>
                            <a:noFill/>
                          </a:ln>
                        </wps:spPr>
                        <wps:txbx>
                          <w:txbxContent>
                            <w:p w14:paraId="04550D7C" w14:textId="77777777" w:rsidR="00217891" w:rsidRPr="00C97A7B" w:rsidRDefault="00217891" w:rsidP="009F7E71">
                              <w:pPr>
                                <w:ind w:firstLineChars="200" w:firstLine="400"/>
                                <w:rPr>
                                  <w:rFonts w:ascii="Calibri" w:hAnsi="Calibri"/>
                                  <w:sz w:val="20"/>
                                  <w:szCs w:val="20"/>
                                </w:rPr>
                              </w:pPr>
                              <w:r w:rsidRPr="00C97A7B">
                                <w:rPr>
                                  <w:rFonts w:ascii="Calibri" w:hAnsi="Calibri"/>
                                  <w:sz w:val="20"/>
                                  <w:szCs w:val="20"/>
                                </w:rPr>
                                <w:t>不凝气：</w:t>
                              </w:r>
                              <w:r>
                                <w:rPr>
                                  <w:rFonts w:ascii="Calibri" w:hAnsi="Calibri"/>
                                  <w:sz w:val="20"/>
                                  <w:szCs w:val="20"/>
                                </w:rPr>
                                <w:t>430.586</w:t>
                              </w:r>
                            </w:p>
                            <w:p w14:paraId="4DF3008C" w14:textId="77777777" w:rsidR="00217891" w:rsidRPr="00C97A7B" w:rsidRDefault="00217891" w:rsidP="006032CF">
                              <w:pPr>
                                <w:ind w:firstLineChars="200" w:firstLine="400"/>
                                <w:rPr>
                                  <w:rFonts w:ascii="Calibri" w:hAnsi="Calibri"/>
                                  <w:sz w:val="20"/>
                                  <w:szCs w:val="20"/>
                                </w:rPr>
                              </w:pPr>
                              <w:r w:rsidRPr="00C97A7B">
                                <w:rPr>
                                  <w:rFonts w:ascii="Calibri" w:hAnsi="Calibri"/>
                                  <w:sz w:val="20"/>
                                  <w:szCs w:val="20"/>
                                </w:rPr>
                                <w:t>（其中水：</w:t>
                              </w:r>
                              <w:r>
                                <w:rPr>
                                  <w:rFonts w:ascii="Calibri" w:hAnsi="Calibri"/>
                                  <w:sz w:val="20"/>
                                  <w:szCs w:val="20"/>
                                </w:rPr>
                                <w:t>425.28</w:t>
                              </w:r>
                              <w:r>
                                <w:rPr>
                                  <w:rFonts w:ascii="Calibri" w:hAnsi="Calibri" w:hint="eastAsia"/>
                                  <w:sz w:val="20"/>
                                  <w:szCs w:val="20"/>
                                </w:rPr>
                                <w:t>；</w:t>
                              </w:r>
                              <w:r w:rsidRPr="00C97A7B">
                                <w:rPr>
                                  <w:rFonts w:ascii="Calibri" w:hAnsi="Calibri"/>
                                  <w:sz w:val="20"/>
                                  <w:szCs w:val="20"/>
                                </w:rPr>
                                <w:t>氨：</w:t>
                              </w:r>
                              <w:r w:rsidRPr="00C97A7B">
                                <w:rPr>
                                  <w:rFonts w:ascii="Calibri" w:hAnsi="Calibri"/>
                                  <w:sz w:val="20"/>
                                  <w:szCs w:val="20"/>
                                </w:rPr>
                                <w:t>0.01</w:t>
                              </w:r>
                              <w:r>
                                <w:rPr>
                                  <w:rFonts w:ascii="Calibri" w:hAnsi="Calibri"/>
                                  <w:sz w:val="20"/>
                                  <w:szCs w:val="20"/>
                                </w:rPr>
                                <w:t>6</w:t>
                              </w:r>
                              <w:r>
                                <w:rPr>
                                  <w:rFonts w:ascii="Calibri" w:hAnsi="Calibri" w:hint="eastAsia"/>
                                  <w:sz w:val="20"/>
                                  <w:szCs w:val="20"/>
                                </w:rPr>
                                <w:t>；</w:t>
                              </w:r>
                              <w:r w:rsidRPr="00C97A7B">
                                <w:rPr>
                                  <w:rFonts w:ascii="Calibri" w:hAnsi="Calibri"/>
                                  <w:sz w:val="20"/>
                                  <w:szCs w:val="20"/>
                                </w:rPr>
                                <w:t>己二酸：</w:t>
                              </w:r>
                              <w:r>
                                <w:rPr>
                                  <w:rFonts w:ascii="Calibri" w:hAnsi="Calibri"/>
                                  <w:sz w:val="20"/>
                                  <w:szCs w:val="20"/>
                                </w:rPr>
                                <w:t>0.55</w:t>
                              </w:r>
                              <w:r>
                                <w:rPr>
                                  <w:rFonts w:ascii="Calibri" w:hAnsi="Calibri" w:hint="eastAsia"/>
                                  <w:sz w:val="20"/>
                                  <w:szCs w:val="20"/>
                                </w:rPr>
                                <w:t>；</w:t>
                              </w:r>
                              <w:r w:rsidRPr="00C97A7B">
                                <w:rPr>
                                  <w:rFonts w:ascii="Calibri" w:hAnsi="Calibri"/>
                                  <w:sz w:val="20"/>
                                  <w:szCs w:val="20"/>
                                </w:rPr>
                                <w:t>环戊酮：</w:t>
                              </w:r>
                              <w:r w:rsidRPr="00C97A7B">
                                <w:rPr>
                                  <w:rFonts w:ascii="Calibri" w:hAnsi="Calibri"/>
                                  <w:sz w:val="20"/>
                                  <w:szCs w:val="20"/>
                                </w:rPr>
                                <w:t>0.0</w:t>
                              </w:r>
                              <w:r>
                                <w:rPr>
                                  <w:rFonts w:ascii="Calibri" w:hAnsi="Calibri"/>
                                  <w:sz w:val="20"/>
                                  <w:szCs w:val="20"/>
                                </w:rPr>
                                <w:t>64</w:t>
                              </w:r>
                              <w:r>
                                <w:rPr>
                                  <w:rFonts w:ascii="Calibri" w:hAnsi="Calibri" w:hint="eastAsia"/>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0.0</w:t>
                              </w:r>
                              <w:r>
                                <w:rPr>
                                  <w:rFonts w:ascii="Calibri" w:hAnsi="Calibri"/>
                                  <w:color w:val="auto"/>
                                  <w:kern w:val="0"/>
                                  <w:sz w:val="20"/>
                                  <w:szCs w:val="20"/>
                                </w:rPr>
                                <w:t>8</w:t>
                              </w:r>
                              <w:r w:rsidRPr="00C97A7B">
                                <w:rPr>
                                  <w:rFonts w:ascii="Calibri" w:hAnsi="Calibri"/>
                                  <w:sz w:val="20"/>
                                  <w:szCs w:val="20"/>
                                </w:rPr>
                                <w:t>己二胺</w:t>
                              </w:r>
                              <w:r>
                                <w:rPr>
                                  <w:rFonts w:ascii="Calibri" w:hAnsi="Calibri" w:hint="eastAsia"/>
                                  <w:sz w:val="20"/>
                                  <w:szCs w:val="20"/>
                                </w:rPr>
                                <w:t>:</w:t>
                              </w:r>
                              <w:r>
                                <w:rPr>
                                  <w:rFonts w:ascii="Calibri" w:hAnsi="Calibri"/>
                                  <w:sz w:val="20"/>
                                  <w:szCs w:val="20"/>
                                </w:rPr>
                                <w:t>3.46</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0.112</w:t>
                              </w:r>
                              <w:r>
                                <w:rPr>
                                  <w:rFonts w:ascii="Calibri" w:hAnsi="Calibri" w:hint="eastAsia"/>
                                  <w:sz w:val="20"/>
                                  <w:szCs w:val="20"/>
                                </w:rPr>
                                <w:t>；</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0.0</w:t>
                              </w:r>
                              <w:r>
                                <w:rPr>
                                  <w:rFonts w:ascii="Calibri" w:hAnsi="Calibri"/>
                                  <w:sz w:val="20"/>
                                  <w:szCs w:val="20"/>
                                </w:rPr>
                                <w:t>64</w:t>
                              </w:r>
                              <w:r>
                                <w:rPr>
                                  <w:rFonts w:ascii="Calibri" w:hAnsi="Calibri" w:hint="eastAsia"/>
                                  <w:sz w:val="20"/>
                                  <w:szCs w:val="20"/>
                                </w:rPr>
                                <w:t>；</w:t>
                              </w: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0.</w:t>
                              </w:r>
                              <w:r>
                                <w:rPr>
                                  <w:rFonts w:ascii="Calibri"/>
                                  <w:sz w:val="20"/>
                                  <w:szCs w:val="20"/>
                                </w:rPr>
                                <w:t>9</w:t>
                              </w:r>
                              <w:r>
                                <w:rPr>
                                  <w:rFonts w:ascii="Calibri" w:hint="eastAsia"/>
                                  <w:sz w:val="20"/>
                                  <w:szCs w:val="20"/>
                                </w:rPr>
                                <w:t>6</w:t>
                              </w:r>
                              <w:r w:rsidRPr="00C97A7B">
                                <w:rPr>
                                  <w:rFonts w:ascii="Calibri" w:hAnsi="Calibri"/>
                                  <w:sz w:val="20"/>
                                  <w:szCs w:val="20"/>
                                </w:rPr>
                                <w:t>）</w:t>
                              </w:r>
                            </w:p>
                          </w:txbxContent>
                        </wps:txbx>
                        <wps:bodyPr rot="0" vert="horz" wrap="square" lIns="91440" tIns="45720" rIns="91440" bIns="45720" anchor="t" anchorCtr="0" upright="1">
                          <a:noAutofit/>
                        </wps:bodyPr>
                      </wps:wsp>
                      <wps:wsp>
                        <wps:cNvPr id="25831" name="AutoShape 37713"/>
                        <wps:cNvCnPr>
                          <a:cxnSpLocks noChangeShapeType="1"/>
                        </wps:cNvCnPr>
                        <wps:spPr bwMode="auto">
                          <a:xfrm>
                            <a:off x="4848860" y="2155190"/>
                            <a:ext cx="972820" cy="1270"/>
                          </a:xfrm>
                          <a:prstGeom prst="straightConnector1">
                            <a:avLst/>
                          </a:prstGeom>
                          <a:noFill/>
                          <a:ln w="9525">
                            <a:solidFill>
                              <a:srgbClr val="000000"/>
                            </a:solidFill>
                            <a:round/>
                            <a:tailEnd type="triangle" w="med" len="med"/>
                          </a:ln>
                        </wps:spPr>
                        <wps:bodyPr/>
                      </wps:wsp>
                      <wps:wsp>
                        <wps:cNvPr id="25832" name="Rectangle 37714"/>
                        <wps:cNvSpPr>
                          <a:spLocks noChangeArrowheads="1"/>
                        </wps:cNvSpPr>
                        <wps:spPr bwMode="auto">
                          <a:xfrm>
                            <a:off x="4640580" y="609600"/>
                            <a:ext cx="1413510" cy="1537971"/>
                          </a:xfrm>
                          <a:prstGeom prst="rect">
                            <a:avLst/>
                          </a:prstGeom>
                          <a:noFill/>
                          <a:ln>
                            <a:noFill/>
                          </a:ln>
                        </wps:spPr>
                        <wps:txbx>
                          <w:txbxContent>
                            <w:p w14:paraId="19274C82" w14:textId="77777777" w:rsidR="00217891" w:rsidRPr="00C97A7B" w:rsidRDefault="00217891" w:rsidP="009F7E71">
                              <w:pPr>
                                <w:rPr>
                                  <w:rFonts w:ascii="Calibri" w:hAnsi="Calibri"/>
                                  <w:sz w:val="20"/>
                                  <w:szCs w:val="20"/>
                                </w:rPr>
                              </w:pPr>
                              <w:r w:rsidRPr="00C97A7B">
                                <w:rPr>
                                  <w:rFonts w:ascii="Calibri" w:hAnsi="Calibri"/>
                                  <w:sz w:val="20"/>
                                  <w:szCs w:val="20"/>
                                </w:rPr>
                                <w:t>冷凝液</w:t>
                              </w:r>
                              <w:r>
                                <w:rPr>
                                  <w:rFonts w:ascii="Calibri" w:hAnsi="Calibri"/>
                                  <w:sz w:val="20"/>
                                  <w:szCs w:val="20"/>
                                </w:rPr>
                                <w:t>1768.5</w:t>
                              </w:r>
                            </w:p>
                            <w:p w14:paraId="13AEE096" w14:textId="77777777" w:rsidR="00217891" w:rsidRPr="00C97A7B" w:rsidRDefault="00217891" w:rsidP="009F7E71">
                              <w:pPr>
                                <w:rPr>
                                  <w:rFonts w:ascii="Calibri" w:hAnsi="Calibri"/>
                                  <w:sz w:val="20"/>
                                  <w:szCs w:val="20"/>
                                </w:rPr>
                              </w:pPr>
                              <w:r w:rsidRPr="00C97A7B">
                                <w:rPr>
                                  <w:rFonts w:ascii="Calibri" w:hAnsi="Calibri"/>
                                  <w:sz w:val="20"/>
                                  <w:szCs w:val="20"/>
                                </w:rPr>
                                <w:t>（其中水：</w:t>
                              </w:r>
                              <w:r>
                                <w:rPr>
                                  <w:rFonts w:ascii="Calibri" w:hAnsi="Calibri"/>
                                  <w:sz w:val="20"/>
                                  <w:szCs w:val="20"/>
                                </w:rPr>
                                <w:t>1758.56</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5</w:t>
                              </w:r>
                              <w:r w:rsidRPr="00C97A7B">
                                <w:rPr>
                                  <w:rFonts w:ascii="Calibri" w:hAnsi="Calibri"/>
                                  <w:sz w:val="20"/>
                                  <w:szCs w:val="20"/>
                                </w:rPr>
                                <w:t>；己二酸</w:t>
                              </w:r>
                              <w:r w:rsidRPr="00C97A7B">
                                <w:rPr>
                                  <w:rFonts w:ascii="Calibri" w:hAnsi="Calibri"/>
                                  <w:sz w:val="20"/>
                                  <w:szCs w:val="20"/>
                                </w:rPr>
                                <w:t>:</w:t>
                              </w:r>
                              <w:r>
                                <w:rPr>
                                  <w:rFonts w:ascii="Calibri" w:hAnsi="Calibri"/>
                                  <w:sz w:val="20"/>
                                  <w:szCs w:val="20"/>
                                </w:rPr>
                                <w:t>2.26</w:t>
                              </w:r>
                              <w:r w:rsidRPr="00C97A7B">
                                <w:rPr>
                                  <w:rFonts w:ascii="Calibri" w:hAnsi="Calibri"/>
                                  <w:sz w:val="20"/>
                                  <w:szCs w:val="20"/>
                                </w:rPr>
                                <w:t>；环戊酮：</w:t>
                              </w:r>
                              <w:r>
                                <w:rPr>
                                  <w:rFonts w:ascii="Calibri" w:hAnsi="Calibri"/>
                                  <w:sz w:val="20"/>
                                  <w:szCs w:val="20"/>
                                </w:rPr>
                                <w:t>0.26</w:t>
                              </w:r>
                              <w:r w:rsidRPr="00C97A7B">
                                <w:rPr>
                                  <w:rFonts w:ascii="Calibri" w:hAnsi="Calibri"/>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w:t>
                              </w:r>
                              <w:r>
                                <w:rPr>
                                  <w:rFonts w:ascii="Calibri" w:hAnsi="Calibri"/>
                                  <w:color w:val="auto"/>
                                  <w:kern w:val="0"/>
                                  <w:sz w:val="20"/>
                                  <w:szCs w:val="20"/>
                                </w:rPr>
                                <w:t>29</w:t>
                              </w:r>
                              <w:r w:rsidRPr="00C97A7B">
                                <w:rPr>
                                  <w:rFonts w:ascii="Calibri" w:hAnsi="Calibri"/>
                                  <w:color w:val="auto"/>
                                  <w:kern w:val="0"/>
                                  <w:sz w:val="20"/>
                                  <w:szCs w:val="20"/>
                                </w:rPr>
                                <w:t>；</w:t>
                              </w:r>
                              <w:r w:rsidRPr="00C97A7B">
                                <w:rPr>
                                  <w:rFonts w:ascii="Calibri" w:hAnsi="Calibri"/>
                                  <w:sz w:val="20"/>
                                  <w:szCs w:val="20"/>
                                </w:rPr>
                                <w:t>己二胺</w:t>
                              </w:r>
                              <w:r>
                                <w:rPr>
                                  <w:rFonts w:ascii="Calibri" w:hAnsi="Calibri"/>
                                  <w:sz w:val="20"/>
                                  <w:szCs w:val="20"/>
                                </w:rPr>
                                <w:t>2.38</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0.46</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w:t>
                              </w:r>
                              <w:r>
                                <w:rPr>
                                  <w:rFonts w:ascii="Calibri" w:hAnsi="Calibri"/>
                                  <w:sz w:val="20"/>
                                  <w:szCs w:val="20"/>
                                </w:rPr>
                                <w:t>2</w:t>
                              </w:r>
                              <w:r>
                                <w:rPr>
                                  <w:rFonts w:ascii="Calibri" w:hAnsi="Calibri" w:hint="eastAsia"/>
                                  <w:sz w:val="20"/>
                                  <w:szCs w:val="20"/>
                                </w:rPr>
                                <w:t>7</w:t>
                              </w:r>
                              <w:r w:rsidRPr="00E13A8E">
                                <w:rPr>
                                  <w:rFonts w:ascii="Calibri" w:hAnsi="宋体" w:hint="eastAsia"/>
                                  <w:sz w:val="20"/>
                                  <w:szCs w:val="20"/>
                                </w:rPr>
                                <w:t>十二内酰胺</w:t>
                              </w:r>
                              <w:r>
                                <w:rPr>
                                  <w:rFonts w:ascii="Calibri" w:hint="eastAsia"/>
                                  <w:sz w:val="20"/>
                                  <w:szCs w:val="20"/>
                                </w:rPr>
                                <w:t>：</w:t>
                              </w:r>
                              <w:r>
                                <w:rPr>
                                  <w:rFonts w:ascii="Calibri"/>
                                  <w:sz w:val="20"/>
                                  <w:szCs w:val="20"/>
                                </w:rPr>
                                <w:t>3.97</w:t>
                              </w:r>
                              <w:r w:rsidRPr="00C97A7B">
                                <w:rPr>
                                  <w:rFonts w:ascii="Calibri" w:hAnsi="Calibri"/>
                                  <w:sz w:val="20"/>
                                  <w:szCs w:val="20"/>
                                </w:rPr>
                                <w:t>）</w:t>
                              </w:r>
                            </w:p>
                          </w:txbxContent>
                        </wps:txbx>
                        <wps:bodyPr rot="0" vert="horz" wrap="square" lIns="91440" tIns="45720" rIns="91440" bIns="45720" anchor="t" anchorCtr="0" upright="1">
                          <a:noAutofit/>
                        </wps:bodyPr>
                      </wps:wsp>
                      <wps:wsp>
                        <wps:cNvPr id="25833" name="AutoShape 37715"/>
                        <wps:cNvCnPr>
                          <a:cxnSpLocks noChangeShapeType="1"/>
                        </wps:cNvCnPr>
                        <wps:spPr bwMode="auto">
                          <a:xfrm>
                            <a:off x="4873625" y="4472305"/>
                            <a:ext cx="501015" cy="635"/>
                          </a:xfrm>
                          <a:prstGeom prst="straightConnector1">
                            <a:avLst/>
                          </a:prstGeom>
                          <a:noFill/>
                          <a:ln w="9525">
                            <a:solidFill>
                              <a:srgbClr val="000000"/>
                            </a:solidFill>
                            <a:round/>
                            <a:tailEnd type="triangle" w="med" len="med"/>
                          </a:ln>
                        </wps:spPr>
                        <wps:bodyPr/>
                      </wps:wsp>
                      <wps:wsp>
                        <wps:cNvPr id="25834" name="AutoShape 37716"/>
                        <wps:cNvCnPr>
                          <a:cxnSpLocks noChangeShapeType="1"/>
                        </wps:cNvCnPr>
                        <wps:spPr bwMode="auto">
                          <a:xfrm flipH="1">
                            <a:off x="4780915" y="3417570"/>
                            <a:ext cx="14605" cy="483235"/>
                          </a:xfrm>
                          <a:prstGeom prst="straightConnector1">
                            <a:avLst/>
                          </a:prstGeom>
                          <a:noFill/>
                          <a:ln w="9525">
                            <a:solidFill>
                              <a:srgbClr val="000000"/>
                            </a:solidFill>
                            <a:prstDash val="dash"/>
                            <a:round/>
                            <a:headEnd type="triangle" w="med" len="med"/>
                          </a:ln>
                        </wps:spPr>
                        <wps:bodyPr/>
                      </wps:wsp>
                      <wps:wsp>
                        <wps:cNvPr id="25835" name="AutoShape 37718"/>
                        <wps:cNvCnPr>
                          <a:cxnSpLocks noChangeShapeType="1"/>
                        </wps:cNvCnPr>
                        <wps:spPr bwMode="auto">
                          <a:xfrm>
                            <a:off x="4652646" y="3648710"/>
                            <a:ext cx="635" cy="252095"/>
                          </a:xfrm>
                          <a:prstGeom prst="straightConnector1">
                            <a:avLst/>
                          </a:prstGeom>
                          <a:noFill/>
                          <a:ln w="9525">
                            <a:solidFill>
                              <a:srgbClr val="000000"/>
                            </a:solidFill>
                            <a:round/>
                            <a:tailEnd type="triangle" w="med" len="med"/>
                          </a:ln>
                        </wps:spPr>
                        <wps:bodyPr/>
                      </wps:wsp>
                      <wps:wsp>
                        <wps:cNvPr id="25836" name="Rectangle 37719"/>
                        <wps:cNvSpPr>
                          <a:spLocks noChangeArrowheads="1"/>
                        </wps:cNvSpPr>
                        <wps:spPr bwMode="auto">
                          <a:xfrm>
                            <a:off x="3950970" y="3498215"/>
                            <a:ext cx="1085850" cy="279400"/>
                          </a:xfrm>
                          <a:prstGeom prst="rect">
                            <a:avLst/>
                          </a:prstGeom>
                          <a:noFill/>
                          <a:ln>
                            <a:noFill/>
                          </a:ln>
                        </wps:spPr>
                        <wps:txbx>
                          <w:txbxContent>
                            <w:p w14:paraId="5E556046" w14:textId="77777777" w:rsidR="00217891" w:rsidRPr="00C97A7B" w:rsidRDefault="00217891" w:rsidP="009F7E71">
                              <w:pPr>
                                <w:rPr>
                                  <w:rFonts w:ascii="Calibri" w:hAnsi="Calibri"/>
                                </w:rPr>
                              </w:pPr>
                              <w:r w:rsidRPr="00C97A7B">
                                <w:rPr>
                                  <w:rFonts w:ascii="Calibri" w:hAnsi="Calibri"/>
                                </w:rPr>
                                <w:t>新鲜水</w:t>
                              </w:r>
                              <w:r w:rsidRPr="00C97A7B">
                                <w:rPr>
                                  <w:rFonts w:ascii="Calibri" w:hAnsi="Calibri"/>
                                </w:rPr>
                                <w:t>303</w:t>
                              </w:r>
                            </w:p>
                          </w:txbxContent>
                        </wps:txbx>
                        <wps:bodyPr rot="0" vert="horz" wrap="square" lIns="91440" tIns="45720" rIns="91440" bIns="45720" anchor="t" anchorCtr="0" upright="1">
                          <a:noAutofit/>
                        </wps:bodyPr>
                      </wps:wsp>
                      <wps:wsp>
                        <wps:cNvPr id="25837" name="AutoShape 37720"/>
                        <wps:cNvCnPr>
                          <a:cxnSpLocks noChangeShapeType="1"/>
                        </wps:cNvCnPr>
                        <wps:spPr bwMode="auto">
                          <a:xfrm>
                            <a:off x="2010410" y="6826885"/>
                            <a:ext cx="3782060" cy="8255"/>
                          </a:xfrm>
                          <a:prstGeom prst="straightConnector1">
                            <a:avLst/>
                          </a:prstGeom>
                          <a:noFill/>
                          <a:ln w="9525">
                            <a:solidFill>
                              <a:srgbClr val="000000"/>
                            </a:solidFill>
                            <a:round/>
                            <a:tailEnd type="triangle" w="med" len="med"/>
                          </a:ln>
                        </wps:spPr>
                        <wps:bodyPr/>
                      </wps:wsp>
                      <wps:wsp>
                        <wps:cNvPr id="25838" name="Rectangle 37722"/>
                        <wps:cNvSpPr>
                          <a:spLocks noChangeArrowheads="1"/>
                        </wps:cNvSpPr>
                        <wps:spPr bwMode="auto">
                          <a:xfrm>
                            <a:off x="2176780" y="1367790"/>
                            <a:ext cx="1206500" cy="279400"/>
                          </a:xfrm>
                          <a:prstGeom prst="rect">
                            <a:avLst/>
                          </a:prstGeom>
                          <a:noFill/>
                          <a:ln>
                            <a:noFill/>
                          </a:ln>
                        </wps:spPr>
                        <wps:txbx>
                          <w:txbxContent>
                            <w:p w14:paraId="258BDF66" w14:textId="77777777" w:rsidR="00217891" w:rsidRPr="00C97A7B" w:rsidRDefault="00217891" w:rsidP="009F7E71">
                              <w:pPr>
                                <w:rPr>
                                  <w:rFonts w:ascii="Calibri" w:hAnsi="Calibri"/>
                                </w:rPr>
                              </w:pPr>
                              <w:r>
                                <w:rPr>
                                  <w:rFonts w:ascii="Calibri" w:hAnsi="Calibri"/>
                                </w:rPr>
                                <w:t>8319.98</w:t>
                              </w:r>
                              <w:r w:rsidRPr="00C97A7B">
                                <w:rPr>
                                  <w:rFonts w:ascii="Calibri" w:hAnsi="Calibri"/>
                                </w:rPr>
                                <w:t>（</w:t>
                              </w:r>
                              <w:r w:rsidRPr="00C97A7B">
                                <w:rPr>
                                  <w:rFonts w:ascii="Calibri" w:hAnsi="Calibri"/>
                                </w:rPr>
                                <w:t>52%</w:t>
                              </w:r>
                              <w:r w:rsidRPr="00C97A7B">
                                <w:rPr>
                                  <w:rFonts w:ascii="Calibri" w:hAnsi="Calibri"/>
                                </w:rPr>
                                <w:t>）</w:t>
                              </w:r>
                            </w:p>
                          </w:txbxContent>
                        </wps:txbx>
                        <wps:bodyPr rot="0" vert="horz" wrap="square" lIns="91440" tIns="45720" rIns="91440" bIns="45720" anchor="t" anchorCtr="0" upright="1">
                          <a:noAutofit/>
                        </wps:bodyPr>
                      </wps:wsp>
                      <wps:wsp>
                        <wps:cNvPr id="25839" name="Rectangle 37723"/>
                        <wps:cNvSpPr>
                          <a:spLocks noChangeArrowheads="1"/>
                        </wps:cNvSpPr>
                        <wps:spPr bwMode="auto">
                          <a:xfrm>
                            <a:off x="2433955" y="3301365"/>
                            <a:ext cx="1085850" cy="279400"/>
                          </a:xfrm>
                          <a:prstGeom prst="rect">
                            <a:avLst/>
                          </a:prstGeom>
                          <a:noFill/>
                          <a:ln>
                            <a:noFill/>
                          </a:ln>
                        </wps:spPr>
                        <wps:txbx>
                          <w:txbxContent>
                            <w:p w14:paraId="3FC640ED" w14:textId="77777777" w:rsidR="00217891" w:rsidRPr="00AE1181" w:rsidRDefault="00217891" w:rsidP="009F7E71">
                              <w:pPr>
                                <w:ind w:firstLineChars="100" w:firstLine="210"/>
                                <w:rPr>
                                  <w:rFonts w:ascii="Calibri" w:hAnsi="Calibri"/>
                                </w:rPr>
                              </w:pPr>
                              <w:r>
                                <w:rPr>
                                  <w:rFonts w:ascii="Calibri" w:hAnsi="Calibri"/>
                                </w:rPr>
                                <w:t>4041.214</w:t>
                              </w:r>
                            </w:p>
                          </w:txbxContent>
                        </wps:txbx>
                        <wps:bodyPr rot="0" vert="horz" wrap="square" lIns="91440" tIns="45720" rIns="91440" bIns="45720" anchor="t" anchorCtr="0" upright="1">
                          <a:noAutofit/>
                        </wps:bodyPr>
                      </wps:wsp>
                      <wps:wsp>
                        <wps:cNvPr id="25841" name="Rectangle 37725"/>
                        <wps:cNvSpPr>
                          <a:spLocks noChangeArrowheads="1"/>
                        </wps:cNvSpPr>
                        <wps:spPr bwMode="auto">
                          <a:xfrm>
                            <a:off x="4910455" y="7992745"/>
                            <a:ext cx="1061085" cy="288925"/>
                          </a:xfrm>
                          <a:prstGeom prst="rect">
                            <a:avLst/>
                          </a:prstGeom>
                          <a:noFill/>
                          <a:ln w="9525">
                            <a:solidFill>
                              <a:srgbClr val="000000"/>
                            </a:solidFill>
                            <a:miter lim="800000"/>
                          </a:ln>
                        </wps:spPr>
                        <wps:txbx>
                          <w:txbxContent>
                            <w:p w14:paraId="588A5398" w14:textId="77777777" w:rsidR="00217891" w:rsidRDefault="00217891" w:rsidP="009F7E71">
                              <w:pPr>
                                <w:ind w:firstLineChars="100" w:firstLine="210"/>
                                <w:rPr>
                                  <w:rFonts w:ascii="等线" w:hAnsi="等线"/>
                                </w:rPr>
                              </w:pPr>
                              <w:r>
                                <w:rPr>
                                  <w:rFonts w:ascii="等线" w:hAnsi="等线" w:hint="eastAsia"/>
                                </w:rPr>
                                <w:t>污水</w:t>
                              </w:r>
                              <w:r>
                                <w:rPr>
                                  <w:rFonts w:ascii="等线" w:hAnsi="等线"/>
                                </w:rPr>
                                <w:t>处理站</w:t>
                              </w:r>
                            </w:p>
                          </w:txbxContent>
                        </wps:txbx>
                        <wps:bodyPr rot="0" vert="horz" wrap="square" lIns="91440" tIns="45720" rIns="91440" bIns="45720" anchor="t" anchorCtr="0" upright="1">
                          <a:noAutofit/>
                        </wps:bodyPr>
                      </wps:wsp>
                      <wps:wsp>
                        <wps:cNvPr id="25842" name="Rectangle 37726"/>
                        <wps:cNvSpPr>
                          <a:spLocks noChangeArrowheads="1"/>
                        </wps:cNvSpPr>
                        <wps:spPr bwMode="auto">
                          <a:xfrm>
                            <a:off x="3950970" y="6872605"/>
                            <a:ext cx="1957070" cy="1313815"/>
                          </a:xfrm>
                          <a:prstGeom prst="rect">
                            <a:avLst/>
                          </a:prstGeom>
                          <a:noFill/>
                          <a:ln>
                            <a:noFill/>
                          </a:ln>
                        </wps:spPr>
                        <wps:txbx>
                          <w:txbxContent>
                            <w:p w14:paraId="559FCCE4" w14:textId="77777777" w:rsidR="00217891" w:rsidRPr="00C97A7B" w:rsidRDefault="00217891" w:rsidP="009F7E71">
                              <w:pPr>
                                <w:ind w:firstLineChars="50" w:firstLine="100"/>
                                <w:rPr>
                                  <w:rFonts w:ascii="Calibri" w:hAnsi="Calibri"/>
                                  <w:sz w:val="20"/>
                                  <w:szCs w:val="20"/>
                                </w:rPr>
                              </w:pPr>
                              <w:r w:rsidRPr="00C97A7B">
                                <w:rPr>
                                  <w:rFonts w:ascii="Calibri" w:hAnsi="Calibri"/>
                                  <w:sz w:val="20"/>
                                  <w:szCs w:val="20"/>
                                </w:rPr>
                                <w:t>废水：</w:t>
                              </w:r>
                              <w:r>
                                <w:rPr>
                                  <w:rFonts w:ascii="Calibri" w:hAnsi="Calibri"/>
                                  <w:sz w:val="20"/>
                                  <w:szCs w:val="20"/>
                                </w:rPr>
                                <w:t>2887.941</w:t>
                              </w:r>
                            </w:p>
                            <w:p w14:paraId="6E842A41" w14:textId="77777777" w:rsidR="00217891" w:rsidRPr="00C97A7B" w:rsidRDefault="00217891" w:rsidP="009F7E71">
                              <w:pPr>
                                <w:ind w:left="400" w:hangingChars="200" w:hanging="400"/>
                                <w:rPr>
                                  <w:rFonts w:ascii="Calibri" w:hAnsi="Calibri"/>
                                  <w:sz w:val="20"/>
                                  <w:szCs w:val="20"/>
                                </w:rPr>
                              </w:pPr>
                              <w:r w:rsidRPr="00C97A7B">
                                <w:rPr>
                                  <w:rFonts w:ascii="Calibri" w:hAnsi="Calibri"/>
                                  <w:sz w:val="20"/>
                                  <w:szCs w:val="20"/>
                                </w:rPr>
                                <w:t>其中水：</w:t>
                              </w:r>
                              <w:r>
                                <w:rPr>
                                  <w:rFonts w:ascii="Calibri" w:hAnsi="Calibri"/>
                                  <w:sz w:val="20"/>
                                  <w:szCs w:val="20"/>
                                </w:rPr>
                                <w:t>2874.76</w:t>
                              </w:r>
                              <w:r>
                                <w:rPr>
                                  <w:rFonts w:ascii="Calibri" w:hAnsi="Calibri" w:hint="eastAsia"/>
                                  <w:sz w:val="20"/>
                                  <w:szCs w:val="20"/>
                                </w:rPr>
                                <w:t>；</w:t>
                              </w:r>
                              <w:r w:rsidRPr="00C97A7B">
                                <w:rPr>
                                  <w:rFonts w:ascii="Calibri" w:hAnsi="Calibri"/>
                                  <w:sz w:val="20"/>
                                  <w:szCs w:val="20"/>
                                </w:rPr>
                                <w:t>己二胺：</w:t>
                              </w:r>
                              <w:r>
                                <w:rPr>
                                  <w:rFonts w:ascii="Calibri" w:hAnsi="Calibri"/>
                                  <w:sz w:val="20"/>
                                  <w:szCs w:val="20"/>
                                </w:rPr>
                                <w:t>4.51</w:t>
                              </w:r>
                            </w:p>
                            <w:p w14:paraId="5F56013D" w14:textId="77777777" w:rsidR="00217891" w:rsidRPr="00C97A7B" w:rsidRDefault="00217891" w:rsidP="009F7E71">
                              <w:pPr>
                                <w:ind w:left="400" w:hangingChars="200" w:hanging="400"/>
                                <w:rPr>
                                  <w:rFonts w:ascii="Calibri" w:hAnsi="Calibri"/>
                                  <w:sz w:val="20"/>
                                  <w:szCs w:val="20"/>
                                </w:rPr>
                              </w:pPr>
                              <w:r w:rsidRPr="00C97A7B">
                                <w:rPr>
                                  <w:rFonts w:ascii="Calibri" w:hAnsi="Calibri"/>
                                  <w:sz w:val="20"/>
                                  <w:szCs w:val="20"/>
                                </w:rPr>
                                <w:t>己二酸：</w:t>
                              </w:r>
                              <w:r>
                                <w:rPr>
                                  <w:rFonts w:ascii="Calibri" w:hAnsi="Calibri"/>
                                  <w:sz w:val="20"/>
                                  <w:szCs w:val="20"/>
                                </w:rPr>
                                <w:t>2.59</w:t>
                              </w:r>
                              <w:r>
                                <w:rPr>
                                  <w:rFonts w:ascii="Calibri" w:hAnsi="Calibri" w:hint="eastAsia"/>
                                  <w:sz w:val="20"/>
                                  <w:szCs w:val="20"/>
                                </w:rPr>
                                <w:t>；</w:t>
                              </w:r>
                              <w:r w:rsidRPr="00C97A7B">
                                <w:rPr>
                                  <w:rFonts w:ascii="Calibri" w:hAnsi="Calibri"/>
                                  <w:sz w:val="20"/>
                                  <w:szCs w:val="20"/>
                                </w:rPr>
                                <w:t>环戊酮：</w:t>
                              </w:r>
                              <w:r>
                                <w:rPr>
                                  <w:rFonts w:ascii="Calibri" w:hAnsi="Calibri"/>
                                  <w:sz w:val="20"/>
                                  <w:szCs w:val="20"/>
                                </w:rPr>
                                <w:t>0.298</w:t>
                              </w:r>
                            </w:p>
                            <w:p w14:paraId="017A644B" w14:textId="77777777" w:rsidR="00217891" w:rsidRDefault="00217891" w:rsidP="009F7E71">
                              <w:pPr>
                                <w:ind w:left="400" w:hangingChars="200" w:hanging="400"/>
                                <w:rPr>
                                  <w:rFonts w:ascii="Calibri" w:hAnsi="Calibri"/>
                                  <w:sz w:val="20"/>
                                  <w:szCs w:val="20"/>
                                </w:rPr>
                              </w:pPr>
                              <w:r w:rsidRPr="00C97A7B">
                                <w:rPr>
                                  <w:rFonts w:ascii="Calibri" w:hAnsi="Calibri"/>
                                  <w:color w:val="auto"/>
                                  <w:kern w:val="0"/>
                                  <w:sz w:val="20"/>
                                  <w:szCs w:val="20"/>
                                </w:rPr>
                                <w:t>环己亚胺：</w:t>
                              </w:r>
                              <w:r>
                                <w:rPr>
                                  <w:rFonts w:ascii="Calibri" w:hAnsi="Calibri"/>
                                  <w:color w:val="auto"/>
                                  <w:kern w:val="0"/>
                                  <w:sz w:val="20"/>
                                  <w:szCs w:val="20"/>
                                </w:rPr>
                                <w:t>0.34</w:t>
                              </w:r>
                              <w:r>
                                <w:rPr>
                                  <w:rFonts w:ascii="Calibri" w:hAnsi="Calibri" w:hint="eastAsia"/>
                                  <w:color w:val="auto"/>
                                  <w:kern w:val="0"/>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58</w:t>
                              </w:r>
                              <w:r>
                                <w:rPr>
                                  <w:rFonts w:ascii="Calibri" w:hAnsi="Calibri" w:hint="eastAsia"/>
                                  <w:sz w:val="20"/>
                                  <w:szCs w:val="20"/>
                                </w:rPr>
                                <w:t>；</w:t>
                              </w:r>
                            </w:p>
                            <w:p w14:paraId="4F6650A3" w14:textId="77777777" w:rsidR="00217891" w:rsidRDefault="00217891" w:rsidP="009F7E71">
                              <w:pPr>
                                <w:ind w:left="400" w:hangingChars="200" w:hanging="400"/>
                                <w:rPr>
                                  <w:rFonts w:ascii="Calibri" w:hAnsi="Calibri"/>
                                  <w:sz w:val="20"/>
                                  <w:szCs w:val="20"/>
                                </w:rPr>
                              </w:pP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0.527</w:t>
                              </w:r>
                              <w:r w:rsidRPr="00E13A8E">
                                <w:rPr>
                                  <w:rFonts w:ascii="Calibri" w:hAnsi="Calibri" w:hint="eastAsia"/>
                                  <w:sz w:val="20"/>
                                  <w:szCs w:val="20"/>
                                </w:rPr>
                                <w:t>癸二酸</w:t>
                              </w:r>
                              <w:r>
                                <w:rPr>
                                  <w:rFonts w:ascii="Calibri" w:hAnsi="Calibri" w:hint="eastAsia"/>
                                  <w:sz w:val="20"/>
                                  <w:szCs w:val="20"/>
                                </w:rPr>
                                <w:t>：</w:t>
                              </w:r>
                              <w:r>
                                <w:rPr>
                                  <w:rFonts w:ascii="Calibri" w:hAnsi="Calibri"/>
                                  <w:sz w:val="20"/>
                                  <w:szCs w:val="20"/>
                                </w:rPr>
                                <w:t>0.308</w:t>
                              </w:r>
                              <w:r>
                                <w:rPr>
                                  <w:rFonts w:ascii="Calibri" w:hAnsi="Calibri" w:hint="eastAsia"/>
                                  <w:sz w:val="20"/>
                                  <w:szCs w:val="20"/>
                                </w:rPr>
                                <w:t>；</w:t>
                              </w:r>
                            </w:p>
                            <w:p w14:paraId="23304A52" w14:textId="77777777" w:rsidR="00217891" w:rsidRPr="00C97A7B" w:rsidRDefault="00217891" w:rsidP="009F7E71">
                              <w:pPr>
                                <w:ind w:left="400" w:hangingChars="200" w:hanging="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sz w:val="20"/>
                                  <w:szCs w:val="20"/>
                                </w:rPr>
                                <w:t>4.55</w:t>
                              </w:r>
                            </w:p>
                          </w:txbxContent>
                        </wps:txbx>
                        <wps:bodyPr rot="0" vert="horz" wrap="square" lIns="91440" tIns="45720" rIns="91440" bIns="45720" anchor="t" anchorCtr="0" upright="1">
                          <a:noAutofit/>
                        </wps:bodyPr>
                      </wps:wsp>
                      <wps:wsp>
                        <wps:cNvPr id="25843" name="Rectangle 37727"/>
                        <wps:cNvSpPr>
                          <a:spLocks noChangeArrowheads="1"/>
                        </wps:cNvSpPr>
                        <wps:spPr bwMode="auto">
                          <a:xfrm>
                            <a:off x="0" y="304800"/>
                            <a:ext cx="1533525" cy="890905"/>
                          </a:xfrm>
                          <a:prstGeom prst="rect">
                            <a:avLst/>
                          </a:prstGeom>
                          <a:noFill/>
                          <a:ln>
                            <a:noFill/>
                          </a:ln>
                        </wps:spPr>
                        <wps:txbx>
                          <w:txbxContent>
                            <w:p w14:paraId="2775B7AB" w14:textId="77777777" w:rsidR="00217891" w:rsidRPr="00C97A7B" w:rsidRDefault="00217891" w:rsidP="009F7E71">
                              <w:pPr>
                                <w:ind w:firstLineChars="150" w:firstLine="315"/>
                                <w:rPr>
                                  <w:rFonts w:ascii="Calibri" w:hAnsi="Calibri"/>
                                </w:rPr>
                              </w:pPr>
                              <w:r w:rsidRPr="00C97A7B">
                                <w:rPr>
                                  <w:rFonts w:ascii="Calibri" w:hAnsi="Calibri"/>
                                </w:rPr>
                                <w:t>50%</w:t>
                              </w:r>
                              <w:r w:rsidRPr="00C97A7B">
                                <w:rPr>
                                  <w:rFonts w:ascii="Calibri" w:hAnsi="Calibri"/>
                                </w:rPr>
                                <w:t>尼龙</w:t>
                              </w:r>
                              <w:r w:rsidRPr="00C97A7B">
                                <w:rPr>
                                  <w:rFonts w:ascii="Calibri" w:hAnsi="Calibri"/>
                                </w:rPr>
                                <w:t>66</w:t>
                              </w:r>
                              <w:r w:rsidRPr="00C97A7B">
                                <w:rPr>
                                  <w:rFonts w:ascii="Calibri" w:hAnsi="Calibri"/>
                                </w:rPr>
                                <w:t>盐</w:t>
                              </w:r>
                              <w:r>
                                <w:rPr>
                                  <w:rFonts w:ascii="Calibri" w:hAnsi="Calibri"/>
                                </w:rPr>
                                <w:t>3840</w:t>
                              </w:r>
                            </w:p>
                            <w:p w14:paraId="6A13E5AC" w14:textId="77777777" w:rsidR="00217891" w:rsidRPr="00C97A7B" w:rsidRDefault="00217891" w:rsidP="009F7E71">
                              <w:pPr>
                                <w:ind w:firstLineChars="200" w:firstLine="420"/>
                                <w:rPr>
                                  <w:rFonts w:ascii="Calibri" w:hAnsi="Calibri"/>
                                </w:rPr>
                              </w:pPr>
                              <w:r w:rsidRPr="00C97A7B">
                                <w:rPr>
                                  <w:rFonts w:ascii="Calibri" w:hAnsi="Calibri"/>
                                </w:rPr>
                                <w:t>尼龙</w:t>
                              </w:r>
                              <w:r w:rsidRPr="00C97A7B">
                                <w:rPr>
                                  <w:rFonts w:ascii="Calibri" w:hAnsi="Calibri"/>
                                </w:rPr>
                                <w:t>12</w:t>
                              </w:r>
                              <w:r w:rsidRPr="00C97A7B">
                                <w:rPr>
                                  <w:rFonts w:ascii="Calibri" w:hAnsi="Calibri"/>
                                </w:rPr>
                                <w:t>盐</w:t>
                              </w:r>
                              <w:r>
                                <w:rPr>
                                  <w:rFonts w:ascii="Calibri" w:hAnsi="Calibri"/>
                                </w:rPr>
                                <w:t>1920</w:t>
                              </w:r>
                            </w:p>
                            <w:p w14:paraId="185EED6D" w14:textId="77777777" w:rsidR="00217891" w:rsidRPr="00C97A7B" w:rsidRDefault="00217891" w:rsidP="009F7E71">
                              <w:pPr>
                                <w:ind w:firstLineChars="200" w:firstLine="420"/>
                                <w:rPr>
                                  <w:rFonts w:ascii="Calibri" w:hAnsi="Calibri"/>
                                </w:rPr>
                              </w:pPr>
                              <w:r w:rsidRPr="00C97A7B">
                                <w:rPr>
                                  <w:rFonts w:ascii="Calibri" w:hAnsi="Calibri"/>
                                </w:rPr>
                                <w:t>尼龙</w:t>
                              </w:r>
                              <w:r w:rsidRPr="00C97A7B">
                                <w:rPr>
                                  <w:rFonts w:ascii="Calibri" w:hAnsi="Calibri"/>
                                </w:rPr>
                                <w:t>1010</w:t>
                              </w:r>
                              <w:r w:rsidRPr="00C97A7B">
                                <w:rPr>
                                  <w:rFonts w:ascii="Calibri" w:hAnsi="Calibri"/>
                                </w:rPr>
                                <w:t>盐</w:t>
                              </w:r>
                              <w:r>
                                <w:rPr>
                                  <w:rFonts w:ascii="Calibri" w:hAnsi="Calibri"/>
                                </w:rPr>
                                <w:t>480</w:t>
                              </w:r>
                            </w:p>
                            <w:p w14:paraId="0CC71E55" w14:textId="77777777" w:rsidR="00217891" w:rsidRPr="00C97A7B" w:rsidRDefault="00217891" w:rsidP="009F7E71">
                              <w:pPr>
                                <w:ind w:firstLineChars="100" w:firstLine="210"/>
                                <w:rPr>
                                  <w:rFonts w:ascii="Calibri" w:hAnsi="Calibri"/>
                                </w:rPr>
                              </w:pPr>
                              <w:r w:rsidRPr="00C97A7B">
                                <w:rPr>
                                  <w:rFonts w:ascii="Calibri" w:hAnsi="Calibri"/>
                                </w:rPr>
                                <w:t>次磷酸钠</w:t>
                              </w:r>
                              <w:r>
                                <w:rPr>
                                  <w:rFonts w:ascii="Calibri" w:hAnsi="Calibri"/>
                                </w:rPr>
                                <w:t>0.3</w:t>
                              </w:r>
                            </w:p>
                          </w:txbxContent>
                        </wps:txbx>
                        <wps:bodyPr rot="0" vert="horz" wrap="square" lIns="91440" tIns="45720" rIns="91440" bIns="45720" anchor="t" anchorCtr="0" upright="1">
                          <a:noAutofit/>
                        </wps:bodyPr>
                      </wps:wsp>
                      <wps:wsp>
                        <wps:cNvPr id="25844" name="Rectangle 37722"/>
                        <wps:cNvSpPr>
                          <a:spLocks noChangeArrowheads="1"/>
                        </wps:cNvSpPr>
                        <wps:spPr bwMode="auto">
                          <a:xfrm>
                            <a:off x="4823460" y="2818765"/>
                            <a:ext cx="1287780" cy="1958340"/>
                          </a:xfrm>
                          <a:prstGeom prst="rect">
                            <a:avLst/>
                          </a:prstGeom>
                          <a:noFill/>
                          <a:ln>
                            <a:noFill/>
                          </a:ln>
                        </wps:spPr>
                        <wps:txbx>
                          <w:txbxContent>
                            <w:p w14:paraId="23C2A643" w14:textId="77777777" w:rsidR="00217891" w:rsidRPr="001B4635" w:rsidRDefault="00217891" w:rsidP="009F7E71">
                              <w:pPr>
                                <w:ind w:leftChars="200" w:left="520" w:hangingChars="50" w:hanging="100"/>
                                <w:rPr>
                                  <w:rFonts w:ascii="Calibri" w:hAnsi="Calibri"/>
                                  <w:color w:val="FF0000"/>
                                  <w:sz w:val="20"/>
                                  <w:szCs w:val="20"/>
                                </w:rPr>
                              </w:pPr>
                              <w:r w:rsidRPr="001B4635">
                                <w:rPr>
                                  <w:rFonts w:ascii="Calibri" w:hAnsi="Calibri"/>
                                  <w:color w:val="FF0000"/>
                                  <w:sz w:val="20"/>
                                  <w:szCs w:val="20"/>
                                </w:rPr>
                                <w:t>废气：</w:t>
                              </w:r>
                              <w:r>
                                <w:rPr>
                                  <w:rFonts w:ascii="Calibri" w:hAnsi="Calibri"/>
                                  <w:color w:val="FF0000"/>
                                  <w:sz w:val="20"/>
                                  <w:szCs w:val="20"/>
                                </w:rPr>
                                <w:t>2.147</w:t>
                              </w:r>
                            </w:p>
                            <w:p w14:paraId="7D7113D4" w14:textId="77777777" w:rsidR="00217891" w:rsidRPr="00335723" w:rsidRDefault="00217891" w:rsidP="009F7E71">
                              <w:pPr>
                                <w:pStyle w:val="af1"/>
                                <w:ind w:left="403" w:hanging="403"/>
                                <w:jc w:val="both"/>
                                <w:rPr>
                                  <w:color w:val="FF0000"/>
                                </w:rPr>
                              </w:pPr>
                              <w:r w:rsidRPr="001B4635">
                                <w:rPr>
                                  <w:rFonts w:ascii="Calibri" w:hAnsi="Calibri"/>
                                  <w:color w:val="FF0000"/>
                                  <w:sz w:val="20"/>
                                  <w:szCs w:val="20"/>
                                </w:rPr>
                                <w:t>其中：</w:t>
                              </w:r>
                              <w:r w:rsidRPr="001B4635">
                                <w:rPr>
                                  <w:rFonts w:ascii="Calibri" w:cs="Calibri" w:hint="eastAsia"/>
                                  <w:color w:val="FF0000"/>
                                  <w:kern w:val="2"/>
                                  <w:sz w:val="20"/>
                                  <w:szCs w:val="20"/>
                                </w:rPr>
                                <w:t>己二胺：</w:t>
                              </w:r>
                              <w:r>
                                <w:rPr>
                                  <w:rFonts w:ascii="Calibri" w:hAnsi="Calibri" w:cs="Calibri"/>
                                  <w:color w:val="FF0000"/>
                                  <w:kern w:val="2"/>
                                  <w:sz w:val="20"/>
                                  <w:szCs w:val="20"/>
                                </w:rPr>
                                <w:t>1.41</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Pr>
                                  <w:rFonts w:ascii="Calibri" w:hAnsi="Calibri" w:cs="Calibri"/>
                                  <w:color w:val="FF0000"/>
                                  <w:kern w:val="2"/>
                                  <w:sz w:val="20"/>
                                  <w:szCs w:val="20"/>
                                </w:rPr>
                                <w:t>0.22</w:t>
                              </w:r>
                              <w:r>
                                <w:rPr>
                                  <w:rFonts w:ascii="Calibri" w:hAnsi="Calibri" w:cs="Calibri" w:hint="eastAsia"/>
                                  <w:color w:val="FF0000"/>
                                  <w:kern w:val="2"/>
                                  <w:sz w:val="20"/>
                                  <w:szCs w:val="20"/>
                                </w:rPr>
                                <w:t>；</w:t>
                              </w: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26</w:t>
                              </w:r>
                              <w:r>
                                <w:rPr>
                                  <w:rFonts w:ascii="Calibri" w:hAnsi="Calibri" w:cs="Calibri" w:hint="eastAsia"/>
                                  <w:color w:val="FF0000"/>
                                  <w:kern w:val="2"/>
                                  <w:sz w:val="20"/>
                                  <w:szCs w:val="20"/>
                                </w:rPr>
                                <w:t>；</w:t>
                              </w: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3</w:t>
                              </w:r>
                              <w:r>
                                <w:rPr>
                                  <w:rFonts w:ascii="Calibri" w:hAnsi="Calibri" w:cs="Calibri" w:hint="eastAsia"/>
                                  <w:color w:val="FF0000"/>
                                  <w:sz w:val="20"/>
                                  <w:szCs w:val="20"/>
                                </w:rPr>
                                <w:t>；</w:t>
                              </w:r>
                              <w:r w:rsidRPr="001B4635">
                                <w:rPr>
                                  <w:rFonts w:ascii="Calibri" w:cs="Calibri" w:hint="eastAsia"/>
                                  <w:color w:val="FF0000"/>
                                  <w:kern w:val="2"/>
                                  <w:sz w:val="20"/>
                                  <w:szCs w:val="20"/>
                                </w:rPr>
                                <w:t>氨：</w:t>
                              </w:r>
                              <w:r w:rsidRPr="001B4635">
                                <w:rPr>
                                  <w:rFonts w:ascii="Calibri" w:hAnsi="Calibri" w:cs="Calibri"/>
                                  <w:color w:val="FF0000"/>
                                  <w:kern w:val="2"/>
                                  <w:sz w:val="20"/>
                                  <w:szCs w:val="20"/>
                                </w:rPr>
                                <w:t>0.0</w:t>
                              </w:r>
                              <w:r>
                                <w:rPr>
                                  <w:rFonts w:ascii="Calibri" w:hAnsi="Calibri" w:cs="Calibri"/>
                                  <w:color w:val="FF0000"/>
                                  <w:kern w:val="2"/>
                                  <w:sz w:val="20"/>
                                  <w:szCs w:val="20"/>
                                </w:rPr>
                                <w:t>1</w:t>
                              </w:r>
                            </w:p>
                            <w:p w14:paraId="7612B4C2"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45</w:t>
                              </w:r>
                            </w:p>
                            <w:p w14:paraId="46AD6359"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26</w:t>
                              </w:r>
                            </w:p>
                            <w:p w14:paraId="04C92454"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color w:val="FF0000"/>
                                  <w:kern w:val="2"/>
                                  <w:sz w:val="20"/>
                                  <w:szCs w:val="20"/>
                                </w:rPr>
                                <w:t>0.38</w:t>
                              </w:r>
                            </w:p>
                            <w:p w14:paraId="33835992" w14:textId="77777777" w:rsidR="00217891" w:rsidRPr="00C9603E" w:rsidRDefault="00217891" w:rsidP="009F7E71">
                              <w:pPr>
                                <w:ind w:firstLineChars="200" w:firstLine="400"/>
                                <w:rPr>
                                  <w:rFonts w:ascii="Calibri" w:hAnsi="Calibri"/>
                                  <w:color w:val="FF0000"/>
                                  <w:sz w:val="20"/>
                                  <w:szCs w:val="20"/>
                                </w:rPr>
                              </w:pPr>
                            </w:p>
                          </w:txbxContent>
                        </wps:txbx>
                        <wps:bodyPr rot="0" vert="horz" wrap="square" lIns="91440" tIns="45720" rIns="91440" bIns="45720" anchor="t" anchorCtr="0" upright="1">
                          <a:noAutofit/>
                        </wps:bodyPr>
                      </wps:wsp>
                      <wps:wsp>
                        <wps:cNvPr id="25852" name="Rectangle 37710"/>
                        <wps:cNvSpPr>
                          <a:spLocks noChangeArrowheads="1"/>
                        </wps:cNvSpPr>
                        <wps:spPr bwMode="auto">
                          <a:xfrm>
                            <a:off x="1879260" y="15240"/>
                            <a:ext cx="2811780" cy="903900"/>
                          </a:xfrm>
                          <a:prstGeom prst="rect">
                            <a:avLst/>
                          </a:prstGeom>
                          <a:noFill/>
                          <a:ln>
                            <a:noFill/>
                          </a:ln>
                        </wps:spPr>
                        <wps:txbx>
                          <w:txbxContent>
                            <w:p w14:paraId="70A577C0" w14:textId="77777777" w:rsidR="00217891" w:rsidRDefault="00217891" w:rsidP="009F7E71">
                              <w:pPr>
                                <w:pStyle w:val="af1"/>
                                <w:ind w:firstLine="403"/>
                                <w:jc w:val="both"/>
                              </w:pPr>
                              <w:r>
                                <w:rPr>
                                  <w:rFonts w:ascii="Calibri" w:cs="Calibri" w:hint="eastAsia"/>
                                  <w:kern w:val="2"/>
                                  <w:sz w:val="20"/>
                                  <w:szCs w:val="20"/>
                                </w:rPr>
                                <w:t>回用冷凝液</w:t>
                              </w:r>
                              <w:r>
                                <w:rPr>
                                  <w:rFonts w:ascii="Calibri" w:hAnsi="Calibri" w:cs="Calibri"/>
                                  <w:kern w:val="2"/>
                                  <w:sz w:val="20"/>
                                  <w:szCs w:val="20"/>
                                </w:rPr>
                                <w:t>2079.68</w:t>
                              </w:r>
                              <w:r>
                                <w:rPr>
                                  <w:rFonts w:ascii="Calibri" w:cs="Calibri" w:hint="eastAsia"/>
                                  <w:kern w:val="2"/>
                                  <w:sz w:val="20"/>
                                  <w:szCs w:val="20"/>
                                </w:rPr>
                                <w:t>（其中水：</w:t>
                              </w:r>
                              <w:r>
                                <w:rPr>
                                  <w:rFonts w:ascii="Calibri" w:hAnsi="Calibri" w:cs="Calibri"/>
                                  <w:kern w:val="2"/>
                                  <w:sz w:val="20"/>
                                  <w:szCs w:val="20"/>
                                </w:rPr>
                                <w:t>2068.06</w:t>
                              </w:r>
                              <w:r>
                                <w:rPr>
                                  <w:rFonts w:ascii="Calibri" w:cs="Calibri" w:hint="eastAsia"/>
                                  <w:kern w:val="2"/>
                                  <w:sz w:val="20"/>
                                  <w:szCs w:val="20"/>
                                </w:rPr>
                                <w:t>氨：</w:t>
                              </w:r>
                              <w:r>
                                <w:rPr>
                                  <w:rFonts w:ascii="Calibri" w:hAnsi="Calibri" w:cs="Calibri"/>
                                  <w:kern w:val="2"/>
                                  <w:sz w:val="20"/>
                                  <w:szCs w:val="20"/>
                                </w:rPr>
                                <w:t>0.05</w:t>
                              </w:r>
                              <w:r>
                                <w:rPr>
                                  <w:rFonts w:ascii="Calibri" w:cs="Calibri" w:hint="eastAsia"/>
                                  <w:kern w:val="2"/>
                                  <w:sz w:val="20"/>
                                  <w:szCs w:val="20"/>
                                </w:rPr>
                                <w:t>；己二酸：</w:t>
                              </w:r>
                              <w:r>
                                <w:rPr>
                                  <w:rFonts w:ascii="Calibri" w:hAnsi="Calibri" w:cs="Calibri"/>
                                  <w:kern w:val="2"/>
                                  <w:sz w:val="20"/>
                                  <w:szCs w:val="20"/>
                                </w:rPr>
                                <w:t>2.64</w:t>
                              </w:r>
                              <w:r>
                                <w:rPr>
                                  <w:rFonts w:ascii="Calibri" w:cs="Calibri" w:hint="eastAsia"/>
                                  <w:kern w:val="2"/>
                                  <w:sz w:val="20"/>
                                  <w:szCs w:val="20"/>
                                </w:rPr>
                                <w:t>；环戊酮：</w:t>
                              </w:r>
                              <w:r>
                                <w:rPr>
                                  <w:rFonts w:ascii="Calibri" w:hAnsi="Calibri" w:cs="Calibri"/>
                                  <w:kern w:val="2"/>
                                  <w:sz w:val="20"/>
                                  <w:szCs w:val="20"/>
                                </w:rPr>
                                <w:t>0.29</w:t>
                              </w:r>
                              <w:r>
                                <w:rPr>
                                  <w:rFonts w:ascii="Calibri" w:cs="Calibri" w:hint="eastAsia"/>
                                  <w:kern w:val="2"/>
                                  <w:sz w:val="20"/>
                                  <w:szCs w:val="20"/>
                                </w:rPr>
                                <w:t>；</w:t>
                              </w:r>
                              <w:r>
                                <w:rPr>
                                  <w:rFonts w:ascii="Calibri" w:cs="Calibri" w:hint="eastAsia"/>
                                  <w:sz w:val="20"/>
                                  <w:szCs w:val="20"/>
                                </w:rPr>
                                <w:t>环己亚胺：</w:t>
                              </w:r>
                              <w:r>
                                <w:rPr>
                                  <w:rFonts w:ascii="Calibri" w:hAnsi="Calibri" w:cs="Calibri"/>
                                  <w:sz w:val="20"/>
                                  <w:szCs w:val="20"/>
                                </w:rPr>
                                <w:t>0.35</w:t>
                              </w:r>
                              <w:r>
                                <w:rPr>
                                  <w:rFonts w:ascii="Calibri" w:cs="Calibri" w:hint="eastAsia"/>
                                  <w:kern w:val="2"/>
                                  <w:sz w:val="20"/>
                                  <w:szCs w:val="20"/>
                                </w:rPr>
                                <w:t>；己二胺</w:t>
                              </w:r>
                              <w:r>
                                <w:rPr>
                                  <w:rFonts w:ascii="Calibri" w:hAnsi="Calibri" w:cs="Calibri"/>
                                  <w:kern w:val="2"/>
                                  <w:sz w:val="20"/>
                                  <w:szCs w:val="20"/>
                                </w:rPr>
                                <w:t>2.80</w:t>
                              </w:r>
                              <w:r>
                                <w:rPr>
                                  <w:rFonts w:ascii="Calibri" w:hAnsi="Calibri" w:cs="Calibri" w:hint="eastAsia"/>
                                  <w:kern w:val="2"/>
                                  <w:sz w:val="20"/>
                                  <w:szCs w:val="20"/>
                                </w:rPr>
                                <w:t>；</w:t>
                              </w:r>
                              <w:r w:rsidRPr="00E13A8E">
                                <w:rPr>
                                  <w:rFonts w:ascii="Calibri" w:hAnsi="Calibri" w:cs="Calibri" w:hint="eastAsia"/>
                                  <w:kern w:val="2"/>
                                  <w:sz w:val="20"/>
                                  <w:szCs w:val="20"/>
                                </w:rPr>
                                <w:t>癸二胺</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5</w:t>
                              </w:r>
                              <w:r>
                                <w:rPr>
                                  <w:rFonts w:ascii="Calibri" w:hAnsi="Calibri" w:cs="Calibri" w:hint="eastAsia"/>
                                  <w:kern w:val="2"/>
                                  <w:sz w:val="20"/>
                                  <w:szCs w:val="20"/>
                                </w:rPr>
                                <w:t xml:space="preserve">3 </w:t>
                              </w:r>
                              <w:r w:rsidRPr="00E13A8E">
                                <w:rPr>
                                  <w:rFonts w:ascii="Calibri" w:hAnsi="Calibri" w:cs="Calibri" w:hint="eastAsia"/>
                                  <w:kern w:val="2"/>
                                  <w:sz w:val="20"/>
                                  <w:szCs w:val="20"/>
                                </w:rPr>
                                <w:t>癸二酸</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32</w:t>
                              </w:r>
                              <w:r>
                                <w:rPr>
                                  <w:rFonts w:ascii="Calibri" w:hAnsi="Calibri" w:cs="Calibri" w:hint="eastAsia"/>
                                  <w:kern w:val="2"/>
                                  <w:sz w:val="20"/>
                                  <w:szCs w:val="20"/>
                                </w:rPr>
                                <w:t xml:space="preserve"> </w:t>
                              </w:r>
                              <w:r>
                                <w:rPr>
                                  <w:rFonts w:ascii="Calibri" w:hAnsi="Calibri" w:cs="Calibri"/>
                                  <w:kern w:val="2"/>
                                  <w:sz w:val="20"/>
                                  <w:szCs w:val="20"/>
                                </w:rPr>
                                <w:t xml:space="preserve"> </w:t>
                              </w:r>
                              <w:r w:rsidRPr="00E13A8E">
                                <w:rPr>
                                  <w:rFonts w:ascii="Calibri" w:cs="Calibri" w:hint="eastAsia"/>
                                  <w:kern w:val="2"/>
                                  <w:sz w:val="20"/>
                                  <w:szCs w:val="20"/>
                                </w:rPr>
                                <w:t>十二内酰胺</w:t>
                              </w:r>
                              <w:r>
                                <w:rPr>
                                  <w:rFonts w:ascii="Calibri" w:cs="Calibri" w:hint="eastAsia"/>
                                  <w:kern w:val="2"/>
                                  <w:sz w:val="20"/>
                                  <w:szCs w:val="20"/>
                                </w:rPr>
                                <w:t>：</w:t>
                              </w:r>
                              <w:r>
                                <w:rPr>
                                  <w:rFonts w:ascii="Calibri" w:cs="Calibri"/>
                                  <w:kern w:val="2"/>
                                  <w:sz w:val="20"/>
                                  <w:szCs w:val="20"/>
                                </w:rPr>
                                <w:t>4.64</w:t>
                              </w:r>
                              <w:r w:rsidRPr="00E13A8E">
                                <w:rPr>
                                  <w:rFonts w:ascii="Calibri" w:cs="Calibri" w:hint="eastAsia"/>
                                  <w:kern w:val="2"/>
                                  <w:sz w:val="20"/>
                                  <w:szCs w:val="20"/>
                                </w:rPr>
                                <w:t>）</w:t>
                              </w:r>
                            </w:p>
                          </w:txbxContent>
                        </wps:txbx>
                        <wps:bodyPr rot="0" vert="horz" wrap="square" lIns="91440" tIns="45720" rIns="91440" bIns="45720" anchor="t" anchorCtr="0" upright="1">
                          <a:noAutofit/>
                        </wps:bodyPr>
                      </wps:wsp>
                      <wps:wsp>
                        <wps:cNvPr id="25853" name="Rectangle 37685"/>
                        <wps:cNvSpPr>
                          <a:spLocks noChangeArrowheads="1"/>
                        </wps:cNvSpPr>
                        <wps:spPr bwMode="auto">
                          <a:xfrm>
                            <a:off x="4511040" y="4503420"/>
                            <a:ext cx="1600200" cy="191262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9A5F" w14:textId="77777777" w:rsidR="00217891" w:rsidRPr="001B4635" w:rsidRDefault="00217891" w:rsidP="009F7E71">
                              <w:pPr>
                                <w:pStyle w:val="af1"/>
                                <w:ind w:firstLine="403"/>
                                <w:jc w:val="both"/>
                                <w:rPr>
                                  <w:color w:val="FF0000"/>
                                </w:rPr>
                              </w:pPr>
                              <w:r w:rsidRPr="001B4635">
                                <w:rPr>
                                  <w:rFonts w:ascii="Calibri" w:cs="Calibri" w:hint="eastAsia"/>
                                  <w:color w:val="FF0000"/>
                                  <w:kern w:val="2"/>
                                  <w:sz w:val="20"/>
                                  <w:szCs w:val="20"/>
                                </w:rPr>
                                <w:t>废水</w:t>
                              </w:r>
                              <w:r>
                                <w:rPr>
                                  <w:rFonts w:ascii="Calibri" w:cs="Calibri" w:hint="eastAsia"/>
                                  <w:color w:val="FF0000"/>
                                  <w:kern w:val="2"/>
                                  <w:sz w:val="20"/>
                                  <w:szCs w:val="20"/>
                                </w:rPr>
                                <w:t>:</w:t>
                              </w:r>
                              <w:r>
                                <w:rPr>
                                  <w:rFonts w:ascii="Calibri" w:cs="Calibri"/>
                                  <w:color w:val="FF0000"/>
                                  <w:kern w:val="2"/>
                                  <w:sz w:val="20"/>
                                  <w:szCs w:val="20"/>
                                </w:rPr>
                                <w:t>1098.439</w:t>
                              </w:r>
                            </w:p>
                            <w:p w14:paraId="3815F58B" w14:textId="77777777" w:rsidR="00217891" w:rsidRPr="001B4635" w:rsidRDefault="00217891" w:rsidP="009F7E71">
                              <w:pPr>
                                <w:pStyle w:val="af1"/>
                                <w:ind w:left="403" w:hanging="403"/>
                                <w:jc w:val="both"/>
                                <w:rPr>
                                  <w:color w:val="FF0000"/>
                                </w:rPr>
                              </w:pPr>
                              <w:r w:rsidRPr="001B4635">
                                <w:rPr>
                                  <w:rFonts w:ascii="Calibri" w:cs="Calibri" w:hint="eastAsia"/>
                                  <w:color w:val="FF0000"/>
                                  <w:kern w:val="2"/>
                                  <w:sz w:val="20"/>
                                  <w:szCs w:val="20"/>
                                </w:rPr>
                                <w:t>其中水：</w:t>
                              </w:r>
                              <w:r>
                                <w:rPr>
                                  <w:rFonts w:ascii="Calibri" w:hAnsi="Calibri" w:cs="Calibri"/>
                                  <w:color w:val="FF0000"/>
                                  <w:kern w:val="2"/>
                                  <w:sz w:val="20"/>
                                  <w:szCs w:val="20"/>
                                </w:rPr>
                                <w:t>1095.23</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己二胺：</w:t>
                              </w:r>
                              <w:r>
                                <w:rPr>
                                  <w:rFonts w:ascii="Calibri" w:hAnsi="Calibri" w:cs="Calibri"/>
                                  <w:color w:val="FF0000"/>
                                  <w:kern w:val="2"/>
                                  <w:sz w:val="20"/>
                                  <w:szCs w:val="20"/>
                                </w:rPr>
                                <w:t>2.10</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sidRPr="001B4635">
                                <w:rPr>
                                  <w:rFonts w:ascii="Calibri" w:hAnsi="Calibri" w:cs="Calibri"/>
                                  <w:color w:val="FF0000"/>
                                  <w:kern w:val="2"/>
                                  <w:sz w:val="20"/>
                                  <w:szCs w:val="20"/>
                                </w:rPr>
                                <w:t>0.</w:t>
                              </w:r>
                              <w:r>
                                <w:rPr>
                                  <w:rFonts w:ascii="Calibri" w:hAnsi="Calibri" w:cs="Calibri"/>
                                  <w:color w:val="FF0000"/>
                                  <w:kern w:val="2"/>
                                  <w:sz w:val="20"/>
                                  <w:szCs w:val="20"/>
                                </w:rPr>
                                <w:t>33</w:t>
                              </w:r>
                            </w:p>
                            <w:p w14:paraId="3D79B6D4" w14:textId="77777777" w:rsidR="00217891" w:rsidRPr="001B4635" w:rsidRDefault="00217891" w:rsidP="009F7E71">
                              <w:pPr>
                                <w:pStyle w:val="af1"/>
                                <w:ind w:left="403" w:hanging="403"/>
                                <w:jc w:val="both"/>
                                <w:rPr>
                                  <w:color w:val="FF0000"/>
                                </w:rPr>
                              </w:pP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38</w:t>
                              </w:r>
                            </w:p>
                            <w:p w14:paraId="0167BAFC" w14:textId="77777777" w:rsidR="00217891" w:rsidRPr="001B4635" w:rsidRDefault="00217891" w:rsidP="009F7E71">
                              <w:pPr>
                                <w:pStyle w:val="af1"/>
                                <w:ind w:left="403" w:hanging="403"/>
                                <w:jc w:val="both"/>
                                <w:rPr>
                                  <w:color w:val="FF0000"/>
                                </w:rPr>
                              </w:pP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5</w:t>
                              </w:r>
                            </w:p>
                            <w:p w14:paraId="037D1278" w14:textId="77777777" w:rsidR="00217891" w:rsidRDefault="00217891" w:rsidP="009F7E71">
                              <w:pPr>
                                <w:pStyle w:val="af1"/>
                                <w:jc w:val="both"/>
                                <w:rPr>
                                  <w:rFonts w:ascii="Calibri" w:hAnsi="Calibri" w:cs="Calibri"/>
                                  <w:color w:val="FF0000"/>
                                  <w:kern w:val="2"/>
                                  <w:sz w:val="20"/>
                                  <w:szCs w:val="20"/>
                                </w:rPr>
                              </w:pP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6</w:t>
                              </w:r>
                            </w:p>
                            <w:p w14:paraId="703A2C8E"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color w:val="FF0000"/>
                                  <w:kern w:val="2"/>
                                  <w:sz w:val="20"/>
                                  <w:szCs w:val="20"/>
                                </w:rPr>
                                <w:t>0.067</w:t>
                              </w:r>
                            </w:p>
                            <w:p w14:paraId="02CC3A4F"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38</w:t>
                              </w:r>
                            </w:p>
                            <w:p w14:paraId="6FE5A085"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hint="eastAsia"/>
                                  <w:color w:val="FF0000"/>
                                  <w:kern w:val="2"/>
                                  <w:sz w:val="20"/>
                                  <w:szCs w:val="20"/>
                                </w:rPr>
                                <w:t>0.</w:t>
                              </w:r>
                              <w:r>
                                <w:rPr>
                                  <w:rFonts w:ascii="Calibri" w:cs="Calibri"/>
                                  <w:color w:val="FF0000"/>
                                  <w:kern w:val="2"/>
                                  <w:sz w:val="20"/>
                                  <w:szCs w:val="20"/>
                                </w:rPr>
                                <w:t>58</w:t>
                              </w: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7DCB921A" id="画布 25854" o:spid="_x0000_s1253" editas="canvas" style="position:absolute;left:0;text-align:left;margin-left:0;margin-top:-17.4pt;width:481.2pt;height:693pt;z-index:253710848;mso-position-horizontal:center;mso-position-horizontal-relative:margin;mso-height-relative:margin" coordsize="61112,8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">
                <v:shape id="_x0000_s1254" type="#_x0000_t75" style="position:absolute;width:61112;height:88011;visibility:visible;mso-wrap-style:square">
                  <v:fill o:detectmouseclick="t"/>
                  <v:path o:connecttype="none"/>
                </v:shape>
                <v:rect id="Rectangle 37672" o:spid="_x0000_s1255" style="position:absolute;left:13855;top:11576;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" filled="f">
                  <v:textbox>
                    <w:txbxContent>
                      <w:p w14:paraId="40DE88E0" w14:textId="77777777" w:rsidR="00217891" w:rsidRDefault="00217891" w:rsidP="009F7E71">
                        <w:pPr>
                          <w:ind w:firstLineChars="100" w:firstLine="210"/>
                          <w:rPr>
                            <w:rFonts w:ascii="等线" w:hAnsi="等线"/>
                          </w:rPr>
                        </w:pPr>
                        <w:r>
                          <w:rPr>
                            <w:rFonts w:ascii="等线" w:hAnsi="等线" w:hint="eastAsia"/>
                          </w:rPr>
                          <w:t>调配罐</w:t>
                        </w:r>
                      </w:p>
                    </w:txbxContent>
                  </v:textbox>
                </v:rect>
                <v:shape id="AutoShape 37673" o:spid="_x0000_s1256" type="#_x0000_t32" style="position:absolute;left:19824;top:7988;width:7;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">
                  <v:stroke endarrow="block"/>
                </v:shape>
                <v:shape id="AutoShape 37674" o:spid="_x0000_s1257" type="#_x0000_t32" style="position:absolute;left:23475;top:12947;width:39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">
                  <v:stroke endarrow="block"/>
                </v:shape>
                <v:rect id="Rectangle 37675" o:spid="_x0000_s1258" style="position:absolute;left:27571;top:11118;width:962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" filled="f">
                  <v:textbox>
                    <w:txbxContent>
                      <w:p w14:paraId="111FA935" w14:textId="77777777" w:rsidR="00217891" w:rsidRDefault="00217891" w:rsidP="009F7E71">
                        <w:pPr>
                          <w:ind w:firstLineChars="100" w:firstLine="210"/>
                          <w:rPr>
                            <w:rFonts w:ascii="等线" w:hAnsi="等线"/>
                          </w:rPr>
                        </w:pPr>
                        <w:r>
                          <w:rPr>
                            <w:rFonts w:ascii="等线" w:hAnsi="等线" w:hint="eastAsia"/>
                          </w:rPr>
                          <w:t>中间罐</w:t>
                        </w:r>
                      </w:p>
                    </w:txbxContent>
                  </v:textbox>
                </v:rect>
                <v:shape id="AutoShape 37676" o:spid="_x0000_s1259" type="#_x0000_t32" style="position:absolute;left:32213;top:14071;width:13;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">
                  <v:stroke endarrow="block"/>
                </v:shape>
                <v:rect id="Rectangle 37677" o:spid="_x0000_s1260" style="position:absolute;left:28028;top:19958;width:962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" filled="f">
                  <v:textbox>
                    <w:txbxContent>
                      <w:p w14:paraId="6992E8C3" w14:textId="77777777" w:rsidR="00217891" w:rsidRDefault="00217891" w:rsidP="009F7E71">
                        <w:pPr>
                          <w:ind w:firstLineChars="100" w:firstLine="210"/>
                          <w:rPr>
                            <w:rFonts w:ascii="等线" w:hAnsi="等线"/>
                          </w:rPr>
                        </w:pPr>
                        <w:r>
                          <w:rPr>
                            <w:rFonts w:ascii="等线" w:hAnsi="等线" w:hint="eastAsia"/>
                          </w:rPr>
                          <w:t>聚合釜</w:t>
                        </w:r>
                      </w:p>
                    </w:txbxContent>
                  </v:textbox>
                </v:rect>
                <v:shape id="AutoShape 37678" o:spid="_x0000_s1261" type="#_x0000_t32" style="position:absolute;left:44234;top:8915;width:76;height:10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"/>
                <v:shape id="AutoShape 37679" o:spid="_x0000_s1262" type="#_x0000_t32" style="position:absolute;left:42614;top:39617;width:261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">
                  <v:stroke dashstyle="dash" endarrow="block"/>
                </v:shape>
                <v:rect id="Rectangle 37680" o:spid="_x0000_s1263" style="position:absolute;left:45231;top:39109;width:358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" filled="f">
                  <v:textbox>
                    <w:txbxContent>
                      <w:p w14:paraId="2A3A1132" w14:textId="77777777" w:rsidR="00217891" w:rsidRDefault="00217891" w:rsidP="009F7E71">
                        <w:r>
                          <w:rPr>
                            <w:rFonts w:hint="eastAsia"/>
                          </w:rPr>
                          <w:t>水喷淋</w:t>
                        </w:r>
                      </w:p>
                    </w:txbxContent>
                  </v:textbox>
                </v:rect>
                <v:shape id="AutoShape 37681" o:spid="_x0000_s1264" type="#_x0000_t32" style="position:absolute;left:32042;top:22771;width:127;height:18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">
                  <v:stroke endarrow="block"/>
                </v:shape>
                <v:rect id="Rectangle 37682" o:spid="_x0000_s1265" style="position:absolute;left:27279;top:40767;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" filled="f">
                  <v:textbox>
                    <w:txbxContent>
                      <w:p w14:paraId="2766B9EC" w14:textId="77777777" w:rsidR="00217891" w:rsidRDefault="00217891" w:rsidP="009F7E71">
                        <w:pPr>
                          <w:ind w:firstLineChars="100" w:firstLine="210"/>
                          <w:rPr>
                            <w:rFonts w:ascii="等线" w:hAnsi="等线"/>
                          </w:rPr>
                        </w:pPr>
                        <w:r>
                          <w:rPr>
                            <w:rFonts w:ascii="等线" w:hAnsi="等线" w:hint="eastAsia"/>
                          </w:rPr>
                          <w:t>冷却池</w:t>
                        </w:r>
                      </w:p>
                    </w:txbxContent>
                  </v:textbox>
                </v:rect>
                <v:shape id="AutoShape 37683" o:spid="_x0000_s1266" type="#_x0000_t32" style="position:absolute;left:57924;top:21786;width:127;height:58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">
                  <v:stroke endarrow="block"/>
                </v:shape>
                <v:shape id="AutoShape 37684" o:spid="_x0000_s1267" type="#_x0000_t32" style="position:absolute;left:37668;top:21323;width:40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">
                  <v:stroke endarrow="block"/>
                </v:shape>
                <v:shape id="AutoShape 37686" o:spid="_x0000_s1268" type="#_x0000_t32" style="position:absolute;left:23583;top:42056;width:390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">
                  <v:stroke endarrow="block"/>
                </v:shape>
                <v:rect id="Rectangle 37687" o:spid="_x0000_s1269" style="position:absolute;left:13963;top:40227;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" filled="f">
                  <v:textbox>
                    <w:txbxContent>
                      <w:p w14:paraId="6EB72FF9" w14:textId="77777777" w:rsidR="00217891" w:rsidRDefault="00217891" w:rsidP="009F7E71">
                        <w:pPr>
                          <w:ind w:firstLineChars="100" w:firstLine="210"/>
                          <w:rPr>
                            <w:rFonts w:ascii="等线" w:hAnsi="等线"/>
                          </w:rPr>
                        </w:pPr>
                        <w:r>
                          <w:rPr>
                            <w:rFonts w:ascii="等线" w:hAnsi="等线" w:hint="eastAsia"/>
                          </w:rPr>
                          <w:t>循环系统</w:t>
                        </w:r>
                      </w:p>
                    </w:txbxContent>
                  </v:textbox>
                </v:rect>
                <v:shape id="AutoShape 37688" o:spid="_x0000_s1270" type="#_x0000_t32" style="position:absolute;left:9366;top:41751;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">
                  <v:stroke endarrow="block"/>
                </v:shape>
                <v:rect id="Rectangle 37689" o:spid="_x0000_s1271" style="position:absolute;left:5848;top:3910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" filled="f" stroked="f">
                  <v:textbox>
                    <w:txbxContent>
                      <w:p w14:paraId="2CFD085F" w14:textId="77777777" w:rsidR="00217891" w:rsidRDefault="00217891" w:rsidP="009F7E71">
                        <w:pPr>
                          <w:rPr>
                            <w:rFonts w:asciiTheme="minorHAnsi" w:hAnsiTheme="minorHAnsi"/>
                          </w:rPr>
                        </w:pPr>
                        <w:r>
                          <w:rPr>
                            <w:rFonts w:asciiTheme="minorHAnsi" w:hAnsiTheme="minorHAnsi" w:hint="eastAsia"/>
                          </w:rPr>
                          <w:t>脱盐水</w:t>
                        </w:r>
                        <w:r>
                          <w:rPr>
                            <w:rFonts w:ascii="Calibri" w:hAnsi="Calibri"/>
                          </w:rPr>
                          <w:t>206</w:t>
                        </w:r>
                      </w:p>
                    </w:txbxContent>
                  </v:textbox>
                </v:rect>
                <v:shape id="AutoShape 37690" o:spid="_x0000_s1272" type="#_x0000_t32" style="position:absolute;left:20104;top:43205;width:0;height:2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"/>
                <v:rect id="Rectangle 37691" o:spid="_x0000_s1273" style="position:absolute;left:9061;top:49422;width:14186;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" filled="f" stroked="f">
                  <v:textbox>
                    <w:txbxContent>
                      <w:p w14:paraId="12417A73" w14:textId="77777777" w:rsidR="00217891" w:rsidRPr="00C97A7B" w:rsidRDefault="00217891" w:rsidP="009F7E71">
                        <w:pPr>
                          <w:ind w:firstLineChars="100" w:firstLine="200"/>
                          <w:rPr>
                            <w:rFonts w:ascii="Calibri" w:hAnsi="Calibri"/>
                            <w:sz w:val="20"/>
                            <w:szCs w:val="20"/>
                          </w:rPr>
                        </w:pPr>
                        <w:r w:rsidRPr="00C97A7B">
                          <w:rPr>
                            <w:rFonts w:ascii="Calibri" w:hAnsi="Calibri"/>
                            <w:sz w:val="20"/>
                            <w:szCs w:val="20"/>
                          </w:rPr>
                          <w:t>排污水：</w:t>
                        </w:r>
                        <w:r>
                          <w:rPr>
                            <w:rFonts w:ascii="Calibri" w:hAnsi="Calibri"/>
                            <w:sz w:val="20"/>
                            <w:szCs w:val="20"/>
                          </w:rPr>
                          <w:t>21</w:t>
                        </w:r>
                      </w:p>
                      <w:p w14:paraId="750342AD" w14:textId="77777777" w:rsidR="00217891" w:rsidRPr="00C97A7B" w:rsidRDefault="00217891" w:rsidP="009F7E71">
                        <w:pPr>
                          <w:rPr>
                            <w:rFonts w:ascii="Calibri" w:hAnsi="Calibri"/>
                            <w:sz w:val="20"/>
                            <w:szCs w:val="20"/>
                          </w:rPr>
                        </w:pPr>
                        <w:r w:rsidRPr="00C97A7B">
                          <w:rPr>
                            <w:rFonts w:ascii="Calibri" w:hAnsi="Calibri"/>
                            <w:sz w:val="20"/>
                            <w:szCs w:val="20"/>
                          </w:rPr>
                          <w:t>（己二胺</w:t>
                        </w:r>
                        <w:r w:rsidRPr="00C97A7B">
                          <w:rPr>
                            <w:rFonts w:ascii="Calibri" w:hAnsi="Calibri"/>
                            <w:sz w:val="20"/>
                            <w:szCs w:val="20"/>
                          </w:rPr>
                          <w:t>0.0</w:t>
                        </w:r>
                        <w:r>
                          <w:rPr>
                            <w:rFonts w:ascii="Calibri" w:hAnsi="Calibri"/>
                            <w:sz w:val="20"/>
                            <w:szCs w:val="20"/>
                          </w:rPr>
                          <w:t>8</w:t>
                        </w:r>
                        <w:r w:rsidRPr="00C97A7B">
                          <w:rPr>
                            <w:rFonts w:ascii="Calibri" w:hAnsi="Calibri"/>
                            <w:sz w:val="20"/>
                            <w:szCs w:val="20"/>
                          </w:rPr>
                          <w:t>）</w:t>
                        </w:r>
                      </w:p>
                    </w:txbxContent>
                  </v:textbox>
                </v:rect>
                <v:shape id="AutoShape 37692" o:spid="_x0000_s1274" type="#_x0000_t32" style="position:absolute;left:37001;top:42360;width:810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">
                  <v:stroke dashstyle="dash" endarrow="block"/>
                </v:shape>
                <v:rect id="Rectangle 37693" o:spid="_x0000_s1275" style="position:absolute;left:33597;top:39770;width:1163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" filled="f" stroked="f">
                  <v:textbox>
                    <w:txbxContent>
                      <w:p w14:paraId="43BB1A21" w14:textId="77777777" w:rsidR="00217891" w:rsidRPr="00AE1181" w:rsidRDefault="00217891" w:rsidP="009F7E71">
                        <w:pPr>
                          <w:rPr>
                            <w:rFonts w:ascii="Calibri" w:hAnsi="Calibri"/>
                            <w:sz w:val="20"/>
                            <w:szCs w:val="20"/>
                          </w:rPr>
                        </w:pPr>
                        <w:r w:rsidRPr="00AE1181">
                          <w:rPr>
                            <w:rFonts w:ascii="Calibri" w:hAnsi="Calibri"/>
                            <w:sz w:val="20"/>
                            <w:szCs w:val="20"/>
                          </w:rPr>
                          <w:t>蒸发废气：</w:t>
                        </w:r>
                        <w:r>
                          <w:rPr>
                            <w:rFonts w:ascii="Calibri" w:hAnsi="Calibri"/>
                            <w:sz w:val="20"/>
                            <w:szCs w:val="20"/>
                          </w:rPr>
                          <w:t>185</w:t>
                        </w:r>
                      </w:p>
                      <w:p w14:paraId="7BE63A27" w14:textId="77777777" w:rsidR="00217891" w:rsidRPr="00AE1181" w:rsidRDefault="00217891" w:rsidP="009F7E71">
                        <w:pPr>
                          <w:rPr>
                            <w:rFonts w:ascii="Calibri" w:hAnsi="Calibri"/>
                            <w:sz w:val="20"/>
                            <w:szCs w:val="20"/>
                          </w:rPr>
                        </w:pPr>
                        <w:r w:rsidRPr="00AE1181">
                          <w:rPr>
                            <w:rFonts w:ascii="Calibri" w:hAnsi="Calibri"/>
                            <w:sz w:val="20"/>
                            <w:szCs w:val="20"/>
                          </w:rPr>
                          <w:t>（其中水：</w:t>
                        </w:r>
                        <w:r>
                          <w:rPr>
                            <w:rFonts w:ascii="Calibri" w:hAnsi="Calibri"/>
                            <w:sz w:val="20"/>
                            <w:szCs w:val="20"/>
                          </w:rPr>
                          <w:t>184.95</w:t>
                        </w:r>
                      </w:p>
                      <w:p w14:paraId="4A51E606" w14:textId="77777777" w:rsidR="00217891" w:rsidRDefault="00217891" w:rsidP="009F7E71">
                        <w:pPr>
                          <w:rPr>
                            <w:rFonts w:asciiTheme="minorHAnsi" w:hAnsiTheme="minorHAnsi"/>
                            <w:sz w:val="20"/>
                            <w:szCs w:val="20"/>
                          </w:rPr>
                        </w:pPr>
                        <w:r w:rsidRPr="00AE1181">
                          <w:rPr>
                            <w:rFonts w:ascii="Calibri" w:hAnsi="Calibri"/>
                            <w:sz w:val="20"/>
                            <w:szCs w:val="20"/>
                          </w:rPr>
                          <w:t>己二胺</w:t>
                        </w:r>
                        <w:r w:rsidRPr="00AE1181">
                          <w:rPr>
                            <w:rFonts w:ascii="Calibri" w:hAnsi="Calibri"/>
                            <w:sz w:val="20"/>
                            <w:szCs w:val="20"/>
                          </w:rPr>
                          <w:t>0.0</w:t>
                        </w:r>
                        <w:r>
                          <w:rPr>
                            <w:rFonts w:ascii="Calibri" w:hAnsi="Calibri"/>
                            <w:sz w:val="20"/>
                            <w:szCs w:val="20"/>
                          </w:rPr>
                          <w:t>5</w:t>
                        </w:r>
                        <w:r w:rsidRPr="00AE1181">
                          <w:rPr>
                            <w:rFonts w:ascii="Calibri" w:hAnsi="Calibri"/>
                            <w:sz w:val="20"/>
                            <w:szCs w:val="20"/>
                          </w:rPr>
                          <w:t>）</w:t>
                        </w:r>
                      </w:p>
                    </w:txbxContent>
                  </v:textbox>
                </v:rect>
                <v:shape id="AutoShape 37694" o:spid="_x0000_s1276" type="#_x0000_t32" style="position:absolute;left:31877;top:43656;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">
                  <v:stroke endarrow="block"/>
                </v:shape>
                <v:rect id="Rectangle 37695" o:spid="_x0000_s1277" style="position:absolute;left:27114;top:48882;width:96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" filled="f">
                  <v:textbox>
                    <w:txbxContent>
                      <w:p w14:paraId="661D96AD" w14:textId="77777777" w:rsidR="00217891" w:rsidRDefault="00217891" w:rsidP="009F7E71">
                        <w:pPr>
                          <w:ind w:firstLineChars="200" w:firstLine="420"/>
                          <w:rPr>
                            <w:rFonts w:ascii="等线" w:hAnsi="等线"/>
                          </w:rPr>
                        </w:pPr>
                        <w:r>
                          <w:rPr>
                            <w:rFonts w:ascii="等线" w:hAnsi="等线" w:hint="eastAsia"/>
                          </w:rPr>
                          <w:t>制粒</w:t>
                        </w:r>
                      </w:p>
                    </w:txbxContent>
                  </v:textbox>
                </v:rect>
                <v:shape id="AutoShape 37696" o:spid="_x0000_s1278" type="#_x0000_t32" style="position:absolute;left:36734;top:50431;width:459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">
                  <v:stroke endarrow="block"/>
                </v:shape>
                <v:rect id="Rectangle 37697" o:spid="_x0000_s1279" style="position:absolute;left:33966;top:5053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" filled="f" stroked="f">
                  <v:textbox>
                    <w:txbxContent>
                      <w:p w14:paraId="28BC640F" w14:textId="77777777" w:rsidR="00217891" w:rsidRPr="00C16801" w:rsidRDefault="00217891" w:rsidP="009F7E71">
                        <w:pPr>
                          <w:rPr>
                            <w:rFonts w:ascii="Calibri" w:hAnsi="Calibri"/>
                          </w:rPr>
                        </w:pPr>
                        <w:r w:rsidRPr="00C16801">
                          <w:rPr>
                            <w:rFonts w:ascii="Calibri" w:hAnsi="Calibri"/>
                          </w:rPr>
                          <w:t>瑕疵品：</w:t>
                        </w:r>
                        <w:r>
                          <w:rPr>
                            <w:rFonts w:ascii="Calibri" w:hAnsi="Calibri"/>
                          </w:rPr>
                          <w:t>24.714</w:t>
                        </w:r>
                      </w:p>
                    </w:txbxContent>
                  </v:textbox>
                </v:rect>
                <v:shape id="AutoShape 37698" o:spid="_x0000_s1280" type="#_x0000_t32" style="position:absolute;left:31902;top:51790;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">
                  <v:stroke endarrow="block"/>
                </v:shape>
                <v:rect id="Rectangle 37699" o:spid="_x0000_s1281" style="position:absolute;left:27381;top:57130;width:962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" filled="f">
                  <v:textbox>
                    <w:txbxContent>
                      <w:p w14:paraId="594DD578" w14:textId="77777777" w:rsidR="00217891" w:rsidRDefault="00217891" w:rsidP="009F7E71">
                        <w:pPr>
                          <w:ind w:firstLineChars="200" w:firstLine="420"/>
                          <w:rPr>
                            <w:rFonts w:ascii="等线" w:hAnsi="等线"/>
                          </w:rPr>
                        </w:pPr>
                        <w:r>
                          <w:rPr>
                            <w:rFonts w:ascii="等线" w:hAnsi="等线" w:hint="eastAsia"/>
                          </w:rPr>
                          <w:t>干燥</w:t>
                        </w:r>
                      </w:p>
                    </w:txbxContent>
                  </v:textbox>
                </v:rect>
                <v:shape id="AutoShape 37700" o:spid="_x0000_s1282" type="#_x0000_t32" style="position:absolute;left:37001;top:58737;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">
                  <v:stroke endarrow="block"/>
                </v:shape>
                <v:rect id="Rectangle 37701" o:spid="_x0000_s1283" style="position:absolute;left:32670;top:59505;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" filled="f" stroked="f">
                  <v:textbox>
                    <w:txbxContent>
                      <w:p w14:paraId="0B59EED3" w14:textId="77777777" w:rsidR="00217891" w:rsidRPr="00C97A7B" w:rsidRDefault="00217891" w:rsidP="009F7E71">
                        <w:pPr>
                          <w:rPr>
                            <w:rFonts w:ascii="Calibri" w:hAnsi="Calibri"/>
                          </w:rPr>
                        </w:pPr>
                        <w:r w:rsidRPr="00C97A7B">
                          <w:rPr>
                            <w:rFonts w:ascii="Calibri" w:hAnsi="Calibri"/>
                          </w:rPr>
                          <w:t>蒸发水：</w:t>
                        </w:r>
                        <w:r>
                          <w:rPr>
                            <w:rFonts w:ascii="Calibri" w:hAnsi="Calibri"/>
                          </w:rPr>
                          <w:t>16.5</w:t>
                        </w:r>
                      </w:p>
                    </w:txbxContent>
                  </v:textbox>
                </v:rect>
                <v:shape id="AutoShape 37702" o:spid="_x0000_s1284" type="#_x0000_t32" style="position:absolute;left:32023;top:60172;width:19;height:5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">
                  <v:stroke endarrow="block"/>
                </v:shape>
                <v:rect id="Rectangle 37703" o:spid="_x0000_s1285" style="position:absolute;left:27571;top:64789;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" filled="f" stroked="f">
                  <v:textbox>
                    <w:txbxContent>
                      <w:p w14:paraId="6D563AEB" w14:textId="77777777" w:rsidR="00217891" w:rsidRPr="00C16801" w:rsidRDefault="00217891" w:rsidP="009F7E71">
                        <w:pPr>
                          <w:rPr>
                            <w:rFonts w:ascii="Calibri" w:hAnsi="Calibri"/>
                          </w:rPr>
                        </w:pPr>
                        <w:r>
                          <w:rPr>
                            <w:rFonts w:asciiTheme="minorHAnsi" w:hAnsiTheme="minorHAnsi" w:hint="eastAsia"/>
                          </w:rPr>
                          <w:t>成品：</w:t>
                        </w:r>
                        <w:r>
                          <w:rPr>
                            <w:rFonts w:ascii="Calibri" w:hAnsi="Calibri"/>
                          </w:rPr>
                          <w:t>4000</w:t>
                        </w:r>
                      </w:p>
                    </w:txbxContent>
                  </v:textbox>
                </v:rect>
                <v:rect id="Rectangle 37704" o:spid="_x0000_s1286" style="position:absolute;left:29838;top:53486;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" filled="f" stroked="f">
                  <v:textbox>
                    <w:txbxContent>
                      <w:p w14:paraId="6967F464" w14:textId="77777777" w:rsidR="00217891" w:rsidRPr="00C97A7B" w:rsidRDefault="00217891" w:rsidP="009F7E71">
                        <w:pPr>
                          <w:ind w:firstLineChars="150" w:firstLine="315"/>
                          <w:rPr>
                            <w:rFonts w:ascii="Calibri" w:hAnsi="Calibri"/>
                          </w:rPr>
                        </w:pPr>
                        <w:r>
                          <w:rPr>
                            <w:rFonts w:ascii="Calibri" w:hAnsi="Calibri"/>
                          </w:rPr>
                          <w:t>4016.5</w:t>
                        </w:r>
                      </w:p>
                    </w:txbxContent>
                  </v:textbox>
                </v:rect>
                <v:rect id="Rectangle 37705" o:spid="_x0000_s1287" style="position:absolute;left:30314;top:45758;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" filled="f" stroked="f">
                  <v:textbox>
                    <w:txbxContent>
                      <w:p w14:paraId="276E0A7D" w14:textId="77777777" w:rsidR="00217891" w:rsidRPr="00C97A7B" w:rsidRDefault="00217891" w:rsidP="009F7E71">
                        <w:pPr>
                          <w:ind w:firstLineChars="100" w:firstLine="210"/>
                          <w:rPr>
                            <w:rFonts w:ascii="Calibri" w:hAnsi="Calibri"/>
                          </w:rPr>
                        </w:pPr>
                        <w:r>
                          <w:rPr>
                            <w:rFonts w:ascii="Calibri" w:hAnsi="Calibri"/>
                          </w:rPr>
                          <w:t>4041.214</w:t>
                        </w:r>
                      </w:p>
                    </w:txbxContent>
                  </v:textbox>
                </v:rect>
                <v:rect id="Rectangle 37706" o:spid="_x0000_s1288" style="position:absolute;left:41541;top:19881;width:702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" filled="f">
                  <v:textbox>
                    <w:txbxContent>
                      <w:p w14:paraId="4B30E98E" w14:textId="77777777" w:rsidR="00217891" w:rsidRDefault="00217891" w:rsidP="009F7E71">
                        <w:pPr>
                          <w:rPr>
                            <w:rFonts w:ascii="等线" w:hAnsi="等线"/>
                          </w:rPr>
                        </w:pPr>
                        <w:r>
                          <w:rPr>
                            <w:rFonts w:ascii="等线" w:hAnsi="等线" w:hint="eastAsia"/>
                          </w:rPr>
                          <w:t>冷却塔</w:t>
                        </w:r>
                      </w:p>
                    </w:txbxContent>
                  </v:textbox>
                </v:rect>
                <v:shape id="AutoShape 37707" o:spid="_x0000_s1289" type="#_x0000_t32" style="position:absolute;left:22466;top:8902;width:2181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"/>
                <v:shape id="AutoShape 37708" o:spid="_x0000_s1290" type="#_x0000_t32" style="position:absolute;left:22358;top:8915;width:108;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">
                  <v:stroke endarrow="block"/>
                </v:shape>
                <v:rect id="Rectangle 37709" o:spid="_x0000_s1291" style="position:absolute;left:33966;top:18529;width:10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" filled="f" stroked="f">
                  <v:textbox>
                    <w:txbxContent>
                      <w:p w14:paraId="054224D9" w14:textId="77777777" w:rsidR="00217891" w:rsidRPr="00C97A7B" w:rsidRDefault="00217891" w:rsidP="009F7E71">
                        <w:pPr>
                          <w:ind w:firstLineChars="200" w:firstLine="420"/>
                          <w:rPr>
                            <w:rFonts w:ascii="Calibri" w:hAnsi="Calibri"/>
                          </w:rPr>
                        </w:pPr>
                        <w:r w:rsidRPr="006032CF">
                          <w:rPr>
                            <w:rFonts w:ascii="Calibri" w:hAnsi="Calibri"/>
                          </w:rPr>
                          <w:t>4278.766</w:t>
                        </w:r>
                      </w:p>
                    </w:txbxContent>
                  </v:textbox>
                </v:rect>
                <v:shape id="AutoShape 37711" o:spid="_x0000_s1292" type="#_x0000_t32" style="position:absolute;left:42367;top:22847;width:190;height:170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">
                  <v:stroke dashstyle="dash"/>
                </v:shape>
                <v:rect id="Rectangle 37712" o:spid="_x0000_s1293" style="position:absolute;left:31610;top:22625;width:18866;height:1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" filled="f" stroked="f">
                  <v:textbox>
                    <w:txbxContent>
                      <w:p w14:paraId="04550D7C" w14:textId="77777777" w:rsidR="00217891" w:rsidRPr="00C97A7B" w:rsidRDefault="00217891" w:rsidP="009F7E71">
                        <w:pPr>
                          <w:ind w:firstLineChars="200" w:firstLine="400"/>
                          <w:rPr>
                            <w:rFonts w:ascii="Calibri" w:hAnsi="Calibri"/>
                            <w:sz w:val="20"/>
                            <w:szCs w:val="20"/>
                          </w:rPr>
                        </w:pPr>
                        <w:r w:rsidRPr="00C97A7B">
                          <w:rPr>
                            <w:rFonts w:ascii="Calibri" w:hAnsi="Calibri"/>
                            <w:sz w:val="20"/>
                            <w:szCs w:val="20"/>
                          </w:rPr>
                          <w:t>不凝气：</w:t>
                        </w:r>
                        <w:r>
                          <w:rPr>
                            <w:rFonts w:ascii="Calibri" w:hAnsi="Calibri"/>
                            <w:sz w:val="20"/>
                            <w:szCs w:val="20"/>
                          </w:rPr>
                          <w:t>430.586</w:t>
                        </w:r>
                      </w:p>
                      <w:p w14:paraId="4DF3008C" w14:textId="77777777" w:rsidR="00217891" w:rsidRPr="00C97A7B" w:rsidRDefault="00217891" w:rsidP="006032CF">
                        <w:pPr>
                          <w:ind w:firstLineChars="200" w:firstLine="400"/>
                          <w:rPr>
                            <w:rFonts w:ascii="Calibri" w:hAnsi="Calibri"/>
                            <w:sz w:val="20"/>
                            <w:szCs w:val="20"/>
                          </w:rPr>
                        </w:pPr>
                        <w:r w:rsidRPr="00C97A7B">
                          <w:rPr>
                            <w:rFonts w:ascii="Calibri" w:hAnsi="Calibri"/>
                            <w:sz w:val="20"/>
                            <w:szCs w:val="20"/>
                          </w:rPr>
                          <w:t>（其中水：</w:t>
                        </w:r>
                        <w:r>
                          <w:rPr>
                            <w:rFonts w:ascii="Calibri" w:hAnsi="Calibri"/>
                            <w:sz w:val="20"/>
                            <w:szCs w:val="20"/>
                          </w:rPr>
                          <w:t>425.28</w:t>
                        </w:r>
                        <w:r>
                          <w:rPr>
                            <w:rFonts w:ascii="Calibri" w:hAnsi="Calibri" w:hint="eastAsia"/>
                            <w:sz w:val="20"/>
                            <w:szCs w:val="20"/>
                          </w:rPr>
                          <w:t>；</w:t>
                        </w:r>
                        <w:r w:rsidRPr="00C97A7B">
                          <w:rPr>
                            <w:rFonts w:ascii="Calibri" w:hAnsi="Calibri"/>
                            <w:sz w:val="20"/>
                            <w:szCs w:val="20"/>
                          </w:rPr>
                          <w:t>氨：</w:t>
                        </w:r>
                        <w:r w:rsidRPr="00C97A7B">
                          <w:rPr>
                            <w:rFonts w:ascii="Calibri" w:hAnsi="Calibri"/>
                            <w:sz w:val="20"/>
                            <w:szCs w:val="20"/>
                          </w:rPr>
                          <w:t>0.01</w:t>
                        </w:r>
                        <w:r>
                          <w:rPr>
                            <w:rFonts w:ascii="Calibri" w:hAnsi="Calibri"/>
                            <w:sz w:val="20"/>
                            <w:szCs w:val="20"/>
                          </w:rPr>
                          <w:t>6</w:t>
                        </w:r>
                        <w:r>
                          <w:rPr>
                            <w:rFonts w:ascii="Calibri" w:hAnsi="Calibri" w:hint="eastAsia"/>
                            <w:sz w:val="20"/>
                            <w:szCs w:val="20"/>
                          </w:rPr>
                          <w:t>；</w:t>
                        </w:r>
                        <w:r w:rsidRPr="00C97A7B">
                          <w:rPr>
                            <w:rFonts w:ascii="Calibri" w:hAnsi="Calibri"/>
                            <w:sz w:val="20"/>
                            <w:szCs w:val="20"/>
                          </w:rPr>
                          <w:t>己二酸：</w:t>
                        </w:r>
                        <w:r>
                          <w:rPr>
                            <w:rFonts w:ascii="Calibri" w:hAnsi="Calibri"/>
                            <w:sz w:val="20"/>
                            <w:szCs w:val="20"/>
                          </w:rPr>
                          <w:t>0.55</w:t>
                        </w:r>
                        <w:r>
                          <w:rPr>
                            <w:rFonts w:ascii="Calibri" w:hAnsi="Calibri" w:hint="eastAsia"/>
                            <w:sz w:val="20"/>
                            <w:szCs w:val="20"/>
                          </w:rPr>
                          <w:t>；</w:t>
                        </w:r>
                        <w:r w:rsidRPr="00C97A7B">
                          <w:rPr>
                            <w:rFonts w:ascii="Calibri" w:hAnsi="Calibri"/>
                            <w:sz w:val="20"/>
                            <w:szCs w:val="20"/>
                          </w:rPr>
                          <w:t>环戊酮：</w:t>
                        </w:r>
                        <w:r w:rsidRPr="00C97A7B">
                          <w:rPr>
                            <w:rFonts w:ascii="Calibri" w:hAnsi="Calibri"/>
                            <w:sz w:val="20"/>
                            <w:szCs w:val="20"/>
                          </w:rPr>
                          <w:t>0.0</w:t>
                        </w:r>
                        <w:r>
                          <w:rPr>
                            <w:rFonts w:ascii="Calibri" w:hAnsi="Calibri"/>
                            <w:sz w:val="20"/>
                            <w:szCs w:val="20"/>
                          </w:rPr>
                          <w:t>64</w:t>
                        </w:r>
                        <w:r>
                          <w:rPr>
                            <w:rFonts w:ascii="Calibri" w:hAnsi="Calibri" w:hint="eastAsia"/>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0.0</w:t>
                        </w:r>
                        <w:r>
                          <w:rPr>
                            <w:rFonts w:ascii="Calibri" w:hAnsi="Calibri"/>
                            <w:color w:val="auto"/>
                            <w:kern w:val="0"/>
                            <w:sz w:val="20"/>
                            <w:szCs w:val="20"/>
                          </w:rPr>
                          <w:t>8</w:t>
                        </w:r>
                        <w:r w:rsidRPr="00C97A7B">
                          <w:rPr>
                            <w:rFonts w:ascii="Calibri" w:hAnsi="Calibri"/>
                            <w:sz w:val="20"/>
                            <w:szCs w:val="20"/>
                          </w:rPr>
                          <w:t>己二胺</w:t>
                        </w:r>
                        <w:r>
                          <w:rPr>
                            <w:rFonts w:ascii="Calibri" w:hAnsi="Calibri" w:hint="eastAsia"/>
                            <w:sz w:val="20"/>
                            <w:szCs w:val="20"/>
                          </w:rPr>
                          <w:t>:</w:t>
                        </w:r>
                        <w:r>
                          <w:rPr>
                            <w:rFonts w:ascii="Calibri" w:hAnsi="Calibri"/>
                            <w:sz w:val="20"/>
                            <w:szCs w:val="20"/>
                          </w:rPr>
                          <w:t>3.46</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0.112</w:t>
                        </w:r>
                        <w:r>
                          <w:rPr>
                            <w:rFonts w:ascii="Calibri" w:hAnsi="Calibri" w:hint="eastAsia"/>
                            <w:sz w:val="20"/>
                            <w:szCs w:val="20"/>
                          </w:rPr>
                          <w:t>；</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0.0</w:t>
                        </w:r>
                        <w:r>
                          <w:rPr>
                            <w:rFonts w:ascii="Calibri" w:hAnsi="Calibri"/>
                            <w:sz w:val="20"/>
                            <w:szCs w:val="20"/>
                          </w:rPr>
                          <w:t>64</w:t>
                        </w:r>
                        <w:r>
                          <w:rPr>
                            <w:rFonts w:ascii="Calibri" w:hAnsi="Calibri" w:hint="eastAsia"/>
                            <w:sz w:val="20"/>
                            <w:szCs w:val="20"/>
                          </w:rPr>
                          <w:t>；</w:t>
                        </w:r>
                        <w:r w:rsidRPr="00E13A8E">
                          <w:rPr>
                            <w:rFonts w:ascii="Calibri" w:hAnsi="宋体" w:hint="eastAsia"/>
                            <w:sz w:val="20"/>
                            <w:szCs w:val="20"/>
                          </w:rPr>
                          <w:t>十二内酰胺</w:t>
                        </w:r>
                        <w:r>
                          <w:rPr>
                            <w:rFonts w:ascii="Calibri" w:hint="eastAsia"/>
                            <w:sz w:val="20"/>
                            <w:szCs w:val="20"/>
                          </w:rPr>
                          <w:t>：</w:t>
                        </w:r>
                        <w:r>
                          <w:rPr>
                            <w:rFonts w:ascii="Calibri" w:hint="eastAsia"/>
                            <w:sz w:val="20"/>
                            <w:szCs w:val="20"/>
                          </w:rPr>
                          <w:t>0.</w:t>
                        </w:r>
                        <w:r>
                          <w:rPr>
                            <w:rFonts w:ascii="Calibri"/>
                            <w:sz w:val="20"/>
                            <w:szCs w:val="20"/>
                          </w:rPr>
                          <w:t>9</w:t>
                        </w:r>
                        <w:r>
                          <w:rPr>
                            <w:rFonts w:ascii="Calibri" w:hint="eastAsia"/>
                            <w:sz w:val="20"/>
                            <w:szCs w:val="20"/>
                          </w:rPr>
                          <w:t>6</w:t>
                        </w:r>
                        <w:r w:rsidRPr="00C97A7B">
                          <w:rPr>
                            <w:rFonts w:ascii="Calibri" w:hAnsi="Calibri"/>
                            <w:sz w:val="20"/>
                            <w:szCs w:val="20"/>
                          </w:rPr>
                          <w:t>）</w:t>
                        </w:r>
                      </w:p>
                    </w:txbxContent>
                  </v:textbox>
                </v:rect>
                <v:shape id="AutoShape 37713" o:spid="_x0000_s1294" type="#_x0000_t32" style="position:absolute;left:48488;top:21551;width:972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">
                  <v:stroke endarrow="block"/>
                </v:shape>
                <v:rect id="Rectangle 37714" o:spid="_x0000_s1295" style="position:absolute;left:46405;top:6096;width:14135;height:1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" filled="f" stroked="f">
                  <v:textbox>
                    <w:txbxContent>
                      <w:p w14:paraId="19274C82" w14:textId="77777777" w:rsidR="00217891" w:rsidRPr="00C97A7B" w:rsidRDefault="00217891" w:rsidP="009F7E71">
                        <w:pPr>
                          <w:rPr>
                            <w:rFonts w:ascii="Calibri" w:hAnsi="Calibri"/>
                            <w:sz w:val="20"/>
                            <w:szCs w:val="20"/>
                          </w:rPr>
                        </w:pPr>
                        <w:r w:rsidRPr="00C97A7B">
                          <w:rPr>
                            <w:rFonts w:ascii="Calibri" w:hAnsi="Calibri"/>
                            <w:sz w:val="20"/>
                            <w:szCs w:val="20"/>
                          </w:rPr>
                          <w:t>冷凝液</w:t>
                        </w:r>
                        <w:r>
                          <w:rPr>
                            <w:rFonts w:ascii="Calibri" w:hAnsi="Calibri"/>
                            <w:sz w:val="20"/>
                            <w:szCs w:val="20"/>
                          </w:rPr>
                          <w:t>1768.5</w:t>
                        </w:r>
                      </w:p>
                      <w:p w14:paraId="13AEE096" w14:textId="77777777" w:rsidR="00217891" w:rsidRPr="00C97A7B" w:rsidRDefault="00217891" w:rsidP="009F7E71">
                        <w:pPr>
                          <w:rPr>
                            <w:rFonts w:ascii="Calibri" w:hAnsi="Calibri"/>
                            <w:sz w:val="20"/>
                            <w:szCs w:val="20"/>
                          </w:rPr>
                        </w:pPr>
                        <w:r w:rsidRPr="00C97A7B">
                          <w:rPr>
                            <w:rFonts w:ascii="Calibri" w:hAnsi="Calibri"/>
                            <w:sz w:val="20"/>
                            <w:szCs w:val="20"/>
                          </w:rPr>
                          <w:t>（其中水：</w:t>
                        </w:r>
                        <w:r>
                          <w:rPr>
                            <w:rFonts w:ascii="Calibri" w:hAnsi="Calibri"/>
                            <w:sz w:val="20"/>
                            <w:szCs w:val="20"/>
                          </w:rPr>
                          <w:t>1758.56</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5</w:t>
                        </w:r>
                        <w:r w:rsidRPr="00C97A7B">
                          <w:rPr>
                            <w:rFonts w:ascii="Calibri" w:hAnsi="Calibri"/>
                            <w:sz w:val="20"/>
                            <w:szCs w:val="20"/>
                          </w:rPr>
                          <w:t>；己二酸</w:t>
                        </w:r>
                        <w:r w:rsidRPr="00C97A7B">
                          <w:rPr>
                            <w:rFonts w:ascii="Calibri" w:hAnsi="Calibri"/>
                            <w:sz w:val="20"/>
                            <w:szCs w:val="20"/>
                          </w:rPr>
                          <w:t>:</w:t>
                        </w:r>
                        <w:r>
                          <w:rPr>
                            <w:rFonts w:ascii="Calibri" w:hAnsi="Calibri"/>
                            <w:sz w:val="20"/>
                            <w:szCs w:val="20"/>
                          </w:rPr>
                          <w:t>2.26</w:t>
                        </w:r>
                        <w:r w:rsidRPr="00C97A7B">
                          <w:rPr>
                            <w:rFonts w:ascii="Calibri" w:hAnsi="Calibri"/>
                            <w:sz w:val="20"/>
                            <w:szCs w:val="20"/>
                          </w:rPr>
                          <w:t>；环戊酮：</w:t>
                        </w:r>
                        <w:r>
                          <w:rPr>
                            <w:rFonts w:ascii="Calibri" w:hAnsi="Calibri"/>
                            <w:sz w:val="20"/>
                            <w:szCs w:val="20"/>
                          </w:rPr>
                          <w:t>0.26</w:t>
                        </w:r>
                        <w:r w:rsidRPr="00C97A7B">
                          <w:rPr>
                            <w:rFonts w:ascii="Calibri" w:hAnsi="Calibri"/>
                            <w:sz w:val="20"/>
                            <w:szCs w:val="20"/>
                          </w:rPr>
                          <w:t>；</w:t>
                        </w:r>
                        <w:r w:rsidRPr="00C97A7B">
                          <w:rPr>
                            <w:rFonts w:ascii="Calibri" w:hAnsi="Calibri"/>
                            <w:color w:val="auto"/>
                            <w:kern w:val="0"/>
                            <w:sz w:val="20"/>
                            <w:szCs w:val="20"/>
                          </w:rPr>
                          <w:t>环己亚胺：</w:t>
                        </w:r>
                        <w:r w:rsidRPr="00C97A7B">
                          <w:rPr>
                            <w:rFonts w:ascii="Calibri" w:hAnsi="Calibri"/>
                            <w:color w:val="auto"/>
                            <w:kern w:val="0"/>
                            <w:sz w:val="20"/>
                            <w:szCs w:val="20"/>
                          </w:rPr>
                          <w:t>0.</w:t>
                        </w:r>
                        <w:r>
                          <w:rPr>
                            <w:rFonts w:ascii="Calibri" w:hAnsi="Calibri"/>
                            <w:color w:val="auto"/>
                            <w:kern w:val="0"/>
                            <w:sz w:val="20"/>
                            <w:szCs w:val="20"/>
                          </w:rPr>
                          <w:t>29</w:t>
                        </w:r>
                        <w:r w:rsidRPr="00C97A7B">
                          <w:rPr>
                            <w:rFonts w:ascii="Calibri" w:hAnsi="Calibri"/>
                            <w:color w:val="auto"/>
                            <w:kern w:val="0"/>
                            <w:sz w:val="20"/>
                            <w:szCs w:val="20"/>
                          </w:rPr>
                          <w:t>；</w:t>
                        </w:r>
                        <w:r w:rsidRPr="00C97A7B">
                          <w:rPr>
                            <w:rFonts w:ascii="Calibri" w:hAnsi="Calibri"/>
                            <w:sz w:val="20"/>
                            <w:szCs w:val="20"/>
                          </w:rPr>
                          <w:t>己二胺</w:t>
                        </w:r>
                        <w:r>
                          <w:rPr>
                            <w:rFonts w:ascii="Calibri" w:hAnsi="Calibri"/>
                            <w:sz w:val="20"/>
                            <w:szCs w:val="20"/>
                          </w:rPr>
                          <w:t>2.38</w:t>
                        </w:r>
                        <w:r>
                          <w:rPr>
                            <w:rFonts w:ascii="Calibri" w:hAnsi="Calibri" w:hint="eastAsia"/>
                            <w:sz w:val="20"/>
                            <w:szCs w:val="20"/>
                          </w:rPr>
                          <w:t>；</w:t>
                        </w: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0.46</w:t>
                        </w:r>
                        <w:r w:rsidRPr="00E13A8E">
                          <w:rPr>
                            <w:rFonts w:ascii="Calibri" w:hAnsi="Calibri" w:hint="eastAsia"/>
                            <w:sz w:val="20"/>
                            <w:szCs w:val="20"/>
                          </w:rPr>
                          <w:t>癸二酸</w:t>
                        </w:r>
                        <w:r>
                          <w:rPr>
                            <w:rFonts w:ascii="Calibri" w:hAnsi="Calibri" w:hint="eastAsia"/>
                            <w:sz w:val="20"/>
                            <w:szCs w:val="20"/>
                          </w:rPr>
                          <w:t>：</w:t>
                        </w:r>
                        <w:r>
                          <w:rPr>
                            <w:rFonts w:ascii="Calibri" w:hAnsi="Calibri" w:hint="eastAsia"/>
                            <w:sz w:val="20"/>
                            <w:szCs w:val="20"/>
                          </w:rPr>
                          <w:t>0.</w:t>
                        </w:r>
                        <w:r>
                          <w:rPr>
                            <w:rFonts w:ascii="Calibri" w:hAnsi="Calibri"/>
                            <w:sz w:val="20"/>
                            <w:szCs w:val="20"/>
                          </w:rPr>
                          <w:t>2</w:t>
                        </w:r>
                        <w:r>
                          <w:rPr>
                            <w:rFonts w:ascii="Calibri" w:hAnsi="Calibri" w:hint="eastAsia"/>
                            <w:sz w:val="20"/>
                            <w:szCs w:val="20"/>
                          </w:rPr>
                          <w:t>7</w:t>
                        </w:r>
                        <w:r w:rsidRPr="00E13A8E">
                          <w:rPr>
                            <w:rFonts w:ascii="Calibri" w:hAnsi="宋体" w:hint="eastAsia"/>
                            <w:sz w:val="20"/>
                            <w:szCs w:val="20"/>
                          </w:rPr>
                          <w:t>十二内酰胺</w:t>
                        </w:r>
                        <w:r>
                          <w:rPr>
                            <w:rFonts w:ascii="Calibri" w:hint="eastAsia"/>
                            <w:sz w:val="20"/>
                            <w:szCs w:val="20"/>
                          </w:rPr>
                          <w:t>：</w:t>
                        </w:r>
                        <w:r>
                          <w:rPr>
                            <w:rFonts w:ascii="Calibri"/>
                            <w:sz w:val="20"/>
                            <w:szCs w:val="20"/>
                          </w:rPr>
                          <w:t>3.97</w:t>
                        </w:r>
                        <w:r w:rsidRPr="00C97A7B">
                          <w:rPr>
                            <w:rFonts w:ascii="Calibri" w:hAnsi="Calibri"/>
                            <w:sz w:val="20"/>
                            <w:szCs w:val="20"/>
                          </w:rPr>
                          <w:t>）</w:t>
                        </w:r>
                      </w:p>
                    </w:txbxContent>
                  </v:textbox>
                </v:rect>
                <v:shape id="AutoShape 37715" o:spid="_x0000_s1296" type="#_x0000_t32" style="position:absolute;left:48736;top:44723;width:501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">
                  <v:stroke endarrow="block"/>
                </v:shape>
                <v:shape id="AutoShape 37716" o:spid="_x0000_s1297" type="#_x0000_t32" style="position:absolute;left:47809;top:34175;width:146;height:48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">
                  <v:stroke dashstyle="dash" startarrow="block"/>
                </v:shape>
                <v:shape id="AutoShape 37718" o:spid="_x0000_s1298" type="#_x0000_t32" style="position:absolute;left:46526;top:36487;width:6;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">
                  <v:stroke endarrow="block"/>
                </v:shape>
                <v:rect id="Rectangle 37719" o:spid="_x0000_s1299" style="position:absolute;left:39509;top:34982;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" filled="f" stroked="f">
                  <v:textbox>
                    <w:txbxContent>
                      <w:p w14:paraId="5E556046" w14:textId="77777777" w:rsidR="00217891" w:rsidRPr="00C97A7B" w:rsidRDefault="00217891" w:rsidP="009F7E71">
                        <w:pPr>
                          <w:rPr>
                            <w:rFonts w:ascii="Calibri" w:hAnsi="Calibri"/>
                          </w:rPr>
                        </w:pPr>
                        <w:r w:rsidRPr="00C97A7B">
                          <w:rPr>
                            <w:rFonts w:ascii="Calibri" w:hAnsi="Calibri"/>
                          </w:rPr>
                          <w:t>新鲜水</w:t>
                        </w:r>
                        <w:r w:rsidRPr="00C97A7B">
                          <w:rPr>
                            <w:rFonts w:ascii="Calibri" w:hAnsi="Calibri"/>
                          </w:rPr>
                          <w:t>303</w:t>
                        </w:r>
                      </w:p>
                    </w:txbxContent>
                  </v:textbox>
                </v:rect>
                <v:shape id="AutoShape 37720" o:spid="_x0000_s1300" type="#_x0000_t32" style="position:absolute;left:20104;top:68268;width:3782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">
                  <v:stroke endarrow="block"/>
                </v:shape>
                <v:rect id="Rectangle 37722" o:spid="_x0000_s1301" style="position:absolute;left:21767;top:13677;width:1206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" filled="f" stroked="f">
                  <v:textbox>
                    <w:txbxContent>
                      <w:p w14:paraId="258BDF66" w14:textId="77777777" w:rsidR="00217891" w:rsidRPr="00C97A7B" w:rsidRDefault="00217891" w:rsidP="009F7E71">
                        <w:pPr>
                          <w:rPr>
                            <w:rFonts w:ascii="Calibri" w:hAnsi="Calibri"/>
                          </w:rPr>
                        </w:pPr>
                        <w:r>
                          <w:rPr>
                            <w:rFonts w:ascii="Calibri" w:hAnsi="Calibri"/>
                          </w:rPr>
                          <w:t>8319.98</w:t>
                        </w:r>
                        <w:r w:rsidRPr="00C97A7B">
                          <w:rPr>
                            <w:rFonts w:ascii="Calibri" w:hAnsi="Calibri"/>
                          </w:rPr>
                          <w:t>（</w:t>
                        </w:r>
                        <w:r w:rsidRPr="00C97A7B">
                          <w:rPr>
                            <w:rFonts w:ascii="Calibri" w:hAnsi="Calibri"/>
                          </w:rPr>
                          <w:t>52%</w:t>
                        </w:r>
                        <w:r w:rsidRPr="00C97A7B">
                          <w:rPr>
                            <w:rFonts w:ascii="Calibri" w:hAnsi="Calibri"/>
                          </w:rPr>
                          <w:t>）</w:t>
                        </w:r>
                      </w:p>
                    </w:txbxContent>
                  </v:textbox>
                </v:rect>
                <v:rect id="Rectangle 37723" o:spid="_x0000_s1302" style="position:absolute;left:24339;top:33013;width:1085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" filled="f" stroked="f">
                  <v:textbox>
                    <w:txbxContent>
                      <w:p w14:paraId="3FC640ED" w14:textId="77777777" w:rsidR="00217891" w:rsidRPr="00AE1181" w:rsidRDefault="00217891" w:rsidP="009F7E71">
                        <w:pPr>
                          <w:ind w:firstLineChars="100" w:firstLine="210"/>
                          <w:rPr>
                            <w:rFonts w:ascii="Calibri" w:hAnsi="Calibri"/>
                          </w:rPr>
                        </w:pPr>
                        <w:r>
                          <w:rPr>
                            <w:rFonts w:ascii="Calibri" w:hAnsi="Calibri"/>
                          </w:rPr>
                          <w:t>4041.214</w:t>
                        </w:r>
                      </w:p>
                    </w:txbxContent>
                  </v:textbox>
                </v:rect>
                <v:rect id="Rectangle 37725" o:spid="_x0000_s1303" style="position:absolute;left:49104;top:79927;width:1061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" filled="f">
                  <v:textbox>
                    <w:txbxContent>
                      <w:p w14:paraId="588A5398" w14:textId="77777777" w:rsidR="00217891" w:rsidRDefault="00217891" w:rsidP="009F7E71">
                        <w:pPr>
                          <w:ind w:firstLineChars="100" w:firstLine="210"/>
                          <w:rPr>
                            <w:rFonts w:ascii="等线" w:hAnsi="等线"/>
                          </w:rPr>
                        </w:pPr>
                        <w:r>
                          <w:rPr>
                            <w:rFonts w:ascii="等线" w:hAnsi="等线" w:hint="eastAsia"/>
                          </w:rPr>
                          <w:t>污水</w:t>
                        </w:r>
                        <w:r>
                          <w:rPr>
                            <w:rFonts w:ascii="等线" w:hAnsi="等线"/>
                          </w:rPr>
                          <w:t>处理站</w:t>
                        </w:r>
                      </w:p>
                    </w:txbxContent>
                  </v:textbox>
                </v:rect>
                <v:rect id="Rectangle 37726" o:spid="_x0000_s1304" style="position:absolute;left:39509;top:68726;width:19571;height:1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" filled="f" stroked="f">
                  <v:textbox>
                    <w:txbxContent>
                      <w:p w14:paraId="559FCCE4" w14:textId="77777777" w:rsidR="00217891" w:rsidRPr="00C97A7B" w:rsidRDefault="00217891" w:rsidP="009F7E71">
                        <w:pPr>
                          <w:ind w:firstLineChars="50" w:firstLine="100"/>
                          <w:rPr>
                            <w:rFonts w:ascii="Calibri" w:hAnsi="Calibri"/>
                            <w:sz w:val="20"/>
                            <w:szCs w:val="20"/>
                          </w:rPr>
                        </w:pPr>
                        <w:r w:rsidRPr="00C97A7B">
                          <w:rPr>
                            <w:rFonts w:ascii="Calibri" w:hAnsi="Calibri"/>
                            <w:sz w:val="20"/>
                            <w:szCs w:val="20"/>
                          </w:rPr>
                          <w:t>废水：</w:t>
                        </w:r>
                        <w:r>
                          <w:rPr>
                            <w:rFonts w:ascii="Calibri" w:hAnsi="Calibri"/>
                            <w:sz w:val="20"/>
                            <w:szCs w:val="20"/>
                          </w:rPr>
                          <w:t>2887.941</w:t>
                        </w:r>
                      </w:p>
                      <w:p w14:paraId="6E842A41" w14:textId="77777777" w:rsidR="00217891" w:rsidRPr="00C97A7B" w:rsidRDefault="00217891" w:rsidP="009F7E71">
                        <w:pPr>
                          <w:ind w:left="400" w:hangingChars="200" w:hanging="400"/>
                          <w:rPr>
                            <w:rFonts w:ascii="Calibri" w:hAnsi="Calibri"/>
                            <w:sz w:val="20"/>
                            <w:szCs w:val="20"/>
                          </w:rPr>
                        </w:pPr>
                        <w:r w:rsidRPr="00C97A7B">
                          <w:rPr>
                            <w:rFonts w:ascii="Calibri" w:hAnsi="Calibri"/>
                            <w:sz w:val="20"/>
                            <w:szCs w:val="20"/>
                          </w:rPr>
                          <w:t>其中水：</w:t>
                        </w:r>
                        <w:r>
                          <w:rPr>
                            <w:rFonts w:ascii="Calibri" w:hAnsi="Calibri"/>
                            <w:sz w:val="20"/>
                            <w:szCs w:val="20"/>
                          </w:rPr>
                          <w:t>2874.76</w:t>
                        </w:r>
                        <w:r>
                          <w:rPr>
                            <w:rFonts w:ascii="Calibri" w:hAnsi="Calibri" w:hint="eastAsia"/>
                            <w:sz w:val="20"/>
                            <w:szCs w:val="20"/>
                          </w:rPr>
                          <w:t>；</w:t>
                        </w:r>
                        <w:r w:rsidRPr="00C97A7B">
                          <w:rPr>
                            <w:rFonts w:ascii="Calibri" w:hAnsi="Calibri"/>
                            <w:sz w:val="20"/>
                            <w:szCs w:val="20"/>
                          </w:rPr>
                          <w:t>己二胺：</w:t>
                        </w:r>
                        <w:r>
                          <w:rPr>
                            <w:rFonts w:ascii="Calibri" w:hAnsi="Calibri"/>
                            <w:sz w:val="20"/>
                            <w:szCs w:val="20"/>
                          </w:rPr>
                          <w:t>4.51</w:t>
                        </w:r>
                      </w:p>
                      <w:p w14:paraId="5F56013D" w14:textId="77777777" w:rsidR="00217891" w:rsidRPr="00C97A7B" w:rsidRDefault="00217891" w:rsidP="009F7E71">
                        <w:pPr>
                          <w:ind w:left="400" w:hangingChars="200" w:hanging="400"/>
                          <w:rPr>
                            <w:rFonts w:ascii="Calibri" w:hAnsi="Calibri"/>
                            <w:sz w:val="20"/>
                            <w:szCs w:val="20"/>
                          </w:rPr>
                        </w:pPr>
                        <w:r w:rsidRPr="00C97A7B">
                          <w:rPr>
                            <w:rFonts w:ascii="Calibri" w:hAnsi="Calibri"/>
                            <w:sz w:val="20"/>
                            <w:szCs w:val="20"/>
                          </w:rPr>
                          <w:t>己二酸：</w:t>
                        </w:r>
                        <w:r>
                          <w:rPr>
                            <w:rFonts w:ascii="Calibri" w:hAnsi="Calibri"/>
                            <w:sz w:val="20"/>
                            <w:szCs w:val="20"/>
                          </w:rPr>
                          <w:t>2.59</w:t>
                        </w:r>
                        <w:r>
                          <w:rPr>
                            <w:rFonts w:ascii="Calibri" w:hAnsi="Calibri" w:hint="eastAsia"/>
                            <w:sz w:val="20"/>
                            <w:szCs w:val="20"/>
                          </w:rPr>
                          <w:t>；</w:t>
                        </w:r>
                        <w:r w:rsidRPr="00C97A7B">
                          <w:rPr>
                            <w:rFonts w:ascii="Calibri" w:hAnsi="Calibri"/>
                            <w:sz w:val="20"/>
                            <w:szCs w:val="20"/>
                          </w:rPr>
                          <w:t>环戊酮：</w:t>
                        </w:r>
                        <w:r>
                          <w:rPr>
                            <w:rFonts w:ascii="Calibri" w:hAnsi="Calibri"/>
                            <w:sz w:val="20"/>
                            <w:szCs w:val="20"/>
                          </w:rPr>
                          <w:t>0.298</w:t>
                        </w:r>
                      </w:p>
                      <w:p w14:paraId="017A644B" w14:textId="77777777" w:rsidR="00217891" w:rsidRDefault="00217891" w:rsidP="009F7E71">
                        <w:pPr>
                          <w:ind w:left="400" w:hangingChars="200" w:hanging="400"/>
                          <w:rPr>
                            <w:rFonts w:ascii="Calibri" w:hAnsi="Calibri"/>
                            <w:sz w:val="20"/>
                            <w:szCs w:val="20"/>
                          </w:rPr>
                        </w:pPr>
                        <w:r w:rsidRPr="00C97A7B">
                          <w:rPr>
                            <w:rFonts w:ascii="Calibri" w:hAnsi="Calibri"/>
                            <w:color w:val="auto"/>
                            <w:kern w:val="0"/>
                            <w:sz w:val="20"/>
                            <w:szCs w:val="20"/>
                          </w:rPr>
                          <w:t>环己亚胺：</w:t>
                        </w:r>
                        <w:r>
                          <w:rPr>
                            <w:rFonts w:ascii="Calibri" w:hAnsi="Calibri"/>
                            <w:color w:val="auto"/>
                            <w:kern w:val="0"/>
                            <w:sz w:val="20"/>
                            <w:szCs w:val="20"/>
                          </w:rPr>
                          <w:t>0.34</w:t>
                        </w:r>
                        <w:r>
                          <w:rPr>
                            <w:rFonts w:ascii="Calibri" w:hAnsi="Calibri" w:hint="eastAsia"/>
                            <w:color w:val="auto"/>
                            <w:kern w:val="0"/>
                            <w:sz w:val="20"/>
                            <w:szCs w:val="20"/>
                          </w:rPr>
                          <w:t>；</w:t>
                        </w:r>
                        <w:r w:rsidRPr="00C97A7B">
                          <w:rPr>
                            <w:rFonts w:ascii="Calibri" w:hAnsi="Calibri"/>
                            <w:sz w:val="20"/>
                            <w:szCs w:val="20"/>
                          </w:rPr>
                          <w:t>氨：</w:t>
                        </w:r>
                        <w:r w:rsidRPr="00C97A7B">
                          <w:rPr>
                            <w:rFonts w:ascii="Calibri" w:hAnsi="Calibri"/>
                            <w:sz w:val="20"/>
                            <w:szCs w:val="20"/>
                          </w:rPr>
                          <w:t>0.0</w:t>
                        </w:r>
                        <w:r>
                          <w:rPr>
                            <w:rFonts w:ascii="Calibri" w:hAnsi="Calibri"/>
                            <w:sz w:val="20"/>
                            <w:szCs w:val="20"/>
                          </w:rPr>
                          <w:t>58</w:t>
                        </w:r>
                        <w:r>
                          <w:rPr>
                            <w:rFonts w:ascii="Calibri" w:hAnsi="Calibri" w:hint="eastAsia"/>
                            <w:sz w:val="20"/>
                            <w:szCs w:val="20"/>
                          </w:rPr>
                          <w:t>；</w:t>
                        </w:r>
                      </w:p>
                      <w:p w14:paraId="4F6650A3" w14:textId="77777777" w:rsidR="00217891" w:rsidRDefault="00217891" w:rsidP="009F7E71">
                        <w:pPr>
                          <w:ind w:left="400" w:hangingChars="200" w:hanging="400"/>
                          <w:rPr>
                            <w:rFonts w:ascii="Calibri" w:hAnsi="Calibri"/>
                            <w:sz w:val="20"/>
                            <w:szCs w:val="20"/>
                          </w:rPr>
                        </w:pPr>
                        <w:r w:rsidRPr="00E13A8E">
                          <w:rPr>
                            <w:rFonts w:ascii="Calibri" w:hAnsi="Calibri" w:hint="eastAsia"/>
                            <w:sz w:val="20"/>
                            <w:szCs w:val="20"/>
                          </w:rPr>
                          <w:t>癸二胺</w:t>
                        </w:r>
                        <w:r>
                          <w:rPr>
                            <w:rFonts w:ascii="Calibri" w:hAnsi="Calibri" w:hint="eastAsia"/>
                            <w:sz w:val="20"/>
                            <w:szCs w:val="20"/>
                          </w:rPr>
                          <w:t>：</w:t>
                        </w:r>
                        <w:r>
                          <w:rPr>
                            <w:rFonts w:ascii="Calibri" w:hAnsi="Calibri"/>
                            <w:sz w:val="20"/>
                            <w:szCs w:val="20"/>
                          </w:rPr>
                          <w:t>0.527</w:t>
                        </w:r>
                        <w:r w:rsidRPr="00E13A8E">
                          <w:rPr>
                            <w:rFonts w:ascii="Calibri" w:hAnsi="Calibri" w:hint="eastAsia"/>
                            <w:sz w:val="20"/>
                            <w:szCs w:val="20"/>
                          </w:rPr>
                          <w:t>癸二酸</w:t>
                        </w:r>
                        <w:r>
                          <w:rPr>
                            <w:rFonts w:ascii="Calibri" w:hAnsi="Calibri" w:hint="eastAsia"/>
                            <w:sz w:val="20"/>
                            <w:szCs w:val="20"/>
                          </w:rPr>
                          <w:t>：</w:t>
                        </w:r>
                        <w:r>
                          <w:rPr>
                            <w:rFonts w:ascii="Calibri" w:hAnsi="Calibri"/>
                            <w:sz w:val="20"/>
                            <w:szCs w:val="20"/>
                          </w:rPr>
                          <w:t>0.308</w:t>
                        </w:r>
                        <w:r>
                          <w:rPr>
                            <w:rFonts w:ascii="Calibri" w:hAnsi="Calibri" w:hint="eastAsia"/>
                            <w:sz w:val="20"/>
                            <w:szCs w:val="20"/>
                          </w:rPr>
                          <w:t>；</w:t>
                        </w:r>
                      </w:p>
                      <w:p w14:paraId="23304A52" w14:textId="77777777" w:rsidR="00217891" w:rsidRPr="00C97A7B" w:rsidRDefault="00217891" w:rsidP="009F7E71">
                        <w:pPr>
                          <w:ind w:left="400" w:hangingChars="200" w:hanging="400"/>
                          <w:rPr>
                            <w:rFonts w:ascii="Calibri" w:hAnsi="Calibri"/>
                            <w:sz w:val="20"/>
                            <w:szCs w:val="20"/>
                          </w:rPr>
                        </w:pPr>
                        <w:r w:rsidRPr="00E13A8E">
                          <w:rPr>
                            <w:rFonts w:ascii="Calibri" w:hAnsi="宋体" w:hint="eastAsia"/>
                            <w:sz w:val="20"/>
                            <w:szCs w:val="20"/>
                          </w:rPr>
                          <w:t>十二内酰胺</w:t>
                        </w:r>
                        <w:r>
                          <w:rPr>
                            <w:rFonts w:ascii="Calibri" w:hint="eastAsia"/>
                            <w:sz w:val="20"/>
                            <w:szCs w:val="20"/>
                          </w:rPr>
                          <w:t>：</w:t>
                        </w:r>
                        <w:r>
                          <w:rPr>
                            <w:rFonts w:ascii="Calibri"/>
                            <w:sz w:val="20"/>
                            <w:szCs w:val="20"/>
                          </w:rPr>
                          <w:t>4.55</w:t>
                        </w:r>
                      </w:p>
                    </w:txbxContent>
                  </v:textbox>
                </v:rect>
                <v:rect id="Rectangle 37727" o:spid="_x0000_s1305" style="position:absolute;top:3048;width:15335;height:8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" filled="f" stroked="f">
                  <v:textbox>
                    <w:txbxContent>
                      <w:p w14:paraId="2775B7AB" w14:textId="77777777" w:rsidR="00217891" w:rsidRPr="00C97A7B" w:rsidRDefault="00217891" w:rsidP="009F7E71">
                        <w:pPr>
                          <w:ind w:firstLineChars="150" w:firstLine="315"/>
                          <w:rPr>
                            <w:rFonts w:ascii="Calibri" w:hAnsi="Calibri"/>
                          </w:rPr>
                        </w:pPr>
                        <w:r w:rsidRPr="00C97A7B">
                          <w:rPr>
                            <w:rFonts w:ascii="Calibri" w:hAnsi="Calibri"/>
                          </w:rPr>
                          <w:t>50%</w:t>
                        </w:r>
                        <w:r w:rsidRPr="00C97A7B">
                          <w:rPr>
                            <w:rFonts w:ascii="Calibri" w:hAnsi="Calibri"/>
                          </w:rPr>
                          <w:t>尼龙</w:t>
                        </w:r>
                        <w:r w:rsidRPr="00C97A7B">
                          <w:rPr>
                            <w:rFonts w:ascii="Calibri" w:hAnsi="Calibri"/>
                          </w:rPr>
                          <w:t>66</w:t>
                        </w:r>
                        <w:r w:rsidRPr="00C97A7B">
                          <w:rPr>
                            <w:rFonts w:ascii="Calibri" w:hAnsi="Calibri"/>
                          </w:rPr>
                          <w:t>盐</w:t>
                        </w:r>
                        <w:r>
                          <w:rPr>
                            <w:rFonts w:ascii="Calibri" w:hAnsi="Calibri"/>
                          </w:rPr>
                          <w:t>3840</w:t>
                        </w:r>
                      </w:p>
                      <w:p w14:paraId="6A13E5AC" w14:textId="77777777" w:rsidR="00217891" w:rsidRPr="00C97A7B" w:rsidRDefault="00217891" w:rsidP="009F7E71">
                        <w:pPr>
                          <w:ind w:firstLineChars="200" w:firstLine="420"/>
                          <w:rPr>
                            <w:rFonts w:ascii="Calibri" w:hAnsi="Calibri"/>
                          </w:rPr>
                        </w:pPr>
                        <w:r w:rsidRPr="00C97A7B">
                          <w:rPr>
                            <w:rFonts w:ascii="Calibri" w:hAnsi="Calibri"/>
                          </w:rPr>
                          <w:t>尼龙</w:t>
                        </w:r>
                        <w:r w:rsidRPr="00C97A7B">
                          <w:rPr>
                            <w:rFonts w:ascii="Calibri" w:hAnsi="Calibri"/>
                          </w:rPr>
                          <w:t>12</w:t>
                        </w:r>
                        <w:r w:rsidRPr="00C97A7B">
                          <w:rPr>
                            <w:rFonts w:ascii="Calibri" w:hAnsi="Calibri"/>
                          </w:rPr>
                          <w:t>盐</w:t>
                        </w:r>
                        <w:r>
                          <w:rPr>
                            <w:rFonts w:ascii="Calibri" w:hAnsi="Calibri"/>
                          </w:rPr>
                          <w:t>1920</w:t>
                        </w:r>
                      </w:p>
                      <w:p w14:paraId="185EED6D" w14:textId="77777777" w:rsidR="00217891" w:rsidRPr="00C97A7B" w:rsidRDefault="00217891" w:rsidP="009F7E71">
                        <w:pPr>
                          <w:ind w:firstLineChars="200" w:firstLine="420"/>
                          <w:rPr>
                            <w:rFonts w:ascii="Calibri" w:hAnsi="Calibri"/>
                          </w:rPr>
                        </w:pPr>
                        <w:r w:rsidRPr="00C97A7B">
                          <w:rPr>
                            <w:rFonts w:ascii="Calibri" w:hAnsi="Calibri"/>
                          </w:rPr>
                          <w:t>尼龙</w:t>
                        </w:r>
                        <w:r w:rsidRPr="00C97A7B">
                          <w:rPr>
                            <w:rFonts w:ascii="Calibri" w:hAnsi="Calibri"/>
                          </w:rPr>
                          <w:t>1010</w:t>
                        </w:r>
                        <w:r w:rsidRPr="00C97A7B">
                          <w:rPr>
                            <w:rFonts w:ascii="Calibri" w:hAnsi="Calibri"/>
                          </w:rPr>
                          <w:t>盐</w:t>
                        </w:r>
                        <w:r>
                          <w:rPr>
                            <w:rFonts w:ascii="Calibri" w:hAnsi="Calibri"/>
                          </w:rPr>
                          <w:t>480</w:t>
                        </w:r>
                      </w:p>
                      <w:p w14:paraId="0CC71E55" w14:textId="77777777" w:rsidR="00217891" w:rsidRPr="00C97A7B" w:rsidRDefault="00217891" w:rsidP="009F7E71">
                        <w:pPr>
                          <w:ind w:firstLineChars="100" w:firstLine="210"/>
                          <w:rPr>
                            <w:rFonts w:ascii="Calibri" w:hAnsi="Calibri"/>
                          </w:rPr>
                        </w:pPr>
                        <w:r w:rsidRPr="00C97A7B">
                          <w:rPr>
                            <w:rFonts w:ascii="Calibri" w:hAnsi="Calibri"/>
                          </w:rPr>
                          <w:t>次磷酸钠</w:t>
                        </w:r>
                        <w:r>
                          <w:rPr>
                            <w:rFonts w:ascii="Calibri" w:hAnsi="Calibri"/>
                          </w:rPr>
                          <w:t>0.3</w:t>
                        </w:r>
                      </w:p>
                    </w:txbxContent>
                  </v:textbox>
                </v:rect>
                <v:rect id="Rectangle 37722" o:spid="_x0000_s1306" style="position:absolute;left:48234;top:28187;width:12878;height:19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" filled="f" stroked="f">
                  <v:textbox>
                    <w:txbxContent>
                      <w:p w14:paraId="23C2A643" w14:textId="77777777" w:rsidR="00217891" w:rsidRPr="001B4635" w:rsidRDefault="00217891" w:rsidP="009F7E71">
                        <w:pPr>
                          <w:ind w:leftChars="200" w:left="520" w:hangingChars="50" w:hanging="100"/>
                          <w:rPr>
                            <w:rFonts w:ascii="Calibri" w:hAnsi="Calibri"/>
                            <w:color w:val="FF0000"/>
                            <w:sz w:val="20"/>
                            <w:szCs w:val="20"/>
                          </w:rPr>
                        </w:pPr>
                        <w:r w:rsidRPr="001B4635">
                          <w:rPr>
                            <w:rFonts w:ascii="Calibri" w:hAnsi="Calibri"/>
                            <w:color w:val="FF0000"/>
                            <w:sz w:val="20"/>
                            <w:szCs w:val="20"/>
                          </w:rPr>
                          <w:t>废气：</w:t>
                        </w:r>
                        <w:r>
                          <w:rPr>
                            <w:rFonts w:ascii="Calibri" w:hAnsi="Calibri"/>
                            <w:color w:val="FF0000"/>
                            <w:sz w:val="20"/>
                            <w:szCs w:val="20"/>
                          </w:rPr>
                          <w:t>2.147</w:t>
                        </w:r>
                      </w:p>
                      <w:p w14:paraId="7D7113D4" w14:textId="77777777" w:rsidR="00217891" w:rsidRPr="00335723" w:rsidRDefault="00217891" w:rsidP="009F7E71">
                        <w:pPr>
                          <w:pStyle w:val="af1"/>
                          <w:ind w:left="403" w:hanging="403"/>
                          <w:jc w:val="both"/>
                          <w:rPr>
                            <w:color w:val="FF0000"/>
                          </w:rPr>
                        </w:pPr>
                        <w:r w:rsidRPr="001B4635">
                          <w:rPr>
                            <w:rFonts w:ascii="Calibri" w:hAnsi="Calibri"/>
                            <w:color w:val="FF0000"/>
                            <w:sz w:val="20"/>
                            <w:szCs w:val="20"/>
                          </w:rPr>
                          <w:t>其中：</w:t>
                        </w:r>
                        <w:r w:rsidRPr="001B4635">
                          <w:rPr>
                            <w:rFonts w:ascii="Calibri" w:cs="Calibri" w:hint="eastAsia"/>
                            <w:color w:val="FF0000"/>
                            <w:kern w:val="2"/>
                            <w:sz w:val="20"/>
                            <w:szCs w:val="20"/>
                          </w:rPr>
                          <w:t>己二胺：</w:t>
                        </w:r>
                        <w:r>
                          <w:rPr>
                            <w:rFonts w:ascii="Calibri" w:hAnsi="Calibri" w:cs="Calibri"/>
                            <w:color w:val="FF0000"/>
                            <w:kern w:val="2"/>
                            <w:sz w:val="20"/>
                            <w:szCs w:val="20"/>
                          </w:rPr>
                          <w:t>1.41</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Pr>
                            <w:rFonts w:ascii="Calibri" w:hAnsi="Calibri" w:cs="Calibri"/>
                            <w:color w:val="FF0000"/>
                            <w:kern w:val="2"/>
                            <w:sz w:val="20"/>
                            <w:szCs w:val="20"/>
                          </w:rPr>
                          <w:t>0.22</w:t>
                        </w:r>
                        <w:r>
                          <w:rPr>
                            <w:rFonts w:ascii="Calibri" w:hAnsi="Calibri" w:cs="Calibri" w:hint="eastAsia"/>
                            <w:color w:val="FF0000"/>
                            <w:kern w:val="2"/>
                            <w:sz w:val="20"/>
                            <w:szCs w:val="20"/>
                          </w:rPr>
                          <w:t>；</w:t>
                        </w: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26</w:t>
                        </w:r>
                        <w:r>
                          <w:rPr>
                            <w:rFonts w:ascii="Calibri" w:hAnsi="Calibri" w:cs="Calibri" w:hint="eastAsia"/>
                            <w:color w:val="FF0000"/>
                            <w:kern w:val="2"/>
                            <w:sz w:val="20"/>
                            <w:szCs w:val="20"/>
                          </w:rPr>
                          <w:t>；</w:t>
                        </w: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3</w:t>
                        </w:r>
                        <w:r>
                          <w:rPr>
                            <w:rFonts w:ascii="Calibri" w:hAnsi="Calibri" w:cs="Calibri" w:hint="eastAsia"/>
                            <w:color w:val="FF0000"/>
                            <w:sz w:val="20"/>
                            <w:szCs w:val="20"/>
                          </w:rPr>
                          <w:t>；</w:t>
                        </w:r>
                        <w:r w:rsidRPr="001B4635">
                          <w:rPr>
                            <w:rFonts w:ascii="Calibri" w:cs="Calibri" w:hint="eastAsia"/>
                            <w:color w:val="FF0000"/>
                            <w:kern w:val="2"/>
                            <w:sz w:val="20"/>
                            <w:szCs w:val="20"/>
                          </w:rPr>
                          <w:t>氨：</w:t>
                        </w:r>
                        <w:r w:rsidRPr="001B4635">
                          <w:rPr>
                            <w:rFonts w:ascii="Calibri" w:hAnsi="Calibri" w:cs="Calibri"/>
                            <w:color w:val="FF0000"/>
                            <w:kern w:val="2"/>
                            <w:sz w:val="20"/>
                            <w:szCs w:val="20"/>
                          </w:rPr>
                          <w:t>0.0</w:t>
                        </w:r>
                        <w:r>
                          <w:rPr>
                            <w:rFonts w:ascii="Calibri" w:hAnsi="Calibri" w:cs="Calibri"/>
                            <w:color w:val="FF0000"/>
                            <w:kern w:val="2"/>
                            <w:sz w:val="20"/>
                            <w:szCs w:val="20"/>
                          </w:rPr>
                          <w:t>1</w:t>
                        </w:r>
                      </w:p>
                      <w:p w14:paraId="7612B4C2"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45</w:t>
                        </w:r>
                      </w:p>
                      <w:p w14:paraId="46AD6359"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26</w:t>
                        </w:r>
                      </w:p>
                      <w:p w14:paraId="04C92454"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color w:val="FF0000"/>
                            <w:kern w:val="2"/>
                            <w:sz w:val="20"/>
                            <w:szCs w:val="20"/>
                          </w:rPr>
                          <w:t>0.38</w:t>
                        </w:r>
                      </w:p>
                      <w:p w14:paraId="33835992" w14:textId="77777777" w:rsidR="00217891" w:rsidRPr="00C9603E" w:rsidRDefault="00217891" w:rsidP="009F7E71">
                        <w:pPr>
                          <w:ind w:firstLineChars="200" w:firstLine="400"/>
                          <w:rPr>
                            <w:rFonts w:ascii="Calibri" w:hAnsi="Calibri"/>
                            <w:color w:val="FF0000"/>
                            <w:sz w:val="20"/>
                            <w:szCs w:val="20"/>
                          </w:rPr>
                        </w:pPr>
                      </w:p>
                    </w:txbxContent>
                  </v:textbox>
                </v:rect>
                <v:rect id="Rectangle 37710" o:spid="_x0000_s1307" style="position:absolute;left:18792;top:152;width:28118;height:9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" filled="f" stroked="f">
                  <v:textbox>
                    <w:txbxContent>
                      <w:p w14:paraId="70A577C0" w14:textId="77777777" w:rsidR="00217891" w:rsidRDefault="00217891" w:rsidP="009F7E71">
                        <w:pPr>
                          <w:pStyle w:val="af1"/>
                          <w:ind w:firstLine="403"/>
                          <w:jc w:val="both"/>
                        </w:pPr>
                        <w:r>
                          <w:rPr>
                            <w:rFonts w:ascii="Calibri" w:cs="Calibri" w:hint="eastAsia"/>
                            <w:kern w:val="2"/>
                            <w:sz w:val="20"/>
                            <w:szCs w:val="20"/>
                          </w:rPr>
                          <w:t>回用冷凝液</w:t>
                        </w:r>
                        <w:r>
                          <w:rPr>
                            <w:rFonts w:ascii="Calibri" w:hAnsi="Calibri" w:cs="Calibri"/>
                            <w:kern w:val="2"/>
                            <w:sz w:val="20"/>
                            <w:szCs w:val="20"/>
                          </w:rPr>
                          <w:t>2079.68</w:t>
                        </w:r>
                        <w:r>
                          <w:rPr>
                            <w:rFonts w:ascii="Calibri" w:cs="Calibri" w:hint="eastAsia"/>
                            <w:kern w:val="2"/>
                            <w:sz w:val="20"/>
                            <w:szCs w:val="20"/>
                          </w:rPr>
                          <w:t>（其中水：</w:t>
                        </w:r>
                        <w:r>
                          <w:rPr>
                            <w:rFonts w:ascii="Calibri" w:hAnsi="Calibri" w:cs="Calibri"/>
                            <w:kern w:val="2"/>
                            <w:sz w:val="20"/>
                            <w:szCs w:val="20"/>
                          </w:rPr>
                          <w:t>2068.06</w:t>
                        </w:r>
                        <w:r>
                          <w:rPr>
                            <w:rFonts w:ascii="Calibri" w:cs="Calibri" w:hint="eastAsia"/>
                            <w:kern w:val="2"/>
                            <w:sz w:val="20"/>
                            <w:szCs w:val="20"/>
                          </w:rPr>
                          <w:t>氨：</w:t>
                        </w:r>
                        <w:r>
                          <w:rPr>
                            <w:rFonts w:ascii="Calibri" w:hAnsi="Calibri" w:cs="Calibri"/>
                            <w:kern w:val="2"/>
                            <w:sz w:val="20"/>
                            <w:szCs w:val="20"/>
                          </w:rPr>
                          <w:t>0.05</w:t>
                        </w:r>
                        <w:r>
                          <w:rPr>
                            <w:rFonts w:ascii="Calibri" w:cs="Calibri" w:hint="eastAsia"/>
                            <w:kern w:val="2"/>
                            <w:sz w:val="20"/>
                            <w:szCs w:val="20"/>
                          </w:rPr>
                          <w:t>；己二酸：</w:t>
                        </w:r>
                        <w:r>
                          <w:rPr>
                            <w:rFonts w:ascii="Calibri" w:hAnsi="Calibri" w:cs="Calibri"/>
                            <w:kern w:val="2"/>
                            <w:sz w:val="20"/>
                            <w:szCs w:val="20"/>
                          </w:rPr>
                          <w:t>2.64</w:t>
                        </w:r>
                        <w:r>
                          <w:rPr>
                            <w:rFonts w:ascii="Calibri" w:cs="Calibri" w:hint="eastAsia"/>
                            <w:kern w:val="2"/>
                            <w:sz w:val="20"/>
                            <w:szCs w:val="20"/>
                          </w:rPr>
                          <w:t>；环戊酮：</w:t>
                        </w:r>
                        <w:r>
                          <w:rPr>
                            <w:rFonts w:ascii="Calibri" w:hAnsi="Calibri" w:cs="Calibri"/>
                            <w:kern w:val="2"/>
                            <w:sz w:val="20"/>
                            <w:szCs w:val="20"/>
                          </w:rPr>
                          <w:t>0.29</w:t>
                        </w:r>
                        <w:r>
                          <w:rPr>
                            <w:rFonts w:ascii="Calibri" w:cs="Calibri" w:hint="eastAsia"/>
                            <w:kern w:val="2"/>
                            <w:sz w:val="20"/>
                            <w:szCs w:val="20"/>
                          </w:rPr>
                          <w:t>；</w:t>
                        </w:r>
                        <w:r>
                          <w:rPr>
                            <w:rFonts w:ascii="Calibri" w:cs="Calibri" w:hint="eastAsia"/>
                            <w:sz w:val="20"/>
                            <w:szCs w:val="20"/>
                          </w:rPr>
                          <w:t>环己亚胺：</w:t>
                        </w:r>
                        <w:r>
                          <w:rPr>
                            <w:rFonts w:ascii="Calibri" w:hAnsi="Calibri" w:cs="Calibri"/>
                            <w:sz w:val="20"/>
                            <w:szCs w:val="20"/>
                          </w:rPr>
                          <w:t>0.35</w:t>
                        </w:r>
                        <w:r>
                          <w:rPr>
                            <w:rFonts w:ascii="Calibri" w:cs="Calibri" w:hint="eastAsia"/>
                            <w:kern w:val="2"/>
                            <w:sz w:val="20"/>
                            <w:szCs w:val="20"/>
                          </w:rPr>
                          <w:t>；己二胺</w:t>
                        </w:r>
                        <w:r>
                          <w:rPr>
                            <w:rFonts w:ascii="Calibri" w:hAnsi="Calibri" w:cs="Calibri"/>
                            <w:kern w:val="2"/>
                            <w:sz w:val="20"/>
                            <w:szCs w:val="20"/>
                          </w:rPr>
                          <w:t>2.80</w:t>
                        </w:r>
                        <w:r>
                          <w:rPr>
                            <w:rFonts w:ascii="Calibri" w:hAnsi="Calibri" w:cs="Calibri" w:hint="eastAsia"/>
                            <w:kern w:val="2"/>
                            <w:sz w:val="20"/>
                            <w:szCs w:val="20"/>
                          </w:rPr>
                          <w:t>；</w:t>
                        </w:r>
                        <w:r w:rsidRPr="00E13A8E">
                          <w:rPr>
                            <w:rFonts w:ascii="Calibri" w:hAnsi="Calibri" w:cs="Calibri" w:hint="eastAsia"/>
                            <w:kern w:val="2"/>
                            <w:sz w:val="20"/>
                            <w:szCs w:val="20"/>
                          </w:rPr>
                          <w:t>癸二胺</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5</w:t>
                        </w:r>
                        <w:r>
                          <w:rPr>
                            <w:rFonts w:ascii="Calibri" w:hAnsi="Calibri" w:cs="Calibri" w:hint="eastAsia"/>
                            <w:kern w:val="2"/>
                            <w:sz w:val="20"/>
                            <w:szCs w:val="20"/>
                          </w:rPr>
                          <w:t xml:space="preserve">3 </w:t>
                        </w:r>
                        <w:r w:rsidRPr="00E13A8E">
                          <w:rPr>
                            <w:rFonts w:ascii="Calibri" w:hAnsi="Calibri" w:cs="Calibri" w:hint="eastAsia"/>
                            <w:kern w:val="2"/>
                            <w:sz w:val="20"/>
                            <w:szCs w:val="20"/>
                          </w:rPr>
                          <w:t>癸二酸</w:t>
                        </w:r>
                        <w:r>
                          <w:rPr>
                            <w:rFonts w:ascii="Calibri" w:hAnsi="Calibri" w:cs="Calibri" w:hint="eastAsia"/>
                            <w:kern w:val="2"/>
                            <w:sz w:val="20"/>
                            <w:szCs w:val="20"/>
                          </w:rPr>
                          <w:t>：</w:t>
                        </w:r>
                        <w:r>
                          <w:rPr>
                            <w:rFonts w:ascii="Calibri" w:hAnsi="Calibri" w:cs="Calibri" w:hint="eastAsia"/>
                            <w:kern w:val="2"/>
                            <w:sz w:val="20"/>
                            <w:szCs w:val="20"/>
                          </w:rPr>
                          <w:t>0.</w:t>
                        </w:r>
                        <w:r>
                          <w:rPr>
                            <w:rFonts w:ascii="Calibri" w:hAnsi="Calibri" w:cs="Calibri"/>
                            <w:kern w:val="2"/>
                            <w:sz w:val="20"/>
                            <w:szCs w:val="20"/>
                          </w:rPr>
                          <w:t>32</w:t>
                        </w:r>
                        <w:r>
                          <w:rPr>
                            <w:rFonts w:ascii="Calibri" w:hAnsi="Calibri" w:cs="Calibri" w:hint="eastAsia"/>
                            <w:kern w:val="2"/>
                            <w:sz w:val="20"/>
                            <w:szCs w:val="20"/>
                          </w:rPr>
                          <w:t xml:space="preserve"> </w:t>
                        </w:r>
                        <w:r>
                          <w:rPr>
                            <w:rFonts w:ascii="Calibri" w:hAnsi="Calibri" w:cs="Calibri"/>
                            <w:kern w:val="2"/>
                            <w:sz w:val="20"/>
                            <w:szCs w:val="20"/>
                          </w:rPr>
                          <w:t xml:space="preserve"> </w:t>
                        </w:r>
                        <w:r w:rsidRPr="00E13A8E">
                          <w:rPr>
                            <w:rFonts w:ascii="Calibri" w:cs="Calibri" w:hint="eastAsia"/>
                            <w:kern w:val="2"/>
                            <w:sz w:val="20"/>
                            <w:szCs w:val="20"/>
                          </w:rPr>
                          <w:t>十二内酰胺</w:t>
                        </w:r>
                        <w:r>
                          <w:rPr>
                            <w:rFonts w:ascii="Calibri" w:cs="Calibri" w:hint="eastAsia"/>
                            <w:kern w:val="2"/>
                            <w:sz w:val="20"/>
                            <w:szCs w:val="20"/>
                          </w:rPr>
                          <w:t>：</w:t>
                        </w:r>
                        <w:r>
                          <w:rPr>
                            <w:rFonts w:ascii="Calibri" w:cs="Calibri"/>
                            <w:kern w:val="2"/>
                            <w:sz w:val="20"/>
                            <w:szCs w:val="20"/>
                          </w:rPr>
                          <w:t>4.64</w:t>
                        </w:r>
                        <w:r w:rsidRPr="00E13A8E">
                          <w:rPr>
                            <w:rFonts w:ascii="Calibri" w:cs="Calibri" w:hint="eastAsia"/>
                            <w:kern w:val="2"/>
                            <w:sz w:val="20"/>
                            <w:szCs w:val="20"/>
                          </w:rPr>
                          <w:t>）</w:t>
                        </w:r>
                      </w:p>
                    </w:txbxContent>
                  </v:textbox>
                </v:rect>
                <v:rect id="_x0000_s1308" style="position:absolute;left:45110;top:45034;width:16002;height:19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" filled="f" fillcolor="#eaf1dd" stroked="f">
                  <v:textbox>
                    <w:txbxContent>
                      <w:p w14:paraId="11139A5F" w14:textId="77777777" w:rsidR="00217891" w:rsidRPr="001B4635" w:rsidRDefault="00217891" w:rsidP="009F7E71">
                        <w:pPr>
                          <w:pStyle w:val="af1"/>
                          <w:ind w:firstLine="403"/>
                          <w:jc w:val="both"/>
                          <w:rPr>
                            <w:color w:val="FF0000"/>
                          </w:rPr>
                        </w:pPr>
                        <w:r w:rsidRPr="001B4635">
                          <w:rPr>
                            <w:rFonts w:ascii="Calibri" w:cs="Calibri" w:hint="eastAsia"/>
                            <w:color w:val="FF0000"/>
                            <w:kern w:val="2"/>
                            <w:sz w:val="20"/>
                            <w:szCs w:val="20"/>
                          </w:rPr>
                          <w:t>废水</w:t>
                        </w:r>
                        <w:r>
                          <w:rPr>
                            <w:rFonts w:ascii="Calibri" w:cs="Calibri" w:hint="eastAsia"/>
                            <w:color w:val="FF0000"/>
                            <w:kern w:val="2"/>
                            <w:sz w:val="20"/>
                            <w:szCs w:val="20"/>
                          </w:rPr>
                          <w:t>:</w:t>
                        </w:r>
                        <w:r>
                          <w:rPr>
                            <w:rFonts w:ascii="Calibri" w:cs="Calibri"/>
                            <w:color w:val="FF0000"/>
                            <w:kern w:val="2"/>
                            <w:sz w:val="20"/>
                            <w:szCs w:val="20"/>
                          </w:rPr>
                          <w:t>1098.439</w:t>
                        </w:r>
                      </w:p>
                      <w:p w14:paraId="3815F58B" w14:textId="77777777" w:rsidR="00217891" w:rsidRPr="001B4635" w:rsidRDefault="00217891" w:rsidP="009F7E71">
                        <w:pPr>
                          <w:pStyle w:val="af1"/>
                          <w:ind w:left="403" w:hanging="403"/>
                          <w:jc w:val="both"/>
                          <w:rPr>
                            <w:color w:val="FF0000"/>
                          </w:rPr>
                        </w:pPr>
                        <w:r w:rsidRPr="001B4635">
                          <w:rPr>
                            <w:rFonts w:ascii="Calibri" w:cs="Calibri" w:hint="eastAsia"/>
                            <w:color w:val="FF0000"/>
                            <w:kern w:val="2"/>
                            <w:sz w:val="20"/>
                            <w:szCs w:val="20"/>
                          </w:rPr>
                          <w:t>其中水：</w:t>
                        </w:r>
                        <w:r>
                          <w:rPr>
                            <w:rFonts w:ascii="Calibri" w:hAnsi="Calibri" w:cs="Calibri"/>
                            <w:color w:val="FF0000"/>
                            <w:kern w:val="2"/>
                            <w:sz w:val="20"/>
                            <w:szCs w:val="20"/>
                          </w:rPr>
                          <w:t>1095.23</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己二胺：</w:t>
                        </w:r>
                        <w:r>
                          <w:rPr>
                            <w:rFonts w:ascii="Calibri" w:hAnsi="Calibri" w:cs="Calibri"/>
                            <w:color w:val="FF0000"/>
                            <w:kern w:val="2"/>
                            <w:sz w:val="20"/>
                            <w:szCs w:val="20"/>
                          </w:rPr>
                          <w:t>2.10</w:t>
                        </w:r>
                        <w:r>
                          <w:rPr>
                            <w:rFonts w:ascii="Calibri" w:hAnsi="Calibri" w:cs="Calibri" w:hint="eastAsia"/>
                            <w:color w:val="FF0000"/>
                            <w:kern w:val="2"/>
                            <w:sz w:val="20"/>
                            <w:szCs w:val="20"/>
                          </w:rPr>
                          <w:t>；</w:t>
                        </w:r>
                        <w:r w:rsidRPr="001B4635">
                          <w:rPr>
                            <w:rFonts w:ascii="Calibri" w:cs="Calibri" w:hint="eastAsia"/>
                            <w:color w:val="FF0000"/>
                            <w:kern w:val="2"/>
                            <w:sz w:val="20"/>
                            <w:szCs w:val="20"/>
                          </w:rPr>
                          <w:t>己二酸：</w:t>
                        </w:r>
                        <w:r w:rsidRPr="001B4635">
                          <w:rPr>
                            <w:rFonts w:ascii="Calibri" w:hAnsi="Calibri" w:cs="Calibri"/>
                            <w:color w:val="FF0000"/>
                            <w:kern w:val="2"/>
                            <w:sz w:val="20"/>
                            <w:szCs w:val="20"/>
                          </w:rPr>
                          <w:t>0.</w:t>
                        </w:r>
                        <w:r>
                          <w:rPr>
                            <w:rFonts w:ascii="Calibri" w:hAnsi="Calibri" w:cs="Calibri"/>
                            <w:color w:val="FF0000"/>
                            <w:kern w:val="2"/>
                            <w:sz w:val="20"/>
                            <w:szCs w:val="20"/>
                          </w:rPr>
                          <w:t>33</w:t>
                        </w:r>
                      </w:p>
                      <w:p w14:paraId="3D79B6D4" w14:textId="77777777" w:rsidR="00217891" w:rsidRPr="001B4635" w:rsidRDefault="00217891" w:rsidP="009F7E71">
                        <w:pPr>
                          <w:pStyle w:val="af1"/>
                          <w:ind w:left="403" w:hanging="403"/>
                          <w:jc w:val="both"/>
                          <w:rPr>
                            <w:color w:val="FF0000"/>
                          </w:rPr>
                        </w:pPr>
                        <w:r w:rsidRPr="001B4635">
                          <w:rPr>
                            <w:rFonts w:ascii="Calibri" w:cs="Calibri" w:hint="eastAsia"/>
                            <w:color w:val="FF0000"/>
                            <w:kern w:val="2"/>
                            <w:sz w:val="20"/>
                            <w:szCs w:val="20"/>
                          </w:rPr>
                          <w:t>环戊酮：</w:t>
                        </w:r>
                        <w:r w:rsidRPr="001B4635">
                          <w:rPr>
                            <w:rFonts w:ascii="Calibri" w:hAnsi="Calibri" w:cs="Calibri"/>
                            <w:color w:val="FF0000"/>
                            <w:kern w:val="2"/>
                            <w:sz w:val="20"/>
                            <w:szCs w:val="20"/>
                          </w:rPr>
                          <w:t>0.0</w:t>
                        </w:r>
                        <w:r>
                          <w:rPr>
                            <w:rFonts w:ascii="Calibri" w:hAnsi="Calibri" w:cs="Calibri"/>
                            <w:color w:val="FF0000"/>
                            <w:kern w:val="2"/>
                            <w:sz w:val="20"/>
                            <w:szCs w:val="20"/>
                          </w:rPr>
                          <w:t>38</w:t>
                        </w:r>
                      </w:p>
                      <w:p w14:paraId="0167BAFC" w14:textId="77777777" w:rsidR="00217891" w:rsidRPr="001B4635" w:rsidRDefault="00217891" w:rsidP="009F7E71">
                        <w:pPr>
                          <w:pStyle w:val="af1"/>
                          <w:ind w:left="403" w:hanging="403"/>
                          <w:jc w:val="both"/>
                          <w:rPr>
                            <w:color w:val="FF0000"/>
                          </w:rPr>
                        </w:pPr>
                        <w:r w:rsidRPr="001B4635">
                          <w:rPr>
                            <w:rFonts w:ascii="Calibri" w:cs="Calibri" w:hint="eastAsia"/>
                            <w:color w:val="FF0000"/>
                            <w:sz w:val="20"/>
                            <w:szCs w:val="20"/>
                          </w:rPr>
                          <w:t>环己亚胺：</w:t>
                        </w:r>
                        <w:r w:rsidRPr="001B4635">
                          <w:rPr>
                            <w:rFonts w:ascii="Calibri" w:hAnsi="Calibri" w:cs="Calibri"/>
                            <w:color w:val="FF0000"/>
                            <w:sz w:val="20"/>
                            <w:szCs w:val="20"/>
                          </w:rPr>
                          <w:t>0.0</w:t>
                        </w:r>
                        <w:r>
                          <w:rPr>
                            <w:rFonts w:ascii="Calibri" w:hAnsi="Calibri" w:cs="Calibri"/>
                            <w:color w:val="FF0000"/>
                            <w:sz w:val="20"/>
                            <w:szCs w:val="20"/>
                          </w:rPr>
                          <w:t>5</w:t>
                        </w:r>
                      </w:p>
                      <w:p w14:paraId="037D1278" w14:textId="77777777" w:rsidR="00217891" w:rsidRDefault="00217891" w:rsidP="009F7E71">
                        <w:pPr>
                          <w:pStyle w:val="af1"/>
                          <w:jc w:val="both"/>
                          <w:rPr>
                            <w:rFonts w:ascii="Calibri" w:hAnsi="Calibri" w:cs="Calibri"/>
                            <w:color w:val="FF0000"/>
                            <w:kern w:val="2"/>
                            <w:sz w:val="20"/>
                            <w:szCs w:val="20"/>
                          </w:rPr>
                        </w:pPr>
                        <w:r w:rsidRPr="001B4635">
                          <w:rPr>
                            <w:rFonts w:ascii="Calibri" w:cs="Calibri" w:hint="eastAsia"/>
                            <w:color w:val="FF0000"/>
                            <w:kern w:val="2"/>
                            <w:sz w:val="20"/>
                            <w:szCs w:val="20"/>
                          </w:rPr>
                          <w:t>氨：</w:t>
                        </w:r>
                        <w:r w:rsidRPr="001B4635">
                          <w:rPr>
                            <w:rFonts w:ascii="Calibri" w:hAnsi="Calibri" w:cs="Calibri"/>
                            <w:color w:val="FF0000"/>
                            <w:kern w:val="2"/>
                            <w:sz w:val="20"/>
                            <w:szCs w:val="20"/>
                          </w:rPr>
                          <w:t>0.00</w:t>
                        </w:r>
                        <w:r>
                          <w:rPr>
                            <w:rFonts w:ascii="Calibri" w:hAnsi="Calibri" w:cs="Calibri"/>
                            <w:color w:val="FF0000"/>
                            <w:kern w:val="2"/>
                            <w:sz w:val="20"/>
                            <w:szCs w:val="20"/>
                          </w:rPr>
                          <w:t>6</w:t>
                        </w:r>
                      </w:p>
                      <w:p w14:paraId="703A2C8E"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癸二胺</w:t>
                        </w:r>
                        <w:r w:rsidRPr="00C9603E">
                          <w:rPr>
                            <w:rFonts w:ascii="Calibri" w:cs="Calibri"/>
                            <w:color w:val="FF0000"/>
                            <w:kern w:val="2"/>
                            <w:sz w:val="20"/>
                            <w:szCs w:val="20"/>
                          </w:rPr>
                          <w:t>：</w:t>
                        </w:r>
                        <w:r>
                          <w:rPr>
                            <w:rFonts w:ascii="Calibri" w:cs="Calibri"/>
                            <w:color w:val="FF0000"/>
                            <w:kern w:val="2"/>
                            <w:sz w:val="20"/>
                            <w:szCs w:val="20"/>
                          </w:rPr>
                          <w:t>0.067</w:t>
                        </w:r>
                      </w:p>
                      <w:p w14:paraId="02CC3A4F"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癸二酸</w:t>
                        </w:r>
                        <w:r w:rsidRPr="00C9603E">
                          <w:rPr>
                            <w:rFonts w:ascii="Calibri" w:cs="Calibri"/>
                            <w:color w:val="FF0000"/>
                            <w:kern w:val="2"/>
                            <w:sz w:val="20"/>
                            <w:szCs w:val="20"/>
                          </w:rPr>
                          <w:t>：</w:t>
                        </w:r>
                        <w:r>
                          <w:rPr>
                            <w:rFonts w:ascii="Calibri" w:cs="Calibri" w:hint="eastAsia"/>
                            <w:color w:val="FF0000"/>
                            <w:kern w:val="2"/>
                            <w:sz w:val="20"/>
                            <w:szCs w:val="20"/>
                          </w:rPr>
                          <w:t>0.0</w:t>
                        </w:r>
                        <w:r>
                          <w:rPr>
                            <w:rFonts w:ascii="Calibri" w:cs="Calibri"/>
                            <w:color w:val="FF0000"/>
                            <w:kern w:val="2"/>
                            <w:sz w:val="20"/>
                            <w:szCs w:val="20"/>
                          </w:rPr>
                          <w:t>38</w:t>
                        </w:r>
                      </w:p>
                      <w:p w14:paraId="6FE5A085" w14:textId="77777777" w:rsidR="00217891" w:rsidRPr="00C9603E" w:rsidRDefault="00217891" w:rsidP="009F7E71">
                        <w:pPr>
                          <w:pStyle w:val="af1"/>
                          <w:jc w:val="both"/>
                          <w:rPr>
                            <w:rFonts w:ascii="Calibri" w:cs="Calibri"/>
                            <w:color w:val="FF0000"/>
                            <w:kern w:val="2"/>
                            <w:sz w:val="20"/>
                            <w:szCs w:val="20"/>
                          </w:rPr>
                        </w:pPr>
                        <w:r w:rsidRPr="00C9603E">
                          <w:rPr>
                            <w:rFonts w:ascii="Calibri" w:cs="Calibri" w:hint="eastAsia"/>
                            <w:color w:val="FF0000"/>
                            <w:kern w:val="2"/>
                            <w:sz w:val="20"/>
                            <w:szCs w:val="20"/>
                          </w:rPr>
                          <w:t>十二内</w:t>
                        </w:r>
                        <w:r w:rsidRPr="00C9603E">
                          <w:rPr>
                            <w:rFonts w:ascii="Calibri" w:cs="Calibri"/>
                            <w:color w:val="FF0000"/>
                            <w:kern w:val="2"/>
                            <w:sz w:val="20"/>
                            <w:szCs w:val="20"/>
                          </w:rPr>
                          <w:t>酰胺：</w:t>
                        </w:r>
                        <w:r>
                          <w:rPr>
                            <w:rFonts w:ascii="Calibri" w:cs="Calibri" w:hint="eastAsia"/>
                            <w:color w:val="FF0000"/>
                            <w:kern w:val="2"/>
                            <w:sz w:val="20"/>
                            <w:szCs w:val="20"/>
                          </w:rPr>
                          <w:t>0.</w:t>
                        </w:r>
                        <w:r>
                          <w:rPr>
                            <w:rFonts w:ascii="Calibri" w:cs="Calibri"/>
                            <w:color w:val="FF0000"/>
                            <w:kern w:val="2"/>
                            <w:sz w:val="20"/>
                            <w:szCs w:val="20"/>
                          </w:rPr>
                          <w:t>58</w:t>
                        </w:r>
                      </w:p>
                    </w:txbxContent>
                  </v:textbox>
                </v:rect>
                <w10:wrap anchorx="margin"/>
              </v:group>
            </w:pict>
          </mc:Fallback>
        </mc:AlternateContent>
      </w:r>
    </w:p>
    <w:p w14:paraId="70DF4A66" w14:textId="77777777" w:rsidR="00321C47" w:rsidRDefault="00321C47" w:rsidP="00EE4B9C">
      <w:pPr>
        <w:spacing w:line="500" w:lineRule="exact"/>
        <w:ind w:firstLineChars="200" w:firstLine="482"/>
        <w:rPr>
          <w:rFonts w:asciiTheme="minorHAnsi" w:eastAsiaTheme="minorEastAsia" w:hAnsiTheme="minorHAnsi" w:cstheme="minorHAnsi"/>
          <w:b/>
          <w:color w:val="auto"/>
          <w:sz w:val="24"/>
        </w:rPr>
      </w:pPr>
    </w:p>
    <w:p w14:paraId="41360C16" w14:textId="77777777" w:rsidR="00321C47" w:rsidRDefault="00321C47" w:rsidP="00EE4B9C">
      <w:pPr>
        <w:spacing w:line="500" w:lineRule="exact"/>
        <w:ind w:firstLineChars="200" w:firstLine="482"/>
        <w:rPr>
          <w:rFonts w:asciiTheme="minorHAnsi" w:eastAsiaTheme="minorEastAsia" w:hAnsiTheme="minorHAnsi" w:cstheme="minorHAnsi"/>
          <w:b/>
          <w:color w:val="auto"/>
          <w:sz w:val="24"/>
        </w:rPr>
      </w:pPr>
    </w:p>
    <w:p w14:paraId="517A8A86" w14:textId="77777777" w:rsidR="00321C47" w:rsidRDefault="00321C47" w:rsidP="00EE4B9C">
      <w:pPr>
        <w:spacing w:line="500" w:lineRule="exact"/>
        <w:ind w:firstLineChars="200" w:firstLine="482"/>
        <w:rPr>
          <w:rFonts w:asciiTheme="minorHAnsi" w:eastAsiaTheme="minorEastAsia" w:hAnsiTheme="minorHAnsi" w:cstheme="minorHAnsi"/>
          <w:b/>
          <w:color w:val="auto"/>
          <w:sz w:val="24"/>
        </w:rPr>
      </w:pPr>
    </w:p>
    <w:p w14:paraId="65210B0C" w14:textId="77777777" w:rsidR="00321C47" w:rsidRDefault="00321C47" w:rsidP="00EE4B9C">
      <w:pPr>
        <w:spacing w:line="500" w:lineRule="exact"/>
        <w:ind w:firstLineChars="200" w:firstLine="482"/>
        <w:rPr>
          <w:rFonts w:asciiTheme="minorHAnsi" w:eastAsiaTheme="minorEastAsia" w:hAnsiTheme="minorHAnsi" w:cstheme="minorHAnsi"/>
          <w:b/>
          <w:color w:val="auto"/>
          <w:sz w:val="24"/>
        </w:rPr>
      </w:pPr>
    </w:p>
    <w:p w14:paraId="3FB1B96E"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20238449"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0D969766"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653AE457"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1F56D7F7"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61A7E9F5"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01C743EF"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5485D8D4"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2DDC0EEB"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6E3505F1"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0331CDB7"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28AD8CF8"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2505D55F"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6BD76EBB"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42BFF83D"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59A3232F"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6289B8E9"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58879FA1"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6603CD49" w14:textId="77777777" w:rsidR="00FD3969" w:rsidRDefault="00FD3969" w:rsidP="00EE4B9C">
      <w:pPr>
        <w:spacing w:line="500" w:lineRule="exact"/>
        <w:ind w:firstLineChars="200" w:firstLine="482"/>
        <w:rPr>
          <w:rFonts w:asciiTheme="minorHAnsi" w:eastAsiaTheme="minorEastAsia" w:hAnsiTheme="minorHAnsi" w:cstheme="minorHAnsi"/>
          <w:b/>
          <w:color w:val="auto"/>
          <w:sz w:val="24"/>
        </w:rPr>
      </w:pPr>
    </w:p>
    <w:p w14:paraId="3AE755A4" w14:textId="77777777" w:rsidR="00321C47" w:rsidRDefault="00321C47" w:rsidP="003F4542">
      <w:pPr>
        <w:spacing w:line="500" w:lineRule="exact"/>
        <w:rPr>
          <w:rFonts w:asciiTheme="minorHAnsi" w:eastAsiaTheme="minorEastAsia" w:hAnsiTheme="minorHAnsi" w:cstheme="minorHAnsi"/>
          <w:b/>
          <w:color w:val="auto"/>
          <w:sz w:val="24"/>
        </w:rPr>
      </w:pPr>
    </w:p>
    <w:p w14:paraId="57CD5289" w14:textId="77777777" w:rsidR="00321C47" w:rsidRDefault="00971B8B" w:rsidP="00EE4B9C">
      <w:pPr>
        <w:spacing w:line="500" w:lineRule="exact"/>
        <w:ind w:firstLineChars="200" w:firstLine="482"/>
        <w:rPr>
          <w:rFonts w:asciiTheme="minorHAnsi" w:eastAsiaTheme="minorEastAsia" w:hAnsiTheme="minorHAnsi" w:cstheme="minorHAnsi"/>
          <w:b/>
          <w:color w:val="auto"/>
          <w:sz w:val="24"/>
        </w:rPr>
      </w:pPr>
      <w:r>
        <w:rPr>
          <w:rFonts w:asciiTheme="minorHAnsi" w:eastAsiaTheme="minorEastAsia" w:hAnsiTheme="minorHAnsi" w:cstheme="minorHAnsi"/>
          <w:b/>
          <w:noProof/>
          <w:color w:val="auto"/>
          <w:sz w:val="24"/>
        </w:rPr>
        <mc:AlternateContent>
          <mc:Choice Requires="wps">
            <w:drawing>
              <wp:anchor distT="0" distB="0" distL="114300" distR="114300" simplePos="0" relativeHeight="253614592" behindDoc="0" locked="0" layoutInCell="1" allowOverlap="1" wp14:anchorId="6FE964D8" wp14:editId="67CEAE19">
                <wp:simplePos x="0" y="0"/>
                <wp:positionH relativeFrom="column">
                  <wp:posOffset>980440</wp:posOffset>
                </wp:positionH>
                <wp:positionV relativeFrom="paragraph">
                  <wp:posOffset>50800</wp:posOffset>
                </wp:positionV>
                <wp:extent cx="4191000" cy="518160"/>
                <wp:effectExtent l="0" t="0" r="1905" b="0"/>
                <wp:wrapNone/>
                <wp:docPr id="25772" name="Text Box 37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79F2" w14:textId="77777777" w:rsidR="00217891" w:rsidRPr="00523A89" w:rsidRDefault="00217891" w:rsidP="00E65B69">
                            <w:pPr>
                              <w:rPr>
                                <w:b/>
                                <w:u w:val="single"/>
                              </w:rPr>
                            </w:pPr>
                            <w:r w:rsidRPr="00523A89">
                              <w:rPr>
                                <w:rFonts w:ascii="Calibri" w:eastAsia="黑体" w:hAnsi="Calibri" w:hint="eastAsia"/>
                                <w:b/>
                                <w:color w:val="auto"/>
                                <w:sz w:val="24"/>
                                <w:u w:val="single"/>
                              </w:rPr>
                              <w:t>图</w:t>
                            </w:r>
                            <w:r w:rsidRPr="00523A89">
                              <w:rPr>
                                <w:rFonts w:ascii="Calibri" w:eastAsia="黑体" w:hAnsi="Calibri" w:hint="eastAsia"/>
                                <w:b/>
                                <w:color w:val="auto"/>
                                <w:sz w:val="24"/>
                                <w:u w:val="single"/>
                              </w:rPr>
                              <w:t>2.2-</w:t>
                            </w:r>
                            <w:r w:rsidRPr="00523A89">
                              <w:rPr>
                                <w:rFonts w:ascii="Calibri" w:eastAsia="黑体" w:hAnsi="Calibri"/>
                                <w:b/>
                                <w:color w:val="auto"/>
                                <w:sz w:val="24"/>
                                <w:u w:val="single"/>
                              </w:rPr>
                              <w:t>4</w:t>
                            </w:r>
                            <w:r w:rsidRPr="00523A89">
                              <w:rPr>
                                <w:rFonts w:ascii="Calibri" w:eastAsia="黑体" w:hAnsi="Calibri" w:hint="eastAsia"/>
                                <w:b/>
                                <w:color w:val="auto"/>
                                <w:sz w:val="24"/>
                                <w:u w:val="single"/>
                              </w:rPr>
                              <w:t xml:space="preserve">   </w:t>
                            </w:r>
                            <w:r w:rsidRPr="00523A89">
                              <w:rPr>
                                <w:rFonts w:hint="eastAsia"/>
                                <w:b/>
                                <w:u w:val="single"/>
                              </w:rPr>
                              <w:t xml:space="preserve">  </w:t>
                            </w:r>
                            <w:r w:rsidRPr="00523A89">
                              <w:rPr>
                                <w:rFonts w:ascii="Calibri" w:eastAsia="黑体" w:hAnsi="Calibri" w:hint="eastAsia"/>
                                <w:b/>
                                <w:color w:val="auto"/>
                                <w:sz w:val="24"/>
                                <w:u w:val="single"/>
                              </w:rPr>
                              <w:t>透明尼龙切片一期</w:t>
                            </w:r>
                            <w:r w:rsidRPr="00523A89">
                              <w:rPr>
                                <w:rFonts w:ascii="Calibri" w:eastAsia="黑体" w:hAnsi="Calibri"/>
                                <w:b/>
                                <w:color w:val="auto"/>
                                <w:sz w:val="24"/>
                                <w:u w:val="single"/>
                              </w:rPr>
                              <w:t>、</w:t>
                            </w:r>
                            <w:r w:rsidRPr="00523A89">
                              <w:rPr>
                                <w:rFonts w:ascii="Calibri" w:eastAsia="黑体" w:hAnsi="Calibri" w:hint="eastAsia"/>
                                <w:b/>
                                <w:color w:val="auto"/>
                                <w:sz w:val="24"/>
                                <w:u w:val="single"/>
                              </w:rPr>
                              <w:t>二期生产工艺物料</w:t>
                            </w:r>
                            <w:r w:rsidRPr="00523A89">
                              <w:rPr>
                                <w:rFonts w:ascii="Calibri" w:eastAsia="黑体" w:hAnsi="Calibri"/>
                                <w:b/>
                                <w:color w:val="auto"/>
                                <w:sz w:val="24"/>
                                <w:u w:val="single"/>
                              </w:rPr>
                              <w:t>平衡</w:t>
                            </w:r>
                            <w:r w:rsidRPr="00523A89">
                              <w:rPr>
                                <w:rFonts w:ascii="Calibri" w:eastAsia="黑体" w:hAnsi="Calibri" w:hint="eastAsia"/>
                                <w:b/>
                                <w:color w:val="auto"/>
                                <w:sz w:val="24"/>
                                <w:u w:val="single"/>
                              </w:rPr>
                              <w:t>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964D8" id="Text Box 37819" o:spid="_x0000_s1309" type="#_x0000_t202" style="position:absolute;left:0;text-align:left;margin-left:77.2pt;margin-top:4pt;width:330pt;height:40.8pt;z-index:2536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" filled="f" stroked="f">
                <v:textbox>
                  <w:txbxContent>
                    <w:p w14:paraId="17F079F2" w14:textId="77777777" w:rsidR="00217891" w:rsidRPr="00523A89" w:rsidRDefault="00217891" w:rsidP="00E65B69">
                      <w:pPr>
                        <w:rPr>
                          <w:b/>
                          <w:u w:val="single"/>
                        </w:rPr>
                      </w:pPr>
                      <w:r w:rsidRPr="00523A89">
                        <w:rPr>
                          <w:rFonts w:ascii="Calibri" w:eastAsia="黑体" w:hAnsi="Calibri" w:hint="eastAsia"/>
                          <w:b/>
                          <w:color w:val="auto"/>
                          <w:sz w:val="24"/>
                          <w:u w:val="single"/>
                        </w:rPr>
                        <w:t>图</w:t>
                      </w:r>
                      <w:r w:rsidRPr="00523A89">
                        <w:rPr>
                          <w:rFonts w:ascii="Calibri" w:eastAsia="黑体" w:hAnsi="Calibri" w:hint="eastAsia"/>
                          <w:b/>
                          <w:color w:val="auto"/>
                          <w:sz w:val="24"/>
                          <w:u w:val="single"/>
                        </w:rPr>
                        <w:t>2.2-</w:t>
                      </w:r>
                      <w:r w:rsidRPr="00523A89">
                        <w:rPr>
                          <w:rFonts w:ascii="Calibri" w:eastAsia="黑体" w:hAnsi="Calibri"/>
                          <w:b/>
                          <w:color w:val="auto"/>
                          <w:sz w:val="24"/>
                          <w:u w:val="single"/>
                        </w:rPr>
                        <w:t>4</w:t>
                      </w:r>
                      <w:r w:rsidRPr="00523A89">
                        <w:rPr>
                          <w:rFonts w:ascii="Calibri" w:eastAsia="黑体" w:hAnsi="Calibri" w:hint="eastAsia"/>
                          <w:b/>
                          <w:color w:val="auto"/>
                          <w:sz w:val="24"/>
                          <w:u w:val="single"/>
                        </w:rPr>
                        <w:t xml:space="preserve">   </w:t>
                      </w:r>
                      <w:r w:rsidRPr="00523A89">
                        <w:rPr>
                          <w:rFonts w:hint="eastAsia"/>
                          <w:b/>
                          <w:u w:val="single"/>
                        </w:rPr>
                        <w:t xml:space="preserve">  </w:t>
                      </w:r>
                      <w:r w:rsidRPr="00523A89">
                        <w:rPr>
                          <w:rFonts w:ascii="Calibri" w:eastAsia="黑体" w:hAnsi="Calibri" w:hint="eastAsia"/>
                          <w:b/>
                          <w:color w:val="auto"/>
                          <w:sz w:val="24"/>
                          <w:u w:val="single"/>
                        </w:rPr>
                        <w:t>透明尼龙切片一期</w:t>
                      </w:r>
                      <w:r w:rsidRPr="00523A89">
                        <w:rPr>
                          <w:rFonts w:ascii="Calibri" w:eastAsia="黑体" w:hAnsi="Calibri"/>
                          <w:b/>
                          <w:color w:val="auto"/>
                          <w:sz w:val="24"/>
                          <w:u w:val="single"/>
                        </w:rPr>
                        <w:t>、</w:t>
                      </w:r>
                      <w:r w:rsidRPr="00523A89">
                        <w:rPr>
                          <w:rFonts w:ascii="Calibri" w:eastAsia="黑体" w:hAnsi="Calibri" w:hint="eastAsia"/>
                          <w:b/>
                          <w:color w:val="auto"/>
                          <w:sz w:val="24"/>
                          <w:u w:val="single"/>
                        </w:rPr>
                        <w:t>二期生产工艺物料</w:t>
                      </w:r>
                      <w:r w:rsidRPr="00523A89">
                        <w:rPr>
                          <w:rFonts w:ascii="Calibri" w:eastAsia="黑体" w:hAnsi="Calibri"/>
                          <w:b/>
                          <w:color w:val="auto"/>
                          <w:sz w:val="24"/>
                          <w:u w:val="single"/>
                        </w:rPr>
                        <w:t>平衡</w:t>
                      </w:r>
                      <w:r w:rsidRPr="00523A89">
                        <w:rPr>
                          <w:rFonts w:ascii="Calibri" w:eastAsia="黑体" w:hAnsi="Calibri" w:hint="eastAsia"/>
                          <w:b/>
                          <w:color w:val="auto"/>
                          <w:sz w:val="24"/>
                          <w:u w:val="single"/>
                        </w:rPr>
                        <w:t>图</w:t>
                      </w:r>
                    </w:p>
                  </w:txbxContent>
                </v:textbox>
              </v:shape>
            </w:pict>
          </mc:Fallback>
        </mc:AlternateContent>
      </w:r>
    </w:p>
    <w:p w14:paraId="7AE4496D" w14:textId="77777777" w:rsidR="005626A4" w:rsidRPr="00A964FF" w:rsidRDefault="005626A4" w:rsidP="005626A4">
      <w:pPr>
        <w:pStyle w:val="2"/>
        <w:spacing w:before="200" w:after="100"/>
        <w:rPr>
          <w:rFonts w:ascii="Calibri" w:hAnsi="Calibri"/>
          <w:bCs/>
          <w:color w:val="auto"/>
          <w:szCs w:val="28"/>
        </w:rPr>
      </w:pPr>
      <w:bookmarkStart w:id="45" w:name="_Toc112999906"/>
      <w:r w:rsidRPr="00A964FF">
        <w:rPr>
          <w:rFonts w:ascii="Calibri" w:hAnsi="Calibri" w:hint="eastAsia"/>
          <w:bCs/>
          <w:color w:val="auto"/>
          <w:szCs w:val="28"/>
        </w:rPr>
        <w:lastRenderedPageBreak/>
        <w:t>2</w:t>
      </w:r>
      <w:r w:rsidRPr="00A964FF">
        <w:rPr>
          <w:rFonts w:ascii="Calibri" w:hAnsi="Calibri"/>
          <w:bCs/>
          <w:color w:val="auto"/>
          <w:szCs w:val="28"/>
        </w:rPr>
        <w:t>.</w:t>
      </w:r>
      <w:r w:rsidRPr="00A964FF">
        <w:rPr>
          <w:rFonts w:ascii="Calibri" w:hAnsi="Calibri" w:hint="eastAsia"/>
          <w:bCs/>
          <w:color w:val="auto"/>
          <w:szCs w:val="28"/>
        </w:rPr>
        <w:t>3</w:t>
      </w:r>
      <w:r w:rsidRPr="00A964FF">
        <w:rPr>
          <w:rFonts w:hint="eastAsia"/>
          <w:color w:val="auto"/>
        </w:rPr>
        <w:t>营运期污染源分析</w:t>
      </w:r>
      <w:bookmarkEnd w:id="45"/>
    </w:p>
    <w:p w14:paraId="22E1DDE0" w14:textId="77777777" w:rsidR="005626A4" w:rsidRPr="00A964FF" w:rsidRDefault="005626A4" w:rsidP="005626A4">
      <w:pPr>
        <w:pStyle w:val="ad"/>
        <w:rPr>
          <w:rFonts w:ascii="Calibri" w:hAnsi="Calibri"/>
          <w:color w:val="auto"/>
          <w:sz w:val="24"/>
        </w:rPr>
      </w:pPr>
      <w:r w:rsidRPr="00A964FF">
        <w:rPr>
          <w:rFonts w:ascii="Calibri" w:hAnsi="Calibri" w:hint="eastAsia"/>
          <w:color w:val="auto"/>
        </w:rPr>
        <w:t>2.3.1</w:t>
      </w:r>
      <w:r w:rsidRPr="00A964FF">
        <w:rPr>
          <w:rFonts w:ascii="Calibri" w:hAnsi="Calibri" w:hint="eastAsia"/>
          <w:color w:val="auto"/>
        </w:rPr>
        <w:t>废气</w:t>
      </w:r>
      <w:r w:rsidR="000574DA">
        <w:rPr>
          <w:rFonts w:ascii="Calibri" w:hAnsi="Calibri" w:hint="eastAsia"/>
          <w:color w:val="auto"/>
        </w:rPr>
        <w:t>污染源分析</w:t>
      </w:r>
    </w:p>
    <w:p w14:paraId="4E0996D7" w14:textId="77777777" w:rsidR="00031A77" w:rsidRDefault="00CD2364" w:rsidP="00290094">
      <w:pPr>
        <w:pStyle w:val="00"/>
        <w:rPr>
          <w:rFonts w:ascii="Calibri" w:hAnsi="Calibri"/>
          <w:color w:val="auto"/>
        </w:rPr>
      </w:pPr>
      <w:r>
        <w:rPr>
          <w:rFonts w:ascii="Calibri" w:hAnsi="Calibri" w:hint="eastAsia"/>
          <w:color w:val="auto"/>
        </w:rPr>
        <w:t>本项目</w:t>
      </w:r>
      <w:r>
        <w:rPr>
          <w:rFonts w:ascii="Calibri" w:hAnsi="Calibri"/>
          <w:color w:val="auto"/>
        </w:rPr>
        <w:t>一期、二期工程生产工艺一致，仅生产规模不同。</w:t>
      </w:r>
      <w:r w:rsidR="00FE4E48">
        <w:rPr>
          <w:rFonts w:ascii="Calibri" w:hAnsi="Calibri" w:hint="eastAsia"/>
          <w:color w:val="auto"/>
        </w:rPr>
        <w:t>本项目</w:t>
      </w:r>
      <w:r>
        <w:rPr>
          <w:rFonts w:ascii="Calibri" w:hAnsi="Calibri" w:hint="eastAsia"/>
          <w:color w:val="auto"/>
        </w:rPr>
        <w:t>一期</w:t>
      </w:r>
      <w:r>
        <w:rPr>
          <w:rFonts w:ascii="Calibri" w:hAnsi="Calibri"/>
          <w:color w:val="auto"/>
        </w:rPr>
        <w:t>、二期工程</w:t>
      </w:r>
      <w:r w:rsidR="00FE4E48">
        <w:rPr>
          <w:rFonts w:ascii="Calibri" w:hAnsi="Calibri"/>
          <w:color w:val="auto"/>
        </w:rPr>
        <w:t>废气污染源主要为</w:t>
      </w:r>
      <w:r w:rsidR="00FE4E48">
        <w:rPr>
          <w:rFonts w:ascii="Calibri" w:hAnsi="Calibri" w:hint="eastAsia"/>
          <w:color w:val="auto"/>
        </w:rPr>
        <w:t>盐</w:t>
      </w:r>
      <w:r w:rsidR="00FE4E48" w:rsidRPr="00FE4E48">
        <w:rPr>
          <w:rFonts w:ascii="Calibri" w:hAnsi="Calibri" w:hint="eastAsia"/>
          <w:color w:val="auto"/>
        </w:rPr>
        <w:t>聚合</w:t>
      </w:r>
      <w:r w:rsidR="00290094">
        <w:rPr>
          <w:rFonts w:ascii="Calibri" w:hAnsi="Calibri" w:hint="eastAsia"/>
          <w:color w:val="auto"/>
        </w:rPr>
        <w:t>工序</w:t>
      </w:r>
      <w:r w:rsidR="00FE4E48" w:rsidRPr="00FE4E48">
        <w:rPr>
          <w:rFonts w:ascii="Calibri" w:hAnsi="Calibri" w:hint="eastAsia"/>
          <w:color w:val="auto"/>
        </w:rPr>
        <w:t>和</w:t>
      </w:r>
      <w:r w:rsidR="00290094">
        <w:rPr>
          <w:rFonts w:ascii="Calibri" w:hAnsi="Calibri" w:hint="eastAsia"/>
          <w:color w:val="auto"/>
        </w:rPr>
        <w:t>下料环节</w:t>
      </w:r>
      <w:r w:rsidR="00FE4E48" w:rsidRPr="00FE4E48">
        <w:rPr>
          <w:rFonts w:ascii="Calibri" w:hAnsi="Calibri" w:hint="eastAsia"/>
          <w:color w:val="auto"/>
        </w:rPr>
        <w:t>产生的工艺废气、导热油炉燃料燃烧废气</w:t>
      </w:r>
      <w:r>
        <w:rPr>
          <w:rFonts w:ascii="Calibri" w:hAnsi="Calibri" w:hint="eastAsia"/>
          <w:color w:val="auto"/>
        </w:rPr>
        <w:t>、</w:t>
      </w:r>
      <w:r w:rsidR="00FE4E48" w:rsidRPr="00FE4E48">
        <w:rPr>
          <w:rFonts w:ascii="Calibri" w:hAnsi="Calibri" w:hint="eastAsia"/>
          <w:color w:val="auto"/>
        </w:rPr>
        <w:t>污水处理站恶臭气体</w:t>
      </w:r>
      <w:r w:rsidR="00290094">
        <w:rPr>
          <w:rFonts w:ascii="Calibri" w:hAnsi="Calibri" w:hint="eastAsia"/>
          <w:color w:val="auto"/>
        </w:rPr>
        <w:t>、品控</w:t>
      </w:r>
      <w:r w:rsidR="00290094">
        <w:rPr>
          <w:rFonts w:ascii="Calibri" w:hAnsi="Calibri"/>
          <w:color w:val="auto"/>
        </w:rPr>
        <w:t>中心检验废气</w:t>
      </w:r>
      <w:r w:rsidR="00290094">
        <w:rPr>
          <w:rFonts w:ascii="Calibri" w:hAnsi="Calibri" w:hint="eastAsia"/>
          <w:color w:val="auto"/>
        </w:rPr>
        <w:t>以及</w:t>
      </w:r>
      <w:r>
        <w:rPr>
          <w:rFonts w:ascii="Calibri" w:hAnsi="Calibri"/>
          <w:color w:val="auto"/>
        </w:rPr>
        <w:t>生产区无组织废气和职工食堂油烟。</w:t>
      </w:r>
    </w:p>
    <w:p w14:paraId="60ECA659" w14:textId="77777777" w:rsidR="00031A77" w:rsidRPr="00CA259F" w:rsidRDefault="00CD2364" w:rsidP="006D36B5">
      <w:pPr>
        <w:pStyle w:val="00"/>
        <w:rPr>
          <w:rFonts w:ascii="Calibri" w:hAnsi="Calibri"/>
          <w:b/>
          <w:color w:val="auto"/>
        </w:rPr>
      </w:pPr>
      <w:r w:rsidRPr="00CA259F">
        <w:rPr>
          <w:rFonts w:ascii="Calibri" w:hAnsi="Calibri" w:hint="eastAsia"/>
          <w:b/>
          <w:color w:val="auto"/>
        </w:rPr>
        <w:t>1</w:t>
      </w:r>
      <w:r w:rsidRPr="00CA259F">
        <w:rPr>
          <w:rFonts w:ascii="Calibri" w:hAnsi="Calibri" w:hint="eastAsia"/>
          <w:b/>
          <w:color w:val="auto"/>
        </w:rPr>
        <w:t>、聚合工序</w:t>
      </w:r>
      <w:r w:rsidRPr="00CA259F">
        <w:rPr>
          <w:rFonts w:ascii="Calibri" w:hAnsi="Calibri"/>
          <w:b/>
          <w:color w:val="auto"/>
        </w:rPr>
        <w:t>废气</w:t>
      </w:r>
    </w:p>
    <w:p w14:paraId="71B681EA" w14:textId="77777777" w:rsidR="00031A77" w:rsidRPr="00FE4E48" w:rsidRDefault="00CD2364" w:rsidP="005D52DF">
      <w:pPr>
        <w:pStyle w:val="00"/>
        <w:rPr>
          <w:rFonts w:ascii="Calibri" w:hAnsi="Calibri"/>
          <w:color w:val="auto"/>
        </w:rPr>
      </w:pPr>
      <w:r>
        <w:rPr>
          <w:rFonts w:ascii="Calibri" w:hAnsi="Calibri" w:hint="eastAsia"/>
          <w:color w:val="auto"/>
        </w:rPr>
        <w:t>本项目</w:t>
      </w:r>
      <w:r>
        <w:rPr>
          <w:rFonts w:ascii="Calibri" w:hAnsi="Calibri"/>
          <w:color w:val="auto"/>
        </w:rPr>
        <w:t>一期、二期工程聚合工序</w:t>
      </w:r>
      <w:r>
        <w:rPr>
          <w:rFonts w:ascii="Calibri" w:hAnsi="Calibri" w:hint="eastAsia"/>
          <w:color w:val="auto"/>
        </w:rPr>
        <w:t>蒸发</w:t>
      </w:r>
      <w:r>
        <w:rPr>
          <w:rFonts w:ascii="Calibri" w:hAnsi="Calibri"/>
          <w:color w:val="auto"/>
        </w:rPr>
        <w:t>的蒸汽主要为水汽，同时夹带少量</w:t>
      </w:r>
      <w:r w:rsidR="006F1234">
        <w:rPr>
          <w:rFonts w:ascii="Calibri" w:hAnsi="Calibri" w:hint="eastAsia"/>
          <w:color w:val="auto"/>
        </w:rPr>
        <w:t>有机废气（</w:t>
      </w:r>
      <w:r w:rsidR="003F4542">
        <w:rPr>
          <w:rFonts w:ascii="Calibri" w:hAnsi="Calibri" w:hint="eastAsia"/>
          <w:color w:val="auto"/>
        </w:rPr>
        <w:t>己二胺</w:t>
      </w:r>
      <w:r w:rsidR="003F4542">
        <w:rPr>
          <w:rFonts w:ascii="Calibri" w:hAnsi="Calibri"/>
          <w:color w:val="auto"/>
        </w:rPr>
        <w:t>、</w:t>
      </w:r>
      <w:r w:rsidR="003F4542">
        <w:rPr>
          <w:rFonts w:ascii="Calibri" w:hAnsi="Calibri" w:hint="eastAsia"/>
          <w:color w:val="auto"/>
        </w:rPr>
        <w:t>己二酸</w:t>
      </w:r>
      <w:r w:rsidR="003F4542">
        <w:rPr>
          <w:rFonts w:ascii="Calibri" w:hAnsi="Calibri"/>
          <w:color w:val="auto"/>
        </w:rPr>
        <w:t>、环戊酮、</w:t>
      </w:r>
      <w:r w:rsidR="003F4542" w:rsidRPr="003F4542">
        <w:rPr>
          <w:rFonts w:ascii="Calibri" w:hAnsi="Calibri" w:hint="eastAsia"/>
          <w:color w:val="auto"/>
        </w:rPr>
        <w:t>环己亚胺</w:t>
      </w:r>
      <w:r w:rsidR="003F4542">
        <w:rPr>
          <w:rFonts w:ascii="Calibri" w:hAnsi="Calibri" w:hint="eastAsia"/>
          <w:color w:val="auto"/>
        </w:rPr>
        <w:t>、</w:t>
      </w:r>
      <w:r w:rsidR="00E73D5F">
        <w:rPr>
          <w:rFonts w:ascii="Calibri" w:hAnsi="Calibri" w:hint="eastAsia"/>
          <w:color w:val="auto"/>
        </w:rPr>
        <w:t>氨气等</w:t>
      </w:r>
      <w:r w:rsidR="006F1234">
        <w:rPr>
          <w:rFonts w:ascii="Calibri" w:hAnsi="Calibri" w:hint="eastAsia"/>
          <w:color w:val="auto"/>
        </w:rPr>
        <w:t>）</w:t>
      </w:r>
      <w:r>
        <w:rPr>
          <w:rFonts w:ascii="Calibri" w:hAnsi="Calibri"/>
          <w:color w:val="auto"/>
        </w:rPr>
        <w:t>。</w:t>
      </w:r>
      <w:r w:rsidR="008435C6">
        <w:rPr>
          <w:rFonts w:ascii="Calibri" w:hAnsi="Calibri" w:hint="eastAsia"/>
          <w:color w:val="auto"/>
        </w:rPr>
        <w:t>聚合</w:t>
      </w:r>
      <w:r w:rsidR="008435C6">
        <w:rPr>
          <w:rFonts w:ascii="Calibri" w:hAnsi="Calibri"/>
          <w:color w:val="auto"/>
        </w:rPr>
        <w:t>工序产生的蒸汽经冷却塔冷凝后</w:t>
      </w:r>
      <w:r w:rsidR="008435C6">
        <w:rPr>
          <w:rFonts w:ascii="Calibri" w:hAnsi="Calibri" w:hint="eastAsia"/>
          <w:color w:val="auto"/>
        </w:rPr>
        <w:t>，</w:t>
      </w:r>
      <w:r w:rsidR="008435C6">
        <w:rPr>
          <w:rFonts w:ascii="Calibri" w:hAnsi="Calibri"/>
          <w:color w:val="auto"/>
        </w:rPr>
        <w:t>冷凝液体一部分回用于</w:t>
      </w:r>
      <w:r w:rsidR="008435C6">
        <w:rPr>
          <w:rFonts w:ascii="Calibri" w:hAnsi="Calibri" w:hint="eastAsia"/>
          <w:color w:val="auto"/>
        </w:rPr>
        <w:t>原料</w:t>
      </w:r>
      <w:r w:rsidR="008435C6">
        <w:rPr>
          <w:rFonts w:ascii="Calibri" w:hAnsi="Calibri"/>
          <w:color w:val="auto"/>
        </w:rPr>
        <w:t>配料，一部分作为废水进入污水处理站</w:t>
      </w:r>
      <w:r w:rsidR="008435C6">
        <w:rPr>
          <w:rFonts w:ascii="Calibri" w:hAnsi="Calibri" w:hint="eastAsia"/>
          <w:color w:val="auto"/>
        </w:rPr>
        <w:t>。</w:t>
      </w:r>
      <w:r w:rsidR="008435C6">
        <w:rPr>
          <w:rFonts w:ascii="Calibri" w:hAnsi="Calibri"/>
          <w:color w:val="auto"/>
        </w:rPr>
        <w:t>根据</w:t>
      </w:r>
      <w:r w:rsidR="008435C6">
        <w:rPr>
          <w:rFonts w:ascii="Calibri" w:hAnsi="Calibri" w:hint="eastAsia"/>
          <w:color w:val="auto"/>
        </w:rPr>
        <w:t>生产</w:t>
      </w:r>
      <w:r w:rsidR="008435C6">
        <w:rPr>
          <w:rFonts w:ascii="Calibri" w:hAnsi="Calibri"/>
          <w:color w:val="auto"/>
        </w:rPr>
        <w:t>工艺和工程物料</w:t>
      </w:r>
      <w:r w:rsidR="008435C6">
        <w:rPr>
          <w:rFonts w:ascii="Calibri" w:hAnsi="Calibri" w:hint="eastAsia"/>
          <w:color w:val="auto"/>
        </w:rPr>
        <w:t>平衡，一期</w:t>
      </w:r>
      <w:r w:rsidR="008435C6">
        <w:rPr>
          <w:rFonts w:ascii="Calibri" w:hAnsi="Calibri"/>
          <w:color w:val="auto"/>
        </w:rPr>
        <w:t>工程</w:t>
      </w:r>
      <w:r w:rsidR="008435C6">
        <w:rPr>
          <w:rFonts w:ascii="Calibri" w:hAnsi="Calibri" w:hint="eastAsia"/>
          <w:color w:val="auto"/>
        </w:rPr>
        <w:t>聚合工序</w:t>
      </w:r>
      <w:r w:rsidR="008435C6">
        <w:rPr>
          <w:rFonts w:ascii="Calibri" w:hAnsi="Calibri"/>
          <w:color w:val="auto"/>
        </w:rPr>
        <w:t>产生的不凝气体</w:t>
      </w:r>
      <w:r w:rsidR="005D52DF">
        <w:rPr>
          <w:rFonts w:ascii="Calibri" w:hAnsi="Calibri"/>
          <w:color w:val="auto"/>
        </w:rPr>
        <w:t>269.11</w:t>
      </w:r>
      <w:r w:rsidR="008435C6">
        <w:rPr>
          <w:rFonts w:ascii="Calibri" w:hAnsi="Calibri"/>
          <w:color w:val="auto"/>
        </w:rPr>
        <w:t>t/a</w:t>
      </w:r>
      <w:r w:rsidR="008435C6">
        <w:rPr>
          <w:rFonts w:ascii="Calibri" w:hAnsi="Calibri" w:hint="eastAsia"/>
          <w:color w:val="auto"/>
        </w:rPr>
        <w:t>，</w:t>
      </w:r>
      <w:r w:rsidR="006F1234">
        <w:rPr>
          <w:rFonts w:ascii="Calibri" w:hAnsi="Calibri" w:hint="eastAsia"/>
          <w:color w:val="auto"/>
        </w:rPr>
        <w:t>有机废气</w:t>
      </w:r>
      <w:r w:rsidR="005D52DF">
        <w:rPr>
          <w:rFonts w:ascii="Calibri" w:hAnsi="Calibri"/>
          <w:color w:val="auto"/>
        </w:rPr>
        <w:t>3.3</w:t>
      </w:r>
      <w:r w:rsidR="006F1234">
        <w:rPr>
          <w:rFonts w:ascii="Calibri" w:hAnsi="Calibri"/>
          <w:color w:val="auto"/>
        </w:rPr>
        <w:t>t/a</w:t>
      </w:r>
      <w:r w:rsidR="006F1234">
        <w:rPr>
          <w:rFonts w:ascii="Calibri" w:hAnsi="Calibri" w:hint="eastAsia"/>
          <w:color w:val="auto"/>
        </w:rPr>
        <w:t>，</w:t>
      </w:r>
      <w:r w:rsidR="006F1234">
        <w:rPr>
          <w:rFonts w:ascii="Calibri" w:hAnsi="Calibri"/>
          <w:color w:val="auto"/>
        </w:rPr>
        <w:t>其中</w:t>
      </w:r>
      <w:r w:rsidR="008435C6">
        <w:rPr>
          <w:rFonts w:ascii="Calibri" w:hAnsi="Calibri"/>
          <w:color w:val="auto"/>
        </w:rPr>
        <w:t>己二胺的</w:t>
      </w:r>
      <w:r w:rsidR="008435C6">
        <w:rPr>
          <w:rFonts w:ascii="Calibri" w:hAnsi="Calibri" w:hint="eastAsia"/>
          <w:color w:val="auto"/>
        </w:rPr>
        <w:t>含量</w:t>
      </w:r>
      <w:r w:rsidR="008435C6">
        <w:rPr>
          <w:rFonts w:ascii="Calibri" w:hAnsi="Calibri"/>
          <w:color w:val="auto"/>
        </w:rPr>
        <w:t>为</w:t>
      </w:r>
      <w:r w:rsidR="005D52DF">
        <w:rPr>
          <w:rFonts w:ascii="Calibri" w:hAnsi="Calibri"/>
          <w:color w:val="auto"/>
        </w:rPr>
        <w:t>2.16</w:t>
      </w:r>
      <w:r w:rsidR="008435C6">
        <w:rPr>
          <w:rFonts w:ascii="Calibri" w:hAnsi="Calibri"/>
          <w:color w:val="auto"/>
        </w:rPr>
        <w:t>t/a</w:t>
      </w:r>
      <w:r w:rsidR="006E6CAF">
        <w:rPr>
          <w:rFonts w:ascii="Calibri" w:hAnsi="Calibri" w:hint="eastAsia"/>
          <w:color w:val="auto"/>
        </w:rPr>
        <w:t>，</w:t>
      </w:r>
      <w:r w:rsidR="005D52DF">
        <w:rPr>
          <w:rFonts w:ascii="Calibri" w:hAnsi="Calibri" w:hint="eastAsia"/>
          <w:color w:val="auto"/>
        </w:rPr>
        <w:t>己二酸</w:t>
      </w:r>
      <w:r w:rsidR="005D52DF">
        <w:rPr>
          <w:rFonts w:ascii="Calibri" w:hAnsi="Calibri"/>
          <w:color w:val="auto"/>
        </w:rPr>
        <w:t>含量</w:t>
      </w:r>
      <w:r w:rsidR="005D52DF">
        <w:rPr>
          <w:rFonts w:ascii="Calibri" w:hAnsi="Calibri" w:hint="eastAsia"/>
          <w:color w:val="auto"/>
        </w:rPr>
        <w:t>0.34</w:t>
      </w:r>
      <w:r w:rsidR="005D52DF">
        <w:rPr>
          <w:rFonts w:ascii="Calibri" w:hAnsi="Calibri"/>
          <w:color w:val="auto"/>
        </w:rPr>
        <w:t>t/a</w:t>
      </w:r>
      <w:r w:rsidR="005D52DF">
        <w:rPr>
          <w:rFonts w:ascii="Calibri" w:hAnsi="Calibri" w:hint="eastAsia"/>
          <w:color w:val="auto"/>
        </w:rPr>
        <w:t>，</w:t>
      </w:r>
      <w:r w:rsidR="006E6CAF">
        <w:rPr>
          <w:rFonts w:ascii="Calibri" w:hAnsi="Calibri"/>
          <w:color w:val="auto"/>
        </w:rPr>
        <w:t>氨</w:t>
      </w:r>
      <w:r w:rsidR="006E6CAF">
        <w:rPr>
          <w:rFonts w:ascii="Calibri" w:hAnsi="Calibri" w:hint="eastAsia"/>
          <w:color w:val="auto"/>
        </w:rPr>
        <w:t>0.01</w:t>
      </w:r>
      <w:r w:rsidR="006E6CAF">
        <w:rPr>
          <w:rFonts w:ascii="Calibri" w:hAnsi="Calibri"/>
          <w:color w:val="auto"/>
        </w:rPr>
        <w:t>t/a</w:t>
      </w:r>
      <w:r w:rsidR="008435C6">
        <w:rPr>
          <w:rFonts w:ascii="Calibri" w:hAnsi="Calibri" w:hint="eastAsia"/>
          <w:color w:val="auto"/>
        </w:rPr>
        <w:t>；</w:t>
      </w:r>
      <w:r w:rsidR="008435C6">
        <w:rPr>
          <w:rFonts w:ascii="Calibri" w:hAnsi="Calibri"/>
          <w:color w:val="auto"/>
        </w:rPr>
        <w:t>二期工程聚合</w:t>
      </w:r>
      <w:r w:rsidR="008435C6">
        <w:rPr>
          <w:rFonts w:ascii="Calibri" w:hAnsi="Calibri" w:hint="eastAsia"/>
          <w:color w:val="auto"/>
        </w:rPr>
        <w:t>工序</w:t>
      </w:r>
      <w:r w:rsidR="008435C6">
        <w:rPr>
          <w:rFonts w:ascii="Calibri" w:hAnsi="Calibri"/>
          <w:color w:val="auto"/>
        </w:rPr>
        <w:t>产生的不凝气体</w:t>
      </w:r>
      <w:r w:rsidR="005D52DF" w:rsidRPr="005D52DF">
        <w:rPr>
          <w:rFonts w:ascii="Calibri" w:hAnsi="Calibri"/>
          <w:color w:val="auto"/>
        </w:rPr>
        <w:t>161.476</w:t>
      </w:r>
      <w:r w:rsidR="008435C6">
        <w:rPr>
          <w:rFonts w:ascii="Calibri" w:hAnsi="Calibri"/>
          <w:color w:val="auto"/>
        </w:rPr>
        <w:t>t/a</w:t>
      </w:r>
      <w:r w:rsidR="008435C6">
        <w:rPr>
          <w:rFonts w:ascii="Calibri" w:hAnsi="Calibri" w:hint="eastAsia"/>
          <w:color w:val="auto"/>
        </w:rPr>
        <w:t>，</w:t>
      </w:r>
      <w:r w:rsidR="006F1234">
        <w:rPr>
          <w:rFonts w:ascii="Calibri" w:hAnsi="Calibri" w:hint="eastAsia"/>
          <w:color w:val="auto"/>
        </w:rPr>
        <w:t>有机废气</w:t>
      </w:r>
      <w:r w:rsidR="00046C54">
        <w:rPr>
          <w:rFonts w:ascii="Calibri" w:hAnsi="Calibri" w:hint="eastAsia"/>
          <w:color w:val="auto"/>
        </w:rPr>
        <w:t>约</w:t>
      </w:r>
      <w:r w:rsidR="005D52DF">
        <w:rPr>
          <w:rFonts w:ascii="Calibri" w:hAnsi="Calibri"/>
          <w:color w:val="auto"/>
        </w:rPr>
        <w:t>1.99</w:t>
      </w:r>
      <w:r w:rsidR="006F1234">
        <w:rPr>
          <w:rFonts w:ascii="Calibri" w:hAnsi="Calibri"/>
          <w:color w:val="auto"/>
        </w:rPr>
        <w:t>t/a</w:t>
      </w:r>
      <w:r w:rsidR="006F1234">
        <w:rPr>
          <w:rFonts w:ascii="Calibri" w:hAnsi="Calibri" w:hint="eastAsia"/>
          <w:color w:val="auto"/>
        </w:rPr>
        <w:t>，</w:t>
      </w:r>
      <w:r w:rsidR="006F1234">
        <w:rPr>
          <w:rFonts w:ascii="Calibri" w:hAnsi="Calibri"/>
          <w:color w:val="auto"/>
        </w:rPr>
        <w:t>其中</w:t>
      </w:r>
      <w:r w:rsidR="008435C6">
        <w:rPr>
          <w:rFonts w:ascii="Calibri" w:hAnsi="Calibri"/>
          <w:color w:val="auto"/>
        </w:rPr>
        <w:t>己二胺的</w:t>
      </w:r>
      <w:r w:rsidR="008435C6">
        <w:rPr>
          <w:rFonts w:ascii="Calibri" w:hAnsi="Calibri" w:hint="eastAsia"/>
          <w:color w:val="auto"/>
        </w:rPr>
        <w:t>含量</w:t>
      </w:r>
      <w:r w:rsidR="008435C6">
        <w:rPr>
          <w:rFonts w:ascii="Calibri" w:hAnsi="Calibri"/>
          <w:color w:val="auto"/>
        </w:rPr>
        <w:t>为</w:t>
      </w:r>
      <w:r w:rsidR="005D52DF">
        <w:rPr>
          <w:rFonts w:ascii="Calibri" w:hAnsi="Calibri"/>
          <w:color w:val="auto"/>
        </w:rPr>
        <w:t>1.30</w:t>
      </w:r>
      <w:r w:rsidR="008435C6">
        <w:rPr>
          <w:rFonts w:ascii="Calibri" w:hAnsi="Calibri"/>
          <w:color w:val="auto"/>
        </w:rPr>
        <w:t>t/a</w:t>
      </w:r>
      <w:r w:rsidR="006E6CAF">
        <w:rPr>
          <w:rFonts w:ascii="Calibri" w:hAnsi="Calibri" w:hint="eastAsia"/>
          <w:color w:val="auto"/>
        </w:rPr>
        <w:t>，</w:t>
      </w:r>
      <w:r w:rsidR="005D52DF">
        <w:rPr>
          <w:rFonts w:ascii="Calibri" w:hAnsi="Calibri" w:hint="eastAsia"/>
          <w:color w:val="auto"/>
        </w:rPr>
        <w:t>己二酸</w:t>
      </w:r>
      <w:r w:rsidR="005D52DF">
        <w:rPr>
          <w:rFonts w:ascii="Calibri" w:hAnsi="Calibri"/>
          <w:color w:val="auto"/>
        </w:rPr>
        <w:t>的含量</w:t>
      </w:r>
      <w:r w:rsidR="005D52DF">
        <w:rPr>
          <w:rFonts w:ascii="Calibri" w:hAnsi="Calibri" w:hint="eastAsia"/>
          <w:color w:val="auto"/>
        </w:rPr>
        <w:t>0.21</w:t>
      </w:r>
      <w:r w:rsidR="005D52DF">
        <w:rPr>
          <w:rFonts w:ascii="Calibri" w:hAnsi="Calibri"/>
          <w:color w:val="auto"/>
        </w:rPr>
        <w:t>t/a</w:t>
      </w:r>
      <w:r w:rsidR="005D52DF">
        <w:rPr>
          <w:rFonts w:ascii="Calibri" w:hAnsi="Calibri" w:hint="eastAsia"/>
          <w:color w:val="auto"/>
        </w:rPr>
        <w:t>，</w:t>
      </w:r>
      <w:r w:rsidR="006E6CAF">
        <w:rPr>
          <w:rFonts w:ascii="Calibri" w:hAnsi="Calibri"/>
          <w:color w:val="auto"/>
        </w:rPr>
        <w:t>氨</w:t>
      </w:r>
      <w:r w:rsidR="006E6CAF">
        <w:rPr>
          <w:rFonts w:ascii="Calibri" w:hAnsi="Calibri" w:hint="eastAsia"/>
          <w:color w:val="auto"/>
        </w:rPr>
        <w:t>0.006</w:t>
      </w:r>
      <w:r w:rsidR="006E6CAF">
        <w:rPr>
          <w:rFonts w:ascii="Calibri" w:hAnsi="Calibri"/>
          <w:color w:val="auto"/>
        </w:rPr>
        <w:t>t/a</w:t>
      </w:r>
      <w:r w:rsidR="008435C6">
        <w:rPr>
          <w:rFonts w:ascii="Calibri" w:hAnsi="Calibri" w:hint="eastAsia"/>
          <w:color w:val="auto"/>
        </w:rPr>
        <w:t>。</w:t>
      </w:r>
    </w:p>
    <w:p w14:paraId="01A2E932" w14:textId="77777777" w:rsidR="008435C6" w:rsidRPr="00CA259F" w:rsidRDefault="008435C6" w:rsidP="008435C6">
      <w:pPr>
        <w:pStyle w:val="00"/>
        <w:rPr>
          <w:rFonts w:ascii="Calibri" w:hAnsi="Calibri"/>
          <w:b/>
          <w:color w:val="auto"/>
        </w:rPr>
      </w:pPr>
      <w:r w:rsidRPr="00CA259F">
        <w:rPr>
          <w:rFonts w:ascii="Calibri" w:hAnsi="Calibri"/>
          <w:b/>
          <w:color w:val="auto"/>
        </w:rPr>
        <w:t>2</w:t>
      </w:r>
      <w:r w:rsidRPr="00CA259F">
        <w:rPr>
          <w:rFonts w:ascii="Calibri" w:hAnsi="Calibri" w:hint="eastAsia"/>
          <w:b/>
          <w:color w:val="auto"/>
        </w:rPr>
        <w:t>、</w:t>
      </w:r>
      <w:r w:rsidR="0083308C" w:rsidRPr="0083308C">
        <w:rPr>
          <w:rFonts w:ascii="Calibri" w:hAnsi="Calibri" w:hint="eastAsia"/>
          <w:b/>
          <w:color w:val="auto"/>
        </w:rPr>
        <w:t>聚合釜下料废气</w:t>
      </w:r>
    </w:p>
    <w:p w14:paraId="61D8C7F4" w14:textId="77777777" w:rsidR="00B605A0" w:rsidRPr="00FE4E48" w:rsidRDefault="001A4912" w:rsidP="00A06A90">
      <w:pPr>
        <w:pStyle w:val="00"/>
        <w:rPr>
          <w:rFonts w:ascii="Calibri" w:hAnsi="Calibri"/>
          <w:color w:val="auto"/>
        </w:rPr>
      </w:pPr>
      <w:r>
        <w:rPr>
          <w:rFonts w:ascii="Calibri" w:hAnsi="Calibri" w:hint="eastAsia"/>
          <w:color w:val="auto"/>
        </w:rPr>
        <w:t>聚合釜</w:t>
      </w:r>
      <w:r>
        <w:rPr>
          <w:rFonts w:ascii="Calibri" w:hAnsi="Calibri"/>
          <w:color w:val="auto"/>
        </w:rPr>
        <w:t>下料</w:t>
      </w:r>
      <w:r w:rsidR="008435C6" w:rsidRPr="008435C6">
        <w:rPr>
          <w:rFonts w:ascii="Calibri" w:hAnsi="Calibri" w:hint="eastAsia"/>
          <w:color w:val="auto"/>
        </w:rPr>
        <w:t>阶段高温下的熔融体与低温下的冷冻水接触会挥发部分蒸汽，同时夹带微</w:t>
      </w:r>
      <w:r w:rsidR="00B605A0">
        <w:rPr>
          <w:rFonts w:ascii="Calibri" w:hAnsi="Calibri" w:hint="eastAsia"/>
          <w:color w:val="auto"/>
        </w:rPr>
        <w:t>量己二胺</w:t>
      </w:r>
      <w:r w:rsidR="008435C6">
        <w:rPr>
          <w:rFonts w:ascii="Calibri" w:hAnsi="Calibri" w:hint="eastAsia"/>
          <w:color w:val="auto"/>
        </w:rPr>
        <w:t>。</w:t>
      </w:r>
      <w:r w:rsidR="008435C6" w:rsidRPr="008435C6">
        <w:rPr>
          <w:rFonts w:ascii="Calibri" w:hAnsi="Calibri" w:hint="eastAsia"/>
          <w:color w:val="auto"/>
        </w:rPr>
        <w:t>根据工程物料平衡，</w:t>
      </w:r>
      <w:r w:rsidR="00B605A0">
        <w:rPr>
          <w:rFonts w:ascii="Calibri" w:hAnsi="Calibri" w:hint="eastAsia"/>
          <w:color w:val="auto"/>
        </w:rPr>
        <w:t>一期</w:t>
      </w:r>
      <w:r w:rsidR="00B605A0">
        <w:rPr>
          <w:rFonts w:ascii="Calibri" w:hAnsi="Calibri"/>
          <w:color w:val="auto"/>
        </w:rPr>
        <w:t>工程</w:t>
      </w:r>
      <w:r w:rsidR="00A06A90" w:rsidRPr="00A06A90">
        <w:rPr>
          <w:rFonts w:ascii="Calibri" w:hAnsi="Calibri" w:hint="eastAsia"/>
          <w:color w:val="auto"/>
        </w:rPr>
        <w:t>聚合釜下料</w:t>
      </w:r>
      <w:r w:rsidR="00B605A0">
        <w:rPr>
          <w:rFonts w:ascii="Calibri" w:hAnsi="Calibri" w:hint="eastAsia"/>
          <w:color w:val="auto"/>
        </w:rPr>
        <w:t>挥发</w:t>
      </w:r>
      <w:r w:rsidR="00B605A0">
        <w:rPr>
          <w:rFonts w:ascii="Calibri" w:hAnsi="Calibri"/>
          <w:color w:val="auto"/>
        </w:rPr>
        <w:t>不凝气体</w:t>
      </w:r>
      <w:r w:rsidR="00B605A0">
        <w:rPr>
          <w:rFonts w:ascii="Calibri" w:hAnsi="Calibri"/>
          <w:color w:val="auto"/>
        </w:rPr>
        <w:t>116t/a</w:t>
      </w:r>
      <w:r w:rsidR="00B605A0">
        <w:rPr>
          <w:rFonts w:ascii="Calibri" w:hAnsi="Calibri" w:hint="eastAsia"/>
          <w:color w:val="auto"/>
        </w:rPr>
        <w:t>，</w:t>
      </w:r>
      <w:r w:rsidR="00B605A0">
        <w:rPr>
          <w:rFonts w:ascii="Calibri" w:hAnsi="Calibri"/>
          <w:color w:val="auto"/>
        </w:rPr>
        <w:t>己二胺的</w:t>
      </w:r>
      <w:r w:rsidR="00B605A0">
        <w:rPr>
          <w:rFonts w:ascii="Calibri" w:hAnsi="Calibri" w:hint="eastAsia"/>
          <w:color w:val="auto"/>
        </w:rPr>
        <w:t>含量</w:t>
      </w:r>
      <w:r w:rsidR="00B605A0">
        <w:rPr>
          <w:rFonts w:ascii="Calibri" w:hAnsi="Calibri"/>
          <w:color w:val="auto"/>
        </w:rPr>
        <w:t>为</w:t>
      </w:r>
      <w:r w:rsidR="00B605A0">
        <w:rPr>
          <w:rFonts w:ascii="Calibri" w:hAnsi="Calibri" w:hint="eastAsia"/>
          <w:color w:val="auto"/>
        </w:rPr>
        <w:t>0.</w:t>
      </w:r>
      <w:r w:rsidR="00B605A0">
        <w:rPr>
          <w:rFonts w:ascii="Calibri" w:hAnsi="Calibri"/>
          <w:color w:val="auto"/>
        </w:rPr>
        <w:t>0</w:t>
      </w:r>
      <w:r w:rsidR="002D0D82">
        <w:rPr>
          <w:rFonts w:ascii="Calibri" w:hAnsi="Calibri"/>
          <w:color w:val="auto"/>
        </w:rPr>
        <w:t>3</w:t>
      </w:r>
      <w:r w:rsidR="00B605A0">
        <w:rPr>
          <w:rFonts w:ascii="Calibri" w:hAnsi="Calibri"/>
          <w:color w:val="auto"/>
        </w:rPr>
        <w:t>t/a</w:t>
      </w:r>
      <w:r w:rsidR="00B605A0">
        <w:rPr>
          <w:rFonts w:ascii="Calibri" w:hAnsi="Calibri" w:hint="eastAsia"/>
          <w:color w:val="auto"/>
        </w:rPr>
        <w:t>；</w:t>
      </w:r>
      <w:r w:rsidR="00B605A0">
        <w:rPr>
          <w:rFonts w:ascii="Calibri" w:hAnsi="Calibri"/>
          <w:color w:val="auto"/>
        </w:rPr>
        <w:t>二期工程</w:t>
      </w:r>
      <w:r w:rsidR="00A06A90" w:rsidRPr="00A06A90">
        <w:rPr>
          <w:rFonts w:ascii="Calibri" w:hAnsi="Calibri" w:hint="eastAsia"/>
          <w:color w:val="auto"/>
        </w:rPr>
        <w:t>聚合釜下料</w:t>
      </w:r>
      <w:r w:rsidR="00A06A90">
        <w:rPr>
          <w:rFonts w:ascii="Calibri" w:hAnsi="Calibri" w:hint="eastAsia"/>
          <w:color w:val="auto"/>
        </w:rPr>
        <w:t>挥发</w:t>
      </w:r>
      <w:r w:rsidR="00B605A0">
        <w:rPr>
          <w:rFonts w:ascii="Calibri" w:hAnsi="Calibri"/>
          <w:color w:val="auto"/>
        </w:rPr>
        <w:t>不凝气体</w:t>
      </w:r>
      <w:r w:rsidR="00B605A0">
        <w:rPr>
          <w:rFonts w:ascii="Calibri" w:hAnsi="Calibri"/>
          <w:color w:val="auto"/>
        </w:rPr>
        <w:t>69t/a</w:t>
      </w:r>
      <w:r w:rsidR="00B605A0">
        <w:rPr>
          <w:rFonts w:ascii="Calibri" w:hAnsi="Calibri" w:hint="eastAsia"/>
          <w:color w:val="auto"/>
        </w:rPr>
        <w:t>，</w:t>
      </w:r>
      <w:r w:rsidR="00B605A0">
        <w:rPr>
          <w:rFonts w:ascii="Calibri" w:hAnsi="Calibri"/>
          <w:color w:val="auto"/>
        </w:rPr>
        <w:t>己二胺的</w:t>
      </w:r>
      <w:r w:rsidR="00B605A0">
        <w:rPr>
          <w:rFonts w:ascii="Calibri" w:hAnsi="Calibri" w:hint="eastAsia"/>
          <w:color w:val="auto"/>
        </w:rPr>
        <w:t>含量</w:t>
      </w:r>
      <w:r w:rsidR="00B605A0">
        <w:rPr>
          <w:rFonts w:ascii="Calibri" w:hAnsi="Calibri"/>
          <w:color w:val="auto"/>
        </w:rPr>
        <w:t>为</w:t>
      </w:r>
      <w:r w:rsidR="00B605A0">
        <w:rPr>
          <w:rFonts w:ascii="Calibri" w:hAnsi="Calibri"/>
          <w:color w:val="auto"/>
        </w:rPr>
        <w:t>0.0</w:t>
      </w:r>
      <w:r w:rsidR="002D0D82">
        <w:rPr>
          <w:rFonts w:ascii="Calibri" w:hAnsi="Calibri"/>
          <w:color w:val="auto"/>
        </w:rPr>
        <w:t>2</w:t>
      </w:r>
      <w:r w:rsidR="00B605A0">
        <w:rPr>
          <w:rFonts w:ascii="Calibri" w:hAnsi="Calibri"/>
          <w:color w:val="auto"/>
        </w:rPr>
        <w:t>t/a</w:t>
      </w:r>
      <w:r w:rsidR="00B605A0">
        <w:rPr>
          <w:rFonts w:ascii="Calibri" w:hAnsi="Calibri" w:hint="eastAsia"/>
          <w:color w:val="auto"/>
        </w:rPr>
        <w:t>。</w:t>
      </w:r>
    </w:p>
    <w:p w14:paraId="547BBC99" w14:textId="6AEE7B65" w:rsidR="00BB0668" w:rsidRPr="00A57EB8" w:rsidRDefault="00B605A0" w:rsidP="0075760C">
      <w:pPr>
        <w:pStyle w:val="00"/>
        <w:rPr>
          <w:rFonts w:ascii="Calibri" w:hAnsi="Calibri"/>
          <w:color w:val="auto"/>
        </w:rPr>
      </w:pPr>
      <w:r>
        <w:rPr>
          <w:rFonts w:ascii="Calibri" w:hAnsi="Calibri" w:hint="eastAsia"/>
          <w:color w:val="auto"/>
        </w:rPr>
        <w:t>根据</w:t>
      </w:r>
      <w:r>
        <w:rPr>
          <w:rFonts w:ascii="Calibri" w:hAnsi="Calibri"/>
          <w:color w:val="auto"/>
        </w:rPr>
        <w:t>工艺生产布局，</w:t>
      </w:r>
      <w:r w:rsidR="002D0D82">
        <w:rPr>
          <w:rFonts w:ascii="Calibri" w:hAnsi="Calibri" w:hint="eastAsia"/>
          <w:color w:val="auto"/>
        </w:rPr>
        <w:t>一期</w:t>
      </w:r>
      <w:r w:rsidR="002D0D82">
        <w:rPr>
          <w:rFonts w:ascii="Calibri" w:hAnsi="Calibri"/>
          <w:color w:val="auto"/>
        </w:rPr>
        <w:t>二期工程在同一个生产车间，</w:t>
      </w:r>
      <w:r w:rsidR="00AE22DE">
        <w:rPr>
          <w:rFonts w:ascii="Calibri" w:hAnsi="Calibri" w:hint="eastAsia"/>
          <w:color w:val="auto"/>
        </w:rPr>
        <w:t>一期</w:t>
      </w:r>
      <w:r w:rsidR="00AE22DE">
        <w:rPr>
          <w:rFonts w:ascii="Calibri" w:hAnsi="Calibri"/>
          <w:color w:val="auto"/>
        </w:rPr>
        <w:t>、二期</w:t>
      </w:r>
      <w:r>
        <w:rPr>
          <w:rFonts w:ascii="Calibri" w:hAnsi="Calibri"/>
          <w:color w:val="auto"/>
        </w:rPr>
        <w:t>聚合</w:t>
      </w:r>
      <w:r>
        <w:rPr>
          <w:rFonts w:ascii="Calibri" w:hAnsi="Calibri" w:hint="eastAsia"/>
          <w:color w:val="auto"/>
        </w:rPr>
        <w:t>、</w:t>
      </w:r>
      <w:r w:rsidR="00AF5AB9">
        <w:rPr>
          <w:rFonts w:ascii="Calibri" w:hAnsi="Calibri" w:hint="eastAsia"/>
          <w:color w:val="auto"/>
        </w:rPr>
        <w:t>下料</w:t>
      </w:r>
      <w:r>
        <w:rPr>
          <w:rFonts w:ascii="Calibri" w:hAnsi="Calibri" w:hint="eastAsia"/>
          <w:color w:val="auto"/>
        </w:rPr>
        <w:t>过程</w:t>
      </w:r>
      <w:r>
        <w:rPr>
          <w:rFonts w:ascii="Calibri" w:hAnsi="Calibri"/>
          <w:color w:val="auto"/>
        </w:rPr>
        <w:t>中不凝气体</w:t>
      </w:r>
      <w:r>
        <w:rPr>
          <w:rFonts w:ascii="Calibri" w:hAnsi="Calibri" w:hint="eastAsia"/>
          <w:color w:val="auto"/>
        </w:rPr>
        <w:t>经</w:t>
      </w:r>
      <w:r>
        <w:rPr>
          <w:rFonts w:ascii="Calibri" w:hAnsi="Calibri"/>
          <w:color w:val="auto"/>
        </w:rPr>
        <w:t>管道引至</w:t>
      </w:r>
      <w:r>
        <w:rPr>
          <w:rFonts w:ascii="Calibri" w:hAnsi="Calibri" w:hint="eastAsia"/>
          <w:color w:val="auto"/>
        </w:rPr>
        <w:t>1</w:t>
      </w:r>
      <w:r w:rsidRPr="00B605A0">
        <w:rPr>
          <w:rFonts w:ascii="Calibri" w:hAnsi="Calibri" w:hint="eastAsia"/>
          <w:color w:val="auto"/>
        </w:rPr>
        <w:t>套</w:t>
      </w:r>
      <w:r w:rsidR="00582FE1">
        <w:rPr>
          <w:rFonts w:ascii="Calibri" w:hAnsi="Calibri" w:hint="eastAsia"/>
          <w:color w:val="auto"/>
        </w:rPr>
        <w:t>水喷淋塔</w:t>
      </w:r>
      <w:r w:rsidR="006E6CAF">
        <w:rPr>
          <w:rFonts w:ascii="Calibri" w:hAnsi="Calibri" w:hint="eastAsia"/>
          <w:color w:val="auto"/>
        </w:rPr>
        <w:t>+</w:t>
      </w:r>
      <w:r w:rsidR="006E6CAF">
        <w:rPr>
          <w:rFonts w:ascii="Calibri" w:hAnsi="Calibri" w:hint="eastAsia"/>
          <w:color w:val="auto"/>
        </w:rPr>
        <w:t>活性炭</w:t>
      </w:r>
      <w:r w:rsidR="006E6CAF">
        <w:rPr>
          <w:rFonts w:ascii="Calibri" w:hAnsi="Calibri"/>
          <w:color w:val="auto"/>
        </w:rPr>
        <w:t>吸附</w:t>
      </w:r>
      <w:r w:rsidR="00C30FD4">
        <w:rPr>
          <w:rFonts w:ascii="Calibri" w:hAnsi="Calibri" w:hint="eastAsia"/>
          <w:color w:val="auto"/>
        </w:rPr>
        <w:t>装置</w:t>
      </w:r>
      <w:r w:rsidR="00BB218B">
        <w:rPr>
          <w:rFonts w:ascii="Calibri" w:hAnsi="Calibri" w:hint="eastAsia"/>
          <w:color w:val="auto"/>
        </w:rPr>
        <w:t>进行</w:t>
      </w:r>
      <w:r w:rsidR="00BB218B">
        <w:rPr>
          <w:rFonts w:ascii="Calibri" w:hAnsi="Calibri"/>
          <w:color w:val="auto"/>
        </w:rPr>
        <w:t>处理，</w:t>
      </w:r>
      <w:r w:rsidR="00BB218B">
        <w:rPr>
          <w:rFonts w:ascii="Calibri" w:hAnsi="Calibri" w:hint="eastAsia"/>
          <w:color w:val="auto"/>
        </w:rPr>
        <w:t>处理达标</w:t>
      </w:r>
      <w:r w:rsidR="00BB218B">
        <w:rPr>
          <w:rFonts w:ascii="Calibri" w:hAnsi="Calibri"/>
          <w:color w:val="auto"/>
        </w:rPr>
        <w:t>后经</w:t>
      </w:r>
      <w:r w:rsidR="00BB218B">
        <w:rPr>
          <w:rFonts w:ascii="Calibri" w:hAnsi="Calibri" w:hint="eastAsia"/>
          <w:color w:val="auto"/>
        </w:rPr>
        <w:t>25</w:t>
      </w:r>
      <w:r w:rsidR="00BB218B">
        <w:rPr>
          <w:rFonts w:ascii="Calibri" w:hAnsi="Calibri"/>
          <w:color w:val="auto"/>
        </w:rPr>
        <w:t>m</w:t>
      </w:r>
      <w:r w:rsidR="00BB218B">
        <w:rPr>
          <w:rFonts w:ascii="Calibri" w:hAnsi="Calibri"/>
          <w:color w:val="auto"/>
        </w:rPr>
        <w:t>高</w:t>
      </w:r>
      <w:r w:rsidR="00BB218B">
        <w:rPr>
          <w:rFonts w:ascii="Calibri" w:hAnsi="Calibri" w:hint="eastAsia"/>
          <w:color w:val="auto"/>
        </w:rPr>
        <w:t>排气筒</w:t>
      </w:r>
      <w:r w:rsidR="00BB218B">
        <w:rPr>
          <w:rFonts w:ascii="Calibri" w:hAnsi="Calibri"/>
          <w:color w:val="auto"/>
        </w:rPr>
        <w:t>排放。</w:t>
      </w:r>
      <w:r w:rsidR="00BB218B">
        <w:rPr>
          <w:rFonts w:ascii="Calibri" w:hAnsi="Calibri" w:hint="eastAsia"/>
          <w:color w:val="auto"/>
        </w:rPr>
        <w:t>项目</w:t>
      </w:r>
      <w:r w:rsidR="00275C27">
        <w:rPr>
          <w:rFonts w:ascii="Calibri" w:hAnsi="Calibri" w:hint="eastAsia"/>
          <w:color w:val="auto"/>
        </w:rPr>
        <w:t>一期配套</w:t>
      </w:r>
      <w:r w:rsidR="00275C27">
        <w:rPr>
          <w:rFonts w:ascii="Calibri" w:hAnsi="Calibri"/>
          <w:color w:val="auto"/>
        </w:rPr>
        <w:t>风机风量</w:t>
      </w:r>
      <w:r w:rsidR="002D0D82">
        <w:rPr>
          <w:rFonts w:ascii="Calibri" w:hAnsi="Calibri"/>
          <w:color w:val="auto"/>
        </w:rPr>
        <w:t>3</w:t>
      </w:r>
      <w:r w:rsidR="00275C27">
        <w:rPr>
          <w:rFonts w:ascii="Calibri" w:hAnsi="Calibri" w:hint="eastAsia"/>
          <w:color w:val="auto"/>
        </w:rPr>
        <w:t>000</w:t>
      </w:r>
      <w:r w:rsidR="00275C27">
        <w:rPr>
          <w:rFonts w:ascii="Calibri" w:hAnsi="Calibri"/>
          <w:color w:val="auto"/>
        </w:rPr>
        <w:t>m</w:t>
      </w:r>
      <w:r w:rsidR="00275C27" w:rsidRPr="00275C27">
        <w:rPr>
          <w:rFonts w:ascii="Calibri" w:hAnsi="Calibri"/>
          <w:color w:val="auto"/>
          <w:vertAlign w:val="superscript"/>
        </w:rPr>
        <w:t>3</w:t>
      </w:r>
      <w:r w:rsidR="00275C27">
        <w:rPr>
          <w:rFonts w:ascii="Calibri" w:hAnsi="Calibri"/>
          <w:color w:val="auto"/>
        </w:rPr>
        <w:t>/h</w:t>
      </w:r>
      <w:r w:rsidR="00275C27">
        <w:rPr>
          <w:rFonts w:ascii="Calibri" w:hAnsi="Calibri" w:hint="eastAsia"/>
          <w:color w:val="auto"/>
        </w:rPr>
        <w:t>，</w:t>
      </w:r>
      <w:r w:rsidR="00275C27">
        <w:rPr>
          <w:rFonts w:ascii="Calibri" w:hAnsi="Calibri"/>
          <w:color w:val="auto"/>
        </w:rPr>
        <w:t>二期配套风机风量为</w:t>
      </w:r>
      <w:r w:rsidR="00275C27">
        <w:rPr>
          <w:rFonts w:ascii="Calibri" w:hAnsi="Calibri" w:hint="eastAsia"/>
          <w:color w:val="auto"/>
        </w:rPr>
        <w:t>2000</w:t>
      </w:r>
      <w:r w:rsidR="00275C27">
        <w:rPr>
          <w:rFonts w:ascii="Calibri" w:hAnsi="Calibri"/>
          <w:color w:val="auto"/>
        </w:rPr>
        <w:t>m</w:t>
      </w:r>
      <w:r w:rsidR="00275C27" w:rsidRPr="00275C27">
        <w:rPr>
          <w:rFonts w:ascii="Calibri" w:hAnsi="Calibri"/>
          <w:color w:val="auto"/>
          <w:vertAlign w:val="superscript"/>
        </w:rPr>
        <w:t>3</w:t>
      </w:r>
      <w:r w:rsidR="00275C27">
        <w:rPr>
          <w:rFonts w:ascii="Calibri" w:hAnsi="Calibri"/>
          <w:color w:val="auto"/>
        </w:rPr>
        <w:t>/h</w:t>
      </w:r>
      <w:r w:rsidR="00275C27">
        <w:rPr>
          <w:rFonts w:ascii="Calibri" w:hAnsi="Calibri" w:hint="eastAsia"/>
          <w:color w:val="auto"/>
        </w:rPr>
        <w:t>。</w:t>
      </w:r>
      <w:r>
        <w:rPr>
          <w:rFonts w:ascii="Calibri" w:hAnsi="Calibri" w:hint="eastAsia"/>
          <w:color w:val="auto"/>
        </w:rPr>
        <w:t>年运行时间</w:t>
      </w:r>
      <w:r>
        <w:rPr>
          <w:rFonts w:ascii="Calibri" w:hAnsi="Calibri" w:hint="eastAsia"/>
          <w:color w:val="auto"/>
        </w:rPr>
        <w:t>300</w:t>
      </w:r>
      <w:r>
        <w:rPr>
          <w:rFonts w:ascii="Calibri" w:hAnsi="Calibri"/>
          <w:color w:val="auto"/>
        </w:rPr>
        <w:t>d</w:t>
      </w:r>
      <w:r>
        <w:rPr>
          <w:rFonts w:ascii="Calibri" w:hAnsi="Calibri"/>
          <w:color w:val="auto"/>
        </w:rPr>
        <w:t>，每天运行</w:t>
      </w:r>
      <w:r>
        <w:rPr>
          <w:rFonts w:ascii="Calibri" w:hAnsi="Calibri" w:hint="eastAsia"/>
          <w:color w:val="auto"/>
        </w:rPr>
        <w:t>24</w:t>
      </w:r>
      <w:r>
        <w:rPr>
          <w:rFonts w:ascii="Calibri" w:hAnsi="Calibri"/>
          <w:color w:val="auto"/>
        </w:rPr>
        <w:t>h</w:t>
      </w:r>
      <w:r>
        <w:rPr>
          <w:rFonts w:ascii="Calibri" w:hAnsi="Calibri" w:hint="eastAsia"/>
          <w:color w:val="auto"/>
        </w:rPr>
        <w:t>。</w:t>
      </w:r>
      <w:r>
        <w:rPr>
          <w:rFonts w:ascii="Calibri" w:hAnsi="Calibri"/>
          <w:color w:val="auto"/>
        </w:rPr>
        <w:t>则</w:t>
      </w:r>
      <w:r>
        <w:rPr>
          <w:rFonts w:ascii="Calibri" w:hAnsi="Calibri" w:hint="eastAsia"/>
          <w:color w:val="auto"/>
        </w:rPr>
        <w:t>各</w:t>
      </w:r>
      <w:r>
        <w:rPr>
          <w:rFonts w:ascii="Calibri" w:hAnsi="Calibri"/>
          <w:color w:val="auto"/>
        </w:rPr>
        <w:t>污染物</w:t>
      </w:r>
      <w:r w:rsidR="00275C27">
        <w:rPr>
          <w:rFonts w:ascii="Calibri" w:hAnsi="Calibri" w:hint="eastAsia"/>
          <w:color w:val="auto"/>
        </w:rPr>
        <w:t>产情况</w:t>
      </w:r>
      <w:r w:rsidR="00275C27">
        <w:rPr>
          <w:rFonts w:ascii="Calibri" w:hAnsi="Calibri"/>
          <w:color w:val="auto"/>
        </w:rPr>
        <w:t>见表</w:t>
      </w:r>
      <w:r w:rsidR="00275C27">
        <w:rPr>
          <w:rFonts w:ascii="Calibri" w:hAnsi="Calibri" w:hint="eastAsia"/>
          <w:color w:val="auto"/>
        </w:rPr>
        <w:t>2.3-1</w:t>
      </w:r>
      <w:r w:rsidR="00275C27">
        <w:rPr>
          <w:rFonts w:ascii="Calibri" w:hAnsi="Calibri" w:hint="eastAsia"/>
          <w:color w:val="auto"/>
        </w:rPr>
        <w:t>。</w:t>
      </w:r>
    </w:p>
    <w:p w14:paraId="29FF2089" w14:textId="77777777" w:rsidR="000C0061" w:rsidRDefault="000C0061" w:rsidP="00E70109">
      <w:pPr>
        <w:pStyle w:val="00"/>
        <w:ind w:firstLineChars="250" w:firstLine="600"/>
        <w:rPr>
          <w:rFonts w:asciiTheme="minorHAnsi" w:eastAsia="黑体" w:hAnsi="黑体" w:cstheme="minorHAnsi"/>
        </w:rPr>
      </w:pPr>
    </w:p>
    <w:p w14:paraId="3B8FF146" w14:textId="77777777" w:rsidR="000C0061" w:rsidRDefault="000C0061" w:rsidP="00E70109">
      <w:pPr>
        <w:pStyle w:val="00"/>
        <w:ind w:firstLineChars="250" w:firstLine="600"/>
        <w:rPr>
          <w:rFonts w:asciiTheme="minorHAnsi" w:eastAsia="黑体" w:hAnsi="黑体" w:cstheme="minorHAnsi"/>
        </w:rPr>
      </w:pPr>
    </w:p>
    <w:p w14:paraId="1C27EB8A" w14:textId="77777777" w:rsidR="000C0061" w:rsidRDefault="000C0061" w:rsidP="00E70109">
      <w:pPr>
        <w:pStyle w:val="00"/>
        <w:ind w:firstLineChars="250" w:firstLine="600"/>
        <w:rPr>
          <w:rFonts w:asciiTheme="minorHAnsi" w:eastAsia="黑体" w:hAnsi="黑体" w:cstheme="minorHAnsi"/>
        </w:rPr>
      </w:pPr>
    </w:p>
    <w:p w14:paraId="0CFB3881" w14:textId="61F90752" w:rsidR="008C1537" w:rsidRDefault="008C1537" w:rsidP="00E70109">
      <w:pPr>
        <w:pStyle w:val="00"/>
        <w:ind w:firstLineChars="250" w:firstLine="600"/>
        <w:rPr>
          <w:rFonts w:asciiTheme="minorHAnsi" w:eastAsia="黑体" w:hAnsi="黑体" w:cstheme="minorHAnsi" w:hint="eastAsia"/>
        </w:rPr>
      </w:pPr>
    </w:p>
    <w:p w14:paraId="55D6D771" w14:textId="77777777" w:rsidR="002F2E6F" w:rsidRPr="00E70109" w:rsidRDefault="00E70109" w:rsidP="00CE1FD8">
      <w:pPr>
        <w:pStyle w:val="00"/>
        <w:ind w:firstLineChars="350" w:firstLine="840"/>
        <w:rPr>
          <w:rFonts w:asciiTheme="minorHAnsi" w:eastAsia="黑体" w:hAnsiTheme="minorHAnsi" w:cstheme="minorHAnsi"/>
        </w:rPr>
      </w:pPr>
      <w:r w:rsidRPr="00E70109">
        <w:rPr>
          <w:rFonts w:asciiTheme="minorHAnsi" w:eastAsia="黑体" w:hAnsi="黑体" w:cstheme="minorHAnsi"/>
        </w:rPr>
        <w:lastRenderedPageBreak/>
        <w:t>表</w:t>
      </w:r>
      <w:r w:rsidR="00275C27">
        <w:rPr>
          <w:rFonts w:asciiTheme="minorHAnsi" w:eastAsia="黑体" w:hAnsiTheme="minorHAnsi" w:cstheme="minorHAnsi"/>
        </w:rPr>
        <w:t>2.3-1</w:t>
      </w:r>
      <w:r w:rsidRPr="00E70109">
        <w:rPr>
          <w:rFonts w:asciiTheme="minorHAnsi" w:eastAsia="黑体" w:hAnsiTheme="minorHAnsi" w:cstheme="minorHAnsi"/>
        </w:rPr>
        <w:t xml:space="preserve">    </w:t>
      </w:r>
      <w:r w:rsidR="00FF70D6">
        <w:rPr>
          <w:rFonts w:asciiTheme="minorHAnsi" w:eastAsia="黑体" w:hAnsiTheme="minorHAnsi" w:cstheme="minorHAnsi"/>
        </w:rPr>
        <w:t xml:space="preserve"> </w:t>
      </w:r>
      <w:r w:rsidR="00636379">
        <w:rPr>
          <w:rFonts w:asciiTheme="minorHAnsi" w:eastAsia="黑体" w:hAnsiTheme="minorHAnsi" w:cstheme="minorHAnsi"/>
        </w:rPr>
        <w:t xml:space="preserve">     </w:t>
      </w:r>
      <w:r w:rsidR="00FF70D6">
        <w:rPr>
          <w:rFonts w:asciiTheme="minorHAnsi" w:eastAsia="黑体" w:hAnsiTheme="minorHAnsi" w:cstheme="minorHAnsi"/>
        </w:rPr>
        <w:t xml:space="preserve"> </w:t>
      </w:r>
      <w:r w:rsidRPr="00E70109">
        <w:rPr>
          <w:rFonts w:asciiTheme="minorHAnsi" w:eastAsia="黑体" w:hAnsi="黑体" w:cstheme="minorHAnsi"/>
        </w:rPr>
        <w:t>本项目污染物产排污情况一览表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602"/>
        <w:gridCol w:w="1087"/>
        <w:gridCol w:w="854"/>
        <w:gridCol w:w="714"/>
        <w:gridCol w:w="552"/>
        <w:gridCol w:w="1205"/>
        <w:gridCol w:w="1254"/>
        <w:gridCol w:w="854"/>
        <w:gridCol w:w="578"/>
      </w:tblGrid>
      <w:tr w:rsidR="00AE22DE" w:rsidRPr="00CE1FD8" w14:paraId="13213C7C" w14:textId="77777777" w:rsidTr="00046C54">
        <w:trPr>
          <w:trHeight w:val="343"/>
          <w:jc w:val="center"/>
        </w:trPr>
        <w:tc>
          <w:tcPr>
            <w:tcW w:w="925" w:type="pct"/>
            <w:vMerge w:val="restart"/>
            <w:tcBorders>
              <w:top w:val="single" w:sz="12" w:space="0" w:color="auto"/>
              <w:left w:val="single" w:sz="12" w:space="0" w:color="auto"/>
              <w:bottom w:val="single" w:sz="2" w:space="0" w:color="auto"/>
            </w:tcBorders>
            <w:tcMar>
              <w:left w:w="85" w:type="dxa"/>
              <w:right w:w="85" w:type="dxa"/>
            </w:tcMar>
            <w:vAlign w:val="center"/>
          </w:tcPr>
          <w:p w14:paraId="2E13FC9E" w14:textId="77777777" w:rsidR="00275C27" w:rsidRPr="00CE1FD8" w:rsidRDefault="00275C27" w:rsidP="009E2A4A">
            <w:pPr>
              <w:jc w:val="center"/>
              <w:rPr>
                <w:rFonts w:ascii="Calibri" w:hAnsi="Calibri"/>
                <w:b/>
                <w:szCs w:val="21"/>
                <w:u w:val="single"/>
              </w:rPr>
            </w:pPr>
            <w:r w:rsidRPr="00CE1FD8">
              <w:rPr>
                <w:rFonts w:ascii="Calibri" w:hAnsi="Calibri" w:hint="eastAsia"/>
                <w:b/>
                <w:szCs w:val="21"/>
                <w:u w:val="single"/>
              </w:rPr>
              <w:t>污染物</w:t>
            </w:r>
          </w:p>
        </w:tc>
        <w:tc>
          <w:tcPr>
            <w:tcW w:w="1097" w:type="pct"/>
            <w:gridSpan w:val="2"/>
            <w:tcBorders>
              <w:top w:val="single" w:sz="12" w:space="0" w:color="auto"/>
              <w:bottom w:val="single" w:sz="2" w:space="0" w:color="auto"/>
              <w:right w:val="single" w:sz="4" w:space="0" w:color="auto"/>
            </w:tcBorders>
            <w:tcMar>
              <w:left w:w="85" w:type="dxa"/>
              <w:right w:w="85" w:type="dxa"/>
            </w:tcMar>
            <w:vAlign w:val="center"/>
          </w:tcPr>
          <w:p w14:paraId="4FCF08D2" w14:textId="77777777" w:rsidR="00275C27" w:rsidRPr="00CE1FD8" w:rsidRDefault="00275C27" w:rsidP="00275C27">
            <w:pPr>
              <w:jc w:val="center"/>
              <w:rPr>
                <w:rFonts w:ascii="Calibri" w:hAnsi="Calibri"/>
                <w:b/>
                <w:szCs w:val="21"/>
                <w:u w:val="single"/>
              </w:rPr>
            </w:pPr>
            <w:r w:rsidRPr="00CE1FD8">
              <w:rPr>
                <w:rFonts w:ascii="Calibri" w:hAnsi="Calibri"/>
                <w:b/>
                <w:szCs w:val="21"/>
                <w:u w:val="single"/>
              </w:rPr>
              <w:t>产生情况</w:t>
            </w:r>
          </w:p>
        </w:tc>
        <w:tc>
          <w:tcPr>
            <w:tcW w:w="415" w:type="pct"/>
            <w:vMerge w:val="restart"/>
            <w:tcBorders>
              <w:top w:val="single" w:sz="12" w:space="0" w:color="auto"/>
              <w:left w:val="single" w:sz="4" w:space="0" w:color="auto"/>
              <w:bottom w:val="single" w:sz="2" w:space="0" w:color="auto"/>
            </w:tcBorders>
            <w:tcMar>
              <w:left w:w="85" w:type="dxa"/>
              <w:right w:w="85" w:type="dxa"/>
            </w:tcMar>
            <w:vAlign w:val="center"/>
          </w:tcPr>
          <w:p w14:paraId="54924ECF"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治理措施</w:t>
            </w:r>
          </w:p>
        </w:tc>
        <w:tc>
          <w:tcPr>
            <w:tcW w:w="322" w:type="pct"/>
            <w:vMerge w:val="restart"/>
            <w:tcBorders>
              <w:top w:val="single" w:sz="12" w:space="0" w:color="auto"/>
              <w:left w:val="single" w:sz="4" w:space="0" w:color="auto"/>
              <w:right w:val="single" w:sz="4" w:space="0" w:color="auto"/>
            </w:tcBorders>
            <w:vAlign w:val="center"/>
          </w:tcPr>
          <w:p w14:paraId="0BE631F8" w14:textId="77777777" w:rsidR="00275C27" w:rsidRPr="00CE1FD8" w:rsidRDefault="00275C27" w:rsidP="009E2A4A">
            <w:pPr>
              <w:jc w:val="center"/>
              <w:rPr>
                <w:rFonts w:ascii="Calibri" w:hAnsi="Calibri"/>
                <w:b/>
                <w:szCs w:val="21"/>
                <w:u w:val="single"/>
              </w:rPr>
            </w:pPr>
            <w:r w:rsidRPr="00CE1FD8">
              <w:rPr>
                <w:rFonts w:ascii="Calibri" w:hAnsi="Calibri" w:hint="eastAsia"/>
                <w:b/>
                <w:szCs w:val="21"/>
                <w:u w:val="single"/>
              </w:rPr>
              <w:t>处理效率</w:t>
            </w:r>
          </w:p>
        </w:tc>
        <w:tc>
          <w:tcPr>
            <w:tcW w:w="1905" w:type="pct"/>
            <w:gridSpan w:val="3"/>
            <w:tcBorders>
              <w:top w:val="single" w:sz="12" w:space="0" w:color="auto"/>
              <w:left w:val="single" w:sz="4" w:space="0" w:color="auto"/>
              <w:bottom w:val="single" w:sz="2" w:space="0" w:color="auto"/>
            </w:tcBorders>
            <w:tcMar>
              <w:left w:w="85" w:type="dxa"/>
              <w:right w:w="85" w:type="dxa"/>
            </w:tcMar>
            <w:vAlign w:val="center"/>
          </w:tcPr>
          <w:p w14:paraId="1917B79C"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排放情况</w:t>
            </w:r>
          </w:p>
        </w:tc>
        <w:tc>
          <w:tcPr>
            <w:tcW w:w="336" w:type="pct"/>
            <w:tcBorders>
              <w:top w:val="single" w:sz="12" w:space="0" w:color="auto"/>
              <w:left w:val="single" w:sz="4" w:space="0" w:color="auto"/>
              <w:bottom w:val="single" w:sz="4" w:space="0" w:color="auto"/>
            </w:tcBorders>
            <w:vAlign w:val="center"/>
          </w:tcPr>
          <w:p w14:paraId="3DEB9E35" w14:textId="77777777" w:rsidR="00275C27" w:rsidRPr="00CE1FD8" w:rsidRDefault="00275C27" w:rsidP="009E2A4A">
            <w:pPr>
              <w:jc w:val="center"/>
              <w:rPr>
                <w:rFonts w:ascii="Calibri" w:hAnsi="Calibri"/>
                <w:b/>
                <w:szCs w:val="21"/>
                <w:u w:val="single"/>
              </w:rPr>
            </w:pPr>
            <w:r w:rsidRPr="00CE1FD8">
              <w:rPr>
                <w:rFonts w:ascii="Calibri" w:hAnsi="Calibri" w:hint="eastAsia"/>
                <w:b/>
                <w:szCs w:val="21"/>
                <w:u w:val="single"/>
              </w:rPr>
              <w:t>标准</w:t>
            </w:r>
          </w:p>
        </w:tc>
      </w:tr>
      <w:tr w:rsidR="00C77399" w:rsidRPr="00CE1FD8" w14:paraId="46C9164A" w14:textId="77777777" w:rsidTr="00046C54">
        <w:trPr>
          <w:trHeight w:val="343"/>
          <w:jc w:val="center"/>
        </w:trPr>
        <w:tc>
          <w:tcPr>
            <w:tcW w:w="925" w:type="pct"/>
            <w:vMerge/>
            <w:tcBorders>
              <w:top w:val="single" w:sz="2" w:space="0" w:color="auto"/>
              <w:left w:val="single" w:sz="12" w:space="0" w:color="auto"/>
              <w:bottom w:val="single" w:sz="2" w:space="0" w:color="auto"/>
            </w:tcBorders>
            <w:tcMar>
              <w:left w:w="85" w:type="dxa"/>
              <w:right w:w="85" w:type="dxa"/>
            </w:tcMar>
            <w:vAlign w:val="center"/>
          </w:tcPr>
          <w:p w14:paraId="7D1A23BB" w14:textId="77777777" w:rsidR="00275C27" w:rsidRPr="00CE1FD8" w:rsidRDefault="00275C27" w:rsidP="009E2A4A">
            <w:pPr>
              <w:jc w:val="center"/>
              <w:rPr>
                <w:rFonts w:ascii="Calibri" w:hAnsi="Calibri"/>
                <w:b/>
                <w:szCs w:val="21"/>
                <w:u w:val="single"/>
              </w:rPr>
            </w:pPr>
          </w:p>
        </w:tc>
        <w:tc>
          <w:tcPr>
            <w:tcW w:w="615" w:type="pct"/>
            <w:tcBorders>
              <w:top w:val="single" w:sz="2" w:space="0" w:color="auto"/>
              <w:bottom w:val="single" w:sz="2" w:space="0" w:color="auto"/>
              <w:right w:val="single" w:sz="4" w:space="0" w:color="auto"/>
            </w:tcBorders>
            <w:tcMar>
              <w:left w:w="28" w:type="dxa"/>
              <w:right w:w="28" w:type="dxa"/>
            </w:tcMar>
            <w:vAlign w:val="center"/>
          </w:tcPr>
          <w:p w14:paraId="6ED9B019" w14:textId="77777777" w:rsidR="00275C27" w:rsidRPr="00CE1FD8" w:rsidRDefault="00275C27" w:rsidP="009E2A4A">
            <w:pPr>
              <w:jc w:val="center"/>
              <w:rPr>
                <w:rFonts w:ascii="Calibri" w:hAnsi="Calibri"/>
                <w:b/>
                <w:szCs w:val="21"/>
                <w:u w:val="single"/>
              </w:rPr>
            </w:pPr>
            <w:r w:rsidRPr="00CE1FD8">
              <w:rPr>
                <w:rFonts w:ascii="Calibri" w:hAnsi="Calibri" w:hint="eastAsia"/>
                <w:b/>
                <w:szCs w:val="21"/>
                <w:u w:val="single"/>
              </w:rPr>
              <w:t>最大</w:t>
            </w:r>
            <w:r w:rsidRPr="00CE1FD8">
              <w:rPr>
                <w:rFonts w:ascii="Calibri" w:hAnsi="Calibri"/>
                <w:b/>
                <w:szCs w:val="21"/>
                <w:u w:val="single"/>
              </w:rPr>
              <w:t>产</w:t>
            </w:r>
          </w:p>
          <w:p w14:paraId="30458FF7"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生浓度</w:t>
            </w:r>
          </w:p>
          <w:p w14:paraId="77B0CB52"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w:t>
            </w:r>
            <w:r w:rsidRPr="00CE1FD8">
              <w:rPr>
                <w:rFonts w:ascii="Calibri" w:hAnsi="Calibri"/>
                <w:b/>
                <w:szCs w:val="21"/>
                <w:u w:val="single"/>
              </w:rPr>
              <w:t>mg/m</w:t>
            </w:r>
            <w:r w:rsidRPr="00CE1FD8">
              <w:rPr>
                <w:rFonts w:ascii="Calibri" w:hAnsi="Calibri"/>
                <w:b/>
                <w:szCs w:val="21"/>
                <w:u w:val="single"/>
                <w:vertAlign w:val="superscript"/>
              </w:rPr>
              <w:t>3</w:t>
            </w:r>
            <w:r w:rsidRPr="00CE1FD8">
              <w:rPr>
                <w:rFonts w:ascii="Calibri" w:hAnsi="Calibri"/>
                <w:b/>
                <w:szCs w:val="21"/>
                <w:u w:val="single"/>
              </w:rPr>
              <w:t>）</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54750BC3"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产生量</w:t>
            </w:r>
          </w:p>
          <w:p w14:paraId="29512529"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w:t>
            </w:r>
            <w:r w:rsidRPr="00CE1FD8">
              <w:rPr>
                <w:rFonts w:ascii="Calibri" w:hAnsi="Calibri" w:hint="eastAsia"/>
                <w:b/>
                <w:szCs w:val="21"/>
                <w:u w:val="single"/>
              </w:rPr>
              <w:t>t</w:t>
            </w:r>
            <w:r w:rsidRPr="00CE1FD8">
              <w:rPr>
                <w:rFonts w:ascii="Calibri" w:hAnsi="Calibri"/>
                <w:b/>
                <w:szCs w:val="21"/>
                <w:u w:val="single"/>
              </w:rPr>
              <w:t>/a</w:t>
            </w:r>
            <w:r w:rsidRPr="00CE1FD8">
              <w:rPr>
                <w:rFonts w:ascii="Calibri" w:hAnsi="Calibri"/>
                <w:b/>
                <w:szCs w:val="21"/>
                <w:u w:val="single"/>
              </w:rPr>
              <w:t>）</w:t>
            </w:r>
          </w:p>
        </w:tc>
        <w:tc>
          <w:tcPr>
            <w:tcW w:w="415" w:type="pct"/>
            <w:vMerge/>
            <w:tcBorders>
              <w:top w:val="single" w:sz="2" w:space="0" w:color="auto"/>
              <w:left w:val="single" w:sz="4" w:space="0" w:color="auto"/>
              <w:bottom w:val="single" w:sz="2" w:space="0" w:color="auto"/>
            </w:tcBorders>
            <w:tcMar>
              <w:left w:w="85" w:type="dxa"/>
              <w:right w:w="85" w:type="dxa"/>
            </w:tcMar>
            <w:vAlign w:val="center"/>
          </w:tcPr>
          <w:p w14:paraId="290B7043" w14:textId="77777777" w:rsidR="00275C27" w:rsidRPr="00CE1FD8" w:rsidRDefault="00275C27" w:rsidP="009E2A4A">
            <w:pPr>
              <w:jc w:val="center"/>
              <w:rPr>
                <w:rFonts w:ascii="Calibri" w:hAnsi="Calibri"/>
                <w:b/>
                <w:szCs w:val="21"/>
                <w:u w:val="single"/>
              </w:rPr>
            </w:pPr>
          </w:p>
        </w:tc>
        <w:tc>
          <w:tcPr>
            <w:tcW w:w="322" w:type="pct"/>
            <w:vMerge/>
            <w:tcBorders>
              <w:left w:val="single" w:sz="4" w:space="0" w:color="auto"/>
              <w:bottom w:val="single" w:sz="2" w:space="0" w:color="auto"/>
              <w:right w:val="single" w:sz="4" w:space="0" w:color="auto"/>
            </w:tcBorders>
            <w:tcMar>
              <w:left w:w="85" w:type="dxa"/>
              <w:right w:w="85" w:type="dxa"/>
            </w:tcMar>
            <w:vAlign w:val="center"/>
          </w:tcPr>
          <w:p w14:paraId="36DE7010" w14:textId="77777777" w:rsidR="00275C27" w:rsidRPr="00CE1FD8" w:rsidRDefault="00275C27" w:rsidP="009E2A4A">
            <w:pPr>
              <w:jc w:val="center"/>
              <w:rPr>
                <w:rFonts w:ascii="Calibri" w:hAnsi="Calibri"/>
                <w:b/>
                <w:szCs w:val="21"/>
                <w:u w:val="single"/>
              </w:rPr>
            </w:pPr>
          </w:p>
        </w:tc>
        <w:tc>
          <w:tcPr>
            <w:tcW w:w="697" w:type="pct"/>
            <w:tcBorders>
              <w:top w:val="single" w:sz="2" w:space="0" w:color="auto"/>
              <w:left w:val="single" w:sz="4" w:space="0" w:color="auto"/>
              <w:bottom w:val="single" w:sz="2" w:space="0" w:color="auto"/>
            </w:tcBorders>
            <w:tcMar>
              <w:left w:w="85" w:type="dxa"/>
              <w:right w:w="85" w:type="dxa"/>
            </w:tcMar>
            <w:vAlign w:val="center"/>
          </w:tcPr>
          <w:p w14:paraId="0E7DF8B9" w14:textId="77777777" w:rsidR="00275C27" w:rsidRPr="00CE1FD8" w:rsidRDefault="00275C27" w:rsidP="00387347">
            <w:pPr>
              <w:rPr>
                <w:rFonts w:ascii="Calibri" w:hAnsi="Calibri"/>
                <w:b/>
                <w:szCs w:val="21"/>
                <w:u w:val="single"/>
              </w:rPr>
            </w:pPr>
            <w:r w:rsidRPr="00CE1FD8">
              <w:rPr>
                <w:rFonts w:ascii="Calibri" w:hAnsi="Calibri" w:hint="eastAsia"/>
                <w:b/>
                <w:szCs w:val="21"/>
                <w:u w:val="single"/>
              </w:rPr>
              <w:t>最大</w:t>
            </w:r>
            <w:r w:rsidRPr="00CE1FD8">
              <w:rPr>
                <w:rFonts w:ascii="Calibri" w:hAnsi="Calibri"/>
                <w:b/>
                <w:szCs w:val="21"/>
                <w:u w:val="single"/>
              </w:rPr>
              <w:t>排放浓度（</w:t>
            </w:r>
            <w:r w:rsidRPr="00CE1FD8">
              <w:rPr>
                <w:rFonts w:ascii="Calibri" w:hAnsi="Calibri"/>
                <w:b/>
                <w:szCs w:val="21"/>
                <w:u w:val="single"/>
              </w:rPr>
              <w:t>mg/m</w:t>
            </w:r>
            <w:r w:rsidRPr="00CE1FD8">
              <w:rPr>
                <w:rFonts w:ascii="Calibri" w:hAnsi="Calibri"/>
                <w:b/>
                <w:szCs w:val="21"/>
                <w:u w:val="single"/>
                <w:vertAlign w:val="superscript"/>
              </w:rPr>
              <w:t>3</w:t>
            </w:r>
            <w:r w:rsidRPr="00CE1FD8">
              <w:rPr>
                <w:rFonts w:ascii="Calibri" w:hAnsi="Calibri"/>
                <w:b/>
                <w:szCs w:val="21"/>
                <w:u w:val="single"/>
              </w:rPr>
              <w:t>）</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11BB7BB2" w14:textId="77777777" w:rsidR="00275C27" w:rsidRPr="00CE1FD8" w:rsidRDefault="00275C27" w:rsidP="00387347">
            <w:pPr>
              <w:rPr>
                <w:rFonts w:ascii="Calibri" w:hAnsi="Calibri"/>
                <w:b/>
                <w:szCs w:val="21"/>
                <w:u w:val="single"/>
              </w:rPr>
            </w:pPr>
            <w:r w:rsidRPr="00CE1FD8">
              <w:rPr>
                <w:rFonts w:ascii="Calibri" w:hAnsi="Calibri" w:hint="eastAsia"/>
                <w:b/>
                <w:szCs w:val="21"/>
                <w:u w:val="single"/>
              </w:rPr>
              <w:t>最大排放速率（</w:t>
            </w:r>
            <w:r w:rsidRPr="00CE1FD8">
              <w:rPr>
                <w:rFonts w:ascii="Calibri" w:hAnsi="Calibri" w:hint="eastAsia"/>
                <w:b/>
                <w:szCs w:val="21"/>
                <w:u w:val="single"/>
              </w:rPr>
              <w:t>kg/h</w:t>
            </w:r>
            <w:r w:rsidRPr="00CE1FD8">
              <w:rPr>
                <w:rFonts w:ascii="Calibri" w:hAnsi="Calibri" w:hint="eastAsia"/>
                <w:b/>
                <w:szCs w:val="21"/>
                <w:u w:val="single"/>
              </w:rPr>
              <w:t>）</w:t>
            </w:r>
          </w:p>
        </w:tc>
        <w:tc>
          <w:tcPr>
            <w:tcW w:w="483" w:type="pct"/>
            <w:tcBorders>
              <w:top w:val="single" w:sz="4" w:space="0" w:color="auto"/>
              <w:left w:val="single" w:sz="4" w:space="0" w:color="auto"/>
              <w:bottom w:val="single" w:sz="2" w:space="0" w:color="auto"/>
            </w:tcBorders>
            <w:tcMar>
              <w:left w:w="85" w:type="dxa"/>
              <w:right w:w="85" w:type="dxa"/>
            </w:tcMar>
            <w:vAlign w:val="center"/>
          </w:tcPr>
          <w:p w14:paraId="60850EC3"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排放量</w:t>
            </w:r>
          </w:p>
          <w:p w14:paraId="6B944A65" w14:textId="77777777" w:rsidR="00275C27" w:rsidRPr="00CE1FD8" w:rsidRDefault="00275C27" w:rsidP="009E2A4A">
            <w:pPr>
              <w:jc w:val="center"/>
              <w:rPr>
                <w:rFonts w:ascii="Calibri" w:hAnsi="Calibri"/>
                <w:b/>
                <w:szCs w:val="21"/>
                <w:u w:val="single"/>
              </w:rPr>
            </w:pPr>
            <w:r w:rsidRPr="00CE1FD8">
              <w:rPr>
                <w:rFonts w:ascii="Calibri" w:hAnsi="Calibri"/>
                <w:b/>
                <w:szCs w:val="21"/>
                <w:u w:val="single"/>
              </w:rPr>
              <w:t>（</w:t>
            </w:r>
            <w:r w:rsidRPr="00CE1FD8">
              <w:rPr>
                <w:rFonts w:ascii="Calibri" w:hAnsi="Calibri" w:hint="eastAsia"/>
                <w:b/>
                <w:szCs w:val="21"/>
                <w:u w:val="single"/>
              </w:rPr>
              <w:t>t</w:t>
            </w:r>
            <w:r w:rsidRPr="00CE1FD8">
              <w:rPr>
                <w:rFonts w:ascii="Calibri" w:hAnsi="Calibri"/>
                <w:b/>
                <w:szCs w:val="21"/>
                <w:u w:val="single"/>
              </w:rPr>
              <w:t>/a</w:t>
            </w:r>
            <w:r w:rsidRPr="00CE1FD8">
              <w:rPr>
                <w:rFonts w:ascii="Calibri" w:hAnsi="Calibri"/>
                <w:b/>
                <w:szCs w:val="21"/>
                <w:u w:val="single"/>
              </w:rPr>
              <w:t>）</w:t>
            </w:r>
          </w:p>
        </w:tc>
        <w:tc>
          <w:tcPr>
            <w:tcW w:w="336" w:type="pct"/>
            <w:tcBorders>
              <w:top w:val="single" w:sz="4" w:space="0" w:color="auto"/>
              <w:left w:val="single" w:sz="4" w:space="0" w:color="auto"/>
              <w:bottom w:val="single" w:sz="2" w:space="0" w:color="auto"/>
            </w:tcBorders>
            <w:vAlign w:val="center"/>
          </w:tcPr>
          <w:p w14:paraId="32F6F2B0" w14:textId="77777777" w:rsidR="00275C27" w:rsidRPr="00CE1FD8" w:rsidRDefault="00275C27" w:rsidP="009E2A4A">
            <w:pPr>
              <w:jc w:val="center"/>
              <w:rPr>
                <w:rFonts w:ascii="Calibri" w:hAnsi="Calibri"/>
                <w:b/>
                <w:szCs w:val="21"/>
                <w:u w:val="single"/>
              </w:rPr>
            </w:pPr>
            <w:r w:rsidRPr="00CE1FD8">
              <w:rPr>
                <w:rFonts w:ascii="Calibri" w:hAnsi="Calibri" w:hint="eastAsia"/>
                <w:b/>
                <w:szCs w:val="21"/>
                <w:u w:val="single"/>
              </w:rPr>
              <w:t>浓度</w:t>
            </w:r>
          </w:p>
        </w:tc>
      </w:tr>
      <w:tr w:rsidR="00275C27" w:rsidRPr="00CE1FD8" w14:paraId="74221ACC" w14:textId="77777777" w:rsidTr="00AE22DE">
        <w:trPr>
          <w:trHeight w:val="343"/>
          <w:jc w:val="center"/>
        </w:trPr>
        <w:tc>
          <w:tcPr>
            <w:tcW w:w="5000" w:type="pct"/>
            <w:gridSpan w:val="9"/>
            <w:tcBorders>
              <w:top w:val="single" w:sz="2" w:space="0" w:color="auto"/>
              <w:left w:val="single" w:sz="12" w:space="0" w:color="auto"/>
              <w:bottom w:val="single" w:sz="2" w:space="0" w:color="auto"/>
            </w:tcBorders>
            <w:tcMar>
              <w:left w:w="85" w:type="dxa"/>
              <w:right w:w="85" w:type="dxa"/>
            </w:tcMar>
            <w:vAlign w:val="center"/>
          </w:tcPr>
          <w:p w14:paraId="2B68F23F" w14:textId="77777777" w:rsidR="00275C27" w:rsidRPr="00CE1FD8" w:rsidRDefault="00275C27" w:rsidP="00C77399">
            <w:pPr>
              <w:jc w:val="center"/>
              <w:rPr>
                <w:rFonts w:ascii="Calibri" w:hAnsi="Calibri"/>
                <w:b/>
                <w:szCs w:val="21"/>
                <w:u w:val="single"/>
              </w:rPr>
            </w:pPr>
            <w:r w:rsidRPr="00CE1FD8">
              <w:rPr>
                <w:rFonts w:ascii="Calibri" w:hAnsi="Calibri" w:hint="eastAsia"/>
                <w:b/>
                <w:szCs w:val="21"/>
                <w:u w:val="single"/>
              </w:rPr>
              <w:t>一期</w:t>
            </w:r>
            <w:r w:rsidRPr="00CE1FD8">
              <w:rPr>
                <w:rFonts w:ascii="Calibri" w:hAnsi="Calibri"/>
                <w:b/>
                <w:szCs w:val="21"/>
                <w:u w:val="single"/>
              </w:rPr>
              <w:t>工程</w:t>
            </w:r>
            <w:r w:rsidR="00C77399" w:rsidRPr="00CE1FD8">
              <w:rPr>
                <w:rFonts w:ascii="Calibri" w:hAnsi="Calibri"/>
                <w:b/>
                <w:szCs w:val="21"/>
                <w:u w:val="single"/>
              </w:rPr>
              <w:t>废气</w:t>
            </w:r>
          </w:p>
        </w:tc>
      </w:tr>
      <w:tr w:rsidR="006E6CAF" w:rsidRPr="00CE1FD8" w14:paraId="3FC12D00" w14:textId="77777777" w:rsidTr="00046C54">
        <w:trPr>
          <w:trHeight w:val="434"/>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5B6B01FD" w14:textId="77777777" w:rsidR="006E6CAF" w:rsidRPr="00CE1FD8" w:rsidRDefault="006E6CAF" w:rsidP="009E2A4A">
            <w:pPr>
              <w:jc w:val="center"/>
              <w:rPr>
                <w:rFonts w:ascii="Calibri" w:hAnsi="Calibri"/>
                <w:b/>
                <w:szCs w:val="21"/>
                <w:u w:val="single"/>
              </w:rPr>
            </w:pPr>
            <w:r w:rsidRPr="00CE1FD8">
              <w:rPr>
                <w:rFonts w:ascii="Calibri" w:hAnsi="Calibri" w:hint="eastAsia"/>
                <w:b/>
                <w:szCs w:val="21"/>
                <w:u w:val="single"/>
              </w:rPr>
              <w:t>己二胺</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333826BF" w14:textId="77777777" w:rsidR="006E6CAF" w:rsidRPr="00CE1FD8" w:rsidRDefault="00770B51" w:rsidP="009057D7">
            <w:pPr>
              <w:jc w:val="center"/>
              <w:rPr>
                <w:rFonts w:ascii="Calibri" w:hAnsi="Calibri"/>
                <w:b/>
                <w:szCs w:val="21"/>
                <w:u w:val="single"/>
              </w:rPr>
            </w:pPr>
            <w:r w:rsidRPr="00CE1FD8">
              <w:rPr>
                <w:rFonts w:ascii="Calibri" w:hAnsi="Calibri" w:hint="eastAsia"/>
                <w:b/>
                <w:szCs w:val="21"/>
                <w:u w:val="single"/>
              </w:rPr>
              <w:t>101.39</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0C332D14" w14:textId="77777777" w:rsidR="006E6CAF" w:rsidRPr="00CE1FD8" w:rsidRDefault="005D52DF" w:rsidP="005D52DF">
            <w:pPr>
              <w:jc w:val="center"/>
              <w:rPr>
                <w:rFonts w:ascii="Calibri" w:hAnsi="Calibri"/>
                <w:b/>
                <w:szCs w:val="21"/>
                <w:u w:val="single"/>
              </w:rPr>
            </w:pPr>
            <w:r w:rsidRPr="00CE1FD8">
              <w:rPr>
                <w:rFonts w:ascii="Calibri" w:hAnsi="Calibri"/>
                <w:b/>
                <w:szCs w:val="21"/>
                <w:u w:val="single"/>
              </w:rPr>
              <w:t>2.19</w:t>
            </w:r>
          </w:p>
        </w:tc>
        <w:tc>
          <w:tcPr>
            <w:tcW w:w="415" w:type="pct"/>
            <w:vMerge w:val="restart"/>
            <w:tcBorders>
              <w:top w:val="single" w:sz="2" w:space="0" w:color="auto"/>
              <w:left w:val="single" w:sz="4" w:space="0" w:color="auto"/>
            </w:tcBorders>
            <w:tcMar>
              <w:left w:w="85" w:type="dxa"/>
              <w:right w:w="85" w:type="dxa"/>
            </w:tcMar>
            <w:vAlign w:val="center"/>
          </w:tcPr>
          <w:p w14:paraId="22551AE1" w14:textId="31E05249" w:rsidR="006E6CAF" w:rsidRPr="00CE1FD8" w:rsidRDefault="00582FE1" w:rsidP="008C1537">
            <w:pPr>
              <w:jc w:val="center"/>
              <w:rPr>
                <w:rFonts w:ascii="Calibri" w:hAnsi="Calibri"/>
                <w:b/>
                <w:szCs w:val="21"/>
                <w:u w:val="single"/>
              </w:rPr>
            </w:pPr>
            <w:r w:rsidRPr="00CE1FD8">
              <w:rPr>
                <w:rFonts w:ascii="Calibri" w:hAnsi="Calibri" w:hint="eastAsia"/>
                <w:b/>
                <w:color w:val="auto"/>
                <w:u w:val="single"/>
              </w:rPr>
              <w:t>水喷淋塔</w:t>
            </w:r>
            <w:r w:rsidR="006E6CAF" w:rsidRPr="00CE1FD8">
              <w:rPr>
                <w:rFonts w:ascii="Calibri" w:hAnsi="Calibri" w:hint="eastAsia"/>
                <w:b/>
                <w:color w:val="auto"/>
                <w:u w:val="single"/>
              </w:rPr>
              <w:t>+</w:t>
            </w:r>
            <w:r w:rsidR="006E6CAF" w:rsidRPr="00CE1FD8">
              <w:rPr>
                <w:rFonts w:ascii="Calibri" w:hAnsi="Calibri" w:hint="eastAsia"/>
                <w:b/>
                <w:color w:val="auto"/>
                <w:u w:val="single"/>
              </w:rPr>
              <w:t>活性炭</w:t>
            </w:r>
            <w:r w:rsidR="006E6CAF" w:rsidRPr="00CE1FD8">
              <w:rPr>
                <w:rFonts w:ascii="Calibri" w:hAnsi="Calibri"/>
                <w:b/>
                <w:color w:val="auto"/>
                <w:u w:val="single"/>
              </w:rPr>
              <w:t>吸附</w:t>
            </w:r>
            <w:r w:rsidR="006E6CAF" w:rsidRPr="00CE1FD8">
              <w:rPr>
                <w:rFonts w:ascii="Calibri" w:hAnsi="Calibri" w:hint="eastAsia"/>
                <w:b/>
                <w:color w:val="auto"/>
                <w:u w:val="single"/>
              </w:rPr>
              <w:t>装置</w:t>
            </w:r>
          </w:p>
        </w:tc>
        <w:tc>
          <w:tcPr>
            <w:tcW w:w="322" w:type="pct"/>
            <w:tcBorders>
              <w:top w:val="single" w:sz="2" w:space="0" w:color="auto"/>
              <w:left w:val="single" w:sz="4" w:space="0" w:color="auto"/>
              <w:right w:val="single" w:sz="4" w:space="0" w:color="auto"/>
            </w:tcBorders>
            <w:tcMar>
              <w:left w:w="85" w:type="dxa"/>
              <w:right w:w="85" w:type="dxa"/>
            </w:tcMar>
            <w:vAlign w:val="center"/>
          </w:tcPr>
          <w:p w14:paraId="35F4EF93" w14:textId="77777777" w:rsidR="006E6CAF" w:rsidRPr="00CE1FD8" w:rsidRDefault="006E6CAF" w:rsidP="00DB15D3">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109798F8" w14:textId="77777777" w:rsidR="006E6CAF" w:rsidRPr="00CE1FD8" w:rsidRDefault="00770B51" w:rsidP="00A7690B">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10.14</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22D42F46" w14:textId="77777777" w:rsidR="006E6CAF" w:rsidRPr="00CE1FD8" w:rsidRDefault="00FC027B" w:rsidP="00FC027B">
            <w:pPr>
              <w:jc w:val="center"/>
              <w:rPr>
                <w:rFonts w:ascii="Calibri" w:hAnsi="Calibri"/>
                <w:b/>
                <w:color w:val="auto"/>
                <w:szCs w:val="21"/>
                <w:u w:val="single"/>
              </w:rPr>
            </w:pPr>
            <w:r w:rsidRPr="00CE1FD8">
              <w:rPr>
                <w:rFonts w:ascii="Calibri" w:hAnsi="Calibri"/>
                <w:b/>
                <w:color w:val="auto"/>
                <w:szCs w:val="21"/>
                <w:u w:val="single"/>
              </w:rPr>
              <w:t>0.031</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4126475A" w14:textId="77777777" w:rsidR="006E6CAF" w:rsidRPr="00CE1FD8" w:rsidRDefault="00FC027B" w:rsidP="00C30FD4">
            <w:pPr>
              <w:jc w:val="center"/>
              <w:rPr>
                <w:rFonts w:ascii="Calibri" w:hAnsi="Calibri"/>
                <w:b/>
                <w:color w:val="auto"/>
                <w:szCs w:val="21"/>
                <w:u w:val="single"/>
              </w:rPr>
            </w:pPr>
            <w:r w:rsidRPr="00CE1FD8">
              <w:rPr>
                <w:rFonts w:ascii="Calibri" w:hAnsi="Calibri"/>
                <w:b/>
                <w:color w:val="auto"/>
                <w:szCs w:val="21"/>
                <w:u w:val="single"/>
              </w:rPr>
              <w:t>0.22</w:t>
            </w:r>
          </w:p>
        </w:tc>
        <w:tc>
          <w:tcPr>
            <w:tcW w:w="336" w:type="pct"/>
            <w:tcBorders>
              <w:top w:val="single" w:sz="2" w:space="0" w:color="auto"/>
              <w:left w:val="single" w:sz="4" w:space="0" w:color="auto"/>
              <w:bottom w:val="single" w:sz="2" w:space="0" w:color="auto"/>
            </w:tcBorders>
            <w:vAlign w:val="center"/>
          </w:tcPr>
          <w:p w14:paraId="748C2700" w14:textId="77777777" w:rsidR="006E6CAF" w:rsidRPr="00CE1FD8" w:rsidRDefault="00770B51" w:rsidP="00770B51">
            <w:pPr>
              <w:jc w:val="center"/>
              <w:rPr>
                <w:rFonts w:ascii="Calibri" w:hAnsi="Calibri"/>
                <w:b/>
                <w:szCs w:val="21"/>
                <w:u w:val="single"/>
              </w:rPr>
            </w:pPr>
            <w:r w:rsidRPr="00CE1FD8">
              <w:rPr>
                <w:rFonts w:ascii="Calibri" w:hAnsi="Calibri"/>
                <w:b/>
                <w:szCs w:val="21"/>
                <w:u w:val="single"/>
              </w:rPr>
              <w:t>80</w:t>
            </w:r>
          </w:p>
        </w:tc>
      </w:tr>
      <w:tr w:rsidR="005D52DF" w:rsidRPr="00CE1FD8" w14:paraId="188BDDB6" w14:textId="77777777" w:rsidTr="005D52DF">
        <w:trPr>
          <w:trHeight w:val="328"/>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70E83888" w14:textId="77777777" w:rsidR="005D52DF" w:rsidRPr="00CE1FD8" w:rsidRDefault="005D52DF" w:rsidP="009E2A4A">
            <w:pPr>
              <w:jc w:val="center"/>
              <w:rPr>
                <w:rFonts w:ascii="Calibri" w:hAnsi="Calibri"/>
                <w:b/>
                <w:szCs w:val="21"/>
                <w:u w:val="single"/>
              </w:rPr>
            </w:pPr>
            <w:r w:rsidRPr="00CE1FD8">
              <w:rPr>
                <w:rFonts w:ascii="Calibri" w:hAnsi="Calibri" w:hint="eastAsia"/>
                <w:b/>
                <w:szCs w:val="21"/>
                <w:u w:val="single"/>
              </w:rPr>
              <w:t>己二酸</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17CDA9F4" w14:textId="77777777" w:rsidR="005D52DF" w:rsidRPr="00CE1FD8" w:rsidRDefault="00770B51" w:rsidP="009057D7">
            <w:pPr>
              <w:jc w:val="center"/>
              <w:rPr>
                <w:rFonts w:ascii="Calibri" w:hAnsi="Calibri"/>
                <w:b/>
                <w:szCs w:val="21"/>
                <w:u w:val="single"/>
              </w:rPr>
            </w:pPr>
            <w:r w:rsidRPr="00CE1FD8">
              <w:rPr>
                <w:rFonts w:ascii="Calibri" w:hAnsi="Calibri" w:hint="eastAsia"/>
                <w:b/>
                <w:szCs w:val="21"/>
                <w:u w:val="single"/>
              </w:rPr>
              <w:t>15.74</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47FDA286" w14:textId="77777777" w:rsidR="005D52DF" w:rsidRPr="00CE1FD8" w:rsidRDefault="005D52DF" w:rsidP="00A2375E">
            <w:pPr>
              <w:jc w:val="center"/>
              <w:rPr>
                <w:rFonts w:ascii="Calibri" w:hAnsi="Calibri"/>
                <w:b/>
                <w:szCs w:val="21"/>
                <w:u w:val="single"/>
              </w:rPr>
            </w:pPr>
            <w:r w:rsidRPr="00CE1FD8">
              <w:rPr>
                <w:rFonts w:ascii="Calibri" w:hAnsi="Calibri" w:hint="eastAsia"/>
                <w:b/>
                <w:szCs w:val="21"/>
                <w:u w:val="single"/>
              </w:rPr>
              <w:t>0.34</w:t>
            </w:r>
          </w:p>
        </w:tc>
        <w:tc>
          <w:tcPr>
            <w:tcW w:w="415" w:type="pct"/>
            <w:vMerge/>
            <w:tcBorders>
              <w:top w:val="single" w:sz="2" w:space="0" w:color="auto"/>
              <w:left w:val="single" w:sz="4" w:space="0" w:color="auto"/>
            </w:tcBorders>
            <w:tcMar>
              <w:left w:w="85" w:type="dxa"/>
              <w:right w:w="85" w:type="dxa"/>
            </w:tcMar>
            <w:vAlign w:val="center"/>
          </w:tcPr>
          <w:p w14:paraId="6850C0F3" w14:textId="77777777" w:rsidR="005D52DF" w:rsidRPr="00CE1FD8" w:rsidRDefault="005D52DF" w:rsidP="006E6CAF">
            <w:pPr>
              <w:jc w:val="center"/>
              <w:rPr>
                <w:rFonts w:ascii="Calibri" w:hAnsi="Calibri"/>
                <w:b/>
                <w:color w:val="auto"/>
                <w:u w:val="single"/>
              </w:rPr>
            </w:pPr>
          </w:p>
        </w:tc>
        <w:tc>
          <w:tcPr>
            <w:tcW w:w="322" w:type="pct"/>
            <w:tcBorders>
              <w:top w:val="single" w:sz="2" w:space="0" w:color="auto"/>
              <w:left w:val="single" w:sz="4" w:space="0" w:color="auto"/>
              <w:right w:val="single" w:sz="4" w:space="0" w:color="auto"/>
            </w:tcBorders>
            <w:tcMar>
              <w:left w:w="85" w:type="dxa"/>
              <w:right w:w="85" w:type="dxa"/>
            </w:tcMar>
            <w:vAlign w:val="center"/>
          </w:tcPr>
          <w:p w14:paraId="7D07150C" w14:textId="77777777" w:rsidR="005D52DF" w:rsidRPr="00CE1FD8" w:rsidRDefault="00770B51" w:rsidP="00DB15D3">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13BF6758" w14:textId="77777777" w:rsidR="005D52DF" w:rsidRPr="00CE1FD8" w:rsidRDefault="00770B51" w:rsidP="00A7690B">
            <w:pPr>
              <w:jc w:val="center"/>
              <w:rPr>
                <w:rFonts w:asciiTheme="minorHAnsi" w:hAnsiTheme="minorHAnsi" w:cstheme="minorHAnsi"/>
                <w:b/>
                <w:color w:val="auto"/>
                <w:szCs w:val="21"/>
                <w:u w:val="single"/>
              </w:rPr>
            </w:pPr>
            <w:r w:rsidRPr="00CE1FD8">
              <w:rPr>
                <w:rFonts w:asciiTheme="minorHAnsi" w:hAnsiTheme="minorHAnsi" w:cstheme="minorHAnsi" w:hint="eastAsia"/>
                <w:b/>
                <w:color w:val="auto"/>
                <w:szCs w:val="21"/>
                <w:u w:val="single"/>
              </w:rPr>
              <w:t>1.57</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30EC69B8" w14:textId="77777777" w:rsidR="005D52DF" w:rsidRPr="00CE1FD8" w:rsidRDefault="00FC027B" w:rsidP="00B9057D">
            <w:pPr>
              <w:jc w:val="center"/>
              <w:rPr>
                <w:rFonts w:ascii="Calibri" w:hAnsi="Calibri"/>
                <w:b/>
                <w:color w:val="auto"/>
                <w:szCs w:val="21"/>
                <w:u w:val="single"/>
              </w:rPr>
            </w:pPr>
            <w:r w:rsidRPr="00CE1FD8">
              <w:rPr>
                <w:rFonts w:ascii="Calibri" w:hAnsi="Calibri"/>
                <w:b/>
                <w:color w:val="auto"/>
                <w:szCs w:val="21"/>
                <w:u w:val="single"/>
              </w:rPr>
              <w:t>0.0047</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78A08E02" w14:textId="77777777" w:rsidR="005D52DF" w:rsidRPr="00CE1FD8" w:rsidRDefault="00FC027B" w:rsidP="00C30FD4">
            <w:pPr>
              <w:jc w:val="center"/>
              <w:rPr>
                <w:rFonts w:ascii="Calibri" w:hAnsi="Calibri"/>
                <w:b/>
                <w:color w:val="auto"/>
                <w:szCs w:val="21"/>
                <w:u w:val="single"/>
              </w:rPr>
            </w:pPr>
            <w:r w:rsidRPr="00CE1FD8">
              <w:rPr>
                <w:rFonts w:ascii="Calibri" w:hAnsi="Calibri" w:hint="eastAsia"/>
                <w:b/>
                <w:color w:val="auto"/>
                <w:szCs w:val="21"/>
                <w:u w:val="single"/>
              </w:rPr>
              <w:t>0.034</w:t>
            </w:r>
          </w:p>
        </w:tc>
        <w:tc>
          <w:tcPr>
            <w:tcW w:w="336" w:type="pct"/>
            <w:tcBorders>
              <w:top w:val="single" w:sz="2" w:space="0" w:color="auto"/>
              <w:left w:val="single" w:sz="4" w:space="0" w:color="auto"/>
              <w:bottom w:val="single" w:sz="2" w:space="0" w:color="auto"/>
            </w:tcBorders>
            <w:vAlign w:val="center"/>
          </w:tcPr>
          <w:p w14:paraId="4274DE95" w14:textId="77777777" w:rsidR="005D52DF" w:rsidRPr="00CE1FD8" w:rsidRDefault="00FC027B" w:rsidP="009E2A4A">
            <w:pPr>
              <w:jc w:val="center"/>
              <w:rPr>
                <w:rFonts w:ascii="Calibri" w:hAnsi="Calibri"/>
                <w:b/>
                <w:szCs w:val="21"/>
                <w:u w:val="single"/>
              </w:rPr>
            </w:pPr>
            <w:r w:rsidRPr="00CE1FD8">
              <w:rPr>
                <w:rFonts w:ascii="Calibri" w:hAnsi="Calibri" w:hint="eastAsia"/>
                <w:b/>
                <w:szCs w:val="21"/>
                <w:u w:val="single"/>
              </w:rPr>
              <w:t>80</w:t>
            </w:r>
          </w:p>
        </w:tc>
      </w:tr>
      <w:tr w:rsidR="006E6CAF" w:rsidRPr="00CE1FD8" w14:paraId="1011AA4A" w14:textId="77777777" w:rsidTr="00046C54">
        <w:trPr>
          <w:trHeight w:val="343"/>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48C551F4" w14:textId="77777777" w:rsidR="006E6CAF" w:rsidRPr="00CE1FD8" w:rsidRDefault="006E6CAF" w:rsidP="009E2A4A">
            <w:pPr>
              <w:jc w:val="center"/>
              <w:rPr>
                <w:rFonts w:ascii="Calibri" w:hAnsi="Calibri"/>
                <w:b/>
                <w:szCs w:val="21"/>
                <w:u w:val="single"/>
              </w:rPr>
            </w:pPr>
            <w:r w:rsidRPr="00CE1FD8">
              <w:rPr>
                <w:rFonts w:ascii="Calibri" w:hAnsi="Calibri" w:hint="eastAsia"/>
                <w:b/>
                <w:szCs w:val="21"/>
                <w:u w:val="single"/>
              </w:rPr>
              <w:t>非甲烷总烃</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54E5D861" w14:textId="77777777" w:rsidR="006E6CAF" w:rsidRPr="00CE1FD8" w:rsidRDefault="00770B51" w:rsidP="00A2375E">
            <w:pPr>
              <w:jc w:val="center"/>
              <w:rPr>
                <w:rFonts w:ascii="Calibri" w:hAnsi="Calibri"/>
                <w:b/>
                <w:szCs w:val="21"/>
                <w:u w:val="single"/>
              </w:rPr>
            </w:pPr>
            <w:r w:rsidRPr="00CE1FD8">
              <w:rPr>
                <w:rFonts w:ascii="Calibri" w:hAnsi="Calibri" w:hint="eastAsia"/>
                <w:b/>
                <w:szCs w:val="21"/>
                <w:u w:val="single"/>
              </w:rPr>
              <w:t>152.78</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10AAD9CF" w14:textId="77777777" w:rsidR="006E6CAF" w:rsidRPr="00CE1FD8" w:rsidRDefault="005D52DF" w:rsidP="00A2375E">
            <w:pPr>
              <w:jc w:val="center"/>
              <w:rPr>
                <w:rFonts w:ascii="Calibri" w:hAnsi="Calibri"/>
                <w:b/>
                <w:szCs w:val="21"/>
                <w:u w:val="single"/>
              </w:rPr>
            </w:pPr>
            <w:r w:rsidRPr="00CE1FD8">
              <w:rPr>
                <w:rFonts w:ascii="Calibri" w:hAnsi="Calibri"/>
                <w:b/>
                <w:szCs w:val="21"/>
                <w:u w:val="single"/>
              </w:rPr>
              <w:t>3.30</w:t>
            </w:r>
          </w:p>
        </w:tc>
        <w:tc>
          <w:tcPr>
            <w:tcW w:w="415" w:type="pct"/>
            <w:vMerge/>
            <w:tcBorders>
              <w:left w:val="single" w:sz="4" w:space="0" w:color="auto"/>
            </w:tcBorders>
            <w:tcMar>
              <w:left w:w="85" w:type="dxa"/>
              <w:right w:w="85" w:type="dxa"/>
            </w:tcMar>
            <w:vAlign w:val="center"/>
          </w:tcPr>
          <w:p w14:paraId="05728224" w14:textId="77777777" w:rsidR="006E6CAF" w:rsidRPr="00CE1FD8" w:rsidRDefault="006E6CAF" w:rsidP="009E2A4A">
            <w:pPr>
              <w:jc w:val="center"/>
              <w:rPr>
                <w:rFonts w:ascii="Calibri" w:hAnsi="Calibri"/>
                <w:b/>
                <w:szCs w:val="21"/>
                <w:u w:val="single"/>
              </w:rPr>
            </w:pPr>
          </w:p>
        </w:tc>
        <w:tc>
          <w:tcPr>
            <w:tcW w:w="322" w:type="pct"/>
            <w:tcBorders>
              <w:left w:val="single" w:sz="4" w:space="0" w:color="auto"/>
              <w:right w:val="single" w:sz="4" w:space="0" w:color="auto"/>
            </w:tcBorders>
            <w:tcMar>
              <w:left w:w="85" w:type="dxa"/>
              <w:right w:w="85" w:type="dxa"/>
            </w:tcMar>
            <w:vAlign w:val="center"/>
          </w:tcPr>
          <w:p w14:paraId="14F74B70" w14:textId="77777777" w:rsidR="006E6CAF" w:rsidRPr="00CE1FD8" w:rsidRDefault="006E6CAF" w:rsidP="009E2A4A">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6E15CF8B" w14:textId="77777777" w:rsidR="006E6CAF" w:rsidRPr="00CE1FD8" w:rsidRDefault="00770B51" w:rsidP="00A7690B">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15.28</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55C7E8C1" w14:textId="77777777" w:rsidR="006E6CAF" w:rsidRPr="00CE1FD8" w:rsidRDefault="006E6CAF" w:rsidP="00FC027B">
            <w:pPr>
              <w:jc w:val="center"/>
              <w:rPr>
                <w:rFonts w:ascii="Calibri" w:hAnsi="Calibri"/>
                <w:b/>
                <w:color w:val="auto"/>
                <w:szCs w:val="21"/>
                <w:u w:val="single"/>
              </w:rPr>
            </w:pPr>
            <w:r w:rsidRPr="00CE1FD8">
              <w:rPr>
                <w:rFonts w:ascii="Calibri" w:hAnsi="Calibri"/>
                <w:b/>
                <w:color w:val="auto"/>
                <w:szCs w:val="21"/>
                <w:u w:val="single"/>
              </w:rPr>
              <w:t>0.0</w:t>
            </w:r>
            <w:r w:rsidR="00FC027B" w:rsidRPr="00CE1FD8">
              <w:rPr>
                <w:rFonts w:ascii="Calibri" w:hAnsi="Calibri"/>
                <w:b/>
                <w:color w:val="auto"/>
                <w:szCs w:val="21"/>
                <w:u w:val="single"/>
              </w:rPr>
              <w:t>46</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71390542" w14:textId="77777777" w:rsidR="006E6CAF" w:rsidRPr="00CE1FD8" w:rsidRDefault="00FC027B" w:rsidP="00B9057D">
            <w:pPr>
              <w:jc w:val="center"/>
              <w:rPr>
                <w:rFonts w:ascii="Calibri" w:hAnsi="Calibri"/>
                <w:b/>
                <w:color w:val="auto"/>
                <w:szCs w:val="21"/>
                <w:u w:val="single"/>
              </w:rPr>
            </w:pPr>
            <w:r w:rsidRPr="00CE1FD8">
              <w:rPr>
                <w:rFonts w:ascii="Calibri" w:hAnsi="Calibri"/>
                <w:b/>
                <w:color w:val="auto"/>
                <w:szCs w:val="21"/>
                <w:u w:val="single"/>
              </w:rPr>
              <w:t>0.33</w:t>
            </w:r>
          </w:p>
        </w:tc>
        <w:tc>
          <w:tcPr>
            <w:tcW w:w="336" w:type="pct"/>
            <w:tcBorders>
              <w:top w:val="single" w:sz="2" w:space="0" w:color="auto"/>
              <w:left w:val="single" w:sz="4" w:space="0" w:color="auto"/>
              <w:bottom w:val="single" w:sz="2" w:space="0" w:color="auto"/>
            </w:tcBorders>
            <w:vAlign w:val="center"/>
          </w:tcPr>
          <w:p w14:paraId="338BAA51" w14:textId="77777777" w:rsidR="006E6CAF" w:rsidRPr="00CE1FD8" w:rsidRDefault="008822BC" w:rsidP="009E2A4A">
            <w:pPr>
              <w:jc w:val="center"/>
              <w:rPr>
                <w:rFonts w:ascii="Calibri" w:hAnsi="Calibri"/>
                <w:b/>
                <w:szCs w:val="21"/>
                <w:u w:val="single"/>
              </w:rPr>
            </w:pPr>
            <w:r w:rsidRPr="00CE1FD8">
              <w:rPr>
                <w:rFonts w:ascii="Calibri" w:hAnsi="Calibri"/>
                <w:b/>
                <w:szCs w:val="21"/>
                <w:u w:val="single"/>
              </w:rPr>
              <w:t>40</w:t>
            </w:r>
          </w:p>
        </w:tc>
      </w:tr>
      <w:tr w:rsidR="006E6CAF" w:rsidRPr="00CE1FD8" w14:paraId="18AEF003" w14:textId="77777777" w:rsidTr="00046C54">
        <w:trPr>
          <w:trHeight w:val="343"/>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10BE8997" w14:textId="77777777" w:rsidR="006E6CAF" w:rsidRPr="00CE1FD8" w:rsidRDefault="006E6CAF" w:rsidP="009E2A4A">
            <w:pPr>
              <w:jc w:val="center"/>
              <w:rPr>
                <w:rFonts w:ascii="Calibri" w:hAnsi="Calibri"/>
                <w:b/>
                <w:szCs w:val="21"/>
                <w:u w:val="single"/>
              </w:rPr>
            </w:pPr>
            <w:r w:rsidRPr="00CE1FD8">
              <w:rPr>
                <w:rFonts w:ascii="Calibri" w:hAnsi="Calibri" w:hint="eastAsia"/>
                <w:b/>
                <w:szCs w:val="21"/>
                <w:u w:val="single"/>
              </w:rPr>
              <w:t>氨</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78B11BE0" w14:textId="77777777" w:rsidR="006E6CAF" w:rsidRPr="00CE1FD8" w:rsidRDefault="00B9057D" w:rsidP="00A2375E">
            <w:pPr>
              <w:jc w:val="center"/>
              <w:rPr>
                <w:rFonts w:ascii="Calibri" w:hAnsi="Calibri"/>
                <w:b/>
                <w:szCs w:val="21"/>
                <w:u w:val="single"/>
              </w:rPr>
            </w:pPr>
            <w:r w:rsidRPr="00CE1FD8">
              <w:rPr>
                <w:rFonts w:ascii="Calibri" w:hAnsi="Calibri"/>
                <w:b/>
                <w:szCs w:val="21"/>
                <w:u w:val="single"/>
              </w:rPr>
              <w:t>0.46</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3D875F27" w14:textId="77777777" w:rsidR="006E6CAF" w:rsidRPr="00CE1FD8" w:rsidRDefault="006E6CAF" w:rsidP="00A2375E">
            <w:pPr>
              <w:jc w:val="center"/>
              <w:rPr>
                <w:rFonts w:ascii="Calibri" w:hAnsi="Calibri"/>
                <w:b/>
                <w:szCs w:val="21"/>
                <w:u w:val="single"/>
              </w:rPr>
            </w:pPr>
            <w:r w:rsidRPr="00CE1FD8">
              <w:rPr>
                <w:rFonts w:ascii="Calibri" w:hAnsi="Calibri" w:hint="eastAsia"/>
                <w:b/>
                <w:color w:val="auto"/>
                <w:u w:val="single"/>
              </w:rPr>
              <w:t>0.01</w:t>
            </w:r>
          </w:p>
        </w:tc>
        <w:tc>
          <w:tcPr>
            <w:tcW w:w="415" w:type="pct"/>
            <w:vMerge/>
            <w:tcBorders>
              <w:left w:val="single" w:sz="4" w:space="0" w:color="auto"/>
            </w:tcBorders>
            <w:tcMar>
              <w:left w:w="85" w:type="dxa"/>
              <w:right w:w="85" w:type="dxa"/>
            </w:tcMar>
            <w:vAlign w:val="center"/>
          </w:tcPr>
          <w:p w14:paraId="0D5A41E6" w14:textId="77777777" w:rsidR="006E6CAF" w:rsidRPr="00CE1FD8" w:rsidRDefault="006E6CAF" w:rsidP="009E2A4A">
            <w:pPr>
              <w:jc w:val="center"/>
              <w:rPr>
                <w:rFonts w:ascii="Calibri" w:hAnsi="Calibri"/>
                <w:b/>
                <w:szCs w:val="21"/>
                <w:u w:val="single"/>
              </w:rPr>
            </w:pPr>
          </w:p>
        </w:tc>
        <w:tc>
          <w:tcPr>
            <w:tcW w:w="322" w:type="pct"/>
            <w:tcBorders>
              <w:left w:val="single" w:sz="4" w:space="0" w:color="auto"/>
              <w:right w:val="single" w:sz="4" w:space="0" w:color="auto"/>
            </w:tcBorders>
            <w:tcMar>
              <w:left w:w="85" w:type="dxa"/>
              <w:right w:w="85" w:type="dxa"/>
            </w:tcMar>
            <w:vAlign w:val="center"/>
          </w:tcPr>
          <w:p w14:paraId="5A9EC927" w14:textId="77777777" w:rsidR="006E6CAF" w:rsidRPr="00CE1FD8" w:rsidRDefault="006E6CAF" w:rsidP="009E2A4A">
            <w:pPr>
              <w:jc w:val="center"/>
              <w:rPr>
                <w:rFonts w:ascii="Calibri" w:hAnsi="Calibri"/>
                <w:b/>
                <w:color w:val="auto"/>
                <w:szCs w:val="21"/>
                <w:u w:val="single"/>
              </w:rPr>
            </w:pPr>
            <w:r w:rsidRPr="00CE1FD8">
              <w:rPr>
                <w:rFonts w:ascii="Calibri" w:hAnsi="Calibri" w:hint="eastAsia"/>
                <w:b/>
                <w:color w:val="auto"/>
                <w:szCs w:val="21"/>
                <w:u w:val="single"/>
              </w:rPr>
              <w:t>70%</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1897CAA4" w14:textId="77777777" w:rsidR="006E6CAF" w:rsidRPr="00CE1FD8" w:rsidRDefault="00B9057D" w:rsidP="00A7690B">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0.14</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1245B785" w14:textId="77777777" w:rsidR="006E6CAF" w:rsidRPr="00CE1FD8" w:rsidRDefault="006E6CAF" w:rsidP="00387347">
            <w:pPr>
              <w:jc w:val="center"/>
              <w:rPr>
                <w:rFonts w:ascii="Calibri" w:hAnsi="Calibri"/>
                <w:b/>
                <w:color w:val="auto"/>
                <w:szCs w:val="21"/>
                <w:u w:val="single"/>
              </w:rPr>
            </w:pPr>
            <w:r w:rsidRPr="00CE1FD8">
              <w:rPr>
                <w:rFonts w:ascii="Calibri" w:hAnsi="Calibri" w:hint="eastAsia"/>
                <w:b/>
                <w:color w:val="auto"/>
                <w:szCs w:val="21"/>
                <w:u w:val="single"/>
              </w:rPr>
              <w:t>0.00042</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179E16CD" w14:textId="77777777" w:rsidR="006E6CAF" w:rsidRPr="00CE1FD8" w:rsidRDefault="006E6CAF" w:rsidP="00C30FD4">
            <w:pPr>
              <w:jc w:val="center"/>
              <w:rPr>
                <w:rFonts w:ascii="Calibri" w:hAnsi="Calibri"/>
                <w:b/>
                <w:color w:val="auto"/>
                <w:szCs w:val="21"/>
                <w:u w:val="single"/>
              </w:rPr>
            </w:pPr>
            <w:r w:rsidRPr="00CE1FD8">
              <w:rPr>
                <w:rFonts w:ascii="Calibri" w:hAnsi="Calibri" w:hint="eastAsia"/>
                <w:b/>
                <w:color w:val="auto"/>
                <w:szCs w:val="21"/>
                <w:u w:val="single"/>
              </w:rPr>
              <w:t>0.003</w:t>
            </w:r>
          </w:p>
        </w:tc>
        <w:tc>
          <w:tcPr>
            <w:tcW w:w="336" w:type="pct"/>
            <w:tcBorders>
              <w:top w:val="single" w:sz="2" w:space="0" w:color="auto"/>
              <w:left w:val="single" w:sz="4" w:space="0" w:color="auto"/>
              <w:bottom w:val="single" w:sz="2" w:space="0" w:color="auto"/>
            </w:tcBorders>
            <w:vAlign w:val="center"/>
          </w:tcPr>
          <w:p w14:paraId="26DD73C4" w14:textId="77777777" w:rsidR="006E6CAF" w:rsidRPr="00CE1FD8" w:rsidRDefault="00046C54" w:rsidP="009E2A4A">
            <w:pPr>
              <w:jc w:val="center"/>
              <w:rPr>
                <w:rFonts w:ascii="Calibri" w:hAnsi="Calibri"/>
                <w:b/>
                <w:szCs w:val="21"/>
                <w:u w:val="single"/>
              </w:rPr>
            </w:pPr>
            <w:r w:rsidRPr="00CE1FD8">
              <w:rPr>
                <w:rFonts w:ascii="Calibri" w:hAnsi="Calibri" w:hint="eastAsia"/>
                <w:b/>
                <w:szCs w:val="21"/>
                <w:u w:val="single"/>
              </w:rPr>
              <w:t>30</w:t>
            </w:r>
          </w:p>
        </w:tc>
      </w:tr>
      <w:tr w:rsidR="00C30FD4" w:rsidRPr="00CE1FD8" w14:paraId="7A9C2FE8" w14:textId="77777777" w:rsidTr="00AE22DE">
        <w:trPr>
          <w:trHeight w:val="343"/>
          <w:jc w:val="center"/>
        </w:trPr>
        <w:tc>
          <w:tcPr>
            <w:tcW w:w="5000" w:type="pct"/>
            <w:gridSpan w:val="9"/>
            <w:tcBorders>
              <w:top w:val="single" w:sz="2" w:space="0" w:color="auto"/>
              <w:left w:val="single" w:sz="12" w:space="0" w:color="auto"/>
              <w:bottom w:val="single" w:sz="2" w:space="0" w:color="auto"/>
            </w:tcBorders>
            <w:tcMar>
              <w:left w:w="85" w:type="dxa"/>
              <w:right w:w="85" w:type="dxa"/>
            </w:tcMar>
            <w:vAlign w:val="center"/>
          </w:tcPr>
          <w:p w14:paraId="0A3A5359" w14:textId="77777777" w:rsidR="00C30FD4" w:rsidRPr="00CE1FD8" w:rsidRDefault="00C30FD4" w:rsidP="009E2A4A">
            <w:pPr>
              <w:jc w:val="center"/>
              <w:rPr>
                <w:rFonts w:ascii="Calibri" w:hAnsi="Calibri"/>
                <w:b/>
                <w:color w:val="auto"/>
                <w:szCs w:val="21"/>
                <w:u w:val="single"/>
              </w:rPr>
            </w:pPr>
            <w:r w:rsidRPr="00CE1FD8">
              <w:rPr>
                <w:rFonts w:ascii="Calibri" w:hAnsi="Calibri" w:hint="eastAsia"/>
                <w:b/>
                <w:color w:val="auto"/>
                <w:szCs w:val="21"/>
                <w:u w:val="single"/>
              </w:rPr>
              <w:t>二期</w:t>
            </w:r>
            <w:r w:rsidRPr="00CE1FD8">
              <w:rPr>
                <w:rFonts w:ascii="Calibri" w:hAnsi="Calibri"/>
                <w:b/>
                <w:color w:val="auto"/>
                <w:szCs w:val="21"/>
                <w:u w:val="single"/>
              </w:rPr>
              <w:t>工程</w:t>
            </w:r>
            <w:r w:rsidR="00C77399" w:rsidRPr="00CE1FD8">
              <w:rPr>
                <w:rFonts w:ascii="Calibri" w:hAnsi="Calibri"/>
                <w:b/>
                <w:color w:val="auto"/>
                <w:szCs w:val="21"/>
                <w:u w:val="single"/>
              </w:rPr>
              <w:t>废气</w:t>
            </w:r>
          </w:p>
        </w:tc>
      </w:tr>
      <w:tr w:rsidR="006E6CAF" w:rsidRPr="00CE1FD8" w14:paraId="3A8DBC77" w14:textId="77777777" w:rsidTr="00046C54">
        <w:trPr>
          <w:trHeight w:val="343"/>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54E6C86C" w14:textId="77777777" w:rsidR="006E6CAF" w:rsidRPr="00CE1FD8" w:rsidRDefault="006E6CAF" w:rsidP="00C30FD4">
            <w:pPr>
              <w:jc w:val="center"/>
              <w:rPr>
                <w:rFonts w:ascii="Calibri" w:hAnsi="Calibri"/>
                <w:b/>
                <w:szCs w:val="21"/>
                <w:u w:val="single"/>
              </w:rPr>
            </w:pPr>
            <w:r w:rsidRPr="00CE1FD8">
              <w:rPr>
                <w:rFonts w:ascii="Calibri" w:hAnsi="Calibri" w:hint="eastAsia"/>
                <w:b/>
                <w:szCs w:val="21"/>
                <w:u w:val="single"/>
              </w:rPr>
              <w:t>己二胺</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34A3BBDD" w14:textId="77777777" w:rsidR="006E6CAF" w:rsidRPr="00CE1FD8" w:rsidRDefault="00770B51" w:rsidP="00C30FD4">
            <w:pPr>
              <w:jc w:val="center"/>
              <w:rPr>
                <w:rFonts w:ascii="Calibri" w:hAnsi="Calibri"/>
                <w:b/>
                <w:szCs w:val="21"/>
                <w:u w:val="single"/>
              </w:rPr>
            </w:pPr>
            <w:r w:rsidRPr="00CE1FD8">
              <w:rPr>
                <w:rFonts w:ascii="Calibri" w:hAnsi="Calibri" w:hint="eastAsia"/>
                <w:b/>
                <w:szCs w:val="21"/>
                <w:u w:val="single"/>
              </w:rPr>
              <w:t>91.67</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086AE4F4" w14:textId="77777777" w:rsidR="006E6CAF" w:rsidRPr="00CE1FD8" w:rsidRDefault="00770B51" w:rsidP="00C30FD4">
            <w:pPr>
              <w:jc w:val="center"/>
              <w:rPr>
                <w:rFonts w:ascii="Calibri" w:hAnsi="Calibri"/>
                <w:b/>
                <w:szCs w:val="21"/>
                <w:u w:val="single"/>
              </w:rPr>
            </w:pPr>
            <w:r w:rsidRPr="00CE1FD8">
              <w:rPr>
                <w:rFonts w:ascii="Calibri" w:hAnsi="Calibri"/>
                <w:b/>
                <w:szCs w:val="21"/>
                <w:u w:val="single"/>
              </w:rPr>
              <w:t>1.32</w:t>
            </w:r>
          </w:p>
        </w:tc>
        <w:tc>
          <w:tcPr>
            <w:tcW w:w="415" w:type="pct"/>
            <w:vMerge w:val="restart"/>
            <w:tcBorders>
              <w:left w:val="single" w:sz="4" w:space="0" w:color="auto"/>
            </w:tcBorders>
            <w:tcMar>
              <w:left w:w="85" w:type="dxa"/>
              <w:right w:w="85" w:type="dxa"/>
            </w:tcMar>
            <w:vAlign w:val="center"/>
          </w:tcPr>
          <w:p w14:paraId="07DE2C0D" w14:textId="77777777" w:rsidR="006E6CAF" w:rsidRPr="00CE1FD8" w:rsidRDefault="006E6CAF" w:rsidP="00387347">
            <w:pPr>
              <w:jc w:val="center"/>
              <w:rPr>
                <w:rFonts w:ascii="Calibri" w:hAnsi="Calibri"/>
                <w:b/>
                <w:szCs w:val="21"/>
                <w:u w:val="single"/>
              </w:rPr>
            </w:pPr>
            <w:r w:rsidRPr="00CE1FD8">
              <w:rPr>
                <w:rFonts w:ascii="Calibri" w:hAnsi="Calibri" w:hint="eastAsia"/>
                <w:b/>
                <w:color w:val="auto"/>
                <w:u w:val="single"/>
              </w:rPr>
              <w:t>和</w:t>
            </w:r>
            <w:r w:rsidRPr="00CE1FD8">
              <w:rPr>
                <w:rFonts w:ascii="Calibri" w:hAnsi="Calibri"/>
                <w:b/>
                <w:color w:val="auto"/>
                <w:u w:val="single"/>
              </w:rPr>
              <w:t>一期</w:t>
            </w:r>
            <w:r w:rsidRPr="00CE1FD8">
              <w:rPr>
                <w:rFonts w:ascii="Calibri" w:hAnsi="Calibri" w:hint="eastAsia"/>
                <w:b/>
                <w:color w:val="auto"/>
                <w:u w:val="single"/>
              </w:rPr>
              <w:t>共</w:t>
            </w:r>
            <w:r w:rsidRPr="00CE1FD8">
              <w:rPr>
                <w:rFonts w:ascii="Calibri" w:hAnsi="Calibri"/>
                <w:b/>
                <w:color w:val="auto"/>
                <w:u w:val="single"/>
              </w:rPr>
              <w:t>用</w:t>
            </w:r>
          </w:p>
        </w:tc>
        <w:tc>
          <w:tcPr>
            <w:tcW w:w="322" w:type="pct"/>
            <w:tcBorders>
              <w:left w:val="single" w:sz="4" w:space="0" w:color="auto"/>
              <w:right w:val="single" w:sz="4" w:space="0" w:color="auto"/>
            </w:tcBorders>
            <w:tcMar>
              <w:left w:w="85" w:type="dxa"/>
              <w:right w:w="85" w:type="dxa"/>
            </w:tcMar>
            <w:vAlign w:val="center"/>
          </w:tcPr>
          <w:p w14:paraId="714CA62B" w14:textId="77777777" w:rsidR="006E6CAF" w:rsidRPr="00CE1FD8" w:rsidRDefault="006E6CAF" w:rsidP="00C30FD4">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248FA959" w14:textId="77777777" w:rsidR="006E6CAF" w:rsidRPr="00CE1FD8" w:rsidRDefault="00CE1FD8" w:rsidP="00C30FD4">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9.17</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36607A33" w14:textId="77777777" w:rsidR="006E6CAF" w:rsidRPr="00CE1FD8" w:rsidRDefault="006E6CAF" w:rsidP="00FC027B">
            <w:pPr>
              <w:jc w:val="center"/>
              <w:rPr>
                <w:rFonts w:ascii="Calibri" w:hAnsi="Calibri"/>
                <w:b/>
                <w:color w:val="auto"/>
                <w:szCs w:val="21"/>
                <w:u w:val="single"/>
              </w:rPr>
            </w:pPr>
            <w:r w:rsidRPr="00CE1FD8">
              <w:rPr>
                <w:rFonts w:ascii="Calibri" w:hAnsi="Calibri" w:hint="eastAsia"/>
                <w:b/>
                <w:color w:val="auto"/>
                <w:szCs w:val="21"/>
                <w:u w:val="single"/>
              </w:rPr>
              <w:t>0.0</w:t>
            </w:r>
            <w:r w:rsidR="00FC027B" w:rsidRPr="00CE1FD8">
              <w:rPr>
                <w:rFonts w:ascii="Calibri" w:hAnsi="Calibri"/>
                <w:b/>
                <w:color w:val="auto"/>
                <w:szCs w:val="21"/>
                <w:u w:val="single"/>
              </w:rPr>
              <w:t>18</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2E3CB937" w14:textId="77777777" w:rsidR="006E6CAF" w:rsidRPr="00CE1FD8" w:rsidRDefault="00FC027B" w:rsidP="000B6AA0">
            <w:pPr>
              <w:jc w:val="center"/>
              <w:rPr>
                <w:rFonts w:ascii="Calibri" w:hAnsi="Calibri"/>
                <w:b/>
                <w:color w:val="auto"/>
                <w:szCs w:val="21"/>
                <w:u w:val="single"/>
              </w:rPr>
            </w:pPr>
            <w:r w:rsidRPr="00CE1FD8">
              <w:rPr>
                <w:rFonts w:ascii="Calibri" w:hAnsi="Calibri"/>
                <w:b/>
                <w:color w:val="auto"/>
                <w:szCs w:val="21"/>
                <w:u w:val="single"/>
              </w:rPr>
              <w:t>0.13</w:t>
            </w:r>
          </w:p>
        </w:tc>
        <w:tc>
          <w:tcPr>
            <w:tcW w:w="336" w:type="pct"/>
            <w:tcBorders>
              <w:top w:val="single" w:sz="2" w:space="0" w:color="auto"/>
              <w:left w:val="single" w:sz="4" w:space="0" w:color="auto"/>
              <w:bottom w:val="single" w:sz="2" w:space="0" w:color="auto"/>
            </w:tcBorders>
            <w:vAlign w:val="center"/>
          </w:tcPr>
          <w:p w14:paraId="6A9A3FC8" w14:textId="77777777" w:rsidR="006E6CAF" w:rsidRPr="00CE1FD8" w:rsidRDefault="00FC027B" w:rsidP="00C30FD4">
            <w:pPr>
              <w:jc w:val="center"/>
              <w:rPr>
                <w:rFonts w:ascii="Calibri" w:hAnsi="Calibri"/>
                <w:b/>
                <w:szCs w:val="21"/>
                <w:u w:val="single"/>
              </w:rPr>
            </w:pPr>
            <w:r w:rsidRPr="00CE1FD8">
              <w:rPr>
                <w:rFonts w:ascii="Calibri" w:hAnsi="Calibri"/>
                <w:b/>
                <w:szCs w:val="21"/>
                <w:u w:val="single"/>
              </w:rPr>
              <w:t>80</w:t>
            </w:r>
          </w:p>
        </w:tc>
      </w:tr>
      <w:tr w:rsidR="005D52DF" w:rsidRPr="00CE1FD8" w14:paraId="2E199E80" w14:textId="77777777" w:rsidTr="00046C54">
        <w:trPr>
          <w:trHeight w:val="343"/>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6A83EEC7" w14:textId="77777777" w:rsidR="005D52DF" w:rsidRPr="00CE1FD8" w:rsidRDefault="005D52DF" w:rsidP="00C30FD4">
            <w:pPr>
              <w:jc w:val="center"/>
              <w:rPr>
                <w:rFonts w:ascii="Calibri" w:hAnsi="Calibri"/>
                <w:b/>
                <w:szCs w:val="21"/>
                <w:u w:val="single"/>
              </w:rPr>
            </w:pPr>
            <w:r w:rsidRPr="00CE1FD8">
              <w:rPr>
                <w:rFonts w:ascii="Calibri" w:hAnsi="Calibri" w:hint="eastAsia"/>
                <w:b/>
                <w:szCs w:val="21"/>
                <w:u w:val="single"/>
              </w:rPr>
              <w:t>己二酸</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626C486B" w14:textId="77777777" w:rsidR="005D52DF" w:rsidRPr="00CE1FD8" w:rsidRDefault="00770B51" w:rsidP="00C30FD4">
            <w:pPr>
              <w:jc w:val="center"/>
              <w:rPr>
                <w:rFonts w:ascii="Calibri" w:hAnsi="Calibri"/>
                <w:b/>
                <w:szCs w:val="21"/>
                <w:u w:val="single"/>
              </w:rPr>
            </w:pPr>
            <w:r w:rsidRPr="00CE1FD8">
              <w:rPr>
                <w:rFonts w:ascii="Calibri" w:hAnsi="Calibri" w:hint="eastAsia"/>
                <w:b/>
                <w:szCs w:val="21"/>
                <w:u w:val="single"/>
              </w:rPr>
              <w:t>14.58</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6F2321EF" w14:textId="77777777" w:rsidR="005D52DF" w:rsidRPr="00CE1FD8" w:rsidRDefault="00770B51" w:rsidP="00C30FD4">
            <w:pPr>
              <w:jc w:val="center"/>
              <w:rPr>
                <w:rFonts w:ascii="Calibri" w:hAnsi="Calibri"/>
                <w:b/>
                <w:szCs w:val="21"/>
                <w:u w:val="single"/>
              </w:rPr>
            </w:pPr>
            <w:r w:rsidRPr="00CE1FD8">
              <w:rPr>
                <w:rFonts w:ascii="Calibri" w:hAnsi="Calibri" w:hint="eastAsia"/>
                <w:b/>
                <w:szCs w:val="21"/>
                <w:u w:val="single"/>
              </w:rPr>
              <w:t>0.21</w:t>
            </w:r>
          </w:p>
        </w:tc>
        <w:tc>
          <w:tcPr>
            <w:tcW w:w="415" w:type="pct"/>
            <w:vMerge/>
            <w:tcBorders>
              <w:left w:val="single" w:sz="4" w:space="0" w:color="auto"/>
            </w:tcBorders>
            <w:tcMar>
              <w:left w:w="85" w:type="dxa"/>
              <w:right w:w="85" w:type="dxa"/>
            </w:tcMar>
            <w:vAlign w:val="center"/>
          </w:tcPr>
          <w:p w14:paraId="31D9D1B3" w14:textId="77777777" w:rsidR="005D52DF" w:rsidRPr="00CE1FD8" w:rsidRDefault="005D52DF" w:rsidP="00387347">
            <w:pPr>
              <w:jc w:val="center"/>
              <w:rPr>
                <w:rFonts w:ascii="Calibri" w:hAnsi="Calibri"/>
                <w:b/>
                <w:color w:val="auto"/>
                <w:u w:val="single"/>
              </w:rPr>
            </w:pPr>
          </w:p>
        </w:tc>
        <w:tc>
          <w:tcPr>
            <w:tcW w:w="322" w:type="pct"/>
            <w:tcBorders>
              <w:left w:val="single" w:sz="4" w:space="0" w:color="auto"/>
              <w:right w:val="single" w:sz="4" w:space="0" w:color="auto"/>
            </w:tcBorders>
            <w:tcMar>
              <w:left w:w="85" w:type="dxa"/>
              <w:right w:w="85" w:type="dxa"/>
            </w:tcMar>
            <w:vAlign w:val="center"/>
          </w:tcPr>
          <w:p w14:paraId="0C4E8DE2" w14:textId="77777777" w:rsidR="005D52DF" w:rsidRPr="00CE1FD8" w:rsidRDefault="00770B51" w:rsidP="00C30FD4">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3CA5C003" w14:textId="77777777" w:rsidR="005D52DF" w:rsidRPr="00CE1FD8" w:rsidRDefault="00CE1FD8" w:rsidP="00C30FD4">
            <w:pPr>
              <w:jc w:val="center"/>
              <w:rPr>
                <w:rFonts w:asciiTheme="minorHAnsi" w:hAnsiTheme="minorHAnsi" w:cstheme="minorHAnsi"/>
                <w:b/>
                <w:color w:val="auto"/>
                <w:szCs w:val="21"/>
                <w:u w:val="single"/>
              </w:rPr>
            </w:pPr>
            <w:r w:rsidRPr="00CE1FD8">
              <w:rPr>
                <w:rFonts w:asciiTheme="minorHAnsi" w:hAnsiTheme="minorHAnsi" w:cstheme="minorHAnsi" w:hint="eastAsia"/>
                <w:b/>
                <w:color w:val="auto"/>
                <w:szCs w:val="21"/>
                <w:u w:val="single"/>
              </w:rPr>
              <w:t>1.46</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3DC413AC" w14:textId="77777777" w:rsidR="005D52DF" w:rsidRPr="00CE1FD8" w:rsidRDefault="00FC027B" w:rsidP="008822BC">
            <w:pPr>
              <w:jc w:val="center"/>
              <w:rPr>
                <w:rFonts w:ascii="Calibri" w:hAnsi="Calibri"/>
                <w:b/>
                <w:color w:val="auto"/>
                <w:szCs w:val="21"/>
                <w:u w:val="single"/>
              </w:rPr>
            </w:pPr>
            <w:r w:rsidRPr="00CE1FD8">
              <w:rPr>
                <w:rFonts w:ascii="Calibri" w:hAnsi="Calibri" w:hint="eastAsia"/>
                <w:b/>
                <w:color w:val="auto"/>
                <w:szCs w:val="21"/>
                <w:u w:val="single"/>
              </w:rPr>
              <w:t>0.0029</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26338C7F" w14:textId="77777777" w:rsidR="005D52DF" w:rsidRPr="00CE1FD8" w:rsidRDefault="00FC027B" w:rsidP="000B6AA0">
            <w:pPr>
              <w:jc w:val="center"/>
              <w:rPr>
                <w:rFonts w:ascii="Calibri" w:hAnsi="Calibri"/>
                <w:b/>
                <w:color w:val="auto"/>
                <w:szCs w:val="21"/>
                <w:u w:val="single"/>
              </w:rPr>
            </w:pPr>
            <w:r w:rsidRPr="00CE1FD8">
              <w:rPr>
                <w:rFonts w:ascii="Calibri" w:hAnsi="Calibri" w:hint="eastAsia"/>
                <w:b/>
                <w:color w:val="auto"/>
                <w:szCs w:val="21"/>
                <w:u w:val="single"/>
              </w:rPr>
              <w:t>0.021</w:t>
            </w:r>
          </w:p>
        </w:tc>
        <w:tc>
          <w:tcPr>
            <w:tcW w:w="336" w:type="pct"/>
            <w:tcBorders>
              <w:top w:val="single" w:sz="2" w:space="0" w:color="auto"/>
              <w:left w:val="single" w:sz="4" w:space="0" w:color="auto"/>
              <w:bottom w:val="single" w:sz="2" w:space="0" w:color="auto"/>
            </w:tcBorders>
            <w:vAlign w:val="center"/>
          </w:tcPr>
          <w:p w14:paraId="22A1A3E7" w14:textId="77777777" w:rsidR="005D52DF" w:rsidRPr="00CE1FD8" w:rsidRDefault="00FC027B" w:rsidP="00C30FD4">
            <w:pPr>
              <w:jc w:val="center"/>
              <w:rPr>
                <w:rFonts w:ascii="Calibri" w:hAnsi="Calibri"/>
                <w:b/>
                <w:szCs w:val="21"/>
                <w:u w:val="single"/>
              </w:rPr>
            </w:pPr>
            <w:r w:rsidRPr="00CE1FD8">
              <w:rPr>
                <w:rFonts w:ascii="Calibri" w:hAnsi="Calibri" w:hint="eastAsia"/>
                <w:b/>
                <w:szCs w:val="21"/>
                <w:u w:val="single"/>
              </w:rPr>
              <w:t>80</w:t>
            </w:r>
          </w:p>
        </w:tc>
      </w:tr>
      <w:tr w:rsidR="006E6CAF" w:rsidRPr="00CE1FD8" w14:paraId="5CB7AC13" w14:textId="77777777" w:rsidTr="00046C54">
        <w:trPr>
          <w:trHeight w:val="343"/>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27E25637" w14:textId="77777777" w:rsidR="006E6CAF" w:rsidRPr="00CE1FD8" w:rsidRDefault="006E6CAF" w:rsidP="00C30FD4">
            <w:pPr>
              <w:jc w:val="center"/>
              <w:rPr>
                <w:rFonts w:ascii="Calibri" w:hAnsi="Calibri"/>
                <w:b/>
                <w:szCs w:val="21"/>
                <w:u w:val="single"/>
              </w:rPr>
            </w:pPr>
            <w:r w:rsidRPr="00CE1FD8">
              <w:rPr>
                <w:rFonts w:ascii="Calibri" w:hAnsi="Calibri" w:hint="eastAsia"/>
                <w:b/>
                <w:szCs w:val="21"/>
                <w:u w:val="single"/>
              </w:rPr>
              <w:t>非甲烷总烃</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31123AEC" w14:textId="77777777" w:rsidR="006E6CAF" w:rsidRPr="00CE1FD8" w:rsidRDefault="00770B51" w:rsidP="00C30FD4">
            <w:pPr>
              <w:jc w:val="center"/>
              <w:rPr>
                <w:rFonts w:ascii="Calibri" w:hAnsi="Calibri"/>
                <w:b/>
                <w:szCs w:val="21"/>
                <w:u w:val="single"/>
              </w:rPr>
            </w:pPr>
            <w:r w:rsidRPr="00CE1FD8">
              <w:rPr>
                <w:rFonts w:ascii="Calibri" w:hAnsi="Calibri" w:hint="eastAsia"/>
                <w:b/>
                <w:szCs w:val="21"/>
                <w:u w:val="single"/>
              </w:rPr>
              <w:t>138.19</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236B3964" w14:textId="77777777" w:rsidR="006E6CAF" w:rsidRPr="00CE1FD8" w:rsidRDefault="00770B51" w:rsidP="00C30FD4">
            <w:pPr>
              <w:jc w:val="center"/>
              <w:rPr>
                <w:rFonts w:ascii="Calibri" w:hAnsi="Calibri"/>
                <w:b/>
                <w:szCs w:val="21"/>
                <w:u w:val="single"/>
              </w:rPr>
            </w:pPr>
            <w:r w:rsidRPr="00CE1FD8">
              <w:rPr>
                <w:rFonts w:ascii="Calibri" w:hAnsi="Calibri"/>
                <w:b/>
                <w:szCs w:val="21"/>
                <w:u w:val="single"/>
              </w:rPr>
              <w:t>1.99</w:t>
            </w:r>
          </w:p>
        </w:tc>
        <w:tc>
          <w:tcPr>
            <w:tcW w:w="415" w:type="pct"/>
            <w:vMerge/>
            <w:tcBorders>
              <w:left w:val="single" w:sz="4" w:space="0" w:color="auto"/>
            </w:tcBorders>
            <w:tcMar>
              <w:left w:w="85" w:type="dxa"/>
              <w:right w:w="85" w:type="dxa"/>
            </w:tcMar>
            <w:vAlign w:val="center"/>
          </w:tcPr>
          <w:p w14:paraId="63857A02" w14:textId="77777777" w:rsidR="006E6CAF" w:rsidRPr="00CE1FD8" w:rsidRDefault="006E6CAF" w:rsidP="00C30FD4">
            <w:pPr>
              <w:jc w:val="center"/>
              <w:rPr>
                <w:rFonts w:ascii="Calibri" w:hAnsi="Calibri"/>
                <w:b/>
                <w:szCs w:val="21"/>
                <w:u w:val="single"/>
              </w:rPr>
            </w:pPr>
          </w:p>
        </w:tc>
        <w:tc>
          <w:tcPr>
            <w:tcW w:w="322" w:type="pct"/>
            <w:tcBorders>
              <w:left w:val="single" w:sz="4" w:space="0" w:color="auto"/>
              <w:right w:val="single" w:sz="4" w:space="0" w:color="auto"/>
            </w:tcBorders>
            <w:tcMar>
              <w:left w:w="85" w:type="dxa"/>
              <w:right w:w="85" w:type="dxa"/>
            </w:tcMar>
            <w:vAlign w:val="center"/>
          </w:tcPr>
          <w:p w14:paraId="12A67FE9" w14:textId="77777777" w:rsidR="006E6CAF" w:rsidRPr="00CE1FD8" w:rsidRDefault="006E6CAF" w:rsidP="00C30FD4">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1885D7AD" w14:textId="77777777" w:rsidR="006E6CAF" w:rsidRPr="00CE1FD8" w:rsidRDefault="00CE1FD8" w:rsidP="00C30FD4">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13.82</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61AFCD01" w14:textId="77777777" w:rsidR="006E6CAF" w:rsidRPr="00CE1FD8" w:rsidRDefault="006E6CAF" w:rsidP="00FC027B">
            <w:pPr>
              <w:jc w:val="center"/>
              <w:rPr>
                <w:rFonts w:ascii="Calibri" w:hAnsi="Calibri"/>
                <w:b/>
                <w:color w:val="auto"/>
                <w:szCs w:val="21"/>
                <w:u w:val="single"/>
              </w:rPr>
            </w:pPr>
            <w:r w:rsidRPr="00CE1FD8">
              <w:rPr>
                <w:rFonts w:ascii="Calibri" w:hAnsi="Calibri" w:hint="eastAsia"/>
                <w:b/>
                <w:color w:val="auto"/>
                <w:szCs w:val="21"/>
                <w:u w:val="single"/>
              </w:rPr>
              <w:t>0.0</w:t>
            </w:r>
            <w:r w:rsidR="00FC027B" w:rsidRPr="00CE1FD8">
              <w:rPr>
                <w:rFonts w:ascii="Calibri" w:hAnsi="Calibri"/>
                <w:b/>
                <w:color w:val="auto"/>
                <w:szCs w:val="21"/>
                <w:u w:val="single"/>
              </w:rPr>
              <w:t>28</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3058924E" w14:textId="77777777" w:rsidR="006E6CAF" w:rsidRPr="00CE1FD8" w:rsidRDefault="00FC027B" w:rsidP="008822BC">
            <w:pPr>
              <w:jc w:val="center"/>
              <w:rPr>
                <w:rFonts w:ascii="Calibri" w:hAnsi="Calibri"/>
                <w:b/>
                <w:color w:val="auto"/>
                <w:szCs w:val="21"/>
                <w:u w:val="single"/>
              </w:rPr>
            </w:pPr>
            <w:r w:rsidRPr="00CE1FD8">
              <w:rPr>
                <w:rFonts w:ascii="Calibri" w:hAnsi="Calibri"/>
                <w:b/>
                <w:color w:val="auto"/>
                <w:szCs w:val="21"/>
                <w:u w:val="single"/>
              </w:rPr>
              <w:t>0.20</w:t>
            </w:r>
          </w:p>
        </w:tc>
        <w:tc>
          <w:tcPr>
            <w:tcW w:w="336" w:type="pct"/>
            <w:tcBorders>
              <w:top w:val="single" w:sz="2" w:space="0" w:color="auto"/>
              <w:left w:val="single" w:sz="4" w:space="0" w:color="auto"/>
              <w:bottom w:val="single" w:sz="2" w:space="0" w:color="auto"/>
            </w:tcBorders>
            <w:vAlign w:val="center"/>
          </w:tcPr>
          <w:p w14:paraId="50F1863D" w14:textId="77777777" w:rsidR="006E6CAF" w:rsidRPr="00CE1FD8" w:rsidRDefault="008822BC" w:rsidP="00C30FD4">
            <w:pPr>
              <w:jc w:val="center"/>
              <w:rPr>
                <w:rFonts w:ascii="Calibri" w:hAnsi="Calibri"/>
                <w:b/>
                <w:szCs w:val="21"/>
                <w:u w:val="single"/>
              </w:rPr>
            </w:pPr>
            <w:r w:rsidRPr="00CE1FD8">
              <w:rPr>
                <w:rFonts w:ascii="Calibri" w:hAnsi="Calibri"/>
                <w:b/>
                <w:szCs w:val="21"/>
                <w:u w:val="single"/>
              </w:rPr>
              <w:t>40</w:t>
            </w:r>
          </w:p>
        </w:tc>
      </w:tr>
      <w:tr w:rsidR="006E6CAF" w:rsidRPr="00CE1FD8" w14:paraId="46EB32E7" w14:textId="77777777" w:rsidTr="00046C54">
        <w:trPr>
          <w:trHeight w:val="343"/>
          <w:jc w:val="center"/>
        </w:trPr>
        <w:tc>
          <w:tcPr>
            <w:tcW w:w="925" w:type="pct"/>
            <w:tcBorders>
              <w:top w:val="single" w:sz="2" w:space="0" w:color="auto"/>
              <w:left w:val="single" w:sz="12" w:space="0" w:color="auto"/>
              <w:bottom w:val="single" w:sz="2" w:space="0" w:color="auto"/>
            </w:tcBorders>
            <w:tcMar>
              <w:left w:w="85" w:type="dxa"/>
              <w:right w:w="85" w:type="dxa"/>
            </w:tcMar>
            <w:vAlign w:val="center"/>
          </w:tcPr>
          <w:p w14:paraId="0D512D8C" w14:textId="77777777" w:rsidR="006E6CAF" w:rsidRPr="00CE1FD8" w:rsidRDefault="006E6CAF" w:rsidP="00C30FD4">
            <w:pPr>
              <w:jc w:val="center"/>
              <w:rPr>
                <w:rFonts w:ascii="Calibri" w:hAnsi="Calibri"/>
                <w:b/>
                <w:szCs w:val="21"/>
                <w:u w:val="single"/>
              </w:rPr>
            </w:pPr>
            <w:r w:rsidRPr="00CE1FD8">
              <w:rPr>
                <w:rFonts w:ascii="Calibri" w:hAnsi="Calibri" w:hint="eastAsia"/>
                <w:b/>
                <w:szCs w:val="21"/>
                <w:u w:val="single"/>
              </w:rPr>
              <w:t>氨</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7E4D02C3" w14:textId="77777777" w:rsidR="006E6CAF" w:rsidRPr="00CE1FD8" w:rsidRDefault="00046C54" w:rsidP="00C30FD4">
            <w:pPr>
              <w:jc w:val="center"/>
              <w:rPr>
                <w:rFonts w:ascii="Calibri" w:hAnsi="Calibri"/>
                <w:b/>
                <w:szCs w:val="21"/>
                <w:u w:val="single"/>
              </w:rPr>
            </w:pPr>
            <w:r w:rsidRPr="00CE1FD8">
              <w:rPr>
                <w:rFonts w:ascii="Calibri" w:hAnsi="Calibri" w:hint="eastAsia"/>
                <w:b/>
                <w:szCs w:val="21"/>
                <w:u w:val="single"/>
              </w:rPr>
              <w:t>0.42</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6B6FE7CD" w14:textId="77777777" w:rsidR="006E6CAF" w:rsidRPr="00CE1FD8" w:rsidRDefault="006E6CAF" w:rsidP="00C30FD4">
            <w:pPr>
              <w:jc w:val="center"/>
              <w:rPr>
                <w:rFonts w:ascii="Calibri" w:hAnsi="Calibri"/>
                <w:b/>
                <w:szCs w:val="21"/>
                <w:u w:val="single"/>
              </w:rPr>
            </w:pPr>
            <w:r w:rsidRPr="00CE1FD8">
              <w:rPr>
                <w:rFonts w:ascii="Calibri" w:hAnsi="Calibri" w:hint="eastAsia"/>
                <w:b/>
                <w:color w:val="auto"/>
                <w:u w:val="single"/>
              </w:rPr>
              <w:t>0.006</w:t>
            </w:r>
          </w:p>
        </w:tc>
        <w:tc>
          <w:tcPr>
            <w:tcW w:w="415" w:type="pct"/>
            <w:vMerge/>
            <w:tcBorders>
              <w:left w:val="single" w:sz="4" w:space="0" w:color="auto"/>
            </w:tcBorders>
            <w:tcMar>
              <w:left w:w="85" w:type="dxa"/>
              <w:right w:w="85" w:type="dxa"/>
            </w:tcMar>
            <w:vAlign w:val="center"/>
          </w:tcPr>
          <w:p w14:paraId="3F1C9224" w14:textId="77777777" w:rsidR="006E6CAF" w:rsidRPr="00CE1FD8" w:rsidRDefault="006E6CAF" w:rsidP="00C30FD4">
            <w:pPr>
              <w:jc w:val="center"/>
              <w:rPr>
                <w:rFonts w:ascii="Calibri" w:hAnsi="Calibri"/>
                <w:b/>
                <w:szCs w:val="21"/>
                <w:u w:val="single"/>
              </w:rPr>
            </w:pPr>
          </w:p>
        </w:tc>
        <w:tc>
          <w:tcPr>
            <w:tcW w:w="322" w:type="pct"/>
            <w:tcBorders>
              <w:left w:val="single" w:sz="4" w:space="0" w:color="auto"/>
              <w:right w:val="single" w:sz="4" w:space="0" w:color="auto"/>
            </w:tcBorders>
            <w:tcMar>
              <w:left w:w="85" w:type="dxa"/>
              <w:right w:w="85" w:type="dxa"/>
            </w:tcMar>
            <w:vAlign w:val="center"/>
          </w:tcPr>
          <w:p w14:paraId="461F53DB" w14:textId="77777777" w:rsidR="006E6CAF" w:rsidRPr="00CE1FD8" w:rsidRDefault="006E6CAF" w:rsidP="00C30FD4">
            <w:pPr>
              <w:jc w:val="center"/>
              <w:rPr>
                <w:rFonts w:ascii="Calibri" w:hAnsi="Calibri"/>
                <w:b/>
                <w:color w:val="auto"/>
                <w:szCs w:val="21"/>
                <w:u w:val="single"/>
              </w:rPr>
            </w:pPr>
            <w:r w:rsidRPr="00CE1FD8">
              <w:rPr>
                <w:rFonts w:ascii="Calibri" w:hAnsi="Calibri" w:hint="eastAsia"/>
                <w:b/>
                <w:color w:val="auto"/>
                <w:szCs w:val="21"/>
                <w:u w:val="single"/>
              </w:rPr>
              <w:t>70%</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3AE0DE29" w14:textId="77777777" w:rsidR="006E6CAF" w:rsidRPr="00CE1FD8" w:rsidRDefault="00046C54" w:rsidP="00C30FD4">
            <w:pPr>
              <w:jc w:val="center"/>
              <w:rPr>
                <w:rFonts w:asciiTheme="minorHAnsi" w:hAnsiTheme="minorHAnsi" w:cstheme="minorHAnsi"/>
                <w:b/>
                <w:color w:val="auto"/>
                <w:szCs w:val="21"/>
                <w:u w:val="single"/>
              </w:rPr>
            </w:pPr>
            <w:r w:rsidRPr="00CE1FD8">
              <w:rPr>
                <w:rFonts w:asciiTheme="minorHAnsi" w:hAnsiTheme="minorHAnsi" w:cstheme="minorHAnsi" w:hint="eastAsia"/>
                <w:b/>
                <w:color w:val="auto"/>
                <w:szCs w:val="21"/>
                <w:u w:val="single"/>
              </w:rPr>
              <w:t>0.13</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5FB7B06C" w14:textId="77777777" w:rsidR="006E6CAF" w:rsidRPr="00CE1FD8" w:rsidRDefault="006E6CAF" w:rsidP="00387347">
            <w:pPr>
              <w:jc w:val="center"/>
              <w:rPr>
                <w:rFonts w:ascii="Calibri" w:hAnsi="Calibri"/>
                <w:b/>
                <w:color w:val="auto"/>
                <w:szCs w:val="21"/>
                <w:u w:val="single"/>
              </w:rPr>
            </w:pPr>
            <w:r w:rsidRPr="00CE1FD8">
              <w:rPr>
                <w:rFonts w:ascii="Calibri" w:hAnsi="Calibri" w:hint="eastAsia"/>
                <w:b/>
                <w:color w:val="auto"/>
                <w:szCs w:val="21"/>
                <w:u w:val="single"/>
              </w:rPr>
              <w:t>0.00025</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24F7FDCC" w14:textId="77777777" w:rsidR="006E6CAF" w:rsidRPr="00CE1FD8" w:rsidRDefault="006E6CAF" w:rsidP="000B6AA0">
            <w:pPr>
              <w:jc w:val="center"/>
              <w:rPr>
                <w:rFonts w:ascii="Calibri" w:hAnsi="Calibri"/>
                <w:b/>
                <w:color w:val="auto"/>
                <w:szCs w:val="21"/>
                <w:u w:val="single"/>
              </w:rPr>
            </w:pPr>
            <w:r w:rsidRPr="00CE1FD8">
              <w:rPr>
                <w:rFonts w:ascii="Calibri" w:hAnsi="Calibri" w:hint="eastAsia"/>
                <w:b/>
                <w:color w:val="auto"/>
                <w:szCs w:val="21"/>
                <w:u w:val="single"/>
              </w:rPr>
              <w:t>0.0018</w:t>
            </w:r>
          </w:p>
        </w:tc>
        <w:tc>
          <w:tcPr>
            <w:tcW w:w="336" w:type="pct"/>
            <w:tcBorders>
              <w:top w:val="single" w:sz="2" w:space="0" w:color="auto"/>
              <w:left w:val="single" w:sz="4" w:space="0" w:color="auto"/>
              <w:bottom w:val="single" w:sz="2" w:space="0" w:color="auto"/>
            </w:tcBorders>
            <w:vAlign w:val="center"/>
          </w:tcPr>
          <w:p w14:paraId="58D0376D" w14:textId="77777777" w:rsidR="006E6CAF" w:rsidRPr="00CE1FD8" w:rsidRDefault="00046C54" w:rsidP="00C30FD4">
            <w:pPr>
              <w:jc w:val="center"/>
              <w:rPr>
                <w:rFonts w:ascii="Calibri" w:hAnsi="Calibri"/>
                <w:b/>
                <w:szCs w:val="21"/>
                <w:u w:val="single"/>
              </w:rPr>
            </w:pPr>
            <w:r w:rsidRPr="00CE1FD8">
              <w:rPr>
                <w:rFonts w:ascii="Calibri" w:hAnsi="Calibri" w:hint="eastAsia"/>
                <w:b/>
                <w:szCs w:val="21"/>
                <w:u w:val="single"/>
              </w:rPr>
              <w:t>30</w:t>
            </w:r>
          </w:p>
        </w:tc>
      </w:tr>
      <w:tr w:rsidR="00C77399" w:rsidRPr="00CE1FD8" w14:paraId="29724C75" w14:textId="77777777" w:rsidTr="00C77399">
        <w:trPr>
          <w:trHeight w:val="343"/>
          <w:jc w:val="center"/>
        </w:trPr>
        <w:tc>
          <w:tcPr>
            <w:tcW w:w="5000" w:type="pct"/>
            <w:gridSpan w:val="9"/>
            <w:tcBorders>
              <w:top w:val="single" w:sz="2" w:space="0" w:color="auto"/>
              <w:left w:val="single" w:sz="12" w:space="0" w:color="auto"/>
              <w:bottom w:val="single" w:sz="2" w:space="0" w:color="auto"/>
            </w:tcBorders>
            <w:tcMar>
              <w:left w:w="85" w:type="dxa"/>
              <w:right w:w="85" w:type="dxa"/>
            </w:tcMar>
            <w:vAlign w:val="center"/>
          </w:tcPr>
          <w:p w14:paraId="480CADBF" w14:textId="77777777" w:rsidR="00C77399" w:rsidRPr="00CE1FD8" w:rsidRDefault="00C77399" w:rsidP="00C30FD4">
            <w:pPr>
              <w:jc w:val="center"/>
              <w:rPr>
                <w:rFonts w:ascii="Calibri" w:hAnsi="Calibri"/>
                <w:b/>
                <w:szCs w:val="21"/>
                <w:u w:val="single"/>
              </w:rPr>
            </w:pPr>
            <w:r w:rsidRPr="00CE1FD8">
              <w:rPr>
                <w:rFonts w:ascii="Calibri" w:hAnsi="Calibri"/>
                <w:b/>
                <w:szCs w:val="21"/>
                <w:u w:val="single"/>
              </w:rPr>
              <w:t>全厂废气</w:t>
            </w:r>
          </w:p>
        </w:tc>
      </w:tr>
      <w:tr w:rsidR="00046C54" w:rsidRPr="00CE1FD8" w14:paraId="6F5ED2F7" w14:textId="77777777" w:rsidTr="00046C54">
        <w:trPr>
          <w:trHeight w:val="343"/>
          <w:jc w:val="center"/>
        </w:trPr>
        <w:tc>
          <w:tcPr>
            <w:tcW w:w="925" w:type="pct"/>
            <w:tcBorders>
              <w:top w:val="single" w:sz="2" w:space="0" w:color="auto"/>
              <w:left w:val="single" w:sz="12" w:space="0" w:color="auto"/>
            </w:tcBorders>
            <w:tcMar>
              <w:left w:w="85" w:type="dxa"/>
              <w:right w:w="85" w:type="dxa"/>
            </w:tcMar>
            <w:vAlign w:val="center"/>
          </w:tcPr>
          <w:p w14:paraId="20EBF6B4"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己二胺</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176414D6"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7580071E" w14:textId="77777777" w:rsidR="00046C54" w:rsidRPr="00CE1FD8" w:rsidRDefault="00770B51" w:rsidP="00AE22DE">
            <w:pPr>
              <w:jc w:val="center"/>
              <w:rPr>
                <w:rFonts w:ascii="Calibri" w:hAnsi="Calibri"/>
                <w:b/>
                <w:szCs w:val="21"/>
                <w:u w:val="single"/>
              </w:rPr>
            </w:pPr>
            <w:r w:rsidRPr="00CE1FD8">
              <w:rPr>
                <w:rFonts w:ascii="Calibri" w:hAnsi="Calibri"/>
                <w:b/>
                <w:szCs w:val="21"/>
                <w:u w:val="single"/>
              </w:rPr>
              <w:t>3.51</w:t>
            </w:r>
          </w:p>
        </w:tc>
        <w:tc>
          <w:tcPr>
            <w:tcW w:w="415" w:type="pct"/>
            <w:vMerge w:val="restart"/>
            <w:tcBorders>
              <w:left w:val="single" w:sz="4" w:space="0" w:color="auto"/>
            </w:tcBorders>
            <w:tcMar>
              <w:left w:w="85" w:type="dxa"/>
              <w:right w:w="85" w:type="dxa"/>
            </w:tcMar>
            <w:vAlign w:val="center"/>
          </w:tcPr>
          <w:p w14:paraId="4B9DFEA3" w14:textId="77777777" w:rsidR="00046C54" w:rsidRPr="00CE1FD8" w:rsidRDefault="00046C54" w:rsidP="00AE22DE">
            <w:pPr>
              <w:jc w:val="center"/>
              <w:rPr>
                <w:rFonts w:ascii="Calibri" w:hAnsi="Calibri"/>
                <w:b/>
                <w:szCs w:val="21"/>
                <w:u w:val="single"/>
              </w:rPr>
            </w:pPr>
            <w:r w:rsidRPr="00CE1FD8">
              <w:rPr>
                <w:rFonts w:ascii="Calibri" w:hAnsi="Calibri" w:hint="eastAsia"/>
                <w:b/>
                <w:color w:val="auto"/>
                <w:u w:val="single"/>
              </w:rPr>
              <w:t>/</w:t>
            </w:r>
          </w:p>
        </w:tc>
        <w:tc>
          <w:tcPr>
            <w:tcW w:w="322" w:type="pct"/>
            <w:tcBorders>
              <w:left w:val="single" w:sz="4" w:space="0" w:color="auto"/>
              <w:right w:val="single" w:sz="4" w:space="0" w:color="auto"/>
            </w:tcBorders>
            <w:tcMar>
              <w:left w:w="85" w:type="dxa"/>
              <w:right w:w="85" w:type="dxa"/>
            </w:tcMar>
            <w:vAlign w:val="center"/>
          </w:tcPr>
          <w:p w14:paraId="073E8D0F" w14:textId="77777777" w:rsidR="00046C54" w:rsidRPr="00CE1FD8" w:rsidRDefault="00046C54" w:rsidP="00AE22DE">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05B623C3" w14:textId="77777777" w:rsidR="00046C54" w:rsidRPr="00CE1FD8" w:rsidRDefault="00CE1FD8" w:rsidP="00AE22DE">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9.80</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3786A2DE" w14:textId="77777777" w:rsidR="00046C54" w:rsidRPr="00CE1FD8" w:rsidRDefault="00046C54" w:rsidP="00CE1FD8">
            <w:pPr>
              <w:jc w:val="center"/>
              <w:rPr>
                <w:rFonts w:ascii="Calibri" w:hAnsi="Calibri"/>
                <w:b/>
                <w:color w:val="auto"/>
                <w:szCs w:val="21"/>
                <w:u w:val="single"/>
              </w:rPr>
            </w:pPr>
            <w:r w:rsidRPr="00CE1FD8">
              <w:rPr>
                <w:rFonts w:ascii="Calibri" w:hAnsi="Calibri"/>
                <w:b/>
                <w:color w:val="auto"/>
                <w:szCs w:val="21"/>
                <w:u w:val="single"/>
              </w:rPr>
              <w:t>0.0</w:t>
            </w:r>
            <w:r w:rsidR="00CE1FD8" w:rsidRPr="00CE1FD8">
              <w:rPr>
                <w:rFonts w:ascii="Calibri" w:hAnsi="Calibri"/>
                <w:b/>
                <w:color w:val="auto"/>
                <w:szCs w:val="21"/>
                <w:u w:val="single"/>
              </w:rPr>
              <w:t>49</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4322ECE0" w14:textId="77777777" w:rsidR="00046C54" w:rsidRPr="00CE1FD8" w:rsidRDefault="00CE1FD8" w:rsidP="008822BC">
            <w:pPr>
              <w:jc w:val="center"/>
              <w:rPr>
                <w:rFonts w:ascii="Calibri" w:hAnsi="Calibri"/>
                <w:b/>
                <w:color w:val="auto"/>
                <w:szCs w:val="21"/>
                <w:u w:val="single"/>
              </w:rPr>
            </w:pPr>
            <w:r w:rsidRPr="00CE1FD8">
              <w:rPr>
                <w:rFonts w:ascii="Calibri" w:hAnsi="Calibri"/>
                <w:b/>
                <w:color w:val="auto"/>
                <w:szCs w:val="21"/>
                <w:u w:val="single"/>
              </w:rPr>
              <w:t>0.35</w:t>
            </w:r>
          </w:p>
        </w:tc>
        <w:tc>
          <w:tcPr>
            <w:tcW w:w="336" w:type="pct"/>
            <w:tcBorders>
              <w:top w:val="single" w:sz="2" w:space="0" w:color="auto"/>
              <w:left w:val="single" w:sz="4" w:space="0" w:color="auto"/>
              <w:bottom w:val="single" w:sz="2" w:space="0" w:color="auto"/>
            </w:tcBorders>
            <w:vAlign w:val="center"/>
          </w:tcPr>
          <w:p w14:paraId="2DE61921" w14:textId="77777777" w:rsidR="00046C54" w:rsidRPr="00CE1FD8" w:rsidRDefault="00FC027B" w:rsidP="00AE22DE">
            <w:pPr>
              <w:jc w:val="center"/>
              <w:rPr>
                <w:rFonts w:ascii="Calibri" w:hAnsi="Calibri"/>
                <w:b/>
                <w:szCs w:val="21"/>
                <w:u w:val="single"/>
              </w:rPr>
            </w:pPr>
            <w:r w:rsidRPr="00CE1FD8">
              <w:rPr>
                <w:rFonts w:ascii="Calibri" w:hAnsi="Calibri"/>
                <w:b/>
                <w:szCs w:val="21"/>
                <w:u w:val="single"/>
              </w:rPr>
              <w:t>80</w:t>
            </w:r>
          </w:p>
        </w:tc>
      </w:tr>
      <w:tr w:rsidR="005D52DF" w:rsidRPr="00CE1FD8" w14:paraId="255D9EA8" w14:textId="77777777" w:rsidTr="00046C54">
        <w:trPr>
          <w:trHeight w:val="343"/>
          <w:jc w:val="center"/>
        </w:trPr>
        <w:tc>
          <w:tcPr>
            <w:tcW w:w="925" w:type="pct"/>
            <w:tcBorders>
              <w:top w:val="single" w:sz="2" w:space="0" w:color="auto"/>
              <w:left w:val="single" w:sz="12" w:space="0" w:color="auto"/>
            </w:tcBorders>
            <w:tcMar>
              <w:left w:w="85" w:type="dxa"/>
              <w:right w:w="85" w:type="dxa"/>
            </w:tcMar>
            <w:vAlign w:val="center"/>
          </w:tcPr>
          <w:p w14:paraId="23D02E9D" w14:textId="77777777" w:rsidR="005D52DF" w:rsidRPr="00CE1FD8" w:rsidRDefault="005D52DF" w:rsidP="00AE22DE">
            <w:pPr>
              <w:jc w:val="center"/>
              <w:rPr>
                <w:rFonts w:ascii="Calibri" w:hAnsi="Calibri"/>
                <w:b/>
                <w:szCs w:val="21"/>
                <w:u w:val="single"/>
              </w:rPr>
            </w:pPr>
            <w:r w:rsidRPr="00CE1FD8">
              <w:rPr>
                <w:rFonts w:ascii="Calibri" w:hAnsi="Calibri" w:hint="eastAsia"/>
                <w:b/>
                <w:szCs w:val="21"/>
                <w:u w:val="single"/>
              </w:rPr>
              <w:t>己二酸</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049911A2" w14:textId="77777777" w:rsidR="005D52DF" w:rsidRPr="00CE1FD8" w:rsidRDefault="00770B51" w:rsidP="00AE22DE">
            <w:pPr>
              <w:jc w:val="center"/>
              <w:rPr>
                <w:rFonts w:ascii="Calibri" w:hAnsi="Calibri"/>
                <w:b/>
                <w:szCs w:val="21"/>
                <w:u w:val="single"/>
              </w:rPr>
            </w:pPr>
            <w:r w:rsidRPr="00CE1FD8">
              <w:rPr>
                <w:rFonts w:ascii="Calibri" w:hAnsi="Calibri" w:hint="eastAsia"/>
                <w:b/>
                <w:szCs w:val="21"/>
                <w:u w:val="single"/>
              </w:rPr>
              <w:t>/</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7F462A19" w14:textId="77777777" w:rsidR="005D52DF" w:rsidRPr="00CE1FD8" w:rsidRDefault="00770B51" w:rsidP="00AE22DE">
            <w:pPr>
              <w:jc w:val="center"/>
              <w:rPr>
                <w:rFonts w:ascii="Calibri" w:hAnsi="Calibri"/>
                <w:b/>
                <w:szCs w:val="21"/>
                <w:u w:val="single"/>
              </w:rPr>
            </w:pPr>
            <w:r w:rsidRPr="00CE1FD8">
              <w:rPr>
                <w:rFonts w:ascii="Calibri" w:hAnsi="Calibri" w:hint="eastAsia"/>
                <w:b/>
                <w:szCs w:val="21"/>
                <w:u w:val="single"/>
              </w:rPr>
              <w:t>0.55</w:t>
            </w:r>
          </w:p>
        </w:tc>
        <w:tc>
          <w:tcPr>
            <w:tcW w:w="415" w:type="pct"/>
            <w:vMerge/>
            <w:tcBorders>
              <w:left w:val="single" w:sz="4" w:space="0" w:color="auto"/>
            </w:tcBorders>
            <w:tcMar>
              <w:left w:w="85" w:type="dxa"/>
              <w:right w:w="85" w:type="dxa"/>
            </w:tcMar>
            <w:vAlign w:val="center"/>
          </w:tcPr>
          <w:p w14:paraId="41C9EE67" w14:textId="77777777" w:rsidR="005D52DF" w:rsidRPr="00CE1FD8" w:rsidRDefault="005D52DF" w:rsidP="00AE22DE">
            <w:pPr>
              <w:jc w:val="center"/>
              <w:rPr>
                <w:rFonts w:ascii="Calibri" w:hAnsi="Calibri"/>
                <w:b/>
                <w:color w:val="auto"/>
                <w:u w:val="single"/>
              </w:rPr>
            </w:pPr>
          </w:p>
        </w:tc>
        <w:tc>
          <w:tcPr>
            <w:tcW w:w="322" w:type="pct"/>
            <w:tcBorders>
              <w:left w:val="single" w:sz="4" w:space="0" w:color="auto"/>
              <w:right w:val="single" w:sz="4" w:space="0" w:color="auto"/>
            </w:tcBorders>
            <w:tcMar>
              <w:left w:w="85" w:type="dxa"/>
              <w:right w:w="85" w:type="dxa"/>
            </w:tcMar>
            <w:vAlign w:val="center"/>
          </w:tcPr>
          <w:p w14:paraId="7ACBBFDA" w14:textId="77777777" w:rsidR="005D52DF" w:rsidRPr="00CE1FD8" w:rsidRDefault="00770B51" w:rsidP="00AE22DE">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758C179C" w14:textId="77777777" w:rsidR="005D52DF" w:rsidRPr="00CE1FD8" w:rsidRDefault="00CE1FD8" w:rsidP="00AE22DE">
            <w:pPr>
              <w:jc w:val="center"/>
              <w:rPr>
                <w:rFonts w:asciiTheme="minorHAnsi" w:hAnsiTheme="minorHAnsi" w:cstheme="minorHAnsi"/>
                <w:b/>
                <w:color w:val="auto"/>
                <w:szCs w:val="21"/>
                <w:u w:val="single"/>
              </w:rPr>
            </w:pPr>
            <w:r w:rsidRPr="00CE1FD8">
              <w:rPr>
                <w:rFonts w:asciiTheme="minorHAnsi" w:hAnsiTheme="minorHAnsi" w:cstheme="minorHAnsi" w:hint="eastAsia"/>
                <w:b/>
                <w:color w:val="auto"/>
                <w:szCs w:val="21"/>
                <w:u w:val="single"/>
              </w:rPr>
              <w:t>1.52</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1A72C0F9" w14:textId="77777777" w:rsidR="005D52DF" w:rsidRPr="00CE1FD8" w:rsidRDefault="00CE1FD8" w:rsidP="008822BC">
            <w:pPr>
              <w:jc w:val="center"/>
              <w:rPr>
                <w:rFonts w:ascii="Calibri" w:hAnsi="Calibri"/>
                <w:b/>
                <w:color w:val="auto"/>
                <w:szCs w:val="21"/>
                <w:u w:val="single"/>
              </w:rPr>
            </w:pPr>
            <w:r w:rsidRPr="00CE1FD8">
              <w:rPr>
                <w:rFonts w:ascii="Calibri" w:hAnsi="Calibri" w:hint="eastAsia"/>
                <w:b/>
                <w:color w:val="auto"/>
                <w:szCs w:val="21"/>
                <w:u w:val="single"/>
              </w:rPr>
              <w:t>0.0076</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3F61C954" w14:textId="77777777" w:rsidR="005D52DF" w:rsidRPr="00CE1FD8" w:rsidRDefault="00CE1FD8" w:rsidP="008822BC">
            <w:pPr>
              <w:jc w:val="center"/>
              <w:rPr>
                <w:rFonts w:ascii="Calibri" w:hAnsi="Calibri"/>
                <w:b/>
                <w:color w:val="auto"/>
                <w:szCs w:val="21"/>
                <w:u w:val="single"/>
              </w:rPr>
            </w:pPr>
            <w:r w:rsidRPr="00CE1FD8">
              <w:rPr>
                <w:rFonts w:ascii="Calibri" w:hAnsi="Calibri" w:hint="eastAsia"/>
                <w:b/>
                <w:color w:val="auto"/>
                <w:szCs w:val="21"/>
                <w:u w:val="single"/>
              </w:rPr>
              <w:t>0.055</w:t>
            </w:r>
          </w:p>
        </w:tc>
        <w:tc>
          <w:tcPr>
            <w:tcW w:w="336" w:type="pct"/>
            <w:tcBorders>
              <w:top w:val="single" w:sz="2" w:space="0" w:color="auto"/>
              <w:left w:val="single" w:sz="4" w:space="0" w:color="auto"/>
              <w:bottom w:val="single" w:sz="2" w:space="0" w:color="auto"/>
            </w:tcBorders>
            <w:vAlign w:val="center"/>
          </w:tcPr>
          <w:p w14:paraId="25757030" w14:textId="77777777" w:rsidR="005D52DF" w:rsidRPr="00CE1FD8" w:rsidRDefault="00FC027B" w:rsidP="00AE22DE">
            <w:pPr>
              <w:jc w:val="center"/>
              <w:rPr>
                <w:rFonts w:ascii="Calibri" w:hAnsi="Calibri"/>
                <w:b/>
                <w:szCs w:val="21"/>
                <w:u w:val="single"/>
              </w:rPr>
            </w:pPr>
            <w:r w:rsidRPr="00CE1FD8">
              <w:rPr>
                <w:rFonts w:ascii="Calibri" w:hAnsi="Calibri" w:hint="eastAsia"/>
                <w:b/>
                <w:szCs w:val="21"/>
                <w:u w:val="single"/>
              </w:rPr>
              <w:t>80</w:t>
            </w:r>
          </w:p>
        </w:tc>
      </w:tr>
      <w:tr w:rsidR="00046C54" w:rsidRPr="00CE1FD8" w14:paraId="138C3013" w14:textId="77777777" w:rsidTr="00046C54">
        <w:trPr>
          <w:trHeight w:val="343"/>
          <w:jc w:val="center"/>
        </w:trPr>
        <w:tc>
          <w:tcPr>
            <w:tcW w:w="925" w:type="pct"/>
            <w:tcBorders>
              <w:left w:val="single" w:sz="12" w:space="0" w:color="auto"/>
            </w:tcBorders>
            <w:tcMar>
              <w:left w:w="85" w:type="dxa"/>
              <w:right w:w="85" w:type="dxa"/>
            </w:tcMar>
            <w:vAlign w:val="center"/>
          </w:tcPr>
          <w:p w14:paraId="139C55DF"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非甲烷总烃</w:t>
            </w:r>
          </w:p>
        </w:tc>
        <w:tc>
          <w:tcPr>
            <w:tcW w:w="615" w:type="pct"/>
            <w:tcBorders>
              <w:top w:val="single" w:sz="2" w:space="0" w:color="auto"/>
              <w:bottom w:val="single" w:sz="2" w:space="0" w:color="auto"/>
              <w:right w:val="single" w:sz="4" w:space="0" w:color="auto"/>
            </w:tcBorders>
            <w:tcMar>
              <w:left w:w="85" w:type="dxa"/>
              <w:right w:w="85" w:type="dxa"/>
            </w:tcMar>
            <w:vAlign w:val="center"/>
          </w:tcPr>
          <w:p w14:paraId="6F970062"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w:t>
            </w:r>
          </w:p>
        </w:tc>
        <w:tc>
          <w:tcPr>
            <w:tcW w:w="482" w:type="pct"/>
            <w:tcBorders>
              <w:top w:val="single" w:sz="2" w:space="0" w:color="auto"/>
              <w:bottom w:val="single" w:sz="2" w:space="0" w:color="auto"/>
              <w:right w:val="single" w:sz="4" w:space="0" w:color="auto"/>
            </w:tcBorders>
            <w:tcMar>
              <w:left w:w="85" w:type="dxa"/>
              <w:right w:w="85" w:type="dxa"/>
            </w:tcMar>
            <w:vAlign w:val="center"/>
          </w:tcPr>
          <w:p w14:paraId="0EF6AE89" w14:textId="77777777" w:rsidR="00046C54" w:rsidRPr="00CE1FD8" w:rsidRDefault="00770B51" w:rsidP="00AE22DE">
            <w:pPr>
              <w:jc w:val="center"/>
              <w:rPr>
                <w:rFonts w:ascii="Calibri" w:hAnsi="Calibri"/>
                <w:b/>
                <w:szCs w:val="21"/>
                <w:u w:val="single"/>
              </w:rPr>
            </w:pPr>
            <w:r w:rsidRPr="00CE1FD8">
              <w:rPr>
                <w:rFonts w:ascii="Calibri" w:hAnsi="Calibri"/>
                <w:b/>
                <w:szCs w:val="21"/>
                <w:u w:val="single"/>
              </w:rPr>
              <w:t>5.29</w:t>
            </w:r>
          </w:p>
        </w:tc>
        <w:tc>
          <w:tcPr>
            <w:tcW w:w="415" w:type="pct"/>
            <w:vMerge/>
            <w:tcBorders>
              <w:left w:val="single" w:sz="4" w:space="0" w:color="auto"/>
            </w:tcBorders>
            <w:tcMar>
              <w:left w:w="85" w:type="dxa"/>
              <w:right w:w="85" w:type="dxa"/>
            </w:tcMar>
            <w:vAlign w:val="center"/>
          </w:tcPr>
          <w:p w14:paraId="289265DC" w14:textId="77777777" w:rsidR="00046C54" w:rsidRPr="00CE1FD8" w:rsidRDefault="00046C54" w:rsidP="00AE22DE">
            <w:pPr>
              <w:jc w:val="center"/>
              <w:rPr>
                <w:rFonts w:ascii="Calibri" w:hAnsi="Calibri"/>
                <w:b/>
                <w:szCs w:val="21"/>
                <w:u w:val="single"/>
              </w:rPr>
            </w:pPr>
          </w:p>
        </w:tc>
        <w:tc>
          <w:tcPr>
            <w:tcW w:w="322" w:type="pct"/>
            <w:tcBorders>
              <w:left w:val="single" w:sz="4" w:space="0" w:color="auto"/>
              <w:right w:val="single" w:sz="4" w:space="0" w:color="auto"/>
            </w:tcBorders>
            <w:tcMar>
              <w:left w:w="85" w:type="dxa"/>
              <w:right w:w="85" w:type="dxa"/>
            </w:tcMar>
            <w:vAlign w:val="center"/>
          </w:tcPr>
          <w:p w14:paraId="135A6338" w14:textId="77777777" w:rsidR="00046C54" w:rsidRPr="00CE1FD8" w:rsidRDefault="00046C54" w:rsidP="00AE22DE">
            <w:pPr>
              <w:jc w:val="center"/>
              <w:rPr>
                <w:rFonts w:ascii="Calibri" w:hAnsi="Calibri"/>
                <w:b/>
                <w:color w:val="auto"/>
                <w:szCs w:val="21"/>
                <w:u w:val="single"/>
              </w:rPr>
            </w:pPr>
            <w:r w:rsidRPr="00CE1FD8">
              <w:rPr>
                <w:rFonts w:ascii="Calibri" w:hAnsi="Calibri"/>
                <w:b/>
                <w:color w:val="auto"/>
                <w:szCs w:val="21"/>
                <w:u w:val="single"/>
              </w:rPr>
              <w:t>90</w:t>
            </w:r>
            <w:r w:rsidRPr="00CE1FD8">
              <w:rPr>
                <w:rFonts w:ascii="Calibri" w:hAnsi="Calibri" w:hint="eastAsia"/>
                <w:b/>
                <w:color w:val="auto"/>
                <w:szCs w:val="21"/>
                <w:u w:val="single"/>
              </w:rPr>
              <w:t>%</w:t>
            </w:r>
          </w:p>
        </w:tc>
        <w:tc>
          <w:tcPr>
            <w:tcW w:w="697" w:type="pct"/>
            <w:tcBorders>
              <w:top w:val="single" w:sz="2" w:space="0" w:color="auto"/>
              <w:left w:val="single" w:sz="4" w:space="0" w:color="auto"/>
              <w:bottom w:val="single" w:sz="2" w:space="0" w:color="auto"/>
            </w:tcBorders>
            <w:tcMar>
              <w:left w:w="85" w:type="dxa"/>
              <w:right w:w="85" w:type="dxa"/>
            </w:tcMar>
            <w:vAlign w:val="center"/>
          </w:tcPr>
          <w:p w14:paraId="0D9D1AF6" w14:textId="77777777" w:rsidR="00046C54" w:rsidRPr="00CE1FD8" w:rsidRDefault="00CE1FD8" w:rsidP="00AE22DE">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14.8</w:t>
            </w:r>
          </w:p>
        </w:tc>
        <w:tc>
          <w:tcPr>
            <w:tcW w:w="725" w:type="pct"/>
            <w:tcBorders>
              <w:top w:val="single" w:sz="2" w:space="0" w:color="auto"/>
              <w:left w:val="single" w:sz="4" w:space="0" w:color="auto"/>
              <w:bottom w:val="single" w:sz="2" w:space="0" w:color="auto"/>
            </w:tcBorders>
            <w:tcMar>
              <w:left w:w="85" w:type="dxa"/>
              <w:right w:w="85" w:type="dxa"/>
            </w:tcMar>
            <w:vAlign w:val="center"/>
          </w:tcPr>
          <w:p w14:paraId="5F200B02" w14:textId="77777777" w:rsidR="00046C54" w:rsidRPr="00CE1FD8" w:rsidRDefault="008822BC" w:rsidP="00CE1FD8">
            <w:pPr>
              <w:jc w:val="center"/>
              <w:rPr>
                <w:rFonts w:ascii="Calibri" w:hAnsi="Calibri"/>
                <w:b/>
                <w:color w:val="auto"/>
                <w:szCs w:val="21"/>
                <w:u w:val="single"/>
              </w:rPr>
            </w:pPr>
            <w:r w:rsidRPr="00CE1FD8">
              <w:rPr>
                <w:rFonts w:ascii="Calibri" w:hAnsi="Calibri"/>
                <w:b/>
                <w:color w:val="auto"/>
                <w:szCs w:val="21"/>
                <w:u w:val="single"/>
              </w:rPr>
              <w:t>0.0</w:t>
            </w:r>
            <w:r w:rsidR="00CE1FD8" w:rsidRPr="00CE1FD8">
              <w:rPr>
                <w:rFonts w:ascii="Calibri" w:hAnsi="Calibri"/>
                <w:b/>
                <w:color w:val="auto"/>
                <w:szCs w:val="21"/>
                <w:u w:val="single"/>
              </w:rPr>
              <w:t>74</w:t>
            </w:r>
          </w:p>
        </w:tc>
        <w:tc>
          <w:tcPr>
            <w:tcW w:w="483" w:type="pct"/>
            <w:tcBorders>
              <w:top w:val="single" w:sz="2" w:space="0" w:color="auto"/>
              <w:left w:val="single" w:sz="4" w:space="0" w:color="auto"/>
              <w:bottom w:val="single" w:sz="2" w:space="0" w:color="auto"/>
            </w:tcBorders>
            <w:tcMar>
              <w:left w:w="85" w:type="dxa"/>
              <w:right w:w="85" w:type="dxa"/>
            </w:tcMar>
            <w:vAlign w:val="center"/>
          </w:tcPr>
          <w:p w14:paraId="6B533C0B" w14:textId="77777777" w:rsidR="00046C54" w:rsidRPr="00CE1FD8" w:rsidRDefault="00CE1FD8" w:rsidP="00387347">
            <w:pPr>
              <w:jc w:val="center"/>
              <w:rPr>
                <w:rFonts w:ascii="Calibri" w:hAnsi="Calibri"/>
                <w:b/>
                <w:color w:val="auto"/>
                <w:szCs w:val="21"/>
                <w:u w:val="single"/>
              </w:rPr>
            </w:pPr>
            <w:r w:rsidRPr="00CE1FD8">
              <w:rPr>
                <w:rFonts w:ascii="Calibri" w:hAnsi="Calibri"/>
                <w:b/>
                <w:color w:val="auto"/>
                <w:szCs w:val="21"/>
                <w:u w:val="single"/>
              </w:rPr>
              <w:t>0.53</w:t>
            </w:r>
          </w:p>
        </w:tc>
        <w:tc>
          <w:tcPr>
            <w:tcW w:w="336" w:type="pct"/>
            <w:tcBorders>
              <w:top w:val="single" w:sz="2" w:space="0" w:color="auto"/>
              <w:left w:val="single" w:sz="4" w:space="0" w:color="auto"/>
              <w:bottom w:val="single" w:sz="2" w:space="0" w:color="auto"/>
            </w:tcBorders>
            <w:vAlign w:val="center"/>
          </w:tcPr>
          <w:p w14:paraId="7333568C" w14:textId="77777777" w:rsidR="00046C54" w:rsidRPr="00CE1FD8" w:rsidRDefault="008822BC" w:rsidP="00AE22DE">
            <w:pPr>
              <w:jc w:val="center"/>
              <w:rPr>
                <w:rFonts w:ascii="Calibri" w:hAnsi="Calibri"/>
                <w:b/>
                <w:szCs w:val="21"/>
                <w:u w:val="single"/>
              </w:rPr>
            </w:pPr>
            <w:r w:rsidRPr="00CE1FD8">
              <w:rPr>
                <w:rFonts w:ascii="Calibri" w:hAnsi="Calibri"/>
                <w:b/>
                <w:szCs w:val="21"/>
                <w:u w:val="single"/>
              </w:rPr>
              <w:t>40</w:t>
            </w:r>
          </w:p>
        </w:tc>
      </w:tr>
      <w:tr w:rsidR="00046C54" w:rsidRPr="00CE1FD8" w14:paraId="7EE16006" w14:textId="77777777" w:rsidTr="00046C54">
        <w:trPr>
          <w:trHeight w:val="343"/>
          <w:jc w:val="center"/>
        </w:trPr>
        <w:tc>
          <w:tcPr>
            <w:tcW w:w="925" w:type="pct"/>
            <w:tcBorders>
              <w:left w:val="single" w:sz="12" w:space="0" w:color="auto"/>
              <w:bottom w:val="single" w:sz="12" w:space="0" w:color="auto"/>
            </w:tcBorders>
            <w:tcMar>
              <w:left w:w="85" w:type="dxa"/>
              <w:right w:w="85" w:type="dxa"/>
            </w:tcMar>
            <w:vAlign w:val="center"/>
          </w:tcPr>
          <w:p w14:paraId="041CFC15"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氨</w:t>
            </w:r>
          </w:p>
        </w:tc>
        <w:tc>
          <w:tcPr>
            <w:tcW w:w="615" w:type="pct"/>
            <w:tcBorders>
              <w:top w:val="single" w:sz="2" w:space="0" w:color="auto"/>
              <w:bottom w:val="single" w:sz="12" w:space="0" w:color="auto"/>
              <w:right w:val="single" w:sz="4" w:space="0" w:color="auto"/>
            </w:tcBorders>
            <w:tcMar>
              <w:left w:w="85" w:type="dxa"/>
              <w:right w:w="85" w:type="dxa"/>
            </w:tcMar>
            <w:vAlign w:val="center"/>
          </w:tcPr>
          <w:p w14:paraId="66FF676D"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w:t>
            </w:r>
          </w:p>
        </w:tc>
        <w:tc>
          <w:tcPr>
            <w:tcW w:w="482" w:type="pct"/>
            <w:tcBorders>
              <w:top w:val="single" w:sz="2" w:space="0" w:color="auto"/>
              <w:bottom w:val="single" w:sz="12" w:space="0" w:color="auto"/>
              <w:right w:val="single" w:sz="4" w:space="0" w:color="auto"/>
            </w:tcBorders>
            <w:tcMar>
              <w:left w:w="85" w:type="dxa"/>
              <w:right w:w="85" w:type="dxa"/>
            </w:tcMar>
            <w:vAlign w:val="center"/>
          </w:tcPr>
          <w:p w14:paraId="6F2FAA78"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0.016</w:t>
            </w:r>
          </w:p>
        </w:tc>
        <w:tc>
          <w:tcPr>
            <w:tcW w:w="415" w:type="pct"/>
            <w:vMerge/>
            <w:tcBorders>
              <w:left w:val="single" w:sz="4" w:space="0" w:color="auto"/>
              <w:bottom w:val="single" w:sz="12" w:space="0" w:color="auto"/>
            </w:tcBorders>
            <w:tcMar>
              <w:left w:w="85" w:type="dxa"/>
              <w:right w:w="85" w:type="dxa"/>
            </w:tcMar>
            <w:vAlign w:val="center"/>
          </w:tcPr>
          <w:p w14:paraId="12ABB0B0" w14:textId="77777777" w:rsidR="00046C54" w:rsidRPr="00CE1FD8" w:rsidRDefault="00046C54" w:rsidP="00AE22DE">
            <w:pPr>
              <w:jc w:val="center"/>
              <w:rPr>
                <w:rFonts w:ascii="Calibri" w:hAnsi="Calibri"/>
                <w:b/>
                <w:szCs w:val="21"/>
                <w:u w:val="single"/>
              </w:rPr>
            </w:pPr>
          </w:p>
        </w:tc>
        <w:tc>
          <w:tcPr>
            <w:tcW w:w="322" w:type="pct"/>
            <w:tcBorders>
              <w:left w:val="single" w:sz="4" w:space="0" w:color="auto"/>
              <w:bottom w:val="single" w:sz="12" w:space="0" w:color="auto"/>
              <w:right w:val="single" w:sz="4" w:space="0" w:color="auto"/>
            </w:tcBorders>
            <w:tcMar>
              <w:left w:w="85" w:type="dxa"/>
              <w:right w:w="85" w:type="dxa"/>
            </w:tcMar>
            <w:vAlign w:val="center"/>
          </w:tcPr>
          <w:p w14:paraId="5FA60369" w14:textId="77777777" w:rsidR="00046C54" w:rsidRPr="00CE1FD8" w:rsidRDefault="00046C54" w:rsidP="00AE22DE">
            <w:pPr>
              <w:jc w:val="center"/>
              <w:rPr>
                <w:rFonts w:ascii="Calibri" w:hAnsi="Calibri"/>
                <w:b/>
                <w:color w:val="auto"/>
                <w:szCs w:val="21"/>
                <w:u w:val="single"/>
              </w:rPr>
            </w:pPr>
            <w:r w:rsidRPr="00CE1FD8">
              <w:rPr>
                <w:rFonts w:ascii="Calibri" w:hAnsi="Calibri" w:hint="eastAsia"/>
                <w:b/>
                <w:color w:val="auto"/>
                <w:szCs w:val="21"/>
                <w:u w:val="single"/>
              </w:rPr>
              <w:t>70%</w:t>
            </w:r>
          </w:p>
        </w:tc>
        <w:tc>
          <w:tcPr>
            <w:tcW w:w="697" w:type="pct"/>
            <w:tcBorders>
              <w:top w:val="single" w:sz="2" w:space="0" w:color="auto"/>
              <w:left w:val="single" w:sz="4" w:space="0" w:color="auto"/>
              <w:bottom w:val="single" w:sz="12" w:space="0" w:color="auto"/>
            </w:tcBorders>
            <w:tcMar>
              <w:left w:w="85" w:type="dxa"/>
              <w:right w:w="85" w:type="dxa"/>
            </w:tcMar>
            <w:vAlign w:val="center"/>
          </w:tcPr>
          <w:p w14:paraId="7EDDCB2D" w14:textId="77777777" w:rsidR="00046C54" w:rsidRPr="00CE1FD8" w:rsidRDefault="008822BC" w:rsidP="00AE22DE">
            <w:pPr>
              <w:jc w:val="center"/>
              <w:rPr>
                <w:rFonts w:asciiTheme="minorHAnsi" w:hAnsiTheme="minorHAnsi" w:cstheme="minorHAnsi"/>
                <w:b/>
                <w:color w:val="auto"/>
                <w:szCs w:val="21"/>
                <w:u w:val="single"/>
              </w:rPr>
            </w:pPr>
            <w:r w:rsidRPr="00CE1FD8">
              <w:rPr>
                <w:rFonts w:asciiTheme="minorHAnsi" w:hAnsiTheme="minorHAnsi" w:cstheme="minorHAnsi"/>
                <w:b/>
                <w:color w:val="auto"/>
                <w:szCs w:val="21"/>
                <w:u w:val="single"/>
              </w:rPr>
              <w:t>0.13</w:t>
            </w:r>
          </w:p>
        </w:tc>
        <w:tc>
          <w:tcPr>
            <w:tcW w:w="725" w:type="pct"/>
            <w:tcBorders>
              <w:top w:val="single" w:sz="2" w:space="0" w:color="auto"/>
              <w:left w:val="single" w:sz="4" w:space="0" w:color="auto"/>
              <w:bottom w:val="single" w:sz="12" w:space="0" w:color="auto"/>
            </w:tcBorders>
            <w:tcMar>
              <w:left w:w="85" w:type="dxa"/>
              <w:right w:w="85" w:type="dxa"/>
            </w:tcMar>
            <w:vAlign w:val="center"/>
          </w:tcPr>
          <w:p w14:paraId="1DC87D1A" w14:textId="77777777" w:rsidR="00046C54" w:rsidRPr="00CE1FD8" w:rsidRDefault="00046C54" w:rsidP="00387347">
            <w:pPr>
              <w:jc w:val="center"/>
              <w:rPr>
                <w:rFonts w:ascii="Calibri" w:hAnsi="Calibri"/>
                <w:b/>
                <w:color w:val="auto"/>
                <w:szCs w:val="21"/>
                <w:u w:val="single"/>
              </w:rPr>
            </w:pPr>
            <w:r w:rsidRPr="00CE1FD8">
              <w:rPr>
                <w:rFonts w:ascii="Calibri" w:hAnsi="Calibri" w:hint="eastAsia"/>
                <w:b/>
                <w:color w:val="auto"/>
                <w:szCs w:val="21"/>
                <w:u w:val="single"/>
              </w:rPr>
              <w:t>0.00067</w:t>
            </w:r>
          </w:p>
        </w:tc>
        <w:tc>
          <w:tcPr>
            <w:tcW w:w="483" w:type="pct"/>
            <w:tcBorders>
              <w:top w:val="single" w:sz="2" w:space="0" w:color="auto"/>
              <w:left w:val="single" w:sz="4" w:space="0" w:color="auto"/>
              <w:bottom w:val="single" w:sz="12" w:space="0" w:color="auto"/>
            </w:tcBorders>
            <w:tcMar>
              <w:left w:w="85" w:type="dxa"/>
              <w:right w:w="85" w:type="dxa"/>
            </w:tcMar>
            <w:vAlign w:val="center"/>
          </w:tcPr>
          <w:p w14:paraId="2F741CBF" w14:textId="77777777" w:rsidR="00046C54" w:rsidRPr="00CE1FD8" w:rsidRDefault="00046C54" w:rsidP="00387347">
            <w:pPr>
              <w:jc w:val="center"/>
              <w:rPr>
                <w:rFonts w:ascii="Calibri" w:hAnsi="Calibri"/>
                <w:b/>
                <w:color w:val="auto"/>
                <w:szCs w:val="21"/>
                <w:u w:val="single"/>
              </w:rPr>
            </w:pPr>
            <w:r w:rsidRPr="00CE1FD8">
              <w:rPr>
                <w:rFonts w:ascii="Calibri" w:hAnsi="Calibri" w:hint="eastAsia"/>
                <w:b/>
                <w:color w:val="auto"/>
                <w:szCs w:val="21"/>
                <w:u w:val="single"/>
              </w:rPr>
              <w:t>0.0048</w:t>
            </w:r>
          </w:p>
        </w:tc>
        <w:tc>
          <w:tcPr>
            <w:tcW w:w="336" w:type="pct"/>
            <w:tcBorders>
              <w:top w:val="single" w:sz="2" w:space="0" w:color="auto"/>
              <w:left w:val="single" w:sz="4" w:space="0" w:color="auto"/>
              <w:bottom w:val="single" w:sz="12" w:space="0" w:color="auto"/>
            </w:tcBorders>
            <w:vAlign w:val="center"/>
          </w:tcPr>
          <w:p w14:paraId="147F9E1C" w14:textId="77777777" w:rsidR="00046C54" w:rsidRPr="00CE1FD8" w:rsidRDefault="00046C54" w:rsidP="00AE22DE">
            <w:pPr>
              <w:jc w:val="center"/>
              <w:rPr>
                <w:rFonts w:ascii="Calibri" w:hAnsi="Calibri"/>
                <w:b/>
                <w:szCs w:val="21"/>
                <w:u w:val="single"/>
              </w:rPr>
            </w:pPr>
            <w:r w:rsidRPr="00CE1FD8">
              <w:rPr>
                <w:rFonts w:ascii="Calibri" w:hAnsi="Calibri" w:hint="eastAsia"/>
                <w:b/>
                <w:szCs w:val="21"/>
                <w:u w:val="single"/>
              </w:rPr>
              <w:t>30</w:t>
            </w:r>
          </w:p>
        </w:tc>
      </w:tr>
    </w:tbl>
    <w:p w14:paraId="272DCDCD" w14:textId="77777777" w:rsidR="008822BC" w:rsidRPr="00CE1FD8" w:rsidRDefault="00FF70D6" w:rsidP="00CE1FD8">
      <w:pPr>
        <w:pStyle w:val="00"/>
        <w:rPr>
          <w:rFonts w:asciiTheme="minorHAnsi" w:hAnsiTheme="minorHAnsi"/>
          <w:b/>
          <w:color w:val="000000" w:themeColor="text1"/>
          <w:szCs w:val="21"/>
          <w:u w:val="single"/>
        </w:rPr>
      </w:pPr>
      <w:r w:rsidRPr="00CE1FD8">
        <w:rPr>
          <w:rFonts w:ascii="Calibri" w:hAnsi="Calibri" w:hint="eastAsia"/>
          <w:b/>
          <w:u w:val="single"/>
        </w:rPr>
        <w:t>由上表可知，</w:t>
      </w:r>
      <w:r w:rsidR="00AE22DE" w:rsidRPr="00CE1FD8">
        <w:rPr>
          <w:rFonts w:ascii="Calibri" w:hAnsi="Calibri" w:hint="eastAsia"/>
          <w:b/>
          <w:u w:val="single"/>
        </w:rPr>
        <w:t>一期</w:t>
      </w:r>
      <w:r w:rsidR="00AE22DE" w:rsidRPr="00CE1FD8">
        <w:rPr>
          <w:rFonts w:ascii="Calibri" w:hAnsi="Calibri"/>
          <w:b/>
          <w:u w:val="single"/>
        </w:rPr>
        <w:t>、二期</w:t>
      </w:r>
      <w:r w:rsidR="00582FE1" w:rsidRPr="00CE1FD8">
        <w:rPr>
          <w:rFonts w:ascii="Calibri" w:hAnsi="Calibri" w:hint="eastAsia"/>
          <w:b/>
          <w:u w:val="single"/>
        </w:rPr>
        <w:t>非甲烷总烃</w:t>
      </w:r>
      <w:r w:rsidR="00582FE1" w:rsidRPr="00CE1FD8">
        <w:rPr>
          <w:rFonts w:ascii="Calibri" w:hAnsi="Calibri"/>
          <w:b/>
          <w:u w:val="single"/>
        </w:rPr>
        <w:t>、氨气</w:t>
      </w:r>
      <w:r w:rsidR="00582FE1" w:rsidRPr="00CE1FD8">
        <w:rPr>
          <w:rFonts w:ascii="Calibri" w:hAnsi="Calibri" w:hint="eastAsia"/>
          <w:b/>
          <w:color w:val="auto"/>
          <w:szCs w:val="21"/>
          <w:u w:val="single"/>
        </w:rPr>
        <w:t>排放浓度均满足《合成树脂工业污染物排放标准》（</w:t>
      </w:r>
      <w:r w:rsidR="00582FE1" w:rsidRPr="00CE1FD8">
        <w:rPr>
          <w:rFonts w:ascii="Calibri" w:hAnsi="Calibri" w:hint="eastAsia"/>
          <w:b/>
          <w:color w:val="auto"/>
          <w:szCs w:val="21"/>
          <w:u w:val="single"/>
        </w:rPr>
        <w:t>GB31572-2015</w:t>
      </w:r>
      <w:r w:rsidR="00582FE1" w:rsidRPr="00CE1FD8">
        <w:rPr>
          <w:rFonts w:ascii="Calibri" w:hAnsi="Calibri" w:hint="eastAsia"/>
          <w:b/>
          <w:color w:val="auto"/>
          <w:szCs w:val="21"/>
          <w:u w:val="single"/>
        </w:rPr>
        <w:t>）表</w:t>
      </w:r>
      <w:r w:rsidR="00582FE1" w:rsidRPr="00CE1FD8">
        <w:rPr>
          <w:rFonts w:ascii="Calibri" w:hAnsi="Calibri" w:hint="eastAsia"/>
          <w:b/>
          <w:color w:val="auto"/>
          <w:szCs w:val="21"/>
          <w:u w:val="single"/>
        </w:rPr>
        <w:t>4</w:t>
      </w:r>
      <w:r w:rsidR="00582FE1" w:rsidRPr="00CE1FD8">
        <w:rPr>
          <w:rFonts w:ascii="Calibri" w:hAnsi="Calibri" w:hint="eastAsia"/>
          <w:b/>
          <w:color w:val="auto"/>
          <w:szCs w:val="21"/>
          <w:u w:val="single"/>
        </w:rPr>
        <w:t>要求，非甲烷总烃</w:t>
      </w:r>
      <w:r w:rsidR="00FD241A" w:rsidRPr="00CE1FD8">
        <w:rPr>
          <w:rFonts w:ascii="Calibri" w:hAnsi="Calibri" w:hint="eastAsia"/>
          <w:b/>
          <w:color w:val="auto"/>
          <w:szCs w:val="21"/>
          <w:u w:val="single"/>
        </w:rPr>
        <w:t>排放</w:t>
      </w:r>
      <w:r w:rsidR="00582FE1" w:rsidRPr="00CE1FD8">
        <w:rPr>
          <w:rFonts w:ascii="Calibri" w:hAnsi="Calibri" w:hint="eastAsia"/>
          <w:b/>
          <w:color w:val="auto"/>
          <w:szCs w:val="21"/>
          <w:u w:val="single"/>
        </w:rPr>
        <w:t>浓度</w:t>
      </w:r>
      <w:r w:rsidR="00FD241A" w:rsidRPr="00CE1FD8">
        <w:rPr>
          <w:rFonts w:ascii="Calibri" w:hAnsi="Calibri" w:hint="eastAsia"/>
          <w:b/>
          <w:color w:val="auto"/>
          <w:szCs w:val="21"/>
          <w:u w:val="single"/>
        </w:rPr>
        <w:t>同时</w:t>
      </w:r>
      <w:r w:rsidR="00582FE1" w:rsidRPr="00CE1FD8">
        <w:rPr>
          <w:rFonts w:ascii="Calibri" w:hAnsi="Calibri" w:hint="eastAsia"/>
          <w:b/>
          <w:color w:val="auto"/>
          <w:szCs w:val="21"/>
          <w:u w:val="single"/>
        </w:rPr>
        <w:t>满足《关于全省开展工业企业挥发性有机物专项治理工作中排放建议值的通知》豫环攻坚办</w:t>
      </w:r>
      <w:r w:rsidR="007364CF" w:rsidRPr="00CE1FD8">
        <w:rPr>
          <w:rFonts w:ascii="Calibri" w:hAnsi="Calibri" w:hint="eastAsia"/>
          <w:b/>
          <w:color w:val="auto"/>
          <w:szCs w:val="21"/>
          <w:u w:val="single"/>
        </w:rPr>
        <w:t>【</w:t>
      </w:r>
      <w:r w:rsidR="007364CF" w:rsidRPr="00CE1FD8">
        <w:rPr>
          <w:rFonts w:ascii="Calibri" w:hAnsi="Calibri" w:hint="eastAsia"/>
          <w:b/>
          <w:color w:val="auto"/>
          <w:szCs w:val="21"/>
          <w:u w:val="single"/>
        </w:rPr>
        <w:t>2017</w:t>
      </w:r>
      <w:r w:rsidR="007364CF" w:rsidRPr="00CE1FD8">
        <w:rPr>
          <w:rFonts w:ascii="Calibri" w:hAnsi="Calibri" w:hint="eastAsia"/>
          <w:b/>
          <w:color w:val="auto"/>
          <w:szCs w:val="21"/>
          <w:u w:val="single"/>
        </w:rPr>
        <w:t>】</w:t>
      </w:r>
      <w:r w:rsidR="00582FE1" w:rsidRPr="00CE1FD8">
        <w:rPr>
          <w:rFonts w:ascii="Calibri" w:hAnsi="Calibri" w:hint="eastAsia"/>
          <w:b/>
          <w:color w:val="auto"/>
          <w:szCs w:val="21"/>
          <w:u w:val="single"/>
        </w:rPr>
        <w:t>162</w:t>
      </w:r>
      <w:r w:rsidR="00582FE1" w:rsidRPr="00CE1FD8">
        <w:rPr>
          <w:rFonts w:ascii="Calibri" w:hAnsi="Calibri" w:hint="eastAsia"/>
          <w:b/>
          <w:color w:val="auto"/>
          <w:szCs w:val="21"/>
          <w:u w:val="single"/>
        </w:rPr>
        <w:t>号文中要求</w:t>
      </w:r>
      <w:r w:rsidR="00FD241A" w:rsidRPr="00CE1FD8">
        <w:rPr>
          <w:rFonts w:ascii="Calibri" w:hAnsi="Calibri" w:hint="eastAsia"/>
          <w:b/>
          <w:color w:val="auto"/>
          <w:szCs w:val="21"/>
          <w:u w:val="single"/>
        </w:rPr>
        <w:t>及</w:t>
      </w:r>
      <w:r w:rsidR="008822BC" w:rsidRPr="00CE1FD8">
        <w:rPr>
          <w:rFonts w:ascii="Calibri" w:hAnsi="Calibri" w:hint="eastAsia"/>
          <w:b/>
          <w:color w:val="auto"/>
          <w:szCs w:val="21"/>
          <w:u w:val="single"/>
        </w:rPr>
        <w:t>《平顶山市</w:t>
      </w:r>
      <w:r w:rsidR="008822BC" w:rsidRPr="00CE1FD8">
        <w:rPr>
          <w:rFonts w:ascii="Calibri" w:hAnsi="Calibri" w:hint="eastAsia"/>
          <w:b/>
          <w:color w:val="auto"/>
          <w:szCs w:val="21"/>
          <w:u w:val="single"/>
        </w:rPr>
        <w:t>2021</w:t>
      </w:r>
      <w:r w:rsidR="008822BC" w:rsidRPr="00CE1FD8">
        <w:rPr>
          <w:rFonts w:ascii="Calibri" w:hAnsi="Calibri" w:hint="eastAsia"/>
          <w:b/>
          <w:color w:val="auto"/>
          <w:szCs w:val="21"/>
          <w:u w:val="single"/>
        </w:rPr>
        <w:t>年重污染天气通用行业应急减排措施制定技术指南（试行）》</w:t>
      </w:r>
      <w:r w:rsidR="00FD241A" w:rsidRPr="00CE1FD8">
        <w:rPr>
          <w:rFonts w:ascii="Calibri" w:hAnsi="Calibri" w:hint="eastAsia"/>
          <w:b/>
          <w:color w:val="auto"/>
          <w:szCs w:val="21"/>
          <w:u w:val="single"/>
        </w:rPr>
        <w:t>“绩效</w:t>
      </w:r>
      <w:r w:rsidR="008822BC" w:rsidRPr="00CE1FD8">
        <w:rPr>
          <w:rFonts w:ascii="Calibri" w:hAnsi="Calibri"/>
          <w:b/>
          <w:color w:val="auto"/>
          <w:szCs w:val="21"/>
          <w:u w:val="single"/>
        </w:rPr>
        <w:t>B</w:t>
      </w:r>
      <w:r w:rsidR="00FD241A" w:rsidRPr="00CE1FD8">
        <w:rPr>
          <w:rFonts w:ascii="Calibri" w:hAnsi="Calibri"/>
          <w:b/>
          <w:color w:val="auto"/>
          <w:szCs w:val="21"/>
          <w:u w:val="single"/>
        </w:rPr>
        <w:t>级</w:t>
      </w:r>
      <w:r w:rsidR="00FD241A" w:rsidRPr="00CE1FD8">
        <w:rPr>
          <w:rFonts w:ascii="Calibri" w:hAnsi="Calibri" w:hint="eastAsia"/>
          <w:b/>
          <w:color w:val="auto"/>
          <w:szCs w:val="21"/>
          <w:u w:val="single"/>
        </w:rPr>
        <w:t>”企业管控要求（非甲烷总烃</w:t>
      </w:r>
      <w:r w:rsidR="008822BC" w:rsidRPr="00CE1FD8">
        <w:rPr>
          <w:rFonts w:ascii="Calibri" w:hAnsi="Calibri"/>
          <w:b/>
          <w:color w:val="auto"/>
          <w:szCs w:val="21"/>
          <w:u w:val="single"/>
        </w:rPr>
        <w:t>4</w:t>
      </w:r>
      <w:r w:rsidR="00FD241A" w:rsidRPr="00CE1FD8">
        <w:rPr>
          <w:rFonts w:ascii="Calibri" w:hAnsi="Calibri" w:hint="eastAsia"/>
          <w:b/>
          <w:color w:val="auto"/>
          <w:szCs w:val="21"/>
          <w:u w:val="single"/>
        </w:rPr>
        <w:t>0</w:t>
      </w:r>
      <w:r w:rsidR="00FD241A" w:rsidRPr="00CE1FD8">
        <w:rPr>
          <w:rFonts w:ascii="Calibri" w:hAnsi="Calibri"/>
          <w:b/>
          <w:color w:val="auto"/>
          <w:szCs w:val="21"/>
          <w:u w:val="single"/>
        </w:rPr>
        <w:t>mg/m</w:t>
      </w:r>
      <w:r w:rsidR="00FD241A" w:rsidRPr="00CE1FD8">
        <w:rPr>
          <w:rFonts w:ascii="Calibri" w:hAnsi="Calibri"/>
          <w:b/>
          <w:color w:val="auto"/>
          <w:szCs w:val="21"/>
          <w:u w:val="single"/>
          <w:vertAlign w:val="superscript"/>
        </w:rPr>
        <w:t>3</w:t>
      </w:r>
      <w:r w:rsidR="00FD241A" w:rsidRPr="00CE1FD8">
        <w:rPr>
          <w:rFonts w:ascii="Calibri" w:hAnsi="Calibri" w:hint="eastAsia"/>
          <w:b/>
          <w:color w:val="auto"/>
          <w:szCs w:val="21"/>
          <w:u w:val="single"/>
        </w:rPr>
        <w:t>）</w:t>
      </w:r>
      <w:r w:rsidR="00582FE1" w:rsidRPr="00CE1FD8">
        <w:rPr>
          <w:rFonts w:ascii="Calibri" w:hAnsi="Calibri" w:hint="eastAsia"/>
          <w:b/>
          <w:color w:val="auto"/>
          <w:szCs w:val="21"/>
          <w:u w:val="single"/>
        </w:rPr>
        <w:t>；己二胺</w:t>
      </w:r>
      <w:r w:rsidR="00CE1FD8" w:rsidRPr="00CE1FD8">
        <w:rPr>
          <w:rFonts w:ascii="Calibri" w:hAnsi="Calibri" w:hint="eastAsia"/>
          <w:b/>
          <w:color w:val="auto"/>
          <w:szCs w:val="21"/>
          <w:u w:val="single"/>
        </w:rPr>
        <w:t>、</w:t>
      </w:r>
      <w:r w:rsidR="00CE1FD8" w:rsidRPr="00CE1FD8">
        <w:rPr>
          <w:rFonts w:ascii="Calibri" w:hAnsi="Calibri"/>
          <w:b/>
          <w:color w:val="auto"/>
          <w:szCs w:val="21"/>
          <w:u w:val="single"/>
        </w:rPr>
        <w:t>己二酸</w:t>
      </w:r>
      <w:r w:rsidR="00582FE1" w:rsidRPr="00CE1FD8">
        <w:rPr>
          <w:rFonts w:ascii="Calibri" w:hAnsi="Calibri"/>
          <w:b/>
          <w:color w:val="auto"/>
          <w:szCs w:val="21"/>
          <w:u w:val="single"/>
        </w:rPr>
        <w:t>废气排放浓度</w:t>
      </w:r>
      <w:r w:rsidR="00582FE1" w:rsidRPr="00CE1FD8">
        <w:rPr>
          <w:rFonts w:asciiTheme="minorHAnsi" w:hAnsiTheme="minorHAnsi" w:hint="eastAsia"/>
          <w:b/>
          <w:color w:val="000000" w:themeColor="text1"/>
          <w:szCs w:val="21"/>
          <w:u w:val="single"/>
        </w:rPr>
        <w:t>满足</w:t>
      </w:r>
      <w:r w:rsidR="00CE1FD8" w:rsidRPr="00CE1FD8">
        <w:rPr>
          <w:rFonts w:asciiTheme="minorHAnsi" w:hAnsiTheme="minorHAnsi" w:hint="eastAsia"/>
          <w:b/>
          <w:color w:val="000000" w:themeColor="text1"/>
          <w:szCs w:val="21"/>
          <w:u w:val="single"/>
        </w:rPr>
        <w:t>上海《大气污染物综合排放标准》（</w:t>
      </w:r>
      <w:r w:rsidR="00CE1FD8" w:rsidRPr="00CE1FD8">
        <w:rPr>
          <w:rFonts w:asciiTheme="minorHAnsi" w:hAnsiTheme="minorHAnsi" w:hint="eastAsia"/>
          <w:b/>
          <w:color w:val="000000" w:themeColor="text1"/>
          <w:szCs w:val="21"/>
          <w:u w:val="single"/>
        </w:rPr>
        <w:t>DB31/933-2015</w:t>
      </w:r>
      <w:r w:rsidR="00CE1FD8" w:rsidRPr="00CE1FD8">
        <w:rPr>
          <w:rFonts w:asciiTheme="minorHAnsi" w:hAnsiTheme="minorHAnsi" w:hint="eastAsia"/>
          <w:b/>
          <w:color w:val="000000" w:themeColor="text1"/>
          <w:szCs w:val="21"/>
          <w:u w:val="single"/>
        </w:rPr>
        <w:t>）</w:t>
      </w:r>
      <w:r w:rsidR="008822BC" w:rsidRPr="00CE1FD8">
        <w:rPr>
          <w:rFonts w:asciiTheme="minorHAnsi" w:hAnsiTheme="minorHAnsi" w:hint="eastAsia"/>
          <w:b/>
          <w:color w:val="000000" w:themeColor="text1"/>
          <w:szCs w:val="21"/>
          <w:u w:val="single"/>
        </w:rPr>
        <w:t>。</w:t>
      </w:r>
    </w:p>
    <w:p w14:paraId="233D029F" w14:textId="0CED678D" w:rsidR="00BB218B" w:rsidRPr="00BB218B" w:rsidRDefault="00BB218B" w:rsidP="0075760C">
      <w:pPr>
        <w:pStyle w:val="ad"/>
        <w:ind w:firstLineChars="200" w:firstLine="480"/>
        <w:rPr>
          <w:rFonts w:ascii="Calibri" w:eastAsia="宋体" w:hAnsi="Calibri"/>
          <w:b w:val="0"/>
          <w:color w:val="auto"/>
          <w:sz w:val="24"/>
        </w:rPr>
      </w:pPr>
      <w:r>
        <w:rPr>
          <w:rFonts w:ascii="Calibri" w:eastAsia="宋体" w:hAnsi="Calibri" w:hint="eastAsia"/>
          <w:b w:val="0"/>
          <w:color w:val="auto"/>
          <w:sz w:val="24"/>
        </w:rPr>
        <w:t>本项目危废</w:t>
      </w:r>
      <w:r>
        <w:rPr>
          <w:rFonts w:ascii="Calibri" w:eastAsia="宋体" w:hAnsi="Calibri"/>
          <w:b w:val="0"/>
          <w:color w:val="auto"/>
          <w:sz w:val="24"/>
        </w:rPr>
        <w:t>暂存间设置在生产车间</w:t>
      </w:r>
      <w:r>
        <w:rPr>
          <w:rFonts w:ascii="Calibri" w:eastAsia="宋体" w:hAnsi="Calibri" w:hint="eastAsia"/>
          <w:b w:val="0"/>
          <w:color w:val="auto"/>
          <w:sz w:val="24"/>
        </w:rPr>
        <w:t>1</w:t>
      </w:r>
      <w:r>
        <w:rPr>
          <w:rFonts w:ascii="Calibri" w:eastAsia="宋体" w:hAnsi="Calibri" w:hint="eastAsia"/>
          <w:b w:val="0"/>
          <w:color w:val="auto"/>
          <w:sz w:val="24"/>
        </w:rPr>
        <w:t>层</w:t>
      </w:r>
      <w:r>
        <w:rPr>
          <w:rFonts w:ascii="Calibri" w:eastAsia="宋体" w:hAnsi="Calibri"/>
          <w:b w:val="0"/>
          <w:color w:val="auto"/>
          <w:sz w:val="24"/>
        </w:rPr>
        <w:t>，</w:t>
      </w:r>
      <w:r>
        <w:rPr>
          <w:rFonts w:ascii="Calibri" w:eastAsia="宋体" w:hAnsi="Calibri" w:hint="eastAsia"/>
          <w:b w:val="0"/>
          <w:color w:val="auto"/>
          <w:sz w:val="24"/>
        </w:rPr>
        <w:t>危废</w:t>
      </w:r>
      <w:r>
        <w:rPr>
          <w:rFonts w:ascii="Calibri" w:eastAsia="宋体" w:hAnsi="Calibri"/>
          <w:b w:val="0"/>
          <w:color w:val="auto"/>
          <w:sz w:val="24"/>
        </w:rPr>
        <w:t>暂存间主要储存</w:t>
      </w:r>
      <w:r w:rsidRPr="00472A50">
        <w:rPr>
          <w:rFonts w:ascii="Calibri" w:eastAsia="宋体" w:hAnsi="Calibri" w:hint="eastAsia"/>
          <w:b w:val="0"/>
          <w:color w:val="auto"/>
          <w:sz w:val="24"/>
        </w:rPr>
        <w:t>废活性炭、</w:t>
      </w:r>
      <w:r w:rsidR="001A4912">
        <w:rPr>
          <w:rFonts w:ascii="Calibri" w:eastAsia="宋体" w:hAnsi="Calibri" w:hint="eastAsia"/>
          <w:b w:val="0"/>
          <w:color w:val="auto"/>
          <w:sz w:val="24"/>
        </w:rPr>
        <w:t>废机油</w:t>
      </w:r>
      <w:r>
        <w:rPr>
          <w:rFonts w:ascii="Calibri" w:eastAsia="宋体" w:hAnsi="Calibri" w:hint="eastAsia"/>
          <w:b w:val="0"/>
          <w:color w:val="auto"/>
          <w:sz w:val="24"/>
        </w:rPr>
        <w:t>、</w:t>
      </w:r>
      <w:r w:rsidR="001A4912">
        <w:rPr>
          <w:rFonts w:ascii="Calibri" w:eastAsia="宋体" w:hAnsi="Calibri"/>
          <w:b w:val="0"/>
          <w:color w:val="auto"/>
          <w:sz w:val="24"/>
        </w:rPr>
        <w:t>废导热油</w:t>
      </w:r>
      <w:r w:rsidR="001A4912">
        <w:rPr>
          <w:rFonts w:ascii="Calibri" w:eastAsia="宋体" w:hAnsi="Calibri" w:hint="eastAsia"/>
          <w:b w:val="0"/>
          <w:color w:val="auto"/>
          <w:sz w:val="24"/>
        </w:rPr>
        <w:t>、</w:t>
      </w:r>
      <w:r w:rsidR="001A4912">
        <w:rPr>
          <w:rFonts w:ascii="Calibri" w:eastAsia="宋体" w:hAnsi="Calibri"/>
          <w:b w:val="0"/>
          <w:color w:val="auto"/>
          <w:sz w:val="24"/>
        </w:rPr>
        <w:t>废紫外线灯管</w:t>
      </w:r>
      <w:r>
        <w:rPr>
          <w:rFonts w:ascii="Calibri" w:eastAsia="宋体" w:hAnsi="Calibri"/>
          <w:b w:val="0"/>
          <w:color w:val="auto"/>
          <w:sz w:val="24"/>
        </w:rPr>
        <w:t>等</w:t>
      </w:r>
      <w:r w:rsidRPr="00472A50">
        <w:rPr>
          <w:rFonts w:ascii="Calibri" w:eastAsia="宋体" w:hAnsi="Calibri" w:hint="eastAsia"/>
          <w:b w:val="0"/>
          <w:color w:val="auto"/>
          <w:sz w:val="24"/>
        </w:rPr>
        <w:t>，危险废物按要求采用密封包装，贮存过程中产生的废气较少，故不再定量分析。危废暂存间产生的</w:t>
      </w:r>
      <w:r>
        <w:rPr>
          <w:rFonts w:ascii="Calibri" w:eastAsia="宋体" w:hAnsi="Calibri" w:hint="eastAsia"/>
          <w:b w:val="0"/>
          <w:color w:val="auto"/>
          <w:sz w:val="24"/>
        </w:rPr>
        <w:t>废气</w:t>
      </w:r>
      <w:r>
        <w:rPr>
          <w:rFonts w:ascii="Calibri" w:eastAsia="宋体" w:hAnsi="Calibri"/>
          <w:b w:val="0"/>
          <w:color w:val="auto"/>
          <w:sz w:val="24"/>
        </w:rPr>
        <w:t>引至</w:t>
      </w:r>
      <w:r w:rsidR="00582FE1">
        <w:rPr>
          <w:rFonts w:ascii="Calibri" w:eastAsia="宋体" w:hAnsi="Calibri" w:hint="eastAsia"/>
          <w:b w:val="0"/>
          <w:color w:val="auto"/>
          <w:sz w:val="24"/>
        </w:rPr>
        <w:t>水喷淋塔</w:t>
      </w:r>
      <w:r w:rsidR="000E4AA2">
        <w:rPr>
          <w:rFonts w:ascii="Calibri" w:eastAsia="宋体" w:hAnsi="Calibri" w:hint="eastAsia"/>
          <w:b w:val="0"/>
          <w:color w:val="auto"/>
          <w:sz w:val="24"/>
        </w:rPr>
        <w:t>+</w:t>
      </w:r>
      <w:r w:rsidR="000E4AA2">
        <w:rPr>
          <w:rFonts w:ascii="Calibri" w:eastAsia="宋体" w:hAnsi="Calibri" w:hint="eastAsia"/>
          <w:b w:val="0"/>
          <w:color w:val="auto"/>
          <w:sz w:val="24"/>
        </w:rPr>
        <w:t>活性炭</w:t>
      </w:r>
      <w:r w:rsidR="000E4AA2">
        <w:rPr>
          <w:rFonts w:ascii="Calibri" w:eastAsia="宋体" w:hAnsi="Calibri"/>
          <w:b w:val="0"/>
          <w:color w:val="auto"/>
          <w:sz w:val="24"/>
        </w:rPr>
        <w:t>吸附</w:t>
      </w:r>
      <w:r>
        <w:rPr>
          <w:rFonts w:ascii="Calibri" w:eastAsia="宋体" w:hAnsi="Calibri" w:hint="eastAsia"/>
          <w:b w:val="0"/>
          <w:color w:val="auto"/>
          <w:sz w:val="24"/>
        </w:rPr>
        <w:t>装置</w:t>
      </w:r>
      <w:r w:rsidRPr="00472A50">
        <w:rPr>
          <w:rFonts w:ascii="Calibri" w:eastAsia="宋体" w:hAnsi="Calibri" w:hint="eastAsia"/>
          <w:b w:val="0"/>
          <w:color w:val="auto"/>
          <w:sz w:val="24"/>
        </w:rPr>
        <w:t>进行处理，处理后由</w:t>
      </w:r>
      <w:r>
        <w:rPr>
          <w:rFonts w:ascii="Calibri" w:eastAsia="宋体" w:hAnsi="Calibri"/>
          <w:b w:val="0"/>
          <w:color w:val="auto"/>
          <w:sz w:val="24"/>
        </w:rPr>
        <w:t>25</w:t>
      </w:r>
      <w:r>
        <w:rPr>
          <w:rFonts w:ascii="Calibri" w:eastAsia="宋体" w:hAnsi="Calibri" w:hint="eastAsia"/>
          <w:b w:val="0"/>
          <w:color w:val="auto"/>
          <w:sz w:val="24"/>
        </w:rPr>
        <w:t>m</w:t>
      </w:r>
      <w:r>
        <w:rPr>
          <w:rFonts w:ascii="Calibri" w:eastAsia="宋体" w:hAnsi="Calibri" w:hint="eastAsia"/>
          <w:b w:val="0"/>
          <w:color w:val="auto"/>
          <w:sz w:val="24"/>
        </w:rPr>
        <w:t>高排气筒排放。</w:t>
      </w:r>
      <w:r>
        <w:rPr>
          <w:rFonts w:ascii="Calibri" w:eastAsia="宋体" w:hAnsi="Calibri" w:hint="eastAsia"/>
          <w:b w:val="0"/>
          <w:color w:val="auto"/>
          <w:sz w:val="24"/>
        </w:rPr>
        <w:t xml:space="preserve"> </w:t>
      </w:r>
    </w:p>
    <w:p w14:paraId="769A5CBC" w14:textId="77777777" w:rsidR="00CA259F" w:rsidRPr="00CA259F" w:rsidRDefault="008822BC" w:rsidP="00CA259F">
      <w:pPr>
        <w:pStyle w:val="00"/>
        <w:rPr>
          <w:rFonts w:ascii="Calibri" w:hAnsi="Calibri"/>
          <w:b/>
          <w:color w:val="auto"/>
        </w:rPr>
      </w:pPr>
      <w:r>
        <w:rPr>
          <w:rFonts w:ascii="Calibri" w:hAnsi="Calibri"/>
          <w:b/>
          <w:color w:val="auto"/>
        </w:rPr>
        <w:t>3</w:t>
      </w:r>
      <w:r w:rsidR="00CA259F" w:rsidRPr="00CA259F">
        <w:rPr>
          <w:rFonts w:ascii="Calibri" w:hAnsi="Calibri" w:hint="eastAsia"/>
          <w:b/>
          <w:color w:val="auto"/>
        </w:rPr>
        <w:t>、导热油</w:t>
      </w:r>
      <w:r w:rsidR="005848A4" w:rsidRPr="00CA259F">
        <w:rPr>
          <w:rFonts w:ascii="Calibri" w:hAnsi="Calibri"/>
          <w:b/>
          <w:color w:val="auto"/>
        </w:rPr>
        <w:t>炉</w:t>
      </w:r>
      <w:r w:rsidR="005848A4">
        <w:rPr>
          <w:rFonts w:ascii="Calibri" w:hAnsi="Calibri" w:hint="eastAsia"/>
          <w:b/>
          <w:color w:val="auto"/>
        </w:rPr>
        <w:t>天然气</w:t>
      </w:r>
      <w:r w:rsidR="005848A4">
        <w:rPr>
          <w:rFonts w:ascii="Calibri" w:hAnsi="Calibri"/>
          <w:b/>
          <w:color w:val="auto"/>
        </w:rPr>
        <w:t>燃烧</w:t>
      </w:r>
      <w:r w:rsidR="00CA259F">
        <w:rPr>
          <w:rFonts w:ascii="Calibri" w:hAnsi="Calibri" w:hint="eastAsia"/>
          <w:b/>
          <w:color w:val="auto"/>
        </w:rPr>
        <w:t>废气</w:t>
      </w:r>
    </w:p>
    <w:p w14:paraId="1AE4835F" w14:textId="77777777" w:rsidR="00CA259F" w:rsidRDefault="00CA259F" w:rsidP="003A3D31">
      <w:pPr>
        <w:pStyle w:val="00"/>
        <w:rPr>
          <w:rFonts w:ascii="Calibri" w:hAnsi="Calibri"/>
          <w:color w:val="auto"/>
        </w:rPr>
      </w:pPr>
      <w:r w:rsidRPr="00A964FF">
        <w:rPr>
          <w:rFonts w:ascii="Calibri" w:hAnsi="Calibri" w:hint="eastAsia"/>
          <w:color w:val="auto"/>
        </w:rPr>
        <w:t>本项目</w:t>
      </w:r>
      <w:r w:rsidR="003A3D31">
        <w:rPr>
          <w:rFonts w:ascii="Calibri" w:hAnsi="Calibri" w:hint="eastAsia"/>
          <w:color w:val="auto"/>
        </w:rPr>
        <w:t>一期</w:t>
      </w:r>
      <w:r w:rsidR="003A3D31">
        <w:rPr>
          <w:rFonts w:ascii="Calibri" w:hAnsi="Calibri"/>
          <w:color w:val="auto"/>
        </w:rPr>
        <w:t>工程</w:t>
      </w:r>
      <w:r w:rsidRPr="00A964FF">
        <w:rPr>
          <w:rFonts w:ascii="Calibri" w:hAnsi="Calibri" w:hint="eastAsia"/>
          <w:color w:val="auto"/>
        </w:rPr>
        <w:t>营运后厂区设置</w:t>
      </w:r>
      <w:r>
        <w:rPr>
          <w:rFonts w:ascii="Calibri" w:hAnsi="Calibri"/>
          <w:color w:val="auto"/>
        </w:rPr>
        <w:t>2</w:t>
      </w:r>
      <w:r w:rsidRPr="00A964FF">
        <w:rPr>
          <w:rFonts w:ascii="Calibri" w:hAnsi="Calibri" w:hint="eastAsia"/>
          <w:color w:val="auto"/>
        </w:rPr>
        <w:t>台</w:t>
      </w:r>
      <w:r w:rsidR="009B4F57">
        <w:rPr>
          <w:rFonts w:ascii="Calibri" w:hAnsi="Calibri"/>
          <w:color w:val="auto"/>
        </w:rPr>
        <w:t>125</w:t>
      </w:r>
      <w:r w:rsidR="009B4F57">
        <w:rPr>
          <w:rFonts w:ascii="Calibri" w:hAnsi="Calibri" w:hint="eastAsia"/>
          <w:color w:val="auto"/>
        </w:rPr>
        <w:t>万卡的导热油炉</w:t>
      </w:r>
      <w:r w:rsidRPr="00A964FF">
        <w:rPr>
          <w:rFonts w:ascii="Calibri" w:hAnsi="Calibri" w:hint="eastAsia"/>
          <w:color w:val="auto"/>
        </w:rPr>
        <w:t>，</w:t>
      </w:r>
      <w:r w:rsidR="003A3D31">
        <w:rPr>
          <w:rFonts w:ascii="Calibri" w:hAnsi="Calibri" w:hint="eastAsia"/>
          <w:color w:val="auto"/>
        </w:rPr>
        <w:t>二期</w:t>
      </w:r>
      <w:r w:rsidR="003A3D31">
        <w:rPr>
          <w:rFonts w:ascii="Calibri" w:hAnsi="Calibri"/>
          <w:color w:val="auto"/>
        </w:rPr>
        <w:t>工程营运</w:t>
      </w:r>
      <w:r w:rsidR="003A3D31">
        <w:rPr>
          <w:rFonts w:ascii="Calibri" w:hAnsi="Calibri" w:hint="eastAsia"/>
          <w:color w:val="auto"/>
        </w:rPr>
        <w:t>和</w:t>
      </w:r>
      <w:r w:rsidR="003A3D31">
        <w:rPr>
          <w:rFonts w:ascii="Calibri" w:hAnsi="Calibri"/>
          <w:color w:val="auto"/>
        </w:rPr>
        <w:t>一</w:t>
      </w:r>
      <w:r w:rsidR="003A3D31">
        <w:rPr>
          <w:rFonts w:ascii="Calibri" w:hAnsi="Calibri"/>
          <w:color w:val="auto"/>
        </w:rPr>
        <w:lastRenderedPageBreak/>
        <w:t>期工程</w:t>
      </w:r>
      <w:r w:rsidR="003A3D31">
        <w:rPr>
          <w:rFonts w:ascii="Calibri" w:hAnsi="Calibri" w:hint="eastAsia"/>
          <w:color w:val="auto"/>
        </w:rPr>
        <w:t>共用</w:t>
      </w:r>
      <w:r w:rsidR="003A3D31">
        <w:rPr>
          <w:rFonts w:ascii="Calibri" w:hAnsi="Calibri"/>
          <w:color w:val="auto"/>
        </w:rPr>
        <w:t>导热油炉，</w:t>
      </w:r>
      <w:r w:rsidR="003A3D31">
        <w:rPr>
          <w:rFonts w:ascii="Calibri" w:hAnsi="Calibri" w:hint="eastAsia"/>
          <w:color w:val="auto"/>
        </w:rPr>
        <w:t>仅</w:t>
      </w:r>
      <w:r w:rsidR="003A3D31">
        <w:rPr>
          <w:rFonts w:ascii="Calibri" w:hAnsi="Calibri"/>
          <w:color w:val="auto"/>
        </w:rPr>
        <w:t>增加天然气用量。</w:t>
      </w:r>
      <w:r w:rsidR="003A3D31">
        <w:rPr>
          <w:rFonts w:ascii="Calibri" w:hAnsi="Calibri" w:hint="eastAsia"/>
          <w:color w:val="auto"/>
        </w:rPr>
        <w:t>其中</w:t>
      </w:r>
      <w:r w:rsidR="003A3D31">
        <w:rPr>
          <w:rFonts w:ascii="Calibri" w:hAnsi="Calibri"/>
          <w:color w:val="auto"/>
        </w:rPr>
        <w:t>一期天然气消耗量为</w:t>
      </w:r>
      <w:r w:rsidR="003A3D31">
        <w:rPr>
          <w:rFonts w:ascii="Calibri" w:hAnsi="Calibri" w:hint="eastAsia"/>
          <w:color w:val="auto"/>
        </w:rPr>
        <w:t>104.9</w:t>
      </w:r>
      <w:r w:rsidR="003A3D31">
        <w:rPr>
          <w:rFonts w:ascii="Calibri" w:hAnsi="Calibri" w:hint="eastAsia"/>
          <w:color w:val="auto"/>
        </w:rPr>
        <w:t>万</w:t>
      </w:r>
      <w:r w:rsidR="003A3D31" w:rsidRPr="00A964FF">
        <w:rPr>
          <w:rFonts w:ascii="Calibri" w:hAnsi="Calibri" w:hint="eastAsia"/>
          <w:color w:val="auto"/>
        </w:rPr>
        <w:t>m</w:t>
      </w:r>
      <w:r w:rsidR="003A3D31" w:rsidRPr="00A964FF">
        <w:rPr>
          <w:rFonts w:ascii="Calibri" w:hAnsi="Calibri" w:hint="eastAsia"/>
          <w:color w:val="auto"/>
          <w:vertAlign w:val="superscript"/>
        </w:rPr>
        <w:t>3</w:t>
      </w:r>
      <w:r w:rsidR="003A3D31" w:rsidRPr="00A964FF">
        <w:rPr>
          <w:rFonts w:ascii="Calibri" w:hAnsi="Calibri" w:hint="eastAsia"/>
          <w:color w:val="auto"/>
        </w:rPr>
        <w:t>/a</w:t>
      </w:r>
      <w:r w:rsidR="003A3D31">
        <w:rPr>
          <w:rFonts w:ascii="Calibri" w:hAnsi="Calibri" w:hint="eastAsia"/>
          <w:color w:val="auto"/>
        </w:rPr>
        <w:t>；</w:t>
      </w:r>
      <w:r w:rsidR="003A3D31">
        <w:rPr>
          <w:rFonts w:ascii="Calibri" w:hAnsi="Calibri"/>
          <w:color w:val="auto"/>
        </w:rPr>
        <w:t>二期</w:t>
      </w:r>
      <w:r w:rsidR="003A3D31">
        <w:rPr>
          <w:rFonts w:ascii="Calibri" w:hAnsi="Calibri" w:hint="eastAsia"/>
          <w:color w:val="auto"/>
        </w:rPr>
        <w:t>工程</w:t>
      </w:r>
      <w:r w:rsidR="003A3D31">
        <w:rPr>
          <w:rFonts w:ascii="Calibri" w:hAnsi="Calibri"/>
          <w:color w:val="auto"/>
        </w:rPr>
        <w:t>天然气的消耗量为</w:t>
      </w:r>
      <w:r w:rsidR="003A3D31">
        <w:rPr>
          <w:rFonts w:ascii="Calibri" w:hAnsi="Calibri" w:hint="eastAsia"/>
          <w:color w:val="auto"/>
        </w:rPr>
        <w:t>62.9</w:t>
      </w:r>
      <w:r w:rsidR="003A3D31">
        <w:rPr>
          <w:rFonts w:ascii="Calibri" w:hAnsi="Calibri" w:hint="eastAsia"/>
          <w:color w:val="auto"/>
        </w:rPr>
        <w:t>万</w:t>
      </w:r>
      <w:r w:rsidR="003A3D31" w:rsidRPr="00A964FF">
        <w:rPr>
          <w:rFonts w:ascii="Calibri" w:hAnsi="Calibri" w:hint="eastAsia"/>
          <w:color w:val="auto"/>
        </w:rPr>
        <w:t>m</w:t>
      </w:r>
      <w:r w:rsidR="003A3D31" w:rsidRPr="00A964FF">
        <w:rPr>
          <w:rFonts w:ascii="Calibri" w:hAnsi="Calibri" w:hint="eastAsia"/>
          <w:color w:val="auto"/>
          <w:vertAlign w:val="superscript"/>
        </w:rPr>
        <w:t>3</w:t>
      </w:r>
      <w:r w:rsidR="003A3D31" w:rsidRPr="00A964FF">
        <w:rPr>
          <w:rFonts w:ascii="Calibri" w:hAnsi="Calibri" w:hint="eastAsia"/>
          <w:color w:val="auto"/>
        </w:rPr>
        <w:t>/a</w:t>
      </w:r>
      <w:r w:rsidR="003A3D31">
        <w:rPr>
          <w:rFonts w:ascii="Calibri" w:hAnsi="Calibri" w:hint="eastAsia"/>
          <w:color w:val="auto"/>
        </w:rPr>
        <w:t>，</w:t>
      </w:r>
      <w:r w:rsidR="009B4F57" w:rsidRPr="00A964FF">
        <w:rPr>
          <w:rFonts w:ascii="Calibri" w:hAnsi="Calibri" w:hint="eastAsia"/>
          <w:color w:val="auto"/>
        </w:rPr>
        <w:t>天然气</w:t>
      </w:r>
      <w:r w:rsidR="003A3D31">
        <w:rPr>
          <w:rFonts w:ascii="Calibri" w:hAnsi="Calibri" w:hint="eastAsia"/>
          <w:color w:val="auto"/>
        </w:rPr>
        <w:t>总</w:t>
      </w:r>
      <w:r w:rsidR="009B4F57" w:rsidRPr="00A964FF">
        <w:rPr>
          <w:rFonts w:ascii="Calibri" w:hAnsi="Calibri" w:hint="eastAsia"/>
          <w:color w:val="auto"/>
        </w:rPr>
        <w:t>用量为</w:t>
      </w:r>
      <w:r>
        <w:rPr>
          <w:rFonts w:ascii="Calibri" w:hAnsi="Calibri"/>
          <w:color w:val="auto"/>
        </w:rPr>
        <w:t>167.8</w:t>
      </w:r>
      <w:r>
        <w:rPr>
          <w:rFonts w:ascii="Calibri" w:hAnsi="Calibri" w:hint="eastAsia"/>
          <w:color w:val="auto"/>
        </w:rPr>
        <w:t>万</w:t>
      </w:r>
      <w:r w:rsidRPr="00A964FF">
        <w:rPr>
          <w:rFonts w:ascii="Calibri" w:hAnsi="Calibri" w:hint="eastAsia"/>
          <w:color w:val="auto"/>
        </w:rPr>
        <w:t>m</w:t>
      </w:r>
      <w:r w:rsidRPr="00A964FF">
        <w:rPr>
          <w:rFonts w:ascii="Calibri" w:hAnsi="Calibri" w:hint="eastAsia"/>
          <w:color w:val="auto"/>
          <w:vertAlign w:val="superscript"/>
        </w:rPr>
        <w:t>3</w:t>
      </w:r>
      <w:r w:rsidRPr="00A964FF">
        <w:rPr>
          <w:rFonts w:ascii="Calibri" w:hAnsi="Calibri" w:hint="eastAsia"/>
          <w:color w:val="auto"/>
        </w:rPr>
        <w:t>/a</w:t>
      </w:r>
      <w:r w:rsidRPr="00A964FF">
        <w:rPr>
          <w:rFonts w:ascii="Calibri" w:hAnsi="Calibri" w:hint="eastAsia"/>
          <w:color w:val="auto"/>
        </w:rPr>
        <w:t>。天然气为清洁能源，燃烧过程中产生少量颗粒物、</w:t>
      </w:r>
      <w:r w:rsidRPr="00A964FF">
        <w:rPr>
          <w:rFonts w:ascii="Calibri" w:hAnsi="Calibri" w:hint="eastAsia"/>
          <w:color w:val="auto"/>
        </w:rPr>
        <w:t>SO</w:t>
      </w:r>
      <w:r w:rsidRPr="00A964FF">
        <w:rPr>
          <w:rFonts w:ascii="Calibri" w:hAnsi="Calibri" w:hint="eastAsia"/>
          <w:color w:val="auto"/>
          <w:vertAlign w:val="subscript"/>
        </w:rPr>
        <w:t>2</w:t>
      </w:r>
      <w:r w:rsidRPr="00A964FF">
        <w:rPr>
          <w:rFonts w:ascii="Calibri" w:hAnsi="Calibri" w:hint="eastAsia"/>
          <w:color w:val="auto"/>
        </w:rPr>
        <w:t>和</w:t>
      </w:r>
      <w:r w:rsidRPr="00A964FF">
        <w:rPr>
          <w:rFonts w:ascii="Calibri" w:hAnsi="Calibri" w:hint="eastAsia"/>
          <w:color w:val="auto"/>
        </w:rPr>
        <w:t>NOx</w:t>
      </w:r>
      <w:r w:rsidRPr="00A964FF">
        <w:rPr>
          <w:rFonts w:ascii="Calibri" w:hAnsi="Calibri" w:hint="eastAsia"/>
          <w:color w:val="auto"/>
        </w:rPr>
        <w:t>，根据天然气耗量，并参考《第二次全国污染源普查产排污量核算系数手册》中工业锅炉（热力生产和供应行业）产污系数表（采用国际领先的低氮燃烧技术），导热油炉污染物产排污系数见表</w:t>
      </w:r>
      <w:r w:rsidRPr="00A964FF">
        <w:rPr>
          <w:rFonts w:ascii="Calibri" w:hAnsi="Calibri" w:hint="eastAsia"/>
          <w:color w:val="auto"/>
        </w:rPr>
        <w:t>2.3-</w:t>
      </w:r>
      <w:r w:rsidR="008822BC">
        <w:rPr>
          <w:rFonts w:ascii="Calibri" w:hAnsi="Calibri"/>
          <w:color w:val="auto"/>
        </w:rPr>
        <w:t>2</w:t>
      </w:r>
      <w:r w:rsidRPr="00A964FF">
        <w:rPr>
          <w:rFonts w:ascii="Calibri" w:hAnsi="Calibri" w:hint="eastAsia"/>
          <w:color w:val="auto"/>
        </w:rPr>
        <w:t>。</w:t>
      </w:r>
    </w:p>
    <w:p w14:paraId="4B909CB7" w14:textId="77777777" w:rsidR="00CA259F" w:rsidRPr="00A964FF" w:rsidRDefault="00CA259F" w:rsidP="00CA259F">
      <w:pPr>
        <w:tabs>
          <w:tab w:val="left" w:pos="7548"/>
        </w:tabs>
        <w:spacing w:line="520" w:lineRule="exact"/>
        <w:ind w:firstLine="480"/>
        <w:rPr>
          <w:rFonts w:ascii="Calibri" w:eastAsia="黑体" w:hAnsi="黑体"/>
          <w:bCs/>
          <w:color w:val="auto"/>
          <w:sz w:val="24"/>
        </w:rPr>
      </w:pPr>
      <w:r w:rsidRPr="00A964FF">
        <w:rPr>
          <w:rFonts w:ascii="Calibri" w:eastAsia="黑体" w:hAnsi="黑体"/>
          <w:bCs/>
          <w:color w:val="auto"/>
          <w:sz w:val="24"/>
        </w:rPr>
        <w:t>表</w:t>
      </w:r>
      <w:r w:rsidRPr="00A964FF">
        <w:rPr>
          <w:rFonts w:ascii="Calibri" w:eastAsia="黑体" w:hAnsi="黑体" w:hint="eastAsia"/>
          <w:bCs/>
          <w:color w:val="auto"/>
          <w:sz w:val="24"/>
        </w:rPr>
        <w:t>2.3-</w:t>
      </w:r>
      <w:r w:rsidR="008822BC">
        <w:rPr>
          <w:rFonts w:ascii="Calibri" w:eastAsia="黑体" w:hAnsi="黑体"/>
          <w:bCs/>
          <w:color w:val="auto"/>
          <w:sz w:val="24"/>
        </w:rPr>
        <w:t>2</w:t>
      </w:r>
      <w:r w:rsidRPr="00A964FF">
        <w:rPr>
          <w:rFonts w:ascii="Calibri" w:eastAsia="黑体" w:hAnsi="黑体"/>
          <w:bCs/>
          <w:color w:val="auto"/>
          <w:sz w:val="24"/>
        </w:rPr>
        <w:t xml:space="preserve">          </w:t>
      </w:r>
      <w:r w:rsidRPr="00A964FF">
        <w:rPr>
          <w:rFonts w:ascii="Calibri" w:eastAsia="黑体" w:hAnsi="黑体" w:hint="eastAsia"/>
          <w:bCs/>
          <w:color w:val="auto"/>
          <w:sz w:val="24"/>
        </w:rPr>
        <w:t xml:space="preserve">   </w:t>
      </w:r>
      <w:r w:rsidRPr="00A964FF">
        <w:rPr>
          <w:rFonts w:ascii="Calibri" w:eastAsia="黑体" w:hAnsi="黑体"/>
          <w:bCs/>
          <w:color w:val="auto"/>
          <w:sz w:val="24"/>
        </w:rPr>
        <w:t xml:space="preserve"> </w:t>
      </w:r>
      <w:r w:rsidRPr="00A964FF">
        <w:rPr>
          <w:rFonts w:ascii="Calibri" w:eastAsia="黑体" w:hAnsi="黑体" w:hint="eastAsia"/>
          <w:bCs/>
          <w:color w:val="auto"/>
          <w:sz w:val="24"/>
        </w:rPr>
        <w:t>导热油炉污染物产排污系数表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39"/>
        <w:gridCol w:w="686"/>
        <w:gridCol w:w="1366"/>
        <w:gridCol w:w="1641"/>
        <w:gridCol w:w="1138"/>
        <w:gridCol w:w="1592"/>
        <w:gridCol w:w="1138"/>
      </w:tblGrid>
      <w:tr w:rsidR="00CA259F" w:rsidRPr="00A964FF" w14:paraId="7157EC31" w14:textId="77777777" w:rsidTr="00CE1FD8">
        <w:trPr>
          <w:trHeight w:val="369"/>
          <w:jc w:val="center"/>
        </w:trPr>
        <w:tc>
          <w:tcPr>
            <w:tcW w:w="654" w:type="pct"/>
            <w:vAlign w:val="center"/>
          </w:tcPr>
          <w:p w14:paraId="05D90415"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燃料名称</w:t>
            </w:r>
          </w:p>
        </w:tc>
        <w:tc>
          <w:tcPr>
            <w:tcW w:w="394" w:type="pct"/>
            <w:vAlign w:val="center"/>
          </w:tcPr>
          <w:p w14:paraId="717E46CF"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规模</w:t>
            </w:r>
          </w:p>
          <w:p w14:paraId="146F6159"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等级</w:t>
            </w:r>
          </w:p>
        </w:tc>
        <w:tc>
          <w:tcPr>
            <w:tcW w:w="785" w:type="pct"/>
            <w:vAlign w:val="center"/>
          </w:tcPr>
          <w:p w14:paraId="0FF64769"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污染物指标</w:t>
            </w:r>
          </w:p>
        </w:tc>
        <w:tc>
          <w:tcPr>
            <w:tcW w:w="943" w:type="pct"/>
            <w:vAlign w:val="center"/>
          </w:tcPr>
          <w:p w14:paraId="761E43D5"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单位</w:t>
            </w:r>
          </w:p>
        </w:tc>
        <w:tc>
          <w:tcPr>
            <w:tcW w:w="654" w:type="pct"/>
            <w:vAlign w:val="center"/>
          </w:tcPr>
          <w:p w14:paraId="021D4788"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产污系数</w:t>
            </w:r>
          </w:p>
        </w:tc>
        <w:tc>
          <w:tcPr>
            <w:tcW w:w="915" w:type="pct"/>
            <w:vAlign w:val="center"/>
          </w:tcPr>
          <w:p w14:paraId="384DD757"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末端治理技术</w:t>
            </w:r>
          </w:p>
          <w:p w14:paraId="1D4B0185"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名称</w:t>
            </w:r>
          </w:p>
        </w:tc>
        <w:tc>
          <w:tcPr>
            <w:tcW w:w="654" w:type="pct"/>
            <w:vAlign w:val="center"/>
          </w:tcPr>
          <w:p w14:paraId="61861EC9"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排污系数</w:t>
            </w:r>
          </w:p>
        </w:tc>
      </w:tr>
      <w:tr w:rsidR="00CA259F" w:rsidRPr="00A964FF" w14:paraId="6F19785D" w14:textId="77777777" w:rsidTr="00CE1FD8">
        <w:trPr>
          <w:trHeight w:val="369"/>
          <w:jc w:val="center"/>
        </w:trPr>
        <w:tc>
          <w:tcPr>
            <w:tcW w:w="654" w:type="pct"/>
            <w:vMerge w:val="restart"/>
            <w:vAlign w:val="center"/>
          </w:tcPr>
          <w:p w14:paraId="550D1893"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天然气</w:t>
            </w:r>
          </w:p>
        </w:tc>
        <w:tc>
          <w:tcPr>
            <w:tcW w:w="394" w:type="pct"/>
            <w:vMerge w:val="restart"/>
            <w:vAlign w:val="center"/>
          </w:tcPr>
          <w:p w14:paraId="72749425"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所有</w:t>
            </w:r>
          </w:p>
          <w:p w14:paraId="7D6439FC"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规模</w:t>
            </w:r>
          </w:p>
        </w:tc>
        <w:tc>
          <w:tcPr>
            <w:tcW w:w="785" w:type="pct"/>
            <w:vAlign w:val="center"/>
          </w:tcPr>
          <w:p w14:paraId="09118424"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工业废气量</w:t>
            </w:r>
          </w:p>
        </w:tc>
        <w:tc>
          <w:tcPr>
            <w:tcW w:w="943" w:type="pct"/>
            <w:vAlign w:val="center"/>
          </w:tcPr>
          <w:p w14:paraId="00071BD8" w14:textId="77777777" w:rsidR="00CA259F" w:rsidRPr="00A964FF" w:rsidRDefault="00CA259F" w:rsidP="007C1CE9">
            <w:pPr>
              <w:jc w:val="center"/>
              <w:rPr>
                <w:rFonts w:ascii="Calibri" w:hAnsi="Calibri"/>
                <w:color w:val="auto"/>
                <w:szCs w:val="21"/>
              </w:rPr>
            </w:pPr>
            <w:r w:rsidRPr="00A964FF">
              <w:rPr>
                <w:rFonts w:ascii="Calibri" w:hAnsi="Calibri"/>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w:t>
            </w:r>
            <w:r w:rsidRPr="00A964FF">
              <w:rPr>
                <w:rFonts w:ascii="Calibri" w:hAnsi="Calibri" w:hint="eastAsia"/>
                <w:color w:val="auto"/>
                <w:szCs w:val="21"/>
              </w:rPr>
              <w:t>万</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w:t>
            </w:r>
            <w:r w:rsidRPr="00A964FF">
              <w:rPr>
                <w:rFonts w:ascii="Calibri" w:hAnsi="Calibri" w:hint="eastAsia"/>
                <w:color w:val="auto"/>
                <w:szCs w:val="21"/>
              </w:rPr>
              <w:t>原料</w:t>
            </w:r>
          </w:p>
        </w:tc>
        <w:tc>
          <w:tcPr>
            <w:tcW w:w="654" w:type="pct"/>
            <w:vAlign w:val="center"/>
          </w:tcPr>
          <w:p w14:paraId="2BC3DAE0"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107753</w:t>
            </w:r>
          </w:p>
        </w:tc>
        <w:tc>
          <w:tcPr>
            <w:tcW w:w="915" w:type="pct"/>
            <w:vAlign w:val="center"/>
          </w:tcPr>
          <w:p w14:paraId="13B0A011"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直排</w:t>
            </w:r>
          </w:p>
        </w:tc>
        <w:tc>
          <w:tcPr>
            <w:tcW w:w="654" w:type="pct"/>
            <w:vAlign w:val="center"/>
          </w:tcPr>
          <w:p w14:paraId="79F9615F"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107753</w:t>
            </w:r>
          </w:p>
        </w:tc>
      </w:tr>
      <w:tr w:rsidR="00CA259F" w:rsidRPr="00A964FF" w14:paraId="07F24CF2" w14:textId="77777777" w:rsidTr="00CE1FD8">
        <w:trPr>
          <w:trHeight w:val="369"/>
          <w:jc w:val="center"/>
        </w:trPr>
        <w:tc>
          <w:tcPr>
            <w:tcW w:w="654" w:type="pct"/>
            <w:vMerge/>
            <w:vAlign w:val="center"/>
          </w:tcPr>
          <w:p w14:paraId="3F2B758E" w14:textId="77777777" w:rsidR="00CA259F" w:rsidRPr="00A964FF" w:rsidRDefault="00CA259F" w:rsidP="007C1CE9">
            <w:pPr>
              <w:jc w:val="center"/>
              <w:rPr>
                <w:rFonts w:ascii="Calibri" w:hAnsi="Calibri"/>
                <w:color w:val="auto"/>
                <w:szCs w:val="21"/>
              </w:rPr>
            </w:pPr>
          </w:p>
        </w:tc>
        <w:tc>
          <w:tcPr>
            <w:tcW w:w="394" w:type="pct"/>
            <w:vMerge/>
            <w:vAlign w:val="center"/>
          </w:tcPr>
          <w:p w14:paraId="0149A67A" w14:textId="77777777" w:rsidR="00CA259F" w:rsidRPr="00A964FF" w:rsidRDefault="00CA259F" w:rsidP="007C1CE9">
            <w:pPr>
              <w:jc w:val="center"/>
              <w:rPr>
                <w:rFonts w:ascii="Calibri" w:hAnsi="Calibri"/>
                <w:color w:val="auto"/>
                <w:szCs w:val="21"/>
              </w:rPr>
            </w:pPr>
          </w:p>
        </w:tc>
        <w:tc>
          <w:tcPr>
            <w:tcW w:w="785" w:type="pct"/>
            <w:vAlign w:val="center"/>
          </w:tcPr>
          <w:p w14:paraId="01843A4A"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SO</w:t>
            </w:r>
            <w:r w:rsidRPr="00A964FF">
              <w:rPr>
                <w:rFonts w:ascii="Calibri" w:hAnsi="Calibri" w:hint="eastAsia"/>
                <w:color w:val="auto"/>
                <w:szCs w:val="21"/>
                <w:vertAlign w:val="subscript"/>
              </w:rPr>
              <w:t>2</w:t>
            </w:r>
          </w:p>
        </w:tc>
        <w:tc>
          <w:tcPr>
            <w:tcW w:w="943" w:type="pct"/>
            <w:vAlign w:val="center"/>
          </w:tcPr>
          <w:p w14:paraId="48BCE38D"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kg/</w:t>
            </w:r>
            <w:r w:rsidRPr="00A964FF">
              <w:rPr>
                <w:rFonts w:ascii="Calibri" w:hAnsi="Calibri" w:hint="eastAsia"/>
                <w:color w:val="auto"/>
                <w:szCs w:val="21"/>
              </w:rPr>
              <w:t>万</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w:t>
            </w:r>
            <w:r w:rsidRPr="00A964FF">
              <w:rPr>
                <w:rFonts w:ascii="Calibri" w:hAnsi="Calibri" w:hint="eastAsia"/>
                <w:color w:val="auto"/>
                <w:szCs w:val="21"/>
              </w:rPr>
              <w:t>原料</w:t>
            </w:r>
          </w:p>
        </w:tc>
        <w:tc>
          <w:tcPr>
            <w:tcW w:w="654" w:type="pct"/>
            <w:vAlign w:val="center"/>
          </w:tcPr>
          <w:p w14:paraId="1172862E"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0.02S</w:t>
            </w:r>
            <w:r w:rsidRPr="00A964FF">
              <w:rPr>
                <w:rFonts w:ascii="Calibri" w:hAnsi="Calibri" w:hint="eastAsia"/>
                <w:color w:val="auto"/>
                <w:szCs w:val="21"/>
              </w:rPr>
              <w:t>①</w:t>
            </w:r>
          </w:p>
        </w:tc>
        <w:tc>
          <w:tcPr>
            <w:tcW w:w="915" w:type="pct"/>
            <w:vAlign w:val="center"/>
          </w:tcPr>
          <w:p w14:paraId="719257CB"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直排</w:t>
            </w:r>
          </w:p>
        </w:tc>
        <w:tc>
          <w:tcPr>
            <w:tcW w:w="654" w:type="pct"/>
            <w:vAlign w:val="center"/>
          </w:tcPr>
          <w:p w14:paraId="163EF2B8"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0.02S</w:t>
            </w:r>
          </w:p>
        </w:tc>
      </w:tr>
      <w:tr w:rsidR="00CA259F" w:rsidRPr="00A964FF" w14:paraId="23A781AC" w14:textId="77777777" w:rsidTr="00CE1FD8">
        <w:trPr>
          <w:trHeight w:val="369"/>
          <w:jc w:val="center"/>
        </w:trPr>
        <w:tc>
          <w:tcPr>
            <w:tcW w:w="654" w:type="pct"/>
            <w:vMerge/>
            <w:vAlign w:val="center"/>
          </w:tcPr>
          <w:p w14:paraId="757E9A0E" w14:textId="77777777" w:rsidR="00CA259F" w:rsidRPr="00A964FF" w:rsidRDefault="00CA259F" w:rsidP="007C1CE9">
            <w:pPr>
              <w:jc w:val="center"/>
              <w:rPr>
                <w:rFonts w:ascii="Calibri" w:hAnsi="Calibri"/>
                <w:color w:val="auto"/>
                <w:szCs w:val="21"/>
              </w:rPr>
            </w:pPr>
          </w:p>
        </w:tc>
        <w:tc>
          <w:tcPr>
            <w:tcW w:w="394" w:type="pct"/>
            <w:vMerge/>
            <w:vAlign w:val="center"/>
          </w:tcPr>
          <w:p w14:paraId="14E9097E" w14:textId="77777777" w:rsidR="00CA259F" w:rsidRPr="00A964FF" w:rsidRDefault="00CA259F" w:rsidP="007C1CE9">
            <w:pPr>
              <w:jc w:val="center"/>
              <w:rPr>
                <w:rFonts w:ascii="Calibri" w:hAnsi="Calibri"/>
                <w:color w:val="auto"/>
                <w:szCs w:val="21"/>
              </w:rPr>
            </w:pPr>
          </w:p>
        </w:tc>
        <w:tc>
          <w:tcPr>
            <w:tcW w:w="785" w:type="pct"/>
            <w:vAlign w:val="center"/>
          </w:tcPr>
          <w:p w14:paraId="4B1DEABC"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NOx</w:t>
            </w:r>
          </w:p>
        </w:tc>
        <w:tc>
          <w:tcPr>
            <w:tcW w:w="943" w:type="pct"/>
            <w:vAlign w:val="center"/>
          </w:tcPr>
          <w:p w14:paraId="55C2FE78"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kg/</w:t>
            </w:r>
            <w:r w:rsidRPr="00A964FF">
              <w:rPr>
                <w:rFonts w:ascii="Calibri" w:hAnsi="Calibri" w:hint="eastAsia"/>
                <w:color w:val="auto"/>
                <w:szCs w:val="21"/>
              </w:rPr>
              <w:t>万</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w:t>
            </w:r>
            <w:r w:rsidRPr="00A964FF">
              <w:rPr>
                <w:rFonts w:ascii="Calibri" w:hAnsi="Calibri" w:hint="eastAsia"/>
                <w:color w:val="auto"/>
                <w:szCs w:val="21"/>
              </w:rPr>
              <w:t>原料</w:t>
            </w:r>
          </w:p>
        </w:tc>
        <w:tc>
          <w:tcPr>
            <w:tcW w:w="654" w:type="pct"/>
            <w:vAlign w:val="center"/>
          </w:tcPr>
          <w:p w14:paraId="34A92912"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3.03</w:t>
            </w:r>
          </w:p>
        </w:tc>
        <w:tc>
          <w:tcPr>
            <w:tcW w:w="915" w:type="pct"/>
            <w:vAlign w:val="center"/>
          </w:tcPr>
          <w:p w14:paraId="58996B75"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直排</w:t>
            </w:r>
          </w:p>
        </w:tc>
        <w:tc>
          <w:tcPr>
            <w:tcW w:w="654" w:type="pct"/>
            <w:vAlign w:val="center"/>
          </w:tcPr>
          <w:p w14:paraId="10BC5221"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3.03</w:t>
            </w:r>
          </w:p>
        </w:tc>
      </w:tr>
      <w:tr w:rsidR="00CA259F" w:rsidRPr="00A964FF" w14:paraId="708A078A" w14:textId="77777777" w:rsidTr="00CE1FD8">
        <w:trPr>
          <w:trHeight w:val="369"/>
          <w:jc w:val="center"/>
        </w:trPr>
        <w:tc>
          <w:tcPr>
            <w:tcW w:w="654" w:type="pct"/>
            <w:vMerge/>
            <w:vAlign w:val="center"/>
          </w:tcPr>
          <w:p w14:paraId="6C267A79" w14:textId="77777777" w:rsidR="00CA259F" w:rsidRPr="00A964FF" w:rsidRDefault="00CA259F" w:rsidP="007C1CE9">
            <w:pPr>
              <w:jc w:val="center"/>
              <w:rPr>
                <w:rFonts w:ascii="Calibri" w:hAnsi="Calibri"/>
                <w:color w:val="auto"/>
                <w:szCs w:val="21"/>
              </w:rPr>
            </w:pPr>
          </w:p>
        </w:tc>
        <w:tc>
          <w:tcPr>
            <w:tcW w:w="394" w:type="pct"/>
            <w:vMerge/>
            <w:vAlign w:val="center"/>
          </w:tcPr>
          <w:p w14:paraId="1B356FBE" w14:textId="77777777" w:rsidR="00CA259F" w:rsidRPr="00A964FF" w:rsidRDefault="00CA259F" w:rsidP="007C1CE9">
            <w:pPr>
              <w:jc w:val="center"/>
              <w:rPr>
                <w:rFonts w:ascii="Calibri" w:hAnsi="Calibri"/>
                <w:color w:val="auto"/>
                <w:szCs w:val="21"/>
              </w:rPr>
            </w:pPr>
          </w:p>
        </w:tc>
        <w:tc>
          <w:tcPr>
            <w:tcW w:w="785" w:type="pct"/>
            <w:vAlign w:val="center"/>
          </w:tcPr>
          <w:p w14:paraId="6C0C8232"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颗粒物</w:t>
            </w:r>
          </w:p>
        </w:tc>
        <w:tc>
          <w:tcPr>
            <w:tcW w:w="943" w:type="pct"/>
            <w:vAlign w:val="center"/>
          </w:tcPr>
          <w:p w14:paraId="36EB9E84"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rPr>
              <w:t>mg/m</w:t>
            </w:r>
            <w:r w:rsidRPr="00A964FF">
              <w:rPr>
                <w:rFonts w:ascii="Calibri" w:hAnsi="Calibri" w:hint="eastAsia"/>
                <w:color w:val="auto"/>
                <w:vertAlign w:val="superscript"/>
              </w:rPr>
              <w:t>3</w:t>
            </w:r>
            <w:r w:rsidRPr="00A964FF">
              <w:rPr>
                <w:rFonts w:ascii="Calibri" w:hAnsi="Calibri" w:hint="eastAsia"/>
                <w:color w:val="auto"/>
              </w:rPr>
              <w:t>-</w:t>
            </w:r>
            <w:r w:rsidRPr="00A964FF">
              <w:rPr>
                <w:rFonts w:ascii="Calibri" w:hAnsi="Calibri" w:hint="eastAsia"/>
                <w:color w:val="auto"/>
              </w:rPr>
              <w:t>废气</w:t>
            </w:r>
          </w:p>
        </w:tc>
        <w:tc>
          <w:tcPr>
            <w:tcW w:w="654" w:type="pct"/>
            <w:vAlign w:val="center"/>
          </w:tcPr>
          <w:p w14:paraId="082D0C97"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2.45</w:t>
            </w:r>
            <w:r w:rsidRPr="00A964FF">
              <w:rPr>
                <w:rFonts w:ascii="Calibri" w:hAnsi="Calibri" w:hint="eastAsia"/>
                <w:color w:val="auto"/>
                <w:szCs w:val="21"/>
              </w:rPr>
              <w:t>②</w:t>
            </w:r>
          </w:p>
        </w:tc>
        <w:tc>
          <w:tcPr>
            <w:tcW w:w="915" w:type="pct"/>
            <w:vAlign w:val="center"/>
          </w:tcPr>
          <w:p w14:paraId="4348C024"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直排</w:t>
            </w:r>
          </w:p>
        </w:tc>
        <w:tc>
          <w:tcPr>
            <w:tcW w:w="654" w:type="pct"/>
            <w:vAlign w:val="center"/>
          </w:tcPr>
          <w:p w14:paraId="59000343"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2.45</w:t>
            </w:r>
          </w:p>
        </w:tc>
      </w:tr>
    </w:tbl>
    <w:p w14:paraId="7A50300A" w14:textId="77777777" w:rsidR="00CA259F" w:rsidRPr="00A964FF" w:rsidRDefault="00CA259F" w:rsidP="00CA259F">
      <w:pPr>
        <w:pStyle w:val="00"/>
        <w:ind w:firstLine="420"/>
        <w:rPr>
          <w:rFonts w:ascii="Calibri"/>
          <w:color w:val="auto"/>
          <w:sz w:val="21"/>
          <w:szCs w:val="21"/>
        </w:rPr>
      </w:pPr>
      <w:r w:rsidRPr="00A964FF">
        <w:rPr>
          <w:rFonts w:ascii="Calibri" w:hint="eastAsia"/>
          <w:color w:val="auto"/>
          <w:sz w:val="21"/>
          <w:szCs w:val="21"/>
        </w:rPr>
        <w:t>备注：①产排污系数表中二氧化硫的产排污系数是以含硫量（</w:t>
      </w:r>
      <w:r w:rsidRPr="00A964FF">
        <w:rPr>
          <w:rFonts w:ascii="Calibri" w:hint="eastAsia"/>
          <w:color w:val="auto"/>
          <w:sz w:val="21"/>
          <w:szCs w:val="21"/>
        </w:rPr>
        <w:t>S</w:t>
      </w:r>
      <w:r w:rsidRPr="00A964FF">
        <w:rPr>
          <w:rFonts w:ascii="Calibri" w:hint="eastAsia"/>
          <w:color w:val="auto"/>
          <w:sz w:val="21"/>
          <w:szCs w:val="21"/>
        </w:rPr>
        <w:t>）的形式表示的，其中含硫量（</w:t>
      </w:r>
      <w:r w:rsidRPr="00A964FF">
        <w:rPr>
          <w:rFonts w:ascii="Calibri" w:hint="eastAsia"/>
          <w:color w:val="auto"/>
          <w:sz w:val="21"/>
          <w:szCs w:val="21"/>
        </w:rPr>
        <w:t>S</w:t>
      </w:r>
      <w:r w:rsidRPr="00A964FF">
        <w:rPr>
          <w:rFonts w:ascii="Calibri" w:hint="eastAsia"/>
          <w:color w:val="auto"/>
          <w:sz w:val="21"/>
          <w:szCs w:val="21"/>
        </w:rPr>
        <w:t>）是指燃气收到基硫分含量，单位为毫克</w:t>
      </w:r>
      <w:r w:rsidRPr="00A964FF">
        <w:rPr>
          <w:rFonts w:ascii="Calibri" w:hint="eastAsia"/>
          <w:color w:val="auto"/>
          <w:sz w:val="21"/>
          <w:szCs w:val="21"/>
        </w:rPr>
        <w:t>/</w:t>
      </w:r>
      <w:r w:rsidRPr="00A964FF">
        <w:rPr>
          <w:rFonts w:ascii="Calibri" w:hint="eastAsia"/>
          <w:color w:val="auto"/>
          <w:sz w:val="21"/>
          <w:szCs w:val="21"/>
        </w:rPr>
        <w:t>立方米。例如燃料中含硫量（</w:t>
      </w:r>
      <w:r w:rsidRPr="00A964FF">
        <w:rPr>
          <w:rFonts w:ascii="Calibri" w:hint="eastAsia"/>
          <w:color w:val="auto"/>
          <w:sz w:val="21"/>
          <w:szCs w:val="21"/>
        </w:rPr>
        <w:t>S</w:t>
      </w:r>
      <w:r w:rsidRPr="00A964FF">
        <w:rPr>
          <w:rFonts w:ascii="Calibri" w:hint="eastAsia"/>
          <w:color w:val="auto"/>
          <w:sz w:val="21"/>
          <w:szCs w:val="21"/>
        </w:rPr>
        <w:t>）为</w:t>
      </w:r>
      <w:r w:rsidRPr="00A964FF">
        <w:rPr>
          <w:rFonts w:ascii="Calibri" w:hint="eastAsia"/>
          <w:color w:val="auto"/>
          <w:sz w:val="21"/>
          <w:szCs w:val="21"/>
        </w:rPr>
        <w:t>200</w:t>
      </w:r>
      <w:r w:rsidRPr="00A964FF">
        <w:rPr>
          <w:rFonts w:ascii="Calibri" w:hint="eastAsia"/>
          <w:color w:val="auto"/>
          <w:sz w:val="21"/>
          <w:szCs w:val="21"/>
        </w:rPr>
        <w:t>毫克</w:t>
      </w:r>
      <w:r w:rsidRPr="00A964FF">
        <w:rPr>
          <w:rFonts w:ascii="Calibri" w:hint="eastAsia"/>
          <w:color w:val="auto"/>
          <w:sz w:val="21"/>
          <w:szCs w:val="21"/>
        </w:rPr>
        <w:t>/</w:t>
      </w:r>
      <w:r w:rsidRPr="00A964FF">
        <w:rPr>
          <w:rFonts w:ascii="Calibri" w:hint="eastAsia"/>
          <w:color w:val="auto"/>
          <w:sz w:val="21"/>
          <w:szCs w:val="21"/>
        </w:rPr>
        <w:t>立方米，则</w:t>
      </w:r>
      <w:r w:rsidRPr="00A964FF">
        <w:rPr>
          <w:rFonts w:ascii="Calibri" w:hint="eastAsia"/>
          <w:color w:val="auto"/>
          <w:sz w:val="21"/>
          <w:szCs w:val="21"/>
        </w:rPr>
        <w:t>S=200</w:t>
      </w:r>
      <w:r w:rsidRPr="00A964FF">
        <w:rPr>
          <w:rFonts w:ascii="Calibri" w:hint="eastAsia"/>
          <w:color w:val="auto"/>
          <w:sz w:val="21"/>
          <w:szCs w:val="21"/>
        </w:rPr>
        <w:t>。②参考河南省地方标准《锅炉大气污染物排放标准》（</w:t>
      </w:r>
      <w:r w:rsidRPr="00A964FF">
        <w:rPr>
          <w:rFonts w:ascii="Calibri" w:hint="eastAsia"/>
          <w:color w:val="auto"/>
          <w:sz w:val="21"/>
          <w:szCs w:val="21"/>
        </w:rPr>
        <w:t>DB41/2089-2021</w:t>
      </w:r>
      <w:r w:rsidRPr="00A964FF">
        <w:rPr>
          <w:rFonts w:ascii="Calibri" w:hint="eastAsia"/>
          <w:color w:val="auto"/>
          <w:sz w:val="21"/>
          <w:szCs w:val="21"/>
        </w:rPr>
        <w:t>）编制说明，统计已安装自动监控设施的</w:t>
      </w:r>
      <w:r w:rsidRPr="00A964FF">
        <w:rPr>
          <w:rFonts w:ascii="Calibri" w:hint="eastAsia"/>
          <w:color w:val="auto"/>
          <w:sz w:val="21"/>
          <w:szCs w:val="21"/>
        </w:rPr>
        <w:t>108</w:t>
      </w:r>
      <w:r w:rsidRPr="00A964FF">
        <w:rPr>
          <w:rFonts w:ascii="Calibri" w:hint="eastAsia"/>
          <w:color w:val="auto"/>
          <w:sz w:val="21"/>
          <w:szCs w:val="21"/>
        </w:rPr>
        <w:t>个燃气锅炉排放口</w:t>
      </w:r>
      <w:r w:rsidRPr="00A964FF">
        <w:rPr>
          <w:rFonts w:ascii="Calibri" w:hint="eastAsia"/>
          <w:color w:val="auto"/>
          <w:sz w:val="21"/>
          <w:szCs w:val="21"/>
        </w:rPr>
        <w:t>2020</w:t>
      </w:r>
      <w:r w:rsidRPr="00A964FF">
        <w:rPr>
          <w:rFonts w:ascii="Calibri" w:hint="eastAsia"/>
          <w:color w:val="auto"/>
          <w:sz w:val="21"/>
          <w:szCs w:val="21"/>
        </w:rPr>
        <w:t>年</w:t>
      </w:r>
      <w:r w:rsidRPr="00A964FF">
        <w:rPr>
          <w:rFonts w:ascii="Calibri" w:hint="eastAsia"/>
          <w:color w:val="auto"/>
          <w:sz w:val="21"/>
          <w:szCs w:val="21"/>
        </w:rPr>
        <w:t>1</w:t>
      </w:r>
      <w:r w:rsidRPr="00A964FF">
        <w:rPr>
          <w:rFonts w:ascii="Calibri" w:hint="eastAsia"/>
          <w:color w:val="auto"/>
          <w:sz w:val="21"/>
          <w:szCs w:val="21"/>
        </w:rPr>
        <w:t>月～</w:t>
      </w:r>
      <w:r w:rsidRPr="00A964FF">
        <w:rPr>
          <w:rFonts w:ascii="Calibri" w:hint="eastAsia"/>
          <w:color w:val="auto"/>
          <w:sz w:val="21"/>
          <w:szCs w:val="21"/>
        </w:rPr>
        <w:t>6</w:t>
      </w:r>
      <w:r w:rsidRPr="00A964FF">
        <w:rPr>
          <w:rFonts w:ascii="Calibri" w:hint="eastAsia"/>
          <w:color w:val="auto"/>
          <w:sz w:val="21"/>
          <w:szCs w:val="21"/>
        </w:rPr>
        <w:t>月在线监控小时数据，颗粒物的平均排放浓度为</w:t>
      </w:r>
      <w:r w:rsidRPr="00A964FF">
        <w:rPr>
          <w:rFonts w:ascii="Calibri" w:hint="eastAsia"/>
          <w:color w:val="auto"/>
          <w:sz w:val="21"/>
          <w:szCs w:val="21"/>
        </w:rPr>
        <w:t>2.45mg/m</w:t>
      </w:r>
      <w:r w:rsidRPr="00A964FF">
        <w:rPr>
          <w:rFonts w:ascii="Calibri" w:hint="eastAsia"/>
          <w:color w:val="auto"/>
          <w:sz w:val="21"/>
          <w:szCs w:val="21"/>
          <w:vertAlign w:val="superscript"/>
        </w:rPr>
        <w:t>3</w:t>
      </w:r>
      <w:r w:rsidRPr="00A964FF">
        <w:rPr>
          <w:rFonts w:ascii="Calibri" w:hint="eastAsia"/>
          <w:color w:val="auto"/>
          <w:sz w:val="21"/>
          <w:szCs w:val="21"/>
        </w:rPr>
        <w:t>。</w:t>
      </w:r>
    </w:p>
    <w:p w14:paraId="714FFA06" w14:textId="77777777" w:rsidR="00A92936" w:rsidRPr="00CE1FD8" w:rsidRDefault="00CA259F" w:rsidP="00CE1FD8">
      <w:pPr>
        <w:pStyle w:val="00"/>
        <w:ind w:firstLine="420"/>
        <w:rPr>
          <w:rFonts w:ascii="Calibri"/>
          <w:bCs/>
          <w:color w:val="auto"/>
        </w:rPr>
      </w:pPr>
      <w:r w:rsidRPr="00A964FF">
        <w:rPr>
          <w:rFonts w:ascii="Calibri" w:hAnsi="Calibri"/>
          <w:color w:val="auto"/>
        </w:rPr>
        <w:t>根据《天然气》（</w:t>
      </w:r>
      <w:r w:rsidRPr="00A964FF">
        <w:rPr>
          <w:rFonts w:ascii="Calibri" w:hAnsi="Calibri"/>
          <w:color w:val="auto"/>
        </w:rPr>
        <w:t>GB17820-2018</w:t>
      </w:r>
      <w:r w:rsidRPr="00A964FF">
        <w:rPr>
          <w:rFonts w:ascii="Calibri" w:hAnsi="Calibri"/>
          <w:color w:val="auto"/>
        </w:rPr>
        <w:t>）中天然气质量要求，一类天然气中总硫含量</w:t>
      </w:r>
      <w:r w:rsidRPr="00A964FF">
        <w:rPr>
          <w:rFonts w:ascii="Calibri" w:hAnsi="Calibri"/>
          <w:color w:val="auto"/>
        </w:rPr>
        <w:t>≤20mg/m</w:t>
      </w:r>
      <w:r w:rsidRPr="00A964FF">
        <w:rPr>
          <w:rFonts w:ascii="Calibri" w:hAnsi="Calibri"/>
          <w:color w:val="auto"/>
          <w:vertAlign w:val="superscript"/>
        </w:rPr>
        <w:t>3</w:t>
      </w:r>
      <w:r w:rsidRPr="00A964FF">
        <w:rPr>
          <w:rFonts w:ascii="Calibri" w:hAnsi="Calibri"/>
          <w:color w:val="auto"/>
        </w:rPr>
        <w:t>，二类天然气中总硫含量</w:t>
      </w:r>
      <w:r w:rsidRPr="00A964FF">
        <w:rPr>
          <w:rFonts w:ascii="Calibri" w:hAnsi="Calibri"/>
          <w:color w:val="auto"/>
        </w:rPr>
        <w:t>≤100mg/m</w:t>
      </w:r>
      <w:r w:rsidRPr="00A964FF">
        <w:rPr>
          <w:rFonts w:ascii="Calibri" w:hAnsi="Calibri"/>
          <w:color w:val="auto"/>
          <w:vertAlign w:val="superscript"/>
        </w:rPr>
        <w:t>3</w:t>
      </w:r>
      <w:r w:rsidRPr="00A964FF">
        <w:rPr>
          <w:rFonts w:ascii="Calibri" w:hAnsi="Calibri"/>
          <w:color w:val="auto"/>
        </w:rPr>
        <w:t>，本</w:t>
      </w:r>
      <w:r w:rsidRPr="00A964FF">
        <w:rPr>
          <w:rFonts w:ascii="Calibri" w:hAnsi="Calibri" w:hint="eastAsia"/>
          <w:color w:val="auto"/>
        </w:rPr>
        <w:t>项目采用一类天然气，</w:t>
      </w:r>
      <w:r w:rsidRPr="00A964FF">
        <w:rPr>
          <w:rFonts w:ascii="Calibri" w:hAnsi="Calibri"/>
          <w:color w:val="auto"/>
        </w:rPr>
        <w:t>天然气中总硫</w:t>
      </w:r>
      <w:r w:rsidRPr="00A964FF">
        <w:rPr>
          <w:rFonts w:ascii="Calibri" w:hAnsi="Calibri" w:hint="eastAsia"/>
          <w:color w:val="auto"/>
        </w:rPr>
        <w:t>按</w:t>
      </w:r>
      <w:r w:rsidRPr="00A964FF">
        <w:rPr>
          <w:rFonts w:ascii="Calibri" w:hAnsi="Calibri" w:hint="eastAsia"/>
          <w:color w:val="auto"/>
        </w:rPr>
        <w:t>2</w:t>
      </w:r>
      <w:r w:rsidRPr="00A964FF">
        <w:rPr>
          <w:rFonts w:ascii="Calibri" w:hAnsi="Calibri"/>
          <w:color w:val="auto"/>
        </w:rPr>
        <w:t>0mg/m</w:t>
      </w:r>
      <w:r w:rsidRPr="00A964FF">
        <w:rPr>
          <w:rFonts w:ascii="Calibri" w:hAnsi="Calibri"/>
          <w:color w:val="auto"/>
          <w:vertAlign w:val="superscript"/>
        </w:rPr>
        <w:t>3</w:t>
      </w:r>
      <w:r w:rsidRPr="00A964FF">
        <w:rPr>
          <w:rFonts w:ascii="Calibri" w:hAnsi="Calibri"/>
          <w:color w:val="auto"/>
        </w:rPr>
        <w:t>进行核算</w:t>
      </w:r>
      <w:r w:rsidRPr="00A964FF">
        <w:rPr>
          <w:rFonts w:ascii="Calibri" w:hAnsi="Calibri" w:hint="eastAsia"/>
          <w:color w:val="auto"/>
        </w:rPr>
        <w:t>。</w:t>
      </w:r>
      <w:r w:rsidRPr="00A964FF">
        <w:rPr>
          <w:rFonts w:ascii="Calibri" w:hint="eastAsia"/>
          <w:bCs/>
          <w:color w:val="auto"/>
        </w:rPr>
        <w:t>经核算，导热油炉天然气燃烧废气各污染产情况见表</w:t>
      </w:r>
      <w:r w:rsidRPr="00A964FF">
        <w:rPr>
          <w:rFonts w:ascii="Calibri" w:hint="eastAsia"/>
          <w:bCs/>
          <w:color w:val="auto"/>
        </w:rPr>
        <w:t>2.3-</w:t>
      </w:r>
      <w:r w:rsidR="008822BC">
        <w:rPr>
          <w:rFonts w:ascii="Calibri"/>
          <w:bCs/>
          <w:color w:val="auto"/>
        </w:rPr>
        <w:t>3</w:t>
      </w:r>
      <w:r w:rsidRPr="00A964FF">
        <w:rPr>
          <w:rFonts w:ascii="Calibri" w:hint="eastAsia"/>
          <w:bCs/>
          <w:color w:val="auto"/>
        </w:rPr>
        <w:t>。</w:t>
      </w:r>
    </w:p>
    <w:p w14:paraId="2437A4E7" w14:textId="77777777" w:rsidR="00CE1FD8" w:rsidRDefault="00CE1FD8" w:rsidP="00CA259F">
      <w:pPr>
        <w:tabs>
          <w:tab w:val="left" w:pos="7548"/>
        </w:tabs>
        <w:spacing w:line="520" w:lineRule="exact"/>
        <w:ind w:firstLine="480"/>
        <w:rPr>
          <w:rFonts w:ascii="Calibri" w:eastAsia="黑体" w:hAnsi="黑体"/>
          <w:bCs/>
          <w:color w:val="auto"/>
          <w:sz w:val="24"/>
        </w:rPr>
      </w:pPr>
    </w:p>
    <w:p w14:paraId="05BDFAFA" w14:textId="77777777" w:rsidR="00CE1FD8" w:rsidRDefault="00CE1FD8" w:rsidP="00CA259F">
      <w:pPr>
        <w:tabs>
          <w:tab w:val="left" w:pos="7548"/>
        </w:tabs>
        <w:spacing w:line="520" w:lineRule="exact"/>
        <w:ind w:firstLine="480"/>
        <w:rPr>
          <w:rFonts w:ascii="Calibri" w:eastAsia="黑体" w:hAnsi="黑体"/>
          <w:bCs/>
          <w:color w:val="auto"/>
          <w:sz w:val="24"/>
        </w:rPr>
      </w:pPr>
    </w:p>
    <w:p w14:paraId="6452001E" w14:textId="77777777" w:rsidR="00CE1FD8" w:rsidRDefault="00CE1FD8" w:rsidP="00CA259F">
      <w:pPr>
        <w:tabs>
          <w:tab w:val="left" w:pos="7548"/>
        </w:tabs>
        <w:spacing w:line="520" w:lineRule="exact"/>
        <w:ind w:firstLine="480"/>
        <w:rPr>
          <w:rFonts w:ascii="Calibri" w:eastAsia="黑体" w:hAnsi="黑体"/>
          <w:bCs/>
          <w:color w:val="auto"/>
          <w:sz w:val="24"/>
        </w:rPr>
      </w:pPr>
    </w:p>
    <w:p w14:paraId="38DB5AB0" w14:textId="77777777" w:rsidR="00CE1FD8" w:rsidRDefault="00CE1FD8" w:rsidP="00CA259F">
      <w:pPr>
        <w:tabs>
          <w:tab w:val="left" w:pos="7548"/>
        </w:tabs>
        <w:spacing w:line="520" w:lineRule="exact"/>
        <w:ind w:firstLine="480"/>
        <w:rPr>
          <w:rFonts w:ascii="Calibri" w:eastAsia="黑体" w:hAnsi="黑体"/>
          <w:bCs/>
          <w:color w:val="auto"/>
          <w:sz w:val="24"/>
        </w:rPr>
      </w:pPr>
    </w:p>
    <w:p w14:paraId="5232D8F8" w14:textId="77777777" w:rsidR="00CE1FD8" w:rsidRDefault="00CE1FD8" w:rsidP="00CA259F">
      <w:pPr>
        <w:tabs>
          <w:tab w:val="left" w:pos="7548"/>
        </w:tabs>
        <w:spacing w:line="520" w:lineRule="exact"/>
        <w:ind w:firstLine="480"/>
        <w:rPr>
          <w:rFonts w:ascii="Calibri" w:eastAsia="黑体" w:hAnsi="黑体"/>
          <w:bCs/>
          <w:color w:val="auto"/>
          <w:sz w:val="24"/>
        </w:rPr>
      </w:pPr>
    </w:p>
    <w:p w14:paraId="03BA836E" w14:textId="77777777" w:rsidR="00CE1FD8" w:rsidRDefault="00CE1FD8" w:rsidP="00CA259F">
      <w:pPr>
        <w:tabs>
          <w:tab w:val="left" w:pos="7548"/>
        </w:tabs>
        <w:spacing w:line="520" w:lineRule="exact"/>
        <w:ind w:firstLine="480"/>
        <w:rPr>
          <w:rFonts w:ascii="Calibri" w:eastAsia="黑体" w:hAnsi="黑体"/>
          <w:bCs/>
          <w:color w:val="auto"/>
          <w:sz w:val="24"/>
        </w:rPr>
      </w:pPr>
    </w:p>
    <w:p w14:paraId="2550C491" w14:textId="77777777" w:rsidR="00CE1FD8" w:rsidRDefault="00CE1FD8" w:rsidP="00CA259F">
      <w:pPr>
        <w:tabs>
          <w:tab w:val="left" w:pos="7548"/>
        </w:tabs>
        <w:spacing w:line="520" w:lineRule="exact"/>
        <w:ind w:firstLine="480"/>
        <w:rPr>
          <w:rFonts w:ascii="Calibri" w:eastAsia="黑体" w:hAnsi="黑体"/>
          <w:bCs/>
          <w:color w:val="auto"/>
          <w:sz w:val="24"/>
        </w:rPr>
      </w:pPr>
    </w:p>
    <w:p w14:paraId="2691AB98" w14:textId="77777777" w:rsidR="00CA259F" w:rsidRPr="00A964FF" w:rsidRDefault="00CA259F" w:rsidP="00CA259F">
      <w:pPr>
        <w:tabs>
          <w:tab w:val="left" w:pos="7548"/>
        </w:tabs>
        <w:spacing w:line="520" w:lineRule="exact"/>
        <w:ind w:firstLine="480"/>
        <w:rPr>
          <w:rFonts w:ascii="Calibri" w:eastAsia="黑体" w:hAnsi="黑体"/>
          <w:bCs/>
          <w:color w:val="auto"/>
          <w:sz w:val="24"/>
        </w:rPr>
      </w:pPr>
      <w:r w:rsidRPr="00A964FF">
        <w:rPr>
          <w:rFonts w:ascii="Calibri" w:eastAsia="黑体" w:hAnsi="黑体"/>
          <w:bCs/>
          <w:color w:val="auto"/>
          <w:sz w:val="24"/>
        </w:rPr>
        <w:lastRenderedPageBreak/>
        <w:t>表</w:t>
      </w:r>
      <w:r w:rsidRPr="00A964FF">
        <w:rPr>
          <w:rFonts w:ascii="Calibri" w:eastAsia="黑体" w:hAnsi="黑体" w:hint="eastAsia"/>
          <w:bCs/>
          <w:color w:val="auto"/>
          <w:sz w:val="24"/>
        </w:rPr>
        <w:t>2.3-</w:t>
      </w:r>
      <w:r w:rsidR="008822BC">
        <w:rPr>
          <w:rFonts w:ascii="Calibri" w:eastAsia="黑体" w:hAnsi="黑体"/>
          <w:bCs/>
          <w:color w:val="auto"/>
          <w:sz w:val="24"/>
        </w:rPr>
        <w:t>3</w:t>
      </w:r>
      <w:r w:rsidRPr="00A964FF">
        <w:rPr>
          <w:rFonts w:ascii="Calibri" w:eastAsia="黑体" w:hAnsi="黑体" w:hint="eastAsia"/>
          <w:bCs/>
          <w:color w:val="auto"/>
          <w:sz w:val="24"/>
        </w:rPr>
        <w:t xml:space="preserve">   </w:t>
      </w:r>
      <w:r w:rsidRPr="00A964FF">
        <w:rPr>
          <w:rFonts w:ascii="Calibri" w:eastAsia="黑体" w:hAnsi="黑体"/>
          <w:bCs/>
          <w:color w:val="auto"/>
          <w:sz w:val="24"/>
        </w:rPr>
        <w:t xml:space="preserve">    </w:t>
      </w:r>
      <w:r w:rsidRPr="00A964FF">
        <w:rPr>
          <w:rFonts w:ascii="Calibri" w:eastAsia="黑体" w:hAnsi="黑体" w:hint="eastAsia"/>
          <w:bCs/>
          <w:color w:val="auto"/>
          <w:sz w:val="24"/>
        </w:rPr>
        <w:t>导热油炉天然气燃烧废气</w:t>
      </w:r>
      <w:r w:rsidRPr="00A964FF">
        <w:rPr>
          <w:rFonts w:ascii="Calibri" w:eastAsia="黑体" w:hAnsi="Calibri" w:hint="eastAsia"/>
          <w:color w:val="auto"/>
          <w:sz w:val="24"/>
        </w:rPr>
        <w:t>中各污染物产排情况</w:t>
      </w:r>
    </w:p>
    <w:tbl>
      <w:tblPr>
        <w:tblW w:w="9219" w:type="dxa"/>
        <w:jc w:val="center"/>
        <w:tblBorders>
          <w:top w:val="single" w:sz="12" w:space="0" w:color="auto"/>
          <w:left w:val="single" w:sz="12" w:space="0" w:color="auto"/>
          <w:bottom w:val="single" w:sz="12" w:space="0" w:color="auto"/>
          <w:right w:val="single" w:sz="12" w:space="0" w:color="auto"/>
          <w:insideH w:val="single" w:sz="4" w:space="0" w:color="auto"/>
          <w:insideV w:val="single" w:sz="2" w:space="0" w:color="auto"/>
        </w:tblBorders>
        <w:tblLayout w:type="fixed"/>
        <w:tblLook w:val="0000" w:firstRow="0" w:lastRow="0" w:firstColumn="0" w:lastColumn="0" w:noHBand="0" w:noVBand="0"/>
      </w:tblPr>
      <w:tblGrid>
        <w:gridCol w:w="1119"/>
        <w:gridCol w:w="1157"/>
        <w:gridCol w:w="1158"/>
        <w:gridCol w:w="1158"/>
        <w:gridCol w:w="1157"/>
        <w:gridCol w:w="1158"/>
        <w:gridCol w:w="1158"/>
        <w:gridCol w:w="1154"/>
      </w:tblGrid>
      <w:tr w:rsidR="00CA259F" w:rsidRPr="00A964FF" w14:paraId="451AA566" w14:textId="77777777" w:rsidTr="002471F0">
        <w:trPr>
          <w:trHeight w:val="397"/>
          <w:jc w:val="center"/>
        </w:trPr>
        <w:tc>
          <w:tcPr>
            <w:tcW w:w="1119" w:type="dxa"/>
            <w:vMerge w:val="restart"/>
            <w:vAlign w:val="center"/>
          </w:tcPr>
          <w:p w14:paraId="3D70B38C"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污染物</w:t>
            </w:r>
          </w:p>
        </w:tc>
        <w:tc>
          <w:tcPr>
            <w:tcW w:w="3473" w:type="dxa"/>
            <w:gridSpan w:val="3"/>
            <w:vAlign w:val="center"/>
          </w:tcPr>
          <w:p w14:paraId="27A4C6B8"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产生情况</w:t>
            </w:r>
          </w:p>
        </w:tc>
        <w:tc>
          <w:tcPr>
            <w:tcW w:w="3473" w:type="dxa"/>
            <w:gridSpan w:val="3"/>
            <w:vAlign w:val="center"/>
          </w:tcPr>
          <w:p w14:paraId="776857E8"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排放情况</w:t>
            </w:r>
          </w:p>
        </w:tc>
        <w:tc>
          <w:tcPr>
            <w:tcW w:w="1154" w:type="dxa"/>
            <w:vMerge w:val="restart"/>
            <w:vAlign w:val="center"/>
          </w:tcPr>
          <w:p w14:paraId="79016207"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治理措施</w:t>
            </w:r>
          </w:p>
        </w:tc>
      </w:tr>
      <w:tr w:rsidR="00CA259F" w:rsidRPr="00A964FF" w14:paraId="041D6D7A" w14:textId="77777777" w:rsidTr="002471F0">
        <w:trPr>
          <w:trHeight w:val="397"/>
          <w:jc w:val="center"/>
        </w:trPr>
        <w:tc>
          <w:tcPr>
            <w:tcW w:w="1119" w:type="dxa"/>
            <w:vMerge/>
            <w:vAlign w:val="center"/>
          </w:tcPr>
          <w:p w14:paraId="2A480177" w14:textId="77777777" w:rsidR="00CA259F" w:rsidRPr="00A964FF" w:rsidRDefault="00CA259F" w:rsidP="007C1CE9">
            <w:pPr>
              <w:jc w:val="center"/>
              <w:rPr>
                <w:rFonts w:ascii="Calibri" w:hAnsi="Calibri"/>
                <w:color w:val="auto"/>
                <w:szCs w:val="21"/>
              </w:rPr>
            </w:pPr>
          </w:p>
        </w:tc>
        <w:tc>
          <w:tcPr>
            <w:tcW w:w="1157" w:type="dxa"/>
            <w:vAlign w:val="center"/>
          </w:tcPr>
          <w:p w14:paraId="276CE9AE"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产生浓度</w:t>
            </w:r>
          </w:p>
          <w:p w14:paraId="184D7B93" w14:textId="77777777" w:rsidR="00CA259F" w:rsidRPr="00A964FF" w:rsidRDefault="00CA259F" w:rsidP="007C1CE9">
            <w:pP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mg/m</w:t>
            </w:r>
            <w:r w:rsidRPr="00A964FF">
              <w:rPr>
                <w:rFonts w:ascii="Calibri" w:hAnsi="Calibri" w:hint="eastAsia"/>
                <w:color w:val="auto"/>
                <w:szCs w:val="21"/>
                <w:vertAlign w:val="superscript"/>
              </w:rPr>
              <w:t>3</w:t>
            </w:r>
            <w:r w:rsidRPr="00A964FF">
              <w:rPr>
                <w:rFonts w:ascii="Calibri" w:hAnsi="Calibri" w:hint="eastAsia"/>
                <w:color w:val="auto"/>
                <w:szCs w:val="21"/>
              </w:rPr>
              <w:t>）</w:t>
            </w:r>
          </w:p>
        </w:tc>
        <w:tc>
          <w:tcPr>
            <w:tcW w:w="1158" w:type="dxa"/>
            <w:vAlign w:val="center"/>
          </w:tcPr>
          <w:p w14:paraId="6F8A7531" w14:textId="77777777" w:rsidR="00CA259F" w:rsidRDefault="00CA259F" w:rsidP="007C1CE9">
            <w:pPr>
              <w:widowControl/>
              <w:jc w:val="left"/>
              <w:rPr>
                <w:rFonts w:ascii="Calibri" w:hAnsi="Calibri"/>
                <w:color w:val="auto"/>
                <w:szCs w:val="21"/>
              </w:rPr>
            </w:pPr>
            <w:r>
              <w:rPr>
                <w:rFonts w:ascii="Calibri" w:hAnsi="Calibri" w:hint="eastAsia"/>
                <w:color w:val="auto"/>
                <w:szCs w:val="21"/>
              </w:rPr>
              <w:t>产生</w:t>
            </w:r>
            <w:r>
              <w:rPr>
                <w:rFonts w:ascii="Calibri" w:hAnsi="Calibri"/>
                <w:color w:val="auto"/>
                <w:szCs w:val="21"/>
              </w:rPr>
              <w:t>速率</w:t>
            </w:r>
          </w:p>
          <w:p w14:paraId="2DBEBAE2" w14:textId="77777777" w:rsidR="00CA259F" w:rsidRPr="00A964FF" w:rsidRDefault="00CA259F" w:rsidP="007C1CE9">
            <w:pPr>
              <w:widowControl/>
              <w:jc w:val="center"/>
              <w:rPr>
                <w:rFonts w:ascii="Calibri" w:hAnsi="Calibri"/>
                <w:color w:val="auto"/>
                <w:szCs w:val="21"/>
              </w:rPr>
            </w:pPr>
            <w:r>
              <w:rPr>
                <w:rFonts w:ascii="Calibri" w:hAnsi="Calibri" w:hint="eastAsia"/>
                <w:color w:val="auto"/>
                <w:szCs w:val="21"/>
              </w:rPr>
              <w:t>（</w:t>
            </w:r>
            <w:r>
              <w:rPr>
                <w:rFonts w:ascii="Calibri" w:hAnsi="Calibri" w:hint="eastAsia"/>
                <w:color w:val="auto"/>
                <w:szCs w:val="21"/>
              </w:rPr>
              <w:t>k</w:t>
            </w:r>
            <w:r>
              <w:rPr>
                <w:rFonts w:ascii="Calibri" w:hAnsi="Calibri"/>
                <w:color w:val="auto"/>
                <w:szCs w:val="21"/>
              </w:rPr>
              <w:t>g</w:t>
            </w:r>
            <w:r>
              <w:rPr>
                <w:rFonts w:ascii="Calibri" w:hAnsi="Calibri" w:hint="eastAsia"/>
                <w:color w:val="auto"/>
                <w:szCs w:val="21"/>
              </w:rPr>
              <w:t>/h</w:t>
            </w:r>
            <w:r>
              <w:rPr>
                <w:rFonts w:ascii="Calibri" w:hAnsi="Calibri" w:hint="eastAsia"/>
                <w:color w:val="auto"/>
                <w:szCs w:val="21"/>
              </w:rPr>
              <w:t>）</w:t>
            </w:r>
          </w:p>
        </w:tc>
        <w:tc>
          <w:tcPr>
            <w:tcW w:w="1158" w:type="dxa"/>
            <w:vAlign w:val="center"/>
          </w:tcPr>
          <w:p w14:paraId="0914411A"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产生量</w:t>
            </w:r>
          </w:p>
          <w:p w14:paraId="6912437B"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t/a</w:t>
            </w:r>
            <w:r w:rsidRPr="00A964FF">
              <w:rPr>
                <w:rFonts w:ascii="Calibri" w:hAnsi="Calibri" w:hint="eastAsia"/>
                <w:color w:val="auto"/>
                <w:szCs w:val="21"/>
              </w:rPr>
              <w:t>）</w:t>
            </w:r>
          </w:p>
        </w:tc>
        <w:tc>
          <w:tcPr>
            <w:tcW w:w="1157" w:type="dxa"/>
            <w:vAlign w:val="center"/>
          </w:tcPr>
          <w:p w14:paraId="7CB3B8FF"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排放浓度</w:t>
            </w:r>
          </w:p>
          <w:p w14:paraId="15CCFD62" w14:textId="77777777" w:rsidR="00CA259F" w:rsidRPr="00A964FF" w:rsidRDefault="00CA259F" w:rsidP="007C1CE9">
            <w:pP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mg/m</w:t>
            </w:r>
            <w:r w:rsidRPr="00A964FF">
              <w:rPr>
                <w:rFonts w:ascii="Calibri" w:hAnsi="Calibri" w:hint="eastAsia"/>
                <w:color w:val="auto"/>
                <w:szCs w:val="21"/>
                <w:vertAlign w:val="superscript"/>
              </w:rPr>
              <w:t>3</w:t>
            </w:r>
            <w:r w:rsidRPr="00A964FF">
              <w:rPr>
                <w:rFonts w:ascii="Calibri" w:hAnsi="Calibri" w:hint="eastAsia"/>
                <w:color w:val="auto"/>
                <w:szCs w:val="21"/>
              </w:rPr>
              <w:t>）</w:t>
            </w:r>
          </w:p>
        </w:tc>
        <w:tc>
          <w:tcPr>
            <w:tcW w:w="1158" w:type="dxa"/>
            <w:vAlign w:val="center"/>
          </w:tcPr>
          <w:p w14:paraId="74215E0F"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排放速率</w:t>
            </w:r>
          </w:p>
          <w:p w14:paraId="3F224DE6"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kg/h</w:t>
            </w:r>
            <w:r w:rsidRPr="00A964FF">
              <w:rPr>
                <w:rFonts w:ascii="Calibri" w:hAnsi="Calibri" w:hint="eastAsia"/>
                <w:color w:val="auto"/>
                <w:szCs w:val="21"/>
              </w:rPr>
              <w:t>）</w:t>
            </w:r>
          </w:p>
        </w:tc>
        <w:tc>
          <w:tcPr>
            <w:tcW w:w="1158" w:type="dxa"/>
            <w:vAlign w:val="center"/>
          </w:tcPr>
          <w:p w14:paraId="2213527D"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排放量</w:t>
            </w:r>
          </w:p>
          <w:p w14:paraId="5A504865"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t/a</w:t>
            </w:r>
            <w:r w:rsidRPr="00A964FF">
              <w:rPr>
                <w:rFonts w:ascii="Calibri" w:hAnsi="Calibri" w:hint="eastAsia"/>
                <w:color w:val="auto"/>
                <w:szCs w:val="21"/>
              </w:rPr>
              <w:t>）</w:t>
            </w:r>
          </w:p>
        </w:tc>
        <w:tc>
          <w:tcPr>
            <w:tcW w:w="1154" w:type="dxa"/>
            <w:vMerge/>
            <w:vAlign w:val="center"/>
          </w:tcPr>
          <w:p w14:paraId="54F6335E" w14:textId="77777777" w:rsidR="00CA259F" w:rsidRPr="00A964FF" w:rsidRDefault="00CA259F" w:rsidP="007C1CE9">
            <w:pPr>
              <w:jc w:val="center"/>
              <w:rPr>
                <w:rFonts w:ascii="Calibri" w:hAnsi="Calibri"/>
                <w:color w:val="auto"/>
                <w:szCs w:val="21"/>
              </w:rPr>
            </w:pPr>
          </w:p>
        </w:tc>
      </w:tr>
      <w:tr w:rsidR="003A3D31" w:rsidRPr="00A964FF" w14:paraId="54A43A67" w14:textId="77777777" w:rsidTr="005E5F3B">
        <w:trPr>
          <w:trHeight w:val="397"/>
          <w:jc w:val="center"/>
        </w:trPr>
        <w:tc>
          <w:tcPr>
            <w:tcW w:w="9219" w:type="dxa"/>
            <w:gridSpan w:val="8"/>
            <w:vAlign w:val="center"/>
          </w:tcPr>
          <w:p w14:paraId="77FD8A01" w14:textId="77777777" w:rsidR="003A3D31" w:rsidRPr="00A964FF" w:rsidRDefault="003A3D31" w:rsidP="008822BC">
            <w:pPr>
              <w:jc w:val="center"/>
              <w:rPr>
                <w:rFonts w:ascii="Calibri" w:hAnsi="Calibri"/>
                <w:color w:val="auto"/>
                <w:szCs w:val="21"/>
              </w:rPr>
            </w:pPr>
            <w:r>
              <w:rPr>
                <w:rFonts w:ascii="Calibri" w:hAnsi="Calibri" w:hint="eastAsia"/>
                <w:color w:val="auto"/>
                <w:szCs w:val="21"/>
              </w:rPr>
              <w:t>一期</w:t>
            </w:r>
            <w:r>
              <w:rPr>
                <w:rFonts w:ascii="Calibri" w:hAnsi="Calibri"/>
                <w:color w:val="auto"/>
                <w:szCs w:val="21"/>
              </w:rPr>
              <w:t>工程</w:t>
            </w:r>
          </w:p>
        </w:tc>
      </w:tr>
      <w:tr w:rsidR="003A3D31" w:rsidRPr="00A964FF" w14:paraId="1C0DE8AB" w14:textId="77777777" w:rsidTr="002471F0">
        <w:trPr>
          <w:trHeight w:val="397"/>
          <w:jc w:val="center"/>
        </w:trPr>
        <w:tc>
          <w:tcPr>
            <w:tcW w:w="1119" w:type="dxa"/>
            <w:vAlign w:val="center"/>
          </w:tcPr>
          <w:p w14:paraId="3B616CF1" w14:textId="77777777" w:rsidR="003A3D31" w:rsidRPr="00A964FF" w:rsidRDefault="003A3D31" w:rsidP="003A3D31">
            <w:pPr>
              <w:jc w:val="center"/>
              <w:rPr>
                <w:rFonts w:ascii="Calibri" w:hAnsi="Calibri"/>
                <w:color w:val="auto"/>
                <w:szCs w:val="21"/>
              </w:rPr>
            </w:pPr>
            <w:r w:rsidRPr="00A964FF">
              <w:rPr>
                <w:rFonts w:ascii="Calibri" w:hAnsi="Calibri" w:hint="eastAsia"/>
                <w:color w:val="auto"/>
                <w:szCs w:val="21"/>
              </w:rPr>
              <w:t>废气量</w:t>
            </w:r>
          </w:p>
        </w:tc>
        <w:tc>
          <w:tcPr>
            <w:tcW w:w="3473" w:type="dxa"/>
            <w:gridSpan w:val="3"/>
            <w:vAlign w:val="center"/>
          </w:tcPr>
          <w:p w14:paraId="239D2621" w14:textId="77777777" w:rsidR="003A3D31" w:rsidRDefault="003A3D31" w:rsidP="003A3D31">
            <w:pPr>
              <w:jc w:val="center"/>
              <w:rPr>
                <w:rFonts w:ascii="Calibri" w:hAnsi="Calibri"/>
                <w:color w:val="auto"/>
                <w:szCs w:val="21"/>
              </w:rPr>
            </w:pPr>
            <w:r>
              <w:rPr>
                <w:rFonts w:ascii="Calibri" w:hAnsi="Calibri"/>
                <w:color w:val="auto"/>
                <w:szCs w:val="21"/>
              </w:rPr>
              <w:t>1.13×10</w:t>
            </w:r>
            <w:r w:rsidRPr="009734A0">
              <w:rPr>
                <w:rFonts w:ascii="Calibri" w:hAnsi="Calibri"/>
                <w:color w:val="auto"/>
                <w:szCs w:val="21"/>
                <w:vertAlign w:val="superscript"/>
              </w:rPr>
              <w:t>7</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/a</w:t>
            </w:r>
          </w:p>
        </w:tc>
        <w:tc>
          <w:tcPr>
            <w:tcW w:w="3473" w:type="dxa"/>
            <w:gridSpan w:val="3"/>
            <w:vAlign w:val="center"/>
          </w:tcPr>
          <w:p w14:paraId="5ECC8BE4" w14:textId="77777777" w:rsidR="003A3D31" w:rsidRDefault="003A3D31" w:rsidP="003A3D31">
            <w:pPr>
              <w:jc w:val="center"/>
              <w:rPr>
                <w:rFonts w:ascii="Calibri" w:hAnsi="Calibri"/>
                <w:color w:val="auto"/>
                <w:szCs w:val="21"/>
              </w:rPr>
            </w:pPr>
            <w:r>
              <w:rPr>
                <w:rFonts w:ascii="Calibri" w:hAnsi="Calibri"/>
                <w:color w:val="auto"/>
                <w:szCs w:val="21"/>
              </w:rPr>
              <w:t>1.13×10</w:t>
            </w:r>
            <w:r w:rsidRPr="009734A0">
              <w:rPr>
                <w:rFonts w:ascii="Calibri" w:hAnsi="Calibri"/>
                <w:color w:val="auto"/>
                <w:szCs w:val="21"/>
                <w:vertAlign w:val="superscript"/>
              </w:rPr>
              <w:t>7</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/a</w:t>
            </w:r>
          </w:p>
        </w:tc>
        <w:tc>
          <w:tcPr>
            <w:tcW w:w="1154" w:type="dxa"/>
            <w:vMerge w:val="restart"/>
            <w:vAlign w:val="center"/>
          </w:tcPr>
          <w:p w14:paraId="681F83BD" w14:textId="77777777" w:rsidR="003A3D31" w:rsidRPr="00A964FF" w:rsidRDefault="003A3D31" w:rsidP="003A3D31">
            <w:pPr>
              <w:jc w:val="center"/>
              <w:rPr>
                <w:rFonts w:ascii="Calibri" w:hAnsi="Calibri"/>
                <w:color w:val="auto"/>
                <w:szCs w:val="21"/>
              </w:rPr>
            </w:pPr>
            <w:r w:rsidRPr="00A964FF">
              <w:rPr>
                <w:rFonts w:ascii="Calibri" w:hAnsi="Calibri" w:hint="eastAsia"/>
                <w:color w:val="auto"/>
                <w:szCs w:val="21"/>
              </w:rPr>
              <w:t>低氮燃烧器</w:t>
            </w:r>
            <w:r>
              <w:rPr>
                <w:rFonts w:ascii="Calibri" w:hAnsi="Calibri" w:hint="eastAsia"/>
                <w:color w:val="auto"/>
                <w:szCs w:val="21"/>
              </w:rPr>
              <w:t>+</w:t>
            </w:r>
            <w:r>
              <w:rPr>
                <w:rFonts w:ascii="Calibri" w:hAnsi="Calibri"/>
                <w:color w:val="auto"/>
                <w:szCs w:val="21"/>
              </w:rPr>
              <w:t>15</w:t>
            </w:r>
            <w:r w:rsidRPr="00A964FF">
              <w:rPr>
                <w:rFonts w:ascii="Calibri" w:hAnsi="Calibri" w:hint="eastAsia"/>
                <w:color w:val="auto"/>
                <w:szCs w:val="21"/>
              </w:rPr>
              <w:t>m</w:t>
            </w:r>
            <w:r w:rsidRPr="00A964FF">
              <w:rPr>
                <w:rFonts w:ascii="Calibri" w:hAnsi="Calibri" w:hint="eastAsia"/>
                <w:color w:val="auto"/>
                <w:szCs w:val="21"/>
              </w:rPr>
              <w:t>排气筒</w:t>
            </w:r>
          </w:p>
        </w:tc>
      </w:tr>
      <w:tr w:rsidR="005E5F3B" w:rsidRPr="00A964FF" w14:paraId="0D46F5FC" w14:textId="77777777" w:rsidTr="005E5F3B">
        <w:trPr>
          <w:trHeight w:val="397"/>
          <w:jc w:val="center"/>
        </w:trPr>
        <w:tc>
          <w:tcPr>
            <w:tcW w:w="1119" w:type="dxa"/>
            <w:vAlign w:val="center"/>
          </w:tcPr>
          <w:p w14:paraId="5CA39706" w14:textId="77777777" w:rsidR="005E5F3B" w:rsidRPr="00A964FF" w:rsidRDefault="005E5F3B" w:rsidP="005E5F3B">
            <w:pPr>
              <w:jc w:val="center"/>
              <w:rPr>
                <w:rFonts w:ascii="Calibri" w:hAnsi="Calibri"/>
                <w:color w:val="auto"/>
                <w:szCs w:val="21"/>
              </w:rPr>
            </w:pPr>
            <w:r w:rsidRPr="00A964FF">
              <w:rPr>
                <w:rFonts w:ascii="Calibri" w:hAnsi="Calibri" w:hint="eastAsia"/>
                <w:color w:val="auto"/>
                <w:szCs w:val="21"/>
              </w:rPr>
              <w:t>SO</w:t>
            </w:r>
            <w:r w:rsidRPr="00A964FF">
              <w:rPr>
                <w:rFonts w:ascii="Calibri" w:hAnsi="Calibri" w:hint="eastAsia"/>
                <w:color w:val="auto"/>
                <w:szCs w:val="21"/>
                <w:vertAlign w:val="subscript"/>
              </w:rPr>
              <w:t>2</w:t>
            </w:r>
          </w:p>
        </w:tc>
        <w:tc>
          <w:tcPr>
            <w:tcW w:w="1157" w:type="dxa"/>
            <w:vAlign w:val="center"/>
          </w:tcPr>
          <w:p w14:paraId="0AE5B625" w14:textId="77777777" w:rsidR="005E5F3B" w:rsidRDefault="005E5F3B" w:rsidP="005E5F3B">
            <w:pPr>
              <w:jc w:val="center"/>
              <w:rPr>
                <w:rFonts w:ascii="Calibri" w:hAnsi="Calibri"/>
                <w:color w:val="auto"/>
                <w:szCs w:val="21"/>
              </w:rPr>
            </w:pPr>
            <w:r>
              <w:rPr>
                <w:rFonts w:ascii="Calibri" w:hAnsi="Calibri" w:hint="eastAsia"/>
                <w:color w:val="auto"/>
                <w:szCs w:val="21"/>
              </w:rPr>
              <w:t>3.70</w:t>
            </w:r>
          </w:p>
        </w:tc>
        <w:tc>
          <w:tcPr>
            <w:tcW w:w="1158" w:type="dxa"/>
            <w:vAlign w:val="center"/>
          </w:tcPr>
          <w:p w14:paraId="298971AD" w14:textId="77777777" w:rsidR="005E5F3B" w:rsidRDefault="005E5F3B" w:rsidP="005E5F3B">
            <w:pPr>
              <w:jc w:val="center"/>
              <w:rPr>
                <w:rFonts w:ascii="Calibri" w:hAnsi="Calibri"/>
                <w:color w:val="auto"/>
                <w:szCs w:val="21"/>
              </w:rPr>
            </w:pPr>
            <w:r>
              <w:rPr>
                <w:rFonts w:ascii="Calibri" w:hAnsi="Calibri" w:hint="eastAsia"/>
                <w:color w:val="auto"/>
                <w:szCs w:val="21"/>
              </w:rPr>
              <w:t>0.0058</w:t>
            </w:r>
          </w:p>
        </w:tc>
        <w:tc>
          <w:tcPr>
            <w:tcW w:w="1158" w:type="dxa"/>
            <w:vAlign w:val="center"/>
          </w:tcPr>
          <w:p w14:paraId="18DAB139" w14:textId="77777777" w:rsidR="005E5F3B" w:rsidRDefault="005E5F3B" w:rsidP="005E5F3B">
            <w:pPr>
              <w:jc w:val="center"/>
              <w:rPr>
                <w:rFonts w:ascii="Calibri" w:hAnsi="Calibri"/>
                <w:color w:val="auto"/>
                <w:szCs w:val="21"/>
              </w:rPr>
            </w:pPr>
            <w:r>
              <w:rPr>
                <w:rFonts w:ascii="Calibri" w:hAnsi="Calibri" w:hint="eastAsia"/>
                <w:color w:val="auto"/>
                <w:szCs w:val="21"/>
              </w:rPr>
              <w:t>0.042</w:t>
            </w:r>
          </w:p>
        </w:tc>
        <w:tc>
          <w:tcPr>
            <w:tcW w:w="1157" w:type="dxa"/>
            <w:vAlign w:val="center"/>
          </w:tcPr>
          <w:p w14:paraId="18CD941A" w14:textId="77777777" w:rsidR="005E5F3B" w:rsidRDefault="005E5F3B" w:rsidP="005E5F3B">
            <w:pPr>
              <w:jc w:val="center"/>
              <w:rPr>
                <w:rFonts w:ascii="Calibri" w:hAnsi="Calibri"/>
                <w:color w:val="auto"/>
                <w:szCs w:val="21"/>
              </w:rPr>
            </w:pPr>
            <w:r>
              <w:rPr>
                <w:rFonts w:ascii="Calibri" w:hAnsi="Calibri" w:hint="eastAsia"/>
                <w:color w:val="auto"/>
                <w:szCs w:val="21"/>
              </w:rPr>
              <w:t>3.70</w:t>
            </w:r>
          </w:p>
        </w:tc>
        <w:tc>
          <w:tcPr>
            <w:tcW w:w="1158" w:type="dxa"/>
            <w:vAlign w:val="center"/>
          </w:tcPr>
          <w:p w14:paraId="21B76C5C" w14:textId="77777777" w:rsidR="005E5F3B" w:rsidRDefault="005E5F3B" w:rsidP="005E5F3B">
            <w:pPr>
              <w:jc w:val="center"/>
              <w:rPr>
                <w:rFonts w:ascii="Calibri" w:hAnsi="Calibri"/>
                <w:color w:val="auto"/>
                <w:szCs w:val="21"/>
              </w:rPr>
            </w:pPr>
            <w:r>
              <w:rPr>
                <w:rFonts w:ascii="Calibri" w:hAnsi="Calibri" w:hint="eastAsia"/>
                <w:color w:val="auto"/>
                <w:szCs w:val="21"/>
              </w:rPr>
              <w:t>0.0058</w:t>
            </w:r>
          </w:p>
        </w:tc>
        <w:tc>
          <w:tcPr>
            <w:tcW w:w="1158" w:type="dxa"/>
            <w:vAlign w:val="center"/>
          </w:tcPr>
          <w:p w14:paraId="14C4C0C5" w14:textId="77777777" w:rsidR="005E5F3B" w:rsidRDefault="005E5F3B" w:rsidP="005E5F3B">
            <w:pPr>
              <w:jc w:val="center"/>
              <w:rPr>
                <w:rFonts w:ascii="Calibri" w:hAnsi="Calibri"/>
                <w:color w:val="auto"/>
                <w:szCs w:val="21"/>
              </w:rPr>
            </w:pPr>
            <w:r>
              <w:rPr>
                <w:rFonts w:ascii="Calibri" w:hAnsi="Calibri" w:hint="eastAsia"/>
                <w:color w:val="auto"/>
                <w:szCs w:val="21"/>
              </w:rPr>
              <w:t>0.042</w:t>
            </w:r>
          </w:p>
        </w:tc>
        <w:tc>
          <w:tcPr>
            <w:tcW w:w="1154" w:type="dxa"/>
            <w:vMerge/>
            <w:vAlign w:val="center"/>
          </w:tcPr>
          <w:p w14:paraId="5B23F3A5" w14:textId="77777777" w:rsidR="005E5F3B" w:rsidRPr="00A964FF" w:rsidRDefault="005E5F3B" w:rsidP="005E5F3B">
            <w:pPr>
              <w:jc w:val="center"/>
              <w:rPr>
                <w:rFonts w:ascii="Calibri" w:hAnsi="Calibri"/>
                <w:color w:val="auto"/>
                <w:szCs w:val="21"/>
              </w:rPr>
            </w:pPr>
          </w:p>
        </w:tc>
      </w:tr>
      <w:tr w:rsidR="005E5F3B" w:rsidRPr="00A964FF" w14:paraId="18E0D8E9" w14:textId="77777777" w:rsidTr="005E5F3B">
        <w:trPr>
          <w:trHeight w:val="397"/>
          <w:jc w:val="center"/>
        </w:trPr>
        <w:tc>
          <w:tcPr>
            <w:tcW w:w="1119" w:type="dxa"/>
            <w:vAlign w:val="center"/>
          </w:tcPr>
          <w:p w14:paraId="76576D61" w14:textId="77777777" w:rsidR="005E5F3B" w:rsidRPr="00A964FF" w:rsidRDefault="005E5F3B" w:rsidP="005E5F3B">
            <w:pPr>
              <w:jc w:val="center"/>
              <w:rPr>
                <w:rFonts w:ascii="Calibri" w:hAnsi="Calibri"/>
                <w:color w:val="auto"/>
                <w:szCs w:val="21"/>
              </w:rPr>
            </w:pPr>
            <w:r w:rsidRPr="00A964FF">
              <w:rPr>
                <w:rFonts w:ascii="Calibri" w:hAnsi="Calibri" w:hint="eastAsia"/>
                <w:color w:val="auto"/>
                <w:szCs w:val="21"/>
              </w:rPr>
              <w:t>NOx</w:t>
            </w:r>
          </w:p>
        </w:tc>
        <w:tc>
          <w:tcPr>
            <w:tcW w:w="1157" w:type="dxa"/>
            <w:vAlign w:val="center"/>
          </w:tcPr>
          <w:p w14:paraId="130C2238" w14:textId="77777777" w:rsidR="005E5F3B" w:rsidRDefault="005E5F3B" w:rsidP="005E5F3B">
            <w:pPr>
              <w:jc w:val="center"/>
              <w:rPr>
                <w:rFonts w:ascii="Calibri" w:hAnsi="Calibri"/>
                <w:color w:val="auto"/>
                <w:szCs w:val="21"/>
              </w:rPr>
            </w:pPr>
            <w:r>
              <w:rPr>
                <w:rFonts w:ascii="Calibri" w:hAnsi="Calibri" w:hint="eastAsia"/>
                <w:color w:val="auto"/>
                <w:szCs w:val="21"/>
              </w:rPr>
              <w:t>28.30</w:t>
            </w:r>
          </w:p>
        </w:tc>
        <w:tc>
          <w:tcPr>
            <w:tcW w:w="1158" w:type="dxa"/>
            <w:vAlign w:val="center"/>
          </w:tcPr>
          <w:p w14:paraId="53897B1C" w14:textId="77777777" w:rsidR="005E5F3B" w:rsidRDefault="005E5F3B" w:rsidP="005E5F3B">
            <w:pPr>
              <w:jc w:val="center"/>
              <w:rPr>
                <w:rFonts w:ascii="Calibri" w:hAnsi="Calibri"/>
                <w:color w:val="auto"/>
                <w:szCs w:val="21"/>
              </w:rPr>
            </w:pPr>
            <w:r>
              <w:rPr>
                <w:rFonts w:ascii="Calibri" w:hAnsi="Calibri" w:hint="eastAsia"/>
                <w:color w:val="auto"/>
                <w:szCs w:val="21"/>
              </w:rPr>
              <w:t>0.04</w:t>
            </w:r>
            <w:r>
              <w:rPr>
                <w:rFonts w:ascii="Calibri" w:hAnsi="Calibri"/>
                <w:color w:val="auto"/>
                <w:szCs w:val="21"/>
              </w:rPr>
              <w:t>5</w:t>
            </w:r>
          </w:p>
        </w:tc>
        <w:tc>
          <w:tcPr>
            <w:tcW w:w="1158" w:type="dxa"/>
            <w:vAlign w:val="center"/>
          </w:tcPr>
          <w:p w14:paraId="5C44C6EC" w14:textId="77777777" w:rsidR="005E5F3B" w:rsidRDefault="005E5F3B" w:rsidP="005E5F3B">
            <w:pPr>
              <w:jc w:val="center"/>
              <w:rPr>
                <w:rFonts w:ascii="Calibri" w:hAnsi="Calibri"/>
                <w:color w:val="auto"/>
                <w:szCs w:val="21"/>
              </w:rPr>
            </w:pPr>
            <w:r>
              <w:rPr>
                <w:rFonts w:ascii="Calibri" w:hAnsi="Calibri" w:hint="eastAsia"/>
                <w:color w:val="auto"/>
                <w:szCs w:val="21"/>
              </w:rPr>
              <w:t>0.32</w:t>
            </w:r>
          </w:p>
        </w:tc>
        <w:tc>
          <w:tcPr>
            <w:tcW w:w="1157" w:type="dxa"/>
            <w:vAlign w:val="center"/>
          </w:tcPr>
          <w:p w14:paraId="55903F33" w14:textId="77777777" w:rsidR="005E5F3B" w:rsidRDefault="005E5F3B" w:rsidP="005E5F3B">
            <w:pPr>
              <w:jc w:val="center"/>
              <w:rPr>
                <w:rFonts w:ascii="Calibri" w:hAnsi="Calibri"/>
                <w:color w:val="auto"/>
                <w:szCs w:val="21"/>
              </w:rPr>
            </w:pPr>
            <w:r>
              <w:rPr>
                <w:rFonts w:ascii="Calibri" w:hAnsi="Calibri" w:hint="eastAsia"/>
                <w:color w:val="auto"/>
                <w:szCs w:val="21"/>
              </w:rPr>
              <w:t>28.30</w:t>
            </w:r>
          </w:p>
        </w:tc>
        <w:tc>
          <w:tcPr>
            <w:tcW w:w="1158" w:type="dxa"/>
            <w:vAlign w:val="center"/>
          </w:tcPr>
          <w:p w14:paraId="19D55DD9" w14:textId="77777777" w:rsidR="005E5F3B" w:rsidRDefault="005E5F3B" w:rsidP="005E5F3B">
            <w:pPr>
              <w:jc w:val="center"/>
              <w:rPr>
                <w:rFonts w:ascii="Calibri" w:hAnsi="Calibri"/>
                <w:color w:val="auto"/>
                <w:szCs w:val="21"/>
              </w:rPr>
            </w:pPr>
            <w:r>
              <w:rPr>
                <w:rFonts w:ascii="Calibri" w:hAnsi="Calibri" w:hint="eastAsia"/>
                <w:color w:val="auto"/>
                <w:szCs w:val="21"/>
              </w:rPr>
              <w:t>0.04</w:t>
            </w:r>
            <w:r>
              <w:rPr>
                <w:rFonts w:ascii="Calibri" w:hAnsi="Calibri"/>
                <w:color w:val="auto"/>
                <w:szCs w:val="21"/>
              </w:rPr>
              <w:t>5</w:t>
            </w:r>
          </w:p>
        </w:tc>
        <w:tc>
          <w:tcPr>
            <w:tcW w:w="1158" w:type="dxa"/>
            <w:vAlign w:val="center"/>
          </w:tcPr>
          <w:p w14:paraId="297E0AE6" w14:textId="77777777" w:rsidR="005E5F3B" w:rsidRDefault="005E5F3B" w:rsidP="005E5F3B">
            <w:pPr>
              <w:jc w:val="center"/>
              <w:rPr>
                <w:rFonts w:ascii="Calibri" w:hAnsi="Calibri"/>
                <w:color w:val="auto"/>
                <w:szCs w:val="21"/>
              </w:rPr>
            </w:pPr>
            <w:r>
              <w:rPr>
                <w:rFonts w:ascii="Calibri" w:hAnsi="Calibri" w:hint="eastAsia"/>
                <w:color w:val="auto"/>
                <w:szCs w:val="21"/>
              </w:rPr>
              <w:t>0.32</w:t>
            </w:r>
          </w:p>
        </w:tc>
        <w:tc>
          <w:tcPr>
            <w:tcW w:w="1154" w:type="dxa"/>
            <w:vMerge/>
            <w:vAlign w:val="center"/>
          </w:tcPr>
          <w:p w14:paraId="6374F4D1" w14:textId="77777777" w:rsidR="005E5F3B" w:rsidRPr="00A964FF" w:rsidRDefault="005E5F3B" w:rsidP="005E5F3B">
            <w:pPr>
              <w:jc w:val="center"/>
              <w:rPr>
                <w:rFonts w:ascii="Calibri" w:hAnsi="Calibri"/>
                <w:color w:val="auto"/>
                <w:szCs w:val="21"/>
              </w:rPr>
            </w:pPr>
          </w:p>
        </w:tc>
      </w:tr>
      <w:tr w:rsidR="005E5F3B" w:rsidRPr="00A964FF" w14:paraId="510C70BF" w14:textId="77777777" w:rsidTr="005E5F3B">
        <w:trPr>
          <w:trHeight w:val="397"/>
          <w:jc w:val="center"/>
        </w:trPr>
        <w:tc>
          <w:tcPr>
            <w:tcW w:w="1119" w:type="dxa"/>
            <w:vAlign w:val="center"/>
          </w:tcPr>
          <w:p w14:paraId="04EE141A" w14:textId="77777777" w:rsidR="005E5F3B" w:rsidRPr="00A964FF" w:rsidRDefault="005E5F3B" w:rsidP="005E5F3B">
            <w:pPr>
              <w:jc w:val="center"/>
              <w:rPr>
                <w:rFonts w:ascii="Calibri" w:hAnsi="Calibri"/>
                <w:color w:val="auto"/>
                <w:szCs w:val="21"/>
              </w:rPr>
            </w:pPr>
            <w:r w:rsidRPr="00A964FF">
              <w:rPr>
                <w:rFonts w:ascii="Calibri" w:hAnsi="Calibri" w:hint="eastAsia"/>
                <w:color w:val="auto"/>
                <w:szCs w:val="21"/>
              </w:rPr>
              <w:t>颗粒物</w:t>
            </w:r>
          </w:p>
        </w:tc>
        <w:tc>
          <w:tcPr>
            <w:tcW w:w="1157" w:type="dxa"/>
            <w:vAlign w:val="center"/>
          </w:tcPr>
          <w:p w14:paraId="3C85D86D" w14:textId="77777777" w:rsidR="005E5F3B" w:rsidRDefault="005E5F3B" w:rsidP="005E5F3B">
            <w:pPr>
              <w:jc w:val="center"/>
              <w:rPr>
                <w:rFonts w:ascii="Calibri" w:hAnsi="Calibri"/>
                <w:color w:val="auto"/>
                <w:szCs w:val="21"/>
              </w:rPr>
            </w:pPr>
            <w:r w:rsidRPr="00A964FF">
              <w:rPr>
                <w:rFonts w:ascii="Calibri" w:hAnsi="Calibri" w:hint="eastAsia"/>
                <w:color w:val="auto"/>
                <w:szCs w:val="21"/>
              </w:rPr>
              <w:t>2.4</w:t>
            </w:r>
            <w:r>
              <w:rPr>
                <w:rFonts w:ascii="Calibri" w:hAnsi="Calibri"/>
                <w:color w:val="auto"/>
                <w:szCs w:val="21"/>
              </w:rPr>
              <w:t>5</w:t>
            </w:r>
          </w:p>
        </w:tc>
        <w:tc>
          <w:tcPr>
            <w:tcW w:w="1158" w:type="dxa"/>
            <w:vAlign w:val="center"/>
          </w:tcPr>
          <w:p w14:paraId="75CCA32A" w14:textId="77777777" w:rsidR="005E5F3B" w:rsidRDefault="005E5F3B" w:rsidP="005E5F3B">
            <w:pPr>
              <w:jc w:val="center"/>
              <w:rPr>
                <w:rFonts w:ascii="Calibri" w:hAnsi="Calibri"/>
                <w:color w:val="auto"/>
                <w:szCs w:val="21"/>
              </w:rPr>
            </w:pPr>
            <w:r>
              <w:rPr>
                <w:rFonts w:ascii="Calibri" w:hAnsi="Calibri" w:hint="eastAsia"/>
                <w:color w:val="auto"/>
                <w:szCs w:val="21"/>
              </w:rPr>
              <w:t>0.003</w:t>
            </w:r>
            <w:r>
              <w:rPr>
                <w:rFonts w:ascii="Calibri" w:hAnsi="Calibri"/>
                <w:color w:val="auto"/>
                <w:szCs w:val="21"/>
              </w:rPr>
              <w:t>7</w:t>
            </w:r>
          </w:p>
        </w:tc>
        <w:tc>
          <w:tcPr>
            <w:tcW w:w="1158" w:type="dxa"/>
            <w:vAlign w:val="center"/>
          </w:tcPr>
          <w:p w14:paraId="469C6CBB" w14:textId="77777777" w:rsidR="005E5F3B" w:rsidRDefault="005E5F3B" w:rsidP="005E5F3B">
            <w:pPr>
              <w:jc w:val="center"/>
              <w:rPr>
                <w:rFonts w:ascii="Calibri" w:hAnsi="Calibri"/>
                <w:color w:val="auto"/>
                <w:szCs w:val="21"/>
              </w:rPr>
            </w:pPr>
            <w:r>
              <w:rPr>
                <w:rFonts w:ascii="Calibri" w:hAnsi="Calibri" w:hint="eastAsia"/>
                <w:color w:val="auto"/>
                <w:szCs w:val="21"/>
              </w:rPr>
              <w:t>0.027</w:t>
            </w:r>
          </w:p>
        </w:tc>
        <w:tc>
          <w:tcPr>
            <w:tcW w:w="1157" w:type="dxa"/>
            <w:vAlign w:val="center"/>
          </w:tcPr>
          <w:p w14:paraId="7A04201E" w14:textId="77777777" w:rsidR="005E5F3B" w:rsidRDefault="005E5F3B" w:rsidP="005E5F3B">
            <w:pPr>
              <w:jc w:val="center"/>
              <w:rPr>
                <w:rFonts w:ascii="Calibri" w:hAnsi="Calibri"/>
                <w:color w:val="auto"/>
                <w:szCs w:val="21"/>
              </w:rPr>
            </w:pPr>
            <w:r w:rsidRPr="00A964FF">
              <w:rPr>
                <w:rFonts w:ascii="Calibri" w:hAnsi="Calibri" w:hint="eastAsia"/>
                <w:color w:val="auto"/>
                <w:szCs w:val="21"/>
              </w:rPr>
              <w:t>2.4</w:t>
            </w:r>
            <w:r>
              <w:rPr>
                <w:rFonts w:ascii="Calibri" w:hAnsi="Calibri"/>
                <w:color w:val="auto"/>
                <w:szCs w:val="21"/>
              </w:rPr>
              <w:t>5</w:t>
            </w:r>
          </w:p>
        </w:tc>
        <w:tc>
          <w:tcPr>
            <w:tcW w:w="1158" w:type="dxa"/>
            <w:vAlign w:val="center"/>
          </w:tcPr>
          <w:p w14:paraId="0B51051B" w14:textId="77777777" w:rsidR="005E5F3B" w:rsidRDefault="005E5F3B" w:rsidP="005E5F3B">
            <w:pPr>
              <w:jc w:val="center"/>
              <w:rPr>
                <w:rFonts w:ascii="Calibri" w:hAnsi="Calibri"/>
                <w:color w:val="auto"/>
                <w:szCs w:val="21"/>
              </w:rPr>
            </w:pPr>
            <w:r>
              <w:rPr>
                <w:rFonts w:ascii="Calibri" w:hAnsi="Calibri" w:hint="eastAsia"/>
                <w:color w:val="auto"/>
                <w:szCs w:val="21"/>
              </w:rPr>
              <w:t>0.003</w:t>
            </w:r>
            <w:r>
              <w:rPr>
                <w:rFonts w:ascii="Calibri" w:hAnsi="Calibri"/>
                <w:color w:val="auto"/>
                <w:szCs w:val="21"/>
              </w:rPr>
              <w:t>7</w:t>
            </w:r>
          </w:p>
        </w:tc>
        <w:tc>
          <w:tcPr>
            <w:tcW w:w="1158" w:type="dxa"/>
            <w:vAlign w:val="center"/>
          </w:tcPr>
          <w:p w14:paraId="3E3D86FE" w14:textId="77777777" w:rsidR="005E5F3B" w:rsidRDefault="005E5F3B" w:rsidP="005E5F3B">
            <w:pPr>
              <w:jc w:val="center"/>
              <w:rPr>
                <w:rFonts w:ascii="Calibri" w:hAnsi="Calibri"/>
                <w:color w:val="auto"/>
                <w:szCs w:val="21"/>
              </w:rPr>
            </w:pPr>
            <w:r>
              <w:rPr>
                <w:rFonts w:ascii="Calibri" w:hAnsi="Calibri" w:hint="eastAsia"/>
                <w:color w:val="auto"/>
                <w:szCs w:val="21"/>
              </w:rPr>
              <w:t>0.027</w:t>
            </w:r>
          </w:p>
        </w:tc>
        <w:tc>
          <w:tcPr>
            <w:tcW w:w="1154" w:type="dxa"/>
            <w:vMerge/>
            <w:vAlign w:val="center"/>
          </w:tcPr>
          <w:p w14:paraId="5970A23A" w14:textId="77777777" w:rsidR="005E5F3B" w:rsidRPr="00A964FF" w:rsidRDefault="005E5F3B" w:rsidP="005E5F3B">
            <w:pPr>
              <w:jc w:val="center"/>
              <w:rPr>
                <w:rFonts w:ascii="Calibri" w:hAnsi="Calibri"/>
                <w:color w:val="auto"/>
                <w:szCs w:val="21"/>
              </w:rPr>
            </w:pPr>
          </w:p>
        </w:tc>
      </w:tr>
      <w:tr w:rsidR="003A3D31" w:rsidRPr="00A964FF" w14:paraId="055C278B" w14:textId="77777777" w:rsidTr="005E5F3B">
        <w:trPr>
          <w:trHeight w:val="397"/>
          <w:jc w:val="center"/>
        </w:trPr>
        <w:tc>
          <w:tcPr>
            <w:tcW w:w="9219" w:type="dxa"/>
            <w:gridSpan w:val="8"/>
            <w:vAlign w:val="center"/>
          </w:tcPr>
          <w:p w14:paraId="654E3BE2" w14:textId="77777777" w:rsidR="003A3D31" w:rsidRPr="00A964FF" w:rsidRDefault="003A3D31" w:rsidP="008822BC">
            <w:pPr>
              <w:jc w:val="center"/>
              <w:rPr>
                <w:rFonts w:ascii="Calibri" w:hAnsi="Calibri"/>
                <w:color w:val="auto"/>
                <w:szCs w:val="21"/>
              </w:rPr>
            </w:pPr>
            <w:r>
              <w:rPr>
                <w:rFonts w:ascii="Calibri" w:hAnsi="Calibri" w:hint="eastAsia"/>
                <w:color w:val="auto"/>
                <w:szCs w:val="21"/>
              </w:rPr>
              <w:t>二期</w:t>
            </w:r>
            <w:r>
              <w:rPr>
                <w:rFonts w:ascii="Calibri" w:hAnsi="Calibri"/>
                <w:color w:val="auto"/>
                <w:szCs w:val="21"/>
              </w:rPr>
              <w:t>工程</w:t>
            </w:r>
          </w:p>
        </w:tc>
      </w:tr>
      <w:tr w:rsidR="003A3D31" w:rsidRPr="00A964FF" w14:paraId="6C451571" w14:textId="77777777" w:rsidTr="005E5F3B">
        <w:trPr>
          <w:trHeight w:val="397"/>
          <w:jc w:val="center"/>
        </w:trPr>
        <w:tc>
          <w:tcPr>
            <w:tcW w:w="1119" w:type="dxa"/>
            <w:vAlign w:val="center"/>
          </w:tcPr>
          <w:p w14:paraId="3B65BC30" w14:textId="77777777" w:rsidR="003A3D31" w:rsidRPr="00A964FF" w:rsidRDefault="003A3D31" w:rsidP="003A3D31">
            <w:pPr>
              <w:jc w:val="center"/>
              <w:rPr>
                <w:rFonts w:ascii="Calibri" w:hAnsi="Calibri"/>
                <w:color w:val="auto"/>
                <w:szCs w:val="21"/>
              </w:rPr>
            </w:pPr>
            <w:r w:rsidRPr="00A964FF">
              <w:rPr>
                <w:rFonts w:ascii="Calibri" w:hAnsi="Calibri" w:hint="eastAsia"/>
                <w:color w:val="auto"/>
                <w:szCs w:val="21"/>
              </w:rPr>
              <w:t>废气量</w:t>
            </w:r>
          </w:p>
        </w:tc>
        <w:tc>
          <w:tcPr>
            <w:tcW w:w="3473" w:type="dxa"/>
            <w:gridSpan w:val="3"/>
            <w:vAlign w:val="center"/>
          </w:tcPr>
          <w:p w14:paraId="48F15C39" w14:textId="77777777" w:rsidR="003A3D31" w:rsidRDefault="003A3D31" w:rsidP="003A3D31">
            <w:pPr>
              <w:jc w:val="center"/>
              <w:rPr>
                <w:rFonts w:ascii="Calibri" w:hAnsi="Calibri"/>
                <w:color w:val="auto"/>
                <w:szCs w:val="21"/>
              </w:rPr>
            </w:pPr>
            <w:r>
              <w:rPr>
                <w:rFonts w:ascii="Calibri" w:hAnsi="Calibri"/>
                <w:color w:val="auto"/>
                <w:szCs w:val="21"/>
              </w:rPr>
              <w:t>0.68×10</w:t>
            </w:r>
            <w:r w:rsidRPr="009734A0">
              <w:rPr>
                <w:rFonts w:ascii="Calibri" w:hAnsi="Calibri"/>
                <w:color w:val="auto"/>
                <w:szCs w:val="21"/>
                <w:vertAlign w:val="superscript"/>
              </w:rPr>
              <w:t>7</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/a</w:t>
            </w:r>
          </w:p>
        </w:tc>
        <w:tc>
          <w:tcPr>
            <w:tcW w:w="3473" w:type="dxa"/>
            <w:gridSpan w:val="3"/>
            <w:vAlign w:val="center"/>
          </w:tcPr>
          <w:p w14:paraId="6E6BC7ED" w14:textId="77777777" w:rsidR="003A3D31" w:rsidRDefault="003A3D31" w:rsidP="003A3D31">
            <w:pPr>
              <w:jc w:val="center"/>
              <w:rPr>
                <w:rFonts w:ascii="Calibri" w:hAnsi="Calibri"/>
                <w:color w:val="auto"/>
                <w:szCs w:val="21"/>
              </w:rPr>
            </w:pPr>
            <w:r>
              <w:rPr>
                <w:rFonts w:ascii="Calibri" w:hAnsi="Calibri"/>
                <w:color w:val="auto"/>
                <w:szCs w:val="21"/>
              </w:rPr>
              <w:t>0.68×10</w:t>
            </w:r>
            <w:r w:rsidRPr="009734A0">
              <w:rPr>
                <w:rFonts w:ascii="Calibri" w:hAnsi="Calibri"/>
                <w:color w:val="auto"/>
                <w:szCs w:val="21"/>
                <w:vertAlign w:val="superscript"/>
              </w:rPr>
              <w:t>7</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/a</w:t>
            </w:r>
          </w:p>
        </w:tc>
        <w:tc>
          <w:tcPr>
            <w:tcW w:w="1154" w:type="dxa"/>
            <w:vMerge w:val="restart"/>
            <w:vAlign w:val="center"/>
          </w:tcPr>
          <w:p w14:paraId="37E1CB68" w14:textId="77777777" w:rsidR="003A3D31" w:rsidRPr="00A964FF" w:rsidRDefault="003A3D31" w:rsidP="003A3D31">
            <w:pPr>
              <w:jc w:val="center"/>
              <w:rPr>
                <w:rFonts w:ascii="Calibri" w:hAnsi="Calibri"/>
                <w:color w:val="auto"/>
                <w:szCs w:val="21"/>
              </w:rPr>
            </w:pPr>
            <w:r w:rsidRPr="00A964FF">
              <w:rPr>
                <w:rFonts w:ascii="Calibri" w:hAnsi="Calibri" w:hint="eastAsia"/>
                <w:color w:val="auto"/>
                <w:szCs w:val="21"/>
              </w:rPr>
              <w:t>低氮燃烧器</w:t>
            </w:r>
            <w:r>
              <w:rPr>
                <w:rFonts w:ascii="Calibri" w:hAnsi="Calibri" w:hint="eastAsia"/>
                <w:color w:val="auto"/>
                <w:szCs w:val="21"/>
              </w:rPr>
              <w:t>+</w:t>
            </w:r>
            <w:r>
              <w:rPr>
                <w:rFonts w:ascii="Calibri" w:hAnsi="Calibri"/>
                <w:color w:val="auto"/>
                <w:szCs w:val="21"/>
              </w:rPr>
              <w:t>15</w:t>
            </w:r>
            <w:r w:rsidRPr="00A964FF">
              <w:rPr>
                <w:rFonts w:ascii="Calibri" w:hAnsi="Calibri" w:hint="eastAsia"/>
                <w:color w:val="auto"/>
                <w:szCs w:val="21"/>
              </w:rPr>
              <w:t>m</w:t>
            </w:r>
            <w:r w:rsidRPr="00A964FF">
              <w:rPr>
                <w:rFonts w:ascii="Calibri" w:hAnsi="Calibri" w:hint="eastAsia"/>
                <w:color w:val="auto"/>
                <w:szCs w:val="21"/>
              </w:rPr>
              <w:t>排气筒</w:t>
            </w:r>
          </w:p>
        </w:tc>
      </w:tr>
      <w:tr w:rsidR="005E5F3B" w:rsidRPr="00A964FF" w14:paraId="7292E44F" w14:textId="77777777" w:rsidTr="005E5F3B">
        <w:trPr>
          <w:trHeight w:val="397"/>
          <w:jc w:val="center"/>
        </w:trPr>
        <w:tc>
          <w:tcPr>
            <w:tcW w:w="1119" w:type="dxa"/>
            <w:vAlign w:val="center"/>
          </w:tcPr>
          <w:p w14:paraId="315486E3" w14:textId="77777777" w:rsidR="005E5F3B" w:rsidRPr="00A964FF" w:rsidRDefault="005E5F3B" w:rsidP="005E5F3B">
            <w:pPr>
              <w:jc w:val="center"/>
              <w:rPr>
                <w:rFonts w:ascii="Calibri" w:hAnsi="Calibri"/>
                <w:color w:val="auto"/>
                <w:szCs w:val="21"/>
              </w:rPr>
            </w:pPr>
            <w:r w:rsidRPr="00A964FF">
              <w:rPr>
                <w:rFonts w:ascii="Calibri" w:hAnsi="Calibri" w:hint="eastAsia"/>
                <w:color w:val="auto"/>
                <w:szCs w:val="21"/>
              </w:rPr>
              <w:t>SO</w:t>
            </w:r>
            <w:r w:rsidRPr="00A964FF">
              <w:rPr>
                <w:rFonts w:ascii="Calibri" w:hAnsi="Calibri" w:hint="eastAsia"/>
                <w:color w:val="auto"/>
                <w:szCs w:val="21"/>
                <w:vertAlign w:val="subscript"/>
              </w:rPr>
              <w:t>2</w:t>
            </w:r>
          </w:p>
        </w:tc>
        <w:tc>
          <w:tcPr>
            <w:tcW w:w="1157" w:type="dxa"/>
            <w:vAlign w:val="center"/>
          </w:tcPr>
          <w:p w14:paraId="12C78F9B" w14:textId="77777777" w:rsidR="005E5F3B" w:rsidRDefault="005E5F3B" w:rsidP="005E5F3B">
            <w:pPr>
              <w:jc w:val="center"/>
              <w:rPr>
                <w:rFonts w:ascii="Calibri" w:hAnsi="Calibri"/>
                <w:color w:val="auto"/>
                <w:szCs w:val="21"/>
              </w:rPr>
            </w:pPr>
            <w:r>
              <w:rPr>
                <w:rFonts w:ascii="Calibri" w:hAnsi="Calibri" w:hint="eastAsia"/>
                <w:color w:val="auto"/>
                <w:szCs w:val="21"/>
              </w:rPr>
              <w:t>3.70</w:t>
            </w:r>
          </w:p>
        </w:tc>
        <w:tc>
          <w:tcPr>
            <w:tcW w:w="1158" w:type="dxa"/>
            <w:vAlign w:val="center"/>
          </w:tcPr>
          <w:p w14:paraId="0CDCD852" w14:textId="77777777" w:rsidR="005E5F3B" w:rsidRDefault="005E5F3B" w:rsidP="005E5F3B">
            <w:pPr>
              <w:jc w:val="center"/>
              <w:rPr>
                <w:rFonts w:ascii="Calibri" w:hAnsi="Calibri"/>
                <w:color w:val="auto"/>
                <w:szCs w:val="21"/>
              </w:rPr>
            </w:pPr>
            <w:r>
              <w:rPr>
                <w:rFonts w:ascii="Calibri" w:hAnsi="Calibri" w:hint="eastAsia"/>
                <w:color w:val="auto"/>
                <w:szCs w:val="21"/>
              </w:rPr>
              <w:t>0.0035</w:t>
            </w:r>
          </w:p>
        </w:tc>
        <w:tc>
          <w:tcPr>
            <w:tcW w:w="1158" w:type="dxa"/>
            <w:vAlign w:val="center"/>
          </w:tcPr>
          <w:p w14:paraId="0F637F4F" w14:textId="77777777" w:rsidR="005E5F3B" w:rsidRDefault="005E5F3B" w:rsidP="005E5F3B">
            <w:pPr>
              <w:jc w:val="center"/>
              <w:rPr>
                <w:rFonts w:ascii="Calibri" w:hAnsi="Calibri"/>
                <w:color w:val="auto"/>
                <w:szCs w:val="21"/>
              </w:rPr>
            </w:pPr>
            <w:r>
              <w:rPr>
                <w:rFonts w:ascii="Calibri" w:hAnsi="Calibri" w:hint="eastAsia"/>
                <w:color w:val="auto"/>
                <w:szCs w:val="21"/>
              </w:rPr>
              <w:t>0.025</w:t>
            </w:r>
          </w:p>
        </w:tc>
        <w:tc>
          <w:tcPr>
            <w:tcW w:w="1157" w:type="dxa"/>
            <w:vAlign w:val="center"/>
          </w:tcPr>
          <w:p w14:paraId="7717B20B" w14:textId="77777777" w:rsidR="005E5F3B" w:rsidRDefault="005E5F3B" w:rsidP="005E5F3B">
            <w:pPr>
              <w:jc w:val="center"/>
              <w:rPr>
                <w:rFonts w:ascii="Calibri" w:hAnsi="Calibri"/>
                <w:color w:val="auto"/>
                <w:szCs w:val="21"/>
              </w:rPr>
            </w:pPr>
            <w:r>
              <w:rPr>
                <w:rFonts w:ascii="Calibri" w:hAnsi="Calibri" w:hint="eastAsia"/>
                <w:color w:val="auto"/>
                <w:szCs w:val="21"/>
              </w:rPr>
              <w:t>3.70</w:t>
            </w:r>
          </w:p>
        </w:tc>
        <w:tc>
          <w:tcPr>
            <w:tcW w:w="1158" w:type="dxa"/>
            <w:vAlign w:val="center"/>
          </w:tcPr>
          <w:p w14:paraId="6316409D" w14:textId="77777777" w:rsidR="005E5F3B" w:rsidRDefault="005E5F3B" w:rsidP="005E5F3B">
            <w:pPr>
              <w:jc w:val="center"/>
              <w:rPr>
                <w:rFonts w:ascii="Calibri" w:hAnsi="Calibri"/>
                <w:color w:val="auto"/>
                <w:szCs w:val="21"/>
              </w:rPr>
            </w:pPr>
            <w:r>
              <w:rPr>
                <w:rFonts w:ascii="Calibri" w:hAnsi="Calibri" w:hint="eastAsia"/>
                <w:color w:val="auto"/>
                <w:szCs w:val="21"/>
              </w:rPr>
              <w:t>0.0035</w:t>
            </w:r>
          </w:p>
        </w:tc>
        <w:tc>
          <w:tcPr>
            <w:tcW w:w="1158" w:type="dxa"/>
            <w:vAlign w:val="center"/>
          </w:tcPr>
          <w:p w14:paraId="67B9A12C" w14:textId="77777777" w:rsidR="005E5F3B" w:rsidRDefault="005E5F3B" w:rsidP="005E5F3B">
            <w:pPr>
              <w:jc w:val="center"/>
              <w:rPr>
                <w:rFonts w:ascii="Calibri" w:hAnsi="Calibri"/>
                <w:color w:val="auto"/>
                <w:szCs w:val="21"/>
              </w:rPr>
            </w:pPr>
            <w:r>
              <w:rPr>
                <w:rFonts w:ascii="Calibri" w:hAnsi="Calibri" w:hint="eastAsia"/>
                <w:color w:val="auto"/>
                <w:szCs w:val="21"/>
              </w:rPr>
              <w:t>0.025</w:t>
            </w:r>
          </w:p>
        </w:tc>
        <w:tc>
          <w:tcPr>
            <w:tcW w:w="1154" w:type="dxa"/>
            <w:vMerge/>
            <w:vAlign w:val="center"/>
          </w:tcPr>
          <w:p w14:paraId="57690287" w14:textId="77777777" w:rsidR="005E5F3B" w:rsidRPr="00A964FF" w:rsidRDefault="005E5F3B" w:rsidP="005E5F3B">
            <w:pPr>
              <w:jc w:val="center"/>
              <w:rPr>
                <w:rFonts w:ascii="Calibri" w:hAnsi="Calibri"/>
                <w:color w:val="auto"/>
                <w:szCs w:val="21"/>
              </w:rPr>
            </w:pPr>
          </w:p>
        </w:tc>
      </w:tr>
      <w:tr w:rsidR="005E5F3B" w:rsidRPr="00A964FF" w14:paraId="3967F8FF" w14:textId="77777777" w:rsidTr="005E5F3B">
        <w:trPr>
          <w:trHeight w:val="397"/>
          <w:jc w:val="center"/>
        </w:trPr>
        <w:tc>
          <w:tcPr>
            <w:tcW w:w="1119" w:type="dxa"/>
            <w:vAlign w:val="center"/>
          </w:tcPr>
          <w:p w14:paraId="084DA0CA" w14:textId="77777777" w:rsidR="005E5F3B" w:rsidRPr="00A964FF" w:rsidRDefault="005E5F3B" w:rsidP="005E5F3B">
            <w:pPr>
              <w:jc w:val="center"/>
              <w:rPr>
                <w:rFonts w:ascii="Calibri" w:hAnsi="Calibri"/>
                <w:color w:val="auto"/>
                <w:szCs w:val="21"/>
              </w:rPr>
            </w:pPr>
            <w:r w:rsidRPr="00A964FF">
              <w:rPr>
                <w:rFonts w:ascii="Calibri" w:hAnsi="Calibri" w:hint="eastAsia"/>
                <w:color w:val="auto"/>
                <w:szCs w:val="21"/>
              </w:rPr>
              <w:t>NOx</w:t>
            </w:r>
          </w:p>
        </w:tc>
        <w:tc>
          <w:tcPr>
            <w:tcW w:w="1157" w:type="dxa"/>
            <w:vAlign w:val="center"/>
          </w:tcPr>
          <w:p w14:paraId="251E230D" w14:textId="77777777" w:rsidR="005E5F3B" w:rsidRDefault="005E5F3B" w:rsidP="005E5F3B">
            <w:pPr>
              <w:jc w:val="center"/>
              <w:rPr>
                <w:rFonts w:ascii="Calibri" w:hAnsi="Calibri"/>
                <w:color w:val="auto"/>
                <w:szCs w:val="21"/>
              </w:rPr>
            </w:pPr>
            <w:r>
              <w:rPr>
                <w:rFonts w:ascii="Calibri" w:hAnsi="Calibri" w:hint="eastAsia"/>
                <w:color w:val="auto"/>
                <w:szCs w:val="21"/>
              </w:rPr>
              <w:t>27.90</w:t>
            </w:r>
          </w:p>
        </w:tc>
        <w:tc>
          <w:tcPr>
            <w:tcW w:w="1158" w:type="dxa"/>
            <w:vAlign w:val="center"/>
          </w:tcPr>
          <w:p w14:paraId="10337002" w14:textId="77777777" w:rsidR="005E5F3B" w:rsidRDefault="005E5F3B" w:rsidP="005E5F3B">
            <w:pPr>
              <w:jc w:val="center"/>
              <w:rPr>
                <w:rFonts w:ascii="Calibri" w:hAnsi="Calibri"/>
                <w:color w:val="auto"/>
                <w:szCs w:val="21"/>
              </w:rPr>
            </w:pPr>
            <w:r>
              <w:rPr>
                <w:rFonts w:ascii="Calibri" w:hAnsi="Calibri" w:hint="eastAsia"/>
                <w:color w:val="auto"/>
                <w:szCs w:val="21"/>
              </w:rPr>
              <w:t>0.026</w:t>
            </w:r>
          </w:p>
        </w:tc>
        <w:tc>
          <w:tcPr>
            <w:tcW w:w="1158" w:type="dxa"/>
            <w:vAlign w:val="center"/>
          </w:tcPr>
          <w:p w14:paraId="205CBEBE" w14:textId="77777777" w:rsidR="005E5F3B" w:rsidRDefault="005E5F3B" w:rsidP="005E5F3B">
            <w:pPr>
              <w:jc w:val="center"/>
              <w:rPr>
                <w:rFonts w:ascii="Calibri" w:hAnsi="Calibri"/>
                <w:color w:val="auto"/>
                <w:szCs w:val="21"/>
              </w:rPr>
            </w:pPr>
            <w:r>
              <w:rPr>
                <w:rFonts w:ascii="Calibri" w:hAnsi="Calibri" w:hint="eastAsia"/>
                <w:color w:val="auto"/>
                <w:szCs w:val="21"/>
              </w:rPr>
              <w:t>0.19</w:t>
            </w:r>
          </w:p>
        </w:tc>
        <w:tc>
          <w:tcPr>
            <w:tcW w:w="1157" w:type="dxa"/>
            <w:vAlign w:val="center"/>
          </w:tcPr>
          <w:p w14:paraId="210E337A" w14:textId="77777777" w:rsidR="005E5F3B" w:rsidRDefault="005E5F3B" w:rsidP="005E5F3B">
            <w:pPr>
              <w:jc w:val="center"/>
              <w:rPr>
                <w:rFonts w:ascii="Calibri" w:hAnsi="Calibri"/>
                <w:color w:val="auto"/>
                <w:szCs w:val="21"/>
              </w:rPr>
            </w:pPr>
            <w:r>
              <w:rPr>
                <w:rFonts w:ascii="Calibri" w:hAnsi="Calibri" w:hint="eastAsia"/>
                <w:color w:val="auto"/>
                <w:szCs w:val="21"/>
              </w:rPr>
              <w:t>27.90</w:t>
            </w:r>
          </w:p>
        </w:tc>
        <w:tc>
          <w:tcPr>
            <w:tcW w:w="1158" w:type="dxa"/>
            <w:vAlign w:val="center"/>
          </w:tcPr>
          <w:p w14:paraId="38D9887E" w14:textId="77777777" w:rsidR="005E5F3B" w:rsidRDefault="005E5F3B" w:rsidP="005E5F3B">
            <w:pPr>
              <w:jc w:val="center"/>
              <w:rPr>
                <w:rFonts w:ascii="Calibri" w:hAnsi="Calibri"/>
                <w:color w:val="auto"/>
                <w:szCs w:val="21"/>
              </w:rPr>
            </w:pPr>
            <w:r>
              <w:rPr>
                <w:rFonts w:ascii="Calibri" w:hAnsi="Calibri" w:hint="eastAsia"/>
                <w:color w:val="auto"/>
                <w:szCs w:val="21"/>
              </w:rPr>
              <w:t>0.026</w:t>
            </w:r>
          </w:p>
        </w:tc>
        <w:tc>
          <w:tcPr>
            <w:tcW w:w="1158" w:type="dxa"/>
            <w:vAlign w:val="center"/>
          </w:tcPr>
          <w:p w14:paraId="0C5613F5" w14:textId="77777777" w:rsidR="005E5F3B" w:rsidRDefault="005E5F3B" w:rsidP="005E5F3B">
            <w:pPr>
              <w:jc w:val="center"/>
              <w:rPr>
                <w:rFonts w:ascii="Calibri" w:hAnsi="Calibri"/>
                <w:color w:val="auto"/>
                <w:szCs w:val="21"/>
              </w:rPr>
            </w:pPr>
            <w:r>
              <w:rPr>
                <w:rFonts w:ascii="Calibri" w:hAnsi="Calibri" w:hint="eastAsia"/>
                <w:color w:val="auto"/>
                <w:szCs w:val="21"/>
              </w:rPr>
              <w:t>0.19</w:t>
            </w:r>
          </w:p>
        </w:tc>
        <w:tc>
          <w:tcPr>
            <w:tcW w:w="1154" w:type="dxa"/>
            <w:vMerge/>
            <w:vAlign w:val="center"/>
          </w:tcPr>
          <w:p w14:paraId="5D484ABC" w14:textId="77777777" w:rsidR="005E5F3B" w:rsidRPr="00A964FF" w:rsidRDefault="005E5F3B" w:rsidP="005E5F3B">
            <w:pPr>
              <w:jc w:val="center"/>
              <w:rPr>
                <w:rFonts w:ascii="Calibri" w:hAnsi="Calibri"/>
                <w:color w:val="auto"/>
                <w:szCs w:val="21"/>
              </w:rPr>
            </w:pPr>
          </w:p>
        </w:tc>
      </w:tr>
      <w:tr w:rsidR="005E5F3B" w:rsidRPr="00A964FF" w14:paraId="0EEDAEDE" w14:textId="77777777" w:rsidTr="005E5F3B">
        <w:trPr>
          <w:trHeight w:val="397"/>
          <w:jc w:val="center"/>
        </w:trPr>
        <w:tc>
          <w:tcPr>
            <w:tcW w:w="1119" w:type="dxa"/>
            <w:vAlign w:val="center"/>
          </w:tcPr>
          <w:p w14:paraId="64C81B49" w14:textId="77777777" w:rsidR="005E5F3B" w:rsidRPr="00A964FF" w:rsidRDefault="005E5F3B" w:rsidP="005E5F3B">
            <w:pPr>
              <w:jc w:val="center"/>
              <w:rPr>
                <w:rFonts w:ascii="Calibri" w:hAnsi="Calibri"/>
                <w:color w:val="auto"/>
                <w:szCs w:val="21"/>
              </w:rPr>
            </w:pPr>
            <w:r w:rsidRPr="00A964FF">
              <w:rPr>
                <w:rFonts w:ascii="Calibri" w:hAnsi="Calibri" w:hint="eastAsia"/>
                <w:color w:val="auto"/>
                <w:szCs w:val="21"/>
              </w:rPr>
              <w:t>颗粒物</w:t>
            </w:r>
          </w:p>
        </w:tc>
        <w:tc>
          <w:tcPr>
            <w:tcW w:w="1157" w:type="dxa"/>
            <w:vAlign w:val="center"/>
          </w:tcPr>
          <w:p w14:paraId="6BCBB8C0" w14:textId="77777777" w:rsidR="005E5F3B" w:rsidRDefault="005E5F3B" w:rsidP="005E5F3B">
            <w:pPr>
              <w:jc w:val="center"/>
              <w:rPr>
                <w:rFonts w:ascii="Calibri" w:hAnsi="Calibri"/>
                <w:color w:val="auto"/>
                <w:szCs w:val="21"/>
              </w:rPr>
            </w:pPr>
            <w:r w:rsidRPr="00A964FF">
              <w:rPr>
                <w:rFonts w:ascii="Calibri" w:hAnsi="Calibri" w:hint="eastAsia"/>
                <w:color w:val="auto"/>
                <w:szCs w:val="21"/>
              </w:rPr>
              <w:t>2.4</w:t>
            </w:r>
            <w:r>
              <w:rPr>
                <w:rFonts w:ascii="Calibri" w:hAnsi="Calibri"/>
                <w:color w:val="auto"/>
                <w:szCs w:val="21"/>
              </w:rPr>
              <w:t>5</w:t>
            </w:r>
          </w:p>
        </w:tc>
        <w:tc>
          <w:tcPr>
            <w:tcW w:w="1158" w:type="dxa"/>
            <w:vAlign w:val="center"/>
          </w:tcPr>
          <w:p w14:paraId="017B99E9" w14:textId="77777777" w:rsidR="005E5F3B" w:rsidRDefault="005E5F3B" w:rsidP="005E5F3B">
            <w:pPr>
              <w:jc w:val="center"/>
              <w:rPr>
                <w:rFonts w:ascii="Calibri" w:hAnsi="Calibri"/>
                <w:color w:val="auto"/>
                <w:szCs w:val="21"/>
              </w:rPr>
            </w:pPr>
            <w:r>
              <w:rPr>
                <w:rFonts w:ascii="Calibri" w:hAnsi="Calibri" w:hint="eastAsia"/>
                <w:color w:val="auto"/>
                <w:szCs w:val="21"/>
              </w:rPr>
              <w:t>0.0023</w:t>
            </w:r>
          </w:p>
        </w:tc>
        <w:tc>
          <w:tcPr>
            <w:tcW w:w="1158" w:type="dxa"/>
            <w:vAlign w:val="center"/>
          </w:tcPr>
          <w:p w14:paraId="7DCC325E" w14:textId="77777777" w:rsidR="005E5F3B" w:rsidRDefault="005E5F3B" w:rsidP="005E5F3B">
            <w:pPr>
              <w:jc w:val="center"/>
              <w:rPr>
                <w:rFonts w:ascii="Calibri" w:hAnsi="Calibri"/>
                <w:color w:val="auto"/>
                <w:szCs w:val="21"/>
              </w:rPr>
            </w:pPr>
            <w:r>
              <w:rPr>
                <w:rFonts w:ascii="Calibri" w:hAnsi="Calibri" w:hint="eastAsia"/>
                <w:color w:val="auto"/>
                <w:szCs w:val="21"/>
              </w:rPr>
              <w:t>0.017</w:t>
            </w:r>
          </w:p>
        </w:tc>
        <w:tc>
          <w:tcPr>
            <w:tcW w:w="1157" w:type="dxa"/>
            <w:vAlign w:val="center"/>
          </w:tcPr>
          <w:p w14:paraId="1DB53F3B" w14:textId="77777777" w:rsidR="005E5F3B" w:rsidRDefault="005E5F3B" w:rsidP="005E5F3B">
            <w:pPr>
              <w:jc w:val="center"/>
              <w:rPr>
                <w:rFonts w:ascii="Calibri" w:hAnsi="Calibri"/>
                <w:color w:val="auto"/>
                <w:szCs w:val="21"/>
              </w:rPr>
            </w:pPr>
            <w:r w:rsidRPr="00A964FF">
              <w:rPr>
                <w:rFonts w:ascii="Calibri" w:hAnsi="Calibri" w:hint="eastAsia"/>
                <w:color w:val="auto"/>
                <w:szCs w:val="21"/>
              </w:rPr>
              <w:t>2.4</w:t>
            </w:r>
            <w:r>
              <w:rPr>
                <w:rFonts w:ascii="Calibri" w:hAnsi="Calibri"/>
                <w:color w:val="auto"/>
                <w:szCs w:val="21"/>
              </w:rPr>
              <w:t>5</w:t>
            </w:r>
          </w:p>
        </w:tc>
        <w:tc>
          <w:tcPr>
            <w:tcW w:w="1158" w:type="dxa"/>
            <w:vAlign w:val="center"/>
          </w:tcPr>
          <w:p w14:paraId="4D477BD8" w14:textId="77777777" w:rsidR="005E5F3B" w:rsidRDefault="005E5F3B" w:rsidP="005E5F3B">
            <w:pPr>
              <w:jc w:val="center"/>
              <w:rPr>
                <w:rFonts w:ascii="Calibri" w:hAnsi="Calibri"/>
                <w:color w:val="auto"/>
                <w:szCs w:val="21"/>
              </w:rPr>
            </w:pPr>
            <w:r>
              <w:rPr>
                <w:rFonts w:ascii="Calibri" w:hAnsi="Calibri" w:hint="eastAsia"/>
                <w:color w:val="auto"/>
                <w:szCs w:val="21"/>
              </w:rPr>
              <w:t>0.0023</w:t>
            </w:r>
          </w:p>
        </w:tc>
        <w:tc>
          <w:tcPr>
            <w:tcW w:w="1158" w:type="dxa"/>
            <w:vAlign w:val="center"/>
          </w:tcPr>
          <w:p w14:paraId="4A66FD43" w14:textId="77777777" w:rsidR="005E5F3B" w:rsidRDefault="005E5F3B" w:rsidP="005E5F3B">
            <w:pPr>
              <w:jc w:val="center"/>
              <w:rPr>
                <w:rFonts w:ascii="Calibri" w:hAnsi="Calibri"/>
                <w:color w:val="auto"/>
                <w:szCs w:val="21"/>
              </w:rPr>
            </w:pPr>
            <w:r>
              <w:rPr>
                <w:rFonts w:ascii="Calibri" w:hAnsi="Calibri" w:hint="eastAsia"/>
                <w:color w:val="auto"/>
                <w:szCs w:val="21"/>
              </w:rPr>
              <w:t>0.017</w:t>
            </w:r>
          </w:p>
        </w:tc>
        <w:tc>
          <w:tcPr>
            <w:tcW w:w="1154" w:type="dxa"/>
            <w:vMerge/>
            <w:vAlign w:val="center"/>
          </w:tcPr>
          <w:p w14:paraId="6C0ECD7A" w14:textId="77777777" w:rsidR="005E5F3B" w:rsidRPr="00A964FF" w:rsidRDefault="005E5F3B" w:rsidP="005E5F3B">
            <w:pPr>
              <w:jc w:val="center"/>
              <w:rPr>
                <w:rFonts w:ascii="Calibri" w:hAnsi="Calibri"/>
                <w:color w:val="auto"/>
                <w:szCs w:val="21"/>
              </w:rPr>
            </w:pPr>
          </w:p>
        </w:tc>
      </w:tr>
      <w:tr w:rsidR="003A3D31" w:rsidRPr="00A964FF" w14:paraId="54E42E0D" w14:textId="77777777" w:rsidTr="005E5F3B">
        <w:trPr>
          <w:trHeight w:val="397"/>
          <w:jc w:val="center"/>
        </w:trPr>
        <w:tc>
          <w:tcPr>
            <w:tcW w:w="9219" w:type="dxa"/>
            <w:gridSpan w:val="8"/>
            <w:vAlign w:val="center"/>
          </w:tcPr>
          <w:p w14:paraId="4F5A43B4" w14:textId="77777777" w:rsidR="003A3D31" w:rsidRPr="00A964FF" w:rsidRDefault="003A3D31" w:rsidP="003A3D31">
            <w:pPr>
              <w:jc w:val="center"/>
              <w:rPr>
                <w:rFonts w:ascii="Calibri" w:hAnsi="Calibri"/>
                <w:color w:val="auto"/>
                <w:szCs w:val="21"/>
              </w:rPr>
            </w:pPr>
            <w:r>
              <w:rPr>
                <w:rFonts w:ascii="Calibri" w:hAnsi="Calibri" w:hint="eastAsia"/>
                <w:color w:val="auto"/>
                <w:szCs w:val="21"/>
              </w:rPr>
              <w:t>一期</w:t>
            </w:r>
            <w:r>
              <w:rPr>
                <w:rFonts w:ascii="Calibri" w:hAnsi="Calibri"/>
                <w:color w:val="auto"/>
                <w:szCs w:val="21"/>
              </w:rPr>
              <w:t>、二期工程</w:t>
            </w:r>
          </w:p>
        </w:tc>
      </w:tr>
      <w:tr w:rsidR="00CA259F" w:rsidRPr="00A964FF" w14:paraId="1F13B602" w14:textId="77777777" w:rsidTr="002471F0">
        <w:trPr>
          <w:trHeight w:val="397"/>
          <w:jc w:val="center"/>
        </w:trPr>
        <w:tc>
          <w:tcPr>
            <w:tcW w:w="1119" w:type="dxa"/>
            <w:vAlign w:val="center"/>
          </w:tcPr>
          <w:p w14:paraId="50C78482" w14:textId="77777777" w:rsidR="00CA259F" w:rsidRPr="00A964FF" w:rsidRDefault="00CA259F" w:rsidP="007C1CE9">
            <w:pPr>
              <w:jc w:val="center"/>
              <w:rPr>
                <w:rFonts w:ascii="Calibri" w:hAnsi="Calibri"/>
                <w:color w:val="auto"/>
                <w:szCs w:val="21"/>
              </w:rPr>
            </w:pPr>
            <w:r w:rsidRPr="00A964FF">
              <w:rPr>
                <w:rFonts w:ascii="Calibri" w:hAnsi="Calibri" w:hint="eastAsia"/>
                <w:color w:val="auto"/>
                <w:szCs w:val="21"/>
              </w:rPr>
              <w:t>废气量</w:t>
            </w:r>
          </w:p>
        </w:tc>
        <w:tc>
          <w:tcPr>
            <w:tcW w:w="3473" w:type="dxa"/>
            <w:gridSpan w:val="3"/>
            <w:vAlign w:val="center"/>
          </w:tcPr>
          <w:p w14:paraId="11335CA0" w14:textId="77777777" w:rsidR="00CA259F" w:rsidRPr="00A964FF" w:rsidRDefault="00CA259F" w:rsidP="007C1CE9">
            <w:pPr>
              <w:jc w:val="center"/>
              <w:rPr>
                <w:rFonts w:ascii="Calibri" w:hAnsi="Calibri"/>
                <w:color w:val="auto"/>
                <w:szCs w:val="21"/>
              </w:rPr>
            </w:pPr>
            <w:r>
              <w:rPr>
                <w:rFonts w:ascii="Calibri" w:hAnsi="Calibri"/>
                <w:color w:val="auto"/>
                <w:szCs w:val="21"/>
              </w:rPr>
              <w:t>1.81×10</w:t>
            </w:r>
            <w:r w:rsidRPr="009734A0">
              <w:rPr>
                <w:rFonts w:ascii="Calibri" w:hAnsi="Calibri"/>
                <w:color w:val="auto"/>
                <w:szCs w:val="21"/>
                <w:vertAlign w:val="superscript"/>
              </w:rPr>
              <w:t>7</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/a</w:t>
            </w:r>
          </w:p>
        </w:tc>
        <w:tc>
          <w:tcPr>
            <w:tcW w:w="3473" w:type="dxa"/>
            <w:gridSpan w:val="3"/>
            <w:vAlign w:val="center"/>
          </w:tcPr>
          <w:p w14:paraId="7A752117" w14:textId="77777777" w:rsidR="00CA259F" w:rsidRPr="00A964FF" w:rsidRDefault="00CA259F" w:rsidP="007C1CE9">
            <w:pPr>
              <w:jc w:val="center"/>
              <w:rPr>
                <w:rFonts w:ascii="Calibri" w:hAnsi="Calibri"/>
                <w:color w:val="auto"/>
                <w:szCs w:val="21"/>
              </w:rPr>
            </w:pPr>
            <w:r>
              <w:rPr>
                <w:rFonts w:ascii="Calibri" w:hAnsi="Calibri"/>
                <w:color w:val="auto"/>
                <w:szCs w:val="21"/>
              </w:rPr>
              <w:t>1.81×10</w:t>
            </w:r>
            <w:r w:rsidRPr="009734A0">
              <w:rPr>
                <w:rFonts w:ascii="Calibri" w:hAnsi="Calibri"/>
                <w:color w:val="auto"/>
                <w:szCs w:val="21"/>
                <w:vertAlign w:val="superscript"/>
              </w:rPr>
              <w:t>7</w:t>
            </w:r>
            <w:r w:rsidRPr="00A964FF">
              <w:rPr>
                <w:rFonts w:ascii="Calibri" w:hAnsi="Calibri" w:hint="eastAsia"/>
                <w:color w:val="auto"/>
                <w:szCs w:val="21"/>
              </w:rPr>
              <w:t>m</w:t>
            </w:r>
            <w:r w:rsidRPr="00A964FF">
              <w:rPr>
                <w:rFonts w:ascii="Calibri" w:hAnsi="Calibri" w:hint="eastAsia"/>
                <w:color w:val="auto"/>
                <w:szCs w:val="21"/>
                <w:vertAlign w:val="superscript"/>
              </w:rPr>
              <w:t>3</w:t>
            </w:r>
            <w:r w:rsidRPr="00A964FF">
              <w:rPr>
                <w:rFonts w:ascii="Calibri" w:hAnsi="Calibri" w:hint="eastAsia"/>
                <w:color w:val="auto"/>
                <w:szCs w:val="21"/>
              </w:rPr>
              <w:t>/a</w:t>
            </w:r>
          </w:p>
        </w:tc>
        <w:tc>
          <w:tcPr>
            <w:tcW w:w="1154" w:type="dxa"/>
            <w:vMerge w:val="restart"/>
            <w:vAlign w:val="center"/>
          </w:tcPr>
          <w:p w14:paraId="7A836DAE" w14:textId="77777777" w:rsidR="00CA259F" w:rsidRPr="00A964FF" w:rsidRDefault="00CA259F" w:rsidP="008822BC">
            <w:pPr>
              <w:jc w:val="center"/>
              <w:rPr>
                <w:rFonts w:ascii="Calibri" w:hAnsi="Calibri"/>
                <w:color w:val="auto"/>
                <w:szCs w:val="21"/>
              </w:rPr>
            </w:pPr>
            <w:r w:rsidRPr="00A964FF">
              <w:rPr>
                <w:rFonts w:ascii="Calibri" w:hAnsi="Calibri" w:hint="eastAsia"/>
                <w:color w:val="auto"/>
                <w:szCs w:val="21"/>
              </w:rPr>
              <w:t>低氮燃烧器</w:t>
            </w:r>
            <w:r w:rsidR="00FA0956">
              <w:rPr>
                <w:rFonts w:ascii="Calibri" w:hAnsi="Calibri" w:hint="eastAsia"/>
                <w:color w:val="auto"/>
                <w:szCs w:val="21"/>
              </w:rPr>
              <w:t>+</w:t>
            </w:r>
            <w:r w:rsidR="008822BC">
              <w:rPr>
                <w:rFonts w:ascii="Calibri" w:hAnsi="Calibri"/>
                <w:color w:val="auto"/>
                <w:szCs w:val="21"/>
              </w:rPr>
              <w:t>15</w:t>
            </w:r>
            <w:r w:rsidRPr="00A964FF">
              <w:rPr>
                <w:rFonts w:ascii="Calibri" w:hAnsi="Calibri" w:hint="eastAsia"/>
                <w:color w:val="auto"/>
                <w:szCs w:val="21"/>
              </w:rPr>
              <w:t>m</w:t>
            </w:r>
            <w:r w:rsidRPr="00A964FF">
              <w:rPr>
                <w:rFonts w:ascii="Calibri" w:hAnsi="Calibri" w:hint="eastAsia"/>
                <w:color w:val="auto"/>
                <w:szCs w:val="21"/>
              </w:rPr>
              <w:t>排气筒</w:t>
            </w:r>
          </w:p>
        </w:tc>
      </w:tr>
      <w:tr w:rsidR="002471F0" w:rsidRPr="00A964FF" w14:paraId="64B5E749" w14:textId="77777777" w:rsidTr="002471F0">
        <w:trPr>
          <w:trHeight w:val="397"/>
          <w:jc w:val="center"/>
        </w:trPr>
        <w:tc>
          <w:tcPr>
            <w:tcW w:w="1119" w:type="dxa"/>
            <w:vAlign w:val="center"/>
          </w:tcPr>
          <w:p w14:paraId="523A1FB3" w14:textId="77777777" w:rsidR="002471F0" w:rsidRPr="00A964FF" w:rsidRDefault="002471F0" w:rsidP="002471F0">
            <w:pPr>
              <w:jc w:val="center"/>
              <w:rPr>
                <w:rFonts w:ascii="Calibri" w:hAnsi="Calibri"/>
                <w:color w:val="auto"/>
                <w:szCs w:val="21"/>
              </w:rPr>
            </w:pPr>
            <w:r w:rsidRPr="00A964FF">
              <w:rPr>
                <w:rFonts w:ascii="Calibri" w:hAnsi="Calibri" w:hint="eastAsia"/>
                <w:color w:val="auto"/>
                <w:szCs w:val="21"/>
              </w:rPr>
              <w:t>SO</w:t>
            </w:r>
            <w:r w:rsidRPr="00A964FF">
              <w:rPr>
                <w:rFonts w:ascii="Calibri" w:hAnsi="Calibri" w:hint="eastAsia"/>
                <w:color w:val="auto"/>
                <w:szCs w:val="21"/>
                <w:vertAlign w:val="subscript"/>
              </w:rPr>
              <w:t>2</w:t>
            </w:r>
          </w:p>
        </w:tc>
        <w:tc>
          <w:tcPr>
            <w:tcW w:w="1157" w:type="dxa"/>
            <w:vAlign w:val="center"/>
          </w:tcPr>
          <w:p w14:paraId="1ADEFFFB" w14:textId="77777777" w:rsidR="002471F0" w:rsidRPr="00A964FF" w:rsidRDefault="002471F0" w:rsidP="002471F0">
            <w:pPr>
              <w:jc w:val="center"/>
              <w:rPr>
                <w:rFonts w:ascii="Calibri" w:hAnsi="Calibri"/>
                <w:color w:val="auto"/>
                <w:szCs w:val="21"/>
              </w:rPr>
            </w:pPr>
            <w:r>
              <w:rPr>
                <w:rFonts w:ascii="Calibri" w:hAnsi="Calibri"/>
                <w:color w:val="auto"/>
                <w:szCs w:val="21"/>
              </w:rPr>
              <w:t>3.70</w:t>
            </w:r>
          </w:p>
        </w:tc>
        <w:tc>
          <w:tcPr>
            <w:tcW w:w="1158" w:type="dxa"/>
            <w:vAlign w:val="center"/>
          </w:tcPr>
          <w:p w14:paraId="780EED83" w14:textId="77777777" w:rsidR="002471F0" w:rsidRPr="00A964FF" w:rsidRDefault="002471F0" w:rsidP="002471F0">
            <w:pPr>
              <w:jc w:val="center"/>
              <w:rPr>
                <w:rFonts w:ascii="Calibri" w:hAnsi="Calibri"/>
                <w:color w:val="auto"/>
                <w:szCs w:val="21"/>
              </w:rPr>
            </w:pPr>
            <w:r>
              <w:rPr>
                <w:rFonts w:ascii="Calibri" w:hAnsi="Calibri" w:hint="eastAsia"/>
                <w:color w:val="auto"/>
                <w:szCs w:val="21"/>
              </w:rPr>
              <w:t>0.0</w:t>
            </w:r>
            <w:r>
              <w:rPr>
                <w:rFonts w:ascii="Calibri" w:hAnsi="Calibri"/>
                <w:color w:val="auto"/>
                <w:szCs w:val="21"/>
              </w:rPr>
              <w:t>093</w:t>
            </w:r>
          </w:p>
        </w:tc>
        <w:tc>
          <w:tcPr>
            <w:tcW w:w="1158" w:type="dxa"/>
            <w:vAlign w:val="center"/>
          </w:tcPr>
          <w:p w14:paraId="6FBAB6AB" w14:textId="77777777" w:rsidR="002471F0" w:rsidRPr="00A964FF" w:rsidRDefault="002471F0" w:rsidP="002471F0">
            <w:pPr>
              <w:jc w:val="center"/>
              <w:rPr>
                <w:rFonts w:ascii="Calibri" w:hAnsi="Calibri"/>
                <w:color w:val="auto"/>
                <w:szCs w:val="21"/>
              </w:rPr>
            </w:pPr>
            <w:r>
              <w:rPr>
                <w:rFonts w:ascii="Calibri" w:hAnsi="Calibri"/>
                <w:color w:val="auto"/>
                <w:szCs w:val="21"/>
              </w:rPr>
              <w:t>0.067</w:t>
            </w:r>
          </w:p>
        </w:tc>
        <w:tc>
          <w:tcPr>
            <w:tcW w:w="1157" w:type="dxa"/>
            <w:vAlign w:val="center"/>
          </w:tcPr>
          <w:p w14:paraId="68FEB687" w14:textId="77777777" w:rsidR="002471F0" w:rsidRPr="00A964FF" w:rsidRDefault="002471F0" w:rsidP="002471F0">
            <w:pPr>
              <w:jc w:val="center"/>
              <w:rPr>
                <w:rFonts w:ascii="Calibri" w:hAnsi="Calibri"/>
                <w:color w:val="auto"/>
                <w:szCs w:val="21"/>
              </w:rPr>
            </w:pPr>
            <w:r>
              <w:rPr>
                <w:rFonts w:ascii="Calibri" w:hAnsi="Calibri"/>
                <w:color w:val="auto"/>
                <w:szCs w:val="21"/>
              </w:rPr>
              <w:t>3.70</w:t>
            </w:r>
          </w:p>
        </w:tc>
        <w:tc>
          <w:tcPr>
            <w:tcW w:w="1158" w:type="dxa"/>
            <w:vAlign w:val="center"/>
          </w:tcPr>
          <w:p w14:paraId="0EAD555A" w14:textId="77777777" w:rsidR="002471F0" w:rsidRPr="002471F0" w:rsidRDefault="002471F0" w:rsidP="002471F0">
            <w:pPr>
              <w:jc w:val="center"/>
              <w:rPr>
                <w:rFonts w:ascii="Calibri" w:hAnsi="Calibri"/>
                <w:color w:val="auto"/>
                <w:szCs w:val="21"/>
              </w:rPr>
            </w:pPr>
            <w:r w:rsidRPr="002471F0">
              <w:rPr>
                <w:rFonts w:ascii="Calibri" w:hAnsi="Calibri"/>
                <w:color w:val="auto"/>
                <w:szCs w:val="21"/>
              </w:rPr>
              <w:t>0.0093</w:t>
            </w:r>
          </w:p>
        </w:tc>
        <w:tc>
          <w:tcPr>
            <w:tcW w:w="1158" w:type="dxa"/>
            <w:vAlign w:val="center"/>
          </w:tcPr>
          <w:p w14:paraId="2AB01E49" w14:textId="77777777" w:rsidR="002471F0" w:rsidRPr="002471F0" w:rsidRDefault="002471F0" w:rsidP="002471F0">
            <w:pPr>
              <w:jc w:val="center"/>
              <w:rPr>
                <w:rFonts w:ascii="Calibri" w:hAnsi="Calibri"/>
                <w:color w:val="auto"/>
                <w:szCs w:val="21"/>
              </w:rPr>
            </w:pPr>
            <w:r w:rsidRPr="002471F0">
              <w:rPr>
                <w:rFonts w:ascii="Calibri" w:hAnsi="Calibri"/>
                <w:color w:val="auto"/>
                <w:szCs w:val="21"/>
              </w:rPr>
              <w:t>0.067</w:t>
            </w:r>
          </w:p>
        </w:tc>
        <w:tc>
          <w:tcPr>
            <w:tcW w:w="1154" w:type="dxa"/>
            <w:vMerge/>
            <w:vAlign w:val="center"/>
          </w:tcPr>
          <w:p w14:paraId="4186A006" w14:textId="77777777" w:rsidR="002471F0" w:rsidRPr="00A964FF" w:rsidRDefault="002471F0" w:rsidP="002471F0">
            <w:pPr>
              <w:jc w:val="center"/>
              <w:rPr>
                <w:rFonts w:ascii="Calibri" w:hAnsi="Calibri"/>
                <w:color w:val="auto"/>
                <w:szCs w:val="21"/>
              </w:rPr>
            </w:pPr>
          </w:p>
        </w:tc>
      </w:tr>
      <w:tr w:rsidR="002471F0" w:rsidRPr="00A964FF" w14:paraId="2F2F293C" w14:textId="77777777" w:rsidTr="002471F0">
        <w:trPr>
          <w:trHeight w:val="397"/>
          <w:jc w:val="center"/>
        </w:trPr>
        <w:tc>
          <w:tcPr>
            <w:tcW w:w="1119" w:type="dxa"/>
            <w:vAlign w:val="center"/>
          </w:tcPr>
          <w:p w14:paraId="3176C4F2" w14:textId="77777777" w:rsidR="002471F0" w:rsidRPr="00A964FF" w:rsidRDefault="002471F0" w:rsidP="002471F0">
            <w:pPr>
              <w:jc w:val="center"/>
              <w:rPr>
                <w:rFonts w:ascii="Calibri" w:hAnsi="Calibri"/>
                <w:color w:val="auto"/>
                <w:szCs w:val="21"/>
              </w:rPr>
            </w:pPr>
            <w:r w:rsidRPr="00A964FF">
              <w:rPr>
                <w:rFonts w:ascii="Calibri" w:hAnsi="Calibri" w:hint="eastAsia"/>
                <w:color w:val="auto"/>
                <w:szCs w:val="21"/>
              </w:rPr>
              <w:t>NOx</w:t>
            </w:r>
          </w:p>
        </w:tc>
        <w:tc>
          <w:tcPr>
            <w:tcW w:w="1157" w:type="dxa"/>
            <w:vAlign w:val="center"/>
          </w:tcPr>
          <w:p w14:paraId="346E4132" w14:textId="77777777" w:rsidR="002471F0" w:rsidRPr="00A964FF" w:rsidRDefault="002471F0" w:rsidP="002471F0">
            <w:pPr>
              <w:jc w:val="center"/>
              <w:rPr>
                <w:rFonts w:ascii="Calibri" w:hAnsi="Calibri"/>
                <w:color w:val="auto"/>
                <w:szCs w:val="21"/>
              </w:rPr>
            </w:pPr>
            <w:r w:rsidRPr="00A964FF">
              <w:rPr>
                <w:rFonts w:ascii="Calibri" w:hAnsi="Calibri" w:hint="eastAsia"/>
                <w:color w:val="auto"/>
                <w:szCs w:val="21"/>
              </w:rPr>
              <w:t>28.</w:t>
            </w:r>
            <w:r>
              <w:rPr>
                <w:rFonts w:ascii="Calibri" w:hAnsi="Calibri"/>
                <w:color w:val="auto"/>
                <w:szCs w:val="21"/>
              </w:rPr>
              <w:t>20</w:t>
            </w:r>
          </w:p>
        </w:tc>
        <w:tc>
          <w:tcPr>
            <w:tcW w:w="1158" w:type="dxa"/>
            <w:vAlign w:val="center"/>
          </w:tcPr>
          <w:p w14:paraId="04C7E75F" w14:textId="77777777" w:rsidR="002471F0" w:rsidRPr="00A964FF" w:rsidRDefault="002471F0" w:rsidP="002471F0">
            <w:pPr>
              <w:jc w:val="center"/>
              <w:rPr>
                <w:rFonts w:ascii="Calibri" w:hAnsi="Calibri"/>
                <w:color w:val="auto"/>
                <w:szCs w:val="21"/>
              </w:rPr>
            </w:pPr>
            <w:r>
              <w:rPr>
                <w:rFonts w:ascii="Calibri" w:hAnsi="Calibri"/>
                <w:color w:val="auto"/>
                <w:szCs w:val="21"/>
              </w:rPr>
              <w:t>0.071</w:t>
            </w:r>
          </w:p>
        </w:tc>
        <w:tc>
          <w:tcPr>
            <w:tcW w:w="1158" w:type="dxa"/>
            <w:vAlign w:val="center"/>
          </w:tcPr>
          <w:p w14:paraId="0403D094" w14:textId="77777777" w:rsidR="002471F0" w:rsidRPr="00A964FF" w:rsidRDefault="002471F0" w:rsidP="002471F0">
            <w:pPr>
              <w:jc w:val="center"/>
              <w:rPr>
                <w:rFonts w:ascii="Calibri" w:hAnsi="Calibri"/>
                <w:color w:val="auto"/>
                <w:szCs w:val="21"/>
              </w:rPr>
            </w:pPr>
            <w:r>
              <w:rPr>
                <w:rFonts w:ascii="Calibri" w:hAnsi="Calibri"/>
                <w:color w:val="auto"/>
                <w:szCs w:val="21"/>
              </w:rPr>
              <w:t>0.51</w:t>
            </w:r>
          </w:p>
        </w:tc>
        <w:tc>
          <w:tcPr>
            <w:tcW w:w="1157" w:type="dxa"/>
            <w:vAlign w:val="center"/>
          </w:tcPr>
          <w:p w14:paraId="21655F8F" w14:textId="77777777" w:rsidR="002471F0" w:rsidRPr="00A964FF" w:rsidRDefault="002471F0" w:rsidP="002471F0">
            <w:pPr>
              <w:jc w:val="center"/>
              <w:rPr>
                <w:rFonts w:ascii="Calibri" w:hAnsi="Calibri"/>
                <w:color w:val="auto"/>
                <w:szCs w:val="21"/>
              </w:rPr>
            </w:pPr>
            <w:r w:rsidRPr="00A964FF">
              <w:rPr>
                <w:rFonts w:ascii="Calibri" w:hAnsi="Calibri" w:hint="eastAsia"/>
                <w:color w:val="auto"/>
                <w:szCs w:val="21"/>
              </w:rPr>
              <w:t>28.</w:t>
            </w:r>
            <w:r>
              <w:rPr>
                <w:rFonts w:ascii="Calibri" w:hAnsi="Calibri"/>
                <w:color w:val="auto"/>
                <w:szCs w:val="21"/>
              </w:rPr>
              <w:t>20</w:t>
            </w:r>
          </w:p>
        </w:tc>
        <w:tc>
          <w:tcPr>
            <w:tcW w:w="1158" w:type="dxa"/>
            <w:vAlign w:val="center"/>
          </w:tcPr>
          <w:p w14:paraId="490FC7B7" w14:textId="77777777" w:rsidR="002471F0" w:rsidRPr="002471F0" w:rsidRDefault="002471F0" w:rsidP="002471F0">
            <w:pPr>
              <w:jc w:val="center"/>
              <w:rPr>
                <w:rFonts w:ascii="Calibri" w:hAnsi="Calibri"/>
                <w:color w:val="auto"/>
                <w:szCs w:val="21"/>
              </w:rPr>
            </w:pPr>
            <w:r w:rsidRPr="002471F0">
              <w:rPr>
                <w:rFonts w:ascii="Calibri" w:hAnsi="Calibri"/>
                <w:color w:val="auto"/>
                <w:szCs w:val="21"/>
              </w:rPr>
              <w:t>0.071</w:t>
            </w:r>
          </w:p>
        </w:tc>
        <w:tc>
          <w:tcPr>
            <w:tcW w:w="1158" w:type="dxa"/>
            <w:vAlign w:val="center"/>
          </w:tcPr>
          <w:p w14:paraId="7D6D9E5B" w14:textId="77777777" w:rsidR="002471F0" w:rsidRPr="002471F0" w:rsidRDefault="002471F0" w:rsidP="002471F0">
            <w:pPr>
              <w:jc w:val="center"/>
              <w:rPr>
                <w:rFonts w:ascii="Calibri" w:hAnsi="Calibri"/>
                <w:color w:val="auto"/>
                <w:szCs w:val="21"/>
              </w:rPr>
            </w:pPr>
            <w:r w:rsidRPr="002471F0">
              <w:rPr>
                <w:rFonts w:ascii="Calibri" w:hAnsi="Calibri"/>
                <w:color w:val="auto"/>
                <w:szCs w:val="21"/>
              </w:rPr>
              <w:t>0.51</w:t>
            </w:r>
          </w:p>
        </w:tc>
        <w:tc>
          <w:tcPr>
            <w:tcW w:w="1154" w:type="dxa"/>
            <w:vMerge/>
            <w:vAlign w:val="center"/>
          </w:tcPr>
          <w:p w14:paraId="7160F1F5" w14:textId="77777777" w:rsidR="002471F0" w:rsidRPr="00A964FF" w:rsidRDefault="002471F0" w:rsidP="002471F0">
            <w:pPr>
              <w:jc w:val="center"/>
              <w:rPr>
                <w:rFonts w:ascii="Calibri" w:hAnsi="Calibri"/>
                <w:color w:val="auto"/>
                <w:szCs w:val="21"/>
              </w:rPr>
            </w:pPr>
          </w:p>
        </w:tc>
      </w:tr>
      <w:tr w:rsidR="00AD0BDD" w:rsidRPr="00A964FF" w14:paraId="5A4AC568" w14:textId="77777777" w:rsidTr="002471F0">
        <w:trPr>
          <w:trHeight w:val="397"/>
          <w:jc w:val="center"/>
        </w:trPr>
        <w:tc>
          <w:tcPr>
            <w:tcW w:w="1119" w:type="dxa"/>
            <w:vAlign w:val="center"/>
          </w:tcPr>
          <w:p w14:paraId="3F4DA58F" w14:textId="77777777" w:rsidR="00AD0BDD" w:rsidRPr="00A964FF" w:rsidRDefault="00AD0BDD" w:rsidP="00AD0BDD">
            <w:pPr>
              <w:jc w:val="center"/>
              <w:rPr>
                <w:rFonts w:ascii="Calibri" w:hAnsi="Calibri"/>
                <w:color w:val="auto"/>
                <w:szCs w:val="21"/>
              </w:rPr>
            </w:pPr>
            <w:r w:rsidRPr="00A964FF">
              <w:rPr>
                <w:rFonts w:ascii="Calibri" w:hAnsi="Calibri" w:hint="eastAsia"/>
                <w:color w:val="auto"/>
                <w:szCs w:val="21"/>
              </w:rPr>
              <w:t>颗粒物</w:t>
            </w:r>
          </w:p>
        </w:tc>
        <w:tc>
          <w:tcPr>
            <w:tcW w:w="1157" w:type="dxa"/>
            <w:vAlign w:val="center"/>
          </w:tcPr>
          <w:p w14:paraId="20D532B9" w14:textId="77777777" w:rsidR="00AD0BDD" w:rsidRPr="00A964FF" w:rsidRDefault="00AD0BDD" w:rsidP="00AD0BDD">
            <w:pPr>
              <w:jc w:val="center"/>
              <w:rPr>
                <w:rFonts w:ascii="Calibri" w:hAnsi="Calibri"/>
                <w:color w:val="auto"/>
                <w:szCs w:val="21"/>
              </w:rPr>
            </w:pPr>
            <w:r w:rsidRPr="00A964FF">
              <w:rPr>
                <w:rFonts w:ascii="Calibri" w:hAnsi="Calibri" w:hint="eastAsia"/>
                <w:color w:val="auto"/>
                <w:szCs w:val="21"/>
              </w:rPr>
              <w:t>2.4</w:t>
            </w:r>
            <w:r>
              <w:rPr>
                <w:rFonts w:ascii="Calibri" w:hAnsi="Calibri"/>
                <w:color w:val="auto"/>
                <w:szCs w:val="21"/>
              </w:rPr>
              <w:t>5</w:t>
            </w:r>
          </w:p>
        </w:tc>
        <w:tc>
          <w:tcPr>
            <w:tcW w:w="1158" w:type="dxa"/>
            <w:vAlign w:val="center"/>
          </w:tcPr>
          <w:p w14:paraId="2E079988" w14:textId="77777777" w:rsidR="00AD0BDD" w:rsidRPr="00A964FF" w:rsidRDefault="00AD0BDD" w:rsidP="00AD0BDD">
            <w:pPr>
              <w:jc w:val="center"/>
              <w:rPr>
                <w:rFonts w:ascii="Calibri" w:hAnsi="Calibri"/>
                <w:color w:val="auto"/>
                <w:szCs w:val="21"/>
              </w:rPr>
            </w:pPr>
            <w:r>
              <w:rPr>
                <w:rFonts w:ascii="Calibri" w:hAnsi="Calibri" w:hint="eastAsia"/>
                <w:color w:val="auto"/>
                <w:szCs w:val="21"/>
              </w:rPr>
              <w:t>0.00</w:t>
            </w:r>
            <w:r>
              <w:rPr>
                <w:rFonts w:ascii="Calibri" w:hAnsi="Calibri"/>
                <w:color w:val="auto"/>
                <w:szCs w:val="21"/>
              </w:rPr>
              <w:t>6</w:t>
            </w:r>
          </w:p>
        </w:tc>
        <w:tc>
          <w:tcPr>
            <w:tcW w:w="1158" w:type="dxa"/>
            <w:vAlign w:val="center"/>
          </w:tcPr>
          <w:p w14:paraId="7499C454" w14:textId="77777777" w:rsidR="00AD0BDD" w:rsidRPr="00A964FF" w:rsidRDefault="00AD0BDD" w:rsidP="00AD0BDD">
            <w:pPr>
              <w:jc w:val="center"/>
              <w:rPr>
                <w:rFonts w:ascii="Calibri" w:hAnsi="Calibri"/>
                <w:color w:val="auto"/>
                <w:szCs w:val="21"/>
              </w:rPr>
            </w:pPr>
            <w:r w:rsidRPr="00A964FF">
              <w:rPr>
                <w:rFonts w:ascii="Calibri" w:hAnsi="Calibri" w:hint="eastAsia"/>
                <w:color w:val="auto"/>
                <w:szCs w:val="21"/>
              </w:rPr>
              <w:t>0.0</w:t>
            </w:r>
            <w:r>
              <w:rPr>
                <w:rFonts w:ascii="Calibri" w:hAnsi="Calibri"/>
                <w:color w:val="auto"/>
                <w:szCs w:val="21"/>
              </w:rPr>
              <w:t>44</w:t>
            </w:r>
          </w:p>
        </w:tc>
        <w:tc>
          <w:tcPr>
            <w:tcW w:w="1157" w:type="dxa"/>
            <w:vAlign w:val="center"/>
          </w:tcPr>
          <w:p w14:paraId="4A0DC71F" w14:textId="77777777" w:rsidR="00AD0BDD" w:rsidRPr="00A964FF" w:rsidRDefault="00AD0BDD" w:rsidP="00AD0BDD">
            <w:pPr>
              <w:jc w:val="center"/>
              <w:rPr>
                <w:rFonts w:ascii="Calibri" w:hAnsi="Calibri"/>
                <w:color w:val="auto"/>
                <w:szCs w:val="21"/>
              </w:rPr>
            </w:pPr>
            <w:r w:rsidRPr="00A964FF">
              <w:rPr>
                <w:rFonts w:ascii="Calibri" w:hAnsi="Calibri" w:hint="eastAsia"/>
                <w:color w:val="auto"/>
                <w:szCs w:val="21"/>
              </w:rPr>
              <w:t>2.4</w:t>
            </w:r>
            <w:r>
              <w:rPr>
                <w:rFonts w:ascii="Calibri" w:hAnsi="Calibri"/>
                <w:color w:val="auto"/>
                <w:szCs w:val="21"/>
              </w:rPr>
              <w:t>5</w:t>
            </w:r>
          </w:p>
        </w:tc>
        <w:tc>
          <w:tcPr>
            <w:tcW w:w="1158" w:type="dxa"/>
            <w:vAlign w:val="center"/>
          </w:tcPr>
          <w:p w14:paraId="0D9CCCCD" w14:textId="77777777" w:rsidR="00AD0BDD" w:rsidRPr="00A964FF" w:rsidRDefault="00AD0BDD" w:rsidP="00AD0BDD">
            <w:pPr>
              <w:jc w:val="center"/>
              <w:rPr>
                <w:rFonts w:ascii="Calibri" w:hAnsi="Calibri"/>
                <w:color w:val="auto"/>
                <w:szCs w:val="21"/>
              </w:rPr>
            </w:pPr>
            <w:r>
              <w:rPr>
                <w:rFonts w:ascii="Calibri" w:hAnsi="Calibri" w:hint="eastAsia"/>
                <w:color w:val="auto"/>
                <w:szCs w:val="21"/>
              </w:rPr>
              <w:t>0.00</w:t>
            </w:r>
            <w:r>
              <w:rPr>
                <w:rFonts w:ascii="Calibri" w:hAnsi="Calibri"/>
                <w:color w:val="auto"/>
                <w:szCs w:val="21"/>
              </w:rPr>
              <w:t>6</w:t>
            </w:r>
          </w:p>
        </w:tc>
        <w:tc>
          <w:tcPr>
            <w:tcW w:w="1158" w:type="dxa"/>
            <w:vAlign w:val="center"/>
          </w:tcPr>
          <w:p w14:paraId="53699476" w14:textId="77777777" w:rsidR="00AD0BDD" w:rsidRPr="00A964FF" w:rsidRDefault="00AD0BDD" w:rsidP="00AD0BDD">
            <w:pPr>
              <w:jc w:val="center"/>
              <w:rPr>
                <w:rFonts w:ascii="Calibri" w:hAnsi="Calibri"/>
                <w:color w:val="auto"/>
                <w:szCs w:val="21"/>
              </w:rPr>
            </w:pPr>
            <w:r w:rsidRPr="00A964FF">
              <w:rPr>
                <w:rFonts w:ascii="Calibri" w:hAnsi="Calibri" w:hint="eastAsia"/>
                <w:color w:val="auto"/>
                <w:szCs w:val="21"/>
              </w:rPr>
              <w:t>0.0</w:t>
            </w:r>
            <w:r>
              <w:rPr>
                <w:rFonts w:ascii="Calibri" w:hAnsi="Calibri"/>
                <w:color w:val="auto"/>
                <w:szCs w:val="21"/>
              </w:rPr>
              <w:t>44</w:t>
            </w:r>
          </w:p>
        </w:tc>
        <w:tc>
          <w:tcPr>
            <w:tcW w:w="1154" w:type="dxa"/>
            <w:vMerge/>
            <w:vAlign w:val="center"/>
          </w:tcPr>
          <w:p w14:paraId="1471515B" w14:textId="77777777" w:rsidR="00AD0BDD" w:rsidRPr="00A964FF" w:rsidRDefault="00AD0BDD" w:rsidP="00AD0BDD">
            <w:pPr>
              <w:jc w:val="center"/>
              <w:rPr>
                <w:rFonts w:ascii="Calibri" w:hAnsi="Calibri"/>
                <w:color w:val="auto"/>
                <w:szCs w:val="21"/>
              </w:rPr>
            </w:pPr>
          </w:p>
        </w:tc>
      </w:tr>
    </w:tbl>
    <w:p w14:paraId="01840D36" w14:textId="77777777" w:rsidR="004E2EC9" w:rsidRPr="005848A4" w:rsidRDefault="008822BC" w:rsidP="004E2EC9">
      <w:pPr>
        <w:pStyle w:val="00"/>
        <w:ind w:firstLineChars="200" w:firstLine="482"/>
        <w:rPr>
          <w:rFonts w:ascii="Calibri" w:hAnsi="Calibri"/>
          <w:b/>
          <w:color w:val="auto"/>
        </w:rPr>
      </w:pPr>
      <w:r>
        <w:rPr>
          <w:rFonts w:ascii="Calibri" w:hAnsi="Calibri"/>
          <w:b/>
          <w:color w:val="auto"/>
        </w:rPr>
        <w:t>4</w:t>
      </w:r>
      <w:r w:rsidR="004E2EC9" w:rsidRPr="00CA259F">
        <w:rPr>
          <w:rFonts w:ascii="Calibri" w:hAnsi="Calibri" w:hint="eastAsia"/>
          <w:b/>
          <w:color w:val="auto"/>
        </w:rPr>
        <w:t>、</w:t>
      </w:r>
      <w:r w:rsidR="00852DCA">
        <w:rPr>
          <w:rFonts w:ascii="Calibri" w:hAnsi="Calibri" w:hint="eastAsia"/>
          <w:b/>
          <w:color w:val="auto"/>
        </w:rPr>
        <w:t>品控中心</w:t>
      </w:r>
      <w:r w:rsidR="004E2EC9">
        <w:rPr>
          <w:rFonts w:ascii="Calibri" w:hAnsi="Calibri" w:hint="eastAsia"/>
          <w:b/>
          <w:color w:val="auto"/>
        </w:rPr>
        <w:t>废气</w:t>
      </w:r>
    </w:p>
    <w:p w14:paraId="41FB8FB5" w14:textId="77777777" w:rsidR="0092085C" w:rsidRPr="00171BA9" w:rsidRDefault="004E2EC9" w:rsidP="00171BA9">
      <w:pPr>
        <w:pStyle w:val="00"/>
        <w:ind w:firstLineChars="200" w:firstLine="482"/>
        <w:rPr>
          <w:rFonts w:ascii="Calibri" w:hAnsi="Calibri"/>
          <w:b/>
          <w:color w:val="auto"/>
          <w:u w:val="single"/>
        </w:rPr>
      </w:pPr>
      <w:r w:rsidRPr="00171BA9">
        <w:rPr>
          <w:rFonts w:ascii="Calibri" w:hAnsi="Calibri" w:hint="eastAsia"/>
          <w:b/>
          <w:color w:val="auto"/>
          <w:u w:val="single"/>
        </w:rPr>
        <w:t>本项目设置</w:t>
      </w:r>
      <w:r w:rsidRPr="00171BA9">
        <w:rPr>
          <w:rFonts w:ascii="Calibri" w:hAnsi="Calibri"/>
          <w:b/>
          <w:color w:val="auto"/>
          <w:u w:val="single"/>
        </w:rPr>
        <w:t>有</w:t>
      </w:r>
      <w:r w:rsidRPr="00171BA9">
        <w:rPr>
          <w:rFonts w:ascii="Calibri" w:hAnsi="Calibri" w:hint="eastAsia"/>
          <w:b/>
          <w:color w:val="auto"/>
          <w:u w:val="single"/>
        </w:rPr>
        <w:t>中心化验室和</w:t>
      </w:r>
      <w:r w:rsidR="0092085C" w:rsidRPr="00171BA9">
        <w:rPr>
          <w:rFonts w:ascii="Calibri" w:hAnsi="Calibri" w:hint="eastAsia"/>
          <w:b/>
          <w:color w:val="auto"/>
          <w:u w:val="single"/>
        </w:rPr>
        <w:t>品控中心</w:t>
      </w:r>
      <w:r w:rsidRPr="00171BA9">
        <w:rPr>
          <w:rFonts w:ascii="Calibri" w:hAnsi="Calibri"/>
          <w:b/>
          <w:color w:val="auto"/>
          <w:u w:val="single"/>
        </w:rPr>
        <w:t>，其</w:t>
      </w:r>
      <w:r w:rsidR="00852DCA" w:rsidRPr="00171BA9">
        <w:rPr>
          <w:rFonts w:ascii="Calibri" w:hAnsi="Calibri" w:hint="eastAsia"/>
          <w:b/>
          <w:color w:val="auto"/>
          <w:u w:val="single"/>
        </w:rPr>
        <w:t>中</w:t>
      </w:r>
      <w:r w:rsidRPr="00171BA9">
        <w:rPr>
          <w:rFonts w:ascii="Calibri" w:hAnsi="Calibri"/>
          <w:b/>
          <w:color w:val="auto"/>
          <w:u w:val="single"/>
        </w:rPr>
        <w:t>中心实验室主要检测</w:t>
      </w:r>
      <w:r w:rsidRPr="00171BA9">
        <w:rPr>
          <w:rFonts w:ascii="Calibri" w:hAnsi="Calibri" w:hint="eastAsia"/>
          <w:b/>
          <w:color w:val="auto"/>
          <w:u w:val="single"/>
        </w:rPr>
        <w:t>其</w:t>
      </w:r>
      <w:r w:rsidRPr="00171BA9">
        <w:rPr>
          <w:rFonts w:ascii="Calibri" w:hAnsi="Calibri"/>
          <w:b/>
          <w:color w:val="auto"/>
          <w:u w:val="single"/>
        </w:rPr>
        <w:t>物理性质，不使用化学试剂；</w:t>
      </w:r>
      <w:r w:rsidR="00852DCA" w:rsidRPr="00171BA9">
        <w:rPr>
          <w:rFonts w:ascii="Calibri" w:hAnsi="Calibri" w:hint="eastAsia"/>
          <w:b/>
          <w:color w:val="auto"/>
          <w:u w:val="single"/>
        </w:rPr>
        <w:t>质量控制</w:t>
      </w:r>
      <w:r w:rsidR="009B4F57" w:rsidRPr="00171BA9">
        <w:rPr>
          <w:rFonts w:ascii="Calibri" w:hAnsi="Calibri" w:hint="eastAsia"/>
          <w:b/>
          <w:color w:val="auto"/>
          <w:u w:val="single"/>
        </w:rPr>
        <w:t>过程涉及</w:t>
      </w:r>
      <w:r w:rsidRPr="00171BA9">
        <w:rPr>
          <w:rFonts w:ascii="Calibri" w:hAnsi="Calibri" w:hint="eastAsia"/>
          <w:b/>
          <w:color w:val="auto"/>
          <w:u w:val="single"/>
        </w:rPr>
        <w:t>乙醇</w:t>
      </w:r>
      <w:r w:rsidRPr="00171BA9">
        <w:rPr>
          <w:rFonts w:ascii="Calibri" w:hAnsi="Calibri"/>
          <w:b/>
          <w:color w:val="auto"/>
          <w:u w:val="single"/>
        </w:rPr>
        <w:t>、甲酸及盐酸等</w:t>
      </w:r>
      <w:r w:rsidR="009B4F57" w:rsidRPr="00171BA9">
        <w:rPr>
          <w:rFonts w:ascii="Calibri" w:hAnsi="Calibri" w:hint="eastAsia"/>
          <w:b/>
          <w:color w:val="auto"/>
          <w:u w:val="single"/>
        </w:rPr>
        <w:t>物质</w:t>
      </w:r>
      <w:r w:rsidR="009B4F57" w:rsidRPr="00171BA9">
        <w:rPr>
          <w:rFonts w:ascii="Calibri" w:hAnsi="Calibri"/>
          <w:b/>
          <w:color w:val="auto"/>
          <w:u w:val="single"/>
        </w:rPr>
        <w:t>，</w:t>
      </w:r>
      <w:r w:rsidRPr="00171BA9">
        <w:rPr>
          <w:rFonts w:ascii="Calibri" w:hAnsi="Calibri"/>
          <w:b/>
          <w:color w:val="auto"/>
          <w:u w:val="single"/>
        </w:rPr>
        <w:t>在进行化学分析时产生</w:t>
      </w:r>
      <w:r w:rsidRPr="00171BA9">
        <w:rPr>
          <w:rFonts w:ascii="Calibri" w:hAnsi="Calibri" w:hint="eastAsia"/>
          <w:b/>
          <w:color w:val="auto"/>
          <w:u w:val="single"/>
        </w:rPr>
        <w:t>少量</w:t>
      </w:r>
      <w:r w:rsidRPr="00171BA9">
        <w:rPr>
          <w:rFonts w:ascii="Calibri" w:hAnsi="Calibri"/>
          <w:b/>
          <w:color w:val="auto"/>
          <w:u w:val="single"/>
        </w:rPr>
        <w:t>的有机废气</w:t>
      </w:r>
      <w:r w:rsidR="009B4F57" w:rsidRPr="00171BA9">
        <w:rPr>
          <w:rFonts w:ascii="Calibri" w:hAnsi="Calibri" w:hint="eastAsia"/>
          <w:b/>
          <w:color w:val="auto"/>
          <w:u w:val="single"/>
        </w:rPr>
        <w:t>及</w:t>
      </w:r>
      <w:r w:rsidRPr="00171BA9">
        <w:rPr>
          <w:rFonts w:ascii="Calibri" w:hAnsi="Calibri"/>
          <w:b/>
          <w:color w:val="auto"/>
          <w:u w:val="single"/>
        </w:rPr>
        <w:t>酸性废气，但是</w:t>
      </w:r>
      <w:r w:rsidRPr="00171BA9">
        <w:rPr>
          <w:rFonts w:ascii="Calibri" w:hAnsi="Calibri" w:hint="eastAsia"/>
          <w:b/>
          <w:color w:val="auto"/>
          <w:u w:val="single"/>
        </w:rPr>
        <w:t>由于</w:t>
      </w:r>
      <w:r w:rsidRPr="00171BA9">
        <w:rPr>
          <w:rFonts w:ascii="Calibri" w:hAnsi="Calibri"/>
          <w:b/>
          <w:color w:val="auto"/>
          <w:u w:val="single"/>
        </w:rPr>
        <w:t>本项目</w:t>
      </w:r>
      <w:r w:rsidRPr="00171BA9">
        <w:rPr>
          <w:rFonts w:ascii="Calibri" w:hAnsi="Calibri" w:hint="eastAsia"/>
          <w:b/>
          <w:color w:val="auto"/>
          <w:u w:val="single"/>
        </w:rPr>
        <w:t>各种</w:t>
      </w:r>
      <w:r w:rsidRPr="00171BA9">
        <w:rPr>
          <w:rFonts w:ascii="Calibri" w:hAnsi="Calibri"/>
          <w:b/>
          <w:color w:val="auto"/>
          <w:u w:val="single"/>
        </w:rPr>
        <w:t>试剂使用量较少，</w:t>
      </w:r>
      <w:r w:rsidRPr="00171BA9">
        <w:rPr>
          <w:rFonts w:ascii="Calibri" w:hAnsi="Calibri" w:hint="eastAsia"/>
          <w:b/>
          <w:color w:val="auto"/>
          <w:u w:val="single"/>
        </w:rPr>
        <w:t>其挥发</w:t>
      </w:r>
      <w:r w:rsidRPr="00171BA9">
        <w:rPr>
          <w:rFonts w:ascii="Calibri" w:hAnsi="Calibri"/>
          <w:b/>
          <w:color w:val="auto"/>
          <w:u w:val="single"/>
        </w:rPr>
        <w:t>量极少</w:t>
      </w:r>
      <w:r w:rsidRPr="00171BA9">
        <w:rPr>
          <w:rFonts w:ascii="Calibri" w:hAnsi="Calibri" w:hint="eastAsia"/>
          <w:b/>
          <w:color w:val="auto"/>
          <w:u w:val="single"/>
        </w:rPr>
        <w:t>，</w:t>
      </w:r>
      <w:r w:rsidRPr="00171BA9">
        <w:rPr>
          <w:rFonts w:ascii="Calibri" w:hAnsi="Calibri"/>
          <w:b/>
          <w:color w:val="auto"/>
          <w:u w:val="single"/>
        </w:rPr>
        <w:t>不再定量计算。</w:t>
      </w:r>
      <w:r w:rsidRPr="00171BA9">
        <w:rPr>
          <w:rFonts w:ascii="Calibri" w:hAnsi="Calibri" w:hint="eastAsia"/>
          <w:b/>
          <w:color w:val="auto"/>
          <w:u w:val="single"/>
        </w:rPr>
        <w:t>本次评价</w:t>
      </w:r>
      <w:r w:rsidRPr="00171BA9">
        <w:rPr>
          <w:rFonts w:ascii="Calibri" w:hAnsi="Calibri"/>
          <w:b/>
          <w:color w:val="auto"/>
          <w:u w:val="single"/>
        </w:rPr>
        <w:t>要求</w:t>
      </w:r>
      <w:r w:rsidR="00852DCA" w:rsidRPr="00171BA9">
        <w:rPr>
          <w:rFonts w:ascii="Calibri" w:hAnsi="Calibri" w:hint="eastAsia"/>
          <w:b/>
          <w:color w:val="auto"/>
          <w:u w:val="single"/>
        </w:rPr>
        <w:t>品控中心</w:t>
      </w:r>
      <w:r w:rsidRPr="00171BA9">
        <w:rPr>
          <w:rFonts w:ascii="Calibri" w:hAnsi="Calibri"/>
          <w:b/>
          <w:color w:val="auto"/>
          <w:u w:val="single"/>
        </w:rPr>
        <w:t>有机</w:t>
      </w:r>
      <w:r w:rsidR="009B4F57" w:rsidRPr="00171BA9">
        <w:rPr>
          <w:rFonts w:ascii="Calibri" w:hAnsi="Calibri" w:hint="eastAsia"/>
          <w:b/>
          <w:color w:val="auto"/>
          <w:u w:val="single"/>
        </w:rPr>
        <w:t>废气</w:t>
      </w:r>
      <w:r w:rsidR="009B4F57" w:rsidRPr="00171BA9">
        <w:rPr>
          <w:rFonts w:ascii="Calibri" w:hAnsi="Calibri"/>
          <w:b/>
          <w:color w:val="auto"/>
          <w:u w:val="single"/>
        </w:rPr>
        <w:t>及酸性废气经通风橱收集后</w:t>
      </w:r>
      <w:r w:rsidR="009B4F57" w:rsidRPr="00171BA9">
        <w:rPr>
          <w:rFonts w:ascii="Calibri" w:hAnsi="Calibri" w:hint="eastAsia"/>
          <w:b/>
          <w:color w:val="auto"/>
          <w:u w:val="single"/>
        </w:rPr>
        <w:t>经</w:t>
      </w:r>
      <w:r w:rsidRPr="00171BA9">
        <w:rPr>
          <w:rFonts w:ascii="Calibri" w:hAnsi="Calibri"/>
          <w:b/>
          <w:color w:val="auto"/>
          <w:u w:val="single"/>
        </w:rPr>
        <w:t>活性炭处理</w:t>
      </w:r>
      <w:r w:rsidR="009B4F57" w:rsidRPr="00171BA9">
        <w:rPr>
          <w:rFonts w:ascii="Calibri" w:hAnsi="Calibri" w:hint="eastAsia"/>
          <w:b/>
          <w:color w:val="auto"/>
          <w:u w:val="single"/>
        </w:rPr>
        <w:t>后楼顶</w:t>
      </w:r>
      <w:r w:rsidR="009B4F57" w:rsidRPr="00171BA9">
        <w:rPr>
          <w:rFonts w:ascii="Calibri" w:hAnsi="Calibri"/>
          <w:b/>
          <w:color w:val="auto"/>
          <w:u w:val="single"/>
        </w:rPr>
        <w:t>排放</w:t>
      </w:r>
      <w:r w:rsidRPr="00171BA9">
        <w:rPr>
          <w:rFonts w:ascii="Calibri" w:hAnsi="Calibri"/>
          <w:b/>
          <w:color w:val="auto"/>
          <w:u w:val="single"/>
        </w:rPr>
        <w:t>。</w:t>
      </w:r>
    </w:p>
    <w:p w14:paraId="6AC4EA58" w14:textId="77777777" w:rsidR="005848A4" w:rsidRPr="005848A4" w:rsidRDefault="008822BC" w:rsidP="00F430A4">
      <w:pPr>
        <w:pStyle w:val="00"/>
        <w:ind w:firstLineChars="200" w:firstLine="482"/>
        <w:rPr>
          <w:rFonts w:ascii="Calibri" w:hAnsi="Calibri"/>
          <w:b/>
          <w:color w:val="auto"/>
        </w:rPr>
      </w:pPr>
      <w:r>
        <w:rPr>
          <w:rFonts w:ascii="Calibri" w:hAnsi="Calibri"/>
          <w:b/>
          <w:color w:val="auto"/>
        </w:rPr>
        <w:t>5</w:t>
      </w:r>
      <w:r w:rsidR="005848A4" w:rsidRPr="00CA259F">
        <w:rPr>
          <w:rFonts w:ascii="Calibri" w:hAnsi="Calibri" w:hint="eastAsia"/>
          <w:b/>
          <w:color w:val="auto"/>
        </w:rPr>
        <w:t>、</w:t>
      </w:r>
      <w:r w:rsidR="005848A4">
        <w:rPr>
          <w:rFonts w:ascii="Calibri" w:hAnsi="Calibri" w:hint="eastAsia"/>
          <w:b/>
          <w:color w:val="auto"/>
        </w:rPr>
        <w:t>污水处理站</w:t>
      </w:r>
      <w:r w:rsidR="005848A4">
        <w:rPr>
          <w:rFonts w:ascii="Calibri" w:hAnsi="Calibri"/>
          <w:b/>
          <w:color w:val="auto"/>
        </w:rPr>
        <w:t>恶臭</w:t>
      </w:r>
      <w:r w:rsidR="005848A4">
        <w:rPr>
          <w:rFonts w:ascii="Calibri" w:hAnsi="Calibri" w:hint="eastAsia"/>
          <w:b/>
          <w:color w:val="auto"/>
        </w:rPr>
        <w:t>气体</w:t>
      </w:r>
    </w:p>
    <w:p w14:paraId="1F5F243D" w14:textId="77777777" w:rsidR="0057479A" w:rsidRPr="00A964FF" w:rsidRDefault="0057479A" w:rsidP="00F26134">
      <w:pPr>
        <w:pStyle w:val="00"/>
        <w:spacing w:line="500" w:lineRule="exact"/>
        <w:jc w:val="left"/>
        <w:rPr>
          <w:rFonts w:ascii="Calibri" w:hAnsi="Calibri"/>
          <w:color w:val="auto"/>
        </w:rPr>
      </w:pPr>
      <w:r w:rsidRPr="00A964FF">
        <w:rPr>
          <w:rFonts w:ascii="Calibri" w:hAnsi="Calibri" w:hint="eastAsia"/>
          <w:color w:val="auto"/>
        </w:rPr>
        <w:t>有机化学工业企业废水处理站中的挥发性有机物（</w:t>
      </w:r>
      <w:r w:rsidRPr="00A964FF">
        <w:rPr>
          <w:rFonts w:ascii="Calibri" w:hAnsi="Calibri" w:hint="eastAsia"/>
          <w:color w:val="auto"/>
        </w:rPr>
        <w:t>VOCs</w:t>
      </w:r>
      <w:r w:rsidRPr="00A964FF">
        <w:rPr>
          <w:rFonts w:ascii="Calibri" w:hAnsi="Calibri" w:hint="eastAsia"/>
          <w:color w:val="auto"/>
        </w:rPr>
        <w:t>）和恶臭污染物可以分为两类：一类是直接从污水中挥发出来的；另一类是来自于污水中有机物由于微生物的生物化学反应形成的分解物。</w:t>
      </w:r>
      <w:r w:rsidR="007C5652" w:rsidRPr="00A964FF">
        <w:rPr>
          <w:rFonts w:ascii="Calibri" w:hAnsi="Calibri" w:hint="eastAsia"/>
          <w:color w:val="auto"/>
        </w:rPr>
        <w:t>废水处理站</w:t>
      </w:r>
      <w:r w:rsidRPr="00A964FF">
        <w:rPr>
          <w:rFonts w:ascii="Calibri" w:hAnsi="Calibri" w:hint="eastAsia"/>
          <w:color w:val="auto"/>
        </w:rPr>
        <w:t>不仅排放污水处理过程中常见的氨、硫化氢等，而且会排放大量</w:t>
      </w:r>
      <w:r w:rsidR="007C5652" w:rsidRPr="00A964FF">
        <w:rPr>
          <w:rFonts w:ascii="Calibri" w:hAnsi="Calibri" w:hint="eastAsia"/>
          <w:color w:val="auto"/>
        </w:rPr>
        <w:t>的</w:t>
      </w:r>
      <w:r w:rsidR="007C5652" w:rsidRPr="00A964FF">
        <w:rPr>
          <w:rFonts w:ascii="Calibri" w:hAnsi="Calibri" w:hint="eastAsia"/>
          <w:color w:val="auto"/>
        </w:rPr>
        <w:t>VOCs</w:t>
      </w:r>
      <w:r w:rsidRPr="00A964FF">
        <w:rPr>
          <w:rFonts w:ascii="Calibri" w:hAnsi="Calibri" w:hint="eastAsia"/>
          <w:color w:val="auto"/>
        </w:rPr>
        <w:t>。在污水处理过程中，</w:t>
      </w:r>
      <w:r w:rsidRPr="00A964FF">
        <w:rPr>
          <w:rFonts w:ascii="Calibri" w:hAnsi="Calibri"/>
          <w:color w:val="auto"/>
        </w:rPr>
        <w:t>VOCs</w:t>
      </w:r>
      <w:r w:rsidRPr="00A964FF">
        <w:rPr>
          <w:rFonts w:ascii="Calibri" w:hAnsi="Calibri" w:hint="eastAsia"/>
          <w:color w:val="auto"/>
        </w:rPr>
        <w:t>产生通常发生在生物转化和化学添加过程。</w:t>
      </w:r>
    </w:p>
    <w:p w14:paraId="1FFDEBCA" w14:textId="77777777" w:rsidR="00023A46" w:rsidRDefault="009003F9" w:rsidP="005848A4">
      <w:pPr>
        <w:pStyle w:val="00"/>
        <w:spacing w:line="500" w:lineRule="exact"/>
        <w:jc w:val="left"/>
        <w:rPr>
          <w:rFonts w:ascii="Calibri" w:hAnsi="Calibri"/>
          <w:color w:val="auto"/>
        </w:rPr>
      </w:pPr>
      <w:r>
        <w:rPr>
          <w:rFonts w:ascii="Calibri" w:hAnsi="Calibri"/>
          <w:color w:val="auto"/>
        </w:rPr>
        <w:lastRenderedPageBreak/>
        <w:t>根据化工行业废水处理站实际运行经验数据，参考《江苏省重点行业挥发性有机物排放量计算暂行办法》和环保部《石油炼制、石油化学工业</w:t>
      </w:r>
      <w:r w:rsidR="005848A4">
        <w:rPr>
          <w:rFonts w:ascii="Calibri" w:hAnsi="Calibri"/>
          <w:color w:val="auto"/>
        </w:rPr>
        <w:t>VOCs</w:t>
      </w:r>
      <w:r>
        <w:rPr>
          <w:rFonts w:ascii="Calibri" w:hAnsi="Calibri"/>
          <w:color w:val="auto"/>
        </w:rPr>
        <w:t>排放量简化核算方法》，污水处理系统有机废气的产生情况如下：</w:t>
      </w:r>
    </w:p>
    <w:p w14:paraId="6B4B5DA0" w14:textId="77777777" w:rsidR="004E2EC9" w:rsidRPr="005848A4" w:rsidRDefault="00ED4172" w:rsidP="005848A4">
      <w:pPr>
        <w:pStyle w:val="00"/>
        <w:spacing w:line="500" w:lineRule="exact"/>
        <w:jc w:val="left"/>
        <w:rPr>
          <w:rFonts w:ascii="Calibri" w:hAnsi="Calibri"/>
          <w:color w:val="auto"/>
        </w:rPr>
      </w:pPr>
      <w:r>
        <w:rPr>
          <w:rFonts w:asciiTheme="minorHAnsi" w:hAnsi="Calibri" w:cstheme="minorHAnsi" w:hint="eastAsia"/>
          <w:noProof/>
          <w:color w:val="auto"/>
        </w:rPr>
        <w:drawing>
          <wp:anchor distT="0" distB="0" distL="114300" distR="114300" simplePos="0" relativeHeight="253306368" behindDoc="0" locked="0" layoutInCell="1" allowOverlap="1" wp14:anchorId="7EF9EA31" wp14:editId="549A5655">
            <wp:simplePos x="0" y="0"/>
            <wp:positionH relativeFrom="column">
              <wp:posOffset>687070</wp:posOffset>
            </wp:positionH>
            <wp:positionV relativeFrom="paragraph">
              <wp:posOffset>50800</wp:posOffset>
            </wp:positionV>
            <wp:extent cx="3657600" cy="1552575"/>
            <wp:effectExtent l="19050" t="0" r="0" b="0"/>
            <wp:wrapNone/>
            <wp:docPr id="132" name="图片 132" descr="C:\Users\ADMINI~1\AppData\Local\Temp\1653449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1\AppData\Local\Temp\1653449109(1).png"/>
                    <pic:cNvPicPr>
                      <a:picLocks noChangeAspect="1" noChangeArrowheads="1"/>
                    </pic:cNvPicPr>
                  </pic:nvPicPr>
                  <pic:blipFill>
                    <a:blip r:embed="rId20"/>
                    <a:srcRect/>
                    <a:stretch>
                      <a:fillRect/>
                    </a:stretch>
                  </pic:blipFill>
                  <pic:spPr bwMode="auto">
                    <a:xfrm>
                      <a:off x="0" y="0"/>
                      <a:ext cx="3657600" cy="1552575"/>
                    </a:xfrm>
                    <a:prstGeom prst="rect">
                      <a:avLst/>
                    </a:prstGeom>
                    <a:noFill/>
                    <a:ln w="9525">
                      <a:noFill/>
                      <a:miter lim="800000"/>
                      <a:headEnd/>
                      <a:tailEnd/>
                    </a:ln>
                  </pic:spPr>
                </pic:pic>
              </a:graphicData>
            </a:graphic>
          </wp:anchor>
        </w:drawing>
      </w:r>
    </w:p>
    <w:p w14:paraId="4553BAA3" w14:textId="77777777" w:rsidR="00023A46" w:rsidRDefault="00023A46" w:rsidP="00023A46">
      <w:pPr>
        <w:pStyle w:val="00"/>
        <w:ind w:firstLine="0"/>
        <w:rPr>
          <w:rFonts w:asciiTheme="minorHAnsi" w:hAnsi="Calibri" w:cstheme="minorHAnsi"/>
          <w:color w:val="auto"/>
        </w:rPr>
      </w:pPr>
    </w:p>
    <w:p w14:paraId="382BCE44" w14:textId="77777777" w:rsidR="00023A46" w:rsidRDefault="00023A46" w:rsidP="00023A46">
      <w:pPr>
        <w:pStyle w:val="00"/>
        <w:ind w:firstLine="0"/>
        <w:rPr>
          <w:rFonts w:asciiTheme="minorHAnsi" w:hAnsi="Calibri" w:cstheme="minorHAnsi"/>
          <w:color w:val="auto"/>
        </w:rPr>
      </w:pPr>
    </w:p>
    <w:p w14:paraId="0394D262" w14:textId="77777777" w:rsidR="00023A46" w:rsidRDefault="00023A46" w:rsidP="00023A46">
      <w:pPr>
        <w:pStyle w:val="00"/>
        <w:ind w:firstLine="0"/>
        <w:rPr>
          <w:rFonts w:asciiTheme="minorHAnsi" w:hAnsi="Calibri" w:cstheme="minorHAnsi"/>
          <w:color w:val="auto"/>
        </w:rPr>
      </w:pPr>
    </w:p>
    <w:p w14:paraId="7F57BE9B" w14:textId="77777777" w:rsidR="00F430A4" w:rsidRDefault="00F430A4" w:rsidP="00A57EB8">
      <w:pPr>
        <w:autoSpaceDE w:val="0"/>
        <w:autoSpaceDN w:val="0"/>
        <w:adjustRightInd w:val="0"/>
        <w:spacing w:line="276" w:lineRule="auto"/>
        <w:jc w:val="left"/>
        <w:rPr>
          <w:rFonts w:asciiTheme="minorHAnsi" w:eastAsia="黑体" w:hAnsi="黑体" w:cstheme="minorHAnsi"/>
          <w:sz w:val="24"/>
        </w:rPr>
      </w:pPr>
    </w:p>
    <w:p w14:paraId="64384BAC" w14:textId="77777777" w:rsidR="000C0061" w:rsidRDefault="000C0061" w:rsidP="005E5F3B">
      <w:pPr>
        <w:autoSpaceDE w:val="0"/>
        <w:autoSpaceDN w:val="0"/>
        <w:adjustRightInd w:val="0"/>
        <w:spacing w:line="276" w:lineRule="auto"/>
        <w:jc w:val="left"/>
        <w:rPr>
          <w:rFonts w:asciiTheme="minorHAnsi" w:eastAsia="黑体" w:hAnsi="黑体" w:cstheme="minorHAnsi"/>
          <w:sz w:val="24"/>
        </w:rPr>
      </w:pPr>
    </w:p>
    <w:p w14:paraId="5EBBFFFE" w14:textId="77777777" w:rsidR="009003F9" w:rsidRPr="009003F9" w:rsidRDefault="009003F9" w:rsidP="009003F9">
      <w:pPr>
        <w:autoSpaceDE w:val="0"/>
        <w:autoSpaceDN w:val="0"/>
        <w:adjustRightInd w:val="0"/>
        <w:spacing w:line="276" w:lineRule="auto"/>
        <w:ind w:firstLineChars="400" w:firstLine="960"/>
        <w:jc w:val="left"/>
        <w:rPr>
          <w:rFonts w:asciiTheme="minorHAnsi" w:eastAsia="黑体" w:hAnsiTheme="minorHAnsi" w:cstheme="minorHAnsi"/>
          <w:sz w:val="24"/>
        </w:rPr>
      </w:pPr>
      <w:r w:rsidRPr="009003F9">
        <w:rPr>
          <w:rFonts w:asciiTheme="minorHAnsi" w:eastAsia="黑体" w:hAnsi="黑体" w:cstheme="minorHAnsi"/>
          <w:sz w:val="24"/>
        </w:rPr>
        <w:t>表</w:t>
      </w:r>
      <w:r w:rsidRPr="009003F9">
        <w:rPr>
          <w:rFonts w:asciiTheme="minorHAnsi" w:eastAsia="黑体" w:hAnsiTheme="minorHAnsi" w:cstheme="minorHAnsi"/>
          <w:sz w:val="24"/>
        </w:rPr>
        <w:t>2.3-</w:t>
      </w:r>
      <w:r w:rsidR="005E5F3B">
        <w:rPr>
          <w:rFonts w:asciiTheme="minorHAnsi" w:eastAsia="黑体" w:hAnsiTheme="minorHAnsi" w:cstheme="minorHAnsi"/>
          <w:sz w:val="24"/>
        </w:rPr>
        <w:t>4</w:t>
      </w:r>
      <w:r w:rsidRPr="009003F9">
        <w:rPr>
          <w:rFonts w:asciiTheme="minorHAnsi" w:eastAsia="黑体" w:hAnsiTheme="minorHAnsi" w:cstheme="minorHAnsi"/>
          <w:sz w:val="24"/>
        </w:rPr>
        <w:t xml:space="preserve">         </w:t>
      </w:r>
      <w:r w:rsidRPr="009003F9">
        <w:rPr>
          <w:rFonts w:asciiTheme="minorHAnsi" w:eastAsia="黑体" w:hAnsi="黑体" w:cstheme="minorHAnsi"/>
          <w:sz w:val="24"/>
        </w:rPr>
        <w:t>废水收集</w:t>
      </w:r>
      <w:r w:rsidRPr="009003F9">
        <w:rPr>
          <w:rFonts w:asciiTheme="minorHAnsi" w:eastAsia="黑体" w:hAnsiTheme="minorHAnsi" w:cstheme="minorHAnsi"/>
          <w:sz w:val="24"/>
        </w:rPr>
        <w:t>/</w:t>
      </w:r>
      <w:r w:rsidRPr="009003F9">
        <w:rPr>
          <w:rFonts w:asciiTheme="minorHAnsi" w:eastAsia="黑体" w:hAnsi="黑体" w:cstheme="minorHAnsi"/>
          <w:sz w:val="24"/>
        </w:rPr>
        <w:t>处理设施</w:t>
      </w:r>
      <w:r w:rsidR="004C3763">
        <w:rPr>
          <w:rFonts w:asciiTheme="minorHAnsi" w:eastAsia="黑体" w:hAnsiTheme="minorHAnsi" w:cstheme="minorHAnsi"/>
          <w:sz w:val="24"/>
        </w:rPr>
        <w:t>VOCs</w:t>
      </w:r>
      <w:r w:rsidRPr="009003F9">
        <w:rPr>
          <w:rFonts w:asciiTheme="minorHAnsi" w:eastAsia="黑体" w:hAnsi="黑体" w:cstheme="minorHAnsi"/>
          <w:sz w:val="24"/>
        </w:rPr>
        <w:t>产污系数</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099"/>
        <w:gridCol w:w="3360"/>
        <w:gridCol w:w="3359"/>
      </w:tblGrid>
      <w:tr w:rsidR="009003F9" w14:paraId="3461B34A" w14:textId="77777777" w:rsidTr="009003F9">
        <w:trPr>
          <w:trHeight w:val="340"/>
          <w:jc w:val="center"/>
        </w:trPr>
        <w:tc>
          <w:tcPr>
            <w:tcW w:w="2099" w:type="dxa"/>
            <w:tcBorders>
              <w:tl2br w:val="nil"/>
              <w:tr2bl w:val="nil"/>
            </w:tcBorders>
            <w:shd w:val="clear" w:color="auto" w:fill="auto"/>
            <w:noWrap/>
            <w:vAlign w:val="center"/>
          </w:tcPr>
          <w:p w14:paraId="6D588C70" w14:textId="77777777" w:rsidR="009003F9" w:rsidRDefault="009003F9" w:rsidP="007802AD">
            <w:pPr>
              <w:jc w:val="center"/>
              <w:rPr>
                <w:rFonts w:ascii="Calibri" w:hAnsi="Calibri"/>
                <w:kern w:val="0"/>
                <w:szCs w:val="21"/>
              </w:rPr>
            </w:pPr>
            <w:r>
              <w:rPr>
                <w:rFonts w:ascii="Calibri" w:hAnsi="Calibri"/>
                <w:kern w:val="0"/>
                <w:szCs w:val="21"/>
              </w:rPr>
              <w:t>生产单元</w:t>
            </w:r>
          </w:p>
        </w:tc>
        <w:tc>
          <w:tcPr>
            <w:tcW w:w="3360" w:type="dxa"/>
            <w:tcBorders>
              <w:tl2br w:val="nil"/>
              <w:tr2bl w:val="nil"/>
            </w:tcBorders>
            <w:shd w:val="clear" w:color="auto" w:fill="auto"/>
            <w:noWrap/>
            <w:vAlign w:val="center"/>
          </w:tcPr>
          <w:p w14:paraId="7910845E" w14:textId="77777777" w:rsidR="009003F9" w:rsidRDefault="009003F9" w:rsidP="007802AD">
            <w:pPr>
              <w:jc w:val="center"/>
              <w:rPr>
                <w:rFonts w:ascii="Calibri" w:hAnsi="Calibri"/>
                <w:kern w:val="0"/>
                <w:szCs w:val="21"/>
              </w:rPr>
            </w:pPr>
            <w:r>
              <w:rPr>
                <w:rFonts w:ascii="Calibri" w:hAnsi="Calibri"/>
                <w:kern w:val="0"/>
                <w:szCs w:val="21"/>
              </w:rPr>
              <w:t>废水中有机物浓度</w:t>
            </w:r>
          </w:p>
        </w:tc>
        <w:tc>
          <w:tcPr>
            <w:tcW w:w="3359" w:type="dxa"/>
            <w:tcBorders>
              <w:tl2br w:val="nil"/>
              <w:tr2bl w:val="nil"/>
            </w:tcBorders>
            <w:shd w:val="clear" w:color="auto" w:fill="auto"/>
            <w:noWrap/>
            <w:vAlign w:val="center"/>
          </w:tcPr>
          <w:p w14:paraId="09B308B5" w14:textId="77777777" w:rsidR="009003F9" w:rsidRDefault="009003F9" w:rsidP="007802AD">
            <w:pPr>
              <w:jc w:val="center"/>
              <w:rPr>
                <w:rFonts w:ascii="Calibri" w:hAnsi="Calibri"/>
                <w:kern w:val="0"/>
                <w:szCs w:val="21"/>
              </w:rPr>
            </w:pPr>
            <w:r>
              <w:rPr>
                <w:rFonts w:ascii="Calibri" w:hAnsi="Calibri"/>
                <w:kern w:val="0"/>
                <w:szCs w:val="21"/>
              </w:rPr>
              <w:t>产污系数（千克</w:t>
            </w:r>
            <w:r>
              <w:rPr>
                <w:rFonts w:ascii="Calibri" w:hAnsi="Calibri"/>
                <w:kern w:val="0"/>
                <w:szCs w:val="21"/>
              </w:rPr>
              <w:t>/</w:t>
            </w:r>
            <w:r>
              <w:rPr>
                <w:rFonts w:ascii="Calibri" w:hAnsi="Calibri"/>
                <w:kern w:val="0"/>
                <w:szCs w:val="21"/>
              </w:rPr>
              <w:t>立方米）</w:t>
            </w:r>
          </w:p>
        </w:tc>
      </w:tr>
      <w:tr w:rsidR="009003F9" w14:paraId="04B9B9C2" w14:textId="77777777" w:rsidTr="009003F9">
        <w:trPr>
          <w:trHeight w:val="340"/>
          <w:jc w:val="center"/>
        </w:trPr>
        <w:tc>
          <w:tcPr>
            <w:tcW w:w="2099" w:type="dxa"/>
            <w:tcBorders>
              <w:tl2br w:val="nil"/>
              <w:tr2bl w:val="nil"/>
            </w:tcBorders>
            <w:shd w:val="clear" w:color="auto" w:fill="auto"/>
            <w:noWrap/>
            <w:vAlign w:val="center"/>
          </w:tcPr>
          <w:p w14:paraId="2327E5D1" w14:textId="77777777" w:rsidR="009003F9" w:rsidRDefault="009003F9" w:rsidP="007802AD">
            <w:pPr>
              <w:jc w:val="center"/>
              <w:rPr>
                <w:rFonts w:ascii="Calibri" w:hAnsi="Calibri"/>
                <w:kern w:val="0"/>
                <w:szCs w:val="21"/>
              </w:rPr>
            </w:pPr>
            <w:r>
              <w:rPr>
                <w:rFonts w:ascii="Calibri" w:hAnsi="Calibri"/>
                <w:kern w:val="0"/>
                <w:szCs w:val="21"/>
              </w:rPr>
              <w:t>预处理</w:t>
            </w:r>
          </w:p>
        </w:tc>
        <w:tc>
          <w:tcPr>
            <w:tcW w:w="3360" w:type="dxa"/>
            <w:tcBorders>
              <w:tl2br w:val="nil"/>
              <w:tr2bl w:val="nil"/>
            </w:tcBorders>
            <w:shd w:val="clear" w:color="auto" w:fill="auto"/>
            <w:noWrap/>
            <w:vAlign w:val="center"/>
          </w:tcPr>
          <w:p w14:paraId="4CA844CA" w14:textId="77777777" w:rsidR="009003F9" w:rsidRDefault="009003F9" w:rsidP="007802AD">
            <w:pPr>
              <w:jc w:val="center"/>
              <w:rPr>
                <w:rFonts w:ascii="Calibri" w:hAnsi="Calibri"/>
                <w:kern w:val="0"/>
                <w:szCs w:val="21"/>
              </w:rPr>
            </w:pPr>
            <w:r>
              <w:rPr>
                <w:rFonts w:ascii="Calibri" w:hAnsi="Calibri"/>
                <w:kern w:val="0"/>
                <w:szCs w:val="21"/>
              </w:rPr>
              <w:t>大于</w:t>
            </w:r>
            <w:r>
              <w:rPr>
                <w:rFonts w:ascii="Calibri" w:hAnsi="Calibri"/>
                <w:kern w:val="0"/>
                <w:szCs w:val="21"/>
              </w:rPr>
              <w:t>3500mg/L</w:t>
            </w:r>
          </w:p>
        </w:tc>
        <w:tc>
          <w:tcPr>
            <w:tcW w:w="3359" w:type="dxa"/>
            <w:tcBorders>
              <w:tl2br w:val="nil"/>
              <w:tr2bl w:val="nil"/>
            </w:tcBorders>
            <w:shd w:val="clear" w:color="auto" w:fill="auto"/>
            <w:noWrap/>
            <w:vAlign w:val="center"/>
          </w:tcPr>
          <w:p w14:paraId="6E63C642" w14:textId="77777777" w:rsidR="009003F9" w:rsidRDefault="009003F9" w:rsidP="007802AD">
            <w:pPr>
              <w:jc w:val="center"/>
              <w:rPr>
                <w:rFonts w:ascii="Calibri" w:hAnsi="Calibri"/>
                <w:kern w:val="0"/>
                <w:szCs w:val="21"/>
              </w:rPr>
            </w:pPr>
            <w:r>
              <w:rPr>
                <w:rFonts w:ascii="Calibri" w:hAnsi="Calibri"/>
                <w:kern w:val="0"/>
                <w:szCs w:val="21"/>
              </w:rPr>
              <w:t>0.6</w:t>
            </w:r>
          </w:p>
        </w:tc>
      </w:tr>
      <w:tr w:rsidR="009003F9" w14:paraId="39048E4A" w14:textId="77777777" w:rsidTr="009003F9">
        <w:trPr>
          <w:trHeight w:val="340"/>
          <w:jc w:val="center"/>
        </w:trPr>
        <w:tc>
          <w:tcPr>
            <w:tcW w:w="5459" w:type="dxa"/>
            <w:gridSpan w:val="2"/>
            <w:tcBorders>
              <w:tl2br w:val="nil"/>
              <w:tr2bl w:val="nil"/>
            </w:tcBorders>
            <w:shd w:val="clear" w:color="auto" w:fill="auto"/>
            <w:noWrap/>
            <w:vAlign w:val="center"/>
          </w:tcPr>
          <w:p w14:paraId="6417EA9E" w14:textId="77777777" w:rsidR="009003F9" w:rsidRDefault="009003F9" w:rsidP="007802AD">
            <w:pPr>
              <w:jc w:val="center"/>
              <w:rPr>
                <w:rFonts w:ascii="Calibri" w:hAnsi="Calibri"/>
                <w:kern w:val="0"/>
                <w:szCs w:val="21"/>
              </w:rPr>
            </w:pPr>
            <w:r>
              <w:rPr>
                <w:rFonts w:ascii="Calibri" w:hAnsi="Calibri"/>
                <w:kern w:val="0"/>
                <w:szCs w:val="21"/>
              </w:rPr>
              <w:t>加盖溶气气浮或引气气浮</w:t>
            </w:r>
          </w:p>
        </w:tc>
        <w:tc>
          <w:tcPr>
            <w:tcW w:w="3359" w:type="dxa"/>
            <w:tcBorders>
              <w:tl2br w:val="nil"/>
              <w:tr2bl w:val="nil"/>
            </w:tcBorders>
            <w:shd w:val="clear" w:color="auto" w:fill="auto"/>
            <w:noWrap/>
            <w:vAlign w:val="center"/>
          </w:tcPr>
          <w:p w14:paraId="04909082" w14:textId="77777777" w:rsidR="009003F9" w:rsidRDefault="009003F9" w:rsidP="007802AD">
            <w:pPr>
              <w:jc w:val="center"/>
              <w:rPr>
                <w:rFonts w:ascii="Calibri" w:hAnsi="Calibri"/>
                <w:kern w:val="0"/>
                <w:szCs w:val="21"/>
              </w:rPr>
            </w:pPr>
            <w:r>
              <w:rPr>
                <w:rFonts w:ascii="Calibri" w:hAnsi="Calibri"/>
                <w:kern w:val="0"/>
                <w:szCs w:val="21"/>
              </w:rPr>
              <w:t>0.00012</w:t>
            </w:r>
          </w:p>
        </w:tc>
      </w:tr>
      <w:tr w:rsidR="009003F9" w14:paraId="029D7F5F" w14:textId="77777777" w:rsidTr="009003F9">
        <w:trPr>
          <w:trHeight w:val="340"/>
          <w:jc w:val="center"/>
        </w:trPr>
        <w:tc>
          <w:tcPr>
            <w:tcW w:w="5459" w:type="dxa"/>
            <w:gridSpan w:val="2"/>
            <w:tcBorders>
              <w:tl2br w:val="nil"/>
              <w:tr2bl w:val="nil"/>
            </w:tcBorders>
            <w:shd w:val="clear" w:color="auto" w:fill="auto"/>
            <w:noWrap/>
            <w:vAlign w:val="center"/>
          </w:tcPr>
          <w:p w14:paraId="7ED37629" w14:textId="77777777" w:rsidR="009003F9" w:rsidRDefault="009003F9" w:rsidP="007802AD">
            <w:pPr>
              <w:jc w:val="center"/>
              <w:rPr>
                <w:rFonts w:ascii="Calibri" w:hAnsi="Calibri"/>
                <w:kern w:val="0"/>
                <w:szCs w:val="21"/>
              </w:rPr>
            </w:pPr>
            <w:r>
              <w:rPr>
                <w:rFonts w:ascii="Calibri" w:hAnsi="Calibri"/>
                <w:kern w:val="0"/>
                <w:szCs w:val="21"/>
              </w:rPr>
              <w:t>生物处理设施</w:t>
            </w:r>
          </w:p>
        </w:tc>
        <w:tc>
          <w:tcPr>
            <w:tcW w:w="3359" w:type="dxa"/>
            <w:tcBorders>
              <w:tl2br w:val="nil"/>
              <w:tr2bl w:val="nil"/>
            </w:tcBorders>
            <w:shd w:val="clear" w:color="auto" w:fill="auto"/>
            <w:noWrap/>
            <w:vAlign w:val="center"/>
          </w:tcPr>
          <w:p w14:paraId="1168F577" w14:textId="77777777" w:rsidR="009003F9" w:rsidRDefault="009003F9" w:rsidP="007802AD">
            <w:pPr>
              <w:jc w:val="center"/>
              <w:rPr>
                <w:rFonts w:ascii="Calibri" w:hAnsi="Calibri"/>
                <w:kern w:val="0"/>
                <w:szCs w:val="21"/>
              </w:rPr>
            </w:pPr>
            <w:r>
              <w:rPr>
                <w:rFonts w:ascii="Calibri" w:hAnsi="Calibri"/>
                <w:kern w:val="0"/>
                <w:szCs w:val="21"/>
              </w:rPr>
              <w:t>0.005</w:t>
            </w:r>
          </w:p>
        </w:tc>
      </w:tr>
    </w:tbl>
    <w:p w14:paraId="6F2C0845" w14:textId="46D911CA" w:rsidR="009003F9" w:rsidRPr="009003F9" w:rsidRDefault="00680806" w:rsidP="00126090">
      <w:pPr>
        <w:pStyle w:val="00"/>
        <w:spacing w:line="500" w:lineRule="exact"/>
        <w:jc w:val="left"/>
        <w:rPr>
          <w:rFonts w:ascii="Calibri" w:hAnsi="Calibri"/>
          <w:color w:val="auto"/>
        </w:rPr>
      </w:pPr>
      <w:r>
        <w:rPr>
          <w:rFonts w:ascii="Calibri" w:hAnsi="Calibri" w:hint="eastAsia"/>
          <w:color w:val="auto"/>
        </w:rPr>
        <w:t>本项目工艺废水</w:t>
      </w:r>
      <w:r>
        <w:rPr>
          <w:rFonts w:ascii="Calibri" w:hAnsi="Calibri"/>
          <w:color w:val="auto"/>
        </w:rPr>
        <w:t>中有机物浓度</w:t>
      </w:r>
      <w:r w:rsidR="009043DC">
        <w:rPr>
          <w:rFonts w:ascii="Calibri" w:hAnsi="Calibri" w:hint="eastAsia"/>
          <w:color w:val="auto"/>
        </w:rPr>
        <w:t>匀质后</w:t>
      </w:r>
      <w:r w:rsidR="009043DC">
        <w:rPr>
          <w:rFonts w:ascii="Calibri" w:hAnsi="Calibri"/>
          <w:color w:val="auto"/>
        </w:rPr>
        <w:t>为</w:t>
      </w:r>
      <w:r w:rsidR="009043DC">
        <w:rPr>
          <w:rFonts w:ascii="Calibri" w:hAnsi="Calibri"/>
          <w:snapToGrid w:val="0"/>
          <w:szCs w:val="21"/>
        </w:rPr>
        <w:t>2211.34</w:t>
      </w:r>
      <w:r w:rsidR="009043DC">
        <w:rPr>
          <w:rFonts w:ascii="Calibri" w:hAnsi="Calibri"/>
          <w:kern w:val="0"/>
          <w:szCs w:val="21"/>
        </w:rPr>
        <w:t>mg/L</w:t>
      </w:r>
      <w:r w:rsidR="009043DC">
        <w:rPr>
          <w:rFonts w:ascii="Calibri" w:hAnsi="Calibri" w:hint="eastAsia"/>
          <w:kern w:val="0"/>
          <w:szCs w:val="21"/>
        </w:rPr>
        <w:t>，</w:t>
      </w:r>
      <w:r w:rsidR="009043DC">
        <w:rPr>
          <w:rFonts w:ascii="Calibri" w:hAnsi="Calibri" w:hint="eastAsia"/>
          <w:color w:val="auto"/>
        </w:rPr>
        <w:t>小于</w:t>
      </w:r>
      <w:r>
        <w:rPr>
          <w:rFonts w:ascii="Calibri" w:hAnsi="Calibri" w:hint="eastAsia"/>
          <w:color w:val="auto"/>
        </w:rPr>
        <w:t>350</w:t>
      </w:r>
      <w:r>
        <w:rPr>
          <w:rFonts w:ascii="Calibri" w:hAnsi="Calibri"/>
          <w:color w:val="auto"/>
        </w:rPr>
        <w:t>0</w:t>
      </w:r>
      <w:r>
        <w:rPr>
          <w:rFonts w:ascii="Calibri" w:hAnsi="Calibri"/>
          <w:kern w:val="0"/>
          <w:szCs w:val="21"/>
        </w:rPr>
        <w:t>mg/L</w:t>
      </w:r>
      <w:r w:rsidR="002C7822">
        <w:rPr>
          <w:rFonts w:ascii="Calibri" w:hAnsi="Calibri" w:hint="eastAsia"/>
          <w:kern w:val="0"/>
          <w:szCs w:val="21"/>
        </w:rPr>
        <w:t>，</w:t>
      </w:r>
      <w:r w:rsidR="009043DC">
        <w:rPr>
          <w:rFonts w:ascii="Calibri" w:hAnsi="Calibri" w:hint="eastAsia"/>
          <w:kern w:val="0"/>
          <w:szCs w:val="21"/>
        </w:rPr>
        <w:t>且</w:t>
      </w:r>
      <w:r>
        <w:rPr>
          <w:rFonts w:ascii="Calibri" w:hAnsi="Calibri"/>
          <w:kern w:val="0"/>
          <w:szCs w:val="21"/>
        </w:rPr>
        <w:t>不涉及气浮工艺，</w:t>
      </w:r>
      <w:r>
        <w:rPr>
          <w:rFonts w:ascii="Calibri" w:hAnsi="Calibri" w:hint="eastAsia"/>
          <w:kern w:val="0"/>
          <w:szCs w:val="21"/>
        </w:rPr>
        <w:t>本项目</w:t>
      </w:r>
      <w:r>
        <w:rPr>
          <w:rFonts w:ascii="Calibri" w:hAnsi="Calibri"/>
          <w:kern w:val="0"/>
          <w:szCs w:val="21"/>
        </w:rPr>
        <w:t>采用污水处理设施涉及生</w:t>
      </w:r>
      <w:r>
        <w:rPr>
          <w:rFonts w:ascii="Calibri" w:hAnsi="Calibri" w:hint="eastAsia"/>
          <w:kern w:val="0"/>
          <w:szCs w:val="21"/>
        </w:rPr>
        <w:t>物</w:t>
      </w:r>
      <w:r>
        <w:rPr>
          <w:rFonts w:ascii="Calibri" w:hAnsi="Calibri"/>
          <w:kern w:val="0"/>
          <w:szCs w:val="21"/>
        </w:rPr>
        <w:t>处理设施，则</w:t>
      </w:r>
      <w:r>
        <w:rPr>
          <w:rFonts w:ascii="Calibri" w:hAnsi="Calibri" w:hint="eastAsia"/>
          <w:kern w:val="0"/>
          <w:szCs w:val="21"/>
        </w:rPr>
        <w:t>VOC</w:t>
      </w:r>
      <w:r w:rsidRPr="00680806">
        <w:rPr>
          <w:rFonts w:ascii="Calibri" w:hAnsi="Calibri" w:hint="eastAsia"/>
          <w:kern w:val="0"/>
          <w:szCs w:val="21"/>
          <w:vertAlign w:val="subscript"/>
        </w:rPr>
        <w:t>S</w:t>
      </w:r>
      <w:r>
        <w:rPr>
          <w:rFonts w:ascii="Calibri" w:hAnsi="Calibri" w:hint="eastAsia"/>
          <w:kern w:val="0"/>
          <w:szCs w:val="21"/>
        </w:rPr>
        <w:t>的</w:t>
      </w:r>
      <w:r>
        <w:rPr>
          <w:rFonts w:ascii="Calibri" w:hAnsi="Calibri"/>
          <w:kern w:val="0"/>
          <w:szCs w:val="21"/>
        </w:rPr>
        <w:t>产物系数为</w:t>
      </w:r>
      <w:r w:rsidR="009043DC" w:rsidRPr="009043DC">
        <w:rPr>
          <w:rFonts w:ascii="Calibri" w:hAnsi="Calibri"/>
          <w:color w:val="auto"/>
        </w:rPr>
        <w:t>0.005</w:t>
      </w:r>
      <w:r w:rsidR="009003F9">
        <w:rPr>
          <w:rFonts w:ascii="Calibri" w:hAnsi="Calibri"/>
          <w:color w:val="auto"/>
        </w:rPr>
        <w:t>kg/m</w:t>
      </w:r>
      <w:r w:rsidR="009003F9">
        <w:rPr>
          <w:rFonts w:ascii="Calibri" w:hAnsi="Calibri"/>
          <w:color w:val="auto"/>
          <w:vertAlign w:val="superscript"/>
        </w:rPr>
        <w:t>3</w:t>
      </w:r>
      <w:r w:rsidR="009003F9">
        <w:rPr>
          <w:rFonts w:ascii="Calibri" w:hAnsi="Calibri"/>
          <w:color w:val="auto"/>
        </w:rPr>
        <w:t>。由工程分析可知本项目含挥发性有机物废水产生量为</w:t>
      </w:r>
      <w:r w:rsidR="00126090" w:rsidRPr="00126090">
        <w:rPr>
          <w:rFonts w:ascii="Calibri"/>
          <w:color w:val="auto"/>
        </w:rPr>
        <w:t>14365.035</w:t>
      </w:r>
      <w:r w:rsidR="00126090">
        <w:rPr>
          <w:rFonts w:ascii="Calibri" w:hint="eastAsia"/>
          <w:color w:val="auto"/>
        </w:rPr>
        <w:t>t/a</w:t>
      </w:r>
      <w:r w:rsidR="009003F9">
        <w:rPr>
          <w:rFonts w:ascii="Calibri" w:hAnsi="Calibri"/>
          <w:color w:val="auto"/>
        </w:rPr>
        <w:t>，则挥发性有机废气产生量为</w:t>
      </w:r>
      <w:r w:rsidR="00126090">
        <w:rPr>
          <w:rFonts w:ascii="Calibri" w:hAnsi="Calibri"/>
          <w:color w:val="auto"/>
        </w:rPr>
        <w:t>0.072</w:t>
      </w:r>
      <w:r w:rsidR="009003F9">
        <w:rPr>
          <w:rFonts w:ascii="Calibri" w:hAnsi="Calibri"/>
          <w:color w:val="auto"/>
        </w:rPr>
        <w:t>t/a</w:t>
      </w:r>
      <w:r w:rsidR="009003F9">
        <w:rPr>
          <w:rFonts w:ascii="Calibri" w:hAnsi="Calibri"/>
          <w:color w:val="auto"/>
        </w:rPr>
        <w:t>。</w:t>
      </w:r>
    </w:p>
    <w:p w14:paraId="07463815" w14:textId="2834B6FE" w:rsidR="00680806" w:rsidRPr="00B10062" w:rsidRDefault="001C3373" w:rsidP="00680806">
      <w:pPr>
        <w:pStyle w:val="00"/>
        <w:rPr>
          <w:rFonts w:ascii="Calibri" w:hAnsi="Calibri"/>
          <w:b/>
          <w:color w:val="auto"/>
          <w:u w:val="single"/>
        </w:rPr>
      </w:pPr>
      <w:r w:rsidRPr="00B10062">
        <w:rPr>
          <w:rFonts w:ascii="Calibri" w:hAnsi="Calibri" w:hint="eastAsia"/>
          <w:b/>
          <w:color w:val="auto"/>
          <w:u w:val="single"/>
        </w:rPr>
        <w:t>对于废水处理站恶臭污染物氨和硫化氢，</w:t>
      </w:r>
      <w:r w:rsidR="00680806" w:rsidRPr="00B10062">
        <w:rPr>
          <w:rFonts w:ascii="Calibri" w:hAnsi="Calibri" w:hint="eastAsia"/>
          <w:b/>
          <w:color w:val="auto"/>
          <w:u w:val="single"/>
        </w:rPr>
        <w:t>类比国内同种工艺以及美国</w:t>
      </w:r>
      <w:r w:rsidR="00680806" w:rsidRPr="00B10062">
        <w:rPr>
          <w:rFonts w:ascii="Calibri" w:hAnsi="Calibri" w:hint="eastAsia"/>
          <w:b/>
          <w:color w:val="auto"/>
          <w:u w:val="single"/>
        </w:rPr>
        <w:t>EPA</w:t>
      </w:r>
      <w:r w:rsidR="00680806" w:rsidRPr="00B10062">
        <w:rPr>
          <w:rFonts w:ascii="Calibri" w:hAnsi="Calibri" w:hint="eastAsia"/>
          <w:b/>
          <w:color w:val="auto"/>
          <w:u w:val="single"/>
        </w:rPr>
        <w:t>对城市污水处理厂恶臭污染物产生情况的研究结果，每处理</w:t>
      </w:r>
      <w:r w:rsidR="00680806" w:rsidRPr="00B10062">
        <w:rPr>
          <w:rFonts w:ascii="Calibri" w:hAnsi="Calibri" w:hint="eastAsia"/>
          <w:b/>
          <w:color w:val="auto"/>
          <w:u w:val="single"/>
        </w:rPr>
        <w:t>1gBOD</w:t>
      </w:r>
      <w:r w:rsidR="00680806" w:rsidRPr="00B10062">
        <w:rPr>
          <w:rFonts w:ascii="Calibri" w:hAnsi="Calibri" w:hint="eastAsia"/>
          <w:b/>
          <w:color w:val="auto"/>
          <w:u w:val="single"/>
          <w:vertAlign w:val="subscript"/>
        </w:rPr>
        <w:t>5</w:t>
      </w:r>
      <w:r w:rsidR="00680806" w:rsidRPr="00B10062">
        <w:rPr>
          <w:rFonts w:ascii="Calibri" w:hAnsi="Calibri" w:hint="eastAsia"/>
          <w:b/>
          <w:color w:val="auto"/>
          <w:u w:val="single"/>
        </w:rPr>
        <w:t>可产生</w:t>
      </w:r>
      <w:r w:rsidR="00680806" w:rsidRPr="00B10062">
        <w:rPr>
          <w:rFonts w:ascii="Calibri" w:hAnsi="Calibri" w:hint="eastAsia"/>
          <w:b/>
          <w:color w:val="auto"/>
          <w:u w:val="single"/>
        </w:rPr>
        <w:t>0.0031gNH</w:t>
      </w:r>
      <w:r w:rsidR="00680806" w:rsidRPr="00B10062">
        <w:rPr>
          <w:rFonts w:ascii="Calibri" w:hAnsi="Calibri" w:hint="eastAsia"/>
          <w:b/>
          <w:color w:val="auto"/>
          <w:u w:val="single"/>
          <w:vertAlign w:val="subscript"/>
        </w:rPr>
        <w:t>3</w:t>
      </w:r>
      <w:r w:rsidR="00680806" w:rsidRPr="00B10062">
        <w:rPr>
          <w:rFonts w:ascii="Calibri" w:hAnsi="Calibri" w:hint="eastAsia"/>
          <w:b/>
          <w:color w:val="auto"/>
          <w:u w:val="single"/>
        </w:rPr>
        <w:t>和</w:t>
      </w:r>
      <w:r w:rsidR="00680806" w:rsidRPr="00B10062">
        <w:rPr>
          <w:rFonts w:ascii="Calibri" w:hAnsi="Calibri" w:hint="eastAsia"/>
          <w:b/>
          <w:color w:val="auto"/>
          <w:u w:val="single"/>
        </w:rPr>
        <w:t>0.00012gH</w:t>
      </w:r>
      <w:r w:rsidR="00680806" w:rsidRPr="00B10062">
        <w:rPr>
          <w:rFonts w:ascii="Calibri" w:hAnsi="Calibri" w:hint="eastAsia"/>
          <w:b/>
          <w:color w:val="auto"/>
          <w:u w:val="single"/>
          <w:vertAlign w:val="subscript"/>
        </w:rPr>
        <w:t>2</w:t>
      </w:r>
      <w:r w:rsidR="00680806" w:rsidRPr="00B10062">
        <w:rPr>
          <w:rFonts w:ascii="Calibri" w:hAnsi="Calibri" w:hint="eastAsia"/>
          <w:b/>
          <w:color w:val="auto"/>
          <w:u w:val="single"/>
        </w:rPr>
        <w:t>S</w:t>
      </w:r>
      <w:r w:rsidR="00680806" w:rsidRPr="00B10062">
        <w:rPr>
          <w:rFonts w:ascii="Calibri" w:hAnsi="Calibri" w:hint="eastAsia"/>
          <w:b/>
          <w:color w:val="auto"/>
          <w:u w:val="single"/>
        </w:rPr>
        <w:t>根据污水水质和污水站去除效率计算，营运期厂区生产污水</w:t>
      </w:r>
      <w:r w:rsidR="00680806" w:rsidRPr="00B10062">
        <w:rPr>
          <w:rFonts w:ascii="Calibri" w:hAnsi="Calibri" w:hint="eastAsia"/>
          <w:b/>
          <w:color w:val="auto"/>
          <w:u w:val="single"/>
        </w:rPr>
        <w:t>BOD</w:t>
      </w:r>
      <w:r w:rsidR="00680806" w:rsidRPr="00B10062">
        <w:rPr>
          <w:rFonts w:ascii="Calibri" w:hAnsi="Calibri" w:hint="eastAsia"/>
          <w:b/>
          <w:color w:val="auto"/>
          <w:u w:val="single"/>
          <w:vertAlign w:val="subscript"/>
        </w:rPr>
        <w:t>5</w:t>
      </w:r>
      <w:r w:rsidR="00680806" w:rsidRPr="00B10062">
        <w:rPr>
          <w:rFonts w:ascii="Calibri" w:hAnsi="Calibri" w:hint="eastAsia"/>
          <w:b/>
          <w:color w:val="auto"/>
          <w:u w:val="single"/>
        </w:rPr>
        <w:t>去除量约为</w:t>
      </w:r>
      <w:r w:rsidR="00F55DC0" w:rsidRPr="00B10062">
        <w:rPr>
          <w:rFonts w:ascii="Calibri" w:hAnsi="Calibri"/>
          <w:b/>
          <w:color w:val="auto"/>
          <w:u w:val="single"/>
        </w:rPr>
        <w:t>0.63</w:t>
      </w:r>
      <w:r w:rsidR="00680806" w:rsidRPr="00B10062">
        <w:rPr>
          <w:rFonts w:ascii="Calibri" w:hAnsi="Calibri" w:hint="eastAsia"/>
          <w:b/>
          <w:color w:val="auto"/>
          <w:u w:val="single"/>
        </w:rPr>
        <w:t>t/a</w:t>
      </w:r>
      <w:r w:rsidR="00680806" w:rsidRPr="00B10062">
        <w:rPr>
          <w:rFonts w:ascii="Calibri" w:hAnsi="Calibri" w:hint="eastAsia"/>
          <w:b/>
          <w:color w:val="auto"/>
          <w:u w:val="single"/>
        </w:rPr>
        <w:t>，确定废气产生量约为</w:t>
      </w:r>
      <w:r w:rsidR="00680806" w:rsidRPr="00B10062">
        <w:rPr>
          <w:rFonts w:ascii="Calibri" w:hAnsi="Calibri" w:hint="eastAsia"/>
          <w:b/>
          <w:color w:val="auto"/>
          <w:u w:val="single"/>
        </w:rPr>
        <w:t>NH</w:t>
      </w:r>
      <w:r w:rsidR="00680806" w:rsidRPr="00B10062">
        <w:rPr>
          <w:rFonts w:ascii="Calibri" w:hAnsi="Calibri" w:hint="eastAsia"/>
          <w:b/>
          <w:color w:val="auto"/>
          <w:u w:val="single"/>
          <w:vertAlign w:val="subscript"/>
        </w:rPr>
        <w:t>3</w:t>
      </w:r>
      <w:r w:rsidR="00680806" w:rsidRPr="00B10062">
        <w:rPr>
          <w:rFonts w:ascii="Calibri" w:hAnsi="Calibri" w:hint="eastAsia"/>
          <w:b/>
          <w:color w:val="auto"/>
          <w:u w:val="single"/>
        </w:rPr>
        <w:t>：</w:t>
      </w:r>
      <w:r w:rsidR="00F55DC0" w:rsidRPr="00B10062">
        <w:rPr>
          <w:rFonts w:ascii="Calibri" w:hAnsi="Calibri"/>
          <w:b/>
          <w:color w:val="auto"/>
          <w:u w:val="single"/>
        </w:rPr>
        <w:t>0.0</w:t>
      </w:r>
      <w:r w:rsidR="002C7822" w:rsidRPr="00B10062">
        <w:rPr>
          <w:rFonts w:ascii="Calibri" w:hAnsi="Calibri"/>
          <w:b/>
          <w:color w:val="auto"/>
          <w:u w:val="single"/>
        </w:rPr>
        <w:t>44</w:t>
      </w:r>
      <w:r w:rsidR="00680806" w:rsidRPr="00B10062">
        <w:rPr>
          <w:rFonts w:ascii="Calibri" w:hAnsi="Calibri" w:hint="eastAsia"/>
          <w:b/>
          <w:color w:val="auto"/>
          <w:u w:val="single"/>
        </w:rPr>
        <w:t>t/a</w:t>
      </w:r>
      <w:r w:rsidR="00680806" w:rsidRPr="00B10062">
        <w:rPr>
          <w:rFonts w:ascii="Calibri" w:hAnsi="Calibri" w:hint="eastAsia"/>
          <w:b/>
          <w:color w:val="auto"/>
          <w:u w:val="single"/>
        </w:rPr>
        <w:t>、</w:t>
      </w:r>
      <w:r w:rsidR="00680806" w:rsidRPr="00B10062">
        <w:rPr>
          <w:rFonts w:ascii="Calibri" w:hAnsi="Calibri" w:hint="eastAsia"/>
          <w:b/>
          <w:color w:val="auto"/>
          <w:u w:val="single"/>
        </w:rPr>
        <w:t>H</w:t>
      </w:r>
      <w:r w:rsidR="00680806" w:rsidRPr="00B10062">
        <w:rPr>
          <w:rFonts w:ascii="Calibri" w:hAnsi="Calibri" w:hint="eastAsia"/>
          <w:b/>
          <w:color w:val="auto"/>
          <w:u w:val="single"/>
          <w:vertAlign w:val="subscript"/>
        </w:rPr>
        <w:t>2</w:t>
      </w:r>
      <w:r w:rsidR="00680806" w:rsidRPr="00B10062">
        <w:rPr>
          <w:rFonts w:ascii="Calibri" w:hAnsi="Calibri" w:hint="eastAsia"/>
          <w:b/>
          <w:color w:val="auto"/>
          <w:u w:val="single"/>
        </w:rPr>
        <w:t>S</w:t>
      </w:r>
      <w:r w:rsidR="00680806" w:rsidRPr="00B10062">
        <w:rPr>
          <w:rFonts w:ascii="Calibri" w:hAnsi="Calibri" w:hint="eastAsia"/>
          <w:b/>
          <w:color w:val="auto"/>
          <w:u w:val="single"/>
        </w:rPr>
        <w:t>：</w:t>
      </w:r>
      <w:r w:rsidR="00F55DC0" w:rsidRPr="00B10062">
        <w:rPr>
          <w:rFonts w:ascii="Calibri" w:hAnsi="Calibri"/>
          <w:b/>
          <w:color w:val="auto"/>
          <w:u w:val="single"/>
        </w:rPr>
        <w:t>0.00</w:t>
      </w:r>
      <w:r w:rsidR="002C7822" w:rsidRPr="00B10062">
        <w:rPr>
          <w:rFonts w:ascii="Calibri" w:hAnsi="Calibri"/>
          <w:b/>
          <w:color w:val="auto"/>
          <w:u w:val="single"/>
        </w:rPr>
        <w:t>17</w:t>
      </w:r>
      <w:r w:rsidR="00680806" w:rsidRPr="00B10062">
        <w:rPr>
          <w:rFonts w:ascii="Calibri" w:hAnsi="Calibri" w:hint="eastAsia"/>
          <w:b/>
          <w:color w:val="auto"/>
          <w:u w:val="single"/>
        </w:rPr>
        <w:t>t/a</w:t>
      </w:r>
      <w:r w:rsidR="00680806" w:rsidRPr="00B10062">
        <w:rPr>
          <w:rFonts w:ascii="Calibri" w:hAnsi="Calibri" w:hint="eastAsia"/>
          <w:b/>
          <w:color w:val="auto"/>
          <w:u w:val="single"/>
        </w:rPr>
        <w:t>。</w:t>
      </w:r>
    </w:p>
    <w:p w14:paraId="2BE22F28" w14:textId="6228F12E" w:rsidR="00533869" w:rsidRPr="005E5F3B" w:rsidRDefault="007C5652" w:rsidP="00B10062">
      <w:pPr>
        <w:pStyle w:val="00"/>
        <w:ind w:firstLineChars="200"/>
        <w:rPr>
          <w:rFonts w:ascii="Calibri" w:hAnsi="Calibri"/>
          <w:color w:val="auto"/>
        </w:rPr>
      </w:pPr>
      <w:r w:rsidRPr="00A964FF">
        <w:rPr>
          <w:rFonts w:ascii="Calibri" w:hAnsi="Calibri" w:hint="eastAsia"/>
          <w:color w:val="auto"/>
        </w:rPr>
        <w:t>本项目拟对废水处理站进行加盖密闭，采用负压抽风将废气引至</w:t>
      </w:r>
      <w:r w:rsidR="0036203A">
        <w:rPr>
          <w:rFonts w:ascii="Calibri" w:hAnsi="Calibri" w:hint="eastAsia"/>
          <w:color w:val="auto"/>
        </w:rPr>
        <w:t>光氧催化</w:t>
      </w:r>
      <w:r w:rsidR="00472A50">
        <w:rPr>
          <w:rFonts w:ascii="Calibri" w:hAnsi="Calibri" w:hint="eastAsia"/>
          <w:color w:val="auto"/>
        </w:rPr>
        <w:t>+</w:t>
      </w:r>
      <w:r w:rsidR="00472A50">
        <w:rPr>
          <w:rFonts w:ascii="Calibri" w:hAnsi="Calibri" w:hint="eastAsia"/>
          <w:color w:val="auto"/>
        </w:rPr>
        <w:t>活性炭吸附装置</w:t>
      </w:r>
      <w:r w:rsidRPr="00A964FF">
        <w:rPr>
          <w:rFonts w:ascii="Calibri" w:hAnsi="Calibri" w:hint="eastAsia"/>
          <w:color w:val="auto"/>
        </w:rPr>
        <w:t>进行处理，</w:t>
      </w:r>
      <w:r w:rsidR="00BB218B">
        <w:rPr>
          <w:rFonts w:ascii="Calibri" w:hAnsi="Calibri" w:hint="eastAsia"/>
          <w:color w:val="auto"/>
        </w:rPr>
        <w:t>恶臭气体</w:t>
      </w:r>
      <w:r w:rsidR="00BB218B">
        <w:rPr>
          <w:rFonts w:ascii="Calibri" w:hAnsi="Calibri"/>
          <w:color w:val="auto"/>
        </w:rPr>
        <w:t>的</w:t>
      </w:r>
      <w:r w:rsidR="00BB218B">
        <w:rPr>
          <w:rFonts w:ascii="Calibri" w:hAnsi="Calibri" w:hint="eastAsia"/>
          <w:color w:val="auto"/>
        </w:rPr>
        <w:t>收集</w:t>
      </w:r>
      <w:r w:rsidR="00BB218B">
        <w:rPr>
          <w:rFonts w:ascii="Calibri" w:hAnsi="Calibri"/>
          <w:color w:val="auto"/>
        </w:rPr>
        <w:t>比例按照</w:t>
      </w:r>
      <w:r w:rsidR="00BB218B">
        <w:rPr>
          <w:rFonts w:ascii="Calibri" w:hAnsi="Calibri" w:hint="eastAsia"/>
          <w:color w:val="auto"/>
        </w:rPr>
        <w:t>9</w:t>
      </w:r>
      <w:r w:rsidR="00BB218B">
        <w:rPr>
          <w:rFonts w:ascii="Calibri" w:hAnsi="Calibri"/>
          <w:color w:val="auto"/>
        </w:rPr>
        <w:t>5%</w:t>
      </w:r>
      <w:r w:rsidR="00BB218B">
        <w:rPr>
          <w:rFonts w:ascii="Calibri" w:hAnsi="Calibri" w:hint="eastAsia"/>
          <w:color w:val="auto"/>
        </w:rPr>
        <w:t>计</w:t>
      </w:r>
      <w:r w:rsidR="00BB218B">
        <w:rPr>
          <w:rFonts w:ascii="Calibri" w:hAnsi="Calibri"/>
          <w:color w:val="auto"/>
        </w:rPr>
        <w:t>，</w:t>
      </w:r>
      <w:r w:rsidR="00BB218B">
        <w:rPr>
          <w:rFonts w:ascii="Calibri" w:hAnsi="Calibri" w:hint="eastAsia"/>
          <w:color w:val="auto"/>
        </w:rPr>
        <w:t>未</w:t>
      </w:r>
      <w:r w:rsidR="00BB218B">
        <w:rPr>
          <w:rFonts w:ascii="Calibri" w:hAnsi="Calibri"/>
          <w:color w:val="auto"/>
        </w:rPr>
        <w:t>能收集的占</w:t>
      </w:r>
      <w:r w:rsidR="00BB218B">
        <w:rPr>
          <w:rFonts w:ascii="Calibri" w:hAnsi="Calibri" w:hint="eastAsia"/>
          <w:color w:val="auto"/>
        </w:rPr>
        <w:t>5%</w:t>
      </w:r>
      <w:r w:rsidR="00BB218B">
        <w:rPr>
          <w:rFonts w:ascii="Calibri" w:hAnsi="Calibri" w:hint="eastAsia"/>
          <w:color w:val="auto"/>
        </w:rPr>
        <w:t>；</w:t>
      </w:r>
      <w:r w:rsidRPr="00A964FF">
        <w:rPr>
          <w:rFonts w:ascii="Calibri" w:hAnsi="Calibri" w:hint="eastAsia"/>
          <w:color w:val="auto"/>
        </w:rPr>
        <w:t>该装置配套风机风量为</w:t>
      </w:r>
      <w:r w:rsidR="00F655B8">
        <w:rPr>
          <w:rFonts w:ascii="Calibri" w:hAnsi="Calibri"/>
          <w:color w:val="auto"/>
        </w:rPr>
        <w:t>2</w:t>
      </w:r>
      <w:r w:rsidRPr="00A964FF">
        <w:rPr>
          <w:rFonts w:ascii="Calibri" w:hAnsi="Calibri"/>
          <w:color w:val="auto"/>
        </w:rPr>
        <w:t>000m</w:t>
      </w:r>
      <w:r w:rsidRPr="00A964FF">
        <w:rPr>
          <w:rFonts w:ascii="Calibri" w:hAnsi="Calibri"/>
          <w:color w:val="auto"/>
          <w:vertAlign w:val="superscript"/>
        </w:rPr>
        <w:t>3</w:t>
      </w:r>
      <w:r w:rsidRPr="00A964FF">
        <w:rPr>
          <w:rFonts w:ascii="Calibri" w:hAnsi="Calibri"/>
          <w:color w:val="auto"/>
        </w:rPr>
        <w:t>/h</w:t>
      </w:r>
      <w:r w:rsidRPr="00A964FF">
        <w:rPr>
          <w:rFonts w:ascii="Calibri" w:hAnsi="Calibri" w:hint="eastAsia"/>
          <w:color w:val="auto"/>
        </w:rPr>
        <w:t>，对</w:t>
      </w:r>
      <w:r w:rsidRPr="00A964FF">
        <w:rPr>
          <w:rFonts w:ascii="Calibri" w:hAnsi="Calibri"/>
          <w:color w:val="auto"/>
        </w:rPr>
        <w:t>NH</w:t>
      </w:r>
      <w:r w:rsidRPr="00A964FF">
        <w:rPr>
          <w:rFonts w:ascii="Calibri" w:hAnsi="Calibri"/>
          <w:color w:val="auto"/>
          <w:vertAlign w:val="subscript"/>
        </w:rPr>
        <w:t>3</w:t>
      </w:r>
      <w:r w:rsidRPr="00A964FF">
        <w:rPr>
          <w:rFonts w:ascii="Calibri" w:hAnsi="Calibri" w:hint="eastAsia"/>
          <w:color w:val="auto"/>
        </w:rPr>
        <w:t>、</w:t>
      </w:r>
      <w:r w:rsidRPr="00A964FF">
        <w:rPr>
          <w:rFonts w:ascii="Calibri" w:hAnsi="Calibri"/>
          <w:color w:val="auto"/>
        </w:rPr>
        <w:t>H</w:t>
      </w:r>
      <w:r w:rsidRPr="00A964FF">
        <w:rPr>
          <w:rFonts w:ascii="Calibri" w:hAnsi="Calibri"/>
          <w:color w:val="auto"/>
          <w:vertAlign w:val="subscript"/>
        </w:rPr>
        <w:t>2</w:t>
      </w:r>
      <w:r w:rsidRPr="00A964FF">
        <w:rPr>
          <w:rFonts w:ascii="Calibri" w:hAnsi="Calibri"/>
          <w:color w:val="auto"/>
        </w:rPr>
        <w:t>S</w:t>
      </w:r>
      <w:r w:rsidRPr="00A964FF">
        <w:rPr>
          <w:rFonts w:ascii="Calibri" w:hAnsi="Calibri" w:hint="eastAsia"/>
          <w:color w:val="auto"/>
        </w:rPr>
        <w:t>去除率为</w:t>
      </w:r>
      <w:r w:rsidR="00D42CE1">
        <w:rPr>
          <w:rFonts w:ascii="Calibri" w:hAnsi="Calibri" w:hint="eastAsia"/>
          <w:color w:val="auto"/>
        </w:rPr>
        <w:t>80</w:t>
      </w:r>
      <w:r w:rsidRPr="00A964FF">
        <w:rPr>
          <w:rFonts w:ascii="Calibri" w:hAnsi="Calibri"/>
          <w:color w:val="auto"/>
        </w:rPr>
        <w:t>%</w:t>
      </w:r>
      <w:r w:rsidRPr="00A964FF">
        <w:rPr>
          <w:rFonts w:ascii="Calibri" w:hAnsi="Calibri" w:hint="eastAsia"/>
          <w:color w:val="auto"/>
        </w:rPr>
        <w:t>，</w:t>
      </w:r>
      <w:r w:rsidR="00B10062" w:rsidRPr="00A964FF">
        <w:rPr>
          <w:rFonts w:ascii="Calibri" w:hAnsi="Calibri" w:hint="eastAsia"/>
          <w:color w:val="auto"/>
        </w:rPr>
        <w:t>、</w:t>
      </w:r>
      <w:r w:rsidR="00B10062">
        <w:rPr>
          <w:rFonts w:ascii="Calibri" w:hAnsi="Calibri" w:hint="eastAsia"/>
          <w:bCs/>
          <w:color w:val="auto"/>
        </w:rPr>
        <w:t>非甲烷</w:t>
      </w:r>
      <w:r w:rsidR="00B10062">
        <w:rPr>
          <w:rFonts w:ascii="Calibri" w:hAnsi="Calibri"/>
          <w:bCs/>
          <w:color w:val="auto"/>
        </w:rPr>
        <w:t>总烃</w:t>
      </w:r>
      <w:r w:rsidR="00B10062" w:rsidRPr="00A964FF">
        <w:rPr>
          <w:rFonts w:ascii="Calibri" w:hAnsi="Calibri" w:hint="eastAsia"/>
          <w:color w:val="auto"/>
        </w:rPr>
        <w:t>的</w:t>
      </w:r>
      <w:r w:rsidR="00B10062">
        <w:rPr>
          <w:rFonts w:ascii="Calibri" w:hAnsi="Calibri" w:hint="eastAsia"/>
          <w:color w:val="auto"/>
        </w:rPr>
        <w:t>去除</w:t>
      </w:r>
      <w:r w:rsidR="00B10062">
        <w:rPr>
          <w:rFonts w:ascii="Calibri" w:hAnsi="Calibri"/>
          <w:color w:val="auto"/>
        </w:rPr>
        <w:t>效率</w:t>
      </w:r>
      <w:r w:rsidR="00B10062">
        <w:rPr>
          <w:rFonts w:ascii="Calibri" w:hAnsi="Calibri" w:hint="eastAsia"/>
          <w:color w:val="auto"/>
        </w:rPr>
        <w:t>为</w:t>
      </w:r>
      <w:r w:rsidR="00D42CE1">
        <w:rPr>
          <w:rFonts w:ascii="Calibri" w:hAnsi="Calibri"/>
          <w:color w:val="auto"/>
        </w:rPr>
        <w:t>85</w:t>
      </w:r>
      <w:r w:rsidR="00B10062">
        <w:rPr>
          <w:rFonts w:ascii="Calibri" w:hAnsi="Calibri" w:hint="eastAsia"/>
          <w:color w:val="auto"/>
        </w:rPr>
        <w:t>%</w:t>
      </w:r>
      <w:r w:rsidR="00B10062">
        <w:rPr>
          <w:rFonts w:ascii="Calibri" w:hAnsi="Calibri" w:hint="eastAsia"/>
          <w:color w:val="auto"/>
        </w:rPr>
        <w:t>，</w:t>
      </w:r>
      <w:r w:rsidRPr="00A964FF">
        <w:rPr>
          <w:rFonts w:ascii="Calibri" w:hAnsi="Calibri" w:hint="eastAsia"/>
          <w:color w:val="auto"/>
        </w:rPr>
        <w:t>排气筒高度为</w:t>
      </w:r>
      <w:r w:rsidRPr="00A964FF">
        <w:rPr>
          <w:rFonts w:ascii="Calibri" w:hAnsi="Calibri" w:hint="eastAsia"/>
          <w:color w:val="auto"/>
        </w:rPr>
        <w:t>15m</w:t>
      </w:r>
      <w:r w:rsidRPr="00A964FF">
        <w:rPr>
          <w:rFonts w:ascii="Calibri" w:hAnsi="Calibri" w:hint="eastAsia"/>
          <w:color w:val="auto"/>
        </w:rPr>
        <w:t>。废水处理站废气污染物产排情况见表</w:t>
      </w:r>
      <w:r w:rsidRPr="00A964FF">
        <w:rPr>
          <w:rFonts w:ascii="Calibri" w:hAnsi="Calibri"/>
          <w:color w:val="auto"/>
        </w:rPr>
        <w:t>2</w:t>
      </w:r>
      <w:r w:rsidR="009F11D4" w:rsidRPr="00A964FF">
        <w:rPr>
          <w:rFonts w:ascii="Calibri" w:hAnsi="Calibri" w:hint="eastAsia"/>
          <w:color w:val="auto"/>
        </w:rPr>
        <w:t>.3</w:t>
      </w:r>
      <w:r w:rsidRPr="00A964FF">
        <w:rPr>
          <w:rFonts w:ascii="Calibri" w:hAnsi="Calibri"/>
          <w:color w:val="auto"/>
        </w:rPr>
        <w:t>-</w:t>
      </w:r>
      <w:r w:rsidR="005E5F3B">
        <w:rPr>
          <w:rFonts w:ascii="Calibri" w:hAnsi="Calibri"/>
          <w:color w:val="auto"/>
        </w:rPr>
        <w:t>5</w:t>
      </w:r>
      <w:r w:rsidRPr="00A964FF">
        <w:rPr>
          <w:rFonts w:ascii="Calibri" w:hAnsi="Calibri" w:hint="eastAsia"/>
          <w:color w:val="auto"/>
        </w:rPr>
        <w:t>。</w:t>
      </w:r>
    </w:p>
    <w:p w14:paraId="1F37EDD8" w14:textId="77777777" w:rsidR="00A92936" w:rsidRDefault="00A92936" w:rsidP="007C5652">
      <w:pPr>
        <w:spacing w:line="520" w:lineRule="exact"/>
        <w:ind w:firstLineChars="200" w:firstLine="480"/>
        <w:rPr>
          <w:rFonts w:ascii="Calibri" w:eastAsia="黑体" w:hAnsi="黑体"/>
          <w:bCs/>
          <w:color w:val="auto"/>
          <w:sz w:val="24"/>
        </w:rPr>
      </w:pPr>
    </w:p>
    <w:p w14:paraId="3FAC48EB" w14:textId="77777777" w:rsidR="00A92936" w:rsidRDefault="00A92936" w:rsidP="007C5652">
      <w:pPr>
        <w:spacing w:line="520" w:lineRule="exact"/>
        <w:ind w:firstLineChars="200" w:firstLine="480"/>
        <w:rPr>
          <w:rFonts w:ascii="Calibri" w:eastAsia="黑体" w:hAnsi="黑体"/>
          <w:bCs/>
          <w:color w:val="auto"/>
          <w:sz w:val="24"/>
        </w:rPr>
      </w:pPr>
    </w:p>
    <w:p w14:paraId="4F7623DB" w14:textId="77777777" w:rsidR="00A92936" w:rsidRDefault="00A92936" w:rsidP="007C5652">
      <w:pPr>
        <w:spacing w:line="520" w:lineRule="exact"/>
        <w:ind w:firstLineChars="200" w:firstLine="480"/>
        <w:rPr>
          <w:rFonts w:ascii="Calibri" w:eastAsia="黑体" w:hAnsi="黑体"/>
          <w:bCs/>
          <w:color w:val="auto"/>
          <w:sz w:val="24"/>
        </w:rPr>
      </w:pPr>
    </w:p>
    <w:p w14:paraId="024A6327" w14:textId="77777777" w:rsidR="007C5652" w:rsidRDefault="007C5652" w:rsidP="00F4357F">
      <w:pPr>
        <w:spacing w:line="520" w:lineRule="exact"/>
        <w:ind w:firstLineChars="400" w:firstLine="960"/>
        <w:rPr>
          <w:rFonts w:ascii="Calibri" w:eastAsia="黑体" w:hAnsi="黑体"/>
          <w:bCs/>
          <w:color w:val="auto"/>
          <w:sz w:val="24"/>
        </w:rPr>
      </w:pPr>
      <w:r w:rsidRPr="00A964FF">
        <w:rPr>
          <w:rFonts w:ascii="Calibri" w:eastAsia="黑体" w:hAnsi="黑体" w:hint="eastAsia"/>
          <w:bCs/>
          <w:color w:val="auto"/>
          <w:sz w:val="24"/>
        </w:rPr>
        <w:lastRenderedPageBreak/>
        <w:t>表</w:t>
      </w:r>
      <w:r w:rsidRPr="00A964FF">
        <w:rPr>
          <w:rFonts w:ascii="Calibri" w:eastAsia="黑体" w:hAnsi="黑体"/>
          <w:bCs/>
          <w:color w:val="auto"/>
          <w:sz w:val="24"/>
        </w:rPr>
        <w:t>2</w:t>
      </w:r>
      <w:r w:rsidR="009F11D4" w:rsidRPr="00A964FF">
        <w:rPr>
          <w:rFonts w:ascii="Calibri" w:eastAsia="黑体" w:hAnsi="黑体" w:hint="eastAsia"/>
          <w:bCs/>
          <w:color w:val="auto"/>
          <w:sz w:val="24"/>
        </w:rPr>
        <w:t>.3</w:t>
      </w:r>
      <w:r w:rsidRPr="00A964FF">
        <w:rPr>
          <w:rFonts w:ascii="Calibri" w:eastAsia="黑体" w:hAnsi="黑体"/>
          <w:bCs/>
          <w:color w:val="auto"/>
          <w:sz w:val="24"/>
        </w:rPr>
        <w:t>-</w:t>
      </w:r>
      <w:r w:rsidR="005E5F3B">
        <w:rPr>
          <w:rFonts w:ascii="Calibri" w:eastAsia="黑体" w:hAnsi="黑体"/>
          <w:bCs/>
          <w:color w:val="auto"/>
          <w:sz w:val="24"/>
        </w:rPr>
        <w:t>5</w:t>
      </w:r>
      <w:r w:rsidRPr="00A964FF">
        <w:rPr>
          <w:rFonts w:ascii="Calibri" w:eastAsia="黑体" w:hAnsi="黑体"/>
          <w:bCs/>
          <w:color w:val="auto"/>
          <w:sz w:val="24"/>
        </w:rPr>
        <w:t xml:space="preserve">          </w:t>
      </w:r>
      <w:r w:rsidRPr="00A964FF">
        <w:rPr>
          <w:rFonts w:ascii="Calibri" w:eastAsia="黑体" w:hAnsi="黑体" w:hint="eastAsia"/>
          <w:bCs/>
          <w:color w:val="auto"/>
          <w:sz w:val="24"/>
        </w:rPr>
        <w:t xml:space="preserve"> </w:t>
      </w:r>
      <w:r w:rsidRPr="00A964FF">
        <w:rPr>
          <w:rFonts w:ascii="Calibri" w:eastAsia="黑体" w:hAnsi="黑体"/>
          <w:bCs/>
          <w:color w:val="auto"/>
          <w:sz w:val="24"/>
        </w:rPr>
        <w:t xml:space="preserve"> </w:t>
      </w:r>
      <w:r w:rsidRPr="00A964FF">
        <w:rPr>
          <w:rFonts w:ascii="Calibri" w:eastAsia="黑体" w:hAnsi="黑体" w:hint="eastAsia"/>
          <w:bCs/>
          <w:color w:val="auto"/>
          <w:sz w:val="24"/>
        </w:rPr>
        <w:t>废水处理站废气污染物产排情况</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000" w:firstRow="0" w:lastRow="0" w:firstColumn="0" w:lastColumn="0" w:noHBand="0" w:noVBand="0"/>
      </w:tblPr>
      <w:tblGrid>
        <w:gridCol w:w="690"/>
        <w:gridCol w:w="967"/>
        <w:gridCol w:w="1048"/>
        <w:gridCol w:w="997"/>
        <w:gridCol w:w="1573"/>
        <w:gridCol w:w="1248"/>
        <w:gridCol w:w="1093"/>
        <w:gridCol w:w="1084"/>
      </w:tblGrid>
      <w:tr w:rsidR="005E5F3B" w:rsidRPr="00B10062" w14:paraId="6A9E8D92" w14:textId="77777777" w:rsidTr="00D42CE1">
        <w:trPr>
          <w:cantSplit/>
          <w:trHeight w:val="340"/>
          <w:jc w:val="center"/>
        </w:trPr>
        <w:tc>
          <w:tcPr>
            <w:tcW w:w="397" w:type="pct"/>
            <w:vMerge w:val="restart"/>
            <w:vAlign w:val="center"/>
          </w:tcPr>
          <w:p w14:paraId="7ACA736E" w14:textId="77777777" w:rsidR="005E5F3B" w:rsidRPr="00B10062" w:rsidRDefault="005E5F3B" w:rsidP="00BB0668">
            <w:pPr>
              <w:jc w:val="center"/>
              <w:rPr>
                <w:rFonts w:ascii="Calibri"/>
                <w:b/>
                <w:szCs w:val="21"/>
              </w:rPr>
            </w:pPr>
            <w:r w:rsidRPr="00B10062">
              <w:rPr>
                <w:rFonts w:ascii="Calibri"/>
                <w:b/>
                <w:szCs w:val="21"/>
              </w:rPr>
              <w:t>排放</w:t>
            </w:r>
          </w:p>
          <w:p w14:paraId="43BB3FDE" w14:textId="77777777" w:rsidR="005E5F3B" w:rsidRPr="00B10062" w:rsidRDefault="005E5F3B" w:rsidP="00BB0668">
            <w:pPr>
              <w:jc w:val="center"/>
              <w:rPr>
                <w:rFonts w:ascii="Calibri" w:hAnsi="Calibri"/>
                <w:b/>
                <w:szCs w:val="21"/>
              </w:rPr>
            </w:pPr>
            <w:r w:rsidRPr="00B10062">
              <w:rPr>
                <w:rFonts w:ascii="Calibri"/>
                <w:b/>
                <w:szCs w:val="21"/>
              </w:rPr>
              <w:t>方式</w:t>
            </w:r>
          </w:p>
        </w:tc>
        <w:tc>
          <w:tcPr>
            <w:tcW w:w="556" w:type="pct"/>
            <w:vMerge w:val="restart"/>
            <w:vAlign w:val="center"/>
          </w:tcPr>
          <w:p w14:paraId="018E10A1" w14:textId="77777777" w:rsidR="005E5F3B" w:rsidRPr="00B10062" w:rsidRDefault="005E5F3B" w:rsidP="00BB0668">
            <w:pPr>
              <w:jc w:val="center"/>
              <w:rPr>
                <w:rFonts w:ascii="Calibri" w:hAnsi="Calibri"/>
                <w:b/>
                <w:szCs w:val="21"/>
              </w:rPr>
            </w:pPr>
            <w:r w:rsidRPr="00B10062">
              <w:rPr>
                <w:rFonts w:ascii="Calibri"/>
                <w:b/>
                <w:szCs w:val="21"/>
              </w:rPr>
              <w:t>污染物</w:t>
            </w:r>
          </w:p>
        </w:tc>
        <w:tc>
          <w:tcPr>
            <w:tcW w:w="1175" w:type="pct"/>
            <w:gridSpan w:val="2"/>
            <w:vAlign w:val="center"/>
          </w:tcPr>
          <w:p w14:paraId="42208FF5" w14:textId="77777777" w:rsidR="005E5F3B" w:rsidRPr="00B10062" w:rsidRDefault="005E5F3B" w:rsidP="00BB0668">
            <w:pPr>
              <w:jc w:val="center"/>
              <w:rPr>
                <w:rFonts w:ascii="Calibri" w:hAnsi="Calibri"/>
                <w:b/>
                <w:szCs w:val="21"/>
              </w:rPr>
            </w:pPr>
            <w:r w:rsidRPr="00B10062">
              <w:rPr>
                <w:rFonts w:ascii="Calibri"/>
                <w:b/>
                <w:szCs w:val="21"/>
              </w:rPr>
              <w:t>产生情况</w:t>
            </w:r>
          </w:p>
        </w:tc>
        <w:tc>
          <w:tcPr>
            <w:tcW w:w="904" w:type="pct"/>
            <w:vMerge w:val="restart"/>
            <w:vAlign w:val="center"/>
          </w:tcPr>
          <w:p w14:paraId="763F8EEE" w14:textId="77777777" w:rsidR="005E5F3B" w:rsidRPr="00B10062" w:rsidRDefault="005E5F3B" w:rsidP="00BB0668">
            <w:pPr>
              <w:jc w:val="center"/>
              <w:rPr>
                <w:rFonts w:ascii="Calibri"/>
                <w:b/>
                <w:szCs w:val="21"/>
              </w:rPr>
            </w:pPr>
            <w:r w:rsidRPr="00B10062">
              <w:rPr>
                <w:rFonts w:ascii="Calibri" w:hint="eastAsia"/>
                <w:b/>
                <w:color w:val="auto"/>
                <w:szCs w:val="21"/>
              </w:rPr>
              <w:t>治理措施</w:t>
            </w:r>
          </w:p>
        </w:tc>
        <w:tc>
          <w:tcPr>
            <w:tcW w:w="1968" w:type="pct"/>
            <w:gridSpan w:val="3"/>
            <w:vAlign w:val="center"/>
          </w:tcPr>
          <w:p w14:paraId="7F5B3F76" w14:textId="77777777" w:rsidR="005E5F3B" w:rsidRPr="00B10062" w:rsidRDefault="005E5F3B" w:rsidP="00BB0668">
            <w:pPr>
              <w:jc w:val="center"/>
              <w:rPr>
                <w:rFonts w:ascii="Calibri" w:hAnsi="Calibri"/>
                <w:b/>
                <w:szCs w:val="21"/>
              </w:rPr>
            </w:pPr>
            <w:r w:rsidRPr="00B10062">
              <w:rPr>
                <w:rFonts w:ascii="Calibri"/>
                <w:b/>
                <w:szCs w:val="21"/>
              </w:rPr>
              <w:t>排放情况</w:t>
            </w:r>
          </w:p>
        </w:tc>
      </w:tr>
      <w:tr w:rsidR="005E5F3B" w:rsidRPr="00B10062" w14:paraId="3750E716" w14:textId="77777777" w:rsidTr="00D42CE1">
        <w:trPr>
          <w:cantSplit/>
          <w:trHeight w:val="340"/>
          <w:jc w:val="center"/>
        </w:trPr>
        <w:tc>
          <w:tcPr>
            <w:tcW w:w="397" w:type="pct"/>
            <w:vMerge/>
            <w:vAlign w:val="center"/>
          </w:tcPr>
          <w:p w14:paraId="5FAA160B" w14:textId="77777777" w:rsidR="005E5F3B" w:rsidRPr="00B10062" w:rsidRDefault="005E5F3B" w:rsidP="00BB0668">
            <w:pPr>
              <w:jc w:val="center"/>
              <w:rPr>
                <w:rFonts w:ascii="Calibri" w:hAnsi="Calibri"/>
                <w:b/>
                <w:szCs w:val="21"/>
              </w:rPr>
            </w:pPr>
          </w:p>
        </w:tc>
        <w:tc>
          <w:tcPr>
            <w:tcW w:w="556" w:type="pct"/>
            <w:vMerge/>
            <w:vAlign w:val="center"/>
          </w:tcPr>
          <w:p w14:paraId="1B1C9571" w14:textId="77777777" w:rsidR="005E5F3B" w:rsidRPr="00B10062" w:rsidRDefault="005E5F3B" w:rsidP="00BB0668">
            <w:pPr>
              <w:jc w:val="center"/>
              <w:rPr>
                <w:rFonts w:ascii="Calibri" w:hAnsi="Calibri"/>
                <w:b/>
                <w:szCs w:val="21"/>
              </w:rPr>
            </w:pPr>
          </w:p>
        </w:tc>
        <w:tc>
          <w:tcPr>
            <w:tcW w:w="602" w:type="pct"/>
            <w:vAlign w:val="center"/>
          </w:tcPr>
          <w:p w14:paraId="329DC3AD" w14:textId="77777777" w:rsidR="005E5F3B" w:rsidRPr="00B10062" w:rsidRDefault="005E5F3B" w:rsidP="00BB0668">
            <w:pPr>
              <w:jc w:val="center"/>
              <w:rPr>
                <w:rFonts w:ascii="Calibri" w:hAnsi="Calibri"/>
                <w:b/>
                <w:szCs w:val="21"/>
              </w:rPr>
            </w:pPr>
            <w:r w:rsidRPr="00B10062">
              <w:rPr>
                <w:rFonts w:ascii="Calibri"/>
                <w:b/>
                <w:szCs w:val="21"/>
              </w:rPr>
              <w:t>产生速率</w:t>
            </w:r>
          </w:p>
          <w:p w14:paraId="6968A374" w14:textId="77777777" w:rsidR="005E5F3B" w:rsidRPr="00B10062" w:rsidRDefault="005E5F3B" w:rsidP="00BB0668">
            <w:pPr>
              <w:jc w:val="center"/>
              <w:rPr>
                <w:rFonts w:ascii="Calibri" w:hAnsi="Calibri"/>
                <w:b/>
                <w:szCs w:val="21"/>
              </w:rPr>
            </w:pPr>
            <w:r w:rsidRPr="00B10062">
              <w:rPr>
                <w:rFonts w:ascii="Calibri"/>
                <w:b/>
                <w:szCs w:val="21"/>
              </w:rPr>
              <w:t>（</w:t>
            </w:r>
            <w:r w:rsidRPr="00B10062">
              <w:rPr>
                <w:rFonts w:ascii="Calibri" w:hAnsi="Calibri"/>
                <w:b/>
                <w:szCs w:val="21"/>
              </w:rPr>
              <w:t>kg/h</w:t>
            </w:r>
            <w:r w:rsidRPr="00B10062">
              <w:rPr>
                <w:rFonts w:ascii="Calibri"/>
                <w:b/>
                <w:szCs w:val="21"/>
              </w:rPr>
              <w:t>）</w:t>
            </w:r>
          </w:p>
        </w:tc>
        <w:tc>
          <w:tcPr>
            <w:tcW w:w="573" w:type="pct"/>
            <w:vAlign w:val="center"/>
          </w:tcPr>
          <w:p w14:paraId="6E5390A6" w14:textId="77777777" w:rsidR="005E5F3B" w:rsidRPr="00B10062" w:rsidRDefault="005E5F3B" w:rsidP="00BB0668">
            <w:pPr>
              <w:jc w:val="center"/>
              <w:rPr>
                <w:rFonts w:ascii="Calibri" w:hAnsi="Calibri"/>
                <w:b/>
                <w:szCs w:val="21"/>
              </w:rPr>
            </w:pPr>
            <w:r w:rsidRPr="00B10062">
              <w:rPr>
                <w:rFonts w:ascii="Calibri"/>
                <w:b/>
                <w:szCs w:val="21"/>
              </w:rPr>
              <w:t>产生量</w:t>
            </w:r>
          </w:p>
          <w:p w14:paraId="16E125A5" w14:textId="77777777" w:rsidR="005E5F3B" w:rsidRPr="00B10062" w:rsidRDefault="005E5F3B" w:rsidP="00BB0668">
            <w:pPr>
              <w:jc w:val="center"/>
              <w:rPr>
                <w:rFonts w:ascii="Calibri" w:hAnsi="Calibri"/>
                <w:b/>
                <w:szCs w:val="21"/>
              </w:rPr>
            </w:pPr>
            <w:r w:rsidRPr="00B10062">
              <w:rPr>
                <w:rFonts w:ascii="Calibri"/>
                <w:b/>
                <w:szCs w:val="21"/>
              </w:rPr>
              <w:t>（</w:t>
            </w:r>
            <w:r w:rsidRPr="00B10062">
              <w:rPr>
                <w:rFonts w:ascii="Calibri" w:hAnsi="Calibri"/>
                <w:b/>
                <w:szCs w:val="21"/>
              </w:rPr>
              <w:t>t/a</w:t>
            </w:r>
            <w:r w:rsidRPr="00B10062">
              <w:rPr>
                <w:rFonts w:ascii="Calibri"/>
                <w:b/>
                <w:szCs w:val="21"/>
              </w:rPr>
              <w:t>）</w:t>
            </w:r>
          </w:p>
        </w:tc>
        <w:tc>
          <w:tcPr>
            <w:tcW w:w="904" w:type="pct"/>
            <w:vMerge/>
            <w:vAlign w:val="center"/>
          </w:tcPr>
          <w:p w14:paraId="566DEFCD" w14:textId="77777777" w:rsidR="005E5F3B" w:rsidRPr="00B10062" w:rsidRDefault="005E5F3B" w:rsidP="00BB0668">
            <w:pPr>
              <w:jc w:val="center"/>
              <w:rPr>
                <w:rFonts w:ascii="Calibri"/>
                <w:b/>
                <w:szCs w:val="21"/>
              </w:rPr>
            </w:pPr>
          </w:p>
        </w:tc>
        <w:tc>
          <w:tcPr>
            <w:tcW w:w="717" w:type="pct"/>
            <w:vAlign w:val="center"/>
          </w:tcPr>
          <w:p w14:paraId="5295628A" w14:textId="77777777" w:rsidR="005E5F3B" w:rsidRPr="00B10062" w:rsidRDefault="005E5F3B" w:rsidP="005E5F3B">
            <w:pPr>
              <w:jc w:val="center"/>
              <w:rPr>
                <w:rFonts w:ascii="Calibri" w:hAnsi="Calibri"/>
                <w:b/>
                <w:color w:val="auto"/>
                <w:szCs w:val="21"/>
              </w:rPr>
            </w:pPr>
            <w:r w:rsidRPr="00B10062">
              <w:rPr>
                <w:rFonts w:ascii="Calibri" w:hAnsi="Calibri" w:hint="eastAsia"/>
                <w:b/>
                <w:color w:val="auto"/>
                <w:szCs w:val="21"/>
              </w:rPr>
              <w:t>排放浓度</w:t>
            </w:r>
          </w:p>
          <w:p w14:paraId="47F22485" w14:textId="77777777" w:rsidR="005E5F3B" w:rsidRPr="00B10062" w:rsidRDefault="005E5F3B" w:rsidP="005E5F3B">
            <w:pPr>
              <w:jc w:val="center"/>
              <w:rPr>
                <w:rFonts w:ascii="Calibri"/>
                <w:b/>
                <w:szCs w:val="21"/>
              </w:rPr>
            </w:pPr>
            <w:r w:rsidRPr="00B10062">
              <w:rPr>
                <w:rFonts w:ascii="Calibri" w:hAnsi="Calibri" w:hint="eastAsia"/>
                <w:b/>
                <w:color w:val="auto"/>
                <w:szCs w:val="21"/>
              </w:rPr>
              <w:t>（</w:t>
            </w:r>
            <w:r w:rsidRPr="00B10062">
              <w:rPr>
                <w:rFonts w:ascii="Calibri" w:hAnsi="Calibri" w:hint="eastAsia"/>
                <w:b/>
                <w:color w:val="auto"/>
                <w:szCs w:val="21"/>
              </w:rPr>
              <w:t>mg/m</w:t>
            </w:r>
            <w:r w:rsidRPr="00B10062">
              <w:rPr>
                <w:rFonts w:ascii="Calibri" w:hAnsi="Calibri" w:hint="eastAsia"/>
                <w:b/>
                <w:color w:val="auto"/>
                <w:szCs w:val="21"/>
                <w:vertAlign w:val="superscript"/>
              </w:rPr>
              <w:t>3</w:t>
            </w:r>
            <w:r w:rsidRPr="00B10062">
              <w:rPr>
                <w:rFonts w:ascii="Calibri" w:hAnsi="Calibri" w:hint="eastAsia"/>
                <w:b/>
                <w:color w:val="auto"/>
                <w:szCs w:val="21"/>
              </w:rPr>
              <w:t>）</w:t>
            </w:r>
          </w:p>
        </w:tc>
        <w:tc>
          <w:tcPr>
            <w:tcW w:w="628" w:type="pct"/>
            <w:vAlign w:val="center"/>
          </w:tcPr>
          <w:p w14:paraId="2F6FDABC" w14:textId="77777777" w:rsidR="005E5F3B" w:rsidRPr="00B10062" w:rsidRDefault="005E5F3B" w:rsidP="00BB0668">
            <w:pPr>
              <w:jc w:val="center"/>
              <w:rPr>
                <w:rFonts w:ascii="Calibri" w:hAnsi="Calibri"/>
                <w:b/>
                <w:szCs w:val="21"/>
              </w:rPr>
            </w:pPr>
            <w:r w:rsidRPr="00B10062">
              <w:rPr>
                <w:rFonts w:ascii="Calibri"/>
                <w:b/>
                <w:szCs w:val="21"/>
              </w:rPr>
              <w:t>排放速率</w:t>
            </w:r>
          </w:p>
          <w:p w14:paraId="71271EA8" w14:textId="77777777" w:rsidR="005E5F3B" w:rsidRPr="00B10062" w:rsidRDefault="005E5F3B" w:rsidP="00BB0668">
            <w:pPr>
              <w:jc w:val="center"/>
              <w:rPr>
                <w:rFonts w:ascii="Calibri" w:hAnsi="Calibri"/>
                <w:b/>
                <w:szCs w:val="21"/>
              </w:rPr>
            </w:pPr>
            <w:r w:rsidRPr="00B10062">
              <w:rPr>
                <w:rFonts w:ascii="Calibri"/>
                <w:b/>
                <w:szCs w:val="21"/>
              </w:rPr>
              <w:t>（</w:t>
            </w:r>
            <w:r w:rsidRPr="00B10062">
              <w:rPr>
                <w:rFonts w:ascii="Calibri" w:hAnsi="Calibri"/>
                <w:b/>
                <w:szCs w:val="21"/>
              </w:rPr>
              <w:t>kg/h</w:t>
            </w:r>
            <w:r w:rsidRPr="00B10062">
              <w:rPr>
                <w:rFonts w:ascii="Calibri"/>
                <w:b/>
                <w:szCs w:val="21"/>
              </w:rPr>
              <w:t>）</w:t>
            </w:r>
          </w:p>
        </w:tc>
        <w:tc>
          <w:tcPr>
            <w:tcW w:w="624" w:type="pct"/>
            <w:vAlign w:val="center"/>
          </w:tcPr>
          <w:p w14:paraId="04D0145D" w14:textId="77777777" w:rsidR="005E5F3B" w:rsidRPr="00B10062" w:rsidRDefault="005E5F3B" w:rsidP="00BB0668">
            <w:pPr>
              <w:jc w:val="center"/>
              <w:rPr>
                <w:rFonts w:ascii="Calibri" w:hAnsi="Calibri"/>
                <w:b/>
                <w:szCs w:val="21"/>
              </w:rPr>
            </w:pPr>
            <w:r w:rsidRPr="00B10062">
              <w:rPr>
                <w:rFonts w:ascii="Calibri"/>
                <w:b/>
                <w:szCs w:val="21"/>
              </w:rPr>
              <w:t>排放量</w:t>
            </w:r>
          </w:p>
          <w:p w14:paraId="3DA9D4AE" w14:textId="77777777" w:rsidR="005E5F3B" w:rsidRPr="00B10062" w:rsidRDefault="005E5F3B" w:rsidP="00BB0668">
            <w:pPr>
              <w:jc w:val="center"/>
              <w:rPr>
                <w:rFonts w:ascii="Calibri" w:hAnsi="Calibri"/>
                <w:b/>
                <w:szCs w:val="21"/>
              </w:rPr>
            </w:pPr>
            <w:r w:rsidRPr="00B10062">
              <w:rPr>
                <w:rFonts w:ascii="Calibri"/>
                <w:b/>
                <w:szCs w:val="21"/>
              </w:rPr>
              <w:t>（</w:t>
            </w:r>
            <w:r w:rsidRPr="00B10062">
              <w:rPr>
                <w:rFonts w:ascii="Calibri" w:hAnsi="Calibri"/>
                <w:b/>
                <w:szCs w:val="21"/>
              </w:rPr>
              <w:t>t/a</w:t>
            </w:r>
            <w:r w:rsidRPr="00B10062">
              <w:rPr>
                <w:rFonts w:ascii="Calibri"/>
                <w:b/>
                <w:szCs w:val="21"/>
              </w:rPr>
              <w:t>）</w:t>
            </w:r>
          </w:p>
        </w:tc>
      </w:tr>
      <w:tr w:rsidR="005E5F3B" w:rsidRPr="00B10062" w14:paraId="5CF98C1D" w14:textId="77777777" w:rsidTr="00D42CE1">
        <w:trPr>
          <w:cantSplit/>
          <w:trHeight w:val="340"/>
          <w:jc w:val="center"/>
        </w:trPr>
        <w:tc>
          <w:tcPr>
            <w:tcW w:w="397" w:type="pct"/>
            <w:vMerge w:val="restart"/>
            <w:vAlign w:val="center"/>
          </w:tcPr>
          <w:p w14:paraId="35BE0299" w14:textId="77777777" w:rsidR="005E5F3B" w:rsidRPr="00126090" w:rsidRDefault="005E5F3B" w:rsidP="00BB0668">
            <w:pPr>
              <w:jc w:val="center"/>
              <w:rPr>
                <w:rFonts w:ascii="Calibri"/>
                <w:b/>
                <w:szCs w:val="21"/>
                <w:u w:val="single"/>
              </w:rPr>
            </w:pPr>
            <w:r w:rsidRPr="00126090">
              <w:rPr>
                <w:rFonts w:ascii="Calibri"/>
                <w:b/>
                <w:szCs w:val="21"/>
                <w:u w:val="single"/>
              </w:rPr>
              <w:t>有组织</w:t>
            </w:r>
          </w:p>
          <w:p w14:paraId="5576659F" w14:textId="77777777" w:rsidR="005E5F3B" w:rsidRPr="00126090" w:rsidRDefault="005E5F3B" w:rsidP="00BB0668">
            <w:pPr>
              <w:jc w:val="center"/>
              <w:rPr>
                <w:rFonts w:ascii="Calibri" w:hAnsi="Calibri"/>
                <w:b/>
                <w:szCs w:val="21"/>
                <w:u w:val="single"/>
              </w:rPr>
            </w:pPr>
            <w:r w:rsidRPr="00126090">
              <w:rPr>
                <w:rFonts w:ascii="Calibri"/>
                <w:b/>
                <w:szCs w:val="21"/>
                <w:u w:val="single"/>
              </w:rPr>
              <w:t>排放</w:t>
            </w:r>
          </w:p>
        </w:tc>
        <w:tc>
          <w:tcPr>
            <w:tcW w:w="556" w:type="pct"/>
            <w:vAlign w:val="center"/>
          </w:tcPr>
          <w:p w14:paraId="3A256DE3" w14:textId="77777777" w:rsidR="005E5F3B" w:rsidRPr="00126090" w:rsidRDefault="005E5F3B" w:rsidP="00BB0668">
            <w:pPr>
              <w:jc w:val="center"/>
              <w:rPr>
                <w:rFonts w:ascii="Calibri" w:hAnsi="Calibri"/>
                <w:b/>
                <w:szCs w:val="21"/>
                <w:u w:val="single"/>
              </w:rPr>
            </w:pPr>
            <w:r w:rsidRPr="00126090">
              <w:rPr>
                <w:rFonts w:ascii="Calibri" w:hAnsi="Calibri"/>
                <w:b/>
                <w:szCs w:val="21"/>
                <w:u w:val="single"/>
              </w:rPr>
              <w:t>NH</w:t>
            </w:r>
            <w:r w:rsidRPr="00126090">
              <w:rPr>
                <w:rFonts w:ascii="Calibri" w:hAnsi="Calibri"/>
                <w:b/>
                <w:szCs w:val="21"/>
                <w:u w:val="single"/>
                <w:vertAlign w:val="subscript"/>
              </w:rPr>
              <w:t>3</w:t>
            </w:r>
          </w:p>
        </w:tc>
        <w:tc>
          <w:tcPr>
            <w:tcW w:w="602" w:type="pct"/>
            <w:vAlign w:val="center"/>
          </w:tcPr>
          <w:p w14:paraId="48F5713C" w14:textId="6CC7EA30" w:rsidR="005E5F3B" w:rsidRPr="00126090" w:rsidRDefault="005E5F3B" w:rsidP="00B10062">
            <w:pPr>
              <w:jc w:val="center"/>
              <w:rPr>
                <w:rFonts w:ascii="Calibri" w:hAnsi="Calibri"/>
                <w:b/>
                <w:szCs w:val="21"/>
                <w:u w:val="single"/>
              </w:rPr>
            </w:pPr>
            <w:r w:rsidRPr="00126090">
              <w:rPr>
                <w:rFonts w:ascii="Calibri" w:hAnsi="Calibri"/>
                <w:b/>
                <w:szCs w:val="21"/>
                <w:u w:val="single"/>
              </w:rPr>
              <w:t>0.00</w:t>
            </w:r>
            <w:r w:rsidR="00B10062" w:rsidRPr="00126090">
              <w:rPr>
                <w:rFonts w:ascii="Calibri" w:hAnsi="Calibri"/>
                <w:b/>
                <w:szCs w:val="21"/>
                <w:u w:val="single"/>
              </w:rPr>
              <w:t>58</w:t>
            </w:r>
          </w:p>
        </w:tc>
        <w:tc>
          <w:tcPr>
            <w:tcW w:w="573" w:type="pct"/>
            <w:vAlign w:val="center"/>
          </w:tcPr>
          <w:p w14:paraId="0B05E77D" w14:textId="2A23DAAB" w:rsidR="005E5F3B" w:rsidRPr="00126090" w:rsidRDefault="005E5F3B" w:rsidP="00B10062">
            <w:pPr>
              <w:jc w:val="center"/>
              <w:rPr>
                <w:rFonts w:ascii="Calibri" w:hAnsi="Calibri"/>
                <w:b/>
                <w:szCs w:val="21"/>
                <w:u w:val="single"/>
              </w:rPr>
            </w:pPr>
            <w:r w:rsidRPr="00126090">
              <w:rPr>
                <w:rFonts w:ascii="Calibri" w:hAnsi="Calibri"/>
                <w:b/>
                <w:szCs w:val="21"/>
                <w:u w:val="single"/>
              </w:rPr>
              <w:t>0.0</w:t>
            </w:r>
            <w:r w:rsidR="00B10062" w:rsidRPr="00126090">
              <w:rPr>
                <w:rFonts w:ascii="Calibri" w:hAnsi="Calibri"/>
                <w:b/>
                <w:szCs w:val="21"/>
                <w:u w:val="single"/>
              </w:rPr>
              <w:t>42</w:t>
            </w:r>
          </w:p>
        </w:tc>
        <w:tc>
          <w:tcPr>
            <w:tcW w:w="904" w:type="pct"/>
            <w:vMerge w:val="restart"/>
            <w:vAlign w:val="center"/>
          </w:tcPr>
          <w:p w14:paraId="7C8E4DF8" w14:textId="78A5EA75" w:rsidR="005E5F3B" w:rsidRPr="00126090" w:rsidRDefault="005E5F3B" w:rsidP="00B10062">
            <w:pPr>
              <w:jc w:val="center"/>
              <w:rPr>
                <w:rFonts w:ascii="Calibri" w:hAnsi="Calibri"/>
                <w:b/>
                <w:szCs w:val="21"/>
                <w:u w:val="single"/>
              </w:rPr>
            </w:pPr>
            <w:r w:rsidRPr="00126090">
              <w:rPr>
                <w:rFonts w:ascii="Calibri"/>
                <w:b/>
                <w:szCs w:val="21"/>
                <w:u w:val="single"/>
              </w:rPr>
              <w:t>收集装置</w:t>
            </w:r>
            <w:r w:rsidRPr="00126090">
              <w:rPr>
                <w:rFonts w:ascii="Calibri" w:hAnsi="Calibri"/>
                <w:b/>
                <w:szCs w:val="21"/>
                <w:u w:val="single"/>
              </w:rPr>
              <w:t>+</w:t>
            </w:r>
            <w:r w:rsidRPr="00126090">
              <w:rPr>
                <w:rFonts w:ascii="Calibri" w:hint="eastAsia"/>
                <w:b/>
                <w:szCs w:val="21"/>
                <w:u w:val="single"/>
              </w:rPr>
              <w:t>光氧催化</w:t>
            </w:r>
            <w:r w:rsidRPr="00126090">
              <w:rPr>
                <w:rFonts w:ascii="Calibri" w:hint="eastAsia"/>
                <w:b/>
                <w:szCs w:val="21"/>
                <w:u w:val="single"/>
              </w:rPr>
              <w:t>+</w:t>
            </w:r>
            <w:r w:rsidRPr="00126090">
              <w:rPr>
                <w:rFonts w:ascii="Calibri" w:hint="eastAsia"/>
                <w:b/>
                <w:szCs w:val="21"/>
                <w:u w:val="single"/>
              </w:rPr>
              <w:t>活性炭</w:t>
            </w:r>
            <w:r w:rsidRPr="00126090">
              <w:rPr>
                <w:rFonts w:ascii="Calibri" w:hAnsi="Calibri"/>
                <w:b/>
                <w:szCs w:val="21"/>
                <w:u w:val="single"/>
              </w:rPr>
              <w:t>+15m</w:t>
            </w:r>
            <w:r w:rsidRPr="00126090">
              <w:rPr>
                <w:rFonts w:ascii="Calibri"/>
                <w:b/>
                <w:szCs w:val="21"/>
                <w:u w:val="single"/>
              </w:rPr>
              <w:t>排气筒，风量</w:t>
            </w:r>
            <w:r w:rsidRPr="00126090">
              <w:rPr>
                <w:rFonts w:ascii="Calibri" w:hAnsi="Calibri"/>
                <w:b/>
                <w:szCs w:val="21"/>
                <w:u w:val="single"/>
              </w:rPr>
              <w:t>2000m</w:t>
            </w:r>
            <w:r w:rsidRPr="00126090">
              <w:rPr>
                <w:rFonts w:ascii="Calibri" w:hAnsi="Calibri"/>
                <w:b/>
                <w:szCs w:val="21"/>
                <w:u w:val="single"/>
                <w:vertAlign w:val="superscript"/>
              </w:rPr>
              <w:t>3</w:t>
            </w:r>
            <w:r w:rsidRPr="00126090">
              <w:rPr>
                <w:rFonts w:ascii="Calibri" w:hAnsi="Calibri"/>
                <w:b/>
                <w:szCs w:val="21"/>
                <w:u w:val="single"/>
              </w:rPr>
              <w:t>/h</w:t>
            </w:r>
          </w:p>
        </w:tc>
        <w:tc>
          <w:tcPr>
            <w:tcW w:w="717" w:type="pct"/>
            <w:vAlign w:val="center"/>
          </w:tcPr>
          <w:p w14:paraId="7A521FB2" w14:textId="1404A784" w:rsidR="005E5F3B" w:rsidRPr="00126090" w:rsidRDefault="00D42CE1" w:rsidP="00BB0668">
            <w:pPr>
              <w:jc w:val="center"/>
              <w:rPr>
                <w:rFonts w:ascii="Calibri" w:hAnsi="Calibri"/>
                <w:b/>
                <w:szCs w:val="21"/>
                <w:u w:val="single"/>
              </w:rPr>
            </w:pPr>
            <w:r>
              <w:rPr>
                <w:rFonts w:ascii="Calibri" w:hAnsi="Calibri"/>
                <w:b/>
                <w:szCs w:val="21"/>
                <w:u w:val="single"/>
              </w:rPr>
              <w:t>0.60</w:t>
            </w:r>
          </w:p>
        </w:tc>
        <w:tc>
          <w:tcPr>
            <w:tcW w:w="628" w:type="pct"/>
            <w:vAlign w:val="center"/>
          </w:tcPr>
          <w:p w14:paraId="3B96F290" w14:textId="7A48857F" w:rsidR="005E5F3B" w:rsidRPr="00126090" w:rsidRDefault="005E5F3B" w:rsidP="00D42CE1">
            <w:pPr>
              <w:jc w:val="center"/>
              <w:rPr>
                <w:rFonts w:ascii="Calibri" w:hAnsi="Calibri"/>
                <w:b/>
                <w:szCs w:val="21"/>
                <w:u w:val="single"/>
              </w:rPr>
            </w:pPr>
            <w:r w:rsidRPr="00126090">
              <w:rPr>
                <w:rFonts w:ascii="Calibri" w:hAnsi="Calibri"/>
                <w:b/>
                <w:szCs w:val="21"/>
                <w:u w:val="single"/>
              </w:rPr>
              <w:t>0.00</w:t>
            </w:r>
            <w:r w:rsidR="00D42CE1">
              <w:rPr>
                <w:rFonts w:ascii="Calibri" w:hAnsi="Calibri"/>
                <w:b/>
                <w:szCs w:val="21"/>
                <w:u w:val="single"/>
              </w:rPr>
              <w:t>12</w:t>
            </w:r>
          </w:p>
        </w:tc>
        <w:tc>
          <w:tcPr>
            <w:tcW w:w="624" w:type="pct"/>
            <w:vAlign w:val="center"/>
          </w:tcPr>
          <w:p w14:paraId="28E464BE" w14:textId="5489BE29" w:rsidR="005E5F3B" w:rsidRPr="00126090" w:rsidRDefault="005E5F3B" w:rsidP="00D42CE1">
            <w:pPr>
              <w:jc w:val="center"/>
              <w:rPr>
                <w:rFonts w:ascii="Calibri" w:hAnsi="Calibri"/>
                <w:b/>
                <w:szCs w:val="21"/>
                <w:u w:val="single"/>
              </w:rPr>
            </w:pPr>
            <w:r w:rsidRPr="00126090">
              <w:rPr>
                <w:rFonts w:ascii="Calibri" w:hAnsi="Calibri"/>
                <w:b/>
                <w:szCs w:val="21"/>
                <w:u w:val="single"/>
              </w:rPr>
              <w:t>0.00</w:t>
            </w:r>
            <w:r w:rsidR="00D42CE1">
              <w:rPr>
                <w:rFonts w:ascii="Calibri" w:hAnsi="Calibri"/>
                <w:b/>
                <w:szCs w:val="21"/>
                <w:u w:val="single"/>
              </w:rPr>
              <w:t>84</w:t>
            </w:r>
          </w:p>
        </w:tc>
      </w:tr>
      <w:tr w:rsidR="005E5F3B" w:rsidRPr="00B10062" w14:paraId="61148F9A" w14:textId="77777777" w:rsidTr="00D42CE1">
        <w:trPr>
          <w:cantSplit/>
          <w:trHeight w:val="340"/>
          <w:jc w:val="center"/>
        </w:trPr>
        <w:tc>
          <w:tcPr>
            <w:tcW w:w="397" w:type="pct"/>
            <w:vMerge/>
            <w:vAlign w:val="center"/>
          </w:tcPr>
          <w:p w14:paraId="6C810C20" w14:textId="77777777" w:rsidR="005E5F3B" w:rsidRPr="00126090" w:rsidRDefault="005E5F3B" w:rsidP="00BB0668">
            <w:pPr>
              <w:jc w:val="center"/>
              <w:rPr>
                <w:rFonts w:ascii="Calibri" w:hAnsi="Calibri"/>
                <w:b/>
                <w:szCs w:val="21"/>
                <w:u w:val="single"/>
              </w:rPr>
            </w:pPr>
          </w:p>
        </w:tc>
        <w:tc>
          <w:tcPr>
            <w:tcW w:w="556" w:type="pct"/>
            <w:vAlign w:val="center"/>
          </w:tcPr>
          <w:p w14:paraId="2DBB0E6E" w14:textId="77777777" w:rsidR="005E5F3B" w:rsidRPr="00126090" w:rsidRDefault="005E5F3B" w:rsidP="00BB0668">
            <w:pPr>
              <w:jc w:val="center"/>
              <w:rPr>
                <w:rFonts w:ascii="Calibri" w:hAnsi="Calibri"/>
                <w:b/>
                <w:szCs w:val="21"/>
                <w:u w:val="single"/>
              </w:rPr>
            </w:pPr>
            <w:r w:rsidRPr="00126090">
              <w:rPr>
                <w:rFonts w:ascii="Calibri" w:hAnsi="Calibri"/>
                <w:b/>
                <w:szCs w:val="21"/>
                <w:u w:val="single"/>
              </w:rPr>
              <w:t>H</w:t>
            </w:r>
            <w:r w:rsidRPr="00126090">
              <w:rPr>
                <w:rFonts w:ascii="Calibri" w:hAnsi="Calibri"/>
                <w:b/>
                <w:szCs w:val="21"/>
                <w:u w:val="single"/>
                <w:vertAlign w:val="subscript"/>
              </w:rPr>
              <w:t>2</w:t>
            </w:r>
            <w:r w:rsidRPr="00126090">
              <w:rPr>
                <w:rFonts w:ascii="Calibri" w:hAnsi="Calibri"/>
                <w:b/>
                <w:szCs w:val="21"/>
                <w:u w:val="single"/>
              </w:rPr>
              <w:t>S</w:t>
            </w:r>
          </w:p>
        </w:tc>
        <w:tc>
          <w:tcPr>
            <w:tcW w:w="602" w:type="pct"/>
            <w:vAlign w:val="center"/>
          </w:tcPr>
          <w:p w14:paraId="7C254D87" w14:textId="1ED68C2F" w:rsidR="005E5F3B" w:rsidRPr="00126090" w:rsidRDefault="005E5F3B" w:rsidP="00B10062">
            <w:pPr>
              <w:jc w:val="center"/>
              <w:rPr>
                <w:rFonts w:ascii="Calibri" w:hAnsi="Calibri"/>
                <w:b/>
                <w:szCs w:val="21"/>
                <w:u w:val="single"/>
              </w:rPr>
            </w:pPr>
            <w:r w:rsidRPr="00126090">
              <w:rPr>
                <w:rFonts w:ascii="Calibri" w:hAnsi="Calibri" w:hint="eastAsia"/>
                <w:b/>
                <w:szCs w:val="21"/>
                <w:u w:val="single"/>
              </w:rPr>
              <w:t>0.00</w:t>
            </w:r>
            <w:r w:rsidRPr="00126090">
              <w:rPr>
                <w:rFonts w:ascii="Calibri" w:hAnsi="Calibri"/>
                <w:b/>
                <w:szCs w:val="21"/>
                <w:u w:val="single"/>
              </w:rPr>
              <w:t>0</w:t>
            </w:r>
            <w:r w:rsidR="00B10062" w:rsidRPr="00126090">
              <w:rPr>
                <w:rFonts w:ascii="Calibri" w:hAnsi="Calibri"/>
                <w:b/>
                <w:szCs w:val="21"/>
                <w:u w:val="single"/>
              </w:rPr>
              <w:t>22</w:t>
            </w:r>
          </w:p>
        </w:tc>
        <w:tc>
          <w:tcPr>
            <w:tcW w:w="573" w:type="pct"/>
            <w:vAlign w:val="center"/>
          </w:tcPr>
          <w:p w14:paraId="3E1C1D65" w14:textId="596DB2FA" w:rsidR="005E5F3B" w:rsidRPr="00126090" w:rsidRDefault="005E5F3B" w:rsidP="00B10062">
            <w:pPr>
              <w:jc w:val="center"/>
              <w:rPr>
                <w:rFonts w:ascii="Calibri" w:hAnsi="Calibri"/>
                <w:b/>
                <w:szCs w:val="21"/>
                <w:u w:val="single"/>
              </w:rPr>
            </w:pPr>
            <w:r w:rsidRPr="00126090">
              <w:rPr>
                <w:rFonts w:ascii="Calibri" w:hAnsi="Calibri"/>
                <w:b/>
                <w:szCs w:val="21"/>
                <w:u w:val="single"/>
              </w:rPr>
              <w:t>0.00</w:t>
            </w:r>
            <w:r w:rsidR="00B10062" w:rsidRPr="00126090">
              <w:rPr>
                <w:rFonts w:ascii="Calibri" w:hAnsi="Calibri"/>
                <w:b/>
                <w:szCs w:val="21"/>
                <w:u w:val="single"/>
              </w:rPr>
              <w:t>16</w:t>
            </w:r>
          </w:p>
        </w:tc>
        <w:tc>
          <w:tcPr>
            <w:tcW w:w="904" w:type="pct"/>
            <w:vMerge/>
            <w:vAlign w:val="center"/>
          </w:tcPr>
          <w:p w14:paraId="57A06E27" w14:textId="77777777" w:rsidR="005E5F3B" w:rsidRPr="00126090" w:rsidRDefault="005E5F3B" w:rsidP="00BB0668">
            <w:pPr>
              <w:jc w:val="center"/>
              <w:rPr>
                <w:rFonts w:ascii="Calibri" w:hAnsi="Calibri"/>
                <w:b/>
                <w:szCs w:val="21"/>
                <w:u w:val="single"/>
              </w:rPr>
            </w:pPr>
          </w:p>
        </w:tc>
        <w:tc>
          <w:tcPr>
            <w:tcW w:w="717" w:type="pct"/>
            <w:vAlign w:val="center"/>
          </w:tcPr>
          <w:p w14:paraId="40AEAC6E" w14:textId="784E9CD6" w:rsidR="005E5F3B" w:rsidRPr="00126090" w:rsidRDefault="005E5F3B" w:rsidP="00D42CE1">
            <w:pPr>
              <w:jc w:val="center"/>
              <w:rPr>
                <w:rFonts w:ascii="Calibri" w:hAnsi="Calibri"/>
                <w:b/>
                <w:szCs w:val="21"/>
                <w:u w:val="single"/>
              </w:rPr>
            </w:pPr>
            <w:r w:rsidRPr="00126090">
              <w:rPr>
                <w:rFonts w:ascii="Calibri" w:hAnsi="Calibri" w:hint="eastAsia"/>
                <w:b/>
                <w:szCs w:val="21"/>
                <w:u w:val="single"/>
              </w:rPr>
              <w:t>0.0</w:t>
            </w:r>
            <w:r w:rsidR="00D42CE1">
              <w:rPr>
                <w:rFonts w:ascii="Calibri" w:hAnsi="Calibri"/>
                <w:b/>
                <w:szCs w:val="21"/>
                <w:u w:val="single"/>
              </w:rPr>
              <w:t>22</w:t>
            </w:r>
          </w:p>
        </w:tc>
        <w:tc>
          <w:tcPr>
            <w:tcW w:w="628" w:type="pct"/>
            <w:vAlign w:val="center"/>
          </w:tcPr>
          <w:p w14:paraId="0819BEC6" w14:textId="162B113B" w:rsidR="005E5F3B" w:rsidRPr="00126090" w:rsidRDefault="005E5F3B" w:rsidP="00D42CE1">
            <w:pPr>
              <w:jc w:val="center"/>
              <w:rPr>
                <w:rFonts w:ascii="Calibri" w:hAnsi="Calibri"/>
                <w:b/>
                <w:szCs w:val="21"/>
                <w:u w:val="single"/>
              </w:rPr>
            </w:pPr>
            <w:r w:rsidRPr="00126090">
              <w:rPr>
                <w:rFonts w:ascii="Calibri" w:hAnsi="Calibri"/>
                <w:b/>
                <w:szCs w:val="21"/>
                <w:u w:val="single"/>
              </w:rPr>
              <w:t>0.0000</w:t>
            </w:r>
            <w:r w:rsidR="00D42CE1">
              <w:rPr>
                <w:rFonts w:ascii="Calibri" w:hAnsi="Calibri"/>
                <w:b/>
                <w:szCs w:val="21"/>
                <w:u w:val="single"/>
              </w:rPr>
              <w:t>44</w:t>
            </w:r>
          </w:p>
        </w:tc>
        <w:tc>
          <w:tcPr>
            <w:tcW w:w="624" w:type="pct"/>
            <w:vAlign w:val="center"/>
          </w:tcPr>
          <w:p w14:paraId="5EB857FE" w14:textId="31E324EC" w:rsidR="005E5F3B" w:rsidRPr="00126090" w:rsidRDefault="005E5F3B" w:rsidP="00D42CE1">
            <w:pPr>
              <w:jc w:val="center"/>
              <w:rPr>
                <w:rFonts w:ascii="Calibri" w:hAnsi="Calibri"/>
                <w:b/>
                <w:szCs w:val="21"/>
                <w:u w:val="single"/>
              </w:rPr>
            </w:pPr>
            <w:r w:rsidRPr="00126090">
              <w:rPr>
                <w:rFonts w:ascii="Calibri" w:hAnsi="Calibri"/>
                <w:b/>
                <w:szCs w:val="21"/>
                <w:u w:val="single"/>
              </w:rPr>
              <w:t>0.000</w:t>
            </w:r>
            <w:r w:rsidR="00D42CE1">
              <w:rPr>
                <w:rFonts w:ascii="Calibri" w:hAnsi="Calibri"/>
                <w:b/>
                <w:szCs w:val="21"/>
                <w:u w:val="single"/>
              </w:rPr>
              <w:t>32</w:t>
            </w:r>
          </w:p>
        </w:tc>
      </w:tr>
      <w:tr w:rsidR="005E5F3B" w:rsidRPr="00B10062" w14:paraId="5E741E8C" w14:textId="77777777" w:rsidTr="00D42CE1">
        <w:trPr>
          <w:cantSplit/>
          <w:trHeight w:val="340"/>
          <w:jc w:val="center"/>
        </w:trPr>
        <w:tc>
          <w:tcPr>
            <w:tcW w:w="397" w:type="pct"/>
            <w:vMerge/>
            <w:vAlign w:val="center"/>
          </w:tcPr>
          <w:p w14:paraId="6CD5E919" w14:textId="77777777" w:rsidR="005E5F3B" w:rsidRPr="00126090" w:rsidRDefault="005E5F3B" w:rsidP="00BB0668">
            <w:pPr>
              <w:jc w:val="center"/>
              <w:rPr>
                <w:rFonts w:ascii="Calibri" w:hAnsi="Calibri"/>
                <w:b/>
                <w:szCs w:val="21"/>
                <w:u w:val="single"/>
              </w:rPr>
            </w:pPr>
          </w:p>
        </w:tc>
        <w:tc>
          <w:tcPr>
            <w:tcW w:w="556" w:type="pct"/>
            <w:vAlign w:val="center"/>
          </w:tcPr>
          <w:p w14:paraId="655C6256" w14:textId="77777777" w:rsidR="005E5F3B" w:rsidRPr="00126090" w:rsidRDefault="005E5F3B" w:rsidP="00BB0668">
            <w:pPr>
              <w:jc w:val="center"/>
              <w:rPr>
                <w:rFonts w:ascii="Calibri" w:hAnsi="Calibri"/>
                <w:b/>
                <w:szCs w:val="21"/>
                <w:u w:val="single"/>
              </w:rPr>
            </w:pPr>
            <w:r w:rsidRPr="00126090">
              <w:rPr>
                <w:rFonts w:ascii="Calibri" w:hAnsi="Calibri" w:hint="eastAsia"/>
                <w:b/>
                <w:bCs/>
                <w:color w:val="auto"/>
                <w:u w:val="single"/>
              </w:rPr>
              <w:t>非甲烷</w:t>
            </w:r>
            <w:r w:rsidRPr="00126090">
              <w:rPr>
                <w:rFonts w:ascii="Calibri" w:hAnsi="Calibri"/>
                <w:b/>
                <w:bCs/>
                <w:color w:val="auto"/>
                <w:u w:val="single"/>
              </w:rPr>
              <w:t>总烃</w:t>
            </w:r>
          </w:p>
        </w:tc>
        <w:tc>
          <w:tcPr>
            <w:tcW w:w="602" w:type="pct"/>
            <w:vAlign w:val="center"/>
          </w:tcPr>
          <w:p w14:paraId="243559A1" w14:textId="5D2A7CA1" w:rsidR="005E5F3B" w:rsidRPr="00126090" w:rsidRDefault="00126090" w:rsidP="00BB0668">
            <w:pPr>
              <w:jc w:val="center"/>
              <w:rPr>
                <w:rFonts w:ascii="Calibri" w:hAnsi="Calibri"/>
                <w:b/>
                <w:szCs w:val="21"/>
                <w:u w:val="single"/>
              </w:rPr>
            </w:pPr>
            <w:r w:rsidRPr="00126090">
              <w:rPr>
                <w:rFonts w:ascii="Calibri" w:hAnsi="Calibri"/>
                <w:b/>
                <w:szCs w:val="21"/>
                <w:u w:val="single"/>
              </w:rPr>
              <w:t>0.0094</w:t>
            </w:r>
          </w:p>
        </w:tc>
        <w:tc>
          <w:tcPr>
            <w:tcW w:w="573" w:type="pct"/>
            <w:vAlign w:val="center"/>
          </w:tcPr>
          <w:p w14:paraId="2DBC4DE8" w14:textId="5A210095" w:rsidR="005E5F3B" w:rsidRPr="00126090" w:rsidRDefault="00126090" w:rsidP="00126090">
            <w:pPr>
              <w:jc w:val="center"/>
              <w:rPr>
                <w:rFonts w:ascii="Calibri" w:hAnsi="Calibri"/>
                <w:b/>
                <w:szCs w:val="21"/>
                <w:u w:val="single"/>
              </w:rPr>
            </w:pPr>
            <w:r w:rsidRPr="00126090">
              <w:rPr>
                <w:rFonts w:ascii="Calibri" w:hAnsi="Calibri"/>
                <w:b/>
                <w:szCs w:val="21"/>
                <w:u w:val="single"/>
              </w:rPr>
              <w:t>0.068</w:t>
            </w:r>
          </w:p>
        </w:tc>
        <w:tc>
          <w:tcPr>
            <w:tcW w:w="904" w:type="pct"/>
            <w:vMerge/>
            <w:vAlign w:val="center"/>
          </w:tcPr>
          <w:p w14:paraId="2C057DA5" w14:textId="77777777" w:rsidR="005E5F3B" w:rsidRPr="00126090" w:rsidRDefault="005E5F3B" w:rsidP="00BB0668">
            <w:pPr>
              <w:jc w:val="center"/>
              <w:rPr>
                <w:rFonts w:ascii="Calibri" w:hAnsi="Calibri"/>
                <w:b/>
                <w:szCs w:val="21"/>
                <w:u w:val="single"/>
              </w:rPr>
            </w:pPr>
          </w:p>
        </w:tc>
        <w:tc>
          <w:tcPr>
            <w:tcW w:w="717" w:type="pct"/>
            <w:vAlign w:val="center"/>
          </w:tcPr>
          <w:p w14:paraId="69B1FDE7" w14:textId="29283E64" w:rsidR="005E5F3B" w:rsidRPr="00126090" w:rsidRDefault="00D42CE1" w:rsidP="00BB0668">
            <w:pPr>
              <w:jc w:val="center"/>
              <w:rPr>
                <w:rFonts w:ascii="Calibri" w:hAnsi="Calibri"/>
                <w:b/>
                <w:szCs w:val="21"/>
                <w:u w:val="single"/>
              </w:rPr>
            </w:pPr>
            <w:r>
              <w:rPr>
                <w:rFonts w:ascii="Calibri" w:hAnsi="Calibri"/>
                <w:b/>
                <w:szCs w:val="21"/>
                <w:u w:val="single"/>
              </w:rPr>
              <w:t>0.70</w:t>
            </w:r>
          </w:p>
        </w:tc>
        <w:tc>
          <w:tcPr>
            <w:tcW w:w="628" w:type="pct"/>
            <w:vAlign w:val="center"/>
          </w:tcPr>
          <w:p w14:paraId="6C667463" w14:textId="25A2CA04" w:rsidR="005E5F3B" w:rsidRPr="00126090" w:rsidRDefault="00126090" w:rsidP="00D42CE1">
            <w:pPr>
              <w:jc w:val="center"/>
              <w:rPr>
                <w:rFonts w:ascii="Calibri" w:hAnsi="Calibri"/>
                <w:b/>
                <w:szCs w:val="21"/>
                <w:u w:val="single"/>
              </w:rPr>
            </w:pPr>
            <w:r w:rsidRPr="00126090">
              <w:rPr>
                <w:rFonts w:ascii="Calibri" w:hAnsi="Calibri"/>
                <w:b/>
                <w:szCs w:val="21"/>
                <w:u w:val="single"/>
              </w:rPr>
              <w:t>0.00</w:t>
            </w:r>
            <w:r w:rsidR="00D42CE1">
              <w:rPr>
                <w:rFonts w:ascii="Calibri" w:hAnsi="Calibri"/>
                <w:b/>
                <w:szCs w:val="21"/>
                <w:u w:val="single"/>
              </w:rPr>
              <w:t>14</w:t>
            </w:r>
          </w:p>
        </w:tc>
        <w:tc>
          <w:tcPr>
            <w:tcW w:w="624" w:type="pct"/>
            <w:vAlign w:val="center"/>
          </w:tcPr>
          <w:p w14:paraId="318BE244" w14:textId="6F923946" w:rsidR="005E5F3B" w:rsidRPr="00126090" w:rsidRDefault="00126090" w:rsidP="00D42CE1">
            <w:pPr>
              <w:jc w:val="center"/>
              <w:rPr>
                <w:rFonts w:ascii="Calibri" w:hAnsi="Calibri"/>
                <w:b/>
                <w:szCs w:val="21"/>
                <w:u w:val="single"/>
              </w:rPr>
            </w:pPr>
            <w:r w:rsidRPr="00126090">
              <w:rPr>
                <w:rFonts w:ascii="Calibri" w:hAnsi="Calibri"/>
                <w:b/>
                <w:szCs w:val="21"/>
                <w:u w:val="single"/>
              </w:rPr>
              <w:t>0.0</w:t>
            </w:r>
            <w:r w:rsidR="00D42CE1">
              <w:rPr>
                <w:rFonts w:ascii="Calibri" w:hAnsi="Calibri"/>
                <w:b/>
                <w:szCs w:val="21"/>
                <w:u w:val="single"/>
              </w:rPr>
              <w:t>10</w:t>
            </w:r>
          </w:p>
        </w:tc>
      </w:tr>
    </w:tbl>
    <w:p w14:paraId="27C4C484" w14:textId="77777777" w:rsidR="00C9661D" w:rsidRPr="00C9661D" w:rsidRDefault="001D3D21" w:rsidP="00C9661D">
      <w:pPr>
        <w:pStyle w:val="00"/>
        <w:ind w:firstLineChars="200" w:firstLine="482"/>
        <w:rPr>
          <w:rFonts w:ascii="Calibri" w:hAnsi="Calibri"/>
          <w:b/>
          <w:color w:val="auto"/>
        </w:rPr>
      </w:pPr>
      <w:r>
        <w:rPr>
          <w:rFonts w:ascii="Calibri" w:hAnsi="Calibri"/>
          <w:b/>
          <w:color w:val="auto"/>
        </w:rPr>
        <w:t>6</w:t>
      </w:r>
      <w:r w:rsidR="005158DE" w:rsidRPr="00CA259F">
        <w:rPr>
          <w:rFonts w:ascii="Calibri" w:hAnsi="Calibri" w:hint="eastAsia"/>
          <w:b/>
          <w:color w:val="auto"/>
        </w:rPr>
        <w:t>、</w:t>
      </w:r>
      <w:r w:rsidR="005158DE">
        <w:rPr>
          <w:rFonts w:ascii="Calibri" w:hAnsi="Calibri" w:hint="eastAsia"/>
          <w:b/>
          <w:color w:val="auto"/>
        </w:rPr>
        <w:t>无</w:t>
      </w:r>
      <w:r w:rsidR="005158DE">
        <w:rPr>
          <w:rFonts w:ascii="Calibri" w:hAnsi="Calibri"/>
          <w:b/>
          <w:color w:val="auto"/>
        </w:rPr>
        <w:t>组织废气</w:t>
      </w:r>
    </w:p>
    <w:p w14:paraId="42B3C5C2" w14:textId="77777777" w:rsidR="003C0BD9" w:rsidRPr="005158DE" w:rsidRDefault="005158DE" w:rsidP="005158DE">
      <w:pPr>
        <w:spacing w:line="520" w:lineRule="exact"/>
        <w:ind w:firstLineChars="200" w:firstLine="480"/>
        <w:rPr>
          <w:rFonts w:ascii="Calibri" w:hAnsi="Calibri"/>
          <w:color w:val="auto"/>
          <w:sz w:val="24"/>
        </w:rPr>
      </w:pPr>
      <w:r w:rsidRPr="005158DE">
        <w:rPr>
          <w:rFonts w:ascii="Calibri" w:hAnsi="Calibri" w:hint="eastAsia"/>
          <w:color w:val="auto"/>
          <w:sz w:val="24"/>
        </w:rPr>
        <w:t>（</w:t>
      </w:r>
      <w:r w:rsidRPr="005158DE">
        <w:rPr>
          <w:rFonts w:ascii="Calibri" w:hAnsi="Calibri" w:hint="eastAsia"/>
          <w:color w:val="auto"/>
          <w:sz w:val="24"/>
        </w:rPr>
        <w:t>1</w:t>
      </w:r>
      <w:r w:rsidRPr="005158DE">
        <w:rPr>
          <w:rFonts w:ascii="Calibri" w:hAnsi="Calibri" w:hint="eastAsia"/>
          <w:color w:val="auto"/>
          <w:sz w:val="24"/>
        </w:rPr>
        <w:t>）生产</w:t>
      </w:r>
      <w:r w:rsidRPr="005158DE">
        <w:rPr>
          <w:rFonts w:ascii="Calibri" w:hAnsi="Calibri"/>
          <w:color w:val="auto"/>
          <w:sz w:val="24"/>
        </w:rPr>
        <w:t>工序无组织废气</w:t>
      </w:r>
    </w:p>
    <w:p w14:paraId="05B67A19" w14:textId="77777777" w:rsidR="003C0BD9" w:rsidRDefault="00C9661D" w:rsidP="005E5F3B">
      <w:pPr>
        <w:spacing w:line="520" w:lineRule="exact"/>
        <w:ind w:firstLineChars="200" w:firstLine="480"/>
        <w:rPr>
          <w:rFonts w:ascii="Calibri" w:hAnsi="Calibri"/>
          <w:color w:val="auto"/>
          <w:sz w:val="24"/>
        </w:rPr>
      </w:pPr>
      <w:r w:rsidRPr="00C9661D">
        <w:rPr>
          <w:rFonts w:ascii="Calibri" w:hAnsi="Calibri" w:hint="eastAsia"/>
          <w:color w:val="auto"/>
          <w:sz w:val="24"/>
        </w:rPr>
        <w:t>根据《逸散性工业粉尘控制技术》（中国环境科学出版社），</w:t>
      </w:r>
      <w:r>
        <w:rPr>
          <w:rFonts w:ascii="Calibri" w:hAnsi="Calibri" w:hint="eastAsia"/>
          <w:color w:val="auto"/>
          <w:sz w:val="24"/>
        </w:rPr>
        <w:t>投料</w:t>
      </w:r>
      <w:r w:rsidRPr="00C9661D">
        <w:rPr>
          <w:rFonts w:ascii="Calibri" w:hAnsi="Calibri" w:hint="eastAsia"/>
          <w:color w:val="auto"/>
          <w:sz w:val="24"/>
        </w:rPr>
        <w:t>工序粉尘产生系数为</w:t>
      </w:r>
      <w:r w:rsidRPr="00C9661D">
        <w:rPr>
          <w:rFonts w:ascii="Calibri" w:hAnsi="Calibri" w:hint="eastAsia"/>
          <w:color w:val="auto"/>
          <w:sz w:val="24"/>
        </w:rPr>
        <w:t>0.</w:t>
      </w:r>
      <w:r>
        <w:rPr>
          <w:rFonts w:ascii="Calibri" w:hAnsi="Calibri"/>
          <w:color w:val="auto"/>
          <w:sz w:val="24"/>
        </w:rPr>
        <w:t>2</w:t>
      </w:r>
      <w:r w:rsidRPr="00C9661D">
        <w:rPr>
          <w:rFonts w:ascii="Calibri" w:hAnsi="Calibri" w:hint="eastAsia"/>
          <w:color w:val="auto"/>
          <w:sz w:val="24"/>
        </w:rPr>
        <w:t>kg/t</w:t>
      </w:r>
      <w:r w:rsidRPr="00C9661D">
        <w:rPr>
          <w:rFonts w:ascii="Calibri" w:hAnsi="Calibri" w:hint="eastAsia"/>
          <w:color w:val="auto"/>
          <w:sz w:val="24"/>
        </w:rPr>
        <w:t>，</w:t>
      </w:r>
      <w:r w:rsidR="0001030D">
        <w:rPr>
          <w:rFonts w:ascii="Calibri" w:hAnsi="Calibri" w:hint="eastAsia"/>
          <w:color w:val="auto"/>
          <w:sz w:val="24"/>
        </w:rPr>
        <w:t>一期</w:t>
      </w:r>
      <w:r w:rsidR="0001030D">
        <w:rPr>
          <w:rFonts w:ascii="Calibri" w:hAnsi="Calibri"/>
          <w:color w:val="auto"/>
          <w:sz w:val="24"/>
        </w:rPr>
        <w:t>工程次磷酸钠</w:t>
      </w:r>
      <w:r w:rsidR="0001030D">
        <w:rPr>
          <w:rFonts w:ascii="Calibri" w:hAnsi="Calibri" w:hint="eastAsia"/>
          <w:color w:val="auto"/>
          <w:sz w:val="24"/>
        </w:rPr>
        <w:t>使用</w:t>
      </w:r>
      <w:r w:rsidR="0001030D">
        <w:rPr>
          <w:rFonts w:ascii="Calibri" w:hAnsi="Calibri"/>
          <w:color w:val="auto"/>
          <w:sz w:val="24"/>
        </w:rPr>
        <w:t>量为</w:t>
      </w:r>
      <w:r w:rsidR="0001030D">
        <w:rPr>
          <w:rFonts w:ascii="Calibri" w:hAnsi="Calibri" w:hint="eastAsia"/>
          <w:color w:val="auto"/>
          <w:sz w:val="24"/>
        </w:rPr>
        <w:t>0.2</w:t>
      </w:r>
      <w:r w:rsidR="000C3F07">
        <w:rPr>
          <w:rFonts w:ascii="Calibri" w:hAnsi="Calibri"/>
          <w:color w:val="auto"/>
          <w:sz w:val="24"/>
        </w:rPr>
        <w:t>t/a</w:t>
      </w:r>
      <w:r w:rsidR="000C3F07">
        <w:rPr>
          <w:rFonts w:ascii="Calibri" w:hAnsi="Calibri" w:hint="eastAsia"/>
          <w:color w:val="auto"/>
          <w:sz w:val="24"/>
        </w:rPr>
        <w:t>，</w:t>
      </w:r>
      <w:r w:rsidR="00324C97">
        <w:rPr>
          <w:rFonts w:ascii="Calibri" w:hAnsi="Calibri" w:hint="eastAsia"/>
          <w:color w:val="auto"/>
          <w:sz w:val="24"/>
        </w:rPr>
        <w:t>投料</w:t>
      </w:r>
      <w:r w:rsidR="00324C97">
        <w:rPr>
          <w:rFonts w:ascii="Calibri" w:hAnsi="Calibri"/>
          <w:color w:val="auto"/>
          <w:sz w:val="24"/>
        </w:rPr>
        <w:t>时间约</w:t>
      </w:r>
      <w:r w:rsidR="00324C97">
        <w:rPr>
          <w:rFonts w:ascii="Calibri" w:hAnsi="Calibri"/>
          <w:color w:val="auto"/>
          <w:sz w:val="24"/>
        </w:rPr>
        <w:t>60h</w:t>
      </w:r>
      <w:r w:rsidR="00324C97">
        <w:rPr>
          <w:rFonts w:ascii="Calibri" w:hAnsi="Calibri" w:hint="eastAsia"/>
          <w:color w:val="auto"/>
          <w:sz w:val="24"/>
        </w:rPr>
        <w:t>，</w:t>
      </w:r>
      <w:r w:rsidR="000C3F07">
        <w:rPr>
          <w:rFonts w:ascii="Calibri" w:hAnsi="Calibri" w:hint="eastAsia"/>
          <w:color w:val="auto"/>
          <w:sz w:val="24"/>
        </w:rPr>
        <w:t>二期</w:t>
      </w:r>
      <w:r w:rsidR="000C3F07">
        <w:rPr>
          <w:rFonts w:ascii="Calibri" w:hAnsi="Calibri"/>
          <w:color w:val="auto"/>
          <w:sz w:val="24"/>
        </w:rPr>
        <w:t>工程次磷酸钠</w:t>
      </w:r>
      <w:r w:rsidR="000C3F07">
        <w:rPr>
          <w:rFonts w:ascii="Calibri" w:hAnsi="Calibri" w:hint="eastAsia"/>
          <w:color w:val="auto"/>
          <w:sz w:val="24"/>
        </w:rPr>
        <w:t>使用</w:t>
      </w:r>
      <w:r w:rsidR="000C3F07">
        <w:rPr>
          <w:rFonts w:ascii="Calibri" w:hAnsi="Calibri"/>
          <w:color w:val="auto"/>
          <w:sz w:val="24"/>
        </w:rPr>
        <w:t>量为</w:t>
      </w:r>
      <w:r w:rsidR="000C3F07">
        <w:rPr>
          <w:rFonts w:ascii="Calibri" w:hAnsi="Calibri" w:hint="eastAsia"/>
          <w:color w:val="auto"/>
          <w:sz w:val="24"/>
        </w:rPr>
        <w:t>0.</w:t>
      </w:r>
      <w:r w:rsidR="000C3F07">
        <w:rPr>
          <w:rFonts w:ascii="Calibri" w:hAnsi="Calibri"/>
          <w:color w:val="auto"/>
          <w:sz w:val="24"/>
        </w:rPr>
        <w:t>1t/a</w:t>
      </w:r>
      <w:r w:rsidR="00366E06">
        <w:rPr>
          <w:rFonts w:ascii="Calibri" w:hAnsi="Calibri" w:hint="eastAsia"/>
          <w:color w:val="auto"/>
          <w:sz w:val="24"/>
        </w:rPr>
        <w:t>，投料</w:t>
      </w:r>
      <w:r w:rsidR="00366E06">
        <w:rPr>
          <w:rFonts w:ascii="Calibri" w:hAnsi="Calibri"/>
          <w:color w:val="auto"/>
          <w:sz w:val="24"/>
        </w:rPr>
        <w:t>时间约</w:t>
      </w:r>
      <w:r w:rsidR="00366E06">
        <w:rPr>
          <w:rFonts w:ascii="Calibri" w:hAnsi="Calibri"/>
          <w:color w:val="auto"/>
          <w:sz w:val="24"/>
        </w:rPr>
        <w:t>30h</w:t>
      </w:r>
      <w:r w:rsidR="000C3F07">
        <w:rPr>
          <w:rFonts w:ascii="Calibri" w:hAnsi="Calibri" w:hint="eastAsia"/>
          <w:color w:val="auto"/>
          <w:sz w:val="24"/>
        </w:rPr>
        <w:t>，</w:t>
      </w:r>
      <w:r w:rsidR="000C3F07">
        <w:rPr>
          <w:rFonts w:ascii="Calibri" w:hAnsi="Calibri"/>
          <w:color w:val="auto"/>
          <w:sz w:val="24"/>
        </w:rPr>
        <w:t>则一期工程</w:t>
      </w:r>
      <w:r w:rsidR="000C3F07">
        <w:rPr>
          <w:rFonts w:ascii="Calibri" w:hAnsi="Calibri" w:hint="eastAsia"/>
          <w:color w:val="auto"/>
          <w:sz w:val="24"/>
        </w:rPr>
        <w:t>颗粒物</w:t>
      </w:r>
      <w:r w:rsidR="000C3F07">
        <w:rPr>
          <w:rFonts w:ascii="Calibri" w:hAnsi="Calibri"/>
          <w:color w:val="auto"/>
          <w:sz w:val="24"/>
        </w:rPr>
        <w:t>产生量为</w:t>
      </w:r>
      <w:r w:rsidR="000C3F07">
        <w:rPr>
          <w:rFonts w:ascii="Calibri" w:hAnsi="Calibri" w:hint="eastAsia"/>
          <w:color w:val="auto"/>
          <w:sz w:val="24"/>
        </w:rPr>
        <w:t>0.04</w:t>
      </w:r>
      <w:r w:rsidR="000C3F07">
        <w:rPr>
          <w:rFonts w:ascii="Calibri" w:hAnsi="Calibri"/>
          <w:color w:val="auto"/>
          <w:sz w:val="24"/>
        </w:rPr>
        <w:t>kg/a</w:t>
      </w:r>
      <w:r w:rsidR="000C3F07">
        <w:rPr>
          <w:rFonts w:ascii="Calibri" w:hAnsi="Calibri" w:hint="eastAsia"/>
          <w:color w:val="auto"/>
          <w:sz w:val="24"/>
        </w:rPr>
        <w:t>，</w:t>
      </w:r>
      <w:r w:rsidR="000C3F07">
        <w:rPr>
          <w:rFonts w:ascii="Calibri" w:hAnsi="Calibri"/>
          <w:color w:val="auto"/>
          <w:sz w:val="24"/>
        </w:rPr>
        <w:t>二期工程颗粒物产生量为</w:t>
      </w:r>
      <w:r w:rsidR="000C3F07">
        <w:rPr>
          <w:rFonts w:ascii="Calibri" w:hAnsi="Calibri" w:hint="eastAsia"/>
          <w:color w:val="auto"/>
          <w:sz w:val="24"/>
        </w:rPr>
        <w:t>0.02</w:t>
      </w:r>
      <w:r w:rsidR="000C3F07">
        <w:rPr>
          <w:rFonts w:ascii="Calibri" w:hAnsi="Calibri"/>
          <w:color w:val="auto"/>
          <w:sz w:val="24"/>
        </w:rPr>
        <w:t>kg/a</w:t>
      </w:r>
      <w:r w:rsidR="000C3F07">
        <w:rPr>
          <w:rFonts w:ascii="Calibri" w:hAnsi="Calibri" w:hint="eastAsia"/>
          <w:color w:val="auto"/>
          <w:sz w:val="24"/>
        </w:rPr>
        <w:t>。本项目</w:t>
      </w:r>
      <w:r w:rsidR="005E5F3B">
        <w:rPr>
          <w:rFonts w:ascii="Calibri" w:hAnsi="Calibri" w:hint="eastAsia"/>
          <w:color w:val="auto"/>
          <w:sz w:val="24"/>
        </w:rPr>
        <w:t>生产</w:t>
      </w:r>
      <w:r w:rsidR="005E5F3B">
        <w:rPr>
          <w:rFonts w:ascii="Calibri" w:hAnsi="Calibri"/>
          <w:color w:val="auto"/>
          <w:sz w:val="24"/>
        </w:rPr>
        <w:t>车间</w:t>
      </w:r>
      <w:r w:rsidR="005E5F3B">
        <w:rPr>
          <w:rFonts w:ascii="Calibri" w:hAnsi="Calibri" w:hint="eastAsia"/>
          <w:color w:val="auto"/>
          <w:sz w:val="24"/>
        </w:rPr>
        <w:t>第</w:t>
      </w:r>
      <w:r w:rsidR="005E5F3B">
        <w:rPr>
          <w:rFonts w:ascii="Calibri" w:hAnsi="Calibri"/>
          <w:color w:val="auto"/>
          <w:sz w:val="24"/>
        </w:rPr>
        <w:t>四层建设密闭投料间</w:t>
      </w:r>
      <w:r w:rsidR="005E5F3B">
        <w:rPr>
          <w:rFonts w:ascii="Calibri" w:hAnsi="Calibri" w:hint="eastAsia"/>
          <w:color w:val="auto"/>
          <w:sz w:val="24"/>
        </w:rPr>
        <w:t>，</w:t>
      </w:r>
      <w:r w:rsidR="005E5F3B">
        <w:rPr>
          <w:rFonts w:ascii="Calibri" w:hAnsi="Calibri"/>
          <w:color w:val="auto"/>
          <w:sz w:val="24"/>
        </w:rPr>
        <w:t>用于原料拆包及投加</w:t>
      </w:r>
      <w:r w:rsidR="000C3F07">
        <w:rPr>
          <w:rFonts w:ascii="Calibri" w:hAnsi="Calibri"/>
          <w:color w:val="auto"/>
          <w:sz w:val="24"/>
        </w:rPr>
        <w:t>，</w:t>
      </w:r>
      <w:r w:rsidR="000C3F07">
        <w:rPr>
          <w:rFonts w:ascii="Calibri" w:hAnsi="Calibri" w:hint="eastAsia"/>
          <w:color w:val="auto"/>
          <w:sz w:val="24"/>
        </w:rPr>
        <w:t>可降低粉尘</w:t>
      </w:r>
      <w:r w:rsidR="000C3F07">
        <w:rPr>
          <w:rFonts w:ascii="Calibri" w:hAnsi="Calibri"/>
          <w:color w:val="auto"/>
          <w:sz w:val="24"/>
        </w:rPr>
        <w:t>逸散，</w:t>
      </w:r>
      <w:r w:rsidR="000C3F07">
        <w:rPr>
          <w:rFonts w:ascii="Calibri" w:hAnsi="Calibri" w:hint="eastAsia"/>
          <w:color w:val="auto"/>
          <w:sz w:val="24"/>
        </w:rPr>
        <w:t>去除效率</w:t>
      </w:r>
      <w:r w:rsidR="000C3F07">
        <w:rPr>
          <w:rFonts w:ascii="Calibri" w:hAnsi="Calibri"/>
          <w:color w:val="auto"/>
          <w:sz w:val="24"/>
        </w:rPr>
        <w:t>可达</w:t>
      </w:r>
      <w:r w:rsidR="000C3F07">
        <w:rPr>
          <w:rFonts w:ascii="Calibri" w:hAnsi="Calibri" w:hint="eastAsia"/>
          <w:color w:val="auto"/>
          <w:sz w:val="24"/>
        </w:rPr>
        <w:t>80%</w:t>
      </w:r>
      <w:r w:rsidR="000C3F07">
        <w:rPr>
          <w:rFonts w:ascii="Calibri" w:hAnsi="Calibri" w:hint="eastAsia"/>
          <w:color w:val="auto"/>
          <w:sz w:val="24"/>
        </w:rPr>
        <w:t>。则</w:t>
      </w:r>
      <w:r w:rsidR="00366E06">
        <w:rPr>
          <w:rFonts w:ascii="Calibri" w:hAnsi="Calibri" w:hint="eastAsia"/>
          <w:color w:val="auto"/>
          <w:sz w:val="24"/>
        </w:rPr>
        <w:t>投料</w:t>
      </w:r>
      <w:r w:rsidR="000C3F07">
        <w:rPr>
          <w:rFonts w:ascii="Calibri" w:hAnsi="Calibri"/>
          <w:color w:val="auto"/>
          <w:sz w:val="24"/>
        </w:rPr>
        <w:t>无组织粉尘</w:t>
      </w:r>
      <w:r w:rsidR="000C3F07">
        <w:rPr>
          <w:rFonts w:ascii="Calibri" w:hAnsi="Calibri" w:hint="eastAsia"/>
          <w:color w:val="auto"/>
          <w:sz w:val="24"/>
        </w:rPr>
        <w:t>一期</w:t>
      </w:r>
      <w:r w:rsidR="000C3F07">
        <w:rPr>
          <w:rFonts w:ascii="Calibri" w:hAnsi="Calibri"/>
          <w:color w:val="auto"/>
          <w:sz w:val="24"/>
        </w:rPr>
        <w:t>排放量为</w:t>
      </w:r>
      <w:r w:rsidR="000C3F07">
        <w:rPr>
          <w:rFonts w:ascii="Calibri" w:hAnsi="Calibri" w:hint="eastAsia"/>
          <w:color w:val="auto"/>
          <w:sz w:val="24"/>
        </w:rPr>
        <w:t>0.00</w:t>
      </w:r>
      <w:r w:rsidR="000C3F07">
        <w:rPr>
          <w:rFonts w:ascii="Calibri" w:hAnsi="Calibri"/>
          <w:color w:val="auto"/>
          <w:sz w:val="24"/>
        </w:rPr>
        <w:t>8kg/a</w:t>
      </w:r>
      <w:r w:rsidR="00366E06">
        <w:rPr>
          <w:rFonts w:ascii="Calibri" w:hAnsi="Calibri" w:hint="eastAsia"/>
          <w:color w:val="auto"/>
          <w:sz w:val="24"/>
        </w:rPr>
        <w:t>，排放</w:t>
      </w:r>
      <w:r w:rsidR="00366E06">
        <w:rPr>
          <w:rFonts w:ascii="Calibri" w:hAnsi="Calibri"/>
          <w:color w:val="auto"/>
          <w:sz w:val="24"/>
        </w:rPr>
        <w:t>速率为</w:t>
      </w:r>
      <w:r w:rsidR="00366E06">
        <w:rPr>
          <w:rFonts w:ascii="Calibri" w:hAnsi="Calibri" w:hint="eastAsia"/>
          <w:color w:val="auto"/>
          <w:sz w:val="24"/>
        </w:rPr>
        <w:t>0.00013</w:t>
      </w:r>
      <w:r w:rsidR="00366E06">
        <w:rPr>
          <w:rFonts w:ascii="Calibri" w:hAnsi="Calibri"/>
          <w:color w:val="auto"/>
          <w:sz w:val="24"/>
        </w:rPr>
        <w:t>kg/h</w:t>
      </w:r>
      <w:r w:rsidR="00366E06">
        <w:rPr>
          <w:rFonts w:ascii="Calibri" w:hAnsi="Calibri" w:hint="eastAsia"/>
          <w:color w:val="auto"/>
          <w:sz w:val="24"/>
        </w:rPr>
        <w:t>；</w:t>
      </w:r>
      <w:r w:rsidR="000C3F07">
        <w:rPr>
          <w:rFonts w:ascii="Calibri" w:hAnsi="Calibri" w:hint="eastAsia"/>
          <w:color w:val="auto"/>
          <w:sz w:val="24"/>
        </w:rPr>
        <w:t>，</w:t>
      </w:r>
      <w:r w:rsidR="00366E06">
        <w:rPr>
          <w:rFonts w:ascii="Calibri" w:hAnsi="Calibri" w:hint="eastAsia"/>
          <w:color w:val="auto"/>
          <w:sz w:val="24"/>
        </w:rPr>
        <w:t>投料</w:t>
      </w:r>
      <w:r w:rsidR="00366E06">
        <w:rPr>
          <w:rFonts w:ascii="Calibri" w:hAnsi="Calibri"/>
          <w:color w:val="auto"/>
          <w:sz w:val="24"/>
        </w:rPr>
        <w:t>无组织粉尘</w:t>
      </w:r>
      <w:r w:rsidR="000C3F07">
        <w:rPr>
          <w:rFonts w:ascii="Calibri" w:hAnsi="Calibri"/>
          <w:color w:val="auto"/>
          <w:sz w:val="24"/>
        </w:rPr>
        <w:t>二期排放量为</w:t>
      </w:r>
      <w:r w:rsidR="000C3F07">
        <w:rPr>
          <w:rFonts w:ascii="Calibri" w:hAnsi="Calibri" w:hint="eastAsia"/>
          <w:color w:val="auto"/>
          <w:sz w:val="24"/>
        </w:rPr>
        <w:t>0.00</w:t>
      </w:r>
      <w:r w:rsidR="000C3F07">
        <w:rPr>
          <w:rFonts w:ascii="Calibri" w:hAnsi="Calibri"/>
          <w:color w:val="auto"/>
          <w:sz w:val="24"/>
        </w:rPr>
        <w:t>4kg/a</w:t>
      </w:r>
      <w:r w:rsidR="00366E06">
        <w:rPr>
          <w:rFonts w:ascii="Calibri" w:hAnsi="Calibri" w:hint="eastAsia"/>
          <w:color w:val="auto"/>
          <w:sz w:val="24"/>
        </w:rPr>
        <w:t>，</w:t>
      </w:r>
      <w:r w:rsidR="00366E06">
        <w:rPr>
          <w:rFonts w:ascii="Calibri" w:hAnsi="Calibri" w:hint="eastAsia"/>
          <w:color w:val="auto"/>
          <w:sz w:val="24"/>
        </w:rPr>
        <w:t>0.00013</w:t>
      </w:r>
      <w:r w:rsidR="00366E06" w:rsidRPr="00366E06">
        <w:rPr>
          <w:rFonts w:ascii="Calibri" w:hAnsi="Calibri"/>
          <w:color w:val="auto"/>
          <w:sz w:val="24"/>
        </w:rPr>
        <w:t>kg/h</w:t>
      </w:r>
      <w:r w:rsidR="000C3F07">
        <w:rPr>
          <w:rFonts w:ascii="Calibri" w:hAnsi="Calibri" w:hint="eastAsia"/>
          <w:color w:val="auto"/>
          <w:sz w:val="24"/>
        </w:rPr>
        <w:t>。</w:t>
      </w:r>
    </w:p>
    <w:p w14:paraId="4476C3A9" w14:textId="77777777" w:rsidR="000C3F07" w:rsidRPr="005158DE" w:rsidRDefault="000C3F07" w:rsidP="009A49D6">
      <w:pPr>
        <w:spacing w:line="520" w:lineRule="exact"/>
        <w:ind w:firstLineChars="200" w:firstLine="480"/>
        <w:rPr>
          <w:rFonts w:ascii="Calibri" w:hAnsi="Calibri"/>
          <w:color w:val="auto"/>
          <w:sz w:val="24"/>
        </w:rPr>
      </w:pPr>
      <w:r w:rsidRPr="005158DE">
        <w:rPr>
          <w:rFonts w:ascii="Calibri" w:hAnsi="Calibri" w:hint="eastAsia"/>
          <w:color w:val="auto"/>
          <w:sz w:val="24"/>
        </w:rPr>
        <w:t>（</w:t>
      </w:r>
      <w:r>
        <w:rPr>
          <w:rFonts w:ascii="Calibri" w:hAnsi="Calibri"/>
          <w:color w:val="auto"/>
          <w:sz w:val="24"/>
        </w:rPr>
        <w:t>2</w:t>
      </w:r>
      <w:r w:rsidRPr="005158DE">
        <w:rPr>
          <w:rFonts w:ascii="Calibri" w:hAnsi="Calibri" w:hint="eastAsia"/>
          <w:color w:val="auto"/>
          <w:sz w:val="24"/>
        </w:rPr>
        <w:t>）</w:t>
      </w:r>
      <w:r>
        <w:rPr>
          <w:rFonts w:ascii="Calibri" w:hAnsi="Calibri" w:hint="eastAsia"/>
          <w:color w:val="auto"/>
          <w:sz w:val="24"/>
        </w:rPr>
        <w:t>装置区</w:t>
      </w:r>
      <w:r w:rsidRPr="005158DE">
        <w:rPr>
          <w:rFonts w:ascii="Calibri" w:hAnsi="Calibri"/>
          <w:color w:val="auto"/>
          <w:sz w:val="24"/>
        </w:rPr>
        <w:t>无组织废气</w:t>
      </w:r>
    </w:p>
    <w:p w14:paraId="1B3CF52D" w14:textId="5AA35436" w:rsidR="00433709" w:rsidRPr="00A964FF" w:rsidRDefault="00433709" w:rsidP="00B71687">
      <w:pPr>
        <w:pStyle w:val="00"/>
        <w:jc w:val="left"/>
        <w:rPr>
          <w:rFonts w:ascii="Calibri" w:hAnsi="Calibri"/>
          <w:color w:val="auto"/>
        </w:rPr>
      </w:pPr>
      <w:r w:rsidRPr="00A964FF">
        <w:rPr>
          <w:rFonts w:ascii="Calibri" w:hAnsi="Calibri" w:hint="eastAsia"/>
          <w:color w:val="auto"/>
        </w:rPr>
        <w:t>本项目营运后无组织废气主要来源于生产单元及物料传输管道上所安装的法兰、阀门、泵体等紧固件其连接处所逸散出的废气，主要污染物为</w:t>
      </w:r>
      <w:r>
        <w:rPr>
          <w:rFonts w:ascii="Calibri" w:hAnsi="Calibri" w:hint="eastAsia"/>
          <w:color w:val="auto"/>
        </w:rPr>
        <w:t>非甲烷总烃</w:t>
      </w:r>
      <w:r w:rsidR="00B71687">
        <w:rPr>
          <w:rFonts w:ascii="Calibri" w:hAnsi="Calibri" w:hint="eastAsia"/>
          <w:color w:val="auto"/>
        </w:rPr>
        <w:t>（</w:t>
      </w:r>
      <w:r w:rsidR="00B71687" w:rsidRPr="00B71687">
        <w:rPr>
          <w:rFonts w:ascii="Calibri" w:hAnsi="Calibri" w:hint="eastAsia"/>
          <w:color w:val="auto"/>
        </w:rPr>
        <w:t>包含己二胺、己二酸、环戊酮、环己亚胺、</w:t>
      </w:r>
      <w:r w:rsidR="00B71687" w:rsidRPr="00B71687">
        <w:rPr>
          <w:rFonts w:ascii="Calibri" w:hAnsi="Calibri"/>
          <w:color w:val="auto"/>
        </w:rPr>
        <w:t>癸二酸、癸二胺</w:t>
      </w:r>
      <w:r w:rsidR="00B71687" w:rsidRPr="00B71687">
        <w:rPr>
          <w:rFonts w:ascii="Calibri" w:hAnsi="Calibri" w:hint="eastAsia"/>
          <w:color w:val="auto"/>
        </w:rPr>
        <w:t>、十二</w:t>
      </w:r>
      <w:r w:rsidR="00B71687" w:rsidRPr="00B71687">
        <w:rPr>
          <w:rFonts w:ascii="Calibri" w:hAnsi="Calibri"/>
          <w:color w:val="auto"/>
        </w:rPr>
        <w:t>内酰胺</w:t>
      </w:r>
      <w:r w:rsidR="00B71687">
        <w:rPr>
          <w:rFonts w:ascii="Calibri" w:hAnsi="Calibri" w:hint="eastAsia"/>
          <w:color w:val="auto"/>
        </w:rPr>
        <w:t>）</w:t>
      </w:r>
      <w:r w:rsidRPr="00A964FF">
        <w:rPr>
          <w:rFonts w:ascii="Calibri" w:hAnsi="Calibri" w:hint="eastAsia"/>
          <w:color w:val="auto"/>
        </w:rPr>
        <w:t>。</w:t>
      </w:r>
    </w:p>
    <w:p w14:paraId="0C967D77" w14:textId="77777777" w:rsidR="00433709" w:rsidRPr="00A964FF" w:rsidRDefault="00433709" w:rsidP="00695D64">
      <w:pPr>
        <w:pStyle w:val="00"/>
        <w:ind w:firstLine="482"/>
        <w:rPr>
          <w:rFonts w:ascii="Calibri" w:hAnsi="Calibri"/>
          <w:color w:val="auto"/>
        </w:rPr>
      </w:pPr>
      <w:r w:rsidRPr="00A964FF">
        <w:rPr>
          <w:rFonts w:ascii="Calibri"/>
          <w:color w:val="auto"/>
        </w:rPr>
        <w:t>参考目前石化行业</w:t>
      </w:r>
      <w:r w:rsidRPr="00A964FF">
        <w:rPr>
          <w:rFonts w:ascii="Calibri" w:hAnsi="Calibri"/>
          <w:color w:val="auto"/>
        </w:rPr>
        <w:t>VOCs</w:t>
      </w:r>
      <w:r w:rsidRPr="00A964FF">
        <w:rPr>
          <w:rFonts w:ascii="Calibri"/>
          <w:color w:val="auto"/>
        </w:rPr>
        <w:t>排放源治理可行技术，可采取的手段包括源头控制、后期治理两个方面，源头控制即在项目设计阶段通过优化工艺设计，减少动静密封点的数量，从设备上降低排放源数量，其次采用高品质、正规厂家生产的精良设备确保密封性良好，从设备精密程度上降低排放。后期治理即是加强生产期间</w:t>
      </w:r>
      <w:r w:rsidRPr="00A964FF">
        <w:rPr>
          <w:rFonts w:ascii="Calibri" w:hAnsi="Calibri"/>
          <w:color w:val="auto"/>
        </w:rPr>
        <w:t>VOCs</w:t>
      </w:r>
      <w:r w:rsidRPr="00A964FF">
        <w:rPr>
          <w:rFonts w:ascii="Calibri"/>
          <w:color w:val="auto"/>
        </w:rPr>
        <w:t>排放源的定期泄漏检测</w:t>
      </w:r>
      <w:r>
        <w:rPr>
          <w:rFonts w:ascii="Calibri" w:hint="eastAsia"/>
          <w:color w:val="auto"/>
        </w:rPr>
        <w:t>（</w:t>
      </w:r>
      <w:r>
        <w:rPr>
          <w:rFonts w:ascii="Calibri" w:hint="eastAsia"/>
          <w:color w:val="auto"/>
        </w:rPr>
        <w:t>LDAR</w:t>
      </w:r>
      <w:r>
        <w:rPr>
          <w:rFonts w:ascii="Calibri" w:hint="eastAsia"/>
          <w:color w:val="auto"/>
        </w:rPr>
        <w:t>）</w:t>
      </w:r>
      <w:r w:rsidRPr="00A964FF">
        <w:rPr>
          <w:rFonts w:ascii="Calibri"/>
          <w:color w:val="auto"/>
        </w:rPr>
        <w:t>，根据检测情况采取不同的修复手段，及时对泄漏设备进行维修，以此降低无组织排放。此外</w:t>
      </w:r>
      <w:r w:rsidRPr="00A964FF">
        <w:rPr>
          <w:rFonts w:ascii="Calibri" w:hint="eastAsia"/>
          <w:color w:val="auto"/>
        </w:rPr>
        <w:t>，建设单位</w:t>
      </w:r>
      <w:r w:rsidRPr="00A964FF">
        <w:rPr>
          <w:rFonts w:ascii="Calibri"/>
          <w:color w:val="auto"/>
        </w:rPr>
        <w:t>还应按照《挥发性有机物无组织排放控制标准》（</w:t>
      </w:r>
      <w:r w:rsidRPr="00A964FF">
        <w:rPr>
          <w:rFonts w:ascii="Calibri" w:hAnsi="Calibri"/>
          <w:color w:val="auto"/>
        </w:rPr>
        <w:t>GB37822-2019</w:t>
      </w:r>
      <w:r w:rsidRPr="00A964FF">
        <w:rPr>
          <w:rFonts w:ascii="Calibri"/>
          <w:color w:val="auto"/>
        </w:rPr>
        <w:t>）中要求，液态物料采用密闭管道输送，粉状物料采用密闭固</w:t>
      </w:r>
      <w:r w:rsidRPr="00A964FF">
        <w:rPr>
          <w:rFonts w:ascii="Calibri"/>
          <w:color w:val="auto"/>
        </w:rPr>
        <w:lastRenderedPageBreak/>
        <w:t>体投料器等给料方式密闭投</w:t>
      </w:r>
      <w:r w:rsidRPr="00A964FF">
        <w:rPr>
          <w:rFonts w:ascii="Calibri" w:hint="eastAsia"/>
          <w:color w:val="auto"/>
        </w:rPr>
        <w:t>加</w:t>
      </w:r>
      <w:r w:rsidRPr="00A964FF">
        <w:rPr>
          <w:rFonts w:ascii="Calibri"/>
          <w:color w:val="auto"/>
        </w:rPr>
        <w:t>，液态原料、产品及中间产物采用密闭储罐储存，并通过选用密闭设备、加强溶剂回收、加强不凝气的收集、加强设备检修维护等措施，尽可能减少废气无组织排放。</w:t>
      </w:r>
    </w:p>
    <w:p w14:paraId="7B0FCE83" w14:textId="77777777" w:rsidR="00433709" w:rsidRPr="00A964FF" w:rsidRDefault="00433709" w:rsidP="00433709">
      <w:pPr>
        <w:pStyle w:val="00"/>
        <w:rPr>
          <w:rFonts w:ascii="Calibri" w:hAnsi="Calibri"/>
          <w:color w:val="auto"/>
        </w:rPr>
      </w:pPr>
      <w:r w:rsidRPr="00A964FF">
        <w:rPr>
          <w:rFonts w:ascii="Calibri" w:hAnsi="Calibri" w:hint="eastAsia"/>
          <w:color w:val="auto"/>
        </w:rPr>
        <w:t>对于本项目生产过程中</w:t>
      </w:r>
      <w:r w:rsidRPr="00A964FF">
        <w:rPr>
          <w:rFonts w:ascii="Calibri" w:hAnsi="Calibri" w:hint="eastAsia"/>
          <w:color w:val="auto"/>
        </w:rPr>
        <w:t>VOCs</w:t>
      </w:r>
      <w:r w:rsidRPr="00A964FF">
        <w:rPr>
          <w:rFonts w:ascii="Calibri" w:hAnsi="Calibri" w:hint="eastAsia"/>
          <w:color w:val="auto"/>
        </w:rPr>
        <w:t>无组织排放量</w:t>
      </w:r>
      <w:r w:rsidRPr="00A964FF">
        <w:rPr>
          <w:rFonts w:ascii="Calibri"/>
          <w:color w:val="auto"/>
          <w:kern w:val="1"/>
        </w:rPr>
        <w:t>参照《石化行业建设项目挥发性有机物（</w:t>
      </w:r>
      <w:r w:rsidRPr="00A964FF">
        <w:rPr>
          <w:rFonts w:ascii="Calibri" w:hAnsi="Calibri"/>
          <w:color w:val="auto"/>
          <w:kern w:val="1"/>
        </w:rPr>
        <w:t>VOCs</w:t>
      </w:r>
      <w:r w:rsidRPr="00A964FF">
        <w:rPr>
          <w:rFonts w:ascii="Calibri"/>
          <w:color w:val="auto"/>
          <w:kern w:val="1"/>
        </w:rPr>
        <w:t>）排放量估算方法技术指南（试行）》中方法对设备的动静密封点进行核算，设备动静密封点泄漏排放量核算方法包括：实测法、相关方程法、筛选范围法、平均排放系数法。</w:t>
      </w:r>
    </w:p>
    <w:p w14:paraId="2872685C" w14:textId="77777777" w:rsidR="00433709" w:rsidRPr="00A964FF" w:rsidRDefault="00433709" w:rsidP="00433709">
      <w:pPr>
        <w:pStyle w:val="00"/>
        <w:jc w:val="left"/>
        <w:rPr>
          <w:rFonts w:ascii="Calibri" w:hAnsi="Calibri"/>
          <w:color w:val="auto"/>
          <w:kern w:val="1"/>
        </w:rPr>
      </w:pPr>
      <w:r w:rsidRPr="00A964FF">
        <w:rPr>
          <w:rFonts w:ascii="Calibri"/>
          <w:color w:val="auto"/>
          <w:kern w:val="1"/>
        </w:rPr>
        <w:t>①</w:t>
      </w:r>
      <w:r w:rsidRPr="00A964FF">
        <w:rPr>
          <w:rFonts w:ascii="Calibri" w:hAnsi="Calibri"/>
          <w:color w:val="auto"/>
          <w:kern w:val="1"/>
        </w:rPr>
        <w:t xml:space="preserve"> </w:t>
      </w:r>
      <w:r w:rsidRPr="00A964FF">
        <w:rPr>
          <w:rFonts w:ascii="Calibri"/>
          <w:color w:val="auto"/>
          <w:kern w:val="1"/>
        </w:rPr>
        <w:t>密封点泄漏状态下</w:t>
      </w:r>
      <w:r w:rsidRPr="00A964FF">
        <w:rPr>
          <w:rFonts w:ascii="Calibri" w:hint="eastAsia"/>
          <w:color w:val="auto"/>
          <w:kern w:val="1"/>
        </w:rPr>
        <w:t>VOCs</w:t>
      </w:r>
      <w:r w:rsidRPr="00A964FF">
        <w:rPr>
          <w:rFonts w:ascii="Calibri"/>
          <w:color w:val="auto"/>
          <w:kern w:val="1"/>
        </w:rPr>
        <w:t>排放量</w:t>
      </w:r>
    </w:p>
    <w:p w14:paraId="481A5322" w14:textId="77777777" w:rsidR="00433709" w:rsidRPr="00A964FF" w:rsidRDefault="00433709" w:rsidP="00433709">
      <w:pPr>
        <w:pStyle w:val="00"/>
        <w:jc w:val="left"/>
        <w:rPr>
          <w:rFonts w:ascii="Calibri" w:hAnsi="Calibri"/>
          <w:color w:val="auto"/>
        </w:rPr>
      </w:pPr>
      <w:r w:rsidRPr="00A964FF">
        <w:rPr>
          <w:rFonts w:ascii="Calibri"/>
          <w:color w:val="auto"/>
        </w:rPr>
        <w:t>对于</w:t>
      </w:r>
      <w:r w:rsidRPr="00A964FF">
        <w:rPr>
          <w:rFonts w:ascii="Calibri" w:hint="eastAsia"/>
          <w:color w:val="auto"/>
        </w:rPr>
        <w:t>生产区</w:t>
      </w:r>
      <w:r w:rsidRPr="00A964FF">
        <w:rPr>
          <w:rFonts w:ascii="Calibri"/>
          <w:color w:val="auto"/>
        </w:rPr>
        <w:t>密封点泄漏状态下</w:t>
      </w:r>
      <w:r w:rsidRPr="00A964FF">
        <w:rPr>
          <w:rFonts w:ascii="Calibri" w:hint="eastAsia"/>
          <w:color w:val="auto"/>
        </w:rPr>
        <w:t>VOCs</w:t>
      </w:r>
      <w:r w:rsidRPr="00A964FF">
        <w:rPr>
          <w:rFonts w:ascii="Calibri"/>
          <w:color w:val="auto"/>
        </w:rPr>
        <w:t>无组织排放量，</w:t>
      </w:r>
      <w:r w:rsidRPr="00A964FF">
        <w:rPr>
          <w:rFonts w:ascii="Calibri"/>
          <w:color w:val="auto"/>
          <w:kern w:val="1"/>
        </w:rPr>
        <w:t>本次评价</w:t>
      </w:r>
      <w:r w:rsidRPr="00A964FF">
        <w:rPr>
          <w:rFonts w:ascii="Calibri" w:hint="eastAsia"/>
          <w:color w:val="auto"/>
          <w:kern w:val="1"/>
        </w:rPr>
        <w:t>参考</w:t>
      </w:r>
      <w:r w:rsidRPr="00A964FF">
        <w:rPr>
          <w:rFonts w:ascii="Calibri"/>
          <w:color w:val="auto"/>
          <w:kern w:val="1"/>
        </w:rPr>
        <w:t>《排污许可证申请与核发技术规范</w:t>
      </w:r>
      <w:r w:rsidRPr="00A964FF">
        <w:rPr>
          <w:rFonts w:ascii="Calibri" w:hAnsi="Calibri"/>
          <w:color w:val="auto"/>
          <w:kern w:val="1"/>
        </w:rPr>
        <w:t xml:space="preserve"> </w:t>
      </w:r>
      <w:r w:rsidRPr="00A964FF">
        <w:rPr>
          <w:rFonts w:ascii="Calibri"/>
          <w:color w:val="auto"/>
          <w:kern w:val="1"/>
        </w:rPr>
        <w:t>石化工业》（</w:t>
      </w:r>
      <w:r w:rsidRPr="00A964FF">
        <w:rPr>
          <w:rFonts w:ascii="Calibri" w:hAnsi="Calibri"/>
          <w:color w:val="auto"/>
          <w:kern w:val="1"/>
        </w:rPr>
        <w:t>HJ853-2017</w:t>
      </w:r>
      <w:r w:rsidRPr="00A964FF">
        <w:rPr>
          <w:rFonts w:ascii="Calibri"/>
          <w:color w:val="auto"/>
          <w:kern w:val="1"/>
        </w:rPr>
        <w:t>）中</w:t>
      </w:r>
      <w:r w:rsidRPr="0002168D">
        <w:rPr>
          <w:rFonts w:asciiTheme="minorEastAsia" w:eastAsiaTheme="minorEastAsia" w:hAnsiTheme="minorEastAsia"/>
          <w:color w:val="auto"/>
          <w:kern w:val="1"/>
        </w:rPr>
        <w:t>“挥发性有机物流经的设备与管线组件密封点泄漏的挥发性有机物年许可排放量”进</w:t>
      </w:r>
      <w:r w:rsidRPr="00A964FF">
        <w:rPr>
          <w:rFonts w:ascii="Calibri"/>
          <w:color w:val="auto"/>
          <w:kern w:val="1"/>
        </w:rPr>
        <w:t>行估算，公式如下：</w:t>
      </w:r>
    </w:p>
    <w:p w14:paraId="34F424A8" w14:textId="77777777" w:rsidR="00433709" w:rsidRPr="00A964FF" w:rsidRDefault="00433709" w:rsidP="00433709">
      <w:pPr>
        <w:pStyle w:val="00"/>
        <w:spacing w:line="360" w:lineRule="auto"/>
        <w:ind w:firstLine="482"/>
        <w:jc w:val="left"/>
        <w:rPr>
          <w:rFonts w:ascii="Calibri" w:hAnsi="Calibri"/>
          <w:color w:val="auto"/>
        </w:rPr>
      </w:pPr>
      <w:r w:rsidRPr="00A964FF">
        <w:rPr>
          <w:rFonts w:ascii="Calibri" w:hAnsi="Calibri"/>
          <w:color w:val="auto"/>
          <w:position w:val="-34"/>
        </w:rPr>
        <w:object w:dxaOrig="3680" w:dyaOrig="800" w14:anchorId="3FEED086">
          <v:shape id="_x0000_i1026" type="#_x0000_t75" style="width:186.6pt;height:42.6pt" o:ole="">
            <v:imagedata r:id="rId21" o:title=""/>
          </v:shape>
          <o:OLEObject Type="Embed" ProgID="Equation.3" ShapeID="_x0000_i1026" DrawAspect="Content" ObjectID="_1725951952" r:id="rId22"/>
        </w:object>
      </w:r>
    </w:p>
    <w:p w14:paraId="152F0AB0" w14:textId="77777777" w:rsidR="00433709" w:rsidRPr="00A964FF" w:rsidRDefault="00433709" w:rsidP="00433709">
      <w:pPr>
        <w:pStyle w:val="00"/>
        <w:jc w:val="left"/>
        <w:rPr>
          <w:rFonts w:ascii="Calibri" w:hAnsi="Calibri"/>
          <w:color w:val="auto"/>
        </w:rPr>
      </w:pPr>
      <w:r w:rsidRPr="00A964FF">
        <w:rPr>
          <w:rFonts w:ascii="Calibri"/>
          <w:color w:val="auto"/>
        </w:rPr>
        <w:t>式中：</w:t>
      </w:r>
      <w:r w:rsidRPr="00A964FF">
        <w:rPr>
          <w:rFonts w:ascii="Calibri" w:hAnsi="Calibri"/>
          <w:color w:val="auto"/>
        </w:rPr>
        <w:t>E</w:t>
      </w:r>
      <w:r w:rsidRPr="00A964FF">
        <w:rPr>
          <w:rFonts w:ascii="Calibri"/>
          <w:color w:val="auto"/>
          <w:vertAlign w:val="subscript"/>
        </w:rPr>
        <w:t>设备</w:t>
      </w:r>
      <w:r w:rsidRPr="00A964FF">
        <w:rPr>
          <w:rFonts w:ascii="Calibri" w:hAnsi="Calibri"/>
          <w:color w:val="auto"/>
        </w:rPr>
        <w:t>——</w:t>
      </w:r>
      <w:r w:rsidRPr="00A964FF">
        <w:rPr>
          <w:rFonts w:ascii="Calibri"/>
          <w:color w:val="auto"/>
        </w:rPr>
        <w:t>设备与管线组件密封点泄漏的挥发性有机物年许可排放量，</w:t>
      </w:r>
      <w:r w:rsidRPr="00A964FF">
        <w:rPr>
          <w:rFonts w:ascii="Calibri" w:hAnsi="Calibri"/>
          <w:color w:val="auto"/>
        </w:rPr>
        <w:t>kg/a</w:t>
      </w:r>
      <w:r w:rsidRPr="00A964FF">
        <w:rPr>
          <w:rFonts w:ascii="Calibri"/>
          <w:color w:val="auto"/>
        </w:rPr>
        <w:t>；</w:t>
      </w:r>
    </w:p>
    <w:p w14:paraId="48B9CA9E" w14:textId="77777777" w:rsidR="00433709" w:rsidRPr="00A964FF" w:rsidRDefault="00433709" w:rsidP="00433709">
      <w:pPr>
        <w:pStyle w:val="00"/>
        <w:ind w:firstLineChars="450" w:firstLine="1080"/>
        <w:jc w:val="left"/>
        <w:rPr>
          <w:rFonts w:ascii="Calibri" w:hAnsi="Calibri"/>
          <w:color w:val="auto"/>
        </w:rPr>
      </w:pPr>
      <w:r w:rsidRPr="00A964FF">
        <w:rPr>
          <w:rFonts w:ascii="Calibri" w:hAnsi="Calibri"/>
          <w:color w:val="auto"/>
        </w:rPr>
        <w:t>t</w:t>
      </w:r>
      <w:r w:rsidRPr="00A964FF">
        <w:rPr>
          <w:rFonts w:ascii="Calibri" w:hAnsi="Calibri"/>
          <w:color w:val="auto"/>
          <w:vertAlign w:val="subscript"/>
        </w:rPr>
        <w:t>i</w:t>
      </w:r>
      <w:r w:rsidRPr="00A964FF">
        <w:rPr>
          <w:rFonts w:ascii="Calibri" w:hAnsi="Calibri"/>
          <w:color w:val="auto"/>
        </w:rPr>
        <w:t>——</w:t>
      </w:r>
      <w:r w:rsidRPr="00A964FF">
        <w:rPr>
          <w:rFonts w:ascii="Calibri"/>
          <w:color w:val="auto"/>
        </w:rPr>
        <w:t>密封点</w:t>
      </w:r>
      <w:r w:rsidRPr="00A964FF">
        <w:rPr>
          <w:rFonts w:ascii="Calibri" w:hAnsi="Calibri"/>
          <w:color w:val="auto"/>
        </w:rPr>
        <w:t>i</w:t>
      </w:r>
      <w:r w:rsidRPr="00A964FF">
        <w:rPr>
          <w:rFonts w:ascii="Calibri"/>
          <w:color w:val="auto"/>
        </w:rPr>
        <w:t>的年运行时间，</w:t>
      </w:r>
      <w:r w:rsidRPr="00A964FF">
        <w:rPr>
          <w:rFonts w:ascii="Calibri" w:hAnsi="Calibri"/>
          <w:color w:val="auto"/>
        </w:rPr>
        <w:t>h/a</w:t>
      </w:r>
      <w:r w:rsidRPr="00A964FF">
        <w:rPr>
          <w:rFonts w:ascii="Calibri"/>
          <w:color w:val="auto"/>
        </w:rPr>
        <w:t>，取</w:t>
      </w:r>
      <w:r>
        <w:rPr>
          <w:rFonts w:ascii="Calibri" w:hAnsi="Calibri"/>
          <w:color w:val="auto"/>
        </w:rPr>
        <w:t>7200</w:t>
      </w:r>
      <w:r w:rsidRPr="00A964FF">
        <w:rPr>
          <w:rFonts w:ascii="Calibri" w:hAnsi="Calibri"/>
          <w:color w:val="auto"/>
        </w:rPr>
        <w:t>h</w:t>
      </w:r>
      <w:r w:rsidRPr="00A964FF">
        <w:rPr>
          <w:rFonts w:ascii="Calibri"/>
          <w:color w:val="auto"/>
        </w:rPr>
        <w:t>；</w:t>
      </w:r>
    </w:p>
    <w:p w14:paraId="1A9EF095" w14:textId="77777777" w:rsidR="00433709" w:rsidRPr="00A964FF" w:rsidRDefault="00433709" w:rsidP="00433709">
      <w:pPr>
        <w:pStyle w:val="00"/>
        <w:ind w:firstLineChars="400" w:firstLine="960"/>
        <w:jc w:val="left"/>
        <w:rPr>
          <w:rFonts w:ascii="Calibri" w:hAnsi="Calibri"/>
          <w:color w:val="auto"/>
        </w:rPr>
      </w:pPr>
      <w:r w:rsidRPr="00A964FF">
        <w:rPr>
          <w:rFonts w:ascii="Calibri" w:hAnsi="Calibri"/>
          <w:color w:val="auto"/>
        </w:rPr>
        <w:t>e</w:t>
      </w:r>
      <w:r w:rsidRPr="00A964FF">
        <w:rPr>
          <w:rFonts w:ascii="Calibri" w:hAnsi="Calibri"/>
          <w:color w:val="auto"/>
          <w:vertAlign w:val="subscript"/>
        </w:rPr>
        <w:t>TOC</w:t>
      </w:r>
      <w:r w:rsidRPr="00A964FF">
        <w:rPr>
          <w:rFonts w:ascii="Calibri"/>
          <w:color w:val="auto"/>
          <w:vertAlign w:val="subscript"/>
        </w:rPr>
        <w:t>，</w:t>
      </w:r>
      <w:r w:rsidRPr="00A964FF">
        <w:rPr>
          <w:rFonts w:ascii="Calibri" w:hAnsi="Calibri"/>
          <w:color w:val="auto"/>
          <w:vertAlign w:val="subscript"/>
        </w:rPr>
        <w:t>i</w:t>
      </w:r>
      <w:r w:rsidRPr="00A964FF">
        <w:rPr>
          <w:rFonts w:ascii="Calibri" w:hAnsi="Calibri"/>
          <w:color w:val="auto"/>
        </w:rPr>
        <w:t>——</w:t>
      </w:r>
      <w:r w:rsidRPr="00A964FF">
        <w:rPr>
          <w:rFonts w:ascii="Calibri"/>
          <w:color w:val="auto"/>
        </w:rPr>
        <w:t>密封点</w:t>
      </w:r>
      <w:r w:rsidRPr="00A964FF">
        <w:rPr>
          <w:rFonts w:ascii="Calibri" w:hAnsi="Calibri"/>
          <w:color w:val="auto"/>
        </w:rPr>
        <w:t>i</w:t>
      </w:r>
      <w:r w:rsidRPr="00A964FF">
        <w:rPr>
          <w:rFonts w:ascii="Calibri"/>
          <w:color w:val="auto"/>
        </w:rPr>
        <w:t>的总有机碳（</w:t>
      </w:r>
      <w:r w:rsidRPr="00A964FF">
        <w:rPr>
          <w:rFonts w:ascii="Calibri" w:hAnsi="Calibri"/>
          <w:color w:val="auto"/>
        </w:rPr>
        <w:t>TOC</w:t>
      </w:r>
      <w:r w:rsidRPr="00A964FF">
        <w:rPr>
          <w:rFonts w:ascii="Calibri"/>
          <w:color w:val="auto"/>
        </w:rPr>
        <w:t>）的排放速率，</w:t>
      </w:r>
      <w:r w:rsidRPr="00A964FF">
        <w:rPr>
          <w:rFonts w:ascii="Calibri" w:hAnsi="Calibri"/>
          <w:color w:val="auto"/>
        </w:rPr>
        <w:t>kg/h</w:t>
      </w:r>
      <w:r w:rsidRPr="00A964FF">
        <w:rPr>
          <w:rFonts w:ascii="Calibri"/>
          <w:color w:val="auto"/>
        </w:rPr>
        <w:t>，系数见下表；</w:t>
      </w:r>
    </w:p>
    <w:p w14:paraId="5E804E28" w14:textId="77777777" w:rsidR="00433709" w:rsidRPr="00A964FF" w:rsidRDefault="00433709" w:rsidP="00433709">
      <w:pPr>
        <w:pStyle w:val="00"/>
        <w:ind w:firstLineChars="400" w:firstLine="960"/>
        <w:jc w:val="left"/>
        <w:rPr>
          <w:rFonts w:ascii="Calibri" w:hAnsi="Calibri"/>
          <w:color w:val="auto"/>
        </w:rPr>
      </w:pPr>
      <w:r w:rsidRPr="00A964FF">
        <w:rPr>
          <w:rFonts w:ascii="Calibri" w:hAnsi="Calibri"/>
          <w:color w:val="auto"/>
        </w:rPr>
        <w:t>WF</w:t>
      </w:r>
      <w:r w:rsidRPr="00A964FF">
        <w:rPr>
          <w:rFonts w:ascii="Calibri" w:hAnsi="Calibri"/>
          <w:color w:val="auto"/>
          <w:vertAlign w:val="subscript"/>
        </w:rPr>
        <w:t>VOCS</w:t>
      </w:r>
      <w:r w:rsidRPr="00A964FF">
        <w:rPr>
          <w:rFonts w:ascii="Calibri"/>
          <w:color w:val="auto"/>
          <w:vertAlign w:val="subscript"/>
        </w:rPr>
        <w:t>，</w:t>
      </w:r>
      <w:r w:rsidRPr="00A964FF">
        <w:rPr>
          <w:rFonts w:ascii="Calibri" w:hAnsi="Calibri"/>
          <w:color w:val="auto"/>
          <w:vertAlign w:val="subscript"/>
        </w:rPr>
        <w:t>i</w:t>
      </w:r>
      <w:r w:rsidRPr="00A964FF">
        <w:rPr>
          <w:rFonts w:ascii="Calibri" w:hAnsi="Calibri"/>
          <w:color w:val="auto"/>
        </w:rPr>
        <w:t>——</w:t>
      </w:r>
      <w:r w:rsidRPr="00A964FF">
        <w:rPr>
          <w:rFonts w:ascii="Calibri"/>
          <w:color w:val="auto"/>
        </w:rPr>
        <w:t>流经密封点</w:t>
      </w:r>
      <w:r w:rsidRPr="00A964FF">
        <w:rPr>
          <w:rFonts w:ascii="Calibri" w:hAnsi="Calibri"/>
          <w:color w:val="auto"/>
        </w:rPr>
        <w:t>i</w:t>
      </w:r>
      <w:r w:rsidRPr="00A964FF">
        <w:rPr>
          <w:rFonts w:ascii="Calibri"/>
          <w:color w:val="auto"/>
        </w:rPr>
        <w:t>的物料中挥发性有机物平均质量分数；</w:t>
      </w:r>
    </w:p>
    <w:p w14:paraId="7B43400D" w14:textId="77777777" w:rsidR="00433709" w:rsidRPr="00A964FF" w:rsidRDefault="00433709" w:rsidP="00433709">
      <w:pPr>
        <w:pStyle w:val="00"/>
        <w:ind w:firstLineChars="400" w:firstLine="960"/>
        <w:jc w:val="left"/>
        <w:rPr>
          <w:rFonts w:ascii="Calibri" w:hAnsi="Calibri"/>
          <w:color w:val="auto"/>
        </w:rPr>
      </w:pPr>
      <w:r w:rsidRPr="00A964FF">
        <w:rPr>
          <w:rFonts w:ascii="Calibri" w:hAnsi="Calibri"/>
          <w:color w:val="auto"/>
        </w:rPr>
        <w:t>WF</w:t>
      </w:r>
      <w:r w:rsidRPr="00A964FF">
        <w:rPr>
          <w:rFonts w:ascii="Calibri" w:hAnsi="Calibri"/>
          <w:color w:val="auto"/>
          <w:vertAlign w:val="subscript"/>
        </w:rPr>
        <w:t>TOC</w:t>
      </w:r>
      <w:r w:rsidRPr="00A964FF">
        <w:rPr>
          <w:rFonts w:ascii="Calibri"/>
          <w:color w:val="auto"/>
          <w:vertAlign w:val="subscript"/>
        </w:rPr>
        <w:t>，</w:t>
      </w:r>
      <w:r w:rsidRPr="00A964FF">
        <w:rPr>
          <w:rFonts w:ascii="Calibri" w:hAnsi="Calibri"/>
          <w:color w:val="auto"/>
          <w:vertAlign w:val="subscript"/>
        </w:rPr>
        <w:t>i</w:t>
      </w:r>
      <w:r w:rsidRPr="00A964FF">
        <w:rPr>
          <w:rFonts w:ascii="Calibri" w:hAnsi="Calibri"/>
          <w:color w:val="auto"/>
        </w:rPr>
        <w:t>——</w:t>
      </w:r>
      <w:r w:rsidRPr="00A964FF">
        <w:rPr>
          <w:rFonts w:ascii="Calibri"/>
          <w:color w:val="auto"/>
        </w:rPr>
        <w:t>流经密封点</w:t>
      </w:r>
      <w:r w:rsidRPr="00A964FF">
        <w:rPr>
          <w:rFonts w:ascii="Calibri" w:hAnsi="Calibri"/>
          <w:color w:val="auto"/>
        </w:rPr>
        <w:t>i</w:t>
      </w:r>
      <w:r w:rsidRPr="00A964FF">
        <w:rPr>
          <w:rFonts w:ascii="Calibri"/>
          <w:color w:val="auto"/>
        </w:rPr>
        <w:t>的物料中总有机碳（</w:t>
      </w:r>
      <w:r w:rsidRPr="00A964FF">
        <w:rPr>
          <w:rFonts w:ascii="Calibri" w:hAnsi="Calibri"/>
          <w:color w:val="auto"/>
        </w:rPr>
        <w:t>TOC</w:t>
      </w:r>
      <w:r w:rsidRPr="00A964FF">
        <w:rPr>
          <w:rFonts w:ascii="Calibri"/>
          <w:color w:val="auto"/>
        </w:rPr>
        <w:t>）平均质量分数；</w:t>
      </w:r>
      <w:r>
        <w:rPr>
          <w:rFonts w:ascii="Calibri" w:hint="eastAsia"/>
          <w:color w:val="auto"/>
        </w:rPr>
        <w:t>参考</w:t>
      </w:r>
      <w:r>
        <w:rPr>
          <w:rFonts w:ascii="Calibri"/>
          <w:color w:val="auto"/>
        </w:rPr>
        <w:t>石油化学工业，</w:t>
      </w:r>
      <w:r w:rsidRPr="00A964FF">
        <w:rPr>
          <w:rFonts w:ascii="Calibri"/>
          <w:color w:val="auto"/>
          <w:kern w:val="1"/>
        </w:rPr>
        <w:t>考虑流经密封点的物料</w:t>
      </w:r>
      <w:r w:rsidRPr="00A964FF">
        <w:rPr>
          <w:rFonts w:ascii="Calibri" w:hAnsi="Calibri"/>
          <w:color w:val="auto"/>
          <w:kern w:val="1"/>
        </w:rPr>
        <w:t>100%</w:t>
      </w:r>
      <w:r w:rsidRPr="00A964FF">
        <w:rPr>
          <w:rFonts w:ascii="Calibri"/>
          <w:color w:val="auto"/>
          <w:kern w:val="1"/>
        </w:rPr>
        <w:t>挥发</w:t>
      </w:r>
      <w:r w:rsidRPr="00A964FF">
        <w:rPr>
          <w:rFonts w:ascii="Calibri"/>
          <w:color w:val="auto"/>
        </w:rPr>
        <w:t>，则</w:t>
      </w:r>
      <w:r w:rsidRPr="00A964FF">
        <w:rPr>
          <w:rFonts w:ascii="Calibri" w:hAnsi="Calibri"/>
          <w:color w:val="auto"/>
        </w:rPr>
        <w:t>WF</w:t>
      </w:r>
      <w:r w:rsidRPr="00A964FF">
        <w:rPr>
          <w:rFonts w:ascii="Calibri" w:hAnsi="Calibri"/>
          <w:color w:val="auto"/>
          <w:vertAlign w:val="subscript"/>
        </w:rPr>
        <w:t>VOCS</w:t>
      </w:r>
      <w:r w:rsidRPr="00A964FF">
        <w:rPr>
          <w:rFonts w:ascii="Calibri"/>
          <w:color w:val="auto"/>
          <w:vertAlign w:val="subscript"/>
        </w:rPr>
        <w:t>，</w:t>
      </w:r>
      <w:r w:rsidRPr="00A964FF">
        <w:rPr>
          <w:rFonts w:ascii="Calibri" w:hAnsi="Calibri"/>
          <w:color w:val="auto"/>
          <w:vertAlign w:val="subscript"/>
        </w:rPr>
        <w:t>I</w:t>
      </w:r>
      <w:r w:rsidRPr="00A964FF">
        <w:rPr>
          <w:rFonts w:ascii="Calibri" w:hAnsi="Calibri"/>
          <w:color w:val="auto"/>
        </w:rPr>
        <w:t>/WF</w:t>
      </w:r>
      <w:r w:rsidRPr="00A964FF">
        <w:rPr>
          <w:rFonts w:ascii="Calibri" w:hAnsi="Calibri"/>
          <w:color w:val="auto"/>
          <w:vertAlign w:val="subscript"/>
        </w:rPr>
        <w:t>TOC</w:t>
      </w:r>
      <w:r w:rsidRPr="00A964FF">
        <w:rPr>
          <w:rFonts w:ascii="Calibri"/>
          <w:color w:val="auto"/>
          <w:vertAlign w:val="subscript"/>
        </w:rPr>
        <w:t>，</w:t>
      </w:r>
      <w:r w:rsidRPr="00A964FF">
        <w:rPr>
          <w:rFonts w:ascii="Calibri" w:hAnsi="Calibri"/>
          <w:color w:val="auto"/>
          <w:vertAlign w:val="subscript"/>
        </w:rPr>
        <w:t>i</w:t>
      </w:r>
      <w:r w:rsidRPr="00A964FF">
        <w:rPr>
          <w:rFonts w:ascii="Calibri"/>
          <w:color w:val="auto"/>
        </w:rPr>
        <w:t>取值为</w:t>
      </w:r>
      <w:r w:rsidRPr="00A964FF">
        <w:rPr>
          <w:rFonts w:ascii="Calibri" w:hAnsi="Calibri"/>
          <w:color w:val="auto"/>
        </w:rPr>
        <w:t>1</w:t>
      </w:r>
      <w:r w:rsidRPr="00A964FF">
        <w:rPr>
          <w:rFonts w:ascii="Calibri"/>
          <w:color w:val="auto"/>
        </w:rPr>
        <w:t>；</w:t>
      </w:r>
    </w:p>
    <w:p w14:paraId="2608C21F" w14:textId="5E805F87" w:rsidR="001D3D21" w:rsidRPr="00B71687" w:rsidRDefault="00433709" w:rsidP="00B71687">
      <w:pPr>
        <w:pStyle w:val="00"/>
        <w:ind w:firstLineChars="400" w:firstLine="960"/>
        <w:jc w:val="left"/>
        <w:rPr>
          <w:rFonts w:ascii="Calibri"/>
          <w:color w:val="auto"/>
        </w:rPr>
      </w:pPr>
      <w:r w:rsidRPr="00A964FF">
        <w:rPr>
          <w:rFonts w:ascii="Calibri" w:hAnsi="Calibri"/>
          <w:color w:val="auto"/>
        </w:rPr>
        <w:t>n——</w:t>
      </w:r>
      <w:r w:rsidRPr="00A964FF">
        <w:rPr>
          <w:rFonts w:ascii="Calibri"/>
          <w:color w:val="auto"/>
        </w:rPr>
        <w:t>挥发性有机物流经的设备与管线组件密封点数。</w:t>
      </w:r>
    </w:p>
    <w:p w14:paraId="390BF55B" w14:textId="77777777" w:rsidR="00433709" w:rsidRPr="00A964FF" w:rsidRDefault="00433709" w:rsidP="00433709">
      <w:pPr>
        <w:spacing w:line="520" w:lineRule="exact"/>
        <w:ind w:firstLineChars="200" w:firstLine="480"/>
        <w:rPr>
          <w:rFonts w:ascii="黑体" w:eastAsia="黑体" w:hAnsi="黑体"/>
          <w:color w:val="auto"/>
          <w:sz w:val="24"/>
        </w:rPr>
      </w:pPr>
      <w:r w:rsidRPr="00A964FF">
        <w:rPr>
          <w:rFonts w:ascii="Calibri" w:eastAsia="黑体" w:hAnsi="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.3</w:t>
      </w:r>
      <w:r w:rsidRPr="00A964FF">
        <w:rPr>
          <w:rFonts w:ascii="Calibri" w:eastAsia="黑体" w:hAnsi="Calibri"/>
          <w:color w:val="auto"/>
          <w:sz w:val="24"/>
        </w:rPr>
        <w:t>-</w:t>
      </w:r>
      <w:r w:rsidR="005E5F3B">
        <w:rPr>
          <w:rFonts w:ascii="Calibri" w:eastAsia="黑体" w:hAnsi="Calibri"/>
          <w:color w:val="auto"/>
          <w:sz w:val="24"/>
        </w:rPr>
        <w:t>6</w:t>
      </w:r>
      <w:r w:rsidRPr="00A964FF">
        <w:rPr>
          <w:rFonts w:ascii="Calibri" w:eastAsia="黑体" w:hAnsi="Calibri"/>
          <w:color w:val="auto"/>
          <w:sz w:val="24"/>
        </w:rPr>
        <w:t xml:space="preserve">  </w:t>
      </w:r>
      <w:r w:rsidRPr="00A964FF">
        <w:rPr>
          <w:rFonts w:ascii="黑体" w:eastAsia="黑体" w:hAnsi="黑体"/>
          <w:color w:val="auto"/>
          <w:sz w:val="24"/>
        </w:rPr>
        <w:t xml:space="preserve">           设备与管线组建e</w:t>
      </w:r>
      <w:r w:rsidRPr="00A964FF">
        <w:rPr>
          <w:rFonts w:ascii="黑体" w:eastAsia="黑体" w:hAnsi="黑体"/>
          <w:color w:val="auto"/>
          <w:sz w:val="24"/>
          <w:vertAlign w:val="subscript"/>
        </w:rPr>
        <w:t>TOC，i</w:t>
      </w:r>
      <w:r w:rsidRPr="00A964FF">
        <w:rPr>
          <w:rFonts w:ascii="黑体" w:eastAsia="黑体" w:hAnsi="黑体"/>
          <w:color w:val="auto"/>
          <w:sz w:val="24"/>
        </w:rPr>
        <w:t>取值参数表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96"/>
        <w:gridCol w:w="3584"/>
        <w:gridCol w:w="4320"/>
      </w:tblGrid>
      <w:tr w:rsidR="00433709" w:rsidRPr="00A964FF" w14:paraId="592A1279" w14:textId="77777777" w:rsidTr="00433709">
        <w:trPr>
          <w:trHeight w:val="340"/>
          <w:jc w:val="center"/>
        </w:trPr>
        <w:tc>
          <w:tcPr>
            <w:tcW w:w="457" w:type="pct"/>
            <w:tcBorders>
              <w:right w:val="single" w:sz="4" w:space="0" w:color="auto"/>
            </w:tcBorders>
            <w:vAlign w:val="center"/>
          </w:tcPr>
          <w:p w14:paraId="1AD07296"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序号</w:t>
            </w:r>
          </w:p>
        </w:tc>
        <w:tc>
          <w:tcPr>
            <w:tcW w:w="2060" w:type="pct"/>
            <w:tcBorders>
              <w:left w:val="single" w:sz="4" w:space="0" w:color="auto"/>
              <w:right w:val="single" w:sz="4" w:space="0" w:color="auto"/>
            </w:tcBorders>
            <w:vAlign w:val="center"/>
          </w:tcPr>
          <w:p w14:paraId="49C8A5C1"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设备类型</w:t>
            </w:r>
          </w:p>
        </w:tc>
        <w:tc>
          <w:tcPr>
            <w:tcW w:w="2483" w:type="pct"/>
            <w:tcBorders>
              <w:left w:val="single" w:sz="4" w:space="0" w:color="auto"/>
            </w:tcBorders>
            <w:vAlign w:val="center"/>
          </w:tcPr>
          <w:p w14:paraId="318BBEF9"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石油化学工业排放速率（千克</w:t>
            </w:r>
            <w:r w:rsidRPr="00A964FF">
              <w:rPr>
                <w:rFonts w:ascii="Calibri" w:hAnsi="Calibri"/>
                <w:color w:val="auto"/>
                <w:szCs w:val="21"/>
              </w:rPr>
              <w:t>/</w:t>
            </w:r>
            <w:r w:rsidRPr="00A964FF">
              <w:rPr>
                <w:rFonts w:ascii="Calibri" w:hAnsi="宋体"/>
                <w:color w:val="auto"/>
                <w:szCs w:val="21"/>
              </w:rPr>
              <w:t>小时</w:t>
            </w:r>
            <w:r w:rsidRPr="00A964FF">
              <w:rPr>
                <w:rFonts w:ascii="Calibri" w:hAnsi="Calibri"/>
                <w:color w:val="auto"/>
                <w:szCs w:val="21"/>
              </w:rPr>
              <w:t>/</w:t>
            </w:r>
            <w:r w:rsidRPr="00A964FF">
              <w:rPr>
                <w:rFonts w:ascii="Calibri" w:hAnsi="宋体"/>
                <w:color w:val="auto"/>
                <w:szCs w:val="21"/>
              </w:rPr>
              <w:t>排放源）</w:t>
            </w:r>
          </w:p>
        </w:tc>
      </w:tr>
      <w:tr w:rsidR="00433709" w:rsidRPr="00A964FF" w14:paraId="66A57BE2" w14:textId="77777777" w:rsidTr="00433709">
        <w:trPr>
          <w:trHeight w:val="340"/>
          <w:jc w:val="center"/>
        </w:trPr>
        <w:tc>
          <w:tcPr>
            <w:tcW w:w="457" w:type="pct"/>
            <w:tcBorders>
              <w:right w:val="single" w:sz="4" w:space="0" w:color="auto"/>
            </w:tcBorders>
            <w:vAlign w:val="center"/>
          </w:tcPr>
          <w:p w14:paraId="3E1398C1"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1</w:t>
            </w:r>
          </w:p>
        </w:tc>
        <w:tc>
          <w:tcPr>
            <w:tcW w:w="2060" w:type="pct"/>
            <w:tcBorders>
              <w:left w:val="single" w:sz="4" w:space="0" w:color="auto"/>
              <w:right w:val="single" w:sz="4" w:space="0" w:color="auto"/>
            </w:tcBorders>
            <w:vAlign w:val="center"/>
          </w:tcPr>
          <w:p w14:paraId="10D7F411"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气体阀门</w:t>
            </w:r>
          </w:p>
        </w:tc>
        <w:tc>
          <w:tcPr>
            <w:tcW w:w="2483" w:type="pct"/>
            <w:tcBorders>
              <w:left w:val="single" w:sz="4" w:space="0" w:color="auto"/>
            </w:tcBorders>
            <w:vAlign w:val="center"/>
          </w:tcPr>
          <w:p w14:paraId="47BADC62"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0.024</w:t>
            </w:r>
          </w:p>
        </w:tc>
      </w:tr>
      <w:tr w:rsidR="00433709" w:rsidRPr="00A964FF" w14:paraId="3854E0A2" w14:textId="77777777" w:rsidTr="00433709">
        <w:trPr>
          <w:trHeight w:val="340"/>
          <w:jc w:val="center"/>
        </w:trPr>
        <w:tc>
          <w:tcPr>
            <w:tcW w:w="457" w:type="pct"/>
            <w:tcBorders>
              <w:right w:val="single" w:sz="4" w:space="0" w:color="auto"/>
            </w:tcBorders>
            <w:vAlign w:val="center"/>
          </w:tcPr>
          <w:p w14:paraId="758E7699"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2</w:t>
            </w:r>
          </w:p>
        </w:tc>
        <w:tc>
          <w:tcPr>
            <w:tcW w:w="2060" w:type="pct"/>
            <w:tcBorders>
              <w:left w:val="single" w:sz="4" w:space="0" w:color="auto"/>
              <w:right w:val="single" w:sz="4" w:space="0" w:color="auto"/>
            </w:tcBorders>
            <w:vAlign w:val="center"/>
          </w:tcPr>
          <w:p w14:paraId="7568C231"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有机液体阀门</w:t>
            </w:r>
          </w:p>
        </w:tc>
        <w:tc>
          <w:tcPr>
            <w:tcW w:w="2483" w:type="pct"/>
            <w:tcBorders>
              <w:left w:val="single" w:sz="4" w:space="0" w:color="auto"/>
            </w:tcBorders>
            <w:vAlign w:val="center"/>
          </w:tcPr>
          <w:p w14:paraId="4EEEC052"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0.036</w:t>
            </w:r>
          </w:p>
        </w:tc>
      </w:tr>
      <w:tr w:rsidR="00433709" w:rsidRPr="00A964FF" w14:paraId="18B64562" w14:textId="77777777" w:rsidTr="00433709">
        <w:trPr>
          <w:trHeight w:val="340"/>
          <w:jc w:val="center"/>
        </w:trPr>
        <w:tc>
          <w:tcPr>
            <w:tcW w:w="457" w:type="pct"/>
            <w:tcBorders>
              <w:right w:val="single" w:sz="4" w:space="0" w:color="auto"/>
            </w:tcBorders>
            <w:vAlign w:val="center"/>
          </w:tcPr>
          <w:p w14:paraId="2B3A6E56"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3</w:t>
            </w:r>
          </w:p>
        </w:tc>
        <w:tc>
          <w:tcPr>
            <w:tcW w:w="2060" w:type="pct"/>
            <w:tcBorders>
              <w:left w:val="single" w:sz="4" w:space="0" w:color="auto"/>
              <w:right w:val="single" w:sz="4" w:space="0" w:color="auto"/>
            </w:tcBorders>
            <w:vAlign w:val="center"/>
          </w:tcPr>
          <w:p w14:paraId="7BA797A7"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法兰或连接件</w:t>
            </w:r>
          </w:p>
        </w:tc>
        <w:tc>
          <w:tcPr>
            <w:tcW w:w="2483" w:type="pct"/>
            <w:tcBorders>
              <w:left w:val="single" w:sz="4" w:space="0" w:color="auto"/>
            </w:tcBorders>
            <w:vAlign w:val="center"/>
          </w:tcPr>
          <w:p w14:paraId="6771EDA2"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0.044</w:t>
            </w:r>
          </w:p>
        </w:tc>
      </w:tr>
      <w:tr w:rsidR="00433709" w:rsidRPr="00A964FF" w14:paraId="4EF2DCC4" w14:textId="77777777" w:rsidTr="00433709">
        <w:trPr>
          <w:trHeight w:val="340"/>
          <w:jc w:val="center"/>
        </w:trPr>
        <w:tc>
          <w:tcPr>
            <w:tcW w:w="457" w:type="pct"/>
            <w:tcBorders>
              <w:right w:val="single" w:sz="4" w:space="0" w:color="auto"/>
            </w:tcBorders>
            <w:vAlign w:val="center"/>
          </w:tcPr>
          <w:p w14:paraId="239078CD"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4</w:t>
            </w:r>
          </w:p>
        </w:tc>
        <w:tc>
          <w:tcPr>
            <w:tcW w:w="2060" w:type="pct"/>
            <w:tcBorders>
              <w:left w:val="single" w:sz="4" w:space="0" w:color="auto"/>
              <w:right w:val="single" w:sz="4" w:space="0" w:color="auto"/>
            </w:tcBorders>
            <w:vAlign w:val="center"/>
          </w:tcPr>
          <w:p w14:paraId="78770CC9"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泵、压缩机、泄压设备</w:t>
            </w:r>
          </w:p>
        </w:tc>
        <w:tc>
          <w:tcPr>
            <w:tcW w:w="2483" w:type="pct"/>
            <w:tcBorders>
              <w:left w:val="single" w:sz="4" w:space="0" w:color="auto"/>
            </w:tcBorders>
            <w:vAlign w:val="center"/>
          </w:tcPr>
          <w:p w14:paraId="0A3283B1"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0.14</w:t>
            </w:r>
          </w:p>
        </w:tc>
      </w:tr>
    </w:tbl>
    <w:p w14:paraId="560C1F46" w14:textId="77777777" w:rsidR="00433709" w:rsidRDefault="00433709" w:rsidP="00433709">
      <w:pPr>
        <w:pStyle w:val="00"/>
        <w:jc w:val="left"/>
        <w:rPr>
          <w:rFonts w:ascii="Calibri"/>
          <w:color w:val="auto"/>
          <w:kern w:val="1"/>
        </w:rPr>
      </w:pPr>
      <w:r w:rsidRPr="00A964FF">
        <w:rPr>
          <w:rFonts w:ascii="Calibri"/>
          <w:color w:val="auto"/>
        </w:rPr>
        <w:t>根据</w:t>
      </w:r>
      <w:r w:rsidRPr="00A964FF">
        <w:rPr>
          <w:rFonts w:ascii="Calibri" w:hint="eastAsia"/>
          <w:color w:val="auto"/>
        </w:rPr>
        <w:t>建设单位</w:t>
      </w:r>
      <w:r w:rsidRPr="00A964FF">
        <w:rPr>
          <w:rFonts w:ascii="Calibri"/>
          <w:color w:val="auto"/>
        </w:rPr>
        <w:t>提供的</w:t>
      </w:r>
      <w:r w:rsidRPr="00A964FF">
        <w:rPr>
          <w:rFonts w:ascii="Calibri" w:hint="eastAsia"/>
          <w:color w:val="auto"/>
        </w:rPr>
        <w:t>产品</w:t>
      </w:r>
      <w:r w:rsidRPr="00A964FF">
        <w:rPr>
          <w:rFonts w:ascii="Calibri"/>
          <w:color w:val="auto"/>
          <w:kern w:val="1"/>
        </w:rPr>
        <w:t>生产区设备动静密封点数量，密封点泄漏个数占比为</w:t>
      </w:r>
      <w:r w:rsidRPr="00A964FF">
        <w:rPr>
          <w:rFonts w:ascii="Calibri" w:hAnsi="Calibri"/>
          <w:color w:val="auto"/>
          <w:kern w:val="1"/>
        </w:rPr>
        <w:lastRenderedPageBreak/>
        <w:t>0.3</w:t>
      </w:r>
      <w:r w:rsidRPr="00A964FF">
        <w:rPr>
          <w:rFonts w:ascii="Calibri" w:hint="eastAsia"/>
          <w:color w:val="auto"/>
          <w:kern w:val="1"/>
        </w:rPr>
        <w:t>%</w:t>
      </w:r>
      <w:r w:rsidRPr="00A964FF">
        <w:rPr>
          <w:rFonts w:ascii="Calibri"/>
          <w:color w:val="auto"/>
          <w:kern w:val="1"/>
        </w:rPr>
        <w:t>，则本项目生产区密封点泄漏状态下</w:t>
      </w:r>
      <w:r w:rsidRPr="00A964FF">
        <w:rPr>
          <w:rFonts w:ascii="Calibri" w:hAnsi="Calibri"/>
          <w:color w:val="auto"/>
          <w:kern w:val="1"/>
        </w:rPr>
        <w:t>VOCs</w:t>
      </w:r>
      <w:r w:rsidRPr="00A964FF">
        <w:rPr>
          <w:rFonts w:ascii="Calibri"/>
          <w:color w:val="auto"/>
          <w:kern w:val="1"/>
        </w:rPr>
        <w:t>排放量估算见表</w:t>
      </w:r>
      <w:r w:rsidRPr="00A964FF">
        <w:rPr>
          <w:rFonts w:ascii="Calibri" w:hAnsi="Calibri"/>
          <w:color w:val="auto"/>
          <w:kern w:val="1"/>
        </w:rPr>
        <w:t>2</w:t>
      </w:r>
      <w:r w:rsidRPr="00A964FF">
        <w:rPr>
          <w:rFonts w:ascii="Calibri" w:hAnsi="Calibri" w:hint="eastAsia"/>
          <w:color w:val="auto"/>
          <w:kern w:val="1"/>
        </w:rPr>
        <w:t>.3</w:t>
      </w:r>
      <w:r w:rsidRPr="00A964FF">
        <w:rPr>
          <w:rFonts w:ascii="Calibri" w:hAnsi="Calibri"/>
          <w:color w:val="auto"/>
          <w:kern w:val="1"/>
        </w:rPr>
        <w:t>-</w:t>
      </w:r>
      <w:r w:rsidR="005E5F3B">
        <w:rPr>
          <w:rFonts w:ascii="Calibri" w:hAnsi="Calibri"/>
          <w:color w:val="auto"/>
          <w:kern w:val="1"/>
        </w:rPr>
        <w:t>7</w:t>
      </w:r>
      <w:r w:rsidRPr="00A964FF">
        <w:rPr>
          <w:rFonts w:ascii="Calibri"/>
          <w:color w:val="auto"/>
          <w:kern w:val="1"/>
        </w:rPr>
        <w:t>。</w:t>
      </w:r>
    </w:p>
    <w:p w14:paraId="2A1892A1" w14:textId="77777777" w:rsidR="00433709" w:rsidRPr="00A964FF" w:rsidRDefault="00433709" w:rsidP="00433709">
      <w:pPr>
        <w:spacing w:line="520" w:lineRule="exact"/>
        <w:ind w:firstLineChars="200" w:firstLine="480"/>
        <w:rPr>
          <w:rFonts w:ascii="黑体" w:eastAsia="黑体" w:hAnsi="黑体"/>
          <w:color w:val="auto"/>
          <w:sz w:val="24"/>
        </w:rPr>
      </w:pPr>
      <w:r w:rsidRPr="00A964FF">
        <w:rPr>
          <w:rFonts w:ascii="Calibri" w:eastAsia="黑体" w:hAnsi="黑体"/>
          <w:color w:val="auto"/>
          <w:sz w:val="24"/>
        </w:rPr>
        <w:t>表</w:t>
      </w:r>
      <w:r w:rsidRPr="00A964FF">
        <w:rPr>
          <w:rFonts w:ascii="Calibri" w:eastAsia="黑体" w:hAnsi="Calibri"/>
          <w:color w:val="auto"/>
          <w:sz w:val="24"/>
        </w:rPr>
        <w:t>2</w:t>
      </w:r>
      <w:r w:rsidRPr="00A964FF">
        <w:rPr>
          <w:rFonts w:ascii="Calibri" w:eastAsia="黑体" w:hAnsi="Calibri" w:hint="eastAsia"/>
          <w:color w:val="auto"/>
          <w:sz w:val="24"/>
        </w:rPr>
        <w:t>.3</w:t>
      </w:r>
      <w:r w:rsidRPr="00A964FF">
        <w:rPr>
          <w:rFonts w:ascii="Calibri" w:eastAsia="黑体" w:hAnsi="Calibri"/>
          <w:color w:val="auto"/>
          <w:sz w:val="24"/>
        </w:rPr>
        <w:t>-</w:t>
      </w:r>
      <w:r w:rsidR="005E5F3B">
        <w:rPr>
          <w:rFonts w:ascii="Calibri" w:eastAsia="黑体" w:hAnsi="Calibri"/>
          <w:color w:val="auto"/>
          <w:sz w:val="24"/>
        </w:rPr>
        <w:t>7</w:t>
      </w:r>
      <w:r w:rsidRPr="00A964FF">
        <w:rPr>
          <w:rFonts w:ascii="Calibri" w:eastAsia="黑体" w:hAnsi="Calibri"/>
          <w:color w:val="auto"/>
          <w:sz w:val="24"/>
        </w:rPr>
        <w:t xml:space="preserve">  </w:t>
      </w:r>
      <w:r w:rsidRPr="00A964FF">
        <w:rPr>
          <w:rFonts w:ascii="黑体" w:eastAsia="黑体" w:hAnsi="黑体"/>
          <w:color w:val="auto"/>
          <w:sz w:val="24"/>
        </w:rPr>
        <w:t xml:space="preserve"> </w:t>
      </w:r>
      <w:r w:rsidRPr="00A964FF">
        <w:rPr>
          <w:rFonts w:ascii="黑体" w:eastAsia="黑体" w:hAnsi="黑体" w:hint="eastAsia"/>
          <w:color w:val="auto"/>
          <w:sz w:val="24"/>
        </w:rPr>
        <w:t xml:space="preserve"> </w:t>
      </w:r>
      <w:r w:rsidRPr="00A964FF">
        <w:rPr>
          <w:rFonts w:ascii="黑体" w:eastAsia="黑体" w:hAnsi="黑体"/>
          <w:color w:val="auto"/>
          <w:sz w:val="24"/>
        </w:rPr>
        <w:t>生产区动静密封点数及泄漏状态下VOCs排放估算量</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ayout w:type="fixed"/>
        <w:tblLook w:val="04A0" w:firstRow="1" w:lastRow="0" w:firstColumn="1" w:lastColumn="0" w:noHBand="0" w:noVBand="1"/>
      </w:tblPr>
      <w:tblGrid>
        <w:gridCol w:w="747"/>
        <w:gridCol w:w="1698"/>
        <w:gridCol w:w="1369"/>
        <w:gridCol w:w="2365"/>
        <w:gridCol w:w="1178"/>
        <w:gridCol w:w="1343"/>
      </w:tblGrid>
      <w:tr w:rsidR="00433709" w:rsidRPr="00A964FF" w14:paraId="1112DC7F" w14:textId="77777777" w:rsidTr="00B71687">
        <w:trPr>
          <w:trHeight w:val="284"/>
          <w:jc w:val="center"/>
        </w:trPr>
        <w:tc>
          <w:tcPr>
            <w:tcW w:w="429" w:type="pct"/>
            <w:vAlign w:val="center"/>
          </w:tcPr>
          <w:p w14:paraId="0BBDE7EF"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序号</w:t>
            </w:r>
          </w:p>
        </w:tc>
        <w:tc>
          <w:tcPr>
            <w:tcW w:w="976" w:type="pct"/>
            <w:vAlign w:val="center"/>
          </w:tcPr>
          <w:p w14:paraId="0F776D35"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设备类型</w:t>
            </w:r>
          </w:p>
        </w:tc>
        <w:tc>
          <w:tcPr>
            <w:tcW w:w="787" w:type="pct"/>
            <w:vAlign w:val="center"/>
          </w:tcPr>
          <w:p w14:paraId="73A53243"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个数</w:t>
            </w:r>
          </w:p>
        </w:tc>
        <w:tc>
          <w:tcPr>
            <w:tcW w:w="1359" w:type="pct"/>
            <w:vAlign w:val="center"/>
          </w:tcPr>
          <w:p w14:paraId="23863465"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石油化学工业排放系数</w:t>
            </w:r>
          </w:p>
          <w:p w14:paraId="6E94CA80"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（千克</w:t>
            </w:r>
            <w:r w:rsidRPr="00A964FF">
              <w:rPr>
                <w:rFonts w:ascii="Calibri" w:hAnsi="Calibri"/>
                <w:color w:val="auto"/>
                <w:szCs w:val="21"/>
              </w:rPr>
              <w:t>/</w:t>
            </w:r>
            <w:r w:rsidRPr="00A964FF">
              <w:rPr>
                <w:rFonts w:ascii="Calibri" w:hAnsi="宋体"/>
                <w:color w:val="auto"/>
                <w:szCs w:val="21"/>
              </w:rPr>
              <w:t>小时</w:t>
            </w:r>
            <w:r w:rsidRPr="00A964FF">
              <w:rPr>
                <w:rFonts w:ascii="Calibri" w:hAnsi="Calibri"/>
                <w:color w:val="auto"/>
                <w:szCs w:val="21"/>
              </w:rPr>
              <w:t>/</w:t>
            </w:r>
            <w:r w:rsidRPr="00A964FF">
              <w:rPr>
                <w:rFonts w:ascii="Calibri" w:hAnsi="宋体"/>
                <w:color w:val="auto"/>
                <w:szCs w:val="21"/>
              </w:rPr>
              <w:t>排放源）</w:t>
            </w:r>
          </w:p>
        </w:tc>
        <w:tc>
          <w:tcPr>
            <w:tcW w:w="677" w:type="pct"/>
            <w:vAlign w:val="center"/>
          </w:tcPr>
          <w:p w14:paraId="5D297919" w14:textId="77777777" w:rsidR="00433709" w:rsidRDefault="00433709" w:rsidP="00433709">
            <w:pPr>
              <w:jc w:val="center"/>
              <w:rPr>
                <w:rFonts w:ascii="Calibri" w:hAnsi="宋体"/>
                <w:color w:val="auto"/>
                <w:szCs w:val="21"/>
              </w:rPr>
            </w:pPr>
            <w:r>
              <w:rPr>
                <w:rFonts w:ascii="Calibri" w:hAnsi="宋体" w:hint="eastAsia"/>
                <w:color w:val="auto"/>
                <w:szCs w:val="21"/>
              </w:rPr>
              <w:t>排放</w:t>
            </w:r>
            <w:r>
              <w:rPr>
                <w:rFonts w:ascii="Calibri" w:hAnsi="宋体"/>
                <w:color w:val="auto"/>
                <w:szCs w:val="21"/>
              </w:rPr>
              <w:t>速率</w:t>
            </w:r>
          </w:p>
          <w:p w14:paraId="1B17A3CD" w14:textId="77777777" w:rsidR="00433709" w:rsidRPr="00A964FF" w:rsidRDefault="00433709" w:rsidP="00433709">
            <w:pPr>
              <w:jc w:val="center"/>
              <w:rPr>
                <w:rFonts w:ascii="Calibri" w:hAnsi="Calibri"/>
                <w:color w:val="auto"/>
                <w:szCs w:val="21"/>
              </w:rPr>
            </w:pPr>
            <w:r>
              <w:rPr>
                <w:rFonts w:ascii="Calibri" w:hAnsi="Calibri" w:hint="eastAsia"/>
                <w:color w:val="auto"/>
                <w:szCs w:val="21"/>
              </w:rPr>
              <w:t>（</w:t>
            </w:r>
            <w:r>
              <w:rPr>
                <w:rFonts w:ascii="Calibri" w:hAnsi="Calibri" w:hint="eastAsia"/>
                <w:color w:val="auto"/>
                <w:szCs w:val="21"/>
              </w:rPr>
              <w:t>kg/h</w:t>
            </w:r>
            <w:r>
              <w:rPr>
                <w:rFonts w:ascii="Calibri" w:hAnsi="Calibri" w:hint="eastAsia"/>
                <w:color w:val="auto"/>
                <w:szCs w:val="21"/>
              </w:rPr>
              <w:t>）</w:t>
            </w:r>
          </w:p>
        </w:tc>
        <w:tc>
          <w:tcPr>
            <w:tcW w:w="772" w:type="pct"/>
            <w:vAlign w:val="center"/>
          </w:tcPr>
          <w:p w14:paraId="74F3C2A4"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排放量</w:t>
            </w:r>
          </w:p>
          <w:p w14:paraId="467EFF3F"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w:t>
            </w:r>
            <w:r w:rsidRPr="00A964FF">
              <w:rPr>
                <w:rFonts w:ascii="Calibri" w:hAnsi="Calibri"/>
                <w:color w:val="auto"/>
                <w:szCs w:val="21"/>
              </w:rPr>
              <w:t>t/a</w:t>
            </w:r>
            <w:r w:rsidRPr="00A964FF">
              <w:rPr>
                <w:rFonts w:ascii="Calibri" w:hAnsi="宋体"/>
                <w:color w:val="auto"/>
                <w:szCs w:val="21"/>
              </w:rPr>
              <w:t>）</w:t>
            </w:r>
          </w:p>
        </w:tc>
      </w:tr>
      <w:tr w:rsidR="00433709" w:rsidRPr="00A964FF" w14:paraId="4EC4B759" w14:textId="77777777" w:rsidTr="00B71687">
        <w:trPr>
          <w:trHeight w:val="284"/>
          <w:jc w:val="center"/>
        </w:trPr>
        <w:tc>
          <w:tcPr>
            <w:tcW w:w="429" w:type="pct"/>
            <w:vAlign w:val="center"/>
          </w:tcPr>
          <w:p w14:paraId="1BA1A7FD"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1</w:t>
            </w:r>
          </w:p>
        </w:tc>
        <w:tc>
          <w:tcPr>
            <w:tcW w:w="976" w:type="pct"/>
            <w:vAlign w:val="center"/>
          </w:tcPr>
          <w:p w14:paraId="23B66310"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气体阀门</w:t>
            </w:r>
          </w:p>
        </w:tc>
        <w:tc>
          <w:tcPr>
            <w:tcW w:w="787" w:type="pct"/>
            <w:vAlign w:val="center"/>
          </w:tcPr>
          <w:p w14:paraId="27032199" w14:textId="77777777" w:rsidR="00433709" w:rsidRPr="00A964FF" w:rsidRDefault="00433709" w:rsidP="00433709">
            <w:pPr>
              <w:jc w:val="center"/>
              <w:rPr>
                <w:rFonts w:ascii="Calibri" w:hAnsi="Calibri"/>
                <w:color w:val="auto"/>
                <w:szCs w:val="21"/>
              </w:rPr>
            </w:pPr>
            <w:r>
              <w:rPr>
                <w:rFonts w:ascii="Calibri" w:hAnsi="Calibri"/>
                <w:color w:val="auto"/>
                <w:szCs w:val="21"/>
              </w:rPr>
              <w:t>36</w:t>
            </w:r>
          </w:p>
        </w:tc>
        <w:tc>
          <w:tcPr>
            <w:tcW w:w="1359" w:type="pct"/>
            <w:vAlign w:val="center"/>
          </w:tcPr>
          <w:p w14:paraId="3E2CBAAE"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0.024</w:t>
            </w:r>
          </w:p>
        </w:tc>
        <w:tc>
          <w:tcPr>
            <w:tcW w:w="677" w:type="pct"/>
            <w:vAlign w:val="center"/>
          </w:tcPr>
          <w:p w14:paraId="550285B8" w14:textId="77777777" w:rsidR="00433709" w:rsidRPr="00A964FF" w:rsidRDefault="00433709" w:rsidP="00433709">
            <w:pPr>
              <w:jc w:val="center"/>
              <w:rPr>
                <w:rFonts w:ascii="Calibri" w:hAnsi="Calibri"/>
                <w:color w:val="auto"/>
                <w:szCs w:val="21"/>
              </w:rPr>
            </w:pPr>
            <w:r>
              <w:rPr>
                <w:rFonts w:ascii="Calibri" w:hAnsi="Calibri"/>
                <w:color w:val="auto"/>
                <w:szCs w:val="21"/>
              </w:rPr>
              <w:t>0.0026</w:t>
            </w:r>
          </w:p>
        </w:tc>
        <w:tc>
          <w:tcPr>
            <w:tcW w:w="772" w:type="pct"/>
            <w:vAlign w:val="center"/>
          </w:tcPr>
          <w:p w14:paraId="5CD0BBE2" w14:textId="77777777" w:rsidR="00433709" w:rsidRPr="00A964FF" w:rsidRDefault="00433709" w:rsidP="00433709">
            <w:pPr>
              <w:jc w:val="center"/>
              <w:rPr>
                <w:rFonts w:ascii="Calibri" w:hAnsi="Calibri"/>
                <w:color w:val="auto"/>
                <w:szCs w:val="21"/>
              </w:rPr>
            </w:pPr>
            <w:r>
              <w:rPr>
                <w:rFonts w:ascii="Calibri" w:hAnsi="Calibri"/>
                <w:color w:val="auto"/>
                <w:szCs w:val="21"/>
              </w:rPr>
              <w:t>0.019</w:t>
            </w:r>
          </w:p>
        </w:tc>
      </w:tr>
      <w:tr w:rsidR="00433709" w:rsidRPr="00A964FF" w14:paraId="4ACB7C8A" w14:textId="77777777" w:rsidTr="00B71687">
        <w:trPr>
          <w:trHeight w:val="284"/>
          <w:jc w:val="center"/>
        </w:trPr>
        <w:tc>
          <w:tcPr>
            <w:tcW w:w="429" w:type="pct"/>
            <w:vAlign w:val="center"/>
          </w:tcPr>
          <w:p w14:paraId="6BBAC0E6"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2</w:t>
            </w:r>
          </w:p>
        </w:tc>
        <w:tc>
          <w:tcPr>
            <w:tcW w:w="976" w:type="pct"/>
            <w:vAlign w:val="center"/>
          </w:tcPr>
          <w:p w14:paraId="76872326"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有机液体阀门</w:t>
            </w:r>
          </w:p>
        </w:tc>
        <w:tc>
          <w:tcPr>
            <w:tcW w:w="787" w:type="pct"/>
            <w:vAlign w:val="center"/>
          </w:tcPr>
          <w:p w14:paraId="395C62B7" w14:textId="77777777" w:rsidR="00433709" w:rsidRPr="00A964FF" w:rsidRDefault="00433709" w:rsidP="00433709">
            <w:pPr>
              <w:jc w:val="center"/>
              <w:rPr>
                <w:rFonts w:ascii="Calibri" w:hAnsi="Calibri"/>
                <w:color w:val="auto"/>
                <w:szCs w:val="21"/>
              </w:rPr>
            </w:pPr>
            <w:r>
              <w:rPr>
                <w:rFonts w:ascii="Calibri" w:hAnsi="Calibri"/>
                <w:color w:val="auto"/>
                <w:szCs w:val="21"/>
              </w:rPr>
              <w:t>30</w:t>
            </w:r>
          </w:p>
        </w:tc>
        <w:tc>
          <w:tcPr>
            <w:tcW w:w="1359" w:type="pct"/>
            <w:vAlign w:val="center"/>
          </w:tcPr>
          <w:p w14:paraId="2843CE57"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0.036</w:t>
            </w:r>
          </w:p>
        </w:tc>
        <w:tc>
          <w:tcPr>
            <w:tcW w:w="677" w:type="pct"/>
            <w:vAlign w:val="center"/>
          </w:tcPr>
          <w:p w14:paraId="4C4F9A80" w14:textId="77777777" w:rsidR="00433709" w:rsidRPr="00A964FF" w:rsidRDefault="00433709" w:rsidP="00433709">
            <w:pPr>
              <w:jc w:val="center"/>
              <w:rPr>
                <w:rFonts w:ascii="Calibri" w:hAnsi="Calibri"/>
                <w:color w:val="auto"/>
                <w:szCs w:val="21"/>
              </w:rPr>
            </w:pPr>
            <w:r>
              <w:rPr>
                <w:rFonts w:ascii="Calibri" w:hAnsi="Calibri"/>
                <w:color w:val="auto"/>
                <w:szCs w:val="21"/>
              </w:rPr>
              <w:t>0.0032</w:t>
            </w:r>
          </w:p>
        </w:tc>
        <w:tc>
          <w:tcPr>
            <w:tcW w:w="772" w:type="pct"/>
            <w:vAlign w:val="center"/>
          </w:tcPr>
          <w:p w14:paraId="24E6F180" w14:textId="77777777" w:rsidR="00433709" w:rsidRPr="00A964FF" w:rsidRDefault="00433709" w:rsidP="00433709">
            <w:pPr>
              <w:jc w:val="center"/>
              <w:rPr>
                <w:rFonts w:ascii="Calibri" w:hAnsi="Calibri"/>
                <w:color w:val="auto"/>
                <w:szCs w:val="21"/>
              </w:rPr>
            </w:pPr>
            <w:r>
              <w:rPr>
                <w:rFonts w:ascii="Calibri" w:hAnsi="Calibri"/>
                <w:color w:val="auto"/>
                <w:szCs w:val="21"/>
              </w:rPr>
              <w:t>0.023</w:t>
            </w:r>
          </w:p>
        </w:tc>
      </w:tr>
      <w:tr w:rsidR="00433709" w:rsidRPr="00A964FF" w14:paraId="6A365FBB" w14:textId="77777777" w:rsidTr="00B71687">
        <w:trPr>
          <w:trHeight w:val="284"/>
          <w:jc w:val="center"/>
        </w:trPr>
        <w:tc>
          <w:tcPr>
            <w:tcW w:w="429" w:type="pct"/>
            <w:vAlign w:val="center"/>
          </w:tcPr>
          <w:p w14:paraId="7B758715"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3</w:t>
            </w:r>
          </w:p>
        </w:tc>
        <w:tc>
          <w:tcPr>
            <w:tcW w:w="976" w:type="pct"/>
            <w:vAlign w:val="center"/>
          </w:tcPr>
          <w:p w14:paraId="66CC1F5F"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泵</w:t>
            </w:r>
          </w:p>
        </w:tc>
        <w:tc>
          <w:tcPr>
            <w:tcW w:w="787" w:type="pct"/>
            <w:vAlign w:val="center"/>
          </w:tcPr>
          <w:p w14:paraId="3FDC6B55" w14:textId="77777777" w:rsidR="00433709" w:rsidRPr="00A964FF" w:rsidRDefault="00433709" w:rsidP="00433709">
            <w:pPr>
              <w:jc w:val="center"/>
              <w:rPr>
                <w:rFonts w:ascii="Calibri" w:hAnsi="Calibri"/>
                <w:color w:val="auto"/>
                <w:szCs w:val="21"/>
              </w:rPr>
            </w:pPr>
            <w:r>
              <w:rPr>
                <w:rFonts w:ascii="Calibri" w:hAnsi="Calibri"/>
                <w:color w:val="auto"/>
                <w:szCs w:val="21"/>
              </w:rPr>
              <w:t>12</w:t>
            </w:r>
          </w:p>
        </w:tc>
        <w:tc>
          <w:tcPr>
            <w:tcW w:w="1359" w:type="pct"/>
            <w:vAlign w:val="center"/>
          </w:tcPr>
          <w:p w14:paraId="060E8455"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0.14</w:t>
            </w:r>
          </w:p>
        </w:tc>
        <w:tc>
          <w:tcPr>
            <w:tcW w:w="677" w:type="pct"/>
            <w:vAlign w:val="center"/>
          </w:tcPr>
          <w:p w14:paraId="75F76C4B" w14:textId="77777777" w:rsidR="00433709" w:rsidRPr="00A964FF" w:rsidRDefault="00433709" w:rsidP="00433709">
            <w:pPr>
              <w:jc w:val="center"/>
              <w:rPr>
                <w:rFonts w:ascii="Calibri" w:hAnsi="Calibri"/>
                <w:color w:val="auto"/>
                <w:szCs w:val="21"/>
              </w:rPr>
            </w:pPr>
            <w:r>
              <w:rPr>
                <w:rFonts w:ascii="Calibri" w:hAnsi="Calibri"/>
                <w:color w:val="auto"/>
                <w:szCs w:val="21"/>
              </w:rPr>
              <w:t>0.005</w:t>
            </w:r>
          </w:p>
        </w:tc>
        <w:tc>
          <w:tcPr>
            <w:tcW w:w="772" w:type="pct"/>
            <w:vAlign w:val="center"/>
          </w:tcPr>
          <w:p w14:paraId="30027B06" w14:textId="77777777" w:rsidR="00433709" w:rsidRPr="00A964FF" w:rsidRDefault="00433709" w:rsidP="00433709">
            <w:pPr>
              <w:jc w:val="center"/>
              <w:rPr>
                <w:rFonts w:ascii="Calibri" w:hAnsi="Calibri"/>
                <w:color w:val="auto"/>
                <w:szCs w:val="21"/>
              </w:rPr>
            </w:pPr>
            <w:r>
              <w:rPr>
                <w:rFonts w:ascii="Calibri" w:hAnsi="Calibri"/>
                <w:color w:val="auto"/>
                <w:szCs w:val="21"/>
              </w:rPr>
              <w:t>0.036</w:t>
            </w:r>
          </w:p>
        </w:tc>
      </w:tr>
      <w:tr w:rsidR="00433709" w:rsidRPr="00A964FF" w14:paraId="5BAC0780" w14:textId="77777777" w:rsidTr="00B71687">
        <w:trPr>
          <w:trHeight w:val="284"/>
          <w:jc w:val="center"/>
        </w:trPr>
        <w:tc>
          <w:tcPr>
            <w:tcW w:w="429" w:type="pct"/>
            <w:vAlign w:val="center"/>
          </w:tcPr>
          <w:p w14:paraId="43037EDF" w14:textId="77777777" w:rsidR="00433709" w:rsidRPr="00A964FF" w:rsidRDefault="00433709" w:rsidP="00433709">
            <w:pPr>
              <w:jc w:val="center"/>
              <w:rPr>
                <w:rFonts w:ascii="Calibri" w:hAnsi="Calibri"/>
                <w:color w:val="auto"/>
                <w:szCs w:val="21"/>
              </w:rPr>
            </w:pPr>
            <w:r>
              <w:rPr>
                <w:rFonts w:ascii="Calibri" w:hAnsi="Calibri"/>
                <w:color w:val="auto"/>
                <w:szCs w:val="21"/>
              </w:rPr>
              <w:t>4</w:t>
            </w:r>
          </w:p>
        </w:tc>
        <w:tc>
          <w:tcPr>
            <w:tcW w:w="976" w:type="pct"/>
            <w:vAlign w:val="center"/>
          </w:tcPr>
          <w:p w14:paraId="7827071A"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法兰</w:t>
            </w:r>
            <w:r>
              <w:rPr>
                <w:rFonts w:ascii="Calibri" w:hAnsi="宋体" w:hint="eastAsia"/>
                <w:color w:val="auto"/>
                <w:szCs w:val="21"/>
              </w:rPr>
              <w:t>、</w:t>
            </w:r>
            <w:r>
              <w:rPr>
                <w:rFonts w:ascii="Calibri" w:hAnsi="宋体"/>
                <w:color w:val="auto"/>
                <w:szCs w:val="21"/>
              </w:rPr>
              <w:t>连接件</w:t>
            </w:r>
          </w:p>
        </w:tc>
        <w:tc>
          <w:tcPr>
            <w:tcW w:w="787" w:type="pct"/>
            <w:vAlign w:val="center"/>
          </w:tcPr>
          <w:p w14:paraId="0C486556" w14:textId="77777777" w:rsidR="00433709" w:rsidRPr="00A964FF" w:rsidRDefault="00433709" w:rsidP="00433709">
            <w:pPr>
              <w:jc w:val="center"/>
              <w:rPr>
                <w:rFonts w:ascii="Calibri" w:hAnsi="Calibri"/>
                <w:color w:val="auto"/>
                <w:szCs w:val="21"/>
              </w:rPr>
            </w:pPr>
            <w:r>
              <w:rPr>
                <w:rFonts w:ascii="Calibri" w:hAnsi="Calibri"/>
                <w:color w:val="auto"/>
                <w:szCs w:val="21"/>
              </w:rPr>
              <w:t>58</w:t>
            </w:r>
          </w:p>
        </w:tc>
        <w:tc>
          <w:tcPr>
            <w:tcW w:w="1359" w:type="pct"/>
            <w:vAlign w:val="center"/>
          </w:tcPr>
          <w:p w14:paraId="50645581"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0.044</w:t>
            </w:r>
          </w:p>
        </w:tc>
        <w:tc>
          <w:tcPr>
            <w:tcW w:w="677" w:type="pct"/>
            <w:vAlign w:val="center"/>
          </w:tcPr>
          <w:p w14:paraId="343117B8" w14:textId="77777777" w:rsidR="00433709" w:rsidRPr="00A964FF" w:rsidRDefault="00433709" w:rsidP="00433709">
            <w:pPr>
              <w:jc w:val="center"/>
              <w:rPr>
                <w:rFonts w:ascii="Calibri" w:hAnsi="Calibri"/>
                <w:color w:val="auto"/>
                <w:szCs w:val="21"/>
              </w:rPr>
            </w:pPr>
            <w:r>
              <w:rPr>
                <w:rFonts w:ascii="Calibri" w:hAnsi="Calibri"/>
                <w:color w:val="auto"/>
                <w:szCs w:val="21"/>
              </w:rPr>
              <w:t>0.0077</w:t>
            </w:r>
          </w:p>
        </w:tc>
        <w:tc>
          <w:tcPr>
            <w:tcW w:w="772" w:type="pct"/>
            <w:vAlign w:val="center"/>
          </w:tcPr>
          <w:p w14:paraId="5A67D039" w14:textId="77777777" w:rsidR="00433709" w:rsidRPr="00A964FF" w:rsidRDefault="00433709" w:rsidP="00433709">
            <w:pPr>
              <w:jc w:val="center"/>
              <w:rPr>
                <w:rFonts w:ascii="Calibri" w:hAnsi="Calibri"/>
                <w:color w:val="auto"/>
                <w:szCs w:val="21"/>
              </w:rPr>
            </w:pPr>
            <w:r>
              <w:rPr>
                <w:rFonts w:ascii="Calibri" w:hAnsi="Calibri"/>
                <w:color w:val="auto"/>
                <w:szCs w:val="21"/>
              </w:rPr>
              <w:t>0.055</w:t>
            </w:r>
          </w:p>
        </w:tc>
      </w:tr>
      <w:tr w:rsidR="00433709" w:rsidRPr="00A964FF" w14:paraId="0B6C9B4B" w14:textId="77777777" w:rsidTr="00B71687">
        <w:trPr>
          <w:trHeight w:val="284"/>
          <w:jc w:val="center"/>
        </w:trPr>
        <w:tc>
          <w:tcPr>
            <w:tcW w:w="1405" w:type="pct"/>
            <w:gridSpan w:val="2"/>
            <w:vAlign w:val="center"/>
          </w:tcPr>
          <w:p w14:paraId="71A8AFCF"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合计</w:t>
            </w:r>
          </w:p>
        </w:tc>
        <w:tc>
          <w:tcPr>
            <w:tcW w:w="787" w:type="pct"/>
            <w:vAlign w:val="center"/>
          </w:tcPr>
          <w:p w14:paraId="6F6D9122"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w:t>
            </w:r>
          </w:p>
        </w:tc>
        <w:tc>
          <w:tcPr>
            <w:tcW w:w="1359" w:type="pct"/>
            <w:vAlign w:val="center"/>
          </w:tcPr>
          <w:p w14:paraId="5965A5C8"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w:t>
            </w:r>
          </w:p>
        </w:tc>
        <w:tc>
          <w:tcPr>
            <w:tcW w:w="677" w:type="pct"/>
            <w:vAlign w:val="center"/>
          </w:tcPr>
          <w:p w14:paraId="2B95E12B" w14:textId="77777777" w:rsidR="00433709" w:rsidRPr="00A964FF" w:rsidRDefault="00433709" w:rsidP="00433709">
            <w:pPr>
              <w:jc w:val="center"/>
              <w:rPr>
                <w:rFonts w:ascii="Calibri" w:hAnsi="Calibri"/>
                <w:color w:val="auto"/>
                <w:szCs w:val="21"/>
              </w:rPr>
            </w:pPr>
            <w:r>
              <w:rPr>
                <w:rFonts w:ascii="Calibri" w:hAnsi="Calibri"/>
                <w:color w:val="auto"/>
                <w:szCs w:val="21"/>
              </w:rPr>
              <w:t>0.0185</w:t>
            </w:r>
          </w:p>
        </w:tc>
        <w:tc>
          <w:tcPr>
            <w:tcW w:w="772" w:type="pct"/>
            <w:vAlign w:val="center"/>
          </w:tcPr>
          <w:p w14:paraId="2FEBFD99" w14:textId="77777777" w:rsidR="00433709" w:rsidRPr="00A964FF" w:rsidRDefault="00433709" w:rsidP="00433709">
            <w:pPr>
              <w:jc w:val="center"/>
              <w:rPr>
                <w:rFonts w:ascii="Calibri" w:hAnsi="Calibri"/>
                <w:color w:val="auto"/>
                <w:szCs w:val="21"/>
              </w:rPr>
            </w:pPr>
            <w:r>
              <w:rPr>
                <w:rFonts w:ascii="Calibri" w:hAnsi="Calibri"/>
                <w:color w:val="auto"/>
                <w:szCs w:val="21"/>
              </w:rPr>
              <w:t>0.133</w:t>
            </w:r>
          </w:p>
        </w:tc>
      </w:tr>
    </w:tbl>
    <w:p w14:paraId="608E5560" w14:textId="77777777" w:rsidR="00433709" w:rsidRPr="00A964FF" w:rsidRDefault="00433709" w:rsidP="00433709">
      <w:pPr>
        <w:pStyle w:val="00"/>
        <w:jc w:val="left"/>
        <w:rPr>
          <w:rFonts w:ascii="Calibri" w:hAnsi="Calibri"/>
          <w:color w:val="auto"/>
        </w:rPr>
      </w:pPr>
      <w:r w:rsidRPr="00A964FF">
        <w:rPr>
          <w:rFonts w:ascii="Calibri"/>
          <w:color w:val="auto"/>
        </w:rPr>
        <w:t>②</w:t>
      </w:r>
      <w:r>
        <w:rPr>
          <w:rFonts w:ascii="Calibri" w:hAnsi="Calibri"/>
          <w:color w:val="auto"/>
        </w:rPr>
        <w:t xml:space="preserve"> </w:t>
      </w:r>
      <w:r w:rsidRPr="00A964FF">
        <w:rPr>
          <w:rFonts w:ascii="Calibri"/>
          <w:color w:val="auto"/>
        </w:rPr>
        <w:t>密封点不泄漏状态下</w:t>
      </w:r>
      <w:r>
        <w:rPr>
          <w:rFonts w:ascii="Calibri" w:hint="eastAsia"/>
          <w:color w:val="auto"/>
        </w:rPr>
        <w:t>VOCs</w:t>
      </w:r>
      <w:r w:rsidRPr="00A964FF">
        <w:rPr>
          <w:rFonts w:ascii="Calibri"/>
          <w:color w:val="auto"/>
        </w:rPr>
        <w:t>排放量</w:t>
      </w:r>
    </w:p>
    <w:p w14:paraId="4F6E2881" w14:textId="77777777" w:rsidR="00433709" w:rsidRPr="00A964FF" w:rsidRDefault="00433709" w:rsidP="00433709">
      <w:pPr>
        <w:pStyle w:val="00"/>
        <w:jc w:val="left"/>
        <w:rPr>
          <w:rFonts w:ascii="Calibri" w:hAnsi="Calibri"/>
          <w:color w:val="auto"/>
        </w:rPr>
      </w:pPr>
      <w:r w:rsidRPr="00A964FF">
        <w:rPr>
          <w:rFonts w:ascii="Calibri"/>
          <w:color w:val="auto"/>
        </w:rPr>
        <w:t>对于</w:t>
      </w:r>
      <w:r w:rsidRPr="00A964FF">
        <w:rPr>
          <w:rFonts w:ascii="Calibri" w:hint="eastAsia"/>
          <w:color w:val="auto"/>
        </w:rPr>
        <w:t>生产</w:t>
      </w:r>
      <w:r w:rsidRPr="00A964FF">
        <w:rPr>
          <w:rFonts w:ascii="Calibri"/>
          <w:color w:val="auto"/>
        </w:rPr>
        <w:t>区密封点不泄漏状态下</w:t>
      </w:r>
      <w:r w:rsidRPr="00A964FF">
        <w:rPr>
          <w:rFonts w:ascii="Calibri" w:hint="eastAsia"/>
          <w:color w:val="auto"/>
        </w:rPr>
        <w:t>VOCs</w:t>
      </w:r>
      <w:r w:rsidRPr="00A964FF">
        <w:rPr>
          <w:rFonts w:ascii="Calibri"/>
          <w:color w:val="auto"/>
        </w:rPr>
        <w:t>无组织排放量，本次评价根据《石化行业建设项目挥发性有机物（</w:t>
      </w:r>
      <w:r w:rsidRPr="00A964FF">
        <w:rPr>
          <w:rFonts w:ascii="Calibri" w:hAnsi="Calibri"/>
          <w:color w:val="auto"/>
        </w:rPr>
        <w:t>VOCs</w:t>
      </w:r>
      <w:r w:rsidRPr="00A964FF">
        <w:rPr>
          <w:rFonts w:ascii="Calibri"/>
          <w:color w:val="auto"/>
        </w:rPr>
        <w:t>）排放量估算方法技术指南（试行）》中</w:t>
      </w:r>
      <w:r w:rsidRPr="00A964FF">
        <w:rPr>
          <w:rFonts w:ascii="Calibri" w:hAnsi="Calibri"/>
          <w:color w:val="auto"/>
        </w:rPr>
        <w:t>“</w:t>
      </w:r>
      <w:r w:rsidRPr="00A964FF">
        <w:rPr>
          <w:rFonts w:ascii="Calibri"/>
          <w:color w:val="auto"/>
        </w:rPr>
        <w:t>筛选范围法</w:t>
      </w:r>
      <w:r w:rsidRPr="00A964FF">
        <w:rPr>
          <w:rFonts w:ascii="Calibri" w:hAnsi="Calibri"/>
          <w:color w:val="auto"/>
        </w:rPr>
        <w:t>”</w:t>
      </w:r>
      <w:r w:rsidRPr="00A964FF">
        <w:rPr>
          <w:rFonts w:ascii="Calibri"/>
          <w:color w:val="auto"/>
        </w:rPr>
        <w:t>进行估算，公式如下：</w:t>
      </w:r>
    </w:p>
    <w:p w14:paraId="5014B487" w14:textId="77777777" w:rsidR="00433709" w:rsidRPr="00A964FF" w:rsidRDefault="00433709" w:rsidP="00433709">
      <w:pPr>
        <w:pStyle w:val="00"/>
        <w:ind w:firstLineChars="444" w:firstLine="1066"/>
        <w:jc w:val="left"/>
        <w:rPr>
          <w:rFonts w:ascii="Calibri" w:hAnsi="Calibri"/>
          <w:color w:val="auto"/>
        </w:rPr>
      </w:pPr>
      <w:r w:rsidRPr="00A964FF">
        <w:rPr>
          <w:rFonts w:ascii="Calibri" w:hAnsi="Calibri"/>
          <w:color w:val="auto"/>
        </w:rPr>
        <w:t>E</w:t>
      </w:r>
      <w:r w:rsidRPr="00A964FF">
        <w:rPr>
          <w:rFonts w:ascii="Calibri"/>
          <w:color w:val="auto"/>
          <w:vertAlign w:val="subscript"/>
        </w:rPr>
        <w:t>设备</w:t>
      </w:r>
      <w:r w:rsidRPr="00A964FF">
        <w:rPr>
          <w:rFonts w:ascii="Calibri" w:hAnsi="Calibri"/>
          <w:color w:val="auto"/>
        </w:rPr>
        <w:t>=F</w:t>
      </w:r>
      <w:r w:rsidRPr="00A964FF">
        <w:rPr>
          <w:rFonts w:ascii="Calibri" w:hAnsi="Calibri"/>
          <w:color w:val="auto"/>
          <w:vertAlign w:val="subscript"/>
        </w:rPr>
        <w:t>L</w:t>
      </w:r>
      <w:r w:rsidRPr="00A964FF">
        <w:rPr>
          <w:rFonts w:ascii="Calibri" w:hAnsi="Calibri"/>
          <w:color w:val="auto"/>
        </w:rPr>
        <w:t>×N</w:t>
      </w:r>
      <w:r w:rsidRPr="00A964FF">
        <w:rPr>
          <w:rFonts w:ascii="Calibri" w:hAnsi="Calibri"/>
          <w:color w:val="auto"/>
          <w:vertAlign w:val="subscript"/>
        </w:rPr>
        <w:t>L</w:t>
      </w:r>
    </w:p>
    <w:p w14:paraId="455E8CD0" w14:textId="77777777" w:rsidR="00433709" w:rsidRPr="00A964FF" w:rsidRDefault="00433709" w:rsidP="00433709">
      <w:pPr>
        <w:pStyle w:val="00"/>
        <w:jc w:val="left"/>
        <w:rPr>
          <w:rFonts w:ascii="Calibri" w:hAnsi="Calibri"/>
          <w:color w:val="auto"/>
        </w:rPr>
      </w:pPr>
      <w:r w:rsidRPr="00A964FF">
        <w:rPr>
          <w:rFonts w:ascii="Calibri"/>
          <w:color w:val="auto"/>
        </w:rPr>
        <w:t>式中：</w:t>
      </w:r>
      <w:r w:rsidRPr="00A964FF">
        <w:rPr>
          <w:rFonts w:ascii="Calibri" w:hAnsi="Calibri"/>
          <w:color w:val="auto"/>
        </w:rPr>
        <w:t>E</w:t>
      </w:r>
      <w:r w:rsidRPr="00A964FF">
        <w:rPr>
          <w:rFonts w:ascii="Calibri"/>
          <w:color w:val="auto"/>
          <w:vertAlign w:val="subscript"/>
        </w:rPr>
        <w:t>设备</w:t>
      </w:r>
      <w:r w:rsidRPr="00A964FF">
        <w:rPr>
          <w:rFonts w:ascii="Calibri" w:hAnsi="Calibri"/>
          <w:color w:val="auto"/>
        </w:rPr>
        <w:t>——</w:t>
      </w:r>
      <w:r w:rsidRPr="00A964FF">
        <w:rPr>
          <w:rFonts w:ascii="Calibri"/>
          <w:color w:val="auto"/>
        </w:rPr>
        <w:t>一类设备的</w:t>
      </w:r>
      <w:r w:rsidRPr="00A964FF">
        <w:rPr>
          <w:rFonts w:ascii="Calibri" w:hAnsi="Calibri"/>
          <w:color w:val="auto"/>
        </w:rPr>
        <w:t>TOC</w:t>
      </w:r>
      <w:r w:rsidRPr="00A964FF">
        <w:rPr>
          <w:rFonts w:ascii="Calibri"/>
          <w:color w:val="auto"/>
        </w:rPr>
        <w:t>排放速率，</w:t>
      </w:r>
      <w:r w:rsidRPr="00A964FF">
        <w:rPr>
          <w:rFonts w:ascii="Calibri" w:hAnsi="Calibri"/>
          <w:color w:val="auto"/>
        </w:rPr>
        <w:t>kg/h</w:t>
      </w:r>
      <w:r w:rsidRPr="00A964FF">
        <w:rPr>
          <w:rFonts w:ascii="Calibri"/>
          <w:color w:val="auto"/>
        </w:rPr>
        <w:t>；</w:t>
      </w:r>
    </w:p>
    <w:p w14:paraId="574CE55F" w14:textId="77777777" w:rsidR="00433709" w:rsidRPr="00A964FF" w:rsidRDefault="00433709" w:rsidP="00433709">
      <w:pPr>
        <w:pStyle w:val="00"/>
        <w:ind w:firstLineChars="499" w:firstLine="1198"/>
        <w:jc w:val="left"/>
        <w:rPr>
          <w:rFonts w:ascii="Calibri" w:hAnsi="Calibri"/>
          <w:color w:val="auto"/>
        </w:rPr>
      </w:pPr>
      <w:r w:rsidRPr="00A964FF">
        <w:rPr>
          <w:rFonts w:ascii="Calibri" w:hAnsi="Calibri"/>
          <w:color w:val="auto"/>
        </w:rPr>
        <w:t>F</w:t>
      </w:r>
      <w:r w:rsidRPr="00A964FF">
        <w:rPr>
          <w:rFonts w:ascii="Calibri" w:hAnsi="Calibri"/>
          <w:color w:val="auto"/>
          <w:vertAlign w:val="subscript"/>
        </w:rPr>
        <w:t>L</w:t>
      </w:r>
      <w:r w:rsidRPr="00A964FF">
        <w:rPr>
          <w:rFonts w:ascii="Calibri" w:hAnsi="Calibri"/>
          <w:color w:val="auto"/>
        </w:rPr>
        <w:t>——</w:t>
      </w:r>
      <w:r w:rsidRPr="00A964FF">
        <w:rPr>
          <w:rFonts w:ascii="Calibri"/>
          <w:color w:val="auto"/>
        </w:rPr>
        <w:t>筛选值＜</w:t>
      </w:r>
      <w:r w:rsidRPr="00A964FF">
        <w:rPr>
          <w:rFonts w:ascii="Calibri" w:hAnsi="Calibri"/>
          <w:color w:val="auto"/>
        </w:rPr>
        <w:t>10000ppmv</w:t>
      </w:r>
      <w:r w:rsidRPr="00A964FF">
        <w:rPr>
          <w:rFonts w:ascii="Calibri"/>
          <w:color w:val="auto"/>
        </w:rPr>
        <w:t>的排放源的排放系数，</w:t>
      </w:r>
      <w:r w:rsidRPr="00A964FF">
        <w:rPr>
          <w:rFonts w:ascii="Calibri" w:hAnsi="Calibri"/>
          <w:color w:val="auto"/>
        </w:rPr>
        <w:t>kg/</w:t>
      </w:r>
      <w:r w:rsidRPr="00A964FF">
        <w:rPr>
          <w:rFonts w:ascii="Calibri" w:hAnsi="Calibri" w:hint="eastAsia"/>
          <w:color w:val="auto"/>
        </w:rPr>
        <w:t>（</w:t>
      </w:r>
      <w:r w:rsidRPr="00A964FF">
        <w:rPr>
          <w:rFonts w:ascii="Calibri"/>
          <w:color w:val="auto"/>
        </w:rPr>
        <w:t>小时</w:t>
      </w:r>
      <w:r w:rsidRPr="00A964FF">
        <w:rPr>
          <w:rFonts w:ascii="Calibri" w:hAnsi="Calibri"/>
          <w:color w:val="auto"/>
        </w:rPr>
        <w:t>·</w:t>
      </w:r>
      <w:r w:rsidRPr="00A964FF">
        <w:rPr>
          <w:rFonts w:ascii="Calibri"/>
          <w:color w:val="auto"/>
        </w:rPr>
        <w:t>源</w:t>
      </w:r>
      <w:r w:rsidRPr="00A964FF">
        <w:rPr>
          <w:rFonts w:ascii="Calibri" w:hAnsi="Calibri" w:hint="eastAsia"/>
          <w:color w:val="auto"/>
        </w:rPr>
        <w:t>）</w:t>
      </w:r>
      <w:r w:rsidRPr="00A964FF">
        <w:rPr>
          <w:rFonts w:ascii="Calibri"/>
          <w:color w:val="auto"/>
        </w:rPr>
        <w:t>；</w:t>
      </w:r>
    </w:p>
    <w:p w14:paraId="3C08573C" w14:textId="77777777" w:rsidR="00433709" w:rsidRPr="00A964FF" w:rsidRDefault="00433709" w:rsidP="00433709">
      <w:pPr>
        <w:pStyle w:val="00"/>
        <w:ind w:firstLineChars="498" w:firstLine="1195"/>
        <w:jc w:val="left"/>
        <w:rPr>
          <w:rFonts w:ascii="Calibri" w:hAnsi="Calibri"/>
          <w:color w:val="auto"/>
        </w:rPr>
      </w:pPr>
      <w:r w:rsidRPr="00A964FF">
        <w:rPr>
          <w:rFonts w:ascii="Calibri" w:hAnsi="Calibri"/>
          <w:color w:val="auto"/>
        </w:rPr>
        <w:t>N</w:t>
      </w:r>
      <w:r w:rsidRPr="00A964FF">
        <w:rPr>
          <w:rFonts w:ascii="Calibri" w:hAnsi="Calibri"/>
          <w:color w:val="auto"/>
          <w:vertAlign w:val="subscript"/>
        </w:rPr>
        <w:t>L</w:t>
      </w:r>
      <w:r w:rsidRPr="00A964FF">
        <w:rPr>
          <w:rFonts w:ascii="Calibri" w:hAnsi="Calibri"/>
          <w:color w:val="auto"/>
        </w:rPr>
        <w:t>——</w:t>
      </w:r>
      <w:r w:rsidRPr="00A964FF">
        <w:rPr>
          <w:rFonts w:ascii="Calibri"/>
          <w:color w:val="auto"/>
        </w:rPr>
        <w:t>筛选值＜</w:t>
      </w:r>
      <w:r w:rsidRPr="00A964FF">
        <w:rPr>
          <w:rFonts w:ascii="Calibri" w:hAnsi="Calibri"/>
          <w:color w:val="auto"/>
        </w:rPr>
        <w:t>10000ppmv</w:t>
      </w:r>
      <w:r w:rsidRPr="00A964FF">
        <w:rPr>
          <w:rFonts w:ascii="Calibri"/>
          <w:color w:val="auto"/>
        </w:rPr>
        <w:t>的设备个数（按选定设备类型）；</w:t>
      </w:r>
    </w:p>
    <w:p w14:paraId="27077DF4" w14:textId="77777777" w:rsidR="009B4F57" w:rsidRPr="005E5F3B" w:rsidRDefault="00433709" w:rsidP="005E5F3B">
      <w:pPr>
        <w:pStyle w:val="00"/>
        <w:ind w:firstLineChars="199" w:firstLine="478"/>
        <w:jc w:val="left"/>
        <w:rPr>
          <w:rFonts w:ascii="Calibri"/>
          <w:color w:val="auto"/>
        </w:rPr>
      </w:pPr>
      <w:r w:rsidRPr="00A964FF">
        <w:rPr>
          <w:rFonts w:ascii="Calibri"/>
          <w:color w:val="auto"/>
        </w:rPr>
        <w:t>本项目筛选值＜</w:t>
      </w:r>
      <w:r w:rsidRPr="00A964FF">
        <w:rPr>
          <w:rFonts w:ascii="Calibri" w:hAnsi="Calibri"/>
          <w:color w:val="auto"/>
        </w:rPr>
        <w:t>10000ppmv</w:t>
      </w:r>
      <w:r w:rsidRPr="00A964FF">
        <w:rPr>
          <w:rFonts w:ascii="Calibri"/>
          <w:color w:val="auto"/>
        </w:rPr>
        <w:t>的排放源排放系数见表</w:t>
      </w:r>
      <w:r w:rsidRPr="00A964FF">
        <w:rPr>
          <w:rFonts w:ascii="Calibri" w:hAnsi="Calibri"/>
          <w:color w:val="auto"/>
        </w:rPr>
        <w:t>2</w:t>
      </w:r>
      <w:r w:rsidRPr="00A964FF">
        <w:rPr>
          <w:rFonts w:ascii="Calibri" w:hAnsi="Calibri" w:hint="eastAsia"/>
          <w:color w:val="auto"/>
        </w:rPr>
        <w:t>.3</w:t>
      </w:r>
      <w:r w:rsidRPr="00A964FF">
        <w:rPr>
          <w:rFonts w:ascii="Calibri" w:hAnsi="Calibri"/>
          <w:color w:val="auto"/>
        </w:rPr>
        <w:t>-</w:t>
      </w:r>
      <w:r w:rsidR="005E5F3B">
        <w:rPr>
          <w:rFonts w:ascii="Calibri" w:hAnsi="Calibri"/>
          <w:color w:val="auto"/>
        </w:rPr>
        <w:t>8</w:t>
      </w:r>
      <w:r w:rsidRPr="00A964FF">
        <w:rPr>
          <w:rFonts w:ascii="Calibri"/>
          <w:color w:val="auto"/>
        </w:rPr>
        <w:t>。</w:t>
      </w:r>
    </w:p>
    <w:p w14:paraId="6577B55B" w14:textId="77777777" w:rsidR="00433709" w:rsidRPr="00A964FF" w:rsidRDefault="00433709" w:rsidP="00433709">
      <w:pPr>
        <w:spacing w:line="520" w:lineRule="exact"/>
        <w:ind w:firstLineChars="200" w:firstLine="480"/>
        <w:rPr>
          <w:rFonts w:ascii="Calibri" w:eastAsia="黑体" w:hAnsi="黑体"/>
          <w:color w:val="auto"/>
          <w:sz w:val="24"/>
        </w:rPr>
      </w:pPr>
      <w:r w:rsidRPr="00A964FF">
        <w:rPr>
          <w:rFonts w:ascii="Calibri" w:eastAsia="黑体" w:hAnsi="黑体"/>
          <w:color w:val="auto"/>
          <w:sz w:val="24"/>
        </w:rPr>
        <w:t>表</w:t>
      </w:r>
      <w:r w:rsidRPr="00A964FF">
        <w:rPr>
          <w:rFonts w:ascii="Calibri" w:eastAsia="黑体" w:hAnsi="黑体"/>
          <w:color w:val="auto"/>
          <w:sz w:val="24"/>
        </w:rPr>
        <w:t>2</w:t>
      </w:r>
      <w:r w:rsidRPr="00A964FF">
        <w:rPr>
          <w:rFonts w:ascii="Calibri" w:eastAsia="黑体" w:hAnsi="黑体" w:hint="eastAsia"/>
          <w:color w:val="auto"/>
          <w:sz w:val="24"/>
        </w:rPr>
        <w:t>.3</w:t>
      </w:r>
      <w:r w:rsidRPr="00A964FF">
        <w:rPr>
          <w:rFonts w:ascii="Calibri" w:eastAsia="黑体" w:hAnsi="黑体"/>
          <w:color w:val="auto"/>
          <w:sz w:val="24"/>
        </w:rPr>
        <w:t>-</w:t>
      </w:r>
      <w:r w:rsidR="005E5F3B">
        <w:rPr>
          <w:rFonts w:ascii="Calibri" w:eastAsia="黑体" w:hAnsi="黑体"/>
          <w:color w:val="auto"/>
          <w:sz w:val="24"/>
        </w:rPr>
        <w:t>8</w:t>
      </w:r>
      <w:r w:rsidRPr="00A964FF">
        <w:rPr>
          <w:rFonts w:ascii="Calibri" w:eastAsia="黑体" w:hAnsi="黑体"/>
          <w:color w:val="auto"/>
          <w:sz w:val="24"/>
        </w:rPr>
        <w:t xml:space="preserve">         </w:t>
      </w:r>
      <w:r w:rsidRPr="00A964FF">
        <w:rPr>
          <w:rFonts w:ascii="Calibri" w:eastAsia="黑体" w:hAnsi="黑体"/>
          <w:color w:val="auto"/>
          <w:sz w:val="24"/>
        </w:rPr>
        <w:t>合成有机化工行业的筛选范围排放系数</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95"/>
        <w:gridCol w:w="1792"/>
        <w:gridCol w:w="1650"/>
        <w:gridCol w:w="4463"/>
      </w:tblGrid>
      <w:tr w:rsidR="00433709" w:rsidRPr="00A964FF" w14:paraId="14A3C13B" w14:textId="77777777" w:rsidTr="00433709">
        <w:trPr>
          <w:trHeight w:val="340"/>
          <w:jc w:val="center"/>
        </w:trPr>
        <w:tc>
          <w:tcPr>
            <w:tcW w:w="457" w:type="pct"/>
            <w:tcBorders>
              <w:right w:val="single" w:sz="4" w:space="0" w:color="auto"/>
            </w:tcBorders>
            <w:vAlign w:val="center"/>
          </w:tcPr>
          <w:p w14:paraId="3C755B58"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序号</w:t>
            </w:r>
          </w:p>
        </w:tc>
        <w:tc>
          <w:tcPr>
            <w:tcW w:w="1030" w:type="pct"/>
            <w:tcBorders>
              <w:left w:val="single" w:sz="4" w:space="0" w:color="auto"/>
              <w:right w:val="single" w:sz="2" w:space="0" w:color="auto"/>
            </w:tcBorders>
            <w:vAlign w:val="center"/>
          </w:tcPr>
          <w:p w14:paraId="7D3E1F66"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设备类型</w:t>
            </w:r>
          </w:p>
        </w:tc>
        <w:tc>
          <w:tcPr>
            <w:tcW w:w="948" w:type="pct"/>
            <w:tcBorders>
              <w:left w:val="single" w:sz="2" w:space="0" w:color="auto"/>
              <w:right w:val="single" w:sz="4" w:space="0" w:color="auto"/>
            </w:tcBorders>
            <w:vAlign w:val="center"/>
          </w:tcPr>
          <w:p w14:paraId="5347837D"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接触介质</w:t>
            </w:r>
          </w:p>
        </w:tc>
        <w:tc>
          <w:tcPr>
            <w:tcW w:w="2564" w:type="pct"/>
            <w:tcBorders>
              <w:left w:val="single" w:sz="4" w:space="0" w:color="auto"/>
            </w:tcBorders>
            <w:vAlign w:val="center"/>
          </w:tcPr>
          <w:p w14:paraId="798C40ED"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w:t>
            </w:r>
            <w:r w:rsidRPr="00A964FF">
              <w:rPr>
                <w:rFonts w:ascii="Calibri" w:hAnsi="Calibri"/>
                <w:color w:val="auto"/>
                <w:szCs w:val="21"/>
              </w:rPr>
              <w:t>10000ppmv</w:t>
            </w:r>
            <w:r w:rsidRPr="00A964FF">
              <w:rPr>
                <w:rFonts w:ascii="Calibri" w:hAnsi="宋体"/>
                <w:color w:val="auto"/>
                <w:szCs w:val="21"/>
              </w:rPr>
              <w:t>排放系数（千克</w:t>
            </w:r>
            <w:r w:rsidRPr="00A964FF">
              <w:rPr>
                <w:rFonts w:ascii="Calibri" w:hAnsi="Calibri"/>
                <w:color w:val="auto"/>
                <w:szCs w:val="21"/>
              </w:rPr>
              <w:t>/</w:t>
            </w:r>
            <w:r w:rsidRPr="00A964FF">
              <w:rPr>
                <w:rFonts w:ascii="Calibri" w:hAnsi="宋体"/>
                <w:color w:val="auto"/>
                <w:szCs w:val="21"/>
              </w:rPr>
              <w:t>小时</w:t>
            </w:r>
            <w:r w:rsidRPr="00A964FF">
              <w:rPr>
                <w:rFonts w:ascii="Calibri" w:hAnsi="Calibri"/>
                <w:color w:val="auto"/>
                <w:szCs w:val="21"/>
              </w:rPr>
              <w:t>/</w:t>
            </w:r>
            <w:r w:rsidRPr="00A964FF">
              <w:rPr>
                <w:rFonts w:ascii="Calibri" w:hAnsi="宋体"/>
                <w:color w:val="auto"/>
                <w:szCs w:val="21"/>
              </w:rPr>
              <w:t>排放源）</w:t>
            </w:r>
          </w:p>
        </w:tc>
      </w:tr>
      <w:tr w:rsidR="00433709" w:rsidRPr="00A964FF" w14:paraId="2B5833DE" w14:textId="77777777" w:rsidTr="00433709">
        <w:trPr>
          <w:trHeight w:val="340"/>
          <w:jc w:val="center"/>
        </w:trPr>
        <w:tc>
          <w:tcPr>
            <w:tcW w:w="457" w:type="pct"/>
            <w:vMerge w:val="restart"/>
            <w:tcBorders>
              <w:right w:val="single" w:sz="4" w:space="0" w:color="auto"/>
            </w:tcBorders>
            <w:vAlign w:val="center"/>
          </w:tcPr>
          <w:p w14:paraId="6938B518"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1</w:t>
            </w:r>
          </w:p>
        </w:tc>
        <w:tc>
          <w:tcPr>
            <w:tcW w:w="1030" w:type="pct"/>
            <w:vMerge w:val="restart"/>
            <w:tcBorders>
              <w:left w:val="single" w:sz="4" w:space="0" w:color="auto"/>
              <w:right w:val="single" w:sz="2" w:space="0" w:color="auto"/>
            </w:tcBorders>
            <w:vAlign w:val="center"/>
          </w:tcPr>
          <w:p w14:paraId="3F88508E"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阀门</w:t>
            </w:r>
          </w:p>
        </w:tc>
        <w:tc>
          <w:tcPr>
            <w:tcW w:w="948" w:type="pct"/>
            <w:tcBorders>
              <w:left w:val="single" w:sz="2" w:space="0" w:color="auto"/>
              <w:right w:val="single" w:sz="4" w:space="0" w:color="auto"/>
            </w:tcBorders>
            <w:vAlign w:val="center"/>
          </w:tcPr>
          <w:p w14:paraId="6B873492"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气体</w:t>
            </w:r>
          </w:p>
        </w:tc>
        <w:tc>
          <w:tcPr>
            <w:tcW w:w="2564" w:type="pct"/>
            <w:tcBorders>
              <w:left w:val="single" w:sz="4" w:space="0" w:color="auto"/>
            </w:tcBorders>
            <w:vAlign w:val="center"/>
          </w:tcPr>
          <w:p w14:paraId="3CF8AED7"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0.000131</w:t>
            </w:r>
          </w:p>
        </w:tc>
      </w:tr>
      <w:tr w:rsidR="00433709" w:rsidRPr="00A964FF" w14:paraId="4EA0B279" w14:textId="77777777" w:rsidTr="00433709">
        <w:trPr>
          <w:trHeight w:val="340"/>
          <w:jc w:val="center"/>
        </w:trPr>
        <w:tc>
          <w:tcPr>
            <w:tcW w:w="457" w:type="pct"/>
            <w:vMerge/>
            <w:tcBorders>
              <w:right w:val="single" w:sz="4" w:space="0" w:color="auto"/>
            </w:tcBorders>
            <w:vAlign w:val="center"/>
          </w:tcPr>
          <w:p w14:paraId="71CA833E" w14:textId="77777777" w:rsidR="00433709" w:rsidRPr="00A964FF" w:rsidRDefault="00433709" w:rsidP="00433709">
            <w:pPr>
              <w:jc w:val="center"/>
              <w:rPr>
                <w:rFonts w:ascii="Calibri" w:hAnsi="Calibri"/>
                <w:color w:val="auto"/>
                <w:szCs w:val="21"/>
              </w:rPr>
            </w:pPr>
          </w:p>
        </w:tc>
        <w:tc>
          <w:tcPr>
            <w:tcW w:w="1030" w:type="pct"/>
            <w:vMerge/>
            <w:tcBorders>
              <w:left w:val="single" w:sz="4" w:space="0" w:color="auto"/>
              <w:right w:val="single" w:sz="2" w:space="0" w:color="auto"/>
            </w:tcBorders>
            <w:vAlign w:val="center"/>
          </w:tcPr>
          <w:p w14:paraId="0119D930" w14:textId="77777777" w:rsidR="00433709" w:rsidRPr="00A964FF" w:rsidRDefault="00433709" w:rsidP="00433709">
            <w:pPr>
              <w:jc w:val="center"/>
              <w:rPr>
                <w:rFonts w:ascii="Calibri" w:hAnsi="Calibri"/>
                <w:color w:val="auto"/>
                <w:szCs w:val="21"/>
              </w:rPr>
            </w:pPr>
          </w:p>
        </w:tc>
        <w:tc>
          <w:tcPr>
            <w:tcW w:w="948" w:type="pct"/>
            <w:tcBorders>
              <w:left w:val="single" w:sz="2" w:space="0" w:color="auto"/>
              <w:right w:val="single" w:sz="4" w:space="0" w:color="auto"/>
            </w:tcBorders>
            <w:vAlign w:val="center"/>
          </w:tcPr>
          <w:p w14:paraId="57ADBD0F"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液体</w:t>
            </w:r>
          </w:p>
        </w:tc>
        <w:tc>
          <w:tcPr>
            <w:tcW w:w="2564" w:type="pct"/>
            <w:tcBorders>
              <w:left w:val="single" w:sz="4" w:space="0" w:color="auto"/>
            </w:tcBorders>
            <w:vAlign w:val="center"/>
          </w:tcPr>
          <w:p w14:paraId="3F3AD240"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0.00023</w:t>
            </w:r>
          </w:p>
        </w:tc>
      </w:tr>
      <w:tr w:rsidR="00433709" w:rsidRPr="00A964FF" w14:paraId="2C3FFF0F" w14:textId="77777777" w:rsidTr="00433709">
        <w:trPr>
          <w:trHeight w:val="340"/>
          <w:jc w:val="center"/>
        </w:trPr>
        <w:tc>
          <w:tcPr>
            <w:tcW w:w="457" w:type="pct"/>
            <w:tcBorders>
              <w:right w:val="single" w:sz="4" w:space="0" w:color="auto"/>
            </w:tcBorders>
            <w:vAlign w:val="center"/>
          </w:tcPr>
          <w:p w14:paraId="05EBA1E7"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2</w:t>
            </w:r>
          </w:p>
        </w:tc>
        <w:tc>
          <w:tcPr>
            <w:tcW w:w="1030" w:type="pct"/>
            <w:tcBorders>
              <w:left w:val="single" w:sz="4" w:space="0" w:color="auto"/>
              <w:right w:val="single" w:sz="2" w:space="0" w:color="auto"/>
            </w:tcBorders>
            <w:vAlign w:val="center"/>
          </w:tcPr>
          <w:p w14:paraId="3BAEDB82"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泵</w:t>
            </w:r>
          </w:p>
        </w:tc>
        <w:tc>
          <w:tcPr>
            <w:tcW w:w="948" w:type="pct"/>
            <w:tcBorders>
              <w:left w:val="single" w:sz="2" w:space="0" w:color="auto"/>
              <w:right w:val="single" w:sz="4" w:space="0" w:color="auto"/>
            </w:tcBorders>
            <w:vAlign w:val="center"/>
          </w:tcPr>
          <w:p w14:paraId="3E27D3BB"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液体</w:t>
            </w:r>
          </w:p>
        </w:tc>
        <w:tc>
          <w:tcPr>
            <w:tcW w:w="2564" w:type="pct"/>
            <w:tcBorders>
              <w:left w:val="single" w:sz="4" w:space="0" w:color="auto"/>
            </w:tcBorders>
            <w:vAlign w:val="center"/>
          </w:tcPr>
          <w:p w14:paraId="18F28E0B"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0.00210</w:t>
            </w:r>
          </w:p>
        </w:tc>
      </w:tr>
      <w:tr w:rsidR="00433709" w:rsidRPr="00A964FF" w14:paraId="18BDE091" w14:textId="77777777" w:rsidTr="00433709">
        <w:trPr>
          <w:trHeight w:val="340"/>
          <w:jc w:val="center"/>
        </w:trPr>
        <w:tc>
          <w:tcPr>
            <w:tcW w:w="457" w:type="pct"/>
            <w:tcBorders>
              <w:right w:val="single" w:sz="4" w:space="0" w:color="auto"/>
            </w:tcBorders>
            <w:vAlign w:val="center"/>
          </w:tcPr>
          <w:p w14:paraId="2E28ABBB"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3</w:t>
            </w:r>
          </w:p>
        </w:tc>
        <w:tc>
          <w:tcPr>
            <w:tcW w:w="1030" w:type="pct"/>
            <w:tcBorders>
              <w:left w:val="single" w:sz="4" w:space="0" w:color="auto"/>
              <w:right w:val="single" w:sz="2" w:space="0" w:color="auto"/>
            </w:tcBorders>
            <w:vAlign w:val="center"/>
          </w:tcPr>
          <w:p w14:paraId="6950F122"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压缩机密封</w:t>
            </w:r>
          </w:p>
        </w:tc>
        <w:tc>
          <w:tcPr>
            <w:tcW w:w="948" w:type="pct"/>
            <w:tcBorders>
              <w:left w:val="single" w:sz="2" w:space="0" w:color="auto"/>
              <w:right w:val="single" w:sz="4" w:space="0" w:color="auto"/>
            </w:tcBorders>
            <w:vAlign w:val="center"/>
          </w:tcPr>
          <w:p w14:paraId="613F9B23"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气体</w:t>
            </w:r>
          </w:p>
        </w:tc>
        <w:tc>
          <w:tcPr>
            <w:tcW w:w="2564" w:type="pct"/>
            <w:tcBorders>
              <w:left w:val="single" w:sz="4" w:space="0" w:color="auto"/>
            </w:tcBorders>
            <w:vAlign w:val="center"/>
          </w:tcPr>
          <w:p w14:paraId="602F7C3C"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0.0894</w:t>
            </w:r>
          </w:p>
        </w:tc>
      </w:tr>
      <w:tr w:rsidR="00433709" w:rsidRPr="00A964FF" w14:paraId="3BBCAFBE" w14:textId="77777777" w:rsidTr="00433709">
        <w:trPr>
          <w:trHeight w:val="340"/>
          <w:jc w:val="center"/>
        </w:trPr>
        <w:tc>
          <w:tcPr>
            <w:tcW w:w="457" w:type="pct"/>
            <w:tcBorders>
              <w:right w:val="single" w:sz="4" w:space="0" w:color="auto"/>
            </w:tcBorders>
            <w:vAlign w:val="center"/>
          </w:tcPr>
          <w:p w14:paraId="475CDB30"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4</w:t>
            </w:r>
          </w:p>
        </w:tc>
        <w:tc>
          <w:tcPr>
            <w:tcW w:w="1030" w:type="pct"/>
            <w:tcBorders>
              <w:left w:val="single" w:sz="4" w:space="0" w:color="auto"/>
              <w:right w:val="single" w:sz="2" w:space="0" w:color="auto"/>
            </w:tcBorders>
            <w:vAlign w:val="center"/>
          </w:tcPr>
          <w:p w14:paraId="5051A956"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压力释放阀</w:t>
            </w:r>
          </w:p>
        </w:tc>
        <w:tc>
          <w:tcPr>
            <w:tcW w:w="948" w:type="pct"/>
            <w:tcBorders>
              <w:left w:val="single" w:sz="2" w:space="0" w:color="auto"/>
              <w:right w:val="single" w:sz="4" w:space="0" w:color="auto"/>
            </w:tcBorders>
            <w:vAlign w:val="center"/>
          </w:tcPr>
          <w:p w14:paraId="67DA2D78"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气体</w:t>
            </w:r>
          </w:p>
        </w:tc>
        <w:tc>
          <w:tcPr>
            <w:tcW w:w="2564" w:type="pct"/>
            <w:tcBorders>
              <w:left w:val="single" w:sz="4" w:space="0" w:color="auto"/>
            </w:tcBorders>
            <w:vAlign w:val="center"/>
          </w:tcPr>
          <w:p w14:paraId="380F3DA5"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0.0447</w:t>
            </w:r>
          </w:p>
        </w:tc>
      </w:tr>
      <w:tr w:rsidR="00433709" w:rsidRPr="00A964FF" w14:paraId="28282071" w14:textId="77777777" w:rsidTr="00433709">
        <w:trPr>
          <w:trHeight w:val="340"/>
          <w:jc w:val="center"/>
        </w:trPr>
        <w:tc>
          <w:tcPr>
            <w:tcW w:w="457" w:type="pct"/>
            <w:tcBorders>
              <w:right w:val="single" w:sz="4" w:space="0" w:color="auto"/>
            </w:tcBorders>
            <w:vAlign w:val="center"/>
          </w:tcPr>
          <w:p w14:paraId="50AEECD5" w14:textId="77777777" w:rsidR="00433709" w:rsidRPr="00A964FF" w:rsidRDefault="00433709" w:rsidP="00433709">
            <w:pPr>
              <w:jc w:val="center"/>
              <w:rPr>
                <w:rFonts w:ascii="Calibri" w:hAnsi="Calibri"/>
                <w:color w:val="auto"/>
                <w:szCs w:val="21"/>
              </w:rPr>
            </w:pPr>
            <w:r w:rsidRPr="00A964FF">
              <w:rPr>
                <w:rFonts w:ascii="Calibri" w:hAnsi="Calibri" w:hint="eastAsia"/>
                <w:color w:val="auto"/>
                <w:szCs w:val="21"/>
              </w:rPr>
              <w:t>5</w:t>
            </w:r>
          </w:p>
        </w:tc>
        <w:tc>
          <w:tcPr>
            <w:tcW w:w="1030" w:type="pct"/>
            <w:tcBorders>
              <w:left w:val="single" w:sz="4" w:space="0" w:color="auto"/>
              <w:right w:val="single" w:sz="2" w:space="0" w:color="auto"/>
            </w:tcBorders>
            <w:vAlign w:val="center"/>
          </w:tcPr>
          <w:p w14:paraId="61C074EE"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连接器</w:t>
            </w:r>
          </w:p>
        </w:tc>
        <w:tc>
          <w:tcPr>
            <w:tcW w:w="948" w:type="pct"/>
            <w:tcBorders>
              <w:left w:val="single" w:sz="2" w:space="0" w:color="auto"/>
              <w:right w:val="single" w:sz="4" w:space="0" w:color="auto"/>
            </w:tcBorders>
            <w:vAlign w:val="center"/>
          </w:tcPr>
          <w:p w14:paraId="2F52A83A"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所有</w:t>
            </w:r>
          </w:p>
        </w:tc>
        <w:tc>
          <w:tcPr>
            <w:tcW w:w="2564" w:type="pct"/>
            <w:tcBorders>
              <w:left w:val="single" w:sz="4" w:space="0" w:color="auto"/>
            </w:tcBorders>
            <w:vAlign w:val="center"/>
          </w:tcPr>
          <w:p w14:paraId="110C83C7"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0.000081</w:t>
            </w:r>
          </w:p>
        </w:tc>
      </w:tr>
    </w:tbl>
    <w:p w14:paraId="26715CE7" w14:textId="6FDB5278" w:rsidR="00433709" w:rsidRDefault="00433709" w:rsidP="00433709">
      <w:pPr>
        <w:pStyle w:val="00"/>
        <w:jc w:val="left"/>
        <w:rPr>
          <w:rFonts w:ascii="Calibri"/>
          <w:color w:val="auto"/>
          <w:kern w:val="1"/>
        </w:rPr>
      </w:pPr>
      <w:r w:rsidRPr="00A964FF">
        <w:rPr>
          <w:rFonts w:ascii="Calibri"/>
          <w:color w:val="auto"/>
        </w:rPr>
        <w:t>根据设计单位提供的</w:t>
      </w:r>
      <w:r w:rsidRPr="00A964FF">
        <w:rPr>
          <w:rFonts w:ascii="Calibri"/>
          <w:color w:val="auto"/>
          <w:kern w:val="1"/>
        </w:rPr>
        <w:t>生产区设备动静密封点数量，其中有</w:t>
      </w:r>
      <w:r w:rsidRPr="00A964FF">
        <w:rPr>
          <w:rFonts w:ascii="Calibri" w:hAnsi="Calibri"/>
          <w:color w:val="auto"/>
          <w:kern w:val="1"/>
        </w:rPr>
        <w:t>99.7%</w:t>
      </w:r>
      <w:r w:rsidRPr="00A964FF">
        <w:rPr>
          <w:rFonts w:ascii="Calibri"/>
          <w:color w:val="auto"/>
          <w:kern w:val="1"/>
        </w:rPr>
        <w:t>的密封点未检测出泄漏，即密封点不发生泄漏的个数占比为</w:t>
      </w:r>
      <w:r w:rsidRPr="00A964FF">
        <w:rPr>
          <w:rFonts w:ascii="Calibri" w:hAnsi="Calibri"/>
          <w:color w:val="auto"/>
          <w:kern w:val="1"/>
        </w:rPr>
        <w:t>99.7%</w:t>
      </w:r>
      <w:r w:rsidRPr="00A964FF">
        <w:rPr>
          <w:rFonts w:ascii="Calibri"/>
          <w:color w:val="auto"/>
          <w:kern w:val="1"/>
        </w:rPr>
        <w:t>，则本项目</w:t>
      </w:r>
      <w:r w:rsidRPr="00A964FF">
        <w:rPr>
          <w:rFonts w:ascii="Calibri" w:hint="eastAsia"/>
          <w:color w:val="auto"/>
          <w:kern w:val="1"/>
        </w:rPr>
        <w:t>生产区</w:t>
      </w:r>
      <w:r w:rsidRPr="00A964FF">
        <w:rPr>
          <w:rFonts w:ascii="Calibri" w:hAnsi="Calibri"/>
          <w:color w:val="auto"/>
          <w:kern w:val="1"/>
        </w:rPr>
        <w:t>VOCs</w:t>
      </w:r>
      <w:r w:rsidRPr="00A964FF">
        <w:rPr>
          <w:rFonts w:ascii="Calibri"/>
          <w:color w:val="auto"/>
          <w:kern w:val="1"/>
        </w:rPr>
        <w:t>排放量估算见表</w:t>
      </w:r>
      <w:r w:rsidRPr="00A964FF">
        <w:rPr>
          <w:rFonts w:ascii="Calibri" w:hAnsi="Calibri"/>
          <w:color w:val="auto"/>
          <w:kern w:val="1"/>
        </w:rPr>
        <w:t>2</w:t>
      </w:r>
      <w:r w:rsidRPr="00A964FF">
        <w:rPr>
          <w:rFonts w:ascii="Calibri" w:hAnsi="Calibri" w:hint="eastAsia"/>
          <w:color w:val="auto"/>
          <w:kern w:val="1"/>
        </w:rPr>
        <w:t>.3</w:t>
      </w:r>
      <w:r w:rsidRPr="00A964FF">
        <w:rPr>
          <w:rFonts w:ascii="Calibri" w:hAnsi="Calibri"/>
          <w:color w:val="auto"/>
          <w:kern w:val="1"/>
        </w:rPr>
        <w:t>-</w:t>
      </w:r>
      <w:r w:rsidR="005E5F3B">
        <w:rPr>
          <w:rFonts w:ascii="Calibri" w:hAnsi="Calibri"/>
          <w:color w:val="auto"/>
          <w:kern w:val="1"/>
        </w:rPr>
        <w:t>9</w:t>
      </w:r>
      <w:r w:rsidRPr="00A964FF">
        <w:rPr>
          <w:rFonts w:ascii="Calibri"/>
          <w:color w:val="auto"/>
          <w:kern w:val="1"/>
        </w:rPr>
        <w:t>。</w:t>
      </w:r>
    </w:p>
    <w:p w14:paraId="4BF7AECB" w14:textId="344C3380" w:rsidR="00B71687" w:rsidRDefault="00B71687" w:rsidP="00433709">
      <w:pPr>
        <w:pStyle w:val="00"/>
        <w:jc w:val="left"/>
        <w:rPr>
          <w:rFonts w:ascii="Calibri"/>
          <w:color w:val="auto"/>
          <w:kern w:val="1"/>
        </w:rPr>
      </w:pPr>
    </w:p>
    <w:p w14:paraId="6A6088E5" w14:textId="12A4F386" w:rsidR="00B71687" w:rsidRDefault="00B71687" w:rsidP="00433709">
      <w:pPr>
        <w:pStyle w:val="00"/>
        <w:jc w:val="left"/>
        <w:rPr>
          <w:rFonts w:ascii="Calibri"/>
          <w:color w:val="auto"/>
          <w:kern w:val="1"/>
        </w:rPr>
      </w:pPr>
    </w:p>
    <w:p w14:paraId="5D1F1A65" w14:textId="77777777" w:rsidR="00B71687" w:rsidRPr="00B71687" w:rsidRDefault="00B71687" w:rsidP="00433709">
      <w:pPr>
        <w:pStyle w:val="00"/>
        <w:jc w:val="left"/>
        <w:rPr>
          <w:rFonts w:ascii="Calibri"/>
          <w:color w:val="auto"/>
          <w:kern w:val="1"/>
        </w:rPr>
      </w:pPr>
    </w:p>
    <w:p w14:paraId="6605D931" w14:textId="77777777" w:rsidR="00433709" w:rsidRPr="00A964FF" w:rsidRDefault="00433709" w:rsidP="00433709">
      <w:pPr>
        <w:spacing w:line="520" w:lineRule="exact"/>
        <w:ind w:firstLineChars="200" w:firstLine="480"/>
        <w:rPr>
          <w:rFonts w:ascii="Calibri" w:eastAsia="黑体" w:hAnsi="黑体"/>
          <w:color w:val="auto"/>
          <w:sz w:val="24"/>
        </w:rPr>
      </w:pPr>
      <w:r w:rsidRPr="00A964FF">
        <w:rPr>
          <w:rFonts w:ascii="Calibri" w:eastAsia="黑体" w:hAnsi="黑体"/>
          <w:color w:val="auto"/>
          <w:sz w:val="24"/>
        </w:rPr>
        <w:lastRenderedPageBreak/>
        <w:t>表</w:t>
      </w:r>
      <w:r w:rsidRPr="00A964FF">
        <w:rPr>
          <w:rFonts w:ascii="Calibri" w:eastAsia="黑体" w:hAnsi="黑体"/>
          <w:color w:val="auto"/>
          <w:sz w:val="24"/>
        </w:rPr>
        <w:t>2</w:t>
      </w:r>
      <w:r w:rsidRPr="00A964FF">
        <w:rPr>
          <w:rFonts w:ascii="Calibri" w:eastAsia="黑体" w:hAnsi="黑体" w:hint="eastAsia"/>
          <w:color w:val="auto"/>
          <w:sz w:val="24"/>
        </w:rPr>
        <w:t>.3</w:t>
      </w:r>
      <w:r w:rsidRPr="00A964FF">
        <w:rPr>
          <w:rFonts w:ascii="Calibri" w:eastAsia="黑体" w:hAnsi="黑体"/>
          <w:color w:val="auto"/>
          <w:sz w:val="24"/>
        </w:rPr>
        <w:t>-</w:t>
      </w:r>
      <w:r w:rsidR="005E5F3B">
        <w:rPr>
          <w:rFonts w:ascii="Calibri" w:eastAsia="黑体" w:hAnsi="黑体"/>
          <w:color w:val="auto"/>
          <w:sz w:val="24"/>
        </w:rPr>
        <w:t>9</w:t>
      </w:r>
      <w:r w:rsidRPr="00A964FF">
        <w:rPr>
          <w:rFonts w:ascii="Calibri" w:eastAsia="黑体" w:hAnsi="黑体"/>
          <w:color w:val="auto"/>
          <w:sz w:val="24"/>
        </w:rPr>
        <w:t xml:space="preserve">  </w:t>
      </w:r>
      <w:r>
        <w:rPr>
          <w:rFonts w:ascii="Calibri" w:eastAsia="黑体" w:hAnsi="黑体" w:hint="eastAsia"/>
          <w:color w:val="auto"/>
          <w:sz w:val="24"/>
        </w:rPr>
        <w:t xml:space="preserve"> </w:t>
      </w:r>
      <w:r w:rsidRPr="00A964FF">
        <w:rPr>
          <w:rFonts w:ascii="Calibri" w:eastAsia="黑体" w:hAnsi="黑体" w:hint="eastAsia"/>
          <w:color w:val="auto"/>
          <w:sz w:val="24"/>
        </w:rPr>
        <w:t xml:space="preserve"> </w:t>
      </w:r>
      <w:r w:rsidRPr="00A964FF">
        <w:rPr>
          <w:rFonts w:ascii="Calibri" w:eastAsia="黑体" w:hAnsi="黑体"/>
          <w:color w:val="auto"/>
          <w:sz w:val="24"/>
        </w:rPr>
        <w:t xml:space="preserve"> </w:t>
      </w:r>
      <w:r w:rsidRPr="00A964FF">
        <w:rPr>
          <w:rFonts w:ascii="Calibri" w:eastAsia="黑体" w:hAnsi="黑体" w:hint="eastAsia"/>
          <w:color w:val="auto"/>
          <w:sz w:val="24"/>
        </w:rPr>
        <w:t>生产区</w:t>
      </w:r>
      <w:r w:rsidRPr="00A964FF">
        <w:rPr>
          <w:rFonts w:ascii="Calibri" w:eastAsia="黑体" w:hAnsi="黑体"/>
          <w:color w:val="auto"/>
          <w:sz w:val="24"/>
        </w:rPr>
        <w:t>动静密封点数及不泄漏状态下</w:t>
      </w:r>
      <w:r w:rsidRPr="00A964FF">
        <w:rPr>
          <w:rFonts w:ascii="Calibri" w:eastAsia="黑体" w:hAnsi="黑体"/>
          <w:color w:val="auto"/>
          <w:sz w:val="24"/>
        </w:rPr>
        <w:t>VOCs</w:t>
      </w:r>
      <w:r w:rsidRPr="00A964FF">
        <w:rPr>
          <w:rFonts w:ascii="Calibri" w:eastAsia="黑体" w:hAnsi="黑体"/>
          <w:color w:val="auto"/>
          <w:sz w:val="24"/>
        </w:rPr>
        <w:t>排放估算量</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48"/>
        <w:gridCol w:w="1646"/>
        <w:gridCol w:w="992"/>
        <w:gridCol w:w="2410"/>
        <w:gridCol w:w="1420"/>
        <w:gridCol w:w="1484"/>
      </w:tblGrid>
      <w:tr w:rsidR="00433709" w:rsidRPr="00A964FF" w14:paraId="2EF366D2" w14:textId="77777777" w:rsidTr="00433709">
        <w:trPr>
          <w:trHeight w:val="340"/>
          <w:jc w:val="center"/>
        </w:trPr>
        <w:tc>
          <w:tcPr>
            <w:tcW w:w="430" w:type="pct"/>
            <w:tcBorders>
              <w:right w:val="single" w:sz="4" w:space="0" w:color="auto"/>
            </w:tcBorders>
            <w:vAlign w:val="center"/>
          </w:tcPr>
          <w:p w14:paraId="096A0D63"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序号</w:t>
            </w:r>
          </w:p>
        </w:tc>
        <w:tc>
          <w:tcPr>
            <w:tcW w:w="946" w:type="pct"/>
            <w:tcBorders>
              <w:left w:val="single" w:sz="4" w:space="0" w:color="auto"/>
              <w:right w:val="single" w:sz="4" w:space="0" w:color="auto"/>
            </w:tcBorders>
            <w:vAlign w:val="center"/>
          </w:tcPr>
          <w:p w14:paraId="4490479C"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设备类型</w:t>
            </w:r>
          </w:p>
        </w:tc>
        <w:tc>
          <w:tcPr>
            <w:tcW w:w="570" w:type="pct"/>
            <w:tcBorders>
              <w:left w:val="single" w:sz="4" w:space="0" w:color="auto"/>
              <w:right w:val="single" w:sz="4" w:space="0" w:color="auto"/>
            </w:tcBorders>
            <w:vAlign w:val="center"/>
          </w:tcPr>
          <w:p w14:paraId="6E1811CC"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个数</w:t>
            </w:r>
          </w:p>
        </w:tc>
        <w:tc>
          <w:tcPr>
            <w:tcW w:w="1385" w:type="pct"/>
            <w:tcBorders>
              <w:left w:val="single" w:sz="4" w:space="0" w:color="auto"/>
            </w:tcBorders>
            <w:vAlign w:val="center"/>
          </w:tcPr>
          <w:p w14:paraId="2C6FAF0E"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w:t>
            </w:r>
            <w:r w:rsidRPr="00A964FF">
              <w:rPr>
                <w:rFonts w:ascii="Calibri" w:hAnsi="Calibri"/>
                <w:color w:val="auto"/>
                <w:szCs w:val="21"/>
              </w:rPr>
              <w:t>10000ppmv</w:t>
            </w:r>
            <w:r w:rsidRPr="00A964FF">
              <w:rPr>
                <w:rFonts w:ascii="Calibri" w:hAnsi="宋体"/>
                <w:color w:val="auto"/>
                <w:szCs w:val="21"/>
              </w:rPr>
              <w:t>排放系数</w:t>
            </w:r>
          </w:p>
          <w:p w14:paraId="539B6DF2"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（千克</w:t>
            </w:r>
            <w:r w:rsidRPr="00A964FF">
              <w:rPr>
                <w:rFonts w:ascii="Calibri" w:hAnsi="Calibri"/>
                <w:color w:val="auto"/>
                <w:szCs w:val="21"/>
              </w:rPr>
              <w:t>/</w:t>
            </w:r>
            <w:r w:rsidRPr="00A964FF">
              <w:rPr>
                <w:rFonts w:ascii="Calibri" w:hAnsi="宋体"/>
                <w:color w:val="auto"/>
                <w:szCs w:val="21"/>
              </w:rPr>
              <w:t>小时</w:t>
            </w:r>
            <w:r w:rsidRPr="00A964FF">
              <w:rPr>
                <w:rFonts w:ascii="Calibri" w:hAnsi="Calibri"/>
                <w:color w:val="auto"/>
                <w:szCs w:val="21"/>
              </w:rPr>
              <w:t>/</w:t>
            </w:r>
            <w:r w:rsidRPr="00A964FF">
              <w:rPr>
                <w:rFonts w:ascii="Calibri" w:hAnsi="宋体"/>
                <w:color w:val="auto"/>
                <w:szCs w:val="21"/>
              </w:rPr>
              <w:t>排放源）</w:t>
            </w:r>
          </w:p>
        </w:tc>
        <w:tc>
          <w:tcPr>
            <w:tcW w:w="816" w:type="pct"/>
            <w:tcBorders>
              <w:left w:val="single" w:sz="4" w:space="0" w:color="auto"/>
            </w:tcBorders>
            <w:vAlign w:val="center"/>
          </w:tcPr>
          <w:p w14:paraId="0CD5D028" w14:textId="77777777" w:rsidR="00433709" w:rsidRDefault="00433709" w:rsidP="00433709">
            <w:pPr>
              <w:jc w:val="center"/>
              <w:rPr>
                <w:rFonts w:ascii="Calibri" w:hAnsi="宋体"/>
                <w:color w:val="auto"/>
                <w:szCs w:val="21"/>
              </w:rPr>
            </w:pPr>
            <w:r>
              <w:rPr>
                <w:rFonts w:ascii="Calibri" w:hAnsi="宋体" w:hint="eastAsia"/>
                <w:color w:val="auto"/>
                <w:szCs w:val="21"/>
              </w:rPr>
              <w:t>排放</w:t>
            </w:r>
            <w:r>
              <w:rPr>
                <w:rFonts w:ascii="Calibri" w:hAnsi="宋体"/>
                <w:color w:val="auto"/>
                <w:szCs w:val="21"/>
              </w:rPr>
              <w:t>速率</w:t>
            </w:r>
          </w:p>
          <w:p w14:paraId="019F4FF3" w14:textId="77777777" w:rsidR="00433709" w:rsidRPr="00A964FF" w:rsidRDefault="00433709" w:rsidP="00433709">
            <w:pPr>
              <w:jc w:val="center"/>
              <w:rPr>
                <w:rFonts w:ascii="Calibri" w:hAnsi="Calibri"/>
                <w:color w:val="auto"/>
                <w:szCs w:val="21"/>
              </w:rPr>
            </w:pPr>
            <w:r>
              <w:rPr>
                <w:rFonts w:ascii="Calibri" w:hAnsi="Calibri" w:hint="eastAsia"/>
                <w:color w:val="auto"/>
                <w:szCs w:val="21"/>
              </w:rPr>
              <w:t>（</w:t>
            </w:r>
            <w:r>
              <w:rPr>
                <w:rFonts w:ascii="Calibri" w:hAnsi="Calibri" w:hint="eastAsia"/>
                <w:color w:val="auto"/>
                <w:szCs w:val="21"/>
              </w:rPr>
              <w:t>kg/h</w:t>
            </w:r>
            <w:r>
              <w:rPr>
                <w:rFonts w:ascii="Calibri" w:hAnsi="Calibri" w:hint="eastAsia"/>
                <w:color w:val="auto"/>
                <w:szCs w:val="21"/>
              </w:rPr>
              <w:t>）</w:t>
            </w:r>
          </w:p>
        </w:tc>
        <w:tc>
          <w:tcPr>
            <w:tcW w:w="853" w:type="pct"/>
            <w:tcBorders>
              <w:left w:val="single" w:sz="4" w:space="0" w:color="auto"/>
            </w:tcBorders>
            <w:vAlign w:val="center"/>
          </w:tcPr>
          <w:p w14:paraId="57CAC058"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排放量</w:t>
            </w:r>
          </w:p>
          <w:p w14:paraId="1841CA1D"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w:t>
            </w:r>
            <w:r w:rsidRPr="00A964FF">
              <w:rPr>
                <w:rFonts w:ascii="Calibri" w:hAnsi="Calibri"/>
                <w:color w:val="auto"/>
                <w:szCs w:val="21"/>
              </w:rPr>
              <w:t>t/a</w:t>
            </w:r>
            <w:r w:rsidRPr="00A964FF">
              <w:rPr>
                <w:rFonts w:ascii="Calibri" w:hAnsi="宋体"/>
                <w:color w:val="auto"/>
                <w:szCs w:val="21"/>
              </w:rPr>
              <w:t>）</w:t>
            </w:r>
          </w:p>
        </w:tc>
      </w:tr>
      <w:tr w:rsidR="00433709" w:rsidRPr="00A964FF" w14:paraId="2CEFA047" w14:textId="77777777" w:rsidTr="00433709">
        <w:trPr>
          <w:trHeight w:val="340"/>
          <w:jc w:val="center"/>
        </w:trPr>
        <w:tc>
          <w:tcPr>
            <w:tcW w:w="430" w:type="pct"/>
            <w:tcBorders>
              <w:right w:val="single" w:sz="4" w:space="0" w:color="auto"/>
            </w:tcBorders>
            <w:vAlign w:val="center"/>
          </w:tcPr>
          <w:p w14:paraId="4ABC472D"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1</w:t>
            </w:r>
          </w:p>
        </w:tc>
        <w:tc>
          <w:tcPr>
            <w:tcW w:w="946" w:type="pct"/>
            <w:tcBorders>
              <w:left w:val="single" w:sz="4" w:space="0" w:color="auto"/>
              <w:right w:val="single" w:sz="4" w:space="0" w:color="auto"/>
            </w:tcBorders>
            <w:vAlign w:val="center"/>
          </w:tcPr>
          <w:p w14:paraId="34036EBA"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气体阀门</w:t>
            </w:r>
          </w:p>
        </w:tc>
        <w:tc>
          <w:tcPr>
            <w:tcW w:w="570" w:type="pct"/>
            <w:tcBorders>
              <w:left w:val="single" w:sz="4" w:space="0" w:color="auto"/>
              <w:right w:val="single" w:sz="4" w:space="0" w:color="auto"/>
            </w:tcBorders>
            <w:vAlign w:val="center"/>
          </w:tcPr>
          <w:p w14:paraId="02BBA632" w14:textId="77777777" w:rsidR="00433709" w:rsidRPr="00A964FF" w:rsidRDefault="00433709" w:rsidP="00433709">
            <w:pPr>
              <w:jc w:val="center"/>
              <w:rPr>
                <w:rFonts w:ascii="Calibri" w:hAnsi="Calibri"/>
                <w:color w:val="auto"/>
                <w:szCs w:val="21"/>
              </w:rPr>
            </w:pPr>
            <w:r>
              <w:rPr>
                <w:rFonts w:ascii="Calibri" w:hAnsi="Calibri"/>
                <w:color w:val="auto"/>
                <w:szCs w:val="21"/>
              </w:rPr>
              <w:t>36</w:t>
            </w:r>
          </w:p>
        </w:tc>
        <w:tc>
          <w:tcPr>
            <w:tcW w:w="1385" w:type="pct"/>
            <w:tcBorders>
              <w:left w:val="single" w:sz="4" w:space="0" w:color="auto"/>
            </w:tcBorders>
            <w:vAlign w:val="center"/>
          </w:tcPr>
          <w:p w14:paraId="73E390B8"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0.000131</w:t>
            </w:r>
          </w:p>
        </w:tc>
        <w:tc>
          <w:tcPr>
            <w:tcW w:w="816" w:type="pct"/>
            <w:tcBorders>
              <w:left w:val="single" w:sz="4" w:space="0" w:color="auto"/>
            </w:tcBorders>
            <w:vAlign w:val="center"/>
          </w:tcPr>
          <w:p w14:paraId="7C33EAC3" w14:textId="77777777" w:rsidR="00433709" w:rsidRPr="00A964FF" w:rsidRDefault="00433709" w:rsidP="00433709">
            <w:pPr>
              <w:jc w:val="center"/>
              <w:rPr>
                <w:rFonts w:ascii="Calibri" w:hAnsi="Calibri"/>
                <w:color w:val="auto"/>
                <w:szCs w:val="21"/>
              </w:rPr>
            </w:pPr>
            <w:r>
              <w:rPr>
                <w:rFonts w:ascii="Calibri" w:hAnsi="Calibri"/>
                <w:color w:val="auto"/>
                <w:szCs w:val="21"/>
              </w:rPr>
              <w:t>0.0047</w:t>
            </w:r>
          </w:p>
        </w:tc>
        <w:tc>
          <w:tcPr>
            <w:tcW w:w="853" w:type="pct"/>
            <w:tcBorders>
              <w:left w:val="single" w:sz="4" w:space="0" w:color="auto"/>
            </w:tcBorders>
            <w:vAlign w:val="center"/>
          </w:tcPr>
          <w:p w14:paraId="6EC23EC9" w14:textId="77777777" w:rsidR="00433709" w:rsidRPr="00A964FF" w:rsidRDefault="00433709" w:rsidP="00433709">
            <w:pPr>
              <w:jc w:val="center"/>
              <w:rPr>
                <w:rFonts w:ascii="Calibri" w:hAnsi="Calibri"/>
                <w:color w:val="auto"/>
                <w:szCs w:val="21"/>
              </w:rPr>
            </w:pPr>
            <w:r>
              <w:rPr>
                <w:rFonts w:ascii="Calibri" w:hAnsi="Calibri"/>
                <w:color w:val="auto"/>
                <w:szCs w:val="21"/>
              </w:rPr>
              <w:t>0.034</w:t>
            </w:r>
          </w:p>
        </w:tc>
      </w:tr>
      <w:tr w:rsidR="00433709" w:rsidRPr="00A964FF" w14:paraId="5F6BCD83" w14:textId="77777777" w:rsidTr="00433709">
        <w:trPr>
          <w:trHeight w:val="340"/>
          <w:jc w:val="center"/>
        </w:trPr>
        <w:tc>
          <w:tcPr>
            <w:tcW w:w="430" w:type="pct"/>
            <w:tcBorders>
              <w:right w:val="single" w:sz="4" w:space="0" w:color="auto"/>
            </w:tcBorders>
            <w:vAlign w:val="center"/>
          </w:tcPr>
          <w:p w14:paraId="7FE495FC"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2</w:t>
            </w:r>
          </w:p>
        </w:tc>
        <w:tc>
          <w:tcPr>
            <w:tcW w:w="946" w:type="pct"/>
            <w:tcBorders>
              <w:left w:val="single" w:sz="4" w:space="0" w:color="auto"/>
              <w:right w:val="single" w:sz="4" w:space="0" w:color="auto"/>
            </w:tcBorders>
            <w:vAlign w:val="center"/>
          </w:tcPr>
          <w:p w14:paraId="7F5AEEB6"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有机液体阀门</w:t>
            </w:r>
          </w:p>
        </w:tc>
        <w:tc>
          <w:tcPr>
            <w:tcW w:w="570" w:type="pct"/>
            <w:tcBorders>
              <w:left w:val="single" w:sz="4" w:space="0" w:color="auto"/>
              <w:right w:val="single" w:sz="4" w:space="0" w:color="auto"/>
            </w:tcBorders>
            <w:vAlign w:val="center"/>
          </w:tcPr>
          <w:p w14:paraId="5E84BA38" w14:textId="77777777" w:rsidR="00433709" w:rsidRPr="00A964FF" w:rsidRDefault="00433709" w:rsidP="00433709">
            <w:pPr>
              <w:jc w:val="center"/>
              <w:rPr>
                <w:rFonts w:ascii="Calibri" w:hAnsi="Calibri"/>
                <w:color w:val="auto"/>
                <w:szCs w:val="21"/>
              </w:rPr>
            </w:pPr>
            <w:r>
              <w:rPr>
                <w:rFonts w:ascii="Calibri" w:hAnsi="Calibri"/>
                <w:color w:val="auto"/>
                <w:szCs w:val="21"/>
              </w:rPr>
              <w:t>30</w:t>
            </w:r>
          </w:p>
        </w:tc>
        <w:tc>
          <w:tcPr>
            <w:tcW w:w="1385" w:type="pct"/>
            <w:tcBorders>
              <w:left w:val="single" w:sz="4" w:space="0" w:color="auto"/>
            </w:tcBorders>
            <w:vAlign w:val="center"/>
          </w:tcPr>
          <w:p w14:paraId="24E8EB29"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0.00023</w:t>
            </w:r>
          </w:p>
        </w:tc>
        <w:tc>
          <w:tcPr>
            <w:tcW w:w="816" w:type="pct"/>
            <w:tcBorders>
              <w:left w:val="single" w:sz="4" w:space="0" w:color="auto"/>
            </w:tcBorders>
            <w:vAlign w:val="center"/>
          </w:tcPr>
          <w:p w14:paraId="16923E31" w14:textId="77777777" w:rsidR="00433709" w:rsidRPr="00A964FF" w:rsidRDefault="00433709" w:rsidP="00433709">
            <w:pPr>
              <w:jc w:val="center"/>
              <w:rPr>
                <w:rFonts w:ascii="Calibri" w:hAnsi="Calibri"/>
                <w:color w:val="auto"/>
                <w:szCs w:val="21"/>
              </w:rPr>
            </w:pPr>
            <w:r>
              <w:rPr>
                <w:rFonts w:ascii="Calibri" w:hAnsi="Calibri"/>
                <w:color w:val="auto"/>
                <w:szCs w:val="21"/>
              </w:rPr>
              <w:t>0.0068</w:t>
            </w:r>
          </w:p>
        </w:tc>
        <w:tc>
          <w:tcPr>
            <w:tcW w:w="853" w:type="pct"/>
            <w:tcBorders>
              <w:left w:val="single" w:sz="4" w:space="0" w:color="auto"/>
            </w:tcBorders>
            <w:vAlign w:val="center"/>
          </w:tcPr>
          <w:p w14:paraId="03689D6B" w14:textId="77777777" w:rsidR="00433709" w:rsidRPr="00A964FF" w:rsidRDefault="00433709" w:rsidP="00433709">
            <w:pPr>
              <w:jc w:val="center"/>
              <w:rPr>
                <w:rFonts w:ascii="Calibri" w:hAnsi="Calibri"/>
                <w:color w:val="auto"/>
                <w:szCs w:val="21"/>
              </w:rPr>
            </w:pPr>
            <w:r>
              <w:rPr>
                <w:rFonts w:ascii="Calibri" w:hAnsi="Calibri"/>
                <w:color w:val="auto"/>
                <w:szCs w:val="21"/>
              </w:rPr>
              <w:t>0.049</w:t>
            </w:r>
          </w:p>
        </w:tc>
      </w:tr>
      <w:tr w:rsidR="00433709" w:rsidRPr="00A964FF" w14:paraId="52DA7553" w14:textId="77777777" w:rsidTr="00433709">
        <w:trPr>
          <w:trHeight w:val="340"/>
          <w:jc w:val="center"/>
        </w:trPr>
        <w:tc>
          <w:tcPr>
            <w:tcW w:w="430" w:type="pct"/>
            <w:tcBorders>
              <w:right w:val="single" w:sz="4" w:space="0" w:color="auto"/>
            </w:tcBorders>
            <w:vAlign w:val="center"/>
          </w:tcPr>
          <w:p w14:paraId="45B80AE8"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3</w:t>
            </w:r>
          </w:p>
        </w:tc>
        <w:tc>
          <w:tcPr>
            <w:tcW w:w="946" w:type="pct"/>
            <w:tcBorders>
              <w:left w:val="single" w:sz="4" w:space="0" w:color="auto"/>
              <w:right w:val="single" w:sz="4" w:space="0" w:color="auto"/>
            </w:tcBorders>
            <w:vAlign w:val="center"/>
          </w:tcPr>
          <w:p w14:paraId="40874AD6"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泵</w:t>
            </w:r>
          </w:p>
        </w:tc>
        <w:tc>
          <w:tcPr>
            <w:tcW w:w="570" w:type="pct"/>
            <w:tcBorders>
              <w:left w:val="single" w:sz="4" w:space="0" w:color="auto"/>
              <w:right w:val="single" w:sz="4" w:space="0" w:color="auto"/>
            </w:tcBorders>
            <w:vAlign w:val="center"/>
          </w:tcPr>
          <w:p w14:paraId="214EC471" w14:textId="77777777" w:rsidR="00433709" w:rsidRPr="00A964FF" w:rsidRDefault="00433709" w:rsidP="00433709">
            <w:pPr>
              <w:jc w:val="center"/>
              <w:rPr>
                <w:rFonts w:ascii="Calibri" w:hAnsi="Calibri"/>
                <w:color w:val="auto"/>
                <w:szCs w:val="21"/>
              </w:rPr>
            </w:pPr>
            <w:r>
              <w:rPr>
                <w:rFonts w:ascii="Calibri" w:hAnsi="Calibri"/>
                <w:color w:val="auto"/>
                <w:szCs w:val="21"/>
              </w:rPr>
              <w:t>12</w:t>
            </w:r>
          </w:p>
        </w:tc>
        <w:tc>
          <w:tcPr>
            <w:tcW w:w="1385" w:type="pct"/>
            <w:tcBorders>
              <w:left w:val="single" w:sz="4" w:space="0" w:color="auto"/>
            </w:tcBorders>
            <w:vAlign w:val="center"/>
          </w:tcPr>
          <w:p w14:paraId="65D2EE94"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0.00210</w:t>
            </w:r>
          </w:p>
        </w:tc>
        <w:tc>
          <w:tcPr>
            <w:tcW w:w="816" w:type="pct"/>
            <w:tcBorders>
              <w:left w:val="single" w:sz="4" w:space="0" w:color="auto"/>
            </w:tcBorders>
            <w:vAlign w:val="center"/>
          </w:tcPr>
          <w:p w14:paraId="68178133" w14:textId="77777777" w:rsidR="00433709" w:rsidRPr="00A964FF" w:rsidRDefault="00433709" w:rsidP="00433709">
            <w:pPr>
              <w:jc w:val="center"/>
              <w:rPr>
                <w:rFonts w:ascii="Calibri" w:hAnsi="Calibri"/>
                <w:color w:val="auto"/>
                <w:szCs w:val="21"/>
              </w:rPr>
            </w:pPr>
            <w:r>
              <w:rPr>
                <w:rFonts w:ascii="Calibri" w:hAnsi="Calibri"/>
                <w:color w:val="auto"/>
                <w:szCs w:val="21"/>
              </w:rPr>
              <w:t>0.025</w:t>
            </w:r>
          </w:p>
        </w:tc>
        <w:tc>
          <w:tcPr>
            <w:tcW w:w="853" w:type="pct"/>
            <w:tcBorders>
              <w:left w:val="single" w:sz="4" w:space="0" w:color="auto"/>
            </w:tcBorders>
            <w:vAlign w:val="center"/>
          </w:tcPr>
          <w:p w14:paraId="68C46EC5" w14:textId="77777777" w:rsidR="00433709" w:rsidRPr="00A964FF" w:rsidRDefault="00433709" w:rsidP="00433709">
            <w:pPr>
              <w:jc w:val="center"/>
              <w:rPr>
                <w:rFonts w:ascii="Calibri" w:hAnsi="Calibri"/>
                <w:color w:val="auto"/>
                <w:szCs w:val="21"/>
              </w:rPr>
            </w:pPr>
            <w:r>
              <w:rPr>
                <w:rFonts w:ascii="Calibri" w:hAnsi="Calibri"/>
                <w:color w:val="auto"/>
                <w:szCs w:val="21"/>
              </w:rPr>
              <w:t>0.18</w:t>
            </w:r>
          </w:p>
        </w:tc>
      </w:tr>
      <w:tr w:rsidR="00433709" w:rsidRPr="00A964FF" w14:paraId="4A4A082E" w14:textId="77777777" w:rsidTr="00433709">
        <w:trPr>
          <w:trHeight w:val="340"/>
          <w:jc w:val="center"/>
        </w:trPr>
        <w:tc>
          <w:tcPr>
            <w:tcW w:w="430" w:type="pct"/>
            <w:tcBorders>
              <w:right w:val="single" w:sz="4" w:space="0" w:color="auto"/>
            </w:tcBorders>
            <w:vAlign w:val="center"/>
          </w:tcPr>
          <w:p w14:paraId="21D3D15D" w14:textId="77777777" w:rsidR="00433709" w:rsidRPr="00A964FF" w:rsidRDefault="00433709" w:rsidP="00433709">
            <w:pPr>
              <w:jc w:val="center"/>
              <w:rPr>
                <w:rFonts w:ascii="Calibri" w:hAnsi="Calibri"/>
                <w:color w:val="auto"/>
                <w:szCs w:val="21"/>
              </w:rPr>
            </w:pPr>
            <w:r>
              <w:rPr>
                <w:rFonts w:ascii="Calibri" w:hAnsi="Calibri"/>
                <w:color w:val="auto"/>
                <w:szCs w:val="21"/>
              </w:rPr>
              <w:t>4</w:t>
            </w:r>
          </w:p>
        </w:tc>
        <w:tc>
          <w:tcPr>
            <w:tcW w:w="946" w:type="pct"/>
            <w:tcBorders>
              <w:left w:val="single" w:sz="4" w:space="0" w:color="auto"/>
              <w:right w:val="single" w:sz="4" w:space="0" w:color="auto"/>
            </w:tcBorders>
            <w:vAlign w:val="center"/>
          </w:tcPr>
          <w:p w14:paraId="561398F4"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法兰</w:t>
            </w:r>
            <w:r>
              <w:rPr>
                <w:rFonts w:ascii="Calibri" w:hAnsi="宋体" w:hint="eastAsia"/>
                <w:color w:val="auto"/>
                <w:szCs w:val="21"/>
              </w:rPr>
              <w:t>及</w:t>
            </w:r>
            <w:r w:rsidRPr="00A964FF">
              <w:rPr>
                <w:rFonts w:ascii="Calibri" w:hAnsi="宋体"/>
                <w:color w:val="auto"/>
                <w:szCs w:val="21"/>
              </w:rPr>
              <w:t>连接件</w:t>
            </w:r>
          </w:p>
        </w:tc>
        <w:tc>
          <w:tcPr>
            <w:tcW w:w="570" w:type="pct"/>
            <w:tcBorders>
              <w:left w:val="single" w:sz="4" w:space="0" w:color="auto"/>
              <w:right w:val="single" w:sz="4" w:space="0" w:color="auto"/>
            </w:tcBorders>
            <w:vAlign w:val="center"/>
          </w:tcPr>
          <w:p w14:paraId="48DF9D02" w14:textId="77777777" w:rsidR="00433709" w:rsidRPr="00A964FF" w:rsidRDefault="00433709" w:rsidP="00433709">
            <w:pPr>
              <w:jc w:val="center"/>
              <w:rPr>
                <w:rFonts w:ascii="Calibri" w:hAnsi="Calibri"/>
                <w:color w:val="auto"/>
                <w:szCs w:val="21"/>
              </w:rPr>
            </w:pPr>
            <w:r>
              <w:rPr>
                <w:rFonts w:ascii="Calibri" w:hAnsi="Calibri"/>
                <w:color w:val="auto"/>
                <w:szCs w:val="21"/>
              </w:rPr>
              <w:t>58</w:t>
            </w:r>
          </w:p>
        </w:tc>
        <w:tc>
          <w:tcPr>
            <w:tcW w:w="1385" w:type="pct"/>
            <w:tcBorders>
              <w:left w:val="single" w:sz="4" w:space="0" w:color="auto"/>
            </w:tcBorders>
            <w:vAlign w:val="center"/>
          </w:tcPr>
          <w:p w14:paraId="459743CC"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0.0000810</w:t>
            </w:r>
          </w:p>
        </w:tc>
        <w:tc>
          <w:tcPr>
            <w:tcW w:w="816" w:type="pct"/>
            <w:tcBorders>
              <w:left w:val="single" w:sz="4" w:space="0" w:color="auto"/>
            </w:tcBorders>
            <w:vAlign w:val="center"/>
          </w:tcPr>
          <w:p w14:paraId="5710BC6E" w14:textId="77777777" w:rsidR="00433709" w:rsidRPr="00A964FF" w:rsidRDefault="00433709" w:rsidP="00433709">
            <w:pPr>
              <w:jc w:val="center"/>
              <w:rPr>
                <w:rFonts w:ascii="Calibri" w:hAnsi="Calibri"/>
                <w:color w:val="auto"/>
                <w:szCs w:val="21"/>
              </w:rPr>
            </w:pPr>
            <w:r>
              <w:rPr>
                <w:rFonts w:ascii="Calibri" w:hAnsi="Calibri"/>
                <w:color w:val="auto"/>
                <w:szCs w:val="21"/>
              </w:rPr>
              <w:t>0.0047</w:t>
            </w:r>
          </w:p>
        </w:tc>
        <w:tc>
          <w:tcPr>
            <w:tcW w:w="853" w:type="pct"/>
            <w:tcBorders>
              <w:left w:val="single" w:sz="4" w:space="0" w:color="auto"/>
            </w:tcBorders>
            <w:vAlign w:val="center"/>
          </w:tcPr>
          <w:p w14:paraId="3819A134" w14:textId="77777777" w:rsidR="00433709" w:rsidRPr="00A964FF" w:rsidRDefault="00433709" w:rsidP="00433709">
            <w:pPr>
              <w:jc w:val="center"/>
              <w:rPr>
                <w:rFonts w:ascii="Calibri" w:hAnsi="Calibri"/>
                <w:color w:val="auto"/>
                <w:szCs w:val="21"/>
              </w:rPr>
            </w:pPr>
            <w:r>
              <w:rPr>
                <w:rFonts w:ascii="Calibri" w:hAnsi="Calibri"/>
                <w:color w:val="auto"/>
                <w:szCs w:val="21"/>
              </w:rPr>
              <w:t>0.034</w:t>
            </w:r>
          </w:p>
        </w:tc>
      </w:tr>
      <w:tr w:rsidR="00433709" w:rsidRPr="00A964FF" w14:paraId="3FFB4ED6" w14:textId="77777777" w:rsidTr="00433709">
        <w:trPr>
          <w:trHeight w:val="340"/>
          <w:jc w:val="center"/>
        </w:trPr>
        <w:tc>
          <w:tcPr>
            <w:tcW w:w="1376" w:type="pct"/>
            <w:gridSpan w:val="2"/>
            <w:tcBorders>
              <w:right w:val="single" w:sz="4" w:space="0" w:color="auto"/>
            </w:tcBorders>
            <w:vAlign w:val="center"/>
          </w:tcPr>
          <w:p w14:paraId="1528A0B5"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合计</w:t>
            </w:r>
          </w:p>
        </w:tc>
        <w:tc>
          <w:tcPr>
            <w:tcW w:w="570" w:type="pct"/>
            <w:tcBorders>
              <w:left w:val="single" w:sz="4" w:space="0" w:color="auto"/>
              <w:right w:val="single" w:sz="4" w:space="0" w:color="auto"/>
            </w:tcBorders>
            <w:vAlign w:val="center"/>
          </w:tcPr>
          <w:p w14:paraId="52AA0AFB"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w:t>
            </w:r>
          </w:p>
        </w:tc>
        <w:tc>
          <w:tcPr>
            <w:tcW w:w="1385" w:type="pct"/>
            <w:tcBorders>
              <w:left w:val="single" w:sz="4" w:space="0" w:color="auto"/>
            </w:tcBorders>
            <w:vAlign w:val="center"/>
          </w:tcPr>
          <w:p w14:paraId="6074271C"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w:t>
            </w:r>
          </w:p>
        </w:tc>
        <w:tc>
          <w:tcPr>
            <w:tcW w:w="816" w:type="pct"/>
            <w:tcBorders>
              <w:left w:val="single" w:sz="4" w:space="0" w:color="auto"/>
            </w:tcBorders>
            <w:vAlign w:val="center"/>
          </w:tcPr>
          <w:p w14:paraId="630D3489" w14:textId="77777777" w:rsidR="00433709" w:rsidRPr="00A964FF" w:rsidRDefault="00433709" w:rsidP="00433709">
            <w:pPr>
              <w:jc w:val="center"/>
              <w:rPr>
                <w:rFonts w:ascii="Calibri" w:hAnsi="Calibri"/>
                <w:color w:val="auto"/>
                <w:szCs w:val="21"/>
              </w:rPr>
            </w:pPr>
            <w:r>
              <w:rPr>
                <w:rFonts w:ascii="Calibri" w:hAnsi="Calibri"/>
                <w:color w:val="auto"/>
                <w:szCs w:val="21"/>
              </w:rPr>
              <w:t>0.041</w:t>
            </w:r>
          </w:p>
        </w:tc>
        <w:tc>
          <w:tcPr>
            <w:tcW w:w="853" w:type="pct"/>
            <w:tcBorders>
              <w:left w:val="single" w:sz="4" w:space="0" w:color="auto"/>
            </w:tcBorders>
            <w:vAlign w:val="center"/>
          </w:tcPr>
          <w:p w14:paraId="0CA56408" w14:textId="77777777" w:rsidR="00433709" w:rsidRPr="00A964FF" w:rsidRDefault="00433709" w:rsidP="00433709">
            <w:pPr>
              <w:jc w:val="center"/>
              <w:rPr>
                <w:rFonts w:ascii="Calibri" w:hAnsi="Calibri"/>
                <w:color w:val="auto"/>
                <w:szCs w:val="21"/>
              </w:rPr>
            </w:pPr>
            <w:r>
              <w:rPr>
                <w:rFonts w:ascii="Calibri" w:hAnsi="Calibri"/>
                <w:color w:val="auto"/>
                <w:szCs w:val="21"/>
              </w:rPr>
              <w:t>0.297</w:t>
            </w:r>
          </w:p>
        </w:tc>
      </w:tr>
    </w:tbl>
    <w:p w14:paraId="270C4FF8" w14:textId="77777777" w:rsidR="00433709" w:rsidRPr="00A964FF" w:rsidRDefault="00433709" w:rsidP="00433709">
      <w:pPr>
        <w:pStyle w:val="00"/>
        <w:jc w:val="left"/>
        <w:rPr>
          <w:rFonts w:ascii="Calibri" w:hAnsi="Calibri"/>
          <w:color w:val="auto"/>
        </w:rPr>
      </w:pPr>
      <w:r w:rsidRPr="00A964FF">
        <w:rPr>
          <w:rFonts w:ascii="Calibri"/>
          <w:color w:val="auto"/>
        </w:rPr>
        <w:t>③</w:t>
      </w:r>
      <w:r w:rsidRPr="00A964FF">
        <w:rPr>
          <w:rFonts w:ascii="Calibri" w:hAnsi="Calibri"/>
          <w:color w:val="auto"/>
        </w:rPr>
        <w:t xml:space="preserve"> </w:t>
      </w:r>
      <w:r w:rsidRPr="00A964FF">
        <w:rPr>
          <w:rFonts w:ascii="Calibri"/>
          <w:color w:val="auto"/>
        </w:rPr>
        <w:t>密封点</w:t>
      </w:r>
      <w:r w:rsidRPr="00A964FF">
        <w:rPr>
          <w:rFonts w:ascii="Calibri" w:hAnsi="Calibri"/>
          <w:color w:val="auto"/>
        </w:rPr>
        <w:t>VOCs</w:t>
      </w:r>
      <w:r w:rsidRPr="00A964FF">
        <w:rPr>
          <w:rFonts w:ascii="Calibri"/>
          <w:color w:val="auto"/>
        </w:rPr>
        <w:t>排放量汇总</w:t>
      </w:r>
    </w:p>
    <w:p w14:paraId="1E64A9F9" w14:textId="77777777" w:rsidR="005E5F3B" w:rsidRPr="00A92936" w:rsidRDefault="00433709" w:rsidP="00A92936">
      <w:pPr>
        <w:pStyle w:val="00"/>
        <w:jc w:val="left"/>
        <w:rPr>
          <w:rFonts w:ascii="Calibri"/>
          <w:color w:val="auto"/>
        </w:rPr>
      </w:pPr>
      <w:r w:rsidRPr="00A964FF">
        <w:rPr>
          <w:rFonts w:ascii="Calibri"/>
          <w:color w:val="auto"/>
        </w:rPr>
        <w:t>本项目密封点</w:t>
      </w:r>
      <w:r w:rsidRPr="00A964FF">
        <w:rPr>
          <w:rFonts w:ascii="Calibri" w:hAnsi="Calibri"/>
          <w:color w:val="auto"/>
        </w:rPr>
        <w:t>VOCs</w:t>
      </w:r>
      <w:r w:rsidRPr="00A964FF">
        <w:rPr>
          <w:rFonts w:ascii="Calibri"/>
          <w:color w:val="auto"/>
        </w:rPr>
        <w:t>排放量统计见表</w:t>
      </w:r>
      <w:r w:rsidRPr="00A964FF">
        <w:rPr>
          <w:rFonts w:ascii="Calibri" w:hAnsi="Calibri"/>
          <w:color w:val="auto"/>
        </w:rPr>
        <w:t>2</w:t>
      </w:r>
      <w:r w:rsidRPr="00A964FF">
        <w:rPr>
          <w:rFonts w:ascii="Calibri" w:hAnsi="Calibri" w:hint="eastAsia"/>
          <w:color w:val="auto"/>
        </w:rPr>
        <w:t>.3</w:t>
      </w:r>
      <w:r w:rsidRPr="00A964FF">
        <w:rPr>
          <w:rFonts w:ascii="Calibri" w:hAnsi="Calibri"/>
          <w:color w:val="auto"/>
        </w:rPr>
        <w:t>-</w:t>
      </w:r>
      <w:r w:rsidR="005E5F3B">
        <w:rPr>
          <w:rFonts w:ascii="Calibri" w:hAnsi="Calibri"/>
          <w:color w:val="auto"/>
        </w:rPr>
        <w:t>10</w:t>
      </w:r>
      <w:r w:rsidRPr="00A964FF">
        <w:rPr>
          <w:rFonts w:ascii="Calibri"/>
          <w:color w:val="auto"/>
        </w:rPr>
        <w:t>。</w:t>
      </w:r>
    </w:p>
    <w:p w14:paraId="16D976DF" w14:textId="77777777" w:rsidR="00433709" w:rsidRPr="00A964FF" w:rsidRDefault="00433709" w:rsidP="00433709">
      <w:pPr>
        <w:spacing w:line="520" w:lineRule="exact"/>
        <w:ind w:firstLineChars="200" w:firstLine="480"/>
        <w:rPr>
          <w:rFonts w:ascii="Calibri" w:eastAsia="黑体" w:hAnsi="黑体"/>
          <w:color w:val="auto"/>
          <w:sz w:val="24"/>
        </w:rPr>
      </w:pPr>
      <w:r w:rsidRPr="00A964FF">
        <w:rPr>
          <w:rFonts w:ascii="Calibri" w:eastAsia="黑体" w:hAnsi="黑体"/>
          <w:color w:val="auto"/>
          <w:sz w:val="24"/>
        </w:rPr>
        <w:t>表</w:t>
      </w:r>
      <w:r w:rsidRPr="00A964FF">
        <w:rPr>
          <w:rFonts w:ascii="Calibri" w:eastAsia="黑体" w:hAnsi="黑体"/>
          <w:color w:val="auto"/>
          <w:sz w:val="24"/>
        </w:rPr>
        <w:t>2</w:t>
      </w:r>
      <w:r w:rsidRPr="00A964FF">
        <w:rPr>
          <w:rFonts w:ascii="Calibri" w:eastAsia="黑体" w:hAnsi="黑体" w:hint="eastAsia"/>
          <w:color w:val="auto"/>
          <w:sz w:val="24"/>
        </w:rPr>
        <w:t>.3</w:t>
      </w:r>
      <w:r w:rsidRPr="00A964FF">
        <w:rPr>
          <w:rFonts w:ascii="Calibri" w:eastAsia="黑体" w:hAnsi="黑体"/>
          <w:color w:val="auto"/>
          <w:sz w:val="24"/>
        </w:rPr>
        <w:t>-</w:t>
      </w:r>
      <w:r w:rsidR="005E5F3B">
        <w:rPr>
          <w:rFonts w:ascii="Calibri" w:eastAsia="黑体" w:hAnsi="黑体"/>
          <w:color w:val="auto"/>
          <w:sz w:val="24"/>
        </w:rPr>
        <w:t>10</w:t>
      </w:r>
      <w:r>
        <w:rPr>
          <w:rFonts w:ascii="Calibri" w:eastAsia="黑体" w:hAnsi="黑体"/>
          <w:color w:val="auto"/>
          <w:sz w:val="24"/>
        </w:rPr>
        <w:t xml:space="preserve">        </w:t>
      </w:r>
      <w:r w:rsidRPr="00A964FF">
        <w:rPr>
          <w:rFonts w:ascii="Calibri" w:eastAsia="黑体" w:hAnsi="黑体" w:hint="eastAsia"/>
          <w:color w:val="auto"/>
          <w:sz w:val="24"/>
        </w:rPr>
        <w:t xml:space="preserve">    </w:t>
      </w:r>
      <w:r w:rsidRPr="00A964FF">
        <w:rPr>
          <w:rFonts w:ascii="Calibri" w:eastAsia="黑体" w:hAnsi="黑体"/>
          <w:color w:val="auto"/>
          <w:sz w:val="24"/>
        </w:rPr>
        <w:t>生产区动静密封</w:t>
      </w:r>
      <w:r w:rsidRPr="00A964FF">
        <w:rPr>
          <w:rFonts w:ascii="Calibri" w:eastAsia="黑体" w:hAnsi="黑体"/>
          <w:color w:val="auto"/>
          <w:sz w:val="24"/>
        </w:rPr>
        <w:t>VOCs</w:t>
      </w:r>
      <w:r w:rsidRPr="00A964FF">
        <w:rPr>
          <w:rFonts w:ascii="Calibri" w:eastAsia="黑体" w:hAnsi="黑体"/>
          <w:color w:val="auto"/>
          <w:sz w:val="24"/>
        </w:rPr>
        <w:t>排放量汇总</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8"/>
        <w:gridCol w:w="1131"/>
        <w:gridCol w:w="708"/>
        <w:gridCol w:w="1027"/>
        <w:gridCol w:w="1027"/>
        <w:gridCol w:w="1027"/>
        <w:gridCol w:w="1027"/>
        <w:gridCol w:w="1027"/>
        <w:gridCol w:w="1028"/>
      </w:tblGrid>
      <w:tr w:rsidR="00433709" w:rsidRPr="00A964FF" w14:paraId="190B2DB6" w14:textId="77777777" w:rsidTr="00433709">
        <w:trPr>
          <w:trHeight w:val="340"/>
          <w:jc w:val="center"/>
        </w:trPr>
        <w:tc>
          <w:tcPr>
            <w:tcW w:w="401" w:type="pct"/>
            <w:vMerge w:val="restart"/>
            <w:tcBorders>
              <w:right w:val="single" w:sz="4" w:space="0" w:color="auto"/>
            </w:tcBorders>
            <w:vAlign w:val="center"/>
          </w:tcPr>
          <w:p w14:paraId="2FB21271"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序号</w:t>
            </w:r>
          </w:p>
        </w:tc>
        <w:tc>
          <w:tcPr>
            <w:tcW w:w="650" w:type="pct"/>
            <w:vMerge w:val="restart"/>
            <w:tcBorders>
              <w:left w:val="single" w:sz="4" w:space="0" w:color="auto"/>
              <w:right w:val="single" w:sz="4" w:space="0" w:color="auto"/>
            </w:tcBorders>
            <w:vAlign w:val="center"/>
          </w:tcPr>
          <w:p w14:paraId="5D7A5330"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设备类型</w:t>
            </w:r>
          </w:p>
        </w:tc>
        <w:tc>
          <w:tcPr>
            <w:tcW w:w="407" w:type="pct"/>
            <w:vMerge w:val="restart"/>
            <w:tcBorders>
              <w:left w:val="single" w:sz="4" w:space="0" w:color="auto"/>
              <w:right w:val="single" w:sz="4" w:space="0" w:color="auto"/>
            </w:tcBorders>
            <w:vAlign w:val="center"/>
          </w:tcPr>
          <w:p w14:paraId="38D645FC"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个数</w:t>
            </w:r>
          </w:p>
        </w:tc>
        <w:tc>
          <w:tcPr>
            <w:tcW w:w="1180" w:type="pct"/>
            <w:gridSpan w:val="2"/>
            <w:tcBorders>
              <w:left w:val="single" w:sz="4" w:space="0" w:color="auto"/>
              <w:right w:val="single" w:sz="2" w:space="0" w:color="auto"/>
            </w:tcBorders>
            <w:tcMar>
              <w:left w:w="28" w:type="dxa"/>
              <w:right w:w="28" w:type="dxa"/>
            </w:tcMar>
            <w:vAlign w:val="center"/>
          </w:tcPr>
          <w:p w14:paraId="0F479D75"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泄漏状态下排放量</w:t>
            </w:r>
          </w:p>
        </w:tc>
        <w:tc>
          <w:tcPr>
            <w:tcW w:w="1180" w:type="pct"/>
            <w:gridSpan w:val="2"/>
            <w:tcBorders>
              <w:left w:val="single" w:sz="2" w:space="0" w:color="auto"/>
            </w:tcBorders>
            <w:tcMar>
              <w:left w:w="28" w:type="dxa"/>
              <w:right w:w="28" w:type="dxa"/>
            </w:tcMar>
            <w:vAlign w:val="center"/>
          </w:tcPr>
          <w:p w14:paraId="49703ADD"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不泄漏状态下排放量</w:t>
            </w:r>
          </w:p>
        </w:tc>
        <w:tc>
          <w:tcPr>
            <w:tcW w:w="1181" w:type="pct"/>
            <w:gridSpan w:val="2"/>
            <w:tcBorders>
              <w:left w:val="single" w:sz="4" w:space="0" w:color="auto"/>
            </w:tcBorders>
            <w:tcMar>
              <w:left w:w="28" w:type="dxa"/>
              <w:right w:w="28" w:type="dxa"/>
            </w:tcMar>
            <w:vAlign w:val="center"/>
          </w:tcPr>
          <w:p w14:paraId="718F1450" w14:textId="77777777" w:rsidR="00433709" w:rsidRPr="00A964FF" w:rsidRDefault="00433709" w:rsidP="00433709">
            <w:pPr>
              <w:jc w:val="center"/>
              <w:rPr>
                <w:rFonts w:ascii="Calibri" w:hAnsi="Calibri"/>
                <w:color w:val="auto"/>
                <w:szCs w:val="21"/>
              </w:rPr>
            </w:pPr>
            <w:r>
              <w:rPr>
                <w:rFonts w:ascii="Calibri" w:hAnsi="宋体" w:hint="eastAsia"/>
                <w:color w:val="auto"/>
                <w:szCs w:val="21"/>
              </w:rPr>
              <w:t>合计</w:t>
            </w:r>
            <w:r w:rsidRPr="00A964FF">
              <w:rPr>
                <w:rFonts w:ascii="Calibri" w:hAnsi="宋体"/>
                <w:color w:val="auto"/>
                <w:szCs w:val="21"/>
              </w:rPr>
              <w:t>排放量</w:t>
            </w:r>
          </w:p>
        </w:tc>
      </w:tr>
      <w:tr w:rsidR="00433709" w:rsidRPr="00A964FF" w14:paraId="4636B9E5" w14:textId="77777777" w:rsidTr="00433709">
        <w:trPr>
          <w:trHeight w:val="340"/>
          <w:jc w:val="center"/>
        </w:trPr>
        <w:tc>
          <w:tcPr>
            <w:tcW w:w="401" w:type="pct"/>
            <w:vMerge/>
            <w:tcBorders>
              <w:right w:val="single" w:sz="4" w:space="0" w:color="auto"/>
            </w:tcBorders>
            <w:vAlign w:val="center"/>
          </w:tcPr>
          <w:p w14:paraId="5CE56147" w14:textId="77777777" w:rsidR="00433709" w:rsidRPr="00A964FF" w:rsidRDefault="00433709" w:rsidP="00433709">
            <w:pPr>
              <w:jc w:val="center"/>
              <w:rPr>
                <w:rFonts w:ascii="Calibri" w:hAnsi="宋体"/>
                <w:color w:val="auto"/>
                <w:szCs w:val="21"/>
              </w:rPr>
            </w:pPr>
          </w:p>
        </w:tc>
        <w:tc>
          <w:tcPr>
            <w:tcW w:w="650" w:type="pct"/>
            <w:vMerge/>
            <w:tcBorders>
              <w:left w:val="single" w:sz="4" w:space="0" w:color="auto"/>
              <w:right w:val="single" w:sz="4" w:space="0" w:color="auto"/>
            </w:tcBorders>
            <w:vAlign w:val="center"/>
          </w:tcPr>
          <w:p w14:paraId="66D1C98A" w14:textId="77777777" w:rsidR="00433709" w:rsidRPr="00A964FF" w:rsidRDefault="00433709" w:rsidP="00433709">
            <w:pPr>
              <w:jc w:val="center"/>
              <w:rPr>
                <w:rFonts w:ascii="Calibri" w:hAnsi="宋体"/>
                <w:color w:val="auto"/>
                <w:szCs w:val="21"/>
              </w:rPr>
            </w:pPr>
          </w:p>
        </w:tc>
        <w:tc>
          <w:tcPr>
            <w:tcW w:w="407" w:type="pct"/>
            <w:vMerge/>
            <w:tcBorders>
              <w:left w:val="single" w:sz="4" w:space="0" w:color="auto"/>
              <w:right w:val="single" w:sz="4" w:space="0" w:color="auto"/>
            </w:tcBorders>
            <w:vAlign w:val="center"/>
          </w:tcPr>
          <w:p w14:paraId="192DB0CA" w14:textId="77777777" w:rsidR="00433709" w:rsidRPr="00A964FF" w:rsidRDefault="00433709" w:rsidP="00433709">
            <w:pPr>
              <w:jc w:val="center"/>
              <w:rPr>
                <w:rFonts w:ascii="Calibri" w:hAnsi="宋体"/>
                <w:color w:val="auto"/>
                <w:szCs w:val="21"/>
              </w:rPr>
            </w:pPr>
          </w:p>
        </w:tc>
        <w:tc>
          <w:tcPr>
            <w:tcW w:w="590" w:type="pct"/>
            <w:tcBorders>
              <w:left w:val="single" w:sz="4" w:space="0" w:color="auto"/>
              <w:right w:val="single" w:sz="2" w:space="0" w:color="auto"/>
            </w:tcBorders>
            <w:tcMar>
              <w:left w:w="28" w:type="dxa"/>
              <w:right w:w="28" w:type="dxa"/>
            </w:tcMar>
            <w:vAlign w:val="center"/>
          </w:tcPr>
          <w:p w14:paraId="08E40051" w14:textId="77777777" w:rsidR="00433709" w:rsidRDefault="00433709" w:rsidP="00433709">
            <w:pPr>
              <w:jc w:val="center"/>
              <w:rPr>
                <w:rFonts w:ascii="Calibri" w:hAnsi="宋体"/>
                <w:color w:val="auto"/>
                <w:szCs w:val="21"/>
              </w:rPr>
            </w:pPr>
            <w:r>
              <w:rPr>
                <w:rFonts w:ascii="Calibri" w:hAnsi="宋体" w:hint="eastAsia"/>
                <w:color w:val="auto"/>
                <w:szCs w:val="21"/>
              </w:rPr>
              <w:t>排放</w:t>
            </w:r>
            <w:r>
              <w:rPr>
                <w:rFonts w:ascii="Calibri" w:hAnsi="宋体"/>
                <w:color w:val="auto"/>
                <w:szCs w:val="21"/>
              </w:rPr>
              <w:t>速率</w:t>
            </w:r>
          </w:p>
          <w:p w14:paraId="2DECC91E" w14:textId="77777777" w:rsidR="00433709" w:rsidRPr="00A964FF" w:rsidRDefault="00433709" w:rsidP="00433709">
            <w:pPr>
              <w:jc w:val="center"/>
              <w:rPr>
                <w:rFonts w:ascii="Calibri" w:hAnsi="Calibri"/>
                <w:color w:val="auto"/>
                <w:szCs w:val="21"/>
              </w:rPr>
            </w:pPr>
            <w:r>
              <w:rPr>
                <w:rFonts w:ascii="Calibri" w:hAnsi="Calibri" w:hint="eastAsia"/>
                <w:color w:val="auto"/>
                <w:szCs w:val="21"/>
              </w:rPr>
              <w:t>（</w:t>
            </w:r>
            <w:r>
              <w:rPr>
                <w:rFonts w:ascii="Calibri" w:hAnsi="Calibri" w:hint="eastAsia"/>
                <w:color w:val="auto"/>
                <w:szCs w:val="21"/>
              </w:rPr>
              <w:t>kg/h</w:t>
            </w:r>
            <w:r>
              <w:rPr>
                <w:rFonts w:ascii="Calibri" w:hAnsi="Calibri" w:hint="eastAsia"/>
                <w:color w:val="auto"/>
                <w:szCs w:val="21"/>
              </w:rPr>
              <w:t>）</w:t>
            </w:r>
          </w:p>
        </w:tc>
        <w:tc>
          <w:tcPr>
            <w:tcW w:w="590" w:type="pct"/>
            <w:tcBorders>
              <w:left w:val="single" w:sz="4" w:space="0" w:color="auto"/>
              <w:right w:val="single" w:sz="2" w:space="0" w:color="auto"/>
            </w:tcBorders>
            <w:tcMar>
              <w:left w:w="28" w:type="dxa"/>
              <w:right w:w="28" w:type="dxa"/>
            </w:tcMar>
            <w:vAlign w:val="center"/>
          </w:tcPr>
          <w:p w14:paraId="6FEC4562"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排放量</w:t>
            </w:r>
          </w:p>
          <w:p w14:paraId="562EB75D"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w:t>
            </w:r>
            <w:r w:rsidRPr="00A964FF">
              <w:rPr>
                <w:rFonts w:ascii="Calibri" w:hAnsi="Calibri"/>
                <w:color w:val="auto"/>
                <w:szCs w:val="21"/>
              </w:rPr>
              <w:t>t/a</w:t>
            </w:r>
            <w:r w:rsidRPr="00A964FF">
              <w:rPr>
                <w:rFonts w:ascii="Calibri" w:hAnsi="宋体"/>
                <w:color w:val="auto"/>
                <w:szCs w:val="21"/>
              </w:rPr>
              <w:t>）</w:t>
            </w:r>
          </w:p>
        </w:tc>
        <w:tc>
          <w:tcPr>
            <w:tcW w:w="590" w:type="pct"/>
            <w:tcBorders>
              <w:left w:val="single" w:sz="2" w:space="0" w:color="auto"/>
              <w:right w:val="single" w:sz="4" w:space="0" w:color="auto"/>
            </w:tcBorders>
            <w:tcMar>
              <w:left w:w="28" w:type="dxa"/>
              <w:right w:w="28" w:type="dxa"/>
            </w:tcMar>
            <w:vAlign w:val="center"/>
          </w:tcPr>
          <w:p w14:paraId="593D40E0" w14:textId="77777777" w:rsidR="00433709" w:rsidRDefault="00433709" w:rsidP="00433709">
            <w:pPr>
              <w:jc w:val="center"/>
              <w:rPr>
                <w:rFonts w:ascii="Calibri" w:hAnsi="宋体"/>
                <w:color w:val="auto"/>
                <w:szCs w:val="21"/>
              </w:rPr>
            </w:pPr>
            <w:r>
              <w:rPr>
                <w:rFonts w:ascii="Calibri" w:hAnsi="宋体" w:hint="eastAsia"/>
                <w:color w:val="auto"/>
                <w:szCs w:val="21"/>
              </w:rPr>
              <w:t>排放</w:t>
            </w:r>
            <w:r>
              <w:rPr>
                <w:rFonts w:ascii="Calibri" w:hAnsi="宋体"/>
                <w:color w:val="auto"/>
                <w:szCs w:val="21"/>
              </w:rPr>
              <w:t>速率</w:t>
            </w:r>
          </w:p>
          <w:p w14:paraId="1DEEC644" w14:textId="77777777" w:rsidR="00433709" w:rsidRPr="00A964FF" w:rsidRDefault="00433709" w:rsidP="00433709">
            <w:pPr>
              <w:jc w:val="center"/>
              <w:rPr>
                <w:rFonts w:ascii="Calibri" w:hAnsi="Calibri"/>
                <w:color w:val="auto"/>
                <w:szCs w:val="21"/>
              </w:rPr>
            </w:pPr>
            <w:r>
              <w:rPr>
                <w:rFonts w:ascii="Calibri" w:hAnsi="Calibri" w:hint="eastAsia"/>
                <w:color w:val="auto"/>
                <w:szCs w:val="21"/>
              </w:rPr>
              <w:t>（</w:t>
            </w:r>
            <w:r>
              <w:rPr>
                <w:rFonts w:ascii="Calibri" w:hAnsi="Calibri" w:hint="eastAsia"/>
                <w:color w:val="auto"/>
                <w:szCs w:val="21"/>
              </w:rPr>
              <w:t>kg/h</w:t>
            </w:r>
            <w:r>
              <w:rPr>
                <w:rFonts w:ascii="Calibri" w:hAnsi="Calibri" w:hint="eastAsia"/>
                <w:color w:val="auto"/>
                <w:szCs w:val="21"/>
              </w:rPr>
              <w:t>）</w:t>
            </w:r>
          </w:p>
        </w:tc>
        <w:tc>
          <w:tcPr>
            <w:tcW w:w="590" w:type="pct"/>
            <w:tcBorders>
              <w:left w:val="single" w:sz="4" w:space="0" w:color="auto"/>
            </w:tcBorders>
            <w:tcMar>
              <w:left w:w="28" w:type="dxa"/>
              <w:right w:w="28" w:type="dxa"/>
            </w:tcMar>
            <w:vAlign w:val="center"/>
          </w:tcPr>
          <w:p w14:paraId="6C38DFF7"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排放量</w:t>
            </w:r>
          </w:p>
          <w:p w14:paraId="5CF4E896"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w:t>
            </w:r>
            <w:r w:rsidRPr="00A964FF">
              <w:rPr>
                <w:rFonts w:ascii="Calibri" w:hAnsi="Calibri"/>
                <w:color w:val="auto"/>
                <w:szCs w:val="21"/>
              </w:rPr>
              <w:t>t/a</w:t>
            </w:r>
            <w:r w:rsidRPr="00A964FF">
              <w:rPr>
                <w:rFonts w:ascii="Calibri" w:hAnsi="宋体"/>
                <w:color w:val="auto"/>
                <w:szCs w:val="21"/>
              </w:rPr>
              <w:t>）</w:t>
            </w:r>
          </w:p>
        </w:tc>
        <w:tc>
          <w:tcPr>
            <w:tcW w:w="590" w:type="pct"/>
            <w:tcBorders>
              <w:left w:val="single" w:sz="4" w:space="0" w:color="auto"/>
            </w:tcBorders>
            <w:tcMar>
              <w:left w:w="28" w:type="dxa"/>
              <w:right w:w="28" w:type="dxa"/>
            </w:tcMar>
            <w:vAlign w:val="center"/>
          </w:tcPr>
          <w:p w14:paraId="3A8BA506" w14:textId="77777777" w:rsidR="00433709" w:rsidRDefault="00433709" w:rsidP="00433709">
            <w:pPr>
              <w:jc w:val="center"/>
              <w:rPr>
                <w:rFonts w:ascii="Calibri" w:hAnsi="宋体"/>
                <w:color w:val="auto"/>
                <w:szCs w:val="21"/>
              </w:rPr>
            </w:pPr>
            <w:r>
              <w:rPr>
                <w:rFonts w:ascii="Calibri" w:hAnsi="宋体" w:hint="eastAsia"/>
                <w:color w:val="auto"/>
                <w:szCs w:val="21"/>
              </w:rPr>
              <w:t>排放</w:t>
            </w:r>
            <w:r>
              <w:rPr>
                <w:rFonts w:ascii="Calibri" w:hAnsi="宋体"/>
                <w:color w:val="auto"/>
                <w:szCs w:val="21"/>
              </w:rPr>
              <w:t>速率</w:t>
            </w:r>
          </w:p>
          <w:p w14:paraId="1A46AB8D" w14:textId="77777777" w:rsidR="00433709" w:rsidRPr="00A964FF" w:rsidRDefault="00433709" w:rsidP="00433709">
            <w:pPr>
              <w:jc w:val="center"/>
              <w:rPr>
                <w:rFonts w:ascii="Calibri" w:hAnsi="Calibri"/>
                <w:color w:val="auto"/>
                <w:szCs w:val="21"/>
              </w:rPr>
            </w:pPr>
            <w:r>
              <w:rPr>
                <w:rFonts w:ascii="Calibri" w:hAnsi="Calibri" w:hint="eastAsia"/>
                <w:color w:val="auto"/>
                <w:szCs w:val="21"/>
              </w:rPr>
              <w:t>（</w:t>
            </w:r>
            <w:r>
              <w:rPr>
                <w:rFonts w:ascii="Calibri" w:hAnsi="Calibri" w:hint="eastAsia"/>
                <w:color w:val="auto"/>
                <w:szCs w:val="21"/>
              </w:rPr>
              <w:t>kg/h</w:t>
            </w:r>
            <w:r>
              <w:rPr>
                <w:rFonts w:ascii="Calibri" w:hAnsi="Calibri" w:hint="eastAsia"/>
                <w:color w:val="auto"/>
                <w:szCs w:val="21"/>
              </w:rPr>
              <w:t>）</w:t>
            </w:r>
          </w:p>
        </w:tc>
        <w:tc>
          <w:tcPr>
            <w:tcW w:w="591" w:type="pct"/>
            <w:tcBorders>
              <w:left w:val="single" w:sz="4" w:space="0" w:color="auto"/>
            </w:tcBorders>
            <w:tcMar>
              <w:left w:w="28" w:type="dxa"/>
              <w:right w:w="28" w:type="dxa"/>
            </w:tcMar>
            <w:vAlign w:val="center"/>
          </w:tcPr>
          <w:p w14:paraId="243007EE"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排放量</w:t>
            </w:r>
          </w:p>
          <w:p w14:paraId="61AD08C8"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w:t>
            </w:r>
            <w:r w:rsidRPr="00A964FF">
              <w:rPr>
                <w:rFonts w:ascii="Calibri" w:hAnsi="Calibri"/>
                <w:color w:val="auto"/>
                <w:szCs w:val="21"/>
              </w:rPr>
              <w:t>t/a</w:t>
            </w:r>
            <w:r w:rsidRPr="00A964FF">
              <w:rPr>
                <w:rFonts w:ascii="Calibri" w:hAnsi="宋体"/>
                <w:color w:val="auto"/>
                <w:szCs w:val="21"/>
              </w:rPr>
              <w:t>）</w:t>
            </w:r>
          </w:p>
        </w:tc>
      </w:tr>
      <w:tr w:rsidR="00433709" w:rsidRPr="00A964FF" w14:paraId="66E98DE0" w14:textId="77777777" w:rsidTr="00433709">
        <w:trPr>
          <w:trHeight w:val="340"/>
          <w:jc w:val="center"/>
        </w:trPr>
        <w:tc>
          <w:tcPr>
            <w:tcW w:w="401" w:type="pct"/>
            <w:tcBorders>
              <w:right w:val="single" w:sz="4" w:space="0" w:color="auto"/>
            </w:tcBorders>
            <w:vAlign w:val="center"/>
          </w:tcPr>
          <w:p w14:paraId="3C866CD8"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1</w:t>
            </w:r>
          </w:p>
        </w:tc>
        <w:tc>
          <w:tcPr>
            <w:tcW w:w="650" w:type="pct"/>
            <w:tcBorders>
              <w:left w:val="single" w:sz="4" w:space="0" w:color="auto"/>
              <w:right w:val="single" w:sz="4" w:space="0" w:color="auto"/>
            </w:tcBorders>
            <w:vAlign w:val="center"/>
          </w:tcPr>
          <w:p w14:paraId="0C0A6E78"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气体阀门</w:t>
            </w:r>
          </w:p>
        </w:tc>
        <w:tc>
          <w:tcPr>
            <w:tcW w:w="407" w:type="pct"/>
            <w:tcBorders>
              <w:left w:val="single" w:sz="4" w:space="0" w:color="auto"/>
              <w:right w:val="single" w:sz="4" w:space="0" w:color="auto"/>
            </w:tcBorders>
            <w:vAlign w:val="center"/>
          </w:tcPr>
          <w:p w14:paraId="073C9676" w14:textId="77777777" w:rsidR="00433709" w:rsidRPr="00A964FF" w:rsidRDefault="00433709" w:rsidP="00433709">
            <w:pPr>
              <w:jc w:val="center"/>
              <w:rPr>
                <w:rFonts w:ascii="Calibri" w:hAnsi="Calibri"/>
                <w:color w:val="auto"/>
                <w:szCs w:val="21"/>
              </w:rPr>
            </w:pPr>
            <w:r>
              <w:rPr>
                <w:rFonts w:ascii="Calibri" w:hAnsi="Calibri"/>
                <w:color w:val="auto"/>
                <w:szCs w:val="21"/>
              </w:rPr>
              <w:t>36</w:t>
            </w:r>
          </w:p>
        </w:tc>
        <w:tc>
          <w:tcPr>
            <w:tcW w:w="590" w:type="pct"/>
            <w:tcBorders>
              <w:left w:val="single" w:sz="4" w:space="0" w:color="auto"/>
            </w:tcBorders>
            <w:tcMar>
              <w:left w:w="28" w:type="dxa"/>
              <w:right w:w="28" w:type="dxa"/>
            </w:tcMar>
            <w:vAlign w:val="center"/>
          </w:tcPr>
          <w:p w14:paraId="3A64EE6E"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0.0026</w:t>
            </w:r>
          </w:p>
        </w:tc>
        <w:tc>
          <w:tcPr>
            <w:tcW w:w="590" w:type="pct"/>
            <w:tcBorders>
              <w:left w:val="single" w:sz="4" w:space="0" w:color="auto"/>
              <w:right w:val="single" w:sz="2" w:space="0" w:color="auto"/>
            </w:tcBorders>
            <w:tcMar>
              <w:left w:w="28" w:type="dxa"/>
              <w:right w:w="28" w:type="dxa"/>
            </w:tcMar>
            <w:vAlign w:val="center"/>
          </w:tcPr>
          <w:p w14:paraId="4D1BC954"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0.019</w:t>
            </w:r>
          </w:p>
        </w:tc>
        <w:tc>
          <w:tcPr>
            <w:tcW w:w="590" w:type="pct"/>
            <w:tcBorders>
              <w:left w:val="single" w:sz="4" w:space="0" w:color="auto"/>
            </w:tcBorders>
            <w:tcMar>
              <w:left w:w="28" w:type="dxa"/>
              <w:right w:w="28" w:type="dxa"/>
            </w:tcMar>
            <w:vAlign w:val="center"/>
          </w:tcPr>
          <w:p w14:paraId="3E076D6A"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0.0047</w:t>
            </w:r>
          </w:p>
        </w:tc>
        <w:tc>
          <w:tcPr>
            <w:tcW w:w="590" w:type="pct"/>
            <w:tcBorders>
              <w:left w:val="single" w:sz="4" w:space="0" w:color="auto"/>
            </w:tcBorders>
            <w:tcMar>
              <w:left w:w="28" w:type="dxa"/>
              <w:right w:w="28" w:type="dxa"/>
            </w:tcMar>
            <w:vAlign w:val="center"/>
          </w:tcPr>
          <w:p w14:paraId="3DFD4370"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0.034</w:t>
            </w:r>
          </w:p>
        </w:tc>
        <w:tc>
          <w:tcPr>
            <w:tcW w:w="590" w:type="pct"/>
            <w:tcBorders>
              <w:left w:val="single" w:sz="4" w:space="0" w:color="auto"/>
            </w:tcBorders>
            <w:tcMar>
              <w:left w:w="28" w:type="dxa"/>
              <w:right w:w="28" w:type="dxa"/>
            </w:tcMar>
            <w:vAlign w:val="center"/>
          </w:tcPr>
          <w:p w14:paraId="381107EA"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0.0073</w:t>
            </w:r>
          </w:p>
        </w:tc>
        <w:tc>
          <w:tcPr>
            <w:tcW w:w="591" w:type="pct"/>
            <w:tcBorders>
              <w:left w:val="single" w:sz="4" w:space="0" w:color="auto"/>
            </w:tcBorders>
            <w:tcMar>
              <w:left w:w="28" w:type="dxa"/>
              <w:right w:w="28" w:type="dxa"/>
            </w:tcMar>
            <w:vAlign w:val="center"/>
          </w:tcPr>
          <w:p w14:paraId="006968E3"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0.053</w:t>
            </w:r>
          </w:p>
        </w:tc>
      </w:tr>
      <w:tr w:rsidR="00433709" w:rsidRPr="00A964FF" w14:paraId="7E53CEEA" w14:textId="77777777" w:rsidTr="00433709">
        <w:trPr>
          <w:trHeight w:val="340"/>
          <w:jc w:val="center"/>
        </w:trPr>
        <w:tc>
          <w:tcPr>
            <w:tcW w:w="401" w:type="pct"/>
            <w:tcBorders>
              <w:right w:val="single" w:sz="4" w:space="0" w:color="auto"/>
            </w:tcBorders>
            <w:vAlign w:val="center"/>
          </w:tcPr>
          <w:p w14:paraId="28F4BA2C"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2</w:t>
            </w:r>
          </w:p>
        </w:tc>
        <w:tc>
          <w:tcPr>
            <w:tcW w:w="650" w:type="pct"/>
            <w:tcBorders>
              <w:left w:val="single" w:sz="4" w:space="0" w:color="auto"/>
              <w:right w:val="single" w:sz="4" w:space="0" w:color="auto"/>
            </w:tcBorders>
            <w:vAlign w:val="center"/>
          </w:tcPr>
          <w:p w14:paraId="4F96EC25"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有机液体阀门</w:t>
            </w:r>
          </w:p>
        </w:tc>
        <w:tc>
          <w:tcPr>
            <w:tcW w:w="407" w:type="pct"/>
            <w:tcBorders>
              <w:left w:val="single" w:sz="4" w:space="0" w:color="auto"/>
              <w:right w:val="single" w:sz="4" w:space="0" w:color="auto"/>
            </w:tcBorders>
            <w:vAlign w:val="center"/>
          </w:tcPr>
          <w:p w14:paraId="6BEE3030" w14:textId="77777777" w:rsidR="00433709" w:rsidRPr="00A964FF" w:rsidRDefault="00433709" w:rsidP="00433709">
            <w:pPr>
              <w:jc w:val="center"/>
              <w:rPr>
                <w:rFonts w:ascii="Calibri" w:hAnsi="Calibri"/>
                <w:color w:val="auto"/>
                <w:szCs w:val="21"/>
              </w:rPr>
            </w:pPr>
            <w:r>
              <w:rPr>
                <w:rFonts w:ascii="Calibri" w:hAnsi="Calibri"/>
                <w:color w:val="auto"/>
                <w:szCs w:val="21"/>
              </w:rPr>
              <w:t>30</w:t>
            </w:r>
          </w:p>
        </w:tc>
        <w:tc>
          <w:tcPr>
            <w:tcW w:w="590" w:type="pct"/>
            <w:tcBorders>
              <w:left w:val="single" w:sz="4" w:space="0" w:color="auto"/>
            </w:tcBorders>
            <w:tcMar>
              <w:left w:w="28" w:type="dxa"/>
              <w:right w:w="28" w:type="dxa"/>
            </w:tcMar>
            <w:vAlign w:val="center"/>
          </w:tcPr>
          <w:p w14:paraId="2BBB9F18"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0.0032</w:t>
            </w:r>
          </w:p>
        </w:tc>
        <w:tc>
          <w:tcPr>
            <w:tcW w:w="590" w:type="pct"/>
            <w:tcBorders>
              <w:left w:val="single" w:sz="4" w:space="0" w:color="auto"/>
              <w:right w:val="single" w:sz="2" w:space="0" w:color="auto"/>
            </w:tcBorders>
            <w:tcMar>
              <w:left w:w="28" w:type="dxa"/>
              <w:right w:w="28" w:type="dxa"/>
            </w:tcMar>
            <w:vAlign w:val="center"/>
          </w:tcPr>
          <w:p w14:paraId="57D326B9"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0.023</w:t>
            </w:r>
          </w:p>
        </w:tc>
        <w:tc>
          <w:tcPr>
            <w:tcW w:w="590" w:type="pct"/>
            <w:tcBorders>
              <w:left w:val="single" w:sz="4" w:space="0" w:color="auto"/>
            </w:tcBorders>
            <w:tcMar>
              <w:left w:w="28" w:type="dxa"/>
              <w:right w:w="28" w:type="dxa"/>
            </w:tcMar>
            <w:vAlign w:val="center"/>
          </w:tcPr>
          <w:p w14:paraId="5A815A3A"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0.0068</w:t>
            </w:r>
          </w:p>
        </w:tc>
        <w:tc>
          <w:tcPr>
            <w:tcW w:w="590" w:type="pct"/>
            <w:tcBorders>
              <w:left w:val="single" w:sz="4" w:space="0" w:color="auto"/>
            </w:tcBorders>
            <w:tcMar>
              <w:left w:w="28" w:type="dxa"/>
              <w:right w:w="28" w:type="dxa"/>
            </w:tcMar>
            <w:vAlign w:val="center"/>
          </w:tcPr>
          <w:p w14:paraId="2F6F46CD"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0.049</w:t>
            </w:r>
          </w:p>
        </w:tc>
        <w:tc>
          <w:tcPr>
            <w:tcW w:w="590" w:type="pct"/>
            <w:tcBorders>
              <w:left w:val="single" w:sz="4" w:space="0" w:color="auto"/>
            </w:tcBorders>
            <w:tcMar>
              <w:left w:w="28" w:type="dxa"/>
              <w:right w:w="28" w:type="dxa"/>
            </w:tcMar>
            <w:vAlign w:val="center"/>
          </w:tcPr>
          <w:p w14:paraId="5AFBF73E"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0.01</w:t>
            </w:r>
          </w:p>
        </w:tc>
        <w:tc>
          <w:tcPr>
            <w:tcW w:w="591" w:type="pct"/>
            <w:tcBorders>
              <w:left w:val="single" w:sz="4" w:space="0" w:color="auto"/>
            </w:tcBorders>
            <w:tcMar>
              <w:left w:w="28" w:type="dxa"/>
              <w:right w:w="28" w:type="dxa"/>
            </w:tcMar>
            <w:vAlign w:val="center"/>
          </w:tcPr>
          <w:p w14:paraId="0F48FE63"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0.072</w:t>
            </w:r>
          </w:p>
        </w:tc>
      </w:tr>
      <w:tr w:rsidR="00433709" w:rsidRPr="00A964FF" w14:paraId="1576240C" w14:textId="77777777" w:rsidTr="00433709">
        <w:trPr>
          <w:trHeight w:val="340"/>
          <w:jc w:val="center"/>
        </w:trPr>
        <w:tc>
          <w:tcPr>
            <w:tcW w:w="401" w:type="pct"/>
            <w:tcBorders>
              <w:right w:val="single" w:sz="4" w:space="0" w:color="auto"/>
            </w:tcBorders>
            <w:vAlign w:val="center"/>
          </w:tcPr>
          <w:p w14:paraId="7035D4A0"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3</w:t>
            </w:r>
          </w:p>
        </w:tc>
        <w:tc>
          <w:tcPr>
            <w:tcW w:w="650" w:type="pct"/>
            <w:tcBorders>
              <w:left w:val="single" w:sz="4" w:space="0" w:color="auto"/>
              <w:right w:val="single" w:sz="4" w:space="0" w:color="auto"/>
            </w:tcBorders>
            <w:vAlign w:val="center"/>
          </w:tcPr>
          <w:p w14:paraId="5C2AF46F"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泵</w:t>
            </w:r>
          </w:p>
        </w:tc>
        <w:tc>
          <w:tcPr>
            <w:tcW w:w="407" w:type="pct"/>
            <w:tcBorders>
              <w:left w:val="single" w:sz="4" w:space="0" w:color="auto"/>
              <w:right w:val="single" w:sz="4" w:space="0" w:color="auto"/>
            </w:tcBorders>
            <w:vAlign w:val="center"/>
          </w:tcPr>
          <w:p w14:paraId="76F03F55" w14:textId="77777777" w:rsidR="00433709" w:rsidRPr="00A964FF" w:rsidRDefault="00433709" w:rsidP="00433709">
            <w:pPr>
              <w:jc w:val="center"/>
              <w:rPr>
                <w:rFonts w:ascii="Calibri" w:hAnsi="Calibri"/>
                <w:color w:val="auto"/>
                <w:szCs w:val="21"/>
              </w:rPr>
            </w:pPr>
            <w:r>
              <w:rPr>
                <w:rFonts w:ascii="Calibri" w:hAnsi="Calibri"/>
                <w:color w:val="auto"/>
                <w:szCs w:val="21"/>
              </w:rPr>
              <w:t>12</w:t>
            </w:r>
          </w:p>
        </w:tc>
        <w:tc>
          <w:tcPr>
            <w:tcW w:w="590" w:type="pct"/>
            <w:tcBorders>
              <w:left w:val="single" w:sz="4" w:space="0" w:color="auto"/>
            </w:tcBorders>
            <w:tcMar>
              <w:left w:w="28" w:type="dxa"/>
              <w:right w:w="28" w:type="dxa"/>
            </w:tcMar>
            <w:vAlign w:val="center"/>
          </w:tcPr>
          <w:p w14:paraId="79BA8720"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0.005</w:t>
            </w:r>
          </w:p>
        </w:tc>
        <w:tc>
          <w:tcPr>
            <w:tcW w:w="590" w:type="pct"/>
            <w:tcBorders>
              <w:left w:val="single" w:sz="4" w:space="0" w:color="auto"/>
              <w:right w:val="single" w:sz="2" w:space="0" w:color="auto"/>
            </w:tcBorders>
            <w:tcMar>
              <w:left w:w="28" w:type="dxa"/>
              <w:right w:w="28" w:type="dxa"/>
            </w:tcMar>
            <w:vAlign w:val="center"/>
          </w:tcPr>
          <w:p w14:paraId="03DEE285"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0.036</w:t>
            </w:r>
          </w:p>
        </w:tc>
        <w:tc>
          <w:tcPr>
            <w:tcW w:w="590" w:type="pct"/>
            <w:tcBorders>
              <w:left w:val="single" w:sz="4" w:space="0" w:color="auto"/>
            </w:tcBorders>
            <w:tcMar>
              <w:left w:w="28" w:type="dxa"/>
              <w:right w:w="28" w:type="dxa"/>
            </w:tcMar>
            <w:vAlign w:val="center"/>
          </w:tcPr>
          <w:p w14:paraId="18A4C097"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0.025</w:t>
            </w:r>
          </w:p>
        </w:tc>
        <w:tc>
          <w:tcPr>
            <w:tcW w:w="590" w:type="pct"/>
            <w:tcBorders>
              <w:left w:val="single" w:sz="4" w:space="0" w:color="auto"/>
            </w:tcBorders>
            <w:tcMar>
              <w:left w:w="28" w:type="dxa"/>
              <w:right w:w="28" w:type="dxa"/>
            </w:tcMar>
            <w:vAlign w:val="center"/>
          </w:tcPr>
          <w:p w14:paraId="037D2425"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0.18</w:t>
            </w:r>
          </w:p>
        </w:tc>
        <w:tc>
          <w:tcPr>
            <w:tcW w:w="590" w:type="pct"/>
            <w:tcBorders>
              <w:left w:val="single" w:sz="4" w:space="0" w:color="auto"/>
            </w:tcBorders>
            <w:tcMar>
              <w:left w:w="28" w:type="dxa"/>
              <w:right w:w="28" w:type="dxa"/>
            </w:tcMar>
            <w:vAlign w:val="center"/>
          </w:tcPr>
          <w:p w14:paraId="72E05743"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0.03</w:t>
            </w:r>
          </w:p>
        </w:tc>
        <w:tc>
          <w:tcPr>
            <w:tcW w:w="591" w:type="pct"/>
            <w:tcBorders>
              <w:left w:val="single" w:sz="4" w:space="0" w:color="auto"/>
            </w:tcBorders>
            <w:tcMar>
              <w:left w:w="28" w:type="dxa"/>
              <w:right w:w="28" w:type="dxa"/>
            </w:tcMar>
            <w:vAlign w:val="center"/>
          </w:tcPr>
          <w:p w14:paraId="23808B8B"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0.216</w:t>
            </w:r>
          </w:p>
        </w:tc>
      </w:tr>
      <w:tr w:rsidR="00433709" w:rsidRPr="00A964FF" w14:paraId="0A651546" w14:textId="77777777" w:rsidTr="00433709">
        <w:trPr>
          <w:trHeight w:val="340"/>
          <w:jc w:val="center"/>
        </w:trPr>
        <w:tc>
          <w:tcPr>
            <w:tcW w:w="401" w:type="pct"/>
            <w:tcBorders>
              <w:right w:val="single" w:sz="4" w:space="0" w:color="auto"/>
            </w:tcBorders>
            <w:vAlign w:val="center"/>
          </w:tcPr>
          <w:p w14:paraId="70519DF3" w14:textId="77777777" w:rsidR="00433709" w:rsidRPr="00A964FF" w:rsidRDefault="00433709" w:rsidP="00433709">
            <w:pPr>
              <w:jc w:val="center"/>
              <w:rPr>
                <w:rFonts w:ascii="Calibri" w:hAnsi="Calibri"/>
                <w:color w:val="auto"/>
                <w:szCs w:val="21"/>
              </w:rPr>
            </w:pPr>
            <w:r>
              <w:rPr>
                <w:rFonts w:ascii="Calibri" w:hAnsi="Calibri"/>
                <w:color w:val="auto"/>
                <w:szCs w:val="21"/>
              </w:rPr>
              <w:t>4</w:t>
            </w:r>
          </w:p>
        </w:tc>
        <w:tc>
          <w:tcPr>
            <w:tcW w:w="650" w:type="pct"/>
            <w:tcBorders>
              <w:left w:val="single" w:sz="4" w:space="0" w:color="auto"/>
              <w:right w:val="single" w:sz="4" w:space="0" w:color="auto"/>
            </w:tcBorders>
            <w:vAlign w:val="center"/>
          </w:tcPr>
          <w:p w14:paraId="062558F5"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法兰</w:t>
            </w:r>
            <w:r>
              <w:rPr>
                <w:rFonts w:ascii="Calibri" w:hAnsi="宋体" w:hint="eastAsia"/>
                <w:color w:val="auto"/>
                <w:szCs w:val="21"/>
              </w:rPr>
              <w:t>及</w:t>
            </w:r>
            <w:r>
              <w:rPr>
                <w:rFonts w:ascii="Calibri" w:hAnsi="宋体"/>
                <w:color w:val="auto"/>
                <w:szCs w:val="21"/>
              </w:rPr>
              <w:t>连接件</w:t>
            </w:r>
          </w:p>
        </w:tc>
        <w:tc>
          <w:tcPr>
            <w:tcW w:w="407" w:type="pct"/>
            <w:tcBorders>
              <w:left w:val="single" w:sz="4" w:space="0" w:color="auto"/>
              <w:right w:val="single" w:sz="4" w:space="0" w:color="auto"/>
            </w:tcBorders>
            <w:vAlign w:val="center"/>
          </w:tcPr>
          <w:p w14:paraId="61D27536" w14:textId="77777777" w:rsidR="00433709" w:rsidRPr="00A964FF" w:rsidRDefault="00433709" w:rsidP="00433709">
            <w:pPr>
              <w:jc w:val="center"/>
              <w:rPr>
                <w:rFonts w:ascii="Calibri" w:hAnsi="Calibri"/>
                <w:color w:val="auto"/>
                <w:szCs w:val="21"/>
              </w:rPr>
            </w:pPr>
            <w:r>
              <w:rPr>
                <w:rFonts w:ascii="Calibri" w:hAnsi="Calibri"/>
                <w:color w:val="auto"/>
                <w:szCs w:val="21"/>
              </w:rPr>
              <w:t>58</w:t>
            </w:r>
          </w:p>
        </w:tc>
        <w:tc>
          <w:tcPr>
            <w:tcW w:w="590" w:type="pct"/>
            <w:tcBorders>
              <w:left w:val="single" w:sz="4" w:space="0" w:color="auto"/>
            </w:tcBorders>
            <w:tcMar>
              <w:left w:w="28" w:type="dxa"/>
              <w:right w:w="28" w:type="dxa"/>
            </w:tcMar>
            <w:vAlign w:val="center"/>
          </w:tcPr>
          <w:p w14:paraId="61E77A06"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0.0077</w:t>
            </w:r>
          </w:p>
        </w:tc>
        <w:tc>
          <w:tcPr>
            <w:tcW w:w="590" w:type="pct"/>
            <w:tcBorders>
              <w:left w:val="single" w:sz="4" w:space="0" w:color="auto"/>
              <w:right w:val="single" w:sz="2" w:space="0" w:color="auto"/>
            </w:tcBorders>
            <w:tcMar>
              <w:left w:w="28" w:type="dxa"/>
              <w:right w:w="28" w:type="dxa"/>
            </w:tcMar>
            <w:vAlign w:val="center"/>
          </w:tcPr>
          <w:p w14:paraId="0841171E"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0.055</w:t>
            </w:r>
          </w:p>
        </w:tc>
        <w:tc>
          <w:tcPr>
            <w:tcW w:w="590" w:type="pct"/>
            <w:tcBorders>
              <w:left w:val="single" w:sz="4" w:space="0" w:color="auto"/>
            </w:tcBorders>
            <w:tcMar>
              <w:left w:w="28" w:type="dxa"/>
              <w:right w:w="28" w:type="dxa"/>
            </w:tcMar>
            <w:vAlign w:val="center"/>
          </w:tcPr>
          <w:p w14:paraId="442092B2"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0.0047</w:t>
            </w:r>
          </w:p>
        </w:tc>
        <w:tc>
          <w:tcPr>
            <w:tcW w:w="590" w:type="pct"/>
            <w:tcBorders>
              <w:left w:val="single" w:sz="4" w:space="0" w:color="auto"/>
            </w:tcBorders>
            <w:tcMar>
              <w:left w:w="28" w:type="dxa"/>
              <w:right w:w="28" w:type="dxa"/>
            </w:tcMar>
            <w:vAlign w:val="center"/>
          </w:tcPr>
          <w:p w14:paraId="30A8845E"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0.034</w:t>
            </w:r>
          </w:p>
        </w:tc>
        <w:tc>
          <w:tcPr>
            <w:tcW w:w="590" w:type="pct"/>
            <w:tcBorders>
              <w:left w:val="single" w:sz="4" w:space="0" w:color="auto"/>
            </w:tcBorders>
            <w:tcMar>
              <w:left w:w="28" w:type="dxa"/>
              <w:right w:w="28" w:type="dxa"/>
            </w:tcMar>
            <w:vAlign w:val="center"/>
          </w:tcPr>
          <w:p w14:paraId="4BEACB7C"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0.0124</w:t>
            </w:r>
          </w:p>
        </w:tc>
        <w:tc>
          <w:tcPr>
            <w:tcW w:w="591" w:type="pct"/>
            <w:tcBorders>
              <w:left w:val="single" w:sz="4" w:space="0" w:color="auto"/>
            </w:tcBorders>
            <w:tcMar>
              <w:left w:w="28" w:type="dxa"/>
              <w:right w:w="28" w:type="dxa"/>
            </w:tcMar>
            <w:vAlign w:val="center"/>
          </w:tcPr>
          <w:p w14:paraId="098D3CE0"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0.089</w:t>
            </w:r>
          </w:p>
        </w:tc>
      </w:tr>
      <w:tr w:rsidR="00433709" w:rsidRPr="00A964FF" w14:paraId="6DFF1F2B" w14:textId="77777777" w:rsidTr="00433709">
        <w:trPr>
          <w:trHeight w:val="340"/>
          <w:jc w:val="center"/>
        </w:trPr>
        <w:tc>
          <w:tcPr>
            <w:tcW w:w="1051" w:type="pct"/>
            <w:gridSpan w:val="2"/>
            <w:tcBorders>
              <w:right w:val="single" w:sz="4" w:space="0" w:color="auto"/>
            </w:tcBorders>
            <w:vAlign w:val="center"/>
          </w:tcPr>
          <w:p w14:paraId="62EDE53C" w14:textId="77777777" w:rsidR="00433709" w:rsidRPr="00A964FF" w:rsidRDefault="00433709" w:rsidP="00433709">
            <w:pPr>
              <w:jc w:val="center"/>
              <w:rPr>
                <w:rFonts w:ascii="Calibri" w:hAnsi="Calibri"/>
                <w:color w:val="auto"/>
                <w:szCs w:val="21"/>
              </w:rPr>
            </w:pPr>
            <w:r w:rsidRPr="00A964FF">
              <w:rPr>
                <w:rFonts w:ascii="Calibri" w:hAnsi="宋体"/>
                <w:color w:val="auto"/>
                <w:szCs w:val="21"/>
              </w:rPr>
              <w:t>合计</w:t>
            </w:r>
          </w:p>
        </w:tc>
        <w:tc>
          <w:tcPr>
            <w:tcW w:w="407" w:type="pct"/>
            <w:tcBorders>
              <w:left w:val="single" w:sz="4" w:space="0" w:color="auto"/>
              <w:right w:val="single" w:sz="4" w:space="0" w:color="auto"/>
            </w:tcBorders>
            <w:vAlign w:val="center"/>
          </w:tcPr>
          <w:p w14:paraId="5B802196" w14:textId="77777777" w:rsidR="00433709" w:rsidRPr="00A964FF" w:rsidRDefault="00433709" w:rsidP="00433709">
            <w:pPr>
              <w:jc w:val="center"/>
              <w:rPr>
                <w:rFonts w:ascii="Calibri" w:hAnsi="Calibri"/>
                <w:color w:val="auto"/>
                <w:szCs w:val="21"/>
              </w:rPr>
            </w:pPr>
            <w:r w:rsidRPr="00A964FF">
              <w:rPr>
                <w:rFonts w:ascii="Calibri" w:hAnsi="Calibri"/>
                <w:color w:val="auto"/>
                <w:szCs w:val="21"/>
              </w:rPr>
              <w:t>/</w:t>
            </w:r>
          </w:p>
        </w:tc>
        <w:tc>
          <w:tcPr>
            <w:tcW w:w="590" w:type="pct"/>
            <w:tcBorders>
              <w:left w:val="single" w:sz="4" w:space="0" w:color="auto"/>
              <w:right w:val="single" w:sz="2" w:space="0" w:color="auto"/>
            </w:tcBorders>
            <w:tcMar>
              <w:left w:w="28" w:type="dxa"/>
              <w:right w:w="28" w:type="dxa"/>
            </w:tcMar>
            <w:vAlign w:val="center"/>
          </w:tcPr>
          <w:p w14:paraId="5D955BD2" w14:textId="77777777" w:rsidR="00433709" w:rsidRPr="00A964FF" w:rsidRDefault="00433709" w:rsidP="00433709">
            <w:pPr>
              <w:jc w:val="center"/>
              <w:rPr>
                <w:rFonts w:ascii="Calibri" w:hAnsi="Calibri"/>
                <w:color w:val="auto"/>
                <w:szCs w:val="21"/>
              </w:rPr>
            </w:pPr>
            <w:r w:rsidRPr="00DA4E13">
              <w:rPr>
                <w:rFonts w:ascii="Calibri" w:hAnsi="Calibri"/>
                <w:color w:val="auto"/>
                <w:szCs w:val="21"/>
              </w:rPr>
              <w:t>0.0185</w:t>
            </w:r>
          </w:p>
        </w:tc>
        <w:tc>
          <w:tcPr>
            <w:tcW w:w="590" w:type="pct"/>
            <w:tcBorders>
              <w:left w:val="single" w:sz="4" w:space="0" w:color="auto"/>
            </w:tcBorders>
            <w:tcMar>
              <w:left w:w="28" w:type="dxa"/>
              <w:right w:w="28" w:type="dxa"/>
            </w:tcMar>
            <w:vAlign w:val="center"/>
          </w:tcPr>
          <w:p w14:paraId="45F06972"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0.133</w:t>
            </w:r>
          </w:p>
        </w:tc>
        <w:tc>
          <w:tcPr>
            <w:tcW w:w="590" w:type="pct"/>
            <w:tcBorders>
              <w:left w:val="single" w:sz="2" w:space="0" w:color="auto"/>
              <w:right w:val="single" w:sz="4" w:space="0" w:color="auto"/>
            </w:tcBorders>
            <w:tcMar>
              <w:left w:w="28" w:type="dxa"/>
              <w:right w:w="28" w:type="dxa"/>
            </w:tcMar>
            <w:vAlign w:val="center"/>
          </w:tcPr>
          <w:p w14:paraId="330A124E" w14:textId="77777777" w:rsidR="00433709" w:rsidRPr="00A964FF" w:rsidRDefault="00433709" w:rsidP="00433709">
            <w:pPr>
              <w:jc w:val="center"/>
              <w:rPr>
                <w:rFonts w:ascii="Calibri" w:hAnsi="Calibri"/>
                <w:color w:val="auto"/>
                <w:szCs w:val="21"/>
              </w:rPr>
            </w:pPr>
            <w:r w:rsidRPr="00DA4E13">
              <w:rPr>
                <w:rFonts w:ascii="Calibri" w:hAnsi="Calibri"/>
                <w:color w:val="auto"/>
                <w:szCs w:val="21"/>
              </w:rPr>
              <w:t>0.041</w:t>
            </w:r>
          </w:p>
        </w:tc>
        <w:tc>
          <w:tcPr>
            <w:tcW w:w="590" w:type="pct"/>
            <w:tcBorders>
              <w:left w:val="single" w:sz="4" w:space="0" w:color="auto"/>
            </w:tcBorders>
            <w:tcMar>
              <w:left w:w="28" w:type="dxa"/>
              <w:right w:w="28" w:type="dxa"/>
            </w:tcMar>
            <w:vAlign w:val="center"/>
          </w:tcPr>
          <w:p w14:paraId="246D16A6"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0.297</w:t>
            </w:r>
          </w:p>
        </w:tc>
        <w:tc>
          <w:tcPr>
            <w:tcW w:w="590" w:type="pct"/>
            <w:tcBorders>
              <w:left w:val="single" w:sz="4" w:space="0" w:color="auto"/>
            </w:tcBorders>
            <w:tcMar>
              <w:left w:w="28" w:type="dxa"/>
              <w:right w:w="28" w:type="dxa"/>
            </w:tcMar>
            <w:vAlign w:val="center"/>
          </w:tcPr>
          <w:p w14:paraId="080AAFC1" w14:textId="77777777" w:rsidR="00433709" w:rsidRPr="00DA4E13" w:rsidRDefault="00433709" w:rsidP="00433709">
            <w:pPr>
              <w:jc w:val="center"/>
              <w:rPr>
                <w:rFonts w:ascii="Calibri" w:hAnsi="Calibri"/>
                <w:color w:val="auto"/>
                <w:szCs w:val="21"/>
              </w:rPr>
            </w:pPr>
            <w:r w:rsidRPr="00DA4E13">
              <w:rPr>
                <w:rFonts w:ascii="Calibri" w:hAnsi="Calibri"/>
                <w:color w:val="auto"/>
                <w:szCs w:val="21"/>
              </w:rPr>
              <w:t>0.0595</w:t>
            </w:r>
          </w:p>
        </w:tc>
        <w:tc>
          <w:tcPr>
            <w:tcW w:w="591" w:type="pct"/>
            <w:tcBorders>
              <w:left w:val="single" w:sz="4" w:space="0" w:color="auto"/>
            </w:tcBorders>
            <w:tcMar>
              <w:left w:w="28" w:type="dxa"/>
              <w:right w:w="28" w:type="dxa"/>
            </w:tcMar>
            <w:vAlign w:val="center"/>
          </w:tcPr>
          <w:p w14:paraId="1D05439A" w14:textId="77777777" w:rsidR="00433709" w:rsidRPr="00DA4E13" w:rsidRDefault="00433709" w:rsidP="00433709">
            <w:pPr>
              <w:jc w:val="center"/>
              <w:rPr>
                <w:rFonts w:ascii="Calibri" w:hAnsi="Calibri"/>
                <w:color w:val="auto"/>
                <w:szCs w:val="21"/>
              </w:rPr>
            </w:pPr>
            <w:r w:rsidRPr="00DA4E13">
              <w:rPr>
                <w:rFonts w:ascii="Calibri" w:hAnsi="Calibri" w:hint="eastAsia"/>
                <w:color w:val="auto"/>
                <w:szCs w:val="21"/>
              </w:rPr>
              <w:t>0.43</w:t>
            </w:r>
          </w:p>
        </w:tc>
      </w:tr>
    </w:tbl>
    <w:p w14:paraId="488CB457" w14:textId="5DB44053" w:rsidR="007A2AD4" w:rsidRPr="00A650D1" w:rsidRDefault="00B71687" w:rsidP="00A837B3">
      <w:pPr>
        <w:spacing w:line="520" w:lineRule="exact"/>
        <w:ind w:firstLineChars="200" w:firstLine="480"/>
        <w:rPr>
          <w:rFonts w:ascii="Calibri" w:hAnsi="Calibri"/>
          <w:color w:val="auto"/>
          <w:sz w:val="24"/>
        </w:rPr>
      </w:pPr>
      <w:r>
        <w:rPr>
          <w:rFonts w:ascii="Calibri" w:hAnsi="Calibri" w:hint="eastAsia"/>
          <w:color w:val="auto"/>
          <w:sz w:val="24"/>
        </w:rPr>
        <w:t>（</w:t>
      </w:r>
      <w:r w:rsidR="00A650D1" w:rsidRPr="00A650D1">
        <w:rPr>
          <w:rFonts w:ascii="Calibri" w:hAnsi="Calibri" w:hint="eastAsia"/>
          <w:color w:val="auto"/>
          <w:sz w:val="24"/>
        </w:rPr>
        <w:t>3</w:t>
      </w:r>
      <w:r w:rsidR="00A650D1" w:rsidRPr="00A650D1">
        <w:rPr>
          <w:rFonts w:ascii="Calibri" w:hAnsi="Calibri" w:hint="eastAsia"/>
          <w:color w:val="auto"/>
          <w:sz w:val="24"/>
        </w:rPr>
        <w:t>）</w:t>
      </w:r>
      <w:r w:rsidR="007A2AD4" w:rsidRPr="00A650D1">
        <w:rPr>
          <w:rFonts w:ascii="Calibri" w:hAnsi="Calibri" w:hint="eastAsia"/>
          <w:color w:val="auto"/>
          <w:sz w:val="24"/>
        </w:rPr>
        <w:t>污水处理站</w:t>
      </w:r>
      <w:r w:rsidR="00A650D1" w:rsidRPr="00A650D1">
        <w:rPr>
          <w:rFonts w:ascii="Calibri" w:hAnsi="Calibri" w:hint="eastAsia"/>
          <w:color w:val="auto"/>
          <w:sz w:val="24"/>
        </w:rPr>
        <w:t>废气</w:t>
      </w:r>
    </w:p>
    <w:p w14:paraId="58EF48F1" w14:textId="1D32E395" w:rsidR="00A837B3" w:rsidRPr="00433709" w:rsidRDefault="007A2AD4" w:rsidP="00433709">
      <w:pPr>
        <w:pStyle w:val="00"/>
        <w:jc w:val="left"/>
        <w:rPr>
          <w:rFonts w:ascii="Calibri" w:hAnsi="Calibri"/>
          <w:color w:val="auto"/>
        </w:rPr>
      </w:pPr>
      <w:r w:rsidRPr="00A67F03">
        <w:rPr>
          <w:rFonts w:ascii="Calibri" w:hAnsi="Calibri" w:hint="eastAsia"/>
          <w:color w:val="auto"/>
        </w:rPr>
        <w:t>项目在厂区内建设污水处理站处理，废水储存池、厌氧池、沉淀池、污泥浓缩系统等敞开的液面均会产生臭气和异味，对厌氧池、沉淀池、污泥浓缩系统等恶臭产生环节密闭收集恶臭废气，废气经收集后进入“</w:t>
      </w:r>
      <w:r>
        <w:rPr>
          <w:rFonts w:ascii="Calibri" w:hAnsi="Calibri" w:hint="eastAsia"/>
          <w:color w:val="auto"/>
        </w:rPr>
        <w:t>光氧催化</w:t>
      </w:r>
      <w:r>
        <w:rPr>
          <w:rFonts w:ascii="Calibri" w:hAnsi="Calibri" w:hint="eastAsia"/>
          <w:color w:val="auto"/>
        </w:rPr>
        <w:t>+</w:t>
      </w:r>
      <w:r>
        <w:rPr>
          <w:rFonts w:ascii="Calibri" w:hAnsi="Calibri" w:hint="eastAsia"/>
          <w:color w:val="auto"/>
        </w:rPr>
        <w:t>活性炭吸附</w:t>
      </w:r>
      <w:r w:rsidRPr="00A67F03">
        <w:rPr>
          <w:rFonts w:ascii="Calibri" w:hAnsi="Calibri" w:hint="eastAsia"/>
          <w:color w:val="auto"/>
        </w:rPr>
        <w:t>”装置进行处理，可有效降低污水处理站的无组织排放。</w:t>
      </w:r>
      <w:r w:rsidRPr="004C05B2">
        <w:rPr>
          <w:rFonts w:ascii="Calibri" w:hAnsi="Calibri" w:hint="eastAsia"/>
          <w:color w:val="auto"/>
        </w:rPr>
        <w:t>本项目废水处理站废气无组织排放污染物主要</w:t>
      </w:r>
      <w:r w:rsidRPr="004C05B2">
        <w:rPr>
          <w:rFonts w:ascii="Calibri" w:hAnsi="Calibri" w:hint="eastAsia"/>
          <w:color w:val="auto"/>
        </w:rPr>
        <w:t>NH</w:t>
      </w:r>
      <w:r w:rsidRPr="004C05B2">
        <w:rPr>
          <w:rFonts w:ascii="Calibri" w:hAnsi="Calibri" w:hint="eastAsia"/>
          <w:color w:val="auto"/>
          <w:vertAlign w:val="subscript"/>
        </w:rPr>
        <w:t>3</w:t>
      </w:r>
      <w:r w:rsidRPr="004C05B2">
        <w:rPr>
          <w:rFonts w:ascii="Calibri" w:hAnsi="Calibri" w:hint="eastAsia"/>
          <w:color w:val="auto"/>
        </w:rPr>
        <w:t>、</w:t>
      </w:r>
      <w:r w:rsidRPr="004C05B2">
        <w:rPr>
          <w:rFonts w:ascii="Calibri" w:hAnsi="Calibri" w:hint="eastAsia"/>
          <w:color w:val="auto"/>
        </w:rPr>
        <w:t>H</w:t>
      </w:r>
      <w:r w:rsidRPr="004C05B2">
        <w:rPr>
          <w:rFonts w:ascii="Calibri" w:hAnsi="Calibri" w:hint="eastAsia"/>
          <w:color w:val="auto"/>
          <w:vertAlign w:val="subscript"/>
        </w:rPr>
        <w:t>2</w:t>
      </w:r>
      <w:r w:rsidRPr="004C05B2">
        <w:rPr>
          <w:rFonts w:ascii="Calibri" w:hAnsi="Calibri" w:hint="eastAsia"/>
          <w:color w:val="auto"/>
        </w:rPr>
        <w:t>S</w:t>
      </w:r>
      <w:r w:rsidRPr="004C05B2">
        <w:rPr>
          <w:rFonts w:ascii="Calibri" w:hAnsi="Calibri" w:hint="eastAsia"/>
          <w:color w:val="auto"/>
        </w:rPr>
        <w:t>、</w:t>
      </w:r>
      <w:r w:rsidR="00B71687">
        <w:rPr>
          <w:rFonts w:ascii="Calibri" w:hAnsi="Calibri" w:hint="eastAsia"/>
          <w:color w:val="auto"/>
        </w:rPr>
        <w:t>非甲烷总烃</w:t>
      </w:r>
      <w:r w:rsidRPr="004C05B2">
        <w:rPr>
          <w:rFonts w:ascii="Calibri" w:hAnsi="Calibri" w:hint="eastAsia"/>
          <w:color w:val="auto"/>
        </w:rPr>
        <w:t>，无组织废气污染物排放量占产生量为的</w:t>
      </w:r>
      <w:r w:rsidRPr="004C05B2">
        <w:rPr>
          <w:rFonts w:ascii="Calibri" w:hAnsi="Calibri" w:hint="eastAsia"/>
          <w:color w:val="auto"/>
        </w:rPr>
        <w:t>5%</w:t>
      </w:r>
      <w:r w:rsidRPr="004C05B2">
        <w:rPr>
          <w:rFonts w:ascii="Calibri" w:hAnsi="Calibri" w:hint="eastAsia"/>
          <w:color w:val="auto"/>
        </w:rPr>
        <w:t>，则生产区无组织废气产生情况见表</w:t>
      </w:r>
      <w:r w:rsidR="00A650D1">
        <w:rPr>
          <w:rFonts w:ascii="Calibri" w:hAnsi="Calibri" w:hint="eastAsia"/>
          <w:color w:val="auto"/>
        </w:rPr>
        <w:t>2</w:t>
      </w:r>
      <w:r w:rsidR="005E5F3B">
        <w:rPr>
          <w:rFonts w:ascii="Calibri" w:hAnsi="Calibri"/>
          <w:color w:val="auto"/>
        </w:rPr>
        <w:t>.3-1</w:t>
      </w:r>
      <w:r w:rsidR="00B71687">
        <w:rPr>
          <w:rFonts w:ascii="Calibri" w:hAnsi="Calibri"/>
          <w:color w:val="auto"/>
        </w:rPr>
        <w:t>1</w:t>
      </w:r>
      <w:r w:rsidR="00A650D1">
        <w:rPr>
          <w:rFonts w:ascii="Calibri" w:hAnsi="Calibri" w:hint="eastAsia"/>
          <w:color w:val="auto"/>
        </w:rPr>
        <w:t>。</w:t>
      </w:r>
    </w:p>
    <w:p w14:paraId="6ECE2F7F" w14:textId="17C3CD7A" w:rsidR="007A2AD4" w:rsidRPr="00BB5174" w:rsidRDefault="007A2AD4" w:rsidP="00A650D1">
      <w:pPr>
        <w:spacing w:line="520" w:lineRule="exact"/>
        <w:ind w:firstLineChars="500" w:firstLine="1200"/>
        <w:rPr>
          <w:rFonts w:eastAsia="黑体"/>
          <w:sz w:val="24"/>
        </w:rPr>
      </w:pPr>
      <w:r w:rsidRPr="00BB5174">
        <w:rPr>
          <w:rFonts w:ascii="Calibri" w:eastAsia="黑体" w:hAnsi="黑体" w:hint="eastAsia"/>
          <w:sz w:val="24"/>
        </w:rPr>
        <w:t>表</w:t>
      </w:r>
      <w:r w:rsidR="00B71687">
        <w:rPr>
          <w:rFonts w:ascii="Calibri" w:eastAsia="黑体" w:hAnsi="Calibri"/>
          <w:sz w:val="24"/>
        </w:rPr>
        <w:t>2.3-11</w:t>
      </w:r>
      <w:r w:rsidRPr="00BB5174">
        <w:rPr>
          <w:rFonts w:ascii="Calibri" w:eastAsia="黑体" w:hAnsi="Calibri"/>
          <w:sz w:val="24"/>
        </w:rPr>
        <w:t xml:space="preserve"> </w:t>
      </w:r>
      <w:r w:rsidRPr="00BB5174">
        <w:rPr>
          <w:rFonts w:ascii="Calibri" w:eastAsia="黑体" w:hAnsi="Calibri" w:hint="eastAsia"/>
          <w:sz w:val="24"/>
        </w:rPr>
        <w:t xml:space="preserve">         </w:t>
      </w:r>
      <w:r>
        <w:rPr>
          <w:rFonts w:ascii="Calibri" w:eastAsia="黑体" w:hAnsi="Calibri" w:hint="eastAsia"/>
          <w:sz w:val="24"/>
        </w:rPr>
        <w:t>污水处理区</w:t>
      </w:r>
      <w:r w:rsidRPr="00BB5174">
        <w:rPr>
          <w:rFonts w:ascii="Calibri" w:eastAsia="黑体" w:hAnsi="Calibri" w:hint="eastAsia"/>
          <w:sz w:val="24"/>
        </w:rPr>
        <w:t>废气无组织排放情况</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036"/>
        <w:gridCol w:w="2205"/>
        <w:gridCol w:w="2232"/>
        <w:gridCol w:w="2227"/>
      </w:tblGrid>
      <w:tr w:rsidR="007A2AD4" w:rsidRPr="00BB5174" w14:paraId="031B5583" w14:textId="77777777" w:rsidTr="00ED4172">
        <w:trPr>
          <w:trHeight w:val="284"/>
        </w:trPr>
        <w:tc>
          <w:tcPr>
            <w:tcW w:w="1170" w:type="pct"/>
            <w:vMerge w:val="restart"/>
            <w:tcBorders>
              <w:right w:val="single" w:sz="4" w:space="0" w:color="auto"/>
            </w:tcBorders>
            <w:vAlign w:val="center"/>
          </w:tcPr>
          <w:p w14:paraId="77011531" w14:textId="77777777" w:rsidR="007A2AD4" w:rsidRPr="00BB5174" w:rsidRDefault="007A2AD4" w:rsidP="00107045">
            <w:pPr>
              <w:ind w:firstLineChars="250" w:firstLine="525"/>
              <w:rPr>
                <w:rFonts w:ascii="Calibri" w:hAnsi="Calibri"/>
                <w:szCs w:val="21"/>
              </w:rPr>
            </w:pPr>
            <w:r>
              <w:rPr>
                <w:rFonts w:ascii="Calibri" w:hAnsi="Calibri" w:hint="eastAsia"/>
                <w:szCs w:val="21"/>
              </w:rPr>
              <w:t>污水处理区</w:t>
            </w:r>
          </w:p>
        </w:tc>
        <w:tc>
          <w:tcPr>
            <w:tcW w:w="1267" w:type="pct"/>
            <w:vMerge w:val="restart"/>
            <w:tcBorders>
              <w:left w:val="single" w:sz="4" w:space="0" w:color="auto"/>
              <w:right w:val="single" w:sz="4" w:space="0" w:color="auto"/>
            </w:tcBorders>
            <w:vAlign w:val="center"/>
          </w:tcPr>
          <w:p w14:paraId="7F96F4F4" w14:textId="77777777" w:rsidR="007A2AD4" w:rsidRPr="00BB5174" w:rsidRDefault="007A2AD4" w:rsidP="00107045">
            <w:pPr>
              <w:jc w:val="center"/>
              <w:rPr>
                <w:rFonts w:ascii="Calibri" w:hAnsi="Calibri"/>
                <w:szCs w:val="21"/>
              </w:rPr>
            </w:pPr>
            <w:r w:rsidRPr="00BB5174">
              <w:rPr>
                <w:rFonts w:ascii="Calibri" w:hAnsi="Calibri" w:hint="eastAsia"/>
                <w:szCs w:val="21"/>
              </w:rPr>
              <w:t>污染物</w:t>
            </w:r>
          </w:p>
        </w:tc>
        <w:tc>
          <w:tcPr>
            <w:tcW w:w="2563" w:type="pct"/>
            <w:gridSpan w:val="2"/>
            <w:tcBorders>
              <w:left w:val="single" w:sz="4" w:space="0" w:color="auto"/>
            </w:tcBorders>
            <w:vAlign w:val="center"/>
          </w:tcPr>
          <w:p w14:paraId="5D403418" w14:textId="77777777" w:rsidR="007A2AD4" w:rsidRPr="00BB5174" w:rsidRDefault="007A2AD4" w:rsidP="00107045">
            <w:pPr>
              <w:jc w:val="center"/>
              <w:rPr>
                <w:rFonts w:ascii="Calibri" w:hAnsi="Calibri"/>
                <w:szCs w:val="21"/>
              </w:rPr>
            </w:pPr>
            <w:r w:rsidRPr="00BB5174">
              <w:rPr>
                <w:rFonts w:ascii="Calibri" w:hAnsi="Calibri" w:hint="eastAsia"/>
                <w:szCs w:val="21"/>
              </w:rPr>
              <w:t>无组织排放量</w:t>
            </w:r>
          </w:p>
        </w:tc>
      </w:tr>
      <w:tr w:rsidR="007A2AD4" w:rsidRPr="00BB5174" w14:paraId="3E476F23" w14:textId="77777777" w:rsidTr="00ED4172">
        <w:trPr>
          <w:trHeight w:val="284"/>
        </w:trPr>
        <w:tc>
          <w:tcPr>
            <w:tcW w:w="1170" w:type="pct"/>
            <w:vMerge/>
            <w:tcBorders>
              <w:right w:val="single" w:sz="4" w:space="0" w:color="auto"/>
            </w:tcBorders>
            <w:vAlign w:val="center"/>
          </w:tcPr>
          <w:p w14:paraId="4AAC3F6E" w14:textId="77777777" w:rsidR="007A2AD4" w:rsidRPr="00BB5174" w:rsidRDefault="007A2AD4" w:rsidP="00107045">
            <w:pPr>
              <w:jc w:val="center"/>
              <w:rPr>
                <w:rFonts w:ascii="Calibri" w:hAnsi="Calibri"/>
                <w:szCs w:val="21"/>
              </w:rPr>
            </w:pPr>
          </w:p>
        </w:tc>
        <w:tc>
          <w:tcPr>
            <w:tcW w:w="1267" w:type="pct"/>
            <w:vMerge/>
            <w:tcBorders>
              <w:left w:val="single" w:sz="4" w:space="0" w:color="auto"/>
              <w:right w:val="single" w:sz="4" w:space="0" w:color="auto"/>
            </w:tcBorders>
            <w:vAlign w:val="center"/>
          </w:tcPr>
          <w:p w14:paraId="4D0A4BAF" w14:textId="77777777" w:rsidR="007A2AD4" w:rsidRPr="00BB5174" w:rsidRDefault="007A2AD4" w:rsidP="00107045">
            <w:pPr>
              <w:jc w:val="center"/>
              <w:rPr>
                <w:rFonts w:ascii="Calibri" w:hAnsi="Calibri"/>
                <w:szCs w:val="21"/>
              </w:rPr>
            </w:pPr>
          </w:p>
        </w:tc>
        <w:tc>
          <w:tcPr>
            <w:tcW w:w="1283" w:type="pct"/>
            <w:tcBorders>
              <w:left w:val="single" w:sz="4" w:space="0" w:color="auto"/>
            </w:tcBorders>
            <w:vAlign w:val="center"/>
          </w:tcPr>
          <w:p w14:paraId="1F06588F" w14:textId="77777777" w:rsidR="007A2AD4" w:rsidRPr="007A2AD4" w:rsidRDefault="007A2AD4" w:rsidP="00107045">
            <w:pPr>
              <w:jc w:val="center"/>
              <w:rPr>
                <w:rFonts w:ascii="Calibri" w:hAnsi="Calibri"/>
              </w:rPr>
            </w:pPr>
            <w:r w:rsidRPr="007A2AD4">
              <w:rPr>
                <w:rFonts w:ascii="Calibri" w:hAnsi="Calibri"/>
              </w:rPr>
              <w:t>kg/h</w:t>
            </w:r>
          </w:p>
        </w:tc>
        <w:tc>
          <w:tcPr>
            <w:tcW w:w="1280" w:type="pct"/>
            <w:tcBorders>
              <w:left w:val="single" w:sz="4" w:space="0" w:color="auto"/>
            </w:tcBorders>
            <w:vAlign w:val="center"/>
          </w:tcPr>
          <w:p w14:paraId="51803393" w14:textId="77777777" w:rsidR="007A2AD4" w:rsidRPr="007A2AD4" w:rsidRDefault="007A2AD4" w:rsidP="00107045">
            <w:pPr>
              <w:jc w:val="center"/>
              <w:rPr>
                <w:rFonts w:ascii="Calibri" w:hAnsi="Calibri"/>
              </w:rPr>
            </w:pPr>
            <w:r w:rsidRPr="007A2AD4">
              <w:rPr>
                <w:rFonts w:ascii="Calibri" w:hAnsi="Calibri"/>
              </w:rPr>
              <w:t>t/a</w:t>
            </w:r>
          </w:p>
        </w:tc>
      </w:tr>
      <w:tr w:rsidR="007A2AD4" w:rsidRPr="00BB5174" w14:paraId="12E909CC" w14:textId="77777777" w:rsidTr="00ED4172">
        <w:trPr>
          <w:trHeight w:val="284"/>
        </w:trPr>
        <w:tc>
          <w:tcPr>
            <w:tcW w:w="1170" w:type="pct"/>
            <w:vMerge/>
            <w:tcBorders>
              <w:right w:val="single" w:sz="4" w:space="0" w:color="auto"/>
            </w:tcBorders>
            <w:vAlign w:val="center"/>
          </w:tcPr>
          <w:p w14:paraId="557F584C" w14:textId="77777777" w:rsidR="007A2AD4" w:rsidRPr="00BB5174" w:rsidRDefault="007A2AD4" w:rsidP="00107045">
            <w:pPr>
              <w:jc w:val="center"/>
              <w:rPr>
                <w:rFonts w:ascii="Calibri" w:hAnsi="Calibri"/>
                <w:szCs w:val="21"/>
              </w:rPr>
            </w:pPr>
          </w:p>
        </w:tc>
        <w:tc>
          <w:tcPr>
            <w:tcW w:w="1267" w:type="pct"/>
            <w:tcBorders>
              <w:left w:val="single" w:sz="4" w:space="0" w:color="auto"/>
              <w:right w:val="single" w:sz="4" w:space="0" w:color="auto"/>
            </w:tcBorders>
            <w:vAlign w:val="center"/>
          </w:tcPr>
          <w:p w14:paraId="116B397F" w14:textId="77777777" w:rsidR="007A2AD4" w:rsidRPr="00ED0EBD" w:rsidRDefault="007A2AD4" w:rsidP="00107045">
            <w:pPr>
              <w:jc w:val="center"/>
              <w:rPr>
                <w:rFonts w:ascii="Calibri" w:hAnsi="Calibri"/>
                <w:szCs w:val="21"/>
              </w:rPr>
            </w:pPr>
            <w:r w:rsidRPr="00ED0EBD">
              <w:rPr>
                <w:rFonts w:ascii="Calibri" w:hAnsi="Calibri" w:hint="eastAsia"/>
              </w:rPr>
              <w:t>氨</w:t>
            </w:r>
          </w:p>
        </w:tc>
        <w:tc>
          <w:tcPr>
            <w:tcW w:w="1283" w:type="pct"/>
            <w:tcBorders>
              <w:left w:val="single" w:sz="4" w:space="0" w:color="auto"/>
            </w:tcBorders>
            <w:vAlign w:val="center"/>
          </w:tcPr>
          <w:p w14:paraId="59898777" w14:textId="555F696F" w:rsidR="007A2AD4" w:rsidRPr="007A2AD4" w:rsidRDefault="00F655B8" w:rsidP="00B71687">
            <w:pPr>
              <w:jc w:val="center"/>
              <w:rPr>
                <w:rFonts w:ascii="Calibri" w:hAnsi="Calibri"/>
              </w:rPr>
            </w:pPr>
            <w:r>
              <w:rPr>
                <w:rFonts w:ascii="Calibri" w:hAnsi="Calibri" w:hint="eastAsia"/>
              </w:rPr>
              <w:t>0.000</w:t>
            </w:r>
            <w:r w:rsidR="00B71687">
              <w:rPr>
                <w:rFonts w:ascii="Calibri" w:hAnsi="Calibri"/>
              </w:rPr>
              <w:t>28</w:t>
            </w:r>
          </w:p>
        </w:tc>
        <w:tc>
          <w:tcPr>
            <w:tcW w:w="1280" w:type="pct"/>
            <w:tcBorders>
              <w:left w:val="single" w:sz="4" w:space="0" w:color="auto"/>
            </w:tcBorders>
            <w:vAlign w:val="center"/>
          </w:tcPr>
          <w:p w14:paraId="0C1EC144" w14:textId="2746A4C0" w:rsidR="007A2AD4" w:rsidRPr="007A2AD4" w:rsidRDefault="00B71687" w:rsidP="00107045">
            <w:pPr>
              <w:jc w:val="center"/>
              <w:rPr>
                <w:rFonts w:ascii="Calibri" w:hAnsi="Calibri"/>
              </w:rPr>
            </w:pPr>
            <w:r>
              <w:rPr>
                <w:rFonts w:ascii="Calibri" w:hAnsi="Calibri"/>
              </w:rPr>
              <w:t>0.002</w:t>
            </w:r>
          </w:p>
        </w:tc>
      </w:tr>
      <w:tr w:rsidR="007A2AD4" w:rsidRPr="00BB5174" w14:paraId="7D23E2D4" w14:textId="77777777" w:rsidTr="00ED4172">
        <w:trPr>
          <w:trHeight w:val="284"/>
        </w:trPr>
        <w:tc>
          <w:tcPr>
            <w:tcW w:w="1170" w:type="pct"/>
            <w:vMerge/>
            <w:tcBorders>
              <w:right w:val="single" w:sz="4" w:space="0" w:color="auto"/>
            </w:tcBorders>
            <w:vAlign w:val="center"/>
          </w:tcPr>
          <w:p w14:paraId="1129A483" w14:textId="77777777" w:rsidR="007A2AD4" w:rsidRPr="00BB5174" w:rsidRDefault="007A2AD4" w:rsidP="00107045">
            <w:pPr>
              <w:jc w:val="center"/>
              <w:rPr>
                <w:rFonts w:ascii="Calibri" w:hAnsi="Calibri"/>
                <w:szCs w:val="21"/>
              </w:rPr>
            </w:pPr>
          </w:p>
        </w:tc>
        <w:tc>
          <w:tcPr>
            <w:tcW w:w="1267" w:type="pct"/>
            <w:tcBorders>
              <w:left w:val="single" w:sz="4" w:space="0" w:color="auto"/>
              <w:right w:val="single" w:sz="4" w:space="0" w:color="auto"/>
            </w:tcBorders>
            <w:vAlign w:val="center"/>
          </w:tcPr>
          <w:p w14:paraId="0599016C" w14:textId="77777777" w:rsidR="007A2AD4" w:rsidRPr="00ED0EBD" w:rsidRDefault="007A2AD4" w:rsidP="00107045">
            <w:pPr>
              <w:jc w:val="center"/>
              <w:rPr>
                <w:rFonts w:ascii="Calibri" w:hAnsi="Calibri"/>
                <w:szCs w:val="21"/>
              </w:rPr>
            </w:pPr>
            <w:r w:rsidRPr="00ED0EBD">
              <w:rPr>
                <w:rFonts w:ascii="Calibri" w:hAnsi="Calibri" w:hint="eastAsia"/>
              </w:rPr>
              <w:t>硫化氢</w:t>
            </w:r>
          </w:p>
        </w:tc>
        <w:tc>
          <w:tcPr>
            <w:tcW w:w="1283" w:type="pct"/>
            <w:tcBorders>
              <w:left w:val="single" w:sz="4" w:space="0" w:color="auto"/>
            </w:tcBorders>
            <w:vAlign w:val="center"/>
          </w:tcPr>
          <w:p w14:paraId="59D838D1" w14:textId="774EF7A6" w:rsidR="007A2AD4" w:rsidRPr="007A2AD4" w:rsidRDefault="00F655B8" w:rsidP="00B71687">
            <w:pPr>
              <w:jc w:val="center"/>
              <w:rPr>
                <w:rFonts w:ascii="Calibri" w:hAnsi="Calibri"/>
              </w:rPr>
            </w:pPr>
            <w:r>
              <w:rPr>
                <w:rFonts w:ascii="Calibri" w:hAnsi="Calibri"/>
              </w:rPr>
              <w:t>0.0000</w:t>
            </w:r>
            <w:r w:rsidR="00B71687">
              <w:rPr>
                <w:rFonts w:ascii="Calibri" w:hAnsi="Calibri"/>
              </w:rPr>
              <w:t>14</w:t>
            </w:r>
          </w:p>
        </w:tc>
        <w:tc>
          <w:tcPr>
            <w:tcW w:w="1280" w:type="pct"/>
            <w:tcBorders>
              <w:left w:val="single" w:sz="4" w:space="0" w:color="auto"/>
            </w:tcBorders>
            <w:vAlign w:val="center"/>
          </w:tcPr>
          <w:p w14:paraId="570886B0" w14:textId="53BD7B4C" w:rsidR="007A2AD4" w:rsidRPr="007A2AD4" w:rsidRDefault="00B71687" w:rsidP="00F655B8">
            <w:pPr>
              <w:jc w:val="center"/>
              <w:rPr>
                <w:rFonts w:ascii="Calibri" w:hAnsi="Calibri"/>
              </w:rPr>
            </w:pPr>
            <w:r>
              <w:rPr>
                <w:rFonts w:ascii="Calibri" w:hAnsi="Calibri"/>
              </w:rPr>
              <w:t>0.0001</w:t>
            </w:r>
          </w:p>
        </w:tc>
      </w:tr>
      <w:tr w:rsidR="007A2AD4" w:rsidRPr="00BB5174" w14:paraId="7BBA2C26" w14:textId="77777777" w:rsidTr="00ED4172">
        <w:trPr>
          <w:trHeight w:val="284"/>
        </w:trPr>
        <w:tc>
          <w:tcPr>
            <w:tcW w:w="1170" w:type="pct"/>
            <w:vMerge/>
            <w:tcBorders>
              <w:right w:val="single" w:sz="4" w:space="0" w:color="auto"/>
            </w:tcBorders>
            <w:vAlign w:val="center"/>
          </w:tcPr>
          <w:p w14:paraId="64C1D780" w14:textId="77777777" w:rsidR="007A2AD4" w:rsidRPr="00BB5174" w:rsidRDefault="007A2AD4" w:rsidP="00107045">
            <w:pPr>
              <w:jc w:val="center"/>
              <w:rPr>
                <w:rFonts w:ascii="Calibri" w:hAnsi="Calibri"/>
                <w:szCs w:val="21"/>
              </w:rPr>
            </w:pPr>
          </w:p>
        </w:tc>
        <w:tc>
          <w:tcPr>
            <w:tcW w:w="1267" w:type="pct"/>
            <w:tcBorders>
              <w:left w:val="single" w:sz="4" w:space="0" w:color="auto"/>
              <w:right w:val="single" w:sz="4" w:space="0" w:color="auto"/>
            </w:tcBorders>
            <w:vAlign w:val="center"/>
          </w:tcPr>
          <w:p w14:paraId="7B752655" w14:textId="5CCB3442" w:rsidR="007A2AD4" w:rsidRPr="00ED0EBD" w:rsidRDefault="001A69CC" w:rsidP="00107045">
            <w:pPr>
              <w:jc w:val="center"/>
              <w:rPr>
                <w:rFonts w:ascii="Calibri" w:hAnsi="Calibri"/>
              </w:rPr>
            </w:pPr>
            <w:r>
              <w:rPr>
                <w:rFonts w:ascii="Calibri" w:hAnsi="Calibri" w:hint="eastAsia"/>
                <w:bCs/>
                <w:color w:val="auto"/>
              </w:rPr>
              <w:t>非甲烷</w:t>
            </w:r>
            <w:r>
              <w:rPr>
                <w:rFonts w:ascii="Calibri" w:hAnsi="Calibri"/>
                <w:bCs/>
                <w:color w:val="auto"/>
              </w:rPr>
              <w:t>总烃</w:t>
            </w:r>
          </w:p>
        </w:tc>
        <w:tc>
          <w:tcPr>
            <w:tcW w:w="1283" w:type="pct"/>
            <w:tcBorders>
              <w:left w:val="single" w:sz="4" w:space="0" w:color="auto"/>
            </w:tcBorders>
            <w:vAlign w:val="center"/>
          </w:tcPr>
          <w:p w14:paraId="584C8D1A" w14:textId="78ED96B0" w:rsidR="007A2AD4" w:rsidRPr="007A2AD4" w:rsidRDefault="00E52447" w:rsidP="00107045">
            <w:pPr>
              <w:jc w:val="center"/>
              <w:rPr>
                <w:rFonts w:ascii="Calibri" w:hAnsi="Calibri"/>
              </w:rPr>
            </w:pPr>
            <w:r>
              <w:rPr>
                <w:rFonts w:ascii="Calibri" w:hAnsi="Calibri"/>
              </w:rPr>
              <w:t>0.00056</w:t>
            </w:r>
          </w:p>
        </w:tc>
        <w:tc>
          <w:tcPr>
            <w:tcW w:w="1280" w:type="pct"/>
            <w:tcBorders>
              <w:left w:val="single" w:sz="4" w:space="0" w:color="auto"/>
            </w:tcBorders>
            <w:vAlign w:val="center"/>
          </w:tcPr>
          <w:p w14:paraId="0BCE12F6" w14:textId="483E80D4" w:rsidR="007A2AD4" w:rsidRPr="007A2AD4" w:rsidRDefault="00E52447" w:rsidP="00107045">
            <w:pPr>
              <w:jc w:val="center"/>
              <w:rPr>
                <w:rFonts w:ascii="Calibri" w:hAnsi="Calibri"/>
              </w:rPr>
            </w:pPr>
            <w:r>
              <w:rPr>
                <w:rFonts w:ascii="Calibri" w:hAnsi="Calibri"/>
              </w:rPr>
              <w:t>0.004</w:t>
            </w:r>
          </w:p>
        </w:tc>
      </w:tr>
    </w:tbl>
    <w:p w14:paraId="0446552A" w14:textId="77777777" w:rsidR="00B71687" w:rsidRDefault="00B71687" w:rsidP="00A650D1">
      <w:pPr>
        <w:pStyle w:val="ad"/>
        <w:ind w:firstLineChars="200" w:firstLine="562"/>
        <w:rPr>
          <w:rFonts w:ascii="Calibri" w:hAnsi="Calibri"/>
          <w:color w:val="auto"/>
        </w:rPr>
      </w:pPr>
    </w:p>
    <w:p w14:paraId="303CA445" w14:textId="20F8CFBD" w:rsidR="004C05B2" w:rsidRPr="00A964FF" w:rsidRDefault="001D3D21" w:rsidP="00A650D1">
      <w:pPr>
        <w:pStyle w:val="ad"/>
        <w:ind w:firstLineChars="200" w:firstLine="562"/>
        <w:rPr>
          <w:rFonts w:ascii="Calibri" w:hAnsi="Calibri"/>
          <w:color w:val="auto"/>
          <w:sz w:val="24"/>
        </w:rPr>
      </w:pPr>
      <w:r>
        <w:rPr>
          <w:rFonts w:ascii="Calibri" w:hAnsi="Calibri"/>
          <w:color w:val="auto"/>
        </w:rPr>
        <w:lastRenderedPageBreak/>
        <w:t>7</w:t>
      </w:r>
      <w:r w:rsidR="00A650D1">
        <w:rPr>
          <w:rFonts w:ascii="Calibri" w:hAnsi="Calibri" w:hint="eastAsia"/>
          <w:color w:val="auto"/>
        </w:rPr>
        <w:t>、</w:t>
      </w:r>
      <w:r w:rsidR="004C05B2">
        <w:rPr>
          <w:rFonts w:ascii="Calibri" w:hAnsi="Calibri" w:hint="eastAsia"/>
          <w:color w:val="auto"/>
        </w:rPr>
        <w:t>职工食堂</w:t>
      </w:r>
    </w:p>
    <w:p w14:paraId="2176A54A" w14:textId="77777777" w:rsidR="004C05B2" w:rsidRDefault="004C05B2" w:rsidP="004C05B2">
      <w:pPr>
        <w:pStyle w:val="00"/>
        <w:spacing w:line="500" w:lineRule="exact"/>
        <w:jc w:val="left"/>
        <w:rPr>
          <w:rFonts w:ascii="Calibri" w:hAnsi="Calibri"/>
          <w:color w:val="auto"/>
        </w:rPr>
      </w:pPr>
      <w:r>
        <w:rPr>
          <w:rFonts w:ascii="Calibri" w:hAnsi="Calibri"/>
          <w:color w:val="auto"/>
        </w:rPr>
        <w:t>（</w:t>
      </w:r>
      <w:r>
        <w:rPr>
          <w:rFonts w:ascii="Calibri" w:hAnsi="Calibri"/>
          <w:color w:val="auto"/>
        </w:rPr>
        <w:t>1</w:t>
      </w:r>
      <w:r>
        <w:rPr>
          <w:rFonts w:ascii="Calibri" w:hAnsi="Calibri"/>
          <w:color w:val="auto"/>
        </w:rPr>
        <w:t>）燃料废气</w:t>
      </w:r>
    </w:p>
    <w:p w14:paraId="5FAFC087" w14:textId="77777777" w:rsidR="004C05B2" w:rsidRDefault="004C05B2" w:rsidP="004C05B2">
      <w:pPr>
        <w:pStyle w:val="00"/>
        <w:jc w:val="left"/>
        <w:rPr>
          <w:rFonts w:ascii="Calibri" w:hAnsi="Calibri"/>
          <w:color w:val="auto"/>
        </w:rPr>
      </w:pPr>
      <w:r>
        <w:rPr>
          <w:rFonts w:ascii="Calibri" w:hAnsi="Calibri"/>
          <w:color w:val="auto"/>
        </w:rPr>
        <w:t>本项目营运后职工食堂燃料采用天然气为燃料，用量较少，其燃烧产生的二氧化硫、氮氧化物等污染物量很少，本评价不再进行定量计算。</w:t>
      </w:r>
    </w:p>
    <w:p w14:paraId="7479E12B" w14:textId="77777777" w:rsidR="004C05B2" w:rsidRDefault="004C05B2" w:rsidP="004C05B2">
      <w:pPr>
        <w:pStyle w:val="00"/>
        <w:jc w:val="left"/>
        <w:rPr>
          <w:rFonts w:ascii="Calibri" w:hAnsi="Calibri"/>
          <w:color w:val="auto"/>
        </w:rPr>
      </w:pPr>
      <w:r>
        <w:rPr>
          <w:rFonts w:ascii="Calibri" w:hAnsi="Calibri"/>
          <w:color w:val="auto"/>
        </w:rPr>
        <w:t>（</w:t>
      </w:r>
      <w:r>
        <w:rPr>
          <w:rFonts w:ascii="Calibri" w:hAnsi="Calibri"/>
          <w:color w:val="auto"/>
        </w:rPr>
        <w:t>2</w:t>
      </w:r>
      <w:r>
        <w:rPr>
          <w:rFonts w:ascii="Calibri" w:hAnsi="Calibri"/>
          <w:color w:val="auto"/>
        </w:rPr>
        <w:t>）食堂油烟</w:t>
      </w:r>
    </w:p>
    <w:p w14:paraId="02C01E91" w14:textId="29062F33" w:rsidR="00107045" w:rsidRPr="00713EA1" w:rsidRDefault="004C05B2" w:rsidP="00713EA1">
      <w:pPr>
        <w:pStyle w:val="00"/>
        <w:jc w:val="left"/>
        <w:rPr>
          <w:rFonts w:ascii="Calibri" w:hAnsi="Calibri"/>
          <w:color w:val="auto"/>
        </w:rPr>
      </w:pPr>
      <w:r>
        <w:rPr>
          <w:rFonts w:ascii="Calibri" w:hAnsi="Calibri"/>
          <w:color w:val="auto"/>
        </w:rPr>
        <w:t>本项目</w:t>
      </w:r>
      <w:r w:rsidR="005E5F3B">
        <w:rPr>
          <w:rFonts w:ascii="Calibri" w:hAnsi="Calibri" w:hint="eastAsia"/>
          <w:color w:val="auto"/>
        </w:rPr>
        <w:t>一期、</w:t>
      </w:r>
      <w:r w:rsidR="005E5F3B">
        <w:rPr>
          <w:rFonts w:ascii="Calibri" w:hAnsi="Calibri"/>
          <w:color w:val="auto"/>
        </w:rPr>
        <w:t>二期合计</w:t>
      </w:r>
      <w:r>
        <w:rPr>
          <w:rFonts w:ascii="Calibri" w:hAnsi="Calibri"/>
          <w:color w:val="auto"/>
        </w:rPr>
        <w:t>职工定员</w:t>
      </w:r>
      <w:r w:rsidR="00920505">
        <w:rPr>
          <w:rFonts w:ascii="Calibri" w:hAnsi="Calibri"/>
          <w:color w:val="auto"/>
        </w:rPr>
        <w:t>120</w:t>
      </w:r>
      <w:r>
        <w:rPr>
          <w:rFonts w:ascii="Calibri" w:hAnsi="Calibri"/>
          <w:color w:val="auto"/>
        </w:rPr>
        <w:t>人，厂区设置食堂</w:t>
      </w:r>
      <w:r>
        <w:rPr>
          <w:rFonts w:ascii="Calibri" w:hAnsi="Calibri"/>
          <w:color w:val="auto"/>
        </w:rPr>
        <w:t>1</w:t>
      </w:r>
      <w:r>
        <w:rPr>
          <w:rFonts w:ascii="Calibri" w:hAnsi="Calibri"/>
          <w:color w:val="auto"/>
        </w:rPr>
        <w:t>座，内设置</w:t>
      </w:r>
      <w:r>
        <w:rPr>
          <w:rFonts w:ascii="Calibri" w:hAnsi="Calibri" w:hint="eastAsia"/>
          <w:color w:val="auto"/>
        </w:rPr>
        <w:t>3</w:t>
      </w:r>
      <w:r>
        <w:rPr>
          <w:rFonts w:ascii="Calibri" w:hAnsi="Calibri"/>
          <w:color w:val="auto"/>
        </w:rPr>
        <w:t>个基准灶头，每天运行</w:t>
      </w:r>
      <w:r>
        <w:rPr>
          <w:rFonts w:ascii="Calibri" w:hAnsi="Calibri"/>
          <w:color w:val="auto"/>
        </w:rPr>
        <w:t>6h</w:t>
      </w:r>
      <w:r>
        <w:rPr>
          <w:rFonts w:ascii="Calibri" w:hAnsi="Calibri"/>
          <w:color w:val="auto"/>
        </w:rPr>
        <w:t>。根据《河南省餐饮业油烟污染物排放标准》（编制说明），餐饮服务单位油烟基准浓度范围为</w:t>
      </w:r>
      <w:r>
        <w:rPr>
          <w:rFonts w:ascii="Calibri" w:hAnsi="Calibri"/>
          <w:color w:val="auto"/>
        </w:rPr>
        <w:t>3.51</w:t>
      </w:r>
      <w:r>
        <w:rPr>
          <w:rFonts w:ascii="Calibri" w:hAnsi="Calibri"/>
          <w:color w:val="auto"/>
        </w:rPr>
        <w:t>～</w:t>
      </w:r>
      <w:r>
        <w:rPr>
          <w:rFonts w:ascii="Calibri" w:hAnsi="Calibri"/>
          <w:color w:val="auto"/>
        </w:rPr>
        <w:t>34.83mg/m</w:t>
      </w:r>
      <w:r>
        <w:rPr>
          <w:rFonts w:ascii="Calibri" w:hAnsi="Calibri"/>
          <w:color w:val="auto"/>
          <w:vertAlign w:val="superscript"/>
        </w:rPr>
        <w:t>3</w:t>
      </w:r>
      <w:r>
        <w:rPr>
          <w:rFonts w:ascii="Calibri" w:hAnsi="Calibri"/>
          <w:color w:val="auto"/>
        </w:rPr>
        <w:t>，浓度均值为</w:t>
      </w:r>
      <w:r>
        <w:rPr>
          <w:rFonts w:ascii="Calibri" w:hAnsi="Calibri"/>
          <w:color w:val="auto"/>
        </w:rPr>
        <w:t>12mg/m</w:t>
      </w:r>
      <w:r>
        <w:rPr>
          <w:rFonts w:ascii="Calibri" w:hAnsi="Calibri"/>
          <w:color w:val="auto"/>
          <w:vertAlign w:val="superscript"/>
        </w:rPr>
        <w:t>3</w:t>
      </w:r>
      <w:r>
        <w:rPr>
          <w:rFonts w:ascii="Calibri" w:hAnsi="Calibri"/>
          <w:color w:val="auto"/>
        </w:rPr>
        <w:t>；非甲烷总烃基准浓度范围为</w:t>
      </w:r>
      <w:r>
        <w:rPr>
          <w:rFonts w:ascii="Calibri" w:hAnsi="Calibri"/>
          <w:color w:val="auto"/>
        </w:rPr>
        <w:t>5.22</w:t>
      </w:r>
      <w:r>
        <w:rPr>
          <w:rFonts w:ascii="Calibri" w:hAnsi="Calibri"/>
          <w:color w:val="auto"/>
        </w:rPr>
        <w:t>～</w:t>
      </w:r>
      <w:r>
        <w:rPr>
          <w:rFonts w:ascii="Calibri" w:hAnsi="Calibri"/>
          <w:color w:val="auto"/>
        </w:rPr>
        <w:t>42.0mg/m</w:t>
      </w:r>
      <w:r>
        <w:rPr>
          <w:rFonts w:ascii="Calibri" w:hAnsi="Calibri"/>
          <w:color w:val="auto"/>
          <w:vertAlign w:val="superscript"/>
        </w:rPr>
        <w:t>3</w:t>
      </w:r>
      <w:r>
        <w:rPr>
          <w:rFonts w:ascii="Calibri" w:hAnsi="Calibri"/>
          <w:color w:val="auto"/>
        </w:rPr>
        <w:t>，浓度均值为</w:t>
      </w:r>
      <w:r>
        <w:rPr>
          <w:rFonts w:ascii="Calibri" w:hAnsi="Calibri"/>
          <w:color w:val="auto"/>
        </w:rPr>
        <w:t>20.23mg/m</w:t>
      </w:r>
      <w:r>
        <w:rPr>
          <w:rFonts w:ascii="Calibri" w:hAnsi="Calibri"/>
          <w:color w:val="auto"/>
          <w:vertAlign w:val="superscript"/>
        </w:rPr>
        <w:t>3</w:t>
      </w:r>
      <w:r>
        <w:rPr>
          <w:rFonts w:ascii="Calibri" w:hAnsi="Calibri"/>
          <w:color w:val="auto"/>
        </w:rPr>
        <w:t>；本环评按均值计算。本项目单个基准灶头的排放量为</w:t>
      </w:r>
      <w:r>
        <w:rPr>
          <w:rFonts w:ascii="Calibri" w:hAnsi="Calibri"/>
          <w:color w:val="auto"/>
        </w:rPr>
        <w:t>2000m³/h</w:t>
      </w:r>
      <w:r>
        <w:rPr>
          <w:rFonts w:ascii="Calibri" w:hAnsi="Calibri"/>
          <w:color w:val="auto"/>
        </w:rPr>
        <w:t>，评价要求职工食堂安装风量为</w:t>
      </w:r>
      <w:r>
        <w:rPr>
          <w:rFonts w:ascii="Calibri" w:hAnsi="Calibri" w:hint="eastAsia"/>
          <w:color w:val="auto"/>
        </w:rPr>
        <w:t>6</w:t>
      </w:r>
      <w:r>
        <w:rPr>
          <w:rFonts w:ascii="Calibri" w:hAnsi="Calibri"/>
          <w:color w:val="auto"/>
        </w:rPr>
        <w:t>000m³/h</w:t>
      </w:r>
      <w:r>
        <w:rPr>
          <w:rFonts w:ascii="Calibri" w:hAnsi="Calibri"/>
          <w:color w:val="auto"/>
        </w:rPr>
        <w:t>，去除率分别为油烟</w:t>
      </w:r>
      <w:r>
        <w:rPr>
          <w:rFonts w:ascii="Calibri" w:hAnsi="Calibri" w:hint="eastAsia"/>
          <w:color w:val="auto"/>
        </w:rPr>
        <w:t>90</w:t>
      </w:r>
      <w:r>
        <w:rPr>
          <w:rFonts w:ascii="Calibri" w:hAnsi="Calibri"/>
          <w:color w:val="auto"/>
        </w:rPr>
        <w:t>%</w:t>
      </w:r>
      <w:r>
        <w:rPr>
          <w:rFonts w:ascii="Calibri" w:hAnsi="Calibri"/>
          <w:color w:val="auto"/>
        </w:rPr>
        <w:t>、非甲烷总烃</w:t>
      </w:r>
      <w:r>
        <w:rPr>
          <w:rFonts w:ascii="Calibri" w:hAnsi="Calibri"/>
          <w:color w:val="auto"/>
        </w:rPr>
        <w:t>80%</w:t>
      </w:r>
      <w:r>
        <w:rPr>
          <w:rFonts w:ascii="Calibri" w:hAnsi="Calibri"/>
          <w:color w:val="auto"/>
        </w:rPr>
        <w:t>的复合式静电油烟净化器，食堂油烟污染物产排情况见表</w:t>
      </w:r>
      <w:r w:rsidR="005E5F3B">
        <w:rPr>
          <w:rFonts w:ascii="Calibri" w:hAnsi="Calibri"/>
          <w:color w:val="auto"/>
        </w:rPr>
        <w:t>2.3-1</w:t>
      </w:r>
      <w:r w:rsidR="00B71687">
        <w:rPr>
          <w:rFonts w:ascii="Calibri" w:hAnsi="Calibri"/>
          <w:color w:val="auto"/>
        </w:rPr>
        <w:t>2</w:t>
      </w:r>
      <w:r>
        <w:rPr>
          <w:rFonts w:ascii="Calibri" w:hAnsi="Calibri"/>
          <w:color w:val="auto"/>
        </w:rPr>
        <w:t>。</w:t>
      </w:r>
    </w:p>
    <w:p w14:paraId="1F61628A" w14:textId="2EED42D6" w:rsidR="004C05B2" w:rsidRDefault="004C05B2" w:rsidP="004C05B2">
      <w:pPr>
        <w:spacing w:line="520" w:lineRule="exact"/>
        <w:ind w:firstLineChars="200" w:firstLine="480"/>
        <w:rPr>
          <w:rFonts w:ascii="Calibri" w:eastAsia="黑体" w:hAnsi="Calibri"/>
          <w:color w:val="auto"/>
          <w:sz w:val="24"/>
        </w:rPr>
      </w:pPr>
      <w:r>
        <w:rPr>
          <w:rFonts w:ascii="Calibri" w:eastAsia="黑体" w:hAnsi="Calibri"/>
          <w:color w:val="auto"/>
          <w:sz w:val="24"/>
        </w:rPr>
        <w:t>表</w:t>
      </w:r>
      <w:r w:rsidR="00B71687">
        <w:rPr>
          <w:rFonts w:ascii="Calibri" w:eastAsia="黑体" w:hAnsi="Calibri"/>
          <w:color w:val="auto"/>
          <w:sz w:val="24"/>
        </w:rPr>
        <w:t>2.3-12</w:t>
      </w:r>
      <w:r>
        <w:rPr>
          <w:rFonts w:ascii="Calibri" w:eastAsia="黑体" w:hAnsi="Calibri"/>
          <w:color w:val="auto"/>
          <w:sz w:val="24"/>
        </w:rPr>
        <w:t xml:space="preserve">             </w:t>
      </w:r>
      <w:r>
        <w:rPr>
          <w:rFonts w:ascii="Calibri" w:eastAsia="黑体" w:hAnsi="Calibri"/>
          <w:color w:val="auto"/>
          <w:sz w:val="24"/>
        </w:rPr>
        <w:t>食堂油烟废气污染物产排情况</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207"/>
        <w:gridCol w:w="1240"/>
        <w:gridCol w:w="1380"/>
        <w:gridCol w:w="2504"/>
        <w:gridCol w:w="1302"/>
        <w:gridCol w:w="1067"/>
      </w:tblGrid>
      <w:tr w:rsidR="004C05B2" w14:paraId="3EFBDD65" w14:textId="77777777" w:rsidTr="00B64EFA">
        <w:trPr>
          <w:trHeight w:val="340"/>
          <w:jc w:val="center"/>
        </w:trPr>
        <w:tc>
          <w:tcPr>
            <w:tcW w:w="694" w:type="pct"/>
            <w:vMerge w:val="restart"/>
            <w:vAlign w:val="center"/>
          </w:tcPr>
          <w:p w14:paraId="760E1502" w14:textId="77777777" w:rsidR="004C05B2" w:rsidRDefault="004C05B2" w:rsidP="00B64EFA">
            <w:pPr>
              <w:jc w:val="center"/>
              <w:rPr>
                <w:rFonts w:ascii="Calibri" w:hAnsi="Calibri"/>
                <w:color w:val="auto"/>
                <w:szCs w:val="21"/>
              </w:rPr>
            </w:pPr>
            <w:r>
              <w:rPr>
                <w:rFonts w:ascii="Calibri" w:hAnsi="Calibri"/>
                <w:color w:val="auto"/>
                <w:szCs w:val="21"/>
              </w:rPr>
              <w:t>产生单元</w:t>
            </w:r>
          </w:p>
        </w:tc>
        <w:tc>
          <w:tcPr>
            <w:tcW w:w="1506" w:type="pct"/>
            <w:gridSpan w:val="2"/>
            <w:tcBorders>
              <w:right w:val="single" w:sz="4" w:space="0" w:color="auto"/>
            </w:tcBorders>
            <w:vAlign w:val="center"/>
          </w:tcPr>
          <w:p w14:paraId="1548EC82" w14:textId="77777777" w:rsidR="004C05B2" w:rsidRDefault="004C05B2" w:rsidP="00B64EFA">
            <w:pPr>
              <w:jc w:val="center"/>
              <w:rPr>
                <w:rFonts w:ascii="Calibri" w:hAnsi="Calibri"/>
                <w:color w:val="auto"/>
                <w:szCs w:val="21"/>
              </w:rPr>
            </w:pPr>
            <w:r>
              <w:rPr>
                <w:rFonts w:ascii="Calibri" w:hAnsi="Calibri"/>
                <w:color w:val="auto"/>
                <w:szCs w:val="21"/>
              </w:rPr>
              <w:t>产生情况</w:t>
            </w:r>
          </w:p>
        </w:tc>
        <w:tc>
          <w:tcPr>
            <w:tcW w:w="1439" w:type="pct"/>
            <w:vMerge w:val="restart"/>
            <w:tcBorders>
              <w:left w:val="single" w:sz="4" w:space="0" w:color="auto"/>
            </w:tcBorders>
            <w:vAlign w:val="center"/>
          </w:tcPr>
          <w:p w14:paraId="29A5F797" w14:textId="77777777" w:rsidR="004C05B2" w:rsidRDefault="004C05B2" w:rsidP="00B64EFA">
            <w:pPr>
              <w:jc w:val="center"/>
              <w:rPr>
                <w:rFonts w:ascii="Calibri" w:hAnsi="Calibri"/>
                <w:color w:val="auto"/>
                <w:szCs w:val="21"/>
              </w:rPr>
            </w:pPr>
            <w:r>
              <w:rPr>
                <w:rFonts w:ascii="Calibri" w:hAnsi="Calibri"/>
                <w:color w:val="auto"/>
                <w:szCs w:val="21"/>
              </w:rPr>
              <w:t>治理措施</w:t>
            </w:r>
          </w:p>
        </w:tc>
        <w:tc>
          <w:tcPr>
            <w:tcW w:w="1361" w:type="pct"/>
            <w:gridSpan w:val="2"/>
            <w:tcBorders>
              <w:left w:val="single" w:sz="4" w:space="0" w:color="auto"/>
            </w:tcBorders>
            <w:vAlign w:val="center"/>
          </w:tcPr>
          <w:p w14:paraId="5F1836D1" w14:textId="77777777" w:rsidR="004C05B2" w:rsidRDefault="004C05B2" w:rsidP="00B64EFA">
            <w:pPr>
              <w:jc w:val="center"/>
              <w:rPr>
                <w:rFonts w:ascii="Calibri" w:hAnsi="Calibri"/>
                <w:color w:val="auto"/>
                <w:szCs w:val="21"/>
              </w:rPr>
            </w:pPr>
            <w:r>
              <w:rPr>
                <w:rFonts w:ascii="Calibri" w:hAnsi="Calibri"/>
                <w:color w:val="auto"/>
                <w:szCs w:val="21"/>
              </w:rPr>
              <w:t>排放情况</w:t>
            </w:r>
          </w:p>
        </w:tc>
      </w:tr>
      <w:tr w:rsidR="004C05B2" w14:paraId="7A4701CD" w14:textId="77777777" w:rsidTr="00B64EFA">
        <w:trPr>
          <w:trHeight w:val="340"/>
          <w:jc w:val="center"/>
        </w:trPr>
        <w:tc>
          <w:tcPr>
            <w:tcW w:w="694" w:type="pct"/>
            <w:vMerge/>
            <w:vAlign w:val="center"/>
          </w:tcPr>
          <w:p w14:paraId="5F6953FD" w14:textId="77777777" w:rsidR="004C05B2" w:rsidRDefault="004C05B2" w:rsidP="00B64EFA">
            <w:pPr>
              <w:jc w:val="center"/>
              <w:rPr>
                <w:rFonts w:ascii="Calibri" w:hAnsi="Calibri"/>
                <w:color w:val="auto"/>
                <w:szCs w:val="21"/>
              </w:rPr>
            </w:pPr>
          </w:p>
        </w:tc>
        <w:tc>
          <w:tcPr>
            <w:tcW w:w="713" w:type="pct"/>
            <w:tcBorders>
              <w:right w:val="single" w:sz="4" w:space="0" w:color="auto"/>
            </w:tcBorders>
            <w:vAlign w:val="center"/>
          </w:tcPr>
          <w:p w14:paraId="66C80B1E" w14:textId="77777777" w:rsidR="004C05B2" w:rsidRDefault="004C05B2" w:rsidP="00B64EFA">
            <w:pPr>
              <w:jc w:val="center"/>
              <w:rPr>
                <w:rFonts w:ascii="Calibri" w:hAnsi="Calibri"/>
                <w:color w:val="auto"/>
                <w:szCs w:val="21"/>
              </w:rPr>
            </w:pPr>
            <w:r>
              <w:rPr>
                <w:rFonts w:ascii="Calibri" w:hAnsi="Calibri"/>
                <w:color w:val="auto"/>
                <w:szCs w:val="21"/>
              </w:rPr>
              <w:t>产生浓度</w:t>
            </w:r>
          </w:p>
          <w:p w14:paraId="235F618E" w14:textId="77777777" w:rsidR="004C05B2" w:rsidRDefault="004C05B2" w:rsidP="00B64EFA">
            <w:pPr>
              <w:jc w:val="center"/>
              <w:rPr>
                <w:rFonts w:ascii="Calibri" w:hAnsi="Calibri"/>
                <w:color w:val="auto"/>
                <w:szCs w:val="21"/>
              </w:rPr>
            </w:pPr>
            <w:r>
              <w:rPr>
                <w:rFonts w:ascii="Calibri" w:hAnsi="Calibri"/>
                <w:color w:val="auto"/>
                <w:szCs w:val="21"/>
              </w:rPr>
              <w:t>（</w:t>
            </w:r>
            <w:r>
              <w:rPr>
                <w:rFonts w:ascii="Calibri" w:hAnsi="Calibri"/>
                <w:color w:val="auto"/>
                <w:szCs w:val="21"/>
              </w:rPr>
              <w:t>mg/m</w:t>
            </w:r>
            <w:r>
              <w:rPr>
                <w:rFonts w:ascii="Calibri" w:hAnsi="Calibri"/>
                <w:color w:val="auto"/>
                <w:szCs w:val="21"/>
                <w:vertAlign w:val="superscript"/>
              </w:rPr>
              <w:t>3</w:t>
            </w:r>
            <w:r>
              <w:rPr>
                <w:rFonts w:ascii="Calibri" w:hAnsi="Calibri"/>
                <w:color w:val="auto"/>
                <w:szCs w:val="21"/>
              </w:rPr>
              <w:t>）</w:t>
            </w:r>
          </w:p>
        </w:tc>
        <w:tc>
          <w:tcPr>
            <w:tcW w:w="793" w:type="pct"/>
            <w:tcBorders>
              <w:right w:val="single" w:sz="4" w:space="0" w:color="auto"/>
            </w:tcBorders>
            <w:vAlign w:val="center"/>
          </w:tcPr>
          <w:p w14:paraId="1D2E4E65" w14:textId="77777777" w:rsidR="004C05B2" w:rsidRDefault="004C05B2" w:rsidP="00B64EFA">
            <w:pPr>
              <w:jc w:val="center"/>
              <w:rPr>
                <w:rFonts w:ascii="Calibri" w:hAnsi="Calibri"/>
                <w:color w:val="auto"/>
                <w:szCs w:val="21"/>
              </w:rPr>
            </w:pPr>
            <w:r>
              <w:rPr>
                <w:rFonts w:ascii="Calibri" w:hAnsi="Calibri"/>
                <w:color w:val="auto"/>
                <w:szCs w:val="21"/>
              </w:rPr>
              <w:t>产生量</w:t>
            </w:r>
          </w:p>
          <w:p w14:paraId="148228F3" w14:textId="77777777" w:rsidR="004C05B2" w:rsidRDefault="004C05B2" w:rsidP="00B64EFA">
            <w:pPr>
              <w:jc w:val="center"/>
              <w:rPr>
                <w:rFonts w:ascii="Calibri" w:hAnsi="Calibri"/>
                <w:color w:val="auto"/>
                <w:szCs w:val="21"/>
              </w:rPr>
            </w:pPr>
            <w:r>
              <w:rPr>
                <w:rFonts w:ascii="Calibri" w:hAnsi="Calibri"/>
                <w:color w:val="auto"/>
                <w:szCs w:val="21"/>
              </w:rPr>
              <w:t>（</w:t>
            </w:r>
            <w:r>
              <w:rPr>
                <w:rFonts w:ascii="Calibri" w:hAnsi="Calibri" w:hint="eastAsia"/>
                <w:color w:val="auto"/>
                <w:szCs w:val="21"/>
              </w:rPr>
              <w:t>t</w:t>
            </w:r>
            <w:r>
              <w:rPr>
                <w:rFonts w:ascii="Calibri" w:hAnsi="Calibri"/>
                <w:color w:val="auto"/>
                <w:szCs w:val="21"/>
              </w:rPr>
              <w:t>/a</w:t>
            </w:r>
            <w:r>
              <w:rPr>
                <w:rFonts w:ascii="Calibri" w:hAnsi="Calibri"/>
                <w:color w:val="auto"/>
                <w:szCs w:val="21"/>
              </w:rPr>
              <w:t>）</w:t>
            </w:r>
          </w:p>
        </w:tc>
        <w:tc>
          <w:tcPr>
            <w:tcW w:w="1439" w:type="pct"/>
            <w:vMerge/>
            <w:tcBorders>
              <w:left w:val="single" w:sz="4" w:space="0" w:color="auto"/>
            </w:tcBorders>
            <w:vAlign w:val="center"/>
          </w:tcPr>
          <w:p w14:paraId="6069A4DA" w14:textId="77777777" w:rsidR="004C05B2" w:rsidRDefault="004C05B2" w:rsidP="00B64EFA">
            <w:pPr>
              <w:jc w:val="center"/>
              <w:rPr>
                <w:rFonts w:ascii="Calibri" w:hAnsi="Calibri"/>
                <w:color w:val="auto"/>
                <w:szCs w:val="21"/>
              </w:rPr>
            </w:pPr>
          </w:p>
        </w:tc>
        <w:tc>
          <w:tcPr>
            <w:tcW w:w="748" w:type="pct"/>
            <w:tcBorders>
              <w:left w:val="single" w:sz="4" w:space="0" w:color="auto"/>
            </w:tcBorders>
            <w:vAlign w:val="center"/>
          </w:tcPr>
          <w:p w14:paraId="4FE63056" w14:textId="77777777" w:rsidR="004C05B2" w:rsidRDefault="004C05B2" w:rsidP="00B64EFA">
            <w:pPr>
              <w:jc w:val="center"/>
              <w:rPr>
                <w:rFonts w:ascii="Calibri" w:hAnsi="Calibri"/>
                <w:color w:val="auto"/>
                <w:szCs w:val="21"/>
              </w:rPr>
            </w:pPr>
            <w:r>
              <w:rPr>
                <w:rFonts w:ascii="Calibri" w:hAnsi="Calibri"/>
                <w:color w:val="auto"/>
                <w:szCs w:val="21"/>
              </w:rPr>
              <w:t>排放浓度</w:t>
            </w:r>
          </w:p>
          <w:p w14:paraId="4CD937B8" w14:textId="77777777" w:rsidR="004C05B2" w:rsidRDefault="004C05B2" w:rsidP="00B64EFA">
            <w:pPr>
              <w:jc w:val="center"/>
              <w:rPr>
                <w:rFonts w:ascii="Calibri" w:hAnsi="Calibri"/>
                <w:color w:val="auto"/>
                <w:szCs w:val="21"/>
              </w:rPr>
            </w:pPr>
            <w:r>
              <w:rPr>
                <w:rFonts w:ascii="Calibri" w:hAnsi="Calibri"/>
                <w:color w:val="auto"/>
                <w:szCs w:val="21"/>
              </w:rPr>
              <w:t>（</w:t>
            </w:r>
            <w:r>
              <w:rPr>
                <w:rFonts w:ascii="Calibri" w:hAnsi="Calibri"/>
                <w:color w:val="auto"/>
                <w:szCs w:val="21"/>
              </w:rPr>
              <w:t>mg/m</w:t>
            </w:r>
            <w:r>
              <w:rPr>
                <w:rFonts w:ascii="Calibri" w:hAnsi="Calibri"/>
                <w:color w:val="auto"/>
                <w:szCs w:val="21"/>
                <w:vertAlign w:val="superscript"/>
              </w:rPr>
              <w:t>3</w:t>
            </w:r>
            <w:r>
              <w:rPr>
                <w:rFonts w:ascii="Calibri" w:hAnsi="Calibri"/>
                <w:color w:val="auto"/>
                <w:szCs w:val="21"/>
              </w:rPr>
              <w:t>）</w:t>
            </w:r>
          </w:p>
        </w:tc>
        <w:tc>
          <w:tcPr>
            <w:tcW w:w="613" w:type="pct"/>
            <w:tcBorders>
              <w:left w:val="single" w:sz="4" w:space="0" w:color="auto"/>
            </w:tcBorders>
            <w:vAlign w:val="center"/>
          </w:tcPr>
          <w:p w14:paraId="443B7DF0" w14:textId="77777777" w:rsidR="004C05B2" w:rsidRDefault="004C05B2" w:rsidP="00B64EFA">
            <w:pPr>
              <w:jc w:val="center"/>
              <w:rPr>
                <w:rFonts w:ascii="Calibri" w:hAnsi="Calibri"/>
                <w:color w:val="auto"/>
                <w:szCs w:val="21"/>
              </w:rPr>
            </w:pPr>
            <w:r>
              <w:rPr>
                <w:rFonts w:ascii="Calibri" w:hAnsi="Calibri"/>
                <w:color w:val="auto"/>
                <w:szCs w:val="21"/>
              </w:rPr>
              <w:t>排放量</w:t>
            </w:r>
          </w:p>
          <w:p w14:paraId="395B2FD6" w14:textId="77777777" w:rsidR="004C05B2" w:rsidRDefault="004C05B2" w:rsidP="00B64EFA">
            <w:pPr>
              <w:jc w:val="center"/>
              <w:rPr>
                <w:rFonts w:ascii="Calibri" w:hAnsi="Calibri"/>
                <w:color w:val="auto"/>
                <w:szCs w:val="21"/>
              </w:rPr>
            </w:pPr>
            <w:r>
              <w:rPr>
                <w:rFonts w:ascii="Calibri" w:hAnsi="Calibri"/>
                <w:color w:val="auto"/>
                <w:szCs w:val="21"/>
              </w:rPr>
              <w:t>（</w:t>
            </w:r>
            <w:r>
              <w:rPr>
                <w:rFonts w:ascii="Calibri" w:hAnsi="Calibri" w:hint="eastAsia"/>
                <w:color w:val="auto"/>
                <w:szCs w:val="21"/>
              </w:rPr>
              <w:t>t</w:t>
            </w:r>
            <w:r>
              <w:rPr>
                <w:rFonts w:ascii="Calibri" w:hAnsi="Calibri"/>
                <w:color w:val="auto"/>
                <w:szCs w:val="21"/>
              </w:rPr>
              <w:t>/a</w:t>
            </w:r>
            <w:r>
              <w:rPr>
                <w:rFonts w:ascii="Calibri" w:hAnsi="Calibri"/>
                <w:color w:val="auto"/>
                <w:szCs w:val="21"/>
              </w:rPr>
              <w:t>）</w:t>
            </w:r>
          </w:p>
        </w:tc>
      </w:tr>
      <w:tr w:rsidR="004C05B2" w14:paraId="55DB593A" w14:textId="77777777" w:rsidTr="00B64EFA">
        <w:trPr>
          <w:trHeight w:val="340"/>
          <w:jc w:val="center"/>
        </w:trPr>
        <w:tc>
          <w:tcPr>
            <w:tcW w:w="694" w:type="pct"/>
            <w:vAlign w:val="center"/>
          </w:tcPr>
          <w:p w14:paraId="111D063E" w14:textId="77777777" w:rsidR="004C05B2" w:rsidRDefault="004C05B2" w:rsidP="00B64EFA">
            <w:pPr>
              <w:jc w:val="center"/>
              <w:rPr>
                <w:rFonts w:ascii="Calibri" w:hAnsi="Calibri"/>
                <w:color w:val="auto"/>
                <w:szCs w:val="21"/>
              </w:rPr>
            </w:pPr>
            <w:r>
              <w:rPr>
                <w:rFonts w:ascii="Calibri" w:hAnsi="Calibri"/>
                <w:color w:val="auto"/>
                <w:szCs w:val="21"/>
              </w:rPr>
              <w:t>油烟</w:t>
            </w:r>
          </w:p>
        </w:tc>
        <w:tc>
          <w:tcPr>
            <w:tcW w:w="713" w:type="pct"/>
            <w:tcBorders>
              <w:right w:val="single" w:sz="4" w:space="0" w:color="auto"/>
            </w:tcBorders>
            <w:vAlign w:val="center"/>
          </w:tcPr>
          <w:p w14:paraId="21853A3D" w14:textId="77777777" w:rsidR="004C05B2" w:rsidRDefault="004C05B2" w:rsidP="00B64EFA">
            <w:pPr>
              <w:jc w:val="center"/>
              <w:rPr>
                <w:rFonts w:ascii="Calibri" w:hAnsi="Calibri"/>
                <w:color w:val="auto"/>
                <w:szCs w:val="21"/>
              </w:rPr>
            </w:pPr>
            <w:r>
              <w:rPr>
                <w:rFonts w:ascii="Calibri" w:hAnsi="Calibri"/>
                <w:snapToGrid w:val="0"/>
                <w:color w:val="auto"/>
                <w:szCs w:val="21"/>
              </w:rPr>
              <w:t>12</w:t>
            </w:r>
          </w:p>
        </w:tc>
        <w:tc>
          <w:tcPr>
            <w:tcW w:w="793" w:type="pct"/>
            <w:tcBorders>
              <w:right w:val="single" w:sz="4" w:space="0" w:color="auto"/>
            </w:tcBorders>
            <w:vAlign w:val="center"/>
          </w:tcPr>
          <w:p w14:paraId="0F17F51A" w14:textId="77777777" w:rsidR="004C05B2" w:rsidRDefault="004C05B2" w:rsidP="00B64EFA">
            <w:pPr>
              <w:jc w:val="center"/>
              <w:rPr>
                <w:rFonts w:ascii="Calibri" w:hAnsi="Calibri"/>
                <w:color w:val="auto"/>
                <w:szCs w:val="21"/>
              </w:rPr>
            </w:pPr>
            <w:r>
              <w:rPr>
                <w:rFonts w:ascii="Calibri" w:hAnsi="Calibri" w:hint="eastAsia"/>
                <w:snapToGrid w:val="0"/>
                <w:color w:val="auto"/>
                <w:szCs w:val="21"/>
              </w:rPr>
              <w:t>0.13</w:t>
            </w:r>
          </w:p>
        </w:tc>
        <w:tc>
          <w:tcPr>
            <w:tcW w:w="1439" w:type="pct"/>
            <w:vMerge w:val="restart"/>
            <w:tcBorders>
              <w:left w:val="single" w:sz="4" w:space="0" w:color="auto"/>
            </w:tcBorders>
            <w:vAlign w:val="center"/>
          </w:tcPr>
          <w:p w14:paraId="2522B01A" w14:textId="77777777" w:rsidR="004C05B2" w:rsidRDefault="004C05B2" w:rsidP="00B64EFA">
            <w:pPr>
              <w:jc w:val="center"/>
              <w:rPr>
                <w:rFonts w:ascii="Calibri" w:hAnsi="Calibri"/>
                <w:color w:val="auto"/>
                <w:szCs w:val="21"/>
              </w:rPr>
            </w:pPr>
            <w:r>
              <w:rPr>
                <w:rFonts w:ascii="Calibri" w:hAnsi="Calibri"/>
                <w:color w:val="auto"/>
                <w:szCs w:val="21"/>
              </w:rPr>
              <w:t>油烟净化装置</w:t>
            </w:r>
            <w:r>
              <w:rPr>
                <w:rFonts w:ascii="Calibri" w:hAnsi="Calibri"/>
                <w:color w:val="auto"/>
                <w:szCs w:val="21"/>
              </w:rPr>
              <w:t>1</w:t>
            </w:r>
            <w:r>
              <w:rPr>
                <w:rFonts w:ascii="Calibri" w:hAnsi="Calibri"/>
                <w:color w:val="auto"/>
                <w:szCs w:val="21"/>
              </w:rPr>
              <w:t>套，风量为</w:t>
            </w:r>
            <w:r>
              <w:rPr>
                <w:rFonts w:ascii="Calibri" w:hAnsi="Calibri" w:hint="eastAsia"/>
                <w:color w:val="auto"/>
                <w:szCs w:val="21"/>
              </w:rPr>
              <w:t>6</w:t>
            </w:r>
            <w:r>
              <w:rPr>
                <w:rFonts w:ascii="Calibri" w:hAnsi="Calibri"/>
                <w:color w:val="auto"/>
                <w:szCs w:val="21"/>
              </w:rPr>
              <w:t>000m</w:t>
            </w:r>
            <w:r>
              <w:rPr>
                <w:rFonts w:ascii="Calibri" w:hAnsi="Calibri"/>
                <w:color w:val="auto"/>
                <w:szCs w:val="21"/>
                <w:vertAlign w:val="superscript"/>
              </w:rPr>
              <w:t>3</w:t>
            </w:r>
            <w:r>
              <w:rPr>
                <w:rFonts w:ascii="Calibri" w:hAnsi="Calibri"/>
                <w:color w:val="auto"/>
                <w:szCs w:val="21"/>
              </w:rPr>
              <w:t>/h</w:t>
            </w:r>
            <w:r>
              <w:rPr>
                <w:rFonts w:ascii="Calibri" w:hAnsi="Calibri"/>
                <w:color w:val="auto"/>
                <w:szCs w:val="21"/>
              </w:rPr>
              <w:t>，油烟处理效率为</w:t>
            </w:r>
            <w:r>
              <w:rPr>
                <w:rFonts w:ascii="Calibri" w:hAnsi="Calibri" w:hint="eastAsia"/>
                <w:color w:val="auto"/>
                <w:szCs w:val="21"/>
              </w:rPr>
              <w:t>90</w:t>
            </w:r>
            <w:r>
              <w:rPr>
                <w:rFonts w:ascii="Calibri" w:hAnsi="Calibri"/>
                <w:color w:val="auto"/>
                <w:szCs w:val="21"/>
              </w:rPr>
              <w:t>%</w:t>
            </w:r>
            <w:r>
              <w:rPr>
                <w:rFonts w:ascii="Calibri" w:hAnsi="Calibri"/>
                <w:color w:val="auto"/>
                <w:szCs w:val="21"/>
              </w:rPr>
              <w:t>，非甲烷总烃去除率</w:t>
            </w:r>
            <w:r>
              <w:rPr>
                <w:rFonts w:ascii="Calibri" w:hAnsi="Calibri"/>
                <w:color w:val="auto"/>
                <w:szCs w:val="21"/>
              </w:rPr>
              <w:t>80%</w:t>
            </w:r>
          </w:p>
        </w:tc>
        <w:tc>
          <w:tcPr>
            <w:tcW w:w="748" w:type="pct"/>
            <w:tcBorders>
              <w:left w:val="single" w:sz="4" w:space="0" w:color="auto"/>
            </w:tcBorders>
            <w:vAlign w:val="center"/>
          </w:tcPr>
          <w:p w14:paraId="3ECA9E20" w14:textId="77777777" w:rsidR="004C05B2" w:rsidRDefault="004C05B2" w:rsidP="00B64EFA">
            <w:pPr>
              <w:jc w:val="center"/>
              <w:rPr>
                <w:rFonts w:ascii="Calibri" w:hAnsi="Calibri"/>
                <w:color w:val="auto"/>
                <w:szCs w:val="21"/>
              </w:rPr>
            </w:pPr>
            <w:r>
              <w:rPr>
                <w:rFonts w:ascii="Calibri" w:hAnsi="Calibri" w:hint="eastAsia"/>
                <w:snapToGrid w:val="0"/>
                <w:color w:val="auto"/>
                <w:szCs w:val="21"/>
              </w:rPr>
              <w:t>1.2</w:t>
            </w:r>
          </w:p>
        </w:tc>
        <w:tc>
          <w:tcPr>
            <w:tcW w:w="613" w:type="pct"/>
            <w:tcBorders>
              <w:left w:val="single" w:sz="4" w:space="0" w:color="auto"/>
            </w:tcBorders>
            <w:vAlign w:val="center"/>
          </w:tcPr>
          <w:p w14:paraId="7E2112CE" w14:textId="77777777" w:rsidR="004C05B2" w:rsidRDefault="004C05B2" w:rsidP="00B64EFA">
            <w:pPr>
              <w:jc w:val="center"/>
              <w:rPr>
                <w:rFonts w:ascii="Calibri" w:hAnsi="Calibri"/>
                <w:color w:val="auto"/>
                <w:szCs w:val="21"/>
              </w:rPr>
            </w:pPr>
            <w:r>
              <w:rPr>
                <w:rFonts w:ascii="Calibri" w:hAnsi="Calibri" w:hint="eastAsia"/>
                <w:color w:val="auto"/>
                <w:szCs w:val="21"/>
              </w:rPr>
              <w:t>0.013</w:t>
            </w:r>
          </w:p>
        </w:tc>
      </w:tr>
      <w:tr w:rsidR="004C05B2" w14:paraId="3390DC73" w14:textId="77777777" w:rsidTr="00B64EFA">
        <w:trPr>
          <w:trHeight w:val="340"/>
          <w:jc w:val="center"/>
        </w:trPr>
        <w:tc>
          <w:tcPr>
            <w:tcW w:w="694" w:type="pct"/>
            <w:vAlign w:val="center"/>
          </w:tcPr>
          <w:p w14:paraId="5AFAF197" w14:textId="77777777" w:rsidR="004C05B2" w:rsidRDefault="004C05B2" w:rsidP="00B64EFA">
            <w:pPr>
              <w:jc w:val="center"/>
              <w:rPr>
                <w:rFonts w:ascii="Calibri" w:hAnsi="Calibri"/>
                <w:color w:val="auto"/>
                <w:szCs w:val="21"/>
              </w:rPr>
            </w:pPr>
            <w:r>
              <w:rPr>
                <w:rFonts w:ascii="Calibri" w:hAnsi="Calibri"/>
                <w:color w:val="auto"/>
                <w:szCs w:val="21"/>
              </w:rPr>
              <w:t>非甲烷</w:t>
            </w:r>
          </w:p>
          <w:p w14:paraId="681320CB" w14:textId="77777777" w:rsidR="004C05B2" w:rsidRDefault="004C05B2" w:rsidP="00B64EFA">
            <w:pPr>
              <w:jc w:val="center"/>
              <w:rPr>
                <w:rFonts w:ascii="Calibri" w:hAnsi="Calibri"/>
                <w:color w:val="auto"/>
                <w:szCs w:val="21"/>
              </w:rPr>
            </w:pPr>
            <w:r>
              <w:rPr>
                <w:rFonts w:ascii="Calibri" w:hAnsi="Calibri"/>
                <w:color w:val="auto"/>
                <w:szCs w:val="21"/>
              </w:rPr>
              <w:t>总烃</w:t>
            </w:r>
          </w:p>
        </w:tc>
        <w:tc>
          <w:tcPr>
            <w:tcW w:w="713" w:type="pct"/>
            <w:tcBorders>
              <w:right w:val="single" w:sz="4" w:space="0" w:color="auto"/>
            </w:tcBorders>
            <w:vAlign w:val="center"/>
          </w:tcPr>
          <w:p w14:paraId="40DDFE03" w14:textId="77777777" w:rsidR="004C05B2" w:rsidRDefault="004C05B2" w:rsidP="00B64EFA">
            <w:pPr>
              <w:jc w:val="center"/>
              <w:rPr>
                <w:rFonts w:ascii="Calibri" w:hAnsi="Calibri"/>
                <w:snapToGrid w:val="0"/>
                <w:color w:val="auto"/>
                <w:szCs w:val="21"/>
              </w:rPr>
            </w:pPr>
            <w:r>
              <w:rPr>
                <w:rFonts w:ascii="Calibri" w:hAnsi="Calibri"/>
                <w:snapToGrid w:val="0"/>
                <w:color w:val="auto"/>
                <w:szCs w:val="21"/>
              </w:rPr>
              <w:t>20.23</w:t>
            </w:r>
          </w:p>
        </w:tc>
        <w:tc>
          <w:tcPr>
            <w:tcW w:w="793" w:type="pct"/>
            <w:tcBorders>
              <w:right w:val="single" w:sz="4" w:space="0" w:color="auto"/>
            </w:tcBorders>
            <w:vAlign w:val="center"/>
          </w:tcPr>
          <w:p w14:paraId="1F669302" w14:textId="77777777" w:rsidR="004C05B2" w:rsidRDefault="004C05B2" w:rsidP="00B64EFA">
            <w:pPr>
              <w:jc w:val="center"/>
              <w:rPr>
                <w:rFonts w:ascii="Calibri" w:hAnsi="Calibri"/>
                <w:snapToGrid w:val="0"/>
                <w:color w:val="auto"/>
                <w:szCs w:val="21"/>
              </w:rPr>
            </w:pPr>
            <w:r>
              <w:rPr>
                <w:rFonts w:ascii="Calibri" w:hAnsi="Calibri" w:hint="eastAsia"/>
                <w:snapToGrid w:val="0"/>
                <w:color w:val="auto"/>
                <w:szCs w:val="21"/>
              </w:rPr>
              <w:t>0.22</w:t>
            </w:r>
          </w:p>
        </w:tc>
        <w:tc>
          <w:tcPr>
            <w:tcW w:w="1439" w:type="pct"/>
            <w:vMerge/>
            <w:tcBorders>
              <w:left w:val="single" w:sz="4" w:space="0" w:color="auto"/>
            </w:tcBorders>
            <w:vAlign w:val="center"/>
          </w:tcPr>
          <w:p w14:paraId="3D226601" w14:textId="77777777" w:rsidR="004C05B2" w:rsidRDefault="004C05B2" w:rsidP="00B64EFA">
            <w:pPr>
              <w:jc w:val="center"/>
              <w:rPr>
                <w:rFonts w:ascii="Calibri" w:hAnsi="Calibri"/>
                <w:color w:val="auto"/>
                <w:szCs w:val="21"/>
              </w:rPr>
            </w:pPr>
          </w:p>
        </w:tc>
        <w:tc>
          <w:tcPr>
            <w:tcW w:w="748" w:type="pct"/>
            <w:tcBorders>
              <w:left w:val="single" w:sz="4" w:space="0" w:color="auto"/>
            </w:tcBorders>
            <w:vAlign w:val="center"/>
          </w:tcPr>
          <w:p w14:paraId="6BB009A1" w14:textId="77777777" w:rsidR="004C05B2" w:rsidRDefault="004C05B2" w:rsidP="00B64EFA">
            <w:pPr>
              <w:jc w:val="center"/>
              <w:rPr>
                <w:rFonts w:ascii="Calibri" w:hAnsi="Calibri"/>
                <w:snapToGrid w:val="0"/>
                <w:color w:val="auto"/>
                <w:szCs w:val="21"/>
              </w:rPr>
            </w:pPr>
            <w:r>
              <w:rPr>
                <w:rFonts w:ascii="Calibri" w:hAnsi="Calibri"/>
                <w:snapToGrid w:val="0"/>
                <w:color w:val="auto"/>
                <w:szCs w:val="21"/>
              </w:rPr>
              <w:t>4.05</w:t>
            </w:r>
          </w:p>
        </w:tc>
        <w:tc>
          <w:tcPr>
            <w:tcW w:w="613" w:type="pct"/>
            <w:tcBorders>
              <w:left w:val="single" w:sz="4" w:space="0" w:color="auto"/>
            </w:tcBorders>
            <w:vAlign w:val="center"/>
          </w:tcPr>
          <w:p w14:paraId="5B6E5A73" w14:textId="77777777" w:rsidR="004C05B2" w:rsidRDefault="004C05B2" w:rsidP="00B64EFA">
            <w:pPr>
              <w:jc w:val="center"/>
              <w:rPr>
                <w:rFonts w:ascii="Calibri" w:hAnsi="Calibri"/>
                <w:snapToGrid w:val="0"/>
                <w:color w:val="auto"/>
                <w:szCs w:val="21"/>
              </w:rPr>
            </w:pPr>
            <w:r>
              <w:rPr>
                <w:rFonts w:ascii="Calibri" w:hAnsi="Calibri" w:hint="eastAsia"/>
                <w:snapToGrid w:val="0"/>
                <w:color w:val="auto"/>
                <w:szCs w:val="21"/>
              </w:rPr>
              <w:t>0.044</w:t>
            </w:r>
          </w:p>
        </w:tc>
      </w:tr>
    </w:tbl>
    <w:p w14:paraId="5765E61E" w14:textId="77777777" w:rsidR="009F11D4" w:rsidRPr="00A964FF" w:rsidRDefault="001D3D21" w:rsidP="00920505">
      <w:pPr>
        <w:pStyle w:val="ad"/>
        <w:ind w:firstLineChars="200" w:firstLine="562"/>
        <w:rPr>
          <w:rFonts w:ascii="Calibri" w:hAnsi="Calibri"/>
          <w:color w:val="auto"/>
        </w:rPr>
      </w:pPr>
      <w:r>
        <w:rPr>
          <w:rFonts w:ascii="Calibri" w:hAnsi="Calibri"/>
          <w:color w:val="auto"/>
        </w:rPr>
        <w:t>8</w:t>
      </w:r>
      <w:r w:rsidR="00920505">
        <w:rPr>
          <w:rFonts w:ascii="Calibri" w:hAnsi="Calibri" w:hint="eastAsia"/>
          <w:color w:val="auto"/>
        </w:rPr>
        <w:t>、</w:t>
      </w:r>
      <w:r w:rsidR="00C76974" w:rsidRPr="00A964FF">
        <w:rPr>
          <w:rFonts w:ascii="Calibri" w:hAnsi="Calibri" w:hint="eastAsia"/>
          <w:color w:val="auto"/>
        </w:rPr>
        <w:t>废气污染物汇总</w:t>
      </w:r>
    </w:p>
    <w:p w14:paraId="7B39EB88" w14:textId="01A4B4BC" w:rsidR="005E5F3B" w:rsidRPr="00A92936" w:rsidRDefault="00C76974" w:rsidP="00A92936">
      <w:pPr>
        <w:pStyle w:val="00"/>
        <w:rPr>
          <w:rFonts w:ascii="Calibri"/>
          <w:color w:val="auto"/>
        </w:rPr>
      </w:pPr>
      <w:r w:rsidRPr="00A964FF">
        <w:rPr>
          <w:rFonts w:ascii="Calibri" w:hint="eastAsia"/>
          <w:color w:val="auto"/>
        </w:rPr>
        <w:t>本项目营运后厂区废气污染物排放情况见表</w:t>
      </w:r>
      <w:r w:rsidR="00B71687">
        <w:rPr>
          <w:rFonts w:ascii="Calibri" w:hint="eastAsia"/>
          <w:color w:val="auto"/>
        </w:rPr>
        <w:t>2.3-13</w:t>
      </w:r>
      <w:r w:rsidRPr="00A964FF">
        <w:rPr>
          <w:rFonts w:ascii="Calibri" w:hint="eastAsia"/>
          <w:color w:val="auto"/>
        </w:rPr>
        <w:t>。</w:t>
      </w:r>
    </w:p>
    <w:p w14:paraId="780DAA0D" w14:textId="7DD42A94" w:rsidR="00C76974" w:rsidRDefault="00C76974" w:rsidP="00C76974">
      <w:pPr>
        <w:spacing w:line="520" w:lineRule="exact"/>
        <w:ind w:firstLineChars="200" w:firstLine="480"/>
        <w:jc w:val="left"/>
        <w:rPr>
          <w:rFonts w:ascii="黑体" w:eastAsia="黑体" w:hAnsi="Calibri"/>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2.</w:t>
      </w:r>
      <w:r w:rsidR="00211A1F" w:rsidRPr="00A964FF">
        <w:rPr>
          <w:rFonts w:ascii="Calibri" w:eastAsia="黑体" w:hAnsi="Calibri" w:hint="eastAsia"/>
          <w:color w:val="auto"/>
          <w:sz w:val="24"/>
        </w:rPr>
        <w:t>3</w:t>
      </w:r>
      <w:r w:rsidRPr="00A964FF">
        <w:rPr>
          <w:rFonts w:ascii="Calibri" w:eastAsia="黑体" w:hAnsi="Calibri" w:hint="eastAsia"/>
          <w:color w:val="auto"/>
          <w:sz w:val="24"/>
        </w:rPr>
        <w:t>-</w:t>
      </w:r>
      <w:r w:rsidR="005E5F3B">
        <w:rPr>
          <w:rFonts w:ascii="Calibri" w:eastAsia="黑体" w:hAnsi="Calibri" w:hint="eastAsia"/>
          <w:color w:val="auto"/>
          <w:sz w:val="24"/>
        </w:rPr>
        <w:t>1</w:t>
      </w:r>
      <w:r w:rsidR="00B71687">
        <w:rPr>
          <w:rFonts w:ascii="Calibri" w:eastAsia="黑体" w:hAnsi="Calibri" w:hint="eastAsia"/>
          <w:color w:val="auto"/>
          <w:sz w:val="24"/>
        </w:rPr>
        <w:t>3</w:t>
      </w:r>
      <w:r w:rsidR="00211A1F" w:rsidRPr="00A964FF">
        <w:rPr>
          <w:rFonts w:ascii="黑体" w:eastAsia="黑体" w:hAnsi="Calibri" w:hint="eastAsia"/>
          <w:color w:val="auto"/>
          <w:sz w:val="24"/>
        </w:rPr>
        <w:t xml:space="preserve"> </w:t>
      </w:r>
      <w:r w:rsidRPr="00A964FF">
        <w:rPr>
          <w:rFonts w:ascii="黑体" w:eastAsia="黑体" w:hAnsi="Calibri" w:hint="eastAsia"/>
          <w:color w:val="auto"/>
          <w:sz w:val="24"/>
        </w:rPr>
        <w:t xml:space="preserve">    本项目营运后废气污染物排放情况汇总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7"/>
        <w:gridCol w:w="966"/>
        <w:gridCol w:w="769"/>
        <w:gridCol w:w="1044"/>
        <w:gridCol w:w="1023"/>
        <w:gridCol w:w="1044"/>
        <w:gridCol w:w="1039"/>
        <w:gridCol w:w="990"/>
        <w:gridCol w:w="1458"/>
      </w:tblGrid>
      <w:tr w:rsidR="00B0285F" w:rsidRPr="00A964FF" w14:paraId="52B6BF97" w14:textId="77777777" w:rsidTr="00A42350">
        <w:trPr>
          <w:trHeight w:val="340"/>
        </w:trPr>
        <w:tc>
          <w:tcPr>
            <w:tcW w:w="211" w:type="pct"/>
            <w:vMerge w:val="restart"/>
            <w:vAlign w:val="center"/>
          </w:tcPr>
          <w:p w14:paraId="3F41B96C"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序号</w:t>
            </w:r>
          </w:p>
        </w:tc>
        <w:tc>
          <w:tcPr>
            <w:tcW w:w="555" w:type="pct"/>
            <w:vMerge w:val="restart"/>
            <w:vAlign w:val="center"/>
          </w:tcPr>
          <w:p w14:paraId="57733215"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产生</w:t>
            </w:r>
          </w:p>
          <w:p w14:paraId="79554543"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工序</w:t>
            </w:r>
          </w:p>
        </w:tc>
        <w:tc>
          <w:tcPr>
            <w:tcW w:w="442" w:type="pct"/>
            <w:vMerge w:val="restart"/>
            <w:vAlign w:val="center"/>
          </w:tcPr>
          <w:p w14:paraId="574F2249"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污染物</w:t>
            </w:r>
          </w:p>
        </w:tc>
        <w:tc>
          <w:tcPr>
            <w:tcW w:w="1188" w:type="pct"/>
            <w:gridSpan w:val="2"/>
            <w:vAlign w:val="center"/>
          </w:tcPr>
          <w:p w14:paraId="11E3299B"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产生情况</w:t>
            </w:r>
          </w:p>
        </w:tc>
        <w:tc>
          <w:tcPr>
            <w:tcW w:w="1766" w:type="pct"/>
            <w:gridSpan w:val="3"/>
            <w:tcBorders>
              <w:right w:val="single" w:sz="2" w:space="0" w:color="auto"/>
            </w:tcBorders>
            <w:vAlign w:val="center"/>
          </w:tcPr>
          <w:p w14:paraId="52BFE60A"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排放情况</w:t>
            </w:r>
          </w:p>
        </w:tc>
        <w:tc>
          <w:tcPr>
            <w:tcW w:w="838" w:type="pct"/>
            <w:vMerge w:val="restart"/>
            <w:tcBorders>
              <w:left w:val="single" w:sz="2" w:space="0" w:color="auto"/>
            </w:tcBorders>
            <w:vAlign w:val="center"/>
          </w:tcPr>
          <w:p w14:paraId="26E8F975"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环保治理措施</w:t>
            </w:r>
            <w:r w:rsidRPr="00A964FF">
              <w:rPr>
                <w:rFonts w:ascii="Calibri" w:hAnsi="Calibri" w:hint="eastAsia"/>
                <w:snapToGrid w:val="0"/>
                <w:szCs w:val="21"/>
              </w:rPr>
              <w:t>及排放口编号</w:t>
            </w:r>
          </w:p>
        </w:tc>
      </w:tr>
      <w:tr w:rsidR="00B0285F" w:rsidRPr="00A964FF" w14:paraId="7432EAD0" w14:textId="77777777" w:rsidTr="00A42350">
        <w:trPr>
          <w:trHeight w:val="340"/>
        </w:trPr>
        <w:tc>
          <w:tcPr>
            <w:tcW w:w="211" w:type="pct"/>
            <w:vMerge/>
            <w:vAlign w:val="center"/>
          </w:tcPr>
          <w:p w14:paraId="47E0E5A3" w14:textId="77777777" w:rsidR="00B0285F" w:rsidRPr="00A964FF" w:rsidRDefault="00B0285F" w:rsidP="008B1803">
            <w:pPr>
              <w:jc w:val="center"/>
              <w:rPr>
                <w:rFonts w:ascii="Calibri" w:hAnsi="Calibri"/>
                <w:snapToGrid w:val="0"/>
                <w:szCs w:val="21"/>
              </w:rPr>
            </w:pPr>
          </w:p>
        </w:tc>
        <w:tc>
          <w:tcPr>
            <w:tcW w:w="555" w:type="pct"/>
            <w:vMerge/>
            <w:vAlign w:val="center"/>
          </w:tcPr>
          <w:p w14:paraId="19D679A1" w14:textId="77777777" w:rsidR="00B0285F" w:rsidRPr="00A964FF" w:rsidRDefault="00B0285F" w:rsidP="008B1803">
            <w:pPr>
              <w:jc w:val="center"/>
              <w:rPr>
                <w:rFonts w:ascii="Calibri" w:hAnsi="Calibri"/>
                <w:snapToGrid w:val="0"/>
                <w:szCs w:val="21"/>
              </w:rPr>
            </w:pPr>
          </w:p>
        </w:tc>
        <w:tc>
          <w:tcPr>
            <w:tcW w:w="442" w:type="pct"/>
            <w:vMerge/>
            <w:vAlign w:val="center"/>
          </w:tcPr>
          <w:p w14:paraId="5404E00B" w14:textId="77777777" w:rsidR="00B0285F" w:rsidRPr="00A964FF" w:rsidRDefault="00B0285F" w:rsidP="008B1803">
            <w:pPr>
              <w:jc w:val="center"/>
              <w:rPr>
                <w:rFonts w:ascii="Calibri" w:hAnsi="Calibri"/>
                <w:snapToGrid w:val="0"/>
                <w:szCs w:val="21"/>
              </w:rPr>
            </w:pPr>
          </w:p>
        </w:tc>
        <w:tc>
          <w:tcPr>
            <w:tcW w:w="600" w:type="pct"/>
            <w:vAlign w:val="center"/>
          </w:tcPr>
          <w:p w14:paraId="5A13D592"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产生浓度</w:t>
            </w:r>
          </w:p>
          <w:p w14:paraId="45F51822"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w:t>
            </w:r>
            <w:r w:rsidRPr="00A964FF">
              <w:rPr>
                <w:rFonts w:ascii="Calibri" w:hAnsi="Calibri"/>
                <w:snapToGrid w:val="0"/>
                <w:szCs w:val="21"/>
              </w:rPr>
              <w:t>mg/m</w:t>
            </w:r>
            <w:r w:rsidRPr="00A964FF">
              <w:rPr>
                <w:rFonts w:ascii="Calibri" w:hAnsi="Calibri"/>
                <w:snapToGrid w:val="0"/>
                <w:szCs w:val="21"/>
                <w:vertAlign w:val="superscript"/>
              </w:rPr>
              <w:t>3</w:t>
            </w:r>
            <w:r w:rsidRPr="00A964FF">
              <w:rPr>
                <w:rFonts w:ascii="Calibri" w:hAnsi="Calibri"/>
                <w:snapToGrid w:val="0"/>
                <w:szCs w:val="21"/>
              </w:rPr>
              <w:t>）</w:t>
            </w:r>
          </w:p>
        </w:tc>
        <w:tc>
          <w:tcPr>
            <w:tcW w:w="588" w:type="pct"/>
            <w:vAlign w:val="center"/>
          </w:tcPr>
          <w:p w14:paraId="66AB9EE0"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产生量</w:t>
            </w:r>
          </w:p>
          <w:p w14:paraId="60FADF00"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w:t>
            </w:r>
            <w:r w:rsidRPr="00A964FF">
              <w:rPr>
                <w:rFonts w:ascii="Calibri" w:hAnsi="Calibri"/>
                <w:snapToGrid w:val="0"/>
                <w:szCs w:val="21"/>
              </w:rPr>
              <w:t>t/a</w:t>
            </w:r>
            <w:r w:rsidRPr="00A964FF">
              <w:rPr>
                <w:rFonts w:ascii="Calibri" w:hAnsi="Calibri"/>
                <w:snapToGrid w:val="0"/>
                <w:szCs w:val="21"/>
              </w:rPr>
              <w:t>）</w:t>
            </w:r>
          </w:p>
        </w:tc>
        <w:tc>
          <w:tcPr>
            <w:tcW w:w="600" w:type="pct"/>
            <w:tcBorders>
              <w:right w:val="single" w:sz="2" w:space="0" w:color="auto"/>
            </w:tcBorders>
            <w:vAlign w:val="center"/>
          </w:tcPr>
          <w:p w14:paraId="1349E4DC"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排放浓度</w:t>
            </w:r>
          </w:p>
          <w:p w14:paraId="14DD87F1"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w:t>
            </w:r>
            <w:r w:rsidRPr="00A964FF">
              <w:rPr>
                <w:rFonts w:ascii="Calibri" w:hAnsi="Calibri"/>
                <w:snapToGrid w:val="0"/>
                <w:szCs w:val="21"/>
              </w:rPr>
              <w:t>mg/m</w:t>
            </w:r>
            <w:r w:rsidRPr="00A964FF">
              <w:rPr>
                <w:rFonts w:ascii="Calibri" w:hAnsi="Calibri"/>
                <w:snapToGrid w:val="0"/>
                <w:szCs w:val="21"/>
                <w:vertAlign w:val="superscript"/>
              </w:rPr>
              <w:t>3</w:t>
            </w:r>
            <w:r w:rsidRPr="00A964FF">
              <w:rPr>
                <w:rFonts w:ascii="Calibri" w:hAnsi="Calibri"/>
                <w:snapToGrid w:val="0"/>
                <w:szCs w:val="21"/>
              </w:rPr>
              <w:t>）</w:t>
            </w:r>
          </w:p>
        </w:tc>
        <w:tc>
          <w:tcPr>
            <w:tcW w:w="597" w:type="pct"/>
            <w:tcBorders>
              <w:left w:val="single" w:sz="2" w:space="0" w:color="auto"/>
            </w:tcBorders>
            <w:vAlign w:val="center"/>
          </w:tcPr>
          <w:p w14:paraId="11B4EEFD"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排放速率</w:t>
            </w:r>
          </w:p>
          <w:p w14:paraId="6541097E"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w:t>
            </w:r>
            <w:r w:rsidRPr="00A964FF">
              <w:rPr>
                <w:rFonts w:ascii="Calibri" w:hAnsi="Calibri"/>
                <w:snapToGrid w:val="0"/>
                <w:szCs w:val="21"/>
              </w:rPr>
              <w:t>kg/h</w:t>
            </w:r>
            <w:r w:rsidRPr="00A964FF">
              <w:rPr>
                <w:rFonts w:ascii="Calibri" w:hAnsi="Calibri"/>
                <w:snapToGrid w:val="0"/>
                <w:szCs w:val="21"/>
              </w:rPr>
              <w:t>）</w:t>
            </w:r>
          </w:p>
        </w:tc>
        <w:tc>
          <w:tcPr>
            <w:tcW w:w="569" w:type="pct"/>
            <w:tcBorders>
              <w:right w:val="single" w:sz="2" w:space="0" w:color="auto"/>
            </w:tcBorders>
            <w:vAlign w:val="center"/>
          </w:tcPr>
          <w:p w14:paraId="0B161FB6"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排放量</w:t>
            </w:r>
          </w:p>
          <w:p w14:paraId="6ACB4309" w14:textId="77777777" w:rsidR="00B0285F" w:rsidRPr="00A964FF" w:rsidRDefault="00B0285F" w:rsidP="008B1803">
            <w:pPr>
              <w:jc w:val="center"/>
              <w:rPr>
                <w:rFonts w:ascii="Calibri" w:hAnsi="Calibri"/>
                <w:snapToGrid w:val="0"/>
                <w:szCs w:val="21"/>
              </w:rPr>
            </w:pPr>
            <w:r w:rsidRPr="00A964FF">
              <w:rPr>
                <w:rFonts w:ascii="Calibri" w:hAnsi="Calibri"/>
                <w:snapToGrid w:val="0"/>
                <w:szCs w:val="21"/>
              </w:rPr>
              <w:t>（</w:t>
            </w:r>
            <w:r w:rsidRPr="00A964FF">
              <w:rPr>
                <w:rFonts w:ascii="Calibri" w:hAnsi="Calibri"/>
                <w:snapToGrid w:val="0"/>
                <w:szCs w:val="21"/>
              </w:rPr>
              <w:t>t/a</w:t>
            </w:r>
            <w:r w:rsidRPr="00A964FF">
              <w:rPr>
                <w:rFonts w:ascii="Calibri" w:hAnsi="Calibri"/>
                <w:snapToGrid w:val="0"/>
                <w:szCs w:val="21"/>
              </w:rPr>
              <w:t>）</w:t>
            </w:r>
          </w:p>
        </w:tc>
        <w:tc>
          <w:tcPr>
            <w:tcW w:w="838" w:type="pct"/>
            <w:vMerge/>
            <w:tcBorders>
              <w:left w:val="single" w:sz="2" w:space="0" w:color="auto"/>
            </w:tcBorders>
            <w:vAlign w:val="center"/>
          </w:tcPr>
          <w:p w14:paraId="12D799C6" w14:textId="77777777" w:rsidR="00B0285F" w:rsidRPr="00A964FF" w:rsidRDefault="00B0285F" w:rsidP="008B1803">
            <w:pPr>
              <w:jc w:val="center"/>
              <w:rPr>
                <w:rFonts w:ascii="Calibri" w:hAnsi="Calibri"/>
                <w:snapToGrid w:val="0"/>
                <w:szCs w:val="21"/>
              </w:rPr>
            </w:pPr>
          </w:p>
        </w:tc>
      </w:tr>
      <w:tr w:rsidR="00484A17" w:rsidRPr="00A964FF" w14:paraId="3313A892" w14:textId="77777777" w:rsidTr="00A42350">
        <w:trPr>
          <w:trHeight w:val="340"/>
        </w:trPr>
        <w:tc>
          <w:tcPr>
            <w:tcW w:w="211" w:type="pct"/>
            <w:vMerge w:val="restart"/>
            <w:vAlign w:val="center"/>
          </w:tcPr>
          <w:p w14:paraId="60671C01" w14:textId="77777777" w:rsidR="00484A17" w:rsidRPr="00A964FF" w:rsidRDefault="00484A17" w:rsidP="00484A17">
            <w:pPr>
              <w:jc w:val="center"/>
              <w:rPr>
                <w:rFonts w:ascii="Calibri" w:hAnsi="Calibri"/>
                <w:snapToGrid w:val="0"/>
                <w:szCs w:val="21"/>
              </w:rPr>
            </w:pPr>
            <w:r w:rsidRPr="00A964FF">
              <w:rPr>
                <w:rFonts w:ascii="Calibri" w:hAnsi="Calibri"/>
                <w:snapToGrid w:val="0"/>
                <w:szCs w:val="21"/>
              </w:rPr>
              <w:t>1</w:t>
            </w:r>
          </w:p>
        </w:tc>
        <w:tc>
          <w:tcPr>
            <w:tcW w:w="555" w:type="pct"/>
            <w:vMerge w:val="restart"/>
            <w:vAlign w:val="center"/>
          </w:tcPr>
          <w:p w14:paraId="6EAA48AC" w14:textId="77777777" w:rsidR="00484A17" w:rsidRPr="00A964FF" w:rsidRDefault="00484A17" w:rsidP="00484A17">
            <w:pPr>
              <w:rPr>
                <w:rFonts w:ascii="Calibri" w:hAnsi="Calibri"/>
                <w:szCs w:val="21"/>
              </w:rPr>
            </w:pPr>
            <w:r>
              <w:rPr>
                <w:rFonts w:ascii="Calibri" w:hAnsi="Calibri" w:hint="eastAsia"/>
                <w:szCs w:val="21"/>
              </w:rPr>
              <w:t>一期</w:t>
            </w:r>
            <w:r>
              <w:rPr>
                <w:rFonts w:ascii="Calibri" w:hAnsi="Calibri"/>
                <w:szCs w:val="21"/>
              </w:rPr>
              <w:t>工程</w:t>
            </w:r>
            <w:r>
              <w:rPr>
                <w:rFonts w:ascii="Calibri" w:hAnsi="Calibri" w:hint="eastAsia"/>
                <w:szCs w:val="21"/>
              </w:rPr>
              <w:t>聚合及</w:t>
            </w:r>
            <w:r w:rsidRPr="00A06A90">
              <w:rPr>
                <w:rFonts w:ascii="Calibri" w:hAnsi="Calibri" w:hint="eastAsia"/>
                <w:color w:val="auto"/>
              </w:rPr>
              <w:t>聚合釜下料</w:t>
            </w:r>
            <w:r>
              <w:rPr>
                <w:rFonts w:ascii="Calibri" w:hAnsi="Calibri" w:hint="eastAsia"/>
                <w:color w:val="auto"/>
              </w:rPr>
              <w:t>挥发</w:t>
            </w:r>
            <w:r w:rsidRPr="00A964FF">
              <w:rPr>
                <w:rFonts w:ascii="Calibri" w:hAnsi="Calibri"/>
                <w:szCs w:val="21"/>
              </w:rPr>
              <w:t>废气</w:t>
            </w:r>
          </w:p>
        </w:tc>
        <w:tc>
          <w:tcPr>
            <w:tcW w:w="442" w:type="pct"/>
            <w:vAlign w:val="center"/>
          </w:tcPr>
          <w:p w14:paraId="15B2E76C" w14:textId="77777777" w:rsidR="00484A17" w:rsidRPr="002A03FA" w:rsidRDefault="00484A17" w:rsidP="00484A17">
            <w:pPr>
              <w:jc w:val="center"/>
              <w:rPr>
                <w:rFonts w:ascii="Calibri" w:hAnsi="Calibri"/>
                <w:snapToGrid w:val="0"/>
                <w:szCs w:val="21"/>
              </w:rPr>
            </w:pPr>
            <w:r w:rsidRPr="002A03FA">
              <w:rPr>
                <w:rFonts w:ascii="Calibri" w:hAnsi="Calibri" w:hint="eastAsia"/>
                <w:snapToGrid w:val="0"/>
                <w:szCs w:val="21"/>
              </w:rPr>
              <w:t>己二胺</w:t>
            </w:r>
          </w:p>
        </w:tc>
        <w:tc>
          <w:tcPr>
            <w:tcW w:w="600" w:type="pct"/>
            <w:vAlign w:val="center"/>
          </w:tcPr>
          <w:p w14:paraId="0B64D44F" w14:textId="391843E4"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t>101.39</w:t>
            </w:r>
          </w:p>
        </w:tc>
        <w:tc>
          <w:tcPr>
            <w:tcW w:w="588" w:type="pct"/>
            <w:vAlign w:val="center"/>
          </w:tcPr>
          <w:p w14:paraId="36318569" w14:textId="2D2EC523" w:rsidR="00484A17" w:rsidRPr="002A03FA" w:rsidRDefault="00484A17" w:rsidP="00484A17">
            <w:pPr>
              <w:jc w:val="center"/>
              <w:rPr>
                <w:rFonts w:ascii="Calibri" w:hAnsi="Calibri"/>
                <w:snapToGrid w:val="0"/>
                <w:szCs w:val="21"/>
              </w:rPr>
            </w:pPr>
            <w:r w:rsidRPr="00CE1FD8">
              <w:rPr>
                <w:rFonts w:ascii="Calibri" w:hAnsi="Calibri"/>
                <w:b/>
                <w:szCs w:val="21"/>
                <w:u w:val="single"/>
              </w:rPr>
              <w:t>2.19</w:t>
            </w:r>
          </w:p>
        </w:tc>
        <w:tc>
          <w:tcPr>
            <w:tcW w:w="600" w:type="pct"/>
            <w:tcBorders>
              <w:right w:val="single" w:sz="2" w:space="0" w:color="auto"/>
            </w:tcBorders>
            <w:vAlign w:val="center"/>
          </w:tcPr>
          <w:p w14:paraId="24D7D527" w14:textId="4F028B89" w:rsidR="00484A17" w:rsidRPr="002A03FA" w:rsidRDefault="00484A17" w:rsidP="00484A17">
            <w:pPr>
              <w:jc w:val="center"/>
              <w:rPr>
                <w:rFonts w:ascii="Calibri" w:hAnsi="Calibri" w:cstheme="minorBidi"/>
                <w:snapToGrid w:val="0"/>
                <w:szCs w:val="21"/>
              </w:rPr>
            </w:pPr>
            <w:r w:rsidRPr="00CE1FD8">
              <w:rPr>
                <w:rFonts w:asciiTheme="minorHAnsi" w:hAnsiTheme="minorHAnsi" w:cstheme="minorHAnsi"/>
                <w:b/>
                <w:color w:val="auto"/>
                <w:szCs w:val="21"/>
                <w:u w:val="single"/>
              </w:rPr>
              <w:t>10.14</w:t>
            </w:r>
          </w:p>
        </w:tc>
        <w:tc>
          <w:tcPr>
            <w:tcW w:w="597" w:type="pct"/>
            <w:tcBorders>
              <w:left w:val="single" w:sz="2" w:space="0" w:color="auto"/>
            </w:tcBorders>
            <w:vAlign w:val="center"/>
          </w:tcPr>
          <w:p w14:paraId="07190201" w14:textId="0B5F3A4B" w:rsidR="00484A17" w:rsidRPr="002A03FA" w:rsidRDefault="00484A17" w:rsidP="00484A17">
            <w:pPr>
              <w:jc w:val="center"/>
              <w:rPr>
                <w:rFonts w:ascii="Calibri" w:hAnsi="Calibri"/>
                <w:snapToGrid w:val="0"/>
                <w:szCs w:val="21"/>
              </w:rPr>
            </w:pPr>
            <w:r w:rsidRPr="00CE1FD8">
              <w:rPr>
                <w:rFonts w:ascii="Calibri" w:hAnsi="Calibri"/>
                <w:b/>
                <w:color w:val="auto"/>
                <w:szCs w:val="21"/>
                <w:u w:val="single"/>
              </w:rPr>
              <w:t>0.031</w:t>
            </w:r>
          </w:p>
        </w:tc>
        <w:tc>
          <w:tcPr>
            <w:tcW w:w="569" w:type="pct"/>
            <w:tcBorders>
              <w:right w:val="single" w:sz="2" w:space="0" w:color="auto"/>
            </w:tcBorders>
            <w:vAlign w:val="center"/>
          </w:tcPr>
          <w:p w14:paraId="656E82C1" w14:textId="021CC45E" w:rsidR="00484A17" w:rsidRPr="002A03FA" w:rsidRDefault="00484A17" w:rsidP="00484A17">
            <w:pPr>
              <w:jc w:val="center"/>
              <w:rPr>
                <w:rFonts w:ascii="Calibri" w:hAnsi="Calibri"/>
                <w:snapToGrid w:val="0"/>
                <w:szCs w:val="21"/>
              </w:rPr>
            </w:pPr>
            <w:r w:rsidRPr="00CE1FD8">
              <w:rPr>
                <w:rFonts w:ascii="Calibri" w:hAnsi="Calibri"/>
                <w:b/>
                <w:color w:val="auto"/>
                <w:szCs w:val="21"/>
                <w:u w:val="single"/>
              </w:rPr>
              <w:t>0.22</w:t>
            </w:r>
          </w:p>
        </w:tc>
        <w:tc>
          <w:tcPr>
            <w:tcW w:w="838" w:type="pct"/>
            <w:vMerge w:val="restart"/>
            <w:tcBorders>
              <w:left w:val="single" w:sz="2" w:space="0" w:color="auto"/>
            </w:tcBorders>
            <w:vAlign w:val="center"/>
          </w:tcPr>
          <w:p w14:paraId="5B9B0E43" w14:textId="28A7FDC5" w:rsidR="00484A17" w:rsidRPr="00A964FF" w:rsidRDefault="00484A17" w:rsidP="0075760C">
            <w:pPr>
              <w:autoSpaceDE w:val="0"/>
              <w:autoSpaceDN w:val="0"/>
              <w:adjustRightInd w:val="0"/>
              <w:jc w:val="center"/>
              <w:rPr>
                <w:rFonts w:ascii="Calibri" w:hAnsi="Calibri"/>
                <w:szCs w:val="21"/>
              </w:rPr>
            </w:pPr>
            <w:r>
              <w:rPr>
                <w:rFonts w:ascii="Calibri" w:hAnsi="Calibri" w:hint="eastAsia"/>
                <w:szCs w:val="21"/>
              </w:rPr>
              <w:t>水喷淋</w:t>
            </w:r>
            <w:r w:rsidR="0075760C">
              <w:rPr>
                <w:rFonts w:ascii="Calibri" w:hAnsi="Calibri" w:hint="eastAsia"/>
                <w:szCs w:val="21"/>
              </w:rPr>
              <w:t>+</w:t>
            </w:r>
            <w:r>
              <w:rPr>
                <w:rFonts w:ascii="Calibri" w:hAnsi="Calibri" w:hint="eastAsia"/>
                <w:szCs w:val="21"/>
              </w:rPr>
              <w:t>活性炭</w:t>
            </w:r>
            <w:r w:rsidRPr="00A964FF">
              <w:rPr>
                <w:rFonts w:ascii="Calibri" w:hAnsi="Calibri"/>
                <w:szCs w:val="21"/>
              </w:rPr>
              <w:t>+</w:t>
            </w:r>
            <w:r>
              <w:rPr>
                <w:rFonts w:ascii="Calibri" w:hAnsi="Calibri" w:hint="eastAsia"/>
                <w:szCs w:val="21"/>
              </w:rPr>
              <w:t>25</w:t>
            </w:r>
            <w:r w:rsidRPr="00A964FF">
              <w:rPr>
                <w:rFonts w:ascii="Calibri" w:hAnsi="Calibri" w:hint="eastAsia"/>
                <w:szCs w:val="21"/>
              </w:rPr>
              <w:t>m</w:t>
            </w:r>
            <w:r w:rsidRPr="00A964FF">
              <w:rPr>
                <w:rFonts w:ascii="Calibri" w:hAnsi="Calibri" w:hint="eastAsia"/>
                <w:szCs w:val="21"/>
              </w:rPr>
              <w:t>排气筒</w:t>
            </w:r>
          </w:p>
          <w:p w14:paraId="667F0C9C" w14:textId="77777777" w:rsidR="00484A17" w:rsidRPr="00A964FF" w:rsidRDefault="00484A17" w:rsidP="00484A17">
            <w:pPr>
              <w:autoSpaceDE w:val="0"/>
              <w:autoSpaceDN w:val="0"/>
              <w:adjustRightInd w:val="0"/>
              <w:jc w:val="center"/>
              <w:rPr>
                <w:rFonts w:ascii="Calibri" w:hAnsi="Calibri"/>
                <w:szCs w:val="21"/>
              </w:rPr>
            </w:pPr>
            <w:r w:rsidRPr="00A964FF">
              <w:rPr>
                <w:rFonts w:ascii="Calibri" w:hAnsi="Calibri" w:hint="eastAsia"/>
                <w:szCs w:val="21"/>
              </w:rPr>
              <w:t>（</w:t>
            </w:r>
            <w:r>
              <w:rPr>
                <w:rFonts w:ascii="Calibri" w:hAnsi="Calibri" w:hint="eastAsia"/>
                <w:szCs w:val="21"/>
              </w:rPr>
              <w:t>DA</w:t>
            </w:r>
            <w:r w:rsidRPr="00A964FF">
              <w:rPr>
                <w:rFonts w:ascii="Calibri" w:hAnsi="Calibri" w:hint="eastAsia"/>
                <w:szCs w:val="21"/>
              </w:rPr>
              <w:t>001</w:t>
            </w:r>
            <w:r w:rsidRPr="00A964FF">
              <w:rPr>
                <w:rFonts w:ascii="Calibri" w:hAnsi="Calibri" w:hint="eastAsia"/>
                <w:szCs w:val="21"/>
              </w:rPr>
              <w:t>）</w:t>
            </w:r>
          </w:p>
        </w:tc>
      </w:tr>
      <w:tr w:rsidR="00484A17" w:rsidRPr="00A964FF" w14:paraId="014EE674" w14:textId="77777777" w:rsidTr="00A42350">
        <w:trPr>
          <w:trHeight w:val="340"/>
        </w:trPr>
        <w:tc>
          <w:tcPr>
            <w:tcW w:w="211" w:type="pct"/>
            <w:vMerge/>
            <w:vAlign w:val="center"/>
          </w:tcPr>
          <w:p w14:paraId="34822F29" w14:textId="77777777" w:rsidR="00484A17" w:rsidRPr="00A964FF" w:rsidRDefault="00484A17" w:rsidP="00484A17">
            <w:pPr>
              <w:jc w:val="center"/>
              <w:rPr>
                <w:rFonts w:ascii="Calibri" w:hAnsi="Calibri"/>
                <w:snapToGrid w:val="0"/>
                <w:szCs w:val="21"/>
              </w:rPr>
            </w:pPr>
          </w:p>
        </w:tc>
        <w:tc>
          <w:tcPr>
            <w:tcW w:w="555" w:type="pct"/>
            <w:vMerge/>
            <w:vAlign w:val="center"/>
          </w:tcPr>
          <w:p w14:paraId="0157FE1B" w14:textId="77777777" w:rsidR="00484A17" w:rsidRDefault="00484A17" w:rsidP="00484A17">
            <w:pPr>
              <w:rPr>
                <w:rFonts w:ascii="Calibri" w:hAnsi="Calibri"/>
                <w:szCs w:val="21"/>
              </w:rPr>
            </w:pPr>
          </w:p>
        </w:tc>
        <w:tc>
          <w:tcPr>
            <w:tcW w:w="442" w:type="pct"/>
            <w:vAlign w:val="center"/>
          </w:tcPr>
          <w:p w14:paraId="27BC0CDB" w14:textId="49B77D15"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t>己二酸</w:t>
            </w:r>
          </w:p>
        </w:tc>
        <w:tc>
          <w:tcPr>
            <w:tcW w:w="600" w:type="pct"/>
            <w:vAlign w:val="center"/>
          </w:tcPr>
          <w:p w14:paraId="7445E621" w14:textId="009FD39C" w:rsidR="00484A17" w:rsidRDefault="00484A17" w:rsidP="00484A17">
            <w:pPr>
              <w:jc w:val="center"/>
              <w:rPr>
                <w:rFonts w:ascii="Calibri" w:hAnsi="Calibri"/>
                <w:szCs w:val="21"/>
              </w:rPr>
            </w:pPr>
            <w:r w:rsidRPr="00CE1FD8">
              <w:rPr>
                <w:rFonts w:ascii="Calibri" w:hAnsi="Calibri" w:hint="eastAsia"/>
                <w:b/>
                <w:szCs w:val="21"/>
                <w:u w:val="single"/>
              </w:rPr>
              <w:t>15.74</w:t>
            </w:r>
          </w:p>
        </w:tc>
        <w:tc>
          <w:tcPr>
            <w:tcW w:w="588" w:type="pct"/>
            <w:vAlign w:val="center"/>
          </w:tcPr>
          <w:p w14:paraId="389A6AA6" w14:textId="0E85B455" w:rsidR="00484A17" w:rsidRDefault="00484A17" w:rsidP="00484A17">
            <w:pPr>
              <w:jc w:val="center"/>
              <w:rPr>
                <w:rFonts w:ascii="Calibri" w:hAnsi="Calibri"/>
                <w:szCs w:val="21"/>
              </w:rPr>
            </w:pPr>
            <w:r w:rsidRPr="00CE1FD8">
              <w:rPr>
                <w:rFonts w:ascii="Calibri" w:hAnsi="Calibri" w:hint="eastAsia"/>
                <w:b/>
                <w:szCs w:val="21"/>
                <w:u w:val="single"/>
              </w:rPr>
              <w:t>0.34</w:t>
            </w:r>
          </w:p>
        </w:tc>
        <w:tc>
          <w:tcPr>
            <w:tcW w:w="600" w:type="pct"/>
            <w:tcBorders>
              <w:right w:val="single" w:sz="2" w:space="0" w:color="auto"/>
            </w:tcBorders>
            <w:vAlign w:val="center"/>
          </w:tcPr>
          <w:p w14:paraId="16FA3EB2" w14:textId="4DBA1B07" w:rsidR="00484A17" w:rsidRDefault="00484A17" w:rsidP="00484A17">
            <w:pPr>
              <w:jc w:val="center"/>
              <w:rPr>
                <w:rFonts w:asciiTheme="minorHAnsi" w:hAnsiTheme="minorHAnsi" w:cstheme="minorHAnsi"/>
                <w:color w:val="auto"/>
                <w:szCs w:val="21"/>
              </w:rPr>
            </w:pPr>
            <w:r w:rsidRPr="00CE1FD8">
              <w:rPr>
                <w:rFonts w:asciiTheme="minorHAnsi" w:hAnsiTheme="minorHAnsi" w:cstheme="minorHAnsi" w:hint="eastAsia"/>
                <w:b/>
                <w:color w:val="auto"/>
                <w:szCs w:val="21"/>
                <w:u w:val="single"/>
              </w:rPr>
              <w:t>1.57</w:t>
            </w:r>
          </w:p>
        </w:tc>
        <w:tc>
          <w:tcPr>
            <w:tcW w:w="597" w:type="pct"/>
            <w:tcBorders>
              <w:left w:val="single" w:sz="2" w:space="0" w:color="auto"/>
            </w:tcBorders>
            <w:vAlign w:val="center"/>
          </w:tcPr>
          <w:p w14:paraId="1943E4B8" w14:textId="77ABA831" w:rsidR="00484A17" w:rsidRPr="00387347" w:rsidRDefault="00484A17" w:rsidP="00484A17">
            <w:pPr>
              <w:jc w:val="center"/>
              <w:rPr>
                <w:rFonts w:ascii="Calibri" w:hAnsi="Calibri"/>
                <w:color w:val="auto"/>
                <w:szCs w:val="21"/>
              </w:rPr>
            </w:pPr>
            <w:r w:rsidRPr="00CE1FD8">
              <w:rPr>
                <w:rFonts w:ascii="Calibri" w:hAnsi="Calibri"/>
                <w:b/>
                <w:color w:val="auto"/>
                <w:szCs w:val="21"/>
                <w:u w:val="single"/>
              </w:rPr>
              <w:t>0.0047</w:t>
            </w:r>
          </w:p>
        </w:tc>
        <w:tc>
          <w:tcPr>
            <w:tcW w:w="569" w:type="pct"/>
            <w:tcBorders>
              <w:right w:val="single" w:sz="2" w:space="0" w:color="auto"/>
            </w:tcBorders>
            <w:vAlign w:val="center"/>
          </w:tcPr>
          <w:p w14:paraId="5CAA2735" w14:textId="0F60590A" w:rsidR="00484A17" w:rsidRDefault="00484A17" w:rsidP="00484A17">
            <w:pPr>
              <w:jc w:val="center"/>
              <w:rPr>
                <w:rFonts w:ascii="Calibri" w:hAnsi="Calibri"/>
                <w:color w:val="auto"/>
                <w:szCs w:val="21"/>
              </w:rPr>
            </w:pPr>
            <w:r w:rsidRPr="00CE1FD8">
              <w:rPr>
                <w:rFonts w:ascii="Calibri" w:hAnsi="Calibri" w:hint="eastAsia"/>
                <w:b/>
                <w:color w:val="auto"/>
                <w:szCs w:val="21"/>
                <w:u w:val="single"/>
              </w:rPr>
              <w:t>0.034</w:t>
            </w:r>
          </w:p>
        </w:tc>
        <w:tc>
          <w:tcPr>
            <w:tcW w:w="838" w:type="pct"/>
            <w:vMerge/>
            <w:tcBorders>
              <w:left w:val="single" w:sz="2" w:space="0" w:color="auto"/>
            </w:tcBorders>
            <w:vAlign w:val="center"/>
          </w:tcPr>
          <w:p w14:paraId="06AEF738" w14:textId="77777777" w:rsidR="00484A17" w:rsidRDefault="00484A17" w:rsidP="00484A17">
            <w:pPr>
              <w:autoSpaceDE w:val="0"/>
              <w:autoSpaceDN w:val="0"/>
              <w:adjustRightInd w:val="0"/>
              <w:jc w:val="center"/>
              <w:rPr>
                <w:rFonts w:ascii="Calibri" w:hAnsi="Calibri"/>
                <w:szCs w:val="21"/>
              </w:rPr>
            </w:pPr>
          </w:p>
        </w:tc>
      </w:tr>
      <w:tr w:rsidR="00484A17" w:rsidRPr="00A964FF" w14:paraId="51A92A0C" w14:textId="77777777" w:rsidTr="00A42350">
        <w:trPr>
          <w:trHeight w:val="340"/>
        </w:trPr>
        <w:tc>
          <w:tcPr>
            <w:tcW w:w="211" w:type="pct"/>
            <w:vMerge/>
            <w:vAlign w:val="center"/>
          </w:tcPr>
          <w:p w14:paraId="1436B219" w14:textId="77777777" w:rsidR="00484A17" w:rsidRPr="00A964FF" w:rsidRDefault="00484A17" w:rsidP="00484A17">
            <w:pPr>
              <w:jc w:val="center"/>
              <w:rPr>
                <w:rFonts w:ascii="Calibri" w:hAnsi="Calibri"/>
                <w:snapToGrid w:val="0"/>
                <w:szCs w:val="21"/>
              </w:rPr>
            </w:pPr>
          </w:p>
        </w:tc>
        <w:tc>
          <w:tcPr>
            <w:tcW w:w="555" w:type="pct"/>
            <w:vMerge/>
            <w:vAlign w:val="center"/>
          </w:tcPr>
          <w:p w14:paraId="115B2062" w14:textId="77777777" w:rsidR="00484A17" w:rsidRPr="00A964FF" w:rsidRDefault="00484A17" w:rsidP="00484A17">
            <w:pPr>
              <w:jc w:val="center"/>
              <w:rPr>
                <w:rFonts w:ascii="Calibri" w:hAnsi="Calibri"/>
                <w:szCs w:val="21"/>
              </w:rPr>
            </w:pPr>
          </w:p>
        </w:tc>
        <w:tc>
          <w:tcPr>
            <w:tcW w:w="442" w:type="pct"/>
            <w:vAlign w:val="center"/>
          </w:tcPr>
          <w:p w14:paraId="6FF60506" w14:textId="77777777" w:rsidR="00484A17" w:rsidRPr="002A03FA" w:rsidRDefault="00484A17" w:rsidP="00484A17">
            <w:pPr>
              <w:jc w:val="center"/>
              <w:rPr>
                <w:rFonts w:ascii="Calibri" w:hAnsi="Calibri"/>
                <w:snapToGrid w:val="0"/>
                <w:szCs w:val="21"/>
              </w:rPr>
            </w:pPr>
            <w:r w:rsidRPr="002A03FA">
              <w:rPr>
                <w:rFonts w:ascii="Calibri" w:hAnsi="Calibri" w:hint="eastAsia"/>
                <w:snapToGrid w:val="0"/>
                <w:szCs w:val="21"/>
              </w:rPr>
              <w:t>非甲烷总烃</w:t>
            </w:r>
          </w:p>
        </w:tc>
        <w:tc>
          <w:tcPr>
            <w:tcW w:w="600" w:type="pct"/>
            <w:vAlign w:val="center"/>
          </w:tcPr>
          <w:p w14:paraId="4C2BA493" w14:textId="24EDEAC4"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t>152.78</w:t>
            </w:r>
          </w:p>
        </w:tc>
        <w:tc>
          <w:tcPr>
            <w:tcW w:w="588" w:type="pct"/>
            <w:vAlign w:val="center"/>
          </w:tcPr>
          <w:p w14:paraId="41557CBC" w14:textId="7758D2F3" w:rsidR="00484A17" w:rsidRPr="002A03FA" w:rsidRDefault="00484A17" w:rsidP="00484A17">
            <w:pPr>
              <w:jc w:val="center"/>
              <w:rPr>
                <w:rFonts w:ascii="Calibri" w:hAnsi="Calibri"/>
                <w:snapToGrid w:val="0"/>
                <w:szCs w:val="21"/>
              </w:rPr>
            </w:pPr>
            <w:r w:rsidRPr="00CE1FD8">
              <w:rPr>
                <w:rFonts w:ascii="Calibri" w:hAnsi="Calibri"/>
                <w:b/>
                <w:szCs w:val="21"/>
                <w:u w:val="single"/>
              </w:rPr>
              <w:t>3.30</w:t>
            </w:r>
          </w:p>
        </w:tc>
        <w:tc>
          <w:tcPr>
            <w:tcW w:w="600" w:type="pct"/>
            <w:tcBorders>
              <w:right w:val="single" w:sz="2" w:space="0" w:color="auto"/>
            </w:tcBorders>
            <w:vAlign w:val="center"/>
          </w:tcPr>
          <w:p w14:paraId="079F1044" w14:textId="6D4473B0" w:rsidR="00484A17" w:rsidRPr="00046C54" w:rsidRDefault="00484A17" w:rsidP="00484A17">
            <w:pPr>
              <w:jc w:val="center"/>
              <w:rPr>
                <w:rFonts w:ascii="Calibri" w:hAnsi="Calibri"/>
                <w:snapToGrid w:val="0"/>
                <w:szCs w:val="21"/>
              </w:rPr>
            </w:pPr>
            <w:r w:rsidRPr="00CE1FD8">
              <w:rPr>
                <w:rFonts w:asciiTheme="minorHAnsi" w:hAnsiTheme="minorHAnsi" w:cstheme="minorHAnsi"/>
                <w:b/>
                <w:color w:val="auto"/>
                <w:szCs w:val="21"/>
                <w:u w:val="single"/>
              </w:rPr>
              <w:t>15.28</w:t>
            </w:r>
          </w:p>
        </w:tc>
        <w:tc>
          <w:tcPr>
            <w:tcW w:w="597" w:type="pct"/>
            <w:tcBorders>
              <w:left w:val="single" w:sz="2" w:space="0" w:color="auto"/>
            </w:tcBorders>
            <w:vAlign w:val="center"/>
          </w:tcPr>
          <w:p w14:paraId="7C3FBD9E" w14:textId="6E6582EE" w:rsidR="00484A17" w:rsidRPr="002A03FA" w:rsidRDefault="00484A17" w:rsidP="00484A17">
            <w:pPr>
              <w:jc w:val="center"/>
              <w:rPr>
                <w:rFonts w:ascii="Calibri" w:hAnsi="Calibri"/>
                <w:snapToGrid w:val="0"/>
                <w:szCs w:val="21"/>
              </w:rPr>
            </w:pPr>
            <w:r w:rsidRPr="00CE1FD8">
              <w:rPr>
                <w:rFonts w:ascii="Calibri" w:hAnsi="Calibri"/>
                <w:b/>
                <w:color w:val="auto"/>
                <w:szCs w:val="21"/>
                <w:u w:val="single"/>
              </w:rPr>
              <w:t>0.046</w:t>
            </w:r>
          </w:p>
        </w:tc>
        <w:tc>
          <w:tcPr>
            <w:tcW w:w="569" w:type="pct"/>
            <w:tcBorders>
              <w:right w:val="single" w:sz="2" w:space="0" w:color="auto"/>
            </w:tcBorders>
            <w:vAlign w:val="center"/>
          </w:tcPr>
          <w:p w14:paraId="345A4A17" w14:textId="4FDA353B" w:rsidR="00484A17" w:rsidRPr="002A03FA" w:rsidRDefault="00484A17" w:rsidP="00484A17">
            <w:pPr>
              <w:jc w:val="center"/>
              <w:rPr>
                <w:rFonts w:ascii="Calibri" w:hAnsi="Calibri"/>
                <w:snapToGrid w:val="0"/>
                <w:szCs w:val="21"/>
              </w:rPr>
            </w:pPr>
            <w:r w:rsidRPr="00CE1FD8">
              <w:rPr>
                <w:rFonts w:ascii="Calibri" w:hAnsi="Calibri"/>
                <w:b/>
                <w:color w:val="auto"/>
                <w:szCs w:val="21"/>
                <w:u w:val="single"/>
              </w:rPr>
              <w:t>0.33</w:t>
            </w:r>
          </w:p>
        </w:tc>
        <w:tc>
          <w:tcPr>
            <w:tcW w:w="838" w:type="pct"/>
            <w:vMerge/>
            <w:tcBorders>
              <w:left w:val="single" w:sz="2" w:space="0" w:color="auto"/>
            </w:tcBorders>
            <w:vAlign w:val="center"/>
          </w:tcPr>
          <w:p w14:paraId="06D91938" w14:textId="77777777" w:rsidR="00484A17" w:rsidRPr="00A964FF" w:rsidRDefault="00484A17" w:rsidP="00484A17">
            <w:pPr>
              <w:autoSpaceDE w:val="0"/>
              <w:autoSpaceDN w:val="0"/>
              <w:adjustRightInd w:val="0"/>
              <w:jc w:val="center"/>
              <w:rPr>
                <w:rFonts w:ascii="Calibri" w:hAnsi="Calibri"/>
                <w:szCs w:val="21"/>
              </w:rPr>
            </w:pPr>
          </w:p>
        </w:tc>
      </w:tr>
      <w:tr w:rsidR="00B0285F" w:rsidRPr="00A964FF" w14:paraId="7BEDC5C4" w14:textId="77777777" w:rsidTr="00A42350">
        <w:trPr>
          <w:trHeight w:val="340"/>
        </w:trPr>
        <w:tc>
          <w:tcPr>
            <w:tcW w:w="211" w:type="pct"/>
            <w:vMerge/>
            <w:vAlign w:val="center"/>
          </w:tcPr>
          <w:p w14:paraId="61BEEABF" w14:textId="77777777" w:rsidR="00B0285F" w:rsidRPr="00A964FF" w:rsidRDefault="00B0285F" w:rsidP="008B1803">
            <w:pPr>
              <w:jc w:val="center"/>
              <w:rPr>
                <w:rFonts w:ascii="Calibri" w:hAnsi="Calibri"/>
                <w:snapToGrid w:val="0"/>
                <w:szCs w:val="21"/>
              </w:rPr>
            </w:pPr>
          </w:p>
        </w:tc>
        <w:tc>
          <w:tcPr>
            <w:tcW w:w="555" w:type="pct"/>
            <w:vMerge/>
            <w:vAlign w:val="center"/>
          </w:tcPr>
          <w:p w14:paraId="744079CD" w14:textId="77777777" w:rsidR="00B0285F" w:rsidRPr="00A964FF" w:rsidRDefault="00B0285F" w:rsidP="008B1803">
            <w:pPr>
              <w:jc w:val="center"/>
              <w:rPr>
                <w:rFonts w:ascii="Calibri" w:hAnsi="Calibri"/>
                <w:szCs w:val="21"/>
              </w:rPr>
            </w:pPr>
          </w:p>
        </w:tc>
        <w:tc>
          <w:tcPr>
            <w:tcW w:w="442" w:type="pct"/>
            <w:vAlign w:val="center"/>
          </w:tcPr>
          <w:p w14:paraId="688D9432" w14:textId="77777777" w:rsidR="00B0285F" w:rsidRPr="002A03FA" w:rsidRDefault="00B0285F" w:rsidP="008B1803">
            <w:pPr>
              <w:jc w:val="center"/>
              <w:rPr>
                <w:rFonts w:ascii="Calibri" w:hAnsi="Calibri"/>
                <w:snapToGrid w:val="0"/>
                <w:szCs w:val="21"/>
              </w:rPr>
            </w:pPr>
            <w:r>
              <w:rPr>
                <w:rFonts w:ascii="Calibri" w:hAnsi="Calibri" w:hint="eastAsia"/>
                <w:snapToGrid w:val="0"/>
                <w:szCs w:val="21"/>
              </w:rPr>
              <w:t>氨</w:t>
            </w:r>
          </w:p>
        </w:tc>
        <w:tc>
          <w:tcPr>
            <w:tcW w:w="600" w:type="pct"/>
            <w:vAlign w:val="center"/>
          </w:tcPr>
          <w:p w14:paraId="1A7B4391" w14:textId="77777777" w:rsidR="00B0285F" w:rsidRPr="00046C54" w:rsidRDefault="00B0285F" w:rsidP="008B1803">
            <w:pPr>
              <w:jc w:val="center"/>
              <w:rPr>
                <w:rFonts w:ascii="Calibri" w:hAnsi="Calibri"/>
                <w:snapToGrid w:val="0"/>
                <w:szCs w:val="21"/>
              </w:rPr>
            </w:pPr>
            <w:r>
              <w:rPr>
                <w:rFonts w:ascii="Calibri" w:hAnsi="Calibri"/>
                <w:szCs w:val="21"/>
              </w:rPr>
              <w:t>0.46</w:t>
            </w:r>
          </w:p>
        </w:tc>
        <w:tc>
          <w:tcPr>
            <w:tcW w:w="588" w:type="pct"/>
            <w:vAlign w:val="center"/>
          </w:tcPr>
          <w:p w14:paraId="05DBDFC1" w14:textId="77777777" w:rsidR="00B0285F" w:rsidRPr="00046C54" w:rsidRDefault="00B0285F" w:rsidP="008B1803">
            <w:pPr>
              <w:jc w:val="center"/>
              <w:rPr>
                <w:rFonts w:ascii="Calibri" w:hAnsi="Calibri"/>
                <w:snapToGrid w:val="0"/>
                <w:szCs w:val="21"/>
              </w:rPr>
            </w:pPr>
            <w:r>
              <w:rPr>
                <w:rFonts w:ascii="Calibri" w:hAnsi="Calibri" w:hint="eastAsia"/>
                <w:color w:val="auto"/>
              </w:rPr>
              <w:t>0.01</w:t>
            </w:r>
          </w:p>
        </w:tc>
        <w:tc>
          <w:tcPr>
            <w:tcW w:w="600" w:type="pct"/>
            <w:tcBorders>
              <w:right w:val="single" w:sz="2" w:space="0" w:color="auto"/>
            </w:tcBorders>
            <w:vAlign w:val="center"/>
          </w:tcPr>
          <w:p w14:paraId="5F23ACED" w14:textId="77777777" w:rsidR="00B0285F" w:rsidRPr="00046C54" w:rsidRDefault="00B0285F" w:rsidP="008B1803">
            <w:pPr>
              <w:jc w:val="center"/>
              <w:rPr>
                <w:rFonts w:ascii="Calibri" w:hAnsi="Calibri"/>
                <w:snapToGrid w:val="0"/>
                <w:szCs w:val="21"/>
              </w:rPr>
            </w:pPr>
            <w:r>
              <w:rPr>
                <w:rFonts w:asciiTheme="minorHAnsi" w:hAnsiTheme="minorHAnsi" w:cstheme="minorHAnsi"/>
                <w:color w:val="auto"/>
                <w:szCs w:val="21"/>
              </w:rPr>
              <w:t>0.14</w:t>
            </w:r>
          </w:p>
        </w:tc>
        <w:tc>
          <w:tcPr>
            <w:tcW w:w="597" w:type="pct"/>
            <w:tcBorders>
              <w:left w:val="single" w:sz="2" w:space="0" w:color="auto"/>
            </w:tcBorders>
            <w:vAlign w:val="center"/>
          </w:tcPr>
          <w:p w14:paraId="76ADFAAD" w14:textId="77777777" w:rsidR="00B0285F" w:rsidRPr="00046C54" w:rsidRDefault="00B0285F" w:rsidP="008B1803">
            <w:pPr>
              <w:jc w:val="center"/>
              <w:rPr>
                <w:rFonts w:ascii="Calibri" w:hAnsi="Calibri"/>
                <w:snapToGrid w:val="0"/>
                <w:szCs w:val="21"/>
              </w:rPr>
            </w:pPr>
            <w:r>
              <w:rPr>
                <w:rFonts w:ascii="Calibri" w:hAnsi="Calibri" w:hint="eastAsia"/>
                <w:color w:val="auto"/>
                <w:szCs w:val="21"/>
              </w:rPr>
              <w:t>0.00042</w:t>
            </w:r>
          </w:p>
        </w:tc>
        <w:tc>
          <w:tcPr>
            <w:tcW w:w="569" w:type="pct"/>
            <w:tcBorders>
              <w:right w:val="single" w:sz="2" w:space="0" w:color="auto"/>
            </w:tcBorders>
            <w:vAlign w:val="center"/>
          </w:tcPr>
          <w:p w14:paraId="0B76C559" w14:textId="77777777" w:rsidR="00B0285F" w:rsidRPr="00046C54" w:rsidRDefault="00B0285F" w:rsidP="008B1803">
            <w:pPr>
              <w:jc w:val="center"/>
              <w:rPr>
                <w:rFonts w:ascii="Calibri" w:hAnsi="Calibri"/>
                <w:snapToGrid w:val="0"/>
                <w:szCs w:val="21"/>
              </w:rPr>
            </w:pPr>
            <w:r>
              <w:rPr>
                <w:rFonts w:ascii="Calibri" w:hAnsi="Calibri" w:hint="eastAsia"/>
                <w:color w:val="auto"/>
                <w:szCs w:val="21"/>
              </w:rPr>
              <w:t>0.003</w:t>
            </w:r>
          </w:p>
        </w:tc>
        <w:tc>
          <w:tcPr>
            <w:tcW w:w="838" w:type="pct"/>
            <w:vMerge/>
            <w:tcBorders>
              <w:left w:val="single" w:sz="2" w:space="0" w:color="auto"/>
            </w:tcBorders>
            <w:vAlign w:val="center"/>
          </w:tcPr>
          <w:p w14:paraId="667D9C9B" w14:textId="77777777" w:rsidR="00B0285F" w:rsidRPr="00A964FF" w:rsidRDefault="00B0285F" w:rsidP="008B1803">
            <w:pPr>
              <w:autoSpaceDE w:val="0"/>
              <w:autoSpaceDN w:val="0"/>
              <w:adjustRightInd w:val="0"/>
              <w:jc w:val="center"/>
              <w:rPr>
                <w:rFonts w:ascii="Calibri" w:hAnsi="Calibri"/>
                <w:szCs w:val="21"/>
              </w:rPr>
            </w:pPr>
          </w:p>
        </w:tc>
      </w:tr>
      <w:tr w:rsidR="00484A17" w:rsidRPr="00A964FF" w14:paraId="0533A9FA" w14:textId="77777777" w:rsidTr="00A42350">
        <w:trPr>
          <w:trHeight w:val="340"/>
        </w:trPr>
        <w:tc>
          <w:tcPr>
            <w:tcW w:w="211" w:type="pct"/>
            <w:vMerge w:val="restart"/>
            <w:vAlign w:val="center"/>
          </w:tcPr>
          <w:p w14:paraId="6BC8D9C6" w14:textId="77777777" w:rsidR="00484A17" w:rsidRPr="002A03FA" w:rsidRDefault="00484A17" w:rsidP="00484A17">
            <w:pPr>
              <w:jc w:val="center"/>
              <w:rPr>
                <w:rFonts w:ascii="Calibri" w:hAnsi="Calibri"/>
                <w:snapToGrid w:val="0"/>
                <w:szCs w:val="21"/>
              </w:rPr>
            </w:pPr>
            <w:r>
              <w:rPr>
                <w:rFonts w:ascii="Calibri" w:hAnsi="Calibri"/>
                <w:snapToGrid w:val="0"/>
                <w:szCs w:val="21"/>
              </w:rPr>
              <w:t>2</w:t>
            </w:r>
          </w:p>
        </w:tc>
        <w:tc>
          <w:tcPr>
            <w:tcW w:w="555" w:type="pct"/>
            <w:vMerge w:val="restart"/>
            <w:vAlign w:val="center"/>
          </w:tcPr>
          <w:p w14:paraId="13577E96" w14:textId="77777777" w:rsidR="00484A17" w:rsidRPr="00DD38C7" w:rsidRDefault="00484A17" w:rsidP="00484A17">
            <w:r>
              <w:rPr>
                <w:rFonts w:hint="eastAsia"/>
              </w:rPr>
              <w:t>二期</w:t>
            </w:r>
            <w:r>
              <w:t>工程</w:t>
            </w:r>
            <w:r w:rsidRPr="00A06A90">
              <w:rPr>
                <w:rFonts w:hint="eastAsia"/>
              </w:rPr>
              <w:t>聚合及聚合釜下料</w:t>
            </w:r>
            <w:r w:rsidRPr="00DD38C7">
              <w:rPr>
                <w:rFonts w:hint="eastAsia"/>
              </w:rPr>
              <w:lastRenderedPageBreak/>
              <w:t>废气</w:t>
            </w:r>
          </w:p>
        </w:tc>
        <w:tc>
          <w:tcPr>
            <w:tcW w:w="442" w:type="pct"/>
            <w:vAlign w:val="center"/>
          </w:tcPr>
          <w:p w14:paraId="1EA00B7F" w14:textId="53F51DCA"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lastRenderedPageBreak/>
              <w:t>己二胺</w:t>
            </w:r>
          </w:p>
        </w:tc>
        <w:tc>
          <w:tcPr>
            <w:tcW w:w="600" w:type="pct"/>
            <w:vAlign w:val="center"/>
          </w:tcPr>
          <w:p w14:paraId="7CE5DA27" w14:textId="7C471AEA"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t>91.67</w:t>
            </w:r>
          </w:p>
        </w:tc>
        <w:tc>
          <w:tcPr>
            <w:tcW w:w="588" w:type="pct"/>
            <w:vAlign w:val="center"/>
          </w:tcPr>
          <w:p w14:paraId="18EF1443" w14:textId="13C09B44" w:rsidR="00484A17" w:rsidRPr="002A03FA" w:rsidRDefault="00484A17" w:rsidP="00484A17">
            <w:pPr>
              <w:jc w:val="center"/>
              <w:rPr>
                <w:rFonts w:ascii="Calibri" w:hAnsi="Calibri"/>
                <w:snapToGrid w:val="0"/>
                <w:szCs w:val="21"/>
              </w:rPr>
            </w:pPr>
            <w:r w:rsidRPr="00CE1FD8">
              <w:rPr>
                <w:rFonts w:ascii="Calibri" w:hAnsi="Calibri"/>
                <w:b/>
                <w:szCs w:val="21"/>
                <w:u w:val="single"/>
              </w:rPr>
              <w:t>1.32</w:t>
            </w:r>
          </w:p>
        </w:tc>
        <w:tc>
          <w:tcPr>
            <w:tcW w:w="600" w:type="pct"/>
            <w:tcBorders>
              <w:right w:val="single" w:sz="2" w:space="0" w:color="auto"/>
            </w:tcBorders>
            <w:vAlign w:val="center"/>
          </w:tcPr>
          <w:p w14:paraId="26E91F30" w14:textId="1F9AFFCC" w:rsidR="00484A17" w:rsidRPr="002A03FA" w:rsidRDefault="00484A17" w:rsidP="00484A17">
            <w:pPr>
              <w:jc w:val="center"/>
              <w:rPr>
                <w:rFonts w:ascii="Calibri" w:hAnsi="Calibri"/>
                <w:snapToGrid w:val="0"/>
                <w:szCs w:val="21"/>
              </w:rPr>
            </w:pPr>
            <w:r w:rsidRPr="00CE1FD8">
              <w:rPr>
                <w:rFonts w:asciiTheme="minorHAnsi" w:hAnsiTheme="minorHAnsi" w:cstheme="minorHAnsi"/>
                <w:b/>
                <w:color w:val="auto"/>
                <w:szCs w:val="21"/>
                <w:u w:val="single"/>
              </w:rPr>
              <w:t>9.17</w:t>
            </w:r>
          </w:p>
        </w:tc>
        <w:tc>
          <w:tcPr>
            <w:tcW w:w="597" w:type="pct"/>
            <w:tcBorders>
              <w:left w:val="single" w:sz="2" w:space="0" w:color="auto"/>
            </w:tcBorders>
            <w:vAlign w:val="center"/>
          </w:tcPr>
          <w:p w14:paraId="585E4DE7" w14:textId="65EF03F9" w:rsidR="00484A17" w:rsidRPr="002A03FA" w:rsidRDefault="00484A17" w:rsidP="00484A17">
            <w:pPr>
              <w:jc w:val="center"/>
              <w:rPr>
                <w:rFonts w:ascii="Calibri" w:hAnsi="Calibri"/>
                <w:snapToGrid w:val="0"/>
                <w:szCs w:val="21"/>
              </w:rPr>
            </w:pPr>
            <w:r w:rsidRPr="00CE1FD8">
              <w:rPr>
                <w:rFonts w:ascii="Calibri" w:hAnsi="Calibri" w:hint="eastAsia"/>
                <w:b/>
                <w:color w:val="auto"/>
                <w:szCs w:val="21"/>
                <w:u w:val="single"/>
              </w:rPr>
              <w:t>0.0</w:t>
            </w:r>
            <w:r w:rsidRPr="00CE1FD8">
              <w:rPr>
                <w:rFonts w:ascii="Calibri" w:hAnsi="Calibri"/>
                <w:b/>
                <w:color w:val="auto"/>
                <w:szCs w:val="21"/>
                <w:u w:val="single"/>
              </w:rPr>
              <w:t>18</w:t>
            </w:r>
          </w:p>
        </w:tc>
        <w:tc>
          <w:tcPr>
            <w:tcW w:w="569" w:type="pct"/>
            <w:tcBorders>
              <w:right w:val="single" w:sz="2" w:space="0" w:color="auto"/>
            </w:tcBorders>
            <w:vAlign w:val="center"/>
          </w:tcPr>
          <w:p w14:paraId="34DF6C1D" w14:textId="29AFEF4F" w:rsidR="00484A17" w:rsidRPr="002A03FA" w:rsidRDefault="00484A17" w:rsidP="00484A17">
            <w:pPr>
              <w:jc w:val="center"/>
              <w:rPr>
                <w:rFonts w:ascii="Calibri" w:hAnsi="Calibri"/>
                <w:snapToGrid w:val="0"/>
                <w:szCs w:val="21"/>
              </w:rPr>
            </w:pPr>
            <w:r w:rsidRPr="00CE1FD8">
              <w:rPr>
                <w:rFonts w:ascii="Calibri" w:hAnsi="Calibri"/>
                <w:b/>
                <w:color w:val="auto"/>
                <w:szCs w:val="21"/>
                <w:u w:val="single"/>
              </w:rPr>
              <w:t>0.13</w:t>
            </w:r>
          </w:p>
        </w:tc>
        <w:tc>
          <w:tcPr>
            <w:tcW w:w="838" w:type="pct"/>
            <w:vMerge/>
            <w:tcBorders>
              <w:left w:val="single" w:sz="2" w:space="0" w:color="auto"/>
            </w:tcBorders>
            <w:vAlign w:val="center"/>
          </w:tcPr>
          <w:p w14:paraId="7A435C2A" w14:textId="77777777" w:rsidR="00484A17" w:rsidRPr="00A964FF" w:rsidRDefault="00484A17" w:rsidP="00484A17">
            <w:pPr>
              <w:jc w:val="center"/>
              <w:rPr>
                <w:rFonts w:ascii="Calibri"/>
                <w:bCs/>
              </w:rPr>
            </w:pPr>
          </w:p>
        </w:tc>
      </w:tr>
      <w:tr w:rsidR="00484A17" w:rsidRPr="00A964FF" w14:paraId="63684B5C" w14:textId="77777777" w:rsidTr="00A42350">
        <w:trPr>
          <w:trHeight w:val="340"/>
        </w:trPr>
        <w:tc>
          <w:tcPr>
            <w:tcW w:w="211" w:type="pct"/>
            <w:vMerge/>
            <w:vAlign w:val="center"/>
          </w:tcPr>
          <w:p w14:paraId="3D117719" w14:textId="77777777" w:rsidR="00484A17" w:rsidRDefault="00484A17" w:rsidP="00484A17">
            <w:pPr>
              <w:jc w:val="center"/>
              <w:rPr>
                <w:rFonts w:ascii="Calibri" w:hAnsi="Calibri"/>
                <w:snapToGrid w:val="0"/>
                <w:szCs w:val="21"/>
              </w:rPr>
            </w:pPr>
          </w:p>
        </w:tc>
        <w:tc>
          <w:tcPr>
            <w:tcW w:w="555" w:type="pct"/>
            <w:vMerge/>
            <w:vAlign w:val="center"/>
          </w:tcPr>
          <w:p w14:paraId="6212D9FD" w14:textId="77777777" w:rsidR="00484A17" w:rsidRDefault="00484A17" w:rsidP="00484A17"/>
        </w:tc>
        <w:tc>
          <w:tcPr>
            <w:tcW w:w="442" w:type="pct"/>
            <w:vAlign w:val="center"/>
          </w:tcPr>
          <w:p w14:paraId="0841ABEF" w14:textId="7D84B674"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t>己二酸</w:t>
            </w:r>
          </w:p>
        </w:tc>
        <w:tc>
          <w:tcPr>
            <w:tcW w:w="600" w:type="pct"/>
            <w:vAlign w:val="center"/>
          </w:tcPr>
          <w:p w14:paraId="5A6DAE50" w14:textId="5F1146E2" w:rsidR="00484A17" w:rsidRDefault="00484A17" w:rsidP="00484A17">
            <w:pPr>
              <w:jc w:val="center"/>
              <w:rPr>
                <w:rFonts w:ascii="Calibri" w:hAnsi="Calibri"/>
                <w:szCs w:val="21"/>
              </w:rPr>
            </w:pPr>
            <w:r w:rsidRPr="00CE1FD8">
              <w:rPr>
                <w:rFonts w:ascii="Calibri" w:hAnsi="Calibri" w:hint="eastAsia"/>
                <w:b/>
                <w:szCs w:val="21"/>
                <w:u w:val="single"/>
              </w:rPr>
              <w:t>14.58</w:t>
            </w:r>
          </w:p>
        </w:tc>
        <w:tc>
          <w:tcPr>
            <w:tcW w:w="588" w:type="pct"/>
            <w:vAlign w:val="center"/>
          </w:tcPr>
          <w:p w14:paraId="3CC51FA2" w14:textId="34D93B5F" w:rsidR="00484A17" w:rsidRDefault="00484A17" w:rsidP="00484A17">
            <w:pPr>
              <w:jc w:val="center"/>
              <w:rPr>
                <w:rFonts w:ascii="Calibri" w:hAnsi="Calibri"/>
                <w:szCs w:val="21"/>
              </w:rPr>
            </w:pPr>
            <w:r w:rsidRPr="00CE1FD8">
              <w:rPr>
                <w:rFonts w:ascii="Calibri" w:hAnsi="Calibri" w:hint="eastAsia"/>
                <w:b/>
                <w:szCs w:val="21"/>
                <w:u w:val="single"/>
              </w:rPr>
              <w:t>0.21</w:t>
            </w:r>
          </w:p>
        </w:tc>
        <w:tc>
          <w:tcPr>
            <w:tcW w:w="600" w:type="pct"/>
            <w:tcBorders>
              <w:right w:val="single" w:sz="2" w:space="0" w:color="auto"/>
            </w:tcBorders>
            <w:vAlign w:val="center"/>
          </w:tcPr>
          <w:p w14:paraId="715B6B41" w14:textId="5D7C7108" w:rsidR="00484A17" w:rsidRDefault="00484A17" w:rsidP="00484A17">
            <w:pPr>
              <w:jc w:val="center"/>
              <w:rPr>
                <w:rFonts w:asciiTheme="minorHAnsi" w:hAnsiTheme="minorHAnsi" w:cstheme="minorHAnsi"/>
                <w:color w:val="auto"/>
                <w:szCs w:val="21"/>
              </w:rPr>
            </w:pPr>
            <w:r w:rsidRPr="00CE1FD8">
              <w:rPr>
                <w:rFonts w:asciiTheme="minorHAnsi" w:hAnsiTheme="minorHAnsi" w:cstheme="minorHAnsi" w:hint="eastAsia"/>
                <w:b/>
                <w:color w:val="auto"/>
                <w:szCs w:val="21"/>
                <w:u w:val="single"/>
              </w:rPr>
              <w:t>1.46</w:t>
            </w:r>
          </w:p>
        </w:tc>
        <w:tc>
          <w:tcPr>
            <w:tcW w:w="597" w:type="pct"/>
            <w:tcBorders>
              <w:left w:val="single" w:sz="2" w:space="0" w:color="auto"/>
            </w:tcBorders>
            <w:vAlign w:val="center"/>
          </w:tcPr>
          <w:p w14:paraId="5B2EA1E9" w14:textId="0A0916C0" w:rsidR="00484A17" w:rsidRPr="00387347" w:rsidRDefault="00484A17" w:rsidP="00484A17">
            <w:pPr>
              <w:jc w:val="center"/>
              <w:rPr>
                <w:rFonts w:ascii="Calibri" w:hAnsi="Calibri"/>
                <w:color w:val="auto"/>
                <w:szCs w:val="21"/>
              </w:rPr>
            </w:pPr>
            <w:r w:rsidRPr="00CE1FD8">
              <w:rPr>
                <w:rFonts w:ascii="Calibri" w:hAnsi="Calibri" w:hint="eastAsia"/>
                <w:b/>
                <w:color w:val="auto"/>
                <w:szCs w:val="21"/>
                <w:u w:val="single"/>
              </w:rPr>
              <w:t>0.0029</w:t>
            </w:r>
          </w:p>
        </w:tc>
        <w:tc>
          <w:tcPr>
            <w:tcW w:w="569" w:type="pct"/>
            <w:tcBorders>
              <w:right w:val="single" w:sz="2" w:space="0" w:color="auto"/>
            </w:tcBorders>
            <w:vAlign w:val="center"/>
          </w:tcPr>
          <w:p w14:paraId="270646E1" w14:textId="19BA8B3C" w:rsidR="00484A17" w:rsidRDefault="00484A17" w:rsidP="00484A17">
            <w:pPr>
              <w:jc w:val="center"/>
              <w:rPr>
                <w:rFonts w:ascii="Calibri" w:hAnsi="Calibri"/>
                <w:color w:val="auto"/>
                <w:szCs w:val="21"/>
              </w:rPr>
            </w:pPr>
            <w:r w:rsidRPr="00CE1FD8">
              <w:rPr>
                <w:rFonts w:ascii="Calibri" w:hAnsi="Calibri" w:hint="eastAsia"/>
                <w:b/>
                <w:color w:val="auto"/>
                <w:szCs w:val="21"/>
                <w:u w:val="single"/>
              </w:rPr>
              <w:t>0.021</w:t>
            </w:r>
          </w:p>
        </w:tc>
        <w:tc>
          <w:tcPr>
            <w:tcW w:w="838" w:type="pct"/>
            <w:vMerge/>
            <w:tcBorders>
              <w:left w:val="single" w:sz="2" w:space="0" w:color="auto"/>
            </w:tcBorders>
            <w:vAlign w:val="center"/>
          </w:tcPr>
          <w:p w14:paraId="36D9FA68" w14:textId="77777777" w:rsidR="00484A17" w:rsidRPr="00A964FF" w:rsidRDefault="00484A17" w:rsidP="00484A17">
            <w:pPr>
              <w:jc w:val="center"/>
              <w:rPr>
                <w:rFonts w:ascii="Calibri"/>
                <w:bCs/>
              </w:rPr>
            </w:pPr>
          </w:p>
        </w:tc>
      </w:tr>
      <w:tr w:rsidR="00484A17" w:rsidRPr="00A964FF" w14:paraId="78686402" w14:textId="77777777" w:rsidTr="00A42350">
        <w:trPr>
          <w:trHeight w:val="340"/>
        </w:trPr>
        <w:tc>
          <w:tcPr>
            <w:tcW w:w="211" w:type="pct"/>
            <w:vMerge/>
            <w:vAlign w:val="center"/>
          </w:tcPr>
          <w:p w14:paraId="2A0C92E5" w14:textId="77777777" w:rsidR="00484A17" w:rsidRDefault="00484A17" w:rsidP="00484A17">
            <w:pPr>
              <w:jc w:val="center"/>
              <w:rPr>
                <w:rFonts w:ascii="Calibri" w:hAnsi="Calibri"/>
                <w:snapToGrid w:val="0"/>
                <w:szCs w:val="21"/>
              </w:rPr>
            </w:pPr>
          </w:p>
        </w:tc>
        <w:tc>
          <w:tcPr>
            <w:tcW w:w="555" w:type="pct"/>
            <w:vMerge/>
            <w:vAlign w:val="center"/>
          </w:tcPr>
          <w:p w14:paraId="3F6C2213" w14:textId="77777777" w:rsidR="00484A17" w:rsidRPr="00A964FF" w:rsidRDefault="00484A17" w:rsidP="00484A17">
            <w:pPr>
              <w:jc w:val="center"/>
              <w:rPr>
                <w:rFonts w:ascii="Calibri" w:hAnsi="Calibri"/>
                <w:kern w:val="0"/>
                <w:szCs w:val="21"/>
              </w:rPr>
            </w:pPr>
          </w:p>
        </w:tc>
        <w:tc>
          <w:tcPr>
            <w:tcW w:w="442" w:type="pct"/>
            <w:vAlign w:val="center"/>
          </w:tcPr>
          <w:p w14:paraId="3264064C" w14:textId="4AF84DDA"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t>非甲烷</w:t>
            </w:r>
            <w:r w:rsidRPr="00CE1FD8">
              <w:rPr>
                <w:rFonts w:ascii="Calibri" w:hAnsi="Calibri" w:hint="eastAsia"/>
                <w:b/>
                <w:szCs w:val="21"/>
                <w:u w:val="single"/>
              </w:rPr>
              <w:lastRenderedPageBreak/>
              <w:t>总烃</w:t>
            </w:r>
          </w:p>
        </w:tc>
        <w:tc>
          <w:tcPr>
            <w:tcW w:w="600" w:type="pct"/>
            <w:vAlign w:val="center"/>
          </w:tcPr>
          <w:p w14:paraId="425271D1" w14:textId="5BCF90D3"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lastRenderedPageBreak/>
              <w:t>138.19</w:t>
            </w:r>
          </w:p>
        </w:tc>
        <w:tc>
          <w:tcPr>
            <w:tcW w:w="588" w:type="pct"/>
            <w:vAlign w:val="center"/>
          </w:tcPr>
          <w:p w14:paraId="6FE54174" w14:textId="5A30DAFC" w:rsidR="00484A17" w:rsidRPr="002A03FA" w:rsidRDefault="00484A17" w:rsidP="00484A17">
            <w:pPr>
              <w:jc w:val="center"/>
              <w:rPr>
                <w:rFonts w:ascii="Calibri" w:hAnsi="Calibri"/>
                <w:snapToGrid w:val="0"/>
                <w:szCs w:val="21"/>
              </w:rPr>
            </w:pPr>
            <w:r w:rsidRPr="00CE1FD8">
              <w:rPr>
                <w:rFonts w:ascii="Calibri" w:hAnsi="Calibri"/>
                <w:b/>
                <w:szCs w:val="21"/>
                <w:u w:val="single"/>
              </w:rPr>
              <w:t>1.99</w:t>
            </w:r>
          </w:p>
        </w:tc>
        <w:tc>
          <w:tcPr>
            <w:tcW w:w="600" w:type="pct"/>
            <w:tcBorders>
              <w:right w:val="single" w:sz="2" w:space="0" w:color="auto"/>
            </w:tcBorders>
            <w:vAlign w:val="center"/>
          </w:tcPr>
          <w:p w14:paraId="490CF9DF" w14:textId="4CF86C38" w:rsidR="00484A17" w:rsidRPr="002A03FA" w:rsidRDefault="00484A17" w:rsidP="00484A17">
            <w:pPr>
              <w:jc w:val="center"/>
              <w:rPr>
                <w:rFonts w:ascii="Calibri" w:hAnsi="Calibri"/>
                <w:snapToGrid w:val="0"/>
                <w:szCs w:val="21"/>
              </w:rPr>
            </w:pPr>
            <w:r w:rsidRPr="00CE1FD8">
              <w:rPr>
                <w:rFonts w:asciiTheme="minorHAnsi" w:hAnsiTheme="minorHAnsi" w:cstheme="minorHAnsi"/>
                <w:b/>
                <w:color w:val="auto"/>
                <w:szCs w:val="21"/>
                <w:u w:val="single"/>
              </w:rPr>
              <w:t>13.82</w:t>
            </w:r>
          </w:p>
        </w:tc>
        <w:tc>
          <w:tcPr>
            <w:tcW w:w="597" w:type="pct"/>
            <w:tcBorders>
              <w:left w:val="single" w:sz="2" w:space="0" w:color="auto"/>
            </w:tcBorders>
            <w:vAlign w:val="center"/>
          </w:tcPr>
          <w:p w14:paraId="11DACE3C" w14:textId="05889A93" w:rsidR="00484A17" w:rsidRPr="002A03FA" w:rsidRDefault="00484A17" w:rsidP="00484A17">
            <w:pPr>
              <w:jc w:val="center"/>
              <w:rPr>
                <w:rFonts w:ascii="Calibri" w:hAnsi="Calibri"/>
                <w:snapToGrid w:val="0"/>
                <w:szCs w:val="21"/>
              </w:rPr>
            </w:pPr>
            <w:r w:rsidRPr="00CE1FD8">
              <w:rPr>
                <w:rFonts w:ascii="Calibri" w:hAnsi="Calibri" w:hint="eastAsia"/>
                <w:b/>
                <w:color w:val="auto"/>
                <w:szCs w:val="21"/>
                <w:u w:val="single"/>
              </w:rPr>
              <w:t>0.0</w:t>
            </w:r>
            <w:r w:rsidRPr="00CE1FD8">
              <w:rPr>
                <w:rFonts w:ascii="Calibri" w:hAnsi="Calibri"/>
                <w:b/>
                <w:color w:val="auto"/>
                <w:szCs w:val="21"/>
                <w:u w:val="single"/>
              </w:rPr>
              <w:t>28</w:t>
            </w:r>
          </w:p>
        </w:tc>
        <w:tc>
          <w:tcPr>
            <w:tcW w:w="569" w:type="pct"/>
            <w:tcBorders>
              <w:right w:val="single" w:sz="2" w:space="0" w:color="auto"/>
            </w:tcBorders>
            <w:vAlign w:val="center"/>
          </w:tcPr>
          <w:p w14:paraId="12268EB2" w14:textId="37B3F5E4" w:rsidR="00484A17" w:rsidRPr="002A03FA" w:rsidRDefault="00484A17" w:rsidP="00484A17">
            <w:pPr>
              <w:jc w:val="center"/>
              <w:rPr>
                <w:rFonts w:ascii="Calibri" w:hAnsi="Calibri"/>
                <w:snapToGrid w:val="0"/>
                <w:szCs w:val="21"/>
              </w:rPr>
            </w:pPr>
            <w:r w:rsidRPr="00CE1FD8">
              <w:rPr>
                <w:rFonts w:ascii="Calibri" w:hAnsi="Calibri"/>
                <w:b/>
                <w:color w:val="auto"/>
                <w:szCs w:val="21"/>
                <w:u w:val="single"/>
              </w:rPr>
              <w:t>0.20</w:t>
            </w:r>
          </w:p>
        </w:tc>
        <w:tc>
          <w:tcPr>
            <w:tcW w:w="838" w:type="pct"/>
            <w:vMerge/>
            <w:tcBorders>
              <w:left w:val="single" w:sz="2" w:space="0" w:color="auto"/>
            </w:tcBorders>
            <w:vAlign w:val="center"/>
          </w:tcPr>
          <w:p w14:paraId="6C3CED4C" w14:textId="77777777" w:rsidR="00484A17" w:rsidRPr="00A964FF" w:rsidRDefault="00484A17" w:rsidP="00484A17">
            <w:pPr>
              <w:jc w:val="center"/>
              <w:rPr>
                <w:rFonts w:ascii="Calibri"/>
                <w:bCs/>
              </w:rPr>
            </w:pPr>
          </w:p>
        </w:tc>
      </w:tr>
      <w:tr w:rsidR="00484A17" w:rsidRPr="00A964FF" w14:paraId="22739CC9" w14:textId="77777777" w:rsidTr="00A42350">
        <w:trPr>
          <w:trHeight w:val="340"/>
        </w:trPr>
        <w:tc>
          <w:tcPr>
            <w:tcW w:w="211" w:type="pct"/>
            <w:vMerge/>
            <w:vAlign w:val="center"/>
          </w:tcPr>
          <w:p w14:paraId="57D1940A" w14:textId="77777777" w:rsidR="00484A17" w:rsidRDefault="00484A17" w:rsidP="00484A17">
            <w:pPr>
              <w:jc w:val="center"/>
              <w:rPr>
                <w:rFonts w:ascii="Calibri" w:hAnsi="Calibri"/>
                <w:snapToGrid w:val="0"/>
                <w:szCs w:val="21"/>
              </w:rPr>
            </w:pPr>
          </w:p>
        </w:tc>
        <w:tc>
          <w:tcPr>
            <w:tcW w:w="555" w:type="pct"/>
            <w:vMerge/>
            <w:vAlign w:val="center"/>
          </w:tcPr>
          <w:p w14:paraId="1E293274" w14:textId="77777777" w:rsidR="00484A17" w:rsidRPr="00A964FF" w:rsidRDefault="00484A17" w:rsidP="00484A17">
            <w:pPr>
              <w:jc w:val="center"/>
              <w:rPr>
                <w:rFonts w:ascii="Calibri" w:hAnsi="Calibri"/>
                <w:kern w:val="0"/>
                <w:szCs w:val="21"/>
              </w:rPr>
            </w:pPr>
          </w:p>
        </w:tc>
        <w:tc>
          <w:tcPr>
            <w:tcW w:w="442" w:type="pct"/>
            <w:vAlign w:val="center"/>
          </w:tcPr>
          <w:p w14:paraId="2D81586B" w14:textId="60506C57" w:rsidR="00484A17" w:rsidRPr="002A03FA" w:rsidRDefault="00484A17" w:rsidP="00484A17">
            <w:pPr>
              <w:jc w:val="center"/>
              <w:rPr>
                <w:rFonts w:ascii="Calibri" w:hAnsi="Calibri"/>
                <w:snapToGrid w:val="0"/>
                <w:szCs w:val="21"/>
              </w:rPr>
            </w:pPr>
            <w:r w:rsidRPr="00CE1FD8">
              <w:rPr>
                <w:rFonts w:ascii="Calibri" w:hAnsi="Calibri" w:hint="eastAsia"/>
                <w:b/>
                <w:szCs w:val="21"/>
                <w:u w:val="single"/>
              </w:rPr>
              <w:t>氨</w:t>
            </w:r>
          </w:p>
        </w:tc>
        <w:tc>
          <w:tcPr>
            <w:tcW w:w="600" w:type="pct"/>
            <w:vAlign w:val="center"/>
          </w:tcPr>
          <w:p w14:paraId="5629D743" w14:textId="77777777" w:rsidR="00484A17" w:rsidRPr="00046C54" w:rsidRDefault="00484A17" w:rsidP="00484A17">
            <w:pPr>
              <w:jc w:val="center"/>
              <w:rPr>
                <w:rFonts w:ascii="Calibri" w:hAnsi="Calibri"/>
                <w:snapToGrid w:val="0"/>
                <w:szCs w:val="21"/>
              </w:rPr>
            </w:pPr>
            <w:r>
              <w:rPr>
                <w:rFonts w:ascii="Calibri" w:hAnsi="Calibri" w:hint="eastAsia"/>
                <w:szCs w:val="21"/>
              </w:rPr>
              <w:t>0.42</w:t>
            </w:r>
          </w:p>
        </w:tc>
        <w:tc>
          <w:tcPr>
            <w:tcW w:w="588" w:type="pct"/>
            <w:vAlign w:val="center"/>
          </w:tcPr>
          <w:p w14:paraId="1E340FBE" w14:textId="77777777" w:rsidR="00484A17" w:rsidRPr="00046C54" w:rsidRDefault="00484A17" w:rsidP="00484A17">
            <w:pPr>
              <w:jc w:val="center"/>
              <w:rPr>
                <w:rFonts w:ascii="Calibri" w:hAnsi="Calibri"/>
                <w:snapToGrid w:val="0"/>
                <w:szCs w:val="21"/>
              </w:rPr>
            </w:pPr>
            <w:r>
              <w:rPr>
                <w:rFonts w:ascii="Calibri" w:hAnsi="Calibri" w:hint="eastAsia"/>
                <w:color w:val="auto"/>
              </w:rPr>
              <w:t>0.006</w:t>
            </w:r>
          </w:p>
        </w:tc>
        <w:tc>
          <w:tcPr>
            <w:tcW w:w="600" w:type="pct"/>
            <w:tcBorders>
              <w:right w:val="single" w:sz="2" w:space="0" w:color="auto"/>
            </w:tcBorders>
            <w:vAlign w:val="center"/>
          </w:tcPr>
          <w:p w14:paraId="4E4C9CCD" w14:textId="598EFC53" w:rsidR="00484A17" w:rsidRPr="00046C54" w:rsidRDefault="00484A17" w:rsidP="00484A17">
            <w:pPr>
              <w:jc w:val="center"/>
              <w:rPr>
                <w:rFonts w:ascii="Calibri" w:hAnsi="Calibri"/>
                <w:snapToGrid w:val="0"/>
                <w:szCs w:val="21"/>
              </w:rPr>
            </w:pPr>
            <w:r w:rsidRPr="00CE1FD8">
              <w:rPr>
                <w:rFonts w:asciiTheme="minorHAnsi" w:hAnsiTheme="minorHAnsi" w:cstheme="minorHAnsi" w:hint="eastAsia"/>
                <w:b/>
                <w:color w:val="auto"/>
                <w:szCs w:val="21"/>
                <w:u w:val="single"/>
              </w:rPr>
              <w:t>0.13</w:t>
            </w:r>
          </w:p>
        </w:tc>
        <w:tc>
          <w:tcPr>
            <w:tcW w:w="597" w:type="pct"/>
            <w:tcBorders>
              <w:left w:val="single" w:sz="2" w:space="0" w:color="auto"/>
            </w:tcBorders>
            <w:vAlign w:val="center"/>
          </w:tcPr>
          <w:p w14:paraId="6C2847D3" w14:textId="1D149A15" w:rsidR="00484A17" w:rsidRPr="00046C54" w:rsidRDefault="00484A17" w:rsidP="00484A17">
            <w:pPr>
              <w:jc w:val="center"/>
              <w:rPr>
                <w:rFonts w:ascii="Calibri" w:hAnsi="Calibri"/>
                <w:snapToGrid w:val="0"/>
                <w:szCs w:val="21"/>
              </w:rPr>
            </w:pPr>
            <w:r w:rsidRPr="00CE1FD8">
              <w:rPr>
                <w:rFonts w:ascii="Calibri" w:hAnsi="Calibri" w:hint="eastAsia"/>
                <w:b/>
                <w:color w:val="auto"/>
                <w:szCs w:val="21"/>
                <w:u w:val="single"/>
              </w:rPr>
              <w:t>0.00025</w:t>
            </w:r>
          </w:p>
        </w:tc>
        <w:tc>
          <w:tcPr>
            <w:tcW w:w="569" w:type="pct"/>
            <w:tcBorders>
              <w:right w:val="single" w:sz="2" w:space="0" w:color="auto"/>
            </w:tcBorders>
            <w:vAlign w:val="center"/>
          </w:tcPr>
          <w:p w14:paraId="6058644F" w14:textId="3B26D9A3" w:rsidR="00484A17" w:rsidRPr="00046C54" w:rsidRDefault="00484A17" w:rsidP="00484A17">
            <w:pPr>
              <w:jc w:val="center"/>
              <w:rPr>
                <w:rFonts w:ascii="Calibri" w:hAnsi="Calibri"/>
                <w:snapToGrid w:val="0"/>
                <w:szCs w:val="21"/>
              </w:rPr>
            </w:pPr>
            <w:r w:rsidRPr="00CE1FD8">
              <w:rPr>
                <w:rFonts w:ascii="Calibri" w:hAnsi="Calibri" w:hint="eastAsia"/>
                <w:b/>
                <w:color w:val="auto"/>
                <w:szCs w:val="21"/>
                <w:u w:val="single"/>
              </w:rPr>
              <w:t>0.0018</w:t>
            </w:r>
          </w:p>
        </w:tc>
        <w:tc>
          <w:tcPr>
            <w:tcW w:w="838" w:type="pct"/>
            <w:vMerge/>
            <w:tcBorders>
              <w:left w:val="single" w:sz="2" w:space="0" w:color="auto"/>
            </w:tcBorders>
            <w:vAlign w:val="center"/>
          </w:tcPr>
          <w:p w14:paraId="3A0D11E0" w14:textId="77777777" w:rsidR="00484A17" w:rsidRPr="00A964FF" w:rsidRDefault="00484A17" w:rsidP="00484A17">
            <w:pPr>
              <w:jc w:val="center"/>
              <w:rPr>
                <w:rFonts w:ascii="Calibri"/>
                <w:bCs/>
              </w:rPr>
            </w:pPr>
          </w:p>
        </w:tc>
      </w:tr>
      <w:tr w:rsidR="00B0285F" w:rsidRPr="00A964FF" w14:paraId="360218A7" w14:textId="77777777" w:rsidTr="00A42350">
        <w:trPr>
          <w:trHeight w:val="340"/>
        </w:trPr>
        <w:tc>
          <w:tcPr>
            <w:tcW w:w="211" w:type="pct"/>
            <w:vMerge w:val="restart"/>
            <w:vAlign w:val="center"/>
          </w:tcPr>
          <w:p w14:paraId="48529FC3" w14:textId="77777777" w:rsidR="00B0285F" w:rsidRDefault="00B0285F" w:rsidP="008B1803">
            <w:pPr>
              <w:jc w:val="center"/>
              <w:rPr>
                <w:rFonts w:ascii="Calibri" w:hAnsi="Calibri"/>
                <w:snapToGrid w:val="0"/>
                <w:szCs w:val="21"/>
              </w:rPr>
            </w:pPr>
            <w:r>
              <w:rPr>
                <w:rFonts w:ascii="Calibri" w:hAnsi="Calibri"/>
                <w:snapToGrid w:val="0"/>
                <w:szCs w:val="21"/>
              </w:rPr>
              <w:t>3</w:t>
            </w:r>
          </w:p>
        </w:tc>
        <w:tc>
          <w:tcPr>
            <w:tcW w:w="555" w:type="pct"/>
            <w:vMerge w:val="restart"/>
            <w:vAlign w:val="center"/>
          </w:tcPr>
          <w:p w14:paraId="24C7E664" w14:textId="77777777" w:rsidR="00B0285F" w:rsidRPr="00A964FF" w:rsidRDefault="00B0285F" w:rsidP="008B1803">
            <w:pPr>
              <w:jc w:val="center"/>
              <w:rPr>
                <w:rFonts w:ascii="Calibri" w:hAnsi="Calibri"/>
                <w:kern w:val="0"/>
                <w:szCs w:val="21"/>
              </w:rPr>
            </w:pPr>
            <w:r>
              <w:rPr>
                <w:rFonts w:ascii="Calibri" w:hAnsi="Calibri" w:hint="eastAsia"/>
                <w:kern w:val="0"/>
                <w:szCs w:val="21"/>
              </w:rPr>
              <w:t>一期</w:t>
            </w:r>
            <w:r w:rsidRPr="00E757EF">
              <w:rPr>
                <w:rFonts w:ascii="Calibri" w:hAnsi="Calibri" w:hint="eastAsia"/>
                <w:kern w:val="0"/>
                <w:szCs w:val="21"/>
              </w:rPr>
              <w:t>导热油炉</w:t>
            </w:r>
            <w:r>
              <w:rPr>
                <w:rFonts w:ascii="Calibri" w:hAnsi="Calibri" w:hint="eastAsia"/>
                <w:kern w:val="0"/>
                <w:szCs w:val="21"/>
              </w:rPr>
              <w:t>燃烧</w:t>
            </w:r>
            <w:r>
              <w:rPr>
                <w:rFonts w:ascii="Calibri" w:hAnsi="Calibri"/>
                <w:kern w:val="0"/>
                <w:szCs w:val="21"/>
              </w:rPr>
              <w:t>废气</w:t>
            </w:r>
          </w:p>
        </w:tc>
        <w:tc>
          <w:tcPr>
            <w:tcW w:w="442" w:type="pct"/>
            <w:vAlign w:val="center"/>
          </w:tcPr>
          <w:p w14:paraId="23DE490C" w14:textId="77777777" w:rsidR="00B0285F" w:rsidRPr="002A03FA" w:rsidRDefault="00B0285F" w:rsidP="008B1803">
            <w:pPr>
              <w:jc w:val="center"/>
              <w:rPr>
                <w:rFonts w:ascii="Calibri" w:hAnsi="Calibri"/>
                <w:snapToGrid w:val="0"/>
                <w:szCs w:val="21"/>
              </w:rPr>
            </w:pPr>
            <w:r w:rsidRPr="002A03FA">
              <w:rPr>
                <w:rFonts w:ascii="Calibri" w:hAnsi="Calibri"/>
                <w:snapToGrid w:val="0"/>
                <w:szCs w:val="21"/>
              </w:rPr>
              <w:t>SO</w:t>
            </w:r>
            <w:r w:rsidRPr="002A03FA">
              <w:rPr>
                <w:rFonts w:ascii="Calibri" w:hAnsi="Calibri"/>
                <w:snapToGrid w:val="0"/>
                <w:szCs w:val="21"/>
                <w:vertAlign w:val="subscript"/>
              </w:rPr>
              <w:t>2</w:t>
            </w:r>
          </w:p>
        </w:tc>
        <w:tc>
          <w:tcPr>
            <w:tcW w:w="600" w:type="pct"/>
            <w:vAlign w:val="center"/>
          </w:tcPr>
          <w:p w14:paraId="21A5061C"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3.70</w:t>
            </w:r>
          </w:p>
        </w:tc>
        <w:tc>
          <w:tcPr>
            <w:tcW w:w="588" w:type="pct"/>
            <w:vAlign w:val="center"/>
          </w:tcPr>
          <w:p w14:paraId="52E83537"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0.042</w:t>
            </w:r>
          </w:p>
        </w:tc>
        <w:tc>
          <w:tcPr>
            <w:tcW w:w="600" w:type="pct"/>
            <w:tcBorders>
              <w:right w:val="single" w:sz="2" w:space="0" w:color="auto"/>
            </w:tcBorders>
            <w:vAlign w:val="center"/>
          </w:tcPr>
          <w:p w14:paraId="314E5F0A"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3.70</w:t>
            </w:r>
          </w:p>
        </w:tc>
        <w:tc>
          <w:tcPr>
            <w:tcW w:w="597" w:type="pct"/>
            <w:tcBorders>
              <w:left w:val="single" w:sz="2" w:space="0" w:color="auto"/>
            </w:tcBorders>
            <w:vAlign w:val="center"/>
          </w:tcPr>
          <w:p w14:paraId="26A0D73B"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0.0058</w:t>
            </w:r>
          </w:p>
        </w:tc>
        <w:tc>
          <w:tcPr>
            <w:tcW w:w="569" w:type="pct"/>
            <w:tcBorders>
              <w:right w:val="single" w:sz="2" w:space="0" w:color="auto"/>
            </w:tcBorders>
            <w:vAlign w:val="center"/>
          </w:tcPr>
          <w:p w14:paraId="036DA8B0"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0.042</w:t>
            </w:r>
          </w:p>
        </w:tc>
        <w:tc>
          <w:tcPr>
            <w:tcW w:w="838" w:type="pct"/>
            <w:vMerge w:val="restart"/>
            <w:tcBorders>
              <w:left w:val="single" w:sz="2" w:space="0" w:color="auto"/>
            </w:tcBorders>
            <w:vAlign w:val="center"/>
          </w:tcPr>
          <w:p w14:paraId="20ED0889" w14:textId="77777777" w:rsidR="00B0285F" w:rsidRDefault="00B0285F" w:rsidP="008B1803">
            <w:pPr>
              <w:jc w:val="center"/>
              <w:rPr>
                <w:rFonts w:ascii="Calibri"/>
                <w:bCs/>
              </w:rPr>
            </w:pPr>
            <w:r w:rsidRPr="00E757EF">
              <w:rPr>
                <w:rFonts w:ascii="Calibri" w:hint="eastAsia"/>
                <w:bCs/>
              </w:rPr>
              <w:t>低氮燃烧器</w:t>
            </w:r>
            <w:r w:rsidRPr="00E757EF">
              <w:rPr>
                <w:rFonts w:ascii="Calibri" w:hint="eastAsia"/>
                <w:bCs/>
              </w:rPr>
              <w:t>+</w:t>
            </w:r>
            <w:r>
              <w:rPr>
                <w:rFonts w:ascii="Calibri"/>
                <w:bCs/>
              </w:rPr>
              <w:t>15</w:t>
            </w:r>
            <w:r w:rsidRPr="00E757EF">
              <w:rPr>
                <w:rFonts w:ascii="Calibri" w:hint="eastAsia"/>
                <w:bCs/>
              </w:rPr>
              <w:t>m</w:t>
            </w:r>
            <w:r w:rsidRPr="00E757EF">
              <w:rPr>
                <w:rFonts w:ascii="Calibri" w:hint="eastAsia"/>
                <w:bCs/>
              </w:rPr>
              <w:t>排气筒</w:t>
            </w:r>
          </w:p>
          <w:p w14:paraId="406D23C5" w14:textId="77777777" w:rsidR="00B0285F" w:rsidRPr="00A964FF" w:rsidRDefault="00B0285F" w:rsidP="008B1803">
            <w:pPr>
              <w:jc w:val="center"/>
              <w:rPr>
                <w:rFonts w:ascii="Calibri"/>
                <w:bCs/>
              </w:rPr>
            </w:pPr>
            <w:r w:rsidRPr="00A964FF">
              <w:rPr>
                <w:rFonts w:ascii="Calibri" w:hAnsi="Calibri" w:hint="eastAsia"/>
                <w:szCs w:val="21"/>
              </w:rPr>
              <w:t>（</w:t>
            </w:r>
            <w:r>
              <w:rPr>
                <w:rFonts w:ascii="Calibri" w:hAnsi="Calibri" w:hint="eastAsia"/>
                <w:szCs w:val="21"/>
              </w:rPr>
              <w:t>DA</w:t>
            </w:r>
            <w:r w:rsidRPr="00A964FF">
              <w:rPr>
                <w:rFonts w:ascii="Calibri" w:hAnsi="Calibri" w:hint="eastAsia"/>
                <w:szCs w:val="21"/>
              </w:rPr>
              <w:t>0</w:t>
            </w:r>
            <w:r>
              <w:rPr>
                <w:rFonts w:ascii="Calibri" w:hAnsi="Calibri" w:hint="eastAsia"/>
                <w:szCs w:val="21"/>
              </w:rPr>
              <w:t>0</w:t>
            </w:r>
            <w:r>
              <w:rPr>
                <w:rFonts w:ascii="Calibri" w:hAnsi="Calibri"/>
                <w:szCs w:val="21"/>
              </w:rPr>
              <w:t>2</w:t>
            </w:r>
            <w:r w:rsidRPr="00A964FF">
              <w:rPr>
                <w:rFonts w:ascii="Calibri" w:hAnsi="Calibri" w:hint="eastAsia"/>
                <w:szCs w:val="21"/>
              </w:rPr>
              <w:t>）</w:t>
            </w:r>
          </w:p>
        </w:tc>
      </w:tr>
      <w:tr w:rsidR="00B0285F" w:rsidRPr="00A964FF" w14:paraId="32B12223" w14:textId="77777777" w:rsidTr="00A42350">
        <w:trPr>
          <w:trHeight w:val="340"/>
        </w:trPr>
        <w:tc>
          <w:tcPr>
            <w:tcW w:w="211" w:type="pct"/>
            <w:vMerge/>
            <w:vAlign w:val="center"/>
          </w:tcPr>
          <w:p w14:paraId="0978A194" w14:textId="77777777" w:rsidR="00B0285F" w:rsidRDefault="00B0285F" w:rsidP="008B1803">
            <w:pPr>
              <w:jc w:val="center"/>
              <w:rPr>
                <w:rFonts w:ascii="Calibri" w:hAnsi="Calibri"/>
                <w:snapToGrid w:val="0"/>
                <w:szCs w:val="21"/>
              </w:rPr>
            </w:pPr>
          </w:p>
        </w:tc>
        <w:tc>
          <w:tcPr>
            <w:tcW w:w="555" w:type="pct"/>
            <w:vMerge/>
            <w:vAlign w:val="center"/>
          </w:tcPr>
          <w:p w14:paraId="73DB553F" w14:textId="77777777" w:rsidR="00B0285F" w:rsidRPr="00A964FF" w:rsidRDefault="00B0285F" w:rsidP="008B1803">
            <w:pPr>
              <w:jc w:val="center"/>
              <w:rPr>
                <w:rFonts w:ascii="Calibri" w:hAnsi="Calibri"/>
                <w:kern w:val="0"/>
                <w:szCs w:val="21"/>
              </w:rPr>
            </w:pPr>
          </w:p>
        </w:tc>
        <w:tc>
          <w:tcPr>
            <w:tcW w:w="442" w:type="pct"/>
            <w:vAlign w:val="center"/>
          </w:tcPr>
          <w:p w14:paraId="406251B7" w14:textId="77777777" w:rsidR="00B0285F" w:rsidRPr="002A03FA" w:rsidRDefault="00B0285F" w:rsidP="008B1803">
            <w:pPr>
              <w:jc w:val="center"/>
              <w:rPr>
                <w:rFonts w:ascii="Calibri" w:hAnsi="Calibri"/>
                <w:snapToGrid w:val="0"/>
                <w:szCs w:val="21"/>
              </w:rPr>
            </w:pPr>
            <w:r w:rsidRPr="002A03FA">
              <w:rPr>
                <w:rFonts w:ascii="Calibri" w:hAnsi="Calibri"/>
                <w:snapToGrid w:val="0"/>
                <w:szCs w:val="21"/>
              </w:rPr>
              <w:t>NOx</w:t>
            </w:r>
          </w:p>
        </w:tc>
        <w:tc>
          <w:tcPr>
            <w:tcW w:w="600" w:type="pct"/>
            <w:vAlign w:val="center"/>
          </w:tcPr>
          <w:p w14:paraId="16E5AED4"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28.30</w:t>
            </w:r>
          </w:p>
        </w:tc>
        <w:tc>
          <w:tcPr>
            <w:tcW w:w="588" w:type="pct"/>
            <w:vAlign w:val="center"/>
          </w:tcPr>
          <w:p w14:paraId="0470AA39"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0.32</w:t>
            </w:r>
          </w:p>
        </w:tc>
        <w:tc>
          <w:tcPr>
            <w:tcW w:w="600" w:type="pct"/>
            <w:tcBorders>
              <w:right w:val="single" w:sz="2" w:space="0" w:color="auto"/>
            </w:tcBorders>
            <w:vAlign w:val="center"/>
          </w:tcPr>
          <w:p w14:paraId="713F10D0"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28.30</w:t>
            </w:r>
          </w:p>
        </w:tc>
        <w:tc>
          <w:tcPr>
            <w:tcW w:w="597" w:type="pct"/>
            <w:tcBorders>
              <w:left w:val="single" w:sz="2" w:space="0" w:color="auto"/>
            </w:tcBorders>
            <w:vAlign w:val="center"/>
          </w:tcPr>
          <w:p w14:paraId="1B75000A"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0.04</w:t>
            </w:r>
            <w:r>
              <w:rPr>
                <w:rFonts w:ascii="Calibri" w:hAnsi="Calibri"/>
                <w:color w:val="auto"/>
                <w:szCs w:val="21"/>
              </w:rPr>
              <w:t>5</w:t>
            </w:r>
          </w:p>
        </w:tc>
        <w:tc>
          <w:tcPr>
            <w:tcW w:w="569" w:type="pct"/>
            <w:tcBorders>
              <w:right w:val="single" w:sz="2" w:space="0" w:color="auto"/>
            </w:tcBorders>
            <w:vAlign w:val="center"/>
          </w:tcPr>
          <w:p w14:paraId="728F3880"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0.32</w:t>
            </w:r>
          </w:p>
        </w:tc>
        <w:tc>
          <w:tcPr>
            <w:tcW w:w="838" w:type="pct"/>
            <w:vMerge/>
            <w:tcBorders>
              <w:left w:val="single" w:sz="2" w:space="0" w:color="auto"/>
            </w:tcBorders>
            <w:vAlign w:val="center"/>
          </w:tcPr>
          <w:p w14:paraId="7B778187" w14:textId="77777777" w:rsidR="00B0285F" w:rsidRPr="00A964FF" w:rsidRDefault="00B0285F" w:rsidP="008B1803">
            <w:pPr>
              <w:jc w:val="center"/>
              <w:rPr>
                <w:rFonts w:ascii="Calibri"/>
                <w:bCs/>
              </w:rPr>
            </w:pPr>
          </w:p>
        </w:tc>
      </w:tr>
      <w:tr w:rsidR="00B0285F" w:rsidRPr="00A964FF" w14:paraId="0A07BAF7" w14:textId="77777777" w:rsidTr="00A42350">
        <w:trPr>
          <w:trHeight w:val="340"/>
        </w:trPr>
        <w:tc>
          <w:tcPr>
            <w:tcW w:w="211" w:type="pct"/>
            <w:vMerge/>
            <w:vAlign w:val="center"/>
          </w:tcPr>
          <w:p w14:paraId="50776990" w14:textId="77777777" w:rsidR="00B0285F" w:rsidRDefault="00B0285F" w:rsidP="008B1803">
            <w:pPr>
              <w:jc w:val="center"/>
              <w:rPr>
                <w:rFonts w:ascii="Calibri" w:hAnsi="Calibri"/>
                <w:snapToGrid w:val="0"/>
                <w:szCs w:val="21"/>
              </w:rPr>
            </w:pPr>
          </w:p>
        </w:tc>
        <w:tc>
          <w:tcPr>
            <w:tcW w:w="555" w:type="pct"/>
            <w:vMerge/>
            <w:vAlign w:val="center"/>
          </w:tcPr>
          <w:p w14:paraId="101992C8" w14:textId="77777777" w:rsidR="00B0285F" w:rsidRPr="00A964FF" w:rsidRDefault="00B0285F" w:rsidP="008B1803">
            <w:pPr>
              <w:jc w:val="center"/>
              <w:rPr>
                <w:rFonts w:ascii="Calibri" w:hAnsi="Calibri"/>
                <w:kern w:val="0"/>
                <w:szCs w:val="21"/>
              </w:rPr>
            </w:pPr>
          </w:p>
        </w:tc>
        <w:tc>
          <w:tcPr>
            <w:tcW w:w="442" w:type="pct"/>
            <w:vAlign w:val="center"/>
          </w:tcPr>
          <w:p w14:paraId="4020B17D" w14:textId="77777777" w:rsidR="00B0285F" w:rsidRPr="002A03FA" w:rsidRDefault="00B0285F" w:rsidP="008B1803">
            <w:pPr>
              <w:jc w:val="center"/>
              <w:rPr>
                <w:rFonts w:ascii="Calibri" w:hAnsi="Calibri"/>
                <w:snapToGrid w:val="0"/>
                <w:szCs w:val="21"/>
              </w:rPr>
            </w:pPr>
            <w:r w:rsidRPr="002A03FA">
              <w:rPr>
                <w:rFonts w:ascii="Calibri" w:hAnsi="Calibri" w:hint="eastAsia"/>
                <w:snapToGrid w:val="0"/>
                <w:szCs w:val="21"/>
              </w:rPr>
              <w:t>颗粒物</w:t>
            </w:r>
          </w:p>
        </w:tc>
        <w:tc>
          <w:tcPr>
            <w:tcW w:w="600" w:type="pct"/>
            <w:vAlign w:val="center"/>
          </w:tcPr>
          <w:p w14:paraId="4145D00B" w14:textId="77777777" w:rsidR="00B0285F" w:rsidRPr="002A03FA" w:rsidRDefault="00B0285F" w:rsidP="008B1803">
            <w:pPr>
              <w:jc w:val="center"/>
              <w:rPr>
                <w:rFonts w:ascii="Calibri" w:hAnsi="Calibri"/>
                <w:snapToGrid w:val="0"/>
                <w:szCs w:val="21"/>
              </w:rPr>
            </w:pPr>
            <w:r w:rsidRPr="00A964FF">
              <w:rPr>
                <w:rFonts w:ascii="Calibri" w:hAnsi="Calibri" w:hint="eastAsia"/>
                <w:color w:val="auto"/>
                <w:szCs w:val="21"/>
              </w:rPr>
              <w:t>2.4</w:t>
            </w:r>
            <w:r>
              <w:rPr>
                <w:rFonts w:ascii="Calibri" w:hAnsi="Calibri"/>
                <w:color w:val="auto"/>
                <w:szCs w:val="21"/>
              </w:rPr>
              <w:t>5</w:t>
            </w:r>
          </w:p>
        </w:tc>
        <w:tc>
          <w:tcPr>
            <w:tcW w:w="588" w:type="pct"/>
            <w:vAlign w:val="center"/>
          </w:tcPr>
          <w:p w14:paraId="2E4B0259"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0.027</w:t>
            </w:r>
          </w:p>
        </w:tc>
        <w:tc>
          <w:tcPr>
            <w:tcW w:w="600" w:type="pct"/>
            <w:tcBorders>
              <w:right w:val="single" w:sz="2" w:space="0" w:color="auto"/>
            </w:tcBorders>
            <w:vAlign w:val="center"/>
          </w:tcPr>
          <w:p w14:paraId="0EA5EDB2" w14:textId="77777777" w:rsidR="00B0285F" w:rsidRPr="002A03FA" w:rsidRDefault="00B0285F" w:rsidP="008B1803">
            <w:pPr>
              <w:jc w:val="center"/>
              <w:rPr>
                <w:rFonts w:ascii="Calibri" w:hAnsi="Calibri"/>
                <w:snapToGrid w:val="0"/>
                <w:szCs w:val="21"/>
              </w:rPr>
            </w:pPr>
            <w:r w:rsidRPr="00A964FF">
              <w:rPr>
                <w:rFonts w:ascii="Calibri" w:hAnsi="Calibri" w:hint="eastAsia"/>
                <w:color w:val="auto"/>
                <w:szCs w:val="21"/>
              </w:rPr>
              <w:t>2.4</w:t>
            </w:r>
            <w:r>
              <w:rPr>
                <w:rFonts w:ascii="Calibri" w:hAnsi="Calibri"/>
                <w:color w:val="auto"/>
                <w:szCs w:val="21"/>
              </w:rPr>
              <w:t>5</w:t>
            </w:r>
          </w:p>
        </w:tc>
        <w:tc>
          <w:tcPr>
            <w:tcW w:w="597" w:type="pct"/>
            <w:tcBorders>
              <w:left w:val="single" w:sz="2" w:space="0" w:color="auto"/>
            </w:tcBorders>
            <w:vAlign w:val="center"/>
          </w:tcPr>
          <w:p w14:paraId="0E9C8595"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0.003</w:t>
            </w:r>
            <w:r>
              <w:rPr>
                <w:rFonts w:ascii="Calibri" w:hAnsi="Calibri"/>
                <w:color w:val="auto"/>
                <w:szCs w:val="21"/>
              </w:rPr>
              <w:t>7</w:t>
            </w:r>
          </w:p>
        </w:tc>
        <w:tc>
          <w:tcPr>
            <w:tcW w:w="569" w:type="pct"/>
            <w:tcBorders>
              <w:right w:val="single" w:sz="2" w:space="0" w:color="auto"/>
            </w:tcBorders>
            <w:vAlign w:val="center"/>
          </w:tcPr>
          <w:p w14:paraId="25BD5649"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0.027</w:t>
            </w:r>
          </w:p>
        </w:tc>
        <w:tc>
          <w:tcPr>
            <w:tcW w:w="838" w:type="pct"/>
            <w:vMerge/>
            <w:tcBorders>
              <w:left w:val="single" w:sz="2" w:space="0" w:color="auto"/>
            </w:tcBorders>
            <w:vAlign w:val="center"/>
          </w:tcPr>
          <w:p w14:paraId="6BA3E7FD" w14:textId="77777777" w:rsidR="00B0285F" w:rsidRPr="00A964FF" w:rsidRDefault="00B0285F" w:rsidP="008B1803">
            <w:pPr>
              <w:jc w:val="center"/>
              <w:rPr>
                <w:rFonts w:ascii="Calibri"/>
                <w:bCs/>
              </w:rPr>
            </w:pPr>
          </w:p>
        </w:tc>
      </w:tr>
      <w:tr w:rsidR="00B0285F" w:rsidRPr="00A964FF" w14:paraId="0AB1DCB0" w14:textId="77777777" w:rsidTr="00A42350">
        <w:trPr>
          <w:trHeight w:val="340"/>
        </w:trPr>
        <w:tc>
          <w:tcPr>
            <w:tcW w:w="211" w:type="pct"/>
            <w:vMerge w:val="restart"/>
            <w:vAlign w:val="center"/>
          </w:tcPr>
          <w:p w14:paraId="659C587D" w14:textId="77777777" w:rsidR="00B0285F" w:rsidRDefault="00B0285F" w:rsidP="008B1803">
            <w:pPr>
              <w:jc w:val="center"/>
              <w:rPr>
                <w:rFonts w:ascii="Calibri" w:hAnsi="Calibri"/>
                <w:snapToGrid w:val="0"/>
                <w:szCs w:val="21"/>
              </w:rPr>
            </w:pPr>
            <w:r>
              <w:rPr>
                <w:rFonts w:ascii="Calibri" w:hAnsi="Calibri" w:hint="eastAsia"/>
                <w:snapToGrid w:val="0"/>
                <w:szCs w:val="21"/>
              </w:rPr>
              <w:t>4</w:t>
            </w:r>
          </w:p>
        </w:tc>
        <w:tc>
          <w:tcPr>
            <w:tcW w:w="555" w:type="pct"/>
            <w:vMerge w:val="restart"/>
            <w:vAlign w:val="center"/>
          </w:tcPr>
          <w:p w14:paraId="39FBAD8B" w14:textId="77777777" w:rsidR="00B0285F" w:rsidRPr="00A964FF" w:rsidRDefault="00B0285F" w:rsidP="008B1803">
            <w:pPr>
              <w:jc w:val="center"/>
              <w:rPr>
                <w:rFonts w:ascii="Calibri" w:hAnsi="Calibri"/>
                <w:kern w:val="0"/>
                <w:szCs w:val="21"/>
              </w:rPr>
            </w:pPr>
            <w:r>
              <w:rPr>
                <w:rFonts w:ascii="Calibri" w:hAnsi="Calibri" w:hint="eastAsia"/>
                <w:kern w:val="0"/>
                <w:szCs w:val="21"/>
              </w:rPr>
              <w:t>二期</w:t>
            </w:r>
            <w:r w:rsidRPr="00E757EF">
              <w:rPr>
                <w:rFonts w:ascii="Calibri" w:hAnsi="Calibri" w:hint="eastAsia"/>
                <w:kern w:val="0"/>
                <w:szCs w:val="21"/>
              </w:rPr>
              <w:t>导热油炉</w:t>
            </w:r>
            <w:r>
              <w:rPr>
                <w:rFonts w:ascii="Calibri" w:hAnsi="Calibri" w:hint="eastAsia"/>
                <w:kern w:val="0"/>
                <w:szCs w:val="21"/>
              </w:rPr>
              <w:t>燃烧</w:t>
            </w:r>
            <w:r>
              <w:rPr>
                <w:rFonts w:ascii="Calibri" w:hAnsi="Calibri"/>
                <w:kern w:val="0"/>
                <w:szCs w:val="21"/>
              </w:rPr>
              <w:t>废气</w:t>
            </w:r>
          </w:p>
        </w:tc>
        <w:tc>
          <w:tcPr>
            <w:tcW w:w="442" w:type="pct"/>
            <w:vAlign w:val="center"/>
          </w:tcPr>
          <w:p w14:paraId="073D8A30" w14:textId="77777777" w:rsidR="00B0285F" w:rsidRPr="002A03FA" w:rsidRDefault="00B0285F" w:rsidP="008B1803">
            <w:pPr>
              <w:jc w:val="center"/>
              <w:rPr>
                <w:rFonts w:ascii="Calibri" w:hAnsi="Calibri"/>
                <w:snapToGrid w:val="0"/>
                <w:szCs w:val="21"/>
              </w:rPr>
            </w:pPr>
            <w:r w:rsidRPr="002A03FA">
              <w:rPr>
                <w:rFonts w:ascii="Calibri" w:hAnsi="Calibri"/>
                <w:snapToGrid w:val="0"/>
                <w:szCs w:val="21"/>
              </w:rPr>
              <w:t>SO</w:t>
            </w:r>
            <w:r w:rsidRPr="002A03FA">
              <w:rPr>
                <w:rFonts w:ascii="Calibri" w:hAnsi="Calibri"/>
                <w:snapToGrid w:val="0"/>
                <w:szCs w:val="21"/>
                <w:vertAlign w:val="subscript"/>
              </w:rPr>
              <w:t>2</w:t>
            </w:r>
          </w:p>
        </w:tc>
        <w:tc>
          <w:tcPr>
            <w:tcW w:w="600" w:type="pct"/>
            <w:vAlign w:val="center"/>
          </w:tcPr>
          <w:p w14:paraId="5EEAFB00"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3.70</w:t>
            </w:r>
          </w:p>
        </w:tc>
        <w:tc>
          <w:tcPr>
            <w:tcW w:w="588" w:type="pct"/>
            <w:vAlign w:val="center"/>
          </w:tcPr>
          <w:p w14:paraId="77AC053D"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0.025</w:t>
            </w:r>
          </w:p>
        </w:tc>
        <w:tc>
          <w:tcPr>
            <w:tcW w:w="600" w:type="pct"/>
            <w:tcBorders>
              <w:right w:val="single" w:sz="2" w:space="0" w:color="auto"/>
            </w:tcBorders>
            <w:vAlign w:val="center"/>
          </w:tcPr>
          <w:p w14:paraId="1D51F7FD"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3.70</w:t>
            </w:r>
          </w:p>
        </w:tc>
        <w:tc>
          <w:tcPr>
            <w:tcW w:w="597" w:type="pct"/>
            <w:tcBorders>
              <w:left w:val="single" w:sz="2" w:space="0" w:color="auto"/>
            </w:tcBorders>
            <w:vAlign w:val="center"/>
          </w:tcPr>
          <w:p w14:paraId="6CA35E14"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0.0035</w:t>
            </w:r>
          </w:p>
        </w:tc>
        <w:tc>
          <w:tcPr>
            <w:tcW w:w="569" w:type="pct"/>
            <w:tcBorders>
              <w:right w:val="single" w:sz="2" w:space="0" w:color="auto"/>
            </w:tcBorders>
            <w:vAlign w:val="center"/>
          </w:tcPr>
          <w:p w14:paraId="525D15CF"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0.025</w:t>
            </w:r>
          </w:p>
        </w:tc>
        <w:tc>
          <w:tcPr>
            <w:tcW w:w="838" w:type="pct"/>
            <w:vMerge/>
            <w:tcBorders>
              <w:left w:val="single" w:sz="2" w:space="0" w:color="auto"/>
            </w:tcBorders>
            <w:vAlign w:val="center"/>
          </w:tcPr>
          <w:p w14:paraId="581A7972" w14:textId="77777777" w:rsidR="00B0285F" w:rsidRPr="00A964FF" w:rsidRDefault="00B0285F" w:rsidP="008B1803">
            <w:pPr>
              <w:jc w:val="center"/>
              <w:rPr>
                <w:rFonts w:ascii="Calibri"/>
                <w:bCs/>
              </w:rPr>
            </w:pPr>
          </w:p>
        </w:tc>
      </w:tr>
      <w:tr w:rsidR="00B0285F" w:rsidRPr="00A964FF" w14:paraId="21997EE1" w14:textId="77777777" w:rsidTr="00A42350">
        <w:trPr>
          <w:trHeight w:val="340"/>
        </w:trPr>
        <w:tc>
          <w:tcPr>
            <w:tcW w:w="211" w:type="pct"/>
            <w:vMerge/>
            <w:vAlign w:val="center"/>
          </w:tcPr>
          <w:p w14:paraId="646C1058" w14:textId="77777777" w:rsidR="00B0285F" w:rsidRDefault="00B0285F" w:rsidP="008B1803">
            <w:pPr>
              <w:jc w:val="center"/>
              <w:rPr>
                <w:rFonts w:ascii="Calibri" w:hAnsi="Calibri"/>
                <w:snapToGrid w:val="0"/>
                <w:szCs w:val="21"/>
              </w:rPr>
            </w:pPr>
          </w:p>
        </w:tc>
        <w:tc>
          <w:tcPr>
            <w:tcW w:w="555" w:type="pct"/>
            <w:vMerge/>
            <w:vAlign w:val="center"/>
          </w:tcPr>
          <w:p w14:paraId="20BBF9F4" w14:textId="77777777" w:rsidR="00B0285F" w:rsidRPr="00A964FF" w:rsidRDefault="00B0285F" w:rsidP="008B1803">
            <w:pPr>
              <w:jc w:val="center"/>
              <w:rPr>
                <w:rFonts w:ascii="Calibri" w:hAnsi="Calibri"/>
                <w:kern w:val="0"/>
                <w:szCs w:val="21"/>
              </w:rPr>
            </w:pPr>
          </w:p>
        </w:tc>
        <w:tc>
          <w:tcPr>
            <w:tcW w:w="442" w:type="pct"/>
            <w:vAlign w:val="center"/>
          </w:tcPr>
          <w:p w14:paraId="6670D463" w14:textId="77777777" w:rsidR="00B0285F" w:rsidRPr="002A03FA" w:rsidRDefault="00B0285F" w:rsidP="008B1803">
            <w:pPr>
              <w:jc w:val="center"/>
              <w:rPr>
                <w:rFonts w:ascii="Calibri" w:hAnsi="Calibri"/>
                <w:snapToGrid w:val="0"/>
                <w:szCs w:val="21"/>
              </w:rPr>
            </w:pPr>
            <w:r w:rsidRPr="002A03FA">
              <w:rPr>
                <w:rFonts w:ascii="Calibri" w:hAnsi="Calibri"/>
                <w:snapToGrid w:val="0"/>
                <w:szCs w:val="21"/>
              </w:rPr>
              <w:t>NOx</w:t>
            </w:r>
          </w:p>
        </w:tc>
        <w:tc>
          <w:tcPr>
            <w:tcW w:w="600" w:type="pct"/>
            <w:vAlign w:val="center"/>
          </w:tcPr>
          <w:p w14:paraId="1190D680"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27.90</w:t>
            </w:r>
          </w:p>
        </w:tc>
        <w:tc>
          <w:tcPr>
            <w:tcW w:w="588" w:type="pct"/>
            <w:vAlign w:val="center"/>
          </w:tcPr>
          <w:p w14:paraId="7C819BA0"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0.19</w:t>
            </w:r>
          </w:p>
        </w:tc>
        <w:tc>
          <w:tcPr>
            <w:tcW w:w="600" w:type="pct"/>
            <w:tcBorders>
              <w:right w:val="single" w:sz="2" w:space="0" w:color="auto"/>
            </w:tcBorders>
            <w:vAlign w:val="center"/>
          </w:tcPr>
          <w:p w14:paraId="133C52FF"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27.90</w:t>
            </w:r>
          </w:p>
        </w:tc>
        <w:tc>
          <w:tcPr>
            <w:tcW w:w="597" w:type="pct"/>
            <w:tcBorders>
              <w:left w:val="single" w:sz="2" w:space="0" w:color="auto"/>
            </w:tcBorders>
            <w:vAlign w:val="center"/>
          </w:tcPr>
          <w:p w14:paraId="0C48BC82"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0.026</w:t>
            </w:r>
          </w:p>
        </w:tc>
        <w:tc>
          <w:tcPr>
            <w:tcW w:w="569" w:type="pct"/>
            <w:tcBorders>
              <w:right w:val="single" w:sz="2" w:space="0" w:color="auto"/>
            </w:tcBorders>
            <w:vAlign w:val="center"/>
          </w:tcPr>
          <w:p w14:paraId="5D747FB9"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0.19</w:t>
            </w:r>
          </w:p>
        </w:tc>
        <w:tc>
          <w:tcPr>
            <w:tcW w:w="838" w:type="pct"/>
            <w:vMerge/>
            <w:tcBorders>
              <w:left w:val="single" w:sz="2" w:space="0" w:color="auto"/>
            </w:tcBorders>
            <w:vAlign w:val="center"/>
          </w:tcPr>
          <w:p w14:paraId="5954B465" w14:textId="77777777" w:rsidR="00B0285F" w:rsidRPr="00A964FF" w:rsidRDefault="00B0285F" w:rsidP="008B1803">
            <w:pPr>
              <w:jc w:val="center"/>
              <w:rPr>
                <w:rFonts w:ascii="Calibri"/>
                <w:bCs/>
              </w:rPr>
            </w:pPr>
          </w:p>
        </w:tc>
      </w:tr>
      <w:tr w:rsidR="00B0285F" w:rsidRPr="00A964FF" w14:paraId="4828CA1B" w14:textId="77777777" w:rsidTr="00A42350">
        <w:trPr>
          <w:trHeight w:val="340"/>
        </w:trPr>
        <w:tc>
          <w:tcPr>
            <w:tcW w:w="211" w:type="pct"/>
            <w:vMerge/>
            <w:vAlign w:val="center"/>
          </w:tcPr>
          <w:p w14:paraId="18A53EB4" w14:textId="77777777" w:rsidR="00B0285F" w:rsidRDefault="00B0285F" w:rsidP="008B1803">
            <w:pPr>
              <w:jc w:val="center"/>
              <w:rPr>
                <w:rFonts w:ascii="Calibri" w:hAnsi="Calibri"/>
                <w:snapToGrid w:val="0"/>
                <w:szCs w:val="21"/>
              </w:rPr>
            </w:pPr>
          </w:p>
        </w:tc>
        <w:tc>
          <w:tcPr>
            <w:tcW w:w="555" w:type="pct"/>
            <w:vMerge/>
            <w:vAlign w:val="center"/>
          </w:tcPr>
          <w:p w14:paraId="16634560" w14:textId="77777777" w:rsidR="00B0285F" w:rsidRPr="00A964FF" w:rsidRDefault="00B0285F" w:rsidP="008B1803">
            <w:pPr>
              <w:jc w:val="center"/>
              <w:rPr>
                <w:rFonts w:ascii="Calibri" w:hAnsi="Calibri"/>
                <w:kern w:val="0"/>
                <w:szCs w:val="21"/>
              </w:rPr>
            </w:pPr>
          </w:p>
        </w:tc>
        <w:tc>
          <w:tcPr>
            <w:tcW w:w="442" w:type="pct"/>
            <w:vAlign w:val="center"/>
          </w:tcPr>
          <w:p w14:paraId="79694060" w14:textId="77777777" w:rsidR="00B0285F" w:rsidRPr="002A03FA" w:rsidRDefault="00B0285F" w:rsidP="008B1803">
            <w:pPr>
              <w:jc w:val="center"/>
              <w:rPr>
                <w:rFonts w:ascii="Calibri" w:hAnsi="Calibri"/>
                <w:snapToGrid w:val="0"/>
                <w:szCs w:val="21"/>
              </w:rPr>
            </w:pPr>
            <w:r w:rsidRPr="002A03FA">
              <w:rPr>
                <w:rFonts w:ascii="Calibri" w:hAnsi="Calibri" w:hint="eastAsia"/>
                <w:snapToGrid w:val="0"/>
                <w:szCs w:val="21"/>
              </w:rPr>
              <w:t>颗粒物</w:t>
            </w:r>
          </w:p>
        </w:tc>
        <w:tc>
          <w:tcPr>
            <w:tcW w:w="600" w:type="pct"/>
            <w:vAlign w:val="center"/>
          </w:tcPr>
          <w:p w14:paraId="55D78E2C" w14:textId="77777777" w:rsidR="00B0285F" w:rsidRPr="002A03FA" w:rsidRDefault="00B0285F" w:rsidP="008B1803">
            <w:pPr>
              <w:jc w:val="center"/>
              <w:rPr>
                <w:rFonts w:ascii="Calibri" w:hAnsi="Calibri"/>
                <w:snapToGrid w:val="0"/>
                <w:szCs w:val="21"/>
              </w:rPr>
            </w:pPr>
            <w:r w:rsidRPr="00A964FF">
              <w:rPr>
                <w:rFonts w:ascii="Calibri" w:hAnsi="Calibri" w:hint="eastAsia"/>
                <w:color w:val="auto"/>
                <w:szCs w:val="21"/>
              </w:rPr>
              <w:t>2.4</w:t>
            </w:r>
            <w:r>
              <w:rPr>
                <w:rFonts w:ascii="Calibri" w:hAnsi="Calibri"/>
                <w:color w:val="auto"/>
                <w:szCs w:val="21"/>
              </w:rPr>
              <w:t>5</w:t>
            </w:r>
          </w:p>
        </w:tc>
        <w:tc>
          <w:tcPr>
            <w:tcW w:w="588" w:type="pct"/>
            <w:vAlign w:val="center"/>
          </w:tcPr>
          <w:p w14:paraId="49760C05"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0.017</w:t>
            </w:r>
          </w:p>
        </w:tc>
        <w:tc>
          <w:tcPr>
            <w:tcW w:w="600" w:type="pct"/>
            <w:tcBorders>
              <w:right w:val="single" w:sz="2" w:space="0" w:color="auto"/>
            </w:tcBorders>
            <w:vAlign w:val="center"/>
          </w:tcPr>
          <w:p w14:paraId="50B7F415" w14:textId="77777777" w:rsidR="00B0285F" w:rsidRPr="002A03FA" w:rsidRDefault="00B0285F" w:rsidP="008B1803">
            <w:pPr>
              <w:jc w:val="center"/>
              <w:rPr>
                <w:rFonts w:ascii="Calibri" w:hAnsi="Calibri"/>
                <w:snapToGrid w:val="0"/>
                <w:szCs w:val="21"/>
              </w:rPr>
            </w:pPr>
            <w:r w:rsidRPr="00A964FF">
              <w:rPr>
                <w:rFonts w:ascii="Calibri" w:hAnsi="Calibri" w:hint="eastAsia"/>
                <w:color w:val="auto"/>
                <w:szCs w:val="21"/>
              </w:rPr>
              <w:t>2.4</w:t>
            </w:r>
            <w:r>
              <w:rPr>
                <w:rFonts w:ascii="Calibri" w:hAnsi="Calibri"/>
                <w:color w:val="auto"/>
                <w:szCs w:val="21"/>
              </w:rPr>
              <w:t>5</w:t>
            </w:r>
          </w:p>
        </w:tc>
        <w:tc>
          <w:tcPr>
            <w:tcW w:w="597" w:type="pct"/>
            <w:tcBorders>
              <w:left w:val="single" w:sz="2" w:space="0" w:color="auto"/>
            </w:tcBorders>
            <w:vAlign w:val="center"/>
          </w:tcPr>
          <w:p w14:paraId="3C1BA26B"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0.0023</w:t>
            </w:r>
          </w:p>
        </w:tc>
        <w:tc>
          <w:tcPr>
            <w:tcW w:w="569" w:type="pct"/>
            <w:tcBorders>
              <w:right w:val="single" w:sz="2" w:space="0" w:color="auto"/>
            </w:tcBorders>
            <w:vAlign w:val="center"/>
          </w:tcPr>
          <w:p w14:paraId="0B32C614" w14:textId="77777777" w:rsidR="00B0285F" w:rsidRPr="002A03FA" w:rsidRDefault="00B0285F" w:rsidP="008B1803">
            <w:pPr>
              <w:jc w:val="center"/>
              <w:rPr>
                <w:rFonts w:ascii="Calibri" w:hAnsi="Calibri"/>
                <w:snapToGrid w:val="0"/>
                <w:szCs w:val="21"/>
              </w:rPr>
            </w:pPr>
            <w:r>
              <w:rPr>
                <w:rFonts w:ascii="Calibri" w:hAnsi="Calibri" w:hint="eastAsia"/>
                <w:color w:val="auto"/>
                <w:szCs w:val="21"/>
              </w:rPr>
              <w:t>0.017</w:t>
            </w:r>
          </w:p>
        </w:tc>
        <w:tc>
          <w:tcPr>
            <w:tcW w:w="838" w:type="pct"/>
            <w:vMerge/>
            <w:tcBorders>
              <w:left w:val="single" w:sz="2" w:space="0" w:color="auto"/>
            </w:tcBorders>
            <w:vAlign w:val="center"/>
          </w:tcPr>
          <w:p w14:paraId="35E5B3A0" w14:textId="77777777" w:rsidR="00B0285F" w:rsidRPr="00A964FF" w:rsidRDefault="00B0285F" w:rsidP="008B1803">
            <w:pPr>
              <w:jc w:val="center"/>
              <w:rPr>
                <w:rFonts w:ascii="Calibri"/>
                <w:bCs/>
              </w:rPr>
            </w:pPr>
          </w:p>
        </w:tc>
      </w:tr>
      <w:tr w:rsidR="00A42350" w:rsidRPr="00A964FF" w14:paraId="57DBF4DD" w14:textId="77777777" w:rsidTr="00A42350">
        <w:trPr>
          <w:trHeight w:val="340"/>
        </w:trPr>
        <w:tc>
          <w:tcPr>
            <w:tcW w:w="211" w:type="pct"/>
            <w:vMerge w:val="restart"/>
            <w:vAlign w:val="center"/>
          </w:tcPr>
          <w:p w14:paraId="5FDE4480" w14:textId="77777777" w:rsidR="00A42350" w:rsidRPr="00A964FF" w:rsidRDefault="00A42350" w:rsidP="00A42350">
            <w:pPr>
              <w:jc w:val="center"/>
              <w:rPr>
                <w:rFonts w:ascii="Calibri" w:hAnsi="Calibri"/>
                <w:snapToGrid w:val="0"/>
                <w:szCs w:val="21"/>
              </w:rPr>
            </w:pPr>
            <w:r>
              <w:rPr>
                <w:rFonts w:ascii="Calibri" w:hAnsi="Calibri"/>
                <w:snapToGrid w:val="0"/>
                <w:szCs w:val="21"/>
              </w:rPr>
              <w:t>5</w:t>
            </w:r>
          </w:p>
        </w:tc>
        <w:tc>
          <w:tcPr>
            <w:tcW w:w="555" w:type="pct"/>
            <w:vMerge w:val="restart"/>
            <w:vAlign w:val="center"/>
          </w:tcPr>
          <w:p w14:paraId="6CF6C268" w14:textId="77777777" w:rsidR="00A42350" w:rsidRPr="00A964FF" w:rsidRDefault="00A42350" w:rsidP="00A42350">
            <w:pPr>
              <w:jc w:val="center"/>
              <w:rPr>
                <w:rFonts w:ascii="Calibri" w:hAnsi="Calibri"/>
                <w:kern w:val="0"/>
                <w:szCs w:val="21"/>
              </w:rPr>
            </w:pPr>
            <w:r w:rsidRPr="00A964FF">
              <w:rPr>
                <w:rFonts w:ascii="Calibri" w:hAnsi="Calibri"/>
                <w:kern w:val="0"/>
                <w:szCs w:val="21"/>
              </w:rPr>
              <w:t>废水处理站</w:t>
            </w:r>
          </w:p>
        </w:tc>
        <w:tc>
          <w:tcPr>
            <w:tcW w:w="442" w:type="pct"/>
            <w:vAlign w:val="center"/>
          </w:tcPr>
          <w:p w14:paraId="518CFCCD" w14:textId="77777777" w:rsidR="00A42350" w:rsidRPr="002A03FA" w:rsidRDefault="00A42350" w:rsidP="00A42350">
            <w:pPr>
              <w:jc w:val="center"/>
              <w:rPr>
                <w:rFonts w:ascii="Calibri" w:hAnsi="Calibri"/>
                <w:snapToGrid w:val="0"/>
                <w:szCs w:val="21"/>
              </w:rPr>
            </w:pPr>
            <w:r w:rsidRPr="002A03FA">
              <w:rPr>
                <w:rFonts w:ascii="Calibri" w:hAnsi="Calibri" w:hint="eastAsia"/>
                <w:snapToGrid w:val="0"/>
                <w:szCs w:val="21"/>
              </w:rPr>
              <w:t>氨</w:t>
            </w:r>
          </w:p>
        </w:tc>
        <w:tc>
          <w:tcPr>
            <w:tcW w:w="600" w:type="pct"/>
            <w:vAlign w:val="center"/>
          </w:tcPr>
          <w:p w14:paraId="28CB2967" w14:textId="77777777" w:rsidR="00A42350" w:rsidRPr="002A03FA" w:rsidRDefault="00A42350" w:rsidP="00A42350">
            <w:pPr>
              <w:jc w:val="center"/>
              <w:rPr>
                <w:rFonts w:ascii="Calibri" w:hAnsi="Calibri"/>
                <w:snapToGrid w:val="0"/>
                <w:szCs w:val="21"/>
              </w:rPr>
            </w:pPr>
            <w:r>
              <w:rPr>
                <w:rFonts w:ascii="Calibri" w:eastAsiaTheme="minorEastAsia" w:hAnsi="Calibri"/>
                <w:snapToGrid w:val="0"/>
                <w:szCs w:val="21"/>
              </w:rPr>
              <w:t>/</w:t>
            </w:r>
          </w:p>
        </w:tc>
        <w:tc>
          <w:tcPr>
            <w:tcW w:w="588" w:type="pct"/>
            <w:vAlign w:val="center"/>
          </w:tcPr>
          <w:p w14:paraId="15002199" w14:textId="442CC6F5" w:rsidR="00A42350" w:rsidRPr="00623F1E" w:rsidRDefault="00A42350" w:rsidP="00A42350">
            <w:pPr>
              <w:jc w:val="center"/>
              <w:rPr>
                <w:rFonts w:ascii="Calibri" w:hAnsi="Calibri"/>
                <w:szCs w:val="21"/>
              </w:rPr>
            </w:pPr>
            <w:r w:rsidRPr="00126090">
              <w:rPr>
                <w:rFonts w:ascii="Calibri" w:hAnsi="Calibri"/>
                <w:b/>
                <w:szCs w:val="21"/>
                <w:u w:val="single"/>
              </w:rPr>
              <w:t>0.042</w:t>
            </w:r>
          </w:p>
        </w:tc>
        <w:tc>
          <w:tcPr>
            <w:tcW w:w="600" w:type="pct"/>
            <w:tcBorders>
              <w:right w:val="single" w:sz="2" w:space="0" w:color="auto"/>
            </w:tcBorders>
            <w:vAlign w:val="center"/>
          </w:tcPr>
          <w:p w14:paraId="4115A181" w14:textId="73D1242F" w:rsidR="00A42350" w:rsidRPr="002A03FA" w:rsidRDefault="00A42350" w:rsidP="00A42350">
            <w:pPr>
              <w:jc w:val="center"/>
              <w:rPr>
                <w:rFonts w:ascii="Calibri" w:hAnsi="Calibri"/>
                <w:snapToGrid w:val="0"/>
                <w:szCs w:val="21"/>
              </w:rPr>
            </w:pPr>
            <w:r>
              <w:rPr>
                <w:rFonts w:ascii="Calibri" w:hAnsi="Calibri"/>
                <w:b/>
                <w:szCs w:val="21"/>
                <w:u w:val="single"/>
              </w:rPr>
              <w:t>0.60</w:t>
            </w:r>
          </w:p>
        </w:tc>
        <w:tc>
          <w:tcPr>
            <w:tcW w:w="597" w:type="pct"/>
            <w:tcBorders>
              <w:left w:val="single" w:sz="2" w:space="0" w:color="auto"/>
            </w:tcBorders>
            <w:vAlign w:val="center"/>
          </w:tcPr>
          <w:p w14:paraId="75E1B12B" w14:textId="1D775C5E" w:rsidR="00A42350" w:rsidRPr="00623F1E" w:rsidRDefault="00A42350" w:rsidP="00A42350">
            <w:pPr>
              <w:jc w:val="center"/>
              <w:rPr>
                <w:rFonts w:ascii="Calibri" w:hAnsi="Calibri"/>
                <w:szCs w:val="21"/>
              </w:rPr>
            </w:pPr>
            <w:r w:rsidRPr="00126090">
              <w:rPr>
                <w:rFonts w:ascii="Calibri" w:hAnsi="Calibri"/>
                <w:b/>
                <w:szCs w:val="21"/>
                <w:u w:val="single"/>
              </w:rPr>
              <w:t>0.00</w:t>
            </w:r>
            <w:r>
              <w:rPr>
                <w:rFonts w:ascii="Calibri" w:hAnsi="Calibri"/>
                <w:b/>
                <w:szCs w:val="21"/>
                <w:u w:val="single"/>
              </w:rPr>
              <w:t>12</w:t>
            </w:r>
          </w:p>
        </w:tc>
        <w:tc>
          <w:tcPr>
            <w:tcW w:w="569" w:type="pct"/>
            <w:tcBorders>
              <w:right w:val="single" w:sz="2" w:space="0" w:color="auto"/>
            </w:tcBorders>
            <w:vAlign w:val="center"/>
          </w:tcPr>
          <w:p w14:paraId="6E56C09F" w14:textId="56080DE3" w:rsidR="00A42350" w:rsidRPr="00623F1E" w:rsidRDefault="00A42350" w:rsidP="00A42350">
            <w:pPr>
              <w:jc w:val="center"/>
              <w:rPr>
                <w:rFonts w:ascii="Calibri" w:hAnsi="Calibri"/>
                <w:szCs w:val="21"/>
              </w:rPr>
            </w:pPr>
            <w:r w:rsidRPr="00126090">
              <w:rPr>
                <w:rFonts w:ascii="Calibri" w:hAnsi="Calibri"/>
                <w:b/>
                <w:szCs w:val="21"/>
                <w:u w:val="single"/>
              </w:rPr>
              <w:t>0.00</w:t>
            </w:r>
            <w:r>
              <w:rPr>
                <w:rFonts w:ascii="Calibri" w:hAnsi="Calibri"/>
                <w:b/>
                <w:szCs w:val="21"/>
                <w:u w:val="single"/>
              </w:rPr>
              <w:t>84</w:t>
            </w:r>
          </w:p>
        </w:tc>
        <w:tc>
          <w:tcPr>
            <w:tcW w:w="838" w:type="pct"/>
            <w:vMerge w:val="restart"/>
            <w:tcBorders>
              <w:left w:val="single" w:sz="2" w:space="0" w:color="auto"/>
            </w:tcBorders>
            <w:vAlign w:val="center"/>
          </w:tcPr>
          <w:p w14:paraId="1128734C" w14:textId="77777777" w:rsidR="00A42350" w:rsidRPr="00A964FF" w:rsidRDefault="00A42350" w:rsidP="00A42350">
            <w:pPr>
              <w:jc w:val="center"/>
              <w:rPr>
                <w:rFonts w:ascii="Calibri" w:hAnsi="Calibri"/>
              </w:rPr>
            </w:pPr>
            <w:r w:rsidRPr="00A964FF">
              <w:rPr>
                <w:rFonts w:ascii="Calibri"/>
                <w:bCs/>
              </w:rPr>
              <w:t>光氧催化</w:t>
            </w:r>
            <w:r w:rsidRPr="00A964FF">
              <w:rPr>
                <w:rFonts w:ascii="Calibri" w:hAnsi="Calibri"/>
              </w:rPr>
              <w:t>+</w:t>
            </w:r>
            <w:r w:rsidRPr="00A964FF">
              <w:rPr>
                <w:rFonts w:ascii="Calibri"/>
              </w:rPr>
              <w:t>活性炭吸附装置</w:t>
            </w:r>
            <w:r w:rsidRPr="00A964FF">
              <w:rPr>
                <w:rFonts w:ascii="Calibri" w:hAnsi="Calibri"/>
              </w:rPr>
              <w:t>+15m</w:t>
            </w:r>
            <w:r w:rsidRPr="00A964FF">
              <w:rPr>
                <w:rFonts w:ascii="Calibri"/>
              </w:rPr>
              <w:t>排气筒</w:t>
            </w:r>
            <w:r w:rsidRPr="00A964FF">
              <w:rPr>
                <w:rFonts w:ascii="Calibri" w:hAnsi="Calibri" w:hint="eastAsia"/>
                <w:szCs w:val="21"/>
              </w:rPr>
              <w:t>（</w:t>
            </w:r>
            <w:r>
              <w:rPr>
                <w:rFonts w:ascii="Calibri" w:hAnsi="Calibri" w:hint="eastAsia"/>
                <w:szCs w:val="21"/>
              </w:rPr>
              <w:t>DA</w:t>
            </w:r>
            <w:r w:rsidRPr="00A964FF">
              <w:rPr>
                <w:rFonts w:ascii="Calibri" w:hAnsi="Calibri" w:hint="eastAsia"/>
                <w:szCs w:val="21"/>
              </w:rPr>
              <w:t>0</w:t>
            </w:r>
            <w:r>
              <w:rPr>
                <w:rFonts w:ascii="Calibri" w:hAnsi="Calibri" w:hint="eastAsia"/>
                <w:szCs w:val="21"/>
              </w:rPr>
              <w:t>0</w:t>
            </w:r>
            <w:r>
              <w:rPr>
                <w:rFonts w:ascii="Calibri" w:hAnsi="Calibri"/>
                <w:szCs w:val="21"/>
              </w:rPr>
              <w:t>3</w:t>
            </w:r>
            <w:r w:rsidRPr="00A964FF">
              <w:rPr>
                <w:rFonts w:ascii="Calibri" w:hAnsi="Calibri" w:hint="eastAsia"/>
                <w:szCs w:val="21"/>
              </w:rPr>
              <w:t>）</w:t>
            </w:r>
          </w:p>
        </w:tc>
      </w:tr>
      <w:tr w:rsidR="00A42350" w:rsidRPr="00A964FF" w14:paraId="3DA9F5BB" w14:textId="77777777" w:rsidTr="00A42350">
        <w:trPr>
          <w:trHeight w:val="340"/>
        </w:trPr>
        <w:tc>
          <w:tcPr>
            <w:tcW w:w="211" w:type="pct"/>
            <w:vMerge/>
            <w:vAlign w:val="center"/>
          </w:tcPr>
          <w:p w14:paraId="2C4D9C5A" w14:textId="77777777" w:rsidR="00A42350" w:rsidRPr="00A964FF" w:rsidRDefault="00A42350" w:rsidP="00A42350">
            <w:pPr>
              <w:jc w:val="center"/>
              <w:rPr>
                <w:rFonts w:ascii="Calibri" w:hAnsi="Calibri"/>
                <w:snapToGrid w:val="0"/>
                <w:szCs w:val="21"/>
              </w:rPr>
            </w:pPr>
          </w:p>
        </w:tc>
        <w:tc>
          <w:tcPr>
            <w:tcW w:w="555" w:type="pct"/>
            <w:vMerge/>
            <w:vAlign w:val="center"/>
          </w:tcPr>
          <w:p w14:paraId="3873E8E9" w14:textId="77777777" w:rsidR="00A42350" w:rsidRPr="00A964FF" w:rsidRDefault="00A42350" w:rsidP="00A42350">
            <w:pPr>
              <w:jc w:val="center"/>
              <w:rPr>
                <w:rFonts w:ascii="Calibri" w:hAnsi="Calibri"/>
                <w:kern w:val="0"/>
                <w:szCs w:val="21"/>
              </w:rPr>
            </w:pPr>
          </w:p>
        </w:tc>
        <w:tc>
          <w:tcPr>
            <w:tcW w:w="442" w:type="pct"/>
            <w:vAlign w:val="center"/>
          </w:tcPr>
          <w:p w14:paraId="51BAFFAC" w14:textId="77777777" w:rsidR="00A42350" w:rsidRPr="002A03FA" w:rsidRDefault="00A42350" w:rsidP="00A42350">
            <w:pPr>
              <w:jc w:val="center"/>
              <w:rPr>
                <w:rFonts w:ascii="Calibri" w:eastAsiaTheme="minorEastAsia" w:hAnsi="Calibri"/>
                <w:snapToGrid w:val="0"/>
                <w:szCs w:val="21"/>
              </w:rPr>
            </w:pPr>
            <w:r w:rsidRPr="002A03FA">
              <w:rPr>
                <w:rFonts w:ascii="Calibri" w:hAnsi="Calibri"/>
                <w:snapToGrid w:val="0"/>
                <w:szCs w:val="21"/>
              </w:rPr>
              <w:t>H</w:t>
            </w:r>
            <w:r w:rsidRPr="002A03FA">
              <w:rPr>
                <w:rFonts w:ascii="Calibri" w:hAnsi="Calibri"/>
                <w:snapToGrid w:val="0"/>
                <w:szCs w:val="21"/>
                <w:vertAlign w:val="subscript"/>
              </w:rPr>
              <w:t>2</w:t>
            </w:r>
            <w:r w:rsidRPr="002A03FA">
              <w:rPr>
                <w:rFonts w:ascii="Calibri" w:hAnsi="Calibri"/>
                <w:snapToGrid w:val="0"/>
                <w:szCs w:val="21"/>
              </w:rPr>
              <w:t>S</w:t>
            </w:r>
          </w:p>
        </w:tc>
        <w:tc>
          <w:tcPr>
            <w:tcW w:w="600" w:type="pct"/>
            <w:vAlign w:val="center"/>
          </w:tcPr>
          <w:p w14:paraId="0DEF38D6" w14:textId="77777777" w:rsidR="00A42350" w:rsidRPr="002A03FA" w:rsidRDefault="00A42350" w:rsidP="00A42350">
            <w:pPr>
              <w:jc w:val="center"/>
              <w:rPr>
                <w:rFonts w:ascii="Calibri" w:eastAsiaTheme="minorEastAsia" w:hAnsi="Calibri"/>
                <w:snapToGrid w:val="0"/>
                <w:szCs w:val="21"/>
              </w:rPr>
            </w:pPr>
            <w:r>
              <w:rPr>
                <w:rFonts w:ascii="Calibri" w:eastAsiaTheme="minorEastAsia" w:hAnsi="Calibri"/>
                <w:snapToGrid w:val="0"/>
                <w:szCs w:val="21"/>
              </w:rPr>
              <w:t>/</w:t>
            </w:r>
          </w:p>
        </w:tc>
        <w:tc>
          <w:tcPr>
            <w:tcW w:w="588" w:type="pct"/>
            <w:vAlign w:val="center"/>
          </w:tcPr>
          <w:p w14:paraId="2D642AEE" w14:textId="27A1AD9B" w:rsidR="00A42350" w:rsidRPr="00623F1E" w:rsidRDefault="00A42350" w:rsidP="00A42350">
            <w:pPr>
              <w:jc w:val="center"/>
              <w:rPr>
                <w:rFonts w:ascii="Calibri" w:hAnsi="Calibri"/>
                <w:szCs w:val="21"/>
              </w:rPr>
            </w:pPr>
            <w:r w:rsidRPr="00126090">
              <w:rPr>
                <w:rFonts w:ascii="Calibri" w:hAnsi="Calibri"/>
                <w:b/>
                <w:szCs w:val="21"/>
                <w:u w:val="single"/>
              </w:rPr>
              <w:t>0.0016</w:t>
            </w:r>
          </w:p>
        </w:tc>
        <w:tc>
          <w:tcPr>
            <w:tcW w:w="600" w:type="pct"/>
            <w:tcBorders>
              <w:right w:val="single" w:sz="2" w:space="0" w:color="auto"/>
            </w:tcBorders>
            <w:vAlign w:val="center"/>
          </w:tcPr>
          <w:p w14:paraId="76CFC759" w14:textId="22CD2830" w:rsidR="00A42350" w:rsidRPr="002A03FA" w:rsidRDefault="00A42350" w:rsidP="00A42350">
            <w:pPr>
              <w:jc w:val="center"/>
              <w:rPr>
                <w:rFonts w:ascii="Calibri" w:hAnsi="Calibri"/>
                <w:snapToGrid w:val="0"/>
                <w:szCs w:val="21"/>
              </w:rPr>
            </w:pPr>
            <w:r w:rsidRPr="00126090">
              <w:rPr>
                <w:rFonts w:ascii="Calibri" w:hAnsi="Calibri" w:hint="eastAsia"/>
                <w:b/>
                <w:szCs w:val="21"/>
                <w:u w:val="single"/>
              </w:rPr>
              <w:t>0.0</w:t>
            </w:r>
            <w:r>
              <w:rPr>
                <w:rFonts w:ascii="Calibri" w:hAnsi="Calibri"/>
                <w:b/>
                <w:szCs w:val="21"/>
                <w:u w:val="single"/>
              </w:rPr>
              <w:t>22</w:t>
            </w:r>
          </w:p>
        </w:tc>
        <w:tc>
          <w:tcPr>
            <w:tcW w:w="597" w:type="pct"/>
            <w:tcBorders>
              <w:left w:val="single" w:sz="2" w:space="0" w:color="auto"/>
            </w:tcBorders>
            <w:vAlign w:val="center"/>
          </w:tcPr>
          <w:p w14:paraId="1C1F87D6" w14:textId="0ADA90C6" w:rsidR="00A42350" w:rsidRPr="00623F1E" w:rsidRDefault="00A42350" w:rsidP="00A42350">
            <w:pPr>
              <w:jc w:val="center"/>
              <w:rPr>
                <w:rFonts w:ascii="Calibri" w:hAnsi="Calibri"/>
                <w:szCs w:val="21"/>
              </w:rPr>
            </w:pPr>
            <w:r w:rsidRPr="00126090">
              <w:rPr>
                <w:rFonts w:ascii="Calibri" w:hAnsi="Calibri"/>
                <w:b/>
                <w:szCs w:val="21"/>
                <w:u w:val="single"/>
              </w:rPr>
              <w:t>0.0000</w:t>
            </w:r>
            <w:r>
              <w:rPr>
                <w:rFonts w:ascii="Calibri" w:hAnsi="Calibri"/>
                <w:b/>
                <w:szCs w:val="21"/>
                <w:u w:val="single"/>
              </w:rPr>
              <w:t>44</w:t>
            </w:r>
          </w:p>
        </w:tc>
        <w:tc>
          <w:tcPr>
            <w:tcW w:w="569" w:type="pct"/>
            <w:tcBorders>
              <w:right w:val="single" w:sz="2" w:space="0" w:color="auto"/>
            </w:tcBorders>
            <w:vAlign w:val="center"/>
          </w:tcPr>
          <w:p w14:paraId="00AAE2CE" w14:textId="14AE6428" w:rsidR="00A42350" w:rsidRPr="00623F1E" w:rsidRDefault="00A42350" w:rsidP="00A42350">
            <w:pPr>
              <w:jc w:val="center"/>
              <w:rPr>
                <w:rFonts w:ascii="Calibri" w:hAnsi="Calibri"/>
                <w:szCs w:val="21"/>
              </w:rPr>
            </w:pPr>
            <w:r w:rsidRPr="00126090">
              <w:rPr>
                <w:rFonts w:ascii="Calibri" w:hAnsi="Calibri"/>
                <w:b/>
                <w:szCs w:val="21"/>
                <w:u w:val="single"/>
              </w:rPr>
              <w:t>0.000</w:t>
            </w:r>
            <w:r>
              <w:rPr>
                <w:rFonts w:ascii="Calibri" w:hAnsi="Calibri"/>
                <w:b/>
                <w:szCs w:val="21"/>
                <w:u w:val="single"/>
              </w:rPr>
              <w:t>32</w:t>
            </w:r>
          </w:p>
        </w:tc>
        <w:tc>
          <w:tcPr>
            <w:tcW w:w="838" w:type="pct"/>
            <w:vMerge/>
            <w:tcBorders>
              <w:left w:val="single" w:sz="2" w:space="0" w:color="auto"/>
            </w:tcBorders>
            <w:vAlign w:val="center"/>
          </w:tcPr>
          <w:p w14:paraId="36CBA5F2" w14:textId="77777777" w:rsidR="00A42350" w:rsidRPr="00A964FF" w:rsidRDefault="00A42350" w:rsidP="00A42350">
            <w:pPr>
              <w:jc w:val="center"/>
              <w:rPr>
                <w:rFonts w:ascii="Calibri" w:hAnsi="Calibri"/>
              </w:rPr>
            </w:pPr>
          </w:p>
        </w:tc>
      </w:tr>
      <w:tr w:rsidR="00A42350" w:rsidRPr="00A964FF" w14:paraId="165B9FB0" w14:textId="77777777" w:rsidTr="00A42350">
        <w:trPr>
          <w:trHeight w:val="340"/>
        </w:trPr>
        <w:tc>
          <w:tcPr>
            <w:tcW w:w="211" w:type="pct"/>
            <w:vMerge/>
            <w:vAlign w:val="center"/>
          </w:tcPr>
          <w:p w14:paraId="3C44CA72" w14:textId="77777777" w:rsidR="00A42350" w:rsidRPr="00A964FF" w:rsidRDefault="00A42350" w:rsidP="00A42350">
            <w:pPr>
              <w:jc w:val="center"/>
              <w:rPr>
                <w:rFonts w:ascii="Calibri" w:hAnsi="Calibri"/>
                <w:snapToGrid w:val="0"/>
                <w:szCs w:val="21"/>
              </w:rPr>
            </w:pPr>
          </w:p>
        </w:tc>
        <w:tc>
          <w:tcPr>
            <w:tcW w:w="555" w:type="pct"/>
            <w:vMerge/>
            <w:vAlign w:val="center"/>
          </w:tcPr>
          <w:p w14:paraId="36174424" w14:textId="77777777" w:rsidR="00A42350" w:rsidRPr="00A964FF" w:rsidRDefault="00A42350" w:rsidP="00A42350">
            <w:pPr>
              <w:jc w:val="center"/>
              <w:rPr>
                <w:rFonts w:ascii="Calibri" w:hAnsi="Calibri"/>
                <w:kern w:val="0"/>
                <w:szCs w:val="21"/>
              </w:rPr>
            </w:pPr>
          </w:p>
        </w:tc>
        <w:tc>
          <w:tcPr>
            <w:tcW w:w="442" w:type="pct"/>
            <w:vAlign w:val="center"/>
          </w:tcPr>
          <w:p w14:paraId="359DF2EB" w14:textId="77777777" w:rsidR="00A42350" w:rsidRPr="002A03FA" w:rsidRDefault="00A42350" w:rsidP="00A42350">
            <w:pPr>
              <w:jc w:val="center"/>
              <w:rPr>
                <w:rFonts w:ascii="Calibri" w:hAnsi="Calibri"/>
                <w:snapToGrid w:val="0"/>
                <w:szCs w:val="21"/>
              </w:rPr>
            </w:pPr>
            <w:r>
              <w:rPr>
                <w:rFonts w:ascii="Calibri" w:hAnsi="Calibri" w:hint="eastAsia"/>
                <w:snapToGrid w:val="0"/>
                <w:szCs w:val="21"/>
              </w:rPr>
              <w:t>非甲烷</w:t>
            </w:r>
            <w:r>
              <w:rPr>
                <w:rFonts w:ascii="Calibri" w:hAnsi="Calibri"/>
                <w:snapToGrid w:val="0"/>
                <w:szCs w:val="21"/>
              </w:rPr>
              <w:t>总烃</w:t>
            </w:r>
          </w:p>
        </w:tc>
        <w:tc>
          <w:tcPr>
            <w:tcW w:w="600" w:type="pct"/>
            <w:vAlign w:val="center"/>
          </w:tcPr>
          <w:p w14:paraId="077CF30C" w14:textId="77777777" w:rsidR="00A42350" w:rsidRPr="002A03FA" w:rsidRDefault="00A42350" w:rsidP="00A42350">
            <w:pPr>
              <w:jc w:val="center"/>
              <w:rPr>
                <w:rFonts w:ascii="Calibri" w:eastAsiaTheme="minorEastAsia" w:hAnsi="Calibri"/>
                <w:snapToGrid w:val="0"/>
                <w:szCs w:val="21"/>
              </w:rPr>
            </w:pPr>
            <w:r>
              <w:rPr>
                <w:rFonts w:ascii="Calibri" w:eastAsiaTheme="minorEastAsia" w:hAnsi="Calibri"/>
                <w:snapToGrid w:val="0"/>
                <w:szCs w:val="21"/>
              </w:rPr>
              <w:t>/</w:t>
            </w:r>
          </w:p>
        </w:tc>
        <w:tc>
          <w:tcPr>
            <w:tcW w:w="588" w:type="pct"/>
            <w:vAlign w:val="center"/>
          </w:tcPr>
          <w:p w14:paraId="5F84C662" w14:textId="5F3A2333" w:rsidR="00A42350" w:rsidRPr="00623F1E" w:rsidRDefault="00A42350" w:rsidP="00A42350">
            <w:pPr>
              <w:jc w:val="center"/>
              <w:rPr>
                <w:rFonts w:ascii="Calibri" w:hAnsi="Calibri"/>
                <w:szCs w:val="21"/>
              </w:rPr>
            </w:pPr>
            <w:r w:rsidRPr="00126090">
              <w:rPr>
                <w:rFonts w:ascii="Calibri" w:hAnsi="Calibri"/>
                <w:b/>
                <w:szCs w:val="21"/>
                <w:u w:val="single"/>
              </w:rPr>
              <w:t>0.068</w:t>
            </w:r>
          </w:p>
        </w:tc>
        <w:tc>
          <w:tcPr>
            <w:tcW w:w="600" w:type="pct"/>
            <w:tcBorders>
              <w:right w:val="single" w:sz="2" w:space="0" w:color="auto"/>
            </w:tcBorders>
            <w:vAlign w:val="center"/>
          </w:tcPr>
          <w:p w14:paraId="03BB9232" w14:textId="5049494B" w:rsidR="00A42350" w:rsidRPr="002A03FA" w:rsidRDefault="00A42350" w:rsidP="00A42350">
            <w:pPr>
              <w:jc w:val="center"/>
              <w:rPr>
                <w:rFonts w:ascii="Calibri" w:hAnsi="Calibri"/>
                <w:snapToGrid w:val="0"/>
                <w:szCs w:val="21"/>
              </w:rPr>
            </w:pPr>
            <w:r>
              <w:rPr>
                <w:rFonts w:ascii="Calibri" w:hAnsi="Calibri"/>
                <w:b/>
                <w:szCs w:val="21"/>
                <w:u w:val="single"/>
              </w:rPr>
              <w:t>0.70</w:t>
            </w:r>
          </w:p>
        </w:tc>
        <w:tc>
          <w:tcPr>
            <w:tcW w:w="597" w:type="pct"/>
            <w:tcBorders>
              <w:left w:val="single" w:sz="2" w:space="0" w:color="auto"/>
            </w:tcBorders>
            <w:vAlign w:val="center"/>
          </w:tcPr>
          <w:p w14:paraId="4DE42D8E" w14:textId="240579F9" w:rsidR="00A42350" w:rsidRPr="00623F1E" w:rsidRDefault="00A42350" w:rsidP="00A42350">
            <w:pPr>
              <w:jc w:val="center"/>
              <w:rPr>
                <w:rFonts w:ascii="Calibri" w:hAnsi="Calibri"/>
                <w:szCs w:val="21"/>
              </w:rPr>
            </w:pPr>
            <w:r w:rsidRPr="00126090">
              <w:rPr>
                <w:rFonts w:ascii="Calibri" w:hAnsi="Calibri"/>
                <w:b/>
                <w:szCs w:val="21"/>
                <w:u w:val="single"/>
              </w:rPr>
              <w:t>0.00</w:t>
            </w:r>
            <w:r>
              <w:rPr>
                <w:rFonts w:ascii="Calibri" w:hAnsi="Calibri"/>
                <w:b/>
                <w:szCs w:val="21"/>
                <w:u w:val="single"/>
              </w:rPr>
              <w:t>14</w:t>
            </w:r>
          </w:p>
        </w:tc>
        <w:tc>
          <w:tcPr>
            <w:tcW w:w="569" w:type="pct"/>
            <w:tcBorders>
              <w:right w:val="single" w:sz="2" w:space="0" w:color="auto"/>
            </w:tcBorders>
            <w:vAlign w:val="center"/>
          </w:tcPr>
          <w:p w14:paraId="45B46C90" w14:textId="03B38BE3" w:rsidR="00A42350" w:rsidRPr="00623F1E" w:rsidRDefault="00A42350" w:rsidP="00A42350">
            <w:pPr>
              <w:jc w:val="center"/>
              <w:rPr>
                <w:rFonts w:ascii="Calibri" w:hAnsi="Calibri"/>
                <w:szCs w:val="21"/>
              </w:rPr>
            </w:pPr>
            <w:r w:rsidRPr="00126090">
              <w:rPr>
                <w:rFonts w:ascii="Calibri" w:hAnsi="Calibri"/>
                <w:b/>
                <w:szCs w:val="21"/>
                <w:u w:val="single"/>
              </w:rPr>
              <w:t>0.0</w:t>
            </w:r>
            <w:r>
              <w:rPr>
                <w:rFonts w:ascii="Calibri" w:hAnsi="Calibri"/>
                <w:b/>
                <w:szCs w:val="21"/>
                <w:u w:val="single"/>
              </w:rPr>
              <w:t>10</w:t>
            </w:r>
          </w:p>
        </w:tc>
        <w:tc>
          <w:tcPr>
            <w:tcW w:w="838" w:type="pct"/>
            <w:vMerge/>
            <w:tcBorders>
              <w:left w:val="single" w:sz="2" w:space="0" w:color="auto"/>
            </w:tcBorders>
            <w:vAlign w:val="center"/>
          </w:tcPr>
          <w:p w14:paraId="35B5B132" w14:textId="77777777" w:rsidR="00A42350" w:rsidRPr="00A964FF" w:rsidRDefault="00A42350" w:rsidP="00A42350">
            <w:pPr>
              <w:jc w:val="center"/>
              <w:rPr>
                <w:rFonts w:ascii="Calibri" w:hAnsi="Calibri"/>
              </w:rPr>
            </w:pPr>
          </w:p>
        </w:tc>
      </w:tr>
      <w:tr w:rsidR="00B0285F" w:rsidRPr="00A964FF" w14:paraId="4FA3EF04" w14:textId="77777777" w:rsidTr="00A42350">
        <w:trPr>
          <w:trHeight w:val="340"/>
        </w:trPr>
        <w:tc>
          <w:tcPr>
            <w:tcW w:w="211" w:type="pct"/>
            <w:vMerge w:val="restart"/>
            <w:vAlign w:val="center"/>
          </w:tcPr>
          <w:p w14:paraId="5409D237" w14:textId="77777777" w:rsidR="00B0285F" w:rsidRPr="00A964FF" w:rsidRDefault="00B0285F" w:rsidP="008B1803">
            <w:pPr>
              <w:jc w:val="center"/>
              <w:rPr>
                <w:rFonts w:ascii="Calibri" w:hAnsi="Calibri"/>
                <w:snapToGrid w:val="0"/>
                <w:szCs w:val="21"/>
              </w:rPr>
            </w:pPr>
            <w:r>
              <w:rPr>
                <w:rFonts w:ascii="Calibri" w:hAnsi="Calibri"/>
                <w:snapToGrid w:val="0"/>
                <w:szCs w:val="21"/>
              </w:rPr>
              <w:t>6</w:t>
            </w:r>
          </w:p>
        </w:tc>
        <w:tc>
          <w:tcPr>
            <w:tcW w:w="555" w:type="pct"/>
            <w:vMerge w:val="restart"/>
            <w:vAlign w:val="center"/>
          </w:tcPr>
          <w:p w14:paraId="17D2796D" w14:textId="77777777" w:rsidR="00B0285F" w:rsidRPr="00A964FF" w:rsidRDefault="00B0285F" w:rsidP="008B1803">
            <w:pPr>
              <w:jc w:val="center"/>
              <w:rPr>
                <w:rFonts w:ascii="Calibri" w:hAnsi="Calibri"/>
                <w:kern w:val="0"/>
                <w:szCs w:val="21"/>
              </w:rPr>
            </w:pPr>
            <w:r>
              <w:rPr>
                <w:rFonts w:ascii="Calibri" w:hAnsi="Calibri" w:hint="eastAsia"/>
                <w:kern w:val="0"/>
                <w:szCs w:val="21"/>
              </w:rPr>
              <w:t>生产区</w:t>
            </w:r>
          </w:p>
        </w:tc>
        <w:tc>
          <w:tcPr>
            <w:tcW w:w="442" w:type="pct"/>
            <w:vAlign w:val="center"/>
          </w:tcPr>
          <w:p w14:paraId="0088FE3A" w14:textId="77777777" w:rsidR="00B0285F" w:rsidRPr="002A03FA" w:rsidRDefault="00B0285F" w:rsidP="008B1803">
            <w:pPr>
              <w:jc w:val="center"/>
              <w:rPr>
                <w:rFonts w:ascii="Calibri" w:hAnsi="Calibri"/>
                <w:snapToGrid w:val="0"/>
                <w:szCs w:val="21"/>
              </w:rPr>
            </w:pPr>
            <w:r w:rsidRPr="002A03FA">
              <w:rPr>
                <w:rFonts w:ascii="Calibri" w:hAnsi="Calibri" w:hint="eastAsia"/>
                <w:snapToGrid w:val="0"/>
                <w:szCs w:val="21"/>
              </w:rPr>
              <w:t>颗粒物</w:t>
            </w:r>
          </w:p>
        </w:tc>
        <w:tc>
          <w:tcPr>
            <w:tcW w:w="600" w:type="pct"/>
            <w:vAlign w:val="center"/>
          </w:tcPr>
          <w:p w14:paraId="228DB051" w14:textId="77777777" w:rsidR="00B0285F" w:rsidRPr="002A03FA" w:rsidRDefault="00B0285F" w:rsidP="008B1803">
            <w:pPr>
              <w:jc w:val="center"/>
              <w:rPr>
                <w:rFonts w:ascii="Calibri" w:eastAsiaTheme="minorEastAsia" w:hAnsi="Calibri"/>
                <w:snapToGrid w:val="0"/>
                <w:szCs w:val="21"/>
              </w:rPr>
            </w:pPr>
            <w:r w:rsidRPr="002A03FA">
              <w:rPr>
                <w:rFonts w:ascii="Calibri" w:eastAsiaTheme="minorEastAsia" w:hAnsi="Calibri"/>
                <w:snapToGrid w:val="0"/>
                <w:szCs w:val="21"/>
              </w:rPr>
              <w:t>/</w:t>
            </w:r>
          </w:p>
        </w:tc>
        <w:tc>
          <w:tcPr>
            <w:tcW w:w="588" w:type="pct"/>
            <w:vAlign w:val="center"/>
          </w:tcPr>
          <w:p w14:paraId="30B1E493" w14:textId="77777777" w:rsidR="00B0285F" w:rsidRPr="002A03FA" w:rsidRDefault="00B0285F" w:rsidP="008B1803">
            <w:pPr>
              <w:jc w:val="center"/>
              <w:rPr>
                <w:rFonts w:ascii="Calibri" w:hAnsi="Calibri"/>
                <w:snapToGrid w:val="0"/>
                <w:szCs w:val="21"/>
              </w:rPr>
            </w:pPr>
            <w:r>
              <w:rPr>
                <w:rFonts w:ascii="Calibri" w:hAnsi="Calibri"/>
                <w:snapToGrid w:val="0"/>
                <w:szCs w:val="21"/>
              </w:rPr>
              <w:t>0.00006</w:t>
            </w:r>
          </w:p>
        </w:tc>
        <w:tc>
          <w:tcPr>
            <w:tcW w:w="600" w:type="pct"/>
            <w:tcBorders>
              <w:right w:val="single" w:sz="2" w:space="0" w:color="auto"/>
            </w:tcBorders>
            <w:vAlign w:val="center"/>
          </w:tcPr>
          <w:p w14:paraId="339AB5E1" w14:textId="77777777" w:rsidR="00B0285F" w:rsidRPr="002A03FA" w:rsidRDefault="00B0285F" w:rsidP="008B1803">
            <w:pPr>
              <w:jc w:val="center"/>
              <w:rPr>
                <w:rFonts w:ascii="Calibri" w:hAnsi="Calibri"/>
                <w:snapToGrid w:val="0"/>
                <w:szCs w:val="21"/>
              </w:rPr>
            </w:pPr>
            <w:r w:rsidRPr="002A03FA">
              <w:rPr>
                <w:rFonts w:ascii="Calibri" w:hAnsi="Calibri"/>
                <w:snapToGrid w:val="0"/>
                <w:szCs w:val="21"/>
              </w:rPr>
              <w:t>/</w:t>
            </w:r>
          </w:p>
        </w:tc>
        <w:tc>
          <w:tcPr>
            <w:tcW w:w="597" w:type="pct"/>
            <w:tcBorders>
              <w:left w:val="single" w:sz="2" w:space="0" w:color="auto"/>
            </w:tcBorders>
            <w:vAlign w:val="center"/>
          </w:tcPr>
          <w:p w14:paraId="51404C18" w14:textId="77777777" w:rsidR="00B0285F" w:rsidRPr="002A03FA" w:rsidRDefault="00B0285F" w:rsidP="008B1803">
            <w:pPr>
              <w:jc w:val="center"/>
              <w:rPr>
                <w:rFonts w:ascii="Calibri" w:hAnsi="Calibri"/>
                <w:snapToGrid w:val="0"/>
                <w:szCs w:val="21"/>
              </w:rPr>
            </w:pPr>
            <w:r w:rsidRPr="00DC4386">
              <w:rPr>
                <w:rFonts w:ascii="Calibri" w:hAnsi="Calibri"/>
                <w:snapToGrid w:val="0"/>
                <w:szCs w:val="21"/>
              </w:rPr>
              <w:t>0.000</w:t>
            </w:r>
            <w:r>
              <w:rPr>
                <w:rFonts w:ascii="Calibri" w:hAnsi="Calibri"/>
                <w:snapToGrid w:val="0"/>
                <w:szCs w:val="21"/>
              </w:rPr>
              <w:t>26</w:t>
            </w:r>
          </w:p>
        </w:tc>
        <w:tc>
          <w:tcPr>
            <w:tcW w:w="569" w:type="pct"/>
            <w:tcBorders>
              <w:right w:val="single" w:sz="2" w:space="0" w:color="auto"/>
            </w:tcBorders>
            <w:vAlign w:val="center"/>
          </w:tcPr>
          <w:p w14:paraId="2AB424A0" w14:textId="77777777" w:rsidR="00B0285F" w:rsidRPr="002A03FA" w:rsidRDefault="00B0285F" w:rsidP="008B1803">
            <w:pPr>
              <w:jc w:val="center"/>
              <w:rPr>
                <w:rFonts w:ascii="Calibri" w:hAnsi="Calibri"/>
                <w:snapToGrid w:val="0"/>
                <w:szCs w:val="21"/>
              </w:rPr>
            </w:pPr>
            <w:r>
              <w:rPr>
                <w:rFonts w:ascii="Calibri" w:hAnsi="Calibri"/>
                <w:snapToGrid w:val="0"/>
                <w:szCs w:val="21"/>
              </w:rPr>
              <w:t>0.000012</w:t>
            </w:r>
          </w:p>
        </w:tc>
        <w:tc>
          <w:tcPr>
            <w:tcW w:w="838" w:type="pct"/>
            <w:vMerge w:val="restart"/>
            <w:tcBorders>
              <w:left w:val="single" w:sz="2" w:space="0" w:color="auto"/>
            </w:tcBorders>
            <w:vAlign w:val="center"/>
          </w:tcPr>
          <w:p w14:paraId="5BEDDF7F" w14:textId="77777777" w:rsidR="00B0285F" w:rsidRPr="00A964FF" w:rsidRDefault="00B0285F" w:rsidP="008B1803">
            <w:pPr>
              <w:jc w:val="center"/>
              <w:rPr>
                <w:rFonts w:ascii="Calibri" w:hAnsi="Calibri"/>
                <w:szCs w:val="21"/>
              </w:rPr>
            </w:pPr>
            <w:r>
              <w:rPr>
                <w:rFonts w:ascii="Calibri" w:hAnsi="Calibri" w:hint="eastAsia"/>
                <w:szCs w:val="21"/>
              </w:rPr>
              <w:t>密闭投料，</w:t>
            </w:r>
            <w:r>
              <w:rPr>
                <w:rFonts w:ascii="Calibri" w:hAnsi="Calibri"/>
                <w:szCs w:val="21"/>
              </w:rPr>
              <w:t>车间密闭，</w:t>
            </w:r>
            <w:r w:rsidRPr="00A964FF">
              <w:rPr>
                <w:rFonts w:ascii="Calibri" w:hAnsi="Calibri" w:hint="eastAsia"/>
                <w:szCs w:val="21"/>
              </w:rPr>
              <w:t>加强生产期间</w:t>
            </w:r>
            <w:r w:rsidRPr="00A964FF">
              <w:rPr>
                <w:rFonts w:ascii="Calibri" w:hAnsi="Calibri" w:hint="eastAsia"/>
                <w:szCs w:val="21"/>
              </w:rPr>
              <w:t>VOCs</w:t>
            </w:r>
            <w:r w:rsidRPr="00A964FF">
              <w:rPr>
                <w:rFonts w:ascii="Calibri" w:hAnsi="Calibri" w:hint="eastAsia"/>
                <w:szCs w:val="21"/>
              </w:rPr>
              <w:t>排放源的定期泄漏检测</w:t>
            </w:r>
          </w:p>
        </w:tc>
      </w:tr>
      <w:tr w:rsidR="00B0285F" w:rsidRPr="00A964FF" w14:paraId="6D8F8E19" w14:textId="77777777" w:rsidTr="00A42350">
        <w:trPr>
          <w:trHeight w:val="340"/>
        </w:trPr>
        <w:tc>
          <w:tcPr>
            <w:tcW w:w="211" w:type="pct"/>
            <w:vMerge/>
            <w:vAlign w:val="center"/>
          </w:tcPr>
          <w:p w14:paraId="624BA13C" w14:textId="77777777" w:rsidR="00B0285F" w:rsidRPr="00A964FF" w:rsidRDefault="00B0285F" w:rsidP="008B1803">
            <w:pPr>
              <w:jc w:val="center"/>
              <w:rPr>
                <w:rFonts w:ascii="Calibri" w:hAnsi="Calibri"/>
                <w:snapToGrid w:val="0"/>
                <w:szCs w:val="21"/>
              </w:rPr>
            </w:pPr>
          </w:p>
        </w:tc>
        <w:tc>
          <w:tcPr>
            <w:tcW w:w="555" w:type="pct"/>
            <w:vMerge/>
            <w:vAlign w:val="center"/>
          </w:tcPr>
          <w:p w14:paraId="0A756F9D" w14:textId="77777777" w:rsidR="00B0285F" w:rsidRPr="00A964FF" w:rsidRDefault="00B0285F" w:rsidP="008B1803">
            <w:pPr>
              <w:jc w:val="center"/>
              <w:rPr>
                <w:rFonts w:ascii="Calibri" w:hAnsi="Calibri"/>
                <w:kern w:val="0"/>
                <w:szCs w:val="21"/>
              </w:rPr>
            </w:pPr>
          </w:p>
        </w:tc>
        <w:tc>
          <w:tcPr>
            <w:tcW w:w="442" w:type="pct"/>
            <w:vAlign w:val="center"/>
          </w:tcPr>
          <w:p w14:paraId="56479454" w14:textId="77777777" w:rsidR="00B0285F" w:rsidRPr="002A03FA" w:rsidRDefault="00B0285F" w:rsidP="008B1803">
            <w:pPr>
              <w:jc w:val="center"/>
              <w:rPr>
                <w:rFonts w:ascii="Calibri" w:hAnsi="Calibri"/>
                <w:snapToGrid w:val="0"/>
                <w:szCs w:val="21"/>
              </w:rPr>
            </w:pPr>
            <w:r w:rsidRPr="002A03FA">
              <w:rPr>
                <w:rFonts w:ascii="Calibri" w:hAnsi="Calibri" w:hint="eastAsia"/>
                <w:snapToGrid w:val="0"/>
                <w:szCs w:val="21"/>
              </w:rPr>
              <w:t>非甲烷</w:t>
            </w:r>
            <w:r w:rsidRPr="002A03FA">
              <w:rPr>
                <w:rFonts w:ascii="Calibri" w:hAnsi="Calibri"/>
                <w:snapToGrid w:val="0"/>
                <w:szCs w:val="21"/>
              </w:rPr>
              <w:t>总烃</w:t>
            </w:r>
          </w:p>
        </w:tc>
        <w:tc>
          <w:tcPr>
            <w:tcW w:w="600" w:type="pct"/>
            <w:vAlign w:val="center"/>
          </w:tcPr>
          <w:p w14:paraId="1312407F" w14:textId="77777777" w:rsidR="00B0285F" w:rsidRPr="002A03FA" w:rsidRDefault="00B0285F" w:rsidP="008B1803">
            <w:pPr>
              <w:jc w:val="center"/>
              <w:rPr>
                <w:rFonts w:ascii="Calibri" w:eastAsiaTheme="minorEastAsia" w:hAnsi="Calibri"/>
                <w:snapToGrid w:val="0"/>
                <w:szCs w:val="21"/>
              </w:rPr>
            </w:pPr>
            <w:r w:rsidRPr="002A03FA">
              <w:rPr>
                <w:rFonts w:ascii="Calibri" w:eastAsiaTheme="minorEastAsia" w:hAnsi="Calibri" w:hint="eastAsia"/>
                <w:snapToGrid w:val="0"/>
                <w:szCs w:val="21"/>
              </w:rPr>
              <w:t>/</w:t>
            </w:r>
          </w:p>
        </w:tc>
        <w:tc>
          <w:tcPr>
            <w:tcW w:w="588" w:type="pct"/>
            <w:vAlign w:val="center"/>
          </w:tcPr>
          <w:p w14:paraId="3E4103C8" w14:textId="21806844" w:rsidR="00B0285F" w:rsidRPr="002A03FA" w:rsidRDefault="00A42350" w:rsidP="008B1803">
            <w:pPr>
              <w:jc w:val="center"/>
              <w:rPr>
                <w:rFonts w:ascii="Calibri" w:hAnsi="Calibri"/>
                <w:snapToGrid w:val="0"/>
                <w:szCs w:val="21"/>
              </w:rPr>
            </w:pPr>
            <w:r w:rsidRPr="00A42350">
              <w:rPr>
                <w:rFonts w:ascii="Calibri" w:hAnsi="Calibri"/>
                <w:snapToGrid w:val="0"/>
                <w:szCs w:val="21"/>
              </w:rPr>
              <w:t>0.43</w:t>
            </w:r>
          </w:p>
        </w:tc>
        <w:tc>
          <w:tcPr>
            <w:tcW w:w="600" w:type="pct"/>
            <w:tcBorders>
              <w:right w:val="single" w:sz="2" w:space="0" w:color="auto"/>
            </w:tcBorders>
            <w:vAlign w:val="center"/>
          </w:tcPr>
          <w:p w14:paraId="5F3AD99C" w14:textId="77777777" w:rsidR="00B0285F" w:rsidRPr="002A03FA" w:rsidRDefault="00B0285F" w:rsidP="008B1803">
            <w:pPr>
              <w:jc w:val="center"/>
              <w:rPr>
                <w:rFonts w:ascii="Calibri" w:hAnsi="Calibri"/>
                <w:snapToGrid w:val="0"/>
                <w:szCs w:val="21"/>
              </w:rPr>
            </w:pPr>
            <w:r w:rsidRPr="002A03FA">
              <w:rPr>
                <w:rFonts w:ascii="Calibri" w:hAnsi="Calibri" w:hint="eastAsia"/>
                <w:snapToGrid w:val="0"/>
                <w:szCs w:val="21"/>
              </w:rPr>
              <w:t>/</w:t>
            </w:r>
          </w:p>
        </w:tc>
        <w:tc>
          <w:tcPr>
            <w:tcW w:w="597" w:type="pct"/>
            <w:tcBorders>
              <w:left w:val="single" w:sz="2" w:space="0" w:color="auto"/>
            </w:tcBorders>
            <w:vAlign w:val="center"/>
          </w:tcPr>
          <w:p w14:paraId="6FBB1A39" w14:textId="77777777" w:rsidR="00B0285F" w:rsidRDefault="00B0285F" w:rsidP="008B1803">
            <w:pPr>
              <w:jc w:val="center"/>
              <w:rPr>
                <w:rFonts w:ascii="Calibri" w:hAnsi="Calibri"/>
                <w:szCs w:val="21"/>
              </w:rPr>
            </w:pPr>
            <w:r>
              <w:rPr>
                <w:rFonts w:ascii="Calibri" w:hAnsi="Calibri"/>
                <w:szCs w:val="21"/>
              </w:rPr>
              <w:t>0.0595</w:t>
            </w:r>
          </w:p>
        </w:tc>
        <w:tc>
          <w:tcPr>
            <w:tcW w:w="569" w:type="pct"/>
            <w:tcBorders>
              <w:right w:val="single" w:sz="2" w:space="0" w:color="auto"/>
            </w:tcBorders>
            <w:vAlign w:val="center"/>
          </w:tcPr>
          <w:p w14:paraId="77E9F3C4" w14:textId="77777777" w:rsidR="00B0285F" w:rsidRDefault="00B0285F" w:rsidP="008B1803">
            <w:pPr>
              <w:jc w:val="center"/>
              <w:rPr>
                <w:rFonts w:ascii="Calibri" w:hAnsi="Calibri"/>
                <w:szCs w:val="21"/>
              </w:rPr>
            </w:pPr>
            <w:r>
              <w:rPr>
                <w:rFonts w:ascii="Calibri" w:hAnsi="Calibri"/>
                <w:szCs w:val="21"/>
              </w:rPr>
              <w:t>0.43</w:t>
            </w:r>
          </w:p>
        </w:tc>
        <w:tc>
          <w:tcPr>
            <w:tcW w:w="838" w:type="pct"/>
            <w:vMerge/>
            <w:tcBorders>
              <w:left w:val="single" w:sz="2" w:space="0" w:color="auto"/>
            </w:tcBorders>
            <w:vAlign w:val="center"/>
          </w:tcPr>
          <w:p w14:paraId="6539982B" w14:textId="77777777" w:rsidR="00B0285F" w:rsidRPr="00A964FF" w:rsidRDefault="00B0285F" w:rsidP="008B1803">
            <w:pPr>
              <w:jc w:val="center"/>
              <w:rPr>
                <w:rFonts w:ascii="Calibri" w:hAnsi="Calibri"/>
                <w:szCs w:val="21"/>
              </w:rPr>
            </w:pPr>
          </w:p>
        </w:tc>
      </w:tr>
      <w:tr w:rsidR="00A42350" w:rsidRPr="00A964FF" w14:paraId="2CD4971C" w14:textId="77777777" w:rsidTr="00A42350">
        <w:trPr>
          <w:trHeight w:val="340"/>
        </w:trPr>
        <w:tc>
          <w:tcPr>
            <w:tcW w:w="211" w:type="pct"/>
            <w:vMerge w:val="restart"/>
            <w:vAlign w:val="center"/>
          </w:tcPr>
          <w:p w14:paraId="374B452D" w14:textId="77777777" w:rsidR="00A42350" w:rsidRPr="00A964FF" w:rsidRDefault="00A42350" w:rsidP="00A42350">
            <w:pPr>
              <w:jc w:val="center"/>
              <w:rPr>
                <w:rFonts w:ascii="Calibri" w:hAnsi="Calibri"/>
                <w:snapToGrid w:val="0"/>
                <w:szCs w:val="21"/>
              </w:rPr>
            </w:pPr>
            <w:r>
              <w:rPr>
                <w:rFonts w:ascii="Calibri" w:hAnsi="Calibri"/>
                <w:snapToGrid w:val="0"/>
                <w:szCs w:val="21"/>
              </w:rPr>
              <w:t>7</w:t>
            </w:r>
          </w:p>
        </w:tc>
        <w:tc>
          <w:tcPr>
            <w:tcW w:w="555" w:type="pct"/>
            <w:vMerge w:val="restart"/>
            <w:vAlign w:val="center"/>
          </w:tcPr>
          <w:p w14:paraId="5DA99EFF" w14:textId="77777777" w:rsidR="00A42350" w:rsidRPr="00A964FF" w:rsidRDefault="00A42350" w:rsidP="00A42350">
            <w:pPr>
              <w:jc w:val="center"/>
              <w:rPr>
                <w:rFonts w:ascii="Calibri" w:hAnsi="Calibri"/>
                <w:kern w:val="0"/>
                <w:szCs w:val="21"/>
              </w:rPr>
            </w:pPr>
            <w:r>
              <w:rPr>
                <w:rFonts w:ascii="Calibri" w:hAnsi="Calibri" w:hint="eastAsia"/>
                <w:kern w:val="0"/>
                <w:szCs w:val="21"/>
              </w:rPr>
              <w:t>污水处理站</w:t>
            </w:r>
          </w:p>
        </w:tc>
        <w:tc>
          <w:tcPr>
            <w:tcW w:w="442" w:type="pct"/>
            <w:vAlign w:val="center"/>
          </w:tcPr>
          <w:p w14:paraId="4F4579B2" w14:textId="77777777" w:rsidR="00A42350" w:rsidRPr="002A03FA" w:rsidRDefault="00A42350" w:rsidP="00A42350">
            <w:pPr>
              <w:jc w:val="center"/>
              <w:rPr>
                <w:rFonts w:ascii="Calibri" w:hAnsi="Calibri"/>
                <w:snapToGrid w:val="0"/>
                <w:szCs w:val="21"/>
              </w:rPr>
            </w:pPr>
            <w:r w:rsidRPr="002A03FA">
              <w:rPr>
                <w:rFonts w:ascii="Calibri" w:hAnsi="Calibri"/>
                <w:snapToGrid w:val="0"/>
                <w:szCs w:val="21"/>
              </w:rPr>
              <w:t>NH</w:t>
            </w:r>
            <w:r w:rsidRPr="002A03FA">
              <w:rPr>
                <w:rFonts w:ascii="Calibri" w:hAnsi="Calibri"/>
                <w:snapToGrid w:val="0"/>
                <w:szCs w:val="21"/>
                <w:vertAlign w:val="subscript"/>
              </w:rPr>
              <w:t>3</w:t>
            </w:r>
          </w:p>
        </w:tc>
        <w:tc>
          <w:tcPr>
            <w:tcW w:w="600" w:type="pct"/>
            <w:vAlign w:val="center"/>
          </w:tcPr>
          <w:p w14:paraId="375A926F" w14:textId="77777777" w:rsidR="00A42350" w:rsidRPr="00A964FF" w:rsidRDefault="00A42350" w:rsidP="00A42350">
            <w:pPr>
              <w:jc w:val="center"/>
              <w:rPr>
                <w:rFonts w:ascii="Calibri" w:eastAsia="黑体" w:hAnsi="Calibri"/>
                <w:szCs w:val="21"/>
              </w:rPr>
            </w:pPr>
            <w:r>
              <w:rPr>
                <w:rFonts w:ascii="Calibri" w:eastAsia="黑体" w:hAnsi="Calibri" w:hint="eastAsia"/>
                <w:szCs w:val="21"/>
              </w:rPr>
              <w:t>/</w:t>
            </w:r>
          </w:p>
        </w:tc>
        <w:tc>
          <w:tcPr>
            <w:tcW w:w="588" w:type="pct"/>
            <w:vAlign w:val="center"/>
          </w:tcPr>
          <w:p w14:paraId="28B06DF7" w14:textId="19D7386B" w:rsidR="00A42350" w:rsidRPr="00A42350" w:rsidRDefault="00A42350" w:rsidP="00A42350">
            <w:pPr>
              <w:jc w:val="center"/>
              <w:rPr>
                <w:rFonts w:ascii="Calibri" w:hAnsi="Calibri"/>
              </w:rPr>
            </w:pPr>
            <w:r w:rsidRPr="00A42350">
              <w:rPr>
                <w:rFonts w:ascii="Calibri" w:hAnsi="Calibri"/>
              </w:rPr>
              <w:t>0.002</w:t>
            </w:r>
          </w:p>
        </w:tc>
        <w:tc>
          <w:tcPr>
            <w:tcW w:w="600" w:type="pct"/>
            <w:tcBorders>
              <w:right w:val="single" w:sz="2" w:space="0" w:color="auto"/>
            </w:tcBorders>
            <w:vAlign w:val="center"/>
          </w:tcPr>
          <w:p w14:paraId="137754B4" w14:textId="77777777" w:rsidR="00A42350" w:rsidRPr="00A964FF" w:rsidRDefault="00A42350" w:rsidP="00A42350">
            <w:pPr>
              <w:jc w:val="center"/>
              <w:rPr>
                <w:rFonts w:ascii="Calibri" w:hAnsi="Calibri"/>
                <w:szCs w:val="21"/>
              </w:rPr>
            </w:pPr>
            <w:r>
              <w:rPr>
                <w:rFonts w:ascii="Calibri" w:hAnsi="Calibri" w:hint="eastAsia"/>
                <w:szCs w:val="21"/>
              </w:rPr>
              <w:t>/</w:t>
            </w:r>
          </w:p>
        </w:tc>
        <w:tc>
          <w:tcPr>
            <w:tcW w:w="597" w:type="pct"/>
            <w:tcBorders>
              <w:left w:val="single" w:sz="2" w:space="0" w:color="auto"/>
            </w:tcBorders>
            <w:vAlign w:val="center"/>
          </w:tcPr>
          <w:p w14:paraId="63F94B2A" w14:textId="56DA3FE7" w:rsidR="00A42350" w:rsidRPr="007A2AD4" w:rsidRDefault="00A42350" w:rsidP="00A42350">
            <w:pPr>
              <w:jc w:val="center"/>
              <w:rPr>
                <w:rFonts w:ascii="Calibri" w:hAnsi="Calibri"/>
              </w:rPr>
            </w:pPr>
            <w:r>
              <w:rPr>
                <w:rFonts w:ascii="Calibri" w:hAnsi="Calibri" w:hint="eastAsia"/>
              </w:rPr>
              <w:t>0.000</w:t>
            </w:r>
            <w:r>
              <w:rPr>
                <w:rFonts w:ascii="Calibri" w:hAnsi="Calibri"/>
              </w:rPr>
              <w:t>28</w:t>
            </w:r>
          </w:p>
        </w:tc>
        <w:tc>
          <w:tcPr>
            <w:tcW w:w="569" w:type="pct"/>
            <w:tcBorders>
              <w:right w:val="single" w:sz="2" w:space="0" w:color="auto"/>
            </w:tcBorders>
            <w:vAlign w:val="center"/>
          </w:tcPr>
          <w:p w14:paraId="6DC578ED" w14:textId="5D5A6ED5" w:rsidR="00A42350" w:rsidRPr="007A2AD4" w:rsidRDefault="00A42350" w:rsidP="00A42350">
            <w:pPr>
              <w:jc w:val="center"/>
              <w:rPr>
                <w:rFonts w:ascii="Calibri" w:hAnsi="Calibri"/>
              </w:rPr>
            </w:pPr>
            <w:r>
              <w:rPr>
                <w:rFonts w:ascii="Calibri" w:hAnsi="Calibri"/>
              </w:rPr>
              <w:t>0.002</w:t>
            </w:r>
          </w:p>
        </w:tc>
        <w:tc>
          <w:tcPr>
            <w:tcW w:w="838" w:type="pct"/>
            <w:vMerge w:val="restart"/>
            <w:tcBorders>
              <w:left w:val="single" w:sz="2" w:space="0" w:color="auto"/>
            </w:tcBorders>
            <w:vAlign w:val="center"/>
          </w:tcPr>
          <w:p w14:paraId="4BBD00CD" w14:textId="77777777" w:rsidR="00A42350" w:rsidRPr="00A964FF" w:rsidRDefault="00A42350" w:rsidP="00A42350">
            <w:pPr>
              <w:jc w:val="center"/>
              <w:rPr>
                <w:rFonts w:ascii="Calibri" w:hAnsi="Calibri"/>
                <w:szCs w:val="21"/>
              </w:rPr>
            </w:pPr>
            <w:r>
              <w:rPr>
                <w:rFonts w:ascii="Calibri" w:hAnsi="Calibri" w:hint="eastAsia"/>
                <w:szCs w:val="21"/>
              </w:rPr>
              <w:t>污水池</w:t>
            </w:r>
            <w:r>
              <w:rPr>
                <w:rFonts w:ascii="Calibri" w:hAnsi="Calibri"/>
                <w:szCs w:val="21"/>
              </w:rPr>
              <w:t>密闭，</w:t>
            </w:r>
            <w:r>
              <w:rPr>
                <w:rFonts w:ascii="Calibri" w:hAnsi="Calibri" w:hint="eastAsia"/>
                <w:szCs w:val="21"/>
              </w:rPr>
              <w:t>厂区</w:t>
            </w:r>
            <w:r>
              <w:rPr>
                <w:rFonts w:ascii="Calibri" w:hAnsi="Calibri"/>
                <w:szCs w:val="21"/>
              </w:rPr>
              <w:t>绿化</w:t>
            </w:r>
          </w:p>
        </w:tc>
      </w:tr>
      <w:tr w:rsidR="00A42350" w:rsidRPr="00A964FF" w14:paraId="2E1B2AF7" w14:textId="77777777" w:rsidTr="00A42350">
        <w:trPr>
          <w:trHeight w:val="340"/>
        </w:trPr>
        <w:tc>
          <w:tcPr>
            <w:tcW w:w="211" w:type="pct"/>
            <w:vMerge/>
            <w:vAlign w:val="center"/>
          </w:tcPr>
          <w:p w14:paraId="72B5D074" w14:textId="77777777" w:rsidR="00A42350" w:rsidRDefault="00A42350" w:rsidP="00A42350">
            <w:pPr>
              <w:jc w:val="center"/>
              <w:rPr>
                <w:rFonts w:ascii="Calibri" w:hAnsi="Calibri"/>
                <w:snapToGrid w:val="0"/>
                <w:szCs w:val="21"/>
              </w:rPr>
            </w:pPr>
          </w:p>
        </w:tc>
        <w:tc>
          <w:tcPr>
            <w:tcW w:w="555" w:type="pct"/>
            <w:vMerge/>
            <w:vAlign w:val="center"/>
          </w:tcPr>
          <w:p w14:paraId="440AF6B0" w14:textId="77777777" w:rsidR="00A42350" w:rsidRDefault="00A42350" w:rsidP="00A42350">
            <w:pPr>
              <w:jc w:val="center"/>
              <w:rPr>
                <w:rFonts w:ascii="Calibri" w:hAnsi="Calibri"/>
                <w:kern w:val="0"/>
                <w:szCs w:val="21"/>
              </w:rPr>
            </w:pPr>
          </w:p>
        </w:tc>
        <w:tc>
          <w:tcPr>
            <w:tcW w:w="442" w:type="pct"/>
            <w:vAlign w:val="center"/>
          </w:tcPr>
          <w:p w14:paraId="73A6A436" w14:textId="77777777" w:rsidR="00A42350" w:rsidRPr="002A03FA" w:rsidRDefault="00A42350" w:rsidP="00A42350">
            <w:pPr>
              <w:jc w:val="center"/>
              <w:rPr>
                <w:rFonts w:ascii="Calibri" w:eastAsiaTheme="minorEastAsia" w:hAnsi="Calibri"/>
                <w:snapToGrid w:val="0"/>
                <w:szCs w:val="21"/>
              </w:rPr>
            </w:pPr>
            <w:r w:rsidRPr="002A03FA">
              <w:rPr>
                <w:rFonts w:ascii="Calibri" w:hAnsi="Calibri"/>
                <w:snapToGrid w:val="0"/>
                <w:szCs w:val="21"/>
              </w:rPr>
              <w:t>H</w:t>
            </w:r>
            <w:r w:rsidRPr="002A03FA">
              <w:rPr>
                <w:rFonts w:ascii="Calibri" w:hAnsi="Calibri"/>
                <w:snapToGrid w:val="0"/>
                <w:szCs w:val="21"/>
                <w:vertAlign w:val="subscript"/>
              </w:rPr>
              <w:t>2</w:t>
            </w:r>
            <w:r w:rsidRPr="002A03FA">
              <w:rPr>
                <w:rFonts w:ascii="Calibri" w:hAnsi="Calibri"/>
                <w:snapToGrid w:val="0"/>
                <w:szCs w:val="21"/>
              </w:rPr>
              <w:t>S</w:t>
            </w:r>
          </w:p>
        </w:tc>
        <w:tc>
          <w:tcPr>
            <w:tcW w:w="600" w:type="pct"/>
            <w:vAlign w:val="center"/>
          </w:tcPr>
          <w:p w14:paraId="5AF6A97F" w14:textId="77777777" w:rsidR="00A42350" w:rsidRPr="00A964FF" w:rsidRDefault="00A42350" w:rsidP="00A42350">
            <w:pPr>
              <w:jc w:val="center"/>
              <w:rPr>
                <w:rFonts w:ascii="Calibri" w:eastAsia="黑体" w:hAnsi="Calibri"/>
                <w:szCs w:val="21"/>
              </w:rPr>
            </w:pPr>
            <w:r>
              <w:rPr>
                <w:rFonts w:ascii="Calibri" w:eastAsia="黑体" w:hAnsi="Calibri" w:hint="eastAsia"/>
                <w:szCs w:val="21"/>
              </w:rPr>
              <w:t>/</w:t>
            </w:r>
          </w:p>
        </w:tc>
        <w:tc>
          <w:tcPr>
            <w:tcW w:w="588" w:type="pct"/>
            <w:vAlign w:val="center"/>
          </w:tcPr>
          <w:p w14:paraId="43D14CF8" w14:textId="311B511B" w:rsidR="00A42350" w:rsidRPr="00A42350" w:rsidRDefault="00A42350" w:rsidP="00A42350">
            <w:pPr>
              <w:jc w:val="center"/>
              <w:rPr>
                <w:rFonts w:ascii="Calibri" w:hAnsi="Calibri"/>
              </w:rPr>
            </w:pPr>
            <w:r w:rsidRPr="00A42350">
              <w:rPr>
                <w:rFonts w:ascii="Calibri" w:hAnsi="Calibri"/>
              </w:rPr>
              <w:t>0.0001</w:t>
            </w:r>
          </w:p>
        </w:tc>
        <w:tc>
          <w:tcPr>
            <w:tcW w:w="600" w:type="pct"/>
            <w:tcBorders>
              <w:right w:val="single" w:sz="2" w:space="0" w:color="auto"/>
            </w:tcBorders>
            <w:vAlign w:val="center"/>
          </w:tcPr>
          <w:p w14:paraId="4F82AC25" w14:textId="77777777" w:rsidR="00A42350" w:rsidRPr="00A964FF" w:rsidRDefault="00A42350" w:rsidP="00A42350">
            <w:pPr>
              <w:jc w:val="center"/>
              <w:rPr>
                <w:rFonts w:ascii="Calibri" w:hAnsi="Calibri"/>
                <w:szCs w:val="21"/>
              </w:rPr>
            </w:pPr>
            <w:r>
              <w:rPr>
                <w:rFonts w:ascii="Calibri" w:hAnsi="Calibri" w:hint="eastAsia"/>
                <w:szCs w:val="21"/>
              </w:rPr>
              <w:t>/</w:t>
            </w:r>
          </w:p>
        </w:tc>
        <w:tc>
          <w:tcPr>
            <w:tcW w:w="597" w:type="pct"/>
            <w:tcBorders>
              <w:left w:val="single" w:sz="2" w:space="0" w:color="auto"/>
            </w:tcBorders>
            <w:vAlign w:val="center"/>
          </w:tcPr>
          <w:p w14:paraId="6312F06A" w14:textId="42B5CF08" w:rsidR="00A42350" w:rsidRPr="007A2AD4" w:rsidRDefault="00A42350" w:rsidP="00A42350">
            <w:pPr>
              <w:jc w:val="center"/>
              <w:rPr>
                <w:rFonts w:ascii="Calibri" w:hAnsi="Calibri"/>
              </w:rPr>
            </w:pPr>
            <w:r>
              <w:rPr>
                <w:rFonts w:ascii="Calibri" w:hAnsi="Calibri"/>
              </w:rPr>
              <w:t>0.000014</w:t>
            </w:r>
          </w:p>
        </w:tc>
        <w:tc>
          <w:tcPr>
            <w:tcW w:w="569" w:type="pct"/>
            <w:tcBorders>
              <w:right w:val="single" w:sz="2" w:space="0" w:color="auto"/>
            </w:tcBorders>
            <w:vAlign w:val="center"/>
          </w:tcPr>
          <w:p w14:paraId="689DFEB4" w14:textId="0F0BE62B" w:rsidR="00A42350" w:rsidRPr="007A2AD4" w:rsidRDefault="00A42350" w:rsidP="00A42350">
            <w:pPr>
              <w:jc w:val="center"/>
              <w:rPr>
                <w:rFonts w:ascii="Calibri" w:hAnsi="Calibri"/>
              </w:rPr>
            </w:pPr>
            <w:r>
              <w:rPr>
                <w:rFonts w:ascii="Calibri" w:hAnsi="Calibri"/>
              </w:rPr>
              <w:t>0.0001</w:t>
            </w:r>
          </w:p>
        </w:tc>
        <w:tc>
          <w:tcPr>
            <w:tcW w:w="838" w:type="pct"/>
            <w:vMerge/>
            <w:tcBorders>
              <w:left w:val="single" w:sz="2" w:space="0" w:color="auto"/>
            </w:tcBorders>
            <w:vAlign w:val="center"/>
          </w:tcPr>
          <w:p w14:paraId="10412453" w14:textId="77777777" w:rsidR="00A42350" w:rsidRPr="00A964FF" w:rsidRDefault="00A42350" w:rsidP="00A42350">
            <w:pPr>
              <w:jc w:val="center"/>
              <w:rPr>
                <w:rFonts w:ascii="Calibri" w:hAnsi="Calibri"/>
                <w:szCs w:val="21"/>
              </w:rPr>
            </w:pPr>
          </w:p>
        </w:tc>
      </w:tr>
      <w:tr w:rsidR="00A42350" w:rsidRPr="00A964FF" w14:paraId="57AE3D31" w14:textId="77777777" w:rsidTr="00A42350">
        <w:trPr>
          <w:trHeight w:val="340"/>
        </w:trPr>
        <w:tc>
          <w:tcPr>
            <w:tcW w:w="211" w:type="pct"/>
            <w:vMerge/>
            <w:vAlign w:val="center"/>
          </w:tcPr>
          <w:p w14:paraId="634C2304" w14:textId="77777777" w:rsidR="00A42350" w:rsidRDefault="00A42350" w:rsidP="00A42350">
            <w:pPr>
              <w:jc w:val="center"/>
              <w:rPr>
                <w:rFonts w:ascii="Calibri" w:hAnsi="Calibri"/>
                <w:snapToGrid w:val="0"/>
                <w:szCs w:val="21"/>
              </w:rPr>
            </w:pPr>
          </w:p>
        </w:tc>
        <w:tc>
          <w:tcPr>
            <w:tcW w:w="555" w:type="pct"/>
            <w:vMerge/>
            <w:vAlign w:val="center"/>
          </w:tcPr>
          <w:p w14:paraId="7AE82FC2" w14:textId="77777777" w:rsidR="00A42350" w:rsidRDefault="00A42350" w:rsidP="00A42350">
            <w:pPr>
              <w:jc w:val="center"/>
              <w:rPr>
                <w:rFonts w:ascii="Calibri" w:hAnsi="Calibri"/>
                <w:kern w:val="0"/>
                <w:szCs w:val="21"/>
              </w:rPr>
            </w:pPr>
          </w:p>
        </w:tc>
        <w:tc>
          <w:tcPr>
            <w:tcW w:w="442" w:type="pct"/>
            <w:vAlign w:val="center"/>
          </w:tcPr>
          <w:p w14:paraId="387D277A" w14:textId="77777777" w:rsidR="00A42350" w:rsidRPr="002A03FA" w:rsidRDefault="00A42350" w:rsidP="00A42350">
            <w:pPr>
              <w:jc w:val="center"/>
              <w:rPr>
                <w:rFonts w:ascii="Calibri" w:hAnsi="Calibri"/>
                <w:snapToGrid w:val="0"/>
                <w:szCs w:val="21"/>
              </w:rPr>
            </w:pPr>
            <w:r w:rsidRPr="002A03FA">
              <w:rPr>
                <w:rFonts w:ascii="Calibri" w:hAnsi="Calibri" w:hint="eastAsia"/>
                <w:snapToGrid w:val="0"/>
                <w:szCs w:val="21"/>
              </w:rPr>
              <w:t>非甲烷总烃</w:t>
            </w:r>
          </w:p>
        </w:tc>
        <w:tc>
          <w:tcPr>
            <w:tcW w:w="600" w:type="pct"/>
            <w:vAlign w:val="center"/>
          </w:tcPr>
          <w:p w14:paraId="346052DB" w14:textId="77777777" w:rsidR="00A42350" w:rsidRPr="00A964FF" w:rsidRDefault="00A42350" w:rsidP="00A42350">
            <w:pPr>
              <w:jc w:val="center"/>
              <w:rPr>
                <w:rFonts w:ascii="Calibri" w:eastAsia="黑体" w:hAnsi="Calibri"/>
                <w:szCs w:val="21"/>
              </w:rPr>
            </w:pPr>
            <w:r>
              <w:rPr>
                <w:rFonts w:ascii="Calibri" w:eastAsia="黑体" w:hAnsi="Calibri" w:hint="eastAsia"/>
                <w:szCs w:val="21"/>
              </w:rPr>
              <w:t>/</w:t>
            </w:r>
          </w:p>
        </w:tc>
        <w:tc>
          <w:tcPr>
            <w:tcW w:w="588" w:type="pct"/>
            <w:vAlign w:val="center"/>
          </w:tcPr>
          <w:p w14:paraId="6E5765BC" w14:textId="18811342" w:rsidR="00A42350" w:rsidRPr="00A42350" w:rsidRDefault="00A42350" w:rsidP="00A42350">
            <w:pPr>
              <w:jc w:val="center"/>
              <w:rPr>
                <w:rFonts w:ascii="Calibri" w:hAnsi="Calibri"/>
              </w:rPr>
            </w:pPr>
            <w:r w:rsidRPr="00A42350">
              <w:rPr>
                <w:rFonts w:ascii="Calibri" w:hAnsi="Calibri"/>
              </w:rPr>
              <w:t>0.004</w:t>
            </w:r>
          </w:p>
        </w:tc>
        <w:tc>
          <w:tcPr>
            <w:tcW w:w="600" w:type="pct"/>
            <w:tcBorders>
              <w:right w:val="single" w:sz="2" w:space="0" w:color="auto"/>
            </w:tcBorders>
            <w:vAlign w:val="center"/>
          </w:tcPr>
          <w:p w14:paraId="29E6D6C2" w14:textId="77777777" w:rsidR="00A42350" w:rsidRPr="00A964FF" w:rsidRDefault="00A42350" w:rsidP="00A42350">
            <w:pPr>
              <w:jc w:val="center"/>
              <w:rPr>
                <w:rFonts w:ascii="Calibri" w:hAnsi="Calibri"/>
                <w:szCs w:val="21"/>
              </w:rPr>
            </w:pPr>
            <w:r>
              <w:rPr>
                <w:rFonts w:ascii="Calibri" w:hAnsi="Calibri" w:hint="eastAsia"/>
                <w:szCs w:val="21"/>
              </w:rPr>
              <w:t>/</w:t>
            </w:r>
          </w:p>
        </w:tc>
        <w:tc>
          <w:tcPr>
            <w:tcW w:w="597" w:type="pct"/>
            <w:tcBorders>
              <w:left w:val="single" w:sz="2" w:space="0" w:color="auto"/>
            </w:tcBorders>
            <w:vAlign w:val="center"/>
          </w:tcPr>
          <w:p w14:paraId="17C994E4" w14:textId="7BD0D5F1" w:rsidR="00A42350" w:rsidRPr="007A2AD4" w:rsidRDefault="00A42350" w:rsidP="00A42350">
            <w:pPr>
              <w:jc w:val="center"/>
              <w:rPr>
                <w:rFonts w:ascii="Calibri" w:hAnsi="Calibri"/>
              </w:rPr>
            </w:pPr>
            <w:r>
              <w:rPr>
                <w:rFonts w:ascii="Calibri" w:hAnsi="Calibri"/>
              </w:rPr>
              <w:t>0.00056</w:t>
            </w:r>
          </w:p>
        </w:tc>
        <w:tc>
          <w:tcPr>
            <w:tcW w:w="569" w:type="pct"/>
            <w:tcBorders>
              <w:right w:val="single" w:sz="2" w:space="0" w:color="auto"/>
            </w:tcBorders>
            <w:vAlign w:val="center"/>
          </w:tcPr>
          <w:p w14:paraId="2B619C16" w14:textId="1290A601" w:rsidR="00A42350" w:rsidRPr="007A2AD4" w:rsidRDefault="00A42350" w:rsidP="00A42350">
            <w:pPr>
              <w:jc w:val="center"/>
              <w:rPr>
                <w:rFonts w:ascii="Calibri" w:hAnsi="Calibri"/>
              </w:rPr>
            </w:pPr>
            <w:r>
              <w:rPr>
                <w:rFonts w:ascii="Calibri" w:hAnsi="Calibri"/>
              </w:rPr>
              <w:t>0.004</w:t>
            </w:r>
          </w:p>
        </w:tc>
        <w:tc>
          <w:tcPr>
            <w:tcW w:w="838" w:type="pct"/>
            <w:vMerge/>
            <w:tcBorders>
              <w:left w:val="single" w:sz="2" w:space="0" w:color="auto"/>
            </w:tcBorders>
            <w:vAlign w:val="center"/>
          </w:tcPr>
          <w:p w14:paraId="5AADC6BE" w14:textId="77777777" w:rsidR="00A42350" w:rsidRPr="00A964FF" w:rsidRDefault="00A42350" w:rsidP="00A42350">
            <w:pPr>
              <w:jc w:val="center"/>
              <w:rPr>
                <w:rFonts w:ascii="Calibri" w:hAnsi="Calibri"/>
                <w:szCs w:val="21"/>
              </w:rPr>
            </w:pPr>
          </w:p>
        </w:tc>
      </w:tr>
    </w:tbl>
    <w:p w14:paraId="7EA99025" w14:textId="4604687F" w:rsidR="00D740D3" w:rsidRPr="00B71687" w:rsidRDefault="009566DA" w:rsidP="00B71687">
      <w:pPr>
        <w:spacing w:line="520" w:lineRule="exact"/>
        <w:ind w:firstLineChars="200" w:firstLine="420"/>
        <w:jc w:val="left"/>
        <w:rPr>
          <w:rFonts w:ascii="宋体" w:hAnsi="宋体"/>
          <w:color w:val="auto"/>
          <w:szCs w:val="21"/>
        </w:rPr>
      </w:pPr>
      <w:r w:rsidRPr="009566DA">
        <w:rPr>
          <w:rFonts w:ascii="宋体" w:hAnsi="宋体" w:hint="eastAsia"/>
          <w:color w:val="auto"/>
          <w:szCs w:val="21"/>
        </w:rPr>
        <w:t>注</w:t>
      </w:r>
      <w:r w:rsidRPr="009566DA">
        <w:rPr>
          <w:rFonts w:ascii="宋体" w:hAnsi="宋体"/>
          <w:color w:val="auto"/>
          <w:szCs w:val="21"/>
        </w:rPr>
        <w:t>：非甲烷总</w:t>
      </w:r>
      <w:r w:rsidRPr="009566DA">
        <w:rPr>
          <w:rFonts w:ascii="宋体" w:hAnsi="宋体" w:hint="eastAsia"/>
          <w:color w:val="auto"/>
          <w:szCs w:val="21"/>
        </w:rPr>
        <w:t>烃</w:t>
      </w:r>
      <w:r w:rsidRPr="009566DA">
        <w:rPr>
          <w:rFonts w:ascii="宋体" w:hAnsi="宋体"/>
          <w:color w:val="auto"/>
          <w:szCs w:val="21"/>
        </w:rPr>
        <w:t>包含</w:t>
      </w:r>
      <w:r w:rsidR="00B0285F">
        <w:rPr>
          <w:rFonts w:ascii="Calibri" w:hAnsi="Calibri" w:hint="eastAsia"/>
          <w:color w:val="auto"/>
        </w:rPr>
        <w:t>己二胺</w:t>
      </w:r>
      <w:r w:rsidR="00B0285F">
        <w:rPr>
          <w:rFonts w:ascii="Calibri" w:hAnsi="Calibri"/>
          <w:color w:val="auto"/>
        </w:rPr>
        <w:t>、</w:t>
      </w:r>
      <w:r w:rsidR="00B0285F">
        <w:rPr>
          <w:rFonts w:ascii="Calibri" w:hAnsi="Calibri" w:hint="eastAsia"/>
          <w:color w:val="auto"/>
        </w:rPr>
        <w:t>己二酸</w:t>
      </w:r>
      <w:r w:rsidR="00B0285F">
        <w:rPr>
          <w:rFonts w:ascii="Calibri" w:hAnsi="Calibri"/>
          <w:color w:val="auto"/>
        </w:rPr>
        <w:t>、环戊酮、</w:t>
      </w:r>
      <w:r w:rsidR="00B0285F">
        <w:rPr>
          <w:rFonts w:ascii="Calibri" w:hAnsi="Calibri" w:hint="eastAsia"/>
          <w:color w:val="auto"/>
        </w:rPr>
        <w:t>环己亚胺</w:t>
      </w:r>
      <w:r w:rsidRPr="009566DA">
        <w:rPr>
          <w:rFonts w:ascii="宋体" w:hAnsi="宋体"/>
          <w:color w:val="auto"/>
          <w:szCs w:val="21"/>
        </w:rPr>
        <w:t>等有机</w:t>
      </w:r>
      <w:r w:rsidRPr="009566DA">
        <w:rPr>
          <w:rFonts w:ascii="宋体" w:hAnsi="宋体" w:hint="eastAsia"/>
          <w:color w:val="auto"/>
          <w:szCs w:val="21"/>
        </w:rPr>
        <w:t>废气。</w:t>
      </w:r>
    </w:p>
    <w:p w14:paraId="4A0BE981" w14:textId="09FB0ED3" w:rsidR="00D96E4F" w:rsidRPr="00433709" w:rsidRDefault="009566DA" w:rsidP="00433709">
      <w:pPr>
        <w:spacing w:line="500" w:lineRule="exact"/>
        <w:ind w:firstLineChars="200" w:firstLine="480"/>
        <w:rPr>
          <w:rFonts w:ascii="Calibri" w:hAnsi="Calibri"/>
          <w:color w:val="auto"/>
          <w:sz w:val="24"/>
        </w:rPr>
      </w:pPr>
      <w:r>
        <w:rPr>
          <w:rFonts w:ascii="Calibri" w:hAnsi="Calibri" w:hint="eastAsia"/>
          <w:color w:val="auto"/>
          <w:sz w:val="24"/>
        </w:rPr>
        <w:t>本项目</w:t>
      </w:r>
      <w:r w:rsidRPr="00A964FF">
        <w:rPr>
          <w:rFonts w:ascii="Calibri" w:hAnsi="Calibri" w:hint="eastAsia"/>
          <w:color w:val="auto"/>
          <w:sz w:val="24"/>
        </w:rPr>
        <w:t>废气各污染物产排情况汇总见表</w:t>
      </w:r>
      <w:r w:rsidRPr="00A964FF">
        <w:rPr>
          <w:rFonts w:ascii="Calibri" w:hAnsi="Calibri" w:hint="eastAsia"/>
          <w:color w:val="auto"/>
          <w:sz w:val="24"/>
        </w:rPr>
        <w:t>2.3-</w:t>
      </w:r>
      <w:r w:rsidR="00B71687">
        <w:rPr>
          <w:rFonts w:ascii="Calibri" w:hAnsi="Calibri"/>
          <w:color w:val="auto"/>
          <w:sz w:val="24"/>
        </w:rPr>
        <w:t>14</w:t>
      </w:r>
      <w:r w:rsidRPr="00A964FF">
        <w:rPr>
          <w:rFonts w:ascii="Calibri" w:hAnsi="Calibri" w:hint="eastAsia"/>
          <w:color w:val="auto"/>
          <w:sz w:val="24"/>
        </w:rPr>
        <w:t>。</w:t>
      </w:r>
    </w:p>
    <w:p w14:paraId="4609E2B0" w14:textId="554097B6" w:rsidR="009566DA" w:rsidRPr="00A964FF" w:rsidRDefault="009566DA" w:rsidP="009566DA">
      <w:pPr>
        <w:spacing w:line="520" w:lineRule="exact"/>
        <w:ind w:firstLineChars="200" w:firstLine="480"/>
        <w:jc w:val="left"/>
        <w:rPr>
          <w:rFonts w:ascii="Calibri" w:hAnsi="Calibri"/>
          <w:color w:val="auto"/>
          <w:szCs w:val="21"/>
        </w:rPr>
      </w:pPr>
      <w:r w:rsidRPr="00A964FF">
        <w:rPr>
          <w:rFonts w:ascii="Calibri" w:eastAsia="黑体" w:hAnsi="Calibri"/>
          <w:color w:val="auto"/>
          <w:sz w:val="24"/>
        </w:rPr>
        <w:t>表</w:t>
      </w:r>
      <w:r w:rsidRPr="00A964FF">
        <w:rPr>
          <w:rFonts w:ascii="Calibri" w:eastAsia="黑体" w:hAnsi="Calibri" w:hint="eastAsia"/>
          <w:color w:val="auto"/>
          <w:sz w:val="24"/>
        </w:rPr>
        <w:t>2.3-</w:t>
      </w:r>
      <w:r w:rsidR="00256C86">
        <w:rPr>
          <w:rFonts w:ascii="Calibri" w:eastAsia="黑体" w:hAnsi="Calibri"/>
          <w:color w:val="auto"/>
          <w:sz w:val="24"/>
        </w:rPr>
        <w:t>1</w:t>
      </w:r>
      <w:r w:rsidR="00B71687">
        <w:rPr>
          <w:rFonts w:ascii="Calibri" w:eastAsia="黑体" w:hAnsi="Calibri"/>
          <w:color w:val="auto"/>
          <w:sz w:val="24"/>
        </w:rPr>
        <w:t>4</w:t>
      </w:r>
      <w:r w:rsidRPr="00A964FF">
        <w:rPr>
          <w:rFonts w:ascii="黑体" w:eastAsia="黑体" w:hAnsi="Calibri" w:hint="eastAsia"/>
          <w:color w:val="auto"/>
          <w:sz w:val="24"/>
        </w:rPr>
        <w:t xml:space="preserve">         本项目营运后废气污染物产排情况汇总</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130"/>
        <w:gridCol w:w="1651"/>
        <w:gridCol w:w="1973"/>
        <w:gridCol w:w="1973"/>
        <w:gridCol w:w="1973"/>
      </w:tblGrid>
      <w:tr w:rsidR="009566DA" w:rsidRPr="00A964FF" w14:paraId="138513B8" w14:textId="77777777" w:rsidTr="00256C86">
        <w:trPr>
          <w:trHeight w:val="312"/>
        </w:trPr>
        <w:tc>
          <w:tcPr>
            <w:tcW w:w="649" w:type="pct"/>
            <w:vAlign w:val="center"/>
          </w:tcPr>
          <w:p w14:paraId="044A5834" w14:textId="77777777" w:rsidR="009566DA" w:rsidRPr="00A964FF" w:rsidRDefault="009566DA" w:rsidP="007C4896">
            <w:pPr>
              <w:jc w:val="center"/>
              <w:rPr>
                <w:rFonts w:ascii="Calibri" w:hAnsi="Calibri"/>
                <w:snapToGrid w:val="0"/>
                <w:color w:val="auto"/>
                <w:szCs w:val="21"/>
              </w:rPr>
            </w:pPr>
            <w:r w:rsidRPr="00A964FF">
              <w:rPr>
                <w:rFonts w:ascii="Calibri" w:hAnsi="Calibri" w:hint="eastAsia"/>
                <w:snapToGrid w:val="0"/>
                <w:color w:val="auto"/>
                <w:szCs w:val="21"/>
              </w:rPr>
              <w:t>序号</w:t>
            </w:r>
          </w:p>
        </w:tc>
        <w:tc>
          <w:tcPr>
            <w:tcW w:w="949" w:type="pct"/>
            <w:vAlign w:val="center"/>
          </w:tcPr>
          <w:p w14:paraId="33266356" w14:textId="77777777" w:rsidR="009566DA" w:rsidRPr="00A964FF" w:rsidRDefault="009566DA" w:rsidP="007C4896">
            <w:pPr>
              <w:jc w:val="center"/>
              <w:rPr>
                <w:rFonts w:ascii="Calibri" w:hAnsi="Calibri"/>
                <w:snapToGrid w:val="0"/>
                <w:color w:val="auto"/>
                <w:szCs w:val="21"/>
              </w:rPr>
            </w:pPr>
            <w:r w:rsidRPr="00A964FF">
              <w:rPr>
                <w:rFonts w:ascii="Calibri" w:hAnsi="Calibri" w:hint="eastAsia"/>
                <w:snapToGrid w:val="0"/>
                <w:color w:val="auto"/>
                <w:szCs w:val="21"/>
              </w:rPr>
              <w:t>污染物</w:t>
            </w:r>
          </w:p>
        </w:tc>
        <w:tc>
          <w:tcPr>
            <w:tcW w:w="1134" w:type="pct"/>
            <w:vAlign w:val="center"/>
          </w:tcPr>
          <w:p w14:paraId="62BDA6AB" w14:textId="77777777" w:rsidR="009566DA" w:rsidRPr="00A964FF" w:rsidRDefault="009566DA" w:rsidP="007C4896">
            <w:pPr>
              <w:jc w:val="center"/>
              <w:rPr>
                <w:rFonts w:ascii="Calibri" w:hAnsi="Calibri"/>
                <w:snapToGrid w:val="0"/>
                <w:color w:val="auto"/>
                <w:szCs w:val="21"/>
              </w:rPr>
            </w:pPr>
            <w:r w:rsidRPr="00A964FF">
              <w:rPr>
                <w:rFonts w:ascii="Calibri" w:hAnsi="Calibri" w:hint="eastAsia"/>
                <w:snapToGrid w:val="0"/>
                <w:color w:val="auto"/>
                <w:szCs w:val="21"/>
              </w:rPr>
              <w:t>产生量（</w:t>
            </w:r>
            <w:r w:rsidRPr="00A964FF">
              <w:rPr>
                <w:rFonts w:ascii="Calibri" w:hAnsi="Calibri" w:hint="eastAsia"/>
                <w:snapToGrid w:val="0"/>
                <w:color w:val="auto"/>
                <w:szCs w:val="21"/>
              </w:rPr>
              <w:t>t/a</w:t>
            </w:r>
            <w:r w:rsidRPr="00A964FF">
              <w:rPr>
                <w:rFonts w:ascii="Calibri" w:hAnsi="Calibri" w:hint="eastAsia"/>
                <w:snapToGrid w:val="0"/>
                <w:color w:val="auto"/>
                <w:szCs w:val="21"/>
              </w:rPr>
              <w:t>）</w:t>
            </w:r>
          </w:p>
        </w:tc>
        <w:tc>
          <w:tcPr>
            <w:tcW w:w="1134" w:type="pct"/>
            <w:vAlign w:val="center"/>
          </w:tcPr>
          <w:p w14:paraId="20AFD274" w14:textId="77777777" w:rsidR="009566DA" w:rsidRPr="00A964FF" w:rsidRDefault="009566DA" w:rsidP="007C4896">
            <w:pPr>
              <w:jc w:val="center"/>
              <w:rPr>
                <w:rFonts w:ascii="Calibri" w:hAnsi="Calibri"/>
                <w:snapToGrid w:val="0"/>
                <w:color w:val="auto"/>
                <w:szCs w:val="21"/>
              </w:rPr>
            </w:pPr>
            <w:r w:rsidRPr="00A964FF">
              <w:rPr>
                <w:rFonts w:ascii="Calibri" w:hAnsi="Calibri" w:hint="eastAsia"/>
                <w:snapToGrid w:val="0"/>
                <w:color w:val="auto"/>
                <w:szCs w:val="21"/>
              </w:rPr>
              <w:t>排放量（</w:t>
            </w:r>
            <w:r w:rsidRPr="00A964FF">
              <w:rPr>
                <w:rFonts w:ascii="Calibri" w:hAnsi="Calibri" w:hint="eastAsia"/>
                <w:snapToGrid w:val="0"/>
                <w:color w:val="auto"/>
                <w:szCs w:val="21"/>
              </w:rPr>
              <w:t>t/a</w:t>
            </w:r>
            <w:r w:rsidRPr="00A964FF">
              <w:rPr>
                <w:rFonts w:ascii="Calibri" w:hAnsi="Calibri" w:hint="eastAsia"/>
                <w:snapToGrid w:val="0"/>
                <w:color w:val="auto"/>
                <w:szCs w:val="21"/>
              </w:rPr>
              <w:t>）</w:t>
            </w:r>
          </w:p>
        </w:tc>
        <w:tc>
          <w:tcPr>
            <w:tcW w:w="1134" w:type="pct"/>
            <w:vAlign w:val="center"/>
          </w:tcPr>
          <w:p w14:paraId="142967F0" w14:textId="77777777" w:rsidR="009566DA" w:rsidRPr="00A964FF" w:rsidRDefault="009566DA" w:rsidP="007C4896">
            <w:pPr>
              <w:jc w:val="center"/>
              <w:rPr>
                <w:rFonts w:ascii="Calibri" w:hAnsi="Calibri"/>
                <w:snapToGrid w:val="0"/>
                <w:color w:val="auto"/>
                <w:szCs w:val="21"/>
              </w:rPr>
            </w:pPr>
            <w:r w:rsidRPr="00A964FF">
              <w:rPr>
                <w:rFonts w:ascii="Calibri" w:hAnsi="Calibri" w:hint="eastAsia"/>
                <w:snapToGrid w:val="0"/>
                <w:color w:val="auto"/>
                <w:szCs w:val="21"/>
              </w:rPr>
              <w:t>削减量（</w:t>
            </w:r>
            <w:r w:rsidRPr="00A964FF">
              <w:rPr>
                <w:rFonts w:ascii="Calibri" w:hAnsi="Calibri" w:hint="eastAsia"/>
                <w:snapToGrid w:val="0"/>
                <w:color w:val="auto"/>
                <w:szCs w:val="21"/>
              </w:rPr>
              <w:t>t/a</w:t>
            </w:r>
            <w:r w:rsidRPr="00A964FF">
              <w:rPr>
                <w:rFonts w:ascii="Calibri" w:hAnsi="Calibri" w:hint="eastAsia"/>
                <w:snapToGrid w:val="0"/>
                <w:color w:val="auto"/>
                <w:szCs w:val="21"/>
              </w:rPr>
              <w:t>）</w:t>
            </w:r>
          </w:p>
        </w:tc>
      </w:tr>
      <w:tr w:rsidR="007E575F" w:rsidRPr="00A964FF" w14:paraId="71EF1208" w14:textId="77777777" w:rsidTr="00256C86">
        <w:trPr>
          <w:trHeight w:val="312"/>
        </w:trPr>
        <w:tc>
          <w:tcPr>
            <w:tcW w:w="649" w:type="pct"/>
            <w:vAlign w:val="center"/>
          </w:tcPr>
          <w:p w14:paraId="73522FCA" w14:textId="77777777" w:rsidR="007E575F" w:rsidRPr="00A964FF" w:rsidRDefault="007E575F" w:rsidP="007E575F">
            <w:pPr>
              <w:jc w:val="center"/>
              <w:rPr>
                <w:rFonts w:ascii="Calibri" w:hAnsi="Calibri"/>
                <w:snapToGrid w:val="0"/>
                <w:color w:val="auto"/>
                <w:szCs w:val="21"/>
              </w:rPr>
            </w:pPr>
            <w:r w:rsidRPr="00A964FF">
              <w:rPr>
                <w:rFonts w:ascii="Calibri" w:hAnsi="Calibri" w:hint="eastAsia"/>
                <w:snapToGrid w:val="0"/>
                <w:color w:val="auto"/>
                <w:szCs w:val="21"/>
              </w:rPr>
              <w:t>1</w:t>
            </w:r>
          </w:p>
        </w:tc>
        <w:tc>
          <w:tcPr>
            <w:tcW w:w="949" w:type="pct"/>
            <w:vAlign w:val="center"/>
          </w:tcPr>
          <w:p w14:paraId="33005032" w14:textId="77777777" w:rsidR="007E575F" w:rsidRPr="005B7D40" w:rsidRDefault="007E575F" w:rsidP="007E575F">
            <w:pPr>
              <w:jc w:val="center"/>
              <w:rPr>
                <w:rFonts w:ascii="Calibri" w:hAnsi="Calibri"/>
                <w:snapToGrid w:val="0"/>
                <w:color w:val="auto"/>
                <w:szCs w:val="21"/>
              </w:rPr>
            </w:pPr>
            <w:r w:rsidRPr="005B7D40">
              <w:rPr>
                <w:rFonts w:ascii="Calibri" w:hAnsi="Calibri"/>
                <w:snapToGrid w:val="0"/>
                <w:color w:val="auto"/>
                <w:szCs w:val="21"/>
              </w:rPr>
              <w:t>SO</w:t>
            </w:r>
            <w:r w:rsidRPr="005B7D40">
              <w:rPr>
                <w:rFonts w:ascii="Calibri" w:hAnsi="Calibri"/>
                <w:snapToGrid w:val="0"/>
                <w:color w:val="auto"/>
                <w:szCs w:val="21"/>
                <w:vertAlign w:val="subscript"/>
              </w:rPr>
              <w:t>2</w:t>
            </w:r>
          </w:p>
        </w:tc>
        <w:tc>
          <w:tcPr>
            <w:tcW w:w="1134" w:type="pct"/>
            <w:vAlign w:val="center"/>
          </w:tcPr>
          <w:p w14:paraId="2E1152BA" w14:textId="77777777" w:rsidR="007E575F" w:rsidRPr="007E575F" w:rsidRDefault="007E575F" w:rsidP="007E575F">
            <w:pPr>
              <w:jc w:val="center"/>
              <w:rPr>
                <w:rFonts w:ascii="Calibri" w:hAnsi="Calibri"/>
                <w:snapToGrid w:val="0"/>
                <w:color w:val="auto"/>
                <w:szCs w:val="21"/>
              </w:rPr>
            </w:pPr>
            <w:r w:rsidRPr="007E575F">
              <w:rPr>
                <w:rFonts w:ascii="Calibri" w:hAnsi="Calibri"/>
                <w:snapToGrid w:val="0"/>
                <w:color w:val="auto"/>
                <w:szCs w:val="21"/>
              </w:rPr>
              <w:t>0.067</w:t>
            </w:r>
          </w:p>
        </w:tc>
        <w:tc>
          <w:tcPr>
            <w:tcW w:w="1134" w:type="pct"/>
            <w:vAlign w:val="center"/>
          </w:tcPr>
          <w:p w14:paraId="699F64C3" w14:textId="77777777" w:rsidR="007E575F" w:rsidRPr="007E575F" w:rsidRDefault="007E575F" w:rsidP="007E575F">
            <w:pPr>
              <w:jc w:val="center"/>
              <w:rPr>
                <w:rFonts w:ascii="Calibri" w:hAnsi="Calibri"/>
                <w:snapToGrid w:val="0"/>
                <w:color w:val="auto"/>
                <w:szCs w:val="21"/>
              </w:rPr>
            </w:pPr>
            <w:r w:rsidRPr="007E575F">
              <w:rPr>
                <w:rFonts w:ascii="Calibri" w:hAnsi="Calibri"/>
                <w:snapToGrid w:val="0"/>
                <w:color w:val="auto"/>
                <w:szCs w:val="21"/>
              </w:rPr>
              <w:t>0.067</w:t>
            </w:r>
          </w:p>
        </w:tc>
        <w:tc>
          <w:tcPr>
            <w:tcW w:w="1134" w:type="pct"/>
            <w:vAlign w:val="center"/>
          </w:tcPr>
          <w:p w14:paraId="22E979B6" w14:textId="77777777" w:rsidR="007E575F" w:rsidRPr="007E575F" w:rsidRDefault="007E575F" w:rsidP="007E575F">
            <w:pPr>
              <w:jc w:val="center"/>
              <w:rPr>
                <w:rFonts w:ascii="Calibri" w:hAnsi="Calibri"/>
                <w:snapToGrid w:val="0"/>
                <w:color w:val="auto"/>
                <w:szCs w:val="21"/>
              </w:rPr>
            </w:pPr>
            <w:r w:rsidRPr="007E575F">
              <w:rPr>
                <w:rFonts w:ascii="Calibri" w:hAnsi="Calibri"/>
                <w:snapToGrid w:val="0"/>
                <w:color w:val="auto"/>
                <w:szCs w:val="21"/>
              </w:rPr>
              <w:t>0</w:t>
            </w:r>
          </w:p>
        </w:tc>
      </w:tr>
      <w:tr w:rsidR="007E575F" w:rsidRPr="00A964FF" w14:paraId="64866F9C" w14:textId="77777777" w:rsidTr="00256C86">
        <w:trPr>
          <w:trHeight w:val="312"/>
        </w:trPr>
        <w:tc>
          <w:tcPr>
            <w:tcW w:w="649" w:type="pct"/>
            <w:vAlign w:val="center"/>
          </w:tcPr>
          <w:p w14:paraId="7B93B1B7" w14:textId="77777777" w:rsidR="007E575F" w:rsidRPr="00A964FF" w:rsidRDefault="007E575F" w:rsidP="007E575F">
            <w:pPr>
              <w:jc w:val="center"/>
              <w:rPr>
                <w:rFonts w:ascii="Calibri" w:hAnsi="Calibri"/>
                <w:snapToGrid w:val="0"/>
                <w:color w:val="auto"/>
                <w:szCs w:val="21"/>
              </w:rPr>
            </w:pPr>
            <w:r w:rsidRPr="00A964FF">
              <w:rPr>
                <w:rFonts w:ascii="Calibri" w:hAnsi="Calibri" w:hint="eastAsia"/>
                <w:snapToGrid w:val="0"/>
                <w:color w:val="auto"/>
                <w:szCs w:val="21"/>
              </w:rPr>
              <w:t>2</w:t>
            </w:r>
          </w:p>
        </w:tc>
        <w:tc>
          <w:tcPr>
            <w:tcW w:w="949" w:type="pct"/>
            <w:vAlign w:val="center"/>
          </w:tcPr>
          <w:p w14:paraId="6C15C093" w14:textId="77777777" w:rsidR="007E575F" w:rsidRPr="005B7D40" w:rsidRDefault="007E575F" w:rsidP="007E575F">
            <w:pPr>
              <w:jc w:val="center"/>
              <w:rPr>
                <w:rFonts w:ascii="Calibri" w:hAnsi="Calibri"/>
                <w:snapToGrid w:val="0"/>
                <w:color w:val="auto"/>
                <w:szCs w:val="21"/>
              </w:rPr>
            </w:pPr>
            <w:r w:rsidRPr="005B7D40">
              <w:rPr>
                <w:rFonts w:ascii="Calibri" w:hAnsi="Calibri"/>
                <w:snapToGrid w:val="0"/>
                <w:color w:val="auto"/>
                <w:szCs w:val="21"/>
              </w:rPr>
              <w:t>NOx</w:t>
            </w:r>
          </w:p>
        </w:tc>
        <w:tc>
          <w:tcPr>
            <w:tcW w:w="1134" w:type="pct"/>
            <w:vAlign w:val="center"/>
          </w:tcPr>
          <w:p w14:paraId="1989B46D" w14:textId="77777777" w:rsidR="007E575F" w:rsidRPr="007E575F" w:rsidRDefault="007E575F" w:rsidP="007E575F">
            <w:pPr>
              <w:jc w:val="center"/>
              <w:rPr>
                <w:rFonts w:ascii="Calibri" w:hAnsi="Calibri"/>
                <w:snapToGrid w:val="0"/>
                <w:color w:val="auto"/>
                <w:szCs w:val="21"/>
              </w:rPr>
            </w:pPr>
            <w:r w:rsidRPr="007E575F">
              <w:rPr>
                <w:rFonts w:ascii="Calibri" w:hAnsi="Calibri"/>
                <w:snapToGrid w:val="0"/>
                <w:color w:val="auto"/>
                <w:szCs w:val="21"/>
              </w:rPr>
              <w:t>0.51</w:t>
            </w:r>
          </w:p>
        </w:tc>
        <w:tc>
          <w:tcPr>
            <w:tcW w:w="1134" w:type="pct"/>
            <w:vAlign w:val="center"/>
          </w:tcPr>
          <w:p w14:paraId="52DB7829" w14:textId="77777777" w:rsidR="007E575F" w:rsidRPr="007E575F" w:rsidRDefault="007E575F" w:rsidP="007E575F">
            <w:pPr>
              <w:jc w:val="center"/>
              <w:rPr>
                <w:rFonts w:ascii="Calibri" w:hAnsi="Calibri"/>
                <w:snapToGrid w:val="0"/>
                <w:color w:val="auto"/>
                <w:szCs w:val="21"/>
              </w:rPr>
            </w:pPr>
            <w:r w:rsidRPr="007E575F">
              <w:rPr>
                <w:rFonts w:ascii="Calibri" w:hAnsi="Calibri"/>
                <w:snapToGrid w:val="0"/>
                <w:color w:val="auto"/>
                <w:szCs w:val="21"/>
              </w:rPr>
              <w:t>0.51</w:t>
            </w:r>
          </w:p>
        </w:tc>
        <w:tc>
          <w:tcPr>
            <w:tcW w:w="1134" w:type="pct"/>
            <w:vAlign w:val="center"/>
          </w:tcPr>
          <w:p w14:paraId="489DB06F" w14:textId="77777777" w:rsidR="007E575F" w:rsidRPr="007E575F" w:rsidRDefault="007E575F" w:rsidP="007E575F">
            <w:pPr>
              <w:jc w:val="center"/>
              <w:rPr>
                <w:rFonts w:ascii="Calibri" w:hAnsi="Calibri"/>
                <w:snapToGrid w:val="0"/>
                <w:color w:val="auto"/>
                <w:szCs w:val="21"/>
              </w:rPr>
            </w:pPr>
            <w:r w:rsidRPr="007E575F">
              <w:rPr>
                <w:rFonts w:ascii="Calibri" w:hAnsi="Calibri"/>
                <w:snapToGrid w:val="0"/>
                <w:color w:val="auto"/>
                <w:szCs w:val="21"/>
              </w:rPr>
              <w:t>0</w:t>
            </w:r>
          </w:p>
        </w:tc>
      </w:tr>
      <w:tr w:rsidR="007E575F" w:rsidRPr="00A964FF" w14:paraId="7C623F73" w14:textId="77777777" w:rsidTr="00256C86">
        <w:trPr>
          <w:trHeight w:val="312"/>
        </w:trPr>
        <w:tc>
          <w:tcPr>
            <w:tcW w:w="649" w:type="pct"/>
            <w:vAlign w:val="center"/>
          </w:tcPr>
          <w:p w14:paraId="147492FC" w14:textId="77777777" w:rsidR="007E575F" w:rsidRPr="00A964FF" w:rsidRDefault="007E575F" w:rsidP="007E575F">
            <w:pPr>
              <w:jc w:val="center"/>
              <w:rPr>
                <w:rFonts w:ascii="Calibri" w:hAnsi="Calibri"/>
                <w:snapToGrid w:val="0"/>
                <w:color w:val="auto"/>
                <w:szCs w:val="21"/>
              </w:rPr>
            </w:pPr>
            <w:r w:rsidRPr="00A964FF">
              <w:rPr>
                <w:rFonts w:ascii="Calibri" w:hAnsi="Calibri" w:hint="eastAsia"/>
                <w:snapToGrid w:val="0"/>
                <w:color w:val="auto"/>
                <w:szCs w:val="21"/>
              </w:rPr>
              <w:t>3</w:t>
            </w:r>
          </w:p>
        </w:tc>
        <w:tc>
          <w:tcPr>
            <w:tcW w:w="949" w:type="pct"/>
            <w:vAlign w:val="center"/>
          </w:tcPr>
          <w:p w14:paraId="573782D2" w14:textId="77777777" w:rsidR="007E575F" w:rsidRPr="005B7D40" w:rsidRDefault="007E575F" w:rsidP="007E575F">
            <w:pPr>
              <w:jc w:val="center"/>
              <w:rPr>
                <w:rFonts w:ascii="Calibri" w:hAnsi="Calibri"/>
                <w:snapToGrid w:val="0"/>
                <w:color w:val="auto"/>
                <w:szCs w:val="21"/>
              </w:rPr>
            </w:pPr>
            <w:r w:rsidRPr="005B7D40">
              <w:rPr>
                <w:rFonts w:ascii="Calibri" w:hAnsi="Calibri" w:hint="eastAsia"/>
                <w:snapToGrid w:val="0"/>
                <w:color w:val="auto"/>
                <w:szCs w:val="21"/>
              </w:rPr>
              <w:t>颗粒物</w:t>
            </w:r>
          </w:p>
        </w:tc>
        <w:tc>
          <w:tcPr>
            <w:tcW w:w="1134" w:type="pct"/>
            <w:vAlign w:val="center"/>
          </w:tcPr>
          <w:p w14:paraId="07A291C0" w14:textId="77777777" w:rsidR="007E575F" w:rsidRPr="007E575F" w:rsidRDefault="00B0285F" w:rsidP="00AD0BDD">
            <w:pPr>
              <w:jc w:val="center"/>
              <w:rPr>
                <w:rFonts w:ascii="Calibri" w:hAnsi="Calibri"/>
                <w:snapToGrid w:val="0"/>
                <w:color w:val="auto"/>
                <w:szCs w:val="21"/>
              </w:rPr>
            </w:pPr>
            <w:r>
              <w:rPr>
                <w:rFonts w:ascii="Calibri" w:hAnsi="Calibri"/>
                <w:snapToGrid w:val="0"/>
                <w:color w:val="auto"/>
                <w:szCs w:val="21"/>
              </w:rPr>
              <w:t>0.0</w:t>
            </w:r>
            <w:r w:rsidR="00AD0BDD">
              <w:rPr>
                <w:rFonts w:ascii="Calibri" w:hAnsi="Calibri"/>
                <w:snapToGrid w:val="0"/>
                <w:color w:val="auto"/>
                <w:szCs w:val="21"/>
              </w:rPr>
              <w:t>44</w:t>
            </w:r>
          </w:p>
        </w:tc>
        <w:tc>
          <w:tcPr>
            <w:tcW w:w="1134" w:type="pct"/>
            <w:vAlign w:val="center"/>
          </w:tcPr>
          <w:p w14:paraId="02BE35F7" w14:textId="77777777" w:rsidR="007E575F" w:rsidRPr="007E575F" w:rsidRDefault="00B0285F" w:rsidP="00AD0BDD">
            <w:pPr>
              <w:jc w:val="center"/>
              <w:rPr>
                <w:rFonts w:ascii="Calibri" w:hAnsi="Calibri"/>
                <w:snapToGrid w:val="0"/>
                <w:color w:val="auto"/>
                <w:szCs w:val="21"/>
              </w:rPr>
            </w:pPr>
            <w:r>
              <w:rPr>
                <w:rFonts w:ascii="Calibri" w:hAnsi="Calibri"/>
                <w:snapToGrid w:val="0"/>
                <w:color w:val="auto"/>
                <w:szCs w:val="21"/>
              </w:rPr>
              <w:t>0.0</w:t>
            </w:r>
            <w:r w:rsidR="00AD0BDD">
              <w:rPr>
                <w:rFonts w:ascii="Calibri" w:hAnsi="Calibri"/>
                <w:snapToGrid w:val="0"/>
                <w:color w:val="auto"/>
                <w:szCs w:val="21"/>
              </w:rPr>
              <w:t>44</w:t>
            </w:r>
          </w:p>
        </w:tc>
        <w:tc>
          <w:tcPr>
            <w:tcW w:w="1134" w:type="pct"/>
            <w:vAlign w:val="center"/>
          </w:tcPr>
          <w:p w14:paraId="5628F595" w14:textId="77777777" w:rsidR="007E575F" w:rsidRPr="007E575F" w:rsidRDefault="00B0285F" w:rsidP="007E575F">
            <w:pPr>
              <w:jc w:val="center"/>
              <w:rPr>
                <w:rFonts w:ascii="Calibri" w:hAnsi="Calibri"/>
                <w:snapToGrid w:val="0"/>
                <w:color w:val="auto"/>
                <w:szCs w:val="21"/>
              </w:rPr>
            </w:pPr>
            <w:r>
              <w:rPr>
                <w:rFonts w:ascii="Calibri" w:hAnsi="Calibri"/>
                <w:snapToGrid w:val="0"/>
                <w:color w:val="auto"/>
                <w:szCs w:val="21"/>
              </w:rPr>
              <w:t>0</w:t>
            </w:r>
          </w:p>
        </w:tc>
      </w:tr>
      <w:tr w:rsidR="007E575F" w:rsidRPr="00A964FF" w14:paraId="3D835417" w14:textId="77777777" w:rsidTr="00256C86">
        <w:trPr>
          <w:trHeight w:val="312"/>
        </w:trPr>
        <w:tc>
          <w:tcPr>
            <w:tcW w:w="649" w:type="pct"/>
            <w:vAlign w:val="center"/>
          </w:tcPr>
          <w:p w14:paraId="60292C51" w14:textId="77777777" w:rsidR="007E575F" w:rsidRPr="00A964FF" w:rsidRDefault="007E575F" w:rsidP="007E575F">
            <w:pPr>
              <w:jc w:val="center"/>
              <w:rPr>
                <w:rFonts w:ascii="Calibri" w:hAnsi="Calibri"/>
                <w:snapToGrid w:val="0"/>
                <w:color w:val="auto"/>
                <w:szCs w:val="21"/>
              </w:rPr>
            </w:pPr>
            <w:r>
              <w:rPr>
                <w:rFonts w:ascii="Calibri" w:hAnsi="Calibri"/>
                <w:snapToGrid w:val="0"/>
                <w:color w:val="auto"/>
                <w:szCs w:val="21"/>
              </w:rPr>
              <w:t>4</w:t>
            </w:r>
          </w:p>
        </w:tc>
        <w:tc>
          <w:tcPr>
            <w:tcW w:w="949" w:type="pct"/>
            <w:vAlign w:val="center"/>
          </w:tcPr>
          <w:p w14:paraId="2695FDEA" w14:textId="77777777" w:rsidR="007E575F" w:rsidRPr="005B7D40" w:rsidRDefault="007E575F" w:rsidP="007E575F">
            <w:pPr>
              <w:jc w:val="center"/>
              <w:rPr>
                <w:rFonts w:ascii="Calibri" w:hAnsi="Calibri"/>
                <w:snapToGrid w:val="0"/>
                <w:color w:val="auto"/>
                <w:szCs w:val="21"/>
              </w:rPr>
            </w:pPr>
            <w:r>
              <w:rPr>
                <w:rFonts w:ascii="Calibri" w:hAnsi="Calibri" w:hint="eastAsia"/>
                <w:snapToGrid w:val="0"/>
                <w:color w:val="auto"/>
                <w:szCs w:val="21"/>
              </w:rPr>
              <w:t>己二胺</w:t>
            </w:r>
          </w:p>
        </w:tc>
        <w:tc>
          <w:tcPr>
            <w:tcW w:w="1134" w:type="pct"/>
            <w:vAlign w:val="center"/>
          </w:tcPr>
          <w:p w14:paraId="633AAF5B" w14:textId="442B91BB" w:rsidR="007E575F" w:rsidRPr="007E575F" w:rsidRDefault="00A42350" w:rsidP="007E575F">
            <w:pPr>
              <w:jc w:val="center"/>
              <w:rPr>
                <w:rFonts w:ascii="Calibri" w:hAnsi="Calibri"/>
                <w:snapToGrid w:val="0"/>
                <w:color w:val="auto"/>
                <w:szCs w:val="21"/>
              </w:rPr>
            </w:pPr>
            <w:r>
              <w:rPr>
                <w:rFonts w:ascii="Calibri" w:hAnsi="Calibri"/>
                <w:snapToGrid w:val="0"/>
                <w:color w:val="auto"/>
                <w:szCs w:val="21"/>
              </w:rPr>
              <w:t>3.51</w:t>
            </w:r>
          </w:p>
        </w:tc>
        <w:tc>
          <w:tcPr>
            <w:tcW w:w="1134" w:type="pct"/>
            <w:vAlign w:val="center"/>
          </w:tcPr>
          <w:p w14:paraId="5D661C7C" w14:textId="13163A95" w:rsidR="007E575F" w:rsidRPr="007E575F" w:rsidRDefault="00A42350" w:rsidP="007E575F">
            <w:pPr>
              <w:jc w:val="center"/>
              <w:rPr>
                <w:rFonts w:ascii="Calibri" w:hAnsi="Calibri"/>
                <w:snapToGrid w:val="0"/>
                <w:color w:val="auto"/>
                <w:szCs w:val="21"/>
              </w:rPr>
            </w:pPr>
            <w:r>
              <w:rPr>
                <w:rFonts w:ascii="Calibri" w:hAnsi="Calibri"/>
                <w:snapToGrid w:val="0"/>
                <w:color w:val="auto"/>
                <w:szCs w:val="21"/>
              </w:rPr>
              <w:t>0.35</w:t>
            </w:r>
          </w:p>
        </w:tc>
        <w:tc>
          <w:tcPr>
            <w:tcW w:w="1134" w:type="pct"/>
            <w:vAlign w:val="center"/>
          </w:tcPr>
          <w:p w14:paraId="315FA680" w14:textId="36E394A7" w:rsidR="007E575F" w:rsidRPr="007E575F" w:rsidRDefault="00A42350" w:rsidP="007E575F">
            <w:pPr>
              <w:jc w:val="center"/>
              <w:rPr>
                <w:rFonts w:ascii="Calibri" w:hAnsi="Calibri"/>
                <w:snapToGrid w:val="0"/>
                <w:color w:val="auto"/>
                <w:szCs w:val="21"/>
              </w:rPr>
            </w:pPr>
            <w:r>
              <w:rPr>
                <w:rFonts w:ascii="Calibri" w:hAnsi="Calibri"/>
                <w:snapToGrid w:val="0"/>
                <w:color w:val="auto"/>
                <w:szCs w:val="21"/>
              </w:rPr>
              <w:t>3.16</w:t>
            </w:r>
          </w:p>
        </w:tc>
      </w:tr>
      <w:tr w:rsidR="00A42350" w:rsidRPr="00A964FF" w14:paraId="7D1489E1" w14:textId="77777777" w:rsidTr="00256C86">
        <w:trPr>
          <w:trHeight w:val="312"/>
        </w:trPr>
        <w:tc>
          <w:tcPr>
            <w:tcW w:w="649" w:type="pct"/>
            <w:vAlign w:val="center"/>
          </w:tcPr>
          <w:p w14:paraId="495A0BB8" w14:textId="4698EF19" w:rsidR="00A42350" w:rsidRDefault="00A42350" w:rsidP="007E575F">
            <w:pPr>
              <w:jc w:val="center"/>
              <w:rPr>
                <w:rFonts w:ascii="Calibri" w:hAnsi="Calibri"/>
                <w:snapToGrid w:val="0"/>
                <w:color w:val="auto"/>
                <w:szCs w:val="21"/>
              </w:rPr>
            </w:pPr>
            <w:r>
              <w:rPr>
                <w:rFonts w:ascii="Calibri" w:hAnsi="Calibri" w:hint="eastAsia"/>
                <w:snapToGrid w:val="0"/>
                <w:color w:val="auto"/>
                <w:szCs w:val="21"/>
              </w:rPr>
              <w:t>5</w:t>
            </w:r>
          </w:p>
        </w:tc>
        <w:tc>
          <w:tcPr>
            <w:tcW w:w="949" w:type="pct"/>
            <w:vAlign w:val="center"/>
          </w:tcPr>
          <w:p w14:paraId="1E8078F3" w14:textId="0771C924" w:rsidR="00A42350" w:rsidRDefault="00A42350" w:rsidP="007E575F">
            <w:pPr>
              <w:jc w:val="center"/>
              <w:rPr>
                <w:rFonts w:ascii="Calibri" w:hAnsi="Calibri"/>
                <w:snapToGrid w:val="0"/>
                <w:color w:val="auto"/>
                <w:szCs w:val="21"/>
              </w:rPr>
            </w:pPr>
            <w:r>
              <w:rPr>
                <w:rFonts w:ascii="Calibri" w:hAnsi="Calibri" w:hint="eastAsia"/>
                <w:snapToGrid w:val="0"/>
                <w:color w:val="auto"/>
                <w:szCs w:val="21"/>
              </w:rPr>
              <w:t>己二酸</w:t>
            </w:r>
          </w:p>
        </w:tc>
        <w:tc>
          <w:tcPr>
            <w:tcW w:w="1134" w:type="pct"/>
            <w:vAlign w:val="center"/>
          </w:tcPr>
          <w:p w14:paraId="41ACB35B" w14:textId="6F9F7EF5" w:rsidR="00A42350" w:rsidRDefault="00A42350" w:rsidP="007E575F">
            <w:pPr>
              <w:jc w:val="center"/>
              <w:rPr>
                <w:rFonts w:ascii="Calibri" w:hAnsi="Calibri"/>
                <w:snapToGrid w:val="0"/>
                <w:color w:val="auto"/>
                <w:szCs w:val="21"/>
              </w:rPr>
            </w:pPr>
            <w:r>
              <w:rPr>
                <w:rFonts w:ascii="Calibri" w:hAnsi="Calibri" w:hint="eastAsia"/>
                <w:snapToGrid w:val="0"/>
                <w:color w:val="auto"/>
                <w:szCs w:val="21"/>
              </w:rPr>
              <w:t>0.55</w:t>
            </w:r>
          </w:p>
        </w:tc>
        <w:tc>
          <w:tcPr>
            <w:tcW w:w="1134" w:type="pct"/>
            <w:vAlign w:val="center"/>
          </w:tcPr>
          <w:p w14:paraId="196982ED" w14:textId="57CCF057" w:rsidR="00A42350" w:rsidRDefault="00A42350" w:rsidP="007E575F">
            <w:pPr>
              <w:jc w:val="center"/>
              <w:rPr>
                <w:rFonts w:ascii="Calibri" w:hAnsi="Calibri"/>
                <w:snapToGrid w:val="0"/>
                <w:color w:val="auto"/>
                <w:szCs w:val="21"/>
              </w:rPr>
            </w:pPr>
            <w:r>
              <w:rPr>
                <w:rFonts w:ascii="Calibri" w:hAnsi="Calibri" w:hint="eastAsia"/>
                <w:snapToGrid w:val="0"/>
                <w:color w:val="auto"/>
                <w:szCs w:val="21"/>
              </w:rPr>
              <w:t>0.055</w:t>
            </w:r>
          </w:p>
        </w:tc>
        <w:tc>
          <w:tcPr>
            <w:tcW w:w="1134" w:type="pct"/>
            <w:vAlign w:val="center"/>
          </w:tcPr>
          <w:p w14:paraId="7FD081E7" w14:textId="3D326AFA" w:rsidR="00A42350" w:rsidRDefault="00A42350" w:rsidP="007E575F">
            <w:pPr>
              <w:jc w:val="center"/>
              <w:rPr>
                <w:rFonts w:ascii="Calibri" w:hAnsi="Calibri"/>
                <w:snapToGrid w:val="0"/>
                <w:color w:val="auto"/>
                <w:szCs w:val="21"/>
              </w:rPr>
            </w:pPr>
            <w:r>
              <w:rPr>
                <w:rFonts w:ascii="Calibri" w:hAnsi="Calibri" w:hint="eastAsia"/>
                <w:snapToGrid w:val="0"/>
                <w:color w:val="auto"/>
                <w:szCs w:val="21"/>
              </w:rPr>
              <w:t>0.495</w:t>
            </w:r>
          </w:p>
        </w:tc>
      </w:tr>
      <w:tr w:rsidR="007E575F" w:rsidRPr="00A964FF" w14:paraId="29E3B20E" w14:textId="77777777" w:rsidTr="00256C86">
        <w:trPr>
          <w:trHeight w:val="312"/>
        </w:trPr>
        <w:tc>
          <w:tcPr>
            <w:tcW w:w="649" w:type="pct"/>
            <w:vAlign w:val="center"/>
          </w:tcPr>
          <w:p w14:paraId="723DDD28" w14:textId="72FEEE24" w:rsidR="007E575F" w:rsidRPr="00A964FF" w:rsidRDefault="00A42350" w:rsidP="007E575F">
            <w:pPr>
              <w:jc w:val="center"/>
              <w:rPr>
                <w:rFonts w:ascii="Calibri" w:hAnsi="Calibri"/>
                <w:snapToGrid w:val="0"/>
                <w:color w:val="auto"/>
                <w:szCs w:val="21"/>
              </w:rPr>
            </w:pPr>
            <w:r>
              <w:rPr>
                <w:rFonts w:ascii="Calibri" w:hAnsi="Calibri"/>
                <w:snapToGrid w:val="0"/>
                <w:color w:val="auto"/>
                <w:szCs w:val="21"/>
              </w:rPr>
              <w:t>6</w:t>
            </w:r>
          </w:p>
        </w:tc>
        <w:tc>
          <w:tcPr>
            <w:tcW w:w="949" w:type="pct"/>
            <w:vAlign w:val="center"/>
          </w:tcPr>
          <w:p w14:paraId="4A5A2976" w14:textId="77777777" w:rsidR="007E575F" w:rsidRPr="005B7D40" w:rsidRDefault="007E575F" w:rsidP="007E575F">
            <w:pPr>
              <w:jc w:val="center"/>
              <w:rPr>
                <w:rFonts w:ascii="Calibri" w:hAnsi="Calibri"/>
                <w:snapToGrid w:val="0"/>
                <w:color w:val="auto"/>
                <w:szCs w:val="21"/>
              </w:rPr>
            </w:pPr>
            <w:r>
              <w:rPr>
                <w:rFonts w:ascii="Calibri" w:hAnsi="Calibri" w:hint="eastAsia"/>
                <w:snapToGrid w:val="0"/>
                <w:color w:val="auto"/>
                <w:szCs w:val="21"/>
              </w:rPr>
              <w:t>非甲烷</w:t>
            </w:r>
            <w:r>
              <w:rPr>
                <w:rFonts w:ascii="Calibri" w:hAnsi="Calibri"/>
                <w:snapToGrid w:val="0"/>
                <w:color w:val="auto"/>
                <w:szCs w:val="21"/>
              </w:rPr>
              <w:t>总烃</w:t>
            </w:r>
          </w:p>
        </w:tc>
        <w:tc>
          <w:tcPr>
            <w:tcW w:w="1134" w:type="pct"/>
            <w:vAlign w:val="center"/>
          </w:tcPr>
          <w:p w14:paraId="7FF57D4A" w14:textId="23DE1196" w:rsidR="007E575F" w:rsidRPr="007E575F" w:rsidRDefault="00A42350" w:rsidP="00B0285F">
            <w:pPr>
              <w:jc w:val="center"/>
              <w:rPr>
                <w:rFonts w:ascii="Calibri" w:hAnsi="Calibri"/>
                <w:snapToGrid w:val="0"/>
                <w:color w:val="auto"/>
                <w:szCs w:val="21"/>
              </w:rPr>
            </w:pPr>
            <w:r>
              <w:rPr>
                <w:rFonts w:ascii="Calibri" w:hAnsi="Calibri"/>
                <w:snapToGrid w:val="0"/>
                <w:color w:val="auto"/>
                <w:szCs w:val="21"/>
              </w:rPr>
              <w:t>5.792</w:t>
            </w:r>
          </w:p>
        </w:tc>
        <w:tc>
          <w:tcPr>
            <w:tcW w:w="1134" w:type="pct"/>
            <w:vAlign w:val="center"/>
          </w:tcPr>
          <w:p w14:paraId="07D46F88" w14:textId="734A9DA1" w:rsidR="007E575F" w:rsidRPr="007E575F" w:rsidRDefault="00A42350" w:rsidP="007E575F">
            <w:pPr>
              <w:jc w:val="center"/>
              <w:rPr>
                <w:rFonts w:ascii="Calibri" w:hAnsi="Calibri"/>
                <w:snapToGrid w:val="0"/>
                <w:color w:val="auto"/>
                <w:szCs w:val="21"/>
              </w:rPr>
            </w:pPr>
            <w:r>
              <w:rPr>
                <w:rFonts w:ascii="Calibri" w:hAnsi="Calibri"/>
                <w:snapToGrid w:val="0"/>
                <w:color w:val="auto"/>
                <w:szCs w:val="21"/>
              </w:rPr>
              <w:t>0.974</w:t>
            </w:r>
          </w:p>
        </w:tc>
        <w:tc>
          <w:tcPr>
            <w:tcW w:w="1134" w:type="pct"/>
            <w:vAlign w:val="center"/>
          </w:tcPr>
          <w:p w14:paraId="7BC75A64" w14:textId="2894C3F7" w:rsidR="007E575F" w:rsidRPr="007E575F" w:rsidRDefault="00A42350" w:rsidP="007E575F">
            <w:pPr>
              <w:jc w:val="center"/>
              <w:rPr>
                <w:rFonts w:ascii="Calibri" w:hAnsi="Calibri"/>
                <w:snapToGrid w:val="0"/>
                <w:color w:val="auto"/>
                <w:szCs w:val="21"/>
              </w:rPr>
            </w:pPr>
            <w:r>
              <w:rPr>
                <w:rFonts w:ascii="Calibri" w:hAnsi="Calibri"/>
                <w:snapToGrid w:val="0"/>
                <w:color w:val="auto"/>
                <w:szCs w:val="21"/>
              </w:rPr>
              <w:t>4.818</w:t>
            </w:r>
          </w:p>
        </w:tc>
      </w:tr>
      <w:tr w:rsidR="007E575F" w:rsidRPr="00A964FF" w14:paraId="6567CA7D" w14:textId="77777777" w:rsidTr="00256C86">
        <w:trPr>
          <w:trHeight w:val="312"/>
        </w:trPr>
        <w:tc>
          <w:tcPr>
            <w:tcW w:w="649" w:type="pct"/>
            <w:vAlign w:val="center"/>
          </w:tcPr>
          <w:p w14:paraId="1F328327" w14:textId="1CBFD882" w:rsidR="007E575F" w:rsidRPr="00A964FF" w:rsidRDefault="00A42350" w:rsidP="007E575F">
            <w:pPr>
              <w:jc w:val="center"/>
              <w:rPr>
                <w:rFonts w:ascii="Calibri" w:hAnsi="Calibri"/>
                <w:snapToGrid w:val="0"/>
                <w:color w:val="auto"/>
                <w:szCs w:val="21"/>
              </w:rPr>
            </w:pPr>
            <w:r>
              <w:rPr>
                <w:rFonts w:ascii="Calibri" w:hAnsi="Calibri"/>
                <w:snapToGrid w:val="0"/>
                <w:color w:val="auto"/>
                <w:szCs w:val="21"/>
              </w:rPr>
              <w:t>7</w:t>
            </w:r>
          </w:p>
        </w:tc>
        <w:tc>
          <w:tcPr>
            <w:tcW w:w="949" w:type="pct"/>
            <w:vAlign w:val="center"/>
          </w:tcPr>
          <w:p w14:paraId="6FDE2E41" w14:textId="77777777" w:rsidR="007E575F" w:rsidRPr="005B7D40" w:rsidRDefault="007E575F" w:rsidP="007E575F">
            <w:pPr>
              <w:jc w:val="center"/>
              <w:rPr>
                <w:rFonts w:ascii="Calibri" w:hAnsi="Calibri"/>
                <w:snapToGrid w:val="0"/>
                <w:color w:val="auto"/>
                <w:szCs w:val="21"/>
              </w:rPr>
            </w:pPr>
            <w:r w:rsidRPr="005B7D40">
              <w:rPr>
                <w:rFonts w:ascii="Calibri" w:hAnsi="Calibri" w:hint="eastAsia"/>
                <w:snapToGrid w:val="0"/>
                <w:color w:val="auto"/>
                <w:szCs w:val="21"/>
              </w:rPr>
              <w:t>氨</w:t>
            </w:r>
          </w:p>
        </w:tc>
        <w:tc>
          <w:tcPr>
            <w:tcW w:w="1134" w:type="pct"/>
            <w:vAlign w:val="center"/>
          </w:tcPr>
          <w:p w14:paraId="39A17192" w14:textId="5D0EBFB0" w:rsidR="007E575F" w:rsidRPr="007E575F" w:rsidRDefault="007E575F" w:rsidP="00C41AC7">
            <w:pPr>
              <w:jc w:val="center"/>
              <w:rPr>
                <w:rFonts w:ascii="Calibri" w:hAnsi="Calibri"/>
                <w:snapToGrid w:val="0"/>
                <w:color w:val="auto"/>
                <w:szCs w:val="21"/>
              </w:rPr>
            </w:pPr>
            <w:r w:rsidRPr="007E575F">
              <w:rPr>
                <w:rFonts w:ascii="Calibri" w:hAnsi="Calibri"/>
                <w:snapToGrid w:val="0"/>
                <w:color w:val="auto"/>
                <w:szCs w:val="21"/>
              </w:rPr>
              <w:t>0.0</w:t>
            </w:r>
            <w:r w:rsidR="00C41AC7">
              <w:rPr>
                <w:rFonts w:ascii="Calibri" w:hAnsi="Calibri"/>
                <w:snapToGrid w:val="0"/>
                <w:color w:val="auto"/>
                <w:szCs w:val="21"/>
              </w:rPr>
              <w:t>6</w:t>
            </w:r>
          </w:p>
        </w:tc>
        <w:tc>
          <w:tcPr>
            <w:tcW w:w="1134" w:type="pct"/>
            <w:vAlign w:val="center"/>
          </w:tcPr>
          <w:p w14:paraId="018EAE8E" w14:textId="22E2D3E1" w:rsidR="007E575F" w:rsidRPr="007E575F" w:rsidRDefault="007E575F" w:rsidP="00A42350">
            <w:pPr>
              <w:jc w:val="center"/>
              <w:rPr>
                <w:rFonts w:ascii="Calibri" w:hAnsi="Calibri"/>
                <w:snapToGrid w:val="0"/>
                <w:color w:val="auto"/>
                <w:szCs w:val="21"/>
              </w:rPr>
            </w:pPr>
            <w:r w:rsidRPr="007E575F">
              <w:rPr>
                <w:rFonts w:ascii="Calibri" w:hAnsi="Calibri"/>
                <w:snapToGrid w:val="0"/>
                <w:color w:val="auto"/>
                <w:szCs w:val="21"/>
              </w:rPr>
              <w:t>0.0</w:t>
            </w:r>
            <w:r w:rsidR="00A42350">
              <w:rPr>
                <w:rFonts w:ascii="Calibri" w:hAnsi="Calibri"/>
                <w:snapToGrid w:val="0"/>
                <w:color w:val="auto"/>
                <w:szCs w:val="21"/>
              </w:rPr>
              <w:t>1</w:t>
            </w:r>
            <w:r w:rsidRPr="007E575F">
              <w:rPr>
                <w:rFonts w:ascii="Calibri" w:hAnsi="Calibri"/>
                <w:snapToGrid w:val="0"/>
                <w:color w:val="auto"/>
                <w:szCs w:val="21"/>
              </w:rPr>
              <w:t>52</w:t>
            </w:r>
          </w:p>
        </w:tc>
        <w:tc>
          <w:tcPr>
            <w:tcW w:w="1134" w:type="pct"/>
            <w:vAlign w:val="center"/>
          </w:tcPr>
          <w:p w14:paraId="59CB401F" w14:textId="3194EEF4" w:rsidR="007E575F" w:rsidRPr="007E575F" w:rsidRDefault="00C41AC7" w:rsidP="007E575F">
            <w:pPr>
              <w:jc w:val="center"/>
              <w:rPr>
                <w:rFonts w:ascii="Calibri" w:hAnsi="Calibri"/>
                <w:snapToGrid w:val="0"/>
                <w:color w:val="auto"/>
                <w:szCs w:val="21"/>
              </w:rPr>
            </w:pPr>
            <w:r>
              <w:rPr>
                <w:rFonts w:ascii="Calibri" w:hAnsi="Calibri"/>
                <w:snapToGrid w:val="0"/>
                <w:color w:val="auto"/>
                <w:szCs w:val="21"/>
              </w:rPr>
              <w:t>0.0448</w:t>
            </w:r>
          </w:p>
        </w:tc>
      </w:tr>
      <w:tr w:rsidR="007E575F" w:rsidRPr="00A964FF" w14:paraId="382BE606" w14:textId="77777777" w:rsidTr="00256C86">
        <w:trPr>
          <w:trHeight w:val="312"/>
        </w:trPr>
        <w:tc>
          <w:tcPr>
            <w:tcW w:w="649" w:type="pct"/>
            <w:vAlign w:val="center"/>
          </w:tcPr>
          <w:p w14:paraId="59D011EC" w14:textId="23B7BA71" w:rsidR="007E575F" w:rsidRPr="00A964FF" w:rsidRDefault="00A42350" w:rsidP="007E575F">
            <w:pPr>
              <w:jc w:val="center"/>
              <w:rPr>
                <w:rFonts w:ascii="Calibri" w:hAnsi="Calibri"/>
                <w:snapToGrid w:val="0"/>
                <w:color w:val="auto"/>
                <w:szCs w:val="21"/>
              </w:rPr>
            </w:pPr>
            <w:r>
              <w:rPr>
                <w:rFonts w:ascii="Calibri" w:hAnsi="Calibri"/>
                <w:snapToGrid w:val="0"/>
                <w:color w:val="auto"/>
                <w:szCs w:val="21"/>
              </w:rPr>
              <w:t>8</w:t>
            </w:r>
          </w:p>
        </w:tc>
        <w:tc>
          <w:tcPr>
            <w:tcW w:w="949" w:type="pct"/>
            <w:vAlign w:val="center"/>
          </w:tcPr>
          <w:p w14:paraId="1E4C75E2" w14:textId="77777777" w:rsidR="007E575F" w:rsidRPr="005B7D40" w:rsidRDefault="007E575F" w:rsidP="007E575F">
            <w:pPr>
              <w:jc w:val="center"/>
              <w:rPr>
                <w:rFonts w:ascii="Calibri" w:hAnsi="Calibri"/>
                <w:snapToGrid w:val="0"/>
                <w:color w:val="auto"/>
                <w:szCs w:val="21"/>
              </w:rPr>
            </w:pPr>
            <w:r w:rsidRPr="005B7D40">
              <w:rPr>
                <w:rFonts w:ascii="Calibri" w:hAnsi="Calibri" w:hint="eastAsia"/>
                <w:snapToGrid w:val="0"/>
                <w:color w:val="auto"/>
                <w:szCs w:val="21"/>
              </w:rPr>
              <w:t>硫化氢</w:t>
            </w:r>
          </w:p>
        </w:tc>
        <w:tc>
          <w:tcPr>
            <w:tcW w:w="1134" w:type="pct"/>
            <w:vAlign w:val="center"/>
          </w:tcPr>
          <w:p w14:paraId="76532F32" w14:textId="34F79A48" w:rsidR="007E575F" w:rsidRPr="007E575F" w:rsidRDefault="007E575F" w:rsidP="00C41AC7">
            <w:pPr>
              <w:jc w:val="center"/>
              <w:rPr>
                <w:rFonts w:ascii="Calibri" w:hAnsi="Calibri"/>
                <w:snapToGrid w:val="0"/>
                <w:color w:val="auto"/>
                <w:szCs w:val="21"/>
              </w:rPr>
            </w:pPr>
            <w:r w:rsidRPr="007E575F">
              <w:rPr>
                <w:rFonts w:ascii="Calibri" w:hAnsi="Calibri"/>
                <w:snapToGrid w:val="0"/>
                <w:color w:val="auto"/>
                <w:szCs w:val="21"/>
              </w:rPr>
              <w:t>0.00</w:t>
            </w:r>
            <w:r w:rsidR="00C41AC7">
              <w:rPr>
                <w:rFonts w:ascii="Calibri" w:hAnsi="Calibri"/>
                <w:snapToGrid w:val="0"/>
                <w:color w:val="auto"/>
                <w:szCs w:val="21"/>
              </w:rPr>
              <w:t>17</w:t>
            </w:r>
          </w:p>
        </w:tc>
        <w:tc>
          <w:tcPr>
            <w:tcW w:w="1134" w:type="pct"/>
            <w:vAlign w:val="center"/>
          </w:tcPr>
          <w:p w14:paraId="70469808" w14:textId="38AF1FAE" w:rsidR="007E575F" w:rsidRPr="007E575F" w:rsidRDefault="007E575F" w:rsidP="00C41AC7">
            <w:pPr>
              <w:jc w:val="center"/>
              <w:rPr>
                <w:rFonts w:ascii="Calibri" w:hAnsi="Calibri"/>
                <w:snapToGrid w:val="0"/>
                <w:color w:val="auto"/>
                <w:szCs w:val="21"/>
              </w:rPr>
            </w:pPr>
            <w:r w:rsidRPr="007E575F">
              <w:rPr>
                <w:rFonts w:ascii="Calibri" w:hAnsi="Calibri"/>
                <w:snapToGrid w:val="0"/>
                <w:color w:val="auto"/>
                <w:szCs w:val="21"/>
              </w:rPr>
              <w:t>0.000</w:t>
            </w:r>
            <w:r w:rsidR="00C41AC7">
              <w:rPr>
                <w:rFonts w:ascii="Calibri" w:hAnsi="Calibri"/>
                <w:snapToGrid w:val="0"/>
                <w:color w:val="auto"/>
                <w:szCs w:val="21"/>
              </w:rPr>
              <w:t>42</w:t>
            </w:r>
          </w:p>
        </w:tc>
        <w:tc>
          <w:tcPr>
            <w:tcW w:w="1134" w:type="pct"/>
            <w:vAlign w:val="center"/>
          </w:tcPr>
          <w:p w14:paraId="5F43694F" w14:textId="47263A5D" w:rsidR="007E575F" w:rsidRPr="007E575F" w:rsidRDefault="00C41AC7" w:rsidP="007E575F">
            <w:pPr>
              <w:jc w:val="center"/>
              <w:rPr>
                <w:rFonts w:ascii="Calibri" w:hAnsi="Calibri"/>
                <w:snapToGrid w:val="0"/>
                <w:color w:val="auto"/>
                <w:szCs w:val="21"/>
              </w:rPr>
            </w:pPr>
            <w:r>
              <w:rPr>
                <w:rFonts w:ascii="Calibri" w:hAnsi="Calibri"/>
                <w:snapToGrid w:val="0"/>
                <w:color w:val="auto"/>
                <w:szCs w:val="21"/>
              </w:rPr>
              <w:t>0.00212</w:t>
            </w:r>
          </w:p>
        </w:tc>
      </w:tr>
    </w:tbl>
    <w:p w14:paraId="0724445B" w14:textId="77777777" w:rsidR="009653E6" w:rsidRPr="00A964FF" w:rsidRDefault="009653E6" w:rsidP="009653E6">
      <w:pPr>
        <w:pStyle w:val="ad"/>
        <w:rPr>
          <w:rFonts w:ascii="Calibri" w:hAnsi="Calibri"/>
          <w:color w:val="auto"/>
          <w:sz w:val="24"/>
        </w:rPr>
      </w:pPr>
      <w:r w:rsidRPr="00A964FF">
        <w:rPr>
          <w:rFonts w:ascii="Calibri" w:hAnsi="Calibri" w:hint="eastAsia"/>
          <w:color w:val="auto"/>
        </w:rPr>
        <w:t>2.3.2</w:t>
      </w:r>
      <w:r w:rsidRPr="00A964FF">
        <w:rPr>
          <w:rFonts w:ascii="Calibri" w:hAnsi="Calibri" w:hint="eastAsia"/>
          <w:color w:val="auto"/>
        </w:rPr>
        <w:t>废水污染分析</w:t>
      </w:r>
    </w:p>
    <w:p w14:paraId="155F182D" w14:textId="77777777" w:rsidR="00E0388B" w:rsidRDefault="00BD4379" w:rsidP="00E0388B">
      <w:pPr>
        <w:pStyle w:val="00"/>
        <w:ind w:firstLineChars="200"/>
        <w:rPr>
          <w:rFonts w:ascii="Calibri"/>
          <w:color w:val="auto"/>
        </w:rPr>
      </w:pPr>
      <w:r>
        <w:rPr>
          <w:rFonts w:ascii="Calibri" w:hint="eastAsia"/>
          <w:color w:val="auto"/>
        </w:rPr>
        <w:t>本次工程废水主要包括</w:t>
      </w:r>
      <w:r w:rsidR="00E0388B" w:rsidRPr="00E0388B">
        <w:rPr>
          <w:rFonts w:ascii="Calibri" w:hint="eastAsia"/>
          <w:color w:val="auto"/>
        </w:rPr>
        <w:t>聚合</w:t>
      </w:r>
      <w:r>
        <w:rPr>
          <w:rFonts w:ascii="Calibri" w:hint="eastAsia"/>
          <w:color w:val="auto"/>
        </w:rPr>
        <w:t>工序</w:t>
      </w:r>
      <w:r w:rsidR="00E0388B" w:rsidRPr="00E0388B">
        <w:rPr>
          <w:rFonts w:ascii="Calibri" w:hint="eastAsia"/>
          <w:color w:val="auto"/>
        </w:rPr>
        <w:t>冷凝液，</w:t>
      </w:r>
      <w:r w:rsidR="00383797">
        <w:rPr>
          <w:rFonts w:ascii="Calibri" w:hint="eastAsia"/>
          <w:color w:val="auto"/>
        </w:rPr>
        <w:t>水喷淋塔</w:t>
      </w:r>
      <w:r w:rsidR="00E0388B" w:rsidRPr="00E0388B">
        <w:rPr>
          <w:rFonts w:ascii="Calibri" w:hint="eastAsia"/>
          <w:color w:val="auto"/>
        </w:rPr>
        <w:t>废水，制粒</w:t>
      </w:r>
      <w:r w:rsidR="00A06A90">
        <w:rPr>
          <w:rFonts w:ascii="Calibri" w:hint="eastAsia"/>
          <w:color w:val="auto"/>
        </w:rPr>
        <w:t>冷却</w:t>
      </w:r>
      <w:r w:rsidR="00E0388B" w:rsidRPr="00E0388B">
        <w:rPr>
          <w:rFonts w:ascii="Calibri" w:hint="eastAsia"/>
          <w:color w:val="auto"/>
        </w:rPr>
        <w:t>废水，真空系统废水，循</w:t>
      </w:r>
      <w:r w:rsidR="00E0388B">
        <w:rPr>
          <w:rFonts w:ascii="Calibri" w:hint="eastAsia"/>
          <w:color w:val="auto"/>
        </w:rPr>
        <w:t>环冷却水系统废水，</w:t>
      </w:r>
      <w:r w:rsidR="009305BC">
        <w:rPr>
          <w:rFonts w:ascii="Calibri" w:hint="eastAsia"/>
          <w:color w:val="auto"/>
        </w:rPr>
        <w:t>纯</w:t>
      </w:r>
      <w:r w:rsidR="00751ABC" w:rsidRPr="00751ABC">
        <w:rPr>
          <w:rFonts w:ascii="Calibri" w:hint="eastAsia"/>
          <w:color w:val="auto"/>
        </w:rPr>
        <w:t>水制备废水，</w:t>
      </w:r>
      <w:r w:rsidR="00E0388B">
        <w:rPr>
          <w:rFonts w:ascii="Calibri" w:hint="eastAsia"/>
          <w:color w:val="auto"/>
        </w:rPr>
        <w:t>车间地面冲洗废水及</w:t>
      </w:r>
      <w:r w:rsidR="00E0388B" w:rsidRPr="00E0388B">
        <w:rPr>
          <w:rFonts w:ascii="Calibri" w:hint="eastAsia"/>
          <w:color w:val="auto"/>
        </w:rPr>
        <w:t>生活污水。</w:t>
      </w:r>
    </w:p>
    <w:p w14:paraId="7C2F23E7" w14:textId="77777777" w:rsidR="00BD4379" w:rsidRDefault="008663EC" w:rsidP="00BD4379">
      <w:pPr>
        <w:pStyle w:val="ad"/>
        <w:ind w:firstLineChars="200" w:firstLine="562"/>
        <w:rPr>
          <w:rFonts w:ascii="Calibri" w:hAnsi="Calibri"/>
          <w:color w:val="auto"/>
        </w:rPr>
      </w:pPr>
      <w:r>
        <w:rPr>
          <w:rFonts w:ascii="Calibri" w:hAnsi="Calibri"/>
          <w:color w:val="auto"/>
        </w:rPr>
        <w:t>1</w:t>
      </w:r>
      <w:r>
        <w:rPr>
          <w:rFonts w:ascii="Calibri" w:hAnsi="Calibri" w:hint="eastAsia"/>
          <w:color w:val="auto"/>
        </w:rPr>
        <w:t>、</w:t>
      </w:r>
      <w:r w:rsidR="00BD4379">
        <w:rPr>
          <w:rFonts w:ascii="Calibri" w:hAnsi="Calibri" w:hint="eastAsia"/>
          <w:color w:val="auto"/>
        </w:rPr>
        <w:t>聚合</w:t>
      </w:r>
      <w:r w:rsidR="00BD4379">
        <w:rPr>
          <w:rFonts w:ascii="Calibri" w:hAnsi="Calibri"/>
          <w:color w:val="auto"/>
        </w:rPr>
        <w:t>工序</w:t>
      </w:r>
      <w:r w:rsidR="002A3438">
        <w:rPr>
          <w:rFonts w:ascii="Calibri" w:hAnsi="Calibri" w:hint="eastAsia"/>
          <w:color w:val="auto"/>
        </w:rPr>
        <w:t>冷凝废水</w:t>
      </w:r>
    </w:p>
    <w:p w14:paraId="37813F8B" w14:textId="77777777" w:rsidR="00433709" w:rsidRPr="00256C86" w:rsidRDefault="008663EC" w:rsidP="00256C86">
      <w:pPr>
        <w:pStyle w:val="00"/>
        <w:ind w:firstLineChars="200"/>
        <w:rPr>
          <w:rFonts w:ascii="Calibri"/>
          <w:color w:val="auto"/>
        </w:rPr>
      </w:pPr>
      <w:r w:rsidRPr="008663EC">
        <w:rPr>
          <w:rFonts w:ascii="Calibri" w:hint="eastAsia"/>
          <w:color w:val="auto"/>
        </w:rPr>
        <w:t>根据生产工艺反应原理，</w:t>
      </w:r>
      <w:r w:rsidR="00F4357F">
        <w:rPr>
          <w:rFonts w:ascii="Calibri" w:hint="eastAsia"/>
          <w:color w:val="auto"/>
        </w:rPr>
        <w:t>尼龙</w:t>
      </w:r>
      <w:r w:rsidR="00F4357F">
        <w:rPr>
          <w:rFonts w:ascii="Calibri" w:hint="eastAsia"/>
          <w:color w:val="auto"/>
        </w:rPr>
        <w:t>66</w:t>
      </w:r>
      <w:r w:rsidR="00F4357F">
        <w:rPr>
          <w:rFonts w:ascii="Calibri" w:hint="eastAsia"/>
          <w:color w:val="auto"/>
        </w:rPr>
        <w:t>盐</w:t>
      </w:r>
      <w:r w:rsidRPr="008663EC">
        <w:rPr>
          <w:rFonts w:ascii="Calibri" w:hint="eastAsia"/>
          <w:color w:val="auto"/>
        </w:rPr>
        <w:t>聚合过程会产生工艺生成水，通过原料使用</w:t>
      </w:r>
      <w:r w:rsidRPr="008663EC">
        <w:rPr>
          <w:rFonts w:ascii="Calibri" w:hint="eastAsia"/>
          <w:color w:val="auto"/>
        </w:rPr>
        <w:lastRenderedPageBreak/>
        <w:t>量和反应方程式计算，原料全部反应，</w:t>
      </w:r>
      <w:r>
        <w:rPr>
          <w:rFonts w:ascii="Calibri" w:hint="eastAsia"/>
          <w:color w:val="auto"/>
        </w:rPr>
        <w:t>一期</w:t>
      </w:r>
      <w:r>
        <w:rPr>
          <w:rFonts w:ascii="Calibri"/>
          <w:color w:val="auto"/>
        </w:rPr>
        <w:t>工程</w:t>
      </w:r>
      <w:r w:rsidR="000E4AA2">
        <w:rPr>
          <w:rFonts w:ascii="Calibri" w:hint="eastAsia"/>
          <w:color w:val="auto"/>
        </w:rPr>
        <w:t>将</w:t>
      </w:r>
      <w:r w:rsidR="00BD4379">
        <w:rPr>
          <w:rFonts w:ascii="Calibri" w:hint="eastAsia"/>
          <w:color w:val="auto"/>
        </w:rPr>
        <w:t>生成</w:t>
      </w:r>
      <w:r w:rsidR="00BD4379">
        <w:rPr>
          <w:rFonts w:ascii="Calibri"/>
          <w:color w:val="auto"/>
        </w:rPr>
        <w:t>水和原料带入水冷凝</w:t>
      </w:r>
      <w:r w:rsidR="000E4AA2">
        <w:rPr>
          <w:rFonts w:ascii="Calibri" w:hint="eastAsia"/>
          <w:color w:val="auto"/>
        </w:rPr>
        <w:t>，</w:t>
      </w:r>
      <w:r w:rsidR="000E4AA2">
        <w:rPr>
          <w:rFonts w:ascii="Calibri"/>
          <w:color w:val="auto"/>
        </w:rPr>
        <w:t>其中</w:t>
      </w:r>
      <w:r w:rsidR="00F4357F" w:rsidRPr="00F4357F">
        <w:rPr>
          <w:rFonts w:ascii="Calibri"/>
          <w:color w:val="auto"/>
        </w:rPr>
        <w:t>1299.8</w:t>
      </w:r>
      <w:r w:rsidR="000E4AA2">
        <w:rPr>
          <w:rFonts w:ascii="Calibri"/>
          <w:color w:val="auto"/>
        </w:rPr>
        <w:t>t/a</w:t>
      </w:r>
      <w:r w:rsidR="000E4AA2">
        <w:rPr>
          <w:rFonts w:ascii="Calibri" w:hint="eastAsia"/>
          <w:color w:val="auto"/>
        </w:rPr>
        <w:t>冷凝液回用于生产</w:t>
      </w:r>
      <w:r w:rsidR="000E4AA2">
        <w:rPr>
          <w:rFonts w:ascii="Calibri"/>
          <w:color w:val="auto"/>
        </w:rPr>
        <w:t>配料</w:t>
      </w:r>
      <w:r w:rsidR="000E4AA2">
        <w:rPr>
          <w:rFonts w:ascii="Calibri" w:hint="eastAsia"/>
          <w:color w:val="auto"/>
        </w:rPr>
        <w:t>，剩余的</w:t>
      </w:r>
      <w:r w:rsidR="00F4357F">
        <w:rPr>
          <w:rFonts w:ascii="Calibri"/>
          <w:color w:val="auto"/>
        </w:rPr>
        <w:t>1105.31</w:t>
      </w:r>
      <w:r w:rsidR="000E4AA2">
        <w:rPr>
          <w:rFonts w:ascii="Calibri"/>
          <w:color w:val="auto"/>
        </w:rPr>
        <w:t>t/a</w:t>
      </w:r>
      <w:r w:rsidR="000E4AA2">
        <w:rPr>
          <w:rFonts w:ascii="Calibri" w:hint="eastAsia"/>
          <w:color w:val="auto"/>
        </w:rPr>
        <w:t>进入</w:t>
      </w:r>
      <w:r w:rsidR="000E4AA2">
        <w:rPr>
          <w:rFonts w:ascii="Calibri"/>
          <w:color w:val="auto"/>
        </w:rPr>
        <w:t>厂区污水处理站。</w:t>
      </w:r>
      <w:r w:rsidR="000E4AA2">
        <w:rPr>
          <w:rFonts w:ascii="Calibri" w:hint="eastAsia"/>
          <w:color w:val="auto"/>
        </w:rPr>
        <w:t>二期</w:t>
      </w:r>
      <w:r w:rsidR="000E4AA2">
        <w:rPr>
          <w:rFonts w:ascii="Calibri"/>
          <w:color w:val="auto"/>
        </w:rPr>
        <w:t>工程</w:t>
      </w:r>
      <w:r w:rsidR="000E4AA2">
        <w:rPr>
          <w:rFonts w:ascii="Calibri" w:hint="eastAsia"/>
          <w:color w:val="auto"/>
        </w:rPr>
        <w:t>将生成</w:t>
      </w:r>
      <w:r w:rsidR="000E4AA2">
        <w:rPr>
          <w:rFonts w:ascii="Calibri"/>
          <w:color w:val="auto"/>
        </w:rPr>
        <w:t>水和原料带入水冷凝</w:t>
      </w:r>
      <w:r w:rsidR="000E4AA2">
        <w:rPr>
          <w:rFonts w:ascii="Calibri" w:hint="eastAsia"/>
          <w:color w:val="auto"/>
        </w:rPr>
        <w:t>，</w:t>
      </w:r>
      <w:r w:rsidR="000E4AA2">
        <w:rPr>
          <w:rFonts w:ascii="Calibri"/>
          <w:color w:val="auto"/>
        </w:rPr>
        <w:t>其中</w:t>
      </w:r>
      <w:r w:rsidR="00F4357F">
        <w:rPr>
          <w:rFonts w:ascii="Calibri"/>
          <w:color w:val="auto"/>
        </w:rPr>
        <w:t>779.88</w:t>
      </w:r>
      <w:r w:rsidR="000E4AA2">
        <w:rPr>
          <w:rFonts w:ascii="Calibri"/>
          <w:color w:val="auto"/>
        </w:rPr>
        <w:t>t/a</w:t>
      </w:r>
      <w:r w:rsidR="000E4AA2">
        <w:rPr>
          <w:rFonts w:ascii="Calibri" w:hint="eastAsia"/>
          <w:color w:val="auto"/>
        </w:rPr>
        <w:t>冷凝液回用于生产</w:t>
      </w:r>
      <w:r w:rsidR="000E4AA2">
        <w:rPr>
          <w:rFonts w:ascii="Calibri"/>
          <w:color w:val="auto"/>
        </w:rPr>
        <w:t>配料</w:t>
      </w:r>
      <w:r w:rsidR="000E4AA2">
        <w:rPr>
          <w:rFonts w:ascii="Calibri" w:hint="eastAsia"/>
          <w:color w:val="auto"/>
        </w:rPr>
        <w:t>，剩余的</w:t>
      </w:r>
      <w:r w:rsidR="00F4357F">
        <w:rPr>
          <w:rFonts w:ascii="Calibri" w:hAnsi="Calibri"/>
          <w:snapToGrid w:val="0"/>
          <w:color w:val="auto"/>
          <w:szCs w:val="21"/>
        </w:rPr>
        <w:t>663.19</w:t>
      </w:r>
      <w:r w:rsidR="000E4AA2">
        <w:rPr>
          <w:rFonts w:ascii="Calibri"/>
          <w:color w:val="auto"/>
        </w:rPr>
        <w:t>t/a</w:t>
      </w:r>
      <w:r w:rsidR="000E4AA2">
        <w:rPr>
          <w:rFonts w:ascii="Calibri" w:hint="eastAsia"/>
          <w:color w:val="auto"/>
        </w:rPr>
        <w:t>进入</w:t>
      </w:r>
      <w:r w:rsidR="000E4AA2">
        <w:rPr>
          <w:rFonts w:ascii="Calibri"/>
          <w:color w:val="auto"/>
        </w:rPr>
        <w:t>厂区污水处理站。</w:t>
      </w:r>
      <w:r w:rsidR="00585A08">
        <w:rPr>
          <w:rFonts w:ascii="Calibri" w:hint="eastAsia"/>
          <w:color w:val="auto"/>
        </w:rPr>
        <w:t>其中</w:t>
      </w:r>
      <w:r w:rsidR="00585A08">
        <w:rPr>
          <w:rFonts w:ascii="Calibri"/>
          <w:color w:val="auto"/>
        </w:rPr>
        <w:t>冷凝液中污染物</w:t>
      </w:r>
      <w:r w:rsidR="00585A08">
        <w:rPr>
          <w:rFonts w:ascii="Calibri" w:hint="eastAsia"/>
          <w:color w:val="auto"/>
        </w:rPr>
        <w:t>成分</w:t>
      </w:r>
      <w:r w:rsidR="00585A08">
        <w:rPr>
          <w:rFonts w:ascii="Calibri"/>
          <w:color w:val="auto"/>
        </w:rPr>
        <w:t>见下表：</w:t>
      </w:r>
    </w:p>
    <w:p w14:paraId="746F7D40" w14:textId="77777777" w:rsidR="00585A08" w:rsidRPr="00446F67" w:rsidRDefault="00585A08" w:rsidP="00255CCA">
      <w:pPr>
        <w:spacing w:line="520" w:lineRule="exact"/>
        <w:ind w:firstLineChars="500" w:firstLine="1200"/>
        <w:jc w:val="left"/>
        <w:rPr>
          <w:rFonts w:ascii="Calibri" w:hAnsi="Calibri"/>
          <w:color w:val="auto"/>
          <w:szCs w:val="21"/>
        </w:rPr>
      </w:pPr>
      <w:r w:rsidRPr="00A964FF">
        <w:rPr>
          <w:rFonts w:ascii="Calibri" w:eastAsia="黑体" w:hAnsi="Calibri"/>
          <w:color w:val="auto"/>
          <w:sz w:val="24"/>
        </w:rPr>
        <w:t>表</w:t>
      </w:r>
      <w:r w:rsidRPr="00A964FF">
        <w:rPr>
          <w:rFonts w:ascii="Calibri" w:eastAsia="黑体" w:hAnsi="Calibri" w:hint="eastAsia"/>
          <w:color w:val="auto"/>
          <w:sz w:val="24"/>
        </w:rPr>
        <w:t>2.3-</w:t>
      </w:r>
      <w:r w:rsidR="00ED4172">
        <w:rPr>
          <w:rFonts w:ascii="Calibri" w:eastAsia="黑体" w:hAnsi="Calibri"/>
          <w:color w:val="auto"/>
          <w:sz w:val="24"/>
        </w:rPr>
        <w:t>16</w:t>
      </w:r>
      <w:r w:rsidRPr="00A964FF">
        <w:rPr>
          <w:rFonts w:ascii="黑体" w:eastAsia="黑体" w:hAnsi="Calibri" w:hint="eastAsia"/>
          <w:color w:val="auto"/>
          <w:sz w:val="24"/>
        </w:rPr>
        <w:t xml:space="preserve">      </w:t>
      </w:r>
      <w:r>
        <w:rPr>
          <w:rFonts w:ascii="黑体" w:eastAsia="黑体" w:hAnsi="Calibri"/>
          <w:color w:val="auto"/>
          <w:sz w:val="24"/>
        </w:rPr>
        <w:t xml:space="preserve">       </w:t>
      </w:r>
      <w:r>
        <w:rPr>
          <w:rFonts w:ascii="黑体" w:eastAsia="黑体" w:hAnsi="Calibri" w:hint="eastAsia"/>
          <w:color w:val="auto"/>
          <w:sz w:val="24"/>
        </w:rPr>
        <w:t>冷凝液各污染物</w:t>
      </w:r>
      <w:r>
        <w:rPr>
          <w:rFonts w:ascii="黑体" w:eastAsia="黑体" w:hAnsi="Calibri"/>
          <w:color w:val="auto"/>
          <w:sz w:val="24"/>
        </w:rPr>
        <w:t>产生情况</w:t>
      </w:r>
    </w:p>
    <w:tbl>
      <w:tblPr>
        <w:tblStyle w:val="af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9"/>
        <w:gridCol w:w="3121"/>
        <w:gridCol w:w="2900"/>
      </w:tblGrid>
      <w:tr w:rsidR="00446F67" w:rsidRPr="00446F67" w14:paraId="64D1CCAB" w14:textId="77777777" w:rsidTr="00446F67">
        <w:trPr>
          <w:trHeight w:val="340"/>
        </w:trPr>
        <w:tc>
          <w:tcPr>
            <w:tcW w:w="2679" w:type="dxa"/>
            <w:vAlign w:val="center"/>
          </w:tcPr>
          <w:p w14:paraId="74250492" w14:textId="77777777" w:rsidR="00446F67" w:rsidRPr="00446F67" w:rsidRDefault="00446F67" w:rsidP="00446F67">
            <w:pPr>
              <w:jc w:val="center"/>
              <w:rPr>
                <w:rFonts w:ascii="Calibri" w:hAnsi="Calibri"/>
                <w:snapToGrid w:val="0"/>
                <w:color w:val="auto"/>
                <w:szCs w:val="21"/>
              </w:rPr>
            </w:pPr>
            <w:r w:rsidRPr="00446F67">
              <w:rPr>
                <w:rFonts w:ascii="Calibri" w:hAnsi="Calibri" w:hint="eastAsia"/>
                <w:snapToGrid w:val="0"/>
                <w:color w:val="auto"/>
                <w:szCs w:val="21"/>
              </w:rPr>
              <w:t>产生环节</w:t>
            </w:r>
          </w:p>
        </w:tc>
        <w:tc>
          <w:tcPr>
            <w:tcW w:w="3121" w:type="dxa"/>
            <w:vAlign w:val="center"/>
          </w:tcPr>
          <w:p w14:paraId="4B2D4CD9" w14:textId="77777777" w:rsidR="00446F67" w:rsidRPr="00446F67" w:rsidRDefault="00446F67" w:rsidP="00446F67">
            <w:pPr>
              <w:jc w:val="center"/>
              <w:rPr>
                <w:rFonts w:ascii="Calibri" w:hAnsi="Calibri"/>
                <w:snapToGrid w:val="0"/>
                <w:color w:val="auto"/>
                <w:szCs w:val="21"/>
              </w:rPr>
            </w:pPr>
            <w:r w:rsidRPr="00446F67">
              <w:rPr>
                <w:rFonts w:ascii="Calibri" w:hAnsi="Calibri" w:hint="eastAsia"/>
                <w:snapToGrid w:val="0"/>
                <w:color w:val="auto"/>
                <w:szCs w:val="21"/>
              </w:rPr>
              <w:t>污染物</w:t>
            </w:r>
            <w:r w:rsidRPr="00446F67">
              <w:rPr>
                <w:rFonts w:ascii="Calibri" w:hAnsi="Calibri"/>
                <w:snapToGrid w:val="0"/>
                <w:color w:val="auto"/>
                <w:szCs w:val="21"/>
              </w:rPr>
              <w:t>名称</w:t>
            </w:r>
          </w:p>
        </w:tc>
        <w:tc>
          <w:tcPr>
            <w:tcW w:w="2900" w:type="dxa"/>
            <w:vAlign w:val="center"/>
          </w:tcPr>
          <w:p w14:paraId="23EA0BC2" w14:textId="77777777" w:rsidR="00446F67" w:rsidRPr="00446F67" w:rsidRDefault="00446F67" w:rsidP="00446F67">
            <w:pPr>
              <w:jc w:val="center"/>
              <w:rPr>
                <w:rFonts w:ascii="Calibri" w:hAnsi="Calibri"/>
                <w:snapToGrid w:val="0"/>
                <w:color w:val="auto"/>
                <w:szCs w:val="21"/>
              </w:rPr>
            </w:pPr>
            <w:r w:rsidRPr="00446F67">
              <w:rPr>
                <w:rFonts w:ascii="Calibri" w:hAnsi="Calibri" w:hint="eastAsia"/>
                <w:snapToGrid w:val="0"/>
                <w:color w:val="auto"/>
                <w:szCs w:val="21"/>
              </w:rPr>
              <w:t>污染物</w:t>
            </w:r>
            <w:r w:rsidRPr="00446F67">
              <w:rPr>
                <w:rFonts w:ascii="Calibri" w:hAnsi="Calibri"/>
                <w:snapToGrid w:val="0"/>
                <w:color w:val="auto"/>
                <w:szCs w:val="21"/>
              </w:rPr>
              <w:t>产生量</w:t>
            </w:r>
            <w:r>
              <w:rPr>
                <w:rFonts w:ascii="Calibri" w:hAnsi="Calibri" w:hint="eastAsia"/>
                <w:snapToGrid w:val="0"/>
                <w:color w:val="auto"/>
                <w:szCs w:val="21"/>
              </w:rPr>
              <w:t>（</w:t>
            </w:r>
            <w:r>
              <w:rPr>
                <w:rFonts w:ascii="Calibri" w:hAnsi="Calibri" w:hint="eastAsia"/>
                <w:snapToGrid w:val="0"/>
                <w:color w:val="auto"/>
                <w:szCs w:val="21"/>
              </w:rPr>
              <w:t>t</w:t>
            </w:r>
            <w:r>
              <w:rPr>
                <w:rFonts w:ascii="Calibri" w:hAnsi="Calibri"/>
                <w:snapToGrid w:val="0"/>
                <w:color w:val="auto"/>
                <w:szCs w:val="21"/>
              </w:rPr>
              <w:t>/a</w:t>
            </w:r>
            <w:r>
              <w:rPr>
                <w:rFonts w:ascii="Calibri" w:hAnsi="Calibri" w:hint="eastAsia"/>
                <w:snapToGrid w:val="0"/>
                <w:color w:val="auto"/>
                <w:szCs w:val="21"/>
              </w:rPr>
              <w:t>）</w:t>
            </w:r>
          </w:p>
        </w:tc>
      </w:tr>
      <w:tr w:rsidR="00F4357F" w:rsidRPr="00446F67" w14:paraId="33324621" w14:textId="77777777" w:rsidTr="00446F67">
        <w:trPr>
          <w:trHeight w:val="340"/>
        </w:trPr>
        <w:tc>
          <w:tcPr>
            <w:tcW w:w="2679" w:type="dxa"/>
            <w:vMerge w:val="restart"/>
            <w:vAlign w:val="center"/>
          </w:tcPr>
          <w:p w14:paraId="5FA5A8FE"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一期工程</w:t>
            </w:r>
            <w:r>
              <w:rPr>
                <w:rFonts w:ascii="Calibri" w:hAnsi="Calibri"/>
                <w:snapToGrid w:val="0"/>
                <w:color w:val="auto"/>
                <w:szCs w:val="21"/>
              </w:rPr>
              <w:t>聚合冷凝</w:t>
            </w:r>
          </w:p>
          <w:p w14:paraId="7150EF30" w14:textId="77777777" w:rsidR="00F4357F" w:rsidRDefault="00F4357F" w:rsidP="00256C86">
            <w:pPr>
              <w:jc w:val="center"/>
              <w:rPr>
                <w:rFonts w:ascii="Calibri" w:hAnsi="Calibri"/>
                <w:snapToGrid w:val="0"/>
                <w:color w:val="auto"/>
                <w:szCs w:val="21"/>
              </w:rPr>
            </w:pPr>
            <w:r w:rsidRPr="00F4357F">
              <w:rPr>
                <w:rFonts w:ascii="Calibri" w:hAnsi="Calibri"/>
                <w:snapToGrid w:val="0"/>
                <w:color w:val="auto"/>
                <w:szCs w:val="21"/>
              </w:rPr>
              <w:t>1105.31</w:t>
            </w:r>
            <w:r>
              <w:rPr>
                <w:rFonts w:ascii="Calibri" w:hAnsi="Calibri"/>
                <w:snapToGrid w:val="0"/>
                <w:color w:val="auto"/>
                <w:szCs w:val="21"/>
              </w:rPr>
              <w:t>t/a</w:t>
            </w:r>
          </w:p>
        </w:tc>
        <w:tc>
          <w:tcPr>
            <w:tcW w:w="3121" w:type="dxa"/>
            <w:vAlign w:val="center"/>
          </w:tcPr>
          <w:p w14:paraId="48F4F940"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水</w:t>
            </w:r>
          </w:p>
        </w:tc>
        <w:tc>
          <w:tcPr>
            <w:tcW w:w="2900" w:type="dxa"/>
            <w:vAlign w:val="center"/>
          </w:tcPr>
          <w:p w14:paraId="790AECFB" w14:textId="77777777" w:rsidR="00F4357F" w:rsidRPr="00446F67" w:rsidRDefault="00F4357F" w:rsidP="007E4A65">
            <w:pPr>
              <w:jc w:val="center"/>
              <w:rPr>
                <w:rFonts w:ascii="Calibri" w:hAnsi="Calibri"/>
                <w:snapToGrid w:val="0"/>
                <w:color w:val="auto"/>
                <w:szCs w:val="21"/>
              </w:rPr>
            </w:pPr>
            <w:r w:rsidRPr="00F4357F">
              <w:rPr>
                <w:rFonts w:ascii="Calibri" w:hAnsi="Calibri"/>
                <w:snapToGrid w:val="0"/>
                <w:color w:val="auto"/>
                <w:szCs w:val="21"/>
              </w:rPr>
              <w:t>1099.1</w:t>
            </w:r>
          </w:p>
        </w:tc>
      </w:tr>
      <w:tr w:rsidR="00F4357F" w:rsidRPr="00446F67" w14:paraId="33668819" w14:textId="77777777" w:rsidTr="00446F67">
        <w:trPr>
          <w:trHeight w:val="340"/>
        </w:trPr>
        <w:tc>
          <w:tcPr>
            <w:tcW w:w="2679" w:type="dxa"/>
            <w:vMerge/>
            <w:vAlign w:val="center"/>
          </w:tcPr>
          <w:p w14:paraId="2AB93E06"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1F8D4473"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氨</w:t>
            </w:r>
          </w:p>
        </w:tc>
        <w:tc>
          <w:tcPr>
            <w:tcW w:w="2900" w:type="dxa"/>
            <w:vAlign w:val="center"/>
          </w:tcPr>
          <w:p w14:paraId="0987A235" w14:textId="77777777" w:rsidR="00F4357F" w:rsidRPr="00446F67" w:rsidRDefault="00F4357F" w:rsidP="00256C86">
            <w:pPr>
              <w:jc w:val="center"/>
              <w:rPr>
                <w:rFonts w:ascii="Calibri" w:hAnsi="Calibri"/>
                <w:snapToGrid w:val="0"/>
                <w:color w:val="auto"/>
                <w:szCs w:val="21"/>
              </w:rPr>
            </w:pPr>
            <w:r>
              <w:rPr>
                <w:rFonts w:ascii="Calibri" w:hAnsi="Calibri"/>
                <w:snapToGrid w:val="0"/>
                <w:color w:val="auto"/>
                <w:szCs w:val="21"/>
              </w:rPr>
              <w:t>0.03</w:t>
            </w:r>
          </w:p>
        </w:tc>
      </w:tr>
      <w:tr w:rsidR="00F4357F" w:rsidRPr="00446F67" w14:paraId="4D6DEB3B" w14:textId="77777777" w:rsidTr="00446F67">
        <w:trPr>
          <w:trHeight w:val="340"/>
        </w:trPr>
        <w:tc>
          <w:tcPr>
            <w:tcW w:w="2679" w:type="dxa"/>
            <w:vMerge/>
            <w:vAlign w:val="center"/>
          </w:tcPr>
          <w:p w14:paraId="7F7FED70"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69C4D107"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己二酸</w:t>
            </w:r>
          </w:p>
        </w:tc>
        <w:tc>
          <w:tcPr>
            <w:tcW w:w="2900" w:type="dxa"/>
            <w:vAlign w:val="center"/>
          </w:tcPr>
          <w:p w14:paraId="3E93F6C0" w14:textId="77777777" w:rsidR="00F4357F" w:rsidRPr="00446F67" w:rsidRDefault="00F4357F" w:rsidP="007E4A65">
            <w:pPr>
              <w:jc w:val="center"/>
              <w:rPr>
                <w:rFonts w:ascii="Calibri" w:hAnsi="Calibri"/>
                <w:snapToGrid w:val="0"/>
                <w:color w:val="auto"/>
                <w:szCs w:val="21"/>
              </w:rPr>
            </w:pPr>
            <w:r>
              <w:rPr>
                <w:rFonts w:ascii="Calibri" w:hAnsi="Calibri"/>
                <w:snapToGrid w:val="0"/>
                <w:color w:val="auto"/>
                <w:szCs w:val="21"/>
              </w:rPr>
              <w:t>1.41</w:t>
            </w:r>
          </w:p>
        </w:tc>
      </w:tr>
      <w:tr w:rsidR="00F4357F" w:rsidRPr="00446F67" w14:paraId="6699FAA5" w14:textId="77777777" w:rsidTr="00446F67">
        <w:trPr>
          <w:trHeight w:val="340"/>
        </w:trPr>
        <w:tc>
          <w:tcPr>
            <w:tcW w:w="2679" w:type="dxa"/>
            <w:vMerge/>
            <w:vAlign w:val="center"/>
          </w:tcPr>
          <w:p w14:paraId="0CE61B37"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72AECC38"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环戊酮</w:t>
            </w:r>
          </w:p>
        </w:tc>
        <w:tc>
          <w:tcPr>
            <w:tcW w:w="2900" w:type="dxa"/>
            <w:vAlign w:val="center"/>
          </w:tcPr>
          <w:p w14:paraId="36DD65DF" w14:textId="77777777" w:rsidR="00F4357F" w:rsidRPr="00446F67" w:rsidRDefault="00F4357F" w:rsidP="00446F67">
            <w:pPr>
              <w:jc w:val="center"/>
              <w:rPr>
                <w:rFonts w:ascii="Calibri" w:hAnsi="Calibri"/>
                <w:snapToGrid w:val="0"/>
                <w:color w:val="auto"/>
                <w:szCs w:val="21"/>
              </w:rPr>
            </w:pPr>
            <w:r>
              <w:rPr>
                <w:rFonts w:ascii="Calibri" w:hAnsi="Calibri"/>
                <w:snapToGrid w:val="0"/>
                <w:color w:val="auto"/>
                <w:szCs w:val="21"/>
              </w:rPr>
              <w:t>0.16</w:t>
            </w:r>
          </w:p>
        </w:tc>
      </w:tr>
      <w:tr w:rsidR="00F4357F" w:rsidRPr="00446F67" w14:paraId="1666934B" w14:textId="77777777" w:rsidTr="00446F67">
        <w:trPr>
          <w:trHeight w:val="340"/>
        </w:trPr>
        <w:tc>
          <w:tcPr>
            <w:tcW w:w="2679" w:type="dxa"/>
            <w:vMerge/>
            <w:vAlign w:val="center"/>
          </w:tcPr>
          <w:p w14:paraId="3C317597"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5079000A"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环己亚胺</w:t>
            </w:r>
          </w:p>
        </w:tc>
        <w:tc>
          <w:tcPr>
            <w:tcW w:w="2900" w:type="dxa"/>
            <w:vAlign w:val="center"/>
          </w:tcPr>
          <w:p w14:paraId="4D0365D6" w14:textId="77777777" w:rsidR="00F4357F" w:rsidRPr="00446F67" w:rsidRDefault="00F4357F" w:rsidP="00446F67">
            <w:pPr>
              <w:jc w:val="center"/>
              <w:rPr>
                <w:rFonts w:ascii="Calibri" w:hAnsi="Calibri"/>
                <w:snapToGrid w:val="0"/>
                <w:color w:val="auto"/>
                <w:szCs w:val="21"/>
              </w:rPr>
            </w:pPr>
            <w:r>
              <w:rPr>
                <w:rFonts w:ascii="Calibri" w:hAnsi="Calibri"/>
                <w:snapToGrid w:val="0"/>
                <w:color w:val="auto"/>
                <w:szCs w:val="21"/>
              </w:rPr>
              <w:t>0.18</w:t>
            </w:r>
          </w:p>
        </w:tc>
      </w:tr>
      <w:tr w:rsidR="00F4357F" w:rsidRPr="00446F67" w14:paraId="5254A575" w14:textId="77777777" w:rsidTr="00446F67">
        <w:trPr>
          <w:trHeight w:val="340"/>
        </w:trPr>
        <w:tc>
          <w:tcPr>
            <w:tcW w:w="2679" w:type="dxa"/>
            <w:vMerge/>
            <w:vAlign w:val="center"/>
          </w:tcPr>
          <w:p w14:paraId="782D61D6"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000F346D"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己二胺</w:t>
            </w:r>
          </w:p>
        </w:tc>
        <w:tc>
          <w:tcPr>
            <w:tcW w:w="2900" w:type="dxa"/>
            <w:vAlign w:val="center"/>
          </w:tcPr>
          <w:p w14:paraId="625AD971" w14:textId="77777777" w:rsidR="00F4357F" w:rsidRPr="00446F67" w:rsidRDefault="00F4357F" w:rsidP="00446F67">
            <w:pPr>
              <w:jc w:val="center"/>
              <w:rPr>
                <w:rFonts w:ascii="Calibri" w:hAnsi="Calibri"/>
                <w:snapToGrid w:val="0"/>
                <w:color w:val="auto"/>
                <w:szCs w:val="21"/>
              </w:rPr>
            </w:pPr>
            <w:r>
              <w:rPr>
                <w:rFonts w:ascii="Calibri" w:hAnsi="Calibri"/>
                <w:snapToGrid w:val="0"/>
                <w:color w:val="auto"/>
                <w:szCs w:val="21"/>
              </w:rPr>
              <w:t>1.49</w:t>
            </w:r>
          </w:p>
        </w:tc>
      </w:tr>
      <w:tr w:rsidR="00F4357F" w:rsidRPr="00446F67" w14:paraId="6725EF02" w14:textId="77777777" w:rsidTr="00446F67">
        <w:trPr>
          <w:trHeight w:val="340"/>
        </w:trPr>
        <w:tc>
          <w:tcPr>
            <w:tcW w:w="2679" w:type="dxa"/>
            <w:vMerge/>
            <w:vAlign w:val="center"/>
          </w:tcPr>
          <w:p w14:paraId="145C6614"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37C4C84F"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癸二胺</w:t>
            </w:r>
          </w:p>
        </w:tc>
        <w:tc>
          <w:tcPr>
            <w:tcW w:w="2900" w:type="dxa"/>
            <w:vAlign w:val="center"/>
          </w:tcPr>
          <w:p w14:paraId="13455DA3"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0.29</w:t>
            </w:r>
          </w:p>
        </w:tc>
      </w:tr>
      <w:tr w:rsidR="00F4357F" w:rsidRPr="00446F67" w14:paraId="148A0A67" w14:textId="77777777" w:rsidTr="00446F67">
        <w:trPr>
          <w:trHeight w:val="340"/>
        </w:trPr>
        <w:tc>
          <w:tcPr>
            <w:tcW w:w="2679" w:type="dxa"/>
            <w:vMerge/>
            <w:vAlign w:val="center"/>
          </w:tcPr>
          <w:p w14:paraId="354F13CB"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35B71416"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癸二酸</w:t>
            </w:r>
          </w:p>
        </w:tc>
        <w:tc>
          <w:tcPr>
            <w:tcW w:w="2900" w:type="dxa"/>
            <w:vAlign w:val="center"/>
          </w:tcPr>
          <w:p w14:paraId="4B8A5274"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0.17</w:t>
            </w:r>
          </w:p>
        </w:tc>
      </w:tr>
      <w:tr w:rsidR="00F4357F" w:rsidRPr="00446F67" w14:paraId="395CD063" w14:textId="77777777" w:rsidTr="00446F67">
        <w:trPr>
          <w:trHeight w:val="340"/>
        </w:trPr>
        <w:tc>
          <w:tcPr>
            <w:tcW w:w="2679" w:type="dxa"/>
            <w:vMerge/>
            <w:vAlign w:val="center"/>
          </w:tcPr>
          <w:p w14:paraId="0EBDD83B"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241CF580"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十二内</w:t>
            </w:r>
            <w:r>
              <w:rPr>
                <w:rFonts w:ascii="Calibri" w:hAnsi="Calibri"/>
                <w:snapToGrid w:val="0"/>
                <w:color w:val="auto"/>
                <w:szCs w:val="21"/>
              </w:rPr>
              <w:t>酰胺</w:t>
            </w:r>
          </w:p>
        </w:tc>
        <w:tc>
          <w:tcPr>
            <w:tcW w:w="2900" w:type="dxa"/>
            <w:vAlign w:val="center"/>
          </w:tcPr>
          <w:p w14:paraId="0602ED78"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2.48</w:t>
            </w:r>
          </w:p>
        </w:tc>
      </w:tr>
      <w:tr w:rsidR="00F4357F" w:rsidRPr="00446F67" w14:paraId="0DC16849" w14:textId="77777777" w:rsidTr="00446F67">
        <w:trPr>
          <w:trHeight w:val="340"/>
        </w:trPr>
        <w:tc>
          <w:tcPr>
            <w:tcW w:w="2679" w:type="dxa"/>
            <w:vMerge w:val="restart"/>
            <w:vAlign w:val="center"/>
          </w:tcPr>
          <w:p w14:paraId="38B33DDB"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二期工程</w:t>
            </w:r>
            <w:r>
              <w:rPr>
                <w:rFonts w:ascii="Calibri" w:hAnsi="Calibri"/>
                <w:snapToGrid w:val="0"/>
                <w:color w:val="auto"/>
                <w:szCs w:val="21"/>
              </w:rPr>
              <w:t>聚合冷凝</w:t>
            </w:r>
          </w:p>
          <w:p w14:paraId="4F58D6DF" w14:textId="77777777" w:rsidR="00F4357F" w:rsidRDefault="00F4357F" w:rsidP="00256C86">
            <w:pPr>
              <w:jc w:val="center"/>
              <w:rPr>
                <w:rFonts w:ascii="Calibri" w:hAnsi="Calibri"/>
                <w:snapToGrid w:val="0"/>
                <w:color w:val="auto"/>
                <w:szCs w:val="21"/>
              </w:rPr>
            </w:pPr>
            <w:r w:rsidRPr="00F4357F">
              <w:rPr>
                <w:rFonts w:ascii="Calibri" w:hAnsi="Calibri"/>
                <w:snapToGrid w:val="0"/>
                <w:color w:val="auto"/>
                <w:szCs w:val="21"/>
              </w:rPr>
              <w:t>663.19</w:t>
            </w:r>
            <w:r>
              <w:rPr>
                <w:rFonts w:ascii="Calibri" w:hAnsi="Calibri"/>
                <w:snapToGrid w:val="0"/>
                <w:color w:val="auto"/>
                <w:szCs w:val="21"/>
              </w:rPr>
              <w:t>t/a</w:t>
            </w:r>
          </w:p>
        </w:tc>
        <w:tc>
          <w:tcPr>
            <w:tcW w:w="3121" w:type="dxa"/>
            <w:vAlign w:val="center"/>
          </w:tcPr>
          <w:p w14:paraId="1E37FA76" w14:textId="77777777" w:rsidR="00F4357F" w:rsidRDefault="00F4357F" w:rsidP="00446F67">
            <w:pPr>
              <w:jc w:val="center"/>
              <w:rPr>
                <w:rFonts w:ascii="Calibri" w:hAnsi="Calibri"/>
                <w:snapToGrid w:val="0"/>
                <w:color w:val="auto"/>
                <w:szCs w:val="21"/>
              </w:rPr>
            </w:pPr>
            <w:r>
              <w:rPr>
                <w:rFonts w:ascii="Calibri" w:hAnsi="Calibri" w:hint="eastAsia"/>
                <w:snapToGrid w:val="0"/>
                <w:color w:val="auto"/>
                <w:szCs w:val="21"/>
              </w:rPr>
              <w:t>水</w:t>
            </w:r>
          </w:p>
        </w:tc>
        <w:tc>
          <w:tcPr>
            <w:tcW w:w="2900" w:type="dxa"/>
            <w:vAlign w:val="center"/>
          </w:tcPr>
          <w:p w14:paraId="6490455A" w14:textId="77777777" w:rsidR="00F4357F" w:rsidRPr="00446F67" w:rsidRDefault="00255CCA" w:rsidP="00256C86">
            <w:pPr>
              <w:jc w:val="center"/>
              <w:rPr>
                <w:rFonts w:ascii="Calibri" w:hAnsi="Calibri"/>
                <w:snapToGrid w:val="0"/>
                <w:color w:val="auto"/>
                <w:szCs w:val="21"/>
              </w:rPr>
            </w:pPr>
            <w:r>
              <w:rPr>
                <w:rFonts w:ascii="Calibri" w:hAnsi="Calibri"/>
                <w:sz w:val="20"/>
                <w:szCs w:val="20"/>
              </w:rPr>
              <w:t>659.46</w:t>
            </w:r>
          </w:p>
        </w:tc>
      </w:tr>
      <w:tr w:rsidR="00F4357F" w:rsidRPr="00446F67" w14:paraId="7BCA5E3B" w14:textId="77777777" w:rsidTr="00446F67">
        <w:trPr>
          <w:trHeight w:val="340"/>
        </w:trPr>
        <w:tc>
          <w:tcPr>
            <w:tcW w:w="2679" w:type="dxa"/>
            <w:vMerge/>
            <w:vAlign w:val="center"/>
          </w:tcPr>
          <w:p w14:paraId="4FCA8326"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27161F59"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氨</w:t>
            </w:r>
          </w:p>
        </w:tc>
        <w:tc>
          <w:tcPr>
            <w:tcW w:w="2900" w:type="dxa"/>
            <w:vAlign w:val="center"/>
          </w:tcPr>
          <w:p w14:paraId="16BD6B4E" w14:textId="77777777" w:rsidR="00F4357F" w:rsidRPr="00446F67" w:rsidRDefault="00255CCA" w:rsidP="007E4A65">
            <w:pPr>
              <w:jc w:val="center"/>
              <w:rPr>
                <w:rFonts w:ascii="Calibri" w:hAnsi="Calibri"/>
                <w:snapToGrid w:val="0"/>
                <w:color w:val="auto"/>
                <w:szCs w:val="21"/>
              </w:rPr>
            </w:pPr>
            <w:r>
              <w:rPr>
                <w:rFonts w:ascii="Calibri" w:hAnsi="Calibri"/>
                <w:snapToGrid w:val="0"/>
                <w:color w:val="auto"/>
                <w:szCs w:val="21"/>
              </w:rPr>
              <w:t>0.02</w:t>
            </w:r>
          </w:p>
        </w:tc>
      </w:tr>
      <w:tr w:rsidR="00F4357F" w:rsidRPr="00446F67" w14:paraId="4D4A73B6" w14:textId="77777777" w:rsidTr="00446F67">
        <w:trPr>
          <w:trHeight w:val="340"/>
        </w:trPr>
        <w:tc>
          <w:tcPr>
            <w:tcW w:w="2679" w:type="dxa"/>
            <w:vMerge/>
            <w:vAlign w:val="center"/>
          </w:tcPr>
          <w:p w14:paraId="1D8E07E7"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6CD1F62B"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己二酸</w:t>
            </w:r>
          </w:p>
        </w:tc>
        <w:tc>
          <w:tcPr>
            <w:tcW w:w="2900" w:type="dxa"/>
            <w:vAlign w:val="center"/>
          </w:tcPr>
          <w:p w14:paraId="4DDDB3E0" w14:textId="77777777" w:rsidR="00F4357F" w:rsidRPr="00446F67" w:rsidRDefault="00255CCA" w:rsidP="00256C86">
            <w:pPr>
              <w:jc w:val="center"/>
              <w:rPr>
                <w:rFonts w:ascii="Calibri" w:hAnsi="Calibri"/>
                <w:snapToGrid w:val="0"/>
                <w:color w:val="auto"/>
                <w:szCs w:val="21"/>
              </w:rPr>
            </w:pPr>
            <w:r>
              <w:rPr>
                <w:rFonts w:ascii="Calibri" w:hAnsi="Calibri"/>
                <w:snapToGrid w:val="0"/>
                <w:color w:val="auto"/>
                <w:szCs w:val="21"/>
              </w:rPr>
              <w:t>0.85</w:t>
            </w:r>
          </w:p>
        </w:tc>
      </w:tr>
      <w:tr w:rsidR="00F4357F" w:rsidRPr="00446F67" w14:paraId="3D0081FB" w14:textId="77777777" w:rsidTr="00446F67">
        <w:trPr>
          <w:trHeight w:val="340"/>
        </w:trPr>
        <w:tc>
          <w:tcPr>
            <w:tcW w:w="2679" w:type="dxa"/>
            <w:vMerge/>
            <w:vAlign w:val="center"/>
          </w:tcPr>
          <w:p w14:paraId="3C45F711"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63241ADE"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环戊酮</w:t>
            </w:r>
          </w:p>
        </w:tc>
        <w:tc>
          <w:tcPr>
            <w:tcW w:w="2900" w:type="dxa"/>
            <w:vAlign w:val="center"/>
          </w:tcPr>
          <w:p w14:paraId="7B27B2BA" w14:textId="77777777" w:rsidR="00F4357F" w:rsidRPr="00446F67" w:rsidRDefault="00255CCA" w:rsidP="00256C86">
            <w:pPr>
              <w:jc w:val="center"/>
              <w:rPr>
                <w:rFonts w:ascii="Calibri" w:hAnsi="Calibri"/>
                <w:snapToGrid w:val="0"/>
                <w:color w:val="auto"/>
                <w:szCs w:val="21"/>
              </w:rPr>
            </w:pPr>
            <w:r>
              <w:rPr>
                <w:rFonts w:ascii="Calibri" w:hAnsi="Calibri"/>
                <w:snapToGrid w:val="0"/>
                <w:color w:val="auto"/>
                <w:szCs w:val="21"/>
              </w:rPr>
              <w:t>0.10</w:t>
            </w:r>
          </w:p>
        </w:tc>
      </w:tr>
      <w:tr w:rsidR="00F4357F" w:rsidRPr="00446F67" w14:paraId="22E84540" w14:textId="77777777" w:rsidTr="00446F67">
        <w:trPr>
          <w:trHeight w:val="340"/>
        </w:trPr>
        <w:tc>
          <w:tcPr>
            <w:tcW w:w="2679" w:type="dxa"/>
            <w:vMerge/>
            <w:vAlign w:val="center"/>
          </w:tcPr>
          <w:p w14:paraId="57875020"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7D19C293"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环己亚胺</w:t>
            </w:r>
          </w:p>
        </w:tc>
        <w:tc>
          <w:tcPr>
            <w:tcW w:w="2900" w:type="dxa"/>
            <w:vAlign w:val="center"/>
          </w:tcPr>
          <w:p w14:paraId="604A7145" w14:textId="77777777" w:rsidR="00F4357F" w:rsidRPr="00446F67" w:rsidRDefault="00255CCA" w:rsidP="00256C86">
            <w:pPr>
              <w:jc w:val="center"/>
              <w:rPr>
                <w:rFonts w:ascii="Calibri" w:hAnsi="Calibri"/>
                <w:snapToGrid w:val="0"/>
                <w:color w:val="auto"/>
                <w:szCs w:val="21"/>
              </w:rPr>
            </w:pPr>
            <w:r>
              <w:rPr>
                <w:rFonts w:ascii="Calibri" w:hAnsi="Calibri"/>
                <w:snapToGrid w:val="0"/>
                <w:color w:val="auto"/>
                <w:szCs w:val="21"/>
              </w:rPr>
              <w:t>0.11</w:t>
            </w:r>
          </w:p>
        </w:tc>
      </w:tr>
      <w:tr w:rsidR="00F4357F" w:rsidRPr="00446F67" w14:paraId="0B69A345" w14:textId="77777777" w:rsidTr="00446F67">
        <w:trPr>
          <w:trHeight w:val="340"/>
        </w:trPr>
        <w:tc>
          <w:tcPr>
            <w:tcW w:w="2679" w:type="dxa"/>
            <w:vMerge/>
            <w:vAlign w:val="center"/>
          </w:tcPr>
          <w:p w14:paraId="43B57247" w14:textId="77777777" w:rsidR="00F4357F" w:rsidRPr="00446F67" w:rsidRDefault="00F4357F" w:rsidP="00446F67">
            <w:pPr>
              <w:jc w:val="center"/>
              <w:rPr>
                <w:rFonts w:ascii="Calibri" w:hAnsi="Calibri"/>
                <w:snapToGrid w:val="0"/>
                <w:color w:val="auto"/>
                <w:szCs w:val="21"/>
              </w:rPr>
            </w:pPr>
          </w:p>
        </w:tc>
        <w:tc>
          <w:tcPr>
            <w:tcW w:w="3121" w:type="dxa"/>
            <w:vAlign w:val="center"/>
          </w:tcPr>
          <w:p w14:paraId="22EDF951" w14:textId="77777777" w:rsidR="00F4357F" w:rsidRPr="00446F67" w:rsidRDefault="00F4357F" w:rsidP="00446F67">
            <w:pPr>
              <w:jc w:val="center"/>
              <w:rPr>
                <w:rFonts w:ascii="Calibri" w:hAnsi="Calibri"/>
                <w:snapToGrid w:val="0"/>
                <w:color w:val="auto"/>
                <w:szCs w:val="21"/>
              </w:rPr>
            </w:pPr>
            <w:r>
              <w:rPr>
                <w:rFonts w:ascii="Calibri" w:hAnsi="Calibri" w:hint="eastAsia"/>
                <w:snapToGrid w:val="0"/>
                <w:color w:val="auto"/>
                <w:szCs w:val="21"/>
              </w:rPr>
              <w:t>己二胺</w:t>
            </w:r>
          </w:p>
        </w:tc>
        <w:tc>
          <w:tcPr>
            <w:tcW w:w="2900" w:type="dxa"/>
            <w:vAlign w:val="center"/>
          </w:tcPr>
          <w:p w14:paraId="1E826501" w14:textId="77777777" w:rsidR="00F4357F" w:rsidRPr="00446F67" w:rsidRDefault="00255CCA" w:rsidP="00256C86">
            <w:pPr>
              <w:jc w:val="center"/>
              <w:rPr>
                <w:rFonts w:ascii="Calibri" w:hAnsi="Calibri"/>
                <w:snapToGrid w:val="0"/>
                <w:color w:val="auto"/>
                <w:szCs w:val="21"/>
              </w:rPr>
            </w:pPr>
            <w:r>
              <w:rPr>
                <w:rFonts w:ascii="Calibri" w:hAnsi="Calibri"/>
                <w:snapToGrid w:val="0"/>
                <w:color w:val="auto"/>
                <w:szCs w:val="21"/>
              </w:rPr>
              <w:t>0.89</w:t>
            </w:r>
          </w:p>
        </w:tc>
      </w:tr>
      <w:tr w:rsidR="00F4357F" w:rsidRPr="00446F67" w14:paraId="47904B77" w14:textId="77777777" w:rsidTr="00446F67">
        <w:trPr>
          <w:trHeight w:val="340"/>
        </w:trPr>
        <w:tc>
          <w:tcPr>
            <w:tcW w:w="2679" w:type="dxa"/>
            <w:vMerge/>
            <w:vAlign w:val="center"/>
          </w:tcPr>
          <w:p w14:paraId="6EA9419D" w14:textId="77777777" w:rsidR="00F4357F" w:rsidRPr="00446F67" w:rsidRDefault="00F4357F" w:rsidP="00F4357F">
            <w:pPr>
              <w:jc w:val="center"/>
              <w:rPr>
                <w:rFonts w:ascii="Calibri" w:hAnsi="Calibri"/>
                <w:snapToGrid w:val="0"/>
                <w:color w:val="auto"/>
                <w:szCs w:val="21"/>
              </w:rPr>
            </w:pPr>
          </w:p>
        </w:tc>
        <w:tc>
          <w:tcPr>
            <w:tcW w:w="3121" w:type="dxa"/>
            <w:vAlign w:val="center"/>
          </w:tcPr>
          <w:p w14:paraId="6E472309" w14:textId="77777777" w:rsidR="00F4357F" w:rsidRDefault="00F4357F" w:rsidP="00F4357F">
            <w:pPr>
              <w:jc w:val="center"/>
              <w:rPr>
                <w:rFonts w:ascii="Calibri" w:hAnsi="Calibri"/>
                <w:snapToGrid w:val="0"/>
                <w:color w:val="auto"/>
                <w:szCs w:val="21"/>
              </w:rPr>
            </w:pPr>
            <w:r>
              <w:rPr>
                <w:rFonts w:ascii="Calibri" w:hAnsi="Calibri" w:hint="eastAsia"/>
                <w:snapToGrid w:val="0"/>
                <w:color w:val="auto"/>
                <w:szCs w:val="21"/>
              </w:rPr>
              <w:t>癸二胺</w:t>
            </w:r>
          </w:p>
        </w:tc>
        <w:tc>
          <w:tcPr>
            <w:tcW w:w="2900" w:type="dxa"/>
            <w:vAlign w:val="center"/>
          </w:tcPr>
          <w:p w14:paraId="3A180BFA" w14:textId="77777777" w:rsidR="00F4357F" w:rsidRDefault="00255CCA" w:rsidP="00F4357F">
            <w:pPr>
              <w:jc w:val="center"/>
              <w:rPr>
                <w:rFonts w:ascii="Calibri" w:hAnsi="Calibri"/>
                <w:snapToGrid w:val="0"/>
                <w:color w:val="auto"/>
                <w:szCs w:val="21"/>
              </w:rPr>
            </w:pPr>
            <w:r>
              <w:rPr>
                <w:rFonts w:ascii="Calibri" w:hAnsi="Calibri" w:hint="eastAsia"/>
                <w:snapToGrid w:val="0"/>
                <w:color w:val="auto"/>
                <w:szCs w:val="21"/>
              </w:rPr>
              <w:t>0.17</w:t>
            </w:r>
          </w:p>
        </w:tc>
      </w:tr>
      <w:tr w:rsidR="00F4357F" w:rsidRPr="00446F67" w14:paraId="4BA33A02" w14:textId="77777777" w:rsidTr="00446F67">
        <w:trPr>
          <w:trHeight w:val="340"/>
        </w:trPr>
        <w:tc>
          <w:tcPr>
            <w:tcW w:w="2679" w:type="dxa"/>
            <w:vMerge/>
            <w:vAlign w:val="center"/>
          </w:tcPr>
          <w:p w14:paraId="05ABDF50" w14:textId="77777777" w:rsidR="00F4357F" w:rsidRPr="00446F67" w:rsidRDefault="00F4357F" w:rsidP="00F4357F">
            <w:pPr>
              <w:jc w:val="center"/>
              <w:rPr>
                <w:rFonts w:ascii="Calibri" w:hAnsi="Calibri"/>
                <w:snapToGrid w:val="0"/>
                <w:color w:val="auto"/>
                <w:szCs w:val="21"/>
              </w:rPr>
            </w:pPr>
          </w:p>
        </w:tc>
        <w:tc>
          <w:tcPr>
            <w:tcW w:w="3121" w:type="dxa"/>
            <w:vAlign w:val="center"/>
          </w:tcPr>
          <w:p w14:paraId="2DA2B3B1" w14:textId="77777777" w:rsidR="00F4357F" w:rsidRDefault="00F4357F" w:rsidP="00F4357F">
            <w:pPr>
              <w:jc w:val="center"/>
              <w:rPr>
                <w:rFonts w:ascii="Calibri" w:hAnsi="Calibri"/>
                <w:snapToGrid w:val="0"/>
                <w:color w:val="auto"/>
                <w:szCs w:val="21"/>
              </w:rPr>
            </w:pPr>
            <w:r>
              <w:rPr>
                <w:rFonts w:ascii="Calibri" w:hAnsi="Calibri" w:hint="eastAsia"/>
                <w:snapToGrid w:val="0"/>
                <w:color w:val="auto"/>
                <w:szCs w:val="21"/>
              </w:rPr>
              <w:t>癸二酸</w:t>
            </w:r>
          </w:p>
        </w:tc>
        <w:tc>
          <w:tcPr>
            <w:tcW w:w="2900" w:type="dxa"/>
            <w:vAlign w:val="center"/>
          </w:tcPr>
          <w:p w14:paraId="55D4468C" w14:textId="77777777" w:rsidR="00F4357F" w:rsidRDefault="00255CCA" w:rsidP="00F4357F">
            <w:pPr>
              <w:jc w:val="center"/>
              <w:rPr>
                <w:rFonts w:ascii="Calibri" w:hAnsi="Calibri"/>
                <w:snapToGrid w:val="0"/>
                <w:color w:val="auto"/>
                <w:szCs w:val="21"/>
              </w:rPr>
            </w:pPr>
            <w:r>
              <w:rPr>
                <w:rFonts w:ascii="Calibri" w:hAnsi="Calibri" w:hint="eastAsia"/>
                <w:snapToGrid w:val="0"/>
                <w:color w:val="auto"/>
                <w:szCs w:val="21"/>
              </w:rPr>
              <w:t>0.10</w:t>
            </w:r>
          </w:p>
        </w:tc>
      </w:tr>
      <w:tr w:rsidR="00F4357F" w:rsidRPr="00446F67" w14:paraId="07723109" w14:textId="77777777" w:rsidTr="00446F67">
        <w:trPr>
          <w:trHeight w:val="340"/>
        </w:trPr>
        <w:tc>
          <w:tcPr>
            <w:tcW w:w="2679" w:type="dxa"/>
            <w:vMerge/>
            <w:vAlign w:val="center"/>
          </w:tcPr>
          <w:p w14:paraId="4FF52DB3" w14:textId="77777777" w:rsidR="00F4357F" w:rsidRPr="00446F67" w:rsidRDefault="00F4357F" w:rsidP="00F4357F">
            <w:pPr>
              <w:jc w:val="center"/>
              <w:rPr>
                <w:rFonts w:ascii="Calibri" w:hAnsi="Calibri"/>
                <w:snapToGrid w:val="0"/>
                <w:color w:val="auto"/>
                <w:szCs w:val="21"/>
              </w:rPr>
            </w:pPr>
          </w:p>
        </w:tc>
        <w:tc>
          <w:tcPr>
            <w:tcW w:w="3121" w:type="dxa"/>
            <w:vAlign w:val="center"/>
          </w:tcPr>
          <w:p w14:paraId="0BE7171A" w14:textId="77777777" w:rsidR="00F4357F" w:rsidRDefault="00F4357F" w:rsidP="00F4357F">
            <w:pPr>
              <w:jc w:val="center"/>
              <w:rPr>
                <w:rFonts w:ascii="Calibri" w:hAnsi="Calibri"/>
                <w:snapToGrid w:val="0"/>
                <w:color w:val="auto"/>
                <w:szCs w:val="21"/>
              </w:rPr>
            </w:pPr>
            <w:r>
              <w:rPr>
                <w:rFonts w:ascii="Calibri" w:hAnsi="Calibri" w:hint="eastAsia"/>
                <w:snapToGrid w:val="0"/>
                <w:color w:val="auto"/>
                <w:szCs w:val="21"/>
              </w:rPr>
              <w:t>十二内</w:t>
            </w:r>
            <w:r>
              <w:rPr>
                <w:rFonts w:ascii="Calibri" w:hAnsi="Calibri"/>
                <w:snapToGrid w:val="0"/>
                <w:color w:val="auto"/>
                <w:szCs w:val="21"/>
              </w:rPr>
              <w:t>酰胺</w:t>
            </w:r>
          </w:p>
        </w:tc>
        <w:tc>
          <w:tcPr>
            <w:tcW w:w="2900" w:type="dxa"/>
            <w:vAlign w:val="center"/>
          </w:tcPr>
          <w:p w14:paraId="3B6E0993" w14:textId="77777777" w:rsidR="00F4357F" w:rsidRDefault="00255CCA" w:rsidP="00F4357F">
            <w:pPr>
              <w:jc w:val="center"/>
              <w:rPr>
                <w:rFonts w:ascii="Calibri" w:hAnsi="Calibri"/>
                <w:snapToGrid w:val="0"/>
                <w:color w:val="auto"/>
                <w:szCs w:val="21"/>
              </w:rPr>
            </w:pPr>
            <w:r>
              <w:rPr>
                <w:rFonts w:ascii="Calibri" w:hAnsi="Calibri" w:hint="eastAsia"/>
                <w:snapToGrid w:val="0"/>
                <w:color w:val="auto"/>
                <w:szCs w:val="21"/>
              </w:rPr>
              <w:t>1.49</w:t>
            </w:r>
          </w:p>
        </w:tc>
      </w:tr>
    </w:tbl>
    <w:p w14:paraId="42CFD793" w14:textId="77777777" w:rsidR="0042655E" w:rsidRPr="00DF7568" w:rsidRDefault="00F62F58" w:rsidP="00DB3F27">
      <w:pPr>
        <w:pStyle w:val="00"/>
        <w:rPr>
          <w:rFonts w:ascii="Calibri" w:hAnsi="Calibri"/>
          <w:b/>
          <w:color w:val="auto"/>
          <w:kern w:val="0"/>
          <w:szCs w:val="21"/>
          <w:u w:val="single"/>
        </w:rPr>
      </w:pPr>
      <w:r w:rsidRPr="00DF7568">
        <w:rPr>
          <w:rFonts w:ascii="Calibri" w:hAnsi="Calibri" w:hint="eastAsia"/>
          <w:b/>
          <w:color w:val="auto"/>
          <w:kern w:val="0"/>
          <w:szCs w:val="21"/>
          <w:u w:val="single"/>
        </w:rPr>
        <w:t>本项目</w:t>
      </w:r>
      <w:r w:rsidRPr="00DF7568">
        <w:rPr>
          <w:rFonts w:ascii="Calibri" w:hAnsi="Calibri"/>
          <w:b/>
          <w:color w:val="auto"/>
          <w:kern w:val="0"/>
          <w:szCs w:val="21"/>
          <w:u w:val="single"/>
        </w:rPr>
        <w:t>一期、二期</w:t>
      </w:r>
      <w:r w:rsidRPr="00DF7568">
        <w:rPr>
          <w:rFonts w:ascii="Calibri" w:hAnsi="Calibri" w:hint="eastAsia"/>
          <w:b/>
          <w:color w:val="auto"/>
          <w:kern w:val="0"/>
          <w:szCs w:val="21"/>
          <w:u w:val="single"/>
        </w:rPr>
        <w:t>工程</w:t>
      </w:r>
      <w:r w:rsidRPr="00DF7568">
        <w:rPr>
          <w:rFonts w:ascii="Calibri" w:hAnsi="Calibri"/>
          <w:b/>
          <w:color w:val="auto"/>
          <w:kern w:val="0"/>
          <w:szCs w:val="21"/>
          <w:u w:val="single"/>
        </w:rPr>
        <w:t>生产工艺相同，</w:t>
      </w:r>
      <w:r w:rsidRPr="00DF7568">
        <w:rPr>
          <w:rFonts w:ascii="Calibri" w:hAnsi="Calibri" w:hint="eastAsia"/>
          <w:b/>
          <w:color w:val="auto"/>
          <w:kern w:val="0"/>
          <w:szCs w:val="21"/>
          <w:u w:val="single"/>
        </w:rPr>
        <w:t>则</w:t>
      </w:r>
      <w:r w:rsidR="0027293F" w:rsidRPr="00DF7568">
        <w:rPr>
          <w:rFonts w:ascii="Calibri" w:hAnsi="Calibri"/>
          <w:b/>
          <w:color w:val="auto"/>
          <w:kern w:val="0"/>
          <w:szCs w:val="21"/>
          <w:u w:val="single"/>
        </w:rPr>
        <w:t>一期、二期工程各污染物</w:t>
      </w:r>
      <w:r w:rsidR="0027293F" w:rsidRPr="00DF7568">
        <w:rPr>
          <w:rFonts w:ascii="Calibri" w:hAnsi="Calibri" w:hint="eastAsia"/>
          <w:b/>
          <w:color w:val="auto"/>
          <w:kern w:val="0"/>
          <w:szCs w:val="21"/>
          <w:u w:val="single"/>
        </w:rPr>
        <w:t>浓度相同</w:t>
      </w:r>
      <w:r w:rsidR="0027293F" w:rsidRPr="00DF7568">
        <w:rPr>
          <w:rFonts w:ascii="Calibri" w:hAnsi="Calibri"/>
          <w:b/>
          <w:color w:val="auto"/>
          <w:kern w:val="0"/>
          <w:szCs w:val="21"/>
          <w:u w:val="single"/>
        </w:rPr>
        <w:t>，</w:t>
      </w:r>
      <w:r w:rsidR="0027293F" w:rsidRPr="00DF7568">
        <w:rPr>
          <w:rFonts w:ascii="Calibri" w:hAnsi="Calibri" w:hint="eastAsia"/>
          <w:b/>
          <w:color w:val="auto"/>
          <w:kern w:val="0"/>
          <w:szCs w:val="21"/>
          <w:u w:val="single"/>
        </w:rPr>
        <w:t>根据</w:t>
      </w:r>
      <w:r w:rsidR="0027293F" w:rsidRPr="00DF7568">
        <w:rPr>
          <w:rFonts w:ascii="Calibri" w:hAnsi="Calibri"/>
          <w:b/>
          <w:color w:val="auto"/>
          <w:kern w:val="0"/>
          <w:szCs w:val="21"/>
          <w:u w:val="single"/>
        </w:rPr>
        <w:t>理论数据</w:t>
      </w:r>
      <w:r w:rsidR="0027293F" w:rsidRPr="00DF7568">
        <w:rPr>
          <w:rFonts w:ascii="Calibri" w:hAnsi="Calibri" w:hint="eastAsia"/>
          <w:b/>
          <w:color w:val="auto"/>
          <w:kern w:val="0"/>
          <w:szCs w:val="21"/>
          <w:u w:val="single"/>
        </w:rPr>
        <w:t>，</w:t>
      </w:r>
      <w:r w:rsidR="0027293F" w:rsidRPr="00DF7568">
        <w:rPr>
          <w:rFonts w:ascii="Calibri" w:hAnsi="Calibri" w:hint="eastAsia"/>
          <w:b/>
          <w:color w:val="auto"/>
          <w:kern w:val="0"/>
          <w:szCs w:val="21"/>
          <w:u w:val="single"/>
        </w:rPr>
        <w:t>1g</w:t>
      </w:r>
      <w:r w:rsidR="00936F1B" w:rsidRPr="00DF7568">
        <w:rPr>
          <w:rFonts w:ascii="Calibri" w:hAnsi="Calibri" w:hint="eastAsia"/>
          <w:b/>
          <w:color w:val="auto"/>
          <w:kern w:val="0"/>
          <w:szCs w:val="21"/>
          <w:u w:val="single"/>
        </w:rPr>
        <w:t>己二酸</w:t>
      </w:r>
      <w:r w:rsidR="0027293F" w:rsidRPr="00DF7568">
        <w:rPr>
          <w:rFonts w:ascii="Calibri" w:hAnsi="Calibri" w:hint="eastAsia"/>
          <w:b/>
          <w:color w:val="auto"/>
          <w:kern w:val="0"/>
          <w:szCs w:val="21"/>
          <w:u w:val="single"/>
        </w:rPr>
        <w:t>折</w:t>
      </w:r>
      <w:r w:rsidR="0027293F" w:rsidRPr="00DF7568">
        <w:rPr>
          <w:rFonts w:ascii="Calibri" w:hAnsi="Calibri" w:hint="eastAsia"/>
          <w:b/>
          <w:color w:val="auto"/>
          <w:kern w:val="0"/>
          <w:szCs w:val="21"/>
          <w:u w:val="single"/>
        </w:rPr>
        <w:t>COD</w:t>
      </w:r>
      <w:r w:rsidR="0027293F" w:rsidRPr="00DF7568">
        <w:rPr>
          <w:rFonts w:ascii="Calibri" w:hAnsi="Calibri" w:hint="eastAsia"/>
          <w:b/>
          <w:color w:val="auto"/>
          <w:kern w:val="0"/>
          <w:szCs w:val="21"/>
          <w:u w:val="single"/>
        </w:rPr>
        <w:t>值为</w:t>
      </w:r>
      <w:r w:rsidR="00936F1B" w:rsidRPr="00DF7568">
        <w:rPr>
          <w:rFonts w:ascii="Calibri" w:hAnsi="Calibri"/>
          <w:b/>
          <w:color w:val="auto"/>
          <w:kern w:val="0"/>
          <w:szCs w:val="21"/>
          <w:u w:val="single"/>
        </w:rPr>
        <w:t>1.39</w:t>
      </w:r>
      <w:r w:rsidR="0027293F" w:rsidRPr="00DF7568">
        <w:rPr>
          <w:rFonts w:ascii="Calibri" w:hAnsi="Calibri" w:hint="eastAsia"/>
          <w:b/>
          <w:color w:val="auto"/>
          <w:kern w:val="0"/>
          <w:szCs w:val="21"/>
          <w:u w:val="single"/>
        </w:rPr>
        <w:t>g</w:t>
      </w:r>
      <w:r w:rsidR="0027293F" w:rsidRPr="00DF7568">
        <w:rPr>
          <w:rFonts w:ascii="Calibri" w:hAnsi="Calibri" w:hint="eastAsia"/>
          <w:b/>
          <w:color w:val="auto"/>
          <w:kern w:val="0"/>
          <w:szCs w:val="21"/>
          <w:u w:val="single"/>
        </w:rPr>
        <w:t>，折</w:t>
      </w:r>
      <w:r w:rsidR="0027293F" w:rsidRPr="00DF7568">
        <w:rPr>
          <w:rFonts w:ascii="Calibri" w:hAnsi="Calibri" w:hint="eastAsia"/>
          <w:b/>
          <w:color w:val="auto"/>
          <w:kern w:val="0"/>
          <w:szCs w:val="21"/>
          <w:u w:val="single"/>
        </w:rPr>
        <w:t>BOD</w:t>
      </w:r>
      <w:r w:rsidR="0027293F" w:rsidRPr="00DF7568">
        <w:rPr>
          <w:rFonts w:ascii="Calibri" w:hAnsi="Calibri" w:hint="eastAsia"/>
          <w:b/>
          <w:color w:val="auto"/>
          <w:kern w:val="0"/>
          <w:szCs w:val="21"/>
          <w:u w:val="single"/>
          <w:vertAlign w:val="subscript"/>
        </w:rPr>
        <w:t>5</w:t>
      </w:r>
      <w:r w:rsidR="0027293F" w:rsidRPr="00DF7568">
        <w:rPr>
          <w:rFonts w:ascii="Calibri" w:hAnsi="Calibri" w:hint="eastAsia"/>
          <w:b/>
          <w:color w:val="auto"/>
          <w:kern w:val="0"/>
          <w:szCs w:val="21"/>
          <w:u w:val="single"/>
        </w:rPr>
        <w:t>值为</w:t>
      </w:r>
      <w:r w:rsidR="00936F1B" w:rsidRPr="00DF7568">
        <w:rPr>
          <w:rFonts w:ascii="Calibri" w:hAnsi="Calibri"/>
          <w:b/>
          <w:color w:val="auto"/>
          <w:kern w:val="0"/>
          <w:szCs w:val="21"/>
          <w:u w:val="single"/>
        </w:rPr>
        <w:t>0.598</w:t>
      </w:r>
      <w:r w:rsidR="0027293F" w:rsidRPr="00DF7568">
        <w:rPr>
          <w:rFonts w:ascii="Calibri" w:hAnsi="Calibri" w:hint="eastAsia"/>
          <w:b/>
          <w:color w:val="auto"/>
          <w:kern w:val="0"/>
          <w:szCs w:val="21"/>
          <w:u w:val="single"/>
        </w:rPr>
        <w:t>g</w:t>
      </w:r>
      <w:r w:rsidR="007E4A65" w:rsidRPr="00DF7568">
        <w:rPr>
          <w:rFonts w:ascii="Calibri" w:hAnsi="Calibri" w:hint="eastAsia"/>
          <w:b/>
          <w:color w:val="auto"/>
          <w:kern w:val="0"/>
          <w:szCs w:val="21"/>
          <w:u w:val="single"/>
        </w:rPr>
        <w:t>；</w:t>
      </w:r>
      <w:r w:rsidR="007E4A65" w:rsidRPr="00DF7568">
        <w:rPr>
          <w:rFonts w:ascii="Calibri" w:hAnsi="Calibri" w:hint="eastAsia"/>
          <w:b/>
          <w:color w:val="auto"/>
          <w:kern w:val="0"/>
          <w:szCs w:val="21"/>
          <w:u w:val="single"/>
        </w:rPr>
        <w:t>1g</w:t>
      </w:r>
      <w:r w:rsidR="007E4A65" w:rsidRPr="00DF7568">
        <w:rPr>
          <w:rFonts w:ascii="Calibri" w:hAnsi="Calibri" w:hint="eastAsia"/>
          <w:b/>
          <w:color w:val="auto"/>
          <w:kern w:val="0"/>
          <w:szCs w:val="21"/>
          <w:u w:val="single"/>
        </w:rPr>
        <w:t>己二胺折</w:t>
      </w:r>
      <w:r w:rsidR="007E4A65" w:rsidRPr="00DF7568">
        <w:rPr>
          <w:rFonts w:ascii="Calibri" w:hAnsi="Calibri" w:hint="eastAsia"/>
          <w:b/>
          <w:color w:val="auto"/>
          <w:kern w:val="0"/>
          <w:szCs w:val="21"/>
          <w:u w:val="single"/>
        </w:rPr>
        <w:t>COD</w:t>
      </w:r>
      <w:r w:rsidR="007E4A65" w:rsidRPr="00DF7568">
        <w:rPr>
          <w:rFonts w:ascii="Calibri" w:hAnsi="Calibri" w:hint="eastAsia"/>
          <w:b/>
          <w:color w:val="auto"/>
          <w:kern w:val="0"/>
          <w:szCs w:val="21"/>
          <w:u w:val="single"/>
        </w:rPr>
        <w:t>值为</w:t>
      </w:r>
      <w:r w:rsidR="007E4A65" w:rsidRPr="00DF7568">
        <w:rPr>
          <w:rFonts w:ascii="Calibri" w:hAnsi="Calibri"/>
          <w:b/>
          <w:color w:val="auto"/>
          <w:kern w:val="0"/>
          <w:szCs w:val="21"/>
          <w:u w:val="single"/>
        </w:rPr>
        <w:t>1.58</w:t>
      </w:r>
      <w:r w:rsidR="007E4A65" w:rsidRPr="00DF7568">
        <w:rPr>
          <w:rFonts w:ascii="Calibri" w:hAnsi="Calibri" w:hint="eastAsia"/>
          <w:b/>
          <w:color w:val="auto"/>
          <w:kern w:val="0"/>
          <w:szCs w:val="21"/>
          <w:u w:val="single"/>
        </w:rPr>
        <w:t>g</w:t>
      </w:r>
      <w:r w:rsidR="0072278E" w:rsidRPr="00DF7568">
        <w:rPr>
          <w:rFonts w:ascii="Calibri" w:hAnsi="Calibri" w:hint="eastAsia"/>
          <w:b/>
          <w:color w:val="auto"/>
          <w:kern w:val="0"/>
          <w:szCs w:val="21"/>
          <w:u w:val="single"/>
        </w:rPr>
        <w:t>，</w:t>
      </w:r>
      <w:r w:rsidR="00EB3CEE" w:rsidRPr="00DF7568">
        <w:rPr>
          <w:rFonts w:ascii="Calibri" w:hAnsi="Calibri" w:hint="eastAsia"/>
          <w:b/>
          <w:color w:val="auto"/>
          <w:kern w:val="0"/>
          <w:szCs w:val="21"/>
          <w:u w:val="single"/>
        </w:rPr>
        <w:t>折</w:t>
      </w:r>
      <w:r w:rsidR="00EB3CEE" w:rsidRPr="00DF7568">
        <w:rPr>
          <w:rFonts w:ascii="Calibri" w:hAnsi="Calibri" w:hint="eastAsia"/>
          <w:b/>
          <w:color w:val="auto"/>
          <w:kern w:val="0"/>
          <w:szCs w:val="21"/>
          <w:u w:val="single"/>
        </w:rPr>
        <w:t>BOD</w:t>
      </w:r>
      <w:r w:rsidR="00EB3CEE" w:rsidRPr="00DF7568">
        <w:rPr>
          <w:rFonts w:ascii="Calibri" w:hAnsi="Calibri" w:hint="eastAsia"/>
          <w:b/>
          <w:color w:val="auto"/>
          <w:kern w:val="0"/>
          <w:szCs w:val="21"/>
          <w:u w:val="single"/>
          <w:vertAlign w:val="subscript"/>
        </w:rPr>
        <w:t>5</w:t>
      </w:r>
      <w:r w:rsidR="00EB3CEE" w:rsidRPr="00DF7568">
        <w:rPr>
          <w:rFonts w:ascii="Calibri" w:hAnsi="Calibri" w:hint="eastAsia"/>
          <w:b/>
          <w:color w:val="auto"/>
          <w:kern w:val="0"/>
          <w:szCs w:val="21"/>
          <w:u w:val="single"/>
        </w:rPr>
        <w:t>值为</w:t>
      </w:r>
      <w:r w:rsidR="00EB3CEE" w:rsidRPr="00DF7568">
        <w:rPr>
          <w:rFonts w:ascii="Calibri" w:hAnsi="Calibri"/>
          <w:b/>
          <w:color w:val="auto"/>
          <w:kern w:val="0"/>
          <w:szCs w:val="21"/>
          <w:u w:val="single"/>
        </w:rPr>
        <w:t>0.616</w:t>
      </w:r>
      <w:r w:rsidR="00EB3CEE" w:rsidRPr="00DF7568">
        <w:rPr>
          <w:rFonts w:ascii="Calibri" w:hAnsi="Calibri" w:hint="eastAsia"/>
          <w:b/>
          <w:color w:val="auto"/>
          <w:kern w:val="0"/>
          <w:szCs w:val="21"/>
          <w:u w:val="single"/>
        </w:rPr>
        <w:t>g</w:t>
      </w:r>
      <w:r w:rsidR="00EB3CEE" w:rsidRPr="00DF7568">
        <w:rPr>
          <w:rFonts w:ascii="Calibri" w:hAnsi="Calibri" w:hint="eastAsia"/>
          <w:b/>
          <w:color w:val="auto"/>
          <w:kern w:val="0"/>
          <w:szCs w:val="21"/>
          <w:u w:val="single"/>
        </w:rPr>
        <w:t>，</w:t>
      </w:r>
      <w:r w:rsidR="0072278E" w:rsidRPr="00DF7568">
        <w:rPr>
          <w:rFonts w:ascii="Calibri" w:hAnsi="Calibri" w:hint="eastAsia"/>
          <w:b/>
          <w:color w:val="auto"/>
          <w:kern w:val="0"/>
          <w:szCs w:val="21"/>
          <w:u w:val="single"/>
        </w:rPr>
        <w:t>折合</w:t>
      </w:r>
      <w:r w:rsidR="0072278E" w:rsidRPr="00DF7568">
        <w:rPr>
          <w:rFonts w:ascii="Calibri" w:hAnsi="Calibri"/>
          <w:b/>
          <w:color w:val="auto"/>
          <w:kern w:val="0"/>
          <w:szCs w:val="21"/>
          <w:u w:val="single"/>
        </w:rPr>
        <w:t>成</w:t>
      </w:r>
      <w:r w:rsidR="0072278E" w:rsidRPr="00DF7568">
        <w:rPr>
          <w:rFonts w:ascii="Calibri" w:hAnsi="Calibri"/>
          <w:b/>
          <w:color w:val="auto"/>
          <w:kern w:val="0"/>
          <w:szCs w:val="21"/>
          <w:u w:val="single"/>
        </w:rPr>
        <w:t>NH</w:t>
      </w:r>
      <w:r w:rsidR="0072278E" w:rsidRPr="00DF7568">
        <w:rPr>
          <w:rFonts w:ascii="Calibri" w:hAnsi="Calibri"/>
          <w:b/>
          <w:color w:val="auto"/>
          <w:kern w:val="0"/>
          <w:szCs w:val="21"/>
          <w:u w:val="single"/>
          <w:vertAlign w:val="subscript"/>
        </w:rPr>
        <w:t>3</w:t>
      </w:r>
      <w:r w:rsidR="0072278E" w:rsidRPr="00DF7568">
        <w:rPr>
          <w:rFonts w:ascii="Calibri" w:hAnsi="Calibri"/>
          <w:b/>
          <w:color w:val="auto"/>
          <w:kern w:val="0"/>
          <w:szCs w:val="21"/>
          <w:u w:val="single"/>
        </w:rPr>
        <w:t>-N</w:t>
      </w:r>
      <w:r w:rsidR="0072278E" w:rsidRPr="00DF7568">
        <w:rPr>
          <w:rFonts w:ascii="Calibri" w:hAnsi="Calibri" w:hint="eastAsia"/>
          <w:b/>
          <w:color w:val="auto"/>
          <w:kern w:val="0"/>
          <w:szCs w:val="21"/>
          <w:u w:val="single"/>
        </w:rPr>
        <w:t>值</w:t>
      </w:r>
      <w:r w:rsidR="0072278E" w:rsidRPr="00DF7568">
        <w:rPr>
          <w:rFonts w:ascii="Calibri" w:hAnsi="Calibri"/>
          <w:b/>
          <w:color w:val="auto"/>
          <w:kern w:val="0"/>
          <w:szCs w:val="21"/>
          <w:u w:val="single"/>
        </w:rPr>
        <w:t>为</w:t>
      </w:r>
      <w:r w:rsidR="0072278E" w:rsidRPr="00DF7568">
        <w:rPr>
          <w:rFonts w:ascii="Calibri" w:hAnsi="Calibri" w:hint="eastAsia"/>
          <w:b/>
          <w:color w:val="auto"/>
          <w:kern w:val="0"/>
          <w:szCs w:val="21"/>
          <w:u w:val="single"/>
        </w:rPr>
        <w:t>0.</w:t>
      </w:r>
      <w:r w:rsidR="00FC6C84" w:rsidRPr="00DF7568">
        <w:rPr>
          <w:rFonts w:ascii="Calibri" w:hAnsi="Calibri"/>
          <w:b/>
          <w:color w:val="auto"/>
          <w:kern w:val="0"/>
          <w:szCs w:val="21"/>
          <w:u w:val="single"/>
        </w:rPr>
        <w:t>26g</w:t>
      </w:r>
      <w:r w:rsidR="007E4A65" w:rsidRPr="00DF7568">
        <w:rPr>
          <w:rFonts w:ascii="Calibri" w:hAnsi="Calibri" w:hint="eastAsia"/>
          <w:b/>
          <w:color w:val="auto"/>
          <w:kern w:val="0"/>
          <w:szCs w:val="21"/>
          <w:u w:val="single"/>
        </w:rPr>
        <w:t>；</w:t>
      </w:r>
      <w:r w:rsidR="007E4A65" w:rsidRPr="00DF7568">
        <w:rPr>
          <w:rFonts w:ascii="Calibri" w:hAnsi="Calibri" w:hint="eastAsia"/>
          <w:b/>
          <w:color w:val="auto"/>
          <w:kern w:val="0"/>
          <w:szCs w:val="21"/>
          <w:u w:val="single"/>
        </w:rPr>
        <w:t>1g</w:t>
      </w:r>
      <w:r w:rsidR="007E4A65" w:rsidRPr="00DF7568">
        <w:rPr>
          <w:rFonts w:ascii="Calibri" w:hAnsi="Calibri" w:hint="eastAsia"/>
          <w:b/>
          <w:color w:val="auto"/>
          <w:kern w:val="0"/>
          <w:szCs w:val="21"/>
          <w:u w:val="single"/>
        </w:rPr>
        <w:t>环戊酮折</w:t>
      </w:r>
      <w:r w:rsidR="007E4A65" w:rsidRPr="00DF7568">
        <w:rPr>
          <w:rFonts w:ascii="Calibri" w:hAnsi="Calibri" w:hint="eastAsia"/>
          <w:b/>
          <w:color w:val="auto"/>
          <w:kern w:val="0"/>
          <w:szCs w:val="21"/>
          <w:u w:val="single"/>
        </w:rPr>
        <w:t>COD</w:t>
      </w:r>
      <w:r w:rsidR="007E4A65" w:rsidRPr="00DF7568">
        <w:rPr>
          <w:rFonts w:ascii="Calibri" w:hAnsi="Calibri" w:hint="eastAsia"/>
          <w:b/>
          <w:color w:val="auto"/>
          <w:kern w:val="0"/>
          <w:szCs w:val="21"/>
          <w:u w:val="single"/>
        </w:rPr>
        <w:t>值为</w:t>
      </w:r>
      <w:r w:rsidR="007E4A65" w:rsidRPr="00DF7568">
        <w:rPr>
          <w:rFonts w:ascii="Calibri" w:hAnsi="Calibri"/>
          <w:b/>
          <w:color w:val="auto"/>
          <w:kern w:val="0"/>
          <w:szCs w:val="21"/>
          <w:u w:val="single"/>
        </w:rPr>
        <w:t>2.6</w:t>
      </w:r>
      <w:r w:rsidR="007E4A65" w:rsidRPr="00DF7568">
        <w:rPr>
          <w:rFonts w:ascii="Calibri" w:hAnsi="Calibri" w:hint="eastAsia"/>
          <w:b/>
          <w:color w:val="auto"/>
          <w:kern w:val="0"/>
          <w:szCs w:val="21"/>
          <w:u w:val="single"/>
        </w:rPr>
        <w:t>g</w:t>
      </w:r>
      <w:r w:rsidR="007E4A65" w:rsidRPr="00DF7568">
        <w:rPr>
          <w:rFonts w:ascii="Calibri" w:hAnsi="Calibri" w:hint="eastAsia"/>
          <w:b/>
          <w:color w:val="auto"/>
          <w:kern w:val="0"/>
          <w:szCs w:val="21"/>
          <w:u w:val="single"/>
        </w:rPr>
        <w:t>，折</w:t>
      </w:r>
      <w:r w:rsidR="007E4A65" w:rsidRPr="00DF7568">
        <w:rPr>
          <w:rFonts w:ascii="Calibri" w:hAnsi="Calibri" w:hint="eastAsia"/>
          <w:b/>
          <w:color w:val="auto"/>
          <w:kern w:val="0"/>
          <w:szCs w:val="21"/>
          <w:u w:val="single"/>
        </w:rPr>
        <w:t>BOD</w:t>
      </w:r>
      <w:r w:rsidR="007E4A65" w:rsidRPr="00DF7568">
        <w:rPr>
          <w:rFonts w:ascii="Calibri" w:hAnsi="Calibri" w:hint="eastAsia"/>
          <w:b/>
          <w:color w:val="auto"/>
          <w:kern w:val="0"/>
          <w:szCs w:val="21"/>
          <w:u w:val="single"/>
          <w:vertAlign w:val="subscript"/>
        </w:rPr>
        <w:t>5</w:t>
      </w:r>
      <w:r w:rsidR="007E4A65" w:rsidRPr="00DF7568">
        <w:rPr>
          <w:rFonts w:ascii="Calibri" w:hAnsi="Calibri" w:hint="eastAsia"/>
          <w:b/>
          <w:color w:val="auto"/>
          <w:kern w:val="0"/>
          <w:szCs w:val="21"/>
          <w:u w:val="single"/>
        </w:rPr>
        <w:t>值为</w:t>
      </w:r>
      <w:r w:rsidR="007E4A65" w:rsidRPr="00DF7568">
        <w:rPr>
          <w:rFonts w:ascii="Calibri" w:hAnsi="Calibri"/>
          <w:b/>
          <w:color w:val="auto"/>
          <w:kern w:val="0"/>
          <w:szCs w:val="21"/>
          <w:u w:val="single"/>
        </w:rPr>
        <w:t>1</w:t>
      </w:r>
      <w:r w:rsidR="007E4A65" w:rsidRPr="00DF7568">
        <w:rPr>
          <w:rFonts w:ascii="Calibri" w:hAnsi="Calibri" w:hint="eastAsia"/>
          <w:b/>
          <w:color w:val="auto"/>
          <w:kern w:val="0"/>
          <w:szCs w:val="21"/>
          <w:u w:val="single"/>
        </w:rPr>
        <w:t>g</w:t>
      </w:r>
      <w:r w:rsidR="007E4A65" w:rsidRPr="00DF7568">
        <w:rPr>
          <w:rFonts w:ascii="Calibri" w:hAnsi="Calibri" w:hint="eastAsia"/>
          <w:b/>
          <w:color w:val="auto"/>
          <w:kern w:val="0"/>
          <w:szCs w:val="21"/>
          <w:u w:val="single"/>
        </w:rPr>
        <w:t>；</w:t>
      </w:r>
      <w:r w:rsidR="005A256B" w:rsidRPr="00DF7568">
        <w:rPr>
          <w:rFonts w:ascii="Calibri" w:hAnsi="Calibri" w:hint="eastAsia"/>
          <w:b/>
          <w:color w:val="auto"/>
          <w:kern w:val="0"/>
          <w:szCs w:val="21"/>
          <w:u w:val="single"/>
        </w:rPr>
        <w:t>1g</w:t>
      </w:r>
      <w:r w:rsidR="005A256B" w:rsidRPr="00DF7568">
        <w:rPr>
          <w:rFonts w:ascii="Calibri" w:hAnsi="Calibri" w:hint="eastAsia"/>
          <w:b/>
          <w:color w:val="auto"/>
          <w:kern w:val="0"/>
          <w:szCs w:val="21"/>
          <w:u w:val="single"/>
        </w:rPr>
        <w:t>氨折合</w:t>
      </w:r>
      <w:r w:rsidR="005A256B" w:rsidRPr="00DF7568">
        <w:rPr>
          <w:rFonts w:ascii="Calibri" w:hAnsi="Calibri"/>
          <w:b/>
          <w:color w:val="auto"/>
          <w:kern w:val="0"/>
          <w:szCs w:val="21"/>
          <w:u w:val="single"/>
        </w:rPr>
        <w:t>成</w:t>
      </w:r>
      <w:r w:rsidR="005A256B" w:rsidRPr="00DF7568">
        <w:rPr>
          <w:rFonts w:ascii="Calibri" w:hAnsi="Calibri"/>
          <w:b/>
          <w:color w:val="auto"/>
          <w:kern w:val="0"/>
          <w:szCs w:val="21"/>
          <w:u w:val="single"/>
        </w:rPr>
        <w:t>NH</w:t>
      </w:r>
      <w:r w:rsidR="005A256B" w:rsidRPr="00DF7568">
        <w:rPr>
          <w:rFonts w:ascii="Calibri" w:hAnsi="Calibri"/>
          <w:b/>
          <w:color w:val="auto"/>
          <w:kern w:val="0"/>
          <w:szCs w:val="21"/>
          <w:u w:val="single"/>
          <w:vertAlign w:val="subscript"/>
        </w:rPr>
        <w:t>3</w:t>
      </w:r>
      <w:r w:rsidR="005A256B" w:rsidRPr="00DF7568">
        <w:rPr>
          <w:rFonts w:ascii="Calibri" w:hAnsi="Calibri"/>
          <w:b/>
          <w:color w:val="auto"/>
          <w:kern w:val="0"/>
          <w:szCs w:val="21"/>
          <w:u w:val="single"/>
        </w:rPr>
        <w:t>-N</w:t>
      </w:r>
      <w:r w:rsidR="005A256B" w:rsidRPr="00DF7568">
        <w:rPr>
          <w:rFonts w:ascii="Calibri" w:hAnsi="Calibri" w:hint="eastAsia"/>
          <w:b/>
          <w:color w:val="auto"/>
          <w:kern w:val="0"/>
          <w:szCs w:val="21"/>
          <w:u w:val="single"/>
        </w:rPr>
        <w:t>值</w:t>
      </w:r>
      <w:r w:rsidR="005A256B" w:rsidRPr="00DF7568">
        <w:rPr>
          <w:rFonts w:ascii="Calibri" w:hAnsi="Calibri"/>
          <w:b/>
          <w:color w:val="auto"/>
          <w:kern w:val="0"/>
          <w:szCs w:val="21"/>
          <w:u w:val="single"/>
        </w:rPr>
        <w:t>为</w:t>
      </w:r>
      <w:r w:rsidR="00FC6C84" w:rsidRPr="00DF7568">
        <w:rPr>
          <w:rFonts w:ascii="Calibri" w:hAnsi="Calibri"/>
          <w:b/>
          <w:color w:val="auto"/>
          <w:kern w:val="0"/>
          <w:szCs w:val="21"/>
          <w:u w:val="single"/>
        </w:rPr>
        <w:t>0.91</w:t>
      </w:r>
      <w:r w:rsidR="005A256B" w:rsidRPr="00DF7568">
        <w:rPr>
          <w:rFonts w:ascii="Calibri" w:hAnsi="Calibri"/>
          <w:b/>
          <w:color w:val="auto"/>
          <w:kern w:val="0"/>
          <w:szCs w:val="21"/>
          <w:u w:val="single"/>
        </w:rPr>
        <w:t>g</w:t>
      </w:r>
      <w:r w:rsidR="005A256B" w:rsidRPr="00DF7568">
        <w:rPr>
          <w:rFonts w:ascii="Calibri" w:hAnsi="Calibri" w:hint="eastAsia"/>
          <w:b/>
          <w:color w:val="auto"/>
          <w:kern w:val="0"/>
          <w:szCs w:val="21"/>
          <w:u w:val="single"/>
        </w:rPr>
        <w:t>；</w:t>
      </w:r>
      <w:r w:rsidR="003A5CCE" w:rsidRPr="00DF7568">
        <w:rPr>
          <w:rFonts w:ascii="Calibri" w:hAnsi="Calibri" w:hint="eastAsia"/>
          <w:b/>
          <w:color w:val="auto"/>
          <w:kern w:val="0"/>
          <w:szCs w:val="21"/>
          <w:u w:val="single"/>
        </w:rPr>
        <w:t>1g</w:t>
      </w:r>
      <w:r w:rsidR="003A5CCE" w:rsidRPr="00DF7568">
        <w:rPr>
          <w:rFonts w:ascii="Calibri" w:hAnsi="Calibri" w:hint="eastAsia"/>
          <w:b/>
          <w:color w:val="auto"/>
          <w:kern w:val="0"/>
          <w:szCs w:val="21"/>
          <w:u w:val="single"/>
        </w:rPr>
        <w:t>环己亚胺折合</w:t>
      </w:r>
      <w:r w:rsidR="003A5CCE" w:rsidRPr="00DF7568">
        <w:rPr>
          <w:rFonts w:ascii="Calibri" w:hAnsi="Calibri"/>
          <w:b/>
          <w:color w:val="auto"/>
          <w:kern w:val="0"/>
          <w:szCs w:val="21"/>
          <w:u w:val="single"/>
        </w:rPr>
        <w:t>成</w:t>
      </w:r>
      <w:r w:rsidR="003A5CCE" w:rsidRPr="00DF7568">
        <w:rPr>
          <w:rFonts w:ascii="Calibri" w:hAnsi="Calibri" w:hint="eastAsia"/>
          <w:b/>
          <w:color w:val="auto"/>
          <w:kern w:val="0"/>
          <w:szCs w:val="21"/>
          <w:u w:val="single"/>
        </w:rPr>
        <w:t>COD</w:t>
      </w:r>
      <w:r w:rsidR="003A5CCE" w:rsidRPr="00DF7568">
        <w:rPr>
          <w:rFonts w:ascii="Calibri" w:hAnsi="Calibri" w:hint="eastAsia"/>
          <w:b/>
          <w:color w:val="auto"/>
          <w:kern w:val="0"/>
          <w:szCs w:val="21"/>
          <w:u w:val="single"/>
        </w:rPr>
        <w:t>值为</w:t>
      </w:r>
      <w:r w:rsidR="00FC6C84" w:rsidRPr="00DF7568">
        <w:rPr>
          <w:rFonts w:ascii="Calibri" w:hAnsi="Calibri"/>
          <w:b/>
          <w:color w:val="auto"/>
          <w:kern w:val="0"/>
          <w:szCs w:val="21"/>
          <w:u w:val="single"/>
        </w:rPr>
        <w:t>1.45</w:t>
      </w:r>
      <w:r w:rsidR="003A5CCE" w:rsidRPr="00DF7568">
        <w:rPr>
          <w:rFonts w:ascii="Calibri" w:hAnsi="Calibri" w:hint="eastAsia"/>
          <w:b/>
          <w:color w:val="auto"/>
          <w:kern w:val="0"/>
          <w:szCs w:val="21"/>
          <w:u w:val="single"/>
        </w:rPr>
        <w:t>g</w:t>
      </w:r>
      <w:r w:rsidR="003A5CCE" w:rsidRPr="00DF7568">
        <w:rPr>
          <w:rFonts w:ascii="Calibri" w:hAnsi="Calibri" w:hint="eastAsia"/>
          <w:b/>
          <w:color w:val="auto"/>
          <w:kern w:val="0"/>
          <w:szCs w:val="21"/>
          <w:u w:val="single"/>
        </w:rPr>
        <w:t>，折</w:t>
      </w:r>
      <w:r w:rsidR="003A5CCE" w:rsidRPr="00DF7568">
        <w:rPr>
          <w:rFonts w:ascii="Calibri" w:hAnsi="Calibri" w:hint="eastAsia"/>
          <w:b/>
          <w:color w:val="auto"/>
          <w:kern w:val="0"/>
          <w:szCs w:val="21"/>
          <w:u w:val="single"/>
        </w:rPr>
        <w:t>BOD</w:t>
      </w:r>
      <w:r w:rsidR="003A5CCE" w:rsidRPr="00DF7568">
        <w:rPr>
          <w:rFonts w:ascii="Calibri" w:hAnsi="Calibri" w:hint="eastAsia"/>
          <w:b/>
          <w:color w:val="auto"/>
          <w:kern w:val="0"/>
          <w:szCs w:val="21"/>
          <w:u w:val="single"/>
          <w:vertAlign w:val="subscript"/>
        </w:rPr>
        <w:t>5</w:t>
      </w:r>
      <w:r w:rsidR="003A5CCE" w:rsidRPr="00DF7568">
        <w:rPr>
          <w:rFonts w:ascii="Calibri" w:hAnsi="Calibri" w:hint="eastAsia"/>
          <w:b/>
          <w:color w:val="auto"/>
          <w:kern w:val="0"/>
          <w:szCs w:val="21"/>
          <w:u w:val="single"/>
        </w:rPr>
        <w:t>值为</w:t>
      </w:r>
      <w:r w:rsidR="00FC6C84" w:rsidRPr="00DF7568">
        <w:rPr>
          <w:rFonts w:ascii="Calibri" w:hAnsi="Calibri"/>
          <w:b/>
          <w:color w:val="auto"/>
          <w:kern w:val="0"/>
          <w:szCs w:val="21"/>
          <w:u w:val="single"/>
        </w:rPr>
        <w:t>0.87</w:t>
      </w:r>
      <w:r w:rsidR="003A5CCE" w:rsidRPr="00DF7568">
        <w:rPr>
          <w:rFonts w:ascii="Calibri" w:hAnsi="Calibri" w:hint="eastAsia"/>
          <w:b/>
          <w:color w:val="auto"/>
          <w:kern w:val="0"/>
          <w:szCs w:val="21"/>
          <w:u w:val="single"/>
        </w:rPr>
        <w:t>g</w:t>
      </w:r>
      <w:r w:rsidR="003A5CCE" w:rsidRPr="00DF7568">
        <w:rPr>
          <w:rFonts w:ascii="Calibri" w:hAnsi="Calibri" w:hint="eastAsia"/>
          <w:b/>
          <w:color w:val="auto"/>
          <w:kern w:val="0"/>
          <w:szCs w:val="21"/>
          <w:u w:val="single"/>
        </w:rPr>
        <w:t>，</w:t>
      </w:r>
      <w:r w:rsidR="005A256B" w:rsidRPr="00DF7568">
        <w:rPr>
          <w:rFonts w:ascii="Calibri" w:hAnsi="Calibri" w:hint="eastAsia"/>
          <w:b/>
          <w:color w:val="auto"/>
          <w:kern w:val="0"/>
          <w:szCs w:val="21"/>
          <w:u w:val="single"/>
        </w:rPr>
        <w:t>折合</w:t>
      </w:r>
      <w:r w:rsidR="005A256B" w:rsidRPr="00DF7568">
        <w:rPr>
          <w:rFonts w:ascii="Calibri" w:hAnsi="Calibri"/>
          <w:b/>
          <w:color w:val="auto"/>
          <w:kern w:val="0"/>
          <w:szCs w:val="21"/>
          <w:u w:val="single"/>
        </w:rPr>
        <w:t>成</w:t>
      </w:r>
      <w:r w:rsidR="005A256B" w:rsidRPr="00DF7568">
        <w:rPr>
          <w:rFonts w:ascii="Calibri" w:hAnsi="Calibri"/>
          <w:b/>
          <w:color w:val="auto"/>
          <w:kern w:val="0"/>
          <w:szCs w:val="21"/>
          <w:u w:val="single"/>
        </w:rPr>
        <w:t>NH</w:t>
      </w:r>
      <w:r w:rsidR="005A256B" w:rsidRPr="00DF7568">
        <w:rPr>
          <w:rFonts w:ascii="Calibri" w:hAnsi="Calibri"/>
          <w:b/>
          <w:color w:val="auto"/>
          <w:kern w:val="0"/>
          <w:szCs w:val="21"/>
          <w:u w:val="single"/>
          <w:vertAlign w:val="subscript"/>
        </w:rPr>
        <w:t>3</w:t>
      </w:r>
      <w:r w:rsidR="005A256B" w:rsidRPr="00DF7568">
        <w:rPr>
          <w:rFonts w:ascii="Calibri" w:hAnsi="Calibri"/>
          <w:b/>
          <w:color w:val="auto"/>
          <w:kern w:val="0"/>
          <w:szCs w:val="21"/>
          <w:u w:val="single"/>
        </w:rPr>
        <w:t>-N</w:t>
      </w:r>
      <w:r w:rsidR="005A256B" w:rsidRPr="00DF7568">
        <w:rPr>
          <w:rFonts w:ascii="Calibri" w:hAnsi="Calibri" w:hint="eastAsia"/>
          <w:b/>
          <w:color w:val="auto"/>
          <w:kern w:val="0"/>
          <w:szCs w:val="21"/>
          <w:u w:val="single"/>
        </w:rPr>
        <w:t>值</w:t>
      </w:r>
      <w:r w:rsidR="005A256B" w:rsidRPr="00DF7568">
        <w:rPr>
          <w:rFonts w:ascii="Calibri" w:hAnsi="Calibri"/>
          <w:b/>
          <w:color w:val="auto"/>
          <w:kern w:val="0"/>
          <w:szCs w:val="21"/>
          <w:u w:val="single"/>
        </w:rPr>
        <w:t>为</w:t>
      </w:r>
      <w:r w:rsidR="00FC6C84" w:rsidRPr="00DF7568">
        <w:rPr>
          <w:rFonts w:ascii="Calibri" w:hAnsi="Calibri"/>
          <w:b/>
          <w:color w:val="auto"/>
          <w:kern w:val="0"/>
          <w:szCs w:val="21"/>
          <w:u w:val="single"/>
        </w:rPr>
        <w:t>0.15</w:t>
      </w:r>
      <w:r w:rsidR="005A256B" w:rsidRPr="00DF7568">
        <w:rPr>
          <w:rFonts w:ascii="Calibri" w:hAnsi="Calibri"/>
          <w:b/>
          <w:color w:val="auto"/>
          <w:kern w:val="0"/>
          <w:szCs w:val="21"/>
          <w:u w:val="single"/>
        </w:rPr>
        <w:t>g</w:t>
      </w:r>
      <w:r w:rsidR="00255CCA" w:rsidRPr="00DF7568">
        <w:rPr>
          <w:rFonts w:ascii="Calibri" w:hAnsi="Calibri" w:hint="eastAsia"/>
          <w:b/>
          <w:color w:val="auto"/>
          <w:kern w:val="0"/>
          <w:szCs w:val="21"/>
          <w:u w:val="single"/>
        </w:rPr>
        <w:t>；</w:t>
      </w:r>
      <w:r w:rsidR="0050299D" w:rsidRPr="00DF7568">
        <w:rPr>
          <w:rFonts w:ascii="Calibri" w:hAnsi="Calibri" w:hint="eastAsia"/>
          <w:b/>
          <w:color w:val="auto"/>
          <w:kern w:val="0"/>
          <w:szCs w:val="21"/>
          <w:u w:val="single"/>
        </w:rPr>
        <w:t>1g</w:t>
      </w:r>
      <w:r w:rsidR="0050299D" w:rsidRPr="00DF7568">
        <w:rPr>
          <w:rFonts w:ascii="Calibri" w:hAnsi="Calibri" w:hint="eastAsia"/>
          <w:b/>
          <w:snapToGrid w:val="0"/>
          <w:color w:val="auto"/>
          <w:szCs w:val="21"/>
          <w:u w:val="single"/>
        </w:rPr>
        <w:t>癸二胺</w:t>
      </w:r>
      <w:r w:rsidR="0050299D" w:rsidRPr="00DF7568">
        <w:rPr>
          <w:rFonts w:ascii="Calibri" w:hAnsi="Calibri" w:hint="eastAsia"/>
          <w:b/>
          <w:color w:val="auto"/>
          <w:kern w:val="0"/>
          <w:szCs w:val="21"/>
          <w:u w:val="single"/>
        </w:rPr>
        <w:t>折</w:t>
      </w:r>
      <w:r w:rsidR="0050299D" w:rsidRPr="00DF7568">
        <w:rPr>
          <w:rFonts w:ascii="Calibri" w:hAnsi="Calibri" w:hint="eastAsia"/>
          <w:b/>
          <w:color w:val="auto"/>
          <w:kern w:val="0"/>
          <w:szCs w:val="21"/>
          <w:u w:val="single"/>
        </w:rPr>
        <w:t>COD</w:t>
      </w:r>
      <w:r w:rsidR="0050299D" w:rsidRPr="00DF7568">
        <w:rPr>
          <w:rFonts w:ascii="Calibri" w:hAnsi="Calibri" w:hint="eastAsia"/>
          <w:b/>
          <w:color w:val="auto"/>
          <w:kern w:val="0"/>
          <w:szCs w:val="21"/>
          <w:u w:val="single"/>
        </w:rPr>
        <w:t>值为</w:t>
      </w:r>
      <w:r w:rsidR="0050299D" w:rsidRPr="00DF7568">
        <w:rPr>
          <w:rFonts w:ascii="Calibri" w:hAnsi="Calibri"/>
          <w:b/>
          <w:color w:val="auto"/>
          <w:kern w:val="0"/>
          <w:szCs w:val="21"/>
          <w:u w:val="single"/>
        </w:rPr>
        <w:t>2.9</w:t>
      </w:r>
      <w:r w:rsidR="0050299D" w:rsidRPr="00DF7568">
        <w:rPr>
          <w:rFonts w:ascii="Calibri" w:hAnsi="Calibri" w:hint="eastAsia"/>
          <w:b/>
          <w:color w:val="auto"/>
          <w:kern w:val="0"/>
          <w:szCs w:val="21"/>
          <w:u w:val="single"/>
        </w:rPr>
        <w:t>g</w:t>
      </w:r>
      <w:r w:rsidR="0050299D" w:rsidRPr="00DF7568">
        <w:rPr>
          <w:rFonts w:ascii="Calibri" w:hAnsi="Calibri" w:hint="eastAsia"/>
          <w:b/>
          <w:color w:val="auto"/>
          <w:kern w:val="0"/>
          <w:szCs w:val="21"/>
          <w:u w:val="single"/>
        </w:rPr>
        <w:t>，折</w:t>
      </w:r>
      <w:r w:rsidR="0050299D" w:rsidRPr="00DF7568">
        <w:rPr>
          <w:rFonts w:ascii="Calibri" w:hAnsi="Calibri" w:hint="eastAsia"/>
          <w:b/>
          <w:color w:val="auto"/>
          <w:kern w:val="0"/>
          <w:szCs w:val="21"/>
          <w:u w:val="single"/>
        </w:rPr>
        <w:t>BOD</w:t>
      </w:r>
      <w:r w:rsidR="0050299D" w:rsidRPr="00DF7568">
        <w:rPr>
          <w:rFonts w:ascii="Calibri" w:hAnsi="Calibri" w:hint="eastAsia"/>
          <w:b/>
          <w:color w:val="auto"/>
          <w:kern w:val="0"/>
          <w:szCs w:val="21"/>
          <w:u w:val="single"/>
          <w:vertAlign w:val="subscript"/>
        </w:rPr>
        <w:t>5</w:t>
      </w:r>
      <w:r w:rsidR="0050299D" w:rsidRPr="00DF7568">
        <w:rPr>
          <w:rFonts w:ascii="Calibri" w:hAnsi="Calibri" w:hint="eastAsia"/>
          <w:b/>
          <w:color w:val="auto"/>
          <w:kern w:val="0"/>
          <w:szCs w:val="21"/>
          <w:u w:val="single"/>
        </w:rPr>
        <w:t>值为</w:t>
      </w:r>
      <w:r w:rsidR="00FC6C84" w:rsidRPr="00DF7568">
        <w:rPr>
          <w:rFonts w:ascii="Calibri" w:hAnsi="Calibri"/>
          <w:b/>
          <w:color w:val="auto"/>
          <w:kern w:val="0"/>
          <w:szCs w:val="21"/>
          <w:u w:val="single"/>
        </w:rPr>
        <w:t>1.74</w:t>
      </w:r>
      <w:r w:rsidR="0050299D" w:rsidRPr="00DF7568">
        <w:rPr>
          <w:rFonts w:ascii="Calibri" w:hAnsi="Calibri" w:hint="eastAsia"/>
          <w:b/>
          <w:color w:val="auto"/>
          <w:kern w:val="0"/>
          <w:szCs w:val="21"/>
          <w:u w:val="single"/>
        </w:rPr>
        <w:t>g</w:t>
      </w:r>
      <w:r w:rsidR="00FC6C84" w:rsidRPr="00DF7568">
        <w:rPr>
          <w:rFonts w:ascii="Calibri" w:hAnsi="Calibri" w:hint="eastAsia"/>
          <w:b/>
          <w:color w:val="auto"/>
          <w:kern w:val="0"/>
          <w:szCs w:val="21"/>
          <w:u w:val="single"/>
        </w:rPr>
        <w:t>，折合</w:t>
      </w:r>
      <w:r w:rsidR="00FC6C84" w:rsidRPr="00DF7568">
        <w:rPr>
          <w:rFonts w:ascii="Calibri" w:hAnsi="Calibri"/>
          <w:b/>
          <w:color w:val="auto"/>
          <w:kern w:val="0"/>
          <w:szCs w:val="21"/>
          <w:u w:val="single"/>
        </w:rPr>
        <w:t>成</w:t>
      </w:r>
      <w:r w:rsidR="00FC6C84" w:rsidRPr="00DF7568">
        <w:rPr>
          <w:rFonts w:ascii="Calibri" w:hAnsi="Calibri"/>
          <w:b/>
          <w:color w:val="auto"/>
          <w:kern w:val="0"/>
          <w:szCs w:val="21"/>
          <w:u w:val="single"/>
        </w:rPr>
        <w:t>NH</w:t>
      </w:r>
      <w:r w:rsidR="00FC6C84" w:rsidRPr="00DF7568">
        <w:rPr>
          <w:rFonts w:ascii="Calibri" w:hAnsi="Calibri"/>
          <w:b/>
          <w:color w:val="auto"/>
          <w:kern w:val="0"/>
          <w:szCs w:val="21"/>
          <w:u w:val="single"/>
          <w:vertAlign w:val="subscript"/>
        </w:rPr>
        <w:t>3</w:t>
      </w:r>
      <w:r w:rsidR="00FC6C84" w:rsidRPr="00DF7568">
        <w:rPr>
          <w:rFonts w:ascii="Calibri" w:hAnsi="Calibri"/>
          <w:b/>
          <w:color w:val="auto"/>
          <w:kern w:val="0"/>
          <w:szCs w:val="21"/>
          <w:u w:val="single"/>
        </w:rPr>
        <w:t>-N</w:t>
      </w:r>
      <w:r w:rsidR="00FC6C84" w:rsidRPr="00DF7568">
        <w:rPr>
          <w:rFonts w:ascii="Calibri" w:hAnsi="Calibri" w:hint="eastAsia"/>
          <w:b/>
          <w:color w:val="auto"/>
          <w:kern w:val="0"/>
          <w:szCs w:val="21"/>
          <w:u w:val="single"/>
        </w:rPr>
        <w:t>值</w:t>
      </w:r>
      <w:r w:rsidR="00FC6C84" w:rsidRPr="00DF7568">
        <w:rPr>
          <w:rFonts w:ascii="Calibri" w:hAnsi="Calibri"/>
          <w:b/>
          <w:color w:val="auto"/>
          <w:kern w:val="0"/>
          <w:szCs w:val="21"/>
          <w:u w:val="single"/>
        </w:rPr>
        <w:t>为</w:t>
      </w:r>
      <w:r w:rsidR="00FC6C84" w:rsidRPr="00DF7568">
        <w:rPr>
          <w:rFonts w:ascii="Calibri" w:hAnsi="Calibri"/>
          <w:b/>
          <w:color w:val="auto"/>
          <w:kern w:val="0"/>
          <w:szCs w:val="21"/>
          <w:u w:val="single"/>
        </w:rPr>
        <w:t>0.1</w:t>
      </w:r>
      <w:r w:rsidR="0042655E" w:rsidRPr="00DF7568">
        <w:rPr>
          <w:rFonts w:ascii="Calibri" w:hAnsi="Calibri"/>
          <w:b/>
          <w:color w:val="auto"/>
          <w:kern w:val="0"/>
          <w:szCs w:val="21"/>
          <w:u w:val="single"/>
        </w:rPr>
        <w:t>8</w:t>
      </w:r>
      <w:r w:rsidR="00FC6C84" w:rsidRPr="00DF7568">
        <w:rPr>
          <w:rFonts w:ascii="Calibri" w:hAnsi="Calibri"/>
          <w:b/>
          <w:color w:val="auto"/>
          <w:kern w:val="0"/>
          <w:szCs w:val="21"/>
          <w:u w:val="single"/>
        </w:rPr>
        <w:t>g</w:t>
      </w:r>
      <w:r w:rsidR="0050299D" w:rsidRPr="00DF7568">
        <w:rPr>
          <w:rFonts w:ascii="Calibri" w:hAnsi="Calibri" w:hint="eastAsia"/>
          <w:b/>
          <w:color w:val="auto"/>
          <w:kern w:val="0"/>
          <w:szCs w:val="21"/>
          <w:u w:val="single"/>
        </w:rPr>
        <w:t>；</w:t>
      </w:r>
      <w:r w:rsidR="0042655E" w:rsidRPr="00DF7568">
        <w:rPr>
          <w:rFonts w:ascii="Calibri" w:hAnsi="Calibri" w:hint="eastAsia"/>
          <w:b/>
          <w:color w:val="auto"/>
          <w:kern w:val="0"/>
          <w:szCs w:val="21"/>
          <w:u w:val="single"/>
        </w:rPr>
        <w:t>1g</w:t>
      </w:r>
      <w:r w:rsidR="0042655E" w:rsidRPr="00DF7568">
        <w:rPr>
          <w:rFonts w:ascii="Calibri" w:hAnsi="Calibri" w:hint="eastAsia"/>
          <w:b/>
          <w:snapToGrid w:val="0"/>
          <w:color w:val="auto"/>
          <w:szCs w:val="21"/>
          <w:u w:val="single"/>
        </w:rPr>
        <w:t>癸二酸</w:t>
      </w:r>
      <w:r w:rsidR="0042655E" w:rsidRPr="00DF7568">
        <w:rPr>
          <w:rFonts w:ascii="Calibri" w:hAnsi="Calibri" w:hint="eastAsia"/>
          <w:b/>
          <w:color w:val="auto"/>
          <w:kern w:val="0"/>
          <w:szCs w:val="21"/>
          <w:u w:val="single"/>
        </w:rPr>
        <w:t>折</w:t>
      </w:r>
      <w:r w:rsidR="0042655E" w:rsidRPr="00DF7568">
        <w:rPr>
          <w:rFonts w:ascii="Calibri" w:hAnsi="Calibri" w:hint="eastAsia"/>
          <w:b/>
          <w:color w:val="auto"/>
          <w:kern w:val="0"/>
          <w:szCs w:val="21"/>
          <w:u w:val="single"/>
        </w:rPr>
        <w:t>COD</w:t>
      </w:r>
      <w:r w:rsidR="0042655E" w:rsidRPr="00DF7568">
        <w:rPr>
          <w:rFonts w:ascii="Calibri" w:hAnsi="Calibri" w:hint="eastAsia"/>
          <w:b/>
          <w:color w:val="auto"/>
          <w:kern w:val="0"/>
          <w:szCs w:val="21"/>
          <w:u w:val="single"/>
        </w:rPr>
        <w:t>值为</w:t>
      </w:r>
      <w:r w:rsidR="0042655E" w:rsidRPr="00DF7568">
        <w:rPr>
          <w:rFonts w:ascii="Calibri" w:hAnsi="Calibri"/>
          <w:b/>
          <w:color w:val="auto"/>
          <w:kern w:val="0"/>
          <w:szCs w:val="21"/>
          <w:u w:val="single"/>
        </w:rPr>
        <w:t>1.18</w:t>
      </w:r>
      <w:r w:rsidR="0042655E" w:rsidRPr="00DF7568">
        <w:rPr>
          <w:rFonts w:ascii="Calibri" w:hAnsi="Calibri" w:hint="eastAsia"/>
          <w:b/>
          <w:color w:val="auto"/>
          <w:kern w:val="0"/>
          <w:szCs w:val="21"/>
          <w:u w:val="single"/>
        </w:rPr>
        <w:t>g</w:t>
      </w:r>
      <w:r w:rsidR="0042655E" w:rsidRPr="00DF7568">
        <w:rPr>
          <w:rFonts w:ascii="Calibri" w:hAnsi="Calibri" w:hint="eastAsia"/>
          <w:b/>
          <w:color w:val="auto"/>
          <w:kern w:val="0"/>
          <w:szCs w:val="21"/>
          <w:u w:val="single"/>
        </w:rPr>
        <w:t>，折</w:t>
      </w:r>
      <w:r w:rsidR="0042655E" w:rsidRPr="00DF7568">
        <w:rPr>
          <w:rFonts w:ascii="Calibri" w:hAnsi="Calibri" w:hint="eastAsia"/>
          <w:b/>
          <w:color w:val="auto"/>
          <w:kern w:val="0"/>
          <w:szCs w:val="21"/>
          <w:u w:val="single"/>
        </w:rPr>
        <w:t>BOD</w:t>
      </w:r>
      <w:r w:rsidR="0042655E" w:rsidRPr="00DF7568">
        <w:rPr>
          <w:rFonts w:ascii="Calibri" w:hAnsi="Calibri" w:hint="eastAsia"/>
          <w:b/>
          <w:color w:val="auto"/>
          <w:kern w:val="0"/>
          <w:szCs w:val="21"/>
          <w:u w:val="single"/>
          <w:vertAlign w:val="subscript"/>
        </w:rPr>
        <w:t>5</w:t>
      </w:r>
      <w:r w:rsidR="0042655E" w:rsidRPr="00DF7568">
        <w:rPr>
          <w:rFonts w:ascii="Calibri" w:hAnsi="Calibri" w:hint="eastAsia"/>
          <w:b/>
          <w:color w:val="auto"/>
          <w:kern w:val="0"/>
          <w:szCs w:val="21"/>
          <w:u w:val="single"/>
        </w:rPr>
        <w:t>值为</w:t>
      </w:r>
      <w:r w:rsidR="0042655E" w:rsidRPr="00DF7568">
        <w:rPr>
          <w:rFonts w:ascii="Calibri" w:hAnsi="Calibri"/>
          <w:b/>
          <w:color w:val="auto"/>
          <w:kern w:val="0"/>
          <w:szCs w:val="21"/>
          <w:u w:val="single"/>
        </w:rPr>
        <w:t>0.70</w:t>
      </w:r>
      <w:r w:rsidR="0042655E" w:rsidRPr="00DF7568">
        <w:rPr>
          <w:rFonts w:ascii="Calibri" w:hAnsi="Calibri" w:hint="eastAsia"/>
          <w:b/>
          <w:color w:val="auto"/>
          <w:kern w:val="0"/>
          <w:szCs w:val="21"/>
          <w:u w:val="single"/>
        </w:rPr>
        <w:t>g</w:t>
      </w:r>
      <w:r w:rsidR="0042655E" w:rsidRPr="00DF7568">
        <w:rPr>
          <w:rFonts w:ascii="Calibri" w:hAnsi="Calibri" w:hint="eastAsia"/>
          <w:b/>
          <w:color w:val="auto"/>
          <w:kern w:val="0"/>
          <w:szCs w:val="21"/>
          <w:u w:val="single"/>
        </w:rPr>
        <w:t>；</w:t>
      </w:r>
      <w:r w:rsidR="0042655E" w:rsidRPr="00DF7568">
        <w:rPr>
          <w:rFonts w:ascii="Calibri" w:hAnsi="Calibri" w:hint="eastAsia"/>
          <w:b/>
          <w:snapToGrid w:val="0"/>
          <w:color w:val="auto"/>
          <w:szCs w:val="21"/>
          <w:u w:val="single"/>
        </w:rPr>
        <w:t>十二内</w:t>
      </w:r>
      <w:r w:rsidR="0042655E" w:rsidRPr="00DF7568">
        <w:rPr>
          <w:rFonts w:ascii="Calibri" w:hAnsi="Calibri"/>
          <w:b/>
          <w:snapToGrid w:val="0"/>
          <w:color w:val="auto"/>
          <w:szCs w:val="21"/>
          <w:u w:val="single"/>
        </w:rPr>
        <w:t>酰胺</w:t>
      </w:r>
      <w:r w:rsidR="0042655E" w:rsidRPr="00DF7568">
        <w:rPr>
          <w:rFonts w:ascii="Calibri" w:hAnsi="Calibri" w:hint="eastAsia"/>
          <w:b/>
          <w:color w:val="auto"/>
          <w:kern w:val="0"/>
          <w:szCs w:val="21"/>
          <w:u w:val="single"/>
        </w:rPr>
        <w:t>折</w:t>
      </w:r>
      <w:r w:rsidR="0042655E" w:rsidRPr="00DF7568">
        <w:rPr>
          <w:rFonts w:ascii="Calibri" w:hAnsi="Calibri" w:hint="eastAsia"/>
          <w:b/>
          <w:color w:val="auto"/>
          <w:kern w:val="0"/>
          <w:szCs w:val="21"/>
          <w:u w:val="single"/>
        </w:rPr>
        <w:t>COD</w:t>
      </w:r>
      <w:r w:rsidR="0042655E" w:rsidRPr="00DF7568">
        <w:rPr>
          <w:rFonts w:ascii="Calibri" w:hAnsi="Calibri" w:hint="eastAsia"/>
          <w:b/>
          <w:color w:val="auto"/>
          <w:kern w:val="0"/>
          <w:szCs w:val="21"/>
          <w:u w:val="single"/>
        </w:rPr>
        <w:t>值为</w:t>
      </w:r>
      <w:r w:rsidR="0042655E" w:rsidRPr="00DF7568">
        <w:rPr>
          <w:rFonts w:ascii="Calibri" w:hAnsi="Calibri"/>
          <w:b/>
          <w:color w:val="auto"/>
          <w:kern w:val="0"/>
          <w:szCs w:val="21"/>
          <w:u w:val="single"/>
        </w:rPr>
        <w:t>2.76</w:t>
      </w:r>
      <w:r w:rsidR="0042655E" w:rsidRPr="00DF7568">
        <w:rPr>
          <w:rFonts w:ascii="Calibri" w:hAnsi="Calibri" w:hint="eastAsia"/>
          <w:b/>
          <w:color w:val="auto"/>
          <w:kern w:val="0"/>
          <w:szCs w:val="21"/>
          <w:u w:val="single"/>
        </w:rPr>
        <w:t>g</w:t>
      </w:r>
      <w:r w:rsidR="0042655E" w:rsidRPr="00DF7568">
        <w:rPr>
          <w:rFonts w:ascii="Calibri" w:hAnsi="Calibri" w:hint="eastAsia"/>
          <w:b/>
          <w:color w:val="auto"/>
          <w:kern w:val="0"/>
          <w:szCs w:val="21"/>
          <w:u w:val="single"/>
        </w:rPr>
        <w:t>，折</w:t>
      </w:r>
      <w:r w:rsidR="0042655E" w:rsidRPr="00DF7568">
        <w:rPr>
          <w:rFonts w:ascii="Calibri" w:hAnsi="Calibri" w:hint="eastAsia"/>
          <w:b/>
          <w:color w:val="auto"/>
          <w:kern w:val="0"/>
          <w:szCs w:val="21"/>
          <w:u w:val="single"/>
        </w:rPr>
        <w:t>BOD</w:t>
      </w:r>
      <w:r w:rsidR="0042655E" w:rsidRPr="00DF7568">
        <w:rPr>
          <w:rFonts w:ascii="Calibri" w:hAnsi="Calibri" w:hint="eastAsia"/>
          <w:b/>
          <w:color w:val="auto"/>
          <w:kern w:val="0"/>
          <w:szCs w:val="21"/>
          <w:u w:val="single"/>
          <w:vertAlign w:val="subscript"/>
        </w:rPr>
        <w:t>5</w:t>
      </w:r>
      <w:r w:rsidR="0042655E" w:rsidRPr="00DF7568">
        <w:rPr>
          <w:rFonts w:ascii="Calibri" w:hAnsi="Calibri" w:hint="eastAsia"/>
          <w:b/>
          <w:color w:val="auto"/>
          <w:kern w:val="0"/>
          <w:szCs w:val="21"/>
          <w:u w:val="single"/>
        </w:rPr>
        <w:t>值为</w:t>
      </w:r>
      <w:r w:rsidR="0042655E" w:rsidRPr="00DF7568">
        <w:rPr>
          <w:rFonts w:ascii="Calibri" w:hAnsi="Calibri"/>
          <w:b/>
          <w:color w:val="auto"/>
          <w:kern w:val="0"/>
          <w:szCs w:val="21"/>
          <w:u w:val="single"/>
        </w:rPr>
        <w:t>1.65</w:t>
      </w:r>
      <w:r w:rsidR="0042655E" w:rsidRPr="00DF7568">
        <w:rPr>
          <w:rFonts w:ascii="Calibri" w:hAnsi="Calibri" w:hint="eastAsia"/>
          <w:b/>
          <w:color w:val="auto"/>
          <w:kern w:val="0"/>
          <w:szCs w:val="21"/>
          <w:u w:val="single"/>
        </w:rPr>
        <w:t>g</w:t>
      </w:r>
      <w:r w:rsidR="0042655E" w:rsidRPr="00DF7568">
        <w:rPr>
          <w:rFonts w:ascii="Calibri" w:hAnsi="Calibri" w:hint="eastAsia"/>
          <w:b/>
          <w:color w:val="auto"/>
          <w:kern w:val="0"/>
          <w:szCs w:val="21"/>
          <w:u w:val="single"/>
        </w:rPr>
        <w:t>，折合</w:t>
      </w:r>
      <w:r w:rsidR="0042655E" w:rsidRPr="00DF7568">
        <w:rPr>
          <w:rFonts w:ascii="Calibri" w:hAnsi="Calibri"/>
          <w:b/>
          <w:color w:val="auto"/>
          <w:kern w:val="0"/>
          <w:szCs w:val="21"/>
          <w:u w:val="single"/>
        </w:rPr>
        <w:t>成</w:t>
      </w:r>
      <w:r w:rsidR="0042655E" w:rsidRPr="00DF7568">
        <w:rPr>
          <w:rFonts w:ascii="Calibri" w:hAnsi="Calibri"/>
          <w:b/>
          <w:color w:val="auto"/>
          <w:kern w:val="0"/>
          <w:szCs w:val="21"/>
          <w:u w:val="single"/>
        </w:rPr>
        <w:t>NH</w:t>
      </w:r>
      <w:r w:rsidR="0042655E" w:rsidRPr="00DF7568">
        <w:rPr>
          <w:rFonts w:ascii="Calibri" w:hAnsi="Calibri"/>
          <w:b/>
          <w:color w:val="auto"/>
          <w:kern w:val="0"/>
          <w:szCs w:val="21"/>
          <w:u w:val="single"/>
          <w:vertAlign w:val="subscript"/>
        </w:rPr>
        <w:t>3</w:t>
      </w:r>
      <w:r w:rsidR="0042655E" w:rsidRPr="00DF7568">
        <w:rPr>
          <w:rFonts w:ascii="Calibri" w:hAnsi="Calibri"/>
          <w:b/>
          <w:color w:val="auto"/>
          <w:kern w:val="0"/>
          <w:szCs w:val="21"/>
          <w:u w:val="single"/>
        </w:rPr>
        <w:t>-N</w:t>
      </w:r>
      <w:r w:rsidR="0042655E" w:rsidRPr="00DF7568">
        <w:rPr>
          <w:rFonts w:ascii="Calibri" w:hAnsi="Calibri" w:hint="eastAsia"/>
          <w:b/>
          <w:color w:val="auto"/>
          <w:kern w:val="0"/>
          <w:szCs w:val="21"/>
          <w:u w:val="single"/>
        </w:rPr>
        <w:t>值</w:t>
      </w:r>
      <w:r w:rsidR="0042655E" w:rsidRPr="00DF7568">
        <w:rPr>
          <w:rFonts w:ascii="Calibri" w:hAnsi="Calibri"/>
          <w:b/>
          <w:color w:val="auto"/>
          <w:kern w:val="0"/>
          <w:szCs w:val="21"/>
          <w:u w:val="single"/>
        </w:rPr>
        <w:t>为</w:t>
      </w:r>
      <w:r w:rsidR="0042655E" w:rsidRPr="00DF7568">
        <w:rPr>
          <w:rFonts w:ascii="Calibri" w:hAnsi="Calibri"/>
          <w:b/>
          <w:color w:val="auto"/>
          <w:kern w:val="0"/>
          <w:szCs w:val="21"/>
          <w:u w:val="single"/>
        </w:rPr>
        <w:t>0.08g</w:t>
      </w:r>
      <w:r w:rsidR="0072278E" w:rsidRPr="00DF7568">
        <w:rPr>
          <w:rFonts w:ascii="Calibri" w:hAnsi="Calibri" w:hint="eastAsia"/>
          <w:b/>
          <w:color w:val="auto"/>
          <w:kern w:val="0"/>
          <w:szCs w:val="21"/>
          <w:u w:val="single"/>
        </w:rPr>
        <w:t>。</w:t>
      </w:r>
    </w:p>
    <w:p w14:paraId="3A8DE9CF" w14:textId="77777777" w:rsidR="0042655E" w:rsidRDefault="0072278E" w:rsidP="00DB3F27">
      <w:pPr>
        <w:pStyle w:val="00"/>
        <w:rPr>
          <w:rFonts w:ascii="Calibri" w:hAnsi="Calibri"/>
          <w:color w:val="auto"/>
        </w:rPr>
      </w:pPr>
      <w:r>
        <w:rPr>
          <w:rFonts w:ascii="Calibri" w:hAnsi="Calibri" w:hint="eastAsia"/>
          <w:color w:val="auto"/>
          <w:kern w:val="0"/>
          <w:szCs w:val="21"/>
        </w:rPr>
        <w:lastRenderedPageBreak/>
        <w:t>由上述</w:t>
      </w:r>
      <w:r>
        <w:rPr>
          <w:rFonts w:ascii="Calibri" w:hAnsi="Calibri"/>
          <w:color w:val="auto"/>
          <w:kern w:val="0"/>
          <w:szCs w:val="21"/>
        </w:rPr>
        <w:t>分析可知，一期工程</w:t>
      </w:r>
      <w:r>
        <w:rPr>
          <w:rFonts w:ascii="Calibri" w:hAnsi="Calibri" w:hint="eastAsia"/>
          <w:color w:val="auto"/>
          <w:kern w:val="0"/>
          <w:szCs w:val="21"/>
        </w:rPr>
        <w:t>冷凝</w:t>
      </w:r>
      <w:r>
        <w:rPr>
          <w:rFonts w:ascii="Calibri" w:hAnsi="Calibri"/>
          <w:color w:val="auto"/>
          <w:kern w:val="0"/>
          <w:szCs w:val="21"/>
        </w:rPr>
        <w:t>废水中</w:t>
      </w:r>
      <w:r w:rsidR="0027293F">
        <w:rPr>
          <w:rFonts w:ascii="Calibri" w:hAnsi="Calibri" w:hint="eastAsia"/>
          <w:color w:val="auto"/>
          <w:kern w:val="0"/>
          <w:szCs w:val="21"/>
        </w:rPr>
        <w:t>COD</w:t>
      </w:r>
      <w:r w:rsidR="0027293F">
        <w:rPr>
          <w:rFonts w:ascii="Calibri" w:hAnsi="Calibri"/>
          <w:color w:val="auto"/>
          <w:kern w:val="0"/>
          <w:szCs w:val="21"/>
        </w:rPr>
        <w:t>的产生</w:t>
      </w:r>
      <w:r w:rsidR="0027293F">
        <w:rPr>
          <w:rFonts w:ascii="Calibri" w:hAnsi="Calibri" w:hint="eastAsia"/>
          <w:color w:val="auto"/>
          <w:kern w:val="0"/>
          <w:szCs w:val="21"/>
        </w:rPr>
        <w:t>量</w:t>
      </w:r>
      <w:r w:rsidR="0027293F">
        <w:rPr>
          <w:rFonts w:ascii="Calibri" w:hAnsi="Calibri"/>
          <w:color w:val="auto"/>
          <w:kern w:val="0"/>
          <w:szCs w:val="21"/>
        </w:rPr>
        <w:t>为</w:t>
      </w:r>
      <w:r w:rsidR="001C24B2">
        <w:rPr>
          <w:rFonts w:ascii="Calibri" w:hAnsi="Calibri"/>
          <w:color w:val="auto"/>
          <w:kern w:val="0"/>
          <w:szCs w:val="21"/>
        </w:rPr>
        <w:t>12.87</w:t>
      </w:r>
      <w:r w:rsidR="00256C86">
        <w:rPr>
          <w:rFonts w:ascii="Calibri" w:hAnsi="Calibri"/>
          <w:color w:val="auto"/>
          <w:kern w:val="0"/>
          <w:szCs w:val="21"/>
        </w:rPr>
        <w:t>t/a</w:t>
      </w:r>
      <w:r w:rsidR="00F62F58">
        <w:rPr>
          <w:rFonts w:ascii="Calibri" w:hAnsi="Calibri" w:hint="eastAsia"/>
          <w:color w:val="auto"/>
          <w:kern w:val="0"/>
          <w:szCs w:val="21"/>
        </w:rPr>
        <w:t>，</w:t>
      </w:r>
      <w:r w:rsidR="00F62F58">
        <w:rPr>
          <w:rFonts w:ascii="Calibri" w:hAnsi="Calibri"/>
          <w:color w:val="auto"/>
          <w:kern w:val="0"/>
          <w:szCs w:val="21"/>
        </w:rPr>
        <w:t>产生浓度为</w:t>
      </w:r>
      <w:r w:rsidR="001C24B2">
        <w:rPr>
          <w:rFonts w:ascii="Calibri" w:hAnsi="Calibri"/>
          <w:color w:val="auto"/>
          <w:kern w:val="0"/>
          <w:szCs w:val="21"/>
        </w:rPr>
        <w:t>11643.79</w:t>
      </w:r>
      <w:r w:rsidR="00F62F58">
        <w:rPr>
          <w:rFonts w:ascii="Calibri" w:hAnsi="Calibri"/>
          <w:color w:val="auto"/>
          <w:kern w:val="0"/>
          <w:szCs w:val="21"/>
        </w:rPr>
        <w:t>mg/L</w:t>
      </w:r>
      <w:r w:rsidR="00F62F58">
        <w:rPr>
          <w:rFonts w:ascii="Calibri" w:hAnsi="Calibri" w:hint="eastAsia"/>
          <w:color w:val="auto"/>
          <w:kern w:val="0"/>
          <w:szCs w:val="21"/>
        </w:rPr>
        <w:t>；</w:t>
      </w:r>
      <w:r w:rsidR="00F62F58" w:rsidRPr="001C6395">
        <w:rPr>
          <w:rFonts w:ascii="Calibri" w:hAnsi="Calibri" w:hint="eastAsia"/>
          <w:color w:val="auto"/>
          <w:kern w:val="0"/>
          <w:szCs w:val="21"/>
        </w:rPr>
        <w:t>BOD</w:t>
      </w:r>
      <w:r w:rsidR="00F62F58" w:rsidRPr="001C6395">
        <w:rPr>
          <w:rFonts w:ascii="Calibri" w:hAnsi="Calibri" w:hint="eastAsia"/>
          <w:color w:val="auto"/>
          <w:kern w:val="0"/>
          <w:szCs w:val="21"/>
          <w:vertAlign w:val="subscript"/>
        </w:rPr>
        <w:t>5</w:t>
      </w:r>
      <w:r w:rsidR="00F62F58">
        <w:rPr>
          <w:rFonts w:ascii="Calibri" w:hAnsi="Calibri"/>
          <w:color w:val="auto"/>
          <w:kern w:val="0"/>
          <w:szCs w:val="21"/>
        </w:rPr>
        <w:t>的产生</w:t>
      </w:r>
      <w:r w:rsidR="00F62F58">
        <w:rPr>
          <w:rFonts w:ascii="Calibri" w:hAnsi="Calibri" w:hint="eastAsia"/>
          <w:color w:val="auto"/>
          <w:kern w:val="0"/>
          <w:szCs w:val="21"/>
        </w:rPr>
        <w:t>量</w:t>
      </w:r>
      <w:r w:rsidR="00F62F58">
        <w:rPr>
          <w:rFonts w:ascii="Calibri" w:hAnsi="Calibri"/>
          <w:color w:val="auto"/>
          <w:kern w:val="0"/>
          <w:szCs w:val="21"/>
        </w:rPr>
        <w:t>为</w:t>
      </w:r>
      <w:r w:rsidR="001C24B2">
        <w:rPr>
          <w:rFonts w:ascii="Calibri" w:hAnsi="Calibri"/>
          <w:color w:val="auto"/>
          <w:kern w:val="0"/>
          <w:szCs w:val="21"/>
        </w:rPr>
        <w:t>6.78</w:t>
      </w:r>
      <w:r w:rsidR="00F62F58">
        <w:rPr>
          <w:rFonts w:ascii="Calibri" w:hAnsi="Calibri"/>
          <w:color w:val="auto"/>
          <w:kern w:val="0"/>
          <w:szCs w:val="21"/>
        </w:rPr>
        <w:t>t/a</w:t>
      </w:r>
      <w:r w:rsidR="00F62F58">
        <w:rPr>
          <w:rFonts w:ascii="Calibri" w:hAnsi="Calibri" w:hint="eastAsia"/>
          <w:color w:val="auto"/>
          <w:kern w:val="0"/>
          <w:szCs w:val="21"/>
        </w:rPr>
        <w:t>，</w:t>
      </w:r>
      <w:r w:rsidR="00F62F58">
        <w:rPr>
          <w:rFonts w:ascii="Calibri" w:hAnsi="Calibri"/>
          <w:color w:val="auto"/>
          <w:kern w:val="0"/>
          <w:szCs w:val="21"/>
        </w:rPr>
        <w:t>产生浓度为</w:t>
      </w:r>
      <w:r w:rsidR="00E06B2C">
        <w:rPr>
          <w:rFonts w:ascii="Calibri" w:hAnsi="Calibri"/>
          <w:color w:val="auto"/>
          <w:kern w:val="0"/>
          <w:szCs w:val="21"/>
        </w:rPr>
        <w:t>6134.03</w:t>
      </w:r>
      <w:r w:rsidR="00F62F58" w:rsidRPr="00AF0A5A">
        <w:rPr>
          <w:rFonts w:ascii="Calibri" w:hAnsi="Calibri"/>
          <w:color w:val="auto"/>
          <w:kern w:val="0"/>
          <w:szCs w:val="21"/>
        </w:rPr>
        <w:t>mg/L</w:t>
      </w:r>
      <w:r w:rsidR="00F62F58">
        <w:rPr>
          <w:rFonts w:ascii="Calibri" w:hAnsi="Calibri" w:hint="eastAsia"/>
          <w:color w:val="auto"/>
          <w:kern w:val="0"/>
          <w:szCs w:val="21"/>
        </w:rPr>
        <w:t>；</w:t>
      </w:r>
      <w:r w:rsidR="00F62F58">
        <w:rPr>
          <w:rFonts w:ascii="Calibri" w:hAnsi="Calibri"/>
          <w:color w:val="auto"/>
          <w:kern w:val="0"/>
          <w:szCs w:val="21"/>
        </w:rPr>
        <w:t>NH</w:t>
      </w:r>
      <w:r w:rsidR="00F62F58" w:rsidRPr="005A256B">
        <w:rPr>
          <w:rFonts w:ascii="Calibri" w:hAnsi="Calibri"/>
          <w:color w:val="auto"/>
          <w:kern w:val="0"/>
          <w:szCs w:val="21"/>
          <w:vertAlign w:val="subscript"/>
        </w:rPr>
        <w:t>3</w:t>
      </w:r>
      <w:r w:rsidR="00F62F58">
        <w:rPr>
          <w:rFonts w:ascii="Calibri" w:hAnsi="Calibri"/>
          <w:color w:val="auto"/>
          <w:kern w:val="0"/>
          <w:szCs w:val="21"/>
        </w:rPr>
        <w:t>-N</w:t>
      </w:r>
      <w:r w:rsidR="00F62F58">
        <w:rPr>
          <w:rFonts w:ascii="Calibri" w:hAnsi="Calibri"/>
          <w:color w:val="auto"/>
          <w:kern w:val="0"/>
          <w:szCs w:val="21"/>
        </w:rPr>
        <w:t>的产生</w:t>
      </w:r>
      <w:r w:rsidR="00F62F58">
        <w:rPr>
          <w:rFonts w:ascii="Calibri" w:hAnsi="Calibri" w:hint="eastAsia"/>
          <w:color w:val="auto"/>
          <w:kern w:val="0"/>
          <w:szCs w:val="21"/>
        </w:rPr>
        <w:t>量</w:t>
      </w:r>
      <w:r w:rsidR="00F62F58">
        <w:rPr>
          <w:rFonts w:ascii="Calibri" w:hAnsi="Calibri"/>
          <w:color w:val="auto"/>
          <w:kern w:val="0"/>
          <w:szCs w:val="21"/>
        </w:rPr>
        <w:t>为</w:t>
      </w:r>
      <w:r w:rsidR="00E06B2C">
        <w:rPr>
          <w:rFonts w:ascii="Calibri" w:hAnsi="Calibri"/>
          <w:color w:val="auto"/>
          <w:kern w:val="0"/>
          <w:szCs w:val="21"/>
        </w:rPr>
        <w:t>0.696</w:t>
      </w:r>
      <w:r w:rsidR="00F62F58">
        <w:rPr>
          <w:rFonts w:ascii="Calibri" w:hAnsi="Calibri"/>
          <w:color w:val="auto"/>
          <w:kern w:val="0"/>
          <w:szCs w:val="21"/>
        </w:rPr>
        <w:t>t/a</w:t>
      </w:r>
      <w:r w:rsidR="00F62F58">
        <w:rPr>
          <w:rFonts w:ascii="Calibri" w:hAnsi="Calibri" w:hint="eastAsia"/>
          <w:color w:val="auto"/>
          <w:kern w:val="0"/>
          <w:szCs w:val="21"/>
        </w:rPr>
        <w:t>，</w:t>
      </w:r>
      <w:r w:rsidR="00F62F58">
        <w:rPr>
          <w:rFonts w:ascii="Calibri" w:hAnsi="Calibri"/>
          <w:color w:val="auto"/>
          <w:kern w:val="0"/>
          <w:szCs w:val="21"/>
        </w:rPr>
        <w:t>产生浓度为</w:t>
      </w:r>
      <w:r w:rsidR="00E06B2C">
        <w:rPr>
          <w:rFonts w:ascii="Calibri" w:hAnsi="Calibri"/>
          <w:color w:val="auto"/>
          <w:kern w:val="0"/>
          <w:szCs w:val="21"/>
        </w:rPr>
        <w:t>629.7</w:t>
      </w:r>
      <w:r w:rsidR="00F62F58">
        <w:rPr>
          <w:rFonts w:ascii="Calibri" w:hAnsi="Calibri"/>
          <w:color w:val="auto"/>
          <w:kern w:val="0"/>
          <w:szCs w:val="21"/>
        </w:rPr>
        <w:t>mg/L</w:t>
      </w:r>
      <w:r w:rsidR="002C629E">
        <w:rPr>
          <w:rFonts w:ascii="Calibri" w:hAnsi="Calibri" w:hint="eastAsia"/>
          <w:color w:val="auto"/>
        </w:rPr>
        <w:t>。</w:t>
      </w:r>
    </w:p>
    <w:p w14:paraId="714F8802" w14:textId="77777777" w:rsidR="007E4A65" w:rsidRPr="00EB3CEE" w:rsidRDefault="00F62F58" w:rsidP="00DB3F27">
      <w:pPr>
        <w:pStyle w:val="00"/>
        <w:rPr>
          <w:rFonts w:ascii="Calibri" w:hAnsi="Calibri"/>
          <w:color w:val="auto"/>
          <w:kern w:val="0"/>
          <w:szCs w:val="21"/>
        </w:rPr>
      </w:pPr>
      <w:r>
        <w:rPr>
          <w:rFonts w:ascii="Calibri" w:hAnsi="Calibri" w:hint="eastAsia"/>
          <w:color w:val="auto"/>
        </w:rPr>
        <w:t>二期</w:t>
      </w:r>
      <w:r>
        <w:rPr>
          <w:rFonts w:ascii="Calibri" w:hAnsi="Calibri"/>
          <w:color w:val="auto"/>
        </w:rPr>
        <w:t>工程</w:t>
      </w:r>
      <w:r>
        <w:rPr>
          <w:rFonts w:ascii="Calibri" w:hAnsi="Calibri" w:hint="eastAsia"/>
          <w:color w:val="auto"/>
          <w:kern w:val="0"/>
          <w:szCs w:val="21"/>
        </w:rPr>
        <w:t>冷凝</w:t>
      </w:r>
      <w:r>
        <w:rPr>
          <w:rFonts w:ascii="Calibri" w:hAnsi="Calibri"/>
          <w:color w:val="auto"/>
          <w:kern w:val="0"/>
          <w:szCs w:val="21"/>
        </w:rPr>
        <w:t>废水中</w:t>
      </w:r>
      <w:r>
        <w:rPr>
          <w:rFonts w:ascii="Calibri" w:hAnsi="Calibri" w:hint="eastAsia"/>
          <w:color w:val="auto"/>
          <w:kern w:val="0"/>
          <w:szCs w:val="21"/>
        </w:rPr>
        <w:t>COD</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C056CB">
        <w:rPr>
          <w:rFonts w:ascii="Calibri" w:hAnsi="Calibri"/>
          <w:color w:val="auto"/>
          <w:kern w:val="0"/>
          <w:szCs w:val="21"/>
        </w:rPr>
        <w:t>7.73</w:t>
      </w:r>
      <w:r>
        <w:rPr>
          <w:rFonts w:ascii="Calibri" w:hAnsi="Calibri"/>
          <w:color w:val="auto"/>
          <w:kern w:val="0"/>
          <w:szCs w:val="21"/>
        </w:rPr>
        <w:t>t/a</w:t>
      </w:r>
      <w:r>
        <w:rPr>
          <w:rFonts w:ascii="Calibri" w:hAnsi="Calibri" w:hint="eastAsia"/>
          <w:color w:val="auto"/>
          <w:kern w:val="0"/>
          <w:szCs w:val="21"/>
        </w:rPr>
        <w:t>，</w:t>
      </w:r>
      <w:r>
        <w:rPr>
          <w:rFonts w:ascii="Calibri" w:hAnsi="Calibri"/>
          <w:color w:val="auto"/>
          <w:kern w:val="0"/>
          <w:szCs w:val="21"/>
        </w:rPr>
        <w:t>产生浓度为</w:t>
      </w:r>
      <w:r w:rsidR="00C056CB">
        <w:rPr>
          <w:rFonts w:ascii="Calibri" w:hAnsi="Calibri"/>
          <w:color w:val="auto"/>
          <w:kern w:val="0"/>
          <w:szCs w:val="21"/>
        </w:rPr>
        <w:t>11655.78</w:t>
      </w:r>
      <w:r>
        <w:rPr>
          <w:rFonts w:ascii="Calibri" w:hAnsi="Calibri"/>
          <w:color w:val="auto"/>
          <w:kern w:val="0"/>
          <w:szCs w:val="21"/>
        </w:rPr>
        <w:t>mg/L</w:t>
      </w:r>
      <w:r>
        <w:rPr>
          <w:rFonts w:ascii="Calibri" w:hAnsi="Calibri" w:hint="eastAsia"/>
          <w:color w:val="auto"/>
          <w:kern w:val="0"/>
          <w:szCs w:val="21"/>
        </w:rPr>
        <w:t>；</w:t>
      </w:r>
      <w:r w:rsidRPr="001C6395">
        <w:rPr>
          <w:rFonts w:ascii="Calibri" w:hAnsi="Calibri" w:hint="eastAsia"/>
          <w:color w:val="auto"/>
          <w:kern w:val="0"/>
          <w:szCs w:val="21"/>
        </w:rPr>
        <w:t>BOD</w:t>
      </w:r>
      <w:r w:rsidRPr="001C6395">
        <w:rPr>
          <w:rFonts w:ascii="Calibri" w:hAnsi="Calibri" w:hint="eastAsia"/>
          <w:color w:val="auto"/>
          <w:kern w:val="0"/>
          <w:szCs w:val="21"/>
          <w:vertAlign w:val="subscript"/>
        </w:rPr>
        <w:t>5</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C056CB">
        <w:rPr>
          <w:rFonts w:ascii="Calibri" w:hAnsi="Calibri"/>
          <w:color w:val="auto"/>
          <w:kern w:val="0"/>
          <w:szCs w:val="21"/>
        </w:rPr>
        <w:t>4.08</w:t>
      </w:r>
      <w:r>
        <w:rPr>
          <w:rFonts w:ascii="Calibri" w:hAnsi="Calibri"/>
          <w:color w:val="auto"/>
          <w:kern w:val="0"/>
          <w:szCs w:val="21"/>
        </w:rPr>
        <w:t>t/a</w:t>
      </w:r>
      <w:r>
        <w:rPr>
          <w:rFonts w:ascii="Calibri" w:hAnsi="Calibri" w:hint="eastAsia"/>
          <w:color w:val="auto"/>
          <w:kern w:val="0"/>
          <w:szCs w:val="21"/>
        </w:rPr>
        <w:t>，</w:t>
      </w:r>
      <w:r w:rsidRPr="00AF0A5A">
        <w:rPr>
          <w:rFonts w:ascii="Calibri" w:hAnsi="Calibri"/>
          <w:color w:val="auto"/>
          <w:kern w:val="0"/>
          <w:szCs w:val="21"/>
        </w:rPr>
        <w:t>产生浓度为</w:t>
      </w:r>
      <w:r w:rsidR="00C056CB">
        <w:rPr>
          <w:rFonts w:ascii="Calibri" w:hAnsi="Calibri"/>
          <w:color w:val="auto"/>
          <w:kern w:val="0"/>
          <w:szCs w:val="21"/>
        </w:rPr>
        <w:t>6152.08</w:t>
      </w:r>
      <w:r w:rsidRPr="00AF0A5A">
        <w:rPr>
          <w:rFonts w:ascii="Calibri" w:hAnsi="Calibri"/>
          <w:color w:val="auto"/>
          <w:kern w:val="0"/>
          <w:szCs w:val="21"/>
        </w:rPr>
        <w:t>mg/L</w:t>
      </w:r>
      <w:r>
        <w:rPr>
          <w:rFonts w:ascii="Calibri" w:hAnsi="Calibri" w:hint="eastAsia"/>
          <w:color w:val="auto"/>
          <w:kern w:val="0"/>
          <w:szCs w:val="21"/>
        </w:rPr>
        <w:t>；</w:t>
      </w:r>
      <w:r>
        <w:rPr>
          <w:rFonts w:ascii="Calibri" w:hAnsi="Calibri"/>
          <w:color w:val="auto"/>
          <w:kern w:val="0"/>
          <w:szCs w:val="21"/>
        </w:rPr>
        <w:t>NH</w:t>
      </w:r>
      <w:r w:rsidRPr="005A256B">
        <w:rPr>
          <w:rFonts w:ascii="Calibri" w:hAnsi="Calibri"/>
          <w:color w:val="auto"/>
          <w:kern w:val="0"/>
          <w:szCs w:val="21"/>
          <w:vertAlign w:val="subscript"/>
        </w:rPr>
        <w:t>3</w:t>
      </w:r>
      <w:r>
        <w:rPr>
          <w:rFonts w:ascii="Calibri" w:hAnsi="Calibri"/>
          <w:color w:val="auto"/>
          <w:kern w:val="0"/>
          <w:szCs w:val="21"/>
        </w:rPr>
        <w:t>-N</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C056CB">
        <w:rPr>
          <w:rFonts w:ascii="Calibri" w:hAnsi="Calibri"/>
          <w:color w:val="auto"/>
          <w:kern w:val="0"/>
          <w:szCs w:val="21"/>
        </w:rPr>
        <w:t>0.416</w:t>
      </w:r>
      <w:r>
        <w:rPr>
          <w:rFonts w:ascii="Calibri" w:hAnsi="Calibri"/>
          <w:color w:val="auto"/>
          <w:kern w:val="0"/>
          <w:szCs w:val="21"/>
        </w:rPr>
        <w:t>t/a</w:t>
      </w:r>
      <w:r>
        <w:rPr>
          <w:rFonts w:ascii="Calibri" w:hAnsi="Calibri" w:hint="eastAsia"/>
          <w:color w:val="auto"/>
          <w:kern w:val="0"/>
          <w:szCs w:val="21"/>
        </w:rPr>
        <w:t>，</w:t>
      </w:r>
      <w:r>
        <w:rPr>
          <w:rFonts w:ascii="Calibri" w:hAnsi="Calibri"/>
          <w:color w:val="auto"/>
          <w:kern w:val="0"/>
          <w:szCs w:val="21"/>
        </w:rPr>
        <w:t>产生浓度为</w:t>
      </w:r>
      <w:r w:rsidR="00C056CB">
        <w:rPr>
          <w:rFonts w:ascii="Calibri" w:hAnsi="Calibri"/>
          <w:color w:val="auto"/>
          <w:kern w:val="0"/>
          <w:szCs w:val="21"/>
        </w:rPr>
        <w:t>627.27</w:t>
      </w:r>
      <w:r>
        <w:rPr>
          <w:rFonts w:ascii="Calibri" w:hAnsi="Calibri"/>
          <w:color w:val="auto"/>
          <w:kern w:val="0"/>
          <w:szCs w:val="21"/>
        </w:rPr>
        <w:t>mg/L</w:t>
      </w:r>
      <w:r w:rsidR="002C629E">
        <w:rPr>
          <w:rFonts w:ascii="Calibri" w:hAnsi="Calibri" w:hint="eastAsia"/>
          <w:color w:val="auto"/>
        </w:rPr>
        <w:t>。</w:t>
      </w:r>
    </w:p>
    <w:p w14:paraId="13219E74" w14:textId="77777777" w:rsidR="00BD4379" w:rsidRPr="00A964FF" w:rsidRDefault="00BD4379" w:rsidP="00EB4746">
      <w:pPr>
        <w:pStyle w:val="ad"/>
        <w:ind w:firstLineChars="200" w:firstLine="562"/>
        <w:rPr>
          <w:rFonts w:ascii="Calibri" w:hAnsi="Calibri"/>
          <w:color w:val="auto"/>
          <w:sz w:val="24"/>
        </w:rPr>
      </w:pPr>
      <w:r>
        <w:rPr>
          <w:rFonts w:ascii="Calibri" w:hAnsi="Calibri"/>
          <w:color w:val="auto"/>
        </w:rPr>
        <w:t>2</w:t>
      </w:r>
      <w:r>
        <w:rPr>
          <w:rFonts w:ascii="Calibri" w:hAnsi="Calibri" w:hint="eastAsia"/>
          <w:color w:val="auto"/>
        </w:rPr>
        <w:t>、</w:t>
      </w:r>
      <w:r w:rsidR="00383797">
        <w:rPr>
          <w:rFonts w:ascii="Calibri" w:hAnsi="Calibri" w:hint="eastAsia"/>
          <w:color w:val="auto"/>
        </w:rPr>
        <w:t>水喷淋塔</w:t>
      </w:r>
      <w:r w:rsidR="002A3438">
        <w:rPr>
          <w:rFonts w:ascii="Calibri" w:hAnsi="Calibri" w:hint="eastAsia"/>
          <w:color w:val="auto"/>
        </w:rPr>
        <w:t>用排水</w:t>
      </w:r>
    </w:p>
    <w:p w14:paraId="6AFDACC6" w14:textId="33980B5A" w:rsidR="00C056CB" w:rsidRPr="00E01926" w:rsidRDefault="00585A08" w:rsidP="00E01926">
      <w:pPr>
        <w:pStyle w:val="00"/>
        <w:ind w:firstLineChars="200"/>
        <w:rPr>
          <w:rFonts w:ascii="Calibri"/>
          <w:color w:val="auto"/>
        </w:rPr>
      </w:pPr>
      <w:r w:rsidRPr="00585A08">
        <w:rPr>
          <w:rFonts w:ascii="Calibri" w:hint="eastAsia"/>
          <w:color w:val="auto"/>
        </w:rPr>
        <w:t>聚合不凝气、</w:t>
      </w:r>
      <w:r w:rsidR="00A06A90" w:rsidRPr="00A06A90">
        <w:rPr>
          <w:rFonts w:ascii="Calibri" w:hAnsi="Calibri" w:hint="eastAsia"/>
          <w:color w:val="auto"/>
        </w:rPr>
        <w:t>聚合釜下料</w:t>
      </w:r>
      <w:r w:rsidRPr="00585A08">
        <w:rPr>
          <w:rFonts w:ascii="Calibri" w:hint="eastAsia"/>
          <w:color w:val="auto"/>
        </w:rPr>
        <w:t>蒸发废气经管道收集至</w:t>
      </w:r>
      <w:r w:rsidR="00383797">
        <w:rPr>
          <w:rFonts w:ascii="Calibri" w:hint="eastAsia"/>
          <w:color w:val="auto"/>
        </w:rPr>
        <w:t>水喷淋塔</w:t>
      </w:r>
      <w:r w:rsidRPr="00585A08">
        <w:rPr>
          <w:rFonts w:ascii="Calibri" w:hint="eastAsia"/>
          <w:color w:val="auto"/>
        </w:rPr>
        <w:t>后会产生有机废水。根据物料衡算，</w:t>
      </w:r>
      <w:r w:rsidR="00405555">
        <w:rPr>
          <w:rFonts w:ascii="Calibri" w:hint="eastAsia"/>
          <w:color w:val="auto"/>
        </w:rPr>
        <w:t>一期工程</w:t>
      </w:r>
      <w:r w:rsidR="00405555">
        <w:rPr>
          <w:rFonts w:ascii="Calibri"/>
          <w:color w:val="auto"/>
        </w:rPr>
        <w:t>补充水量为</w:t>
      </w:r>
      <w:r w:rsidR="00405555">
        <w:rPr>
          <w:rFonts w:ascii="Calibri" w:hint="eastAsia"/>
          <w:color w:val="auto"/>
        </w:rPr>
        <w:t>303</w:t>
      </w:r>
      <w:r w:rsidR="00405555">
        <w:rPr>
          <w:rFonts w:ascii="Calibri"/>
          <w:color w:val="auto"/>
        </w:rPr>
        <w:t>t</w:t>
      </w:r>
      <w:r w:rsidR="00405555">
        <w:rPr>
          <w:rFonts w:ascii="Calibri" w:hint="eastAsia"/>
          <w:color w:val="auto"/>
        </w:rPr>
        <w:t>/a</w:t>
      </w:r>
      <w:r w:rsidR="00405555">
        <w:rPr>
          <w:rFonts w:ascii="Calibri" w:hint="eastAsia"/>
          <w:color w:val="auto"/>
        </w:rPr>
        <w:t>，</w:t>
      </w:r>
      <w:r w:rsidR="00405555">
        <w:rPr>
          <w:rFonts w:ascii="Calibri"/>
          <w:color w:val="auto"/>
        </w:rPr>
        <w:t>1.01t/d</w:t>
      </w:r>
      <w:r w:rsidR="00405555">
        <w:rPr>
          <w:rFonts w:ascii="Calibri" w:hint="eastAsia"/>
          <w:color w:val="auto"/>
        </w:rPr>
        <w:t>，</w:t>
      </w:r>
      <w:r w:rsidR="00383797">
        <w:rPr>
          <w:rFonts w:ascii="Calibri" w:hint="eastAsia"/>
          <w:color w:val="auto"/>
        </w:rPr>
        <w:t>水喷淋塔</w:t>
      </w:r>
      <w:r w:rsidR="00EB4746">
        <w:rPr>
          <w:rFonts w:ascii="Calibri"/>
          <w:color w:val="auto"/>
        </w:rPr>
        <w:t>有机废水产生量为</w:t>
      </w:r>
      <w:r w:rsidR="002B6B72">
        <w:rPr>
          <w:rFonts w:ascii="Calibri" w:hAnsi="Calibri"/>
          <w:snapToGrid w:val="0"/>
          <w:color w:val="auto"/>
          <w:szCs w:val="21"/>
        </w:rPr>
        <w:t>686.764</w:t>
      </w:r>
      <w:r w:rsidR="00EB4746">
        <w:rPr>
          <w:rFonts w:ascii="Calibri"/>
          <w:color w:val="auto"/>
        </w:rPr>
        <w:t>t/a</w:t>
      </w:r>
      <w:r w:rsidR="00EB4746">
        <w:rPr>
          <w:rFonts w:ascii="Calibri" w:hint="eastAsia"/>
          <w:color w:val="auto"/>
        </w:rPr>
        <w:t>，</w:t>
      </w:r>
      <w:r w:rsidR="002B6B72">
        <w:rPr>
          <w:rFonts w:ascii="Calibri"/>
          <w:color w:val="auto"/>
        </w:rPr>
        <w:t>2.29</w:t>
      </w:r>
      <w:r w:rsidR="00405555">
        <w:rPr>
          <w:rFonts w:ascii="Calibri"/>
          <w:color w:val="auto"/>
        </w:rPr>
        <w:t>t/d</w:t>
      </w:r>
      <w:r w:rsidR="00405555">
        <w:rPr>
          <w:rFonts w:ascii="Calibri" w:hint="eastAsia"/>
          <w:color w:val="auto"/>
        </w:rPr>
        <w:t>；二</w:t>
      </w:r>
      <w:r w:rsidR="00EB4746">
        <w:rPr>
          <w:rFonts w:ascii="Calibri" w:hint="eastAsia"/>
          <w:color w:val="auto"/>
        </w:rPr>
        <w:t>期</w:t>
      </w:r>
      <w:r w:rsidR="00EB4746">
        <w:rPr>
          <w:rFonts w:ascii="Calibri"/>
          <w:color w:val="auto"/>
        </w:rPr>
        <w:t>工程</w:t>
      </w:r>
      <w:r w:rsidR="00405555">
        <w:rPr>
          <w:rFonts w:ascii="Calibri" w:hint="eastAsia"/>
          <w:color w:val="auto"/>
        </w:rPr>
        <w:t>废气</w:t>
      </w:r>
      <w:r w:rsidR="00383797">
        <w:rPr>
          <w:rFonts w:ascii="Calibri" w:hint="eastAsia"/>
          <w:color w:val="auto"/>
        </w:rPr>
        <w:t>水喷淋塔</w:t>
      </w:r>
      <w:r w:rsidR="00405555">
        <w:rPr>
          <w:rFonts w:ascii="Calibri" w:hint="eastAsia"/>
          <w:color w:val="auto"/>
        </w:rPr>
        <w:t>补充水量</w:t>
      </w:r>
      <w:r w:rsidR="00405555">
        <w:rPr>
          <w:rFonts w:ascii="Calibri" w:hint="eastAsia"/>
          <w:color w:val="auto"/>
        </w:rPr>
        <w:t>182</w:t>
      </w:r>
      <w:r w:rsidR="00405555">
        <w:rPr>
          <w:rFonts w:ascii="Calibri"/>
          <w:color w:val="auto"/>
        </w:rPr>
        <w:t>t/a</w:t>
      </w:r>
      <w:r w:rsidR="00405555">
        <w:rPr>
          <w:rFonts w:ascii="Calibri" w:hint="eastAsia"/>
          <w:color w:val="auto"/>
        </w:rPr>
        <w:t>，</w:t>
      </w:r>
      <w:r w:rsidR="00405555">
        <w:rPr>
          <w:rFonts w:ascii="Calibri" w:hint="eastAsia"/>
          <w:color w:val="auto"/>
        </w:rPr>
        <w:t>0.61</w:t>
      </w:r>
      <w:r w:rsidR="00405555">
        <w:rPr>
          <w:rFonts w:ascii="Calibri"/>
          <w:color w:val="auto"/>
        </w:rPr>
        <w:t>t/d</w:t>
      </w:r>
      <w:r w:rsidR="00405555">
        <w:rPr>
          <w:rFonts w:ascii="Calibri" w:hint="eastAsia"/>
          <w:color w:val="auto"/>
        </w:rPr>
        <w:t>，</w:t>
      </w:r>
      <w:r w:rsidR="00383797">
        <w:rPr>
          <w:rFonts w:ascii="Calibri" w:hint="eastAsia"/>
          <w:color w:val="auto"/>
        </w:rPr>
        <w:t>水喷淋</w:t>
      </w:r>
      <w:r w:rsidR="00EB4746">
        <w:rPr>
          <w:rFonts w:ascii="Calibri"/>
          <w:color w:val="auto"/>
        </w:rPr>
        <w:t>装置有机废水产生量为</w:t>
      </w:r>
      <w:r w:rsidR="002B6B72" w:rsidRPr="002B6B72">
        <w:rPr>
          <w:rFonts w:ascii="Calibri"/>
          <w:color w:val="auto"/>
        </w:rPr>
        <w:t>411.675</w:t>
      </w:r>
      <w:r w:rsidR="00EB4746">
        <w:rPr>
          <w:rFonts w:ascii="Calibri"/>
          <w:color w:val="auto"/>
        </w:rPr>
        <w:t>t/a</w:t>
      </w:r>
      <w:r w:rsidR="00EB4746">
        <w:rPr>
          <w:rFonts w:ascii="Calibri" w:hint="eastAsia"/>
          <w:color w:val="auto"/>
        </w:rPr>
        <w:t>，</w:t>
      </w:r>
      <w:r w:rsidR="00B2482F">
        <w:rPr>
          <w:rFonts w:ascii="Calibri"/>
          <w:color w:val="auto"/>
        </w:rPr>
        <w:t>1.37</w:t>
      </w:r>
      <w:r w:rsidR="00405555">
        <w:rPr>
          <w:rFonts w:ascii="Calibri"/>
          <w:color w:val="auto"/>
        </w:rPr>
        <w:t>t/d</w:t>
      </w:r>
      <w:r w:rsidR="00405555">
        <w:rPr>
          <w:rFonts w:ascii="Calibri" w:hint="eastAsia"/>
          <w:color w:val="auto"/>
        </w:rPr>
        <w:t>。</w:t>
      </w:r>
      <w:r w:rsidR="00383797">
        <w:rPr>
          <w:rFonts w:ascii="Calibri" w:hint="eastAsia"/>
          <w:color w:val="auto"/>
        </w:rPr>
        <w:t>水喷淋塔</w:t>
      </w:r>
      <w:r w:rsidR="00EB4746">
        <w:rPr>
          <w:rFonts w:ascii="Calibri"/>
          <w:color w:val="auto"/>
        </w:rPr>
        <w:t>废水全部进入厂区污水处理站进行处理。</w:t>
      </w:r>
      <w:r w:rsidR="00383797">
        <w:rPr>
          <w:rFonts w:ascii="Calibri" w:hint="eastAsia"/>
          <w:color w:val="auto"/>
        </w:rPr>
        <w:t>水喷淋塔废水</w:t>
      </w:r>
      <w:r w:rsidR="00EB4746">
        <w:rPr>
          <w:rFonts w:ascii="Calibri"/>
          <w:color w:val="auto"/>
        </w:rPr>
        <w:t>中污染物</w:t>
      </w:r>
      <w:r w:rsidR="00EB4746">
        <w:rPr>
          <w:rFonts w:ascii="Calibri" w:hint="eastAsia"/>
          <w:color w:val="auto"/>
        </w:rPr>
        <w:t>成分</w:t>
      </w:r>
      <w:r w:rsidR="00EB4746">
        <w:rPr>
          <w:rFonts w:ascii="Calibri"/>
          <w:color w:val="auto"/>
        </w:rPr>
        <w:t>见下表：</w:t>
      </w:r>
    </w:p>
    <w:p w14:paraId="20DA2822" w14:textId="77777777" w:rsidR="00EB4746" w:rsidRPr="00446F67" w:rsidRDefault="00EB4746" w:rsidP="00EB4746">
      <w:pPr>
        <w:spacing w:line="520" w:lineRule="exact"/>
        <w:ind w:firstLineChars="400" w:firstLine="960"/>
        <w:jc w:val="left"/>
        <w:rPr>
          <w:rFonts w:ascii="Calibri" w:hAnsi="Calibri"/>
          <w:color w:val="auto"/>
          <w:szCs w:val="21"/>
        </w:rPr>
      </w:pPr>
      <w:r w:rsidRPr="00A964FF">
        <w:rPr>
          <w:rFonts w:ascii="Calibri" w:eastAsia="黑体" w:hAnsi="Calibri"/>
          <w:color w:val="auto"/>
          <w:sz w:val="24"/>
        </w:rPr>
        <w:t>表</w:t>
      </w:r>
      <w:r w:rsidRPr="00A964FF">
        <w:rPr>
          <w:rFonts w:ascii="Calibri" w:eastAsia="黑体" w:hAnsi="Calibri" w:hint="eastAsia"/>
          <w:color w:val="auto"/>
          <w:sz w:val="24"/>
        </w:rPr>
        <w:t>2.3-</w:t>
      </w:r>
      <w:r w:rsidR="00ED4172">
        <w:rPr>
          <w:rFonts w:ascii="Calibri" w:eastAsia="黑体" w:hAnsi="Calibri"/>
          <w:color w:val="auto"/>
          <w:sz w:val="24"/>
        </w:rPr>
        <w:t>17</w:t>
      </w:r>
      <w:r w:rsidRPr="00A964FF">
        <w:rPr>
          <w:rFonts w:ascii="黑体" w:eastAsia="黑体" w:hAnsi="Calibri" w:hint="eastAsia"/>
          <w:color w:val="auto"/>
          <w:sz w:val="24"/>
        </w:rPr>
        <w:t xml:space="preserve">       </w:t>
      </w:r>
      <w:r>
        <w:rPr>
          <w:rFonts w:ascii="黑体" w:eastAsia="黑体" w:hAnsi="Calibri"/>
          <w:color w:val="auto"/>
          <w:sz w:val="24"/>
        </w:rPr>
        <w:t xml:space="preserve">      </w:t>
      </w:r>
      <w:r w:rsidR="00383797" w:rsidRPr="00383797">
        <w:rPr>
          <w:rFonts w:ascii="黑体" w:eastAsia="黑体" w:hAnsi="Calibri" w:hint="eastAsia"/>
          <w:color w:val="auto"/>
          <w:sz w:val="24"/>
        </w:rPr>
        <w:t>水喷淋塔</w:t>
      </w:r>
      <w:r w:rsidR="00383797">
        <w:rPr>
          <w:rFonts w:ascii="黑体" w:eastAsia="黑体" w:hAnsi="Calibri" w:hint="eastAsia"/>
          <w:color w:val="auto"/>
          <w:sz w:val="24"/>
        </w:rPr>
        <w:t>废水</w:t>
      </w:r>
      <w:r>
        <w:rPr>
          <w:rFonts w:ascii="黑体" w:eastAsia="黑体" w:hAnsi="Calibri"/>
          <w:color w:val="auto"/>
          <w:sz w:val="24"/>
        </w:rPr>
        <w:t>中</w:t>
      </w:r>
      <w:r>
        <w:rPr>
          <w:rFonts w:ascii="黑体" w:eastAsia="黑体" w:hAnsi="Calibri" w:hint="eastAsia"/>
          <w:color w:val="auto"/>
          <w:sz w:val="24"/>
        </w:rPr>
        <w:t>各污染物</w:t>
      </w:r>
      <w:r>
        <w:rPr>
          <w:rFonts w:ascii="黑体" w:eastAsia="黑体" w:hAnsi="Calibri"/>
          <w:color w:val="auto"/>
          <w:sz w:val="24"/>
        </w:rPr>
        <w:t>产生情况</w:t>
      </w:r>
    </w:p>
    <w:tbl>
      <w:tblPr>
        <w:tblStyle w:val="af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9"/>
        <w:gridCol w:w="3121"/>
        <w:gridCol w:w="2900"/>
      </w:tblGrid>
      <w:tr w:rsidR="00EB4746" w:rsidRPr="00446F67" w14:paraId="0126D067" w14:textId="77777777" w:rsidTr="004C077A">
        <w:trPr>
          <w:trHeight w:val="340"/>
        </w:trPr>
        <w:tc>
          <w:tcPr>
            <w:tcW w:w="2679" w:type="dxa"/>
            <w:vAlign w:val="center"/>
          </w:tcPr>
          <w:p w14:paraId="6C427219" w14:textId="77777777" w:rsidR="00EB4746" w:rsidRPr="00446F67" w:rsidRDefault="00EB4746" w:rsidP="004C077A">
            <w:pPr>
              <w:jc w:val="center"/>
              <w:rPr>
                <w:rFonts w:ascii="Calibri" w:hAnsi="Calibri"/>
                <w:snapToGrid w:val="0"/>
                <w:color w:val="auto"/>
                <w:szCs w:val="21"/>
              </w:rPr>
            </w:pPr>
            <w:r w:rsidRPr="00446F67">
              <w:rPr>
                <w:rFonts w:ascii="Calibri" w:hAnsi="Calibri" w:hint="eastAsia"/>
                <w:snapToGrid w:val="0"/>
                <w:color w:val="auto"/>
                <w:szCs w:val="21"/>
              </w:rPr>
              <w:t>产生环节</w:t>
            </w:r>
          </w:p>
        </w:tc>
        <w:tc>
          <w:tcPr>
            <w:tcW w:w="3121" w:type="dxa"/>
            <w:vAlign w:val="center"/>
          </w:tcPr>
          <w:p w14:paraId="4C200970" w14:textId="77777777" w:rsidR="00EB4746" w:rsidRPr="00446F67" w:rsidRDefault="00EB4746" w:rsidP="004C077A">
            <w:pPr>
              <w:jc w:val="center"/>
              <w:rPr>
                <w:rFonts w:ascii="Calibri" w:hAnsi="Calibri"/>
                <w:snapToGrid w:val="0"/>
                <w:color w:val="auto"/>
                <w:szCs w:val="21"/>
              </w:rPr>
            </w:pPr>
            <w:r w:rsidRPr="00446F67">
              <w:rPr>
                <w:rFonts w:ascii="Calibri" w:hAnsi="Calibri" w:hint="eastAsia"/>
                <w:snapToGrid w:val="0"/>
                <w:color w:val="auto"/>
                <w:szCs w:val="21"/>
              </w:rPr>
              <w:t>污染物</w:t>
            </w:r>
            <w:r w:rsidRPr="00446F67">
              <w:rPr>
                <w:rFonts w:ascii="Calibri" w:hAnsi="Calibri"/>
                <w:snapToGrid w:val="0"/>
                <w:color w:val="auto"/>
                <w:szCs w:val="21"/>
              </w:rPr>
              <w:t>名称</w:t>
            </w:r>
          </w:p>
        </w:tc>
        <w:tc>
          <w:tcPr>
            <w:tcW w:w="2900" w:type="dxa"/>
            <w:vAlign w:val="center"/>
          </w:tcPr>
          <w:p w14:paraId="0416FE4F" w14:textId="77777777" w:rsidR="00EB4746" w:rsidRPr="00446F67" w:rsidRDefault="00EB4746" w:rsidP="004C077A">
            <w:pPr>
              <w:jc w:val="center"/>
              <w:rPr>
                <w:rFonts w:ascii="Calibri" w:hAnsi="Calibri"/>
                <w:snapToGrid w:val="0"/>
                <w:color w:val="auto"/>
                <w:szCs w:val="21"/>
              </w:rPr>
            </w:pPr>
            <w:r w:rsidRPr="00446F67">
              <w:rPr>
                <w:rFonts w:ascii="Calibri" w:hAnsi="Calibri" w:hint="eastAsia"/>
                <w:snapToGrid w:val="0"/>
                <w:color w:val="auto"/>
                <w:szCs w:val="21"/>
              </w:rPr>
              <w:t>污染物</w:t>
            </w:r>
            <w:r w:rsidRPr="00446F67">
              <w:rPr>
                <w:rFonts w:ascii="Calibri" w:hAnsi="Calibri"/>
                <w:snapToGrid w:val="0"/>
                <w:color w:val="auto"/>
                <w:szCs w:val="21"/>
              </w:rPr>
              <w:t>产生量</w:t>
            </w:r>
            <w:r>
              <w:rPr>
                <w:rFonts w:ascii="Calibri" w:hAnsi="Calibri" w:hint="eastAsia"/>
                <w:snapToGrid w:val="0"/>
                <w:color w:val="auto"/>
                <w:szCs w:val="21"/>
              </w:rPr>
              <w:t>（</w:t>
            </w:r>
            <w:r>
              <w:rPr>
                <w:rFonts w:ascii="Calibri" w:hAnsi="Calibri" w:hint="eastAsia"/>
                <w:snapToGrid w:val="0"/>
                <w:color w:val="auto"/>
                <w:szCs w:val="21"/>
              </w:rPr>
              <w:t>t</w:t>
            </w:r>
            <w:r>
              <w:rPr>
                <w:rFonts w:ascii="Calibri" w:hAnsi="Calibri"/>
                <w:snapToGrid w:val="0"/>
                <w:color w:val="auto"/>
                <w:szCs w:val="21"/>
              </w:rPr>
              <w:t>/a</w:t>
            </w:r>
            <w:r>
              <w:rPr>
                <w:rFonts w:ascii="Calibri" w:hAnsi="Calibri" w:hint="eastAsia"/>
                <w:snapToGrid w:val="0"/>
                <w:color w:val="auto"/>
                <w:szCs w:val="21"/>
              </w:rPr>
              <w:t>）</w:t>
            </w:r>
          </w:p>
        </w:tc>
      </w:tr>
      <w:tr w:rsidR="00C056CB" w:rsidRPr="00446F67" w14:paraId="1C09CCA8" w14:textId="77777777" w:rsidTr="004C077A">
        <w:trPr>
          <w:trHeight w:val="340"/>
        </w:trPr>
        <w:tc>
          <w:tcPr>
            <w:tcW w:w="2679" w:type="dxa"/>
            <w:vMerge w:val="restart"/>
            <w:vAlign w:val="center"/>
          </w:tcPr>
          <w:p w14:paraId="4915BFA2" w14:textId="77777777" w:rsidR="00C056CB" w:rsidRDefault="00C056CB" w:rsidP="004C077A">
            <w:pPr>
              <w:jc w:val="center"/>
              <w:rPr>
                <w:rFonts w:ascii="Calibri" w:hAnsi="Calibri"/>
                <w:snapToGrid w:val="0"/>
                <w:color w:val="auto"/>
                <w:szCs w:val="21"/>
              </w:rPr>
            </w:pPr>
            <w:r>
              <w:rPr>
                <w:rFonts w:ascii="Calibri" w:hAnsi="Calibri" w:hint="eastAsia"/>
                <w:snapToGrid w:val="0"/>
                <w:color w:val="auto"/>
                <w:szCs w:val="21"/>
              </w:rPr>
              <w:t>一期工程排气洗涤废水</w:t>
            </w:r>
          </w:p>
          <w:p w14:paraId="626576E1" w14:textId="77777777" w:rsidR="00C056CB" w:rsidRDefault="00C056CB" w:rsidP="00AF0A5A">
            <w:pPr>
              <w:jc w:val="center"/>
              <w:rPr>
                <w:rFonts w:ascii="Calibri" w:hAnsi="Calibri"/>
                <w:snapToGrid w:val="0"/>
                <w:color w:val="auto"/>
                <w:szCs w:val="21"/>
              </w:rPr>
            </w:pPr>
            <w:r>
              <w:rPr>
                <w:rFonts w:ascii="Calibri" w:hAnsi="Calibri"/>
                <w:snapToGrid w:val="0"/>
                <w:color w:val="auto"/>
                <w:szCs w:val="21"/>
              </w:rPr>
              <w:t>686.764t/a</w:t>
            </w:r>
          </w:p>
        </w:tc>
        <w:tc>
          <w:tcPr>
            <w:tcW w:w="3121" w:type="dxa"/>
            <w:vAlign w:val="center"/>
          </w:tcPr>
          <w:p w14:paraId="698E708D" w14:textId="77777777" w:rsidR="00C056CB" w:rsidRDefault="00C056CB" w:rsidP="004C077A">
            <w:pPr>
              <w:jc w:val="center"/>
              <w:rPr>
                <w:rFonts w:ascii="Calibri" w:hAnsi="Calibri"/>
                <w:snapToGrid w:val="0"/>
                <w:color w:val="auto"/>
                <w:szCs w:val="21"/>
              </w:rPr>
            </w:pPr>
            <w:r>
              <w:rPr>
                <w:rFonts w:ascii="Calibri" w:hAnsi="Calibri" w:hint="eastAsia"/>
                <w:snapToGrid w:val="0"/>
                <w:color w:val="auto"/>
                <w:szCs w:val="21"/>
              </w:rPr>
              <w:t>水</w:t>
            </w:r>
          </w:p>
        </w:tc>
        <w:tc>
          <w:tcPr>
            <w:tcW w:w="2900" w:type="dxa"/>
            <w:vAlign w:val="center"/>
          </w:tcPr>
          <w:p w14:paraId="1880B0C2" w14:textId="77777777" w:rsidR="00C056CB" w:rsidRPr="00446F67" w:rsidRDefault="00A82CBB" w:rsidP="00AF0A5A">
            <w:pPr>
              <w:jc w:val="center"/>
              <w:rPr>
                <w:rFonts w:ascii="Calibri" w:hAnsi="Calibri"/>
                <w:snapToGrid w:val="0"/>
                <w:color w:val="auto"/>
                <w:szCs w:val="21"/>
              </w:rPr>
            </w:pPr>
            <w:r>
              <w:rPr>
                <w:rFonts w:ascii="Calibri" w:hAnsi="Calibri"/>
                <w:snapToGrid w:val="0"/>
                <w:color w:val="auto"/>
                <w:szCs w:val="21"/>
              </w:rPr>
              <w:t>684.77</w:t>
            </w:r>
          </w:p>
        </w:tc>
      </w:tr>
      <w:tr w:rsidR="00C056CB" w:rsidRPr="00446F67" w14:paraId="5D55EFB5" w14:textId="77777777" w:rsidTr="004C077A">
        <w:trPr>
          <w:trHeight w:val="340"/>
        </w:trPr>
        <w:tc>
          <w:tcPr>
            <w:tcW w:w="2679" w:type="dxa"/>
            <w:vMerge/>
            <w:vAlign w:val="center"/>
          </w:tcPr>
          <w:p w14:paraId="3EFD1C21"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0F2CE254"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氨</w:t>
            </w:r>
          </w:p>
        </w:tc>
        <w:tc>
          <w:tcPr>
            <w:tcW w:w="2900" w:type="dxa"/>
            <w:vAlign w:val="center"/>
          </w:tcPr>
          <w:p w14:paraId="47F356CE" w14:textId="77777777" w:rsidR="00C056CB" w:rsidRPr="00446F67" w:rsidRDefault="00C056CB" w:rsidP="004C077A">
            <w:pPr>
              <w:jc w:val="center"/>
              <w:rPr>
                <w:rFonts w:ascii="Calibri" w:hAnsi="Calibri"/>
                <w:snapToGrid w:val="0"/>
                <w:color w:val="auto"/>
                <w:szCs w:val="21"/>
              </w:rPr>
            </w:pPr>
            <w:r>
              <w:rPr>
                <w:rFonts w:ascii="Calibri" w:hAnsi="Calibri"/>
                <w:snapToGrid w:val="0"/>
                <w:color w:val="auto"/>
                <w:szCs w:val="21"/>
              </w:rPr>
              <w:t>0.004</w:t>
            </w:r>
          </w:p>
        </w:tc>
      </w:tr>
      <w:tr w:rsidR="00C056CB" w:rsidRPr="00446F67" w14:paraId="65740FB1" w14:textId="77777777" w:rsidTr="004C077A">
        <w:trPr>
          <w:trHeight w:val="340"/>
        </w:trPr>
        <w:tc>
          <w:tcPr>
            <w:tcW w:w="2679" w:type="dxa"/>
            <w:vMerge/>
            <w:vAlign w:val="center"/>
          </w:tcPr>
          <w:p w14:paraId="44D9C88C"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71EF7BDF"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己二酸</w:t>
            </w:r>
          </w:p>
        </w:tc>
        <w:tc>
          <w:tcPr>
            <w:tcW w:w="2900" w:type="dxa"/>
            <w:vAlign w:val="center"/>
          </w:tcPr>
          <w:p w14:paraId="0B701220" w14:textId="77777777" w:rsidR="00C056CB" w:rsidRPr="00446F67" w:rsidRDefault="00A82CBB" w:rsidP="00AF0A5A">
            <w:pPr>
              <w:jc w:val="center"/>
              <w:rPr>
                <w:rFonts w:ascii="Calibri" w:hAnsi="Calibri"/>
                <w:snapToGrid w:val="0"/>
                <w:color w:val="auto"/>
                <w:szCs w:val="21"/>
              </w:rPr>
            </w:pPr>
            <w:r>
              <w:rPr>
                <w:rFonts w:ascii="Calibri" w:hAnsi="Calibri"/>
                <w:snapToGrid w:val="0"/>
                <w:color w:val="auto"/>
                <w:szCs w:val="21"/>
              </w:rPr>
              <w:t>0.20</w:t>
            </w:r>
          </w:p>
        </w:tc>
      </w:tr>
      <w:tr w:rsidR="00C056CB" w:rsidRPr="00446F67" w14:paraId="0B433B66" w14:textId="77777777" w:rsidTr="004C077A">
        <w:trPr>
          <w:trHeight w:val="340"/>
        </w:trPr>
        <w:tc>
          <w:tcPr>
            <w:tcW w:w="2679" w:type="dxa"/>
            <w:vMerge/>
            <w:vAlign w:val="center"/>
          </w:tcPr>
          <w:p w14:paraId="308AF0BD"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5D424AAA"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环戊酮</w:t>
            </w:r>
          </w:p>
        </w:tc>
        <w:tc>
          <w:tcPr>
            <w:tcW w:w="2900" w:type="dxa"/>
            <w:vAlign w:val="center"/>
          </w:tcPr>
          <w:p w14:paraId="53374AF3" w14:textId="77777777" w:rsidR="00C056CB" w:rsidRPr="00446F67" w:rsidRDefault="00C056CB" w:rsidP="00AF0A5A">
            <w:pPr>
              <w:jc w:val="center"/>
              <w:rPr>
                <w:rFonts w:ascii="Calibri" w:hAnsi="Calibri"/>
                <w:snapToGrid w:val="0"/>
                <w:color w:val="auto"/>
                <w:szCs w:val="21"/>
              </w:rPr>
            </w:pPr>
            <w:r>
              <w:rPr>
                <w:rFonts w:ascii="Calibri" w:hAnsi="Calibri"/>
                <w:snapToGrid w:val="0"/>
                <w:color w:val="auto"/>
                <w:szCs w:val="21"/>
              </w:rPr>
              <w:t>0.024</w:t>
            </w:r>
          </w:p>
        </w:tc>
      </w:tr>
      <w:tr w:rsidR="00C056CB" w:rsidRPr="00446F67" w14:paraId="53AB6BFC" w14:textId="77777777" w:rsidTr="004C077A">
        <w:trPr>
          <w:trHeight w:val="340"/>
        </w:trPr>
        <w:tc>
          <w:tcPr>
            <w:tcW w:w="2679" w:type="dxa"/>
            <w:vMerge/>
            <w:vAlign w:val="center"/>
          </w:tcPr>
          <w:p w14:paraId="2D4A79D8"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1D311961"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环己亚胺</w:t>
            </w:r>
          </w:p>
        </w:tc>
        <w:tc>
          <w:tcPr>
            <w:tcW w:w="2900" w:type="dxa"/>
            <w:vAlign w:val="center"/>
          </w:tcPr>
          <w:p w14:paraId="7FA763C5" w14:textId="77777777" w:rsidR="00C056CB" w:rsidRPr="00446F67" w:rsidRDefault="00C056CB" w:rsidP="00AF0A5A">
            <w:pPr>
              <w:jc w:val="center"/>
              <w:rPr>
                <w:rFonts w:ascii="Calibri" w:hAnsi="Calibri"/>
                <w:snapToGrid w:val="0"/>
                <w:color w:val="auto"/>
                <w:szCs w:val="21"/>
              </w:rPr>
            </w:pPr>
            <w:r>
              <w:rPr>
                <w:rFonts w:ascii="Calibri" w:hAnsi="Calibri"/>
                <w:snapToGrid w:val="0"/>
                <w:color w:val="auto"/>
                <w:szCs w:val="21"/>
              </w:rPr>
              <w:t>0.03</w:t>
            </w:r>
          </w:p>
        </w:tc>
      </w:tr>
      <w:tr w:rsidR="00C056CB" w:rsidRPr="00446F67" w14:paraId="183E0BD2" w14:textId="77777777" w:rsidTr="004C077A">
        <w:trPr>
          <w:trHeight w:val="340"/>
        </w:trPr>
        <w:tc>
          <w:tcPr>
            <w:tcW w:w="2679" w:type="dxa"/>
            <w:vMerge/>
            <w:vAlign w:val="center"/>
          </w:tcPr>
          <w:p w14:paraId="725A8048"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14F82CEA"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己二胺</w:t>
            </w:r>
          </w:p>
        </w:tc>
        <w:tc>
          <w:tcPr>
            <w:tcW w:w="2900" w:type="dxa"/>
            <w:vAlign w:val="center"/>
          </w:tcPr>
          <w:p w14:paraId="0FDFD012" w14:textId="77777777" w:rsidR="00C056CB" w:rsidRPr="00446F67" w:rsidRDefault="00D51E1D" w:rsidP="004C077A">
            <w:pPr>
              <w:jc w:val="center"/>
              <w:rPr>
                <w:rFonts w:ascii="Calibri" w:hAnsi="Calibri"/>
                <w:snapToGrid w:val="0"/>
                <w:color w:val="auto"/>
                <w:szCs w:val="21"/>
              </w:rPr>
            </w:pPr>
            <w:r>
              <w:rPr>
                <w:rFonts w:ascii="Calibri" w:hAnsi="Calibri"/>
                <w:snapToGrid w:val="0"/>
                <w:color w:val="auto"/>
                <w:szCs w:val="21"/>
              </w:rPr>
              <w:t>1.31</w:t>
            </w:r>
          </w:p>
        </w:tc>
      </w:tr>
      <w:tr w:rsidR="00C056CB" w:rsidRPr="00446F67" w14:paraId="043A9458" w14:textId="77777777" w:rsidTr="004C077A">
        <w:trPr>
          <w:trHeight w:val="340"/>
        </w:trPr>
        <w:tc>
          <w:tcPr>
            <w:tcW w:w="2679" w:type="dxa"/>
            <w:vMerge/>
            <w:vAlign w:val="center"/>
          </w:tcPr>
          <w:p w14:paraId="1F58437E"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18220833" w14:textId="77777777" w:rsidR="00C056CB" w:rsidRDefault="00D51E1D" w:rsidP="004C077A">
            <w:pPr>
              <w:jc w:val="center"/>
              <w:rPr>
                <w:rFonts w:ascii="Calibri" w:hAnsi="Calibri"/>
                <w:snapToGrid w:val="0"/>
                <w:color w:val="auto"/>
                <w:szCs w:val="21"/>
              </w:rPr>
            </w:pPr>
            <w:r>
              <w:rPr>
                <w:rFonts w:ascii="Calibri" w:hAnsi="Calibri" w:hint="eastAsia"/>
                <w:snapToGrid w:val="0"/>
                <w:color w:val="auto"/>
                <w:szCs w:val="21"/>
              </w:rPr>
              <w:t>癸二胺</w:t>
            </w:r>
          </w:p>
        </w:tc>
        <w:tc>
          <w:tcPr>
            <w:tcW w:w="2900" w:type="dxa"/>
            <w:vAlign w:val="center"/>
          </w:tcPr>
          <w:p w14:paraId="6CA154AE" w14:textId="77777777" w:rsidR="00C056CB" w:rsidRDefault="00D51E1D" w:rsidP="004C077A">
            <w:pPr>
              <w:jc w:val="center"/>
              <w:rPr>
                <w:rFonts w:ascii="Calibri" w:hAnsi="Calibri"/>
                <w:snapToGrid w:val="0"/>
                <w:color w:val="auto"/>
                <w:szCs w:val="21"/>
              </w:rPr>
            </w:pPr>
            <w:r>
              <w:rPr>
                <w:rFonts w:ascii="Calibri" w:hAnsi="Calibri" w:hint="eastAsia"/>
                <w:snapToGrid w:val="0"/>
                <w:color w:val="auto"/>
                <w:szCs w:val="21"/>
              </w:rPr>
              <w:t>0.042</w:t>
            </w:r>
          </w:p>
        </w:tc>
      </w:tr>
      <w:tr w:rsidR="00C056CB" w:rsidRPr="00446F67" w14:paraId="302BB484" w14:textId="77777777" w:rsidTr="004C077A">
        <w:trPr>
          <w:trHeight w:val="340"/>
        </w:trPr>
        <w:tc>
          <w:tcPr>
            <w:tcW w:w="2679" w:type="dxa"/>
            <w:vMerge/>
            <w:vAlign w:val="center"/>
          </w:tcPr>
          <w:p w14:paraId="5659B4A1"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4A737B53" w14:textId="77777777" w:rsidR="00C056CB" w:rsidRDefault="00D51E1D" w:rsidP="004C077A">
            <w:pPr>
              <w:jc w:val="center"/>
              <w:rPr>
                <w:rFonts w:ascii="Calibri" w:hAnsi="Calibri"/>
                <w:snapToGrid w:val="0"/>
                <w:color w:val="auto"/>
                <w:szCs w:val="21"/>
              </w:rPr>
            </w:pPr>
            <w:r>
              <w:rPr>
                <w:rFonts w:ascii="Calibri" w:hAnsi="Calibri" w:hint="eastAsia"/>
                <w:snapToGrid w:val="0"/>
                <w:color w:val="auto"/>
                <w:szCs w:val="21"/>
              </w:rPr>
              <w:t>癸二酸</w:t>
            </w:r>
          </w:p>
        </w:tc>
        <w:tc>
          <w:tcPr>
            <w:tcW w:w="2900" w:type="dxa"/>
            <w:vAlign w:val="center"/>
          </w:tcPr>
          <w:p w14:paraId="4B4EFC23" w14:textId="77777777" w:rsidR="00C056CB" w:rsidRDefault="00D51E1D" w:rsidP="004C077A">
            <w:pPr>
              <w:jc w:val="center"/>
              <w:rPr>
                <w:rFonts w:ascii="Calibri" w:hAnsi="Calibri"/>
                <w:snapToGrid w:val="0"/>
                <w:color w:val="auto"/>
                <w:szCs w:val="21"/>
              </w:rPr>
            </w:pPr>
            <w:r>
              <w:rPr>
                <w:rFonts w:ascii="Calibri" w:hAnsi="Calibri" w:hint="eastAsia"/>
                <w:snapToGrid w:val="0"/>
                <w:color w:val="auto"/>
                <w:szCs w:val="21"/>
              </w:rPr>
              <w:t>0.024</w:t>
            </w:r>
          </w:p>
        </w:tc>
      </w:tr>
      <w:tr w:rsidR="00C056CB" w:rsidRPr="00446F67" w14:paraId="2FBDFA3A" w14:textId="77777777" w:rsidTr="004C077A">
        <w:trPr>
          <w:trHeight w:val="340"/>
        </w:trPr>
        <w:tc>
          <w:tcPr>
            <w:tcW w:w="2679" w:type="dxa"/>
            <w:vMerge/>
            <w:vAlign w:val="center"/>
          </w:tcPr>
          <w:p w14:paraId="17B8F1B7"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2D1DB114" w14:textId="77777777" w:rsidR="00C056CB" w:rsidRDefault="00D51E1D" w:rsidP="004C077A">
            <w:pPr>
              <w:jc w:val="center"/>
              <w:rPr>
                <w:rFonts w:ascii="Calibri" w:hAnsi="Calibri"/>
                <w:snapToGrid w:val="0"/>
                <w:color w:val="auto"/>
                <w:szCs w:val="21"/>
              </w:rPr>
            </w:pPr>
            <w:r>
              <w:rPr>
                <w:rFonts w:ascii="Calibri" w:hAnsi="Calibri" w:hint="eastAsia"/>
                <w:snapToGrid w:val="0"/>
                <w:color w:val="auto"/>
                <w:szCs w:val="21"/>
              </w:rPr>
              <w:t>十二内</w:t>
            </w:r>
            <w:r>
              <w:rPr>
                <w:rFonts w:ascii="Calibri" w:hAnsi="Calibri"/>
                <w:snapToGrid w:val="0"/>
                <w:color w:val="auto"/>
                <w:szCs w:val="21"/>
              </w:rPr>
              <w:t>酰胺</w:t>
            </w:r>
          </w:p>
        </w:tc>
        <w:tc>
          <w:tcPr>
            <w:tcW w:w="2900" w:type="dxa"/>
            <w:vAlign w:val="center"/>
          </w:tcPr>
          <w:p w14:paraId="671F1D90" w14:textId="77777777" w:rsidR="00C056CB" w:rsidRDefault="00D51E1D" w:rsidP="004C077A">
            <w:pPr>
              <w:jc w:val="center"/>
              <w:rPr>
                <w:rFonts w:ascii="Calibri" w:hAnsi="Calibri"/>
                <w:snapToGrid w:val="0"/>
                <w:color w:val="auto"/>
                <w:szCs w:val="21"/>
              </w:rPr>
            </w:pPr>
            <w:r>
              <w:rPr>
                <w:rFonts w:ascii="Calibri" w:hAnsi="Calibri" w:hint="eastAsia"/>
                <w:snapToGrid w:val="0"/>
                <w:color w:val="auto"/>
                <w:szCs w:val="21"/>
              </w:rPr>
              <w:t>0.36</w:t>
            </w:r>
          </w:p>
        </w:tc>
      </w:tr>
      <w:tr w:rsidR="00C056CB" w:rsidRPr="00446F67" w14:paraId="38FE44AB" w14:textId="77777777" w:rsidTr="004C077A">
        <w:trPr>
          <w:trHeight w:val="340"/>
        </w:trPr>
        <w:tc>
          <w:tcPr>
            <w:tcW w:w="2679" w:type="dxa"/>
            <w:vMerge w:val="restart"/>
            <w:vAlign w:val="center"/>
          </w:tcPr>
          <w:p w14:paraId="26353F8A" w14:textId="77777777" w:rsidR="00C056CB" w:rsidRDefault="00C056CB" w:rsidP="00C056CB">
            <w:pPr>
              <w:jc w:val="center"/>
              <w:rPr>
                <w:rFonts w:ascii="Calibri" w:hAnsi="Calibri"/>
                <w:snapToGrid w:val="0"/>
                <w:color w:val="auto"/>
                <w:szCs w:val="21"/>
              </w:rPr>
            </w:pPr>
            <w:r>
              <w:rPr>
                <w:rFonts w:ascii="Calibri" w:hAnsi="Calibri" w:hint="eastAsia"/>
                <w:snapToGrid w:val="0"/>
                <w:color w:val="auto"/>
                <w:szCs w:val="21"/>
              </w:rPr>
              <w:t>二期工程排气洗涤废水</w:t>
            </w:r>
            <w:r>
              <w:rPr>
                <w:rFonts w:ascii="Calibri" w:hAnsi="Calibri"/>
                <w:sz w:val="20"/>
                <w:szCs w:val="20"/>
              </w:rPr>
              <w:t>411.675</w:t>
            </w:r>
            <w:r>
              <w:rPr>
                <w:rFonts w:ascii="Calibri" w:hAnsi="Calibri"/>
                <w:snapToGrid w:val="0"/>
                <w:color w:val="auto"/>
                <w:szCs w:val="21"/>
              </w:rPr>
              <w:t>t/a</w:t>
            </w:r>
          </w:p>
        </w:tc>
        <w:tc>
          <w:tcPr>
            <w:tcW w:w="3121" w:type="dxa"/>
            <w:vAlign w:val="center"/>
          </w:tcPr>
          <w:p w14:paraId="63D35B03" w14:textId="77777777" w:rsidR="00C056CB" w:rsidRDefault="00C056CB" w:rsidP="004C077A">
            <w:pPr>
              <w:jc w:val="center"/>
              <w:rPr>
                <w:rFonts w:ascii="Calibri" w:hAnsi="Calibri"/>
                <w:snapToGrid w:val="0"/>
                <w:color w:val="auto"/>
                <w:szCs w:val="21"/>
              </w:rPr>
            </w:pPr>
            <w:r>
              <w:rPr>
                <w:rFonts w:ascii="Calibri" w:hAnsi="Calibri" w:hint="eastAsia"/>
                <w:snapToGrid w:val="0"/>
                <w:color w:val="auto"/>
                <w:szCs w:val="21"/>
              </w:rPr>
              <w:t>水</w:t>
            </w:r>
          </w:p>
        </w:tc>
        <w:tc>
          <w:tcPr>
            <w:tcW w:w="2900" w:type="dxa"/>
            <w:vAlign w:val="center"/>
          </w:tcPr>
          <w:p w14:paraId="3E575FAD" w14:textId="77777777" w:rsidR="00C056CB" w:rsidRPr="00446F67" w:rsidRDefault="00D51E1D" w:rsidP="004C077A">
            <w:pPr>
              <w:jc w:val="center"/>
              <w:rPr>
                <w:rFonts w:ascii="Calibri" w:hAnsi="Calibri"/>
                <w:snapToGrid w:val="0"/>
                <w:color w:val="auto"/>
                <w:szCs w:val="21"/>
              </w:rPr>
            </w:pPr>
            <w:r>
              <w:rPr>
                <w:rFonts w:ascii="Calibri" w:hAnsi="Calibri"/>
                <w:snapToGrid w:val="0"/>
                <w:color w:val="auto"/>
                <w:szCs w:val="21"/>
              </w:rPr>
              <w:t>410.46</w:t>
            </w:r>
          </w:p>
        </w:tc>
      </w:tr>
      <w:tr w:rsidR="00C056CB" w:rsidRPr="00446F67" w14:paraId="497BE9AA" w14:textId="77777777" w:rsidTr="004C077A">
        <w:trPr>
          <w:trHeight w:val="340"/>
        </w:trPr>
        <w:tc>
          <w:tcPr>
            <w:tcW w:w="2679" w:type="dxa"/>
            <w:vMerge/>
            <w:vAlign w:val="center"/>
          </w:tcPr>
          <w:p w14:paraId="0D9D1F47"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5FC5A163"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氨</w:t>
            </w:r>
          </w:p>
        </w:tc>
        <w:tc>
          <w:tcPr>
            <w:tcW w:w="2900" w:type="dxa"/>
            <w:vAlign w:val="center"/>
          </w:tcPr>
          <w:p w14:paraId="3BCD2E74" w14:textId="77777777" w:rsidR="00C056CB" w:rsidRPr="00446F67" w:rsidRDefault="00C056CB" w:rsidP="00DB3F27">
            <w:pPr>
              <w:jc w:val="center"/>
              <w:rPr>
                <w:rFonts w:ascii="Calibri" w:hAnsi="Calibri"/>
                <w:snapToGrid w:val="0"/>
                <w:color w:val="auto"/>
                <w:szCs w:val="21"/>
              </w:rPr>
            </w:pPr>
            <w:r>
              <w:rPr>
                <w:rFonts w:ascii="Calibri" w:hAnsi="Calibri"/>
                <w:snapToGrid w:val="0"/>
                <w:color w:val="auto"/>
                <w:szCs w:val="21"/>
              </w:rPr>
              <w:t>0.002</w:t>
            </w:r>
          </w:p>
        </w:tc>
      </w:tr>
      <w:tr w:rsidR="00C056CB" w:rsidRPr="00446F67" w14:paraId="620377A8" w14:textId="77777777" w:rsidTr="004C077A">
        <w:trPr>
          <w:trHeight w:val="340"/>
        </w:trPr>
        <w:tc>
          <w:tcPr>
            <w:tcW w:w="2679" w:type="dxa"/>
            <w:vMerge/>
            <w:vAlign w:val="center"/>
          </w:tcPr>
          <w:p w14:paraId="31BFEA36"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2A88F016"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己二酸</w:t>
            </w:r>
          </w:p>
        </w:tc>
        <w:tc>
          <w:tcPr>
            <w:tcW w:w="2900" w:type="dxa"/>
            <w:vAlign w:val="center"/>
          </w:tcPr>
          <w:p w14:paraId="626F46FE" w14:textId="77777777" w:rsidR="00C056CB" w:rsidRPr="00446F67" w:rsidRDefault="00D51E1D" w:rsidP="00DB3F27">
            <w:pPr>
              <w:jc w:val="center"/>
              <w:rPr>
                <w:rFonts w:ascii="Calibri" w:hAnsi="Calibri"/>
                <w:snapToGrid w:val="0"/>
                <w:color w:val="auto"/>
                <w:szCs w:val="21"/>
              </w:rPr>
            </w:pPr>
            <w:r>
              <w:rPr>
                <w:rFonts w:ascii="Calibri" w:hAnsi="Calibri"/>
                <w:snapToGrid w:val="0"/>
                <w:color w:val="auto"/>
                <w:szCs w:val="21"/>
              </w:rPr>
              <w:t>0.13</w:t>
            </w:r>
          </w:p>
        </w:tc>
      </w:tr>
      <w:tr w:rsidR="00C056CB" w:rsidRPr="00446F67" w14:paraId="2E2517CC" w14:textId="77777777" w:rsidTr="004C077A">
        <w:trPr>
          <w:trHeight w:val="340"/>
        </w:trPr>
        <w:tc>
          <w:tcPr>
            <w:tcW w:w="2679" w:type="dxa"/>
            <w:vMerge/>
            <w:vAlign w:val="center"/>
          </w:tcPr>
          <w:p w14:paraId="3A124BC3"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6AF1489C"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环戊酮</w:t>
            </w:r>
          </w:p>
        </w:tc>
        <w:tc>
          <w:tcPr>
            <w:tcW w:w="2900" w:type="dxa"/>
            <w:vAlign w:val="center"/>
          </w:tcPr>
          <w:p w14:paraId="457B8188" w14:textId="77777777" w:rsidR="00C056CB" w:rsidRPr="00446F67" w:rsidRDefault="00C056CB" w:rsidP="00D51E1D">
            <w:pPr>
              <w:jc w:val="center"/>
              <w:rPr>
                <w:rFonts w:ascii="Calibri" w:hAnsi="Calibri"/>
                <w:snapToGrid w:val="0"/>
                <w:color w:val="auto"/>
                <w:szCs w:val="21"/>
              </w:rPr>
            </w:pPr>
            <w:r>
              <w:rPr>
                <w:rFonts w:ascii="Calibri" w:hAnsi="Calibri"/>
                <w:snapToGrid w:val="0"/>
                <w:color w:val="auto"/>
                <w:szCs w:val="21"/>
              </w:rPr>
              <w:t>0.01</w:t>
            </w:r>
            <w:r w:rsidR="00D51E1D">
              <w:rPr>
                <w:rFonts w:ascii="Calibri" w:hAnsi="Calibri"/>
                <w:snapToGrid w:val="0"/>
                <w:color w:val="auto"/>
                <w:szCs w:val="21"/>
              </w:rPr>
              <w:t>4</w:t>
            </w:r>
          </w:p>
        </w:tc>
      </w:tr>
      <w:tr w:rsidR="00C056CB" w:rsidRPr="00446F67" w14:paraId="20F966EB" w14:textId="77777777" w:rsidTr="004C077A">
        <w:trPr>
          <w:trHeight w:val="340"/>
        </w:trPr>
        <w:tc>
          <w:tcPr>
            <w:tcW w:w="2679" w:type="dxa"/>
            <w:vMerge/>
            <w:vAlign w:val="center"/>
          </w:tcPr>
          <w:p w14:paraId="600EBB55"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30359DFF"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环己亚胺</w:t>
            </w:r>
          </w:p>
        </w:tc>
        <w:tc>
          <w:tcPr>
            <w:tcW w:w="2900" w:type="dxa"/>
            <w:vAlign w:val="center"/>
          </w:tcPr>
          <w:p w14:paraId="13FB0B9E" w14:textId="77777777" w:rsidR="00C056CB" w:rsidRPr="00446F67" w:rsidRDefault="00C056CB" w:rsidP="00D51E1D">
            <w:pPr>
              <w:jc w:val="center"/>
              <w:rPr>
                <w:rFonts w:ascii="Calibri" w:hAnsi="Calibri"/>
                <w:snapToGrid w:val="0"/>
                <w:color w:val="auto"/>
                <w:szCs w:val="21"/>
              </w:rPr>
            </w:pPr>
            <w:r>
              <w:rPr>
                <w:rFonts w:ascii="Calibri" w:hAnsi="Calibri"/>
                <w:snapToGrid w:val="0"/>
                <w:color w:val="auto"/>
                <w:szCs w:val="21"/>
              </w:rPr>
              <w:t>0.0</w:t>
            </w:r>
            <w:r w:rsidR="00D51E1D">
              <w:rPr>
                <w:rFonts w:ascii="Calibri" w:hAnsi="Calibri"/>
                <w:snapToGrid w:val="0"/>
                <w:color w:val="auto"/>
                <w:szCs w:val="21"/>
              </w:rPr>
              <w:t>2</w:t>
            </w:r>
          </w:p>
        </w:tc>
      </w:tr>
      <w:tr w:rsidR="00C056CB" w:rsidRPr="00446F67" w14:paraId="3C8DC942" w14:textId="77777777" w:rsidTr="004C077A">
        <w:trPr>
          <w:trHeight w:val="340"/>
        </w:trPr>
        <w:tc>
          <w:tcPr>
            <w:tcW w:w="2679" w:type="dxa"/>
            <w:vMerge/>
            <w:vAlign w:val="center"/>
          </w:tcPr>
          <w:p w14:paraId="1AEE19E5" w14:textId="77777777" w:rsidR="00C056CB" w:rsidRPr="00446F67" w:rsidRDefault="00C056CB" w:rsidP="004C077A">
            <w:pPr>
              <w:jc w:val="center"/>
              <w:rPr>
                <w:rFonts w:ascii="Calibri" w:hAnsi="Calibri"/>
                <w:snapToGrid w:val="0"/>
                <w:color w:val="auto"/>
                <w:szCs w:val="21"/>
              </w:rPr>
            </w:pPr>
          </w:p>
        </w:tc>
        <w:tc>
          <w:tcPr>
            <w:tcW w:w="3121" w:type="dxa"/>
            <w:vAlign w:val="center"/>
          </w:tcPr>
          <w:p w14:paraId="3B641579" w14:textId="77777777" w:rsidR="00C056CB" w:rsidRPr="00446F67" w:rsidRDefault="00C056CB" w:rsidP="004C077A">
            <w:pPr>
              <w:jc w:val="center"/>
              <w:rPr>
                <w:rFonts w:ascii="Calibri" w:hAnsi="Calibri"/>
                <w:snapToGrid w:val="0"/>
                <w:color w:val="auto"/>
                <w:szCs w:val="21"/>
              </w:rPr>
            </w:pPr>
            <w:r>
              <w:rPr>
                <w:rFonts w:ascii="Calibri" w:hAnsi="Calibri" w:hint="eastAsia"/>
                <w:snapToGrid w:val="0"/>
                <w:color w:val="auto"/>
                <w:szCs w:val="21"/>
              </w:rPr>
              <w:t>己二胺</w:t>
            </w:r>
          </w:p>
        </w:tc>
        <w:tc>
          <w:tcPr>
            <w:tcW w:w="2900" w:type="dxa"/>
            <w:vAlign w:val="center"/>
          </w:tcPr>
          <w:p w14:paraId="09988E0A" w14:textId="77777777" w:rsidR="00C056CB" w:rsidRPr="00446F67" w:rsidRDefault="00A5147C" w:rsidP="004C077A">
            <w:pPr>
              <w:jc w:val="center"/>
              <w:rPr>
                <w:rFonts w:ascii="Calibri" w:hAnsi="Calibri"/>
                <w:snapToGrid w:val="0"/>
                <w:color w:val="auto"/>
                <w:szCs w:val="21"/>
              </w:rPr>
            </w:pPr>
            <w:r>
              <w:rPr>
                <w:rFonts w:ascii="Calibri" w:hAnsi="Calibri"/>
                <w:snapToGrid w:val="0"/>
                <w:color w:val="auto"/>
                <w:szCs w:val="21"/>
              </w:rPr>
              <w:t>0.79</w:t>
            </w:r>
          </w:p>
        </w:tc>
      </w:tr>
      <w:tr w:rsidR="00A5147C" w:rsidRPr="00446F67" w14:paraId="7AC1714B" w14:textId="77777777" w:rsidTr="004C077A">
        <w:trPr>
          <w:trHeight w:val="340"/>
        </w:trPr>
        <w:tc>
          <w:tcPr>
            <w:tcW w:w="2679" w:type="dxa"/>
            <w:vMerge/>
            <w:vAlign w:val="center"/>
          </w:tcPr>
          <w:p w14:paraId="266EC896" w14:textId="77777777" w:rsidR="00A5147C" w:rsidRPr="00446F67" w:rsidRDefault="00A5147C" w:rsidP="00A5147C">
            <w:pPr>
              <w:jc w:val="center"/>
              <w:rPr>
                <w:rFonts w:ascii="Calibri" w:hAnsi="Calibri"/>
                <w:snapToGrid w:val="0"/>
                <w:color w:val="auto"/>
                <w:szCs w:val="21"/>
              </w:rPr>
            </w:pPr>
          </w:p>
        </w:tc>
        <w:tc>
          <w:tcPr>
            <w:tcW w:w="3121" w:type="dxa"/>
            <w:vAlign w:val="center"/>
          </w:tcPr>
          <w:p w14:paraId="0311F3A5" w14:textId="77777777" w:rsidR="00A5147C" w:rsidRDefault="00A5147C" w:rsidP="00A5147C">
            <w:pPr>
              <w:jc w:val="center"/>
              <w:rPr>
                <w:rFonts w:ascii="Calibri" w:hAnsi="Calibri"/>
                <w:snapToGrid w:val="0"/>
                <w:color w:val="auto"/>
                <w:szCs w:val="21"/>
              </w:rPr>
            </w:pPr>
            <w:r>
              <w:rPr>
                <w:rFonts w:ascii="Calibri" w:hAnsi="Calibri" w:hint="eastAsia"/>
                <w:snapToGrid w:val="0"/>
                <w:color w:val="auto"/>
                <w:szCs w:val="21"/>
              </w:rPr>
              <w:t>癸二胺</w:t>
            </w:r>
          </w:p>
        </w:tc>
        <w:tc>
          <w:tcPr>
            <w:tcW w:w="2900" w:type="dxa"/>
            <w:vAlign w:val="center"/>
          </w:tcPr>
          <w:p w14:paraId="62BCA98D" w14:textId="77777777" w:rsidR="00A5147C" w:rsidRDefault="00A5147C" w:rsidP="00A5147C">
            <w:pPr>
              <w:jc w:val="center"/>
              <w:rPr>
                <w:rFonts w:ascii="Calibri" w:hAnsi="Calibri"/>
                <w:snapToGrid w:val="0"/>
                <w:color w:val="auto"/>
                <w:szCs w:val="21"/>
              </w:rPr>
            </w:pPr>
            <w:r>
              <w:rPr>
                <w:rFonts w:ascii="Calibri" w:hAnsi="Calibri" w:hint="eastAsia"/>
                <w:snapToGrid w:val="0"/>
                <w:color w:val="auto"/>
                <w:szCs w:val="21"/>
              </w:rPr>
              <w:t>0.025</w:t>
            </w:r>
          </w:p>
        </w:tc>
      </w:tr>
      <w:tr w:rsidR="00A5147C" w:rsidRPr="00446F67" w14:paraId="072642C6" w14:textId="77777777" w:rsidTr="004C077A">
        <w:trPr>
          <w:trHeight w:val="340"/>
        </w:trPr>
        <w:tc>
          <w:tcPr>
            <w:tcW w:w="2679" w:type="dxa"/>
            <w:vMerge/>
            <w:vAlign w:val="center"/>
          </w:tcPr>
          <w:p w14:paraId="6A2450BD" w14:textId="77777777" w:rsidR="00A5147C" w:rsidRPr="00446F67" w:rsidRDefault="00A5147C" w:rsidP="00A5147C">
            <w:pPr>
              <w:jc w:val="center"/>
              <w:rPr>
                <w:rFonts w:ascii="Calibri" w:hAnsi="Calibri"/>
                <w:snapToGrid w:val="0"/>
                <w:color w:val="auto"/>
                <w:szCs w:val="21"/>
              </w:rPr>
            </w:pPr>
          </w:p>
        </w:tc>
        <w:tc>
          <w:tcPr>
            <w:tcW w:w="3121" w:type="dxa"/>
            <w:vAlign w:val="center"/>
          </w:tcPr>
          <w:p w14:paraId="0E3A64AA" w14:textId="77777777" w:rsidR="00A5147C" w:rsidRDefault="00A5147C" w:rsidP="00A5147C">
            <w:pPr>
              <w:jc w:val="center"/>
              <w:rPr>
                <w:rFonts w:ascii="Calibri" w:hAnsi="Calibri"/>
                <w:snapToGrid w:val="0"/>
                <w:color w:val="auto"/>
                <w:szCs w:val="21"/>
              </w:rPr>
            </w:pPr>
            <w:r>
              <w:rPr>
                <w:rFonts w:ascii="Calibri" w:hAnsi="Calibri" w:hint="eastAsia"/>
                <w:snapToGrid w:val="0"/>
                <w:color w:val="auto"/>
                <w:szCs w:val="21"/>
              </w:rPr>
              <w:t>癸二酸</w:t>
            </w:r>
          </w:p>
        </w:tc>
        <w:tc>
          <w:tcPr>
            <w:tcW w:w="2900" w:type="dxa"/>
            <w:vAlign w:val="center"/>
          </w:tcPr>
          <w:p w14:paraId="713486DA" w14:textId="77777777" w:rsidR="00A5147C" w:rsidRDefault="00A5147C" w:rsidP="00A5147C">
            <w:pPr>
              <w:jc w:val="center"/>
              <w:rPr>
                <w:rFonts w:ascii="Calibri" w:hAnsi="Calibri"/>
                <w:snapToGrid w:val="0"/>
                <w:color w:val="auto"/>
                <w:szCs w:val="21"/>
              </w:rPr>
            </w:pPr>
            <w:r>
              <w:rPr>
                <w:rFonts w:ascii="Calibri" w:hAnsi="Calibri" w:hint="eastAsia"/>
                <w:snapToGrid w:val="0"/>
                <w:color w:val="auto"/>
                <w:szCs w:val="21"/>
              </w:rPr>
              <w:t>0.014</w:t>
            </w:r>
          </w:p>
        </w:tc>
      </w:tr>
      <w:tr w:rsidR="00A5147C" w:rsidRPr="00446F67" w14:paraId="05E993BE" w14:textId="77777777" w:rsidTr="004C077A">
        <w:trPr>
          <w:trHeight w:val="340"/>
        </w:trPr>
        <w:tc>
          <w:tcPr>
            <w:tcW w:w="2679" w:type="dxa"/>
            <w:vMerge/>
            <w:vAlign w:val="center"/>
          </w:tcPr>
          <w:p w14:paraId="61DC56DB" w14:textId="77777777" w:rsidR="00A5147C" w:rsidRPr="00446F67" w:rsidRDefault="00A5147C" w:rsidP="00A5147C">
            <w:pPr>
              <w:jc w:val="center"/>
              <w:rPr>
                <w:rFonts w:ascii="Calibri" w:hAnsi="Calibri"/>
                <w:snapToGrid w:val="0"/>
                <w:color w:val="auto"/>
                <w:szCs w:val="21"/>
              </w:rPr>
            </w:pPr>
          </w:p>
        </w:tc>
        <w:tc>
          <w:tcPr>
            <w:tcW w:w="3121" w:type="dxa"/>
            <w:vAlign w:val="center"/>
          </w:tcPr>
          <w:p w14:paraId="5CFD00D9" w14:textId="77777777" w:rsidR="00A5147C" w:rsidRDefault="00A5147C" w:rsidP="00A5147C">
            <w:pPr>
              <w:jc w:val="center"/>
              <w:rPr>
                <w:rFonts w:ascii="Calibri" w:hAnsi="Calibri"/>
                <w:snapToGrid w:val="0"/>
                <w:color w:val="auto"/>
                <w:szCs w:val="21"/>
              </w:rPr>
            </w:pPr>
            <w:r>
              <w:rPr>
                <w:rFonts w:ascii="Calibri" w:hAnsi="Calibri" w:hint="eastAsia"/>
                <w:snapToGrid w:val="0"/>
                <w:color w:val="auto"/>
                <w:szCs w:val="21"/>
              </w:rPr>
              <w:t>十二内</w:t>
            </w:r>
            <w:r>
              <w:rPr>
                <w:rFonts w:ascii="Calibri" w:hAnsi="Calibri"/>
                <w:snapToGrid w:val="0"/>
                <w:color w:val="auto"/>
                <w:szCs w:val="21"/>
              </w:rPr>
              <w:t>酰胺</w:t>
            </w:r>
          </w:p>
        </w:tc>
        <w:tc>
          <w:tcPr>
            <w:tcW w:w="2900" w:type="dxa"/>
            <w:vAlign w:val="center"/>
          </w:tcPr>
          <w:p w14:paraId="7116773F" w14:textId="77777777" w:rsidR="00A5147C" w:rsidRDefault="00A5147C" w:rsidP="00A5147C">
            <w:pPr>
              <w:jc w:val="center"/>
              <w:rPr>
                <w:rFonts w:ascii="Calibri" w:hAnsi="Calibri"/>
                <w:snapToGrid w:val="0"/>
                <w:color w:val="auto"/>
                <w:szCs w:val="21"/>
              </w:rPr>
            </w:pPr>
            <w:r>
              <w:rPr>
                <w:rFonts w:ascii="Calibri" w:hAnsi="Calibri" w:hint="eastAsia"/>
                <w:snapToGrid w:val="0"/>
                <w:color w:val="auto"/>
                <w:szCs w:val="21"/>
              </w:rPr>
              <w:t>0.22</w:t>
            </w:r>
          </w:p>
        </w:tc>
      </w:tr>
    </w:tbl>
    <w:p w14:paraId="6CD58A35" w14:textId="77777777" w:rsidR="00A5147C" w:rsidRDefault="00B21873" w:rsidP="00A5147C">
      <w:pPr>
        <w:pStyle w:val="00"/>
        <w:rPr>
          <w:rFonts w:ascii="Calibri" w:hAnsi="Calibri"/>
          <w:color w:val="auto"/>
          <w:kern w:val="0"/>
          <w:szCs w:val="21"/>
        </w:rPr>
      </w:pPr>
      <w:r w:rsidRPr="0027293F">
        <w:rPr>
          <w:rFonts w:ascii="Calibri" w:hAnsi="Calibri" w:hint="eastAsia"/>
          <w:color w:val="auto"/>
          <w:kern w:val="0"/>
          <w:szCs w:val="21"/>
        </w:rPr>
        <w:lastRenderedPageBreak/>
        <w:t>根据</w:t>
      </w:r>
      <w:r w:rsidRPr="0027293F">
        <w:rPr>
          <w:rFonts w:ascii="Calibri" w:hAnsi="Calibri"/>
          <w:color w:val="auto"/>
          <w:kern w:val="0"/>
          <w:szCs w:val="21"/>
        </w:rPr>
        <w:t>理论数据</w:t>
      </w:r>
      <w:r w:rsidRPr="0027293F">
        <w:rPr>
          <w:rFonts w:ascii="Calibri" w:hAnsi="Calibri" w:hint="eastAsia"/>
          <w:color w:val="auto"/>
          <w:kern w:val="0"/>
          <w:szCs w:val="21"/>
        </w:rPr>
        <w:t>，</w:t>
      </w:r>
      <w:r w:rsidR="00A5147C" w:rsidRPr="001C6395">
        <w:rPr>
          <w:rFonts w:ascii="Calibri" w:hAnsi="Calibri" w:hint="eastAsia"/>
          <w:color w:val="auto"/>
          <w:kern w:val="0"/>
          <w:szCs w:val="21"/>
        </w:rPr>
        <w:t>1g</w:t>
      </w:r>
      <w:r w:rsidR="00A5147C">
        <w:rPr>
          <w:rFonts w:ascii="Calibri" w:hAnsi="Calibri" w:hint="eastAsia"/>
          <w:color w:val="auto"/>
          <w:kern w:val="0"/>
          <w:szCs w:val="21"/>
        </w:rPr>
        <w:t>己二酸</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COD</w:t>
      </w:r>
      <w:r w:rsidR="00A5147C" w:rsidRPr="001C6395">
        <w:rPr>
          <w:rFonts w:ascii="Calibri" w:hAnsi="Calibri" w:hint="eastAsia"/>
          <w:color w:val="auto"/>
          <w:kern w:val="0"/>
          <w:szCs w:val="21"/>
        </w:rPr>
        <w:t>值为</w:t>
      </w:r>
      <w:r w:rsidR="00A5147C">
        <w:rPr>
          <w:rFonts w:ascii="Calibri" w:hAnsi="Calibri"/>
          <w:color w:val="auto"/>
          <w:kern w:val="0"/>
          <w:szCs w:val="21"/>
        </w:rPr>
        <w:t>1.39</w:t>
      </w:r>
      <w:r w:rsidR="00A5147C" w:rsidRPr="001C6395">
        <w:rPr>
          <w:rFonts w:ascii="Calibri" w:hAnsi="Calibri" w:hint="eastAsia"/>
          <w:color w:val="auto"/>
          <w:kern w:val="0"/>
          <w:szCs w:val="21"/>
        </w:rPr>
        <w:t>g</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BOD</w:t>
      </w:r>
      <w:r w:rsidR="00A5147C" w:rsidRPr="001C6395">
        <w:rPr>
          <w:rFonts w:ascii="Calibri" w:hAnsi="Calibri" w:hint="eastAsia"/>
          <w:color w:val="auto"/>
          <w:kern w:val="0"/>
          <w:szCs w:val="21"/>
          <w:vertAlign w:val="subscript"/>
        </w:rPr>
        <w:t>5</w:t>
      </w:r>
      <w:r w:rsidR="00A5147C" w:rsidRPr="001C6395">
        <w:rPr>
          <w:rFonts w:ascii="Calibri" w:hAnsi="Calibri" w:hint="eastAsia"/>
          <w:color w:val="auto"/>
          <w:kern w:val="0"/>
          <w:szCs w:val="21"/>
        </w:rPr>
        <w:t>值为</w:t>
      </w:r>
      <w:r w:rsidR="00A5147C" w:rsidRPr="00936F1B">
        <w:rPr>
          <w:rFonts w:ascii="Calibri" w:hAnsi="Calibri"/>
          <w:color w:val="auto"/>
          <w:kern w:val="0"/>
          <w:szCs w:val="21"/>
        </w:rPr>
        <w:t>0.598</w:t>
      </w:r>
      <w:r w:rsidR="00A5147C" w:rsidRPr="001C6395">
        <w:rPr>
          <w:rFonts w:ascii="Calibri" w:hAnsi="Calibri" w:hint="eastAsia"/>
          <w:color w:val="auto"/>
          <w:kern w:val="0"/>
          <w:szCs w:val="21"/>
        </w:rPr>
        <w:t>g</w:t>
      </w:r>
      <w:r w:rsidR="00A5147C">
        <w:rPr>
          <w:rFonts w:ascii="Calibri" w:hAnsi="Calibri" w:hint="eastAsia"/>
          <w:color w:val="auto"/>
          <w:kern w:val="0"/>
          <w:szCs w:val="21"/>
        </w:rPr>
        <w:t>；</w:t>
      </w:r>
      <w:r w:rsidR="00A5147C" w:rsidRPr="001C6395">
        <w:rPr>
          <w:rFonts w:ascii="Calibri" w:hAnsi="Calibri" w:hint="eastAsia"/>
          <w:color w:val="auto"/>
          <w:kern w:val="0"/>
          <w:szCs w:val="21"/>
        </w:rPr>
        <w:t>1g</w:t>
      </w:r>
      <w:r w:rsidR="00A5147C">
        <w:rPr>
          <w:rFonts w:ascii="Calibri" w:hAnsi="Calibri" w:hint="eastAsia"/>
          <w:color w:val="auto"/>
          <w:kern w:val="0"/>
          <w:szCs w:val="21"/>
        </w:rPr>
        <w:t>己二胺</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COD</w:t>
      </w:r>
      <w:r w:rsidR="00A5147C" w:rsidRPr="001C6395">
        <w:rPr>
          <w:rFonts w:ascii="Calibri" w:hAnsi="Calibri" w:hint="eastAsia"/>
          <w:color w:val="auto"/>
          <w:kern w:val="0"/>
          <w:szCs w:val="21"/>
        </w:rPr>
        <w:t>值为</w:t>
      </w:r>
      <w:r w:rsidR="00A5147C">
        <w:rPr>
          <w:rFonts w:ascii="Calibri" w:hAnsi="Calibri"/>
          <w:color w:val="auto"/>
          <w:kern w:val="0"/>
          <w:szCs w:val="21"/>
        </w:rPr>
        <w:t>1.58</w:t>
      </w:r>
      <w:r w:rsidR="00A5147C" w:rsidRPr="001C6395">
        <w:rPr>
          <w:rFonts w:ascii="Calibri" w:hAnsi="Calibri" w:hint="eastAsia"/>
          <w:color w:val="auto"/>
          <w:kern w:val="0"/>
          <w:szCs w:val="21"/>
        </w:rPr>
        <w:t>g</w:t>
      </w:r>
      <w:r w:rsidR="00A5147C">
        <w:rPr>
          <w:rFonts w:ascii="Calibri" w:hAnsi="Calibri" w:hint="eastAsia"/>
          <w:color w:val="auto"/>
          <w:kern w:val="0"/>
          <w:szCs w:val="21"/>
        </w:rPr>
        <w:t>，</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BOD</w:t>
      </w:r>
      <w:r w:rsidR="00A5147C" w:rsidRPr="001C6395">
        <w:rPr>
          <w:rFonts w:ascii="Calibri" w:hAnsi="Calibri" w:hint="eastAsia"/>
          <w:color w:val="auto"/>
          <w:kern w:val="0"/>
          <w:szCs w:val="21"/>
          <w:vertAlign w:val="subscript"/>
        </w:rPr>
        <w:t>5</w:t>
      </w:r>
      <w:r w:rsidR="00A5147C" w:rsidRPr="001C6395">
        <w:rPr>
          <w:rFonts w:ascii="Calibri" w:hAnsi="Calibri" w:hint="eastAsia"/>
          <w:color w:val="auto"/>
          <w:kern w:val="0"/>
          <w:szCs w:val="21"/>
        </w:rPr>
        <w:t>值为</w:t>
      </w:r>
      <w:r w:rsidR="00A5147C">
        <w:rPr>
          <w:rFonts w:ascii="Calibri" w:hAnsi="Calibri"/>
          <w:color w:val="auto"/>
          <w:kern w:val="0"/>
          <w:szCs w:val="21"/>
        </w:rPr>
        <w:t>0.616</w:t>
      </w:r>
      <w:r w:rsidR="00A5147C" w:rsidRPr="001C6395">
        <w:rPr>
          <w:rFonts w:ascii="Calibri" w:hAnsi="Calibri" w:hint="eastAsia"/>
          <w:color w:val="auto"/>
          <w:kern w:val="0"/>
          <w:szCs w:val="21"/>
        </w:rPr>
        <w:t>g</w:t>
      </w:r>
      <w:r w:rsidR="00A5147C">
        <w:rPr>
          <w:rFonts w:ascii="Calibri" w:hAnsi="Calibri" w:hint="eastAsia"/>
          <w:color w:val="auto"/>
          <w:kern w:val="0"/>
          <w:szCs w:val="21"/>
        </w:rPr>
        <w:t>，折合</w:t>
      </w:r>
      <w:r w:rsidR="00A5147C">
        <w:rPr>
          <w:rFonts w:ascii="Calibri" w:hAnsi="Calibri"/>
          <w:color w:val="auto"/>
          <w:kern w:val="0"/>
          <w:szCs w:val="21"/>
        </w:rPr>
        <w:t>成</w:t>
      </w:r>
      <w:r w:rsidR="00A5147C">
        <w:rPr>
          <w:rFonts w:ascii="Calibri" w:hAnsi="Calibri"/>
          <w:color w:val="auto"/>
          <w:kern w:val="0"/>
          <w:szCs w:val="21"/>
        </w:rPr>
        <w:t>NH</w:t>
      </w:r>
      <w:r w:rsidR="00A5147C" w:rsidRPr="005A256B">
        <w:rPr>
          <w:rFonts w:ascii="Calibri" w:hAnsi="Calibri"/>
          <w:color w:val="auto"/>
          <w:kern w:val="0"/>
          <w:szCs w:val="21"/>
          <w:vertAlign w:val="subscript"/>
        </w:rPr>
        <w:t>3</w:t>
      </w:r>
      <w:r w:rsidR="00A5147C">
        <w:rPr>
          <w:rFonts w:ascii="Calibri" w:hAnsi="Calibri"/>
          <w:color w:val="auto"/>
          <w:kern w:val="0"/>
          <w:szCs w:val="21"/>
        </w:rPr>
        <w:t>-N</w:t>
      </w:r>
      <w:r w:rsidR="00A5147C">
        <w:rPr>
          <w:rFonts w:ascii="Calibri" w:hAnsi="Calibri" w:hint="eastAsia"/>
          <w:color w:val="auto"/>
          <w:kern w:val="0"/>
          <w:szCs w:val="21"/>
        </w:rPr>
        <w:t>值</w:t>
      </w:r>
      <w:r w:rsidR="00A5147C">
        <w:rPr>
          <w:rFonts w:ascii="Calibri" w:hAnsi="Calibri"/>
          <w:color w:val="auto"/>
          <w:kern w:val="0"/>
          <w:szCs w:val="21"/>
        </w:rPr>
        <w:t>为</w:t>
      </w:r>
      <w:r w:rsidR="00A5147C">
        <w:rPr>
          <w:rFonts w:ascii="Calibri" w:hAnsi="Calibri" w:hint="eastAsia"/>
          <w:color w:val="auto"/>
          <w:kern w:val="0"/>
          <w:szCs w:val="21"/>
        </w:rPr>
        <w:t>0.</w:t>
      </w:r>
      <w:r w:rsidR="00A5147C">
        <w:rPr>
          <w:rFonts w:ascii="Calibri" w:hAnsi="Calibri"/>
          <w:color w:val="auto"/>
          <w:kern w:val="0"/>
          <w:szCs w:val="21"/>
        </w:rPr>
        <w:t>26</w:t>
      </w:r>
      <w:r w:rsidR="00A5147C" w:rsidRPr="00FC6C84">
        <w:rPr>
          <w:rFonts w:ascii="Calibri" w:hAnsi="Calibri"/>
          <w:color w:val="auto"/>
          <w:kern w:val="0"/>
          <w:szCs w:val="21"/>
        </w:rPr>
        <w:t>g</w:t>
      </w:r>
      <w:r w:rsidR="00A5147C">
        <w:rPr>
          <w:rFonts w:ascii="Calibri" w:hAnsi="Calibri" w:hint="eastAsia"/>
          <w:color w:val="auto"/>
          <w:kern w:val="0"/>
          <w:szCs w:val="21"/>
        </w:rPr>
        <w:t>；</w:t>
      </w:r>
      <w:r w:rsidR="00A5147C" w:rsidRPr="001C6395">
        <w:rPr>
          <w:rFonts w:ascii="Calibri" w:hAnsi="Calibri" w:hint="eastAsia"/>
          <w:color w:val="auto"/>
          <w:kern w:val="0"/>
          <w:szCs w:val="21"/>
        </w:rPr>
        <w:t>1g</w:t>
      </w:r>
      <w:r w:rsidR="00A5147C">
        <w:rPr>
          <w:rFonts w:ascii="Calibri" w:hAnsi="Calibri" w:hint="eastAsia"/>
          <w:color w:val="auto"/>
          <w:kern w:val="0"/>
          <w:szCs w:val="21"/>
        </w:rPr>
        <w:t>环戊酮</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COD</w:t>
      </w:r>
      <w:r w:rsidR="00A5147C" w:rsidRPr="001C6395">
        <w:rPr>
          <w:rFonts w:ascii="Calibri" w:hAnsi="Calibri" w:hint="eastAsia"/>
          <w:color w:val="auto"/>
          <w:kern w:val="0"/>
          <w:szCs w:val="21"/>
        </w:rPr>
        <w:t>值为</w:t>
      </w:r>
      <w:r w:rsidR="00A5147C">
        <w:rPr>
          <w:rFonts w:ascii="Calibri" w:hAnsi="Calibri"/>
          <w:color w:val="auto"/>
          <w:kern w:val="0"/>
          <w:szCs w:val="21"/>
        </w:rPr>
        <w:t>2.6</w:t>
      </w:r>
      <w:r w:rsidR="00A5147C" w:rsidRPr="001C6395">
        <w:rPr>
          <w:rFonts w:ascii="Calibri" w:hAnsi="Calibri" w:hint="eastAsia"/>
          <w:color w:val="auto"/>
          <w:kern w:val="0"/>
          <w:szCs w:val="21"/>
        </w:rPr>
        <w:t>g</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BOD</w:t>
      </w:r>
      <w:r w:rsidR="00A5147C" w:rsidRPr="001C6395">
        <w:rPr>
          <w:rFonts w:ascii="Calibri" w:hAnsi="Calibri" w:hint="eastAsia"/>
          <w:color w:val="auto"/>
          <w:kern w:val="0"/>
          <w:szCs w:val="21"/>
          <w:vertAlign w:val="subscript"/>
        </w:rPr>
        <w:t>5</w:t>
      </w:r>
      <w:r w:rsidR="00A5147C" w:rsidRPr="001C6395">
        <w:rPr>
          <w:rFonts w:ascii="Calibri" w:hAnsi="Calibri" w:hint="eastAsia"/>
          <w:color w:val="auto"/>
          <w:kern w:val="0"/>
          <w:szCs w:val="21"/>
        </w:rPr>
        <w:t>值为</w:t>
      </w:r>
      <w:r w:rsidR="00A5147C">
        <w:rPr>
          <w:rFonts w:ascii="Calibri" w:hAnsi="Calibri"/>
          <w:color w:val="auto"/>
          <w:kern w:val="0"/>
          <w:szCs w:val="21"/>
        </w:rPr>
        <w:t>1</w:t>
      </w:r>
      <w:r w:rsidR="00A5147C" w:rsidRPr="001C6395">
        <w:rPr>
          <w:rFonts w:ascii="Calibri" w:hAnsi="Calibri" w:hint="eastAsia"/>
          <w:color w:val="auto"/>
          <w:kern w:val="0"/>
          <w:szCs w:val="21"/>
        </w:rPr>
        <w:t>g</w:t>
      </w:r>
      <w:r w:rsidR="00A5147C">
        <w:rPr>
          <w:rFonts w:ascii="Calibri" w:hAnsi="Calibri" w:hint="eastAsia"/>
          <w:color w:val="auto"/>
          <w:kern w:val="0"/>
          <w:szCs w:val="21"/>
        </w:rPr>
        <w:t>；</w:t>
      </w:r>
      <w:r w:rsidR="00A5147C" w:rsidRPr="001C6395">
        <w:rPr>
          <w:rFonts w:ascii="Calibri" w:hAnsi="Calibri" w:hint="eastAsia"/>
          <w:color w:val="auto"/>
          <w:kern w:val="0"/>
          <w:szCs w:val="21"/>
        </w:rPr>
        <w:t>1g</w:t>
      </w:r>
      <w:r w:rsidR="00A5147C">
        <w:rPr>
          <w:rFonts w:ascii="Calibri" w:hAnsi="Calibri" w:hint="eastAsia"/>
          <w:color w:val="auto"/>
          <w:kern w:val="0"/>
          <w:szCs w:val="21"/>
        </w:rPr>
        <w:t>氨折合</w:t>
      </w:r>
      <w:r w:rsidR="00A5147C">
        <w:rPr>
          <w:rFonts w:ascii="Calibri" w:hAnsi="Calibri"/>
          <w:color w:val="auto"/>
          <w:kern w:val="0"/>
          <w:szCs w:val="21"/>
        </w:rPr>
        <w:t>成</w:t>
      </w:r>
      <w:r w:rsidR="00A5147C">
        <w:rPr>
          <w:rFonts w:ascii="Calibri" w:hAnsi="Calibri"/>
          <w:color w:val="auto"/>
          <w:kern w:val="0"/>
          <w:szCs w:val="21"/>
        </w:rPr>
        <w:t>NH</w:t>
      </w:r>
      <w:r w:rsidR="00A5147C" w:rsidRPr="005A256B">
        <w:rPr>
          <w:rFonts w:ascii="Calibri" w:hAnsi="Calibri"/>
          <w:color w:val="auto"/>
          <w:kern w:val="0"/>
          <w:szCs w:val="21"/>
          <w:vertAlign w:val="subscript"/>
        </w:rPr>
        <w:t>3</w:t>
      </w:r>
      <w:r w:rsidR="00A5147C">
        <w:rPr>
          <w:rFonts w:ascii="Calibri" w:hAnsi="Calibri"/>
          <w:color w:val="auto"/>
          <w:kern w:val="0"/>
          <w:szCs w:val="21"/>
        </w:rPr>
        <w:t>-N</w:t>
      </w:r>
      <w:r w:rsidR="00A5147C">
        <w:rPr>
          <w:rFonts w:ascii="Calibri" w:hAnsi="Calibri" w:hint="eastAsia"/>
          <w:color w:val="auto"/>
          <w:kern w:val="0"/>
          <w:szCs w:val="21"/>
        </w:rPr>
        <w:t>值</w:t>
      </w:r>
      <w:r w:rsidR="00A5147C">
        <w:rPr>
          <w:rFonts w:ascii="Calibri" w:hAnsi="Calibri"/>
          <w:color w:val="auto"/>
          <w:kern w:val="0"/>
          <w:szCs w:val="21"/>
        </w:rPr>
        <w:t>为</w:t>
      </w:r>
      <w:r w:rsidR="00A5147C">
        <w:rPr>
          <w:rFonts w:ascii="Calibri" w:hAnsi="Calibri"/>
          <w:color w:val="auto"/>
          <w:kern w:val="0"/>
          <w:szCs w:val="21"/>
        </w:rPr>
        <w:t>0.91g</w:t>
      </w:r>
      <w:r w:rsidR="00A5147C">
        <w:rPr>
          <w:rFonts w:ascii="Calibri" w:hAnsi="Calibri" w:hint="eastAsia"/>
          <w:color w:val="auto"/>
          <w:kern w:val="0"/>
          <w:szCs w:val="21"/>
        </w:rPr>
        <w:t>；</w:t>
      </w:r>
      <w:r w:rsidR="00A5147C" w:rsidRPr="001C6395">
        <w:rPr>
          <w:rFonts w:ascii="Calibri" w:hAnsi="Calibri" w:hint="eastAsia"/>
          <w:color w:val="auto"/>
          <w:kern w:val="0"/>
          <w:szCs w:val="21"/>
        </w:rPr>
        <w:t>1g</w:t>
      </w:r>
      <w:r w:rsidR="00A5147C" w:rsidRPr="005A256B">
        <w:rPr>
          <w:rFonts w:ascii="Calibri" w:hAnsi="Calibri" w:hint="eastAsia"/>
          <w:color w:val="auto"/>
          <w:kern w:val="0"/>
          <w:szCs w:val="21"/>
        </w:rPr>
        <w:t>环己亚胺</w:t>
      </w:r>
      <w:r w:rsidR="00A5147C">
        <w:rPr>
          <w:rFonts w:ascii="Calibri" w:hAnsi="Calibri" w:hint="eastAsia"/>
          <w:color w:val="auto"/>
          <w:kern w:val="0"/>
          <w:szCs w:val="21"/>
        </w:rPr>
        <w:t>折合</w:t>
      </w:r>
      <w:r w:rsidR="00A5147C">
        <w:rPr>
          <w:rFonts w:ascii="Calibri" w:hAnsi="Calibri"/>
          <w:color w:val="auto"/>
          <w:kern w:val="0"/>
          <w:szCs w:val="21"/>
        </w:rPr>
        <w:t>成</w:t>
      </w:r>
      <w:r w:rsidR="00A5147C" w:rsidRPr="001C6395">
        <w:rPr>
          <w:rFonts w:ascii="Calibri" w:hAnsi="Calibri" w:hint="eastAsia"/>
          <w:color w:val="auto"/>
          <w:kern w:val="0"/>
          <w:szCs w:val="21"/>
        </w:rPr>
        <w:t>COD</w:t>
      </w:r>
      <w:r w:rsidR="00A5147C" w:rsidRPr="001C6395">
        <w:rPr>
          <w:rFonts w:ascii="Calibri" w:hAnsi="Calibri" w:hint="eastAsia"/>
          <w:color w:val="auto"/>
          <w:kern w:val="0"/>
          <w:szCs w:val="21"/>
        </w:rPr>
        <w:t>值为</w:t>
      </w:r>
      <w:r w:rsidR="00A5147C">
        <w:rPr>
          <w:rFonts w:ascii="Calibri" w:hAnsi="Calibri"/>
          <w:color w:val="auto"/>
          <w:kern w:val="0"/>
          <w:szCs w:val="21"/>
        </w:rPr>
        <w:t>1.45</w:t>
      </w:r>
      <w:r w:rsidR="00A5147C" w:rsidRPr="001C6395">
        <w:rPr>
          <w:rFonts w:ascii="Calibri" w:hAnsi="Calibri" w:hint="eastAsia"/>
          <w:color w:val="auto"/>
          <w:kern w:val="0"/>
          <w:szCs w:val="21"/>
        </w:rPr>
        <w:t>g</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BOD</w:t>
      </w:r>
      <w:r w:rsidR="00A5147C" w:rsidRPr="001C6395">
        <w:rPr>
          <w:rFonts w:ascii="Calibri" w:hAnsi="Calibri" w:hint="eastAsia"/>
          <w:color w:val="auto"/>
          <w:kern w:val="0"/>
          <w:szCs w:val="21"/>
          <w:vertAlign w:val="subscript"/>
        </w:rPr>
        <w:t>5</w:t>
      </w:r>
      <w:r w:rsidR="00A5147C" w:rsidRPr="001C6395">
        <w:rPr>
          <w:rFonts w:ascii="Calibri" w:hAnsi="Calibri" w:hint="eastAsia"/>
          <w:color w:val="auto"/>
          <w:kern w:val="0"/>
          <w:szCs w:val="21"/>
        </w:rPr>
        <w:t>值为</w:t>
      </w:r>
      <w:r w:rsidR="00A5147C">
        <w:rPr>
          <w:rFonts w:ascii="Calibri" w:hAnsi="Calibri"/>
          <w:color w:val="auto"/>
          <w:kern w:val="0"/>
          <w:szCs w:val="21"/>
        </w:rPr>
        <w:t>0.87</w:t>
      </w:r>
      <w:r w:rsidR="00A5147C" w:rsidRPr="001C6395">
        <w:rPr>
          <w:rFonts w:ascii="Calibri" w:hAnsi="Calibri" w:hint="eastAsia"/>
          <w:color w:val="auto"/>
          <w:kern w:val="0"/>
          <w:szCs w:val="21"/>
        </w:rPr>
        <w:t>g</w:t>
      </w:r>
      <w:r w:rsidR="00A5147C">
        <w:rPr>
          <w:rFonts w:ascii="Calibri" w:hAnsi="Calibri" w:hint="eastAsia"/>
          <w:color w:val="auto"/>
          <w:kern w:val="0"/>
          <w:szCs w:val="21"/>
        </w:rPr>
        <w:t>，折合</w:t>
      </w:r>
      <w:r w:rsidR="00A5147C">
        <w:rPr>
          <w:rFonts w:ascii="Calibri" w:hAnsi="Calibri"/>
          <w:color w:val="auto"/>
          <w:kern w:val="0"/>
          <w:szCs w:val="21"/>
        </w:rPr>
        <w:t>成</w:t>
      </w:r>
      <w:r w:rsidR="00A5147C">
        <w:rPr>
          <w:rFonts w:ascii="Calibri" w:hAnsi="Calibri"/>
          <w:color w:val="auto"/>
          <w:kern w:val="0"/>
          <w:szCs w:val="21"/>
        </w:rPr>
        <w:t>NH</w:t>
      </w:r>
      <w:r w:rsidR="00A5147C" w:rsidRPr="005A256B">
        <w:rPr>
          <w:rFonts w:ascii="Calibri" w:hAnsi="Calibri"/>
          <w:color w:val="auto"/>
          <w:kern w:val="0"/>
          <w:szCs w:val="21"/>
          <w:vertAlign w:val="subscript"/>
        </w:rPr>
        <w:t>3</w:t>
      </w:r>
      <w:r w:rsidR="00A5147C">
        <w:rPr>
          <w:rFonts w:ascii="Calibri" w:hAnsi="Calibri"/>
          <w:color w:val="auto"/>
          <w:kern w:val="0"/>
          <w:szCs w:val="21"/>
        </w:rPr>
        <w:t>-N</w:t>
      </w:r>
      <w:r w:rsidR="00A5147C">
        <w:rPr>
          <w:rFonts w:ascii="Calibri" w:hAnsi="Calibri" w:hint="eastAsia"/>
          <w:color w:val="auto"/>
          <w:kern w:val="0"/>
          <w:szCs w:val="21"/>
        </w:rPr>
        <w:t>值</w:t>
      </w:r>
      <w:r w:rsidR="00A5147C">
        <w:rPr>
          <w:rFonts w:ascii="Calibri" w:hAnsi="Calibri"/>
          <w:color w:val="auto"/>
          <w:kern w:val="0"/>
          <w:szCs w:val="21"/>
        </w:rPr>
        <w:t>为</w:t>
      </w:r>
      <w:r w:rsidR="00A5147C">
        <w:rPr>
          <w:rFonts w:ascii="Calibri" w:hAnsi="Calibri"/>
          <w:color w:val="auto"/>
          <w:kern w:val="0"/>
          <w:szCs w:val="21"/>
        </w:rPr>
        <w:t>0.15g</w:t>
      </w:r>
      <w:r w:rsidR="00A5147C">
        <w:rPr>
          <w:rFonts w:ascii="Calibri" w:hAnsi="Calibri" w:hint="eastAsia"/>
          <w:color w:val="auto"/>
          <w:kern w:val="0"/>
          <w:szCs w:val="21"/>
        </w:rPr>
        <w:t>；</w:t>
      </w:r>
      <w:r w:rsidR="00A5147C" w:rsidRPr="001C6395">
        <w:rPr>
          <w:rFonts w:ascii="Calibri" w:hAnsi="Calibri" w:hint="eastAsia"/>
          <w:color w:val="auto"/>
          <w:kern w:val="0"/>
          <w:szCs w:val="21"/>
        </w:rPr>
        <w:t>1g</w:t>
      </w:r>
      <w:r w:rsidR="00A5147C">
        <w:rPr>
          <w:rFonts w:ascii="Calibri" w:hAnsi="Calibri" w:hint="eastAsia"/>
          <w:snapToGrid w:val="0"/>
          <w:color w:val="auto"/>
          <w:szCs w:val="21"/>
        </w:rPr>
        <w:t>癸二胺</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COD</w:t>
      </w:r>
      <w:r w:rsidR="00A5147C" w:rsidRPr="001C6395">
        <w:rPr>
          <w:rFonts w:ascii="Calibri" w:hAnsi="Calibri" w:hint="eastAsia"/>
          <w:color w:val="auto"/>
          <w:kern w:val="0"/>
          <w:szCs w:val="21"/>
        </w:rPr>
        <w:t>值为</w:t>
      </w:r>
      <w:r w:rsidR="00A5147C">
        <w:rPr>
          <w:rFonts w:ascii="Calibri" w:hAnsi="Calibri"/>
          <w:color w:val="auto"/>
          <w:kern w:val="0"/>
          <w:szCs w:val="21"/>
        </w:rPr>
        <w:t>2.9</w:t>
      </w:r>
      <w:r w:rsidR="00A5147C" w:rsidRPr="001C6395">
        <w:rPr>
          <w:rFonts w:ascii="Calibri" w:hAnsi="Calibri" w:hint="eastAsia"/>
          <w:color w:val="auto"/>
          <w:kern w:val="0"/>
          <w:szCs w:val="21"/>
        </w:rPr>
        <w:t>g</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BOD</w:t>
      </w:r>
      <w:r w:rsidR="00A5147C" w:rsidRPr="001C6395">
        <w:rPr>
          <w:rFonts w:ascii="Calibri" w:hAnsi="Calibri" w:hint="eastAsia"/>
          <w:color w:val="auto"/>
          <w:kern w:val="0"/>
          <w:szCs w:val="21"/>
          <w:vertAlign w:val="subscript"/>
        </w:rPr>
        <w:t>5</w:t>
      </w:r>
      <w:r w:rsidR="00A5147C" w:rsidRPr="001C6395">
        <w:rPr>
          <w:rFonts w:ascii="Calibri" w:hAnsi="Calibri" w:hint="eastAsia"/>
          <w:color w:val="auto"/>
          <w:kern w:val="0"/>
          <w:szCs w:val="21"/>
        </w:rPr>
        <w:t>值为</w:t>
      </w:r>
      <w:r w:rsidR="00A5147C">
        <w:rPr>
          <w:rFonts w:ascii="Calibri" w:hAnsi="Calibri"/>
          <w:color w:val="auto"/>
          <w:kern w:val="0"/>
          <w:szCs w:val="21"/>
        </w:rPr>
        <w:t>1.74</w:t>
      </w:r>
      <w:r w:rsidR="00A5147C" w:rsidRPr="001C6395">
        <w:rPr>
          <w:rFonts w:ascii="Calibri" w:hAnsi="Calibri" w:hint="eastAsia"/>
          <w:color w:val="auto"/>
          <w:kern w:val="0"/>
          <w:szCs w:val="21"/>
        </w:rPr>
        <w:t>g</w:t>
      </w:r>
      <w:r w:rsidR="00A5147C">
        <w:rPr>
          <w:rFonts w:ascii="Calibri" w:hAnsi="Calibri" w:hint="eastAsia"/>
          <w:color w:val="auto"/>
          <w:kern w:val="0"/>
          <w:szCs w:val="21"/>
        </w:rPr>
        <w:t>，折合</w:t>
      </w:r>
      <w:r w:rsidR="00A5147C">
        <w:rPr>
          <w:rFonts w:ascii="Calibri" w:hAnsi="Calibri"/>
          <w:color w:val="auto"/>
          <w:kern w:val="0"/>
          <w:szCs w:val="21"/>
        </w:rPr>
        <w:t>成</w:t>
      </w:r>
      <w:r w:rsidR="00A5147C">
        <w:rPr>
          <w:rFonts w:ascii="Calibri" w:hAnsi="Calibri"/>
          <w:color w:val="auto"/>
          <w:kern w:val="0"/>
          <w:szCs w:val="21"/>
        </w:rPr>
        <w:t>NH</w:t>
      </w:r>
      <w:r w:rsidR="00A5147C" w:rsidRPr="005A256B">
        <w:rPr>
          <w:rFonts w:ascii="Calibri" w:hAnsi="Calibri"/>
          <w:color w:val="auto"/>
          <w:kern w:val="0"/>
          <w:szCs w:val="21"/>
          <w:vertAlign w:val="subscript"/>
        </w:rPr>
        <w:t>3</w:t>
      </w:r>
      <w:r w:rsidR="00A5147C">
        <w:rPr>
          <w:rFonts w:ascii="Calibri" w:hAnsi="Calibri"/>
          <w:color w:val="auto"/>
          <w:kern w:val="0"/>
          <w:szCs w:val="21"/>
        </w:rPr>
        <w:t>-N</w:t>
      </w:r>
      <w:r w:rsidR="00A5147C">
        <w:rPr>
          <w:rFonts w:ascii="Calibri" w:hAnsi="Calibri" w:hint="eastAsia"/>
          <w:color w:val="auto"/>
          <w:kern w:val="0"/>
          <w:szCs w:val="21"/>
        </w:rPr>
        <w:t>值</w:t>
      </w:r>
      <w:r w:rsidR="00A5147C">
        <w:rPr>
          <w:rFonts w:ascii="Calibri" w:hAnsi="Calibri"/>
          <w:color w:val="auto"/>
          <w:kern w:val="0"/>
          <w:szCs w:val="21"/>
        </w:rPr>
        <w:t>为</w:t>
      </w:r>
      <w:r w:rsidR="00A5147C">
        <w:rPr>
          <w:rFonts w:ascii="Calibri" w:hAnsi="Calibri"/>
          <w:color w:val="auto"/>
          <w:kern w:val="0"/>
          <w:szCs w:val="21"/>
        </w:rPr>
        <w:t>0.18g</w:t>
      </w:r>
      <w:r w:rsidR="00A5147C">
        <w:rPr>
          <w:rFonts w:ascii="Calibri" w:hAnsi="Calibri" w:hint="eastAsia"/>
          <w:color w:val="auto"/>
          <w:kern w:val="0"/>
          <w:szCs w:val="21"/>
        </w:rPr>
        <w:t>；</w:t>
      </w:r>
      <w:r w:rsidR="00A5147C" w:rsidRPr="001C6395">
        <w:rPr>
          <w:rFonts w:ascii="Calibri" w:hAnsi="Calibri" w:hint="eastAsia"/>
          <w:color w:val="auto"/>
          <w:kern w:val="0"/>
          <w:szCs w:val="21"/>
        </w:rPr>
        <w:t>1g</w:t>
      </w:r>
      <w:r w:rsidR="00A5147C">
        <w:rPr>
          <w:rFonts w:ascii="Calibri" w:hAnsi="Calibri" w:hint="eastAsia"/>
          <w:snapToGrid w:val="0"/>
          <w:color w:val="auto"/>
          <w:szCs w:val="21"/>
        </w:rPr>
        <w:t>癸二酸</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COD</w:t>
      </w:r>
      <w:r w:rsidR="00A5147C" w:rsidRPr="001C6395">
        <w:rPr>
          <w:rFonts w:ascii="Calibri" w:hAnsi="Calibri" w:hint="eastAsia"/>
          <w:color w:val="auto"/>
          <w:kern w:val="0"/>
          <w:szCs w:val="21"/>
        </w:rPr>
        <w:t>值为</w:t>
      </w:r>
      <w:r w:rsidR="00A5147C">
        <w:rPr>
          <w:rFonts w:ascii="Calibri" w:hAnsi="Calibri"/>
          <w:color w:val="auto"/>
          <w:kern w:val="0"/>
          <w:szCs w:val="21"/>
        </w:rPr>
        <w:t>1.18</w:t>
      </w:r>
      <w:r w:rsidR="00A5147C" w:rsidRPr="001C6395">
        <w:rPr>
          <w:rFonts w:ascii="Calibri" w:hAnsi="Calibri" w:hint="eastAsia"/>
          <w:color w:val="auto"/>
          <w:kern w:val="0"/>
          <w:szCs w:val="21"/>
        </w:rPr>
        <w:t>g</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BOD</w:t>
      </w:r>
      <w:r w:rsidR="00A5147C" w:rsidRPr="001C6395">
        <w:rPr>
          <w:rFonts w:ascii="Calibri" w:hAnsi="Calibri" w:hint="eastAsia"/>
          <w:color w:val="auto"/>
          <w:kern w:val="0"/>
          <w:szCs w:val="21"/>
          <w:vertAlign w:val="subscript"/>
        </w:rPr>
        <w:t>5</w:t>
      </w:r>
      <w:r w:rsidR="00A5147C" w:rsidRPr="001C6395">
        <w:rPr>
          <w:rFonts w:ascii="Calibri" w:hAnsi="Calibri" w:hint="eastAsia"/>
          <w:color w:val="auto"/>
          <w:kern w:val="0"/>
          <w:szCs w:val="21"/>
        </w:rPr>
        <w:t>值为</w:t>
      </w:r>
      <w:r w:rsidR="00A5147C">
        <w:rPr>
          <w:rFonts w:ascii="Calibri" w:hAnsi="Calibri"/>
          <w:color w:val="auto"/>
          <w:kern w:val="0"/>
          <w:szCs w:val="21"/>
        </w:rPr>
        <w:t>0.70</w:t>
      </w:r>
      <w:r w:rsidR="00A5147C" w:rsidRPr="001C6395">
        <w:rPr>
          <w:rFonts w:ascii="Calibri" w:hAnsi="Calibri" w:hint="eastAsia"/>
          <w:color w:val="auto"/>
          <w:kern w:val="0"/>
          <w:szCs w:val="21"/>
        </w:rPr>
        <w:t>g</w:t>
      </w:r>
      <w:r w:rsidR="00A5147C">
        <w:rPr>
          <w:rFonts w:ascii="Calibri" w:hAnsi="Calibri" w:hint="eastAsia"/>
          <w:color w:val="auto"/>
          <w:kern w:val="0"/>
          <w:szCs w:val="21"/>
        </w:rPr>
        <w:t>；</w:t>
      </w:r>
      <w:r w:rsidR="00A5147C">
        <w:rPr>
          <w:rFonts w:ascii="Calibri" w:hAnsi="Calibri" w:hint="eastAsia"/>
          <w:snapToGrid w:val="0"/>
          <w:color w:val="auto"/>
          <w:szCs w:val="21"/>
        </w:rPr>
        <w:t>十二内</w:t>
      </w:r>
      <w:r w:rsidR="00A5147C">
        <w:rPr>
          <w:rFonts w:ascii="Calibri" w:hAnsi="Calibri"/>
          <w:snapToGrid w:val="0"/>
          <w:color w:val="auto"/>
          <w:szCs w:val="21"/>
        </w:rPr>
        <w:t>酰胺</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COD</w:t>
      </w:r>
      <w:r w:rsidR="00A5147C" w:rsidRPr="001C6395">
        <w:rPr>
          <w:rFonts w:ascii="Calibri" w:hAnsi="Calibri" w:hint="eastAsia"/>
          <w:color w:val="auto"/>
          <w:kern w:val="0"/>
          <w:szCs w:val="21"/>
        </w:rPr>
        <w:t>值为</w:t>
      </w:r>
      <w:r w:rsidR="00A5147C">
        <w:rPr>
          <w:rFonts w:ascii="Calibri" w:hAnsi="Calibri"/>
          <w:color w:val="auto"/>
          <w:kern w:val="0"/>
          <w:szCs w:val="21"/>
        </w:rPr>
        <w:t>2.76</w:t>
      </w:r>
      <w:r w:rsidR="00A5147C" w:rsidRPr="001C6395">
        <w:rPr>
          <w:rFonts w:ascii="Calibri" w:hAnsi="Calibri" w:hint="eastAsia"/>
          <w:color w:val="auto"/>
          <w:kern w:val="0"/>
          <w:szCs w:val="21"/>
        </w:rPr>
        <w:t>g</w:t>
      </w:r>
      <w:r w:rsidR="00A5147C" w:rsidRPr="001C6395">
        <w:rPr>
          <w:rFonts w:ascii="Calibri" w:hAnsi="Calibri" w:hint="eastAsia"/>
          <w:color w:val="auto"/>
          <w:kern w:val="0"/>
          <w:szCs w:val="21"/>
        </w:rPr>
        <w:t>，折</w:t>
      </w:r>
      <w:r w:rsidR="00A5147C" w:rsidRPr="001C6395">
        <w:rPr>
          <w:rFonts w:ascii="Calibri" w:hAnsi="Calibri" w:hint="eastAsia"/>
          <w:color w:val="auto"/>
          <w:kern w:val="0"/>
          <w:szCs w:val="21"/>
        </w:rPr>
        <w:t>BOD</w:t>
      </w:r>
      <w:r w:rsidR="00A5147C" w:rsidRPr="001C6395">
        <w:rPr>
          <w:rFonts w:ascii="Calibri" w:hAnsi="Calibri" w:hint="eastAsia"/>
          <w:color w:val="auto"/>
          <w:kern w:val="0"/>
          <w:szCs w:val="21"/>
          <w:vertAlign w:val="subscript"/>
        </w:rPr>
        <w:t>5</w:t>
      </w:r>
      <w:r w:rsidR="00A5147C" w:rsidRPr="001C6395">
        <w:rPr>
          <w:rFonts w:ascii="Calibri" w:hAnsi="Calibri" w:hint="eastAsia"/>
          <w:color w:val="auto"/>
          <w:kern w:val="0"/>
          <w:szCs w:val="21"/>
        </w:rPr>
        <w:t>值为</w:t>
      </w:r>
      <w:r w:rsidR="00A5147C">
        <w:rPr>
          <w:rFonts w:ascii="Calibri" w:hAnsi="Calibri"/>
          <w:color w:val="auto"/>
          <w:kern w:val="0"/>
          <w:szCs w:val="21"/>
        </w:rPr>
        <w:t>1.65</w:t>
      </w:r>
      <w:r w:rsidR="00A5147C" w:rsidRPr="001C6395">
        <w:rPr>
          <w:rFonts w:ascii="Calibri" w:hAnsi="Calibri" w:hint="eastAsia"/>
          <w:color w:val="auto"/>
          <w:kern w:val="0"/>
          <w:szCs w:val="21"/>
        </w:rPr>
        <w:t>g</w:t>
      </w:r>
      <w:r w:rsidR="00A5147C">
        <w:rPr>
          <w:rFonts w:ascii="Calibri" w:hAnsi="Calibri" w:hint="eastAsia"/>
          <w:color w:val="auto"/>
          <w:kern w:val="0"/>
          <w:szCs w:val="21"/>
        </w:rPr>
        <w:t>，折合</w:t>
      </w:r>
      <w:r w:rsidR="00A5147C">
        <w:rPr>
          <w:rFonts w:ascii="Calibri" w:hAnsi="Calibri"/>
          <w:color w:val="auto"/>
          <w:kern w:val="0"/>
          <w:szCs w:val="21"/>
        </w:rPr>
        <w:t>成</w:t>
      </w:r>
      <w:r w:rsidR="00A5147C">
        <w:rPr>
          <w:rFonts w:ascii="Calibri" w:hAnsi="Calibri"/>
          <w:color w:val="auto"/>
          <w:kern w:val="0"/>
          <w:szCs w:val="21"/>
        </w:rPr>
        <w:t>NH</w:t>
      </w:r>
      <w:r w:rsidR="00A5147C" w:rsidRPr="005A256B">
        <w:rPr>
          <w:rFonts w:ascii="Calibri" w:hAnsi="Calibri"/>
          <w:color w:val="auto"/>
          <w:kern w:val="0"/>
          <w:szCs w:val="21"/>
          <w:vertAlign w:val="subscript"/>
        </w:rPr>
        <w:t>3</w:t>
      </w:r>
      <w:r w:rsidR="00A5147C">
        <w:rPr>
          <w:rFonts w:ascii="Calibri" w:hAnsi="Calibri"/>
          <w:color w:val="auto"/>
          <w:kern w:val="0"/>
          <w:szCs w:val="21"/>
        </w:rPr>
        <w:t>-N</w:t>
      </w:r>
      <w:r w:rsidR="00A5147C">
        <w:rPr>
          <w:rFonts w:ascii="Calibri" w:hAnsi="Calibri" w:hint="eastAsia"/>
          <w:color w:val="auto"/>
          <w:kern w:val="0"/>
          <w:szCs w:val="21"/>
        </w:rPr>
        <w:t>值</w:t>
      </w:r>
      <w:r w:rsidR="00A5147C">
        <w:rPr>
          <w:rFonts w:ascii="Calibri" w:hAnsi="Calibri"/>
          <w:color w:val="auto"/>
          <w:kern w:val="0"/>
          <w:szCs w:val="21"/>
        </w:rPr>
        <w:t>为</w:t>
      </w:r>
      <w:r w:rsidR="00A5147C">
        <w:rPr>
          <w:rFonts w:ascii="Calibri" w:hAnsi="Calibri"/>
          <w:color w:val="auto"/>
          <w:kern w:val="0"/>
          <w:szCs w:val="21"/>
        </w:rPr>
        <w:t>0.08g</w:t>
      </w:r>
      <w:r w:rsidR="00A5147C">
        <w:rPr>
          <w:rFonts w:ascii="Calibri" w:hAnsi="Calibri" w:hint="eastAsia"/>
          <w:color w:val="auto"/>
          <w:kern w:val="0"/>
          <w:szCs w:val="21"/>
        </w:rPr>
        <w:t>。</w:t>
      </w:r>
    </w:p>
    <w:p w14:paraId="5723F735" w14:textId="77777777" w:rsidR="00F62F58" w:rsidRPr="00EB3CEE" w:rsidRDefault="00B21873" w:rsidP="00EB3CEE">
      <w:pPr>
        <w:pStyle w:val="00"/>
        <w:rPr>
          <w:rFonts w:ascii="Calibri" w:hAnsi="Calibri"/>
          <w:color w:val="auto"/>
          <w:kern w:val="0"/>
          <w:szCs w:val="21"/>
        </w:rPr>
      </w:pPr>
      <w:r>
        <w:rPr>
          <w:rFonts w:ascii="Calibri" w:hAnsi="Calibri" w:hint="eastAsia"/>
          <w:color w:val="auto"/>
          <w:kern w:val="0"/>
          <w:szCs w:val="21"/>
        </w:rPr>
        <w:t>由上述</w:t>
      </w:r>
      <w:r>
        <w:rPr>
          <w:rFonts w:ascii="Calibri" w:hAnsi="Calibri"/>
          <w:color w:val="auto"/>
          <w:kern w:val="0"/>
          <w:szCs w:val="21"/>
        </w:rPr>
        <w:t>分析可知，一期工程</w:t>
      </w:r>
      <w:r>
        <w:rPr>
          <w:rFonts w:ascii="Calibri" w:hAnsi="Calibri" w:hint="eastAsia"/>
          <w:color w:val="auto"/>
          <w:kern w:val="0"/>
          <w:szCs w:val="21"/>
        </w:rPr>
        <w:t>排气</w:t>
      </w:r>
      <w:r>
        <w:rPr>
          <w:rFonts w:ascii="Calibri" w:hAnsi="Calibri"/>
          <w:color w:val="auto"/>
          <w:kern w:val="0"/>
          <w:szCs w:val="21"/>
        </w:rPr>
        <w:t>洗涤废水中</w:t>
      </w:r>
      <w:r>
        <w:rPr>
          <w:rFonts w:ascii="Calibri" w:hAnsi="Calibri" w:hint="eastAsia"/>
          <w:color w:val="auto"/>
          <w:kern w:val="0"/>
          <w:szCs w:val="21"/>
        </w:rPr>
        <w:t>COD</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7F36F3">
        <w:rPr>
          <w:rFonts w:ascii="Calibri" w:hAnsi="Calibri"/>
          <w:color w:val="auto"/>
          <w:kern w:val="0"/>
          <w:szCs w:val="21"/>
        </w:rPr>
        <w:t>3.594</w:t>
      </w:r>
      <w:r>
        <w:rPr>
          <w:rFonts w:ascii="Calibri" w:hAnsi="Calibri"/>
          <w:color w:val="auto"/>
          <w:kern w:val="0"/>
          <w:szCs w:val="21"/>
        </w:rPr>
        <w:t>t/a</w:t>
      </w:r>
      <w:r>
        <w:rPr>
          <w:rFonts w:ascii="Calibri" w:hAnsi="Calibri" w:hint="eastAsia"/>
          <w:color w:val="auto"/>
          <w:kern w:val="0"/>
          <w:szCs w:val="21"/>
        </w:rPr>
        <w:t>，</w:t>
      </w:r>
      <w:r>
        <w:rPr>
          <w:rFonts w:ascii="Calibri" w:hAnsi="Calibri"/>
          <w:color w:val="auto"/>
          <w:kern w:val="0"/>
          <w:szCs w:val="21"/>
        </w:rPr>
        <w:t>产生浓度为</w:t>
      </w:r>
      <w:r w:rsidR="007F36F3">
        <w:rPr>
          <w:rFonts w:ascii="Calibri" w:hAnsi="Calibri"/>
          <w:color w:val="auto"/>
          <w:kern w:val="0"/>
          <w:szCs w:val="21"/>
        </w:rPr>
        <w:t>5233.24</w:t>
      </w:r>
      <w:r>
        <w:rPr>
          <w:rFonts w:ascii="Calibri" w:hAnsi="Calibri"/>
          <w:color w:val="auto"/>
          <w:kern w:val="0"/>
          <w:szCs w:val="21"/>
        </w:rPr>
        <w:t>mg/L</w:t>
      </w:r>
      <w:r>
        <w:rPr>
          <w:rFonts w:ascii="Calibri" w:hAnsi="Calibri" w:hint="eastAsia"/>
          <w:color w:val="auto"/>
          <w:kern w:val="0"/>
          <w:szCs w:val="21"/>
        </w:rPr>
        <w:t>；</w:t>
      </w:r>
      <w:r w:rsidRPr="001C6395">
        <w:rPr>
          <w:rFonts w:ascii="Calibri" w:hAnsi="Calibri" w:hint="eastAsia"/>
          <w:color w:val="auto"/>
          <w:kern w:val="0"/>
          <w:szCs w:val="21"/>
        </w:rPr>
        <w:t>BOD</w:t>
      </w:r>
      <w:r w:rsidRPr="001C6395">
        <w:rPr>
          <w:rFonts w:ascii="Calibri" w:hAnsi="Calibri" w:hint="eastAsia"/>
          <w:color w:val="auto"/>
          <w:kern w:val="0"/>
          <w:szCs w:val="21"/>
          <w:vertAlign w:val="subscript"/>
        </w:rPr>
        <w:t>5</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7F36F3">
        <w:rPr>
          <w:rFonts w:ascii="Calibri" w:hAnsi="Calibri"/>
          <w:color w:val="auto"/>
          <w:kern w:val="0"/>
          <w:szCs w:val="21"/>
        </w:rPr>
        <w:t>1.658</w:t>
      </w:r>
      <w:r>
        <w:rPr>
          <w:rFonts w:ascii="Calibri" w:hAnsi="Calibri"/>
          <w:color w:val="auto"/>
          <w:kern w:val="0"/>
          <w:szCs w:val="21"/>
        </w:rPr>
        <w:t>t/a</w:t>
      </w:r>
      <w:r w:rsidRPr="006E252E">
        <w:rPr>
          <w:rFonts w:ascii="Calibri" w:hAnsi="Calibri" w:hint="eastAsia"/>
          <w:color w:val="auto"/>
          <w:kern w:val="0"/>
          <w:szCs w:val="21"/>
        </w:rPr>
        <w:t>，</w:t>
      </w:r>
      <w:r w:rsidRPr="006E252E">
        <w:rPr>
          <w:rFonts w:ascii="Calibri" w:hAnsi="Calibri"/>
          <w:color w:val="auto"/>
          <w:kern w:val="0"/>
          <w:szCs w:val="21"/>
        </w:rPr>
        <w:t>产生浓度为</w:t>
      </w:r>
      <w:r w:rsidR="007F36F3">
        <w:rPr>
          <w:rFonts w:ascii="Calibri" w:hAnsi="Calibri"/>
          <w:color w:val="auto"/>
          <w:kern w:val="0"/>
          <w:szCs w:val="21"/>
        </w:rPr>
        <w:t>2414.22</w:t>
      </w:r>
      <w:r w:rsidRPr="006E252E">
        <w:rPr>
          <w:rFonts w:ascii="Calibri" w:hAnsi="Calibri"/>
          <w:color w:val="auto"/>
          <w:kern w:val="0"/>
          <w:szCs w:val="21"/>
        </w:rPr>
        <w:t>mg/L</w:t>
      </w:r>
      <w:r>
        <w:rPr>
          <w:rFonts w:ascii="Calibri" w:hAnsi="Calibri" w:hint="eastAsia"/>
          <w:color w:val="auto"/>
          <w:kern w:val="0"/>
          <w:szCs w:val="21"/>
        </w:rPr>
        <w:t>；</w:t>
      </w:r>
      <w:r>
        <w:rPr>
          <w:rFonts w:ascii="Calibri" w:hAnsi="Calibri"/>
          <w:color w:val="auto"/>
          <w:kern w:val="0"/>
          <w:szCs w:val="21"/>
        </w:rPr>
        <w:t>NH</w:t>
      </w:r>
      <w:r w:rsidRPr="005A256B">
        <w:rPr>
          <w:rFonts w:ascii="Calibri" w:hAnsi="Calibri"/>
          <w:color w:val="auto"/>
          <w:kern w:val="0"/>
          <w:szCs w:val="21"/>
          <w:vertAlign w:val="subscript"/>
        </w:rPr>
        <w:t>3</w:t>
      </w:r>
      <w:r>
        <w:rPr>
          <w:rFonts w:ascii="Calibri" w:hAnsi="Calibri"/>
          <w:color w:val="auto"/>
          <w:kern w:val="0"/>
          <w:szCs w:val="21"/>
        </w:rPr>
        <w:t>-N</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7F36F3">
        <w:rPr>
          <w:rFonts w:ascii="Calibri" w:hAnsi="Calibri"/>
          <w:color w:val="auto"/>
          <w:kern w:val="0"/>
          <w:szCs w:val="21"/>
        </w:rPr>
        <w:t>0.3846</w:t>
      </w:r>
      <w:r>
        <w:rPr>
          <w:rFonts w:ascii="Calibri" w:hAnsi="Calibri"/>
          <w:color w:val="auto"/>
          <w:kern w:val="0"/>
          <w:szCs w:val="21"/>
        </w:rPr>
        <w:t>t/a</w:t>
      </w:r>
      <w:r>
        <w:rPr>
          <w:rFonts w:ascii="Calibri" w:hAnsi="Calibri" w:hint="eastAsia"/>
          <w:color w:val="auto"/>
          <w:kern w:val="0"/>
          <w:szCs w:val="21"/>
        </w:rPr>
        <w:t>，</w:t>
      </w:r>
      <w:r>
        <w:rPr>
          <w:rFonts w:ascii="Calibri" w:hAnsi="Calibri"/>
          <w:color w:val="auto"/>
          <w:kern w:val="0"/>
          <w:szCs w:val="21"/>
        </w:rPr>
        <w:t>产生浓度为</w:t>
      </w:r>
      <w:r w:rsidR="007F36F3">
        <w:rPr>
          <w:rFonts w:ascii="Calibri" w:hAnsi="Calibri"/>
          <w:color w:val="auto"/>
          <w:kern w:val="0"/>
          <w:szCs w:val="21"/>
        </w:rPr>
        <w:t>560.02</w:t>
      </w:r>
      <w:r>
        <w:rPr>
          <w:rFonts w:ascii="Calibri" w:hAnsi="Calibri"/>
          <w:color w:val="auto"/>
          <w:kern w:val="0"/>
          <w:szCs w:val="21"/>
        </w:rPr>
        <w:t>mg/L</w:t>
      </w:r>
      <w:r w:rsidR="002C629E">
        <w:rPr>
          <w:rFonts w:ascii="Calibri" w:hAnsi="Calibri" w:hint="eastAsia"/>
          <w:color w:val="auto"/>
          <w:kern w:val="0"/>
          <w:szCs w:val="21"/>
        </w:rPr>
        <w:t>。</w:t>
      </w:r>
    </w:p>
    <w:p w14:paraId="19CF9216" w14:textId="77777777" w:rsidR="002C629E" w:rsidRDefault="008073B2" w:rsidP="00FD6184">
      <w:pPr>
        <w:pStyle w:val="00"/>
        <w:rPr>
          <w:rFonts w:ascii="Calibri" w:hAnsi="Calibri"/>
          <w:color w:val="auto"/>
          <w:kern w:val="0"/>
          <w:szCs w:val="21"/>
        </w:rPr>
      </w:pPr>
      <w:r>
        <w:rPr>
          <w:rFonts w:ascii="Calibri" w:hAnsi="Calibri" w:hint="eastAsia"/>
          <w:color w:val="auto"/>
          <w:kern w:val="0"/>
          <w:szCs w:val="21"/>
        </w:rPr>
        <w:t>二</w:t>
      </w:r>
      <w:r>
        <w:rPr>
          <w:rFonts w:ascii="Calibri" w:hAnsi="Calibri"/>
          <w:color w:val="auto"/>
          <w:kern w:val="0"/>
          <w:szCs w:val="21"/>
        </w:rPr>
        <w:t>期工程</w:t>
      </w:r>
      <w:r>
        <w:rPr>
          <w:rFonts w:ascii="Calibri" w:hAnsi="Calibri" w:hint="eastAsia"/>
          <w:color w:val="auto"/>
          <w:kern w:val="0"/>
          <w:szCs w:val="21"/>
        </w:rPr>
        <w:t>排气</w:t>
      </w:r>
      <w:r>
        <w:rPr>
          <w:rFonts w:ascii="Calibri" w:hAnsi="Calibri"/>
          <w:color w:val="auto"/>
          <w:kern w:val="0"/>
          <w:szCs w:val="21"/>
        </w:rPr>
        <w:t>洗涤废水中</w:t>
      </w:r>
      <w:r>
        <w:rPr>
          <w:rFonts w:ascii="Calibri" w:hAnsi="Calibri" w:hint="eastAsia"/>
          <w:color w:val="auto"/>
          <w:kern w:val="0"/>
          <w:szCs w:val="21"/>
        </w:rPr>
        <w:t>COD</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BC1658">
        <w:rPr>
          <w:rFonts w:ascii="Calibri" w:hAnsi="Calibri"/>
          <w:color w:val="auto"/>
          <w:kern w:val="0"/>
          <w:szCs w:val="21"/>
        </w:rPr>
        <w:t>2.193</w:t>
      </w:r>
      <w:r>
        <w:rPr>
          <w:rFonts w:ascii="Calibri" w:hAnsi="Calibri"/>
          <w:color w:val="auto"/>
          <w:kern w:val="0"/>
          <w:szCs w:val="21"/>
        </w:rPr>
        <w:t>t/a</w:t>
      </w:r>
      <w:r>
        <w:rPr>
          <w:rFonts w:ascii="Calibri" w:hAnsi="Calibri" w:hint="eastAsia"/>
          <w:color w:val="auto"/>
          <w:kern w:val="0"/>
          <w:szCs w:val="21"/>
        </w:rPr>
        <w:t>，</w:t>
      </w:r>
      <w:r>
        <w:rPr>
          <w:rFonts w:ascii="Calibri" w:hAnsi="Calibri"/>
          <w:color w:val="auto"/>
          <w:kern w:val="0"/>
          <w:szCs w:val="21"/>
        </w:rPr>
        <w:t>产生浓度为</w:t>
      </w:r>
      <w:r w:rsidR="00D740D3">
        <w:rPr>
          <w:rFonts w:ascii="Calibri" w:hAnsi="Calibri"/>
          <w:color w:val="auto"/>
          <w:kern w:val="0"/>
          <w:szCs w:val="21"/>
        </w:rPr>
        <w:t>5327.02</w:t>
      </w:r>
      <w:r>
        <w:rPr>
          <w:rFonts w:ascii="Calibri" w:hAnsi="Calibri"/>
          <w:color w:val="auto"/>
          <w:kern w:val="0"/>
          <w:szCs w:val="21"/>
        </w:rPr>
        <w:t>mg/L</w:t>
      </w:r>
      <w:r>
        <w:rPr>
          <w:rFonts w:ascii="Calibri" w:hAnsi="Calibri" w:hint="eastAsia"/>
          <w:color w:val="auto"/>
          <w:kern w:val="0"/>
          <w:szCs w:val="21"/>
        </w:rPr>
        <w:t>；</w:t>
      </w:r>
      <w:r w:rsidRPr="001C6395">
        <w:rPr>
          <w:rFonts w:ascii="Calibri" w:hAnsi="Calibri" w:hint="eastAsia"/>
          <w:color w:val="auto"/>
          <w:kern w:val="0"/>
          <w:szCs w:val="21"/>
        </w:rPr>
        <w:t>BOD</w:t>
      </w:r>
      <w:r w:rsidRPr="001C6395">
        <w:rPr>
          <w:rFonts w:ascii="Calibri" w:hAnsi="Calibri" w:hint="eastAsia"/>
          <w:color w:val="auto"/>
          <w:kern w:val="0"/>
          <w:szCs w:val="21"/>
          <w:vertAlign w:val="subscript"/>
        </w:rPr>
        <w:t>5</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BC1658">
        <w:rPr>
          <w:rFonts w:ascii="Calibri" w:hAnsi="Calibri"/>
          <w:color w:val="auto"/>
          <w:kern w:val="0"/>
          <w:szCs w:val="21"/>
        </w:rPr>
        <w:t>1.0119</w:t>
      </w:r>
      <w:r>
        <w:rPr>
          <w:rFonts w:ascii="Calibri" w:hAnsi="Calibri"/>
          <w:color w:val="auto"/>
          <w:kern w:val="0"/>
          <w:szCs w:val="21"/>
        </w:rPr>
        <w:t>t/a</w:t>
      </w:r>
      <w:r>
        <w:rPr>
          <w:rFonts w:ascii="Calibri" w:hAnsi="Calibri" w:hint="eastAsia"/>
          <w:color w:val="auto"/>
          <w:kern w:val="0"/>
          <w:szCs w:val="21"/>
        </w:rPr>
        <w:t>，</w:t>
      </w:r>
      <w:r w:rsidRPr="009D0E5F">
        <w:rPr>
          <w:rFonts w:ascii="Calibri" w:hAnsi="Calibri"/>
          <w:color w:val="auto"/>
          <w:kern w:val="0"/>
          <w:szCs w:val="21"/>
        </w:rPr>
        <w:t>产生浓度为</w:t>
      </w:r>
      <w:r w:rsidR="00D740D3">
        <w:rPr>
          <w:rFonts w:ascii="Calibri" w:hAnsi="Calibri"/>
          <w:color w:val="auto"/>
          <w:kern w:val="0"/>
          <w:szCs w:val="21"/>
        </w:rPr>
        <w:t>2458.0</w:t>
      </w:r>
      <w:r w:rsidRPr="009D0E5F">
        <w:rPr>
          <w:rFonts w:ascii="Calibri" w:hAnsi="Calibri"/>
          <w:color w:val="auto"/>
          <w:kern w:val="0"/>
          <w:szCs w:val="21"/>
        </w:rPr>
        <w:t>mg/L</w:t>
      </w:r>
      <w:r>
        <w:rPr>
          <w:rFonts w:ascii="Calibri" w:hAnsi="Calibri" w:hint="eastAsia"/>
          <w:color w:val="auto"/>
          <w:kern w:val="0"/>
          <w:szCs w:val="21"/>
        </w:rPr>
        <w:t>；</w:t>
      </w:r>
      <w:r>
        <w:rPr>
          <w:rFonts w:ascii="Calibri" w:hAnsi="Calibri"/>
          <w:color w:val="auto"/>
          <w:kern w:val="0"/>
          <w:szCs w:val="21"/>
        </w:rPr>
        <w:t>NH</w:t>
      </w:r>
      <w:r w:rsidRPr="009D0E5F">
        <w:rPr>
          <w:rFonts w:ascii="Calibri" w:hAnsi="Calibri"/>
          <w:color w:val="auto"/>
          <w:kern w:val="0"/>
          <w:szCs w:val="21"/>
          <w:vertAlign w:val="subscript"/>
        </w:rPr>
        <w:t>3</w:t>
      </w:r>
      <w:r>
        <w:rPr>
          <w:rFonts w:ascii="Calibri" w:hAnsi="Calibri"/>
          <w:color w:val="auto"/>
          <w:kern w:val="0"/>
          <w:szCs w:val="21"/>
        </w:rPr>
        <w:t>-N</w:t>
      </w:r>
      <w:r>
        <w:rPr>
          <w:rFonts w:ascii="Calibri" w:hAnsi="Calibri"/>
          <w:color w:val="auto"/>
          <w:kern w:val="0"/>
          <w:szCs w:val="21"/>
        </w:rPr>
        <w:t>的产生</w:t>
      </w:r>
      <w:r>
        <w:rPr>
          <w:rFonts w:ascii="Calibri" w:hAnsi="Calibri" w:hint="eastAsia"/>
          <w:color w:val="auto"/>
          <w:kern w:val="0"/>
          <w:szCs w:val="21"/>
        </w:rPr>
        <w:t>量</w:t>
      </w:r>
      <w:r>
        <w:rPr>
          <w:rFonts w:ascii="Calibri" w:hAnsi="Calibri"/>
          <w:color w:val="auto"/>
          <w:kern w:val="0"/>
          <w:szCs w:val="21"/>
        </w:rPr>
        <w:t>为</w:t>
      </w:r>
      <w:r w:rsidR="00BC1658">
        <w:rPr>
          <w:rFonts w:ascii="Calibri" w:hAnsi="Calibri"/>
          <w:color w:val="auto"/>
          <w:kern w:val="0"/>
          <w:szCs w:val="21"/>
        </w:rPr>
        <w:t>0.2373</w:t>
      </w:r>
      <w:r>
        <w:rPr>
          <w:rFonts w:ascii="Calibri" w:hAnsi="Calibri"/>
          <w:color w:val="auto"/>
          <w:kern w:val="0"/>
          <w:szCs w:val="21"/>
        </w:rPr>
        <w:t>t/a</w:t>
      </w:r>
      <w:r>
        <w:rPr>
          <w:rFonts w:ascii="Calibri" w:hAnsi="Calibri" w:hint="eastAsia"/>
          <w:color w:val="auto"/>
          <w:kern w:val="0"/>
          <w:szCs w:val="21"/>
        </w:rPr>
        <w:t>，</w:t>
      </w:r>
      <w:r>
        <w:rPr>
          <w:rFonts w:ascii="Calibri" w:hAnsi="Calibri"/>
          <w:color w:val="auto"/>
          <w:kern w:val="0"/>
          <w:szCs w:val="21"/>
        </w:rPr>
        <w:t>产生浓度为</w:t>
      </w:r>
      <w:r w:rsidR="00D740D3">
        <w:rPr>
          <w:rFonts w:ascii="Calibri" w:hAnsi="Calibri"/>
          <w:color w:val="auto"/>
          <w:kern w:val="0"/>
          <w:szCs w:val="21"/>
        </w:rPr>
        <w:t>576.43</w:t>
      </w:r>
      <w:r>
        <w:rPr>
          <w:rFonts w:ascii="Calibri" w:hAnsi="Calibri"/>
          <w:color w:val="auto"/>
          <w:kern w:val="0"/>
          <w:szCs w:val="21"/>
        </w:rPr>
        <w:t>mg/L</w:t>
      </w:r>
      <w:r w:rsidR="002C629E">
        <w:rPr>
          <w:rFonts w:ascii="Calibri" w:hAnsi="Calibri" w:hint="eastAsia"/>
          <w:color w:val="auto"/>
          <w:kern w:val="0"/>
          <w:szCs w:val="21"/>
        </w:rPr>
        <w:t>。</w:t>
      </w:r>
    </w:p>
    <w:p w14:paraId="4B2403B3" w14:textId="77777777" w:rsidR="004C077A" w:rsidRPr="002C629E" w:rsidRDefault="004C077A" w:rsidP="002C629E">
      <w:pPr>
        <w:pStyle w:val="ad"/>
        <w:ind w:firstLineChars="200" w:firstLine="562"/>
        <w:rPr>
          <w:rFonts w:ascii="Calibri" w:hAnsi="Calibri"/>
          <w:color w:val="auto"/>
        </w:rPr>
      </w:pPr>
      <w:r>
        <w:rPr>
          <w:rFonts w:ascii="Calibri" w:hAnsi="Calibri"/>
          <w:color w:val="auto"/>
        </w:rPr>
        <w:t>3</w:t>
      </w:r>
      <w:r>
        <w:rPr>
          <w:rFonts w:ascii="Calibri" w:hAnsi="Calibri" w:hint="eastAsia"/>
          <w:color w:val="auto"/>
        </w:rPr>
        <w:t>、制粒冷却</w:t>
      </w:r>
      <w:r>
        <w:rPr>
          <w:rFonts w:ascii="Calibri" w:hAnsi="Calibri"/>
          <w:color w:val="auto"/>
        </w:rPr>
        <w:t>系统</w:t>
      </w:r>
      <w:r w:rsidR="002A3438">
        <w:rPr>
          <w:rFonts w:ascii="Calibri" w:hAnsi="Calibri" w:hint="eastAsia"/>
          <w:color w:val="auto"/>
        </w:rPr>
        <w:t>用排水</w:t>
      </w:r>
    </w:p>
    <w:p w14:paraId="3FAEBC39" w14:textId="77777777" w:rsidR="004C077A" w:rsidRDefault="004C077A" w:rsidP="009D0E5F">
      <w:pPr>
        <w:pStyle w:val="00"/>
        <w:ind w:firstLineChars="200"/>
        <w:rPr>
          <w:rFonts w:ascii="Calibri"/>
          <w:color w:val="auto"/>
        </w:rPr>
      </w:pPr>
      <w:r w:rsidRPr="004C077A">
        <w:rPr>
          <w:rFonts w:ascii="Calibri" w:hint="eastAsia"/>
          <w:color w:val="auto"/>
        </w:rPr>
        <w:t>熔体通过溢流水槽循环水冷却，产生浓度逐渐变大的有机废水，为保持循环水的清洁，需排放少量循环水，同时补充新鲜水。根据物料衡算，切粒循环</w:t>
      </w:r>
      <w:r>
        <w:rPr>
          <w:rFonts w:ascii="Calibri" w:hint="eastAsia"/>
          <w:color w:val="auto"/>
        </w:rPr>
        <w:t>一期工程</w:t>
      </w:r>
      <w:r w:rsidR="00B71B3B">
        <w:rPr>
          <w:rFonts w:ascii="Calibri" w:hint="eastAsia"/>
          <w:color w:val="auto"/>
        </w:rPr>
        <w:t>冷却水池纯水</w:t>
      </w:r>
      <w:r w:rsidR="00B71B3B">
        <w:rPr>
          <w:rFonts w:ascii="Calibri"/>
          <w:color w:val="auto"/>
        </w:rPr>
        <w:t>补充</w:t>
      </w:r>
      <w:r w:rsidR="00B71B3B">
        <w:rPr>
          <w:rFonts w:ascii="Calibri" w:hint="eastAsia"/>
          <w:color w:val="auto"/>
        </w:rPr>
        <w:t>纯水</w:t>
      </w:r>
      <w:r w:rsidR="00B71B3B">
        <w:rPr>
          <w:rFonts w:ascii="Calibri"/>
          <w:color w:val="auto"/>
        </w:rPr>
        <w:t>量为</w:t>
      </w:r>
      <w:r w:rsidR="00B71B3B">
        <w:rPr>
          <w:rFonts w:ascii="Calibri" w:hint="eastAsia"/>
          <w:color w:val="auto"/>
        </w:rPr>
        <w:t>129</w:t>
      </w:r>
      <w:r w:rsidR="00B71B3B">
        <w:rPr>
          <w:rFonts w:ascii="Calibri"/>
          <w:color w:val="auto"/>
        </w:rPr>
        <w:t>t/a</w:t>
      </w:r>
      <w:r w:rsidR="009D0E5F">
        <w:rPr>
          <w:rFonts w:ascii="Calibri" w:hint="eastAsia"/>
          <w:color w:val="auto"/>
        </w:rPr>
        <w:t>，</w:t>
      </w:r>
      <w:r w:rsidR="009D0E5F">
        <w:rPr>
          <w:rFonts w:ascii="Calibri"/>
          <w:color w:val="auto"/>
        </w:rPr>
        <w:t>每月排放一次，年排放</w:t>
      </w:r>
      <w:r w:rsidR="00B71B3B">
        <w:rPr>
          <w:rFonts w:ascii="Calibri" w:hint="eastAsia"/>
          <w:color w:val="auto"/>
        </w:rPr>
        <w:t>废</w:t>
      </w:r>
      <w:r w:rsidRPr="004C077A">
        <w:rPr>
          <w:rFonts w:ascii="Calibri" w:hint="eastAsia"/>
          <w:color w:val="auto"/>
        </w:rPr>
        <w:t>水量约为</w:t>
      </w:r>
      <w:r>
        <w:rPr>
          <w:rFonts w:ascii="Calibri"/>
          <w:color w:val="auto"/>
        </w:rPr>
        <w:t>13</w:t>
      </w:r>
      <w:r w:rsidRPr="004C077A">
        <w:rPr>
          <w:rFonts w:ascii="Calibri" w:hint="eastAsia"/>
          <w:color w:val="auto"/>
        </w:rPr>
        <w:t>t/a</w:t>
      </w:r>
      <w:r w:rsidRPr="004C077A">
        <w:rPr>
          <w:rFonts w:ascii="Calibri" w:hint="eastAsia"/>
          <w:color w:val="auto"/>
        </w:rPr>
        <w:t>，</w:t>
      </w:r>
      <w:r>
        <w:rPr>
          <w:rFonts w:ascii="Calibri" w:hint="eastAsia"/>
          <w:color w:val="auto"/>
        </w:rPr>
        <w:t>其中</w:t>
      </w:r>
      <w:r>
        <w:rPr>
          <w:rFonts w:ascii="Calibri"/>
          <w:color w:val="auto"/>
        </w:rPr>
        <w:t>己二胺含量约为</w:t>
      </w:r>
      <w:r>
        <w:rPr>
          <w:rFonts w:ascii="Calibri" w:hint="eastAsia"/>
          <w:color w:val="auto"/>
        </w:rPr>
        <w:t>0.05</w:t>
      </w:r>
      <w:r>
        <w:rPr>
          <w:rFonts w:ascii="Calibri"/>
          <w:color w:val="auto"/>
        </w:rPr>
        <w:t>t/a</w:t>
      </w:r>
      <w:r>
        <w:rPr>
          <w:rFonts w:ascii="Calibri" w:hint="eastAsia"/>
          <w:color w:val="auto"/>
        </w:rPr>
        <w:t>；二期工程</w:t>
      </w:r>
      <w:r w:rsidR="00B71B3B">
        <w:rPr>
          <w:rFonts w:ascii="Calibri" w:hint="eastAsia"/>
          <w:color w:val="auto"/>
        </w:rPr>
        <w:t>冷却</w:t>
      </w:r>
      <w:r w:rsidR="00B71B3B">
        <w:rPr>
          <w:rFonts w:ascii="Calibri"/>
          <w:color w:val="auto"/>
        </w:rPr>
        <w:t>水池</w:t>
      </w:r>
      <w:r w:rsidR="00B71B3B">
        <w:rPr>
          <w:rFonts w:ascii="Calibri" w:hint="eastAsia"/>
          <w:color w:val="auto"/>
        </w:rPr>
        <w:t>纯水</w:t>
      </w:r>
      <w:r w:rsidR="00B71B3B">
        <w:rPr>
          <w:rFonts w:ascii="Calibri"/>
          <w:color w:val="auto"/>
        </w:rPr>
        <w:t>补充量为</w:t>
      </w:r>
      <w:r w:rsidR="00B71B3B">
        <w:rPr>
          <w:rFonts w:ascii="Calibri" w:hint="eastAsia"/>
          <w:color w:val="auto"/>
        </w:rPr>
        <w:t>77</w:t>
      </w:r>
      <w:r w:rsidR="00B71B3B">
        <w:rPr>
          <w:rFonts w:ascii="Calibri"/>
          <w:color w:val="auto"/>
        </w:rPr>
        <w:t>t/a</w:t>
      </w:r>
      <w:r w:rsidR="00B71B3B">
        <w:rPr>
          <w:rFonts w:ascii="Calibri" w:hint="eastAsia"/>
          <w:color w:val="auto"/>
        </w:rPr>
        <w:t>，</w:t>
      </w:r>
      <w:r>
        <w:rPr>
          <w:rFonts w:ascii="Calibri" w:hint="eastAsia"/>
          <w:color w:val="auto"/>
        </w:rPr>
        <w:t>外排</w:t>
      </w:r>
      <w:r w:rsidRPr="004C077A">
        <w:rPr>
          <w:rFonts w:ascii="Calibri" w:hint="eastAsia"/>
          <w:color w:val="auto"/>
        </w:rPr>
        <w:t>水产生量约为</w:t>
      </w:r>
      <w:r w:rsidR="00597949">
        <w:rPr>
          <w:rFonts w:ascii="Calibri"/>
          <w:color w:val="auto"/>
        </w:rPr>
        <w:t>8</w:t>
      </w:r>
      <w:r w:rsidRPr="004C077A">
        <w:rPr>
          <w:rFonts w:ascii="Calibri" w:hint="eastAsia"/>
          <w:color w:val="auto"/>
        </w:rPr>
        <w:t>t/a</w:t>
      </w:r>
      <w:r w:rsidRPr="004C077A">
        <w:rPr>
          <w:rFonts w:ascii="Calibri" w:hint="eastAsia"/>
          <w:color w:val="auto"/>
        </w:rPr>
        <w:t>，</w:t>
      </w:r>
      <w:r>
        <w:rPr>
          <w:rFonts w:ascii="Calibri" w:hint="eastAsia"/>
          <w:color w:val="auto"/>
        </w:rPr>
        <w:t>其中</w:t>
      </w:r>
      <w:r>
        <w:rPr>
          <w:rFonts w:ascii="Calibri"/>
          <w:color w:val="auto"/>
        </w:rPr>
        <w:t>己二胺含量约为</w:t>
      </w:r>
      <w:r>
        <w:rPr>
          <w:rFonts w:ascii="Calibri" w:hint="eastAsia"/>
          <w:color w:val="auto"/>
        </w:rPr>
        <w:t>0.0</w:t>
      </w:r>
      <w:r>
        <w:rPr>
          <w:rFonts w:ascii="Calibri"/>
          <w:color w:val="auto"/>
        </w:rPr>
        <w:t>3t/a</w:t>
      </w:r>
      <w:r>
        <w:rPr>
          <w:rFonts w:ascii="Calibri" w:hint="eastAsia"/>
          <w:color w:val="auto"/>
        </w:rPr>
        <w:t>。</w:t>
      </w:r>
    </w:p>
    <w:p w14:paraId="2D77BA83" w14:textId="3E0FA261" w:rsidR="008073B2" w:rsidRPr="005C3636" w:rsidRDefault="008073B2" w:rsidP="009B4F57">
      <w:pPr>
        <w:pStyle w:val="00"/>
        <w:ind w:firstLineChars="200"/>
        <w:rPr>
          <w:rFonts w:ascii="Calibri"/>
          <w:color w:val="auto"/>
        </w:rPr>
      </w:pPr>
      <w:r>
        <w:rPr>
          <w:rFonts w:ascii="Calibri" w:hint="eastAsia"/>
          <w:color w:val="auto"/>
        </w:rPr>
        <w:t>根据</w:t>
      </w:r>
      <w:r>
        <w:rPr>
          <w:rFonts w:ascii="Calibri"/>
          <w:color w:val="auto"/>
        </w:rPr>
        <w:t>理论计算</w:t>
      </w:r>
      <w:r>
        <w:rPr>
          <w:rFonts w:ascii="Calibri" w:hint="eastAsia"/>
          <w:color w:val="auto"/>
        </w:rPr>
        <w:t>及</w:t>
      </w:r>
      <w:r w:rsidR="009B4F57">
        <w:rPr>
          <w:rFonts w:ascii="Calibri" w:hint="eastAsia"/>
          <w:color w:val="auto"/>
        </w:rPr>
        <w:t>类比</w:t>
      </w:r>
      <w:r>
        <w:rPr>
          <w:rFonts w:ascii="Calibri" w:hint="eastAsia"/>
          <w:color w:val="auto"/>
        </w:rPr>
        <w:t>同类</w:t>
      </w:r>
      <w:r>
        <w:rPr>
          <w:rFonts w:ascii="Calibri"/>
          <w:color w:val="auto"/>
        </w:rPr>
        <w:t>企业，主要污染物浓度</w:t>
      </w:r>
      <w:r w:rsidRPr="008073B2">
        <w:rPr>
          <w:rFonts w:ascii="Calibri" w:hint="eastAsia"/>
          <w:color w:val="auto"/>
        </w:rPr>
        <w:t>COD</w:t>
      </w:r>
      <w:r w:rsidRPr="008073B2">
        <w:rPr>
          <w:rFonts w:ascii="Calibri" w:hint="eastAsia"/>
          <w:color w:val="auto"/>
        </w:rPr>
        <w:t>：</w:t>
      </w:r>
      <w:r>
        <w:rPr>
          <w:rFonts w:ascii="Calibri"/>
          <w:color w:val="auto"/>
        </w:rPr>
        <w:t>6400</w:t>
      </w:r>
      <w:r w:rsidRPr="008073B2">
        <w:rPr>
          <w:rFonts w:ascii="Calibri" w:hint="eastAsia"/>
          <w:color w:val="auto"/>
        </w:rPr>
        <w:t>mg/L</w:t>
      </w:r>
      <w:r w:rsidRPr="008073B2">
        <w:rPr>
          <w:rFonts w:ascii="Calibri" w:hint="eastAsia"/>
          <w:color w:val="auto"/>
        </w:rPr>
        <w:t>、</w:t>
      </w:r>
      <w:r w:rsidR="00FD6184" w:rsidRPr="001C6395">
        <w:rPr>
          <w:rFonts w:ascii="Calibri" w:hAnsi="Calibri" w:hint="eastAsia"/>
          <w:color w:val="auto"/>
          <w:kern w:val="0"/>
          <w:szCs w:val="21"/>
        </w:rPr>
        <w:t>BOD</w:t>
      </w:r>
      <w:r w:rsidR="00FD6184" w:rsidRPr="001C6395">
        <w:rPr>
          <w:rFonts w:ascii="Calibri" w:hAnsi="Calibri" w:hint="eastAsia"/>
          <w:color w:val="auto"/>
          <w:kern w:val="0"/>
          <w:szCs w:val="21"/>
          <w:vertAlign w:val="subscript"/>
        </w:rPr>
        <w:t>5</w:t>
      </w:r>
      <w:r w:rsidR="00FD6184" w:rsidRPr="008073B2">
        <w:rPr>
          <w:rFonts w:ascii="Calibri" w:hint="eastAsia"/>
          <w:color w:val="auto"/>
        </w:rPr>
        <w:t>：</w:t>
      </w:r>
      <w:r w:rsidR="00FD6184">
        <w:rPr>
          <w:rFonts w:ascii="Calibri" w:hint="eastAsia"/>
          <w:color w:val="auto"/>
        </w:rPr>
        <w:t>2600</w:t>
      </w:r>
      <w:r w:rsidR="00FD6184" w:rsidRPr="008073B2">
        <w:rPr>
          <w:rFonts w:ascii="Calibri" w:hint="eastAsia"/>
          <w:color w:val="auto"/>
        </w:rPr>
        <w:t>mg/L</w:t>
      </w:r>
      <w:r w:rsidR="00FD6184">
        <w:rPr>
          <w:rFonts w:ascii="Calibri" w:hint="eastAsia"/>
          <w:color w:val="auto"/>
        </w:rPr>
        <w:t>、</w:t>
      </w:r>
      <w:r w:rsidRPr="008073B2">
        <w:rPr>
          <w:rFonts w:ascii="Calibri" w:hint="eastAsia"/>
          <w:color w:val="auto"/>
        </w:rPr>
        <w:t>SS</w:t>
      </w:r>
      <w:r w:rsidRPr="008073B2">
        <w:rPr>
          <w:rFonts w:ascii="Calibri" w:hint="eastAsia"/>
          <w:color w:val="auto"/>
        </w:rPr>
        <w:t>：</w:t>
      </w:r>
      <w:r w:rsidR="00E9070F">
        <w:rPr>
          <w:rFonts w:ascii="Calibri"/>
          <w:color w:val="auto"/>
        </w:rPr>
        <w:t>200</w:t>
      </w:r>
      <w:r w:rsidRPr="008073B2">
        <w:rPr>
          <w:rFonts w:ascii="Calibri" w:hint="eastAsia"/>
          <w:color w:val="auto"/>
        </w:rPr>
        <w:t>mg/L</w:t>
      </w:r>
      <w:r>
        <w:rPr>
          <w:rFonts w:ascii="Calibri" w:hint="eastAsia"/>
          <w:color w:val="auto"/>
        </w:rPr>
        <w:t>，</w:t>
      </w:r>
      <w:r>
        <w:rPr>
          <w:rFonts w:ascii="Calibri"/>
          <w:color w:val="auto"/>
        </w:rPr>
        <w:t>则一期工程中</w:t>
      </w:r>
      <w:r>
        <w:rPr>
          <w:rFonts w:ascii="Calibri" w:hint="eastAsia"/>
          <w:color w:val="auto"/>
        </w:rPr>
        <w:t>污染物</w:t>
      </w:r>
      <w:r w:rsidRPr="008073B2">
        <w:rPr>
          <w:rFonts w:ascii="Calibri" w:hint="eastAsia"/>
          <w:color w:val="auto"/>
        </w:rPr>
        <w:t>COD</w:t>
      </w:r>
      <w:r>
        <w:rPr>
          <w:rFonts w:ascii="Calibri" w:hint="eastAsia"/>
          <w:color w:val="auto"/>
        </w:rPr>
        <w:t>的产生</w:t>
      </w:r>
      <w:r>
        <w:rPr>
          <w:rFonts w:ascii="Calibri"/>
          <w:color w:val="auto"/>
        </w:rPr>
        <w:t>量为</w:t>
      </w:r>
      <w:r>
        <w:rPr>
          <w:rFonts w:ascii="Calibri" w:hint="eastAsia"/>
          <w:color w:val="auto"/>
        </w:rPr>
        <w:t>0.083</w:t>
      </w:r>
      <w:r>
        <w:rPr>
          <w:rFonts w:ascii="Calibri"/>
          <w:color w:val="auto"/>
        </w:rPr>
        <w:t>t/a</w:t>
      </w:r>
      <w:r>
        <w:rPr>
          <w:rFonts w:ascii="Calibri" w:hint="eastAsia"/>
          <w:color w:val="auto"/>
        </w:rPr>
        <w:t>，</w:t>
      </w:r>
      <w:r w:rsidR="00FD6184" w:rsidRPr="009D0E5F">
        <w:rPr>
          <w:rFonts w:ascii="Calibri"/>
          <w:color w:val="auto"/>
        </w:rPr>
        <w:t>B</w:t>
      </w:r>
      <w:r w:rsidR="00FD6184" w:rsidRPr="009D0E5F">
        <w:rPr>
          <w:rFonts w:ascii="Calibri" w:hint="eastAsia"/>
          <w:color w:val="auto"/>
        </w:rPr>
        <w:t>OD</w:t>
      </w:r>
      <w:r w:rsidR="00FD6184" w:rsidRPr="009D0E5F">
        <w:rPr>
          <w:rFonts w:ascii="Calibri"/>
          <w:color w:val="auto"/>
          <w:vertAlign w:val="subscript"/>
        </w:rPr>
        <w:t>5</w:t>
      </w:r>
      <w:r w:rsidR="00FD6184" w:rsidRPr="009D0E5F">
        <w:rPr>
          <w:rFonts w:ascii="Calibri" w:hint="eastAsia"/>
          <w:color w:val="auto"/>
        </w:rPr>
        <w:t>的产生</w:t>
      </w:r>
      <w:r w:rsidR="00FD6184" w:rsidRPr="009D0E5F">
        <w:rPr>
          <w:rFonts w:ascii="Calibri"/>
          <w:color w:val="auto"/>
        </w:rPr>
        <w:t>量为</w:t>
      </w:r>
      <w:r w:rsidR="00FD6184" w:rsidRPr="009D0E5F">
        <w:rPr>
          <w:rFonts w:ascii="Calibri" w:hint="eastAsia"/>
          <w:color w:val="auto"/>
        </w:rPr>
        <w:t>0.034</w:t>
      </w:r>
      <w:r w:rsidR="00FD6184" w:rsidRPr="009D0E5F">
        <w:rPr>
          <w:rFonts w:ascii="Calibri"/>
          <w:color w:val="auto"/>
        </w:rPr>
        <w:t xml:space="preserve"> t/a</w:t>
      </w:r>
      <w:r w:rsidR="00FD6184" w:rsidRPr="009D0E5F">
        <w:rPr>
          <w:rFonts w:ascii="Calibri" w:hint="eastAsia"/>
          <w:color w:val="auto"/>
        </w:rPr>
        <w:t>，</w:t>
      </w:r>
      <w:r>
        <w:rPr>
          <w:rFonts w:ascii="Calibri" w:hint="eastAsia"/>
          <w:color w:val="auto"/>
        </w:rPr>
        <w:t>SS</w:t>
      </w:r>
      <w:r>
        <w:rPr>
          <w:rFonts w:ascii="Calibri" w:hint="eastAsia"/>
          <w:color w:val="auto"/>
        </w:rPr>
        <w:t>产生</w:t>
      </w:r>
      <w:r>
        <w:rPr>
          <w:rFonts w:ascii="Calibri"/>
          <w:color w:val="auto"/>
        </w:rPr>
        <w:t>量</w:t>
      </w:r>
      <w:r>
        <w:rPr>
          <w:rFonts w:ascii="Calibri" w:hint="eastAsia"/>
          <w:color w:val="auto"/>
        </w:rPr>
        <w:t>为</w:t>
      </w:r>
      <w:r>
        <w:rPr>
          <w:rFonts w:ascii="Calibri" w:hint="eastAsia"/>
          <w:color w:val="auto"/>
        </w:rPr>
        <w:t>0.00</w:t>
      </w:r>
      <w:r w:rsidR="00E9070F">
        <w:rPr>
          <w:rFonts w:ascii="Calibri"/>
          <w:color w:val="auto"/>
        </w:rPr>
        <w:t>26</w:t>
      </w:r>
      <w:r>
        <w:rPr>
          <w:rFonts w:ascii="Calibri"/>
          <w:color w:val="auto"/>
        </w:rPr>
        <w:t>t/a</w:t>
      </w:r>
      <w:r>
        <w:rPr>
          <w:rFonts w:ascii="Calibri" w:hint="eastAsia"/>
          <w:color w:val="auto"/>
        </w:rPr>
        <w:t>；二期</w:t>
      </w:r>
      <w:r>
        <w:rPr>
          <w:rFonts w:ascii="Calibri"/>
          <w:color w:val="auto"/>
        </w:rPr>
        <w:t>工程中</w:t>
      </w:r>
      <w:r>
        <w:rPr>
          <w:rFonts w:ascii="Calibri" w:hint="eastAsia"/>
          <w:color w:val="auto"/>
        </w:rPr>
        <w:t>污染物</w:t>
      </w:r>
      <w:r w:rsidRPr="008073B2">
        <w:rPr>
          <w:rFonts w:ascii="Calibri" w:hint="eastAsia"/>
          <w:color w:val="auto"/>
        </w:rPr>
        <w:t>COD</w:t>
      </w:r>
      <w:r>
        <w:rPr>
          <w:rFonts w:ascii="Calibri" w:hint="eastAsia"/>
          <w:color w:val="auto"/>
        </w:rPr>
        <w:t>的产生</w:t>
      </w:r>
      <w:r>
        <w:rPr>
          <w:rFonts w:ascii="Calibri"/>
          <w:color w:val="auto"/>
        </w:rPr>
        <w:t>量为</w:t>
      </w:r>
      <w:r>
        <w:rPr>
          <w:rFonts w:ascii="Calibri" w:hint="eastAsia"/>
          <w:color w:val="auto"/>
        </w:rPr>
        <w:t>0.0</w:t>
      </w:r>
      <w:r>
        <w:rPr>
          <w:rFonts w:ascii="Calibri"/>
          <w:color w:val="auto"/>
        </w:rPr>
        <w:t>5</w:t>
      </w:r>
      <w:r w:rsidR="00597949">
        <w:rPr>
          <w:rFonts w:ascii="Calibri"/>
          <w:color w:val="auto"/>
        </w:rPr>
        <w:t>1</w:t>
      </w:r>
      <w:r>
        <w:rPr>
          <w:rFonts w:ascii="Calibri"/>
          <w:color w:val="auto"/>
        </w:rPr>
        <w:t>t/a</w:t>
      </w:r>
      <w:r>
        <w:rPr>
          <w:rFonts w:ascii="Calibri" w:hint="eastAsia"/>
          <w:color w:val="auto"/>
        </w:rPr>
        <w:t>，</w:t>
      </w:r>
      <w:r w:rsidR="00FD6184" w:rsidRPr="009D0E5F">
        <w:rPr>
          <w:rFonts w:ascii="Calibri"/>
          <w:color w:val="auto"/>
        </w:rPr>
        <w:t>B</w:t>
      </w:r>
      <w:r w:rsidR="00FD6184" w:rsidRPr="009D0E5F">
        <w:rPr>
          <w:rFonts w:ascii="Calibri" w:hint="eastAsia"/>
          <w:color w:val="auto"/>
        </w:rPr>
        <w:t>OD</w:t>
      </w:r>
      <w:r w:rsidR="00FD6184" w:rsidRPr="009D0E5F">
        <w:rPr>
          <w:rFonts w:ascii="Calibri"/>
          <w:color w:val="auto"/>
          <w:vertAlign w:val="subscript"/>
        </w:rPr>
        <w:t>5</w:t>
      </w:r>
      <w:r w:rsidR="00FD6184" w:rsidRPr="009D0E5F">
        <w:rPr>
          <w:rFonts w:ascii="Calibri" w:hint="eastAsia"/>
          <w:color w:val="auto"/>
        </w:rPr>
        <w:t>的产生</w:t>
      </w:r>
      <w:r w:rsidR="00FD6184" w:rsidRPr="009D0E5F">
        <w:rPr>
          <w:rFonts w:ascii="Calibri"/>
          <w:color w:val="auto"/>
        </w:rPr>
        <w:t>量为</w:t>
      </w:r>
      <w:r w:rsidR="00FD6184" w:rsidRPr="009D0E5F">
        <w:rPr>
          <w:rFonts w:ascii="Calibri" w:hint="eastAsia"/>
          <w:color w:val="auto"/>
        </w:rPr>
        <w:t>0.0</w:t>
      </w:r>
      <w:r w:rsidR="00FD6184" w:rsidRPr="009D0E5F">
        <w:rPr>
          <w:rFonts w:ascii="Calibri"/>
          <w:color w:val="auto"/>
        </w:rPr>
        <w:t>21t/a</w:t>
      </w:r>
      <w:r w:rsidR="00FD6184" w:rsidRPr="009D0E5F">
        <w:rPr>
          <w:rFonts w:ascii="Calibri" w:hint="eastAsia"/>
          <w:color w:val="auto"/>
        </w:rPr>
        <w:t>，</w:t>
      </w:r>
      <w:r>
        <w:rPr>
          <w:rFonts w:ascii="Calibri" w:hint="eastAsia"/>
          <w:color w:val="auto"/>
        </w:rPr>
        <w:t>SS</w:t>
      </w:r>
      <w:r>
        <w:rPr>
          <w:rFonts w:ascii="Calibri" w:hint="eastAsia"/>
          <w:color w:val="auto"/>
        </w:rPr>
        <w:t>产生</w:t>
      </w:r>
      <w:r>
        <w:rPr>
          <w:rFonts w:ascii="Calibri"/>
          <w:color w:val="auto"/>
        </w:rPr>
        <w:t>量</w:t>
      </w:r>
      <w:r>
        <w:rPr>
          <w:rFonts w:ascii="Calibri" w:hint="eastAsia"/>
          <w:color w:val="auto"/>
        </w:rPr>
        <w:t>为</w:t>
      </w:r>
      <w:r>
        <w:rPr>
          <w:rFonts w:ascii="Calibri" w:hint="eastAsia"/>
          <w:color w:val="auto"/>
        </w:rPr>
        <w:t>0.00</w:t>
      </w:r>
      <w:r w:rsidR="00E9070F">
        <w:rPr>
          <w:rFonts w:ascii="Calibri"/>
          <w:color w:val="auto"/>
        </w:rPr>
        <w:t>16</w:t>
      </w:r>
      <w:r>
        <w:rPr>
          <w:rFonts w:ascii="Calibri"/>
          <w:color w:val="auto"/>
        </w:rPr>
        <w:t>t/a</w:t>
      </w:r>
      <w:r w:rsidR="004D217A">
        <w:rPr>
          <w:rFonts w:ascii="Calibri" w:hint="eastAsia"/>
          <w:color w:val="auto"/>
        </w:rPr>
        <w:t>。</w:t>
      </w:r>
    </w:p>
    <w:p w14:paraId="653B0B54" w14:textId="77777777" w:rsidR="00F91086" w:rsidRPr="00A964FF" w:rsidRDefault="00F91086" w:rsidP="00F91086">
      <w:pPr>
        <w:pStyle w:val="ad"/>
        <w:ind w:firstLineChars="200" w:firstLine="562"/>
        <w:rPr>
          <w:rFonts w:ascii="Calibri" w:hAnsi="Calibri"/>
          <w:color w:val="auto"/>
          <w:sz w:val="24"/>
        </w:rPr>
      </w:pPr>
      <w:r>
        <w:rPr>
          <w:rFonts w:ascii="Calibri" w:hAnsi="Calibri"/>
          <w:color w:val="auto"/>
        </w:rPr>
        <w:t>4</w:t>
      </w:r>
      <w:r>
        <w:rPr>
          <w:rFonts w:ascii="Calibri" w:hAnsi="Calibri" w:hint="eastAsia"/>
          <w:color w:val="auto"/>
        </w:rPr>
        <w:t>、</w:t>
      </w:r>
      <w:r w:rsidRPr="00F91086">
        <w:rPr>
          <w:rFonts w:ascii="Calibri" w:hAnsi="Calibri" w:hint="eastAsia"/>
          <w:color w:val="auto"/>
        </w:rPr>
        <w:t>聚合器真空泵、冷凝循环泵排污水</w:t>
      </w:r>
    </w:p>
    <w:p w14:paraId="252E8A42" w14:textId="77777777" w:rsidR="00F91086" w:rsidRDefault="00F91086" w:rsidP="00F91086">
      <w:pPr>
        <w:pStyle w:val="00"/>
        <w:ind w:firstLineChars="200"/>
        <w:rPr>
          <w:rFonts w:ascii="Calibri"/>
          <w:color w:val="auto"/>
        </w:rPr>
      </w:pPr>
      <w:r>
        <w:rPr>
          <w:rFonts w:ascii="Calibri" w:hint="eastAsia"/>
          <w:color w:val="auto"/>
        </w:rPr>
        <w:t>反应釜</w:t>
      </w:r>
      <w:r w:rsidRPr="00F91086">
        <w:rPr>
          <w:rFonts w:ascii="Calibri" w:hint="eastAsia"/>
          <w:color w:val="auto"/>
        </w:rPr>
        <w:t>在真空条件下运行，聚合工段为未凝蒸汽通过真空泵排出，真空泵运行会产生排污水，</w:t>
      </w:r>
      <w:r w:rsidR="00AD1C21">
        <w:rPr>
          <w:rFonts w:ascii="Calibri" w:hint="eastAsia"/>
          <w:color w:val="auto"/>
        </w:rPr>
        <w:t>类比同类</w:t>
      </w:r>
      <w:r w:rsidR="00AD1C21">
        <w:rPr>
          <w:rFonts w:ascii="Calibri"/>
          <w:color w:val="auto"/>
        </w:rPr>
        <w:t>企业</w:t>
      </w:r>
      <w:r w:rsidR="00AD1C21">
        <w:rPr>
          <w:rFonts w:ascii="Calibri" w:hint="eastAsia"/>
          <w:color w:val="auto"/>
        </w:rPr>
        <w:t>产物系数</w:t>
      </w:r>
      <w:r w:rsidR="00AD1C21" w:rsidRPr="00F91086">
        <w:rPr>
          <w:rFonts w:ascii="Calibri" w:hint="eastAsia"/>
          <w:color w:val="auto"/>
        </w:rPr>
        <w:t>，</w:t>
      </w:r>
      <w:r w:rsidR="00AD1C21">
        <w:rPr>
          <w:rFonts w:ascii="Calibri" w:hint="eastAsia"/>
          <w:color w:val="auto"/>
        </w:rPr>
        <w:t>一期</w:t>
      </w:r>
      <w:r w:rsidR="00AD1C21">
        <w:rPr>
          <w:rFonts w:ascii="Calibri"/>
          <w:color w:val="auto"/>
        </w:rPr>
        <w:t>工程</w:t>
      </w:r>
      <w:r w:rsidRPr="00F91086">
        <w:rPr>
          <w:rFonts w:ascii="Calibri" w:hint="eastAsia"/>
          <w:color w:val="auto"/>
        </w:rPr>
        <w:t>真空泵排水系数</w:t>
      </w:r>
      <w:r>
        <w:rPr>
          <w:rFonts w:ascii="Calibri"/>
          <w:color w:val="auto"/>
        </w:rPr>
        <w:t>0.075</w:t>
      </w:r>
      <w:r w:rsidRPr="00F91086">
        <w:rPr>
          <w:rFonts w:ascii="Calibri" w:hint="eastAsia"/>
          <w:color w:val="auto"/>
        </w:rPr>
        <w:t>t/h</w:t>
      </w:r>
      <w:r w:rsidRPr="00F91086">
        <w:rPr>
          <w:rFonts w:ascii="Calibri" w:hint="eastAsia"/>
          <w:color w:val="auto"/>
        </w:rPr>
        <w:t>，排污水产</w:t>
      </w:r>
      <w:r w:rsidRPr="00F91086">
        <w:rPr>
          <w:rFonts w:ascii="Calibri" w:hint="eastAsia"/>
          <w:color w:val="auto"/>
        </w:rPr>
        <w:lastRenderedPageBreak/>
        <w:t>生量约为</w:t>
      </w:r>
      <w:r>
        <w:rPr>
          <w:rFonts w:ascii="Calibri"/>
          <w:color w:val="auto"/>
        </w:rPr>
        <w:t>540</w:t>
      </w:r>
      <w:r w:rsidRPr="00F91086">
        <w:rPr>
          <w:rFonts w:ascii="Calibri" w:hint="eastAsia"/>
          <w:color w:val="auto"/>
        </w:rPr>
        <w:t>t/a</w:t>
      </w:r>
      <w:r w:rsidRPr="00F91086">
        <w:rPr>
          <w:rFonts w:ascii="Calibri" w:hint="eastAsia"/>
          <w:color w:val="auto"/>
        </w:rPr>
        <w:t>。聚合器冷凝溢流排污水通过冷凝循环泵排出，循环泵运行会产生排污水，真空泵排水系数</w:t>
      </w:r>
      <w:r w:rsidRPr="00F91086">
        <w:rPr>
          <w:rFonts w:ascii="Calibri" w:hint="eastAsia"/>
          <w:color w:val="auto"/>
        </w:rPr>
        <w:t>0.</w:t>
      </w:r>
      <w:r w:rsidR="00AD1C21">
        <w:rPr>
          <w:rFonts w:ascii="Calibri"/>
          <w:color w:val="auto"/>
        </w:rPr>
        <w:t>0</w:t>
      </w:r>
      <w:r w:rsidRPr="00F91086">
        <w:rPr>
          <w:rFonts w:ascii="Calibri" w:hint="eastAsia"/>
          <w:color w:val="auto"/>
        </w:rPr>
        <w:t>8t/h</w:t>
      </w:r>
      <w:r w:rsidRPr="00F91086">
        <w:rPr>
          <w:rFonts w:ascii="Calibri" w:hint="eastAsia"/>
          <w:color w:val="auto"/>
        </w:rPr>
        <w:t>，排污水产生量约为</w:t>
      </w:r>
      <w:r>
        <w:rPr>
          <w:rFonts w:ascii="Calibri"/>
          <w:color w:val="auto"/>
        </w:rPr>
        <w:t>576</w:t>
      </w:r>
      <w:r w:rsidRPr="00F91086">
        <w:rPr>
          <w:rFonts w:ascii="Calibri" w:hint="eastAsia"/>
          <w:color w:val="auto"/>
        </w:rPr>
        <w:t>t/a</w:t>
      </w:r>
      <w:r w:rsidRPr="00F91086">
        <w:rPr>
          <w:rFonts w:ascii="Calibri" w:hint="eastAsia"/>
          <w:color w:val="auto"/>
        </w:rPr>
        <w:t>。</w:t>
      </w:r>
    </w:p>
    <w:p w14:paraId="057AB94E" w14:textId="77777777" w:rsidR="00AD1C21" w:rsidRDefault="00AD1C21" w:rsidP="00AD1C21">
      <w:pPr>
        <w:pStyle w:val="00"/>
        <w:ind w:firstLineChars="200"/>
        <w:rPr>
          <w:rFonts w:ascii="Calibri"/>
          <w:color w:val="auto"/>
        </w:rPr>
      </w:pPr>
      <w:r>
        <w:rPr>
          <w:rFonts w:ascii="Calibri" w:hint="eastAsia"/>
          <w:color w:val="auto"/>
        </w:rPr>
        <w:t>二期</w:t>
      </w:r>
      <w:r>
        <w:rPr>
          <w:rFonts w:ascii="Calibri"/>
          <w:color w:val="auto"/>
        </w:rPr>
        <w:t>工程</w:t>
      </w:r>
      <w:r w:rsidRPr="00F91086">
        <w:rPr>
          <w:rFonts w:ascii="Calibri" w:hint="eastAsia"/>
          <w:color w:val="auto"/>
        </w:rPr>
        <w:t>真空泵排水系数</w:t>
      </w:r>
      <w:r>
        <w:rPr>
          <w:rFonts w:ascii="Calibri"/>
          <w:color w:val="auto"/>
        </w:rPr>
        <w:t>0.045</w:t>
      </w:r>
      <w:r w:rsidRPr="00F91086">
        <w:rPr>
          <w:rFonts w:ascii="Calibri" w:hint="eastAsia"/>
          <w:color w:val="auto"/>
        </w:rPr>
        <w:t>t/h</w:t>
      </w:r>
      <w:r w:rsidRPr="00F91086">
        <w:rPr>
          <w:rFonts w:ascii="Calibri" w:hint="eastAsia"/>
          <w:color w:val="auto"/>
        </w:rPr>
        <w:t>，排污水产生量约为</w:t>
      </w:r>
      <w:r>
        <w:rPr>
          <w:rFonts w:ascii="Calibri"/>
          <w:color w:val="auto"/>
        </w:rPr>
        <w:t>324</w:t>
      </w:r>
      <w:r w:rsidRPr="00F91086">
        <w:rPr>
          <w:rFonts w:ascii="Calibri" w:hint="eastAsia"/>
          <w:color w:val="auto"/>
        </w:rPr>
        <w:t>t/a</w:t>
      </w:r>
      <w:r w:rsidRPr="00F91086">
        <w:rPr>
          <w:rFonts w:ascii="Calibri" w:hint="eastAsia"/>
          <w:color w:val="auto"/>
        </w:rPr>
        <w:t>。聚合器冷凝溢流排污水通过冷凝循环泵排出，循环泵运行会产生排污水，真空泵排水系数</w:t>
      </w:r>
      <w:r>
        <w:rPr>
          <w:rFonts w:ascii="Calibri"/>
          <w:color w:val="auto"/>
        </w:rPr>
        <w:t>0.048</w:t>
      </w:r>
      <w:r w:rsidRPr="00F91086">
        <w:rPr>
          <w:rFonts w:ascii="Calibri" w:hint="eastAsia"/>
          <w:color w:val="auto"/>
        </w:rPr>
        <w:t>t/h</w:t>
      </w:r>
      <w:r w:rsidRPr="00F91086">
        <w:rPr>
          <w:rFonts w:ascii="Calibri" w:hint="eastAsia"/>
          <w:color w:val="auto"/>
        </w:rPr>
        <w:t>，排污水产生量约为</w:t>
      </w:r>
      <w:r>
        <w:rPr>
          <w:rFonts w:ascii="Calibri"/>
          <w:color w:val="auto"/>
        </w:rPr>
        <w:t>345.6</w:t>
      </w:r>
      <w:r w:rsidRPr="00F91086">
        <w:rPr>
          <w:rFonts w:ascii="Calibri" w:hint="eastAsia"/>
          <w:color w:val="auto"/>
        </w:rPr>
        <w:t>t/a</w:t>
      </w:r>
      <w:r w:rsidRPr="00F91086">
        <w:rPr>
          <w:rFonts w:ascii="Calibri" w:hint="eastAsia"/>
          <w:color w:val="auto"/>
        </w:rPr>
        <w:t>。</w:t>
      </w:r>
    </w:p>
    <w:p w14:paraId="5023A912" w14:textId="77777777" w:rsidR="00FD6184" w:rsidRPr="009B23C2" w:rsidRDefault="00F91086" w:rsidP="009B23C2">
      <w:pPr>
        <w:pStyle w:val="00"/>
        <w:ind w:firstLineChars="200"/>
        <w:rPr>
          <w:rFonts w:ascii="Calibri"/>
          <w:color w:val="FF0000"/>
        </w:rPr>
      </w:pPr>
      <w:r w:rsidRPr="00F91086">
        <w:rPr>
          <w:rFonts w:ascii="Calibri" w:hint="eastAsia"/>
          <w:color w:val="auto"/>
        </w:rPr>
        <w:t>类比</w:t>
      </w:r>
      <w:r>
        <w:rPr>
          <w:rFonts w:ascii="Calibri" w:hint="eastAsia"/>
          <w:color w:val="auto"/>
        </w:rPr>
        <w:t>同类企业</w:t>
      </w:r>
      <w:r w:rsidRPr="00F91086">
        <w:rPr>
          <w:rFonts w:ascii="Calibri" w:hint="eastAsia"/>
          <w:color w:val="auto"/>
        </w:rPr>
        <w:t>，泵机排污水主要污染物浓度</w:t>
      </w:r>
      <w:r w:rsidRPr="00F91086">
        <w:rPr>
          <w:rFonts w:ascii="Calibri" w:hint="eastAsia"/>
          <w:color w:val="auto"/>
        </w:rPr>
        <w:t>COD</w:t>
      </w:r>
      <w:r w:rsidRPr="00F91086">
        <w:rPr>
          <w:rFonts w:ascii="Calibri" w:hint="eastAsia"/>
          <w:color w:val="auto"/>
        </w:rPr>
        <w:t>：</w:t>
      </w:r>
      <w:r w:rsidRPr="00F91086">
        <w:rPr>
          <w:rFonts w:ascii="Calibri" w:hint="eastAsia"/>
          <w:color w:val="auto"/>
        </w:rPr>
        <w:t>1140mg/L</w:t>
      </w:r>
      <w:r w:rsidRPr="00F91086">
        <w:rPr>
          <w:rFonts w:ascii="Calibri" w:hint="eastAsia"/>
          <w:color w:val="auto"/>
        </w:rPr>
        <w:t>、</w:t>
      </w:r>
      <w:r w:rsidR="00FD6184" w:rsidRPr="001C6395">
        <w:rPr>
          <w:rFonts w:ascii="Calibri" w:hAnsi="Calibri" w:hint="eastAsia"/>
          <w:color w:val="auto"/>
          <w:kern w:val="0"/>
          <w:szCs w:val="21"/>
        </w:rPr>
        <w:t>BOD</w:t>
      </w:r>
      <w:r w:rsidR="00FD6184" w:rsidRPr="001C6395">
        <w:rPr>
          <w:rFonts w:ascii="Calibri" w:hAnsi="Calibri" w:hint="eastAsia"/>
          <w:color w:val="auto"/>
          <w:kern w:val="0"/>
          <w:szCs w:val="21"/>
          <w:vertAlign w:val="subscript"/>
        </w:rPr>
        <w:t>5</w:t>
      </w:r>
      <w:r w:rsidR="00FD6184" w:rsidRPr="008073B2">
        <w:rPr>
          <w:rFonts w:ascii="Calibri" w:hint="eastAsia"/>
          <w:color w:val="auto"/>
        </w:rPr>
        <w:t>：</w:t>
      </w:r>
      <w:r w:rsidR="00FD6184">
        <w:rPr>
          <w:rFonts w:ascii="Calibri"/>
          <w:color w:val="auto"/>
        </w:rPr>
        <w:t>45</w:t>
      </w:r>
      <w:r w:rsidR="00FD6184">
        <w:rPr>
          <w:rFonts w:ascii="Calibri" w:hint="eastAsia"/>
          <w:color w:val="auto"/>
        </w:rPr>
        <w:t>0</w:t>
      </w:r>
      <w:r w:rsidR="00FD6184" w:rsidRPr="00FD6184">
        <w:rPr>
          <w:rFonts w:ascii="Calibri" w:hint="eastAsia"/>
          <w:color w:val="auto"/>
        </w:rPr>
        <w:t xml:space="preserve"> </w:t>
      </w:r>
      <w:r w:rsidR="00FD6184" w:rsidRPr="008073B2">
        <w:rPr>
          <w:rFonts w:ascii="Calibri" w:hint="eastAsia"/>
          <w:color w:val="auto"/>
        </w:rPr>
        <w:t>mg/L</w:t>
      </w:r>
      <w:r w:rsidR="00FD6184">
        <w:rPr>
          <w:rFonts w:ascii="Calibri" w:hint="eastAsia"/>
          <w:color w:val="auto"/>
        </w:rPr>
        <w:t>、</w:t>
      </w:r>
      <w:r>
        <w:rPr>
          <w:rFonts w:ascii="Calibri" w:hint="eastAsia"/>
          <w:color w:val="auto"/>
        </w:rPr>
        <w:t>NH</w:t>
      </w:r>
      <w:r w:rsidRPr="00F91086">
        <w:rPr>
          <w:rFonts w:ascii="Calibri" w:hint="eastAsia"/>
          <w:color w:val="auto"/>
          <w:vertAlign w:val="subscript"/>
        </w:rPr>
        <w:t>3</w:t>
      </w:r>
      <w:r w:rsidRPr="00F91086">
        <w:rPr>
          <w:rFonts w:ascii="Calibri" w:hint="eastAsia"/>
          <w:color w:val="auto"/>
        </w:rPr>
        <w:t>-N</w:t>
      </w:r>
      <w:r w:rsidRPr="00F91086">
        <w:rPr>
          <w:rFonts w:ascii="Calibri" w:hint="eastAsia"/>
          <w:color w:val="auto"/>
        </w:rPr>
        <w:t>：</w:t>
      </w:r>
      <w:r w:rsidRPr="00F91086">
        <w:rPr>
          <w:rFonts w:ascii="Calibri" w:hint="eastAsia"/>
          <w:color w:val="auto"/>
        </w:rPr>
        <w:t>64mg/L</w:t>
      </w:r>
      <w:r w:rsidRPr="00F91086">
        <w:rPr>
          <w:rFonts w:ascii="Calibri" w:hint="eastAsia"/>
          <w:color w:val="auto"/>
        </w:rPr>
        <w:t>。</w:t>
      </w:r>
      <w:r w:rsidR="00CD2C07">
        <w:rPr>
          <w:rFonts w:ascii="Calibri" w:hint="eastAsia"/>
          <w:color w:val="auto"/>
        </w:rPr>
        <w:t>则</w:t>
      </w:r>
      <w:r w:rsidR="00CD2C07">
        <w:rPr>
          <w:rFonts w:ascii="Calibri"/>
          <w:color w:val="auto"/>
        </w:rPr>
        <w:t>一期工程</w:t>
      </w:r>
      <w:r w:rsidR="00CD2C07">
        <w:rPr>
          <w:rFonts w:ascii="Calibri" w:hint="eastAsia"/>
          <w:color w:val="auto"/>
        </w:rPr>
        <w:t>泵</w:t>
      </w:r>
      <w:r w:rsidR="00CD2C07">
        <w:rPr>
          <w:rFonts w:ascii="Calibri"/>
          <w:color w:val="auto"/>
        </w:rPr>
        <w:t>排污废水中</w:t>
      </w:r>
      <w:r w:rsidR="00CD2C07">
        <w:rPr>
          <w:rFonts w:ascii="Calibri" w:hint="eastAsia"/>
          <w:color w:val="auto"/>
        </w:rPr>
        <w:t>COD</w:t>
      </w:r>
      <w:r w:rsidR="00CD2C07">
        <w:rPr>
          <w:rFonts w:ascii="Calibri" w:hint="eastAsia"/>
          <w:color w:val="auto"/>
        </w:rPr>
        <w:t>产生</w:t>
      </w:r>
      <w:r w:rsidR="00CD2C07">
        <w:rPr>
          <w:rFonts w:ascii="Calibri"/>
          <w:color w:val="auto"/>
        </w:rPr>
        <w:t>量为</w:t>
      </w:r>
      <w:r w:rsidR="00CD2C07">
        <w:rPr>
          <w:rFonts w:ascii="Calibri" w:hint="eastAsia"/>
          <w:color w:val="auto"/>
        </w:rPr>
        <w:t>1.27</w:t>
      </w:r>
      <w:r w:rsidR="00CD2C07">
        <w:rPr>
          <w:rFonts w:ascii="Calibri"/>
          <w:color w:val="auto"/>
        </w:rPr>
        <w:t>t/a</w:t>
      </w:r>
      <w:r w:rsidR="00CD2C07">
        <w:rPr>
          <w:rFonts w:ascii="Calibri" w:hint="eastAsia"/>
          <w:color w:val="auto"/>
        </w:rPr>
        <w:t>，</w:t>
      </w:r>
      <w:r w:rsidR="00FD6184" w:rsidRPr="009B23C2">
        <w:rPr>
          <w:rFonts w:ascii="Calibri" w:hAnsi="Calibri" w:hint="eastAsia"/>
          <w:color w:val="FF0000"/>
          <w:kern w:val="0"/>
          <w:szCs w:val="21"/>
        </w:rPr>
        <w:t>BOD</w:t>
      </w:r>
      <w:r w:rsidR="00FD6184" w:rsidRPr="009B23C2">
        <w:rPr>
          <w:rFonts w:ascii="Calibri" w:hAnsi="Calibri" w:hint="eastAsia"/>
          <w:color w:val="FF0000"/>
          <w:kern w:val="0"/>
          <w:szCs w:val="21"/>
          <w:vertAlign w:val="subscript"/>
        </w:rPr>
        <w:t>5</w:t>
      </w:r>
      <w:r w:rsidR="00FD6184" w:rsidRPr="009B23C2">
        <w:rPr>
          <w:rFonts w:ascii="Calibri" w:hint="eastAsia"/>
          <w:color w:val="FF0000"/>
        </w:rPr>
        <w:t>：</w:t>
      </w:r>
      <w:r w:rsidR="009B23C2" w:rsidRPr="009B23C2">
        <w:rPr>
          <w:rFonts w:ascii="Calibri"/>
          <w:color w:val="FF0000"/>
        </w:rPr>
        <w:t>0.50</w:t>
      </w:r>
      <w:r w:rsidR="00FD6184" w:rsidRPr="009B23C2">
        <w:rPr>
          <w:rFonts w:ascii="Calibri"/>
          <w:color w:val="FF0000"/>
        </w:rPr>
        <w:t xml:space="preserve"> t/a</w:t>
      </w:r>
      <w:r w:rsidR="00FD6184" w:rsidRPr="009B23C2">
        <w:rPr>
          <w:rFonts w:ascii="Calibri" w:hint="eastAsia"/>
          <w:color w:val="FF0000"/>
        </w:rPr>
        <w:t>，</w:t>
      </w:r>
      <w:r w:rsidR="00CD2C07">
        <w:rPr>
          <w:rFonts w:ascii="Calibri" w:hint="eastAsia"/>
          <w:color w:val="auto"/>
        </w:rPr>
        <w:t>NH</w:t>
      </w:r>
      <w:r w:rsidR="00CD2C07" w:rsidRPr="00F91086">
        <w:rPr>
          <w:rFonts w:ascii="Calibri" w:hint="eastAsia"/>
          <w:color w:val="auto"/>
          <w:vertAlign w:val="subscript"/>
        </w:rPr>
        <w:t>3</w:t>
      </w:r>
      <w:r w:rsidR="00CD2C07" w:rsidRPr="00F91086">
        <w:rPr>
          <w:rFonts w:ascii="Calibri" w:hint="eastAsia"/>
          <w:color w:val="auto"/>
        </w:rPr>
        <w:t>-N</w:t>
      </w:r>
      <w:r w:rsidR="00CD2C07">
        <w:rPr>
          <w:rFonts w:ascii="Calibri" w:hint="eastAsia"/>
          <w:color w:val="auto"/>
        </w:rPr>
        <w:t>产生</w:t>
      </w:r>
      <w:r w:rsidR="00CD2C07">
        <w:rPr>
          <w:rFonts w:ascii="Calibri"/>
          <w:color w:val="auto"/>
        </w:rPr>
        <w:t>量为</w:t>
      </w:r>
      <w:r w:rsidR="00CD2C07">
        <w:rPr>
          <w:rFonts w:ascii="Calibri" w:hint="eastAsia"/>
          <w:color w:val="auto"/>
        </w:rPr>
        <w:t>0.07</w:t>
      </w:r>
      <w:r w:rsidR="00CD2C07">
        <w:rPr>
          <w:rFonts w:ascii="Calibri"/>
          <w:color w:val="auto"/>
        </w:rPr>
        <w:t>t/a</w:t>
      </w:r>
      <w:r w:rsidR="00CD2C07">
        <w:rPr>
          <w:rFonts w:ascii="Calibri" w:hint="eastAsia"/>
          <w:color w:val="auto"/>
        </w:rPr>
        <w:t>；</w:t>
      </w:r>
      <w:r w:rsidR="00CD2C07">
        <w:rPr>
          <w:rFonts w:ascii="Calibri"/>
          <w:color w:val="auto"/>
        </w:rPr>
        <w:t>二期工程</w:t>
      </w:r>
      <w:r w:rsidR="00CD2C07">
        <w:rPr>
          <w:rFonts w:ascii="Calibri" w:hint="eastAsia"/>
          <w:color w:val="auto"/>
        </w:rPr>
        <w:t>泵</w:t>
      </w:r>
      <w:r w:rsidR="00CD2C07">
        <w:rPr>
          <w:rFonts w:ascii="Calibri"/>
          <w:color w:val="auto"/>
        </w:rPr>
        <w:t>排污废水中</w:t>
      </w:r>
      <w:r w:rsidR="00CD2C07">
        <w:rPr>
          <w:rFonts w:ascii="Calibri" w:hint="eastAsia"/>
          <w:color w:val="auto"/>
        </w:rPr>
        <w:t>COD</w:t>
      </w:r>
      <w:r w:rsidR="00CD2C07">
        <w:rPr>
          <w:rFonts w:ascii="Calibri" w:hint="eastAsia"/>
          <w:color w:val="auto"/>
        </w:rPr>
        <w:t>产生</w:t>
      </w:r>
      <w:r w:rsidR="00CD2C07">
        <w:rPr>
          <w:rFonts w:ascii="Calibri"/>
          <w:color w:val="auto"/>
        </w:rPr>
        <w:t>量为</w:t>
      </w:r>
      <w:r w:rsidR="00CD2C07">
        <w:rPr>
          <w:rFonts w:ascii="Calibri"/>
          <w:color w:val="auto"/>
        </w:rPr>
        <w:t>0.76t/a</w:t>
      </w:r>
      <w:r w:rsidR="00CD2C07">
        <w:rPr>
          <w:rFonts w:ascii="Calibri" w:hint="eastAsia"/>
          <w:color w:val="auto"/>
        </w:rPr>
        <w:t>，</w:t>
      </w:r>
      <w:r w:rsidR="00FD6184" w:rsidRPr="009B23C2">
        <w:rPr>
          <w:rFonts w:ascii="Calibri" w:hAnsi="Calibri" w:hint="eastAsia"/>
          <w:color w:val="FF0000"/>
          <w:kern w:val="0"/>
          <w:szCs w:val="21"/>
        </w:rPr>
        <w:t>BOD</w:t>
      </w:r>
      <w:r w:rsidR="00FD6184" w:rsidRPr="009B23C2">
        <w:rPr>
          <w:rFonts w:ascii="Calibri" w:hAnsi="Calibri" w:hint="eastAsia"/>
          <w:color w:val="FF0000"/>
          <w:kern w:val="0"/>
          <w:szCs w:val="21"/>
          <w:vertAlign w:val="subscript"/>
        </w:rPr>
        <w:t>5</w:t>
      </w:r>
      <w:r w:rsidR="00FD6184" w:rsidRPr="009B23C2">
        <w:rPr>
          <w:rFonts w:ascii="Calibri" w:hint="eastAsia"/>
          <w:color w:val="FF0000"/>
        </w:rPr>
        <w:t>：</w:t>
      </w:r>
      <w:r w:rsidR="009B23C2" w:rsidRPr="009B23C2">
        <w:rPr>
          <w:rFonts w:ascii="Calibri"/>
          <w:color w:val="FF0000"/>
        </w:rPr>
        <w:t>0.30</w:t>
      </w:r>
      <w:r w:rsidR="00FD6184" w:rsidRPr="009B23C2">
        <w:rPr>
          <w:rFonts w:ascii="Calibri"/>
          <w:color w:val="FF0000"/>
        </w:rPr>
        <w:t>t/a</w:t>
      </w:r>
      <w:r w:rsidR="00FD6184" w:rsidRPr="009B23C2">
        <w:rPr>
          <w:rFonts w:ascii="Calibri" w:hint="eastAsia"/>
          <w:color w:val="FF0000"/>
        </w:rPr>
        <w:t>，</w:t>
      </w:r>
    </w:p>
    <w:p w14:paraId="0319F92D" w14:textId="77777777" w:rsidR="001035CB" w:rsidRPr="00F91086" w:rsidRDefault="00CD2C07" w:rsidP="00FD6184">
      <w:pPr>
        <w:pStyle w:val="00"/>
        <w:ind w:firstLine="0"/>
        <w:rPr>
          <w:rStyle w:val="00CharChar"/>
          <w:rFonts w:ascii="Calibri" w:cs="Calibri"/>
          <w:color w:val="auto"/>
        </w:rPr>
      </w:pPr>
      <w:r>
        <w:rPr>
          <w:rFonts w:ascii="Calibri" w:hint="eastAsia"/>
          <w:color w:val="auto"/>
        </w:rPr>
        <w:t>NH</w:t>
      </w:r>
      <w:r w:rsidRPr="00F91086">
        <w:rPr>
          <w:rFonts w:ascii="Calibri" w:hint="eastAsia"/>
          <w:color w:val="auto"/>
          <w:vertAlign w:val="subscript"/>
        </w:rPr>
        <w:t>3</w:t>
      </w:r>
      <w:r w:rsidRPr="00F91086">
        <w:rPr>
          <w:rFonts w:ascii="Calibri" w:hint="eastAsia"/>
          <w:color w:val="auto"/>
        </w:rPr>
        <w:t>-N</w:t>
      </w:r>
      <w:r>
        <w:rPr>
          <w:rFonts w:ascii="Calibri" w:hint="eastAsia"/>
          <w:color w:val="auto"/>
        </w:rPr>
        <w:t>产生</w:t>
      </w:r>
      <w:r>
        <w:rPr>
          <w:rFonts w:ascii="Calibri"/>
          <w:color w:val="auto"/>
        </w:rPr>
        <w:t>量为</w:t>
      </w:r>
      <w:r>
        <w:rPr>
          <w:rFonts w:ascii="Calibri" w:hint="eastAsia"/>
          <w:color w:val="auto"/>
        </w:rPr>
        <w:t>0.0</w:t>
      </w:r>
      <w:r>
        <w:rPr>
          <w:rFonts w:ascii="Calibri"/>
          <w:color w:val="auto"/>
        </w:rPr>
        <w:t>43t/a</w:t>
      </w:r>
      <w:r>
        <w:rPr>
          <w:rFonts w:ascii="Calibri" w:hint="eastAsia"/>
          <w:color w:val="auto"/>
        </w:rPr>
        <w:t>。</w:t>
      </w:r>
    </w:p>
    <w:p w14:paraId="1678DA77" w14:textId="77777777" w:rsidR="00F91086" w:rsidRPr="00A964FF" w:rsidRDefault="00F91086" w:rsidP="00F91086">
      <w:pPr>
        <w:pStyle w:val="ad"/>
        <w:ind w:firstLineChars="200" w:firstLine="562"/>
        <w:rPr>
          <w:rFonts w:ascii="Calibri" w:hAnsi="Calibri"/>
          <w:color w:val="auto"/>
          <w:sz w:val="24"/>
        </w:rPr>
      </w:pPr>
      <w:r>
        <w:rPr>
          <w:rFonts w:ascii="Calibri" w:hAnsi="Calibri"/>
          <w:color w:val="auto"/>
        </w:rPr>
        <w:t>5</w:t>
      </w:r>
      <w:r>
        <w:rPr>
          <w:rFonts w:ascii="Calibri" w:hAnsi="Calibri" w:hint="eastAsia"/>
          <w:color w:val="auto"/>
        </w:rPr>
        <w:t>、循环冷却</w:t>
      </w:r>
      <w:r>
        <w:rPr>
          <w:rFonts w:ascii="Calibri" w:hAnsi="Calibri"/>
          <w:color w:val="auto"/>
        </w:rPr>
        <w:t>系统</w:t>
      </w:r>
      <w:r w:rsidR="002A3438">
        <w:rPr>
          <w:rFonts w:ascii="Calibri" w:hAnsi="Calibri" w:hint="eastAsia"/>
          <w:color w:val="auto"/>
        </w:rPr>
        <w:t>用排水</w:t>
      </w:r>
    </w:p>
    <w:p w14:paraId="3561B3AB" w14:textId="77777777" w:rsidR="009E0A14" w:rsidRDefault="009E0A14" w:rsidP="009E0A14">
      <w:pPr>
        <w:spacing w:line="500" w:lineRule="exact"/>
        <w:ind w:firstLineChars="200" w:firstLine="480"/>
        <w:rPr>
          <w:rFonts w:ascii="Calibri"/>
          <w:color w:val="auto"/>
          <w:sz w:val="24"/>
        </w:rPr>
      </w:pPr>
      <w:r>
        <w:rPr>
          <w:rFonts w:ascii="Calibri" w:hint="eastAsia"/>
          <w:color w:val="auto"/>
          <w:sz w:val="24"/>
        </w:rPr>
        <w:t>本项目一期生产过程</w:t>
      </w:r>
      <w:r>
        <w:rPr>
          <w:rFonts w:ascii="Calibri"/>
          <w:color w:val="auto"/>
          <w:sz w:val="24"/>
        </w:rPr>
        <w:t>中</w:t>
      </w:r>
      <w:r w:rsidRPr="009E0A14">
        <w:rPr>
          <w:rFonts w:ascii="Calibri" w:hint="eastAsia"/>
          <w:color w:val="auto"/>
          <w:sz w:val="24"/>
        </w:rPr>
        <w:t>冷却塔需循环冷却水量约</w:t>
      </w:r>
      <w:r>
        <w:rPr>
          <w:rFonts w:ascii="Calibri" w:hint="eastAsia"/>
          <w:color w:val="auto"/>
          <w:sz w:val="24"/>
        </w:rPr>
        <w:t>9</w:t>
      </w:r>
      <w:r>
        <w:rPr>
          <w:rFonts w:ascii="Calibri"/>
          <w:color w:val="auto"/>
          <w:sz w:val="24"/>
        </w:rPr>
        <w:t>t/d</w:t>
      </w:r>
      <w:r>
        <w:rPr>
          <w:rFonts w:ascii="Calibri" w:hint="eastAsia"/>
          <w:color w:val="auto"/>
          <w:sz w:val="24"/>
        </w:rPr>
        <w:t>，</w:t>
      </w:r>
      <w:r w:rsidR="00981E65" w:rsidRPr="00A964FF">
        <w:rPr>
          <w:rFonts w:ascii="Calibri" w:hint="eastAsia"/>
          <w:color w:val="auto"/>
          <w:sz w:val="24"/>
        </w:rPr>
        <w:t>根据经验数据，循环水站一般补水量为循环水量的</w:t>
      </w:r>
      <w:r w:rsidR="00981E65" w:rsidRPr="00A964FF">
        <w:rPr>
          <w:rFonts w:ascii="Calibri" w:hint="eastAsia"/>
          <w:color w:val="auto"/>
          <w:sz w:val="24"/>
        </w:rPr>
        <w:t>1</w:t>
      </w:r>
      <w:r w:rsidR="00981E65" w:rsidRPr="00A964FF">
        <w:rPr>
          <w:rFonts w:ascii="Calibri" w:hint="eastAsia"/>
          <w:color w:val="auto"/>
          <w:sz w:val="24"/>
        </w:rPr>
        <w:t>～</w:t>
      </w:r>
      <w:r w:rsidR="00981E65" w:rsidRPr="00A964FF">
        <w:rPr>
          <w:rFonts w:ascii="Calibri" w:hint="eastAsia"/>
          <w:color w:val="auto"/>
          <w:sz w:val="24"/>
        </w:rPr>
        <w:t>2%</w:t>
      </w:r>
      <w:r w:rsidR="00981E65" w:rsidRPr="00A964FF">
        <w:rPr>
          <w:rFonts w:ascii="Calibri" w:hint="eastAsia"/>
          <w:color w:val="auto"/>
          <w:sz w:val="24"/>
        </w:rPr>
        <w:t>（含循环冷却系统排污水量），本次评价补水量按</w:t>
      </w:r>
      <w:r>
        <w:rPr>
          <w:rFonts w:ascii="Calibri"/>
          <w:color w:val="auto"/>
          <w:sz w:val="24"/>
        </w:rPr>
        <w:t>2</w:t>
      </w:r>
      <w:r w:rsidR="00981E65" w:rsidRPr="00A964FF">
        <w:rPr>
          <w:rFonts w:ascii="Calibri" w:hint="eastAsia"/>
          <w:color w:val="auto"/>
          <w:sz w:val="24"/>
        </w:rPr>
        <w:t>%</w:t>
      </w:r>
      <w:r w:rsidR="00981E65" w:rsidRPr="00A964FF">
        <w:rPr>
          <w:rFonts w:ascii="Calibri" w:hint="eastAsia"/>
          <w:color w:val="auto"/>
          <w:sz w:val="24"/>
        </w:rPr>
        <w:t>计，则循环冷却水系统补水量为</w:t>
      </w:r>
      <w:r>
        <w:rPr>
          <w:rFonts w:ascii="Calibri"/>
          <w:color w:val="auto"/>
          <w:sz w:val="24"/>
        </w:rPr>
        <w:t>0.18</w:t>
      </w:r>
      <w:r w:rsidR="00981E65" w:rsidRPr="00A964FF">
        <w:rPr>
          <w:rFonts w:ascii="Calibri" w:hint="eastAsia"/>
          <w:color w:val="auto"/>
          <w:sz w:val="24"/>
        </w:rPr>
        <w:t>t/d</w:t>
      </w:r>
      <w:r w:rsidR="00981E65" w:rsidRPr="00A964FF">
        <w:rPr>
          <w:rFonts w:ascii="Calibri" w:hint="eastAsia"/>
          <w:color w:val="auto"/>
          <w:sz w:val="24"/>
        </w:rPr>
        <w:t>，</w:t>
      </w:r>
      <w:r>
        <w:rPr>
          <w:rFonts w:ascii="Calibri"/>
          <w:color w:val="auto"/>
          <w:sz w:val="24"/>
        </w:rPr>
        <w:t>54</w:t>
      </w:r>
      <w:r w:rsidR="00981E65" w:rsidRPr="00A964FF">
        <w:rPr>
          <w:rFonts w:ascii="Calibri" w:hint="eastAsia"/>
          <w:color w:val="auto"/>
          <w:sz w:val="24"/>
        </w:rPr>
        <w:t>t/a</w:t>
      </w:r>
      <w:r w:rsidR="00981E65">
        <w:rPr>
          <w:rFonts w:ascii="Calibri" w:hint="eastAsia"/>
          <w:color w:val="auto"/>
          <w:sz w:val="24"/>
        </w:rPr>
        <w:t>。</w:t>
      </w:r>
    </w:p>
    <w:p w14:paraId="00366697" w14:textId="77777777" w:rsidR="00981E65" w:rsidRDefault="00981E65" w:rsidP="009E0A14">
      <w:pPr>
        <w:spacing w:line="500" w:lineRule="exact"/>
        <w:ind w:firstLineChars="200" w:firstLine="480"/>
        <w:rPr>
          <w:rFonts w:ascii="Calibri"/>
          <w:color w:val="auto"/>
          <w:sz w:val="24"/>
        </w:rPr>
      </w:pPr>
      <w:r w:rsidRPr="00A964FF">
        <w:rPr>
          <w:rFonts w:ascii="Calibri" w:hint="eastAsia"/>
          <w:color w:val="auto"/>
          <w:sz w:val="24"/>
        </w:rPr>
        <w:t>循环冷却水在使用过程中，需要定期排放。根据企业提供经验数据，循环冷却水系统排污水量为循环水量的</w:t>
      </w:r>
      <w:r w:rsidRPr="00A964FF">
        <w:rPr>
          <w:rFonts w:ascii="Calibri" w:hint="eastAsia"/>
          <w:color w:val="auto"/>
          <w:sz w:val="24"/>
        </w:rPr>
        <w:t>0.</w:t>
      </w:r>
      <w:r>
        <w:rPr>
          <w:rFonts w:ascii="Calibri" w:hint="eastAsia"/>
          <w:color w:val="auto"/>
          <w:sz w:val="24"/>
        </w:rPr>
        <w:t>2</w:t>
      </w:r>
      <w:r w:rsidRPr="00A964FF">
        <w:rPr>
          <w:rFonts w:ascii="Calibri" w:hint="eastAsia"/>
          <w:color w:val="auto"/>
          <w:sz w:val="24"/>
        </w:rPr>
        <w:t>%</w:t>
      </w:r>
      <w:r w:rsidRPr="00A964FF">
        <w:rPr>
          <w:rFonts w:ascii="Calibri" w:hint="eastAsia"/>
          <w:color w:val="auto"/>
          <w:sz w:val="24"/>
        </w:rPr>
        <w:t>，经核算，循环冷却水系统排污水量为</w:t>
      </w:r>
      <w:r w:rsidR="00FB766A">
        <w:rPr>
          <w:rFonts w:ascii="Calibri"/>
          <w:color w:val="auto"/>
          <w:sz w:val="24"/>
        </w:rPr>
        <w:t>0.018</w:t>
      </w:r>
      <w:r w:rsidRPr="00A964FF">
        <w:rPr>
          <w:rFonts w:ascii="Calibri" w:hint="eastAsia"/>
          <w:color w:val="auto"/>
          <w:sz w:val="24"/>
        </w:rPr>
        <w:t>t/d</w:t>
      </w:r>
      <w:r w:rsidRPr="00A964FF">
        <w:rPr>
          <w:rFonts w:ascii="Calibri" w:hint="eastAsia"/>
          <w:color w:val="auto"/>
          <w:sz w:val="24"/>
        </w:rPr>
        <w:t>，</w:t>
      </w:r>
      <w:r w:rsidR="00FB766A">
        <w:rPr>
          <w:rFonts w:ascii="Calibri"/>
          <w:color w:val="auto"/>
          <w:sz w:val="24"/>
        </w:rPr>
        <w:t>5.4</w:t>
      </w:r>
      <w:r w:rsidRPr="00A964FF">
        <w:rPr>
          <w:rFonts w:ascii="Calibri" w:hint="eastAsia"/>
          <w:color w:val="auto"/>
          <w:sz w:val="24"/>
        </w:rPr>
        <w:t>t/a</w:t>
      </w:r>
      <w:r w:rsidRPr="00A964FF">
        <w:rPr>
          <w:rFonts w:ascii="Calibri" w:hint="eastAsia"/>
          <w:color w:val="auto"/>
          <w:sz w:val="24"/>
        </w:rPr>
        <w:t>，主要污染物浓度为</w:t>
      </w:r>
      <w:r w:rsidRPr="00A964FF">
        <w:rPr>
          <w:rFonts w:ascii="Calibri" w:hint="eastAsia"/>
          <w:color w:val="auto"/>
          <w:sz w:val="24"/>
        </w:rPr>
        <w:t>COD</w:t>
      </w:r>
      <w:r w:rsidRPr="00A964FF">
        <w:rPr>
          <w:rFonts w:ascii="Calibri" w:hint="eastAsia"/>
          <w:color w:val="auto"/>
          <w:sz w:val="24"/>
        </w:rPr>
        <w:t>：</w:t>
      </w:r>
      <w:r w:rsidRPr="00A964FF">
        <w:rPr>
          <w:rFonts w:ascii="Calibri" w:hint="eastAsia"/>
          <w:color w:val="auto"/>
          <w:sz w:val="24"/>
        </w:rPr>
        <w:t>50mg/L</w:t>
      </w:r>
      <w:r w:rsidRPr="00A964FF">
        <w:rPr>
          <w:rFonts w:ascii="Calibri" w:hint="eastAsia"/>
          <w:color w:val="auto"/>
          <w:sz w:val="24"/>
        </w:rPr>
        <w:t>，</w:t>
      </w:r>
      <w:r w:rsidRPr="00A964FF">
        <w:rPr>
          <w:rFonts w:ascii="Calibri" w:hint="eastAsia"/>
          <w:color w:val="auto"/>
          <w:sz w:val="24"/>
        </w:rPr>
        <w:t>SS</w:t>
      </w:r>
      <w:r w:rsidRPr="00A964FF">
        <w:rPr>
          <w:rFonts w:ascii="Calibri" w:hint="eastAsia"/>
          <w:color w:val="auto"/>
          <w:sz w:val="24"/>
        </w:rPr>
        <w:t>：</w:t>
      </w:r>
      <w:r w:rsidRPr="00A964FF">
        <w:rPr>
          <w:rFonts w:ascii="Calibri" w:hint="eastAsia"/>
          <w:color w:val="auto"/>
          <w:sz w:val="24"/>
        </w:rPr>
        <w:t>50mg/L</w:t>
      </w:r>
      <w:r w:rsidRPr="00A964FF">
        <w:rPr>
          <w:rFonts w:ascii="Calibri" w:hint="eastAsia"/>
          <w:color w:val="auto"/>
          <w:sz w:val="24"/>
        </w:rPr>
        <w:t>，通过厂区总排放口排入集聚区处理厂集中处理。</w:t>
      </w:r>
    </w:p>
    <w:p w14:paraId="420A5C90" w14:textId="77777777" w:rsidR="00FB766A" w:rsidRDefault="00FB766A" w:rsidP="00FB766A">
      <w:pPr>
        <w:spacing w:line="500" w:lineRule="exact"/>
        <w:ind w:firstLineChars="200" w:firstLine="480"/>
        <w:rPr>
          <w:rFonts w:ascii="Calibri"/>
          <w:color w:val="auto"/>
          <w:sz w:val="24"/>
        </w:rPr>
      </w:pPr>
      <w:r>
        <w:rPr>
          <w:rFonts w:ascii="Calibri" w:hint="eastAsia"/>
          <w:color w:val="auto"/>
          <w:sz w:val="24"/>
        </w:rPr>
        <w:t>本项目二期生产过程</w:t>
      </w:r>
      <w:r>
        <w:rPr>
          <w:rFonts w:ascii="Calibri"/>
          <w:color w:val="auto"/>
          <w:sz w:val="24"/>
        </w:rPr>
        <w:t>中</w:t>
      </w:r>
      <w:r w:rsidRPr="009E0A14">
        <w:rPr>
          <w:rFonts w:ascii="Calibri" w:hint="eastAsia"/>
          <w:color w:val="auto"/>
          <w:sz w:val="24"/>
        </w:rPr>
        <w:t>冷却塔需循环冷却水量约</w:t>
      </w:r>
      <w:r>
        <w:rPr>
          <w:rFonts w:ascii="Calibri"/>
          <w:color w:val="auto"/>
          <w:sz w:val="24"/>
        </w:rPr>
        <w:t>6t/d</w:t>
      </w:r>
      <w:r>
        <w:rPr>
          <w:rFonts w:ascii="Calibri" w:hint="eastAsia"/>
          <w:color w:val="auto"/>
          <w:sz w:val="24"/>
        </w:rPr>
        <w:t>，</w:t>
      </w:r>
      <w:r w:rsidRPr="00A964FF">
        <w:rPr>
          <w:rFonts w:ascii="Calibri" w:hint="eastAsia"/>
          <w:color w:val="auto"/>
          <w:sz w:val="24"/>
        </w:rPr>
        <w:t>根据经验数据，循环水站一般补水量为循环水量的</w:t>
      </w:r>
      <w:r w:rsidRPr="00A964FF">
        <w:rPr>
          <w:rFonts w:ascii="Calibri" w:hint="eastAsia"/>
          <w:color w:val="auto"/>
          <w:sz w:val="24"/>
        </w:rPr>
        <w:t>1</w:t>
      </w:r>
      <w:r w:rsidRPr="00A964FF">
        <w:rPr>
          <w:rFonts w:ascii="Calibri" w:hint="eastAsia"/>
          <w:color w:val="auto"/>
          <w:sz w:val="24"/>
        </w:rPr>
        <w:t>～</w:t>
      </w:r>
      <w:r w:rsidRPr="00A964FF">
        <w:rPr>
          <w:rFonts w:ascii="Calibri" w:hint="eastAsia"/>
          <w:color w:val="auto"/>
          <w:sz w:val="24"/>
        </w:rPr>
        <w:t>2%</w:t>
      </w:r>
      <w:r w:rsidRPr="00A964FF">
        <w:rPr>
          <w:rFonts w:ascii="Calibri" w:hint="eastAsia"/>
          <w:color w:val="auto"/>
          <w:sz w:val="24"/>
        </w:rPr>
        <w:t>（含循环冷却系统排污水量），本次评价补水量按</w:t>
      </w:r>
      <w:r>
        <w:rPr>
          <w:rFonts w:ascii="Calibri"/>
          <w:color w:val="auto"/>
          <w:sz w:val="24"/>
        </w:rPr>
        <w:t>2</w:t>
      </w:r>
      <w:r w:rsidRPr="00A964FF">
        <w:rPr>
          <w:rFonts w:ascii="Calibri" w:hint="eastAsia"/>
          <w:color w:val="auto"/>
          <w:sz w:val="24"/>
        </w:rPr>
        <w:t>%</w:t>
      </w:r>
      <w:r w:rsidRPr="00A964FF">
        <w:rPr>
          <w:rFonts w:ascii="Calibri" w:hint="eastAsia"/>
          <w:color w:val="auto"/>
          <w:sz w:val="24"/>
        </w:rPr>
        <w:t>计，则循环冷却水系统补水量为</w:t>
      </w:r>
      <w:r>
        <w:rPr>
          <w:rFonts w:ascii="Calibri"/>
          <w:color w:val="auto"/>
          <w:sz w:val="24"/>
        </w:rPr>
        <w:t>0.12</w:t>
      </w:r>
      <w:r w:rsidRPr="00A964FF">
        <w:rPr>
          <w:rFonts w:ascii="Calibri" w:hint="eastAsia"/>
          <w:color w:val="auto"/>
          <w:sz w:val="24"/>
        </w:rPr>
        <w:t>t/d</w:t>
      </w:r>
      <w:r w:rsidRPr="00A964FF">
        <w:rPr>
          <w:rFonts w:ascii="Calibri" w:hint="eastAsia"/>
          <w:color w:val="auto"/>
          <w:sz w:val="24"/>
        </w:rPr>
        <w:t>，</w:t>
      </w:r>
      <w:r>
        <w:rPr>
          <w:rFonts w:ascii="Calibri"/>
          <w:color w:val="auto"/>
          <w:sz w:val="24"/>
        </w:rPr>
        <w:t>36</w:t>
      </w:r>
      <w:r w:rsidRPr="00A964FF">
        <w:rPr>
          <w:rFonts w:ascii="Calibri" w:hint="eastAsia"/>
          <w:color w:val="auto"/>
          <w:sz w:val="24"/>
        </w:rPr>
        <w:t>t/a</w:t>
      </w:r>
      <w:r>
        <w:rPr>
          <w:rFonts w:ascii="Calibri" w:hint="eastAsia"/>
          <w:color w:val="auto"/>
          <w:sz w:val="24"/>
        </w:rPr>
        <w:t>。</w:t>
      </w:r>
    </w:p>
    <w:p w14:paraId="228DD283" w14:textId="77777777" w:rsidR="00FB766A" w:rsidRPr="009E0A14" w:rsidRDefault="00FB766A" w:rsidP="00FB766A">
      <w:pPr>
        <w:spacing w:line="500" w:lineRule="exact"/>
        <w:ind w:firstLineChars="200" w:firstLine="480"/>
        <w:rPr>
          <w:rFonts w:ascii="Calibri"/>
          <w:color w:val="auto"/>
          <w:sz w:val="24"/>
        </w:rPr>
      </w:pPr>
      <w:r w:rsidRPr="00A964FF">
        <w:rPr>
          <w:rFonts w:ascii="Calibri" w:hint="eastAsia"/>
          <w:color w:val="auto"/>
          <w:sz w:val="24"/>
        </w:rPr>
        <w:t>循环冷却水在使用过程中，需要定期排放。根据企业提供经验数据，循环冷却水系统排污水量为循环水量的</w:t>
      </w:r>
      <w:r w:rsidRPr="00A964FF">
        <w:rPr>
          <w:rFonts w:ascii="Calibri" w:hint="eastAsia"/>
          <w:color w:val="auto"/>
          <w:sz w:val="24"/>
        </w:rPr>
        <w:t>0.</w:t>
      </w:r>
      <w:r>
        <w:rPr>
          <w:rFonts w:ascii="Calibri" w:hint="eastAsia"/>
          <w:color w:val="auto"/>
          <w:sz w:val="24"/>
        </w:rPr>
        <w:t>2</w:t>
      </w:r>
      <w:r w:rsidRPr="00A964FF">
        <w:rPr>
          <w:rFonts w:ascii="Calibri" w:hint="eastAsia"/>
          <w:color w:val="auto"/>
          <w:sz w:val="24"/>
        </w:rPr>
        <w:t>%</w:t>
      </w:r>
      <w:r w:rsidRPr="00A964FF">
        <w:rPr>
          <w:rFonts w:ascii="Calibri" w:hint="eastAsia"/>
          <w:color w:val="auto"/>
          <w:sz w:val="24"/>
        </w:rPr>
        <w:t>，经核算，循环冷却水系统排污水量为</w:t>
      </w:r>
      <w:r>
        <w:rPr>
          <w:rFonts w:ascii="Calibri"/>
          <w:color w:val="auto"/>
          <w:sz w:val="24"/>
        </w:rPr>
        <w:t>0.012</w:t>
      </w:r>
      <w:r w:rsidRPr="00A964FF">
        <w:rPr>
          <w:rFonts w:ascii="Calibri" w:hint="eastAsia"/>
          <w:color w:val="auto"/>
          <w:sz w:val="24"/>
        </w:rPr>
        <w:t>t/d</w:t>
      </w:r>
      <w:r w:rsidRPr="00A964FF">
        <w:rPr>
          <w:rFonts w:ascii="Calibri" w:hint="eastAsia"/>
          <w:color w:val="auto"/>
          <w:sz w:val="24"/>
        </w:rPr>
        <w:t>，</w:t>
      </w:r>
      <w:r>
        <w:rPr>
          <w:rFonts w:ascii="Calibri"/>
          <w:color w:val="auto"/>
          <w:sz w:val="24"/>
        </w:rPr>
        <w:t>3.6</w:t>
      </w:r>
      <w:r w:rsidRPr="00A964FF">
        <w:rPr>
          <w:rFonts w:ascii="Calibri" w:hint="eastAsia"/>
          <w:color w:val="auto"/>
          <w:sz w:val="24"/>
        </w:rPr>
        <w:t>t/a</w:t>
      </w:r>
      <w:r w:rsidRPr="00A964FF">
        <w:rPr>
          <w:rFonts w:ascii="Calibri" w:hint="eastAsia"/>
          <w:color w:val="auto"/>
          <w:sz w:val="24"/>
        </w:rPr>
        <w:t>，主要污染物浓度为</w:t>
      </w:r>
      <w:r w:rsidRPr="00A964FF">
        <w:rPr>
          <w:rFonts w:ascii="Calibri" w:hint="eastAsia"/>
          <w:color w:val="auto"/>
          <w:sz w:val="24"/>
        </w:rPr>
        <w:t>COD</w:t>
      </w:r>
      <w:r w:rsidRPr="00A964FF">
        <w:rPr>
          <w:rFonts w:ascii="Calibri" w:hint="eastAsia"/>
          <w:color w:val="auto"/>
          <w:sz w:val="24"/>
        </w:rPr>
        <w:t>：</w:t>
      </w:r>
      <w:r w:rsidRPr="00A964FF">
        <w:rPr>
          <w:rFonts w:ascii="Calibri" w:hint="eastAsia"/>
          <w:color w:val="auto"/>
          <w:sz w:val="24"/>
        </w:rPr>
        <w:t>50mg/L</w:t>
      </w:r>
      <w:r w:rsidRPr="00A964FF">
        <w:rPr>
          <w:rFonts w:ascii="Calibri" w:hint="eastAsia"/>
          <w:color w:val="auto"/>
          <w:sz w:val="24"/>
        </w:rPr>
        <w:t>，</w:t>
      </w:r>
      <w:r w:rsidRPr="00A964FF">
        <w:rPr>
          <w:rFonts w:ascii="Calibri" w:hint="eastAsia"/>
          <w:color w:val="auto"/>
          <w:sz w:val="24"/>
        </w:rPr>
        <w:t>SS</w:t>
      </w:r>
      <w:r w:rsidRPr="00A964FF">
        <w:rPr>
          <w:rFonts w:ascii="Calibri" w:hint="eastAsia"/>
          <w:color w:val="auto"/>
          <w:sz w:val="24"/>
        </w:rPr>
        <w:t>：</w:t>
      </w:r>
      <w:r w:rsidRPr="00A964FF">
        <w:rPr>
          <w:rFonts w:ascii="Calibri" w:hint="eastAsia"/>
          <w:color w:val="auto"/>
          <w:sz w:val="24"/>
        </w:rPr>
        <w:t>50mg/L</w:t>
      </w:r>
      <w:r w:rsidRPr="00A964FF">
        <w:rPr>
          <w:rFonts w:ascii="Calibri" w:hint="eastAsia"/>
          <w:color w:val="auto"/>
          <w:sz w:val="24"/>
        </w:rPr>
        <w:t>，通过厂区总排放口排入集聚区处理厂集中处理。</w:t>
      </w:r>
    </w:p>
    <w:p w14:paraId="35D1B76B" w14:textId="77777777" w:rsidR="00F91086" w:rsidRPr="00AF505F" w:rsidRDefault="00895982" w:rsidP="00AF505F">
      <w:pPr>
        <w:pStyle w:val="ad"/>
        <w:ind w:firstLineChars="200" w:firstLine="562"/>
        <w:rPr>
          <w:rFonts w:ascii="Calibri" w:hAnsi="Calibri"/>
          <w:color w:val="auto"/>
        </w:rPr>
      </w:pPr>
      <w:r w:rsidRPr="00895982">
        <w:rPr>
          <w:rFonts w:ascii="Calibri" w:hAnsi="Calibri" w:hint="eastAsia"/>
          <w:color w:val="auto"/>
        </w:rPr>
        <w:t>6</w:t>
      </w:r>
      <w:r w:rsidRPr="00895982">
        <w:rPr>
          <w:rFonts w:ascii="Calibri" w:hAnsi="Calibri" w:hint="eastAsia"/>
          <w:color w:val="auto"/>
        </w:rPr>
        <w:t>、</w:t>
      </w:r>
      <w:r w:rsidR="009305BC">
        <w:rPr>
          <w:rFonts w:ascii="Calibri" w:hAnsi="Calibri" w:hint="eastAsia"/>
          <w:color w:val="auto"/>
        </w:rPr>
        <w:t>纯</w:t>
      </w:r>
      <w:r w:rsidR="00F91086">
        <w:rPr>
          <w:rFonts w:ascii="Calibri" w:hAnsi="Calibri" w:hint="eastAsia"/>
          <w:color w:val="auto"/>
        </w:rPr>
        <w:t>水</w:t>
      </w:r>
      <w:r w:rsidR="00F91086">
        <w:rPr>
          <w:rFonts w:ascii="Calibri" w:hAnsi="Calibri"/>
          <w:color w:val="auto"/>
        </w:rPr>
        <w:t>制备</w:t>
      </w:r>
      <w:r w:rsidR="002A3438">
        <w:rPr>
          <w:rFonts w:ascii="Calibri" w:hAnsi="Calibri" w:hint="eastAsia"/>
          <w:color w:val="auto"/>
        </w:rPr>
        <w:t>用排水</w:t>
      </w:r>
    </w:p>
    <w:p w14:paraId="37FEA8C1" w14:textId="77777777" w:rsidR="00A24025" w:rsidRPr="00ED6E4A" w:rsidRDefault="00A24025" w:rsidP="00A24025">
      <w:pPr>
        <w:pStyle w:val="00"/>
        <w:ind w:firstLineChars="200"/>
        <w:rPr>
          <w:rFonts w:ascii="Calibri"/>
          <w:color w:val="auto"/>
        </w:rPr>
      </w:pPr>
      <w:r w:rsidRPr="00F91086">
        <w:rPr>
          <w:rFonts w:ascii="Calibri" w:hint="eastAsia"/>
          <w:color w:val="auto"/>
        </w:rPr>
        <w:t>本项目冷冻系统、真空系统、</w:t>
      </w:r>
      <w:r>
        <w:rPr>
          <w:rFonts w:ascii="Calibri" w:hint="eastAsia"/>
          <w:color w:val="auto"/>
        </w:rPr>
        <w:t>制粒</w:t>
      </w:r>
      <w:r>
        <w:rPr>
          <w:rFonts w:ascii="Calibri"/>
          <w:color w:val="auto"/>
        </w:rPr>
        <w:t>冷却</w:t>
      </w:r>
      <w:r w:rsidRPr="00F91086">
        <w:rPr>
          <w:rFonts w:ascii="Calibri" w:hint="eastAsia"/>
          <w:color w:val="auto"/>
        </w:rPr>
        <w:t>系统</w:t>
      </w:r>
      <w:r>
        <w:rPr>
          <w:rFonts w:ascii="Calibri" w:hint="eastAsia"/>
          <w:color w:val="auto"/>
        </w:rPr>
        <w:t>、品控中心</w:t>
      </w:r>
      <w:r>
        <w:rPr>
          <w:rFonts w:ascii="Calibri"/>
          <w:color w:val="auto"/>
        </w:rPr>
        <w:t>实验用水</w:t>
      </w:r>
      <w:r w:rsidRPr="00F91086">
        <w:rPr>
          <w:rFonts w:ascii="Calibri" w:hint="eastAsia"/>
          <w:color w:val="auto"/>
        </w:rPr>
        <w:t>均需使用</w:t>
      </w:r>
      <w:r>
        <w:rPr>
          <w:rFonts w:ascii="Calibri" w:hint="eastAsia"/>
          <w:color w:val="auto"/>
        </w:rPr>
        <w:t>纯水</w:t>
      </w:r>
      <w:r w:rsidRPr="00F91086">
        <w:rPr>
          <w:rFonts w:ascii="Calibri" w:hint="eastAsia"/>
          <w:color w:val="auto"/>
        </w:rPr>
        <w:t>，</w:t>
      </w:r>
      <w:r>
        <w:rPr>
          <w:rFonts w:ascii="Calibri" w:hint="eastAsia"/>
          <w:color w:val="auto"/>
        </w:rPr>
        <w:t>由上</w:t>
      </w:r>
      <w:r>
        <w:rPr>
          <w:rFonts w:ascii="Calibri"/>
          <w:color w:val="auto"/>
        </w:rPr>
        <w:t>述分析可知，</w:t>
      </w:r>
      <w:r>
        <w:rPr>
          <w:rFonts w:ascii="Calibri" w:hint="eastAsia"/>
          <w:color w:val="auto"/>
        </w:rPr>
        <w:t>一期工程纯水</w:t>
      </w:r>
      <w:r>
        <w:rPr>
          <w:rFonts w:ascii="Calibri"/>
          <w:color w:val="auto"/>
        </w:rPr>
        <w:t>消耗量为</w:t>
      </w:r>
      <w:r>
        <w:rPr>
          <w:rFonts w:ascii="Calibri" w:hint="eastAsia"/>
          <w:color w:val="auto"/>
        </w:rPr>
        <w:t>1</w:t>
      </w:r>
      <w:r>
        <w:rPr>
          <w:rFonts w:ascii="Calibri"/>
          <w:color w:val="auto"/>
        </w:rPr>
        <w:t>5</w:t>
      </w:r>
      <w:r>
        <w:rPr>
          <w:rFonts w:ascii="Calibri" w:hint="eastAsia"/>
          <w:color w:val="auto"/>
        </w:rPr>
        <w:t>9</w:t>
      </w:r>
      <w:r>
        <w:rPr>
          <w:rFonts w:ascii="Calibri"/>
          <w:color w:val="auto"/>
        </w:rPr>
        <w:t>9t/a</w:t>
      </w:r>
      <w:r>
        <w:rPr>
          <w:rFonts w:ascii="Calibri" w:hint="eastAsia"/>
          <w:color w:val="auto"/>
        </w:rPr>
        <w:t>，</w:t>
      </w:r>
      <w:r>
        <w:rPr>
          <w:rFonts w:ascii="Calibri"/>
          <w:color w:val="auto"/>
        </w:rPr>
        <w:t>5</w:t>
      </w:r>
      <w:r>
        <w:rPr>
          <w:rFonts w:ascii="Calibri" w:hint="eastAsia"/>
          <w:color w:val="auto"/>
        </w:rPr>
        <w:t>.3</w:t>
      </w:r>
      <w:r>
        <w:rPr>
          <w:rFonts w:ascii="Calibri"/>
          <w:color w:val="auto"/>
        </w:rPr>
        <w:t>3t/d</w:t>
      </w:r>
      <w:r>
        <w:rPr>
          <w:rFonts w:ascii="Calibri" w:hint="eastAsia"/>
          <w:color w:val="auto"/>
        </w:rPr>
        <w:t>；二期</w:t>
      </w:r>
      <w:r>
        <w:rPr>
          <w:rFonts w:ascii="Calibri"/>
          <w:color w:val="auto"/>
        </w:rPr>
        <w:t>工程</w:t>
      </w:r>
      <w:r>
        <w:rPr>
          <w:rFonts w:ascii="Calibri" w:hint="eastAsia"/>
          <w:color w:val="auto"/>
        </w:rPr>
        <w:t>纯水</w:t>
      </w:r>
      <w:r>
        <w:rPr>
          <w:rFonts w:ascii="Calibri"/>
          <w:color w:val="auto"/>
        </w:rPr>
        <w:t>消耗量为</w:t>
      </w:r>
      <w:r>
        <w:rPr>
          <w:rFonts w:ascii="Calibri"/>
          <w:color w:val="auto"/>
        </w:rPr>
        <w:lastRenderedPageBreak/>
        <w:t>782.9t/a</w:t>
      </w:r>
      <w:r>
        <w:rPr>
          <w:rFonts w:ascii="Calibri" w:hint="eastAsia"/>
          <w:color w:val="auto"/>
        </w:rPr>
        <w:t>，</w:t>
      </w:r>
      <w:r>
        <w:rPr>
          <w:rFonts w:ascii="Calibri"/>
          <w:color w:val="auto"/>
        </w:rPr>
        <w:t>2.61t/d</w:t>
      </w:r>
      <w:r>
        <w:rPr>
          <w:rFonts w:ascii="Calibri" w:hint="eastAsia"/>
          <w:color w:val="auto"/>
        </w:rPr>
        <w:t>。纯水</w:t>
      </w:r>
      <w:r w:rsidRPr="008D65E2">
        <w:rPr>
          <w:rFonts w:ascii="Calibri" w:hint="eastAsia"/>
          <w:color w:val="auto"/>
        </w:rPr>
        <w:t>产率</w:t>
      </w:r>
      <w:r>
        <w:rPr>
          <w:rFonts w:ascii="Calibri" w:hint="eastAsia"/>
          <w:color w:val="auto"/>
        </w:rPr>
        <w:t>为</w:t>
      </w:r>
      <w:r>
        <w:rPr>
          <w:rFonts w:ascii="Calibri"/>
          <w:color w:val="auto"/>
        </w:rPr>
        <w:t>70</w:t>
      </w:r>
      <w:r w:rsidRPr="008D65E2">
        <w:rPr>
          <w:rFonts w:ascii="Calibri" w:hint="eastAsia"/>
          <w:color w:val="auto"/>
        </w:rPr>
        <w:t>%</w:t>
      </w:r>
      <w:r w:rsidRPr="008D65E2">
        <w:rPr>
          <w:rFonts w:ascii="Calibri" w:hint="eastAsia"/>
          <w:color w:val="auto"/>
        </w:rPr>
        <w:t>，</w:t>
      </w:r>
      <w:r>
        <w:rPr>
          <w:rFonts w:ascii="Calibri" w:hint="eastAsia"/>
          <w:color w:val="auto"/>
        </w:rPr>
        <w:t>一期</w:t>
      </w:r>
      <w:r>
        <w:rPr>
          <w:rFonts w:ascii="Calibri"/>
          <w:color w:val="auto"/>
        </w:rPr>
        <w:t>工程新鲜用水量约为</w:t>
      </w:r>
      <w:r>
        <w:rPr>
          <w:rFonts w:ascii="Calibri"/>
          <w:color w:val="auto"/>
        </w:rPr>
        <w:t>2284.29t/a</w:t>
      </w:r>
      <w:r>
        <w:rPr>
          <w:rFonts w:ascii="Calibri" w:hint="eastAsia"/>
          <w:color w:val="auto"/>
        </w:rPr>
        <w:t>，</w:t>
      </w:r>
      <w:r>
        <w:rPr>
          <w:rFonts w:ascii="Calibri"/>
          <w:color w:val="auto"/>
        </w:rPr>
        <w:t>7.61t/d</w:t>
      </w:r>
      <w:r>
        <w:rPr>
          <w:rFonts w:ascii="Calibri" w:hint="eastAsia"/>
          <w:color w:val="auto"/>
        </w:rPr>
        <w:t>，</w:t>
      </w:r>
      <w:r>
        <w:rPr>
          <w:rFonts w:ascii="Calibri"/>
          <w:color w:val="auto"/>
        </w:rPr>
        <w:t>废水产生量为</w:t>
      </w:r>
      <w:r>
        <w:rPr>
          <w:rFonts w:ascii="Calibri"/>
          <w:color w:val="auto"/>
        </w:rPr>
        <w:t>685.29t/a</w:t>
      </w:r>
      <w:r>
        <w:rPr>
          <w:rFonts w:ascii="Calibri" w:hint="eastAsia"/>
          <w:color w:val="auto"/>
        </w:rPr>
        <w:t>，</w:t>
      </w:r>
      <w:r>
        <w:rPr>
          <w:rFonts w:ascii="Calibri"/>
          <w:color w:val="auto"/>
        </w:rPr>
        <w:t>2.28t/d</w:t>
      </w:r>
      <w:r>
        <w:rPr>
          <w:rFonts w:ascii="Calibri" w:hint="eastAsia"/>
          <w:color w:val="auto"/>
        </w:rPr>
        <w:t>；二期</w:t>
      </w:r>
      <w:r>
        <w:rPr>
          <w:rFonts w:ascii="Calibri"/>
          <w:color w:val="auto"/>
        </w:rPr>
        <w:t>工程新鲜用水量约为</w:t>
      </w:r>
      <w:r>
        <w:rPr>
          <w:rFonts w:ascii="Calibri"/>
          <w:color w:val="auto"/>
        </w:rPr>
        <w:t>1118.43t/a</w:t>
      </w:r>
      <w:r>
        <w:rPr>
          <w:rFonts w:ascii="Calibri" w:hint="eastAsia"/>
          <w:color w:val="auto"/>
        </w:rPr>
        <w:t>，</w:t>
      </w:r>
      <w:r>
        <w:rPr>
          <w:rFonts w:ascii="Calibri"/>
          <w:color w:val="auto"/>
        </w:rPr>
        <w:t>3.72t/d</w:t>
      </w:r>
      <w:r>
        <w:rPr>
          <w:rFonts w:ascii="Calibri" w:hint="eastAsia"/>
          <w:color w:val="auto"/>
        </w:rPr>
        <w:t>，</w:t>
      </w:r>
      <w:r>
        <w:rPr>
          <w:rFonts w:ascii="Calibri"/>
          <w:color w:val="auto"/>
        </w:rPr>
        <w:t>废水产生量为</w:t>
      </w:r>
      <w:r>
        <w:rPr>
          <w:rFonts w:ascii="Calibri"/>
          <w:color w:val="auto"/>
        </w:rPr>
        <w:t>335.53t/a</w:t>
      </w:r>
      <w:r>
        <w:rPr>
          <w:rFonts w:ascii="Calibri" w:hint="eastAsia"/>
          <w:color w:val="auto"/>
        </w:rPr>
        <w:t>，</w:t>
      </w:r>
      <w:r>
        <w:rPr>
          <w:rFonts w:ascii="Calibri"/>
          <w:color w:val="auto"/>
        </w:rPr>
        <w:t>1.11t/d</w:t>
      </w:r>
      <w:r>
        <w:rPr>
          <w:rFonts w:ascii="Calibri" w:hint="eastAsia"/>
          <w:color w:val="auto"/>
        </w:rPr>
        <w:t>。</w:t>
      </w:r>
      <w:r w:rsidRPr="00A17342">
        <w:rPr>
          <w:rFonts w:ascii="Calibri" w:hAnsi="Calibri" w:hint="eastAsia"/>
        </w:rPr>
        <w:t>主要污染物浓度为</w:t>
      </w:r>
      <w:r w:rsidRPr="00A17342">
        <w:rPr>
          <w:rFonts w:ascii="Calibri" w:hAnsi="Calibri" w:hint="eastAsia"/>
        </w:rPr>
        <w:t>COD</w:t>
      </w:r>
      <w:r w:rsidRPr="00A17342">
        <w:rPr>
          <w:rFonts w:ascii="Calibri" w:hAnsi="Calibri" w:hint="eastAsia"/>
        </w:rPr>
        <w:t>：</w:t>
      </w:r>
      <w:r w:rsidRPr="00A17342">
        <w:rPr>
          <w:rFonts w:ascii="Calibri" w:hAnsi="Calibri" w:hint="eastAsia"/>
        </w:rPr>
        <w:t>50mg/L</w:t>
      </w:r>
      <w:r w:rsidRPr="00A17342">
        <w:rPr>
          <w:rFonts w:ascii="Calibri" w:hAnsi="Calibri" w:hint="eastAsia"/>
        </w:rPr>
        <w:t>，</w:t>
      </w:r>
      <w:r w:rsidRPr="00A17342">
        <w:rPr>
          <w:rFonts w:ascii="Calibri" w:hAnsi="Calibri" w:hint="eastAsia"/>
        </w:rPr>
        <w:t>SS</w:t>
      </w:r>
      <w:r w:rsidRPr="00A17342">
        <w:rPr>
          <w:rFonts w:ascii="Calibri" w:hAnsi="Calibri" w:hint="eastAsia"/>
        </w:rPr>
        <w:t>：</w:t>
      </w:r>
      <w:r w:rsidRPr="00A17342">
        <w:rPr>
          <w:rFonts w:ascii="Calibri" w:hAnsi="Calibri" w:hint="eastAsia"/>
        </w:rPr>
        <w:t>50mg/L</w:t>
      </w:r>
      <w:r w:rsidRPr="00A17342">
        <w:rPr>
          <w:rFonts w:ascii="Calibri" w:hAnsi="Calibri" w:hint="eastAsia"/>
        </w:rPr>
        <w:t>，通过厂区总排放口排入集聚区处理厂集中处理。</w:t>
      </w:r>
    </w:p>
    <w:p w14:paraId="5BED6CB0" w14:textId="77777777" w:rsidR="00751ABC" w:rsidRPr="00AF505F" w:rsidRDefault="00751ABC" w:rsidP="00A17342">
      <w:pPr>
        <w:pStyle w:val="ad"/>
        <w:ind w:firstLineChars="200" w:firstLine="562"/>
        <w:rPr>
          <w:rFonts w:ascii="Calibri" w:hAnsi="Calibri"/>
          <w:color w:val="auto"/>
        </w:rPr>
      </w:pPr>
      <w:r>
        <w:rPr>
          <w:rFonts w:ascii="Calibri" w:hAnsi="Calibri"/>
          <w:color w:val="auto"/>
        </w:rPr>
        <w:t>7</w:t>
      </w:r>
      <w:r w:rsidRPr="00895982">
        <w:rPr>
          <w:rFonts w:ascii="Calibri" w:hAnsi="Calibri" w:hint="eastAsia"/>
          <w:color w:val="auto"/>
        </w:rPr>
        <w:t>、</w:t>
      </w:r>
      <w:r>
        <w:rPr>
          <w:rFonts w:ascii="Calibri" w:hAnsi="Calibri" w:hint="eastAsia"/>
          <w:color w:val="auto"/>
        </w:rPr>
        <w:t>车间地面</w:t>
      </w:r>
      <w:r>
        <w:rPr>
          <w:rFonts w:ascii="Calibri" w:hAnsi="Calibri"/>
          <w:color w:val="auto"/>
        </w:rPr>
        <w:t>冲洗</w:t>
      </w:r>
      <w:r w:rsidR="002A3438">
        <w:rPr>
          <w:rFonts w:ascii="Calibri" w:hAnsi="Calibri" w:hint="eastAsia"/>
          <w:color w:val="auto"/>
        </w:rPr>
        <w:t>用排水</w:t>
      </w:r>
    </w:p>
    <w:p w14:paraId="3E6F70D5" w14:textId="43249DDB" w:rsidR="00F56E4C" w:rsidRPr="007F0A04" w:rsidRDefault="00EE741C" w:rsidP="00E9070F">
      <w:pPr>
        <w:spacing w:line="500" w:lineRule="exact"/>
        <w:ind w:firstLineChars="200" w:firstLine="480"/>
        <w:rPr>
          <w:rFonts w:ascii="Calibri"/>
          <w:color w:val="auto"/>
          <w:sz w:val="24"/>
        </w:rPr>
      </w:pPr>
      <w:r w:rsidRPr="00AD10F4">
        <w:rPr>
          <w:rFonts w:ascii="Calibri" w:hint="eastAsia"/>
          <w:color w:val="auto"/>
          <w:sz w:val="24"/>
        </w:rPr>
        <w:t>日常生产过程中，部分物料会散落地面，污染地面环境，建设单位需要定期对生产单元进行清洗，保持清洁。根据设计资料，生产单元地面每</w:t>
      </w:r>
      <w:r w:rsidR="00ED0237">
        <w:rPr>
          <w:rFonts w:ascii="Calibri" w:hint="eastAsia"/>
          <w:color w:val="auto"/>
          <w:sz w:val="24"/>
        </w:rPr>
        <w:t>2</w:t>
      </w:r>
      <w:r>
        <w:rPr>
          <w:rFonts w:ascii="Calibri" w:hint="eastAsia"/>
          <w:color w:val="auto"/>
          <w:sz w:val="24"/>
        </w:rPr>
        <w:t>天清洗</w:t>
      </w:r>
      <w:r w:rsidRPr="00AD10F4">
        <w:rPr>
          <w:rFonts w:ascii="Calibri" w:hint="eastAsia"/>
          <w:color w:val="auto"/>
          <w:sz w:val="24"/>
        </w:rPr>
        <w:t>一次，每次冲洗用水定额为</w:t>
      </w:r>
      <w:r w:rsidR="007C4EAA">
        <w:rPr>
          <w:rFonts w:ascii="Calibri" w:hint="eastAsia"/>
          <w:color w:val="auto"/>
          <w:sz w:val="24"/>
        </w:rPr>
        <w:t>1</w:t>
      </w:r>
      <w:r w:rsidR="007C4EAA">
        <w:rPr>
          <w:rFonts w:ascii="Calibri"/>
          <w:color w:val="auto"/>
          <w:sz w:val="24"/>
        </w:rPr>
        <w:t>.8</w:t>
      </w:r>
      <w:r w:rsidRPr="00AD10F4">
        <w:rPr>
          <w:rFonts w:ascii="Calibri" w:hint="eastAsia"/>
          <w:color w:val="auto"/>
          <w:sz w:val="24"/>
        </w:rPr>
        <w:t>L/m</w:t>
      </w:r>
      <w:r w:rsidRPr="00AD10F4">
        <w:rPr>
          <w:rFonts w:ascii="Calibri" w:hint="eastAsia"/>
          <w:color w:val="auto"/>
          <w:sz w:val="24"/>
          <w:vertAlign w:val="superscript"/>
        </w:rPr>
        <w:t>2</w:t>
      </w:r>
      <w:r w:rsidRPr="00AD10F4">
        <w:rPr>
          <w:rFonts w:ascii="Calibri" w:hint="eastAsia"/>
          <w:color w:val="auto"/>
          <w:sz w:val="24"/>
        </w:rPr>
        <w:t>，冲洗废水产生系数为</w:t>
      </w:r>
      <w:r w:rsidRPr="00AD10F4">
        <w:rPr>
          <w:rFonts w:ascii="Calibri" w:hint="eastAsia"/>
          <w:color w:val="auto"/>
          <w:sz w:val="24"/>
        </w:rPr>
        <w:t>0.9</w:t>
      </w:r>
      <w:r w:rsidRPr="00AD10F4">
        <w:rPr>
          <w:rFonts w:ascii="Calibri" w:hint="eastAsia"/>
          <w:color w:val="auto"/>
          <w:sz w:val="24"/>
        </w:rPr>
        <w:t>，</w:t>
      </w:r>
      <w:r w:rsidR="00F56E4C">
        <w:rPr>
          <w:rFonts w:ascii="Calibri" w:hint="eastAsia"/>
          <w:color w:val="auto"/>
          <w:sz w:val="24"/>
        </w:rPr>
        <w:t>地面</w:t>
      </w:r>
      <w:r w:rsidR="00F56E4C" w:rsidRPr="00AD10F4">
        <w:rPr>
          <w:rFonts w:ascii="Calibri" w:hint="eastAsia"/>
          <w:color w:val="auto"/>
          <w:sz w:val="24"/>
        </w:rPr>
        <w:t>冲洗废水中污染物主要为</w:t>
      </w:r>
      <w:r w:rsidR="00F56E4C" w:rsidRPr="00AD10F4">
        <w:rPr>
          <w:rFonts w:ascii="Calibri" w:hint="eastAsia"/>
          <w:color w:val="auto"/>
          <w:sz w:val="24"/>
        </w:rPr>
        <w:t>COD</w:t>
      </w:r>
      <w:r w:rsidR="00F56E4C" w:rsidRPr="00AD10F4">
        <w:rPr>
          <w:rFonts w:ascii="Calibri" w:hint="eastAsia"/>
          <w:color w:val="auto"/>
          <w:sz w:val="24"/>
        </w:rPr>
        <w:t>、</w:t>
      </w:r>
      <w:r w:rsidR="00F56E4C" w:rsidRPr="00AD10F4">
        <w:rPr>
          <w:rFonts w:ascii="Calibri" w:hint="eastAsia"/>
          <w:color w:val="auto"/>
          <w:sz w:val="24"/>
        </w:rPr>
        <w:t>BOD</w:t>
      </w:r>
      <w:r w:rsidR="00F56E4C" w:rsidRPr="00AD10F4">
        <w:rPr>
          <w:rFonts w:ascii="Calibri" w:hint="eastAsia"/>
          <w:color w:val="auto"/>
          <w:sz w:val="24"/>
          <w:vertAlign w:val="subscript"/>
        </w:rPr>
        <w:t>5</w:t>
      </w:r>
      <w:r w:rsidR="00F56E4C" w:rsidRPr="00AD10F4">
        <w:rPr>
          <w:rFonts w:ascii="Calibri" w:hint="eastAsia"/>
          <w:color w:val="auto"/>
          <w:sz w:val="24"/>
        </w:rPr>
        <w:t>、</w:t>
      </w:r>
      <w:r w:rsidR="00F56E4C" w:rsidRPr="00AD10F4">
        <w:rPr>
          <w:rFonts w:ascii="Calibri" w:hint="eastAsia"/>
          <w:color w:val="auto"/>
          <w:sz w:val="24"/>
        </w:rPr>
        <w:t>SS</w:t>
      </w:r>
      <w:r w:rsidR="00F56E4C" w:rsidRPr="00AD10F4">
        <w:rPr>
          <w:rFonts w:ascii="Calibri" w:hint="eastAsia"/>
          <w:color w:val="auto"/>
          <w:sz w:val="24"/>
        </w:rPr>
        <w:t>、</w:t>
      </w:r>
      <w:r w:rsidR="00F56E4C" w:rsidRPr="00AD10F4">
        <w:rPr>
          <w:rFonts w:ascii="Calibri" w:hint="eastAsia"/>
          <w:color w:val="auto"/>
          <w:sz w:val="24"/>
        </w:rPr>
        <w:t>NH</w:t>
      </w:r>
      <w:r w:rsidR="00F56E4C" w:rsidRPr="00AD10F4">
        <w:rPr>
          <w:rFonts w:ascii="Calibri" w:hint="eastAsia"/>
          <w:color w:val="auto"/>
          <w:sz w:val="24"/>
          <w:vertAlign w:val="subscript"/>
        </w:rPr>
        <w:t>3</w:t>
      </w:r>
      <w:r w:rsidR="00F56E4C" w:rsidRPr="00AD10F4">
        <w:rPr>
          <w:rFonts w:ascii="Calibri" w:hint="eastAsia"/>
          <w:color w:val="auto"/>
          <w:sz w:val="24"/>
        </w:rPr>
        <w:t>-N</w:t>
      </w:r>
      <w:r w:rsidR="00F56E4C" w:rsidRPr="00AD10F4">
        <w:rPr>
          <w:rFonts w:ascii="Calibri" w:hint="eastAsia"/>
          <w:color w:val="auto"/>
          <w:sz w:val="24"/>
        </w:rPr>
        <w:t>，根据企业提供设计资料，并参考同类项目，</w:t>
      </w:r>
      <w:r w:rsidR="00F56E4C">
        <w:rPr>
          <w:rFonts w:ascii="Calibri" w:hint="eastAsia"/>
          <w:color w:val="auto"/>
          <w:sz w:val="24"/>
        </w:rPr>
        <w:t>地面</w:t>
      </w:r>
      <w:r w:rsidR="00F56E4C" w:rsidRPr="00AD10F4">
        <w:rPr>
          <w:rFonts w:ascii="Calibri" w:hint="eastAsia"/>
          <w:color w:val="auto"/>
          <w:sz w:val="24"/>
        </w:rPr>
        <w:t>冲洗废水中各污染物浓度为</w:t>
      </w:r>
      <w:r w:rsidR="00F56E4C" w:rsidRPr="00AD10F4">
        <w:rPr>
          <w:rFonts w:ascii="Calibri" w:hint="eastAsia"/>
          <w:color w:val="auto"/>
          <w:sz w:val="24"/>
        </w:rPr>
        <w:t>COD</w:t>
      </w:r>
      <w:r w:rsidR="00F56E4C" w:rsidRPr="00AD10F4">
        <w:rPr>
          <w:rFonts w:ascii="Calibri" w:hint="eastAsia"/>
          <w:color w:val="auto"/>
          <w:sz w:val="24"/>
        </w:rPr>
        <w:t>：</w:t>
      </w:r>
      <w:r w:rsidR="00F56E4C">
        <w:rPr>
          <w:rFonts w:ascii="Calibri"/>
          <w:color w:val="auto"/>
          <w:sz w:val="24"/>
        </w:rPr>
        <w:t>350</w:t>
      </w:r>
      <w:r w:rsidR="00F56E4C" w:rsidRPr="00AD10F4">
        <w:rPr>
          <w:rFonts w:ascii="Calibri" w:hint="eastAsia"/>
          <w:color w:val="auto"/>
          <w:sz w:val="24"/>
        </w:rPr>
        <w:t>mg/L</w:t>
      </w:r>
      <w:r w:rsidR="00F56E4C" w:rsidRPr="00AD10F4">
        <w:rPr>
          <w:rFonts w:ascii="Calibri" w:hint="eastAsia"/>
          <w:color w:val="auto"/>
          <w:sz w:val="24"/>
        </w:rPr>
        <w:t>，</w:t>
      </w:r>
      <w:r w:rsidR="007F0A04" w:rsidRPr="00AD10F4">
        <w:rPr>
          <w:rFonts w:ascii="Calibri" w:hint="eastAsia"/>
          <w:color w:val="auto"/>
          <w:sz w:val="24"/>
        </w:rPr>
        <w:t>BOD</w:t>
      </w:r>
      <w:r w:rsidR="007F0A04" w:rsidRPr="00AD10F4">
        <w:rPr>
          <w:rFonts w:ascii="Calibri" w:hint="eastAsia"/>
          <w:color w:val="auto"/>
          <w:sz w:val="24"/>
          <w:vertAlign w:val="subscript"/>
        </w:rPr>
        <w:t>5</w:t>
      </w:r>
      <w:r w:rsidR="007F0A04" w:rsidRPr="00AD10F4">
        <w:rPr>
          <w:rFonts w:ascii="Calibri" w:hint="eastAsia"/>
          <w:color w:val="auto"/>
          <w:sz w:val="24"/>
        </w:rPr>
        <w:t>：</w:t>
      </w:r>
      <w:r w:rsidR="009B23C2">
        <w:rPr>
          <w:rFonts w:ascii="Calibri"/>
          <w:color w:val="auto"/>
          <w:sz w:val="24"/>
        </w:rPr>
        <w:t>150</w:t>
      </w:r>
      <w:r w:rsidR="007F0A04" w:rsidRPr="00AD10F4">
        <w:rPr>
          <w:rFonts w:ascii="Calibri" w:hint="eastAsia"/>
          <w:color w:val="auto"/>
          <w:sz w:val="24"/>
        </w:rPr>
        <w:t>mg/L</w:t>
      </w:r>
      <w:r w:rsidR="007F0A04" w:rsidRPr="00AD10F4">
        <w:rPr>
          <w:rFonts w:ascii="Calibri" w:hint="eastAsia"/>
          <w:color w:val="auto"/>
          <w:sz w:val="24"/>
        </w:rPr>
        <w:t>，</w:t>
      </w:r>
      <w:r w:rsidR="00F56E4C" w:rsidRPr="00AD10F4">
        <w:rPr>
          <w:rFonts w:ascii="Calibri" w:hint="eastAsia"/>
          <w:color w:val="auto"/>
          <w:sz w:val="24"/>
        </w:rPr>
        <w:t>NH</w:t>
      </w:r>
      <w:r w:rsidR="00F56E4C" w:rsidRPr="00AD10F4">
        <w:rPr>
          <w:rFonts w:ascii="Calibri" w:hint="eastAsia"/>
          <w:color w:val="auto"/>
          <w:sz w:val="24"/>
          <w:vertAlign w:val="subscript"/>
        </w:rPr>
        <w:t>3</w:t>
      </w:r>
      <w:r w:rsidR="00F56E4C" w:rsidRPr="00AD10F4">
        <w:rPr>
          <w:rFonts w:ascii="Calibri" w:hint="eastAsia"/>
          <w:color w:val="auto"/>
          <w:sz w:val="24"/>
        </w:rPr>
        <w:t>-N</w:t>
      </w:r>
      <w:r w:rsidR="00F56E4C" w:rsidRPr="00AD10F4">
        <w:rPr>
          <w:rFonts w:ascii="Calibri" w:hint="eastAsia"/>
          <w:color w:val="auto"/>
          <w:sz w:val="24"/>
        </w:rPr>
        <w:t>：</w:t>
      </w:r>
      <w:r w:rsidR="00F56E4C">
        <w:rPr>
          <w:rFonts w:ascii="Calibri"/>
          <w:color w:val="auto"/>
          <w:sz w:val="24"/>
        </w:rPr>
        <w:t>3</w:t>
      </w:r>
      <w:r w:rsidR="00F56E4C" w:rsidRPr="00AD10F4">
        <w:rPr>
          <w:rFonts w:ascii="Calibri" w:hint="eastAsia"/>
          <w:color w:val="auto"/>
          <w:sz w:val="24"/>
        </w:rPr>
        <w:t>0mg/L</w:t>
      </w:r>
      <w:r w:rsidR="007D0738">
        <w:rPr>
          <w:rFonts w:ascii="Calibri" w:hint="eastAsia"/>
          <w:color w:val="auto"/>
          <w:sz w:val="24"/>
        </w:rPr>
        <w:t>，</w:t>
      </w:r>
      <w:r w:rsidR="007D0738">
        <w:rPr>
          <w:rFonts w:ascii="Calibri"/>
          <w:color w:val="auto"/>
          <w:sz w:val="24"/>
        </w:rPr>
        <w:t>SS</w:t>
      </w:r>
      <w:r w:rsidR="007D0738" w:rsidRPr="00AD10F4">
        <w:rPr>
          <w:rFonts w:ascii="Calibri" w:hint="eastAsia"/>
          <w:color w:val="auto"/>
          <w:sz w:val="24"/>
        </w:rPr>
        <w:t>：</w:t>
      </w:r>
      <w:r w:rsidR="00E9070F">
        <w:rPr>
          <w:rFonts w:ascii="Calibri"/>
          <w:color w:val="auto"/>
          <w:sz w:val="24"/>
        </w:rPr>
        <w:t>200</w:t>
      </w:r>
      <w:r w:rsidR="007D0738" w:rsidRPr="00AD10F4">
        <w:rPr>
          <w:rFonts w:ascii="Calibri" w:hint="eastAsia"/>
          <w:color w:val="auto"/>
          <w:sz w:val="24"/>
        </w:rPr>
        <w:t>mg/L</w:t>
      </w:r>
      <w:r w:rsidR="00F56E4C" w:rsidRPr="00AD10F4">
        <w:rPr>
          <w:rFonts w:ascii="Calibri" w:hint="eastAsia"/>
          <w:color w:val="auto"/>
          <w:sz w:val="24"/>
        </w:rPr>
        <w:t>，该部分废水收集后进入厂区自建废水处理站处理。</w:t>
      </w:r>
    </w:p>
    <w:p w14:paraId="54486D80" w14:textId="7E240B6F" w:rsidR="007F0A04" w:rsidRPr="002A3438" w:rsidRDefault="00981E65" w:rsidP="009B23C2">
      <w:pPr>
        <w:pStyle w:val="00"/>
        <w:rPr>
          <w:rFonts w:ascii="Calibri"/>
          <w:color w:val="auto"/>
        </w:rPr>
      </w:pPr>
      <w:r>
        <w:rPr>
          <w:rFonts w:ascii="Calibri" w:hint="eastAsia"/>
          <w:color w:val="auto"/>
        </w:rPr>
        <w:t>本项目</w:t>
      </w:r>
      <w:r>
        <w:rPr>
          <w:rFonts w:ascii="Calibri"/>
          <w:color w:val="auto"/>
        </w:rPr>
        <w:t>地面清洗面积为</w:t>
      </w:r>
      <w:r>
        <w:rPr>
          <w:rFonts w:ascii="Calibri" w:hint="eastAsia"/>
          <w:color w:val="auto"/>
        </w:rPr>
        <w:t>29290</w:t>
      </w:r>
      <w:r w:rsidR="00EE741C">
        <w:rPr>
          <w:rFonts w:ascii="Calibri"/>
          <w:color w:val="auto"/>
        </w:rPr>
        <w:t>m</w:t>
      </w:r>
      <w:r w:rsidR="00EE741C" w:rsidRPr="00EE741C">
        <w:rPr>
          <w:rFonts w:ascii="Calibri"/>
          <w:color w:val="auto"/>
          <w:vertAlign w:val="superscript"/>
        </w:rPr>
        <w:t>2</w:t>
      </w:r>
      <w:r w:rsidR="00EE741C">
        <w:rPr>
          <w:rFonts w:ascii="Calibri" w:hint="eastAsia"/>
          <w:color w:val="auto"/>
        </w:rPr>
        <w:t>，</w:t>
      </w:r>
      <w:r w:rsidR="00EE741C" w:rsidRPr="00AD10F4">
        <w:rPr>
          <w:rFonts w:ascii="Calibri" w:hint="eastAsia"/>
          <w:color w:val="auto"/>
        </w:rPr>
        <w:t>经核算，地面冲洗用水量为</w:t>
      </w:r>
      <w:r w:rsidR="007C4EAA">
        <w:rPr>
          <w:rFonts w:ascii="Calibri"/>
          <w:color w:val="auto"/>
        </w:rPr>
        <w:t>52.72</w:t>
      </w:r>
      <w:r w:rsidR="00EE741C" w:rsidRPr="00AD10F4">
        <w:rPr>
          <w:rFonts w:ascii="Calibri" w:hint="eastAsia"/>
          <w:color w:val="auto"/>
        </w:rPr>
        <w:t>t/</w:t>
      </w:r>
      <w:r w:rsidR="007C4EAA">
        <w:rPr>
          <w:rFonts w:ascii="Calibri" w:hint="eastAsia"/>
          <w:color w:val="auto"/>
        </w:rPr>
        <w:t>次</w:t>
      </w:r>
      <w:r w:rsidR="00EE741C">
        <w:rPr>
          <w:rFonts w:ascii="Calibri"/>
          <w:color w:val="auto"/>
        </w:rPr>
        <w:t>，</w:t>
      </w:r>
      <w:r w:rsidR="007C4EAA">
        <w:rPr>
          <w:rFonts w:ascii="Calibri"/>
          <w:color w:val="auto"/>
        </w:rPr>
        <w:t>7908</w:t>
      </w:r>
      <w:r w:rsidR="00EE741C">
        <w:rPr>
          <w:rFonts w:ascii="Calibri"/>
          <w:color w:val="auto"/>
        </w:rPr>
        <w:t>t/a</w:t>
      </w:r>
      <w:r w:rsidR="00EE741C">
        <w:rPr>
          <w:rFonts w:ascii="Calibri" w:hint="eastAsia"/>
          <w:color w:val="auto"/>
        </w:rPr>
        <w:t>，</w:t>
      </w:r>
      <w:r w:rsidR="00EE741C">
        <w:rPr>
          <w:rFonts w:ascii="Calibri"/>
          <w:color w:val="auto"/>
        </w:rPr>
        <w:t>折合</w:t>
      </w:r>
      <w:r w:rsidR="007C4EAA">
        <w:rPr>
          <w:rFonts w:ascii="Calibri"/>
          <w:color w:val="auto"/>
        </w:rPr>
        <w:t>26.36</w:t>
      </w:r>
      <w:r w:rsidR="00EE741C">
        <w:rPr>
          <w:rFonts w:ascii="Calibri"/>
          <w:color w:val="auto"/>
        </w:rPr>
        <w:t>t/d</w:t>
      </w:r>
      <w:r w:rsidR="00EE741C" w:rsidRPr="00AD10F4">
        <w:rPr>
          <w:rFonts w:ascii="Calibri" w:hint="eastAsia"/>
          <w:color w:val="auto"/>
        </w:rPr>
        <w:t>；地面冲洗废水产生量为</w:t>
      </w:r>
      <w:r w:rsidR="007C4EAA">
        <w:rPr>
          <w:rFonts w:ascii="Calibri"/>
          <w:color w:val="auto"/>
        </w:rPr>
        <w:t>47.45</w:t>
      </w:r>
      <w:r w:rsidR="00EE741C" w:rsidRPr="00AD10F4">
        <w:rPr>
          <w:rFonts w:ascii="Calibri" w:hint="eastAsia"/>
          <w:color w:val="auto"/>
        </w:rPr>
        <w:t>t/</w:t>
      </w:r>
      <w:r w:rsidR="00EE741C">
        <w:rPr>
          <w:rFonts w:ascii="Calibri" w:hint="eastAsia"/>
          <w:color w:val="auto"/>
        </w:rPr>
        <w:t>次</w:t>
      </w:r>
      <w:r w:rsidR="00EE741C" w:rsidRPr="00AD10F4">
        <w:rPr>
          <w:rFonts w:ascii="Calibri" w:hint="eastAsia"/>
          <w:color w:val="auto"/>
        </w:rPr>
        <w:t>，</w:t>
      </w:r>
      <w:r w:rsidR="00A73085">
        <w:rPr>
          <w:rFonts w:ascii="Calibri"/>
          <w:color w:val="auto"/>
        </w:rPr>
        <w:t>7117.2</w:t>
      </w:r>
      <w:r w:rsidR="00EE741C">
        <w:rPr>
          <w:rFonts w:ascii="Calibri"/>
          <w:color w:val="auto"/>
        </w:rPr>
        <w:t>t/a</w:t>
      </w:r>
      <w:r w:rsidR="00EE741C">
        <w:rPr>
          <w:rFonts w:ascii="Calibri" w:hint="eastAsia"/>
          <w:color w:val="auto"/>
        </w:rPr>
        <w:t>，折合</w:t>
      </w:r>
      <w:r w:rsidR="00A73085">
        <w:rPr>
          <w:rFonts w:ascii="Calibri"/>
          <w:color w:val="auto"/>
        </w:rPr>
        <w:t>23.73</w:t>
      </w:r>
      <w:r w:rsidR="00EE741C" w:rsidRPr="00AD10F4">
        <w:rPr>
          <w:rFonts w:ascii="Calibri" w:hint="eastAsia"/>
          <w:color w:val="auto"/>
        </w:rPr>
        <w:t>t/d</w:t>
      </w:r>
      <w:r w:rsidR="00EE741C" w:rsidRPr="00AD10F4">
        <w:rPr>
          <w:rFonts w:ascii="Calibri" w:hint="eastAsia"/>
          <w:color w:val="auto"/>
        </w:rPr>
        <w:t>。</w:t>
      </w:r>
      <w:r w:rsidR="002A3438">
        <w:rPr>
          <w:rFonts w:ascii="Calibri" w:hint="eastAsia"/>
          <w:color w:val="auto"/>
        </w:rPr>
        <w:t>废水</w:t>
      </w:r>
      <w:r w:rsidR="007F0A04">
        <w:rPr>
          <w:rFonts w:ascii="Calibri" w:hint="eastAsia"/>
          <w:color w:val="auto"/>
        </w:rPr>
        <w:t>污染物</w:t>
      </w:r>
      <w:r w:rsidR="007F0A04">
        <w:rPr>
          <w:rFonts w:ascii="Calibri"/>
          <w:color w:val="auto"/>
        </w:rPr>
        <w:t>中</w:t>
      </w:r>
      <w:r w:rsidR="007F0A04">
        <w:rPr>
          <w:rFonts w:ascii="Calibri" w:hint="eastAsia"/>
          <w:color w:val="auto"/>
        </w:rPr>
        <w:t>COD</w:t>
      </w:r>
      <w:r w:rsidR="007F0A04">
        <w:rPr>
          <w:rFonts w:ascii="Calibri" w:hint="eastAsia"/>
          <w:color w:val="auto"/>
        </w:rPr>
        <w:t>产生量</w:t>
      </w:r>
      <w:r w:rsidR="007F0A04">
        <w:rPr>
          <w:rFonts w:ascii="Calibri"/>
          <w:color w:val="auto"/>
        </w:rPr>
        <w:t>为</w:t>
      </w:r>
      <w:r w:rsidR="00A73085">
        <w:rPr>
          <w:rFonts w:ascii="Calibri"/>
          <w:color w:val="auto"/>
        </w:rPr>
        <w:t>2.49</w:t>
      </w:r>
      <w:r w:rsidR="007F0A04">
        <w:rPr>
          <w:rFonts w:ascii="Calibri"/>
          <w:color w:val="auto"/>
        </w:rPr>
        <w:t>t/a</w:t>
      </w:r>
      <w:r w:rsidR="007F0A04">
        <w:rPr>
          <w:rFonts w:ascii="Calibri" w:hint="eastAsia"/>
          <w:color w:val="auto"/>
        </w:rPr>
        <w:t>，</w:t>
      </w:r>
      <w:r w:rsidR="007F0A04">
        <w:rPr>
          <w:rFonts w:ascii="Calibri" w:hint="eastAsia"/>
          <w:color w:val="auto"/>
        </w:rPr>
        <w:t>0.00</w:t>
      </w:r>
      <w:r w:rsidR="00A73085">
        <w:rPr>
          <w:rFonts w:ascii="Calibri"/>
          <w:color w:val="auto"/>
        </w:rPr>
        <w:t>8</w:t>
      </w:r>
      <w:r>
        <w:rPr>
          <w:rFonts w:ascii="Calibri"/>
          <w:color w:val="auto"/>
        </w:rPr>
        <w:t>3</w:t>
      </w:r>
      <w:r w:rsidR="007F0A04">
        <w:rPr>
          <w:rFonts w:ascii="Calibri"/>
          <w:color w:val="auto"/>
        </w:rPr>
        <w:t>t/d</w:t>
      </w:r>
      <w:r w:rsidR="007F0A04">
        <w:rPr>
          <w:rFonts w:ascii="Calibri" w:hint="eastAsia"/>
          <w:color w:val="auto"/>
        </w:rPr>
        <w:t>；</w:t>
      </w:r>
      <w:r w:rsidR="007F0A04" w:rsidRPr="00033968">
        <w:rPr>
          <w:rFonts w:ascii="Calibri" w:hint="eastAsia"/>
          <w:color w:val="auto"/>
        </w:rPr>
        <w:t>BOD</w:t>
      </w:r>
      <w:r w:rsidR="007F0A04" w:rsidRPr="00033968">
        <w:rPr>
          <w:rFonts w:ascii="Calibri" w:hint="eastAsia"/>
          <w:color w:val="auto"/>
          <w:vertAlign w:val="subscript"/>
        </w:rPr>
        <w:t>5</w:t>
      </w:r>
      <w:r w:rsidR="007F0A04" w:rsidRPr="00033968">
        <w:rPr>
          <w:rFonts w:ascii="Calibri" w:hint="eastAsia"/>
          <w:color w:val="auto"/>
        </w:rPr>
        <w:t>产生量</w:t>
      </w:r>
      <w:r w:rsidR="007F0A04" w:rsidRPr="00033968">
        <w:rPr>
          <w:rFonts w:ascii="Calibri"/>
          <w:color w:val="auto"/>
        </w:rPr>
        <w:t>为</w:t>
      </w:r>
      <w:r w:rsidR="00A73085">
        <w:rPr>
          <w:rFonts w:ascii="Calibri"/>
          <w:color w:val="auto"/>
        </w:rPr>
        <w:t>1.07</w:t>
      </w:r>
      <w:r w:rsidR="007F0A04" w:rsidRPr="00033968">
        <w:rPr>
          <w:rFonts w:ascii="Calibri"/>
          <w:color w:val="auto"/>
        </w:rPr>
        <w:t>t/a</w:t>
      </w:r>
      <w:r w:rsidR="007F0A04" w:rsidRPr="00033968">
        <w:rPr>
          <w:rFonts w:ascii="Calibri" w:hint="eastAsia"/>
          <w:color w:val="auto"/>
        </w:rPr>
        <w:t>，</w:t>
      </w:r>
      <w:r w:rsidR="007F0A04">
        <w:rPr>
          <w:rFonts w:ascii="Calibri" w:hint="eastAsia"/>
          <w:color w:val="auto"/>
        </w:rPr>
        <w:t>0.00</w:t>
      </w:r>
      <w:r w:rsidR="00A202E5">
        <w:rPr>
          <w:rFonts w:ascii="Calibri"/>
          <w:color w:val="auto"/>
        </w:rPr>
        <w:t>36</w:t>
      </w:r>
      <w:r w:rsidR="007F0A04">
        <w:rPr>
          <w:rFonts w:ascii="Calibri"/>
          <w:color w:val="auto"/>
        </w:rPr>
        <w:t>t/d</w:t>
      </w:r>
      <w:r w:rsidR="002A3438">
        <w:rPr>
          <w:rFonts w:ascii="Calibri" w:hint="eastAsia"/>
          <w:color w:val="auto"/>
        </w:rPr>
        <w:t>；</w:t>
      </w:r>
      <w:r w:rsidR="002A3438" w:rsidRPr="00AD10F4">
        <w:rPr>
          <w:rFonts w:ascii="Calibri" w:hint="eastAsia"/>
          <w:color w:val="auto"/>
        </w:rPr>
        <w:t>NH</w:t>
      </w:r>
      <w:r w:rsidR="002A3438" w:rsidRPr="00AD10F4">
        <w:rPr>
          <w:rFonts w:ascii="Calibri" w:hint="eastAsia"/>
          <w:color w:val="auto"/>
          <w:vertAlign w:val="subscript"/>
        </w:rPr>
        <w:t>3</w:t>
      </w:r>
      <w:r w:rsidR="002A3438" w:rsidRPr="00AD10F4">
        <w:rPr>
          <w:rFonts w:ascii="Calibri" w:hint="eastAsia"/>
          <w:color w:val="auto"/>
        </w:rPr>
        <w:t>-N</w:t>
      </w:r>
      <w:r w:rsidR="002A3438">
        <w:rPr>
          <w:rFonts w:ascii="Calibri" w:hint="eastAsia"/>
          <w:color w:val="auto"/>
        </w:rPr>
        <w:t>产生量</w:t>
      </w:r>
      <w:r w:rsidR="002A3438">
        <w:rPr>
          <w:rFonts w:ascii="Calibri"/>
          <w:color w:val="auto"/>
        </w:rPr>
        <w:t>为</w:t>
      </w:r>
      <w:r w:rsidR="00A202E5">
        <w:rPr>
          <w:rFonts w:ascii="Calibri"/>
          <w:color w:val="auto"/>
        </w:rPr>
        <w:t>0.21</w:t>
      </w:r>
      <w:r w:rsidR="002A3438">
        <w:rPr>
          <w:rFonts w:ascii="Calibri"/>
          <w:color w:val="auto"/>
        </w:rPr>
        <w:t>t/a</w:t>
      </w:r>
      <w:r w:rsidR="002A3438">
        <w:rPr>
          <w:rFonts w:ascii="Calibri" w:hint="eastAsia"/>
          <w:color w:val="auto"/>
        </w:rPr>
        <w:t>，</w:t>
      </w:r>
      <w:r w:rsidR="002A3438">
        <w:rPr>
          <w:rFonts w:ascii="Calibri" w:hint="eastAsia"/>
          <w:color w:val="auto"/>
        </w:rPr>
        <w:t>0.00</w:t>
      </w:r>
      <w:r w:rsidR="002A3438">
        <w:rPr>
          <w:rFonts w:ascii="Calibri"/>
          <w:color w:val="auto"/>
        </w:rPr>
        <w:t>0</w:t>
      </w:r>
      <w:r w:rsidR="00A202E5">
        <w:rPr>
          <w:rFonts w:ascii="Calibri"/>
          <w:color w:val="auto"/>
        </w:rPr>
        <w:t>7</w:t>
      </w:r>
      <w:r w:rsidR="002A3438">
        <w:rPr>
          <w:rFonts w:ascii="Calibri"/>
          <w:color w:val="auto"/>
        </w:rPr>
        <w:t>t/d</w:t>
      </w:r>
      <w:r w:rsidR="00E9070F">
        <w:rPr>
          <w:rFonts w:ascii="Calibri" w:hint="eastAsia"/>
          <w:color w:val="auto"/>
        </w:rPr>
        <w:t>；</w:t>
      </w:r>
      <w:r w:rsidR="00E9070F">
        <w:rPr>
          <w:rFonts w:ascii="Calibri"/>
          <w:color w:val="auto"/>
        </w:rPr>
        <w:t>SS</w:t>
      </w:r>
      <w:r w:rsidR="00E9070F" w:rsidRPr="00033968">
        <w:rPr>
          <w:rFonts w:ascii="Calibri" w:hint="eastAsia"/>
          <w:color w:val="auto"/>
        </w:rPr>
        <w:t>产生量</w:t>
      </w:r>
      <w:r w:rsidR="00E9070F" w:rsidRPr="00033968">
        <w:rPr>
          <w:rFonts w:ascii="Calibri"/>
          <w:color w:val="auto"/>
        </w:rPr>
        <w:t>为</w:t>
      </w:r>
      <w:r w:rsidR="00E9070F">
        <w:rPr>
          <w:rFonts w:ascii="Calibri"/>
          <w:color w:val="auto"/>
        </w:rPr>
        <w:t>1.42</w:t>
      </w:r>
      <w:r w:rsidR="00E9070F" w:rsidRPr="00033968">
        <w:rPr>
          <w:rFonts w:ascii="Calibri"/>
          <w:color w:val="auto"/>
        </w:rPr>
        <w:t>t/a</w:t>
      </w:r>
      <w:r w:rsidR="00E9070F" w:rsidRPr="00033968">
        <w:rPr>
          <w:rFonts w:ascii="Calibri" w:hint="eastAsia"/>
          <w:color w:val="auto"/>
        </w:rPr>
        <w:t>，</w:t>
      </w:r>
      <w:r w:rsidR="00E9070F">
        <w:rPr>
          <w:rFonts w:ascii="Calibri" w:hint="eastAsia"/>
          <w:color w:val="auto"/>
        </w:rPr>
        <w:t>0.00</w:t>
      </w:r>
      <w:r w:rsidR="00E9070F">
        <w:rPr>
          <w:rFonts w:ascii="Calibri"/>
          <w:color w:val="auto"/>
        </w:rPr>
        <w:t>47t/d</w:t>
      </w:r>
      <w:r w:rsidR="002A3438">
        <w:rPr>
          <w:rFonts w:ascii="Calibri" w:hint="eastAsia"/>
          <w:color w:val="auto"/>
        </w:rPr>
        <w:t>。</w:t>
      </w:r>
    </w:p>
    <w:p w14:paraId="799DA455" w14:textId="77777777" w:rsidR="00F13E87" w:rsidRPr="00AF505F" w:rsidRDefault="00F13E87" w:rsidP="00F13E87">
      <w:pPr>
        <w:pStyle w:val="ad"/>
        <w:ind w:firstLineChars="200" w:firstLine="562"/>
        <w:rPr>
          <w:rFonts w:ascii="Calibri" w:hAnsi="Calibri"/>
          <w:color w:val="auto"/>
        </w:rPr>
      </w:pPr>
      <w:r>
        <w:rPr>
          <w:rFonts w:ascii="Calibri" w:hAnsi="Calibri"/>
          <w:color w:val="auto"/>
        </w:rPr>
        <w:t>8</w:t>
      </w:r>
      <w:r w:rsidRPr="00895982">
        <w:rPr>
          <w:rFonts w:ascii="Calibri" w:hAnsi="Calibri" w:hint="eastAsia"/>
          <w:color w:val="auto"/>
        </w:rPr>
        <w:t>、</w:t>
      </w:r>
      <w:r w:rsidR="00852DCA">
        <w:rPr>
          <w:rFonts w:ascii="Calibri" w:hAnsi="Calibri" w:hint="eastAsia"/>
          <w:color w:val="auto"/>
        </w:rPr>
        <w:t>品控中心</w:t>
      </w:r>
      <w:r>
        <w:rPr>
          <w:rFonts w:ascii="Calibri" w:hAnsi="Calibri"/>
          <w:color w:val="auto"/>
        </w:rPr>
        <w:t>废水</w:t>
      </w:r>
    </w:p>
    <w:p w14:paraId="2FB6531B" w14:textId="77777777" w:rsidR="00F13E87" w:rsidRPr="00171BA9" w:rsidRDefault="00852DCA" w:rsidP="00171BA9">
      <w:pPr>
        <w:pStyle w:val="00"/>
        <w:rPr>
          <w:rFonts w:ascii="Calibri"/>
          <w:b/>
          <w:color w:val="auto"/>
          <w:u w:val="single"/>
        </w:rPr>
      </w:pPr>
      <w:r w:rsidRPr="00171BA9">
        <w:rPr>
          <w:rFonts w:ascii="Calibri" w:hint="eastAsia"/>
          <w:b/>
          <w:color w:val="auto"/>
          <w:u w:val="single"/>
        </w:rPr>
        <w:t>品控中心</w:t>
      </w:r>
      <w:r w:rsidR="009D0E5F" w:rsidRPr="00171BA9">
        <w:rPr>
          <w:rFonts w:ascii="Calibri" w:hint="eastAsia"/>
          <w:b/>
          <w:color w:val="auto"/>
          <w:u w:val="single"/>
        </w:rPr>
        <w:t>定期</w:t>
      </w:r>
      <w:r w:rsidR="00171BA9" w:rsidRPr="00171BA9">
        <w:rPr>
          <w:rFonts w:ascii="Calibri" w:hint="eastAsia"/>
          <w:b/>
          <w:color w:val="auto"/>
          <w:u w:val="single"/>
        </w:rPr>
        <w:t>对</w:t>
      </w:r>
      <w:r w:rsidR="00171BA9" w:rsidRPr="00171BA9">
        <w:rPr>
          <w:rFonts w:ascii="Calibri"/>
          <w:b/>
          <w:color w:val="auto"/>
          <w:u w:val="single"/>
        </w:rPr>
        <w:t>原料、产品</w:t>
      </w:r>
      <w:r w:rsidR="00171BA9" w:rsidRPr="00171BA9">
        <w:rPr>
          <w:rFonts w:ascii="Calibri" w:hint="eastAsia"/>
          <w:b/>
          <w:color w:val="auto"/>
          <w:u w:val="single"/>
        </w:rPr>
        <w:t>性能</w:t>
      </w:r>
      <w:r w:rsidR="00171BA9" w:rsidRPr="00171BA9">
        <w:rPr>
          <w:rFonts w:ascii="Calibri"/>
          <w:b/>
          <w:color w:val="auto"/>
          <w:u w:val="single"/>
        </w:rPr>
        <w:t>进行</w:t>
      </w:r>
      <w:r w:rsidRPr="00171BA9">
        <w:rPr>
          <w:rFonts w:ascii="Calibri"/>
          <w:b/>
          <w:color w:val="auto"/>
          <w:u w:val="single"/>
        </w:rPr>
        <w:t>检验</w:t>
      </w:r>
      <w:r w:rsidRPr="00171BA9">
        <w:rPr>
          <w:rFonts w:ascii="Calibri" w:hint="eastAsia"/>
          <w:b/>
          <w:color w:val="auto"/>
          <w:u w:val="single"/>
        </w:rPr>
        <w:t>，</w:t>
      </w:r>
      <w:r w:rsidR="00F13E87" w:rsidRPr="00171BA9">
        <w:rPr>
          <w:rFonts w:ascii="Calibri" w:hint="eastAsia"/>
          <w:b/>
          <w:color w:val="auto"/>
          <w:u w:val="single"/>
        </w:rPr>
        <w:t>用水量为</w:t>
      </w:r>
      <w:r w:rsidR="00ED6E4A" w:rsidRPr="00171BA9">
        <w:rPr>
          <w:rFonts w:ascii="Calibri"/>
          <w:b/>
          <w:color w:val="auto"/>
          <w:u w:val="single"/>
        </w:rPr>
        <w:t>1</w:t>
      </w:r>
      <w:r w:rsidR="00F13E87" w:rsidRPr="00171BA9">
        <w:rPr>
          <w:rFonts w:ascii="Calibri" w:hint="eastAsia"/>
          <w:b/>
          <w:color w:val="auto"/>
          <w:u w:val="single"/>
        </w:rPr>
        <w:t>m</w:t>
      </w:r>
      <w:r w:rsidR="00F13E87" w:rsidRPr="00171BA9">
        <w:rPr>
          <w:rFonts w:ascii="Calibri" w:hint="eastAsia"/>
          <w:b/>
          <w:color w:val="auto"/>
          <w:u w:val="single"/>
          <w:vertAlign w:val="superscript"/>
        </w:rPr>
        <w:t>3</w:t>
      </w:r>
      <w:r w:rsidR="00F13E87" w:rsidRPr="00171BA9">
        <w:rPr>
          <w:rFonts w:ascii="Calibri" w:hint="eastAsia"/>
          <w:b/>
          <w:color w:val="auto"/>
          <w:u w:val="single"/>
        </w:rPr>
        <w:t>/d</w:t>
      </w:r>
      <w:r w:rsidR="00F13E87" w:rsidRPr="00171BA9">
        <w:rPr>
          <w:rFonts w:ascii="Calibri" w:hint="eastAsia"/>
          <w:b/>
          <w:color w:val="auto"/>
          <w:u w:val="single"/>
        </w:rPr>
        <w:t>（</w:t>
      </w:r>
      <w:r w:rsidR="00ED6E4A" w:rsidRPr="00171BA9">
        <w:rPr>
          <w:rFonts w:ascii="Calibri"/>
          <w:b/>
          <w:color w:val="auto"/>
          <w:u w:val="single"/>
        </w:rPr>
        <w:t>300</w:t>
      </w:r>
      <w:r w:rsidR="00F13E87" w:rsidRPr="00171BA9">
        <w:rPr>
          <w:rFonts w:ascii="Calibri" w:hint="eastAsia"/>
          <w:b/>
          <w:color w:val="auto"/>
          <w:u w:val="single"/>
        </w:rPr>
        <w:t>m</w:t>
      </w:r>
      <w:r w:rsidR="00F13E87" w:rsidRPr="00171BA9">
        <w:rPr>
          <w:rFonts w:ascii="Calibri" w:hint="eastAsia"/>
          <w:b/>
          <w:color w:val="auto"/>
          <w:u w:val="single"/>
          <w:vertAlign w:val="superscript"/>
        </w:rPr>
        <w:t>3</w:t>
      </w:r>
      <w:r w:rsidR="00F13E87" w:rsidRPr="00171BA9">
        <w:rPr>
          <w:rFonts w:ascii="Calibri" w:hint="eastAsia"/>
          <w:b/>
          <w:color w:val="auto"/>
          <w:u w:val="single"/>
        </w:rPr>
        <w:t>/a</w:t>
      </w:r>
      <w:r w:rsidR="00F13E87" w:rsidRPr="00171BA9">
        <w:rPr>
          <w:rFonts w:ascii="Calibri" w:hint="eastAsia"/>
          <w:b/>
          <w:color w:val="auto"/>
          <w:u w:val="single"/>
        </w:rPr>
        <w:t>），损耗量按</w:t>
      </w:r>
      <w:r w:rsidR="00F13E87" w:rsidRPr="00171BA9">
        <w:rPr>
          <w:rFonts w:ascii="Calibri" w:hint="eastAsia"/>
          <w:b/>
          <w:color w:val="auto"/>
          <w:u w:val="single"/>
        </w:rPr>
        <w:t>10%</w:t>
      </w:r>
      <w:r w:rsidR="00F13E87" w:rsidRPr="00171BA9">
        <w:rPr>
          <w:rFonts w:ascii="Calibri" w:hint="eastAsia"/>
          <w:b/>
          <w:color w:val="auto"/>
          <w:u w:val="single"/>
        </w:rPr>
        <w:t>计，则</w:t>
      </w:r>
      <w:r w:rsidRPr="00171BA9">
        <w:rPr>
          <w:rFonts w:ascii="Calibri" w:hint="eastAsia"/>
          <w:b/>
          <w:color w:val="auto"/>
          <w:u w:val="single"/>
        </w:rPr>
        <w:t>品控中心</w:t>
      </w:r>
      <w:r w:rsidR="00F13E87" w:rsidRPr="00171BA9">
        <w:rPr>
          <w:rFonts w:ascii="Calibri" w:hint="eastAsia"/>
          <w:b/>
          <w:color w:val="auto"/>
          <w:u w:val="single"/>
        </w:rPr>
        <w:t>废水排放量为</w:t>
      </w:r>
      <w:r w:rsidR="00ED6E4A" w:rsidRPr="00171BA9">
        <w:rPr>
          <w:rFonts w:ascii="Calibri"/>
          <w:b/>
          <w:color w:val="auto"/>
          <w:u w:val="single"/>
        </w:rPr>
        <w:t>0.9</w:t>
      </w:r>
      <w:r w:rsidR="00F13E87" w:rsidRPr="00171BA9">
        <w:rPr>
          <w:rFonts w:ascii="Calibri" w:hint="eastAsia"/>
          <w:b/>
          <w:color w:val="auto"/>
          <w:u w:val="single"/>
        </w:rPr>
        <w:t>m</w:t>
      </w:r>
      <w:r w:rsidR="00F13E87" w:rsidRPr="00171BA9">
        <w:rPr>
          <w:rFonts w:ascii="Calibri" w:hint="eastAsia"/>
          <w:b/>
          <w:color w:val="auto"/>
          <w:u w:val="single"/>
          <w:vertAlign w:val="superscript"/>
        </w:rPr>
        <w:t>3</w:t>
      </w:r>
      <w:r w:rsidR="00F13E87" w:rsidRPr="00171BA9">
        <w:rPr>
          <w:rFonts w:ascii="Calibri" w:hint="eastAsia"/>
          <w:b/>
          <w:color w:val="auto"/>
          <w:u w:val="single"/>
        </w:rPr>
        <w:t>/d</w:t>
      </w:r>
      <w:r w:rsidR="00F13E87" w:rsidRPr="00171BA9">
        <w:rPr>
          <w:rFonts w:ascii="Calibri" w:hint="eastAsia"/>
          <w:b/>
          <w:color w:val="auto"/>
          <w:u w:val="single"/>
        </w:rPr>
        <w:t>（</w:t>
      </w:r>
      <w:r w:rsidR="00ED6E4A" w:rsidRPr="00171BA9">
        <w:rPr>
          <w:rFonts w:ascii="Calibri"/>
          <w:b/>
          <w:color w:val="auto"/>
          <w:u w:val="single"/>
        </w:rPr>
        <w:t>270</w:t>
      </w:r>
      <w:r w:rsidR="00F13E87" w:rsidRPr="00171BA9">
        <w:rPr>
          <w:rFonts w:ascii="Calibri" w:hint="eastAsia"/>
          <w:b/>
          <w:color w:val="auto"/>
          <w:u w:val="single"/>
        </w:rPr>
        <w:t>m</w:t>
      </w:r>
      <w:r w:rsidR="00F13E87" w:rsidRPr="00171BA9">
        <w:rPr>
          <w:rFonts w:ascii="Calibri" w:hint="eastAsia"/>
          <w:b/>
          <w:color w:val="auto"/>
          <w:u w:val="single"/>
          <w:vertAlign w:val="superscript"/>
        </w:rPr>
        <w:t>3</w:t>
      </w:r>
      <w:r w:rsidR="00F13E87" w:rsidRPr="00171BA9">
        <w:rPr>
          <w:rFonts w:ascii="Calibri" w:hint="eastAsia"/>
          <w:b/>
          <w:color w:val="auto"/>
          <w:u w:val="single"/>
        </w:rPr>
        <w:t>/a</w:t>
      </w:r>
      <w:r w:rsidR="00F13E87" w:rsidRPr="00171BA9">
        <w:rPr>
          <w:rFonts w:ascii="Calibri" w:hint="eastAsia"/>
          <w:b/>
          <w:color w:val="auto"/>
          <w:u w:val="single"/>
        </w:rPr>
        <w:t>），类比</w:t>
      </w:r>
      <w:r w:rsidR="00171BA9" w:rsidRPr="00171BA9">
        <w:rPr>
          <w:rFonts w:ascii="Calibri" w:hint="eastAsia"/>
          <w:b/>
          <w:color w:val="auto"/>
          <w:u w:val="single"/>
        </w:rPr>
        <w:t>同类项目</w:t>
      </w:r>
      <w:r w:rsidR="00F13E87" w:rsidRPr="00171BA9">
        <w:rPr>
          <w:rFonts w:ascii="Calibri" w:hint="eastAsia"/>
          <w:b/>
          <w:color w:val="auto"/>
          <w:u w:val="single"/>
        </w:rPr>
        <w:t>，主要污染物浓度</w:t>
      </w:r>
      <w:r w:rsidR="00F13E87" w:rsidRPr="00171BA9">
        <w:rPr>
          <w:rFonts w:ascii="Calibri" w:hint="eastAsia"/>
          <w:b/>
          <w:color w:val="auto"/>
          <w:u w:val="single"/>
        </w:rPr>
        <w:t>COD</w:t>
      </w:r>
      <w:r w:rsidR="00F13E87" w:rsidRPr="00171BA9">
        <w:rPr>
          <w:rFonts w:ascii="Calibri" w:hint="eastAsia"/>
          <w:b/>
          <w:color w:val="auto"/>
          <w:u w:val="single"/>
        </w:rPr>
        <w:t>：</w:t>
      </w:r>
      <w:r w:rsidR="00F13E87" w:rsidRPr="00171BA9">
        <w:rPr>
          <w:rFonts w:ascii="Calibri" w:hint="eastAsia"/>
          <w:b/>
          <w:color w:val="auto"/>
          <w:u w:val="single"/>
        </w:rPr>
        <w:t>500mg/L</w:t>
      </w:r>
      <w:r w:rsidR="00F13E87" w:rsidRPr="00171BA9">
        <w:rPr>
          <w:rFonts w:ascii="Calibri" w:hint="eastAsia"/>
          <w:b/>
          <w:color w:val="auto"/>
          <w:u w:val="single"/>
        </w:rPr>
        <w:t>、</w:t>
      </w:r>
      <w:r w:rsidR="00F13E87" w:rsidRPr="00171BA9">
        <w:rPr>
          <w:rFonts w:ascii="Calibri" w:hint="eastAsia"/>
          <w:b/>
          <w:color w:val="auto"/>
          <w:u w:val="single"/>
        </w:rPr>
        <w:t>BOD</w:t>
      </w:r>
      <w:r w:rsidR="00F13E87" w:rsidRPr="00171BA9">
        <w:rPr>
          <w:rFonts w:ascii="Calibri" w:hint="eastAsia"/>
          <w:b/>
          <w:color w:val="auto"/>
          <w:u w:val="single"/>
          <w:vertAlign w:val="subscript"/>
        </w:rPr>
        <w:t>5</w:t>
      </w:r>
      <w:r w:rsidR="00F13E87" w:rsidRPr="00171BA9">
        <w:rPr>
          <w:rFonts w:ascii="Calibri" w:hint="eastAsia"/>
          <w:b/>
          <w:color w:val="auto"/>
          <w:u w:val="single"/>
        </w:rPr>
        <w:t>：</w:t>
      </w:r>
      <w:r w:rsidR="00F13E87" w:rsidRPr="00171BA9">
        <w:rPr>
          <w:rFonts w:ascii="Calibri" w:hint="eastAsia"/>
          <w:b/>
          <w:color w:val="auto"/>
          <w:u w:val="single"/>
        </w:rPr>
        <w:t>250mg/L</w:t>
      </w:r>
      <w:r w:rsidR="00F13E87" w:rsidRPr="00171BA9">
        <w:rPr>
          <w:rFonts w:ascii="Calibri" w:hint="eastAsia"/>
          <w:b/>
          <w:color w:val="auto"/>
          <w:u w:val="single"/>
        </w:rPr>
        <w:t>、</w:t>
      </w:r>
      <w:r w:rsidR="00F13E87" w:rsidRPr="00171BA9">
        <w:rPr>
          <w:rFonts w:ascii="Calibri" w:hint="eastAsia"/>
          <w:b/>
          <w:color w:val="auto"/>
          <w:u w:val="single"/>
        </w:rPr>
        <w:t>NH</w:t>
      </w:r>
      <w:r w:rsidR="00F13E87" w:rsidRPr="00171BA9">
        <w:rPr>
          <w:rFonts w:ascii="Calibri" w:hint="eastAsia"/>
          <w:b/>
          <w:color w:val="auto"/>
          <w:u w:val="single"/>
          <w:vertAlign w:val="subscript"/>
        </w:rPr>
        <w:t>3</w:t>
      </w:r>
      <w:r w:rsidR="00F13E87" w:rsidRPr="00171BA9">
        <w:rPr>
          <w:rFonts w:ascii="Calibri" w:hint="eastAsia"/>
          <w:b/>
          <w:color w:val="auto"/>
          <w:u w:val="single"/>
        </w:rPr>
        <w:t>-N</w:t>
      </w:r>
      <w:r w:rsidR="00F13E87" w:rsidRPr="00171BA9">
        <w:rPr>
          <w:rFonts w:ascii="Calibri" w:hint="eastAsia"/>
          <w:b/>
          <w:color w:val="auto"/>
          <w:u w:val="single"/>
        </w:rPr>
        <w:t>：</w:t>
      </w:r>
      <w:r w:rsidR="00F13E87" w:rsidRPr="00171BA9">
        <w:rPr>
          <w:rFonts w:ascii="Calibri" w:hint="eastAsia"/>
          <w:b/>
          <w:color w:val="auto"/>
          <w:u w:val="single"/>
        </w:rPr>
        <w:t>100mg/L</w:t>
      </w:r>
      <w:r w:rsidR="00F13E87" w:rsidRPr="00171BA9">
        <w:rPr>
          <w:rFonts w:ascii="Calibri" w:hint="eastAsia"/>
          <w:b/>
          <w:color w:val="auto"/>
          <w:u w:val="single"/>
        </w:rPr>
        <w:t>、</w:t>
      </w:r>
      <w:r w:rsidR="00F13E87" w:rsidRPr="00171BA9">
        <w:rPr>
          <w:rFonts w:ascii="Calibri" w:hint="eastAsia"/>
          <w:b/>
          <w:color w:val="auto"/>
          <w:u w:val="single"/>
        </w:rPr>
        <w:t>SS</w:t>
      </w:r>
      <w:r w:rsidR="00F13E87" w:rsidRPr="00171BA9">
        <w:rPr>
          <w:rFonts w:ascii="Calibri" w:hint="eastAsia"/>
          <w:b/>
          <w:color w:val="auto"/>
          <w:u w:val="single"/>
        </w:rPr>
        <w:t>：</w:t>
      </w:r>
      <w:r w:rsidR="00F13E87" w:rsidRPr="00171BA9">
        <w:rPr>
          <w:rFonts w:ascii="Calibri" w:hint="eastAsia"/>
          <w:b/>
          <w:color w:val="auto"/>
          <w:u w:val="single"/>
        </w:rPr>
        <w:t>100mg/L</w:t>
      </w:r>
      <w:r w:rsidR="00F13E87" w:rsidRPr="00171BA9">
        <w:rPr>
          <w:rFonts w:ascii="Calibri" w:hint="eastAsia"/>
          <w:b/>
          <w:color w:val="auto"/>
          <w:u w:val="single"/>
        </w:rPr>
        <w:t>，进入厂区污水处理站处理。</w:t>
      </w:r>
    </w:p>
    <w:p w14:paraId="009F00F7" w14:textId="77777777" w:rsidR="00683133" w:rsidRPr="00AF505F" w:rsidRDefault="00ED6E4A" w:rsidP="00683133">
      <w:pPr>
        <w:pStyle w:val="ad"/>
        <w:ind w:firstLineChars="200" w:firstLine="562"/>
        <w:rPr>
          <w:rFonts w:ascii="Calibri" w:hAnsi="Calibri"/>
          <w:color w:val="auto"/>
        </w:rPr>
      </w:pPr>
      <w:r>
        <w:rPr>
          <w:rFonts w:ascii="Calibri" w:hAnsi="Calibri"/>
          <w:color w:val="auto"/>
        </w:rPr>
        <w:t>9</w:t>
      </w:r>
      <w:r w:rsidR="00683133" w:rsidRPr="00895982">
        <w:rPr>
          <w:rFonts w:ascii="Calibri" w:hAnsi="Calibri" w:hint="eastAsia"/>
          <w:color w:val="auto"/>
        </w:rPr>
        <w:t>、</w:t>
      </w:r>
      <w:r w:rsidR="002A3438">
        <w:rPr>
          <w:rFonts w:ascii="Calibri" w:hAnsi="Calibri" w:hint="eastAsia"/>
          <w:color w:val="auto"/>
        </w:rPr>
        <w:t>职工生活</w:t>
      </w:r>
      <w:r w:rsidR="002A3438">
        <w:rPr>
          <w:rFonts w:ascii="Calibri" w:hAnsi="Calibri"/>
          <w:color w:val="auto"/>
        </w:rPr>
        <w:t>用</w:t>
      </w:r>
      <w:r w:rsidR="002A3438">
        <w:rPr>
          <w:rFonts w:ascii="Calibri" w:hAnsi="Calibri" w:hint="eastAsia"/>
          <w:color w:val="auto"/>
        </w:rPr>
        <w:t>排</w:t>
      </w:r>
      <w:r w:rsidR="002A3438">
        <w:rPr>
          <w:rFonts w:ascii="Calibri" w:hAnsi="Calibri"/>
          <w:color w:val="auto"/>
        </w:rPr>
        <w:t>水</w:t>
      </w:r>
      <w:r w:rsidR="002A3438">
        <w:rPr>
          <w:rFonts w:ascii="Calibri" w:hAnsi="Calibri" w:hint="eastAsia"/>
          <w:color w:val="auto"/>
        </w:rPr>
        <w:t>情况</w:t>
      </w:r>
    </w:p>
    <w:p w14:paraId="39FD8245" w14:textId="733EF435" w:rsidR="00171BA9" w:rsidRPr="00A73085" w:rsidRDefault="00F56E4C" w:rsidP="00A73085">
      <w:pPr>
        <w:spacing w:line="500" w:lineRule="exact"/>
        <w:ind w:firstLineChars="200" w:firstLine="480"/>
        <w:rPr>
          <w:rFonts w:ascii="Calibri"/>
          <w:color w:val="auto"/>
          <w:sz w:val="24"/>
        </w:rPr>
      </w:pPr>
      <w:r w:rsidRPr="00A964FF">
        <w:rPr>
          <w:rFonts w:ascii="Calibri" w:hint="eastAsia"/>
          <w:color w:val="auto"/>
          <w:sz w:val="24"/>
        </w:rPr>
        <w:t>本项目</w:t>
      </w:r>
      <w:r w:rsidR="009D0E5F">
        <w:rPr>
          <w:rFonts w:ascii="Calibri" w:hint="eastAsia"/>
          <w:color w:val="auto"/>
          <w:sz w:val="24"/>
        </w:rPr>
        <w:t>一期</w:t>
      </w:r>
      <w:r w:rsidR="009D0E5F">
        <w:rPr>
          <w:rFonts w:ascii="Calibri"/>
          <w:color w:val="auto"/>
          <w:sz w:val="24"/>
        </w:rPr>
        <w:t>职工定员</w:t>
      </w:r>
      <w:r w:rsidR="009D0E5F">
        <w:rPr>
          <w:rFonts w:ascii="Calibri" w:hint="eastAsia"/>
          <w:color w:val="auto"/>
          <w:sz w:val="24"/>
        </w:rPr>
        <w:t>90</w:t>
      </w:r>
      <w:r w:rsidR="009D0E5F">
        <w:rPr>
          <w:rFonts w:ascii="Calibri" w:hint="eastAsia"/>
          <w:color w:val="auto"/>
          <w:sz w:val="24"/>
        </w:rPr>
        <w:t>人</w:t>
      </w:r>
      <w:r w:rsidR="009D0E5F">
        <w:rPr>
          <w:rFonts w:ascii="Calibri"/>
          <w:color w:val="auto"/>
          <w:sz w:val="24"/>
        </w:rPr>
        <w:t>，二期职工定员</w:t>
      </w:r>
      <w:r w:rsidR="009D0E5F">
        <w:rPr>
          <w:rFonts w:ascii="Calibri" w:hint="eastAsia"/>
          <w:color w:val="auto"/>
          <w:sz w:val="24"/>
        </w:rPr>
        <w:t>30</w:t>
      </w:r>
      <w:r w:rsidR="009D0E5F">
        <w:rPr>
          <w:rFonts w:ascii="Calibri" w:hint="eastAsia"/>
          <w:color w:val="auto"/>
          <w:sz w:val="24"/>
        </w:rPr>
        <w:t>人</w:t>
      </w:r>
      <w:r w:rsidRPr="00A964FF">
        <w:rPr>
          <w:rFonts w:ascii="Calibri" w:hint="eastAsia"/>
          <w:color w:val="auto"/>
          <w:sz w:val="24"/>
        </w:rPr>
        <w:t>，厂区设置职工食堂</w:t>
      </w:r>
      <w:r w:rsidR="002A3438">
        <w:rPr>
          <w:rFonts w:ascii="Calibri" w:hint="eastAsia"/>
          <w:color w:val="auto"/>
          <w:sz w:val="24"/>
        </w:rPr>
        <w:t>不设置</w:t>
      </w:r>
      <w:r w:rsidR="002A3438">
        <w:rPr>
          <w:rFonts w:ascii="Calibri"/>
          <w:color w:val="auto"/>
          <w:sz w:val="24"/>
        </w:rPr>
        <w:t>宿舍</w:t>
      </w:r>
      <w:r w:rsidRPr="00A964FF">
        <w:rPr>
          <w:rFonts w:ascii="Calibri" w:hint="eastAsia"/>
          <w:color w:val="auto"/>
          <w:sz w:val="24"/>
        </w:rPr>
        <w:t>，根据《河南省地方标准</w:t>
      </w:r>
      <w:r w:rsidRPr="00A964FF">
        <w:rPr>
          <w:rFonts w:ascii="Calibri" w:hint="eastAsia"/>
          <w:color w:val="auto"/>
          <w:sz w:val="24"/>
        </w:rPr>
        <w:t xml:space="preserve"> </w:t>
      </w:r>
      <w:r w:rsidRPr="00A964FF">
        <w:rPr>
          <w:rFonts w:ascii="Calibri" w:hint="eastAsia"/>
          <w:color w:val="auto"/>
          <w:sz w:val="24"/>
        </w:rPr>
        <w:t>工业与城镇生活用水定额》（</w:t>
      </w:r>
      <w:r w:rsidRPr="00A964FF">
        <w:rPr>
          <w:rFonts w:ascii="Calibri" w:hint="eastAsia"/>
          <w:color w:val="auto"/>
          <w:sz w:val="24"/>
        </w:rPr>
        <w:t>DB41/T385-2020</w:t>
      </w:r>
      <w:r w:rsidRPr="00A964FF">
        <w:rPr>
          <w:rFonts w:ascii="Calibri" w:hint="eastAsia"/>
          <w:color w:val="auto"/>
          <w:sz w:val="24"/>
        </w:rPr>
        <w:t>）中的相关标准，职工用水量按</w:t>
      </w:r>
      <w:r w:rsidR="002A3438">
        <w:rPr>
          <w:rFonts w:ascii="Calibri"/>
          <w:color w:val="auto"/>
          <w:sz w:val="24"/>
        </w:rPr>
        <w:t>8</w:t>
      </w:r>
      <w:r w:rsidRPr="00A964FF">
        <w:rPr>
          <w:rFonts w:ascii="Calibri" w:hint="eastAsia"/>
          <w:color w:val="auto"/>
          <w:sz w:val="24"/>
        </w:rPr>
        <w:t>0L/</w:t>
      </w:r>
      <w:r w:rsidRPr="00A964FF">
        <w:rPr>
          <w:rFonts w:ascii="Calibri" w:hint="eastAsia"/>
          <w:color w:val="auto"/>
          <w:sz w:val="24"/>
        </w:rPr>
        <w:t>人·</w:t>
      </w:r>
      <w:r w:rsidRPr="00A964FF">
        <w:rPr>
          <w:rFonts w:ascii="Calibri" w:hint="eastAsia"/>
          <w:color w:val="auto"/>
          <w:sz w:val="24"/>
        </w:rPr>
        <w:t>d</w:t>
      </w:r>
      <w:r w:rsidRPr="00A964FF">
        <w:rPr>
          <w:rFonts w:ascii="Calibri" w:hint="eastAsia"/>
          <w:color w:val="auto"/>
          <w:sz w:val="24"/>
        </w:rPr>
        <w:t>计，排污系数取</w:t>
      </w:r>
      <w:r w:rsidRPr="00A964FF">
        <w:rPr>
          <w:rFonts w:ascii="Calibri" w:hint="eastAsia"/>
          <w:color w:val="auto"/>
          <w:sz w:val="24"/>
        </w:rPr>
        <w:t>0.8</w:t>
      </w:r>
      <w:r w:rsidRPr="00A964FF">
        <w:rPr>
          <w:rFonts w:ascii="Calibri" w:hint="eastAsia"/>
          <w:color w:val="auto"/>
          <w:sz w:val="24"/>
        </w:rPr>
        <w:t>，则项目营运后厂区职工生活</w:t>
      </w:r>
      <w:r w:rsidR="009D0E5F">
        <w:rPr>
          <w:rFonts w:ascii="Calibri" w:hint="eastAsia"/>
          <w:color w:val="auto"/>
          <w:sz w:val="24"/>
        </w:rPr>
        <w:t>一期</w:t>
      </w:r>
      <w:r w:rsidR="009D0E5F">
        <w:rPr>
          <w:rFonts w:ascii="Calibri"/>
          <w:color w:val="auto"/>
          <w:sz w:val="24"/>
        </w:rPr>
        <w:t>用水量为</w:t>
      </w:r>
      <w:r w:rsidR="00ED4172">
        <w:rPr>
          <w:rFonts w:ascii="Calibri"/>
          <w:color w:val="auto"/>
          <w:sz w:val="24"/>
        </w:rPr>
        <w:t>7.2</w:t>
      </w:r>
      <w:r w:rsidR="00ED4172" w:rsidRPr="00A964FF">
        <w:rPr>
          <w:rFonts w:ascii="Calibri" w:hint="eastAsia"/>
          <w:color w:val="auto"/>
          <w:sz w:val="24"/>
        </w:rPr>
        <w:t>t/d</w:t>
      </w:r>
      <w:r w:rsidR="00ED4172" w:rsidRPr="00A964FF">
        <w:rPr>
          <w:rFonts w:ascii="Calibri" w:hint="eastAsia"/>
          <w:color w:val="auto"/>
          <w:sz w:val="24"/>
        </w:rPr>
        <w:t>，</w:t>
      </w:r>
      <w:r w:rsidR="00ED4172">
        <w:rPr>
          <w:rFonts w:ascii="Calibri"/>
          <w:color w:val="auto"/>
          <w:sz w:val="24"/>
        </w:rPr>
        <w:t>2160</w:t>
      </w:r>
      <w:r w:rsidR="00ED4172" w:rsidRPr="00A964FF">
        <w:rPr>
          <w:rFonts w:ascii="Calibri" w:hint="eastAsia"/>
          <w:color w:val="auto"/>
          <w:sz w:val="24"/>
        </w:rPr>
        <w:t>t/a</w:t>
      </w:r>
      <w:r w:rsidR="00ED4172" w:rsidRPr="00A964FF">
        <w:rPr>
          <w:rFonts w:ascii="Calibri" w:hint="eastAsia"/>
          <w:color w:val="auto"/>
          <w:sz w:val="24"/>
        </w:rPr>
        <w:t>，生活污水量为</w:t>
      </w:r>
      <w:r w:rsidR="00ED4172">
        <w:rPr>
          <w:rFonts w:ascii="Calibri"/>
          <w:color w:val="auto"/>
          <w:sz w:val="24"/>
        </w:rPr>
        <w:t>5.76</w:t>
      </w:r>
      <w:r w:rsidR="00ED4172" w:rsidRPr="00A964FF">
        <w:rPr>
          <w:rFonts w:ascii="Calibri" w:hint="eastAsia"/>
          <w:color w:val="auto"/>
          <w:sz w:val="24"/>
        </w:rPr>
        <w:t>t/d</w:t>
      </w:r>
      <w:r w:rsidR="00ED4172" w:rsidRPr="00A964FF">
        <w:rPr>
          <w:rFonts w:ascii="Calibri" w:hint="eastAsia"/>
          <w:color w:val="auto"/>
          <w:sz w:val="24"/>
        </w:rPr>
        <w:t>，</w:t>
      </w:r>
      <w:r w:rsidR="00ED4172">
        <w:rPr>
          <w:rFonts w:ascii="Calibri"/>
          <w:color w:val="auto"/>
          <w:sz w:val="24"/>
        </w:rPr>
        <w:t>1728</w:t>
      </w:r>
      <w:r w:rsidR="00ED4172" w:rsidRPr="00A964FF">
        <w:rPr>
          <w:rFonts w:ascii="Calibri" w:hint="eastAsia"/>
          <w:color w:val="auto"/>
          <w:sz w:val="24"/>
        </w:rPr>
        <w:t>t/a</w:t>
      </w:r>
      <w:r w:rsidR="00ED4172">
        <w:rPr>
          <w:rFonts w:ascii="Calibri" w:hint="eastAsia"/>
          <w:color w:val="auto"/>
          <w:sz w:val="24"/>
        </w:rPr>
        <w:t>；二期</w:t>
      </w:r>
      <w:r w:rsidR="00ED4172">
        <w:rPr>
          <w:rFonts w:ascii="Calibri"/>
          <w:color w:val="auto"/>
          <w:sz w:val="24"/>
        </w:rPr>
        <w:t>用水量为</w:t>
      </w:r>
      <w:r w:rsidR="00ED4172">
        <w:rPr>
          <w:rFonts w:ascii="Calibri"/>
          <w:color w:val="auto"/>
          <w:sz w:val="24"/>
        </w:rPr>
        <w:t>2.4</w:t>
      </w:r>
      <w:r w:rsidR="00ED4172" w:rsidRPr="00A964FF">
        <w:rPr>
          <w:rFonts w:ascii="Calibri" w:hint="eastAsia"/>
          <w:color w:val="auto"/>
          <w:sz w:val="24"/>
        </w:rPr>
        <w:t>t/d</w:t>
      </w:r>
      <w:r w:rsidR="00ED4172" w:rsidRPr="00A964FF">
        <w:rPr>
          <w:rFonts w:ascii="Calibri" w:hint="eastAsia"/>
          <w:color w:val="auto"/>
          <w:sz w:val="24"/>
        </w:rPr>
        <w:t>，</w:t>
      </w:r>
      <w:r w:rsidR="00ED4172">
        <w:rPr>
          <w:rFonts w:ascii="Calibri"/>
          <w:color w:val="auto"/>
          <w:sz w:val="24"/>
        </w:rPr>
        <w:t>720</w:t>
      </w:r>
      <w:r w:rsidR="00ED4172" w:rsidRPr="00A964FF">
        <w:rPr>
          <w:rFonts w:ascii="Calibri" w:hint="eastAsia"/>
          <w:color w:val="auto"/>
          <w:sz w:val="24"/>
        </w:rPr>
        <w:t>t/a</w:t>
      </w:r>
      <w:r w:rsidR="00ED4172" w:rsidRPr="00A964FF">
        <w:rPr>
          <w:rFonts w:ascii="Calibri" w:hint="eastAsia"/>
          <w:color w:val="auto"/>
          <w:sz w:val="24"/>
        </w:rPr>
        <w:t>，生活污水量为</w:t>
      </w:r>
      <w:r w:rsidR="00ED4172">
        <w:rPr>
          <w:rFonts w:ascii="Calibri"/>
          <w:color w:val="auto"/>
          <w:sz w:val="24"/>
        </w:rPr>
        <w:t>1.92</w:t>
      </w:r>
      <w:r w:rsidR="00ED4172" w:rsidRPr="00A964FF">
        <w:rPr>
          <w:rFonts w:ascii="Calibri" w:hint="eastAsia"/>
          <w:color w:val="auto"/>
          <w:sz w:val="24"/>
        </w:rPr>
        <w:t>t/d</w:t>
      </w:r>
      <w:r w:rsidR="00ED4172" w:rsidRPr="00A964FF">
        <w:rPr>
          <w:rFonts w:ascii="Calibri" w:hint="eastAsia"/>
          <w:color w:val="auto"/>
          <w:sz w:val="24"/>
        </w:rPr>
        <w:t>，</w:t>
      </w:r>
      <w:r w:rsidR="00ED4172">
        <w:rPr>
          <w:rFonts w:ascii="Calibri"/>
          <w:color w:val="auto"/>
          <w:sz w:val="24"/>
        </w:rPr>
        <w:t>576</w:t>
      </w:r>
      <w:r w:rsidR="00ED4172" w:rsidRPr="00A964FF">
        <w:rPr>
          <w:rFonts w:ascii="Calibri" w:hint="eastAsia"/>
          <w:color w:val="auto"/>
          <w:sz w:val="24"/>
        </w:rPr>
        <w:t>t/a</w:t>
      </w:r>
      <w:r w:rsidRPr="00A964FF">
        <w:rPr>
          <w:rFonts w:ascii="Calibri" w:hint="eastAsia"/>
          <w:color w:val="auto"/>
          <w:sz w:val="24"/>
        </w:rPr>
        <w:t>。该部分废水经化粪池预处理</w:t>
      </w:r>
      <w:r>
        <w:rPr>
          <w:rFonts w:ascii="Calibri" w:hint="eastAsia"/>
          <w:color w:val="auto"/>
          <w:sz w:val="24"/>
        </w:rPr>
        <w:t>排入</w:t>
      </w:r>
      <w:r>
        <w:rPr>
          <w:rFonts w:ascii="Calibri"/>
          <w:color w:val="auto"/>
          <w:sz w:val="24"/>
        </w:rPr>
        <w:t>集聚区</w:t>
      </w:r>
      <w:r>
        <w:rPr>
          <w:rFonts w:ascii="Calibri" w:hint="eastAsia"/>
          <w:color w:val="auto"/>
          <w:sz w:val="24"/>
        </w:rPr>
        <w:t>污水</w:t>
      </w:r>
      <w:r>
        <w:rPr>
          <w:rFonts w:ascii="Calibri"/>
          <w:color w:val="auto"/>
          <w:sz w:val="24"/>
        </w:rPr>
        <w:t>管网，最终进入</w:t>
      </w:r>
      <w:r w:rsidRPr="00A964FF">
        <w:rPr>
          <w:rFonts w:ascii="Calibri" w:hint="eastAsia"/>
          <w:color w:val="auto"/>
          <w:sz w:val="24"/>
        </w:rPr>
        <w:t>集聚区污水处理厂集中处理。查阅相关资料，本项目生活污水各污染</w:t>
      </w:r>
      <w:r w:rsidRPr="00A964FF">
        <w:rPr>
          <w:rFonts w:ascii="Calibri" w:hint="eastAsia"/>
          <w:color w:val="auto"/>
          <w:sz w:val="24"/>
        </w:rPr>
        <w:lastRenderedPageBreak/>
        <w:t>物浓度为</w:t>
      </w:r>
      <w:r w:rsidRPr="00A964FF">
        <w:rPr>
          <w:rFonts w:ascii="Calibri" w:hint="eastAsia"/>
          <w:color w:val="auto"/>
          <w:sz w:val="24"/>
        </w:rPr>
        <w:t>COD</w:t>
      </w:r>
      <w:r w:rsidRPr="00A964FF">
        <w:rPr>
          <w:rFonts w:ascii="Calibri" w:hint="eastAsia"/>
          <w:color w:val="auto"/>
          <w:sz w:val="24"/>
        </w:rPr>
        <w:t>：</w:t>
      </w:r>
      <w:r w:rsidRPr="00A964FF">
        <w:rPr>
          <w:rFonts w:ascii="Calibri" w:hint="eastAsia"/>
          <w:color w:val="auto"/>
          <w:sz w:val="24"/>
        </w:rPr>
        <w:t>300mg/L</w:t>
      </w:r>
      <w:r w:rsidRPr="00A964FF">
        <w:rPr>
          <w:rFonts w:ascii="Calibri" w:hint="eastAsia"/>
          <w:color w:val="auto"/>
          <w:sz w:val="24"/>
        </w:rPr>
        <w:t>，</w:t>
      </w:r>
      <w:r w:rsidRPr="00A964FF">
        <w:rPr>
          <w:rFonts w:ascii="Calibri" w:hint="eastAsia"/>
          <w:color w:val="auto"/>
          <w:sz w:val="24"/>
        </w:rPr>
        <w:t>BOD</w:t>
      </w:r>
      <w:r w:rsidRPr="001D4A8A">
        <w:rPr>
          <w:rFonts w:ascii="Calibri" w:hint="eastAsia"/>
          <w:color w:val="auto"/>
          <w:sz w:val="24"/>
          <w:vertAlign w:val="subscript"/>
        </w:rPr>
        <w:t>5</w:t>
      </w:r>
      <w:r w:rsidRPr="00A964FF">
        <w:rPr>
          <w:rFonts w:ascii="Calibri" w:hint="eastAsia"/>
          <w:color w:val="auto"/>
          <w:sz w:val="24"/>
        </w:rPr>
        <w:t>：</w:t>
      </w:r>
      <w:r w:rsidRPr="00A964FF">
        <w:rPr>
          <w:rFonts w:ascii="Calibri" w:hint="eastAsia"/>
          <w:color w:val="auto"/>
          <w:sz w:val="24"/>
        </w:rPr>
        <w:t>150mg/L</w:t>
      </w:r>
      <w:r w:rsidRPr="00A964FF">
        <w:rPr>
          <w:rFonts w:ascii="Calibri" w:hint="eastAsia"/>
          <w:color w:val="auto"/>
          <w:sz w:val="24"/>
        </w:rPr>
        <w:t>，</w:t>
      </w:r>
      <w:r w:rsidRPr="00A964FF">
        <w:rPr>
          <w:rFonts w:ascii="Calibri" w:hint="eastAsia"/>
          <w:color w:val="auto"/>
          <w:sz w:val="24"/>
        </w:rPr>
        <w:t>SS</w:t>
      </w:r>
      <w:r w:rsidRPr="00A964FF">
        <w:rPr>
          <w:rFonts w:ascii="Calibri" w:hint="eastAsia"/>
          <w:color w:val="auto"/>
          <w:sz w:val="24"/>
        </w:rPr>
        <w:t>：</w:t>
      </w:r>
      <w:r w:rsidRPr="00A964FF">
        <w:rPr>
          <w:rFonts w:ascii="Calibri" w:hint="eastAsia"/>
          <w:color w:val="auto"/>
          <w:sz w:val="24"/>
        </w:rPr>
        <w:t>200mg/L</w:t>
      </w:r>
      <w:r w:rsidRPr="00A964FF">
        <w:rPr>
          <w:rFonts w:ascii="Calibri" w:hint="eastAsia"/>
          <w:color w:val="auto"/>
          <w:sz w:val="24"/>
        </w:rPr>
        <w:t>，</w:t>
      </w:r>
      <w:r w:rsidRPr="00A964FF">
        <w:rPr>
          <w:rFonts w:ascii="Calibri" w:hint="eastAsia"/>
          <w:color w:val="auto"/>
          <w:sz w:val="24"/>
        </w:rPr>
        <w:t>NH</w:t>
      </w:r>
      <w:r w:rsidRPr="001D4A8A">
        <w:rPr>
          <w:rFonts w:ascii="Calibri" w:hint="eastAsia"/>
          <w:color w:val="auto"/>
          <w:sz w:val="24"/>
          <w:vertAlign w:val="subscript"/>
        </w:rPr>
        <w:t>3</w:t>
      </w:r>
      <w:r w:rsidRPr="00A964FF">
        <w:rPr>
          <w:rFonts w:ascii="Calibri" w:hint="eastAsia"/>
          <w:color w:val="auto"/>
          <w:sz w:val="24"/>
        </w:rPr>
        <w:t>-N</w:t>
      </w:r>
      <w:r w:rsidRPr="00A964FF">
        <w:rPr>
          <w:rFonts w:ascii="Calibri" w:hint="eastAsia"/>
          <w:color w:val="auto"/>
          <w:sz w:val="24"/>
        </w:rPr>
        <w:t>：</w:t>
      </w:r>
      <w:r w:rsidRPr="00A964FF">
        <w:rPr>
          <w:rFonts w:ascii="Calibri" w:hint="eastAsia"/>
          <w:color w:val="auto"/>
          <w:sz w:val="24"/>
        </w:rPr>
        <w:t>25mg/L</w:t>
      </w:r>
      <w:r w:rsidRPr="00A964FF">
        <w:rPr>
          <w:rFonts w:ascii="Calibri" w:hint="eastAsia"/>
          <w:color w:val="auto"/>
          <w:sz w:val="24"/>
        </w:rPr>
        <w:t>。</w:t>
      </w:r>
      <w:r w:rsidRPr="001D4A8A">
        <w:rPr>
          <w:rFonts w:ascii="Calibri" w:hint="eastAsia"/>
          <w:color w:val="auto"/>
          <w:sz w:val="24"/>
        </w:rPr>
        <w:t>经查阅</w:t>
      </w:r>
      <w:r>
        <w:rPr>
          <w:rFonts w:ascii="Calibri" w:hint="eastAsia"/>
          <w:color w:val="auto"/>
          <w:sz w:val="24"/>
        </w:rPr>
        <w:t>相关</w:t>
      </w:r>
      <w:r w:rsidRPr="001D4A8A">
        <w:rPr>
          <w:rFonts w:ascii="Calibri" w:hint="eastAsia"/>
          <w:color w:val="auto"/>
          <w:sz w:val="24"/>
        </w:rPr>
        <w:t>资料，化粪池对各污染物的去除效率</w:t>
      </w:r>
      <w:r>
        <w:rPr>
          <w:rFonts w:ascii="Calibri" w:hint="eastAsia"/>
          <w:color w:val="auto"/>
          <w:sz w:val="24"/>
        </w:rPr>
        <w:t>分别</w:t>
      </w:r>
      <w:r>
        <w:rPr>
          <w:rFonts w:ascii="Calibri"/>
          <w:color w:val="auto"/>
          <w:sz w:val="24"/>
        </w:rPr>
        <w:t>为</w:t>
      </w:r>
      <w:r w:rsidRPr="001D4A8A">
        <w:rPr>
          <w:rFonts w:ascii="Calibri"/>
          <w:color w:val="auto"/>
          <w:sz w:val="24"/>
        </w:rPr>
        <w:t>COD</w:t>
      </w:r>
      <w:r w:rsidRPr="001D4A8A">
        <w:rPr>
          <w:rFonts w:ascii="Calibri" w:hint="eastAsia"/>
          <w:color w:val="auto"/>
          <w:sz w:val="24"/>
        </w:rPr>
        <w:t>：</w:t>
      </w:r>
      <w:r w:rsidRPr="001D4A8A">
        <w:rPr>
          <w:rFonts w:ascii="Calibri"/>
          <w:color w:val="auto"/>
          <w:sz w:val="24"/>
        </w:rPr>
        <w:t>15%</w:t>
      </w:r>
      <w:r w:rsidRPr="001D4A8A">
        <w:rPr>
          <w:rFonts w:ascii="Calibri" w:hint="eastAsia"/>
          <w:color w:val="auto"/>
          <w:sz w:val="24"/>
        </w:rPr>
        <w:t>、</w:t>
      </w:r>
      <w:r w:rsidRPr="001D4A8A">
        <w:rPr>
          <w:rFonts w:ascii="Calibri"/>
          <w:color w:val="auto"/>
          <w:sz w:val="24"/>
        </w:rPr>
        <w:t>BOD</w:t>
      </w:r>
      <w:r w:rsidRPr="001D4A8A">
        <w:rPr>
          <w:rFonts w:ascii="Calibri"/>
          <w:color w:val="auto"/>
          <w:sz w:val="24"/>
          <w:vertAlign w:val="subscript"/>
        </w:rPr>
        <w:t>5</w:t>
      </w:r>
      <w:r w:rsidRPr="001D4A8A">
        <w:rPr>
          <w:rFonts w:ascii="Calibri" w:hint="eastAsia"/>
          <w:color w:val="auto"/>
          <w:sz w:val="24"/>
        </w:rPr>
        <w:t>：</w:t>
      </w:r>
      <w:r w:rsidRPr="001D4A8A">
        <w:rPr>
          <w:rFonts w:ascii="Calibri"/>
          <w:color w:val="auto"/>
          <w:sz w:val="24"/>
        </w:rPr>
        <w:t>10%</w:t>
      </w:r>
      <w:r w:rsidRPr="001D4A8A">
        <w:rPr>
          <w:rFonts w:ascii="Calibri" w:hint="eastAsia"/>
          <w:color w:val="auto"/>
          <w:sz w:val="24"/>
        </w:rPr>
        <w:t>、</w:t>
      </w:r>
      <w:r w:rsidRPr="001D4A8A">
        <w:rPr>
          <w:rFonts w:ascii="Calibri"/>
          <w:color w:val="auto"/>
          <w:sz w:val="24"/>
        </w:rPr>
        <w:t>SS</w:t>
      </w:r>
      <w:r w:rsidRPr="001D4A8A">
        <w:rPr>
          <w:rFonts w:ascii="Calibri" w:hint="eastAsia"/>
          <w:color w:val="auto"/>
          <w:sz w:val="24"/>
        </w:rPr>
        <w:t>：</w:t>
      </w:r>
      <w:r>
        <w:rPr>
          <w:rFonts w:ascii="Calibri"/>
          <w:color w:val="auto"/>
          <w:sz w:val="24"/>
        </w:rPr>
        <w:t>4</w:t>
      </w:r>
      <w:r w:rsidRPr="001D4A8A">
        <w:rPr>
          <w:rFonts w:ascii="Calibri"/>
          <w:color w:val="auto"/>
          <w:sz w:val="24"/>
        </w:rPr>
        <w:t>0%</w:t>
      </w:r>
      <w:r w:rsidRPr="001D4A8A">
        <w:rPr>
          <w:rFonts w:ascii="Calibri" w:hint="eastAsia"/>
          <w:color w:val="auto"/>
          <w:sz w:val="24"/>
        </w:rPr>
        <w:t>、</w:t>
      </w:r>
      <w:r w:rsidRPr="001D4A8A">
        <w:rPr>
          <w:rFonts w:ascii="Calibri"/>
          <w:color w:val="auto"/>
          <w:sz w:val="24"/>
        </w:rPr>
        <w:t>NH</w:t>
      </w:r>
      <w:r w:rsidRPr="001D4A8A">
        <w:rPr>
          <w:rFonts w:ascii="Calibri"/>
          <w:color w:val="auto"/>
          <w:sz w:val="24"/>
          <w:vertAlign w:val="subscript"/>
        </w:rPr>
        <w:t>3</w:t>
      </w:r>
      <w:r w:rsidRPr="001D4A8A">
        <w:rPr>
          <w:rFonts w:ascii="Calibri"/>
          <w:color w:val="auto"/>
          <w:sz w:val="24"/>
        </w:rPr>
        <w:t>-N</w:t>
      </w:r>
      <w:r w:rsidRPr="001D4A8A">
        <w:rPr>
          <w:rFonts w:ascii="Calibri" w:hint="eastAsia"/>
          <w:color w:val="auto"/>
          <w:sz w:val="24"/>
        </w:rPr>
        <w:t>：</w:t>
      </w:r>
      <w:r w:rsidRPr="001D4A8A">
        <w:rPr>
          <w:rFonts w:ascii="Calibri"/>
          <w:color w:val="auto"/>
          <w:sz w:val="24"/>
        </w:rPr>
        <w:t>3%</w:t>
      </w:r>
      <w:r>
        <w:rPr>
          <w:rFonts w:ascii="Calibri" w:hint="eastAsia"/>
          <w:color w:val="auto"/>
          <w:sz w:val="24"/>
        </w:rPr>
        <w:t>。</w:t>
      </w:r>
      <w:r>
        <w:rPr>
          <w:rFonts w:ascii="Calibri"/>
          <w:color w:val="auto"/>
          <w:sz w:val="24"/>
        </w:rPr>
        <w:t>由此可知，</w:t>
      </w:r>
      <w:r>
        <w:rPr>
          <w:rFonts w:ascii="Calibri" w:hint="eastAsia"/>
          <w:color w:val="auto"/>
          <w:sz w:val="24"/>
        </w:rPr>
        <w:t>本项目</w:t>
      </w:r>
      <w:r>
        <w:rPr>
          <w:rFonts w:ascii="Calibri"/>
          <w:color w:val="auto"/>
          <w:sz w:val="24"/>
        </w:rPr>
        <w:t>生活污水经化粪池处理后各污染物产排</w:t>
      </w:r>
      <w:r>
        <w:rPr>
          <w:rFonts w:ascii="Calibri" w:hint="eastAsia"/>
          <w:color w:val="auto"/>
          <w:sz w:val="24"/>
        </w:rPr>
        <w:t>情况</w:t>
      </w:r>
      <w:r>
        <w:rPr>
          <w:rFonts w:ascii="Calibri"/>
          <w:color w:val="auto"/>
          <w:sz w:val="24"/>
        </w:rPr>
        <w:t>见表</w:t>
      </w:r>
      <w:r>
        <w:rPr>
          <w:rFonts w:ascii="Calibri" w:hint="eastAsia"/>
          <w:color w:val="auto"/>
          <w:sz w:val="24"/>
        </w:rPr>
        <w:t>2.3-</w:t>
      </w:r>
      <w:r w:rsidR="00ED4172">
        <w:rPr>
          <w:rFonts w:ascii="Calibri"/>
          <w:color w:val="auto"/>
          <w:sz w:val="24"/>
        </w:rPr>
        <w:t>18</w:t>
      </w:r>
      <w:r>
        <w:rPr>
          <w:rFonts w:ascii="Calibri" w:hint="eastAsia"/>
          <w:color w:val="auto"/>
          <w:sz w:val="24"/>
        </w:rPr>
        <w:t>。</w:t>
      </w:r>
    </w:p>
    <w:p w14:paraId="4D7B56D3" w14:textId="77777777" w:rsidR="00F56E4C" w:rsidRPr="00A964FF" w:rsidRDefault="00F56E4C" w:rsidP="00F56E4C">
      <w:pPr>
        <w:spacing w:line="520" w:lineRule="exact"/>
        <w:ind w:firstLineChars="200" w:firstLine="480"/>
        <w:jc w:val="left"/>
        <w:rPr>
          <w:rFonts w:ascii="Calibri" w:hAnsi="Calibri"/>
          <w:color w:val="auto"/>
          <w:szCs w:val="21"/>
        </w:rPr>
      </w:pPr>
      <w:r w:rsidRPr="00A964FF">
        <w:rPr>
          <w:rFonts w:ascii="Calibri" w:eastAsia="黑体" w:hAnsi="Calibri"/>
          <w:color w:val="auto"/>
          <w:sz w:val="24"/>
        </w:rPr>
        <w:t>表</w:t>
      </w:r>
      <w:r w:rsidRPr="00A964FF">
        <w:rPr>
          <w:rFonts w:ascii="Calibri" w:eastAsia="黑体" w:hAnsi="Calibri" w:hint="eastAsia"/>
          <w:color w:val="auto"/>
          <w:sz w:val="24"/>
        </w:rPr>
        <w:t>2.3-</w:t>
      </w:r>
      <w:r w:rsidR="00ED4172">
        <w:rPr>
          <w:rFonts w:ascii="Calibri" w:eastAsia="黑体" w:hAnsi="Calibri"/>
          <w:color w:val="auto"/>
          <w:sz w:val="24"/>
        </w:rPr>
        <w:t>18</w:t>
      </w:r>
      <w:r w:rsidRPr="00A964FF">
        <w:rPr>
          <w:rFonts w:ascii="黑体" w:eastAsia="黑体" w:hAnsi="Calibri" w:hint="eastAsia"/>
          <w:color w:val="auto"/>
          <w:sz w:val="24"/>
        </w:rPr>
        <w:t xml:space="preserve">      本项目营运后厂区</w:t>
      </w:r>
      <w:r>
        <w:rPr>
          <w:rFonts w:ascii="黑体" w:eastAsia="黑体" w:hAnsi="Calibri" w:hint="eastAsia"/>
          <w:color w:val="auto"/>
          <w:sz w:val="24"/>
        </w:rPr>
        <w:t>生活</w:t>
      </w:r>
      <w:r>
        <w:rPr>
          <w:rFonts w:ascii="黑体" w:eastAsia="黑体" w:hAnsi="Calibri"/>
          <w:color w:val="auto"/>
          <w:sz w:val="24"/>
        </w:rPr>
        <w:t>污水各污染物产排情况</w:t>
      </w:r>
    </w:p>
    <w:tbl>
      <w:tblPr>
        <w:tblW w:w="8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36"/>
        <w:gridCol w:w="1417"/>
        <w:gridCol w:w="1417"/>
        <w:gridCol w:w="1418"/>
        <w:gridCol w:w="1134"/>
        <w:gridCol w:w="1368"/>
        <w:gridCol w:w="1369"/>
      </w:tblGrid>
      <w:tr w:rsidR="00F56E4C" w:rsidRPr="00A964FF" w14:paraId="0C444585" w14:textId="77777777" w:rsidTr="00EA3050">
        <w:trPr>
          <w:trHeight w:val="340"/>
        </w:trPr>
        <w:tc>
          <w:tcPr>
            <w:tcW w:w="836" w:type="dxa"/>
            <w:vMerge w:val="restart"/>
            <w:vAlign w:val="center"/>
          </w:tcPr>
          <w:p w14:paraId="0FBEBA9E" w14:textId="77777777" w:rsidR="00F56E4C" w:rsidRPr="00A964FF" w:rsidRDefault="00F56E4C" w:rsidP="00EA3050">
            <w:pPr>
              <w:jc w:val="center"/>
              <w:rPr>
                <w:rFonts w:ascii="Calibri" w:hAnsi="Calibri"/>
                <w:snapToGrid w:val="0"/>
                <w:color w:val="auto"/>
                <w:szCs w:val="21"/>
              </w:rPr>
            </w:pPr>
            <w:r w:rsidRPr="00A964FF">
              <w:rPr>
                <w:rFonts w:ascii="Calibri" w:hAnsi="Calibri"/>
                <w:snapToGrid w:val="0"/>
                <w:color w:val="auto"/>
                <w:szCs w:val="21"/>
              </w:rPr>
              <w:t>序号</w:t>
            </w:r>
          </w:p>
        </w:tc>
        <w:tc>
          <w:tcPr>
            <w:tcW w:w="1417" w:type="dxa"/>
            <w:vMerge w:val="restart"/>
            <w:vAlign w:val="center"/>
          </w:tcPr>
          <w:p w14:paraId="2309EA56"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污染物</w:t>
            </w:r>
          </w:p>
          <w:p w14:paraId="4E6F9BCA" w14:textId="77777777" w:rsidR="00F56E4C" w:rsidRPr="00A964FF" w:rsidRDefault="00F56E4C" w:rsidP="00EA3050">
            <w:pPr>
              <w:jc w:val="center"/>
              <w:rPr>
                <w:rFonts w:ascii="Calibri" w:hAnsi="Calibri"/>
                <w:snapToGrid w:val="0"/>
                <w:color w:val="auto"/>
                <w:szCs w:val="21"/>
              </w:rPr>
            </w:pPr>
            <w:r>
              <w:rPr>
                <w:rFonts w:ascii="Calibri" w:hAnsi="Calibri"/>
                <w:snapToGrid w:val="0"/>
                <w:color w:val="auto"/>
                <w:szCs w:val="21"/>
              </w:rPr>
              <w:t>名称</w:t>
            </w:r>
          </w:p>
        </w:tc>
        <w:tc>
          <w:tcPr>
            <w:tcW w:w="2835" w:type="dxa"/>
            <w:gridSpan w:val="2"/>
            <w:vAlign w:val="center"/>
          </w:tcPr>
          <w:p w14:paraId="2AB87737"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产生情况</w:t>
            </w:r>
          </w:p>
        </w:tc>
        <w:tc>
          <w:tcPr>
            <w:tcW w:w="1134" w:type="dxa"/>
            <w:vMerge w:val="restart"/>
            <w:vAlign w:val="center"/>
          </w:tcPr>
          <w:p w14:paraId="01C242DD"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去除率</w:t>
            </w:r>
          </w:p>
          <w:p w14:paraId="148BCF83"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w:t>
            </w:r>
            <w:r>
              <w:rPr>
                <w:rFonts w:ascii="Calibri" w:hAnsi="Calibri" w:hint="eastAsia"/>
                <w:snapToGrid w:val="0"/>
                <w:color w:val="auto"/>
                <w:szCs w:val="21"/>
              </w:rPr>
              <w:t>%</w:t>
            </w:r>
            <w:r>
              <w:rPr>
                <w:rFonts w:ascii="Calibri" w:hAnsi="Calibri" w:hint="eastAsia"/>
                <w:snapToGrid w:val="0"/>
                <w:color w:val="auto"/>
                <w:szCs w:val="21"/>
              </w:rPr>
              <w:t>）</w:t>
            </w:r>
          </w:p>
        </w:tc>
        <w:tc>
          <w:tcPr>
            <w:tcW w:w="2737" w:type="dxa"/>
            <w:gridSpan w:val="2"/>
            <w:vAlign w:val="center"/>
          </w:tcPr>
          <w:p w14:paraId="52A4830C"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排放情况</w:t>
            </w:r>
          </w:p>
        </w:tc>
      </w:tr>
      <w:tr w:rsidR="00F56E4C" w:rsidRPr="00A964FF" w14:paraId="2E38CDCA" w14:textId="77777777" w:rsidTr="00EA3050">
        <w:trPr>
          <w:trHeight w:val="340"/>
        </w:trPr>
        <w:tc>
          <w:tcPr>
            <w:tcW w:w="836" w:type="dxa"/>
            <w:vMerge/>
            <w:vAlign w:val="center"/>
          </w:tcPr>
          <w:p w14:paraId="322BB0D8" w14:textId="77777777" w:rsidR="00F56E4C" w:rsidRDefault="00F56E4C" w:rsidP="00EA3050">
            <w:pPr>
              <w:jc w:val="center"/>
              <w:rPr>
                <w:rFonts w:ascii="Calibri" w:hAnsi="Calibri"/>
                <w:snapToGrid w:val="0"/>
                <w:color w:val="auto"/>
                <w:szCs w:val="21"/>
              </w:rPr>
            </w:pPr>
          </w:p>
        </w:tc>
        <w:tc>
          <w:tcPr>
            <w:tcW w:w="1417" w:type="dxa"/>
            <w:vMerge/>
            <w:vAlign w:val="center"/>
          </w:tcPr>
          <w:p w14:paraId="512C2AC8" w14:textId="77777777" w:rsidR="00F56E4C" w:rsidRDefault="00F56E4C" w:rsidP="00EA3050">
            <w:pPr>
              <w:jc w:val="center"/>
              <w:rPr>
                <w:rFonts w:ascii="Calibri" w:hAnsi="Calibri"/>
                <w:snapToGrid w:val="0"/>
                <w:color w:val="auto"/>
                <w:szCs w:val="21"/>
              </w:rPr>
            </w:pPr>
          </w:p>
        </w:tc>
        <w:tc>
          <w:tcPr>
            <w:tcW w:w="1417" w:type="dxa"/>
            <w:vAlign w:val="center"/>
          </w:tcPr>
          <w:p w14:paraId="26720C1B" w14:textId="77777777" w:rsidR="00F56E4C" w:rsidRDefault="00F56E4C" w:rsidP="00EA3050">
            <w:pPr>
              <w:autoSpaceDE w:val="0"/>
              <w:autoSpaceDN w:val="0"/>
              <w:adjustRightInd w:val="0"/>
              <w:jc w:val="center"/>
              <w:rPr>
                <w:rFonts w:ascii="Calibri" w:hAnsi="Calibri"/>
                <w:szCs w:val="21"/>
              </w:rPr>
            </w:pPr>
            <w:r>
              <w:rPr>
                <w:rFonts w:ascii="Calibri" w:hAnsi="Calibri" w:hint="eastAsia"/>
                <w:szCs w:val="21"/>
              </w:rPr>
              <w:t>产生浓浓</w:t>
            </w:r>
          </w:p>
          <w:p w14:paraId="00472C4C" w14:textId="77777777" w:rsidR="00F56E4C" w:rsidRDefault="00F56E4C" w:rsidP="00EA3050">
            <w:pPr>
              <w:autoSpaceDE w:val="0"/>
              <w:autoSpaceDN w:val="0"/>
              <w:adjustRightInd w:val="0"/>
              <w:jc w:val="center"/>
              <w:rPr>
                <w:rFonts w:ascii="Calibri" w:hAnsi="Calibri"/>
                <w:color w:val="auto"/>
                <w:szCs w:val="21"/>
              </w:rPr>
            </w:pPr>
            <w:r>
              <w:rPr>
                <w:rFonts w:ascii="Calibri" w:hAnsi="Calibri" w:hint="eastAsia"/>
                <w:szCs w:val="21"/>
              </w:rPr>
              <w:t>（</w:t>
            </w:r>
            <w:r>
              <w:rPr>
                <w:rFonts w:ascii="Calibri" w:hAnsi="Calibri"/>
                <w:szCs w:val="21"/>
              </w:rPr>
              <w:t>mg/L</w:t>
            </w:r>
            <w:r>
              <w:rPr>
                <w:rFonts w:ascii="Calibri" w:hAnsi="Calibri" w:hint="eastAsia"/>
                <w:szCs w:val="21"/>
              </w:rPr>
              <w:t>）</w:t>
            </w:r>
          </w:p>
        </w:tc>
        <w:tc>
          <w:tcPr>
            <w:tcW w:w="1418" w:type="dxa"/>
            <w:vAlign w:val="center"/>
          </w:tcPr>
          <w:p w14:paraId="457B13D6" w14:textId="77777777" w:rsidR="00F56E4C" w:rsidRDefault="00F56E4C" w:rsidP="00EA3050">
            <w:pPr>
              <w:autoSpaceDE w:val="0"/>
              <w:autoSpaceDN w:val="0"/>
              <w:adjustRightInd w:val="0"/>
              <w:jc w:val="center"/>
              <w:rPr>
                <w:rFonts w:ascii="Calibri" w:hAnsi="Calibri"/>
                <w:szCs w:val="21"/>
              </w:rPr>
            </w:pPr>
            <w:r>
              <w:rPr>
                <w:rFonts w:ascii="Calibri" w:hAnsi="Calibri" w:hint="eastAsia"/>
                <w:szCs w:val="21"/>
              </w:rPr>
              <w:t>产生量</w:t>
            </w:r>
          </w:p>
          <w:p w14:paraId="1DB4C360" w14:textId="77777777" w:rsidR="00F56E4C" w:rsidRPr="001D4A8A" w:rsidRDefault="00F56E4C" w:rsidP="00EA3050">
            <w:pPr>
              <w:autoSpaceDE w:val="0"/>
              <w:autoSpaceDN w:val="0"/>
              <w:adjustRightInd w:val="0"/>
              <w:jc w:val="center"/>
              <w:rPr>
                <w:rFonts w:ascii="Calibri" w:hAnsi="Calibri"/>
                <w:szCs w:val="21"/>
              </w:rPr>
            </w:pPr>
            <w:r>
              <w:rPr>
                <w:rFonts w:ascii="Calibri" w:hAnsi="Calibri" w:hint="eastAsia"/>
                <w:szCs w:val="21"/>
              </w:rPr>
              <w:t>（</w:t>
            </w:r>
            <w:r>
              <w:rPr>
                <w:rFonts w:ascii="Calibri" w:hAnsi="Calibri"/>
                <w:szCs w:val="21"/>
              </w:rPr>
              <w:t>t/a</w:t>
            </w:r>
            <w:r>
              <w:rPr>
                <w:rFonts w:ascii="Calibri" w:hAnsi="Calibri" w:hint="eastAsia"/>
                <w:szCs w:val="21"/>
              </w:rPr>
              <w:t>）</w:t>
            </w:r>
          </w:p>
        </w:tc>
        <w:tc>
          <w:tcPr>
            <w:tcW w:w="1134" w:type="dxa"/>
            <w:vMerge/>
            <w:vAlign w:val="center"/>
          </w:tcPr>
          <w:p w14:paraId="3AB7F871" w14:textId="77777777" w:rsidR="00F56E4C" w:rsidRPr="00A964FF" w:rsidRDefault="00F56E4C" w:rsidP="00EA3050">
            <w:pPr>
              <w:jc w:val="center"/>
              <w:rPr>
                <w:rFonts w:ascii="Calibri" w:hAnsi="Calibri"/>
                <w:snapToGrid w:val="0"/>
                <w:color w:val="auto"/>
                <w:szCs w:val="21"/>
              </w:rPr>
            </w:pPr>
          </w:p>
        </w:tc>
        <w:tc>
          <w:tcPr>
            <w:tcW w:w="1368" w:type="dxa"/>
            <w:vAlign w:val="center"/>
          </w:tcPr>
          <w:p w14:paraId="3EC2D43A" w14:textId="77777777" w:rsidR="00F56E4C" w:rsidRDefault="00F56E4C" w:rsidP="00EA3050">
            <w:pPr>
              <w:autoSpaceDE w:val="0"/>
              <w:autoSpaceDN w:val="0"/>
              <w:adjustRightInd w:val="0"/>
              <w:jc w:val="center"/>
              <w:rPr>
                <w:rFonts w:ascii="Calibri" w:hAnsi="Calibri"/>
                <w:color w:val="auto"/>
                <w:szCs w:val="21"/>
              </w:rPr>
            </w:pPr>
            <w:r>
              <w:rPr>
                <w:rFonts w:ascii="Calibri" w:hAnsi="Calibri" w:hint="eastAsia"/>
                <w:szCs w:val="21"/>
              </w:rPr>
              <w:t>排放浓度（</w:t>
            </w:r>
            <w:r>
              <w:rPr>
                <w:rFonts w:ascii="Calibri" w:hAnsi="Calibri"/>
                <w:szCs w:val="21"/>
              </w:rPr>
              <w:t>mg/L</w:t>
            </w:r>
            <w:r>
              <w:rPr>
                <w:rFonts w:ascii="Calibri" w:hAnsi="Calibri" w:hint="eastAsia"/>
                <w:szCs w:val="21"/>
              </w:rPr>
              <w:t>）</w:t>
            </w:r>
          </w:p>
        </w:tc>
        <w:tc>
          <w:tcPr>
            <w:tcW w:w="1369" w:type="dxa"/>
            <w:vAlign w:val="center"/>
          </w:tcPr>
          <w:p w14:paraId="5354925B" w14:textId="77777777" w:rsidR="00F56E4C" w:rsidRDefault="00F56E4C" w:rsidP="00EA3050">
            <w:pPr>
              <w:autoSpaceDE w:val="0"/>
              <w:autoSpaceDN w:val="0"/>
              <w:adjustRightInd w:val="0"/>
              <w:jc w:val="center"/>
              <w:rPr>
                <w:rFonts w:ascii="Calibri" w:hAnsi="Calibri"/>
                <w:szCs w:val="21"/>
              </w:rPr>
            </w:pPr>
            <w:r>
              <w:rPr>
                <w:rFonts w:ascii="Calibri" w:hAnsi="Calibri" w:hint="eastAsia"/>
                <w:szCs w:val="21"/>
              </w:rPr>
              <w:t>排放量</w:t>
            </w:r>
          </w:p>
          <w:p w14:paraId="6E7F8C5D" w14:textId="77777777" w:rsidR="00F56E4C" w:rsidRDefault="00F56E4C" w:rsidP="00EA3050">
            <w:pPr>
              <w:autoSpaceDE w:val="0"/>
              <w:autoSpaceDN w:val="0"/>
              <w:adjustRightInd w:val="0"/>
              <w:jc w:val="center"/>
              <w:rPr>
                <w:rFonts w:ascii="Calibri" w:hAnsi="Calibri"/>
                <w:b/>
                <w:szCs w:val="21"/>
              </w:rPr>
            </w:pPr>
            <w:r>
              <w:rPr>
                <w:rFonts w:ascii="Calibri" w:hAnsi="Calibri" w:hint="eastAsia"/>
                <w:szCs w:val="21"/>
              </w:rPr>
              <w:t>（</w:t>
            </w:r>
            <w:r>
              <w:rPr>
                <w:rFonts w:ascii="Calibri" w:hAnsi="Calibri"/>
                <w:szCs w:val="21"/>
              </w:rPr>
              <w:t>t/a</w:t>
            </w:r>
            <w:r>
              <w:rPr>
                <w:rFonts w:ascii="Calibri" w:hAnsi="Calibri" w:hint="eastAsia"/>
                <w:szCs w:val="21"/>
              </w:rPr>
              <w:t>）</w:t>
            </w:r>
          </w:p>
        </w:tc>
      </w:tr>
      <w:tr w:rsidR="009D0E5F" w:rsidRPr="00A964FF" w14:paraId="08664CC5" w14:textId="77777777" w:rsidTr="008B1803">
        <w:trPr>
          <w:trHeight w:val="340"/>
        </w:trPr>
        <w:tc>
          <w:tcPr>
            <w:tcW w:w="8959" w:type="dxa"/>
            <w:gridSpan w:val="7"/>
            <w:vAlign w:val="center"/>
          </w:tcPr>
          <w:p w14:paraId="543B778D" w14:textId="77777777" w:rsidR="009D0E5F" w:rsidRDefault="009D0E5F" w:rsidP="00EA3050">
            <w:pPr>
              <w:jc w:val="center"/>
              <w:rPr>
                <w:rFonts w:ascii="Calibri" w:hAnsi="Calibri"/>
                <w:snapToGrid w:val="0"/>
                <w:color w:val="auto"/>
                <w:szCs w:val="21"/>
              </w:rPr>
            </w:pPr>
            <w:r>
              <w:rPr>
                <w:rFonts w:ascii="Calibri" w:hAnsi="Calibri" w:hint="eastAsia"/>
                <w:snapToGrid w:val="0"/>
                <w:color w:val="auto"/>
                <w:szCs w:val="21"/>
              </w:rPr>
              <w:t>一期</w:t>
            </w:r>
            <w:r>
              <w:rPr>
                <w:rFonts w:ascii="Calibri" w:hAnsi="Calibri"/>
                <w:snapToGrid w:val="0"/>
                <w:color w:val="auto"/>
                <w:szCs w:val="21"/>
              </w:rPr>
              <w:t>工程</w:t>
            </w:r>
          </w:p>
        </w:tc>
      </w:tr>
      <w:tr w:rsidR="009D0E5F" w:rsidRPr="00A964FF" w14:paraId="0574413C" w14:textId="77777777" w:rsidTr="00EA3050">
        <w:trPr>
          <w:trHeight w:val="340"/>
        </w:trPr>
        <w:tc>
          <w:tcPr>
            <w:tcW w:w="836" w:type="dxa"/>
            <w:vAlign w:val="center"/>
          </w:tcPr>
          <w:p w14:paraId="579BCE4C"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1</w:t>
            </w:r>
          </w:p>
        </w:tc>
        <w:tc>
          <w:tcPr>
            <w:tcW w:w="1417" w:type="dxa"/>
            <w:vAlign w:val="center"/>
          </w:tcPr>
          <w:p w14:paraId="0F462450"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废水量</w:t>
            </w:r>
          </w:p>
        </w:tc>
        <w:tc>
          <w:tcPr>
            <w:tcW w:w="1417" w:type="dxa"/>
            <w:vAlign w:val="center"/>
          </w:tcPr>
          <w:p w14:paraId="10EBB75B"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w:t>
            </w:r>
          </w:p>
        </w:tc>
        <w:tc>
          <w:tcPr>
            <w:tcW w:w="1418" w:type="dxa"/>
            <w:vAlign w:val="center"/>
          </w:tcPr>
          <w:p w14:paraId="3DE5CA91" w14:textId="77777777" w:rsidR="009D0E5F" w:rsidRDefault="00ED4172" w:rsidP="009D0E5F">
            <w:pPr>
              <w:jc w:val="center"/>
              <w:rPr>
                <w:rFonts w:ascii="Calibri" w:hAnsi="Calibri"/>
                <w:snapToGrid w:val="0"/>
                <w:color w:val="auto"/>
                <w:szCs w:val="21"/>
              </w:rPr>
            </w:pPr>
            <w:r w:rsidRPr="00ED4172">
              <w:rPr>
                <w:rFonts w:ascii="Calibri" w:hAnsi="Calibri"/>
                <w:snapToGrid w:val="0"/>
                <w:color w:val="auto"/>
                <w:szCs w:val="21"/>
              </w:rPr>
              <w:t>1728</w:t>
            </w:r>
          </w:p>
        </w:tc>
        <w:tc>
          <w:tcPr>
            <w:tcW w:w="1134" w:type="dxa"/>
            <w:vAlign w:val="center"/>
          </w:tcPr>
          <w:p w14:paraId="3398F278"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w:t>
            </w:r>
          </w:p>
        </w:tc>
        <w:tc>
          <w:tcPr>
            <w:tcW w:w="1368" w:type="dxa"/>
            <w:vAlign w:val="center"/>
          </w:tcPr>
          <w:p w14:paraId="0D9ABE9D"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w:t>
            </w:r>
          </w:p>
        </w:tc>
        <w:tc>
          <w:tcPr>
            <w:tcW w:w="1369" w:type="dxa"/>
            <w:vAlign w:val="center"/>
          </w:tcPr>
          <w:p w14:paraId="048F386C" w14:textId="77777777" w:rsidR="009D0E5F" w:rsidRDefault="00ED4172" w:rsidP="009D0E5F">
            <w:pPr>
              <w:jc w:val="center"/>
              <w:rPr>
                <w:rFonts w:ascii="Calibri" w:hAnsi="Calibri"/>
                <w:snapToGrid w:val="0"/>
                <w:color w:val="auto"/>
                <w:szCs w:val="21"/>
              </w:rPr>
            </w:pPr>
            <w:r w:rsidRPr="00ED4172">
              <w:rPr>
                <w:rFonts w:ascii="Calibri" w:hAnsi="Calibri"/>
                <w:snapToGrid w:val="0"/>
                <w:color w:val="auto"/>
                <w:szCs w:val="21"/>
              </w:rPr>
              <w:t>1728</w:t>
            </w:r>
          </w:p>
        </w:tc>
      </w:tr>
      <w:tr w:rsidR="009D0E5F" w:rsidRPr="00A964FF" w14:paraId="2885594D" w14:textId="77777777" w:rsidTr="00EA3050">
        <w:trPr>
          <w:trHeight w:val="340"/>
        </w:trPr>
        <w:tc>
          <w:tcPr>
            <w:tcW w:w="836" w:type="dxa"/>
            <w:vAlign w:val="center"/>
          </w:tcPr>
          <w:p w14:paraId="57F73E89"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2</w:t>
            </w:r>
          </w:p>
        </w:tc>
        <w:tc>
          <w:tcPr>
            <w:tcW w:w="1417" w:type="dxa"/>
            <w:vAlign w:val="center"/>
          </w:tcPr>
          <w:p w14:paraId="43270043" w14:textId="77777777" w:rsidR="009D0E5F" w:rsidRDefault="009D0E5F" w:rsidP="009D0E5F">
            <w:pPr>
              <w:autoSpaceDE w:val="0"/>
              <w:autoSpaceDN w:val="0"/>
              <w:adjustRightInd w:val="0"/>
              <w:jc w:val="center"/>
              <w:rPr>
                <w:rFonts w:ascii="Calibri" w:hAnsi="Calibri"/>
                <w:color w:val="auto"/>
                <w:szCs w:val="21"/>
              </w:rPr>
            </w:pPr>
            <w:r>
              <w:rPr>
                <w:rFonts w:ascii="Calibri" w:hAnsi="Calibri"/>
                <w:szCs w:val="21"/>
              </w:rPr>
              <w:t>COD</w:t>
            </w:r>
          </w:p>
        </w:tc>
        <w:tc>
          <w:tcPr>
            <w:tcW w:w="1417" w:type="dxa"/>
            <w:vAlign w:val="center"/>
          </w:tcPr>
          <w:p w14:paraId="4A41D2CC"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3</w:t>
            </w:r>
            <w:r>
              <w:rPr>
                <w:rFonts w:ascii="Calibri" w:hAnsi="Calibri"/>
                <w:snapToGrid w:val="0"/>
                <w:color w:val="auto"/>
                <w:szCs w:val="21"/>
              </w:rPr>
              <w:t>00</w:t>
            </w:r>
          </w:p>
        </w:tc>
        <w:tc>
          <w:tcPr>
            <w:tcW w:w="1418" w:type="dxa"/>
            <w:vAlign w:val="center"/>
          </w:tcPr>
          <w:p w14:paraId="5A40A863"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0.52</w:t>
            </w:r>
          </w:p>
        </w:tc>
        <w:tc>
          <w:tcPr>
            <w:tcW w:w="1134" w:type="dxa"/>
            <w:vAlign w:val="center"/>
          </w:tcPr>
          <w:p w14:paraId="7D88B45B" w14:textId="77777777" w:rsidR="009D0E5F" w:rsidRDefault="009D0E5F" w:rsidP="009D0E5F">
            <w:pPr>
              <w:autoSpaceDE w:val="0"/>
              <w:autoSpaceDN w:val="0"/>
              <w:adjustRightInd w:val="0"/>
              <w:jc w:val="center"/>
              <w:rPr>
                <w:rFonts w:ascii="Calibri" w:hAnsi="Calibri"/>
                <w:color w:val="auto"/>
                <w:szCs w:val="21"/>
              </w:rPr>
            </w:pPr>
            <w:r>
              <w:rPr>
                <w:rFonts w:ascii="Calibri" w:hAnsi="Calibri"/>
                <w:szCs w:val="21"/>
              </w:rPr>
              <w:t>15</w:t>
            </w:r>
          </w:p>
        </w:tc>
        <w:tc>
          <w:tcPr>
            <w:tcW w:w="1368" w:type="dxa"/>
            <w:vAlign w:val="center"/>
          </w:tcPr>
          <w:p w14:paraId="007BF176" w14:textId="77777777" w:rsidR="009D0E5F" w:rsidRPr="00A964FF" w:rsidRDefault="009D0E5F" w:rsidP="009D0E5F">
            <w:pPr>
              <w:jc w:val="center"/>
              <w:rPr>
                <w:rFonts w:ascii="Calibri" w:hAnsi="Calibri"/>
                <w:snapToGrid w:val="0"/>
                <w:color w:val="auto"/>
                <w:szCs w:val="21"/>
              </w:rPr>
            </w:pPr>
            <w:r>
              <w:rPr>
                <w:rFonts w:ascii="Calibri" w:hAnsi="Calibri" w:hint="eastAsia"/>
                <w:snapToGrid w:val="0"/>
                <w:color w:val="auto"/>
                <w:szCs w:val="21"/>
              </w:rPr>
              <w:t>255</w:t>
            </w:r>
          </w:p>
        </w:tc>
        <w:tc>
          <w:tcPr>
            <w:tcW w:w="1369" w:type="dxa"/>
            <w:vAlign w:val="center"/>
          </w:tcPr>
          <w:p w14:paraId="2DEAECA6"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0.44</w:t>
            </w:r>
          </w:p>
        </w:tc>
      </w:tr>
      <w:tr w:rsidR="009D0E5F" w:rsidRPr="00A964FF" w14:paraId="234DB6CE" w14:textId="77777777" w:rsidTr="00EA3050">
        <w:trPr>
          <w:trHeight w:val="340"/>
        </w:trPr>
        <w:tc>
          <w:tcPr>
            <w:tcW w:w="836" w:type="dxa"/>
            <w:vAlign w:val="center"/>
          </w:tcPr>
          <w:p w14:paraId="1EBF9868"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3</w:t>
            </w:r>
          </w:p>
        </w:tc>
        <w:tc>
          <w:tcPr>
            <w:tcW w:w="1417" w:type="dxa"/>
            <w:vAlign w:val="center"/>
          </w:tcPr>
          <w:p w14:paraId="37469D2B" w14:textId="77777777" w:rsidR="009D0E5F" w:rsidRDefault="009D0E5F" w:rsidP="009D0E5F">
            <w:pPr>
              <w:autoSpaceDE w:val="0"/>
              <w:autoSpaceDN w:val="0"/>
              <w:adjustRightInd w:val="0"/>
              <w:jc w:val="center"/>
              <w:rPr>
                <w:rFonts w:ascii="Calibri" w:hAnsi="Calibri"/>
                <w:szCs w:val="21"/>
              </w:rPr>
            </w:pPr>
            <w:r>
              <w:rPr>
                <w:rFonts w:ascii="Calibri" w:hAnsi="Calibri"/>
                <w:szCs w:val="21"/>
              </w:rPr>
              <w:t>BOD</w:t>
            </w:r>
            <w:r>
              <w:rPr>
                <w:rFonts w:ascii="Calibri" w:hAnsi="Calibri"/>
                <w:szCs w:val="21"/>
                <w:vertAlign w:val="subscript"/>
              </w:rPr>
              <w:t>5</w:t>
            </w:r>
          </w:p>
        </w:tc>
        <w:tc>
          <w:tcPr>
            <w:tcW w:w="1417" w:type="dxa"/>
            <w:vAlign w:val="center"/>
          </w:tcPr>
          <w:p w14:paraId="2B08527A"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150</w:t>
            </w:r>
          </w:p>
        </w:tc>
        <w:tc>
          <w:tcPr>
            <w:tcW w:w="1418" w:type="dxa"/>
            <w:vAlign w:val="center"/>
          </w:tcPr>
          <w:p w14:paraId="7950D800"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0.26</w:t>
            </w:r>
          </w:p>
        </w:tc>
        <w:tc>
          <w:tcPr>
            <w:tcW w:w="1134" w:type="dxa"/>
            <w:vAlign w:val="center"/>
          </w:tcPr>
          <w:p w14:paraId="2D7B755B" w14:textId="77777777" w:rsidR="009D0E5F" w:rsidRDefault="009D0E5F" w:rsidP="009D0E5F">
            <w:pPr>
              <w:autoSpaceDE w:val="0"/>
              <w:autoSpaceDN w:val="0"/>
              <w:adjustRightInd w:val="0"/>
              <w:jc w:val="center"/>
              <w:rPr>
                <w:rFonts w:ascii="Calibri" w:hAnsi="Calibri"/>
                <w:szCs w:val="21"/>
              </w:rPr>
            </w:pPr>
            <w:r>
              <w:rPr>
                <w:rFonts w:ascii="Calibri" w:hAnsi="Calibri"/>
                <w:szCs w:val="21"/>
              </w:rPr>
              <w:t>10</w:t>
            </w:r>
          </w:p>
        </w:tc>
        <w:tc>
          <w:tcPr>
            <w:tcW w:w="1368" w:type="dxa"/>
            <w:vAlign w:val="center"/>
          </w:tcPr>
          <w:p w14:paraId="7451F98D" w14:textId="77777777" w:rsidR="009D0E5F" w:rsidRPr="00A964FF" w:rsidRDefault="009D0E5F" w:rsidP="009D0E5F">
            <w:pPr>
              <w:jc w:val="center"/>
              <w:rPr>
                <w:rFonts w:ascii="Calibri" w:hAnsi="Calibri"/>
                <w:snapToGrid w:val="0"/>
                <w:color w:val="auto"/>
                <w:szCs w:val="21"/>
              </w:rPr>
            </w:pPr>
            <w:r>
              <w:rPr>
                <w:rFonts w:ascii="Calibri" w:hAnsi="Calibri" w:hint="eastAsia"/>
                <w:snapToGrid w:val="0"/>
                <w:color w:val="auto"/>
                <w:szCs w:val="21"/>
              </w:rPr>
              <w:t>13</w:t>
            </w:r>
            <w:r>
              <w:rPr>
                <w:rFonts w:ascii="Calibri" w:hAnsi="Calibri"/>
                <w:snapToGrid w:val="0"/>
                <w:color w:val="auto"/>
                <w:szCs w:val="21"/>
              </w:rPr>
              <w:t>5</w:t>
            </w:r>
          </w:p>
        </w:tc>
        <w:tc>
          <w:tcPr>
            <w:tcW w:w="1369" w:type="dxa"/>
            <w:vAlign w:val="center"/>
          </w:tcPr>
          <w:p w14:paraId="07DF79BB"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0.23</w:t>
            </w:r>
          </w:p>
        </w:tc>
      </w:tr>
      <w:tr w:rsidR="009D0E5F" w:rsidRPr="00A964FF" w14:paraId="65E0429D" w14:textId="77777777" w:rsidTr="00EA3050">
        <w:trPr>
          <w:trHeight w:val="340"/>
        </w:trPr>
        <w:tc>
          <w:tcPr>
            <w:tcW w:w="836" w:type="dxa"/>
            <w:vAlign w:val="center"/>
          </w:tcPr>
          <w:p w14:paraId="776AB554"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4</w:t>
            </w:r>
          </w:p>
        </w:tc>
        <w:tc>
          <w:tcPr>
            <w:tcW w:w="1417" w:type="dxa"/>
            <w:vAlign w:val="center"/>
          </w:tcPr>
          <w:p w14:paraId="53BB5612" w14:textId="77777777" w:rsidR="009D0E5F" w:rsidRDefault="009D0E5F" w:rsidP="009D0E5F">
            <w:pPr>
              <w:autoSpaceDE w:val="0"/>
              <w:autoSpaceDN w:val="0"/>
              <w:adjustRightInd w:val="0"/>
              <w:jc w:val="center"/>
              <w:rPr>
                <w:rFonts w:ascii="Calibri" w:hAnsi="Calibri"/>
                <w:szCs w:val="21"/>
              </w:rPr>
            </w:pPr>
            <w:r>
              <w:rPr>
                <w:rFonts w:ascii="Calibri" w:hAnsi="Calibri"/>
                <w:szCs w:val="21"/>
              </w:rPr>
              <w:t>SS</w:t>
            </w:r>
          </w:p>
        </w:tc>
        <w:tc>
          <w:tcPr>
            <w:tcW w:w="1417" w:type="dxa"/>
            <w:vAlign w:val="center"/>
          </w:tcPr>
          <w:p w14:paraId="54E1C26F"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200</w:t>
            </w:r>
          </w:p>
        </w:tc>
        <w:tc>
          <w:tcPr>
            <w:tcW w:w="1418" w:type="dxa"/>
            <w:vAlign w:val="center"/>
          </w:tcPr>
          <w:p w14:paraId="73ED0A9E"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0.35</w:t>
            </w:r>
          </w:p>
        </w:tc>
        <w:tc>
          <w:tcPr>
            <w:tcW w:w="1134" w:type="dxa"/>
            <w:vAlign w:val="center"/>
          </w:tcPr>
          <w:p w14:paraId="67BD379F" w14:textId="77777777" w:rsidR="009D0E5F" w:rsidRDefault="009D0E5F" w:rsidP="009D0E5F">
            <w:pPr>
              <w:autoSpaceDE w:val="0"/>
              <w:autoSpaceDN w:val="0"/>
              <w:adjustRightInd w:val="0"/>
              <w:jc w:val="center"/>
              <w:rPr>
                <w:rFonts w:ascii="Calibri" w:hAnsi="Calibri"/>
                <w:szCs w:val="21"/>
              </w:rPr>
            </w:pPr>
            <w:r>
              <w:rPr>
                <w:rFonts w:ascii="Calibri" w:hAnsi="Calibri"/>
                <w:szCs w:val="21"/>
              </w:rPr>
              <w:t>40</w:t>
            </w:r>
          </w:p>
        </w:tc>
        <w:tc>
          <w:tcPr>
            <w:tcW w:w="1368" w:type="dxa"/>
            <w:vAlign w:val="center"/>
          </w:tcPr>
          <w:p w14:paraId="610BC213" w14:textId="77777777" w:rsidR="009D0E5F" w:rsidRPr="00A964FF" w:rsidRDefault="009D0E5F" w:rsidP="009D0E5F">
            <w:pPr>
              <w:jc w:val="center"/>
              <w:rPr>
                <w:rFonts w:ascii="Calibri" w:hAnsi="Calibri"/>
                <w:snapToGrid w:val="0"/>
                <w:color w:val="auto"/>
                <w:szCs w:val="21"/>
              </w:rPr>
            </w:pPr>
            <w:r>
              <w:rPr>
                <w:rFonts w:ascii="Calibri" w:hAnsi="Calibri"/>
                <w:snapToGrid w:val="0"/>
                <w:color w:val="auto"/>
                <w:szCs w:val="21"/>
              </w:rPr>
              <w:t>120</w:t>
            </w:r>
          </w:p>
        </w:tc>
        <w:tc>
          <w:tcPr>
            <w:tcW w:w="1369" w:type="dxa"/>
            <w:vAlign w:val="center"/>
          </w:tcPr>
          <w:p w14:paraId="1B2141A6"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0.21</w:t>
            </w:r>
          </w:p>
        </w:tc>
      </w:tr>
      <w:tr w:rsidR="009D0E5F" w:rsidRPr="00A964FF" w14:paraId="7D17D63C" w14:textId="77777777" w:rsidTr="00EA3050">
        <w:trPr>
          <w:trHeight w:val="340"/>
        </w:trPr>
        <w:tc>
          <w:tcPr>
            <w:tcW w:w="836" w:type="dxa"/>
            <w:vAlign w:val="center"/>
          </w:tcPr>
          <w:p w14:paraId="67685B8C"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5</w:t>
            </w:r>
          </w:p>
        </w:tc>
        <w:tc>
          <w:tcPr>
            <w:tcW w:w="1417" w:type="dxa"/>
            <w:vAlign w:val="center"/>
          </w:tcPr>
          <w:p w14:paraId="298CF3E2" w14:textId="77777777" w:rsidR="009D0E5F" w:rsidRDefault="009D0E5F" w:rsidP="009D0E5F">
            <w:pPr>
              <w:autoSpaceDE w:val="0"/>
              <w:autoSpaceDN w:val="0"/>
              <w:adjustRightInd w:val="0"/>
              <w:jc w:val="center"/>
              <w:rPr>
                <w:rFonts w:ascii="Calibri" w:hAnsi="Calibri"/>
                <w:szCs w:val="21"/>
              </w:rPr>
            </w:pPr>
            <w:r>
              <w:rPr>
                <w:rFonts w:ascii="Calibri" w:hAnsi="Calibri"/>
                <w:szCs w:val="21"/>
              </w:rPr>
              <w:t>NH</w:t>
            </w:r>
            <w:r>
              <w:rPr>
                <w:rFonts w:ascii="Calibri" w:hAnsi="Calibri"/>
                <w:szCs w:val="21"/>
                <w:vertAlign w:val="subscript"/>
              </w:rPr>
              <w:t>3</w:t>
            </w:r>
            <w:r>
              <w:rPr>
                <w:rFonts w:ascii="Calibri" w:hAnsi="Calibri"/>
                <w:szCs w:val="21"/>
              </w:rPr>
              <w:t>-N</w:t>
            </w:r>
          </w:p>
        </w:tc>
        <w:tc>
          <w:tcPr>
            <w:tcW w:w="1417" w:type="dxa"/>
            <w:vAlign w:val="center"/>
          </w:tcPr>
          <w:p w14:paraId="1F74FFC4"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25</w:t>
            </w:r>
          </w:p>
        </w:tc>
        <w:tc>
          <w:tcPr>
            <w:tcW w:w="1418" w:type="dxa"/>
            <w:vAlign w:val="center"/>
          </w:tcPr>
          <w:p w14:paraId="6684D3CC"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0.043</w:t>
            </w:r>
          </w:p>
        </w:tc>
        <w:tc>
          <w:tcPr>
            <w:tcW w:w="1134" w:type="dxa"/>
            <w:vAlign w:val="center"/>
          </w:tcPr>
          <w:p w14:paraId="10BE31E6" w14:textId="77777777" w:rsidR="009D0E5F" w:rsidRDefault="009D0E5F" w:rsidP="009D0E5F">
            <w:pPr>
              <w:autoSpaceDE w:val="0"/>
              <w:autoSpaceDN w:val="0"/>
              <w:adjustRightInd w:val="0"/>
              <w:jc w:val="center"/>
              <w:rPr>
                <w:rFonts w:ascii="Calibri" w:hAnsi="Calibri"/>
                <w:szCs w:val="21"/>
              </w:rPr>
            </w:pPr>
            <w:r>
              <w:rPr>
                <w:rFonts w:ascii="Calibri" w:hAnsi="Calibri"/>
                <w:szCs w:val="21"/>
              </w:rPr>
              <w:t>3</w:t>
            </w:r>
          </w:p>
        </w:tc>
        <w:tc>
          <w:tcPr>
            <w:tcW w:w="1368" w:type="dxa"/>
            <w:vAlign w:val="center"/>
          </w:tcPr>
          <w:p w14:paraId="6B8CF089" w14:textId="77777777" w:rsidR="009D0E5F" w:rsidRPr="00A964FF" w:rsidRDefault="009D0E5F" w:rsidP="009D0E5F">
            <w:pPr>
              <w:jc w:val="center"/>
              <w:rPr>
                <w:rFonts w:ascii="Calibri" w:hAnsi="Calibri"/>
                <w:snapToGrid w:val="0"/>
                <w:color w:val="auto"/>
                <w:szCs w:val="21"/>
              </w:rPr>
            </w:pPr>
            <w:r>
              <w:rPr>
                <w:rFonts w:ascii="Calibri" w:hAnsi="Calibri" w:hint="eastAsia"/>
                <w:snapToGrid w:val="0"/>
                <w:color w:val="auto"/>
                <w:szCs w:val="21"/>
              </w:rPr>
              <w:t>24.25</w:t>
            </w:r>
          </w:p>
        </w:tc>
        <w:tc>
          <w:tcPr>
            <w:tcW w:w="1369" w:type="dxa"/>
            <w:vAlign w:val="center"/>
          </w:tcPr>
          <w:p w14:paraId="18F4A983"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0.042</w:t>
            </w:r>
          </w:p>
        </w:tc>
      </w:tr>
      <w:tr w:rsidR="009D0E5F" w:rsidRPr="00A964FF" w14:paraId="30EEB843" w14:textId="77777777" w:rsidTr="008B1803">
        <w:trPr>
          <w:trHeight w:val="340"/>
        </w:trPr>
        <w:tc>
          <w:tcPr>
            <w:tcW w:w="8959" w:type="dxa"/>
            <w:gridSpan w:val="7"/>
            <w:vAlign w:val="center"/>
          </w:tcPr>
          <w:p w14:paraId="1682BF39" w14:textId="77777777" w:rsidR="009D0E5F" w:rsidRDefault="009D0E5F" w:rsidP="00EA3050">
            <w:pPr>
              <w:jc w:val="center"/>
              <w:rPr>
                <w:rFonts w:ascii="Calibri" w:hAnsi="Calibri"/>
                <w:snapToGrid w:val="0"/>
                <w:color w:val="auto"/>
                <w:szCs w:val="21"/>
              </w:rPr>
            </w:pPr>
            <w:r>
              <w:rPr>
                <w:rFonts w:ascii="Calibri" w:hAnsi="Calibri" w:hint="eastAsia"/>
                <w:snapToGrid w:val="0"/>
                <w:color w:val="auto"/>
                <w:szCs w:val="21"/>
              </w:rPr>
              <w:t>二期</w:t>
            </w:r>
            <w:r>
              <w:rPr>
                <w:rFonts w:ascii="Calibri" w:hAnsi="Calibri"/>
                <w:snapToGrid w:val="0"/>
                <w:color w:val="auto"/>
                <w:szCs w:val="21"/>
              </w:rPr>
              <w:t>工程</w:t>
            </w:r>
          </w:p>
        </w:tc>
      </w:tr>
      <w:tr w:rsidR="009D0E5F" w:rsidRPr="00ED4172" w14:paraId="16395038" w14:textId="77777777" w:rsidTr="00EA3050">
        <w:trPr>
          <w:trHeight w:val="340"/>
        </w:trPr>
        <w:tc>
          <w:tcPr>
            <w:tcW w:w="836" w:type="dxa"/>
            <w:vAlign w:val="center"/>
          </w:tcPr>
          <w:p w14:paraId="511FB1EA"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1</w:t>
            </w:r>
          </w:p>
        </w:tc>
        <w:tc>
          <w:tcPr>
            <w:tcW w:w="1417" w:type="dxa"/>
            <w:vAlign w:val="center"/>
          </w:tcPr>
          <w:p w14:paraId="47F9341A"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废水量</w:t>
            </w:r>
          </w:p>
        </w:tc>
        <w:tc>
          <w:tcPr>
            <w:tcW w:w="1417" w:type="dxa"/>
            <w:vAlign w:val="center"/>
          </w:tcPr>
          <w:p w14:paraId="3E5097F8"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w:t>
            </w:r>
          </w:p>
        </w:tc>
        <w:tc>
          <w:tcPr>
            <w:tcW w:w="1418" w:type="dxa"/>
            <w:vAlign w:val="center"/>
          </w:tcPr>
          <w:p w14:paraId="34E2ECB8" w14:textId="77777777" w:rsidR="009D0E5F" w:rsidRDefault="00ED4172" w:rsidP="009D0E5F">
            <w:pPr>
              <w:jc w:val="center"/>
              <w:rPr>
                <w:rFonts w:ascii="Calibri" w:hAnsi="Calibri"/>
                <w:snapToGrid w:val="0"/>
                <w:color w:val="auto"/>
                <w:szCs w:val="21"/>
              </w:rPr>
            </w:pPr>
            <w:r w:rsidRPr="00ED4172">
              <w:rPr>
                <w:rFonts w:ascii="Calibri" w:hAnsi="Calibri"/>
                <w:snapToGrid w:val="0"/>
                <w:color w:val="auto"/>
                <w:szCs w:val="21"/>
              </w:rPr>
              <w:t>576</w:t>
            </w:r>
          </w:p>
        </w:tc>
        <w:tc>
          <w:tcPr>
            <w:tcW w:w="1134" w:type="dxa"/>
            <w:vAlign w:val="center"/>
          </w:tcPr>
          <w:p w14:paraId="00A030B4"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w:t>
            </w:r>
          </w:p>
        </w:tc>
        <w:tc>
          <w:tcPr>
            <w:tcW w:w="1368" w:type="dxa"/>
            <w:vAlign w:val="center"/>
          </w:tcPr>
          <w:p w14:paraId="1C792569"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w:t>
            </w:r>
          </w:p>
        </w:tc>
        <w:tc>
          <w:tcPr>
            <w:tcW w:w="1369" w:type="dxa"/>
            <w:vAlign w:val="center"/>
          </w:tcPr>
          <w:p w14:paraId="6E9CF393" w14:textId="77777777" w:rsidR="009D0E5F" w:rsidRDefault="00ED4172" w:rsidP="009D0E5F">
            <w:pPr>
              <w:jc w:val="center"/>
              <w:rPr>
                <w:rFonts w:ascii="Calibri" w:hAnsi="Calibri"/>
                <w:snapToGrid w:val="0"/>
                <w:color w:val="auto"/>
                <w:szCs w:val="21"/>
              </w:rPr>
            </w:pPr>
            <w:r w:rsidRPr="00ED4172">
              <w:rPr>
                <w:rFonts w:ascii="Calibri" w:hAnsi="Calibri"/>
                <w:snapToGrid w:val="0"/>
                <w:color w:val="auto"/>
                <w:szCs w:val="21"/>
              </w:rPr>
              <w:t>576</w:t>
            </w:r>
          </w:p>
        </w:tc>
      </w:tr>
      <w:tr w:rsidR="009D0E5F" w:rsidRPr="00A964FF" w14:paraId="17B58BB0" w14:textId="77777777" w:rsidTr="00EA3050">
        <w:trPr>
          <w:trHeight w:val="340"/>
        </w:trPr>
        <w:tc>
          <w:tcPr>
            <w:tcW w:w="836" w:type="dxa"/>
            <w:vAlign w:val="center"/>
          </w:tcPr>
          <w:p w14:paraId="2FC72F50"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2</w:t>
            </w:r>
          </w:p>
        </w:tc>
        <w:tc>
          <w:tcPr>
            <w:tcW w:w="1417" w:type="dxa"/>
            <w:vAlign w:val="center"/>
          </w:tcPr>
          <w:p w14:paraId="076EE808" w14:textId="77777777" w:rsidR="009D0E5F" w:rsidRDefault="009D0E5F" w:rsidP="009D0E5F">
            <w:pPr>
              <w:autoSpaceDE w:val="0"/>
              <w:autoSpaceDN w:val="0"/>
              <w:adjustRightInd w:val="0"/>
              <w:jc w:val="center"/>
              <w:rPr>
                <w:rFonts w:ascii="Calibri" w:hAnsi="Calibri"/>
                <w:color w:val="auto"/>
                <w:szCs w:val="21"/>
              </w:rPr>
            </w:pPr>
            <w:r>
              <w:rPr>
                <w:rFonts w:ascii="Calibri" w:hAnsi="Calibri"/>
                <w:szCs w:val="21"/>
              </w:rPr>
              <w:t>COD</w:t>
            </w:r>
          </w:p>
        </w:tc>
        <w:tc>
          <w:tcPr>
            <w:tcW w:w="1417" w:type="dxa"/>
            <w:vAlign w:val="center"/>
          </w:tcPr>
          <w:p w14:paraId="44C837D3"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3</w:t>
            </w:r>
            <w:r>
              <w:rPr>
                <w:rFonts w:ascii="Calibri" w:hAnsi="Calibri"/>
                <w:snapToGrid w:val="0"/>
                <w:color w:val="auto"/>
                <w:szCs w:val="21"/>
              </w:rPr>
              <w:t>00</w:t>
            </w:r>
          </w:p>
        </w:tc>
        <w:tc>
          <w:tcPr>
            <w:tcW w:w="1418" w:type="dxa"/>
            <w:vAlign w:val="center"/>
          </w:tcPr>
          <w:p w14:paraId="501266FA"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0.17</w:t>
            </w:r>
          </w:p>
        </w:tc>
        <w:tc>
          <w:tcPr>
            <w:tcW w:w="1134" w:type="dxa"/>
            <w:vAlign w:val="center"/>
          </w:tcPr>
          <w:p w14:paraId="6D05700A" w14:textId="77777777" w:rsidR="009D0E5F" w:rsidRDefault="009D0E5F" w:rsidP="009D0E5F">
            <w:pPr>
              <w:autoSpaceDE w:val="0"/>
              <w:autoSpaceDN w:val="0"/>
              <w:adjustRightInd w:val="0"/>
              <w:jc w:val="center"/>
              <w:rPr>
                <w:rFonts w:ascii="Calibri" w:hAnsi="Calibri"/>
                <w:color w:val="auto"/>
                <w:szCs w:val="21"/>
              </w:rPr>
            </w:pPr>
            <w:r>
              <w:rPr>
                <w:rFonts w:ascii="Calibri" w:hAnsi="Calibri"/>
                <w:szCs w:val="21"/>
              </w:rPr>
              <w:t>15</w:t>
            </w:r>
          </w:p>
        </w:tc>
        <w:tc>
          <w:tcPr>
            <w:tcW w:w="1368" w:type="dxa"/>
            <w:vAlign w:val="center"/>
          </w:tcPr>
          <w:p w14:paraId="04A82D11" w14:textId="77777777" w:rsidR="009D0E5F" w:rsidRPr="00A964FF" w:rsidRDefault="009D0E5F" w:rsidP="009D0E5F">
            <w:pPr>
              <w:jc w:val="center"/>
              <w:rPr>
                <w:rFonts w:ascii="Calibri" w:hAnsi="Calibri"/>
                <w:snapToGrid w:val="0"/>
                <w:color w:val="auto"/>
                <w:szCs w:val="21"/>
              </w:rPr>
            </w:pPr>
            <w:r>
              <w:rPr>
                <w:rFonts w:ascii="Calibri" w:hAnsi="Calibri" w:hint="eastAsia"/>
                <w:snapToGrid w:val="0"/>
                <w:color w:val="auto"/>
                <w:szCs w:val="21"/>
              </w:rPr>
              <w:t>255</w:t>
            </w:r>
          </w:p>
        </w:tc>
        <w:tc>
          <w:tcPr>
            <w:tcW w:w="1369" w:type="dxa"/>
            <w:vAlign w:val="center"/>
          </w:tcPr>
          <w:p w14:paraId="42D59B59"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0.15</w:t>
            </w:r>
          </w:p>
        </w:tc>
      </w:tr>
      <w:tr w:rsidR="009D0E5F" w:rsidRPr="00A964FF" w14:paraId="57AC1118" w14:textId="77777777" w:rsidTr="00EA3050">
        <w:trPr>
          <w:trHeight w:val="340"/>
        </w:trPr>
        <w:tc>
          <w:tcPr>
            <w:tcW w:w="836" w:type="dxa"/>
            <w:vAlign w:val="center"/>
          </w:tcPr>
          <w:p w14:paraId="2ABC970F"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3</w:t>
            </w:r>
          </w:p>
        </w:tc>
        <w:tc>
          <w:tcPr>
            <w:tcW w:w="1417" w:type="dxa"/>
            <w:vAlign w:val="center"/>
          </w:tcPr>
          <w:p w14:paraId="1FFBF62A" w14:textId="77777777" w:rsidR="009D0E5F" w:rsidRDefault="009D0E5F" w:rsidP="009D0E5F">
            <w:pPr>
              <w:autoSpaceDE w:val="0"/>
              <w:autoSpaceDN w:val="0"/>
              <w:adjustRightInd w:val="0"/>
              <w:jc w:val="center"/>
              <w:rPr>
                <w:rFonts w:ascii="Calibri" w:hAnsi="Calibri"/>
                <w:szCs w:val="21"/>
              </w:rPr>
            </w:pPr>
            <w:r>
              <w:rPr>
                <w:rFonts w:ascii="Calibri" w:hAnsi="Calibri"/>
                <w:szCs w:val="21"/>
              </w:rPr>
              <w:t>BOD</w:t>
            </w:r>
            <w:r>
              <w:rPr>
                <w:rFonts w:ascii="Calibri" w:hAnsi="Calibri"/>
                <w:szCs w:val="21"/>
                <w:vertAlign w:val="subscript"/>
              </w:rPr>
              <w:t>5</w:t>
            </w:r>
          </w:p>
        </w:tc>
        <w:tc>
          <w:tcPr>
            <w:tcW w:w="1417" w:type="dxa"/>
            <w:vAlign w:val="center"/>
          </w:tcPr>
          <w:p w14:paraId="201F6953"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150</w:t>
            </w:r>
          </w:p>
        </w:tc>
        <w:tc>
          <w:tcPr>
            <w:tcW w:w="1418" w:type="dxa"/>
            <w:vAlign w:val="center"/>
          </w:tcPr>
          <w:p w14:paraId="7018543D"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0.09</w:t>
            </w:r>
          </w:p>
        </w:tc>
        <w:tc>
          <w:tcPr>
            <w:tcW w:w="1134" w:type="dxa"/>
            <w:vAlign w:val="center"/>
          </w:tcPr>
          <w:p w14:paraId="7064A61D" w14:textId="77777777" w:rsidR="009D0E5F" w:rsidRDefault="009D0E5F" w:rsidP="009D0E5F">
            <w:pPr>
              <w:autoSpaceDE w:val="0"/>
              <w:autoSpaceDN w:val="0"/>
              <w:adjustRightInd w:val="0"/>
              <w:jc w:val="center"/>
              <w:rPr>
                <w:rFonts w:ascii="Calibri" w:hAnsi="Calibri"/>
                <w:szCs w:val="21"/>
              </w:rPr>
            </w:pPr>
            <w:r>
              <w:rPr>
                <w:rFonts w:ascii="Calibri" w:hAnsi="Calibri"/>
                <w:szCs w:val="21"/>
              </w:rPr>
              <w:t>10</w:t>
            </w:r>
          </w:p>
        </w:tc>
        <w:tc>
          <w:tcPr>
            <w:tcW w:w="1368" w:type="dxa"/>
            <w:vAlign w:val="center"/>
          </w:tcPr>
          <w:p w14:paraId="60458D69" w14:textId="77777777" w:rsidR="009D0E5F" w:rsidRPr="00A964FF" w:rsidRDefault="009D0E5F" w:rsidP="009D0E5F">
            <w:pPr>
              <w:jc w:val="center"/>
              <w:rPr>
                <w:rFonts w:ascii="Calibri" w:hAnsi="Calibri"/>
                <w:snapToGrid w:val="0"/>
                <w:color w:val="auto"/>
                <w:szCs w:val="21"/>
              </w:rPr>
            </w:pPr>
            <w:r>
              <w:rPr>
                <w:rFonts w:ascii="Calibri" w:hAnsi="Calibri" w:hint="eastAsia"/>
                <w:snapToGrid w:val="0"/>
                <w:color w:val="auto"/>
                <w:szCs w:val="21"/>
              </w:rPr>
              <w:t>13</w:t>
            </w:r>
            <w:r>
              <w:rPr>
                <w:rFonts w:ascii="Calibri" w:hAnsi="Calibri"/>
                <w:snapToGrid w:val="0"/>
                <w:color w:val="auto"/>
                <w:szCs w:val="21"/>
              </w:rPr>
              <w:t>5</w:t>
            </w:r>
          </w:p>
        </w:tc>
        <w:tc>
          <w:tcPr>
            <w:tcW w:w="1369" w:type="dxa"/>
            <w:vAlign w:val="center"/>
          </w:tcPr>
          <w:p w14:paraId="674EDE1E"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0.078</w:t>
            </w:r>
          </w:p>
        </w:tc>
      </w:tr>
      <w:tr w:rsidR="009D0E5F" w:rsidRPr="00A964FF" w14:paraId="0B2FBAF1" w14:textId="77777777" w:rsidTr="00EA3050">
        <w:trPr>
          <w:trHeight w:val="340"/>
        </w:trPr>
        <w:tc>
          <w:tcPr>
            <w:tcW w:w="836" w:type="dxa"/>
            <w:vAlign w:val="center"/>
          </w:tcPr>
          <w:p w14:paraId="7F18AAA5"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4</w:t>
            </w:r>
          </w:p>
        </w:tc>
        <w:tc>
          <w:tcPr>
            <w:tcW w:w="1417" w:type="dxa"/>
            <w:vAlign w:val="center"/>
          </w:tcPr>
          <w:p w14:paraId="70576F7A" w14:textId="77777777" w:rsidR="009D0E5F" w:rsidRDefault="009D0E5F" w:rsidP="009D0E5F">
            <w:pPr>
              <w:autoSpaceDE w:val="0"/>
              <w:autoSpaceDN w:val="0"/>
              <w:adjustRightInd w:val="0"/>
              <w:jc w:val="center"/>
              <w:rPr>
                <w:rFonts w:ascii="Calibri" w:hAnsi="Calibri"/>
                <w:szCs w:val="21"/>
              </w:rPr>
            </w:pPr>
            <w:r>
              <w:rPr>
                <w:rFonts w:ascii="Calibri" w:hAnsi="Calibri"/>
                <w:szCs w:val="21"/>
              </w:rPr>
              <w:t>SS</w:t>
            </w:r>
          </w:p>
        </w:tc>
        <w:tc>
          <w:tcPr>
            <w:tcW w:w="1417" w:type="dxa"/>
            <w:vAlign w:val="center"/>
          </w:tcPr>
          <w:p w14:paraId="655C9F1E"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200</w:t>
            </w:r>
          </w:p>
        </w:tc>
        <w:tc>
          <w:tcPr>
            <w:tcW w:w="1418" w:type="dxa"/>
            <w:vAlign w:val="center"/>
          </w:tcPr>
          <w:p w14:paraId="2D512F38"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0.12</w:t>
            </w:r>
          </w:p>
        </w:tc>
        <w:tc>
          <w:tcPr>
            <w:tcW w:w="1134" w:type="dxa"/>
            <w:vAlign w:val="center"/>
          </w:tcPr>
          <w:p w14:paraId="1E8D51B6" w14:textId="77777777" w:rsidR="009D0E5F" w:rsidRDefault="009D0E5F" w:rsidP="009D0E5F">
            <w:pPr>
              <w:autoSpaceDE w:val="0"/>
              <w:autoSpaceDN w:val="0"/>
              <w:adjustRightInd w:val="0"/>
              <w:jc w:val="center"/>
              <w:rPr>
                <w:rFonts w:ascii="Calibri" w:hAnsi="Calibri"/>
                <w:szCs w:val="21"/>
              </w:rPr>
            </w:pPr>
            <w:r>
              <w:rPr>
                <w:rFonts w:ascii="Calibri" w:hAnsi="Calibri"/>
                <w:szCs w:val="21"/>
              </w:rPr>
              <w:t>40</w:t>
            </w:r>
          </w:p>
        </w:tc>
        <w:tc>
          <w:tcPr>
            <w:tcW w:w="1368" w:type="dxa"/>
            <w:vAlign w:val="center"/>
          </w:tcPr>
          <w:p w14:paraId="2E8468D8" w14:textId="77777777" w:rsidR="009D0E5F" w:rsidRPr="00A964FF" w:rsidRDefault="009D0E5F" w:rsidP="009D0E5F">
            <w:pPr>
              <w:jc w:val="center"/>
              <w:rPr>
                <w:rFonts w:ascii="Calibri" w:hAnsi="Calibri"/>
                <w:snapToGrid w:val="0"/>
                <w:color w:val="auto"/>
                <w:szCs w:val="21"/>
              </w:rPr>
            </w:pPr>
            <w:r>
              <w:rPr>
                <w:rFonts w:ascii="Calibri" w:hAnsi="Calibri"/>
                <w:snapToGrid w:val="0"/>
                <w:color w:val="auto"/>
                <w:szCs w:val="21"/>
              </w:rPr>
              <w:t>120</w:t>
            </w:r>
          </w:p>
        </w:tc>
        <w:tc>
          <w:tcPr>
            <w:tcW w:w="1369" w:type="dxa"/>
            <w:vAlign w:val="center"/>
          </w:tcPr>
          <w:p w14:paraId="28B6E303"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0.069</w:t>
            </w:r>
          </w:p>
        </w:tc>
      </w:tr>
      <w:tr w:rsidR="009D0E5F" w:rsidRPr="00A964FF" w14:paraId="4BEA254F" w14:textId="77777777" w:rsidTr="00EA3050">
        <w:trPr>
          <w:trHeight w:val="340"/>
        </w:trPr>
        <w:tc>
          <w:tcPr>
            <w:tcW w:w="836" w:type="dxa"/>
            <w:vAlign w:val="center"/>
          </w:tcPr>
          <w:p w14:paraId="412362A7"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5</w:t>
            </w:r>
          </w:p>
        </w:tc>
        <w:tc>
          <w:tcPr>
            <w:tcW w:w="1417" w:type="dxa"/>
            <w:vAlign w:val="center"/>
          </w:tcPr>
          <w:p w14:paraId="058C75DE" w14:textId="77777777" w:rsidR="009D0E5F" w:rsidRDefault="009D0E5F" w:rsidP="009D0E5F">
            <w:pPr>
              <w:autoSpaceDE w:val="0"/>
              <w:autoSpaceDN w:val="0"/>
              <w:adjustRightInd w:val="0"/>
              <w:jc w:val="center"/>
              <w:rPr>
                <w:rFonts w:ascii="Calibri" w:hAnsi="Calibri"/>
                <w:szCs w:val="21"/>
              </w:rPr>
            </w:pPr>
            <w:r>
              <w:rPr>
                <w:rFonts w:ascii="Calibri" w:hAnsi="Calibri"/>
                <w:szCs w:val="21"/>
              </w:rPr>
              <w:t>NH</w:t>
            </w:r>
            <w:r>
              <w:rPr>
                <w:rFonts w:ascii="Calibri" w:hAnsi="Calibri"/>
                <w:szCs w:val="21"/>
                <w:vertAlign w:val="subscript"/>
              </w:rPr>
              <w:t>3</w:t>
            </w:r>
            <w:r>
              <w:rPr>
                <w:rFonts w:ascii="Calibri" w:hAnsi="Calibri"/>
                <w:szCs w:val="21"/>
              </w:rPr>
              <w:t>-N</w:t>
            </w:r>
          </w:p>
        </w:tc>
        <w:tc>
          <w:tcPr>
            <w:tcW w:w="1417" w:type="dxa"/>
            <w:vAlign w:val="center"/>
          </w:tcPr>
          <w:p w14:paraId="789266EA"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25</w:t>
            </w:r>
          </w:p>
        </w:tc>
        <w:tc>
          <w:tcPr>
            <w:tcW w:w="1418" w:type="dxa"/>
            <w:vAlign w:val="center"/>
          </w:tcPr>
          <w:p w14:paraId="238311BA"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0.014</w:t>
            </w:r>
          </w:p>
        </w:tc>
        <w:tc>
          <w:tcPr>
            <w:tcW w:w="1134" w:type="dxa"/>
            <w:vAlign w:val="center"/>
          </w:tcPr>
          <w:p w14:paraId="764BC3A4" w14:textId="77777777" w:rsidR="009D0E5F" w:rsidRDefault="009D0E5F" w:rsidP="009D0E5F">
            <w:pPr>
              <w:autoSpaceDE w:val="0"/>
              <w:autoSpaceDN w:val="0"/>
              <w:adjustRightInd w:val="0"/>
              <w:jc w:val="center"/>
              <w:rPr>
                <w:rFonts w:ascii="Calibri" w:hAnsi="Calibri"/>
                <w:szCs w:val="21"/>
              </w:rPr>
            </w:pPr>
            <w:r>
              <w:rPr>
                <w:rFonts w:ascii="Calibri" w:hAnsi="Calibri"/>
                <w:szCs w:val="21"/>
              </w:rPr>
              <w:t>3</w:t>
            </w:r>
          </w:p>
        </w:tc>
        <w:tc>
          <w:tcPr>
            <w:tcW w:w="1368" w:type="dxa"/>
            <w:vAlign w:val="center"/>
          </w:tcPr>
          <w:p w14:paraId="539D57D3" w14:textId="77777777" w:rsidR="009D0E5F" w:rsidRPr="00A964FF" w:rsidRDefault="009D0E5F" w:rsidP="009D0E5F">
            <w:pPr>
              <w:jc w:val="center"/>
              <w:rPr>
                <w:rFonts w:ascii="Calibri" w:hAnsi="Calibri"/>
                <w:snapToGrid w:val="0"/>
                <w:color w:val="auto"/>
                <w:szCs w:val="21"/>
              </w:rPr>
            </w:pPr>
            <w:r>
              <w:rPr>
                <w:rFonts w:ascii="Calibri" w:hAnsi="Calibri" w:hint="eastAsia"/>
                <w:snapToGrid w:val="0"/>
                <w:color w:val="auto"/>
                <w:szCs w:val="21"/>
              </w:rPr>
              <w:t>24.25</w:t>
            </w:r>
          </w:p>
        </w:tc>
        <w:tc>
          <w:tcPr>
            <w:tcW w:w="1369" w:type="dxa"/>
            <w:vAlign w:val="center"/>
          </w:tcPr>
          <w:p w14:paraId="563F0D32" w14:textId="77777777" w:rsidR="009D0E5F" w:rsidRDefault="00ED4172" w:rsidP="009D0E5F">
            <w:pPr>
              <w:jc w:val="center"/>
              <w:rPr>
                <w:rFonts w:ascii="Calibri" w:hAnsi="Calibri"/>
                <w:snapToGrid w:val="0"/>
                <w:color w:val="auto"/>
                <w:szCs w:val="21"/>
              </w:rPr>
            </w:pPr>
            <w:r>
              <w:rPr>
                <w:rFonts w:ascii="Calibri" w:hAnsi="Calibri" w:hint="eastAsia"/>
                <w:snapToGrid w:val="0"/>
                <w:color w:val="auto"/>
                <w:szCs w:val="21"/>
              </w:rPr>
              <w:t>0.014</w:t>
            </w:r>
          </w:p>
        </w:tc>
      </w:tr>
      <w:tr w:rsidR="009D0E5F" w:rsidRPr="00A964FF" w14:paraId="3CA43F92" w14:textId="77777777" w:rsidTr="008B1803">
        <w:trPr>
          <w:trHeight w:val="340"/>
        </w:trPr>
        <w:tc>
          <w:tcPr>
            <w:tcW w:w="7590" w:type="dxa"/>
            <w:gridSpan w:val="6"/>
            <w:vAlign w:val="center"/>
          </w:tcPr>
          <w:p w14:paraId="70A621FC" w14:textId="77777777" w:rsidR="009D0E5F" w:rsidRDefault="009D0E5F" w:rsidP="009D0E5F">
            <w:pPr>
              <w:jc w:val="center"/>
              <w:rPr>
                <w:rFonts w:ascii="Calibri" w:hAnsi="Calibri"/>
                <w:snapToGrid w:val="0"/>
                <w:color w:val="auto"/>
                <w:szCs w:val="21"/>
              </w:rPr>
            </w:pPr>
            <w:r>
              <w:rPr>
                <w:rFonts w:ascii="Calibri" w:hAnsi="Calibri" w:hint="eastAsia"/>
                <w:snapToGrid w:val="0"/>
                <w:color w:val="auto"/>
                <w:szCs w:val="21"/>
              </w:rPr>
              <w:t xml:space="preserve">             </w:t>
            </w:r>
            <w:r>
              <w:rPr>
                <w:rFonts w:ascii="Calibri" w:hAnsi="Calibri" w:hint="eastAsia"/>
                <w:snapToGrid w:val="0"/>
                <w:color w:val="auto"/>
                <w:szCs w:val="21"/>
              </w:rPr>
              <w:t>一期</w:t>
            </w:r>
            <w:r>
              <w:rPr>
                <w:rFonts w:ascii="Calibri" w:hAnsi="Calibri"/>
                <w:snapToGrid w:val="0"/>
                <w:color w:val="auto"/>
                <w:szCs w:val="21"/>
              </w:rPr>
              <w:t>、二期工程</w:t>
            </w:r>
          </w:p>
        </w:tc>
        <w:tc>
          <w:tcPr>
            <w:tcW w:w="1369" w:type="dxa"/>
            <w:vAlign w:val="center"/>
          </w:tcPr>
          <w:p w14:paraId="3072BC08" w14:textId="77777777" w:rsidR="009D0E5F" w:rsidRDefault="009D0E5F" w:rsidP="009D0E5F">
            <w:pPr>
              <w:jc w:val="center"/>
              <w:rPr>
                <w:rFonts w:ascii="Calibri" w:hAnsi="Calibri"/>
                <w:snapToGrid w:val="0"/>
                <w:color w:val="auto"/>
                <w:szCs w:val="21"/>
              </w:rPr>
            </w:pPr>
          </w:p>
        </w:tc>
      </w:tr>
      <w:tr w:rsidR="00F56E4C" w:rsidRPr="00A964FF" w14:paraId="1A50D421" w14:textId="77777777" w:rsidTr="00EA3050">
        <w:trPr>
          <w:trHeight w:val="340"/>
        </w:trPr>
        <w:tc>
          <w:tcPr>
            <w:tcW w:w="836" w:type="dxa"/>
            <w:vAlign w:val="center"/>
          </w:tcPr>
          <w:p w14:paraId="04279484"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1</w:t>
            </w:r>
          </w:p>
        </w:tc>
        <w:tc>
          <w:tcPr>
            <w:tcW w:w="1417" w:type="dxa"/>
            <w:vAlign w:val="center"/>
          </w:tcPr>
          <w:p w14:paraId="7D794293"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废水量</w:t>
            </w:r>
          </w:p>
        </w:tc>
        <w:tc>
          <w:tcPr>
            <w:tcW w:w="1417" w:type="dxa"/>
            <w:vAlign w:val="center"/>
          </w:tcPr>
          <w:p w14:paraId="2FFBEB34"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w:t>
            </w:r>
          </w:p>
        </w:tc>
        <w:tc>
          <w:tcPr>
            <w:tcW w:w="1418" w:type="dxa"/>
            <w:vAlign w:val="center"/>
          </w:tcPr>
          <w:p w14:paraId="6E7AEFA5" w14:textId="77777777" w:rsidR="00F56E4C" w:rsidRDefault="00981E65" w:rsidP="00EA3050">
            <w:pPr>
              <w:jc w:val="center"/>
              <w:rPr>
                <w:rFonts w:ascii="Calibri" w:hAnsi="Calibri"/>
                <w:snapToGrid w:val="0"/>
                <w:color w:val="auto"/>
                <w:szCs w:val="21"/>
              </w:rPr>
            </w:pPr>
            <w:r>
              <w:rPr>
                <w:rFonts w:ascii="Calibri" w:hAnsi="Calibri"/>
                <w:snapToGrid w:val="0"/>
                <w:color w:val="auto"/>
                <w:szCs w:val="21"/>
              </w:rPr>
              <w:t>2304</w:t>
            </w:r>
          </w:p>
        </w:tc>
        <w:tc>
          <w:tcPr>
            <w:tcW w:w="1134" w:type="dxa"/>
            <w:vAlign w:val="center"/>
          </w:tcPr>
          <w:p w14:paraId="7D489143"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w:t>
            </w:r>
          </w:p>
        </w:tc>
        <w:tc>
          <w:tcPr>
            <w:tcW w:w="1368" w:type="dxa"/>
            <w:vAlign w:val="center"/>
          </w:tcPr>
          <w:p w14:paraId="63F9AF26"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w:t>
            </w:r>
          </w:p>
        </w:tc>
        <w:tc>
          <w:tcPr>
            <w:tcW w:w="1369" w:type="dxa"/>
            <w:vAlign w:val="center"/>
          </w:tcPr>
          <w:p w14:paraId="7CC12FB9" w14:textId="77777777" w:rsidR="00F56E4C" w:rsidRPr="00A964FF" w:rsidRDefault="00981E65" w:rsidP="00EA3050">
            <w:pPr>
              <w:jc w:val="center"/>
              <w:rPr>
                <w:rFonts w:ascii="Calibri" w:hAnsi="Calibri"/>
                <w:snapToGrid w:val="0"/>
                <w:color w:val="auto"/>
                <w:szCs w:val="21"/>
              </w:rPr>
            </w:pPr>
            <w:r>
              <w:rPr>
                <w:rFonts w:ascii="Calibri" w:hAnsi="Calibri"/>
                <w:snapToGrid w:val="0"/>
                <w:color w:val="auto"/>
                <w:szCs w:val="21"/>
              </w:rPr>
              <w:t>2304</w:t>
            </w:r>
          </w:p>
        </w:tc>
      </w:tr>
      <w:tr w:rsidR="00F56E4C" w:rsidRPr="00A964FF" w14:paraId="5254B97B" w14:textId="77777777" w:rsidTr="00EA3050">
        <w:trPr>
          <w:trHeight w:val="340"/>
        </w:trPr>
        <w:tc>
          <w:tcPr>
            <w:tcW w:w="836" w:type="dxa"/>
            <w:vAlign w:val="center"/>
          </w:tcPr>
          <w:p w14:paraId="29E6BCA6"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2</w:t>
            </w:r>
          </w:p>
        </w:tc>
        <w:tc>
          <w:tcPr>
            <w:tcW w:w="1417" w:type="dxa"/>
            <w:vAlign w:val="center"/>
          </w:tcPr>
          <w:p w14:paraId="13DFEACC" w14:textId="77777777" w:rsidR="00F56E4C" w:rsidRDefault="00F56E4C" w:rsidP="00EA3050">
            <w:pPr>
              <w:autoSpaceDE w:val="0"/>
              <w:autoSpaceDN w:val="0"/>
              <w:adjustRightInd w:val="0"/>
              <w:jc w:val="center"/>
              <w:rPr>
                <w:rFonts w:ascii="Calibri" w:hAnsi="Calibri"/>
                <w:color w:val="auto"/>
                <w:szCs w:val="21"/>
              </w:rPr>
            </w:pPr>
            <w:r>
              <w:rPr>
                <w:rFonts w:ascii="Calibri" w:hAnsi="Calibri"/>
                <w:szCs w:val="21"/>
              </w:rPr>
              <w:t>COD</w:t>
            </w:r>
          </w:p>
        </w:tc>
        <w:tc>
          <w:tcPr>
            <w:tcW w:w="1417" w:type="dxa"/>
            <w:vAlign w:val="center"/>
          </w:tcPr>
          <w:p w14:paraId="103F5A52"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3</w:t>
            </w:r>
            <w:r>
              <w:rPr>
                <w:rFonts w:ascii="Calibri" w:hAnsi="Calibri"/>
                <w:snapToGrid w:val="0"/>
                <w:color w:val="auto"/>
                <w:szCs w:val="21"/>
              </w:rPr>
              <w:t>00</w:t>
            </w:r>
          </w:p>
        </w:tc>
        <w:tc>
          <w:tcPr>
            <w:tcW w:w="1418" w:type="dxa"/>
            <w:vAlign w:val="center"/>
          </w:tcPr>
          <w:p w14:paraId="6978B6D5" w14:textId="77777777" w:rsidR="00F56E4C" w:rsidRDefault="00981E65" w:rsidP="00EA3050">
            <w:pPr>
              <w:jc w:val="center"/>
              <w:rPr>
                <w:rFonts w:ascii="Calibri" w:hAnsi="Calibri"/>
                <w:snapToGrid w:val="0"/>
                <w:color w:val="auto"/>
                <w:szCs w:val="21"/>
              </w:rPr>
            </w:pPr>
            <w:r>
              <w:rPr>
                <w:rFonts w:ascii="Calibri" w:hAnsi="Calibri"/>
                <w:snapToGrid w:val="0"/>
                <w:color w:val="auto"/>
                <w:szCs w:val="21"/>
              </w:rPr>
              <w:t>0.69</w:t>
            </w:r>
          </w:p>
        </w:tc>
        <w:tc>
          <w:tcPr>
            <w:tcW w:w="1134" w:type="dxa"/>
            <w:vAlign w:val="center"/>
          </w:tcPr>
          <w:p w14:paraId="570AE850" w14:textId="77777777" w:rsidR="00F56E4C" w:rsidRDefault="00F56E4C" w:rsidP="00EA3050">
            <w:pPr>
              <w:autoSpaceDE w:val="0"/>
              <w:autoSpaceDN w:val="0"/>
              <w:adjustRightInd w:val="0"/>
              <w:jc w:val="center"/>
              <w:rPr>
                <w:rFonts w:ascii="Calibri" w:hAnsi="Calibri"/>
                <w:color w:val="auto"/>
                <w:szCs w:val="21"/>
              </w:rPr>
            </w:pPr>
            <w:r>
              <w:rPr>
                <w:rFonts w:ascii="Calibri" w:hAnsi="Calibri"/>
                <w:szCs w:val="21"/>
              </w:rPr>
              <w:t>15</w:t>
            </w:r>
          </w:p>
        </w:tc>
        <w:tc>
          <w:tcPr>
            <w:tcW w:w="1368" w:type="dxa"/>
            <w:vAlign w:val="center"/>
          </w:tcPr>
          <w:p w14:paraId="587F2438"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255</w:t>
            </w:r>
          </w:p>
        </w:tc>
        <w:tc>
          <w:tcPr>
            <w:tcW w:w="1369" w:type="dxa"/>
            <w:vAlign w:val="center"/>
          </w:tcPr>
          <w:p w14:paraId="209D6C69" w14:textId="77777777" w:rsidR="00F56E4C" w:rsidRPr="00A964FF" w:rsidRDefault="00981E65" w:rsidP="00981E65">
            <w:pPr>
              <w:jc w:val="center"/>
              <w:rPr>
                <w:rFonts w:ascii="Calibri" w:hAnsi="Calibri"/>
                <w:snapToGrid w:val="0"/>
                <w:color w:val="auto"/>
                <w:szCs w:val="21"/>
              </w:rPr>
            </w:pPr>
            <w:r>
              <w:rPr>
                <w:rFonts w:ascii="Calibri" w:hAnsi="Calibri"/>
                <w:snapToGrid w:val="0"/>
                <w:color w:val="auto"/>
                <w:szCs w:val="21"/>
              </w:rPr>
              <w:t>0.59</w:t>
            </w:r>
          </w:p>
        </w:tc>
      </w:tr>
      <w:tr w:rsidR="00F56E4C" w:rsidRPr="00A964FF" w14:paraId="2C81EC05" w14:textId="77777777" w:rsidTr="00EA3050">
        <w:trPr>
          <w:trHeight w:val="340"/>
        </w:trPr>
        <w:tc>
          <w:tcPr>
            <w:tcW w:w="836" w:type="dxa"/>
            <w:vAlign w:val="center"/>
          </w:tcPr>
          <w:p w14:paraId="175C8C83"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3</w:t>
            </w:r>
          </w:p>
        </w:tc>
        <w:tc>
          <w:tcPr>
            <w:tcW w:w="1417" w:type="dxa"/>
            <w:vAlign w:val="center"/>
          </w:tcPr>
          <w:p w14:paraId="5487357C" w14:textId="77777777" w:rsidR="00F56E4C" w:rsidRDefault="00F56E4C" w:rsidP="00EA3050">
            <w:pPr>
              <w:autoSpaceDE w:val="0"/>
              <w:autoSpaceDN w:val="0"/>
              <w:adjustRightInd w:val="0"/>
              <w:jc w:val="center"/>
              <w:rPr>
                <w:rFonts w:ascii="Calibri" w:hAnsi="Calibri"/>
                <w:szCs w:val="21"/>
              </w:rPr>
            </w:pPr>
            <w:r>
              <w:rPr>
                <w:rFonts w:ascii="Calibri" w:hAnsi="Calibri"/>
                <w:szCs w:val="21"/>
              </w:rPr>
              <w:t>BOD</w:t>
            </w:r>
            <w:r>
              <w:rPr>
                <w:rFonts w:ascii="Calibri" w:hAnsi="Calibri"/>
                <w:szCs w:val="21"/>
                <w:vertAlign w:val="subscript"/>
              </w:rPr>
              <w:t>5</w:t>
            </w:r>
          </w:p>
        </w:tc>
        <w:tc>
          <w:tcPr>
            <w:tcW w:w="1417" w:type="dxa"/>
            <w:vAlign w:val="center"/>
          </w:tcPr>
          <w:p w14:paraId="621BC337"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150</w:t>
            </w:r>
          </w:p>
        </w:tc>
        <w:tc>
          <w:tcPr>
            <w:tcW w:w="1418" w:type="dxa"/>
            <w:vAlign w:val="center"/>
          </w:tcPr>
          <w:p w14:paraId="5E1D07C5" w14:textId="77777777" w:rsidR="00F56E4C" w:rsidRDefault="00981E65" w:rsidP="00EA3050">
            <w:pPr>
              <w:jc w:val="center"/>
              <w:rPr>
                <w:rFonts w:ascii="Calibri" w:hAnsi="Calibri"/>
                <w:snapToGrid w:val="0"/>
                <w:color w:val="auto"/>
                <w:szCs w:val="21"/>
              </w:rPr>
            </w:pPr>
            <w:r>
              <w:rPr>
                <w:rFonts w:ascii="Calibri" w:hAnsi="Calibri"/>
                <w:snapToGrid w:val="0"/>
                <w:color w:val="auto"/>
                <w:szCs w:val="21"/>
              </w:rPr>
              <w:t>0.35</w:t>
            </w:r>
          </w:p>
        </w:tc>
        <w:tc>
          <w:tcPr>
            <w:tcW w:w="1134" w:type="dxa"/>
            <w:vAlign w:val="center"/>
          </w:tcPr>
          <w:p w14:paraId="1ABFF4E6" w14:textId="77777777" w:rsidR="00F56E4C" w:rsidRDefault="00F56E4C" w:rsidP="00EA3050">
            <w:pPr>
              <w:autoSpaceDE w:val="0"/>
              <w:autoSpaceDN w:val="0"/>
              <w:adjustRightInd w:val="0"/>
              <w:jc w:val="center"/>
              <w:rPr>
                <w:rFonts w:ascii="Calibri" w:hAnsi="Calibri"/>
                <w:szCs w:val="21"/>
              </w:rPr>
            </w:pPr>
            <w:r>
              <w:rPr>
                <w:rFonts w:ascii="Calibri" w:hAnsi="Calibri"/>
                <w:szCs w:val="21"/>
              </w:rPr>
              <w:t>10</w:t>
            </w:r>
          </w:p>
        </w:tc>
        <w:tc>
          <w:tcPr>
            <w:tcW w:w="1368" w:type="dxa"/>
            <w:vAlign w:val="center"/>
          </w:tcPr>
          <w:p w14:paraId="5122D759"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13</w:t>
            </w:r>
            <w:r>
              <w:rPr>
                <w:rFonts w:ascii="Calibri" w:hAnsi="Calibri"/>
                <w:snapToGrid w:val="0"/>
                <w:color w:val="auto"/>
                <w:szCs w:val="21"/>
              </w:rPr>
              <w:t>5</w:t>
            </w:r>
          </w:p>
        </w:tc>
        <w:tc>
          <w:tcPr>
            <w:tcW w:w="1369" w:type="dxa"/>
            <w:vAlign w:val="center"/>
          </w:tcPr>
          <w:p w14:paraId="40AC4939" w14:textId="77777777" w:rsidR="00F56E4C" w:rsidRPr="00A964FF" w:rsidRDefault="00981E65" w:rsidP="00981E65">
            <w:pPr>
              <w:jc w:val="center"/>
              <w:rPr>
                <w:rFonts w:ascii="Calibri" w:hAnsi="Calibri"/>
                <w:snapToGrid w:val="0"/>
                <w:color w:val="auto"/>
                <w:szCs w:val="21"/>
              </w:rPr>
            </w:pPr>
            <w:r>
              <w:rPr>
                <w:rFonts w:ascii="Calibri" w:hAnsi="Calibri"/>
                <w:snapToGrid w:val="0"/>
                <w:color w:val="auto"/>
                <w:szCs w:val="21"/>
              </w:rPr>
              <w:t>0.31</w:t>
            </w:r>
          </w:p>
        </w:tc>
      </w:tr>
      <w:tr w:rsidR="00F56E4C" w:rsidRPr="00A964FF" w14:paraId="527264CC" w14:textId="77777777" w:rsidTr="00EA3050">
        <w:trPr>
          <w:trHeight w:val="340"/>
        </w:trPr>
        <w:tc>
          <w:tcPr>
            <w:tcW w:w="836" w:type="dxa"/>
            <w:vAlign w:val="center"/>
          </w:tcPr>
          <w:p w14:paraId="0F484D44"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4</w:t>
            </w:r>
          </w:p>
        </w:tc>
        <w:tc>
          <w:tcPr>
            <w:tcW w:w="1417" w:type="dxa"/>
            <w:vAlign w:val="center"/>
          </w:tcPr>
          <w:p w14:paraId="63C8EE30" w14:textId="77777777" w:rsidR="00F56E4C" w:rsidRDefault="00F56E4C" w:rsidP="00EA3050">
            <w:pPr>
              <w:autoSpaceDE w:val="0"/>
              <w:autoSpaceDN w:val="0"/>
              <w:adjustRightInd w:val="0"/>
              <w:jc w:val="center"/>
              <w:rPr>
                <w:rFonts w:ascii="Calibri" w:hAnsi="Calibri"/>
                <w:szCs w:val="21"/>
              </w:rPr>
            </w:pPr>
            <w:r>
              <w:rPr>
                <w:rFonts w:ascii="Calibri" w:hAnsi="Calibri"/>
                <w:szCs w:val="21"/>
              </w:rPr>
              <w:t>SS</w:t>
            </w:r>
          </w:p>
        </w:tc>
        <w:tc>
          <w:tcPr>
            <w:tcW w:w="1417" w:type="dxa"/>
            <w:vAlign w:val="center"/>
          </w:tcPr>
          <w:p w14:paraId="2E668207"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200</w:t>
            </w:r>
          </w:p>
        </w:tc>
        <w:tc>
          <w:tcPr>
            <w:tcW w:w="1418" w:type="dxa"/>
            <w:vAlign w:val="center"/>
          </w:tcPr>
          <w:p w14:paraId="2D97112C" w14:textId="77777777" w:rsidR="00F56E4C" w:rsidRDefault="00981E65" w:rsidP="00ED4172">
            <w:pPr>
              <w:jc w:val="center"/>
              <w:rPr>
                <w:rFonts w:ascii="Calibri" w:hAnsi="Calibri"/>
                <w:snapToGrid w:val="0"/>
                <w:color w:val="auto"/>
                <w:szCs w:val="21"/>
              </w:rPr>
            </w:pPr>
            <w:r>
              <w:rPr>
                <w:rFonts w:ascii="Calibri" w:hAnsi="Calibri"/>
                <w:snapToGrid w:val="0"/>
                <w:color w:val="auto"/>
                <w:szCs w:val="21"/>
              </w:rPr>
              <w:t>0.4</w:t>
            </w:r>
            <w:r w:rsidR="00ED4172">
              <w:rPr>
                <w:rFonts w:ascii="Calibri" w:hAnsi="Calibri"/>
                <w:snapToGrid w:val="0"/>
                <w:color w:val="auto"/>
                <w:szCs w:val="21"/>
              </w:rPr>
              <w:t>7</w:t>
            </w:r>
          </w:p>
        </w:tc>
        <w:tc>
          <w:tcPr>
            <w:tcW w:w="1134" w:type="dxa"/>
            <w:vAlign w:val="center"/>
          </w:tcPr>
          <w:p w14:paraId="177A9B88" w14:textId="77777777" w:rsidR="00F56E4C" w:rsidRDefault="00F56E4C" w:rsidP="00EA3050">
            <w:pPr>
              <w:autoSpaceDE w:val="0"/>
              <w:autoSpaceDN w:val="0"/>
              <w:adjustRightInd w:val="0"/>
              <w:jc w:val="center"/>
              <w:rPr>
                <w:rFonts w:ascii="Calibri" w:hAnsi="Calibri"/>
                <w:szCs w:val="21"/>
              </w:rPr>
            </w:pPr>
            <w:r>
              <w:rPr>
                <w:rFonts w:ascii="Calibri" w:hAnsi="Calibri"/>
                <w:szCs w:val="21"/>
              </w:rPr>
              <w:t>40</w:t>
            </w:r>
          </w:p>
        </w:tc>
        <w:tc>
          <w:tcPr>
            <w:tcW w:w="1368" w:type="dxa"/>
            <w:vAlign w:val="center"/>
          </w:tcPr>
          <w:p w14:paraId="55AD5C03" w14:textId="77777777" w:rsidR="00F56E4C" w:rsidRPr="00A964FF" w:rsidRDefault="00F56E4C" w:rsidP="00EA3050">
            <w:pPr>
              <w:jc w:val="center"/>
              <w:rPr>
                <w:rFonts w:ascii="Calibri" w:hAnsi="Calibri"/>
                <w:snapToGrid w:val="0"/>
                <w:color w:val="auto"/>
                <w:szCs w:val="21"/>
              </w:rPr>
            </w:pPr>
            <w:r>
              <w:rPr>
                <w:rFonts w:ascii="Calibri" w:hAnsi="Calibri"/>
                <w:snapToGrid w:val="0"/>
                <w:color w:val="auto"/>
                <w:szCs w:val="21"/>
              </w:rPr>
              <w:t>120</w:t>
            </w:r>
          </w:p>
        </w:tc>
        <w:tc>
          <w:tcPr>
            <w:tcW w:w="1369" w:type="dxa"/>
            <w:vAlign w:val="center"/>
          </w:tcPr>
          <w:p w14:paraId="76AFD459" w14:textId="77777777" w:rsidR="00F56E4C" w:rsidRPr="00A964FF" w:rsidRDefault="00981E65" w:rsidP="00EA3050">
            <w:pPr>
              <w:jc w:val="center"/>
              <w:rPr>
                <w:rFonts w:ascii="Calibri" w:hAnsi="Calibri"/>
                <w:snapToGrid w:val="0"/>
                <w:color w:val="auto"/>
                <w:szCs w:val="21"/>
              </w:rPr>
            </w:pPr>
            <w:r w:rsidRPr="00981E65">
              <w:rPr>
                <w:rFonts w:ascii="Calibri" w:hAnsi="Calibri"/>
                <w:snapToGrid w:val="0"/>
                <w:color w:val="auto"/>
                <w:szCs w:val="21"/>
              </w:rPr>
              <w:t>0.28</w:t>
            </w:r>
          </w:p>
        </w:tc>
      </w:tr>
      <w:tr w:rsidR="00F56E4C" w:rsidRPr="00A964FF" w14:paraId="4CF7B0C7" w14:textId="77777777" w:rsidTr="00EA3050">
        <w:trPr>
          <w:trHeight w:val="340"/>
        </w:trPr>
        <w:tc>
          <w:tcPr>
            <w:tcW w:w="836" w:type="dxa"/>
            <w:vAlign w:val="center"/>
          </w:tcPr>
          <w:p w14:paraId="0991D9BA"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5</w:t>
            </w:r>
          </w:p>
        </w:tc>
        <w:tc>
          <w:tcPr>
            <w:tcW w:w="1417" w:type="dxa"/>
            <w:vAlign w:val="center"/>
          </w:tcPr>
          <w:p w14:paraId="3B5A7276" w14:textId="77777777" w:rsidR="00F56E4C" w:rsidRDefault="00F56E4C" w:rsidP="00EA3050">
            <w:pPr>
              <w:autoSpaceDE w:val="0"/>
              <w:autoSpaceDN w:val="0"/>
              <w:adjustRightInd w:val="0"/>
              <w:jc w:val="center"/>
              <w:rPr>
                <w:rFonts w:ascii="Calibri" w:hAnsi="Calibri"/>
                <w:szCs w:val="21"/>
              </w:rPr>
            </w:pPr>
            <w:r>
              <w:rPr>
                <w:rFonts w:ascii="Calibri" w:hAnsi="Calibri"/>
                <w:szCs w:val="21"/>
              </w:rPr>
              <w:t>NH</w:t>
            </w:r>
            <w:r>
              <w:rPr>
                <w:rFonts w:ascii="Calibri" w:hAnsi="Calibri"/>
                <w:szCs w:val="21"/>
                <w:vertAlign w:val="subscript"/>
              </w:rPr>
              <w:t>3</w:t>
            </w:r>
            <w:r>
              <w:rPr>
                <w:rFonts w:ascii="Calibri" w:hAnsi="Calibri"/>
                <w:szCs w:val="21"/>
              </w:rPr>
              <w:t>-N</w:t>
            </w:r>
          </w:p>
        </w:tc>
        <w:tc>
          <w:tcPr>
            <w:tcW w:w="1417" w:type="dxa"/>
            <w:vAlign w:val="center"/>
          </w:tcPr>
          <w:p w14:paraId="17E5F40F" w14:textId="77777777" w:rsidR="00F56E4C" w:rsidRDefault="00F56E4C" w:rsidP="00EA3050">
            <w:pPr>
              <w:jc w:val="center"/>
              <w:rPr>
                <w:rFonts w:ascii="Calibri" w:hAnsi="Calibri"/>
                <w:snapToGrid w:val="0"/>
                <w:color w:val="auto"/>
                <w:szCs w:val="21"/>
              </w:rPr>
            </w:pPr>
            <w:r>
              <w:rPr>
                <w:rFonts w:ascii="Calibri" w:hAnsi="Calibri" w:hint="eastAsia"/>
                <w:snapToGrid w:val="0"/>
                <w:color w:val="auto"/>
                <w:szCs w:val="21"/>
              </w:rPr>
              <w:t>25</w:t>
            </w:r>
          </w:p>
        </w:tc>
        <w:tc>
          <w:tcPr>
            <w:tcW w:w="1418" w:type="dxa"/>
            <w:vAlign w:val="center"/>
          </w:tcPr>
          <w:p w14:paraId="6BD09918" w14:textId="77777777" w:rsidR="00F56E4C" w:rsidRDefault="00981E65" w:rsidP="00ED4172">
            <w:pPr>
              <w:jc w:val="center"/>
              <w:rPr>
                <w:rFonts w:ascii="Calibri" w:hAnsi="Calibri"/>
                <w:snapToGrid w:val="0"/>
                <w:color w:val="auto"/>
                <w:szCs w:val="21"/>
              </w:rPr>
            </w:pPr>
            <w:r>
              <w:rPr>
                <w:rFonts w:ascii="Calibri" w:hAnsi="Calibri"/>
                <w:snapToGrid w:val="0"/>
                <w:color w:val="auto"/>
                <w:szCs w:val="21"/>
              </w:rPr>
              <w:t>0.05</w:t>
            </w:r>
            <w:r w:rsidR="00ED4172">
              <w:rPr>
                <w:rFonts w:ascii="Calibri" w:hAnsi="Calibri"/>
                <w:snapToGrid w:val="0"/>
                <w:color w:val="auto"/>
                <w:szCs w:val="21"/>
              </w:rPr>
              <w:t>7</w:t>
            </w:r>
          </w:p>
        </w:tc>
        <w:tc>
          <w:tcPr>
            <w:tcW w:w="1134" w:type="dxa"/>
            <w:vAlign w:val="center"/>
          </w:tcPr>
          <w:p w14:paraId="3C8E3005" w14:textId="77777777" w:rsidR="00F56E4C" w:rsidRDefault="00F56E4C" w:rsidP="00EA3050">
            <w:pPr>
              <w:autoSpaceDE w:val="0"/>
              <w:autoSpaceDN w:val="0"/>
              <w:adjustRightInd w:val="0"/>
              <w:jc w:val="center"/>
              <w:rPr>
                <w:rFonts w:ascii="Calibri" w:hAnsi="Calibri"/>
                <w:szCs w:val="21"/>
              </w:rPr>
            </w:pPr>
            <w:r>
              <w:rPr>
                <w:rFonts w:ascii="Calibri" w:hAnsi="Calibri"/>
                <w:szCs w:val="21"/>
              </w:rPr>
              <w:t>3</w:t>
            </w:r>
          </w:p>
        </w:tc>
        <w:tc>
          <w:tcPr>
            <w:tcW w:w="1368" w:type="dxa"/>
            <w:vAlign w:val="center"/>
          </w:tcPr>
          <w:p w14:paraId="35D504DC" w14:textId="77777777" w:rsidR="00F56E4C" w:rsidRPr="00A964FF" w:rsidRDefault="00F56E4C" w:rsidP="00EA3050">
            <w:pPr>
              <w:jc w:val="center"/>
              <w:rPr>
                <w:rFonts w:ascii="Calibri" w:hAnsi="Calibri"/>
                <w:snapToGrid w:val="0"/>
                <w:color w:val="auto"/>
                <w:szCs w:val="21"/>
              </w:rPr>
            </w:pPr>
            <w:r>
              <w:rPr>
                <w:rFonts w:ascii="Calibri" w:hAnsi="Calibri" w:hint="eastAsia"/>
                <w:snapToGrid w:val="0"/>
                <w:color w:val="auto"/>
                <w:szCs w:val="21"/>
              </w:rPr>
              <w:t>24.25</w:t>
            </w:r>
          </w:p>
        </w:tc>
        <w:tc>
          <w:tcPr>
            <w:tcW w:w="1369" w:type="dxa"/>
            <w:vAlign w:val="center"/>
          </w:tcPr>
          <w:p w14:paraId="48284BFB" w14:textId="77777777" w:rsidR="00F56E4C" w:rsidRPr="00A964FF" w:rsidRDefault="00981E65" w:rsidP="00EA3050">
            <w:pPr>
              <w:jc w:val="center"/>
              <w:rPr>
                <w:rFonts w:ascii="Calibri" w:hAnsi="Calibri"/>
                <w:snapToGrid w:val="0"/>
                <w:color w:val="auto"/>
                <w:szCs w:val="21"/>
              </w:rPr>
            </w:pPr>
            <w:r>
              <w:rPr>
                <w:rFonts w:ascii="Calibri" w:hAnsi="Calibri"/>
                <w:snapToGrid w:val="0"/>
                <w:color w:val="auto"/>
                <w:szCs w:val="21"/>
              </w:rPr>
              <w:t>0.056</w:t>
            </w:r>
          </w:p>
        </w:tc>
      </w:tr>
    </w:tbl>
    <w:p w14:paraId="55459EE7" w14:textId="40453398" w:rsidR="00FB766A" w:rsidRPr="00AF505F" w:rsidRDefault="000A0585" w:rsidP="00FB766A">
      <w:pPr>
        <w:pStyle w:val="ad"/>
        <w:ind w:firstLineChars="200" w:firstLine="562"/>
        <w:rPr>
          <w:rFonts w:ascii="Calibri" w:hAnsi="Calibri"/>
          <w:color w:val="auto"/>
        </w:rPr>
      </w:pPr>
      <w:r>
        <w:rPr>
          <w:rFonts w:ascii="Calibri" w:hAnsi="Calibri"/>
          <w:color w:val="auto"/>
        </w:rPr>
        <w:t>10</w:t>
      </w:r>
      <w:r w:rsidR="00FB766A" w:rsidRPr="00895982">
        <w:rPr>
          <w:rFonts w:ascii="Calibri" w:hAnsi="Calibri" w:hint="eastAsia"/>
          <w:color w:val="auto"/>
        </w:rPr>
        <w:t>、</w:t>
      </w:r>
      <w:r w:rsidR="00FB766A">
        <w:rPr>
          <w:rFonts w:ascii="Calibri" w:hAnsi="Calibri" w:hint="eastAsia"/>
          <w:color w:val="auto"/>
        </w:rPr>
        <w:t>厂区</w:t>
      </w:r>
      <w:r w:rsidR="00FB766A">
        <w:rPr>
          <w:rFonts w:ascii="Calibri" w:hAnsi="Calibri"/>
          <w:color w:val="auto"/>
        </w:rPr>
        <w:t>用排水情况汇总</w:t>
      </w:r>
    </w:p>
    <w:p w14:paraId="6AEDF13C" w14:textId="77777777" w:rsidR="00BA1B09" w:rsidRPr="00D740D3" w:rsidRDefault="00FB766A" w:rsidP="00D740D3">
      <w:pPr>
        <w:spacing w:line="500" w:lineRule="exact"/>
        <w:ind w:firstLineChars="200" w:firstLine="480"/>
        <w:rPr>
          <w:rFonts w:ascii="Calibri"/>
          <w:color w:val="auto"/>
          <w:sz w:val="24"/>
        </w:rPr>
      </w:pPr>
      <w:r w:rsidRPr="00A964FF">
        <w:rPr>
          <w:rFonts w:ascii="Calibri" w:hint="eastAsia"/>
          <w:color w:val="auto"/>
          <w:sz w:val="24"/>
        </w:rPr>
        <w:t>本项目营运后厂区各环节用排水情况统计见表</w:t>
      </w:r>
      <w:r w:rsidRPr="00A964FF">
        <w:rPr>
          <w:rFonts w:ascii="Calibri" w:hint="eastAsia"/>
          <w:color w:val="auto"/>
          <w:sz w:val="24"/>
        </w:rPr>
        <w:t>2.3-</w:t>
      </w:r>
      <w:r w:rsidR="008B1803">
        <w:rPr>
          <w:rFonts w:ascii="Calibri"/>
          <w:color w:val="auto"/>
          <w:sz w:val="24"/>
        </w:rPr>
        <w:t>19</w:t>
      </w:r>
      <w:r w:rsidRPr="00A964FF">
        <w:rPr>
          <w:rFonts w:ascii="Calibri" w:hint="eastAsia"/>
          <w:color w:val="auto"/>
          <w:sz w:val="24"/>
        </w:rPr>
        <w:t>。</w:t>
      </w:r>
    </w:p>
    <w:p w14:paraId="454C8B86" w14:textId="77777777" w:rsidR="00FB766A" w:rsidRPr="00A964FF" w:rsidRDefault="00FB766A" w:rsidP="00FB766A">
      <w:pPr>
        <w:spacing w:line="520" w:lineRule="exact"/>
        <w:ind w:firstLineChars="200" w:firstLine="480"/>
        <w:jc w:val="left"/>
        <w:rPr>
          <w:rFonts w:ascii="Calibri" w:hAnsi="Calibri"/>
          <w:color w:val="auto"/>
          <w:szCs w:val="21"/>
        </w:rPr>
      </w:pPr>
      <w:r w:rsidRPr="00A964FF">
        <w:rPr>
          <w:rFonts w:ascii="Calibri" w:eastAsia="黑体" w:hAnsi="Calibri"/>
          <w:color w:val="auto"/>
          <w:sz w:val="24"/>
        </w:rPr>
        <w:t>表</w:t>
      </w:r>
      <w:r w:rsidRPr="00A964FF">
        <w:rPr>
          <w:rFonts w:ascii="Calibri" w:eastAsia="黑体" w:hAnsi="Calibri" w:hint="eastAsia"/>
          <w:color w:val="auto"/>
          <w:sz w:val="24"/>
        </w:rPr>
        <w:t>2.3-</w:t>
      </w:r>
      <w:r w:rsidR="008B1803">
        <w:rPr>
          <w:rFonts w:ascii="Calibri" w:eastAsia="黑体" w:hAnsi="Calibri"/>
          <w:color w:val="auto"/>
          <w:sz w:val="24"/>
        </w:rPr>
        <w:t>19</w:t>
      </w:r>
      <w:r w:rsidRPr="00A964FF">
        <w:rPr>
          <w:rFonts w:ascii="黑体" w:eastAsia="黑体" w:hAnsi="Calibri" w:hint="eastAsia"/>
          <w:color w:val="auto"/>
          <w:sz w:val="24"/>
        </w:rPr>
        <w:t xml:space="preserve">      本项目营运后厂区各环节用排水情况统计</w:t>
      </w:r>
    </w:p>
    <w:tbl>
      <w:tblPr>
        <w:tblW w:w="8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1985"/>
        <w:gridCol w:w="1098"/>
        <w:gridCol w:w="1099"/>
        <w:gridCol w:w="1098"/>
        <w:gridCol w:w="1099"/>
        <w:gridCol w:w="2028"/>
      </w:tblGrid>
      <w:tr w:rsidR="008B1803" w14:paraId="34E0E309" w14:textId="77777777" w:rsidTr="008B1803">
        <w:trPr>
          <w:trHeight w:val="340"/>
        </w:trPr>
        <w:tc>
          <w:tcPr>
            <w:tcW w:w="552" w:type="dxa"/>
            <w:vMerge w:val="restart"/>
            <w:vAlign w:val="center"/>
          </w:tcPr>
          <w:p w14:paraId="24916FEB"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序号</w:t>
            </w:r>
          </w:p>
        </w:tc>
        <w:tc>
          <w:tcPr>
            <w:tcW w:w="1985" w:type="dxa"/>
            <w:vMerge w:val="restart"/>
            <w:vAlign w:val="center"/>
          </w:tcPr>
          <w:p w14:paraId="7A7F54D9"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用排水环节</w:t>
            </w:r>
          </w:p>
        </w:tc>
        <w:tc>
          <w:tcPr>
            <w:tcW w:w="2197" w:type="dxa"/>
            <w:gridSpan w:val="2"/>
            <w:vAlign w:val="center"/>
          </w:tcPr>
          <w:p w14:paraId="01E6F7CE"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用水量</w:t>
            </w:r>
          </w:p>
        </w:tc>
        <w:tc>
          <w:tcPr>
            <w:tcW w:w="2197" w:type="dxa"/>
            <w:gridSpan w:val="2"/>
            <w:vAlign w:val="center"/>
          </w:tcPr>
          <w:p w14:paraId="14BD4DC4"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废水量</w:t>
            </w:r>
          </w:p>
        </w:tc>
        <w:tc>
          <w:tcPr>
            <w:tcW w:w="2028" w:type="dxa"/>
            <w:vMerge w:val="restart"/>
            <w:vAlign w:val="center"/>
          </w:tcPr>
          <w:p w14:paraId="3D5D06F6"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备注</w:t>
            </w:r>
          </w:p>
        </w:tc>
      </w:tr>
      <w:tr w:rsidR="008B1803" w14:paraId="6CF6FF25" w14:textId="77777777" w:rsidTr="008B1803">
        <w:trPr>
          <w:trHeight w:val="340"/>
        </w:trPr>
        <w:tc>
          <w:tcPr>
            <w:tcW w:w="552" w:type="dxa"/>
            <w:vMerge/>
            <w:vAlign w:val="center"/>
          </w:tcPr>
          <w:p w14:paraId="327297AD" w14:textId="77777777" w:rsidR="008B1803" w:rsidRDefault="008B1803" w:rsidP="008B1803">
            <w:pPr>
              <w:jc w:val="center"/>
              <w:rPr>
                <w:rFonts w:ascii="Calibri" w:hAnsi="Calibri"/>
                <w:snapToGrid w:val="0"/>
                <w:color w:val="auto"/>
                <w:szCs w:val="21"/>
              </w:rPr>
            </w:pPr>
          </w:p>
        </w:tc>
        <w:tc>
          <w:tcPr>
            <w:tcW w:w="1985" w:type="dxa"/>
            <w:vMerge/>
            <w:vAlign w:val="center"/>
          </w:tcPr>
          <w:p w14:paraId="7131A5A8" w14:textId="77777777" w:rsidR="008B1803" w:rsidRDefault="008B1803" w:rsidP="008B1803">
            <w:pPr>
              <w:jc w:val="center"/>
              <w:rPr>
                <w:rFonts w:ascii="Calibri" w:hAnsi="Calibri"/>
                <w:snapToGrid w:val="0"/>
                <w:color w:val="auto"/>
                <w:szCs w:val="21"/>
              </w:rPr>
            </w:pPr>
          </w:p>
        </w:tc>
        <w:tc>
          <w:tcPr>
            <w:tcW w:w="1098" w:type="dxa"/>
            <w:tcBorders>
              <w:right w:val="single" w:sz="2" w:space="0" w:color="auto"/>
            </w:tcBorders>
            <w:vAlign w:val="center"/>
          </w:tcPr>
          <w:p w14:paraId="18AD07C2"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日用水量</w:t>
            </w:r>
          </w:p>
          <w:p w14:paraId="410F5C57"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r>
              <w:rPr>
                <w:rFonts w:ascii="Calibri" w:hAnsi="Calibri" w:hint="eastAsia"/>
                <w:snapToGrid w:val="0"/>
                <w:color w:val="auto"/>
                <w:szCs w:val="21"/>
              </w:rPr>
              <w:t>t/d</w:t>
            </w:r>
            <w:r>
              <w:rPr>
                <w:rFonts w:ascii="Calibri" w:hAnsi="Calibri" w:hint="eastAsia"/>
                <w:snapToGrid w:val="0"/>
                <w:color w:val="auto"/>
                <w:szCs w:val="21"/>
              </w:rPr>
              <w:t>）</w:t>
            </w:r>
          </w:p>
        </w:tc>
        <w:tc>
          <w:tcPr>
            <w:tcW w:w="1099" w:type="dxa"/>
            <w:tcBorders>
              <w:left w:val="single" w:sz="2" w:space="0" w:color="auto"/>
            </w:tcBorders>
            <w:vAlign w:val="center"/>
          </w:tcPr>
          <w:p w14:paraId="05565EA9"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年用量</w:t>
            </w:r>
          </w:p>
          <w:p w14:paraId="5D7A1FD5"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r>
              <w:rPr>
                <w:rFonts w:ascii="Calibri" w:hAnsi="Calibri"/>
                <w:snapToGrid w:val="0"/>
                <w:color w:val="auto"/>
                <w:szCs w:val="21"/>
              </w:rPr>
              <w:t>t/a</w:t>
            </w:r>
            <w:r>
              <w:rPr>
                <w:rFonts w:ascii="Calibri" w:hAnsi="Calibri" w:hint="eastAsia"/>
                <w:snapToGrid w:val="0"/>
                <w:color w:val="auto"/>
                <w:szCs w:val="21"/>
              </w:rPr>
              <w:t>）</w:t>
            </w:r>
          </w:p>
        </w:tc>
        <w:tc>
          <w:tcPr>
            <w:tcW w:w="1098" w:type="dxa"/>
            <w:tcBorders>
              <w:right w:val="single" w:sz="2" w:space="0" w:color="auto"/>
            </w:tcBorders>
            <w:vAlign w:val="center"/>
          </w:tcPr>
          <w:p w14:paraId="31240F30"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日排水量</w:t>
            </w:r>
          </w:p>
          <w:p w14:paraId="4F6771FD"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r>
              <w:rPr>
                <w:rFonts w:ascii="Calibri" w:hAnsi="Calibri" w:hint="eastAsia"/>
                <w:snapToGrid w:val="0"/>
                <w:color w:val="auto"/>
                <w:szCs w:val="21"/>
              </w:rPr>
              <w:t>t/d</w:t>
            </w:r>
            <w:r>
              <w:rPr>
                <w:rFonts w:ascii="Calibri" w:hAnsi="Calibri" w:hint="eastAsia"/>
                <w:snapToGrid w:val="0"/>
                <w:color w:val="auto"/>
                <w:szCs w:val="21"/>
              </w:rPr>
              <w:t>）</w:t>
            </w:r>
          </w:p>
        </w:tc>
        <w:tc>
          <w:tcPr>
            <w:tcW w:w="1099" w:type="dxa"/>
            <w:tcBorders>
              <w:left w:val="single" w:sz="2" w:space="0" w:color="auto"/>
            </w:tcBorders>
            <w:vAlign w:val="center"/>
          </w:tcPr>
          <w:p w14:paraId="4E8CD0AC"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年排水量</w:t>
            </w:r>
          </w:p>
          <w:p w14:paraId="0B2E478E"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r>
              <w:rPr>
                <w:rFonts w:ascii="Calibri" w:hAnsi="Calibri"/>
                <w:snapToGrid w:val="0"/>
                <w:color w:val="auto"/>
                <w:szCs w:val="21"/>
              </w:rPr>
              <w:t>t/a</w:t>
            </w:r>
            <w:r>
              <w:rPr>
                <w:rFonts w:ascii="Calibri" w:hAnsi="Calibri" w:hint="eastAsia"/>
                <w:snapToGrid w:val="0"/>
                <w:color w:val="auto"/>
                <w:szCs w:val="21"/>
              </w:rPr>
              <w:t>）</w:t>
            </w:r>
          </w:p>
        </w:tc>
        <w:tc>
          <w:tcPr>
            <w:tcW w:w="2028" w:type="dxa"/>
            <w:vMerge/>
            <w:vAlign w:val="center"/>
          </w:tcPr>
          <w:p w14:paraId="097BC9BD" w14:textId="77777777" w:rsidR="008B1803" w:rsidRDefault="008B1803" w:rsidP="008B1803">
            <w:pPr>
              <w:jc w:val="center"/>
              <w:rPr>
                <w:rFonts w:ascii="Calibri" w:hAnsi="Calibri"/>
                <w:snapToGrid w:val="0"/>
                <w:color w:val="auto"/>
                <w:szCs w:val="21"/>
              </w:rPr>
            </w:pPr>
          </w:p>
        </w:tc>
      </w:tr>
      <w:tr w:rsidR="008B1803" w14:paraId="39E06A95" w14:textId="77777777" w:rsidTr="008B1803">
        <w:trPr>
          <w:trHeight w:val="340"/>
        </w:trPr>
        <w:tc>
          <w:tcPr>
            <w:tcW w:w="552" w:type="dxa"/>
            <w:vAlign w:val="center"/>
          </w:tcPr>
          <w:p w14:paraId="5AA72414"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一</w:t>
            </w:r>
          </w:p>
        </w:tc>
        <w:tc>
          <w:tcPr>
            <w:tcW w:w="8407" w:type="dxa"/>
            <w:gridSpan w:val="6"/>
            <w:vAlign w:val="center"/>
          </w:tcPr>
          <w:p w14:paraId="591FF3FF"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一期工程</w:t>
            </w:r>
          </w:p>
        </w:tc>
      </w:tr>
      <w:tr w:rsidR="00A12753" w14:paraId="11E39E9A" w14:textId="77777777" w:rsidTr="008B1803">
        <w:trPr>
          <w:trHeight w:val="340"/>
        </w:trPr>
        <w:tc>
          <w:tcPr>
            <w:tcW w:w="552" w:type="dxa"/>
            <w:vAlign w:val="center"/>
          </w:tcPr>
          <w:p w14:paraId="7165B403" w14:textId="77777777" w:rsidR="00A12753" w:rsidRDefault="00A12753" w:rsidP="00A12753">
            <w:pPr>
              <w:jc w:val="center"/>
              <w:rPr>
                <w:rFonts w:ascii="Calibri" w:hAnsi="Calibri"/>
                <w:snapToGrid w:val="0"/>
                <w:color w:val="auto"/>
                <w:szCs w:val="21"/>
              </w:rPr>
            </w:pPr>
            <w:r>
              <w:rPr>
                <w:rFonts w:ascii="Calibri" w:hAnsi="Calibri"/>
                <w:snapToGrid w:val="0"/>
                <w:color w:val="auto"/>
                <w:szCs w:val="21"/>
              </w:rPr>
              <w:t>1</w:t>
            </w:r>
          </w:p>
        </w:tc>
        <w:tc>
          <w:tcPr>
            <w:tcW w:w="1985" w:type="dxa"/>
            <w:vAlign w:val="center"/>
          </w:tcPr>
          <w:p w14:paraId="65B7C7C8" w14:textId="77777777" w:rsidR="00A12753" w:rsidRDefault="00A12753" w:rsidP="00A12753">
            <w:pPr>
              <w:jc w:val="center"/>
              <w:rPr>
                <w:rFonts w:ascii="Calibri" w:hAnsi="Calibri"/>
                <w:snapToGrid w:val="0"/>
                <w:color w:val="auto"/>
                <w:szCs w:val="21"/>
              </w:rPr>
            </w:pPr>
            <w:r>
              <w:rPr>
                <w:rFonts w:ascii="Calibri" w:hAnsi="Calibri" w:hint="eastAsia"/>
                <w:snapToGrid w:val="0"/>
                <w:szCs w:val="21"/>
              </w:rPr>
              <w:t>配料及</w:t>
            </w:r>
            <w:r>
              <w:rPr>
                <w:rFonts w:ascii="Calibri" w:hAnsi="Calibri"/>
                <w:snapToGrid w:val="0"/>
                <w:szCs w:val="21"/>
              </w:rPr>
              <w:t>聚合</w:t>
            </w:r>
          </w:p>
        </w:tc>
        <w:tc>
          <w:tcPr>
            <w:tcW w:w="1098" w:type="dxa"/>
            <w:tcBorders>
              <w:right w:val="single" w:sz="2" w:space="0" w:color="auto"/>
            </w:tcBorders>
            <w:vAlign w:val="center"/>
          </w:tcPr>
          <w:p w14:paraId="567824B0" w14:textId="77777777" w:rsidR="00A12753" w:rsidRDefault="00A12753" w:rsidP="00A12753">
            <w:pPr>
              <w:jc w:val="center"/>
              <w:rPr>
                <w:rFonts w:ascii="Calibri" w:hAnsi="Calibri"/>
                <w:snapToGrid w:val="0"/>
                <w:color w:val="auto"/>
                <w:szCs w:val="21"/>
              </w:rPr>
            </w:pPr>
            <w:r>
              <w:rPr>
                <w:rFonts w:ascii="Calibri" w:hAnsi="Calibri"/>
                <w:snapToGrid w:val="0"/>
                <w:szCs w:val="21"/>
              </w:rPr>
              <w:t>0</w:t>
            </w:r>
          </w:p>
        </w:tc>
        <w:tc>
          <w:tcPr>
            <w:tcW w:w="1099" w:type="dxa"/>
            <w:tcBorders>
              <w:left w:val="single" w:sz="2" w:space="0" w:color="auto"/>
            </w:tcBorders>
            <w:vAlign w:val="center"/>
          </w:tcPr>
          <w:p w14:paraId="5A245664" w14:textId="77777777" w:rsidR="00A12753" w:rsidRDefault="00A12753" w:rsidP="00A12753">
            <w:pPr>
              <w:jc w:val="center"/>
              <w:rPr>
                <w:rFonts w:ascii="Calibri" w:hAnsi="Calibri"/>
                <w:snapToGrid w:val="0"/>
                <w:color w:val="auto"/>
                <w:szCs w:val="21"/>
              </w:rPr>
            </w:pPr>
            <w:r>
              <w:rPr>
                <w:rFonts w:ascii="Calibri" w:hAnsi="Calibri"/>
                <w:snapToGrid w:val="0"/>
                <w:szCs w:val="21"/>
              </w:rPr>
              <w:t>0</w:t>
            </w:r>
          </w:p>
        </w:tc>
        <w:tc>
          <w:tcPr>
            <w:tcW w:w="1098" w:type="dxa"/>
            <w:tcBorders>
              <w:right w:val="single" w:sz="2" w:space="0" w:color="auto"/>
            </w:tcBorders>
            <w:vAlign w:val="center"/>
          </w:tcPr>
          <w:p w14:paraId="3F132E18" w14:textId="20AA0FE6" w:rsidR="00A12753" w:rsidRDefault="00A12753" w:rsidP="00A12753">
            <w:pPr>
              <w:jc w:val="center"/>
              <w:rPr>
                <w:rFonts w:ascii="Calibri" w:hAnsi="Calibri"/>
                <w:color w:val="auto"/>
                <w:szCs w:val="21"/>
              </w:rPr>
            </w:pPr>
            <w:r>
              <w:rPr>
                <w:rFonts w:ascii="Calibri" w:hAnsi="Calibri"/>
                <w:szCs w:val="21"/>
              </w:rPr>
              <w:t>3.68</w:t>
            </w:r>
          </w:p>
        </w:tc>
        <w:tc>
          <w:tcPr>
            <w:tcW w:w="1099" w:type="dxa"/>
            <w:tcBorders>
              <w:left w:val="single" w:sz="2" w:space="0" w:color="auto"/>
            </w:tcBorders>
            <w:vAlign w:val="center"/>
          </w:tcPr>
          <w:p w14:paraId="5DDC1A8B" w14:textId="5EC10F5D" w:rsidR="00A12753" w:rsidRDefault="00A12753" w:rsidP="00A12753">
            <w:pPr>
              <w:jc w:val="center"/>
              <w:rPr>
                <w:rFonts w:ascii="Calibri" w:hAnsi="Calibri"/>
                <w:color w:val="auto"/>
                <w:szCs w:val="21"/>
              </w:rPr>
            </w:pPr>
            <w:r>
              <w:rPr>
                <w:rFonts w:ascii="Calibri"/>
                <w:color w:val="auto"/>
              </w:rPr>
              <w:t>1105.31</w:t>
            </w:r>
          </w:p>
        </w:tc>
        <w:tc>
          <w:tcPr>
            <w:tcW w:w="2028" w:type="dxa"/>
            <w:tcBorders>
              <w:left w:val="single" w:sz="2" w:space="0" w:color="auto"/>
            </w:tcBorders>
            <w:vAlign w:val="center"/>
          </w:tcPr>
          <w:p w14:paraId="5FF33FCE" w14:textId="51D3EDE6" w:rsidR="00A12753" w:rsidRDefault="00A12753" w:rsidP="00A12753">
            <w:pPr>
              <w:jc w:val="center"/>
              <w:rPr>
                <w:rFonts w:ascii="Calibri" w:hAnsi="Calibri"/>
                <w:color w:val="auto"/>
                <w:szCs w:val="21"/>
              </w:rPr>
            </w:pPr>
            <w:r>
              <w:rPr>
                <w:rFonts w:ascii="Calibri" w:hint="eastAsia"/>
              </w:rPr>
              <w:t>每年</w:t>
            </w:r>
            <w:r w:rsidRPr="00F4357F">
              <w:rPr>
                <w:rFonts w:ascii="Calibri"/>
                <w:color w:val="auto"/>
              </w:rPr>
              <w:t>1299.8</w:t>
            </w:r>
            <w:r>
              <w:rPr>
                <w:rFonts w:ascii="Calibri"/>
                <w:color w:val="auto"/>
              </w:rPr>
              <w:t>t</w:t>
            </w:r>
            <w:r>
              <w:rPr>
                <w:rFonts w:ascii="Calibri" w:hint="eastAsia"/>
                <w:color w:val="auto"/>
              </w:rPr>
              <w:t>冷凝液回用于生产</w:t>
            </w:r>
            <w:r>
              <w:rPr>
                <w:rFonts w:ascii="Calibri"/>
                <w:color w:val="auto"/>
              </w:rPr>
              <w:t>配料</w:t>
            </w:r>
          </w:p>
        </w:tc>
      </w:tr>
      <w:tr w:rsidR="00A12753" w14:paraId="086E46C0" w14:textId="77777777" w:rsidTr="008B1803">
        <w:trPr>
          <w:trHeight w:val="340"/>
        </w:trPr>
        <w:tc>
          <w:tcPr>
            <w:tcW w:w="552" w:type="dxa"/>
            <w:vAlign w:val="center"/>
          </w:tcPr>
          <w:p w14:paraId="64482879" w14:textId="77777777" w:rsidR="00A12753" w:rsidRDefault="00A12753" w:rsidP="00A12753">
            <w:pPr>
              <w:jc w:val="center"/>
              <w:rPr>
                <w:rFonts w:ascii="Calibri" w:hAnsi="Calibri"/>
                <w:snapToGrid w:val="0"/>
                <w:color w:val="auto"/>
                <w:szCs w:val="21"/>
              </w:rPr>
            </w:pPr>
            <w:r>
              <w:rPr>
                <w:rFonts w:ascii="Calibri" w:hAnsi="Calibri" w:hint="eastAsia"/>
                <w:snapToGrid w:val="0"/>
                <w:color w:val="auto"/>
                <w:szCs w:val="21"/>
              </w:rPr>
              <w:t>2</w:t>
            </w:r>
          </w:p>
        </w:tc>
        <w:tc>
          <w:tcPr>
            <w:tcW w:w="1985" w:type="dxa"/>
            <w:vAlign w:val="center"/>
          </w:tcPr>
          <w:p w14:paraId="3F45A271" w14:textId="77777777" w:rsidR="00A12753" w:rsidRDefault="00A12753" w:rsidP="00A12753">
            <w:pPr>
              <w:jc w:val="center"/>
              <w:rPr>
                <w:rFonts w:ascii="Calibri" w:hAnsi="Calibri"/>
                <w:snapToGrid w:val="0"/>
                <w:color w:val="auto"/>
                <w:szCs w:val="21"/>
              </w:rPr>
            </w:pPr>
            <w:r>
              <w:rPr>
                <w:rFonts w:ascii="Calibri" w:hAnsi="Calibri" w:hint="eastAsia"/>
              </w:rPr>
              <w:t>水喷淋塔</w:t>
            </w:r>
          </w:p>
        </w:tc>
        <w:tc>
          <w:tcPr>
            <w:tcW w:w="1098" w:type="dxa"/>
            <w:tcBorders>
              <w:right w:val="single" w:sz="2" w:space="0" w:color="auto"/>
            </w:tcBorders>
            <w:vAlign w:val="center"/>
          </w:tcPr>
          <w:p w14:paraId="6D75A5E2" w14:textId="77777777" w:rsidR="00A12753" w:rsidRDefault="00A12753" w:rsidP="00A12753">
            <w:pPr>
              <w:jc w:val="center"/>
              <w:rPr>
                <w:rFonts w:ascii="Calibri" w:hAnsi="Calibri"/>
                <w:snapToGrid w:val="0"/>
                <w:color w:val="0000FF"/>
                <w:szCs w:val="21"/>
              </w:rPr>
            </w:pPr>
            <w:r>
              <w:rPr>
                <w:rFonts w:ascii="Calibri" w:hAnsi="Calibri"/>
                <w:snapToGrid w:val="0"/>
                <w:color w:val="0000FF"/>
                <w:szCs w:val="21"/>
              </w:rPr>
              <w:t>1.01</w:t>
            </w:r>
          </w:p>
        </w:tc>
        <w:tc>
          <w:tcPr>
            <w:tcW w:w="1099" w:type="dxa"/>
            <w:tcBorders>
              <w:left w:val="single" w:sz="2" w:space="0" w:color="auto"/>
            </w:tcBorders>
            <w:vAlign w:val="center"/>
          </w:tcPr>
          <w:p w14:paraId="5569D153" w14:textId="77777777" w:rsidR="00A12753" w:rsidRDefault="00A12753" w:rsidP="00A12753">
            <w:pPr>
              <w:jc w:val="center"/>
              <w:rPr>
                <w:rFonts w:ascii="Calibri" w:hAnsi="Calibri"/>
                <w:snapToGrid w:val="0"/>
                <w:color w:val="0000FF"/>
                <w:szCs w:val="21"/>
              </w:rPr>
            </w:pPr>
            <w:r>
              <w:rPr>
                <w:rFonts w:ascii="Calibri" w:hAnsi="Calibri"/>
                <w:snapToGrid w:val="0"/>
                <w:color w:val="0000FF"/>
                <w:szCs w:val="21"/>
              </w:rPr>
              <w:t>303</w:t>
            </w:r>
          </w:p>
        </w:tc>
        <w:tc>
          <w:tcPr>
            <w:tcW w:w="1098" w:type="dxa"/>
            <w:tcBorders>
              <w:right w:val="single" w:sz="2" w:space="0" w:color="auto"/>
            </w:tcBorders>
            <w:vAlign w:val="center"/>
          </w:tcPr>
          <w:p w14:paraId="579051AA" w14:textId="2B632657" w:rsidR="00A12753" w:rsidRDefault="00A12753" w:rsidP="00A12753">
            <w:pPr>
              <w:jc w:val="center"/>
              <w:rPr>
                <w:rFonts w:ascii="Calibri"/>
                <w:color w:val="0000FF"/>
              </w:rPr>
            </w:pPr>
            <w:r>
              <w:rPr>
                <w:rFonts w:ascii="Calibri"/>
                <w:color w:val="auto"/>
              </w:rPr>
              <w:t>2.29</w:t>
            </w:r>
          </w:p>
        </w:tc>
        <w:tc>
          <w:tcPr>
            <w:tcW w:w="1099" w:type="dxa"/>
            <w:tcBorders>
              <w:left w:val="single" w:sz="2" w:space="0" w:color="auto"/>
            </w:tcBorders>
            <w:vAlign w:val="center"/>
          </w:tcPr>
          <w:p w14:paraId="5699D1E7" w14:textId="652A619B" w:rsidR="00A12753" w:rsidRDefault="00A12753" w:rsidP="00A12753">
            <w:pPr>
              <w:jc w:val="center"/>
              <w:rPr>
                <w:rFonts w:ascii="Calibri" w:hAnsi="Calibri"/>
                <w:snapToGrid w:val="0"/>
                <w:color w:val="0000FF"/>
                <w:szCs w:val="21"/>
              </w:rPr>
            </w:pPr>
            <w:r w:rsidRPr="00CC1564">
              <w:rPr>
                <w:rFonts w:ascii="Calibri" w:hAnsi="Calibri"/>
                <w:snapToGrid w:val="0"/>
                <w:color w:val="auto"/>
                <w:szCs w:val="21"/>
              </w:rPr>
              <w:t>686.764</w:t>
            </w:r>
          </w:p>
        </w:tc>
        <w:tc>
          <w:tcPr>
            <w:tcW w:w="2028" w:type="dxa"/>
            <w:tcBorders>
              <w:left w:val="single" w:sz="2" w:space="0" w:color="auto"/>
            </w:tcBorders>
            <w:vAlign w:val="center"/>
          </w:tcPr>
          <w:p w14:paraId="66168161" w14:textId="77777777" w:rsidR="00A12753" w:rsidRDefault="00A12753" w:rsidP="00A12753">
            <w:pPr>
              <w:jc w:val="center"/>
              <w:rPr>
                <w:rFonts w:ascii="Calibri" w:hAnsi="Calibri"/>
                <w:snapToGrid w:val="0"/>
                <w:color w:val="auto"/>
                <w:szCs w:val="21"/>
              </w:rPr>
            </w:pPr>
            <w:r>
              <w:rPr>
                <w:rFonts w:ascii="Calibri" w:hAnsi="Calibri"/>
                <w:snapToGrid w:val="0"/>
                <w:color w:val="auto"/>
                <w:szCs w:val="21"/>
              </w:rPr>
              <w:t>进入</w:t>
            </w:r>
            <w:r>
              <w:rPr>
                <w:rFonts w:ascii="Calibri" w:hAnsi="Calibri" w:hint="eastAsia"/>
                <w:snapToGrid w:val="0"/>
                <w:color w:val="auto"/>
                <w:szCs w:val="21"/>
              </w:rPr>
              <w:t>厂区</w:t>
            </w:r>
            <w:r>
              <w:rPr>
                <w:rFonts w:ascii="Calibri" w:hAnsi="Calibri"/>
                <w:snapToGrid w:val="0"/>
                <w:color w:val="auto"/>
                <w:szCs w:val="21"/>
              </w:rPr>
              <w:t>废水处理站</w:t>
            </w:r>
          </w:p>
        </w:tc>
      </w:tr>
      <w:tr w:rsidR="008B1803" w14:paraId="6CB794C0" w14:textId="77777777" w:rsidTr="008B1803">
        <w:trPr>
          <w:trHeight w:val="340"/>
        </w:trPr>
        <w:tc>
          <w:tcPr>
            <w:tcW w:w="552" w:type="dxa"/>
            <w:vAlign w:val="center"/>
          </w:tcPr>
          <w:p w14:paraId="099CE56E"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3</w:t>
            </w:r>
          </w:p>
        </w:tc>
        <w:tc>
          <w:tcPr>
            <w:tcW w:w="1985" w:type="dxa"/>
            <w:vAlign w:val="center"/>
          </w:tcPr>
          <w:p w14:paraId="631A70D8"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制粒冷却</w:t>
            </w:r>
          </w:p>
        </w:tc>
        <w:tc>
          <w:tcPr>
            <w:tcW w:w="1098" w:type="dxa"/>
            <w:tcBorders>
              <w:right w:val="single" w:sz="2" w:space="0" w:color="auto"/>
            </w:tcBorders>
            <w:vAlign w:val="center"/>
          </w:tcPr>
          <w:p w14:paraId="0867FE0A" w14:textId="77777777" w:rsidR="008B1803" w:rsidRPr="00A12753" w:rsidRDefault="008B1803" w:rsidP="008B1803">
            <w:pPr>
              <w:jc w:val="center"/>
              <w:rPr>
                <w:rFonts w:ascii="Calibri" w:hAnsi="Calibri"/>
                <w:snapToGrid w:val="0"/>
                <w:color w:val="FF0000"/>
                <w:szCs w:val="21"/>
              </w:rPr>
            </w:pPr>
            <w:r w:rsidRPr="00A12753">
              <w:rPr>
                <w:rFonts w:ascii="Calibri" w:hAnsi="Calibri"/>
                <w:snapToGrid w:val="0"/>
                <w:color w:val="FF0000"/>
                <w:szCs w:val="21"/>
              </w:rPr>
              <w:t>0.43</w:t>
            </w:r>
          </w:p>
        </w:tc>
        <w:tc>
          <w:tcPr>
            <w:tcW w:w="1099" w:type="dxa"/>
            <w:tcBorders>
              <w:left w:val="single" w:sz="2" w:space="0" w:color="auto"/>
            </w:tcBorders>
            <w:vAlign w:val="center"/>
          </w:tcPr>
          <w:p w14:paraId="18898ADF" w14:textId="77777777" w:rsidR="008B1803" w:rsidRDefault="008B1803" w:rsidP="008B1803">
            <w:pPr>
              <w:jc w:val="center"/>
              <w:rPr>
                <w:rFonts w:ascii="Calibri" w:hAnsi="Calibri"/>
                <w:snapToGrid w:val="0"/>
                <w:color w:val="0000FF"/>
                <w:szCs w:val="21"/>
              </w:rPr>
            </w:pPr>
            <w:r>
              <w:rPr>
                <w:rFonts w:ascii="Calibri" w:hAnsi="Calibri"/>
                <w:snapToGrid w:val="0"/>
                <w:color w:val="0000FF"/>
                <w:szCs w:val="21"/>
              </w:rPr>
              <w:t>129</w:t>
            </w:r>
          </w:p>
        </w:tc>
        <w:tc>
          <w:tcPr>
            <w:tcW w:w="1098" w:type="dxa"/>
            <w:tcBorders>
              <w:right w:val="single" w:sz="2" w:space="0" w:color="auto"/>
            </w:tcBorders>
            <w:vAlign w:val="center"/>
          </w:tcPr>
          <w:p w14:paraId="6FA13A31" w14:textId="77777777" w:rsidR="008B1803" w:rsidRDefault="008B1803" w:rsidP="008B1803">
            <w:pPr>
              <w:jc w:val="center"/>
              <w:rPr>
                <w:rFonts w:ascii="Calibri"/>
                <w:color w:val="auto"/>
              </w:rPr>
            </w:pPr>
            <w:r>
              <w:rPr>
                <w:rFonts w:ascii="Calibri"/>
              </w:rPr>
              <w:t>0.043</w:t>
            </w:r>
          </w:p>
        </w:tc>
        <w:tc>
          <w:tcPr>
            <w:tcW w:w="1099" w:type="dxa"/>
            <w:tcBorders>
              <w:left w:val="single" w:sz="2" w:space="0" w:color="auto"/>
            </w:tcBorders>
            <w:vAlign w:val="center"/>
          </w:tcPr>
          <w:p w14:paraId="174257F3" w14:textId="77777777" w:rsidR="008B1803" w:rsidRDefault="008B1803" w:rsidP="008B1803">
            <w:pPr>
              <w:jc w:val="center"/>
              <w:rPr>
                <w:rFonts w:ascii="Calibri" w:hAnsi="Calibri"/>
                <w:snapToGrid w:val="0"/>
                <w:color w:val="auto"/>
                <w:szCs w:val="21"/>
              </w:rPr>
            </w:pPr>
            <w:r>
              <w:rPr>
                <w:rFonts w:ascii="Calibri" w:hAnsi="Calibri"/>
                <w:snapToGrid w:val="0"/>
                <w:szCs w:val="21"/>
              </w:rPr>
              <w:t>13</w:t>
            </w:r>
          </w:p>
        </w:tc>
        <w:tc>
          <w:tcPr>
            <w:tcW w:w="2028" w:type="dxa"/>
            <w:tcBorders>
              <w:left w:val="single" w:sz="2" w:space="0" w:color="auto"/>
            </w:tcBorders>
            <w:vAlign w:val="center"/>
          </w:tcPr>
          <w:p w14:paraId="6734B95A"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进入</w:t>
            </w:r>
            <w:r>
              <w:rPr>
                <w:rFonts w:ascii="Calibri" w:hAnsi="Calibri" w:hint="eastAsia"/>
                <w:snapToGrid w:val="0"/>
                <w:color w:val="auto"/>
                <w:szCs w:val="21"/>
              </w:rPr>
              <w:t>厂区</w:t>
            </w:r>
            <w:r>
              <w:rPr>
                <w:rFonts w:ascii="Calibri" w:hAnsi="Calibri"/>
                <w:snapToGrid w:val="0"/>
                <w:color w:val="auto"/>
                <w:szCs w:val="21"/>
              </w:rPr>
              <w:t>废水处理站</w:t>
            </w:r>
          </w:p>
        </w:tc>
      </w:tr>
      <w:tr w:rsidR="008B1803" w14:paraId="748D46DE" w14:textId="77777777" w:rsidTr="008B1803">
        <w:trPr>
          <w:trHeight w:val="340"/>
        </w:trPr>
        <w:tc>
          <w:tcPr>
            <w:tcW w:w="552" w:type="dxa"/>
            <w:vAlign w:val="center"/>
          </w:tcPr>
          <w:p w14:paraId="59D26888"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lastRenderedPageBreak/>
              <w:t>4</w:t>
            </w:r>
          </w:p>
        </w:tc>
        <w:tc>
          <w:tcPr>
            <w:tcW w:w="1985" w:type="dxa"/>
            <w:vAlign w:val="center"/>
          </w:tcPr>
          <w:p w14:paraId="78012110"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真空泵及</w:t>
            </w:r>
            <w:r>
              <w:rPr>
                <w:rFonts w:ascii="Calibri" w:hAnsi="Calibri"/>
                <w:snapToGrid w:val="0"/>
                <w:szCs w:val="21"/>
              </w:rPr>
              <w:t>循环泵</w:t>
            </w:r>
          </w:p>
        </w:tc>
        <w:tc>
          <w:tcPr>
            <w:tcW w:w="1098" w:type="dxa"/>
            <w:tcBorders>
              <w:right w:val="single" w:sz="2" w:space="0" w:color="auto"/>
            </w:tcBorders>
            <w:vAlign w:val="center"/>
          </w:tcPr>
          <w:p w14:paraId="5E5E6616" w14:textId="77777777" w:rsidR="008B1803" w:rsidRPr="00A12753" w:rsidRDefault="008B1803" w:rsidP="008B1803">
            <w:pPr>
              <w:jc w:val="center"/>
              <w:rPr>
                <w:rFonts w:ascii="Calibri" w:hAnsi="Calibri"/>
                <w:snapToGrid w:val="0"/>
                <w:color w:val="FF0000"/>
                <w:szCs w:val="21"/>
              </w:rPr>
            </w:pPr>
            <w:r w:rsidRPr="00A12753">
              <w:rPr>
                <w:rFonts w:ascii="Calibri" w:hAnsi="Calibri"/>
                <w:snapToGrid w:val="0"/>
                <w:color w:val="FF0000"/>
                <w:szCs w:val="21"/>
              </w:rPr>
              <w:t>3.72</w:t>
            </w:r>
          </w:p>
        </w:tc>
        <w:tc>
          <w:tcPr>
            <w:tcW w:w="1099" w:type="dxa"/>
            <w:tcBorders>
              <w:left w:val="single" w:sz="2" w:space="0" w:color="auto"/>
            </w:tcBorders>
            <w:vAlign w:val="center"/>
          </w:tcPr>
          <w:p w14:paraId="667F3CD2" w14:textId="77777777" w:rsidR="008B1803" w:rsidRDefault="008B1803" w:rsidP="008B1803">
            <w:pPr>
              <w:jc w:val="center"/>
              <w:rPr>
                <w:rFonts w:ascii="Calibri" w:hAnsi="Calibri"/>
                <w:snapToGrid w:val="0"/>
                <w:color w:val="auto"/>
                <w:szCs w:val="21"/>
              </w:rPr>
            </w:pPr>
            <w:r>
              <w:rPr>
                <w:rFonts w:ascii="Calibri" w:hAnsi="Calibri"/>
                <w:snapToGrid w:val="0"/>
                <w:szCs w:val="21"/>
              </w:rPr>
              <w:t>1116</w:t>
            </w:r>
          </w:p>
        </w:tc>
        <w:tc>
          <w:tcPr>
            <w:tcW w:w="1098" w:type="dxa"/>
            <w:tcBorders>
              <w:right w:val="single" w:sz="2" w:space="0" w:color="auto"/>
            </w:tcBorders>
            <w:vAlign w:val="center"/>
          </w:tcPr>
          <w:p w14:paraId="3A4D3488" w14:textId="77777777" w:rsidR="008B1803" w:rsidRDefault="008B1803" w:rsidP="008B1803">
            <w:pPr>
              <w:jc w:val="center"/>
              <w:rPr>
                <w:rFonts w:ascii="Calibri" w:hAnsi="Calibri"/>
                <w:snapToGrid w:val="0"/>
                <w:color w:val="0000FF"/>
                <w:szCs w:val="21"/>
              </w:rPr>
            </w:pPr>
            <w:r>
              <w:rPr>
                <w:rFonts w:ascii="Calibri" w:hAnsi="Calibri"/>
                <w:snapToGrid w:val="0"/>
                <w:color w:val="0000FF"/>
                <w:szCs w:val="21"/>
              </w:rPr>
              <w:t>3.72</w:t>
            </w:r>
          </w:p>
        </w:tc>
        <w:tc>
          <w:tcPr>
            <w:tcW w:w="1099" w:type="dxa"/>
            <w:tcBorders>
              <w:left w:val="single" w:sz="2" w:space="0" w:color="auto"/>
            </w:tcBorders>
            <w:vAlign w:val="center"/>
          </w:tcPr>
          <w:p w14:paraId="3EE522FE" w14:textId="77777777" w:rsidR="008B1803" w:rsidRDefault="008B1803" w:rsidP="008B1803">
            <w:pPr>
              <w:jc w:val="center"/>
              <w:rPr>
                <w:rFonts w:ascii="Calibri" w:hAnsi="Calibri"/>
                <w:snapToGrid w:val="0"/>
                <w:color w:val="0000FF"/>
                <w:szCs w:val="21"/>
              </w:rPr>
            </w:pPr>
            <w:r>
              <w:rPr>
                <w:rFonts w:ascii="Calibri" w:hAnsi="Calibri"/>
                <w:snapToGrid w:val="0"/>
                <w:color w:val="0000FF"/>
                <w:szCs w:val="21"/>
              </w:rPr>
              <w:t>1116</w:t>
            </w:r>
          </w:p>
        </w:tc>
        <w:tc>
          <w:tcPr>
            <w:tcW w:w="2028" w:type="dxa"/>
            <w:tcBorders>
              <w:left w:val="single" w:sz="2" w:space="0" w:color="auto"/>
            </w:tcBorders>
            <w:vAlign w:val="center"/>
          </w:tcPr>
          <w:p w14:paraId="777C3F17"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进入</w:t>
            </w:r>
            <w:r>
              <w:rPr>
                <w:rFonts w:ascii="Calibri" w:hAnsi="Calibri" w:hint="eastAsia"/>
                <w:snapToGrid w:val="0"/>
                <w:color w:val="auto"/>
                <w:szCs w:val="21"/>
              </w:rPr>
              <w:t>厂区</w:t>
            </w:r>
            <w:r>
              <w:rPr>
                <w:rFonts w:ascii="Calibri" w:hAnsi="Calibri"/>
                <w:snapToGrid w:val="0"/>
                <w:color w:val="auto"/>
                <w:szCs w:val="21"/>
              </w:rPr>
              <w:t>废水处理站</w:t>
            </w:r>
          </w:p>
        </w:tc>
      </w:tr>
      <w:tr w:rsidR="008B1803" w14:paraId="723FFAF7" w14:textId="77777777" w:rsidTr="008B1803">
        <w:trPr>
          <w:trHeight w:val="340"/>
        </w:trPr>
        <w:tc>
          <w:tcPr>
            <w:tcW w:w="552" w:type="dxa"/>
            <w:vAlign w:val="center"/>
          </w:tcPr>
          <w:p w14:paraId="6AE4BA0B"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5</w:t>
            </w:r>
          </w:p>
        </w:tc>
        <w:tc>
          <w:tcPr>
            <w:tcW w:w="1985" w:type="dxa"/>
            <w:vAlign w:val="center"/>
          </w:tcPr>
          <w:p w14:paraId="63C21A86" w14:textId="77777777" w:rsidR="008B1803" w:rsidRDefault="008B1803" w:rsidP="008B1803">
            <w:pPr>
              <w:jc w:val="center"/>
              <w:rPr>
                <w:rFonts w:ascii="Calibri" w:hAnsi="Calibri"/>
                <w:snapToGrid w:val="0"/>
                <w:color w:val="auto"/>
                <w:szCs w:val="21"/>
              </w:rPr>
            </w:pPr>
            <w:r>
              <w:rPr>
                <w:rFonts w:ascii="Calibri" w:hAnsi="Calibri"/>
                <w:snapToGrid w:val="0"/>
                <w:szCs w:val="21"/>
              </w:rPr>
              <w:t>冷却塔</w:t>
            </w:r>
            <w:r>
              <w:rPr>
                <w:rFonts w:ascii="Calibri" w:hAnsi="Calibri" w:hint="eastAsia"/>
                <w:snapToGrid w:val="0"/>
                <w:szCs w:val="21"/>
              </w:rPr>
              <w:t>循环</w:t>
            </w:r>
            <w:r>
              <w:rPr>
                <w:rFonts w:ascii="Calibri" w:hAnsi="Calibri"/>
                <w:snapToGrid w:val="0"/>
                <w:szCs w:val="21"/>
              </w:rPr>
              <w:t>冷却</w:t>
            </w:r>
            <w:r>
              <w:rPr>
                <w:rFonts w:ascii="Calibri" w:hAnsi="Calibri" w:hint="eastAsia"/>
                <w:snapToGrid w:val="0"/>
                <w:szCs w:val="21"/>
              </w:rPr>
              <w:t>水站</w:t>
            </w:r>
          </w:p>
        </w:tc>
        <w:tc>
          <w:tcPr>
            <w:tcW w:w="1098" w:type="dxa"/>
            <w:tcBorders>
              <w:right w:val="single" w:sz="2" w:space="0" w:color="auto"/>
            </w:tcBorders>
            <w:vAlign w:val="center"/>
          </w:tcPr>
          <w:p w14:paraId="2880817D" w14:textId="77777777" w:rsidR="008B1803" w:rsidRPr="00A12753" w:rsidRDefault="008B1803" w:rsidP="008B1803">
            <w:pPr>
              <w:jc w:val="center"/>
              <w:rPr>
                <w:rFonts w:ascii="Calibri" w:hAnsi="Calibri"/>
                <w:snapToGrid w:val="0"/>
                <w:color w:val="FF0000"/>
                <w:szCs w:val="21"/>
              </w:rPr>
            </w:pPr>
            <w:r w:rsidRPr="00A12753">
              <w:rPr>
                <w:rFonts w:ascii="Calibri" w:hAnsi="Calibri"/>
                <w:snapToGrid w:val="0"/>
                <w:color w:val="FF0000"/>
                <w:szCs w:val="21"/>
              </w:rPr>
              <w:t>0.18</w:t>
            </w:r>
          </w:p>
        </w:tc>
        <w:tc>
          <w:tcPr>
            <w:tcW w:w="1099" w:type="dxa"/>
            <w:tcBorders>
              <w:left w:val="single" w:sz="2" w:space="0" w:color="auto"/>
            </w:tcBorders>
            <w:vAlign w:val="center"/>
          </w:tcPr>
          <w:p w14:paraId="64F46715" w14:textId="77777777" w:rsidR="008B1803" w:rsidRDefault="008B1803" w:rsidP="008B1803">
            <w:pPr>
              <w:jc w:val="center"/>
              <w:rPr>
                <w:rFonts w:ascii="Calibri" w:hAnsi="Calibri"/>
                <w:snapToGrid w:val="0"/>
                <w:color w:val="0000FF"/>
                <w:szCs w:val="21"/>
              </w:rPr>
            </w:pPr>
            <w:r>
              <w:rPr>
                <w:rFonts w:ascii="Calibri" w:hAnsi="Calibri"/>
                <w:snapToGrid w:val="0"/>
                <w:color w:val="0000FF"/>
                <w:szCs w:val="21"/>
              </w:rPr>
              <w:t>54</w:t>
            </w:r>
          </w:p>
        </w:tc>
        <w:tc>
          <w:tcPr>
            <w:tcW w:w="1098" w:type="dxa"/>
            <w:tcBorders>
              <w:right w:val="single" w:sz="2" w:space="0" w:color="auto"/>
            </w:tcBorders>
            <w:vAlign w:val="center"/>
          </w:tcPr>
          <w:p w14:paraId="0F238632" w14:textId="77777777" w:rsidR="008B1803" w:rsidRDefault="008B1803" w:rsidP="008B1803">
            <w:pPr>
              <w:jc w:val="center"/>
              <w:rPr>
                <w:rFonts w:ascii="Calibri"/>
                <w:color w:val="0000FF"/>
              </w:rPr>
            </w:pPr>
            <w:r>
              <w:rPr>
                <w:rFonts w:ascii="Calibri" w:hint="eastAsia"/>
                <w:color w:val="0000FF"/>
              </w:rPr>
              <w:t>0.018</w:t>
            </w:r>
          </w:p>
        </w:tc>
        <w:tc>
          <w:tcPr>
            <w:tcW w:w="1099" w:type="dxa"/>
            <w:tcBorders>
              <w:left w:val="single" w:sz="2" w:space="0" w:color="auto"/>
            </w:tcBorders>
            <w:vAlign w:val="center"/>
          </w:tcPr>
          <w:p w14:paraId="60DFDF6A" w14:textId="77777777" w:rsidR="008B1803" w:rsidRDefault="008B1803" w:rsidP="008B1803">
            <w:pPr>
              <w:jc w:val="center"/>
              <w:rPr>
                <w:rFonts w:ascii="Calibri" w:hAnsi="Calibri"/>
                <w:snapToGrid w:val="0"/>
                <w:color w:val="0000FF"/>
                <w:szCs w:val="21"/>
              </w:rPr>
            </w:pPr>
            <w:r>
              <w:rPr>
                <w:rFonts w:ascii="Calibri" w:hAnsi="Calibri" w:hint="eastAsia"/>
                <w:snapToGrid w:val="0"/>
                <w:color w:val="0000FF"/>
                <w:szCs w:val="21"/>
              </w:rPr>
              <w:t>5.4</w:t>
            </w:r>
          </w:p>
        </w:tc>
        <w:tc>
          <w:tcPr>
            <w:tcW w:w="2028" w:type="dxa"/>
            <w:vMerge w:val="restart"/>
            <w:tcBorders>
              <w:left w:val="single" w:sz="2" w:space="0" w:color="auto"/>
            </w:tcBorders>
            <w:vAlign w:val="center"/>
          </w:tcPr>
          <w:p w14:paraId="078AC8A4"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排入集聚区处理厂集中处理。</w:t>
            </w:r>
          </w:p>
        </w:tc>
      </w:tr>
      <w:tr w:rsidR="008B1803" w14:paraId="2499663D" w14:textId="77777777" w:rsidTr="008B1803">
        <w:trPr>
          <w:trHeight w:val="340"/>
        </w:trPr>
        <w:tc>
          <w:tcPr>
            <w:tcW w:w="552" w:type="dxa"/>
            <w:vAlign w:val="center"/>
          </w:tcPr>
          <w:p w14:paraId="1B8BC933"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6</w:t>
            </w:r>
          </w:p>
        </w:tc>
        <w:tc>
          <w:tcPr>
            <w:tcW w:w="1985" w:type="dxa"/>
            <w:vAlign w:val="center"/>
          </w:tcPr>
          <w:p w14:paraId="5CB2598E" w14:textId="77777777" w:rsidR="008B1803" w:rsidRDefault="008B1803" w:rsidP="008B1803">
            <w:pPr>
              <w:jc w:val="center"/>
              <w:rPr>
                <w:rFonts w:ascii="Calibri" w:hAnsi="Calibri"/>
                <w:snapToGrid w:val="0"/>
                <w:color w:val="auto"/>
                <w:szCs w:val="21"/>
              </w:rPr>
            </w:pPr>
            <w:r>
              <w:rPr>
                <w:rFonts w:ascii="Calibri" w:hAnsi="Calibri" w:hint="eastAsia"/>
                <w:color w:val="auto"/>
              </w:rPr>
              <w:t>纯水</w:t>
            </w:r>
            <w:r>
              <w:rPr>
                <w:rFonts w:ascii="Calibri" w:hAnsi="Calibri"/>
                <w:color w:val="auto"/>
              </w:rPr>
              <w:t>制备</w:t>
            </w:r>
          </w:p>
        </w:tc>
        <w:tc>
          <w:tcPr>
            <w:tcW w:w="1098" w:type="dxa"/>
            <w:tcBorders>
              <w:right w:val="single" w:sz="2" w:space="0" w:color="auto"/>
            </w:tcBorders>
            <w:vAlign w:val="center"/>
          </w:tcPr>
          <w:p w14:paraId="412286FC" w14:textId="77777777" w:rsidR="008B1803" w:rsidRDefault="008B1803" w:rsidP="008B1803">
            <w:pPr>
              <w:jc w:val="center"/>
              <w:rPr>
                <w:rFonts w:ascii="Calibri" w:hAnsi="Calibri"/>
                <w:snapToGrid w:val="0"/>
                <w:color w:val="0000FF"/>
                <w:szCs w:val="21"/>
              </w:rPr>
            </w:pPr>
            <w:r>
              <w:rPr>
                <w:rFonts w:ascii="Calibri" w:hAnsi="Calibri"/>
                <w:snapToGrid w:val="0"/>
                <w:color w:val="0000FF"/>
                <w:szCs w:val="21"/>
              </w:rPr>
              <w:t>7.61</w:t>
            </w:r>
          </w:p>
        </w:tc>
        <w:tc>
          <w:tcPr>
            <w:tcW w:w="1099" w:type="dxa"/>
            <w:tcBorders>
              <w:left w:val="single" w:sz="2" w:space="0" w:color="auto"/>
            </w:tcBorders>
            <w:vAlign w:val="center"/>
          </w:tcPr>
          <w:p w14:paraId="64A148B0" w14:textId="7542BB8A" w:rsidR="008B1803" w:rsidRDefault="00A12753" w:rsidP="008B1803">
            <w:pPr>
              <w:jc w:val="center"/>
              <w:rPr>
                <w:rFonts w:ascii="Calibri" w:hAnsi="Calibri"/>
                <w:snapToGrid w:val="0"/>
                <w:color w:val="0000FF"/>
                <w:szCs w:val="21"/>
              </w:rPr>
            </w:pPr>
            <w:r>
              <w:rPr>
                <w:rFonts w:ascii="Calibri"/>
                <w:color w:val="auto"/>
              </w:rPr>
              <w:t>2284.29</w:t>
            </w:r>
          </w:p>
        </w:tc>
        <w:tc>
          <w:tcPr>
            <w:tcW w:w="1098" w:type="dxa"/>
            <w:tcBorders>
              <w:right w:val="single" w:sz="2" w:space="0" w:color="auto"/>
            </w:tcBorders>
            <w:vAlign w:val="center"/>
          </w:tcPr>
          <w:p w14:paraId="1A6E6B4C" w14:textId="77777777" w:rsidR="008B1803" w:rsidRDefault="008B1803" w:rsidP="008B1803">
            <w:pPr>
              <w:jc w:val="center"/>
              <w:rPr>
                <w:rFonts w:ascii="Calibri" w:hAnsiTheme="minorHAnsi"/>
                <w:color w:val="0000FF"/>
                <w:szCs w:val="22"/>
              </w:rPr>
            </w:pPr>
            <w:r>
              <w:rPr>
                <w:rFonts w:ascii="Calibri" w:hAnsiTheme="minorHAnsi"/>
                <w:color w:val="0000FF"/>
                <w:szCs w:val="22"/>
              </w:rPr>
              <w:t>2.28</w:t>
            </w:r>
          </w:p>
        </w:tc>
        <w:tc>
          <w:tcPr>
            <w:tcW w:w="1099" w:type="dxa"/>
            <w:tcBorders>
              <w:left w:val="single" w:sz="2" w:space="0" w:color="auto"/>
            </w:tcBorders>
            <w:vAlign w:val="center"/>
          </w:tcPr>
          <w:p w14:paraId="1916F08B" w14:textId="2BAD4002" w:rsidR="008B1803" w:rsidRDefault="00A12753" w:rsidP="008B1803">
            <w:pPr>
              <w:jc w:val="center"/>
              <w:rPr>
                <w:rFonts w:ascii="Calibri" w:hAnsiTheme="minorHAnsi"/>
                <w:color w:val="0000FF"/>
                <w:szCs w:val="22"/>
              </w:rPr>
            </w:pPr>
            <w:r w:rsidRPr="00A12753">
              <w:rPr>
                <w:rFonts w:ascii="Calibri" w:hAnsi="Calibri"/>
                <w:snapToGrid w:val="0"/>
                <w:color w:val="0000FF"/>
                <w:szCs w:val="21"/>
              </w:rPr>
              <w:t>685.29</w:t>
            </w:r>
          </w:p>
        </w:tc>
        <w:tc>
          <w:tcPr>
            <w:tcW w:w="2028" w:type="dxa"/>
            <w:vMerge/>
            <w:tcBorders>
              <w:left w:val="single" w:sz="2" w:space="0" w:color="auto"/>
            </w:tcBorders>
            <w:vAlign w:val="center"/>
          </w:tcPr>
          <w:p w14:paraId="2016C53D" w14:textId="77777777" w:rsidR="008B1803" w:rsidRDefault="008B1803" w:rsidP="008B1803">
            <w:pPr>
              <w:jc w:val="center"/>
              <w:rPr>
                <w:rFonts w:ascii="Calibri" w:hAnsi="Calibri"/>
                <w:snapToGrid w:val="0"/>
                <w:color w:val="auto"/>
                <w:szCs w:val="21"/>
              </w:rPr>
            </w:pPr>
          </w:p>
        </w:tc>
      </w:tr>
      <w:tr w:rsidR="00A12753" w14:paraId="74DD6167" w14:textId="77777777" w:rsidTr="008B1803">
        <w:trPr>
          <w:trHeight w:val="340"/>
        </w:trPr>
        <w:tc>
          <w:tcPr>
            <w:tcW w:w="552" w:type="dxa"/>
            <w:vAlign w:val="center"/>
          </w:tcPr>
          <w:p w14:paraId="2BF40B07" w14:textId="77777777" w:rsidR="00A12753" w:rsidRDefault="00A12753" w:rsidP="00A12753">
            <w:pPr>
              <w:jc w:val="center"/>
              <w:rPr>
                <w:rFonts w:ascii="Calibri" w:hAnsi="Calibri"/>
                <w:snapToGrid w:val="0"/>
                <w:color w:val="auto"/>
                <w:szCs w:val="21"/>
              </w:rPr>
            </w:pPr>
            <w:r>
              <w:rPr>
                <w:rFonts w:ascii="Calibri" w:hAnsi="Calibri"/>
                <w:snapToGrid w:val="0"/>
                <w:color w:val="auto"/>
                <w:szCs w:val="21"/>
              </w:rPr>
              <w:t>7</w:t>
            </w:r>
          </w:p>
        </w:tc>
        <w:tc>
          <w:tcPr>
            <w:tcW w:w="1985" w:type="dxa"/>
            <w:vAlign w:val="center"/>
          </w:tcPr>
          <w:p w14:paraId="4C57CF5A" w14:textId="77777777" w:rsidR="00A12753" w:rsidRDefault="00A12753" w:rsidP="00A12753">
            <w:pPr>
              <w:jc w:val="center"/>
              <w:rPr>
                <w:rFonts w:ascii="Calibri" w:hAnsi="Calibri"/>
                <w:snapToGrid w:val="0"/>
                <w:color w:val="auto"/>
                <w:szCs w:val="21"/>
              </w:rPr>
            </w:pPr>
            <w:r>
              <w:rPr>
                <w:rFonts w:ascii="Calibri" w:hAnsi="Calibri" w:hint="eastAsia"/>
                <w:snapToGrid w:val="0"/>
                <w:color w:val="auto"/>
                <w:szCs w:val="21"/>
              </w:rPr>
              <w:t>地面</w:t>
            </w:r>
            <w:r>
              <w:rPr>
                <w:rFonts w:ascii="Calibri" w:hAnsi="Calibri"/>
                <w:snapToGrid w:val="0"/>
                <w:color w:val="auto"/>
                <w:szCs w:val="21"/>
              </w:rPr>
              <w:t>清洗</w:t>
            </w:r>
          </w:p>
        </w:tc>
        <w:tc>
          <w:tcPr>
            <w:tcW w:w="1098" w:type="dxa"/>
            <w:tcBorders>
              <w:right w:val="single" w:sz="2" w:space="0" w:color="auto"/>
            </w:tcBorders>
            <w:vAlign w:val="center"/>
          </w:tcPr>
          <w:p w14:paraId="5FBA984B" w14:textId="3F4E7069" w:rsidR="00A12753" w:rsidRDefault="00A12753" w:rsidP="00A12753">
            <w:pPr>
              <w:jc w:val="center"/>
              <w:rPr>
                <w:rFonts w:ascii="Calibri" w:hAnsi="Calibri"/>
                <w:snapToGrid w:val="0"/>
                <w:color w:val="auto"/>
                <w:szCs w:val="21"/>
              </w:rPr>
            </w:pPr>
            <w:r>
              <w:rPr>
                <w:rFonts w:ascii="Calibri"/>
                <w:color w:val="auto"/>
              </w:rPr>
              <w:t>26.36</w:t>
            </w:r>
          </w:p>
        </w:tc>
        <w:tc>
          <w:tcPr>
            <w:tcW w:w="1099" w:type="dxa"/>
            <w:tcBorders>
              <w:left w:val="single" w:sz="2" w:space="0" w:color="auto"/>
            </w:tcBorders>
            <w:vAlign w:val="center"/>
          </w:tcPr>
          <w:p w14:paraId="147164F8" w14:textId="7E4D74E2" w:rsidR="00A12753" w:rsidRDefault="00A12753" w:rsidP="00A12753">
            <w:pPr>
              <w:jc w:val="center"/>
              <w:rPr>
                <w:rFonts w:ascii="Calibri" w:hAnsi="Calibri"/>
                <w:snapToGrid w:val="0"/>
                <w:color w:val="auto"/>
                <w:szCs w:val="21"/>
              </w:rPr>
            </w:pPr>
            <w:r>
              <w:rPr>
                <w:rFonts w:ascii="Calibri"/>
                <w:color w:val="auto"/>
              </w:rPr>
              <w:t>7908</w:t>
            </w:r>
          </w:p>
        </w:tc>
        <w:tc>
          <w:tcPr>
            <w:tcW w:w="1098" w:type="dxa"/>
            <w:tcBorders>
              <w:right w:val="single" w:sz="2" w:space="0" w:color="auto"/>
            </w:tcBorders>
            <w:vAlign w:val="center"/>
          </w:tcPr>
          <w:p w14:paraId="5D3B2AE6" w14:textId="7137B2F6" w:rsidR="00A12753" w:rsidRDefault="00A12753" w:rsidP="00A12753">
            <w:pPr>
              <w:jc w:val="center"/>
              <w:rPr>
                <w:rFonts w:ascii="Calibri"/>
                <w:color w:val="auto"/>
              </w:rPr>
            </w:pPr>
            <w:r>
              <w:rPr>
                <w:rFonts w:ascii="Calibri"/>
                <w:color w:val="auto"/>
              </w:rPr>
              <w:t>23.73</w:t>
            </w:r>
          </w:p>
        </w:tc>
        <w:tc>
          <w:tcPr>
            <w:tcW w:w="1099" w:type="dxa"/>
            <w:tcBorders>
              <w:left w:val="single" w:sz="2" w:space="0" w:color="auto"/>
            </w:tcBorders>
            <w:vAlign w:val="center"/>
          </w:tcPr>
          <w:p w14:paraId="41E9AB39" w14:textId="33BCEE8E" w:rsidR="00A12753" w:rsidRDefault="00A12753" w:rsidP="00A12753">
            <w:pPr>
              <w:jc w:val="center"/>
              <w:rPr>
                <w:rFonts w:ascii="Calibri" w:hAnsi="Calibri"/>
                <w:snapToGrid w:val="0"/>
                <w:color w:val="auto"/>
                <w:szCs w:val="21"/>
              </w:rPr>
            </w:pPr>
            <w:r>
              <w:rPr>
                <w:rFonts w:ascii="Calibri"/>
                <w:color w:val="auto"/>
              </w:rPr>
              <w:t>7117.2</w:t>
            </w:r>
          </w:p>
        </w:tc>
        <w:tc>
          <w:tcPr>
            <w:tcW w:w="2028" w:type="dxa"/>
            <w:tcBorders>
              <w:left w:val="single" w:sz="2" w:space="0" w:color="auto"/>
            </w:tcBorders>
            <w:vAlign w:val="center"/>
          </w:tcPr>
          <w:p w14:paraId="3C5A723D" w14:textId="77777777" w:rsidR="00A12753" w:rsidRDefault="00A12753" w:rsidP="00A12753">
            <w:pPr>
              <w:jc w:val="center"/>
              <w:rPr>
                <w:rFonts w:ascii="Calibri" w:hAnsi="Calibri"/>
                <w:snapToGrid w:val="0"/>
                <w:color w:val="auto"/>
                <w:szCs w:val="21"/>
              </w:rPr>
            </w:pPr>
            <w:r>
              <w:rPr>
                <w:rFonts w:ascii="Calibri" w:hAnsi="Calibri"/>
                <w:snapToGrid w:val="0"/>
                <w:color w:val="auto"/>
                <w:szCs w:val="21"/>
              </w:rPr>
              <w:t>进入</w:t>
            </w:r>
            <w:r>
              <w:rPr>
                <w:rFonts w:ascii="Calibri" w:hAnsi="Calibri" w:hint="eastAsia"/>
                <w:snapToGrid w:val="0"/>
                <w:color w:val="auto"/>
                <w:szCs w:val="21"/>
              </w:rPr>
              <w:t>厂区</w:t>
            </w:r>
            <w:r>
              <w:rPr>
                <w:rFonts w:ascii="Calibri" w:hAnsi="Calibri"/>
                <w:snapToGrid w:val="0"/>
                <w:color w:val="auto"/>
                <w:szCs w:val="21"/>
              </w:rPr>
              <w:t>废水处理站</w:t>
            </w:r>
          </w:p>
        </w:tc>
      </w:tr>
      <w:tr w:rsidR="008B1803" w14:paraId="43A9F16E" w14:textId="77777777" w:rsidTr="008B1803">
        <w:trPr>
          <w:trHeight w:val="340"/>
        </w:trPr>
        <w:tc>
          <w:tcPr>
            <w:tcW w:w="552" w:type="dxa"/>
            <w:vAlign w:val="center"/>
          </w:tcPr>
          <w:p w14:paraId="6BEEA50D"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8</w:t>
            </w:r>
          </w:p>
        </w:tc>
        <w:tc>
          <w:tcPr>
            <w:tcW w:w="1985" w:type="dxa"/>
            <w:vAlign w:val="center"/>
          </w:tcPr>
          <w:p w14:paraId="3D3ECEA5" w14:textId="77777777" w:rsidR="008B1803" w:rsidRDefault="00852DCA" w:rsidP="008B1803">
            <w:pPr>
              <w:jc w:val="center"/>
              <w:rPr>
                <w:rFonts w:ascii="Calibri" w:hAnsi="Calibri"/>
                <w:snapToGrid w:val="0"/>
                <w:color w:val="auto"/>
                <w:szCs w:val="21"/>
              </w:rPr>
            </w:pPr>
            <w:r>
              <w:rPr>
                <w:rFonts w:ascii="Calibri" w:hAnsi="Calibri" w:hint="eastAsia"/>
                <w:snapToGrid w:val="0"/>
                <w:color w:val="auto"/>
                <w:szCs w:val="21"/>
              </w:rPr>
              <w:t>品控中心</w:t>
            </w:r>
            <w:r w:rsidR="008B1803">
              <w:rPr>
                <w:rFonts w:ascii="Calibri" w:hAnsi="Calibri"/>
                <w:snapToGrid w:val="0"/>
                <w:color w:val="auto"/>
                <w:szCs w:val="21"/>
              </w:rPr>
              <w:t>废水</w:t>
            </w:r>
          </w:p>
        </w:tc>
        <w:tc>
          <w:tcPr>
            <w:tcW w:w="1098" w:type="dxa"/>
            <w:tcBorders>
              <w:right w:val="single" w:sz="2" w:space="0" w:color="auto"/>
            </w:tcBorders>
            <w:vAlign w:val="center"/>
          </w:tcPr>
          <w:p w14:paraId="2D8A7193" w14:textId="77777777" w:rsidR="008B1803" w:rsidRDefault="008B1803" w:rsidP="008B1803">
            <w:pPr>
              <w:jc w:val="center"/>
              <w:rPr>
                <w:rFonts w:ascii="Calibri" w:hAnsi="Calibri"/>
                <w:snapToGrid w:val="0"/>
                <w:szCs w:val="21"/>
              </w:rPr>
            </w:pPr>
            <w:r>
              <w:rPr>
                <w:rFonts w:ascii="Calibri" w:hAnsi="Calibri" w:hint="eastAsia"/>
                <w:snapToGrid w:val="0"/>
                <w:szCs w:val="21"/>
              </w:rPr>
              <w:t>1</w:t>
            </w:r>
          </w:p>
        </w:tc>
        <w:tc>
          <w:tcPr>
            <w:tcW w:w="1099" w:type="dxa"/>
            <w:tcBorders>
              <w:left w:val="single" w:sz="2" w:space="0" w:color="auto"/>
            </w:tcBorders>
            <w:vAlign w:val="center"/>
          </w:tcPr>
          <w:p w14:paraId="3333E1E1" w14:textId="77777777" w:rsidR="008B1803" w:rsidRDefault="008B1803" w:rsidP="008B1803">
            <w:pPr>
              <w:jc w:val="center"/>
              <w:rPr>
                <w:rFonts w:ascii="Calibri" w:hAnsi="Calibri"/>
                <w:snapToGrid w:val="0"/>
                <w:szCs w:val="21"/>
              </w:rPr>
            </w:pPr>
            <w:r>
              <w:rPr>
                <w:rFonts w:ascii="Calibri" w:hAnsi="Calibri" w:hint="eastAsia"/>
                <w:snapToGrid w:val="0"/>
                <w:szCs w:val="21"/>
              </w:rPr>
              <w:t>300</w:t>
            </w:r>
          </w:p>
        </w:tc>
        <w:tc>
          <w:tcPr>
            <w:tcW w:w="1098" w:type="dxa"/>
            <w:tcBorders>
              <w:right w:val="single" w:sz="2" w:space="0" w:color="auto"/>
            </w:tcBorders>
            <w:vAlign w:val="center"/>
          </w:tcPr>
          <w:p w14:paraId="686D4788" w14:textId="77777777" w:rsidR="008B1803" w:rsidRDefault="008B1803" w:rsidP="008B1803">
            <w:pPr>
              <w:jc w:val="center"/>
              <w:rPr>
                <w:rFonts w:ascii="Calibri"/>
              </w:rPr>
            </w:pPr>
            <w:r>
              <w:rPr>
                <w:rFonts w:ascii="Calibri" w:hint="eastAsia"/>
              </w:rPr>
              <w:t>0.9</w:t>
            </w:r>
          </w:p>
        </w:tc>
        <w:tc>
          <w:tcPr>
            <w:tcW w:w="1099" w:type="dxa"/>
            <w:tcBorders>
              <w:left w:val="single" w:sz="2" w:space="0" w:color="auto"/>
            </w:tcBorders>
            <w:vAlign w:val="center"/>
          </w:tcPr>
          <w:p w14:paraId="435E2198" w14:textId="77777777" w:rsidR="008B1803" w:rsidRDefault="008B1803" w:rsidP="008B1803">
            <w:pPr>
              <w:jc w:val="center"/>
              <w:rPr>
                <w:rFonts w:ascii="Calibri" w:hAnsi="Calibri"/>
                <w:snapToGrid w:val="0"/>
                <w:szCs w:val="21"/>
              </w:rPr>
            </w:pPr>
            <w:r>
              <w:rPr>
                <w:rFonts w:ascii="Calibri" w:hAnsi="Calibri" w:hint="eastAsia"/>
                <w:snapToGrid w:val="0"/>
                <w:szCs w:val="21"/>
              </w:rPr>
              <w:t>270</w:t>
            </w:r>
          </w:p>
        </w:tc>
        <w:tc>
          <w:tcPr>
            <w:tcW w:w="2028" w:type="dxa"/>
            <w:tcBorders>
              <w:left w:val="single" w:sz="2" w:space="0" w:color="auto"/>
            </w:tcBorders>
            <w:vAlign w:val="center"/>
          </w:tcPr>
          <w:p w14:paraId="0D3BA15C"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进入</w:t>
            </w:r>
            <w:r>
              <w:rPr>
                <w:rFonts w:ascii="Calibri" w:hAnsi="Calibri" w:hint="eastAsia"/>
                <w:snapToGrid w:val="0"/>
                <w:color w:val="auto"/>
                <w:szCs w:val="21"/>
              </w:rPr>
              <w:t>厂区</w:t>
            </w:r>
            <w:r>
              <w:rPr>
                <w:rFonts w:ascii="Calibri" w:hAnsi="Calibri"/>
                <w:snapToGrid w:val="0"/>
                <w:color w:val="auto"/>
                <w:szCs w:val="21"/>
              </w:rPr>
              <w:t>废水处理站</w:t>
            </w:r>
          </w:p>
        </w:tc>
      </w:tr>
      <w:tr w:rsidR="008B1803" w14:paraId="60BF8EEB" w14:textId="77777777" w:rsidTr="008B1803">
        <w:trPr>
          <w:trHeight w:val="340"/>
        </w:trPr>
        <w:tc>
          <w:tcPr>
            <w:tcW w:w="552" w:type="dxa"/>
            <w:vAlign w:val="center"/>
          </w:tcPr>
          <w:p w14:paraId="699FECD7"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9</w:t>
            </w:r>
          </w:p>
        </w:tc>
        <w:tc>
          <w:tcPr>
            <w:tcW w:w="1985" w:type="dxa"/>
            <w:vAlign w:val="center"/>
          </w:tcPr>
          <w:p w14:paraId="374DD2D1"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职工</w:t>
            </w:r>
            <w:r>
              <w:rPr>
                <w:rFonts w:ascii="Calibri" w:hAnsi="Calibri"/>
                <w:snapToGrid w:val="0"/>
                <w:color w:val="auto"/>
                <w:szCs w:val="21"/>
              </w:rPr>
              <w:t>生活</w:t>
            </w:r>
          </w:p>
        </w:tc>
        <w:tc>
          <w:tcPr>
            <w:tcW w:w="1098" w:type="dxa"/>
            <w:tcBorders>
              <w:right w:val="single" w:sz="2" w:space="0" w:color="auto"/>
            </w:tcBorders>
            <w:vAlign w:val="center"/>
          </w:tcPr>
          <w:p w14:paraId="3F9D662E" w14:textId="77777777" w:rsidR="008B1803" w:rsidRDefault="008B1803" w:rsidP="008B1803">
            <w:pPr>
              <w:jc w:val="center"/>
              <w:rPr>
                <w:rFonts w:ascii="Calibri" w:hAnsi="Calibri"/>
                <w:snapToGrid w:val="0"/>
                <w:color w:val="auto"/>
                <w:szCs w:val="21"/>
              </w:rPr>
            </w:pPr>
            <w:r>
              <w:rPr>
                <w:rFonts w:ascii="Calibri" w:hAnsi="Calibri"/>
                <w:snapToGrid w:val="0"/>
                <w:szCs w:val="21"/>
              </w:rPr>
              <w:t>7.2</w:t>
            </w:r>
          </w:p>
        </w:tc>
        <w:tc>
          <w:tcPr>
            <w:tcW w:w="1099" w:type="dxa"/>
            <w:tcBorders>
              <w:left w:val="single" w:sz="2" w:space="0" w:color="auto"/>
            </w:tcBorders>
            <w:vAlign w:val="center"/>
          </w:tcPr>
          <w:p w14:paraId="1465CCC7" w14:textId="77777777" w:rsidR="008B1803" w:rsidRDefault="008B1803" w:rsidP="008B1803">
            <w:pPr>
              <w:jc w:val="center"/>
              <w:rPr>
                <w:rFonts w:ascii="Calibri" w:hAnsi="Calibri"/>
                <w:snapToGrid w:val="0"/>
                <w:color w:val="auto"/>
                <w:szCs w:val="21"/>
              </w:rPr>
            </w:pPr>
            <w:r>
              <w:rPr>
                <w:rFonts w:ascii="Calibri" w:hAnsi="Calibri"/>
                <w:snapToGrid w:val="0"/>
                <w:szCs w:val="21"/>
              </w:rPr>
              <w:t>2160</w:t>
            </w:r>
          </w:p>
        </w:tc>
        <w:tc>
          <w:tcPr>
            <w:tcW w:w="1098" w:type="dxa"/>
            <w:tcBorders>
              <w:right w:val="single" w:sz="2" w:space="0" w:color="auto"/>
            </w:tcBorders>
            <w:vAlign w:val="center"/>
          </w:tcPr>
          <w:p w14:paraId="206DAE82" w14:textId="77777777" w:rsidR="008B1803" w:rsidRDefault="008B1803" w:rsidP="008B1803">
            <w:pPr>
              <w:jc w:val="center"/>
              <w:rPr>
                <w:rFonts w:ascii="Calibri"/>
                <w:color w:val="auto"/>
              </w:rPr>
            </w:pPr>
            <w:r>
              <w:rPr>
                <w:rFonts w:ascii="Calibri"/>
              </w:rPr>
              <w:t>5.76</w:t>
            </w:r>
          </w:p>
        </w:tc>
        <w:tc>
          <w:tcPr>
            <w:tcW w:w="1099" w:type="dxa"/>
            <w:tcBorders>
              <w:left w:val="single" w:sz="2" w:space="0" w:color="auto"/>
            </w:tcBorders>
            <w:vAlign w:val="center"/>
          </w:tcPr>
          <w:p w14:paraId="2ACC7E41" w14:textId="77777777" w:rsidR="008B1803" w:rsidRDefault="008B1803" w:rsidP="008B1803">
            <w:pPr>
              <w:jc w:val="center"/>
              <w:rPr>
                <w:rFonts w:ascii="Calibri" w:hAnsi="Calibri"/>
                <w:snapToGrid w:val="0"/>
                <w:color w:val="auto"/>
                <w:szCs w:val="21"/>
              </w:rPr>
            </w:pPr>
            <w:r>
              <w:rPr>
                <w:rFonts w:ascii="Calibri" w:hAnsi="Calibri"/>
                <w:snapToGrid w:val="0"/>
                <w:szCs w:val="21"/>
              </w:rPr>
              <w:t>1728</w:t>
            </w:r>
          </w:p>
        </w:tc>
        <w:tc>
          <w:tcPr>
            <w:tcW w:w="2028" w:type="dxa"/>
            <w:tcBorders>
              <w:left w:val="single" w:sz="2" w:space="0" w:color="auto"/>
            </w:tcBorders>
            <w:vAlign w:val="center"/>
          </w:tcPr>
          <w:p w14:paraId="021452F7"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化粪池</w:t>
            </w:r>
            <w:r>
              <w:rPr>
                <w:rFonts w:ascii="Calibri" w:hAnsi="Calibri"/>
                <w:snapToGrid w:val="0"/>
                <w:color w:val="auto"/>
                <w:szCs w:val="21"/>
              </w:rPr>
              <w:t>处理</w:t>
            </w:r>
          </w:p>
        </w:tc>
      </w:tr>
      <w:tr w:rsidR="00A12753" w14:paraId="7B749B5C" w14:textId="77777777" w:rsidTr="008B1803">
        <w:trPr>
          <w:trHeight w:val="340"/>
        </w:trPr>
        <w:tc>
          <w:tcPr>
            <w:tcW w:w="2537" w:type="dxa"/>
            <w:gridSpan w:val="2"/>
            <w:vAlign w:val="center"/>
          </w:tcPr>
          <w:p w14:paraId="2FDAA843" w14:textId="77777777" w:rsidR="00A12753" w:rsidRDefault="00A12753" w:rsidP="00A12753">
            <w:pPr>
              <w:jc w:val="center"/>
              <w:rPr>
                <w:rFonts w:ascii="Calibri" w:hAnsi="Calibri"/>
                <w:snapToGrid w:val="0"/>
                <w:color w:val="auto"/>
                <w:szCs w:val="21"/>
              </w:rPr>
            </w:pPr>
            <w:r>
              <w:rPr>
                <w:rFonts w:ascii="Calibri" w:hAnsi="Calibri" w:hint="eastAsia"/>
                <w:snapToGrid w:val="0"/>
                <w:color w:val="auto"/>
                <w:szCs w:val="21"/>
              </w:rPr>
              <w:t>小计</w:t>
            </w:r>
          </w:p>
        </w:tc>
        <w:tc>
          <w:tcPr>
            <w:tcW w:w="1098" w:type="dxa"/>
            <w:tcBorders>
              <w:right w:val="single" w:sz="2" w:space="0" w:color="auto"/>
            </w:tcBorders>
            <w:vAlign w:val="center"/>
          </w:tcPr>
          <w:p w14:paraId="7275E97B" w14:textId="73810A4B" w:rsidR="00A12753" w:rsidRDefault="00A12753" w:rsidP="00A12753">
            <w:pPr>
              <w:jc w:val="center"/>
              <w:rPr>
                <w:rFonts w:ascii="Calibri" w:hAnsi="Calibri"/>
                <w:snapToGrid w:val="0"/>
                <w:color w:val="auto"/>
                <w:szCs w:val="21"/>
              </w:rPr>
            </w:pPr>
            <w:r>
              <w:rPr>
                <w:rFonts w:ascii="Calibri" w:hAnsi="Calibri"/>
                <w:snapToGrid w:val="0"/>
                <w:szCs w:val="21"/>
              </w:rPr>
              <w:t>42.18</w:t>
            </w:r>
          </w:p>
        </w:tc>
        <w:tc>
          <w:tcPr>
            <w:tcW w:w="1099" w:type="dxa"/>
            <w:tcBorders>
              <w:left w:val="single" w:sz="2" w:space="0" w:color="auto"/>
            </w:tcBorders>
            <w:vAlign w:val="center"/>
          </w:tcPr>
          <w:p w14:paraId="308AF70A" w14:textId="2122DFBC" w:rsidR="00A12753" w:rsidRDefault="00A12753" w:rsidP="00A12753">
            <w:pPr>
              <w:jc w:val="center"/>
              <w:rPr>
                <w:rFonts w:asciiTheme="minorHAnsi" w:hAnsiTheme="minorHAnsi"/>
                <w:szCs w:val="22"/>
              </w:rPr>
            </w:pPr>
            <w:r w:rsidRPr="00A12753">
              <w:rPr>
                <w:rFonts w:ascii="Calibri" w:hAnsi="Calibri"/>
                <w:snapToGrid w:val="0"/>
                <w:szCs w:val="21"/>
              </w:rPr>
              <w:t>12655.29</w:t>
            </w:r>
          </w:p>
        </w:tc>
        <w:tc>
          <w:tcPr>
            <w:tcW w:w="1098" w:type="dxa"/>
            <w:tcBorders>
              <w:right w:val="single" w:sz="2" w:space="0" w:color="auto"/>
            </w:tcBorders>
            <w:vAlign w:val="center"/>
          </w:tcPr>
          <w:p w14:paraId="5E340F13" w14:textId="437566B5" w:rsidR="00A12753" w:rsidRDefault="00A12753" w:rsidP="00A12753">
            <w:pPr>
              <w:jc w:val="center"/>
              <w:rPr>
                <w:rFonts w:ascii="Calibri"/>
                <w:color w:val="auto"/>
              </w:rPr>
            </w:pPr>
            <w:r>
              <w:rPr>
                <w:rFonts w:ascii="Calibri"/>
              </w:rPr>
              <w:t>42.421</w:t>
            </w:r>
          </w:p>
        </w:tc>
        <w:tc>
          <w:tcPr>
            <w:tcW w:w="1099" w:type="dxa"/>
            <w:tcBorders>
              <w:left w:val="single" w:sz="2" w:space="0" w:color="auto"/>
            </w:tcBorders>
            <w:vAlign w:val="center"/>
          </w:tcPr>
          <w:p w14:paraId="0E3340F2" w14:textId="24736B65" w:rsidR="00A12753" w:rsidRDefault="00A12753" w:rsidP="00A12753">
            <w:pPr>
              <w:jc w:val="center"/>
              <w:rPr>
                <w:rFonts w:ascii="Calibri" w:hAnsi="Calibri"/>
                <w:snapToGrid w:val="0"/>
                <w:color w:val="auto"/>
                <w:szCs w:val="21"/>
              </w:rPr>
            </w:pPr>
            <w:r w:rsidRPr="00B674DC">
              <w:rPr>
                <w:rFonts w:ascii="Calibri" w:hAnsi="Calibri"/>
                <w:snapToGrid w:val="0"/>
                <w:szCs w:val="21"/>
              </w:rPr>
              <w:t>12726.96</w:t>
            </w:r>
          </w:p>
        </w:tc>
        <w:tc>
          <w:tcPr>
            <w:tcW w:w="2028" w:type="dxa"/>
            <w:tcBorders>
              <w:left w:val="single" w:sz="2" w:space="0" w:color="auto"/>
            </w:tcBorders>
            <w:vAlign w:val="center"/>
          </w:tcPr>
          <w:p w14:paraId="5F4F2CC0" w14:textId="77777777" w:rsidR="00A12753" w:rsidRDefault="00A12753" w:rsidP="00A12753">
            <w:pPr>
              <w:jc w:val="center"/>
              <w:rPr>
                <w:rFonts w:ascii="Calibri" w:hAnsi="Calibri"/>
                <w:snapToGrid w:val="0"/>
                <w:color w:val="auto"/>
                <w:szCs w:val="21"/>
              </w:rPr>
            </w:pPr>
            <w:r>
              <w:rPr>
                <w:rFonts w:ascii="Calibri" w:hAnsi="Calibri" w:hint="eastAsia"/>
                <w:snapToGrid w:val="0"/>
                <w:szCs w:val="21"/>
              </w:rPr>
              <w:t>制粒冷却</w:t>
            </w:r>
            <w:r>
              <w:rPr>
                <w:rFonts w:ascii="Calibri" w:hAnsi="Calibri"/>
                <w:snapToGrid w:val="0"/>
                <w:szCs w:val="21"/>
              </w:rPr>
              <w:t>、泵</w:t>
            </w:r>
            <w:r>
              <w:rPr>
                <w:rFonts w:ascii="Calibri" w:hAnsi="Calibri" w:hint="eastAsia"/>
                <w:snapToGrid w:val="0"/>
                <w:szCs w:val="21"/>
              </w:rPr>
              <w:t>及冷却塔</w:t>
            </w:r>
            <w:r>
              <w:rPr>
                <w:rFonts w:ascii="Calibri" w:hAnsi="Calibri"/>
                <w:snapToGrid w:val="0"/>
                <w:szCs w:val="21"/>
              </w:rPr>
              <w:t>循环</w:t>
            </w:r>
            <w:r>
              <w:rPr>
                <w:rFonts w:ascii="Calibri" w:hAnsi="Calibri" w:hint="eastAsia"/>
                <w:snapToGrid w:val="0"/>
                <w:szCs w:val="21"/>
              </w:rPr>
              <w:t>均使用</w:t>
            </w:r>
            <w:r>
              <w:rPr>
                <w:rFonts w:ascii="Calibri" w:hAnsi="Calibri"/>
                <w:snapToGrid w:val="0"/>
                <w:szCs w:val="21"/>
              </w:rPr>
              <w:t>纯水</w:t>
            </w:r>
          </w:p>
        </w:tc>
      </w:tr>
      <w:tr w:rsidR="008B1803" w14:paraId="20952CD0" w14:textId="77777777" w:rsidTr="008B1803">
        <w:trPr>
          <w:trHeight w:val="340"/>
        </w:trPr>
        <w:tc>
          <w:tcPr>
            <w:tcW w:w="552" w:type="dxa"/>
            <w:vAlign w:val="center"/>
          </w:tcPr>
          <w:p w14:paraId="437921EA"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二</w:t>
            </w:r>
          </w:p>
        </w:tc>
        <w:tc>
          <w:tcPr>
            <w:tcW w:w="8407" w:type="dxa"/>
            <w:gridSpan w:val="6"/>
            <w:vAlign w:val="center"/>
          </w:tcPr>
          <w:p w14:paraId="1916F3D7"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二期工程</w:t>
            </w:r>
          </w:p>
        </w:tc>
      </w:tr>
      <w:tr w:rsidR="00A12753" w14:paraId="1B692DB3" w14:textId="77777777" w:rsidTr="008B1803">
        <w:trPr>
          <w:trHeight w:val="340"/>
        </w:trPr>
        <w:tc>
          <w:tcPr>
            <w:tcW w:w="552" w:type="dxa"/>
            <w:vAlign w:val="center"/>
          </w:tcPr>
          <w:p w14:paraId="15E4F9C3" w14:textId="77777777" w:rsidR="00A12753" w:rsidRDefault="00A12753" w:rsidP="00A12753">
            <w:pPr>
              <w:jc w:val="center"/>
              <w:rPr>
                <w:rFonts w:ascii="Calibri" w:hAnsi="Calibri"/>
                <w:snapToGrid w:val="0"/>
                <w:color w:val="auto"/>
                <w:szCs w:val="21"/>
              </w:rPr>
            </w:pPr>
            <w:r>
              <w:rPr>
                <w:rFonts w:ascii="Calibri" w:hAnsi="Calibri" w:hint="eastAsia"/>
                <w:snapToGrid w:val="0"/>
                <w:color w:val="auto"/>
                <w:szCs w:val="21"/>
              </w:rPr>
              <w:t>1</w:t>
            </w:r>
          </w:p>
        </w:tc>
        <w:tc>
          <w:tcPr>
            <w:tcW w:w="1985" w:type="dxa"/>
            <w:vAlign w:val="center"/>
          </w:tcPr>
          <w:p w14:paraId="0C4E6B49" w14:textId="77777777" w:rsidR="00A12753" w:rsidRDefault="00A12753" w:rsidP="00A12753">
            <w:pPr>
              <w:jc w:val="center"/>
              <w:rPr>
                <w:rFonts w:ascii="Calibri" w:hAnsi="Calibri"/>
                <w:snapToGrid w:val="0"/>
                <w:color w:val="auto"/>
                <w:szCs w:val="21"/>
              </w:rPr>
            </w:pPr>
            <w:r>
              <w:rPr>
                <w:rFonts w:ascii="Calibri" w:hAnsi="Calibri" w:hint="eastAsia"/>
                <w:snapToGrid w:val="0"/>
                <w:szCs w:val="21"/>
              </w:rPr>
              <w:t>配料及</w:t>
            </w:r>
            <w:r>
              <w:rPr>
                <w:rFonts w:ascii="Calibri" w:hAnsi="Calibri"/>
                <w:snapToGrid w:val="0"/>
                <w:szCs w:val="21"/>
              </w:rPr>
              <w:t>聚合</w:t>
            </w:r>
          </w:p>
        </w:tc>
        <w:tc>
          <w:tcPr>
            <w:tcW w:w="1098" w:type="dxa"/>
            <w:tcBorders>
              <w:right w:val="single" w:sz="2" w:space="0" w:color="auto"/>
            </w:tcBorders>
            <w:vAlign w:val="center"/>
          </w:tcPr>
          <w:p w14:paraId="377680E6" w14:textId="77777777" w:rsidR="00A12753" w:rsidRDefault="00A12753" w:rsidP="00A12753">
            <w:pPr>
              <w:jc w:val="center"/>
              <w:rPr>
                <w:rFonts w:ascii="Calibri" w:hAnsi="Calibri"/>
                <w:snapToGrid w:val="0"/>
                <w:color w:val="auto"/>
                <w:szCs w:val="21"/>
              </w:rPr>
            </w:pPr>
            <w:r>
              <w:rPr>
                <w:rFonts w:ascii="Calibri" w:hAnsi="Calibri"/>
                <w:snapToGrid w:val="0"/>
                <w:szCs w:val="21"/>
              </w:rPr>
              <w:t>0</w:t>
            </w:r>
          </w:p>
        </w:tc>
        <w:tc>
          <w:tcPr>
            <w:tcW w:w="1099" w:type="dxa"/>
            <w:tcBorders>
              <w:left w:val="single" w:sz="2" w:space="0" w:color="auto"/>
            </w:tcBorders>
            <w:vAlign w:val="center"/>
          </w:tcPr>
          <w:p w14:paraId="583BC5EE" w14:textId="77777777" w:rsidR="00A12753" w:rsidRDefault="00A12753" w:rsidP="00A12753">
            <w:pPr>
              <w:jc w:val="center"/>
              <w:rPr>
                <w:rFonts w:ascii="Calibri" w:hAnsi="Calibri"/>
                <w:snapToGrid w:val="0"/>
                <w:color w:val="auto"/>
                <w:szCs w:val="21"/>
              </w:rPr>
            </w:pPr>
            <w:r>
              <w:rPr>
                <w:rFonts w:ascii="Calibri" w:hAnsi="Calibri"/>
                <w:snapToGrid w:val="0"/>
                <w:szCs w:val="21"/>
              </w:rPr>
              <w:t>0</w:t>
            </w:r>
          </w:p>
        </w:tc>
        <w:tc>
          <w:tcPr>
            <w:tcW w:w="1098" w:type="dxa"/>
            <w:tcBorders>
              <w:right w:val="single" w:sz="2" w:space="0" w:color="auto"/>
            </w:tcBorders>
            <w:vAlign w:val="center"/>
          </w:tcPr>
          <w:p w14:paraId="08251527" w14:textId="0D402C50" w:rsidR="00A12753" w:rsidRDefault="00A12753" w:rsidP="00A12753">
            <w:pPr>
              <w:jc w:val="center"/>
              <w:rPr>
                <w:rFonts w:ascii="Calibri" w:hAnsi="Calibri"/>
                <w:color w:val="auto"/>
                <w:szCs w:val="21"/>
              </w:rPr>
            </w:pPr>
            <w:r>
              <w:rPr>
                <w:rFonts w:ascii="Calibri" w:hAnsi="Calibri"/>
                <w:szCs w:val="21"/>
              </w:rPr>
              <w:t>2.21</w:t>
            </w:r>
          </w:p>
        </w:tc>
        <w:tc>
          <w:tcPr>
            <w:tcW w:w="1099" w:type="dxa"/>
            <w:tcBorders>
              <w:left w:val="single" w:sz="2" w:space="0" w:color="auto"/>
            </w:tcBorders>
            <w:vAlign w:val="center"/>
          </w:tcPr>
          <w:p w14:paraId="11A93CE8" w14:textId="39CD13A8" w:rsidR="00A12753" w:rsidRDefault="00A12753" w:rsidP="00A12753">
            <w:pPr>
              <w:jc w:val="center"/>
              <w:rPr>
                <w:rFonts w:ascii="Calibri" w:hAnsi="Calibri"/>
                <w:color w:val="auto"/>
                <w:szCs w:val="21"/>
              </w:rPr>
            </w:pPr>
            <w:r w:rsidRPr="00CC1564">
              <w:rPr>
                <w:rFonts w:ascii="Calibri" w:hAnsi="Calibri"/>
                <w:snapToGrid w:val="0"/>
                <w:color w:val="auto"/>
                <w:szCs w:val="21"/>
              </w:rPr>
              <w:t>663.19</w:t>
            </w:r>
          </w:p>
        </w:tc>
        <w:tc>
          <w:tcPr>
            <w:tcW w:w="2028" w:type="dxa"/>
            <w:tcBorders>
              <w:left w:val="single" w:sz="2" w:space="0" w:color="auto"/>
            </w:tcBorders>
            <w:vAlign w:val="center"/>
          </w:tcPr>
          <w:p w14:paraId="24924B8D" w14:textId="7D1A1AAA" w:rsidR="00A12753" w:rsidRDefault="00A12753" w:rsidP="00A12753">
            <w:r>
              <w:rPr>
                <w:rFonts w:hint="eastAsia"/>
              </w:rPr>
              <w:t>每年</w:t>
            </w:r>
            <w:r>
              <w:rPr>
                <w:rFonts w:ascii="Calibri"/>
                <w:color w:val="auto"/>
              </w:rPr>
              <w:t>779.88</w:t>
            </w:r>
            <w:r>
              <w:rPr>
                <w:rFonts w:hint="eastAsia"/>
              </w:rPr>
              <w:t>t</w:t>
            </w:r>
            <w:r>
              <w:rPr>
                <w:rFonts w:hint="eastAsia"/>
              </w:rPr>
              <w:t>冷凝液回用于生产配料</w:t>
            </w:r>
          </w:p>
        </w:tc>
      </w:tr>
      <w:tr w:rsidR="00A12753" w14:paraId="5FE5ABEB" w14:textId="77777777" w:rsidTr="008B1803">
        <w:trPr>
          <w:trHeight w:val="340"/>
        </w:trPr>
        <w:tc>
          <w:tcPr>
            <w:tcW w:w="552" w:type="dxa"/>
            <w:vAlign w:val="center"/>
          </w:tcPr>
          <w:p w14:paraId="2D0AFED3" w14:textId="77777777" w:rsidR="00A12753" w:rsidRDefault="00A12753" w:rsidP="00A12753">
            <w:pPr>
              <w:jc w:val="center"/>
              <w:rPr>
                <w:rFonts w:ascii="Calibri" w:hAnsi="Calibri"/>
                <w:snapToGrid w:val="0"/>
                <w:color w:val="auto"/>
                <w:szCs w:val="21"/>
              </w:rPr>
            </w:pPr>
            <w:r>
              <w:rPr>
                <w:rFonts w:ascii="Calibri" w:hAnsi="Calibri" w:hint="eastAsia"/>
                <w:snapToGrid w:val="0"/>
                <w:color w:val="auto"/>
                <w:szCs w:val="21"/>
              </w:rPr>
              <w:t>2</w:t>
            </w:r>
          </w:p>
        </w:tc>
        <w:tc>
          <w:tcPr>
            <w:tcW w:w="1985" w:type="dxa"/>
            <w:vAlign w:val="center"/>
          </w:tcPr>
          <w:p w14:paraId="19DEB37B" w14:textId="77777777" w:rsidR="00A12753" w:rsidRDefault="00A12753" w:rsidP="00A12753">
            <w:pPr>
              <w:jc w:val="center"/>
              <w:rPr>
                <w:rFonts w:ascii="Calibri" w:hAnsi="Calibri"/>
                <w:snapToGrid w:val="0"/>
                <w:color w:val="auto"/>
                <w:szCs w:val="21"/>
              </w:rPr>
            </w:pPr>
            <w:r>
              <w:rPr>
                <w:rFonts w:ascii="Calibri" w:hAnsi="Calibri" w:hint="eastAsia"/>
              </w:rPr>
              <w:t>水喷淋塔</w:t>
            </w:r>
          </w:p>
        </w:tc>
        <w:tc>
          <w:tcPr>
            <w:tcW w:w="1098" w:type="dxa"/>
            <w:tcBorders>
              <w:right w:val="single" w:sz="2" w:space="0" w:color="auto"/>
            </w:tcBorders>
            <w:vAlign w:val="center"/>
          </w:tcPr>
          <w:p w14:paraId="0F982C76" w14:textId="77777777" w:rsidR="00A12753" w:rsidRDefault="00A12753" w:rsidP="00A12753">
            <w:pPr>
              <w:jc w:val="center"/>
              <w:rPr>
                <w:rFonts w:ascii="Calibri" w:hAnsi="Calibri"/>
                <w:snapToGrid w:val="0"/>
                <w:color w:val="0000FF"/>
                <w:szCs w:val="21"/>
              </w:rPr>
            </w:pPr>
            <w:r>
              <w:rPr>
                <w:rFonts w:ascii="Calibri" w:hAnsi="Calibri" w:hint="eastAsia"/>
                <w:snapToGrid w:val="0"/>
                <w:color w:val="0000FF"/>
                <w:szCs w:val="21"/>
              </w:rPr>
              <w:t>0.61</w:t>
            </w:r>
          </w:p>
        </w:tc>
        <w:tc>
          <w:tcPr>
            <w:tcW w:w="1099" w:type="dxa"/>
            <w:tcBorders>
              <w:left w:val="single" w:sz="2" w:space="0" w:color="auto"/>
            </w:tcBorders>
            <w:vAlign w:val="center"/>
          </w:tcPr>
          <w:p w14:paraId="5BEE55E0" w14:textId="77777777" w:rsidR="00A12753" w:rsidRDefault="00A12753" w:rsidP="00A12753">
            <w:pPr>
              <w:jc w:val="center"/>
              <w:rPr>
                <w:rFonts w:ascii="Calibri" w:hAnsi="Calibri"/>
                <w:snapToGrid w:val="0"/>
                <w:color w:val="0000FF"/>
                <w:szCs w:val="21"/>
              </w:rPr>
            </w:pPr>
            <w:r>
              <w:rPr>
                <w:rFonts w:ascii="Calibri" w:hAnsi="Calibri" w:hint="eastAsia"/>
                <w:snapToGrid w:val="0"/>
                <w:color w:val="0000FF"/>
                <w:szCs w:val="21"/>
              </w:rPr>
              <w:t>182</w:t>
            </w:r>
          </w:p>
        </w:tc>
        <w:tc>
          <w:tcPr>
            <w:tcW w:w="1098" w:type="dxa"/>
            <w:tcBorders>
              <w:right w:val="single" w:sz="2" w:space="0" w:color="auto"/>
            </w:tcBorders>
            <w:vAlign w:val="center"/>
          </w:tcPr>
          <w:p w14:paraId="61615641" w14:textId="3EF18FEE" w:rsidR="00A12753" w:rsidRDefault="00A12753" w:rsidP="00A12753">
            <w:pPr>
              <w:jc w:val="center"/>
              <w:rPr>
                <w:rFonts w:ascii="Calibri"/>
                <w:color w:val="0000FF"/>
              </w:rPr>
            </w:pPr>
            <w:r>
              <w:rPr>
                <w:rFonts w:ascii="Calibri"/>
                <w:color w:val="auto"/>
              </w:rPr>
              <w:t>1.37</w:t>
            </w:r>
          </w:p>
        </w:tc>
        <w:tc>
          <w:tcPr>
            <w:tcW w:w="1099" w:type="dxa"/>
            <w:tcBorders>
              <w:left w:val="single" w:sz="2" w:space="0" w:color="auto"/>
            </w:tcBorders>
            <w:vAlign w:val="center"/>
          </w:tcPr>
          <w:p w14:paraId="6E36DA52" w14:textId="1F1FDE17" w:rsidR="00A12753" w:rsidRDefault="00A12753" w:rsidP="00A12753">
            <w:pPr>
              <w:jc w:val="center"/>
              <w:rPr>
                <w:rFonts w:ascii="Calibri" w:hAnsi="Calibri"/>
                <w:snapToGrid w:val="0"/>
                <w:color w:val="0000FF"/>
                <w:szCs w:val="21"/>
              </w:rPr>
            </w:pPr>
            <w:r w:rsidRPr="002B6B72">
              <w:rPr>
                <w:rFonts w:ascii="Calibri"/>
                <w:color w:val="auto"/>
              </w:rPr>
              <w:t>411.675</w:t>
            </w:r>
          </w:p>
        </w:tc>
        <w:tc>
          <w:tcPr>
            <w:tcW w:w="2028" w:type="dxa"/>
            <w:tcBorders>
              <w:left w:val="single" w:sz="2" w:space="0" w:color="auto"/>
            </w:tcBorders>
            <w:vAlign w:val="center"/>
          </w:tcPr>
          <w:p w14:paraId="49626C68" w14:textId="77777777" w:rsidR="00A12753" w:rsidRDefault="00A12753" w:rsidP="00A12753">
            <w:r>
              <w:rPr>
                <w:rFonts w:hint="eastAsia"/>
              </w:rPr>
              <w:t>进入厂区废水处理站</w:t>
            </w:r>
          </w:p>
        </w:tc>
      </w:tr>
      <w:tr w:rsidR="008B1803" w14:paraId="5307528E" w14:textId="77777777" w:rsidTr="008B1803">
        <w:trPr>
          <w:trHeight w:val="340"/>
        </w:trPr>
        <w:tc>
          <w:tcPr>
            <w:tcW w:w="552" w:type="dxa"/>
            <w:vAlign w:val="center"/>
          </w:tcPr>
          <w:p w14:paraId="090143EC"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3</w:t>
            </w:r>
          </w:p>
        </w:tc>
        <w:tc>
          <w:tcPr>
            <w:tcW w:w="1985" w:type="dxa"/>
            <w:vAlign w:val="center"/>
          </w:tcPr>
          <w:p w14:paraId="10975748"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制粒冷却</w:t>
            </w:r>
          </w:p>
        </w:tc>
        <w:tc>
          <w:tcPr>
            <w:tcW w:w="1098" w:type="dxa"/>
            <w:tcBorders>
              <w:right w:val="single" w:sz="2" w:space="0" w:color="auto"/>
            </w:tcBorders>
            <w:vAlign w:val="center"/>
          </w:tcPr>
          <w:p w14:paraId="18FC0E85"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0.26</w:t>
            </w:r>
          </w:p>
        </w:tc>
        <w:tc>
          <w:tcPr>
            <w:tcW w:w="1099" w:type="dxa"/>
            <w:tcBorders>
              <w:left w:val="single" w:sz="2" w:space="0" w:color="auto"/>
            </w:tcBorders>
            <w:vAlign w:val="center"/>
          </w:tcPr>
          <w:p w14:paraId="18C5C1FC"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77</w:t>
            </w:r>
          </w:p>
        </w:tc>
        <w:tc>
          <w:tcPr>
            <w:tcW w:w="1098" w:type="dxa"/>
            <w:tcBorders>
              <w:right w:val="single" w:sz="2" w:space="0" w:color="auto"/>
            </w:tcBorders>
            <w:vAlign w:val="center"/>
          </w:tcPr>
          <w:p w14:paraId="75AFA6D4" w14:textId="77777777" w:rsidR="008B1803" w:rsidRDefault="008B1803" w:rsidP="008B1803">
            <w:pPr>
              <w:jc w:val="center"/>
              <w:rPr>
                <w:rFonts w:ascii="Calibri"/>
                <w:color w:val="auto"/>
              </w:rPr>
            </w:pPr>
            <w:r>
              <w:rPr>
                <w:rFonts w:ascii="Calibri" w:hint="eastAsia"/>
              </w:rPr>
              <w:t>0.027</w:t>
            </w:r>
          </w:p>
        </w:tc>
        <w:tc>
          <w:tcPr>
            <w:tcW w:w="1099" w:type="dxa"/>
            <w:tcBorders>
              <w:left w:val="single" w:sz="2" w:space="0" w:color="auto"/>
            </w:tcBorders>
            <w:vAlign w:val="center"/>
          </w:tcPr>
          <w:p w14:paraId="6E9FFB63"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8</w:t>
            </w:r>
          </w:p>
        </w:tc>
        <w:tc>
          <w:tcPr>
            <w:tcW w:w="2028" w:type="dxa"/>
            <w:tcBorders>
              <w:left w:val="single" w:sz="2" w:space="0" w:color="auto"/>
            </w:tcBorders>
            <w:vAlign w:val="center"/>
          </w:tcPr>
          <w:p w14:paraId="0A7C0638" w14:textId="77777777" w:rsidR="008B1803" w:rsidRDefault="008B1803" w:rsidP="008B1803">
            <w:r>
              <w:rPr>
                <w:rFonts w:hint="eastAsia"/>
              </w:rPr>
              <w:t>进入厂区废水处理站</w:t>
            </w:r>
          </w:p>
        </w:tc>
      </w:tr>
      <w:tr w:rsidR="008B1803" w14:paraId="2A3C56FF" w14:textId="77777777" w:rsidTr="008B1803">
        <w:trPr>
          <w:trHeight w:val="340"/>
        </w:trPr>
        <w:tc>
          <w:tcPr>
            <w:tcW w:w="552" w:type="dxa"/>
            <w:vAlign w:val="center"/>
          </w:tcPr>
          <w:p w14:paraId="5AF704F9" w14:textId="77777777" w:rsidR="008B1803" w:rsidRDefault="008B1803" w:rsidP="008B1803">
            <w:pPr>
              <w:jc w:val="center"/>
              <w:rPr>
                <w:rFonts w:ascii="Calibri" w:hAnsi="Calibri"/>
                <w:snapToGrid w:val="0"/>
                <w:color w:val="auto"/>
                <w:szCs w:val="21"/>
              </w:rPr>
            </w:pPr>
            <w:r>
              <w:rPr>
                <w:rFonts w:ascii="Calibri" w:hAnsi="Calibri"/>
                <w:snapToGrid w:val="0"/>
                <w:color w:val="auto"/>
                <w:szCs w:val="21"/>
              </w:rPr>
              <w:t>4</w:t>
            </w:r>
          </w:p>
        </w:tc>
        <w:tc>
          <w:tcPr>
            <w:tcW w:w="1985" w:type="dxa"/>
            <w:vAlign w:val="center"/>
          </w:tcPr>
          <w:p w14:paraId="5186BA2B"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真空泵及</w:t>
            </w:r>
            <w:r>
              <w:rPr>
                <w:rFonts w:ascii="Calibri" w:hAnsi="Calibri"/>
                <w:snapToGrid w:val="0"/>
                <w:szCs w:val="21"/>
              </w:rPr>
              <w:t>循环泵</w:t>
            </w:r>
          </w:p>
        </w:tc>
        <w:tc>
          <w:tcPr>
            <w:tcW w:w="1098" w:type="dxa"/>
            <w:tcBorders>
              <w:right w:val="single" w:sz="2" w:space="0" w:color="auto"/>
            </w:tcBorders>
            <w:vAlign w:val="center"/>
          </w:tcPr>
          <w:p w14:paraId="38A0EB2C"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2.23</w:t>
            </w:r>
          </w:p>
        </w:tc>
        <w:tc>
          <w:tcPr>
            <w:tcW w:w="1099" w:type="dxa"/>
            <w:tcBorders>
              <w:left w:val="single" w:sz="2" w:space="0" w:color="auto"/>
            </w:tcBorders>
            <w:vAlign w:val="center"/>
          </w:tcPr>
          <w:p w14:paraId="106AD1E0"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669.9</w:t>
            </w:r>
          </w:p>
        </w:tc>
        <w:tc>
          <w:tcPr>
            <w:tcW w:w="1098" w:type="dxa"/>
            <w:tcBorders>
              <w:right w:val="single" w:sz="2" w:space="0" w:color="auto"/>
            </w:tcBorders>
            <w:vAlign w:val="center"/>
          </w:tcPr>
          <w:p w14:paraId="6D023E83" w14:textId="77777777" w:rsidR="008B1803" w:rsidRDefault="008B1803" w:rsidP="008B1803">
            <w:pPr>
              <w:jc w:val="center"/>
              <w:rPr>
                <w:rFonts w:ascii="Calibri"/>
                <w:color w:val="0000FF"/>
              </w:rPr>
            </w:pPr>
            <w:r>
              <w:rPr>
                <w:rFonts w:ascii="Calibri"/>
                <w:color w:val="0000FF"/>
              </w:rPr>
              <w:t>2.23</w:t>
            </w:r>
          </w:p>
        </w:tc>
        <w:tc>
          <w:tcPr>
            <w:tcW w:w="1099" w:type="dxa"/>
            <w:tcBorders>
              <w:left w:val="single" w:sz="2" w:space="0" w:color="auto"/>
            </w:tcBorders>
            <w:vAlign w:val="center"/>
          </w:tcPr>
          <w:p w14:paraId="0A251404" w14:textId="77777777" w:rsidR="008B1803" w:rsidRDefault="008B1803" w:rsidP="008B1803">
            <w:pPr>
              <w:jc w:val="center"/>
              <w:rPr>
                <w:rFonts w:ascii="Calibri"/>
                <w:color w:val="0000FF"/>
              </w:rPr>
            </w:pPr>
            <w:r>
              <w:rPr>
                <w:rFonts w:ascii="Calibri"/>
                <w:color w:val="0000FF"/>
              </w:rPr>
              <w:t>669.9</w:t>
            </w:r>
          </w:p>
        </w:tc>
        <w:tc>
          <w:tcPr>
            <w:tcW w:w="2028" w:type="dxa"/>
            <w:tcBorders>
              <w:left w:val="single" w:sz="2" w:space="0" w:color="auto"/>
            </w:tcBorders>
            <w:vAlign w:val="center"/>
          </w:tcPr>
          <w:p w14:paraId="4B7D8AA2" w14:textId="77777777" w:rsidR="008B1803" w:rsidRDefault="008B1803" w:rsidP="008B1803">
            <w:r>
              <w:rPr>
                <w:rFonts w:hint="eastAsia"/>
              </w:rPr>
              <w:t>进入厂区废水处理站</w:t>
            </w:r>
          </w:p>
        </w:tc>
      </w:tr>
      <w:tr w:rsidR="008B1803" w14:paraId="49037886" w14:textId="77777777" w:rsidTr="008B1803">
        <w:trPr>
          <w:trHeight w:val="340"/>
        </w:trPr>
        <w:tc>
          <w:tcPr>
            <w:tcW w:w="552" w:type="dxa"/>
            <w:vAlign w:val="center"/>
          </w:tcPr>
          <w:p w14:paraId="67E24EEC"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5</w:t>
            </w:r>
          </w:p>
        </w:tc>
        <w:tc>
          <w:tcPr>
            <w:tcW w:w="1985" w:type="dxa"/>
            <w:vAlign w:val="center"/>
          </w:tcPr>
          <w:p w14:paraId="6FFAAF37" w14:textId="77777777" w:rsidR="008B1803" w:rsidRDefault="008B1803" w:rsidP="008B1803">
            <w:pPr>
              <w:jc w:val="center"/>
              <w:rPr>
                <w:rFonts w:ascii="Calibri" w:hAnsi="Calibri"/>
                <w:snapToGrid w:val="0"/>
                <w:color w:val="auto"/>
                <w:szCs w:val="21"/>
              </w:rPr>
            </w:pPr>
            <w:r>
              <w:rPr>
                <w:rFonts w:ascii="Calibri" w:hAnsi="Calibri"/>
                <w:snapToGrid w:val="0"/>
                <w:szCs w:val="21"/>
              </w:rPr>
              <w:t>冷却塔</w:t>
            </w:r>
            <w:r>
              <w:rPr>
                <w:rFonts w:ascii="Calibri" w:hAnsi="Calibri" w:hint="eastAsia"/>
                <w:snapToGrid w:val="0"/>
                <w:szCs w:val="21"/>
              </w:rPr>
              <w:t>循环</w:t>
            </w:r>
            <w:r>
              <w:rPr>
                <w:rFonts w:ascii="Calibri" w:hAnsi="Calibri"/>
                <w:snapToGrid w:val="0"/>
                <w:szCs w:val="21"/>
              </w:rPr>
              <w:t>冷却</w:t>
            </w:r>
            <w:r>
              <w:rPr>
                <w:rFonts w:ascii="Calibri" w:hAnsi="Calibri" w:hint="eastAsia"/>
                <w:snapToGrid w:val="0"/>
                <w:szCs w:val="21"/>
              </w:rPr>
              <w:t>水站</w:t>
            </w:r>
          </w:p>
        </w:tc>
        <w:tc>
          <w:tcPr>
            <w:tcW w:w="1098" w:type="dxa"/>
            <w:tcBorders>
              <w:right w:val="single" w:sz="2" w:space="0" w:color="auto"/>
            </w:tcBorders>
            <w:vAlign w:val="center"/>
          </w:tcPr>
          <w:p w14:paraId="7F20B801"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0.12</w:t>
            </w:r>
          </w:p>
        </w:tc>
        <w:tc>
          <w:tcPr>
            <w:tcW w:w="1099" w:type="dxa"/>
            <w:tcBorders>
              <w:left w:val="single" w:sz="2" w:space="0" w:color="auto"/>
            </w:tcBorders>
            <w:vAlign w:val="center"/>
          </w:tcPr>
          <w:p w14:paraId="253FF547"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36</w:t>
            </w:r>
          </w:p>
        </w:tc>
        <w:tc>
          <w:tcPr>
            <w:tcW w:w="1098" w:type="dxa"/>
            <w:tcBorders>
              <w:right w:val="single" w:sz="2" w:space="0" w:color="auto"/>
            </w:tcBorders>
            <w:vAlign w:val="center"/>
          </w:tcPr>
          <w:p w14:paraId="21B16276" w14:textId="77777777" w:rsidR="008B1803" w:rsidRDefault="008B1803" w:rsidP="008B1803">
            <w:pPr>
              <w:jc w:val="center"/>
              <w:rPr>
                <w:rFonts w:ascii="Calibri"/>
                <w:color w:val="0000FF"/>
              </w:rPr>
            </w:pPr>
            <w:r>
              <w:rPr>
                <w:rFonts w:ascii="Calibri" w:hint="eastAsia"/>
                <w:color w:val="0000FF"/>
              </w:rPr>
              <w:t>0.012</w:t>
            </w:r>
          </w:p>
        </w:tc>
        <w:tc>
          <w:tcPr>
            <w:tcW w:w="1099" w:type="dxa"/>
            <w:tcBorders>
              <w:left w:val="single" w:sz="2" w:space="0" w:color="auto"/>
            </w:tcBorders>
            <w:vAlign w:val="center"/>
          </w:tcPr>
          <w:p w14:paraId="2D1B0F27" w14:textId="77777777" w:rsidR="008B1803" w:rsidRDefault="008B1803" w:rsidP="008B1803">
            <w:pPr>
              <w:jc w:val="center"/>
              <w:rPr>
                <w:rFonts w:ascii="Calibri"/>
                <w:color w:val="0000FF"/>
              </w:rPr>
            </w:pPr>
            <w:r>
              <w:rPr>
                <w:rFonts w:ascii="Calibri" w:hint="eastAsia"/>
                <w:color w:val="0000FF"/>
              </w:rPr>
              <w:t>3.6</w:t>
            </w:r>
          </w:p>
        </w:tc>
        <w:tc>
          <w:tcPr>
            <w:tcW w:w="2028" w:type="dxa"/>
            <w:vMerge w:val="restart"/>
            <w:tcBorders>
              <w:left w:val="single" w:sz="2" w:space="0" w:color="auto"/>
            </w:tcBorders>
            <w:vAlign w:val="center"/>
          </w:tcPr>
          <w:p w14:paraId="02210D2F" w14:textId="77777777" w:rsidR="008B1803" w:rsidRDefault="008B1803" w:rsidP="008B1803">
            <w:r>
              <w:rPr>
                <w:rFonts w:hint="eastAsia"/>
              </w:rPr>
              <w:t>排入集聚区处理厂集中处理。</w:t>
            </w:r>
          </w:p>
        </w:tc>
      </w:tr>
      <w:tr w:rsidR="008B1803" w14:paraId="3FB706E4" w14:textId="77777777" w:rsidTr="008B1803">
        <w:trPr>
          <w:trHeight w:val="340"/>
        </w:trPr>
        <w:tc>
          <w:tcPr>
            <w:tcW w:w="552" w:type="dxa"/>
            <w:vAlign w:val="center"/>
          </w:tcPr>
          <w:p w14:paraId="25338C38" w14:textId="77777777" w:rsidR="008B1803" w:rsidRDefault="008B1803" w:rsidP="008B1803">
            <w:pPr>
              <w:jc w:val="center"/>
              <w:rPr>
                <w:rFonts w:ascii="Calibri" w:hAnsi="Calibri"/>
                <w:snapToGrid w:val="0"/>
                <w:szCs w:val="21"/>
              </w:rPr>
            </w:pPr>
            <w:r>
              <w:rPr>
                <w:rFonts w:ascii="Calibri" w:hAnsi="Calibri" w:hint="eastAsia"/>
                <w:snapToGrid w:val="0"/>
                <w:szCs w:val="21"/>
              </w:rPr>
              <w:t>6</w:t>
            </w:r>
          </w:p>
        </w:tc>
        <w:tc>
          <w:tcPr>
            <w:tcW w:w="1985" w:type="dxa"/>
            <w:vAlign w:val="center"/>
          </w:tcPr>
          <w:p w14:paraId="4596FB2A" w14:textId="77777777" w:rsidR="008B1803" w:rsidRDefault="008B1803" w:rsidP="008B1803">
            <w:pPr>
              <w:jc w:val="center"/>
              <w:rPr>
                <w:rFonts w:ascii="Calibri" w:hAnsi="Calibri"/>
                <w:snapToGrid w:val="0"/>
                <w:color w:val="auto"/>
                <w:szCs w:val="21"/>
              </w:rPr>
            </w:pPr>
            <w:r>
              <w:rPr>
                <w:rFonts w:ascii="Calibri" w:hAnsi="Calibri" w:hint="eastAsia"/>
                <w:color w:val="auto"/>
              </w:rPr>
              <w:t>纯水</w:t>
            </w:r>
            <w:r>
              <w:rPr>
                <w:rFonts w:ascii="Calibri" w:hAnsi="Calibri"/>
                <w:color w:val="auto"/>
              </w:rPr>
              <w:t>制备</w:t>
            </w:r>
          </w:p>
        </w:tc>
        <w:tc>
          <w:tcPr>
            <w:tcW w:w="1098" w:type="dxa"/>
            <w:tcBorders>
              <w:right w:val="single" w:sz="2" w:space="0" w:color="auto"/>
            </w:tcBorders>
            <w:vAlign w:val="center"/>
          </w:tcPr>
          <w:p w14:paraId="4C2E4449" w14:textId="77777777" w:rsidR="008B1803" w:rsidRDefault="008B1803" w:rsidP="008B1803">
            <w:pPr>
              <w:jc w:val="center"/>
              <w:rPr>
                <w:rFonts w:ascii="Calibri" w:hAnsi="Calibri"/>
                <w:snapToGrid w:val="0"/>
                <w:szCs w:val="21"/>
              </w:rPr>
            </w:pPr>
            <w:r>
              <w:rPr>
                <w:rFonts w:ascii="Calibri" w:hAnsi="Calibri"/>
                <w:snapToGrid w:val="0"/>
                <w:szCs w:val="21"/>
              </w:rPr>
              <w:t>3.72</w:t>
            </w:r>
          </w:p>
        </w:tc>
        <w:tc>
          <w:tcPr>
            <w:tcW w:w="1099" w:type="dxa"/>
            <w:tcBorders>
              <w:left w:val="single" w:sz="2" w:space="0" w:color="auto"/>
            </w:tcBorders>
            <w:vAlign w:val="center"/>
          </w:tcPr>
          <w:p w14:paraId="25FE900B" w14:textId="7E2284DB" w:rsidR="008B1803" w:rsidRDefault="00A12753" w:rsidP="008B1803">
            <w:pPr>
              <w:jc w:val="center"/>
              <w:rPr>
                <w:rFonts w:ascii="Calibri" w:hAnsi="Calibri"/>
                <w:snapToGrid w:val="0"/>
                <w:szCs w:val="21"/>
              </w:rPr>
            </w:pPr>
            <w:r>
              <w:rPr>
                <w:rFonts w:ascii="Calibri"/>
                <w:color w:val="auto"/>
              </w:rPr>
              <w:t>1118.43</w:t>
            </w:r>
          </w:p>
        </w:tc>
        <w:tc>
          <w:tcPr>
            <w:tcW w:w="1098" w:type="dxa"/>
            <w:tcBorders>
              <w:right w:val="single" w:sz="2" w:space="0" w:color="auto"/>
            </w:tcBorders>
            <w:vAlign w:val="center"/>
          </w:tcPr>
          <w:p w14:paraId="31E8C293" w14:textId="47CA0516" w:rsidR="008B1803" w:rsidRDefault="008B1803" w:rsidP="00BF4432">
            <w:pPr>
              <w:jc w:val="center"/>
              <w:rPr>
                <w:rFonts w:ascii="Calibri"/>
                <w:color w:val="0000FF"/>
              </w:rPr>
            </w:pPr>
            <w:r>
              <w:rPr>
                <w:rFonts w:ascii="Calibri" w:hint="eastAsia"/>
                <w:color w:val="0000FF"/>
              </w:rPr>
              <w:t>1.1</w:t>
            </w:r>
            <w:r w:rsidR="00BF4432">
              <w:rPr>
                <w:rFonts w:ascii="Calibri"/>
                <w:color w:val="0000FF"/>
              </w:rPr>
              <w:t>1</w:t>
            </w:r>
          </w:p>
        </w:tc>
        <w:tc>
          <w:tcPr>
            <w:tcW w:w="1099" w:type="dxa"/>
            <w:tcBorders>
              <w:left w:val="single" w:sz="2" w:space="0" w:color="auto"/>
            </w:tcBorders>
            <w:vAlign w:val="center"/>
          </w:tcPr>
          <w:p w14:paraId="497D4D4E" w14:textId="643507BA" w:rsidR="008B1803" w:rsidRDefault="00A12753" w:rsidP="008B1803">
            <w:pPr>
              <w:jc w:val="center"/>
              <w:rPr>
                <w:rFonts w:ascii="Calibri"/>
                <w:color w:val="0000FF"/>
              </w:rPr>
            </w:pPr>
            <w:r w:rsidRPr="00A12753">
              <w:rPr>
                <w:rFonts w:ascii="Calibri"/>
                <w:color w:val="0000FF"/>
              </w:rPr>
              <w:t>335.53</w:t>
            </w:r>
          </w:p>
        </w:tc>
        <w:tc>
          <w:tcPr>
            <w:tcW w:w="2028" w:type="dxa"/>
            <w:vMerge/>
            <w:tcBorders>
              <w:left w:val="single" w:sz="2" w:space="0" w:color="auto"/>
            </w:tcBorders>
            <w:vAlign w:val="center"/>
          </w:tcPr>
          <w:p w14:paraId="670B833F" w14:textId="77777777" w:rsidR="008B1803" w:rsidRDefault="008B1803" w:rsidP="008B1803"/>
        </w:tc>
      </w:tr>
      <w:tr w:rsidR="008B1803" w14:paraId="4A914008" w14:textId="77777777" w:rsidTr="008B1803">
        <w:trPr>
          <w:trHeight w:val="340"/>
        </w:trPr>
        <w:tc>
          <w:tcPr>
            <w:tcW w:w="552" w:type="dxa"/>
            <w:vAlign w:val="center"/>
          </w:tcPr>
          <w:p w14:paraId="6B902E18" w14:textId="77777777" w:rsidR="008B1803" w:rsidRDefault="008B1803" w:rsidP="008B1803">
            <w:pPr>
              <w:jc w:val="center"/>
              <w:rPr>
                <w:rFonts w:ascii="Calibri" w:hAnsi="Calibri"/>
                <w:snapToGrid w:val="0"/>
                <w:szCs w:val="21"/>
              </w:rPr>
            </w:pPr>
            <w:r>
              <w:rPr>
                <w:rFonts w:ascii="Calibri" w:hAnsi="Calibri" w:hint="eastAsia"/>
                <w:snapToGrid w:val="0"/>
                <w:szCs w:val="21"/>
              </w:rPr>
              <w:t>7</w:t>
            </w:r>
          </w:p>
        </w:tc>
        <w:tc>
          <w:tcPr>
            <w:tcW w:w="1985" w:type="dxa"/>
            <w:vAlign w:val="center"/>
          </w:tcPr>
          <w:p w14:paraId="154543AF" w14:textId="77777777" w:rsidR="008B1803" w:rsidRDefault="008B1803" w:rsidP="008B1803">
            <w:pPr>
              <w:jc w:val="center"/>
              <w:rPr>
                <w:rFonts w:ascii="Calibri" w:hAnsi="Calibri"/>
                <w:color w:val="auto"/>
              </w:rPr>
            </w:pPr>
            <w:r>
              <w:rPr>
                <w:rFonts w:ascii="Calibri" w:hAnsi="Calibri" w:hint="eastAsia"/>
                <w:snapToGrid w:val="0"/>
                <w:color w:val="auto"/>
                <w:szCs w:val="21"/>
              </w:rPr>
              <w:t>职工</w:t>
            </w:r>
            <w:r>
              <w:rPr>
                <w:rFonts w:ascii="Calibri" w:hAnsi="Calibri"/>
                <w:snapToGrid w:val="0"/>
                <w:color w:val="auto"/>
                <w:szCs w:val="21"/>
              </w:rPr>
              <w:t>生活</w:t>
            </w:r>
          </w:p>
        </w:tc>
        <w:tc>
          <w:tcPr>
            <w:tcW w:w="1098" w:type="dxa"/>
            <w:tcBorders>
              <w:right w:val="single" w:sz="2" w:space="0" w:color="auto"/>
            </w:tcBorders>
            <w:vAlign w:val="center"/>
          </w:tcPr>
          <w:p w14:paraId="1D4258E2" w14:textId="77777777" w:rsidR="008B1803" w:rsidRDefault="008B1803" w:rsidP="008B1803">
            <w:pPr>
              <w:jc w:val="center"/>
              <w:rPr>
                <w:rFonts w:ascii="Calibri" w:hAnsi="Calibri"/>
                <w:snapToGrid w:val="0"/>
                <w:szCs w:val="21"/>
              </w:rPr>
            </w:pPr>
            <w:r>
              <w:rPr>
                <w:rFonts w:ascii="Calibri" w:hAnsi="Calibri" w:hint="eastAsia"/>
                <w:snapToGrid w:val="0"/>
                <w:szCs w:val="21"/>
              </w:rPr>
              <w:t>2.4</w:t>
            </w:r>
          </w:p>
        </w:tc>
        <w:tc>
          <w:tcPr>
            <w:tcW w:w="1099" w:type="dxa"/>
            <w:tcBorders>
              <w:left w:val="single" w:sz="2" w:space="0" w:color="auto"/>
            </w:tcBorders>
            <w:vAlign w:val="center"/>
          </w:tcPr>
          <w:p w14:paraId="15589472" w14:textId="77777777" w:rsidR="008B1803" w:rsidRDefault="008B1803" w:rsidP="008B1803">
            <w:pPr>
              <w:jc w:val="center"/>
              <w:rPr>
                <w:rFonts w:ascii="Calibri" w:hAnsi="Calibri"/>
                <w:snapToGrid w:val="0"/>
                <w:szCs w:val="21"/>
              </w:rPr>
            </w:pPr>
            <w:r>
              <w:rPr>
                <w:rFonts w:ascii="Calibri" w:hAnsi="Calibri" w:hint="eastAsia"/>
                <w:snapToGrid w:val="0"/>
                <w:szCs w:val="21"/>
              </w:rPr>
              <w:t>720</w:t>
            </w:r>
          </w:p>
        </w:tc>
        <w:tc>
          <w:tcPr>
            <w:tcW w:w="1098" w:type="dxa"/>
            <w:tcBorders>
              <w:right w:val="single" w:sz="2" w:space="0" w:color="auto"/>
            </w:tcBorders>
            <w:vAlign w:val="center"/>
          </w:tcPr>
          <w:p w14:paraId="024391B0" w14:textId="77777777" w:rsidR="008B1803" w:rsidRDefault="008B1803" w:rsidP="008B1803">
            <w:pPr>
              <w:jc w:val="center"/>
              <w:rPr>
                <w:rFonts w:ascii="Calibri"/>
                <w:color w:val="0000FF"/>
              </w:rPr>
            </w:pPr>
            <w:r>
              <w:rPr>
                <w:rFonts w:ascii="Calibri" w:hint="eastAsia"/>
                <w:color w:val="0000FF"/>
              </w:rPr>
              <w:t>1.92</w:t>
            </w:r>
          </w:p>
        </w:tc>
        <w:tc>
          <w:tcPr>
            <w:tcW w:w="1099" w:type="dxa"/>
            <w:tcBorders>
              <w:left w:val="single" w:sz="2" w:space="0" w:color="auto"/>
            </w:tcBorders>
            <w:vAlign w:val="center"/>
          </w:tcPr>
          <w:p w14:paraId="7538D038" w14:textId="77777777" w:rsidR="008B1803" w:rsidRDefault="008B1803" w:rsidP="008B1803">
            <w:pPr>
              <w:jc w:val="center"/>
              <w:rPr>
                <w:rFonts w:ascii="Calibri"/>
                <w:color w:val="0000FF"/>
              </w:rPr>
            </w:pPr>
            <w:r>
              <w:rPr>
                <w:rFonts w:ascii="Calibri" w:hint="eastAsia"/>
                <w:color w:val="0000FF"/>
              </w:rPr>
              <w:t>576</w:t>
            </w:r>
          </w:p>
        </w:tc>
        <w:tc>
          <w:tcPr>
            <w:tcW w:w="2028" w:type="dxa"/>
            <w:tcBorders>
              <w:left w:val="single" w:sz="2" w:space="0" w:color="auto"/>
            </w:tcBorders>
            <w:vAlign w:val="center"/>
          </w:tcPr>
          <w:p w14:paraId="1F98F8E6" w14:textId="77777777" w:rsidR="008B1803" w:rsidRDefault="008B1803" w:rsidP="008B1803">
            <w:r w:rsidRPr="00A11A24">
              <w:rPr>
                <w:rFonts w:hint="eastAsia"/>
              </w:rPr>
              <w:t>进入厂区废水处理站</w:t>
            </w:r>
          </w:p>
        </w:tc>
      </w:tr>
      <w:tr w:rsidR="008B1803" w14:paraId="5D172023" w14:textId="77777777" w:rsidTr="008B1803">
        <w:trPr>
          <w:trHeight w:val="340"/>
        </w:trPr>
        <w:tc>
          <w:tcPr>
            <w:tcW w:w="2537" w:type="dxa"/>
            <w:gridSpan w:val="2"/>
            <w:vAlign w:val="center"/>
          </w:tcPr>
          <w:p w14:paraId="415260C0"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小计</w:t>
            </w:r>
          </w:p>
        </w:tc>
        <w:tc>
          <w:tcPr>
            <w:tcW w:w="1098" w:type="dxa"/>
            <w:tcBorders>
              <w:right w:val="single" w:sz="2" w:space="0" w:color="auto"/>
            </w:tcBorders>
            <w:vAlign w:val="center"/>
          </w:tcPr>
          <w:p w14:paraId="10568A88" w14:textId="77777777" w:rsidR="008B1803" w:rsidRDefault="008B1803" w:rsidP="008B1803">
            <w:pPr>
              <w:jc w:val="center"/>
              <w:rPr>
                <w:rFonts w:ascii="Calibri" w:hAnsi="Calibri"/>
                <w:snapToGrid w:val="0"/>
                <w:color w:val="auto"/>
                <w:szCs w:val="21"/>
              </w:rPr>
            </w:pPr>
            <w:r>
              <w:rPr>
                <w:rFonts w:ascii="Calibri" w:hAnsi="Calibri"/>
                <w:snapToGrid w:val="0"/>
                <w:szCs w:val="21"/>
              </w:rPr>
              <w:t>6.73</w:t>
            </w:r>
          </w:p>
        </w:tc>
        <w:tc>
          <w:tcPr>
            <w:tcW w:w="1099" w:type="dxa"/>
            <w:tcBorders>
              <w:left w:val="single" w:sz="2" w:space="0" w:color="auto"/>
            </w:tcBorders>
            <w:vAlign w:val="center"/>
          </w:tcPr>
          <w:p w14:paraId="630D42A5" w14:textId="1FF805FA" w:rsidR="008B1803" w:rsidRDefault="00A12753" w:rsidP="008B1803">
            <w:pPr>
              <w:jc w:val="center"/>
              <w:rPr>
                <w:rFonts w:ascii="Calibri" w:hAnsi="Calibri"/>
                <w:snapToGrid w:val="0"/>
                <w:color w:val="auto"/>
                <w:szCs w:val="21"/>
              </w:rPr>
            </w:pPr>
            <w:r>
              <w:rPr>
                <w:rFonts w:ascii="Calibri" w:hAnsi="Calibri"/>
                <w:snapToGrid w:val="0"/>
                <w:szCs w:val="21"/>
              </w:rPr>
              <w:t>2020.43</w:t>
            </w:r>
          </w:p>
        </w:tc>
        <w:tc>
          <w:tcPr>
            <w:tcW w:w="1098" w:type="dxa"/>
            <w:tcBorders>
              <w:right w:val="single" w:sz="2" w:space="0" w:color="auto"/>
            </w:tcBorders>
            <w:vAlign w:val="center"/>
          </w:tcPr>
          <w:p w14:paraId="0EC29979" w14:textId="7CB5DBD7" w:rsidR="008B1803" w:rsidRDefault="008B1803" w:rsidP="00BF4432">
            <w:pPr>
              <w:jc w:val="center"/>
              <w:rPr>
                <w:rFonts w:ascii="Calibri"/>
                <w:color w:val="0000FF"/>
              </w:rPr>
            </w:pPr>
            <w:r>
              <w:rPr>
                <w:rFonts w:ascii="Calibri"/>
                <w:color w:val="0000FF"/>
              </w:rPr>
              <w:t>8.8</w:t>
            </w:r>
            <w:r w:rsidR="00BF4432">
              <w:rPr>
                <w:rFonts w:ascii="Calibri"/>
                <w:color w:val="0000FF"/>
              </w:rPr>
              <w:t>7</w:t>
            </w:r>
            <w:r>
              <w:rPr>
                <w:rFonts w:ascii="Calibri"/>
                <w:color w:val="0000FF"/>
              </w:rPr>
              <w:t>9</w:t>
            </w:r>
          </w:p>
        </w:tc>
        <w:tc>
          <w:tcPr>
            <w:tcW w:w="1099" w:type="dxa"/>
            <w:tcBorders>
              <w:left w:val="single" w:sz="2" w:space="0" w:color="auto"/>
            </w:tcBorders>
            <w:vAlign w:val="center"/>
          </w:tcPr>
          <w:p w14:paraId="5A866F27" w14:textId="71E58F51" w:rsidR="008B1803" w:rsidRDefault="00A12753" w:rsidP="008B1803">
            <w:pPr>
              <w:jc w:val="center"/>
              <w:rPr>
                <w:rFonts w:ascii="Calibri"/>
                <w:color w:val="0000FF"/>
              </w:rPr>
            </w:pPr>
            <w:r w:rsidRPr="00A12753">
              <w:rPr>
                <w:rFonts w:ascii="Calibri"/>
                <w:color w:val="0000FF"/>
              </w:rPr>
              <w:t>2667.895</w:t>
            </w:r>
          </w:p>
        </w:tc>
        <w:tc>
          <w:tcPr>
            <w:tcW w:w="2028" w:type="dxa"/>
            <w:tcBorders>
              <w:left w:val="single" w:sz="2" w:space="0" w:color="auto"/>
            </w:tcBorders>
            <w:vAlign w:val="center"/>
          </w:tcPr>
          <w:p w14:paraId="72630DD9"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p>
        </w:tc>
      </w:tr>
      <w:tr w:rsidR="008B1803" w14:paraId="399278DF" w14:textId="77777777" w:rsidTr="008B1803">
        <w:trPr>
          <w:trHeight w:val="340"/>
        </w:trPr>
        <w:tc>
          <w:tcPr>
            <w:tcW w:w="552" w:type="dxa"/>
            <w:vAlign w:val="center"/>
          </w:tcPr>
          <w:p w14:paraId="5B38C48B"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三</w:t>
            </w:r>
          </w:p>
        </w:tc>
        <w:tc>
          <w:tcPr>
            <w:tcW w:w="8407" w:type="dxa"/>
            <w:gridSpan w:val="6"/>
            <w:vAlign w:val="center"/>
          </w:tcPr>
          <w:p w14:paraId="2BD8DC91"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全厂</w:t>
            </w:r>
            <w:r>
              <w:rPr>
                <w:rFonts w:ascii="Calibri" w:hAnsi="Calibri"/>
                <w:snapToGrid w:val="0"/>
                <w:color w:val="auto"/>
                <w:szCs w:val="21"/>
              </w:rPr>
              <w:t>合计</w:t>
            </w:r>
          </w:p>
        </w:tc>
      </w:tr>
      <w:tr w:rsidR="008B1803" w14:paraId="347D6810" w14:textId="77777777" w:rsidTr="008B1803">
        <w:trPr>
          <w:trHeight w:val="340"/>
        </w:trPr>
        <w:tc>
          <w:tcPr>
            <w:tcW w:w="552" w:type="dxa"/>
            <w:vAlign w:val="center"/>
          </w:tcPr>
          <w:p w14:paraId="4333E6D1"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1</w:t>
            </w:r>
          </w:p>
        </w:tc>
        <w:tc>
          <w:tcPr>
            <w:tcW w:w="1985" w:type="dxa"/>
            <w:vAlign w:val="center"/>
          </w:tcPr>
          <w:p w14:paraId="392AB7AB"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全厂</w:t>
            </w:r>
            <w:r>
              <w:rPr>
                <w:rFonts w:ascii="Calibri" w:hAnsi="Calibri"/>
                <w:snapToGrid w:val="0"/>
                <w:color w:val="auto"/>
                <w:szCs w:val="21"/>
              </w:rPr>
              <w:t>用排水量</w:t>
            </w:r>
          </w:p>
        </w:tc>
        <w:tc>
          <w:tcPr>
            <w:tcW w:w="1098" w:type="dxa"/>
            <w:tcBorders>
              <w:right w:val="single" w:sz="2" w:space="0" w:color="auto"/>
            </w:tcBorders>
            <w:vAlign w:val="center"/>
          </w:tcPr>
          <w:p w14:paraId="36D4E97F" w14:textId="614126DD" w:rsidR="008B1803" w:rsidRDefault="00A5132D" w:rsidP="008B1803">
            <w:pPr>
              <w:jc w:val="center"/>
              <w:rPr>
                <w:rFonts w:ascii="Calibri" w:hAnsi="Calibri"/>
                <w:snapToGrid w:val="0"/>
                <w:color w:val="auto"/>
                <w:szCs w:val="21"/>
              </w:rPr>
            </w:pPr>
            <w:r>
              <w:rPr>
                <w:rFonts w:ascii="Calibri" w:hAnsi="Calibri"/>
                <w:snapToGrid w:val="0"/>
                <w:szCs w:val="21"/>
              </w:rPr>
              <w:t>48.91</w:t>
            </w:r>
          </w:p>
        </w:tc>
        <w:tc>
          <w:tcPr>
            <w:tcW w:w="1099" w:type="dxa"/>
            <w:tcBorders>
              <w:left w:val="single" w:sz="2" w:space="0" w:color="auto"/>
            </w:tcBorders>
            <w:vAlign w:val="center"/>
          </w:tcPr>
          <w:p w14:paraId="210E86D4" w14:textId="1B93DCEC" w:rsidR="008B1803" w:rsidRDefault="00A5132D" w:rsidP="008B1803">
            <w:pPr>
              <w:jc w:val="center"/>
              <w:rPr>
                <w:rFonts w:ascii="Calibri" w:hAnsi="Calibri"/>
                <w:snapToGrid w:val="0"/>
                <w:color w:val="auto"/>
                <w:szCs w:val="21"/>
              </w:rPr>
            </w:pPr>
            <w:r w:rsidRPr="00A5132D">
              <w:rPr>
                <w:rFonts w:ascii="Calibri" w:hAnsi="Calibri"/>
                <w:snapToGrid w:val="0"/>
                <w:szCs w:val="21"/>
              </w:rPr>
              <w:t>14675.72</w:t>
            </w:r>
          </w:p>
        </w:tc>
        <w:tc>
          <w:tcPr>
            <w:tcW w:w="1098" w:type="dxa"/>
            <w:tcBorders>
              <w:right w:val="single" w:sz="2" w:space="0" w:color="auto"/>
            </w:tcBorders>
            <w:vAlign w:val="center"/>
          </w:tcPr>
          <w:p w14:paraId="455736C0" w14:textId="51D65629" w:rsidR="008B1803" w:rsidRDefault="007D0738" w:rsidP="00BF4432">
            <w:pPr>
              <w:jc w:val="center"/>
              <w:rPr>
                <w:rFonts w:ascii="Calibri"/>
                <w:color w:val="auto"/>
              </w:rPr>
            </w:pPr>
            <w:r>
              <w:rPr>
                <w:rFonts w:ascii="Calibri"/>
              </w:rPr>
              <w:t>51.3</w:t>
            </w:r>
            <w:r w:rsidR="00BF4432">
              <w:rPr>
                <w:rFonts w:ascii="Calibri"/>
              </w:rPr>
              <w:t>0</w:t>
            </w:r>
          </w:p>
        </w:tc>
        <w:tc>
          <w:tcPr>
            <w:tcW w:w="1099" w:type="dxa"/>
            <w:tcBorders>
              <w:left w:val="single" w:sz="2" w:space="0" w:color="auto"/>
            </w:tcBorders>
            <w:vAlign w:val="center"/>
          </w:tcPr>
          <w:p w14:paraId="3DDC4562" w14:textId="3C08AEF2" w:rsidR="008B1803" w:rsidRDefault="00A5132D" w:rsidP="008B1803">
            <w:pPr>
              <w:jc w:val="center"/>
              <w:rPr>
                <w:rFonts w:ascii="Calibri" w:hAnsi="Calibri"/>
                <w:snapToGrid w:val="0"/>
                <w:color w:val="auto"/>
                <w:szCs w:val="21"/>
              </w:rPr>
            </w:pPr>
            <w:r w:rsidRPr="00A5132D">
              <w:rPr>
                <w:rFonts w:ascii="Calibri" w:hAnsi="Calibri"/>
                <w:snapToGrid w:val="0"/>
                <w:szCs w:val="21"/>
              </w:rPr>
              <w:t>15394.855</w:t>
            </w:r>
          </w:p>
        </w:tc>
        <w:tc>
          <w:tcPr>
            <w:tcW w:w="2028" w:type="dxa"/>
            <w:tcBorders>
              <w:left w:val="single" w:sz="2" w:space="0" w:color="auto"/>
            </w:tcBorders>
            <w:vAlign w:val="center"/>
          </w:tcPr>
          <w:p w14:paraId="465E8E14"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p>
        </w:tc>
      </w:tr>
      <w:tr w:rsidR="008B1803" w14:paraId="2B85C581" w14:textId="77777777" w:rsidTr="008B1803">
        <w:trPr>
          <w:trHeight w:val="340"/>
        </w:trPr>
        <w:tc>
          <w:tcPr>
            <w:tcW w:w="552" w:type="dxa"/>
            <w:vMerge w:val="restart"/>
            <w:vAlign w:val="center"/>
          </w:tcPr>
          <w:p w14:paraId="4A0DFCA3"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其中</w:t>
            </w:r>
          </w:p>
        </w:tc>
        <w:tc>
          <w:tcPr>
            <w:tcW w:w="1985" w:type="dxa"/>
            <w:vAlign w:val="center"/>
          </w:tcPr>
          <w:p w14:paraId="15A1D65B"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进入</w:t>
            </w:r>
            <w:r>
              <w:rPr>
                <w:rFonts w:ascii="Calibri" w:hAnsi="Calibri"/>
                <w:snapToGrid w:val="0"/>
                <w:color w:val="auto"/>
                <w:szCs w:val="21"/>
              </w:rPr>
              <w:t>厂区废水处理站废水</w:t>
            </w:r>
          </w:p>
        </w:tc>
        <w:tc>
          <w:tcPr>
            <w:tcW w:w="1098" w:type="dxa"/>
            <w:tcBorders>
              <w:right w:val="single" w:sz="2" w:space="0" w:color="auto"/>
            </w:tcBorders>
            <w:vAlign w:val="center"/>
          </w:tcPr>
          <w:p w14:paraId="7CA90C10"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p>
        </w:tc>
        <w:tc>
          <w:tcPr>
            <w:tcW w:w="1099" w:type="dxa"/>
            <w:tcBorders>
              <w:left w:val="single" w:sz="2" w:space="0" w:color="auto"/>
            </w:tcBorders>
            <w:vAlign w:val="center"/>
          </w:tcPr>
          <w:p w14:paraId="7C40CC0D"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p>
        </w:tc>
        <w:tc>
          <w:tcPr>
            <w:tcW w:w="1098" w:type="dxa"/>
            <w:tcBorders>
              <w:right w:val="single" w:sz="2" w:space="0" w:color="auto"/>
            </w:tcBorders>
            <w:vAlign w:val="center"/>
          </w:tcPr>
          <w:p w14:paraId="5CE113DE" w14:textId="66DAE1D8" w:rsidR="008B1803" w:rsidRDefault="007D0738" w:rsidP="008B1803">
            <w:pPr>
              <w:jc w:val="center"/>
              <w:rPr>
                <w:rFonts w:ascii="Calibri"/>
                <w:color w:val="auto"/>
              </w:rPr>
            </w:pPr>
            <w:r>
              <w:rPr>
                <w:rFonts w:ascii="Calibri"/>
              </w:rPr>
              <w:t>47.88</w:t>
            </w:r>
          </w:p>
        </w:tc>
        <w:tc>
          <w:tcPr>
            <w:tcW w:w="1099" w:type="dxa"/>
            <w:tcBorders>
              <w:left w:val="single" w:sz="2" w:space="0" w:color="auto"/>
            </w:tcBorders>
            <w:vAlign w:val="center"/>
          </w:tcPr>
          <w:p w14:paraId="41C4234F" w14:textId="7EFCD1BB" w:rsidR="008B1803" w:rsidRDefault="007D0738" w:rsidP="008B1803">
            <w:pPr>
              <w:jc w:val="center"/>
              <w:rPr>
                <w:rFonts w:ascii="Calibri" w:hAnsi="Calibri"/>
                <w:snapToGrid w:val="0"/>
                <w:color w:val="auto"/>
                <w:szCs w:val="21"/>
              </w:rPr>
            </w:pPr>
            <w:r>
              <w:rPr>
                <w:rFonts w:ascii="Calibri" w:hAnsi="Calibri"/>
                <w:snapToGrid w:val="0"/>
                <w:szCs w:val="21"/>
              </w:rPr>
              <w:t>14365.035</w:t>
            </w:r>
          </w:p>
        </w:tc>
        <w:tc>
          <w:tcPr>
            <w:tcW w:w="2028" w:type="dxa"/>
            <w:tcBorders>
              <w:left w:val="single" w:sz="2" w:space="0" w:color="auto"/>
            </w:tcBorders>
            <w:vAlign w:val="center"/>
          </w:tcPr>
          <w:p w14:paraId="1C8B6A9D"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进入厂区废水处理站</w:t>
            </w:r>
          </w:p>
        </w:tc>
      </w:tr>
      <w:tr w:rsidR="008B1803" w14:paraId="764B928C" w14:textId="77777777" w:rsidTr="008B1803">
        <w:trPr>
          <w:trHeight w:val="340"/>
        </w:trPr>
        <w:tc>
          <w:tcPr>
            <w:tcW w:w="552" w:type="dxa"/>
            <w:vMerge/>
            <w:vAlign w:val="center"/>
          </w:tcPr>
          <w:p w14:paraId="45F6AFBE" w14:textId="77777777" w:rsidR="008B1803" w:rsidRDefault="008B1803" w:rsidP="008B1803">
            <w:pPr>
              <w:jc w:val="center"/>
              <w:rPr>
                <w:rFonts w:ascii="Calibri" w:hAnsi="Calibri"/>
                <w:snapToGrid w:val="0"/>
                <w:color w:val="auto"/>
                <w:szCs w:val="21"/>
              </w:rPr>
            </w:pPr>
          </w:p>
        </w:tc>
        <w:tc>
          <w:tcPr>
            <w:tcW w:w="1985" w:type="dxa"/>
            <w:vAlign w:val="center"/>
          </w:tcPr>
          <w:p w14:paraId="23C0E99C" w14:textId="77777777" w:rsidR="008B1803" w:rsidRDefault="008B1803" w:rsidP="008B1803">
            <w:pPr>
              <w:jc w:val="center"/>
              <w:rPr>
                <w:rFonts w:ascii="Calibri" w:hAnsi="Calibri"/>
                <w:snapToGrid w:val="0"/>
                <w:color w:val="auto"/>
                <w:szCs w:val="21"/>
              </w:rPr>
            </w:pPr>
            <w:r>
              <w:rPr>
                <w:rFonts w:ascii="Calibri" w:hAnsi="Calibri" w:hint="eastAsia"/>
                <w:snapToGrid w:val="0"/>
                <w:szCs w:val="21"/>
              </w:rPr>
              <w:t>经厂区</w:t>
            </w:r>
            <w:r>
              <w:rPr>
                <w:rFonts w:ascii="Calibri" w:hAnsi="Calibri"/>
                <w:snapToGrid w:val="0"/>
                <w:szCs w:val="21"/>
              </w:rPr>
              <w:t>总排口</w:t>
            </w:r>
            <w:r>
              <w:rPr>
                <w:rFonts w:ascii="Calibri" w:hAnsi="Calibri" w:hint="eastAsia"/>
                <w:snapToGrid w:val="0"/>
                <w:szCs w:val="21"/>
              </w:rPr>
              <w:t>排入集聚区处理厂集中处理。</w:t>
            </w:r>
          </w:p>
        </w:tc>
        <w:tc>
          <w:tcPr>
            <w:tcW w:w="1098" w:type="dxa"/>
            <w:tcBorders>
              <w:right w:val="single" w:sz="2" w:space="0" w:color="auto"/>
            </w:tcBorders>
            <w:vAlign w:val="center"/>
          </w:tcPr>
          <w:p w14:paraId="3ACEDA7E"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p>
        </w:tc>
        <w:tc>
          <w:tcPr>
            <w:tcW w:w="1099" w:type="dxa"/>
            <w:tcBorders>
              <w:left w:val="single" w:sz="2" w:space="0" w:color="auto"/>
            </w:tcBorders>
            <w:vAlign w:val="center"/>
          </w:tcPr>
          <w:p w14:paraId="2CA0DEEE"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w:t>
            </w:r>
          </w:p>
        </w:tc>
        <w:tc>
          <w:tcPr>
            <w:tcW w:w="1098" w:type="dxa"/>
            <w:tcBorders>
              <w:right w:val="single" w:sz="2" w:space="0" w:color="auto"/>
            </w:tcBorders>
            <w:vAlign w:val="center"/>
          </w:tcPr>
          <w:p w14:paraId="32950B0E" w14:textId="575E4398" w:rsidR="008B1803" w:rsidRDefault="008B1803" w:rsidP="00BF4432">
            <w:pPr>
              <w:jc w:val="center"/>
              <w:rPr>
                <w:rFonts w:ascii="Calibri"/>
                <w:color w:val="auto"/>
              </w:rPr>
            </w:pPr>
            <w:r>
              <w:rPr>
                <w:rFonts w:ascii="Calibri"/>
              </w:rPr>
              <w:t>3.4</w:t>
            </w:r>
            <w:r w:rsidR="00BF4432">
              <w:rPr>
                <w:rFonts w:ascii="Calibri"/>
              </w:rPr>
              <w:t>2</w:t>
            </w:r>
          </w:p>
        </w:tc>
        <w:tc>
          <w:tcPr>
            <w:tcW w:w="1099" w:type="dxa"/>
            <w:tcBorders>
              <w:left w:val="single" w:sz="2" w:space="0" w:color="auto"/>
            </w:tcBorders>
            <w:vAlign w:val="center"/>
          </w:tcPr>
          <w:p w14:paraId="1AD5F393" w14:textId="40DFFC1A" w:rsidR="008B1803" w:rsidRDefault="000A54D3" w:rsidP="007D0738">
            <w:pPr>
              <w:jc w:val="center"/>
              <w:rPr>
                <w:rFonts w:ascii="Calibri" w:hAnsi="Calibri"/>
                <w:snapToGrid w:val="0"/>
                <w:color w:val="auto"/>
                <w:szCs w:val="21"/>
              </w:rPr>
            </w:pPr>
            <w:r>
              <w:rPr>
                <w:rFonts w:ascii="Calibri" w:hAnsi="Calibri"/>
                <w:snapToGrid w:val="0"/>
                <w:szCs w:val="21"/>
              </w:rPr>
              <w:t>102</w:t>
            </w:r>
            <w:r w:rsidR="007D0738">
              <w:rPr>
                <w:rFonts w:ascii="Calibri" w:hAnsi="Calibri"/>
                <w:snapToGrid w:val="0"/>
                <w:szCs w:val="21"/>
              </w:rPr>
              <w:t>9</w:t>
            </w:r>
            <w:r>
              <w:rPr>
                <w:rFonts w:ascii="Calibri" w:hAnsi="Calibri"/>
                <w:snapToGrid w:val="0"/>
                <w:szCs w:val="21"/>
              </w:rPr>
              <w:t>.</w:t>
            </w:r>
            <w:r w:rsidR="007D0738">
              <w:rPr>
                <w:rFonts w:ascii="Calibri" w:hAnsi="Calibri"/>
                <w:snapToGrid w:val="0"/>
                <w:szCs w:val="21"/>
              </w:rPr>
              <w:t>82</w:t>
            </w:r>
          </w:p>
        </w:tc>
        <w:tc>
          <w:tcPr>
            <w:tcW w:w="2028" w:type="dxa"/>
            <w:tcBorders>
              <w:left w:val="single" w:sz="2" w:space="0" w:color="auto"/>
            </w:tcBorders>
            <w:vAlign w:val="center"/>
          </w:tcPr>
          <w:p w14:paraId="1CEE1FED" w14:textId="77777777" w:rsidR="008B1803" w:rsidRDefault="008B1803" w:rsidP="008B1803">
            <w:pPr>
              <w:jc w:val="center"/>
              <w:rPr>
                <w:rFonts w:ascii="Calibri" w:hAnsi="Calibri"/>
                <w:snapToGrid w:val="0"/>
                <w:color w:val="auto"/>
                <w:szCs w:val="21"/>
              </w:rPr>
            </w:pPr>
            <w:r>
              <w:rPr>
                <w:rFonts w:ascii="Calibri" w:hAnsi="Calibri" w:hint="eastAsia"/>
                <w:snapToGrid w:val="0"/>
                <w:color w:val="auto"/>
                <w:szCs w:val="21"/>
              </w:rPr>
              <w:t>通过</w:t>
            </w:r>
            <w:r>
              <w:rPr>
                <w:rFonts w:ascii="Calibri" w:hAnsi="Calibri"/>
                <w:snapToGrid w:val="0"/>
                <w:color w:val="auto"/>
                <w:szCs w:val="21"/>
              </w:rPr>
              <w:t>市政管网进入集聚区污水处理厂处理</w:t>
            </w:r>
          </w:p>
        </w:tc>
      </w:tr>
    </w:tbl>
    <w:p w14:paraId="4C4201B1" w14:textId="77777777" w:rsidR="00D624D2" w:rsidRPr="00A964FF" w:rsidRDefault="00D624D2" w:rsidP="008B1803">
      <w:pPr>
        <w:spacing w:line="500" w:lineRule="exact"/>
        <w:ind w:firstLineChars="200" w:firstLine="420"/>
        <w:rPr>
          <w:rFonts w:ascii="Calibri"/>
          <w:color w:val="auto"/>
          <w:szCs w:val="21"/>
        </w:rPr>
      </w:pPr>
      <w:r w:rsidRPr="00A964FF">
        <w:rPr>
          <w:rFonts w:ascii="Calibri" w:hint="eastAsia"/>
          <w:color w:val="auto"/>
          <w:szCs w:val="21"/>
        </w:rPr>
        <w:t>备注：</w:t>
      </w:r>
      <w:r>
        <w:rPr>
          <w:rFonts w:ascii="Calibri" w:hint="eastAsia"/>
          <w:color w:val="auto"/>
          <w:szCs w:val="21"/>
        </w:rPr>
        <w:t>厂区</w:t>
      </w:r>
      <w:r w:rsidRPr="00D624D2">
        <w:rPr>
          <w:rFonts w:ascii="Calibri" w:hint="eastAsia"/>
          <w:color w:val="auto"/>
          <w:szCs w:val="21"/>
        </w:rPr>
        <w:t>制粒冷却、泵及冷却塔循环均使用纯水</w:t>
      </w:r>
      <w:r w:rsidRPr="00A964FF">
        <w:rPr>
          <w:rFonts w:ascii="Calibri" w:hint="eastAsia"/>
          <w:color w:val="auto"/>
          <w:szCs w:val="21"/>
        </w:rPr>
        <w:t>，已计算在</w:t>
      </w:r>
      <w:r w:rsidR="00643331">
        <w:rPr>
          <w:rFonts w:ascii="Calibri" w:hint="eastAsia"/>
          <w:color w:val="auto"/>
          <w:szCs w:val="21"/>
        </w:rPr>
        <w:t>纯水制备</w:t>
      </w:r>
      <w:r w:rsidRPr="00A964FF">
        <w:rPr>
          <w:rFonts w:ascii="Calibri" w:hint="eastAsia"/>
          <w:color w:val="auto"/>
          <w:szCs w:val="21"/>
        </w:rPr>
        <w:t>水平衡中。</w:t>
      </w:r>
    </w:p>
    <w:p w14:paraId="1B47AE75" w14:textId="09C29176" w:rsidR="008B1803" w:rsidRDefault="008B1803" w:rsidP="008B1803">
      <w:pPr>
        <w:spacing w:line="500" w:lineRule="exact"/>
        <w:ind w:firstLineChars="200" w:firstLine="480"/>
        <w:rPr>
          <w:rFonts w:ascii="Calibri"/>
          <w:color w:val="auto"/>
          <w:sz w:val="24"/>
        </w:rPr>
      </w:pPr>
      <w:r>
        <w:rPr>
          <w:rFonts w:ascii="Calibri" w:hint="eastAsia"/>
          <w:color w:val="auto"/>
          <w:sz w:val="24"/>
        </w:rPr>
        <w:t>由上表可知，本项目营运后厂区总用水量为</w:t>
      </w:r>
      <w:r w:rsidR="007D0738" w:rsidRPr="007D0738">
        <w:rPr>
          <w:rFonts w:ascii="Calibri"/>
          <w:color w:val="auto"/>
          <w:sz w:val="24"/>
        </w:rPr>
        <w:t>48.91</w:t>
      </w:r>
      <w:r>
        <w:rPr>
          <w:rFonts w:ascii="Calibri" w:hint="eastAsia"/>
          <w:color w:val="auto"/>
          <w:sz w:val="24"/>
        </w:rPr>
        <w:t>t/d</w:t>
      </w:r>
      <w:r>
        <w:rPr>
          <w:rFonts w:ascii="Calibri" w:hint="eastAsia"/>
          <w:color w:val="auto"/>
          <w:sz w:val="24"/>
        </w:rPr>
        <w:t>，</w:t>
      </w:r>
      <w:r w:rsidR="007D0738" w:rsidRPr="007D0738">
        <w:rPr>
          <w:rFonts w:ascii="Calibri"/>
          <w:color w:val="auto"/>
          <w:sz w:val="24"/>
        </w:rPr>
        <w:t>14675.72</w:t>
      </w:r>
      <w:r>
        <w:rPr>
          <w:rFonts w:ascii="Calibri" w:hint="eastAsia"/>
          <w:color w:val="auto"/>
          <w:sz w:val="24"/>
        </w:rPr>
        <w:t>t/a</w:t>
      </w:r>
      <w:r>
        <w:rPr>
          <w:rFonts w:ascii="Calibri" w:hint="eastAsia"/>
          <w:color w:val="auto"/>
          <w:sz w:val="24"/>
        </w:rPr>
        <w:t>，总废水量为</w:t>
      </w:r>
      <w:r w:rsidR="007D0738" w:rsidRPr="007D0738">
        <w:rPr>
          <w:rFonts w:ascii="Calibri"/>
          <w:color w:val="auto"/>
          <w:sz w:val="24"/>
        </w:rPr>
        <w:t>51.3</w:t>
      </w:r>
      <w:r w:rsidR="00E01926">
        <w:rPr>
          <w:rFonts w:ascii="Calibri"/>
          <w:color w:val="auto"/>
          <w:sz w:val="24"/>
        </w:rPr>
        <w:t>0</w:t>
      </w:r>
      <w:r>
        <w:rPr>
          <w:rFonts w:ascii="Calibri" w:hint="eastAsia"/>
          <w:color w:val="auto"/>
          <w:sz w:val="24"/>
        </w:rPr>
        <w:t>t/d</w:t>
      </w:r>
      <w:r>
        <w:rPr>
          <w:rFonts w:ascii="Calibri" w:hint="eastAsia"/>
          <w:color w:val="auto"/>
          <w:sz w:val="24"/>
        </w:rPr>
        <w:t>，</w:t>
      </w:r>
      <w:r w:rsidR="007D0738" w:rsidRPr="007D0738">
        <w:rPr>
          <w:rFonts w:ascii="Calibri"/>
          <w:color w:val="auto"/>
          <w:sz w:val="24"/>
        </w:rPr>
        <w:t>15394.855</w:t>
      </w:r>
      <w:r>
        <w:rPr>
          <w:rFonts w:ascii="Calibri" w:hint="eastAsia"/>
          <w:color w:val="auto"/>
          <w:sz w:val="24"/>
        </w:rPr>
        <w:t>t/a</w:t>
      </w:r>
      <w:r>
        <w:rPr>
          <w:rFonts w:ascii="Calibri" w:hint="eastAsia"/>
          <w:color w:val="auto"/>
          <w:sz w:val="24"/>
        </w:rPr>
        <w:t>；其中一期工程用水量为</w:t>
      </w:r>
      <w:r w:rsidR="007D0738" w:rsidRPr="007D0738">
        <w:rPr>
          <w:rFonts w:ascii="Calibri"/>
          <w:color w:val="auto"/>
          <w:sz w:val="24"/>
        </w:rPr>
        <w:t>42.18</w:t>
      </w:r>
      <w:r>
        <w:rPr>
          <w:rFonts w:ascii="Calibri" w:hint="eastAsia"/>
          <w:color w:val="auto"/>
          <w:sz w:val="24"/>
        </w:rPr>
        <w:t>t/d</w:t>
      </w:r>
      <w:r>
        <w:rPr>
          <w:rFonts w:ascii="Calibri" w:hint="eastAsia"/>
          <w:color w:val="auto"/>
          <w:sz w:val="24"/>
        </w:rPr>
        <w:t>，</w:t>
      </w:r>
      <w:r w:rsidR="007D0738" w:rsidRPr="007D0738">
        <w:rPr>
          <w:rFonts w:ascii="Calibri"/>
          <w:color w:val="auto"/>
          <w:sz w:val="24"/>
        </w:rPr>
        <w:t>12655.29</w:t>
      </w:r>
      <w:r>
        <w:rPr>
          <w:rFonts w:ascii="Calibri" w:hint="eastAsia"/>
          <w:color w:val="auto"/>
          <w:sz w:val="24"/>
        </w:rPr>
        <w:t>t/a</w:t>
      </w:r>
      <w:r>
        <w:rPr>
          <w:rFonts w:ascii="Calibri" w:hint="eastAsia"/>
          <w:color w:val="auto"/>
          <w:sz w:val="24"/>
        </w:rPr>
        <w:t>，废水量为</w:t>
      </w:r>
      <w:r w:rsidR="007D0738" w:rsidRPr="007D0738">
        <w:rPr>
          <w:rFonts w:ascii="Calibri"/>
          <w:color w:val="auto"/>
          <w:sz w:val="24"/>
        </w:rPr>
        <w:t>42.421</w:t>
      </w:r>
      <w:r>
        <w:rPr>
          <w:rFonts w:ascii="Calibri" w:hint="eastAsia"/>
          <w:color w:val="auto"/>
          <w:sz w:val="24"/>
        </w:rPr>
        <w:t>t/d</w:t>
      </w:r>
      <w:r>
        <w:rPr>
          <w:rFonts w:ascii="Calibri" w:hint="eastAsia"/>
          <w:color w:val="auto"/>
          <w:sz w:val="24"/>
        </w:rPr>
        <w:t>，</w:t>
      </w:r>
      <w:r w:rsidR="007D0738" w:rsidRPr="007D0738">
        <w:rPr>
          <w:rFonts w:ascii="Calibri"/>
          <w:color w:val="auto"/>
          <w:sz w:val="24"/>
        </w:rPr>
        <w:t>12726.96</w:t>
      </w:r>
      <w:r>
        <w:rPr>
          <w:rFonts w:ascii="Calibri" w:hint="eastAsia"/>
          <w:color w:val="auto"/>
          <w:sz w:val="24"/>
        </w:rPr>
        <w:t>t/a</w:t>
      </w:r>
      <w:r>
        <w:rPr>
          <w:rFonts w:ascii="Calibri" w:hint="eastAsia"/>
          <w:color w:val="auto"/>
          <w:sz w:val="24"/>
        </w:rPr>
        <w:t>；二期工程用水量为</w:t>
      </w:r>
      <w:r>
        <w:rPr>
          <w:rFonts w:ascii="Calibri"/>
          <w:color w:val="auto"/>
          <w:sz w:val="24"/>
        </w:rPr>
        <w:t>6.73</w:t>
      </w:r>
      <w:r>
        <w:rPr>
          <w:rFonts w:ascii="Calibri" w:hint="eastAsia"/>
          <w:color w:val="auto"/>
          <w:sz w:val="24"/>
        </w:rPr>
        <w:t>t/d</w:t>
      </w:r>
      <w:r>
        <w:rPr>
          <w:rFonts w:ascii="Calibri" w:hint="eastAsia"/>
          <w:color w:val="auto"/>
          <w:sz w:val="24"/>
        </w:rPr>
        <w:t>，</w:t>
      </w:r>
      <w:r w:rsidR="007D0738" w:rsidRPr="007D0738">
        <w:rPr>
          <w:rFonts w:ascii="Calibri"/>
          <w:color w:val="auto"/>
          <w:sz w:val="24"/>
        </w:rPr>
        <w:t>2020.43</w:t>
      </w:r>
      <w:r>
        <w:rPr>
          <w:rFonts w:ascii="Calibri" w:hint="eastAsia"/>
          <w:color w:val="auto"/>
          <w:sz w:val="24"/>
        </w:rPr>
        <w:t>t/a</w:t>
      </w:r>
      <w:r>
        <w:rPr>
          <w:rFonts w:ascii="Calibri" w:hint="eastAsia"/>
          <w:color w:val="auto"/>
          <w:sz w:val="24"/>
        </w:rPr>
        <w:t>，废水量为</w:t>
      </w:r>
      <w:r w:rsidR="007D0738" w:rsidRPr="007D0738">
        <w:rPr>
          <w:rFonts w:ascii="Calibri"/>
          <w:color w:val="auto"/>
          <w:sz w:val="24"/>
        </w:rPr>
        <w:t>8.889</w:t>
      </w:r>
      <w:r>
        <w:rPr>
          <w:rFonts w:ascii="Calibri" w:hint="eastAsia"/>
          <w:color w:val="auto"/>
          <w:sz w:val="24"/>
        </w:rPr>
        <w:t>t/d</w:t>
      </w:r>
      <w:r>
        <w:rPr>
          <w:rFonts w:ascii="Calibri" w:hint="eastAsia"/>
          <w:color w:val="auto"/>
          <w:sz w:val="24"/>
        </w:rPr>
        <w:t>，</w:t>
      </w:r>
      <w:r w:rsidR="007D0738" w:rsidRPr="007D0738">
        <w:rPr>
          <w:rFonts w:ascii="Calibri"/>
          <w:color w:val="auto"/>
          <w:sz w:val="24"/>
        </w:rPr>
        <w:t>2667.895</w:t>
      </w:r>
      <w:r>
        <w:rPr>
          <w:rFonts w:ascii="Calibri" w:hint="eastAsia"/>
          <w:color w:val="auto"/>
          <w:sz w:val="24"/>
        </w:rPr>
        <w:t>t/a</w:t>
      </w:r>
      <w:r>
        <w:rPr>
          <w:rFonts w:ascii="Calibri" w:hint="eastAsia"/>
          <w:color w:val="auto"/>
          <w:sz w:val="24"/>
        </w:rPr>
        <w:t>。</w:t>
      </w:r>
    </w:p>
    <w:p w14:paraId="27FC791A" w14:textId="77777777" w:rsidR="001D7A20" w:rsidRPr="00CE5C3D" w:rsidRDefault="007537EB" w:rsidP="00CE5C3D">
      <w:pPr>
        <w:spacing w:line="520" w:lineRule="exact"/>
        <w:ind w:firstLine="480"/>
        <w:jc w:val="left"/>
        <w:rPr>
          <w:rFonts w:ascii="Calibri" w:hAnsi="Calibri"/>
          <w:color w:val="auto"/>
          <w:sz w:val="24"/>
        </w:rPr>
        <w:sectPr w:rsidR="001D7A20" w:rsidRPr="00CE5C3D" w:rsidSect="00CC0381">
          <w:pgSz w:w="11906" w:h="16838" w:code="9"/>
          <w:pgMar w:top="1440" w:right="1588" w:bottom="1440" w:left="1588" w:header="851" w:footer="992" w:gutter="0"/>
          <w:cols w:space="720"/>
          <w:docGrid w:linePitch="312"/>
        </w:sectPr>
      </w:pPr>
      <w:r>
        <w:rPr>
          <w:rFonts w:ascii="Calibri" w:hint="eastAsia"/>
          <w:color w:val="auto"/>
          <w:sz w:val="24"/>
        </w:rPr>
        <w:t>本项目</w:t>
      </w:r>
      <w:r w:rsidR="00CA11A2">
        <w:rPr>
          <w:rFonts w:ascii="Calibri" w:hint="eastAsia"/>
          <w:color w:val="auto"/>
          <w:sz w:val="24"/>
        </w:rPr>
        <w:t>生产</w:t>
      </w:r>
      <w:r w:rsidR="00CA11A2">
        <w:rPr>
          <w:rFonts w:ascii="Calibri"/>
          <w:color w:val="auto"/>
          <w:sz w:val="24"/>
        </w:rPr>
        <w:t>及生活</w:t>
      </w:r>
      <w:r w:rsidR="00CA11A2">
        <w:rPr>
          <w:rFonts w:ascii="Calibri" w:hint="eastAsia"/>
          <w:color w:val="auto"/>
          <w:sz w:val="24"/>
        </w:rPr>
        <w:t>废水</w:t>
      </w:r>
      <w:r>
        <w:rPr>
          <w:rFonts w:ascii="Calibri" w:hAnsi="Calibri"/>
          <w:color w:val="auto"/>
          <w:sz w:val="24"/>
        </w:rPr>
        <w:t>进入厂区污水处理站</w:t>
      </w:r>
      <w:r w:rsidR="00CA11A2">
        <w:rPr>
          <w:rFonts w:ascii="Calibri" w:hAnsi="Calibri" w:hint="eastAsia"/>
          <w:color w:val="auto"/>
          <w:sz w:val="24"/>
        </w:rPr>
        <w:t>进行</w:t>
      </w:r>
      <w:r w:rsidR="00CA11A2">
        <w:rPr>
          <w:rFonts w:ascii="Calibri" w:hAnsi="Calibri"/>
          <w:color w:val="auto"/>
          <w:sz w:val="24"/>
        </w:rPr>
        <w:t>处理</w:t>
      </w:r>
      <w:r>
        <w:rPr>
          <w:rFonts w:ascii="Calibri" w:hAnsi="Calibri"/>
          <w:color w:val="auto"/>
          <w:sz w:val="24"/>
        </w:rPr>
        <w:t>。</w:t>
      </w:r>
      <w:r w:rsidR="001D7A20" w:rsidRPr="00A964FF">
        <w:rPr>
          <w:rFonts w:ascii="Calibri" w:hint="eastAsia"/>
          <w:color w:val="auto"/>
          <w:sz w:val="24"/>
        </w:rPr>
        <w:t>项目</w:t>
      </w:r>
      <w:r w:rsidR="00AE0B19" w:rsidRPr="00A964FF">
        <w:rPr>
          <w:rFonts w:ascii="Calibri" w:hint="eastAsia"/>
          <w:color w:val="auto"/>
          <w:sz w:val="24"/>
        </w:rPr>
        <w:t>废水各污染物产排情况见表</w:t>
      </w:r>
      <w:r w:rsidR="00CA11A2">
        <w:rPr>
          <w:rFonts w:ascii="Calibri" w:hint="eastAsia"/>
          <w:color w:val="auto"/>
          <w:sz w:val="24"/>
        </w:rPr>
        <w:t>2.3-</w:t>
      </w:r>
      <w:r w:rsidR="008B1803">
        <w:rPr>
          <w:rFonts w:ascii="Calibri"/>
          <w:color w:val="auto"/>
          <w:sz w:val="24"/>
        </w:rPr>
        <w:t>20</w:t>
      </w:r>
    </w:p>
    <w:p w14:paraId="1BBE8F92" w14:textId="77777777" w:rsidR="004F56C9" w:rsidRPr="00455580" w:rsidRDefault="004F56C9" w:rsidP="00CE5C3D">
      <w:pPr>
        <w:spacing w:line="520" w:lineRule="exact"/>
        <w:ind w:firstLineChars="250" w:firstLine="600"/>
        <w:jc w:val="left"/>
        <w:rPr>
          <w:rFonts w:ascii="Calibri" w:eastAsia="黑体" w:hAnsi="Calibri"/>
          <w:color w:val="auto"/>
          <w:sz w:val="24"/>
        </w:rPr>
      </w:pPr>
      <w:r w:rsidRPr="00A964FF">
        <w:rPr>
          <w:rFonts w:ascii="Calibri" w:eastAsia="黑体"/>
          <w:color w:val="auto"/>
          <w:sz w:val="24"/>
        </w:rPr>
        <w:lastRenderedPageBreak/>
        <w:t>表</w:t>
      </w:r>
      <w:r w:rsidRPr="00A964FF">
        <w:rPr>
          <w:rFonts w:ascii="Calibri" w:eastAsia="黑体" w:hAnsi="Calibri"/>
          <w:color w:val="auto"/>
          <w:sz w:val="24"/>
        </w:rPr>
        <w:t>2.3-</w:t>
      </w:r>
      <w:r w:rsidR="00433709">
        <w:rPr>
          <w:rFonts w:ascii="Calibri" w:eastAsia="黑体" w:hAnsi="Calibri" w:hint="eastAsia"/>
          <w:color w:val="auto"/>
          <w:sz w:val="24"/>
        </w:rPr>
        <w:t>2</w:t>
      </w:r>
      <w:r w:rsidR="008B1803">
        <w:rPr>
          <w:rFonts w:ascii="Calibri" w:eastAsia="黑体" w:hAnsi="Calibri"/>
          <w:color w:val="auto"/>
          <w:sz w:val="24"/>
        </w:rPr>
        <w:t>0</w:t>
      </w:r>
      <w:r w:rsidRPr="00A964FF">
        <w:rPr>
          <w:rFonts w:ascii="Calibri" w:eastAsia="黑体" w:hAnsi="Calibri"/>
          <w:color w:val="auto"/>
          <w:sz w:val="24"/>
        </w:rPr>
        <w:t xml:space="preserve">                       </w:t>
      </w:r>
      <w:r w:rsidR="003D5549"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color w:val="auto"/>
          <w:sz w:val="24"/>
        </w:rPr>
        <w:t>本项目营运后</w:t>
      </w:r>
      <w:r w:rsidR="003D5549" w:rsidRPr="00A964FF">
        <w:rPr>
          <w:rFonts w:ascii="Calibri" w:eastAsia="黑体" w:hAnsi="Calibri" w:hint="eastAsia"/>
          <w:color w:val="auto"/>
          <w:sz w:val="24"/>
        </w:rPr>
        <w:t>厂区废水各污染物产排情况统计</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
        <w:gridCol w:w="1594"/>
        <w:gridCol w:w="714"/>
        <w:gridCol w:w="1281"/>
        <w:gridCol w:w="983"/>
        <w:gridCol w:w="989"/>
        <w:gridCol w:w="983"/>
        <w:gridCol w:w="989"/>
        <w:gridCol w:w="983"/>
        <w:gridCol w:w="989"/>
        <w:gridCol w:w="983"/>
        <w:gridCol w:w="1011"/>
        <w:gridCol w:w="992"/>
        <w:gridCol w:w="8"/>
        <w:gridCol w:w="11"/>
        <w:gridCol w:w="39"/>
        <w:gridCol w:w="19"/>
        <w:gridCol w:w="908"/>
      </w:tblGrid>
      <w:tr w:rsidR="00857349" w:rsidRPr="000D4753" w14:paraId="176F77E5" w14:textId="6A776D50" w:rsidTr="00607C5B">
        <w:trPr>
          <w:trHeight w:val="340"/>
        </w:trPr>
        <w:tc>
          <w:tcPr>
            <w:tcW w:w="162" w:type="pct"/>
            <w:vMerge w:val="restart"/>
            <w:vAlign w:val="center"/>
          </w:tcPr>
          <w:p w14:paraId="7896A58F"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序号</w:t>
            </w:r>
          </w:p>
        </w:tc>
        <w:tc>
          <w:tcPr>
            <w:tcW w:w="572" w:type="pct"/>
            <w:vMerge w:val="restart"/>
            <w:vAlign w:val="center"/>
          </w:tcPr>
          <w:p w14:paraId="465A50C4"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废水</w:t>
            </w:r>
          </w:p>
          <w:p w14:paraId="11D945C0"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来源</w:t>
            </w:r>
          </w:p>
        </w:tc>
        <w:tc>
          <w:tcPr>
            <w:tcW w:w="716" w:type="pct"/>
            <w:gridSpan w:val="2"/>
            <w:vAlign w:val="center"/>
          </w:tcPr>
          <w:p w14:paraId="5755825B"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废水量</w:t>
            </w:r>
          </w:p>
        </w:tc>
        <w:tc>
          <w:tcPr>
            <w:tcW w:w="3549" w:type="pct"/>
            <w:gridSpan w:val="14"/>
            <w:vAlign w:val="center"/>
          </w:tcPr>
          <w:p w14:paraId="02A9791F" w14:textId="37EED722"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污染物</w:t>
            </w:r>
          </w:p>
        </w:tc>
      </w:tr>
      <w:tr w:rsidR="00857349" w:rsidRPr="000D4753" w14:paraId="7CB969E5" w14:textId="3A9852AF" w:rsidTr="00607C5B">
        <w:trPr>
          <w:trHeight w:val="340"/>
        </w:trPr>
        <w:tc>
          <w:tcPr>
            <w:tcW w:w="162" w:type="pct"/>
            <w:vMerge/>
            <w:vAlign w:val="center"/>
          </w:tcPr>
          <w:p w14:paraId="2A575972" w14:textId="77777777" w:rsidR="00857349" w:rsidRPr="000D4753" w:rsidRDefault="00857349" w:rsidP="004C513C">
            <w:pPr>
              <w:jc w:val="center"/>
              <w:rPr>
                <w:rFonts w:ascii="Calibri" w:hAnsi="Calibri"/>
                <w:b/>
                <w:snapToGrid w:val="0"/>
                <w:color w:val="auto"/>
                <w:szCs w:val="21"/>
                <w:u w:val="single"/>
              </w:rPr>
            </w:pPr>
          </w:p>
        </w:tc>
        <w:tc>
          <w:tcPr>
            <w:tcW w:w="572" w:type="pct"/>
            <w:vMerge/>
            <w:vAlign w:val="center"/>
          </w:tcPr>
          <w:p w14:paraId="740F284D" w14:textId="77777777" w:rsidR="00857349" w:rsidRPr="000D4753" w:rsidRDefault="00857349" w:rsidP="004C513C">
            <w:pPr>
              <w:jc w:val="center"/>
              <w:rPr>
                <w:rFonts w:ascii="Calibri" w:hAnsi="Calibri"/>
                <w:b/>
                <w:snapToGrid w:val="0"/>
                <w:color w:val="auto"/>
                <w:szCs w:val="21"/>
                <w:u w:val="single"/>
              </w:rPr>
            </w:pPr>
          </w:p>
        </w:tc>
        <w:tc>
          <w:tcPr>
            <w:tcW w:w="256" w:type="pct"/>
            <w:vMerge w:val="restart"/>
            <w:vAlign w:val="center"/>
          </w:tcPr>
          <w:p w14:paraId="048A1387"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日排</w:t>
            </w:r>
          </w:p>
          <w:p w14:paraId="401BD7C4"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放量</w:t>
            </w:r>
            <w:r w:rsidRPr="000D4753">
              <w:rPr>
                <w:rFonts w:ascii="Calibri" w:hAnsi="Calibri" w:hint="eastAsia"/>
                <w:b/>
                <w:snapToGrid w:val="0"/>
                <w:color w:val="auto"/>
                <w:sz w:val="18"/>
                <w:szCs w:val="18"/>
                <w:u w:val="single"/>
              </w:rPr>
              <w:t>（</w:t>
            </w:r>
            <w:r w:rsidRPr="000D4753">
              <w:rPr>
                <w:rFonts w:ascii="Calibri" w:hAnsi="Calibri" w:hint="eastAsia"/>
                <w:b/>
                <w:snapToGrid w:val="0"/>
                <w:color w:val="auto"/>
                <w:sz w:val="18"/>
                <w:szCs w:val="18"/>
                <w:u w:val="single"/>
              </w:rPr>
              <w:t>t/d</w:t>
            </w:r>
            <w:r w:rsidRPr="000D4753">
              <w:rPr>
                <w:rFonts w:ascii="Calibri" w:hAnsi="Calibri" w:hint="eastAsia"/>
                <w:b/>
                <w:snapToGrid w:val="0"/>
                <w:color w:val="auto"/>
                <w:sz w:val="18"/>
                <w:szCs w:val="18"/>
                <w:u w:val="single"/>
              </w:rPr>
              <w:t>）</w:t>
            </w:r>
          </w:p>
        </w:tc>
        <w:tc>
          <w:tcPr>
            <w:tcW w:w="460" w:type="pct"/>
            <w:vMerge w:val="restart"/>
            <w:vAlign w:val="center"/>
          </w:tcPr>
          <w:p w14:paraId="07315D1D"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年排</w:t>
            </w:r>
          </w:p>
          <w:p w14:paraId="0BCDCC06"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放量</w:t>
            </w:r>
            <w:r w:rsidRPr="000D4753">
              <w:rPr>
                <w:rFonts w:ascii="Calibri" w:hAnsi="Calibri" w:hint="eastAsia"/>
                <w:b/>
                <w:snapToGrid w:val="0"/>
                <w:color w:val="auto"/>
                <w:sz w:val="18"/>
                <w:szCs w:val="18"/>
                <w:u w:val="single"/>
              </w:rPr>
              <w:t>（</w:t>
            </w:r>
            <w:r w:rsidRPr="000D4753">
              <w:rPr>
                <w:rFonts w:ascii="Calibri" w:hAnsi="Calibri"/>
                <w:b/>
                <w:snapToGrid w:val="0"/>
                <w:color w:val="auto"/>
                <w:sz w:val="18"/>
                <w:szCs w:val="18"/>
                <w:u w:val="single"/>
              </w:rPr>
              <w:t>t/a</w:t>
            </w:r>
            <w:r w:rsidRPr="000D4753">
              <w:rPr>
                <w:rFonts w:ascii="Calibri" w:hAnsi="Calibri" w:hint="eastAsia"/>
                <w:b/>
                <w:snapToGrid w:val="0"/>
                <w:color w:val="auto"/>
                <w:sz w:val="18"/>
                <w:szCs w:val="18"/>
                <w:u w:val="single"/>
              </w:rPr>
              <w:t>）</w:t>
            </w:r>
          </w:p>
        </w:tc>
        <w:tc>
          <w:tcPr>
            <w:tcW w:w="708" w:type="pct"/>
            <w:gridSpan w:val="2"/>
            <w:vAlign w:val="center"/>
          </w:tcPr>
          <w:p w14:paraId="7118B547"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COD</w:t>
            </w:r>
          </w:p>
        </w:tc>
        <w:tc>
          <w:tcPr>
            <w:tcW w:w="708" w:type="pct"/>
            <w:gridSpan w:val="2"/>
            <w:vAlign w:val="center"/>
          </w:tcPr>
          <w:p w14:paraId="5BEF6059"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BOD</w:t>
            </w:r>
            <w:r w:rsidRPr="000D4753">
              <w:rPr>
                <w:rFonts w:ascii="Calibri" w:hAnsi="Calibri" w:hint="eastAsia"/>
                <w:b/>
                <w:snapToGrid w:val="0"/>
                <w:color w:val="auto"/>
                <w:szCs w:val="21"/>
                <w:u w:val="single"/>
                <w:vertAlign w:val="subscript"/>
              </w:rPr>
              <w:t>5</w:t>
            </w:r>
          </w:p>
        </w:tc>
        <w:tc>
          <w:tcPr>
            <w:tcW w:w="708" w:type="pct"/>
            <w:gridSpan w:val="2"/>
            <w:vAlign w:val="center"/>
          </w:tcPr>
          <w:p w14:paraId="09502468"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SS</w:t>
            </w:r>
          </w:p>
        </w:tc>
        <w:tc>
          <w:tcPr>
            <w:tcW w:w="716" w:type="pct"/>
            <w:gridSpan w:val="2"/>
            <w:vAlign w:val="center"/>
          </w:tcPr>
          <w:p w14:paraId="629156BD"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NH</w:t>
            </w:r>
            <w:r w:rsidRPr="000D4753">
              <w:rPr>
                <w:rFonts w:ascii="Calibri" w:hAnsi="Calibri" w:hint="eastAsia"/>
                <w:b/>
                <w:snapToGrid w:val="0"/>
                <w:color w:val="auto"/>
                <w:szCs w:val="21"/>
                <w:u w:val="single"/>
                <w:vertAlign w:val="subscript"/>
              </w:rPr>
              <w:t>3</w:t>
            </w:r>
            <w:r w:rsidRPr="000D4753">
              <w:rPr>
                <w:rFonts w:ascii="Calibri" w:hAnsi="Calibri" w:hint="eastAsia"/>
                <w:b/>
                <w:snapToGrid w:val="0"/>
                <w:color w:val="auto"/>
                <w:szCs w:val="21"/>
                <w:u w:val="single"/>
              </w:rPr>
              <w:t>-N</w:t>
            </w:r>
          </w:p>
        </w:tc>
        <w:tc>
          <w:tcPr>
            <w:tcW w:w="710" w:type="pct"/>
            <w:gridSpan w:val="6"/>
            <w:vAlign w:val="center"/>
          </w:tcPr>
          <w:p w14:paraId="00A8D4CE" w14:textId="204FEC68"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总氮</w:t>
            </w:r>
          </w:p>
        </w:tc>
      </w:tr>
      <w:tr w:rsidR="00857349" w:rsidRPr="000D4753" w14:paraId="490EEEEA" w14:textId="67F8830E" w:rsidTr="00607C5B">
        <w:trPr>
          <w:trHeight w:val="340"/>
        </w:trPr>
        <w:tc>
          <w:tcPr>
            <w:tcW w:w="162" w:type="pct"/>
            <w:vMerge/>
            <w:vAlign w:val="center"/>
          </w:tcPr>
          <w:p w14:paraId="70208334" w14:textId="77777777" w:rsidR="00857349" w:rsidRPr="000D4753" w:rsidRDefault="00857349" w:rsidP="00857349">
            <w:pPr>
              <w:jc w:val="center"/>
              <w:rPr>
                <w:rFonts w:ascii="Calibri" w:hAnsi="Calibri"/>
                <w:b/>
                <w:snapToGrid w:val="0"/>
                <w:color w:val="auto"/>
                <w:szCs w:val="21"/>
                <w:u w:val="single"/>
              </w:rPr>
            </w:pPr>
          </w:p>
        </w:tc>
        <w:tc>
          <w:tcPr>
            <w:tcW w:w="572" w:type="pct"/>
            <w:vMerge/>
            <w:vAlign w:val="center"/>
          </w:tcPr>
          <w:p w14:paraId="2A565C66" w14:textId="77777777" w:rsidR="00857349" w:rsidRPr="000D4753" w:rsidRDefault="00857349" w:rsidP="00857349">
            <w:pPr>
              <w:jc w:val="center"/>
              <w:rPr>
                <w:rFonts w:ascii="Calibri" w:hAnsi="Calibri"/>
                <w:b/>
                <w:snapToGrid w:val="0"/>
                <w:color w:val="auto"/>
                <w:szCs w:val="21"/>
                <w:u w:val="single"/>
              </w:rPr>
            </w:pPr>
          </w:p>
        </w:tc>
        <w:tc>
          <w:tcPr>
            <w:tcW w:w="256" w:type="pct"/>
            <w:vMerge/>
            <w:vAlign w:val="center"/>
          </w:tcPr>
          <w:p w14:paraId="4E238E4B" w14:textId="77777777" w:rsidR="00857349" w:rsidRPr="000D4753" w:rsidRDefault="00857349" w:rsidP="00857349">
            <w:pPr>
              <w:jc w:val="center"/>
              <w:rPr>
                <w:rFonts w:ascii="Calibri" w:hAnsi="Calibri"/>
                <w:b/>
                <w:snapToGrid w:val="0"/>
                <w:color w:val="auto"/>
                <w:szCs w:val="21"/>
                <w:u w:val="single"/>
              </w:rPr>
            </w:pPr>
          </w:p>
        </w:tc>
        <w:tc>
          <w:tcPr>
            <w:tcW w:w="460" w:type="pct"/>
            <w:vMerge/>
            <w:vAlign w:val="center"/>
          </w:tcPr>
          <w:p w14:paraId="4516B9E6" w14:textId="77777777" w:rsidR="00857349" w:rsidRPr="000D4753" w:rsidRDefault="00857349" w:rsidP="00857349">
            <w:pPr>
              <w:jc w:val="center"/>
              <w:rPr>
                <w:rFonts w:ascii="Calibri" w:hAnsi="Calibri"/>
                <w:b/>
                <w:snapToGrid w:val="0"/>
                <w:color w:val="auto"/>
                <w:szCs w:val="21"/>
                <w:u w:val="single"/>
              </w:rPr>
            </w:pPr>
          </w:p>
        </w:tc>
        <w:tc>
          <w:tcPr>
            <w:tcW w:w="353" w:type="pct"/>
            <w:vAlign w:val="center"/>
          </w:tcPr>
          <w:p w14:paraId="13E6808D"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0CDE6C74"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浓度</w:t>
            </w:r>
            <w:r w:rsidRPr="000D4753">
              <w:rPr>
                <w:rFonts w:ascii="Calibri" w:hAnsi="Calibri" w:hint="eastAsia"/>
                <w:b/>
                <w:snapToGrid w:val="0"/>
                <w:color w:val="auto"/>
                <w:szCs w:val="21"/>
                <w:u w:val="single"/>
              </w:rPr>
              <w:t>(mg/L</w:t>
            </w:r>
            <w:r w:rsidRPr="000D4753">
              <w:rPr>
                <w:rFonts w:ascii="Calibri" w:hAnsi="Calibri"/>
                <w:b/>
                <w:snapToGrid w:val="0"/>
                <w:color w:val="auto"/>
                <w:szCs w:val="21"/>
                <w:u w:val="single"/>
              </w:rPr>
              <w:t>)</w:t>
            </w:r>
          </w:p>
        </w:tc>
        <w:tc>
          <w:tcPr>
            <w:tcW w:w="355" w:type="pct"/>
            <w:vAlign w:val="center"/>
          </w:tcPr>
          <w:p w14:paraId="4BF35FB4"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52AB53C2"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量</w:t>
            </w:r>
          </w:p>
          <w:p w14:paraId="11B90B60"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w:t>
            </w:r>
            <w:r w:rsidRPr="000D4753">
              <w:rPr>
                <w:rFonts w:ascii="Calibri" w:hAnsi="Calibri"/>
                <w:b/>
                <w:snapToGrid w:val="0"/>
                <w:color w:val="auto"/>
                <w:szCs w:val="21"/>
                <w:u w:val="single"/>
              </w:rPr>
              <w:t>t/a)</w:t>
            </w:r>
          </w:p>
        </w:tc>
        <w:tc>
          <w:tcPr>
            <w:tcW w:w="353" w:type="pct"/>
            <w:vAlign w:val="center"/>
          </w:tcPr>
          <w:p w14:paraId="02F629CF"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38AEAC10"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浓度</w:t>
            </w:r>
            <w:r w:rsidRPr="000D4753">
              <w:rPr>
                <w:rFonts w:ascii="Calibri" w:hAnsi="Calibri" w:hint="eastAsia"/>
                <w:b/>
                <w:snapToGrid w:val="0"/>
                <w:color w:val="auto"/>
                <w:szCs w:val="21"/>
                <w:u w:val="single"/>
              </w:rPr>
              <w:t>(mg/L</w:t>
            </w:r>
            <w:r w:rsidRPr="000D4753">
              <w:rPr>
                <w:rFonts w:ascii="Calibri" w:hAnsi="Calibri"/>
                <w:b/>
                <w:snapToGrid w:val="0"/>
                <w:color w:val="auto"/>
                <w:szCs w:val="21"/>
                <w:u w:val="single"/>
              </w:rPr>
              <w:t>)</w:t>
            </w:r>
          </w:p>
        </w:tc>
        <w:tc>
          <w:tcPr>
            <w:tcW w:w="355" w:type="pct"/>
            <w:vAlign w:val="center"/>
          </w:tcPr>
          <w:p w14:paraId="200BAEB2"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7B3994B6"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量</w:t>
            </w:r>
          </w:p>
          <w:p w14:paraId="6B0B1734"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w:t>
            </w:r>
            <w:r w:rsidRPr="000D4753">
              <w:rPr>
                <w:rFonts w:ascii="Calibri" w:hAnsi="Calibri"/>
                <w:b/>
                <w:snapToGrid w:val="0"/>
                <w:color w:val="auto"/>
                <w:szCs w:val="21"/>
                <w:u w:val="single"/>
              </w:rPr>
              <w:t>t/a)</w:t>
            </w:r>
          </w:p>
        </w:tc>
        <w:tc>
          <w:tcPr>
            <w:tcW w:w="353" w:type="pct"/>
            <w:vAlign w:val="center"/>
          </w:tcPr>
          <w:p w14:paraId="2386274B"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6C9E3665"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浓度</w:t>
            </w:r>
            <w:r w:rsidRPr="000D4753">
              <w:rPr>
                <w:rFonts w:ascii="Calibri" w:hAnsi="Calibri" w:hint="eastAsia"/>
                <w:b/>
                <w:snapToGrid w:val="0"/>
                <w:color w:val="auto"/>
                <w:szCs w:val="21"/>
                <w:u w:val="single"/>
              </w:rPr>
              <w:t>(mg/L</w:t>
            </w:r>
            <w:r w:rsidRPr="000D4753">
              <w:rPr>
                <w:rFonts w:ascii="Calibri" w:hAnsi="Calibri"/>
                <w:b/>
                <w:snapToGrid w:val="0"/>
                <w:color w:val="auto"/>
                <w:szCs w:val="21"/>
                <w:u w:val="single"/>
              </w:rPr>
              <w:t>)</w:t>
            </w:r>
          </w:p>
        </w:tc>
        <w:tc>
          <w:tcPr>
            <w:tcW w:w="355" w:type="pct"/>
            <w:vAlign w:val="center"/>
          </w:tcPr>
          <w:p w14:paraId="0C99ABD8"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7E62275A"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量</w:t>
            </w:r>
          </w:p>
          <w:p w14:paraId="168C9624"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w:t>
            </w:r>
            <w:r w:rsidRPr="000D4753">
              <w:rPr>
                <w:rFonts w:ascii="Calibri" w:hAnsi="Calibri"/>
                <w:b/>
                <w:snapToGrid w:val="0"/>
                <w:color w:val="auto"/>
                <w:szCs w:val="21"/>
                <w:u w:val="single"/>
              </w:rPr>
              <w:t>t/a)</w:t>
            </w:r>
          </w:p>
        </w:tc>
        <w:tc>
          <w:tcPr>
            <w:tcW w:w="353" w:type="pct"/>
            <w:vAlign w:val="center"/>
          </w:tcPr>
          <w:p w14:paraId="2A68B307"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0DA8E61E"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浓度</w:t>
            </w:r>
            <w:r w:rsidRPr="000D4753">
              <w:rPr>
                <w:rFonts w:ascii="Calibri" w:hAnsi="Calibri" w:hint="eastAsia"/>
                <w:b/>
                <w:snapToGrid w:val="0"/>
                <w:color w:val="auto"/>
                <w:szCs w:val="21"/>
                <w:u w:val="single"/>
              </w:rPr>
              <w:t>(mg/L</w:t>
            </w:r>
            <w:r w:rsidRPr="000D4753">
              <w:rPr>
                <w:rFonts w:ascii="Calibri" w:hAnsi="Calibri"/>
                <w:b/>
                <w:snapToGrid w:val="0"/>
                <w:color w:val="auto"/>
                <w:szCs w:val="21"/>
                <w:u w:val="single"/>
              </w:rPr>
              <w:t>)</w:t>
            </w:r>
          </w:p>
        </w:tc>
        <w:tc>
          <w:tcPr>
            <w:tcW w:w="363" w:type="pct"/>
            <w:vAlign w:val="center"/>
          </w:tcPr>
          <w:p w14:paraId="2390C6D2"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0428296E"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量</w:t>
            </w:r>
          </w:p>
          <w:p w14:paraId="13CA0AD9"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w:t>
            </w:r>
            <w:r w:rsidRPr="000D4753">
              <w:rPr>
                <w:rFonts w:ascii="Calibri" w:hAnsi="Calibri"/>
                <w:b/>
                <w:snapToGrid w:val="0"/>
                <w:color w:val="auto"/>
                <w:szCs w:val="21"/>
                <w:u w:val="single"/>
              </w:rPr>
              <w:t>t/a)</w:t>
            </w:r>
          </w:p>
        </w:tc>
        <w:tc>
          <w:tcPr>
            <w:tcW w:w="356" w:type="pct"/>
            <w:vAlign w:val="center"/>
          </w:tcPr>
          <w:p w14:paraId="4796B9E9"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72E97871" w14:textId="7C66FB94"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浓度</w:t>
            </w:r>
            <w:r w:rsidRPr="000D4753">
              <w:rPr>
                <w:rFonts w:ascii="Calibri" w:hAnsi="Calibri" w:hint="eastAsia"/>
                <w:b/>
                <w:snapToGrid w:val="0"/>
                <w:color w:val="auto"/>
                <w:szCs w:val="21"/>
                <w:u w:val="single"/>
              </w:rPr>
              <w:t>(mg/L</w:t>
            </w:r>
            <w:r w:rsidRPr="000D4753">
              <w:rPr>
                <w:rFonts w:ascii="Calibri" w:hAnsi="Calibri"/>
                <w:b/>
                <w:snapToGrid w:val="0"/>
                <w:color w:val="auto"/>
                <w:szCs w:val="21"/>
                <w:u w:val="single"/>
              </w:rPr>
              <w:t>)</w:t>
            </w:r>
          </w:p>
        </w:tc>
        <w:tc>
          <w:tcPr>
            <w:tcW w:w="354" w:type="pct"/>
            <w:gridSpan w:val="5"/>
            <w:vAlign w:val="center"/>
          </w:tcPr>
          <w:p w14:paraId="15CE581A"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产生</w:t>
            </w:r>
          </w:p>
          <w:p w14:paraId="28169053" w14:textId="77777777"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量</w:t>
            </w:r>
          </w:p>
          <w:p w14:paraId="43C88DF9" w14:textId="04AB8072" w:rsidR="00857349" w:rsidRPr="000D4753" w:rsidRDefault="00857349" w:rsidP="00857349">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w:t>
            </w:r>
            <w:r w:rsidRPr="000D4753">
              <w:rPr>
                <w:rFonts w:ascii="Calibri" w:hAnsi="Calibri"/>
                <w:b/>
                <w:snapToGrid w:val="0"/>
                <w:color w:val="auto"/>
                <w:szCs w:val="21"/>
                <w:u w:val="single"/>
              </w:rPr>
              <w:t>t/a)</w:t>
            </w:r>
          </w:p>
        </w:tc>
      </w:tr>
      <w:tr w:rsidR="00857349" w:rsidRPr="000D4753" w14:paraId="0C1C5EE8" w14:textId="7FFB5F3F" w:rsidTr="00607C5B">
        <w:trPr>
          <w:trHeight w:val="340"/>
        </w:trPr>
        <w:tc>
          <w:tcPr>
            <w:tcW w:w="162" w:type="pct"/>
            <w:vAlign w:val="center"/>
          </w:tcPr>
          <w:p w14:paraId="5CF056CE"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一</w:t>
            </w:r>
          </w:p>
        </w:tc>
        <w:tc>
          <w:tcPr>
            <w:tcW w:w="4838" w:type="pct"/>
            <w:gridSpan w:val="17"/>
            <w:vAlign w:val="center"/>
          </w:tcPr>
          <w:p w14:paraId="6981F343" w14:textId="6DBCEE34"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一期工程</w:t>
            </w:r>
          </w:p>
        </w:tc>
      </w:tr>
      <w:tr w:rsidR="00857349" w:rsidRPr="000D4753" w14:paraId="1005AEB3" w14:textId="0B012525" w:rsidTr="00607C5B">
        <w:trPr>
          <w:trHeight w:val="340"/>
        </w:trPr>
        <w:tc>
          <w:tcPr>
            <w:tcW w:w="162" w:type="pct"/>
            <w:vAlign w:val="center"/>
          </w:tcPr>
          <w:p w14:paraId="3771ACAB"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1</w:t>
            </w:r>
          </w:p>
        </w:tc>
        <w:tc>
          <w:tcPr>
            <w:tcW w:w="572" w:type="pct"/>
            <w:vAlign w:val="center"/>
          </w:tcPr>
          <w:p w14:paraId="1EF9F36A"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配料及聚合</w:t>
            </w:r>
          </w:p>
        </w:tc>
        <w:tc>
          <w:tcPr>
            <w:tcW w:w="256" w:type="pct"/>
            <w:vAlign w:val="center"/>
          </w:tcPr>
          <w:p w14:paraId="75FBF46F" w14:textId="1623F931" w:rsidR="00857349" w:rsidRPr="000D4753" w:rsidRDefault="00857349" w:rsidP="00755C9E">
            <w:pPr>
              <w:jc w:val="center"/>
              <w:rPr>
                <w:rFonts w:ascii="Calibri" w:hAnsi="Calibri"/>
                <w:b/>
                <w:snapToGrid w:val="0"/>
                <w:color w:val="auto"/>
                <w:szCs w:val="21"/>
                <w:u w:val="single"/>
              </w:rPr>
            </w:pPr>
            <w:r w:rsidRPr="000D4753">
              <w:rPr>
                <w:rFonts w:ascii="Calibri" w:hAnsi="Calibri"/>
                <w:b/>
                <w:szCs w:val="21"/>
                <w:u w:val="single"/>
              </w:rPr>
              <w:t>3.68</w:t>
            </w:r>
          </w:p>
        </w:tc>
        <w:tc>
          <w:tcPr>
            <w:tcW w:w="460" w:type="pct"/>
            <w:vAlign w:val="center"/>
          </w:tcPr>
          <w:p w14:paraId="5DDD38BD" w14:textId="2454071D" w:rsidR="00857349" w:rsidRPr="000D4753" w:rsidRDefault="00857349" w:rsidP="00755C9E">
            <w:pPr>
              <w:jc w:val="center"/>
              <w:rPr>
                <w:rFonts w:ascii="Calibri" w:hAnsi="Calibri"/>
                <w:b/>
                <w:snapToGrid w:val="0"/>
                <w:color w:val="auto"/>
                <w:szCs w:val="21"/>
                <w:u w:val="single"/>
              </w:rPr>
            </w:pPr>
            <w:r w:rsidRPr="000D4753">
              <w:rPr>
                <w:rFonts w:ascii="Calibri"/>
                <w:b/>
                <w:color w:val="auto"/>
                <w:u w:val="single"/>
              </w:rPr>
              <w:t>1105.31</w:t>
            </w:r>
          </w:p>
        </w:tc>
        <w:tc>
          <w:tcPr>
            <w:tcW w:w="353" w:type="pct"/>
            <w:vAlign w:val="center"/>
          </w:tcPr>
          <w:p w14:paraId="0AD69297" w14:textId="5824D2DB"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11643.79</w:t>
            </w:r>
          </w:p>
        </w:tc>
        <w:tc>
          <w:tcPr>
            <w:tcW w:w="355" w:type="pct"/>
            <w:vAlign w:val="center"/>
          </w:tcPr>
          <w:p w14:paraId="64C25BDB" w14:textId="7766AAE1"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12.87</w:t>
            </w:r>
          </w:p>
        </w:tc>
        <w:tc>
          <w:tcPr>
            <w:tcW w:w="353" w:type="pct"/>
            <w:vAlign w:val="center"/>
          </w:tcPr>
          <w:p w14:paraId="0F4AD8D2" w14:textId="460F65B3"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6134.03</w:t>
            </w:r>
          </w:p>
        </w:tc>
        <w:tc>
          <w:tcPr>
            <w:tcW w:w="355" w:type="pct"/>
            <w:vAlign w:val="center"/>
          </w:tcPr>
          <w:p w14:paraId="456CB838" w14:textId="415A2323"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6.78</w:t>
            </w:r>
          </w:p>
        </w:tc>
        <w:tc>
          <w:tcPr>
            <w:tcW w:w="353" w:type="pct"/>
            <w:vAlign w:val="center"/>
          </w:tcPr>
          <w:p w14:paraId="76E42491"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55" w:type="pct"/>
            <w:vAlign w:val="center"/>
          </w:tcPr>
          <w:p w14:paraId="295BC1EB"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53" w:type="pct"/>
            <w:vAlign w:val="center"/>
          </w:tcPr>
          <w:p w14:paraId="402B15EF" w14:textId="5A5CECFB"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629.7</w:t>
            </w:r>
          </w:p>
        </w:tc>
        <w:tc>
          <w:tcPr>
            <w:tcW w:w="363" w:type="pct"/>
            <w:vAlign w:val="center"/>
          </w:tcPr>
          <w:p w14:paraId="4FF54931" w14:textId="403E8560"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0.696</w:t>
            </w:r>
          </w:p>
        </w:tc>
        <w:tc>
          <w:tcPr>
            <w:tcW w:w="356" w:type="pct"/>
            <w:vAlign w:val="center"/>
          </w:tcPr>
          <w:p w14:paraId="7134A122" w14:textId="271280D3" w:rsidR="00857349" w:rsidRPr="000D4753" w:rsidRDefault="00C72311" w:rsidP="00755C9E">
            <w:pPr>
              <w:jc w:val="center"/>
              <w:rPr>
                <w:rFonts w:ascii="Calibri" w:hAnsi="Calibri"/>
                <w:b/>
                <w:color w:val="auto"/>
                <w:kern w:val="0"/>
                <w:szCs w:val="21"/>
                <w:u w:val="single"/>
              </w:rPr>
            </w:pPr>
            <w:r w:rsidRPr="000D4753">
              <w:rPr>
                <w:rFonts w:ascii="Calibri" w:hAnsi="Calibri" w:hint="eastAsia"/>
                <w:b/>
                <w:color w:val="auto"/>
                <w:kern w:val="0"/>
                <w:szCs w:val="21"/>
                <w:u w:val="single"/>
              </w:rPr>
              <w:t>5</w:t>
            </w:r>
            <w:r w:rsidRPr="000D4753">
              <w:rPr>
                <w:rFonts w:ascii="Calibri" w:hAnsi="Calibri"/>
                <w:b/>
                <w:color w:val="auto"/>
                <w:kern w:val="0"/>
                <w:szCs w:val="21"/>
                <w:u w:val="single"/>
              </w:rPr>
              <w:t>68.17</w:t>
            </w:r>
          </w:p>
        </w:tc>
        <w:tc>
          <w:tcPr>
            <w:tcW w:w="354" w:type="pct"/>
            <w:gridSpan w:val="5"/>
            <w:vAlign w:val="center"/>
          </w:tcPr>
          <w:p w14:paraId="45FAACEC" w14:textId="77F5653B" w:rsidR="00857349" w:rsidRPr="000D4753" w:rsidRDefault="00C72311" w:rsidP="00755C9E">
            <w:pPr>
              <w:jc w:val="center"/>
              <w:rPr>
                <w:rFonts w:ascii="Calibri" w:hAnsi="Calibri"/>
                <w:b/>
                <w:color w:val="auto"/>
                <w:kern w:val="0"/>
                <w:szCs w:val="21"/>
                <w:u w:val="single"/>
              </w:rPr>
            </w:pPr>
            <w:r w:rsidRPr="000D4753">
              <w:rPr>
                <w:rFonts w:ascii="Calibri" w:hAnsi="Calibri" w:hint="eastAsia"/>
                <w:b/>
                <w:color w:val="auto"/>
                <w:kern w:val="0"/>
                <w:szCs w:val="21"/>
                <w:u w:val="single"/>
              </w:rPr>
              <w:t>0</w:t>
            </w:r>
            <w:r w:rsidRPr="000D4753">
              <w:rPr>
                <w:rFonts w:ascii="Calibri" w:hAnsi="Calibri"/>
                <w:b/>
                <w:color w:val="auto"/>
                <w:kern w:val="0"/>
                <w:szCs w:val="21"/>
                <w:u w:val="single"/>
              </w:rPr>
              <w:t>.628</w:t>
            </w:r>
          </w:p>
        </w:tc>
      </w:tr>
      <w:tr w:rsidR="00857349" w:rsidRPr="000D4753" w14:paraId="3F2C6A04" w14:textId="2C60F14F" w:rsidTr="00607C5B">
        <w:trPr>
          <w:trHeight w:val="340"/>
        </w:trPr>
        <w:tc>
          <w:tcPr>
            <w:tcW w:w="162" w:type="pct"/>
            <w:vAlign w:val="center"/>
          </w:tcPr>
          <w:p w14:paraId="450BD0F5"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2</w:t>
            </w:r>
          </w:p>
        </w:tc>
        <w:tc>
          <w:tcPr>
            <w:tcW w:w="572" w:type="pct"/>
            <w:vAlign w:val="center"/>
          </w:tcPr>
          <w:p w14:paraId="715C2F3A"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水喷淋塔</w:t>
            </w:r>
          </w:p>
        </w:tc>
        <w:tc>
          <w:tcPr>
            <w:tcW w:w="256" w:type="pct"/>
            <w:vAlign w:val="center"/>
          </w:tcPr>
          <w:p w14:paraId="788CB74F" w14:textId="408CDB5D" w:rsidR="00857349" w:rsidRPr="000D4753" w:rsidRDefault="00857349" w:rsidP="00755C9E">
            <w:pPr>
              <w:jc w:val="center"/>
              <w:rPr>
                <w:rFonts w:ascii="Calibri" w:hAnsi="Calibri"/>
                <w:b/>
                <w:snapToGrid w:val="0"/>
                <w:color w:val="auto"/>
                <w:szCs w:val="21"/>
                <w:u w:val="single"/>
              </w:rPr>
            </w:pPr>
            <w:r w:rsidRPr="000D4753">
              <w:rPr>
                <w:rFonts w:ascii="Calibri"/>
                <w:b/>
                <w:color w:val="auto"/>
                <w:u w:val="single"/>
              </w:rPr>
              <w:t>2.29</w:t>
            </w:r>
          </w:p>
        </w:tc>
        <w:tc>
          <w:tcPr>
            <w:tcW w:w="460" w:type="pct"/>
            <w:vAlign w:val="center"/>
          </w:tcPr>
          <w:p w14:paraId="496139A0" w14:textId="00EB2D8F"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686.764</w:t>
            </w:r>
          </w:p>
        </w:tc>
        <w:tc>
          <w:tcPr>
            <w:tcW w:w="353" w:type="pct"/>
            <w:vAlign w:val="center"/>
          </w:tcPr>
          <w:p w14:paraId="31EC8691" w14:textId="6837378C"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5233.24</w:t>
            </w:r>
          </w:p>
        </w:tc>
        <w:tc>
          <w:tcPr>
            <w:tcW w:w="355" w:type="pct"/>
            <w:vAlign w:val="center"/>
          </w:tcPr>
          <w:p w14:paraId="59F3418A" w14:textId="631B0FBD"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3.594</w:t>
            </w:r>
          </w:p>
        </w:tc>
        <w:tc>
          <w:tcPr>
            <w:tcW w:w="353" w:type="pct"/>
            <w:vAlign w:val="center"/>
          </w:tcPr>
          <w:p w14:paraId="6426354E" w14:textId="1EEB7589"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2414.22</w:t>
            </w:r>
          </w:p>
        </w:tc>
        <w:tc>
          <w:tcPr>
            <w:tcW w:w="355" w:type="pct"/>
            <w:vAlign w:val="center"/>
          </w:tcPr>
          <w:p w14:paraId="28D7D9F0" w14:textId="5FD3A714"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1.658</w:t>
            </w:r>
          </w:p>
        </w:tc>
        <w:tc>
          <w:tcPr>
            <w:tcW w:w="353" w:type="pct"/>
            <w:vAlign w:val="center"/>
          </w:tcPr>
          <w:p w14:paraId="7BD0958A"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55" w:type="pct"/>
            <w:vAlign w:val="center"/>
          </w:tcPr>
          <w:p w14:paraId="0C05C8AC"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53" w:type="pct"/>
            <w:vAlign w:val="center"/>
          </w:tcPr>
          <w:p w14:paraId="54F01393" w14:textId="3D614373"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560.02</w:t>
            </w:r>
          </w:p>
        </w:tc>
        <w:tc>
          <w:tcPr>
            <w:tcW w:w="363" w:type="pct"/>
            <w:vAlign w:val="center"/>
          </w:tcPr>
          <w:p w14:paraId="192BC4DF" w14:textId="206D13C6" w:rsidR="00857349" w:rsidRPr="000D4753" w:rsidRDefault="00857349" w:rsidP="00755C9E">
            <w:pPr>
              <w:jc w:val="center"/>
              <w:rPr>
                <w:rFonts w:ascii="Calibri" w:hAnsi="Calibri"/>
                <w:b/>
                <w:snapToGrid w:val="0"/>
                <w:color w:val="auto"/>
                <w:szCs w:val="21"/>
                <w:u w:val="single"/>
              </w:rPr>
            </w:pPr>
            <w:r w:rsidRPr="000D4753">
              <w:rPr>
                <w:rFonts w:ascii="Calibri" w:hAnsi="Calibri"/>
                <w:b/>
                <w:color w:val="auto"/>
                <w:kern w:val="0"/>
                <w:szCs w:val="21"/>
                <w:u w:val="single"/>
              </w:rPr>
              <w:t>0.3846</w:t>
            </w:r>
          </w:p>
        </w:tc>
        <w:tc>
          <w:tcPr>
            <w:tcW w:w="356" w:type="pct"/>
            <w:vAlign w:val="center"/>
          </w:tcPr>
          <w:p w14:paraId="7A18957D" w14:textId="755718B1" w:rsidR="00857349" w:rsidRPr="000D4753" w:rsidRDefault="00C72311" w:rsidP="00755C9E">
            <w:pPr>
              <w:jc w:val="center"/>
              <w:rPr>
                <w:rFonts w:ascii="Calibri" w:hAnsi="Calibri"/>
                <w:b/>
                <w:color w:val="auto"/>
                <w:kern w:val="0"/>
                <w:szCs w:val="21"/>
                <w:u w:val="single"/>
              </w:rPr>
            </w:pPr>
            <w:r w:rsidRPr="000D4753">
              <w:rPr>
                <w:rFonts w:ascii="Calibri" w:hAnsi="Calibri" w:hint="eastAsia"/>
                <w:b/>
                <w:color w:val="auto"/>
                <w:kern w:val="0"/>
                <w:szCs w:val="21"/>
                <w:u w:val="single"/>
              </w:rPr>
              <w:t>5</w:t>
            </w:r>
            <w:r w:rsidRPr="000D4753">
              <w:rPr>
                <w:rFonts w:ascii="Calibri" w:hAnsi="Calibri"/>
                <w:b/>
                <w:color w:val="auto"/>
                <w:kern w:val="0"/>
                <w:szCs w:val="21"/>
                <w:u w:val="single"/>
              </w:rPr>
              <w:t>05.26</w:t>
            </w:r>
          </w:p>
        </w:tc>
        <w:tc>
          <w:tcPr>
            <w:tcW w:w="354" w:type="pct"/>
            <w:gridSpan w:val="5"/>
            <w:vAlign w:val="center"/>
          </w:tcPr>
          <w:p w14:paraId="1E162005" w14:textId="7F1E39CE" w:rsidR="00857349" w:rsidRPr="000D4753" w:rsidRDefault="00C72311" w:rsidP="00755C9E">
            <w:pPr>
              <w:jc w:val="center"/>
              <w:rPr>
                <w:rFonts w:ascii="Calibri" w:hAnsi="Calibri"/>
                <w:b/>
                <w:color w:val="auto"/>
                <w:kern w:val="0"/>
                <w:szCs w:val="21"/>
                <w:u w:val="single"/>
              </w:rPr>
            </w:pPr>
            <w:r w:rsidRPr="000D4753">
              <w:rPr>
                <w:rFonts w:ascii="Calibri" w:hAnsi="Calibri" w:hint="eastAsia"/>
                <w:b/>
                <w:color w:val="auto"/>
                <w:kern w:val="0"/>
                <w:szCs w:val="21"/>
                <w:u w:val="single"/>
              </w:rPr>
              <w:t>0</w:t>
            </w:r>
            <w:r w:rsidRPr="000D4753">
              <w:rPr>
                <w:rFonts w:ascii="Calibri" w:hAnsi="Calibri"/>
                <w:b/>
                <w:color w:val="auto"/>
                <w:kern w:val="0"/>
                <w:szCs w:val="21"/>
                <w:u w:val="single"/>
              </w:rPr>
              <w:t>.347</w:t>
            </w:r>
          </w:p>
        </w:tc>
      </w:tr>
      <w:tr w:rsidR="00857349" w:rsidRPr="000D4753" w14:paraId="70DD9466" w14:textId="7D8D4C9F" w:rsidTr="00607C5B">
        <w:trPr>
          <w:trHeight w:val="340"/>
        </w:trPr>
        <w:tc>
          <w:tcPr>
            <w:tcW w:w="162" w:type="pct"/>
            <w:vAlign w:val="center"/>
          </w:tcPr>
          <w:p w14:paraId="25EBEE7A"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3</w:t>
            </w:r>
          </w:p>
        </w:tc>
        <w:tc>
          <w:tcPr>
            <w:tcW w:w="572" w:type="pct"/>
            <w:vAlign w:val="center"/>
          </w:tcPr>
          <w:p w14:paraId="67287BAF"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制粒冷却</w:t>
            </w:r>
          </w:p>
        </w:tc>
        <w:tc>
          <w:tcPr>
            <w:tcW w:w="256" w:type="pct"/>
            <w:vAlign w:val="center"/>
          </w:tcPr>
          <w:p w14:paraId="171DDFB7" w14:textId="707F9957" w:rsidR="00857349" w:rsidRPr="000D4753" w:rsidRDefault="00857349" w:rsidP="00755C9E">
            <w:pPr>
              <w:jc w:val="center"/>
              <w:rPr>
                <w:rFonts w:ascii="Calibri" w:hAnsi="Calibri"/>
                <w:b/>
                <w:snapToGrid w:val="0"/>
                <w:color w:val="auto"/>
                <w:szCs w:val="21"/>
                <w:u w:val="single"/>
              </w:rPr>
            </w:pPr>
            <w:r w:rsidRPr="000D4753">
              <w:rPr>
                <w:rFonts w:ascii="Calibri"/>
                <w:b/>
                <w:u w:val="single"/>
              </w:rPr>
              <w:t>0.043</w:t>
            </w:r>
          </w:p>
        </w:tc>
        <w:tc>
          <w:tcPr>
            <w:tcW w:w="460" w:type="pct"/>
            <w:vAlign w:val="center"/>
          </w:tcPr>
          <w:p w14:paraId="701C1B9C" w14:textId="7FB0E1CD"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szCs w:val="21"/>
                <w:u w:val="single"/>
              </w:rPr>
              <w:t>13</w:t>
            </w:r>
          </w:p>
        </w:tc>
        <w:tc>
          <w:tcPr>
            <w:tcW w:w="353" w:type="pct"/>
            <w:vAlign w:val="center"/>
          </w:tcPr>
          <w:p w14:paraId="015C2F5B" w14:textId="77777777" w:rsidR="00857349" w:rsidRPr="000D4753" w:rsidRDefault="00857349" w:rsidP="00755C9E">
            <w:pPr>
              <w:jc w:val="center"/>
              <w:rPr>
                <w:rFonts w:ascii="Calibri" w:hAnsi="Calibri"/>
                <w:b/>
                <w:snapToGrid w:val="0"/>
                <w:color w:val="auto"/>
                <w:szCs w:val="21"/>
                <w:u w:val="single"/>
              </w:rPr>
            </w:pPr>
            <w:r w:rsidRPr="000D4753">
              <w:rPr>
                <w:rFonts w:ascii="Calibri"/>
                <w:b/>
                <w:color w:val="auto"/>
                <w:u w:val="single"/>
              </w:rPr>
              <w:t>6400</w:t>
            </w:r>
          </w:p>
        </w:tc>
        <w:tc>
          <w:tcPr>
            <w:tcW w:w="355" w:type="pct"/>
            <w:vAlign w:val="center"/>
          </w:tcPr>
          <w:p w14:paraId="489156F4" w14:textId="77777777" w:rsidR="00857349" w:rsidRPr="000D4753" w:rsidRDefault="00857349" w:rsidP="00755C9E">
            <w:pPr>
              <w:jc w:val="center"/>
              <w:rPr>
                <w:rFonts w:ascii="Calibri" w:hAnsi="Calibri"/>
                <w:b/>
                <w:snapToGrid w:val="0"/>
                <w:color w:val="auto"/>
                <w:szCs w:val="21"/>
                <w:u w:val="single"/>
              </w:rPr>
            </w:pPr>
            <w:r w:rsidRPr="000D4753">
              <w:rPr>
                <w:rFonts w:ascii="Calibri" w:hint="eastAsia"/>
                <w:b/>
                <w:color w:val="auto"/>
                <w:u w:val="single"/>
              </w:rPr>
              <w:t>0.083</w:t>
            </w:r>
          </w:p>
        </w:tc>
        <w:tc>
          <w:tcPr>
            <w:tcW w:w="353" w:type="pct"/>
            <w:vAlign w:val="center"/>
          </w:tcPr>
          <w:p w14:paraId="0AC19E85"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2600</w:t>
            </w:r>
          </w:p>
        </w:tc>
        <w:tc>
          <w:tcPr>
            <w:tcW w:w="355" w:type="pct"/>
            <w:vAlign w:val="center"/>
          </w:tcPr>
          <w:p w14:paraId="40EB0505" w14:textId="77777777" w:rsidR="00857349" w:rsidRPr="000D4753" w:rsidRDefault="00857349" w:rsidP="00755C9E">
            <w:pPr>
              <w:jc w:val="center"/>
              <w:rPr>
                <w:rFonts w:ascii="Calibri" w:hAnsi="Calibri"/>
                <w:b/>
                <w:snapToGrid w:val="0"/>
                <w:color w:val="auto"/>
                <w:szCs w:val="21"/>
                <w:u w:val="single"/>
              </w:rPr>
            </w:pPr>
            <w:r w:rsidRPr="000D4753">
              <w:rPr>
                <w:rFonts w:ascii="Calibri" w:hint="eastAsia"/>
                <w:b/>
                <w:color w:val="auto"/>
                <w:u w:val="single"/>
              </w:rPr>
              <w:t>0.034</w:t>
            </w:r>
          </w:p>
        </w:tc>
        <w:tc>
          <w:tcPr>
            <w:tcW w:w="353" w:type="pct"/>
            <w:vAlign w:val="center"/>
          </w:tcPr>
          <w:p w14:paraId="132C6D35" w14:textId="17DFD399" w:rsidR="00857349" w:rsidRPr="000D4753" w:rsidRDefault="00E9070F" w:rsidP="00755C9E">
            <w:pPr>
              <w:jc w:val="center"/>
              <w:rPr>
                <w:rFonts w:ascii="Calibri" w:hAnsi="Calibri"/>
                <w:b/>
                <w:snapToGrid w:val="0"/>
                <w:color w:val="auto"/>
                <w:szCs w:val="21"/>
                <w:u w:val="single"/>
              </w:rPr>
            </w:pPr>
            <w:r w:rsidRPr="000D4753">
              <w:rPr>
                <w:rFonts w:ascii="Calibri"/>
                <w:b/>
                <w:color w:val="auto"/>
                <w:u w:val="single"/>
              </w:rPr>
              <w:t>200</w:t>
            </w:r>
          </w:p>
        </w:tc>
        <w:tc>
          <w:tcPr>
            <w:tcW w:w="355" w:type="pct"/>
            <w:vAlign w:val="center"/>
          </w:tcPr>
          <w:p w14:paraId="2A663C4F" w14:textId="6D459895" w:rsidR="00857349" w:rsidRPr="000D4753" w:rsidRDefault="00E9070F" w:rsidP="00755C9E">
            <w:pPr>
              <w:jc w:val="center"/>
              <w:rPr>
                <w:rFonts w:ascii="Calibri" w:hAnsi="Calibri"/>
                <w:b/>
                <w:snapToGrid w:val="0"/>
                <w:color w:val="auto"/>
                <w:szCs w:val="21"/>
                <w:u w:val="single"/>
              </w:rPr>
            </w:pPr>
            <w:r w:rsidRPr="000D4753">
              <w:rPr>
                <w:rFonts w:ascii="Calibri"/>
                <w:b/>
                <w:color w:val="auto"/>
                <w:u w:val="single"/>
              </w:rPr>
              <w:t>0.0026</w:t>
            </w:r>
          </w:p>
        </w:tc>
        <w:tc>
          <w:tcPr>
            <w:tcW w:w="353" w:type="pct"/>
            <w:vAlign w:val="center"/>
          </w:tcPr>
          <w:p w14:paraId="2F246310"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63" w:type="pct"/>
            <w:vAlign w:val="center"/>
          </w:tcPr>
          <w:p w14:paraId="21F937C7"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56" w:type="pct"/>
            <w:vAlign w:val="center"/>
          </w:tcPr>
          <w:p w14:paraId="582BB6AF" w14:textId="77777777" w:rsidR="00857349" w:rsidRPr="000D4753" w:rsidRDefault="00857349" w:rsidP="00755C9E">
            <w:pPr>
              <w:jc w:val="center"/>
              <w:rPr>
                <w:rFonts w:ascii="Calibri" w:hAnsi="Calibri"/>
                <w:b/>
                <w:snapToGrid w:val="0"/>
                <w:szCs w:val="21"/>
                <w:u w:val="single"/>
              </w:rPr>
            </w:pPr>
          </w:p>
        </w:tc>
        <w:tc>
          <w:tcPr>
            <w:tcW w:w="354" w:type="pct"/>
            <w:gridSpan w:val="5"/>
            <w:vAlign w:val="center"/>
          </w:tcPr>
          <w:p w14:paraId="30C16DDE" w14:textId="459C93BD" w:rsidR="00857349" w:rsidRPr="000D4753" w:rsidRDefault="00C72311" w:rsidP="00755C9E">
            <w:pPr>
              <w:jc w:val="center"/>
              <w:rPr>
                <w:rFonts w:ascii="Calibri" w:hAnsi="Calibri"/>
                <w:b/>
                <w:snapToGrid w:val="0"/>
                <w:szCs w:val="21"/>
                <w:u w:val="single"/>
              </w:rPr>
            </w:pPr>
            <w:r w:rsidRPr="000D4753">
              <w:rPr>
                <w:rFonts w:ascii="Calibri" w:hAnsi="Calibri" w:hint="eastAsia"/>
                <w:b/>
                <w:snapToGrid w:val="0"/>
                <w:szCs w:val="21"/>
                <w:u w:val="single"/>
              </w:rPr>
              <w:t>/</w:t>
            </w:r>
          </w:p>
        </w:tc>
      </w:tr>
      <w:tr w:rsidR="00857349" w:rsidRPr="000D4753" w14:paraId="308FA738" w14:textId="7AFD86A8" w:rsidTr="00607C5B">
        <w:trPr>
          <w:trHeight w:val="340"/>
        </w:trPr>
        <w:tc>
          <w:tcPr>
            <w:tcW w:w="162" w:type="pct"/>
            <w:vAlign w:val="center"/>
          </w:tcPr>
          <w:p w14:paraId="7F92F55A"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4</w:t>
            </w:r>
          </w:p>
        </w:tc>
        <w:tc>
          <w:tcPr>
            <w:tcW w:w="572" w:type="pct"/>
            <w:vAlign w:val="center"/>
          </w:tcPr>
          <w:p w14:paraId="43DB77E7"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真空泵及循环泵</w:t>
            </w:r>
          </w:p>
        </w:tc>
        <w:tc>
          <w:tcPr>
            <w:tcW w:w="256" w:type="pct"/>
            <w:vAlign w:val="center"/>
          </w:tcPr>
          <w:p w14:paraId="5593BCA6" w14:textId="30364A13"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3.72</w:t>
            </w:r>
          </w:p>
        </w:tc>
        <w:tc>
          <w:tcPr>
            <w:tcW w:w="460" w:type="pct"/>
            <w:vAlign w:val="center"/>
          </w:tcPr>
          <w:p w14:paraId="1FB8FD14" w14:textId="6629D59F"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1116</w:t>
            </w:r>
          </w:p>
        </w:tc>
        <w:tc>
          <w:tcPr>
            <w:tcW w:w="353" w:type="pct"/>
            <w:vAlign w:val="center"/>
          </w:tcPr>
          <w:p w14:paraId="16D1BAC4" w14:textId="77777777" w:rsidR="00857349" w:rsidRPr="000D4753" w:rsidRDefault="00857349" w:rsidP="00755C9E">
            <w:pPr>
              <w:jc w:val="center"/>
              <w:rPr>
                <w:rFonts w:ascii="Calibri" w:hAnsi="Calibri"/>
                <w:b/>
                <w:snapToGrid w:val="0"/>
                <w:color w:val="auto"/>
                <w:szCs w:val="21"/>
                <w:u w:val="single"/>
              </w:rPr>
            </w:pPr>
            <w:r w:rsidRPr="000D4753">
              <w:rPr>
                <w:rFonts w:ascii="Calibri" w:hint="eastAsia"/>
                <w:b/>
                <w:color w:val="auto"/>
                <w:u w:val="single"/>
              </w:rPr>
              <w:t>1140</w:t>
            </w:r>
          </w:p>
        </w:tc>
        <w:tc>
          <w:tcPr>
            <w:tcW w:w="355" w:type="pct"/>
            <w:vAlign w:val="center"/>
          </w:tcPr>
          <w:p w14:paraId="06F6A428" w14:textId="77777777" w:rsidR="00857349" w:rsidRPr="000D4753" w:rsidRDefault="00857349" w:rsidP="00755C9E">
            <w:pPr>
              <w:jc w:val="center"/>
              <w:rPr>
                <w:rFonts w:ascii="Calibri" w:hAnsi="Calibri"/>
                <w:b/>
                <w:snapToGrid w:val="0"/>
                <w:color w:val="auto"/>
                <w:szCs w:val="21"/>
                <w:u w:val="single"/>
              </w:rPr>
            </w:pPr>
            <w:r w:rsidRPr="000D4753">
              <w:rPr>
                <w:rFonts w:ascii="Calibri" w:hint="eastAsia"/>
                <w:b/>
                <w:color w:val="auto"/>
                <w:u w:val="single"/>
              </w:rPr>
              <w:t>1.27</w:t>
            </w:r>
          </w:p>
        </w:tc>
        <w:tc>
          <w:tcPr>
            <w:tcW w:w="353" w:type="pct"/>
            <w:vAlign w:val="center"/>
          </w:tcPr>
          <w:p w14:paraId="3F0459CA"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450</w:t>
            </w:r>
          </w:p>
        </w:tc>
        <w:tc>
          <w:tcPr>
            <w:tcW w:w="355" w:type="pct"/>
            <w:vAlign w:val="center"/>
          </w:tcPr>
          <w:p w14:paraId="24F56A42"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0.50</w:t>
            </w:r>
          </w:p>
        </w:tc>
        <w:tc>
          <w:tcPr>
            <w:tcW w:w="353" w:type="pct"/>
            <w:vAlign w:val="center"/>
          </w:tcPr>
          <w:p w14:paraId="75FA3194"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55" w:type="pct"/>
            <w:vAlign w:val="center"/>
          </w:tcPr>
          <w:p w14:paraId="1A4CDF2C"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w:t>
            </w:r>
          </w:p>
        </w:tc>
        <w:tc>
          <w:tcPr>
            <w:tcW w:w="353" w:type="pct"/>
            <w:vAlign w:val="center"/>
          </w:tcPr>
          <w:p w14:paraId="121A5DC0" w14:textId="58D53BB9" w:rsidR="00857349" w:rsidRPr="000D4753" w:rsidRDefault="004E6D49" w:rsidP="00755C9E">
            <w:pPr>
              <w:jc w:val="center"/>
              <w:rPr>
                <w:rFonts w:ascii="Calibri" w:hAnsi="Calibri"/>
                <w:b/>
                <w:snapToGrid w:val="0"/>
                <w:color w:val="auto"/>
                <w:szCs w:val="21"/>
                <w:u w:val="single"/>
              </w:rPr>
            </w:pPr>
            <w:r w:rsidRPr="000D4753">
              <w:rPr>
                <w:rFonts w:ascii="Calibri"/>
                <w:b/>
                <w:color w:val="auto"/>
                <w:u w:val="single"/>
              </w:rPr>
              <w:t>64</w:t>
            </w:r>
          </w:p>
        </w:tc>
        <w:tc>
          <w:tcPr>
            <w:tcW w:w="363" w:type="pct"/>
            <w:vAlign w:val="center"/>
          </w:tcPr>
          <w:p w14:paraId="188B3C29" w14:textId="77777777" w:rsidR="00857349" w:rsidRPr="000D4753" w:rsidRDefault="00857349" w:rsidP="00755C9E">
            <w:pPr>
              <w:jc w:val="center"/>
              <w:rPr>
                <w:rFonts w:ascii="Calibri" w:hAnsi="Calibri"/>
                <w:b/>
                <w:snapToGrid w:val="0"/>
                <w:color w:val="auto"/>
                <w:szCs w:val="21"/>
                <w:u w:val="single"/>
              </w:rPr>
            </w:pPr>
            <w:r w:rsidRPr="000D4753">
              <w:rPr>
                <w:rFonts w:ascii="Calibri" w:hint="eastAsia"/>
                <w:b/>
                <w:color w:val="auto"/>
                <w:u w:val="single"/>
              </w:rPr>
              <w:t>0.07</w:t>
            </w:r>
          </w:p>
        </w:tc>
        <w:tc>
          <w:tcPr>
            <w:tcW w:w="356" w:type="pct"/>
            <w:vAlign w:val="center"/>
          </w:tcPr>
          <w:p w14:paraId="0E5AA67C" w14:textId="37507C47" w:rsidR="00857349" w:rsidRPr="000D4753" w:rsidRDefault="00C72311" w:rsidP="00755C9E">
            <w:pPr>
              <w:jc w:val="center"/>
              <w:rPr>
                <w:rFonts w:ascii="Calibri"/>
                <w:b/>
                <w:color w:val="auto"/>
                <w:u w:val="single"/>
              </w:rPr>
            </w:pPr>
            <w:r w:rsidRPr="000D4753">
              <w:rPr>
                <w:rFonts w:ascii="Calibri" w:hint="eastAsia"/>
                <w:b/>
                <w:color w:val="auto"/>
                <w:u w:val="single"/>
              </w:rPr>
              <w:t>5</w:t>
            </w:r>
            <w:r w:rsidRPr="000D4753">
              <w:rPr>
                <w:rFonts w:ascii="Calibri"/>
                <w:b/>
                <w:color w:val="auto"/>
                <w:u w:val="single"/>
              </w:rPr>
              <w:t>6.45</w:t>
            </w:r>
          </w:p>
        </w:tc>
        <w:tc>
          <w:tcPr>
            <w:tcW w:w="354" w:type="pct"/>
            <w:gridSpan w:val="5"/>
            <w:vAlign w:val="center"/>
          </w:tcPr>
          <w:p w14:paraId="6B23E5F2" w14:textId="59DC2601" w:rsidR="00857349" w:rsidRPr="000D4753" w:rsidRDefault="00C72311" w:rsidP="00755C9E">
            <w:pPr>
              <w:jc w:val="center"/>
              <w:rPr>
                <w:rFonts w:ascii="Calibri"/>
                <w:b/>
                <w:color w:val="auto"/>
                <w:u w:val="single"/>
              </w:rPr>
            </w:pPr>
            <w:r w:rsidRPr="000D4753">
              <w:rPr>
                <w:rFonts w:ascii="Calibri" w:hint="eastAsia"/>
                <w:b/>
                <w:color w:val="auto"/>
                <w:u w:val="single"/>
              </w:rPr>
              <w:t>0</w:t>
            </w:r>
            <w:r w:rsidRPr="000D4753">
              <w:rPr>
                <w:rFonts w:ascii="Calibri"/>
                <w:b/>
                <w:color w:val="auto"/>
                <w:u w:val="single"/>
              </w:rPr>
              <w:t>.063</w:t>
            </w:r>
          </w:p>
        </w:tc>
      </w:tr>
      <w:tr w:rsidR="00857349" w:rsidRPr="000D4753" w14:paraId="58F1B3C3" w14:textId="23035A1E" w:rsidTr="00607C5B">
        <w:trPr>
          <w:trHeight w:val="340"/>
        </w:trPr>
        <w:tc>
          <w:tcPr>
            <w:tcW w:w="162" w:type="pct"/>
            <w:vAlign w:val="center"/>
          </w:tcPr>
          <w:p w14:paraId="120EDD46"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5</w:t>
            </w:r>
          </w:p>
        </w:tc>
        <w:tc>
          <w:tcPr>
            <w:tcW w:w="572" w:type="pct"/>
            <w:vAlign w:val="center"/>
          </w:tcPr>
          <w:p w14:paraId="5F4B764F"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地面清洗</w:t>
            </w:r>
          </w:p>
        </w:tc>
        <w:tc>
          <w:tcPr>
            <w:tcW w:w="256" w:type="pct"/>
            <w:vAlign w:val="center"/>
          </w:tcPr>
          <w:p w14:paraId="6D069129" w14:textId="39AEBD26" w:rsidR="00857349" w:rsidRPr="000D4753" w:rsidRDefault="00857349" w:rsidP="00755C9E">
            <w:pPr>
              <w:jc w:val="center"/>
              <w:rPr>
                <w:rFonts w:ascii="Calibri" w:hAnsi="Calibri"/>
                <w:b/>
                <w:snapToGrid w:val="0"/>
                <w:color w:val="auto"/>
                <w:szCs w:val="21"/>
                <w:u w:val="single"/>
              </w:rPr>
            </w:pPr>
            <w:r w:rsidRPr="000D4753">
              <w:rPr>
                <w:rFonts w:ascii="Calibri"/>
                <w:b/>
                <w:color w:val="auto"/>
                <w:u w:val="single"/>
              </w:rPr>
              <w:t>23.73</w:t>
            </w:r>
          </w:p>
        </w:tc>
        <w:tc>
          <w:tcPr>
            <w:tcW w:w="460" w:type="pct"/>
            <w:vAlign w:val="center"/>
          </w:tcPr>
          <w:p w14:paraId="2FFBB148" w14:textId="7F901780" w:rsidR="00857349" w:rsidRPr="000D4753" w:rsidRDefault="00857349" w:rsidP="00755C9E">
            <w:pPr>
              <w:jc w:val="center"/>
              <w:rPr>
                <w:rFonts w:ascii="Calibri" w:hAnsi="Calibri"/>
                <w:b/>
                <w:snapToGrid w:val="0"/>
                <w:color w:val="auto"/>
                <w:szCs w:val="21"/>
                <w:u w:val="single"/>
              </w:rPr>
            </w:pPr>
            <w:r w:rsidRPr="000D4753">
              <w:rPr>
                <w:rFonts w:ascii="Calibri"/>
                <w:b/>
                <w:color w:val="auto"/>
                <w:u w:val="single"/>
              </w:rPr>
              <w:t>7117.2</w:t>
            </w:r>
          </w:p>
        </w:tc>
        <w:tc>
          <w:tcPr>
            <w:tcW w:w="353" w:type="pct"/>
            <w:vAlign w:val="center"/>
          </w:tcPr>
          <w:p w14:paraId="65CCD379" w14:textId="77777777" w:rsidR="00857349" w:rsidRPr="000D4753" w:rsidRDefault="00857349" w:rsidP="00755C9E">
            <w:pPr>
              <w:jc w:val="center"/>
              <w:rPr>
                <w:rFonts w:ascii="Calibri" w:hAnsi="Calibri"/>
                <w:b/>
                <w:snapToGrid w:val="0"/>
                <w:szCs w:val="21"/>
                <w:u w:val="single"/>
              </w:rPr>
            </w:pPr>
            <w:r w:rsidRPr="000D4753">
              <w:rPr>
                <w:rFonts w:ascii="Calibri" w:hAnsi="Calibri"/>
                <w:b/>
                <w:snapToGrid w:val="0"/>
                <w:szCs w:val="21"/>
                <w:u w:val="single"/>
              </w:rPr>
              <w:t>350</w:t>
            </w:r>
          </w:p>
        </w:tc>
        <w:tc>
          <w:tcPr>
            <w:tcW w:w="355" w:type="pct"/>
            <w:vAlign w:val="center"/>
          </w:tcPr>
          <w:p w14:paraId="7DD9AB42" w14:textId="0E1C5AD9" w:rsidR="00857349" w:rsidRPr="000D4753" w:rsidRDefault="00857349" w:rsidP="00755C9E">
            <w:pPr>
              <w:jc w:val="center"/>
              <w:rPr>
                <w:rFonts w:ascii="Calibri" w:hAnsi="Calibri"/>
                <w:b/>
                <w:snapToGrid w:val="0"/>
                <w:szCs w:val="21"/>
                <w:u w:val="single"/>
              </w:rPr>
            </w:pPr>
            <w:r w:rsidRPr="000D4753">
              <w:rPr>
                <w:rFonts w:ascii="Calibri"/>
                <w:b/>
                <w:color w:val="auto"/>
                <w:u w:val="single"/>
              </w:rPr>
              <w:t>2.49</w:t>
            </w:r>
          </w:p>
        </w:tc>
        <w:tc>
          <w:tcPr>
            <w:tcW w:w="353" w:type="pct"/>
            <w:vAlign w:val="center"/>
          </w:tcPr>
          <w:p w14:paraId="228C0F2B"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color w:val="auto"/>
                <w:szCs w:val="21"/>
                <w:u w:val="single"/>
              </w:rPr>
              <w:t>150</w:t>
            </w:r>
          </w:p>
        </w:tc>
        <w:tc>
          <w:tcPr>
            <w:tcW w:w="355" w:type="pct"/>
            <w:vAlign w:val="center"/>
          </w:tcPr>
          <w:p w14:paraId="722EB8C3" w14:textId="6CDD243A" w:rsidR="00857349" w:rsidRPr="000D4753" w:rsidRDefault="00857349" w:rsidP="00755C9E">
            <w:pPr>
              <w:jc w:val="center"/>
              <w:rPr>
                <w:rFonts w:ascii="Calibri" w:hAnsi="Calibri"/>
                <w:b/>
                <w:snapToGrid w:val="0"/>
                <w:color w:val="auto"/>
                <w:szCs w:val="21"/>
                <w:u w:val="single"/>
              </w:rPr>
            </w:pPr>
            <w:r w:rsidRPr="000D4753">
              <w:rPr>
                <w:rFonts w:ascii="Calibri"/>
                <w:b/>
                <w:color w:val="auto"/>
                <w:u w:val="single"/>
              </w:rPr>
              <w:t>1.07</w:t>
            </w:r>
          </w:p>
        </w:tc>
        <w:tc>
          <w:tcPr>
            <w:tcW w:w="353" w:type="pct"/>
            <w:vAlign w:val="center"/>
          </w:tcPr>
          <w:p w14:paraId="0573105F" w14:textId="58B21A3E" w:rsidR="00857349" w:rsidRPr="000D4753" w:rsidRDefault="00E9070F" w:rsidP="00755C9E">
            <w:pPr>
              <w:jc w:val="center"/>
              <w:rPr>
                <w:rFonts w:ascii="Calibri" w:hAnsi="Calibri"/>
                <w:b/>
                <w:snapToGrid w:val="0"/>
                <w:szCs w:val="21"/>
                <w:u w:val="single"/>
              </w:rPr>
            </w:pPr>
            <w:r w:rsidRPr="000D4753">
              <w:rPr>
                <w:rFonts w:ascii="Calibri" w:hAnsi="Calibri"/>
                <w:b/>
                <w:snapToGrid w:val="0"/>
                <w:szCs w:val="21"/>
                <w:u w:val="single"/>
              </w:rPr>
              <w:t>200</w:t>
            </w:r>
          </w:p>
        </w:tc>
        <w:tc>
          <w:tcPr>
            <w:tcW w:w="355" w:type="pct"/>
            <w:vAlign w:val="center"/>
          </w:tcPr>
          <w:p w14:paraId="2A47C5FC" w14:textId="3746A1E0" w:rsidR="00857349" w:rsidRPr="000D4753" w:rsidRDefault="00E9070F" w:rsidP="00755C9E">
            <w:pPr>
              <w:jc w:val="center"/>
              <w:rPr>
                <w:rFonts w:ascii="Calibri" w:hAnsi="Calibri"/>
                <w:b/>
                <w:snapToGrid w:val="0"/>
                <w:szCs w:val="21"/>
                <w:u w:val="single"/>
              </w:rPr>
            </w:pPr>
            <w:r w:rsidRPr="000D4753">
              <w:rPr>
                <w:rFonts w:ascii="Calibri" w:hAnsi="Calibri"/>
                <w:b/>
                <w:snapToGrid w:val="0"/>
                <w:szCs w:val="21"/>
                <w:u w:val="single"/>
              </w:rPr>
              <w:t>1.42</w:t>
            </w:r>
          </w:p>
        </w:tc>
        <w:tc>
          <w:tcPr>
            <w:tcW w:w="353" w:type="pct"/>
            <w:vAlign w:val="center"/>
          </w:tcPr>
          <w:p w14:paraId="1E83143D" w14:textId="6A6C3075" w:rsidR="00857349" w:rsidRPr="000D4753" w:rsidRDefault="004E6D49" w:rsidP="00755C9E">
            <w:pPr>
              <w:jc w:val="center"/>
              <w:rPr>
                <w:rFonts w:ascii="Calibri" w:hAnsi="Calibri"/>
                <w:b/>
                <w:snapToGrid w:val="0"/>
                <w:szCs w:val="21"/>
                <w:u w:val="single"/>
              </w:rPr>
            </w:pPr>
            <w:r w:rsidRPr="000D4753">
              <w:rPr>
                <w:rFonts w:ascii="Calibri" w:hAnsi="Calibri"/>
                <w:b/>
                <w:snapToGrid w:val="0"/>
                <w:szCs w:val="21"/>
                <w:u w:val="single"/>
              </w:rPr>
              <w:t>30</w:t>
            </w:r>
          </w:p>
        </w:tc>
        <w:tc>
          <w:tcPr>
            <w:tcW w:w="363" w:type="pct"/>
            <w:vAlign w:val="center"/>
          </w:tcPr>
          <w:p w14:paraId="25AC2AC6" w14:textId="7AEA3015" w:rsidR="00857349" w:rsidRPr="000D4753" w:rsidRDefault="00857349" w:rsidP="00755C9E">
            <w:pPr>
              <w:jc w:val="center"/>
              <w:rPr>
                <w:rFonts w:ascii="Calibri" w:hAnsi="Calibri"/>
                <w:b/>
                <w:snapToGrid w:val="0"/>
                <w:szCs w:val="21"/>
                <w:u w:val="single"/>
              </w:rPr>
            </w:pPr>
            <w:r w:rsidRPr="000D4753">
              <w:rPr>
                <w:rFonts w:ascii="Calibri"/>
                <w:b/>
                <w:color w:val="auto"/>
                <w:u w:val="single"/>
              </w:rPr>
              <w:t>0.21</w:t>
            </w:r>
          </w:p>
        </w:tc>
        <w:tc>
          <w:tcPr>
            <w:tcW w:w="356" w:type="pct"/>
            <w:vAlign w:val="center"/>
          </w:tcPr>
          <w:p w14:paraId="282A2A5C" w14:textId="3A360A26" w:rsidR="00857349" w:rsidRPr="000D4753" w:rsidRDefault="00C72311" w:rsidP="00755C9E">
            <w:pPr>
              <w:jc w:val="center"/>
              <w:rPr>
                <w:rFonts w:ascii="Calibri"/>
                <w:b/>
                <w:color w:val="auto"/>
                <w:u w:val="single"/>
              </w:rPr>
            </w:pPr>
            <w:r w:rsidRPr="000D4753">
              <w:rPr>
                <w:rFonts w:ascii="Calibri" w:hint="eastAsia"/>
                <w:b/>
                <w:color w:val="auto"/>
                <w:u w:val="single"/>
              </w:rPr>
              <w:t>2</w:t>
            </w:r>
            <w:r w:rsidRPr="000D4753">
              <w:rPr>
                <w:rFonts w:ascii="Calibri"/>
                <w:b/>
                <w:color w:val="auto"/>
                <w:u w:val="single"/>
              </w:rPr>
              <w:t>6.70</w:t>
            </w:r>
          </w:p>
        </w:tc>
        <w:tc>
          <w:tcPr>
            <w:tcW w:w="354" w:type="pct"/>
            <w:gridSpan w:val="5"/>
            <w:vAlign w:val="center"/>
          </w:tcPr>
          <w:p w14:paraId="52A4E460" w14:textId="4A572153" w:rsidR="00857349" w:rsidRPr="000D4753" w:rsidRDefault="00C72311" w:rsidP="00755C9E">
            <w:pPr>
              <w:jc w:val="center"/>
              <w:rPr>
                <w:rFonts w:ascii="Calibri"/>
                <w:b/>
                <w:color w:val="auto"/>
                <w:u w:val="single"/>
              </w:rPr>
            </w:pPr>
            <w:r w:rsidRPr="000D4753">
              <w:rPr>
                <w:rFonts w:ascii="Calibri" w:hint="eastAsia"/>
                <w:b/>
                <w:color w:val="auto"/>
                <w:u w:val="single"/>
              </w:rPr>
              <w:t>0</w:t>
            </w:r>
            <w:r w:rsidRPr="000D4753">
              <w:rPr>
                <w:rFonts w:ascii="Calibri"/>
                <w:b/>
                <w:color w:val="auto"/>
                <w:u w:val="single"/>
              </w:rPr>
              <w:t>.19</w:t>
            </w:r>
          </w:p>
        </w:tc>
      </w:tr>
      <w:tr w:rsidR="00857349" w:rsidRPr="000D4753" w14:paraId="399B376E" w14:textId="10F9E1E2" w:rsidTr="00607C5B">
        <w:trPr>
          <w:trHeight w:val="340"/>
        </w:trPr>
        <w:tc>
          <w:tcPr>
            <w:tcW w:w="162" w:type="pct"/>
            <w:vAlign w:val="center"/>
          </w:tcPr>
          <w:p w14:paraId="4B8A24C5"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6</w:t>
            </w:r>
          </w:p>
        </w:tc>
        <w:tc>
          <w:tcPr>
            <w:tcW w:w="572" w:type="pct"/>
            <w:vAlign w:val="center"/>
          </w:tcPr>
          <w:p w14:paraId="0DB166BF"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实验</w:t>
            </w:r>
            <w:r w:rsidRPr="000D4753">
              <w:rPr>
                <w:rFonts w:ascii="Calibri" w:hAnsi="Calibri"/>
                <w:b/>
                <w:snapToGrid w:val="0"/>
                <w:szCs w:val="21"/>
                <w:u w:val="single"/>
              </w:rPr>
              <w:t>废水</w:t>
            </w:r>
          </w:p>
        </w:tc>
        <w:tc>
          <w:tcPr>
            <w:tcW w:w="256" w:type="pct"/>
            <w:vAlign w:val="center"/>
          </w:tcPr>
          <w:p w14:paraId="69BF644F" w14:textId="6C28EE66" w:rsidR="00857349" w:rsidRPr="000D4753" w:rsidRDefault="00857349" w:rsidP="00755C9E">
            <w:pPr>
              <w:jc w:val="center"/>
              <w:rPr>
                <w:rFonts w:ascii="Calibri" w:hAnsi="Calibri"/>
                <w:b/>
                <w:snapToGrid w:val="0"/>
                <w:color w:val="auto"/>
                <w:szCs w:val="21"/>
                <w:u w:val="single"/>
              </w:rPr>
            </w:pPr>
            <w:r w:rsidRPr="000D4753">
              <w:rPr>
                <w:rFonts w:ascii="Calibri" w:hint="eastAsia"/>
                <w:b/>
                <w:u w:val="single"/>
              </w:rPr>
              <w:t>0.9</w:t>
            </w:r>
          </w:p>
        </w:tc>
        <w:tc>
          <w:tcPr>
            <w:tcW w:w="460" w:type="pct"/>
            <w:vAlign w:val="center"/>
          </w:tcPr>
          <w:p w14:paraId="6E780A01" w14:textId="590FA68F"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szCs w:val="21"/>
                <w:u w:val="single"/>
              </w:rPr>
              <w:t>270</w:t>
            </w:r>
          </w:p>
        </w:tc>
        <w:tc>
          <w:tcPr>
            <w:tcW w:w="353" w:type="pct"/>
            <w:vAlign w:val="center"/>
          </w:tcPr>
          <w:p w14:paraId="0E24CA5E"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500</w:t>
            </w:r>
          </w:p>
        </w:tc>
        <w:tc>
          <w:tcPr>
            <w:tcW w:w="355" w:type="pct"/>
            <w:vAlign w:val="center"/>
          </w:tcPr>
          <w:p w14:paraId="34743152" w14:textId="77777777" w:rsidR="00857349" w:rsidRPr="000D4753" w:rsidRDefault="00857349" w:rsidP="00755C9E">
            <w:pPr>
              <w:jc w:val="center"/>
              <w:rPr>
                <w:rFonts w:ascii="Calibri"/>
                <w:b/>
                <w:color w:val="auto"/>
                <w:u w:val="single"/>
              </w:rPr>
            </w:pPr>
            <w:r w:rsidRPr="000D4753">
              <w:rPr>
                <w:rFonts w:ascii="Calibri" w:hint="eastAsia"/>
                <w:b/>
                <w:color w:val="auto"/>
                <w:u w:val="single"/>
              </w:rPr>
              <w:t>0.135</w:t>
            </w:r>
          </w:p>
        </w:tc>
        <w:tc>
          <w:tcPr>
            <w:tcW w:w="353" w:type="pct"/>
            <w:vAlign w:val="center"/>
          </w:tcPr>
          <w:p w14:paraId="6894E0F7" w14:textId="77777777" w:rsidR="00857349" w:rsidRPr="000D4753" w:rsidRDefault="00857349" w:rsidP="00755C9E">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250</w:t>
            </w:r>
          </w:p>
        </w:tc>
        <w:tc>
          <w:tcPr>
            <w:tcW w:w="355" w:type="pct"/>
            <w:vAlign w:val="center"/>
          </w:tcPr>
          <w:p w14:paraId="32875D31" w14:textId="77777777" w:rsidR="00857349" w:rsidRPr="000D4753" w:rsidRDefault="00857349" w:rsidP="00755C9E">
            <w:pPr>
              <w:jc w:val="center"/>
              <w:rPr>
                <w:rFonts w:ascii="Calibri"/>
                <w:b/>
                <w:color w:val="auto"/>
                <w:u w:val="single"/>
              </w:rPr>
            </w:pPr>
            <w:r w:rsidRPr="000D4753">
              <w:rPr>
                <w:rFonts w:ascii="Calibri" w:hint="eastAsia"/>
                <w:b/>
                <w:color w:val="auto"/>
                <w:u w:val="single"/>
              </w:rPr>
              <w:t>0.068</w:t>
            </w:r>
          </w:p>
        </w:tc>
        <w:tc>
          <w:tcPr>
            <w:tcW w:w="353" w:type="pct"/>
            <w:vAlign w:val="center"/>
          </w:tcPr>
          <w:p w14:paraId="0E0EE524"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100</w:t>
            </w:r>
          </w:p>
        </w:tc>
        <w:tc>
          <w:tcPr>
            <w:tcW w:w="355" w:type="pct"/>
            <w:vAlign w:val="center"/>
          </w:tcPr>
          <w:p w14:paraId="6C793C5D"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0.027</w:t>
            </w:r>
          </w:p>
        </w:tc>
        <w:tc>
          <w:tcPr>
            <w:tcW w:w="353" w:type="pct"/>
            <w:vAlign w:val="center"/>
          </w:tcPr>
          <w:p w14:paraId="020DB506"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100</w:t>
            </w:r>
          </w:p>
        </w:tc>
        <w:tc>
          <w:tcPr>
            <w:tcW w:w="363" w:type="pct"/>
            <w:vAlign w:val="center"/>
          </w:tcPr>
          <w:p w14:paraId="62E656C2" w14:textId="77777777" w:rsidR="00857349" w:rsidRPr="000D4753" w:rsidRDefault="00857349" w:rsidP="00755C9E">
            <w:pPr>
              <w:jc w:val="center"/>
              <w:rPr>
                <w:rFonts w:ascii="Calibri"/>
                <w:b/>
                <w:color w:val="auto"/>
                <w:u w:val="single"/>
              </w:rPr>
            </w:pPr>
            <w:r w:rsidRPr="000D4753">
              <w:rPr>
                <w:rFonts w:ascii="Calibri" w:hint="eastAsia"/>
                <w:b/>
                <w:color w:val="auto"/>
                <w:u w:val="single"/>
              </w:rPr>
              <w:t>0.027</w:t>
            </w:r>
          </w:p>
        </w:tc>
        <w:tc>
          <w:tcPr>
            <w:tcW w:w="356" w:type="pct"/>
            <w:vAlign w:val="center"/>
          </w:tcPr>
          <w:p w14:paraId="649AD4F9" w14:textId="6E17313D" w:rsidR="00857349" w:rsidRPr="000D4753" w:rsidRDefault="00C72311" w:rsidP="00755C9E">
            <w:pPr>
              <w:jc w:val="center"/>
              <w:rPr>
                <w:rFonts w:ascii="Calibri"/>
                <w:b/>
                <w:color w:val="auto"/>
                <w:u w:val="single"/>
              </w:rPr>
            </w:pPr>
            <w:r w:rsidRPr="000D4753">
              <w:rPr>
                <w:rFonts w:ascii="Calibri" w:hint="eastAsia"/>
                <w:b/>
                <w:color w:val="auto"/>
                <w:u w:val="single"/>
              </w:rPr>
              <w:t>8</w:t>
            </w:r>
            <w:r w:rsidRPr="000D4753">
              <w:rPr>
                <w:rFonts w:ascii="Calibri"/>
                <w:b/>
                <w:color w:val="auto"/>
                <w:u w:val="single"/>
              </w:rPr>
              <w:t>8.89</w:t>
            </w:r>
          </w:p>
        </w:tc>
        <w:tc>
          <w:tcPr>
            <w:tcW w:w="354" w:type="pct"/>
            <w:gridSpan w:val="5"/>
            <w:vAlign w:val="center"/>
          </w:tcPr>
          <w:p w14:paraId="5D5B611F" w14:textId="0BFF7EC5" w:rsidR="00857349" w:rsidRPr="000D4753" w:rsidRDefault="00C72311" w:rsidP="00755C9E">
            <w:pPr>
              <w:jc w:val="center"/>
              <w:rPr>
                <w:rFonts w:ascii="Calibri"/>
                <w:b/>
                <w:color w:val="auto"/>
                <w:u w:val="single"/>
              </w:rPr>
            </w:pPr>
            <w:r w:rsidRPr="000D4753">
              <w:rPr>
                <w:rFonts w:ascii="Calibri" w:hint="eastAsia"/>
                <w:b/>
                <w:color w:val="auto"/>
                <w:u w:val="single"/>
              </w:rPr>
              <w:t>0</w:t>
            </w:r>
            <w:r w:rsidRPr="000D4753">
              <w:rPr>
                <w:rFonts w:ascii="Calibri"/>
                <w:b/>
                <w:color w:val="auto"/>
                <w:u w:val="single"/>
              </w:rPr>
              <w:t>.024</w:t>
            </w:r>
          </w:p>
        </w:tc>
      </w:tr>
      <w:tr w:rsidR="00857349" w:rsidRPr="000D4753" w14:paraId="42B2AFCD" w14:textId="1267EB44" w:rsidTr="00607C5B">
        <w:trPr>
          <w:trHeight w:val="340"/>
        </w:trPr>
        <w:tc>
          <w:tcPr>
            <w:tcW w:w="162" w:type="pct"/>
            <w:vAlign w:val="center"/>
          </w:tcPr>
          <w:p w14:paraId="12AA5779" w14:textId="77777777" w:rsidR="00857349" w:rsidRPr="000D4753" w:rsidRDefault="00857349" w:rsidP="00755C9E">
            <w:pPr>
              <w:jc w:val="center"/>
              <w:rPr>
                <w:rFonts w:ascii="Calibri" w:hAnsi="Calibri"/>
                <w:b/>
                <w:snapToGrid w:val="0"/>
                <w:szCs w:val="21"/>
                <w:u w:val="single"/>
              </w:rPr>
            </w:pPr>
            <w:r w:rsidRPr="000D4753">
              <w:rPr>
                <w:rFonts w:ascii="Calibri" w:hAnsi="Calibri"/>
                <w:b/>
                <w:snapToGrid w:val="0"/>
                <w:szCs w:val="21"/>
                <w:u w:val="single"/>
              </w:rPr>
              <w:t>7</w:t>
            </w:r>
          </w:p>
        </w:tc>
        <w:tc>
          <w:tcPr>
            <w:tcW w:w="572" w:type="pct"/>
            <w:vAlign w:val="center"/>
          </w:tcPr>
          <w:p w14:paraId="2BEA6EA3" w14:textId="77777777" w:rsidR="00857349" w:rsidRPr="000D4753" w:rsidRDefault="00857349" w:rsidP="00755C9E">
            <w:pPr>
              <w:jc w:val="center"/>
              <w:rPr>
                <w:rFonts w:ascii="Calibri" w:hAnsi="Calibri"/>
                <w:b/>
                <w:snapToGrid w:val="0"/>
                <w:szCs w:val="21"/>
                <w:u w:val="single"/>
              </w:rPr>
            </w:pPr>
            <w:r w:rsidRPr="000D4753">
              <w:rPr>
                <w:rFonts w:ascii="Calibri" w:hAnsi="Calibri" w:hint="eastAsia"/>
                <w:b/>
                <w:snapToGrid w:val="0"/>
                <w:szCs w:val="21"/>
                <w:u w:val="single"/>
              </w:rPr>
              <w:t>职工生活</w:t>
            </w:r>
          </w:p>
        </w:tc>
        <w:tc>
          <w:tcPr>
            <w:tcW w:w="256" w:type="pct"/>
            <w:vAlign w:val="center"/>
          </w:tcPr>
          <w:p w14:paraId="5BA32719" w14:textId="62B82FC7" w:rsidR="00857349" w:rsidRPr="000D4753" w:rsidRDefault="00857349" w:rsidP="00755C9E">
            <w:pPr>
              <w:jc w:val="center"/>
              <w:rPr>
                <w:rFonts w:ascii="Calibri" w:hAnsi="Calibri"/>
                <w:b/>
                <w:snapToGrid w:val="0"/>
                <w:color w:val="auto"/>
                <w:szCs w:val="21"/>
                <w:u w:val="single"/>
              </w:rPr>
            </w:pPr>
            <w:r w:rsidRPr="000D4753">
              <w:rPr>
                <w:rFonts w:ascii="Calibri"/>
                <w:b/>
                <w:u w:val="single"/>
              </w:rPr>
              <w:t>5.76</w:t>
            </w:r>
          </w:p>
        </w:tc>
        <w:tc>
          <w:tcPr>
            <w:tcW w:w="460" w:type="pct"/>
            <w:vAlign w:val="center"/>
          </w:tcPr>
          <w:p w14:paraId="1D1FD9A7" w14:textId="5E110585" w:rsidR="00857349" w:rsidRPr="000D4753" w:rsidRDefault="00857349" w:rsidP="00755C9E">
            <w:pPr>
              <w:jc w:val="center"/>
              <w:rPr>
                <w:rFonts w:ascii="Calibri" w:hAnsi="Calibri"/>
                <w:b/>
                <w:snapToGrid w:val="0"/>
                <w:color w:val="auto"/>
                <w:szCs w:val="21"/>
                <w:u w:val="single"/>
              </w:rPr>
            </w:pPr>
            <w:r w:rsidRPr="000D4753">
              <w:rPr>
                <w:rFonts w:ascii="Calibri" w:hAnsi="Calibri"/>
                <w:b/>
                <w:snapToGrid w:val="0"/>
                <w:szCs w:val="21"/>
                <w:u w:val="single"/>
              </w:rPr>
              <w:t>1728</w:t>
            </w:r>
          </w:p>
        </w:tc>
        <w:tc>
          <w:tcPr>
            <w:tcW w:w="353" w:type="pct"/>
            <w:vAlign w:val="center"/>
          </w:tcPr>
          <w:p w14:paraId="69EDA0E6" w14:textId="77777777" w:rsidR="00857349" w:rsidRPr="000D4753" w:rsidRDefault="00857349" w:rsidP="00755C9E">
            <w:pPr>
              <w:jc w:val="center"/>
              <w:rPr>
                <w:rFonts w:ascii="Calibri"/>
                <w:b/>
                <w:u w:val="single"/>
              </w:rPr>
            </w:pPr>
            <w:r w:rsidRPr="000D4753">
              <w:rPr>
                <w:rFonts w:ascii="Calibri"/>
                <w:b/>
                <w:u w:val="single"/>
              </w:rPr>
              <w:t>255</w:t>
            </w:r>
          </w:p>
        </w:tc>
        <w:tc>
          <w:tcPr>
            <w:tcW w:w="355" w:type="pct"/>
            <w:vAlign w:val="center"/>
          </w:tcPr>
          <w:p w14:paraId="5C429176" w14:textId="77777777" w:rsidR="00857349" w:rsidRPr="000D4753" w:rsidRDefault="00857349" w:rsidP="00755C9E">
            <w:pPr>
              <w:jc w:val="center"/>
              <w:rPr>
                <w:rFonts w:ascii="Calibri"/>
                <w:b/>
                <w:u w:val="single"/>
              </w:rPr>
            </w:pPr>
            <w:r w:rsidRPr="000D4753">
              <w:rPr>
                <w:rFonts w:ascii="Calibri" w:hAnsi="Calibri" w:hint="eastAsia"/>
                <w:b/>
                <w:snapToGrid w:val="0"/>
                <w:color w:val="auto"/>
                <w:szCs w:val="21"/>
                <w:u w:val="single"/>
              </w:rPr>
              <w:t>0.44</w:t>
            </w:r>
          </w:p>
        </w:tc>
        <w:tc>
          <w:tcPr>
            <w:tcW w:w="353" w:type="pct"/>
            <w:vAlign w:val="center"/>
          </w:tcPr>
          <w:p w14:paraId="00D34A04" w14:textId="77777777" w:rsidR="00857349" w:rsidRPr="000D4753" w:rsidRDefault="00857349" w:rsidP="00755C9E">
            <w:pPr>
              <w:jc w:val="center"/>
              <w:rPr>
                <w:rFonts w:ascii="Calibri"/>
                <w:b/>
                <w:color w:val="auto"/>
                <w:u w:val="single"/>
              </w:rPr>
            </w:pPr>
            <w:r w:rsidRPr="000D4753">
              <w:rPr>
                <w:rFonts w:ascii="Calibri"/>
                <w:b/>
                <w:color w:val="auto"/>
                <w:u w:val="single"/>
              </w:rPr>
              <w:t>135</w:t>
            </w:r>
          </w:p>
        </w:tc>
        <w:tc>
          <w:tcPr>
            <w:tcW w:w="355" w:type="pct"/>
            <w:vAlign w:val="center"/>
          </w:tcPr>
          <w:p w14:paraId="44CB2F61" w14:textId="77777777" w:rsidR="00857349" w:rsidRPr="000D4753" w:rsidRDefault="00857349" w:rsidP="00755C9E">
            <w:pPr>
              <w:jc w:val="center"/>
              <w:rPr>
                <w:rFonts w:ascii="Calibri"/>
                <w:b/>
                <w:color w:val="auto"/>
                <w:u w:val="single"/>
              </w:rPr>
            </w:pPr>
            <w:r w:rsidRPr="000D4753">
              <w:rPr>
                <w:rFonts w:ascii="Calibri" w:hAnsi="Calibri"/>
                <w:b/>
                <w:snapToGrid w:val="0"/>
                <w:color w:val="auto"/>
                <w:szCs w:val="21"/>
                <w:u w:val="single"/>
              </w:rPr>
              <w:t>0.23</w:t>
            </w:r>
          </w:p>
        </w:tc>
        <w:tc>
          <w:tcPr>
            <w:tcW w:w="353" w:type="pct"/>
            <w:vAlign w:val="center"/>
          </w:tcPr>
          <w:p w14:paraId="41E5715C" w14:textId="77777777" w:rsidR="00857349" w:rsidRPr="000D4753" w:rsidRDefault="00857349" w:rsidP="00755C9E">
            <w:pPr>
              <w:jc w:val="center"/>
              <w:rPr>
                <w:rFonts w:ascii="Calibri" w:hAnsi="Calibri"/>
                <w:b/>
                <w:snapToGrid w:val="0"/>
                <w:szCs w:val="21"/>
                <w:u w:val="single"/>
              </w:rPr>
            </w:pPr>
            <w:r w:rsidRPr="000D4753">
              <w:rPr>
                <w:rFonts w:ascii="Calibri" w:hAnsi="Calibri"/>
                <w:b/>
                <w:snapToGrid w:val="0"/>
                <w:color w:val="auto"/>
                <w:szCs w:val="21"/>
                <w:u w:val="single"/>
              </w:rPr>
              <w:t>120</w:t>
            </w:r>
          </w:p>
        </w:tc>
        <w:tc>
          <w:tcPr>
            <w:tcW w:w="355" w:type="pct"/>
            <w:vAlign w:val="center"/>
          </w:tcPr>
          <w:p w14:paraId="1A3AA28D" w14:textId="77777777" w:rsidR="00857349" w:rsidRPr="000D4753" w:rsidRDefault="00857349" w:rsidP="00755C9E">
            <w:pPr>
              <w:jc w:val="center"/>
              <w:rPr>
                <w:rFonts w:ascii="Calibri" w:hAnsi="Calibri"/>
                <w:b/>
                <w:snapToGrid w:val="0"/>
                <w:szCs w:val="21"/>
                <w:u w:val="single"/>
              </w:rPr>
            </w:pPr>
            <w:r w:rsidRPr="000D4753">
              <w:rPr>
                <w:rFonts w:ascii="Calibri" w:hAnsi="Calibri"/>
                <w:b/>
                <w:snapToGrid w:val="0"/>
                <w:color w:val="auto"/>
                <w:szCs w:val="21"/>
                <w:u w:val="single"/>
              </w:rPr>
              <w:t>0.21</w:t>
            </w:r>
          </w:p>
        </w:tc>
        <w:tc>
          <w:tcPr>
            <w:tcW w:w="353" w:type="pct"/>
            <w:vAlign w:val="center"/>
          </w:tcPr>
          <w:p w14:paraId="567AC3AD" w14:textId="550EDDE6" w:rsidR="00857349" w:rsidRPr="000D4753" w:rsidRDefault="004E6D49" w:rsidP="00755C9E">
            <w:pPr>
              <w:jc w:val="center"/>
              <w:rPr>
                <w:rFonts w:ascii="Calibri" w:hAnsi="Calibri"/>
                <w:b/>
                <w:snapToGrid w:val="0"/>
                <w:szCs w:val="21"/>
                <w:u w:val="single"/>
              </w:rPr>
            </w:pPr>
            <w:r w:rsidRPr="000D4753">
              <w:rPr>
                <w:rFonts w:ascii="Calibri" w:hAnsi="Calibri"/>
                <w:b/>
                <w:snapToGrid w:val="0"/>
                <w:color w:val="auto"/>
                <w:szCs w:val="21"/>
                <w:u w:val="single"/>
              </w:rPr>
              <w:t>24.25</w:t>
            </w:r>
          </w:p>
        </w:tc>
        <w:tc>
          <w:tcPr>
            <w:tcW w:w="363" w:type="pct"/>
            <w:vAlign w:val="center"/>
          </w:tcPr>
          <w:p w14:paraId="3EB1B67D" w14:textId="77777777" w:rsidR="00857349" w:rsidRPr="000D4753" w:rsidRDefault="00857349" w:rsidP="00755C9E">
            <w:pPr>
              <w:jc w:val="center"/>
              <w:rPr>
                <w:rFonts w:ascii="Calibri" w:hAnsi="Calibri"/>
                <w:b/>
                <w:snapToGrid w:val="0"/>
                <w:szCs w:val="21"/>
                <w:u w:val="single"/>
              </w:rPr>
            </w:pPr>
            <w:r w:rsidRPr="000D4753">
              <w:rPr>
                <w:rFonts w:ascii="Calibri" w:hAnsi="Calibri"/>
                <w:b/>
                <w:snapToGrid w:val="0"/>
                <w:color w:val="auto"/>
                <w:szCs w:val="21"/>
                <w:u w:val="single"/>
              </w:rPr>
              <w:t>0.042</w:t>
            </w:r>
          </w:p>
        </w:tc>
        <w:tc>
          <w:tcPr>
            <w:tcW w:w="356" w:type="pct"/>
            <w:vAlign w:val="center"/>
          </w:tcPr>
          <w:p w14:paraId="67B01F1F" w14:textId="152F42F5" w:rsidR="00857349" w:rsidRPr="000D4753" w:rsidRDefault="00C72311" w:rsidP="00755C9E">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2</w:t>
            </w:r>
            <w:r w:rsidRPr="000D4753">
              <w:rPr>
                <w:rFonts w:ascii="Calibri" w:hAnsi="Calibri"/>
                <w:b/>
                <w:snapToGrid w:val="0"/>
                <w:color w:val="auto"/>
                <w:szCs w:val="21"/>
                <w:u w:val="single"/>
              </w:rPr>
              <w:t>1.99</w:t>
            </w:r>
          </w:p>
        </w:tc>
        <w:tc>
          <w:tcPr>
            <w:tcW w:w="354" w:type="pct"/>
            <w:gridSpan w:val="5"/>
            <w:vAlign w:val="center"/>
          </w:tcPr>
          <w:p w14:paraId="37B94F3E" w14:textId="7C975620" w:rsidR="00857349" w:rsidRPr="000D4753" w:rsidRDefault="00C72311" w:rsidP="00755C9E">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0</w:t>
            </w:r>
            <w:r w:rsidRPr="000D4753">
              <w:rPr>
                <w:rFonts w:ascii="Calibri" w:hAnsi="Calibri"/>
                <w:b/>
                <w:snapToGrid w:val="0"/>
                <w:color w:val="auto"/>
                <w:szCs w:val="21"/>
                <w:u w:val="single"/>
              </w:rPr>
              <w:t>.038</w:t>
            </w:r>
          </w:p>
        </w:tc>
      </w:tr>
      <w:tr w:rsidR="00857349" w:rsidRPr="000D4753" w14:paraId="4067DE03" w14:textId="60C90287" w:rsidTr="00607C5B">
        <w:trPr>
          <w:trHeight w:val="340"/>
        </w:trPr>
        <w:tc>
          <w:tcPr>
            <w:tcW w:w="734" w:type="pct"/>
            <w:gridSpan w:val="2"/>
            <w:vAlign w:val="center"/>
          </w:tcPr>
          <w:p w14:paraId="5C0F35DF"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混合水质</w:t>
            </w:r>
          </w:p>
        </w:tc>
        <w:tc>
          <w:tcPr>
            <w:tcW w:w="256" w:type="pct"/>
            <w:vAlign w:val="center"/>
          </w:tcPr>
          <w:p w14:paraId="4E928327" w14:textId="36AB2AB4"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40.123</w:t>
            </w:r>
          </w:p>
        </w:tc>
        <w:tc>
          <w:tcPr>
            <w:tcW w:w="460" w:type="pct"/>
            <w:vAlign w:val="center"/>
          </w:tcPr>
          <w:p w14:paraId="65BE5285" w14:textId="6F12A707"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12036.274</w:t>
            </w:r>
          </w:p>
        </w:tc>
        <w:tc>
          <w:tcPr>
            <w:tcW w:w="353" w:type="pct"/>
            <w:vAlign w:val="center"/>
          </w:tcPr>
          <w:p w14:paraId="5170B2F9" w14:textId="035D17EE" w:rsidR="00857349" w:rsidRPr="000D4753" w:rsidRDefault="00813F9F"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1734.92</w:t>
            </w:r>
          </w:p>
        </w:tc>
        <w:tc>
          <w:tcPr>
            <w:tcW w:w="355" w:type="pct"/>
            <w:vAlign w:val="center"/>
          </w:tcPr>
          <w:p w14:paraId="6B8EE18E" w14:textId="5D5EC879"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szCs w:val="21"/>
                <w:u w:val="single"/>
              </w:rPr>
              <w:t>20.882</w:t>
            </w:r>
          </w:p>
        </w:tc>
        <w:tc>
          <w:tcPr>
            <w:tcW w:w="353" w:type="pct"/>
            <w:vAlign w:val="center"/>
          </w:tcPr>
          <w:p w14:paraId="63700264" w14:textId="2C6D0268" w:rsidR="00857349" w:rsidRPr="000D4753" w:rsidRDefault="00813F9F"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859.07</w:t>
            </w:r>
          </w:p>
        </w:tc>
        <w:tc>
          <w:tcPr>
            <w:tcW w:w="355" w:type="pct"/>
            <w:vAlign w:val="center"/>
          </w:tcPr>
          <w:p w14:paraId="5B188F44" w14:textId="7AC9CE7F"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10.34</w:t>
            </w:r>
          </w:p>
        </w:tc>
        <w:tc>
          <w:tcPr>
            <w:tcW w:w="353" w:type="pct"/>
            <w:vAlign w:val="center"/>
          </w:tcPr>
          <w:p w14:paraId="583D14D8" w14:textId="1E2E6B9A" w:rsidR="00857349" w:rsidRPr="000D4753" w:rsidRDefault="002B1020"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137.88</w:t>
            </w:r>
          </w:p>
        </w:tc>
        <w:tc>
          <w:tcPr>
            <w:tcW w:w="355" w:type="pct"/>
            <w:vAlign w:val="center"/>
          </w:tcPr>
          <w:p w14:paraId="3A5586F3" w14:textId="4AD03F4A" w:rsidR="00857349" w:rsidRPr="000D4753" w:rsidRDefault="00E9070F" w:rsidP="004C513C">
            <w:pPr>
              <w:jc w:val="center"/>
              <w:rPr>
                <w:rFonts w:ascii="Calibri" w:hAnsi="Calibri"/>
                <w:b/>
                <w:snapToGrid w:val="0"/>
                <w:color w:val="auto"/>
                <w:szCs w:val="21"/>
                <w:u w:val="single"/>
              </w:rPr>
            </w:pPr>
            <w:r w:rsidRPr="000D4753">
              <w:rPr>
                <w:rFonts w:ascii="Calibri" w:hAnsi="Calibri"/>
                <w:b/>
                <w:snapToGrid w:val="0"/>
                <w:szCs w:val="21"/>
                <w:u w:val="single"/>
              </w:rPr>
              <w:t>1.6596</w:t>
            </w:r>
          </w:p>
        </w:tc>
        <w:tc>
          <w:tcPr>
            <w:tcW w:w="353" w:type="pct"/>
            <w:vAlign w:val="center"/>
          </w:tcPr>
          <w:p w14:paraId="7E26E201" w14:textId="6C07720B" w:rsidR="00857349" w:rsidRPr="000D4753" w:rsidRDefault="004E6D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118.7</w:t>
            </w:r>
            <w:r w:rsidR="00813F9F" w:rsidRPr="000D4753">
              <w:rPr>
                <w:rFonts w:ascii="Calibri" w:hAnsi="Calibri"/>
                <w:b/>
                <w:snapToGrid w:val="0"/>
                <w:color w:val="auto"/>
                <w:szCs w:val="21"/>
                <w:u w:val="single"/>
              </w:rPr>
              <w:t>7</w:t>
            </w:r>
          </w:p>
        </w:tc>
        <w:tc>
          <w:tcPr>
            <w:tcW w:w="363" w:type="pct"/>
            <w:vAlign w:val="center"/>
          </w:tcPr>
          <w:p w14:paraId="34B93660" w14:textId="46736BE7"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szCs w:val="21"/>
                <w:u w:val="single"/>
              </w:rPr>
              <w:t>1.4296</w:t>
            </w:r>
          </w:p>
        </w:tc>
        <w:tc>
          <w:tcPr>
            <w:tcW w:w="359" w:type="pct"/>
            <w:gridSpan w:val="2"/>
            <w:vAlign w:val="center"/>
          </w:tcPr>
          <w:p w14:paraId="1F8FF626" w14:textId="18FA5A4E" w:rsidR="00857349" w:rsidRPr="000D4753" w:rsidRDefault="00C72311" w:rsidP="004C513C">
            <w:pPr>
              <w:jc w:val="center"/>
              <w:rPr>
                <w:rFonts w:ascii="Calibri" w:hAnsi="Calibri"/>
                <w:b/>
                <w:snapToGrid w:val="0"/>
                <w:szCs w:val="21"/>
                <w:u w:val="single"/>
              </w:rPr>
            </w:pPr>
            <w:r w:rsidRPr="000D4753">
              <w:rPr>
                <w:rFonts w:ascii="Calibri" w:hAnsi="Calibri" w:hint="eastAsia"/>
                <w:b/>
                <w:snapToGrid w:val="0"/>
                <w:szCs w:val="21"/>
                <w:u w:val="single"/>
              </w:rPr>
              <w:t>1</w:t>
            </w:r>
            <w:r w:rsidRPr="000D4753">
              <w:rPr>
                <w:rFonts w:ascii="Calibri" w:hAnsi="Calibri"/>
                <w:b/>
                <w:snapToGrid w:val="0"/>
                <w:szCs w:val="21"/>
                <w:u w:val="single"/>
              </w:rPr>
              <w:t>07.18</w:t>
            </w:r>
          </w:p>
        </w:tc>
        <w:tc>
          <w:tcPr>
            <w:tcW w:w="351" w:type="pct"/>
            <w:gridSpan w:val="4"/>
            <w:vAlign w:val="center"/>
          </w:tcPr>
          <w:p w14:paraId="1A72D09C" w14:textId="6C905F25" w:rsidR="00857349" w:rsidRPr="000D4753" w:rsidRDefault="00C72311" w:rsidP="004C513C">
            <w:pPr>
              <w:jc w:val="center"/>
              <w:rPr>
                <w:rFonts w:ascii="Calibri" w:hAnsi="Calibri"/>
                <w:b/>
                <w:snapToGrid w:val="0"/>
                <w:szCs w:val="21"/>
                <w:u w:val="single"/>
              </w:rPr>
            </w:pPr>
            <w:r w:rsidRPr="000D4753">
              <w:rPr>
                <w:rFonts w:ascii="Calibri" w:hAnsi="Calibri" w:hint="eastAsia"/>
                <w:b/>
                <w:snapToGrid w:val="0"/>
                <w:szCs w:val="21"/>
                <w:u w:val="single"/>
              </w:rPr>
              <w:t>1</w:t>
            </w:r>
            <w:r w:rsidRPr="000D4753">
              <w:rPr>
                <w:rFonts w:ascii="Calibri" w:hAnsi="Calibri"/>
                <w:b/>
                <w:snapToGrid w:val="0"/>
                <w:szCs w:val="21"/>
                <w:u w:val="single"/>
              </w:rPr>
              <w:t>.29</w:t>
            </w:r>
          </w:p>
        </w:tc>
      </w:tr>
      <w:tr w:rsidR="00813F9F" w:rsidRPr="000D4753" w14:paraId="2506422C" w14:textId="70E2C36D" w:rsidTr="00607C5B">
        <w:trPr>
          <w:trHeight w:val="340"/>
        </w:trPr>
        <w:tc>
          <w:tcPr>
            <w:tcW w:w="734" w:type="pct"/>
            <w:gridSpan w:val="2"/>
            <w:vAlign w:val="center"/>
          </w:tcPr>
          <w:p w14:paraId="6BBCEA76" w14:textId="77777777" w:rsidR="00813F9F" w:rsidRPr="000D4753" w:rsidRDefault="00813F9F"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处理工艺</w:t>
            </w:r>
          </w:p>
        </w:tc>
        <w:tc>
          <w:tcPr>
            <w:tcW w:w="4266" w:type="pct"/>
            <w:gridSpan w:val="16"/>
            <w:vAlign w:val="center"/>
          </w:tcPr>
          <w:p w14:paraId="46703292" w14:textId="1D7C8069" w:rsidR="00813F9F" w:rsidRPr="000D4753" w:rsidRDefault="00813F9F" w:rsidP="004C513C">
            <w:pPr>
              <w:ind w:firstLineChars="1950" w:firstLine="4111"/>
              <w:rPr>
                <w:rFonts w:ascii="Calibri" w:hAnsi="Calibri"/>
                <w:b/>
                <w:snapToGrid w:val="0"/>
                <w:szCs w:val="21"/>
                <w:u w:val="single"/>
              </w:rPr>
            </w:pPr>
            <w:r w:rsidRPr="000D4753">
              <w:rPr>
                <w:rFonts w:ascii="Calibri" w:hAnsi="Calibri" w:hint="eastAsia"/>
                <w:b/>
                <w:snapToGrid w:val="0"/>
                <w:szCs w:val="21"/>
                <w:u w:val="single"/>
              </w:rPr>
              <w:t>水解</w:t>
            </w:r>
            <w:r w:rsidRPr="000D4753">
              <w:rPr>
                <w:rFonts w:ascii="Calibri" w:hAnsi="Calibri"/>
                <w:b/>
                <w:snapToGrid w:val="0"/>
                <w:szCs w:val="21"/>
                <w:u w:val="single"/>
              </w:rPr>
              <w:t>酸化</w:t>
            </w:r>
            <w:r w:rsidRPr="000D4753">
              <w:rPr>
                <w:rFonts w:ascii="Calibri" w:hAnsi="Calibri" w:hint="eastAsia"/>
                <w:b/>
                <w:snapToGrid w:val="0"/>
                <w:szCs w:val="21"/>
                <w:u w:val="single"/>
              </w:rPr>
              <w:t>+A</w:t>
            </w:r>
            <w:r w:rsidRPr="000D4753">
              <w:rPr>
                <w:rFonts w:ascii="Calibri" w:hAnsi="Calibri"/>
                <w:b/>
                <w:snapToGrid w:val="0"/>
                <w:szCs w:val="21"/>
                <w:u w:val="single"/>
              </w:rPr>
              <w:t>/O+</w:t>
            </w:r>
            <w:r w:rsidRPr="000D4753">
              <w:rPr>
                <w:rFonts w:ascii="Calibri" w:hAnsi="Calibri" w:hint="eastAsia"/>
                <w:b/>
                <w:snapToGrid w:val="0"/>
                <w:szCs w:val="21"/>
                <w:u w:val="single"/>
              </w:rPr>
              <w:t>混凝沉淀</w:t>
            </w:r>
          </w:p>
        </w:tc>
      </w:tr>
      <w:tr w:rsidR="00CC0696" w:rsidRPr="000D4753" w14:paraId="60BC57DE" w14:textId="19EB0D95" w:rsidTr="00607C5B">
        <w:trPr>
          <w:trHeight w:val="340"/>
        </w:trPr>
        <w:tc>
          <w:tcPr>
            <w:tcW w:w="734" w:type="pct"/>
            <w:gridSpan w:val="2"/>
            <w:vAlign w:val="center"/>
          </w:tcPr>
          <w:p w14:paraId="7C256334" w14:textId="77777777" w:rsidR="00CC0696" w:rsidRPr="000D4753" w:rsidRDefault="00CC0696"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综合去除效率（</w:t>
            </w:r>
            <w:r w:rsidRPr="000D4753">
              <w:rPr>
                <w:rFonts w:ascii="Calibri" w:hAnsi="Calibri" w:hint="eastAsia"/>
                <w:b/>
                <w:snapToGrid w:val="0"/>
                <w:color w:val="auto"/>
                <w:szCs w:val="21"/>
                <w:u w:val="single"/>
              </w:rPr>
              <w:t>%</w:t>
            </w:r>
            <w:r w:rsidRPr="000D4753">
              <w:rPr>
                <w:rFonts w:ascii="Calibri" w:hAnsi="Calibri" w:hint="eastAsia"/>
                <w:b/>
                <w:snapToGrid w:val="0"/>
                <w:color w:val="auto"/>
                <w:szCs w:val="21"/>
                <w:u w:val="single"/>
              </w:rPr>
              <w:t>）</w:t>
            </w:r>
          </w:p>
        </w:tc>
        <w:tc>
          <w:tcPr>
            <w:tcW w:w="256" w:type="pct"/>
            <w:vAlign w:val="center"/>
          </w:tcPr>
          <w:p w14:paraId="415BBE32" w14:textId="77777777" w:rsidR="00CC0696" w:rsidRPr="000D4753" w:rsidRDefault="00CC0696"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460" w:type="pct"/>
            <w:vAlign w:val="center"/>
          </w:tcPr>
          <w:p w14:paraId="779C6B30" w14:textId="77777777" w:rsidR="00CC0696" w:rsidRPr="000D4753" w:rsidRDefault="00CC0696"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708" w:type="pct"/>
            <w:gridSpan w:val="2"/>
            <w:vAlign w:val="center"/>
          </w:tcPr>
          <w:p w14:paraId="46C90746" w14:textId="1727023E" w:rsidR="00CC0696" w:rsidRPr="000D4753" w:rsidRDefault="00851FAF" w:rsidP="004C513C">
            <w:pPr>
              <w:jc w:val="center"/>
              <w:rPr>
                <w:rFonts w:ascii="Calibri" w:hAnsi="Calibri"/>
                <w:b/>
                <w:snapToGrid w:val="0"/>
                <w:szCs w:val="21"/>
                <w:u w:val="single"/>
              </w:rPr>
            </w:pPr>
            <w:r w:rsidRPr="000D4753">
              <w:rPr>
                <w:rFonts w:asciiTheme="minorHAnsi" w:hAnsiTheme="minorHAnsi"/>
                <w:b/>
                <w:szCs w:val="21"/>
                <w:u w:val="single"/>
              </w:rPr>
              <w:t>90.88%</w:t>
            </w:r>
          </w:p>
        </w:tc>
        <w:tc>
          <w:tcPr>
            <w:tcW w:w="708" w:type="pct"/>
            <w:gridSpan w:val="2"/>
            <w:vAlign w:val="center"/>
          </w:tcPr>
          <w:p w14:paraId="2928E591" w14:textId="136FA38C" w:rsidR="00CC0696" w:rsidRPr="000D4753" w:rsidRDefault="00851FAF" w:rsidP="004C513C">
            <w:pPr>
              <w:jc w:val="center"/>
              <w:rPr>
                <w:rFonts w:ascii="Calibri" w:hAnsi="Calibri"/>
                <w:b/>
                <w:snapToGrid w:val="0"/>
                <w:szCs w:val="21"/>
                <w:u w:val="single"/>
              </w:rPr>
            </w:pPr>
            <w:r w:rsidRPr="000D4753">
              <w:rPr>
                <w:rFonts w:asciiTheme="minorHAnsi" w:hAnsiTheme="minorHAnsi"/>
                <w:b/>
                <w:szCs w:val="21"/>
                <w:u w:val="single"/>
              </w:rPr>
              <w:t>90%</w:t>
            </w:r>
          </w:p>
        </w:tc>
        <w:tc>
          <w:tcPr>
            <w:tcW w:w="708" w:type="pct"/>
            <w:gridSpan w:val="2"/>
            <w:vAlign w:val="center"/>
          </w:tcPr>
          <w:p w14:paraId="20FBBD0D" w14:textId="250C7B86" w:rsidR="00CC0696" w:rsidRPr="000D4753" w:rsidRDefault="00851FAF" w:rsidP="004C513C">
            <w:pPr>
              <w:jc w:val="center"/>
              <w:rPr>
                <w:rFonts w:ascii="Calibri" w:hAnsi="Calibri"/>
                <w:b/>
                <w:snapToGrid w:val="0"/>
                <w:szCs w:val="21"/>
                <w:u w:val="single"/>
              </w:rPr>
            </w:pPr>
            <w:r w:rsidRPr="000D4753">
              <w:rPr>
                <w:rFonts w:ascii="Calibri" w:hAnsi="Calibri"/>
                <w:b/>
                <w:snapToGrid w:val="0"/>
                <w:szCs w:val="21"/>
                <w:u w:val="single"/>
              </w:rPr>
              <w:t>80</w:t>
            </w:r>
            <w:r w:rsidR="006F356A" w:rsidRPr="000D4753">
              <w:rPr>
                <w:rFonts w:asciiTheme="minorHAnsi" w:hAnsiTheme="minorHAnsi"/>
                <w:b/>
                <w:szCs w:val="21"/>
                <w:u w:val="single"/>
              </w:rPr>
              <w:t>%</w:t>
            </w:r>
          </w:p>
        </w:tc>
        <w:tc>
          <w:tcPr>
            <w:tcW w:w="716" w:type="pct"/>
            <w:gridSpan w:val="2"/>
            <w:vAlign w:val="center"/>
          </w:tcPr>
          <w:p w14:paraId="7490593C" w14:textId="61E43E63" w:rsidR="00CC0696" w:rsidRPr="000D4753" w:rsidRDefault="00CC0696" w:rsidP="00851FAF">
            <w:pPr>
              <w:jc w:val="center"/>
              <w:rPr>
                <w:rFonts w:ascii="Calibri" w:hAnsi="Calibri"/>
                <w:b/>
                <w:snapToGrid w:val="0"/>
                <w:szCs w:val="21"/>
                <w:u w:val="single"/>
              </w:rPr>
            </w:pPr>
            <w:r w:rsidRPr="000D4753">
              <w:rPr>
                <w:rFonts w:ascii="Calibri" w:hAnsi="Calibri"/>
                <w:b/>
                <w:snapToGrid w:val="0"/>
                <w:szCs w:val="21"/>
                <w:u w:val="single"/>
              </w:rPr>
              <w:t>8</w:t>
            </w:r>
            <w:r w:rsidR="00851FAF" w:rsidRPr="000D4753">
              <w:rPr>
                <w:rFonts w:ascii="Calibri" w:hAnsi="Calibri"/>
                <w:b/>
                <w:snapToGrid w:val="0"/>
                <w:szCs w:val="21"/>
                <w:u w:val="single"/>
              </w:rPr>
              <w:t>3</w:t>
            </w:r>
            <w:r w:rsidR="006F356A" w:rsidRPr="000D4753">
              <w:rPr>
                <w:rFonts w:asciiTheme="minorHAnsi" w:hAnsiTheme="minorHAnsi"/>
                <w:b/>
                <w:szCs w:val="21"/>
                <w:u w:val="single"/>
              </w:rPr>
              <w:t>%</w:t>
            </w:r>
          </w:p>
        </w:tc>
        <w:tc>
          <w:tcPr>
            <w:tcW w:w="710" w:type="pct"/>
            <w:gridSpan w:val="6"/>
            <w:vAlign w:val="center"/>
          </w:tcPr>
          <w:p w14:paraId="6974CF23" w14:textId="28EAD677" w:rsidR="00CC0696" w:rsidRPr="000D4753" w:rsidRDefault="008974D6" w:rsidP="00851FAF">
            <w:pPr>
              <w:jc w:val="center"/>
              <w:rPr>
                <w:rFonts w:ascii="Calibri" w:hAnsi="Calibri"/>
                <w:b/>
                <w:snapToGrid w:val="0"/>
                <w:szCs w:val="21"/>
                <w:u w:val="single"/>
              </w:rPr>
            </w:pPr>
            <w:r w:rsidRPr="000D4753">
              <w:rPr>
                <w:rFonts w:ascii="Calibri" w:hAnsi="Calibri"/>
                <w:b/>
                <w:snapToGrid w:val="0"/>
                <w:szCs w:val="21"/>
                <w:u w:val="single"/>
              </w:rPr>
              <w:t>8</w:t>
            </w:r>
            <w:r w:rsidR="00851FAF" w:rsidRPr="000D4753">
              <w:rPr>
                <w:rFonts w:ascii="Calibri" w:hAnsi="Calibri"/>
                <w:b/>
                <w:snapToGrid w:val="0"/>
                <w:szCs w:val="21"/>
                <w:u w:val="single"/>
              </w:rPr>
              <w:t>3</w:t>
            </w:r>
            <w:r w:rsidR="006F356A" w:rsidRPr="000D4753">
              <w:rPr>
                <w:rFonts w:asciiTheme="minorHAnsi" w:hAnsiTheme="minorHAnsi"/>
                <w:b/>
                <w:szCs w:val="21"/>
                <w:u w:val="single"/>
              </w:rPr>
              <w:t>%</w:t>
            </w:r>
          </w:p>
        </w:tc>
      </w:tr>
      <w:tr w:rsidR="0080419B" w:rsidRPr="000D4753" w14:paraId="026E9184" w14:textId="2EF86559" w:rsidTr="00607C5B">
        <w:trPr>
          <w:trHeight w:val="340"/>
        </w:trPr>
        <w:tc>
          <w:tcPr>
            <w:tcW w:w="734" w:type="pct"/>
            <w:gridSpan w:val="2"/>
            <w:vAlign w:val="center"/>
          </w:tcPr>
          <w:p w14:paraId="3483D044" w14:textId="77777777" w:rsidR="0080419B" w:rsidRPr="000D4753" w:rsidRDefault="0080419B" w:rsidP="00813F9F">
            <w:pPr>
              <w:jc w:val="center"/>
              <w:rPr>
                <w:rFonts w:asciiTheme="minorHAnsi" w:hAnsiTheme="minorHAnsi"/>
                <w:b/>
                <w:snapToGrid w:val="0"/>
                <w:color w:val="000000" w:themeColor="text1"/>
                <w:szCs w:val="21"/>
                <w:u w:val="single"/>
              </w:rPr>
            </w:pPr>
            <w:r w:rsidRPr="000D4753">
              <w:rPr>
                <w:rFonts w:asciiTheme="minorHAnsi" w:hAnsiTheme="minorHAnsi" w:hint="eastAsia"/>
                <w:b/>
                <w:snapToGrid w:val="0"/>
                <w:color w:val="000000" w:themeColor="text1"/>
                <w:szCs w:val="21"/>
                <w:u w:val="single"/>
              </w:rPr>
              <w:t>处理后</w:t>
            </w:r>
          </w:p>
          <w:p w14:paraId="3FD99AC4" w14:textId="77777777" w:rsidR="0080419B" w:rsidRPr="000D4753" w:rsidRDefault="0080419B" w:rsidP="00813F9F">
            <w:pPr>
              <w:jc w:val="center"/>
              <w:rPr>
                <w:rFonts w:ascii="Calibri" w:hAnsi="Calibri"/>
                <w:b/>
                <w:snapToGrid w:val="0"/>
                <w:color w:val="auto"/>
                <w:szCs w:val="21"/>
                <w:u w:val="single"/>
              </w:rPr>
            </w:pPr>
            <w:r w:rsidRPr="000D4753">
              <w:rPr>
                <w:rFonts w:asciiTheme="minorHAnsi" w:hAnsiTheme="minorHAnsi" w:hint="eastAsia"/>
                <w:b/>
                <w:snapToGrid w:val="0"/>
                <w:color w:val="000000" w:themeColor="text1"/>
                <w:szCs w:val="21"/>
                <w:u w:val="single"/>
              </w:rPr>
              <w:t>（废水处理站出水）</w:t>
            </w:r>
          </w:p>
        </w:tc>
        <w:tc>
          <w:tcPr>
            <w:tcW w:w="256" w:type="pct"/>
            <w:vAlign w:val="center"/>
          </w:tcPr>
          <w:p w14:paraId="1A1337C8" w14:textId="3860F689" w:rsidR="0080419B" w:rsidRPr="000D4753" w:rsidRDefault="0080419B" w:rsidP="00813F9F">
            <w:pPr>
              <w:jc w:val="center"/>
              <w:rPr>
                <w:rFonts w:ascii="Calibri" w:hAnsi="Calibri"/>
                <w:b/>
                <w:snapToGrid w:val="0"/>
                <w:color w:val="auto"/>
                <w:szCs w:val="21"/>
                <w:u w:val="single"/>
              </w:rPr>
            </w:pPr>
            <w:r w:rsidRPr="000D4753">
              <w:rPr>
                <w:rFonts w:ascii="Calibri" w:hAnsi="Calibri"/>
                <w:b/>
                <w:snapToGrid w:val="0"/>
                <w:color w:val="auto"/>
                <w:szCs w:val="21"/>
                <w:u w:val="single"/>
              </w:rPr>
              <w:t>40.123</w:t>
            </w:r>
          </w:p>
        </w:tc>
        <w:tc>
          <w:tcPr>
            <w:tcW w:w="460" w:type="pct"/>
            <w:vAlign w:val="center"/>
          </w:tcPr>
          <w:p w14:paraId="6E4FC0AE" w14:textId="4CFC85C5" w:rsidR="0080419B" w:rsidRPr="000D4753" w:rsidRDefault="0080419B" w:rsidP="00813F9F">
            <w:pPr>
              <w:jc w:val="center"/>
              <w:rPr>
                <w:rFonts w:ascii="Calibri" w:hAnsi="Calibri"/>
                <w:b/>
                <w:snapToGrid w:val="0"/>
                <w:color w:val="auto"/>
                <w:szCs w:val="21"/>
                <w:u w:val="single"/>
              </w:rPr>
            </w:pPr>
            <w:r w:rsidRPr="000D4753">
              <w:rPr>
                <w:rFonts w:ascii="Calibri" w:hAnsi="Calibri"/>
                <w:b/>
                <w:snapToGrid w:val="0"/>
                <w:color w:val="auto"/>
                <w:szCs w:val="21"/>
                <w:u w:val="single"/>
              </w:rPr>
              <w:t>12036.274</w:t>
            </w:r>
          </w:p>
        </w:tc>
        <w:tc>
          <w:tcPr>
            <w:tcW w:w="353" w:type="pct"/>
            <w:vAlign w:val="center"/>
          </w:tcPr>
          <w:p w14:paraId="049FC8ED" w14:textId="6E1EEFC3" w:rsidR="0080419B" w:rsidRPr="000D4753" w:rsidRDefault="00851FAF" w:rsidP="00813F9F">
            <w:pPr>
              <w:jc w:val="center"/>
              <w:rPr>
                <w:rFonts w:ascii="Calibri" w:hAnsi="Calibri"/>
                <w:b/>
                <w:snapToGrid w:val="0"/>
                <w:szCs w:val="21"/>
                <w:u w:val="single"/>
              </w:rPr>
            </w:pPr>
            <w:r w:rsidRPr="000D4753">
              <w:rPr>
                <w:rFonts w:ascii="Calibri" w:hAnsi="Calibri"/>
                <w:b/>
                <w:snapToGrid w:val="0"/>
                <w:szCs w:val="21"/>
                <w:u w:val="single"/>
              </w:rPr>
              <w:t>158.22</w:t>
            </w:r>
          </w:p>
        </w:tc>
        <w:tc>
          <w:tcPr>
            <w:tcW w:w="355" w:type="pct"/>
            <w:vAlign w:val="center"/>
          </w:tcPr>
          <w:p w14:paraId="00EBED5D" w14:textId="10B83871" w:rsidR="0080419B" w:rsidRPr="000D4753" w:rsidRDefault="00851FAF" w:rsidP="00813F9F">
            <w:pPr>
              <w:jc w:val="center"/>
              <w:rPr>
                <w:rFonts w:ascii="Calibri" w:hAnsi="Calibri"/>
                <w:b/>
                <w:snapToGrid w:val="0"/>
                <w:szCs w:val="21"/>
                <w:u w:val="single"/>
              </w:rPr>
            </w:pPr>
            <w:r w:rsidRPr="000D4753">
              <w:rPr>
                <w:rFonts w:ascii="Calibri" w:hAnsi="Calibri"/>
                <w:b/>
                <w:snapToGrid w:val="0"/>
                <w:szCs w:val="21"/>
                <w:u w:val="single"/>
              </w:rPr>
              <w:t>1.90</w:t>
            </w:r>
          </w:p>
        </w:tc>
        <w:tc>
          <w:tcPr>
            <w:tcW w:w="353" w:type="pct"/>
            <w:vAlign w:val="center"/>
          </w:tcPr>
          <w:p w14:paraId="75FDC446" w14:textId="2BD50F25" w:rsidR="0080419B" w:rsidRPr="000D4753" w:rsidRDefault="00851FAF" w:rsidP="00813F9F">
            <w:pPr>
              <w:jc w:val="center"/>
              <w:rPr>
                <w:rFonts w:ascii="Calibri" w:hAnsi="Calibri"/>
                <w:b/>
                <w:snapToGrid w:val="0"/>
                <w:szCs w:val="21"/>
                <w:u w:val="single"/>
              </w:rPr>
            </w:pPr>
            <w:r w:rsidRPr="000D4753">
              <w:rPr>
                <w:rFonts w:ascii="Calibri" w:hAnsi="Calibri"/>
                <w:b/>
                <w:snapToGrid w:val="0"/>
                <w:szCs w:val="21"/>
                <w:u w:val="single"/>
              </w:rPr>
              <w:t>85.91</w:t>
            </w:r>
          </w:p>
        </w:tc>
        <w:tc>
          <w:tcPr>
            <w:tcW w:w="355" w:type="pct"/>
            <w:vAlign w:val="center"/>
          </w:tcPr>
          <w:p w14:paraId="235FBA2D" w14:textId="16A6E14A" w:rsidR="0080419B" w:rsidRPr="000D4753" w:rsidRDefault="00851FAF" w:rsidP="00813F9F">
            <w:pPr>
              <w:jc w:val="center"/>
              <w:rPr>
                <w:rFonts w:ascii="Calibri" w:hAnsi="Calibri"/>
                <w:b/>
                <w:snapToGrid w:val="0"/>
                <w:szCs w:val="21"/>
                <w:u w:val="single"/>
              </w:rPr>
            </w:pPr>
            <w:r w:rsidRPr="000D4753">
              <w:rPr>
                <w:rFonts w:ascii="Calibri" w:hAnsi="Calibri"/>
                <w:b/>
                <w:snapToGrid w:val="0"/>
                <w:szCs w:val="21"/>
                <w:u w:val="single"/>
              </w:rPr>
              <w:t>1.034</w:t>
            </w:r>
          </w:p>
        </w:tc>
        <w:tc>
          <w:tcPr>
            <w:tcW w:w="353" w:type="pct"/>
            <w:vAlign w:val="center"/>
          </w:tcPr>
          <w:p w14:paraId="2A762265" w14:textId="67741B77" w:rsidR="0080419B" w:rsidRPr="000D4753" w:rsidRDefault="00851FAF" w:rsidP="00813F9F">
            <w:pPr>
              <w:jc w:val="center"/>
              <w:rPr>
                <w:rFonts w:ascii="Calibri" w:hAnsi="Calibri"/>
                <w:b/>
                <w:snapToGrid w:val="0"/>
                <w:szCs w:val="21"/>
                <w:u w:val="single"/>
              </w:rPr>
            </w:pPr>
            <w:r w:rsidRPr="000D4753">
              <w:rPr>
                <w:rFonts w:ascii="Calibri" w:hAnsi="Calibri"/>
                <w:b/>
                <w:snapToGrid w:val="0"/>
                <w:szCs w:val="21"/>
                <w:u w:val="single"/>
              </w:rPr>
              <w:t>27.58</w:t>
            </w:r>
          </w:p>
        </w:tc>
        <w:tc>
          <w:tcPr>
            <w:tcW w:w="355" w:type="pct"/>
            <w:vAlign w:val="center"/>
          </w:tcPr>
          <w:p w14:paraId="11125290" w14:textId="3DCF5EC7" w:rsidR="0080419B" w:rsidRPr="000D4753" w:rsidRDefault="00851FAF" w:rsidP="00813F9F">
            <w:pPr>
              <w:jc w:val="center"/>
              <w:rPr>
                <w:rFonts w:ascii="Calibri" w:hAnsi="Calibri"/>
                <w:b/>
                <w:snapToGrid w:val="0"/>
                <w:szCs w:val="21"/>
                <w:u w:val="single"/>
              </w:rPr>
            </w:pPr>
            <w:r w:rsidRPr="000D4753">
              <w:rPr>
                <w:rFonts w:ascii="Calibri" w:hAnsi="Calibri"/>
                <w:b/>
                <w:snapToGrid w:val="0"/>
                <w:szCs w:val="21"/>
                <w:u w:val="single"/>
              </w:rPr>
              <w:t>0.33</w:t>
            </w:r>
          </w:p>
        </w:tc>
        <w:tc>
          <w:tcPr>
            <w:tcW w:w="353" w:type="pct"/>
            <w:vAlign w:val="center"/>
          </w:tcPr>
          <w:p w14:paraId="06F617F0" w14:textId="69189BAC" w:rsidR="0080419B" w:rsidRPr="000D4753" w:rsidRDefault="00851FAF" w:rsidP="00813F9F">
            <w:pPr>
              <w:jc w:val="center"/>
              <w:rPr>
                <w:rFonts w:ascii="Calibri" w:hAnsi="Calibri"/>
                <w:b/>
                <w:snapToGrid w:val="0"/>
                <w:szCs w:val="21"/>
                <w:highlight w:val="yellow"/>
                <w:u w:val="single"/>
              </w:rPr>
            </w:pPr>
            <w:r w:rsidRPr="000D4753">
              <w:rPr>
                <w:rFonts w:ascii="Calibri" w:hAnsi="Calibri"/>
                <w:b/>
                <w:snapToGrid w:val="0"/>
                <w:szCs w:val="21"/>
                <w:u w:val="single"/>
              </w:rPr>
              <w:t>20.19</w:t>
            </w:r>
          </w:p>
        </w:tc>
        <w:tc>
          <w:tcPr>
            <w:tcW w:w="363" w:type="pct"/>
            <w:vAlign w:val="center"/>
          </w:tcPr>
          <w:p w14:paraId="2A00F974" w14:textId="4221CE75" w:rsidR="0080419B" w:rsidRPr="000D4753" w:rsidRDefault="00851FAF" w:rsidP="00813F9F">
            <w:pPr>
              <w:jc w:val="center"/>
              <w:rPr>
                <w:rFonts w:ascii="Calibri" w:hAnsi="Calibri"/>
                <w:b/>
                <w:snapToGrid w:val="0"/>
                <w:szCs w:val="21"/>
                <w:u w:val="single"/>
              </w:rPr>
            </w:pPr>
            <w:r w:rsidRPr="000D4753">
              <w:rPr>
                <w:rFonts w:ascii="Calibri" w:hAnsi="Calibri"/>
                <w:b/>
                <w:snapToGrid w:val="0"/>
                <w:szCs w:val="21"/>
                <w:u w:val="single"/>
              </w:rPr>
              <w:t>0.24</w:t>
            </w:r>
          </w:p>
        </w:tc>
        <w:tc>
          <w:tcPr>
            <w:tcW w:w="359" w:type="pct"/>
            <w:gridSpan w:val="2"/>
            <w:vAlign w:val="center"/>
          </w:tcPr>
          <w:p w14:paraId="7A702478" w14:textId="560B7C8C" w:rsidR="0080419B" w:rsidRPr="000D4753" w:rsidRDefault="00851FAF" w:rsidP="00813F9F">
            <w:pPr>
              <w:jc w:val="center"/>
              <w:rPr>
                <w:rFonts w:ascii="Calibri" w:hAnsi="Calibri"/>
                <w:b/>
                <w:snapToGrid w:val="0"/>
                <w:szCs w:val="21"/>
                <w:u w:val="single"/>
              </w:rPr>
            </w:pPr>
            <w:r w:rsidRPr="000D4753">
              <w:rPr>
                <w:rFonts w:ascii="Calibri" w:hAnsi="Calibri" w:hint="eastAsia"/>
                <w:b/>
                <w:snapToGrid w:val="0"/>
                <w:szCs w:val="21"/>
                <w:u w:val="single"/>
              </w:rPr>
              <w:t>18.22</w:t>
            </w:r>
          </w:p>
        </w:tc>
        <w:tc>
          <w:tcPr>
            <w:tcW w:w="351" w:type="pct"/>
            <w:gridSpan w:val="4"/>
            <w:vAlign w:val="center"/>
          </w:tcPr>
          <w:p w14:paraId="0A54DA35" w14:textId="24F68F75" w:rsidR="0080419B" w:rsidRPr="000D4753" w:rsidRDefault="00851FAF" w:rsidP="00813F9F">
            <w:pPr>
              <w:jc w:val="center"/>
              <w:rPr>
                <w:rFonts w:ascii="Calibri" w:hAnsi="Calibri"/>
                <w:b/>
                <w:snapToGrid w:val="0"/>
                <w:szCs w:val="21"/>
                <w:u w:val="single"/>
              </w:rPr>
            </w:pPr>
            <w:r w:rsidRPr="000D4753">
              <w:rPr>
                <w:rFonts w:ascii="Calibri" w:hAnsi="Calibri" w:hint="eastAsia"/>
                <w:b/>
                <w:snapToGrid w:val="0"/>
                <w:szCs w:val="21"/>
                <w:u w:val="single"/>
              </w:rPr>
              <w:t>0.22</w:t>
            </w:r>
          </w:p>
        </w:tc>
      </w:tr>
      <w:tr w:rsidR="00CC0696" w:rsidRPr="000D4753" w14:paraId="1458AEC6" w14:textId="2E0E6C71" w:rsidTr="00607C5B">
        <w:trPr>
          <w:trHeight w:val="340"/>
        </w:trPr>
        <w:tc>
          <w:tcPr>
            <w:tcW w:w="734" w:type="pct"/>
            <w:gridSpan w:val="2"/>
            <w:vAlign w:val="center"/>
          </w:tcPr>
          <w:p w14:paraId="66D1152C"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纯水制备</w:t>
            </w:r>
            <w:r w:rsidRPr="000D4753">
              <w:rPr>
                <w:rFonts w:ascii="Calibri" w:hAnsi="Calibri"/>
                <w:b/>
                <w:snapToGrid w:val="0"/>
                <w:szCs w:val="21"/>
                <w:u w:val="single"/>
              </w:rPr>
              <w:t>站</w:t>
            </w:r>
          </w:p>
        </w:tc>
        <w:tc>
          <w:tcPr>
            <w:tcW w:w="256" w:type="pct"/>
            <w:vAlign w:val="center"/>
          </w:tcPr>
          <w:p w14:paraId="7E2616DE" w14:textId="77777777" w:rsidR="00CC0696" w:rsidRPr="000D4753" w:rsidRDefault="00CC0696" w:rsidP="00CC0696">
            <w:pPr>
              <w:jc w:val="center"/>
              <w:rPr>
                <w:rFonts w:ascii="Calibri" w:hAnsi="Calibri"/>
                <w:b/>
                <w:snapToGrid w:val="0"/>
                <w:color w:val="auto"/>
                <w:szCs w:val="21"/>
                <w:u w:val="single"/>
              </w:rPr>
            </w:pPr>
            <w:r w:rsidRPr="000D4753">
              <w:rPr>
                <w:rFonts w:ascii="Calibri" w:hAnsiTheme="minorHAnsi"/>
                <w:b/>
                <w:color w:val="auto"/>
                <w:szCs w:val="22"/>
                <w:u w:val="single"/>
              </w:rPr>
              <w:t>2.28</w:t>
            </w:r>
          </w:p>
        </w:tc>
        <w:tc>
          <w:tcPr>
            <w:tcW w:w="460" w:type="pct"/>
            <w:vAlign w:val="center"/>
          </w:tcPr>
          <w:p w14:paraId="16484A59" w14:textId="7270830B" w:rsidR="00CC0696" w:rsidRPr="000D4753" w:rsidRDefault="00CC0696" w:rsidP="00CC0696">
            <w:pPr>
              <w:jc w:val="center"/>
              <w:rPr>
                <w:rFonts w:ascii="Calibri" w:hAnsi="Calibri"/>
                <w:b/>
                <w:snapToGrid w:val="0"/>
                <w:color w:val="auto"/>
                <w:szCs w:val="21"/>
                <w:u w:val="single"/>
              </w:rPr>
            </w:pPr>
            <w:r w:rsidRPr="000D4753">
              <w:rPr>
                <w:rFonts w:ascii="Calibri"/>
                <w:b/>
                <w:color w:val="auto"/>
                <w:u w:val="single"/>
              </w:rPr>
              <w:t>685.29</w:t>
            </w:r>
          </w:p>
        </w:tc>
        <w:tc>
          <w:tcPr>
            <w:tcW w:w="353" w:type="pct"/>
            <w:vAlign w:val="center"/>
          </w:tcPr>
          <w:p w14:paraId="6E58EA02"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641638F9"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0.0</w:t>
            </w:r>
            <w:r w:rsidRPr="000D4753">
              <w:rPr>
                <w:rFonts w:ascii="Calibri" w:hAnsi="Calibri"/>
                <w:b/>
                <w:snapToGrid w:val="0"/>
                <w:szCs w:val="21"/>
                <w:u w:val="single"/>
              </w:rPr>
              <w:t>34</w:t>
            </w:r>
          </w:p>
        </w:tc>
        <w:tc>
          <w:tcPr>
            <w:tcW w:w="353" w:type="pct"/>
            <w:vAlign w:val="center"/>
          </w:tcPr>
          <w:p w14:paraId="4394982D"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369EC985"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04A5BEA0"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658EA24A" w14:textId="77777777" w:rsidR="00CC0696" w:rsidRPr="000D4753" w:rsidRDefault="00CC0696" w:rsidP="00CC0696">
            <w:pPr>
              <w:jc w:val="center"/>
              <w:rPr>
                <w:rFonts w:ascii="Calibri" w:hAnsi="Calibri"/>
                <w:b/>
                <w:snapToGrid w:val="0"/>
                <w:color w:val="auto"/>
                <w:szCs w:val="21"/>
                <w:u w:val="single"/>
              </w:rPr>
            </w:pPr>
            <w:r w:rsidRPr="000D4753">
              <w:rPr>
                <w:rFonts w:ascii="Calibri" w:hAnsi="Calibri"/>
                <w:b/>
                <w:snapToGrid w:val="0"/>
                <w:color w:val="auto"/>
                <w:szCs w:val="21"/>
                <w:u w:val="single"/>
              </w:rPr>
              <w:t>0.034</w:t>
            </w:r>
          </w:p>
        </w:tc>
        <w:tc>
          <w:tcPr>
            <w:tcW w:w="353" w:type="pct"/>
            <w:vAlign w:val="center"/>
          </w:tcPr>
          <w:p w14:paraId="2BF4EA7E"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63" w:type="pct"/>
            <w:vAlign w:val="center"/>
          </w:tcPr>
          <w:p w14:paraId="6DD4B60B"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9" w:type="pct"/>
            <w:gridSpan w:val="2"/>
            <w:vAlign w:val="center"/>
          </w:tcPr>
          <w:p w14:paraId="58ECC43B" w14:textId="5B63C29F"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1" w:type="pct"/>
            <w:gridSpan w:val="4"/>
            <w:vAlign w:val="center"/>
          </w:tcPr>
          <w:p w14:paraId="7A62F72D" w14:textId="1D2E40C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r>
      <w:tr w:rsidR="00CC0696" w:rsidRPr="000D4753" w14:paraId="3985315E" w14:textId="5BC9687B" w:rsidTr="00607C5B">
        <w:trPr>
          <w:trHeight w:val="340"/>
        </w:trPr>
        <w:tc>
          <w:tcPr>
            <w:tcW w:w="734" w:type="pct"/>
            <w:gridSpan w:val="2"/>
            <w:vAlign w:val="center"/>
          </w:tcPr>
          <w:p w14:paraId="29358F43"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循环</w:t>
            </w:r>
            <w:r w:rsidRPr="000D4753">
              <w:rPr>
                <w:rFonts w:ascii="Calibri" w:hAnsi="Calibri"/>
                <w:b/>
                <w:snapToGrid w:val="0"/>
                <w:szCs w:val="21"/>
                <w:u w:val="single"/>
              </w:rPr>
              <w:t>冷却排污水</w:t>
            </w:r>
          </w:p>
        </w:tc>
        <w:tc>
          <w:tcPr>
            <w:tcW w:w="256" w:type="pct"/>
            <w:vAlign w:val="center"/>
          </w:tcPr>
          <w:p w14:paraId="06C5D310" w14:textId="77777777" w:rsidR="00CC0696" w:rsidRPr="000D4753" w:rsidRDefault="00CC0696" w:rsidP="00CC0696">
            <w:pPr>
              <w:jc w:val="center"/>
              <w:rPr>
                <w:rFonts w:ascii="Calibri" w:hAnsi="Calibri"/>
                <w:b/>
                <w:snapToGrid w:val="0"/>
                <w:color w:val="auto"/>
                <w:szCs w:val="21"/>
                <w:u w:val="single"/>
              </w:rPr>
            </w:pPr>
            <w:r w:rsidRPr="000D4753">
              <w:rPr>
                <w:rFonts w:ascii="Calibri" w:hint="eastAsia"/>
                <w:b/>
                <w:color w:val="auto"/>
                <w:u w:val="single"/>
              </w:rPr>
              <w:t>0.018</w:t>
            </w:r>
          </w:p>
        </w:tc>
        <w:tc>
          <w:tcPr>
            <w:tcW w:w="460" w:type="pct"/>
            <w:vAlign w:val="center"/>
          </w:tcPr>
          <w:p w14:paraId="6E3EB87E" w14:textId="77777777" w:rsidR="00CC0696" w:rsidRPr="000D4753" w:rsidRDefault="00CC0696" w:rsidP="00CC0696">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5.4</w:t>
            </w:r>
          </w:p>
        </w:tc>
        <w:tc>
          <w:tcPr>
            <w:tcW w:w="353" w:type="pct"/>
            <w:vAlign w:val="center"/>
          </w:tcPr>
          <w:p w14:paraId="7738B600"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55AB247F"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0.00027</w:t>
            </w:r>
          </w:p>
        </w:tc>
        <w:tc>
          <w:tcPr>
            <w:tcW w:w="353" w:type="pct"/>
            <w:vAlign w:val="center"/>
          </w:tcPr>
          <w:p w14:paraId="21A3F7C7"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2A654664"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0A4A2D8B"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5AC1DE59" w14:textId="77777777" w:rsidR="00CC0696" w:rsidRPr="000D4753" w:rsidRDefault="00CC0696" w:rsidP="00CC0696">
            <w:pPr>
              <w:jc w:val="center"/>
              <w:rPr>
                <w:rFonts w:ascii="Calibri" w:hAnsi="Calibri"/>
                <w:b/>
                <w:snapToGrid w:val="0"/>
                <w:color w:val="auto"/>
                <w:szCs w:val="21"/>
                <w:u w:val="single"/>
              </w:rPr>
            </w:pPr>
            <w:r w:rsidRPr="000D4753">
              <w:rPr>
                <w:rFonts w:ascii="Calibri" w:hAnsi="Calibri"/>
                <w:b/>
                <w:snapToGrid w:val="0"/>
                <w:color w:val="auto"/>
                <w:szCs w:val="21"/>
                <w:u w:val="single"/>
              </w:rPr>
              <w:t>0.00027</w:t>
            </w:r>
          </w:p>
        </w:tc>
        <w:tc>
          <w:tcPr>
            <w:tcW w:w="353" w:type="pct"/>
            <w:vAlign w:val="center"/>
          </w:tcPr>
          <w:p w14:paraId="5A7BE6A7"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63" w:type="pct"/>
            <w:vAlign w:val="center"/>
          </w:tcPr>
          <w:p w14:paraId="5E4C8B34" w14:textId="77777777"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9" w:type="pct"/>
            <w:gridSpan w:val="2"/>
            <w:vAlign w:val="center"/>
          </w:tcPr>
          <w:p w14:paraId="08E071AD" w14:textId="1277E52B"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1" w:type="pct"/>
            <w:gridSpan w:val="4"/>
            <w:vAlign w:val="center"/>
          </w:tcPr>
          <w:p w14:paraId="58BA1D7D" w14:textId="1C9F520E" w:rsidR="00CC0696" w:rsidRPr="000D4753" w:rsidRDefault="00CC0696" w:rsidP="00CC0696">
            <w:pPr>
              <w:jc w:val="center"/>
              <w:rPr>
                <w:rFonts w:ascii="Calibri" w:hAnsi="Calibri"/>
                <w:b/>
                <w:snapToGrid w:val="0"/>
                <w:szCs w:val="21"/>
                <w:u w:val="single"/>
              </w:rPr>
            </w:pPr>
            <w:r w:rsidRPr="000D4753">
              <w:rPr>
                <w:rFonts w:ascii="Calibri" w:hAnsi="Calibri" w:hint="eastAsia"/>
                <w:b/>
                <w:snapToGrid w:val="0"/>
                <w:szCs w:val="21"/>
                <w:u w:val="single"/>
              </w:rPr>
              <w:t>/</w:t>
            </w:r>
          </w:p>
        </w:tc>
      </w:tr>
      <w:tr w:rsidR="00EF30CD" w:rsidRPr="000D4753" w14:paraId="550A869E" w14:textId="3517900C" w:rsidTr="00607C5B">
        <w:trPr>
          <w:trHeight w:val="340"/>
        </w:trPr>
        <w:tc>
          <w:tcPr>
            <w:tcW w:w="734" w:type="pct"/>
            <w:gridSpan w:val="2"/>
            <w:vAlign w:val="center"/>
          </w:tcPr>
          <w:p w14:paraId="45C3B711" w14:textId="77777777" w:rsidR="00EF30CD" w:rsidRPr="000D4753" w:rsidRDefault="00EF30CD" w:rsidP="00EF30CD">
            <w:pPr>
              <w:jc w:val="center"/>
              <w:rPr>
                <w:rFonts w:ascii="Calibri" w:hAnsi="Calibri"/>
                <w:b/>
                <w:snapToGrid w:val="0"/>
                <w:szCs w:val="21"/>
                <w:u w:val="single"/>
              </w:rPr>
            </w:pPr>
            <w:r w:rsidRPr="000D4753">
              <w:rPr>
                <w:rFonts w:ascii="Calibri" w:hAnsi="Calibri" w:hint="eastAsia"/>
                <w:b/>
                <w:snapToGrid w:val="0"/>
                <w:szCs w:val="21"/>
                <w:u w:val="single"/>
              </w:rPr>
              <w:t>厂区总排口</w:t>
            </w:r>
          </w:p>
        </w:tc>
        <w:tc>
          <w:tcPr>
            <w:tcW w:w="256" w:type="pct"/>
            <w:vAlign w:val="center"/>
          </w:tcPr>
          <w:p w14:paraId="0052F1CE" w14:textId="7CB642BA" w:rsidR="00EF30CD" w:rsidRPr="000D4753" w:rsidRDefault="00EF30CD" w:rsidP="00EF30CD">
            <w:pPr>
              <w:jc w:val="center"/>
              <w:rPr>
                <w:rFonts w:ascii="Calibri" w:hAnsi="Calibri"/>
                <w:b/>
                <w:snapToGrid w:val="0"/>
                <w:szCs w:val="21"/>
                <w:u w:val="single"/>
              </w:rPr>
            </w:pPr>
            <w:r w:rsidRPr="000D4753">
              <w:rPr>
                <w:rFonts w:ascii="Calibri"/>
                <w:b/>
                <w:u w:val="single"/>
              </w:rPr>
              <w:t>42.421</w:t>
            </w:r>
          </w:p>
        </w:tc>
        <w:tc>
          <w:tcPr>
            <w:tcW w:w="460" w:type="pct"/>
            <w:vAlign w:val="center"/>
          </w:tcPr>
          <w:p w14:paraId="09130B29" w14:textId="08F658CC" w:rsidR="00EF30CD" w:rsidRPr="000D4753" w:rsidRDefault="00EF30CD" w:rsidP="00EF30CD">
            <w:pPr>
              <w:jc w:val="center"/>
              <w:rPr>
                <w:rFonts w:ascii="Calibri" w:hAnsi="Calibri"/>
                <w:b/>
                <w:snapToGrid w:val="0"/>
                <w:szCs w:val="21"/>
                <w:u w:val="single"/>
              </w:rPr>
            </w:pPr>
            <w:r w:rsidRPr="000D4753">
              <w:rPr>
                <w:rFonts w:ascii="Calibri" w:hAnsi="Calibri"/>
                <w:b/>
                <w:snapToGrid w:val="0"/>
                <w:szCs w:val="21"/>
                <w:u w:val="single"/>
              </w:rPr>
              <w:t>12726.96</w:t>
            </w:r>
            <w:r w:rsidR="00851FAF" w:rsidRPr="000D4753">
              <w:rPr>
                <w:rFonts w:ascii="Calibri" w:hAnsi="Calibri"/>
                <w:b/>
                <w:snapToGrid w:val="0"/>
                <w:szCs w:val="21"/>
                <w:u w:val="single"/>
              </w:rPr>
              <w:t>4</w:t>
            </w:r>
          </w:p>
        </w:tc>
        <w:tc>
          <w:tcPr>
            <w:tcW w:w="353" w:type="pct"/>
            <w:vAlign w:val="center"/>
          </w:tcPr>
          <w:p w14:paraId="3A9FD486" w14:textId="76364060" w:rsidR="00EF30CD" w:rsidRPr="000D4753" w:rsidRDefault="006F356A" w:rsidP="00EF30CD">
            <w:pPr>
              <w:jc w:val="center"/>
              <w:rPr>
                <w:rFonts w:ascii="Calibri" w:hAnsi="Calibri"/>
                <w:b/>
                <w:snapToGrid w:val="0"/>
                <w:szCs w:val="21"/>
                <w:u w:val="single"/>
              </w:rPr>
            </w:pPr>
            <w:r w:rsidRPr="000D4753">
              <w:rPr>
                <w:rFonts w:ascii="Calibri" w:hAnsi="Calibri"/>
                <w:b/>
                <w:snapToGrid w:val="0"/>
                <w:szCs w:val="21"/>
                <w:u w:val="single"/>
              </w:rPr>
              <w:t>151.98</w:t>
            </w:r>
          </w:p>
        </w:tc>
        <w:tc>
          <w:tcPr>
            <w:tcW w:w="355" w:type="pct"/>
            <w:vAlign w:val="center"/>
          </w:tcPr>
          <w:p w14:paraId="20A8FC7A" w14:textId="4ADA7862" w:rsidR="00EF30CD" w:rsidRPr="000D4753" w:rsidRDefault="00851FAF" w:rsidP="00EF30CD">
            <w:pPr>
              <w:jc w:val="center"/>
              <w:rPr>
                <w:rFonts w:ascii="Calibri" w:hAnsi="Calibri"/>
                <w:b/>
                <w:snapToGrid w:val="0"/>
                <w:szCs w:val="21"/>
                <w:u w:val="single"/>
              </w:rPr>
            </w:pPr>
            <w:r w:rsidRPr="000D4753">
              <w:rPr>
                <w:rFonts w:ascii="Calibri" w:hAnsi="Calibri"/>
                <w:b/>
                <w:snapToGrid w:val="0"/>
                <w:szCs w:val="21"/>
                <w:u w:val="single"/>
              </w:rPr>
              <w:t>1.93427</w:t>
            </w:r>
          </w:p>
        </w:tc>
        <w:tc>
          <w:tcPr>
            <w:tcW w:w="353" w:type="pct"/>
            <w:vAlign w:val="center"/>
          </w:tcPr>
          <w:p w14:paraId="0DEA9CC8" w14:textId="1AF66186" w:rsidR="00EF30CD" w:rsidRPr="000D4753" w:rsidRDefault="006F356A" w:rsidP="00EF30CD">
            <w:pPr>
              <w:jc w:val="center"/>
              <w:rPr>
                <w:rFonts w:ascii="Calibri" w:hAnsi="Calibri"/>
                <w:b/>
                <w:snapToGrid w:val="0"/>
                <w:szCs w:val="21"/>
                <w:u w:val="single"/>
              </w:rPr>
            </w:pPr>
            <w:r w:rsidRPr="000D4753">
              <w:rPr>
                <w:rFonts w:ascii="Calibri" w:hAnsi="Calibri"/>
                <w:b/>
                <w:snapToGrid w:val="0"/>
                <w:szCs w:val="21"/>
                <w:u w:val="single"/>
              </w:rPr>
              <w:t>81.24</w:t>
            </w:r>
          </w:p>
        </w:tc>
        <w:tc>
          <w:tcPr>
            <w:tcW w:w="355" w:type="pct"/>
            <w:vAlign w:val="center"/>
          </w:tcPr>
          <w:p w14:paraId="7C8D4A91" w14:textId="4A116E92" w:rsidR="00EF30CD" w:rsidRPr="000D4753" w:rsidRDefault="00851FAF" w:rsidP="00EF30CD">
            <w:pPr>
              <w:jc w:val="center"/>
              <w:rPr>
                <w:rFonts w:ascii="Calibri" w:hAnsi="Calibri"/>
                <w:b/>
                <w:snapToGrid w:val="0"/>
                <w:szCs w:val="21"/>
                <w:u w:val="single"/>
              </w:rPr>
            </w:pPr>
            <w:r w:rsidRPr="000D4753">
              <w:rPr>
                <w:rFonts w:ascii="Calibri" w:hAnsi="Calibri"/>
                <w:b/>
                <w:snapToGrid w:val="0"/>
                <w:szCs w:val="21"/>
                <w:u w:val="single"/>
              </w:rPr>
              <w:t>1.034</w:t>
            </w:r>
          </w:p>
        </w:tc>
        <w:tc>
          <w:tcPr>
            <w:tcW w:w="353" w:type="pct"/>
            <w:vAlign w:val="center"/>
          </w:tcPr>
          <w:p w14:paraId="5372996E" w14:textId="3C55509A" w:rsidR="00EF30CD" w:rsidRPr="000D4753" w:rsidRDefault="006F356A" w:rsidP="00EF30CD">
            <w:pPr>
              <w:jc w:val="center"/>
              <w:rPr>
                <w:rFonts w:ascii="Calibri" w:hAnsi="Calibri"/>
                <w:b/>
                <w:snapToGrid w:val="0"/>
                <w:szCs w:val="21"/>
                <w:u w:val="single"/>
              </w:rPr>
            </w:pPr>
            <w:r w:rsidRPr="000D4753">
              <w:rPr>
                <w:rFonts w:ascii="Calibri" w:hAnsi="Calibri"/>
                <w:b/>
                <w:snapToGrid w:val="0"/>
                <w:szCs w:val="21"/>
                <w:u w:val="single"/>
              </w:rPr>
              <w:t>28.62</w:t>
            </w:r>
          </w:p>
        </w:tc>
        <w:tc>
          <w:tcPr>
            <w:tcW w:w="355" w:type="pct"/>
            <w:vAlign w:val="center"/>
          </w:tcPr>
          <w:p w14:paraId="6E74FB6E" w14:textId="7CE6970C" w:rsidR="00EF30CD" w:rsidRPr="000D4753" w:rsidRDefault="00851FAF" w:rsidP="00EF30CD">
            <w:pPr>
              <w:jc w:val="center"/>
              <w:rPr>
                <w:rFonts w:ascii="Calibri" w:hAnsi="Calibri"/>
                <w:b/>
                <w:snapToGrid w:val="0"/>
                <w:color w:val="auto"/>
                <w:szCs w:val="21"/>
                <w:u w:val="single"/>
              </w:rPr>
            </w:pPr>
            <w:r w:rsidRPr="000D4753">
              <w:rPr>
                <w:rFonts w:ascii="Calibri" w:hAnsi="Calibri"/>
                <w:b/>
                <w:snapToGrid w:val="0"/>
                <w:color w:val="auto"/>
                <w:szCs w:val="21"/>
                <w:u w:val="single"/>
              </w:rPr>
              <w:t>0.36427</w:t>
            </w:r>
          </w:p>
        </w:tc>
        <w:tc>
          <w:tcPr>
            <w:tcW w:w="353" w:type="pct"/>
            <w:vAlign w:val="center"/>
          </w:tcPr>
          <w:p w14:paraId="18DEAF70" w14:textId="3550277C" w:rsidR="00EF30CD" w:rsidRPr="000D4753" w:rsidRDefault="006F356A" w:rsidP="00EF30CD">
            <w:pPr>
              <w:jc w:val="center"/>
              <w:rPr>
                <w:rFonts w:ascii="Calibri" w:hAnsi="Calibri"/>
                <w:b/>
                <w:snapToGrid w:val="0"/>
                <w:szCs w:val="21"/>
                <w:u w:val="single"/>
              </w:rPr>
            </w:pPr>
            <w:r w:rsidRPr="000D4753">
              <w:rPr>
                <w:rFonts w:ascii="Calibri" w:hAnsi="Calibri"/>
                <w:b/>
                <w:snapToGrid w:val="0"/>
                <w:szCs w:val="21"/>
                <w:u w:val="single"/>
              </w:rPr>
              <w:t>18.86</w:t>
            </w:r>
          </w:p>
        </w:tc>
        <w:tc>
          <w:tcPr>
            <w:tcW w:w="363" w:type="pct"/>
            <w:vAlign w:val="center"/>
          </w:tcPr>
          <w:p w14:paraId="31FD148F" w14:textId="4B8199B9" w:rsidR="00EF30CD" w:rsidRPr="000D4753" w:rsidRDefault="00851FAF" w:rsidP="00EF30CD">
            <w:pPr>
              <w:jc w:val="center"/>
              <w:rPr>
                <w:rFonts w:ascii="Calibri" w:hAnsi="Calibri"/>
                <w:b/>
                <w:snapToGrid w:val="0"/>
                <w:szCs w:val="21"/>
                <w:u w:val="single"/>
              </w:rPr>
            </w:pPr>
            <w:r w:rsidRPr="000D4753">
              <w:rPr>
                <w:rFonts w:ascii="Calibri" w:hAnsi="Calibri"/>
                <w:b/>
                <w:snapToGrid w:val="0"/>
                <w:szCs w:val="21"/>
                <w:u w:val="single"/>
              </w:rPr>
              <w:t>0.24</w:t>
            </w:r>
          </w:p>
        </w:tc>
        <w:tc>
          <w:tcPr>
            <w:tcW w:w="363" w:type="pct"/>
            <w:gridSpan w:val="3"/>
            <w:vAlign w:val="center"/>
          </w:tcPr>
          <w:p w14:paraId="30F6DEC3" w14:textId="5337B80E" w:rsidR="00EF30CD" w:rsidRPr="000D4753" w:rsidRDefault="006F356A" w:rsidP="00EF30CD">
            <w:pPr>
              <w:jc w:val="center"/>
              <w:rPr>
                <w:rFonts w:ascii="Calibri" w:hAnsi="Calibri"/>
                <w:b/>
                <w:snapToGrid w:val="0"/>
                <w:szCs w:val="21"/>
                <w:u w:val="single"/>
              </w:rPr>
            </w:pPr>
            <w:r w:rsidRPr="000D4753">
              <w:rPr>
                <w:rFonts w:ascii="Calibri" w:hAnsi="Calibri" w:hint="eastAsia"/>
                <w:b/>
                <w:snapToGrid w:val="0"/>
                <w:szCs w:val="21"/>
                <w:u w:val="single"/>
              </w:rPr>
              <w:t>17.29</w:t>
            </w:r>
          </w:p>
        </w:tc>
        <w:tc>
          <w:tcPr>
            <w:tcW w:w="347" w:type="pct"/>
            <w:gridSpan w:val="3"/>
            <w:vAlign w:val="center"/>
          </w:tcPr>
          <w:p w14:paraId="63FDEC88" w14:textId="28ABB1EE" w:rsidR="00EF30CD" w:rsidRPr="000D4753" w:rsidRDefault="00851FAF" w:rsidP="00EF30CD">
            <w:pPr>
              <w:jc w:val="center"/>
              <w:rPr>
                <w:rFonts w:ascii="Calibri" w:hAnsi="Calibri"/>
                <w:b/>
                <w:snapToGrid w:val="0"/>
                <w:szCs w:val="21"/>
                <w:u w:val="single"/>
              </w:rPr>
            </w:pPr>
            <w:r w:rsidRPr="000D4753">
              <w:rPr>
                <w:rFonts w:ascii="Calibri" w:hAnsi="Calibri" w:hint="eastAsia"/>
                <w:b/>
                <w:snapToGrid w:val="0"/>
                <w:szCs w:val="21"/>
                <w:u w:val="single"/>
              </w:rPr>
              <w:t>0.22</w:t>
            </w:r>
          </w:p>
        </w:tc>
      </w:tr>
      <w:tr w:rsidR="00857349" w:rsidRPr="000D4753" w14:paraId="0884288F" w14:textId="09CCAC52" w:rsidTr="00607C5B">
        <w:trPr>
          <w:trHeight w:val="340"/>
        </w:trPr>
        <w:tc>
          <w:tcPr>
            <w:tcW w:w="162" w:type="pct"/>
            <w:vAlign w:val="center"/>
          </w:tcPr>
          <w:p w14:paraId="0FDB3EFB"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二</w:t>
            </w:r>
          </w:p>
        </w:tc>
        <w:tc>
          <w:tcPr>
            <w:tcW w:w="4128" w:type="pct"/>
            <w:gridSpan w:val="11"/>
            <w:vAlign w:val="center"/>
          </w:tcPr>
          <w:p w14:paraId="690BE604" w14:textId="77777777" w:rsidR="00857349" w:rsidRPr="000D4753" w:rsidRDefault="00857349"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二期工程</w:t>
            </w:r>
          </w:p>
        </w:tc>
        <w:tc>
          <w:tcPr>
            <w:tcW w:w="710" w:type="pct"/>
            <w:gridSpan w:val="6"/>
            <w:vAlign w:val="center"/>
          </w:tcPr>
          <w:p w14:paraId="0BFB723A" w14:textId="77777777" w:rsidR="00857349" w:rsidRPr="000D4753" w:rsidRDefault="00857349" w:rsidP="004C513C">
            <w:pPr>
              <w:jc w:val="center"/>
              <w:rPr>
                <w:rFonts w:ascii="Calibri" w:hAnsi="Calibri"/>
                <w:b/>
                <w:snapToGrid w:val="0"/>
                <w:color w:val="auto"/>
                <w:szCs w:val="21"/>
                <w:u w:val="single"/>
              </w:rPr>
            </w:pPr>
          </w:p>
        </w:tc>
      </w:tr>
      <w:tr w:rsidR="0080419B" w:rsidRPr="000D4753" w14:paraId="1A2A3695" w14:textId="3E6B7F29" w:rsidTr="00607C5B">
        <w:trPr>
          <w:trHeight w:val="340"/>
        </w:trPr>
        <w:tc>
          <w:tcPr>
            <w:tcW w:w="162" w:type="pct"/>
            <w:vAlign w:val="center"/>
          </w:tcPr>
          <w:p w14:paraId="5114A827" w14:textId="77777777" w:rsidR="0080419B" w:rsidRPr="000D4753" w:rsidRDefault="0080419B" w:rsidP="0080419B">
            <w:pPr>
              <w:jc w:val="center"/>
              <w:rPr>
                <w:rFonts w:ascii="Calibri" w:hAnsi="Calibri"/>
                <w:b/>
                <w:snapToGrid w:val="0"/>
                <w:color w:val="auto"/>
                <w:szCs w:val="21"/>
                <w:u w:val="single"/>
              </w:rPr>
            </w:pPr>
            <w:r w:rsidRPr="000D4753">
              <w:rPr>
                <w:rFonts w:ascii="Calibri" w:hAnsi="Calibri"/>
                <w:b/>
                <w:snapToGrid w:val="0"/>
                <w:color w:val="auto"/>
                <w:szCs w:val="21"/>
                <w:u w:val="single"/>
              </w:rPr>
              <w:t>1</w:t>
            </w:r>
          </w:p>
        </w:tc>
        <w:tc>
          <w:tcPr>
            <w:tcW w:w="572" w:type="pct"/>
            <w:vAlign w:val="center"/>
          </w:tcPr>
          <w:p w14:paraId="2083AE78" w14:textId="77777777" w:rsidR="0080419B" w:rsidRPr="000D4753" w:rsidRDefault="0080419B" w:rsidP="0080419B">
            <w:pPr>
              <w:jc w:val="center"/>
              <w:rPr>
                <w:rFonts w:ascii="Calibri" w:hAnsi="Calibri"/>
                <w:b/>
                <w:snapToGrid w:val="0"/>
                <w:szCs w:val="21"/>
                <w:u w:val="single"/>
              </w:rPr>
            </w:pPr>
            <w:r w:rsidRPr="000D4753">
              <w:rPr>
                <w:rFonts w:ascii="Calibri" w:hAnsi="Calibri" w:hint="eastAsia"/>
                <w:b/>
                <w:snapToGrid w:val="0"/>
                <w:szCs w:val="21"/>
                <w:u w:val="single"/>
              </w:rPr>
              <w:t>配料及聚合</w:t>
            </w:r>
          </w:p>
        </w:tc>
        <w:tc>
          <w:tcPr>
            <w:tcW w:w="256" w:type="pct"/>
            <w:vAlign w:val="center"/>
          </w:tcPr>
          <w:p w14:paraId="76C90450" w14:textId="275A0F0F" w:rsidR="0080419B" w:rsidRPr="000D4753" w:rsidRDefault="0080419B" w:rsidP="0080419B">
            <w:pPr>
              <w:jc w:val="center"/>
              <w:rPr>
                <w:rFonts w:ascii="Calibri" w:hAnsi="Calibri"/>
                <w:b/>
                <w:snapToGrid w:val="0"/>
                <w:szCs w:val="21"/>
                <w:u w:val="single"/>
              </w:rPr>
            </w:pPr>
            <w:r w:rsidRPr="000D4753">
              <w:rPr>
                <w:rFonts w:ascii="Calibri" w:hAnsi="Calibri"/>
                <w:b/>
                <w:szCs w:val="21"/>
                <w:u w:val="single"/>
              </w:rPr>
              <w:t>2.21</w:t>
            </w:r>
          </w:p>
        </w:tc>
        <w:tc>
          <w:tcPr>
            <w:tcW w:w="460" w:type="pct"/>
            <w:vAlign w:val="center"/>
          </w:tcPr>
          <w:p w14:paraId="18B75F49" w14:textId="3BE2C04E" w:rsidR="0080419B" w:rsidRPr="000D4753" w:rsidRDefault="0080419B" w:rsidP="0080419B">
            <w:pPr>
              <w:jc w:val="center"/>
              <w:rPr>
                <w:rFonts w:ascii="Calibri" w:hAnsi="Calibri"/>
                <w:b/>
                <w:snapToGrid w:val="0"/>
                <w:szCs w:val="21"/>
                <w:u w:val="single"/>
              </w:rPr>
            </w:pPr>
            <w:r w:rsidRPr="000D4753">
              <w:rPr>
                <w:rFonts w:ascii="Calibri" w:hAnsi="Calibri"/>
                <w:b/>
                <w:snapToGrid w:val="0"/>
                <w:color w:val="auto"/>
                <w:szCs w:val="21"/>
                <w:u w:val="single"/>
              </w:rPr>
              <w:t>663.19</w:t>
            </w:r>
          </w:p>
        </w:tc>
        <w:tc>
          <w:tcPr>
            <w:tcW w:w="353" w:type="pct"/>
            <w:vAlign w:val="center"/>
          </w:tcPr>
          <w:p w14:paraId="4DCF2E7D" w14:textId="21A89A6E" w:rsidR="0080419B" w:rsidRPr="000D4753" w:rsidRDefault="0080419B" w:rsidP="0080419B">
            <w:pPr>
              <w:jc w:val="center"/>
              <w:rPr>
                <w:rFonts w:ascii="Calibri" w:hAnsi="Calibri"/>
                <w:b/>
                <w:snapToGrid w:val="0"/>
                <w:szCs w:val="21"/>
                <w:u w:val="single"/>
              </w:rPr>
            </w:pPr>
            <w:r w:rsidRPr="000D4753">
              <w:rPr>
                <w:rFonts w:ascii="Calibri" w:hAnsi="Calibri"/>
                <w:b/>
                <w:color w:val="auto"/>
                <w:kern w:val="0"/>
                <w:szCs w:val="21"/>
                <w:u w:val="single"/>
              </w:rPr>
              <w:t>11655.78</w:t>
            </w:r>
          </w:p>
        </w:tc>
        <w:tc>
          <w:tcPr>
            <w:tcW w:w="355" w:type="pct"/>
            <w:vAlign w:val="center"/>
          </w:tcPr>
          <w:p w14:paraId="20374961" w14:textId="089A921E" w:rsidR="0080419B" w:rsidRPr="000D4753" w:rsidRDefault="0080419B" w:rsidP="0080419B">
            <w:pPr>
              <w:jc w:val="center"/>
              <w:rPr>
                <w:rFonts w:ascii="Calibri" w:hAnsi="Calibri"/>
                <w:b/>
                <w:snapToGrid w:val="0"/>
                <w:szCs w:val="21"/>
                <w:u w:val="single"/>
              </w:rPr>
            </w:pPr>
            <w:r w:rsidRPr="000D4753">
              <w:rPr>
                <w:rFonts w:ascii="Calibri" w:hAnsi="Calibri"/>
                <w:b/>
                <w:color w:val="auto"/>
                <w:kern w:val="0"/>
                <w:szCs w:val="21"/>
                <w:u w:val="single"/>
              </w:rPr>
              <w:t>7.73</w:t>
            </w:r>
          </w:p>
        </w:tc>
        <w:tc>
          <w:tcPr>
            <w:tcW w:w="353" w:type="pct"/>
            <w:vAlign w:val="center"/>
          </w:tcPr>
          <w:p w14:paraId="0406CB29" w14:textId="61FC084E" w:rsidR="0080419B" w:rsidRPr="000D4753" w:rsidRDefault="0080419B" w:rsidP="0080419B">
            <w:pPr>
              <w:jc w:val="center"/>
              <w:rPr>
                <w:rFonts w:ascii="Calibri" w:hAnsi="Calibri"/>
                <w:b/>
                <w:snapToGrid w:val="0"/>
                <w:color w:val="FF0000"/>
                <w:szCs w:val="21"/>
                <w:u w:val="single"/>
              </w:rPr>
            </w:pPr>
            <w:r w:rsidRPr="000D4753">
              <w:rPr>
                <w:rFonts w:ascii="Calibri" w:hAnsi="Calibri"/>
                <w:b/>
                <w:color w:val="auto"/>
                <w:kern w:val="0"/>
                <w:szCs w:val="21"/>
                <w:u w:val="single"/>
              </w:rPr>
              <w:t>6152.08</w:t>
            </w:r>
          </w:p>
        </w:tc>
        <w:tc>
          <w:tcPr>
            <w:tcW w:w="355" w:type="pct"/>
            <w:vAlign w:val="center"/>
          </w:tcPr>
          <w:p w14:paraId="13AC8ADC" w14:textId="15455C3D" w:rsidR="0080419B" w:rsidRPr="000D4753" w:rsidRDefault="0080419B" w:rsidP="0080419B">
            <w:pPr>
              <w:jc w:val="center"/>
              <w:rPr>
                <w:rFonts w:ascii="Calibri" w:hAnsi="Calibri"/>
                <w:b/>
                <w:snapToGrid w:val="0"/>
                <w:color w:val="FF0000"/>
                <w:szCs w:val="21"/>
                <w:u w:val="single"/>
              </w:rPr>
            </w:pPr>
            <w:r w:rsidRPr="000D4753">
              <w:rPr>
                <w:rFonts w:ascii="Calibri" w:hAnsi="Calibri"/>
                <w:b/>
                <w:color w:val="auto"/>
                <w:kern w:val="0"/>
                <w:szCs w:val="21"/>
                <w:u w:val="single"/>
              </w:rPr>
              <w:t>4.08</w:t>
            </w:r>
          </w:p>
        </w:tc>
        <w:tc>
          <w:tcPr>
            <w:tcW w:w="353" w:type="pct"/>
            <w:vAlign w:val="center"/>
          </w:tcPr>
          <w:p w14:paraId="5D57DEC8" w14:textId="77777777" w:rsidR="0080419B" w:rsidRPr="000D4753" w:rsidRDefault="0080419B" w:rsidP="0080419B">
            <w:pPr>
              <w:jc w:val="center"/>
              <w:rPr>
                <w:rFonts w:ascii="Calibri" w:hAnsi="Calibri"/>
                <w:b/>
                <w:snapToGrid w:val="0"/>
                <w:szCs w:val="21"/>
                <w:u w:val="single"/>
              </w:rPr>
            </w:pPr>
            <w:r w:rsidRPr="000D4753">
              <w:rPr>
                <w:rFonts w:ascii="Calibri" w:hAnsi="Calibri"/>
                <w:b/>
                <w:snapToGrid w:val="0"/>
                <w:szCs w:val="21"/>
                <w:u w:val="single"/>
              </w:rPr>
              <w:t>/</w:t>
            </w:r>
          </w:p>
        </w:tc>
        <w:tc>
          <w:tcPr>
            <w:tcW w:w="355" w:type="pct"/>
            <w:vAlign w:val="center"/>
          </w:tcPr>
          <w:p w14:paraId="0F0A75BA" w14:textId="77777777" w:rsidR="0080419B" w:rsidRPr="000D4753" w:rsidRDefault="0080419B" w:rsidP="0080419B">
            <w:pPr>
              <w:jc w:val="center"/>
              <w:rPr>
                <w:rFonts w:ascii="Calibri" w:hAnsi="Calibri"/>
                <w:b/>
                <w:snapToGrid w:val="0"/>
                <w:szCs w:val="21"/>
                <w:u w:val="single"/>
              </w:rPr>
            </w:pPr>
            <w:r w:rsidRPr="000D4753">
              <w:rPr>
                <w:rFonts w:ascii="Calibri" w:hAnsi="Calibri"/>
                <w:b/>
                <w:snapToGrid w:val="0"/>
                <w:szCs w:val="21"/>
                <w:u w:val="single"/>
              </w:rPr>
              <w:t>/</w:t>
            </w:r>
          </w:p>
        </w:tc>
        <w:tc>
          <w:tcPr>
            <w:tcW w:w="353" w:type="pct"/>
            <w:vAlign w:val="center"/>
          </w:tcPr>
          <w:p w14:paraId="1F531699" w14:textId="460710B7" w:rsidR="0080419B" w:rsidRPr="000D4753" w:rsidRDefault="0080419B" w:rsidP="0080419B">
            <w:pPr>
              <w:jc w:val="center"/>
              <w:rPr>
                <w:rFonts w:ascii="Calibri" w:hAnsi="Calibri"/>
                <w:b/>
                <w:snapToGrid w:val="0"/>
                <w:szCs w:val="21"/>
                <w:u w:val="single"/>
              </w:rPr>
            </w:pPr>
            <w:r w:rsidRPr="000D4753">
              <w:rPr>
                <w:rFonts w:ascii="Calibri" w:hAnsi="Calibri"/>
                <w:b/>
                <w:color w:val="auto"/>
                <w:kern w:val="0"/>
                <w:szCs w:val="21"/>
                <w:u w:val="single"/>
              </w:rPr>
              <w:t>627.27</w:t>
            </w:r>
          </w:p>
        </w:tc>
        <w:tc>
          <w:tcPr>
            <w:tcW w:w="363" w:type="pct"/>
            <w:vAlign w:val="center"/>
          </w:tcPr>
          <w:p w14:paraId="51969DA2" w14:textId="0525C13A" w:rsidR="0080419B" w:rsidRPr="000D4753" w:rsidRDefault="0080419B" w:rsidP="0080419B">
            <w:pPr>
              <w:jc w:val="center"/>
              <w:rPr>
                <w:rFonts w:ascii="Calibri" w:hAnsi="Calibri"/>
                <w:b/>
                <w:snapToGrid w:val="0"/>
                <w:szCs w:val="21"/>
                <w:u w:val="single"/>
              </w:rPr>
            </w:pPr>
            <w:r w:rsidRPr="000D4753">
              <w:rPr>
                <w:rFonts w:ascii="Calibri" w:hAnsi="Calibri"/>
                <w:b/>
                <w:color w:val="auto"/>
                <w:kern w:val="0"/>
                <w:szCs w:val="21"/>
                <w:u w:val="single"/>
              </w:rPr>
              <w:t>0.416</w:t>
            </w:r>
          </w:p>
        </w:tc>
        <w:tc>
          <w:tcPr>
            <w:tcW w:w="363" w:type="pct"/>
            <w:gridSpan w:val="3"/>
            <w:vAlign w:val="center"/>
          </w:tcPr>
          <w:p w14:paraId="36AF158B" w14:textId="718B63D0" w:rsidR="0080419B" w:rsidRPr="000D4753" w:rsidRDefault="00CC0696" w:rsidP="0080419B">
            <w:pPr>
              <w:jc w:val="center"/>
              <w:rPr>
                <w:rFonts w:ascii="Calibri" w:hAnsi="Calibri"/>
                <w:b/>
                <w:color w:val="auto"/>
                <w:kern w:val="0"/>
                <w:szCs w:val="21"/>
                <w:u w:val="single"/>
              </w:rPr>
            </w:pPr>
            <w:r w:rsidRPr="000D4753">
              <w:rPr>
                <w:rFonts w:ascii="Calibri" w:hAnsi="Calibri" w:hint="eastAsia"/>
                <w:b/>
                <w:color w:val="auto"/>
                <w:kern w:val="0"/>
                <w:szCs w:val="21"/>
                <w:u w:val="single"/>
              </w:rPr>
              <w:t>5</w:t>
            </w:r>
            <w:r w:rsidRPr="000D4753">
              <w:rPr>
                <w:rFonts w:ascii="Calibri" w:hAnsi="Calibri"/>
                <w:b/>
                <w:color w:val="auto"/>
                <w:kern w:val="0"/>
                <w:szCs w:val="21"/>
                <w:u w:val="single"/>
              </w:rPr>
              <w:t>66</w:t>
            </w:r>
            <w:r w:rsidR="00B3028F" w:rsidRPr="000D4753">
              <w:rPr>
                <w:rFonts w:ascii="Calibri" w:hAnsi="Calibri" w:hint="eastAsia"/>
                <w:b/>
                <w:color w:val="auto"/>
                <w:kern w:val="0"/>
                <w:szCs w:val="21"/>
                <w:u w:val="single"/>
              </w:rPr>
              <w:t>.9</w:t>
            </w:r>
            <w:r w:rsidR="00B3028F" w:rsidRPr="000D4753">
              <w:rPr>
                <w:rFonts w:ascii="Calibri" w:hAnsi="Calibri"/>
                <w:b/>
                <w:color w:val="auto"/>
                <w:kern w:val="0"/>
                <w:szCs w:val="21"/>
                <w:u w:val="single"/>
              </w:rPr>
              <w:t>6</w:t>
            </w:r>
          </w:p>
        </w:tc>
        <w:tc>
          <w:tcPr>
            <w:tcW w:w="347" w:type="pct"/>
            <w:gridSpan w:val="3"/>
            <w:vAlign w:val="center"/>
          </w:tcPr>
          <w:p w14:paraId="3CFA1931" w14:textId="7884E933" w:rsidR="0080419B" w:rsidRPr="000D4753" w:rsidRDefault="00CC0696" w:rsidP="0080419B">
            <w:pPr>
              <w:jc w:val="center"/>
              <w:rPr>
                <w:rFonts w:ascii="Calibri" w:hAnsi="Calibri"/>
                <w:b/>
                <w:color w:val="auto"/>
                <w:kern w:val="0"/>
                <w:szCs w:val="21"/>
                <w:u w:val="single"/>
              </w:rPr>
            </w:pPr>
            <w:r w:rsidRPr="000D4753">
              <w:rPr>
                <w:rFonts w:ascii="Calibri" w:hAnsi="Calibri" w:hint="eastAsia"/>
                <w:b/>
                <w:color w:val="auto"/>
                <w:kern w:val="0"/>
                <w:szCs w:val="21"/>
                <w:u w:val="single"/>
              </w:rPr>
              <w:t>0</w:t>
            </w:r>
            <w:r w:rsidRPr="000D4753">
              <w:rPr>
                <w:rFonts w:ascii="Calibri" w:hAnsi="Calibri"/>
                <w:b/>
                <w:color w:val="auto"/>
                <w:kern w:val="0"/>
                <w:szCs w:val="21"/>
                <w:u w:val="single"/>
              </w:rPr>
              <w:t>.376</w:t>
            </w:r>
          </w:p>
        </w:tc>
      </w:tr>
      <w:tr w:rsidR="0080419B" w:rsidRPr="000D4753" w14:paraId="0E016D97" w14:textId="6DF174B7" w:rsidTr="00607C5B">
        <w:trPr>
          <w:trHeight w:val="340"/>
        </w:trPr>
        <w:tc>
          <w:tcPr>
            <w:tcW w:w="162" w:type="pct"/>
            <w:vAlign w:val="center"/>
          </w:tcPr>
          <w:p w14:paraId="607CA6BA" w14:textId="77777777" w:rsidR="0080419B" w:rsidRPr="000D4753" w:rsidRDefault="0080419B" w:rsidP="0080419B">
            <w:pPr>
              <w:jc w:val="center"/>
              <w:rPr>
                <w:rFonts w:ascii="Calibri" w:hAnsi="Calibri"/>
                <w:b/>
                <w:snapToGrid w:val="0"/>
                <w:color w:val="auto"/>
                <w:szCs w:val="21"/>
                <w:u w:val="single"/>
              </w:rPr>
            </w:pPr>
            <w:r w:rsidRPr="000D4753">
              <w:rPr>
                <w:rFonts w:ascii="Calibri" w:hAnsi="Calibri"/>
                <w:b/>
                <w:snapToGrid w:val="0"/>
                <w:color w:val="auto"/>
                <w:szCs w:val="21"/>
                <w:u w:val="single"/>
              </w:rPr>
              <w:t>2</w:t>
            </w:r>
          </w:p>
        </w:tc>
        <w:tc>
          <w:tcPr>
            <w:tcW w:w="572" w:type="pct"/>
            <w:vAlign w:val="center"/>
          </w:tcPr>
          <w:p w14:paraId="29151B0B" w14:textId="77777777" w:rsidR="0080419B" w:rsidRPr="000D4753" w:rsidRDefault="0080419B" w:rsidP="0080419B">
            <w:pPr>
              <w:jc w:val="center"/>
              <w:rPr>
                <w:rFonts w:ascii="Calibri" w:hAnsi="Calibri"/>
                <w:b/>
                <w:snapToGrid w:val="0"/>
                <w:szCs w:val="21"/>
                <w:u w:val="single"/>
              </w:rPr>
            </w:pPr>
            <w:r w:rsidRPr="000D4753">
              <w:rPr>
                <w:rFonts w:ascii="Calibri" w:hAnsi="Calibri" w:hint="eastAsia"/>
                <w:b/>
                <w:snapToGrid w:val="0"/>
                <w:szCs w:val="21"/>
                <w:u w:val="single"/>
              </w:rPr>
              <w:t>水喷淋塔</w:t>
            </w:r>
          </w:p>
        </w:tc>
        <w:tc>
          <w:tcPr>
            <w:tcW w:w="256" w:type="pct"/>
            <w:vAlign w:val="center"/>
          </w:tcPr>
          <w:p w14:paraId="29BB36EF" w14:textId="4E192CAB" w:rsidR="0080419B" w:rsidRPr="000D4753" w:rsidRDefault="0080419B" w:rsidP="0080419B">
            <w:pPr>
              <w:jc w:val="center"/>
              <w:rPr>
                <w:rFonts w:ascii="Calibri" w:hAnsi="Calibri"/>
                <w:b/>
                <w:snapToGrid w:val="0"/>
                <w:szCs w:val="21"/>
                <w:u w:val="single"/>
              </w:rPr>
            </w:pPr>
            <w:r w:rsidRPr="000D4753">
              <w:rPr>
                <w:rFonts w:ascii="Calibri"/>
                <w:b/>
                <w:color w:val="auto"/>
                <w:u w:val="single"/>
              </w:rPr>
              <w:t>1.37</w:t>
            </w:r>
          </w:p>
        </w:tc>
        <w:tc>
          <w:tcPr>
            <w:tcW w:w="460" w:type="pct"/>
            <w:vAlign w:val="center"/>
          </w:tcPr>
          <w:p w14:paraId="0E3742AC" w14:textId="68757AA4" w:rsidR="0080419B" w:rsidRPr="000D4753" w:rsidRDefault="0080419B" w:rsidP="0080419B">
            <w:pPr>
              <w:jc w:val="center"/>
              <w:rPr>
                <w:rFonts w:ascii="Calibri" w:hAnsi="Calibri"/>
                <w:b/>
                <w:snapToGrid w:val="0"/>
                <w:szCs w:val="21"/>
                <w:u w:val="single"/>
              </w:rPr>
            </w:pPr>
            <w:r w:rsidRPr="000D4753">
              <w:rPr>
                <w:rFonts w:ascii="Calibri"/>
                <w:b/>
                <w:color w:val="auto"/>
                <w:u w:val="single"/>
              </w:rPr>
              <w:t>411.675</w:t>
            </w:r>
          </w:p>
        </w:tc>
        <w:tc>
          <w:tcPr>
            <w:tcW w:w="353" w:type="pct"/>
            <w:vAlign w:val="center"/>
          </w:tcPr>
          <w:p w14:paraId="79057DC6" w14:textId="46AC43DC" w:rsidR="0080419B" w:rsidRPr="000D4753" w:rsidRDefault="00EF30CD" w:rsidP="0080419B">
            <w:pPr>
              <w:jc w:val="center"/>
              <w:rPr>
                <w:rFonts w:ascii="Calibri" w:hAnsi="Calibri"/>
                <w:b/>
                <w:snapToGrid w:val="0"/>
                <w:szCs w:val="21"/>
                <w:u w:val="single"/>
              </w:rPr>
            </w:pPr>
            <w:r w:rsidRPr="000D4753">
              <w:rPr>
                <w:rFonts w:ascii="Calibri" w:hAnsi="Calibri"/>
                <w:b/>
                <w:color w:val="auto"/>
                <w:kern w:val="0"/>
                <w:szCs w:val="21"/>
                <w:u w:val="single"/>
              </w:rPr>
              <w:t>5327.02</w:t>
            </w:r>
          </w:p>
        </w:tc>
        <w:tc>
          <w:tcPr>
            <w:tcW w:w="355" w:type="pct"/>
            <w:vAlign w:val="center"/>
          </w:tcPr>
          <w:p w14:paraId="62B70518" w14:textId="589CEF83" w:rsidR="0080419B" w:rsidRPr="000D4753" w:rsidRDefault="00EF30CD" w:rsidP="0080419B">
            <w:pPr>
              <w:jc w:val="center"/>
              <w:rPr>
                <w:rFonts w:ascii="Calibri" w:hAnsi="Calibri"/>
                <w:b/>
                <w:snapToGrid w:val="0"/>
                <w:szCs w:val="21"/>
                <w:u w:val="single"/>
              </w:rPr>
            </w:pPr>
            <w:r w:rsidRPr="000D4753">
              <w:rPr>
                <w:rFonts w:ascii="Calibri" w:hAnsi="Calibri"/>
                <w:b/>
                <w:color w:val="auto"/>
                <w:kern w:val="0"/>
                <w:szCs w:val="21"/>
                <w:u w:val="single"/>
              </w:rPr>
              <w:t>2.193</w:t>
            </w:r>
          </w:p>
        </w:tc>
        <w:tc>
          <w:tcPr>
            <w:tcW w:w="353" w:type="pct"/>
            <w:vAlign w:val="center"/>
          </w:tcPr>
          <w:p w14:paraId="224B66C7" w14:textId="746F5D07" w:rsidR="0080419B" w:rsidRPr="000D4753" w:rsidRDefault="00EF30CD" w:rsidP="0080419B">
            <w:pPr>
              <w:jc w:val="center"/>
              <w:rPr>
                <w:rFonts w:ascii="Calibri" w:hAnsi="Calibri"/>
                <w:b/>
                <w:snapToGrid w:val="0"/>
                <w:color w:val="FF0000"/>
                <w:szCs w:val="21"/>
                <w:u w:val="single"/>
              </w:rPr>
            </w:pPr>
            <w:r w:rsidRPr="000D4753">
              <w:rPr>
                <w:rFonts w:ascii="Calibri" w:hAnsi="Calibri"/>
                <w:b/>
                <w:color w:val="auto"/>
                <w:kern w:val="0"/>
                <w:szCs w:val="21"/>
                <w:u w:val="single"/>
              </w:rPr>
              <w:t>2458.0</w:t>
            </w:r>
          </w:p>
        </w:tc>
        <w:tc>
          <w:tcPr>
            <w:tcW w:w="355" w:type="pct"/>
            <w:vAlign w:val="center"/>
          </w:tcPr>
          <w:p w14:paraId="41B299D7" w14:textId="331A34C0" w:rsidR="0080419B" w:rsidRPr="000D4753" w:rsidRDefault="00EF30CD" w:rsidP="0080419B">
            <w:pPr>
              <w:jc w:val="center"/>
              <w:rPr>
                <w:rFonts w:ascii="Calibri" w:hAnsi="Calibri"/>
                <w:b/>
                <w:snapToGrid w:val="0"/>
                <w:color w:val="FF0000"/>
                <w:szCs w:val="21"/>
                <w:u w:val="single"/>
              </w:rPr>
            </w:pPr>
            <w:r w:rsidRPr="000D4753">
              <w:rPr>
                <w:rFonts w:ascii="Calibri" w:hAnsi="Calibri"/>
                <w:b/>
                <w:color w:val="auto"/>
                <w:kern w:val="0"/>
                <w:szCs w:val="21"/>
                <w:u w:val="single"/>
              </w:rPr>
              <w:t>1.0119</w:t>
            </w:r>
          </w:p>
        </w:tc>
        <w:tc>
          <w:tcPr>
            <w:tcW w:w="353" w:type="pct"/>
            <w:vAlign w:val="center"/>
          </w:tcPr>
          <w:p w14:paraId="7BC493C2" w14:textId="77777777" w:rsidR="0080419B" w:rsidRPr="000D4753" w:rsidRDefault="0080419B" w:rsidP="0080419B">
            <w:pPr>
              <w:jc w:val="center"/>
              <w:rPr>
                <w:rFonts w:ascii="Calibri" w:hAnsi="Calibri"/>
                <w:b/>
                <w:snapToGrid w:val="0"/>
                <w:szCs w:val="21"/>
                <w:u w:val="single"/>
              </w:rPr>
            </w:pPr>
            <w:r w:rsidRPr="000D4753">
              <w:rPr>
                <w:rFonts w:ascii="Calibri" w:hAnsi="Calibri"/>
                <w:b/>
                <w:snapToGrid w:val="0"/>
                <w:szCs w:val="21"/>
                <w:u w:val="single"/>
              </w:rPr>
              <w:t>/</w:t>
            </w:r>
          </w:p>
        </w:tc>
        <w:tc>
          <w:tcPr>
            <w:tcW w:w="355" w:type="pct"/>
            <w:vAlign w:val="center"/>
          </w:tcPr>
          <w:p w14:paraId="3F6584B2" w14:textId="77777777" w:rsidR="0080419B" w:rsidRPr="000D4753" w:rsidRDefault="0080419B" w:rsidP="0080419B">
            <w:pPr>
              <w:jc w:val="center"/>
              <w:rPr>
                <w:rFonts w:ascii="Calibri" w:hAnsi="Calibri"/>
                <w:b/>
                <w:snapToGrid w:val="0"/>
                <w:szCs w:val="21"/>
                <w:u w:val="single"/>
              </w:rPr>
            </w:pPr>
            <w:r w:rsidRPr="000D4753">
              <w:rPr>
                <w:rFonts w:ascii="Calibri" w:hAnsi="Calibri"/>
                <w:b/>
                <w:snapToGrid w:val="0"/>
                <w:szCs w:val="21"/>
                <w:u w:val="single"/>
              </w:rPr>
              <w:t>/</w:t>
            </w:r>
          </w:p>
        </w:tc>
        <w:tc>
          <w:tcPr>
            <w:tcW w:w="353" w:type="pct"/>
            <w:vAlign w:val="center"/>
          </w:tcPr>
          <w:p w14:paraId="34A06706" w14:textId="040FE9CD" w:rsidR="0080419B" w:rsidRPr="000D4753" w:rsidRDefault="00EF30CD" w:rsidP="0080419B">
            <w:pPr>
              <w:jc w:val="center"/>
              <w:rPr>
                <w:rFonts w:ascii="Calibri" w:hAnsi="Calibri"/>
                <w:b/>
                <w:snapToGrid w:val="0"/>
                <w:szCs w:val="21"/>
                <w:u w:val="single"/>
              </w:rPr>
            </w:pPr>
            <w:r w:rsidRPr="000D4753">
              <w:rPr>
                <w:rFonts w:ascii="Calibri" w:hAnsi="Calibri"/>
                <w:b/>
                <w:color w:val="auto"/>
                <w:kern w:val="0"/>
                <w:szCs w:val="21"/>
                <w:u w:val="single"/>
              </w:rPr>
              <w:t>576.43</w:t>
            </w:r>
          </w:p>
        </w:tc>
        <w:tc>
          <w:tcPr>
            <w:tcW w:w="363" w:type="pct"/>
            <w:vAlign w:val="center"/>
          </w:tcPr>
          <w:p w14:paraId="089D1A2A" w14:textId="54932825" w:rsidR="0080419B" w:rsidRPr="000D4753" w:rsidRDefault="00EF30CD" w:rsidP="0080419B">
            <w:pPr>
              <w:jc w:val="center"/>
              <w:rPr>
                <w:rFonts w:ascii="Calibri" w:hAnsi="Calibri"/>
                <w:b/>
                <w:snapToGrid w:val="0"/>
                <w:szCs w:val="21"/>
                <w:u w:val="single"/>
              </w:rPr>
            </w:pPr>
            <w:r w:rsidRPr="000D4753">
              <w:rPr>
                <w:rFonts w:ascii="Calibri" w:hAnsi="Calibri"/>
                <w:b/>
                <w:color w:val="auto"/>
                <w:kern w:val="0"/>
                <w:szCs w:val="21"/>
                <w:u w:val="single"/>
              </w:rPr>
              <w:t>0.2373</w:t>
            </w:r>
          </w:p>
        </w:tc>
        <w:tc>
          <w:tcPr>
            <w:tcW w:w="363" w:type="pct"/>
            <w:gridSpan w:val="3"/>
            <w:vAlign w:val="center"/>
          </w:tcPr>
          <w:p w14:paraId="51DD9687" w14:textId="17D0C3B9" w:rsidR="0080419B" w:rsidRPr="000D4753" w:rsidRDefault="00B3028F" w:rsidP="0080419B">
            <w:pPr>
              <w:jc w:val="center"/>
              <w:rPr>
                <w:rFonts w:ascii="Calibri" w:hAnsi="Calibri"/>
                <w:b/>
                <w:color w:val="auto"/>
                <w:kern w:val="0"/>
                <w:szCs w:val="21"/>
                <w:u w:val="single"/>
              </w:rPr>
            </w:pPr>
            <w:r w:rsidRPr="000D4753">
              <w:rPr>
                <w:rFonts w:ascii="Calibri" w:hAnsi="Calibri" w:hint="eastAsia"/>
                <w:b/>
                <w:color w:val="auto"/>
                <w:kern w:val="0"/>
                <w:szCs w:val="21"/>
                <w:u w:val="single"/>
              </w:rPr>
              <w:t>5</w:t>
            </w:r>
            <w:r w:rsidRPr="000D4753">
              <w:rPr>
                <w:rFonts w:ascii="Calibri" w:hAnsi="Calibri"/>
                <w:b/>
                <w:color w:val="auto"/>
                <w:kern w:val="0"/>
                <w:szCs w:val="21"/>
                <w:u w:val="single"/>
              </w:rPr>
              <w:t>19.83</w:t>
            </w:r>
          </w:p>
        </w:tc>
        <w:tc>
          <w:tcPr>
            <w:tcW w:w="347" w:type="pct"/>
            <w:gridSpan w:val="3"/>
            <w:vAlign w:val="center"/>
          </w:tcPr>
          <w:p w14:paraId="631781FF" w14:textId="543C4A94" w:rsidR="0080419B" w:rsidRPr="000D4753" w:rsidRDefault="00CC0696" w:rsidP="0080419B">
            <w:pPr>
              <w:jc w:val="center"/>
              <w:rPr>
                <w:rFonts w:ascii="Calibri" w:hAnsi="Calibri"/>
                <w:b/>
                <w:color w:val="auto"/>
                <w:kern w:val="0"/>
                <w:szCs w:val="21"/>
                <w:u w:val="single"/>
              </w:rPr>
            </w:pPr>
            <w:r w:rsidRPr="000D4753">
              <w:rPr>
                <w:rFonts w:ascii="Calibri" w:hAnsi="Calibri" w:hint="eastAsia"/>
                <w:b/>
                <w:color w:val="auto"/>
                <w:kern w:val="0"/>
                <w:szCs w:val="21"/>
                <w:u w:val="single"/>
              </w:rPr>
              <w:t>0</w:t>
            </w:r>
            <w:r w:rsidRPr="000D4753">
              <w:rPr>
                <w:rFonts w:ascii="Calibri" w:hAnsi="Calibri"/>
                <w:b/>
                <w:color w:val="auto"/>
                <w:kern w:val="0"/>
                <w:szCs w:val="21"/>
                <w:u w:val="single"/>
              </w:rPr>
              <w:t>.214</w:t>
            </w:r>
          </w:p>
        </w:tc>
      </w:tr>
      <w:tr w:rsidR="0080419B" w:rsidRPr="000D4753" w14:paraId="389F57AC" w14:textId="46B7E898" w:rsidTr="00607C5B">
        <w:trPr>
          <w:trHeight w:val="340"/>
        </w:trPr>
        <w:tc>
          <w:tcPr>
            <w:tcW w:w="162" w:type="pct"/>
            <w:vAlign w:val="center"/>
          </w:tcPr>
          <w:p w14:paraId="67D5F366"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3</w:t>
            </w:r>
          </w:p>
        </w:tc>
        <w:tc>
          <w:tcPr>
            <w:tcW w:w="572" w:type="pct"/>
            <w:vAlign w:val="center"/>
          </w:tcPr>
          <w:p w14:paraId="15E77D14"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制粒冷却</w:t>
            </w:r>
          </w:p>
        </w:tc>
        <w:tc>
          <w:tcPr>
            <w:tcW w:w="256" w:type="pct"/>
            <w:vAlign w:val="center"/>
          </w:tcPr>
          <w:p w14:paraId="6CB626C1" w14:textId="77777777" w:rsidR="0080419B" w:rsidRPr="000D4753" w:rsidRDefault="0080419B" w:rsidP="004C513C">
            <w:pPr>
              <w:jc w:val="center"/>
              <w:rPr>
                <w:rFonts w:ascii="Calibri" w:hAnsi="Calibri"/>
                <w:b/>
                <w:snapToGrid w:val="0"/>
                <w:szCs w:val="21"/>
                <w:u w:val="single"/>
              </w:rPr>
            </w:pPr>
            <w:r w:rsidRPr="000D4753">
              <w:rPr>
                <w:rFonts w:ascii="Calibri" w:hAnsi="Calibri"/>
                <w:b/>
                <w:snapToGrid w:val="0"/>
                <w:szCs w:val="21"/>
                <w:u w:val="single"/>
              </w:rPr>
              <w:t>0.027</w:t>
            </w:r>
          </w:p>
        </w:tc>
        <w:tc>
          <w:tcPr>
            <w:tcW w:w="460" w:type="pct"/>
            <w:vAlign w:val="center"/>
          </w:tcPr>
          <w:p w14:paraId="22F9A6B0" w14:textId="77777777" w:rsidR="0080419B" w:rsidRPr="000D4753" w:rsidRDefault="0080419B" w:rsidP="004C513C">
            <w:pPr>
              <w:jc w:val="center"/>
              <w:rPr>
                <w:rFonts w:ascii="Calibri" w:hAnsi="Calibri"/>
                <w:b/>
                <w:snapToGrid w:val="0"/>
                <w:szCs w:val="21"/>
                <w:u w:val="single"/>
              </w:rPr>
            </w:pPr>
            <w:r w:rsidRPr="000D4753">
              <w:rPr>
                <w:rFonts w:ascii="Calibri" w:hAnsi="Calibri"/>
                <w:b/>
                <w:snapToGrid w:val="0"/>
                <w:szCs w:val="21"/>
                <w:u w:val="single"/>
              </w:rPr>
              <w:t>8</w:t>
            </w:r>
          </w:p>
        </w:tc>
        <w:tc>
          <w:tcPr>
            <w:tcW w:w="353" w:type="pct"/>
            <w:vAlign w:val="center"/>
          </w:tcPr>
          <w:p w14:paraId="5E7C690E" w14:textId="77777777" w:rsidR="0080419B" w:rsidRPr="000D4753" w:rsidRDefault="0080419B" w:rsidP="004C513C">
            <w:pPr>
              <w:jc w:val="center"/>
              <w:rPr>
                <w:rFonts w:ascii="Calibri" w:hAnsi="Calibri"/>
                <w:b/>
                <w:snapToGrid w:val="0"/>
                <w:szCs w:val="21"/>
                <w:u w:val="single"/>
              </w:rPr>
            </w:pPr>
            <w:r w:rsidRPr="000D4753">
              <w:rPr>
                <w:rFonts w:ascii="Calibri"/>
                <w:b/>
                <w:color w:val="auto"/>
                <w:u w:val="single"/>
              </w:rPr>
              <w:t>6400</w:t>
            </w:r>
          </w:p>
        </w:tc>
        <w:tc>
          <w:tcPr>
            <w:tcW w:w="355" w:type="pct"/>
            <w:vAlign w:val="center"/>
          </w:tcPr>
          <w:p w14:paraId="65D723FD" w14:textId="77777777" w:rsidR="0080419B" w:rsidRPr="000D4753" w:rsidRDefault="0080419B" w:rsidP="004C513C">
            <w:pPr>
              <w:jc w:val="center"/>
              <w:rPr>
                <w:rFonts w:ascii="Calibri" w:hAnsi="Calibri"/>
                <w:b/>
                <w:snapToGrid w:val="0"/>
                <w:szCs w:val="21"/>
                <w:u w:val="single"/>
              </w:rPr>
            </w:pPr>
            <w:r w:rsidRPr="000D4753">
              <w:rPr>
                <w:rFonts w:ascii="Calibri" w:hint="eastAsia"/>
                <w:b/>
                <w:color w:val="auto"/>
                <w:u w:val="single"/>
              </w:rPr>
              <w:t>0.0</w:t>
            </w:r>
            <w:r w:rsidRPr="000D4753">
              <w:rPr>
                <w:rFonts w:ascii="Calibri"/>
                <w:b/>
                <w:color w:val="auto"/>
                <w:u w:val="single"/>
              </w:rPr>
              <w:t>51</w:t>
            </w:r>
          </w:p>
        </w:tc>
        <w:tc>
          <w:tcPr>
            <w:tcW w:w="353" w:type="pct"/>
            <w:vAlign w:val="center"/>
          </w:tcPr>
          <w:p w14:paraId="098C7BF4" w14:textId="77777777" w:rsidR="0080419B" w:rsidRPr="000D4753" w:rsidRDefault="0080419B"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2600</w:t>
            </w:r>
          </w:p>
        </w:tc>
        <w:tc>
          <w:tcPr>
            <w:tcW w:w="355" w:type="pct"/>
            <w:vAlign w:val="center"/>
          </w:tcPr>
          <w:p w14:paraId="6D7BE75A" w14:textId="77777777" w:rsidR="0080419B" w:rsidRPr="000D4753" w:rsidRDefault="0080419B"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0.034</w:t>
            </w:r>
          </w:p>
        </w:tc>
        <w:tc>
          <w:tcPr>
            <w:tcW w:w="353" w:type="pct"/>
            <w:vAlign w:val="center"/>
          </w:tcPr>
          <w:p w14:paraId="45674BE0" w14:textId="6DAD23ED" w:rsidR="0080419B" w:rsidRPr="000D4753" w:rsidRDefault="002B1020" w:rsidP="004C513C">
            <w:pPr>
              <w:jc w:val="center"/>
              <w:rPr>
                <w:rFonts w:ascii="Calibri" w:hAnsi="Calibri"/>
                <w:b/>
                <w:snapToGrid w:val="0"/>
                <w:szCs w:val="21"/>
                <w:u w:val="single"/>
              </w:rPr>
            </w:pPr>
            <w:r w:rsidRPr="000D4753">
              <w:rPr>
                <w:rFonts w:ascii="Calibri"/>
                <w:b/>
                <w:color w:val="auto"/>
                <w:u w:val="single"/>
              </w:rPr>
              <w:t>200</w:t>
            </w:r>
          </w:p>
        </w:tc>
        <w:tc>
          <w:tcPr>
            <w:tcW w:w="355" w:type="pct"/>
            <w:vAlign w:val="center"/>
          </w:tcPr>
          <w:p w14:paraId="26D6A4AC" w14:textId="7EB2D331" w:rsidR="0080419B" w:rsidRPr="000D4753" w:rsidRDefault="0080419B" w:rsidP="002B1020">
            <w:pPr>
              <w:jc w:val="center"/>
              <w:rPr>
                <w:rFonts w:ascii="Calibri" w:hAnsi="Calibri"/>
                <w:b/>
                <w:snapToGrid w:val="0"/>
                <w:szCs w:val="21"/>
                <w:u w:val="single"/>
              </w:rPr>
            </w:pPr>
            <w:r w:rsidRPr="000D4753">
              <w:rPr>
                <w:rFonts w:ascii="Calibri" w:hint="eastAsia"/>
                <w:b/>
                <w:color w:val="auto"/>
                <w:u w:val="single"/>
              </w:rPr>
              <w:t>0.00</w:t>
            </w:r>
            <w:r w:rsidR="002B1020" w:rsidRPr="000D4753">
              <w:rPr>
                <w:rFonts w:ascii="Calibri"/>
                <w:b/>
                <w:color w:val="auto"/>
                <w:u w:val="single"/>
              </w:rPr>
              <w:t>16</w:t>
            </w:r>
          </w:p>
        </w:tc>
        <w:tc>
          <w:tcPr>
            <w:tcW w:w="353" w:type="pct"/>
            <w:vAlign w:val="center"/>
          </w:tcPr>
          <w:p w14:paraId="13781B3A"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63" w:type="pct"/>
            <w:vAlign w:val="center"/>
          </w:tcPr>
          <w:p w14:paraId="01B93127"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63" w:type="pct"/>
            <w:gridSpan w:val="3"/>
            <w:vAlign w:val="center"/>
          </w:tcPr>
          <w:p w14:paraId="28A1713D" w14:textId="3EF14C26" w:rsidR="0080419B" w:rsidRPr="000D4753" w:rsidRDefault="00B3028F"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47" w:type="pct"/>
            <w:gridSpan w:val="3"/>
            <w:vAlign w:val="center"/>
          </w:tcPr>
          <w:p w14:paraId="1862E7DD" w14:textId="2805F8BE" w:rsidR="0080419B" w:rsidRPr="000D4753" w:rsidRDefault="00CC0696"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r>
      <w:tr w:rsidR="0080419B" w:rsidRPr="000D4753" w14:paraId="341BAFCE" w14:textId="44E28D63" w:rsidTr="00607C5B">
        <w:trPr>
          <w:trHeight w:val="340"/>
        </w:trPr>
        <w:tc>
          <w:tcPr>
            <w:tcW w:w="162" w:type="pct"/>
            <w:vAlign w:val="center"/>
          </w:tcPr>
          <w:p w14:paraId="53F3254C"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4</w:t>
            </w:r>
          </w:p>
        </w:tc>
        <w:tc>
          <w:tcPr>
            <w:tcW w:w="572" w:type="pct"/>
            <w:vAlign w:val="center"/>
          </w:tcPr>
          <w:p w14:paraId="31EAADDA"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真空泵及循环泵</w:t>
            </w:r>
          </w:p>
        </w:tc>
        <w:tc>
          <w:tcPr>
            <w:tcW w:w="256" w:type="pct"/>
            <w:vAlign w:val="center"/>
          </w:tcPr>
          <w:p w14:paraId="131C447D" w14:textId="77777777" w:rsidR="0080419B" w:rsidRPr="000D4753" w:rsidRDefault="0080419B" w:rsidP="004C513C">
            <w:pPr>
              <w:jc w:val="center"/>
              <w:rPr>
                <w:rFonts w:ascii="Calibri" w:hAnsi="Calibri"/>
                <w:b/>
                <w:snapToGrid w:val="0"/>
                <w:szCs w:val="21"/>
                <w:u w:val="single"/>
              </w:rPr>
            </w:pPr>
            <w:r w:rsidRPr="000D4753">
              <w:rPr>
                <w:rFonts w:ascii="Calibri" w:hAnsi="Calibri"/>
                <w:b/>
                <w:snapToGrid w:val="0"/>
                <w:szCs w:val="21"/>
                <w:u w:val="single"/>
              </w:rPr>
              <w:t>2.23</w:t>
            </w:r>
          </w:p>
        </w:tc>
        <w:tc>
          <w:tcPr>
            <w:tcW w:w="460" w:type="pct"/>
            <w:vAlign w:val="center"/>
          </w:tcPr>
          <w:p w14:paraId="3E7C1D0B" w14:textId="77777777" w:rsidR="0080419B" w:rsidRPr="000D4753" w:rsidRDefault="0080419B" w:rsidP="004C513C">
            <w:pPr>
              <w:jc w:val="center"/>
              <w:rPr>
                <w:rFonts w:ascii="Calibri" w:hAnsi="Calibri"/>
                <w:b/>
                <w:snapToGrid w:val="0"/>
                <w:szCs w:val="21"/>
                <w:u w:val="single"/>
              </w:rPr>
            </w:pPr>
            <w:r w:rsidRPr="000D4753">
              <w:rPr>
                <w:rFonts w:ascii="Calibri" w:hAnsi="Calibri"/>
                <w:b/>
                <w:snapToGrid w:val="0"/>
                <w:szCs w:val="21"/>
                <w:u w:val="single"/>
              </w:rPr>
              <w:t>669.9</w:t>
            </w:r>
          </w:p>
        </w:tc>
        <w:tc>
          <w:tcPr>
            <w:tcW w:w="353" w:type="pct"/>
            <w:vAlign w:val="center"/>
          </w:tcPr>
          <w:p w14:paraId="3A72FA3A" w14:textId="77777777" w:rsidR="0080419B" w:rsidRPr="000D4753" w:rsidRDefault="0080419B" w:rsidP="004C513C">
            <w:pPr>
              <w:jc w:val="center"/>
              <w:rPr>
                <w:rFonts w:ascii="Calibri" w:hAnsi="Calibri"/>
                <w:b/>
                <w:snapToGrid w:val="0"/>
                <w:szCs w:val="21"/>
                <w:u w:val="single"/>
              </w:rPr>
            </w:pPr>
            <w:r w:rsidRPr="000D4753">
              <w:rPr>
                <w:rFonts w:ascii="Calibri" w:hint="eastAsia"/>
                <w:b/>
                <w:color w:val="auto"/>
                <w:u w:val="single"/>
              </w:rPr>
              <w:t>1140</w:t>
            </w:r>
          </w:p>
        </w:tc>
        <w:tc>
          <w:tcPr>
            <w:tcW w:w="355" w:type="pct"/>
            <w:vAlign w:val="center"/>
          </w:tcPr>
          <w:p w14:paraId="67F644A1" w14:textId="77777777" w:rsidR="0080419B" w:rsidRPr="000D4753" w:rsidRDefault="0080419B" w:rsidP="004C513C">
            <w:pPr>
              <w:jc w:val="center"/>
              <w:rPr>
                <w:rFonts w:ascii="Calibri" w:hAnsi="Calibri"/>
                <w:b/>
                <w:snapToGrid w:val="0"/>
                <w:szCs w:val="21"/>
                <w:u w:val="single"/>
              </w:rPr>
            </w:pPr>
            <w:r w:rsidRPr="000D4753">
              <w:rPr>
                <w:rFonts w:ascii="Calibri"/>
                <w:b/>
                <w:color w:val="auto"/>
                <w:u w:val="single"/>
              </w:rPr>
              <w:t>0.76</w:t>
            </w:r>
          </w:p>
        </w:tc>
        <w:tc>
          <w:tcPr>
            <w:tcW w:w="353" w:type="pct"/>
            <w:vAlign w:val="center"/>
          </w:tcPr>
          <w:p w14:paraId="6DB3D237" w14:textId="77777777" w:rsidR="0080419B" w:rsidRPr="000D4753" w:rsidRDefault="0080419B"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450</w:t>
            </w:r>
          </w:p>
        </w:tc>
        <w:tc>
          <w:tcPr>
            <w:tcW w:w="355" w:type="pct"/>
            <w:vAlign w:val="center"/>
          </w:tcPr>
          <w:p w14:paraId="2694803E" w14:textId="77777777" w:rsidR="0080419B" w:rsidRPr="000D4753" w:rsidRDefault="0080419B"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0.30</w:t>
            </w:r>
          </w:p>
        </w:tc>
        <w:tc>
          <w:tcPr>
            <w:tcW w:w="353" w:type="pct"/>
            <w:vAlign w:val="center"/>
          </w:tcPr>
          <w:p w14:paraId="2A089288"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25EA343D"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24E2D0EB" w14:textId="77777777" w:rsidR="0080419B" w:rsidRPr="000D4753" w:rsidRDefault="0080419B" w:rsidP="004C513C">
            <w:pPr>
              <w:jc w:val="center"/>
              <w:rPr>
                <w:rFonts w:ascii="Calibri" w:hAnsi="Calibri"/>
                <w:b/>
                <w:snapToGrid w:val="0"/>
                <w:szCs w:val="21"/>
                <w:u w:val="single"/>
              </w:rPr>
            </w:pPr>
            <w:r w:rsidRPr="000D4753">
              <w:rPr>
                <w:rFonts w:ascii="Calibri" w:hint="eastAsia"/>
                <w:b/>
                <w:color w:val="auto"/>
                <w:u w:val="single"/>
              </w:rPr>
              <w:t>64</w:t>
            </w:r>
          </w:p>
        </w:tc>
        <w:tc>
          <w:tcPr>
            <w:tcW w:w="363" w:type="pct"/>
            <w:tcBorders>
              <w:right w:val="single" w:sz="4" w:space="0" w:color="auto"/>
            </w:tcBorders>
            <w:vAlign w:val="center"/>
          </w:tcPr>
          <w:p w14:paraId="2C758929" w14:textId="77777777" w:rsidR="0080419B" w:rsidRPr="000D4753" w:rsidRDefault="0080419B" w:rsidP="004C513C">
            <w:pPr>
              <w:jc w:val="center"/>
              <w:rPr>
                <w:rFonts w:ascii="Calibri" w:hAnsi="Calibri"/>
                <w:b/>
                <w:snapToGrid w:val="0"/>
                <w:szCs w:val="21"/>
                <w:u w:val="single"/>
              </w:rPr>
            </w:pPr>
            <w:r w:rsidRPr="000D4753">
              <w:rPr>
                <w:rFonts w:ascii="Calibri" w:hint="eastAsia"/>
                <w:b/>
                <w:color w:val="auto"/>
                <w:u w:val="single"/>
              </w:rPr>
              <w:t>0.0</w:t>
            </w:r>
            <w:r w:rsidRPr="000D4753">
              <w:rPr>
                <w:rFonts w:ascii="Calibri"/>
                <w:b/>
                <w:color w:val="auto"/>
                <w:u w:val="single"/>
              </w:rPr>
              <w:t>43</w:t>
            </w:r>
          </w:p>
        </w:tc>
        <w:tc>
          <w:tcPr>
            <w:tcW w:w="384" w:type="pct"/>
            <w:gridSpan w:val="5"/>
            <w:tcBorders>
              <w:left w:val="single" w:sz="4" w:space="0" w:color="auto"/>
              <w:right w:val="single" w:sz="4" w:space="0" w:color="auto"/>
            </w:tcBorders>
            <w:vAlign w:val="center"/>
          </w:tcPr>
          <w:p w14:paraId="1B575766" w14:textId="35848A64" w:rsidR="0080419B" w:rsidRPr="000D4753" w:rsidRDefault="00B3028F" w:rsidP="004C513C">
            <w:pPr>
              <w:jc w:val="center"/>
              <w:rPr>
                <w:rFonts w:ascii="Calibri"/>
                <w:b/>
                <w:color w:val="auto"/>
                <w:u w:val="single"/>
              </w:rPr>
            </w:pPr>
            <w:r w:rsidRPr="000D4753">
              <w:rPr>
                <w:rFonts w:ascii="Calibri" w:hint="eastAsia"/>
                <w:b/>
                <w:color w:val="auto"/>
                <w:u w:val="single"/>
              </w:rPr>
              <w:t>5</w:t>
            </w:r>
            <w:r w:rsidRPr="000D4753">
              <w:rPr>
                <w:rFonts w:ascii="Calibri"/>
                <w:b/>
                <w:color w:val="auto"/>
                <w:u w:val="single"/>
              </w:rPr>
              <w:t>8.22</w:t>
            </w:r>
          </w:p>
        </w:tc>
        <w:tc>
          <w:tcPr>
            <w:tcW w:w="326" w:type="pct"/>
            <w:tcBorders>
              <w:left w:val="single" w:sz="4" w:space="0" w:color="auto"/>
              <w:right w:val="single" w:sz="12" w:space="0" w:color="auto"/>
            </w:tcBorders>
            <w:vAlign w:val="center"/>
          </w:tcPr>
          <w:p w14:paraId="4256F864" w14:textId="05739859" w:rsidR="0080419B" w:rsidRPr="000D4753" w:rsidRDefault="00CC0696" w:rsidP="004C513C">
            <w:pPr>
              <w:jc w:val="center"/>
              <w:rPr>
                <w:rFonts w:ascii="Calibri"/>
                <w:b/>
                <w:color w:val="auto"/>
                <w:u w:val="single"/>
              </w:rPr>
            </w:pPr>
            <w:r w:rsidRPr="000D4753">
              <w:rPr>
                <w:rFonts w:ascii="Calibri" w:hint="eastAsia"/>
                <w:b/>
                <w:color w:val="auto"/>
                <w:u w:val="single"/>
              </w:rPr>
              <w:t>0</w:t>
            </w:r>
            <w:r w:rsidRPr="000D4753">
              <w:rPr>
                <w:rFonts w:ascii="Calibri"/>
                <w:b/>
                <w:color w:val="auto"/>
                <w:u w:val="single"/>
              </w:rPr>
              <w:t>.039</w:t>
            </w:r>
          </w:p>
        </w:tc>
      </w:tr>
      <w:tr w:rsidR="0080419B" w:rsidRPr="000D4753" w14:paraId="244A2BFF" w14:textId="77E32041" w:rsidTr="00607C5B">
        <w:trPr>
          <w:trHeight w:val="340"/>
        </w:trPr>
        <w:tc>
          <w:tcPr>
            <w:tcW w:w="162" w:type="pct"/>
            <w:vAlign w:val="center"/>
          </w:tcPr>
          <w:p w14:paraId="2534375F"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lastRenderedPageBreak/>
              <w:t>5</w:t>
            </w:r>
          </w:p>
        </w:tc>
        <w:tc>
          <w:tcPr>
            <w:tcW w:w="572" w:type="pct"/>
            <w:vAlign w:val="center"/>
          </w:tcPr>
          <w:p w14:paraId="5F3D0091"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color w:val="auto"/>
                <w:szCs w:val="21"/>
                <w:u w:val="single"/>
              </w:rPr>
              <w:t>职工</w:t>
            </w:r>
            <w:r w:rsidRPr="000D4753">
              <w:rPr>
                <w:rFonts w:ascii="Calibri" w:hAnsi="Calibri"/>
                <w:b/>
                <w:snapToGrid w:val="0"/>
                <w:color w:val="auto"/>
                <w:szCs w:val="21"/>
                <w:u w:val="single"/>
              </w:rPr>
              <w:t>生活</w:t>
            </w:r>
          </w:p>
        </w:tc>
        <w:tc>
          <w:tcPr>
            <w:tcW w:w="256" w:type="pct"/>
            <w:vAlign w:val="center"/>
          </w:tcPr>
          <w:p w14:paraId="424B9856" w14:textId="77777777" w:rsidR="0080419B" w:rsidRPr="000D4753" w:rsidRDefault="0080419B" w:rsidP="004C513C">
            <w:pPr>
              <w:jc w:val="center"/>
              <w:rPr>
                <w:rFonts w:ascii="Calibri" w:hAnsi="Calibri"/>
                <w:b/>
                <w:snapToGrid w:val="0"/>
                <w:color w:val="auto"/>
                <w:szCs w:val="21"/>
                <w:u w:val="single"/>
              </w:rPr>
            </w:pPr>
            <w:r w:rsidRPr="000D4753">
              <w:rPr>
                <w:rFonts w:ascii="Calibri" w:hint="eastAsia"/>
                <w:b/>
                <w:color w:val="auto"/>
                <w:u w:val="single"/>
              </w:rPr>
              <w:t>1.92</w:t>
            </w:r>
          </w:p>
        </w:tc>
        <w:tc>
          <w:tcPr>
            <w:tcW w:w="460" w:type="pct"/>
            <w:vAlign w:val="center"/>
          </w:tcPr>
          <w:p w14:paraId="691FF707" w14:textId="77777777" w:rsidR="0080419B" w:rsidRPr="000D4753" w:rsidRDefault="0080419B" w:rsidP="004C513C">
            <w:pPr>
              <w:jc w:val="center"/>
              <w:rPr>
                <w:rFonts w:ascii="Calibri" w:hAnsi="Calibri"/>
                <w:b/>
                <w:snapToGrid w:val="0"/>
                <w:color w:val="auto"/>
                <w:szCs w:val="21"/>
                <w:u w:val="single"/>
              </w:rPr>
            </w:pPr>
            <w:r w:rsidRPr="000D4753">
              <w:rPr>
                <w:rFonts w:ascii="Calibri" w:hint="eastAsia"/>
                <w:b/>
                <w:color w:val="auto"/>
                <w:u w:val="single"/>
              </w:rPr>
              <w:t>576</w:t>
            </w:r>
          </w:p>
        </w:tc>
        <w:tc>
          <w:tcPr>
            <w:tcW w:w="353" w:type="pct"/>
            <w:vAlign w:val="center"/>
          </w:tcPr>
          <w:p w14:paraId="0A54B4F1" w14:textId="77777777" w:rsidR="0080419B" w:rsidRPr="000D4753" w:rsidRDefault="0080419B" w:rsidP="004C513C">
            <w:pPr>
              <w:jc w:val="center"/>
              <w:rPr>
                <w:rFonts w:ascii="Calibri"/>
                <w:b/>
                <w:color w:val="auto"/>
                <w:u w:val="single"/>
              </w:rPr>
            </w:pPr>
            <w:r w:rsidRPr="000D4753">
              <w:rPr>
                <w:rFonts w:ascii="Calibri"/>
                <w:b/>
                <w:u w:val="single"/>
              </w:rPr>
              <w:t>255</w:t>
            </w:r>
          </w:p>
        </w:tc>
        <w:tc>
          <w:tcPr>
            <w:tcW w:w="355" w:type="pct"/>
            <w:vAlign w:val="center"/>
          </w:tcPr>
          <w:p w14:paraId="6EAE3C84" w14:textId="77777777" w:rsidR="0080419B" w:rsidRPr="000D4753" w:rsidRDefault="0080419B" w:rsidP="004C513C">
            <w:pPr>
              <w:jc w:val="center"/>
              <w:rPr>
                <w:rFonts w:ascii="Calibri"/>
                <w:b/>
                <w:color w:val="auto"/>
                <w:u w:val="single"/>
              </w:rPr>
            </w:pPr>
            <w:r w:rsidRPr="000D4753">
              <w:rPr>
                <w:rFonts w:ascii="Calibri" w:hAnsi="Calibri"/>
                <w:b/>
                <w:snapToGrid w:val="0"/>
                <w:color w:val="auto"/>
                <w:szCs w:val="21"/>
                <w:u w:val="single"/>
              </w:rPr>
              <w:t>0.15</w:t>
            </w:r>
          </w:p>
        </w:tc>
        <w:tc>
          <w:tcPr>
            <w:tcW w:w="353" w:type="pct"/>
            <w:vAlign w:val="center"/>
          </w:tcPr>
          <w:p w14:paraId="2D549249" w14:textId="77777777" w:rsidR="0080419B" w:rsidRPr="000D4753" w:rsidRDefault="0080419B" w:rsidP="004C513C">
            <w:pPr>
              <w:jc w:val="center"/>
              <w:rPr>
                <w:rFonts w:ascii="Calibri" w:hAnsi="Calibri"/>
                <w:b/>
                <w:snapToGrid w:val="0"/>
                <w:color w:val="auto"/>
                <w:szCs w:val="21"/>
                <w:u w:val="single"/>
              </w:rPr>
            </w:pPr>
            <w:r w:rsidRPr="000D4753">
              <w:rPr>
                <w:rFonts w:ascii="Calibri"/>
                <w:b/>
                <w:color w:val="auto"/>
                <w:u w:val="single"/>
              </w:rPr>
              <w:t>135</w:t>
            </w:r>
          </w:p>
        </w:tc>
        <w:tc>
          <w:tcPr>
            <w:tcW w:w="355" w:type="pct"/>
            <w:vAlign w:val="center"/>
          </w:tcPr>
          <w:p w14:paraId="207CB797" w14:textId="0714D0A0" w:rsidR="0080419B" w:rsidRPr="000D4753" w:rsidRDefault="00E02B13" w:rsidP="004C513C">
            <w:pPr>
              <w:jc w:val="center"/>
              <w:rPr>
                <w:rFonts w:ascii="Calibri" w:hAnsi="Calibri"/>
                <w:b/>
                <w:snapToGrid w:val="0"/>
                <w:color w:val="auto"/>
                <w:szCs w:val="21"/>
                <w:u w:val="single"/>
              </w:rPr>
            </w:pPr>
            <w:r w:rsidRPr="000D4753">
              <w:rPr>
                <w:rFonts w:ascii="Calibri" w:hAnsi="Calibri"/>
                <w:b/>
                <w:snapToGrid w:val="0"/>
                <w:color w:val="auto"/>
                <w:szCs w:val="21"/>
                <w:u w:val="single"/>
              </w:rPr>
              <w:t>0.078</w:t>
            </w:r>
          </w:p>
        </w:tc>
        <w:tc>
          <w:tcPr>
            <w:tcW w:w="353" w:type="pct"/>
            <w:vAlign w:val="center"/>
          </w:tcPr>
          <w:p w14:paraId="6B9BD0C1" w14:textId="77777777" w:rsidR="0080419B" w:rsidRPr="000D4753" w:rsidRDefault="0080419B" w:rsidP="004C513C">
            <w:pPr>
              <w:jc w:val="center"/>
              <w:rPr>
                <w:rFonts w:ascii="Calibri" w:hAnsi="Calibri"/>
                <w:b/>
                <w:snapToGrid w:val="0"/>
                <w:szCs w:val="21"/>
                <w:u w:val="single"/>
              </w:rPr>
            </w:pPr>
            <w:r w:rsidRPr="000D4753">
              <w:rPr>
                <w:rFonts w:ascii="Calibri" w:hAnsi="Calibri"/>
                <w:b/>
                <w:snapToGrid w:val="0"/>
                <w:color w:val="auto"/>
                <w:szCs w:val="21"/>
                <w:u w:val="single"/>
              </w:rPr>
              <w:t>120</w:t>
            </w:r>
          </w:p>
        </w:tc>
        <w:tc>
          <w:tcPr>
            <w:tcW w:w="355" w:type="pct"/>
            <w:vAlign w:val="center"/>
          </w:tcPr>
          <w:p w14:paraId="53A45F18" w14:textId="77777777" w:rsidR="0080419B" w:rsidRPr="000D4753" w:rsidRDefault="0080419B" w:rsidP="004C513C">
            <w:pPr>
              <w:jc w:val="center"/>
              <w:rPr>
                <w:rFonts w:ascii="Calibri" w:hAnsi="Calibri"/>
                <w:b/>
                <w:snapToGrid w:val="0"/>
                <w:szCs w:val="21"/>
                <w:u w:val="single"/>
              </w:rPr>
            </w:pPr>
            <w:r w:rsidRPr="000D4753">
              <w:rPr>
                <w:rFonts w:ascii="Calibri" w:hAnsi="Calibri"/>
                <w:b/>
                <w:snapToGrid w:val="0"/>
                <w:color w:val="auto"/>
                <w:szCs w:val="21"/>
                <w:u w:val="single"/>
              </w:rPr>
              <w:t>0.069</w:t>
            </w:r>
          </w:p>
        </w:tc>
        <w:tc>
          <w:tcPr>
            <w:tcW w:w="353" w:type="pct"/>
            <w:vAlign w:val="center"/>
          </w:tcPr>
          <w:p w14:paraId="63E0F39C" w14:textId="77777777" w:rsidR="0080419B" w:rsidRPr="000D4753" w:rsidRDefault="0080419B" w:rsidP="004C513C">
            <w:pPr>
              <w:jc w:val="center"/>
              <w:rPr>
                <w:rFonts w:ascii="Calibri"/>
                <w:b/>
                <w:color w:val="auto"/>
                <w:u w:val="single"/>
              </w:rPr>
            </w:pPr>
            <w:r w:rsidRPr="000D4753">
              <w:rPr>
                <w:rFonts w:ascii="Calibri" w:hAnsi="Calibri" w:hint="eastAsia"/>
                <w:b/>
                <w:snapToGrid w:val="0"/>
                <w:color w:val="auto"/>
                <w:szCs w:val="21"/>
                <w:u w:val="single"/>
              </w:rPr>
              <w:t>24.25</w:t>
            </w:r>
          </w:p>
        </w:tc>
        <w:tc>
          <w:tcPr>
            <w:tcW w:w="363" w:type="pct"/>
            <w:tcBorders>
              <w:right w:val="single" w:sz="4" w:space="0" w:color="auto"/>
            </w:tcBorders>
            <w:vAlign w:val="center"/>
          </w:tcPr>
          <w:p w14:paraId="47EE83FC" w14:textId="77777777" w:rsidR="0080419B" w:rsidRPr="000D4753" w:rsidRDefault="0080419B" w:rsidP="004C513C">
            <w:pPr>
              <w:jc w:val="center"/>
              <w:rPr>
                <w:rFonts w:ascii="Calibri"/>
                <w:b/>
                <w:color w:val="auto"/>
                <w:u w:val="single"/>
              </w:rPr>
            </w:pPr>
            <w:r w:rsidRPr="000D4753">
              <w:rPr>
                <w:rFonts w:ascii="Calibri" w:hAnsi="Calibri"/>
                <w:b/>
                <w:snapToGrid w:val="0"/>
                <w:color w:val="auto"/>
                <w:szCs w:val="21"/>
                <w:u w:val="single"/>
              </w:rPr>
              <w:t>0.014</w:t>
            </w:r>
          </w:p>
        </w:tc>
        <w:tc>
          <w:tcPr>
            <w:tcW w:w="377" w:type="pct"/>
            <w:gridSpan w:val="4"/>
            <w:tcBorders>
              <w:left w:val="single" w:sz="4" w:space="0" w:color="auto"/>
              <w:right w:val="single" w:sz="4" w:space="0" w:color="auto"/>
            </w:tcBorders>
            <w:vAlign w:val="center"/>
          </w:tcPr>
          <w:p w14:paraId="7ACF280E" w14:textId="0AE4775F" w:rsidR="0080419B" w:rsidRPr="000D4753" w:rsidRDefault="00B3028F"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2</w:t>
            </w:r>
            <w:r w:rsidRPr="000D4753">
              <w:rPr>
                <w:rFonts w:ascii="Calibri" w:hAnsi="Calibri"/>
                <w:b/>
                <w:snapToGrid w:val="0"/>
                <w:color w:val="auto"/>
                <w:szCs w:val="21"/>
                <w:u w:val="single"/>
              </w:rPr>
              <w:t>2.57</w:t>
            </w:r>
          </w:p>
        </w:tc>
        <w:tc>
          <w:tcPr>
            <w:tcW w:w="333" w:type="pct"/>
            <w:gridSpan w:val="2"/>
            <w:tcBorders>
              <w:left w:val="single" w:sz="4" w:space="0" w:color="auto"/>
              <w:right w:val="single" w:sz="12" w:space="0" w:color="auto"/>
            </w:tcBorders>
            <w:vAlign w:val="center"/>
          </w:tcPr>
          <w:p w14:paraId="5F5944A3" w14:textId="56C5A6B2" w:rsidR="0080419B" w:rsidRPr="000D4753" w:rsidRDefault="00CC0696"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0</w:t>
            </w:r>
            <w:r w:rsidRPr="000D4753">
              <w:rPr>
                <w:rFonts w:ascii="Calibri" w:hAnsi="Calibri"/>
                <w:b/>
                <w:snapToGrid w:val="0"/>
                <w:color w:val="auto"/>
                <w:szCs w:val="21"/>
                <w:u w:val="single"/>
              </w:rPr>
              <w:t>.013</w:t>
            </w:r>
          </w:p>
        </w:tc>
      </w:tr>
      <w:tr w:rsidR="00B3028F" w:rsidRPr="000D4753" w14:paraId="64C382D2" w14:textId="78408A82" w:rsidTr="00607C5B">
        <w:trPr>
          <w:trHeight w:val="340"/>
        </w:trPr>
        <w:tc>
          <w:tcPr>
            <w:tcW w:w="162" w:type="pct"/>
            <w:vAlign w:val="center"/>
          </w:tcPr>
          <w:p w14:paraId="4C869A1F" w14:textId="77777777" w:rsidR="00B3028F" w:rsidRPr="000D4753" w:rsidRDefault="00B3028F"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三</w:t>
            </w:r>
          </w:p>
        </w:tc>
        <w:tc>
          <w:tcPr>
            <w:tcW w:w="4838" w:type="pct"/>
            <w:gridSpan w:val="17"/>
            <w:tcBorders>
              <w:right w:val="single" w:sz="12" w:space="0" w:color="auto"/>
            </w:tcBorders>
            <w:vAlign w:val="center"/>
          </w:tcPr>
          <w:p w14:paraId="5F0E987B" w14:textId="4C25E2A7" w:rsidR="00B3028F" w:rsidRPr="000D4753" w:rsidRDefault="00B3028F"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一期</w:t>
            </w:r>
            <w:r w:rsidRPr="000D4753">
              <w:rPr>
                <w:rFonts w:ascii="Calibri" w:hAnsi="Calibri"/>
                <w:b/>
                <w:snapToGrid w:val="0"/>
                <w:color w:val="auto"/>
                <w:szCs w:val="21"/>
                <w:u w:val="single"/>
              </w:rPr>
              <w:t>工程</w:t>
            </w:r>
            <w:r w:rsidRPr="000D4753">
              <w:rPr>
                <w:rFonts w:ascii="Calibri" w:hAnsi="Calibri" w:hint="eastAsia"/>
                <w:b/>
                <w:snapToGrid w:val="0"/>
                <w:color w:val="auto"/>
                <w:szCs w:val="21"/>
                <w:u w:val="single"/>
              </w:rPr>
              <w:t>、</w:t>
            </w:r>
            <w:r w:rsidRPr="000D4753">
              <w:rPr>
                <w:rFonts w:ascii="Calibri" w:hAnsi="Calibri"/>
                <w:b/>
                <w:snapToGrid w:val="0"/>
                <w:color w:val="auto"/>
                <w:szCs w:val="21"/>
                <w:u w:val="single"/>
              </w:rPr>
              <w:t>二期工程混合水质</w:t>
            </w:r>
          </w:p>
        </w:tc>
      </w:tr>
      <w:tr w:rsidR="00B3028F" w:rsidRPr="000D4753" w14:paraId="697DDFC1" w14:textId="60E9D239" w:rsidTr="00607C5B">
        <w:trPr>
          <w:trHeight w:val="340"/>
        </w:trPr>
        <w:tc>
          <w:tcPr>
            <w:tcW w:w="734" w:type="pct"/>
            <w:gridSpan w:val="2"/>
            <w:tcBorders>
              <w:right w:val="single" w:sz="4" w:space="0" w:color="auto"/>
            </w:tcBorders>
            <w:vAlign w:val="center"/>
          </w:tcPr>
          <w:p w14:paraId="3B7EAF32" w14:textId="77777777" w:rsidR="00B3028F" w:rsidRPr="000D4753" w:rsidRDefault="00B3028F" w:rsidP="00EF30CD">
            <w:pPr>
              <w:jc w:val="center"/>
              <w:rPr>
                <w:rFonts w:ascii="Calibri" w:hAnsi="Calibri"/>
                <w:b/>
                <w:snapToGrid w:val="0"/>
                <w:color w:val="auto"/>
                <w:szCs w:val="21"/>
                <w:u w:val="single"/>
              </w:rPr>
            </w:pPr>
            <w:r w:rsidRPr="000D4753">
              <w:rPr>
                <w:rFonts w:ascii="Calibri" w:hAnsi="Calibri" w:hint="eastAsia"/>
                <w:b/>
                <w:snapToGrid w:val="0"/>
                <w:szCs w:val="21"/>
                <w:u w:val="single"/>
              </w:rPr>
              <w:t>污水处理站进水</w:t>
            </w:r>
          </w:p>
        </w:tc>
        <w:tc>
          <w:tcPr>
            <w:tcW w:w="256" w:type="pct"/>
            <w:tcBorders>
              <w:left w:val="single" w:sz="4" w:space="0" w:color="auto"/>
            </w:tcBorders>
            <w:vAlign w:val="center"/>
          </w:tcPr>
          <w:p w14:paraId="0613E324" w14:textId="7CCB2BE1" w:rsidR="00B3028F" w:rsidRPr="000D4753" w:rsidRDefault="00B3028F" w:rsidP="00EF30CD">
            <w:pPr>
              <w:jc w:val="center"/>
              <w:rPr>
                <w:rFonts w:ascii="Calibri" w:hAnsi="Calibri"/>
                <w:b/>
                <w:snapToGrid w:val="0"/>
                <w:szCs w:val="21"/>
                <w:u w:val="single"/>
              </w:rPr>
            </w:pPr>
            <w:r w:rsidRPr="000D4753">
              <w:rPr>
                <w:rFonts w:ascii="Calibri"/>
                <w:b/>
                <w:u w:val="single"/>
              </w:rPr>
              <w:t>47.88</w:t>
            </w:r>
          </w:p>
        </w:tc>
        <w:tc>
          <w:tcPr>
            <w:tcW w:w="460" w:type="pct"/>
            <w:vAlign w:val="center"/>
          </w:tcPr>
          <w:p w14:paraId="43FD849D" w14:textId="77A303CC" w:rsidR="00B3028F" w:rsidRPr="000D4753" w:rsidRDefault="00B3028F" w:rsidP="00EF30CD">
            <w:pPr>
              <w:jc w:val="center"/>
              <w:rPr>
                <w:rFonts w:ascii="Calibri" w:hAnsi="Calibri"/>
                <w:b/>
                <w:snapToGrid w:val="0"/>
                <w:szCs w:val="21"/>
                <w:u w:val="single"/>
              </w:rPr>
            </w:pPr>
            <w:r w:rsidRPr="000D4753">
              <w:rPr>
                <w:rFonts w:ascii="Calibri" w:hAnsi="Calibri"/>
                <w:b/>
                <w:snapToGrid w:val="0"/>
                <w:szCs w:val="21"/>
                <w:u w:val="single"/>
              </w:rPr>
              <w:t>14365.035</w:t>
            </w:r>
          </w:p>
        </w:tc>
        <w:tc>
          <w:tcPr>
            <w:tcW w:w="353" w:type="pct"/>
            <w:vAlign w:val="center"/>
          </w:tcPr>
          <w:p w14:paraId="6FD55F23" w14:textId="16CE4B26" w:rsidR="00B3028F" w:rsidRPr="000D4753" w:rsidRDefault="00E02B13" w:rsidP="00EF30CD">
            <w:pPr>
              <w:jc w:val="center"/>
              <w:rPr>
                <w:rFonts w:ascii="Calibri" w:hAnsi="Calibri"/>
                <w:b/>
                <w:snapToGrid w:val="0"/>
                <w:color w:val="auto"/>
                <w:szCs w:val="21"/>
                <w:u w:val="single"/>
              </w:rPr>
            </w:pPr>
            <w:r w:rsidRPr="000D4753">
              <w:rPr>
                <w:rFonts w:ascii="Calibri" w:hAnsi="Calibri"/>
                <w:b/>
                <w:snapToGrid w:val="0"/>
                <w:szCs w:val="21"/>
                <w:u w:val="single"/>
              </w:rPr>
              <w:t>2211.34</w:t>
            </w:r>
          </w:p>
        </w:tc>
        <w:tc>
          <w:tcPr>
            <w:tcW w:w="355" w:type="pct"/>
            <w:vAlign w:val="center"/>
          </w:tcPr>
          <w:p w14:paraId="67AFB554" w14:textId="05F6050C" w:rsidR="00B3028F" w:rsidRPr="000D4753" w:rsidRDefault="00B3028F" w:rsidP="00EF30CD">
            <w:pPr>
              <w:jc w:val="center"/>
              <w:rPr>
                <w:rFonts w:ascii="Calibri" w:hAnsi="Calibri"/>
                <w:b/>
                <w:snapToGrid w:val="0"/>
                <w:color w:val="auto"/>
                <w:szCs w:val="21"/>
                <w:u w:val="single"/>
              </w:rPr>
            </w:pPr>
            <w:r w:rsidRPr="000D4753">
              <w:rPr>
                <w:rFonts w:ascii="Calibri" w:hAnsi="Calibri"/>
                <w:b/>
                <w:snapToGrid w:val="0"/>
                <w:szCs w:val="21"/>
                <w:u w:val="single"/>
              </w:rPr>
              <w:t>31.766</w:t>
            </w:r>
          </w:p>
        </w:tc>
        <w:tc>
          <w:tcPr>
            <w:tcW w:w="353" w:type="pct"/>
            <w:vAlign w:val="center"/>
          </w:tcPr>
          <w:p w14:paraId="5ACC3BD8" w14:textId="5BE0915A" w:rsidR="00B3028F" w:rsidRPr="000D4753" w:rsidRDefault="00E02B13" w:rsidP="00EF30CD">
            <w:pPr>
              <w:jc w:val="center"/>
              <w:rPr>
                <w:rFonts w:ascii="Calibri" w:hAnsi="Calibri"/>
                <w:b/>
                <w:snapToGrid w:val="0"/>
                <w:color w:val="auto"/>
                <w:szCs w:val="21"/>
                <w:u w:val="single"/>
              </w:rPr>
            </w:pPr>
            <w:r w:rsidRPr="000D4753">
              <w:rPr>
                <w:rFonts w:ascii="Calibri" w:hAnsi="Calibri"/>
                <w:b/>
                <w:snapToGrid w:val="0"/>
                <w:color w:val="auto"/>
                <w:szCs w:val="21"/>
                <w:u w:val="single"/>
              </w:rPr>
              <w:t>1102.95</w:t>
            </w:r>
          </w:p>
        </w:tc>
        <w:tc>
          <w:tcPr>
            <w:tcW w:w="355" w:type="pct"/>
            <w:vAlign w:val="center"/>
          </w:tcPr>
          <w:p w14:paraId="6820AF9F" w14:textId="095FBF32" w:rsidR="00B3028F" w:rsidRPr="000D4753" w:rsidRDefault="00E02B13" w:rsidP="00EF30CD">
            <w:pPr>
              <w:jc w:val="center"/>
              <w:rPr>
                <w:rFonts w:ascii="Calibri" w:hAnsi="Calibri"/>
                <w:b/>
                <w:snapToGrid w:val="0"/>
                <w:color w:val="auto"/>
                <w:szCs w:val="21"/>
                <w:u w:val="single"/>
              </w:rPr>
            </w:pPr>
            <w:r w:rsidRPr="000D4753">
              <w:rPr>
                <w:rFonts w:ascii="Calibri" w:hAnsi="Calibri"/>
                <w:b/>
                <w:snapToGrid w:val="0"/>
                <w:color w:val="auto"/>
                <w:szCs w:val="21"/>
                <w:u w:val="single"/>
              </w:rPr>
              <w:t>15.8439</w:t>
            </w:r>
          </w:p>
        </w:tc>
        <w:tc>
          <w:tcPr>
            <w:tcW w:w="353" w:type="pct"/>
            <w:vAlign w:val="center"/>
          </w:tcPr>
          <w:p w14:paraId="48FE6504" w14:textId="566F30ED" w:rsidR="00B3028F" w:rsidRPr="000D4753" w:rsidRDefault="002B1020" w:rsidP="00EF30CD">
            <w:pPr>
              <w:jc w:val="center"/>
              <w:rPr>
                <w:rFonts w:ascii="Calibri" w:hAnsi="Calibri"/>
                <w:b/>
                <w:snapToGrid w:val="0"/>
                <w:color w:val="auto"/>
                <w:szCs w:val="21"/>
                <w:u w:val="single"/>
              </w:rPr>
            </w:pPr>
            <w:r w:rsidRPr="000D4753">
              <w:rPr>
                <w:rFonts w:ascii="Calibri" w:hAnsi="Calibri"/>
                <w:b/>
                <w:snapToGrid w:val="0"/>
                <w:szCs w:val="21"/>
                <w:u w:val="single"/>
              </w:rPr>
              <w:t>120.45</w:t>
            </w:r>
          </w:p>
        </w:tc>
        <w:tc>
          <w:tcPr>
            <w:tcW w:w="355" w:type="pct"/>
            <w:vAlign w:val="center"/>
          </w:tcPr>
          <w:p w14:paraId="627626C3" w14:textId="7CEDB3D1" w:rsidR="00B3028F" w:rsidRPr="000D4753" w:rsidRDefault="002B1020" w:rsidP="00EF30CD">
            <w:pPr>
              <w:jc w:val="center"/>
              <w:rPr>
                <w:rFonts w:ascii="Calibri" w:hAnsi="Calibri"/>
                <w:b/>
                <w:snapToGrid w:val="0"/>
                <w:color w:val="auto"/>
                <w:szCs w:val="21"/>
                <w:u w:val="single"/>
              </w:rPr>
            </w:pPr>
            <w:r w:rsidRPr="000D4753">
              <w:rPr>
                <w:rFonts w:ascii="Calibri" w:hAnsi="Calibri"/>
                <w:b/>
                <w:snapToGrid w:val="0"/>
                <w:szCs w:val="21"/>
                <w:u w:val="single"/>
              </w:rPr>
              <w:t>1.7302</w:t>
            </w:r>
          </w:p>
        </w:tc>
        <w:tc>
          <w:tcPr>
            <w:tcW w:w="353" w:type="pct"/>
            <w:vAlign w:val="center"/>
          </w:tcPr>
          <w:p w14:paraId="69B9FEA6" w14:textId="52038E92" w:rsidR="00B3028F" w:rsidRPr="000D4753" w:rsidRDefault="00B3028F" w:rsidP="00EF30CD">
            <w:pPr>
              <w:jc w:val="center"/>
              <w:rPr>
                <w:rFonts w:ascii="Calibri" w:hAnsi="Calibri"/>
                <w:b/>
                <w:snapToGrid w:val="0"/>
                <w:color w:val="auto"/>
                <w:szCs w:val="21"/>
                <w:u w:val="single"/>
              </w:rPr>
            </w:pPr>
            <w:r w:rsidRPr="000D4753">
              <w:rPr>
                <w:rFonts w:ascii="Calibri" w:hAnsi="Calibri"/>
                <w:b/>
                <w:snapToGrid w:val="0"/>
                <w:szCs w:val="21"/>
                <w:u w:val="single"/>
              </w:rPr>
              <w:t>148.97</w:t>
            </w:r>
          </w:p>
        </w:tc>
        <w:tc>
          <w:tcPr>
            <w:tcW w:w="363" w:type="pct"/>
            <w:tcBorders>
              <w:right w:val="single" w:sz="4" w:space="0" w:color="auto"/>
            </w:tcBorders>
            <w:vAlign w:val="center"/>
          </w:tcPr>
          <w:p w14:paraId="1F6B1128" w14:textId="43B2F8CC" w:rsidR="00B3028F" w:rsidRPr="000D4753" w:rsidRDefault="00B3028F" w:rsidP="00EF30CD">
            <w:pPr>
              <w:jc w:val="center"/>
              <w:rPr>
                <w:rFonts w:ascii="Calibri" w:hAnsi="Calibri"/>
                <w:b/>
                <w:snapToGrid w:val="0"/>
                <w:color w:val="auto"/>
                <w:szCs w:val="21"/>
                <w:u w:val="single"/>
              </w:rPr>
            </w:pPr>
            <w:r w:rsidRPr="000D4753">
              <w:rPr>
                <w:rFonts w:ascii="Calibri" w:hAnsi="Calibri"/>
                <w:b/>
                <w:snapToGrid w:val="0"/>
                <w:szCs w:val="21"/>
                <w:u w:val="single"/>
              </w:rPr>
              <w:t>2.1399</w:t>
            </w:r>
          </w:p>
        </w:tc>
        <w:tc>
          <w:tcPr>
            <w:tcW w:w="377" w:type="pct"/>
            <w:gridSpan w:val="4"/>
            <w:tcBorders>
              <w:left w:val="single" w:sz="4" w:space="0" w:color="auto"/>
              <w:right w:val="single" w:sz="4" w:space="0" w:color="auto"/>
            </w:tcBorders>
            <w:vAlign w:val="center"/>
          </w:tcPr>
          <w:p w14:paraId="6F75F153" w14:textId="2119C3FB" w:rsidR="00B3028F" w:rsidRPr="000D4753" w:rsidRDefault="00B3028F" w:rsidP="00EF30CD">
            <w:pPr>
              <w:jc w:val="center"/>
              <w:rPr>
                <w:rFonts w:ascii="Calibri" w:hAnsi="Calibri"/>
                <w:b/>
                <w:snapToGrid w:val="0"/>
                <w:szCs w:val="21"/>
                <w:u w:val="single"/>
              </w:rPr>
            </w:pPr>
            <w:r w:rsidRPr="000D4753">
              <w:rPr>
                <w:rFonts w:ascii="Calibri" w:hAnsi="Calibri" w:hint="eastAsia"/>
                <w:b/>
                <w:snapToGrid w:val="0"/>
                <w:szCs w:val="21"/>
                <w:u w:val="single"/>
              </w:rPr>
              <w:t>1</w:t>
            </w:r>
            <w:r w:rsidRPr="000D4753">
              <w:rPr>
                <w:rFonts w:ascii="Calibri" w:hAnsi="Calibri"/>
                <w:b/>
                <w:snapToGrid w:val="0"/>
                <w:szCs w:val="21"/>
                <w:u w:val="single"/>
              </w:rPr>
              <w:t>34.49</w:t>
            </w:r>
          </w:p>
        </w:tc>
        <w:tc>
          <w:tcPr>
            <w:tcW w:w="333" w:type="pct"/>
            <w:gridSpan w:val="2"/>
            <w:tcBorders>
              <w:left w:val="single" w:sz="4" w:space="0" w:color="auto"/>
              <w:right w:val="single" w:sz="12" w:space="0" w:color="auto"/>
            </w:tcBorders>
            <w:vAlign w:val="center"/>
          </w:tcPr>
          <w:p w14:paraId="0532B3F2" w14:textId="42975B6A" w:rsidR="00B3028F" w:rsidRPr="000D4753" w:rsidRDefault="00B3028F" w:rsidP="00EF30CD">
            <w:pPr>
              <w:jc w:val="center"/>
              <w:rPr>
                <w:rFonts w:ascii="Calibri" w:hAnsi="Calibri"/>
                <w:b/>
                <w:snapToGrid w:val="0"/>
                <w:szCs w:val="21"/>
                <w:u w:val="single"/>
              </w:rPr>
            </w:pPr>
            <w:r w:rsidRPr="000D4753">
              <w:rPr>
                <w:rFonts w:ascii="Calibri" w:hAnsi="Calibri" w:hint="eastAsia"/>
                <w:b/>
                <w:snapToGrid w:val="0"/>
                <w:szCs w:val="21"/>
                <w:u w:val="single"/>
              </w:rPr>
              <w:t>1</w:t>
            </w:r>
            <w:r w:rsidRPr="000D4753">
              <w:rPr>
                <w:rFonts w:ascii="Calibri" w:hAnsi="Calibri"/>
                <w:b/>
                <w:snapToGrid w:val="0"/>
                <w:szCs w:val="21"/>
                <w:u w:val="single"/>
              </w:rPr>
              <w:t>.932</w:t>
            </w:r>
          </w:p>
        </w:tc>
      </w:tr>
      <w:tr w:rsidR="006F356A" w:rsidRPr="000D4753" w14:paraId="437D48AB" w14:textId="76012614" w:rsidTr="00607C5B">
        <w:trPr>
          <w:trHeight w:val="340"/>
        </w:trPr>
        <w:tc>
          <w:tcPr>
            <w:tcW w:w="734" w:type="pct"/>
            <w:gridSpan w:val="2"/>
            <w:tcBorders>
              <w:right w:val="single" w:sz="4" w:space="0" w:color="auto"/>
            </w:tcBorders>
            <w:vAlign w:val="center"/>
          </w:tcPr>
          <w:p w14:paraId="1CFDE01C" w14:textId="77777777" w:rsidR="006F356A" w:rsidRPr="000D4753" w:rsidRDefault="006F356A" w:rsidP="004C513C">
            <w:pPr>
              <w:jc w:val="center"/>
              <w:rPr>
                <w:rFonts w:ascii="Calibri" w:hAnsi="Calibri"/>
                <w:b/>
                <w:snapToGrid w:val="0"/>
                <w:color w:val="auto"/>
                <w:szCs w:val="21"/>
                <w:u w:val="single"/>
              </w:rPr>
            </w:pPr>
            <w:r w:rsidRPr="000D4753">
              <w:rPr>
                <w:rFonts w:ascii="Calibri" w:hAnsi="Calibri" w:hint="eastAsia"/>
                <w:b/>
                <w:snapToGrid w:val="0"/>
                <w:color w:val="auto"/>
                <w:szCs w:val="21"/>
                <w:u w:val="single"/>
              </w:rPr>
              <w:t>处理工艺</w:t>
            </w:r>
          </w:p>
        </w:tc>
        <w:tc>
          <w:tcPr>
            <w:tcW w:w="4266" w:type="pct"/>
            <w:gridSpan w:val="16"/>
            <w:tcBorders>
              <w:left w:val="single" w:sz="4" w:space="0" w:color="auto"/>
              <w:right w:val="single" w:sz="12" w:space="0" w:color="auto"/>
            </w:tcBorders>
            <w:vAlign w:val="center"/>
          </w:tcPr>
          <w:p w14:paraId="251EB126" w14:textId="4D14ACFE" w:rsidR="006F356A" w:rsidRPr="000D4753" w:rsidRDefault="006F356A" w:rsidP="004C513C">
            <w:pPr>
              <w:jc w:val="center"/>
              <w:rPr>
                <w:rFonts w:ascii="Calibri" w:hAnsi="Calibri"/>
                <w:b/>
                <w:snapToGrid w:val="0"/>
                <w:szCs w:val="21"/>
                <w:u w:val="single"/>
              </w:rPr>
            </w:pPr>
            <w:r w:rsidRPr="000D4753">
              <w:rPr>
                <w:rFonts w:ascii="Calibri" w:hAnsi="Calibri" w:hint="eastAsia"/>
                <w:b/>
                <w:snapToGrid w:val="0"/>
                <w:szCs w:val="21"/>
                <w:u w:val="single"/>
              </w:rPr>
              <w:t>水解酸化</w:t>
            </w:r>
            <w:r w:rsidRPr="000D4753">
              <w:rPr>
                <w:rFonts w:ascii="Calibri" w:hAnsi="Calibri" w:hint="eastAsia"/>
                <w:b/>
                <w:snapToGrid w:val="0"/>
                <w:szCs w:val="21"/>
                <w:u w:val="single"/>
              </w:rPr>
              <w:t>+A/O+</w:t>
            </w:r>
            <w:r w:rsidRPr="000D4753">
              <w:rPr>
                <w:rFonts w:ascii="Calibri" w:hAnsi="Calibri" w:hint="eastAsia"/>
                <w:b/>
                <w:snapToGrid w:val="0"/>
                <w:szCs w:val="21"/>
                <w:u w:val="single"/>
              </w:rPr>
              <w:t>混凝沉淀</w:t>
            </w:r>
          </w:p>
        </w:tc>
      </w:tr>
      <w:tr w:rsidR="006F356A" w:rsidRPr="000D4753" w14:paraId="538D4007" w14:textId="18F659D6" w:rsidTr="00607C5B">
        <w:trPr>
          <w:trHeight w:val="340"/>
        </w:trPr>
        <w:tc>
          <w:tcPr>
            <w:tcW w:w="734" w:type="pct"/>
            <w:gridSpan w:val="2"/>
            <w:tcBorders>
              <w:right w:val="single" w:sz="4" w:space="0" w:color="auto"/>
            </w:tcBorders>
            <w:vAlign w:val="center"/>
          </w:tcPr>
          <w:p w14:paraId="38599705" w14:textId="77777777" w:rsidR="006F356A" w:rsidRPr="000D4753" w:rsidRDefault="006F356A" w:rsidP="006F356A">
            <w:pPr>
              <w:jc w:val="center"/>
              <w:rPr>
                <w:rFonts w:ascii="Calibri" w:hAnsi="Calibri"/>
                <w:b/>
                <w:snapToGrid w:val="0"/>
                <w:color w:val="auto"/>
                <w:szCs w:val="21"/>
                <w:u w:val="single"/>
              </w:rPr>
            </w:pPr>
            <w:r w:rsidRPr="000D4753">
              <w:rPr>
                <w:rFonts w:ascii="Calibri" w:hAnsi="Calibri"/>
                <w:b/>
                <w:snapToGrid w:val="0"/>
                <w:color w:val="auto"/>
                <w:szCs w:val="21"/>
                <w:u w:val="single"/>
              </w:rPr>
              <w:t xml:space="preserve">  </w:t>
            </w:r>
            <w:r w:rsidRPr="000D4753">
              <w:rPr>
                <w:rFonts w:ascii="Calibri" w:hAnsi="Calibri" w:hint="eastAsia"/>
                <w:b/>
                <w:snapToGrid w:val="0"/>
                <w:color w:val="auto"/>
                <w:szCs w:val="21"/>
                <w:u w:val="single"/>
              </w:rPr>
              <w:t>综合去除效率（</w:t>
            </w:r>
            <w:r w:rsidRPr="000D4753">
              <w:rPr>
                <w:rFonts w:ascii="Calibri" w:hAnsi="Calibri" w:hint="eastAsia"/>
                <w:b/>
                <w:snapToGrid w:val="0"/>
                <w:color w:val="auto"/>
                <w:szCs w:val="21"/>
                <w:u w:val="single"/>
              </w:rPr>
              <w:t>%</w:t>
            </w:r>
            <w:r w:rsidRPr="000D4753">
              <w:rPr>
                <w:rFonts w:ascii="Calibri" w:hAnsi="Calibri" w:hint="eastAsia"/>
                <w:b/>
                <w:snapToGrid w:val="0"/>
                <w:color w:val="auto"/>
                <w:szCs w:val="21"/>
                <w:u w:val="single"/>
              </w:rPr>
              <w:t>）</w:t>
            </w:r>
          </w:p>
        </w:tc>
        <w:tc>
          <w:tcPr>
            <w:tcW w:w="256" w:type="pct"/>
            <w:tcBorders>
              <w:left w:val="single" w:sz="4" w:space="0" w:color="auto"/>
            </w:tcBorders>
            <w:vAlign w:val="center"/>
          </w:tcPr>
          <w:p w14:paraId="60037EEB" w14:textId="77777777" w:rsidR="006F356A" w:rsidRPr="000D4753" w:rsidRDefault="006F356A" w:rsidP="006F356A">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460" w:type="pct"/>
            <w:vAlign w:val="center"/>
          </w:tcPr>
          <w:p w14:paraId="0128F0FD" w14:textId="77777777" w:rsidR="006F356A" w:rsidRPr="000D4753" w:rsidRDefault="006F356A" w:rsidP="006F356A">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708" w:type="pct"/>
            <w:gridSpan w:val="2"/>
            <w:vAlign w:val="center"/>
          </w:tcPr>
          <w:p w14:paraId="1AB1D7CE" w14:textId="341BEE3E" w:rsidR="006F356A" w:rsidRPr="000D4753" w:rsidRDefault="006F356A" w:rsidP="006F356A">
            <w:pPr>
              <w:jc w:val="center"/>
              <w:rPr>
                <w:rFonts w:ascii="Calibri" w:hAnsi="Calibri"/>
                <w:b/>
                <w:snapToGrid w:val="0"/>
                <w:szCs w:val="21"/>
                <w:u w:val="single"/>
              </w:rPr>
            </w:pPr>
            <w:r w:rsidRPr="000D4753">
              <w:rPr>
                <w:rFonts w:asciiTheme="minorHAnsi" w:hAnsiTheme="minorHAnsi"/>
                <w:b/>
                <w:szCs w:val="21"/>
                <w:u w:val="single"/>
              </w:rPr>
              <w:t>90.88%</w:t>
            </w:r>
          </w:p>
        </w:tc>
        <w:tc>
          <w:tcPr>
            <w:tcW w:w="708" w:type="pct"/>
            <w:gridSpan w:val="2"/>
            <w:vAlign w:val="center"/>
          </w:tcPr>
          <w:p w14:paraId="33B0AEAA" w14:textId="53057748" w:rsidR="006F356A" w:rsidRPr="000D4753" w:rsidRDefault="006F356A" w:rsidP="006F356A">
            <w:pPr>
              <w:jc w:val="center"/>
              <w:rPr>
                <w:rFonts w:ascii="Calibri" w:hAnsi="Calibri"/>
                <w:b/>
                <w:snapToGrid w:val="0"/>
                <w:szCs w:val="21"/>
                <w:u w:val="single"/>
              </w:rPr>
            </w:pPr>
            <w:r w:rsidRPr="000D4753">
              <w:rPr>
                <w:rFonts w:asciiTheme="minorHAnsi" w:hAnsiTheme="minorHAnsi"/>
                <w:b/>
                <w:szCs w:val="21"/>
                <w:u w:val="single"/>
              </w:rPr>
              <w:t>90%</w:t>
            </w:r>
          </w:p>
        </w:tc>
        <w:tc>
          <w:tcPr>
            <w:tcW w:w="708" w:type="pct"/>
            <w:gridSpan w:val="2"/>
            <w:vAlign w:val="center"/>
          </w:tcPr>
          <w:p w14:paraId="1C2970E9" w14:textId="74A81F3F" w:rsidR="006F356A" w:rsidRPr="000D4753" w:rsidRDefault="006F356A" w:rsidP="006F356A">
            <w:pPr>
              <w:jc w:val="center"/>
              <w:rPr>
                <w:rFonts w:ascii="Calibri" w:hAnsi="Calibri"/>
                <w:b/>
                <w:snapToGrid w:val="0"/>
                <w:szCs w:val="21"/>
                <w:u w:val="single"/>
              </w:rPr>
            </w:pPr>
            <w:r w:rsidRPr="000D4753">
              <w:rPr>
                <w:rFonts w:ascii="Calibri" w:hAnsi="Calibri"/>
                <w:b/>
                <w:snapToGrid w:val="0"/>
                <w:szCs w:val="21"/>
                <w:u w:val="single"/>
              </w:rPr>
              <w:t>80</w:t>
            </w:r>
            <w:r w:rsidRPr="000D4753">
              <w:rPr>
                <w:rFonts w:asciiTheme="minorHAnsi" w:hAnsiTheme="minorHAnsi"/>
                <w:b/>
                <w:szCs w:val="21"/>
                <w:u w:val="single"/>
              </w:rPr>
              <w:t>%</w:t>
            </w:r>
          </w:p>
        </w:tc>
        <w:tc>
          <w:tcPr>
            <w:tcW w:w="716" w:type="pct"/>
            <w:gridSpan w:val="2"/>
            <w:tcBorders>
              <w:right w:val="single" w:sz="4" w:space="0" w:color="auto"/>
            </w:tcBorders>
            <w:vAlign w:val="center"/>
          </w:tcPr>
          <w:p w14:paraId="7CDD5EDD" w14:textId="1F39C42C" w:rsidR="006F356A" w:rsidRPr="000D4753" w:rsidRDefault="006F356A" w:rsidP="006F356A">
            <w:pPr>
              <w:jc w:val="center"/>
              <w:rPr>
                <w:rFonts w:ascii="Calibri" w:hAnsi="Calibri"/>
                <w:b/>
                <w:snapToGrid w:val="0"/>
                <w:szCs w:val="21"/>
                <w:u w:val="single"/>
              </w:rPr>
            </w:pPr>
            <w:r w:rsidRPr="000D4753">
              <w:rPr>
                <w:rFonts w:ascii="Calibri" w:hAnsi="Calibri"/>
                <w:b/>
                <w:snapToGrid w:val="0"/>
                <w:szCs w:val="21"/>
                <w:u w:val="single"/>
              </w:rPr>
              <w:t>83</w:t>
            </w:r>
            <w:r w:rsidRPr="000D4753">
              <w:rPr>
                <w:rFonts w:asciiTheme="minorHAnsi" w:hAnsiTheme="minorHAnsi"/>
                <w:b/>
                <w:szCs w:val="21"/>
                <w:u w:val="single"/>
              </w:rPr>
              <w:t>%</w:t>
            </w:r>
          </w:p>
        </w:tc>
        <w:tc>
          <w:tcPr>
            <w:tcW w:w="710" w:type="pct"/>
            <w:gridSpan w:val="6"/>
            <w:tcBorders>
              <w:left w:val="single" w:sz="4" w:space="0" w:color="auto"/>
              <w:right w:val="single" w:sz="12" w:space="0" w:color="auto"/>
            </w:tcBorders>
            <w:vAlign w:val="center"/>
          </w:tcPr>
          <w:p w14:paraId="3DE1217D" w14:textId="0627805D" w:rsidR="006F356A" w:rsidRPr="000D4753" w:rsidRDefault="006F356A" w:rsidP="006F356A">
            <w:pPr>
              <w:jc w:val="center"/>
              <w:rPr>
                <w:rFonts w:asciiTheme="minorHAnsi" w:hAnsiTheme="minorHAnsi"/>
                <w:b/>
                <w:szCs w:val="21"/>
                <w:u w:val="single"/>
              </w:rPr>
            </w:pPr>
            <w:r w:rsidRPr="000D4753">
              <w:rPr>
                <w:rFonts w:asciiTheme="minorHAnsi" w:hAnsiTheme="minorHAnsi"/>
                <w:b/>
                <w:szCs w:val="21"/>
                <w:u w:val="single"/>
              </w:rPr>
              <w:t>83%</w:t>
            </w:r>
          </w:p>
        </w:tc>
      </w:tr>
      <w:tr w:rsidR="006F356A" w:rsidRPr="000D4753" w14:paraId="46A53592" w14:textId="708AF0E2" w:rsidTr="00607C5B">
        <w:trPr>
          <w:trHeight w:val="340"/>
        </w:trPr>
        <w:tc>
          <w:tcPr>
            <w:tcW w:w="734" w:type="pct"/>
            <w:gridSpan w:val="2"/>
            <w:tcBorders>
              <w:right w:val="single" w:sz="4" w:space="0" w:color="auto"/>
            </w:tcBorders>
            <w:vAlign w:val="center"/>
          </w:tcPr>
          <w:p w14:paraId="6CDE38D0" w14:textId="77777777" w:rsidR="006F356A" w:rsidRPr="000D4753" w:rsidRDefault="006F356A" w:rsidP="006F356A">
            <w:pPr>
              <w:jc w:val="center"/>
              <w:rPr>
                <w:rFonts w:asciiTheme="minorHAnsi" w:hAnsiTheme="minorHAnsi"/>
                <w:b/>
                <w:snapToGrid w:val="0"/>
                <w:color w:val="000000" w:themeColor="text1"/>
                <w:szCs w:val="21"/>
                <w:u w:val="single"/>
              </w:rPr>
            </w:pPr>
            <w:r w:rsidRPr="000D4753">
              <w:rPr>
                <w:rFonts w:asciiTheme="minorHAnsi" w:hAnsiTheme="minorHAnsi" w:hint="eastAsia"/>
                <w:b/>
                <w:snapToGrid w:val="0"/>
                <w:color w:val="000000" w:themeColor="text1"/>
                <w:szCs w:val="21"/>
                <w:u w:val="single"/>
              </w:rPr>
              <w:t>处理后</w:t>
            </w:r>
          </w:p>
          <w:p w14:paraId="24366F76" w14:textId="77777777" w:rsidR="006F356A" w:rsidRPr="000D4753" w:rsidRDefault="006F356A" w:rsidP="006F356A">
            <w:pPr>
              <w:jc w:val="center"/>
              <w:rPr>
                <w:rFonts w:ascii="Calibri" w:hAnsi="Calibri"/>
                <w:b/>
                <w:snapToGrid w:val="0"/>
                <w:color w:val="auto"/>
                <w:szCs w:val="21"/>
                <w:u w:val="single"/>
              </w:rPr>
            </w:pPr>
            <w:r w:rsidRPr="000D4753">
              <w:rPr>
                <w:rFonts w:asciiTheme="minorHAnsi" w:hAnsiTheme="minorHAnsi" w:hint="eastAsia"/>
                <w:b/>
                <w:snapToGrid w:val="0"/>
                <w:color w:val="000000" w:themeColor="text1"/>
                <w:szCs w:val="21"/>
                <w:u w:val="single"/>
              </w:rPr>
              <w:t>（废水处理站出水）</w:t>
            </w:r>
          </w:p>
        </w:tc>
        <w:tc>
          <w:tcPr>
            <w:tcW w:w="256" w:type="pct"/>
            <w:tcBorders>
              <w:left w:val="single" w:sz="4" w:space="0" w:color="auto"/>
            </w:tcBorders>
            <w:vAlign w:val="center"/>
          </w:tcPr>
          <w:p w14:paraId="575ECAEC" w14:textId="74AAF3BF" w:rsidR="006F356A" w:rsidRPr="000D4753" w:rsidRDefault="006F356A" w:rsidP="006F356A">
            <w:pPr>
              <w:jc w:val="center"/>
              <w:rPr>
                <w:rFonts w:ascii="Calibri" w:hAnsi="Calibri"/>
                <w:b/>
                <w:snapToGrid w:val="0"/>
                <w:color w:val="auto"/>
                <w:szCs w:val="21"/>
                <w:u w:val="single"/>
              </w:rPr>
            </w:pPr>
            <w:r w:rsidRPr="000D4753">
              <w:rPr>
                <w:rFonts w:ascii="Calibri"/>
                <w:b/>
                <w:u w:val="single"/>
              </w:rPr>
              <w:t>47.88</w:t>
            </w:r>
          </w:p>
        </w:tc>
        <w:tc>
          <w:tcPr>
            <w:tcW w:w="460" w:type="pct"/>
            <w:vAlign w:val="center"/>
          </w:tcPr>
          <w:p w14:paraId="6A9B9D64" w14:textId="427C2C30" w:rsidR="006F356A" w:rsidRPr="000D4753" w:rsidRDefault="006F356A" w:rsidP="006F356A">
            <w:pPr>
              <w:jc w:val="center"/>
              <w:rPr>
                <w:rFonts w:ascii="Calibri" w:hAnsi="Calibri"/>
                <w:b/>
                <w:snapToGrid w:val="0"/>
                <w:color w:val="auto"/>
                <w:szCs w:val="21"/>
                <w:u w:val="single"/>
              </w:rPr>
            </w:pPr>
            <w:r w:rsidRPr="000D4753">
              <w:rPr>
                <w:rFonts w:ascii="Calibri" w:hAnsi="Calibri"/>
                <w:b/>
                <w:snapToGrid w:val="0"/>
                <w:szCs w:val="21"/>
                <w:u w:val="single"/>
              </w:rPr>
              <w:t>14365.035</w:t>
            </w:r>
          </w:p>
        </w:tc>
        <w:tc>
          <w:tcPr>
            <w:tcW w:w="353" w:type="pct"/>
            <w:vAlign w:val="center"/>
          </w:tcPr>
          <w:p w14:paraId="6EF2077A" w14:textId="04FAE5C3" w:rsidR="006F356A" w:rsidRPr="000D4753" w:rsidRDefault="006F356A" w:rsidP="006F356A">
            <w:pPr>
              <w:jc w:val="center"/>
              <w:rPr>
                <w:rFonts w:ascii="Calibri" w:hAnsi="Calibri"/>
                <w:b/>
                <w:snapToGrid w:val="0"/>
                <w:szCs w:val="21"/>
                <w:u w:val="single"/>
              </w:rPr>
            </w:pPr>
            <w:r w:rsidRPr="000D4753">
              <w:rPr>
                <w:rFonts w:asciiTheme="minorHAnsi" w:hAnsiTheme="minorHAnsi"/>
                <w:b/>
                <w:szCs w:val="21"/>
                <w:u w:val="single"/>
              </w:rPr>
              <w:t>201.67</w:t>
            </w:r>
          </w:p>
        </w:tc>
        <w:tc>
          <w:tcPr>
            <w:tcW w:w="355" w:type="pct"/>
            <w:vAlign w:val="center"/>
          </w:tcPr>
          <w:p w14:paraId="5615C0B7" w14:textId="757C0AA3" w:rsidR="006F356A" w:rsidRPr="000D4753" w:rsidRDefault="006F356A" w:rsidP="006F356A">
            <w:pPr>
              <w:jc w:val="center"/>
              <w:rPr>
                <w:rFonts w:ascii="Calibri" w:hAnsi="Calibri"/>
                <w:b/>
                <w:snapToGrid w:val="0"/>
                <w:szCs w:val="21"/>
                <w:u w:val="single"/>
              </w:rPr>
            </w:pPr>
            <w:r w:rsidRPr="000D4753">
              <w:rPr>
                <w:rFonts w:ascii="Calibri" w:hAnsi="Calibri"/>
                <w:b/>
                <w:snapToGrid w:val="0"/>
                <w:szCs w:val="21"/>
                <w:u w:val="single"/>
              </w:rPr>
              <w:t>2.90</w:t>
            </w:r>
          </w:p>
        </w:tc>
        <w:tc>
          <w:tcPr>
            <w:tcW w:w="353" w:type="pct"/>
            <w:vAlign w:val="center"/>
          </w:tcPr>
          <w:p w14:paraId="1B8F0DD1" w14:textId="6EFCB9A5" w:rsidR="006F356A" w:rsidRPr="000D4753" w:rsidRDefault="006F356A" w:rsidP="006F356A">
            <w:pPr>
              <w:jc w:val="center"/>
              <w:rPr>
                <w:rFonts w:ascii="Calibri" w:hAnsi="Calibri"/>
                <w:b/>
                <w:snapToGrid w:val="0"/>
                <w:szCs w:val="21"/>
                <w:u w:val="single"/>
              </w:rPr>
            </w:pPr>
            <w:r w:rsidRPr="000D4753">
              <w:rPr>
                <w:rFonts w:asciiTheme="minorHAnsi" w:hAnsiTheme="minorHAnsi"/>
                <w:b/>
                <w:szCs w:val="21"/>
                <w:u w:val="single"/>
              </w:rPr>
              <w:t>110.33</w:t>
            </w:r>
          </w:p>
        </w:tc>
        <w:tc>
          <w:tcPr>
            <w:tcW w:w="355" w:type="pct"/>
            <w:vAlign w:val="center"/>
          </w:tcPr>
          <w:p w14:paraId="5A11BC87" w14:textId="08A825DA" w:rsidR="006F356A" w:rsidRPr="000D4753" w:rsidRDefault="006F356A" w:rsidP="006F356A">
            <w:pPr>
              <w:jc w:val="center"/>
              <w:rPr>
                <w:rFonts w:ascii="Calibri" w:hAnsi="Calibri"/>
                <w:b/>
                <w:snapToGrid w:val="0"/>
                <w:szCs w:val="21"/>
                <w:u w:val="single"/>
              </w:rPr>
            </w:pPr>
            <w:r w:rsidRPr="000D4753">
              <w:rPr>
                <w:rFonts w:ascii="Calibri" w:hAnsi="Calibri"/>
                <w:b/>
                <w:snapToGrid w:val="0"/>
                <w:szCs w:val="21"/>
                <w:u w:val="single"/>
              </w:rPr>
              <w:t>1.58</w:t>
            </w:r>
          </w:p>
        </w:tc>
        <w:tc>
          <w:tcPr>
            <w:tcW w:w="353" w:type="pct"/>
            <w:vAlign w:val="center"/>
          </w:tcPr>
          <w:p w14:paraId="757A6A52" w14:textId="5B508353" w:rsidR="006F356A" w:rsidRPr="000D4753" w:rsidRDefault="006F356A" w:rsidP="006F356A">
            <w:pPr>
              <w:jc w:val="center"/>
              <w:rPr>
                <w:rFonts w:ascii="Calibri" w:hAnsi="Calibri"/>
                <w:b/>
                <w:snapToGrid w:val="0"/>
                <w:szCs w:val="21"/>
                <w:u w:val="single"/>
              </w:rPr>
            </w:pPr>
            <w:r w:rsidRPr="000D4753">
              <w:rPr>
                <w:rFonts w:asciiTheme="minorHAnsi" w:hAnsiTheme="minorHAnsi"/>
                <w:b/>
                <w:szCs w:val="21"/>
                <w:u w:val="single"/>
              </w:rPr>
              <w:t>24.09</w:t>
            </w:r>
          </w:p>
        </w:tc>
        <w:tc>
          <w:tcPr>
            <w:tcW w:w="355" w:type="pct"/>
            <w:vAlign w:val="center"/>
          </w:tcPr>
          <w:p w14:paraId="744DBF7A" w14:textId="296939C8" w:rsidR="006F356A" w:rsidRPr="000D4753" w:rsidRDefault="00607C5B" w:rsidP="006F356A">
            <w:pPr>
              <w:jc w:val="center"/>
              <w:rPr>
                <w:rFonts w:ascii="Calibri" w:hAnsi="Calibri"/>
                <w:b/>
                <w:snapToGrid w:val="0"/>
                <w:szCs w:val="21"/>
                <w:u w:val="single"/>
              </w:rPr>
            </w:pPr>
            <w:r w:rsidRPr="000D4753">
              <w:rPr>
                <w:rFonts w:ascii="Calibri" w:hAnsi="Calibri"/>
                <w:b/>
                <w:snapToGrid w:val="0"/>
                <w:szCs w:val="21"/>
                <w:u w:val="single"/>
              </w:rPr>
              <w:t>0.346</w:t>
            </w:r>
          </w:p>
        </w:tc>
        <w:tc>
          <w:tcPr>
            <w:tcW w:w="353" w:type="pct"/>
            <w:vAlign w:val="center"/>
          </w:tcPr>
          <w:p w14:paraId="65B7968A" w14:textId="32B7027A" w:rsidR="006F356A" w:rsidRPr="000D4753" w:rsidRDefault="006F356A" w:rsidP="006F356A">
            <w:pPr>
              <w:jc w:val="center"/>
              <w:rPr>
                <w:rFonts w:ascii="Calibri" w:hAnsi="Calibri"/>
                <w:b/>
                <w:snapToGrid w:val="0"/>
                <w:szCs w:val="21"/>
                <w:u w:val="single"/>
              </w:rPr>
            </w:pPr>
            <w:r w:rsidRPr="000D4753">
              <w:rPr>
                <w:rFonts w:asciiTheme="minorHAnsi" w:hAnsiTheme="minorHAnsi"/>
                <w:b/>
                <w:szCs w:val="21"/>
                <w:u w:val="single"/>
              </w:rPr>
              <w:t>25.32</w:t>
            </w:r>
          </w:p>
        </w:tc>
        <w:tc>
          <w:tcPr>
            <w:tcW w:w="363" w:type="pct"/>
            <w:tcBorders>
              <w:right w:val="single" w:sz="4" w:space="0" w:color="auto"/>
            </w:tcBorders>
            <w:vAlign w:val="center"/>
          </w:tcPr>
          <w:p w14:paraId="4F1729A3" w14:textId="771119F9" w:rsidR="006F356A" w:rsidRPr="000D4753" w:rsidRDefault="00607C5B" w:rsidP="006F356A">
            <w:pPr>
              <w:jc w:val="center"/>
              <w:rPr>
                <w:rFonts w:ascii="Calibri" w:hAnsi="Calibri"/>
                <w:b/>
                <w:snapToGrid w:val="0"/>
                <w:szCs w:val="21"/>
                <w:u w:val="single"/>
              </w:rPr>
            </w:pPr>
            <w:r w:rsidRPr="000D4753">
              <w:rPr>
                <w:rFonts w:ascii="Calibri" w:hAnsi="Calibri"/>
                <w:b/>
                <w:snapToGrid w:val="0"/>
                <w:szCs w:val="21"/>
                <w:u w:val="single"/>
              </w:rPr>
              <w:t>0.36</w:t>
            </w:r>
          </w:p>
        </w:tc>
        <w:tc>
          <w:tcPr>
            <w:tcW w:w="384" w:type="pct"/>
            <w:gridSpan w:val="5"/>
            <w:tcBorders>
              <w:left w:val="single" w:sz="4" w:space="0" w:color="auto"/>
              <w:right w:val="single" w:sz="4" w:space="0" w:color="auto"/>
            </w:tcBorders>
            <w:vAlign w:val="center"/>
          </w:tcPr>
          <w:p w14:paraId="220BDC3E" w14:textId="42FCC2FC" w:rsidR="006F356A" w:rsidRPr="000D4753" w:rsidRDefault="006F356A" w:rsidP="006F356A">
            <w:pPr>
              <w:jc w:val="center"/>
              <w:rPr>
                <w:rFonts w:asciiTheme="minorHAnsi" w:hAnsiTheme="minorHAnsi"/>
                <w:b/>
                <w:szCs w:val="21"/>
                <w:u w:val="single"/>
              </w:rPr>
            </w:pPr>
            <w:r w:rsidRPr="000D4753">
              <w:rPr>
                <w:rFonts w:asciiTheme="minorHAnsi" w:hAnsiTheme="minorHAnsi" w:cs="宋体"/>
                <w:b/>
                <w:kern w:val="0"/>
                <w:szCs w:val="21"/>
                <w:u w:val="single"/>
              </w:rPr>
              <w:t>22.86</w:t>
            </w:r>
          </w:p>
        </w:tc>
        <w:tc>
          <w:tcPr>
            <w:tcW w:w="326" w:type="pct"/>
            <w:tcBorders>
              <w:left w:val="single" w:sz="4" w:space="0" w:color="auto"/>
              <w:right w:val="single" w:sz="12" w:space="0" w:color="auto"/>
            </w:tcBorders>
            <w:vAlign w:val="center"/>
          </w:tcPr>
          <w:p w14:paraId="1D47F4FB" w14:textId="1D2A9C78" w:rsidR="006F356A" w:rsidRPr="000D4753" w:rsidRDefault="00607C5B" w:rsidP="006F356A">
            <w:pPr>
              <w:jc w:val="center"/>
              <w:rPr>
                <w:rFonts w:ascii="Calibri" w:hAnsi="Calibri"/>
                <w:b/>
                <w:snapToGrid w:val="0"/>
                <w:szCs w:val="21"/>
                <w:u w:val="single"/>
              </w:rPr>
            </w:pPr>
            <w:r w:rsidRPr="000D4753">
              <w:rPr>
                <w:rFonts w:ascii="Calibri" w:hAnsi="Calibri" w:hint="eastAsia"/>
                <w:b/>
                <w:snapToGrid w:val="0"/>
                <w:szCs w:val="21"/>
                <w:u w:val="single"/>
              </w:rPr>
              <w:t>0.33</w:t>
            </w:r>
          </w:p>
        </w:tc>
      </w:tr>
      <w:tr w:rsidR="00607C5B" w:rsidRPr="000D4753" w14:paraId="568CDC64" w14:textId="5A32FC35" w:rsidTr="00607C5B">
        <w:trPr>
          <w:trHeight w:val="340"/>
        </w:trPr>
        <w:tc>
          <w:tcPr>
            <w:tcW w:w="734" w:type="pct"/>
            <w:gridSpan w:val="2"/>
            <w:vAlign w:val="center"/>
          </w:tcPr>
          <w:p w14:paraId="4B04F655"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纯水</w:t>
            </w:r>
            <w:r w:rsidRPr="000D4753">
              <w:rPr>
                <w:rFonts w:ascii="Calibri" w:hAnsi="Calibri"/>
                <w:b/>
                <w:snapToGrid w:val="0"/>
                <w:szCs w:val="21"/>
                <w:u w:val="single"/>
              </w:rPr>
              <w:t>制备站</w:t>
            </w:r>
          </w:p>
        </w:tc>
        <w:tc>
          <w:tcPr>
            <w:tcW w:w="256" w:type="pct"/>
            <w:vAlign w:val="center"/>
          </w:tcPr>
          <w:p w14:paraId="186B01FC" w14:textId="61196BB8" w:rsidR="00607C5B" w:rsidRPr="000D4753" w:rsidRDefault="00607C5B" w:rsidP="00BF4432">
            <w:pPr>
              <w:jc w:val="center"/>
              <w:rPr>
                <w:rFonts w:ascii="Calibri" w:hAnsi="Calibri"/>
                <w:b/>
                <w:snapToGrid w:val="0"/>
                <w:szCs w:val="21"/>
                <w:u w:val="single"/>
              </w:rPr>
            </w:pPr>
            <w:r w:rsidRPr="000D4753">
              <w:rPr>
                <w:rFonts w:ascii="Calibri" w:hAnsi="Calibri"/>
                <w:b/>
                <w:snapToGrid w:val="0"/>
                <w:szCs w:val="21"/>
                <w:u w:val="single"/>
              </w:rPr>
              <w:t>3.</w:t>
            </w:r>
            <w:r w:rsidR="00BF4432">
              <w:rPr>
                <w:rFonts w:ascii="Calibri" w:hAnsi="Calibri"/>
                <w:b/>
                <w:snapToGrid w:val="0"/>
                <w:szCs w:val="21"/>
                <w:u w:val="single"/>
              </w:rPr>
              <w:t>39</w:t>
            </w:r>
          </w:p>
        </w:tc>
        <w:tc>
          <w:tcPr>
            <w:tcW w:w="460" w:type="pct"/>
            <w:vAlign w:val="center"/>
          </w:tcPr>
          <w:p w14:paraId="5C37D1A0" w14:textId="54F0209B"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1020.82</w:t>
            </w:r>
          </w:p>
        </w:tc>
        <w:tc>
          <w:tcPr>
            <w:tcW w:w="353" w:type="pct"/>
            <w:vAlign w:val="center"/>
          </w:tcPr>
          <w:p w14:paraId="6471BFFD"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7ADF3715"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0.0</w:t>
            </w:r>
            <w:r w:rsidRPr="000D4753">
              <w:rPr>
                <w:rFonts w:ascii="Calibri" w:hAnsi="Calibri"/>
                <w:b/>
                <w:snapToGrid w:val="0"/>
                <w:szCs w:val="21"/>
                <w:u w:val="single"/>
              </w:rPr>
              <w:t>51</w:t>
            </w:r>
          </w:p>
        </w:tc>
        <w:tc>
          <w:tcPr>
            <w:tcW w:w="353" w:type="pct"/>
            <w:vAlign w:val="center"/>
          </w:tcPr>
          <w:p w14:paraId="6051093A"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1FDBE5CA"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520B498D"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161197E4" w14:textId="77777777"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0.051</w:t>
            </w:r>
          </w:p>
        </w:tc>
        <w:tc>
          <w:tcPr>
            <w:tcW w:w="353" w:type="pct"/>
            <w:vAlign w:val="center"/>
          </w:tcPr>
          <w:p w14:paraId="3BFCCE5C"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63" w:type="pct"/>
            <w:vAlign w:val="center"/>
          </w:tcPr>
          <w:p w14:paraId="6C8572AA"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84" w:type="pct"/>
            <w:gridSpan w:val="5"/>
            <w:vAlign w:val="center"/>
          </w:tcPr>
          <w:p w14:paraId="5814E12D" w14:textId="77D49726"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26" w:type="pct"/>
            <w:vAlign w:val="center"/>
          </w:tcPr>
          <w:p w14:paraId="71025C8F" w14:textId="31B78E6F"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r>
      <w:tr w:rsidR="00607C5B" w:rsidRPr="000D4753" w14:paraId="51702A02" w14:textId="2AB412E5" w:rsidTr="00607C5B">
        <w:trPr>
          <w:trHeight w:val="340"/>
        </w:trPr>
        <w:tc>
          <w:tcPr>
            <w:tcW w:w="734" w:type="pct"/>
            <w:gridSpan w:val="2"/>
            <w:vAlign w:val="center"/>
          </w:tcPr>
          <w:p w14:paraId="74EFD33F"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循环冷却排污水</w:t>
            </w:r>
          </w:p>
        </w:tc>
        <w:tc>
          <w:tcPr>
            <w:tcW w:w="256" w:type="pct"/>
            <w:vAlign w:val="center"/>
          </w:tcPr>
          <w:p w14:paraId="2F881FCF"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0.03</w:t>
            </w:r>
          </w:p>
        </w:tc>
        <w:tc>
          <w:tcPr>
            <w:tcW w:w="460" w:type="pct"/>
            <w:vAlign w:val="center"/>
          </w:tcPr>
          <w:p w14:paraId="14390EDC"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9</w:t>
            </w:r>
          </w:p>
        </w:tc>
        <w:tc>
          <w:tcPr>
            <w:tcW w:w="353" w:type="pct"/>
            <w:vAlign w:val="center"/>
          </w:tcPr>
          <w:p w14:paraId="6BFBCC69"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35DDC4B7"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0.00045</w:t>
            </w:r>
          </w:p>
        </w:tc>
        <w:tc>
          <w:tcPr>
            <w:tcW w:w="353" w:type="pct"/>
            <w:vAlign w:val="center"/>
          </w:tcPr>
          <w:p w14:paraId="17D081F7"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3516A045"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400F521B"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55" w:type="pct"/>
            <w:vAlign w:val="center"/>
          </w:tcPr>
          <w:p w14:paraId="26CDA3E3" w14:textId="77777777"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0.00045</w:t>
            </w:r>
          </w:p>
        </w:tc>
        <w:tc>
          <w:tcPr>
            <w:tcW w:w="353" w:type="pct"/>
            <w:vAlign w:val="center"/>
          </w:tcPr>
          <w:p w14:paraId="3A14F948"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63" w:type="pct"/>
            <w:vAlign w:val="center"/>
          </w:tcPr>
          <w:p w14:paraId="51AC1360"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84" w:type="pct"/>
            <w:gridSpan w:val="5"/>
            <w:vAlign w:val="center"/>
          </w:tcPr>
          <w:p w14:paraId="4EDE9A98" w14:textId="69DFF51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26" w:type="pct"/>
            <w:vAlign w:val="center"/>
          </w:tcPr>
          <w:p w14:paraId="5945A8AB" w14:textId="4FCA591C"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w:t>
            </w:r>
          </w:p>
        </w:tc>
      </w:tr>
      <w:tr w:rsidR="00607C5B" w:rsidRPr="000D4753" w14:paraId="7429DFDA" w14:textId="1D5D4E00" w:rsidTr="00607C5B">
        <w:trPr>
          <w:trHeight w:val="340"/>
        </w:trPr>
        <w:tc>
          <w:tcPr>
            <w:tcW w:w="734" w:type="pct"/>
            <w:gridSpan w:val="2"/>
            <w:vAlign w:val="center"/>
          </w:tcPr>
          <w:p w14:paraId="57086A4A" w14:textId="77777777"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厂区总排口</w:t>
            </w:r>
          </w:p>
        </w:tc>
        <w:tc>
          <w:tcPr>
            <w:tcW w:w="256" w:type="pct"/>
            <w:vAlign w:val="center"/>
          </w:tcPr>
          <w:p w14:paraId="78E2715F" w14:textId="38E4A3C6" w:rsidR="00607C5B" w:rsidRPr="000D4753" w:rsidRDefault="00607C5B" w:rsidP="00BF4432">
            <w:pPr>
              <w:jc w:val="center"/>
              <w:rPr>
                <w:rFonts w:ascii="Calibri" w:hAnsi="Calibri"/>
                <w:b/>
                <w:snapToGrid w:val="0"/>
                <w:szCs w:val="21"/>
                <w:u w:val="single"/>
              </w:rPr>
            </w:pPr>
            <w:r w:rsidRPr="000D4753">
              <w:rPr>
                <w:rFonts w:ascii="Calibri" w:hAnsi="Calibri"/>
                <w:b/>
                <w:snapToGrid w:val="0"/>
                <w:szCs w:val="21"/>
                <w:u w:val="single"/>
              </w:rPr>
              <w:t>51.3</w:t>
            </w:r>
            <w:r w:rsidR="00BF4432">
              <w:rPr>
                <w:rFonts w:ascii="Calibri" w:hAnsi="Calibri"/>
                <w:b/>
                <w:snapToGrid w:val="0"/>
                <w:szCs w:val="21"/>
                <w:u w:val="single"/>
              </w:rPr>
              <w:t>0</w:t>
            </w:r>
          </w:p>
        </w:tc>
        <w:tc>
          <w:tcPr>
            <w:tcW w:w="460" w:type="pct"/>
            <w:vAlign w:val="center"/>
          </w:tcPr>
          <w:p w14:paraId="22243735" w14:textId="37A0B38E"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15394.855</w:t>
            </w:r>
          </w:p>
        </w:tc>
        <w:tc>
          <w:tcPr>
            <w:tcW w:w="353" w:type="pct"/>
            <w:vAlign w:val="center"/>
          </w:tcPr>
          <w:p w14:paraId="6266C318" w14:textId="3C2A354F" w:rsidR="00607C5B" w:rsidRPr="000D4753" w:rsidRDefault="00607C5B" w:rsidP="00607C5B">
            <w:pPr>
              <w:jc w:val="center"/>
              <w:rPr>
                <w:rFonts w:ascii="Calibri" w:hAnsi="Calibri"/>
                <w:b/>
                <w:snapToGrid w:val="0"/>
                <w:szCs w:val="21"/>
                <w:u w:val="single"/>
              </w:rPr>
            </w:pPr>
            <w:r w:rsidRPr="000D4753">
              <w:rPr>
                <w:rFonts w:asciiTheme="minorHAnsi" w:hAnsiTheme="minorHAnsi"/>
                <w:b/>
                <w:kern w:val="0"/>
                <w:szCs w:val="21"/>
                <w:u w:val="single"/>
              </w:rPr>
              <w:t>191.72</w:t>
            </w:r>
          </w:p>
        </w:tc>
        <w:tc>
          <w:tcPr>
            <w:tcW w:w="355" w:type="pct"/>
            <w:vAlign w:val="center"/>
          </w:tcPr>
          <w:p w14:paraId="1B575D91" w14:textId="02764125"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2.95145</w:t>
            </w:r>
          </w:p>
        </w:tc>
        <w:tc>
          <w:tcPr>
            <w:tcW w:w="353" w:type="pct"/>
            <w:vAlign w:val="center"/>
          </w:tcPr>
          <w:p w14:paraId="01AD4218" w14:textId="6908A469"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102.95</w:t>
            </w:r>
          </w:p>
        </w:tc>
        <w:tc>
          <w:tcPr>
            <w:tcW w:w="355" w:type="pct"/>
            <w:vAlign w:val="center"/>
          </w:tcPr>
          <w:p w14:paraId="6ECD51F5" w14:textId="4A81BCB4"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1.58</w:t>
            </w:r>
          </w:p>
        </w:tc>
        <w:tc>
          <w:tcPr>
            <w:tcW w:w="353" w:type="pct"/>
            <w:vAlign w:val="center"/>
          </w:tcPr>
          <w:p w14:paraId="55CE0988" w14:textId="181E06E2"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25.82</w:t>
            </w:r>
          </w:p>
        </w:tc>
        <w:tc>
          <w:tcPr>
            <w:tcW w:w="355" w:type="pct"/>
            <w:vAlign w:val="center"/>
          </w:tcPr>
          <w:p w14:paraId="5C509BF8" w14:textId="01EB1DE8"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0.39745</w:t>
            </w:r>
          </w:p>
        </w:tc>
        <w:tc>
          <w:tcPr>
            <w:tcW w:w="353" w:type="pct"/>
            <w:vAlign w:val="center"/>
          </w:tcPr>
          <w:p w14:paraId="1B7C52B6" w14:textId="3765CD0B"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23.63</w:t>
            </w:r>
          </w:p>
        </w:tc>
        <w:tc>
          <w:tcPr>
            <w:tcW w:w="363" w:type="pct"/>
            <w:vAlign w:val="center"/>
          </w:tcPr>
          <w:p w14:paraId="0B7DCCE3" w14:textId="05DC0B3B" w:rsidR="00607C5B" w:rsidRPr="000D4753" w:rsidRDefault="00607C5B" w:rsidP="00607C5B">
            <w:pPr>
              <w:jc w:val="center"/>
              <w:rPr>
                <w:rFonts w:ascii="Calibri" w:hAnsi="Calibri"/>
                <w:b/>
                <w:snapToGrid w:val="0"/>
                <w:szCs w:val="21"/>
                <w:u w:val="single"/>
              </w:rPr>
            </w:pPr>
            <w:r w:rsidRPr="000D4753">
              <w:rPr>
                <w:rFonts w:ascii="Calibri" w:hAnsi="Calibri"/>
                <w:b/>
                <w:snapToGrid w:val="0"/>
                <w:szCs w:val="21"/>
                <w:u w:val="single"/>
              </w:rPr>
              <w:t>0.36</w:t>
            </w:r>
          </w:p>
        </w:tc>
        <w:tc>
          <w:tcPr>
            <w:tcW w:w="384" w:type="pct"/>
            <w:gridSpan w:val="5"/>
            <w:vAlign w:val="center"/>
          </w:tcPr>
          <w:p w14:paraId="6E47F6A0" w14:textId="2250ED1F" w:rsidR="00607C5B" w:rsidRPr="000D4753" w:rsidRDefault="00607C5B" w:rsidP="00607C5B">
            <w:pPr>
              <w:jc w:val="center"/>
              <w:rPr>
                <w:rFonts w:ascii="Calibri" w:hAnsi="Calibri"/>
                <w:b/>
                <w:snapToGrid w:val="0"/>
                <w:szCs w:val="21"/>
                <w:u w:val="single"/>
              </w:rPr>
            </w:pPr>
            <w:r w:rsidRPr="000D4753">
              <w:rPr>
                <w:rFonts w:asciiTheme="minorHAnsi" w:hAnsiTheme="minorHAnsi" w:cs="宋体" w:hint="eastAsia"/>
                <w:b/>
                <w:kern w:val="0"/>
                <w:szCs w:val="21"/>
                <w:u w:val="single"/>
              </w:rPr>
              <w:t>21.33</w:t>
            </w:r>
          </w:p>
        </w:tc>
        <w:tc>
          <w:tcPr>
            <w:tcW w:w="326" w:type="pct"/>
            <w:vAlign w:val="center"/>
          </w:tcPr>
          <w:p w14:paraId="1F861C49" w14:textId="06C5D3A6" w:rsidR="00607C5B" w:rsidRPr="000D4753" w:rsidRDefault="00607C5B" w:rsidP="00607C5B">
            <w:pPr>
              <w:jc w:val="center"/>
              <w:rPr>
                <w:rFonts w:ascii="Calibri" w:hAnsi="Calibri"/>
                <w:b/>
                <w:snapToGrid w:val="0"/>
                <w:szCs w:val="21"/>
                <w:u w:val="single"/>
              </w:rPr>
            </w:pPr>
            <w:r w:rsidRPr="000D4753">
              <w:rPr>
                <w:rFonts w:ascii="Calibri" w:hAnsi="Calibri" w:hint="eastAsia"/>
                <w:b/>
                <w:snapToGrid w:val="0"/>
                <w:szCs w:val="21"/>
                <w:u w:val="single"/>
              </w:rPr>
              <w:t>0.33</w:t>
            </w:r>
          </w:p>
        </w:tc>
      </w:tr>
      <w:tr w:rsidR="0080419B" w:rsidRPr="000D4753" w14:paraId="26AD132A" w14:textId="6297EC9D" w:rsidTr="00607C5B">
        <w:trPr>
          <w:trHeight w:val="340"/>
        </w:trPr>
        <w:tc>
          <w:tcPr>
            <w:tcW w:w="734" w:type="pct"/>
            <w:gridSpan w:val="2"/>
            <w:vAlign w:val="center"/>
          </w:tcPr>
          <w:p w14:paraId="057DA1AA"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《合成树脂工业污染物排放标准》（</w:t>
            </w:r>
            <w:r w:rsidRPr="000D4753">
              <w:rPr>
                <w:rFonts w:ascii="Calibri" w:hAnsi="Calibri" w:hint="eastAsia"/>
                <w:b/>
                <w:snapToGrid w:val="0"/>
                <w:szCs w:val="21"/>
                <w:u w:val="single"/>
              </w:rPr>
              <w:t>GB31572-2015</w:t>
            </w:r>
            <w:r w:rsidRPr="000D4753">
              <w:rPr>
                <w:rFonts w:ascii="Calibri" w:hAnsi="Calibri" w:hint="eastAsia"/>
                <w:b/>
                <w:snapToGrid w:val="0"/>
                <w:szCs w:val="21"/>
                <w:u w:val="single"/>
              </w:rPr>
              <w:t>）间接排放限值</w:t>
            </w:r>
          </w:p>
        </w:tc>
        <w:tc>
          <w:tcPr>
            <w:tcW w:w="256" w:type="pct"/>
            <w:vAlign w:val="center"/>
          </w:tcPr>
          <w:p w14:paraId="3FAFA6CA"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460" w:type="pct"/>
            <w:vAlign w:val="center"/>
          </w:tcPr>
          <w:p w14:paraId="509E576B"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658C7B03"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59580572"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20D5BAB6"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426898DB"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41BCE100"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5" w:type="pct"/>
            <w:vAlign w:val="center"/>
          </w:tcPr>
          <w:p w14:paraId="061095DE"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45522975"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63" w:type="pct"/>
            <w:vAlign w:val="center"/>
          </w:tcPr>
          <w:p w14:paraId="7C0D561A"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84" w:type="pct"/>
            <w:gridSpan w:val="5"/>
            <w:vAlign w:val="center"/>
          </w:tcPr>
          <w:p w14:paraId="30F6F769" w14:textId="31C56389" w:rsidR="0080419B" w:rsidRPr="000D4753" w:rsidRDefault="00607C5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26" w:type="pct"/>
            <w:vAlign w:val="center"/>
          </w:tcPr>
          <w:p w14:paraId="795D3BAB" w14:textId="7ABCE52C" w:rsidR="0080419B" w:rsidRPr="000D4753" w:rsidRDefault="00607C5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r>
      <w:tr w:rsidR="0080419B" w:rsidRPr="000D4753" w14:paraId="19B4503E" w14:textId="597DEB21" w:rsidTr="00607C5B">
        <w:trPr>
          <w:trHeight w:val="340"/>
        </w:trPr>
        <w:tc>
          <w:tcPr>
            <w:tcW w:w="734" w:type="pct"/>
            <w:gridSpan w:val="2"/>
            <w:vAlign w:val="center"/>
          </w:tcPr>
          <w:p w14:paraId="58C50581" w14:textId="77777777" w:rsidR="0080419B" w:rsidRPr="000D4753" w:rsidRDefault="0080419B" w:rsidP="004C513C">
            <w:pPr>
              <w:jc w:val="center"/>
              <w:rPr>
                <w:rFonts w:ascii="Calibri" w:hAnsi="Calibri"/>
                <w:b/>
                <w:snapToGrid w:val="0"/>
                <w:szCs w:val="21"/>
                <w:u w:val="single"/>
              </w:rPr>
            </w:pPr>
            <w:r w:rsidRPr="000D4753">
              <w:rPr>
                <w:rFonts w:hint="eastAsia"/>
                <w:b/>
                <w:szCs w:val="21"/>
                <w:u w:val="single"/>
              </w:rPr>
              <w:t>《</w:t>
            </w:r>
            <w:r w:rsidRPr="000D4753">
              <w:rPr>
                <w:rFonts w:ascii="Calibri" w:hAnsi="Calibri" w:hint="eastAsia"/>
                <w:b/>
                <w:snapToGrid w:val="0"/>
                <w:szCs w:val="21"/>
                <w:u w:val="single"/>
              </w:rPr>
              <w:t>化工行业水污染物间接排放标准》（</w:t>
            </w:r>
            <w:r w:rsidRPr="000D4753">
              <w:rPr>
                <w:rFonts w:ascii="Calibri" w:hAnsi="Calibri" w:hint="eastAsia"/>
                <w:b/>
                <w:snapToGrid w:val="0"/>
                <w:szCs w:val="21"/>
                <w:u w:val="single"/>
              </w:rPr>
              <w:t>DB41/1135-2016</w:t>
            </w:r>
            <w:r w:rsidRPr="000D4753">
              <w:rPr>
                <w:rFonts w:ascii="Calibri" w:hAnsi="Calibri" w:hint="eastAsia"/>
                <w:b/>
                <w:snapToGrid w:val="0"/>
                <w:szCs w:val="21"/>
                <w:u w:val="single"/>
              </w:rPr>
              <w:t>）</w:t>
            </w:r>
          </w:p>
        </w:tc>
        <w:tc>
          <w:tcPr>
            <w:tcW w:w="256" w:type="pct"/>
            <w:vAlign w:val="center"/>
          </w:tcPr>
          <w:p w14:paraId="1970F823"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460" w:type="pct"/>
            <w:vAlign w:val="center"/>
          </w:tcPr>
          <w:p w14:paraId="1DEC1B20"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05D96E40"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300</w:t>
            </w:r>
          </w:p>
        </w:tc>
        <w:tc>
          <w:tcPr>
            <w:tcW w:w="355" w:type="pct"/>
            <w:vAlign w:val="center"/>
          </w:tcPr>
          <w:p w14:paraId="016735A4"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6F818461"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150</w:t>
            </w:r>
          </w:p>
        </w:tc>
        <w:tc>
          <w:tcPr>
            <w:tcW w:w="355" w:type="pct"/>
            <w:vAlign w:val="center"/>
          </w:tcPr>
          <w:p w14:paraId="56C07918"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30F27CD7"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150</w:t>
            </w:r>
          </w:p>
        </w:tc>
        <w:tc>
          <w:tcPr>
            <w:tcW w:w="355" w:type="pct"/>
            <w:vAlign w:val="center"/>
          </w:tcPr>
          <w:p w14:paraId="61AC05E4"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1F6AE81A"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30</w:t>
            </w:r>
          </w:p>
        </w:tc>
        <w:tc>
          <w:tcPr>
            <w:tcW w:w="363" w:type="pct"/>
            <w:vAlign w:val="center"/>
          </w:tcPr>
          <w:p w14:paraId="6356F2FA"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84" w:type="pct"/>
            <w:gridSpan w:val="5"/>
            <w:vAlign w:val="center"/>
          </w:tcPr>
          <w:p w14:paraId="4123CEA9" w14:textId="16BFBA60" w:rsidR="0080419B" w:rsidRPr="000D4753" w:rsidRDefault="00607C5B" w:rsidP="004C513C">
            <w:pPr>
              <w:jc w:val="center"/>
              <w:rPr>
                <w:rFonts w:ascii="Calibri" w:hAnsi="Calibri"/>
                <w:b/>
                <w:snapToGrid w:val="0"/>
                <w:szCs w:val="21"/>
                <w:u w:val="single"/>
              </w:rPr>
            </w:pPr>
            <w:r w:rsidRPr="000D4753">
              <w:rPr>
                <w:rFonts w:ascii="Calibri" w:hAnsi="Calibri" w:hint="eastAsia"/>
                <w:b/>
                <w:snapToGrid w:val="0"/>
                <w:szCs w:val="21"/>
                <w:u w:val="single"/>
              </w:rPr>
              <w:t>50</w:t>
            </w:r>
          </w:p>
        </w:tc>
        <w:tc>
          <w:tcPr>
            <w:tcW w:w="326" w:type="pct"/>
            <w:vAlign w:val="center"/>
          </w:tcPr>
          <w:p w14:paraId="4EB230F9" w14:textId="63C90784" w:rsidR="0080419B" w:rsidRPr="000D4753" w:rsidRDefault="00607C5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r>
      <w:tr w:rsidR="0080419B" w:rsidRPr="000D4753" w14:paraId="4C9086A0" w14:textId="309AB99A" w:rsidTr="00607C5B">
        <w:trPr>
          <w:trHeight w:val="340"/>
        </w:trPr>
        <w:tc>
          <w:tcPr>
            <w:tcW w:w="734" w:type="pct"/>
            <w:gridSpan w:val="2"/>
            <w:vAlign w:val="center"/>
          </w:tcPr>
          <w:p w14:paraId="357711D2" w14:textId="77777777" w:rsidR="0080419B" w:rsidRPr="000D4753" w:rsidRDefault="0080419B" w:rsidP="004C513C">
            <w:pPr>
              <w:jc w:val="center"/>
              <w:rPr>
                <w:b/>
                <w:szCs w:val="21"/>
                <w:u w:val="single"/>
              </w:rPr>
            </w:pPr>
            <w:r w:rsidRPr="000D4753">
              <w:rPr>
                <w:rFonts w:ascii="Calibri" w:hAnsi="Calibri" w:hint="eastAsia"/>
                <w:b/>
                <w:snapToGrid w:val="0"/>
                <w:szCs w:val="21"/>
                <w:u w:val="single"/>
              </w:rPr>
              <w:t>达标</w:t>
            </w:r>
            <w:r w:rsidRPr="000D4753">
              <w:rPr>
                <w:rFonts w:ascii="Calibri" w:hAnsi="Calibri"/>
                <w:b/>
                <w:snapToGrid w:val="0"/>
                <w:szCs w:val="21"/>
                <w:u w:val="single"/>
              </w:rPr>
              <w:t>分析</w:t>
            </w:r>
          </w:p>
        </w:tc>
        <w:tc>
          <w:tcPr>
            <w:tcW w:w="256" w:type="pct"/>
            <w:vAlign w:val="center"/>
          </w:tcPr>
          <w:p w14:paraId="33F38114"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460" w:type="pct"/>
            <w:vAlign w:val="center"/>
          </w:tcPr>
          <w:p w14:paraId="1FABA34D"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16A47BF2"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达标</w:t>
            </w:r>
          </w:p>
        </w:tc>
        <w:tc>
          <w:tcPr>
            <w:tcW w:w="355" w:type="pct"/>
            <w:vAlign w:val="center"/>
          </w:tcPr>
          <w:p w14:paraId="3F33A484"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3B3B3F3C"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达标</w:t>
            </w:r>
          </w:p>
        </w:tc>
        <w:tc>
          <w:tcPr>
            <w:tcW w:w="355" w:type="pct"/>
            <w:vAlign w:val="center"/>
          </w:tcPr>
          <w:p w14:paraId="6AF5AE1F"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6E25C67B"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达标</w:t>
            </w:r>
          </w:p>
        </w:tc>
        <w:tc>
          <w:tcPr>
            <w:tcW w:w="355" w:type="pct"/>
            <w:vAlign w:val="center"/>
          </w:tcPr>
          <w:p w14:paraId="3A3C5A30"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53" w:type="pct"/>
            <w:vAlign w:val="center"/>
          </w:tcPr>
          <w:p w14:paraId="385CC6DE"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达标</w:t>
            </w:r>
          </w:p>
        </w:tc>
        <w:tc>
          <w:tcPr>
            <w:tcW w:w="363" w:type="pct"/>
            <w:vAlign w:val="center"/>
          </w:tcPr>
          <w:p w14:paraId="5A460DE9" w14:textId="77777777" w:rsidR="0080419B" w:rsidRPr="000D4753" w:rsidRDefault="0080419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c>
          <w:tcPr>
            <w:tcW w:w="384" w:type="pct"/>
            <w:gridSpan w:val="5"/>
            <w:vAlign w:val="center"/>
          </w:tcPr>
          <w:p w14:paraId="67DAD1B8" w14:textId="17B8B35A" w:rsidR="0080419B" w:rsidRPr="000D4753" w:rsidRDefault="00607C5B" w:rsidP="004C513C">
            <w:pPr>
              <w:jc w:val="center"/>
              <w:rPr>
                <w:rFonts w:ascii="Calibri" w:hAnsi="Calibri"/>
                <w:b/>
                <w:snapToGrid w:val="0"/>
                <w:szCs w:val="21"/>
                <w:u w:val="single"/>
              </w:rPr>
            </w:pPr>
            <w:r w:rsidRPr="000D4753">
              <w:rPr>
                <w:rFonts w:ascii="Calibri" w:hAnsi="Calibri" w:hint="eastAsia"/>
                <w:b/>
                <w:snapToGrid w:val="0"/>
                <w:szCs w:val="21"/>
                <w:u w:val="single"/>
              </w:rPr>
              <w:t>达标</w:t>
            </w:r>
          </w:p>
        </w:tc>
        <w:tc>
          <w:tcPr>
            <w:tcW w:w="326" w:type="pct"/>
            <w:vAlign w:val="center"/>
          </w:tcPr>
          <w:p w14:paraId="3ACF039D" w14:textId="45F36A15" w:rsidR="0080419B" w:rsidRPr="000D4753" w:rsidRDefault="00607C5B" w:rsidP="004C513C">
            <w:pPr>
              <w:jc w:val="center"/>
              <w:rPr>
                <w:rFonts w:ascii="Calibri" w:hAnsi="Calibri"/>
                <w:b/>
                <w:snapToGrid w:val="0"/>
                <w:szCs w:val="21"/>
                <w:u w:val="single"/>
              </w:rPr>
            </w:pPr>
            <w:r w:rsidRPr="000D4753">
              <w:rPr>
                <w:rFonts w:ascii="Calibri" w:hAnsi="Calibri" w:hint="eastAsia"/>
                <w:b/>
                <w:snapToGrid w:val="0"/>
                <w:szCs w:val="21"/>
                <w:u w:val="single"/>
              </w:rPr>
              <w:t>/</w:t>
            </w:r>
          </w:p>
        </w:tc>
      </w:tr>
    </w:tbl>
    <w:p w14:paraId="5F897FF0" w14:textId="77777777" w:rsidR="00455580" w:rsidRPr="00A964FF" w:rsidRDefault="00455580" w:rsidP="00D35887">
      <w:pPr>
        <w:spacing w:line="500" w:lineRule="exact"/>
        <w:ind w:firstLineChars="200" w:firstLine="480"/>
        <w:rPr>
          <w:rFonts w:ascii="Calibri" w:hAnsi="Calibri"/>
          <w:color w:val="auto"/>
          <w:sz w:val="24"/>
        </w:rPr>
        <w:sectPr w:rsidR="00455580" w:rsidRPr="00A964FF" w:rsidSect="006A70AB">
          <w:pgSz w:w="16838" w:h="11906" w:orient="landscape" w:code="9"/>
          <w:pgMar w:top="1134" w:right="1440" w:bottom="1134" w:left="1440" w:header="851" w:footer="992" w:gutter="0"/>
          <w:cols w:space="720"/>
          <w:docGrid w:linePitch="312"/>
        </w:sectPr>
      </w:pPr>
      <w:r>
        <w:rPr>
          <w:rFonts w:ascii="Calibri" w:hAnsi="Calibri"/>
          <w:color w:val="auto"/>
          <w:sz w:val="24"/>
        </w:rPr>
        <w:br w:type="textWrapping" w:clear="all"/>
      </w:r>
    </w:p>
    <w:p w14:paraId="38FE15E5" w14:textId="10D6C925" w:rsidR="005626A4" w:rsidRPr="0039663C" w:rsidRDefault="0039663C" w:rsidP="0039663C">
      <w:pPr>
        <w:pStyle w:val="ad"/>
        <w:ind w:firstLineChars="200" w:firstLine="562"/>
        <w:rPr>
          <w:rFonts w:ascii="Calibri" w:hAnsi="Calibri"/>
          <w:color w:val="auto"/>
        </w:rPr>
      </w:pPr>
      <w:r>
        <w:rPr>
          <w:rFonts w:ascii="Calibri" w:hAnsi="Calibri"/>
          <w:color w:val="auto"/>
        </w:rPr>
        <w:lastRenderedPageBreak/>
        <w:t>11</w:t>
      </w:r>
      <w:r>
        <w:rPr>
          <w:rFonts w:ascii="Calibri" w:hAnsi="Calibri" w:hint="eastAsia"/>
          <w:color w:val="auto"/>
        </w:rPr>
        <w:t>、</w:t>
      </w:r>
      <w:r w:rsidR="004951F1" w:rsidRPr="00A964FF">
        <w:rPr>
          <w:rFonts w:ascii="Calibri" w:hAnsi="Calibri" w:hint="eastAsia"/>
          <w:color w:val="auto"/>
        </w:rPr>
        <w:t>初期雨水</w:t>
      </w:r>
    </w:p>
    <w:p w14:paraId="069AC7C3" w14:textId="77777777" w:rsidR="00C42CCC" w:rsidRDefault="00C42CCC" w:rsidP="00C42CCC">
      <w:pPr>
        <w:tabs>
          <w:tab w:val="left" w:pos="1860"/>
        </w:tabs>
        <w:spacing w:line="520" w:lineRule="exact"/>
        <w:ind w:firstLineChars="200" w:firstLine="480"/>
        <w:rPr>
          <w:rFonts w:ascii="Calibri" w:hAnsi="宋体"/>
          <w:sz w:val="24"/>
        </w:rPr>
      </w:pPr>
      <w:r>
        <w:rPr>
          <w:rFonts w:ascii="Calibri" w:hAnsi="宋体" w:hint="eastAsia"/>
          <w:sz w:val="24"/>
        </w:rPr>
        <w:t>项目采用雨、污分流。</w:t>
      </w:r>
      <w:r>
        <w:rPr>
          <w:rFonts w:ascii="Calibri" w:hAnsi="宋体"/>
          <w:sz w:val="24"/>
        </w:rPr>
        <w:t>根据给排水软件，本项目雨水计算采用下列公式：</w:t>
      </w:r>
    </w:p>
    <w:p w14:paraId="7AEE47F2" w14:textId="77777777" w:rsidR="00C42CCC" w:rsidRPr="00483B7E" w:rsidRDefault="00C42CCC" w:rsidP="00C42CCC">
      <w:pPr>
        <w:jc w:val="center"/>
        <w:rPr>
          <w:rFonts w:ascii="Calibri" w:hAnsi="Calibri"/>
          <w:b/>
          <w:sz w:val="24"/>
        </w:rPr>
      </w:pPr>
      <w:r w:rsidRPr="00C37BFA">
        <w:rPr>
          <w:rFonts w:ascii="Calibri" w:hAnsi="Calibri"/>
          <w:position w:val="-24"/>
          <w:sz w:val="24"/>
        </w:rPr>
        <w:object w:dxaOrig="2439" w:dyaOrig="619" w14:anchorId="47C26FC2">
          <v:shape id="对象 13" o:spid="_x0000_i1027" type="#_x0000_t75" style="width:121.2pt;height:30.6pt;mso-position-horizontal-relative:page;mso-position-vertical-relative:page" o:ole="">
            <v:imagedata r:id="rId23" o:title=""/>
          </v:shape>
          <o:OLEObject Type="Embed" ProgID="Equation.3" ShapeID="对象 13" DrawAspect="Content" ObjectID="_1725951953" r:id="rId24"/>
        </w:object>
      </w:r>
    </w:p>
    <w:p w14:paraId="224B1364" w14:textId="77777777" w:rsidR="00C42CCC" w:rsidRDefault="00C42CCC" w:rsidP="00C42CCC">
      <w:pPr>
        <w:pStyle w:val="affff"/>
        <w:spacing w:line="520" w:lineRule="exact"/>
        <w:ind w:left="0" w:right="0" w:firstLineChars="200" w:firstLine="480"/>
        <w:rPr>
          <w:rFonts w:ascii="Calibri" w:hAnsi="Calibri"/>
          <w:bCs/>
        </w:rPr>
      </w:pPr>
      <w:r>
        <w:rPr>
          <w:rFonts w:ascii="Calibri" w:hAnsi="Calibri" w:hint="eastAsia"/>
          <w:bCs/>
        </w:rPr>
        <w:t>式中：</w:t>
      </w:r>
      <w:r>
        <w:rPr>
          <w:rFonts w:ascii="Calibri" w:hAnsi="Calibri" w:hint="eastAsia"/>
          <w:bCs/>
        </w:rPr>
        <w:t>q</w:t>
      </w:r>
      <w:r>
        <w:rPr>
          <w:rFonts w:ascii="Calibri" w:hAnsi="Calibri" w:hint="eastAsia"/>
          <w:bCs/>
        </w:rPr>
        <w:t>—设计暴雨强度（升</w:t>
      </w:r>
      <w:r>
        <w:rPr>
          <w:rFonts w:ascii="Calibri" w:hAnsi="Calibri" w:hint="eastAsia"/>
          <w:bCs/>
        </w:rPr>
        <w:t>/</w:t>
      </w:r>
      <w:r>
        <w:rPr>
          <w:rFonts w:ascii="Calibri" w:hAnsi="Calibri" w:hint="eastAsia"/>
          <w:bCs/>
        </w:rPr>
        <w:t>秒·公顷）；</w:t>
      </w:r>
      <w:r>
        <w:rPr>
          <w:rFonts w:ascii="Calibri" w:hAnsi="Calibri" w:hint="eastAsia"/>
          <w:bCs/>
        </w:rPr>
        <w:t>P</w:t>
      </w:r>
      <w:r>
        <w:rPr>
          <w:rFonts w:ascii="Calibri" w:hAnsi="Calibri" w:hint="eastAsia"/>
          <w:bCs/>
        </w:rPr>
        <w:t>—重现期（年）；</w:t>
      </w:r>
      <w:r>
        <w:rPr>
          <w:rFonts w:ascii="Calibri" w:hAnsi="Calibri" w:hint="eastAsia"/>
          <w:bCs/>
        </w:rPr>
        <w:t>t</w:t>
      </w:r>
      <w:r>
        <w:rPr>
          <w:rFonts w:ascii="Calibri" w:hAnsi="Calibri" w:hint="eastAsia"/>
          <w:bCs/>
        </w:rPr>
        <w:t>—降雨历时（分钟）；评价取</w:t>
      </w:r>
      <w:r>
        <w:rPr>
          <w:rFonts w:ascii="Calibri" w:hAnsi="Calibri" w:hint="eastAsia"/>
          <w:bCs/>
        </w:rPr>
        <w:t>P=2</w:t>
      </w:r>
      <w:r>
        <w:rPr>
          <w:rFonts w:ascii="Calibri" w:hAnsi="Calibri" w:hint="eastAsia"/>
          <w:bCs/>
        </w:rPr>
        <w:t>年，</w:t>
      </w:r>
      <w:r>
        <w:rPr>
          <w:rFonts w:ascii="Calibri" w:hAnsi="Calibri" w:hint="eastAsia"/>
          <w:bCs/>
        </w:rPr>
        <w:t>t=15min</w:t>
      </w:r>
      <w:r>
        <w:rPr>
          <w:rFonts w:ascii="Calibri" w:hAnsi="Calibri" w:hint="eastAsia"/>
          <w:bCs/>
        </w:rPr>
        <w:t>，则</w:t>
      </w:r>
      <w:r>
        <w:rPr>
          <w:rFonts w:ascii="Calibri" w:hAnsi="Calibri" w:hint="eastAsia"/>
          <w:bCs/>
        </w:rPr>
        <w:t>q=236.4</w:t>
      </w:r>
      <w:r>
        <w:rPr>
          <w:rFonts w:ascii="Calibri" w:hAnsi="Calibri" w:hint="eastAsia"/>
          <w:bCs/>
        </w:rPr>
        <w:t>（升</w:t>
      </w:r>
      <w:r>
        <w:rPr>
          <w:rFonts w:ascii="Calibri" w:hAnsi="Calibri" w:hint="eastAsia"/>
          <w:bCs/>
        </w:rPr>
        <w:t>/</w:t>
      </w:r>
      <w:r>
        <w:rPr>
          <w:rFonts w:ascii="Calibri" w:hAnsi="Calibri" w:hint="eastAsia"/>
          <w:bCs/>
        </w:rPr>
        <w:t>秒·公顷）。</w:t>
      </w:r>
    </w:p>
    <w:p w14:paraId="35339C33" w14:textId="77777777" w:rsidR="00C42CCC" w:rsidRDefault="00C42CCC" w:rsidP="00C42CCC">
      <w:pPr>
        <w:pStyle w:val="affff"/>
        <w:spacing w:line="520" w:lineRule="exact"/>
        <w:ind w:left="0" w:right="0" w:firstLineChars="200" w:firstLine="480"/>
        <w:rPr>
          <w:rFonts w:ascii="Calibri" w:hAnsi="Calibri"/>
          <w:bCs/>
        </w:rPr>
      </w:pPr>
      <w:r>
        <w:rPr>
          <w:rFonts w:ascii="Calibri" w:hAnsi="Calibri" w:hint="eastAsia"/>
          <w:bCs/>
        </w:rPr>
        <w:t>初期雨水计算公式如下：</w:t>
      </w:r>
    </w:p>
    <w:p w14:paraId="17FC2533" w14:textId="77777777" w:rsidR="00C42CCC" w:rsidRPr="00483B7E" w:rsidRDefault="00C42CCC" w:rsidP="00C42CCC">
      <w:pPr>
        <w:jc w:val="center"/>
        <w:rPr>
          <w:rFonts w:ascii="Calibri" w:hAnsi="Calibri"/>
          <w:b/>
          <w:sz w:val="24"/>
        </w:rPr>
      </w:pPr>
      <w:r w:rsidRPr="00C37BFA">
        <w:rPr>
          <w:rFonts w:ascii="Calibri" w:hAnsi="Calibri" w:hint="eastAsia"/>
          <w:bCs/>
          <w:sz w:val="24"/>
        </w:rPr>
        <w:object w:dxaOrig="1660" w:dyaOrig="619" w14:anchorId="09463F78">
          <v:shape id="对象 14" o:spid="_x0000_i1028" type="#_x0000_t75" style="width:83.4pt;height:30.6pt;mso-position-horizontal-relative:page;mso-position-vertical-relative:page" o:ole="">
            <v:imagedata r:id="rId25" o:title=""/>
          </v:shape>
          <o:OLEObject Type="Embed" ProgID="Equation.3" ShapeID="对象 14" DrawAspect="Content" ObjectID="_1725951954" r:id="rId26"/>
        </w:object>
      </w:r>
    </w:p>
    <w:p w14:paraId="3F2BD2BE" w14:textId="77777777" w:rsidR="00C42CCC" w:rsidRDefault="00C42CCC" w:rsidP="00C42CCC">
      <w:pPr>
        <w:pStyle w:val="affff"/>
        <w:spacing w:line="520" w:lineRule="exact"/>
        <w:ind w:left="0" w:right="0" w:firstLineChars="200" w:firstLine="480"/>
        <w:rPr>
          <w:rFonts w:ascii="Calibri" w:hAnsi="Calibri"/>
          <w:bCs/>
        </w:rPr>
      </w:pPr>
      <w:r>
        <w:rPr>
          <w:rFonts w:ascii="Calibri" w:hAnsi="Calibri" w:hint="eastAsia"/>
          <w:bCs/>
        </w:rPr>
        <w:t>式中：</w:t>
      </w:r>
      <w:r>
        <w:rPr>
          <w:rFonts w:ascii="Calibri" w:hAnsi="Calibri" w:hint="eastAsia"/>
          <w:bCs/>
        </w:rPr>
        <w:t>Q</w:t>
      </w:r>
      <w:r>
        <w:rPr>
          <w:rFonts w:ascii="Calibri" w:hAnsi="Calibri" w:hint="eastAsia"/>
          <w:bCs/>
        </w:rPr>
        <w:t>—初期雨水量，</w:t>
      </w:r>
      <w:r>
        <w:rPr>
          <w:rFonts w:ascii="Calibri" w:hAnsi="Calibri" w:hint="eastAsia"/>
          <w:bCs/>
        </w:rPr>
        <w:t>m</w:t>
      </w:r>
      <w:r>
        <w:rPr>
          <w:rFonts w:ascii="Calibri" w:hAnsi="Calibri" w:hint="eastAsia"/>
          <w:bCs/>
          <w:vertAlign w:val="superscript"/>
        </w:rPr>
        <w:t>3</w:t>
      </w:r>
      <w:r>
        <w:rPr>
          <w:rFonts w:ascii="Calibri" w:hAnsi="Calibri" w:hint="eastAsia"/>
          <w:bCs/>
        </w:rPr>
        <w:t>；</w:t>
      </w:r>
    </w:p>
    <w:p w14:paraId="0F40AC3A" w14:textId="77777777" w:rsidR="00C42CCC" w:rsidRDefault="00C42CCC" w:rsidP="00C42CCC">
      <w:pPr>
        <w:pStyle w:val="affff"/>
        <w:spacing w:line="520" w:lineRule="exact"/>
        <w:ind w:left="0" w:right="0" w:firstLineChars="200" w:firstLine="480"/>
        <w:rPr>
          <w:rFonts w:ascii="Calibri" w:hAnsi="Calibri"/>
          <w:bCs/>
        </w:rPr>
      </w:pPr>
      <w:r>
        <w:rPr>
          <w:rFonts w:ascii="Calibri" w:hAnsi="Calibri" w:hint="eastAsia"/>
          <w:bCs/>
        </w:rPr>
        <w:t>q</w:t>
      </w:r>
      <w:r>
        <w:rPr>
          <w:rFonts w:ascii="Calibri" w:hAnsi="Calibri" w:hint="eastAsia"/>
          <w:bCs/>
        </w:rPr>
        <w:t>—暴雨强度，</w:t>
      </w:r>
      <w:r>
        <w:rPr>
          <w:rFonts w:ascii="Calibri" w:hAnsi="Calibri" w:hint="eastAsia"/>
          <w:bCs/>
        </w:rPr>
        <w:t>236.4L/s</w:t>
      </w:r>
      <w:r>
        <w:rPr>
          <w:rFonts w:ascii="Calibri" w:hAnsi="Calibri" w:hint="eastAsia"/>
          <w:bCs/>
        </w:rPr>
        <w:t>·</w:t>
      </w:r>
      <w:r>
        <w:rPr>
          <w:rFonts w:ascii="Calibri" w:hAnsi="Calibri" w:hint="eastAsia"/>
          <w:bCs/>
        </w:rPr>
        <w:t>hm</w:t>
      </w:r>
      <w:r>
        <w:rPr>
          <w:rFonts w:ascii="Calibri" w:hAnsi="Calibri" w:hint="eastAsia"/>
          <w:bCs/>
          <w:vertAlign w:val="superscript"/>
        </w:rPr>
        <w:t>2</w:t>
      </w:r>
      <w:r>
        <w:rPr>
          <w:rFonts w:ascii="Calibri" w:hAnsi="Calibri" w:hint="eastAsia"/>
          <w:bCs/>
        </w:rPr>
        <w:t>；</w:t>
      </w:r>
    </w:p>
    <w:p w14:paraId="3F1BE172" w14:textId="77777777" w:rsidR="00C42CCC" w:rsidRDefault="00C42CCC" w:rsidP="00C42CCC">
      <w:pPr>
        <w:pStyle w:val="affff"/>
        <w:spacing w:line="520" w:lineRule="exact"/>
        <w:ind w:left="0" w:right="0" w:firstLineChars="200" w:firstLine="480"/>
        <w:rPr>
          <w:rFonts w:ascii="Calibri" w:hAnsi="Calibri"/>
          <w:bCs/>
        </w:rPr>
      </w:pPr>
      <w:r>
        <w:rPr>
          <w:rFonts w:ascii="Calibri" w:hAnsi="Calibri" w:hint="eastAsia"/>
          <w:bCs/>
        </w:rPr>
        <w:t>T</w:t>
      </w:r>
      <w:r>
        <w:rPr>
          <w:rFonts w:ascii="Calibri" w:hAnsi="Calibri" w:hint="eastAsia"/>
          <w:bCs/>
        </w:rPr>
        <w:t>—前期雨水时，</w:t>
      </w:r>
      <w:r>
        <w:rPr>
          <w:rFonts w:ascii="Calibri" w:hAnsi="Calibri" w:hint="eastAsia"/>
          <w:bCs/>
        </w:rPr>
        <w:t>900s</w:t>
      </w:r>
      <w:r>
        <w:rPr>
          <w:rFonts w:ascii="Calibri" w:hAnsi="Calibri" w:hint="eastAsia"/>
          <w:bCs/>
        </w:rPr>
        <w:t>；</w:t>
      </w:r>
    </w:p>
    <w:p w14:paraId="2BA4AAFB" w14:textId="77777777" w:rsidR="00C42CCC" w:rsidRDefault="00C42CCC" w:rsidP="00C42CCC">
      <w:pPr>
        <w:pStyle w:val="affff"/>
        <w:spacing w:line="520" w:lineRule="exact"/>
        <w:ind w:left="0" w:right="0" w:firstLineChars="200" w:firstLine="480"/>
        <w:rPr>
          <w:rFonts w:ascii="Calibri" w:hAnsi="Calibri"/>
          <w:bCs/>
        </w:rPr>
      </w:pPr>
      <w:r>
        <w:rPr>
          <w:rFonts w:ascii="Calibri" w:hAnsi="Calibri" w:hint="eastAsia"/>
          <w:bCs/>
        </w:rPr>
        <w:t>φ—径流系数，评价取</w:t>
      </w:r>
      <w:r>
        <w:rPr>
          <w:rFonts w:ascii="Calibri" w:hAnsi="Calibri" w:hint="eastAsia"/>
          <w:bCs/>
        </w:rPr>
        <w:t>0.9</w:t>
      </w:r>
      <w:r>
        <w:rPr>
          <w:rFonts w:ascii="Calibri" w:hAnsi="Calibri" w:hint="eastAsia"/>
          <w:bCs/>
        </w:rPr>
        <w:t>；</w:t>
      </w:r>
    </w:p>
    <w:p w14:paraId="67402D7B" w14:textId="77777777" w:rsidR="00C42CCC" w:rsidRPr="00C42CCC" w:rsidRDefault="00C42CCC" w:rsidP="00C42CCC">
      <w:pPr>
        <w:pStyle w:val="affff"/>
        <w:spacing w:line="520" w:lineRule="exact"/>
        <w:ind w:left="0" w:right="0" w:firstLineChars="200" w:firstLine="480"/>
        <w:rPr>
          <w:rFonts w:ascii="Calibri" w:hAnsi="Calibri"/>
          <w:bCs/>
        </w:rPr>
      </w:pPr>
      <w:r>
        <w:rPr>
          <w:rFonts w:ascii="Calibri" w:hAnsi="Calibri" w:hint="eastAsia"/>
          <w:bCs/>
        </w:rPr>
        <w:t>S</w:t>
      </w:r>
      <w:r>
        <w:rPr>
          <w:rFonts w:ascii="Calibri" w:hAnsi="Calibri" w:hint="eastAsia"/>
          <w:bCs/>
        </w:rPr>
        <w:t>—汇水面积，</w:t>
      </w:r>
      <w:r>
        <w:rPr>
          <w:rFonts w:ascii="Calibri" w:hAnsi="Calibri" w:hint="eastAsia"/>
          <w:bCs/>
        </w:rPr>
        <w:t>hm</w:t>
      </w:r>
      <w:r>
        <w:rPr>
          <w:rFonts w:ascii="Calibri" w:hAnsi="Calibri" w:hint="eastAsia"/>
          <w:bCs/>
          <w:vertAlign w:val="superscript"/>
        </w:rPr>
        <w:t>2</w:t>
      </w:r>
      <w:r>
        <w:rPr>
          <w:rFonts w:ascii="Calibri" w:hAnsi="Calibri" w:hint="eastAsia"/>
          <w:bCs/>
        </w:rPr>
        <w:t>。</w:t>
      </w:r>
    </w:p>
    <w:p w14:paraId="241DC0C5" w14:textId="299B1D6A" w:rsidR="004951F1" w:rsidRPr="00C42CCC" w:rsidRDefault="004951F1" w:rsidP="00F506FF">
      <w:pPr>
        <w:spacing w:line="520" w:lineRule="exact"/>
        <w:ind w:firstLineChars="200" w:firstLine="480"/>
        <w:rPr>
          <w:rFonts w:ascii="Calibri"/>
          <w:color w:val="auto"/>
          <w:sz w:val="24"/>
        </w:rPr>
      </w:pPr>
      <w:r w:rsidRPr="00A964FF">
        <w:rPr>
          <w:rFonts w:ascii="Calibri" w:hAnsi="Calibri"/>
          <w:color w:val="auto"/>
          <w:sz w:val="24"/>
        </w:rPr>
        <w:t>根据平顶山市城市规划设计院的资料，利用湿度饱和法，</w:t>
      </w:r>
      <w:r w:rsidRPr="00A964FF">
        <w:rPr>
          <w:rFonts w:ascii="Calibri"/>
          <w:color w:val="auto"/>
          <w:sz w:val="24"/>
        </w:rPr>
        <w:t>结合当地和厂区实际情况，厂区四周设置截水沟用于收集雨水。厂区生产区汇水面积为</w:t>
      </w:r>
      <w:r w:rsidR="00F506FF">
        <w:rPr>
          <w:rFonts w:ascii="Calibri"/>
          <w:color w:val="auto"/>
          <w:sz w:val="24"/>
        </w:rPr>
        <w:t>254</w:t>
      </w:r>
      <w:r w:rsidR="00F506FF">
        <w:rPr>
          <w:rFonts w:ascii="Calibri" w:hint="eastAsia"/>
          <w:color w:val="auto"/>
          <w:sz w:val="24"/>
        </w:rPr>
        <w:t>00</w:t>
      </w:r>
      <w:r w:rsidRPr="00A964FF">
        <w:rPr>
          <w:rFonts w:ascii="Calibri" w:hAnsi="Calibri"/>
          <w:color w:val="auto"/>
          <w:sz w:val="24"/>
        </w:rPr>
        <w:t>m</w:t>
      </w:r>
      <w:r w:rsidRPr="00A964FF">
        <w:rPr>
          <w:rFonts w:ascii="Calibri" w:hAnsi="Calibri"/>
          <w:color w:val="auto"/>
          <w:sz w:val="24"/>
          <w:vertAlign w:val="superscript"/>
        </w:rPr>
        <w:t>2</w:t>
      </w:r>
      <w:r w:rsidRPr="00A964FF">
        <w:rPr>
          <w:rFonts w:ascii="Calibri"/>
          <w:color w:val="auto"/>
          <w:sz w:val="24"/>
        </w:rPr>
        <w:t>，径流系数取</w:t>
      </w:r>
      <w:r w:rsidRPr="00A964FF">
        <w:rPr>
          <w:rFonts w:ascii="Calibri" w:hAnsi="Calibri"/>
          <w:color w:val="auto"/>
          <w:sz w:val="24"/>
        </w:rPr>
        <w:t>0.9</w:t>
      </w:r>
      <w:r w:rsidRPr="00A964FF">
        <w:rPr>
          <w:rFonts w:ascii="Calibri"/>
          <w:color w:val="auto"/>
          <w:sz w:val="24"/>
        </w:rPr>
        <w:t>，则最大暴雨强度</w:t>
      </w:r>
      <w:r w:rsidRPr="00A964FF">
        <w:rPr>
          <w:rFonts w:ascii="Calibri" w:hAnsi="Calibri"/>
          <w:color w:val="auto"/>
          <w:sz w:val="24"/>
        </w:rPr>
        <w:t>15</w:t>
      </w:r>
      <w:r w:rsidRPr="00A964FF">
        <w:rPr>
          <w:rFonts w:ascii="Calibri"/>
          <w:color w:val="auto"/>
          <w:sz w:val="24"/>
        </w:rPr>
        <w:t>分钟的初期雨水量为</w:t>
      </w:r>
      <w:r w:rsidR="00F506FF">
        <w:rPr>
          <w:rFonts w:ascii="Calibri" w:hAnsi="Calibri"/>
          <w:color w:val="auto"/>
          <w:sz w:val="24"/>
        </w:rPr>
        <w:t>486.3</w:t>
      </w:r>
      <w:r w:rsidRPr="00A964FF">
        <w:rPr>
          <w:rFonts w:ascii="Calibri" w:hAnsi="Calibri"/>
          <w:color w:val="auto"/>
          <w:sz w:val="24"/>
        </w:rPr>
        <w:t>m</w:t>
      </w:r>
      <w:r w:rsidRPr="00A964FF">
        <w:rPr>
          <w:rFonts w:ascii="Calibri" w:hAnsi="Calibri"/>
          <w:color w:val="auto"/>
          <w:sz w:val="24"/>
          <w:vertAlign w:val="superscript"/>
        </w:rPr>
        <w:t>3</w:t>
      </w:r>
      <w:r w:rsidR="00FE1A50" w:rsidRPr="00A964FF">
        <w:rPr>
          <w:rFonts w:ascii="Calibri"/>
          <w:color w:val="auto"/>
          <w:sz w:val="24"/>
        </w:rPr>
        <w:t>，主要污染物</w:t>
      </w:r>
      <w:r w:rsidRPr="00A964FF">
        <w:rPr>
          <w:rFonts w:ascii="Calibri" w:hAnsi="Calibri"/>
          <w:color w:val="auto"/>
          <w:sz w:val="24"/>
        </w:rPr>
        <w:t>COD</w:t>
      </w:r>
      <w:r w:rsidRPr="00A964FF">
        <w:rPr>
          <w:rFonts w:ascii="Calibri"/>
          <w:color w:val="auto"/>
          <w:sz w:val="24"/>
        </w:rPr>
        <w:t>浓度为</w:t>
      </w:r>
      <w:r w:rsidRPr="00A964FF">
        <w:rPr>
          <w:rFonts w:ascii="Calibri" w:hAnsi="Calibri"/>
          <w:color w:val="auto"/>
          <w:sz w:val="24"/>
        </w:rPr>
        <w:t>250</w:t>
      </w:r>
      <w:r w:rsidR="00CC55BB" w:rsidRPr="00A964FF">
        <w:rPr>
          <w:rFonts w:ascii="Calibri" w:hAnsi="Calibri"/>
          <w:color w:val="auto"/>
          <w:sz w:val="24"/>
        </w:rPr>
        <w:t>mg/L</w:t>
      </w:r>
      <w:r w:rsidRPr="00A964FF">
        <w:rPr>
          <w:rFonts w:ascii="Calibri"/>
          <w:color w:val="auto"/>
          <w:sz w:val="24"/>
        </w:rPr>
        <w:t>、</w:t>
      </w:r>
      <w:r w:rsidRPr="00A964FF">
        <w:rPr>
          <w:rFonts w:ascii="Calibri" w:hAnsi="Calibri"/>
          <w:color w:val="auto"/>
          <w:sz w:val="24"/>
        </w:rPr>
        <w:t>SS</w:t>
      </w:r>
      <w:r w:rsidRPr="00A964FF">
        <w:rPr>
          <w:rFonts w:ascii="Calibri"/>
          <w:color w:val="auto"/>
          <w:sz w:val="24"/>
        </w:rPr>
        <w:t>浓度为</w:t>
      </w:r>
      <w:r w:rsidRPr="00A964FF">
        <w:rPr>
          <w:rFonts w:ascii="Calibri" w:hAnsi="Calibri"/>
          <w:color w:val="auto"/>
          <w:sz w:val="24"/>
        </w:rPr>
        <w:t>200</w:t>
      </w:r>
      <w:r w:rsidR="00CC55BB" w:rsidRPr="00A964FF">
        <w:rPr>
          <w:rFonts w:ascii="Calibri" w:hAnsi="Calibri"/>
          <w:color w:val="auto"/>
          <w:sz w:val="24"/>
        </w:rPr>
        <w:t>mg/L</w:t>
      </w:r>
      <w:r w:rsidRPr="00A964FF">
        <w:rPr>
          <w:rFonts w:ascii="Calibri"/>
          <w:color w:val="auto"/>
          <w:sz w:val="24"/>
        </w:rPr>
        <w:t>，根据经验常数，雨水量：雨水收集池容积</w:t>
      </w:r>
      <w:r w:rsidRPr="00A964FF">
        <w:rPr>
          <w:rFonts w:ascii="Calibri" w:hAnsi="Calibri"/>
          <w:color w:val="auto"/>
          <w:sz w:val="24"/>
        </w:rPr>
        <w:t>=1</w:t>
      </w:r>
      <w:r w:rsidRPr="00A964FF">
        <w:rPr>
          <w:rFonts w:ascii="Calibri"/>
          <w:color w:val="auto"/>
          <w:sz w:val="24"/>
        </w:rPr>
        <w:t>：</w:t>
      </w:r>
      <w:r w:rsidRPr="00A964FF">
        <w:rPr>
          <w:rFonts w:ascii="Calibri" w:hAnsi="Calibri"/>
          <w:color w:val="auto"/>
          <w:sz w:val="24"/>
        </w:rPr>
        <w:t>1.</w:t>
      </w:r>
      <w:r w:rsidR="00C42CCC">
        <w:rPr>
          <w:rFonts w:ascii="Calibri" w:hAnsi="Calibri" w:hint="eastAsia"/>
          <w:color w:val="auto"/>
          <w:sz w:val="24"/>
        </w:rPr>
        <w:t>2</w:t>
      </w:r>
      <w:r w:rsidRPr="00A964FF">
        <w:rPr>
          <w:rFonts w:ascii="Calibri"/>
          <w:color w:val="auto"/>
          <w:sz w:val="24"/>
        </w:rPr>
        <w:t>，故本项目应建设</w:t>
      </w:r>
      <w:r w:rsidRPr="00A964FF">
        <w:rPr>
          <w:rFonts w:ascii="Calibri" w:hAnsi="Calibri"/>
          <w:color w:val="auto"/>
          <w:sz w:val="24"/>
        </w:rPr>
        <w:t>1</w:t>
      </w:r>
      <w:r w:rsidRPr="00A964FF">
        <w:rPr>
          <w:rFonts w:ascii="Calibri"/>
          <w:color w:val="auto"/>
          <w:sz w:val="24"/>
        </w:rPr>
        <w:t>座容积为</w:t>
      </w:r>
      <w:r w:rsidR="00114A29">
        <w:rPr>
          <w:rFonts w:ascii="Calibri" w:hAnsi="Calibri"/>
          <w:color w:val="auto"/>
          <w:sz w:val="24"/>
        </w:rPr>
        <w:t>5</w:t>
      </w:r>
      <w:r w:rsidR="0039663C">
        <w:rPr>
          <w:rFonts w:ascii="Calibri" w:hAnsi="Calibri"/>
          <w:color w:val="auto"/>
          <w:sz w:val="24"/>
        </w:rPr>
        <w:t>8</w:t>
      </w:r>
      <w:r w:rsidR="00114A29">
        <w:rPr>
          <w:rFonts w:ascii="Calibri" w:hAnsi="Calibri"/>
          <w:color w:val="auto"/>
          <w:sz w:val="24"/>
        </w:rPr>
        <w:t>0</w:t>
      </w:r>
      <w:r w:rsidRPr="00A964FF">
        <w:rPr>
          <w:rFonts w:ascii="Calibri" w:hAnsi="Calibri"/>
          <w:color w:val="auto"/>
          <w:sz w:val="24"/>
        </w:rPr>
        <w:t>m</w:t>
      </w:r>
      <w:r w:rsidRPr="00A964FF">
        <w:rPr>
          <w:rFonts w:ascii="Calibri" w:hAnsi="Calibri"/>
          <w:color w:val="auto"/>
          <w:sz w:val="24"/>
          <w:vertAlign w:val="superscript"/>
        </w:rPr>
        <w:t>3</w:t>
      </w:r>
      <w:r w:rsidRPr="00A964FF">
        <w:rPr>
          <w:rFonts w:ascii="Calibri"/>
          <w:color w:val="auto"/>
          <w:sz w:val="24"/>
        </w:rPr>
        <w:t>的初期雨水收集池，在雨水排放口设置阀门系统，下雨时，关闭雨排水阀门，将初期雨水收集至初期雨水收集池暂存，分批次排入厂区自建废水处理站进行处理；</w:t>
      </w:r>
      <w:r w:rsidRPr="00A964FF">
        <w:rPr>
          <w:rFonts w:ascii="Calibri" w:hAnsi="Calibri"/>
          <w:color w:val="auto"/>
          <w:sz w:val="24"/>
        </w:rPr>
        <w:t>15</w:t>
      </w:r>
      <w:r w:rsidRPr="00A964FF">
        <w:rPr>
          <w:rFonts w:ascii="Calibri"/>
          <w:color w:val="auto"/>
          <w:sz w:val="24"/>
        </w:rPr>
        <w:t>分钟后打开雨排水阀门，清净雨水按区域排水路径排入集聚区雨水管网。</w:t>
      </w:r>
    </w:p>
    <w:p w14:paraId="24790D6D" w14:textId="102EABD5" w:rsidR="00FE1A50" w:rsidRPr="0039663C" w:rsidRDefault="0039663C" w:rsidP="0039663C">
      <w:pPr>
        <w:pStyle w:val="ad"/>
        <w:ind w:firstLineChars="200" w:firstLine="562"/>
        <w:rPr>
          <w:rFonts w:ascii="Calibri" w:hAnsi="Calibri"/>
          <w:color w:val="auto"/>
        </w:rPr>
      </w:pPr>
      <w:r>
        <w:rPr>
          <w:rFonts w:ascii="Calibri" w:hAnsi="Calibri"/>
          <w:color w:val="auto"/>
        </w:rPr>
        <w:t>12</w:t>
      </w:r>
      <w:r>
        <w:rPr>
          <w:rFonts w:ascii="Calibri" w:hAnsi="Calibri" w:hint="eastAsia"/>
          <w:color w:val="auto"/>
        </w:rPr>
        <w:t>、</w:t>
      </w:r>
      <w:r w:rsidR="00FE1A50" w:rsidRPr="00A964FF">
        <w:rPr>
          <w:rFonts w:ascii="Calibri" w:hAnsi="Calibri" w:hint="eastAsia"/>
          <w:color w:val="auto"/>
        </w:rPr>
        <w:t>厂区水平衡图</w:t>
      </w:r>
    </w:p>
    <w:p w14:paraId="5304C97E" w14:textId="77777777" w:rsidR="005626A4" w:rsidRDefault="00FE1A50" w:rsidP="00D35887">
      <w:pPr>
        <w:spacing w:line="500" w:lineRule="exact"/>
        <w:ind w:firstLineChars="200" w:firstLine="480"/>
        <w:rPr>
          <w:rFonts w:ascii="Calibri" w:hAnsi="Calibri"/>
          <w:color w:val="auto"/>
          <w:sz w:val="24"/>
        </w:rPr>
      </w:pPr>
      <w:r w:rsidRPr="00A964FF">
        <w:rPr>
          <w:rFonts w:ascii="Calibri" w:hAnsi="Calibri" w:hint="eastAsia"/>
          <w:color w:val="auto"/>
          <w:sz w:val="24"/>
        </w:rPr>
        <w:t>本项目营运后水平衡图见图</w:t>
      </w:r>
      <w:r w:rsidR="0094458B">
        <w:rPr>
          <w:rFonts w:ascii="Calibri" w:hAnsi="Calibri" w:hint="eastAsia"/>
          <w:color w:val="auto"/>
          <w:sz w:val="24"/>
        </w:rPr>
        <w:t>2.3-5</w:t>
      </w:r>
      <w:r w:rsidR="00C2742E">
        <w:rPr>
          <w:rFonts w:ascii="Calibri" w:hAnsi="Calibri" w:hint="eastAsia"/>
          <w:color w:val="auto"/>
          <w:sz w:val="24"/>
        </w:rPr>
        <w:t>、</w:t>
      </w:r>
      <w:r w:rsidR="00C2742E">
        <w:rPr>
          <w:rFonts w:ascii="Calibri" w:hAnsi="Calibri" w:hint="eastAsia"/>
          <w:color w:val="auto"/>
          <w:sz w:val="24"/>
        </w:rPr>
        <w:t>2.3-</w:t>
      </w:r>
      <w:r w:rsidR="00C2742E">
        <w:rPr>
          <w:rFonts w:ascii="Calibri" w:hAnsi="Calibri"/>
          <w:color w:val="auto"/>
          <w:sz w:val="24"/>
        </w:rPr>
        <w:t>6</w:t>
      </w:r>
      <w:r w:rsidR="00C2742E">
        <w:rPr>
          <w:rFonts w:ascii="Calibri" w:hAnsi="Calibri" w:hint="eastAsia"/>
          <w:color w:val="auto"/>
          <w:sz w:val="24"/>
        </w:rPr>
        <w:t>及</w:t>
      </w:r>
      <w:r w:rsidR="00C2742E">
        <w:rPr>
          <w:rFonts w:ascii="Calibri" w:hAnsi="Calibri" w:hint="eastAsia"/>
          <w:color w:val="auto"/>
          <w:sz w:val="24"/>
        </w:rPr>
        <w:t>2.3-7</w:t>
      </w:r>
      <w:r w:rsidR="0023135B" w:rsidRPr="00A964FF">
        <w:rPr>
          <w:rFonts w:ascii="Calibri" w:hAnsi="Calibri" w:hint="eastAsia"/>
          <w:color w:val="auto"/>
          <w:sz w:val="24"/>
        </w:rPr>
        <w:t>。</w:t>
      </w:r>
    </w:p>
    <w:p w14:paraId="79B2B7C5" w14:textId="77777777" w:rsidR="00114A29" w:rsidRPr="00C2742E" w:rsidRDefault="00114A29" w:rsidP="00D35887">
      <w:pPr>
        <w:spacing w:line="500" w:lineRule="exact"/>
        <w:ind w:firstLineChars="200" w:firstLine="480"/>
        <w:rPr>
          <w:rFonts w:ascii="Calibri" w:hAnsi="Calibri"/>
          <w:color w:val="auto"/>
          <w:sz w:val="24"/>
        </w:rPr>
      </w:pPr>
    </w:p>
    <w:p w14:paraId="5840E7F7" w14:textId="77777777" w:rsidR="00114A29" w:rsidRPr="00C2742E" w:rsidRDefault="00114A29" w:rsidP="00D35887">
      <w:pPr>
        <w:spacing w:line="500" w:lineRule="exact"/>
        <w:ind w:firstLineChars="200" w:firstLine="480"/>
        <w:rPr>
          <w:rFonts w:ascii="Calibri" w:hAnsi="Calibri"/>
          <w:color w:val="auto"/>
          <w:sz w:val="24"/>
        </w:rPr>
      </w:pPr>
    </w:p>
    <w:p w14:paraId="4D0FE20B" w14:textId="77777777" w:rsidR="00114A29" w:rsidRDefault="00114A29" w:rsidP="00D35887">
      <w:pPr>
        <w:spacing w:line="500" w:lineRule="exact"/>
        <w:ind w:firstLineChars="200" w:firstLine="480"/>
        <w:rPr>
          <w:rFonts w:ascii="Calibri" w:hAnsi="Calibri"/>
          <w:color w:val="auto"/>
          <w:sz w:val="24"/>
        </w:rPr>
      </w:pPr>
    </w:p>
    <w:p w14:paraId="755FAEBD" w14:textId="77777777" w:rsidR="00C2742E" w:rsidRPr="00BF4432" w:rsidRDefault="00DA77EB" w:rsidP="00525F21">
      <w:pPr>
        <w:spacing w:line="500" w:lineRule="exact"/>
        <w:ind w:firstLineChars="100" w:firstLine="241"/>
        <w:rPr>
          <w:rFonts w:ascii="Calibri" w:hAnsi="Calibri"/>
          <w:b/>
          <w:color w:val="auto"/>
          <w:sz w:val="24"/>
          <w:u w:val="single"/>
        </w:rPr>
      </w:pPr>
      <w:r w:rsidRPr="00BF4432">
        <w:rPr>
          <w:rFonts w:ascii="Calibri" w:eastAsia="黑体" w:hAnsi="Calibri"/>
          <w:b/>
          <w:noProof/>
          <w:color w:val="auto"/>
          <w:sz w:val="24"/>
          <w:u w:val="single"/>
        </w:rPr>
        <w:lastRenderedPageBreak/>
        <mc:AlternateContent>
          <mc:Choice Requires="wpc">
            <w:drawing>
              <wp:anchor distT="0" distB="0" distL="114300" distR="114300" simplePos="0" relativeHeight="253623808" behindDoc="0" locked="0" layoutInCell="1" allowOverlap="1" wp14:anchorId="66FD97D6" wp14:editId="19FF51C0">
                <wp:simplePos x="0" y="0"/>
                <wp:positionH relativeFrom="column">
                  <wp:posOffset>-200660</wp:posOffset>
                </wp:positionH>
                <wp:positionV relativeFrom="paragraph">
                  <wp:posOffset>0</wp:posOffset>
                </wp:positionV>
                <wp:extent cx="5909310" cy="6948805"/>
                <wp:effectExtent l="0" t="0" r="15240" b="0"/>
                <wp:wrapTopAndBottom/>
                <wp:docPr id="37815" name="画布 378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54" name="Text Box 11126"/>
                        <wps:cNvSpPr txBox="1">
                          <a:spLocks noChangeArrowheads="1"/>
                        </wps:cNvSpPr>
                        <wps:spPr bwMode="auto">
                          <a:xfrm>
                            <a:off x="730885" y="1018540"/>
                            <a:ext cx="89979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E71C29" w14:textId="77777777" w:rsidR="00217891" w:rsidRPr="003E5463" w:rsidRDefault="00217891" w:rsidP="00C2742E">
                              <w:pPr>
                                <w:jc w:val="center"/>
                              </w:pPr>
                              <w:r>
                                <w:rPr>
                                  <w:rFonts w:hint="eastAsia"/>
                                </w:rPr>
                                <w:t>纯水制备站</w:t>
                              </w:r>
                            </w:p>
                          </w:txbxContent>
                        </wps:txbx>
                        <wps:bodyPr rot="0" vert="horz" wrap="square" lIns="91440" tIns="45720" rIns="91440" bIns="45720" anchor="t" anchorCtr="0" upright="1">
                          <a:noAutofit/>
                        </wps:bodyPr>
                      </wps:wsp>
                      <wps:wsp>
                        <wps:cNvPr id="36555" name="Text Box 11127"/>
                        <wps:cNvSpPr txBox="1">
                          <a:spLocks noChangeArrowheads="1"/>
                        </wps:cNvSpPr>
                        <wps:spPr bwMode="auto">
                          <a:xfrm>
                            <a:off x="137160" y="94043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E5F20" w14:textId="77777777" w:rsidR="00217891" w:rsidRPr="000E0606" w:rsidRDefault="00217891" w:rsidP="00C2742E">
                              <w:pPr>
                                <w:jc w:val="center"/>
                                <w:rPr>
                                  <w:rFonts w:ascii="Calibri" w:hAnsi="Calibri"/>
                                </w:rPr>
                              </w:pPr>
                              <w:r>
                                <w:rPr>
                                  <w:rFonts w:ascii="Calibri" w:hAnsi="Calibri"/>
                                </w:rPr>
                                <w:t>7.61</w:t>
                              </w:r>
                            </w:p>
                          </w:txbxContent>
                        </wps:txbx>
                        <wps:bodyPr rot="0" vert="horz" wrap="square" lIns="91440" tIns="45720" rIns="91440" bIns="45720" anchor="t" anchorCtr="0" upright="1">
                          <a:noAutofit/>
                        </wps:bodyPr>
                      </wps:wsp>
                      <wps:wsp>
                        <wps:cNvPr id="36558" name="Text Box 11129"/>
                        <wps:cNvSpPr txBox="1">
                          <a:spLocks noChangeArrowheads="1"/>
                        </wps:cNvSpPr>
                        <wps:spPr bwMode="auto">
                          <a:xfrm>
                            <a:off x="2106930" y="1042670"/>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2C84C6" w14:textId="77777777" w:rsidR="00217891" w:rsidRPr="003E5463" w:rsidRDefault="00217891" w:rsidP="00C2742E">
                              <w:pPr>
                                <w:jc w:val="center"/>
                              </w:pPr>
                              <w:r>
                                <w:rPr>
                                  <w:rFonts w:ascii="Calibri" w:hAnsi="Calibri" w:hint="eastAsia"/>
                                  <w:snapToGrid w:val="0"/>
                                  <w:szCs w:val="21"/>
                                </w:rPr>
                                <w:t>纯水</w:t>
                              </w:r>
                            </w:p>
                          </w:txbxContent>
                        </wps:txbx>
                        <wps:bodyPr rot="0" vert="horz" wrap="square" lIns="91440" tIns="45720" rIns="91440" bIns="45720" anchor="t" anchorCtr="0" upright="1">
                          <a:noAutofit/>
                        </wps:bodyPr>
                      </wps:wsp>
                      <wps:wsp>
                        <wps:cNvPr id="36559" name="AutoShape 11130"/>
                        <wps:cNvCnPr>
                          <a:cxnSpLocks noChangeShapeType="1"/>
                        </wps:cNvCnPr>
                        <wps:spPr bwMode="auto">
                          <a:xfrm flipH="1">
                            <a:off x="199391" y="388620"/>
                            <a:ext cx="36829" cy="545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60" name="AutoShape 11131"/>
                        <wps:cNvCnPr>
                          <a:cxnSpLocks noChangeShapeType="1"/>
                        </wps:cNvCnPr>
                        <wps:spPr bwMode="auto">
                          <a:xfrm flipH="1">
                            <a:off x="114936" y="381000"/>
                            <a:ext cx="45084" cy="5482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61" name="AutoShape 11132"/>
                        <wps:cNvCnPr>
                          <a:cxnSpLocks noChangeShapeType="1"/>
                        </wps:cNvCnPr>
                        <wps:spPr bwMode="auto">
                          <a:xfrm>
                            <a:off x="214630" y="402463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62" name="Text Box 11133"/>
                        <wps:cNvSpPr txBox="1">
                          <a:spLocks noChangeArrowheads="1"/>
                        </wps:cNvSpPr>
                        <wps:spPr bwMode="auto">
                          <a:xfrm>
                            <a:off x="699135" y="3868420"/>
                            <a:ext cx="882650" cy="33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93F74A" w14:textId="77777777" w:rsidR="00217891" w:rsidRPr="003E5463" w:rsidRDefault="00217891" w:rsidP="00C2742E">
                              <w:pPr>
                                <w:jc w:val="center"/>
                              </w:pPr>
                              <w:r>
                                <w:rPr>
                                  <w:rFonts w:hint="eastAsia"/>
                                </w:rPr>
                                <w:t>水喷淋</w:t>
                              </w:r>
                              <w:r>
                                <w:t>塔</w:t>
                              </w:r>
                            </w:p>
                          </w:txbxContent>
                        </wps:txbx>
                        <wps:bodyPr rot="0" vert="horz" wrap="square" lIns="91440" tIns="45720" rIns="91440" bIns="45720" anchor="t" anchorCtr="0" upright="1">
                          <a:noAutofit/>
                        </wps:bodyPr>
                      </wps:wsp>
                      <wps:wsp>
                        <wps:cNvPr id="36563" name="AutoShape 11134"/>
                        <wps:cNvCnPr>
                          <a:cxnSpLocks noChangeShapeType="1"/>
                        </wps:cNvCnPr>
                        <wps:spPr bwMode="auto">
                          <a:xfrm>
                            <a:off x="1581785" y="401828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64" name="AutoShape 11135"/>
                        <wps:cNvCnPr>
                          <a:cxnSpLocks noChangeShapeType="1"/>
                        </wps:cNvCnPr>
                        <wps:spPr bwMode="auto">
                          <a:xfrm>
                            <a:off x="213995" y="500189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65" name="Text Box 11136"/>
                        <wps:cNvSpPr txBox="1">
                          <a:spLocks noChangeArrowheads="1"/>
                        </wps:cNvSpPr>
                        <wps:spPr bwMode="auto">
                          <a:xfrm>
                            <a:off x="685800" y="4879340"/>
                            <a:ext cx="88265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1454C" w14:textId="77777777" w:rsidR="00217891" w:rsidRPr="003E5463" w:rsidRDefault="00217891" w:rsidP="00C2742E">
                              <w:pPr>
                                <w:jc w:val="center"/>
                              </w:pPr>
                              <w:r>
                                <w:rPr>
                                  <w:rFonts w:hint="eastAsia"/>
                                </w:rPr>
                                <w:t>地面冲洗</w:t>
                              </w:r>
                            </w:p>
                          </w:txbxContent>
                        </wps:txbx>
                        <wps:bodyPr rot="0" vert="horz" wrap="square" lIns="91440" tIns="45720" rIns="91440" bIns="45720" anchor="t" anchorCtr="0" upright="1">
                          <a:noAutofit/>
                        </wps:bodyPr>
                      </wps:wsp>
                      <wps:wsp>
                        <wps:cNvPr id="36566" name="AutoShape 11137"/>
                        <wps:cNvCnPr>
                          <a:cxnSpLocks noChangeShapeType="1"/>
                        </wps:cNvCnPr>
                        <wps:spPr bwMode="auto">
                          <a:xfrm flipV="1">
                            <a:off x="1099820" y="4619625"/>
                            <a:ext cx="635" cy="2482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567" name="AutoShape 11138"/>
                        <wps:cNvCnPr>
                          <a:cxnSpLocks noChangeShapeType="1"/>
                        </wps:cNvCnPr>
                        <wps:spPr bwMode="auto">
                          <a:xfrm>
                            <a:off x="1566545" y="500253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68" name="AutoShape 11139"/>
                        <wps:cNvCnPr>
                          <a:cxnSpLocks noChangeShapeType="1"/>
                        </wps:cNvCnPr>
                        <wps:spPr bwMode="auto">
                          <a:xfrm>
                            <a:off x="5749290" y="323215"/>
                            <a:ext cx="21590" cy="5675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69" name="Text Box 11140"/>
                        <wps:cNvSpPr txBox="1">
                          <a:spLocks noChangeArrowheads="1"/>
                        </wps:cNvSpPr>
                        <wps:spPr bwMode="auto">
                          <a:xfrm>
                            <a:off x="4198620" y="5998845"/>
                            <a:ext cx="1710690" cy="258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2BB33B" w14:textId="7F6DF5B8" w:rsidR="00217891" w:rsidRPr="000E0606" w:rsidRDefault="00217891" w:rsidP="00C2742E">
                              <w:pPr>
                                <w:jc w:val="center"/>
                                <w:rPr>
                                  <w:rFonts w:ascii="Calibri" w:hAnsi="Calibri"/>
                                </w:rPr>
                              </w:pPr>
                              <w:r w:rsidRPr="000E0606">
                                <w:rPr>
                                  <w:rFonts w:ascii="Calibri"/>
                                </w:rPr>
                                <w:t>厂区废水处理站（</w:t>
                              </w:r>
                              <w:r>
                                <w:rPr>
                                  <w:rFonts w:ascii="Calibri" w:hAnsi="Calibri"/>
                                </w:rPr>
                                <w:t>40.123</w:t>
                              </w:r>
                              <w:r w:rsidRPr="000E0606">
                                <w:rPr>
                                  <w:rFonts w:ascii="Calibri"/>
                                </w:rPr>
                                <w:t>）</w:t>
                              </w:r>
                            </w:p>
                          </w:txbxContent>
                        </wps:txbx>
                        <wps:bodyPr rot="0" vert="horz" wrap="square" lIns="18000" tIns="45720" rIns="18000" bIns="45720" anchor="t" anchorCtr="0" upright="1">
                          <a:noAutofit/>
                        </wps:bodyPr>
                      </wps:wsp>
                      <wps:wsp>
                        <wps:cNvPr id="36570" name="AutoShape 11141"/>
                        <wps:cNvCnPr>
                          <a:cxnSpLocks noChangeShapeType="1"/>
                        </wps:cNvCnPr>
                        <wps:spPr bwMode="auto">
                          <a:xfrm flipV="1">
                            <a:off x="5178425" y="6280150"/>
                            <a:ext cx="635"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71" name="AutoShape 11142"/>
                        <wps:cNvCnPr>
                          <a:cxnSpLocks noChangeShapeType="1"/>
                        </wps:cNvCnPr>
                        <wps:spPr bwMode="auto">
                          <a:xfrm flipH="1">
                            <a:off x="3288030" y="6152515"/>
                            <a:ext cx="101854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6572" name="Text Box 11143"/>
                        <wps:cNvSpPr txBox="1">
                          <a:spLocks noChangeArrowheads="1"/>
                        </wps:cNvSpPr>
                        <wps:spPr bwMode="auto">
                          <a:xfrm>
                            <a:off x="5080" y="203835"/>
                            <a:ext cx="11747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631C" w14:textId="12950019" w:rsidR="00217891" w:rsidRPr="000E0606" w:rsidRDefault="00217891" w:rsidP="00C2742E">
                              <w:pPr>
                                <w:jc w:val="left"/>
                                <w:rPr>
                                  <w:rFonts w:ascii="Calibri" w:hAnsi="Calibri"/>
                                </w:rPr>
                              </w:pPr>
                              <w:r w:rsidRPr="000E0606">
                                <w:rPr>
                                  <w:rFonts w:ascii="Calibri" w:hAnsi="Calibri" w:hint="eastAsia"/>
                                </w:rPr>
                                <w:t>新鲜水：</w:t>
                              </w:r>
                              <w:r>
                                <w:rPr>
                                  <w:rFonts w:ascii="Calibri" w:hAnsi="Calibri"/>
                                </w:rPr>
                                <w:t>42.18</w:t>
                              </w:r>
                            </w:p>
                          </w:txbxContent>
                        </wps:txbx>
                        <wps:bodyPr rot="0" vert="horz" wrap="square" lIns="91440" tIns="45720" rIns="91440" bIns="45720" anchor="t" anchorCtr="0" upright="1">
                          <a:noAutofit/>
                        </wps:bodyPr>
                      </wps:wsp>
                      <wps:wsp>
                        <wps:cNvPr id="36573" name="AutoShape 11144"/>
                        <wps:cNvCnPr>
                          <a:cxnSpLocks noChangeShapeType="1"/>
                        </wps:cNvCnPr>
                        <wps:spPr bwMode="auto">
                          <a:xfrm>
                            <a:off x="236220" y="112903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74" name="AutoShape 11145"/>
                        <wps:cNvCnPr>
                          <a:cxnSpLocks noChangeShapeType="1"/>
                        </wps:cNvCnPr>
                        <wps:spPr bwMode="auto">
                          <a:xfrm>
                            <a:off x="1621790" y="116776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75" name="AutoShape 11146"/>
                        <wps:cNvCnPr>
                          <a:cxnSpLocks noChangeShapeType="1"/>
                        </wps:cNvCnPr>
                        <wps:spPr bwMode="auto">
                          <a:xfrm>
                            <a:off x="3006090" y="117602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 name="AutoShape 11147"/>
                        <wps:cNvCnPr>
                          <a:cxnSpLocks noChangeShapeType="1"/>
                        </wps:cNvCnPr>
                        <wps:spPr bwMode="auto">
                          <a:xfrm>
                            <a:off x="3446145" y="95504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4" name="Text Box 11148"/>
                        <wps:cNvSpPr txBox="1">
                          <a:spLocks noChangeArrowheads="1"/>
                        </wps:cNvSpPr>
                        <wps:spPr bwMode="auto">
                          <a:xfrm>
                            <a:off x="3919855" y="833120"/>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B26E2" w14:textId="77777777" w:rsidR="00217891" w:rsidRPr="003E5463" w:rsidRDefault="00217891" w:rsidP="00C2742E">
                              <w:pPr>
                                <w:jc w:val="center"/>
                              </w:pPr>
                              <w:r>
                                <w:rPr>
                                  <w:rFonts w:ascii="Calibri" w:hAnsi="Calibri" w:hint="eastAsia"/>
                                  <w:snapToGrid w:val="0"/>
                                  <w:szCs w:val="21"/>
                                </w:rPr>
                                <w:t>制粒冷却</w:t>
                              </w:r>
                            </w:p>
                          </w:txbxContent>
                        </wps:txbx>
                        <wps:bodyPr rot="0" vert="horz" wrap="square" lIns="91440" tIns="45720" rIns="91440" bIns="45720" anchor="t" anchorCtr="0" upright="1">
                          <a:noAutofit/>
                        </wps:bodyPr>
                      </wps:wsp>
                      <wps:wsp>
                        <wps:cNvPr id="37136" name="AutoShape 11149"/>
                        <wps:cNvCnPr>
                          <a:cxnSpLocks noChangeShapeType="1"/>
                        </wps:cNvCnPr>
                        <wps:spPr bwMode="auto">
                          <a:xfrm>
                            <a:off x="3446145" y="157162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37" name="Text Box 11150"/>
                        <wps:cNvSpPr txBox="1">
                          <a:spLocks noChangeArrowheads="1"/>
                        </wps:cNvSpPr>
                        <wps:spPr bwMode="auto">
                          <a:xfrm>
                            <a:off x="3919855" y="1442720"/>
                            <a:ext cx="102933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B14D" w14:textId="77777777" w:rsidR="00217891" w:rsidRPr="003E5463" w:rsidRDefault="00217891" w:rsidP="00C2742E">
                              <w:r>
                                <w:rPr>
                                  <w:rFonts w:ascii="Calibri" w:hAnsi="Calibri" w:hint="eastAsia"/>
                                  <w:snapToGrid w:val="0"/>
                                  <w:szCs w:val="21"/>
                                </w:rPr>
                                <w:t>真空机</w:t>
                              </w:r>
                              <w:r>
                                <w:rPr>
                                  <w:rFonts w:ascii="Calibri" w:hAnsi="Calibri"/>
                                  <w:snapToGrid w:val="0"/>
                                  <w:szCs w:val="21"/>
                                </w:rPr>
                                <w:t>循环泵</w:t>
                              </w:r>
                            </w:p>
                          </w:txbxContent>
                        </wps:txbx>
                        <wps:bodyPr rot="0" vert="horz" wrap="square" lIns="91440" tIns="45720" rIns="91440" bIns="45720" anchor="t" anchorCtr="0" upright="1">
                          <a:noAutofit/>
                        </wps:bodyPr>
                      </wps:wsp>
                      <wps:wsp>
                        <wps:cNvPr id="37138" name="AutoShape 11151"/>
                        <wps:cNvCnPr>
                          <a:cxnSpLocks noChangeShapeType="1"/>
                        </wps:cNvCnPr>
                        <wps:spPr bwMode="auto">
                          <a:xfrm>
                            <a:off x="3446145" y="220408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39" name="Text Box 11152"/>
                        <wps:cNvSpPr txBox="1">
                          <a:spLocks noChangeArrowheads="1"/>
                        </wps:cNvSpPr>
                        <wps:spPr bwMode="auto">
                          <a:xfrm>
                            <a:off x="3919855" y="2082800"/>
                            <a:ext cx="102933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CE2B8" w14:textId="77777777" w:rsidR="00217891" w:rsidRPr="003E5463" w:rsidRDefault="00217891" w:rsidP="00C2742E">
                              <w:r>
                                <w:rPr>
                                  <w:rFonts w:ascii="Calibri" w:hAnsi="Calibri" w:hint="eastAsia"/>
                                  <w:snapToGrid w:val="0"/>
                                  <w:szCs w:val="21"/>
                                </w:rPr>
                                <w:t>冷却循环</w:t>
                              </w:r>
                              <w:r>
                                <w:rPr>
                                  <w:rFonts w:ascii="Calibri" w:hAnsi="Calibri"/>
                                  <w:snapToGrid w:val="0"/>
                                  <w:szCs w:val="21"/>
                                </w:rPr>
                                <w:t>水站</w:t>
                              </w:r>
                            </w:p>
                          </w:txbxContent>
                        </wps:txbx>
                        <wps:bodyPr rot="0" vert="horz" wrap="square" lIns="91440" tIns="45720" rIns="91440" bIns="45720" anchor="t" anchorCtr="0" upright="1">
                          <a:noAutofit/>
                        </wps:bodyPr>
                      </wps:wsp>
                      <wps:wsp>
                        <wps:cNvPr id="37140" name="AutoShape 11153"/>
                        <wps:cNvCnPr>
                          <a:cxnSpLocks noChangeShapeType="1"/>
                        </wps:cNvCnPr>
                        <wps:spPr bwMode="auto">
                          <a:xfrm flipH="1">
                            <a:off x="4396740" y="2357755"/>
                            <a:ext cx="3810" cy="4870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141" name="AutoShape 11154"/>
                        <wps:cNvCnPr>
                          <a:cxnSpLocks noChangeShapeType="1"/>
                        </wps:cNvCnPr>
                        <wps:spPr bwMode="auto">
                          <a:xfrm flipH="1">
                            <a:off x="3277235" y="2837180"/>
                            <a:ext cx="111442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44" name="AutoShape 11157"/>
                        <wps:cNvCnPr>
                          <a:cxnSpLocks noChangeShapeType="1"/>
                        </wps:cNvCnPr>
                        <wps:spPr bwMode="auto">
                          <a:xfrm>
                            <a:off x="3287395" y="2846070"/>
                            <a:ext cx="635" cy="267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45" name="AutoShape 11158"/>
                        <wps:cNvCnPr>
                          <a:cxnSpLocks noChangeShapeType="1"/>
                        </wps:cNvCnPr>
                        <wps:spPr bwMode="auto">
                          <a:xfrm>
                            <a:off x="4829810" y="955675"/>
                            <a:ext cx="919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46" name="AutoShape 11159"/>
                        <wps:cNvCnPr>
                          <a:cxnSpLocks noChangeShapeType="1"/>
                        </wps:cNvCnPr>
                        <wps:spPr bwMode="auto">
                          <a:xfrm>
                            <a:off x="4966335" y="1558925"/>
                            <a:ext cx="820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47" name="AutoShape 11160"/>
                        <wps:cNvCnPr>
                          <a:cxnSpLocks noChangeShapeType="1"/>
                        </wps:cNvCnPr>
                        <wps:spPr bwMode="auto">
                          <a:xfrm>
                            <a:off x="4966335" y="3319145"/>
                            <a:ext cx="820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48" name="Text Box 11161"/>
                        <wps:cNvSpPr txBox="1">
                          <a:spLocks noChangeArrowheads="1"/>
                        </wps:cNvSpPr>
                        <wps:spPr bwMode="auto">
                          <a:xfrm>
                            <a:off x="3919855" y="3097530"/>
                            <a:ext cx="102933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8D19A2" w14:textId="77777777" w:rsidR="00217891" w:rsidRPr="003E5463" w:rsidRDefault="00217891" w:rsidP="00C2742E">
                              <w:r>
                                <w:rPr>
                                  <w:rFonts w:ascii="Calibri" w:hAnsi="Calibri" w:hint="eastAsia"/>
                                  <w:snapToGrid w:val="0"/>
                                  <w:szCs w:val="21"/>
                                </w:rPr>
                                <w:t>原料带入</w:t>
                              </w:r>
                              <w:r>
                                <w:rPr>
                                  <w:rFonts w:ascii="Calibri" w:hAnsi="Calibri"/>
                                  <w:snapToGrid w:val="0"/>
                                  <w:szCs w:val="21"/>
                                </w:rPr>
                                <w:t>及聚合生成水</w:t>
                              </w:r>
                            </w:p>
                          </w:txbxContent>
                        </wps:txbx>
                        <wps:bodyPr rot="0" vert="horz" wrap="square" lIns="91440" tIns="45720" rIns="91440" bIns="45720" anchor="t" anchorCtr="0" upright="1">
                          <a:noAutofit/>
                        </wps:bodyPr>
                      </wps:wsp>
                      <wps:wsp>
                        <wps:cNvPr id="37150" name="Text Box 11162"/>
                        <wps:cNvSpPr txBox="1">
                          <a:spLocks noChangeArrowheads="1"/>
                        </wps:cNvSpPr>
                        <wps:spPr bwMode="auto">
                          <a:xfrm>
                            <a:off x="1021080" y="4542155"/>
                            <a:ext cx="9290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A490" w14:textId="0CA8AF25"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2.63</w:t>
                              </w:r>
                            </w:p>
                          </w:txbxContent>
                        </wps:txbx>
                        <wps:bodyPr rot="0" vert="horz" wrap="square" lIns="91440" tIns="45720" rIns="91440" bIns="45720" anchor="t" anchorCtr="0" upright="1">
                          <a:noAutofit/>
                        </wps:bodyPr>
                      </wps:wsp>
                      <wps:wsp>
                        <wps:cNvPr id="37151" name="AutoShape 11163"/>
                        <wps:cNvCnPr>
                          <a:cxnSpLocks noChangeShapeType="1"/>
                        </wps:cNvCnPr>
                        <wps:spPr bwMode="auto">
                          <a:xfrm>
                            <a:off x="213995" y="584009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92" name="Text Box 11164"/>
                        <wps:cNvSpPr txBox="1">
                          <a:spLocks noChangeArrowheads="1"/>
                        </wps:cNvSpPr>
                        <wps:spPr bwMode="auto">
                          <a:xfrm>
                            <a:off x="701040" y="5703570"/>
                            <a:ext cx="88265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873414" w14:textId="77777777" w:rsidR="00217891" w:rsidRPr="003E5463" w:rsidRDefault="00217891" w:rsidP="00C2742E">
                              <w:pPr>
                                <w:jc w:val="center"/>
                              </w:pPr>
                              <w:r>
                                <w:rPr>
                                  <w:rFonts w:hint="eastAsia"/>
                                </w:rPr>
                                <w:t>职工生活</w:t>
                              </w:r>
                            </w:p>
                          </w:txbxContent>
                        </wps:txbx>
                        <wps:bodyPr rot="0" vert="horz" wrap="square" lIns="91440" tIns="45720" rIns="91440" bIns="45720" anchor="t" anchorCtr="0" upright="1">
                          <a:noAutofit/>
                        </wps:bodyPr>
                      </wps:wsp>
                      <wps:wsp>
                        <wps:cNvPr id="37793" name="AutoShape 11165"/>
                        <wps:cNvCnPr>
                          <a:cxnSpLocks noChangeShapeType="1"/>
                        </wps:cNvCnPr>
                        <wps:spPr bwMode="auto">
                          <a:xfrm>
                            <a:off x="1566545" y="583946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94" name="AutoShape 11166"/>
                        <wps:cNvCnPr>
                          <a:cxnSpLocks noChangeShapeType="1"/>
                        </wps:cNvCnPr>
                        <wps:spPr bwMode="auto">
                          <a:xfrm flipV="1">
                            <a:off x="1102995" y="5427980"/>
                            <a:ext cx="635" cy="2482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795" name="Text Box 11167"/>
                        <wps:cNvSpPr txBox="1">
                          <a:spLocks noChangeArrowheads="1"/>
                        </wps:cNvSpPr>
                        <wps:spPr bwMode="auto">
                          <a:xfrm>
                            <a:off x="1036320" y="5427980"/>
                            <a:ext cx="9290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E2BA" w14:textId="77777777"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1.44</w:t>
                              </w:r>
                            </w:p>
                          </w:txbxContent>
                        </wps:txbx>
                        <wps:bodyPr rot="0" vert="horz" wrap="square" lIns="91440" tIns="45720" rIns="91440" bIns="45720" anchor="t" anchorCtr="0" upright="1">
                          <a:noAutofit/>
                        </wps:bodyPr>
                      </wps:wsp>
                      <wps:wsp>
                        <wps:cNvPr id="37796" name="Text Box 11168"/>
                        <wps:cNvSpPr txBox="1">
                          <a:spLocks noChangeArrowheads="1"/>
                        </wps:cNvSpPr>
                        <wps:spPr bwMode="auto">
                          <a:xfrm>
                            <a:off x="2713355" y="5551170"/>
                            <a:ext cx="13843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D1B03" w14:textId="404597B5" w:rsidR="00217891" w:rsidRPr="000E0606" w:rsidRDefault="00217891" w:rsidP="00C2742E">
                              <w:pPr>
                                <w:jc w:val="center"/>
                                <w:rPr>
                                  <w:rFonts w:ascii="Calibri" w:hAnsi="Calibri"/>
                                  <w:color w:val="0033CC"/>
                                </w:rPr>
                              </w:pPr>
                              <w:r w:rsidRPr="000E0606">
                                <w:rPr>
                                  <w:rFonts w:ascii="Calibri" w:hAnsi="Calibri" w:hint="eastAsia"/>
                                  <w:color w:val="0033CC"/>
                                </w:rPr>
                                <w:t>总排放口（</w:t>
                              </w:r>
                              <w:r>
                                <w:rPr>
                                  <w:rFonts w:ascii="Calibri" w:hAnsi="Calibri"/>
                                  <w:color w:val="0033CC"/>
                                </w:rPr>
                                <w:t>42.421</w:t>
                              </w:r>
                              <w:r w:rsidRPr="000E0606">
                                <w:rPr>
                                  <w:rFonts w:ascii="Calibri" w:hAnsi="Calibri" w:hint="eastAsia"/>
                                  <w:color w:val="0033CC"/>
                                </w:rPr>
                                <w:t>）</w:t>
                              </w:r>
                            </w:p>
                          </w:txbxContent>
                        </wps:txbx>
                        <wps:bodyPr rot="0" vert="horz" wrap="square" lIns="91440" tIns="45720" rIns="91440" bIns="45720" anchor="t" anchorCtr="0" upright="1">
                          <a:noAutofit/>
                        </wps:bodyPr>
                      </wps:wsp>
                      <wps:wsp>
                        <wps:cNvPr id="37797" name="AutoShape 11169"/>
                        <wps:cNvCnPr>
                          <a:cxnSpLocks noChangeShapeType="1"/>
                        </wps:cNvCnPr>
                        <wps:spPr bwMode="auto">
                          <a:xfrm>
                            <a:off x="2051050" y="3989070"/>
                            <a:ext cx="635" cy="26746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799" name="AutoShape 11171"/>
                        <wps:cNvCnPr>
                          <a:cxnSpLocks noChangeShapeType="1"/>
                        </wps:cNvCnPr>
                        <wps:spPr bwMode="auto">
                          <a:xfrm flipV="1">
                            <a:off x="3277235" y="5768975"/>
                            <a:ext cx="635"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00" name="Text Box 11172"/>
                        <wps:cNvSpPr txBox="1">
                          <a:spLocks noChangeArrowheads="1"/>
                        </wps:cNvSpPr>
                        <wps:spPr bwMode="auto">
                          <a:xfrm>
                            <a:off x="1545590" y="96837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B6F49" w14:textId="77777777" w:rsidR="00217891" w:rsidRPr="000E0606" w:rsidRDefault="00217891" w:rsidP="00C2742E">
                              <w:pPr>
                                <w:jc w:val="center"/>
                                <w:rPr>
                                  <w:rFonts w:ascii="Calibri" w:hAnsi="Calibri"/>
                                </w:rPr>
                              </w:pPr>
                              <w:r>
                                <w:rPr>
                                  <w:rFonts w:ascii="Calibri" w:hAnsi="Calibri"/>
                                </w:rPr>
                                <w:t>5.33</w:t>
                              </w:r>
                            </w:p>
                          </w:txbxContent>
                        </wps:txbx>
                        <wps:bodyPr rot="0" vert="horz" wrap="square" lIns="91440" tIns="45720" rIns="91440" bIns="45720" anchor="t" anchorCtr="0" upright="1">
                          <a:noAutofit/>
                        </wps:bodyPr>
                      </wps:wsp>
                      <wps:wsp>
                        <wps:cNvPr id="37801" name="Text Box 11173"/>
                        <wps:cNvSpPr txBox="1">
                          <a:spLocks noChangeArrowheads="1"/>
                        </wps:cNvSpPr>
                        <wps:spPr bwMode="auto">
                          <a:xfrm>
                            <a:off x="1179830" y="2637155"/>
                            <a:ext cx="817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7C44" w14:textId="77777777" w:rsidR="00217891" w:rsidRPr="000E0606" w:rsidRDefault="00217891" w:rsidP="00C2742E">
                              <w:pPr>
                                <w:jc w:val="center"/>
                                <w:rPr>
                                  <w:rFonts w:ascii="Calibri" w:hAnsi="Calibri"/>
                                </w:rPr>
                              </w:pPr>
                              <w:r>
                                <w:rPr>
                                  <w:rFonts w:ascii="Calibri" w:hAnsi="Calibri" w:hint="eastAsia"/>
                                </w:rPr>
                                <w:t>浓水</w:t>
                              </w:r>
                              <w:r>
                                <w:rPr>
                                  <w:rFonts w:ascii="Calibri" w:hAnsi="Calibri"/>
                                </w:rPr>
                                <w:t>2.28</w:t>
                              </w:r>
                            </w:p>
                          </w:txbxContent>
                        </wps:txbx>
                        <wps:bodyPr rot="0" vert="horz" wrap="square" lIns="91440" tIns="45720" rIns="91440" bIns="45720" anchor="t" anchorCtr="0" upright="1">
                          <a:noAutofit/>
                        </wps:bodyPr>
                      </wps:wsp>
                      <wps:wsp>
                        <wps:cNvPr id="37802" name="Text Box 11174"/>
                        <wps:cNvSpPr txBox="1">
                          <a:spLocks noChangeArrowheads="1"/>
                        </wps:cNvSpPr>
                        <wps:spPr bwMode="auto">
                          <a:xfrm>
                            <a:off x="2909570" y="96139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2CDB" w14:textId="77777777" w:rsidR="00217891" w:rsidRPr="000E0606" w:rsidRDefault="00217891" w:rsidP="00C2742E">
                              <w:pPr>
                                <w:jc w:val="center"/>
                                <w:rPr>
                                  <w:rFonts w:ascii="Calibri" w:hAnsi="Calibri"/>
                                </w:rPr>
                              </w:pPr>
                              <w:r>
                                <w:rPr>
                                  <w:rFonts w:ascii="Calibri" w:hAnsi="Calibri"/>
                                </w:rPr>
                                <w:t>5.33</w:t>
                              </w:r>
                            </w:p>
                          </w:txbxContent>
                        </wps:txbx>
                        <wps:bodyPr rot="0" vert="horz" wrap="square" lIns="91440" tIns="45720" rIns="91440" bIns="45720" anchor="t" anchorCtr="0" upright="1">
                          <a:noAutofit/>
                        </wps:bodyPr>
                      </wps:wsp>
                      <wps:wsp>
                        <wps:cNvPr id="37803" name="Text Box 11175"/>
                        <wps:cNvSpPr txBox="1">
                          <a:spLocks noChangeArrowheads="1"/>
                        </wps:cNvSpPr>
                        <wps:spPr bwMode="auto">
                          <a:xfrm>
                            <a:off x="3404870" y="132651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55784" w14:textId="77777777" w:rsidR="00217891" w:rsidRPr="000E0606" w:rsidRDefault="00217891" w:rsidP="00C2742E">
                              <w:pPr>
                                <w:jc w:val="center"/>
                                <w:rPr>
                                  <w:rFonts w:ascii="Calibri" w:hAnsi="Calibri"/>
                                </w:rPr>
                              </w:pPr>
                              <w:r>
                                <w:rPr>
                                  <w:rFonts w:ascii="Calibri" w:hAnsi="Calibri"/>
                                </w:rPr>
                                <w:t>3.72</w:t>
                              </w:r>
                            </w:p>
                          </w:txbxContent>
                        </wps:txbx>
                        <wps:bodyPr rot="0" vert="horz" wrap="square" lIns="91440" tIns="45720" rIns="91440" bIns="45720" anchor="t" anchorCtr="0" upright="1">
                          <a:noAutofit/>
                        </wps:bodyPr>
                      </wps:wsp>
                      <wps:wsp>
                        <wps:cNvPr id="37804" name="Text Box 11176"/>
                        <wps:cNvSpPr txBox="1">
                          <a:spLocks noChangeArrowheads="1"/>
                        </wps:cNvSpPr>
                        <wps:spPr bwMode="auto">
                          <a:xfrm>
                            <a:off x="3404870" y="198183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9236" w14:textId="77777777" w:rsidR="00217891" w:rsidRPr="000E0606" w:rsidRDefault="00217891" w:rsidP="00C2742E">
                              <w:pPr>
                                <w:jc w:val="center"/>
                                <w:rPr>
                                  <w:rFonts w:ascii="Calibri" w:hAnsi="Calibri"/>
                                </w:rPr>
                              </w:pPr>
                              <w:r>
                                <w:rPr>
                                  <w:rFonts w:ascii="Calibri" w:hAnsi="Calibri"/>
                                </w:rPr>
                                <w:t>0.18</w:t>
                              </w:r>
                            </w:p>
                          </w:txbxContent>
                        </wps:txbx>
                        <wps:bodyPr rot="0" vert="horz" wrap="square" lIns="91440" tIns="45720" rIns="91440" bIns="45720" anchor="t" anchorCtr="0" upright="1">
                          <a:noAutofit/>
                        </wps:bodyPr>
                      </wps:wsp>
                      <wps:wsp>
                        <wps:cNvPr id="37805" name="Text Box 11177"/>
                        <wps:cNvSpPr txBox="1">
                          <a:spLocks noChangeArrowheads="1"/>
                        </wps:cNvSpPr>
                        <wps:spPr bwMode="auto">
                          <a:xfrm>
                            <a:off x="5020310" y="305879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B5C7" w14:textId="6B05F5AC" w:rsidR="00217891" w:rsidRPr="000E0606" w:rsidRDefault="00217891" w:rsidP="00C2742E">
                              <w:pPr>
                                <w:jc w:val="center"/>
                                <w:rPr>
                                  <w:rFonts w:ascii="Calibri" w:hAnsi="Calibri"/>
                                </w:rPr>
                              </w:pPr>
                              <w:r>
                                <w:rPr>
                                  <w:rFonts w:ascii="Calibri" w:hAnsi="Calibri"/>
                                </w:rPr>
                                <w:t>3.68</w:t>
                              </w:r>
                            </w:p>
                          </w:txbxContent>
                        </wps:txbx>
                        <wps:bodyPr rot="0" vert="horz" wrap="square" lIns="91440" tIns="45720" rIns="91440" bIns="45720" anchor="t" anchorCtr="0" upright="1">
                          <a:noAutofit/>
                        </wps:bodyPr>
                      </wps:wsp>
                      <wps:wsp>
                        <wps:cNvPr id="37806" name="Text Box 11178"/>
                        <wps:cNvSpPr txBox="1">
                          <a:spLocks noChangeArrowheads="1"/>
                        </wps:cNvSpPr>
                        <wps:spPr bwMode="auto">
                          <a:xfrm>
                            <a:off x="5005070" y="130365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8B4D" w14:textId="77777777" w:rsidR="00217891" w:rsidRPr="000E0606" w:rsidRDefault="00217891" w:rsidP="00C2742E">
                              <w:pPr>
                                <w:jc w:val="center"/>
                                <w:rPr>
                                  <w:rFonts w:ascii="Calibri" w:hAnsi="Calibri"/>
                                </w:rPr>
                              </w:pPr>
                              <w:r>
                                <w:rPr>
                                  <w:rFonts w:ascii="Calibri" w:hAnsi="Calibri"/>
                                </w:rPr>
                                <w:t>3.72</w:t>
                              </w:r>
                            </w:p>
                          </w:txbxContent>
                        </wps:txbx>
                        <wps:bodyPr rot="0" vert="horz" wrap="square" lIns="91440" tIns="45720" rIns="91440" bIns="45720" anchor="t" anchorCtr="0" upright="1">
                          <a:noAutofit/>
                        </wps:bodyPr>
                      </wps:wsp>
                      <wps:wsp>
                        <wps:cNvPr id="37807" name="Text Box 11179"/>
                        <wps:cNvSpPr txBox="1">
                          <a:spLocks noChangeArrowheads="1"/>
                        </wps:cNvSpPr>
                        <wps:spPr bwMode="auto">
                          <a:xfrm>
                            <a:off x="3549650" y="262509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4E04A" w14:textId="77777777" w:rsidR="00217891" w:rsidRPr="000E0606" w:rsidRDefault="00217891" w:rsidP="00C2742E">
                              <w:pPr>
                                <w:jc w:val="center"/>
                                <w:rPr>
                                  <w:rFonts w:ascii="Calibri" w:hAnsi="Calibri"/>
                                </w:rPr>
                              </w:pPr>
                              <w:r>
                                <w:rPr>
                                  <w:rFonts w:ascii="Calibri" w:hAnsi="Calibri"/>
                                </w:rPr>
                                <w:t>0.018</w:t>
                              </w:r>
                            </w:p>
                          </w:txbxContent>
                        </wps:txbx>
                        <wps:bodyPr rot="0" vert="horz" wrap="square" lIns="91440" tIns="45720" rIns="91440" bIns="45720" anchor="t" anchorCtr="0" upright="1">
                          <a:noAutofit/>
                        </wps:bodyPr>
                      </wps:wsp>
                      <wps:wsp>
                        <wps:cNvPr id="37808" name="Text Box 11180"/>
                        <wps:cNvSpPr txBox="1">
                          <a:spLocks noChangeArrowheads="1"/>
                        </wps:cNvSpPr>
                        <wps:spPr bwMode="auto">
                          <a:xfrm>
                            <a:off x="173990" y="378460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3B79" w14:textId="77777777" w:rsidR="00217891" w:rsidRPr="000E0606" w:rsidRDefault="00217891" w:rsidP="00C2742E">
                              <w:pPr>
                                <w:jc w:val="center"/>
                                <w:rPr>
                                  <w:rFonts w:ascii="Calibri" w:hAnsi="Calibri"/>
                                </w:rPr>
                              </w:pPr>
                              <w:r>
                                <w:rPr>
                                  <w:rFonts w:ascii="Calibri" w:hAnsi="Calibri"/>
                                </w:rPr>
                                <w:t>1.01</w:t>
                              </w:r>
                            </w:p>
                          </w:txbxContent>
                        </wps:txbx>
                        <wps:bodyPr rot="0" vert="horz" wrap="square" lIns="91440" tIns="45720" rIns="91440" bIns="45720" anchor="t" anchorCtr="0" upright="1">
                          <a:noAutofit/>
                        </wps:bodyPr>
                      </wps:wsp>
                      <wps:wsp>
                        <wps:cNvPr id="37809" name="Text Box 11181"/>
                        <wps:cNvSpPr txBox="1">
                          <a:spLocks noChangeArrowheads="1"/>
                        </wps:cNvSpPr>
                        <wps:spPr bwMode="auto">
                          <a:xfrm>
                            <a:off x="181610" y="476758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641F" w14:textId="16CC530F" w:rsidR="00217891" w:rsidRPr="000E0606" w:rsidRDefault="00217891" w:rsidP="00C2742E">
                              <w:pPr>
                                <w:jc w:val="center"/>
                                <w:rPr>
                                  <w:rFonts w:ascii="Calibri" w:hAnsi="Calibri"/>
                                </w:rPr>
                              </w:pPr>
                              <w:r>
                                <w:rPr>
                                  <w:rFonts w:ascii="Calibri" w:hAnsi="Calibri"/>
                                </w:rPr>
                                <w:t>26.36</w:t>
                              </w:r>
                            </w:p>
                          </w:txbxContent>
                        </wps:txbx>
                        <wps:bodyPr rot="0" vert="horz" wrap="square" lIns="91440" tIns="45720" rIns="91440" bIns="45720" anchor="t" anchorCtr="0" upright="1">
                          <a:noAutofit/>
                        </wps:bodyPr>
                      </wps:wsp>
                      <wps:wsp>
                        <wps:cNvPr id="37810" name="Text Box 11182"/>
                        <wps:cNvSpPr txBox="1">
                          <a:spLocks noChangeArrowheads="1"/>
                        </wps:cNvSpPr>
                        <wps:spPr bwMode="auto">
                          <a:xfrm>
                            <a:off x="114935" y="557911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AFDA" w14:textId="77777777" w:rsidR="00217891" w:rsidRPr="000E0606" w:rsidRDefault="00217891" w:rsidP="00C2742E">
                              <w:pPr>
                                <w:jc w:val="center"/>
                                <w:rPr>
                                  <w:rFonts w:ascii="Calibri" w:hAnsi="Calibri"/>
                                </w:rPr>
                              </w:pPr>
                              <w:r>
                                <w:rPr>
                                  <w:rFonts w:ascii="Calibri" w:hAnsi="Calibri"/>
                                </w:rPr>
                                <w:t>7.20</w:t>
                              </w:r>
                            </w:p>
                          </w:txbxContent>
                        </wps:txbx>
                        <wps:bodyPr rot="0" vert="horz" wrap="square" lIns="91440" tIns="45720" rIns="91440" bIns="45720" anchor="t" anchorCtr="0" upright="1">
                          <a:noAutofit/>
                        </wps:bodyPr>
                      </wps:wsp>
                      <wps:wsp>
                        <wps:cNvPr id="37811" name="Text Box 11183"/>
                        <wps:cNvSpPr txBox="1">
                          <a:spLocks noChangeArrowheads="1"/>
                        </wps:cNvSpPr>
                        <wps:spPr bwMode="auto">
                          <a:xfrm>
                            <a:off x="1509395" y="377571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AAF6" w14:textId="0DF73F83" w:rsidR="00217891" w:rsidRPr="000E0606" w:rsidRDefault="00217891" w:rsidP="00C2742E">
                              <w:pPr>
                                <w:jc w:val="center"/>
                                <w:rPr>
                                  <w:rFonts w:ascii="Calibri" w:hAnsi="Calibri"/>
                                </w:rPr>
                              </w:pPr>
                              <w:r>
                                <w:rPr>
                                  <w:rFonts w:ascii="Calibri" w:hAnsi="Calibri"/>
                                </w:rPr>
                                <w:t>2.29</w:t>
                              </w:r>
                            </w:p>
                          </w:txbxContent>
                        </wps:txbx>
                        <wps:bodyPr rot="0" vert="horz" wrap="square" lIns="91440" tIns="45720" rIns="91440" bIns="45720" anchor="t" anchorCtr="0" upright="1">
                          <a:noAutofit/>
                        </wps:bodyPr>
                      </wps:wsp>
                      <wps:wsp>
                        <wps:cNvPr id="37812" name="Text Box 11184"/>
                        <wps:cNvSpPr txBox="1">
                          <a:spLocks noChangeArrowheads="1"/>
                        </wps:cNvSpPr>
                        <wps:spPr bwMode="auto">
                          <a:xfrm>
                            <a:off x="1517015" y="476758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4F34" w14:textId="79391657" w:rsidR="00217891" w:rsidRPr="000E0606" w:rsidRDefault="00217891" w:rsidP="00C2742E">
                              <w:pPr>
                                <w:jc w:val="center"/>
                                <w:rPr>
                                  <w:rFonts w:ascii="Calibri" w:hAnsi="Calibri"/>
                                </w:rPr>
                              </w:pPr>
                              <w:r>
                                <w:rPr>
                                  <w:rFonts w:ascii="Calibri" w:hAnsi="Calibri"/>
                                </w:rPr>
                                <w:t>23.73</w:t>
                              </w:r>
                            </w:p>
                          </w:txbxContent>
                        </wps:txbx>
                        <wps:bodyPr rot="0" vert="horz" wrap="square" lIns="91440" tIns="45720" rIns="91440" bIns="45720" anchor="t" anchorCtr="0" upright="1">
                          <a:noAutofit/>
                        </wps:bodyPr>
                      </wps:wsp>
                      <wps:wsp>
                        <wps:cNvPr id="37813" name="Text Box 11185"/>
                        <wps:cNvSpPr txBox="1">
                          <a:spLocks noChangeArrowheads="1"/>
                        </wps:cNvSpPr>
                        <wps:spPr bwMode="auto">
                          <a:xfrm>
                            <a:off x="1517015" y="564261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9D36" w14:textId="77777777" w:rsidR="00217891" w:rsidRPr="000E0606" w:rsidRDefault="00217891" w:rsidP="00C2742E">
                              <w:pPr>
                                <w:jc w:val="center"/>
                                <w:rPr>
                                  <w:rFonts w:ascii="Calibri" w:hAnsi="Calibri"/>
                                </w:rPr>
                              </w:pPr>
                              <w:r>
                                <w:rPr>
                                  <w:rFonts w:ascii="Calibri" w:hAnsi="Calibri"/>
                                </w:rPr>
                                <w:t>5.76</w:t>
                              </w:r>
                            </w:p>
                          </w:txbxContent>
                        </wps:txbx>
                        <wps:bodyPr rot="0" vert="horz" wrap="square" lIns="91440" tIns="45720" rIns="91440" bIns="45720" anchor="t" anchorCtr="0" upright="1">
                          <a:noAutofit/>
                        </wps:bodyPr>
                      </wps:wsp>
                      <wps:wsp>
                        <wps:cNvPr id="37814" name="Text Box 11186"/>
                        <wps:cNvSpPr txBox="1">
                          <a:spLocks noChangeArrowheads="1"/>
                        </wps:cNvSpPr>
                        <wps:spPr bwMode="auto">
                          <a:xfrm>
                            <a:off x="3183890" y="644017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75CD" w14:textId="77777777" w:rsidR="00217891" w:rsidRPr="000E0606" w:rsidRDefault="00217891" w:rsidP="00C2742E">
                              <w:pPr>
                                <w:jc w:val="center"/>
                                <w:rPr>
                                  <w:rFonts w:ascii="Calibri" w:hAnsi="Calibri"/>
                                </w:rPr>
                              </w:pPr>
                              <w:r>
                                <w:rPr>
                                  <w:rFonts w:ascii="Calibri" w:hAnsi="Calibri"/>
                                </w:rPr>
                                <w:t>17.01</w:t>
                              </w:r>
                            </w:p>
                          </w:txbxContent>
                        </wps:txbx>
                        <wps:bodyPr rot="0" vert="horz" wrap="square" lIns="91440" tIns="45720" rIns="91440" bIns="45720" anchor="t" anchorCtr="0" upright="1">
                          <a:noAutofit/>
                        </wps:bodyPr>
                      </wps:wsp>
                      <wps:wsp>
                        <wps:cNvPr id="751" name="AutoShape 11147"/>
                        <wps:cNvCnPr>
                          <a:cxnSpLocks noChangeShapeType="1"/>
                        </wps:cNvCnPr>
                        <wps:spPr bwMode="auto">
                          <a:xfrm>
                            <a:off x="3435351" y="30734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Text Box 11148"/>
                        <wps:cNvSpPr txBox="1">
                          <a:spLocks noChangeArrowheads="1"/>
                        </wps:cNvSpPr>
                        <wps:spPr bwMode="auto">
                          <a:xfrm>
                            <a:off x="3920491" y="193040"/>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95BAF7" w14:textId="77777777" w:rsidR="00217891" w:rsidRPr="003E5463" w:rsidRDefault="00217891" w:rsidP="00DA77EB">
                              <w:r>
                                <w:rPr>
                                  <w:rFonts w:ascii="Calibri" w:hAnsi="Calibri" w:hint="eastAsia"/>
                                  <w:snapToGrid w:val="0"/>
                                  <w:szCs w:val="21"/>
                                </w:rPr>
                                <w:t>实验</w:t>
                              </w:r>
                              <w:r>
                                <w:rPr>
                                  <w:rFonts w:ascii="Calibri" w:hAnsi="Calibri"/>
                                  <w:snapToGrid w:val="0"/>
                                  <w:szCs w:val="21"/>
                                </w:rPr>
                                <w:t>废水</w:t>
                              </w:r>
                            </w:p>
                          </w:txbxContent>
                        </wps:txbx>
                        <wps:bodyPr rot="0" vert="horz" wrap="square" lIns="91440" tIns="45720" rIns="91440" bIns="45720" anchor="t" anchorCtr="0" upright="1">
                          <a:noAutofit/>
                        </wps:bodyPr>
                      </wps:wsp>
                      <wps:wsp>
                        <wps:cNvPr id="753" name="AutoShape 11158"/>
                        <wps:cNvCnPr>
                          <a:cxnSpLocks noChangeShapeType="1"/>
                        </wps:cNvCnPr>
                        <wps:spPr bwMode="auto">
                          <a:xfrm>
                            <a:off x="4819015" y="323215"/>
                            <a:ext cx="919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Text Box 11175"/>
                        <wps:cNvSpPr txBox="1">
                          <a:spLocks noChangeArrowheads="1"/>
                        </wps:cNvSpPr>
                        <wps:spPr bwMode="auto">
                          <a:xfrm>
                            <a:off x="3481070" y="76327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1F622" w14:textId="77777777" w:rsidR="00217891" w:rsidRPr="000E0606" w:rsidRDefault="00217891" w:rsidP="00DA77EB">
                              <w:pPr>
                                <w:rPr>
                                  <w:rFonts w:ascii="Calibri" w:hAnsi="Calibri"/>
                                </w:rPr>
                              </w:pPr>
                              <w:r>
                                <w:rPr>
                                  <w:rFonts w:ascii="Calibri" w:hAnsi="Calibri"/>
                                </w:rPr>
                                <w:t>0.43</w:t>
                              </w:r>
                            </w:p>
                          </w:txbxContent>
                        </wps:txbx>
                        <wps:bodyPr rot="0" vert="horz" wrap="square" lIns="91440" tIns="45720" rIns="91440" bIns="45720" anchor="t" anchorCtr="0" upright="1">
                          <a:noAutofit/>
                        </wps:bodyPr>
                      </wps:wsp>
                      <wps:wsp>
                        <wps:cNvPr id="755" name="Text Box 11175"/>
                        <wps:cNvSpPr txBox="1">
                          <a:spLocks noChangeArrowheads="1"/>
                        </wps:cNvSpPr>
                        <wps:spPr bwMode="auto">
                          <a:xfrm>
                            <a:off x="4921250" y="74295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DAFB3" w14:textId="77777777" w:rsidR="00217891" w:rsidRPr="000E0606" w:rsidRDefault="00217891" w:rsidP="00DA77EB">
                              <w:pPr>
                                <w:rPr>
                                  <w:rFonts w:ascii="Calibri" w:hAnsi="Calibri"/>
                                </w:rPr>
                              </w:pPr>
                              <w:r>
                                <w:rPr>
                                  <w:rFonts w:ascii="Calibri" w:hAnsi="Calibri"/>
                                </w:rPr>
                                <w:t>0.043</w:t>
                              </w:r>
                            </w:p>
                          </w:txbxContent>
                        </wps:txbx>
                        <wps:bodyPr rot="0" vert="horz" wrap="square" lIns="91440" tIns="45720" rIns="91440" bIns="45720" anchor="t" anchorCtr="0" upright="1">
                          <a:noAutofit/>
                        </wps:bodyPr>
                      </wps:wsp>
                      <wps:wsp>
                        <wps:cNvPr id="756" name="Text Box 11175"/>
                        <wps:cNvSpPr txBox="1">
                          <a:spLocks noChangeArrowheads="1"/>
                        </wps:cNvSpPr>
                        <wps:spPr bwMode="auto">
                          <a:xfrm>
                            <a:off x="3435351" y="6286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460C" w14:textId="77777777" w:rsidR="00217891" w:rsidRPr="000E0606" w:rsidRDefault="00217891" w:rsidP="008F7B7A">
                              <w:pPr>
                                <w:ind w:firstLineChars="50" w:firstLine="105"/>
                                <w:rPr>
                                  <w:rFonts w:ascii="Calibri" w:hAnsi="Calibri"/>
                                </w:rPr>
                              </w:pPr>
                              <w:r>
                                <w:rPr>
                                  <w:rFonts w:ascii="Calibri" w:hAnsi="Calibri"/>
                                </w:rPr>
                                <w:t>1</w:t>
                              </w:r>
                            </w:p>
                          </w:txbxContent>
                        </wps:txbx>
                        <wps:bodyPr rot="0" vert="horz" wrap="square" lIns="91440" tIns="45720" rIns="91440" bIns="45720" anchor="t" anchorCtr="0" upright="1">
                          <a:noAutofit/>
                        </wps:bodyPr>
                      </wps:wsp>
                      <wps:wsp>
                        <wps:cNvPr id="757" name="Text Box 11175"/>
                        <wps:cNvSpPr txBox="1">
                          <a:spLocks noChangeArrowheads="1"/>
                        </wps:cNvSpPr>
                        <wps:spPr bwMode="auto">
                          <a:xfrm>
                            <a:off x="4921250" y="10160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7918" w14:textId="77777777" w:rsidR="00217891" w:rsidRPr="000E0606" w:rsidRDefault="00217891" w:rsidP="008F7B7A">
                              <w:pPr>
                                <w:ind w:firstLineChars="50" w:firstLine="105"/>
                                <w:rPr>
                                  <w:rFonts w:ascii="Calibri" w:hAnsi="Calibri"/>
                                </w:rPr>
                              </w:pPr>
                              <w:r>
                                <w:rPr>
                                  <w:rFonts w:ascii="Calibri" w:hAnsi="Calibri"/>
                                </w:rPr>
                                <w:t>0.9</w:t>
                              </w:r>
                            </w:p>
                          </w:txbxContent>
                        </wps:txbx>
                        <wps:bodyPr rot="0" vert="horz" wrap="square" lIns="91440" tIns="45720" rIns="91440" bIns="45720" anchor="t" anchorCtr="0" upright="1">
                          <a:noAutofit/>
                        </wps:bodyPr>
                      </wps:wsp>
                      <wps:wsp>
                        <wps:cNvPr id="27146" name="直接连接符 27146"/>
                        <wps:cNvCnPr/>
                        <wps:spPr>
                          <a:xfrm>
                            <a:off x="1096010" y="1295400"/>
                            <a:ext cx="0" cy="1572260"/>
                          </a:xfrm>
                          <a:prstGeom prst="line">
                            <a:avLst/>
                          </a:prstGeom>
                        </wps:spPr>
                        <wps:style>
                          <a:lnRef idx="1">
                            <a:schemeClr val="dk1"/>
                          </a:lnRef>
                          <a:fillRef idx="0">
                            <a:schemeClr val="dk1"/>
                          </a:fillRef>
                          <a:effectRef idx="0">
                            <a:schemeClr val="dk1"/>
                          </a:effectRef>
                          <a:fontRef idx="minor">
                            <a:schemeClr val="tx1"/>
                          </a:fontRef>
                        </wps:style>
                        <wps:bodyPr/>
                      </wps:wsp>
                      <wps:wsp>
                        <wps:cNvPr id="27148" name="直接连接符 27148"/>
                        <wps:cNvCnPr/>
                        <wps:spPr>
                          <a:xfrm>
                            <a:off x="1103630" y="2857500"/>
                            <a:ext cx="2183765"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7151" name="直接连接符 27151"/>
                        <wps:cNvCnPr/>
                        <wps:spPr>
                          <a:xfrm>
                            <a:off x="3435351" y="323215"/>
                            <a:ext cx="0" cy="1901825"/>
                          </a:xfrm>
                          <a:prstGeom prst="line">
                            <a:avLst/>
                          </a:prstGeom>
                        </wps:spPr>
                        <wps:style>
                          <a:lnRef idx="1">
                            <a:schemeClr val="dk1"/>
                          </a:lnRef>
                          <a:fillRef idx="0">
                            <a:schemeClr val="dk1"/>
                          </a:fillRef>
                          <a:effectRef idx="0">
                            <a:schemeClr val="dk1"/>
                          </a:effectRef>
                          <a:fontRef idx="minor">
                            <a:schemeClr val="tx1"/>
                          </a:fontRef>
                        </wps:style>
                        <wps:bodyPr/>
                      </wps:wsp>
                      <wps:wsp>
                        <wps:cNvPr id="27157" name="直接连接符 27157"/>
                        <wps:cNvCnPr/>
                        <wps:spPr>
                          <a:xfrm>
                            <a:off x="2051685" y="6663690"/>
                            <a:ext cx="3129915" cy="0"/>
                          </a:xfrm>
                          <a:prstGeom prst="line">
                            <a:avLst/>
                          </a:prstGeom>
                        </wps:spPr>
                        <wps:style>
                          <a:lnRef idx="1">
                            <a:schemeClr val="dk1"/>
                          </a:lnRef>
                          <a:fillRef idx="0">
                            <a:schemeClr val="dk1"/>
                          </a:fillRef>
                          <a:effectRef idx="0">
                            <a:schemeClr val="dk1"/>
                          </a:effectRef>
                          <a:fontRef idx="minor">
                            <a:schemeClr val="tx1"/>
                          </a:fontRef>
                        </wps:style>
                        <wps:bodyPr/>
                      </wps:wsp>
                      <wps:wsp>
                        <wps:cNvPr id="27553" name="直接箭头连接符 27553"/>
                        <wps:cNvCnPr/>
                        <wps:spPr>
                          <a:xfrm>
                            <a:off x="1127760" y="3403600"/>
                            <a:ext cx="0" cy="46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3" name="Text Box 11183"/>
                        <wps:cNvSpPr txBox="1">
                          <a:spLocks noChangeArrowheads="1"/>
                        </wps:cNvSpPr>
                        <wps:spPr bwMode="auto">
                          <a:xfrm>
                            <a:off x="922655" y="3482340"/>
                            <a:ext cx="17138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D51C" w14:textId="25484567" w:rsidR="00217891" w:rsidRPr="000E0606" w:rsidRDefault="00217891" w:rsidP="00DF7568">
                              <w:pPr>
                                <w:ind w:firstLineChars="50" w:firstLine="105"/>
                                <w:rPr>
                                  <w:rFonts w:ascii="Calibri" w:hAnsi="Calibri"/>
                                </w:rPr>
                              </w:pPr>
                              <w:r>
                                <w:rPr>
                                  <w:rFonts w:ascii="Calibri" w:hAnsi="Calibri" w:hint="eastAsia"/>
                                </w:rPr>
                                <w:t>聚合不凝气带入</w:t>
                              </w:r>
                              <w:r>
                                <w:rPr>
                                  <w:rFonts w:ascii="Calibri" w:hAnsi="Calibri"/>
                                </w:rPr>
                                <w:t>1.28</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FD97D6" id="画布 37815" o:spid="_x0000_s1310" editas="canvas" style="position:absolute;left:0;text-align:left;margin-left:-15.8pt;margin-top:0;width:465.3pt;height:547.15pt;z-index:253623808" coordsize="59093,6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">
                <v:shape id="_x0000_s1311" type="#_x0000_t75" style="position:absolute;width:59093;height:69488;visibility:visible;mso-wrap-style:square">
                  <v:fill o:detectmouseclick="t"/>
                  <v:path o:connecttype="none"/>
                </v:shape>
                <v:shape id="Text Box 11126" o:spid="_x0000_s1312" type="#_x0000_t202" style="position:absolute;left:7308;top:10185;width:899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" filled="f">
                  <v:textbox>
                    <w:txbxContent>
                      <w:p w14:paraId="5DE71C29" w14:textId="77777777" w:rsidR="00217891" w:rsidRPr="003E5463" w:rsidRDefault="00217891" w:rsidP="00C2742E">
                        <w:pPr>
                          <w:jc w:val="center"/>
                        </w:pPr>
                        <w:r>
                          <w:rPr>
                            <w:rFonts w:hint="eastAsia"/>
                          </w:rPr>
                          <w:t>纯水制备站</w:t>
                        </w:r>
                      </w:p>
                    </w:txbxContent>
                  </v:textbox>
                </v:shape>
                <v:shape id="Text Box 11127" o:spid="_x0000_s1313" type="#_x0000_t202" style="position:absolute;left:1371;top:9404;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" filled="f" stroked="f">
                  <v:textbox>
                    <w:txbxContent>
                      <w:p w14:paraId="03BE5F20" w14:textId="77777777" w:rsidR="00217891" w:rsidRPr="000E0606" w:rsidRDefault="00217891" w:rsidP="00C2742E">
                        <w:pPr>
                          <w:jc w:val="center"/>
                          <w:rPr>
                            <w:rFonts w:ascii="Calibri" w:hAnsi="Calibri"/>
                          </w:rPr>
                        </w:pPr>
                        <w:r>
                          <w:rPr>
                            <w:rFonts w:ascii="Calibri" w:hAnsi="Calibri"/>
                          </w:rPr>
                          <w:t>7.61</w:t>
                        </w:r>
                      </w:p>
                    </w:txbxContent>
                  </v:textbox>
                </v:shape>
                <v:shape id="Text Box 11129" o:spid="_x0000_s1314" type="#_x0000_t202" style="position:absolute;left:21069;top:10426;width:899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" filled="f">
                  <v:textbox>
                    <w:txbxContent>
                      <w:p w14:paraId="652C84C6" w14:textId="77777777" w:rsidR="00217891" w:rsidRPr="003E5463" w:rsidRDefault="00217891" w:rsidP="00C2742E">
                        <w:pPr>
                          <w:jc w:val="center"/>
                        </w:pPr>
                        <w:r>
                          <w:rPr>
                            <w:rFonts w:ascii="Calibri" w:hAnsi="Calibri" w:hint="eastAsia"/>
                            <w:snapToGrid w:val="0"/>
                            <w:szCs w:val="21"/>
                          </w:rPr>
                          <w:t>纯水</w:t>
                        </w:r>
                      </w:p>
                    </w:txbxContent>
                  </v:textbox>
                </v:shape>
                <v:shape id="AutoShape 11130" o:spid="_x0000_s1315" type="#_x0000_t32" style="position:absolute;left:1993;top:3886;width:369;height:54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"/>
                <v:shape id="AutoShape 11131" o:spid="_x0000_s1316" type="#_x0000_t32" style="position:absolute;left:1149;top:3810;width:451;height:548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"/>
                <v:shape id="AutoShape 11132" o:spid="_x0000_s1317" type="#_x0000_t32" style="position:absolute;left:2146;top:40246;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">
                  <v:stroke endarrow="block"/>
                </v:shape>
                <v:shape id="Text Box 11133" o:spid="_x0000_s1318" type="#_x0000_t202" style="position:absolute;left:6991;top:38684;width:882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" filled="f">
                  <v:textbox>
                    <w:txbxContent>
                      <w:p w14:paraId="1493F74A" w14:textId="77777777" w:rsidR="00217891" w:rsidRPr="003E5463" w:rsidRDefault="00217891" w:rsidP="00C2742E">
                        <w:pPr>
                          <w:jc w:val="center"/>
                        </w:pPr>
                        <w:r>
                          <w:rPr>
                            <w:rFonts w:hint="eastAsia"/>
                          </w:rPr>
                          <w:t>水喷淋</w:t>
                        </w:r>
                        <w:r>
                          <w:t>塔</w:t>
                        </w:r>
                      </w:p>
                    </w:txbxContent>
                  </v:textbox>
                </v:shape>
                <v:shape id="AutoShape 11134" o:spid="_x0000_s1319" type="#_x0000_t32" style="position:absolute;left:15817;top:40182;width:48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">
                  <v:stroke endarrow="block"/>
                </v:shape>
                <v:shape id="AutoShape 11135" o:spid="_x0000_s1320" type="#_x0000_t32" style="position:absolute;left:2139;top:50018;width:48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">
                  <v:stroke endarrow="block"/>
                </v:shape>
                <v:shape id="Text Box 11136" o:spid="_x0000_s1321" type="#_x0000_t202" style="position:absolute;left:6858;top:48793;width:882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" filled="f">
                  <v:textbox>
                    <w:txbxContent>
                      <w:p w14:paraId="2CA1454C" w14:textId="77777777" w:rsidR="00217891" w:rsidRPr="003E5463" w:rsidRDefault="00217891" w:rsidP="00C2742E">
                        <w:pPr>
                          <w:jc w:val="center"/>
                        </w:pPr>
                        <w:r>
                          <w:rPr>
                            <w:rFonts w:hint="eastAsia"/>
                          </w:rPr>
                          <w:t>地面冲洗</w:t>
                        </w:r>
                      </w:p>
                    </w:txbxContent>
                  </v:textbox>
                </v:shape>
                <v:shape id="AutoShape 11137" o:spid="_x0000_s1322" type="#_x0000_t32" style="position:absolute;left:10998;top:46196;width:6;height:2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">
                  <v:stroke dashstyle="dash" endarrow="block"/>
                </v:shape>
                <v:shape id="AutoShape 11138" o:spid="_x0000_s1323" type="#_x0000_t32" style="position:absolute;left:15665;top:50025;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">
                  <v:stroke endarrow="block"/>
                </v:shape>
                <v:shape id="AutoShape 11139" o:spid="_x0000_s1324" type="#_x0000_t32" style="position:absolute;left:57492;top:3232;width:216;height:5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">
                  <v:stroke endarrow="block"/>
                </v:shape>
                <v:shape id="Text Box 11140" o:spid="_x0000_s1325" type="#_x0000_t202" style="position:absolute;left:41986;top:59988;width:1710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" filled="f">
                  <v:textbox inset=".5mm,,.5mm">
                    <w:txbxContent>
                      <w:p w14:paraId="202BB33B" w14:textId="7F6DF5B8" w:rsidR="00217891" w:rsidRPr="000E0606" w:rsidRDefault="00217891" w:rsidP="00C2742E">
                        <w:pPr>
                          <w:jc w:val="center"/>
                          <w:rPr>
                            <w:rFonts w:ascii="Calibri" w:hAnsi="Calibri"/>
                          </w:rPr>
                        </w:pPr>
                        <w:r w:rsidRPr="000E0606">
                          <w:rPr>
                            <w:rFonts w:ascii="Calibri"/>
                          </w:rPr>
                          <w:t>厂区废水处理站（</w:t>
                        </w:r>
                        <w:r>
                          <w:rPr>
                            <w:rFonts w:ascii="Calibri" w:hAnsi="Calibri"/>
                          </w:rPr>
                          <w:t>40.123</w:t>
                        </w:r>
                        <w:r w:rsidRPr="000E0606">
                          <w:rPr>
                            <w:rFonts w:ascii="Calibri"/>
                          </w:rPr>
                          <w:t>）</w:t>
                        </w:r>
                      </w:p>
                    </w:txbxContent>
                  </v:textbox>
                </v:shape>
                <v:shape id="AutoShape 11141" o:spid="_x0000_s1326" type="#_x0000_t32" style="position:absolute;left:51784;top:62801;width:6;height:3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">
                  <v:stroke endarrow="block"/>
                </v:shape>
                <v:shape id="AutoShape 11142" o:spid="_x0000_s1327" type="#_x0000_t32" style="position:absolute;left:32880;top:61525;width:1018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"/>
                <v:shape id="Text Box 11143" o:spid="_x0000_s1328" type="#_x0000_t202" style="position:absolute;left:50;top:2038;width:1174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" filled="f" stroked="f">
                  <v:textbox>
                    <w:txbxContent>
                      <w:p w14:paraId="377F631C" w14:textId="12950019" w:rsidR="00217891" w:rsidRPr="000E0606" w:rsidRDefault="00217891" w:rsidP="00C2742E">
                        <w:pPr>
                          <w:jc w:val="left"/>
                          <w:rPr>
                            <w:rFonts w:ascii="Calibri" w:hAnsi="Calibri"/>
                          </w:rPr>
                        </w:pPr>
                        <w:r w:rsidRPr="000E0606">
                          <w:rPr>
                            <w:rFonts w:ascii="Calibri" w:hAnsi="Calibri" w:hint="eastAsia"/>
                          </w:rPr>
                          <w:t>新鲜水：</w:t>
                        </w:r>
                        <w:r>
                          <w:rPr>
                            <w:rFonts w:ascii="Calibri" w:hAnsi="Calibri"/>
                          </w:rPr>
                          <w:t>42.18</w:t>
                        </w:r>
                      </w:p>
                    </w:txbxContent>
                  </v:textbox>
                </v:shape>
                <v:shape id="AutoShape 11144" o:spid="_x0000_s1329" type="#_x0000_t32" style="position:absolute;left:2362;top:11290;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">
                  <v:stroke endarrow="block"/>
                </v:shape>
                <v:shape id="AutoShape 11145" o:spid="_x0000_s1330" type="#_x0000_t32" style="position:absolute;left:16217;top:11677;width:48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">
                  <v:stroke endarrow="block"/>
                </v:shape>
                <v:shape id="AutoShape 11146" o:spid="_x0000_s1331" type="#_x0000_t32" style="position:absolute;left:30060;top:11760;width:485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">
                  <v:stroke endarrow="block"/>
                </v:shape>
                <v:shape id="AutoShape 11147" o:spid="_x0000_s1332" type="#_x0000_t32" style="position:absolute;left:34461;top:9550;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">
                  <v:stroke endarrow="block"/>
                </v:shape>
                <v:shape id="Text Box 11148" o:spid="_x0000_s1333" type="#_x0000_t202" style="position:absolute;left:39198;top:8331;width:899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" filled="f">
                  <v:textbox>
                    <w:txbxContent>
                      <w:p w14:paraId="732B26E2" w14:textId="77777777" w:rsidR="00217891" w:rsidRPr="003E5463" w:rsidRDefault="00217891" w:rsidP="00C2742E">
                        <w:pPr>
                          <w:jc w:val="center"/>
                        </w:pPr>
                        <w:r>
                          <w:rPr>
                            <w:rFonts w:ascii="Calibri" w:hAnsi="Calibri" w:hint="eastAsia"/>
                            <w:snapToGrid w:val="0"/>
                            <w:szCs w:val="21"/>
                          </w:rPr>
                          <w:t>制粒冷却</w:t>
                        </w:r>
                      </w:p>
                    </w:txbxContent>
                  </v:textbox>
                </v:shape>
                <v:shape id="AutoShape 11149" o:spid="_x0000_s1334" type="#_x0000_t32" style="position:absolute;left:34461;top:15716;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">
                  <v:stroke endarrow="block"/>
                </v:shape>
                <v:shape id="Text Box 11150" o:spid="_x0000_s1335" type="#_x0000_t202" style="position:absolute;left:39198;top:14427;width:102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" filled="f">
                  <v:textbox>
                    <w:txbxContent>
                      <w:p w14:paraId="0D8FB14D" w14:textId="77777777" w:rsidR="00217891" w:rsidRPr="003E5463" w:rsidRDefault="00217891" w:rsidP="00C2742E">
                        <w:r>
                          <w:rPr>
                            <w:rFonts w:ascii="Calibri" w:hAnsi="Calibri" w:hint="eastAsia"/>
                            <w:snapToGrid w:val="0"/>
                            <w:szCs w:val="21"/>
                          </w:rPr>
                          <w:t>真空机</w:t>
                        </w:r>
                        <w:r>
                          <w:rPr>
                            <w:rFonts w:ascii="Calibri" w:hAnsi="Calibri"/>
                            <w:snapToGrid w:val="0"/>
                            <w:szCs w:val="21"/>
                          </w:rPr>
                          <w:t>循环泵</w:t>
                        </w:r>
                      </w:p>
                    </w:txbxContent>
                  </v:textbox>
                </v:shape>
                <v:shape id="AutoShape 11151" o:spid="_x0000_s1336" type="#_x0000_t32" style="position:absolute;left:34461;top:22040;width:485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">
                  <v:stroke endarrow="block"/>
                </v:shape>
                <v:shape id="Text Box 11152" o:spid="_x0000_s1337" type="#_x0000_t202" style="position:absolute;left:39198;top:20828;width:1029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" filled="f">
                  <v:textbox>
                    <w:txbxContent>
                      <w:p w14:paraId="54CCE2B8" w14:textId="77777777" w:rsidR="00217891" w:rsidRPr="003E5463" w:rsidRDefault="00217891" w:rsidP="00C2742E">
                        <w:r>
                          <w:rPr>
                            <w:rFonts w:ascii="Calibri" w:hAnsi="Calibri" w:hint="eastAsia"/>
                            <w:snapToGrid w:val="0"/>
                            <w:szCs w:val="21"/>
                          </w:rPr>
                          <w:t>冷却循环</w:t>
                        </w:r>
                        <w:r>
                          <w:rPr>
                            <w:rFonts w:ascii="Calibri" w:hAnsi="Calibri"/>
                            <w:snapToGrid w:val="0"/>
                            <w:szCs w:val="21"/>
                          </w:rPr>
                          <w:t>水站</w:t>
                        </w:r>
                      </w:p>
                    </w:txbxContent>
                  </v:textbox>
                </v:shape>
                <v:shape id="AutoShape 11153" o:spid="_x0000_s1338" type="#_x0000_t32" style="position:absolute;left:43967;top:23577;width:38;height:48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"/>
                <v:shape id="AutoShape 11154" o:spid="_x0000_s1339" type="#_x0000_t32" style="position:absolute;left:32772;top:28371;width:11144;height: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">
                  <v:stroke endarrow="block"/>
                </v:shape>
                <v:shape id="AutoShape 11157" o:spid="_x0000_s1340" type="#_x0000_t32" style="position:absolute;left:32873;top:28460;width:7;height:26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">
                  <v:stroke endarrow="block"/>
                </v:shape>
                <v:shape id="AutoShape 11158" o:spid="_x0000_s1341" type="#_x0000_t32" style="position:absolute;left:48298;top:9556;width:919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">
                  <v:stroke endarrow="block"/>
                </v:shape>
                <v:shape id="AutoShape 11159" o:spid="_x0000_s1342" type="#_x0000_t32" style="position:absolute;left:49663;top:15589;width:820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">
                  <v:stroke endarrow="block"/>
                </v:shape>
                <v:shape id="AutoShape 11160" o:spid="_x0000_s1343" type="#_x0000_t32" style="position:absolute;left:49663;top:33191;width:820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">
                  <v:stroke endarrow="block"/>
                </v:shape>
                <v:shape id="Text Box 11161" o:spid="_x0000_s1344" type="#_x0000_t202" style="position:absolute;left:39198;top:30975;width:10293;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" filled="f">
                  <v:textbox>
                    <w:txbxContent>
                      <w:p w14:paraId="6E8D19A2" w14:textId="77777777" w:rsidR="00217891" w:rsidRPr="003E5463" w:rsidRDefault="00217891" w:rsidP="00C2742E">
                        <w:r>
                          <w:rPr>
                            <w:rFonts w:ascii="Calibri" w:hAnsi="Calibri" w:hint="eastAsia"/>
                            <w:snapToGrid w:val="0"/>
                            <w:szCs w:val="21"/>
                          </w:rPr>
                          <w:t>原料带入</w:t>
                        </w:r>
                        <w:r>
                          <w:rPr>
                            <w:rFonts w:ascii="Calibri" w:hAnsi="Calibri"/>
                            <w:snapToGrid w:val="0"/>
                            <w:szCs w:val="21"/>
                          </w:rPr>
                          <w:t>及聚合生成水</w:t>
                        </w:r>
                      </w:p>
                    </w:txbxContent>
                  </v:textbox>
                </v:shape>
                <v:shape id="Text Box 11162" o:spid="_x0000_s1345" type="#_x0000_t202" style="position:absolute;left:10210;top:45421;width:929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" filled="f" stroked="f">
                  <v:textbox>
                    <w:txbxContent>
                      <w:p w14:paraId="1B6AA490" w14:textId="0CA8AF25"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2.63</w:t>
                        </w:r>
                      </w:p>
                    </w:txbxContent>
                  </v:textbox>
                </v:shape>
                <v:shape id="AutoShape 11163" o:spid="_x0000_s1346" type="#_x0000_t32" style="position:absolute;left:2139;top:58400;width:48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">
                  <v:stroke endarrow="block"/>
                </v:shape>
                <v:shape id="_x0000_s1347" type="#_x0000_t202" style="position:absolute;left:7010;top:57035;width:882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" filled="f">
                  <v:textbox>
                    <w:txbxContent>
                      <w:p w14:paraId="2C873414" w14:textId="77777777" w:rsidR="00217891" w:rsidRPr="003E5463" w:rsidRDefault="00217891" w:rsidP="00C2742E">
                        <w:pPr>
                          <w:jc w:val="center"/>
                        </w:pPr>
                        <w:r>
                          <w:rPr>
                            <w:rFonts w:hint="eastAsia"/>
                          </w:rPr>
                          <w:t>职工生活</w:t>
                        </w:r>
                      </w:p>
                    </w:txbxContent>
                  </v:textbox>
                </v:shape>
                <v:shape id="AutoShape 11165" o:spid="_x0000_s1348" type="#_x0000_t32" style="position:absolute;left:15665;top:58394;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">
                  <v:stroke endarrow="block"/>
                </v:shape>
                <v:shape id="AutoShape 11166" o:spid="_x0000_s1349" type="#_x0000_t32" style="position:absolute;left:11029;top:54279;width:7;height:2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">
                  <v:stroke dashstyle="dash" endarrow="block"/>
                </v:shape>
                <v:shape id="_x0000_s1350" type="#_x0000_t202" style="position:absolute;left:10363;top:54279;width:929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" filled="f" stroked="f">
                  <v:textbox>
                    <w:txbxContent>
                      <w:p w14:paraId="5DE7E2BA" w14:textId="77777777"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1.44</w:t>
                        </w:r>
                      </w:p>
                    </w:txbxContent>
                  </v:textbox>
                </v:shape>
                <v:shape id="Text Box 11168" o:spid="_x0000_s1351" type="#_x0000_t202" style="position:absolute;left:27133;top:55511;width:1384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" filled="f" stroked="f">
                  <v:textbox>
                    <w:txbxContent>
                      <w:p w14:paraId="144D1B03" w14:textId="404597B5" w:rsidR="00217891" w:rsidRPr="000E0606" w:rsidRDefault="00217891" w:rsidP="00C2742E">
                        <w:pPr>
                          <w:jc w:val="center"/>
                          <w:rPr>
                            <w:rFonts w:ascii="Calibri" w:hAnsi="Calibri"/>
                            <w:color w:val="0033CC"/>
                          </w:rPr>
                        </w:pPr>
                        <w:r w:rsidRPr="000E0606">
                          <w:rPr>
                            <w:rFonts w:ascii="Calibri" w:hAnsi="Calibri" w:hint="eastAsia"/>
                            <w:color w:val="0033CC"/>
                          </w:rPr>
                          <w:t>总排放口（</w:t>
                        </w:r>
                        <w:r>
                          <w:rPr>
                            <w:rFonts w:ascii="Calibri" w:hAnsi="Calibri"/>
                            <w:color w:val="0033CC"/>
                          </w:rPr>
                          <w:t>42.421</w:t>
                        </w:r>
                        <w:r w:rsidRPr="000E0606">
                          <w:rPr>
                            <w:rFonts w:ascii="Calibri" w:hAnsi="Calibri" w:hint="eastAsia"/>
                            <w:color w:val="0033CC"/>
                          </w:rPr>
                          <w:t>）</w:t>
                        </w:r>
                      </w:p>
                    </w:txbxContent>
                  </v:textbox>
                </v:shape>
                <v:shape id="AutoShape 11169" o:spid="_x0000_s1352" type="#_x0000_t32" style="position:absolute;left:20510;top:39890;width:6;height:26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"/>
                <v:shape id="AutoShape 11171" o:spid="_x0000_s1353" type="#_x0000_t32" style="position:absolute;left:32772;top:57689;width:6;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">
                  <v:stroke endarrow="block"/>
                </v:shape>
                <v:shape id="Text Box 11172" o:spid="_x0000_s1354" type="#_x0000_t202" style="position:absolute;left:15455;top:9683;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" filled="f" stroked="f">
                  <v:textbox>
                    <w:txbxContent>
                      <w:p w14:paraId="64DB6F49" w14:textId="77777777" w:rsidR="00217891" w:rsidRPr="000E0606" w:rsidRDefault="00217891" w:rsidP="00C2742E">
                        <w:pPr>
                          <w:jc w:val="center"/>
                          <w:rPr>
                            <w:rFonts w:ascii="Calibri" w:hAnsi="Calibri"/>
                          </w:rPr>
                        </w:pPr>
                        <w:r>
                          <w:rPr>
                            <w:rFonts w:ascii="Calibri" w:hAnsi="Calibri"/>
                          </w:rPr>
                          <w:t>5.33</w:t>
                        </w:r>
                      </w:p>
                    </w:txbxContent>
                  </v:textbox>
                </v:shape>
                <v:shape id="Text Box 11173" o:spid="_x0000_s1355" type="#_x0000_t202" style="position:absolute;left:11798;top:26371;width:817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" filled="f" stroked="f">
                  <v:textbox>
                    <w:txbxContent>
                      <w:p w14:paraId="006D7C44" w14:textId="77777777" w:rsidR="00217891" w:rsidRPr="000E0606" w:rsidRDefault="00217891" w:rsidP="00C2742E">
                        <w:pPr>
                          <w:jc w:val="center"/>
                          <w:rPr>
                            <w:rFonts w:ascii="Calibri" w:hAnsi="Calibri"/>
                          </w:rPr>
                        </w:pPr>
                        <w:r>
                          <w:rPr>
                            <w:rFonts w:ascii="Calibri" w:hAnsi="Calibri" w:hint="eastAsia"/>
                          </w:rPr>
                          <w:t>浓水</w:t>
                        </w:r>
                        <w:r>
                          <w:rPr>
                            <w:rFonts w:ascii="Calibri" w:hAnsi="Calibri"/>
                          </w:rPr>
                          <w:t>2.28</w:t>
                        </w:r>
                      </w:p>
                    </w:txbxContent>
                  </v:textbox>
                </v:shape>
                <v:shape id="Text Box 11174" o:spid="_x0000_s1356" type="#_x0000_t202" style="position:absolute;left:29095;top:9613;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" filled="f" stroked="f">
                  <v:textbox>
                    <w:txbxContent>
                      <w:p w14:paraId="062F2CDB" w14:textId="77777777" w:rsidR="00217891" w:rsidRPr="000E0606" w:rsidRDefault="00217891" w:rsidP="00C2742E">
                        <w:pPr>
                          <w:jc w:val="center"/>
                          <w:rPr>
                            <w:rFonts w:ascii="Calibri" w:hAnsi="Calibri"/>
                          </w:rPr>
                        </w:pPr>
                        <w:r>
                          <w:rPr>
                            <w:rFonts w:ascii="Calibri" w:hAnsi="Calibri"/>
                          </w:rPr>
                          <w:t>5.33</w:t>
                        </w:r>
                      </w:p>
                    </w:txbxContent>
                  </v:textbox>
                </v:shape>
                <v:shape id="Text Box 11175" o:spid="_x0000_s1357" type="#_x0000_t202" style="position:absolute;left:34048;top:13265;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" filled="f" stroked="f">
                  <v:textbox>
                    <w:txbxContent>
                      <w:p w14:paraId="3CE55784" w14:textId="77777777" w:rsidR="00217891" w:rsidRPr="000E0606" w:rsidRDefault="00217891" w:rsidP="00C2742E">
                        <w:pPr>
                          <w:jc w:val="center"/>
                          <w:rPr>
                            <w:rFonts w:ascii="Calibri" w:hAnsi="Calibri"/>
                          </w:rPr>
                        </w:pPr>
                        <w:r>
                          <w:rPr>
                            <w:rFonts w:ascii="Calibri" w:hAnsi="Calibri"/>
                          </w:rPr>
                          <w:t>3.72</w:t>
                        </w:r>
                      </w:p>
                    </w:txbxContent>
                  </v:textbox>
                </v:shape>
                <v:shape id="Text Box 11176" o:spid="_x0000_s1358" type="#_x0000_t202" style="position:absolute;left:34048;top:19818;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" filled="f" stroked="f">
                  <v:textbox>
                    <w:txbxContent>
                      <w:p w14:paraId="57749236" w14:textId="77777777" w:rsidR="00217891" w:rsidRPr="000E0606" w:rsidRDefault="00217891" w:rsidP="00C2742E">
                        <w:pPr>
                          <w:jc w:val="center"/>
                          <w:rPr>
                            <w:rFonts w:ascii="Calibri" w:hAnsi="Calibri"/>
                          </w:rPr>
                        </w:pPr>
                        <w:r>
                          <w:rPr>
                            <w:rFonts w:ascii="Calibri" w:hAnsi="Calibri"/>
                          </w:rPr>
                          <w:t>0.18</w:t>
                        </w:r>
                      </w:p>
                    </w:txbxContent>
                  </v:textbox>
                </v:shape>
                <v:shape id="Text Box 11177" o:spid="_x0000_s1359" type="#_x0000_t202" style="position:absolute;left:50203;top:30587;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" filled="f" stroked="f">
                  <v:textbox>
                    <w:txbxContent>
                      <w:p w14:paraId="377FB5C7" w14:textId="6B05F5AC" w:rsidR="00217891" w:rsidRPr="000E0606" w:rsidRDefault="00217891" w:rsidP="00C2742E">
                        <w:pPr>
                          <w:jc w:val="center"/>
                          <w:rPr>
                            <w:rFonts w:ascii="Calibri" w:hAnsi="Calibri"/>
                          </w:rPr>
                        </w:pPr>
                        <w:r>
                          <w:rPr>
                            <w:rFonts w:ascii="Calibri" w:hAnsi="Calibri"/>
                          </w:rPr>
                          <w:t>3.68</w:t>
                        </w:r>
                      </w:p>
                    </w:txbxContent>
                  </v:textbox>
                </v:shape>
                <v:shape id="Text Box 11178" o:spid="_x0000_s1360" type="#_x0000_t202" style="position:absolute;left:50050;top:13036;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" filled="f" stroked="f">
                  <v:textbox>
                    <w:txbxContent>
                      <w:p w14:paraId="35488B4D" w14:textId="77777777" w:rsidR="00217891" w:rsidRPr="000E0606" w:rsidRDefault="00217891" w:rsidP="00C2742E">
                        <w:pPr>
                          <w:jc w:val="center"/>
                          <w:rPr>
                            <w:rFonts w:ascii="Calibri" w:hAnsi="Calibri"/>
                          </w:rPr>
                        </w:pPr>
                        <w:r>
                          <w:rPr>
                            <w:rFonts w:ascii="Calibri" w:hAnsi="Calibri"/>
                          </w:rPr>
                          <w:t>3.72</w:t>
                        </w:r>
                      </w:p>
                    </w:txbxContent>
                  </v:textbox>
                </v:shape>
                <v:shape id="Text Box 11179" o:spid="_x0000_s1361" type="#_x0000_t202" style="position:absolute;left:35496;top:26250;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" filled="f" stroked="f">
                  <v:textbox>
                    <w:txbxContent>
                      <w:p w14:paraId="2A84E04A" w14:textId="77777777" w:rsidR="00217891" w:rsidRPr="000E0606" w:rsidRDefault="00217891" w:rsidP="00C2742E">
                        <w:pPr>
                          <w:jc w:val="center"/>
                          <w:rPr>
                            <w:rFonts w:ascii="Calibri" w:hAnsi="Calibri"/>
                          </w:rPr>
                        </w:pPr>
                        <w:r>
                          <w:rPr>
                            <w:rFonts w:ascii="Calibri" w:hAnsi="Calibri"/>
                          </w:rPr>
                          <w:t>0.018</w:t>
                        </w:r>
                      </w:p>
                    </w:txbxContent>
                  </v:textbox>
                </v:shape>
                <v:shape id="Text Box 11180" o:spid="_x0000_s1362" type="#_x0000_t202" style="position:absolute;left:1739;top:37846;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" filled="f" stroked="f">
                  <v:textbox>
                    <w:txbxContent>
                      <w:p w14:paraId="195A3B79" w14:textId="77777777" w:rsidR="00217891" w:rsidRPr="000E0606" w:rsidRDefault="00217891" w:rsidP="00C2742E">
                        <w:pPr>
                          <w:jc w:val="center"/>
                          <w:rPr>
                            <w:rFonts w:ascii="Calibri" w:hAnsi="Calibri"/>
                          </w:rPr>
                        </w:pPr>
                        <w:r>
                          <w:rPr>
                            <w:rFonts w:ascii="Calibri" w:hAnsi="Calibri"/>
                          </w:rPr>
                          <w:t>1.01</w:t>
                        </w:r>
                      </w:p>
                    </w:txbxContent>
                  </v:textbox>
                </v:shape>
                <v:shape id="Text Box 11181" o:spid="_x0000_s1363" type="#_x0000_t202" style="position:absolute;left:1816;top:47675;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" filled="f" stroked="f">
                  <v:textbox>
                    <w:txbxContent>
                      <w:p w14:paraId="13AC641F" w14:textId="16CC530F" w:rsidR="00217891" w:rsidRPr="000E0606" w:rsidRDefault="00217891" w:rsidP="00C2742E">
                        <w:pPr>
                          <w:jc w:val="center"/>
                          <w:rPr>
                            <w:rFonts w:ascii="Calibri" w:hAnsi="Calibri"/>
                          </w:rPr>
                        </w:pPr>
                        <w:r>
                          <w:rPr>
                            <w:rFonts w:ascii="Calibri" w:hAnsi="Calibri"/>
                          </w:rPr>
                          <w:t>26.36</w:t>
                        </w:r>
                      </w:p>
                    </w:txbxContent>
                  </v:textbox>
                </v:shape>
                <v:shape id="Text Box 11182" o:spid="_x0000_s1364" type="#_x0000_t202" style="position:absolute;left:1149;top:55791;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" filled="f" stroked="f">
                  <v:textbox>
                    <w:txbxContent>
                      <w:p w14:paraId="565BAFDA" w14:textId="77777777" w:rsidR="00217891" w:rsidRPr="000E0606" w:rsidRDefault="00217891" w:rsidP="00C2742E">
                        <w:pPr>
                          <w:jc w:val="center"/>
                          <w:rPr>
                            <w:rFonts w:ascii="Calibri" w:hAnsi="Calibri"/>
                          </w:rPr>
                        </w:pPr>
                        <w:r>
                          <w:rPr>
                            <w:rFonts w:ascii="Calibri" w:hAnsi="Calibri"/>
                          </w:rPr>
                          <w:t>7.20</w:t>
                        </w:r>
                      </w:p>
                    </w:txbxContent>
                  </v:textbox>
                </v:shape>
                <v:shape id="_x0000_s1365" type="#_x0000_t202" style="position:absolute;left:15093;top:37757;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" filled="f" stroked="f">
                  <v:textbox>
                    <w:txbxContent>
                      <w:p w14:paraId="4AD2AAF6" w14:textId="0DF73F83" w:rsidR="00217891" w:rsidRPr="000E0606" w:rsidRDefault="00217891" w:rsidP="00C2742E">
                        <w:pPr>
                          <w:jc w:val="center"/>
                          <w:rPr>
                            <w:rFonts w:ascii="Calibri" w:hAnsi="Calibri"/>
                          </w:rPr>
                        </w:pPr>
                        <w:r>
                          <w:rPr>
                            <w:rFonts w:ascii="Calibri" w:hAnsi="Calibri"/>
                          </w:rPr>
                          <w:t>2.29</w:t>
                        </w:r>
                      </w:p>
                    </w:txbxContent>
                  </v:textbox>
                </v:shape>
                <v:shape id="Text Box 11184" o:spid="_x0000_s1366" type="#_x0000_t202" style="position:absolute;left:15170;top:47675;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" filled="f" stroked="f">
                  <v:textbox>
                    <w:txbxContent>
                      <w:p w14:paraId="78324F34" w14:textId="79391657" w:rsidR="00217891" w:rsidRPr="000E0606" w:rsidRDefault="00217891" w:rsidP="00C2742E">
                        <w:pPr>
                          <w:jc w:val="center"/>
                          <w:rPr>
                            <w:rFonts w:ascii="Calibri" w:hAnsi="Calibri"/>
                          </w:rPr>
                        </w:pPr>
                        <w:r>
                          <w:rPr>
                            <w:rFonts w:ascii="Calibri" w:hAnsi="Calibri"/>
                          </w:rPr>
                          <w:t>23.73</w:t>
                        </w:r>
                      </w:p>
                    </w:txbxContent>
                  </v:textbox>
                </v:shape>
                <v:shape id="Text Box 11185" o:spid="_x0000_s1367" type="#_x0000_t202" style="position:absolute;left:15170;top:56426;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" filled="f" stroked="f">
                  <v:textbox>
                    <w:txbxContent>
                      <w:p w14:paraId="78B09D36" w14:textId="77777777" w:rsidR="00217891" w:rsidRPr="000E0606" w:rsidRDefault="00217891" w:rsidP="00C2742E">
                        <w:pPr>
                          <w:jc w:val="center"/>
                          <w:rPr>
                            <w:rFonts w:ascii="Calibri" w:hAnsi="Calibri"/>
                          </w:rPr>
                        </w:pPr>
                        <w:r>
                          <w:rPr>
                            <w:rFonts w:ascii="Calibri" w:hAnsi="Calibri"/>
                          </w:rPr>
                          <w:t>5.76</w:t>
                        </w:r>
                      </w:p>
                    </w:txbxContent>
                  </v:textbox>
                </v:shape>
                <v:shape id="Text Box 11186" o:spid="_x0000_s1368" type="#_x0000_t202" style="position:absolute;left:31838;top:64401;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" filled="f" stroked="f">
                  <v:textbox>
                    <w:txbxContent>
                      <w:p w14:paraId="590575CD" w14:textId="77777777" w:rsidR="00217891" w:rsidRPr="000E0606" w:rsidRDefault="00217891" w:rsidP="00C2742E">
                        <w:pPr>
                          <w:jc w:val="center"/>
                          <w:rPr>
                            <w:rFonts w:ascii="Calibri" w:hAnsi="Calibri"/>
                          </w:rPr>
                        </w:pPr>
                        <w:r>
                          <w:rPr>
                            <w:rFonts w:ascii="Calibri" w:hAnsi="Calibri"/>
                          </w:rPr>
                          <w:t>17.01</w:t>
                        </w:r>
                      </w:p>
                    </w:txbxContent>
                  </v:textbox>
                </v:shape>
                <v:shape id="AutoShape 11147" o:spid="_x0000_s1369" type="#_x0000_t32" style="position:absolute;left:34353;top:3073;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">
                  <v:stroke endarrow="block"/>
                </v:shape>
                <v:shape id="Text Box 11148" o:spid="_x0000_s1370" type="#_x0000_t202" style="position:absolute;left:39204;top:1930;width:899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" filled="f">
                  <v:textbox>
                    <w:txbxContent>
                      <w:p w14:paraId="2B95BAF7" w14:textId="77777777" w:rsidR="00217891" w:rsidRPr="003E5463" w:rsidRDefault="00217891" w:rsidP="00DA77EB">
                        <w:r>
                          <w:rPr>
                            <w:rFonts w:ascii="Calibri" w:hAnsi="Calibri" w:hint="eastAsia"/>
                            <w:snapToGrid w:val="0"/>
                            <w:szCs w:val="21"/>
                          </w:rPr>
                          <w:t>实验</w:t>
                        </w:r>
                        <w:r>
                          <w:rPr>
                            <w:rFonts w:ascii="Calibri" w:hAnsi="Calibri"/>
                            <w:snapToGrid w:val="0"/>
                            <w:szCs w:val="21"/>
                          </w:rPr>
                          <w:t>废水</w:t>
                        </w:r>
                      </w:p>
                    </w:txbxContent>
                  </v:textbox>
                </v:shape>
                <v:shape id="AutoShape 11158" o:spid="_x0000_s1371" type="#_x0000_t32" style="position:absolute;left:48190;top:3232;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">
                  <v:stroke endarrow="block"/>
                </v:shape>
                <v:shape id="Text Box 11175" o:spid="_x0000_s1372" type="#_x0000_t202" style="position:absolute;left:34810;top:7632;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6A81F622" w14:textId="77777777" w:rsidR="00217891" w:rsidRPr="000E0606" w:rsidRDefault="00217891" w:rsidP="00DA77EB">
                        <w:pPr>
                          <w:rPr>
                            <w:rFonts w:ascii="Calibri" w:hAnsi="Calibri"/>
                          </w:rPr>
                        </w:pPr>
                        <w:r>
                          <w:rPr>
                            <w:rFonts w:ascii="Calibri" w:hAnsi="Calibri"/>
                          </w:rPr>
                          <w:t>0.43</w:t>
                        </w:r>
                      </w:p>
                    </w:txbxContent>
                  </v:textbox>
                </v:shape>
                <v:shape id="Text Box 11175" o:spid="_x0000_s1373" type="#_x0000_t202" style="position:absolute;left:49212;top:7429;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14:paraId="3ACDAFB3" w14:textId="77777777" w:rsidR="00217891" w:rsidRPr="000E0606" w:rsidRDefault="00217891" w:rsidP="00DA77EB">
                        <w:pPr>
                          <w:rPr>
                            <w:rFonts w:ascii="Calibri" w:hAnsi="Calibri"/>
                          </w:rPr>
                        </w:pPr>
                        <w:r>
                          <w:rPr>
                            <w:rFonts w:ascii="Calibri" w:hAnsi="Calibri"/>
                          </w:rPr>
                          <w:t>0.043</w:t>
                        </w:r>
                      </w:p>
                    </w:txbxContent>
                  </v:textbox>
                </v:shape>
                <v:shape id="Text Box 11175" o:spid="_x0000_s1374" type="#_x0000_t202" style="position:absolute;left:34353;top:628;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14:paraId="747D460C" w14:textId="77777777" w:rsidR="00217891" w:rsidRPr="000E0606" w:rsidRDefault="00217891" w:rsidP="008F7B7A">
                        <w:pPr>
                          <w:ind w:firstLineChars="50" w:firstLine="105"/>
                          <w:rPr>
                            <w:rFonts w:ascii="Calibri" w:hAnsi="Calibri"/>
                          </w:rPr>
                        </w:pPr>
                        <w:r>
                          <w:rPr>
                            <w:rFonts w:ascii="Calibri" w:hAnsi="Calibri"/>
                          </w:rPr>
                          <w:t>1</w:t>
                        </w:r>
                      </w:p>
                    </w:txbxContent>
                  </v:textbox>
                </v:shape>
                <v:shape id="Text Box 11175" o:spid="_x0000_s1375" type="#_x0000_t202" style="position:absolute;left:49212;top:1016;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" filled="f" stroked="f">
                  <v:textbox>
                    <w:txbxContent>
                      <w:p w14:paraId="4EBD7918" w14:textId="77777777" w:rsidR="00217891" w:rsidRPr="000E0606" w:rsidRDefault="00217891" w:rsidP="008F7B7A">
                        <w:pPr>
                          <w:ind w:firstLineChars="50" w:firstLine="105"/>
                          <w:rPr>
                            <w:rFonts w:ascii="Calibri" w:hAnsi="Calibri"/>
                          </w:rPr>
                        </w:pPr>
                        <w:r>
                          <w:rPr>
                            <w:rFonts w:ascii="Calibri" w:hAnsi="Calibri"/>
                          </w:rPr>
                          <w:t>0.9</w:t>
                        </w:r>
                      </w:p>
                    </w:txbxContent>
                  </v:textbox>
                </v:shape>
                <v:line id="直接连接符 27146" o:spid="_x0000_s1376" style="position:absolute;visibility:visible;mso-wrap-style:square" from="10960,12954" to="10960,2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" strokecolor="black [3040]"/>
                <v:line id="直接连接符 27148" o:spid="_x0000_s1377" style="position:absolute;visibility:visible;mso-wrap-style:square" from="11036,28575" to="32873,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" strokecolor="black [3040]">
                  <v:stroke endarrow="block"/>
                </v:line>
                <v:line id="直接连接符 27151" o:spid="_x0000_s1378" style="position:absolute;visibility:visible;mso-wrap-style:square" from="34353,3232" to="3435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" strokecolor="black [3040]"/>
                <v:line id="直接连接符 27157" o:spid="_x0000_s1379" style="position:absolute;visibility:visible;mso-wrap-style:square" from="20516,66636" to="51816,6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" strokecolor="black [3040]"/>
                <v:shape id="直接箭头连接符 27553" o:spid="_x0000_s1380" type="#_x0000_t32" style="position:absolute;left:11277;top:34036;width:0;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" strokecolor="black [3040]">
                  <v:stroke endarrow="block"/>
                </v:shape>
                <v:shape id="_x0000_s1381" type="#_x0000_t202" style="position:absolute;left:9226;top:34823;width:1713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5B0ED51C" w14:textId="25484567" w:rsidR="00217891" w:rsidRPr="000E0606" w:rsidRDefault="00217891" w:rsidP="00DF7568">
                        <w:pPr>
                          <w:ind w:firstLineChars="50" w:firstLine="105"/>
                          <w:rPr>
                            <w:rFonts w:ascii="Calibri" w:hAnsi="Calibri"/>
                          </w:rPr>
                        </w:pPr>
                        <w:r>
                          <w:rPr>
                            <w:rFonts w:ascii="Calibri" w:hAnsi="Calibri" w:hint="eastAsia"/>
                          </w:rPr>
                          <w:t>聚合不凝气带入</w:t>
                        </w:r>
                        <w:r>
                          <w:rPr>
                            <w:rFonts w:ascii="Calibri" w:hAnsi="Calibri"/>
                          </w:rPr>
                          <w:t>1.28</w:t>
                        </w:r>
                      </w:p>
                    </w:txbxContent>
                  </v:textbox>
                </v:shape>
                <w10:wrap type="topAndBottom"/>
              </v:group>
            </w:pict>
          </mc:Fallback>
        </mc:AlternateContent>
      </w:r>
      <w:r w:rsidR="00C2742E" w:rsidRPr="00BF4432">
        <w:rPr>
          <w:rFonts w:ascii="Calibri" w:eastAsia="黑体" w:hAnsi="黑体"/>
          <w:b/>
          <w:color w:val="auto"/>
          <w:sz w:val="24"/>
          <w:u w:val="single"/>
        </w:rPr>
        <w:t>图</w:t>
      </w:r>
      <w:r w:rsidR="00C2742E" w:rsidRPr="00BF4432">
        <w:rPr>
          <w:rFonts w:ascii="Calibri" w:eastAsia="黑体" w:hAnsi="Calibri"/>
          <w:b/>
          <w:color w:val="auto"/>
          <w:sz w:val="24"/>
          <w:u w:val="single"/>
        </w:rPr>
        <w:t xml:space="preserve">2.3-5         </w:t>
      </w:r>
      <w:r w:rsidR="00C2742E" w:rsidRPr="00BF4432">
        <w:rPr>
          <w:rFonts w:ascii="Calibri" w:eastAsia="黑体" w:hAnsi="Calibri" w:hint="eastAsia"/>
          <w:b/>
          <w:color w:val="auto"/>
          <w:sz w:val="24"/>
          <w:u w:val="single"/>
        </w:rPr>
        <w:t xml:space="preserve">   </w:t>
      </w:r>
      <w:r w:rsidR="00C2742E" w:rsidRPr="00BF4432">
        <w:rPr>
          <w:rFonts w:ascii="Calibri" w:eastAsia="黑体" w:hAnsi="Calibri"/>
          <w:b/>
          <w:color w:val="auto"/>
          <w:sz w:val="24"/>
          <w:u w:val="single"/>
        </w:rPr>
        <w:t xml:space="preserve"> </w:t>
      </w:r>
      <w:r w:rsidR="00C2742E" w:rsidRPr="00BF4432">
        <w:rPr>
          <w:rFonts w:ascii="Calibri" w:eastAsia="黑体" w:hAnsi="黑体"/>
          <w:b/>
          <w:color w:val="auto"/>
          <w:sz w:val="24"/>
          <w:u w:val="single"/>
        </w:rPr>
        <w:t>本项目</w:t>
      </w:r>
      <w:r w:rsidR="00C2742E" w:rsidRPr="00BF4432">
        <w:rPr>
          <w:rFonts w:ascii="Calibri" w:eastAsia="黑体" w:hAnsi="黑体" w:hint="eastAsia"/>
          <w:b/>
          <w:color w:val="auto"/>
          <w:sz w:val="24"/>
          <w:u w:val="single"/>
        </w:rPr>
        <w:t>一期工程</w:t>
      </w:r>
      <w:r w:rsidR="00C2742E" w:rsidRPr="00BF4432">
        <w:rPr>
          <w:rFonts w:ascii="Calibri" w:eastAsia="黑体" w:hAnsi="黑体"/>
          <w:b/>
          <w:color w:val="auto"/>
          <w:sz w:val="24"/>
          <w:u w:val="single"/>
        </w:rPr>
        <w:t>水平衡图</w:t>
      </w:r>
      <w:r w:rsidR="00C2742E" w:rsidRPr="00BF4432">
        <w:rPr>
          <w:rFonts w:ascii="Calibri" w:eastAsia="黑体" w:hAnsi="Calibri"/>
          <w:b/>
          <w:color w:val="auto"/>
          <w:sz w:val="24"/>
          <w:u w:val="single"/>
        </w:rPr>
        <w:t xml:space="preserve">   </w:t>
      </w:r>
      <w:r w:rsidR="00C2742E" w:rsidRPr="00BF4432">
        <w:rPr>
          <w:rFonts w:ascii="Calibri" w:eastAsia="黑体" w:hAnsi="Calibri" w:hint="eastAsia"/>
          <w:b/>
          <w:color w:val="auto"/>
          <w:sz w:val="24"/>
          <w:u w:val="single"/>
        </w:rPr>
        <w:t xml:space="preserve"> </w:t>
      </w:r>
      <w:r w:rsidR="00C2742E" w:rsidRPr="00BF4432">
        <w:rPr>
          <w:rFonts w:ascii="Calibri" w:eastAsia="黑体" w:hAnsi="Calibri"/>
          <w:b/>
          <w:color w:val="auto"/>
          <w:sz w:val="24"/>
          <w:u w:val="single"/>
        </w:rPr>
        <w:t xml:space="preserve">    </w:t>
      </w:r>
      <w:r w:rsidR="00C2742E" w:rsidRPr="00BF4432">
        <w:rPr>
          <w:rFonts w:ascii="Calibri" w:eastAsia="黑体" w:hAnsi="Calibri" w:hint="eastAsia"/>
          <w:b/>
          <w:color w:val="auto"/>
          <w:sz w:val="24"/>
          <w:u w:val="single"/>
        </w:rPr>
        <w:t xml:space="preserve"> </w:t>
      </w:r>
      <w:r w:rsidR="00C2742E" w:rsidRPr="00BF4432">
        <w:rPr>
          <w:rFonts w:ascii="Calibri" w:eastAsia="黑体" w:hAnsi="Calibri"/>
          <w:b/>
          <w:color w:val="auto"/>
          <w:sz w:val="24"/>
          <w:u w:val="single"/>
        </w:rPr>
        <w:t xml:space="preserve"> </w:t>
      </w:r>
      <w:r w:rsidR="00C2742E" w:rsidRPr="00BF4432">
        <w:rPr>
          <w:rFonts w:ascii="Calibri" w:hAnsi="Calibri" w:hint="eastAsia"/>
          <w:b/>
          <w:color w:val="auto"/>
          <w:sz w:val="24"/>
          <w:u w:val="single"/>
        </w:rPr>
        <w:t xml:space="preserve">      </w:t>
      </w:r>
      <w:r w:rsidR="00C2742E" w:rsidRPr="00BF4432">
        <w:rPr>
          <w:rFonts w:ascii="Calibri" w:hAnsi="Calibri" w:hint="eastAsia"/>
          <w:b/>
          <w:color w:val="auto"/>
          <w:szCs w:val="21"/>
          <w:u w:val="single"/>
        </w:rPr>
        <w:t>单位：</w:t>
      </w:r>
      <w:r w:rsidR="00C2742E" w:rsidRPr="00BF4432">
        <w:rPr>
          <w:rFonts w:ascii="Calibri" w:hAnsi="Calibri" w:hint="eastAsia"/>
          <w:b/>
          <w:color w:val="auto"/>
          <w:szCs w:val="21"/>
          <w:u w:val="single"/>
        </w:rPr>
        <w:t>t/d</w:t>
      </w:r>
    </w:p>
    <w:p w14:paraId="72BF7454" w14:textId="77777777" w:rsidR="0094458B" w:rsidRPr="00C2742E" w:rsidRDefault="0094458B" w:rsidP="00D35887">
      <w:pPr>
        <w:spacing w:line="500" w:lineRule="exact"/>
        <w:ind w:firstLineChars="200" w:firstLine="480"/>
        <w:rPr>
          <w:rFonts w:ascii="Calibri" w:hAnsi="Calibri"/>
          <w:color w:val="auto"/>
          <w:sz w:val="24"/>
        </w:rPr>
      </w:pPr>
    </w:p>
    <w:p w14:paraId="35DEBB78" w14:textId="77777777" w:rsidR="0094458B" w:rsidRDefault="0094458B" w:rsidP="00D35887">
      <w:pPr>
        <w:spacing w:line="500" w:lineRule="exact"/>
        <w:ind w:firstLineChars="200" w:firstLine="480"/>
        <w:rPr>
          <w:rFonts w:ascii="Calibri" w:hAnsi="Calibri"/>
          <w:color w:val="auto"/>
          <w:sz w:val="24"/>
        </w:rPr>
      </w:pPr>
    </w:p>
    <w:p w14:paraId="3CCAB54C" w14:textId="77777777" w:rsidR="0094458B" w:rsidRDefault="0094458B" w:rsidP="00D35887">
      <w:pPr>
        <w:spacing w:line="500" w:lineRule="exact"/>
        <w:ind w:firstLineChars="200" w:firstLine="480"/>
        <w:rPr>
          <w:rFonts w:ascii="Calibri" w:hAnsi="Calibri"/>
          <w:color w:val="auto"/>
          <w:sz w:val="24"/>
        </w:rPr>
      </w:pPr>
    </w:p>
    <w:p w14:paraId="479A021F" w14:textId="107F04E9" w:rsidR="0094458B" w:rsidRPr="00BF4432" w:rsidRDefault="00BF4432" w:rsidP="00BF4432">
      <w:pPr>
        <w:spacing w:line="500" w:lineRule="exact"/>
        <w:ind w:firstLineChars="250" w:firstLine="527"/>
        <w:rPr>
          <w:rFonts w:ascii="Calibri" w:eastAsia="黑体" w:hAnsi="黑体"/>
          <w:b/>
          <w:color w:val="auto"/>
          <w:sz w:val="24"/>
          <w:u w:val="single"/>
        </w:rPr>
      </w:pPr>
      <w:r w:rsidRPr="00BF4432">
        <w:rPr>
          <w:b/>
          <w:noProof/>
          <w:u w:val="single"/>
        </w:rPr>
        <w:lastRenderedPageBreak/>
        <mc:AlternateContent>
          <mc:Choice Requires="wps">
            <w:drawing>
              <wp:anchor distT="0" distB="0" distL="114300" distR="114300" simplePos="0" relativeHeight="253712896" behindDoc="0" locked="0" layoutInCell="1" allowOverlap="1" wp14:anchorId="6E15378F" wp14:editId="4A1B28B5">
                <wp:simplePos x="0" y="0"/>
                <wp:positionH relativeFrom="column">
                  <wp:posOffset>428625</wp:posOffset>
                </wp:positionH>
                <wp:positionV relativeFrom="paragraph">
                  <wp:posOffset>2564130</wp:posOffset>
                </wp:positionV>
                <wp:extent cx="1713865" cy="280035"/>
                <wp:effectExtent l="0" t="0" r="0" b="0"/>
                <wp:wrapNone/>
                <wp:docPr id="716" name="Text Box 1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C33B" w14:textId="50C3C5D8" w:rsidR="00217891" w:rsidRDefault="00217891" w:rsidP="00BF4432">
                            <w:pPr>
                              <w:pStyle w:val="af1"/>
                              <w:ind w:firstLine="101"/>
                              <w:jc w:val="both"/>
                            </w:pPr>
                            <w:r>
                              <w:rPr>
                                <w:rFonts w:ascii="Calibri" w:cs="Calibri" w:hint="eastAsia"/>
                                <w:kern w:val="2"/>
                                <w:sz w:val="21"/>
                                <w:szCs w:val="21"/>
                              </w:rPr>
                              <w:t>聚合不凝气带入</w:t>
                            </w:r>
                            <w:r>
                              <w:rPr>
                                <w:rFonts w:ascii="Calibri" w:hAnsi="Calibri" w:cs="Calibri"/>
                                <w:kern w:val="2"/>
                                <w:sz w:val="21"/>
                                <w:szCs w:val="21"/>
                              </w:rPr>
                              <w:t>0.76</w:t>
                            </w:r>
                          </w:p>
                        </w:txbxContent>
                      </wps:txbx>
                      <wps:bodyPr rot="0" vert="horz" wrap="square" lIns="91440" tIns="45720" rIns="91440" bIns="45720" anchor="t" anchorCtr="0" upright="1">
                        <a:noAutofit/>
                      </wps:bodyPr>
                    </wps:wsp>
                  </a:graphicData>
                </a:graphic>
              </wp:anchor>
            </w:drawing>
          </mc:Choice>
          <mc:Fallback>
            <w:pict>
              <v:shape w14:anchorId="6E15378F" id="Text Box 11183" o:spid="_x0000_s1382" type="#_x0000_t202" style="position:absolute;left:0;text-align:left;margin-left:33.75pt;margin-top:201.9pt;width:134.95pt;height:22.05pt;z-index:2537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" filled="f" stroked="f">
                <v:textbox>
                  <w:txbxContent>
                    <w:p w14:paraId="1C58C33B" w14:textId="50C3C5D8" w:rsidR="00217891" w:rsidRDefault="00217891" w:rsidP="00BF4432">
                      <w:pPr>
                        <w:pStyle w:val="af1"/>
                        <w:ind w:firstLine="101"/>
                        <w:jc w:val="both"/>
                      </w:pPr>
                      <w:r>
                        <w:rPr>
                          <w:rFonts w:ascii="Calibri" w:cs="Calibri" w:hint="eastAsia"/>
                          <w:kern w:val="2"/>
                          <w:sz w:val="21"/>
                          <w:szCs w:val="21"/>
                        </w:rPr>
                        <w:t>聚合不凝气带入</w:t>
                      </w:r>
                      <w:r>
                        <w:rPr>
                          <w:rFonts w:ascii="Calibri" w:hAnsi="Calibri" w:cs="Calibri"/>
                          <w:kern w:val="2"/>
                          <w:sz w:val="21"/>
                          <w:szCs w:val="21"/>
                        </w:rPr>
                        <w:t>0.76</w:t>
                      </w:r>
                    </w:p>
                  </w:txbxContent>
                </v:textbox>
              </v:shape>
            </w:pict>
          </mc:Fallback>
        </mc:AlternateContent>
      </w:r>
      <w:r w:rsidR="00525F21" w:rsidRPr="00BF4432">
        <w:rPr>
          <w:b/>
          <w:noProof/>
          <w:u w:val="single"/>
        </w:rPr>
        <mc:AlternateContent>
          <mc:Choice Requires="wps">
            <w:drawing>
              <wp:anchor distT="0" distB="0" distL="114300" distR="114300" simplePos="0" relativeHeight="253691392" behindDoc="0" locked="0" layoutInCell="1" allowOverlap="1" wp14:anchorId="685F6096" wp14:editId="2E094591">
                <wp:simplePos x="0" y="0"/>
                <wp:positionH relativeFrom="column">
                  <wp:posOffset>1082040</wp:posOffset>
                </wp:positionH>
                <wp:positionV relativeFrom="paragraph">
                  <wp:posOffset>5084445</wp:posOffset>
                </wp:positionV>
                <wp:extent cx="929005" cy="325755"/>
                <wp:effectExtent l="0" t="0" r="0" b="0"/>
                <wp:wrapNone/>
                <wp:docPr id="723" name="Text Box 1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BC8AE" w14:textId="77777777" w:rsidR="00217891" w:rsidRPr="000E0606" w:rsidRDefault="00217891" w:rsidP="00525F21">
                            <w:pPr>
                              <w:jc w:val="left"/>
                              <w:rPr>
                                <w:rFonts w:ascii="Calibri" w:hAnsi="Calibri"/>
                              </w:rPr>
                            </w:pPr>
                            <w:r w:rsidRPr="000E0606">
                              <w:rPr>
                                <w:rFonts w:ascii="Calibri" w:hAnsi="Calibri" w:hint="eastAsia"/>
                              </w:rPr>
                              <w:t>损耗：</w:t>
                            </w:r>
                            <w:r>
                              <w:rPr>
                                <w:rFonts w:ascii="Calibri" w:hAnsi="Calibri"/>
                              </w:rPr>
                              <w:t>0.48</w:t>
                            </w:r>
                          </w:p>
                        </w:txbxContent>
                      </wps:txbx>
                      <wps:bodyPr rot="0" vert="horz" wrap="square" lIns="91440" tIns="45720" rIns="91440" bIns="45720" anchor="t" anchorCtr="0" upright="1">
                        <a:noAutofit/>
                      </wps:bodyPr>
                    </wps:wsp>
                  </a:graphicData>
                </a:graphic>
              </wp:anchor>
            </w:drawing>
          </mc:Choice>
          <mc:Fallback>
            <w:pict>
              <v:shape w14:anchorId="685F6096" id="Text Box 11167" o:spid="_x0000_s1383" type="#_x0000_t202" style="position:absolute;left:0;text-align:left;margin-left:85.2pt;margin-top:400.35pt;width:73.15pt;height:25.65pt;z-index:2536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AvQIAAMc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" filled="f" stroked="f">
                <v:textbox>
                  <w:txbxContent>
                    <w:p w14:paraId="5D4BC8AE" w14:textId="77777777" w:rsidR="00217891" w:rsidRPr="000E0606" w:rsidRDefault="00217891" w:rsidP="00525F21">
                      <w:pPr>
                        <w:jc w:val="left"/>
                        <w:rPr>
                          <w:rFonts w:ascii="Calibri" w:hAnsi="Calibri"/>
                        </w:rPr>
                      </w:pPr>
                      <w:r w:rsidRPr="000E0606">
                        <w:rPr>
                          <w:rFonts w:ascii="Calibri" w:hAnsi="Calibri" w:hint="eastAsia"/>
                        </w:rPr>
                        <w:t>损耗：</w:t>
                      </w:r>
                      <w:r>
                        <w:rPr>
                          <w:rFonts w:ascii="Calibri" w:hAnsi="Calibri"/>
                        </w:rPr>
                        <w:t>0.48</w:t>
                      </w:r>
                    </w:p>
                  </w:txbxContent>
                </v:textbox>
              </v:shape>
            </w:pict>
          </mc:Fallback>
        </mc:AlternateContent>
      </w:r>
      <w:r w:rsidR="00525F21" w:rsidRPr="00BF4432">
        <w:rPr>
          <w:b/>
          <w:noProof/>
          <w:u w:val="single"/>
        </w:rPr>
        <mc:AlternateContent>
          <mc:Choice Requires="wps">
            <w:drawing>
              <wp:anchor distT="0" distB="0" distL="114300" distR="114300" simplePos="0" relativeHeight="253693440" behindDoc="0" locked="0" layoutInCell="1" allowOverlap="1" wp14:anchorId="34BE94CF" wp14:editId="0E5F8778">
                <wp:simplePos x="0" y="0"/>
                <wp:positionH relativeFrom="margin">
                  <wp:posOffset>1082040</wp:posOffset>
                </wp:positionH>
                <wp:positionV relativeFrom="paragraph">
                  <wp:posOffset>5127625</wp:posOffset>
                </wp:positionV>
                <wp:extent cx="635" cy="248285"/>
                <wp:effectExtent l="76200" t="38100" r="75565" b="18415"/>
                <wp:wrapNone/>
                <wp:docPr id="27166" name="AutoShape 1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82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C5766E" id="AutoShape 11166" o:spid="_x0000_s1026" type="#_x0000_t32" style="position:absolute;left:0;text-align:left;margin-left:85.2pt;margin-top:403.75pt;width:.05pt;height:19.55pt;flip:y;z-index:2536934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">
                <v:stroke dashstyle="dash" endarrow="block"/>
                <w10:wrap anchorx="margin"/>
              </v:shape>
            </w:pict>
          </mc:Fallback>
        </mc:AlternateContent>
      </w:r>
      <w:r w:rsidR="00525F21" w:rsidRPr="00BF4432">
        <w:rPr>
          <w:b/>
          <w:noProof/>
          <w:u w:val="single"/>
        </w:rPr>
        <mc:AlternateContent>
          <mc:Choice Requires="wps">
            <w:drawing>
              <wp:anchor distT="0" distB="0" distL="114300" distR="114300" simplePos="0" relativeHeight="253689344" behindDoc="0" locked="0" layoutInCell="1" allowOverlap="1" wp14:anchorId="01DCB7E7" wp14:editId="0B87B9F7">
                <wp:simplePos x="0" y="0"/>
                <wp:positionH relativeFrom="column">
                  <wp:posOffset>623570</wp:posOffset>
                </wp:positionH>
                <wp:positionV relativeFrom="paragraph">
                  <wp:posOffset>5417820</wp:posOffset>
                </wp:positionV>
                <wp:extent cx="882650" cy="260985"/>
                <wp:effectExtent l="0" t="0" r="0" b="0"/>
                <wp:wrapNone/>
                <wp:docPr id="27162" name="Text Box 1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B3AC70" w14:textId="77777777" w:rsidR="00217891" w:rsidRPr="003E5463" w:rsidRDefault="00217891" w:rsidP="00525F21">
                            <w:pPr>
                              <w:jc w:val="center"/>
                            </w:pPr>
                            <w:r>
                              <w:rPr>
                                <w:rFonts w:hint="eastAsia"/>
                              </w:rPr>
                              <w:t>职工生活</w:t>
                            </w:r>
                          </w:p>
                        </w:txbxContent>
                      </wps:txbx>
                      <wps:bodyPr rot="0" vert="horz" wrap="square" lIns="91440" tIns="45720" rIns="91440" bIns="45720" anchor="t" anchorCtr="0" upright="1">
                        <a:noAutofit/>
                      </wps:bodyPr>
                    </wps:wsp>
                  </a:graphicData>
                </a:graphic>
              </wp:anchor>
            </w:drawing>
          </mc:Choice>
          <mc:Fallback>
            <w:pict>
              <v:shape w14:anchorId="01DCB7E7" id="Text Box 11164" o:spid="_x0000_s1384" type="#_x0000_t202" style="position:absolute;left:0;text-align:left;margin-left:49.1pt;margin-top:426.6pt;width:69.5pt;height:20.55pt;z-index:2536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" filled="f">
                <v:textbox>
                  <w:txbxContent>
                    <w:p w14:paraId="2CB3AC70" w14:textId="77777777" w:rsidR="00217891" w:rsidRPr="003E5463" w:rsidRDefault="00217891" w:rsidP="00525F21">
                      <w:pPr>
                        <w:jc w:val="center"/>
                      </w:pPr>
                      <w:r>
                        <w:rPr>
                          <w:rFonts w:hint="eastAsia"/>
                        </w:rPr>
                        <w:t>职工生活</w:t>
                      </w:r>
                    </w:p>
                  </w:txbxContent>
                </v:textbox>
              </v:shape>
            </w:pict>
          </mc:Fallback>
        </mc:AlternateContent>
      </w:r>
      <w:r w:rsidR="00525F21" w:rsidRPr="00BF4432">
        <w:rPr>
          <w:rFonts w:ascii="Calibri" w:hAnsi="Calibri"/>
          <w:b/>
          <w:noProof/>
          <w:color w:val="auto"/>
          <w:sz w:val="24"/>
          <w:u w:val="single"/>
        </w:rPr>
        <mc:AlternateContent>
          <mc:Choice Requires="wpc">
            <w:drawing>
              <wp:anchor distT="0" distB="0" distL="114300" distR="114300" simplePos="0" relativeHeight="253626880" behindDoc="0" locked="0" layoutInCell="1" allowOverlap="1" wp14:anchorId="70F5F02D" wp14:editId="53355D8D">
                <wp:simplePos x="0" y="0"/>
                <wp:positionH relativeFrom="margin">
                  <wp:posOffset>-78740</wp:posOffset>
                </wp:positionH>
                <wp:positionV relativeFrom="paragraph">
                  <wp:posOffset>53340</wp:posOffset>
                </wp:positionV>
                <wp:extent cx="5977890" cy="6461760"/>
                <wp:effectExtent l="0" t="0" r="3810" b="0"/>
                <wp:wrapTopAndBottom/>
                <wp:docPr id="37865" name="画布 37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818" name="Text Box 11191"/>
                        <wps:cNvSpPr txBox="1">
                          <a:spLocks noChangeArrowheads="1"/>
                        </wps:cNvSpPr>
                        <wps:spPr bwMode="auto">
                          <a:xfrm>
                            <a:off x="685165" y="741680"/>
                            <a:ext cx="89979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7C3FC" w14:textId="77777777" w:rsidR="00217891" w:rsidRPr="003E5463" w:rsidRDefault="00217891" w:rsidP="00C2742E">
                              <w:pPr>
                                <w:jc w:val="center"/>
                              </w:pPr>
                              <w:r>
                                <w:rPr>
                                  <w:rFonts w:hint="eastAsia"/>
                                </w:rPr>
                                <w:t>纯水站</w:t>
                              </w:r>
                            </w:p>
                          </w:txbxContent>
                        </wps:txbx>
                        <wps:bodyPr rot="0" vert="horz" wrap="square" lIns="91440" tIns="45720" rIns="91440" bIns="45720" anchor="t" anchorCtr="0" upright="1">
                          <a:noAutofit/>
                        </wps:bodyPr>
                      </wps:wsp>
                      <wps:wsp>
                        <wps:cNvPr id="37819" name="Text Box 11192"/>
                        <wps:cNvSpPr txBox="1">
                          <a:spLocks noChangeArrowheads="1"/>
                        </wps:cNvSpPr>
                        <wps:spPr bwMode="auto">
                          <a:xfrm>
                            <a:off x="104140" y="62547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EEFC" w14:textId="77777777" w:rsidR="00217891" w:rsidRPr="000E0606" w:rsidRDefault="00217891" w:rsidP="00C2742E">
                              <w:pPr>
                                <w:jc w:val="center"/>
                                <w:rPr>
                                  <w:rFonts w:ascii="Calibri" w:hAnsi="Calibri"/>
                                </w:rPr>
                              </w:pPr>
                              <w:r>
                                <w:rPr>
                                  <w:rFonts w:ascii="Calibri" w:hAnsi="Calibri"/>
                                </w:rPr>
                                <w:t>3.72</w:t>
                              </w:r>
                            </w:p>
                          </w:txbxContent>
                        </wps:txbx>
                        <wps:bodyPr rot="0" vert="horz" wrap="square" lIns="91440" tIns="45720" rIns="91440" bIns="45720" anchor="t" anchorCtr="0" upright="1">
                          <a:noAutofit/>
                        </wps:bodyPr>
                      </wps:wsp>
                      <wps:wsp>
                        <wps:cNvPr id="37820" name="AutoShape 11193"/>
                        <wps:cNvCnPr>
                          <a:cxnSpLocks noChangeShapeType="1"/>
                        </wps:cNvCnPr>
                        <wps:spPr bwMode="auto">
                          <a:xfrm flipH="1">
                            <a:off x="3435350" y="255905"/>
                            <a:ext cx="1079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21" name="Text Box 11194"/>
                        <wps:cNvSpPr txBox="1">
                          <a:spLocks noChangeArrowheads="1"/>
                        </wps:cNvSpPr>
                        <wps:spPr bwMode="auto">
                          <a:xfrm>
                            <a:off x="2075815" y="749300"/>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02C8A1" w14:textId="77777777" w:rsidR="00217891" w:rsidRPr="003E5463" w:rsidRDefault="00217891" w:rsidP="00C2742E">
                              <w:pPr>
                                <w:jc w:val="center"/>
                              </w:pPr>
                              <w:r>
                                <w:rPr>
                                  <w:rFonts w:ascii="Calibri" w:hAnsi="Calibri" w:hint="eastAsia"/>
                                  <w:snapToGrid w:val="0"/>
                                  <w:szCs w:val="21"/>
                                </w:rPr>
                                <w:t>纯水</w:t>
                              </w:r>
                            </w:p>
                          </w:txbxContent>
                        </wps:txbx>
                        <wps:bodyPr rot="0" vert="horz" wrap="square" lIns="91440" tIns="45720" rIns="91440" bIns="45720" anchor="t" anchorCtr="0" upright="1">
                          <a:noAutofit/>
                        </wps:bodyPr>
                      </wps:wsp>
                      <wps:wsp>
                        <wps:cNvPr id="37822" name="AutoShape 11195"/>
                        <wps:cNvCnPr>
                          <a:cxnSpLocks noChangeShapeType="1"/>
                        </wps:cNvCnPr>
                        <wps:spPr bwMode="auto">
                          <a:xfrm flipH="1">
                            <a:off x="200025" y="303530"/>
                            <a:ext cx="1" cy="521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23" name="AutoShape 11196"/>
                        <wps:cNvCnPr>
                          <a:cxnSpLocks noChangeShapeType="1"/>
                        </wps:cNvCnPr>
                        <wps:spPr bwMode="auto">
                          <a:xfrm>
                            <a:off x="114300" y="295910"/>
                            <a:ext cx="0" cy="528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24" name="AutoShape 11197"/>
                        <wps:cNvCnPr>
                          <a:cxnSpLocks noChangeShapeType="1"/>
                        </wps:cNvCnPr>
                        <wps:spPr bwMode="auto">
                          <a:xfrm>
                            <a:off x="214630" y="3329305"/>
                            <a:ext cx="48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25" name="Text Box 11198"/>
                        <wps:cNvSpPr txBox="1">
                          <a:spLocks noChangeArrowheads="1"/>
                        </wps:cNvSpPr>
                        <wps:spPr bwMode="auto">
                          <a:xfrm>
                            <a:off x="699135" y="3152140"/>
                            <a:ext cx="882650" cy="33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D0FBC7" w14:textId="77777777" w:rsidR="00217891" w:rsidRPr="003E5463" w:rsidRDefault="00217891" w:rsidP="00C2742E">
                              <w:pPr>
                                <w:jc w:val="center"/>
                              </w:pPr>
                              <w:r>
                                <w:rPr>
                                  <w:rFonts w:hint="eastAsia"/>
                                </w:rPr>
                                <w:t>水喷淋</w:t>
                              </w:r>
                              <w:r>
                                <w:t>塔</w:t>
                              </w:r>
                            </w:p>
                          </w:txbxContent>
                        </wps:txbx>
                        <wps:bodyPr rot="0" vert="horz" wrap="square" lIns="91440" tIns="45720" rIns="91440" bIns="45720" anchor="t" anchorCtr="0" upright="1">
                          <a:noAutofit/>
                        </wps:bodyPr>
                      </wps:wsp>
                      <wps:wsp>
                        <wps:cNvPr id="37826" name="AutoShape 11199"/>
                        <wps:cNvCnPr>
                          <a:cxnSpLocks noChangeShapeType="1"/>
                        </wps:cNvCnPr>
                        <wps:spPr bwMode="auto">
                          <a:xfrm>
                            <a:off x="1581785" y="331724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27" name="AutoShape 11200"/>
                        <wps:cNvCnPr>
                          <a:cxnSpLocks noChangeShapeType="1"/>
                        </wps:cNvCnPr>
                        <wps:spPr bwMode="auto">
                          <a:xfrm>
                            <a:off x="5755005" y="208915"/>
                            <a:ext cx="635" cy="395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28" name="Text Box 11201"/>
                        <wps:cNvSpPr txBox="1">
                          <a:spLocks noChangeArrowheads="1"/>
                        </wps:cNvSpPr>
                        <wps:spPr bwMode="auto">
                          <a:xfrm>
                            <a:off x="4339590" y="4214495"/>
                            <a:ext cx="1569720" cy="258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FA1377" w14:textId="433FDE08" w:rsidR="00217891" w:rsidRPr="000E0606" w:rsidRDefault="00217891" w:rsidP="00C2742E">
                              <w:pPr>
                                <w:jc w:val="center"/>
                                <w:rPr>
                                  <w:rFonts w:ascii="Calibri" w:hAnsi="Calibri"/>
                                </w:rPr>
                              </w:pPr>
                              <w:r w:rsidRPr="000E0606">
                                <w:rPr>
                                  <w:rFonts w:ascii="Calibri"/>
                                </w:rPr>
                                <w:t>厂区废水处理站（</w:t>
                              </w:r>
                              <w:r>
                                <w:rPr>
                                  <w:rFonts w:ascii="Calibri" w:hAnsi="Calibri"/>
                                </w:rPr>
                                <w:t>7.757</w:t>
                              </w:r>
                              <w:r w:rsidRPr="000E0606">
                                <w:rPr>
                                  <w:rFonts w:ascii="Calibri"/>
                                </w:rPr>
                                <w:t>）</w:t>
                              </w:r>
                            </w:p>
                          </w:txbxContent>
                        </wps:txbx>
                        <wps:bodyPr rot="0" vert="horz" wrap="square" lIns="18000" tIns="45720" rIns="18000" bIns="45720" anchor="t" anchorCtr="0" upright="1">
                          <a:noAutofit/>
                        </wps:bodyPr>
                      </wps:wsp>
                      <wps:wsp>
                        <wps:cNvPr id="37829" name="AutoShape 11202"/>
                        <wps:cNvCnPr>
                          <a:cxnSpLocks noChangeShapeType="1"/>
                        </wps:cNvCnPr>
                        <wps:spPr bwMode="auto">
                          <a:xfrm flipV="1">
                            <a:off x="5125085" y="4458970"/>
                            <a:ext cx="635"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0" name="AutoShape 11203"/>
                        <wps:cNvCnPr>
                          <a:cxnSpLocks noChangeShapeType="1"/>
                        </wps:cNvCnPr>
                        <wps:spPr bwMode="auto">
                          <a:xfrm flipH="1">
                            <a:off x="3321685" y="4346575"/>
                            <a:ext cx="101854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31" name="Text Box 11204"/>
                        <wps:cNvSpPr txBox="1">
                          <a:spLocks noChangeArrowheads="1"/>
                        </wps:cNvSpPr>
                        <wps:spPr bwMode="auto">
                          <a:xfrm>
                            <a:off x="73025" y="104775"/>
                            <a:ext cx="11747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6BDB" w14:textId="77777777" w:rsidR="00217891" w:rsidRPr="000E0606" w:rsidRDefault="00217891" w:rsidP="00C2742E">
                              <w:pPr>
                                <w:jc w:val="left"/>
                                <w:rPr>
                                  <w:rFonts w:ascii="Calibri" w:hAnsi="Calibri"/>
                                </w:rPr>
                              </w:pPr>
                              <w:r w:rsidRPr="000E0606">
                                <w:rPr>
                                  <w:rFonts w:ascii="Calibri" w:hAnsi="Calibri" w:hint="eastAsia"/>
                                </w:rPr>
                                <w:t>新鲜水：</w:t>
                              </w:r>
                              <w:r>
                                <w:rPr>
                                  <w:rFonts w:ascii="Calibri" w:hAnsi="Calibri"/>
                                </w:rPr>
                                <w:t>6.73</w:t>
                              </w:r>
                            </w:p>
                          </w:txbxContent>
                        </wps:txbx>
                        <wps:bodyPr rot="0" vert="horz" wrap="square" lIns="91440" tIns="45720" rIns="91440" bIns="45720" anchor="t" anchorCtr="0" upright="1">
                          <a:noAutofit/>
                        </wps:bodyPr>
                      </wps:wsp>
                      <wps:wsp>
                        <wps:cNvPr id="37832" name="AutoShape 11205"/>
                        <wps:cNvCnPr>
                          <a:cxnSpLocks noChangeShapeType="1"/>
                        </wps:cNvCnPr>
                        <wps:spPr bwMode="auto">
                          <a:xfrm>
                            <a:off x="214630" y="86233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3" name="AutoShape 11206"/>
                        <wps:cNvCnPr>
                          <a:cxnSpLocks noChangeShapeType="1"/>
                        </wps:cNvCnPr>
                        <wps:spPr bwMode="auto">
                          <a:xfrm>
                            <a:off x="1598930" y="88582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4" name="AutoShape 11207"/>
                        <wps:cNvCnPr>
                          <a:cxnSpLocks noChangeShapeType="1"/>
                        </wps:cNvCnPr>
                        <wps:spPr bwMode="auto">
                          <a:xfrm>
                            <a:off x="2974975" y="88646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5" name="AutoShape 11208"/>
                        <wps:cNvCnPr>
                          <a:cxnSpLocks noChangeShapeType="1"/>
                        </wps:cNvCnPr>
                        <wps:spPr bwMode="auto">
                          <a:xfrm>
                            <a:off x="3446145" y="25400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6" name="Text Box 11209"/>
                        <wps:cNvSpPr txBox="1">
                          <a:spLocks noChangeArrowheads="1"/>
                        </wps:cNvSpPr>
                        <wps:spPr bwMode="auto">
                          <a:xfrm>
                            <a:off x="3919855" y="132080"/>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3458A9" w14:textId="77777777" w:rsidR="00217891" w:rsidRPr="003E5463" w:rsidRDefault="00217891" w:rsidP="00C2742E">
                              <w:pPr>
                                <w:jc w:val="center"/>
                              </w:pPr>
                              <w:r>
                                <w:rPr>
                                  <w:rFonts w:ascii="Calibri" w:hAnsi="Calibri" w:hint="eastAsia"/>
                                  <w:snapToGrid w:val="0"/>
                                  <w:szCs w:val="21"/>
                                </w:rPr>
                                <w:t>制粒冷却</w:t>
                              </w:r>
                            </w:p>
                          </w:txbxContent>
                        </wps:txbx>
                        <wps:bodyPr rot="0" vert="horz" wrap="square" lIns="91440" tIns="45720" rIns="91440" bIns="45720" anchor="t" anchorCtr="0" upright="1">
                          <a:noAutofit/>
                        </wps:bodyPr>
                      </wps:wsp>
                      <wps:wsp>
                        <wps:cNvPr id="37837" name="AutoShape 11210"/>
                        <wps:cNvCnPr>
                          <a:cxnSpLocks noChangeShapeType="1"/>
                        </wps:cNvCnPr>
                        <wps:spPr bwMode="auto">
                          <a:xfrm>
                            <a:off x="3446145" y="87058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8" name="Text Box 11211"/>
                        <wps:cNvSpPr txBox="1">
                          <a:spLocks noChangeArrowheads="1"/>
                        </wps:cNvSpPr>
                        <wps:spPr bwMode="auto">
                          <a:xfrm>
                            <a:off x="3919855" y="741680"/>
                            <a:ext cx="102933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CF3CB" w14:textId="77777777" w:rsidR="00217891" w:rsidRPr="003E5463" w:rsidRDefault="00217891" w:rsidP="00C2742E">
                              <w:r>
                                <w:rPr>
                                  <w:rFonts w:ascii="Calibri" w:hAnsi="Calibri" w:hint="eastAsia"/>
                                  <w:snapToGrid w:val="0"/>
                                  <w:szCs w:val="21"/>
                                </w:rPr>
                                <w:t>真空机</w:t>
                              </w:r>
                              <w:r>
                                <w:rPr>
                                  <w:rFonts w:ascii="Calibri" w:hAnsi="Calibri"/>
                                  <w:snapToGrid w:val="0"/>
                                  <w:szCs w:val="21"/>
                                </w:rPr>
                                <w:t>循环泵</w:t>
                              </w:r>
                            </w:p>
                          </w:txbxContent>
                        </wps:txbx>
                        <wps:bodyPr rot="0" vert="horz" wrap="square" lIns="91440" tIns="45720" rIns="91440" bIns="45720" anchor="t" anchorCtr="0" upright="1">
                          <a:noAutofit/>
                        </wps:bodyPr>
                      </wps:wsp>
                      <wps:wsp>
                        <wps:cNvPr id="37839" name="AutoShape 11212"/>
                        <wps:cNvCnPr>
                          <a:cxnSpLocks noChangeShapeType="1"/>
                        </wps:cNvCnPr>
                        <wps:spPr bwMode="auto">
                          <a:xfrm>
                            <a:off x="3446145" y="1503045"/>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0" name="Text Box 11213"/>
                        <wps:cNvSpPr txBox="1">
                          <a:spLocks noChangeArrowheads="1"/>
                        </wps:cNvSpPr>
                        <wps:spPr bwMode="auto">
                          <a:xfrm>
                            <a:off x="3919855" y="1381760"/>
                            <a:ext cx="102933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1189A5" w14:textId="77777777" w:rsidR="00217891" w:rsidRPr="003E5463" w:rsidRDefault="00217891" w:rsidP="00C2742E">
                              <w:r>
                                <w:rPr>
                                  <w:rFonts w:ascii="Calibri" w:hAnsi="Calibri" w:hint="eastAsia"/>
                                  <w:snapToGrid w:val="0"/>
                                  <w:szCs w:val="21"/>
                                </w:rPr>
                                <w:t>冷却循环</w:t>
                              </w:r>
                              <w:r>
                                <w:rPr>
                                  <w:rFonts w:ascii="Calibri" w:hAnsi="Calibri"/>
                                  <w:snapToGrid w:val="0"/>
                                  <w:szCs w:val="21"/>
                                </w:rPr>
                                <w:t>水站</w:t>
                              </w:r>
                            </w:p>
                          </w:txbxContent>
                        </wps:txbx>
                        <wps:bodyPr rot="0" vert="horz" wrap="square" lIns="91440" tIns="45720" rIns="91440" bIns="45720" anchor="t" anchorCtr="0" upright="1">
                          <a:noAutofit/>
                        </wps:bodyPr>
                      </wps:wsp>
                      <wps:wsp>
                        <wps:cNvPr id="37841" name="AutoShape 11214"/>
                        <wps:cNvCnPr>
                          <a:cxnSpLocks noChangeShapeType="1"/>
                        </wps:cNvCnPr>
                        <wps:spPr bwMode="auto">
                          <a:xfrm flipH="1">
                            <a:off x="4396740" y="1656715"/>
                            <a:ext cx="3810" cy="4870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42" name="AutoShape 11215"/>
                        <wps:cNvCnPr>
                          <a:cxnSpLocks noChangeShapeType="1"/>
                        </wps:cNvCnPr>
                        <wps:spPr bwMode="auto">
                          <a:xfrm flipH="1">
                            <a:off x="3277235" y="2136140"/>
                            <a:ext cx="111442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3" name="AutoShape 11216"/>
                        <wps:cNvCnPr>
                          <a:cxnSpLocks noChangeShapeType="1"/>
                        </wps:cNvCnPr>
                        <wps:spPr bwMode="auto">
                          <a:xfrm flipH="1">
                            <a:off x="1099820" y="1002665"/>
                            <a:ext cx="635" cy="11563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44" name="AutoShape 11217"/>
                        <wps:cNvCnPr>
                          <a:cxnSpLocks noChangeShapeType="1"/>
                        </wps:cNvCnPr>
                        <wps:spPr bwMode="auto">
                          <a:xfrm flipV="1">
                            <a:off x="1096010" y="2152650"/>
                            <a:ext cx="2191385"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5" name="AutoShape 11218"/>
                        <wps:cNvCnPr>
                          <a:cxnSpLocks noChangeShapeType="1"/>
                        </wps:cNvCnPr>
                        <wps:spPr bwMode="auto">
                          <a:xfrm>
                            <a:off x="3287395" y="2145030"/>
                            <a:ext cx="8255" cy="162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6" name="AutoShape 11219"/>
                        <wps:cNvCnPr>
                          <a:cxnSpLocks noChangeShapeType="1"/>
                        </wps:cNvCnPr>
                        <wps:spPr bwMode="auto">
                          <a:xfrm>
                            <a:off x="4829810" y="216535"/>
                            <a:ext cx="919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7" name="AutoShape 11220"/>
                        <wps:cNvCnPr>
                          <a:cxnSpLocks noChangeShapeType="1"/>
                        </wps:cNvCnPr>
                        <wps:spPr bwMode="auto">
                          <a:xfrm>
                            <a:off x="4966335" y="857885"/>
                            <a:ext cx="820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8" name="AutoShape 11221"/>
                        <wps:cNvCnPr>
                          <a:cxnSpLocks noChangeShapeType="1"/>
                        </wps:cNvCnPr>
                        <wps:spPr bwMode="auto">
                          <a:xfrm>
                            <a:off x="4966335" y="2618105"/>
                            <a:ext cx="820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9" name="Text Box 11222"/>
                        <wps:cNvSpPr txBox="1">
                          <a:spLocks noChangeArrowheads="1"/>
                        </wps:cNvSpPr>
                        <wps:spPr bwMode="auto">
                          <a:xfrm>
                            <a:off x="3919855" y="2396490"/>
                            <a:ext cx="102933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1A62" w14:textId="77777777" w:rsidR="00217891" w:rsidRPr="003E5463" w:rsidRDefault="00217891" w:rsidP="00C2742E">
                              <w:r>
                                <w:rPr>
                                  <w:rFonts w:ascii="Calibri" w:hAnsi="Calibri" w:hint="eastAsia"/>
                                  <w:snapToGrid w:val="0"/>
                                  <w:szCs w:val="21"/>
                                </w:rPr>
                                <w:t>原料带入</w:t>
                              </w:r>
                              <w:r>
                                <w:rPr>
                                  <w:rFonts w:ascii="Calibri" w:hAnsi="Calibri"/>
                                  <w:snapToGrid w:val="0"/>
                                  <w:szCs w:val="21"/>
                                </w:rPr>
                                <w:t>及聚合生成水</w:t>
                              </w:r>
                            </w:p>
                          </w:txbxContent>
                        </wps:txbx>
                        <wps:bodyPr rot="0" vert="horz" wrap="square" lIns="91440" tIns="45720" rIns="91440" bIns="45720" anchor="t" anchorCtr="0" upright="1">
                          <a:noAutofit/>
                        </wps:bodyPr>
                      </wps:wsp>
                      <wps:wsp>
                        <wps:cNvPr id="37850" name="Text Box 11223"/>
                        <wps:cNvSpPr txBox="1">
                          <a:spLocks noChangeArrowheads="1"/>
                        </wps:cNvSpPr>
                        <wps:spPr bwMode="auto">
                          <a:xfrm>
                            <a:off x="2759075" y="3745230"/>
                            <a:ext cx="13843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2F1CB" w14:textId="725CF7C3" w:rsidR="00217891" w:rsidRPr="000E0606" w:rsidRDefault="00217891" w:rsidP="00C2742E">
                              <w:pPr>
                                <w:jc w:val="center"/>
                                <w:rPr>
                                  <w:rFonts w:ascii="Calibri" w:hAnsi="Calibri"/>
                                  <w:color w:val="0033CC"/>
                                </w:rPr>
                              </w:pPr>
                              <w:r w:rsidRPr="000E0606">
                                <w:rPr>
                                  <w:rFonts w:ascii="Calibri" w:hAnsi="Calibri" w:hint="eastAsia"/>
                                  <w:color w:val="0033CC"/>
                                </w:rPr>
                                <w:t>总排放口（</w:t>
                              </w:r>
                              <w:r>
                                <w:rPr>
                                  <w:rFonts w:ascii="Calibri" w:hAnsi="Calibri"/>
                                  <w:color w:val="0033CC"/>
                                </w:rPr>
                                <w:t>8.879</w:t>
                              </w:r>
                              <w:r w:rsidRPr="000E0606">
                                <w:rPr>
                                  <w:rFonts w:ascii="Calibri" w:hAnsi="Calibri" w:hint="eastAsia"/>
                                  <w:color w:val="0033CC"/>
                                </w:rPr>
                                <w:t>）</w:t>
                              </w:r>
                            </w:p>
                          </w:txbxContent>
                        </wps:txbx>
                        <wps:bodyPr rot="0" vert="horz" wrap="square" lIns="91440" tIns="45720" rIns="91440" bIns="45720" anchor="t" anchorCtr="0" upright="1">
                          <a:noAutofit/>
                        </wps:bodyPr>
                      </wps:wsp>
                      <wps:wsp>
                        <wps:cNvPr id="37851" name="AutoShape 11224"/>
                        <wps:cNvCnPr>
                          <a:cxnSpLocks noChangeShapeType="1"/>
                        </wps:cNvCnPr>
                        <wps:spPr bwMode="auto">
                          <a:xfrm>
                            <a:off x="2051050" y="3288030"/>
                            <a:ext cx="0" cy="22288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52" name="AutoShape 11225"/>
                        <wps:cNvCnPr>
                          <a:cxnSpLocks noChangeShapeType="1"/>
                        </wps:cNvCnPr>
                        <wps:spPr bwMode="auto">
                          <a:xfrm flipV="1">
                            <a:off x="2041525" y="4842510"/>
                            <a:ext cx="3103245" cy="298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53" name="AutoShape 11226"/>
                        <wps:cNvCnPr>
                          <a:cxnSpLocks noChangeShapeType="1"/>
                        </wps:cNvCnPr>
                        <wps:spPr bwMode="auto">
                          <a:xfrm flipV="1">
                            <a:off x="3315335" y="3963035"/>
                            <a:ext cx="635"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4" name="Text Box 11227"/>
                        <wps:cNvSpPr txBox="1">
                          <a:spLocks noChangeArrowheads="1"/>
                        </wps:cNvSpPr>
                        <wps:spPr bwMode="auto">
                          <a:xfrm>
                            <a:off x="1568450" y="66357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6991" w14:textId="77777777" w:rsidR="00217891" w:rsidRPr="000E0606" w:rsidRDefault="00217891" w:rsidP="00C2742E">
                              <w:pPr>
                                <w:jc w:val="center"/>
                                <w:rPr>
                                  <w:rFonts w:ascii="Calibri" w:hAnsi="Calibri"/>
                                </w:rPr>
                              </w:pPr>
                              <w:r>
                                <w:rPr>
                                  <w:rFonts w:ascii="Calibri" w:hAnsi="Calibri"/>
                                </w:rPr>
                                <w:t>2.61</w:t>
                              </w:r>
                            </w:p>
                          </w:txbxContent>
                        </wps:txbx>
                        <wps:bodyPr rot="0" vert="horz" wrap="square" lIns="91440" tIns="45720" rIns="91440" bIns="45720" anchor="t" anchorCtr="0" upright="1">
                          <a:noAutofit/>
                        </wps:bodyPr>
                      </wps:wsp>
                      <wps:wsp>
                        <wps:cNvPr id="37855" name="Text Box 11228"/>
                        <wps:cNvSpPr txBox="1">
                          <a:spLocks noChangeArrowheads="1"/>
                        </wps:cNvSpPr>
                        <wps:spPr bwMode="auto">
                          <a:xfrm>
                            <a:off x="1179830" y="1936115"/>
                            <a:ext cx="817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B8A1E" w14:textId="77777777" w:rsidR="00217891" w:rsidRPr="000E0606" w:rsidRDefault="00217891" w:rsidP="00C2742E">
                              <w:pPr>
                                <w:jc w:val="center"/>
                                <w:rPr>
                                  <w:rFonts w:ascii="Calibri" w:hAnsi="Calibri"/>
                                </w:rPr>
                              </w:pPr>
                              <w:r>
                                <w:rPr>
                                  <w:rFonts w:ascii="Calibri" w:hAnsi="Calibri" w:hint="eastAsia"/>
                                </w:rPr>
                                <w:t>浓水</w:t>
                              </w:r>
                              <w:r>
                                <w:rPr>
                                  <w:rFonts w:ascii="Calibri" w:hAnsi="Calibri" w:hint="eastAsia"/>
                                </w:rPr>
                                <w:t>1.</w:t>
                              </w:r>
                              <w:r>
                                <w:rPr>
                                  <w:rFonts w:ascii="Calibri" w:hAnsi="Calibri"/>
                                </w:rPr>
                                <w:t>11</w:t>
                              </w:r>
                            </w:p>
                          </w:txbxContent>
                        </wps:txbx>
                        <wps:bodyPr rot="0" vert="horz" wrap="square" lIns="91440" tIns="45720" rIns="91440" bIns="45720" anchor="t" anchorCtr="0" upright="1">
                          <a:noAutofit/>
                        </wps:bodyPr>
                      </wps:wsp>
                      <wps:wsp>
                        <wps:cNvPr id="37856" name="Text Box 11229"/>
                        <wps:cNvSpPr txBox="1">
                          <a:spLocks noChangeArrowheads="1"/>
                        </wps:cNvSpPr>
                        <wps:spPr bwMode="auto">
                          <a:xfrm>
                            <a:off x="2909570" y="68643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89FE" w14:textId="77777777" w:rsidR="00217891" w:rsidRPr="000E0606" w:rsidRDefault="00217891" w:rsidP="00C2742E">
                              <w:pPr>
                                <w:jc w:val="center"/>
                                <w:rPr>
                                  <w:rFonts w:ascii="Calibri" w:hAnsi="Calibri"/>
                                </w:rPr>
                              </w:pPr>
                              <w:r>
                                <w:rPr>
                                  <w:rFonts w:ascii="Calibri" w:hAnsi="Calibri"/>
                                </w:rPr>
                                <w:t>2.61</w:t>
                              </w:r>
                            </w:p>
                          </w:txbxContent>
                        </wps:txbx>
                        <wps:bodyPr rot="0" vert="horz" wrap="square" lIns="91440" tIns="45720" rIns="91440" bIns="45720" anchor="t" anchorCtr="0" upright="1">
                          <a:noAutofit/>
                        </wps:bodyPr>
                      </wps:wsp>
                      <wps:wsp>
                        <wps:cNvPr id="37857" name="Text Box 11230"/>
                        <wps:cNvSpPr txBox="1">
                          <a:spLocks noChangeArrowheads="1"/>
                        </wps:cNvSpPr>
                        <wps:spPr bwMode="auto">
                          <a:xfrm>
                            <a:off x="3404870" y="62547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66A37" w14:textId="77777777" w:rsidR="00217891" w:rsidRPr="000E0606" w:rsidRDefault="00217891" w:rsidP="00C2742E">
                              <w:pPr>
                                <w:jc w:val="center"/>
                                <w:rPr>
                                  <w:rFonts w:ascii="Calibri" w:hAnsi="Calibri"/>
                                </w:rPr>
                              </w:pPr>
                              <w:r>
                                <w:rPr>
                                  <w:rFonts w:ascii="Calibri" w:hAnsi="Calibri"/>
                                </w:rPr>
                                <w:t>2.23</w:t>
                              </w:r>
                            </w:p>
                          </w:txbxContent>
                        </wps:txbx>
                        <wps:bodyPr rot="0" vert="horz" wrap="square" lIns="91440" tIns="45720" rIns="91440" bIns="45720" anchor="t" anchorCtr="0" upright="1">
                          <a:noAutofit/>
                        </wps:bodyPr>
                      </wps:wsp>
                      <wps:wsp>
                        <wps:cNvPr id="37858" name="Text Box 11231"/>
                        <wps:cNvSpPr txBox="1">
                          <a:spLocks noChangeArrowheads="1"/>
                        </wps:cNvSpPr>
                        <wps:spPr bwMode="auto">
                          <a:xfrm>
                            <a:off x="3404870" y="128079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D489B" w14:textId="77777777" w:rsidR="00217891" w:rsidRPr="000E0606" w:rsidRDefault="00217891" w:rsidP="00C2742E">
                              <w:pPr>
                                <w:jc w:val="center"/>
                                <w:rPr>
                                  <w:rFonts w:ascii="Calibri" w:hAnsi="Calibri"/>
                                </w:rPr>
                              </w:pPr>
                              <w:r>
                                <w:rPr>
                                  <w:rFonts w:ascii="Calibri" w:hAnsi="Calibri"/>
                                </w:rPr>
                                <w:t>0.12</w:t>
                              </w:r>
                            </w:p>
                          </w:txbxContent>
                        </wps:txbx>
                        <wps:bodyPr rot="0" vert="horz" wrap="square" lIns="91440" tIns="45720" rIns="91440" bIns="45720" anchor="t" anchorCtr="0" upright="1">
                          <a:noAutofit/>
                        </wps:bodyPr>
                      </wps:wsp>
                      <wps:wsp>
                        <wps:cNvPr id="37859" name="Text Box 11232"/>
                        <wps:cNvSpPr txBox="1">
                          <a:spLocks noChangeArrowheads="1"/>
                        </wps:cNvSpPr>
                        <wps:spPr bwMode="auto">
                          <a:xfrm>
                            <a:off x="5020310" y="235775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6B69" w14:textId="771435CC" w:rsidR="00217891" w:rsidRPr="000E0606" w:rsidRDefault="00217891" w:rsidP="00C2742E">
                              <w:pPr>
                                <w:jc w:val="center"/>
                                <w:rPr>
                                  <w:rFonts w:ascii="Calibri" w:hAnsi="Calibri"/>
                                </w:rPr>
                              </w:pPr>
                              <w:r>
                                <w:rPr>
                                  <w:rFonts w:ascii="Calibri" w:hAnsi="Calibri"/>
                                </w:rPr>
                                <w:t>2.21</w:t>
                              </w:r>
                            </w:p>
                          </w:txbxContent>
                        </wps:txbx>
                        <wps:bodyPr rot="0" vert="horz" wrap="square" lIns="91440" tIns="45720" rIns="91440" bIns="45720" anchor="t" anchorCtr="0" upright="1">
                          <a:noAutofit/>
                        </wps:bodyPr>
                      </wps:wsp>
                      <wps:wsp>
                        <wps:cNvPr id="37860" name="Text Box 11233"/>
                        <wps:cNvSpPr txBox="1">
                          <a:spLocks noChangeArrowheads="1"/>
                        </wps:cNvSpPr>
                        <wps:spPr bwMode="auto">
                          <a:xfrm>
                            <a:off x="5005070" y="60261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6C8C" w14:textId="77777777" w:rsidR="00217891" w:rsidRPr="000E0606" w:rsidRDefault="00217891" w:rsidP="00C2742E">
                              <w:pPr>
                                <w:jc w:val="center"/>
                                <w:rPr>
                                  <w:rFonts w:ascii="Calibri" w:hAnsi="Calibri"/>
                                </w:rPr>
                              </w:pPr>
                              <w:r>
                                <w:rPr>
                                  <w:rFonts w:ascii="Calibri" w:hAnsi="Calibri"/>
                                </w:rPr>
                                <w:t>2.23</w:t>
                              </w:r>
                            </w:p>
                          </w:txbxContent>
                        </wps:txbx>
                        <wps:bodyPr rot="0" vert="horz" wrap="square" lIns="91440" tIns="45720" rIns="91440" bIns="45720" anchor="t" anchorCtr="0" upright="1">
                          <a:noAutofit/>
                        </wps:bodyPr>
                      </wps:wsp>
                      <wps:wsp>
                        <wps:cNvPr id="37861" name="Text Box 11234"/>
                        <wps:cNvSpPr txBox="1">
                          <a:spLocks noChangeArrowheads="1"/>
                        </wps:cNvSpPr>
                        <wps:spPr bwMode="auto">
                          <a:xfrm>
                            <a:off x="3549650" y="192405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1866" w14:textId="77777777" w:rsidR="00217891" w:rsidRPr="000E0606" w:rsidRDefault="00217891" w:rsidP="00C2742E">
                              <w:pPr>
                                <w:jc w:val="center"/>
                                <w:rPr>
                                  <w:rFonts w:ascii="Calibri" w:hAnsi="Calibri"/>
                                </w:rPr>
                              </w:pPr>
                              <w:r>
                                <w:rPr>
                                  <w:rFonts w:ascii="Calibri" w:hAnsi="Calibri"/>
                                </w:rPr>
                                <w:t>0.012</w:t>
                              </w:r>
                            </w:p>
                          </w:txbxContent>
                        </wps:txbx>
                        <wps:bodyPr rot="0" vert="horz" wrap="square" lIns="91440" tIns="45720" rIns="91440" bIns="45720" anchor="t" anchorCtr="0" upright="1">
                          <a:noAutofit/>
                        </wps:bodyPr>
                      </wps:wsp>
                      <wps:wsp>
                        <wps:cNvPr id="37862" name="Text Box 11235"/>
                        <wps:cNvSpPr txBox="1">
                          <a:spLocks noChangeArrowheads="1"/>
                        </wps:cNvSpPr>
                        <wps:spPr bwMode="auto">
                          <a:xfrm>
                            <a:off x="181610" y="306895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EF21" w14:textId="77777777" w:rsidR="00217891" w:rsidRPr="000E0606" w:rsidRDefault="00217891" w:rsidP="00C2742E">
                              <w:pPr>
                                <w:jc w:val="center"/>
                                <w:rPr>
                                  <w:rFonts w:ascii="Calibri" w:hAnsi="Calibri"/>
                                </w:rPr>
                              </w:pPr>
                              <w:r>
                                <w:rPr>
                                  <w:rFonts w:ascii="Calibri" w:hAnsi="Calibri"/>
                                </w:rPr>
                                <w:t>0.61</w:t>
                              </w:r>
                            </w:p>
                          </w:txbxContent>
                        </wps:txbx>
                        <wps:bodyPr rot="0" vert="horz" wrap="square" lIns="91440" tIns="45720" rIns="91440" bIns="45720" anchor="t" anchorCtr="0" upright="1">
                          <a:noAutofit/>
                        </wps:bodyPr>
                      </wps:wsp>
                      <wps:wsp>
                        <wps:cNvPr id="37863" name="Text Box 11236"/>
                        <wps:cNvSpPr txBox="1">
                          <a:spLocks noChangeArrowheads="1"/>
                        </wps:cNvSpPr>
                        <wps:spPr bwMode="auto">
                          <a:xfrm>
                            <a:off x="1547495" y="304419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ABC9F" w14:textId="0C2F6B59" w:rsidR="00217891" w:rsidRPr="000E0606" w:rsidRDefault="00217891" w:rsidP="00C2742E">
                              <w:pPr>
                                <w:jc w:val="center"/>
                                <w:rPr>
                                  <w:rFonts w:ascii="Calibri" w:hAnsi="Calibri"/>
                                </w:rPr>
                              </w:pPr>
                              <w:r>
                                <w:rPr>
                                  <w:rFonts w:ascii="Calibri" w:hAnsi="Calibri"/>
                                </w:rPr>
                                <w:t>1.37</w:t>
                              </w:r>
                            </w:p>
                          </w:txbxContent>
                        </wps:txbx>
                        <wps:bodyPr rot="0" vert="horz" wrap="square" lIns="91440" tIns="45720" rIns="91440" bIns="45720" anchor="t" anchorCtr="0" upright="1">
                          <a:noAutofit/>
                        </wps:bodyPr>
                      </wps:wsp>
                      <wps:wsp>
                        <wps:cNvPr id="37864" name="Text Box 11237"/>
                        <wps:cNvSpPr txBox="1">
                          <a:spLocks noChangeArrowheads="1"/>
                        </wps:cNvSpPr>
                        <wps:spPr bwMode="auto">
                          <a:xfrm>
                            <a:off x="3382010" y="4191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C435" w14:textId="77777777" w:rsidR="00217891" w:rsidRPr="000E0606" w:rsidRDefault="00217891" w:rsidP="00C2742E">
                              <w:pPr>
                                <w:jc w:val="center"/>
                                <w:rPr>
                                  <w:rFonts w:ascii="Calibri" w:hAnsi="Calibri"/>
                                </w:rPr>
                              </w:pPr>
                              <w:r>
                                <w:rPr>
                                  <w:rFonts w:ascii="Calibri" w:hAnsi="Calibri"/>
                                </w:rPr>
                                <w:t>0.26</w:t>
                              </w:r>
                            </w:p>
                          </w:txbxContent>
                        </wps:txbx>
                        <wps:bodyPr rot="0" vert="horz" wrap="square" lIns="91440" tIns="45720" rIns="91440" bIns="45720" anchor="t" anchorCtr="0" upright="1">
                          <a:noAutofit/>
                        </wps:bodyPr>
                      </wps:wsp>
                      <wps:wsp>
                        <wps:cNvPr id="718" name="AutoShape 11197"/>
                        <wps:cNvCnPr>
                          <a:cxnSpLocks noChangeShapeType="1"/>
                        </wps:cNvCnPr>
                        <wps:spPr bwMode="auto">
                          <a:xfrm>
                            <a:off x="200026" y="5501005"/>
                            <a:ext cx="48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11199"/>
                        <wps:cNvCnPr>
                          <a:cxnSpLocks noChangeShapeType="1"/>
                        </wps:cNvCnPr>
                        <wps:spPr bwMode="auto">
                          <a:xfrm>
                            <a:off x="1575435" y="5511800"/>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Text Box 11235"/>
                        <wps:cNvSpPr txBox="1">
                          <a:spLocks noChangeArrowheads="1"/>
                        </wps:cNvSpPr>
                        <wps:spPr bwMode="auto">
                          <a:xfrm>
                            <a:off x="158750" y="526161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283D" w14:textId="77777777" w:rsidR="00217891" w:rsidRPr="000E0606" w:rsidRDefault="00217891" w:rsidP="00C2742E">
                              <w:pPr>
                                <w:jc w:val="center"/>
                                <w:rPr>
                                  <w:rFonts w:ascii="Calibri" w:hAnsi="Calibri"/>
                                </w:rPr>
                              </w:pPr>
                              <w:r>
                                <w:rPr>
                                  <w:rFonts w:ascii="Calibri" w:hAnsi="Calibri"/>
                                </w:rPr>
                                <w:t>2.4</w:t>
                              </w:r>
                            </w:p>
                          </w:txbxContent>
                        </wps:txbx>
                        <wps:bodyPr rot="0" vert="horz" wrap="square" lIns="91440" tIns="45720" rIns="91440" bIns="45720" anchor="t" anchorCtr="0" upright="1">
                          <a:noAutofit/>
                        </wps:bodyPr>
                      </wps:wsp>
                      <wps:wsp>
                        <wps:cNvPr id="722" name="Text Box 11235"/>
                        <wps:cNvSpPr txBox="1">
                          <a:spLocks noChangeArrowheads="1"/>
                        </wps:cNvSpPr>
                        <wps:spPr bwMode="auto">
                          <a:xfrm>
                            <a:off x="1507490" y="5255260"/>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6ACF" w14:textId="77777777" w:rsidR="00217891" w:rsidRPr="000E0606" w:rsidRDefault="00217891" w:rsidP="00C2742E">
                              <w:pPr>
                                <w:jc w:val="center"/>
                                <w:rPr>
                                  <w:rFonts w:ascii="Calibri" w:hAnsi="Calibri"/>
                                </w:rPr>
                              </w:pPr>
                              <w:r>
                                <w:rPr>
                                  <w:rFonts w:ascii="Calibri" w:hAnsi="Calibri"/>
                                </w:rPr>
                                <w:t>1.92</w:t>
                              </w:r>
                            </w:p>
                          </w:txbxContent>
                        </wps:txbx>
                        <wps:bodyPr rot="0" vert="horz" wrap="square" lIns="91440" tIns="45720" rIns="91440" bIns="45720" anchor="t" anchorCtr="0" upright="1">
                          <a:noAutofit/>
                        </wps:bodyPr>
                      </wps:wsp>
                      <wps:wsp>
                        <wps:cNvPr id="725" name="Text Box 11237"/>
                        <wps:cNvSpPr txBox="1">
                          <a:spLocks noChangeArrowheads="1"/>
                        </wps:cNvSpPr>
                        <wps:spPr bwMode="auto">
                          <a:xfrm>
                            <a:off x="4921250" y="-1905"/>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B3AA" w14:textId="77777777" w:rsidR="00217891" w:rsidRPr="000E0606" w:rsidRDefault="00217891" w:rsidP="00C2742E">
                              <w:pPr>
                                <w:jc w:val="center"/>
                                <w:rPr>
                                  <w:rFonts w:ascii="Calibri" w:hAnsi="Calibri"/>
                                </w:rPr>
                              </w:pPr>
                              <w:r>
                                <w:rPr>
                                  <w:rFonts w:ascii="Calibri" w:hAnsi="Calibri"/>
                                </w:rPr>
                                <w:t>0.027</w:t>
                              </w:r>
                            </w:p>
                          </w:txbxContent>
                        </wps:txbx>
                        <wps:bodyPr rot="0" vert="horz" wrap="square" lIns="91440" tIns="45720" rIns="91440" bIns="45720" anchor="t" anchorCtr="0" upright="1">
                          <a:noAutofit/>
                        </wps:bodyPr>
                      </wps:wsp>
                      <wps:wsp>
                        <wps:cNvPr id="27554" name="直接箭头连接符 27554"/>
                        <wps:cNvCnPr/>
                        <wps:spPr>
                          <a:xfrm>
                            <a:off x="1158875" y="273304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0F5F02D" id="画布 37865" o:spid="_x0000_s1385" editas="canvas" style="position:absolute;left:0;text-align:left;margin-left:-6.2pt;margin-top:4.2pt;width:470.7pt;height:508.8pt;z-index:253626880;mso-position-horizontal-relative:margin" coordsize="59778,6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">
                <v:shape id="_x0000_s1386" type="#_x0000_t75" style="position:absolute;width:59778;height:64617;visibility:visible;mso-wrap-style:square">
                  <v:fill o:detectmouseclick="t"/>
                  <v:path o:connecttype="none"/>
                </v:shape>
                <v:shape id="Text Box 11191" o:spid="_x0000_s1387" type="#_x0000_t202" style="position:absolute;left:6851;top:7416;width:899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" filled="f">
                  <v:textbox>
                    <w:txbxContent>
                      <w:p w14:paraId="69B7C3FC" w14:textId="77777777" w:rsidR="00217891" w:rsidRPr="003E5463" w:rsidRDefault="00217891" w:rsidP="00C2742E">
                        <w:pPr>
                          <w:jc w:val="center"/>
                        </w:pPr>
                        <w:r>
                          <w:rPr>
                            <w:rFonts w:hint="eastAsia"/>
                          </w:rPr>
                          <w:t>纯水站</w:t>
                        </w:r>
                      </w:p>
                    </w:txbxContent>
                  </v:textbox>
                </v:shape>
                <v:shape id="Text Box 11192" o:spid="_x0000_s1388" type="#_x0000_t202" style="position:absolute;left:1041;top:6254;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" filled="f" stroked="f">
                  <v:textbox>
                    <w:txbxContent>
                      <w:p w14:paraId="2E4FEEFC" w14:textId="77777777" w:rsidR="00217891" w:rsidRPr="000E0606" w:rsidRDefault="00217891" w:rsidP="00C2742E">
                        <w:pPr>
                          <w:jc w:val="center"/>
                          <w:rPr>
                            <w:rFonts w:ascii="Calibri" w:hAnsi="Calibri"/>
                          </w:rPr>
                        </w:pPr>
                        <w:r>
                          <w:rPr>
                            <w:rFonts w:ascii="Calibri" w:hAnsi="Calibri"/>
                          </w:rPr>
                          <w:t>3.72</w:t>
                        </w:r>
                      </w:p>
                    </w:txbxContent>
                  </v:textbox>
                </v:shape>
                <v:shape id="AutoShape 11193" o:spid="_x0000_s1389" type="#_x0000_t32" style="position:absolute;left:34353;top:2559;width:108;height:1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">
                  <v:stroke endarrow="block"/>
                </v:shape>
                <v:shape id="Text Box 11194" o:spid="_x0000_s1390" type="#_x0000_t202" style="position:absolute;left:20758;top:7493;width:899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" filled="f">
                  <v:textbox>
                    <w:txbxContent>
                      <w:p w14:paraId="6F02C8A1" w14:textId="77777777" w:rsidR="00217891" w:rsidRPr="003E5463" w:rsidRDefault="00217891" w:rsidP="00C2742E">
                        <w:pPr>
                          <w:jc w:val="center"/>
                        </w:pPr>
                        <w:r>
                          <w:rPr>
                            <w:rFonts w:ascii="Calibri" w:hAnsi="Calibri" w:hint="eastAsia"/>
                            <w:snapToGrid w:val="0"/>
                            <w:szCs w:val="21"/>
                          </w:rPr>
                          <w:t>纯水</w:t>
                        </w:r>
                      </w:p>
                    </w:txbxContent>
                  </v:textbox>
                </v:shape>
                <v:shape id="AutoShape 11195" o:spid="_x0000_s1391" type="#_x0000_t32" style="position:absolute;left:2000;top:3035;width:0;height:52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"/>
                <v:shape id="AutoShape 11196" o:spid="_x0000_s1392" type="#_x0000_t32" style="position:absolute;left:1143;top:2959;width:0;height:5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"/>
                <v:shape id="AutoShape 11197" o:spid="_x0000_s1393" type="#_x0000_t32" style="position:absolute;left:2146;top:33293;width:4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">
                  <v:stroke endarrow="block"/>
                </v:shape>
                <v:shape id="Text Box 11198" o:spid="_x0000_s1394" type="#_x0000_t202" style="position:absolute;left:6991;top:31521;width:882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" filled="f">
                  <v:textbox>
                    <w:txbxContent>
                      <w:p w14:paraId="66D0FBC7" w14:textId="77777777" w:rsidR="00217891" w:rsidRPr="003E5463" w:rsidRDefault="00217891" w:rsidP="00C2742E">
                        <w:pPr>
                          <w:jc w:val="center"/>
                        </w:pPr>
                        <w:r>
                          <w:rPr>
                            <w:rFonts w:hint="eastAsia"/>
                          </w:rPr>
                          <w:t>水喷淋</w:t>
                        </w:r>
                        <w:r>
                          <w:t>塔</w:t>
                        </w:r>
                      </w:p>
                    </w:txbxContent>
                  </v:textbox>
                </v:shape>
                <v:shape id="AutoShape 11199" o:spid="_x0000_s1395" type="#_x0000_t32" style="position:absolute;left:15817;top:33172;width:485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">
                  <v:stroke endarrow="block"/>
                </v:shape>
                <v:shape id="AutoShape 11200" o:spid="_x0000_s1396" type="#_x0000_t32" style="position:absolute;left:57550;top:2089;width:6;height:39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">
                  <v:stroke endarrow="block"/>
                </v:shape>
                <v:shape id="Text Box 11201" o:spid="_x0000_s1397" type="#_x0000_t202" style="position:absolute;left:43395;top:42144;width:1569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" filled="f">
                  <v:textbox inset=".5mm,,.5mm">
                    <w:txbxContent>
                      <w:p w14:paraId="17FA1377" w14:textId="433FDE08" w:rsidR="00217891" w:rsidRPr="000E0606" w:rsidRDefault="00217891" w:rsidP="00C2742E">
                        <w:pPr>
                          <w:jc w:val="center"/>
                          <w:rPr>
                            <w:rFonts w:ascii="Calibri" w:hAnsi="Calibri"/>
                          </w:rPr>
                        </w:pPr>
                        <w:r w:rsidRPr="000E0606">
                          <w:rPr>
                            <w:rFonts w:ascii="Calibri"/>
                          </w:rPr>
                          <w:t>厂区废水处理站（</w:t>
                        </w:r>
                        <w:r>
                          <w:rPr>
                            <w:rFonts w:ascii="Calibri" w:hAnsi="Calibri"/>
                          </w:rPr>
                          <w:t>7.757</w:t>
                        </w:r>
                        <w:r w:rsidRPr="000E0606">
                          <w:rPr>
                            <w:rFonts w:ascii="Calibri"/>
                          </w:rPr>
                          <w:t>）</w:t>
                        </w:r>
                      </w:p>
                    </w:txbxContent>
                  </v:textbox>
                </v:shape>
                <v:shape id="AutoShape 11202" o:spid="_x0000_s1398" type="#_x0000_t32" style="position:absolute;left:51250;top:44589;width:7;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">
                  <v:stroke endarrow="block"/>
                </v:shape>
                <v:shape id="AutoShape 11203" o:spid="_x0000_s1399" type="#_x0000_t32" style="position:absolute;left:33216;top:43465;width:10186;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"/>
                <v:shape id="Text Box 11204" o:spid="_x0000_s1400" type="#_x0000_t202" style="position:absolute;left:730;top:1047;width:1174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" filled="f" stroked="f">
                  <v:textbox>
                    <w:txbxContent>
                      <w:p w14:paraId="1FF16BDB" w14:textId="77777777" w:rsidR="00217891" w:rsidRPr="000E0606" w:rsidRDefault="00217891" w:rsidP="00C2742E">
                        <w:pPr>
                          <w:jc w:val="left"/>
                          <w:rPr>
                            <w:rFonts w:ascii="Calibri" w:hAnsi="Calibri"/>
                          </w:rPr>
                        </w:pPr>
                        <w:r w:rsidRPr="000E0606">
                          <w:rPr>
                            <w:rFonts w:ascii="Calibri" w:hAnsi="Calibri" w:hint="eastAsia"/>
                          </w:rPr>
                          <w:t>新鲜水：</w:t>
                        </w:r>
                        <w:r>
                          <w:rPr>
                            <w:rFonts w:ascii="Calibri" w:hAnsi="Calibri"/>
                          </w:rPr>
                          <w:t>6.73</w:t>
                        </w:r>
                      </w:p>
                    </w:txbxContent>
                  </v:textbox>
                </v:shape>
                <v:shape id="AutoShape 11205" o:spid="_x0000_s1401" type="#_x0000_t32" style="position:absolute;left:2146;top:8623;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">
                  <v:stroke endarrow="block"/>
                </v:shape>
                <v:shape id="AutoShape 11206" o:spid="_x0000_s1402" type="#_x0000_t32" style="position:absolute;left:15989;top:8858;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">
                  <v:stroke endarrow="block"/>
                </v:shape>
                <v:shape id="AutoShape 11207" o:spid="_x0000_s1403" type="#_x0000_t32" style="position:absolute;left:29749;top:8864;width:485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">
                  <v:stroke endarrow="block"/>
                </v:shape>
                <v:shape id="AutoShape 11208" o:spid="_x0000_s1404" type="#_x0000_t32" style="position:absolute;left:34461;top:2540;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">
                  <v:stroke endarrow="block"/>
                </v:shape>
                <v:shape id="Text Box 11209" o:spid="_x0000_s1405" type="#_x0000_t202" style="position:absolute;left:39198;top:1320;width:899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" filled="f">
                  <v:textbox>
                    <w:txbxContent>
                      <w:p w14:paraId="653458A9" w14:textId="77777777" w:rsidR="00217891" w:rsidRPr="003E5463" w:rsidRDefault="00217891" w:rsidP="00C2742E">
                        <w:pPr>
                          <w:jc w:val="center"/>
                        </w:pPr>
                        <w:r>
                          <w:rPr>
                            <w:rFonts w:ascii="Calibri" w:hAnsi="Calibri" w:hint="eastAsia"/>
                            <w:snapToGrid w:val="0"/>
                            <w:szCs w:val="21"/>
                          </w:rPr>
                          <w:t>制粒冷却</w:t>
                        </w:r>
                      </w:p>
                    </w:txbxContent>
                  </v:textbox>
                </v:shape>
                <v:shape id="AutoShape 11210" o:spid="_x0000_s1406" type="#_x0000_t32" style="position:absolute;left:34461;top:8705;width:485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">
                  <v:stroke endarrow="block"/>
                </v:shape>
                <v:shape id="Text Box 11211" o:spid="_x0000_s1407" type="#_x0000_t202" style="position:absolute;left:39198;top:7416;width:102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" filled="f">
                  <v:textbox>
                    <w:txbxContent>
                      <w:p w14:paraId="66CCF3CB" w14:textId="77777777" w:rsidR="00217891" w:rsidRPr="003E5463" w:rsidRDefault="00217891" w:rsidP="00C2742E">
                        <w:r>
                          <w:rPr>
                            <w:rFonts w:ascii="Calibri" w:hAnsi="Calibri" w:hint="eastAsia"/>
                            <w:snapToGrid w:val="0"/>
                            <w:szCs w:val="21"/>
                          </w:rPr>
                          <w:t>真空机</w:t>
                        </w:r>
                        <w:r>
                          <w:rPr>
                            <w:rFonts w:ascii="Calibri" w:hAnsi="Calibri"/>
                            <w:snapToGrid w:val="0"/>
                            <w:szCs w:val="21"/>
                          </w:rPr>
                          <w:t>循环泵</w:t>
                        </w:r>
                      </w:p>
                    </w:txbxContent>
                  </v:textbox>
                </v:shape>
                <v:shape id="AutoShape 11212" o:spid="_x0000_s1408" type="#_x0000_t32" style="position:absolute;left:34461;top:15030;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">
                  <v:stroke endarrow="block"/>
                </v:shape>
                <v:shape id="Text Box 11213" o:spid="_x0000_s1409" type="#_x0000_t202" style="position:absolute;left:39198;top:13817;width:102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" filled="f">
                  <v:textbox>
                    <w:txbxContent>
                      <w:p w14:paraId="3C1189A5" w14:textId="77777777" w:rsidR="00217891" w:rsidRPr="003E5463" w:rsidRDefault="00217891" w:rsidP="00C2742E">
                        <w:r>
                          <w:rPr>
                            <w:rFonts w:ascii="Calibri" w:hAnsi="Calibri" w:hint="eastAsia"/>
                            <w:snapToGrid w:val="0"/>
                            <w:szCs w:val="21"/>
                          </w:rPr>
                          <w:t>冷却循环</w:t>
                        </w:r>
                        <w:r>
                          <w:rPr>
                            <w:rFonts w:ascii="Calibri" w:hAnsi="Calibri"/>
                            <w:snapToGrid w:val="0"/>
                            <w:szCs w:val="21"/>
                          </w:rPr>
                          <w:t>水站</w:t>
                        </w:r>
                      </w:p>
                    </w:txbxContent>
                  </v:textbox>
                </v:shape>
                <v:shape id="AutoShape 11214" o:spid="_x0000_s1410" type="#_x0000_t32" style="position:absolute;left:43967;top:16567;width:38;height:4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"/>
                <v:shape id="AutoShape 11215" o:spid="_x0000_s1411" type="#_x0000_t32" style="position:absolute;left:32772;top:21361;width:11144;height: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">
                  <v:stroke endarrow="block"/>
                </v:shape>
                <v:shape id="AutoShape 11216" o:spid="_x0000_s1412" type="#_x0000_t32" style="position:absolute;left:10998;top:10026;width:6;height:11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"/>
                <v:shape id="AutoShape 11217" o:spid="_x0000_s1413" type="#_x0000_t32" style="position:absolute;left:10960;top:21526;width:21913;height: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">
                  <v:stroke endarrow="block"/>
                </v:shape>
                <v:shape id="AutoShape 11218" o:spid="_x0000_s1414" type="#_x0000_t32" style="position:absolute;left:32873;top:21450;width:83;height:16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">
                  <v:stroke endarrow="block"/>
                </v:shape>
                <v:shape id="AutoShape 11219" o:spid="_x0000_s1415" type="#_x0000_t32" style="position:absolute;left:48298;top:2165;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">
                  <v:stroke endarrow="block"/>
                </v:shape>
                <v:shape id="AutoShape 11220" o:spid="_x0000_s1416" type="#_x0000_t32" style="position:absolute;left:49663;top:8578;width:820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">
                  <v:stroke endarrow="block"/>
                </v:shape>
                <v:shape id="AutoShape 11221" o:spid="_x0000_s1417" type="#_x0000_t32" style="position:absolute;left:49663;top:26181;width:820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">
                  <v:stroke endarrow="block"/>
                </v:shape>
                <v:shape id="Text Box 11222" o:spid="_x0000_s1418" type="#_x0000_t202" style="position:absolute;left:39198;top:23964;width:10293;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" filled="f">
                  <v:textbox>
                    <w:txbxContent>
                      <w:p w14:paraId="5C761A62" w14:textId="77777777" w:rsidR="00217891" w:rsidRPr="003E5463" w:rsidRDefault="00217891" w:rsidP="00C2742E">
                        <w:r>
                          <w:rPr>
                            <w:rFonts w:ascii="Calibri" w:hAnsi="Calibri" w:hint="eastAsia"/>
                            <w:snapToGrid w:val="0"/>
                            <w:szCs w:val="21"/>
                          </w:rPr>
                          <w:t>原料带入</w:t>
                        </w:r>
                        <w:r>
                          <w:rPr>
                            <w:rFonts w:ascii="Calibri" w:hAnsi="Calibri"/>
                            <w:snapToGrid w:val="0"/>
                            <w:szCs w:val="21"/>
                          </w:rPr>
                          <w:t>及聚合生成水</w:t>
                        </w:r>
                      </w:p>
                    </w:txbxContent>
                  </v:textbox>
                </v:shape>
                <v:shape id="Text Box 11223" o:spid="_x0000_s1419" type="#_x0000_t202" style="position:absolute;left:27590;top:37452;width:138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" filled="f" stroked="f">
                  <v:textbox>
                    <w:txbxContent>
                      <w:p w14:paraId="3A32F1CB" w14:textId="725CF7C3" w:rsidR="00217891" w:rsidRPr="000E0606" w:rsidRDefault="00217891" w:rsidP="00C2742E">
                        <w:pPr>
                          <w:jc w:val="center"/>
                          <w:rPr>
                            <w:rFonts w:ascii="Calibri" w:hAnsi="Calibri"/>
                            <w:color w:val="0033CC"/>
                          </w:rPr>
                        </w:pPr>
                        <w:r w:rsidRPr="000E0606">
                          <w:rPr>
                            <w:rFonts w:ascii="Calibri" w:hAnsi="Calibri" w:hint="eastAsia"/>
                            <w:color w:val="0033CC"/>
                          </w:rPr>
                          <w:t>总排放口（</w:t>
                        </w:r>
                        <w:r>
                          <w:rPr>
                            <w:rFonts w:ascii="Calibri" w:hAnsi="Calibri"/>
                            <w:color w:val="0033CC"/>
                          </w:rPr>
                          <w:t>8.879</w:t>
                        </w:r>
                        <w:r w:rsidRPr="000E0606">
                          <w:rPr>
                            <w:rFonts w:ascii="Calibri" w:hAnsi="Calibri" w:hint="eastAsia"/>
                            <w:color w:val="0033CC"/>
                          </w:rPr>
                          <w:t>）</w:t>
                        </w:r>
                      </w:p>
                    </w:txbxContent>
                  </v:textbox>
                </v:shape>
                <v:shape id="AutoShape 11224" o:spid="_x0000_s1420" type="#_x0000_t32" style="position:absolute;left:20510;top:32880;width:0;height:22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"/>
                <v:shape id="AutoShape 11225" o:spid="_x0000_s1421" type="#_x0000_t32" style="position:absolute;left:20415;top:48425;width:31032;height: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"/>
                <v:shape id="AutoShape 11226" o:spid="_x0000_s1422" type="#_x0000_t32" style="position:absolute;left:33153;top:39630;width:6;height:3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">
                  <v:stroke endarrow="block"/>
                </v:shape>
                <v:shape id="Text Box 11227" o:spid="_x0000_s1423" type="#_x0000_t202" style="position:absolute;left:15684;top:6635;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" filled="f" stroked="f">
                  <v:textbox>
                    <w:txbxContent>
                      <w:p w14:paraId="01566991" w14:textId="77777777" w:rsidR="00217891" w:rsidRPr="000E0606" w:rsidRDefault="00217891" w:rsidP="00C2742E">
                        <w:pPr>
                          <w:jc w:val="center"/>
                          <w:rPr>
                            <w:rFonts w:ascii="Calibri" w:hAnsi="Calibri"/>
                          </w:rPr>
                        </w:pPr>
                        <w:r>
                          <w:rPr>
                            <w:rFonts w:ascii="Calibri" w:hAnsi="Calibri"/>
                          </w:rPr>
                          <w:t>2.61</w:t>
                        </w:r>
                      </w:p>
                    </w:txbxContent>
                  </v:textbox>
                </v:shape>
                <v:shape id="Text Box 11228" o:spid="_x0000_s1424" type="#_x0000_t202" style="position:absolute;left:11798;top:19361;width:817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" filled="f" stroked="f">
                  <v:textbox>
                    <w:txbxContent>
                      <w:p w14:paraId="42DB8A1E" w14:textId="77777777" w:rsidR="00217891" w:rsidRPr="000E0606" w:rsidRDefault="00217891" w:rsidP="00C2742E">
                        <w:pPr>
                          <w:jc w:val="center"/>
                          <w:rPr>
                            <w:rFonts w:ascii="Calibri" w:hAnsi="Calibri"/>
                          </w:rPr>
                        </w:pPr>
                        <w:r>
                          <w:rPr>
                            <w:rFonts w:ascii="Calibri" w:hAnsi="Calibri" w:hint="eastAsia"/>
                          </w:rPr>
                          <w:t>浓水</w:t>
                        </w:r>
                        <w:r>
                          <w:rPr>
                            <w:rFonts w:ascii="Calibri" w:hAnsi="Calibri" w:hint="eastAsia"/>
                          </w:rPr>
                          <w:t>1.</w:t>
                        </w:r>
                        <w:r>
                          <w:rPr>
                            <w:rFonts w:ascii="Calibri" w:hAnsi="Calibri"/>
                          </w:rPr>
                          <w:t>11</w:t>
                        </w:r>
                      </w:p>
                    </w:txbxContent>
                  </v:textbox>
                </v:shape>
                <v:shape id="Text Box 11229" o:spid="_x0000_s1425" type="#_x0000_t202" style="position:absolute;left:29095;top:6864;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" filled="f" stroked="f">
                  <v:textbox>
                    <w:txbxContent>
                      <w:p w14:paraId="0B1289FE" w14:textId="77777777" w:rsidR="00217891" w:rsidRPr="000E0606" w:rsidRDefault="00217891" w:rsidP="00C2742E">
                        <w:pPr>
                          <w:jc w:val="center"/>
                          <w:rPr>
                            <w:rFonts w:ascii="Calibri" w:hAnsi="Calibri"/>
                          </w:rPr>
                        </w:pPr>
                        <w:r>
                          <w:rPr>
                            <w:rFonts w:ascii="Calibri" w:hAnsi="Calibri"/>
                          </w:rPr>
                          <w:t>2.61</w:t>
                        </w:r>
                      </w:p>
                    </w:txbxContent>
                  </v:textbox>
                </v:shape>
                <v:shape id="Text Box 11230" o:spid="_x0000_s1426" type="#_x0000_t202" style="position:absolute;left:34048;top:6254;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" filled="f" stroked="f">
                  <v:textbox>
                    <w:txbxContent>
                      <w:p w14:paraId="1F166A37" w14:textId="77777777" w:rsidR="00217891" w:rsidRPr="000E0606" w:rsidRDefault="00217891" w:rsidP="00C2742E">
                        <w:pPr>
                          <w:jc w:val="center"/>
                          <w:rPr>
                            <w:rFonts w:ascii="Calibri" w:hAnsi="Calibri"/>
                          </w:rPr>
                        </w:pPr>
                        <w:r>
                          <w:rPr>
                            <w:rFonts w:ascii="Calibri" w:hAnsi="Calibri"/>
                          </w:rPr>
                          <w:t>2.23</w:t>
                        </w:r>
                      </w:p>
                    </w:txbxContent>
                  </v:textbox>
                </v:shape>
                <v:shape id="Text Box 11231" o:spid="_x0000_s1427" type="#_x0000_t202" style="position:absolute;left:34048;top:12807;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" filled="f" stroked="f">
                  <v:textbox>
                    <w:txbxContent>
                      <w:p w14:paraId="1A7D489B" w14:textId="77777777" w:rsidR="00217891" w:rsidRPr="000E0606" w:rsidRDefault="00217891" w:rsidP="00C2742E">
                        <w:pPr>
                          <w:jc w:val="center"/>
                          <w:rPr>
                            <w:rFonts w:ascii="Calibri" w:hAnsi="Calibri"/>
                          </w:rPr>
                        </w:pPr>
                        <w:r>
                          <w:rPr>
                            <w:rFonts w:ascii="Calibri" w:hAnsi="Calibri"/>
                          </w:rPr>
                          <w:t>0.12</w:t>
                        </w:r>
                      </w:p>
                    </w:txbxContent>
                  </v:textbox>
                </v:shape>
                <v:shape id="Text Box 11232" o:spid="_x0000_s1428" type="#_x0000_t202" style="position:absolute;left:50203;top:23577;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" filled="f" stroked="f">
                  <v:textbox>
                    <w:txbxContent>
                      <w:p w14:paraId="523E6B69" w14:textId="771435CC" w:rsidR="00217891" w:rsidRPr="000E0606" w:rsidRDefault="00217891" w:rsidP="00C2742E">
                        <w:pPr>
                          <w:jc w:val="center"/>
                          <w:rPr>
                            <w:rFonts w:ascii="Calibri" w:hAnsi="Calibri"/>
                          </w:rPr>
                        </w:pPr>
                        <w:r>
                          <w:rPr>
                            <w:rFonts w:ascii="Calibri" w:hAnsi="Calibri"/>
                          </w:rPr>
                          <w:t>2.21</w:t>
                        </w:r>
                      </w:p>
                    </w:txbxContent>
                  </v:textbox>
                </v:shape>
                <v:shape id="Text Box 11233" o:spid="_x0000_s1429" type="#_x0000_t202" style="position:absolute;left:50050;top:6026;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" filled="f" stroked="f">
                  <v:textbox>
                    <w:txbxContent>
                      <w:p w14:paraId="30CD6C8C" w14:textId="77777777" w:rsidR="00217891" w:rsidRPr="000E0606" w:rsidRDefault="00217891" w:rsidP="00C2742E">
                        <w:pPr>
                          <w:jc w:val="center"/>
                          <w:rPr>
                            <w:rFonts w:ascii="Calibri" w:hAnsi="Calibri"/>
                          </w:rPr>
                        </w:pPr>
                        <w:r>
                          <w:rPr>
                            <w:rFonts w:ascii="Calibri" w:hAnsi="Calibri"/>
                          </w:rPr>
                          <w:t>2.23</w:t>
                        </w:r>
                      </w:p>
                    </w:txbxContent>
                  </v:textbox>
                </v:shape>
                <v:shape id="Text Box 11234" o:spid="_x0000_s1430" type="#_x0000_t202" style="position:absolute;left:35496;top:19240;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" filled="f" stroked="f">
                  <v:textbox>
                    <w:txbxContent>
                      <w:p w14:paraId="06D61866" w14:textId="77777777" w:rsidR="00217891" w:rsidRPr="000E0606" w:rsidRDefault="00217891" w:rsidP="00C2742E">
                        <w:pPr>
                          <w:jc w:val="center"/>
                          <w:rPr>
                            <w:rFonts w:ascii="Calibri" w:hAnsi="Calibri"/>
                          </w:rPr>
                        </w:pPr>
                        <w:r>
                          <w:rPr>
                            <w:rFonts w:ascii="Calibri" w:hAnsi="Calibri"/>
                          </w:rPr>
                          <w:t>0.012</w:t>
                        </w:r>
                      </w:p>
                    </w:txbxContent>
                  </v:textbox>
                </v:shape>
                <v:shape id="Text Box 11235" o:spid="_x0000_s1431" type="#_x0000_t202" style="position:absolute;left:1816;top:30689;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" filled="f" stroked="f">
                  <v:textbox>
                    <w:txbxContent>
                      <w:p w14:paraId="6F6DEF21" w14:textId="77777777" w:rsidR="00217891" w:rsidRPr="000E0606" w:rsidRDefault="00217891" w:rsidP="00C2742E">
                        <w:pPr>
                          <w:jc w:val="center"/>
                          <w:rPr>
                            <w:rFonts w:ascii="Calibri" w:hAnsi="Calibri"/>
                          </w:rPr>
                        </w:pPr>
                        <w:r>
                          <w:rPr>
                            <w:rFonts w:ascii="Calibri" w:hAnsi="Calibri"/>
                          </w:rPr>
                          <w:t>0.61</w:t>
                        </w:r>
                      </w:p>
                    </w:txbxContent>
                  </v:textbox>
                </v:shape>
                <v:shape id="Text Box 11236" o:spid="_x0000_s1432" type="#_x0000_t202" style="position:absolute;left:15474;top:30441;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" filled="f" stroked="f">
                  <v:textbox>
                    <w:txbxContent>
                      <w:p w14:paraId="121ABC9F" w14:textId="0C2F6B59" w:rsidR="00217891" w:rsidRPr="000E0606" w:rsidRDefault="00217891" w:rsidP="00C2742E">
                        <w:pPr>
                          <w:jc w:val="center"/>
                          <w:rPr>
                            <w:rFonts w:ascii="Calibri" w:hAnsi="Calibri"/>
                          </w:rPr>
                        </w:pPr>
                        <w:r>
                          <w:rPr>
                            <w:rFonts w:ascii="Calibri" w:hAnsi="Calibri"/>
                          </w:rPr>
                          <w:t>1.37</w:t>
                        </w:r>
                      </w:p>
                    </w:txbxContent>
                  </v:textbox>
                </v:shape>
                <v:shape id="Text Box 11237" o:spid="_x0000_s1433" type="#_x0000_t202" style="position:absolute;left:33820;top:419;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" filled="f" stroked="f">
                  <v:textbox>
                    <w:txbxContent>
                      <w:p w14:paraId="1A8AC435" w14:textId="77777777" w:rsidR="00217891" w:rsidRPr="000E0606" w:rsidRDefault="00217891" w:rsidP="00C2742E">
                        <w:pPr>
                          <w:jc w:val="center"/>
                          <w:rPr>
                            <w:rFonts w:ascii="Calibri" w:hAnsi="Calibri"/>
                          </w:rPr>
                        </w:pPr>
                        <w:r>
                          <w:rPr>
                            <w:rFonts w:ascii="Calibri" w:hAnsi="Calibri"/>
                          </w:rPr>
                          <w:t>0.26</w:t>
                        </w:r>
                      </w:p>
                    </w:txbxContent>
                  </v:textbox>
                </v:shape>
                <v:shape id="AutoShape 11197" o:spid="_x0000_s1434" type="#_x0000_t32" style="position:absolute;left:2000;top:55010;width:4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">
                  <v:stroke endarrow="block"/>
                </v:shape>
                <v:shape id="AutoShape 11199" o:spid="_x0000_s1435" type="#_x0000_t32" style="position:absolute;left:15754;top:55118;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">
                  <v:stroke endarrow="block"/>
                </v:shape>
                <v:shape id="Text Box 11235" o:spid="_x0000_s1436" type="#_x0000_t202" style="position:absolute;left:1587;top:52616;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14:paraId="084C283D" w14:textId="77777777" w:rsidR="00217891" w:rsidRPr="000E0606" w:rsidRDefault="00217891" w:rsidP="00C2742E">
                        <w:pPr>
                          <w:jc w:val="center"/>
                          <w:rPr>
                            <w:rFonts w:ascii="Calibri" w:hAnsi="Calibri"/>
                          </w:rPr>
                        </w:pPr>
                        <w:r>
                          <w:rPr>
                            <w:rFonts w:ascii="Calibri" w:hAnsi="Calibri"/>
                          </w:rPr>
                          <w:t>2.4</w:t>
                        </w:r>
                      </w:p>
                    </w:txbxContent>
                  </v:textbox>
                </v:shape>
                <v:shape id="Text Box 11235" o:spid="_x0000_s1437" type="#_x0000_t202" style="position:absolute;left:15074;top:52552;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448B6ACF" w14:textId="77777777" w:rsidR="00217891" w:rsidRPr="000E0606" w:rsidRDefault="00217891" w:rsidP="00C2742E">
                        <w:pPr>
                          <w:jc w:val="center"/>
                          <w:rPr>
                            <w:rFonts w:ascii="Calibri" w:hAnsi="Calibri"/>
                          </w:rPr>
                        </w:pPr>
                        <w:r>
                          <w:rPr>
                            <w:rFonts w:ascii="Calibri" w:hAnsi="Calibri"/>
                          </w:rPr>
                          <w:t>1.92</w:t>
                        </w:r>
                      </w:p>
                    </w:txbxContent>
                  </v:textbox>
                </v:shape>
                <v:shape id="Text Box 11237" o:spid="_x0000_s1438" type="#_x0000_t202" style="position:absolute;left:49212;top:-19;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14:paraId="5420B3AA" w14:textId="77777777" w:rsidR="00217891" w:rsidRPr="000E0606" w:rsidRDefault="00217891" w:rsidP="00C2742E">
                        <w:pPr>
                          <w:jc w:val="center"/>
                          <w:rPr>
                            <w:rFonts w:ascii="Calibri" w:hAnsi="Calibri"/>
                          </w:rPr>
                        </w:pPr>
                        <w:r>
                          <w:rPr>
                            <w:rFonts w:ascii="Calibri" w:hAnsi="Calibri"/>
                          </w:rPr>
                          <w:t>0.027</w:t>
                        </w:r>
                      </w:p>
                    </w:txbxContent>
                  </v:textbox>
                </v:shape>
                <v:shape id="直接箭头连接符 27554" o:spid="_x0000_s1439" type="#_x0000_t32" style="position:absolute;left:11588;top:27330;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" strokecolor="black [3040]">
                  <v:stroke endarrow="block"/>
                </v:shape>
                <w10:wrap type="topAndBottom" anchorx="margin"/>
              </v:group>
            </w:pict>
          </mc:Fallback>
        </mc:AlternateContent>
      </w:r>
      <w:r w:rsidR="00C2742E" w:rsidRPr="00BF4432">
        <w:rPr>
          <w:rFonts w:ascii="Calibri" w:eastAsia="黑体" w:hAnsi="黑体"/>
          <w:b/>
          <w:color w:val="auto"/>
          <w:sz w:val="24"/>
          <w:u w:val="single"/>
        </w:rPr>
        <w:t>图</w:t>
      </w:r>
      <w:r w:rsidR="00C2742E" w:rsidRPr="00BF4432">
        <w:rPr>
          <w:rFonts w:ascii="Calibri" w:eastAsia="黑体" w:hAnsi="Calibri"/>
          <w:b/>
          <w:color w:val="auto"/>
          <w:sz w:val="24"/>
          <w:u w:val="single"/>
        </w:rPr>
        <w:t xml:space="preserve">2.3-6         </w:t>
      </w:r>
      <w:r w:rsidR="00C2742E" w:rsidRPr="00BF4432">
        <w:rPr>
          <w:rFonts w:ascii="Calibri" w:eastAsia="黑体" w:hAnsi="Calibri" w:hint="eastAsia"/>
          <w:b/>
          <w:color w:val="auto"/>
          <w:sz w:val="24"/>
          <w:u w:val="single"/>
        </w:rPr>
        <w:t xml:space="preserve">   </w:t>
      </w:r>
      <w:r w:rsidR="00C2742E" w:rsidRPr="00BF4432">
        <w:rPr>
          <w:rFonts w:ascii="Calibri" w:eastAsia="黑体" w:hAnsi="Calibri"/>
          <w:b/>
          <w:color w:val="auto"/>
          <w:sz w:val="24"/>
          <w:u w:val="single"/>
        </w:rPr>
        <w:t xml:space="preserve"> </w:t>
      </w:r>
      <w:r w:rsidR="00C2742E" w:rsidRPr="00BF4432">
        <w:rPr>
          <w:rFonts w:ascii="Calibri" w:eastAsia="黑体" w:hAnsi="黑体"/>
          <w:b/>
          <w:color w:val="auto"/>
          <w:sz w:val="24"/>
          <w:u w:val="single"/>
        </w:rPr>
        <w:t>本项目</w:t>
      </w:r>
      <w:r w:rsidR="00C2742E" w:rsidRPr="00BF4432">
        <w:rPr>
          <w:rFonts w:ascii="Calibri" w:eastAsia="黑体" w:hAnsi="黑体" w:hint="eastAsia"/>
          <w:b/>
          <w:color w:val="auto"/>
          <w:sz w:val="24"/>
          <w:u w:val="single"/>
        </w:rPr>
        <w:t>二期工程</w:t>
      </w:r>
      <w:r w:rsidR="00C2742E" w:rsidRPr="00BF4432">
        <w:rPr>
          <w:rFonts w:ascii="Calibri" w:eastAsia="黑体" w:hAnsi="黑体"/>
          <w:b/>
          <w:color w:val="auto"/>
          <w:sz w:val="24"/>
          <w:u w:val="single"/>
        </w:rPr>
        <w:t>水平衡图</w:t>
      </w:r>
      <w:r w:rsidR="00C2742E" w:rsidRPr="00BF4432">
        <w:rPr>
          <w:rFonts w:ascii="Calibri" w:eastAsia="黑体" w:hAnsi="Calibri"/>
          <w:b/>
          <w:color w:val="auto"/>
          <w:sz w:val="24"/>
          <w:u w:val="single"/>
        </w:rPr>
        <w:t xml:space="preserve">   </w:t>
      </w:r>
      <w:r w:rsidR="00C2742E" w:rsidRPr="00BF4432">
        <w:rPr>
          <w:rFonts w:ascii="Calibri" w:eastAsia="黑体" w:hAnsi="Calibri" w:hint="eastAsia"/>
          <w:b/>
          <w:color w:val="auto"/>
          <w:sz w:val="24"/>
          <w:u w:val="single"/>
        </w:rPr>
        <w:t xml:space="preserve"> </w:t>
      </w:r>
      <w:r w:rsidR="00C2742E" w:rsidRPr="00BF4432">
        <w:rPr>
          <w:rFonts w:ascii="Calibri" w:eastAsia="黑体" w:hAnsi="Calibri"/>
          <w:b/>
          <w:color w:val="auto"/>
          <w:sz w:val="24"/>
          <w:u w:val="single"/>
        </w:rPr>
        <w:t xml:space="preserve">    </w:t>
      </w:r>
      <w:r w:rsidR="00C2742E" w:rsidRPr="00BF4432">
        <w:rPr>
          <w:rFonts w:ascii="Calibri" w:eastAsia="黑体" w:hAnsi="Calibri" w:hint="eastAsia"/>
          <w:b/>
          <w:color w:val="auto"/>
          <w:sz w:val="24"/>
          <w:u w:val="single"/>
        </w:rPr>
        <w:t xml:space="preserve"> </w:t>
      </w:r>
      <w:r w:rsidR="00C2742E" w:rsidRPr="00BF4432">
        <w:rPr>
          <w:rFonts w:ascii="Calibri" w:eastAsia="黑体" w:hAnsi="Calibri"/>
          <w:b/>
          <w:color w:val="auto"/>
          <w:sz w:val="24"/>
          <w:u w:val="single"/>
        </w:rPr>
        <w:t xml:space="preserve"> </w:t>
      </w:r>
      <w:r w:rsidR="00C2742E" w:rsidRPr="00BF4432">
        <w:rPr>
          <w:rFonts w:ascii="Calibri" w:hAnsi="Calibri" w:hint="eastAsia"/>
          <w:b/>
          <w:color w:val="auto"/>
          <w:sz w:val="24"/>
          <w:u w:val="single"/>
        </w:rPr>
        <w:t xml:space="preserve">      </w:t>
      </w:r>
      <w:r w:rsidR="00C2742E" w:rsidRPr="00BF4432">
        <w:rPr>
          <w:rFonts w:ascii="Calibri" w:hAnsi="Calibri" w:hint="eastAsia"/>
          <w:b/>
          <w:color w:val="auto"/>
          <w:szCs w:val="21"/>
          <w:u w:val="single"/>
        </w:rPr>
        <w:t>单位：</w:t>
      </w:r>
      <w:r w:rsidR="00C2742E" w:rsidRPr="00BF4432">
        <w:rPr>
          <w:rFonts w:ascii="Calibri" w:hAnsi="Calibri" w:hint="eastAsia"/>
          <w:b/>
          <w:color w:val="auto"/>
          <w:szCs w:val="21"/>
          <w:u w:val="single"/>
        </w:rPr>
        <w:t>t/d</w:t>
      </w:r>
      <w:r w:rsidR="00C2742E" w:rsidRPr="00BF4432">
        <w:rPr>
          <w:rFonts w:ascii="Calibri" w:hAnsi="Calibri"/>
          <w:b/>
          <w:noProof/>
          <w:color w:val="auto"/>
          <w:sz w:val="24"/>
          <w:u w:val="single"/>
        </w:rPr>
        <w:t xml:space="preserve"> </w:t>
      </w:r>
    </w:p>
    <w:p w14:paraId="7A502D1C" w14:textId="77777777" w:rsidR="0094458B" w:rsidRPr="00BF4432" w:rsidRDefault="0094458B" w:rsidP="00D35887">
      <w:pPr>
        <w:spacing w:line="500" w:lineRule="exact"/>
        <w:ind w:firstLineChars="200" w:firstLine="482"/>
        <w:rPr>
          <w:rFonts w:ascii="Calibri" w:hAnsi="Calibri"/>
          <w:b/>
          <w:color w:val="auto"/>
          <w:sz w:val="24"/>
          <w:u w:val="single"/>
        </w:rPr>
      </w:pPr>
    </w:p>
    <w:p w14:paraId="70DF80CF" w14:textId="77777777" w:rsidR="0094458B" w:rsidRPr="0094458B" w:rsidRDefault="0094458B" w:rsidP="00D35887">
      <w:pPr>
        <w:spacing w:line="500" w:lineRule="exact"/>
        <w:ind w:firstLineChars="200" w:firstLine="480"/>
        <w:rPr>
          <w:rFonts w:ascii="Calibri" w:hAnsi="Calibri"/>
          <w:color w:val="auto"/>
          <w:sz w:val="24"/>
        </w:rPr>
      </w:pPr>
    </w:p>
    <w:p w14:paraId="495D65EE" w14:textId="77777777" w:rsidR="0094458B" w:rsidRDefault="0094458B" w:rsidP="00D35887">
      <w:pPr>
        <w:spacing w:line="500" w:lineRule="exact"/>
        <w:ind w:firstLineChars="200" w:firstLine="480"/>
        <w:rPr>
          <w:rFonts w:ascii="Calibri" w:hAnsi="Calibri"/>
          <w:color w:val="auto"/>
          <w:sz w:val="24"/>
        </w:rPr>
      </w:pPr>
    </w:p>
    <w:p w14:paraId="1F1C487C" w14:textId="77777777" w:rsidR="0094458B" w:rsidRDefault="0094458B" w:rsidP="00D35887">
      <w:pPr>
        <w:spacing w:line="500" w:lineRule="exact"/>
        <w:ind w:firstLineChars="200" w:firstLine="480"/>
        <w:rPr>
          <w:rFonts w:ascii="Calibri" w:hAnsi="Calibri"/>
          <w:color w:val="auto"/>
          <w:sz w:val="24"/>
        </w:rPr>
      </w:pPr>
    </w:p>
    <w:p w14:paraId="1B157B8A" w14:textId="77777777" w:rsidR="0094458B" w:rsidRDefault="0094458B" w:rsidP="00D35887">
      <w:pPr>
        <w:spacing w:line="500" w:lineRule="exact"/>
        <w:ind w:firstLineChars="200" w:firstLine="480"/>
        <w:rPr>
          <w:rFonts w:ascii="Calibri" w:hAnsi="Calibri"/>
          <w:color w:val="auto"/>
          <w:sz w:val="24"/>
        </w:rPr>
      </w:pPr>
    </w:p>
    <w:p w14:paraId="22312358" w14:textId="77777777" w:rsidR="0094458B" w:rsidRDefault="0094458B" w:rsidP="00525F21">
      <w:pPr>
        <w:spacing w:line="500" w:lineRule="exact"/>
        <w:rPr>
          <w:rFonts w:ascii="Calibri" w:hAnsi="Calibri"/>
          <w:color w:val="auto"/>
          <w:sz w:val="24"/>
        </w:rPr>
      </w:pPr>
    </w:p>
    <w:p w14:paraId="5225A203" w14:textId="77777777" w:rsidR="0094458B" w:rsidRPr="00EF5063" w:rsidRDefault="008F7B7A" w:rsidP="003F46D5">
      <w:pPr>
        <w:spacing w:line="500" w:lineRule="exact"/>
        <w:ind w:firstLineChars="200" w:firstLine="482"/>
        <w:rPr>
          <w:rFonts w:ascii="Calibri" w:eastAsia="黑体" w:hAnsi="黑体"/>
          <w:b/>
          <w:color w:val="auto"/>
          <w:sz w:val="24"/>
          <w:u w:val="single"/>
        </w:rPr>
      </w:pPr>
      <w:r w:rsidRPr="00EF5063">
        <w:rPr>
          <w:rFonts w:ascii="Calibri" w:eastAsia="黑体" w:hAnsi="Calibri"/>
          <w:b/>
          <w:noProof/>
          <w:color w:val="auto"/>
          <w:sz w:val="24"/>
          <w:u w:val="single"/>
        </w:rPr>
        <w:lastRenderedPageBreak/>
        <mc:AlternateContent>
          <mc:Choice Requires="wpc">
            <w:drawing>
              <wp:anchor distT="0" distB="0" distL="114300" distR="114300" simplePos="0" relativeHeight="253629952" behindDoc="0" locked="0" layoutInCell="1" allowOverlap="1" wp14:anchorId="32DF2C21" wp14:editId="3C389297">
                <wp:simplePos x="0" y="0"/>
                <wp:positionH relativeFrom="margin">
                  <wp:posOffset>-200660</wp:posOffset>
                </wp:positionH>
                <wp:positionV relativeFrom="paragraph">
                  <wp:posOffset>0</wp:posOffset>
                </wp:positionV>
                <wp:extent cx="5939790" cy="6693974"/>
                <wp:effectExtent l="0" t="0" r="3810" b="31115"/>
                <wp:wrapTopAndBottom/>
                <wp:docPr id="37928" name="画布 379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867" name="Text Box 11126"/>
                        <wps:cNvSpPr txBox="1">
                          <a:spLocks noChangeArrowheads="1"/>
                        </wps:cNvSpPr>
                        <wps:spPr bwMode="auto">
                          <a:xfrm>
                            <a:off x="685165" y="1473004"/>
                            <a:ext cx="89979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667A90" w14:textId="77777777" w:rsidR="00217891" w:rsidRPr="003E5463" w:rsidRDefault="00217891" w:rsidP="00C2742E">
                              <w:pPr>
                                <w:jc w:val="center"/>
                              </w:pPr>
                              <w:r>
                                <w:rPr>
                                  <w:rFonts w:hint="eastAsia"/>
                                </w:rPr>
                                <w:t>纯水站</w:t>
                              </w:r>
                            </w:p>
                          </w:txbxContent>
                        </wps:txbx>
                        <wps:bodyPr rot="0" vert="horz" wrap="square" lIns="91440" tIns="45720" rIns="91440" bIns="45720" anchor="t" anchorCtr="0" upright="1">
                          <a:noAutofit/>
                        </wps:bodyPr>
                      </wps:wsp>
                      <wps:wsp>
                        <wps:cNvPr id="37868" name="Text Box 11127"/>
                        <wps:cNvSpPr txBox="1">
                          <a:spLocks noChangeArrowheads="1"/>
                        </wps:cNvSpPr>
                        <wps:spPr bwMode="auto">
                          <a:xfrm>
                            <a:off x="104140" y="135679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7F9FE" w14:textId="77777777" w:rsidR="00217891" w:rsidRPr="000E0606" w:rsidRDefault="00217891" w:rsidP="00C2742E">
                              <w:pPr>
                                <w:jc w:val="center"/>
                                <w:rPr>
                                  <w:rFonts w:ascii="Calibri" w:hAnsi="Calibri"/>
                                </w:rPr>
                              </w:pPr>
                              <w:r>
                                <w:rPr>
                                  <w:rFonts w:ascii="Calibri" w:hAnsi="Calibri"/>
                                </w:rPr>
                                <w:t>11.33</w:t>
                              </w:r>
                            </w:p>
                          </w:txbxContent>
                        </wps:txbx>
                        <wps:bodyPr rot="0" vert="horz" wrap="square" lIns="91440" tIns="45720" rIns="91440" bIns="45720" anchor="t" anchorCtr="0" upright="1">
                          <a:noAutofit/>
                        </wps:bodyPr>
                      </wps:wsp>
                      <wps:wsp>
                        <wps:cNvPr id="37869" name="AutoShape 11128"/>
                        <wps:cNvCnPr>
                          <a:cxnSpLocks noChangeShapeType="1"/>
                        </wps:cNvCnPr>
                        <wps:spPr bwMode="auto">
                          <a:xfrm flipH="1">
                            <a:off x="3435351" y="365564"/>
                            <a:ext cx="10794" cy="186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70" name="Text Box 11129"/>
                        <wps:cNvSpPr txBox="1">
                          <a:spLocks noChangeArrowheads="1"/>
                        </wps:cNvSpPr>
                        <wps:spPr bwMode="auto">
                          <a:xfrm>
                            <a:off x="2075815" y="1480624"/>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185F63" w14:textId="77777777" w:rsidR="00217891" w:rsidRPr="003E5463" w:rsidRDefault="00217891" w:rsidP="00C2742E">
                              <w:pPr>
                                <w:jc w:val="center"/>
                              </w:pPr>
                              <w:r>
                                <w:rPr>
                                  <w:rFonts w:ascii="Calibri" w:hAnsi="Calibri" w:hint="eastAsia"/>
                                  <w:snapToGrid w:val="0"/>
                                  <w:szCs w:val="21"/>
                                </w:rPr>
                                <w:t>纯水</w:t>
                              </w:r>
                            </w:p>
                          </w:txbxContent>
                        </wps:txbx>
                        <wps:bodyPr rot="0" vert="horz" wrap="square" lIns="91440" tIns="45720" rIns="91440" bIns="45720" anchor="t" anchorCtr="0" upright="1">
                          <a:noAutofit/>
                        </wps:bodyPr>
                      </wps:wsp>
                      <wps:wsp>
                        <wps:cNvPr id="37871" name="AutoShape 11130"/>
                        <wps:cNvCnPr>
                          <a:cxnSpLocks noChangeShapeType="1"/>
                        </wps:cNvCnPr>
                        <wps:spPr bwMode="auto">
                          <a:xfrm flipH="1">
                            <a:off x="199391" y="327464"/>
                            <a:ext cx="634" cy="555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2" name="AutoShape 11131"/>
                        <wps:cNvCnPr>
                          <a:cxnSpLocks noChangeShapeType="1"/>
                        </wps:cNvCnPr>
                        <wps:spPr bwMode="auto">
                          <a:xfrm flipH="1">
                            <a:off x="114935" y="281744"/>
                            <a:ext cx="22225" cy="561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3" name="AutoShape 11132"/>
                        <wps:cNvCnPr>
                          <a:cxnSpLocks noChangeShapeType="1"/>
                        </wps:cNvCnPr>
                        <wps:spPr bwMode="auto">
                          <a:xfrm>
                            <a:off x="214630" y="4054914"/>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74" name="Text Box 11133"/>
                        <wps:cNvSpPr txBox="1">
                          <a:spLocks noChangeArrowheads="1"/>
                        </wps:cNvSpPr>
                        <wps:spPr bwMode="auto">
                          <a:xfrm>
                            <a:off x="699135" y="3898455"/>
                            <a:ext cx="882650" cy="2849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913EE1" w14:textId="77777777" w:rsidR="00217891" w:rsidRPr="003E5463" w:rsidRDefault="00217891" w:rsidP="00C2742E">
                              <w:pPr>
                                <w:jc w:val="center"/>
                              </w:pPr>
                              <w:r>
                                <w:rPr>
                                  <w:rFonts w:hint="eastAsia"/>
                                </w:rPr>
                                <w:t>水喷淋塔</w:t>
                              </w:r>
                            </w:p>
                          </w:txbxContent>
                        </wps:txbx>
                        <wps:bodyPr rot="0" vert="horz" wrap="square" lIns="91440" tIns="45720" rIns="91440" bIns="45720" anchor="t" anchorCtr="0" upright="1">
                          <a:noAutofit/>
                        </wps:bodyPr>
                      </wps:wsp>
                      <wps:wsp>
                        <wps:cNvPr id="37875" name="AutoShape 11134"/>
                        <wps:cNvCnPr>
                          <a:cxnSpLocks noChangeShapeType="1"/>
                        </wps:cNvCnPr>
                        <wps:spPr bwMode="auto">
                          <a:xfrm>
                            <a:off x="1581785" y="4048564"/>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76" name="AutoShape 11135"/>
                        <wps:cNvCnPr>
                          <a:cxnSpLocks noChangeShapeType="1"/>
                        </wps:cNvCnPr>
                        <wps:spPr bwMode="auto">
                          <a:xfrm>
                            <a:off x="213995" y="5032179"/>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77" name="Text Box 11136"/>
                        <wps:cNvSpPr txBox="1">
                          <a:spLocks noChangeArrowheads="1"/>
                        </wps:cNvSpPr>
                        <wps:spPr bwMode="auto">
                          <a:xfrm>
                            <a:off x="685800" y="4909624"/>
                            <a:ext cx="88265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1B5228" w14:textId="77777777" w:rsidR="00217891" w:rsidRPr="003E5463" w:rsidRDefault="00217891" w:rsidP="00C2742E">
                              <w:pPr>
                                <w:jc w:val="center"/>
                              </w:pPr>
                              <w:r>
                                <w:rPr>
                                  <w:rFonts w:hint="eastAsia"/>
                                </w:rPr>
                                <w:t>地面冲洗</w:t>
                              </w:r>
                            </w:p>
                          </w:txbxContent>
                        </wps:txbx>
                        <wps:bodyPr rot="0" vert="horz" wrap="square" lIns="91440" tIns="45720" rIns="91440" bIns="45720" anchor="t" anchorCtr="0" upright="1">
                          <a:noAutofit/>
                        </wps:bodyPr>
                      </wps:wsp>
                      <wps:wsp>
                        <wps:cNvPr id="37878" name="AutoShape 11137"/>
                        <wps:cNvCnPr>
                          <a:cxnSpLocks noChangeShapeType="1"/>
                        </wps:cNvCnPr>
                        <wps:spPr bwMode="auto">
                          <a:xfrm flipV="1">
                            <a:off x="1099820" y="4649909"/>
                            <a:ext cx="635" cy="2482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879" name="AutoShape 11138"/>
                        <wps:cNvCnPr>
                          <a:cxnSpLocks noChangeShapeType="1"/>
                        </wps:cNvCnPr>
                        <wps:spPr bwMode="auto">
                          <a:xfrm>
                            <a:off x="1566545" y="5032814"/>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0" name="AutoShape 11139"/>
                        <wps:cNvCnPr>
                          <a:cxnSpLocks noChangeShapeType="1"/>
                        </wps:cNvCnPr>
                        <wps:spPr bwMode="auto">
                          <a:xfrm>
                            <a:off x="5738495" y="347444"/>
                            <a:ext cx="32385" cy="5681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1" name="Text Box 11140"/>
                        <wps:cNvSpPr txBox="1">
                          <a:spLocks noChangeArrowheads="1"/>
                        </wps:cNvSpPr>
                        <wps:spPr bwMode="auto">
                          <a:xfrm>
                            <a:off x="4221480" y="6028734"/>
                            <a:ext cx="1687830" cy="258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75E8A" w14:textId="5293AB0E" w:rsidR="00217891" w:rsidRPr="000E0606" w:rsidRDefault="00217891" w:rsidP="00C2742E">
                              <w:pPr>
                                <w:jc w:val="center"/>
                                <w:rPr>
                                  <w:rFonts w:ascii="Calibri" w:hAnsi="Calibri"/>
                                </w:rPr>
                              </w:pPr>
                              <w:r w:rsidRPr="000E0606">
                                <w:rPr>
                                  <w:rFonts w:ascii="Calibri"/>
                                </w:rPr>
                                <w:t>厂区废水处理站（</w:t>
                              </w:r>
                              <w:r>
                                <w:rPr>
                                  <w:rFonts w:ascii="Calibri" w:hAnsi="Calibri"/>
                                </w:rPr>
                                <w:t>47.88</w:t>
                              </w:r>
                              <w:r w:rsidRPr="000E0606">
                                <w:rPr>
                                  <w:rFonts w:ascii="Calibri"/>
                                </w:rPr>
                                <w:t>）</w:t>
                              </w:r>
                            </w:p>
                          </w:txbxContent>
                        </wps:txbx>
                        <wps:bodyPr rot="0" vert="horz" wrap="square" lIns="18000" tIns="45720" rIns="18000" bIns="45720" anchor="t" anchorCtr="0" upright="1">
                          <a:noAutofit/>
                        </wps:bodyPr>
                      </wps:wsp>
                      <wps:wsp>
                        <wps:cNvPr id="37882" name="AutoShape 11141"/>
                        <wps:cNvCnPr>
                          <a:cxnSpLocks noChangeShapeType="1"/>
                        </wps:cNvCnPr>
                        <wps:spPr bwMode="auto">
                          <a:xfrm flipV="1">
                            <a:off x="5155565" y="6264714"/>
                            <a:ext cx="635"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3" name="AutoShape 11142"/>
                        <wps:cNvCnPr>
                          <a:cxnSpLocks noChangeShapeType="1"/>
                        </wps:cNvCnPr>
                        <wps:spPr bwMode="auto">
                          <a:xfrm flipH="1">
                            <a:off x="3288030" y="6182799"/>
                            <a:ext cx="101854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84" name="Text Box 11143"/>
                        <wps:cNvSpPr txBox="1">
                          <a:spLocks noChangeArrowheads="1"/>
                        </wps:cNvSpPr>
                        <wps:spPr bwMode="auto">
                          <a:xfrm>
                            <a:off x="5080" y="35999"/>
                            <a:ext cx="11747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9CED" w14:textId="7C744584" w:rsidR="00217891" w:rsidRPr="000E0606" w:rsidRDefault="00217891" w:rsidP="00C2742E">
                              <w:pPr>
                                <w:jc w:val="left"/>
                                <w:rPr>
                                  <w:rFonts w:ascii="Calibri" w:hAnsi="Calibri"/>
                                </w:rPr>
                              </w:pPr>
                              <w:r w:rsidRPr="000E0606">
                                <w:rPr>
                                  <w:rFonts w:ascii="Calibri" w:hAnsi="Calibri" w:hint="eastAsia"/>
                                </w:rPr>
                                <w:t>新鲜水：</w:t>
                              </w:r>
                              <w:r>
                                <w:rPr>
                                  <w:rFonts w:ascii="Calibri" w:hAnsi="Calibri"/>
                                </w:rPr>
                                <w:t>48.91</w:t>
                              </w:r>
                            </w:p>
                          </w:txbxContent>
                        </wps:txbx>
                        <wps:bodyPr rot="0" vert="horz" wrap="square" lIns="91440" tIns="45720" rIns="91440" bIns="45720" anchor="t" anchorCtr="0" upright="1">
                          <a:noAutofit/>
                        </wps:bodyPr>
                      </wps:wsp>
                      <wps:wsp>
                        <wps:cNvPr id="37885" name="AutoShape 11144"/>
                        <wps:cNvCnPr>
                          <a:cxnSpLocks noChangeShapeType="1"/>
                        </wps:cNvCnPr>
                        <wps:spPr bwMode="auto">
                          <a:xfrm>
                            <a:off x="214630" y="1593654"/>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6" name="AutoShape 11145"/>
                        <wps:cNvCnPr>
                          <a:cxnSpLocks noChangeShapeType="1"/>
                        </wps:cNvCnPr>
                        <wps:spPr bwMode="auto">
                          <a:xfrm>
                            <a:off x="1598930" y="1617149"/>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7" name="AutoShape 11146"/>
                        <wps:cNvCnPr>
                          <a:cxnSpLocks noChangeShapeType="1"/>
                        </wps:cNvCnPr>
                        <wps:spPr bwMode="auto">
                          <a:xfrm>
                            <a:off x="2974975" y="1617784"/>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8" name="AutoShape 11147"/>
                        <wps:cNvCnPr>
                          <a:cxnSpLocks noChangeShapeType="1"/>
                        </wps:cNvCnPr>
                        <wps:spPr bwMode="auto">
                          <a:xfrm>
                            <a:off x="3446145" y="985324"/>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89" name="Text Box 11148"/>
                        <wps:cNvSpPr txBox="1">
                          <a:spLocks noChangeArrowheads="1"/>
                        </wps:cNvSpPr>
                        <wps:spPr bwMode="auto">
                          <a:xfrm>
                            <a:off x="3919855" y="863404"/>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E2DAFE" w14:textId="77777777" w:rsidR="00217891" w:rsidRPr="003E5463" w:rsidRDefault="00217891" w:rsidP="00C2742E">
                              <w:pPr>
                                <w:jc w:val="center"/>
                              </w:pPr>
                              <w:r>
                                <w:rPr>
                                  <w:rFonts w:ascii="Calibri" w:hAnsi="Calibri" w:hint="eastAsia"/>
                                  <w:snapToGrid w:val="0"/>
                                  <w:szCs w:val="21"/>
                                </w:rPr>
                                <w:t>制粒冷却</w:t>
                              </w:r>
                            </w:p>
                          </w:txbxContent>
                        </wps:txbx>
                        <wps:bodyPr rot="0" vert="horz" wrap="square" lIns="91440" tIns="45720" rIns="91440" bIns="45720" anchor="t" anchorCtr="0" upright="1">
                          <a:noAutofit/>
                        </wps:bodyPr>
                      </wps:wsp>
                      <wps:wsp>
                        <wps:cNvPr id="37890" name="AutoShape 11149"/>
                        <wps:cNvCnPr>
                          <a:cxnSpLocks noChangeShapeType="1"/>
                        </wps:cNvCnPr>
                        <wps:spPr bwMode="auto">
                          <a:xfrm>
                            <a:off x="3446145" y="1601909"/>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91" name="Text Box 11150"/>
                        <wps:cNvSpPr txBox="1">
                          <a:spLocks noChangeArrowheads="1"/>
                        </wps:cNvSpPr>
                        <wps:spPr bwMode="auto">
                          <a:xfrm>
                            <a:off x="3919855" y="1473004"/>
                            <a:ext cx="102933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1B9685" w14:textId="77777777" w:rsidR="00217891" w:rsidRPr="003E5463" w:rsidRDefault="00217891" w:rsidP="00C2742E">
                              <w:r>
                                <w:rPr>
                                  <w:rFonts w:ascii="Calibri" w:hAnsi="Calibri" w:hint="eastAsia"/>
                                  <w:snapToGrid w:val="0"/>
                                  <w:szCs w:val="21"/>
                                </w:rPr>
                                <w:t>真空机</w:t>
                              </w:r>
                              <w:r>
                                <w:rPr>
                                  <w:rFonts w:ascii="Calibri" w:hAnsi="Calibri"/>
                                  <w:snapToGrid w:val="0"/>
                                  <w:szCs w:val="21"/>
                                </w:rPr>
                                <w:t>循环泵</w:t>
                              </w:r>
                            </w:p>
                          </w:txbxContent>
                        </wps:txbx>
                        <wps:bodyPr rot="0" vert="horz" wrap="square" lIns="91440" tIns="45720" rIns="91440" bIns="45720" anchor="t" anchorCtr="0" upright="1">
                          <a:noAutofit/>
                        </wps:bodyPr>
                      </wps:wsp>
                      <wps:wsp>
                        <wps:cNvPr id="37892" name="AutoShape 11151"/>
                        <wps:cNvCnPr>
                          <a:cxnSpLocks noChangeShapeType="1"/>
                        </wps:cNvCnPr>
                        <wps:spPr bwMode="auto">
                          <a:xfrm>
                            <a:off x="3446145" y="2234369"/>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93" name="Text Box 11152"/>
                        <wps:cNvSpPr txBox="1">
                          <a:spLocks noChangeArrowheads="1"/>
                        </wps:cNvSpPr>
                        <wps:spPr bwMode="auto">
                          <a:xfrm>
                            <a:off x="3919855" y="2113084"/>
                            <a:ext cx="102933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EF11B8" w14:textId="77777777" w:rsidR="00217891" w:rsidRPr="003E5463" w:rsidRDefault="00217891" w:rsidP="00C2742E">
                              <w:r>
                                <w:rPr>
                                  <w:rFonts w:ascii="Calibri" w:hAnsi="Calibri" w:hint="eastAsia"/>
                                  <w:snapToGrid w:val="0"/>
                                  <w:szCs w:val="21"/>
                                </w:rPr>
                                <w:t>冷却循环</w:t>
                              </w:r>
                              <w:r>
                                <w:rPr>
                                  <w:rFonts w:ascii="Calibri" w:hAnsi="Calibri"/>
                                  <w:snapToGrid w:val="0"/>
                                  <w:szCs w:val="21"/>
                                </w:rPr>
                                <w:t>水站</w:t>
                              </w:r>
                            </w:p>
                          </w:txbxContent>
                        </wps:txbx>
                        <wps:bodyPr rot="0" vert="horz" wrap="square" lIns="91440" tIns="45720" rIns="91440" bIns="45720" anchor="t" anchorCtr="0" upright="1">
                          <a:noAutofit/>
                        </wps:bodyPr>
                      </wps:wsp>
                      <wps:wsp>
                        <wps:cNvPr id="37894" name="AutoShape 11153"/>
                        <wps:cNvCnPr>
                          <a:cxnSpLocks noChangeShapeType="1"/>
                        </wps:cNvCnPr>
                        <wps:spPr bwMode="auto">
                          <a:xfrm flipH="1">
                            <a:off x="4396740" y="2388039"/>
                            <a:ext cx="3810" cy="4870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95" name="AutoShape 11154"/>
                        <wps:cNvCnPr>
                          <a:cxnSpLocks noChangeShapeType="1"/>
                        </wps:cNvCnPr>
                        <wps:spPr bwMode="auto">
                          <a:xfrm flipH="1">
                            <a:off x="3277235" y="2867464"/>
                            <a:ext cx="111442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96" name="AutoShape 11155"/>
                        <wps:cNvCnPr>
                          <a:cxnSpLocks noChangeShapeType="1"/>
                        </wps:cNvCnPr>
                        <wps:spPr bwMode="auto">
                          <a:xfrm flipH="1">
                            <a:off x="1099820" y="1733989"/>
                            <a:ext cx="635" cy="11563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897" name="AutoShape 11156"/>
                        <wps:cNvCnPr>
                          <a:cxnSpLocks noChangeShapeType="1"/>
                        </wps:cNvCnPr>
                        <wps:spPr bwMode="auto">
                          <a:xfrm flipV="1">
                            <a:off x="1096010" y="2883974"/>
                            <a:ext cx="2191385"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98" name="AutoShape 11157"/>
                        <wps:cNvCnPr>
                          <a:cxnSpLocks noChangeShapeType="1"/>
                        </wps:cNvCnPr>
                        <wps:spPr bwMode="auto">
                          <a:xfrm>
                            <a:off x="3287395" y="2876354"/>
                            <a:ext cx="635" cy="267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99" name="AutoShape 11158"/>
                        <wps:cNvCnPr>
                          <a:cxnSpLocks noChangeShapeType="1"/>
                        </wps:cNvCnPr>
                        <wps:spPr bwMode="auto">
                          <a:xfrm>
                            <a:off x="4819015" y="1009454"/>
                            <a:ext cx="919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0" name="AutoShape 11159"/>
                        <wps:cNvCnPr>
                          <a:cxnSpLocks noChangeShapeType="1"/>
                        </wps:cNvCnPr>
                        <wps:spPr bwMode="auto">
                          <a:xfrm>
                            <a:off x="4966335" y="1589209"/>
                            <a:ext cx="820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1" name="AutoShape 11160"/>
                        <wps:cNvCnPr>
                          <a:cxnSpLocks noChangeShapeType="1"/>
                        </wps:cNvCnPr>
                        <wps:spPr bwMode="auto">
                          <a:xfrm>
                            <a:off x="4966335" y="3349429"/>
                            <a:ext cx="8204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2" name="Text Box 11161"/>
                        <wps:cNvSpPr txBox="1">
                          <a:spLocks noChangeArrowheads="1"/>
                        </wps:cNvSpPr>
                        <wps:spPr bwMode="auto">
                          <a:xfrm>
                            <a:off x="3919855" y="3127814"/>
                            <a:ext cx="1029335" cy="459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95FE1" w14:textId="77777777" w:rsidR="00217891" w:rsidRPr="003E5463" w:rsidRDefault="00217891" w:rsidP="00C2742E">
                              <w:r>
                                <w:rPr>
                                  <w:rFonts w:ascii="Calibri" w:hAnsi="Calibri" w:hint="eastAsia"/>
                                  <w:snapToGrid w:val="0"/>
                                  <w:szCs w:val="21"/>
                                </w:rPr>
                                <w:t>原料带入</w:t>
                              </w:r>
                              <w:r>
                                <w:rPr>
                                  <w:rFonts w:ascii="Calibri" w:hAnsi="Calibri"/>
                                  <w:snapToGrid w:val="0"/>
                                  <w:szCs w:val="21"/>
                                </w:rPr>
                                <w:t>及聚合生成水</w:t>
                              </w:r>
                            </w:p>
                          </w:txbxContent>
                        </wps:txbx>
                        <wps:bodyPr rot="0" vert="horz" wrap="square" lIns="91440" tIns="45720" rIns="91440" bIns="45720" anchor="t" anchorCtr="0" upright="1">
                          <a:noAutofit/>
                        </wps:bodyPr>
                      </wps:wsp>
                      <wps:wsp>
                        <wps:cNvPr id="37903" name="Text Box 11162"/>
                        <wps:cNvSpPr txBox="1">
                          <a:spLocks noChangeArrowheads="1"/>
                        </wps:cNvSpPr>
                        <wps:spPr bwMode="auto">
                          <a:xfrm>
                            <a:off x="1021080" y="4572439"/>
                            <a:ext cx="9290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488E" w14:textId="1ADE182D"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2.63</w:t>
                              </w:r>
                            </w:p>
                          </w:txbxContent>
                        </wps:txbx>
                        <wps:bodyPr rot="0" vert="horz" wrap="square" lIns="91440" tIns="45720" rIns="91440" bIns="45720" anchor="t" anchorCtr="0" upright="1">
                          <a:noAutofit/>
                        </wps:bodyPr>
                      </wps:wsp>
                      <wps:wsp>
                        <wps:cNvPr id="37904" name="AutoShape 11163"/>
                        <wps:cNvCnPr>
                          <a:cxnSpLocks noChangeShapeType="1"/>
                        </wps:cNvCnPr>
                        <wps:spPr bwMode="auto">
                          <a:xfrm>
                            <a:off x="213995" y="5870379"/>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5" name="Text Box 11164"/>
                        <wps:cNvSpPr txBox="1">
                          <a:spLocks noChangeArrowheads="1"/>
                        </wps:cNvSpPr>
                        <wps:spPr bwMode="auto">
                          <a:xfrm>
                            <a:off x="701040" y="5733854"/>
                            <a:ext cx="88265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AF584D" w14:textId="77777777" w:rsidR="00217891" w:rsidRPr="003E5463" w:rsidRDefault="00217891" w:rsidP="00C2742E">
                              <w:pPr>
                                <w:jc w:val="center"/>
                              </w:pPr>
                              <w:r>
                                <w:rPr>
                                  <w:rFonts w:hint="eastAsia"/>
                                </w:rPr>
                                <w:t>职工生活</w:t>
                              </w:r>
                            </w:p>
                          </w:txbxContent>
                        </wps:txbx>
                        <wps:bodyPr rot="0" vert="horz" wrap="square" lIns="91440" tIns="45720" rIns="91440" bIns="45720" anchor="t" anchorCtr="0" upright="1">
                          <a:noAutofit/>
                        </wps:bodyPr>
                      </wps:wsp>
                      <wps:wsp>
                        <wps:cNvPr id="37906" name="AutoShape 11165"/>
                        <wps:cNvCnPr>
                          <a:cxnSpLocks noChangeShapeType="1"/>
                        </wps:cNvCnPr>
                        <wps:spPr bwMode="auto">
                          <a:xfrm>
                            <a:off x="1566545" y="5869744"/>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7" name="AutoShape 11166"/>
                        <wps:cNvCnPr>
                          <a:cxnSpLocks noChangeShapeType="1"/>
                        </wps:cNvCnPr>
                        <wps:spPr bwMode="auto">
                          <a:xfrm flipV="1">
                            <a:off x="1102995" y="5458264"/>
                            <a:ext cx="635" cy="2482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908" name="Text Box 11167"/>
                        <wps:cNvSpPr txBox="1">
                          <a:spLocks noChangeArrowheads="1"/>
                        </wps:cNvSpPr>
                        <wps:spPr bwMode="auto">
                          <a:xfrm>
                            <a:off x="1036320" y="5364919"/>
                            <a:ext cx="9290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AFDF" w14:textId="77777777"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1.92</w:t>
                              </w:r>
                            </w:p>
                          </w:txbxContent>
                        </wps:txbx>
                        <wps:bodyPr rot="0" vert="horz" wrap="square" lIns="91440" tIns="45720" rIns="91440" bIns="45720" anchor="t" anchorCtr="0" upright="1">
                          <a:noAutofit/>
                        </wps:bodyPr>
                      </wps:wsp>
                      <wps:wsp>
                        <wps:cNvPr id="37909" name="Text Box 11168"/>
                        <wps:cNvSpPr txBox="1">
                          <a:spLocks noChangeArrowheads="1"/>
                        </wps:cNvSpPr>
                        <wps:spPr bwMode="auto">
                          <a:xfrm>
                            <a:off x="2713355" y="5581454"/>
                            <a:ext cx="13843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8C7E" w14:textId="316F0A8E" w:rsidR="00217891" w:rsidRPr="000E0606" w:rsidRDefault="00217891" w:rsidP="00C2742E">
                              <w:pPr>
                                <w:jc w:val="center"/>
                                <w:rPr>
                                  <w:rFonts w:ascii="Calibri" w:hAnsi="Calibri"/>
                                  <w:color w:val="0033CC"/>
                                </w:rPr>
                              </w:pPr>
                              <w:r w:rsidRPr="000E0606">
                                <w:rPr>
                                  <w:rFonts w:ascii="Calibri" w:hAnsi="Calibri" w:hint="eastAsia"/>
                                  <w:color w:val="0033CC"/>
                                </w:rPr>
                                <w:t>总排放口（</w:t>
                              </w:r>
                              <w:r>
                                <w:rPr>
                                  <w:rFonts w:ascii="Calibri" w:hAnsi="Calibri"/>
                                  <w:color w:val="0033CC"/>
                                </w:rPr>
                                <w:t>51.30</w:t>
                              </w:r>
                              <w:r w:rsidRPr="000E0606">
                                <w:rPr>
                                  <w:rFonts w:ascii="Calibri" w:hAnsi="Calibri" w:hint="eastAsia"/>
                                  <w:color w:val="0033CC"/>
                                </w:rPr>
                                <w:t>）</w:t>
                              </w:r>
                            </w:p>
                          </w:txbxContent>
                        </wps:txbx>
                        <wps:bodyPr rot="0" vert="horz" wrap="square" lIns="91440" tIns="45720" rIns="91440" bIns="45720" anchor="t" anchorCtr="0" upright="1">
                          <a:noAutofit/>
                        </wps:bodyPr>
                      </wps:wsp>
                      <wps:wsp>
                        <wps:cNvPr id="37910" name="AutoShape 11169"/>
                        <wps:cNvCnPr>
                          <a:cxnSpLocks noChangeShapeType="1"/>
                        </wps:cNvCnPr>
                        <wps:spPr bwMode="auto">
                          <a:xfrm>
                            <a:off x="2051050" y="4019354"/>
                            <a:ext cx="635" cy="26746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911" name="AutoShape 11170"/>
                        <wps:cNvCnPr>
                          <a:cxnSpLocks noChangeShapeType="1"/>
                        </wps:cNvCnPr>
                        <wps:spPr bwMode="auto">
                          <a:xfrm flipV="1">
                            <a:off x="2059305" y="6655874"/>
                            <a:ext cx="3103245" cy="298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912" name="AutoShape 11171"/>
                        <wps:cNvCnPr>
                          <a:cxnSpLocks noChangeShapeType="1"/>
                        </wps:cNvCnPr>
                        <wps:spPr bwMode="auto">
                          <a:xfrm flipV="1">
                            <a:off x="3277235" y="5799259"/>
                            <a:ext cx="635"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13" name="Text Box 11172"/>
                        <wps:cNvSpPr txBox="1">
                          <a:spLocks noChangeArrowheads="1"/>
                        </wps:cNvSpPr>
                        <wps:spPr bwMode="auto">
                          <a:xfrm>
                            <a:off x="1568450" y="139489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54B4" w14:textId="77777777" w:rsidR="00217891" w:rsidRPr="000E0606" w:rsidRDefault="00217891" w:rsidP="00C2742E">
                              <w:pPr>
                                <w:jc w:val="center"/>
                                <w:rPr>
                                  <w:rFonts w:ascii="Calibri" w:hAnsi="Calibri"/>
                                </w:rPr>
                              </w:pPr>
                              <w:r>
                                <w:rPr>
                                  <w:rFonts w:ascii="Calibri" w:hAnsi="Calibri"/>
                                </w:rPr>
                                <w:t>7.94</w:t>
                              </w:r>
                            </w:p>
                          </w:txbxContent>
                        </wps:txbx>
                        <wps:bodyPr rot="0" vert="horz" wrap="square" lIns="91440" tIns="45720" rIns="91440" bIns="45720" anchor="t" anchorCtr="0" upright="1">
                          <a:noAutofit/>
                        </wps:bodyPr>
                      </wps:wsp>
                      <wps:wsp>
                        <wps:cNvPr id="37914" name="Text Box 11173"/>
                        <wps:cNvSpPr txBox="1">
                          <a:spLocks noChangeArrowheads="1"/>
                        </wps:cNvSpPr>
                        <wps:spPr bwMode="auto">
                          <a:xfrm>
                            <a:off x="1179830" y="2667439"/>
                            <a:ext cx="817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ADCF" w14:textId="77777777" w:rsidR="00217891" w:rsidRPr="000E0606" w:rsidRDefault="00217891" w:rsidP="00C2742E">
                              <w:pPr>
                                <w:jc w:val="center"/>
                                <w:rPr>
                                  <w:rFonts w:ascii="Calibri" w:hAnsi="Calibri"/>
                                </w:rPr>
                              </w:pPr>
                              <w:r>
                                <w:rPr>
                                  <w:rFonts w:ascii="Calibri" w:hAnsi="Calibri" w:hint="eastAsia"/>
                                </w:rPr>
                                <w:t>浓水</w:t>
                              </w:r>
                              <w:r>
                                <w:rPr>
                                  <w:rFonts w:ascii="Calibri" w:hAnsi="Calibri"/>
                                </w:rPr>
                                <w:t>3.39</w:t>
                              </w:r>
                            </w:p>
                          </w:txbxContent>
                        </wps:txbx>
                        <wps:bodyPr rot="0" vert="horz" wrap="square" lIns="91440" tIns="45720" rIns="91440" bIns="45720" anchor="t" anchorCtr="0" upright="1">
                          <a:noAutofit/>
                        </wps:bodyPr>
                      </wps:wsp>
                      <wps:wsp>
                        <wps:cNvPr id="37915" name="Text Box 11174"/>
                        <wps:cNvSpPr txBox="1">
                          <a:spLocks noChangeArrowheads="1"/>
                        </wps:cNvSpPr>
                        <wps:spPr bwMode="auto">
                          <a:xfrm>
                            <a:off x="2909570" y="141775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1686B" w14:textId="77777777" w:rsidR="00217891" w:rsidRPr="000E0606" w:rsidRDefault="00217891" w:rsidP="00C2742E">
                              <w:pPr>
                                <w:jc w:val="center"/>
                                <w:rPr>
                                  <w:rFonts w:ascii="Calibri" w:hAnsi="Calibri"/>
                                </w:rPr>
                              </w:pPr>
                              <w:r>
                                <w:rPr>
                                  <w:rFonts w:ascii="Calibri" w:hAnsi="Calibri"/>
                                </w:rPr>
                                <w:t>7.94</w:t>
                              </w:r>
                            </w:p>
                          </w:txbxContent>
                        </wps:txbx>
                        <wps:bodyPr rot="0" vert="horz" wrap="square" lIns="91440" tIns="45720" rIns="91440" bIns="45720" anchor="t" anchorCtr="0" upright="1">
                          <a:noAutofit/>
                        </wps:bodyPr>
                      </wps:wsp>
                      <wps:wsp>
                        <wps:cNvPr id="37916" name="Text Box 11175"/>
                        <wps:cNvSpPr txBox="1">
                          <a:spLocks noChangeArrowheads="1"/>
                        </wps:cNvSpPr>
                        <wps:spPr bwMode="auto">
                          <a:xfrm>
                            <a:off x="3404870" y="135679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0C0D9" w14:textId="77777777" w:rsidR="00217891" w:rsidRPr="000E0606" w:rsidRDefault="00217891" w:rsidP="00C2742E">
                              <w:pPr>
                                <w:jc w:val="center"/>
                                <w:rPr>
                                  <w:rFonts w:ascii="Calibri" w:hAnsi="Calibri"/>
                                </w:rPr>
                              </w:pPr>
                              <w:r>
                                <w:rPr>
                                  <w:rFonts w:ascii="Calibri" w:hAnsi="Calibri"/>
                                </w:rPr>
                                <w:t>5.95</w:t>
                              </w:r>
                            </w:p>
                          </w:txbxContent>
                        </wps:txbx>
                        <wps:bodyPr rot="0" vert="horz" wrap="square" lIns="91440" tIns="45720" rIns="91440" bIns="45720" anchor="t" anchorCtr="0" upright="1">
                          <a:noAutofit/>
                        </wps:bodyPr>
                      </wps:wsp>
                      <wps:wsp>
                        <wps:cNvPr id="37917" name="Text Box 11176"/>
                        <wps:cNvSpPr txBox="1">
                          <a:spLocks noChangeArrowheads="1"/>
                        </wps:cNvSpPr>
                        <wps:spPr bwMode="auto">
                          <a:xfrm>
                            <a:off x="3397250" y="187495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23EC" w14:textId="77777777" w:rsidR="00217891" w:rsidRPr="000E0606" w:rsidRDefault="00217891" w:rsidP="00C2742E">
                              <w:pPr>
                                <w:jc w:val="center"/>
                                <w:rPr>
                                  <w:rFonts w:ascii="Calibri" w:hAnsi="Calibri"/>
                                </w:rPr>
                              </w:pPr>
                              <w:r>
                                <w:rPr>
                                  <w:rFonts w:ascii="Calibri" w:hAnsi="Calibri"/>
                                </w:rPr>
                                <w:t>0.30</w:t>
                              </w:r>
                            </w:p>
                          </w:txbxContent>
                        </wps:txbx>
                        <wps:bodyPr rot="0" vert="horz" wrap="square" lIns="91440" tIns="45720" rIns="91440" bIns="45720" anchor="t" anchorCtr="0" upright="1">
                          <a:noAutofit/>
                        </wps:bodyPr>
                      </wps:wsp>
                      <wps:wsp>
                        <wps:cNvPr id="37918" name="Text Box 11177"/>
                        <wps:cNvSpPr txBox="1">
                          <a:spLocks noChangeArrowheads="1"/>
                        </wps:cNvSpPr>
                        <wps:spPr bwMode="auto">
                          <a:xfrm>
                            <a:off x="5020310" y="308907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797F" w14:textId="150D0931" w:rsidR="00217891" w:rsidRPr="000E0606" w:rsidRDefault="00217891" w:rsidP="00C2742E">
                              <w:pPr>
                                <w:jc w:val="center"/>
                                <w:rPr>
                                  <w:rFonts w:ascii="Calibri" w:hAnsi="Calibri"/>
                                </w:rPr>
                              </w:pPr>
                              <w:r>
                                <w:rPr>
                                  <w:rFonts w:ascii="Calibri" w:hAnsi="Calibri"/>
                                </w:rPr>
                                <w:t>5.89</w:t>
                              </w:r>
                            </w:p>
                          </w:txbxContent>
                        </wps:txbx>
                        <wps:bodyPr rot="0" vert="horz" wrap="square" lIns="91440" tIns="45720" rIns="91440" bIns="45720" anchor="t" anchorCtr="0" upright="1">
                          <a:noAutofit/>
                        </wps:bodyPr>
                      </wps:wsp>
                      <wps:wsp>
                        <wps:cNvPr id="37919" name="Text Box 11178"/>
                        <wps:cNvSpPr txBox="1">
                          <a:spLocks noChangeArrowheads="1"/>
                        </wps:cNvSpPr>
                        <wps:spPr bwMode="auto">
                          <a:xfrm>
                            <a:off x="5005070" y="133393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F9F6" w14:textId="77777777" w:rsidR="00217891" w:rsidRPr="000E0606" w:rsidRDefault="00217891" w:rsidP="00C2742E">
                              <w:pPr>
                                <w:jc w:val="center"/>
                                <w:rPr>
                                  <w:rFonts w:ascii="Calibri" w:hAnsi="Calibri"/>
                                </w:rPr>
                              </w:pPr>
                              <w:r>
                                <w:rPr>
                                  <w:rFonts w:ascii="Calibri" w:hAnsi="Calibri"/>
                                </w:rPr>
                                <w:t>5.95</w:t>
                              </w:r>
                            </w:p>
                          </w:txbxContent>
                        </wps:txbx>
                        <wps:bodyPr rot="0" vert="horz" wrap="square" lIns="91440" tIns="45720" rIns="91440" bIns="45720" anchor="t" anchorCtr="0" upright="1">
                          <a:noAutofit/>
                        </wps:bodyPr>
                      </wps:wsp>
                      <wps:wsp>
                        <wps:cNvPr id="37920" name="Text Box 11179"/>
                        <wps:cNvSpPr txBox="1">
                          <a:spLocks noChangeArrowheads="1"/>
                        </wps:cNvSpPr>
                        <wps:spPr bwMode="auto">
                          <a:xfrm>
                            <a:off x="3549650" y="265537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0DDB" w14:textId="77777777" w:rsidR="00217891" w:rsidRPr="000E0606" w:rsidRDefault="00217891" w:rsidP="00C2742E">
                              <w:pPr>
                                <w:jc w:val="center"/>
                                <w:rPr>
                                  <w:rFonts w:ascii="Calibri" w:hAnsi="Calibri"/>
                                </w:rPr>
                              </w:pPr>
                              <w:r>
                                <w:rPr>
                                  <w:rFonts w:ascii="Calibri" w:hAnsi="Calibri"/>
                                </w:rPr>
                                <w:t>0.03</w:t>
                              </w:r>
                            </w:p>
                          </w:txbxContent>
                        </wps:txbx>
                        <wps:bodyPr rot="0" vert="horz" wrap="square" lIns="91440" tIns="45720" rIns="91440" bIns="45720" anchor="t" anchorCtr="0" upright="1">
                          <a:noAutofit/>
                        </wps:bodyPr>
                      </wps:wsp>
                      <wps:wsp>
                        <wps:cNvPr id="37921" name="Text Box 11180"/>
                        <wps:cNvSpPr txBox="1">
                          <a:spLocks noChangeArrowheads="1"/>
                        </wps:cNvSpPr>
                        <wps:spPr bwMode="auto">
                          <a:xfrm>
                            <a:off x="173990" y="381488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F7BB" w14:textId="77777777" w:rsidR="00217891" w:rsidRPr="000E0606" w:rsidRDefault="00217891" w:rsidP="00C2742E">
                              <w:pPr>
                                <w:jc w:val="center"/>
                                <w:rPr>
                                  <w:rFonts w:ascii="Calibri" w:hAnsi="Calibri"/>
                                </w:rPr>
                              </w:pPr>
                              <w:r>
                                <w:rPr>
                                  <w:rFonts w:ascii="Calibri" w:hAnsi="Calibri"/>
                                </w:rPr>
                                <w:t>1.62</w:t>
                              </w:r>
                            </w:p>
                          </w:txbxContent>
                        </wps:txbx>
                        <wps:bodyPr rot="0" vert="horz" wrap="square" lIns="91440" tIns="45720" rIns="91440" bIns="45720" anchor="t" anchorCtr="0" upright="1">
                          <a:noAutofit/>
                        </wps:bodyPr>
                      </wps:wsp>
                      <wps:wsp>
                        <wps:cNvPr id="37922" name="Text Box 11181"/>
                        <wps:cNvSpPr txBox="1">
                          <a:spLocks noChangeArrowheads="1"/>
                        </wps:cNvSpPr>
                        <wps:spPr bwMode="auto">
                          <a:xfrm>
                            <a:off x="181610" y="479786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0A98A" w14:textId="745159C5" w:rsidR="00217891" w:rsidRPr="000E0606" w:rsidRDefault="00217891" w:rsidP="00C2742E">
                              <w:pPr>
                                <w:jc w:val="center"/>
                                <w:rPr>
                                  <w:rFonts w:ascii="Calibri" w:hAnsi="Calibri"/>
                                </w:rPr>
                              </w:pPr>
                              <w:r>
                                <w:rPr>
                                  <w:rFonts w:ascii="Calibri" w:hAnsi="Calibri"/>
                                </w:rPr>
                                <w:t>26.36</w:t>
                              </w:r>
                            </w:p>
                          </w:txbxContent>
                        </wps:txbx>
                        <wps:bodyPr rot="0" vert="horz" wrap="square" lIns="91440" tIns="45720" rIns="91440" bIns="45720" anchor="t" anchorCtr="0" upright="1">
                          <a:noAutofit/>
                        </wps:bodyPr>
                      </wps:wsp>
                      <wps:wsp>
                        <wps:cNvPr id="37923" name="Text Box 11182"/>
                        <wps:cNvSpPr txBox="1">
                          <a:spLocks noChangeArrowheads="1"/>
                        </wps:cNvSpPr>
                        <wps:spPr bwMode="auto">
                          <a:xfrm>
                            <a:off x="114935" y="560939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A96A2" w14:textId="77777777" w:rsidR="00217891" w:rsidRPr="000E0606" w:rsidRDefault="00217891" w:rsidP="00C2742E">
                              <w:pPr>
                                <w:jc w:val="center"/>
                                <w:rPr>
                                  <w:rFonts w:ascii="Calibri" w:hAnsi="Calibri"/>
                                </w:rPr>
                              </w:pPr>
                              <w:r>
                                <w:rPr>
                                  <w:rFonts w:ascii="Calibri" w:hAnsi="Calibri"/>
                                </w:rPr>
                                <w:t>9.6</w:t>
                              </w:r>
                            </w:p>
                          </w:txbxContent>
                        </wps:txbx>
                        <wps:bodyPr rot="0" vert="horz" wrap="square" lIns="91440" tIns="45720" rIns="91440" bIns="45720" anchor="t" anchorCtr="0" upright="1">
                          <a:noAutofit/>
                        </wps:bodyPr>
                      </wps:wsp>
                      <wps:wsp>
                        <wps:cNvPr id="37924" name="Text Box 11183"/>
                        <wps:cNvSpPr txBox="1">
                          <a:spLocks noChangeArrowheads="1"/>
                        </wps:cNvSpPr>
                        <wps:spPr bwMode="auto">
                          <a:xfrm>
                            <a:off x="1509395" y="380599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903B" w14:textId="384D4B6A" w:rsidR="00217891" w:rsidRPr="000E0606" w:rsidRDefault="00217891" w:rsidP="00C2742E">
                              <w:pPr>
                                <w:jc w:val="center"/>
                                <w:rPr>
                                  <w:rFonts w:ascii="Calibri" w:hAnsi="Calibri"/>
                                </w:rPr>
                              </w:pPr>
                              <w:r>
                                <w:rPr>
                                  <w:rFonts w:ascii="Calibri" w:hAnsi="Calibri"/>
                                </w:rPr>
                                <w:t>3.66</w:t>
                              </w:r>
                            </w:p>
                          </w:txbxContent>
                        </wps:txbx>
                        <wps:bodyPr rot="0" vert="horz" wrap="square" lIns="91440" tIns="45720" rIns="91440" bIns="45720" anchor="t" anchorCtr="0" upright="1">
                          <a:noAutofit/>
                        </wps:bodyPr>
                      </wps:wsp>
                      <wps:wsp>
                        <wps:cNvPr id="37925" name="Text Box 11184"/>
                        <wps:cNvSpPr txBox="1">
                          <a:spLocks noChangeArrowheads="1"/>
                        </wps:cNvSpPr>
                        <wps:spPr bwMode="auto">
                          <a:xfrm>
                            <a:off x="1517015" y="479786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0B445" w14:textId="37684E19" w:rsidR="00217891" w:rsidRPr="000E0606" w:rsidRDefault="00217891" w:rsidP="00C2742E">
                              <w:pPr>
                                <w:jc w:val="center"/>
                                <w:rPr>
                                  <w:rFonts w:ascii="Calibri" w:hAnsi="Calibri"/>
                                </w:rPr>
                              </w:pPr>
                              <w:r>
                                <w:rPr>
                                  <w:rFonts w:ascii="Calibri" w:hAnsi="Calibri"/>
                                </w:rPr>
                                <w:t>23.73</w:t>
                              </w:r>
                            </w:p>
                          </w:txbxContent>
                        </wps:txbx>
                        <wps:bodyPr rot="0" vert="horz" wrap="square" lIns="91440" tIns="45720" rIns="91440" bIns="45720" anchor="t" anchorCtr="0" upright="1">
                          <a:noAutofit/>
                        </wps:bodyPr>
                      </wps:wsp>
                      <wps:wsp>
                        <wps:cNvPr id="37926" name="Text Box 11185"/>
                        <wps:cNvSpPr txBox="1">
                          <a:spLocks noChangeArrowheads="1"/>
                        </wps:cNvSpPr>
                        <wps:spPr bwMode="auto">
                          <a:xfrm>
                            <a:off x="1517015" y="567289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20D3" w14:textId="77777777" w:rsidR="00217891" w:rsidRPr="000E0606" w:rsidRDefault="00217891" w:rsidP="00C2742E">
                              <w:pPr>
                                <w:jc w:val="center"/>
                                <w:rPr>
                                  <w:rFonts w:ascii="Calibri" w:hAnsi="Calibri"/>
                                </w:rPr>
                              </w:pPr>
                              <w:r>
                                <w:rPr>
                                  <w:rFonts w:ascii="Calibri" w:hAnsi="Calibri"/>
                                </w:rPr>
                                <w:t>7.68</w:t>
                              </w:r>
                            </w:p>
                          </w:txbxContent>
                        </wps:txbx>
                        <wps:bodyPr rot="0" vert="horz" wrap="square" lIns="91440" tIns="45720" rIns="91440" bIns="45720" anchor="t" anchorCtr="0" upright="1">
                          <a:noAutofit/>
                        </wps:bodyPr>
                      </wps:wsp>
                      <wps:wsp>
                        <wps:cNvPr id="37927" name="Text Box 11186"/>
                        <wps:cNvSpPr txBox="1">
                          <a:spLocks noChangeArrowheads="1"/>
                        </wps:cNvSpPr>
                        <wps:spPr bwMode="auto">
                          <a:xfrm>
                            <a:off x="3191510" y="6417114"/>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2D51" w14:textId="77777777" w:rsidR="00217891" w:rsidRPr="000E0606" w:rsidRDefault="00217891" w:rsidP="00C2742E">
                              <w:pPr>
                                <w:jc w:val="center"/>
                                <w:rPr>
                                  <w:rFonts w:ascii="Calibri" w:hAnsi="Calibri"/>
                                </w:rPr>
                              </w:pPr>
                              <w:r>
                                <w:rPr>
                                  <w:rFonts w:ascii="Calibri" w:hAnsi="Calibri"/>
                                </w:rPr>
                                <w:t>21.72</w:t>
                              </w:r>
                            </w:p>
                          </w:txbxContent>
                        </wps:txbx>
                        <wps:bodyPr rot="0" vert="horz" wrap="square" lIns="91440" tIns="45720" rIns="91440" bIns="45720" anchor="t" anchorCtr="0" upright="1">
                          <a:noAutofit/>
                        </wps:bodyPr>
                      </wps:wsp>
                      <wps:wsp>
                        <wps:cNvPr id="1225" name="Text Box 11174"/>
                        <wps:cNvSpPr txBox="1">
                          <a:spLocks noChangeArrowheads="1"/>
                        </wps:cNvSpPr>
                        <wps:spPr bwMode="auto">
                          <a:xfrm>
                            <a:off x="3382010" y="75481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254E" w14:textId="77777777" w:rsidR="00217891" w:rsidRPr="000E0606" w:rsidRDefault="00217891" w:rsidP="00C2742E">
                              <w:pPr>
                                <w:jc w:val="center"/>
                                <w:rPr>
                                  <w:rFonts w:ascii="Calibri" w:hAnsi="Calibri"/>
                                </w:rPr>
                              </w:pPr>
                              <w:r>
                                <w:rPr>
                                  <w:rFonts w:ascii="Calibri" w:hAnsi="Calibri"/>
                                </w:rPr>
                                <w:t>0.69</w:t>
                              </w:r>
                            </w:p>
                          </w:txbxContent>
                        </wps:txbx>
                        <wps:bodyPr rot="0" vert="horz" wrap="square" lIns="91440" tIns="45720" rIns="91440" bIns="45720" anchor="t" anchorCtr="0" upright="1">
                          <a:noAutofit/>
                        </wps:bodyPr>
                      </wps:wsp>
                      <wps:wsp>
                        <wps:cNvPr id="1226" name="Text Box 11178"/>
                        <wps:cNvSpPr txBox="1">
                          <a:spLocks noChangeArrowheads="1"/>
                        </wps:cNvSpPr>
                        <wps:spPr bwMode="auto">
                          <a:xfrm>
                            <a:off x="4879340" y="80434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EEBA" w14:textId="77777777" w:rsidR="00217891" w:rsidRPr="000E0606" w:rsidRDefault="00217891" w:rsidP="00C2742E">
                              <w:pPr>
                                <w:jc w:val="center"/>
                                <w:rPr>
                                  <w:rFonts w:ascii="Calibri" w:hAnsi="Calibri"/>
                                </w:rPr>
                              </w:pPr>
                              <w:r>
                                <w:rPr>
                                  <w:rFonts w:ascii="Calibri" w:hAnsi="Calibri"/>
                                </w:rPr>
                                <w:t>0.07</w:t>
                              </w:r>
                            </w:p>
                          </w:txbxContent>
                        </wps:txbx>
                        <wps:bodyPr rot="0" vert="horz" wrap="square" lIns="91440" tIns="45720" rIns="91440" bIns="45720" anchor="t" anchorCtr="0" upright="1">
                          <a:noAutofit/>
                        </wps:bodyPr>
                      </wps:wsp>
                      <wps:wsp>
                        <wps:cNvPr id="758" name="AutoShape 11151"/>
                        <wps:cNvCnPr>
                          <a:cxnSpLocks noChangeShapeType="1"/>
                        </wps:cNvCnPr>
                        <wps:spPr bwMode="auto">
                          <a:xfrm>
                            <a:off x="3446145" y="364929"/>
                            <a:ext cx="485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 name="Text Box 11174"/>
                        <wps:cNvSpPr txBox="1">
                          <a:spLocks noChangeArrowheads="1"/>
                        </wps:cNvSpPr>
                        <wps:spPr bwMode="auto">
                          <a:xfrm>
                            <a:off x="3397250" y="12235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C507" w14:textId="77777777" w:rsidR="00217891" w:rsidRPr="000E0606" w:rsidRDefault="00217891" w:rsidP="00C2742E">
                              <w:pPr>
                                <w:jc w:val="center"/>
                                <w:rPr>
                                  <w:rFonts w:ascii="Calibri" w:hAnsi="Calibri"/>
                                </w:rPr>
                              </w:pPr>
                              <w:r>
                                <w:rPr>
                                  <w:rFonts w:ascii="Calibri" w:hAnsi="Calibri"/>
                                </w:rPr>
                                <w:t>1</w:t>
                              </w:r>
                            </w:p>
                          </w:txbxContent>
                        </wps:txbx>
                        <wps:bodyPr rot="0" vert="horz" wrap="square" lIns="91440" tIns="45720" rIns="91440" bIns="45720" anchor="t" anchorCtr="0" upright="1">
                          <a:noAutofit/>
                        </wps:bodyPr>
                      </wps:wsp>
                      <wps:wsp>
                        <wps:cNvPr id="760" name="Text Box 11148"/>
                        <wps:cNvSpPr txBox="1">
                          <a:spLocks noChangeArrowheads="1"/>
                        </wps:cNvSpPr>
                        <wps:spPr bwMode="auto">
                          <a:xfrm>
                            <a:off x="3919855" y="230944"/>
                            <a:ext cx="89916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077E0" w14:textId="77777777" w:rsidR="00217891" w:rsidRPr="003E5463" w:rsidRDefault="00217891" w:rsidP="00C2742E">
                              <w:pPr>
                                <w:jc w:val="center"/>
                              </w:pPr>
                              <w:r>
                                <w:rPr>
                                  <w:rFonts w:ascii="Calibri" w:hAnsi="Calibri" w:hint="eastAsia"/>
                                  <w:snapToGrid w:val="0"/>
                                  <w:szCs w:val="21"/>
                                </w:rPr>
                                <w:t>实验废水</w:t>
                              </w:r>
                            </w:p>
                          </w:txbxContent>
                        </wps:txbx>
                        <wps:bodyPr rot="0" vert="horz" wrap="square" lIns="91440" tIns="45720" rIns="91440" bIns="45720" anchor="t" anchorCtr="0" upright="1">
                          <a:noAutofit/>
                        </wps:bodyPr>
                      </wps:wsp>
                      <wps:wsp>
                        <wps:cNvPr id="761" name="AutoShape 11158"/>
                        <wps:cNvCnPr>
                          <a:cxnSpLocks noChangeShapeType="1"/>
                        </wps:cNvCnPr>
                        <wps:spPr bwMode="auto">
                          <a:xfrm>
                            <a:off x="4805340" y="347444"/>
                            <a:ext cx="919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Text Box 11174"/>
                        <wps:cNvSpPr txBox="1">
                          <a:spLocks noChangeArrowheads="1"/>
                        </wps:cNvSpPr>
                        <wps:spPr bwMode="auto">
                          <a:xfrm>
                            <a:off x="4974590" y="152839"/>
                            <a:ext cx="6267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C769" w14:textId="77777777" w:rsidR="00217891" w:rsidRPr="000E0606" w:rsidRDefault="00217891" w:rsidP="00C2742E">
                              <w:pPr>
                                <w:jc w:val="center"/>
                                <w:rPr>
                                  <w:rFonts w:ascii="Calibri" w:hAnsi="Calibri"/>
                                </w:rPr>
                              </w:pPr>
                              <w:r>
                                <w:rPr>
                                  <w:rFonts w:ascii="Calibri" w:hAnsi="Calibri"/>
                                </w:rPr>
                                <w:t>0.9</w:t>
                              </w:r>
                            </w:p>
                          </w:txbxContent>
                        </wps:txbx>
                        <wps:bodyPr rot="0" vert="horz" wrap="square" lIns="91440" tIns="45720" rIns="91440" bIns="45720" anchor="t" anchorCtr="0" upright="1">
                          <a:noAutofit/>
                        </wps:bodyPr>
                      </wps:wsp>
                      <wps:wsp>
                        <wps:cNvPr id="27555" name="直接箭头连接符 27555"/>
                        <wps:cNvCnPr/>
                        <wps:spPr>
                          <a:xfrm>
                            <a:off x="1150620" y="352806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7" name="Text Box 11183"/>
                        <wps:cNvSpPr txBox="1">
                          <a:spLocks noChangeArrowheads="1"/>
                        </wps:cNvSpPr>
                        <wps:spPr bwMode="auto">
                          <a:xfrm>
                            <a:off x="541020" y="3310260"/>
                            <a:ext cx="15849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D371" w14:textId="1C5A2D07" w:rsidR="00217891" w:rsidRDefault="00217891" w:rsidP="00BF4432">
                              <w:pPr>
                                <w:pStyle w:val="af1"/>
                                <w:ind w:firstLine="101"/>
                                <w:jc w:val="both"/>
                              </w:pPr>
                              <w:r>
                                <w:rPr>
                                  <w:rFonts w:ascii="Calibri" w:cs="Calibri" w:hint="eastAsia"/>
                                  <w:kern w:val="2"/>
                                  <w:sz w:val="21"/>
                                  <w:szCs w:val="21"/>
                                </w:rPr>
                                <w:t>聚合不凝气带入</w:t>
                              </w:r>
                              <w:r>
                                <w:rPr>
                                  <w:rFonts w:ascii="Calibri" w:hAnsi="Calibri" w:cs="Calibri"/>
                                  <w:kern w:val="2"/>
                                  <w:sz w:val="21"/>
                                  <w:szCs w:val="21"/>
                                </w:rPr>
                                <w:t>2.04</w:t>
                              </w:r>
                            </w:p>
                            <w:p w14:paraId="41FF2AC0" w14:textId="72140167" w:rsidR="00217891" w:rsidRPr="000E0606" w:rsidRDefault="00217891" w:rsidP="00C2742E">
                              <w:pPr>
                                <w:jc w:val="center"/>
                                <w:rPr>
                                  <w:rFonts w:ascii="Calibri" w:hAnsi="Calibri"/>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DF2C21" id="画布 37928" o:spid="_x0000_s1440" editas="canvas" style="position:absolute;left:0;text-align:left;margin-left:-15.8pt;margin-top:0;width:467.7pt;height:527.1pt;z-index:253629952;mso-position-horizontal-relative:margin" coordsize="59397,6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">
                <v:shape id="_x0000_s1441" type="#_x0000_t75" style="position:absolute;width:59397;height:66935;visibility:visible;mso-wrap-style:square">
                  <v:fill o:detectmouseclick="t"/>
                  <v:path o:connecttype="none"/>
                </v:shape>
                <v:shape id="Text Box 11126" o:spid="_x0000_s1442" type="#_x0000_t202" style="position:absolute;left:6851;top:14730;width:899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" filled="f">
                  <v:textbox>
                    <w:txbxContent>
                      <w:p w14:paraId="66667A90" w14:textId="77777777" w:rsidR="00217891" w:rsidRPr="003E5463" w:rsidRDefault="00217891" w:rsidP="00C2742E">
                        <w:pPr>
                          <w:jc w:val="center"/>
                        </w:pPr>
                        <w:r>
                          <w:rPr>
                            <w:rFonts w:hint="eastAsia"/>
                          </w:rPr>
                          <w:t>纯水站</w:t>
                        </w:r>
                      </w:p>
                    </w:txbxContent>
                  </v:textbox>
                </v:shape>
                <v:shape id="Text Box 11127" o:spid="_x0000_s1443" type="#_x0000_t202" style="position:absolute;left:1041;top:13567;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" filled="f" stroked="f">
                  <v:textbox>
                    <w:txbxContent>
                      <w:p w14:paraId="2B97F9FE" w14:textId="77777777" w:rsidR="00217891" w:rsidRPr="000E0606" w:rsidRDefault="00217891" w:rsidP="00C2742E">
                        <w:pPr>
                          <w:jc w:val="center"/>
                          <w:rPr>
                            <w:rFonts w:ascii="Calibri" w:hAnsi="Calibri"/>
                          </w:rPr>
                        </w:pPr>
                        <w:r>
                          <w:rPr>
                            <w:rFonts w:ascii="Calibri" w:hAnsi="Calibri"/>
                          </w:rPr>
                          <w:t>11.33</w:t>
                        </w:r>
                      </w:p>
                    </w:txbxContent>
                  </v:textbox>
                </v:shape>
                <v:shape id="AutoShape 11128" o:spid="_x0000_s1444" type="#_x0000_t32" style="position:absolute;left:34353;top:3655;width:108;height:186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">
                  <v:stroke endarrow="block"/>
                </v:shape>
                <v:shape id="Text Box 11129" o:spid="_x0000_s1445" type="#_x0000_t202" style="position:absolute;left:20758;top:14806;width:899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" filled="f">
                  <v:textbox>
                    <w:txbxContent>
                      <w:p w14:paraId="3B185F63" w14:textId="77777777" w:rsidR="00217891" w:rsidRPr="003E5463" w:rsidRDefault="00217891" w:rsidP="00C2742E">
                        <w:pPr>
                          <w:jc w:val="center"/>
                        </w:pPr>
                        <w:r>
                          <w:rPr>
                            <w:rFonts w:ascii="Calibri" w:hAnsi="Calibri" w:hint="eastAsia"/>
                            <w:snapToGrid w:val="0"/>
                            <w:szCs w:val="21"/>
                          </w:rPr>
                          <w:t>纯水</w:t>
                        </w:r>
                      </w:p>
                    </w:txbxContent>
                  </v:textbox>
                </v:shape>
                <v:shape id="AutoShape 11130" o:spid="_x0000_s1446" type="#_x0000_t32" style="position:absolute;left:1993;top:3274;width:7;height:555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"/>
                <v:shape id="AutoShape 11131" o:spid="_x0000_s1447" type="#_x0000_t32" style="position:absolute;left:1149;top:2817;width:222;height:56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"/>
                <v:shape id="AutoShape 11132" o:spid="_x0000_s1448" type="#_x0000_t32" style="position:absolute;left:2146;top:40549;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">
                  <v:stroke endarrow="block"/>
                </v:shape>
                <v:shape id="Text Box 11133" o:spid="_x0000_s1449" type="#_x0000_t202" style="position:absolute;left:6991;top:38984;width:8826;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" filled="f">
                  <v:textbox>
                    <w:txbxContent>
                      <w:p w14:paraId="53913EE1" w14:textId="77777777" w:rsidR="00217891" w:rsidRPr="003E5463" w:rsidRDefault="00217891" w:rsidP="00C2742E">
                        <w:pPr>
                          <w:jc w:val="center"/>
                        </w:pPr>
                        <w:r>
                          <w:rPr>
                            <w:rFonts w:hint="eastAsia"/>
                          </w:rPr>
                          <w:t>水喷淋塔</w:t>
                        </w:r>
                      </w:p>
                    </w:txbxContent>
                  </v:textbox>
                </v:shape>
                <v:shape id="AutoShape 11134" o:spid="_x0000_s1450" type="#_x0000_t32" style="position:absolute;left:15817;top:40485;width:485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">
                  <v:stroke endarrow="block"/>
                </v:shape>
                <v:shape id="AutoShape 11135" o:spid="_x0000_s1451" type="#_x0000_t32" style="position:absolute;left:2139;top:50321;width:48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">
                  <v:stroke endarrow="block"/>
                </v:shape>
                <v:shape id="Text Box 11136" o:spid="_x0000_s1452" type="#_x0000_t202" style="position:absolute;left:6858;top:49096;width:882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" filled="f">
                  <v:textbox>
                    <w:txbxContent>
                      <w:p w14:paraId="7F1B5228" w14:textId="77777777" w:rsidR="00217891" w:rsidRPr="003E5463" w:rsidRDefault="00217891" w:rsidP="00C2742E">
                        <w:pPr>
                          <w:jc w:val="center"/>
                        </w:pPr>
                        <w:r>
                          <w:rPr>
                            <w:rFonts w:hint="eastAsia"/>
                          </w:rPr>
                          <w:t>地面冲洗</w:t>
                        </w:r>
                      </w:p>
                    </w:txbxContent>
                  </v:textbox>
                </v:shape>
                <v:shape id="AutoShape 11137" o:spid="_x0000_s1453" type="#_x0000_t32" style="position:absolute;left:10998;top:46499;width:6;height: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">
                  <v:stroke dashstyle="dash" endarrow="block"/>
                </v:shape>
                <v:shape id="AutoShape 11138" o:spid="_x0000_s1454" type="#_x0000_t32" style="position:absolute;left:15665;top:50328;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">
                  <v:stroke endarrow="block"/>
                </v:shape>
                <v:shape id="AutoShape 11139" o:spid="_x0000_s1455" type="#_x0000_t32" style="position:absolute;left:57384;top:3474;width:324;height:56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">
                  <v:stroke endarrow="block"/>
                </v:shape>
                <v:shape id="Text Box 11140" o:spid="_x0000_s1456" type="#_x0000_t202" style="position:absolute;left:42214;top:60287;width:1687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" filled="f">
                  <v:textbox inset=".5mm,,.5mm">
                    <w:txbxContent>
                      <w:p w14:paraId="69675E8A" w14:textId="5293AB0E" w:rsidR="00217891" w:rsidRPr="000E0606" w:rsidRDefault="00217891" w:rsidP="00C2742E">
                        <w:pPr>
                          <w:jc w:val="center"/>
                          <w:rPr>
                            <w:rFonts w:ascii="Calibri" w:hAnsi="Calibri"/>
                          </w:rPr>
                        </w:pPr>
                        <w:r w:rsidRPr="000E0606">
                          <w:rPr>
                            <w:rFonts w:ascii="Calibri"/>
                          </w:rPr>
                          <w:t>厂区废水处理站（</w:t>
                        </w:r>
                        <w:r>
                          <w:rPr>
                            <w:rFonts w:ascii="Calibri" w:hAnsi="Calibri"/>
                          </w:rPr>
                          <w:t>47.88</w:t>
                        </w:r>
                        <w:r w:rsidRPr="000E0606">
                          <w:rPr>
                            <w:rFonts w:ascii="Calibri"/>
                          </w:rPr>
                          <w:t>）</w:t>
                        </w:r>
                      </w:p>
                    </w:txbxContent>
                  </v:textbox>
                </v:shape>
                <v:shape id="AutoShape 11141" o:spid="_x0000_s1457" type="#_x0000_t32" style="position:absolute;left:51555;top:62647;width:7;height:3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">
                  <v:stroke endarrow="block"/>
                </v:shape>
                <v:shape id="AutoShape 11142" o:spid="_x0000_s1458" type="#_x0000_t32" style="position:absolute;left:32880;top:61827;width:1018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"/>
                <v:shape id="Text Box 11143" o:spid="_x0000_s1459" type="#_x0000_t202" style="position:absolute;left:50;top:359;width:1174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" filled="f" stroked="f">
                  <v:textbox>
                    <w:txbxContent>
                      <w:p w14:paraId="2A5F9CED" w14:textId="7C744584" w:rsidR="00217891" w:rsidRPr="000E0606" w:rsidRDefault="00217891" w:rsidP="00C2742E">
                        <w:pPr>
                          <w:jc w:val="left"/>
                          <w:rPr>
                            <w:rFonts w:ascii="Calibri" w:hAnsi="Calibri"/>
                          </w:rPr>
                        </w:pPr>
                        <w:r w:rsidRPr="000E0606">
                          <w:rPr>
                            <w:rFonts w:ascii="Calibri" w:hAnsi="Calibri" w:hint="eastAsia"/>
                          </w:rPr>
                          <w:t>新鲜水：</w:t>
                        </w:r>
                        <w:r>
                          <w:rPr>
                            <w:rFonts w:ascii="Calibri" w:hAnsi="Calibri"/>
                          </w:rPr>
                          <w:t>48.91</w:t>
                        </w:r>
                      </w:p>
                    </w:txbxContent>
                  </v:textbox>
                </v:shape>
                <v:shape id="AutoShape 11144" o:spid="_x0000_s1460" type="#_x0000_t32" style="position:absolute;left:2146;top:15936;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">
                  <v:stroke endarrow="block"/>
                </v:shape>
                <v:shape id="AutoShape 11145" o:spid="_x0000_s1461" type="#_x0000_t32" style="position:absolute;left:15989;top:16171;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">
                  <v:stroke endarrow="block"/>
                </v:shape>
                <v:shape id="AutoShape 11146" o:spid="_x0000_s1462" type="#_x0000_t32" style="position:absolute;left:29749;top:16177;width:48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">
                  <v:stroke endarrow="block"/>
                </v:shape>
                <v:shape id="AutoShape 11147" o:spid="_x0000_s1463" type="#_x0000_t32" style="position:absolute;left:34461;top:9853;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">
                  <v:stroke endarrow="block"/>
                </v:shape>
                <v:shape id="Text Box 11148" o:spid="_x0000_s1464" type="#_x0000_t202" style="position:absolute;left:39198;top:8634;width:899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" filled="f">
                  <v:textbox>
                    <w:txbxContent>
                      <w:p w14:paraId="64E2DAFE" w14:textId="77777777" w:rsidR="00217891" w:rsidRPr="003E5463" w:rsidRDefault="00217891" w:rsidP="00C2742E">
                        <w:pPr>
                          <w:jc w:val="center"/>
                        </w:pPr>
                        <w:r>
                          <w:rPr>
                            <w:rFonts w:ascii="Calibri" w:hAnsi="Calibri" w:hint="eastAsia"/>
                            <w:snapToGrid w:val="0"/>
                            <w:szCs w:val="21"/>
                          </w:rPr>
                          <w:t>制粒冷却</w:t>
                        </w:r>
                      </w:p>
                    </w:txbxContent>
                  </v:textbox>
                </v:shape>
                <v:shape id="AutoShape 11149" o:spid="_x0000_s1465" type="#_x0000_t32" style="position:absolute;left:34461;top:16019;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">
                  <v:stroke endarrow="block"/>
                </v:shape>
                <v:shape id="Text Box 11150" o:spid="_x0000_s1466" type="#_x0000_t202" style="position:absolute;left:39198;top:14730;width:1029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" filled="f">
                  <v:textbox>
                    <w:txbxContent>
                      <w:p w14:paraId="651B9685" w14:textId="77777777" w:rsidR="00217891" w:rsidRPr="003E5463" w:rsidRDefault="00217891" w:rsidP="00C2742E">
                        <w:r>
                          <w:rPr>
                            <w:rFonts w:ascii="Calibri" w:hAnsi="Calibri" w:hint="eastAsia"/>
                            <w:snapToGrid w:val="0"/>
                            <w:szCs w:val="21"/>
                          </w:rPr>
                          <w:t>真空机</w:t>
                        </w:r>
                        <w:r>
                          <w:rPr>
                            <w:rFonts w:ascii="Calibri" w:hAnsi="Calibri"/>
                            <w:snapToGrid w:val="0"/>
                            <w:szCs w:val="21"/>
                          </w:rPr>
                          <w:t>循环泵</w:t>
                        </w:r>
                      </w:p>
                    </w:txbxContent>
                  </v:textbox>
                </v:shape>
                <v:shape id="AutoShape 11151" o:spid="_x0000_s1467" type="#_x0000_t32" style="position:absolute;left:34461;top:22343;width:485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">
                  <v:stroke endarrow="block"/>
                </v:shape>
                <v:shape id="Text Box 11152" o:spid="_x0000_s1468" type="#_x0000_t202" style="position:absolute;left:39198;top:21130;width:102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" filled="f">
                  <v:textbox>
                    <w:txbxContent>
                      <w:p w14:paraId="01EF11B8" w14:textId="77777777" w:rsidR="00217891" w:rsidRPr="003E5463" w:rsidRDefault="00217891" w:rsidP="00C2742E">
                        <w:r>
                          <w:rPr>
                            <w:rFonts w:ascii="Calibri" w:hAnsi="Calibri" w:hint="eastAsia"/>
                            <w:snapToGrid w:val="0"/>
                            <w:szCs w:val="21"/>
                          </w:rPr>
                          <w:t>冷却循环</w:t>
                        </w:r>
                        <w:r>
                          <w:rPr>
                            <w:rFonts w:ascii="Calibri" w:hAnsi="Calibri"/>
                            <w:snapToGrid w:val="0"/>
                            <w:szCs w:val="21"/>
                          </w:rPr>
                          <w:t>水站</w:t>
                        </w:r>
                      </w:p>
                    </w:txbxContent>
                  </v:textbox>
                </v:shape>
                <v:shape id="AutoShape 11153" o:spid="_x0000_s1469" type="#_x0000_t32" style="position:absolute;left:43967;top:23880;width:38;height:4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"/>
                <v:shape id="AutoShape 11154" o:spid="_x0000_s1470" type="#_x0000_t32" style="position:absolute;left:32772;top:28674;width:11144;height: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">
                  <v:stroke endarrow="block"/>
                </v:shape>
                <v:shape id="AutoShape 11155" o:spid="_x0000_s1471" type="#_x0000_t32" style="position:absolute;left:10998;top:17339;width:6;height:11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"/>
                <v:shape id="AutoShape 11156" o:spid="_x0000_s1472" type="#_x0000_t32" style="position:absolute;left:10960;top:28839;width:21913;height: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">
                  <v:stroke endarrow="block"/>
                </v:shape>
                <v:shape id="AutoShape 11157" o:spid="_x0000_s1473" type="#_x0000_t32" style="position:absolute;left:32873;top:28763;width:7;height:26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">
                  <v:stroke endarrow="block"/>
                </v:shape>
                <v:shape id="AutoShape 11158" o:spid="_x0000_s1474" type="#_x0000_t32" style="position:absolute;left:48190;top:1009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">
                  <v:stroke endarrow="block"/>
                </v:shape>
                <v:shape id="AutoShape 11159" o:spid="_x0000_s1475" type="#_x0000_t32" style="position:absolute;left:49663;top:15892;width:820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">
                  <v:stroke endarrow="block"/>
                </v:shape>
                <v:shape id="AutoShape 11160" o:spid="_x0000_s1476" type="#_x0000_t32" style="position:absolute;left:49663;top:33494;width:820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">
                  <v:stroke endarrow="block"/>
                </v:shape>
                <v:shape id="Text Box 11161" o:spid="_x0000_s1477" type="#_x0000_t202" style="position:absolute;left:39198;top:31278;width:10293;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" filled="f">
                  <v:textbox>
                    <w:txbxContent>
                      <w:p w14:paraId="26995FE1" w14:textId="77777777" w:rsidR="00217891" w:rsidRPr="003E5463" w:rsidRDefault="00217891" w:rsidP="00C2742E">
                        <w:r>
                          <w:rPr>
                            <w:rFonts w:ascii="Calibri" w:hAnsi="Calibri" w:hint="eastAsia"/>
                            <w:snapToGrid w:val="0"/>
                            <w:szCs w:val="21"/>
                          </w:rPr>
                          <w:t>原料带入</w:t>
                        </w:r>
                        <w:r>
                          <w:rPr>
                            <w:rFonts w:ascii="Calibri" w:hAnsi="Calibri"/>
                            <w:snapToGrid w:val="0"/>
                            <w:szCs w:val="21"/>
                          </w:rPr>
                          <w:t>及聚合生成水</w:t>
                        </w:r>
                      </w:p>
                    </w:txbxContent>
                  </v:textbox>
                </v:shape>
                <v:shape id="Text Box 11162" o:spid="_x0000_s1478" type="#_x0000_t202" style="position:absolute;left:10210;top:45724;width:929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" filled="f" stroked="f">
                  <v:textbox>
                    <w:txbxContent>
                      <w:p w14:paraId="4BE9488E" w14:textId="1ADE182D"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2.63</w:t>
                        </w:r>
                      </w:p>
                    </w:txbxContent>
                  </v:textbox>
                </v:shape>
                <v:shape id="AutoShape 11163" o:spid="_x0000_s1479" type="#_x0000_t32" style="position:absolute;left:2139;top:58703;width:48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">
                  <v:stroke endarrow="block"/>
                </v:shape>
                <v:shape id="_x0000_s1480" type="#_x0000_t202" style="position:absolute;left:7010;top:57338;width:882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" filled="f">
                  <v:textbox>
                    <w:txbxContent>
                      <w:p w14:paraId="12AF584D" w14:textId="77777777" w:rsidR="00217891" w:rsidRPr="003E5463" w:rsidRDefault="00217891" w:rsidP="00C2742E">
                        <w:pPr>
                          <w:jc w:val="center"/>
                        </w:pPr>
                        <w:r>
                          <w:rPr>
                            <w:rFonts w:hint="eastAsia"/>
                          </w:rPr>
                          <w:t>职工生活</w:t>
                        </w:r>
                      </w:p>
                    </w:txbxContent>
                  </v:textbox>
                </v:shape>
                <v:shape id="AutoShape 11165" o:spid="_x0000_s1481" type="#_x0000_t32" style="position:absolute;left:15665;top:58697;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">
                  <v:stroke endarrow="block"/>
                </v:shape>
                <v:shape id="AutoShape 11166" o:spid="_x0000_s1482" type="#_x0000_t32" style="position:absolute;left:11029;top:54582;width:7;height:2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">
                  <v:stroke dashstyle="dash" endarrow="block"/>
                </v:shape>
                <v:shape id="_x0000_s1483" type="#_x0000_t202" style="position:absolute;left:10363;top:53649;width:929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" filled="f" stroked="f">
                  <v:textbox>
                    <w:txbxContent>
                      <w:p w14:paraId="537EAFDF" w14:textId="77777777" w:rsidR="00217891" w:rsidRPr="000E0606" w:rsidRDefault="00217891" w:rsidP="00C2742E">
                        <w:pPr>
                          <w:jc w:val="left"/>
                          <w:rPr>
                            <w:rFonts w:ascii="Calibri" w:hAnsi="Calibri"/>
                          </w:rPr>
                        </w:pPr>
                        <w:r w:rsidRPr="000E0606">
                          <w:rPr>
                            <w:rFonts w:ascii="Calibri" w:hAnsi="Calibri" w:hint="eastAsia"/>
                          </w:rPr>
                          <w:t>损耗：</w:t>
                        </w:r>
                        <w:r>
                          <w:rPr>
                            <w:rFonts w:ascii="Calibri" w:hAnsi="Calibri"/>
                          </w:rPr>
                          <w:t>1.92</w:t>
                        </w:r>
                      </w:p>
                    </w:txbxContent>
                  </v:textbox>
                </v:shape>
                <v:shape id="Text Box 11168" o:spid="_x0000_s1484" type="#_x0000_t202" style="position:absolute;left:27133;top:55814;width:1384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" filled="f" stroked="f">
                  <v:textbox>
                    <w:txbxContent>
                      <w:p w14:paraId="00BB8C7E" w14:textId="316F0A8E" w:rsidR="00217891" w:rsidRPr="000E0606" w:rsidRDefault="00217891" w:rsidP="00C2742E">
                        <w:pPr>
                          <w:jc w:val="center"/>
                          <w:rPr>
                            <w:rFonts w:ascii="Calibri" w:hAnsi="Calibri"/>
                            <w:color w:val="0033CC"/>
                          </w:rPr>
                        </w:pPr>
                        <w:r w:rsidRPr="000E0606">
                          <w:rPr>
                            <w:rFonts w:ascii="Calibri" w:hAnsi="Calibri" w:hint="eastAsia"/>
                            <w:color w:val="0033CC"/>
                          </w:rPr>
                          <w:t>总排放口（</w:t>
                        </w:r>
                        <w:r>
                          <w:rPr>
                            <w:rFonts w:ascii="Calibri" w:hAnsi="Calibri"/>
                            <w:color w:val="0033CC"/>
                          </w:rPr>
                          <w:t>51.30</w:t>
                        </w:r>
                        <w:r w:rsidRPr="000E0606">
                          <w:rPr>
                            <w:rFonts w:ascii="Calibri" w:hAnsi="Calibri" w:hint="eastAsia"/>
                            <w:color w:val="0033CC"/>
                          </w:rPr>
                          <w:t>）</w:t>
                        </w:r>
                      </w:p>
                    </w:txbxContent>
                  </v:textbox>
                </v:shape>
                <v:shape id="AutoShape 11169" o:spid="_x0000_s1485" type="#_x0000_t32" style="position:absolute;left:20510;top:40193;width:6;height:26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"/>
                <v:shape id="AutoShape 11170" o:spid="_x0000_s1486" type="#_x0000_t32" style="position:absolute;left:20593;top:66558;width:31032;height: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"/>
                <v:shape id="AutoShape 11171" o:spid="_x0000_s1487" type="#_x0000_t32" style="position:absolute;left:32772;top:57992;width:6;height:3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">
                  <v:stroke endarrow="block"/>
                </v:shape>
                <v:shape id="Text Box 11172" o:spid="_x0000_s1488" type="#_x0000_t202" style="position:absolute;left:15684;top:13948;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14:paraId="209E54B4" w14:textId="77777777" w:rsidR="00217891" w:rsidRPr="000E0606" w:rsidRDefault="00217891" w:rsidP="00C2742E">
                        <w:pPr>
                          <w:jc w:val="center"/>
                          <w:rPr>
                            <w:rFonts w:ascii="Calibri" w:hAnsi="Calibri"/>
                          </w:rPr>
                        </w:pPr>
                        <w:r>
                          <w:rPr>
                            <w:rFonts w:ascii="Calibri" w:hAnsi="Calibri"/>
                          </w:rPr>
                          <w:t>7.94</w:t>
                        </w:r>
                      </w:p>
                    </w:txbxContent>
                  </v:textbox>
                </v:shape>
                <v:shape id="Text Box 11173" o:spid="_x0000_s1489" type="#_x0000_t202" style="position:absolute;left:11798;top:26674;width:817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" filled="f" stroked="f">
                  <v:textbox>
                    <w:txbxContent>
                      <w:p w14:paraId="0D5BADCF" w14:textId="77777777" w:rsidR="00217891" w:rsidRPr="000E0606" w:rsidRDefault="00217891" w:rsidP="00C2742E">
                        <w:pPr>
                          <w:jc w:val="center"/>
                          <w:rPr>
                            <w:rFonts w:ascii="Calibri" w:hAnsi="Calibri"/>
                          </w:rPr>
                        </w:pPr>
                        <w:r>
                          <w:rPr>
                            <w:rFonts w:ascii="Calibri" w:hAnsi="Calibri" w:hint="eastAsia"/>
                          </w:rPr>
                          <w:t>浓水</w:t>
                        </w:r>
                        <w:r>
                          <w:rPr>
                            <w:rFonts w:ascii="Calibri" w:hAnsi="Calibri"/>
                          </w:rPr>
                          <w:t>3.39</w:t>
                        </w:r>
                      </w:p>
                    </w:txbxContent>
                  </v:textbox>
                </v:shape>
                <v:shape id="Text Box 11174" o:spid="_x0000_s1490" type="#_x0000_t202" style="position:absolute;left:29095;top:14177;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" filled="f" stroked="f">
                  <v:textbox>
                    <w:txbxContent>
                      <w:p w14:paraId="3651686B" w14:textId="77777777" w:rsidR="00217891" w:rsidRPr="000E0606" w:rsidRDefault="00217891" w:rsidP="00C2742E">
                        <w:pPr>
                          <w:jc w:val="center"/>
                          <w:rPr>
                            <w:rFonts w:ascii="Calibri" w:hAnsi="Calibri"/>
                          </w:rPr>
                        </w:pPr>
                        <w:r>
                          <w:rPr>
                            <w:rFonts w:ascii="Calibri" w:hAnsi="Calibri"/>
                          </w:rPr>
                          <w:t>7.94</w:t>
                        </w:r>
                      </w:p>
                    </w:txbxContent>
                  </v:textbox>
                </v:shape>
                <v:shape id="Text Box 11175" o:spid="_x0000_s1491" type="#_x0000_t202" style="position:absolute;left:34048;top:13567;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" filled="f" stroked="f">
                  <v:textbox>
                    <w:txbxContent>
                      <w:p w14:paraId="1280C0D9" w14:textId="77777777" w:rsidR="00217891" w:rsidRPr="000E0606" w:rsidRDefault="00217891" w:rsidP="00C2742E">
                        <w:pPr>
                          <w:jc w:val="center"/>
                          <w:rPr>
                            <w:rFonts w:ascii="Calibri" w:hAnsi="Calibri"/>
                          </w:rPr>
                        </w:pPr>
                        <w:r>
                          <w:rPr>
                            <w:rFonts w:ascii="Calibri" w:hAnsi="Calibri"/>
                          </w:rPr>
                          <w:t>5.95</w:t>
                        </w:r>
                      </w:p>
                    </w:txbxContent>
                  </v:textbox>
                </v:shape>
                <v:shape id="Text Box 11176" o:spid="_x0000_s1492" type="#_x0000_t202" style="position:absolute;left:33972;top:18749;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" filled="f" stroked="f">
                  <v:textbox>
                    <w:txbxContent>
                      <w:p w14:paraId="082523EC" w14:textId="77777777" w:rsidR="00217891" w:rsidRPr="000E0606" w:rsidRDefault="00217891" w:rsidP="00C2742E">
                        <w:pPr>
                          <w:jc w:val="center"/>
                          <w:rPr>
                            <w:rFonts w:ascii="Calibri" w:hAnsi="Calibri"/>
                          </w:rPr>
                        </w:pPr>
                        <w:r>
                          <w:rPr>
                            <w:rFonts w:ascii="Calibri" w:hAnsi="Calibri"/>
                          </w:rPr>
                          <w:t>0.30</w:t>
                        </w:r>
                      </w:p>
                    </w:txbxContent>
                  </v:textbox>
                </v:shape>
                <v:shape id="Text Box 11177" o:spid="_x0000_s1493" type="#_x0000_t202" style="position:absolute;left:50203;top:30890;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14:paraId="0D21797F" w14:textId="150D0931" w:rsidR="00217891" w:rsidRPr="000E0606" w:rsidRDefault="00217891" w:rsidP="00C2742E">
                        <w:pPr>
                          <w:jc w:val="center"/>
                          <w:rPr>
                            <w:rFonts w:ascii="Calibri" w:hAnsi="Calibri"/>
                          </w:rPr>
                        </w:pPr>
                        <w:r>
                          <w:rPr>
                            <w:rFonts w:ascii="Calibri" w:hAnsi="Calibri"/>
                          </w:rPr>
                          <w:t>5.89</w:t>
                        </w:r>
                      </w:p>
                    </w:txbxContent>
                  </v:textbox>
                </v:shape>
                <v:shape id="Text Box 11178" o:spid="_x0000_s1494" type="#_x0000_t202" style="position:absolute;left:50050;top:13339;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" filled="f" stroked="f">
                  <v:textbox>
                    <w:txbxContent>
                      <w:p w14:paraId="7951F9F6" w14:textId="77777777" w:rsidR="00217891" w:rsidRPr="000E0606" w:rsidRDefault="00217891" w:rsidP="00C2742E">
                        <w:pPr>
                          <w:jc w:val="center"/>
                          <w:rPr>
                            <w:rFonts w:ascii="Calibri" w:hAnsi="Calibri"/>
                          </w:rPr>
                        </w:pPr>
                        <w:r>
                          <w:rPr>
                            <w:rFonts w:ascii="Calibri" w:hAnsi="Calibri"/>
                          </w:rPr>
                          <w:t>5.95</w:t>
                        </w:r>
                      </w:p>
                    </w:txbxContent>
                  </v:textbox>
                </v:shape>
                <v:shape id="Text Box 11179" o:spid="_x0000_s1495" type="#_x0000_t202" style="position:absolute;left:35496;top:26553;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" filled="f" stroked="f">
                  <v:textbox>
                    <w:txbxContent>
                      <w:p w14:paraId="6EC40DDB" w14:textId="77777777" w:rsidR="00217891" w:rsidRPr="000E0606" w:rsidRDefault="00217891" w:rsidP="00C2742E">
                        <w:pPr>
                          <w:jc w:val="center"/>
                          <w:rPr>
                            <w:rFonts w:ascii="Calibri" w:hAnsi="Calibri"/>
                          </w:rPr>
                        </w:pPr>
                        <w:r>
                          <w:rPr>
                            <w:rFonts w:ascii="Calibri" w:hAnsi="Calibri"/>
                          </w:rPr>
                          <w:t>0.03</w:t>
                        </w:r>
                      </w:p>
                    </w:txbxContent>
                  </v:textbox>
                </v:shape>
                <v:shape id="Text Box 11180" o:spid="_x0000_s1496" type="#_x0000_t202" style="position:absolute;left:1739;top:38148;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" filled="f" stroked="f">
                  <v:textbox>
                    <w:txbxContent>
                      <w:p w14:paraId="2C9EF7BB" w14:textId="77777777" w:rsidR="00217891" w:rsidRPr="000E0606" w:rsidRDefault="00217891" w:rsidP="00C2742E">
                        <w:pPr>
                          <w:jc w:val="center"/>
                          <w:rPr>
                            <w:rFonts w:ascii="Calibri" w:hAnsi="Calibri"/>
                          </w:rPr>
                        </w:pPr>
                        <w:r>
                          <w:rPr>
                            <w:rFonts w:ascii="Calibri" w:hAnsi="Calibri"/>
                          </w:rPr>
                          <w:t>1.62</w:t>
                        </w:r>
                      </w:p>
                    </w:txbxContent>
                  </v:textbox>
                </v:shape>
                <v:shape id="Text Box 11181" o:spid="_x0000_s1497" type="#_x0000_t202" style="position:absolute;left:1816;top:47978;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" filled="f" stroked="f">
                  <v:textbox>
                    <w:txbxContent>
                      <w:p w14:paraId="3340A98A" w14:textId="745159C5" w:rsidR="00217891" w:rsidRPr="000E0606" w:rsidRDefault="00217891" w:rsidP="00C2742E">
                        <w:pPr>
                          <w:jc w:val="center"/>
                          <w:rPr>
                            <w:rFonts w:ascii="Calibri" w:hAnsi="Calibri"/>
                          </w:rPr>
                        </w:pPr>
                        <w:r>
                          <w:rPr>
                            <w:rFonts w:ascii="Calibri" w:hAnsi="Calibri"/>
                          </w:rPr>
                          <w:t>26.36</w:t>
                        </w:r>
                      </w:p>
                    </w:txbxContent>
                  </v:textbox>
                </v:shape>
                <v:shape id="Text Box 11182" o:spid="_x0000_s1498" type="#_x0000_t202" style="position:absolute;left:1149;top:56093;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" filled="f" stroked="f">
                  <v:textbox>
                    <w:txbxContent>
                      <w:p w14:paraId="029A96A2" w14:textId="77777777" w:rsidR="00217891" w:rsidRPr="000E0606" w:rsidRDefault="00217891" w:rsidP="00C2742E">
                        <w:pPr>
                          <w:jc w:val="center"/>
                          <w:rPr>
                            <w:rFonts w:ascii="Calibri" w:hAnsi="Calibri"/>
                          </w:rPr>
                        </w:pPr>
                        <w:r>
                          <w:rPr>
                            <w:rFonts w:ascii="Calibri" w:hAnsi="Calibri"/>
                          </w:rPr>
                          <w:t>9.6</w:t>
                        </w:r>
                      </w:p>
                    </w:txbxContent>
                  </v:textbox>
                </v:shape>
                <v:shape id="_x0000_s1499" type="#_x0000_t202" style="position:absolute;left:15093;top:38059;width:62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" filled="f" stroked="f">
                  <v:textbox>
                    <w:txbxContent>
                      <w:p w14:paraId="095D903B" w14:textId="384D4B6A" w:rsidR="00217891" w:rsidRPr="000E0606" w:rsidRDefault="00217891" w:rsidP="00C2742E">
                        <w:pPr>
                          <w:jc w:val="center"/>
                          <w:rPr>
                            <w:rFonts w:ascii="Calibri" w:hAnsi="Calibri"/>
                          </w:rPr>
                        </w:pPr>
                        <w:r>
                          <w:rPr>
                            <w:rFonts w:ascii="Calibri" w:hAnsi="Calibri"/>
                          </w:rPr>
                          <w:t>3.66</w:t>
                        </w:r>
                      </w:p>
                    </w:txbxContent>
                  </v:textbox>
                </v:shape>
                <v:shape id="Text Box 11184" o:spid="_x0000_s1500" type="#_x0000_t202" style="position:absolute;left:15170;top:47978;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" filled="f" stroked="f">
                  <v:textbox>
                    <w:txbxContent>
                      <w:p w14:paraId="01C0B445" w14:textId="37684E19" w:rsidR="00217891" w:rsidRPr="000E0606" w:rsidRDefault="00217891" w:rsidP="00C2742E">
                        <w:pPr>
                          <w:jc w:val="center"/>
                          <w:rPr>
                            <w:rFonts w:ascii="Calibri" w:hAnsi="Calibri"/>
                          </w:rPr>
                        </w:pPr>
                        <w:r>
                          <w:rPr>
                            <w:rFonts w:ascii="Calibri" w:hAnsi="Calibri"/>
                          </w:rPr>
                          <w:t>23.73</w:t>
                        </w:r>
                      </w:p>
                    </w:txbxContent>
                  </v:textbox>
                </v:shape>
                <v:shape id="Text Box 11185" o:spid="_x0000_s1501" type="#_x0000_t202" style="position:absolute;left:15170;top:56728;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" filled="f" stroked="f">
                  <v:textbox>
                    <w:txbxContent>
                      <w:p w14:paraId="4EC620D3" w14:textId="77777777" w:rsidR="00217891" w:rsidRPr="000E0606" w:rsidRDefault="00217891" w:rsidP="00C2742E">
                        <w:pPr>
                          <w:jc w:val="center"/>
                          <w:rPr>
                            <w:rFonts w:ascii="Calibri" w:hAnsi="Calibri"/>
                          </w:rPr>
                        </w:pPr>
                        <w:r>
                          <w:rPr>
                            <w:rFonts w:ascii="Calibri" w:hAnsi="Calibri"/>
                          </w:rPr>
                          <w:t>7.68</w:t>
                        </w:r>
                      </w:p>
                    </w:txbxContent>
                  </v:textbox>
                </v:shape>
                <v:shape id="Text Box 11186" o:spid="_x0000_s1502" type="#_x0000_t202" style="position:absolute;left:31915;top:64171;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" filled="f" stroked="f">
                  <v:textbox>
                    <w:txbxContent>
                      <w:p w14:paraId="15E42D51" w14:textId="77777777" w:rsidR="00217891" w:rsidRPr="000E0606" w:rsidRDefault="00217891" w:rsidP="00C2742E">
                        <w:pPr>
                          <w:jc w:val="center"/>
                          <w:rPr>
                            <w:rFonts w:ascii="Calibri" w:hAnsi="Calibri"/>
                          </w:rPr>
                        </w:pPr>
                        <w:r>
                          <w:rPr>
                            <w:rFonts w:ascii="Calibri" w:hAnsi="Calibri"/>
                          </w:rPr>
                          <w:t>21.72</w:t>
                        </w:r>
                      </w:p>
                    </w:txbxContent>
                  </v:textbox>
                </v:shape>
                <v:shape id="Text Box 11174" o:spid="_x0000_s1503" type="#_x0000_t202" style="position:absolute;left:33820;top:7548;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5B1D254E" w14:textId="77777777" w:rsidR="00217891" w:rsidRPr="000E0606" w:rsidRDefault="00217891" w:rsidP="00C2742E">
                        <w:pPr>
                          <w:jc w:val="center"/>
                          <w:rPr>
                            <w:rFonts w:ascii="Calibri" w:hAnsi="Calibri"/>
                          </w:rPr>
                        </w:pPr>
                        <w:r>
                          <w:rPr>
                            <w:rFonts w:ascii="Calibri" w:hAnsi="Calibri"/>
                          </w:rPr>
                          <w:t>0.69</w:t>
                        </w:r>
                      </w:p>
                    </w:txbxContent>
                  </v:textbox>
                </v:shape>
                <v:shape id="Text Box 11178" o:spid="_x0000_s1504" type="#_x0000_t202" style="position:absolute;left:48793;top:8043;width:62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4216EEBA" w14:textId="77777777" w:rsidR="00217891" w:rsidRPr="000E0606" w:rsidRDefault="00217891" w:rsidP="00C2742E">
                        <w:pPr>
                          <w:jc w:val="center"/>
                          <w:rPr>
                            <w:rFonts w:ascii="Calibri" w:hAnsi="Calibri"/>
                          </w:rPr>
                        </w:pPr>
                        <w:r>
                          <w:rPr>
                            <w:rFonts w:ascii="Calibri" w:hAnsi="Calibri"/>
                          </w:rPr>
                          <w:t>0.07</w:t>
                        </w:r>
                      </w:p>
                    </w:txbxContent>
                  </v:textbox>
                </v:shape>
                <v:shape id="AutoShape 11151" o:spid="_x0000_s1505" type="#_x0000_t32" style="position:absolute;left:34461;top:3649;width:48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">
                  <v:stroke endarrow="block"/>
                </v:shape>
                <v:shape id="Text Box 11174" o:spid="_x0000_s1506" type="#_x0000_t202" style="position:absolute;left:33972;top:1223;width:62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64EFC507" w14:textId="77777777" w:rsidR="00217891" w:rsidRPr="000E0606" w:rsidRDefault="00217891" w:rsidP="00C2742E">
                        <w:pPr>
                          <w:jc w:val="center"/>
                          <w:rPr>
                            <w:rFonts w:ascii="Calibri" w:hAnsi="Calibri"/>
                          </w:rPr>
                        </w:pPr>
                        <w:r>
                          <w:rPr>
                            <w:rFonts w:ascii="Calibri" w:hAnsi="Calibri"/>
                          </w:rPr>
                          <w:t>1</w:t>
                        </w:r>
                      </w:p>
                    </w:txbxContent>
                  </v:textbox>
                </v:shape>
                <v:shape id="Text Box 11148" o:spid="_x0000_s1507" type="#_x0000_t202" style="position:absolute;left:39198;top:2309;width:899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" filled="f">
                  <v:textbox>
                    <w:txbxContent>
                      <w:p w14:paraId="3F6077E0" w14:textId="77777777" w:rsidR="00217891" w:rsidRPr="003E5463" w:rsidRDefault="00217891" w:rsidP="00C2742E">
                        <w:pPr>
                          <w:jc w:val="center"/>
                        </w:pPr>
                        <w:r>
                          <w:rPr>
                            <w:rFonts w:ascii="Calibri" w:hAnsi="Calibri" w:hint="eastAsia"/>
                            <w:snapToGrid w:val="0"/>
                            <w:szCs w:val="21"/>
                          </w:rPr>
                          <w:t>实验废水</w:t>
                        </w:r>
                      </w:p>
                    </w:txbxContent>
                  </v:textbox>
                </v:shape>
                <v:shape id="AutoShape 11158" o:spid="_x0000_s1508" type="#_x0000_t32" style="position:absolute;left:48053;top:3474;width:91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">
                  <v:stroke endarrow="block"/>
                </v:shape>
                <v:shape id="Text Box 11174" o:spid="_x0000_s1509" type="#_x0000_t202" style="position:absolute;left:49745;top:1528;width:626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245AC769" w14:textId="77777777" w:rsidR="00217891" w:rsidRPr="000E0606" w:rsidRDefault="00217891" w:rsidP="00C2742E">
                        <w:pPr>
                          <w:jc w:val="center"/>
                          <w:rPr>
                            <w:rFonts w:ascii="Calibri" w:hAnsi="Calibri"/>
                          </w:rPr>
                        </w:pPr>
                        <w:r>
                          <w:rPr>
                            <w:rFonts w:ascii="Calibri" w:hAnsi="Calibri"/>
                          </w:rPr>
                          <w:t>0.9</w:t>
                        </w:r>
                      </w:p>
                    </w:txbxContent>
                  </v:textbox>
                </v:shape>
                <v:shape id="直接箭头连接符 27555" o:spid="_x0000_s1510" type="#_x0000_t32" style="position:absolute;left:11506;top:3528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" strokecolor="black [3040]">
                  <v:stroke endarrow="block"/>
                </v:shape>
                <v:shape id="_x0000_s1511" type="#_x0000_t202" style="position:absolute;left:5410;top:33102;width:15849;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0486D371" w14:textId="1C5A2D07" w:rsidR="00217891" w:rsidRDefault="00217891" w:rsidP="00BF4432">
                        <w:pPr>
                          <w:pStyle w:val="af1"/>
                          <w:ind w:firstLine="101"/>
                          <w:jc w:val="both"/>
                        </w:pPr>
                        <w:r>
                          <w:rPr>
                            <w:rFonts w:ascii="Calibri" w:cs="Calibri" w:hint="eastAsia"/>
                            <w:kern w:val="2"/>
                            <w:sz w:val="21"/>
                            <w:szCs w:val="21"/>
                          </w:rPr>
                          <w:t>聚合不凝气带入</w:t>
                        </w:r>
                        <w:r>
                          <w:rPr>
                            <w:rFonts w:ascii="Calibri" w:hAnsi="Calibri" w:cs="Calibri"/>
                            <w:kern w:val="2"/>
                            <w:sz w:val="21"/>
                            <w:szCs w:val="21"/>
                          </w:rPr>
                          <w:t>2.04</w:t>
                        </w:r>
                      </w:p>
                      <w:p w14:paraId="41FF2AC0" w14:textId="72140167" w:rsidR="00217891" w:rsidRPr="000E0606" w:rsidRDefault="00217891" w:rsidP="00C2742E">
                        <w:pPr>
                          <w:jc w:val="center"/>
                          <w:rPr>
                            <w:rFonts w:ascii="Calibri" w:hAnsi="Calibri"/>
                          </w:rPr>
                        </w:pPr>
                      </w:p>
                    </w:txbxContent>
                  </v:textbox>
                </v:shape>
                <w10:wrap type="topAndBottom" anchorx="margin"/>
              </v:group>
            </w:pict>
          </mc:Fallback>
        </mc:AlternateContent>
      </w:r>
      <w:r w:rsidR="00525F2B" w:rsidRPr="00EF5063">
        <w:rPr>
          <w:rFonts w:ascii="Calibri" w:eastAsia="黑体" w:hAnsi="黑体"/>
          <w:b/>
          <w:color w:val="auto"/>
          <w:sz w:val="24"/>
          <w:u w:val="single"/>
        </w:rPr>
        <w:t>图</w:t>
      </w:r>
      <w:r w:rsidR="006B496C" w:rsidRPr="00EF5063">
        <w:rPr>
          <w:rFonts w:ascii="Calibri" w:eastAsia="黑体" w:hAnsi="Calibri"/>
          <w:b/>
          <w:color w:val="auto"/>
          <w:sz w:val="24"/>
          <w:u w:val="single"/>
        </w:rPr>
        <w:t>2.3-7</w:t>
      </w:r>
      <w:r w:rsidR="00525F2B" w:rsidRPr="00EF5063">
        <w:rPr>
          <w:rFonts w:ascii="Calibri" w:eastAsia="黑体" w:hAnsi="Calibri"/>
          <w:b/>
          <w:color w:val="auto"/>
          <w:sz w:val="24"/>
          <w:u w:val="single"/>
        </w:rPr>
        <w:t xml:space="preserve">         </w:t>
      </w:r>
      <w:r w:rsidR="00525F2B" w:rsidRPr="00EF5063">
        <w:rPr>
          <w:rFonts w:ascii="Calibri" w:eastAsia="黑体" w:hAnsi="Calibri" w:hint="eastAsia"/>
          <w:b/>
          <w:color w:val="auto"/>
          <w:sz w:val="24"/>
          <w:u w:val="single"/>
        </w:rPr>
        <w:t xml:space="preserve">   </w:t>
      </w:r>
      <w:r w:rsidR="00525F2B" w:rsidRPr="00EF5063">
        <w:rPr>
          <w:rFonts w:ascii="Calibri" w:eastAsia="黑体" w:hAnsi="Calibri"/>
          <w:b/>
          <w:color w:val="auto"/>
          <w:sz w:val="24"/>
          <w:u w:val="single"/>
        </w:rPr>
        <w:t xml:space="preserve">        </w:t>
      </w:r>
      <w:r w:rsidR="00525F2B" w:rsidRPr="00EF5063">
        <w:rPr>
          <w:rFonts w:ascii="Calibri" w:eastAsia="黑体" w:hAnsi="黑体"/>
          <w:b/>
          <w:color w:val="auto"/>
          <w:sz w:val="24"/>
          <w:u w:val="single"/>
        </w:rPr>
        <w:t>本项目</w:t>
      </w:r>
      <w:r w:rsidR="00525F2B" w:rsidRPr="00EF5063">
        <w:rPr>
          <w:rFonts w:ascii="Calibri" w:eastAsia="黑体" w:hAnsi="黑体" w:hint="eastAsia"/>
          <w:b/>
          <w:color w:val="auto"/>
          <w:sz w:val="24"/>
          <w:u w:val="single"/>
        </w:rPr>
        <w:t>全厂</w:t>
      </w:r>
      <w:r w:rsidR="00525F2B" w:rsidRPr="00EF5063">
        <w:rPr>
          <w:rFonts w:ascii="Calibri" w:eastAsia="黑体" w:hAnsi="黑体"/>
          <w:b/>
          <w:color w:val="auto"/>
          <w:sz w:val="24"/>
          <w:u w:val="single"/>
        </w:rPr>
        <w:t>水平衡图</w:t>
      </w:r>
      <w:r w:rsidR="00525F2B" w:rsidRPr="00EF5063">
        <w:rPr>
          <w:rFonts w:ascii="Calibri" w:eastAsia="黑体" w:hAnsi="Calibri"/>
          <w:b/>
          <w:color w:val="auto"/>
          <w:sz w:val="24"/>
          <w:u w:val="single"/>
        </w:rPr>
        <w:t xml:space="preserve">   </w:t>
      </w:r>
      <w:r w:rsidR="00525F2B" w:rsidRPr="00EF5063">
        <w:rPr>
          <w:rFonts w:ascii="Calibri" w:eastAsia="黑体" w:hAnsi="Calibri" w:hint="eastAsia"/>
          <w:b/>
          <w:color w:val="auto"/>
          <w:sz w:val="24"/>
          <w:u w:val="single"/>
        </w:rPr>
        <w:t xml:space="preserve"> </w:t>
      </w:r>
      <w:r w:rsidR="00525F2B" w:rsidRPr="00EF5063">
        <w:rPr>
          <w:rFonts w:ascii="Calibri" w:eastAsia="黑体" w:hAnsi="Calibri"/>
          <w:b/>
          <w:color w:val="auto"/>
          <w:sz w:val="24"/>
          <w:u w:val="single"/>
        </w:rPr>
        <w:t xml:space="preserve">    </w:t>
      </w:r>
      <w:r w:rsidR="00525F2B" w:rsidRPr="00EF5063">
        <w:rPr>
          <w:rFonts w:ascii="Calibri" w:eastAsia="黑体" w:hAnsi="Calibri" w:hint="eastAsia"/>
          <w:b/>
          <w:color w:val="auto"/>
          <w:sz w:val="24"/>
          <w:u w:val="single"/>
        </w:rPr>
        <w:t xml:space="preserve"> </w:t>
      </w:r>
      <w:r w:rsidR="00525F2B" w:rsidRPr="00EF5063">
        <w:rPr>
          <w:rFonts w:ascii="Calibri" w:eastAsia="黑体" w:hAnsi="Calibri"/>
          <w:b/>
          <w:color w:val="auto"/>
          <w:sz w:val="24"/>
          <w:u w:val="single"/>
        </w:rPr>
        <w:t xml:space="preserve"> </w:t>
      </w:r>
      <w:r w:rsidR="00525F2B" w:rsidRPr="00EF5063">
        <w:rPr>
          <w:rFonts w:ascii="Calibri" w:hAnsi="Calibri" w:hint="eastAsia"/>
          <w:b/>
          <w:color w:val="auto"/>
          <w:sz w:val="24"/>
          <w:u w:val="single"/>
        </w:rPr>
        <w:t xml:space="preserve">      </w:t>
      </w:r>
      <w:r w:rsidR="00525F2B" w:rsidRPr="00EF5063">
        <w:rPr>
          <w:rFonts w:ascii="Calibri" w:hAnsi="Calibri" w:hint="eastAsia"/>
          <w:b/>
          <w:color w:val="auto"/>
          <w:szCs w:val="21"/>
          <w:u w:val="single"/>
        </w:rPr>
        <w:t>单位：</w:t>
      </w:r>
      <w:r w:rsidR="00525F2B" w:rsidRPr="00EF5063">
        <w:rPr>
          <w:rFonts w:ascii="Calibri" w:hAnsi="Calibri" w:hint="eastAsia"/>
          <w:b/>
          <w:color w:val="auto"/>
          <w:szCs w:val="21"/>
          <w:u w:val="single"/>
        </w:rPr>
        <w:t>t/d</w:t>
      </w:r>
      <w:r w:rsidR="00525F2B" w:rsidRPr="00EF5063">
        <w:rPr>
          <w:rFonts w:ascii="Calibri" w:hAnsi="Calibri"/>
          <w:b/>
          <w:noProof/>
          <w:color w:val="auto"/>
          <w:sz w:val="24"/>
          <w:u w:val="single"/>
        </w:rPr>
        <w:t xml:space="preserve"> </w:t>
      </w:r>
    </w:p>
    <w:p w14:paraId="08C52C07" w14:textId="77777777" w:rsidR="0094458B" w:rsidRDefault="0094458B" w:rsidP="00D35887">
      <w:pPr>
        <w:spacing w:line="500" w:lineRule="exact"/>
        <w:ind w:firstLineChars="200" w:firstLine="480"/>
        <w:rPr>
          <w:rFonts w:ascii="Calibri" w:hAnsi="Calibri"/>
          <w:color w:val="auto"/>
          <w:sz w:val="24"/>
        </w:rPr>
      </w:pPr>
    </w:p>
    <w:p w14:paraId="0F36C158" w14:textId="77777777" w:rsidR="0094458B" w:rsidRDefault="0094458B" w:rsidP="00D35887">
      <w:pPr>
        <w:spacing w:line="500" w:lineRule="exact"/>
        <w:ind w:firstLineChars="200" w:firstLine="480"/>
        <w:rPr>
          <w:rFonts w:ascii="Calibri" w:hAnsi="Calibri"/>
          <w:color w:val="auto"/>
          <w:sz w:val="24"/>
        </w:rPr>
      </w:pPr>
    </w:p>
    <w:p w14:paraId="42A3F44E" w14:textId="77777777" w:rsidR="0094458B" w:rsidRDefault="0094458B" w:rsidP="00D35887">
      <w:pPr>
        <w:spacing w:line="500" w:lineRule="exact"/>
        <w:ind w:firstLineChars="200" w:firstLine="480"/>
        <w:rPr>
          <w:rFonts w:ascii="Calibri" w:hAnsi="Calibri"/>
          <w:color w:val="auto"/>
          <w:sz w:val="24"/>
        </w:rPr>
      </w:pPr>
    </w:p>
    <w:p w14:paraId="26E03C0A" w14:textId="77777777" w:rsidR="008E1BB5" w:rsidRDefault="008E1BB5" w:rsidP="0055605A">
      <w:pPr>
        <w:pStyle w:val="ad"/>
        <w:rPr>
          <w:rFonts w:ascii="Calibri" w:hAnsi="Calibri"/>
          <w:color w:val="auto"/>
        </w:rPr>
      </w:pPr>
    </w:p>
    <w:p w14:paraId="036C0E19" w14:textId="77777777" w:rsidR="00CE7805" w:rsidRPr="003F46D5" w:rsidRDefault="00CE7805" w:rsidP="0055605A">
      <w:pPr>
        <w:pStyle w:val="ad"/>
        <w:rPr>
          <w:rFonts w:ascii="Calibri" w:hAnsi="Calibri"/>
          <w:color w:val="auto"/>
        </w:rPr>
      </w:pPr>
    </w:p>
    <w:p w14:paraId="63658CFA" w14:textId="77777777" w:rsidR="0055605A" w:rsidRPr="00A964FF" w:rsidRDefault="0055605A" w:rsidP="0055605A">
      <w:pPr>
        <w:pStyle w:val="ad"/>
        <w:rPr>
          <w:rFonts w:ascii="Calibri" w:hAnsi="Calibri"/>
          <w:color w:val="auto"/>
          <w:sz w:val="24"/>
        </w:rPr>
      </w:pPr>
      <w:r w:rsidRPr="00A964FF">
        <w:rPr>
          <w:rFonts w:ascii="Calibri" w:hAnsi="Calibri" w:hint="eastAsia"/>
          <w:color w:val="auto"/>
        </w:rPr>
        <w:lastRenderedPageBreak/>
        <w:t>2.3.3</w:t>
      </w:r>
      <w:r w:rsidRPr="00A964FF">
        <w:rPr>
          <w:rFonts w:ascii="Calibri" w:hAnsi="Calibri" w:hint="eastAsia"/>
          <w:color w:val="auto"/>
        </w:rPr>
        <w:t>噪声污染分析</w:t>
      </w:r>
    </w:p>
    <w:p w14:paraId="49DE3FFE" w14:textId="77777777" w:rsidR="006D3271" w:rsidRDefault="006D3271" w:rsidP="006D3271">
      <w:pPr>
        <w:pStyle w:val="00"/>
        <w:jc w:val="left"/>
        <w:rPr>
          <w:rFonts w:ascii="Calibri" w:hAnsi="Calibri"/>
          <w:color w:val="auto"/>
        </w:rPr>
      </w:pPr>
      <w:r w:rsidRPr="00A964FF">
        <w:rPr>
          <w:rFonts w:ascii="Calibri" w:hAnsi="Calibri" w:hint="eastAsia"/>
          <w:color w:val="auto"/>
        </w:rPr>
        <w:t>本项目营运后噪声污染源主要为各类生产设备、各类泵机和各类风机等，</w:t>
      </w:r>
      <w:r w:rsidRPr="00D83976">
        <w:rPr>
          <w:rFonts w:ascii="Calibri" w:hAnsi="Calibri" w:hint="eastAsia"/>
          <w:color w:val="auto"/>
        </w:rPr>
        <w:t>经类比《环境噪声与振动控制工程技术导则》</w:t>
      </w:r>
      <w:r>
        <w:rPr>
          <w:rFonts w:ascii="Calibri" w:hAnsi="Calibri" w:hint="eastAsia"/>
          <w:color w:val="auto"/>
        </w:rPr>
        <w:t>（</w:t>
      </w:r>
      <w:r w:rsidRPr="00D83976">
        <w:rPr>
          <w:rFonts w:ascii="Calibri" w:hAnsi="Calibri" w:hint="eastAsia"/>
          <w:color w:val="auto"/>
        </w:rPr>
        <w:t>HJ2034-2013</w:t>
      </w:r>
      <w:r>
        <w:rPr>
          <w:rFonts w:ascii="Calibri" w:hAnsi="Calibri" w:hint="eastAsia"/>
          <w:color w:val="auto"/>
        </w:rPr>
        <w:t>）</w:t>
      </w:r>
      <w:r w:rsidRPr="00D83976">
        <w:rPr>
          <w:rFonts w:ascii="Calibri" w:hAnsi="Calibri" w:hint="eastAsia"/>
          <w:color w:val="auto"/>
        </w:rPr>
        <w:t>附录</w:t>
      </w:r>
      <w:r w:rsidRPr="00D83976">
        <w:rPr>
          <w:rFonts w:ascii="Calibri" w:hAnsi="Calibri" w:hint="eastAsia"/>
          <w:color w:val="auto"/>
        </w:rPr>
        <w:t>A</w:t>
      </w:r>
      <w:r w:rsidRPr="00D83976">
        <w:rPr>
          <w:rFonts w:ascii="Calibri" w:hAnsi="Calibri" w:hint="eastAsia"/>
          <w:color w:val="auto"/>
        </w:rPr>
        <w:t>常见噪声源及其声功率级，本项目主要生产设备声功率级</w:t>
      </w:r>
      <w:r w:rsidRPr="00964557">
        <w:rPr>
          <w:rFonts w:ascii="Calibri" w:hAnsi="Calibri" w:hint="eastAsia"/>
          <w:color w:val="auto"/>
        </w:rPr>
        <w:t>在</w:t>
      </w:r>
      <w:r w:rsidRPr="00964557">
        <w:rPr>
          <w:rFonts w:ascii="Calibri" w:hAnsi="Calibri" w:hint="eastAsia"/>
          <w:color w:val="auto"/>
        </w:rPr>
        <w:t>8</w:t>
      </w:r>
      <w:r>
        <w:rPr>
          <w:rFonts w:ascii="Calibri" w:hAnsi="Calibri"/>
          <w:color w:val="auto"/>
        </w:rPr>
        <w:t>5</w:t>
      </w:r>
      <w:r w:rsidRPr="00964557">
        <w:rPr>
          <w:rFonts w:ascii="Calibri" w:hAnsi="Calibri" w:hint="eastAsia"/>
          <w:color w:val="auto"/>
        </w:rPr>
        <w:t>～</w:t>
      </w:r>
      <w:r w:rsidRPr="00964557">
        <w:rPr>
          <w:rFonts w:ascii="Calibri" w:hAnsi="Calibri"/>
          <w:color w:val="auto"/>
        </w:rPr>
        <w:t>9</w:t>
      </w:r>
      <w:r w:rsidR="003C3DBE">
        <w:rPr>
          <w:rFonts w:ascii="Calibri" w:hAnsi="Calibri"/>
          <w:color w:val="auto"/>
        </w:rPr>
        <w:t>0</w:t>
      </w:r>
      <w:r w:rsidRPr="00964557">
        <w:rPr>
          <w:rFonts w:ascii="Calibri" w:hAnsi="Calibri"/>
          <w:color w:val="auto"/>
        </w:rPr>
        <w:t>dB</w:t>
      </w:r>
      <w:r w:rsidRPr="00964557">
        <w:rPr>
          <w:rFonts w:ascii="Calibri" w:hAnsi="Calibri" w:hint="eastAsia"/>
          <w:color w:val="auto"/>
        </w:rPr>
        <w:t>之间，</w:t>
      </w:r>
      <w:r>
        <w:rPr>
          <w:rFonts w:ascii="Calibri" w:hAnsi="Calibri" w:hint="eastAsia"/>
          <w:color w:val="auto"/>
        </w:rPr>
        <w:t>其</w:t>
      </w:r>
      <w:r w:rsidRPr="00964557">
        <w:rPr>
          <w:rFonts w:ascii="Calibri" w:hAnsi="Calibri" w:hint="eastAsia"/>
          <w:color w:val="auto"/>
        </w:rPr>
        <w:t>噪声源强拟采取隔声、减振、消声等降噪措施。</w:t>
      </w:r>
      <w:r>
        <w:rPr>
          <w:rFonts w:ascii="Calibri" w:hAnsi="Calibri" w:hint="eastAsia"/>
          <w:color w:val="auto"/>
        </w:rPr>
        <w:t>根据《环境</w:t>
      </w:r>
      <w:r>
        <w:rPr>
          <w:rFonts w:ascii="Calibri" w:hAnsi="Calibri"/>
          <w:color w:val="auto"/>
        </w:rPr>
        <w:t>影响评价技术导则</w:t>
      </w:r>
      <w:r>
        <w:rPr>
          <w:rFonts w:ascii="Calibri" w:hAnsi="Calibri" w:hint="eastAsia"/>
          <w:color w:val="auto"/>
        </w:rPr>
        <w:t xml:space="preserve"> </w:t>
      </w:r>
      <w:r>
        <w:rPr>
          <w:rFonts w:ascii="Calibri" w:hAnsi="Calibri" w:hint="eastAsia"/>
          <w:color w:val="auto"/>
        </w:rPr>
        <w:t>声环境》（</w:t>
      </w:r>
      <w:r>
        <w:rPr>
          <w:rFonts w:ascii="Calibri" w:hAnsi="Calibri"/>
          <w:color w:val="auto"/>
        </w:rPr>
        <w:t>HJ2.4-2021</w:t>
      </w:r>
      <w:r>
        <w:rPr>
          <w:rFonts w:ascii="Calibri" w:hAnsi="Calibri" w:hint="eastAsia"/>
          <w:color w:val="auto"/>
        </w:rPr>
        <w:t>），工业声源</w:t>
      </w:r>
      <w:r>
        <w:rPr>
          <w:rFonts w:ascii="Calibri" w:hAnsi="Calibri"/>
          <w:color w:val="auto"/>
        </w:rPr>
        <w:t>应按照</w:t>
      </w:r>
      <w:r>
        <w:rPr>
          <w:rFonts w:ascii="Calibri" w:hAnsi="Calibri" w:hint="eastAsia"/>
          <w:color w:val="auto"/>
        </w:rPr>
        <w:t>室外</w:t>
      </w:r>
      <w:r>
        <w:rPr>
          <w:rFonts w:ascii="Calibri" w:hAnsi="Calibri"/>
          <w:color w:val="auto"/>
        </w:rPr>
        <w:t>和室内两种声源</w:t>
      </w:r>
      <w:r>
        <w:rPr>
          <w:rFonts w:ascii="Calibri" w:hAnsi="Calibri" w:hint="eastAsia"/>
          <w:color w:val="auto"/>
        </w:rPr>
        <w:t>分别</w:t>
      </w:r>
      <w:r>
        <w:rPr>
          <w:rFonts w:ascii="Calibri" w:hAnsi="Calibri"/>
          <w:color w:val="auto"/>
        </w:rPr>
        <w:t>计算。</w:t>
      </w:r>
    </w:p>
    <w:p w14:paraId="6E49BFB3" w14:textId="77777777" w:rsidR="006D3271" w:rsidRPr="005B46AF" w:rsidRDefault="006D3271" w:rsidP="006D3271">
      <w:pPr>
        <w:pStyle w:val="00"/>
        <w:jc w:val="left"/>
        <w:rPr>
          <w:rFonts w:ascii="Calibri" w:hAnsi="Calibri"/>
          <w:b/>
          <w:color w:val="auto"/>
        </w:rPr>
      </w:pPr>
      <w:r w:rsidRPr="005B46AF">
        <w:rPr>
          <w:rFonts w:ascii="Calibri" w:hAnsi="Calibri" w:hint="eastAsia"/>
          <w:b/>
          <w:color w:val="auto"/>
        </w:rPr>
        <w:t>1</w:t>
      </w:r>
      <w:r w:rsidRPr="005B46AF">
        <w:rPr>
          <w:rFonts w:ascii="Calibri" w:hAnsi="Calibri" w:hint="eastAsia"/>
          <w:b/>
          <w:color w:val="auto"/>
        </w:rPr>
        <w:t>、室内</w:t>
      </w:r>
      <w:r w:rsidRPr="005B46AF">
        <w:rPr>
          <w:rFonts w:ascii="Calibri" w:hAnsi="Calibri"/>
          <w:b/>
          <w:color w:val="auto"/>
        </w:rPr>
        <w:t>声源等效室外声源声功率级计算</w:t>
      </w:r>
    </w:p>
    <w:p w14:paraId="1E4C1A5C" w14:textId="77777777" w:rsidR="006D3271" w:rsidRDefault="006D3271" w:rsidP="006D3271">
      <w:pPr>
        <w:pStyle w:val="00"/>
        <w:jc w:val="left"/>
        <w:rPr>
          <w:rFonts w:asciiTheme="minorHAnsi" w:hAnsiTheme="minorHAnsi"/>
          <w:noProof/>
        </w:rPr>
      </w:pPr>
      <w:r w:rsidRPr="005B46AF">
        <w:rPr>
          <w:rFonts w:ascii="Calibri" w:hAnsi="Calibri"/>
          <w:color w:val="auto"/>
        </w:rPr>
        <w:t>声源位于室内</w:t>
      </w:r>
      <w:r w:rsidRPr="00D71F98">
        <w:rPr>
          <w:rFonts w:asciiTheme="minorHAnsi" w:hAnsiTheme="minorHAnsi"/>
          <w:noProof/>
        </w:rPr>
        <w:t>，室内声源可采用等效室外声源声功率级法进行计算。设靠近开口处（或窗户）室内、室外某倍频带的声压级或</w:t>
      </w:r>
      <w:r w:rsidRPr="00D71F98">
        <w:rPr>
          <w:rFonts w:asciiTheme="minorHAnsi" w:hAnsiTheme="minorHAnsi"/>
          <w:noProof/>
        </w:rPr>
        <w:t>A</w:t>
      </w:r>
      <w:r w:rsidRPr="00D71F98">
        <w:rPr>
          <w:rFonts w:asciiTheme="minorHAnsi" w:hAnsiTheme="minorHAnsi"/>
          <w:noProof/>
        </w:rPr>
        <w:t>声级分别为</w:t>
      </w:r>
      <w:r w:rsidRPr="00D71F98">
        <w:rPr>
          <w:rFonts w:asciiTheme="minorHAnsi" w:hAnsiTheme="minorHAnsi"/>
          <w:noProof/>
        </w:rPr>
        <w:t>L</w:t>
      </w:r>
      <w:r w:rsidRPr="00D71F98">
        <w:rPr>
          <w:rFonts w:asciiTheme="minorHAnsi" w:hAnsiTheme="minorHAnsi"/>
          <w:noProof/>
          <w:vertAlign w:val="subscript"/>
        </w:rPr>
        <w:t>p1</w:t>
      </w:r>
      <w:r w:rsidRPr="00D71F98">
        <w:rPr>
          <w:rFonts w:asciiTheme="minorHAnsi" w:hAnsiTheme="minorHAnsi"/>
          <w:noProof/>
        </w:rPr>
        <w:t>和</w:t>
      </w:r>
      <w:r w:rsidRPr="00D71F98">
        <w:rPr>
          <w:rFonts w:asciiTheme="minorHAnsi" w:hAnsiTheme="minorHAnsi"/>
          <w:noProof/>
        </w:rPr>
        <w:t>L</w:t>
      </w:r>
      <w:r w:rsidRPr="00D71F98">
        <w:rPr>
          <w:rFonts w:asciiTheme="minorHAnsi" w:hAnsiTheme="minorHAnsi"/>
          <w:noProof/>
          <w:vertAlign w:val="subscript"/>
        </w:rPr>
        <w:t>p2</w:t>
      </w:r>
      <w:r w:rsidRPr="00D71F98">
        <w:rPr>
          <w:rFonts w:asciiTheme="minorHAnsi" w:hAnsiTheme="minorHAnsi"/>
          <w:noProof/>
        </w:rPr>
        <w:t>。</w:t>
      </w:r>
    </w:p>
    <w:p w14:paraId="689BF74A" w14:textId="77777777" w:rsidR="006D3271" w:rsidRDefault="006D3271" w:rsidP="006D3271">
      <w:pPr>
        <w:pStyle w:val="00"/>
        <w:jc w:val="left"/>
        <w:rPr>
          <w:rFonts w:asciiTheme="minorHAnsi" w:hAnsiTheme="minorHAnsi"/>
          <w:noProof/>
        </w:rPr>
      </w:pPr>
      <w:r>
        <w:rPr>
          <w:rFonts w:asciiTheme="minorHAnsi" w:hAnsiTheme="minorHAnsi" w:hint="eastAsia"/>
          <w:noProof/>
        </w:rPr>
        <w:t>计算</w:t>
      </w:r>
      <w:r>
        <w:rPr>
          <w:rFonts w:asciiTheme="minorHAnsi" w:hAnsiTheme="minorHAnsi"/>
          <w:noProof/>
        </w:rPr>
        <w:t>某一室内</w:t>
      </w:r>
      <w:r>
        <w:rPr>
          <w:rFonts w:asciiTheme="minorHAnsi" w:hAnsiTheme="minorHAnsi" w:hint="eastAsia"/>
          <w:noProof/>
        </w:rPr>
        <w:t>声</w:t>
      </w:r>
      <w:r>
        <w:rPr>
          <w:rFonts w:asciiTheme="minorHAnsi" w:hAnsiTheme="minorHAnsi"/>
          <w:noProof/>
        </w:rPr>
        <w:t>源靠近围护结构处产生的倍频带声压级或</w:t>
      </w:r>
      <w:r>
        <w:rPr>
          <w:rFonts w:asciiTheme="minorHAnsi" w:hAnsiTheme="minorHAnsi"/>
          <w:noProof/>
        </w:rPr>
        <w:t>A</w:t>
      </w:r>
      <w:r>
        <w:rPr>
          <w:rFonts w:asciiTheme="minorHAnsi" w:hAnsiTheme="minorHAnsi"/>
          <w:noProof/>
        </w:rPr>
        <w:t>声级</w:t>
      </w:r>
      <w:r>
        <w:rPr>
          <w:rFonts w:asciiTheme="minorHAnsi" w:hAnsiTheme="minorHAnsi" w:hint="eastAsia"/>
          <w:noProof/>
        </w:rPr>
        <w:t>公式</w:t>
      </w:r>
      <w:r>
        <w:rPr>
          <w:rFonts w:asciiTheme="minorHAnsi" w:hAnsiTheme="minorHAnsi"/>
          <w:noProof/>
        </w:rPr>
        <w:t>如下：</w:t>
      </w:r>
    </w:p>
    <w:p w14:paraId="426AB0BE" w14:textId="77777777" w:rsidR="006D3271" w:rsidRPr="00F41664" w:rsidRDefault="00217891" w:rsidP="006D3271">
      <w:pPr>
        <w:pStyle w:val="00"/>
        <w:spacing w:beforeLines="50" w:before="120" w:line="360" w:lineRule="auto"/>
        <w:ind w:firstLineChars="550" w:firstLine="1320"/>
        <w:jc w:val="left"/>
        <w:rPr>
          <w:rFonts w:asciiTheme="minorHAnsi" w:hAnsiTheme="minorHAnsi"/>
          <w:noProof/>
        </w:rPr>
      </w:pPr>
      <m:oMath>
        <m:sSub>
          <m:sSubPr>
            <m:ctrlPr>
              <w:rPr>
                <w:rFonts w:ascii="Cambria Math" w:hAnsi="Cambria Math"/>
                <w:color w:val="auto"/>
              </w:rPr>
            </m:ctrlPr>
          </m:sSubPr>
          <m:e>
            <m:r>
              <w:rPr>
                <w:rFonts w:ascii="Cambria Math" w:hAnsi="Cambria Math"/>
                <w:color w:val="auto"/>
              </w:rPr>
              <m:t>L</m:t>
            </m:r>
          </m:e>
          <m:sub>
            <m:r>
              <w:rPr>
                <w:rFonts w:ascii="Cambria Math" w:hAnsi="Cambria Math"/>
                <w:color w:val="auto"/>
              </w:rPr>
              <m:t>pl</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w1</m:t>
            </m:r>
          </m:sub>
        </m:sSub>
        <m:r>
          <w:rPr>
            <w:rFonts w:ascii="Cambria Math" w:hAnsi="Cambria Math"/>
            <w:color w:val="auto"/>
          </w:rPr>
          <m:t>+10</m:t>
        </m:r>
        <m:r>
          <m:rPr>
            <m:sty m:val="p"/>
          </m:rPr>
          <w:rPr>
            <w:rFonts w:ascii="Cambria Math" w:hAnsi="Cambria Math"/>
            <w:color w:val="auto"/>
          </w:rPr>
          <m:t>lg⁡</m:t>
        </m:r>
        <m:r>
          <m:rPr>
            <m:sty m:val="p"/>
          </m:rPr>
          <w:rPr>
            <w:rFonts w:ascii="Cambria Math" w:hAnsi="Cambria Math" w:hint="eastAsia"/>
            <w:color w:val="auto"/>
          </w:rPr>
          <m:t>（</m:t>
        </m:r>
        <m:f>
          <m:fPr>
            <m:ctrlPr>
              <w:rPr>
                <w:rFonts w:ascii="Cambria Math" w:hAnsi="Cambria Math"/>
                <w:color w:val="auto"/>
              </w:rPr>
            </m:ctrlPr>
          </m:fPr>
          <m:num>
            <m:r>
              <w:rPr>
                <w:rFonts w:ascii="Cambria Math" w:hAnsi="Cambria Math"/>
                <w:color w:val="auto"/>
              </w:rPr>
              <m:t>Q</m:t>
            </m:r>
          </m:num>
          <m:den>
            <m:r>
              <w:rPr>
                <w:rFonts w:ascii="Cambria Math" w:hAnsi="Cambria Math"/>
                <w:color w:val="auto"/>
              </w:rPr>
              <m:t>4π</m:t>
            </m:r>
            <m:sSup>
              <m:sSupPr>
                <m:ctrlPr>
                  <w:rPr>
                    <w:rFonts w:ascii="Cambria Math" w:hAnsi="Cambria Math"/>
                    <w:i/>
                    <w:color w:val="auto"/>
                  </w:rPr>
                </m:ctrlPr>
              </m:sSupPr>
              <m:e>
                <m:r>
                  <w:rPr>
                    <w:rFonts w:ascii="Cambria Math" w:hAnsi="Cambria Math"/>
                    <w:color w:val="auto"/>
                  </w:rPr>
                  <m:t>r</m:t>
                </m:r>
              </m:e>
              <m:sup>
                <m:r>
                  <w:rPr>
                    <w:rFonts w:ascii="Cambria Math" w:hAnsi="Cambria Math"/>
                    <w:color w:val="auto"/>
                  </w:rPr>
                  <m:t>2</m:t>
                </m:r>
              </m:sup>
            </m:sSup>
          </m:den>
        </m:f>
        <m:r>
          <m:rPr>
            <m:sty m:val="p"/>
          </m:rPr>
          <w:rPr>
            <w:rFonts w:ascii="Cambria Math" w:hAnsi="Cambria Math"/>
            <w:color w:val="auto"/>
          </w:rPr>
          <m:t>+</m:t>
        </m:r>
        <m:f>
          <m:fPr>
            <m:ctrlPr>
              <w:rPr>
                <w:rFonts w:ascii="Cambria Math" w:hAnsi="Cambria Math"/>
                <w:color w:val="auto"/>
              </w:rPr>
            </m:ctrlPr>
          </m:fPr>
          <m:num>
            <m:r>
              <w:rPr>
                <w:rFonts w:ascii="Cambria Math" w:hAnsi="Cambria Math"/>
                <w:color w:val="auto"/>
              </w:rPr>
              <m:t>4</m:t>
            </m:r>
          </m:num>
          <m:den>
            <m:r>
              <w:rPr>
                <w:rFonts w:ascii="Cambria Math" w:hAnsi="Cambria Math"/>
                <w:color w:val="auto"/>
              </w:rPr>
              <m:t>R</m:t>
            </m:r>
          </m:den>
        </m:f>
        <m:r>
          <m:rPr>
            <m:sty m:val="p"/>
          </m:rPr>
          <w:rPr>
            <w:rFonts w:ascii="Cambria Math" w:hAnsi="Cambria Math" w:hint="eastAsia"/>
            <w:color w:val="auto"/>
          </w:rPr>
          <m:t>）</m:t>
        </m:r>
      </m:oMath>
      <w:r w:rsidR="006D3271">
        <w:rPr>
          <w:rFonts w:asciiTheme="minorHAnsi" w:hAnsiTheme="minorHAnsi"/>
          <w:noProof/>
        </w:rPr>
        <w:t xml:space="preserve"> </w:t>
      </w:r>
    </w:p>
    <w:p w14:paraId="120B4138" w14:textId="77777777" w:rsidR="006D3271" w:rsidRDefault="006D3271" w:rsidP="006D3271">
      <w:pPr>
        <w:pStyle w:val="00"/>
        <w:ind w:leftChars="50" w:left="105" w:firstLineChars="150" w:firstLine="360"/>
        <w:jc w:val="left"/>
        <w:rPr>
          <w:rFonts w:ascii="Calibri" w:hAnsi="Calibri"/>
          <w:color w:val="auto"/>
        </w:rPr>
      </w:pPr>
      <w:r>
        <w:rPr>
          <w:rFonts w:ascii="Calibri" w:hAnsi="Calibri" w:hint="eastAsia"/>
          <w:color w:val="auto"/>
        </w:rPr>
        <w:t>式中</w:t>
      </w:r>
      <w:r>
        <w:rPr>
          <w:rFonts w:ascii="Calibri" w:hAnsi="Calibri"/>
          <w:color w:val="auto"/>
        </w:rPr>
        <w:t>：</w:t>
      </w:r>
      <w:r w:rsidRPr="00D71F98">
        <w:rPr>
          <w:rFonts w:asciiTheme="minorHAnsi" w:hAnsiTheme="minorHAnsi"/>
          <w:noProof/>
        </w:rPr>
        <w:t>L</w:t>
      </w:r>
      <w:r w:rsidRPr="00D71F98">
        <w:rPr>
          <w:rFonts w:asciiTheme="minorHAnsi" w:hAnsiTheme="minorHAnsi"/>
          <w:noProof/>
          <w:vertAlign w:val="subscript"/>
        </w:rPr>
        <w:t>p</w:t>
      </w:r>
      <w:r>
        <w:rPr>
          <w:rFonts w:asciiTheme="minorHAnsi" w:hAnsiTheme="minorHAnsi"/>
          <w:noProof/>
          <w:vertAlign w:val="subscript"/>
        </w:rPr>
        <w:t>1</w:t>
      </w:r>
      <w:r>
        <w:rPr>
          <w:rFonts w:asciiTheme="minorHAnsi" w:hAnsiTheme="minorHAnsi"/>
          <w:noProof/>
        </w:rPr>
        <w:t>——</w:t>
      </w:r>
      <w:r w:rsidRPr="00F41664">
        <w:rPr>
          <w:rFonts w:asciiTheme="minorHAnsi" w:hAnsiTheme="minorHAnsi" w:hint="eastAsia"/>
          <w:noProof/>
        </w:rPr>
        <w:t>靠近开口处（或窗户）室内某倍频带的声压级或</w:t>
      </w:r>
      <w:r>
        <w:rPr>
          <w:rFonts w:asciiTheme="minorHAnsi" w:hAnsiTheme="minorHAnsi" w:hint="eastAsia"/>
          <w:noProof/>
        </w:rPr>
        <w:t>A</w:t>
      </w:r>
      <w:r w:rsidRPr="00F41664">
        <w:rPr>
          <w:rFonts w:asciiTheme="minorHAnsi" w:hAnsiTheme="minorHAnsi" w:hint="eastAsia"/>
          <w:noProof/>
        </w:rPr>
        <w:t>声级，</w:t>
      </w:r>
      <w:r w:rsidRPr="00F41664">
        <w:rPr>
          <w:rFonts w:asciiTheme="minorHAnsi" w:hAnsiTheme="minorHAnsi" w:hint="eastAsia"/>
          <w:noProof/>
        </w:rPr>
        <w:t>dB</w:t>
      </w:r>
      <w:r>
        <w:rPr>
          <w:rFonts w:asciiTheme="minorHAnsi" w:hAnsiTheme="minorHAnsi" w:hint="eastAsia"/>
          <w:noProof/>
        </w:rPr>
        <w:t>；</w:t>
      </w:r>
    </w:p>
    <w:p w14:paraId="54D1ACCD" w14:textId="77777777" w:rsidR="006D3271" w:rsidRDefault="006D3271" w:rsidP="006D3271">
      <w:pPr>
        <w:pStyle w:val="00"/>
        <w:ind w:left="420" w:hanging="420"/>
        <w:jc w:val="left"/>
        <w:rPr>
          <w:rFonts w:ascii="Calibri" w:hAnsi="Calibri"/>
          <w:color w:val="auto"/>
        </w:rPr>
      </w:pPr>
      <w:r>
        <w:rPr>
          <w:rFonts w:ascii="Calibri" w:hAnsi="Calibri" w:hint="eastAsia"/>
          <w:color w:val="auto"/>
        </w:rPr>
        <w:t xml:space="preserve">   </w:t>
      </w:r>
      <w:r>
        <w:rPr>
          <w:rFonts w:ascii="Calibri" w:hAnsi="Calibri"/>
          <w:color w:val="auto"/>
        </w:rPr>
        <w:t xml:space="preserve">   </w:t>
      </w:r>
      <w:r>
        <w:rPr>
          <w:rFonts w:ascii="Calibri" w:hAnsi="Calibri" w:hint="eastAsia"/>
          <w:color w:val="auto"/>
        </w:rPr>
        <w:t xml:space="preserve"> </w:t>
      </w:r>
      <w:r>
        <w:rPr>
          <w:rFonts w:ascii="Calibri" w:hAnsi="Calibri"/>
          <w:color w:val="auto"/>
        </w:rPr>
        <w:t xml:space="preserve"> </w:t>
      </w:r>
      <w:r>
        <w:rPr>
          <w:rFonts w:ascii="Calibri" w:hAnsi="Calibri" w:hint="eastAsia"/>
          <w:color w:val="auto"/>
        </w:rPr>
        <w:t xml:space="preserve">  </w:t>
      </w:r>
      <w:r>
        <w:rPr>
          <w:rFonts w:ascii="Calibri" w:hAnsi="Calibri"/>
          <w:color w:val="auto"/>
        </w:rPr>
        <w:t>L</w:t>
      </w:r>
      <w:r w:rsidRPr="00C57452">
        <w:rPr>
          <w:rFonts w:ascii="Calibri" w:hAnsi="Calibri"/>
          <w:color w:val="auto"/>
          <w:vertAlign w:val="subscript"/>
        </w:rPr>
        <w:t>w1</w:t>
      </w:r>
      <w:r>
        <w:rPr>
          <w:rFonts w:ascii="Calibri" w:hAnsi="Calibri"/>
          <w:color w:val="auto"/>
        </w:rPr>
        <w:t>——</w:t>
      </w:r>
      <w:r w:rsidRPr="00F41664">
        <w:rPr>
          <w:rFonts w:ascii="Calibri" w:hAnsi="Calibri" w:hint="eastAsia"/>
          <w:color w:val="auto"/>
        </w:rPr>
        <w:t>点声源声功率级（</w:t>
      </w:r>
      <w:r>
        <w:rPr>
          <w:rFonts w:ascii="Calibri" w:hAnsi="Calibri" w:hint="eastAsia"/>
          <w:color w:val="auto"/>
        </w:rPr>
        <w:t>A</w:t>
      </w:r>
      <w:r w:rsidRPr="00F41664">
        <w:rPr>
          <w:rFonts w:ascii="Calibri" w:hAnsi="Calibri" w:hint="eastAsia"/>
          <w:color w:val="auto"/>
        </w:rPr>
        <w:t>计权或倍频带），</w:t>
      </w:r>
      <w:r w:rsidRPr="00F41664">
        <w:rPr>
          <w:rFonts w:ascii="Calibri" w:hAnsi="Calibri" w:hint="eastAsia"/>
          <w:color w:val="auto"/>
        </w:rPr>
        <w:t>dB</w:t>
      </w:r>
      <w:r>
        <w:rPr>
          <w:rFonts w:ascii="Calibri" w:hAnsi="Calibri" w:hint="eastAsia"/>
          <w:color w:val="auto"/>
        </w:rPr>
        <w:t>；</w:t>
      </w:r>
    </w:p>
    <w:p w14:paraId="0ADF1BCD" w14:textId="77777777" w:rsidR="006D3271" w:rsidRPr="00F41664" w:rsidRDefault="006D3271" w:rsidP="006D3271">
      <w:pPr>
        <w:pStyle w:val="00"/>
        <w:ind w:firstLine="0"/>
        <w:jc w:val="left"/>
        <w:rPr>
          <w:rFonts w:ascii="Calibri" w:hAnsi="Calibri"/>
          <w:color w:val="auto"/>
        </w:rPr>
      </w:pPr>
      <w:r>
        <w:rPr>
          <w:rFonts w:ascii="Calibri" w:hAnsi="Calibri"/>
          <w:color w:val="auto"/>
        </w:rPr>
        <w:t xml:space="preserve">          Q——</w:t>
      </w:r>
      <w:r>
        <w:rPr>
          <w:rFonts w:ascii="Calibri" w:hAnsi="Calibri" w:hint="eastAsia"/>
          <w:color w:val="auto"/>
        </w:rPr>
        <w:t>指向性因数；通常对无指向性声源，当声源放在房间中心时，</w:t>
      </w:r>
      <w:r w:rsidRPr="00F41664">
        <w:rPr>
          <w:rFonts w:ascii="Calibri" w:hAnsi="Calibri" w:hint="eastAsia"/>
          <w:color w:val="auto"/>
        </w:rPr>
        <w:t>Q=1</w:t>
      </w:r>
      <w:r w:rsidRPr="00F41664">
        <w:rPr>
          <w:rFonts w:ascii="Calibri" w:hAnsi="Calibri" w:hint="eastAsia"/>
          <w:color w:val="auto"/>
        </w:rPr>
        <w:t>；当放在一面墙的中心时，</w:t>
      </w:r>
      <w:r w:rsidRPr="00F41664">
        <w:rPr>
          <w:rFonts w:ascii="Calibri" w:hAnsi="Calibri" w:hint="eastAsia"/>
          <w:color w:val="auto"/>
        </w:rPr>
        <w:t>Q=2</w:t>
      </w:r>
      <w:r w:rsidRPr="00F41664">
        <w:rPr>
          <w:rFonts w:ascii="Calibri" w:hAnsi="Calibri" w:hint="eastAsia"/>
          <w:color w:val="auto"/>
        </w:rPr>
        <w:t>；当放在两面墙夹角处时，</w:t>
      </w:r>
      <w:r w:rsidRPr="00F41664">
        <w:rPr>
          <w:rFonts w:ascii="Calibri" w:hAnsi="Calibri" w:hint="eastAsia"/>
          <w:color w:val="auto"/>
        </w:rPr>
        <w:t>Q=4</w:t>
      </w:r>
      <w:r w:rsidRPr="00F41664">
        <w:rPr>
          <w:rFonts w:ascii="Calibri" w:hAnsi="Calibri" w:hint="eastAsia"/>
          <w:color w:val="auto"/>
        </w:rPr>
        <w:t>；当放在三面墙夹角处时，</w:t>
      </w:r>
      <w:r w:rsidRPr="00F41664">
        <w:rPr>
          <w:rFonts w:ascii="Calibri" w:hAnsi="Calibri" w:hint="eastAsia"/>
          <w:color w:val="auto"/>
        </w:rPr>
        <w:t>Q=8</w:t>
      </w:r>
      <w:r>
        <w:rPr>
          <w:rFonts w:ascii="Calibri" w:hAnsi="Calibri" w:hint="eastAsia"/>
          <w:color w:val="auto"/>
        </w:rPr>
        <w:t>；</w:t>
      </w:r>
    </w:p>
    <w:p w14:paraId="2C3A4D75" w14:textId="77777777" w:rsidR="006D3271" w:rsidRDefault="006D3271" w:rsidP="006D3271">
      <w:pPr>
        <w:pStyle w:val="00"/>
        <w:ind w:firstLine="0"/>
        <w:jc w:val="left"/>
        <w:rPr>
          <w:rFonts w:ascii="Calibri" w:hAnsi="Calibri"/>
          <w:color w:val="auto"/>
        </w:rPr>
      </w:pPr>
      <w:r>
        <w:rPr>
          <w:rFonts w:ascii="Calibri" w:hAnsi="Calibri" w:hint="eastAsia"/>
          <w:color w:val="auto"/>
        </w:rPr>
        <w:t xml:space="preserve">      </w:t>
      </w:r>
      <w:r>
        <w:rPr>
          <w:rFonts w:ascii="Calibri" w:hAnsi="Calibri"/>
          <w:color w:val="auto"/>
        </w:rPr>
        <w:t xml:space="preserve">    </w:t>
      </w:r>
      <w:r w:rsidRPr="00F41664">
        <w:rPr>
          <w:rFonts w:ascii="Calibri" w:hAnsi="Calibri"/>
          <w:color w:val="auto"/>
        </w:rPr>
        <w:t>R——</w:t>
      </w:r>
      <w:r w:rsidRPr="00F41664">
        <w:rPr>
          <w:rFonts w:ascii="Calibri" w:hAnsi="Calibri" w:hint="eastAsia"/>
          <w:color w:val="auto"/>
        </w:rPr>
        <w:t>房间常数；</w:t>
      </w:r>
      <w:r>
        <w:rPr>
          <w:rFonts w:ascii="Calibri" w:hAnsi="Calibri"/>
          <w:color w:val="auto"/>
        </w:rPr>
        <w:t>R=S</w:t>
      </w:r>
      <w:r w:rsidRPr="005B46AF">
        <w:rPr>
          <w:rFonts w:ascii="Calibri" w:hAnsi="Calibri"/>
          <w:color w:val="auto"/>
        </w:rPr>
        <w:t>α</w:t>
      </w:r>
      <w:r>
        <w:rPr>
          <w:rFonts w:ascii="Calibri" w:hAnsi="Calibri"/>
          <w:color w:val="auto"/>
        </w:rPr>
        <w:t>/</w:t>
      </w:r>
      <w:r w:rsidRPr="005B46AF">
        <w:rPr>
          <w:rFonts w:ascii="Calibri" w:hAnsi="Calibri" w:hint="eastAsia"/>
          <w:color w:val="auto"/>
        </w:rPr>
        <w:t>（</w:t>
      </w:r>
      <w:r w:rsidRPr="005B46AF">
        <w:rPr>
          <w:rFonts w:ascii="Calibri" w:hAnsi="Calibri" w:hint="eastAsia"/>
          <w:color w:val="auto"/>
        </w:rPr>
        <w:t>1-</w:t>
      </w:r>
      <w:r w:rsidRPr="005B46AF">
        <w:rPr>
          <w:rFonts w:ascii="Calibri" w:hAnsi="Calibri"/>
          <w:color w:val="auto"/>
        </w:rPr>
        <w:t>α</w:t>
      </w:r>
      <w:r w:rsidRPr="005B46AF">
        <w:rPr>
          <w:rFonts w:ascii="Calibri" w:hAnsi="Calibri" w:hint="eastAsia"/>
          <w:color w:val="auto"/>
        </w:rPr>
        <w:t>）</w:t>
      </w:r>
      <w:r w:rsidRPr="00F41664">
        <w:rPr>
          <w:rFonts w:ascii="Calibri" w:hAnsi="Calibri" w:hint="eastAsia"/>
          <w:color w:val="auto"/>
        </w:rPr>
        <w:t>，</w:t>
      </w:r>
      <w:r>
        <w:rPr>
          <w:rFonts w:ascii="Calibri" w:hAnsi="Calibri"/>
          <w:color w:val="auto"/>
        </w:rPr>
        <w:t>S</w:t>
      </w:r>
      <w:r w:rsidRPr="00F41664">
        <w:rPr>
          <w:rFonts w:ascii="Calibri" w:hAnsi="Calibri" w:hint="eastAsia"/>
          <w:color w:val="auto"/>
        </w:rPr>
        <w:t>为房间内表面面积，</w:t>
      </w:r>
      <w:r w:rsidRPr="00F41664">
        <w:rPr>
          <w:rFonts w:ascii="Calibri" w:hAnsi="Calibri"/>
          <w:color w:val="auto"/>
        </w:rPr>
        <w:t>m</w:t>
      </w:r>
      <w:r w:rsidRPr="005B46AF">
        <w:rPr>
          <w:rFonts w:ascii="Calibri" w:hAnsi="Calibri"/>
          <w:color w:val="auto"/>
          <w:vertAlign w:val="superscript"/>
        </w:rPr>
        <w:t>2</w:t>
      </w:r>
      <w:r w:rsidRPr="00F41664">
        <w:rPr>
          <w:rFonts w:ascii="Calibri" w:hAnsi="Calibri" w:hint="eastAsia"/>
          <w:color w:val="auto"/>
        </w:rPr>
        <w:t>；</w:t>
      </w:r>
      <w:r w:rsidRPr="005B46AF">
        <w:rPr>
          <w:rFonts w:ascii="Calibri" w:hAnsi="Calibri"/>
          <w:color w:val="auto"/>
        </w:rPr>
        <w:t>α</w:t>
      </w:r>
      <w:r w:rsidRPr="005B46AF">
        <w:rPr>
          <w:rFonts w:ascii="Calibri" w:hAnsi="Calibri"/>
          <w:color w:val="auto"/>
        </w:rPr>
        <w:t>为</w:t>
      </w:r>
      <w:r w:rsidRPr="00F41664">
        <w:rPr>
          <w:rFonts w:ascii="Calibri" w:hAnsi="Calibri" w:hint="eastAsia"/>
          <w:color w:val="auto"/>
        </w:rPr>
        <w:t>平均吸声系数</w:t>
      </w:r>
      <w:r>
        <w:rPr>
          <w:rFonts w:ascii="Calibri" w:hAnsi="Calibri" w:hint="eastAsia"/>
          <w:color w:val="auto"/>
        </w:rPr>
        <w:t>，取</w:t>
      </w:r>
      <w:r w:rsidRPr="00802E36">
        <w:rPr>
          <w:rFonts w:ascii="Calibri" w:hAnsi="Calibri" w:hint="eastAsia"/>
          <w:color w:val="auto"/>
        </w:rPr>
        <w:t>平均吸声系数</w:t>
      </w:r>
      <w:r>
        <w:rPr>
          <w:rFonts w:ascii="Calibri" w:hAnsi="Calibri"/>
          <w:color w:val="auto"/>
        </w:rPr>
        <w:t>0.8</w:t>
      </w:r>
      <w:r>
        <w:rPr>
          <w:rFonts w:ascii="Calibri" w:hAnsi="Calibri" w:hint="eastAsia"/>
          <w:color w:val="auto"/>
        </w:rPr>
        <w:t>；一期</w:t>
      </w:r>
      <w:r>
        <w:rPr>
          <w:rFonts w:ascii="Calibri" w:hAnsi="Calibri"/>
          <w:color w:val="auto"/>
        </w:rPr>
        <w:t>、</w:t>
      </w:r>
      <w:r>
        <w:rPr>
          <w:rFonts w:ascii="Calibri" w:hAnsi="Calibri" w:hint="eastAsia"/>
          <w:color w:val="auto"/>
        </w:rPr>
        <w:t>二期</w:t>
      </w:r>
      <w:r>
        <w:rPr>
          <w:rFonts w:ascii="Calibri" w:hAnsi="Calibri"/>
          <w:color w:val="auto"/>
        </w:rPr>
        <w:t>工程的生产设备均布置在</w:t>
      </w:r>
      <w:r>
        <w:rPr>
          <w:rFonts w:ascii="Calibri" w:hAnsi="Calibri" w:hint="eastAsia"/>
          <w:color w:val="auto"/>
        </w:rPr>
        <w:t>1</w:t>
      </w:r>
      <w:r>
        <w:rPr>
          <w:rFonts w:ascii="Calibri" w:hAnsi="Calibri" w:hint="eastAsia"/>
          <w:color w:val="auto"/>
        </w:rPr>
        <w:t>座</w:t>
      </w:r>
      <w:r>
        <w:rPr>
          <w:rFonts w:ascii="Calibri" w:hAnsi="Calibri"/>
          <w:color w:val="auto"/>
        </w:rPr>
        <w:t>生产车间内，</w:t>
      </w:r>
      <w:r>
        <w:rPr>
          <w:rFonts w:ascii="Calibri" w:hAnsi="Calibri" w:hint="eastAsia"/>
          <w:color w:val="auto"/>
        </w:rPr>
        <w:t>生产</w:t>
      </w:r>
      <w:r>
        <w:rPr>
          <w:rFonts w:ascii="Calibri" w:hAnsi="Calibri"/>
          <w:color w:val="auto"/>
        </w:rPr>
        <w:t>车间</w:t>
      </w:r>
      <w:r w:rsidR="00587A72">
        <w:rPr>
          <w:rFonts w:ascii="Calibri" w:hAnsi="Calibri" w:hint="eastAsia"/>
          <w:color w:val="auto"/>
        </w:rPr>
        <w:t>表面积</w:t>
      </w:r>
      <w:r w:rsidR="00587A72">
        <w:rPr>
          <w:rFonts w:ascii="Calibri" w:hAnsi="Calibri" w:hint="eastAsia"/>
          <w:color w:val="auto"/>
        </w:rPr>
        <w:t>31680</w:t>
      </w:r>
      <w:r>
        <w:rPr>
          <w:rFonts w:ascii="Calibri" w:hAnsi="Calibri"/>
          <w:color w:val="auto"/>
        </w:rPr>
        <w:t>m</w:t>
      </w:r>
      <w:r w:rsidRPr="009D1037">
        <w:rPr>
          <w:rFonts w:ascii="Calibri" w:hAnsi="Calibri"/>
          <w:color w:val="auto"/>
          <w:vertAlign w:val="superscript"/>
        </w:rPr>
        <w:t>2</w:t>
      </w:r>
      <w:r>
        <w:rPr>
          <w:rFonts w:ascii="Calibri" w:hAnsi="Calibri" w:hint="eastAsia"/>
          <w:color w:val="auto"/>
        </w:rPr>
        <w:t>，</w:t>
      </w:r>
      <w:r w:rsidRPr="00802E36">
        <w:rPr>
          <w:rFonts w:ascii="Calibri" w:hAnsi="Calibri" w:hint="eastAsia"/>
          <w:color w:val="auto"/>
        </w:rPr>
        <w:t>则</w:t>
      </w:r>
      <w:r w:rsidRPr="00802E36">
        <w:rPr>
          <w:rFonts w:ascii="Calibri" w:hAnsi="Calibri" w:hint="eastAsia"/>
          <w:color w:val="auto"/>
        </w:rPr>
        <w:t>R=</w:t>
      </w:r>
      <w:r w:rsidR="00587A72">
        <w:rPr>
          <w:rFonts w:ascii="Calibri" w:hAnsi="Calibri"/>
          <w:color w:val="auto"/>
        </w:rPr>
        <w:t>126720</w:t>
      </w:r>
      <w:r>
        <w:rPr>
          <w:rFonts w:ascii="Calibri" w:hAnsi="Calibri" w:hint="eastAsia"/>
          <w:color w:val="auto"/>
        </w:rPr>
        <w:t>；</w:t>
      </w:r>
      <w:r w:rsidR="00587A72">
        <w:rPr>
          <w:rFonts w:ascii="Calibri" w:hAnsi="Calibri"/>
          <w:color w:val="auto"/>
        </w:rPr>
        <w:t xml:space="preserve"> </w:t>
      </w:r>
    </w:p>
    <w:p w14:paraId="53BA4E01" w14:textId="77777777" w:rsidR="006D3271" w:rsidRDefault="006D3271" w:rsidP="006D3271">
      <w:pPr>
        <w:pStyle w:val="00"/>
        <w:ind w:firstLineChars="500" w:firstLine="1200"/>
        <w:jc w:val="left"/>
        <w:rPr>
          <w:rFonts w:ascii="Calibri" w:hAnsi="Calibri"/>
          <w:color w:val="auto"/>
        </w:rPr>
      </w:pPr>
      <w:r>
        <w:rPr>
          <w:rFonts w:ascii="Calibri" w:hAnsi="Calibri" w:hint="eastAsia"/>
          <w:color w:val="auto"/>
        </w:rPr>
        <w:t>r</w:t>
      </w:r>
      <w:r w:rsidRPr="00F41664">
        <w:rPr>
          <w:rFonts w:ascii="Calibri" w:hAnsi="Calibri" w:hint="eastAsia"/>
          <w:color w:val="auto"/>
        </w:rPr>
        <w:t>——声源到靠近围护结构某点处的距离，</w:t>
      </w:r>
      <w:r w:rsidRPr="00F41664">
        <w:rPr>
          <w:rFonts w:ascii="Calibri" w:hAnsi="Calibri" w:hint="eastAsia"/>
          <w:color w:val="auto"/>
        </w:rPr>
        <w:t>m</w:t>
      </w:r>
    </w:p>
    <w:p w14:paraId="2D4F67A9" w14:textId="77777777" w:rsidR="006D3271" w:rsidRDefault="006D3271" w:rsidP="006D3271">
      <w:pPr>
        <w:pStyle w:val="00"/>
        <w:jc w:val="left"/>
        <w:rPr>
          <w:rFonts w:ascii="Calibri" w:hAnsi="Calibri"/>
          <w:color w:val="auto"/>
        </w:rPr>
      </w:pPr>
      <w:r>
        <w:rPr>
          <w:rFonts w:ascii="Calibri" w:hAnsi="Calibri" w:hint="eastAsia"/>
          <w:color w:val="auto"/>
        </w:rPr>
        <w:t>然后</w:t>
      </w:r>
      <w:r>
        <w:rPr>
          <w:rFonts w:ascii="Calibri" w:hAnsi="Calibri"/>
          <w:color w:val="auto"/>
        </w:rPr>
        <w:t>按下式</w:t>
      </w:r>
      <w:r w:rsidRPr="00C57452">
        <w:rPr>
          <w:rFonts w:ascii="Calibri" w:hAnsi="Calibri" w:hint="eastAsia"/>
          <w:color w:val="auto"/>
        </w:rPr>
        <w:t>计算出所有室内声源在围护结构处产生的</w:t>
      </w:r>
      <w:r>
        <w:rPr>
          <w:rFonts w:ascii="Calibri" w:hAnsi="Calibri" w:hint="eastAsia"/>
          <w:color w:val="auto"/>
        </w:rPr>
        <w:t>i</w:t>
      </w:r>
      <w:r w:rsidRPr="00C57452">
        <w:rPr>
          <w:rFonts w:ascii="Calibri" w:hAnsi="Calibri" w:hint="eastAsia"/>
          <w:color w:val="auto"/>
        </w:rPr>
        <w:t>倍频带叠加声压级</w:t>
      </w:r>
      <w:r>
        <w:rPr>
          <w:rFonts w:ascii="Calibri" w:hAnsi="Calibri" w:hint="eastAsia"/>
          <w:color w:val="auto"/>
        </w:rPr>
        <w:t>：</w:t>
      </w:r>
    </w:p>
    <w:p w14:paraId="5A489C6E" w14:textId="77777777" w:rsidR="006D3271" w:rsidRPr="00C57452" w:rsidRDefault="00217891" w:rsidP="006D3271">
      <w:pPr>
        <w:pStyle w:val="00"/>
        <w:spacing w:before="100" w:beforeAutospacing="1" w:after="100" w:afterAutospacing="1"/>
        <w:ind w:left="420" w:hanging="420"/>
        <w:jc w:val="left"/>
        <w:rPr>
          <w:rFonts w:ascii="Calibri" w:hAnsi="Calibri"/>
          <w:color w:val="auto"/>
        </w:rPr>
      </w:pPr>
      <m:oMathPara>
        <m:oMathParaPr>
          <m:jc m:val="center"/>
        </m:oMathParaPr>
        <m:oMath>
          <m:sSub>
            <m:sSubPr>
              <m:ctrlPr>
                <w:rPr>
                  <w:rFonts w:ascii="Cambria Math" w:hAnsi="Cambria Math"/>
                  <w:color w:val="auto"/>
                </w:rPr>
              </m:ctrlPr>
            </m:sSubPr>
            <m:e>
              <m:r>
                <w:rPr>
                  <w:rFonts w:ascii="Cambria Math" w:hAnsi="Cambria Math"/>
                  <w:color w:val="auto"/>
                </w:rPr>
                <m:t>L</m:t>
              </m:r>
            </m:e>
            <m:sub>
              <m:r>
                <m:rPr>
                  <m:sty m:val="p"/>
                </m:rPr>
                <w:rPr>
                  <w:rFonts w:ascii="Cambria Math" w:hAnsi="Cambria Math"/>
                  <w:color w:val="auto"/>
                </w:rPr>
                <m:t>p1i</m:t>
              </m:r>
            </m:sub>
          </m:sSub>
          <m:d>
            <m:dPr>
              <m:begChr m:val="（"/>
              <m:endChr m:val="）"/>
              <m:ctrlPr>
                <w:rPr>
                  <w:rFonts w:ascii="Cambria Math" w:hAnsi="Cambria Math"/>
                  <w:color w:val="auto"/>
                </w:rPr>
              </m:ctrlPr>
            </m:dPr>
            <m:e>
              <m:r>
                <m:rPr>
                  <m:sty m:val="p"/>
                </m:rPr>
                <w:rPr>
                  <w:rFonts w:ascii="Cambria Math" w:hAnsi="Cambria Math"/>
                  <w:color w:val="auto"/>
                </w:rPr>
                <m:t>T</m:t>
              </m:r>
            </m:e>
          </m:d>
          <m:r>
            <m:rPr>
              <m:sty m:val="p"/>
            </m:rPr>
            <w:rPr>
              <w:rFonts w:ascii="Cambria Math" w:hAnsi="Cambria Math"/>
              <w:color w:val="auto"/>
            </w:rPr>
            <m:t>=10lg⁡</m:t>
          </m:r>
          <m:r>
            <m:rPr>
              <m:sty m:val="p"/>
            </m:rPr>
            <w:rPr>
              <w:rFonts w:ascii="Cambria Math" w:hAnsi="Cambria Math"/>
              <w:color w:val="auto"/>
            </w:rPr>
            <m:t>（</m:t>
          </m:r>
          <m:nary>
            <m:naryPr>
              <m:chr m:val="∑"/>
              <m:limLoc m:val="undOvr"/>
              <m:ctrlPr>
                <w:rPr>
                  <w:rFonts w:ascii="Cambria Math" w:hAnsi="Cambria Math"/>
                  <w:color w:val="auto"/>
                </w:rPr>
              </m:ctrlPr>
            </m:naryPr>
            <m:sub>
              <m:r>
                <w:rPr>
                  <w:rFonts w:ascii="Cambria Math" w:hAnsi="Cambria Math"/>
                  <w:color w:val="auto"/>
                </w:rPr>
                <m:t>j=1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10</m:t>
                  </m:r>
                </m:e>
                <m:sup>
                  <m:r>
                    <w:rPr>
                      <w:rFonts w:ascii="Cambria Math" w:hAnsi="Cambria Math"/>
                      <w:color w:val="auto"/>
                    </w:rPr>
                    <m:t>0.1</m:t>
                  </m:r>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p1ij</m:t>
                      </m:r>
                    </m:sub>
                  </m:sSub>
                </m:sup>
              </m:sSup>
            </m:e>
          </m:nary>
          <m:r>
            <m:rPr>
              <m:sty m:val="p"/>
            </m:rPr>
            <w:rPr>
              <w:rFonts w:ascii="Cambria Math" w:hAnsi="Cambria Math"/>
              <w:color w:val="auto"/>
            </w:rPr>
            <m:t>）</m:t>
          </m:r>
        </m:oMath>
      </m:oMathPara>
    </w:p>
    <w:p w14:paraId="2EA6003A" w14:textId="77777777" w:rsidR="006D3271" w:rsidRDefault="006D3271" w:rsidP="006D3271">
      <w:pPr>
        <w:pStyle w:val="00"/>
        <w:ind w:firstLineChars="150" w:firstLine="360"/>
        <w:jc w:val="left"/>
        <w:rPr>
          <w:rFonts w:ascii="Calibri" w:hAnsi="Calibri"/>
          <w:color w:val="auto"/>
        </w:rPr>
      </w:pPr>
      <w:r>
        <w:rPr>
          <w:rFonts w:ascii="Calibri" w:hAnsi="Calibri" w:hint="eastAsia"/>
          <w:color w:val="auto"/>
        </w:rPr>
        <w:t>式中：</w:t>
      </w:r>
      <w:r>
        <w:rPr>
          <w:rFonts w:ascii="Calibri" w:hAnsi="Calibri"/>
          <w:color w:val="auto"/>
        </w:rPr>
        <w:t>L</w:t>
      </w:r>
      <w:r w:rsidRPr="009D1037">
        <w:rPr>
          <w:rFonts w:ascii="Calibri" w:hAnsi="Calibri"/>
          <w:color w:val="auto"/>
          <w:vertAlign w:val="subscript"/>
        </w:rPr>
        <w:t>p1i</w:t>
      </w:r>
      <w:r>
        <w:rPr>
          <w:rFonts w:ascii="Calibri" w:hAnsi="Calibri"/>
          <w:color w:val="auto"/>
        </w:rPr>
        <w:t>（</w:t>
      </w:r>
      <w:r>
        <w:rPr>
          <w:rFonts w:ascii="Calibri" w:hAnsi="Calibri" w:hint="eastAsia"/>
          <w:color w:val="auto"/>
        </w:rPr>
        <w:t>T</w:t>
      </w:r>
      <w:r>
        <w:rPr>
          <w:rFonts w:ascii="Calibri" w:hAnsi="Calibri"/>
          <w:color w:val="auto"/>
        </w:rPr>
        <w:t>）</w:t>
      </w:r>
      <w:r>
        <w:rPr>
          <w:rFonts w:ascii="Calibri" w:hAnsi="Calibri" w:hint="eastAsia"/>
          <w:color w:val="auto"/>
        </w:rPr>
        <w:t>——</w:t>
      </w:r>
      <w:r w:rsidRPr="00C57452">
        <w:rPr>
          <w:rFonts w:ascii="Calibri" w:hAnsi="Calibri" w:hint="eastAsia"/>
          <w:color w:val="auto"/>
        </w:rPr>
        <w:t>靠近围护结构处室内</w:t>
      </w:r>
      <w:r>
        <w:rPr>
          <w:rFonts w:ascii="Calibri" w:hAnsi="Calibri" w:hint="eastAsia"/>
          <w:color w:val="auto"/>
        </w:rPr>
        <w:t>N</w:t>
      </w:r>
      <w:r w:rsidRPr="00C57452">
        <w:rPr>
          <w:rFonts w:ascii="Calibri" w:hAnsi="Calibri" w:hint="eastAsia"/>
          <w:color w:val="auto"/>
        </w:rPr>
        <w:t>个声源</w:t>
      </w:r>
      <w:r>
        <w:rPr>
          <w:rFonts w:ascii="Calibri" w:hAnsi="Calibri" w:hint="eastAsia"/>
          <w:color w:val="auto"/>
        </w:rPr>
        <w:t>i</w:t>
      </w:r>
      <w:r w:rsidRPr="00C57452">
        <w:rPr>
          <w:rFonts w:ascii="Calibri" w:hAnsi="Calibri" w:hint="eastAsia"/>
          <w:color w:val="auto"/>
        </w:rPr>
        <w:t>倍频带的叠加声压级，</w:t>
      </w:r>
      <w:r w:rsidRPr="00C57452">
        <w:rPr>
          <w:rFonts w:ascii="Calibri" w:hAnsi="Calibri" w:hint="eastAsia"/>
          <w:color w:val="auto"/>
        </w:rPr>
        <w:t>dB</w:t>
      </w:r>
      <w:r w:rsidRPr="00C57452">
        <w:rPr>
          <w:rFonts w:ascii="Calibri" w:hAnsi="Calibri" w:hint="eastAsia"/>
          <w:color w:val="auto"/>
        </w:rPr>
        <w:t>；</w:t>
      </w:r>
    </w:p>
    <w:p w14:paraId="316389DD" w14:textId="77777777" w:rsidR="006D3271" w:rsidRDefault="006D3271" w:rsidP="006D3271">
      <w:pPr>
        <w:pStyle w:val="00"/>
        <w:ind w:left="420" w:hanging="420"/>
        <w:jc w:val="left"/>
        <w:rPr>
          <w:rFonts w:ascii="Calibri" w:hAnsi="Calibri"/>
          <w:color w:val="auto"/>
        </w:rPr>
      </w:pPr>
      <w:r>
        <w:rPr>
          <w:rFonts w:ascii="Calibri" w:hAnsi="Calibri" w:hint="eastAsia"/>
          <w:color w:val="auto"/>
        </w:rPr>
        <w:t xml:space="preserve">     </w:t>
      </w:r>
      <w:r>
        <w:rPr>
          <w:rFonts w:ascii="Calibri" w:hAnsi="Calibri"/>
          <w:color w:val="auto"/>
        </w:rPr>
        <w:t xml:space="preserve">   </w:t>
      </w:r>
      <w:r>
        <w:rPr>
          <w:rFonts w:ascii="Calibri" w:hAnsi="Calibri" w:hint="eastAsia"/>
          <w:color w:val="auto"/>
        </w:rPr>
        <w:t xml:space="preserve"> </w:t>
      </w:r>
      <w:r>
        <w:rPr>
          <w:rFonts w:ascii="Calibri" w:hAnsi="Calibri"/>
          <w:color w:val="auto"/>
        </w:rPr>
        <w:t>L</w:t>
      </w:r>
      <w:r w:rsidRPr="00C57452">
        <w:rPr>
          <w:rFonts w:ascii="Calibri" w:hAnsi="Calibri"/>
          <w:color w:val="auto"/>
          <w:vertAlign w:val="subscript"/>
        </w:rPr>
        <w:t>p1i</w:t>
      </w:r>
      <w:r>
        <w:rPr>
          <w:rFonts w:ascii="Calibri" w:hAnsi="Calibri"/>
          <w:color w:val="auto"/>
          <w:vertAlign w:val="subscript"/>
        </w:rPr>
        <w:t>j</w:t>
      </w:r>
      <w:r>
        <w:rPr>
          <w:rFonts w:ascii="Calibri" w:hAnsi="Calibri" w:hint="eastAsia"/>
          <w:color w:val="auto"/>
        </w:rPr>
        <w:t>——</w:t>
      </w:r>
      <w:r w:rsidRPr="00C57452">
        <w:rPr>
          <w:rFonts w:ascii="Calibri" w:hAnsi="Calibri" w:hint="eastAsia"/>
          <w:color w:val="auto"/>
        </w:rPr>
        <w:t>室内</w:t>
      </w:r>
      <w:r>
        <w:rPr>
          <w:rFonts w:ascii="Calibri" w:hAnsi="Calibri" w:hint="eastAsia"/>
          <w:color w:val="auto"/>
        </w:rPr>
        <w:t>j</w:t>
      </w:r>
      <w:r w:rsidRPr="00C57452">
        <w:rPr>
          <w:rFonts w:ascii="Calibri" w:hAnsi="Calibri" w:hint="eastAsia"/>
          <w:color w:val="auto"/>
        </w:rPr>
        <w:t>声源</w:t>
      </w:r>
      <w:r>
        <w:rPr>
          <w:rFonts w:ascii="Calibri" w:hAnsi="Calibri" w:hint="eastAsia"/>
          <w:color w:val="auto"/>
        </w:rPr>
        <w:t>i</w:t>
      </w:r>
      <w:r w:rsidRPr="00C57452">
        <w:rPr>
          <w:rFonts w:ascii="Calibri" w:hAnsi="Calibri" w:hint="eastAsia"/>
          <w:color w:val="auto"/>
        </w:rPr>
        <w:t>倍频带的声压级，</w:t>
      </w:r>
      <w:r w:rsidRPr="00C57452">
        <w:rPr>
          <w:rFonts w:ascii="Calibri" w:hAnsi="Calibri" w:hint="eastAsia"/>
          <w:color w:val="auto"/>
        </w:rPr>
        <w:t>dB</w:t>
      </w:r>
      <w:r>
        <w:rPr>
          <w:rFonts w:ascii="Calibri" w:hAnsi="Calibri" w:hint="eastAsia"/>
          <w:color w:val="auto"/>
        </w:rPr>
        <w:t>；</w:t>
      </w:r>
    </w:p>
    <w:p w14:paraId="52ACA020" w14:textId="77777777" w:rsidR="006D3271" w:rsidRDefault="006D3271" w:rsidP="006D3271">
      <w:pPr>
        <w:pStyle w:val="00"/>
        <w:ind w:left="420" w:hanging="420"/>
        <w:jc w:val="left"/>
        <w:rPr>
          <w:rFonts w:ascii="Calibri" w:hAnsi="Calibri"/>
          <w:color w:val="auto"/>
        </w:rPr>
      </w:pPr>
      <w:r>
        <w:rPr>
          <w:rFonts w:ascii="Calibri" w:hAnsi="Calibri" w:hint="eastAsia"/>
          <w:color w:val="auto"/>
        </w:rPr>
        <w:t xml:space="preserve">   </w:t>
      </w:r>
      <w:r>
        <w:rPr>
          <w:rFonts w:ascii="Calibri" w:hAnsi="Calibri"/>
          <w:color w:val="auto"/>
        </w:rPr>
        <w:t xml:space="preserve">    </w:t>
      </w:r>
      <w:r>
        <w:rPr>
          <w:rFonts w:ascii="Calibri" w:hAnsi="Calibri" w:hint="eastAsia"/>
          <w:color w:val="auto"/>
        </w:rPr>
        <w:t xml:space="preserve">  </w:t>
      </w:r>
      <w:r w:rsidRPr="00C57452">
        <w:rPr>
          <w:rFonts w:ascii="Calibri" w:hAnsi="Calibri" w:hint="eastAsia"/>
          <w:color w:val="auto"/>
        </w:rPr>
        <w:t>N</w:t>
      </w:r>
      <w:r w:rsidRPr="00C57452">
        <w:rPr>
          <w:rFonts w:ascii="Calibri" w:hAnsi="Calibri" w:hint="eastAsia"/>
          <w:color w:val="auto"/>
        </w:rPr>
        <w:t>——室内声源总数。</w:t>
      </w:r>
    </w:p>
    <w:p w14:paraId="4387D859" w14:textId="77777777" w:rsidR="00587A72" w:rsidRDefault="00587A72" w:rsidP="00587A72">
      <w:pPr>
        <w:pStyle w:val="00"/>
        <w:jc w:val="left"/>
        <w:rPr>
          <w:rFonts w:ascii="Calibri" w:hAnsi="Calibri"/>
          <w:color w:val="auto"/>
        </w:rPr>
      </w:pPr>
      <w:r w:rsidRPr="00C57452">
        <w:rPr>
          <w:rFonts w:ascii="Calibri" w:hAnsi="Calibri" w:hint="eastAsia"/>
          <w:color w:val="auto"/>
        </w:rPr>
        <w:lastRenderedPageBreak/>
        <w:t>在室内近似为扩散声场时，按</w:t>
      </w:r>
      <w:r>
        <w:rPr>
          <w:rFonts w:ascii="Calibri" w:hAnsi="Calibri" w:hint="eastAsia"/>
          <w:color w:val="auto"/>
        </w:rPr>
        <w:t>下式</w:t>
      </w:r>
      <w:r w:rsidRPr="00C57452">
        <w:rPr>
          <w:rFonts w:ascii="Calibri" w:hAnsi="Calibri" w:hint="eastAsia"/>
          <w:color w:val="auto"/>
        </w:rPr>
        <w:t>计算出靠近室外围护结构处的声压级：</w:t>
      </w:r>
    </w:p>
    <w:p w14:paraId="4D839750" w14:textId="77777777" w:rsidR="00587A72" w:rsidRDefault="00587A72" w:rsidP="00587A72">
      <w:pPr>
        <w:pStyle w:val="00"/>
        <w:ind w:left="420" w:hanging="420"/>
        <w:jc w:val="left"/>
        <w:rPr>
          <w:rFonts w:ascii="Calibri" w:hAnsi="Calibri"/>
          <w:color w:val="auto"/>
        </w:rPr>
      </w:pPr>
      <w:r>
        <w:rPr>
          <w:rFonts w:ascii="Calibri" w:hAnsi="Calibri" w:hint="eastAsia"/>
          <w:color w:val="auto"/>
        </w:rPr>
        <w:t xml:space="preserve">      </w:t>
      </w:r>
      <w:r>
        <w:rPr>
          <w:rFonts w:ascii="Calibri" w:hAnsi="Calibri"/>
          <w:color w:val="auto"/>
        </w:rPr>
        <w:t xml:space="preserve">   L</w:t>
      </w:r>
      <w:r w:rsidRPr="00C57452">
        <w:rPr>
          <w:rFonts w:ascii="Calibri" w:hAnsi="Calibri"/>
          <w:color w:val="auto"/>
          <w:vertAlign w:val="subscript"/>
        </w:rPr>
        <w:t>p2i</w:t>
      </w:r>
      <w:r>
        <w:rPr>
          <w:rFonts w:ascii="Calibri" w:hAnsi="Calibri" w:hint="eastAsia"/>
          <w:color w:val="auto"/>
        </w:rPr>
        <w:t>（</w:t>
      </w:r>
      <w:r>
        <w:rPr>
          <w:rFonts w:ascii="Calibri" w:hAnsi="Calibri" w:hint="eastAsia"/>
          <w:color w:val="auto"/>
        </w:rPr>
        <w:t>T</w:t>
      </w:r>
      <w:r>
        <w:rPr>
          <w:rFonts w:ascii="Calibri" w:hAnsi="Calibri" w:hint="eastAsia"/>
          <w:color w:val="auto"/>
        </w:rPr>
        <w:t>）</w:t>
      </w:r>
      <w:r>
        <w:rPr>
          <w:rFonts w:ascii="Calibri" w:hAnsi="Calibri" w:hint="eastAsia"/>
          <w:color w:val="auto"/>
        </w:rPr>
        <w:t>=</w:t>
      </w:r>
      <w:r>
        <w:rPr>
          <w:rFonts w:ascii="Calibri" w:hAnsi="Calibri"/>
          <w:color w:val="auto"/>
        </w:rPr>
        <w:t>L</w:t>
      </w:r>
      <w:r w:rsidRPr="00C57452">
        <w:rPr>
          <w:rFonts w:ascii="Calibri" w:hAnsi="Calibri"/>
          <w:color w:val="auto"/>
          <w:vertAlign w:val="subscript"/>
        </w:rPr>
        <w:t>p</w:t>
      </w:r>
      <w:r>
        <w:rPr>
          <w:rFonts w:ascii="Calibri" w:hAnsi="Calibri"/>
          <w:color w:val="auto"/>
          <w:vertAlign w:val="subscript"/>
        </w:rPr>
        <w:t>1</w:t>
      </w:r>
      <w:r w:rsidRPr="00C57452">
        <w:rPr>
          <w:rFonts w:ascii="Calibri" w:hAnsi="Calibri"/>
          <w:color w:val="auto"/>
          <w:vertAlign w:val="subscript"/>
        </w:rPr>
        <w:t>i</w:t>
      </w:r>
      <w:r>
        <w:rPr>
          <w:rFonts w:ascii="Calibri" w:hAnsi="Calibri" w:hint="eastAsia"/>
          <w:color w:val="auto"/>
        </w:rPr>
        <w:t>（</w:t>
      </w:r>
      <w:r>
        <w:rPr>
          <w:rFonts w:ascii="Calibri" w:hAnsi="Calibri" w:hint="eastAsia"/>
          <w:color w:val="auto"/>
        </w:rPr>
        <w:t>T</w:t>
      </w:r>
      <w:r>
        <w:rPr>
          <w:rFonts w:ascii="Calibri" w:hAnsi="Calibri" w:hint="eastAsia"/>
          <w:color w:val="auto"/>
        </w:rPr>
        <w:t>）</w:t>
      </w:r>
      <w:r>
        <w:rPr>
          <w:rFonts w:ascii="Calibri" w:hAnsi="Calibri" w:hint="eastAsia"/>
          <w:color w:val="auto"/>
        </w:rPr>
        <w:t>-</w:t>
      </w:r>
      <w:r>
        <w:rPr>
          <w:rFonts w:ascii="Calibri" w:hAnsi="Calibri" w:hint="eastAsia"/>
          <w:color w:val="auto"/>
        </w:rPr>
        <w:t>（</w:t>
      </w:r>
      <w:r>
        <w:rPr>
          <w:rFonts w:ascii="Calibri" w:hAnsi="Calibri" w:hint="eastAsia"/>
          <w:color w:val="auto"/>
        </w:rPr>
        <w:t>TL</w:t>
      </w:r>
      <w:r w:rsidRPr="00C57452">
        <w:rPr>
          <w:rFonts w:ascii="Calibri" w:hAnsi="Calibri"/>
          <w:color w:val="auto"/>
          <w:vertAlign w:val="subscript"/>
        </w:rPr>
        <w:t>i</w:t>
      </w:r>
      <w:r>
        <w:rPr>
          <w:rFonts w:ascii="Calibri" w:hAnsi="Calibri"/>
          <w:color w:val="auto"/>
        </w:rPr>
        <w:t>+6</w:t>
      </w:r>
      <w:r>
        <w:rPr>
          <w:rFonts w:ascii="Calibri" w:hAnsi="Calibri" w:hint="eastAsia"/>
          <w:color w:val="auto"/>
        </w:rPr>
        <w:t>）</w:t>
      </w:r>
    </w:p>
    <w:p w14:paraId="4C50AEC1" w14:textId="77777777" w:rsidR="00587A72" w:rsidRDefault="00587A72" w:rsidP="00587A72">
      <w:pPr>
        <w:pStyle w:val="00"/>
        <w:ind w:leftChars="50" w:left="105" w:firstLineChars="100" w:firstLine="240"/>
        <w:jc w:val="left"/>
        <w:rPr>
          <w:rFonts w:ascii="Calibri" w:hAnsi="Calibri"/>
          <w:color w:val="auto"/>
        </w:rPr>
      </w:pPr>
      <w:r>
        <w:rPr>
          <w:rFonts w:ascii="Calibri" w:hAnsi="Calibri" w:hint="eastAsia"/>
          <w:color w:val="auto"/>
        </w:rPr>
        <w:t>式中</w:t>
      </w:r>
      <w:r>
        <w:rPr>
          <w:rFonts w:ascii="Calibri" w:hAnsi="Calibri"/>
          <w:color w:val="auto"/>
        </w:rPr>
        <w:t>：</w:t>
      </w:r>
      <w:r>
        <w:rPr>
          <w:rFonts w:ascii="Calibri" w:hAnsi="Calibri"/>
          <w:color w:val="auto"/>
        </w:rPr>
        <w:t>L</w:t>
      </w:r>
      <w:r w:rsidRPr="00C57452">
        <w:rPr>
          <w:rFonts w:ascii="Calibri" w:hAnsi="Calibri"/>
          <w:color w:val="auto"/>
          <w:vertAlign w:val="subscript"/>
        </w:rPr>
        <w:t>p2i</w:t>
      </w:r>
      <w:r>
        <w:rPr>
          <w:rFonts w:ascii="Calibri" w:hAnsi="Calibri" w:hint="eastAsia"/>
          <w:color w:val="auto"/>
        </w:rPr>
        <w:t>（</w:t>
      </w:r>
      <w:r>
        <w:rPr>
          <w:rFonts w:ascii="Calibri" w:hAnsi="Calibri" w:hint="eastAsia"/>
          <w:color w:val="auto"/>
        </w:rPr>
        <w:t>T</w:t>
      </w:r>
      <w:r>
        <w:rPr>
          <w:rFonts w:ascii="Calibri" w:hAnsi="Calibri" w:hint="eastAsia"/>
          <w:color w:val="auto"/>
        </w:rPr>
        <w:t>）——</w:t>
      </w:r>
      <w:r w:rsidRPr="00C57452">
        <w:rPr>
          <w:rFonts w:ascii="Calibri" w:hAnsi="Calibri" w:hint="eastAsia"/>
          <w:color w:val="auto"/>
        </w:rPr>
        <w:t>靠近围护结构处室外</w:t>
      </w:r>
      <w:r>
        <w:rPr>
          <w:rFonts w:ascii="Calibri" w:hAnsi="Calibri" w:hint="eastAsia"/>
          <w:color w:val="auto"/>
        </w:rPr>
        <w:t>N</w:t>
      </w:r>
      <w:r w:rsidRPr="00C57452">
        <w:rPr>
          <w:rFonts w:ascii="Calibri" w:hAnsi="Calibri" w:hint="eastAsia"/>
          <w:color w:val="auto"/>
        </w:rPr>
        <w:t>个声源</w:t>
      </w:r>
      <w:r>
        <w:rPr>
          <w:rFonts w:ascii="Calibri" w:hAnsi="Calibri" w:hint="eastAsia"/>
          <w:color w:val="auto"/>
        </w:rPr>
        <w:t>i</w:t>
      </w:r>
      <w:r w:rsidRPr="00C57452">
        <w:rPr>
          <w:rFonts w:ascii="Calibri" w:hAnsi="Calibri" w:hint="eastAsia"/>
          <w:color w:val="auto"/>
        </w:rPr>
        <w:t>倍频带的叠加声压级，</w:t>
      </w:r>
      <w:r w:rsidRPr="00C57452">
        <w:rPr>
          <w:rFonts w:ascii="Calibri" w:hAnsi="Calibri" w:hint="eastAsia"/>
          <w:color w:val="auto"/>
        </w:rPr>
        <w:t>dB</w:t>
      </w:r>
      <w:r>
        <w:rPr>
          <w:rFonts w:ascii="Calibri" w:hAnsi="Calibri" w:hint="eastAsia"/>
          <w:color w:val="auto"/>
        </w:rPr>
        <w:t>；</w:t>
      </w:r>
    </w:p>
    <w:p w14:paraId="4E4D0205" w14:textId="77777777" w:rsidR="00587A72" w:rsidRPr="00C57452" w:rsidRDefault="00587A72" w:rsidP="00587A72">
      <w:pPr>
        <w:pStyle w:val="00"/>
        <w:ind w:firstLineChars="450" w:firstLine="1080"/>
        <w:jc w:val="left"/>
        <w:rPr>
          <w:rFonts w:ascii="Calibri" w:hAnsi="Calibri"/>
          <w:color w:val="auto"/>
        </w:rPr>
      </w:pPr>
      <w:r>
        <w:rPr>
          <w:rFonts w:ascii="Calibri" w:hAnsi="Calibri"/>
          <w:color w:val="auto"/>
        </w:rPr>
        <w:t>L</w:t>
      </w:r>
      <w:r w:rsidRPr="00C57452">
        <w:rPr>
          <w:rFonts w:ascii="Calibri" w:hAnsi="Calibri"/>
          <w:color w:val="auto"/>
          <w:vertAlign w:val="subscript"/>
        </w:rPr>
        <w:t>p</w:t>
      </w:r>
      <w:r>
        <w:rPr>
          <w:rFonts w:ascii="Calibri" w:hAnsi="Calibri"/>
          <w:color w:val="auto"/>
          <w:vertAlign w:val="subscript"/>
        </w:rPr>
        <w:t>1</w:t>
      </w:r>
      <w:r w:rsidRPr="00C57452">
        <w:rPr>
          <w:rFonts w:ascii="Calibri" w:hAnsi="Calibri"/>
          <w:color w:val="auto"/>
          <w:vertAlign w:val="subscript"/>
        </w:rPr>
        <w:t>i</w:t>
      </w:r>
      <w:r>
        <w:rPr>
          <w:rFonts w:ascii="Calibri" w:hAnsi="Calibri" w:hint="eastAsia"/>
          <w:color w:val="auto"/>
        </w:rPr>
        <w:t>（</w:t>
      </w:r>
      <w:r>
        <w:rPr>
          <w:rFonts w:ascii="Calibri" w:hAnsi="Calibri" w:hint="eastAsia"/>
          <w:color w:val="auto"/>
        </w:rPr>
        <w:t>T</w:t>
      </w:r>
      <w:r>
        <w:rPr>
          <w:rFonts w:ascii="Calibri" w:hAnsi="Calibri" w:hint="eastAsia"/>
          <w:color w:val="auto"/>
        </w:rPr>
        <w:t>）——</w:t>
      </w:r>
      <w:r w:rsidRPr="00C57452">
        <w:rPr>
          <w:rFonts w:ascii="Calibri" w:hAnsi="Calibri" w:hint="eastAsia"/>
          <w:color w:val="auto"/>
        </w:rPr>
        <w:t>靠近围护结构处室内</w:t>
      </w:r>
      <w:r>
        <w:rPr>
          <w:rFonts w:ascii="Calibri" w:hAnsi="Calibri" w:hint="eastAsia"/>
          <w:color w:val="auto"/>
        </w:rPr>
        <w:t>N</w:t>
      </w:r>
      <w:r>
        <w:rPr>
          <w:rFonts w:ascii="Calibri" w:hAnsi="Calibri" w:hint="eastAsia"/>
          <w:color w:val="auto"/>
        </w:rPr>
        <w:t>个</w:t>
      </w:r>
      <w:r w:rsidRPr="00C57452">
        <w:rPr>
          <w:rFonts w:ascii="Calibri" w:hAnsi="Calibri" w:hint="eastAsia"/>
          <w:color w:val="auto"/>
        </w:rPr>
        <w:t>声源</w:t>
      </w:r>
      <w:r>
        <w:rPr>
          <w:rFonts w:ascii="Calibri" w:hAnsi="Calibri" w:hint="eastAsia"/>
          <w:color w:val="auto"/>
        </w:rPr>
        <w:t>i</w:t>
      </w:r>
      <w:r w:rsidRPr="00C57452">
        <w:rPr>
          <w:rFonts w:ascii="Calibri" w:hAnsi="Calibri" w:hint="eastAsia"/>
          <w:color w:val="auto"/>
        </w:rPr>
        <w:t>倍频带的叠加声压级，</w:t>
      </w:r>
      <w:r w:rsidRPr="00C57452">
        <w:rPr>
          <w:rFonts w:ascii="Calibri" w:hAnsi="Calibri" w:hint="eastAsia"/>
          <w:color w:val="auto"/>
        </w:rPr>
        <w:t>dB</w:t>
      </w:r>
      <w:r w:rsidRPr="00C57452">
        <w:rPr>
          <w:rFonts w:ascii="Calibri" w:hAnsi="Calibri" w:hint="eastAsia"/>
          <w:color w:val="auto"/>
        </w:rPr>
        <w:t>；</w:t>
      </w:r>
    </w:p>
    <w:p w14:paraId="7B5366D5" w14:textId="77777777" w:rsidR="00587A72" w:rsidRDefault="00587A72" w:rsidP="00587A72">
      <w:pPr>
        <w:pStyle w:val="00"/>
        <w:ind w:firstLineChars="400" w:firstLine="960"/>
        <w:jc w:val="left"/>
        <w:rPr>
          <w:rFonts w:ascii="Calibri" w:hAnsi="Calibri"/>
          <w:color w:val="auto"/>
        </w:rPr>
      </w:pPr>
      <w:r>
        <w:rPr>
          <w:rFonts w:ascii="Calibri" w:hAnsi="Calibri" w:hint="eastAsia"/>
          <w:color w:val="auto"/>
        </w:rPr>
        <w:t>TL</w:t>
      </w:r>
      <w:r w:rsidRPr="00C57452">
        <w:rPr>
          <w:rFonts w:ascii="Calibri" w:hAnsi="Calibri"/>
          <w:color w:val="auto"/>
          <w:vertAlign w:val="subscript"/>
        </w:rPr>
        <w:t>i</w:t>
      </w:r>
      <w:r>
        <w:rPr>
          <w:rFonts w:ascii="Calibri" w:hAnsi="Calibri"/>
          <w:color w:val="auto"/>
        </w:rPr>
        <w:t>——</w:t>
      </w:r>
      <w:r w:rsidRPr="00C57452">
        <w:rPr>
          <w:rFonts w:ascii="Calibri" w:hAnsi="Calibri" w:hint="eastAsia"/>
          <w:color w:val="auto"/>
        </w:rPr>
        <w:t>围护结构</w:t>
      </w:r>
      <w:r>
        <w:rPr>
          <w:rFonts w:ascii="Calibri" w:hAnsi="Calibri" w:hint="eastAsia"/>
          <w:color w:val="auto"/>
        </w:rPr>
        <w:t>i</w:t>
      </w:r>
      <w:r w:rsidRPr="00C57452">
        <w:rPr>
          <w:rFonts w:ascii="Calibri" w:hAnsi="Calibri" w:hint="eastAsia"/>
          <w:color w:val="auto"/>
        </w:rPr>
        <w:t>倍频带的隔声量，</w:t>
      </w:r>
      <w:r w:rsidRPr="00C57452">
        <w:rPr>
          <w:rFonts w:ascii="Calibri" w:hAnsi="Calibri" w:hint="eastAsia"/>
          <w:color w:val="auto"/>
        </w:rPr>
        <w:t>dB</w:t>
      </w:r>
      <w:r>
        <w:rPr>
          <w:rFonts w:ascii="Calibri" w:hAnsi="Calibri" w:hint="eastAsia"/>
          <w:color w:val="auto"/>
        </w:rPr>
        <w:t>；</w:t>
      </w:r>
    </w:p>
    <w:p w14:paraId="499D0498" w14:textId="77777777" w:rsidR="00587A72" w:rsidRDefault="00587A72" w:rsidP="00587A72">
      <w:pPr>
        <w:pStyle w:val="00"/>
        <w:jc w:val="left"/>
        <w:rPr>
          <w:rFonts w:ascii="Calibri" w:hAnsi="Calibri"/>
          <w:color w:val="auto"/>
        </w:rPr>
      </w:pPr>
      <w:r w:rsidRPr="00C57452">
        <w:rPr>
          <w:rFonts w:ascii="Calibri" w:hAnsi="Calibri" w:hint="eastAsia"/>
          <w:color w:val="auto"/>
        </w:rPr>
        <w:t>然后按</w:t>
      </w:r>
      <w:r>
        <w:rPr>
          <w:rFonts w:ascii="Calibri" w:hAnsi="Calibri" w:hint="eastAsia"/>
          <w:color w:val="auto"/>
        </w:rPr>
        <w:t>下式</w:t>
      </w:r>
      <w:r w:rsidRPr="00C57452">
        <w:rPr>
          <w:rFonts w:ascii="Calibri" w:hAnsi="Calibri" w:hint="eastAsia"/>
          <w:color w:val="auto"/>
        </w:rPr>
        <w:t>将室外声源的声压级和透过面积换算成等效的室外声源，计算出中心位置位于透声面积（</w:t>
      </w:r>
      <w:r w:rsidRPr="00C57452">
        <w:rPr>
          <w:rFonts w:ascii="Calibri" w:hAnsi="Calibri" w:hint="eastAsia"/>
          <w:color w:val="auto"/>
        </w:rPr>
        <w:t>S</w:t>
      </w:r>
      <w:r w:rsidRPr="00C57452">
        <w:rPr>
          <w:rFonts w:ascii="Calibri" w:hAnsi="Calibri" w:hint="eastAsia"/>
          <w:color w:val="auto"/>
        </w:rPr>
        <w:t>）处的等效声源的倍频带声功率级</w:t>
      </w:r>
      <w:r>
        <w:rPr>
          <w:rFonts w:ascii="Calibri" w:hAnsi="Calibri" w:hint="eastAsia"/>
          <w:color w:val="auto"/>
        </w:rPr>
        <w:t>：</w:t>
      </w:r>
    </w:p>
    <w:p w14:paraId="27C627F1" w14:textId="77777777" w:rsidR="00587A72" w:rsidRPr="009D1037" w:rsidRDefault="00587A72" w:rsidP="00587A72">
      <w:pPr>
        <w:pStyle w:val="00"/>
        <w:jc w:val="left"/>
        <w:rPr>
          <w:rFonts w:ascii="Calibri" w:hAnsi="Calibri"/>
          <w:color w:val="auto"/>
        </w:rPr>
      </w:pPr>
      <w:r w:rsidRPr="009D1037">
        <w:rPr>
          <w:rFonts w:ascii="Calibri" w:hAnsi="Calibri" w:hint="eastAsia"/>
          <w:color w:val="auto"/>
        </w:rPr>
        <w:t xml:space="preserve">      Lw2=Lp2</w:t>
      </w:r>
      <w:r w:rsidRPr="009D1037">
        <w:rPr>
          <w:rFonts w:ascii="Calibri" w:hAnsi="Calibri" w:hint="eastAsia"/>
          <w:color w:val="auto"/>
        </w:rPr>
        <w:t>（</w:t>
      </w:r>
      <w:r w:rsidRPr="009D1037">
        <w:rPr>
          <w:rFonts w:ascii="Calibri" w:hAnsi="Calibri" w:hint="eastAsia"/>
          <w:color w:val="auto"/>
        </w:rPr>
        <w:t>T</w:t>
      </w:r>
      <w:r w:rsidRPr="009D1037">
        <w:rPr>
          <w:rFonts w:ascii="Calibri" w:hAnsi="Calibri" w:hint="eastAsia"/>
          <w:color w:val="auto"/>
        </w:rPr>
        <w:t>）</w:t>
      </w:r>
      <w:r w:rsidRPr="009D1037">
        <w:rPr>
          <w:rFonts w:ascii="Calibri" w:hAnsi="Calibri" w:hint="eastAsia"/>
          <w:color w:val="auto"/>
        </w:rPr>
        <w:t>+10lgS</w:t>
      </w:r>
    </w:p>
    <w:p w14:paraId="77F71187" w14:textId="77777777" w:rsidR="00587A72" w:rsidRPr="009D1037" w:rsidRDefault="00587A72" w:rsidP="00587A72">
      <w:pPr>
        <w:pStyle w:val="00"/>
        <w:ind w:firstLineChars="50" w:firstLine="120"/>
        <w:jc w:val="left"/>
        <w:rPr>
          <w:rFonts w:ascii="Calibri" w:hAnsi="Calibri"/>
          <w:color w:val="auto"/>
        </w:rPr>
      </w:pPr>
      <w:r w:rsidRPr="009D1037">
        <w:rPr>
          <w:rFonts w:ascii="Calibri" w:hAnsi="Calibri" w:hint="eastAsia"/>
          <w:color w:val="auto"/>
        </w:rPr>
        <w:t>式中：</w:t>
      </w:r>
      <w:r w:rsidRPr="009D1037">
        <w:rPr>
          <w:rFonts w:ascii="Calibri" w:hAnsi="Calibri" w:hint="eastAsia"/>
          <w:color w:val="auto"/>
        </w:rPr>
        <w:t>L</w:t>
      </w:r>
      <w:r w:rsidRPr="009D1037">
        <w:rPr>
          <w:rFonts w:ascii="Calibri" w:hAnsi="Calibri" w:hint="eastAsia"/>
          <w:color w:val="auto"/>
          <w:vertAlign w:val="subscript"/>
        </w:rPr>
        <w:t>w2</w:t>
      </w:r>
      <w:r w:rsidRPr="009D1037">
        <w:rPr>
          <w:rFonts w:ascii="Calibri" w:hAnsi="Calibri" w:hint="eastAsia"/>
          <w:color w:val="auto"/>
        </w:rPr>
        <w:t>——中心位置位于透声面积（</w:t>
      </w:r>
      <w:r w:rsidRPr="009D1037">
        <w:rPr>
          <w:rFonts w:ascii="Calibri" w:hAnsi="Calibri" w:hint="eastAsia"/>
          <w:color w:val="auto"/>
        </w:rPr>
        <w:t>S</w:t>
      </w:r>
      <w:r w:rsidRPr="009D1037">
        <w:rPr>
          <w:rFonts w:ascii="Calibri" w:hAnsi="Calibri" w:hint="eastAsia"/>
          <w:color w:val="auto"/>
        </w:rPr>
        <w:t>）处的等效声源的倍频带声功率级，</w:t>
      </w:r>
      <w:r w:rsidRPr="009D1037">
        <w:rPr>
          <w:rFonts w:ascii="Calibri" w:hAnsi="Calibri" w:hint="eastAsia"/>
          <w:color w:val="auto"/>
        </w:rPr>
        <w:t>dB</w:t>
      </w:r>
      <w:r w:rsidRPr="009D1037">
        <w:rPr>
          <w:rFonts w:ascii="Calibri" w:hAnsi="Calibri" w:hint="eastAsia"/>
          <w:color w:val="auto"/>
        </w:rPr>
        <w:t>；</w:t>
      </w:r>
    </w:p>
    <w:p w14:paraId="5C686519" w14:textId="77777777" w:rsidR="00587A72" w:rsidRPr="009D1037" w:rsidRDefault="00587A72" w:rsidP="00587A72">
      <w:pPr>
        <w:pStyle w:val="00"/>
        <w:jc w:val="left"/>
        <w:rPr>
          <w:rFonts w:ascii="Calibri" w:hAnsi="Calibri"/>
          <w:color w:val="auto"/>
        </w:rPr>
      </w:pPr>
      <w:r>
        <w:rPr>
          <w:rFonts w:ascii="Calibri" w:hAnsi="Calibri" w:hint="eastAsia"/>
          <w:color w:val="auto"/>
        </w:rPr>
        <w:t xml:space="preserve">  </w:t>
      </w:r>
      <w:r w:rsidRPr="009D1037">
        <w:rPr>
          <w:rFonts w:ascii="Calibri" w:hAnsi="Calibri" w:hint="eastAsia"/>
          <w:color w:val="auto"/>
        </w:rPr>
        <w:t xml:space="preserve"> L</w:t>
      </w:r>
      <w:r w:rsidRPr="009D1037">
        <w:rPr>
          <w:rFonts w:ascii="Calibri" w:hAnsi="Calibri" w:hint="eastAsia"/>
          <w:color w:val="auto"/>
          <w:vertAlign w:val="subscript"/>
        </w:rPr>
        <w:t>p2</w:t>
      </w:r>
      <w:r w:rsidRPr="009D1037">
        <w:rPr>
          <w:rFonts w:ascii="Calibri" w:hAnsi="Calibri" w:hint="eastAsia"/>
          <w:color w:val="auto"/>
        </w:rPr>
        <w:t>（</w:t>
      </w:r>
      <w:r w:rsidRPr="009D1037">
        <w:rPr>
          <w:rFonts w:ascii="Calibri" w:hAnsi="Calibri" w:hint="eastAsia"/>
          <w:color w:val="auto"/>
        </w:rPr>
        <w:t>T</w:t>
      </w:r>
      <w:r w:rsidRPr="009D1037">
        <w:rPr>
          <w:rFonts w:ascii="Calibri" w:hAnsi="Calibri" w:hint="eastAsia"/>
          <w:color w:val="auto"/>
        </w:rPr>
        <w:t>）——靠近围护结构处室外声源的声压级，</w:t>
      </w:r>
      <w:r w:rsidRPr="009D1037">
        <w:rPr>
          <w:rFonts w:ascii="Calibri" w:hAnsi="Calibri" w:hint="eastAsia"/>
          <w:color w:val="auto"/>
        </w:rPr>
        <w:t>dB</w:t>
      </w:r>
      <w:r w:rsidRPr="009D1037">
        <w:rPr>
          <w:rFonts w:ascii="Calibri" w:hAnsi="Calibri" w:hint="eastAsia"/>
          <w:color w:val="auto"/>
        </w:rPr>
        <w:t>；</w:t>
      </w:r>
    </w:p>
    <w:p w14:paraId="2BFB5011" w14:textId="77777777" w:rsidR="00587A72" w:rsidRPr="009D1037" w:rsidRDefault="00587A72" w:rsidP="00587A72">
      <w:pPr>
        <w:pStyle w:val="00"/>
        <w:jc w:val="left"/>
        <w:rPr>
          <w:rFonts w:ascii="Calibri" w:hAnsi="Calibri"/>
          <w:color w:val="auto"/>
        </w:rPr>
      </w:pPr>
      <w:r>
        <w:rPr>
          <w:rFonts w:ascii="Calibri" w:hAnsi="Calibri" w:hint="eastAsia"/>
          <w:color w:val="auto"/>
        </w:rPr>
        <w:t xml:space="preserve">   </w:t>
      </w:r>
      <w:r w:rsidRPr="009D1037">
        <w:rPr>
          <w:rFonts w:ascii="Calibri" w:hAnsi="Calibri" w:hint="eastAsia"/>
          <w:color w:val="auto"/>
        </w:rPr>
        <w:t>S</w:t>
      </w:r>
      <w:r w:rsidRPr="009D1037">
        <w:rPr>
          <w:rFonts w:ascii="Calibri" w:hAnsi="Calibri" w:hint="eastAsia"/>
          <w:color w:val="auto"/>
        </w:rPr>
        <w:t>——透声面积，</w:t>
      </w:r>
      <w:r w:rsidRPr="009D1037">
        <w:rPr>
          <w:rFonts w:ascii="Calibri" w:hAnsi="Calibri" w:hint="eastAsia"/>
          <w:color w:val="auto"/>
        </w:rPr>
        <w:t>m</w:t>
      </w:r>
      <w:r w:rsidRPr="009D1037">
        <w:rPr>
          <w:rFonts w:ascii="Calibri" w:hAnsi="Calibri" w:hint="eastAsia"/>
          <w:color w:val="auto"/>
          <w:vertAlign w:val="superscript"/>
        </w:rPr>
        <w:t>2</w:t>
      </w:r>
      <w:r w:rsidRPr="009D1037">
        <w:rPr>
          <w:rFonts w:ascii="Calibri" w:hAnsi="Calibri" w:hint="eastAsia"/>
          <w:color w:val="auto"/>
        </w:rPr>
        <w:t>。</w:t>
      </w:r>
    </w:p>
    <w:p w14:paraId="633B69CD" w14:textId="77777777" w:rsidR="00587A72" w:rsidRPr="009D1037" w:rsidRDefault="00587A72" w:rsidP="00587A72">
      <w:pPr>
        <w:pStyle w:val="00"/>
        <w:jc w:val="left"/>
        <w:rPr>
          <w:rFonts w:ascii="Calibri" w:hAnsi="Calibri"/>
          <w:color w:val="auto"/>
        </w:rPr>
      </w:pPr>
      <w:r w:rsidRPr="009D1037">
        <w:rPr>
          <w:rFonts w:ascii="Calibri" w:hAnsi="Calibri" w:hint="eastAsia"/>
          <w:color w:val="auto"/>
        </w:rPr>
        <w:t>如果声源处于半自由声场，则预测点处声压级计算公式如下：</w:t>
      </w:r>
    </w:p>
    <w:p w14:paraId="7956BE34" w14:textId="77777777" w:rsidR="00587A72" w:rsidRPr="009D1037" w:rsidRDefault="00587A72" w:rsidP="00587A72">
      <w:pPr>
        <w:pStyle w:val="00"/>
        <w:jc w:val="left"/>
        <w:rPr>
          <w:rFonts w:ascii="Calibri" w:hAnsi="Calibri"/>
          <w:color w:val="auto"/>
        </w:rPr>
      </w:pPr>
      <w:r w:rsidRPr="009D1037">
        <w:rPr>
          <w:rFonts w:ascii="Calibri" w:hAnsi="Calibri" w:hint="eastAsia"/>
          <w:color w:val="auto"/>
        </w:rPr>
        <w:t xml:space="preserve">      Lp</w:t>
      </w:r>
      <w:r w:rsidRPr="009D1037">
        <w:rPr>
          <w:rFonts w:ascii="Calibri" w:hAnsi="Calibri" w:hint="eastAsia"/>
          <w:color w:val="auto"/>
        </w:rPr>
        <w:t>（</w:t>
      </w:r>
      <w:r w:rsidRPr="009D1037">
        <w:rPr>
          <w:rFonts w:ascii="Calibri" w:hAnsi="Calibri" w:hint="eastAsia"/>
          <w:color w:val="auto"/>
        </w:rPr>
        <w:t>r</w:t>
      </w:r>
      <w:r w:rsidRPr="009D1037">
        <w:rPr>
          <w:rFonts w:ascii="Calibri" w:hAnsi="Calibri" w:hint="eastAsia"/>
          <w:color w:val="auto"/>
        </w:rPr>
        <w:t>）</w:t>
      </w:r>
      <w:r w:rsidRPr="009D1037">
        <w:rPr>
          <w:rFonts w:ascii="Calibri" w:hAnsi="Calibri" w:hint="eastAsia"/>
          <w:color w:val="auto"/>
        </w:rPr>
        <w:t>=Lw-20lgr-8</w:t>
      </w:r>
    </w:p>
    <w:p w14:paraId="0FCBBDD7" w14:textId="77777777" w:rsidR="00587A72" w:rsidRPr="009D1037" w:rsidRDefault="00587A72" w:rsidP="00587A72">
      <w:pPr>
        <w:pStyle w:val="00"/>
        <w:jc w:val="left"/>
        <w:rPr>
          <w:rFonts w:ascii="Calibri" w:hAnsi="Calibri"/>
          <w:color w:val="auto"/>
        </w:rPr>
      </w:pPr>
      <w:r w:rsidRPr="009D1037">
        <w:rPr>
          <w:rFonts w:ascii="Calibri" w:hAnsi="Calibri" w:hint="eastAsia"/>
          <w:color w:val="auto"/>
        </w:rPr>
        <w:t>式中：</w:t>
      </w:r>
      <w:r w:rsidRPr="009D1037">
        <w:rPr>
          <w:rFonts w:ascii="Calibri" w:hAnsi="Calibri" w:hint="eastAsia"/>
          <w:color w:val="auto"/>
        </w:rPr>
        <w:t>Lp</w:t>
      </w:r>
      <w:r w:rsidRPr="009D1037">
        <w:rPr>
          <w:rFonts w:ascii="Calibri" w:hAnsi="Calibri" w:hint="eastAsia"/>
          <w:color w:val="auto"/>
        </w:rPr>
        <w:t>（</w:t>
      </w:r>
      <w:r w:rsidRPr="009D1037">
        <w:rPr>
          <w:rFonts w:ascii="Calibri" w:hAnsi="Calibri" w:hint="eastAsia"/>
          <w:color w:val="auto"/>
        </w:rPr>
        <w:t>r</w:t>
      </w:r>
      <w:r w:rsidRPr="009D1037">
        <w:rPr>
          <w:rFonts w:ascii="Calibri" w:hAnsi="Calibri" w:hint="eastAsia"/>
          <w:color w:val="auto"/>
        </w:rPr>
        <w:t>）——预测点处声压级，</w:t>
      </w:r>
      <w:r w:rsidRPr="009D1037">
        <w:rPr>
          <w:rFonts w:ascii="Calibri" w:hAnsi="Calibri" w:hint="eastAsia"/>
          <w:color w:val="auto"/>
        </w:rPr>
        <w:t>dB</w:t>
      </w:r>
      <w:r w:rsidRPr="009D1037">
        <w:rPr>
          <w:rFonts w:ascii="Calibri" w:hAnsi="Calibri" w:hint="eastAsia"/>
          <w:color w:val="auto"/>
        </w:rPr>
        <w:t>；</w:t>
      </w:r>
    </w:p>
    <w:p w14:paraId="163E98C8" w14:textId="77777777" w:rsidR="00587A72" w:rsidRPr="009D1037" w:rsidRDefault="00587A72" w:rsidP="00587A72">
      <w:pPr>
        <w:pStyle w:val="00"/>
        <w:jc w:val="left"/>
        <w:rPr>
          <w:rFonts w:ascii="Calibri" w:hAnsi="Calibri"/>
          <w:color w:val="auto"/>
        </w:rPr>
      </w:pPr>
      <w:r w:rsidRPr="009D1037">
        <w:rPr>
          <w:rFonts w:ascii="Calibri" w:hAnsi="Calibri" w:hint="eastAsia"/>
          <w:color w:val="auto"/>
        </w:rPr>
        <w:t xml:space="preserve">      Lw</w:t>
      </w:r>
      <w:r w:rsidRPr="009D1037">
        <w:rPr>
          <w:rFonts w:ascii="Calibri" w:hAnsi="Calibri" w:hint="eastAsia"/>
          <w:color w:val="auto"/>
        </w:rPr>
        <w:t>——由点声源产生的倍频带声功率级，</w:t>
      </w:r>
      <w:r w:rsidRPr="009D1037">
        <w:rPr>
          <w:rFonts w:ascii="Calibri" w:hAnsi="Calibri" w:hint="eastAsia"/>
          <w:color w:val="auto"/>
        </w:rPr>
        <w:t>dB</w:t>
      </w:r>
      <w:r w:rsidRPr="009D1037">
        <w:rPr>
          <w:rFonts w:ascii="Calibri" w:hAnsi="Calibri" w:hint="eastAsia"/>
          <w:color w:val="auto"/>
        </w:rPr>
        <w:t>；</w:t>
      </w:r>
    </w:p>
    <w:p w14:paraId="7A77E28E" w14:textId="77777777" w:rsidR="00587A72" w:rsidRPr="005B46AF" w:rsidRDefault="00587A72" w:rsidP="00587A72">
      <w:pPr>
        <w:pStyle w:val="00"/>
        <w:jc w:val="left"/>
        <w:rPr>
          <w:rFonts w:ascii="Calibri" w:hAnsi="Calibri"/>
          <w:color w:val="auto"/>
        </w:rPr>
      </w:pPr>
      <w:r w:rsidRPr="009D1037">
        <w:rPr>
          <w:rFonts w:ascii="Calibri" w:hAnsi="Calibri" w:hint="eastAsia"/>
          <w:color w:val="auto"/>
        </w:rPr>
        <w:t xml:space="preserve">      r</w:t>
      </w:r>
      <w:r w:rsidRPr="009D1037">
        <w:rPr>
          <w:rFonts w:ascii="Calibri" w:hAnsi="Calibri" w:hint="eastAsia"/>
          <w:color w:val="auto"/>
        </w:rPr>
        <w:t>——预测点距声源的距离，</w:t>
      </w:r>
      <w:r w:rsidRPr="009D1037">
        <w:rPr>
          <w:rFonts w:ascii="Calibri" w:hAnsi="Calibri" w:hint="eastAsia"/>
          <w:color w:val="auto"/>
        </w:rPr>
        <w:t>m</w:t>
      </w:r>
      <w:r w:rsidRPr="009D1037">
        <w:rPr>
          <w:rFonts w:ascii="Calibri" w:hAnsi="Calibri" w:hint="eastAsia"/>
          <w:color w:val="auto"/>
        </w:rPr>
        <w:t>。</w:t>
      </w:r>
    </w:p>
    <w:p w14:paraId="643B60BD" w14:textId="77777777" w:rsidR="00587A72" w:rsidRPr="00C57452" w:rsidRDefault="00587A72" w:rsidP="00587A72">
      <w:pPr>
        <w:pStyle w:val="00"/>
        <w:jc w:val="left"/>
        <w:rPr>
          <w:rFonts w:ascii="Calibri" w:hAnsi="Calibri"/>
          <w:b/>
          <w:color w:val="auto"/>
        </w:rPr>
      </w:pPr>
      <w:r w:rsidRPr="00C57452">
        <w:rPr>
          <w:rFonts w:ascii="Calibri" w:hAnsi="Calibri" w:hint="eastAsia"/>
          <w:b/>
          <w:color w:val="auto"/>
        </w:rPr>
        <w:t>2</w:t>
      </w:r>
      <w:r w:rsidRPr="00C57452">
        <w:rPr>
          <w:rFonts w:ascii="Calibri" w:hAnsi="Calibri" w:hint="eastAsia"/>
          <w:b/>
          <w:color w:val="auto"/>
        </w:rPr>
        <w:t>、</w:t>
      </w:r>
      <w:r w:rsidRPr="00C57452">
        <w:rPr>
          <w:rFonts w:ascii="Calibri" w:hAnsi="Calibri"/>
          <w:b/>
          <w:color w:val="auto"/>
        </w:rPr>
        <w:t>项目</w:t>
      </w:r>
      <w:r w:rsidRPr="00C57452">
        <w:rPr>
          <w:rFonts w:ascii="Calibri" w:hAnsi="Calibri" w:hint="eastAsia"/>
          <w:b/>
          <w:color w:val="auto"/>
        </w:rPr>
        <w:t>噪声源调查</w:t>
      </w:r>
    </w:p>
    <w:p w14:paraId="54FB15F0" w14:textId="77777777" w:rsidR="006D3271" w:rsidRPr="00587A72" w:rsidRDefault="00587A72" w:rsidP="0055605A">
      <w:pPr>
        <w:pStyle w:val="00"/>
        <w:jc w:val="left"/>
        <w:rPr>
          <w:rFonts w:ascii="Calibri" w:hAnsi="Calibri"/>
          <w:color w:val="auto"/>
        </w:rPr>
      </w:pPr>
      <w:r>
        <w:rPr>
          <w:rFonts w:ascii="Calibri" w:hAnsi="Calibri" w:hint="eastAsia"/>
          <w:color w:val="auto"/>
        </w:rPr>
        <w:t>本项目一期</w:t>
      </w:r>
      <w:r>
        <w:rPr>
          <w:rFonts w:ascii="Calibri" w:hAnsi="Calibri"/>
          <w:color w:val="auto"/>
        </w:rPr>
        <w:t>工程</w:t>
      </w:r>
      <w:r>
        <w:rPr>
          <w:rFonts w:ascii="Calibri" w:hAnsi="Calibri" w:hint="eastAsia"/>
          <w:color w:val="auto"/>
        </w:rPr>
        <w:t>室内</w:t>
      </w:r>
      <w:r>
        <w:rPr>
          <w:rFonts w:ascii="Calibri" w:hAnsi="Calibri"/>
          <w:color w:val="auto"/>
        </w:rPr>
        <w:t>噪声</w:t>
      </w:r>
      <w:r>
        <w:rPr>
          <w:rFonts w:ascii="Calibri" w:hAnsi="Calibri" w:hint="eastAsia"/>
          <w:color w:val="auto"/>
        </w:rPr>
        <w:t>源强</w:t>
      </w:r>
      <w:r>
        <w:rPr>
          <w:rFonts w:ascii="Calibri" w:hAnsi="Calibri"/>
          <w:color w:val="auto"/>
        </w:rPr>
        <w:t>见表</w:t>
      </w:r>
      <w:r w:rsidRPr="00964557">
        <w:rPr>
          <w:rFonts w:ascii="Calibri" w:hAnsi="Calibri"/>
          <w:color w:val="auto"/>
        </w:rPr>
        <w:t>2</w:t>
      </w:r>
      <w:r w:rsidRPr="00964557">
        <w:rPr>
          <w:rFonts w:ascii="Calibri" w:hAnsi="Calibri" w:hint="eastAsia"/>
          <w:color w:val="auto"/>
        </w:rPr>
        <w:t>.3</w:t>
      </w:r>
      <w:r w:rsidRPr="00964557">
        <w:rPr>
          <w:rFonts w:ascii="Calibri" w:hAnsi="Calibri"/>
          <w:color w:val="auto"/>
        </w:rPr>
        <w:t>-</w:t>
      </w:r>
      <w:r w:rsidR="000D53E8">
        <w:rPr>
          <w:rFonts w:ascii="Calibri" w:hAnsi="Calibri"/>
          <w:color w:val="auto"/>
        </w:rPr>
        <w:t>21</w:t>
      </w:r>
      <w:r>
        <w:rPr>
          <w:rFonts w:ascii="Calibri" w:hAnsi="Calibri" w:hint="eastAsia"/>
          <w:color w:val="auto"/>
        </w:rPr>
        <w:t>，室外</w:t>
      </w:r>
      <w:r>
        <w:rPr>
          <w:rFonts w:ascii="Calibri" w:hAnsi="Calibri"/>
          <w:color w:val="auto"/>
        </w:rPr>
        <w:t>噪声</w:t>
      </w:r>
      <w:r>
        <w:rPr>
          <w:rFonts w:ascii="Calibri" w:hAnsi="Calibri" w:hint="eastAsia"/>
          <w:color w:val="auto"/>
        </w:rPr>
        <w:t>源强</w:t>
      </w:r>
      <w:r>
        <w:rPr>
          <w:rFonts w:ascii="Calibri" w:hAnsi="Calibri"/>
          <w:color w:val="auto"/>
        </w:rPr>
        <w:t>见表</w:t>
      </w:r>
      <w:r w:rsidRPr="00964557">
        <w:rPr>
          <w:rFonts w:ascii="Calibri" w:hAnsi="Calibri"/>
          <w:color w:val="auto"/>
        </w:rPr>
        <w:t>2</w:t>
      </w:r>
      <w:r w:rsidRPr="00964557">
        <w:rPr>
          <w:rFonts w:ascii="Calibri" w:hAnsi="Calibri" w:hint="eastAsia"/>
          <w:color w:val="auto"/>
        </w:rPr>
        <w:t>.3</w:t>
      </w:r>
      <w:r w:rsidRPr="00964557">
        <w:rPr>
          <w:rFonts w:ascii="Calibri" w:hAnsi="Calibri"/>
          <w:color w:val="auto"/>
        </w:rPr>
        <w:t>-</w:t>
      </w:r>
      <w:r>
        <w:rPr>
          <w:rFonts w:ascii="Calibri" w:hAnsi="Calibri"/>
          <w:color w:val="auto"/>
        </w:rPr>
        <w:t>2</w:t>
      </w:r>
      <w:r w:rsidR="000D53E8">
        <w:rPr>
          <w:rFonts w:ascii="Calibri" w:hAnsi="Calibri"/>
          <w:color w:val="auto"/>
        </w:rPr>
        <w:t>2</w:t>
      </w:r>
      <w:r>
        <w:rPr>
          <w:rFonts w:ascii="Calibri" w:hAnsi="Calibri" w:hint="eastAsia"/>
          <w:color w:val="auto"/>
        </w:rPr>
        <w:t>；二期</w:t>
      </w:r>
      <w:r>
        <w:rPr>
          <w:rFonts w:ascii="Calibri" w:hAnsi="Calibri"/>
          <w:color w:val="auto"/>
        </w:rPr>
        <w:t>工程</w:t>
      </w:r>
      <w:r>
        <w:rPr>
          <w:rFonts w:ascii="Calibri" w:hAnsi="Calibri" w:hint="eastAsia"/>
          <w:color w:val="auto"/>
        </w:rPr>
        <w:t>室内</w:t>
      </w:r>
      <w:r>
        <w:rPr>
          <w:rFonts w:ascii="Calibri" w:hAnsi="Calibri"/>
          <w:color w:val="auto"/>
        </w:rPr>
        <w:t>噪声</w:t>
      </w:r>
      <w:r>
        <w:rPr>
          <w:rFonts w:ascii="Calibri" w:hAnsi="Calibri" w:hint="eastAsia"/>
          <w:color w:val="auto"/>
        </w:rPr>
        <w:t>源强</w:t>
      </w:r>
      <w:r>
        <w:rPr>
          <w:rFonts w:ascii="Calibri" w:hAnsi="Calibri"/>
          <w:color w:val="auto"/>
        </w:rPr>
        <w:t>见表</w:t>
      </w:r>
      <w:r w:rsidRPr="00964557">
        <w:rPr>
          <w:rFonts w:ascii="Calibri" w:hAnsi="Calibri"/>
          <w:color w:val="auto"/>
        </w:rPr>
        <w:t>2</w:t>
      </w:r>
      <w:r w:rsidRPr="00964557">
        <w:rPr>
          <w:rFonts w:ascii="Calibri" w:hAnsi="Calibri" w:hint="eastAsia"/>
          <w:color w:val="auto"/>
        </w:rPr>
        <w:t>.3</w:t>
      </w:r>
      <w:r w:rsidRPr="00964557">
        <w:rPr>
          <w:rFonts w:ascii="Calibri" w:hAnsi="Calibri"/>
          <w:color w:val="auto"/>
        </w:rPr>
        <w:t>-</w:t>
      </w:r>
      <w:r w:rsidR="000D53E8">
        <w:rPr>
          <w:rFonts w:ascii="Calibri" w:hAnsi="Calibri"/>
          <w:color w:val="auto"/>
        </w:rPr>
        <w:t>23</w:t>
      </w:r>
      <w:r>
        <w:rPr>
          <w:rFonts w:ascii="Calibri" w:hAnsi="Calibri" w:hint="eastAsia"/>
          <w:color w:val="auto"/>
        </w:rPr>
        <w:t>，室外</w:t>
      </w:r>
      <w:r>
        <w:rPr>
          <w:rFonts w:ascii="Calibri" w:hAnsi="Calibri"/>
          <w:color w:val="auto"/>
        </w:rPr>
        <w:t>噪声</w:t>
      </w:r>
      <w:r>
        <w:rPr>
          <w:rFonts w:ascii="Calibri" w:hAnsi="Calibri" w:hint="eastAsia"/>
          <w:color w:val="auto"/>
        </w:rPr>
        <w:t>源强</w:t>
      </w:r>
      <w:r>
        <w:rPr>
          <w:rFonts w:ascii="Calibri" w:hAnsi="Calibri"/>
          <w:color w:val="auto"/>
        </w:rPr>
        <w:t>见表</w:t>
      </w:r>
      <w:r w:rsidRPr="00964557">
        <w:rPr>
          <w:rFonts w:ascii="Calibri" w:hAnsi="Calibri"/>
          <w:color w:val="auto"/>
        </w:rPr>
        <w:t>2</w:t>
      </w:r>
      <w:r w:rsidRPr="00964557">
        <w:rPr>
          <w:rFonts w:ascii="Calibri" w:hAnsi="Calibri" w:hint="eastAsia"/>
          <w:color w:val="auto"/>
        </w:rPr>
        <w:t>.3</w:t>
      </w:r>
      <w:r w:rsidRPr="00964557">
        <w:rPr>
          <w:rFonts w:ascii="Calibri" w:hAnsi="Calibri"/>
          <w:color w:val="auto"/>
        </w:rPr>
        <w:t>-</w:t>
      </w:r>
      <w:r w:rsidR="000D53E8">
        <w:rPr>
          <w:rFonts w:ascii="Calibri" w:hAnsi="Calibri"/>
          <w:color w:val="auto"/>
        </w:rPr>
        <w:t>24</w:t>
      </w:r>
      <w:r>
        <w:rPr>
          <w:rFonts w:ascii="Calibri" w:hAnsi="Calibri" w:hint="eastAsia"/>
          <w:color w:val="auto"/>
        </w:rPr>
        <w:t>。</w:t>
      </w:r>
    </w:p>
    <w:p w14:paraId="3F858BE1" w14:textId="77777777" w:rsidR="006D3271" w:rsidRPr="000D53E8" w:rsidRDefault="006D3271" w:rsidP="0055605A">
      <w:pPr>
        <w:pStyle w:val="00"/>
        <w:jc w:val="left"/>
        <w:rPr>
          <w:rFonts w:ascii="Calibri" w:hAnsi="Calibri"/>
          <w:color w:val="auto"/>
        </w:rPr>
      </w:pPr>
    </w:p>
    <w:p w14:paraId="0153FB9A" w14:textId="77777777" w:rsidR="006D3271" w:rsidRPr="003C3DBE" w:rsidRDefault="006D3271" w:rsidP="0055605A">
      <w:pPr>
        <w:pStyle w:val="00"/>
        <w:jc w:val="left"/>
        <w:rPr>
          <w:rFonts w:ascii="Calibri" w:hAnsi="Calibri"/>
          <w:color w:val="auto"/>
        </w:rPr>
      </w:pPr>
    </w:p>
    <w:p w14:paraId="0DE7F3A7" w14:textId="77777777" w:rsidR="006D3271" w:rsidRDefault="006D3271" w:rsidP="0055605A">
      <w:pPr>
        <w:pStyle w:val="00"/>
        <w:jc w:val="left"/>
        <w:rPr>
          <w:rFonts w:ascii="Calibri" w:hAnsi="Calibri"/>
          <w:color w:val="auto"/>
        </w:rPr>
      </w:pPr>
    </w:p>
    <w:p w14:paraId="167B03B2" w14:textId="77777777" w:rsidR="006D3271" w:rsidRDefault="006D3271" w:rsidP="0055605A">
      <w:pPr>
        <w:pStyle w:val="00"/>
        <w:jc w:val="left"/>
        <w:rPr>
          <w:rFonts w:ascii="Calibri" w:hAnsi="Calibri"/>
          <w:color w:val="auto"/>
        </w:rPr>
      </w:pPr>
    </w:p>
    <w:p w14:paraId="08498139" w14:textId="77777777" w:rsidR="006D3271" w:rsidRDefault="006D3271" w:rsidP="0055605A">
      <w:pPr>
        <w:pStyle w:val="00"/>
        <w:jc w:val="left"/>
        <w:rPr>
          <w:rFonts w:ascii="Calibri" w:hAnsi="Calibri"/>
          <w:color w:val="auto"/>
        </w:rPr>
      </w:pPr>
    </w:p>
    <w:p w14:paraId="06EF105C" w14:textId="77777777" w:rsidR="006D3271" w:rsidRDefault="006D3271" w:rsidP="0055605A">
      <w:pPr>
        <w:pStyle w:val="00"/>
        <w:jc w:val="left"/>
        <w:rPr>
          <w:rFonts w:ascii="Calibri" w:hAnsi="Calibri"/>
          <w:color w:val="auto"/>
        </w:rPr>
      </w:pPr>
    </w:p>
    <w:p w14:paraId="1C534E70" w14:textId="77777777" w:rsidR="00587A72" w:rsidRDefault="00587A72" w:rsidP="0055605A">
      <w:pPr>
        <w:pStyle w:val="00"/>
        <w:jc w:val="left"/>
        <w:rPr>
          <w:rFonts w:ascii="Calibri" w:hAnsi="Calibri"/>
          <w:color w:val="auto"/>
        </w:rPr>
        <w:sectPr w:rsidR="00587A72" w:rsidSect="00CC0381">
          <w:pgSz w:w="11906" w:h="16838" w:code="9"/>
          <w:pgMar w:top="1440" w:right="1588" w:bottom="1440" w:left="1588" w:header="851" w:footer="992" w:gutter="0"/>
          <w:cols w:space="720"/>
          <w:docGrid w:linePitch="312"/>
        </w:sectPr>
      </w:pPr>
    </w:p>
    <w:p w14:paraId="42F4D293" w14:textId="77777777" w:rsidR="003C3DBE" w:rsidRPr="00964557" w:rsidRDefault="003C3DBE" w:rsidP="003C3DBE">
      <w:pPr>
        <w:spacing w:line="520" w:lineRule="exact"/>
        <w:ind w:firstLineChars="200" w:firstLine="480"/>
        <w:jc w:val="left"/>
        <w:rPr>
          <w:rFonts w:ascii="Calibri" w:eastAsia="黑体" w:hAnsi="Calibri"/>
          <w:bCs/>
          <w:color w:val="auto"/>
          <w:sz w:val="24"/>
        </w:rPr>
      </w:pPr>
      <w:r w:rsidRPr="00964557">
        <w:rPr>
          <w:rFonts w:ascii="Calibri" w:eastAsia="黑体" w:hAnsi="Calibri" w:hint="eastAsia"/>
          <w:bCs/>
          <w:color w:val="auto"/>
          <w:sz w:val="24"/>
        </w:rPr>
        <w:lastRenderedPageBreak/>
        <w:t>表</w:t>
      </w:r>
      <w:r w:rsidRPr="00964557">
        <w:rPr>
          <w:rFonts w:ascii="Calibri" w:eastAsia="黑体" w:hAnsi="Calibri"/>
          <w:bCs/>
          <w:color w:val="auto"/>
          <w:sz w:val="24"/>
        </w:rPr>
        <w:t>2</w:t>
      </w:r>
      <w:r w:rsidRPr="00964557">
        <w:rPr>
          <w:rFonts w:ascii="Calibri" w:eastAsia="黑体" w:hAnsi="Calibri" w:hint="eastAsia"/>
          <w:bCs/>
          <w:color w:val="auto"/>
          <w:sz w:val="24"/>
        </w:rPr>
        <w:t>.3</w:t>
      </w:r>
      <w:r w:rsidRPr="00964557">
        <w:rPr>
          <w:rFonts w:ascii="Calibri" w:eastAsia="黑体" w:hAnsi="Calibri"/>
          <w:bCs/>
          <w:color w:val="auto"/>
          <w:sz w:val="24"/>
        </w:rPr>
        <w:t>-</w:t>
      </w:r>
      <w:r w:rsidR="000D53E8">
        <w:rPr>
          <w:rFonts w:ascii="Calibri" w:eastAsia="黑体" w:hAnsi="Calibri"/>
          <w:bCs/>
          <w:color w:val="auto"/>
          <w:sz w:val="24"/>
        </w:rPr>
        <w:t>21</w:t>
      </w:r>
      <w:r w:rsidRPr="00964557">
        <w:rPr>
          <w:rFonts w:ascii="Calibri" w:eastAsia="黑体" w:hAnsi="Calibri"/>
          <w:bCs/>
          <w:color w:val="auto"/>
          <w:sz w:val="24"/>
        </w:rPr>
        <w:t xml:space="preserve">           </w:t>
      </w:r>
      <w:r>
        <w:rPr>
          <w:rFonts w:ascii="Calibri" w:eastAsia="黑体" w:hAnsi="Calibri"/>
          <w:bCs/>
          <w:color w:val="auto"/>
          <w:sz w:val="24"/>
        </w:rPr>
        <w:t xml:space="preserve">                      </w:t>
      </w:r>
      <w:r>
        <w:rPr>
          <w:rFonts w:ascii="Calibri" w:eastAsia="黑体" w:hAnsi="Calibri" w:hint="eastAsia"/>
          <w:bCs/>
          <w:color w:val="auto"/>
          <w:sz w:val="24"/>
        </w:rPr>
        <w:t>本项目一期工程室内</w:t>
      </w:r>
      <w:r>
        <w:rPr>
          <w:rFonts w:ascii="Calibri" w:eastAsia="黑体" w:hAnsi="Calibri"/>
          <w:bCs/>
          <w:color w:val="auto"/>
          <w:sz w:val="24"/>
        </w:rPr>
        <w:t>噪声</w:t>
      </w:r>
      <w:r>
        <w:rPr>
          <w:rFonts w:ascii="Calibri" w:eastAsia="黑体" w:hAnsi="Calibri" w:hint="eastAsia"/>
          <w:bCs/>
          <w:color w:val="auto"/>
          <w:sz w:val="24"/>
        </w:rPr>
        <w:t>源强</w:t>
      </w:r>
      <w:r>
        <w:rPr>
          <w:rFonts w:ascii="Calibri" w:eastAsia="黑体" w:hAnsi="Calibri"/>
          <w:bCs/>
          <w:color w:val="auto"/>
          <w:sz w:val="24"/>
        </w:rPr>
        <w:t>调查清单</w:t>
      </w:r>
    </w:p>
    <w:tbl>
      <w:tblPr>
        <w:tblW w:w="4967" w:type="pct"/>
        <w:tblInd w:w="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938"/>
        <w:gridCol w:w="2126"/>
        <w:gridCol w:w="789"/>
        <w:gridCol w:w="850"/>
        <w:gridCol w:w="1139"/>
        <w:gridCol w:w="837"/>
        <w:gridCol w:w="836"/>
        <w:gridCol w:w="698"/>
        <w:gridCol w:w="698"/>
        <w:gridCol w:w="697"/>
        <w:gridCol w:w="1252"/>
        <w:gridCol w:w="837"/>
        <w:gridCol w:w="836"/>
        <w:gridCol w:w="776"/>
      </w:tblGrid>
      <w:tr w:rsidR="003C3DBE" w:rsidRPr="00964557" w14:paraId="4A3308AB" w14:textId="77777777" w:rsidTr="003C3DBE">
        <w:trPr>
          <w:trHeight w:val="340"/>
        </w:trPr>
        <w:tc>
          <w:tcPr>
            <w:tcW w:w="527" w:type="dxa"/>
            <w:vMerge w:val="restart"/>
            <w:vAlign w:val="center"/>
          </w:tcPr>
          <w:p w14:paraId="453F3638" w14:textId="77777777" w:rsidR="003C3DBE" w:rsidRPr="00964557" w:rsidRDefault="003C3DBE" w:rsidP="006F687F">
            <w:pPr>
              <w:jc w:val="center"/>
              <w:rPr>
                <w:rFonts w:ascii="Calibri" w:hAnsi="Calibri"/>
                <w:bCs/>
                <w:color w:val="auto"/>
                <w:szCs w:val="21"/>
              </w:rPr>
            </w:pPr>
            <w:r w:rsidRPr="00964557">
              <w:rPr>
                <w:rFonts w:ascii="Calibri" w:hAnsi="Calibri" w:hint="eastAsia"/>
                <w:bCs/>
                <w:color w:val="auto"/>
                <w:szCs w:val="21"/>
              </w:rPr>
              <w:t>序号</w:t>
            </w:r>
          </w:p>
        </w:tc>
        <w:tc>
          <w:tcPr>
            <w:tcW w:w="938" w:type="dxa"/>
            <w:vMerge w:val="restart"/>
            <w:vAlign w:val="center"/>
          </w:tcPr>
          <w:p w14:paraId="250FD837" w14:textId="77777777" w:rsidR="003C3DBE" w:rsidRDefault="003C3DBE" w:rsidP="006F687F">
            <w:pPr>
              <w:jc w:val="center"/>
              <w:rPr>
                <w:rFonts w:ascii="Calibri" w:hAnsi="Calibri"/>
                <w:bCs/>
                <w:color w:val="auto"/>
                <w:szCs w:val="21"/>
              </w:rPr>
            </w:pPr>
            <w:r>
              <w:rPr>
                <w:rFonts w:ascii="Calibri" w:hAnsi="Calibri" w:hint="eastAsia"/>
                <w:bCs/>
                <w:color w:val="auto"/>
                <w:szCs w:val="21"/>
              </w:rPr>
              <w:t>建筑物</w:t>
            </w:r>
          </w:p>
          <w:p w14:paraId="6BE66F99" w14:textId="77777777" w:rsidR="003C3DBE" w:rsidRPr="00964557" w:rsidRDefault="003C3DBE" w:rsidP="006F687F">
            <w:pPr>
              <w:jc w:val="center"/>
              <w:rPr>
                <w:rFonts w:ascii="Calibri" w:hAnsi="Calibri"/>
                <w:bCs/>
                <w:color w:val="auto"/>
                <w:szCs w:val="21"/>
              </w:rPr>
            </w:pPr>
            <w:r>
              <w:rPr>
                <w:rFonts w:ascii="Calibri" w:hAnsi="Calibri"/>
                <w:bCs/>
                <w:color w:val="auto"/>
                <w:szCs w:val="21"/>
              </w:rPr>
              <w:t>名称</w:t>
            </w:r>
          </w:p>
        </w:tc>
        <w:tc>
          <w:tcPr>
            <w:tcW w:w="2126" w:type="dxa"/>
            <w:vMerge w:val="restart"/>
            <w:vAlign w:val="center"/>
          </w:tcPr>
          <w:p w14:paraId="02543493"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声源</w:t>
            </w:r>
            <w:r>
              <w:rPr>
                <w:rFonts w:ascii="Calibri" w:hAnsi="Calibri"/>
                <w:bCs/>
                <w:color w:val="auto"/>
                <w:szCs w:val="21"/>
              </w:rPr>
              <w:t>名称</w:t>
            </w:r>
          </w:p>
        </w:tc>
        <w:tc>
          <w:tcPr>
            <w:tcW w:w="789" w:type="dxa"/>
            <w:vMerge w:val="restart"/>
            <w:vAlign w:val="center"/>
          </w:tcPr>
          <w:p w14:paraId="7371A5C5"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型号</w:t>
            </w:r>
          </w:p>
        </w:tc>
        <w:tc>
          <w:tcPr>
            <w:tcW w:w="850" w:type="dxa"/>
            <w:vMerge w:val="restart"/>
            <w:vAlign w:val="center"/>
          </w:tcPr>
          <w:p w14:paraId="69F16383" w14:textId="77777777" w:rsidR="003C3DBE" w:rsidRPr="00964557" w:rsidRDefault="003C3DBE" w:rsidP="0026062E">
            <w:pPr>
              <w:jc w:val="center"/>
              <w:rPr>
                <w:rFonts w:ascii="Calibri" w:hAnsi="Calibri"/>
                <w:bCs/>
                <w:color w:val="auto"/>
                <w:szCs w:val="21"/>
              </w:rPr>
            </w:pPr>
            <w:r>
              <w:rPr>
                <w:rFonts w:ascii="Calibri" w:hAnsi="Calibri" w:hint="eastAsia"/>
                <w:bCs/>
                <w:color w:val="auto"/>
                <w:szCs w:val="21"/>
              </w:rPr>
              <w:t>声功率级</w:t>
            </w:r>
            <w:r>
              <w:rPr>
                <w:rFonts w:ascii="Calibri" w:hAnsi="Calibri" w:hint="eastAsia"/>
                <w:bCs/>
                <w:color w:val="auto"/>
                <w:szCs w:val="21"/>
              </w:rPr>
              <w:t>/dB</w:t>
            </w:r>
          </w:p>
        </w:tc>
        <w:tc>
          <w:tcPr>
            <w:tcW w:w="1139" w:type="dxa"/>
            <w:vMerge w:val="restart"/>
            <w:vAlign w:val="center"/>
          </w:tcPr>
          <w:p w14:paraId="6C838D8D"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声源</w:t>
            </w:r>
            <w:r>
              <w:rPr>
                <w:rFonts w:ascii="Calibri" w:hAnsi="Calibri"/>
                <w:bCs/>
                <w:color w:val="auto"/>
                <w:szCs w:val="21"/>
              </w:rPr>
              <w:t>控制措施</w:t>
            </w:r>
          </w:p>
        </w:tc>
        <w:tc>
          <w:tcPr>
            <w:tcW w:w="2371" w:type="dxa"/>
            <w:gridSpan w:val="3"/>
            <w:vAlign w:val="center"/>
          </w:tcPr>
          <w:p w14:paraId="0DDA48D2"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空间</w:t>
            </w:r>
            <w:r>
              <w:rPr>
                <w:rFonts w:ascii="Calibri" w:hAnsi="Calibri"/>
                <w:bCs/>
                <w:color w:val="auto"/>
                <w:szCs w:val="21"/>
              </w:rPr>
              <w:t>相对位置</w:t>
            </w:r>
            <w:r>
              <w:rPr>
                <w:rFonts w:ascii="Calibri" w:hAnsi="Calibri" w:hint="eastAsia"/>
                <w:bCs/>
                <w:color w:val="auto"/>
                <w:szCs w:val="21"/>
              </w:rPr>
              <w:t>/</w:t>
            </w:r>
            <w:r>
              <w:rPr>
                <w:rFonts w:ascii="Calibri" w:hAnsi="Calibri"/>
                <w:bCs/>
                <w:color w:val="auto"/>
                <w:szCs w:val="21"/>
              </w:rPr>
              <w:t>m</w:t>
            </w:r>
          </w:p>
        </w:tc>
        <w:tc>
          <w:tcPr>
            <w:tcW w:w="698" w:type="dxa"/>
            <w:vMerge w:val="restart"/>
            <w:vAlign w:val="center"/>
          </w:tcPr>
          <w:p w14:paraId="0A2857AA"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距室内</w:t>
            </w:r>
            <w:r>
              <w:rPr>
                <w:rFonts w:ascii="Calibri" w:hAnsi="Calibri"/>
                <w:bCs/>
                <w:color w:val="auto"/>
                <w:szCs w:val="21"/>
              </w:rPr>
              <w:t>边界距离</w:t>
            </w:r>
            <w:r>
              <w:rPr>
                <w:rFonts w:ascii="Calibri" w:hAnsi="Calibri" w:hint="eastAsia"/>
                <w:bCs/>
                <w:color w:val="auto"/>
                <w:szCs w:val="21"/>
              </w:rPr>
              <w:t>/</w:t>
            </w:r>
            <w:r>
              <w:rPr>
                <w:rFonts w:ascii="Calibri" w:hAnsi="Calibri"/>
                <w:bCs/>
                <w:color w:val="auto"/>
                <w:szCs w:val="21"/>
              </w:rPr>
              <w:t>m</w:t>
            </w:r>
          </w:p>
        </w:tc>
        <w:tc>
          <w:tcPr>
            <w:tcW w:w="697" w:type="dxa"/>
            <w:vMerge w:val="restart"/>
            <w:vAlign w:val="center"/>
          </w:tcPr>
          <w:p w14:paraId="48B7D126"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室内边界声级</w:t>
            </w:r>
            <w:r>
              <w:rPr>
                <w:rFonts w:ascii="Calibri" w:hAnsi="Calibri" w:hint="eastAsia"/>
                <w:bCs/>
                <w:color w:val="auto"/>
                <w:szCs w:val="21"/>
              </w:rPr>
              <w:t>/dB</w:t>
            </w:r>
            <w:r>
              <w:rPr>
                <w:rFonts w:ascii="Calibri" w:hAnsi="Calibri" w:hint="eastAsia"/>
                <w:bCs/>
                <w:color w:val="auto"/>
                <w:szCs w:val="21"/>
              </w:rPr>
              <w:t>（</w:t>
            </w:r>
            <w:r>
              <w:rPr>
                <w:rFonts w:ascii="Calibri" w:hAnsi="Calibri" w:hint="eastAsia"/>
                <w:bCs/>
                <w:color w:val="auto"/>
                <w:szCs w:val="21"/>
              </w:rPr>
              <w:t>A</w:t>
            </w:r>
            <w:r>
              <w:rPr>
                <w:rFonts w:ascii="Calibri" w:hAnsi="Calibri" w:hint="eastAsia"/>
                <w:bCs/>
                <w:color w:val="auto"/>
                <w:szCs w:val="21"/>
              </w:rPr>
              <w:t>）</w:t>
            </w:r>
          </w:p>
        </w:tc>
        <w:tc>
          <w:tcPr>
            <w:tcW w:w="1252" w:type="dxa"/>
            <w:vMerge w:val="restart"/>
            <w:vAlign w:val="center"/>
          </w:tcPr>
          <w:p w14:paraId="4EDF8814"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运行</w:t>
            </w:r>
            <w:r>
              <w:rPr>
                <w:rFonts w:ascii="Calibri" w:hAnsi="Calibri"/>
                <w:bCs/>
                <w:color w:val="auto"/>
                <w:szCs w:val="21"/>
              </w:rPr>
              <w:t>时段</w:t>
            </w:r>
          </w:p>
        </w:tc>
        <w:tc>
          <w:tcPr>
            <w:tcW w:w="837" w:type="dxa"/>
            <w:vMerge w:val="restart"/>
            <w:vAlign w:val="center"/>
          </w:tcPr>
          <w:p w14:paraId="707448F8"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建筑物</w:t>
            </w:r>
            <w:r>
              <w:rPr>
                <w:rFonts w:ascii="Calibri" w:hAnsi="Calibri"/>
                <w:bCs/>
                <w:color w:val="auto"/>
                <w:szCs w:val="21"/>
              </w:rPr>
              <w:t>插入损失</w:t>
            </w:r>
            <w:r>
              <w:rPr>
                <w:rFonts w:ascii="Calibri" w:hAnsi="Calibri" w:hint="eastAsia"/>
                <w:bCs/>
                <w:color w:val="auto"/>
                <w:szCs w:val="21"/>
              </w:rPr>
              <w:t>/dB</w:t>
            </w:r>
            <w:r>
              <w:rPr>
                <w:rFonts w:ascii="Calibri" w:hAnsi="Calibri" w:hint="eastAsia"/>
                <w:bCs/>
                <w:color w:val="auto"/>
                <w:szCs w:val="21"/>
              </w:rPr>
              <w:t>（</w:t>
            </w:r>
            <w:r>
              <w:rPr>
                <w:rFonts w:ascii="Calibri" w:hAnsi="Calibri" w:hint="eastAsia"/>
                <w:bCs/>
                <w:color w:val="auto"/>
                <w:szCs w:val="21"/>
              </w:rPr>
              <w:t>A</w:t>
            </w:r>
            <w:r>
              <w:rPr>
                <w:rFonts w:ascii="Calibri" w:hAnsi="Calibri" w:hint="eastAsia"/>
                <w:bCs/>
                <w:color w:val="auto"/>
                <w:szCs w:val="21"/>
              </w:rPr>
              <w:t>）</w:t>
            </w:r>
          </w:p>
        </w:tc>
        <w:tc>
          <w:tcPr>
            <w:tcW w:w="1612" w:type="dxa"/>
            <w:gridSpan w:val="2"/>
            <w:vAlign w:val="center"/>
          </w:tcPr>
          <w:p w14:paraId="38204CE7" w14:textId="77777777" w:rsidR="003C3DBE" w:rsidRPr="002E39F2" w:rsidRDefault="003C3DBE" w:rsidP="006F687F">
            <w:pPr>
              <w:jc w:val="center"/>
              <w:rPr>
                <w:rFonts w:ascii="Calibri" w:hAnsi="Calibri"/>
                <w:bCs/>
                <w:color w:val="auto"/>
                <w:szCs w:val="21"/>
              </w:rPr>
            </w:pPr>
            <w:r w:rsidRPr="002E39F2">
              <w:rPr>
                <w:rFonts w:ascii="Calibri" w:hAnsi="Calibri" w:hint="eastAsia"/>
                <w:bCs/>
                <w:color w:val="auto"/>
                <w:szCs w:val="21"/>
              </w:rPr>
              <w:t>建筑物</w:t>
            </w:r>
            <w:r w:rsidRPr="002E39F2">
              <w:rPr>
                <w:rFonts w:ascii="Calibri" w:hAnsi="Calibri"/>
                <w:bCs/>
                <w:color w:val="auto"/>
                <w:szCs w:val="21"/>
              </w:rPr>
              <w:t>外噪声</w:t>
            </w:r>
          </w:p>
        </w:tc>
      </w:tr>
      <w:tr w:rsidR="003C3DBE" w:rsidRPr="00964557" w14:paraId="54337EA9" w14:textId="77777777" w:rsidTr="003C3DBE">
        <w:trPr>
          <w:trHeight w:val="340"/>
        </w:trPr>
        <w:tc>
          <w:tcPr>
            <w:tcW w:w="527" w:type="dxa"/>
            <w:vMerge/>
            <w:vAlign w:val="center"/>
          </w:tcPr>
          <w:p w14:paraId="22E05E4A" w14:textId="77777777" w:rsidR="003C3DBE" w:rsidRPr="00964557" w:rsidRDefault="003C3DBE" w:rsidP="006F687F">
            <w:pPr>
              <w:jc w:val="center"/>
              <w:rPr>
                <w:rFonts w:ascii="Calibri" w:hAnsi="Calibri"/>
                <w:bCs/>
                <w:color w:val="auto"/>
                <w:szCs w:val="21"/>
              </w:rPr>
            </w:pPr>
          </w:p>
        </w:tc>
        <w:tc>
          <w:tcPr>
            <w:tcW w:w="938" w:type="dxa"/>
            <w:vMerge/>
            <w:vAlign w:val="center"/>
          </w:tcPr>
          <w:p w14:paraId="148E1261" w14:textId="77777777" w:rsidR="003C3DBE" w:rsidRPr="00964557" w:rsidRDefault="003C3DBE" w:rsidP="006F687F">
            <w:pPr>
              <w:jc w:val="center"/>
              <w:rPr>
                <w:rFonts w:ascii="Calibri" w:hAnsi="Calibri"/>
                <w:bCs/>
                <w:color w:val="auto"/>
                <w:szCs w:val="21"/>
              </w:rPr>
            </w:pPr>
          </w:p>
        </w:tc>
        <w:tc>
          <w:tcPr>
            <w:tcW w:w="2126" w:type="dxa"/>
            <w:vMerge/>
            <w:vAlign w:val="center"/>
          </w:tcPr>
          <w:p w14:paraId="2963D062" w14:textId="77777777" w:rsidR="003C3DBE" w:rsidRPr="00964557" w:rsidRDefault="003C3DBE" w:rsidP="006F687F">
            <w:pPr>
              <w:jc w:val="center"/>
              <w:rPr>
                <w:rFonts w:ascii="Calibri" w:hAnsi="Calibri"/>
                <w:bCs/>
                <w:color w:val="auto"/>
                <w:szCs w:val="21"/>
              </w:rPr>
            </w:pPr>
          </w:p>
        </w:tc>
        <w:tc>
          <w:tcPr>
            <w:tcW w:w="789" w:type="dxa"/>
            <w:vMerge/>
            <w:vAlign w:val="center"/>
          </w:tcPr>
          <w:p w14:paraId="753DFB77" w14:textId="77777777" w:rsidR="003C3DBE" w:rsidRPr="00964557" w:rsidRDefault="003C3DBE" w:rsidP="006F687F">
            <w:pPr>
              <w:jc w:val="center"/>
              <w:rPr>
                <w:rFonts w:ascii="Calibri" w:hAnsi="Calibri"/>
                <w:bCs/>
                <w:color w:val="auto"/>
                <w:szCs w:val="21"/>
              </w:rPr>
            </w:pPr>
          </w:p>
        </w:tc>
        <w:tc>
          <w:tcPr>
            <w:tcW w:w="850" w:type="dxa"/>
            <w:vMerge/>
            <w:vAlign w:val="center"/>
          </w:tcPr>
          <w:p w14:paraId="65E50973" w14:textId="77777777" w:rsidR="003C3DBE" w:rsidRPr="00964557" w:rsidRDefault="003C3DBE" w:rsidP="006F687F">
            <w:pPr>
              <w:jc w:val="center"/>
              <w:rPr>
                <w:rFonts w:ascii="Calibri" w:hAnsi="Calibri"/>
                <w:bCs/>
                <w:color w:val="auto"/>
                <w:szCs w:val="21"/>
              </w:rPr>
            </w:pPr>
          </w:p>
        </w:tc>
        <w:tc>
          <w:tcPr>
            <w:tcW w:w="1139" w:type="dxa"/>
            <w:vMerge/>
            <w:vAlign w:val="center"/>
          </w:tcPr>
          <w:p w14:paraId="1EA87F7C" w14:textId="77777777" w:rsidR="003C3DBE" w:rsidRPr="00964557" w:rsidRDefault="003C3DBE" w:rsidP="006F687F">
            <w:pPr>
              <w:jc w:val="center"/>
              <w:rPr>
                <w:rFonts w:ascii="Calibri" w:hAnsi="Calibri"/>
                <w:bCs/>
                <w:color w:val="auto"/>
                <w:szCs w:val="21"/>
              </w:rPr>
            </w:pPr>
          </w:p>
        </w:tc>
        <w:tc>
          <w:tcPr>
            <w:tcW w:w="837" w:type="dxa"/>
            <w:vAlign w:val="center"/>
          </w:tcPr>
          <w:p w14:paraId="412F7171"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X</w:t>
            </w:r>
          </w:p>
        </w:tc>
        <w:tc>
          <w:tcPr>
            <w:tcW w:w="836" w:type="dxa"/>
            <w:vAlign w:val="center"/>
          </w:tcPr>
          <w:p w14:paraId="541FDB22"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y</w:t>
            </w:r>
          </w:p>
        </w:tc>
        <w:tc>
          <w:tcPr>
            <w:tcW w:w="698" w:type="dxa"/>
            <w:vAlign w:val="center"/>
          </w:tcPr>
          <w:p w14:paraId="65269472" w14:textId="77777777" w:rsidR="003C3DBE" w:rsidRPr="00964557" w:rsidRDefault="003C3DBE" w:rsidP="006F687F">
            <w:pPr>
              <w:jc w:val="center"/>
              <w:rPr>
                <w:rFonts w:ascii="Calibri" w:hAnsi="Calibri"/>
                <w:bCs/>
                <w:color w:val="auto"/>
                <w:szCs w:val="21"/>
              </w:rPr>
            </w:pPr>
            <w:r>
              <w:rPr>
                <w:rFonts w:ascii="Calibri" w:hAnsi="Calibri"/>
                <w:bCs/>
                <w:color w:val="auto"/>
                <w:szCs w:val="21"/>
              </w:rPr>
              <w:t>Z</w:t>
            </w:r>
          </w:p>
        </w:tc>
        <w:tc>
          <w:tcPr>
            <w:tcW w:w="698" w:type="dxa"/>
            <w:vMerge/>
            <w:vAlign w:val="center"/>
          </w:tcPr>
          <w:p w14:paraId="1419C53D" w14:textId="77777777" w:rsidR="003C3DBE" w:rsidRPr="00964557" w:rsidRDefault="003C3DBE" w:rsidP="006F687F">
            <w:pPr>
              <w:jc w:val="center"/>
              <w:rPr>
                <w:rFonts w:ascii="Calibri" w:hAnsi="Calibri"/>
                <w:bCs/>
                <w:color w:val="auto"/>
                <w:szCs w:val="21"/>
              </w:rPr>
            </w:pPr>
          </w:p>
        </w:tc>
        <w:tc>
          <w:tcPr>
            <w:tcW w:w="697" w:type="dxa"/>
            <w:vMerge/>
            <w:vAlign w:val="center"/>
          </w:tcPr>
          <w:p w14:paraId="3BB0773F" w14:textId="77777777" w:rsidR="003C3DBE" w:rsidRPr="00964557" w:rsidRDefault="003C3DBE" w:rsidP="006F687F">
            <w:pPr>
              <w:jc w:val="center"/>
              <w:rPr>
                <w:rFonts w:ascii="Calibri" w:hAnsi="Calibri"/>
                <w:bCs/>
                <w:color w:val="auto"/>
                <w:szCs w:val="21"/>
              </w:rPr>
            </w:pPr>
          </w:p>
        </w:tc>
        <w:tc>
          <w:tcPr>
            <w:tcW w:w="1252" w:type="dxa"/>
            <w:vMerge/>
            <w:vAlign w:val="center"/>
          </w:tcPr>
          <w:p w14:paraId="7BDB8DAA" w14:textId="77777777" w:rsidR="003C3DBE" w:rsidRPr="00964557" w:rsidRDefault="003C3DBE" w:rsidP="006F687F">
            <w:pPr>
              <w:jc w:val="center"/>
              <w:rPr>
                <w:rFonts w:ascii="Calibri" w:hAnsi="Calibri"/>
                <w:bCs/>
                <w:color w:val="auto"/>
                <w:szCs w:val="21"/>
              </w:rPr>
            </w:pPr>
          </w:p>
        </w:tc>
        <w:tc>
          <w:tcPr>
            <w:tcW w:w="837" w:type="dxa"/>
            <w:vMerge/>
            <w:vAlign w:val="center"/>
          </w:tcPr>
          <w:p w14:paraId="30D6B489" w14:textId="77777777" w:rsidR="003C3DBE" w:rsidRPr="00964557" w:rsidRDefault="003C3DBE" w:rsidP="006F687F">
            <w:pPr>
              <w:jc w:val="center"/>
              <w:rPr>
                <w:rFonts w:ascii="Calibri" w:hAnsi="Calibri"/>
                <w:bCs/>
                <w:color w:val="auto"/>
                <w:szCs w:val="21"/>
              </w:rPr>
            </w:pPr>
          </w:p>
        </w:tc>
        <w:tc>
          <w:tcPr>
            <w:tcW w:w="836" w:type="dxa"/>
            <w:vAlign w:val="center"/>
          </w:tcPr>
          <w:p w14:paraId="37D8B653"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声压级</w:t>
            </w:r>
            <w:r>
              <w:rPr>
                <w:rFonts w:ascii="Calibri" w:hAnsi="Calibri" w:hint="eastAsia"/>
                <w:bCs/>
                <w:color w:val="auto"/>
                <w:szCs w:val="21"/>
              </w:rPr>
              <w:t>/dB</w:t>
            </w:r>
            <w:r>
              <w:rPr>
                <w:rFonts w:ascii="Calibri" w:hAnsi="Calibri" w:hint="eastAsia"/>
                <w:bCs/>
                <w:color w:val="auto"/>
                <w:szCs w:val="21"/>
              </w:rPr>
              <w:t>（</w:t>
            </w:r>
            <w:r>
              <w:rPr>
                <w:rFonts w:ascii="Calibri" w:hAnsi="Calibri" w:hint="eastAsia"/>
                <w:bCs/>
                <w:color w:val="auto"/>
                <w:szCs w:val="21"/>
              </w:rPr>
              <w:t>A</w:t>
            </w:r>
            <w:r>
              <w:rPr>
                <w:rFonts w:ascii="Calibri" w:hAnsi="Calibri" w:hint="eastAsia"/>
                <w:bCs/>
                <w:color w:val="auto"/>
                <w:szCs w:val="21"/>
              </w:rPr>
              <w:t>）</w:t>
            </w:r>
          </w:p>
        </w:tc>
        <w:tc>
          <w:tcPr>
            <w:tcW w:w="776" w:type="dxa"/>
            <w:vAlign w:val="center"/>
          </w:tcPr>
          <w:p w14:paraId="0FD75DBB" w14:textId="77777777" w:rsidR="003C3DBE" w:rsidRPr="00964557" w:rsidRDefault="003C3DBE" w:rsidP="006F687F">
            <w:pPr>
              <w:jc w:val="center"/>
              <w:rPr>
                <w:rFonts w:ascii="Calibri" w:hAnsi="Calibri"/>
                <w:bCs/>
                <w:color w:val="auto"/>
                <w:szCs w:val="21"/>
              </w:rPr>
            </w:pPr>
            <w:r>
              <w:rPr>
                <w:rFonts w:ascii="Calibri" w:hAnsi="Calibri" w:hint="eastAsia"/>
                <w:bCs/>
                <w:color w:val="auto"/>
                <w:szCs w:val="21"/>
              </w:rPr>
              <w:t>建筑物</w:t>
            </w:r>
            <w:r>
              <w:rPr>
                <w:rFonts w:ascii="Calibri" w:hAnsi="Calibri"/>
                <w:bCs/>
                <w:color w:val="auto"/>
                <w:szCs w:val="21"/>
              </w:rPr>
              <w:t>外距离</w:t>
            </w:r>
            <w:r>
              <w:rPr>
                <w:rFonts w:ascii="Calibri" w:hAnsi="Calibri" w:hint="eastAsia"/>
                <w:bCs/>
                <w:color w:val="auto"/>
                <w:szCs w:val="21"/>
              </w:rPr>
              <w:t>/m</w:t>
            </w:r>
          </w:p>
        </w:tc>
      </w:tr>
      <w:tr w:rsidR="006F687F" w:rsidRPr="00964557" w14:paraId="6F9DD837" w14:textId="77777777" w:rsidTr="003C3DBE">
        <w:trPr>
          <w:trHeight w:val="340"/>
        </w:trPr>
        <w:tc>
          <w:tcPr>
            <w:tcW w:w="527" w:type="dxa"/>
            <w:vMerge w:val="restart"/>
            <w:vAlign w:val="center"/>
          </w:tcPr>
          <w:p w14:paraId="568F0E48"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1</w:t>
            </w:r>
          </w:p>
        </w:tc>
        <w:tc>
          <w:tcPr>
            <w:tcW w:w="938" w:type="dxa"/>
            <w:vMerge w:val="restart"/>
            <w:vAlign w:val="center"/>
          </w:tcPr>
          <w:p w14:paraId="4923C7C8"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生产</w:t>
            </w:r>
            <w:r>
              <w:rPr>
                <w:rFonts w:ascii="Calibri" w:hAnsi="Calibri"/>
                <w:bCs/>
                <w:color w:val="auto"/>
                <w:szCs w:val="21"/>
              </w:rPr>
              <w:t>车间</w:t>
            </w:r>
          </w:p>
        </w:tc>
        <w:tc>
          <w:tcPr>
            <w:tcW w:w="2126" w:type="dxa"/>
            <w:vAlign w:val="center"/>
          </w:tcPr>
          <w:p w14:paraId="7CB42582" w14:textId="77777777" w:rsidR="006F687F" w:rsidRPr="00176833" w:rsidRDefault="006F687F" w:rsidP="006F687F">
            <w:pPr>
              <w:jc w:val="center"/>
              <w:rPr>
                <w:rFonts w:ascii="Calibri" w:hAnsi="Calibri"/>
                <w:color w:val="auto"/>
                <w:szCs w:val="21"/>
              </w:rPr>
            </w:pPr>
            <w:r>
              <w:rPr>
                <w:rFonts w:ascii="Calibri" w:hAnsi="Calibri" w:hint="eastAsia"/>
                <w:color w:val="auto"/>
                <w:szCs w:val="21"/>
              </w:rPr>
              <w:t>1#</w:t>
            </w:r>
            <w:r>
              <w:rPr>
                <w:rFonts w:ascii="Calibri" w:hAnsi="Calibri" w:hint="eastAsia"/>
                <w:color w:val="auto"/>
                <w:szCs w:val="21"/>
              </w:rPr>
              <w:t>导热油炉鼓风机</w:t>
            </w:r>
          </w:p>
        </w:tc>
        <w:tc>
          <w:tcPr>
            <w:tcW w:w="789" w:type="dxa"/>
            <w:vAlign w:val="center"/>
          </w:tcPr>
          <w:p w14:paraId="260FF4F9"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4D35BAF7"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21526CA6"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721EEAC0"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8.19</w:t>
            </w:r>
          </w:p>
        </w:tc>
        <w:tc>
          <w:tcPr>
            <w:tcW w:w="836" w:type="dxa"/>
            <w:vAlign w:val="center"/>
          </w:tcPr>
          <w:p w14:paraId="2720CEC6"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-59.06</w:t>
            </w:r>
          </w:p>
        </w:tc>
        <w:tc>
          <w:tcPr>
            <w:tcW w:w="698" w:type="dxa"/>
            <w:vAlign w:val="center"/>
          </w:tcPr>
          <w:p w14:paraId="30A941B2"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684A133E" w14:textId="77777777" w:rsidR="006F687F" w:rsidRPr="00964557" w:rsidRDefault="006F687F" w:rsidP="006F687F">
            <w:pPr>
              <w:jc w:val="center"/>
              <w:rPr>
                <w:rFonts w:ascii="Calibri" w:hAnsi="Calibri"/>
                <w:bCs/>
                <w:color w:val="auto"/>
                <w:szCs w:val="21"/>
              </w:rPr>
            </w:pPr>
            <w:r>
              <w:rPr>
                <w:rFonts w:ascii="Calibri" w:hAnsi="Calibri"/>
                <w:bCs/>
                <w:color w:val="auto"/>
                <w:szCs w:val="21"/>
              </w:rPr>
              <w:t>5</w:t>
            </w:r>
          </w:p>
        </w:tc>
        <w:tc>
          <w:tcPr>
            <w:tcW w:w="697" w:type="dxa"/>
            <w:vAlign w:val="center"/>
          </w:tcPr>
          <w:p w14:paraId="7CD11998"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60.07 </w:t>
            </w:r>
          </w:p>
        </w:tc>
        <w:tc>
          <w:tcPr>
            <w:tcW w:w="1252" w:type="dxa"/>
            <w:vAlign w:val="center"/>
          </w:tcPr>
          <w:p w14:paraId="7CCFE7E2"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restart"/>
            <w:vAlign w:val="center"/>
          </w:tcPr>
          <w:p w14:paraId="4EFFB91E"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10</w:t>
            </w:r>
          </w:p>
        </w:tc>
        <w:tc>
          <w:tcPr>
            <w:tcW w:w="836" w:type="dxa"/>
            <w:vMerge w:val="restart"/>
            <w:vAlign w:val="center"/>
          </w:tcPr>
          <w:p w14:paraId="436DA304" w14:textId="77777777" w:rsidR="006F687F" w:rsidRDefault="00AB0115" w:rsidP="006F687F">
            <w:pPr>
              <w:jc w:val="center"/>
              <w:rPr>
                <w:rFonts w:ascii="Calibri" w:hAnsi="Calibri"/>
                <w:bCs/>
                <w:color w:val="auto"/>
                <w:szCs w:val="21"/>
              </w:rPr>
            </w:pPr>
            <w:r>
              <w:rPr>
                <w:rFonts w:ascii="Calibri" w:hAnsi="Calibri"/>
                <w:bCs/>
                <w:color w:val="auto"/>
                <w:szCs w:val="21"/>
              </w:rPr>
              <w:t>62.3</w:t>
            </w:r>
          </w:p>
        </w:tc>
        <w:tc>
          <w:tcPr>
            <w:tcW w:w="776" w:type="dxa"/>
            <w:vMerge w:val="restart"/>
            <w:vAlign w:val="center"/>
          </w:tcPr>
          <w:p w14:paraId="6013B89A" w14:textId="77777777" w:rsidR="006F687F" w:rsidRDefault="006F687F" w:rsidP="006F687F">
            <w:pPr>
              <w:jc w:val="center"/>
              <w:rPr>
                <w:rFonts w:ascii="Calibri" w:hAnsi="Calibri"/>
                <w:bCs/>
                <w:color w:val="auto"/>
                <w:szCs w:val="21"/>
              </w:rPr>
            </w:pPr>
            <w:r>
              <w:rPr>
                <w:rFonts w:ascii="Calibri" w:hAnsi="Calibri" w:hint="eastAsia"/>
                <w:bCs/>
                <w:color w:val="auto"/>
                <w:szCs w:val="21"/>
              </w:rPr>
              <w:t>1</w:t>
            </w:r>
          </w:p>
        </w:tc>
      </w:tr>
      <w:tr w:rsidR="006F687F" w:rsidRPr="00964557" w14:paraId="030E34D6" w14:textId="77777777" w:rsidTr="003C3DBE">
        <w:trPr>
          <w:trHeight w:val="340"/>
        </w:trPr>
        <w:tc>
          <w:tcPr>
            <w:tcW w:w="527" w:type="dxa"/>
            <w:vMerge/>
            <w:vAlign w:val="center"/>
          </w:tcPr>
          <w:p w14:paraId="157CA1E1" w14:textId="77777777" w:rsidR="006F687F" w:rsidRPr="00964557" w:rsidRDefault="006F687F" w:rsidP="006F687F">
            <w:pPr>
              <w:jc w:val="center"/>
              <w:rPr>
                <w:rFonts w:ascii="Calibri" w:hAnsi="Calibri"/>
                <w:bCs/>
                <w:color w:val="auto"/>
                <w:szCs w:val="21"/>
              </w:rPr>
            </w:pPr>
          </w:p>
        </w:tc>
        <w:tc>
          <w:tcPr>
            <w:tcW w:w="938" w:type="dxa"/>
            <w:vMerge/>
            <w:vAlign w:val="center"/>
          </w:tcPr>
          <w:p w14:paraId="695AFDCB" w14:textId="77777777" w:rsidR="006F687F" w:rsidRPr="00964557" w:rsidRDefault="006F687F" w:rsidP="006F687F">
            <w:pPr>
              <w:jc w:val="center"/>
              <w:rPr>
                <w:rFonts w:ascii="Calibri" w:hAnsi="Calibri"/>
                <w:bCs/>
                <w:color w:val="auto"/>
                <w:szCs w:val="21"/>
              </w:rPr>
            </w:pPr>
          </w:p>
        </w:tc>
        <w:tc>
          <w:tcPr>
            <w:tcW w:w="2126" w:type="dxa"/>
            <w:vAlign w:val="center"/>
          </w:tcPr>
          <w:p w14:paraId="62C73268" w14:textId="77777777" w:rsidR="006F687F" w:rsidRPr="00176833" w:rsidRDefault="006F687F" w:rsidP="006F687F">
            <w:pPr>
              <w:jc w:val="center"/>
              <w:rPr>
                <w:rFonts w:ascii="Calibri" w:hAnsi="Calibri"/>
                <w:color w:val="auto"/>
                <w:szCs w:val="21"/>
              </w:rPr>
            </w:pPr>
            <w:r>
              <w:rPr>
                <w:rFonts w:asciiTheme="minorHAnsi" w:hAnsiTheme="minorHAnsi" w:cstheme="minorHAnsi"/>
                <w:color w:val="auto"/>
                <w:szCs w:val="21"/>
              </w:rPr>
              <w:t>2</w:t>
            </w:r>
            <w:r>
              <w:rPr>
                <w:rFonts w:asciiTheme="minorHAnsi" w:hAnsiTheme="minorHAnsi" w:cstheme="minorHAnsi" w:hint="eastAsia"/>
                <w:color w:val="auto"/>
                <w:szCs w:val="21"/>
              </w:rPr>
              <w:t>#</w:t>
            </w:r>
            <w:r>
              <w:rPr>
                <w:rFonts w:ascii="Calibri" w:hAnsi="Calibri" w:hint="eastAsia"/>
                <w:color w:val="auto"/>
                <w:szCs w:val="21"/>
              </w:rPr>
              <w:t>导热油炉鼓风机</w:t>
            </w:r>
          </w:p>
        </w:tc>
        <w:tc>
          <w:tcPr>
            <w:tcW w:w="789" w:type="dxa"/>
            <w:vAlign w:val="center"/>
          </w:tcPr>
          <w:p w14:paraId="0EE59B92"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198DF713"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764C4EDE"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687A98FA"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25.01</w:t>
            </w:r>
          </w:p>
        </w:tc>
        <w:tc>
          <w:tcPr>
            <w:tcW w:w="836" w:type="dxa"/>
            <w:vAlign w:val="center"/>
          </w:tcPr>
          <w:p w14:paraId="424B9240"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-60.18</w:t>
            </w:r>
          </w:p>
        </w:tc>
        <w:tc>
          <w:tcPr>
            <w:tcW w:w="698" w:type="dxa"/>
            <w:vAlign w:val="center"/>
          </w:tcPr>
          <w:p w14:paraId="68367C83"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0D539093" w14:textId="77777777" w:rsidR="006F687F" w:rsidRPr="00964557" w:rsidRDefault="006F687F" w:rsidP="006F687F">
            <w:pPr>
              <w:jc w:val="center"/>
              <w:rPr>
                <w:rFonts w:ascii="Calibri" w:hAnsi="Calibri"/>
                <w:bCs/>
                <w:color w:val="auto"/>
                <w:szCs w:val="21"/>
              </w:rPr>
            </w:pPr>
            <w:r>
              <w:rPr>
                <w:rFonts w:ascii="Calibri" w:hAnsi="Calibri"/>
                <w:bCs/>
                <w:color w:val="auto"/>
                <w:szCs w:val="21"/>
              </w:rPr>
              <w:t>5</w:t>
            </w:r>
          </w:p>
        </w:tc>
        <w:tc>
          <w:tcPr>
            <w:tcW w:w="697" w:type="dxa"/>
            <w:vAlign w:val="center"/>
          </w:tcPr>
          <w:p w14:paraId="59DE08DB"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60.07 </w:t>
            </w:r>
          </w:p>
        </w:tc>
        <w:tc>
          <w:tcPr>
            <w:tcW w:w="1252" w:type="dxa"/>
            <w:vAlign w:val="center"/>
          </w:tcPr>
          <w:p w14:paraId="36068EE7"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34A5097D" w14:textId="77777777" w:rsidR="006F687F" w:rsidRPr="00964557" w:rsidRDefault="006F687F" w:rsidP="006F687F">
            <w:pPr>
              <w:jc w:val="center"/>
              <w:rPr>
                <w:rFonts w:ascii="Calibri" w:hAnsi="Calibri"/>
                <w:bCs/>
                <w:color w:val="auto"/>
                <w:szCs w:val="21"/>
              </w:rPr>
            </w:pPr>
          </w:p>
        </w:tc>
        <w:tc>
          <w:tcPr>
            <w:tcW w:w="836" w:type="dxa"/>
            <w:vMerge/>
            <w:vAlign w:val="center"/>
          </w:tcPr>
          <w:p w14:paraId="3A69C485" w14:textId="77777777" w:rsidR="006F687F" w:rsidRDefault="006F687F" w:rsidP="006F687F">
            <w:pPr>
              <w:jc w:val="center"/>
              <w:rPr>
                <w:rFonts w:ascii="Calibri" w:hAnsi="Calibri"/>
                <w:bCs/>
                <w:color w:val="auto"/>
                <w:szCs w:val="21"/>
              </w:rPr>
            </w:pPr>
          </w:p>
        </w:tc>
        <w:tc>
          <w:tcPr>
            <w:tcW w:w="776" w:type="dxa"/>
            <w:vMerge/>
            <w:vAlign w:val="center"/>
          </w:tcPr>
          <w:p w14:paraId="06A5006E" w14:textId="77777777" w:rsidR="006F687F" w:rsidRDefault="006F687F" w:rsidP="006F687F">
            <w:pPr>
              <w:jc w:val="center"/>
              <w:rPr>
                <w:rFonts w:ascii="Calibri" w:hAnsi="Calibri"/>
                <w:bCs/>
                <w:color w:val="auto"/>
                <w:szCs w:val="21"/>
              </w:rPr>
            </w:pPr>
          </w:p>
        </w:tc>
      </w:tr>
      <w:tr w:rsidR="006F687F" w:rsidRPr="00964557" w14:paraId="1D361631" w14:textId="77777777" w:rsidTr="003C3DBE">
        <w:trPr>
          <w:trHeight w:val="340"/>
        </w:trPr>
        <w:tc>
          <w:tcPr>
            <w:tcW w:w="527" w:type="dxa"/>
            <w:vMerge/>
            <w:vAlign w:val="center"/>
          </w:tcPr>
          <w:p w14:paraId="530DA40C" w14:textId="77777777" w:rsidR="006F687F" w:rsidRPr="00964557" w:rsidRDefault="006F687F" w:rsidP="006F687F">
            <w:pPr>
              <w:jc w:val="center"/>
              <w:rPr>
                <w:rFonts w:ascii="Calibri" w:hAnsi="Calibri"/>
                <w:bCs/>
                <w:color w:val="auto"/>
                <w:szCs w:val="21"/>
              </w:rPr>
            </w:pPr>
          </w:p>
        </w:tc>
        <w:tc>
          <w:tcPr>
            <w:tcW w:w="938" w:type="dxa"/>
            <w:vMerge/>
            <w:vAlign w:val="center"/>
          </w:tcPr>
          <w:p w14:paraId="4D5B43F1" w14:textId="77777777" w:rsidR="006F687F" w:rsidRPr="00964557" w:rsidRDefault="006F687F" w:rsidP="006F687F">
            <w:pPr>
              <w:jc w:val="center"/>
              <w:rPr>
                <w:rFonts w:ascii="Calibri" w:hAnsi="Calibri"/>
                <w:bCs/>
                <w:color w:val="auto"/>
                <w:szCs w:val="21"/>
              </w:rPr>
            </w:pPr>
          </w:p>
        </w:tc>
        <w:tc>
          <w:tcPr>
            <w:tcW w:w="2126" w:type="dxa"/>
            <w:vAlign w:val="center"/>
          </w:tcPr>
          <w:p w14:paraId="414A4E64" w14:textId="77777777" w:rsidR="006F687F" w:rsidRPr="00176833" w:rsidRDefault="006F687F" w:rsidP="006F687F">
            <w:pPr>
              <w:jc w:val="center"/>
              <w:rPr>
                <w:rFonts w:ascii="Calibri" w:hAnsi="Calibri"/>
                <w:color w:val="auto"/>
                <w:szCs w:val="21"/>
              </w:rPr>
            </w:pPr>
            <w:r>
              <w:rPr>
                <w:rFonts w:asciiTheme="minorHAnsi" w:hAnsiTheme="minorHAnsi" w:cstheme="minorHAnsi"/>
                <w:color w:val="auto"/>
                <w:szCs w:val="21"/>
              </w:rPr>
              <w:t>1</w:t>
            </w:r>
            <w:r>
              <w:rPr>
                <w:rFonts w:asciiTheme="minorHAnsi" w:hAnsiTheme="minorHAnsi" w:cstheme="minorHAnsi" w:hint="eastAsia"/>
                <w:color w:val="auto"/>
                <w:szCs w:val="21"/>
              </w:rPr>
              <w:t>#</w:t>
            </w:r>
            <w:r>
              <w:rPr>
                <w:rFonts w:ascii="Calibri" w:hAnsi="Calibri" w:hint="eastAsia"/>
                <w:color w:val="auto"/>
                <w:szCs w:val="21"/>
              </w:rPr>
              <w:t>导热油炉引风机</w:t>
            </w:r>
          </w:p>
        </w:tc>
        <w:tc>
          <w:tcPr>
            <w:tcW w:w="789" w:type="dxa"/>
            <w:vAlign w:val="center"/>
          </w:tcPr>
          <w:p w14:paraId="5AAE2400"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65A7ED63"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764AE38D"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32088A57"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7.95</w:t>
            </w:r>
          </w:p>
        </w:tc>
        <w:tc>
          <w:tcPr>
            <w:tcW w:w="836" w:type="dxa"/>
            <w:vAlign w:val="center"/>
          </w:tcPr>
          <w:p w14:paraId="0CAFF7A9"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-75.11</w:t>
            </w:r>
          </w:p>
        </w:tc>
        <w:tc>
          <w:tcPr>
            <w:tcW w:w="698" w:type="dxa"/>
            <w:vAlign w:val="center"/>
          </w:tcPr>
          <w:p w14:paraId="55BCCFE2"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477FE180" w14:textId="77777777" w:rsidR="006F687F" w:rsidRPr="00964557" w:rsidRDefault="006F687F" w:rsidP="006F687F">
            <w:pPr>
              <w:jc w:val="center"/>
              <w:rPr>
                <w:rFonts w:ascii="Calibri" w:hAnsi="Calibri"/>
                <w:bCs/>
                <w:color w:val="auto"/>
                <w:szCs w:val="21"/>
              </w:rPr>
            </w:pPr>
            <w:r>
              <w:rPr>
                <w:rFonts w:ascii="Calibri" w:hAnsi="Calibri"/>
                <w:bCs/>
                <w:color w:val="auto"/>
                <w:szCs w:val="21"/>
              </w:rPr>
              <w:t>3</w:t>
            </w:r>
          </w:p>
        </w:tc>
        <w:tc>
          <w:tcPr>
            <w:tcW w:w="697" w:type="dxa"/>
            <w:vAlign w:val="center"/>
          </w:tcPr>
          <w:p w14:paraId="0FFAC185"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64.48 </w:t>
            </w:r>
          </w:p>
        </w:tc>
        <w:tc>
          <w:tcPr>
            <w:tcW w:w="1252" w:type="dxa"/>
            <w:vAlign w:val="center"/>
          </w:tcPr>
          <w:p w14:paraId="21DED2E0"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7C4CA0C1" w14:textId="77777777" w:rsidR="006F687F" w:rsidRPr="00964557" w:rsidRDefault="006F687F" w:rsidP="006F687F">
            <w:pPr>
              <w:jc w:val="center"/>
              <w:rPr>
                <w:rFonts w:ascii="Calibri" w:hAnsi="Calibri"/>
                <w:bCs/>
                <w:color w:val="auto"/>
                <w:szCs w:val="21"/>
              </w:rPr>
            </w:pPr>
          </w:p>
        </w:tc>
        <w:tc>
          <w:tcPr>
            <w:tcW w:w="836" w:type="dxa"/>
            <w:vMerge/>
            <w:vAlign w:val="center"/>
          </w:tcPr>
          <w:p w14:paraId="22C013F6" w14:textId="77777777" w:rsidR="006F687F" w:rsidRDefault="006F687F" w:rsidP="006F687F">
            <w:pPr>
              <w:jc w:val="center"/>
              <w:rPr>
                <w:rFonts w:ascii="Calibri" w:hAnsi="Calibri"/>
                <w:bCs/>
                <w:color w:val="auto"/>
                <w:szCs w:val="21"/>
              </w:rPr>
            </w:pPr>
          </w:p>
        </w:tc>
        <w:tc>
          <w:tcPr>
            <w:tcW w:w="776" w:type="dxa"/>
            <w:vMerge/>
            <w:vAlign w:val="center"/>
          </w:tcPr>
          <w:p w14:paraId="3DCA83FB" w14:textId="77777777" w:rsidR="006F687F" w:rsidRDefault="006F687F" w:rsidP="006F687F">
            <w:pPr>
              <w:jc w:val="center"/>
              <w:rPr>
                <w:rFonts w:ascii="Calibri" w:hAnsi="Calibri"/>
                <w:bCs/>
                <w:color w:val="auto"/>
                <w:szCs w:val="21"/>
              </w:rPr>
            </w:pPr>
          </w:p>
        </w:tc>
      </w:tr>
      <w:tr w:rsidR="006F687F" w:rsidRPr="00964557" w14:paraId="16EF203B" w14:textId="77777777" w:rsidTr="003C3DBE">
        <w:trPr>
          <w:trHeight w:val="340"/>
        </w:trPr>
        <w:tc>
          <w:tcPr>
            <w:tcW w:w="527" w:type="dxa"/>
            <w:vMerge/>
            <w:vAlign w:val="center"/>
          </w:tcPr>
          <w:p w14:paraId="3EFE1FC1" w14:textId="77777777" w:rsidR="006F687F" w:rsidRPr="00964557" w:rsidRDefault="006F687F" w:rsidP="006F687F">
            <w:pPr>
              <w:jc w:val="center"/>
              <w:rPr>
                <w:rFonts w:ascii="Calibri" w:hAnsi="Calibri"/>
                <w:bCs/>
                <w:color w:val="auto"/>
                <w:szCs w:val="21"/>
              </w:rPr>
            </w:pPr>
          </w:p>
        </w:tc>
        <w:tc>
          <w:tcPr>
            <w:tcW w:w="938" w:type="dxa"/>
            <w:vMerge/>
            <w:vAlign w:val="center"/>
          </w:tcPr>
          <w:p w14:paraId="361513AB" w14:textId="77777777" w:rsidR="006F687F" w:rsidRPr="00964557" w:rsidRDefault="006F687F" w:rsidP="006F687F">
            <w:pPr>
              <w:jc w:val="center"/>
              <w:rPr>
                <w:rFonts w:ascii="Calibri" w:hAnsi="Calibri"/>
                <w:bCs/>
                <w:color w:val="auto"/>
                <w:szCs w:val="21"/>
              </w:rPr>
            </w:pPr>
          </w:p>
        </w:tc>
        <w:tc>
          <w:tcPr>
            <w:tcW w:w="2126" w:type="dxa"/>
            <w:vAlign w:val="center"/>
          </w:tcPr>
          <w:p w14:paraId="61A057D1" w14:textId="77777777" w:rsidR="006F687F" w:rsidRPr="00176833" w:rsidRDefault="006F687F" w:rsidP="006F687F">
            <w:pPr>
              <w:jc w:val="center"/>
              <w:rPr>
                <w:rFonts w:ascii="Calibri" w:hAnsi="Calibri"/>
                <w:color w:val="auto"/>
                <w:szCs w:val="21"/>
              </w:rPr>
            </w:pPr>
            <w:r>
              <w:rPr>
                <w:rFonts w:asciiTheme="minorHAnsi" w:hAnsiTheme="minorHAnsi" w:cstheme="minorHAnsi"/>
                <w:color w:val="auto"/>
                <w:szCs w:val="21"/>
              </w:rPr>
              <w:t>2</w:t>
            </w:r>
            <w:r>
              <w:rPr>
                <w:rFonts w:asciiTheme="minorHAnsi" w:hAnsiTheme="minorHAnsi" w:cstheme="minorHAnsi" w:hint="eastAsia"/>
                <w:color w:val="auto"/>
                <w:szCs w:val="21"/>
              </w:rPr>
              <w:t>#</w:t>
            </w:r>
            <w:r>
              <w:rPr>
                <w:rFonts w:ascii="Calibri" w:hAnsi="Calibri" w:hint="eastAsia"/>
                <w:color w:val="auto"/>
                <w:szCs w:val="21"/>
              </w:rPr>
              <w:t>导热油炉引风机</w:t>
            </w:r>
          </w:p>
        </w:tc>
        <w:tc>
          <w:tcPr>
            <w:tcW w:w="789" w:type="dxa"/>
            <w:vAlign w:val="center"/>
          </w:tcPr>
          <w:p w14:paraId="5F55DED1"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7C51D55C"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6A7317AA"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5C5FCEAA"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23.94</w:t>
            </w:r>
          </w:p>
        </w:tc>
        <w:tc>
          <w:tcPr>
            <w:tcW w:w="836" w:type="dxa"/>
            <w:vAlign w:val="center"/>
          </w:tcPr>
          <w:p w14:paraId="62883DE7"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-72.98</w:t>
            </w:r>
          </w:p>
        </w:tc>
        <w:tc>
          <w:tcPr>
            <w:tcW w:w="698" w:type="dxa"/>
            <w:vAlign w:val="center"/>
          </w:tcPr>
          <w:p w14:paraId="1FBBA135"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7C24435E" w14:textId="77777777" w:rsidR="006F687F" w:rsidRPr="00964557" w:rsidRDefault="006F687F" w:rsidP="006F687F">
            <w:pPr>
              <w:jc w:val="center"/>
              <w:rPr>
                <w:rFonts w:ascii="Calibri" w:hAnsi="Calibri"/>
                <w:bCs/>
                <w:color w:val="auto"/>
                <w:szCs w:val="21"/>
              </w:rPr>
            </w:pPr>
            <w:r>
              <w:rPr>
                <w:rFonts w:ascii="Calibri" w:hAnsi="Calibri"/>
                <w:bCs/>
                <w:color w:val="auto"/>
                <w:szCs w:val="21"/>
              </w:rPr>
              <w:t>3</w:t>
            </w:r>
          </w:p>
        </w:tc>
        <w:tc>
          <w:tcPr>
            <w:tcW w:w="697" w:type="dxa"/>
            <w:vAlign w:val="center"/>
          </w:tcPr>
          <w:p w14:paraId="16397A8A"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64.48 </w:t>
            </w:r>
          </w:p>
        </w:tc>
        <w:tc>
          <w:tcPr>
            <w:tcW w:w="1252" w:type="dxa"/>
            <w:vAlign w:val="center"/>
          </w:tcPr>
          <w:p w14:paraId="361ED0AF"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5738872A" w14:textId="77777777" w:rsidR="006F687F" w:rsidRPr="00964557" w:rsidRDefault="006F687F" w:rsidP="006F687F">
            <w:pPr>
              <w:jc w:val="center"/>
              <w:rPr>
                <w:rFonts w:ascii="Calibri" w:hAnsi="Calibri"/>
                <w:bCs/>
                <w:color w:val="auto"/>
                <w:szCs w:val="21"/>
              </w:rPr>
            </w:pPr>
          </w:p>
        </w:tc>
        <w:tc>
          <w:tcPr>
            <w:tcW w:w="836" w:type="dxa"/>
            <w:vMerge/>
            <w:vAlign w:val="center"/>
          </w:tcPr>
          <w:p w14:paraId="2EA63BF0" w14:textId="77777777" w:rsidR="006F687F" w:rsidRDefault="006F687F" w:rsidP="006F687F">
            <w:pPr>
              <w:jc w:val="center"/>
              <w:rPr>
                <w:rFonts w:ascii="Calibri" w:hAnsi="Calibri"/>
                <w:bCs/>
                <w:color w:val="auto"/>
                <w:szCs w:val="21"/>
              </w:rPr>
            </w:pPr>
          </w:p>
        </w:tc>
        <w:tc>
          <w:tcPr>
            <w:tcW w:w="776" w:type="dxa"/>
            <w:vMerge/>
            <w:vAlign w:val="center"/>
          </w:tcPr>
          <w:p w14:paraId="3A562C52" w14:textId="77777777" w:rsidR="006F687F" w:rsidRDefault="006F687F" w:rsidP="006F687F">
            <w:pPr>
              <w:jc w:val="center"/>
              <w:rPr>
                <w:rFonts w:ascii="Calibri" w:hAnsi="Calibri"/>
                <w:bCs/>
                <w:color w:val="auto"/>
                <w:szCs w:val="21"/>
              </w:rPr>
            </w:pPr>
          </w:p>
        </w:tc>
      </w:tr>
      <w:tr w:rsidR="006F687F" w:rsidRPr="00964557" w14:paraId="0BF92CD4" w14:textId="77777777" w:rsidTr="003C3DBE">
        <w:trPr>
          <w:trHeight w:val="340"/>
        </w:trPr>
        <w:tc>
          <w:tcPr>
            <w:tcW w:w="527" w:type="dxa"/>
            <w:vMerge/>
            <w:vAlign w:val="center"/>
          </w:tcPr>
          <w:p w14:paraId="6EB4341F" w14:textId="77777777" w:rsidR="006F687F" w:rsidRPr="00964557" w:rsidRDefault="006F687F" w:rsidP="006F687F">
            <w:pPr>
              <w:jc w:val="center"/>
              <w:rPr>
                <w:rFonts w:ascii="Calibri" w:hAnsi="Calibri"/>
                <w:bCs/>
                <w:color w:val="auto"/>
                <w:szCs w:val="21"/>
              </w:rPr>
            </w:pPr>
          </w:p>
        </w:tc>
        <w:tc>
          <w:tcPr>
            <w:tcW w:w="938" w:type="dxa"/>
            <w:vMerge/>
            <w:vAlign w:val="center"/>
          </w:tcPr>
          <w:p w14:paraId="12408E6A" w14:textId="77777777" w:rsidR="006F687F" w:rsidRPr="00964557" w:rsidRDefault="006F687F" w:rsidP="006F687F">
            <w:pPr>
              <w:jc w:val="center"/>
              <w:rPr>
                <w:rFonts w:ascii="Calibri" w:hAnsi="Calibri"/>
                <w:bCs/>
                <w:color w:val="auto"/>
                <w:szCs w:val="21"/>
              </w:rPr>
            </w:pPr>
          </w:p>
        </w:tc>
        <w:tc>
          <w:tcPr>
            <w:tcW w:w="2126" w:type="dxa"/>
            <w:vAlign w:val="center"/>
          </w:tcPr>
          <w:p w14:paraId="51A42371" w14:textId="77777777" w:rsidR="006F687F" w:rsidRPr="00176833" w:rsidRDefault="006F687F" w:rsidP="006F687F">
            <w:pPr>
              <w:jc w:val="center"/>
              <w:rPr>
                <w:rFonts w:ascii="Calibri" w:hAnsi="Calibri"/>
                <w:color w:val="auto"/>
                <w:szCs w:val="21"/>
              </w:rPr>
            </w:pPr>
            <w:r>
              <w:rPr>
                <w:rFonts w:ascii="Calibri" w:hAnsi="Calibri" w:hint="eastAsia"/>
                <w:color w:val="auto"/>
                <w:szCs w:val="21"/>
              </w:rPr>
              <w:t>1#</w:t>
            </w:r>
            <w:r>
              <w:rPr>
                <w:rFonts w:ascii="Calibri" w:hAnsi="Calibri" w:hint="eastAsia"/>
                <w:color w:val="auto"/>
                <w:szCs w:val="21"/>
              </w:rPr>
              <w:t>导热油炉泵机</w:t>
            </w:r>
          </w:p>
        </w:tc>
        <w:tc>
          <w:tcPr>
            <w:tcW w:w="789" w:type="dxa"/>
            <w:vAlign w:val="center"/>
          </w:tcPr>
          <w:p w14:paraId="20F082F7"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45DCFA33"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49774068"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7EEEB35D"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12.21</w:t>
            </w:r>
          </w:p>
        </w:tc>
        <w:tc>
          <w:tcPr>
            <w:tcW w:w="836" w:type="dxa"/>
            <w:vAlign w:val="center"/>
          </w:tcPr>
          <w:p w14:paraId="2663F1F8"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-68.71</w:t>
            </w:r>
          </w:p>
        </w:tc>
        <w:tc>
          <w:tcPr>
            <w:tcW w:w="698" w:type="dxa"/>
            <w:vAlign w:val="center"/>
          </w:tcPr>
          <w:p w14:paraId="6346823F"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22FF8BD9" w14:textId="77777777" w:rsidR="006F687F" w:rsidRPr="00964557" w:rsidRDefault="006F687F" w:rsidP="006F687F">
            <w:pPr>
              <w:jc w:val="center"/>
              <w:rPr>
                <w:rFonts w:ascii="Calibri" w:hAnsi="Calibri"/>
                <w:bCs/>
                <w:color w:val="auto"/>
                <w:szCs w:val="21"/>
              </w:rPr>
            </w:pPr>
            <w:r>
              <w:rPr>
                <w:rFonts w:ascii="Calibri" w:hAnsi="Calibri"/>
                <w:bCs/>
                <w:color w:val="auto"/>
                <w:szCs w:val="21"/>
              </w:rPr>
              <w:t>2</w:t>
            </w:r>
          </w:p>
        </w:tc>
        <w:tc>
          <w:tcPr>
            <w:tcW w:w="697" w:type="dxa"/>
            <w:vAlign w:val="center"/>
          </w:tcPr>
          <w:p w14:paraId="40A4B8F5"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68.00 </w:t>
            </w:r>
          </w:p>
        </w:tc>
        <w:tc>
          <w:tcPr>
            <w:tcW w:w="1252" w:type="dxa"/>
            <w:vAlign w:val="center"/>
          </w:tcPr>
          <w:p w14:paraId="0A586088"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7B7BE67E" w14:textId="77777777" w:rsidR="006F687F" w:rsidRPr="00964557" w:rsidRDefault="006F687F" w:rsidP="006F687F">
            <w:pPr>
              <w:jc w:val="center"/>
              <w:rPr>
                <w:rFonts w:ascii="Calibri" w:hAnsi="Calibri"/>
                <w:bCs/>
                <w:color w:val="auto"/>
                <w:szCs w:val="21"/>
              </w:rPr>
            </w:pPr>
          </w:p>
        </w:tc>
        <w:tc>
          <w:tcPr>
            <w:tcW w:w="836" w:type="dxa"/>
            <w:vMerge/>
            <w:vAlign w:val="center"/>
          </w:tcPr>
          <w:p w14:paraId="5B466C9A" w14:textId="77777777" w:rsidR="006F687F" w:rsidRDefault="006F687F" w:rsidP="006F687F">
            <w:pPr>
              <w:jc w:val="center"/>
              <w:rPr>
                <w:rFonts w:ascii="Calibri" w:hAnsi="Calibri"/>
                <w:bCs/>
                <w:color w:val="auto"/>
                <w:szCs w:val="21"/>
              </w:rPr>
            </w:pPr>
          </w:p>
        </w:tc>
        <w:tc>
          <w:tcPr>
            <w:tcW w:w="776" w:type="dxa"/>
            <w:vMerge/>
            <w:vAlign w:val="center"/>
          </w:tcPr>
          <w:p w14:paraId="37C14176" w14:textId="77777777" w:rsidR="006F687F" w:rsidRDefault="006F687F" w:rsidP="006F687F">
            <w:pPr>
              <w:jc w:val="center"/>
              <w:rPr>
                <w:rFonts w:ascii="Calibri" w:hAnsi="Calibri"/>
                <w:bCs/>
                <w:color w:val="auto"/>
                <w:szCs w:val="21"/>
              </w:rPr>
            </w:pPr>
          </w:p>
        </w:tc>
      </w:tr>
      <w:tr w:rsidR="006F687F" w:rsidRPr="00964557" w14:paraId="512191E2" w14:textId="77777777" w:rsidTr="003C3DBE">
        <w:trPr>
          <w:trHeight w:val="340"/>
        </w:trPr>
        <w:tc>
          <w:tcPr>
            <w:tcW w:w="527" w:type="dxa"/>
            <w:vMerge/>
            <w:vAlign w:val="center"/>
          </w:tcPr>
          <w:p w14:paraId="71397623" w14:textId="77777777" w:rsidR="006F687F" w:rsidRPr="00964557" w:rsidRDefault="006F687F" w:rsidP="006F687F">
            <w:pPr>
              <w:jc w:val="center"/>
              <w:rPr>
                <w:rFonts w:ascii="Calibri" w:hAnsi="Calibri"/>
                <w:bCs/>
                <w:color w:val="auto"/>
                <w:szCs w:val="21"/>
              </w:rPr>
            </w:pPr>
          </w:p>
        </w:tc>
        <w:tc>
          <w:tcPr>
            <w:tcW w:w="938" w:type="dxa"/>
            <w:vMerge/>
            <w:vAlign w:val="center"/>
          </w:tcPr>
          <w:p w14:paraId="4476149A" w14:textId="77777777" w:rsidR="006F687F" w:rsidRPr="00964557" w:rsidRDefault="006F687F" w:rsidP="006F687F">
            <w:pPr>
              <w:jc w:val="center"/>
              <w:rPr>
                <w:rFonts w:ascii="Calibri" w:hAnsi="Calibri"/>
                <w:bCs/>
                <w:color w:val="auto"/>
                <w:szCs w:val="21"/>
              </w:rPr>
            </w:pPr>
          </w:p>
        </w:tc>
        <w:tc>
          <w:tcPr>
            <w:tcW w:w="2126" w:type="dxa"/>
            <w:vAlign w:val="center"/>
          </w:tcPr>
          <w:p w14:paraId="01012367" w14:textId="77777777" w:rsidR="006F687F" w:rsidRPr="00176833" w:rsidRDefault="006F687F" w:rsidP="006F687F">
            <w:pPr>
              <w:jc w:val="center"/>
              <w:rPr>
                <w:rFonts w:ascii="Calibri" w:hAnsi="Calibri"/>
                <w:color w:val="auto"/>
                <w:szCs w:val="21"/>
              </w:rPr>
            </w:pPr>
            <w:r>
              <w:rPr>
                <w:rFonts w:asciiTheme="minorHAnsi" w:hAnsiTheme="minorHAnsi" w:cstheme="minorHAnsi"/>
                <w:color w:val="auto"/>
                <w:szCs w:val="21"/>
              </w:rPr>
              <w:t>2</w:t>
            </w:r>
            <w:r>
              <w:rPr>
                <w:rFonts w:asciiTheme="minorHAnsi" w:hAnsiTheme="minorHAnsi" w:cstheme="minorHAnsi" w:hint="eastAsia"/>
                <w:color w:val="auto"/>
                <w:szCs w:val="21"/>
              </w:rPr>
              <w:t>#</w:t>
            </w:r>
            <w:r>
              <w:rPr>
                <w:rFonts w:ascii="Calibri" w:hAnsi="Calibri" w:hint="eastAsia"/>
                <w:color w:val="auto"/>
                <w:szCs w:val="21"/>
              </w:rPr>
              <w:t>导热油炉泵机</w:t>
            </w:r>
          </w:p>
        </w:tc>
        <w:tc>
          <w:tcPr>
            <w:tcW w:w="789" w:type="dxa"/>
            <w:vAlign w:val="center"/>
          </w:tcPr>
          <w:p w14:paraId="23B7D686"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5EAD9DAF"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45872119"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6C0D880F"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29.27</w:t>
            </w:r>
          </w:p>
        </w:tc>
        <w:tc>
          <w:tcPr>
            <w:tcW w:w="836" w:type="dxa"/>
            <w:vAlign w:val="center"/>
          </w:tcPr>
          <w:p w14:paraId="5E298854"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-67.65</w:t>
            </w:r>
          </w:p>
        </w:tc>
        <w:tc>
          <w:tcPr>
            <w:tcW w:w="698" w:type="dxa"/>
            <w:vAlign w:val="center"/>
          </w:tcPr>
          <w:p w14:paraId="7A5FF978"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4EF27391" w14:textId="77777777" w:rsidR="006F687F" w:rsidRPr="00964557" w:rsidRDefault="006F687F" w:rsidP="006F687F">
            <w:pPr>
              <w:jc w:val="center"/>
              <w:rPr>
                <w:rFonts w:ascii="Calibri" w:hAnsi="Calibri"/>
                <w:bCs/>
                <w:color w:val="auto"/>
                <w:szCs w:val="21"/>
              </w:rPr>
            </w:pPr>
            <w:r>
              <w:rPr>
                <w:rFonts w:ascii="Calibri" w:hAnsi="Calibri"/>
                <w:bCs/>
                <w:color w:val="auto"/>
                <w:szCs w:val="21"/>
              </w:rPr>
              <w:t>2</w:t>
            </w:r>
          </w:p>
        </w:tc>
        <w:tc>
          <w:tcPr>
            <w:tcW w:w="697" w:type="dxa"/>
            <w:vAlign w:val="center"/>
          </w:tcPr>
          <w:p w14:paraId="46486EFF"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68.00 </w:t>
            </w:r>
          </w:p>
        </w:tc>
        <w:tc>
          <w:tcPr>
            <w:tcW w:w="1252" w:type="dxa"/>
            <w:vAlign w:val="center"/>
          </w:tcPr>
          <w:p w14:paraId="63D70700"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4B346716" w14:textId="77777777" w:rsidR="006F687F" w:rsidRPr="00964557" w:rsidRDefault="006F687F" w:rsidP="006F687F">
            <w:pPr>
              <w:jc w:val="center"/>
              <w:rPr>
                <w:rFonts w:ascii="Calibri" w:hAnsi="Calibri"/>
                <w:bCs/>
                <w:color w:val="auto"/>
                <w:szCs w:val="21"/>
              </w:rPr>
            </w:pPr>
          </w:p>
        </w:tc>
        <w:tc>
          <w:tcPr>
            <w:tcW w:w="836" w:type="dxa"/>
            <w:vMerge/>
            <w:vAlign w:val="center"/>
          </w:tcPr>
          <w:p w14:paraId="346399E6" w14:textId="77777777" w:rsidR="006F687F" w:rsidRDefault="006F687F" w:rsidP="006F687F">
            <w:pPr>
              <w:jc w:val="center"/>
              <w:rPr>
                <w:rFonts w:ascii="Calibri" w:hAnsi="Calibri"/>
                <w:bCs/>
                <w:color w:val="auto"/>
                <w:szCs w:val="21"/>
              </w:rPr>
            </w:pPr>
          </w:p>
        </w:tc>
        <w:tc>
          <w:tcPr>
            <w:tcW w:w="776" w:type="dxa"/>
            <w:vMerge/>
            <w:vAlign w:val="center"/>
          </w:tcPr>
          <w:p w14:paraId="6C13DD66" w14:textId="77777777" w:rsidR="006F687F" w:rsidRDefault="006F687F" w:rsidP="006F687F">
            <w:pPr>
              <w:jc w:val="center"/>
              <w:rPr>
                <w:rFonts w:ascii="Calibri" w:hAnsi="Calibri"/>
                <w:bCs/>
                <w:color w:val="auto"/>
                <w:szCs w:val="21"/>
              </w:rPr>
            </w:pPr>
          </w:p>
        </w:tc>
      </w:tr>
      <w:tr w:rsidR="006F687F" w:rsidRPr="00964557" w14:paraId="17E7A053" w14:textId="77777777" w:rsidTr="003C3DBE">
        <w:trPr>
          <w:trHeight w:val="340"/>
        </w:trPr>
        <w:tc>
          <w:tcPr>
            <w:tcW w:w="527" w:type="dxa"/>
            <w:vMerge/>
            <w:vAlign w:val="center"/>
          </w:tcPr>
          <w:p w14:paraId="0FE66073" w14:textId="77777777" w:rsidR="006F687F" w:rsidRPr="00964557" w:rsidRDefault="006F687F" w:rsidP="006F687F">
            <w:pPr>
              <w:jc w:val="center"/>
              <w:rPr>
                <w:rFonts w:ascii="Calibri" w:hAnsi="Calibri"/>
                <w:bCs/>
                <w:color w:val="auto"/>
                <w:szCs w:val="21"/>
              </w:rPr>
            </w:pPr>
          </w:p>
        </w:tc>
        <w:tc>
          <w:tcPr>
            <w:tcW w:w="938" w:type="dxa"/>
            <w:vMerge/>
            <w:vAlign w:val="center"/>
          </w:tcPr>
          <w:p w14:paraId="140ECAFC" w14:textId="77777777" w:rsidR="006F687F" w:rsidRPr="00964557" w:rsidRDefault="006F687F" w:rsidP="006F687F">
            <w:pPr>
              <w:jc w:val="center"/>
              <w:rPr>
                <w:rFonts w:ascii="Calibri" w:hAnsi="Calibri"/>
                <w:bCs/>
                <w:color w:val="auto"/>
                <w:szCs w:val="21"/>
              </w:rPr>
            </w:pPr>
          </w:p>
        </w:tc>
        <w:tc>
          <w:tcPr>
            <w:tcW w:w="2126" w:type="dxa"/>
            <w:vAlign w:val="center"/>
          </w:tcPr>
          <w:p w14:paraId="168DE9A9" w14:textId="77777777" w:rsidR="006F687F" w:rsidRPr="00F0757B" w:rsidRDefault="006F687F" w:rsidP="006F687F">
            <w:pPr>
              <w:jc w:val="center"/>
              <w:rPr>
                <w:rFonts w:ascii="Calibri" w:hAnsi="Calibri"/>
                <w:color w:val="auto"/>
                <w:szCs w:val="21"/>
              </w:rPr>
            </w:pPr>
            <w:r>
              <w:rPr>
                <w:rFonts w:asciiTheme="minorHAnsi" w:hAnsiTheme="minorHAnsi" w:cstheme="minorHAnsi" w:hint="eastAsia"/>
                <w:color w:val="auto"/>
                <w:szCs w:val="21"/>
              </w:rPr>
              <w:t>1#</w:t>
            </w:r>
            <w:r>
              <w:rPr>
                <w:rFonts w:asciiTheme="minorHAnsi" w:hAnsiTheme="minorHAnsi" w:cstheme="minorHAnsi" w:hint="eastAsia"/>
                <w:color w:val="auto"/>
                <w:szCs w:val="21"/>
              </w:rPr>
              <w:t>物料转移</w:t>
            </w:r>
            <w:r w:rsidRPr="00176833">
              <w:rPr>
                <w:rFonts w:asciiTheme="minorHAnsi" w:hAnsiTheme="minorHAnsi" w:cstheme="minorHAnsi"/>
                <w:color w:val="auto"/>
                <w:szCs w:val="21"/>
              </w:rPr>
              <w:t>泵</w:t>
            </w:r>
          </w:p>
        </w:tc>
        <w:tc>
          <w:tcPr>
            <w:tcW w:w="789" w:type="dxa"/>
            <w:vAlign w:val="center"/>
          </w:tcPr>
          <w:p w14:paraId="5D49B024"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6EF7344F"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1C9EB5BC"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0FAEAAAB"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-5.34</w:t>
            </w:r>
          </w:p>
        </w:tc>
        <w:tc>
          <w:tcPr>
            <w:tcW w:w="836" w:type="dxa"/>
            <w:vAlign w:val="center"/>
          </w:tcPr>
          <w:p w14:paraId="3AD60C88"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-38.98</w:t>
            </w:r>
          </w:p>
        </w:tc>
        <w:tc>
          <w:tcPr>
            <w:tcW w:w="698" w:type="dxa"/>
            <w:vAlign w:val="center"/>
          </w:tcPr>
          <w:p w14:paraId="40AB8FE7" w14:textId="77777777" w:rsidR="006F687F" w:rsidRDefault="006F687F" w:rsidP="006F687F">
            <w:pPr>
              <w:jc w:val="center"/>
              <w:rPr>
                <w:rFonts w:ascii="Calibri" w:hAnsi="Calibri"/>
                <w:bCs/>
                <w:color w:val="auto"/>
                <w:szCs w:val="21"/>
              </w:rPr>
            </w:pPr>
            <w:r>
              <w:rPr>
                <w:rFonts w:ascii="Calibri" w:hAnsi="Calibri"/>
                <w:bCs/>
                <w:color w:val="auto"/>
                <w:szCs w:val="21"/>
              </w:rPr>
              <w:t>16</w:t>
            </w:r>
          </w:p>
        </w:tc>
        <w:tc>
          <w:tcPr>
            <w:tcW w:w="698" w:type="dxa"/>
            <w:vAlign w:val="center"/>
          </w:tcPr>
          <w:p w14:paraId="10BC6A3C" w14:textId="77777777" w:rsidR="006F687F" w:rsidRPr="00964557" w:rsidRDefault="006F687F" w:rsidP="006F687F">
            <w:pPr>
              <w:jc w:val="center"/>
              <w:rPr>
                <w:rFonts w:ascii="Calibri" w:hAnsi="Calibri"/>
                <w:bCs/>
                <w:color w:val="auto"/>
                <w:szCs w:val="21"/>
              </w:rPr>
            </w:pPr>
            <w:r>
              <w:rPr>
                <w:rFonts w:ascii="Calibri" w:hAnsi="Calibri"/>
                <w:bCs/>
                <w:color w:val="auto"/>
                <w:szCs w:val="21"/>
              </w:rPr>
              <w:t>7</w:t>
            </w:r>
          </w:p>
        </w:tc>
        <w:tc>
          <w:tcPr>
            <w:tcW w:w="697" w:type="dxa"/>
            <w:vAlign w:val="center"/>
          </w:tcPr>
          <w:p w14:paraId="2744470E"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57.19 </w:t>
            </w:r>
          </w:p>
        </w:tc>
        <w:tc>
          <w:tcPr>
            <w:tcW w:w="1252" w:type="dxa"/>
            <w:vAlign w:val="center"/>
          </w:tcPr>
          <w:p w14:paraId="0166B3F7"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5C12AFF8" w14:textId="77777777" w:rsidR="006F687F" w:rsidRPr="00964557" w:rsidRDefault="006F687F" w:rsidP="006F687F">
            <w:pPr>
              <w:jc w:val="center"/>
              <w:rPr>
                <w:rFonts w:ascii="Calibri" w:hAnsi="Calibri"/>
                <w:bCs/>
                <w:color w:val="auto"/>
                <w:szCs w:val="21"/>
              </w:rPr>
            </w:pPr>
          </w:p>
        </w:tc>
        <w:tc>
          <w:tcPr>
            <w:tcW w:w="836" w:type="dxa"/>
            <w:vMerge/>
            <w:vAlign w:val="center"/>
          </w:tcPr>
          <w:p w14:paraId="53F5A17F" w14:textId="77777777" w:rsidR="006F687F" w:rsidRDefault="006F687F" w:rsidP="006F687F">
            <w:pPr>
              <w:jc w:val="center"/>
              <w:rPr>
                <w:rFonts w:ascii="Calibri" w:hAnsi="Calibri"/>
                <w:bCs/>
                <w:color w:val="auto"/>
                <w:szCs w:val="21"/>
              </w:rPr>
            </w:pPr>
          </w:p>
        </w:tc>
        <w:tc>
          <w:tcPr>
            <w:tcW w:w="776" w:type="dxa"/>
            <w:vMerge/>
            <w:vAlign w:val="center"/>
          </w:tcPr>
          <w:p w14:paraId="114179BA" w14:textId="77777777" w:rsidR="006F687F" w:rsidRDefault="006F687F" w:rsidP="006F687F">
            <w:pPr>
              <w:jc w:val="center"/>
              <w:rPr>
                <w:rFonts w:ascii="Calibri" w:hAnsi="Calibri"/>
                <w:bCs/>
                <w:color w:val="auto"/>
                <w:szCs w:val="21"/>
              </w:rPr>
            </w:pPr>
          </w:p>
        </w:tc>
      </w:tr>
      <w:tr w:rsidR="006F687F" w:rsidRPr="00964557" w14:paraId="6FC29FA9" w14:textId="77777777" w:rsidTr="003C3DBE">
        <w:trPr>
          <w:trHeight w:val="340"/>
        </w:trPr>
        <w:tc>
          <w:tcPr>
            <w:tcW w:w="527" w:type="dxa"/>
            <w:vMerge/>
            <w:vAlign w:val="center"/>
          </w:tcPr>
          <w:p w14:paraId="2BFE5C22" w14:textId="77777777" w:rsidR="006F687F" w:rsidRPr="00964557" w:rsidRDefault="006F687F" w:rsidP="006F687F">
            <w:pPr>
              <w:jc w:val="center"/>
              <w:rPr>
                <w:rFonts w:ascii="Calibri" w:hAnsi="Calibri"/>
                <w:bCs/>
                <w:color w:val="auto"/>
                <w:szCs w:val="21"/>
              </w:rPr>
            </w:pPr>
          </w:p>
        </w:tc>
        <w:tc>
          <w:tcPr>
            <w:tcW w:w="938" w:type="dxa"/>
            <w:vMerge/>
            <w:vAlign w:val="center"/>
          </w:tcPr>
          <w:p w14:paraId="58213EDF" w14:textId="77777777" w:rsidR="006F687F" w:rsidRPr="00964557" w:rsidRDefault="006F687F" w:rsidP="006F687F">
            <w:pPr>
              <w:jc w:val="center"/>
              <w:rPr>
                <w:rFonts w:ascii="Calibri" w:hAnsi="Calibri"/>
                <w:bCs/>
                <w:color w:val="auto"/>
                <w:szCs w:val="21"/>
              </w:rPr>
            </w:pPr>
          </w:p>
        </w:tc>
        <w:tc>
          <w:tcPr>
            <w:tcW w:w="2126" w:type="dxa"/>
            <w:vAlign w:val="center"/>
          </w:tcPr>
          <w:p w14:paraId="0E75C589" w14:textId="77777777" w:rsidR="006F687F" w:rsidRPr="00F0757B" w:rsidRDefault="006F687F" w:rsidP="006F687F">
            <w:pPr>
              <w:jc w:val="center"/>
              <w:rPr>
                <w:rFonts w:ascii="Calibri" w:hAnsi="Calibri"/>
                <w:color w:val="auto"/>
                <w:szCs w:val="21"/>
              </w:rPr>
            </w:pPr>
            <w:r>
              <w:rPr>
                <w:rFonts w:asciiTheme="minorHAnsi" w:hAnsiTheme="minorHAnsi" w:cstheme="minorHAnsi"/>
                <w:color w:val="auto"/>
                <w:szCs w:val="21"/>
              </w:rPr>
              <w:t>2</w:t>
            </w:r>
            <w:r>
              <w:rPr>
                <w:rFonts w:asciiTheme="minorHAnsi" w:hAnsiTheme="minorHAnsi" w:cstheme="minorHAnsi" w:hint="eastAsia"/>
                <w:color w:val="auto"/>
                <w:szCs w:val="21"/>
              </w:rPr>
              <w:t>#</w:t>
            </w:r>
            <w:r>
              <w:rPr>
                <w:rFonts w:asciiTheme="minorHAnsi" w:hAnsiTheme="minorHAnsi" w:cstheme="minorHAnsi" w:hint="eastAsia"/>
                <w:color w:val="auto"/>
                <w:szCs w:val="21"/>
              </w:rPr>
              <w:t>物料转移</w:t>
            </w:r>
            <w:r w:rsidRPr="00176833">
              <w:rPr>
                <w:rFonts w:asciiTheme="minorHAnsi" w:hAnsiTheme="minorHAnsi" w:cstheme="minorHAnsi"/>
                <w:color w:val="auto"/>
                <w:szCs w:val="21"/>
              </w:rPr>
              <w:t>泵</w:t>
            </w:r>
          </w:p>
        </w:tc>
        <w:tc>
          <w:tcPr>
            <w:tcW w:w="789" w:type="dxa"/>
            <w:vAlign w:val="center"/>
          </w:tcPr>
          <w:p w14:paraId="5727C80C"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2C3265CD"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24784377"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34C0E57A"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5.38</w:t>
            </w:r>
          </w:p>
        </w:tc>
        <w:tc>
          <w:tcPr>
            <w:tcW w:w="836" w:type="dxa"/>
            <w:vAlign w:val="center"/>
          </w:tcPr>
          <w:p w14:paraId="67304A77"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-35.76</w:t>
            </w:r>
          </w:p>
        </w:tc>
        <w:tc>
          <w:tcPr>
            <w:tcW w:w="698" w:type="dxa"/>
            <w:vAlign w:val="center"/>
          </w:tcPr>
          <w:p w14:paraId="42A5AC91" w14:textId="77777777" w:rsidR="006F687F" w:rsidRDefault="006F687F" w:rsidP="006F687F">
            <w:pPr>
              <w:jc w:val="center"/>
              <w:rPr>
                <w:rFonts w:ascii="Calibri" w:hAnsi="Calibri"/>
                <w:bCs/>
                <w:color w:val="auto"/>
                <w:szCs w:val="21"/>
              </w:rPr>
            </w:pPr>
            <w:r>
              <w:rPr>
                <w:rFonts w:ascii="Calibri" w:hAnsi="Calibri"/>
                <w:bCs/>
                <w:color w:val="auto"/>
                <w:szCs w:val="21"/>
              </w:rPr>
              <w:t>16</w:t>
            </w:r>
          </w:p>
        </w:tc>
        <w:tc>
          <w:tcPr>
            <w:tcW w:w="698" w:type="dxa"/>
            <w:vAlign w:val="center"/>
          </w:tcPr>
          <w:p w14:paraId="68DA21BF" w14:textId="77777777" w:rsidR="006F687F" w:rsidRPr="00964557" w:rsidRDefault="006F687F" w:rsidP="006F687F">
            <w:pPr>
              <w:jc w:val="center"/>
              <w:rPr>
                <w:rFonts w:ascii="Calibri" w:hAnsi="Calibri"/>
                <w:bCs/>
                <w:color w:val="auto"/>
                <w:szCs w:val="21"/>
              </w:rPr>
            </w:pPr>
            <w:r>
              <w:rPr>
                <w:rFonts w:ascii="Calibri" w:hAnsi="Calibri"/>
                <w:bCs/>
                <w:color w:val="auto"/>
                <w:szCs w:val="21"/>
              </w:rPr>
              <w:t>7</w:t>
            </w:r>
          </w:p>
        </w:tc>
        <w:tc>
          <w:tcPr>
            <w:tcW w:w="697" w:type="dxa"/>
            <w:vAlign w:val="center"/>
          </w:tcPr>
          <w:p w14:paraId="134D8BE2"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57.19 </w:t>
            </w:r>
          </w:p>
        </w:tc>
        <w:tc>
          <w:tcPr>
            <w:tcW w:w="1252" w:type="dxa"/>
            <w:vAlign w:val="center"/>
          </w:tcPr>
          <w:p w14:paraId="20FC1B5F"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02B2BCD2" w14:textId="77777777" w:rsidR="006F687F" w:rsidRPr="00964557" w:rsidRDefault="006F687F" w:rsidP="006F687F">
            <w:pPr>
              <w:jc w:val="center"/>
              <w:rPr>
                <w:rFonts w:ascii="Calibri" w:hAnsi="Calibri"/>
                <w:bCs/>
                <w:color w:val="auto"/>
                <w:szCs w:val="21"/>
              </w:rPr>
            </w:pPr>
          </w:p>
        </w:tc>
        <w:tc>
          <w:tcPr>
            <w:tcW w:w="836" w:type="dxa"/>
            <w:vMerge/>
            <w:vAlign w:val="center"/>
          </w:tcPr>
          <w:p w14:paraId="1E026556" w14:textId="77777777" w:rsidR="006F687F" w:rsidRDefault="006F687F" w:rsidP="006F687F">
            <w:pPr>
              <w:jc w:val="center"/>
              <w:rPr>
                <w:rFonts w:ascii="Calibri" w:hAnsi="Calibri"/>
                <w:bCs/>
                <w:color w:val="auto"/>
                <w:szCs w:val="21"/>
              </w:rPr>
            </w:pPr>
          </w:p>
        </w:tc>
        <w:tc>
          <w:tcPr>
            <w:tcW w:w="776" w:type="dxa"/>
            <w:vMerge/>
            <w:vAlign w:val="center"/>
          </w:tcPr>
          <w:p w14:paraId="5CF64BB1" w14:textId="77777777" w:rsidR="006F687F" w:rsidRDefault="006F687F" w:rsidP="006F687F">
            <w:pPr>
              <w:jc w:val="center"/>
              <w:rPr>
                <w:rFonts w:ascii="Calibri" w:hAnsi="Calibri"/>
                <w:bCs/>
                <w:color w:val="auto"/>
                <w:szCs w:val="21"/>
              </w:rPr>
            </w:pPr>
          </w:p>
        </w:tc>
      </w:tr>
      <w:tr w:rsidR="006F687F" w:rsidRPr="00964557" w14:paraId="67D1FC03" w14:textId="77777777" w:rsidTr="003C3DBE">
        <w:trPr>
          <w:trHeight w:val="340"/>
        </w:trPr>
        <w:tc>
          <w:tcPr>
            <w:tcW w:w="527" w:type="dxa"/>
            <w:vMerge/>
            <w:vAlign w:val="center"/>
          </w:tcPr>
          <w:p w14:paraId="187418D9" w14:textId="77777777" w:rsidR="006F687F" w:rsidRPr="00964557" w:rsidRDefault="006F687F" w:rsidP="006F687F">
            <w:pPr>
              <w:jc w:val="center"/>
              <w:rPr>
                <w:rFonts w:ascii="Calibri" w:hAnsi="Calibri"/>
                <w:bCs/>
                <w:color w:val="auto"/>
                <w:szCs w:val="21"/>
              </w:rPr>
            </w:pPr>
          </w:p>
        </w:tc>
        <w:tc>
          <w:tcPr>
            <w:tcW w:w="938" w:type="dxa"/>
            <w:vMerge/>
            <w:vAlign w:val="center"/>
          </w:tcPr>
          <w:p w14:paraId="38E9F973" w14:textId="77777777" w:rsidR="006F687F" w:rsidRPr="00964557" w:rsidRDefault="006F687F" w:rsidP="006F687F">
            <w:pPr>
              <w:jc w:val="center"/>
              <w:rPr>
                <w:rFonts w:ascii="Calibri" w:hAnsi="Calibri"/>
                <w:bCs/>
                <w:color w:val="auto"/>
                <w:szCs w:val="21"/>
              </w:rPr>
            </w:pPr>
          </w:p>
        </w:tc>
        <w:tc>
          <w:tcPr>
            <w:tcW w:w="2126" w:type="dxa"/>
            <w:vAlign w:val="center"/>
          </w:tcPr>
          <w:p w14:paraId="03138899" w14:textId="77777777" w:rsidR="006F687F" w:rsidRPr="00176833" w:rsidRDefault="006F687F" w:rsidP="006F687F">
            <w:pPr>
              <w:jc w:val="center"/>
              <w:rPr>
                <w:rFonts w:ascii="Calibri" w:hAnsi="Calibri"/>
                <w:color w:val="auto"/>
                <w:szCs w:val="21"/>
              </w:rPr>
            </w:pPr>
            <w:r>
              <w:rPr>
                <w:rFonts w:asciiTheme="minorHAnsi" w:hAnsiTheme="minorHAnsi" w:cstheme="minorHAnsi"/>
                <w:color w:val="auto"/>
                <w:szCs w:val="21"/>
              </w:rPr>
              <w:t>3</w:t>
            </w:r>
            <w:r>
              <w:rPr>
                <w:rFonts w:asciiTheme="minorHAnsi" w:hAnsiTheme="minorHAnsi" w:cstheme="minorHAnsi" w:hint="eastAsia"/>
                <w:color w:val="auto"/>
                <w:szCs w:val="21"/>
              </w:rPr>
              <w:t>#</w:t>
            </w:r>
            <w:r>
              <w:rPr>
                <w:rFonts w:asciiTheme="minorHAnsi" w:hAnsiTheme="minorHAnsi" w:cstheme="minorHAnsi" w:hint="eastAsia"/>
                <w:color w:val="auto"/>
                <w:szCs w:val="21"/>
              </w:rPr>
              <w:t>物料转移</w:t>
            </w:r>
            <w:r w:rsidRPr="00176833">
              <w:rPr>
                <w:rFonts w:asciiTheme="minorHAnsi" w:hAnsiTheme="minorHAnsi" w:cstheme="minorHAnsi"/>
                <w:color w:val="auto"/>
                <w:szCs w:val="21"/>
              </w:rPr>
              <w:t>泵</w:t>
            </w:r>
          </w:p>
        </w:tc>
        <w:tc>
          <w:tcPr>
            <w:tcW w:w="789" w:type="dxa"/>
            <w:vAlign w:val="center"/>
          </w:tcPr>
          <w:p w14:paraId="1F6C0490"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0DF7DDE3"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79080236"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4349CD06"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21.47</w:t>
            </w:r>
          </w:p>
        </w:tc>
        <w:tc>
          <w:tcPr>
            <w:tcW w:w="836" w:type="dxa"/>
            <w:vAlign w:val="center"/>
          </w:tcPr>
          <w:p w14:paraId="014B3F51"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-35.76</w:t>
            </w:r>
          </w:p>
        </w:tc>
        <w:tc>
          <w:tcPr>
            <w:tcW w:w="698" w:type="dxa"/>
            <w:vAlign w:val="center"/>
          </w:tcPr>
          <w:p w14:paraId="3EC8BBA0" w14:textId="77777777" w:rsidR="006F687F" w:rsidRDefault="006F687F" w:rsidP="006F687F">
            <w:pPr>
              <w:jc w:val="center"/>
              <w:rPr>
                <w:rFonts w:ascii="Calibri" w:hAnsi="Calibri"/>
                <w:bCs/>
                <w:color w:val="auto"/>
                <w:szCs w:val="21"/>
              </w:rPr>
            </w:pPr>
            <w:r>
              <w:rPr>
                <w:rFonts w:ascii="Calibri" w:hAnsi="Calibri"/>
                <w:bCs/>
                <w:color w:val="auto"/>
                <w:szCs w:val="21"/>
              </w:rPr>
              <w:t>16</w:t>
            </w:r>
          </w:p>
        </w:tc>
        <w:tc>
          <w:tcPr>
            <w:tcW w:w="698" w:type="dxa"/>
            <w:vAlign w:val="center"/>
          </w:tcPr>
          <w:p w14:paraId="35D2C19E" w14:textId="77777777" w:rsidR="006F687F" w:rsidRPr="00964557" w:rsidRDefault="006F687F" w:rsidP="006F687F">
            <w:pPr>
              <w:jc w:val="center"/>
              <w:rPr>
                <w:rFonts w:ascii="Calibri" w:hAnsi="Calibri"/>
                <w:bCs/>
                <w:color w:val="auto"/>
                <w:szCs w:val="21"/>
              </w:rPr>
            </w:pPr>
            <w:r>
              <w:rPr>
                <w:rFonts w:ascii="Calibri" w:hAnsi="Calibri"/>
                <w:bCs/>
                <w:color w:val="auto"/>
                <w:szCs w:val="21"/>
              </w:rPr>
              <w:t>7</w:t>
            </w:r>
          </w:p>
        </w:tc>
        <w:tc>
          <w:tcPr>
            <w:tcW w:w="697" w:type="dxa"/>
            <w:vAlign w:val="center"/>
          </w:tcPr>
          <w:p w14:paraId="715A9D31"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57.19 </w:t>
            </w:r>
          </w:p>
        </w:tc>
        <w:tc>
          <w:tcPr>
            <w:tcW w:w="1252" w:type="dxa"/>
            <w:vAlign w:val="center"/>
          </w:tcPr>
          <w:p w14:paraId="3C4D55FD"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7DE8A80B" w14:textId="77777777" w:rsidR="006F687F" w:rsidRPr="00964557" w:rsidRDefault="006F687F" w:rsidP="006F687F">
            <w:pPr>
              <w:jc w:val="center"/>
              <w:rPr>
                <w:rFonts w:ascii="Calibri" w:hAnsi="Calibri"/>
                <w:bCs/>
                <w:color w:val="auto"/>
                <w:szCs w:val="21"/>
              </w:rPr>
            </w:pPr>
          </w:p>
        </w:tc>
        <w:tc>
          <w:tcPr>
            <w:tcW w:w="836" w:type="dxa"/>
            <w:vMerge/>
            <w:vAlign w:val="center"/>
          </w:tcPr>
          <w:p w14:paraId="6183A5BB" w14:textId="77777777" w:rsidR="006F687F" w:rsidRDefault="006F687F" w:rsidP="006F687F">
            <w:pPr>
              <w:jc w:val="center"/>
              <w:rPr>
                <w:rFonts w:ascii="Calibri" w:hAnsi="Calibri"/>
                <w:bCs/>
                <w:color w:val="auto"/>
                <w:szCs w:val="21"/>
              </w:rPr>
            </w:pPr>
          </w:p>
        </w:tc>
        <w:tc>
          <w:tcPr>
            <w:tcW w:w="776" w:type="dxa"/>
            <w:vMerge/>
            <w:vAlign w:val="center"/>
          </w:tcPr>
          <w:p w14:paraId="1279DAF7" w14:textId="77777777" w:rsidR="006F687F" w:rsidRDefault="006F687F" w:rsidP="006F687F">
            <w:pPr>
              <w:jc w:val="center"/>
              <w:rPr>
                <w:rFonts w:ascii="Calibri" w:hAnsi="Calibri"/>
                <w:bCs/>
                <w:color w:val="auto"/>
                <w:szCs w:val="21"/>
              </w:rPr>
            </w:pPr>
          </w:p>
        </w:tc>
      </w:tr>
      <w:tr w:rsidR="006F687F" w:rsidRPr="00964557" w14:paraId="7AD583F9" w14:textId="77777777" w:rsidTr="003C3DBE">
        <w:trPr>
          <w:trHeight w:val="340"/>
        </w:trPr>
        <w:tc>
          <w:tcPr>
            <w:tcW w:w="527" w:type="dxa"/>
            <w:vMerge/>
            <w:vAlign w:val="center"/>
          </w:tcPr>
          <w:p w14:paraId="7DBDE776" w14:textId="77777777" w:rsidR="006F687F" w:rsidRPr="00964557" w:rsidRDefault="006F687F" w:rsidP="006F687F">
            <w:pPr>
              <w:jc w:val="center"/>
              <w:rPr>
                <w:rFonts w:ascii="Calibri" w:hAnsi="Calibri"/>
                <w:bCs/>
                <w:color w:val="auto"/>
                <w:szCs w:val="21"/>
              </w:rPr>
            </w:pPr>
          </w:p>
        </w:tc>
        <w:tc>
          <w:tcPr>
            <w:tcW w:w="938" w:type="dxa"/>
            <w:vMerge/>
            <w:vAlign w:val="center"/>
          </w:tcPr>
          <w:p w14:paraId="79659B0A" w14:textId="77777777" w:rsidR="006F687F" w:rsidRPr="00964557" w:rsidRDefault="006F687F" w:rsidP="006F687F">
            <w:pPr>
              <w:jc w:val="center"/>
              <w:rPr>
                <w:rFonts w:ascii="Calibri" w:hAnsi="Calibri"/>
                <w:bCs/>
                <w:color w:val="auto"/>
                <w:szCs w:val="21"/>
              </w:rPr>
            </w:pPr>
          </w:p>
        </w:tc>
        <w:tc>
          <w:tcPr>
            <w:tcW w:w="2126" w:type="dxa"/>
            <w:vAlign w:val="center"/>
          </w:tcPr>
          <w:p w14:paraId="49F9D488" w14:textId="77777777" w:rsidR="006F687F" w:rsidRPr="00176833" w:rsidRDefault="006F687F" w:rsidP="006F687F">
            <w:pPr>
              <w:jc w:val="center"/>
              <w:rPr>
                <w:rFonts w:ascii="Calibri" w:hAnsi="Calibri"/>
                <w:color w:val="auto"/>
                <w:szCs w:val="21"/>
              </w:rPr>
            </w:pPr>
            <w:r>
              <w:rPr>
                <w:rFonts w:asciiTheme="minorHAnsi" w:hAnsiTheme="minorHAnsi" w:cstheme="minorHAnsi"/>
                <w:color w:val="auto"/>
                <w:szCs w:val="21"/>
              </w:rPr>
              <w:t>4</w:t>
            </w:r>
            <w:r>
              <w:rPr>
                <w:rFonts w:asciiTheme="minorHAnsi" w:hAnsiTheme="minorHAnsi" w:cstheme="minorHAnsi" w:hint="eastAsia"/>
                <w:color w:val="auto"/>
                <w:szCs w:val="21"/>
              </w:rPr>
              <w:t>#</w:t>
            </w:r>
            <w:r>
              <w:rPr>
                <w:rFonts w:asciiTheme="minorHAnsi" w:hAnsiTheme="minorHAnsi" w:cstheme="minorHAnsi" w:hint="eastAsia"/>
                <w:color w:val="auto"/>
                <w:szCs w:val="21"/>
              </w:rPr>
              <w:t>物料转移</w:t>
            </w:r>
            <w:r w:rsidRPr="00176833">
              <w:rPr>
                <w:rFonts w:asciiTheme="minorHAnsi" w:hAnsiTheme="minorHAnsi" w:cstheme="minorHAnsi"/>
                <w:color w:val="auto"/>
                <w:szCs w:val="21"/>
              </w:rPr>
              <w:t>泵</w:t>
            </w:r>
          </w:p>
        </w:tc>
        <w:tc>
          <w:tcPr>
            <w:tcW w:w="789" w:type="dxa"/>
            <w:vAlign w:val="center"/>
          </w:tcPr>
          <w:p w14:paraId="105B2FAA"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15404076"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5CF5AF14"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584A85A7"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-23.57</w:t>
            </w:r>
          </w:p>
        </w:tc>
        <w:tc>
          <w:tcPr>
            <w:tcW w:w="836" w:type="dxa"/>
            <w:vAlign w:val="center"/>
          </w:tcPr>
          <w:p w14:paraId="3DF64D61"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-40.05</w:t>
            </w:r>
          </w:p>
        </w:tc>
        <w:tc>
          <w:tcPr>
            <w:tcW w:w="698" w:type="dxa"/>
            <w:vAlign w:val="center"/>
          </w:tcPr>
          <w:p w14:paraId="2D0369CA" w14:textId="77777777" w:rsidR="006F687F" w:rsidRDefault="006F687F" w:rsidP="006F687F">
            <w:pPr>
              <w:jc w:val="center"/>
              <w:rPr>
                <w:rFonts w:ascii="Calibri" w:hAnsi="Calibri"/>
                <w:bCs/>
                <w:color w:val="auto"/>
                <w:szCs w:val="21"/>
              </w:rPr>
            </w:pPr>
            <w:r>
              <w:rPr>
                <w:rFonts w:ascii="Calibri" w:hAnsi="Calibri"/>
                <w:bCs/>
                <w:color w:val="auto"/>
                <w:szCs w:val="21"/>
              </w:rPr>
              <w:t>16</w:t>
            </w:r>
          </w:p>
        </w:tc>
        <w:tc>
          <w:tcPr>
            <w:tcW w:w="698" w:type="dxa"/>
            <w:vAlign w:val="center"/>
          </w:tcPr>
          <w:p w14:paraId="76FE4545" w14:textId="77777777" w:rsidR="006F687F" w:rsidRPr="00964557" w:rsidRDefault="006F687F" w:rsidP="006F687F">
            <w:pPr>
              <w:jc w:val="center"/>
              <w:rPr>
                <w:rFonts w:ascii="Calibri" w:hAnsi="Calibri"/>
                <w:bCs/>
                <w:color w:val="auto"/>
                <w:szCs w:val="21"/>
              </w:rPr>
            </w:pPr>
            <w:r>
              <w:rPr>
                <w:rFonts w:ascii="Calibri" w:hAnsi="Calibri"/>
                <w:bCs/>
                <w:color w:val="auto"/>
                <w:szCs w:val="21"/>
              </w:rPr>
              <w:t>7</w:t>
            </w:r>
          </w:p>
        </w:tc>
        <w:tc>
          <w:tcPr>
            <w:tcW w:w="697" w:type="dxa"/>
            <w:vAlign w:val="center"/>
          </w:tcPr>
          <w:p w14:paraId="13B44E92"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57.19 </w:t>
            </w:r>
          </w:p>
        </w:tc>
        <w:tc>
          <w:tcPr>
            <w:tcW w:w="1252" w:type="dxa"/>
            <w:vAlign w:val="center"/>
          </w:tcPr>
          <w:p w14:paraId="0736FD1A"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63987B8D" w14:textId="77777777" w:rsidR="006F687F" w:rsidRPr="00964557" w:rsidRDefault="006F687F" w:rsidP="006F687F">
            <w:pPr>
              <w:jc w:val="center"/>
              <w:rPr>
                <w:rFonts w:ascii="Calibri" w:hAnsi="Calibri"/>
                <w:bCs/>
                <w:color w:val="auto"/>
                <w:szCs w:val="21"/>
              </w:rPr>
            </w:pPr>
          </w:p>
        </w:tc>
        <w:tc>
          <w:tcPr>
            <w:tcW w:w="836" w:type="dxa"/>
            <w:vMerge/>
            <w:vAlign w:val="center"/>
          </w:tcPr>
          <w:p w14:paraId="6BC8B766" w14:textId="77777777" w:rsidR="006F687F" w:rsidRDefault="006F687F" w:rsidP="006F687F">
            <w:pPr>
              <w:jc w:val="center"/>
              <w:rPr>
                <w:rFonts w:ascii="Calibri" w:hAnsi="Calibri"/>
                <w:bCs/>
                <w:color w:val="auto"/>
                <w:szCs w:val="21"/>
              </w:rPr>
            </w:pPr>
          </w:p>
        </w:tc>
        <w:tc>
          <w:tcPr>
            <w:tcW w:w="776" w:type="dxa"/>
            <w:vMerge/>
            <w:vAlign w:val="center"/>
          </w:tcPr>
          <w:p w14:paraId="0E30A278" w14:textId="77777777" w:rsidR="006F687F" w:rsidRDefault="006F687F" w:rsidP="006F687F">
            <w:pPr>
              <w:jc w:val="center"/>
              <w:rPr>
                <w:rFonts w:ascii="Calibri" w:hAnsi="Calibri"/>
                <w:bCs/>
                <w:color w:val="auto"/>
                <w:szCs w:val="21"/>
              </w:rPr>
            </w:pPr>
          </w:p>
        </w:tc>
      </w:tr>
      <w:tr w:rsidR="006F687F" w:rsidRPr="00964557" w14:paraId="279C3E20" w14:textId="77777777" w:rsidTr="003C3DBE">
        <w:trPr>
          <w:trHeight w:val="340"/>
        </w:trPr>
        <w:tc>
          <w:tcPr>
            <w:tcW w:w="527" w:type="dxa"/>
            <w:vMerge/>
            <w:vAlign w:val="center"/>
          </w:tcPr>
          <w:p w14:paraId="6C34D201" w14:textId="77777777" w:rsidR="006F687F" w:rsidRPr="00964557" w:rsidRDefault="006F687F" w:rsidP="006F687F">
            <w:pPr>
              <w:jc w:val="center"/>
              <w:rPr>
                <w:rFonts w:ascii="Calibri" w:hAnsi="Calibri"/>
                <w:bCs/>
                <w:color w:val="auto"/>
                <w:szCs w:val="21"/>
              </w:rPr>
            </w:pPr>
          </w:p>
        </w:tc>
        <w:tc>
          <w:tcPr>
            <w:tcW w:w="938" w:type="dxa"/>
            <w:vMerge/>
            <w:vAlign w:val="center"/>
          </w:tcPr>
          <w:p w14:paraId="41695597" w14:textId="77777777" w:rsidR="006F687F" w:rsidRPr="00964557" w:rsidRDefault="006F687F" w:rsidP="006F687F">
            <w:pPr>
              <w:jc w:val="center"/>
              <w:rPr>
                <w:rFonts w:ascii="Calibri" w:hAnsi="Calibri"/>
                <w:bCs/>
                <w:color w:val="auto"/>
                <w:szCs w:val="21"/>
              </w:rPr>
            </w:pPr>
          </w:p>
        </w:tc>
        <w:tc>
          <w:tcPr>
            <w:tcW w:w="2126" w:type="dxa"/>
            <w:vAlign w:val="center"/>
          </w:tcPr>
          <w:p w14:paraId="01056AFC" w14:textId="77777777" w:rsidR="006F687F" w:rsidRPr="00176833" w:rsidRDefault="006F687F" w:rsidP="006F687F">
            <w:pPr>
              <w:jc w:val="center"/>
              <w:rPr>
                <w:rFonts w:ascii="Calibri" w:hAnsi="Calibri"/>
                <w:color w:val="auto"/>
                <w:szCs w:val="21"/>
              </w:rPr>
            </w:pPr>
            <w:r>
              <w:rPr>
                <w:rFonts w:asciiTheme="minorHAnsi" w:hAnsiTheme="minorHAnsi" w:cstheme="minorHAnsi"/>
                <w:color w:val="auto"/>
                <w:szCs w:val="21"/>
              </w:rPr>
              <w:t>1</w:t>
            </w:r>
            <w:r>
              <w:rPr>
                <w:rFonts w:asciiTheme="minorHAnsi" w:hAnsiTheme="minorHAnsi" w:cstheme="minorHAnsi" w:hint="eastAsia"/>
                <w:color w:val="auto"/>
                <w:szCs w:val="21"/>
              </w:rPr>
              <w:t>#</w:t>
            </w:r>
            <w:r>
              <w:rPr>
                <w:rFonts w:ascii="Calibri" w:hAnsi="Calibri" w:hint="eastAsia"/>
                <w:color w:val="auto"/>
                <w:szCs w:val="21"/>
              </w:rPr>
              <w:t>真空泵</w:t>
            </w:r>
          </w:p>
        </w:tc>
        <w:tc>
          <w:tcPr>
            <w:tcW w:w="789" w:type="dxa"/>
            <w:vAlign w:val="center"/>
          </w:tcPr>
          <w:p w14:paraId="47E5F2F4"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5BA65754" w14:textId="77777777" w:rsidR="006F687F" w:rsidRPr="00964557" w:rsidRDefault="006F687F" w:rsidP="006F687F">
            <w:pPr>
              <w:jc w:val="center"/>
              <w:rPr>
                <w:rFonts w:ascii="Calibri" w:hAnsi="Calibri"/>
                <w:bCs/>
                <w:color w:val="auto"/>
                <w:szCs w:val="21"/>
              </w:rPr>
            </w:pPr>
            <w:r>
              <w:rPr>
                <w:rFonts w:ascii="Calibri" w:hAnsi="Calibri"/>
                <w:bCs/>
                <w:color w:val="auto"/>
                <w:szCs w:val="21"/>
              </w:rPr>
              <w:t>85</w:t>
            </w:r>
          </w:p>
        </w:tc>
        <w:tc>
          <w:tcPr>
            <w:tcW w:w="1139" w:type="dxa"/>
            <w:vAlign w:val="center"/>
          </w:tcPr>
          <w:p w14:paraId="17710AE8"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66BC3481"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-25.26</w:t>
            </w:r>
          </w:p>
        </w:tc>
        <w:tc>
          <w:tcPr>
            <w:tcW w:w="836" w:type="dxa"/>
            <w:vAlign w:val="center"/>
          </w:tcPr>
          <w:p w14:paraId="5D372AFA"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-16.43</w:t>
            </w:r>
          </w:p>
        </w:tc>
        <w:tc>
          <w:tcPr>
            <w:tcW w:w="698" w:type="dxa"/>
            <w:vAlign w:val="center"/>
          </w:tcPr>
          <w:p w14:paraId="2878AB2A" w14:textId="77777777" w:rsidR="006F687F" w:rsidRDefault="006F687F" w:rsidP="006F687F">
            <w:pPr>
              <w:jc w:val="center"/>
              <w:rPr>
                <w:rFonts w:ascii="Calibri" w:hAnsi="Calibri"/>
                <w:bCs/>
                <w:color w:val="auto"/>
                <w:szCs w:val="21"/>
              </w:rPr>
            </w:pPr>
            <w:r>
              <w:rPr>
                <w:rFonts w:ascii="Calibri" w:hAnsi="Calibri"/>
                <w:bCs/>
                <w:color w:val="auto"/>
                <w:szCs w:val="21"/>
              </w:rPr>
              <w:t>5</w:t>
            </w:r>
          </w:p>
        </w:tc>
        <w:tc>
          <w:tcPr>
            <w:tcW w:w="698" w:type="dxa"/>
            <w:vAlign w:val="center"/>
          </w:tcPr>
          <w:p w14:paraId="384B24C7" w14:textId="77777777" w:rsidR="006F687F" w:rsidRPr="00964557" w:rsidRDefault="006F687F" w:rsidP="006F687F">
            <w:pPr>
              <w:jc w:val="center"/>
              <w:rPr>
                <w:rFonts w:ascii="Calibri" w:hAnsi="Calibri"/>
                <w:bCs/>
                <w:color w:val="auto"/>
                <w:szCs w:val="21"/>
              </w:rPr>
            </w:pPr>
            <w:r>
              <w:rPr>
                <w:rFonts w:ascii="Calibri" w:hAnsi="Calibri"/>
                <w:bCs/>
                <w:color w:val="auto"/>
                <w:szCs w:val="21"/>
              </w:rPr>
              <w:t>2</w:t>
            </w:r>
          </w:p>
        </w:tc>
        <w:tc>
          <w:tcPr>
            <w:tcW w:w="697" w:type="dxa"/>
            <w:vAlign w:val="center"/>
          </w:tcPr>
          <w:p w14:paraId="35CEBAD0"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68.00 </w:t>
            </w:r>
          </w:p>
        </w:tc>
        <w:tc>
          <w:tcPr>
            <w:tcW w:w="1252" w:type="dxa"/>
            <w:vAlign w:val="center"/>
          </w:tcPr>
          <w:p w14:paraId="56E19334"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26D92355" w14:textId="77777777" w:rsidR="006F687F" w:rsidRPr="00964557" w:rsidRDefault="006F687F" w:rsidP="006F687F">
            <w:pPr>
              <w:jc w:val="center"/>
              <w:rPr>
                <w:rFonts w:ascii="Calibri" w:hAnsi="Calibri"/>
                <w:bCs/>
                <w:color w:val="auto"/>
                <w:szCs w:val="21"/>
              </w:rPr>
            </w:pPr>
          </w:p>
        </w:tc>
        <w:tc>
          <w:tcPr>
            <w:tcW w:w="836" w:type="dxa"/>
            <w:vMerge/>
            <w:vAlign w:val="center"/>
          </w:tcPr>
          <w:p w14:paraId="732D4DDD" w14:textId="77777777" w:rsidR="006F687F" w:rsidRDefault="006F687F" w:rsidP="006F687F">
            <w:pPr>
              <w:jc w:val="center"/>
              <w:rPr>
                <w:rFonts w:ascii="Calibri" w:hAnsi="Calibri"/>
                <w:bCs/>
                <w:color w:val="auto"/>
                <w:szCs w:val="21"/>
              </w:rPr>
            </w:pPr>
          </w:p>
        </w:tc>
        <w:tc>
          <w:tcPr>
            <w:tcW w:w="776" w:type="dxa"/>
            <w:vMerge/>
            <w:vAlign w:val="center"/>
          </w:tcPr>
          <w:p w14:paraId="2C111D42" w14:textId="77777777" w:rsidR="006F687F" w:rsidRDefault="006F687F" w:rsidP="006F687F">
            <w:pPr>
              <w:jc w:val="center"/>
              <w:rPr>
                <w:rFonts w:ascii="Calibri" w:hAnsi="Calibri"/>
                <w:bCs/>
                <w:color w:val="auto"/>
                <w:szCs w:val="21"/>
              </w:rPr>
            </w:pPr>
          </w:p>
        </w:tc>
      </w:tr>
      <w:tr w:rsidR="006F687F" w:rsidRPr="00964557" w14:paraId="635FE493" w14:textId="77777777" w:rsidTr="003C3DBE">
        <w:trPr>
          <w:trHeight w:val="340"/>
        </w:trPr>
        <w:tc>
          <w:tcPr>
            <w:tcW w:w="527" w:type="dxa"/>
            <w:vMerge/>
            <w:vAlign w:val="center"/>
          </w:tcPr>
          <w:p w14:paraId="3008209A" w14:textId="77777777" w:rsidR="006F687F" w:rsidRPr="00964557" w:rsidRDefault="006F687F" w:rsidP="006F687F">
            <w:pPr>
              <w:jc w:val="center"/>
              <w:rPr>
                <w:rFonts w:ascii="Calibri" w:hAnsi="Calibri"/>
                <w:bCs/>
                <w:color w:val="auto"/>
                <w:szCs w:val="21"/>
              </w:rPr>
            </w:pPr>
          </w:p>
        </w:tc>
        <w:tc>
          <w:tcPr>
            <w:tcW w:w="938" w:type="dxa"/>
            <w:vMerge/>
            <w:vAlign w:val="center"/>
          </w:tcPr>
          <w:p w14:paraId="42D778A8" w14:textId="77777777" w:rsidR="006F687F" w:rsidRPr="00964557" w:rsidRDefault="006F687F" w:rsidP="006F687F">
            <w:pPr>
              <w:jc w:val="center"/>
              <w:rPr>
                <w:rFonts w:ascii="Calibri" w:hAnsi="Calibri"/>
                <w:bCs/>
                <w:color w:val="auto"/>
                <w:szCs w:val="21"/>
              </w:rPr>
            </w:pPr>
          </w:p>
        </w:tc>
        <w:tc>
          <w:tcPr>
            <w:tcW w:w="2126" w:type="dxa"/>
            <w:vAlign w:val="center"/>
          </w:tcPr>
          <w:p w14:paraId="5F3C8E29" w14:textId="77777777" w:rsidR="006F687F" w:rsidRPr="00FA5615" w:rsidRDefault="006F687F" w:rsidP="006F687F">
            <w:pPr>
              <w:jc w:val="center"/>
              <w:rPr>
                <w:rFonts w:ascii="Calibri" w:hAnsi="Calibri"/>
                <w:color w:val="auto"/>
                <w:szCs w:val="21"/>
              </w:rPr>
            </w:pPr>
            <w:r>
              <w:rPr>
                <w:rFonts w:ascii="Calibri" w:hAnsi="Calibri" w:hint="eastAsia"/>
                <w:color w:val="auto"/>
                <w:szCs w:val="21"/>
              </w:rPr>
              <w:t>1#</w:t>
            </w:r>
            <w:r>
              <w:rPr>
                <w:rFonts w:ascii="Calibri" w:hAnsi="Calibri" w:hint="eastAsia"/>
                <w:color w:val="auto"/>
                <w:szCs w:val="21"/>
              </w:rPr>
              <w:t>纯水</w:t>
            </w:r>
            <w:r>
              <w:rPr>
                <w:rFonts w:ascii="Calibri" w:hAnsi="Calibri"/>
                <w:color w:val="auto"/>
                <w:szCs w:val="21"/>
              </w:rPr>
              <w:t>制备泵</w:t>
            </w:r>
            <w:r w:rsidRPr="00FA5615">
              <w:rPr>
                <w:rFonts w:ascii="Calibri" w:hAnsi="Calibri"/>
                <w:color w:val="auto"/>
                <w:szCs w:val="21"/>
              </w:rPr>
              <w:t xml:space="preserve"> </w:t>
            </w:r>
          </w:p>
        </w:tc>
        <w:tc>
          <w:tcPr>
            <w:tcW w:w="789" w:type="dxa"/>
            <w:vAlign w:val="center"/>
          </w:tcPr>
          <w:p w14:paraId="31269F86"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31C2AF59"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14CDB0BE"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32022079"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-22.64</w:t>
            </w:r>
          </w:p>
        </w:tc>
        <w:tc>
          <w:tcPr>
            <w:tcW w:w="836" w:type="dxa"/>
            <w:vAlign w:val="center"/>
          </w:tcPr>
          <w:p w14:paraId="16A48552"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37.85</w:t>
            </w:r>
          </w:p>
        </w:tc>
        <w:tc>
          <w:tcPr>
            <w:tcW w:w="698" w:type="dxa"/>
            <w:vAlign w:val="center"/>
          </w:tcPr>
          <w:p w14:paraId="409B5994"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22C864D9" w14:textId="77777777" w:rsidR="006F687F" w:rsidRPr="00964557" w:rsidRDefault="006F687F" w:rsidP="006F687F">
            <w:pPr>
              <w:jc w:val="center"/>
              <w:rPr>
                <w:rFonts w:ascii="Calibri" w:hAnsi="Calibri"/>
                <w:bCs/>
                <w:color w:val="auto"/>
                <w:szCs w:val="21"/>
              </w:rPr>
            </w:pPr>
            <w:r>
              <w:rPr>
                <w:rFonts w:ascii="Calibri" w:hAnsi="Calibri"/>
                <w:bCs/>
                <w:color w:val="auto"/>
                <w:szCs w:val="21"/>
              </w:rPr>
              <w:t>4</w:t>
            </w:r>
          </w:p>
        </w:tc>
        <w:tc>
          <w:tcPr>
            <w:tcW w:w="697" w:type="dxa"/>
            <w:vAlign w:val="center"/>
          </w:tcPr>
          <w:p w14:paraId="7CD1A9C0"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62.00 </w:t>
            </w:r>
          </w:p>
        </w:tc>
        <w:tc>
          <w:tcPr>
            <w:tcW w:w="1252" w:type="dxa"/>
            <w:vAlign w:val="center"/>
          </w:tcPr>
          <w:p w14:paraId="126A318D"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0EFB9903" w14:textId="77777777" w:rsidR="006F687F" w:rsidRPr="00964557" w:rsidRDefault="006F687F" w:rsidP="006F687F">
            <w:pPr>
              <w:jc w:val="center"/>
              <w:rPr>
                <w:rFonts w:ascii="Calibri" w:hAnsi="Calibri"/>
                <w:bCs/>
                <w:color w:val="auto"/>
                <w:szCs w:val="21"/>
              </w:rPr>
            </w:pPr>
          </w:p>
        </w:tc>
        <w:tc>
          <w:tcPr>
            <w:tcW w:w="836" w:type="dxa"/>
            <w:vMerge/>
            <w:vAlign w:val="center"/>
          </w:tcPr>
          <w:p w14:paraId="6529B0B3" w14:textId="77777777" w:rsidR="006F687F" w:rsidRDefault="006F687F" w:rsidP="006F687F">
            <w:pPr>
              <w:jc w:val="center"/>
              <w:rPr>
                <w:rFonts w:ascii="Calibri" w:hAnsi="Calibri"/>
                <w:bCs/>
                <w:color w:val="auto"/>
                <w:szCs w:val="21"/>
              </w:rPr>
            </w:pPr>
          </w:p>
        </w:tc>
        <w:tc>
          <w:tcPr>
            <w:tcW w:w="776" w:type="dxa"/>
            <w:vMerge/>
            <w:vAlign w:val="center"/>
          </w:tcPr>
          <w:p w14:paraId="0B6CAE1A" w14:textId="77777777" w:rsidR="006F687F" w:rsidRDefault="006F687F" w:rsidP="006F687F">
            <w:pPr>
              <w:jc w:val="center"/>
              <w:rPr>
                <w:rFonts w:ascii="Calibri" w:hAnsi="Calibri"/>
                <w:bCs/>
                <w:color w:val="auto"/>
                <w:szCs w:val="21"/>
              </w:rPr>
            </w:pPr>
          </w:p>
        </w:tc>
      </w:tr>
      <w:tr w:rsidR="006F687F" w:rsidRPr="00964557" w14:paraId="2150A43F" w14:textId="77777777" w:rsidTr="003C3DBE">
        <w:trPr>
          <w:trHeight w:val="340"/>
        </w:trPr>
        <w:tc>
          <w:tcPr>
            <w:tcW w:w="527" w:type="dxa"/>
            <w:vMerge/>
            <w:vAlign w:val="center"/>
          </w:tcPr>
          <w:p w14:paraId="70D0C007" w14:textId="77777777" w:rsidR="006F687F" w:rsidRPr="00964557" w:rsidRDefault="006F687F" w:rsidP="006F687F">
            <w:pPr>
              <w:jc w:val="center"/>
              <w:rPr>
                <w:rFonts w:ascii="Calibri" w:hAnsi="Calibri"/>
                <w:bCs/>
                <w:color w:val="auto"/>
                <w:szCs w:val="21"/>
              </w:rPr>
            </w:pPr>
          </w:p>
        </w:tc>
        <w:tc>
          <w:tcPr>
            <w:tcW w:w="938" w:type="dxa"/>
            <w:vMerge/>
            <w:vAlign w:val="center"/>
          </w:tcPr>
          <w:p w14:paraId="1363CA93" w14:textId="77777777" w:rsidR="006F687F" w:rsidRPr="00964557" w:rsidRDefault="006F687F" w:rsidP="006F687F">
            <w:pPr>
              <w:jc w:val="center"/>
              <w:rPr>
                <w:rFonts w:ascii="Calibri" w:hAnsi="Calibri"/>
                <w:bCs/>
                <w:color w:val="auto"/>
                <w:szCs w:val="21"/>
              </w:rPr>
            </w:pPr>
          </w:p>
        </w:tc>
        <w:tc>
          <w:tcPr>
            <w:tcW w:w="2126" w:type="dxa"/>
            <w:vAlign w:val="center"/>
          </w:tcPr>
          <w:p w14:paraId="765F30F5" w14:textId="77777777" w:rsidR="006F687F" w:rsidRPr="00FA5615" w:rsidRDefault="006F687F" w:rsidP="006F687F">
            <w:pPr>
              <w:jc w:val="center"/>
              <w:rPr>
                <w:rFonts w:ascii="Calibri" w:hAnsi="Calibri"/>
                <w:color w:val="auto"/>
                <w:szCs w:val="21"/>
              </w:rPr>
            </w:pPr>
            <w:r>
              <w:rPr>
                <w:rFonts w:ascii="Calibri" w:hAnsi="Calibri"/>
                <w:color w:val="auto"/>
                <w:szCs w:val="21"/>
              </w:rPr>
              <w:t>1#</w:t>
            </w:r>
            <w:r>
              <w:rPr>
                <w:rFonts w:ascii="Calibri" w:hAnsi="Calibri" w:hint="eastAsia"/>
                <w:color w:val="auto"/>
                <w:szCs w:val="21"/>
              </w:rPr>
              <w:t>制粒</w:t>
            </w:r>
            <w:r>
              <w:rPr>
                <w:rFonts w:ascii="Calibri" w:hAnsi="Calibri"/>
                <w:color w:val="auto"/>
                <w:szCs w:val="21"/>
              </w:rPr>
              <w:t>冷却水泵</w:t>
            </w:r>
          </w:p>
        </w:tc>
        <w:tc>
          <w:tcPr>
            <w:tcW w:w="789" w:type="dxa"/>
            <w:vAlign w:val="center"/>
          </w:tcPr>
          <w:p w14:paraId="3CE612C0"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616A3161" w14:textId="77777777" w:rsidR="006F687F" w:rsidRPr="00964557" w:rsidRDefault="006F687F" w:rsidP="006F687F">
            <w:pPr>
              <w:jc w:val="center"/>
              <w:rPr>
                <w:rFonts w:ascii="Calibri" w:hAnsi="Calibri"/>
                <w:bCs/>
                <w:color w:val="auto"/>
                <w:szCs w:val="21"/>
              </w:rPr>
            </w:pPr>
            <w:r>
              <w:rPr>
                <w:rFonts w:ascii="Calibri" w:hAnsi="Calibri"/>
                <w:bCs/>
                <w:color w:val="auto"/>
                <w:szCs w:val="21"/>
              </w:rPr>
              <w:t>85</w:t>
            </w:r>
          </w:p>
        </w:tc>
        <w:tc>
          <w:tcPr>
            <w:tcW w:w="1139" w:type="dxa"/>
            <w:vAlign w:val="center"/>
          </w:tcPr>
          <w:p w14:paraId="41F54A14"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7A27B40F"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-15.62</w:t>
            </w:r>
          </w:p>
        </w:tc>
        <w:tc>
          <w:tcPr>
            <w:tcW w:w="836" w:type="dxa"/>
            <w:vAlign w:val="center"/>
          </w:tcPr>
          <w:p w14:paraId="603398A3"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18.57</w:t>
            </w:r>
          </w:p>
        </w:tc>
        <w:tc>
          <w:tcPr>
            <w:tcW w:w="698" w:type="dxa"/>
            <w:vAlign w:val="center"/>
          </w:tcPr>
          <w:p w14:paraId="3673825A"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085C8812" w14:textId="77777777" w:rsidR="006F687F" w:rsidRPr="00964557" w:rsidRDefault="006F687F" w:rsidP="006F687F">
            <w:pPr>
              <w:jc w:val="center"/>
              <w:rPr>
                <w:rFonts w:ascii="Calibri" w:hAnsi="Calibri"/>
                <w:bCs/>
                <w:color w:val="auto"/>
                <w:szCs w:val="21"/>
              </w:rPr>
            </w:pPr>
            <w:r>
              <w:rPr>
                <w:rFonts w:ascii="Calibri" w:hAnsi="Calibri"/>
                <w:bCs/>
                <w:color w:val="auto"/>
                <w:szCs w:val="21"/>
              </w:rPr>
              <w:t>4</w:t>
            </w:r>
          </w:p>
        </w:tc>
        <w:tc>
          <w:tcPr>
            <w:tcW w:w="697" w:type="dxa"/>
            <w:vAlign w:val="center"/>
          </w:tcPr>
          <w:p w14:paraId="60DCD80E"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62.00 </w:t>
            </w:r>
          </w:p>
        </w:tc>
        <w:tc>
          <w:tcPr>
            <w:tcW w:w="1252" w:type="dxa"/>
            <w:vAlign w:val="center"/>
          </w:tcPr>
          <w:p w14:paraId="13596FCC"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6922AF5C" w14:textId="77777777" w:rsidR="006F687F" w:rsidRPr="00964557" w:rsidRDefault="006F687F" w:rsidP="006F687F">
            <w:pPr>
              <w:jc w:val="center"/>
              <w:rPr>
                <w:rFonts w:ascii="Calibri" w:hAnsi="Calibri"/>
                <w:bCs/>
                <w:color w:val="auto"/>
                <w:szCs w:val="21"/>
              </w:rPr>
            </w:pPr>
          </w:p>
        </w:tc>
        <w:tc>
          <w:tcPr>
            <w:tcW w:w="836" w:type="dxa"/>
            <w:vMerge/>
            <w:vAlign w:val="center"/>
          </w:tcPr>
          <w:p w14:paraId="72AE5CD9" w14:textId="77777777" w:rsidR="006F687F" w:rsidRDefault="006F687F" w:rsidP="006F687F">
            <w:pPr>
              <w:jc w:val="center"/>
              <w:rPr>
                <w:rFonts w:ascii="Calibri" w:hAnsi="Calibri"/>
                <w:bCs/>
                <w:color w:val="auto"/>
                <w:szCs w:val="21"/>
              </w:rPr>
            </w:pPr>
          </w:p>
        </w:tc>
        <w:tc>
          <w:tcPr>
            <w:tcW w:w="776" w:type="dxa"/>
            <w:vMerge/>
            <w:vAlign w:val="center"/>
          </w:tcPr>
          <w:p w14:paraId="262CD769" w14:textId="77777777" w:rsidR="006F687F" w:rsidRDefault="006F687F" w:rsidP="006F687F">
            <w:pPr>
              <w:jc w:val="center"/>
              <w:rPr>
                <w:rFonts w:ascii="Calibri" w:hAnsi="Calibri"/>
                <w:bCs/>
                <w:color w:val="auto"/>
                <w:szCs w:val="21"/>
              </w:rPr>
            </w:pPr>
          </w:p>
        </w:tc>
      </w:tr>
      <w:tr w:rsidR="006F687F" w:rsidRPr="00964557" w14:paraId="4F3A00A4" w14:textId="77777777" w:rsidTr="003C3DBE">
        <w:trPr>
          <w:trHeight w:val="340"/>
        </w:trPr>
        <w:tc>
          <w:tcPr>
            <w:tcW w:w="527" w:type="dxa"/>
            <w:vMerge/>
            <w:vAlign w:val="center"/>
          </w:tcPr>
          <w:p w14:paraId="2DB9DB35" w14:textId="77777777" w:rsidR="006F687F" w:rsidRPr="00964557" w:rsidRDefault="006F687F" w:rsidP="006F687F">
            <w:pPr>
              <w:jc w:val="center"/>
              <w:rPr>
                <w:rFonts w:ascii="Calibri" w:hAnsi="Calibri"/>
                <w:bCs/>
                <w:color w:val="auto"/>
                <w:szCs w:val="21"/>
              </w:rPr>
            </w:pPr>
          </w:p>
        </w:tc>
        <w:tc>
          <w:tcPr>
            <w:tcW w:w="938" w:type="dxa"/>
            <w:vMerge/>
            <w:vAlign w:val="center"/>
          </w:tcPr>
          <w:p w14:paraId="4E1B3D52" w14:textId="77777777" w:rsidR="006F687F" w:rsidRPr="00964557" w:rsidRDefault="006F687F" w:rsidP="006F687F">
            <w:pPr>
              <w:jc w:val="center"/>
              <w:rPr>
                <w:rFonts w:ascii="Calibri" w:hAnsi="Calibri"/>
                <w:bCs/>
                <w:color w:val="auto"/>
                <w:szCs w:val="21"/>
              </w:rPr>
            </w:pPr>
          </w:p>
        </w:tc>
        <w:tc>
          <w:tcPr>
            <w:tcW w:w="2126" w:type="dxa"/>
            <w:vAlign w:val="center"/>
          </w:tcPr>
          <w:p w14:paraId="060C4E0E" w14:textId="77777777" w:rsidR="006F687F" w:rsidRPr="00176833" w:rsidRDefault="006F687F" w:rsidP="006F687F">
            <w:pPr>
              <w:jc w:val="center"/>
              <w:rPr>
                <w:rFonts w:ascii="Calibri" w:hAnsi="Calibri"/>
                <w:color w:val="auto"/>
                <w:szCs w:val="21"/>
              </w:rPr>
            </w:pPr>
            <w:r>
              <w:rPr>
                <w:rFonts w:ascii="Calibri" w:hAnsi="Calibri"/>
                <w:color w:val="auto"/>
                <w:szCs w:val="21"/>
              </w:rPr>
              <w:t>1#</w:t>
            </w:r>
            <w:r>
              <w:rPr>
                <w:rFonts w:ascii="Calibri" w:hAnsi="Calibri" w:hint="eastAsia"/>
                <w:color w:val="auto"/>
                <w:szCs w:val="21"/>
              </w:rPr>
              <w:t>空压机</w:t>
            </w:r>
          </w:p>
        </w:tc>
        <w:tc>
          <w:tcPr>
            <w:tcW w:w="789" w:type="dxa"/>
            <w:vAlign w:val="center"/>
          </w:tcPr>
          <w:p w14:paraId="211B2BB5"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2A687035" w14:textId="77777777" w:rsidR="006F687F" w:rsidRPr="00964557" w:rsidRDefault="006F687F" w:rsidP="006F687F">
            <w:pPr>
              <w:jc w:val="center"/>
              <w:rPr>
                <w:rFonts w:ascii="Calibri" w:hAnsi="Calibri"/>
                <w:bCs/>
                <w:color w:val="auto"/>
                <w:szCs w:val="21"/>
              </w:rPr>
            </w:pPr>
            <w:r>
              <w:rPr>
                <w:rFonts w:ascii="Calibri" w:hAnsi="Calibri"/>
                <w:bCs/>
                <w:color w:val="auto"/>
                <w:szCs w:val="21"/>
              </w:rPr>
              <w:t>90</w:t>
            </w:r>
          </w:p>
        </w:tc>
        <w:tc>
          <w:tcPr>
            <w:tcW w:w="1139" w:type="dxa"/>
            <w:vAlign w:val="center"/>
          </w:tcPr>
          <w:p w14:paraId="03A5769A"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7DC3A126"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-26.53</w:t>
            </w:r>
          </w:p>
        </w:tc>
        <w:tc>
          <w:tcPr>
            <w:tcW w:w="836" w:type="dxa"/>
            <w:vAlign w:val="center"/>
          </w:tcPr>
          <w:p w14:paraId="550A1947"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-1.07</w:t>
            </w:r>
          </w:p>
        </w:tc>
        <w:tc>
          <w:tcPr>
            <w:tcW w:w="698" w:type="dxa"/>
            <w:vAlign w:val="center"/>
          </w:tcPr>
          <w:p w14:paraId="7F7896F9"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5044DB06" w14:textId="77777777" w:rsidR="006F687F" w:rsidRPr="00964557" w:rsidRDefault="006F687F" w:rsidP="006F687F">
            <w:pPr>
              <w:jc w:val="center"/>
              <w:rPr>
                <w:rFonts w:ascii="Calibri" w:hAnsi="Calibri"/>
                <w:bCs/>
                <w:color w:val="auto"/>
                <w:szCs w:val="21"/>
              </w:rPr>
            </w:pPr>
            <w:r>
              <w:rPr>
                <w:rFonts w:ascii="Calibri" w:hAnsi="Calibri"/>
                <w:bCs/>
                <w:color w:val="auto"/>
                <w:szCs w:val="21"/>
              </w:rPr>
              <w:t>3</w:t>
            </w:r>
          </w:p>
        </w:tc>
        <w:tc>
          <w:tcPr>
            <w:tcW w:w="697" w:type="dxa"/>
            <w:vAlign w:val="center"/>
          </w:tcPr>
          <w:p w14:paraId="7C9345B9"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69.48 </w:t>
            </w:r>
          </w:p>
        </w:tc>
        <w:tc>
          <w:tcPr>
            <w:tcW w:w="1252" w:type="dxa"/>
            <w:vAlign w:val="center"/>
          </w:tcPr>
          <w:p w14:paraId="38E6D487"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0A73FE83" w14:textId="77777777" w:rsidR="006F687F" w:rsidRPr="00964557" w:rsidRDefault="006F687F" w:rsidP="006F687F">
            <w:pPr>
              <w:jc w:val="center"/>
              <w:rPr>
                <w:rFonts w:ascii="Calibri" w:hAnsi="Calibri"/>
                <w:bCs/>
                <w:color w:val="auto"/>
                <w:szCs w:val="21"/>
              </w:rPr>
            </w:pPr>
          </w:p>
        </w:tc>
        <w:tc>
          <w:tcPr>
            <w:tcW w:w="836" w:type="dxa"/>
            <w:vMerge/>
            <w:vAlign w:val="center"/>
          </w:tcPr>
          <w:p w14:paraId="1EF7954C" w14:textId="77777777" w:rsidR="006F687F" w:rsidRDefault="006F687F" w:rsidP="006F687F">
            <w:pPr>
              <w:jc w:val="center"/>
              <w:rPr>
                <w:rFonts w:ascii="Calibri" w:hAnsi="Calibri"/>
                <w:bCs/>
                <w:color w:val="auto"/>
                <w:szCs w:val="21"/>
              </w:rPr>
            </w:pPr>
          </w:p>
        </w:tc>
        <w:tc>
          <w:tcPr>
            <w:tcW w:w="776" w:type="dxa"/>
            <w:vMerge/>
            <w:vAlign w:val="center"/>
          </w:tcPr>
          <w:p w14:paraId="1B2756CF" w14:textId="77777777" w:rsidR="006F687F" w:rsidRDefault="006F687F" w:rsidP="006F687F">
            <w:pPr>
              <w:jc w:val="center"/>
              <w:rPr>
                <w:rFonts w:ascii="Calibri" w:hAnsi="Calibri"/>
                <w:bCs/>
                <w:color w:val="auto"/>
                <w:szCs w:val="21"/>
              </w:rPr>
            </w:pPr>
          </w:p>
        </w:tc>
      </w:tr>
      <w:tr w:rsidR="006F687F" w:rsidRPr="00964557" w14:paraId="21B84A5F" w14:textId="77777777" w:rsidTr="003C3DBE">
        <w:trPr>
          <w:trHeight w:val="340"/>
        </w:trPr>
        <w:tc>
          <w:tcPr>
            <w:tcW w:w="527" w:type="dxa"/>
            <w:vMerge/>
            <w:vAlign w:val="center"/>
          </w:tcPr>
          <w:p w14:paraId="7F376B51" w14:textId="77777777" w:rsidR="006F687F" w:rsidRPr="00964557" w:rsidRDefault="006F687F" w:rsidP="006F687F">
            <w:pPr>
              <w:jc w:val="center"/>
              <w:rPr>
                <w:rFonts w:ascii="Calibri" w:hAnsi="Calibri"/>
                <w:bCs/>
                <w:color w:val="auto"/>
                <w:szCs w:val="21"/>
              </w:rPr>
            </w:pPr>
          </w:p>
        </w:tc>
        <w:tc>
          <w:tcPr>
            <w:tcW w:w="938" w:type="dxa"/>
            <w:vMerge/>
            <w:vAlign w:val="center"/>
          </w:tcPr>
          <w:p w14:paraId="0C1CF72B" w14:textId="77777777" w:rsidR="006F687F" w:rsidRPr="00964557" w:rsidRDefault="006F687F" w:rsidP="006F687F">
            <w:pPr>
              <w:jc w:val="center"/>
              <w:rPr>
                <w:rFonts w:ascii="Calibri" w:hAnsi="Calibri"/>
                <w:bCs/>
                <w:color w:val="auto"/>
                <w:szCs w:val="21"/>
              </w:rPr>
            </w:pPr>
          </w:p>
        </w:tc>
        <w:tc>
          <w:tcPr>
            <w:tcW w:w="2126" w:type="dxa"/>
            <w:vAlign w:val="center"/>
          </w:tcPr>
          <w:p w14:paraId="4E42E019" w14:textId="77777777" w:rsidR="006F687F" w:rsidRPr="00176833" w:rsidRDefault="006F687F" w:rsidP="006F687F">
            <w:pPr>
              <w:jc w:val="center"/>
              <w:rPr>
                <w:rFonts w:ascii="Calibri" w:hAnsi="Calibri"/>
                <w:color w:val="auto"/>
                <w:szCs w:val="21"/>
              </w:rPr>
            </w:pPr>
            <w:r>
              <w:rPr>
                <w:rFonts w:ascii="Calibri" w:hAnsi="Calibri"/>
                <w:color w:val="auto"/>
                <w:szCs w:val="21"/>
              </w:rPr>
              <w:t>2</w:t>
            </w:r>
            <w:r>
              <w:rPr>
                <w:rFonts w:ascii="Calibri" w:hAnsi="Calibri" w:hint="eastAsia"/>
                <w:color w:val="auto"/>
                <w:szCs w:val="21"/>
              </w:rPr>
              <w:t>#</w:t>
            </w:r>
            <w:r>
              <w:rPr>
                <w:rFonts w:ascii="Calibri" w:hAnsi="Calibri" w:hint="eastAsia"/>
                <w:color w:val="auto"/>
                <w:szCs w:val="21"/>
              </w:rPr>
              <w:t>空压机</w:t>
            </w:r>
          </w:p>
        </w:tc>
        <w:tc>
          <w:tcPr>
            <w:tcW w:w="789" w:type="dxa"/>
            <w:vAlign w:val="center"/>
          </w:tcPr>
          <w:p w14:paraId="769BF0C0"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576FF580" w14:textId="77777777" w:rsidR="006F687F" w:rsidRPr="00964557" w:rsidRDefault="006F687F" w:rsidP="006F687F">
            <w:pPr>
              <w:jc w:val="center"/>
              <w:rPr>
                <w:rFonts w:ascii="Calibri" w:hAnsi="Calibri"/>
                <w:bCs/>
                <w:color w:val="auto"/>
                <w:szCs w:val="21"/>
              </w:rPr>
            </w:pPr>
            <w:r>
              <w:rPr>
                <w:rFonts w:ascii="Calibri" w:hAnsi="Calibri"/>
                <w:bCs/>
                <w:color w:val="auto"/>
                <w:szCs w:val="21"/>
              </w:rPr>
              <w:t>90</w:t>
            </w:r>
          </w:p>
        </w:tc>
        <w:tc>
          <w:tcPr>
            <w:tcW w:w="1139" w:type="dxa"/>
            <w:vAlign w:val="center"/>
          </w:tcPr>
          <w:p w14:paraId="7D2A2429" w14:textId="77777777" w:rsidR="006F687F" w:rsidRPr="00964557"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54BA31FA"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-23.25</w:t>
            </w:r>
          </w:p>
        </w:tc>
        <w:tc>
          <w:tcPr>
            <w:tcW w:w="836" w:type="dxa"/>
            <w:vAlign w:val="center"/>
          </w:tcPr>
          <w:p w14:paraId="061C320B"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-27.26</w:t>
            </w:r>
          </w:p>
        </w:tc>
        <w:tc>
          <w:tcPr>
            <w:tcW w:w="698" w:type="dxa"/>
            <w:vAlign w:val="center"/>
          </w:tcPr>
          <w:p w14:paraId="02B88AE5"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7CB51DD2" w14:textId="77777777" w:rsidR="006F687F" w:rsidRPr="00964557" w:rsidRDefault="006F687F" w:rsidP="006F687F">
            <w:pPr>
              <w:jc w:val="center"/>
              <w:rPr>
                <w:rFonts w:ascii="Calibri" w:hAnsi="Calibri"/>
                <w:bCs/>
                <w:color w:val="auto"/>
                <w:szCs w:val="21"/>
              </w:rPr>
            </w:pPr>
            <w:r>
              <w:rPr>
                <w:rFonts w:ascii="Calibri" w:hAnsi="Calibri"/>
                <w:bCs/>
                <w:color w:val="auto"/>
                <w:szCs w:val="21"/>
              </w:rPr>
              <w:t>3</w:t>
            </w:r>
          </w:p>
        </w:tc>
        <w:tc>
          <w:tcPr>
            <w:tcW w:w="697" w:type="dxa"/>
            <w:vAlign w:val="center"/>
          </w:tcPr>
          <w:p w14:paraId="4B460F0E"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69.48 </w:t>
            </w:r>
          </w:p>
        </w:tc>
        <w:tc>
          <w:tcPr>
            <w:tcW w:w="1252" w:type="dxa"/>
            <w:vAlign w:val="center"/>
          </w:tcPr>
          <w:p w14:paraId="59BC701D" w14:textId="77777777" w:rsidR="006F687F" w:rsidRPr="0086327A" w:rsidRDefault="006F687F" w:rsidP="006F687F">
            <w:pPr>
              <w:jc w:val="center"/>
              <w:rPr>
                <w:rFonts w:asciiTheme="minorHAnsi" w:hAnsiTheme="minorHAnsi"/>
                <w:noProof/>
              </w:rPr>
            </w:pPr>
            <w:r w:rsidRPr="0086327A">
              <w:rPr>
                <w:rFonts w:asciiTheme="minorHAnsi" w:hAnsiTheme="minorHAnsi"/>
                <w:noProof/>
              </w:rPr>
              <w:t>00:00-24:00</w:t>
            </w:r>
          </w:p>
        </w:tc>
        <w:tc>
          <w:tcPr>
            <w:tcW w:w="837" w:type="dxa"/>
            <w:vMerge/>
            <w:vAlign w:val="center"/>
          </w:tcPr>
          <w:p w14:paraId="2D25F52F" w14:textId="77777777" w:rsidR="006F687F" w:rsidRPr="00964557" w:rsidRDefault="006F687F" w:rsidP="006F687F">
            <w:pPr>
              <w:jc w:val="center"/>
              <w:rPr>
                <w:rFonts w:ascii="Calibri" w:hAnsi="Calibri"/>
                <w:bCs/>
                <w:color w:val="auto"/>
                <w:szCs w:val="21"/>
              </w:rPr>
            </w:pPr>
          </w:p>
        </w:tc>
        <w:tc>
          <w:tcPr>
            <w:tcW w:w="836" w:type="dxa"/>
            <w:vMerge/>
            <w:vAlign w:val="center"/>
          </w:tcPr>
          <w:p w14:paraId="243BCE17" w14:textId="77777777" w:rsidR="006F687F" w:rsidRDefault="006F687F" w:rsidP="006F687F">
            <w:pPr>
              <w:jc w:val="center"/>
              <w:rPr>
                <w:rFonts w:ascii="Calibri" w:hAnsi="Calibri"/>
                <w:bCs/>
                <w:color w:val="auto"/>
                <w:szCs w:val="21"/>
              </w:rPr>
            </w:pPr>
          </w:p>
        </w:tc>
        <w:tc>
          <w:tcPr>
            <w:tcW w:w="776" w:type="dxa"/>
            <w:vMerge/>
            <w:vAlign w:val="center"/>
          </w:tcPr>
          <w:p w14:paraId="255DFCCF" w14:textId="77777777" w:rsidR="006F687F" w:rsidRDefault="006F687F" w:rsidP="006F687F">
            <w:pPr>
              <w:jc w:val="center"/>
              <w:rPr>
                <w:rFonts w:ascii="Calibri" w:hAnsi="Calibri"/>
                <w:bCs/>
                <w:color w:val="auto"/>
                <w:szCs w:val="21"/>
              </w:rPr>
            </w:pPr>
          </w:p>
        </w:tc>
      </w:tr>
      <w:tr w:rsidR="006F687F" w:rsidRPr="00964557" w14:paraId="1C75F1E6" w14:textId="77777777" w:rsidTr="006F687F">
        <w:trPr>
          <w:trHeight w:val="340"/>
        </w:trPr>
        <w:tc>
          <w:tcPr>
            <w:tcW w:w="527" w:type="dxa"/>
            <w:vMerge/>
            <w:vAlign w:val="center"/>
          </w:tcPr>
          <w:p w14:paraId="3609E8B1" w14:textId="77777777" w:rsidR="006F687F" w:rsidRPr="00964557" w:rsidRDefault="006F687F" w:rsidP="006F687F">
            <w:pPr>
              <w:jc w:val="center"/>
              <w:rPr>
                <w:rFonts w:ascii="Calibri" w:hAnsi="Calibri"/>
                <w:bCs/>
                <w:color w:val="auto"/>
                <w:szCs w:val="21"/>
              </w:rPr>
            </w:pPr>
          </w:p>
        </w:tc>
        <w:tc>
          <w:tcPr>
            <w:tcW w:w="938" w:type="dxa"/>
            <w:vMerge/>
            <w:vAlign w:val="center"/>
          </w:tcPr>
          <w:p w14:paraId="3530A166" w14:textId="77777777" w:rsidR="006F687F" w:rsidRPr="00964557" w:rsidRDefault="006F687F" w:rsidP="006F687F">
            <w:pPr>
              <w:jc w:val="center"/>
              <w:rPr>
                <w:rFonts w:ascii="Calibri" w:hAnsi="Calibri"/>
                <w:bCs/>
                <w:color w:val="auto"/>
                <w:szCs w:val="21"/>
              </w:rPr>
            </w:pPr>
          </w:p>
        </w:tc>
        <w:tc>
          <w:tcPr>
            <w:tcW w:w="2126" w:type="dxa"/>
            <w:vAlign w:val="center"/>
          </w:tcPr>
          <w:p w14:paraId="25AC8A64" w14:textId="77777777" w:rsidR="006F687F" w:rsidRDefault="006F687F" w:rsidP="006F687F">
            <w:pPr>
              <w:jc w:val="center"/>
              <w:rPr>
                <w:rFonts w:ascii="Calibri" w:hAnsi="Calibri"/>
                <w:color w:val="auto"/>
                <w:szCs w:val="21"/>
              </w:rPr>
            </w:pPr>
            <w:r>
              <w:rPr>
                <w:rFonts w:ascii="Calibri" w:hAnsi="Calibri"/>
                <w:color w:val="auto"/>
                <w:szCs w:val="21"/>
              </w:rPr>
              <w:t>3</w:t>
            </w:r>
            <w:r>
              <w:rPr>
                <w:rFonts w:ascii="Calibri" w:hAnsi="Calibri" w:hint="eastAsia"/>
                <w:color w:val="auto"/>
                <w:szCs w:val="21"/>
              </w:rPr>
              <w:t>#</w:t>
            </w:r>
            <w:r>
              <w:rPr>
                <w:rFonts w:ascii="Calibri" w:hAnsi="Calibri" w:hint="eastAsia"/>
                <w:color w:val="auto"/>
                <w:szCs w:val="21"/>
              </w:rPr>
              <w:t>空压机</w:t>
            </w:r>
          </w:p>
        </w:tc>
        <w:tc>
          <w:tcPr>
            <w:tcW w:w="789" w:type="dxa"/>
            <w:vAlign w:val="center"/>
          </w:tcPr>
          <w:p w14:paraId="6745EAFA" w14:textId="77777777" w:rsidR="006F687F"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0054720F" w14:textId="77777777" w:rsidR="006F687F" w:rsidRDefault="006F687F" w:rsidP="006F687F">
            <w:pPr>
              <w:jc w:val="center"/>
              <w:rPr>
                <w:rFonts w:ascii="Calibri" w:hAnsi="Calibri"/>
                <w:bCs/>
                <w:color w:val="auto"/>
                <w:szCs w:val="21"/>
              </w:rPr>
            </w:pPr>
            <w:r>
              <w:rPr>
                <w:rFonts w:ascii="Calibri" w:hAnsi="Calibri" w:hint="eastAsia"/>
                <w:bCs/>
                <w:color w:val="auto"/>
                <w:szCs w:val="21"/>
              </w:rPr>
              <w:t>90</w:t>
            </w:r>
          </w:p>
        </w:tc>
        <w:tc>
          <w:tcPr>
            <w:tcW w:w="1139" w:type="dxa"/>
            <w:vAlign w:val="center"/>
          </w:tcPr>
          <w:p w14:paraId="42A858E1" w14:textId="77777777" w:rsidR="006F687F"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4F6688C1"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-22.16</w:t>
            </w:r>
          </w:p>
        </w:tc>
        <w:tc>
          <w:tcPr>
            <w:tcW w:w="836" w:type="dxa"/>
            <w:vAlign w:val="center"/>
          </w:tcPr>
          <w:p w14:paraId="2B99343F"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-57.81</w:t>
            </w:r>
          </w:p>
        </w:tc>
        <w:tc>
          <w:tcPr>
            <w:tcW w:w="698" w:type="dxa"/>
            <w:vAlign w:val="center"/>
          </w:tcPr>
          <w:p w14:paraId="2F763073" w14:textId="77777777" w:rsidR="006F687F" w:rsidRDefault="006F687F" w:rsidP="006F687F">
            <w:pPr>
              <w:jc w:val="center"/>
              <w:rPr>
                <w:rFonts w:ascii="Calibri" w:hAnsi="Calibri"/>
                <w:bCs/>
                <w:color w:val="auto"/>
                <w:szCs w:val="21"/>
              </w:rPr>
            </w:pPr>
            <w:r>
              <w:rPr>
                <w:rFonts w:ascii="Calibri" w:hAnsi="Calibri" w:hint="eastAsia"/>
                <w:bCs/>
                <w:color w:val="auto"/>
                <w:szCs w:val="21"/>
              </w:rPr>
              <w:t>0.5</w:t>
            </w:r>
          </w:p>
        </w:tc>
        <w:tc>
          <w:tcPr>
            <w:tcW w:w="698" w:type="dxa"/>
            <w:vAlign w:val="center"/>
          </w:tcPr>
          <w:p w14:paraId="642D8444" w14:textId="77777777" w:rsidR="006F687F" w:rsidRDefault="006F687F" w:rsidP="006F687F">
            <w:pPr>
              <w:jc w:val="center"/>
              <w:rPr>
                <w:rFonts w:ascii="Calibri" w:hAnsi="Calibri"/>
                <w:bCs/>
                <w:color w:val="auto"/>
                <w:szCs w:val="21"/>
              </w:rPr>
            </w:pPr>
            <w:r>
              <w:rPr>
                <w:rFonts w:ascii="Calibri" w:hAnsi="Calibri" w:hint="eastAsia"/>
                <w:bCs/>
                <w:color w:val="auto"/>
                <w:szCs w:val="21"/>
              </w:rPr>
              <w:t>3</w:t>
            </w:r>
          </w:p>
        </w:tc>
        <w:tc>
          <w:tcPr>
            <w:tcW w:w="697" w:type="dxa"/>
            <w:vAlign w:val="center"/>
          </w:tcPr>
          <w:p w14:paraId="41381266"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69.48 </w:t>
            </w:r>
          </w:p>
        </w:tc>
        <w:tc>
          <w:tcPr>
            <w:tcW w:w="1252" w:type="dxa"/>
          </w:tcPr>
          <w:p w14:paraId="1F26A9E6" w14:textId="77777777" w:rsidR="006F687F" w:rsidRDefault="006F687F" w:rsidP="006F687F">
            <w:r w:rsidRPr="00F772B6">
              <w:rPr>
                <w:rFonts w:asciiTheme="minorHAnsi" w:hAnsiTheme="minorHAnsi"/>
                <w:noProof/>
              </w:rPr>
              <w:t>00:00-24:00</w:t>
            </w:r>
          </w:p>
        </w:tc>
        <w:tc>
          <w:tcPr>
            <w:tcW w:w="837" w:type="dxa"/>
            <w:vMerge/>
            <w:vAlign w:val="center"/>
          </w:tcPr>
          <w:p w14:paraId="2950A40A" w14:textId="77777777" w:rsidR="006F687F" w:rsidRPr="00964557" w:rsidRDefault="006F687F" w:rsidP="006F687F">
            <w:pPr>
              <w:jc w:val="center"/>
              <w:rPr>
                <w:rFonts w:ascii="Calibri" w:hAnsi="Calibri"/>
                <w:bCs/>
                <w:color w:val="auto"/>
                <w:szCs w:val="21"/>
              </w:rPr>
            </w:pPr>
          </w:p>
        </w:tc>
        <w:tc>
          <w:tcPr>
            <w:tcW w:w="836" w:type="dxa"/>
            <w:vMerge/>
            <w:vAlign w:val="center"/>
          </w:tcPr>
          <w:p w14:paraId="15B1D20D" w14:textId="77777777" w:rsidR="006F687F" w:rsidRDefault="006F687F" w:rsidP="006F687F">
            <w:pPr>
              <w:jc w:val="center"/>
              <w:rPr>
                <w:rFonts w:ascii="Calibri" w:hAnsi="Calibri"/>
                <w:bCs/>
                <w:color w:val="auto"/>
                <w:szCs w:val="21"/>
              </w:rPr>
            </w:pPr>
          </w:p>
        </w:tc>
        <w:tc>
          <w:tcPr>
            <w:tcW w:w="776" w:type="dxa"/>
            <w:vMerge/>
            <w:vAlign w:val="center"/>
          </w:tcPr>
          <w:p w14:paraId="61D3FBF6" w14:textId="77777777" w:rsidR="006F687F" w:rsidRDefault="006F687F" w:rsidP="006F687F">
            <w:pPr>
              <w:jc w:val="center"/>
              <w:rPr>
                <w:rFonts w:ascii="Calibri" w:hAnsi="Calibri"/>
                <w:bCs/>
                <w:color w:val="auto"/>
                <w:szCs w:val="21"/>
              </w:rPr>
            </w:pPr>
          </w:p>
        </w:tc>
      </w:tr>
      <w:tr w:rsidR="006F687F" w:rsidRPr="00964557" w14:paraId="4379F203" w14:textId="77777777" w:rsidTr="006F687F">
        <w:trPr>
          <w:trHeight w:val="340"/>
        </w:trPr>
        <w:tc>
          <w:tcPr>
            <w:tcW w:w="527" w:type="dxa"/>
            <w:vMerge/>
            <w:vAlign w:val="center"/>
          </w:tcPr>
          <w:p w14:paraId="73CDBCC0" w14:textId="77777777" w:rsidR="006F687F" w:rsidRPr="00964557" w:rsidRDefault="006F687F" w:rsidP="006F687F">
            <w:pPr>
              <w:jc w:val="center"/>
              <w:rPr>
                <w:rFonts w:ascii="Calibri" w:hAnsi="Calibri"/>
                <w:bCs/>
                <w:color w:val="auto"/>
                <w:szCs w:val="21"/>
              </w:rPr>
            </w:pPr>
          </w:p>
        </w:tc>
        <w:tc>
          <w:tcPr>
            <w:tcW w:w="938" w:type="dxa"/>
            <w:vMerge/>
            <w:vAlign w:val="center"/>
          </w:tcPr>
          <w:p w14:paraId="36CEF46E" w14:textId="77777777" w:rsidR="006F687F" w:rsidRPr="00964557" w:rsidRDefault="006F687F" w:rsidP="006F687F">
            <w:pPr>
              <w:jc w:val="center"/>
              <w:rPr>
                <w:rFonts w:ascii="Calibri" w:hAnsi="Calibri"/>
                <w:bCs/>
                <w:color w:val="auto"/>
                <w:szCs w:val="21"/>
              </w:rPr>
            </w:pPr>
          </w:p>
        </w:tc>
        <w:tc>
          <w:tcPr>
            <w:tcW w:w="2126" w:type="dxa"/>
            <w:vAlign w:val="center"/>
          </w:tcPr>
          <w:p w14:paraId="3C840258" w14:textId="77777777" w:rsidR="006F687F" w:rsidRDefault="006F687F" w:rsidP="006F687F">
            <w:pPr>
              <w:jc w:val="center"/>
              <w:rPr>
                <w:rFonts w:ascii="Calibri" w:hAnsi="Calibri"/>
                <w:color w:val="auto"/>
                <w:szCs w:val="21"/>
              </w:rPr>
            </w:pPr>
            <w:r>
              <w:rPr>
                <w:rFonts w:ascii="Calibri" w:hAnsi="Calibri"/>
                <w:color w:val="auto"/>
                <w:szCs w:val="21"/>
              </w:rPr>
              <w:t>1#</w:t>
            </w:r>
            <w:r>
              <w:rPr>
                <w:rFonts w:ascii="Calibri" w:hAnsi="Calibri" w:hint="eastAsia"/>
                <w:color w:val="auto"/>
                <w:szCs w:val="21"/>
              </w:rPr>
              <w:t>风机</w:t>
            </w:r>
          </w:p>
        </w:tc>
        <w:tc>
          <w:tcPr>
            <w:tcW w:w="789" w:type="dxa"/>
            <w:vAlign w:val="center"/>
          </w:tcPr>
          <w:p w14:paraId="2F5AB067" w14:textId="77777777" w:rsidR="006F687F"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452E2F5E" w14:textId="77777777" w:rsidR="006F687F"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17DBFBB9" w14:textId="77777777" w:rsidR="006F687F"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6D54A220"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-17.8</w:t>
            </w:r>
          </w:p>
        </w:tc>
        <w:tc>
          <w:tcPr>
            <w:tcW w:w="836" w:type="dxa"/>
            <w:vAlign w:val="center"/>
          </w:tcPr>
          <w:p w14:paraId="62DC8F1F"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7.66</w:t>
            </w:r>
          </w:p>
        </w:tc>
        <w:tc>
          <w:tcPr>
            <w:tcW w:w="698" w:type="dxa"/>
            <w:vAlign w:val="center"/>
          </w:tcPr>
          <w:p w14:paraId="426B8EE0" w14:textId="77777777" w:rsidR="006F687F" w:rsidRDefault="006F687F" w:rsidP="006F687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3354EF75" w14:textId="77777777" w:rsidR="006F687F" w:rsidRDefault="006F687F" w:rsidP="006F687F">
            <w:pPr>
              <w:jc w:val="center"/>
              <w:rPr>
                <w:rFonts w:ascii="Calibri" w:hAnsi="Calibri"/>
                <w:bCs/>
                <w:color w:val="auto"/>
                <w:szCs w:val="21"/>
              </w:rPr>
            </w:pPr>
            <w:r>
              <w:rPr>
                <w:rFonts w:ascii="Calibri" w:hAnsi="Calibri" w:hint="eastAsia"/>
                <w:bCs/>
                <w:color w:val="auto"/>
                <w:szCs w:val="21"/>
              </w:rPr>
              <w:t>2</w:t>
            </w:r>
          </w:p>
        </w:tc>
        <w:tc>
          <w:tcPr>
            <w:tcW w:w="697" w:type="dxa"/>
            <w:vAlign w:val="center"/>
          </w:tcPr>
          <w:p w14:paraId="5C732B4D"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68.00 </w:t>
            </w:r>
          </w:p>
        </w:tc>
        <w:tc>
          <w:tcPr>
            <w:tcW w:w="1252" w:type="dxa"/>
          </w:tcPr>
          <w:p w14:paraId="495113F8" w14:textId="77777777" w:rsidR="006F687F" w:rsidRDefault="006F687F" w:rsidP="006F687F">
            <w:r w:rsidRPr="00F772B6">
              <w:rPr>
                <w:rFonts w:asciiTheme="minorHAnsi" w:hAnsiTheme="minorHAnsi"/>
                <w:noProof/>
              </w:rPr>
              <w:t>00:00-24:00</w:t>
            </w:r>
          </w:p>
        </w:tc>
        <w:tc>
          <w:tcPr>
            <w:tcW w:w="837" w:type="dxa"/>
            <w:vMerge/>
            <w:vAlign w:val="center"/>
          </w:tcPr>
          <w:p w14:paraId="4677F99E" w14:textId="77777777" w:rsidR="006F687F" w:rsidRPr="00964557" w:rsidRDefault="006F687F" w:rsidP="006F687F">
            <w:pPr>
              <w:jc w:val="center"/>
              <w:rPr>
                <w:rFonts w:ascii="Calibri" w:hAnsi="Calibri"/>
                <w:bCs/>
                <w:color w:val="auto"/>
                <w:szCs w:val="21"/>
              </w:rPr>
            </w:pPr>
          </w:p>
        </w:tc>
        <w:tc>
          <w:tcPr>
            <w:tcW w:w="836" w:type="dxa"/>
            <w:vMerge/>
            <w:vAlign w:val="center"/>
          </w:tcPr>
          <w:p w14:paraId="03B00B27" w14:textId="77777777" w:rsidR="006F687F" w:rsidRDefault="006F687F" w:rsidP="006F687F">
            <w:pPr>
              <w:jc w:val="center"/>
              <w:rPr>
                <w:rFonts w:ascii="Calibri" w:hAnsi="Calibri"/>
                <w:bCs/>
                <w:color w:val="auto"/>
                <w:szCs w:val="21"/>
              </w:rPr>
            </w:pPr>
          </w:p>
        </w:tc>
        <w:tc>
          <w:tcPr>
            <w:tcW w:w="776" w:type="dxa"/>
            <w:vMerge/>
            <w:vAlign w:val="center"/>
          </w:tcPr>
          <w:p w14:paraId="13A88819" w14:textId="77777777" w:rsidR="006F687F" w:rsidRDefault="006F687F" w:rsidP="006F687F">
            <w:pPr>
              <w:jc w:val="center"/>
              <w:rPr>
                <w:rFonts w:ascii="Calibri" w:hAnsi="Calibri"/>
                <w:bCs/>
                <w:color w:val="auto"/>
                <w:szCs w:val="21"/>
              </w:rPr>
            </w:pPr>
          </w:p>
        </w:tc>
      </w:tr>
      <w:tr w:rsidR="006F687F" w:rsidRPr="00964557" w14:paraId="40C6DD35" w14:textId="77777777" w:rsidTr="006F687F">
        <w:trPr>
          <w:trHeight w:val="340"/>
        </w:trPr>
        <w:tc>
          <w:tcPr>
            <w:tcW w:w="527" w:type="dxa"/>
            <w:vMerge/>
            <w:vAlign w:val="center"/>
          </w:tcPr>
          <w:p w14:paraId="38462925" w14:textId="77777777" w:rsidR="006F687F" w:rsidRPr="00964557" w:rsidRDefault="006F687F" w:rsidP="006F687F">
            <w:pPr>
              <w:jc w:val="center"/>
              <w:rPr>
                <w:rFonts w:ascii="Calibri" w:hAnsi="Calibri"/>
                <w:bCs/>
                <w:color w:val="auto"/>
                <w:szCs w:val="21"/>
              </w:rPr>
            </w:pPr>
          </w:p>
        </w:tc>
        <w:tc>
          <w:tcPr>
            <w:tcW w:w="938" w:type="dxa"/>
            <w:vMerge/>
            <w:vAlign w:val="center"/>
          </w:tcPr>
          <w:p w14:paraId="76A531ED" w14:textId="77777777" w:rsidR="006F687F" w:rsidRPr="00964557" w:rsidRDefault="006F687F" w:rsidP="006F687F">
            <w:pPr>
              <w:jc w:val="center"/>
              <w:rPr>
                <w:rFonts w:ascii="Calibri" w:hAnsi="Calibri"/>
                <w:bCs/>
                <w:color w:val="auto"/>
                <w:szCs w:val="21"/>
              </w:rPr>
            </w:pPr>
          </w:p>
        </w:tc>
        <w:tc>
          <w:tcPr>
            <w:tcW w:w="2126" w:type="dxa"/>
            <w:vAlign w:val="center"/>
          </w:tcPr>
          <w:p w14:paraId="3A7947DC" w14:textId="77777777" w:rsidR="006F687F" w:rsidRDefault="006F687F" w:rsidP="006F687F">
            <w:pPr>
              <w:jc w:val="center"/>
              <w:rPr>
                <w:rFonts w:ascii="Calibri" w:hAnsi="Calibri"/>
                <w:color w:val="auto"/>
                <w:szCs w:val="21"/>
              </w:rPr>
            </w:pPr>
            <w:r>
              <w:rPr>
                <w:rFonts w:ascii="Calibri" w:hAnsi="Calibri"/>
                <w:color w:val="auto"/>
                <w:szCs w:val="21"/>
              </w:rPr>
              <w:t>2#</w:t>
            </w:r>
            <w:r>
              <w:rPr>
                <w:rFonts w:ascii="Calibri" w:hAnsi="Calibri" w:hint="eastAsia"/>
                <w:color w:val="auto"/>
                <w:szCs w:val="21"/>
              </w:rPr>
              <w:t>风机</w:t>
            </w:r>
          </w:p>
        </w:tc>
        <w:tc>
          <w:tcPr>
            <w:tcW w:w="789" w:type="dxa"/>
            <w:vAlign w:val="center"/>
          </w:tcPr>
          <w:p w14:paraId="59C69903" w14:textId="77777777" w:rsidR="006F687F" w:rsidRDefault="006F687F" w:rsidP="006F687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32E8FCFB" w14:textId="77777777" w:rsidR="006F687F" w:rsidRDefault="006F687F" w:rsidP="006F687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2F3DEA73" w14:textId="77777777" w:rsidR="006F687F" w:rsidRDefault="006F687F" w:rsidP="006F687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7557F944"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-13.43</w:t>
            </w:r>
          </w:p>
        </w:tc>
        <w:tc>
          <w:tcPr>
            <w:tcW w:w="836" w:type="dxa"/>
            <w:vAlign w:val="center"/>
          </w:tcPr>
          <w:p w14:paraId="4B02AE72" w14:textId="77777777" w:rsidR="006F687F" w:rsidRPr="006F687F" w:rsidRDefault="006F687F" w:rsidP="006F687F">
            <w:pPr>
              <w:jc w:val="center"/>
              <w:rPr>
                <w:rFonts w:ascii="Calibri" w:hAnsi="Calibri"/>
                <w:color w:val="auto"/>
                <w:szCs w:val="21"/>
              </w:rPr>
            </w:pPr>
            <w:r w:rsidRPr="006F687F">
              <w:rPr>
                <w:rFonts w:ascii="Calibri" w:hAnsi="Calibri" w:hint="eastAsia"/>
                <w:color w:val="auto"/>
                <w:szCs w:val="21"/>
              </w:rPr>
              <w:t>32.76</w:t>
            </w:r>
          </w:p>
        </w:tc>
        <w:tc>
          <w:tcPr>
            <w:tcW w:w="698" w:type="dxa"/>
            <w:vAlign w:val="center"/>
          </w:tcPr>
          <w:p w14:paraId="40EB3849" w14:textId="77777777" w:rsidR="006F687F" w:rsidRDefault="006F687F" w:rsidP="006F687F">
            <w:pPr>
              <w:jc w:val="center"/>
              <w:rPr>
                <w:rFonts w:ascii="Calibri" w:hAnsi="Calibri"/>
                <w:bCs/>
                <w:color w:val="auto"/>
                <w:szCs w:val="21"/>
              </w:rPr>
            </w:pPr>
            <w:r>
              <w:rPr>
                <w:rFonts w:ascii="Calibri" w:hAnsi="Calibri" w:hint="eastAsia"/>
                <w:bCs/>
                <w:color w:val="auto"/>
                <w:szCs w:val="21"/>
              </w:rPr>
              <w:t>0.5</w:t>
            </w:r>
          </w:p>
        </w:tc>
        <w:tc>
          <w:tcPr>
            <w:tcW w:w="698" w:type="dxa"/>
            <w:vAlign w:val="center"/>
          </w:tcPr>
          <w:p w14:paraId="1ADB1F70" w14:textId="77777777" w:rsidR="006F687F" w:rsidRDefault="006F687F" w:rsidP="006F687F">
            <w:pPr>
              <w:jc w:val="center"/>
              <w:rPr>
                <w:rFonts w:ascii="Calibri" w:hAnsi="Calibri"/>
                <w:bCs/>
                <w:color w:val="auto"/>
                <w:szCs w:val="21"/>
              </w:rPr>
            </w:pPr>
            <w:r>
              <w:rPr>
                <w:rFonts w:ascii="Calibri" w:hAnsi="Calibri" w:hint="eastAsia"/>
                <w:bCs/>
                <w:color w:val="auto"/>
                <w:szCs w:val="21"/>
              </w:rPr>
              <w:t>3</w:t>
            </w:r>
          </w:p>
        </w:tc>
        <w:tc>
          <w:tcPr>
            <w:tcW w:w="697" w:type="dxa"/>
            <w:vAlign w:val="center"/>
          </w:tcPr>
          <w:p w14:paraId="6351DA23" w14:textId="77777777" w:rsidR="006F687F" w:rsidRPr="00AB0115" w:rsidRDefault="006F687F" w:rsidP="00AB0115">
            <w:pPr>
              <w:jc w:val="center"/>
              <w:rPr>
                <w:rFonts w:ascii="Calibri" w:hAnsi="Calibri"/>
                <w:bCs/>
                <w:color w:val="auto"/>
                <w:szCs w:val="21"/>
              </w:rPr>
            </w:pPr>
            <w:r w:rsidRPr="00AB0115">
              <w:rPr>
                <w:rFonts w:ascii="Calibri" w:hAnsi="Calibri" w:hint="eastAsia"/>
                <w:bCs/>
                <w:color w:val="auto"/>
                <w:szCs w:val="21"/>
              </w:rPr>
              <w:t xml:space="preserve">64.48 </w:t>
            </w:r>
          </w:p>
        </w:tc>
        <w:tc>
          <w:tcPr>
            <w:tcW w:w="1252" w:type="dxa"/>
          </w:tcPr>
          <w:p w14:paraId="562A515F" w14:textId="77777777" w:rsidR="006F687F" w:rsidRDefault="006F687F" w:rsidP="006F687F">
            <w:r w:rsidRPr="00F772B6">
              <w:rPr>
                <w:rFonts w:asciiTheme="minorHAnsi" w:hAnsiTheme="minorHAnsi"/>
                <w:noProof/>
              </w:rPr>
              <w:t>00:00-24:00</w:t>
            </w:r>
          </w:p>
        </w:tc>
        <w:tc>
          <w:tcPr>
            <w:tcW w:w="837" w:type="dxa"/>
            <w:vMerge/>
            <w:vAlign w:val="center"/>
          </w:tcPr>
          <w:p w14:paraId="30808F7E" w14:textId="77777777" w:rsidR="006F687F" w:rsidRPr="00964557" w:rsidRDefault="006F687F" w:rsidP="006F687F">
            <w:pPr>
              <w:jc w:val="center"/>
              <w:rPr>
                <w:rFonts w:ascii="Calibri" w:hAnsi="Calibri"/>
                <w:bCs/>
                <w:color w:val="auto"/>
                <w:szCs w:val="21"/>
              </w:rPr>
            </w:pPr>
          </w:p>
        </w:tc>
        <w:tc>
          <w:tcPr>
            <w:tcW w:w="836" w:type="dxa"/>
            <w:vMerge/>
            <w:vAlign w:val="center"/>
          </w:tcPr>
          <w:p w14:paraId="4F0D906A" w14:textId="77777777" w:rsidR="006F687F" w:rsidRDefault="006F687F" w:rsidP="006F687F">
            <w:pPr>
              <w:jc w:val="center"/>
              <w:rPr>
                <w:rFonts w:ascii="Calibri" w:hAnsi="Calibri"/>
                <w:bCs/>
                <w:color w:val="auto"/>
                <w:szCs w:val="21"/>
              </w:rPr>
            </w:pPr>
          </w:p>
        </w:tc>
        <w:tc>
          <w:tcPr>
            <w:tcW w:w="776" w:type="dxa"/>
            <w:vMerge/>
            <w:vAlign w:val="center"/>
          </w:tcPr>
          <w:p w14:paraId="566A22D3" w14:textId="77777777" w:rsidR="006F687F" w:rsidRDefault="006F687F" w:rsidP="006F687F">
            <w:pPr>
              <w:jc w:val="center"/>
              <w:rPr>
                <w:rFonts w:ascii="Calibri" w:hAnsi="Calibri"/>
                <w:bCs/>
                <w:color w:val="auto"/>
                <w:szCs w:val="21"/>
              </w:rPr>
            </w:pPr>
          </w:p>
        </w:tc>
      </w:tr>
    </w:tbl>
    <w:p w14:paraId="28210AF4" w14:textId="77777777" w:rsidR="00AB0115" w:rsidRPr="00E9636E" w:rsidRDefault="00AB0115" w:rsidP="00AB0115">
      <w:pPr>
        <w:spacing w:line="520" w:lineRule="exact"/>
        <w:ind w:firstLineChars="200" w:firstLine="420"/>
        <w:jc w:val="left"/>
        <w:rPr>
          <w:rFonts w:asciiTheme="minorEastAsia" w:eastAsiaTheme="minorEastAsia" w:hAnsiTheme="minorEastAsia"/>
          <w:bCs/>
          <w:color w:val="auto"/>
          <w:szCs w:val="21"/>
        </w:rPr>
      </w:pPr>
      <w:r w:rsidRPr="00E9636E">
        <w:rPr>
          <w:rFonts w:asciiTheme="minorEastAsia" w:eastAsiaTheme="minorEastAsia" w:hAnsiTheme="minorEastAsia" w:hint="eastAsia"/>
          <w:bCs/>
          <w:color w:val="auto"/>
          <w:szCs w:val="21"/>
        </w:rPr>
        <w:t>备注</w:t>
      </w:r>
      <w:r w:rsidRPr="00E9636E">
        <w:rPr>
          <w:rFonts w:asciiTheme="minorEastAsia" w:eastAsiaTheme="minorEastAsia" w:hAnsiTheme="minorEastAsia"/>
          <w:bCs/>
          <w:color w:val="auto"/>
          <w:szCs w:val="21"/>
        </w:rPr>
        <w:t>：</w:t>
      </w:r>
      <w:r w:rsidRPr="00E9636E">
        <w:rPr>
          <w:rFonts w:asciiTheme="minorEastAsia" w:eastAsiaTheme="minorEastAsia" w:hAnsiTheme="minorEastAsia" w:hint="eastAsia"/>
          <w:bCs/>
          <w:color w:val="auto"/>
          <w:szCs w:val="21"/>
        </w:rPr>
        <w:t>本次</w:t>
      </w:r>
      <w:r w:rsidRPr="00E9636E">
        <w:rPr>
          <w:rFonts w:asciiTheme="minorEastAsia" w:eastAsiaTheme="minorEastAsia" w:hAnsiTheme="minorEastAsia"/>
          <w:bCs/>
          <w:color w:val="auto"/>
          <w:szCs w:val="21"/>
        </w:rPr>
        <w:t>评价以</w:t>
      </w:r>
      <w:r>
        <w:rPr>
          <w:rFonts w:asciiTheme="minorEastAsia" w:eastAsiaTheme="minorEastAsia" w:hAnsiTheme="minorEastAsia" w:hint="eastAsia"/>
          <w:bCs/>
          <w:color w:val="auto"/>
          <w:szCs w:val="21"/>
        </w:rPr>
        <w:t>生产</w:t>
      </w:r>
      <w:r>
        <w:rPr>
          <w:rFonts w:asciiTheme="minorEastAsia" w:eastAsiaTheme="minorEastAsia" w:hAnsiTheme="minorEastAsia"/>
          <w:bCs/>
          <w:color w:val="auto"/>
          <w:szCs w:val="21"/>
        </w:rPr>
        <w:t>车间</w:t>
      </w:r>
      <w:r w:rsidRPr="00E9636E">
        <w:rPr>
          <w:rFonts w:asciiTheme="minorEastAsia" w:eastAsiaTheme="minorEastAsia" w:hAnsiTheme="minorEastAsia" w:hint="eastAsia"/>
          <w:bCs/>
          <w:color w:val="auto"/>
          <w:szCs w:val="21"/>
        </w:rPr>
        <w:t>中心</w:t>
      </w:r>
      <w:r w:rsidRPr="00E9636E">
        <w:rPr>
          <w:rFonts w:asciiTheme="minorEastAsia" w:eastAsiaTheme="minorEastAsia" w:hAnsiTheme="minorEastAsia"/>
          <w:bCs/>
          <w:color w:val="auto"/>
          <w:szCs w:val="21"/>
        </w:rPr>
        <w:t>位</w:t>
      </w:r>
      <w:r w:rsidRPr="00E9636E">
        <w:rPr>
          <w:rFonts w:asciiTheme="minorEastAsia" w:eastAsiaTheme="minorEastAsia" w:hAnsiTheme="minorEastAsia"/>
          <w:color w:val="auto"/>
        </w:rPr>
        <w:t>置为</w:t>
      </w:r>
      <w:r w:rsidRPr="00E9636E">
        <w:rPr>
          <w:rFonts w:asciiTheme="minorEastAsia" w:eastAsiaTheme="minorEastAsia" w:hAnsiTheme="minorEastAsia" w:hint="eastAsia"/>
          <w:color w:val="auto"/>
        </w:rPr>
        <w:t>坐标原点</w:t>
      </w:r>
      <w:r>
        <w:rPr>
          <w:rFonts w:asciiTheme="minorEastAsia" w:eastAsiaTheme="minorEastAsia" w:hAnsiTheme="minorEastAsia" w:hint="eastAsia"/>
          <w:color w:val="auto"/>
        </w:rPr>
        <w:t>。</w:t>
      </w:r>
    </w:p>
    <w:p w14:paraId="16ADFE2C" w14:textId="77777777" w:rsidR="00AB0115" w:rsidRPr="00964557" w:rsidRDefault="00AB0115" w:rsidP="00AB0115">
      <w:pPr>
        <w:spacing w:line="520" w:lineRule="exact"/>
        <w:ind w:firstLineChars="200" w:firstLine="480"/>
        <w:jc w:val="left"/>
        <w:rPr>
          <w:rFonts w:ascii="Calibri" w:eastAsia="黑体" w:hAnsi="Calibri"/>
          <w:bCs/>
          <w:color w:val="auto"/>
          <w:sz w:val="24"/>
        </w:rPr>
      </w:pPr>
      <w:r w:rsidRPr="00964557">
        <w:rPr>
          <w:rFonts w:ascii="Calibri" w:eastAsia="黑体" w:hAnsi="Calibri" w:hint="eastAsia"/>
          <w:bCs/>
          <w:color w:val="auto"/>
          <w:sz w:val="24"/>
        </w:rPr>
        <w:lastRenderedPageBreak/>
        <w:t>表</w:t>
      </w:r>
      <w:r w:rsidRPr="00964557">
        <w:rPr>
          <w:rFonts w:ascii="Calibri" w:eastAsia="黑体" w:hAnsi="Calibri"/>
          <w:bCs/>
          <w:color w:val="auto"/>
          <w:sz w:val="24"/>
        </w:rPr>
        <w:t>2</w:t>
      </w:r>
      <w:r w:rsidRPr="00964557">
        <w:rPr>
          <w:rFonts w:ascii="Calibri" w:eastAsia="黑体" w:hAnsi="Calibri" w:hint="eastAsia"/>
          <w:bCs/>
          <w:color w:val="auto"/>
          <w:sz w:val="24"/>
        </w:rPr>
        <w:t>.3</w:t>
      </w:r>
      <w:r w:rsidRPr="00964557">
        <w:rPr>
          <w:rFonts w:ascii="Calibri" w:eastAsia="黑体" w:hAnsi="Calibri"/>
          <w:bCs/>
          <w:color w:val="auto"/>
          <w:sz w:val="24"/>
        </w:rPr>
        <w:t>-</w:t>
      </w:r>
      <w:r w:rsidRPr="00964557">
        <w:rPr>
          <w:rFonts w:ascii="Calibri" w:eastAsia="黑体" w:hAnsi="Calibri" w:hint="eastAsia"/>
          <w:bCs/>
          <w:color w:val="auto"/>
          <w:sz w:val="24"/>
        </w:rPr>
        <w:t>2</w:t>
      </w:r>
      <w:r w:rsidR="000D53E8">
        <w:rPr>
          <w:rFonts w:ascii="Calibri" w:eastAsia="黑体" w:hAnsi="Calibri"/>
          <w:bCs/>
          <w:color w:val="auto"/>
          <w:sz w:val="24"/>
        </w:rPr>
        <w:t>2</w:t>
      </w:r>
      <w:r w:rsidRPr="00964557">
        <w:rPr>
          <w:rFonts w:ascii="Calibri" w:eastAsia="黑体" w:hAnsi="Calibri"/>
          <w:bCs/>
          <w:color w:val="auto"/>
          <w:sz w:val="24"/>
        </w:rPr>
        <w:t xml:space="preserve">         </w:t>
      </w:r>
      <w:r>
        <w:rPr>
          <w:rFonts w:ascii="Calibri" w:eastAsia="黑体" w:hAnsi="Calibri"/>
          <w:bCs/>
          <w:color w:val="auto"/>
          <w:sz w:val="24"/>
        </w:rPr>
        <w:t xml:space="preserve">                        </w:t>
      </w:r>
      <w:r>
        <w:rPr>
          <w:rFonts w:ascii="Calibri" w:eastAsia="黑体" w:hAnsi="Calibri" w:hint="eastAsia"/>
          <w:bCs/>
          <w:color w:val="auto"/>
          <w:sz w:val="24"/>
        </w:rPr>
        <w:t>本项目一期工程室外</w:t>
      </w:r>
      <w:r>
        <w:rPr>
          <w:rFonts w:ascii="Calibri" w:eastAsia="黑体" w:hAnsi="Calibri"/>
          <w:bCs/>
          <w:color w:val="auto"/>
          <w:sz w:val="24"/>
        </w:rPr>
        <w:t>噪声</w:t>
      </w:r>
      <w:r>
        <w:rPr>
          <w:rFonts w:ascii="Calibri" w:eastAsia="黑体" w:hAnsi="Calibri" w:hint="eastAsia"/>
          <w:bCs/>
          <w:color w:val="auto"/>
          <w:sz w:val="24"/>
        </w:rPr>
        <w:t>源强</w:t>
      </w:r>
      <w:r>
        <w:rPr>
          <w:rFonts w:ascii="Calibri" w:eastAsia="黑体" w:hAnsi="Calibri"/>
          <w:bCs/>
          <w:color w:val="auto"/>
          <w:sz w:val="24"/>
        </w:rPr>
        <w:t>调查清单</w:t>
      </w:r>
    </w:p>
    <w:tbl>
      <w:tblPr>
        <w:tblW w:w="496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04"/>
        <w:gridCol w:w="1308"/>
        <w:gridCol w:w="1701"/>
        <w:gridCol w:w="1134"/>
        <w:gridCol w:w="1323"/>
        <w:gridCol w:w="1323"/>
        <w:gridCol w:w="1323"/>
        <w:gridCol w:w="1275"/>
        <w:gridCol w:w="1985"/>
        <w:gridCol w:w="1660"/>
      </w:tblGrid>
      <w:tr w:rsidR="00AB0115" w:rsidRPr="00964557" w14:paraId="1A7BF279" w14:textId="77777777" w:rsidTr="000E6E79">
        <w:trPr>
          <w:trHeight w:val="312"/>
        </w:trPr>
        <w:tc>
          <w:tcPr>
            <w:tcW w:w="804" w:type="dxa"/>
            <w:vMerge w:val="restart"/>
            <w:vAlign w:val="center"/>
          </w:tcPr>
          <w:p w14:paraId="2BFC950F" w14:textId="77777777" w:rsidR="00AB0115" w:rsidRPr="00964557" w:rsidRDefault="00AB0115" w:rsidP="000E6E79">
            <w:pPr>
              <w:jc w:val="center"/>
              <w:rPr>
                <w:rFonts w:ascii="Calibri" w:hAnsi="Calibri"/>
                <w:bCs/>
                <w:color w:val="auto"/>
                <w:szCs w:val="21"/>
              </w:rPr>
            </w:pPr>
            <w:r w:rsidRPr="00964557">
              <w:rPr>
                <w:rFonts w:ascii="Calibri" w:hAnsi="Calibri" w:hint="eastAsia"/>
                <w:bCs/>
                <w:color w:val="auto"/>
                <w:szCs w:val="21"/>
              </w:rPr>
              <w:t>序号</w:t>
            </w:r>
          </w:p>
        </w:tc>
        <w:tc>
          <w:tcPr>
            <w:tcW w:w="3009" w:type="dxa"/>
            <w:gridSpan w:val="2"/>
            <w:vMerge w:val="restart"/>
            <w:vAlign w:val="center"/>
          </w:tcPr>
          <w:p w14:paraId="13EF2756" w14:textId="77777777" w:rsidR="00AB0115" w:rsidRPr="00964557" w:rsidRDefault="00AB0115" w:rsidP="000E6E79">
            <w:pPr>
              <w:jc w:val="center"/>
              <w:rPr>
                <w:rFonts w:ascii="Calibri" w:hAnsi="Calibri"/>
                <w:bCs/>
                <w:color w:val="auto"/>
                <w:szCs w:val="21"/>
              </w:rPr>
            </w:pPr>
            <w:r>
              <w:rPr>
                <w:rFonts w:ascii="Calibri" w:hAnsi="Calibri" w:hint="eastAsia"/>
                <w:bCs/>
                <w:color w:val="auto"/>
                <w:szCs w:val="21"/>
              </w:rPr>
              <w:t>声源</w:t>
            </w:r>
            <w:r>
              <w:rPr>
                <w:rFonts w:ascii="Calibri" w:hAnsi="Calibri"/>
                <w:bCs/>
                <w:color w:val="auto"/>
                <w:szCs w:val="21"/>
              </w:rPr>
              <w:t>名称</w:t>
            </w:r>
          </w:p>
        </w:tc>
        <w:tc>
          <w:tcPr>
            <w:tcW w:w="1134" w:type="dxa"/>
            <w:vMerge w:val="restart"/>
            <w:vAlign w:val="center"/>
          </w:tcPr>
          <w:p w14:paraId="58C4BB46" w14:textId="77777777" w:rsidR="00AB0115" w:rsidRPr="00964557" w:rsidRDefault="00AB0115" w:rsidP="000E6E79">
            <w:pPr>
              <w:jc w:val="center"/>
              <w:rPr>
                <w:rFonts w:ascii="Calibri" w:hAnsi="Calibri"/>
                <w:bCs/>
                <w:color w:val="auto"/>
                <w:szCs w:val="21"/>
              </w:rPr>
            </w:pPr>
            <w:r>
              <w:rPr>
                <w:rFonts w:ascii="Calibri" w:hAnsi="Calibri" w:hint="eastAsia"/>
                <w:bCs/>
                <w:color w:val="auto"/>
                <w:szCs w:val="21"/>
              </w:rPr>
              <w:t>型号</w:t>
            </w:r>
          </w:p>
        </w:tc>
        <w:tc>
          <w:tcPr>
            <w:tcW w:w="3969" w:type="dxa"/>
            <w:gridSpan w:val="3"/>
            <w:vAlign w:val="center"/>
          </w:tcPr>
          <w:p w14:paraId="0E514CA4" w14:textId="77777777" w:rsidR="00AB0115" w:rsidRPr="00964557" w:rsidRDefault="00AB0115" w:rsidP="000E6E79">
            <w:pPr>
              <w:jc w:val="center"/>
              <w:rPr>
                <w:rFonts w:ascii="Calibri" w:hAnsi="Calibri"/>
                <w:bCs/>
                <w:color w:val="auto"/>
                <w:szCs w:val="21"/>
              </w:rPr>
            </w:pPr>
            <w:r>
              <w:rPr>
                <w:rFonts w:ascii="Calibri" w:hAnsi="Calibri" w:hint="eastAsia"/>
                <w:bCs/>
                <w:color w:val="auto"/>
                <w:szCs w:val="21"/>
              </w:rPr>
              <w:t>空间</w:t>
            </w:r>
            <w:r>
              <w:rPr>
                <w:rFonts w:ascii="Calibri" w:hAnsi="Calibri"/>
                <w:bCs/>
                <w:color w:val="auto"/>
                <w:szCs w:val="21"/>
              </w:rPr>
              <w:t>相对位置</w:t>
            </w:r>
            <w:r>
              <w:rPr>
                <w:rFonts w:ascii="Calibri" w:hAnsi="Calibri" w:hint="eastAsia"/>
                <w:bCs/>
                <w:color w:val="auto"/>
                <w:szCs w:val="21"/>
              </w:rPr>
              <w:t>/</w:t>
            </w:r>
            <w:r>
              <w:rPr>
                <w:rFonts w:ascii="Calibri" w:hAnsi="Calibri"/>
                <w:bCs/>
                <w:color w:val="auto"/>
                <w:szCs w:val="21"/>
              </w:rPr>
              <w:t>m</w:t>
            </w:r>
          </w:p>
        </w:tc>
        <w:tc>
          <w:tcPr>
            <w:tcW w:w="1275" w:type="dxa"/>
            <w:tcBorders>
              <w:bottom w:val="single" w:sz="2" w:space="0" w:color="000000"/>
            </w:tcBorders>
            <w:vAlign w:val="center"/>
          </w:tcPr>
          <w:p w14:paraId="5FF5EBBE" w14:textId="77777777" w:rsidR="00AB0115" w:rsidRPr="00964557" w:rsidRDefault="00AB0115" w:rsidP="000E6E79">
            <w:pPr>
              <w:jc w:val="center"/>
              <w:rPr>
                <w:rFonts w:ascii="Calibri" w:hAnsi="Calibri"/>
                <w:bCs/>
                <w:color w:val="auto"/>
                <w:szCs w:val="21"/>
              </w:rPr>
            </w:pPr>
            <w:r w:rsidRPr="00F61204">
              <w:rPr>
                <w:rFonts w:ascii="Calibri" w:hAnsi="Calibri" w:hint="eastAsia"/>
                <w:bCs/>
                <w:color w:val="auto"/>
                <w:szCs w:val="21"/>
              </w:rPr>
              <w:t>声源源强</w:t>
            </w:r>
          </w:p>
        </w:tc>
        <w:tc>
          <w:tcPr>
            <w:tcW w:w="1985" w:type="dxa"/>
            <w:vMerge w:val="restart"/>
            <w:vAlign w:val="center"/>
          </w:tcPr>
          <w:p w14:paraId="7861D2C1" w14:textId="77777777" w:rsidR="00AB0115" w:rsidRPr="00964557" w:rsidRDefault="00AB0115" w:rsidP="000E6E79">
            <w:pPr>
              <w:jc w:val="center"/>
              <w:rPr>
                <w:rFonts w:ascii="Calibri" w:hAnsi="Calibri"/>
                <w:bCs/>
                <w:color w:val="auto"/>
                <w:szCs w:val="21"/>
              </w:rPr>
            </w:pPr>
            <w:r w:rsidRPr="00F61204">
              <w:rPr>
                <w:rFonts w:ascii="Calibri" w:hAnsi="Calibri" w:hint="eastAsia"/>
                <w:bCs/>
                <w:color w:val="auto"/>
                <w:szCs w:val="21"/>
              </w:rPr>
              <w:t>声源控制措施</w:t>
            </w:r>
          </w:p>
        </w:tc>
        <w:tc>
          <w:tcPr>
            <w:tcW w:w="1660" w:type="dxa"/>
            <w:vMerge w:val="restart"/>
            <w:vAlign w:val="center"/>
          </w:tcPr>
          <w:p w14:paraId="5BDF242E" w14:textId="77777777" w:rsidR="00AB0115" w:rsidRPr="002E39F2" w:rsidRDefault="00AB0115" w:rsidP="000E6E79">
            <w:pPr>
              <w:jc w:val="center"/>
              <w:rPr>
                <w:rFonts w:ascii="Calibri" w:hAnsi="Calibri"/>
                <w:bCs/>
                <w:color w:val="auto"/>
                <w:szCs w:val="21"/>
              </w:rPr>
            </w:pPr>
            <w:r>
              <w:rPr>
                <w:rFonts w:ascii="Calibri" w:hAnsi="Calibri" w:hint="eastAsia"/>
                <w:bCs/>
                <w:color w:val="auto"/>
                <w:szCs w:val="21"/>
              </w:rPr>
              <w:t>运行</w:t>
            </w:r>
            <w:r>
              <w:rPr>
                <w:rFonts w:ascii="Calibri" w:hAnsi="Calibri"/>
                <w:bCs/>
                <w:color w:val="auto"/>
                <w:szCs w:val="21"/>
              </w:rPr>
              <w:t>时段</w:t>
            </w:r>
          </w:p>
        </w:tc>
      </w:tr>
      <w:tr w:rsidR="00AB0115" w:rsidRPr="00964557" w14:paraId="29024DF0" w14:textId="77777777" w:rsidTr="000E6E79">
        <w:trPr>
          <w:trHeight w:val="312"/>
        </w:trPr>
        <w:tc>
          <w:tcPr>
            <w:tcW w:w="804" w:type="dxa"/>
            <w:vMerge/>
            <w:vAlign w:val="center"/>
          </w:tcPr>
          <w:p w14:paraId="2011C5CE" w14:textId="77777777" w:rsidR="00AB0115" w:rsidRPr="00964557" w:rsidRDefault="00AB0115" w:rsidP="000E6E79">
            <w:pPr>
              <w:jc w:val="center"/>
              <w:rPr>
                <w:rFonts w:ascii="Calibri" w:hAnsi="Calibri"/>
                <w:bCs/>
                <w:color w:val="auto"/>
                <w:szCs w:val="21"/>
              </w:rPr>
            </w:pPr>
          </w:p>
        </w:tc>
        <w:tc>
          <w:tcPr>
            <w:tcW w:w="3009" w:type="dxa"/>
            <w:gridSpan w:val="2"/>
            <w:vMerge/>
            <w:vAlign w:val="center"/>
          </w:tcPr>
          <w:p w14:paraId="64DE2C00" w14:textId="77777777" w:rsidR="00AB0115" w:rsidRPr="00964557" w:rsidRDefault="00AB0115" w:rsidP="000E6E79">
            <w:pPr>
              <w:jc w:val="center"/>
              <w:rPr>
                <w:rFonts w:ascii="Calibri" w:hAnsi="Calibri"/>
                <w:bCs/>
                <w:color w:val="auto"/>
                <w:szCs w:val="21"/>
              </w:rPr>
            </w:pPr>
          </w:p>
        </w:tc>
        <w:tc>
          <w:tcPr>
            <w:tcW w:w="1134" w:type="dxa"/>
            <w:vMerge/>
            <w:vAlign w:val="center"/>
          </w:tcPr>
          <w:p w14:paraId="3A4AF6BC" w14:textId="77777777" w:rsidR="00AB0115" w:rsidRPr="00964557" w:rsidRDefault="00AB0115" w:rsidP="000E6E79">
            <w:pPr>
              <w:jc w:val="center"/>
              <w:rPr>
                <w:rFonts w:ascii="Calibri" w:hAnsi="Calibri"/>
                <w:bCs/>
                <w:color w:val="auto"/>
                <w:szCs w:val="21"/>
              </w:rPr>
            </w:pPr>
          </w:p>
        </w:tc>
        <w:tc>
          <w:tcPr>
            <w:tcW w:w="1323" w:type="dxa"/>
            <w:vAlign w:val="center"/>
          </w:tcPr>
          <w:p w14:paraId="68E85200" w14:textId="77777777" w:rsidR="00AB0115" w:rsidRPr="00964557" w:rsidRDefault="00AB0115" w:rsidP="000E6E79">
            <w:pPr>
              <w:jc w:val="center"/>
              <w:rPr>
                <w:rFonts w:ascii="Calibri" w:hAnsi="Calibri"/>
                <w:bCs/>
                <w:color w:val="auto"/>
                <w:szCs w:val="21"/>
              </w:rPr>
            </w:pPr>
            <w:r>
              <w:rPr>
                <w:rFonts w:ascii="Calibri" w:hAnsi="Calibri" w:hint="eastAsia"/>
                <w:bCs/>
                <w:color w:val="auto"/>
                <w:szCs w:val="21"/>
              </w:rPr>
              <w:t>X</w:t>
            </w:r>
          </w:p>
        </w:tc>
        <w:tc>
          <w:tcPr>
            <w:tcW w:w="1323" w:type="dxa"/>
            <w:vAlign w:val="center"/>
          </w:tcPr>
          <w:p w14:paraId="339EC3AF" w14:textId="77777777" w:rsidR="00AB0115" w:rsidRPr="00964557" w:rsidRDefault="00AB0115" w:rsidP="000E6E79">
            <w:pPr>
              <w:jc w:val="center"/>
              <w:rPr>
                <w:rFonts w:ascii="Calibri" w:hAnsi="Calibri"/>
                <w:bCs/>
                <w:color w:val="auto"/>
                <w:szCs w:val="21"/>
              </w:rPr>
            </w:pPr>
            <w:r>
              <w:rPr>
                <w:rFonts w:ascii="Calibri" w:hAnsi="Calibri" w:hint="eastAsia"/>
                <w:bCs/>
                <w:color w:val="auto"/>
                <w:szCs w:val="21"/>
              </w:rPr>
              <w:t>y</w:t>
            </w:r>
          </w:p>
        </w:tc>
        <w:tc>
          <w:tcPr>
            <w:tcW w:w="1323" w:type="dxa"/>
            <w:vAlign w:val="center"/>
          </w:tcPr>
          <w:p w14:paraId="6CC5E9D0" w14:textId="77777777" w:rsidR="00AB0115" w:rsidRPr="00964557" w:rsidRDefault="00AB0115" w:rsidP="000E6E79">
            <w:pPr>
              <w:jc w:val="center"/>
              <w:rPr>
                <w:rFonts w:ascii="Calibri" w:hAnsi="Calibri"/>
                <w:bCs/>
                <w:color w:val="auto"/>
                <w:szCs w:val="21"/>
              </w:rPr>
            </w:pPr>
            <w:r>
              <w:rPr>
                <w:rFonts w:ascii="Calibri" w:hAnsi="Calibri"/>
                <w:bCs/>
                <w:color w:val="auto"/>
                <w:szCs w:val="21"/>
              </w:rPr>
              <w:t>Z</w:t>
            </w:r>
          </w:p>
        </w:tc>
        <w:tc>
          <w:tcPr>
            <w:tcW w:w="1275" w:type="dxa"/>
            <w:tcBorders>
              <w:top w:val="single" w:sz="2" w:space="0" w:color="000000"/>
            </w:tcBorders>
            <w:vAlign w:val="center"/>
          </w:tcPr>
          <w:p w14:paraId="7FA7B736" w14:textId="77777777" w:rsidR="00AB0115" w:rsidRPr="00964557" w:rsidRDefault="00AB0115" w:rsidP="0026062E">
            <w:pPr>
              <w:jc w:val="center"/>
              <w:rPr>
                <w:rFonts w:ascii="Calibri" w:hAnsi="Calibri"/>
                <w:bCs/>
                <w:color w:val="auto"/>
                <w:szCs w:val="21"/>
              </w:rPr>
            </w:pPr>
            <w:r w:rsidRPr="00F61204">
              <w:rPr>
                <w:rFonts w:ascii="Calibri" w:hAnsi="Calibri" w:hint="eastAsia"/>
                <w:bCs/>
                <w:color w:val="auto"/>
                <w:szCs w:val="21"/>
              </w:rPr>
              <w:t>声功率级</w:t>
            </w:r>
            <w:r w:rsidRPr="00F61204">
              <w:rPr>
                <w:rFonts w:ascii="Calibri" w:hAnsi="Calibri" w:hint="eastAsia"/>
                <w:bCs/>
                <w:color w:val="auto"/>
                <w:szCs w:val="21"/>
              </w:rPr>
              <w:t>/dB</w:t>
            </w:r>
          </w:p>
        </w:tc>
        <w:tc>
          <w:tcPr>
            <w:tcW w:w="1985" w:type="dxa"/>
            <w:vMerge/>
            <w:vAlign w:val="center"/>
          </w:tcPr>
          <w:p w14:paraId="602C8D20" w14:textId="77777777" w:rsidR="00AB0115" w:rsidRPr="00964557" w:rsidRDefault="00AB0115" w:rsidP="000E6E79">
            <w:pPr>
              <w:jc w:val="center"/>
              <w:rPr>
                <w:rFonts w:ascii="Calibri" w:hAnsi="Calibri"/>
                <w:bCs/>
                <w:color w:val="auto"/>
                <w:szCs w:val="21"/>
              </w:rPr>
            </w:pPr>
          </w:p>
        </w:tc>
        <w:tc>
          <w:tcPr>
            <w:tcW w:w="1660" w:type="dxa"/>
            <w:vMerge/>
            <w:vAlign w:val="center"/>
          </w:tcPr>
          <w:p w14:paraId="282EDDDE" w14:textId="77777777" w:rsidR="00AB0115" w:rsidRPr="00964557" w:rsidRDefault="00AB0115" w:rsidP="000E6E79">
            <w:pPr>
              <w:jc w:val="center"/>
              <w:rPr>
                <w:rFonts w:ascii="Calibri" w:hAnsi="Calibri"/>
                <w:bCs/>
                <w:color w:val="auto"/>
                <w:szCs w:val="21"/>
              </w:rPr>
            </w:pPr>
          </w:p>
        </w:tc>
      </w:tr>
      <w:tr w:rsidR="000B593B" w:rsidRPr="00964557" w14:paraId="03D1AE3C" w14:textId="77777777" w:rsidTr="000E6E79">
        <w:trPr>
          <w:trHeight w:val="312"/>
        </w:trPr>
        <w:tc>
          <w:tcPr>
            <w:tcW w:w="804" w:type="dxa"/>
            <w:vAlign w:val="center"/>
          </w:tcPr>
          <w:p w14:paraId="5874C42E" w14:textId="77777777" w:rsidR="000B593B" w:rsidRPr="00964557" w:rsidRDefault="000B593B" w:rsidP="000B593B">
            <w:pPr>
              <w:jc w:val="center"/>
              <w:rPr>
                <w:rFonts w:ascii="Calibri" w:hAnsi="Calibri"/>
                <w:bCs/>
                <w:color w:val="auto"/>
                <w:szCs w:val="21"/>
              </w:rPr>
            </w:pPr>
            <w:r>
              <w:rPr>
                <w:rFonts w:ascii="Calibri" w:hAnsi="Calibri" w:hint="eastAsia"/>
                <w:bCs/>
                <w:color w:val="auto"/>
                <w:szCs w:val="21"/>
              </w:rPr>
              <w:t>1</w:t>
            </w:r>
          </w:p>
        </w:tc>
        <w:tc>
          <w:tcPr>
            <w:tcW w:w="1308" w:type="dxa"/>
            <w:vAlign w:val="center"/>
          </w:tcPr>
          <w:p w14:paraId="12970A4E" w14:textId="77777777" w:rsidR="000B593B" w:rsidRPr="00964557" w:rsidRDefault="000B593B" w:rsidP="000B593B">
            <w:pPr>
              <w:jc w:val="center"/>
              <w:rPr>
                <w:rFonts w:ascii="Calibri" w:hAnsi="Calibri"/>
                <w:color w:val="auto"/>
                <w:szCs w:val="21"/>
              </w:rPr>
            </w:pPr>
            <w:r>
              <w:rPr>
                <w:rFonts w:ascii="Calibri" w:hAnsi="Calibri" w:hint="eastAsia"/>
                <w:color w:val="auto"/>
                <w:szCs w:val="21"/>
              </w:rPr>
              <w:t>冷却塔</w:t>
            </w:r>
            <w:r>
              <w:rPr>
                <w:rFonts w:ascii="Calibri" w:hAnsi="Calibri"/>
                <w:color w:val="auto"/>
                <w:szCs w:val="21"/>
              </w:rPr>
              <w:t>装置</w:t>
            </w:r>
          </w:p>
        </w:tc>
        <w:tc>
          <w:tcPr>
            <w:tcW w:w="1701" w:type="dxa"/>
            <w:vAlign w:val="center"/>
          </w:tcPr>
          <w:p w14:paraId="477313E6" w14:textId="77777777" w:rsidR="000B593B" w:rsidRPr="00A964FF" w:rsidRDefault="000B593B" w:rsidP="000B593B">
            <w:pPr>
              <w:jc w:val="center"/>
              <w:rPr>
                <w:rFonts w:ascii="Calibri" w:hAnsi="宋体" w:cs="Times New Roman"/>
                <w:color w:val="auto"/>
                <w:szCs w:val="21"/>
              </w:rPr>
            </w:pPr>
            <w:r>
              <w:rPr>
                <w:rFonts w:asciiTheme="minorHAnsi" w:hAnsiTheme="minorHAnsi" w:cstheme="minorHAnsi" w:hint="eastAsia"/>
                <w:color w:val="auto"/>
                <w:szCs w:val="21"/>
              </w:rPr>
              <w:t>水泵</w:t>
            </w:r>
          </w:p>
        </w:tc>
        <w:tc>
          <w:tcPr>
            <w:tcW w:w="1134" w:type="dxa"/>
            <w:vAlign w:val="center"/>
          </w:tcPr>
          <w:p w14:paraId="24CF35EC" w14:textId="77777777" w:rsidR="000B593B" w:rsidRPr="00964557" w:rsidRDefault="000B593B" w:rsidP="000B593B">
            <w:pPr>
              <w:jc w:val="center"/>
              <w:rPr>
                <w:rFonts w:ascii="Calibri" w:hAnsi="Calibri"/>
                <w:bCs/>
                <w:color w:val="auto"/>
                <w:szCs w:val="21"/>
              </w:rPr>
            </w:pPr>
            <w:r>
              <w:rPr>
                <w:rFonts w:ascii="Calibri" w:hAnsi="Calibri"/>
                <w:color w:val="auto"/>
                <w:szCs w:val="21"/>
              </w:rPr>
              <w:t>/</w:t>
            </w:r>
          </w:p>
        </w:tc>
        <w:tc>
          <w:tcPr>
            <w:tcW w:w="1323" w:type="dxa"/>
            <w:vAlign w:val="center"/>
          </w:tcPr>
          <w:p w14:paraId="3C5470A2"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-33.85</w:t>
            </w:r>
          </w:p>
        </w:tc>
        <w:tc>
          <w:tcPr>
            <w:tcW w:w="1323" w:type="dxa"/>
            <w:vAlign w:val="center"/>
          </w:tcPr>
          <w:p w14:paraId="0E71BEC9"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-13.23</w:t>
            </w:r>
          </w:p>
        </w:tc>
        <w:tc>
          <w:tcPr>
            <w:tcW w:w="1323" w:type="dxa"/>
            <w:vAlign w:val="center"/>
          </w:tcPr>
          <w:p w14:paraId="3CB0E6E2" w14:textId="77777777" w:rsidR="000B593B" w:rsidRDefault="000B593B" w:rsidP="000B593B">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1275" w:type="dxa"/>
            <w:vAlign w:val="center"/>
          </w:tcPr>
          <w:p w14:paraId="699638FA" w14:textId="77777777" w:rsidR="000B593B" w:rsidRDefault="000B593B" w:rsidP="000B593B">
            <w:pPr>
              <w:widowControl/>
              <w:jc w:val="center"/>
              <w:rPr>
                <w:rFonts w:ascii="Calibri" w:hAnsi="Calibri"/>
                <w:kern w:val="0"/>
                <w:szCs w:val="21"/>
              </w:rPr>
            </w:pPr>
            <w:r>
              <w:rPr>
                <w:rFonts w:ascii="Calibri" w:hAnsi="Calibri" w:hint="eastAsia"/>
                <w:kern w:val="0"/>
                <w:szCs w:val="21"/>
              </w:rPr>
              <w:t>85</w:t>
            </w:r>
          </w:p>
        </w:tc>
        <w:tc>
          <w:tcPr>
            <w:tcW w:w="1985" w:type="dxa"/>
            <w:vAlign w:val="center"/>
          </w:tcPr>
          <w:p w14:paraId="4314B699" w14:textId="77777777" w:rsidR="000B593B" w:rsidRPr="0086327A" w:rsidRDefault="000B593B" w:rsidP="000B593B">
            <w:pPr>
              <w:jc w:val="center"/>
              <w:rPr>
                <w:rFonts w:asciiTheme="minorHAnsi" w:hAnsiTheme="minorHAnsi"/>
                <w:bCs/>
                <w:color w:val="auto"/>
                <w:szCs w:val="21"/>
              </w:rPr>
            </w:pPr>
            <w:r>
              <w:rPr>
                <w:rFonts w:asciiTheme="minorHAnsi" w:hAnsiTheme="minorHAnsi" w:hint="eastAsia"/>
                <w:bCs/>
                <w:color w:val="auto"/>
                <w:szCs w:val="21"/>
              </w:rPr>
              <w:t>基础减振</w:t>
            </w:r>
          </w:p>
        </w:tc>
        <w:tc>
          <w:tcPr>
            <w:tcW w:w="1660" w:type="dxa"/>
            <w:vAlign w:val="center"/>
          </w:tcPr>
          <w:p w14:paraId="0CADD504" w14:textId="77777777" w:rsidR="000B593B" w:rsidRPr="00964557" w:rsidRDefault="000B593B" w:rsidP="000B593B">
            <w:pPr>
              <w:jc w:val="center"/>
              <w:rPr>
                <w:rFonts w:ascii="Calibri" w:hAnsi="Calibri"/>
                <w:bCs/>
                <w:color w:val="auto"/>
                <w:szCs w:val="21"/>
              </w:rPr>
            </w:pPr>
            <w:r w:rsidRPr="0086327A">
              <w:rPr>
                <w:rFonts w:asciiTheme="minorHAnsi" w:hAnsiTheme="minorHAnsi"/>
                <w:noProof/>
              </w:rPr>
              <w:t>00:00-24:00</w:t>
            </w:r>
          </w:p>
        </w:tc>
      </w:tr>
      <w:tr w:rsidR="000B593B" w:rsidRPr="00964557" w14:paraId="38CAC5C3" w14:textId="77777777" w:rsidTr="000E6E79">
        <w:trPr>
          <w:trHeight w:val="312"/>
        </w:trPr>
        <w:tc>
          <w:tcPr>
            <w:tcW w:w="804" w:type="dxa"/>
            <w:vAlign w:val="center"/>
          </w:tcPr>
          <w:p w14:paraId="1E15D49E" w14:textId="77777777" w:rsidR="000B593B" w:rsidRDefault="000B593B" w:rsidP="000B593B">
            <w:pPr>
              <w:jc w:val="center"/>
              <w:rPr>
                <w:rFonts w:ascii="Calibri" w:hAnsi="Calibri"/>
                <w:bCs/>
                <w:color w:val="auto"/>
                <w:szCs w:val="21"/>
              </w:rPr>
            </w:pPr>
            <w:r>
              <w:rPr>
                <w:rFonts w:ascii="Calibri" w:hAnsi="Calibri"/>
                <w:bCs/>
                <w:color w:val="auto"/>
                <w:szCs w:val="21"/>
              </w:rPr>
              <w:t>2</w:t>
            </w:r>
          </w:p>
        </w:tc>
        <w:tc>
          <w:tcPr>
            <w:tcW w:w="1308" w:type="dxa"/>
            <w:vMerge w:val="restart"/>
            <w:vAlign w:val="center"/>
          </w:tcPr>
          <w:p w14:paraId="468A7A4E" w14:textId="77777777" w:rsidR="000B593B" w:rsidRDefault="000B593B" w:rsidP="000B593B">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处理站</w:t>
            </w:r>
          </w:p>
        </w:tc>
        <w:tc>
          <w:tcPr>
            <w:tcW w:w="1701" w:type="dxa"/>
            <w:vAlign w:val="center"/>
          </w:tcPr>
          <w:p w14:paraId="4982D20F" w14:textId="77777777" w:rsidR="000B593B" w:rsidRDefault="000B593B" w:rsidP="000B593B">
            <w:pPr>
              <w:jc w:val="center"/>
              <w:rPr>
                <w:rFonts w:asciiTheme="minorHAnsi" w:hAnsiTheme="minorHAnsi" w:cstheme="minorHAnsi"/>
                <w:color w:val="auto"/>
                <w:szCs w:val="21"/>
              </w:rPr>
            </w:pPr>
            <w:r>
              <w:rPr>
                <w:rFonts w:asciiTheme="minorHAnsi" w:hAnsiTheme="minorHAnsi" w:cstheme="minorHAnsi" w:hint="eastAsia"/>
                <w:color w:val="auto"/>
                <w:szCs w:val="21"/>
              </w:rPr>
              <w:t>1#</w:t>
            </w:r>
            <w:r>
              <w:rPr>
                <w:rFonts w:asciiTheme="minorHAnsi" w:hAnsiTheme="minorHAnsi" w:cstheme="minorHAnsi" w:hint="eastAsia"/>
                <w:color w:val="auto"/>
                <w:szCs w:val="21"/>
              </w:rPr>
              <w:t>水泵</w:t>
            </w:r>
          </w:p>
        </w:tc>
        <w:tc>
          <w:tcPr>
            <w:tcW w:w="1134" w:type="dxa"/>
            <w:vAlign w:val="center"/>
          </w:tcPr>
          <w:p w14:paraId="3AC16D7B" w14:textId="77777777" w:rsidR="000B593B" w:rsidRDefault="000B593B" w:rsidP="000B593B">
            <w:pPr>
              <w:jc w:val="center"/>
              <w:rPr>
                <w:rFonts w:ascii="Calibri" w:hAnsi="Calibri"/>
                <w:bCs/>
                <w:color w:val="auto"/>
                <w:szCs w:val="21"/>
              </w:rPr>
            </w:pPr>
            <w:r>
              <w:rPr>
                <w:rFonts w:ascii="Calibri" w:hAnsi="Calibri" w:hint="eastAsia"/>
                <w:bCs/>
                <w:color w:val="auto"/>
                <w:szCs w:val="21"/>
              </w:rPr>
              <w:t>/</w:t>
            </w:r>
          </w:p>
        </w:tc>
        <w:tc>
          <w:tcPr>
            <w:tcW w:w="1323" w:type="dxa"/>
            <w:vAlign w:val="center"/>
          </w:tcPr>
          <w:p w14:paraId="2991CDF8"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115.15</w:t>
            </w:r>
          </w:p>
        </w:tc>
        <w:tc>
          <w:tcPr>
            <w:tcW w:w="1323" w:type="dxa"/>
            <w:vAlign w:val="center"/>
          </w:tcPr>
          <w:p w14:paraId="5997651B"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-270.91</w:t>
            </w:r>
          </w:p>
        </w:tc>
        <w:tc>
          <w:tcPr>
            <w:tcW w:w="1323" w:type="dxa"/>
            <w:vAlign w:val="center"/>
          </w:tcPr>
          <w:p w14:paraId="200E97A0" w14:textId="77777777" w:rsidR="000B593B" w:rsidRDefault="00840163" w:rsidP="000B593B">
            <w:pPr>
              <w:jc w:val="center"/>
              <w:rPr>
                <w:rFonts w:ascii="Calibri" w:hAnsi="Calibri"/>
                <w:bCs/>
                <w:color w:val="auto"/>
                <w:szCs w:val="21"/>
              </w:rPr>
            </w:pPr>
            <w:r>
              <w:rPr>
                <w:rFonts w:ascii="Calibri" w:hAnsi="Calibri"/>
                <w:bCs/>
                <w:color w:val="auto"/>
                <w:szCs w:val="21"/>
              </w:rPr>
              <w:t>-</w:t>
            </w:r>
            <w:r w:rsidR="000B593B">
              <w:rPr>
                <w:rFonts w:ascii="Calibri" w:hAnsi="Calibri" w:hint="eastAsia"/>
                <w:bCs/>
                <w:color w:val="auto"/>
                <w:szCs w:val="21"/>
              </w:rPr>
              <w:t>0</w:t>
            </w:r>
            <w:r w:rsidR="000B593B">
              <w:rPr>
                <w:rFonts w:ascii="Calibri" w:hAnsi="Calibri"/>
                <w:bCs/>
                <w:color w:val="auto"/>
                <w:szCs w:val="21"/>
              </w:rPr>
              <w:t>.5</w:t>
            </w:r>
          </w:p>
        </w:tc>
        <w:tc>
          <w:tcPr>
            <w:tcW w:w="1275" w:type="dxa"/>
            <w:vAlign w:val="center"/>
          </w:tcPr>
          <w:p w14:paraId="6ADB8E4B" w14:textId="77777777" w:rsidR="000B593B" w:rsidRDefault="000B593B" w:rsidP="000B593B">
            <w:pPr>
              <w:widowControl/>
              <w:jc w:val="center"/>
              <w:rPr>
                <w:rFonts w:ascii="Calibri" w:hAnsi="Calibri"/>
                <w:szCs w:val="21"/>
              </w:rPr>
            </w:pPr>
            <w:r>
              <w:rPr>
                <w:rFonts w:ascii="Calibri" w:hAnsi="Calibri" w:hint="eastAsia"/>
                <w:szCs w:val="21"/>
              </w:rPr>
              <w:t>85</w:t>
            </w:r>
          </w:p>
        </w:tc>
        <w:tc>
          <w:tcPr>
            <w:tcW w:w="1985" w:type="dxa"/>
            <w:vAlign w:val="center"/>
          </w:tcPr>
          <w:p w14:paraId="03EEC3CB" w14:textId="77777777" w:rsidR="000B593B" w:rsidRDefault="000B593B" w:rsidP="000B593B">
            <w:pPr>
              <w:jc w:val="center"/>
              <w:rPr>
                <w:rFonts w:asciiTheme="minorHAnsi" w:hAnsiTheme="minorHAnsi"/>
                <w:bCs/>
                <w:color w:val="auto"/>
                <w:szCs w:val="21"/>
              </w:rPr>
            </w:pPr>
            <w:r>
              <w:rPr>
                <w:rFonts w:asciiTheme="minorHAnsi" w:hAnsiTheme="minorHAnsi" w:hint="eastAsia"/>
                <w:bCs/>
                <w:color w:val="auto"/>
                <w:szCs w:val="21"/>
              </w:rPr>
              <w:t>基础减振</w:t>
            </w:r>
          </w:p>
        </w:tc>
        <w:tc>
          <w:tcPr>
            <w:tcW w:w="1660" w:type="dxa"/>
            <w:vAlign w:val="center"/>
          </w:tcPr>
          <w:p w14:paraId="79D9EFA0" w14:textId="77777777" w:rsidR="000B593B" w:rsidRPr="0086327A" w:rsidRDefault="000B593B" w:rsidP="000B593B">
            <w:pPr>
              <w:jc w:val="center"/>
              <w:rPr>
                <w:rFonts w:asciiTheme="minorHAnsi" w:hAnsiTheme="minorHAnsi"/>
                <w:noProof/>
              </w:rPr>
            </w:pPr>
            <w:r w:rsidRPr="0086327A">
              <w:rPr>
                <w:rFonts w:asciiTheme="minorHAnsi" w:hAnsiTheme="minorHAnsi"/>
                <w:noProof/>
              </w:rPr>
              <w:t>00:00-24:00</w:t>
            </w:r>
          </w:p>
        </w:tc>
      </w:tr>
      <w:tr w:rsidR="000B593B" w:rsidRPr="00964557" w14:paraId="47A68662" w14:textId="77777777" w:rsidTr="000E6E79">
        <w:trPr>
          <w:trHeight w:val="312"/>
        </w:trPr>
        <w:tc>
          <w:tcPr>
            <w:tcW w:w="804" w:type="dxa"/>
            <w:vAlign w:val="center"/>
          </w:tcPr>
          <w:p w14:paraId="56118E66" w14:textId="77777777" w:rsidR="000B593B" w:rsidRDefault="000B593B" w:rsidP="000B593B">
            <w:pPr>
              <w:jc w:val="center"/>
              <w:rPr>
                <w:rFonts w:ascii="Calibri" w:hAnsi="Calibri"/>
                <w:bCs/>
                <w:color w:val="auto"/>
                <w:szCs w:val="21"/>
              </w:rPr>
            </w:pPr>
            <w:r>
              <w:rPr>
                <w:rFonts w:ascii="Calibri" w:hAnsi="Calibri"/>
                <w:bCs/>
                <w:color w:val="auto"/>
                <w:szCs w:val="21"/>
              </w:rPr>
              <w:t>3</w:t>
            </w:r>
          </w:p>
        </w:tc>
        <w:tc>
          <w:tcPr>
            <w:tcW w:w="1308" w:type="dxa"/>
            <w:vMerge/>
            <w:vAlign w:val="center"/>
          </w:tcPr>
          <w:p w14:paraId="7A90C09C" w14:textId="77777777" w:rsidR="000B593B" w:rsidRDefault="000B593B" w:rsidP="000B593B">
            <w:pPr>
              <w:jc w:val="center"/>
              <w:rPr>
                <w:rFonts w:ascii="Calibri" w:hAnsi="Calibri"/>
                <w:color w:val="auto"/>
                <w:szCs w:val="21"/>
              </w:rPr>
            </w:pPr>
          </w:p>
        </w:tc>
        <w:tc>
          <w:tcPr>
            <w:tcW w:w="1701" w:type="dxa"/>
            <w:vAlign w:val="center"/>
          </w:tcPr>
          <w:p w14:paraId="1E3A0D8C" w14:textId="77777777" w:rsidR="000B593B" w:rsidRDefault="000B593B" w:rsidP="000B593B">
            <w:pPr>
              <w:jc w:val="center"/>
              <w:rPr>
                <w:rFonts w:asciiTheme="minorHAnsi" w:hAnsiTheme="minorHAnsi" w:cstheme="minorHAnsi"/>
                <w:color w:val="auto"/>
                <w:szCs w:val="21"/>
              </w:rPr>
            </w:pPr>
            <w:r>
              <w:rPr>
                <w:rFonts w:asciiTheme="minorHAnsi" w:hAnsiTheme="minorHAnsi" w:cstheme="minorHAnsi"/>
                <w:color w:val="auto"/>
                <w:szCs w:val="21"/>
              </w:rPr>
              <w:t>2</w:t>
            </w:r>
            <w:r>
              <w:rPr>
                <w:rFonts w:asciiTheme="minorHAnsi" w:hAnsiTheme="minorHAnsi" w:cstheme="minorHAnsi" w:hint="eastAsia"/>
                <w:color w:val="auto"/>
                <w:szCs w:val="21"/>
              </w:rPr>
              <w:t>#</w:t>
            </w:r>
            <w:r>
              <w:rPr>
                <w:rFonts w:asciiTheme="minorHAnsi" w:hAnsiTheme="minorHAnsi" w:cstheme="minorHAnsi" w:hint="eastAsia"/>
                <w:color w:val="auto"/>
                <w:szCs w:val="21"/>
              </w:rPr>
              <w:t>水泵</w:t>
            </w:r>
          </w:p>
        </w:tc>
        <w:tc>
          <w:tcPr>
            <w:tcW w:w="1134" w:type="dxa"/>
            <w:vAlign w:val="center"/>
          </w:tcPr>
          <w:p w14:paraId="3426647D" w14:textId="77777777" w:rsidR="000B593B" w:rsidRDefault="000B593B" w:rsidP="000B593B">
            <w:pPr>
              <w:jc w:val="center"/>
              <w:rPr>
                <w:rFonts w:ascii="Calibri" w:hAnsi="Calibri"/>
                <w:bCs/>
                <w:color w:val="auto"/>
                <w:szCs w:val="21"/>
              </w:rPr>
            </w:pPr>
            <w:r>
              <w:rPr>
                <w:rFonts w:ascii="Calibri" w:hAnsi="Calibri" w:hint="eastAsia"/>
                <w:bCs/>
                <w:color w:val="auto"/>
                <w:szCs w:val="21"/>
              </w:rPr>
              <w:t>/</w:t>
            </w:r>
          </w:p>
        </w:tc>
        <w:tc>
          <w:tcPr>
            <w:tcW w:w="1323" w:type="dxa"/>
            <w:vAlign w:val="center"/>
          </w:tcPr>
          <w:p w14:paraId="3FE9E4D4"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124.94</w:t>
            </w:r>
          </w:p>
        </w:tc>
        <w:tc>
          <w:tcPr>
            <w:tcW w:w="1323" w:type="dxa"/>
            <w:vAlign w:val="center"/>
          </w:tcPr>
          <w:p w14:paraId="0AFC758E"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-270.42</w:t>
            </w:r>
          </w:p>
        </w:tc>
        <w:tc>
          <w:tcPr>
            <w:tcW w:w="1323" w:type="dxa"/>
            <w:vAlign w:val="center"/>
          </w:tcPr>
          <w:p w14:paraId="12368894" w14:textId="77777777" w:rsidR="000B593B" w:rsidRDefault="00840163" w:rsidP="000B593B">
            <w:pPr>
              <w:jc w:val="center"/>
              <w:rPr>
                <w:rFonts w:ascii="Calibri" w:hAnsi="Calibri"/>
                <w:bCs/>
                <w:color w:val="auto"/>
                <w:szCs w:val="21"/>
              </w:rPr>
            </w:pPr>
            <w:r>
              <w:rPr>
                <w:rFonts w:ascii="Calibri" w:hAnsi="Calibri"/>
                <w:bCs/>
                <w:color w:val="auto"/>
                <w:szCs w:val="21"/>
              </w:rPr>
              <w:t>-</w:t>
            </w:r>
            <w:r w:rsidR="000B593B">
              <w:rPr>
                <w:rFonts w:ascii="Calibri" w:hAnsi="Calibri" w:hint="eastAsia"/>
                <w:bCs/>
                <w:color w:val="auto"/>
                <w:szCs w:val="21"/>
              </w:rPr>
              <w:t>0</w:t>
            </w:r>
            <w:r w:rsidR="000B593B">
              <w:rPr>
                <w:rFonts w:ascii="Calibri" w:hAnsi="Calibri"/>
                <w:bCs/>
                <w:color w:val="auto"/>
                <w:szCs w:val="21"/>
              </w:rPr>
              <w:t>.5</w:t>
            </w:r>
          </w:p>
        </w:tc>
        <w:tc>
          <w:tcPr>
            <w:tcW w:w="1275" w:type="dxa"/>
            <w:vAlign w:val="center"/>
          </w:tcPr>
          <w:p w14:paraId="51224DE3" w14:textId="77777777" w:rsidR="000B593B" w:rsidRDefault="000B593B" w:rsidP="000B593B">
            <w:pPr>
              <w:widowControl/>
              <w:jc w:val="center"/>
              <w:rPr>
                <w:rFonts w:ascii="Calibri" w:hAnsi="Calibri"/>
                <w:szCs w:val="21"/>
              </w:rPr>
            </w:pPr>
            <w:r>
              <w:rPr>
                <w:rFonts w:ascii="Calibri" w:hAnsi="Calibri" w:hint="eastAsia"/>
                <w:szCs w:val="21"/>
              </w:rPr>
              <w:t>85</w:t>
            </w:r>
          </w:p>
        </w:tc>
        <w:tc>
          <w:tcPr>
            <w:tcW w:w="1985" w:type="dxa"/>
            <w:vAlign w:val="center"/>
          </w:tcPr>
          <w:p w14:paraId="2C12D92E" w14:textId="77777777" w:rsidR="000B593B" w:rsidRDefault="000B593B" w:rsidP="000B593B">
            <w:pPr>
              <w:jc w:val="center"/>
              <w:rPr>
                <w:rFonts w:asciiTheme="minorHAnsi" w:hAnsiTheme="minorHAnsi"/>
                <w:bCs/>
                <w:color w:val="auto"/>
                <w:szCs w:val="21"/>
              </w:rPr>
            </w:pPr>
            <w:r>
              <w:rPr>
                <w:rFonts w:asciiTheme="minorHAnsi" w:hAnsiTheme="minorHAnsi" w:hint="eastAsia"/>
                <w:bCs/>
                <w:color w:val="auto"/>
                <w:szCs w:val="21"/>
              </w:rPr>
              <w:t>基础减振</w:t>
            </w:r>
          </w:p>
        </w:tc>
        <w:tc>
          <w:tcPr>
            <w:tcW w:w="1660" w:type="dxa"/>
            <w:vAlign w:val="center"/>
          </w:tcPr>
          <w:p w14:paraId="6A2279C6" w14:textId="77777777" w:rsidR="000B593B" w:rsidRPr="0086327A" w:rsidRDefault="000B593B" w:rsidP="000B593B">
            <w:pPr>
              <w:jc w:val="center"/>
              <w:rPr>
                <w:rFonts w:asciiTheme="minorHAnsi" w:hAnsiTheme="minorHAnsi"/>
                <w:noProof/>
              </w:rPr>
            </w:pPr>
            <w:r w:rsidRPr="0086327A">
              <w:rPr>
                <w:rFonts w:asciiTheme="minorHAnsi" w:hAnsiTheme="minorHAnsi"/>
                <w:noProof/>
              </w:rPr>
              <w:t>00:00-24:00</w:t>
            </w:r>
          </w:p>
        </w:tc>
      </w:tr>
      <w:tr w:rsidR="000B593B" w:rsidRPr="00964557" w14:paraId="3FA8B0EE" w14:textId="77777777" w:rsidTr="000E6E79">
        <w:trPr>
          <w:trHeight w:val="312"/>
        </w:trPr>
        <w:tc>
          <w:tcPr>
            <w:tcW w:w="804" w:type="dxa"/>
            <w:vAlign w:val="center"/>
          </w:tcPr>
          <w:p w14:paraId="5A7E3531" w14:textId="77777777" w:rsidR="000B593B" w:rsidRDefault="000B593B" w:rsidP="000B593B">
            <w:pPr>
              <w:jc w:val="center"/>
              <w:rPr>
                <w:rFonts w:ascii="Calibri" w:hAnsi="Calibri"/>
                <w:bCs/>
                <w:color w:val="auto"/>
                <w:szCs w:val="21"/>
              </w:rPr>
            </w:pPr>
            <w:r>
              <w:rPr>
                <w:rFonts w:ascii="Calibri" w:hAnsi="Calibri" w:hint="eastAsia"/>
                <w:bCs/>
                <w:color w:val="auto"/>
                <w:szCs w:val="21"/>
              </w:rPr>
              <w:t>4</w:t>
            </w:r>
          </w:p>
        </w:tc>
        <w:tc>
          <w:tcPr>
            <w:tcW w:w="1308" w:type="dxa"/>
            <w:vMerge/>
            <w:vAlign w:val="center"/>
          </w:tcPr>
          <w:p w14:paraId="36CB7F9A" w14:textId="77777777" w:rsidR="000B593B" w:rsidRDefault="000B593B" w:rsidP="000B593B">
            <w:pPr>
              <w:jc w:val="center"/>
              <w:rPr>
                <w:rFonts w:ascii="Calibri" w:hAnsi="Calibri"/>
                <w:color w:val="auto"/>
                <w:szCs w:val="21"/>
              </w:rPr>
            </w:pPr>
          </w:p>
        </w:tc>
        <w:tc>
          <w:tcPr>
            <w:tcW w:w="1701" w:type="dxa"/>
            <w:vAlign w:val="center"/>
          </w:tcPr>
          <w:p w14:paraId="37EB18E1" w14:textId="77777777" w:rsidR="000B593B" w:rsidRDefault="000B593B" w:rsidP="000B593B">
            <w:pPr>
              <w:jc w:val="center"/>
              <w:rPr>
                <w:rFonts w:asciiTheme="minorHAnsi" w:hAnsiTheme="minorHAnsi" w:cstheme="minorHAnsi"/>
                <w:color w:val="auto"/>
                <w:szCs w:val="21"/>
              </w:rPr>
            </w:pPr>
            <w:r>
              <w:rPr>
                <w:rFonts w:asciiTheme="minorHAnsi" w:hAnsiTheme="minorHAnsi" w:cstheme="minorHAnsi"/>
                <w:color w:val="auto"/>
                <w:szCs w:val="21"/>
              </w:rPr>
              <w:t>3</w:t>
            </w:r>
            <w:r w:rsidRPr="00AB0115">
              <w:rPr>
                <w:rFonts w:asciiTheme="minorHAnsi" w:hAnsiTheme="minorHAnsi" w:cstheme="minorHAnsi" w:hint="eastAsia"/>
                <w:color w:val="auto"/>
                <w:szCs w:val="21"/>
              </w:rPr>
              <w:t>#</w:t>
            </w:r>
            <w:r w:rsidRPr="00AB0115">
              <w:rPr>
                <w:rFonts w:asciiTheme="minorHAnsi" w:hAnsiTheme="minorHAnsi" w:cstheme="minorHAnsi" w:hint="eastAsia"/>
                <w:color w:val="auto"/>
                <w:szCs w:val="21"/>
              </w:rPr>
              <w:t>水泵</w:t>
            </w:r>
          </w:p>
        </w:tc>
        <w:tc>
          <w:tcPr>
            <w:tcW w:w="1134" w:type="dxa"/>
            <w:vAlign w:val="center"/>
          </w:tcPr>
          <w:p w14:paraId="512632B9" w14:textId="77777777" w:rsidR="000B593B" w:rsidRDefault="000B593B" w:rsidP="000B593B">
            <w:pPr>
              <w:jc w:val="center"/>
              <w:rPr>
                <w:rFonts w:ascii="Calibri" w:hAnsi="Calibri"/>
                <w:bCs/>
                <w:color w:val="auto"/>
                <w:szCs w:val="21"/>
              </w:rPr>
            </w:pPr>
            <w:r>
              <w:rPr>
                <w:rFonts w:ascii="Calibri" w:hAnsi="Calibri" w:hint="eastAsia"/>
                <w:bCs/>
                <w:color w:val="auto"/>
                <w:szCs w:val="21"/>
              </w:rPr>
              <w:t>/</w:t>
            </w:r>
          </w:p>
        </w:tc>
        <w:tc>
          <w:tcPr>
            <w:tcW w:w="1323" w:type="dxa"/>
            <w:vAlign w:val="center"/>
          </w:tcPr>
          <w:p w14:paraId="4174CBE2"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133.26</w:t>
            </w:r>
          </w:p>
        </w:tc>
        <w:tc>
          <w:tcPr>
            <w:tcW w:w="1323" w:type="dxa"/>
            <w:vAlign w:val="center"/>
          </w:tcPr>
          <w:p w14:paraId="38BE6D6D"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-271.89</w:t>
            </w:r>
          </w:p>
        </w:tc>
        <w:tc>
          <w:tcPr>
            <w:tcW w:w="1323" w:type="dxa"/>
            <w:vAlign w:val="center"/>
          </w:tcPr>
          <w:p w14:paraId="7C78BDA5" w14:textId="77777777" w:rsidR="000B593B" w:rsidRDefault="00840163" w:rsidP="000B593B">
            <w:pPr>
              <w:jc w:val="center"/>
              <w:rPr>
                <w:rFonts w:ascii="Calibri" w:hAnsi="Calibri"/>
                <w:bCs/>
                <w:color w:val="auto"/>
                <w:szCs w:val="21"/>
              </w:rPr>
            </w:pPr>
            <w:r>
              <w:rPr>
                <w:rFonts w:ascii="Calibri" w:hAnsi="Calibri" w:hint="eastAsia"/>
                <w:bCs/>
                <w:color w:val="auto"/>
                <w:szCs w:val="21"/>
              </w:rPr>
              <w:t>-0.5</w:t>
            </w:r>
          </w:p>
        </w:tc>
        <w:tc>
          <w:tcPr>
            <w:tcW w:w="1275" w:type="dxa"/>
            <w:vAlign w:val="center"/>
          </w:tcPr>
          <w:p w14:paraId="3F1054FC" w14:textId="77777777" w:rsidR="000B593B" w:rsidRDefault="00840163" w:rsidP="000B593B">
            <w:pPr>
              <w:widowControl/>
              <w:jc w:val="center"/>
              <w:rPr>
                <w:rFonts w:ascii="Calibri" w:hAnsi="Calibri"/>
                <w:szCs w:val="21"/>
              </w:rPr>
            </w:pPr>
            <w:r>
              <w:rPr>
                <w:rFonts w:ascii="Calibri" w:hAnsi="Calibri" w:hint="eastAsia"/>
                <w:szCs w:val="21"/>
              </w:rPr>
              <w:t>85</w:t>
            </w:r>
          </w:p>
        </w:tc>
        <w:tc>
          <w:tcPr>
            <w:tcW w:w="1985" w:type="dxa"/>
            <w:vAlign w:val="center"/>
          </w:tcPr>
          <w:p w14:paraId="70990CB4" w14:textId="77777777" w:rsidR="000B593B" w:rsidRDefault="00840163" w:rsidP="000B593B">
            <w:pPr>
              <w:jc w:val="center"/>
              <w:rPr>
                <w:rFonts w:asciiTheme="minorHAnsi" w:hAnsiTheme="minorHAnsi"/>
                <w:bCs/>
                <w:color w:val="auto"/>
                <w:szCs w:val="21"/>
              </w:rPr>
            </w:pPr>
            <w:r>
              <w:rPr>
                <w:rFonts w:asciiTheme="minorHAnsi" w:hAnsiTheme="minorHAnsi" w:hint="eastAsia"/>
                <w:bCs/>
                <w:color w:val="auto"/>
                <w:szCs w:val="21"/>
              </w:rPr>
              <w:t>基础减振</w:t>
            </w:r>
          </w:p>
        </w:tc>
        <w:tc>
          <w:tcPr>
            <w:tcW w:w="1660" w:type="dxa"/>
            <w:vAlign w:val="center"/>
          </w:tcPr>
          <w:p w14:paraId="3A894855" w14:textId="77777777" w:rsidR="000B593B" w:rsidRPr="0086327A" w:rsidRDefault="00840163" w:rsidP="000B593B">
            <w:pPr>
              <w:jc w:val="center"/>
              <w:rPr>
                <w:rFonts w:asciiTheme="minorHAnsi" w:hAnsiTheme="minorHAnsi"/>
                <w:noProof/>
              </w:rPr>
            </w:pPr>
            <w:r w:rsidRPr="0086327A">
              <w:rPr>
                <w:rFonts w:asciiTheme="minorHAnsi" w:hAnsiTheme="minorHAnsi"/>
                <w:noProof/>
              </w:rPr>
              <w:t>00:00-24:00</w:t>
            </w:r>
          </w:p>
        </w:tc>
      </w:tr>
      <w:tr w:rsidR="000B593B" w:rsidRPr="00964557" w14:paraId="59CFD94F" w14:textId="77777777" w:rsidTr="000E6E79">
        <w:trPr>
          <w:trHeight w:val="312"/>
        </w:trPr>
        <w:tc>
          <w:tcPr>
            <w:tcW w:w="804" w:type="dxa"/>
            <w:vAlign w:val="center"/>
          </w:tcPr>
          <w:p w14:paraId="45988250" w14:textId="77777777" w:rsidR="000B593B" w:rsidRDefault="000B593B" w:rsidP="000B593B">
            <w:pPr>
              <w:jc w:val="center"/>
              <w:rPr>
                <w:rFonts w:ascii="Calibri" w:hAnsi="Calibri"/>
                <w:bCs/>
                <w:color w:val="auto"/>
                <w:szCs w:val="21"/>
              </w:rPr>
            </w:pPr>
            <w:r>
              <w:rPr>
                <w:rFonts w:ascii="Calibri" w:hAnsi="Calibri"/>
                <w:bCs/>
                <w:color w:val="auto"/>
                <w:szCs w:val="21"/>
              </w:rPr>
              <w:t>5</w:t>
            </w:r>
          </w:p>
        </w:tc>
        <w:tc>
          <w:tcPr>
            <w:tcW w:w="1308" w:type="dxa"/>
            <w:vMerge/>
            <w:vAlign w:val="center"/>
          </w:tcPr>
          <w:p w14:paraId="06CC0777" w14:textId="77777777" w:rsidR="000B593B" w:rsidRDefault="000B593B" w:rsidP="000B593B">
            <w:pPr>
              <w:jc w:val="center"/>
              <w:rPr>
                <w:rFonts w:ascii="Calibri" w:hAnsi="Calibri"/>
                <w:color w:val="auto"/>
                <w:szCs w:val="21"/>
              </w:rPr>
            </w:pPr>
          </w:p>
        </w:tc>
        <w:tc>
          <w:tcPr>
            <w:tcW w:w="1701" w:type="dxa"/>
            <w:vAlign w:val="center"/>
          </w:tcPr>
          <w:p w14:paraId="5C470FE2" w14:textId="77777777" w:rsidR="000B593B" w:rsidRDefault="000B593B" w:rsidP="000B593B">
            <w:pPr>
              <w:jc w:val="center"/>
              <w:rPr>
                <w:rFonts w:asciiTheme="minorHAnsi" w:hAnsiTheme="minorHAnsi" w:cstheme="minorHAnsi"/>
                <w:color w:val="auto"/>
                <w:szCs w:val="21"/>
              </w:rPr>
            </w:pPr>
            <w:r>
              <w:rPr>
                <w:rFonts w:asciiTheme="minorHAnsi" w:hAnsiTheme="minorHAnsi" w:cstheme="minorHAnsi" w:hint="eastAsia"/>
                <w:color w:val="auto"/>
                <w:szCs w:val="21"/>
              </w:rPr>
              <w:t>鼓风机</w:t>
            </w:r>
          </w:p>
        </w:tc>
        <w:tc>
          <w:tcPr>
            <w:tcW w:w="1134" w:type="dxa"/>
            <w:vAlign w:val="center"/>
          </w:tcPr>
          <w:p w14:paraId="2D393F06" w14:textId="77777777" w:rsidR="000B593B" w:rsidRDefault="000B593B" w:rsidP="000B593B">
            <w:pPr>
              <w:jc w:val="center"/>
              <w:rPr>
                <w:rFonts w:ascii="Calibri" w:hAnsi="Calibri"/>
                <w:bCs/>
                <w:color w:val="auto"/>
                <w:szCs w:val="21"/>
              </w:rPr>
            </w:pPr>
            <w:r>
              <w:rPr>
                <w:rFonts w:ascii="Calibri" w:hAnsi="Calibri" w:hint="eastAsia"/>
                <w:bCs/>
                <w:color w:val="auto"/>
                <w:szCs w:val="21"/>
              </w:rPr>
              <w:t>/</w:t>
            </w:r>
          </w:p>
        </w:tc>
        <w:tc>
          <w:tcPr>
            <w:tcW w:w="1323" w:type="dxa"/>
            <w:vAlign w:val="center"/>
          </w:tcPr>
          <w:p w14:paraId="08338E91"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122</w:t>
            </w:r>
          </w:p>
        </w:tc>
        <w:tc>
          <w:tcPr>
            <w:tcW w:w="1323" w:type="dxa"/>
            <w:vAlign w:val="center"/>
          </w:tcPr>
          <w:p w14:paraId="3CF10BCB"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-277.27</w:t>
            </w:r>
          </w:p>
        </w:tc>
        <w:tc>
          <w:tcPr>
            <w:tcW w:w="1323" w:type="dxa"/>
            <w:vAlign w:val="center"/>
          </w:tcPr>
          <w:p w14:paraId="065E50A7" w14:textId="77777777" w:rsidR="000B593B" w:rsidRDefault="00840163" w:rsidP="000B593B">
            <w:pPr>
              <w:jc w:val="center"/>
              <w:rPr>
                <w:rFonts w:ascii="Calibri" w:hAnsi="Calibri"/>
                <w:bCs/>
                <w:color w:val="auto"/>
                <w:szCs w:val="21"/>
              </w:rPr>
            </w:pPr>
            <w:r>
              <w:rPr>
                <w:rFonts w:ascii="Calibri" w:hAnsi="Calibri"/>
                <w:bCs/>
                <w:color w:val="auto"/>
                <w:szCs w:val="21"/>
              </w:rPr>
              <w:t>0.5</w:t>
            </w:r>
          </w:p>
        </w:tc>
        <w:tc>
          <w:tcPr>
            <w:tcW w:w="1275" w:type="dxa"/>
            <w:vAlign w:val="center"/>
          </w:tcPr>
          <w:p w14:paraId="6B48CB57" w14:textId="77777777" w:rsidR="000B593B" w:rsidRDefault="00840163" w:rsidP="000B593B">
            <w:pPr>
              <w:widowControl/>
              <w:jc w:val="center"/>
              <w:rPr>
                <w:rFonts w:ascii="Calibri" w:hAnsi="Calibri"/>
                <w:szCs w:val="21"/>
              </w:rPr>
            </w:pPr>
            <w:r>
              <w:rPr>
                <w:rFonts w:ascii="Calibri" w:hAnsi="Calibri"/>
                <w:szCs w:val="21"/>
              </w:rPr>
              <w:t>90</w:t>
            </w:r>
          </w:p>
        </w:tc>
        <w:tc>
          <w:tcPr>
            <w:tcW w:w="1985" w:type="dxa"/>
            <w:vAlign w:val="center"/>
          </w:tcPr>
          <w:p w14:paraId="62ADBD0B" w14:textId="77777777" w:rsidR="000B593B" w:rsidRDefault="000B593B" w:rsidP="00840163">
            <w:pPr>
              <w:jc w:val="center"/>
              <w:rPr>
                <w:rFonts w:asciiTheme="minorHAnsi" w:hAnsiTheme="minorHAnsi"/>
                <w:bCs/>
                <w:color w:val="auto"/>
                <w:szCs w:val="21"/>
              </w:rPr>
            </w:pPr>
            <w:r>
              <w:rPr>
                <w:rFonts w:asciiTheme="minorHAnsi" w:hAnsiTheme="minorHAnsi" w:hint="eastAsia"/>
                <w:bCs/>
                <w:color w:val="auto"/>
                <w:szCs w:val="21"/>
              </w:rPr>
              <w:t>基础减振</w:t>
            </w:r>
          </w:p>
        </w:tc>
        <w:tc>
          <w:tcPr>
            <w:tcW w:w="1660" w:type="dxa"/>
            <w:vAlign w:val="center"/>
          </w:tcPr>
          <w:p w14:paraId="3E3A3353" w14:textId="77777777" w:rsidR="000B593B" w:rsidRPr="0086327A" w:rsidRDefault="000B593B" w:rsidP="000B593B">
            <w:pPr>
              <w:jc w:val="center"/>
              <w:rPr>
                <w:rFonts w:asciiTheme="minorHAnsi" w:hAnsiTheme="minorHAnsi"/>
                <w:noProof/>
              </w:rPr>
            </w:pPr>
            <w:r w:rsidRPr="0086327A">
              <w:rPr>
                <w:rFonts w:asciiTheme="minorHAnsi" w:hAnsiTheme="minorHAnsi"/>
                <w:noProof/>
              </w:rPr>
              <w:t>00:00-24:00</w:t>
            </w:r>
          </w:p>
        </w:tc>
      </w:tr>
      <w:tr w:rsidR="000B593B" w:rsidRPr="00964557" w14:paraId="7DB4B133" w14:textId="77777777" w:rsidTr="000E6E79">
        <w:trPr>
          <w:trHeight w:val="312"/>
        </w:trPr>
        <w:tc>
          <w:tcPr>
            <w:tcW w:w="804" w:type="dxa"/>
            <w:vAlign w:val="center"/>
          </w:tcPr>
          <w:p w14:paraId="15D08398" w14:textId="77777777" w:rsidR="000B593B" w:rsidRDefault="000B593B" w:rsidP="000B593B">
            <w:pPr>
              <w:jc w:val="center"/>
              <w:rPr>
                <w:rFonts w:ascii="Calibri" w:hAnsi="Calibri"/>
                <w:bCs/>
                <w:color w:val="auto"/>
                <w:szCs w:val="21"/>
              </w:rPr>
            </w:pPr>
            <w:r>
              <w:rPr>
                <w:rFonts w:ascii="Calibri" w:hAnsi="Calibri" w:hint="eastAsia"/>
                <w:bCs/>
                <w:color w:val="auto"/>
                <w:szCs w:val="21"/>
              </w:rPr>
              <w:t>6</w:t>
            </w:r>
          </w:p>
        </w:tc>
        <w:tc>
          <w:tcPr>
            <w:tcW w:w="1308" w:type="dxa"/>
            <w:vMerge/>
            <w:vAlign w:val="center"/>
          </w:tcPr>
          <w:p w14:paraId="7B55142A" w14:textId="77777777" w:rsidR="000B593B" w:rsidRDefault="000B593B" w:rsidP="000B593B">
            <w:pPr>
              <w:jc w:val="center"/>
              <w:rPr>
                <w:rFonts w:ascii="Calibri" w:hAnsi="Calibri"/>
                <w:color w:val="auto"/>
                <w:szCs w:val="21"/>
              </w:rPr>
            </w:pPr>
          </w:p>
        </w:tc>
        <w:tc>
          <w:tcPr>
            <w:tcW w:w="1701" w:type="dxa"/>
            <w:vAlign w:val="center"/>
          </w:tcPr>
          <w:p w14:paraId="09F38712" w14:textId="77777777" w:rsidR="000B593B" w:rsidRDefault="000B593B" w:rsidP="000B593B">
            <w:pPr>
              <w:jc w:val="center"/>
              <w:rPr>
                <w:rFonts w:asciiTheme="minorHAnsi" w:hAnsiTheme="minorHAnsi" w:cstheme="minorHAnsi"/>
                <w:color w:val="auto"/>
                <w:szCs w:val="21"/>
              </w:rPr>
            </w:pPr>
            <w:r>
              <w:rPr>
                <w:rFonts w:asciiTheme="minorHAnsi" w:hAnsiTheme="minorHAnsi" w:cstheme="minorHAnsi" w:hint="eastAsia"/>
                <w:color w:val="auto"/>
                <w:szCs w:val="21"/>
              </w:rPr>
              <w:t>风机</w:t>
            </w:r>
          </w:p>
        </w:tc>
        <w:tc>
          <w:tcPr>
            <w:tcW w:w="1134" w:type="dxa"/>
            <w:vAlign w:val="center"/>
          </w:tcPr>
          <w:p w14:paraId="5E918219" w14:textId="77777777" w:rsidR="000B593B" w:rsidRDefault="000B593B" w:rsidP="000B593B">
            <w:pPr>
              <w:jc w:val="center"/>
              <w:rPr>
                <w:rFonts w:ascii="Calibri" w:hAnsi="Calibri"/>
                <w:bCs/>
                <w:color w:val="auto"/>
                <w:szCs w:val="21"/>
              </w:rPr>
            </w:pPr>
            <w:r>
              <w:rPr>
                <w:rFonts w:ascii="Calibri" w:hAnsi="Calibri" w:hint="eastAsia"/>
                <w:bCs/>
                <w:color w:val="auto"/>
                <w:szCs w:val="21"/>
              </w:rPr>
              <w:t>/</w:t>
            </w:r>
          </w:p>
        </w:tc>
        <w:tc>
          <w:tcPr>
            <w:tcW w:w="1323" w:type="dxa"/>
            <w:vAlign w:val="center"/>
          </w:tcPr>
          <w:p w14:paraId="0F38DAA4"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127.87</w:t>
            </w:r>
          </w:p>
        </w:tc>
        <w:tc>
          <w:tcPr>
            <w:tcW w:w="1323" w:type="dxa"/>
            <w:vAlign w:val="center"/>
          </w:tcPr>
          <w:p w14:paraId="13288C17" w14:textId="77777777" w:rsidR="000B593B" w:rsidRPr="000B593B" w:rsidRDefault="000B593B" w:rsidP="000B593B">
            <w:pPr>
              <w:jc w:val="center"/>
              <w:rPr>
                <w:rFonts w:asciiTheme="minorHAnsi" w:hAnsiTheme="minorHAnsi" w:cstheme="minorHAnsi"/>
                <w:color w:val="auto"/>
                <w:szCs w:val="21"/>
              </w:rPr>
            </w:pPr>
            <w:r w:rsidRPr="000B593B">
              <w:rPr>
                <w:rFonts w:asciiTheme="minorHAnsi" w:hAnsiTheme="minorHAnsi" w:cstheme="minorHAnsi" w:hint="eastAsia"/>
                <w:color w:val="auto"/>
                <w:szCs w:val="21"/>
              </w:rPr>
              <w:t>-262.59</w:t>
            </w:r>
          </w:p>
        </w:tc>
        <w:tc>
          <w:tcPr>
            <w:tcW w:w="1323" w:type="dxa"/>
            <w:vAlign w:val="center"/>
          </w:tcPr>
          <w:p w14:paraId="1592FEE9" w14:textId="77777777" w:rsidR="000B593B" w:rsidRDefault="00840163" w:rsidP="000B593B">
            <w:pPr>
              <w:jc w:val="center"/>
              <w:rPr>
                <w:rFonts w:ascii="Calibri" w:hAnsi="Calibri"/>
                <w:bCs/>
                <w:color w:val="auto"/>
                <w:szCs w:val="21"/>
              </w:rPr>
            </w:pPr>
            <w:r>
              <w:rPr>
                <w:rFonts w:ascii="Calibri" w:hAnsi="Calibri" w:hint="eastAsia"/>
                <w:bCs/>
                <w:color w:val="auto"/>
                <w:szCs w:val="21"/>
              </w:rPr>
              <w:t>0.5</w:t>
            </w:r>
          </w:p>
        </w:tc>
        <w:tc>
          <w:tcPr>
            <w:tcW w:w="1275" w:type="dxa"/>
            <w:vAlign w:val="center"/>
          </w:tcPr>
          <w:p w14:paraId="4349FF18" w14:textId="77777777" w:rsidR="000B593B" w:rsidRDefault="00840163" w:rsidP="000B593B">
            <w:pPr>
              <w:widowControl/>
              <w:jc w:val="center"/>
              <w:rPr>
                <w:rFonts w:ascii="Calibri" w:hAnsi="Calibri"/>
                <w:szCs w:val="21"/>
              </w:rPr>
            </w:pPr>
            <w:r>
              <w:rPr>
                <w:rFonts w:ascii="Calibri" w:hAnsi="Calibri" w:hint="eastAsia"/>
                <w:szCs w:val="21"/>
              </w:rPr>
              <w:t>85</w:t>
            </w:r>
          </w:p>
        </w:tc>
        <w:tc>
          <w:tcPr>
            <w:tcW w:w="1985" w:type="dxa"/>
            <w:vAlign w:val="center"/>
          </w:tcPr>
          <w:p w14:paraId="08CC1C61" w14:textId="77777777" w:rsidR="000B593B" w:rsidRDefault="00840163" w:rsidP="000B593B">
            <w:pPr>
              <w:jc w:val="center"/>
              <w:rPr>
                <w:rFonts w:asciiTheme="minorHAnsi" w:hAnsiTheme="minorHAnsi"/>
                <w:bCs/>
                <w:color w:val="auto"/>
                <w:szCs w:val="21"/>
              </w:rPr>
            </w:pPr>
            <w:r>
              <w:rPr>
                <w:rFonts w:asciiTheme="minorHAnsi" w:hAnsiTheme="minorHAnsi" w:hint="eastAsia"/>
                <w:bCs/>
                <w:color w:val="auto"/>
                <w:szCs w:val="21"/>
              </w:rPr>
              <w:t>基础减振</w:t>
            </w:r>
            <w:r>
              <w:rPr>
                <w:rFonts w:asciiTheme="minorHAnsi" w:hAnsiTheme="minorHAnsi"/>
                <w:bCs/>
                <w:color w:val="auto"/>
                <w:szCs w:val="21"/>
              </w:rPr>
              <w:t>、</w:t>
            </w:r>
            <w:r>
              <w:rPr>
                <w:rFonts w:asciiTheme="minorHAnsi" w:hAnsiTheme="minorHAnsi" w:hint="eastAsia"/>
                <w:bCs/>
                <w:color w:val="auto"/>
                <w:szCs w:val="21"/>
              </w:rPr>
              <w:t>消声</w:t>
            </w:r>
          </w:p>
        </w:tc>
        <w:tc>
          <w:tcPr>
            <w:tcW w:w="1660" w:type="dxa"/>
            <w:vAlign w:val="center"/>
          </w:tcPr>
          <w:p w14:paraId="196974DB" w14:textId="77777777" w:rsidR="000B593B" w:rsidRPr="0086327A" w:rsidRDefault="00840163" w:rsidP="000B593B">
            <w:pPr>
              <w:jc w:val="center"/>
              <w:rPr>
                <w:rFonts w:asciiTheme="minorHAnsi" w:hAnsiTheme="minorHAnsi"/>
                <w:noProof/>
              </w:rPr>
            </w:pPr>
            <w:r w:rsidRPr="0086327A">
              <w:rPr>
                <w:rFonts w:asciiTheme="minorHAnsi" w:hAnsiTheme="minorHAnsi"/>
                <w:noProof/>
              </w:rPr>
              <w:t>00:00-24:00</w:t>
            </w:r>
          </w:p>
        </w:tc>
      </w:tr>
    </w:tbl>
    <w:p w14:paraId="17FEE1D9" w14:textId="77777777" w:rsidR="00840163" w:rsidRPr="00E9636E" w:rsidRDefault="00840163" w:rsidP="00840163">
      <w:pPr>
        <w:spacing w:line="520" w:lineRule="exact"/>
        <w:ind w:firstLineChars="200" w:firstLine="420"/>
        <w:jc w:val="left"/>
        <w:rPr>
          <w:rFonts w:asciiTheme="minorEastAsia" w:eastAsiaTheme="minorEastAsia" w:hAnsiTheme="minorEastAsia"/>
          <w:bCs/>
          <w:color w:val="auto"/>
          <w:szCs w:val="21"/>
        </w:rPr>
      </w:pPr>
      <w:r w:rsidRPr="00E9636E">
        <w:rPr>
          <w:rFonts w:asciiTheme="minorEastAsia" w:eastAsiaTheme="minorEastAsia" w:hAnsiTheme="minorEastAsia" w:hint="eastAsia"/>
          <w:bCs/>
          <w:color w:val="auto"/>
          <w:szCs w:val="21"/>
        </w:rPr>
        <w:t>备注</w:t>
      </w:r>
      <w:r w:rsidRPr="00E9636E">
        <w:rPr>
          <w:rFonts w:asciiTheme="minorEastAsia" w:eastAsiaTheme="minorEastAsia" w:hAnsiTheme="minorEastAsia"/>
          <w:bCs/>
          <w:color w:val="auto"/>
          <w:szCs w:val="21"/>
        </w:rPr>
        <w:t>：</w:t>
      </w:r>
      <w:r w:rsidRPr="00E9636E">
        <w:rPr>
          <w:rFonts w:asciiTheme="minorEastAsia" w:eastAsiaTheme="minorEastAsia" w:hAnsiTheme="minorEastAsia" w:hint="eastAsia"/>
          <w:bCs/>
          <w:color w:val="auto"/>
          <w:szCs w:val="21"/>
        </w:rPr>
        <w:t>本次</w:t>
      </w:r>
      <w:r w:rsidRPr="00E9636E">
        <w:rPr>
          <w:rFonts w:asciiTheme="minorEastAsia" w:eastAsiaTheme="minorEastAsia" w:hAnsiTheme="minorEastAsia"/>
          <w:bCs/>
          <w:color w:val="auto"/>
          <w:szCs w:val="21"/>
        </w:rPr>
        <w:t>评价以</w:t>
      </w:r>
      <w:r>
        <w:rPr>
          <w:rFonts w:asciiTheme="minorEastAsia" w:eastAsiaTheme="minorEastAsia" w:hAnsiTheme="minorEastAsia" w:hint="eastAsia"/>
          <w:bCs/>
          <w:color w:val="auto"/>
          <w:szCs w:val="21"/>
        </w:rPr>
        <w:t>生产</w:t>
      </w:r>
      <w:r>
        <w:rPr>
          <w:rFonts w:asciiTheme="minorEastAsia" w:eastAsiaTheme="minorEastAsia" w:hAnsiTheme="minorEastAsia"/>
          <w:bCs/>
          <w:color w:val="auto"/>
          <w:szCs w:val="21"/>
        </w:rPr>
        <w:t>车间</w:t>
      </w:r>
      <w:r w:rsidRPr="00E9636E">
        <w:rPr>
          <w:rFonts w:asciiTheme="minorEastAsia" w:eastAsiaTheme="minorEastAsia" w:hAnsiTheme="minorEastAsia" w:hint="eastAsia"/>
          <w:bCs/>
          <w:color w:val="auto"/>
          <w:szCs w:val="21"/>
        </w:rPr>
        <w:t>中心</w:t>
      </w:r>
      <w:r w:rsidRPr="00E9636E">
        <w:rPr>
          <w:rFonts w:asciiTheme="minorEastAsia" w:eastAsiaTheme="minorEastAsia" w:hAnsiTheme="minorEastAsia"/>
          <w:bCs/>
          <w:color w:val="auto"/>
          <w:szCs w:val="21"/>
        </w:rPr>
        <w:t>位</w:t>
      </w:r>
      <w:r w:rsidRPr="00E9636E">
        <w:rPr>
          <w:rFonts w:asciiTheme="minorEastAsia" w:eastAsiaTheme="minorEastAsia" w:hAnsiTheme="minorEastAsia"/>
          <w:color w:val="auto"/>
        </w:rPr>
        <w:t>置为</w:t>
      </w:r>
      <w:r w:rsidRPr="00E9636E">
        <w:rPr>
          <w:rFonts w:asciiTheme="minorEastAsia" w:eastAsiaTheme="minorEastAsia" w:hAnsiTheme="minorEastAsia" w:hint="eastAsia"/>
          <w:color w:val="auto"/>
        </w:rPr>
        <w:t>坐标原点</w:t>
      </w:r>
      <w:r>
        <w:rPr>
          <w:rFonts w:asciiTheme="minorEastAsia" w:eastAsiaTheme="minorEastAsia" w:hAnsiTheme="minorEastAsia" w:hint="eastAsia"/>
          <w:color w:val="auto"/>
        </w:rPr>
        <w:t>。</w:t>
      </w:r>
    </w:p>
    <w:p w14:paraId="282B0019" w14:textId="77777777" w:rsidR="006D3271" w:rsidRPr="00840163" w:rsidRDefault="006D3271" w:rsidP="0055605A">
      <w:pPr>
        <w:pStyle w:val="00"/>
        <w:jc w:val="left"/>
        <w:rPr>
          <w:rFonts w:ascii="Calibri" w:hAnsi="Calibri"/>
          <w:color w:val="auto"/>
        </w:rPr>
      </w:pPr>
    </w:p>
    <w:p w14:paraId="14AF96C0" w14:textId="77777777" w:rsidR="006D3271" w:rsidRPr="00AB0115" w:rsidRDefault="006D3271" w:rsidP="0055605A">
      <w:pPr>
        <w:pStyle w:val="00"/>
        <w:jc w:val="left"/>
        <w:rPr>
          <w:rFonts w:ascii="Calibri" w:hAnsi="Calibri"/>
          <w:color w:val="auto"/>
        </w:rPr>
      </w:pPr>
    </w:p>
    <w:p w14:paraId="2F370B28" w14:textId="77777777" w:rsidR="006D3271" w:rsidRDefault="006D3271" w:rsidP="0055605A">
      <w:pPr>
        <w:pStyle w:val="00"/>
        <w:jc w:val="left"/>
        <w:rPr>
          <w:rFonts w:ascii="Calibri" w:hAnsi="Calibri"/>
          <w:color w:val="auto"/>
        </w:rPr>
      </w:pPr>
    </w:p>
    <w:p w14:paraId="6DB3DB57" w14:textId="77777777" w:rsidR="006D3271" w:rsidRDefault="006D3271" w:rsidP="0055605A">
      <w:pPr>
        <w:pStyle w:val="00"/>
        <w:jc w:val="left"/>
        <w:rPr>
          <w:rFonts w:ascii="Calibri" w:hAnsi="Calibri"/>
          <w:color w:val="auto"/>
        </w:rPr>
      </w:pPr>
    </w:p>
    <w:p w14:paraId="27F28255" w14:textId="77777777" w:rsidR="006D3271" w:rsidRDefault="006D3271" w:rsidP="0055605A">
      <w:pPr>
        <w:pStyle w:val="00"/>
        <w:jc w:val="left"/>
        <w:rPr>
          <w:rFonts w:ascii="Calibri" w:hAnsi="Calibri"/>
          <w:color w:val="auto"/>
        </w:rPr>
      </w:pPr>
    </w:p>
    <w:p w14:paraId="1D7EB5BF" w14:textId="77777777" w:rsidR="006D3271" w:rsidRDefault="006D3271" w:rsidP="0055605A">
      <w:pPr>
        <w:pStyle w:val="00"/>
        <w:jc w:val="left"/>
        <w:rPr>
          <w:rFonts w:ascii="Calibri" w:hAnsi="Calibri"/>
          <w:color w:val="auto"/>
        </w:rPr>
      </w:pPr>
    </w:p>
    <w:p w14:paraId="210F2313" w14:textId="77777777" w:rsidR="006D3271" w:rsidRDefault="006D3271" w:rsidP="0055605A">
      <w:pPr>
        <w:pStyle w:val="00"/>
        <w:jc w:val="left"/>
        <w:rPr>
          <w:rFonts w:ascii="Calibri" w:hAnsi="Calibri"/>
          <w:color w:val="auto"/>
        </w:rPr>
      </w:pPr>
    </w:p>
    <w:p w14:paraId="5CC15CB4" w14:textId="77777777" w:rsidR="006D3271" w:rsidRDefault="006D3271" w:rsidP="0055605A">
      <w:pPr>
        <w:pStyle w:val="00"/>
        <w:jc w:val="left"/>
        <w:rPr>
          <w:rFonts w:ascii="Calibri" w:hAnsi="Calibri"/>
          <w:color w:val="auto"/>
        </w:rPr>
      </w:pPr>
    </w:p>
    <w:p w14:paraId="010E4634" w14:textId="77777777" w:rsidR="006D3271" w:rsidRDefault="006D3271" w:rsidP="0055605A">
      <w:pPr>
        <w:pStyle w:val="00"/>
        <w:jc w:val="left"/>
        <w:rPr>
          <w:rFonts w:ascii="Calibri" w:hAnsi="Calibri"/>
          <w:color w:val="auto"/>
        </w:rPr>
      </w:pPr>
    </w:p>
    <w:p w14:paraId="1BA7E015" w14:textId="77777777" w:rsidR="00840163" w:rsidRPr="00964557" w:rsidRDefault="00840163" w:rsidP="00840163">
      <w:pPr>
        <w:spacing w:line="520" w:lineRule="exact"/>
        <w:ind w:firstLineChars="200" w:firstLine="480"/>
        <w:jc w:val="left"/>
        <w:rPr>
          <w:rFonts w:ascii="Calibri" w:eastAsia="黑体" w:hAnsi="Calibri"/>
          <w:bCs/>
          <w:color w:val="auto"/>
          <w:sz w:val="24"/>
        </w:rPr>
      </w:pPr>
      <w:r w:rsidRPr="00964557">
        <w:rPr>
          <w:rFonts w:ascii="Calibri" w:eastAsia="黑体" w:hAnsi="Calibri" w:hint="eastAsia"/>
          <w:bCs/>
          <w:color w:val="auto"/>
          <w:sz w:val="24"/>
        </w:rPr>
        <w:lastRenderedPageBreak/>
        <w:t>表</w:t>
      </w:r>
      <w:r w:rsidRPr="00964557">
        <w:rPr>
          <w:rFonts w:ascii="Calibri" w:eastAsia="黑体" w:hAnsi="Calibri"/>
          <w:bCs/>
          <w:color w:val="auto"/>
          <w:sz w:val="24"/>
        </w:rPr>
        <w:t>2</w:t>
      </w:r>
      <w:r w:rsidRPr="00964557">
        <w:rPr>
          <w:rFonts w:ascii="Calibri" w:eastAsia="黑体" w:hAnsi="Calibri" w:hint="eastAsia"/>
          <w:bCs/>
          <w:color w:val="auto"/>
          <w:sz w:val="24"/>
        </w:rPr>
        <w:t>.3</w:t>
      </w:r>
      <w:r w:rsidRPr="00964557">
        <w:rPr>
          <w:rFonts w:ascii="Calibri" w:eastAsia="黑体" w:hAnsi="Calibri"/>
          <w:bCs/>
          <w:color w:val="auto"/>
          <w:sz w:val="24"/>
        </w:rPr>
        <w:t>-</w:t>
      </w:r>
      <w:r w:rsidR="000D53E8">
        <w:rPr>
          <w:rFonts w:ascii="Calibri" w:eastAsia="黑体" w:hAnsi="Calibri"/>
          <w:bCs/>
          <w:color w:val="auto"/>
          <w:sz w:val="24"/>
        </w:rPr>
        <w:t>23</w:t>
      </w:r>
      <w:r w:rsidRPr="00964557">
        <w:rPr>
          <w:rFonts w:ascii="Calibri" w:eastAsia="黑体" w:hAnsi="Calibri"/>
          <w:bCs/>
          <w:color w:val="auto"/>
          <w:sz w:val="24"/>
        </w:rPr>
        <w:t xml:space="preserve">          </w:t>
      </w:r>
      <w:r>
        <w:rPr>
          <w:rFonts w:ascii="Calibri" w:eastAsia="黑体" w:hAnsi="Calibri"/>
          <w:bCs/>
          <w:color w:val="auto"/>
          <w:sz w:val="24"/>
        </w:rPr>
        <w:t xml:space="preserve">                      </w:t>
      </w:r>
      <w:r>
        <w:rPr>
          <w:rFonts w:ascii="Calibri" w:eastAsia="黑体" w:hAnsi="Calibri" w:hint="eastAsia"/>
          <w:bCs/>
          <w:color w:val="auto"/>
          <w:sz w:val="24"/>
        </w:rPr>
        <w:t>本项目二期工程室内</w:t>
      </w:r>
      <w:r>
        <w:rPr>
          <w:rFonts w:ascii="Calibri" w:eastAsia="黑体" w:hAnsi="Calibri"/>
          <w:bCs/>
          <w:color w:val="auto"/>
          <w:sz w:val="24"/>
        </w:rPr>
        <w:t>噪声</w:t>
      </w:r>
      <w:r>
        <w:rPr>
          <w:rFonts w:ascii="Calibri" w:eastAsia="黑体" w:hAnsi="Calibri" w:hint="eastAsia"/>
          <w:bCs/>
          <w:color w:val="auto"/>
          <w:sz w:val="24"/>
        </w:rPr>
        <w:t>源强</w:t>
      </w:r>
      <w:r>
        <w:rPr>
          <w:rFonts w:ascii="Calibri" w:eastAsia="黑体" w:hAnsi="Calibri"/>
          <w:bCs/>
          <w:color w:val="auto"/>
          <w:sz w:val="24"/>
        </w:rPr>
        <w:t>调查清单</w:t>
      </w:r>
    </w:p>
    <w:tbl>
      <w:tblPr>
        <w:tblW w:w="4967" w:type="pct"/>
        <w:tblInd w:w="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938"/>
        <w:gridCol w:w="2126"/>
        <w:gridCol w:w="789"/>
        <w:gridCol w:w="850"/>
        <w:gridCol w:w="1139"/>
        <w:gridCol w:w="837"/>
        <w:gridCol w:w="836"/>
        <w:gridCol w:w="698"/>
        <w:gridCol w:w="698"/>
        <w:gridCol w:w="697"/>
        <w:gridCol w:w="1252"/>
        <w:gridCol w:w="837"/>
        <w:gridCol w:w="836"/>
        <w:gridCol w:w="776"/>
      </w:tblGrid>
      <w:tr w:rsidR="00840163" w:rsidRPr="00964557" w14:paraId="47BDE3FF" w14:textId="77777777" w:rsidTr="00840163">
        <w:trPr>
          <w:trHeight w:val="340"/>
        </w:trPr>
        <w:tc>
          <w:tcPr>
            <w:tcW w:w="527" w:type="dxa"/>
            <w:vMerge w:val="restart"/>
            <w:vAlign w:val="center"/>
          </w:tcPr>
          <w:p w14:paraId="124C3909" w14:textId="77777777" w:rsidR="00840163" w:rsidRPr="00964557" w:rsidRDefault="00840163" w:rsidP="000E6E79">
            <w:pPr>
              <w:jc w:val="center"/>
              <w:rPr>
                <w:rFonts w:ascii="Calibri" w:hAnsi="Calibri"/>
                <w:bCs/>
                <w:color w:val="auto"/>
                <w:szCs w:val="21"/>
              </w:rPr>
            </w:pPr>
            <w:r w:rsidRPr="00964557">
              <w:rPr>
                <w:rFonts w:ascii="Calibri" w:hAnsi="Calibri" w:hint="eastAsia"/>
                <w:bCs/>
                <w:color w:val="auto"/>
                <w:szCs w:val="21"/>
              </w:rPr>
              <w:t>序号</w:t>
            </w:r>
          </w:p>
        </w:tc>
        <w:tc>
          <w:tcPr>
            <w:tcW w:w="938" w:type="dxa"/>
            <w:vMerge w:val="restart"/>
            <w:vAlign w:val="center"/>
          </w:tcPr>
          <w:p w14:paraId="1134BE1D" w14:textId="77777777" w:rsidR="00840163" w:rsidRDefault="00840163" w:rsidP="000E6E79">
            <w:pPr>
              <w:jc w:val="center"/>
              <w:rPr>
                <w:rFonts w:ascii="Calibri" w:hAnsi="Calibri"/>
                <w:bCs/>
                <w:color w:val="auto"/>
                <w:szCs w:val="21"/>
              </w:rPr>
            </w:pPr>
            <w:r>
              <w:rPr>
                <w:rFonts w:ascii="Calibri" w:hAnsi="Calibri" w:hint="eastAsia"/>
                <w:bCs/>
                <w:color w:val="auto"/>
                <w:szCs w:val="21"/>
              </w:rPr>
              <w:t>建筑物</w:t>
            </w:r>
          </w:p>
          <w:p w14:paraId="2F6E2455" w14:textId="77777777" w:rsidR="00840163" w:rsidRPr="00964557" w:rsidRDefault="00840163" w:rsidP="000E6E79">
            <w:pPr>
              <w:jc w:val="center"/>
              <w:rPr>
                <w:rFonts w:ascii="Calibri" w:hAnsi="Calibri"/>
                <w:bCs/>
                <w:color w:val="auto"/>
                <w:szCs w:val="21"/>
              </w:rPr>
            </w:pPr>
            <w:r>
              <w:rPr>
                <w:rFonts w:ascii="Calibri" w:hAnsi="Calibri"/>
                <w:bCs/>
                <w:color w:val="auto"/>
                <w:szCs w:val="21"/>
              </w:rPr>
              <w:t>名称</w:t>
            </w:r>
          </w:p>
        </w:tc>
        <w:tc>
          <w:tcPr>
            <w:tcW w:w="2126" w:type="dxa"/>
            <w:vMerge w:val="restart"/>
            <w:vAlign w:val="center"/>
          </w:tcPr>
          <w:p w14:paraId="2F749F25"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声源</w:t>
            </w:r>
            <w:r>
              <w:rPr>
                <w:rFonts w:ascii="Calibri" w:hAnsi="Calibri"/>
                <w:bCs/>
                <w:color w:val="auto"/>
                <w:szCs w:val="21"/>
              </w:rPr>
              <w:t>名称</w:t>
            </w:r>
          </w:p>
        </w:tc>
        <w:tc>
          <w:tcPr>
            <w:tcW w:w="789" w:type="dxa"/>
            <w:vMerge w:val="restart"/>
            <w:vAlign w:val="center"/>
          </w:tcPr>
          <w:p w14:paraId="280A0A80"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型号</w:t>
            </w:r>
          </w:p>
        </w:tc>
        <w:tc>
          <w:tcPr>
            <w:tcW w:w="850" w:type="dxa"/>
            <w:vMerge w:val="restart"/>
            <w:vAlign w:val="center"/>
          </w:tcPr>
          <w:p w14:paraId="2441873D" w14:textId="77777777" w:rsidR="00840163" w:rsidRPr="00964557" w:rsidRDefault="00840163" w:rsidP="0026062E">
            <w:pPr>
              <w:jc w:val="center"/>
              <w:rPr>
                <w:rFonts w:ascii="Calibri" w:hAnsi="Calibri"/>
                <w:bCs/>
                <w:color w:val="auto"/>
                <w:szCs w:val="21"/>
              </w:rPr>
            </w:pPr>
            <w:r>
              <w:rPr>
                <w:rFonts w:ascii="Calibri" w:hAnsi="Calibri" w:hint="eastAsia"/>
                <w:bCs/>
                <w:color w:val="auto"/>
                <w:szCs w:val="21"/>
              </w:rPr>
              <w:t>声功率级</w:t>
            </w:r>
            <w:r>
              <w:rPr>
                <w:rFonts w:ascii="Calibri" w:hAnsi="Calibri" w:hint="eastAsia"/>
                <w:bCs/>
                <w:color w:val="auto"/>
                <w:szCs w:val="21"/>
              </w:rPr>
              <w:t>/dB</w:t>
            </w:r>
          </w:p>
        </w:tc>
        <w:tc>
          <w:tcPr>
            <w:tcW w:w="1139" w:type="dxa"/>
            <w:vMerge w:val="restart"/>
            <w:vAlign w:val="center"/>
          </w:tcPr>
          <w:p w14:paraId="00EDE9DF"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声源</w:t>
            </w:r>
            <w:r>
              <w:rPr>
                <w:rFonts w:ascii="Calibri" w:hAnsi="Calibri"/>
                <w:bCs/>
                <w:color w:val="auto"/>
                <w:szCs w:val="21"/>
              </w:rPr>
              <w:t>控制措施</w:t>
            </w:r>
          </w:p>
        </w:tc>
        <w:tc>
          <w:tcPr>
            <w:tcW w:w="2371" w:type="dxa"/>
            <w:gridSpan w:val="3"/>
            <w:vAlign w:val="center"/>
          </w:tcPr>
          <w:p w14:paraId="4231BC68"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空间</w:t>
            </w:r>
            <w:r>
              <w:rPr>
                <w:rFonts w:ascii="Calibri" w:hAnsi="Calibri"/>
                <w:bCs/>
                <w:color w:val="auto"/>
                <w:szCs w:val="21"/>
              </w:rPr>
              <w:t>相对位置</w:t>
            </w:r>
            <w:r>
              <w:rPr>
                <w:rFonts w:ascii="Calibri" w:hAnsi="Calibri" w:hint="eastAsia"/>
                <w:bCs/>
                <w:color w:val="auto"/>
                <w:szCs w:val="21"/>
              </w:rPr>
              <w:t>/</w:t>
            </w:r>
            <w:r>
              <w:rPr>
                <w:rFonts w:ascii="Calibri" w:hAnsi="Calibri"/>
                <w:bCs/>
                <w:color w:val="auto"/>
                <w:szCs w:val="21"/>
              </w:rPr>
              <w:t>m</w:t>
            </w:r>
          </w:p>
        </w:tc>
        <w:tc>
          <w:tcPr>
            <w:tcW w:w="698" w:type="dxa"/>
            <w:vMerge w:val="restart"/>
            <w:vAlign w:val="center"/>
          </w:tcPr>
          <w:p w14:paraId="0915C04F"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距室内</w:t>
            </w:r>
            <w:r>
              <w:rPr>
                <w:rFonts w:ascii="Calibri" w:hAnsi="Calibri"/>
                <w:bCs/>
                <w:color w:val="auto"/>
                <w:szCs w:val="21"/>
              </w:rPr>
              <w:t>边界距离</w:t>
            </w:r>
            <w:r>
              <w:rPr>
                <w:rFonts w:ascii="Calibri" w:hAnsi="Calibri" w:hint="eastAsia"/>
                <w:bCs/>
                <w:color w:val="auto"/>
                <w:szCs w:val="21"/>
              </w:rPr>
              <w:t>/</w:t>
            </w:r>
            <w:r>
              <w:rPr>
                <w:rFonts w:ascii="Calibri" w:hAnsi="Calibri"/>
                <w:bCs/>
                <w:color w:val="auto"/>
                <w:szCs w:val="21"/>
              </w:rPr>
              <w:t>m</w:t>
            </w:r>
          </w:p>
        </w:tc>
        <w:tc>
          <w:tcPr>
            <w:tcW w:w="697" w:type="dxa"/>
            <w:vMerge w:val="restart"/>
            <w:vAlign w:val="center"/>
          </w:tcPr>
          <w:p w14:paraId="227F47DB"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室内边界声级</w:t>
            </w:r>
            <w:r>
              <w:rPr>
                <w:rFonts w:ascii="Calibri" w:hAnsi="Calibri" w:hint="eastAsia"/>
                <w:bCs/>
                <w:color w:val="auto"/>
                <w:szCs w:val="21"/>
              </w:rPr>
              <w:t>/dB</w:t>
            </w:r>
            <w:r>
              <w:rPr>
                <w:rFonts w:ascii="Calibri" w:hAnsi="Calibri" w:hint="eastAsia"/>
                <w:bCs/>
                <w:color w:val="auto"/>
                <w:szCs w:val="21"/>
              </w:rPr>
              <w:t>（</w:t>
            </w:r>
            <w:r>
              <w:rPr>
                <w:rFonts w:ascii="Calibri" w:hAnsi="Calibri" w:hint="eastAsia"/>
                <w:bCs/>
                <w:color w:val="auto"/>
                <w:szCs w:val="21"/>
              </w:rPr>
              <w:t>A</w:t>
            </w:r>
            <w:r>
              <w:rPr>
                <w:rFonts w:ascii="Calibri" w:hAnsi="Calibri" w:hint="eastAsia"/>
                <w:bCs/>
                <w:color w:val="auto"/>
                <w:szCs w:val="21"/>
              </w:rPr>
              <w:t>）</w:t>
            </w:r>
          </w:p>
        </w:tc>
        <w:tc>
          <w:tcPr>
            <w:tcW w:w="1252" w:type="dxa"/>
            <w:vMerge w:val="restart"/>
            <w:vAlign w:val="center"/>
          </w:tcPr>
          <w:p w14:paraId="07F45608"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运行</w:t>
            </w:r>
            <w:r>
              <w:rPr>
                <w:rFonts w:ascii="Calibri" w:hAnsi="Calibri"/>
                <w:bCs/>
                <w:color w:val="auto"/>
                <w:szCs w:val="21"/>
              </w:rPr>
              <w:t>时段</w:t>
            </w:r>
          </w:p>
        </w:tc>
        <w:tc>
          <w:tcPr>
            <w:tcW w:w="837" w:type="dxa"/>
            <w:vMerge w:val="restart"/>
            <w:vAlign w:val="center"/>
          </w:tcPr>
          <w:p w14:paraId="43953098"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建筑物</w:t>
            </w:r>
            <w:r>
              <w:rPr>
                <w:rFonts w:ascii="Calibri" w:hAnsi="Calibri"/>
                <w:bCs/>
                <w:color w:val="auto"/>
                <w:szCs w:val="21"/>
              </w:rPr>
              <w:t>插入损失</w:t>
            </w:r>
            <w:r>
              <w:rPr>
                <w:rFonts w:ascii="Calibri" w:hAnsi="Calibri" w:hint="eastAsia"/>
                <w:bCs/>
                <w:color w:val="auto"/>
                <w:szCs w:val="21"/>
              </w:rPr>
              <w:t>/dB</w:t>
            </w:r>
            <w:r>
              <w:rPr>
                <w:rFonts w:ascii="Calibri" w:hAnsi="Calibri" w:hint="eastAsia"/>
                <w:bCs/>
                <w:color w:val="auto"/>
                <w:szCs w:val="21"/>
              </w:rPr>
              <w:t>（</w:t>
            </w:r>
            <w:r>
              <w:rPr>
                <w:rFonts w:ascii="Calibri" w:hAnsi="Calibri" w:hint="eastAsia"/>
                <w:bCs/>
                <w:color w:val="auto"/>
                <w:szCs w:val="21"/>
              </w:rPr>
              <w:t>A</w:t>
            </w:r>
            <w:r>
              <w:rPr>
                <w:rFonts w:ascii="Calibri" w:hAnsi="Calibri" w:hint="eastAsia"/>
                <w:bCs/>
                <w:color w:val="auto"/>
                <w:szCs w:val="21"/>
              </w:rPr>
              <w:t>）</w:t>
            </w:r>
          </w:p>
        </w:tc>
        <w:tc>
          <w:tcPr>
            <w:tcW w:w="1612" w:type="dxa"/>
            <w:gridSpan w:val="2"/>
            <w:vAlign w:val="center"/>
          </w:tcPr>
          <w:p w14:paraId="4D762031" w14:textId="77777777" w:rsidR="00840163" w:rsidRPr="002E39F2" w:rsidRDefault="00840163" w:rsidP="000E6E79">
            <w:pPr>
              <w:jc w:val="center"/>
              <w:rPr>
                <w:rFonts w:ascii="Calibri" w:hAnsi="Calibri"/>
                <w:bCs/>
                <w:color w:val="auto"/>
                <w:szCs w:val="21"/>
              </w:rPr>
            </w:pPr>
            <w:r w:rsidRPr="002E39F2">
              <w:rPr>
                <w:rFonts w:ascii="Calibri" w:hAnsi="Calibri" w:hint="eastAsia"/>
                <w:bCs/>
                <w:color w:val="auto"/>
                <w:szCs w:val="21"/>
              </w:rPr>
              <w:t>建筑物</w:t>
            </w:r>
            <w:r w:rsidRPr="002E39F2">
              <w:rPr>
                <w:rFonts w:ascii="Calibri" w:hAnsi="Calibri"/>
                <w:bCs/>
                <w:color w:val="auto"/>
                <w:szCs w:val="21"/>
              </w:rPr>
              <w:t>外噪声</w:t>
            </w:r>
          </w:p>
        </w:tc>
      </w:tr>
      <w:tr w:rsidR="00840163" w:rsidRPr="00964557" w14:paraId="4612270D" w14:textId="77777777" w:rsidTr="00840163">
        <w:trPr>
          <w:trHeight w:val="340"/>
        </w:trPr>
        <w:tc>
          <w:tcPr>
            <w:tcW w:w="527" w:type="dxa"/>
            <w:vMerge/>
            <w:vAlign w:val="center"/>
          </w:tcPr>
          <w:p w14:paraId="5AE09290" w14:textId="77777777" w:rsidR="00840163" w:rsidRPr="00964557" w:rsidRDefault="00840163" w:rsidP="000E6E79">
            <w:pPr>
              <w:jc w:val="center"/>
              <w:rPr>
                <w:rFonts w:ascii="Calibri" w:hAnsi="Calibri"/>
                <w:bCs/>
                <w:color w:val="auto"/>
                <w:szCs w:val="21"/>
              </w:rPr>
            </w:pPr>
          </w:p>
        </w:tc>
        <w:tc>
          <w:tcPr>
            <w:tcW w:w="938" w:type="dxa"/>
            <w:vMerge/>
            <w:vAlign w:val="center"/>
          </w:tcPr>
          <w:p w14:paraId="746391D9" w14:textId="77777777" w:rsidR="00840163" w:rsidRPr="00964557" w:rsidRDefault="00840163" w:rsidP="000E6E79">
            <w:pPr>
              <w:jc w:val="center"/>
              <w:rPr>
                <w:rFonts w:ascii="Calibri" w:hAnsi="Calibri"/>
                <w:bCs/>
                <w:color w:val="auto"/>
                <w:szCs w:val="21"/>
              </w:rPr>
            </w:pPr>
          </w:p>
        </w:tc>
        <w:tc>
          <w:tcPr>
            <w:tcW w:w="2126" w:type="dxa"/>
            <w:vMerge/>
            <w:vAlign w:val="center"/>
          </w:tcPr>
          <w:p w14:paraId="2ADF357C" w14:textId="77777777" w:rsidR="00840163" w:rsidRPr="00964557" w:rsidRDefault="00840163" w:rsidP="000E6E79">
            <w:pPr>
              <w:jc w:val="center"/>
              <w:rPr>
                <w:rFonts w:ascii="Calibri" w:hAnsi="Calibri"/>
                <w:bCs/>
                <w:color w:val="auto"/>
                <w:szCs w:val="21"/>
              </w:rPr>
            </w:pPr>
          </w:p>
        </w:tc>
        <w:tc>
          <w:tcPr>
            <w:tcW w:w="789" w:type="dxa"/>
            <w:vMerge/>
            <w:vAlign w:val="center"/>
          </w:tcPr>
          <w:p w14:paraId="50138F11" w14:textId="77777777" w:rsidR="00840163" w:rsidRPr="00964557" w:rsidRDefault="00840163" w:rsidP="000E6E79">
            <w:pPr>
              <w:jc w:val="center"/>
              <w:rPr>
                <w:rFonts w:ascii="Calibri" w:hAnsi="Calibri"/>
                <w:bCs/>
                <w:color w:val="auto"/>
                <w:szCs w:val="21"/>
              </w:rPr>
            </w:pPr>
          </w:p>
        </w:tc>
        <w:tc>
          <w:tcPr>
            <w:tcW w:w="850" w:type="dxa"/>
            <w:vMerge/>
            <w:vAlign w:val="center"/>
          </w:tcPr>
          <w:p w14:paraId="196461C9" w14:textId="77777777" w:rsidR="00840163" w:rsidRPr="00964557" w:rsidRDefault="00840163" w:rsidP="000E6E79">
            <w:pPr>
              <w:jc w:val="center"/>
              <w:rPr>
                <w:rFonts w:ascii="Calibri" w:hAnsi="Calibri"/>
                <w:bCs/>
                <w:color w:val="auto"/>
                <w:szCs w:val="21"/>
              </w:rPr>
            </w:pPr>
          </w:p>
        </w:tc>
        <w:tc>
          <w:tcPr>
            <w:tcW w:w="1139" w:type="dxa"/>
            <w:vMerge/>
            <w:vAlign w:val="center"/>
          </w:tcPr>
          <w:p w14:paraId="3B0810FF" w14:textId="77777777" w:rsidR="00840163" w:rsidRPr="00964557" w:rsidRDefault="00840163" w:rsidP="000E6E79">
            <w:pPr>
              <w:jc w:val="center"/>
              <w:rPr>
                <w:rFonts w:ascii="Calibri" w:hAnsi="Calibri"/>
                <w:bCs/>
                <w:color w:val="auto"/>
                <w:szCs w:val="21"/>
              </w:rPr>
            </w:pPr>
          </w:p>
        </w:tc>
        <w:tc>
          <w:tcPr>
            <w:tcW w:w="837" w:type="dxa"/>
            <w:vAlign w:val="center"/>
          </w:tcPr>
          <w:p w14:paraId="3F80CA39"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X</w:t>
            </w:r>
          </w:p>
        </w:tc>
        <w:tc>
          <w:tcPr>
            <w:tcW w:w="836" w:type="dxa"/>
            <w:vAlign w:val="center"/>
          </w:tcPr>
          <w:p w14:paraId="4ADAC067"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y</w:t>
            </w:r>
          </w:p>
        </w:tc>
        <w:tc>
          <w:tcPr>
            <w:tcW w:w="698" w:type="dxa"/>
            <w:vAlign w:val="center"/>
          </w:tcPr>
          <w:p w14:paraId="45140523" w14:textId="77777777" w:rsidR="00840163" w:rsidRPr="00964557" w:rsidRDefault="00840163" w:rsidP="000E6E79">
            <w:pPr>
              <w:jc w:val="center"/>
              <w:rPr>
                <w:rFonts w:ascii="Calibri" w:hAnsi="Calibri"/>
                <w:bCs/>
                <w:color w:val="auto"/>
                <w:szCs w:val="21"/>
              </w:rPr>
            </w:pPr>
            <w:r>
              <w:rPr>
                <w:rFonts w:ascii="Calibri" w:hAnsi="Calibri"/>
                <w:bCs/>
                <w:color w:val="auto"/>
                <w:szCs w:val="21"/>
              </w:rPr>
              <w:t>Z</w:t>
            </w:r>
          </w:p>
        </w:tc>
        <w:tc>
          <w:tcPr>
            <w:tcW w:w="698" w:type="dxa"/>
            <w:vMerge/>
            <w:vAlign w:val="center"/>
          </w:tcPr>
          <w:p w14:paraId="2C15E1C3" w14:textId="77777777" w:rsidR="00840163" w:rsidRPr="00964557" w:rsidRDefault="00840163" w:rsidP="000E6E79">
            <w:pPr>
              <w:jc w:val="center"/>
              <w:rPr>
                <w:rFonts w:ascii="Calibri" w:hAnsi="Calibri"/>
                <w:bCs/>
                <w:color w:val="auto"/>
                <w:szCs w:val="21"/>
              </w:rPr>
            </w:pPr>
          </w:p>
        </w:tc>
        <w:tc>
          <w:tcPr>
            <w:tcW w:w="697" w:type="dxa"/>
            <w:vMerge/>
            <w:vAlign w:val="center"/>
          </w:tcPr>
          <w:p w14:paraId="5E82CBB5" w14:textId="77777777" w:rsidR="00840163" w:rsidRPr="00964557" w:rsidRDefault="00840163" w:rsidP="000E6E79">
            <w:pPr>
              <w:jc w:val="center"/>
              <w:rPr>
                <w:rFonts w:ascii="Calibri" w:hAnsi="Calibri"/>
                <w:bCs/>
                <w:color w:val="auto"/>
                <w:szCs w:val="21"/>
              </w:rPr>
            </w:pPr>
          </w:p>
        </w:tc>
        <w:tc>
          <w:tcPr>
            <w:tcW w:w="1252" w:type="dxa"/>
            <w:vMerge/>
            <w:tcBorders>
              <w:bottom w:val="single" w:sz="4" w:space="0" w:color="auto"/>
            </w:tcBorders>
            <w:vAlign w:val="center"/>
          </w:tcPr>
          <w:p w14:paraId="5ACDBEBC" w14:textId="77777777" w:rsidR="00840163" w:rsidRPr="00964557" w:rsidRDefault="00840163" w:rsidP="000E6E79">
            <w:pPr>
              <w:jc w:val="center"/>
              <w:rPr>
                <w:rFonts w:ascii="Calibri" w:hAnsi="Calibri"/>
                <w:bCs/>
                <w:color w:val="auto"/>
                <w:szCs w:val="21"/>
              </w:rPr>
            </w:pPr>
          </w:p>
        </w:tc>
        <w:tc>
          <w:tcPr>
            <w:tcW w:w="837" w:type="dxa"/>
            <w:vMerge/>
            <w:tcBorders>
              <w:bottom w:val="single" w:sz="4" w:space="0" w:color="auto"/>
            </w:tcBorders>
            <w:vAlign w:val="center"/>
          </w:tcPr>
          <w:p w14:paraId="221B264A" w14:textId="77777777" w:rsidR="00840163" w:rsidRPr="00964557" w:rsidRDefault="00840163" w:rsidP="000E6E79">
            <w:pPr>
              <w:jc w:val="center"/>
              <w:rPr>
                <w:rFonts w:ascii="Calibri" w:hAnsi="Calibri"/>
                <w:bCs/>
                <w:color w:val="auto"/>
                <w:szCs w:val="21"/>
              </w:rPr>
            </w:pPr>
          </w:p>
        </w:tc>
        <w:tc>
          <w:tcPr>
            <w:tcW w:w="836" w:type="dxa"/>
            <w:tcBorders>
              <w:bottom w:val="single" w:sz="4" w:space="0" w:color="auto"/>
            </w:tcBorders>
            <w:vAlign w:val="center"/>
          </w:tcPr>
          <w:p w14:paraId="06989F41"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声压级</w:t>
            </w:r>
            <w:r>
              <w:rPr>
                <w:rFonts w:ascii="Calibri" w:hAnsi="Calibri" w:hint="eastAsia"/>
                <w:bCs/>
                <w:color w:val="auto"/>
                <w:szCs w:val="21"/>
              </w:rPr>
              <w:t>/dB</w:t>
            </w:r>
            <w:r>
              <w:rPr>
                <w:rFonts w:ascii="Calibri" w:hAnsi="Calibri" w:hint="eastAsia"/>
                <w:bCs/>
                <w:color w:val="auto"/>
                <w:szCs w:val="21"/>
              </w:rPr>
              <w:t>（</w:t>
            </w:r>
            <w:r>
              <w:rPr>
                <w:rFonts w:ascii="Calibri" w:hAnsi="Calibri" w:hint="eastAsia"/>
                <w:bCs/>
                <w:color w:val="auto"/>
                <w:szCs w:val="21"/>
              </w:rPr>
              <w:t>A</w:t>
            </w:r>
            <w:r>
              <w:rPr>
                <w:rFonts w:ascii="Calibri" w:hAnsi="Calibri" w:hint="eastAsia"/>
                <w:bCs/>
                <w:color w:val="auto"/>
                <w:szCs w:val="21"/>
              </w:rPr>
              <w:t>）</w:t>
            </w:r>
          </w:p>
        </w:tc>
        <w:tc>
          <w:tcPr>
            <w:tcW w:w="776" w:type="dxa"/>
            <w:tcBorders>
              <w:bottom w:val="single" w:sz="4" w:space="0" w:color="auto"/>
            </w:tcBorders>
            <w:vAlign w:val="center"/>
          </w:tcPr>
          <w:p w14:paraId="28224733" w14:textId="77777777" w:rsidR="00840163" w:rsidRPr="00964557" w:rsidRDefault="00840163" w:rsidP="000E6E79">
            <w:pPr>
              <w:jc w:val="center"/>
              <w:rPr>
                <w:rFonts w:ascii="Calibri" w:hAnsi="Calibri"/>
                <w:bCs/>
                <w:color w:val="auto"/>
                <w:szCs w:val="21"/>
              </w:rPr>
            </w:pPr>
            <w:r>
              <w:rPr>
                <w:rFonts w:ascii="Calibri" w:hAnsi="Calibri" w:hint="eastAsia"/>
                <w:bCs/>
                <w:color w:val="auto"/>
                <w:szCs w:val="21"/>
              </w:rPr>
              <w:t>建筑物</w:t>
            </w:r>
            <w:r>
              <w:rPr>
                <w:rFonts w:ascii="Calibri" w:hAnsi="Calibri"/>
                <w:bCs/>
                <w:color w:val="auto"/>
                <w:szCs w:val="21"/>
              </w:rPr>
              <w:t>外距离</w:t>
            </w:r>
            <w:r>
              <w:rPr>
                <w:rFonts w:ascii="Calibri" w:hAnsi="Calibri" w:hint="eastAsia"/>
                <w:bCs/>
                <w:color w:val="auto"/>
                <w:szCs w:val="21"/>
              </w:rPr>
              <w:t>/m</w:t>
            </w:r>
          </w:p>
        </w:tc>
      </w:tr>
      <w:tr w:rsidR="00222C9F" w:rsidRPr="00964557" w14:paraId="3C89CD8B" w14:textId="77777777" w:rsidTr="00840163">
        <w:trPr>
          <w:trHeight w:val="340"/>
        </w:trPr>
        <w:tc>
          <w:tcPr>
            <w:tcW w:w="527" w:type="dxa"/>
            <w:vMerge w:val="restart"/>
            <w:tcBorders>
              <w:top w:val="single" w:sz="4" w:space="0" w:color="auto"/>
            </w:tcBorders>
            <w:vAlign w:val="center"/>
          </w:tcPr>
          <w:p w14:paraId="4170E80D" w14:textId="77777777" w:rsidR="00222C9F" w:rsidRPr="0065655E" w:rsidRDefault="00222C9F" w:rsidP="00222C9F">
            <w:pPr>
              <w:jc w:val="center"/>
            </w:pPr>
            <w:r w:rsidRPr="0065655E">
              <w:rPr>
                <w:rFonts w:hint="eastAsia"/>
              </w:rPr>
              <w:t>1</w:t>
            </w:r>
          </w:p>
        </w:tc>
        <w:tc>
          <w:tcPr>
            <w:tcW w:w="938" w:type="dxa"/>
            <w:vMerge w:val="restart"/>
            <w:tcBorders>
              <w:top w:val="single" w:sz="4" w:space="0" w:color="auto"/>
            </w:tcBorders>
            <w:vAlign w:val="center"/>
          </w:tcPr>
          <w:p w14:paraId="23831BC2" w14:textId="77777777" w:rsidR="00222C9F" w:rsidRPr="0065655E" w:rsidRDefault="00222C9F" w:rsidP="00222C9F">
            <w:r w:rsidRPr="0065655E">
              <w:rPr>
                <w:rFonts w:hint="eastAsia"/>
              </w:rPr>
              <w:t>生产车间</w:t>
            </w:r>
          </w:p>
        </w:tc>
        <w:tc>
          <w:tcPr>
            <w:tcW w:w="2126" w:type="dxa"/>
            <w:tcBorders>
              <w:top w:val="single" w:sz="4" w:space="0" w:color="auto"/>
            </w:tcBorders>
            <w:vAlign w:val="center"/>
          </w:tcPr>
          <w:p w14:paraId="77CC9D91" w14:textId="77777777" w:rsidR="00222C9F" w:rsidRPr="00F0757B" w:rsidRDefault="006E1C5B" w:rsidP="00222C9F">
            <w:pPr>
              <w:jc w:val="center"/>
              <w:rPr>
                <w:rFonts w:ascii="Calibri" w:hAnsi="Calibri"/>
                <w:color w:val="auto"/>
                <w:szCs w:val="21"/>
              </w:rPr>
            </w:pPr>
            <w:r>
              <w:rPr>
                <w:rFonts w:asciiTheme="minorHAnsi" w:hAnsiTheme="minorHAnsi" w:cstheme="minorHAnsi" w:hint="eastAsia"/>
                <w:color w:val="auto"/>
                <w:szCs w:val="21"/>
              </w:rPr>
              <w:t>5</w:t>
            </w:r>
            <w:r w:rsidR="00222C9F">
              <w:rPr>
                <w:rFonts w:asciiTheme="minorHAnsi" w:hAnsiTheme="minorHAnsi" w:cstheme="minorHAnsi" w:hint="eastAsia"/>
                <w:color w:val="auto"/>
                <w:szCs w:val="21"/>
              </w:rPr>
              <w:t>#</w:t>
            </w:r>
            <w:r w:rsidR="00222C9F">
              <w:rPr>
                <w:rFonts w:asciiTheme="minorHAnsi" w:hAnsiTheme="minorHAnsi" w:cstheme="minorHAnsi" w:hint="eastAsia"/>
                <w:color w:val="auto"/>
                <w:szCs w:val="21"/>
              </w:rPr>
              <w:t>物料转移</w:t>
            </w:r>
            <w:r w:rsidR="00222C9F" w:rsidRPr="00176833">
              <w:rPr>
                <w:rFonts w:asciiTheme="minorHAnsi" w:hAnsiTheme="minorHAnsi" w:cstheme="minorHAnsi"/>
                <w:color w:val="auto"/>
                <w:szCs w:val="21"/>
              </w:rPr>
              <w:t>泵</w:t>
            </w:r>
          </w:p>
        </w:tc>
        <w:tc>
          <w:tcPr>
            <w:tcW w:w="789" w:type="dxa"/>
            <w:vAlign w:val="center"/>
          </w:tcPr>
          <w:p w14:paraId="7FC5B770"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5F1B35F4"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31F1ABA1"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1F521F19"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26.79</w:t>
            </w:r>
          </w:p>
        </w:tc>
        <w:tc>
          <w:tcPr>
            <w:tcW w:w="836" w:type="dxa"/>
            <w:vAlign w:val="center"/>
          </w:tcPr>
          <w:p w14:paraId="2C7FD33B"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-36.71</w:t>
            </w:r>
          </w:p>
        </w:tc>
        <w:tc>
          <w:tcPr>
            <w:tcW w:w="698" w:type="dxa"/>
            <w:vAlign w:val="center"/>
          </w:tcPr>
          <w:p w14:paraId="3ED74D69" w14:textId="77777777" w:rsidR="00222C9F" w:rsidRDefault="00222C9F" w:rsidP="00222C9F">
            <w:pPr>
              <w:jc w:val="center"/>
              <w:rPr>
                <w:rFonts w:ascii="Calibri" w:hAnsi="Calibri"/>
                <w:bCs/>
                <w:color w:val="auto"/>
                <w:szCs w:val="21"/>
              </w:rPr>
            </w:pPr>
            <w:r>
              <w:rPr>
                <w:rFonts w:ascii="Calibri" w:hAnsi="Calibri"/>
                <w:bCs/>
                <w:color w:val="auto"/>
                <w:szCs w:val="21"/>
              </w:rPr>
              <w:t>16</w:t>
            </w:r>
          </w:p>
        </w:tc>
        <w:tc>
          <w:tcPr>
            <w:tcW w:w="698" w:type="dxa"/>
            <w:vAlign w:val="center"/>
          </w:tcPr>
          <w:p w14:paraId="64C179DA" w14:textId="77777777" w:rsidR="00222C9F" w:rsidRPr="00964557" w:rsidRDefault="00222C9F" w:rsidP="00222C9F">
            <w:pPr>
              <w:jc w:val="center"/>
              <w:rPr>
                <w:rFonts w:ascii="Calibri" w:hAnsi="Calibri"/>
                <w:bCs/>
                <w:color w:val="auto"/>
                <w:szCs w:val="21"/>
              </w:rPr>
            </w:pPr>
            <w:r>
              <w:rPr>
                <w:rFonts w:ascii="Calibri" w:hAnsi="Calibri"/>
                <w:bCs/>
                <w:color w:val="auto"/>
                <w:szCs w:val="21"/>
              </w:rPr>
              <w:t>7</w:t>
            </w:r>
          </w:p>
        </w:tc>
        <w:tc>
          <w:tcPr>
            <w:tcW w:w="697" w:type="dxa"/>
            <w:vAlign w:val="center"/>
          </w:tcPr>
          <w:p w14:paraId="6D6C8FB0"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 xml:space="preserve">57.19 </w:t>
            </w:r>
          </w:p>
        </w:tc>
        <w:tc>
          <w:tcPr>
            <w:tcW w:w="1252" w:type="dxa"/>
            <w:vAlign w:val="center"/>
          </w:tcPr>
          <w:p w14:paraId="78D13790"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00:00-24:00</w:t>
            </w:r>
          </w:p>
        </w:tc>
        <w:tc>
          <w:tcPr>
            <w:tcW w:w="837" w:type="dxa"/>
            <w:vMerge w:val="restart"/>
            <w:vAlign w:val="center"/>
          </w:tcPr>
          <w:p w14:paraId="0D4D8D6C"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10</w:t>
            </w:r>
          </w:p>
        </w:tc>
        <w:tc>
          <w:tcPr>
            <w:tcW w:w="836" w:type="dxa"/>
            <w:vMerge w:val="restart"/>
            <w:vAlign w:val="center"/>
          </w:tcPr>
          <w:p w14:paraId="73371051" w14:textId="77777777" w:rsidR="00222C9F" w:rsidRPr="00222C9F" w:rsidRDefault="00222C9F" w:rsidP="00222C9F">
            <w:pPr>
              <w:jc w:val="center"/>
              <w:rPr>
                <w:rFonts w:ascii="Calibri" w:hAnsi="Calibri"/>
                <w:bCs/>
                <w:color w:val="auto"/>
                <w:szCs w:val="21"/>
              </w:rPr>
            </w:pPr>
            <w:r>
              <w:rPr>
                <w:rFonts w:ascii="Calibri" w:hAnsi="Calibri"/>
                <w:bCs/>
                <w:color w:val="auto"/>
                <w:szCs w:val="21"/>
              </w:rPr>
              <w:t>56.6</w:t>
            </w:r>
          </w:p>
        </w:tc>
        <w:tc>
          <w:tcPr>
            <w:tcW w:w="776" w:type="dxa"/>
            <w:vMerge w:val="restart"/>
            <w:vAlign w:val="center"/>
          </w:tcPr>
          <w:p w14:paraId="2279FA73"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1</w:t>
            </w:r>
          </w:p>
        </w:tc>
      </w:tr>
      <w:tr w:rsidR="00222C9F" w:rsidRPr="00964557" w14:paraId="60D12779" w14:textId="77777777" w:rsidTr="00840163">
        <w:trPr>
          <w:trHeight w:val="340"/>
        </w:trPr>
        <w:tc>
          <w:tcPr>
            <w:tcW w:w="527" w:type="dxa"/>
            <w:vMerge/>
            <w:vAlign w:val="center"/>
          </w:tcPr>
          <w:p w14:paraId="0D9F1714" w14:textId="77777777" w:rsidR="00222C9F" w:rsidRPr="00964557" w:rsidRDefault="00222C9F" w:rsidP="00222C9F">
            <w:pPr>
              <w:jc w:val="center"/>
              <w:rPr>
                <w:rFonts w:ascii="Calibri" w:hAnsi="Calibri"/>
                <w:bCs/>
                <w:color w:val="auto"/>
                <w:szCs w:val="21"/>
              </w:rPr>
            </w:pPr>
          </w:p>
        </w:tc>
        <w:tc>
          <w:tcPr>
            <w:tcW w:w="938" w:type="dxa"/>
            <w:vMerge/>
            <w:vAlign w:val="center"/>
          </w:tcPr>
          <w:p w14:paraId="2B451BFB" w14:textId="77777777" w:rsidR="00222C9F" w:rsidRPr="00964557" w:rsidRDefault="00222C9F" w:rsidP="00222C9F">
            <w:pPr>
              <w:jc w:val="center"/>
              <w:rPr>
                <w:rFonts w:ascii="Calibri" w:hAnsi="Calibri"/>
                <w:bCs/>
                <w:color w:val="auto"/>
                <w:szCs w:val="21"/>
              </w:rPr>
            </w:pPr>
          </w:p>
        </w:tc>
        <w:tc>
          <w:tcPr>
            <w:tcW w:w="2126" w:type="dxa"/>
            <w:tcBorders>
              <w:bottom w:val="single" w:sz="4" w:space="0" w:color="auto"/>
            </w:tcBorders>
            <w:vAlign w:val="center"/>
          </w:tcPr>
          <w:p w14:paraId="154F2B20" w14:textId="77777777" w:rsidR="00222C9F" w:rsidRPr="00F0757B" w:rsidRDefault="006E1C5B" w:rsidP="00222C9F">
            <w:pPr>
              <w:jc w:val="center"/>
              <w:rPr>
                <w:rFonts w:ascii="Calibri" w:hAnsi="Calibri"/>
                <w:color w:val="auto"/>
                <w:szCs w:val="21"/>
              </w:rPr>
            </w:pPr>
            <w:r>
              <w:rPr>
                <w:rFonts w:asciiTheme="minorHAnsi" w:hAnsiTheme="minorHAnsi" w:cstheme="minorHAnsi"/>
                <w:color w:val="auto"/>
                <w:szCs w:val="21"/>
              </w:rPr>
              <w:t>6</w:t>
            </w:r>
            <w:r w:rsidR="00222C9F">
              <w:rPr>
                <w:rFonts w:asciiTheme="minorHAnsi" w:hAnsiTheme="minorHAnsi" w:cstheme="minorHAnsi" w:hint="eastAsia"/>
                <w:color w:val="auto"/>
                <w:szCs w:val="21"/>
              </w:rPr>
              <w:t>#</w:t>
            </w:r>
            <w:r w:rsidR="00222C9F">
              <w:rPr>
                <w:rFonts w:asciiTheme="minorHAnsi" w:hAnsiTheme="minorHAnsi" w:cstheme="minorHAnsi" w:hint="eastAsia"/>
                <w:color w:val="auto"/>
                <w:szCs w:val="21"/>
              </w:rPr>
              <w:t>物料转移</w:t>
            </w:r>
            <w:r w:rsidR="00222C9F" w:rsidRPr="00176833">
              <w:rPr>
                <w:rFonts w:asciiTheme="minorHAnsi" w:hAnsiTheme="minorHAnsi" w:cstheme="minorHAnsi"/>
                <w:color w:val="auto"/>
                <w:szCs w:val="21"/>
              </w:rPr>
              <w:t>泵</w:t>
            </w:r>
          </w:p>
        </w:tc>
        <w:tc>
          <w:tcPr>
            <w:tcW w:w="789" w:type="dxa"/>
            <w:vAlign w:val="center"/>
          </w:tcPr>
          <w:p w14:paraId="19363448"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4F8076D6"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0E5BD0ED"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736ADE20"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34.21</w:t>
            </w:r>
          </w:p>
        </w:tc>
        <w:tc>
          <w:tcPr>
            <w:tcW w:w="836" w:type="dxa"/>
            <w:vAlign w:val="center"/>
          </w:tcPr>
          <w:p w14:paraId="65D85D25"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-36.71</w:t>
            </w:r>
          </w:p>
        </w:tc>
        <w:tc>
          <w:tcPr>
            <w:tcW w:w="698" w:type="dxa"/>
            <w:vAlign w:val="center"/>
          </w:tcPr>
          <w:p w14:paraId="387A4775" w14:textId="77777777" w:rsidR="00222C9F" w:rsidRDefault="00222C9F" w:rsidP="00222C9F">
            <w:pPr>
              <w:jc w:val="center"/>
              <w:rPr>
                <w:rFonts w:ascii="Calibri" w:hAnsi="Calibri"/>
                <w:bCs/>
                <w:color w:val="auto"/>
                <w:szCs w:val="21"/>
              </w:rPr>
            </w:pPr>
            <w:r>
              <w:rPr>
                <w:rFonts w:ascii="Calibri" w:hAnsi="Calibri"/>
                <w:bCs/>
                <w:color w:val="auto"/>
                <w:szCs w:val="21"/>
              </w:rPr>
              <w:t>16</w:t>
            </w:r>
          </w:p>
        </w:tc>
        <w:tc>
          <w:tcPr>
            <w:tcW w:w="698" w:type="dxa"/>
            <w:vAlign w:val="center"/>
          </w:tcPr>
          <w:p w14:paraId="46142660" w14:textId="77777777" w:rsidR="00222C9F" w:rsidRPr="00964557" w:rsidRDefault="00222C9F" w:rsidP="00222C9F">
            <w:pPr>
              <w:jc w:val="center"/>
              <w:rPr>
                <w:rFonts w:ascii="Calibri" w:hAnsi="Calibri"/>
                <w:bCs/>
                <w:color w:val="auto"/>
                <w:szCs w:val="21"/>
              </w:rPr>
            </w:pPr>
            <w:r>
              <w:rPr>
                <w:rFonts w:ascii="Calibri" w:hAnsi="Calibri"/>
                <w:bCs/>
                <w:color w:val="auto"/>
                <w:szCs w:val="21"/>
              </w:rPr>
              <w:t>7</w:t>
            </w:r>
          </w:p>
        </w:tc>
        <w:tc>
          <w:tcPr>
            <w:tcW w:w="697" w:type="dxa"/>
            <w:vAlign w:val="center"/>
          </w:tcPr>
          <w:p w14:paraId="0E1106AC"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 xml:space="preserve">57.19 </w:t>
            </w:r>
          </w:p>
        </w:tc>
        <w:tc>
          <w:tcPr>
            <w:tcW w:w="1252" w:type="dxa"/>
            <w:vAlign w:val="center"/>
          </w:tcPr>
          <w:p w14:paraId="3E39A723"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00:00-24:00</w:t>
            </w:r>
          </w:p>
        </w:tc>
        <w:tc>
          <w:tcPr>
            <w:tcW w:w="837" w:type="dxa"/>
            <w:vMerge/>
            <w:vAlign w:val="center"/>
          </w:tcPr>
          <w:p w14:paraId="44CDBB76" w14:textId="77777777" w:rsidR="00222C9F" w:rsidRPr="00964557" w:rsidRDefault="00222C9F" w:rsidP="00222C9F">
            <w:pPr>
              <w:jc w:val="center"/>
              <w:rPr>
                <w:rFonts w:ascii="Calibri" w:hAnsi="Calibri"/>
                <w:bCs/>
                <w:color w:val="auto"/>
                <w:szCs w:val="21"/>
              </w:rPr>
            </w:pPr>
          </w:p>
        </w:tc>
        <w:tc>
          <w:tcPr>
            <w:tcW w:w="836" w:type="dxa"/>
            <w:vMerge/>
            <w:vAlign w:val="center"/>
          </w:tcPr>
          <w:p w14:paraId="239D7E3A" w14:textId="77777777" w:rsidR="00222C9F" w:rsidRDefault="00222C9F" w:rsidP="00222C9F">
            <w:pPr>
              <w:jc w:val="center"/>
              <w:rPr>
                <w:rFonts w:ascii="Calibri" w:hAnsi="Calibri"/>
                <w:bCs/>
                <w:color w:val="auto"/>
                <w:szCs w:val="21"/>
              </w:rPr>
            </w:pPr>
          </w:p>
        </w:tc>
        <w:tc>
          <w:tcPr>
            <w:tcW w:w="776" w:type="dxa"/>
            <w:vMerge/>
            <w:vAlign w:val="center"/>
          </w:tcPr>
          <w:p w14:paraId="6C00412C" w14:textId="77777777" w:rsidR="00222C9F" w:rsidRDefault="00222C9F" w:rsidP="00222C9F">
            <w:pPr>
              <w:jc w:val="center"/>
              <w:rPr>
                <w:rFonts w:ascii="Calibri" w:hAnsi="Calibri"/>
                <w:bCs/>
                <w:color w:val="auto"/>
                <w:szCs w:val="21"/>
              </w:rPr>
            </w:pPr>
          </w:p>
        </w:tc>
      </w:tr>
      <w:tr w:rsidR="00222C9F" w:rsidRPr="00964557" w14:paraId="17EE9EFA" w14:textId="77777777" w:rsidTr="00840163">
        <w:trPr>
          <w:trHeight w:val="340"/>
        </w:trPr>
        <w:tc>
          <w:tcPr>
            <w:tcW w:w="527" w:type="dxa"/>
            <w:vMerge/>
            <w:vAlign w:val="center"/>
          </w:tcPr>
          <w:p w14:paraId="52E43BC6" w14:textId="77777777" w:rsidR="00222C9F" w:rsidRPr="00964557" w:rsidRDefault="00222C9F" w:rsidP="00222C9F">
            <w:pPr>
              <w:jc w:val="center"/>
              <w:rPr>
                <w:rFonts w:ascii="Calibri" w:hAnsi="Calibri"/>
                <w:bCs/>
                <w:color w:val="auto"/>
                <w:szCs w:val="21"/>
              </w:rPr>
            </w:pPr>
          </w:p>
        </w:tc>
        <w:tc>
          <w:tcPr>
            <w:tcW w:w="938" w:type="dxa"/>
            <w:vMerge/>
            <w:vAlign w:val="center"/>
          </w:tcPr>
          <w:p w14:paraId="18D60D93" w14:textId="77777777" w:rsidR="00222C9F" w:rsidRPr="00964557" w:rsidRDefault="00222C9F" w:rsidP="00222C9F">
            <w:pPr>
              <w:jc w:val="center"/>
              <w:rPr>
                <w:rFonts w:ascii="Calibri" w:hAnsi="Calibri"/>
                <w:bCs/>
                <w:color w:val="auto"/>
                <w:szCs w:val="21"/>
              </w:rPr>
            </w:pPr>
          </w:p>
        </w:tc>
        <w:tc>
          <w:tcPr>
            <w:tcW w:w="2126" w:type="dxa"/>
            <w:tcBorders>
              <w:top w:val="single" w:sz="4" w:space="0" w:color="auto"/>
            </w:tcBorders>
            <w:vAlign w:val="center"/>
          </w:tcPr>
          <w:p w14:paraId="66D3706E" w14:textId="77777777" w:rsidR="00222C9F" w:rsidRPr="00176833" w:rsidRDefault="006E1C5B" w:rsidP="00222C9F">
            <w:pPr>
              <w:jc w:val="center"/>
              <w:rPr>
                <w:rFonts w:ascii="Calibri" w:hAnsi="Calibri"/>
                <w:color w:val="auto"/>
                <w:szCs w:val="21"/>
              </w:rPr>
            </w:pPr>
            <w:r>
              <w:rPr>
                <w:rFonts w:asciiTheme="minorHAnsi" w:hAnsiTheme="minorHAnsi" w:cstheme="minorHAnsi"/>
                <w:color w:val="auto"/>
                <w:szCs w:val="21"/>
              </w:rPr>
              <w:t>2</w:t>
            </w:r>
            <w:r w:rsidR="00222C9F">
              <w:rPr>
                <w:rFonts w:asciiTheme="minorHAnsi" w:hAnsiTheme="minorHAnsi" w:cstheme="minorHAnsi" w:hint="eastAsia"/>
                <w:color w:val="auto"/>
                <w:szCs w:val="21"/>
              </w:rPr>
              <w:t>#</w:t>
            </w:r>
            <w:r w:rsidR="00222C9F">
              <w:rPr>
                <w:rFonts w:ascii="Calibri" w:hAnsi="Calibri" w:hint="eastAsia"/>
                <w:color w:val="auto"/>
                <w:szCs w:val="21"/>
              </w:rPr>
              <w:t>真空泵</w:t>
            </w:r>
          </w:p>
        </w:tc>
        <w:tc>
          <w:tcPr>
            <w:tcW w:w="789" w:type="dxa"/>
            <w:vAlign w:val="center"/>
          </w:tcPr>
          <w:p w14:paraId="588D165C"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379F9E90" w14:textId="77777777" w:rsidR="00222C9F" w:rsidRPr="00964557" w:rsidRDefault="00222C9F" w:rsidP="00222C9F">
            <w:pPr>
              <w:jc w:val="center"/>
              <w:rPr>
                <w:rFonts w:ascii="Calibri" w:hAnsi="Calibri"/>
                <w:bCs/>
                <w:color w:val="auto"/>
                <w:szCs w:val="21"/>
              </w:rPr>
            </w:pPr>
            <w:r>
              <w:rPr>
                <w:rFonts w:ascii="Calibri" w:hAnsi="Calibri"/>
                <w:bCs/>
                <w:color w:val="auto"/>
                <w:szCs w:val="21"/>
              </w:rPr>
              <w:t>85</w:t>
            </w:r>
          </w:p>
        </w:tc>
        <w:tc>
          <w:tcPr>
            <w:tcW w:w="1139" w:type="dxa"/>
            <w:vAlign w:val="center"/>
          </w:tcPr>
          <w:p w14:paraId="0192DDAC"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7A4EBD6A"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-14.32</w:t>
            </w:r>
          </w:p>
        </w:tc>
        <w:tc>
          <w:tcPr>
            <w:tcW w:w="836" w:type="dxa"/>
            <w:vAlign w:val="center"/>
          </w:tcPr>
          <w:p w14:paraId="39C5729C"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-13.3</w:t>
            </w:r>
          </w:p>
        </w:tc>
        <w:tc>
          <w:tcPr>
            <w:tcW w:w="698" w:type="dxa"/>
            <w:vAlign w:val="center"/>
          </w:tcPr>
          <w:p w14:paraId="66CAADA6" w14:textId="77777777" w:rsidR="00222C9F" w:rsidRDefault="00222C9F" w:rsidP="00222C9F">
            <w:pPr>
              <w:jc w:val="center"/>
              <w:rPr>
                <w:rFonts w:ascii="Calibri" w:hAnsi="Calibri"/>
                <w:bCs/>
                <w:color w:val="auto"/>
                <w:szCs w:val="21"/>
              </w:rPr>
            </w:pPr>
            <w:r>
              <w:rPr>
                <w:rFonts w:ascii="Calibri" w:hAnsi="Calibri"/>
                <w:bCs/>
                <w:color w:val="auto"/>
                <w:szCs w:val="21"/>
              </w:rPr>
              <w:t>5</w:t>
            </w:r>
          </w:p>
        </w:tc>
        <w:tc>
          <w:tcPr>
            <w:tcW w:w="698" w:type="dxa"/>
            <w:vAlign w:val="center"/>
          </w:tcPr>
          <w:p w14:paraId="0874B77D" w14:textId="77777777" w:rsidR="00222C9F" w:rsidRPr="00964557" w:rsidRDefault="00222C9F" w:rsidP="00222C9F">
            <w:pPr>
              <w:jc w:val="center"/>
              <w:rPr>
                <w:rFonts w:ascii="Calibri" w:hAnsi="Calibri"/>
                <w:bCs/>
                <w:color w:val="auto"/>
                <w:szCs w:val="21"/>
              </w:rPr>
            </w:pPr>
            <w:r>
              <w:rPr>
                <w:rFonts w:ascii="Calibri" w:hAnsi="Calibri"/>
                <w:bCs/>
                <w:color w:val="auto"/>
                <w:szCs w:val="21"/>
              </w:rPr>
              <w:t>2</w:t>
            </w:r>
          </w:p>
        </w:tc>
        <w:tc>
          <w:tcPr>
            <w:tcW w:w="697" w:type="dxa"/>
            <w:vAlign w:val="center"/>
          </w:tcPr>
          <w:p w14:paraId="00AFE565"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 xml:space="preserve">68.00 </w:t>
            </w:r>
          </w:p>
        </w:tc>
        <w:tc>
          <w:tcPr>
            <w:tcW w:w="1252" w:type="dxa"/>
            <w:vAlign w:val="center"/>
          </w:tcPr>
          <w:p w14:paraId="770002E5"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00:00-24:00</w:t>
            </w:r>
          </w:p>
        </w:tc>
        <w:tc>
          <w:tcPr>
            <w:tcW w:w="837" w:type="dxa"/>
            <w:vMerge/>
            <w:vAlign w:val="center"/>
          </w:tcPr>
          <w:p w14:paraId="567BF5AA" w14:textId="77777777" w:rsidR="00222C9F" w:rsidRPr="00964557" w:rsidRDefault="00222C9F" w:rsidP="00222C9F">
            <w:pPr>
              <w:jc w:val="center"/>
              <w:rPr>
                <w:rFonts w:ascii="Calibri" w:hAnsi="Calibri"/>
                <w:bCs/>
                <w:color w:val="auto"/>
                <w:szCs w:val="21"/>
              </w:rPr>
            </w:pPr>
          </w:p>
        </w:tc>
        <w:tc>
          <w:tcPr>
            <w:tcW w:w="836" w:type="dxa"/>
            <w:vMerge/>
            <w:vAlign w:val="center"/>
          </w:tcPr>
          <w:p w14:paraId="6C8C647B" w14:textId="77777777" w:rsidR="00222C9F" w:rsidRDefault="00222C9F" w:rsidP="00222C9F">
            <w:pPr>
              <w:jc w:val="center"/>
              <w:rPr>
                <w:rFonts w:ascii="Calibri" w:hAnsi="Calibri"/>
                <w:bCs/>
                <w:color w:val="auto"/>
                <w:szCs w:val="21"/>
              </w:rPr>
            </w:pPr>
          </w:p>
        </w:tc>
        <w:tc>
          <w:tcPr>
            <w:tcW w:w="776" w:type="dxa"/>
            <w:vMerge/>
            <w:vAlign w:val="center"/>
          </w:tcPr>
          <w:p w14:paraId="60F7A7D6" w14:textId="77777777" w:rsidR="00222C9F" w:rsidRDefault="00222C9F" w:rsidP="00222C9F">
            <w:pPr>
              <w:jc w:val="center"/>
              <w:rPr>
                <w:rFonts w:ascii="Calibri" w:hAnsi="Calibri"/>
                <w:bCs/>
                <w:color w:val="auto"/>
                <w:szCs w:val="21"/>
              </w:rPr>
            </w:pPr>
          </w:p>
        </w:tc>
      </w:tr>
      <w:tr w:rsidR="00222C9F" w:rsidRPr="00964557" w14:paraId="683F0231" w14:textId="77777777" w:rsidTr="000E6E79">
        <w:trPr>
          <w:trHeight w:val="340"/>
        </w:trPr>
        <w:tc>
          <w:tcPr>
            <w:tcW w:w="527" w:type="dxa"/>
            <w:vMerge/>
            <w:vAlign w:val="center"/>
          </w:tcPr>
          <w:p w14:paraId="38559551" w14:textId="77777777" w:rsidR="00222C9F" w:rsidRPr="00964557" w:rsidRDefault="00222C9F" w:rsidP="00222C9F">
            <w:pPr>
              <w:jc w:val="center"/>
              <w:rPr>
                <w:rFonts w:ascii="Calibri" w:hAnsi="Calibri"/>
                <w:bCs/>
                <w:color w:val="auto"/>
                <w:szCs w:val="21"/>
              </w:rPr>
            </w:pPr>
          </w:p>
        </w:tc>
        <w:tc>
          <w:tcPr>
            <w:tcW w:w="938" w:type="dxa"/>
            <w:vMerge/>
            <w:vAlign w:val="center"/>
          </w:tcPr>
          <w:p w14:paraId="464E1C9E" w14:textId="77777777" w:rsidR="00222C9F" w:rsidRPr="00964557" w:rsidRDefault="00222C9F" w:rsidP="00222C9F">
            <w:pPr>
              <w:jc w:val="center"/>
              <w:rPr>
                <w:rFonts w:ascii="Calibri" w:hAnsi="Calibri"/>
                <w:bCs/>
                <w:color w:val="auto"/>
                <w:szCs w:val="21"/>
              </w:rPr>
            </w:pPr>
          </w:p>
        </w:tc>
        <w:tc>
          <w:tcPr>
            <w:tcW w:w="2126" w:type="dxa"/>
            <w:vAlign w:val="center"/>
          </w:tcPr>
          <w:p w14:paraId="3DACAB38" w14:textId="77777777" w:rsidR="00222C9F" w:rsidRPr="00FA5615" w:rsidRDefault="006E1C5B" w:rsidP="00222C9F">
            <w:pPr>
              <w:jc w:val="center"/>
              <w:rPr>
                <w:rFonts w:ascii="Calibri" w:hAnsi="Calibri"/>
                <w:color w:val="auto"/>
                <w:szCs w:val="21"/>
              </w:rPr>
            </w:pPr>
            <w:r>
              <w:rPr>
                <w:rFonts w:ascii="Calibri" w:hAnsi="Calibri"/>
                <w:color w:val="auto"/>
                <w:szCs w:val="21"/>
              </w:rPr>
              <w:t>2</w:t>
            </w:r>
            <w:r w:rsidR="00222C9F">
              <w:rPr>
                <w:rFonts w:ascii="Calibri" w:hAnsi="Calibri"/>
                <w:color w:val="auto"/>
                <w:szCs w:val="21"/>
              </w:rPr>
              <w:t>#</w:t>
            </w:r>
            <w:r w:rsidR="00222C9F">
              <w:rPr>
                <w:rFonts w:ascii="Calibri" w:hAnsi="Calibri" w:hint="eastAsia"/>
                <w:color w:val="auto"/>
                <w:szCs w:val="21"/>
              </w:rPr>
              <w:t>制粒</w:t>
            </w:r>
            <w:r w:rsidR="00222C9F">
              <w:rPr>
                <w:rFonts w:ascii="Calibri" w:hAnsi="Calibri"/>
                <w:color w:val="auto"/>
                <w:szCs w:val="21"/>
              </w:rPr>
              <w:t>冷却水泵</w:t>
            </w:r>
          </w:p>
        </w:tc>
        <w:tc>
          <w:tcPr>
            <w:tcW w:w="789" w:type="dxa"/>
            <w:vAlign w:val="center"/>
          </w:tcPr>
          <w:p w14:paraId="24316AAC"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16D60E78" w14:textId="77777777" w:rsidR="00222C9F" w:rsidRPr="00964557" w:rsidRDefault="00222C9F" w:rsidP="00222C9F">
            <w:pPr>
              <w:jc w:val="center"/>
              <w:rPr>
                <w:rFonts w:ascii="Calibri" w:hAnsi="Calibri"/>
                <w:bCs/>
                <w:color w:val="auto"/>
                <w:szCs w:val="21"/>
              </w:rPr>
            </w:pPr>
            <w:r>
              <w:rPr>
                <w:rFonts w:ascii="Calibri" w:hAnsi="Calibri"/>
                <w:bCs/>
                <w:color w:val="auto"/>
                <w:szCs w:val="21"/>
              </w:rPr>
              <w:t>85</w:t>
            </w:r>
          </w:p>
        </w:tc>
        <w:tc>
          <w:tcPr>
            <w:tcW w:w="1139" w:type="dxa"/>
            <w:vAlign w:val="center"/>
          </w:tcPr>
          <w:p w14:paraId="2CF5DE19"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6F562A03"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-9.71</w:t>
            </w:r>
          </w:p>
        </w:tc>
        <w:tc>
          <w:tcPr>
            <w:tcW w:w="836" w:type="dxa"/>
            <w:vAlign w:val="center"/>
          </w:tcPr>
          <w:p w14:paraId="5796B97D"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-4.08</w:t>
            </w:r>
          </w:p>
        </w:tc>
        <w:tc>
          <w:tcPr>
            <w:tcW w:w="698" w:type="dxa"/>
            <w:vAlign w:val="center"/>
          </w:tcPr>
          <w:p w14:paraId="4C56C8C0" w14:textId="77777777" w:rsidR="00222C9F" w:rsidRDefault="00222C9F" w:rsidP="00222C9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38604D82" w14:textId="77777777" w:rsidR="00222C9F" w:rsidRPr="00964557" w:rsidRDefault="00222C9F" w:rsidP="00222C9F">
            <w:pPr>
              <w:jc w:val="center"/>
              <w:rPr>
                <w:rFonts w:ascii="Calibri" w:hAnsi="Calibri"/>
                <w:bCs/>
                <w:color w:val="auto"/>
                <w:szCs w:val="21"/>
              </w:rPr>
            </w:pPr>
            <w:r>
              <w:rPr>
                <w:rFonts w:ascii="Calibri" w:hAnsi="Calibri"/>
                <w:bCs/>
                <w:color w:val="auto"/>
                <w:szCs w:val="21"/>
              </w:rPr>
              <w:t>4</w:t>
            </w:r>
          </w:p>
        </w:tc>
        <w:tc>
          <w:tcPr>
            <w:tcW w:w="697" w:type="dxa"/>
            <w:vAlign w:val="center"/>
          </w:tcPr>
          <w:p w14:paraId="618A534F"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 xml:space="preserve">62.00 </w:t>
            </w:r>
          </w:p>
        </w:tc>
        <w:tc>
          <w:tcPr>
            <w:tcW w:w="1252" w:type="dxa"/>
            <w:tcBorders>
              <w:bottom w:val="single" w:sz="4" w:space="0" w:color="auto"/>
            </w:tcBorders>
            <w:vAlign w:val="center"/>
          </w:tcPr>
          <w:p w14:paraId="12AAEACC"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00:00-24:00</w:t>
            </w:r>
          </w:p>
        </w:tc>
        <w:tc>
          <w:tcPr>
            <w:tcW w:w="837" w:type="dxa"/>
            <w:vMerge/>
            <w:vAlign w:val="center"/>
          </w:tcPr>
          <w:p w14:paraId="41FE5991" w14:textId="77777777" w:rsidR="00222C9F" w:rsidRPr="00964557" w:rsidRDefault="00222C9F" w:rsidP="00222C9F">
            <w:pPr>
              <w:jc w:val="center"/>
              <w:rPr>
                <w:rFonts w:ascii="Calibri" w:hAnsi="Calibri"/>
                <w:bCs/>
                <w:color w:val="auto"/>
                <w:szCs w:val="21"/>
              </w:rPr>
            </w:pPr>
          </w:p>
        </w:tc>
        <w:tc>
          <w:tcPr>
            <w:tcW w:w="836" w:type="dxa"/>
            <w:vMerge/>
            <w:vAlign w:val="center"/>
          </w:tcPr>
          <w:p w14:paraId="55BEF820" w14:textId="77777777" w:rsidR="00222C9F" w:rsidRDefault="00222C9F" w:rsidP="00222C9F">
            <w:pPr>
              <w:jc w:val="center"/>
              <w:rPr>
                <w:rFonts w:ascii="Calibri" w:hAnsi="Calibri"/>
                <w:bCs/>
                <w:color w:val="auto"/>
                <w:szCs w:val="21"/>
              </w:rPr>
            </w:pPr>
          </w:p>
        </w:tc>
        <w:tc>
          <w:tcPr>
            <w:tcW w:w="776" w:type="dxa"/>
            <w:vMerge/>
            <w:vAlign w:val="center"/>
          </w:tcPr>
          <w:p w14:paraId="1A41C569" w14:textId="77777777" w:rsidR="00222C9F" w:rsidRDefault="00222C9F" w:rsidP="00222C9F">
            <w:pPr>
              <w:jc w:val="center"/>
              <w:rPr>
                <w:rFonts w:ascii="Calibri" w:hAnsi="Calibri"/>
                <w:bCs/>
                <w:color w:val="auto"/>
                <w:szCs w:val="21"/>
              </w:rPr>
            </w:pPr>
          </w:p>
        </w:tc>
      </w:tr>
      <w:tr w:rsidR="00222C9F" w:rsidRPr="00964557" w14:paraId="164D62C8" w14:textId="77777777" w:rsidTr="00840163">
        <w:trPr>
          <w:trHeight w:val="340"/>
        </w:trPr>
        <w:tc>
          <w:tcPr>
            <w:tcW w:w="527" w:type="dxa"/>
            <w:vMerge/>
            <w:vAlign w:val="center"/>
          </w:tcPr>
          <w:p w14:paraId="544402B8" w14:textId="77777777" w:rsidR="00222C9F" w:rsidRPr="00964557" w:rsidRDefault="00222C9F" w:rsidP="00222C9F">
            <w:pPr>
              <w:jc w:val="center"/>
              <w:rPr>
                <w:rFonts w:ascii="Calibri" w:hAnsi="Calibri"/>
                <w:bCs/>
                <w:color w:val="auto"/>
                <w:szCs w:val="21"/>
              </w:rPr>
            </w:pPr>
          </w:p>
        </w:tc>
        <w:tc>
          <w:tcPr>
            <w:tcW w:w="938" w:type="dxa"/>
            <w:vMerge/>
            <w:vAlign w:val="center"/>
          </w:tcPr>
          <w:p w14:paraId="50291C6B" w14:textId="77777777" w:rsidR="00222C9F" w:rsidRPr="00964557" w:rsidRDefault="00222C9F" w:rsidP="00222C9F">
            <w:pPr>
              <w:jc w:val="center"/>
              <w:rPr>
                <w:rFonts w:ascii="Calibri" w:hAnsi="Calibri"/>
                <w:bCs/>
                <w:color w:val="auto"/>
                <w:szCs w:val="21"/>
              </w:rPr>
            </w:pPr>
          </w:p>
        </w:tc>
        <w:tc>
          <w:tcPr>
            <w:tcW w:w="2126" w:type="dxa"/>
            <w:tcBorders>
              <w:top w:val="single" w:sz="4" w:space="0" w:color="auto"/>
            </w:tcBorders>
            <w:vAlign w:val="center"/>
          </w:tcPr>
          <w:p w14:paraId="54340AF6" w14:textId="77777777" w:rsidR="00222C9F" w:rsidRDefault="006E1C5B" w:rsidP="00222C9F">
            <w:pPr>
              <w:jc w:val="center"/>
              <w:rPr>
                <w:rFonts w:ascii="Calibri" w:hAnsi="Calibri"/>
                <w:color w:val="auto"/>
                <w:szCs w:val="21"/>
              </w:rPr>
            </w:pPr>
            <w:r>
              <w:rPr>
                <w:rFonts w:ascii="Calibri" w:hAnsi="Calibri"/>
                <w:color w:val="auto"/>
                <w:szCs w:val="21"/>
              </w:rPr>
              <w:t>3</w:t>
            </w:r>
            <w:r w:rsidR="00222C9F">
              <w:rPr>
                <w:rFonts w:ascii="Calibri" w:hAnsi="Calibri"/>
                <w:color w:val="auto"/>
                <w:szCs w:val="21"/>
              </w:rPr>
              <w:t>#</w:t>
            </w:r>
            <w:r w:rsidR="00222C9F">
              <w:rPr>
                <w:rFonts w:ascii="Calibri" w:hAnsi="Calibri" w:hint="eastAsia"/>
                <w:color w:val="auto"/>
                <w:szCs w:val="21"/>
              </w:rPr>
              <w:t>风机</w:t>
            </w:r>
          </w:p>
        </w:tc>
        <w:tc>
          <w:tcPr>
            <w:tcW w:w="789" w:type="dxa"/>
            <w:vAlign w:val="center"/>
          </w:tcPr>
          <w:p w14:paraId="6B957441" w14:textId="77777777" w:rsidR="00222C9F" w:rsidRDefault="00222C9F" w:rsidP="00222C9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5F99C93D" w14:textId="77777777" w:rsidR="00222C9F" w:rsidRDefault="00222C9F" w:rsidP="00222C9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29CA0B18" w14:textId="77777777" w:rsidR="00222C9F" w:rsidRDefault="00222C9F" w:rsidP="00222C9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47185AB4"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-6.12</w:t>
            </w:r>
          </w:p>
        </w:tc>
        <w:tc>
          <w:tcPr>
            <w:tcW w:w="836" w:type="dxa"/>
            <w:vAlign w:val="center"/>
          </w:tcPr>
          <w:p w14:paraId="0C5C9412"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15.38</w:t>
            </w:r>
          </w:p>
        </w:tc>
        <w:tc>
          <w:tcPr>
            <w:tcW w:w="698" w:type="dxa"/>
            <w:vAlign w:val="center"/>
          </w:tcPr>
          <w:p w14:paraId="56A9207F" w14:textId="77777777" w:rsidR="00222C9F" w:rsidRDefault="00222C9F" w:rsidP="00222C9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698" w:type="dxa"/>
            <w:vAlign w:val="center"/>
          </w:tcPr>
          <w:p w14:paraId="31509D8D" w14:textId="77777777" w:rsidR="00222C9F" w:rsidRDefault="00222C9F" w:rsidP="00222C9F">
            <w:pPr>
              <w:jc w:val="center"/>
              <w:rPr>
                <w:rFonts w:ascii="Calibri" w:hAnsi="Calibri"/>
                <w:bCs/>
                <w:color w:val="auto"/>
                <w:szCs w:val="21"/>
              </w:rPr>
            </w:pPr>
            <w:r>
              <w:rPr>
                <w:rFonts w:ascii="Calibri" w:hAnsi="Calibri" w:hint="eastAsia"/>
                <w:bCs/>
                <w:color w:val="auto"/>
                <w:szCs w:val="21"/>
              </w:rPr>
              <w:t>2</w:t>
            </w:r>
          </w:p>
        </w:tc>
        <w:tc>
          <w:tcPr>
            <w:tcW w:w="697" w:type="dxa"/>
            <w:vAlign w:val="center"/>
          </w:tcPr>
          <w:p w14:paraId="7CB8F5E6"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 xml:space="preserve">68.00 </w:t>
            </w:r>
          </w:p>
        </w:tc>
        <w:tc>
          <w:tcPr>
            <w:tcW w:w="1252" w:type="dxa"/>
            <w:vAlign w:val="center"/>
          </w:tcPr>
          <w:p w14:paraId="5EBE63ED"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00:00-24:00</w:t>
            </w:r>
          </w:p>
        </w:tc>
        <w:tc>
          <w:tcPr>
            <w:tcW w:w="837" w:type="dxa"/>
            <w:vMerge/>
            <w:vAlign w:val="center"/>
          </w:tcPr>
          <w:p w14:paraId="490C602D" w14:textId="77777777" w:rsidR="00222C9F" w:rsidRPr="00964557" w:rsidRDefault="00222C9F" w:rsidP="00222C9F">
            <w:pPr>
              <w:jc w:val="center"/>
              <w:rPr>
                <w:rFonts w:ascii="Calibri" w:hAnsi="Calibri"/>
                <w:bCs/>
                <w:color w:val="auto"/>
                <w:szCs w:val="21"/>
              </w:rPr>
            </w:pPr>
          </w:p>
        </w:tc>
        <w:tc>
          <w:tcPr>
            <w:tcW w:w="836" w:type="dxa"/>
            <w:vMerge/>
            <w:vAlign w:val="center"/>
          </w:tcPr>
          <w:p w14:paraId="7AD27975" w14:textId="77777777" w:rsidR="00222C9F" w:rsidRDefault="00222C9F" w:rsidP="00222C9F">
            <w:pPr>
              <w:jc w:val="center"/>
              <w:rPr>
                <w:rFonts w:ascii="Calibri" w:hAnsi="Calibri"/>
                <w:bCs/>
                <w:color w:val="auto"/>
                <w:szCs w:val="21"/>
              </w:rPr>
            </w:pPr>
          </w:p>
        </w:tc>
        <w:tc>
          <w:tcPr>
            <w:tcW w:w="776" w:type="dxa"/>
            <w:vMerge/>
            <w:vAlign w:val="center"/>
          </w:tcPr>
          <w:p w14:paraId="778A78E8" w14:textId="77777777" w:rsidR="00222C9F" w:rsidRDefault="00222C9F" w:rsidP="00222C9F">
            <w:pPr>
              <w:jc w:val="center"/>
              <w:rPr>
                <w:rFonts w:ascii="Calibri" w:hAnsi="Calibri"/>
                <w:bCs/>
                <w:color w:val="auto"/>
                <w:szCs w:val="21"/>
              </w:rPr>
            </w:pPr>
          </w:p>
        </w:tc>
      </w:tr>
      <w:tr w:rsidR="00222C9F" w:rsidRPr="00964557" w14:paraId="3E797EBE" w14:textId="77777777" w:rsidTr="00840163">
        <w:trPr>
          <w:trHeight w:val="340"/>
        </w:trPr>
        <w:tc>
          <w:tcPr>
            <w:tcW w:w="527" w:type="dxa"/>
            <w:vMerge/>
            <w:vAlign w:val="center"/>
          </w:tcPr>
          <w:p w14:paraId="31D347EE" w14:textId="77777777" w:rsidR="00222C9F" w:rsidRPr="00964557" w:rsidRDefault="00222C9F" w:rsidP="00222C9F">
            <w:pPr>
              <w:jc w:val="center"/>
              <w:rPr>
                <w:rFonts w:ascii="Calibri" w:hAnsi="Calibri"/>
                <w:bCs/>
                <w:color w:val="auto"/>
                <w:szCs w:val="21"/>
              </w:rPr>
            </w:pPr>
          </w:p>
        </w:tc>
        <w:tc>
          <w:tcPr>
            <w:tcW w:w="938" w:type="dxa"/>
            <w:vMerge/>
            <w:vAlign w:val="center"/>
          </w:tcPr>
          <w:p w14:paraId="117B54EC" w14:textId="77777777" w:rsidR="00222C9F" w:rsidRPr="00964557" w:rsidRDefault="00222C9F" w:rsidP="00222C9F">
            <w:pPr>
              <w:jc w:val="center"/>
              <w:rPr>
                <w:rFonts w:ascii="Calibri" w:hAnsi="Calibri"/>
                <w:bCs/>
                <w:color w:val="auto"/>
                <w:szCs w:val="21"/>
              </w:rPr>
            </w:pPr>
          </w:p>
        </w:tc>
        <w:tc>
          <w:tcPr>
            <w:tcW w:w="2126" w:type="dxa"/>
            <w:vAlign w:val="center"/>
          </w:tcPr>
          <w:p w14:paraId="4375A4F2" w14:textId="77777777" w:rsidR="00222C9F" w:rsidRDefault="006E1C5B" w:rsidP="00222C9F">
            <w:pPr>
              <w:jc w:val="center"/>
              <w:rPr>
                <w:rFonts w:ascii="Calibri" w:hAnsi="Calibri"/>
                <w:color w:val="auto"/>
                <w:szCs w:val="21"/>
              </w:rPr>
            </w:pPr>
            <w:r>
              <w:rPr>
                <w:rFonts w:ascii="Calibri" w:hAnsi="Calibri"/>
                <w:color w:val="auto"/>
                <w:szCs w:val="21"/>
              </w:rPr>
              <w:t>4</w:t>
            </w:r>
            <w:r w:rsidR="00222C9F">
              <w:rPr>
                <w:rFonts w:ascii="Calibri" w:hAnsi="Calibri"/>
                <w:color w:val="auto"/>
                <w:szCs w:val="21"/>
              </w:rPr>
              <w:t>#</w:t>
            </w:r>
            <w:r w:rsidR="00222C9F">
              <w:rPr>
                <w:rFonts w:ascii="Calibri" w:hAnsi="Calibri" w:hint="eastAsia"/>
                <w:color w:val="auto"/>
                <w:szCs w:val="21"/>
              </w:rPr>
              <w:t>风机</w:t>
            </w:r>
          </w:p>
        </w:tc>
        <w:tc>
          <w:tcPr>
            <w:tcW w:w="789" w:type="dxa"/>
            <w:vAlign w:val="center"/>
          </w:tcPr>
          <w:p w14:paraId="1345AF22" w14:textId="77777777" w:rsidR="00222C9F" w:rsidRDefault="00222C9F" w:rsidP="00222C9F">
            <w:pPr>
              <w:jc w:val="center"/>
              <w:rPr>
                <w:rFonts w:ascii="Calibri" w:hAnsi="Calibri"/>
                <w:bCs/>
                <w:color w:val="auto"/>
                <w:szCs w:val="21"/>
              </w:rPr>
            </w:pPr>
            <w:r>
              <w:rPr>
                <w:rFonts w:ascii="Calibri" w:hAnsi="Calibri" w:hint="eastAsia"/>
                <w:bCs/>
                <w:color w:val="auto"/>
                <w:szCs w:val="21"/>
              </w:rPr>
              <w:t>/</w:t>
            </w:r>
          </w:p>
        </w:tc>
        <w:tc>
          <w:tcPr>
            <w:tcW w:w="850" w:type="dxa"/>
            <w:vAlign w:val="center"/>
          </w:tcPr>
          <w:p w14:paraId="735C6F4F" w14:textId="77777777" w:rsidR="00222C9F" w:rsidRDefault="00222C9F" w:rsidP="00222C9F">
            <w:pPr>
              <w:jc w:val="center"/>
              <w:rPr>
                <w:rFonts w:ascii="Calibri" w:hAnsi="Calibri"/>
                <w:bCs/>
                <w:color w:val="auto"/>
                <w:szCs w:val="21"/>
              </w:rPr>
            </w:pPr>
            <w:r>
              <w:rPr>
                <w:rFonts w:ascii="Calibri" w:hAnsi="Calibri" w:hint="eastAsia"/>
                <w:bCs/>
                <w:color w:val="auto"/>
                <w:szCs w:val="21"/>
              </w:rPr>
              <w:t>85</w:t>
            </w:r>
          </w:p>
        </w:tc>
        <w:tc>
          <w:tcPr>
            <w:tcW w:w="1139" w:type="dxa"/>
            <w:vAlign w:val="center"/>
          </w:tcPr>
          <w:p w14:paraId="3C27203D" w14:textId="77777777" w:rsidR="00222C9F" w:rsidRDefault="00222C9F" w:rsidP="00222C9F">
            <w:pPr>
              <w:jc w:val="center"/>
              <w:rPr>
                <w:rFonts w:ascii="Calibri" w:hAnsi="Calibri"/>
                <w:bCs/>
                <w:color w:val="auto"/>
                <w:szCs w:val="21"/>
              </w:rPr>
            </w:pPr>
            <w:r>
              <w:rPr>
                <w:rFonts w:ascii="Calibri" w:hAnsi="Calibri" w:hint="eastAsia"/>
                <w:bCs/>
                <w:color w:val="auto"/>
                <w:szCs w:val="21"/>
              </w:rPr>
              <w:t>减振</w:t>
            </w:r>
          </w:p>
        </w:tc>
        <w:tc>
          <w:tcPr>
            <w:tcW w:w="837" w:type="dxa"/>
            <w:vAlign w:val="center"/>
          </w:tcPr>
          <w:p w14:paraId="440C856C"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-9.2</w:t>
            </w:r>
          </w:p>
        </w:tc>
        <w:tc>
          <w:tcPr>
            <w:tcW w:w="836" w:type="dxa"/>
            <w:vAlign w:val="center"/>
          </w:tcPr>
          <w:p w14:paraId="2F676218"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6.67</w:t>
            </w:r>
          </w:p>
        </w:tc>
        <w:tc>
          <w:tcPr>
            <w:tcW w:w="698" w:type="dxa"/>
            <w:vAlign w:val="center"/>
          </w:tcPr>
          <w:p w14:paraId="2C2AEEBD" w14:textId="77777777" w:rsidR="00222C9F" w:rsidRDefault="00222C9F" w:rsidP="00222C9F">
            <w:pPr>
              <w:jc w:val="center"/>
              <w:rPr>
                <w:rFonts w:ascii="Calibri" w:hAnsi="Calibri"/>
                <w:bCs/>
                <w:color w:val="auto"/>
                <w:szCs w:val="21"/>
              </w:rPr>
            </w:pPr>
            <w:r>
              <w:rPr>
                <w:rFonts w:ascii="Calibri" w:hAnsi="Calibri" w:hint="eastAsia"/>
                <w:bCs/>
                <w:color w:val="auto"/>
                <w:szCs w:val="21"/>
              </w:rPr>
              <w:t>0.5</w:t>
            </w:r>
          </w:p>
        </w:tc>
        <w:tc>
          <w:tcPr>
            <w:tcW w:w="698" w:type="dxa"/>
            <w:vAlign w:val="center"/>
          </w:tcPr>
          <w:p w14:paraId="06158F19" w14:textId="77777777" w:rsidR="00222C9F" w:rsidRDefault="00222C9F" w:rsidP="00222C9F">
            <w:pPr>
              <w:jc w:val="center"/>
              <w:rPr>
                <w:rFonts w:ascii="Calibri" w:hAnsi="Calibri"/>
                <w:bCs/>
                <w:color w:val="auto"/>
                <w:szCs w:val="21"/>
              </w:rPr>
            </w:pPr>
            <w:r>
              <w:rPr>
                <w:rFonts w:ascii="Calibri" w:hAnsi="Calibri" w:hint="eastAsia"/>
                <w:bCs/>
                <w:color w:val="auto"/>
                <w:szCs w:val="21"/>
              </w:rPr>
              <w:t>3</w:t>
            </w:r>
          </w:p>
        </w:tc>
        <w:tc>
          <w:tcPr>
            <w:tcW w:w="697" w:type="dxa"/>
            <w:vAlign w:val="center"/>
          </w:tcPr>
          <w:p w14:paraId="041F5BAC"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 xml:space="preserve">64.48 </w:t>
            </w:r>
          </w:p>
        </w:tc>
        <w:tc>
          <w:tcPr>
            <w:tcW w:w="1252" w:type="dxa"/>
            <w:vAlign w:val="center"/>
          </w:tcPr>
          <w:p w14:paraId="420C81B1" w14:textId="77777777" w:rsidR="00222C9F" w:rsidRPr="00222C9F" w:rsidRDefault="00222C9F" w:rsidP="00222C9F">
            <w:pPr>
              <w:jc w:val="center"/>
              <w:rPr>
                <w:rFonts w:ascii="Calibri" w:hAnsi="Calibri"/>
                <w:bCs/>
                <w:color w:val="auto"/>
                <w:szCs w:val="21"/>
              </w:rPr>
            </w:pPr>
            <w:r w:rsidRPr="00222C9F">
              <w:rPr>
                <w:rFonts w:ascii="Calibri" w:hAnsi="Calibri"/>
                <w:bCs/>
                <w:color w:val="auto"/>
                <w:szCs w:val="21"/>
              </w:rPr>
              <w:t>00:00-24:00</w:t>
            </w:r>
          </w:p>
        </w:tc>
        <w:tc>
          <w:tcPr>
            <w:tcW w:w="837" w:type="dxa"/>
            <w:vMerge/>
            <w:vAlign w:val="center"/>
          </w:tcPr>
          <w:p w14:paraId="74D84395" w14:textId="77777777" w:rsidR="00222C9F" w:rsidRPr="00964557" w:rsidRDefault="00222C9F" w:rsidP="00222C9F">
            <w:pPr>
              <w:jc w:val="center"/>
              <w:rPr>
                <w:rFonts w:ascii="Calibri" w:hAnsi="Calibri"/>
                <w:bCs/>
                <w:color w:val="auto"/>
                <w:szCs w:val="21"/>
              </w:rPr>
            </w:pPr>
          </w:p>
        </w:tc>
        <w:tc>
          <w:tcPr>
            <w:tcW w:w="836" w:type="dxa"/>
            <w:vMerge/>
            <w:vAlign w:val="center"/>
          </w:tcPr>
          <w:p w14:paraId="27A594A1" w14:textId="77777777" w:rsidR="00222C9F" w:rsidRDefault="00222C9F" w:rsidP="00222C9F">
            <w:pPr>
              <w:jc w:val="center"/>
              <w:rPr>
                <w:rFonts w:ascii="Calibri" w:hAnsi="Calibri"/>
                <w:bCs/>
                <w:color w:val="auto"/>
                <w:szCs w:val="21"/>
              </w:rPr>
            </w:pPr>
          </w:p>
        </w:tc>
        <w:tc>
          <w:tcPr>
            <w:tcW w:w="776" w:type="dxa"/>
            <w:vMerge/>
            <w:vAlign w:val="center"/>
          </w:tcPr>
          <w:p w14:paraId="1643B4BD" w14:textId="77777777" w:rsidR="00222C9F" w:rsidRDefault="00222C9F" w:rsidP="00222C9F">
            <w:pPr>
              <w:jc w:val="center"/>
              <w:rPr>
                <w:rFonts w:ascii="Calibri" w:hAnsi="Calibri"/>
                <w:bCs/>
                <w:color w:val="auto"/>
                <w:szCs w:val="21"/>
              </w:rPr>
            </w:pPr>
          </w:p>
        </w:tc>
      </w:tr>
    </w:tbl>
    <w:p w14:paraId="56000ED2" w14:textId="77777777" w:rsidR="00222C9F" w:rsidRPr="00E9636E" w:rsidRDefault="00222C9F" w:rsidP="00222C9F">
      <w:pPr>
        <w:spacing w:line="520" w:lineRule="exact"/>
        <w:ind w:firstLineChars="200" w:firstLine="420"/>
        <w:jc w:val="left"/>
        <w:rPr>
          <w:rFonts w:asciiTheme="minorEastAsia" w:eastAsiaTheme="minorEastAsia" w:hAnsiTheme="minorEastAsia"/>
          <w:bCs/>
          <w:color w:val="auto"/>
          <w:szCs w:val="21"/>
        </w:rPr>
      </w:pPr>
      <w:r w:rsidRPr="00E9636E">
        <w:rPr>
          <w:rFonts w:asciiTheme="minorEastAsia" w:eastAsiaTheme="minorEastAsia" w:hAnsiTheme="minorEastAsia" w:hint="eastAsia"/>
          <w:bCs/>
          <w:color w:val="auto"/>
          <w:szCs w:val="21"/>
        </w:rPr>
        <w:t>备注</w:t>
      </w:r>
      <w:r w:rsidRPr="00E9636E">
        <w:rPr>
          <w:rFonts w:asciiTheme="minorEastAsia" w:eastAsiaTheme="minorEastAsia" w:hAnsiTheme="minorEastAsia"/>
          <w:bCs/>
          <w:color w:val="auto"/>
          <w:szCs w:val="21"/>
        </w:rPr>
        <w:t>：</w:t>
      </w:r>
      <w:r w:rsidRPr="00E9636E">
        <w:rPr>
          <w:rFonts w:asciiTheme="minorEastAsia" w:eastAsiaTheme="minorEastAsia" w:hAnsiTheme="minorEastAsia" w:hint="eastAsia"/>
          <w:bCs/>
          <w:color w:val="auto"/>
          <w:szCs w:val="21"/>
        </w:rPr>
        <w:t>本次</w:t>
      </w:r>
      <w:r w:rsidRPr="00E9636E">
        <w:rPr>
          <w:rFonts w:asciiTheme="minorEastAsia" w:eastAsiaTheme="minorEastAsia" w:hAnsiTheme="minorEastAsia"/>
          <w:bCs/>
          <w:color w:val="auto"/>
          <w:szCs w:val="21"/>
        </w:rPr>
        <w:t>评价以</w:t>
      </w:r>
      <w:r>
        <w:rPr>
          <w:rFonts w:asciiTheme="minorEastAsia" w:eastAsiaTheme="minorEastAsia" w:hAnsiTheme="minorEastAsia" w:hint="eastAsia"/>
          <w:bCs/>
          <w:color w:val="auto"/>
          <w:szCs w:val="21"/>
        </w:rPr>
        <w:t>生产</w:t>
      </w:r>
      <w:r>
        <w:rPr>
          <w:rFonts w:asciiTheme="minorEastAsia" w:eastAsiaTheme="minorEastAsia" w:hAnsiTheme="minorEastAsia"/>
          <w:bCs/>
          <w:color w:val="auto"/>
          <w:szCs w:val="21"/>
        </w:rPr>
        <w:t>车间</w:t>
      </w:r>
      <w:r w:rsidRPr="00E9636E">
        <w:rPr>
          <w:rFonts w:asciiTheme="minorEastAsia" w:eastAsiaTheme="minorEastAsia" w:hAnsiTheme="minorEastAsia" w:hint="eastAsia"/>
          <w:bCs/>
          <w:color w:val="auto"/>
          <w:szCs w:val="21"/>
        </w:rPr>
        <w:t>中心</w:t>
      </w:r>
      <w:r w:rsidRPr="00E9636E">
        <w:rPr>
          <w:rFonts w:asciiTheme="minorEastAsia" w:eastAsiaTheme="minorEastAsia" w:hAnsiTheme="minorEastAsia"/>
          <w:bCs/>
          <w:color w:val="auto"/>
          <w:szCs w:val="21"/>
        </w:rPr>
        <w:t>位</w:t>
      </w:r>
      <w:r w:rsidRPr="00E9636E">
        <w:rPr>
          <w:rFonts w:asciiTheme="minorEastAsia" w:eastAsiaTheme="minorEastAsia" w:hAnsiTheme="minorEastAsia"/>
          <w:color w:val="auto"/>
        </w:rPr>
        <w:t>置为</w:t>
      </w:r>
      <w:r w:rsidRPr="00E9636E">
        <w:rPr>
          <w:rFonts w:asciiTheme="minorEastAsia" w:eastAsiaTheme="minorEastAsia" w:hAnsiTheme="minorEastAsia" w:hint="eastAsia"/>
          <w:color w:val="auto"/>
        </w:rPr>
        <w:t>坐标原点</w:t>
      </w:r>
      <w:r>
        <w:rPr>
          <w:rFonts w:asciiTheme="minorEastAsia" w:eastAsiaTheme="minorEastAsia" w:hAnsiTheme="minorEastAsia" w:hint="eastAsia"/>
          <w:color w:val="auto"/>
        </w:rPr>
        <w:t>。</w:t>
      </w:r>
    </w:p>
    <w:p w14:paraId="5B457949" w14:textId="77777777" w:rsidR="006D3271" w:rsidRPr="00222C9F" w:rsidRDefault="00222C9F" w:rsidP="00222C9F">
      <w:pPr>
        <w:spacing w:line="520" w:lineRule="exact"/>
        <w:ind w:firstLineChars="200" w:firstLine="480"/>
        <w:jc w:val="left"/>
        <w:rPr>
          <w:rFonts w:ascii="Calibri" w:eastAsia="黑体" w:hAnsi="Calibri"/>
          <w:bCs/>
          <w:color w:val="auto"/>
          <w:sz w:val="24"/>
        </w:rPr>
      </w:pPr>
      <w:r w:rsidRPr="00964557">
        <w:rPr>
          <w:rFonts w:ascii="Calibri" w:eastAsia="黑体" w:hAnsi="Calibri" w:hint="eastAsia"/>
          <w:bCs/>
          <w:color w:val="auto"/>
          <w:sz w:val="24"/>
        </w:rPr>
        <w:t>表</w:t>
      </w:r>
      <w:r w:rsidRPr="00964557">
        <w:rPr>
          <w:rFonts w:ascii="Calibri" w:eastAsia="黑体" w:hAnsi="Calibri"/>
          <w:bCs/>
          <w:color w:val="auto"/>
          <w:sz w:val="24"/>
        </w:rPr>
        <w:t>2</w:t>
      </w:r>
      <w:r w:rsidRPr="00964557">
        <w:rPr>
          <w:rFonts w:ascii="Calibri" w:eastAsia="黑体" w:hAnsi="Calibri" w:hint="eastAsia"/>
          <w:bCs/>
          <w:color w:val="auto"/>
          <w:sz w:val="24"/>
        </w:rPr>
        <w:t>.3</w:t>
      </w:r>
      <w:r w:rsidRPr="00964557">
        <w:rPr>
          <w:rFonts w:ascii="Calibri" w:eastAsia="黑体" w:hAnsi="Calibri"/>
          <w:bCs/>
          <w:color w:val="auto"/>
          <w:sz w:val="24"/>
        </w:rPr>
        <w:t>-</w:t>
      </w:r>
      <w:r w:rsidR="000D53E8">
        <w:rPr>
          <w:rFonts w:ascii="Calibri" w:eastAsia="黑体" w:hAnsi="Calibri"/>
          <w:bCs/>
          <w:color w:val="auto"/>
          <w:sz w:val="24"/>
        </w:rPr>
        <w:t>24</w:t>
      </w:r>
      <w:r w:rsidRPr="00964557">
        <w:rPr>
          <w:rFonts w:ascii="Calibri" w:eastAsia="黑体" w:hAnsi="Calibri"/>
          <w:bCs/>
          <w:color w:val="auto"/>
          <w:sz w:val="24"/>
        </w:rPr>
        <w:t xml:space="preserve">       </w:t>
      </w:r>
      <w:r>
        <w:rPr>
          <w:rFonts w:ascii="Calibri" w:eastAsia="黑体" w:hAnsi="Calibri"/>
          <w:bCs/>
          <w:color w:val="auto"/>
          <w:sz w:val="24"/>
        </w:rPr>
        <w:t xml:space="preserve">                      </w:t>
      </w:r>
      <w:r>
        <w:rPr>
          <w:rFonts w:ascii="Calibri" w:eastAsia="黑体" w:hAnsi="Calibri" w:hint="eastAsia"/>
          <w:bCs/>
          <w:color w:val="auto"/>
          <w:sz w:val="24"/>
        </w:rPr>
        <w:t>本项目二期工程室外</w:t>
      </w:r>
      <w:r>
        <w:rPr>
          <w:rFonts w:ascii="Calibri" w:eastAsia="黑体" w:hAnsi="Calibri"/>
          <w:bCs/>
          <w:color w:val="auto"/>
          <w:sz w:val="24"/>
        </w:rPr>
        <w:t>噪声</w:t>
      </w:r>
      <w:r>
        <w:rPr>
          <w:rFonts w:ascii="Calibri" w:eastAsia="黑体" w:hAnsi="Calibri" w:hint="eastAsia"/>
          <w:bCs/>
          <w:color w:val="auto"/>
          <w:sz w:val="24"/>
        </w:rPr>
        <w:t>源强</w:t>
      </w:r>
      <w:r>
        <w:rPr>
          <w:rFonts w:ascii="Calibri" w:eastAsia="黑体" w:hAnsi="Calibri"/>
          <w:bCs/>
          <w:color w:val="auto"/>
          <w:sz w:val="24"/>
        </w:rPr>
        <w:t>调查清单</w:t>
      </w:r>
    </w:p>
    <w:tbl>
      <w:tblPr>
        <w:tblW w:w="496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04"/>
        <w:gridCol w:w="1308"/>
        <w:gridCol w:w="1701"/>
        <w:gridCol w:w="1134"/>
        <w:gridCol w:w="1323"/>
        <w:gridCol w:w="1323"/>
        <w:gridCol w:w="1323"/>
        <w:gridCol w:w="1275"/>
        <w:gridCol w:w="1985"/>
        <w:gridCol w:w="1660"/>
      </w:tblGrid>
      <w:tr w:rsidR="00222C9F" w:rsidRPr="00964557" w14:paraId="621FA8F4" w14:textId="77777777" w:rsidTr="000E6E79">
        <w:trPr>
          <w:trHeight w:val="312"/>
        </w:trPr>
        <w:tc>
          <w:tcPr>
            <w:tcW w:w="804" w:type="dxa"/>
            <w:vMerge w:val="restart"/>
            <w:vAlign w:val="center"/>
          </w:tcPr>
          <w:p w14:paraId="134ACE0C" w14:textId="77777777" w:rsidR="00222C9F" w:rsidRPr="00964557" w:rsidRDefault="00222C9F" w:rsidP="000E6E79">
            <w:pPr>
              <w:jc w:val="center"/>
              <w:rPr>
                <w:rFonts w:ascii="Calibri" w:hAnsi="Calibri"/>
                <w:bCs/>
                <w:color w:val="auto"/>
                <w:szCs w:val="21"/>
              </w:rPr>
            </w:pPr>
            <w:r w:rsidRPr="00964557">
              <w:rPr>
                <w:rFonts w:ascii="Calibri" w:hAnsi="Calibri" w:hint="eastAsia"/>
                <w:bCs/>
                <w:color w:val="auto"/>
                <w:szCs w:val="21"/>
              </w:rPr>
              <w:t>序号</w:t>
            </w:r>
          </w:p>
        </w:tc>
        <w:tc>
          <w:tcPr>
            <w:tcW w:w="3009" w:type="dxa"/>
            <w:gridSpan w:val="2"/>
            <w:vMerge w:val="restart"/>
            <w:vAlign w:val="center"/>
          </w:tcPr>
          <w:p w14:paraId="37CF64BF" w14:textId="77777777" w:rsidR="00222C9F" w:rsidRPr="00964557" w:rsidRDefault="00222C9F" w:rsidP="000E6E79">
            <w:pPr>
              <w:jc w:val="center"/>
              <w:rPr>
                <w:rFonts w:ascii="Calibri" w:hAnsi="Calibri"/>
                <w:bCs/>
                <w:color w:val="auto"/>
                <w:szCs w:val="21"/>
              </w:rPr>
            </w:pPr>
            <w:r>
              <w:rPr>
                <w:rFonts w:ascii="Calibri" w:hAnsi="Calibri" w:hint="eastAsia"/>
                <w:bCs/>
                <w:color w:val="auto"/>
                <w:szCs w:val="21"/>
              </w:rPr>
              <w:t>声源</w:t>
            </w:r>
            <w:r>
              <w:rPr>
                <w:rFonts w:ascii="Calibri" w:hAnsi="Calibri"/>
                <w:bCs/>
                <w:color w:val="auto"/>
                <w:szCs w:val="21"/>
              </w:rPr>
              <w:t>名称</w:t>
            </w:r>
          </w:p>
        </w:tc>
        <w:tc>
          <w:tcPr>
            <w:tcW w:w="1134" w:type="dxa"/>
            <w:vMerge w:val="restart"/>
            <w:vAlign w:val="center"/>
          </w:tcPr>
          <w:p w14:paraId="2A58CAAE" w14:textId="77777777" w:rsidR="00222C9F" w:rsidRPr="00964557" w:rsidRDefault="00222C9F" w:rsidP="000E6E79">
            <w:pPr>
              <w:jc w:val="center"/>
              <w:rPr>
                <w:rFonts w:ascii="Calibri" w:hAnsi="Calibri"/>
                <w:bCs/>
                <w:color w:val="auto"/>
                <w:szCs w:val="21"/>
              </w:rPr>
            </w:pPr>
            <w:r>
              <w:rPr>
                <w:rFonts w:ascii="Calibri" w:hAnsi="Calibri" w:hint="eastAsia"/>
                <w:bCs/>
                <w:color w:val="auto"/>
                <w:szCs w:val="21"/>
              </w:rPr>
              <w:t>型号</w:t>
            </w:r>
          </w:p>
        </w:tc>
        <w:tc>
          <w:tcPr>
            <w:tcW w:w="3969" w:type="dxa"/>
            <w:gridSpan w:val="3"/>
            <w:vAlign w:val="center"/>
          </w:tcPr>
          <w:p w14:paraId="2B644024" w14:textId="77777777" w:rsidR="00222C9F" w:rsidRPr="00964557" w:rsidRDefault="00222C9F" w:rsidP="000E6E79">
            <w:pPr>
              <w:jc w:val="center"/>
              <w:rPr>
                <w:rFonts w:ascii="Calibri" w:hAnsi="Calibri"/>
                <w:bCs/>
                <w:color w:val="auto"/>
                <w:szCs w:val="21"/>
              </w:rPr>
            </w:pPr>
            <w:r>
              <w:rPr>
                <w:rFonts w:ascii="Calibri" w:hAnsi="Calibri" w:hint="eastAsia"/>
                <w:bCs/>
                <w:color w:val="auto"/>
                <w:szCs w:val="21"/>
              </w:rPr>
              <w:t>空间</w:t>
            </w:r>
            <w:r>
              <w:rPr>
                <w:rFonts w:ascii="Calibri" w:hAnsi="Calibri"/>
                <w:bCs/>
                <w:color w:val="auto"/>
                <w:szCs w:val="21"/>
              </w:rPr>
              <w:t>相对位置</w:t>
            </w:r>
            <w:r>
              <w:rPr>
                <w:rFonts w:ascii="Calibri" w:hAnsi="Calibri" w:hint="eastAsia"/>
                <w:bCs/>
                <w:color w:val="auto"/>
                <w:szCs w:val="21"/>
              </w:rPr>
              <w:t>/</w:t>
            </w:r>
            <w:r>
              <w:rPr>
                <w:rFonts w:ascii="Calibri" w:hAnsi="Calibri"/>
                <w:bCs/>
                <w:color w:val="auto"/>
                <w:szCs w:val="21"/>
              </w:rPr>
              <w:t>m</w:t>
            </w:r>
          </w:p>
        </w:tc>
        <w:tc>
          <w:tcPr>
            <w:tcW w:w="1275" w:type="dxa"/>
            <w:tcBorders>
              <w:bottom w:val="single" w:sz="2" w:space="0" w:color="000000"/>
            </w:tcBorders>
            <w:vAlign w:val="center"/>
          </w:tcPr>
          <w:p w14:paraId="3FFD7121" w14:textId="77777777" w:rsidR="00222C9F" w:rsidRPr="00964557" w:rsidRDefault="00222C9F" w:rsidP="000E6E79">
            <w:pPr>
              <w:jc w:val="center"/>
              <w:rPr>
                <w:rFonts w:ascii="Calibri" w:hAnsi="Calibri"/>
                <w:bCs/>
                <w:color w:val="auto"/>
                <w:szCs w:val="21"/>
              </w:rPr>
            </w:pPr>
            <w:r w:rsidRPr="00F61204">
              <w:rPr>
                <w:rFonts w:ascii="Calibri" w:hAnsi="Calibri" w:hint="eastAsia"/>
                <w:bCs/>
                <w:color w:val="auto"/>
                <w:szCs w:val="21"/>
              </w:rPr>
              <w:t>声源源强</w:t>
            </w:r>
          </w:p>
        </w:tc>
        <w:tc>
          <w:tcPr>
            <w:tcW w:w="1985" w:type="dxa"/>
            <w:vMerge w:val="restart"/>
            <w:vAlign w:val="center"/>
          </w:tcPr>
          <w:p w14:paraId="78E9E6D6" w14:textId="77777777" w:rsidR="00222C9F" w:rsidRPr="00964557" w:rsidRDefault="00222C9F" w:rsidP="000E6E79">
            <w:pPr>
              <w:jc w:val="center"/>
              <w:rPr>
                <w:rFonts w:ascii="Calibri" w:hAnsi="Calibri"/>
                <w:bCs/>
                <w:color w:val="auto"/>
                <w:szCs w:val="21"/>
              </w:rPr>
            </w:pPr>
            <w:r w:rsidRPr="00F61204">
              <w:rPr>
                <w:rFonts w:ascii="Calibri" w:hAnsi="Calibri" w:hint="eastAsia"/>
                <w:bCs/>
                <w:color w:val="auto"/>
                <w:szCs w:val="21"/>
              </w:rPr>
              <w:t>声源控制措施</w:t>
            </w:r>
          </w:p>
        </w:tc>
        <w:tc>
          <w:tcPr>
            <w:tcW w:w="1660" w:type="dxa"/>
            <w:vMerge w:val="restart"/>
            <w:vAlign w:val="center"/>
          </w:tcPr>
          <w:p w14:paraId="40499681" w14:textId="77777777" w:rsidR="00222C9F" w:rsidRPr="002E39F2" w:rsidRDefault="00222C9F" w:rsidP="000E6E79">
            <w:pPr>
              <w:jc w:val="center"/>
              <w:rPr>
                <w:rFonts w:ascii="Calibri" w:hAnsi="Calibri"/>
                <w:bCs/>
                <w:color w:val="auto"/>
                <w:szCs w:val="21"/>
              </w:rPr>
            </w:pPr>
            <w:r>
              <w:rPr>
                <w:rFonts w:ascii="Calibri" w:hAnsi="Calibri" w:hint="eastAsia"/>
                <w:bCs/>
                <w:color w:val="auto"/>
                <w:szCs w:val="21"/>
              </w:rPr>
              <w:t>运行</w:t>
            </w:r>
            <w:r>
              <w:rPr>
                <w:rFonts w:ascii="Calibri" w:hAnsi="Calibri"/>
                <w:bCs/>
                <w:color w:val="auto"/>
                <w:szCs w:val="21"/>
              </w:rPr>
              <w:t>时段</w:t>
            </w:r>
          </w:p>
        </w:tc>
      </w:tr>
      <w:tr w:rsidR="00222C9F" w:rsidRPr="00964557" w14:paraId="0D191EA7" w14:textId="77777777" w:rsidTr="000E6E79">
        <w:trPr>
          <w:trHeight w:val="312"/>
        </w:trPr>
        <w:tc>
          <w:tcPr>
            <w:tcW w:w="804" w:type="dxa"/>
            <w:vMerge/>
            <w:vAlign w:val="center"/>
          </w:tcPr>
          <w:p w14:paraId="73A18D87" w14:textId="77777777" w:rsidR="00222C9F" w:rsidRPr="00964557" w:rsidRDefault="00222C9F" w:rsidP="000E6E79">
            <w:pPr>
              <w:jc w:val="center"/>
              <w:rPr>
                <w:rFonts w:ascii="Calibri" w:hAnsi="Calibri"/>
                <w:bCs/>
                <w:color w:val="auto"/>
                <w:szCs w:val="21"/>
              </w:rPr>
            </w:pPr>
          </w:p>
        </w:tc>
        <w:tc>
          <w:tcPr>
            <w:tcW w:w="3009" w:type="dxa"/>
            <w:gridSpan w:val="2"/>
            <w:vMerge/>
            <w:vAlign w:val="center"/>
          </w:tcPr>
          <w:p w14:paraId="17BF5BAC" w14:textId="77777777" w:rsidR="00222C9F" w:rsidRPr="00964557" w:rsidRDefault="00222C9F" w:rsidP="000E6E79">
            <w:pPr>
              <w:jc w:val="center"/>
              <w:rPr>
                <w:rFonts w:ascii="Calibri" w:hAnsi="Calibri"/>
                <w:bCs/>
                <w:color w:val="auto"/>
                <w:szCs w:val="21"/>
              </w:rPr>
            </w:pPr>
          </w:p>
        </w:tc>
        <w:tc>
          <w:tcPr>
            <w:tcW w:w="1134" w:type="dxa"/>
            <w:vMerge/>
            <w:vAlign w:val="center"/>
          </w:tcPr>
          <w:p w14:paraId="232C910E" w14:textId="77777777" w:rsidR="00222C9F" w:rsidRPr="00964557" w:rsidRDefault="00222C9F" w:rsidP="000E6E79">
            <w:pPr>
              <w:jc w:val="center"/>
              <w:rPr>
                <w:rFonts w:ascii="Calibri" w:hAnsi="Calibri"/>
                <w:bCs/>
                <w:color w:val="auto"/>
                <w:szCs w:val="21"/>
              </w:rPr>
            </w:pPr>
          </w:p>
        </w:tc>
        <w:tc>
          <w:tcPr>
            <w:tcW w:w="1323" w:type="dxa"/>
            <w:vAlign w:val="center"/>
          </w:tcPr>
          <w:p w14:paraId="7FC58911" w14:textId="77777777" w:rsidR="00222C9F" w:rsidRPr="00964557" w:rsidRDefault="00222C9F" w:rsidP="000E6E79">
            <w:pPr>
              <w:jc w:val="center"/>
              <w:rPr>
                <w:rFonts w:ascii="Calibri" w:hAnsi="Calibri"/>
                <w:bCs/>
                <w:color w:val="auto"/>
                <w:szCs w:val="21"/>
              </w:rPr>
            </w:pPr>
            <w:r>
              <w:rPr>
                <w:rFonts w:ascii="Calibri" w:hAnsi="Calibri" w:hint="eastAsia"/>
                <w:bCs/>
                <w:color w:val="auto"/>
                <w:szCs w:val="21"/>
              </w:rPr>
              <w:t>X</w:t>
            </w:r>
          </w:p>
        </w:tc>
        <w:tc>
          <w:tcPr>
            <w:tcW w:w="1323" w:type="dxa"/>
            <w:vAlign w:val="center"/>
          </w:tcPr>
          <w:p w14:paraId="58286036" w14:textId="77777777" w:rsidR="00222C9F" w:rsidRPr="00964557" w:rsidRDefault="00222C9F" w:rsidP="000E6E79">
            <w:pPr>
              <w:jc w:val="center"/>
              <w:rPr>
                <w:rFonts w:ascii="Calibri" w:hAnsi="Calibri"/>
                <w:bCs/>
                <w:color w:val="auto"/>
                <w:szCs w:val="21"/>
              </w:rPr>
            </w:pPr>
            <w:r>
              <w:rPr>
                <w:rFonts w:ascii="Calibri" w:hAnsi="Calibri" w:hint="eastAsia"/>
                <w:bCs/>
                <w:color w:val="auto"/>
                <w:szCs w:val="21"/>
              </w:rPr>
              <w:t>y</w:t>
            </w:r>
          </w:p>
        </w:tc>
        <w:tc>
          <w:tcPr>
            <w:tcW w:w="1323" w:type="dxa"/>
            <w:vAlign w:val="center"/>
          </w:tcPr>
          <w:p w14:paraId="1FFFEE61" w14:textId="77777777" w:rsidR="00222C9F" w:rsidRPr="00964557" w:rsidRDefault="00222C9F" w:rsidP="000E6E79">
            <w:pPr>
              <w:jc w:val="center"/>
              <w:rPr>
                <w:rFonts w:ascii="Calibri" w:hAnsi="Calibri"/>
                <w:bCs/>
                <w:color w:val="auto"/>
                <w:szCs w:val="21"/>
              </w:rPr>
            </w:pPr>
            <w:r>
              <w:rPr>
                <w:rFonts w:ascii="Calibri" w:hAnsi="Calibri"/>
                <w:bCs/>
                <w:color w:val="auto"/>
                <w:szCs w:val="21"/>
              </w:rPr>
              <w:t>Z</w:t>
            </w:r>
          </w:p>
        </w:tc>
        <w:tc>
          <w:tcPr>
            <w:tcW w:w="1275" w:type="dxa"/>
            <w:tcBorders>
              <w:top w:val="single" w:sz="2" w:space="0" w:color="000000"/>
            </w:tcBorders>
            <w:vAlign w:val="center"/>
          </w:tcPr>
          <w:p w14:paraId="3868D542" w14:textId="77777777" w:rsidR="00222C9F" w:rsidRPr="00964557" w:rsidRDefault="00222C9F" w:rsidP="000E6E79">
            <w:pPr>
              <w:jc w:val="center"/>
              <w:rPr>
                <w:rFonts w:ascii="Calibri" w:hAnsi="Calibri"/>
                <w:bCs/>
                <w:color w:val="auto"/>
                <w:szCs w:val="21"/>
              </w:rPr>
            </w:pPr>
            <w:r w:rsidRPr="00F61204">
              <w:rPr>
                <w:rFonts w:ascii="Calibri" w:hAnsi="Calibri" w:hint="eastAsia"/>
                <w:bCs/>
                <w:color w:val="auto"/>
                <w:szCs w:val="21"/>
              </w:rPr>
              <w:t>声功率级</w:t>
            </w:r>
            <w:r w:rsidRPr="00F61204">
              <w:rPr>
                <w:rFonts w:ascii="Calibri" w:hAnsi="Calibri" w:hint="eastAsia"/>
                <w:bCs/>
                <w:color w:val="auto"/>
                <w:szCs w:val="21"/>
              </w:rPr>
              <w:t>/dB</w:t>
            </w:r>
            <w:r>
              <w:rPr>
                <w:rFonts w:ascii="Calibri" w:hAnsi="Calibri" w:hint="eastAsia"/>
                <w:bCs/>
                <w:color w:val="auto"/>
                <w:szCs w:val="21"/>
              </w:rPr>
              <w:t>（</w:t>
            </w:r>
            <w:r>
              <w:rPr>
                <w:rFonts w:ascii="Calibri" w:hAnsi="Calibri"/>
                <w:bCs/>
                <w:color w:val="auto"/>
                <w:szCs w:val="21"/>
              </w:rPr>
              <w:t>A</w:t>
            </w:r>
            <w:r>
              <w:rPr>
                <w:rFonts w:ascii="Calibri" w:hAnsi="Calibri" w:hint="eastAsia"/>
                <w:bCs/>
                <w:color w:val="auto"/>
                <w:szCs w:val="21"/>
              </w:rPr>
              <w:t>）</w:t>
            </w:r>
          </w:p>
        </w:tc>
        <w:tc>
          <w:tcPr>
            <w:tcW w:w="1985" w:type="dxa"/>
            <w:vMerge/>
            <w:vAlign w:val="center"/>
          </w:tcPr>
          <w:p w14:paraId="28CA0C89" w14:textId="77777777" w:rsidR="00222C9F" w:rsidRPr="00964557" w:rsidRDefault="00222C9F" w:rsidP="000E6E79">
            <w:pPr>
              <w:jc w:val="center"/>
              <w:rPr>
                <w:rFonts w:ascii="Calibri" w:hAnsi="Calibri"/>
                <w:bCs/>
                <w:color w:val="auto"/>
                <w:szCs w:val="21"/>
              </w:rPr>
            </w:pPr>
          </w:p>
        </w:tc>
        <w:tc>
          <w:tcPr>
            <w:tcW w:w="1660" w:type="dxa"/>
            <w:vMerge/>
            <w:vAlign w:val="center"/>
          </w:tcPr>
          <w:p w14:paraId="6A4FA927" w14:textId="77777777" w:rsidR="00222C9F" w:rsidRPr="00964557" w:rsidRDefault="00222C9F" w:rsidP="000E6E79">
            <w:pPr>
              <w:jc w:val="center"/>
              <w:rPr>
                <w:rFonts w:ascii="Calibri" w:hAnsi="Calibri"/>
                <w:bCs/>
                <w:color w:val="auto"/>
                <w:szCs w:val="21"/>
              </w:rPr>
            </w:pPr>
          </w:p>
        </w:tc>
      </w:tr>
      <w:tr w:rsidR="00222C9F" w:rsidRPr="00964557" w14:paraId="01A4B37C" w14:textId="77777777" w:rsidTr="000E6E79">
        <w:trPr>
          <w:trHeight w:val="312"/>
        </w:trPr>
        <w:tc>
          <w:tcPr>
            <w:tcW w:w="804" w:type="dxa"/>
            <w:vAlign w:val="center"/>
          </w:tcPr>
          <w:p w14:paraId="17B9AC36" w14:textId="77777777" w:rsidR="00222C9F" w:rsidRPr="00964557" w:rsidRDefault="00222C9F" w:rsidP="00222C9F">
            <w:pPr>
              <w:jc w:val="center"/>
              <w:rPr>
                <w:rFonts w:ascii="Calibri" w:hAnsi="Calibri"/>
                <w:bCs/>
                <w:color w:val="auto"/>
                <w:szCs w:val="21"/>
              </w:rPr>
            </w:pPr>
            <w:r>
              <w:rPr>
                <w:rFonts w:ascii="Calibri" w:hAnsi="Calibri" w:hint="eastAsia"/>
                <w:bCs/>
                <w:color w:val="auto"/>
                <w:szCs w:val="21"/>
              </w:rPr>
              <w:t>1</w:t>
            </w:r>
          </w:p>
        </w:tc>
        <w:tc>
          <w:tcPr>
            <w:tcW w:w="1308" w:type="dxa"/>
            <w:vAlign w:val="center"/>
          </w:tcPr>
          <w:p w14:paraId="4910484B" w14:textId="77777777" w:rsidR="00222C9F" w:rsidRPr="00964557" w:rsidRDefault="00222C9F" w:rsidP="00222C9F">
            <w:pPr>
              <w:jc w:val="center"/>
              <w:rPr>
                <w:rFonts w:ascii="Calibri" w:hAnsi="Calibri"/>
                <w:color w:val="auto"/>
                <w:szCs w:val="21"/>
              </w:rPr>
            </w:pPr>
            <w:r>
              <w:rPr>
                <w:rFonts w:ascii="Calibri" w:hAnsi="Calibri" w:hint="eastAsia"/>
                <w:color w:val="auto"/>
                <w:szCs w:val="21"/>
              </w:rPr>
              <w:t>冷却塔</w:t>
            </w:r>
            <w:r>
              <w:rPr>
                <w:rFonts w:ascii="Calibri" w:hAnsi="Calibri"/>
                <w:color w:val="auto"/>
                <w:szCs w:val="21"/>
              </w:rPr>
              <w:t>装置</w:t>
            </w:r>
          </w:p>
        </w:tc>
        <w:tc>
          <w:tcPr>
            <w:tcW w:w="1701" w:type="dxa"/>
            <w:vAlign w:val="center"/>
          </w:tcPr>
          <w:p w14:paraId="10B23353" w14:textId="77777777" w:rsidR="00222C9F" w:rsidRPr="00A964FF" w:rsidRDefault="00222C9F" w:rsidP="00222C9F">
            <w:pPr>
              <w:jc w:val="center"/>
              <w:rPr>
                <w:rFonts w:ascii="Calibri" w:hAnsi="宋体" w:cs="Times New Roman"/>
                <w:color w:val="auto"/>
                <w:szCs w:val="21"/>
              </w:rPr>
            </w:pPr>
            <w:r>
              <w:rPr>
                <w:rFonts w:asciiTheme="minorHAnsi" w:hAnsiTheme="minorHAnsi" w:cstheme="minorHAnsi" w:hint="eastAsia"/>
                <w:color w:val="auto"/>
                <w:szCs w:val="21"/>
              </w:rPr>
              <w:t>水泵</w:t>
            </w:r>
          </w:p>
        </w:tc>
        <w:tc>
          <w:tcPr>
            <w:tcW w:w="1134" w:type="dxa"/>
            <w:vAlign w:val="center"/>
          </w:tcPr>
          <w:p w14:paraId="1F67B4F8" w14:textId="77777777" w:rsidR="00222C9F" w:rsidRPr="00964557" w:rsidRDefault="00222C9F" w:rsidP="00222C9F">
            <w:pPr>
              <w:jc w:val="center"/>
              <w:rPr>
                <w:rFonts w:ascii="Calibri" w:hAnsi="Calibri"/>
                <w:bCs/>
                <w:color w:val="auto"/>
                <w:szCs w:val="21"/>
              </w:rPr>
            </w:pPr>
            <w:r>
              <w:rPr>
                <w:rFonts w:ascii="Calibri" w:hAnsi="Calibri"/>
                <w:color w:val="auto"/>
                <w:szCs w:val="21"/>
              </w:rPr>
              <w:t>/</w:t>
            </w:r>
          </w:p>
        </w:tc>
        <w:tc>
          <w:tcPr>
            <w:tcW w:w="1323" w:type="dxa"/>
            <w:vAlign w:val="center"/>
          </w:tcPr>
          <w:p w14:paraId="68966250"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-9.2</w:t>
            </w:r>
          </w:p>
        </w:tc>
        <w:tc>
          <w:tcPr>
            <w:tcW w:w="1323" w:type="dxa"/>
            <w:vAlign w:val="center"/>
          </w:tcPr>
          <w:p w14:paraId="6C467731" w14:textId="77777777" w:rsidR="00222C9F" w:rsidRPr="00222C9F" w:rsidRDefault="00222C9F" w:rsidP="00222C9F">
            <w:pPr>
              <w:jc w:val="center"/>
              <w:rPr>
                <w:rFonts w:ascii="Calibri" w:hAnsi="Calibri"/>
                <w:bCs/>
                <w:color w:val="auto"/>
                <w:szCs w:val="21"/>
              </w:rPr>
            </w:pPr>
            <w:r w:rsidRPr="00222C9F">
              <w:rPr>
                <w:rFonts w:ascii="Calibri" w:hAnsi="Calibri" w:hint="eastAsia"/>
                <w:bCs/>
                <w:color w:val="auto"/>
                <w:szCs w:val="21"/>
              </w:rPr>
              <w:t>6.67</w:t>
            </w:r>
          </w:p>
        </w:tc>
        <w:tc>
          <w:tcPr>
            <w:tcW w:w="1323" w:type="dxa"/>
            <w:vAlign w:val="center"/>
          </w:tcPr>
          <w:p w14:paraId="665794B9" w14:textId="77777777" w:rsidR="00222C9F" w:rsidRDefault="00222C9F" w:rsidP="00222C9F">
            <w:pPr>
              <w:jc w:val="center"/>
              <w:rPr>
                <w:rFonts w:ascii="Calibri" w:hAnsi="Calibri"/>
                <w:bCs/>
                <w:color w:val="auto"/>
                <w:szCs w:val="21"/>
              </w:rPr>
            </w:pPr>
            <w:r>
              <w:rPr>
                <w:rFonts w:ascii="Calibri" w:hAnsi="Calibri" w:hint="eastAsia"/>
                <w:bCs/>
                <w:color w:val="auto"/>
                <w:szCs w:val="21"/>
              </w:rPr>
              <w:t>0</w:t>
            </w:r>
            <w:r>
              <w:rPr>
                <w:rFonts w:ascii="Calibri" w:hAnsi="Calibri"/>
                <w:bCs/>
                <w:color w:val="auto"/>
                <w:szCs w:val="21"/>
              </w:rPr>
              <w:t>.5</w:t>
            </w:r>
          </w:p>
        </w:tc>
        <w:tc>
          <w:tcPr>
            <w:tcW w:w="1275" w:type="dxa"/>
            <w:vAlign w:val="center"/>
          </w:tcPr>
          <w:p w14:paraId="48F17C36" w14:textId="77777777" w:rsidR="00222C9F" w:rsidRDefault="00222C9F" w:rsidP="00222C9F">
            <w:pPr>
              <w:widowControl/>
              <w:jc w:val="center"/>
              <w:rPr>
                <w:rFonts w:ascii="Calibri" w:hAnsi="Calibri"/>
                <w:kern w:val="0"/>
                <w:szCs w:val="21"/>
              </w:rPr>
            </w:pPr>
            <w:r>
              <w:rPr>
                <w:rFonts w:ascii="Calibri" w:hAnsi="Calibri" w:hint="eastAsia"/>
                <w:kern w:val="0"/>
                <w:szCs w:val="21"/>
              </w:rPr>
              <w:t>85</w:t>
            </w:r>
          </w:p>
        </w:tc>
        <w:tc>
          <w:tcPr>
            <w:tcW w:w="1985" w:type="dxa"/>
            <w:vAlign w:val="center"/>
          </w:tcPr>
          <w:p w14:paraId="7336F8E2" w14:textId="77777777" w:rsidR="00222C9F" w:rsidRPr="0086327A" w:rsidRDefault="00222C9F" w:rsidP="00222C9F">
            <w:pPr>
              <w:jc w:val="center"/>
              <w:rPr>
                <w:rFonts w:asciiTheme="minorHAnsi" w:hAnsiTheme="minorHAnsi"/>
                <w:bCs/>
                <w:color w:val="auto"/>
                <w:szCs w:val="21"/>
              </w:rPr>
            </w:pPr>
            <w:r>
              <w:rPr>
                <w:rFonts w:asciiTheme="minorHAnsi" w:hAnsiTheme="minorHAnsi" w:hint="eastAsia"/>
                <w:bCs/>
                <w:color w:val="auto"/>
                <w:szCs w:val="21"/>
              </w:rPr>
              <w:t>基础减振</w:t>
            </w:r>
          </w:p>
        </w:tc>
        <w:tc>
          <w:tcPr>
            <w:tcW w:w="1660" w:type="dxa"/>
            <w:vAlign w:val="center"/>
          </w:tcPr>
          <w:p w14:paraId="1EF6EB11" w14:textId="77777777" w:rsidR="00222C9F" w:rsidRPr="00964557" w:rsidRDefault="00222C9F" w:rsidP="00222C9F">
            <w:pPr>
              <w:jc w:val="center"/>
              <w:rPr>
                <w:rFonts w:ascii="Calibri" w:hAnsi="Calibri"/>
                <w:bCs/>
                <w:color w:val="auto"/>
                <w:szCs w:val="21"/>
              </w:rPr>
            </w:pPr>
            <w:r w:rsidRPr="0086327A">
              <w:rPr>
                <w:rFonts w:asciiTheme="minorHAnsi" w:hAnsiTheme="minorHAnsi"/>
                <w:noProof/>
              </w:rPr>
              <w:t>00:00-24:00</w:t>
            </w:r>
          </w:p>
        </w:tc>
      </w:tr>
    </w:tbl>
    <w:p w14:paraId="26865A64" w14:textId="77777777" w:rsidR="00222C9F" w:rsidRPr="00E9636E" w:rsidRDefault="00222C9F" w:rsidP="00222C9F">
      <w:pPr>
        <w:spacing w:line="520" w:lineRule="exact"/>
        <w:ind w:firstLineChars="200" w:firstLine="420"/>
        <w:jc w:val="left"/>
        <w:rPr>
          <w:rFonts w:asciiTheme="minorEastAsia" w:eastAsiaTheme="minorEastAsia" w:hAnsiTheme="minorEastAsia"/>
          <w:bCs/>
          <w:color w:val="auto"/>
          <w:szCs w:val="21"/>
        </w:rPr>
      </w:pPr>
      <w:r w:rsidRPr="00E9636E">
        <w:rPr>
          <w:rFonts w:asciiTheme="minorEastAsia" w:eastAsiaTheme="minorEastAsia" w:hAnsiTheme="minorEastAsia" w:hint="eastAsia"/>
          <w:bCs/>
          <w:color w:val="auto"/>
          <w:szCs w:val="21"/>
        </w:rPr>
        <w:t>备注</w:t>
      </w:r>
      <w:r w:rsidRPr="00E9636E">
        <w:rPr>
          <w:rFonts w:asciiTheme="minorEastAsia" w:eastAsiaTheme="minorEastAsia" w:hAnsiTheme="minorEastAsia"/>
          <w:bCs/>
          <w:color w:val="auto"/>
          <w:szCs w:val="21"/>
        </w:rPr>
        <w:t>：</w:t>
      </w:r>
      <w:r w:rsidRPr="00E9636E">
        <w:rPr>
          <w:rFonts w:asciiTheme="minorEastAsia" w:eastAsiaTheme="minorEastAsia" w:hAnsiTheme="minorEastAsia" w:hint="eastAsia"/>
          <w:bCs/>
          <w:color w:val="auto"/>
          <w:szCs w:val="21"/>
        </w:rPr>
        <w:t>本次</w:t>
      </w:r>
      <w:r w:rsidRPr="00E9636E">
        <w:rPr>
          <w:rFonts w:asciiTheme="minorEastAsia" w:eastAsiaTheme="minorEastAsia" w:hAnsiTheme="minorEastAsia"/>
          <w:bCs/>
          <w:color w:val="auto"/>
          <w:szCs w:val="21"/>
        </w:rPr>
        <w:t>评价以</w:t>
      </w:r>
      <w:r>
        <w:rPr>
          <w:rFonts w:asciiTheme="minorEastAsia" w:eastAsiaTheme="minorEastAsia" w:hAnsiTheme="minorEastAsia" w:hint="eastAsia"/>
          <w:bCs/>
          <w:color w:val="auto"/>
          <w:szCs w:val="21"/>
        </w:rPr>
        <w:t>生产</w:t>
      </w:r>
      <w:r>
        <w:rPr>
          <w:rFonts w:asciiTheme="minorEastAsia" w:eastAsiaTheme="minorEastAsia" w:hAnsiTheme="minorEastAsia"/>
          <w:bCs/>
          <w:color w:val="auto"/>
          <w:szCs w:val="21"/>
        </w:rPr>
        <w:t>车间</w:t>
      </w:r>
      <w:r w:rsidRPr="00E9636E">
        <w:rPr>
          <w:rFonts w:asciiTheme="minorEastAsia" w:eastAsiaTheme="minorEastAsia" w:hAnsiTheme="minorEastAsia" w:hint="eastAsia"/>
          <w:bCs/>
          <w:color w:val="auto"/>
          <w:szCs w:val="21"/>
        </w:rPr>
        <w:t>中心</w:t>
      </w:r>
      <w:r w:rsidRPr="00E9636E">
        <w:rPr>
          <w:rFonts w:asciiTheme="minorEastAsia" w:eastAsiaTheme="minorEastAsia" w:hAnsiTheme="minorEastAsia"/>
          <w:bCs/>
          <w:color w:val="auto"/>
          <w:szCs w:val="21"/>
        </w:rPr>
        <w:t>位</w:t>
      </w:r>
      <w:r w:rsidRPr="00E9636E">
        <w:rPr>
          <w:rFonts w:asciiTheme="minorEastAsia" w:eastAsiaTheme="minorEastAsia" w:hAnsiTheme="minorEastAsia"/>
          <w:color w:val="auto"/>
        </w:rPr>
        <w:t>置为</w:t>
      </w:r>
      <w:r w:rsidRPr="00E9636E">
        <w:rPr>
          <w:rFonts w:asciiTheme="minorEastAsia" w:eastAsiaTheme="minorEastAsia" w:hAnsiTheme="minorEastAsia" w:hint="eastAsia"/>
          <w:color w:val="auto"/>
        </w:rPr>
        <w:t>坐标原点</w:t>
      </w:r>
      <w:r>
        <w:rPr>
          <w:rFonts w:asciiTheme="minorEastAsia" w:eastAsiaTheme="minorEastAsia" w:hAnsiTheme="minorEastAsia" w:hint="eastAsia"/>
          <w:color w:val="auto"/>
        </w:rPr>
        <w:t>。</w:t>
      </w:r>
    </w:p>
    <w:p w14:paraId="0B46669B" w14:textId="77777777" w:rsidR="006D3271" w:rsidRPr="00222C9F" w:rsidRDefault="006D3271" w:rsidP="0055605A">
      <w:pPr>
        <w:pStyle w:val="00"/>
        <w:jc w:val="left"/>
        <w:rPr>
          <w:rFonts w:ascii="Calibri" w:hAnsi="Calibri"/>
          <w:color w:val="auto"/>
        </w:rPr>
      </w:pPr>
    </w:p>
    <w:p w14:paraId="26DAF0BC" w14:textId="77777777" w:rsidR="006D3271" w:rsidRDefault="006D3271" w:rsidP="0055605A">
      <w:pPr>
        <w:pStyle w:val="00"/>
        <w:jc w:val="left"/>
        <w:rPr>
          <w:rFonts w:ascii="Calibri" w:hAnsi="Calibri"/>
          <w:color w:val="auto"/>
        </w:rPr>
      </w:pPr>
    </w:p>
    <w:p w14:paraId="385222C5" w14:textId="77777777" w:rsidR="00587A72" w:rsidRDefault="00587A72" w:rsidP="0055605A">
      <w:pPr>
        <w:pStyle w:val="00"/>
        <w:jc w:val="left"/>
        <w:rPr>
          <w:rFonts w:ascii="Calibri" w:hAnsi="Calibri"/>
          <w:color w:val="auto"/>
        </w:rPr>
      </w:pPr>
    </w:p>
    <w:p w14:paraId="420C9FD1" w14:textId="77777777" w:rsidR="00587A72" w:rsidRDefault="00587A72" w:rsidP="00587A72">
      <w:pPr>
        <w:pStyle w:val="00"/>
        <w:ind w:firstLine="0"/>
        <w:jc w:val="left"/>
        <w:rPr>
          <w:rFonts w:ascii="Calibri" w:hAnsi="Calibri"/>
          <w:color w:val="auto"/>
        </w:rPr>
      </w:pPr>
    </w:p>
    <w:p w14:paraId="795BF894" w14:textId="77777777" w:rsidR="00587A72" w:rsidRDefault="00587A72" w:rsidP="0055605A">
      <w:pPr>
        <w:pStyle w:val="00"/>
        <w:jc w:val="left"/>
        <w:rPr>
          <w:rFonts w:ascii="Calibri" w:hAnsi="Calibri"/>
          <w:color w:val="auto"/>
        </w:rPr>
        <w:sectPr w:rsidR="00587A72" w:rsidSect="00587A72">
          <w:pgSz w:w="16838" w:h="11906" w:orient="landscape" w:code="9"/>
          <w:pgMar w:top="1588" w:right="1440" w:bottom="1588" w:left="1440" w:header="851" w:footer="992" w:gutter="0"/>
          <w:cols w:space="720"/>
          <w:docGrid w:linePitch="312"/>
        </w:sectPr>
      </w:pPr>
    </w:p>
    <w:p w14:paraId="585C35EF" w14:textId="77777777" w:rsidR="007B60D7" w:rsidRPr="007B60D7" w:rsidRDefault="0055605A" w:rsidP="007B60D7">
      <w:pPr>
        <w:pStyle w:val="ad"/>
        <w:rPr>
          <w:rFonts w:ascii="Calibri" w:hAnsi="Calibri"/>
          <w:color w:val="auto"/>
          <w:sz w:val="24"/>
        </w:rPr>
      </w:pPr>
      <w:r w:rsidRPr="00A964FF">
        <w:rPr>
          <w:rFonts w:ascii="Calibri" w:hAnsi="Calibri" w:hint="eastAsia"/>
          <w:color w:val="auto"/>
        </w:rPr>
        <w:lastRenderedPageBreak/>
        <w:t>2.3.4</w:t>
      </w:r>
      <w:r w:rsidRPr="00A964FF">
        <w:rPr>
          <w:rFonts w:ascii="Calibri" w:hAnsi="Calibri" w:hint="eastAsia"/>
          <w:color w:val="auto"/>
        </w:rPr>
        <w:t>固体废物</w:t>
      </w:r>
    </w:p>
    <w:p w14:paraId="648DE884" w14:textId="77777777" w:rsidR="004E1825" w:rsidRPr="005D2D87" w:rsidRDefault="004E1825" w:rsidP="005D2D87">
      <w:pPr>
        <w:pStyle w:val="00"/>
        <w:rPr>
          <w:rFonts w:ascii="Calibri" w:hAnsi="Calibri"/>
          <w:b/>
          <w:color w:val="auto"/>
          <w:u w:val="single"/>
        </w:rPr>
      </w:pPr>
      <w:r w:rsidRPr="005D2D87">
        <w:rPr>
          <w:rFonts w:ascii="Calibri" w:hAnsi="Calibri" w:hint="eastAsia"/>
          <w:b/>
          <w:color w:val="auto"/>
          <w:u w:val="single"/>
        </w:rPr>
        <w:t>本项目</w:t>
      </w:r>
      <w:r w:rsidR="00DD4535" w:rsidRPr="005D2D87">
        <w:rPr>
          <w:rFonts w:ascii="Calibri" w:hAnsi="Calibri"/>
          <w:b/>
          <w:color w:val="auto"/>
          <w:u w:val="single"/>
        </w:rPr>
        <w:t>一期、二期</w:t>
      </w:r>
      <w:r w:rsidR="00DD4535" w:rsidRPr="005D2D87">
        <w:rPr>
          <w:rFonts w:ascii="Calibri" w:hAnsi="Calibri" w:hint="eastAsia"/>
          <w:b/>
          <w:color w:val="auto"/>
          <w:u w:val="single"/>
        </w:rPr>
        <w:t>工程</w:t>
      </w:r>
      <w:r w:rsidR="005D2D87" w:rsidRPr="005D2D87">
        <w:rPr>
          <w:rFonts w:ascii="Calibri" w:hAnsi="Calibri" w:hint="eastAsia"/>
          <w:b/>
          <w:color w:val="auto"/>
          <w:u w:val="single"/>
        </w:rPr>
        <w:t>工艺</w:t>
      </w:r>
      <w:r w:rsidR="005D2D87" w:rsidRPr="005D2D87">
        <w:rPr>
          <w:rFonts w:ascii="Calibri" w:hAnsi="Calibri"/>
          <w:b/>
          <w:color w:val="auto"/>
          <w:u w:val="single"/>
        </w:rPr>
        <w:t>流程</w:t>
      </w:r>
      <w:r w:rsidR="005D2D87" w:rsidRPr="005D2D87">
        <w:rPr>
          <w:rFonts w:ascii="Calibri" w:hAnsi="Calibri" w:hint="eastAsia"/>
          <w:b/>
          <w:color w:val="auto"/>
          <w:u w:val="single"/>
        </w:rPr>
        <w:t>相同</w:t>
      </w:r>
      <w:r w:rsidR="005D2D87" w:rsidRPr="005D2D87">
        <w:rPr>
          <w:rFonts w:ascii="Calibri" w:hAnsi="Calibri"/>
          <w:b/>
          <w:color w:val="auto"/>
          <w:u w:val="single"/>
        </w:rPr>
        <w:t>，</w:t>
      </w:r>
      <w:r w:rsidRPr="005D2D87">
        <w:rPr>
          <w:rFonts w:ascii="Calibri" w:hAnsi="Calibri" w:hint="eastAsia"/>
          <w:b/>
          <w:color w:val="auto"/>
          <w:u w:val="single"/>
        </w:rPr>
        <w:t>固体废物主要为原料拆包产生的废包装材料、不合格产品、废导热油、</w:t>
      </w:r>
      <w:r w:rsidR="009775D9" w:rsidRPr="005D2D87">
        <w:rPr>
          <w:rFonts w:ascii="Calibri" w:hAnsi="Calibri" w:hint="eastAsia"/>
          <w:b/>
          <w:color w:val="auto"/>
          <w:u w:val="single"/>
        </w:rPr>
        <w:t>废机油</w:t>
      </w:r>
      <w:r w:rsidR="009775D9" w:rsidRPr="005D2D87">
        <w:rPr>
          <w:rFonts w:ascii="Calibri" w:hAnsi="Calibri"/>
          <w:b/>
          <w:color w:val="auto"/>
          <w:u w:val="single"/>
        </w:rPr>
        <w:t>、</w:t>
      </w:r>
      <w:r w:rsidRPr="005D2D87">
        <w:rPr>
          <w:rFonts w:ascii="Calibri" w:hAnsi="Calibri" w:hint="eastAsia"/>
          <w:b/>
          <w:color w:val="auto"/>
          <w:u w:val="single"/>
        </w:rPr>
        <w:t>污水站污泥、</w:t>
      </w:r>
      <w:r w:rsidR="009775D9" w:rsidRPr="005D2D87">
        <w:rPr>
          <w:rFonts w:ascii="Calibri" w:hAnsi="Calibri" w:hint="eastAsia"/>
          <w:b/>
          <w:color w:val="auto"/>
          <w:u w:val="single"/>
        </w:rPr>
        <w:t>废气</w:t>
      </w:r>
      <w:r w:rsidR="009775D9" w:rsidRPr="005D2D87">
        <w:rPr>
          <w:rFonts w:ascii="Calibri" w:hAnsi="Calibri"/>
          <w:b/>
          <w:color w:val="auto"/>
          <w:u w:val="single"/>
        </w:rPr>
        <w:t>处理装置产生的</w:t>
      </w:r>
      <w:r w:rsidR="009775D9" w:rsidRPr="005D2D87">
        <w:rPr>
          <w:rFonts w:ascii="Calibri" w:hAnsi="Calibri" w:hint="eastAsia"/>
          <w:b/>
          <w:color w:val="auto"/>
          <w:u w:val="single"/>
        </w:rPr>
        <w:t>废灯管</w:t>
      </w:r>
      <w:r w:rsidR="009775D9" w:rsidRPr="005D2D87">
        <w:rPr>
          <w:rFonts w:ascii="Calibri" w:hAnsi="Calibri"/>
          <w:b/>
          <w:color w:val="auto"/>
          <w:u w:val="single"/>
        </w:rPr>
        <w:t>及活性炭</w:t>
      </w:r>
      <w:r w:rsidR="009775D9" w:rsidRPr="005D2D87">
        <w:rPr>
          <w:rFonts w:ascii="Calibri" w:hAnsi="Calibri" w:hint="eastAsia"/>
          <w:b/>
          <w:color w:val="auto"/>
          <w:u w:val="single"/>
        </w:rPr>
        <w:t>、</w:t>
      </w:r>
      <w:r w:rsidR="005D2D87" w:rsidRPr="005D2D87">
        <w:rPr>
          <w:rFonts w:ascii="Calibri" w:hAnsi="Calibri" w:hint="eastAsia"/>
          <w:b/>
          <w:color w:val="auto"/>
          <w:u w:val="single"/>
        </w:rPr>
        <w:t>品控</w:t>
      </w:r>
      <w:r w:rsidR="005D2D87" w:rsidRPr="005D2D87">
        <w:rPr>
          <w:rFonts w:ascii="Calibri" w:hAnsi="Calibri"/>
          <w:b/>
          <w:color w:val="auto"/>
          <w:u w:val="single"/>
        </w:rPr>
        <w:t>中心</w:t>
      </w:r>
      <w:r w:rsidR="0068469D" w:rsidRPr="005D2D87">
        <w:rPr>
          <w:rFonts w:ascii="Calibri" w:hAnsi="Calibri"/>
          <w:b/>
          <w:color w:val="auto"/>
          <w:u w:val="single"/>
        </w:rPr>
        <w:t>废物、</w:t>
      </w:r>
      <w:r w:rsidRPr="005D2D87">
        <w:rPr>
          <w:rFonts w:ascii="Calibri" w:hAnsi="Calibri" w:hint="eastAsia"/>
          <w:b/>
          <w:color w:val="auto"/>
          <w:u w:val="single"/>
        </w:rPr>
        <w:t>员工生活垃圾</w:t>
      </w:r>
      <w:r w:rsidR="001A4912" w:rsidRPr="005D2D87">
        <w:rPr>
          <w:rFonts w:ascii="Calibri" w:hAnsi="Calibri" w:hint="eastAsia"/>
          <w:b/>
          <w:color w:val="auto"/>
          <w:u w:val="single"/>
        </w:rPr>
        <w:t>等，其中废导热油</w:t>
      </w:r>
      <w:r w:rsidR="009775D9" w:rsidRPr="005D2D87">
        <w:rPr>
          <w:rFonts w:ascii="Calibri" w:hAnsi="Calibri" w:hint="eastAsia"/>
          <w:b/>
          <w:color w:val="auto"/>
          <w:u w:val="single"/>
        </w:rPr>
        <w:t>、</w:t>
      </w:r>
      <w:r w:rsidR="009775D9" w:rsidRPr="005D2D87">
        <w:rPr>
          <w:rFonts w:ascii="Calibri" w:hAnsi="Calibri"/>
          <w:b/>
          <w:color w:val="auto"/>
          <w:u w:val="single"/>
        </w:rPr>
        <w:t>废灯管</w:t>
      </w:r>
      <w:r w:rsidR="009775D9" w:rsidRPr="005D2D87">
        <w:rPr>
          <w:rFonts w:ascii="Calibri" w:hAnsi="Calibri" w:hint="eastAsia"/>
          <w:b/>
          <w:color w:val="auto"/>
          <w:u w:val="single"/>
        </w:rPr>
        <w:t>、</w:t>
      </w:r>
      <w:r w:rsidR="009775D9" w:rsidRPr="005D2D87">
        <w:rPr>
          <w:rFonts w:ascii="Calibri" w:hAnsi="Calibri"/>
          <w:b/>
          <w:color w:val="auto"/>
          <w:u w:val="single"/>
        </w:rPr>
        <w:t>废活性炭</w:t>
      </w:r>
      <w:r w:rsidR="00C636CC" w:rsidRPr="005D2D87">
        <w:rPr>
          <w:rFonts w:ascii="Calibri" w:hAnsi="Calibri" w:hint="eastAsia"/>
          <w:b/>
          <w:color w:val="auto"/>
          <w:u w:val="single"/>
        </w:rPr>
        <w:t>、</w:t>
      </w:r>
      <w:r w:rsidR="00C636CC" w:rsidRPr="005D2D87">
        <w:rPr>
          <w:rFonts w:ascii="Calibri" w:hAnsi="Calibri"/>
          <w:b/>
          <w:color w:val="auto"/>
          <w:u w:val="single"/>
        </w:rPr>
        <w:t>废机油、</w:t>
      </w:r>
      <w:r w:rsidR="005D2D87" w:rsidRPr="005D2D87">
        <w:rPr>
          <w:rFonts w:ascii="Calibri" w:hAnsi="Calibri" w:hint="eastAsia"/>
          <w:b/>
          <w:color w:val="auto"/>
          <w:u w:val="single"/>
        </w:rPr>
        <w:t>品控</w:t>
      </w:r>
      <w:r w:rsidR="005D2D87" w:rsidRPr="005D2D87">
        <w:rPr>
          <w:rFonts w:ascii="Calibri" w:hAnsi="Calibri"/>
          <w:b/>
          <w:color w:val="auto"/>
          <w:u w:val="single"/>
        </w:rPr>
        <w:t>中心废物</w:t>
      </w:r>
      <w:r w:rsidR="009775D9" w:rsidRPr="005D2D87">
        <w:rPr>
          <w:rFonts w:ascii="Calibri" w:hAnsi="Calibri" w:hint="eastAsia"/>
          <w:b/>
          <w:color w:val="auto"/>
          <w:u w:val="single"/>
        </w:rPr>
        <w:t>为</w:t>
      </w:r>
      <w:r w:rsidRPr="005D2D87">
        <w:rPr>
          <w:rFonts w:ascii="Calibri" w:hAnsi="Calibri" w:hint="eastAsia"/>
          <w:b/>
          <w:color w:val="auto"/>
          <w:u w:val="single"/>
        </w:rPr>
        <w:t>危险废物；</w:t>
      </w:r>
      <w:r w:rsidR="00C24F24" w:rsidRPr="005D2D87">
        <w:rPr>
          <w:rFonts w:ascii="Calibri" w:hAnsi="Calibri"/>
          <w:b/>
          <w:color w:val="auto"/>
          <w:u w:val="single"/>
        </w:rPr>
        <w:t>污水处理站污泥</w:t>
      </w:r>
      <w:r w:rsidRPr="005D2D87">
        <w:rPr>
          <w:rFonts w:ascii="Calibri" w:hAnsi="Calibri" w:hint="eastAsia"/>
          <w:b/>
          <w:color w:val="auto"/>
          <w:u w:val="single"/>
        </w:rPr>
        <w:t>、</w:t>
      </w:r>
      <w:r w:rsidR="00C636CC" w:rsidRPr="005D2D87">
        <w:rPr>
          <w:rFonts w:ascii="Calibri" w:hAnsi="Calibri" w:hint="eastAsia"/>
          <w:b/>
          <w:color w:val="auto"/>
          <w:u w:val="single"/>
        </w:rPr>
        <w:t>原料拆包产生的废包装材料、</w:t>
      </w:r>
      <w:r w:rsidRPr="005D2D87">
        <w:rPr>
          <w:rFonts w:ascii="Calibri" w:hAnsi="Calibri" w:hint="eastAsia"/>
          <w:b/>
          <w:color w:val="auto"/>
          <w:u w:val="single"/>
        </w:rPr>
        <w:t>纯水制备废反渗透膜、员工生活垃圾为一般固废。</w:t>
      </w:r>
    </w:p>
    <w:p w14:paraId="331DEFDD" w14:textId="77777777" w:rsidR="00095C45" w:rsidRDefault="00095C45" w:rsidP="00095C45">
      <w:pPr>
        <w:pStyle w:val="00"/>
        <w:ind w:firstLineChars="196" w:firstLine="470"/>
        <w:rPr>
          <w:rFonts w:ascii="Calibri" w:hAnsi="Calibri"/>
          <w:b/>
          <w:color w:val="auto"/>
        </w:rPr>
      </w:pPr>
      <w:r>
        <w:rPr>
          <w:rFonts w:ascii="Calibri" w:hAnsi="Calibri" w:hint="eastAsia"/>
          <w:color w:val="auto"/>
        </w:rPr>
        <w:t>本项目</w:t>
      </w:r>
      <w:r w:rsidR="00C636CC" w:rsidRPr="00095C45">
        <w:rPr>
          <w:rFonts w:ascii="Calibri" w:hAnsi="Calibri" w:hint="eastAsia"/>
          <w:color w:val="auto"/>
        </w:rPr>
        <w:t>瑕疵产品</w:t>
      </w:r>
      <w:r w:rsidRPr="00095C45">
        <w:rPr>
          <w:rFonts w:ascii="Calibri" w:hAnsi="Calibri" w:hint="eastAsia"/>
          <w:color w:val="auto"/>
        </w:rPr>
        <w:t>主要成分与产品</w:t>
      </w:r>
      <w:r w:rsidR="00C636CC">
        <w:rPr>
          <w:rFonts w:ascii="Calibri" w:hAnsi="Calibri" w:hint="eastAsia"/>
          <w:color w:val="auto"/>
        </w:rPr>
        <w:t>透明尼龙</w:t>
      </w:r>
      <w:r w:rsidRPr="00095C45">
        <w:rPr>
          <w:rFonts w:ascii="Calibri" w:hAnsi="Calibri" w:hint="eastAsia"/>
          <w:color w:val="auto"/>
        </w:rPr>
        <w:t>相同，</w:t>
      </w:r>
      <w:r w:rsidR="00C636CC">
        <w:rPr>
          <w:rFonts w:ascii="Calibri" w:hAnsi="Calibri" w:hint="eastAsia"/>
          <w:color w:val="auto"/>
        </w:rPr>
        <w:t>可</w:t>
      </w:r>
      <w:r w:rsidRPr="00095C45">
        <w:rPr>
          <w:rFonts w:ascii="Calibri" w:hAnsi="Calibri" w:hint="eastAsia"/>
          <w:color w:val="auto"/>
        </w:rPr>
        <w:t>作为低级产品外售，故瑕疵产品均不作为固废。</w:t>
      </w:r>
    </w:p>
    <w:p w14:paraId="1E87B7F2" w14:textId="77777777" w:rsidR="00AB5793" w:rsidRPr="00A964FF" w:rsidRDefault="009775D9" w:rsidP="000E15EB">
      <w:pPr>
        <w:pStyle w:val="00"/>
        <w:ind w:firstLineChars="196" w:firstLine="472"/>
        <w:rPr>
          <w:rFonts w:ascii="Calibri" w:hAnsi="Calibri"/>
          <w:b/>
          <w:color w:val="auto"/>
        </w:rPr>
      </w:pPr>
      <w:r>
        <w:rPr>
          <w:rFonts w:ascii="Calibri" w:hAnsi="Calibri"/>
          <w:b/>
          <w:color w:val="auto"/>
        </w:rPr>
        <w:t>1</w:t>
      </w:r>
      <w:r w:rsidR="00AB5793" w:rsidRPr="00A964FF">
        <w:rPr>
          <w:rFonts w:ascii="Calibri" w:hAnsi="Calibri" w:hint="eastAsia"/>
          <w:b/>
          <w:color w:val="auto"/>
        </w:rPr>
        <w:t>、废原料包装物</w:t>
      </w:r>
    </w:p>
    <w:p w14:paraId="57A87D67" w14:textId="77777777" w:rsidR="000E15EB" w:rsidRPr="005D2D87" w:rsidRDefault="009775D9" w:rsidP="009775D9">
      <w:pPr>
        <w:pStyle w:val="00"/>
        <w:ind w:firstLineChars="200" w:firstLine="482"/>
        <w:rPr>
          <w:rFonts w:ascii="Calibri" w:hAnsi="Calibri"/>
          <w:b/>
          <w:color w:val="auto"/>
          <w:u w:val="single"/>
        </w:rPr>
      </w:pPr>
      <w:r w:rsidRPr="005D2D87">
        <w:rPr>
          <w:rFonts w:ascii="Calibri" w:hAnsi="Calibri" w:hint="eastAsia"/>
          <w:b/>
          <w:color w:val="auto"/>
          <w:u w:val="single"/>
        </w:rPr>
        <w:t>本项目</w:t>
      </w:r>
      <w:r w:rsidRPr="005D2D87">
        <w:rPr>
          <w:rFonts w:ascii="Calibri" w:hAnsi="Calibri" w:hint="eastAsia"/>
          <w:b/>
          <w:color w:val="auto"/>
          <w:szCs w:val="21"/>
          <w:u w:val="single"/>
        </w:rPr>
        <w:t>尼龙</w:t>
      </w:r>
      <w:r w:rsidRPr="005D2D87">
        <w:rPr>
          <w:rFonts w:ascii="Calibri" w:hAnsi="Calibri" w:hint="eastAsia"/>
          <w:b/>
          <w:color w:val="auto"/>
          <w:szCs w:val="21"/>
          <w:u w:val="single"/>
        </w:rPr>
        <w:t>66</w:t>
      </w:r>
      <w:r w:rsidRPr="005D2D87">
        <w:rPr>
          <w:rFonts w:ascii="Calibri" w:hAnsi="Calibri" w:hint="eastAsia"/>
          <w:b/>
          <w:color w:val="auto"/>
          <w:szCs w:val="21"/>
          <w:u w:val="single"/>
        </w:rPr>
        <w:t>盐采用桶装</w:t>
      </w:r>
      <w:r w:rsidRPr="005D2D87">
        <w:rPr>
          <w:rFonts w:ascii="Calibri" w:hAnsi="Calibri"/>
          <w:b/>
          <w:color w:val="auto"/>
          <w:szCs w:val="21"/>
          <w:u w:val="single"/>
        </w:rPr>
        <w:t>，</w:t>
      </w:r>
      <w:r w:rsidRPr="005D2D87">
        <w:rPr>
          <w:rFonts w:ascii="Calibri" w:hAnsi="Calibri" w:hint="eastAsia"/>
          <w:b/>
          <w:color w:val="auto"/>
          <w:szCs w:val="21"/>
          <w:u w:val="single"/>
        </w:rPr>
        <w:t>尼龙</w:t>
      </w:r>
      <w:r w:rsidRPr="005D2D87">
        <w:rPr>
          <w:rFonts w:ascii="Calibri" w:hAnsi="Calibri" w:hint="eastAsia"/>
          <w:b/>
          <w:color w:val="auto"/>
          <w:szCs w:val="21"/>
          <w:u w:val="single"/>
        </w:rPr>
        <w:t>1010</w:t>
      </w:r>
      <w:r w:rsidRPr="005D2D87">
        <w:rPr>
          <w:rFonts w:ascii="Calibri" w:hAnsi="Calibri" w:hint="eastAsia"/>
          <w:b/>
          <w:color w:val="auto"/>
          <w:szCs w:val="21"/>
          <w:u w:val="single"/>
        </w:rPr>
        <w:t>盐、尼龙</w:t>
      </w:r>
      <w:r w:rsidRPr="005D2D87">
        <w:rPr>
          <w:rFonts w:ascii="Calibri" w:hAnsi="Calibri" w:hint="eastAsia"/>
          <w:b/>
          <w:color w:val="auto"/>
          <w:szCs w:val="21"/>
          <w:u w:val="single"/>
        </w:rPr>
        <w:t>12</w:t>
      </w:r>
      <w:r w:rsidRPr="005D2D87">
        <w:rPr>
          <w:rFonts w:ascii="Calibri" w:hAnsi="Calibri" w:hint="eastAsia"/>
          <w:b/>
          <w:color w:val="auto"/>
          <w:szCs w:val="21"/>
          <w:u w:val="single"/>
        </w:rPr>
        <w:t>盐、</w:t>
      </w:r>
      <w:r w:rsidRPr="005D2D87">
        <w:rPr>
          <w:rFonts w:ascii="Calibri" w:hAnsi="Calibri"/>
          <w:b/>
          <w:color w:val="auto"/>
          <w:szCs w:val="21"/>
          <w:u w:val="single"/>
        </w:rPr>
        <w:t>次磷酸钠</w:t>
      </w:r>
      <w:r w:rsidRPr="005D2D87">
        <w:rPr>
          <w:rFonts w:ascii="Calibri" w:hAnsi="Calibri" w:hint="eastAsia"/>
          <w:b/>
          <w:color w:val="auto"/>
          <w:szCs w:val="21"/>
          <w:u w:val="single"/>
        </w:rPr>
        <w:t>均采用袋装。</w:t>
      </w:r>
      <w:r w:rsidR="000E15EB" w:rsidRPr="005D2D87">
        <w:rPr>
          <w:rFonts w:ascii="Calibri" w:hAnsi="Calibri"/>
          <w:b/>
          <w:color w:val="auto"/>
          <w:u w:val="single"/>
        </w:rPr>
        <w:t>袋装原料在使用完毕后将产生废弃包装袋，桶装原料产生一定的废弃桶。根据《固体废物鉴别标准通则》（</w:t>
      </w:r>
      <w:r w:rsidR="000E15EB" w:rsidRPr="005D2D87">
        <w:rPr>
          <w:rFonts w:ascii="Calibri" w:hAnsi="Calibri"/>
          <w:b/>
          <w:color w:val="auto"/>
          <w:u w:val="single"/>
        </w:rPr>
        <w:t>GB34330-2017</w:t>
      </w:r>
      <w:r w:rsidR="000E15EB" w:rsidRPr="005D2D87">
        <w:rPr>
          <w:rFonts w:ascii="Calibri" w:hAnsi="Calibri"/>
          <w:b/>
          <w:color w:val="auto"/>
          <w:u w:val="single"/>
        </w:rPr>
        <w:t>），任何不需要修复和加工即可用于其原始用途的物质，或者在产生点经过修复和加工后满足国家、地方制定或行业通行的产品质量标准并且用于其原始用途的物质，不作为固体废物管理。厂区内的包装桶、袋妥善存放后，在原料供应企业运送原料时一并进行回收，用于其原始包装用途，不属于固体废物。</w:t>
      </w:r>
    </w:p>
    <w:p w14:paraId="75DFC4FC" w14:textId="77777777" w:rsidR="00053E85" w:rsidRPr="005D2D87" w:rsidRDefault="000E15EB" w:rsidP="00223E03">
      <w:pPr>
        <w:pStyle w:val="00"/>
        <w:ind w:firstLineChars="200" w:firstLine="482"/>
        <w:rPr>
          <w:rFonts w:ascii="Calibri" w:hAnsi="Calibri"/>
          <w:b/>
          <w:color w:val="auto"/>
          <w:u w:val="single"/>
        </w:rPr>
      </w:pPr>
      <w:r w:rsidRPr="005D2D87">
        <w:rPr>
          <w:rFonts w:ascii="Calibri" w:hAnsi="Calibri"/>
          <w:b/>
          <w:color w:val="auto"/>
          <w:u w:val="single"/>
        </w:rPr>
        <w:t>但在使用过程中可能存在包装袋因人为因素破损，不可回收用于再次包装，将废弃，应作为固废进行管理。根据企业提供经验数据，</w:t>
      </w:r>
      <w:r w:rsidR="00DD4535" w:rsidRPr="005D2D87">
        <w:rPr>
          <w:rFonts w:ascii="Calibri" w:hAnsi="Calibri" w:hint="eastAsia"/>
          <w:b/>
          <w:color w:val="auto"/>
          <w:u w:val="single"/>
        </w:rPr>
        <w:t>本项目</w:t>
      </w:r>
      <w:r w:rsidR="00DD4535" w:rsidRPr="005D2D87">
        <w:rPr>
          <w:rFonts w:ascii="Calibri" w:hAnsi="Calibri"/>
          <w:b/>
          <w:color w:val="auto"/>
          <w:u w:val="single"/>
        </w:rPr>
        <w:t>一期工程固废产生量为</w:t>
      </w:r>
      <w:r w:rsidR="00DD4535" w:rsidRPr="005D2D87">
        <w:rPr>
          <w:rFonts w:ascii="Calibri" w:hAnsi="Calibri" w:hint="eastAsia"/>
          <w:b/>
          <w:color w:val="auto"/>
          <w:u w:val="single"/>
        </w:rPr>
        <w:t>0.2</w:t>
      </w:r>
      <w:r w:rsidR="00DD4535" w:rsidRPr="005D2D87">
        <w:rPr>
          <w:rFonts w:ascii="Calibri" w:hAnsi="Calibri"/>
          <w:b/>
          <w:color w:val="auto"/>
          <w:u w:val="single"/>
        </w:rPr>
        <w:t>t/a</w:t>
      </w:r>
      <w:r w:rsidR="00DD4535" w:rsidRPr="005D2D87">
        <w:rPr>
          <w:rFonts w:ascii="Calibri" w:hAnsi="Calibri" w:hint="eastAsia"/>
          <w:b/>
          <w:color w:val="auto"/>
          <w:u w:val="single"/>
        </w:rPr>
        <w:t>，二期工程</w:t>
      </w:r>
      <w:r w:rsidR="00DD4535" w:rsidRPr="005D2D87">
        <w:rPr>
          <w:rFonts w:ascii="Calibri" w:hAnsi="Calibri"/>
          <w:b/>
          <w:color w:val="auto"/>
          <w:u w:val="single"/>
        </w:rPr>
        <w:t>该部分固废产生量为</w:t>
      </w:r>
      <w:r w:rsidR="00DD4535" w:rsidRPr="005D2D87">
        <w:rPr>
          <w:rFonts w:ascii="Calibri" w:hAnsi="Calibri" w:hint="eastAsia"/>
          <w:b/>
          <w:color w:val="auto"/>
          <w:u w:val="single"/>
        </w:rPr>
        <w:t>0.1</w:t>
      </w:r>
      <w:r w:rsidR="00DD4535" w:rsidRPr="005D2D87">
        <w:rPr>
          <w:rFonts w:ascii="Calibri" w:hAnsi="Calibri"/>
          <w:b/>
          <w:color w:val="auto"/>
          <w:u w:val="single"/>
        </w:rPr>
        <w:t>t/a</w:t>
      </w:r>
      <w:r w:rsidR="00DD4535" w:rsidRPr="005D2D87">
        <w:rPr>
          <w:rFonts w:ascii="Calibri" w:hAnsi="Calibri" w:hint="eastAsia"/>
          <w:b/>
          <w:color w:val="auto"/>
          <w:u w:val="single"/>
        </w:rPr>
        <w:t>。</w:t>
      </w:r>
      <w:r w:rsidR="00053E85" w:rsidRPr="005D2D87">
        <w:rPr>
          <w:rFonts w:ascii="Calibri" w:hAnsi="Calibri" w:hint="eastAsia"/>
          <w:b/>
          <w:color w:val="auto"/>
          <w:u w:val="single"/>
        </w:rPr>
        <w:t>经比对《危险化学品名录》，</w:t>
      </w:r>
      <w:r w:rsidR="00223E03" w:rsidRPr="005D2D87">
        <w:rPr>
          <w:rFonts w:ascii="Calibri" w:hAnsi="Calibri" w:hint="eastAsia"/>
          <w:b/>
          <w:color w:val="auto"/>
          <w:szCs w:val="21"/>
          <w:u w:val="single"/>
        </w:rPr>
        <w:t>尼龙</w:t>
      </w:r>
      <w:r w:rsidR="00223E03" w:rsidRPr="005D2D87">
        <w:rPr>
          <w:rFonts w:ascii="Calibri" w:hAnsi="Calibri" w:hint="eastAsia"/>
          <w:b/>
          <w:color w:val="auto"/>
          <w:szCs w:val="21"/>
          <w:u w:val="single"/>
        </w:rPr>
        <w:t>66</w:t>
      </w:r>
      <w:r w:rsidR="00223E03" w:rsidRPr="005D2D87">
        <w:rPr>
          <w:rFonts w:ascii="Calibri" w:hAnsi="Calibri" w:hint="eastAsia"/>
          <w:b/>
          <w:color w:val="auto"/>
          <w:szCs w:val="21"/>
          <w:u w:val="single"/>
        </w:rPr>
        <w:t>盐溶液</w:t>
      </w:r>
      <w:r w:rsidR="00223E03" w:rsidRPr="005D2D87">
        <w:rPr>
          <w:rFonts w:ascii="Calibri" w:hAnsi="Calibri"/>
          <w:b/>
          <w:color w:val="auto"/>
          <w:szCs w:val="21"/>
          <w:u w:val="single"/>
        </w:rPr>
        <w:t>、</w:t>
      </w:r>
      <w:r w:rsidR="00053E85" w:rsidRPr="005D2D87">
        <w:rPr>
          <w:rFonts w:ascii="Calibri" w:hAnsi="Calibri" w:hint="eastAsia"/>
          <w:b/>
          <w:color w:val="auto"/>
          <w:szCs w:val="21"/>
          <w:u w:val="single"/>
        </w:rPr>
        <w:t>尼龙</w:t>
      </w:r>
      <w:r w:rsidR="00053E85" w:rsidRPr="005D2D87">
        <w:rPr>
          <w:rFonts w:ascii="Calibri" w:hAnsi="Calibri" w:hint="eastAsia"/>
          <w:b/>
          <w:color w:val="auto"/>
          <w:szCs w:val="21"/>
          <w:u w:val="single"/>
        </w:rPr>
        <w:t>1010</w:t>
      </w:r>
      <w:r w:rsidR="00053E85" w:rsidRPr="005D2D87">
        <w:rPr>
          <w:rFonts w:ascii="Calibri" w:hAnsi="Calibri" w:hint="eastAsia"/>
          <w:b/>
          <w:color w:val="auto"/>
          <w:szCs w:val="21"/>
          <w:u w:val="single"/>
        </w:rPr>
        <w:t>盐、尼龙</w:t>
      </w:r>
      <w:r w:rsidR="00053E85" w:rsidRPr="005D2D87">
        <w:rPr>
          <w:rFonts w:ascii="Calibri" w:hAnsi="Calibri" w:hint="eastAsia"/>
          <w:b/>
          <w:color w:val="auto"/>
          <w:szCs w:val="21"/>
          <w:u w:val="single"/>
        </w:rPr>
        <w:t>12</w:t>
      </w:r>
      <w:r w:rsidR="00053E85" w:rsidRPr="005D2D87">
        <w:rPr>
          <w:rFonts w:ascii="Calibri" w:hAnsi="Calibri" w:hint="eastAsia"/>
          <w:b/>
          <w:color w:val="auto"/>
          <w:szCs w:val="21"/>
          <w:u w:val="single"/>
        </w:rPr>
        <w:t>盐、</w:t>
      </w:r>
      <w:r w:rsidR="00053E85" w:rsidRPr="005D2D87">
        <w:rPr>
          <w:rFonts w:ascii="Calibri" w:hAnsi="Calibri"/>
          <w:b/>
          <w:color w:val="auto"/>
          <w:szCs w:val="21"/>
          <w:u w:val="single"/>
        </w:rPr>
        <w:t>次磷酸钠</w:t>
      </w:r>
      <w:r w:rsidR="00053E85" w:rsidRPr="005D2D87">
        <w:rPr>
          <w:rFonts w:ascii="Calibri" w:hAnsi="Calibri" w:hint="eastAsia"/>
          <w:b/>
          <w:color w:val="auto"/>
          <w:u w:val="single"/>
        </w:rPr>
        <w:t>均不属于危险化学品，因此，添加剂包装袋属一般固废，由废品回收公司回收处理。</w:t>
      </w:r>
    </w:p>
    <w:p w14:paraId="2494FF52" w14:textId="77777777" w:rsidR="00AB5793" w:rsidRPr="00A964FF" w:rsidRDefault="009775D9" w:rsidP="00AB5793">
      <w:pPr>
        <w:pStyle w:val="00"/>
        <w:rPr>
          <w:rFonts w:ascii="Calibri" w:hAnsi="Calibri"/>
          <w:b/>
          <w:color w:val="auto"/>
        </w:rPr>
      </w:pPr>
      <w:r>
        <w:rPr>
          <w:rFonts w:ascii="Calibri" w:hAnsi="Calibri"/>
          <w:b/>
          <w:color w:val="auto"/>
        </w:rPr>
        <w:t>2</w:t>
      </w:r>
      <w:r w:rsidR="00AB5793" w:rsidRPr="00A964FF">
        <w:rPr>
          <w:rFonts w:ascii="Calibri" w:hAnsi="Calibri" w:hint="eastAsia"/>
          <w:b/>
          <w:color w:val="auto"/>
        </w:rPr>
        <w:t>、废机油</w:t>
      </w:r>
    </w:p>
    <w:p w14:paraId="0313A55D" w14:textId="77777777" w:rsidR="00DD4535" w:rsidRDefault="00AB5793" w:rsidP="00DD4535">
      <w:pPr>
        <w:spacing w:line="520" w:lineRule="exact"/>
        <w:ind w:firstLine="482"/>
        <w:rPr>
          <w:rFonts w:ascii="Calibri" w:hAnsi="Calibri"/>
          <w:color w:val="auto"/>
          <w:sz w:val="24"/>
        </w:rPr>
      </w:pPr>
      <w:r w:rsidRPr="00A964FF">
        <w:rPr>
          <w:rFonts w:ascii="Calibri" w:hAnsi="Calibri" w:hint="eastAsia"/>
          <w:color w:val="auto"/>
          <w:sz w:val="24"/>
        </w:rPr>
        <w:t>本项目营运后对设备进行维护和检修过程中将产生的少量废机油，根据企业提供资料和同类企业生产运行数据，</w:t>
      </w:r>
      <w:r w:rsidR="00DD4535">
        <w:rPr>
          <w:rFonts w:ascii="Calibri" w:hAnsi="Calibri" w:hint="eastAsia"/>
          <w:color w:val="auto"/>
          <w:sz w:val="24"/>
        </w:rPr>
        <w:t>一期</w:t>
      </w:r>
      <w:r w:rsidR="00DD4535">
        <w:rPr>
          <w:rFonts w:ascii="Calibri" w:hAnsi="Calibri"/>
          <w:color w:val="auto"/>
          <w:sz w:val="24"/>
        </w:rPr>
        <w:t>工程废机油产生量为</w:t>
      </w:r>
      <w:r w:rsidR="001A4912">
        <w:rPr>
          <w:rFonts w:ascii="Calibri" w:hAnsi="Calibri" w:hint="eastAsia"/>
          <w:color w:val="auto"/>
          <w:sz w:val="24"/>
        </w:rPr>
        <w:t>0.</w:t>
      </w:r>
      <w:r w:rsidR="001A4912">
        <w:rPr>
          <w:rFonts w:ascii="Calibri" w:hAnsi="Calibri"/>
          <w:color w:val="auto"/>
          <w:sz w:val="24"/>
        </w:rPr>
        <w:t>15</w:t>
      </w:r>
      <w:r w:rsidR="00DD4535">
        <w:rPr>
          <w:rFonts w:ascii="Calibri" w:hAnsi="Calibri"/>
          <w:color w:val="auto"/>
          <w:sz w:val="24"/>
        </w:rPr>
        <w:t>t/a</w:t>
      </w:r>
      <w:r w:rsidR="00DD4535">
        <w:rPr>
          <w:rFonts w:ascii="Calibri" w:hAnsi="Calibri" w:hint="eastAsia"/>
          <w:color w:val="auto"/>
          <w:sz w:val="24"/>
        </w:rPr>
        <w:t>，</w:t>
      </w:r>
      <w:r w:rsidR="00DD4535">
        <w:rPr>
          <w:rFonts w:ascii="Calibri" w:hAnsi="Calibri"/>
          <w:color w:val="auto"/>
          <w:sz w:val="24"/>
        </w:rPr>
        <w:t>二期工程废机油产生量为</w:t>
      </w:r>
      <w:r w:rsidR="001A4912">
        <w:rPr>
          <w:rFonts w:ascii="Calibri" w:hAnsi="Calibri" w:hint="eastAsia"/>
          <w:color w:val="auto"/>
          <w:sz w:val="24"/>
        </w:rPr>
        <w:t>0.1</w:t>
      </w:r>
      <w:r w:rsidR="00DD4535">
        <w:rPr>
          <w:rFonts w:ascii="Calibri" w:hAnsi="Calibri"/>
          <w:color w:val="auto"/>
          <w:sz w:val="24"/>
        </w:rPr>
        <w:t>t/a</w:t>
      </w:r>
      <w:r w:rsidR="00DD4535">
        <w:rPr>
          <w:rFonts w:ascii="Calibri" w:hAnsi="Calibri" w:hint="eastAsia"/>
          <w:color w:val="auto"/>
          <w:sz w:val="24"/>
        </w:rPr>
        <w:t>。</w:t>
      </w:r>
    </w:p>
    <w:p w14:paraId="23BB9995" w14:textId="77777777" w:rsidR="00AB5793" w:rsidRPr="00A964FF" w:rsidRDefault="00AB5793" w:rsidP="00DD4535">
      <w:pPr>
        <w:pStyle w:val="00"/>
        <w:ind w:firstLineChars="200"/>
        <w:rPr>
          <w:rFonts w:ascii="Calibri" w:hAnsi="Calibri"/>
          <w:color w:val="auto"/>
        </w:rPr>
      </w:pPr>
      <w:r w:rsidRPr="00A964FF">
        <w:rPr>
          <w:rFonts w:ascii="Calibri" w:hAnsi="Calibri" w:hint="eastAsia"/>
          <w:color w:val="auto"/>
        </w:rPr>
        <w:t>根据《国家危险废物名录》（</w:t>
      </w:r>
      <w:r w:rsidRPr="00A964FF">
        <w:rPr>
          <w:rFonts w:ascii="Calibri" w:hAnsi="Calibri" w:hint="eastAsia"/>
          <w:color w:val="auto"/>
        </w:rPr>
        <w:t>2021</w:t>
      </w:r>
      <w:r w:rsidRPr="00A964FF">
        <w:rPr>
          <w:rFonts w:ascii="Calibri" w:hAnsi="Calibri" w:hint="eastAsia"/>
          <w:color w:val="auto"/>
        </w:rPr>
        <w:t>年版），废机油为危险废物，废物类别为</w:t>
      </w:r>
      <w:r w:rsidRPr="00A964FF">
        <w:rPr>
          <w:rFonts w:ascii="Calibri" w:hAnsi="Calibri" w:hint="eastAsia"/>
          <w:color w:val="auto"/>
        </w:rPr>
        <w:t>HW08</w:t>
      </w:r>
      <w:r w:rsidRPr="00A964FF">
        <w:rPr>
          <w:rFonts w:ascii="Calibri" w:hAnsi="Calibri" w:hint="eastAsia"/>
          <w:color w:val="auto"/>
        </w:rPr>
        <w:lastRenderedPageBreak/>
        <w:t>废矿物油与含矿物油废物，废物代码为</w:t>
      </w:r>
      <w:r w:rsidRPr="00A964FF">
        <w:rPr>
          <w:rFonts w:ascii="Calibri" w:hAnsi="Calibri"/>
          <w:color w:val="auto"/>
        </w:rPr>
        <w:t>900</w:t>
      </w:r>
      <w:r w:rsidRPr="00A964FF">
        <w:rPr>
          <w:rFonts w:ascii="Calibri" w:hAnsi="Calibri" w:hint="eastAsia"/>
          <w:color w:val="auto"/>
        </w:rPr>
        <w:t>-249</w:t>
      </w:r>
      <w:r w:rsidRPr="00A964FF">
        <w:rPr>
          <w:rFonts w:ascii="Calibri" w:hAnsi="Calibri"/>
          <w:color w:val="auto"/>
        </w:rPr>
        <w:t>-</w:t>
      </w:r>
      <w:r w:rsidRPr="00A964FF">
        <w:rPr>
          <w:rFonts w:ascii="Calibri" w:hAnsi="Calibri" w:hint="eastAsia"/>
          <w:color w:val="auto"/>
        </w:rPr>
        <w:t>08</w:t>
      </w:r>
      <w:r w:rsidRPr="00A964FF">
        <w:rPr>
          <w:rFonts w:ascii="Calibri" w:hAnsi="Calibri" w:hint="eastAsia"/>
          <w:color w:val="auto"/>
        </w:rPr>
        <w:t>，属于其他生产、销售、使用过程中产生的废矿物油及含矿物油废物。该部分固废收集后采用桶装密闭存储在危废暂存间，定期交由资质单位进行安全处置，不得随意排放。</w:t>
      </w:r>
    </w:p>
    <w:p w14:paraId="6EFFB6D4" w14:textId="77777777" w:rsidR="00AB5793" w:rsidRPr="009C3A83" w:rsidRDefault="009775D9" w:rsidP="00AB5793">
      <w:pPr>
        <w:pStyle w:val="00"/>
        <w:rPr>
          <w:rFonts w:ascii="Calibri" w:hAnsi="Calibri"/>
          <w:b/>
          <w:color w:val="auto"/>
        </w:rPr>
      </w:pPr>
      <w:r w:rsidRPr="009C3A83">
        <w:rPr>
          <w:rFonts w:ascii="Calibri" w:hAnsi="Calibri"/>
          <w:b/>
          <w:color w:val="auto"/>
        </w:rPr>
        <w:t>3</w:t>
      </w:r>
      <w:r w:rsidR="00AB5793" w:rsidRPr="009C3A83">
        <w:rPr>
          <w:rFonts w:ascii="Calibri" w:hAnsi="Calibri" w:hint="eastAsia"/>
          <w:b/>
          <w:color w:val="auto"/>
        </w:rPr>
        <w:t>、废水处理站污泥</w:t>
      </w:r>
    </w:p>
    <w:p w14:paraId="59812FAD" w14:textId="352A717B" w:rsidR="00C46D8E" w:rsidRPr="009C3A83" w:rsidRDefault="00AB5793" w:rsidP="009C3A83">
      <w:pPr>
        <w:tabs>
          <w:tab w:val="left" w:pos="567"/>
        </w:tabs>
        <w:snapToGrid w:val="0"/>
        <w:spacing w:line="520" w:lineRule="exact"/>
        <w:ind w:firstLineChars="200" w:firstLine="482"/>
        <w:rPr>
          <w:rFonts w:ascii="Calibri"/>
          <w:b/>
          <w:color w:val="auto"/>
          <w:sz w:val="24"/>
          <w:u w:val="single"/>
        </w:rPr>
      </w:pPr>
      <w:r w:rsidRPr="009C3A83">
        <w:rPr>
          <w:rFonts w:ascii="Calibri" w:hAnsi="Calibri" w:hint="eastAsia"/>
          <w:b/>
          <w:color w:val="auto"/>
          <w:sz w:val="24"/>
          <w:u w:val="single"/>
        </w:rPr>
        <w:t>本项目厂区建有废水处理站，</w:t>
      </w:r>
      <w:r w:rsidR="00910577" w:rsidRPr="009C3A83">
        <w:rPr>
          <w:rFonts w:ascii="Calibri" w:hAnsi="Calibri" w:hint="eastAsia"/>
          <w:b/>
          <w:color w:val="auto"/>
          <w:sz w:val="24"/>
          <w:u w:val="single"/>
        </w:rPr>
        <w:t>其运行</w:t>
      </w:r>
      <w:r w:rsidRPr="009C3A83">
        <w:rPr>
          <w:rFonts w:ascii="Calibri" w:hAnsi="Calibri" w:hint="eastAsia"/>
          <w:b/>
          <w:color w:val="auto"/>
          <w:sz w:val="24"/>
          <w:u w:val="single"/>
        </w:rPr>
        <w:t>过程中会产生污泥。</w:t>
      </w:r>
      <w:r w:rsidRPr="009C3A83">
        <w:rPr>
          <w:rFonts w:ascii="Calibri" w:hAnsi="Calibri"/>
          <w:b/>
          <w:color w:val="auto"/>
          <w:sz w:val="24"/>
          <w:u w:val="single"/>
        </w:rPr>
        <w:t>根据经验</w:t>
      </w:r>
      <w:r w:rsidRPr="009C3A83">
        <w:rPr>
          <w:rFonts w:ascii="Calibri" w:hAnsi="Calibri" w:hint="eastAsia"/>
          <w:b/>
          <w:color w:val="auto"/>
          <w:sz w:val="24"/>
          <w:u w:val="single"/>
        </w:rPr>
        <w:t>数据</w:t>
      </w:r>
      <w:r w:rsidRPr="009C3A83">
        <w:rPr>
          <w:rFonts w:ascii="Calibri" w:hAnsi="Calibri"/>
          <w:b/>
          <w:color w:val="auto"/>
          <w:sz w:val="24"/>
          <w:u w:val="single"/>
        </w:rPr>
        <w:t>，</w:t>
      </w:r>
      <w:r w:rsidRPr="009C3A83">
        <w:rPr>
          <w:rFonts w:ascii="Calibri"/>
          <w:b/>
          <w:color w:val="auto"/>
          <w:sz w:val="24"/>
          <w:u w:val="single"/>
        </w:rPr>
        <w:t>采用物化处理设施处理废水时，污泥量与去除悬浮物（</w:t>
      </w:r>
      <w:r w:rsidRPr="009C3A83">
        <w:rPr>
          <w:rFonts w:ascii="Calibri" w:hAnsi="Calibri"/>
          <w:b/>
          <w:color w:val="auto"/>
          <w:sz w:val="24"/>
          <w:u w:val="single"/>
        </w:rPr>
        <w:t>SS</w:t>
      </w:r>
      <w:r w:rsidRPr="009C3A83">
        <w:rPr>
          <w:rFonts w:ascii="Calibri"/>
          <w:b/>
          <w:color w:val="auto"/>
          <w:sz w:val="24"/>
          <w:u w:val="single"/>
        </w:rPr>
        <w:t>）的效果有关；对于采用生化处理设施处理废水时，污泥量与去除有机物（</w:t>
      </w:r>
      <w:r w:rsidRPr="009C3A83">
        <w:rPr>
          <w:rFonts w:ascii="Calibri" w:hAnsi="Calibri"/>
          <w:b/>
          <w:color w:val="auto"/>
          <w:sz w:val="24"/>
          <w:u w:val="single"/>
        </w:rPr>
        <w:t>COD</w:t>
      </w:r>
      <w:r w:rsidRPr="009C3A83">
        <w:rPr>
          <w:rFonts w:ascii="Calibri"/>
          <w:b/>
          <w:color w:val="auto"/>
          <w:sz w:val="24"/>
          <w:u w:val="single"/>
        </w:rPr>
        <w:t>）的效果有关，除去</w:t>
      </w:r>
      <w:r w:rsidRPr="009C3A83">
        <w:rPr>
          <w:rFonts w:ascii="Calibri" w:hAnsi="Calibri"/>
          <w:b/>
          <w:color w:val="auto"/>
          <w:sz w:val="24"/>
          <w:u w:val="single"/>
        </w:rPr>
        <w:t>1</w:t>
      </w:r>
      <w:r w:rsidRPr="009C3A83">
        <w:rPr>
          <w:rFonts w:ascii="Calibri"/>
          <w:b/>
          <w:color w:val="auto"/>
          <w:sz w:val="24"/>
          <w:u w:val="single"/>
        </w:rPr>
        <w:t>千克</w:t>
      </w:r>
      <w:r w:rsidRPr="009C3A83">
        <w:rPr>
          <w:rFonts w:ascii="Calibri" w:hAnsi="Calibri"/>
          <w:b/>
          <w:color w:val="auto"/>
          <w:sz w:val="24"/>
          <w:u w:val="single"/>
        </w:rPr>
        <w:t>COD</w:t>
      </w:r>
      <w:r w:rsidRPr="009C3A83">
        <w:rPr>
          <w:rFonts w:ascii="Calibri"/>
          <w:b/>
          <w:color w:val="auto"/>
          <w:sz w:val="24"/>
          <w:u w:val="single"/>
        </w:rPr>
        <w:t>产生</w:t>
      </w:r>
      <w:r w:rsidRPr="009C3A83">
        <w:rPr>
          <w:rFonts w:ascii="Calibri" w:hAnsi="Calibri"/>
          <w:b/>
          <w:color w:val="auto"/>
          <w:sz w:val="24"/>
          <w:u w:val="single"/>
        </w:rPr>
        <w:t>0.3</w:t>
      </w:r>
      <w:r w:rsidRPr="009C3A83">
        <w:rPr>
          <w:rFonts w:ascii="Calibri" w:hAnsi="宋体"/>
          <w:b/>
          <w:color w:val="auto"/>
          <w:sz w:val="24"/>
          <w:u w:val="single"/>
        </w:rPr>
        <w:t>～</w:t>
      </w:r>
      <w:r w:rsidRPr="009C3A83">
        <w:rPr>
          <w:rFonts w:ascii="Calibri" w:hAnsi="Calibri"/>
          <w:b/>
          <w:color w:val="auto"/>
          <w:sz w:val="24"/>
          <w:u w:val="single"/>
        </w:rPr>
        <w:t>0.4kg</w:t>
      </w:r>
      <w:r w:rsidRPr="009C3A83">
        <w:rPr>
          <w:rFonts w:ascii="Calibri"/>
          <w:b/>
          <w:color w:val="auto"/>
          <w:sz w:val="24"/>
          <w:u w:val="single"/>
        </w:rPr>
        <w:t>干污泥。本项目</w:t>
      </w:r>
      <w:r w:rsidRPr="009C3A83">
        <w:rPr>
          <w:rFonts w:ascii="Calibri" w:hint="eastAsia"/>
          <w:b/>
          <w:color w:val="auto"/>
          <w:sz w:val="24"/>
          <w:u w:val="single"/>
        </w:rPr>
        <w:t>废水</w:t>
      </w:r>
      <w:r w:rsidRPr="009C3A83">
        <w:rPr>
          <w:rFonts w:ascii="Calibri"/>
          <w:b/>
          <w:color w:val="auto"/>
          <w:sz w:val="24"/>
          <w:u w:val="single"/>
        </w:rPr>
        <w:t>处理站采用生化处理工艺，污泥产生量根据</w:t>
      </w:r>
      <w:r w:rsidRPr="009C3A83">
        <w:rPr>
          <w:rFonts w:ascii="Calibri" w:hAnsi="Calibri"/>
          <w:b/>
          <w:color w:val="auto"/>
          <w:sz w:val="24"/>
          <w:u w:val="single"/>
        </w:rPr>
        <w:t>COD</w:t>
      </w:r>
      <w:r w:rsidRPr="009C3A83">
        <w:rPr>
          <w:rFonts w:ascii="Calibri"/>
          <w:b/>
          <w:color w:val="auto"/>
          <w:sz w:val="24"/>
          <w:u w:val="single"/>
        </w:rPr>
        <w:t>去除率及产生、排放量估算，除去</w:t>
      </w:r>
      <w:r w:rsidRPr="009C3A83">
        <w:rPr>
          <w:rFonts w:ascii="Calibri" w:hAnsi="Calibri"/>
          <w:b/>
          <w:color w:val="auto"/>
          <w:sz w:val="24"/>
          <w:u w:val="single"/>
        </w:rPr>
        <w:t>1</w:t>
      </w:r>
      <w:r w:rsidRPr="009C3A83">
        <w:rPr>
          <w:rFonts w:ascii="Calibri"/>
          <w:b/>
          <w:color w:val="auto"/>
          <w:sz w:val="24"/>
          <w:u w:val="single"/>
        </w:rPr>
        <w:t>千克</w:t>
      </w:r>
      <w:r w:rsidRPr="009C3A83">
        <w:rPr>
          <w:rFonts w:ascii="Calibri" w:hAnsi="Calibri"/>
          <w:b/>
          <w:color w:val="auto"/>
          <w:sz w:val="24"/>
          <w:u w:val="single"/>
        </w:rPr>
        <w:t>COD</w:t>
      </w:r>
      <w:r w:rsidRPr="009C3A83">
        <w:rPr>
          <w:rFonts w:ascii="Calibri"/>
          <w:b/>
          <w:color w:val="auto"/>
          <w:sz w:val="24"/>
          <w:u w:val="single"/>
        </w:rPr>
        <w:t>产生干污泥</w:t>
      </w:r>
      <w:r w:rsidRPr="009C3A83">
        <w:rPr>
          <w:rFonts w:ascii="Calibri" w:hAnsi="Calibri"/>
          <w:b/>
          <w:color w:val="auto"/>
          <w:sz w:val="24"/>
          <w:u w:val="single"/>
        </w:rPr>
        <w:t>0.35kg</w:t>
      </w:r>
      <w:r w:rsidRPr="009C3A83">
        <w:rPr>
          <w:rFonts w:ascii="Calibri"/>
          <w:b/>
          <w:color w:val="auto"/>
          <w:sz w:val="24"/>
          <w:u w:val="single"/>
        </w:rPr>
        <w:t>，经</w:t>
      </w:r>
      <w:r w:rsidRPr="009C3A83">
        <w:rPr>
          <w:rFonts w:ascii="Calibri" w:hint="eastAsia"/>
          <w:b/>
          <w:color w:val="auto"/>
          <w:sz w:val="24"/>
          <w:u w:val="single"/>
        </w:rPr>
        <w:t>核算</w:t>
      </w:r>
      <w:r w:rsidRPr="009C3A83">
        <w:rPr>
          <w:rFonts w:ascii="Calibri"/>
          <w:b/>
          <w:color w:val="auto"/>
          <w:sz w:val="24"/>
          <w:u w:val="single"/>
        </w:rPr>
        <w:t>，</w:t>
      </w:r>
      <w:r w:rsidR="00DD4535" w:rsidRPr="009C3A83">
        <w:rPr>
          <w:rFonts w:ascii="Calibri" w:hint="eastAsia"/>
          <w:b/>
          <w:color w:val="auto"/>
          <w:sz w:val="24"/>
          <w:u w:val="single"/>
        </w:rPr>
        <w:t>一期工程</w:t>
      </w:r>
      <w:r w:rsidRPr="009C3A83">
        <w:rPr>
          <w:rFonts w:ascii="Calibri"/>
          <w:b/>
          <w:color w:val="auto"/>
          <w:sz w:val="24"/>
          <w:u w:val="single"/>
        </w:rPr>
        <w:t>干污泥产生量为</w:t>
      </w:r>
      <w:r w:rsidR="009C3A83" w:rsidRPr="009C3A83">
        <w:rPr>
          <w:rFonts w:ascii="Calibri" w:hAnsi="Calibri"/>
          <w:b/>
          <w:color w:val="auto"/>
          <w:sz w:val="24"/>
          <w:u w:val="single"/>
        </w:rPr>
        <w:t>6.64</w:t>
      </w:r>
      <w:r w:rsidR="00910577" w:rsidRPr="009C3A83">
        <w:rPr>
          <w:rFonts w:ascii="Calibri" w:hAnsi="Calibri" w:hint="eastAsia"/>
          <w:b/>
          <w:color w:val="auto"/>
          <w:sz w:val="24"/>
          <w:u w:val="single"/>
        </w:rPr>
        <w:t>t</w:t>
      </w:r>
      <w:r w:rsidRPr="009C3A83">
        <w:rPr>
          <w:rFonts w:ascii="Calibri" w:hAnsi="Calibri"/>
          <w:b/>
          <w:color w:val="auto"/>
          <w:sz w:val="24"/>
          <w:u w:val="single"/>
        </w:rPr>
        <w:t>/a</w:t>
      </w:r>
      <w:r w:rsidR="00C46D8E" w:rsidRPr="009C3A83">
        <w:rPr>
          <w:rFonts w:ascii="Calibri" w:hint="eastAsia"/>
          <w:b/>
          <w:color w:val="auto"/>
          <w:sz w:val="24"/>
          <w:u w:val="single"/>
        </w:rPr>
        <w:t>，</w:t>
      </w:r>
      <w:r w:rsidRPr="009C3A83">
        <w:rPr>
          <w:rFonts w:ascii="Calibri"/>
          <w:b/>
          <w:color w:val="auto"/>
          <w:sz w:val="24"/>
          <w:u w:val="single"/>
        </w:rPr>
        <w:t>污泥经过</w:t>
      </w:r>
      <w:r w:rsidRPr="009C3A83">
        <w:rPr>
          <w:rFonts w:ascii="Calibri" w:hint="eastAsia"/>
          <w:b/>
          <w:color w:val="auto"/>
          <w:sz w:val="24"/>
          <w:u w:val="single"/>
        </w:rPr>
        <w:t>脱水</w:t>
      </w:r>
      <w:r w:rsidRPr="009C3A83">
        <w:rPr>
          <w:rFonts w:ascii="Calibri"/>
          <w:b/>
          <w:color w:val="auto"/>
          <w:sz w:val="24"/>
          <w:u w:val="single"/>
        </w:rPr>
        <w:t>后，含水率降为</w:t>
      </w:r>
      <w:r w:rsidRPr="009C3A83">
        <w:rPr>
          <w:rFonts w:ascii="Calibri" w:hAnsi="Calibri" w:hint="eastAsia"/>
          <w:b/>
          <w:color w:val="auto"/>
          <w:sz w:val="24"/>
          <w:u w:val="single"/>
        </w:rPr>
        <w:t>60</w:t>
      </w:r>
      <w:r w:rsidRPr="009C3A83">
        <w:rPr>
          <w:rFonts w:ascii="Calibri" w:hAnsi="Calibri"/>
          <w:b/>
          <w:color w:val="auto"/>
          <w:sz w:val="24"/>
          <w:u w:val="single"/>
        </w:rPr>
        <w:t>%</w:t>
      </w:r>
      <w:r w:rsidRPr="009C3A83">
        <w:rPr>
          <w:rFonts w:ascii="Calibri"/>
          <w:b/>
          <w:color w:val="auto"/>
          <w:sz w:val="24"/>
          <w:u w:val="single"/>
        </w:rPr>
        <w:t>，则</w:t>
      </w:r>
      <w:r w:rsidR="00C46D8E" w:rsidRPr="009C3A83">
        <w:rPr>
          <w:rFonts w:ascii="Calibri" w:hint="eastAsia"/>
          <w:b/>
          <w:color w:val="auto"/>
          <w:sz w:val="24"/>
          <w:u w:val="single"/>
        </w:rPr>
        <w:t>一期</w:t>
      </w:r>
      <w:r w:rsidR="00C46D8E" w:rsidRPr="009C3A83">
        <w:rPr>
          <w:rFonts w:ascii="Calibri"/>
          <w:b/>
          <w:color w:val="auto"/>
          <w:sz w:val="24"/>
          <w:u w:val="single"/>
        </w:rPr>
        <w:t>工程</w:t>
      </w:r>
      <w:r w:rsidRPr="009C3A83">
        <w:rPr>
          <w:rFonts w:ascii="Calibri" w:hint="eastAsia"/>
          <w:b/>
          <w:color w:val="auto"/>
          <w:sz w:val="24"/>
          <w:u w:val="single"/>
        </w:rPr>
        <w:t>废水处理站</w:t>
      </w:r>
      <w:r w:rsidRPr="009C3A83">
        <w:rPr>
          <w:rFonts w:ascii="Calibri"/>
          <w:b/>
          <w:color w:val="auto"/>
          <w:sz w:val="24"/>
          <w:u w:val="single"/>
        </w:rPr>
        <w:t>污泥产生量为</w:t>
      </w:r>
      <w:r w:rsidR="009C3A83" w:rsidRPr="009C3A83">
        <w:rPr>
          <w:rFonts w:ascii="Calibri" w:hAnsi="Calibri"/>
          <w:b/>
          <w:color w:val="auto"/>
          <w:sz w:val="24"/>
          <w:u w:val="single"/>
        </w:rPr>
        <w:t>16.60</w:t>
      </w:r>
      <w:r w:rsidRPr="009C3A83">
        <w:rPr>
          <w:rFonts w:ascii="Calibri" w:hAnsi="Calibri" w:hint="eastAsia"/>
          <w:b/>
          <w:color w:val="auto"/>
          <w:sz w:val="24"/>
          <w:u w:val="single"/>
        </w:rPr>
        <w:t>t</w:t>
      </w:r>
      <w:r w:rsidRPr="009C3A83">
        <w:rPr>
          <w:rFonts w:ascii="Calibri" w:hAnsi="Calibri"/>
          <w:b/>
          <w:color w:val="auto"/>
          <w:sz w:val="24"/>
          <w:u w:val="single"/>
        </w:rPr>
        <w:t>/a</w:t>
      </w:r>
      <w:r w:rsidRPr="009C3A83">
        <w:rPr>
          <w:rFonts w:ascii="Calibri"/>
          <w:b/>
          <w:color w:val="auto"/>
          <w:sz w:val="24"/>
          <w:u w:val="single"/>
        </w:rPr>
        <w:t>。</w:t>
      </w:r>
      <w:r w:rsidR="00C46D8E" w:rsidRPr="009C3A83">
        <w:rPr>
          <w:rFonts w:ascii="Calibri" w:hint="eastAsia"/>
          <w:b/>
          <w:color w:val="auto"/>
          <w:sz w:val="24"/>
          <w:u w:val="single"/>
        </w:rPr>
        <w:t>二期</w:t>
      </w:r>
      <w:r w:rsidR="00C46D8E" w:rsidRPr="009C3A83">
        <w:rPr>
          <w:rFonts w:ascii="Calibri"/>
          <w:b/>
          <w:color w:val="auto"/>
          <w:sz w:val="24"/>
          <w:u w:val="single"/>
        </w:rPr>
        <w:t>工程干污泥产生量为</w:t>
      </w:r>
      <w:r w:rsidR="009C3A83" w:rsidRPr="009C3A83">
        <w:rPr>
          <w:rFonts w:ascii="Calibri" w:hAnsi="Calibri"/>
          <w:b/>
          <w:color w:val="auto"/>
          <w:sz w:val="24"/>
          <w:u w:val="single"/>
        </w:rPr>
        <w:t>3.46</w:t>
      </w:r>
      <w:r w:rsidR="00C46D8E" w:rsidRPr="009C3A83">
        <w:rPr>
          <w:rFonts w:ascii="Calibri" w:hAnsi="Calibri" w:hint="eastAsia"/>
          <w:b/>
          <w:color w:val="auto"/>
          <w:sz w:val="24"/>
          <w:u w:val="single"/>
        </w:rPr>
        <w:t>t</w:t>
      </w:r>
      <w:r w:rsidR="00C46D8E" w:rsidRPr="009C3A83">
        <w:rPr>
          <w:rFonts w:ascii="Calibri" w:hAnsi="Calibri"/>
          <w:b/>
          <w:color w:val="auto"/>
          <w:sz w:val="24"/>
          <w:u w:val="single"/>
        </w:rPr>
        <w:t>/a</w:t>
      </w:r>
      <w:r w:rsidR="00C46D8E" w:rsidRPr="009C3A83">
        <w:rPr>
          <w:rFonts w:ascii="Calibri" w:hint="eastAsia"/>
          <w:b/>
          <w:color w:val="auto"/>
          <w:sz w:val="24"/>
          <w:u w:val="single"/>
        </w:rPr>
        <w:t>，</w:t>
      </w:r>
      <w:r w:rsidR="00C46D8E" w:rsidRPr="009C3A83">
        <w:rPr>
          <w:rFonts w:ascii="Calibri"/>
          <w:b/>
          <w:color w:val="auto"/>
          <w:sz w:val="24"/>
          <w:u w:val="single"/>
        </w:rPr>
        <w:t>污泥经过</w:t>
      </w:r>
      <w:r w:rsidR="00C46D8E" w:rsidRPr="009C3A83">
        <w:rPr>
          <w:rFonts w:ascii="Calibri" w:hint="eastAsia"/>
          <w:b/>
          <w:color w:val="auto"/>
          <w:sz w:val="24"/>
          <w:u w:val="single"/>
        </w:rPr>
        <w:t>脱水</w:t>
      </w:r>
      <w:r w:rsidR="00C46D8E" w:rsidRPr="009C3A83">
        <w:rPr>
          <w:rFonts w:ascii="Calibri"/>
          <w:b/>
          <w:color w:val="auto"/>
          <w:sz w:val="24"/>
          <w:u w:val="single"/>
        </w:rPr>
        <w:t>后，含水率降为</w:t>
      </w:r>
      <w:r w:rsidR="00C46D8E" w:rsidRPr="009C3A83">
        <w:rPr>
          <w:rFonts w:ascii="Calibri" w:hAnsi="Calibri" w:hint="eastAsia"/>
          <w:b/>
          <w:color w:val="auto"/>
          <w:sz w:val="24"/>
          <w:u w:val="single"/>
        </w:rPr>
        <w:t>60</w:t>
      </w:r>
      <w:r w:rsidR="00C46D8E" w:rsidRPr="009C3A83">
        <w:rPr>
          <w:rFonts w:ascii="Calibri" w:hAnsi="Calibri"/>
          <w:b/>
          <w:color w:val="auto"/>
          <w:sz w:val="24"/>
          <w:u w:val="single"/>
        </w:rPr>
        <w:t>%</w:t>
      </w:r>
      <w:r w:rsidR="00C46D8E" w:rsidRPr="009C3A83">
        <w:rPr>
          <w:rFonts w:ascii="Calibri"/>
          <w:b/>
          <w:color w:val="auto"/>
          <w:sz w:val="24"/>
          <w:u w:val="single"/>
        </w:rPr>
        <w:t>，则</w:t>
      </w:r>
      <w:r w:rsidR="00C46D8E" w:rsidRPr="009C3A83">
        <w:rPr>
          <w:rFonts w:ascii="Calibri" w:hint="eastAsia"/>
          <w:b/>
          <w:color w:val="auto"/>
          <w:sz w:val="24"/>
          <w:u w:val="single"/>
        </w:rPr>
        <w:t>二期</w:t>
      </w:r>
      <w:r w:rsidR="00C46D8E" w:rsidRPr="009C3A83">
        <w:rPr>
          <w:rFonts w:ascii="Calibri"/>
          <w:b/>
          <w:color w:val="auto"/>
          <w:sz w:val="24"/>
          <w:u w:val="single"/>
        </w:rPr>
        <w:t>工程</w:t>
      </w:r>
      <w:r w:rsidR="00C46D8E" w:rsidRPr="009C3A83">
        <w:rPr>
          <w:rFonts w:ascii="Calibri" w:hint="eastAsia"/>
          <w:b/>
          <w:color w:val="auto"/>
          <w:sz w:val="24"/>
          <w:u w:val="single"/>
        </w:rPr>
        <w:t>废水处理站</w:t>
      </w:r>
      <w:r w:rsidR="00C46D8E" w:rsidRPr="009C3A83">
        <w:rPr>
          <w:rFonts w:ascii="Calibri"/>
          <w:b/>
          <w:color w:val="auto"/>
          <w:sz w:val="24"/>
          <w:u w:val="single"/>
        </w:rPr>
        <w:t>污泥产生量为</w:t>
      </w:r>
      <w:r w:rsidR="009C3A83" w:rsidRPr="009C3A83">
        <w:rPr>
          <w:rFonts w:ascii="Calibri" w:hAnsi="Calibri"/>
          <w:b/>
          <w:color w:val="auto"/>
          <w:sz w:val="24"/>
          <w:u w:val="single"/>
        </w:rPr>
        <w:t>8.65</w:t>
      </w:r>
      <w:r w:rsidR="00C46D8E" w:rsidRPr="009C3A83">
        <w:rPr>
          <w:rFonts w:ascii="Calibri" w:hAnsi="Calibri" w:hint="eastAsia"/>
          <w:b/>
          <w:color w:val="auto"/>
          <w:sz w:val="24"/>
          <w:u w:val="single"/>
        </w:rPr>
        <w:t>t</w:t>
      </w:r>
      <w:r w:rsidR="00C46D8E" w:rsidRPr="009C3A83">
        <w:rPr>
          <w:rFonts w:ascii="Calibri" w:hAnsi="Calibri"/>
          <w:b/>
          <w:color w:val="auto"/>
          <w:sz w:val="24"/>
          <w:u w:val="single"/>
        </w:rPr>
        <w:t>/a</w:t>
      </w:r>
      <w:r w:rsidR="00C46D8E" w:rsidRPr="009C3A83">
        <w:rPr>
          <w:rFonts w:ascii="Calibri"/>
          <w:b/>
          <w:color w:val="auto"/>
          <w:sz w:val="24"/>
          <w:u w:val="single"/>
        </w:rPr>
        <w:t>。</w:t>
      </w:r>
    </w:p>
    <w:p w14:paraId="4C0EE5E6" w14:textId="77777777" w:rsidR="00C636CC" w:rsidRDefault="00C636CC" w:rsidP="00C636CC">
      <w:pPr>
        <w:pStyle w:val="00"/>
        <w:rPr>
          <w:rFonts w:ascii="Calibri" w:hAnsi="Calibri"/>
          <w:color w:val="auto"/>
        </w:rPr>
      </w:pPr>
      <w:r>
        <w:rPr>
          <w:rFonts w:ascii="Calibri" w:hAnsi="Calibri" w:hint="eastAsia"/>
          <w:color w:val="auto"/>
        </w:rPr>
        <w:t>本项目污水</w:t>
      </w:r>
      <w:r>
        <w:rPr>
          <w:rFonts w:ascii="Calibri" w:hAnsi="Calibri"/>
          <w:color w:val="auto"/>
        </w:rPr>
        <w:t>处理站污泥</w:t>
      </w:r>
      <w:r>
        <w:rPr>
          <w:rFonts w:ascii="Calibri" w:hAnsi="Calibri" w:hint="eastAsia"/>
          <w:color w:val="auto"/>
        </w:rPr>
        <w:t>不属于</w:t>
      </w:r>
      <w:r w:rsidRPr="00A964FF">
        <w:rPr>
          <w:rFonts w:ascii="Calibri" w:hAnsi="Calibri" w:hint="eastAsia"/>
          <w:color w:val="auto"/>
        </w:rPr>
        <w:t>《国家危险废物名录》（（</w:t>
      </w:r>
      <w:r w:rsidRPr="00A964FF">
        <w:rPr>
          <w:rFonts w:ascii="Calibri" w:hAnsi="Calibri" w:hint="eastAsia"/>
          <w:color w:val="auto"/>
        </w:rPr>
        <w:t>2021</w:t>
      </w:r>
      <w:r w:rsidRPr="00A964FF">
        <w:rPr>
          <w:rFonts w:ascii="Calibri" w:hAnsi="Calibri" w:hint="eastAsia"/>
          <w:color w:val="auto"/>
        </w:rPr>
        <w:t>年版））</w:t>
      </w:r>
      <w:r>
        <w:rPr>
          <w:rFonts w:ascii="Calibri" w:hAnsi="Calibri" w:hint="eastAsia"/>
          <w:color w:val="auto"/>
        </w:rPr>
        <w:t>HW49</w:t>
      </w:r>
      <w:r>
        <w:rPr>
          <w:rFonts w:ascii="Calibri" w:hAnsi="Calibri" w:hint="eastAsia"/>
          <w:color w:val="auto"/>
        </w:rPr>
        <w:t>其他</w:t>
      </w:r>
      <w:r>
        <w:rPr>
          <w:rFonts w:ascii="Calibri" w:hAnsi="Calibri"/>
          <w:color w:val="auto"/>
        </w:rPr>
        <w:t>废物</w:t>
      </w:r>
      <w:r>
        <w:rPr>
          <w:rFonts w:ascii="Calibri" w:hAnsi="Calibri" w:hint="eastAsia"/>
          <w:color w:val="auto"/>
        </w:rPr>
        <w:t>，废物</w:t>
      </w:r>
      <w:r>
        <w:rPr>
          <w:rFonts w:ascii="Calibri" w:hAnsi="Calibri"/>
          <w:color w:val="auto"/>
        </w:rPr>
        <w:t>代码</w:t>
      </w:r>
      <w:r w:rsidRPr="00EA2872">
        <w:rPr>
          <w:rFonts w:ascii="Calibri" w:hAnsi="Calibri"/>
          <w:color w:val="auto"/>
        </w:rPr>
        <w:t>772-006-49</w:t>
      </w:r>
      <w:r w:rsidRPr="00EA2872">
        <w:rPr>
          <w:rFonts w:ascii="Calibri" w:hAnsi="Calibri" w:hint="eastAsia"/>
          <w:color w:val="auto"/>
        </w:rPr>
        <w:t>采用物理、化学、物理化学或生物方法处理或处置毒性或感染性危险废物过程中产生的废水处理污泥、残渣（液）</w:t>
      </w:r>
      <w:r>
        <w:rPr>
          <w:rFonts w:ascii="Calibri" w:hAnsi="Calibri" w:hint="eastAsia"/>
          <w:color w:val="auto"/>
        </w:rPr>
        <w:t>，</w:t>
      </w:r>
      <w:r w:rsidRPr="00A964FF">
        <w:rPr>
          <w:rFonts w:ascii="Calibri" w:hAnsi="Calibri" w:hint="eastAsia"/>
          <w:color w:val="auto"/>
        </w:rPr>
        <w:t>属于一般固废，</w:t>
      </w:r>
      <w:r>
        <w:rPr>
          <w:rFonts w:ascii="Calibri" w:hAnsi="Calibri" w:hint="eastAsia"/>
          <w:color w:val="auto"/>
        </w:rPr>
        <w:t>在</w:t>
      </w:r>
      <w:r>
        <w:rPr>
          <w:rFonts w:ascii="Calibri" w:hAnsi="Calibri"/>
          <w:color w:val="auto"/>
        </w:rPr>
        <w:t>厂区暂存后</w:t>
      </w:r>
      <w:r w:rsidRPr="000856DD">
        <w:rPr>
          <w:rFonts w:ascii="Calibri" w:hAnsi="Calibri" w:hint="eastAsia"/>
          <w:color w:val="auto"/>
        </w:rPr>
        <w:t>交由叶县生活垃圾焚烧发电厂处理。</w:t>
      </w:r>
    </w:p>
    <w:p w14:paraId="72969187" w14:textId="77777777" w:rsidR="00535728" w:rsidRDefault="00333F13" w:rsidP="00AB5793">
      <w:pPr>
        <w:pStyle w:val="00"/>
        <w:rPr>
          <w:rFonts w:ascii="Calibri"/>
          <w:b/>
          <w:color w:val="auto"/>
          <w:szCs w:val="20"/>
        </w:rPr>
      </w:pPr>
      <w:r w:rsidRPr="006B5DE5">
        <w:rPr>
          <w:rFonts w:ascii="Calibri"/>
          <w:b/>
          <w:color w:val="auto"/>
          <w:szCs w:val="20"/>
        </w:rPr>
        <w:t>4</w:t>
      </w:r>
      <w:r w:rsidR="00AB5793" w:rsidRPr="006B5DE5">
        <w:rPr>
          <w:rFonts w:ascii="Calibri" w:hint="eastAsia"/>
          <w:b/>
          <w:color w:val="auto"/>
          <w:szCs w:val="20"/>
        </w:rPr>
        <w:t>、废气治理设施</w:t>
      </w:r>
      <w:r w:rsidR="00910577" w:rsidRPr="006B5DE5">
        <w:rPr>
          <w:rFonts w:ascii="Calibri" w:hint="eastAsia"/>
          <w:b/>
          <w:color w:val="auto"/>
          <w:szCs w:val="20"/>
        </w:rPr>
        <w:t>运行过程中</w:t>
      </w:r>
      <w:r w:rsidR="00AB5793" w:rsidRPr="006B5DE5">
        <w:rPr>
          <w:rFonts w:ascii="Calibri" w:hint="eastAsia"/>
          <w:b/>
          <w:color w:val="auto"/>
          <w:szCs w:val="20"/>
        </w:rPr>
        <w:t>产生的</w:t>
      </w:r>
      <w:r w:rsidR="00535728" w:rsidRPr="006B5DE5">
        <w:rPr>
          <w:rFonts w:ascii="Calibri" w:hint="eastAsia"/>
          <w:b/>
          <w:color w:val="auto"/>
          <w:szCs w:val="20"/>
        </w:rPr>
        <w:t>废物</w:t>
      </w:r>
    </w:p>
    <w:p w14:paraId="1559D43E" w14:textId="77777777" w:rsidR="00910577" w:rsidRPr="006B5DE5" w:rsidRDefault="00535728" w:rsidP="00535728">
      <w:pPr>
        <w:pStyle w:val="00"/>
        <w:rPr>
          <w:rFonts w:ascii="Calibri"/>
          <w:color w:val="auto"/>
          <w:szCs w:val="20"/>
        </w:rPr>
      </w:pPr>
      <w:r w:rsidRPr="006B5DE5">
        <w:rPr>
          <w:rFonts w:ascii="Calibri" w:hint="eastAsia"/>
          <w:color w:val="auto"/>
          <w:szCs w:val="20"/>
        </w:rPr>
        <w:t>（</w:t>
      </w:r>
      <w:r w:rsidRPr="006B5DE5">
        <w:rPr>
          <w:rFonts w:ascii="Calibri" w:hint="eastAsia"/>
          <w:color w:val="auto"/>
          <w:szCs w:val="20"/>
        </w:rPr>
        <w:t>1</w:t>
      </w:r>
      <w:r w:rsidRPr="006B5DE5">
        <w:rPr>
          <w:rFonts w:ascii="Calibri" w:hint="eastAsia"/>
          <w:color w:val="auto"/>
          <w:szCs w:val="20"/>
        </w:rPr>
        <w:t>）</w:t>
      </w:r>
      <w:r w:rsidR="008E434D" w:rsidRPr="006B5DE5">
        <w:rPr>
          <w:rFonts w:ascii="Calibri" w:hint="eastAsia"/>
          <w:color w:val="auto"/>
          <w:szCs w:val="20"/>
        </w:rPr>
        <w:t>废活性炭</w:t>
      </w:r>
    </w:p>
    <w:p w14:paraId="32300D17" w14:textId="544545D2" w:rsidR="008E434D" w:rsidRPr="009C3A83" w:rsidRDefault="008E434D" w:rsidP="009C3A83">
      <w:pPr>
        <w:pStyle w:val="00"/>
        <w:rPr>
          <w:rFonts w:ascii="Calibri" w:hAnsi="Calibri"/>
          <w:b/>
          <w:color w:val="auto"/>
          <w:u w:val="single"/>
        </w:rPr>
      </w:pPr>
      <w:r w:rsidRPr="009C3A83">
        <w:rPr>
          <w:rFonts w:ascii="Calibri" w:hAnsi="Calibri"/>
          <w:b/>
          <w:color w:val="auto"/>
          <w:u w:val="single"/>
        </w:rPr>
        <w:t>本项目营运后针对</w:t>
      </w:r>
      <w:r w:rsidR="00333F13" w:rsidRPr="009C3A83">
        <w:rPr>
          <w:rFonts w:ascii="Calibri" w:hAnsi="Calibri" w:hint="eastAsia"/>
          <w:b/>
          <w:color w:val="auto"/>
          <w:u w:val="single"/>
        </w:rPr>
        <w:t>工艺</w:t>
      </w:r>
      <w:r w:rsidR="00333F13" w:rsidRPr="009C3A83">
        <w:rPr>
          <w:rFonts w:ascii="Calibri" w:hAnsi="Calibri"/>
          <w:b/>
          <w:color w:val="auto"/>
          <w:u w:val="single"/>
        </w:rPr>
        <w:t>产生废气</w:t>
      </w:r>
      <w:r w:rsidRPr="009C3A83">
        <w:rPr>
          <w:rFonts w:ascii="Calibri" w:hAnsi="Calibri"/>
          <w:b/>
          <w:color w:val="auto"/>
          <w:u w:val="single"/>
        </w:rPr>
        <w:t>和废水处理站废气采用活性吸附装置进行末端处理，该过程会产生废活性炭，根据物料衡算和活性炭的吸附效率（</w:t>
      </w:r>
      <w:r w:rsidRPr="009C3A83">
        <w:rPr>
          <w:rFonts w:ascii="Calibri" w:hAnsi="Calibri" w:hint="eastAsia"/>
          <w:b/>
          <w:color w:val="auto"/>
          <w:u w:val="single"/>
        </w:rPr>
        <w:t>1kg</w:t>
      </w:r>
      <w:r w:rsidRPr="009C3A83">
        <w:rPr>
          <w:rFonts w:ascii="Calibri" w:hAnsi="Calibri" w:hint="eastAsia"/>
          <w:b/>
          <w:color w:val="auto"/>
          <w:u w:val="single"/>
        </w:rPr>
        <w:t>活性炭可吸附有机废气的量为</w:t>
      </w:r>
      <w:r w:rsidRPr="009C3A83">
        <w:rPr>
          <w:rFonts w:ascii="Calibri" w:hAnsi="Calibri" w:hint="eastAsia"/>
          <w:b/>
          <w:color w:val="auto"/>
          <w:u w:val="single"/>
        </w:rPr>
        <w:t>0.4kg</w:t>
      </w:r>
      <w:r w:rsidRPr="009C3A83">
        <w:rPr>
          <w:rFonts w:ascii="Calibri" w:hAnsi="Calibri"/>
          <w:b/>
          <w:color w:val="auto"/>
          <w:u w:val="single"/>
        </w:rPr>
        <w:t>），</w:t>
      </w:r>
      <w:r w:rsidR="00333F13" w:rsidRPr="009C3A83">
        <w:rPr>
          <w:rFonts w:ascii="Calibri" w:hAnsi="Calibri" w:hint="eastAsia"/>
          <w:b/>
          <w:color w:val="auto"/>
          <w:u w:val="single"/>
        </w:rPr>
        <w:t>一期</w:t>
      </w:r>
      <w:r w:rsidR="00333F13" w:rsidRPr="009C3A83">
        <w:rPr>
          <w:rFonts w:ascii="Calibri" w:hAnsi="Calibri"/>
          <w:b/>
          <w:color w:val="auto"/>
          <w:u w:val="single"/>
        </w:rPr>
        <w:t>工程</w:t>
      </w:r>
      <w:r w:rsidRPr="009C3A83">
        <w:rPr>
          <w:rFonts w:ascii="Calibri" w:hAnsi="Calibri"/>
          <w:b/>
          <w:color w:val="auto"/>
          <w:u w:val="single"/>
        </w:rPr>
        <w:t>废活性炭产生量为</w:t>
      </w:r>
      <w:r w:rsidR="009C3A83" w:rsidRPr="009C3A83">
        <w:rPr>
          <w:rFonts w:ascii="Calibri" w:hAnsi="Calibri"/>
          <w:b/>
          <w:color w:val="auto"/>
          <w:u w:val="single"/>
        </w:rPr>
        <w:t>3.16</w:t>
      </w:r>
      <w:r w:rsidRPr="009C3A83">
        <w:rPr>
          <w:rFonts w:ascii="Calibri" w:hAnsi="Calibri" w:hint="eastAsia"/>
          <w:b/>
          <w:color w:val="auto"/>
          <w:u w:val="single"/>
        </w:rPr>
        <w:t>t/a</w:t>
      </w:r>
      <w:r w:rsidRPr="009C3A83">
        <w:rPr>
          <w:rFonts w:ascii="Calibri" w:hAnsi="Calibri" w:hint="eastAsia"/>
          <w:b/>
          <w:color w:val="auto"/>
          <w:u w:val="single"/>
        </w:rPr>
        <w:t>，</w:t>
      </w:r>
      <w:r w:rsidR="00333F13" w:rsidRPr="009C3A83">
        <w:rPr>
          <w:rFonts w:ascii="Calibri" w:hAnsi="Calibri" w:hint="eastAsia"/>
          <w:b/>
          <w:color w:val="auto"/>
          <w:u w:val="single"/>
        </w:rPr>
        <w:t>二期</w:t>
      </w:r>
      <w:r w:rsidR="00333F13" w:rsidRPr="009C3A83">
        <w:rPr>
          <w:rFonts w:ascii="Calibri" w:hAnsi="Calibri"/>
          <w:b/>
          <w:color w:val="auto"/>
          <w:u w:val="single"/>
        </w:rPr>
        <w:t>工程废活性炭产生量为</w:t>
      </w:r>
      <w:r w:rsidR="009C3A83" w:rsidRPr="009C3A83">
        <w:rPr>
          <w:rFonts w:ascii="Calibri" w:hAnsi="Calibri"/>
          <w:b/>
          <w:color w:val="auto"/>
          <w:u w:val="single"/>
        </w:rPr>
        <w:t>1.80</w:t>
      </w:r>
      <w:r w:rsidR="00333F13" w:rsidRPr="009C3A83">
        <w:rPr>
          <w:rFonts w:ascii="Calibri" w:hAnsi="Calibri"/>
          <w:b/>
          <w:color w:val="auto"/>
          <w:u w:val="single"/>
        </w:rPr>
        <w:t>t/a</w:t>
      </w:r>
      <w:r w:rsidR="00333F13" w:rsidRPr="009C3A83">
        <w:rPr>
          <w:rFonts w:ascii="Calibri" w:hAnsi="Calibri" w:hint="eastAsia"/>
          <w:b/>
          <w:color w:val="auto"/>
          <w:u w:val="single"/>
        </w:rPr>
        <w:t>。</w:t>
      </w:r>
      <w:r w:rsidRPr="009C3A83">
        <w:rPr>
          <w:rFonts w:ascii="Calibri" w:hAnsi="Calibri" w:hint="eastAsia"/>
          <w:b/>
          <w:color w:val="auto"/>
          <w:u w:val="single"/>
        </w:rPr>
        <w:t>废活性炭主要沾染了</w:t>
      </w:r>
      <w:r w:rsidR="008B10D5">
        <w:rPr>
          <w:rFonts w:ascii="Calibri" w:hAnsi="Calibri" w:hint="eastAsia"/>
          <w:b/>
          <w:color w:val="auto"/>
          <w:u w:val="single"/>
        </w:rPr>
        <w:t>有毒有害</w:t>
      </w:r>
      <w:r w:rsidR="008B10D5">
        <w:rPr>
          <w:rFonts w:ascii="Calibri" w:hAnsi="Calibri"/>
          <w:b/>
          <w:color w:val="auto"/>
          <w:u w:val="single"/>
        </w:rPr>
        <w:t>物质</w:t>
      </w:r>
      <w:r w:rsidRPr="009C3A83">
        <w:rPr>
          <w:rFonts w:ascii="Calibri" w:hAnsi="Calibri" w:hint="eastAsia"/>
          <w:b/>
          <w:color w:val="auto"/>
          <w:u w:val="single"/>
        </w:rPr>
        <w:t>，根据吸附废气特点，可能沾染的有机物为</w:t>
      </w:r>
      <w:r w:rsidR="00333F13" w:rsidRPr="009C3A83">
        <w:rPr>
          <w:rFonts w:ascii="Calibri" w:hAnsi="Calibri" w:hint="eastAsia"/>
          <w:b/>
          <w:color w:val="auto"/>
          <w:u w:val="single"/>
        </w:rPr>
        <w:t>己二胺</w:t>
      </w:r>
      <w:r w:rsidR="00333F13" w:rsidRPr="009C3A83">
        <w:rPr>
          <w:rFonts w:ascii="Calibri" w:hAnsi="Calibri"/>
          <w:b/>
          <w:color w:val="auto"/>
          <w:u w:val="single"/>
        </w:rPr>
        <w:t>、己二酸、</w:t>
      </w:r>
      <w:r w:rsidR="00333F13" w:rsidRPr="009C3A83">
        <w:rPr>
          <w:rFonts w:ascii="Calibri" w:hAnsi="Calibri" w:hint="eastAsia"/>
          <w:b/>
          <w:color w:val="auto"/>
          <w:u w:val="single"/>
        </w:rPr>
        <w:t>环戊酮</w:t>
      </w:r>
      <w:r w:rsidR="00333F13" w:rsidRPr="009C3A83">
        <w:rPr>
          <w:rFonts w:ascii="Calibri" w:hAnsi="Calibri"/>
          <w:b/>
          <w:color w:val="auto"/>
          <w:u w:val="single"/>
        </w:rPr>
        <w:t>、</w:t>
      </w:r>
      <w:r w:rsidR="00333F13" w:rsidRPr="009C3A83">
        <w:rPr>
          <w:rFonts w:ascii="Calibri" w:hAnsi="Calibri" w:hint="eastAsia"/>
          <w:b/>
          <w:color w:val="auto"/>
          <w:u w:val="single"/>
        </w:rPr>
        <w:t>环</w:t>
      </w:r>
      <w:r w:rsidR="00333F13" w:rsidRPr="009C3A83">
        <w:rPr>
          <w:rFonts w:ascii="Calibri" w:hAnsi="Calibri"/>
          <w:b/>
          <w:color w:val="auto"/>
          <w:u w:val="single"/>
        </w:rPr>
        <w:t>己</w:t>
      </w:r>
      <w:r w:rsidR="00333F13" w:rsidRPr="009C3A83">
        <w:rPr>
          <w:rFonts w:ascii="Calibri" w:hAnsi="Calibri" w:hint="eastAsia"/>
          <w:b/>
          <w:color w:val="auto"/>
          <w:u w:val="single"/>
        </w:rPr>
        <w:t>亚</w:t>
      </w:r>
      <w:r w:rsidR="00333F13" w:rsidRPr="009C3A83">
        <w:rPr>
          <w:rFonts w:ascii="Calibri" w:hAnsi="Calibri"/>
          <w:b/>
          <w:color w:val="auto"/>
          <w:u w:val="single"/>
        </w:rPr>
        <w:t>胺</w:t>
      </w:r>
      <w:r w:rsidR="009C3A83" w:rsidRPr="009C3A83">
        <w:rPr>
          <w:rFonts w:ascii="Calibri" w:hAnsi="Calibri" w:hint="eastAsia"/>
          <w:b/>
          <w:color w:val="auto"/>
          <w:u w:val="single"/>
        </w:rPr>
        <w:t>、癸二胺、癸二酸、十二内酰胺</w:t>
      </w:r>
      <w:r w:rsidRPr="009C3A83">
        <w:rPr>
          <w:rFonts w:ascii="Calibri" w:hAnsi="Calibri" w:hint="eastAsia"/>
          <w:b/>
          <w:color w:val="auto"/>
          <w:u w:val="single"/>
        </w:rPr>
        <w:t>等。</w:t>
      </w:r>
    </w:p>
    <w:p w14:paraId="7872F887" w14:textId="170C6CE2" w:rsidR="008E434D" w:rsidRDefault="008E434D" w:rsidP="00695D64">
      <w:pPr>
        <w:pStyle w:val="00"/>
        <w:ind w:firstLine="482"/>
        <w:rPr>
          <w:rFonts w:ascii="Calibri" w:hAnsi="Calibri"/>
          <w:color w:val="auto"/>
        </w:rPr>
      </w:pPr>
      <w:r w:rsidRPr="000E15EB">
        <w:rPr>
          <w:rFonts w:ascii="Calibri" w:hAnsi="Calibri"/>
          <w:color w:val="auto"/>
        </w:rPr>
        <w:t>根据《国家危险废物名录》（</w:t>
      </w:r>
      <w:r w:rsidRPr="000E15EB">
        <w:rPr>
          <w:rFonts w:ascii="Calibri" w:hAnsi="Calibri"/>
          <w:color w:val="auto"/>
        </w:rPr>
        <w:t>20</w:t>
      </w:r>
      <w:r w:rsidRPr="000E15EB">
        <w:rPr>
          <w:rFonts w:ascii="Calibri" w:hAnsi="Calibri" w:hint="eastAsia"/>
          <w:color w:val="auto"/>
        </w:rPr>
        <w:t>21</w:t>
      </w:r>
      <w:r w:rsidRPr="000E15EB">
        <w:rPr>
          <w:rFonts w:ascii="Calibri" w:hAnsi="Calibri" w:hint="eastAsia"/>
          <w:color w:val="auto"/>
        </w:rPr>
        <w:t>年版</w:t>
      </w:r>
      <w:r w:rsidRPr="000E15EB">
        <w:rPr>
          <w:rFonts w:ascii="Calibri" w:hAnsi="Calibri"/>
          <w:color w:val="auto"/>
        </w:rPr>
        <w:t>），</w:t>
      </w:r>
      <w:r w:rsidRPr="000E15EB">
        <w:rPr>
          <w:rFonts w:ascii="Calibri" w:hAnsi="Calibri" w:hint="eastAsia"/>
          <w:color w:val="auto"/>
        </w:rPr>
        <w:t>废活性炭</w:t>
      </w:r>
      <w:r w:rsidRPr="000E15EB">
        <w:rPr>
          <w:rFonts w:ascii="Calibri" w:hAnsi="Calibri"/>
          <w:color w:val="auto"/>
        </w:rPr>
        <w:t>为危险废物，废物类别为</w:t>
      </w:r>
      <w:r w:rsidRPr="000E15EB">
        <w:rPr>
          <w:rFonts w:ascii="Calibri" w:hAnsi="Calibri"/>
          <w:color w:val="auto"/>
        </w:rPr>
        <w:t>HW49</w:t>
      </w:r>
      <w:r w:rsidRPr="000E15EB">
        <w:rPr>
          <w:rFonts w:ascii="Calibri" w:hAnsi="Calibri"/>
          <w:color w:val="auto"/>
        </w:rPr>
        <w:t>其他废物，废物代码为</w:t>
      </w:r>
      <w:r w:rsidRPr="000E15EB">
        <w:rPr>
          <w:rFonts w:ascii="Calibri" w:hAnsi="Calibri"/>
          <w:color w:val="auto"/>
        </w:rPr>
        <w:t>900-0</w:t>
      </w:r>
      <w:r w:rsidR="00695D64">
        <w:rPr>
          <w:rFonts w:ascii="Calibri" w:hAnsi="Calibri"/>
          <w:color w:val="auto"/>
        </w:rPr>
        <w:t>39</w:t>
      </w:r>
      <w:r w:rsidRPr="000E15EB">
        <w:rPr>
          <w:rFonts w:ascii="Calibri" w:hAnsi="Calibri"/>
          <w:color w:val="auto"/>
        </w:rPr>
        <w:t>-49</w:t>
      </w:r>
      <w:r w:rsidRPr="000E15EB">
        <w:rPr>
          <w:rFonts w:ascii="Calibri" w:hAnsi="Calibri"/>
          <w:color w:val="auto"/>
        </w:rPr>
        <w:t>，属于</w:t>
      </w:r>
      <w:r w:rsidR="00695D64" w:rsidRPr="00695D64">
        <w:rPr>
          <w:rFonts w:ascii="Calibri" w:hAnsi="Calibri" w:hint="eastAsia"/>
          <w:color w:val="auto"/>
        </w:rPr>
        <w:t>烟气、</w:t>
      </w:r>
      <w:r w:rsidR="00695D64" w:rsidRPr="00695D64">
        <w:rPr>
          <w:rFonts w:ascii="Calibri" w:hAnsi="Calibri" w:hint="eastAsia"/>
          <w:color w:val="auto"/>
        </w:rPr>
        <w:t xml:space="preserve">VOCs </w:t>
      </w:r>
      <w:r w:rsidR="00695D64" w:rsidRPr="00695D64">
        <w:rPr>
          <w:rFonts w:ascii="Calibri" w:hAnsi="Calibri" w:hint="eastAsia"/>
          <w:color w:val="auto"/>
        </w:rPr>
        <w:t>治理过程（不包括餐饮行业油</w:t>
      </w:r>
      <w:r w:rsidR="00695D64" w:rsidRPr="00695D64">
        <w:rPr>
          <w:rFonts w:ascii="Calibri" w:hAnsi="Calibri" w:hint="eastAsia"/>
          <w:color w:val="auto"/>
        </w:rPr>
        <w:lastRenderedPageBreak/>
        <w:t>烟治理过程）产生的废活性炭，化学原料和化学制品脱色（不包括有机合成食品添加剂脱色）、除杂、净化过程产生的废活性炭（不包括</w:t>
      </w:r>
      <w:r w:rsidR="00695D64" w:rsidRPr="00695D64">
        <w:rPr>
          <w:rFonts w:ascii="Calibri" w:hAnsi="Calibri" w:hint="eastAsia"/>
          <w:color w:val="auto"/>
        </w:rPr>
        <w:t>900-405-06</w:t>
      </w:r>
      <w:r w:rsidR="00695D64">
        <w:rPr>
          <w:rFonts w:ascii="Calibri" w:hAnsi="Calibri" w:hint="eastAsia"/>
          <w:color w:val="auto"/>
        </w:rPr>
        <w:t>、</w:t>
      </w:r>
      <w:r w:rsidR="00546C2E">
        <w:rPr>
          <w:rFonts w:ascii="Calibri" w:hAnsi="Calibri" w:hint="eastAsia"/>
          <w:color w:val="auto"/>
        </w:rPr>
        <w:t>772-005-18</w:t>
      </w:r>
      <w:r w:rsidR="00695D64" w:rsidRPr="00695D64">
        <w:rPr>
          <w:rFonts w:ascii="Calibri" w:hAnsi="Calibri" w:hint="eastAsia"/>
          <w:color w:val="auto"/>
        </w:rPr>
        <w:t>、</w:t>
      </w:r>
      <w:r w:rsidR="00695D64" w:rsidRPr="00695D64">
        <w:rPr>
          <w:rFonts w:ascii="Calibri" w:hAnsi="Calibri" w:hint="eastAsia"/>
          <w:color w:val="auto"/>
        </w:rPr>
        <w:t xml:space="preserve">261-053-29 </w:t>
      </w:r>
      <w:r w:rsidR="00695D64">
        <w:rPr>
          <w:rFonts w:ascii="Calibri" w:hAnsi="Calibri" w:hint="eastAsia"/>
          <w:color w:val="auto"/>
        </w:rPr>
        <w:t>、</w:t>
      </w:r>
      <w:r w:rsidR="00695D64">
        <w:rPr>
          <w:rFonts w:ascii="Calibri" w:hAnsi="Calibri" w:hint="eastAsia"/>
          <w:color w:val="auto"/>
        </w:rPr>
        <w:t>265-002-29</w:t>
      </w:r>
      <w:r w:rsidR="00695D64" w:rsidRPr="00695D64">
        <w:rPr>
          <w:rFonts w:ascii="Calibri" w:hAnsi="Calibri" w:hint="eastAsia"/>
          <w:color w:val="auto"/>
        </w:rPr>
        <w:t>、</w:t>
      </w:r>
      <w:r w:rsidR="00695D64" w:rsidRPr="00695D64">
        <w:rPr>
          <w:rFonts w:ascii="Calibri" w:hAnsi="Calibri" w:hint="eastAsia"/>
          <w:color w:val="auto"/>
        </w:rPr>
        <w:t>384-003-29</w:t>
      </w:r>
      <w:r w:rsidR="00695D64" w:rsidRPr="00695D64">
        <w:rPr>
          <w:rFonts w:ascii="Calibri" w:hAnsi="Calibri" w:hint="eastAsia"/>
          <w:color w:val="auto"/>
        </w:rPr>
        <w:t>、</w:t>
      </w:r>
      <w:r w:rsidR="00546C2E">
        <w:rPr>
          <w:rFonts w:ascii="Calibri" w:hAnsi="Calibri" w:hint="eastAsia"/>
          <w:color w:val="auto"/>
        </w:rPr>
        <w:t>387-001-29</w:t>
      </w:r>
      <w:r w:rsidR="00695D64" w:rsidRPr="00695D64">
        <w:rPr>
          <w:rFonts w:ascii="Calibri" w:hAnsi="Calibri" w:hint="eastAsia"/>
          <w:color w:val="auto"/>
        </w:rPr>
        <w:t>类废物）</w:t>
      </w:r>
      <w:r w:rsidR="00695D64">
        <w:rPr>
          <w:rFonts w:ascii="Calibri" w:hAnsi="Calibri" w:hint="eastAsia"/>
          <w:color w:val="auto"/>
        </w:rPr>
        <w:t>。</w:t>
      </w:r>
      <w:r w:rsidRPr="000E15EB">
        <w:rPr>
          <w:rFonts w:ascii="Calibri" w:hAnsi="Calibri"/>
          <w:color w:val="auto"/>
        </w:rPr>
        <w:t>该部分固废收集后采用密闭硬质塑料箱存储在危废暂存间，定期交由资质单位进行安全处置，不得随意排放。</w:t>
      </w:r>
    </w:p>
    <w:p w14:paraId="6DB556B1" w14:textId="77777777" w:rsidR="00535728" w:rsidRDefault="00535728" w:rsidP="00535728">
      <w:pPr>
        <w:pStyle w:val="00"/>
        <w:rPr>
          <w:rFonts w:ascii="Calibri"/>
          <w:color w:val="auto"/>
          <w:szCs w:val="20"/>
        </w:rPr>
      </w:pPr>
      <w:r w:rsidRPr="00535728">
        <w:rPr>
          <w:rFonts w:ascii="Calibri" w:hint="eastAsia"/>
          <w:color w:val="auto"/>
          <w:szCs w:val="20"/>
        </w:rPr>
        <w:t>（</w:t>
      </w:r>
      <w:r>
        <w:rPr>
          <w:rFonts w:ascii="Calibri"/>
          <w:color w:val="auto"/>
          <w:szCs w:val="20"/>
        </w:rPr>
        <w:t>2</w:t>
      </w:r>
      <w:r w:rsidRPr="00535728">
        <w:rPr>
          <w:rFonts w:ascii="Calibri" w:hint="eastAsia"/>
          <w:color w:val="auto"/>
          <w:szCs w:val="20"/>
        </w:rPr>
        <w:t>）废</w:t>
      </w:r>
      <w:r>
        <w:rPr>
          <w:rFonts w:ascii="Calibri" w:hint="eastAsia"/>
          <w:color w:val="auto"/>
          <w:szCs w:val="20"/>
        </w:rPr>
        <w:t>紫外灯管</w:t>
      </w:r>
    </w:p>
    <w:p w14:paraId="60CBA3AF" w14:textId="5F4B557D" w:rsidR="00535728" w:rsidRDefault="00535728" w:rsidP="00C06E1B">
      <w:pPr>
        <w:pStyle w:val="00"/>
        <w:rPr>
          <w:rFonts w:ascii="Calibri"/>
          <w:color w:val="auto"/>
          <w:szCs w:val="20"/>
        </w:rPr>
      </w:pPr>
      <w:r>
        <w:rPr>
          <w:rFonts w:ascii="Calibri" w:hint="eastAsia"/>
          <w:color w:val="auto"/>
          <w:szCs w:val="20"/>
        </w:rPr>
        <w:t>本项目</w:t>
      </w:r>
      <w:r w:rsidR="009C3A83">
        <w:rPr>
          <w:rFonts w:ascii="Calibri" w:hint="eastAsia"/>
          <w:color w:val="auto"/>
          <w:szCs w:val="20"/>
        </w:rPr>
        <w:t>一期</w:t>
      </w:r>
      <w:r w:rsidR="009C3A83">
        <w:rPr>
          <w:rFonts w:ascii="Calibri"/>
          <w:color w:val="auto"/>
          <w:szCs w:val="20"/>
        </w:rPr>
        <w:t>、二期</w:t>
      </w:r>
      <w:r w:rsidR="009C3A83">
        <w:rPr>
          <w:rFonts w:ascii="Calibri" w:hint="eastAsia"/>
          <w:color w:val="auto"/>
          <w:szCs w:val="20"/>
        </w:rPr>
        <w:t>项目</w:t>
      </w:r>
      <w:r w:rsidR="009C3A83">
        <w:rPr>
          <w:rFonts w:ascii="Calibri"/>
          <w:color w:val="auto"/>
          <w:szCs w:val="20"/>
        </w:rPr>
        <w:t>营运过程中</w:t>
      </w:r>
      <w:r>
        <w:rPr>
          <w:rFonts w:ascii="Calibri"/>
          <w:color w:val="auto"/>
          <w:szCs w:val="20"/>
        </w:rPr>
        <w:t>产生</w:t>
      </w:r>
      <w:r>
        <w:rPr>
          <w:rFonts w:ascii="Calibri" w:hint="eastAsia"/>
          <w:color w:val="auto"/>
          <w:szCs w:val="20"/>
        </w:rPr>
        <w:t>的</w:t>
      </w:r>
      <w:r>
        <w:rPr>
          <w:rFonts w:ascii="Calibri"/>
          <w:color w:val="auto"/>
          <w:szCs w:val="20"/>
        </w:rPr>
        <w:t>有机废气采用</w:t>
      </w:r>
      <w:r w:rsidR="009C3A83">
        <w:rPr>
          <w:rFonts w:ascii="Calibri" w:hint="eastAsia"/>
          <w:color w:val="auto"/>
          <w:szCs w:val="20"/>
        </w:rPr>
        <w:t>一套</w:t>
      </w:r>
      <w:r>
        <w:rPr>
          <w:rFonts w:ascii="Calibri" w:hint="eastAsia"/>
          <w:color w:val="auto"/>
          <w:szCs w:val="20"/>
        </w:rPr>
        <w:t>UV</w:t>
      </w:r>
      <w:r>
        <w:rPr>
          <w:rFonts w:ascii="Calibri" w:hint="eastAsia"/>
          <w:color w:val="auto"/>
          <w:szCs w:val="20"/>
        </w:rPr>
        <w:t>光氧催化</w:t>
      </w:r>
      <w:r>
        <w:rPr>
          <w:rFonts w:ascii="Calibri" w:hint="eastAsia"/>
          <w:color w:val="auto"/>
          <w:szCs w:val="20"/>
        </w:rPr>
        <w:t>+</w:t>
      </w:r>
      <w:r>
        <w:rPr>
          <w:rFonts w:ascii="Calibri" w:hint="eastAsia"/>
          <w:color w:val="auto"/>
          <w:szCs w:val="20"/>
        </w:rPr>
        <w:t>活性炭</w:t>
      </w:r>
      <w:r>
        <w:rPr>
          <w:rFonts w:ascii="Calibri"/>
          <w:color w:val="auto"/>
          <w:szCs w:val="20"/>
        </w:rPr>
        <w:t>吸附装置处理</w:t>
      </w:r>
      <w:r>
        <w:rPr>
          <w:rFonts w:ascii="Calibri" w:hint="eastAsia"/>
          <w:color w:val="auto"/>
          <w:szCs w:val="20"/>
        </w:rPr>
        <w:t>，</w:t>
      </w:r>
      <w:r>
        <w:rPr>
          <w:rFonts w:ascii="Calibri"/>
          <w:color w:val="auto"/>
          <w:szCs w:val="20"/>
        </w:rPr>
        <w:t>根据</w:t>
      </w:r>
      <w:r w:rsidR="00626D42">
        <w:rPr>
          <w:rFonts w:ascii="Calibri" w:hint="eastAsia"/>
          <w:color w:val="auto"/>
          <w:szCs w:val="20"/>
        </w:rPr>
        <w:t>企业设计</w:t>
      </w:r>
      <w:r w:rsidR="00626D42">
        <w:rPr>
          <w:rFonts w:ascii="Calibri"/>
          <w:color w:val="auto"/>
          <w:szCs w:val="20"/>
        </w:rPr>
        <w:t>光氧催化装置内设置</w:t>
      </w:r>
      <w:r w:rsidR="00626D42">
        <w:rPr>
          <w:rFonts w:ascii="Calibri"/>
          <w:color w:val="auto"/>
          <w:szCs w:val="20"/>
        </w:rPr>
        <w:t>12</w:t>
      </w:r>
      <w:r w:rsidR="00626D42">
        <w:rPr>
          <w:rFonts w:ascii="Calibri" w:hint="eastAsia"/>
          <w:color w:val="auto"/>
          <w:szCs w:val="20"/>
        </w:rPr>
        <w:t>根</w:t>
      </w:r>
      <w:r w:rsidR="00626D42">
        <w:rPr>
          <w:rFonts w:ascii="Calibri"/>
          <w:color w:val="auto"/>
          <w:szCs w:val="20"/>
        </w:rPr>
        <w:t>紫外线灯管</w:t>
      </w:r>
      <w:r w:rsidR="00626D42">
        <w:rPr>
          <w:rFonts w:ascii="Calibri" w:hint="eastAsia"/>
          <w:color w:val="auto"/>
          <w:szCs w:val="20"/>
        </w:rPr>
        <w:t>，</w:t>
      </w:r>
      <w:r w:rsidR="00626D42">
        <w:rPr>
          <w:rFonts w:ascii="Calibri"/>
          <w:color w:val="auto"/>
          <w:szCs w:val="20"/>
        </w:rPr>
        <w:t>紫外线灯管</w:t>
      </w:r>
      <w:r w:rsidR="00626D42">
        <w:rPr>
          <w:rFonts w:ascii="Calibri" w:hint="eastAsia"/>
          <w:color w:val="auto"/>
          <w:szCs w:val="20"/>
        </w:rPr>
        <w:t>在</w:t>
      </w:r>
      <w:r w:rsidR="00626D42">
        <w:rPr>
          <w:rFonts w:ascii="Calibri"/>
          <w:color w:val="auto"/>
          <w:szCs w:val="20"/>
        </w:rPr>
        <w:t>使用过程中会</w:t>
      </w:r>
      <w:r w:rsidR="00626D42">
        <w:rPr>
          <w:rFonts w:ascii="Calibri" w:hint="eastAsia"/>
          <w:color w:val="auto"/>
          <w:szCs w:val="20"/>
        </w:rPr>
        <w:t>逐渐</w:t>
      </w:r>
      <w:r w:rsidR="00626D42">
        <w:rPr>
          <w:rFonts w:ascii="Calibri"/>
          <w:color w:val="auto"/>
          <w:szCs w:val="20"/>
        </w:rPr>
        <w:t>衰减，从而降低其处理效率，需要定时维护及更换，本项目有机废气处理设备年运行时间约为</w:t>
      </w:r>
      <w:r w:rsidR="00626D42">
        <w:rPr>
          <w:rFonts w:ascii="Calibri" w:hint="eastAsia"/>
          <w:color w:val="auto"/>
          <w:szCs w:val="20"/>
        </w:rPr>
        <w:t>7200</w:t>
      </w:r>
      <w:r w:rsidR="00626D42">
        <w:rPr>
          <w:rFonts w:ascii="Calibri"/>
          <w:color w:val="auto"/>
          <w:szCs w:val="20"/>
        </w:rPr>
        <w:t>h</w:t>
      </w:r>
      <w:r w:rsidR="00626D42">
        <w:rPr>
          <w:rFonts w:ascii="Calibri" w:hint="eastAsia"/>
          <w:color w:val="auto"/>
          <w:szCs w:val="20"/>
        </w:rPr>
        <w:t>，平均每年</w:t>
      </w:r>
      <w:r w:rsidR="00626D42">
        <w:rPr>
          <w:rFonts w:ascii="Calibri"/>
          <w:color w:val="auto"/>
          <w:szCs w:val="20"/>
        </w:rPr>
        <w:t>废灯管产生量为</w:t>
      </w:r>
      <w:r w:rsidR="009C3A83">
        <w:rPr>
          <w:rFonts w:ascii="Calibri" w:hint="eastAsia"/>
          <w:color w:val="auto"/>
          <w:szCs w:val="20"/>
        </w:rPr>
        <w:t>1</w:t>
      </w:r>
      <w:r w:rsidR="00626D42">
        <w:rPr>
          <w:rFonts w:ascii="Calibri"/>
          <w:color w:val="auto"/>
          <w:szCs w:val="20"/>
        </w:rPr>
        <w:t>kg/a</w:t>
      </w:r>
      <w:r w:rsidR="00626D42">
        <w:rPr>
          <w:rFonts w:ascii="Calibri" w:hint="eastAsia"/>
          <w:color w:val="auto"/>
          <w:szCs w:val="20"/>
        </w:rPr>
        <w:t>。</w:t>
      </w:r>
    </w:p>
    <w:p w14:paraId="7F535340" w14:textId="77777777" w:rsidR="00F460CD" w:rsidRPr="00F460CD" w:rsidRDefault="00F460CD" w:rsidP="00F460CD">
      <w:pPr>
        <w:pStyle w:val="00"/>
        <w:rPr>
          <w:rFonts w:ascii="Calibri" w:hAnsi="Calibri"/>
          <w:color w:val="auto"/>
        </w:rPr>
      </w:pPr>
      <w:r w:rsidRPr="000E15EB">
        <w:rPr>
          <w:rFonts w:ascii="Calibri" w:hAnsi="Calibri"/>
          <w:color w:val="auto"/>
        </w:rPr>
        <w:t>根据《国家危险废物名录》（</w:t>
      </w:r>
      <w:r w:rsidRPr="000E15EB">
        <w:rPr>
          <w:rFonts w:ascii="Calibri" w:hAnsi="Calibri"/>
          <w:color w:val="auto"/>
        </w:rPr>
        <w:t>20</w:t>
      </w:r>
      <w:r w:rsidRPr="000E15EB">
        <w:rPr>
          <w:rFonts w:ascii="Calibri" w:hAnsi="Calibri" w:hint="eastAsia"/>
          <w:color w:val="auto"/>
        </w:rPr>
        <w:t>21</w:t>
      </w:r>
      <w:r w:rsidRPr="000E15EB">
        <w:rPr>
          <w:rFonts w:ascii="Calibri" w:hAnsi="Calibri" w:hint="eastAsia"/>
          <w:color w:val="auto"/>
        </w:rPr>
        <w:t>年版</w:t>
      </w:r>
      <w:r w:rsidRPr="000E15EB">
        <w:rPr>
          <w:rFonts w:ascii="Calibri" w:hAnsi="Calibri"/>
          <w:color w:val="auto"/>
        </w:rPr>
        <w:t>），</w:t>
      </w:r>
      <w:r>
        <w:rPr>
          <w:rFonts w:ascii="Calibri" w:hAnsi="Calibri" w:hint="eastAsia"/>
          <w:color w:val="auto"/>
        </w:rPr>
        <w:t>灯管</w:t>
      </w:r>
      <w:r w:rsidRPr="000E15EB">
        <w:rPr>
          <w:rFonts w:ascii="Calibri" w:hAnsi="Calibri"/>
          <w:color w:val="auto"/>
        </w:rPr>
        <w:t>为危险废物</w:t>
      </w:r>
      <w:r>
        <w:rPr>
          <w:rFonts w:ascii="Calibri" w:hAnsi="Calibri" w:hint="eastAsia"/>
          <w:color w:val="auto"/>
        </w:rPr>
        <w:t>，</w:t>
      </w:r>
      <w:r>
        <w:rPr>
          <w:rFonts w:ascii="Calibri" w:hAnsi="Calibri"/>
          <w:color w:val="auto"/>
        </w:rPr>
        <w:t>类别为</w:t>
      </w:r>
      <w:r>
        <w:rPr>
          <w:rFonts w:ascii="Calibri" w:hAnsi="Calibri" w:hint="eastAsia"/>
          <w:color w:val="auto"/>
        </w:rPr>
        <w:t>HW29</w:t>
      </w:r>
      <w:r>
        <w:rPr>
          <w:rFonts w:ascii="Calibri" w:hAnsi="Calibri" w:hint="eastAsia"/>
          <w:color w:val="auto"/>
        </w:rPr>
        <w:t>（含</w:t>
      </w:r>
      <w:r>
        <w:rPr>
          <w:rFonts w:ascii="Calibri" w:hAnsi="Calibri"/>
          <w:color w:val="auto"/>
        </w:rPr>
        <w:t>汞废物</w:t>
      </w:r>
      <w:r>
        <w:rPr>
          <w:rFonts w:ascii="Calibri" w:hAnsi="Calibri" w:hint="eastAsia"/>
          <w:color w:val="auto"/>
        </w:rPr>
        <w:t>），行业</w:t>
      </w:r>
      <w:r>
        <w:rPr>
          <w:rFonts w:ascii="Calibri" w:hAnsi="Calibri"/>
          <w:color w:val="auto"/>
        </w:rPr>
        <w:t>来源为非特定行业，废物代码为</w:t>
      </w:r>
      <w:r>
        <w:rPr>
          <w:rFonts w:ascii="Calibri" w:hAnsi="Calibri" w:hint="eastAsia"/>
          <w:color w:val="auto"/>
        </w:rPr>
        <w:t>900-023-29</w:t>
      </w:r>
      <w:r>
        <w:rPr>
          <w:rFonts w:ascii="Calibri" w:hAnsi="Calibri" w:hint="eastAsia"/>
          <w:color w:val="auto"/>
        </w:rPr>
        <w:t>（生产</w:t>
      </w:r>
      <w:r>
        <w:rPr>
          <w:rFonts w:ascii="Calibri" w:hAnsi="Calibri"/>
          <w:color w:val="auto"/>
        </w:rPr>
        <w:t>、销售及使用过程中产生的废含汞灯管</w:t>
      </w:r>
      <w:r>
        <w:rPr>
          <w:rFonts w:ascii="Calibri" w:hAnsi="Calibri" w:hint="eastAsia"/>
          <w:color w:val="auto"/>
        </w:rPr>
        <w:t>）。</w:t>
      </w:r>
      <w:r w:rsidRPr="000E15EB">
        <w:rPr>
          <w:rFonts w:ascii="Calibri" w:hAnsi="Calibri"/>
          <w:color w:val="auto"/>
        </w:rPr>
        <w:t>该部分固废收集后采用密闭硬质塑料箱存储在危废暂存间，定期交由资质单位进行安全处置，不得随意排放。</w:t>
      </w:r>
    </w:p>
    <w:p w14:paraId="3AADC6EB" w14:textId="77777777" w:rsidR="00AB5793" w:rsidRPr="00A964FF" w:rsidRDefault="00333F13" w:rsidP="00AB5793">
      <w:pPr>
        <w:pStyle w:val="00"/>
        <w:rPr>
          <w:rFonts w:ascii="Calibri" w:hAnsi="Calibri"/>
          <w:b/>
          <w:color w:val="auto"/>
        </w:rPr>
      </w:pPr>
      <w:r>
        <w:rPr>
          <w:rFonts w:ascii="Calibri" w:hAnsi="Calibri"/>
          <w:b/>
          <w:color w:val="auto"/>
        </w:rPr>
        <w:t>5</w:t>
      </w:r>
      <w:r w:rsidR="00AB5793" w:rsidRPr="00A964FF">
        <w:rPr>
          <w:rFonts w:ascii="Calibri" w:hAnsi="Calibri" w:hint="eastAsia"/>
          <w:b/>
          <w:color w:val="auto"/>
        </w:rPr>
        <w:t>、废反渗透膜</w:t>
      </w:r>
    </w:p>
    <w:p w14:paraId="37B50B33" w14:textId="77777777" w:rsidR="000E15EB" w:rsidRPr="00643331" w:rsidRDefault="00AB5793" w:rsidP="00643331">
      <w:pPr>
        <w:pStyle w:val="00"/>
        <w:rPr>
          <w:rFonts w:ascii="Calibri"/>
          <w:color w:val="auto"/>
        </w:rPr>
      </w:pPr>
      <w:r w:rsidRPr="00A964FF">
        <w:rPr>
          <w:rFonts w:ascii="Calibri"/>
          <w:color w:val="auto"/>
        </w:rPr>
        <w:t>本项目营运后厂区建设</w:t>
      </w:r>
      <w:r w:rsidR="0042629C" w:rsidRPr="00A964FF">
        <w:rPr>
          <w:rFonts w:ascii="Calibri" w:hint="eastAsia"/>
          <w:color w:val="auto"/>
        </w:rPr>
        <w:t>1</w:t>
      </w:r>
      <w:r w:rsidR="0042629C" w:rsidRPr="00A964FF">
        <w:rPr>
          <w:rFonts w:ascii="Calibri" w:hint="eastAsia"/>
          <w:color w:val="auto"/>
        </w:rPr>
        <w:t>座</w:t>
      </w:r>
      <w:r w:rsidR="00643331">
        <w:rPr>
          <w:rFonts w:ascii="Calibri" w:hint="eastAsia"/>
          <w:color w:val="auto"/>
        </w:rPr>
        <w:t>纯水</w:t>
      </w:r>
      <w:r w:rsidR="00643331">
        <w:rPr>
          <w:rFonts w:ascii="Calibri"/>
          <w:color w:val="auto"/>
        </w:rPr>
        <w:t>制备站</w:t>
      </w:r>
      <w:r w:rsidRPr="00A964FF">
        <w:rPr>
          <w:rFonts w:ascii="Calibri"/>
          <w:color w:val="auto"/>
        </w:rPr>
        <w:t>，采用反渗透工艺，保证</w:t>
      </w:r>
      <w:r w:rsidR="00333F13">
        <w:rPr>
          <w:rFonts w:ascii="Calibri" w:hint="eastAsia"/>
          <w:color w:val="auto"/>
        </w:rPr>
        <w:t>生产</w:t>
      </w:r>
      <w:r w:rsidRPr="00A964FF">
        <w:rPr>
          <w:rFonts w:ascii="Calibri"/>
          <w:color w:val="auto"/>
        </w:rPr>
        <w:t>用水。</w:t>
      </w:r>
      <w:r w:rsidR="00643331">
        <w:rPr>
          <w:rFonts w:ascii="Calibri" w:hint="eastAsia"/>
          <w:color w:val="auto"/>
        </w:rPr>
        <w:t>纯水制备</w:t>
      </w:r>
      <w:r w:rsidR="00643331">
        <w:rPr>
          <w:rFonts w:ascii="Calibri"/>
          <w:color w:val="auto"/>
        </w:rPr>
        <w:t>机</w:t>
      </w:r>
      <w:r w:rsidRPr="00A964FF">
        <w:rPr>
          <w:rFonts w:ascii="Calibri"/>
          <w:color w:val="auto"/>
        </w:rPr>
        <w:t>在</w:t>
      </w:r>
      <w:r w:rsidR="006E1883" w:rsidRPr="00A964FF">
        <w:rPr>
          <w:rFonts w:ascii="Calibri"/>
          <w:color w:val="auto"/>
        </w:rPr>
        <w:t>运行过程中会产生废反渗透膜。根据企业提供经验数据，</w:t>
      </w:r>
      <w:r w:rsidRPr="00A964FF">
        <w:rPr>
          <w:rFonts w:ascii="Calibri"/>
          <w:color w:val="auto"/>
        </w:rPr>
        <w:t>反渗透膜更换周期为</w:t>
      </w:r>
      <w:r w:rsidRPr="00A964FF">
        <w:rPr>
          <w:rFonts w:ascii="Calibri" w:hAnsi="Calibri"/>
          <w:color w:val="auto"/>
        </w:rPr>
        <w:t>3</w:t>
      </w:r>
      <w:r w:rsidRPr="00A964FF">
        <w:rPr>
          <w:rFonts w:ascii="Calibri"/>
          <w:color w:val="auto"/>
        </w:rPr>
        <w:t>～</w:t>
      </w:r>
      <w:r w:rsidRPr="00A964FF">
        <w:rPr>
          <w:rFonts w:ascii="Calibri" w:hAnsi="Calibri"/>
          <w:color w:val="auto"/>
        </w:rPr>
        <w:t>4</w:t>
      </w:r>
      <w:r w:rsidRPr="00A964FF">
        <w:rPr>
          <w:rFonts w:ascii="Calibri"/>
          <w:color w:val="auto"/>
        </w:rPr>
        <w:t>年，每次更换产生废反渗透膜</w:t>
      </w:r>
      <w:r w:rsidR="000E15EB">
        <w:rPr>
          <w:rFonts w:ascii="Calibri" w:hAnsi="Calibri" w:hint="eastAsia"/>
          <w:color w:val="auto"/>
        </w:rPr>
        <w:t>0.2</w:t>
      </w:r>
      <w:r w:rsidRPr="00A964FF">
        <w:rPr>
          <w:rFonts w:ascii="Calibri" w:hAnsi="Calibri"/>
          <w:color w:val="auto"/>
        </w:rPr>
        <w:t>t</w:t>
      </w:r>
      <w:r w:rsidRPr="00A964FF">
        <w:rPr>
          <w:rFonts w:ascii="Calibri"/>
          <w:color w:val="auto"/>
        </w:rPr>
        <w:t>。废反渗透膜</w:t>
      </w:r>
      <w:r w:rsidRPr="00A964FF">
        <w:rPr>
          <w:rFonts w:ascii="Calibri"/>
          <w:color w:val="auto"/>
          <w:szCs w:val="20"/>
        </w:rPr>
        <w:t>不在《国家危险废物名录》（</w:t>
      </w:r>
      <w:r w:rsidRPr="00A964FF">
        <w:rPr>
          <w:rFonts w:ascii="Calibri" w:hint="eastAsia"/>
          <w:color w:val="auto"/>
        </w:rPr>
        <w:t>2021</w:t>
      </w:r>
      <w:r w:rsidRPr="00A964FF">
        <w:rPr>
          <w:rFonts w:ascii="Calibri" w:hint="eastAsia"/>
          <w:color w:val="auto"/>
        </w:rPr>
        <w:t>年版</w:t>
      </w:r>
      <w:r w:rsidRPr="00A964FF">
        <w:rPr>
          <w:rFonts w:ascii="Calibri"/>
          <w:color w:val="auto"/>
          <w:szCs w:val="20"/>
        </w:rPr>
        <w:t>）之列，属于一般固废，定期更换后由供货厂家回收再利用。</w:t>
      </w:r>
    </w:p>
    <w:p w14:paraId="377B7799" w14:textId="77777777" w:rsidR="00095C45" w:rsidRPr="00095C45" w:rsidRDefault="00626D42" w:rsidP="00095C45">
      <w:pPr>
        <w:pStyle w:val="00"/>
        <w:rPr>
          <w:rFonts w:ascii="Calibri" w:hAnsi="Calibri"/>
          <w:b/>
          <w:color w:val="auto"/>
        </w:rPr>
      </w:pPr>
      <w:r w:rsidRPr="00626D42">
        <w:rPr>
          <w:rFonts w:ascii="Calibri" w:hAnsi="Calibri" w:hint="eastAsia"/>
          <w:b/>
          <w:color w:val="auto"/>
        </w:rPr>
        <w:t>6</w:t>
      </w:r>
      <w:r w:rsidRPr="00626D42">
        <w:rPr>
          <w:rFonts w:ascii="Calibri" w:hAnsi="Calibri" w:hint="eastAsia"/>
          <w:b/>
          <w:color w:val="auto"/>
        </w:rPr>
        <w:t>、</w:t>
      </w:r>
      <w:r w:rsidR="00095C45" w:rsidRPr="00095C45">
        <w:rPr>
          <w:rFonts w:ascii="Calibri" w:hAnsi="Calibri" w:hint="eastAsia"/>
          <w:b/>
          <w:color w:val="auto"/>
        </w:rPr>
        <w:t>导热油炉</w:t>
      </w:r>
      <w:r w:rsidR="00095C45" w:rsidRPr="00095C45">
        <w:rPr>
          <w:rFonts w:ascii="Calibri" w:hAnsi="Calibri"/>
          <w:b/>
          <w:color w:val="auto"/>
        </w:rPr>
        <w:t>定期更换</w:t>
      </w:r>
      <w:r w:rsidR="00095C45" w:rsidRPr="00095C45">
        <w:rPr>
          <w:rFonts w:ascii="Calibri" w:hAnsi="Calibri" w:hint="eastAsia"/>
          <w:b/>
          <w:color w:val="auto"/>
        </w:rPr>
        <w:t>的</w:t>
      </w:r>
      <w:r w:rsidR="00095C45" w:rsidRPr="00095C45">
        <w:rPr>
          <w:rFonts w:ascii="Calibri" w:hAnsi="Calibri"/>
          <w:b/>
          <w:color w:val="auto"/>
        </w:rPr>
        <w:t>废导热油</w:t>
      </w:r>
    </w:p>
    <w:p w14:paraId="16A7FAC8" w14:textId="77777777" w:rsidR="00095C45" w:rsidRDefault="00095C45" w:rsidP="00095C45">
      <w:pPr>
        <w:spacing w:line="520" w:lineRule="exact"/>
        <w:ind w:firstLine="482"/>
        <w:rPr>
          <w:rFonts w:ascii="Calibri" w:hAnsi="Calibri"/>
          <w:color w:val="auto"/>
          <w:sz w:val="24"/>
        </w:rPr>
      </w:pPr>
      <w:r w:rsidRPr="00A964FF">
        <w:rPr>
          <w:rFonts w:ascii="Calibri" w:hAnsi="Calibri" w:hint="eastAsia"/>
          <w:color w:val="auto"/>
          <w:sz w:val="24"/>
        </w:rPr>
        <w:t>本项目导热油炉导热油在使用过程中，导热油会慢慢变质，造成油的流动性、比热容等发生改变，致使不能满足工艺要求，需要更换，导热油炉平均每</w:t>
      </w:r>
      <w:r w:rsidR="00DD5619">
        <w:rPr>
          <w:rFonts w:ascii="Calibri" w:hAnsi="Calibri" w:hint="eastAsia"/>
          <w:color w:val="auto"/>
          <w:sz w:val="24"/>
        </w:rPr>
        <w:t>十</w:t>
      </w:r>
      <w:r w:rsidRPr="00A964FF">
        <w:rPr>
          <w:rFonts w:ascii="Calibri" w:hAnsi="Calibri" w:hint="eastAsia"/>
          <w:color w:val="auto"/>
          <w:sz w:val="24"/>
        </w:rPr>
        <w:t>年更换一次，更换量为</w:t>
      </w:r>
      <w:r>
        <w:rPr>
          <w:rFonts w:ascii="Calibri" w:hAnsi="Calibri"/>
          <w:color w:val="auto"/>
          <w:sz w:val="24"/>
        </w:rPr>
        <w:t>14</w:t>
      </w:r>
      <w:r w:rsidRPr="00A964FF">
        <w:rPr>
          <w:rFonts w:ascii="Calibri" w:hAnsi="Calibri"/>
          <w:color w:val="auto"/>
          <w:sz w:val="24"/>
        </w:rPr>
        <w:t>t/</w:t>
      </w:r>
      <w:r w:rsidR="00DD5619">
        <w:rPr>
          <w:rFonts w:ascii="Calibri" w:hAnsi="Calibri"/>
          <w:color w:val="auto"/>
          <w:sz w:val="24"/>
        </w:rPr>
        <w:t>10</w:t>
      </w:r>
      <w:r w:rsidRPr="00A964FF">
        <w:rPr>
          <w:rFonts w:ascii="Calibri" w:hAnsi="Calibri"/>
          <w:color w:val="auto"/>
          <w:sz w:val="24"/>
        </w:rPr>
        <w:t>a</w:t>
      </w:r>
      <w:r w:rsidRPr="00A964FF">
        <w:rPr>
          <w:rFonts w:ascii="Calibri" w:hAnsi="Calibri" w:hint="eastAsia"/>
          <w:color w:val="auto"/>
          <w:sz w:val="24"/>
        </w:rPr>
        <w:t>。</w:t>
      </w:r>
    </w:p>
    <w:p w14:paraId="454C8819" w14:textId="77777777" w:rsidR="00223E03" w:rsidRPr="00C636CC" w:rsidRDefault="00095C45" w:rsidP="00C636CC">
      <w:pPr>
        <w:spacing w:line="520" w:lineRule="exact"/>
        <w:ind w:firstLine="482"/>
        <w:rPr>
          <w:rFonts w:ascii="Calibri" w:hAnsi="Calibri"/>
          <w:color w:val="auto"/>
          <w:sz w:val="24"/>
        </w:rPr>
      </w:pPr>
      <w:r w:rsidRPr="00A964FF">
        <w:rPr>
          <w:rFonts w:ascii="Calibri" w:hAnsi="Calibri" w:hint="eastAsia"/>
          <w:color w:val="auto"/>
          <w:sz w:val="24"/>
        </w:rPr>
        <w:t>根据《国家危险废物名录》（</w:t>
      </w:r>
      <w:r w:rsidRPr="00A964FF">
        <w:rPr>
          <w:rFonts w:ascii="Calibri" w:hAnsi="Calibri" w:hint="eastAsia"/>
          <w:color w:val="auto"/>
          <w:sz w:val="24"/>
        </w:rPr>
        <w:t>2021</w:t>
      </w:r>
      <w:r w:rsidRPr="00A964FF">
        <w:rPr>
          <w:rFonts w:ascii="Calibri" w:hAnsi="Calibri" w:hint="eastAsia"/>
          <w:color w:val="auto"/>
          <w:sz w:val="24"/>
        </w:rPr>
        <w:t>年版），废导热油属危险废物，废物类别为</w:t>
      </w:r>
      <w:r w:rsidRPr="00A964FF">
        <w:rPr>
          <w:rFonts w:ascii="Calibri" w:hAnsi="Calibri" w:hint="eastAsia"/>
          <w:color w:val="auto"/>
          <w:sz w:val="24"/>
        </w:rPr>
        <w:t>HW08</w:t>
      </w:r>
      <w:r w:rsidRPr="00A964FF">
        <w:rPr>
          <w:rFonts w:ascii="Calibri" w:hAnsi="Calibri" w:hint="eastAsia"/>
          <w:color w:val="auto"/>
          <w:sz w:val="24"/>
        </w:rPr>
        <w:t>废矿物油与含矿物油废物，废物代码为</w:t>
      </w:r>
      <w:r w:rsidRPr="00A964FF">
        <w:rPr>
          <w:rFonts w:ascii="Calibri" w:hAnsi="Calibri" w:hint="eastAsia"/>
          <w:color w:val="auto"/>
          <w:sz w:val="24"/>
        </w:rPr>
        <w:t>900-249-08</w:t>
      </w:r>
      <w:r w:rsidRPr="00A964FF">
        <w:rPr>
          <w:rFonts w:ascii="Calibri" w:hAnsi="Calibri" w:hint="eastAsia"/>
          <w:color w:val="auto"/>
          <w:sz w:val="24"/>
        </w:rPr>
        <w:t>，属于其他生产、销售、使用过程中产生的废矿物油及含矿物油废物。该部分固废收集后采用桶装密闭存储在危废暂存间，定期交由资质单位进行安全处置，不得随意排放。</w:t>
      </w:r>
    </w:p>
    <w:p w14:paraId="240DFED3" w14:textId="77777777" w:rsidR="0068469D" w:rsidRPr="00095C45" w:rsidRDefault="0068469D" w:rsidP="0068469D">
      <w:pPr>
        <w:pStyle w:val="00"/>
        <w:rPr>
          <w:rFonts w:ascii="Calibri" w:hAnsi="Calibri"/>
          <w:b/>
          <w:color w:val="auto"/>
        </w:rPr>
      </w:pPr>
      <w:r>
        <w:rPr>
          <w:rFonts w:ascii="Calibri" w:hAnsi="Calibri"/>
          <w:b/>
          <w:color w:val="auto"/>
        </w:rPr>
        <w:lastRenderedPageBreak/>
        <w:t>7</w:t>
      </w:r>
      <w:r w:rsidRPr="00626D42">
        <w:rPr>
          <w:rFonts w:ascii="Calibri" w:hAnsi="Calibri" w:hint="eastAsia"/>
          <w:b/>
          <w:color w:val="auto"/>
        </w:rPr>
        <w:t>、</w:t>
      </w:r>
      <w:r w:rsidR="0092085C">
        <w:rPr>
          <w:rFonts w:ascii="Calibri" w:hAnsi="Calibri" w:hint="eastAsia"/>
          <w:b/>
          <w:color w:val="auto"/>
        </w:rPr>
        <w:t>品控</w:t>
      </w:r>
      <w:r>
        <w:rPr>
          <w:rFonts w:ascii="Calibri" w:hAnsi="Calibri" w:hint="eastAsia"/>
          <w:b/>
          <w:color w:val="auto"/>
        </w:rPr>
        <w:t>中心</w:t>
      </w:r>
      <w:r>
        <w:rPr>
          <w:rFonts w:ascii="Calibri" w:hAnsi="Calibri"/>
          <w:b/>
          <w:color w:val="auto"/>
        </w:rPr>
        <w:t>废物</w:t>
      </w:r>
    </w:p>
    <w:p w14:paraId="47F5B307" w14:textId="77777777" w:rsidR="0068469D" w:rsidRPr="00171BA9" w:rsidRDefault="0068469D" w:rsidP="0068469D">
      <w:pPr>
        <w:spacing w:line="520" w:lineRule="exact"/>
        <w:ind w:firstLineChars="200" w:firstLine="482"/>
        <w:rPr>
          <w:rFonts w:ascii="Calibri" w:hAnsi="Calibri"/>
          <w:b/>
          <w:color w:val="auto"/>
          <w:sz w:val="24"/>
          <w:u w:val="single"/>
        </w:rPr>
      </w:pPr>
      <w:r w:rsidRPr="00171BA9">
        <w:rPr>
          <w:rFonts w:ascii="Calibri" w:hAnsi="Calibri" w:hint="eastAsia"/>
          <w:b/>
          <w:color w:val="auto"/>
          <w:sz w:val="24"/>
          <w:u w:val="single"/>
        </w:rPr>
        <w:t>本项目</w:t>
      </w:r>
      <w:r w:rsidR="0092085C" w:rsidRPr="00171BA9">
        <w:rPr>
          <w:rFonts w:ascii="Calibri" w:hAnsi="Calibri" w:hint="eastAsia"/>
          <w:b/>
          <w:color w:val="auto"/>
          <w:sz w:val="24"/>
          <w:u w:val="single"/>
        </w:rPr>
        <w:t>品控</w:t>
      </w:r>
      <w:r w:rsidRPr="00171BA9">
        <w:rPr>
          <w:rFonts w:ascii="Calibri" w:hAnsi="Calibri"/>
          <w:b/>
          <w:color w:val="auto"/>
          <w:sz w:val="24"/>
          <w:u w:val="single"/>
        </w:rPr>
        <w:t>中心试剂使用量较少，</w:t>
      </w:r>
      <w:r w:rsidRPr="00171BA9">
        <w:rPr>
          <w:rFonts w:ascii="Calibri" w:hAnsi="Calibri" w:hint="eastAsia"/>
          <w:b/>
          <w:color w:val="auto"/>
          <w:sz w:val="24"/>
          <w:u w:val="single"/>
        </w:rPr>
        <w:t>本项目</w:t>
      </w:r>
      <w:r w:rsidR="00852DCA" w:rsidRPr="00171BA9">
        <w:rPr>
          <w:rFonts w:ascii="Calibri" w:hAnsi="Calibri" w:hint="eastAsia"/>
          <w:b/>
          <w:color w:val="auto"/>
          <w:sz w:val="24"/>
          <w:u w:val="single"/>
        </w:rPr>
        <w:t>品控</w:t>
      </w:r>
      <w:r w:rsidR="00852DCA" w:rsidRPr="00171BA9">
        <w:rPr>
          <w:rFonts w:ascii="Calibri" w:hAnsi="Calibri"/>
          <w:b/>
          <w:color w:val="auto"/>
          <w:sz w:val="24"/>
          <w:u w:val="single"/>
        </w:rPr>
        <w:t>中心</w:t>
      </w:r>
      <w:r w:rsidRPr="00171BA9">
        <w:rPr>
          <w:rFonts w:ascii="Calibri" w:hAnsi="Calibri" w:hint="eastAsia"/>
          <w:b/>
          <w:color w:val="auto"/>
          <w:sz w:val="24"/>
          <w:u w:val="single"/>
        </w:rPr>
        <w:t>固废产生量约为</w:t>
      </w:r>
      <w:r w:rsidRPr="00171BA9">
        <w:rPr>
          <w:rFonts w:ascii="Calibri" w:hAnsi="Calibri"/>
          <w:b/>
          <w:color w:val="auto"/>
          <w:sz w:val="24"/>
          <w:u w:val="single"/>
        </w:rPr>
        <w:t>0.1</w:t>
      </w:r>
      <w:r w:rsidRPr="00171BA9">
        <w:rPr>
          <w:rFonts w:ascii="Calibri" w:hAnsi="Calibri" w:hint="eastAsia"/>
          <w:b/>
          <w:color w:val="auto"/>
          <w:sz w:val="24"/>
          <w:u w:val="single"/>
        </w:rPr>
        <w:t>t/a</w:t>
      </w:r>
      <w:r w:rsidR="00852DCA" w:rsidRPr="00171BA9">
        <w:rPr>
          <w:rFonts w:ascii="Calibri" w:hAnsi="Calibri" w:hint="eastAsia"/>
          <w:b/>
          <w:color w:val="auto"/>
          <w:sz w:val="24"/>
          <w:u w:val="single"/>
        </w:rPr>
        <w:t>，主要为实验</w:t>
      </w:r>
      <w:r w:rsidRPr="00171BA9">
        <w:rPr>
          <w:rFonts w:ascii="Calibri" w:hAnsi="Calibri" w:hint="eastAsia"/>
          <w:b/>
          <w:color w:val="auto"/>
          <w:sz w:val="24"/>
          <w:u w:val="single"/>
        </w:rPr>
        <w:t>废酸、</w:t>
      </w:r>
      <w:r w:rsidR="00852DCA" w:rsidRPr="00171BA9">
        <w:rPr>
          <w:rFonts w:ascii="Calibri" w:hAnsi="Calibri" w:hint="eastAsia"/>
          <w:b/>
          <w:color w:val="auto"/>
          <w:sz w:val="24"/>
          <w:u w:val="single"/>
        </w:rPr>
        <w:t>盛装试剂</w:t>
      </w:r>
      <w:r w:rsidR="00852DCA" w:rsidRPr="00171BA9">
        <w:rPr>
          <w:rFonts w:ascii="Calibri" w:hAnsi="Calibri"/>
          <w:b/>
          <w:color w:val="auto"/>
          <w:sz w:val="24"/>
          <w:u w:val="single"/>
        </w:rPr>
        <w:t>的</w:t>
      </w:r>
      <w:r w:rsidRPr="00171BA9">
        <w:rPr>
          <w:rFonts w:ascii="Calibri" w:hAnsi="Calibri" w:hint="eastAsia"/>
          <w:b/>
          <w:color w:val="auto"/>
          <w:sz w:val="24"/>
          <w:u w:val="single"/>
        </w:rPr>
        <w:t>废玻璃瓶等。</w:t>
      </w:r>
    </w:p>
    <w:p w14:paraId="37E1ED3C" w14:textId="77777777" w:rsidR="0068469D" w:rsidRPr="00171BA9" w:rsidRDefault="0068469D" w:rsidP="00695D64">
      <w:pPr>
        <w:spacing w:line="520" w:lineRule="exact"/>
        <w:ind w:firstLine="482"/>
        <w:rPr>
          <w:rFonts w:ascii="Calibri" w:hAnsi="Calibri"/>
          <w:b/>
          <w:color w:val="auto"/>
          <w:sz w:val="24"/>
          <w:u w:val="single"/>
        </w:rPr>
      </w:pPr>
      <w:r w:rsidRPr="00171BA9">
        <w:rPr>
          <w:rFonts w:ascii="Calibri" w:hAnsi="Calibri" w:hint="eastAsia"/>
          <w:b/>
          <w:color w:val="auto"/>
          <w:sz w:val="24"/>
          <w:u w:val="single"/>
        </w:rPr>
        <w:t>根据《国家危险废物名录》（</w:t>
      </w:r>
      <w:r w:rsidRPr="00171BA9">
        <w:rPr>
          <w:rFonts w:ascii="Calibri" w:hAnsi="Calibri" w:hint="eastAsia"/>
          <w:b/>
          <w:color w:val="auto"/>
          <w:sz w:val="24"/>
          <w:u w:val="single"/>
        </w:rPr>
        <w:t>2021</w:t>
      </w:r>
      <w:r w:rsidRPr="00171BA9">
        <w:rPr>
          <w:rFonts w:ascii="Calibri" w:hAnsi="Calibri" w:hint="eastAsia"/>
          <w:b/>
          <w:color w:val="auto"/>
          <w:sz w:val="24"/>
          <w:u w:val="single"/>
        </w:rPr>
        <w:t>年版），</w:t>
      </w:r>
      <w:r w:rsidR="00852DCA" w:rsidRPr="00171BA9">
        <w:rPr>
          <w:rFonts w:ascii="Calibri" w:hAnsi="Calibri" w:hint="eastAsia"/>
          <w:b/>
          <w:color w:val="auto"/>
          <w:sz w:val="24"/>
          <w:u w:val="single"/>
        </w:rPr>
        <w:t>品控中心</w:t>
      </w:r>
      <w:r w:rsidRPr="00171BA9">
        <w:rPr>
          <w:rFonts w:ascii="Calibri" w:hAnsi="Calibri" w:hint="eastAsia"/>
          <w:b/>
          <w:color w:val="auto"/>
          <w:sz w:val="24"/>
          <w:u w:val="single"/>
        </w:rPr>
        <w:t>固废属危险废物，废物类别为</w:t>
      </w:r>
      <w:r w:rsidRPr="00171BA9">
        <w:rPr>
          <w:rFonts w:ascii="Calibri" w:hAnsi="Calibri" w:hint="eastAsia"/>
          <w:b/>
          <w:color w:val="auto"/>
          <w:sz w:val="24"/>
          <w:u w:val="single"/>
        </w:rPr>
        <w:t>HW</w:t>
      </w:r>
      <w:r w:rsidRPr="00171BA9">
        <w:rPr>
          <w:rFonts w:ascii="Calibri" w:hAnsi="Calibri"/>
          <w:b/>
          <w:color w:val="auto"/>
          <w:sz w:val="24"/>
          <w:u w:val="single"/>
        </w:rPr>
        <w:t>49</w:t>
      </w:r>
      <w:r w:rsidRPr="00171BA9">
        <w:rPr>
          <w:rFonts w:ascii="Calibri" w:hAnsi="Calibri" w:hint="eastAsia"/>
          <w:b/>
          <w:color w:val="auto"/>
          <w:sz w:val="24"/>
          <w:u w:val="single"/>
        </w:rPr>
        <w:t>其他</w:t>
      </w:r>
      <w:r w:rsidRPr="00171BA9">
        <w:rPr>
          <w:rFonts w:ascii="Calibri" w:hAnsi="Calibri"/>
          <w:b/>
          <w:color w:val="auto"/>
          <w:sz w:val="24"/>
          <w:u w:val="single"/>
        </w:rPr>
        <w:t>废物</w:t>
      </w:r>
      <w:r w:rsidRPr="00171BA9">
        <w:rPr>
          <w:rFonts w:ascii="Calibri" w:hAnsi="Calibri" w:hint="eastAsia"/>
          <w:b/>
          <w:color w:val="auto"/>
          <w:sz w:val="24"/>
          <w:u w:val="single"/>
        </w:rPr>
        <w:t>，废物代码为</w:t>
      </w:r>
      <w:r w:rsidRPr="00171BA9">
        <w:rPr>
          <w:rFonts w:ascii="Calibri" w:hAnsi="Calibri"/>
          <w:b/>
          <w:color w:val="auto"/>
          <w:sz w:val="24"/>
          <w:u w:val="single"/>
        </w:rPr>
        <w:t>900-047-49</w:t>
      </w:r>
      <w:r w:rsidRPr="00171BA9">
        <w:rPr>
          <w:rFonts w:ascii="Calibri" w:hAnsi="Calibri" w:hint="eastAsia"/>
          <w:b/>
          <w:color w:val="auto"/>
          <w:sz w:val="24"/>
          <w:u w:val="single"/>
        </w:rPr>
        <w:t>，属于</w:t>
      </w:r>
      <w:r w:rsidR="00695D64" w:rsidRPr="00171BA9">
        <w:rPr>
          <w:rFonts w:ascii="Calibri" w:hAnsi="Calibri" w:hint="eastAsia"/>
          <w:b/>
          <w:color w:val="auto"/>
          <w:sz w:val="24"/>
          <w:u w:val="single"/>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sidRPr="00171BA9">
        <w:rPr>
          <w:rFonts w:ascii="Calibri" w:hAnsi="Calibri" w:hint="eastAsia"/>
          <w:b/>
          <w:color w:val="auto"/>
          <w:sz w:val="24"/>
          <w:u w:val="single"/>
        </w:rPr>
        <w:t>。该部分固废收集后采用桶装密闭存储在危废暂存间，定期交由资质单位进行安全处置，不得随意排放。</w:t>
      </w:r>
    </w:p>
    <w:p w14:paraId="7156DA88" w14:textId="77777777" w:rsidR="00F460CD" w:rsidRPr="00095C45" w:rsidRDefault="0068469D" w:rsidP="00F460CD">
      <w:pPr>
        <w:pStyle w:val="00"/>
        <w:rPr>
          <w:rFonts w:ascii="Calibri" w:hAnsi="Calibri"/>
          <w:b/>
          <w:color w:val="auto"/>
        </w:rPr>
      </w:pPr>
      <w:r>
        <w:rPr>
          <w:rFonts w:ascii="Calibri" w:hAnsi="Calibri"/>
          <w:b/>
          <w:color w:val="auto"/>
        </w:rPr>
        <w:t>8</w:t>
      </w:r>
      <w:r w:rsidR="00F460CD" w:rsidRPr="00626D42">
        <w:rPr>
          <w:rFonts w:ascii="Calibri" w:hAnsi="Calibri" w:hint="eastAsia"/>
          <w:b/>
          <w:color w:val="auto"/>
        </w:rPr>
        <w:t>、</w:t>
      </w:r>
      <w:r w:rsidR="00F460CD">
        <w:rPr>
          <w:rFonts w:ascii="Calibri" w:hAnsi="Calibri" w:hint="eastAsia"/>
          <w:b/>
          <w:color w:val="auto"/>
        </w:rPr>
        <w:t>职工生活</w:t>
      </w:r>
      <w:r w:rsidR="00F460CD">
        <w:rPr>
          <w:rFonts w:ascii="Calibri" w:hAnsi="Calibri"/>
          <w:b/>
          <w:color w:val="auto"/>
        </w:rPr>
        <w:t>垃圾</w:t>
      </w:r>
    </w:p>
    <w:p w14:paraId="2C0A750A" w14:textId="77777777" w:rsidR="00F460CD" w:rsidRPr="006B5DE5" w:rsidRDefault="00F460CD" w:rsidP="006B5DE5">
      <w:pPr>
        <w:spacing w:line="520" w:lineRule="exact"/>
        <w:ind w:firstLine="480"/>
        <w:jc w:val="left"/>
        <w:rPr>
          <w:rFonts w:ascii="Calibri" w:hAnsi="Calibri"/>
          <w:bCs/>
          <w:color w:val="auto"/>
          <w:sz w:val="24"/>
        </w:rPr>
      </w:pPr>
      <w:r w:rsidRPr="00A964FF">
        <w:rPr>
          <w:rFonts w:ascii="Calibri" w:hAnsi="Calibri" w:hint="eastAsia"/>
          <w:bCs/>
          <w:color w:val="auto"/>
          <w:sz w:val="24"/>
        </w:rPr>
        <w:t>本项目营运后</w:t>
      </w:r>
      <w:r w:rsidR="006B5DE5">
        <w:rPr>
          <w:rFonts w:ascii="Calibri" w:hAnsi="Calibri" w:hint="eastAsia"/>
          <w:bCs/>
          <w:color w:val="auto"/>
          <w:sz w:val="24"/>
        </w:rPr>
        <w:t>一期工程</w:t>
      </w:r>
      <w:r w:rsidRPr="00A964FF">
        <w:rPr>
          <w:rFonts w:ascii="Calibri" w:hAnsi="Calibri" w:hint="eastAsia"/>
          <w:bCs/>
          <w:color w:val="auto"/>
          <w:sz w:val="24"/>
        </w:rPr>
        <w:t>厂区职工定员</w:t>
      </w:r>
      <w:r w:rsidR="006B5DE5">
        <w:rPr>
          <w:rFonts w:ascii="Calibri" w:hAnsi="Calibri"/>
          <w:bCs/>
          <w:color w:val="auto"/>
          <w:sz w:val="24"/>
        </w:rPr>
        <w:t>90</w:t>
      </w:r>
      <w:r w:rsidRPr="00A964FF">
        <w:rPr>
          <w:rFonts w:ascii="Calibri" w:hAnsi="Calibri" w:hint="eastAsia"/>
          <w:bCs/>
          <w:color w:val="auto"/>
          <w:sz w:val="24"/>
        </w:rPr>
        <w:t>人，</w:t>
      </w:r>
      <w:r w:rsidR="006B5DE5">
        <w:rPr>
          <w:rFonts w:ascii="Calibri" w:hAnsi="Calibri" w:hint="eastAsia"/>
          <w:bCs/>
          <w:color w:val="auto"/>
          <w:sz w:val="24"/>
        </w:rPr>
        <w:t>二期</w:t>
      </w:r>
      <w:r w:rsidR="006B5DE5">
        <w:rPr>
          <w:rFonts w:ascii="Calibri" w:hAnsi="Calibri"/>
          <w:bCs/>
          <w:color w:val="auto"/>
          <w:sz w:val="24"/>
        </w:rPr>
        <w:t>工程</w:t>
      </w:r>
      <w:r w:rsidR="006B5DE5">
        <w:rPr>
          <w:rFonts w:ascii="Calibri" w:hAnsi="Calibri" w:hint="eastAsia"/>
          <w:bCs/>
          <w:color w:val="auto"/>
          <w:sz w:val="24"/>
        </w:rPr>
        <w:t>厂区</w:t>
      </w:r>
      <w:r w:rsidR="006B5DE5">
        <w:rPr>
          <w:rFonts w:ascii="Calibri" w:hAnsi="Calibri"/>
          <w:bCs/>
          <w:color w:val="auto"/>
          <w:sz w:val="24"/>
        </w:rPr>
        <w:t>职工定员</w:t>
      </w:r>
      <w:r w:rsidR="006B5DE5">
        <w:rPr>
          <w:rFonts w:ascii="Calibri" w:hAnsi="Calibri" w:hint="eastAsia"/>
          <w:bCs/>
          <w:color w:val="auto"/>
          <w:sz w:val="24"/>
        </w:rPr>
        <w:t>30</w:t>
      </w:r>
      <w:r w:rsidR="006B5DE5">
        <w:rPr>
          <w:rFonts w:ascii="Calibri" w:hAnsi="Calibri" w:hint="eastAsia"/>
          <w:bCs/>
          <w:color w:val="auto"/>
          <w:sz w:val="24"/>
        </w:rPr>
        <w:t>人</w:t>
      </w:r>
      <w:r w:rsidR="006B5DE5">
        <w:rPr>
          <w:rFonts w:ascii="Calibri" w:hAnsi="Calibri"/>
          <w:bCs/>
          <w:color w:val="auto"/>
          <w:sz w:val="24"/>
        </w:rPr>
        <w:t>，</w:t>
      </w:r>
      <w:r w:rsidRPr="00A964FF">
        <w:rPr>
          <w:rFonts w:ascii="Calibri" w:hAnsi="Calibri"/>
          <w:bCs/>
          <w:color w:val="auto"/>
          <w:sz w:val="24"/>
        </w:rPr>
        <w:t>年工作</w:t>
      </w:r>
      <w:r>
        <w:rPr>
          <w:rFonts w:ascii="Calibri" w:hAnsi="Calibri"/>
          <w:bCs/>
          <w:color w:val="auto"/>
          <w:sz w:val="24"/>
        </w:rPr>
        <w:t>300</w:t>
      </w:r>
      <w:r w:rsidRPr="00A964FF">
        <w:rPr>
          <w:rFonts w:ascii="Calibri" w:hAnsi="Calibri"/>
          <w:bCs/>
          <w:color w:val="auto"/>
          <w:sz w:val="24"/>
        </w:rPr>
        <w:t>天</w:t>
      </w:r>
      <w:r w:rsidRPr="00A964FF">
        <w:rPr>
          <w:rFonts w:ascii="Calibri" w:hAnsi="Calibri" w:hint="eastAsia"/>
          <w:bCs/>
          <w:color w:val="auto"/>
          <w:sz w:val="24"/>
        </w:rPr>
        <w:t>，</w:t>
      </w:r>
      <w:r w:rsidRPr="00A964FF">
        <w:rPr>
          <w:rFonts w:ascii="Calibri" w:hAnsi="Calibri"/>
          <w:bCs/>
          <w:color w:val="auto"/>
          <w:sz w:val="24"/>
        </w:rPr>
        <w:t>职工生活垃圾以每人每天</w:t>
      </w:r>
      <w:r w:rsidRPr="00A964FF">
        <w:rPr>
          <w:rFonts w:ascii="Calibri" w:hAnsi="Calibri"/>
          <w:bCs/>
          <w:color w:val="auto"/>
          <w:sz w:val="24"/>
        </w:rPr>
        <w:t>0.5kg</w:t>
      </w:r>
      <w:r w:rsidRPr="00A964FF">
        <w:rPr>
          <w:rFonts w:ascii="Calibri" w:hAnsi="Calibri"/>
          <w:bCs/>
          <w:color w:val="auto"/>
          <w:sz w:val="24"/>
        </w:rPr>
        <w:t>计，</w:t>
      </w:r>
      <w:r w:rsidR="006B5DE5">
        <w:rPr>
          <w:rFonts w:ascii="Calibri" w:hAnsi="Calibri" w:hint="eastAsia"/>
          <w:bCs/>
          <w:color w:val="auto"/>
          <w:sz w:val="24"/>
        </w:rPr>
        <w:t>则</w:t>
      </w:r>
      <w:r w:rsidR="006B5DE5">
        <w:rPr>
          <w:rFonts w:ascii="Calibri" w:hAnsi="Calibri"/>
          <w:bCs/>
          <w:color w:val="auto"/>
          <w:sz w:val="24"/>
        </w:rPr>
        <w:t>一期工程生活垃圾量</w:t>
      </w:r>
      <w:r w:rsidR="006B5DE5">
        <w:rPr>
          <w:rFonts w:ascii="Calibri" w:hAnsi="Calibri"/>
          <w:bCs/>
          <w:color w:val="auto"/>
          <w:sz w:val="24"/>
        </w:rPr>
        <w:t>45</w:t>
      </w:r>
      <w:r w:rsidR="006B5DE5" w:rsidRPr="00A964FF">
        <w:rPr>
          <w:rFonts w:ascii="Calibri" w:hAnsi="Calibri"/>
          <w:bCs/>
          <w:color w:val="auto"/>
          <w:sz w:val="24"/>
        </w:rPr>
        <w:t>kg/d</w:t>
      </w:r>
      <w:r w:rsidR="006B5DE5" w:rsidRPr="00A964FF">
        <w:rPr>
          <w:rFonts w:ascii="Calibri" w:hAnsi="Calibri"/>
          <w:bCs/>
          <w:color w:val="auto"/>
          <w:sz w:val="24"/>
        </w:rPr>
        <w:t>，</w:t>
      </w:r>
      <w:r w:rsidR="006B5DE5">
        <w:rPr>
          <w:rFonts w:ascii="Calibri" w:hAnsi="Calibri"/>
          <w:bCs/>
          <w:color w:val="auto"/>
          <w:sz w:val="24"/>
        </w:rPr>
        <w:t>13.5</w:t>
      </w:r>
      <w:r w:rsidR="006B5DE5" w:rsidRPr="00A964FF">
        <w:rPr>
          <w:rFonts w:ascii="Calibri" w:hAnsi="Calibri"/>
          <w:bCs/>
          <w:color w:val="auto"/>
          <w:sz w:val="24"/>
        </w:rPr>
        <w:t>t/a</w:t>
      </w:r>
      <w:r w:rsidR="006B5DE5">
        <w:rPr>
          <w:rFonts w:ascii="Calibri" w:hAnsi="Calibri" w:hint="eastAsia"/>
          <w:bCs/>
          <w:color w:val="auto"/>
          <w:sz w:val="24"/>
        </w:rPr>
        <w:t>；二期</w:t>
      </w:r>
      <w:r w:rsidR="006B5DE5">
        <w:rPr>
          <w:rFonts w:ascii="Calibri" w:hAnsi="Calibri"/>
          <w:bCs/>
          <w:color w:val="auto"/>
          <w:sz w:val="24"/>
        </w:rPr>
        <w:t>工程生活垃圾产生量为</w:t>
      </w:r>
      <w:r w:rsidR="006B5DE5">
        <w:rPr>
          <w:rFonts w:ascii="Calibri" w:hAnsi="Calibri"/>
          <w:bCs/>
          <w:color w:val="auto"/>
          <w:sz w:val="24"/>
        </w:rPr>
        <w:t>15</w:t>
      </w:r>
      <w:r w:rsidR="006B5DE5" w:rsidRPr="00A964FF">
        <w:rPr>
          <w:rFonts w:ascii="Calibri" w:hAnsi="Calibri"/>
          <w:bCs/>
          <w:color w:val="auto"/>
          <w:sz w:val="24"/>
        </w:rPr>
        <w:t>kg/d</w:t>
      </w:r>
      <w:r w:rsidR="006B5DE5" w:rsidRPr="00A964FF">
        <w:rPr>
          <w:rFonts w:ascii="Calibri" w:hAnsi="Calibri"/>
          <w:bCs/>
          <w:color w:val="auto"/>
          <w:sz w:val="24"/>
        </w:rPr>
        <w:t>，</w:t>
      </w:r>
      <w:r w:rsidR="006B5DE5">
        <w:rPr>
          <w:rFonts w:ascii="Calibri" w:hAnsi="Calibri"/>
          <w:bCs/>
          <w:color w:val="auto"/>
          <w:sz w:val="24"/>
        </w:rPr>
        <w:t>4.5</w:t>
      </w:r>
      <w:r w:rsidR="006B5DE5" w:rsidRPr="00A964FF">
        <w:rPr>
          <w:rFonts w:ascii="Calibri" w:hAnsi="Calibri"/>
          <w:bCs/>
          <w:color w:val="auto"/>
          <w:sz w:val="24"/>
        </w:rPr>
        <w:t>t/a</w:t>
      </w:r>
      <w:r w:rsidRPr="00A964FF">
        <w:rPr>
          <w:rFonts w:ascii="Calibri" w:hAnsi="Calibri"/>
          <w:bCs/>
          <w:color w:val="auto"/>
          <w:sz w:val="24"/>
        </w:rPr>
        <w:t>。</w:t>
      </w:r>
      <w:r w:rsidRPr="00A964FF">
        <w:rPr>
          <w:rFonts w:ascii="Calibri" w:hAnsi="Calibri" w:hint="eastAsia"/>
          <w:color w:val="auto"/>
          <w:sz w:val="24"/>
        </w:rPr>
        <w:t>生活垃圾厂区收集后及时送集聚区垃圾中转站，由环卫部门集中清运并合理处置。</w:t>
      </w:r>
    </w:p>
    <w:p w14:paraId="2838CE2F" w14:textId="77777777" w:rsidR="00333F13" w:rsidRPr="00F460CD" w:rsidRDefault="0068469D" w:rsidP="000E15EB">
      <w:pPr>
        <w:pStyle w:val="00"/>
        <w:rPr>
          <w:rFonts w:ascii="Calibri" w:hAnsi="Calibri"/>
          <w:b/>
          <w:color w:val="auto"/>
        </w:rPr>
      </w:pPr>
      <w:r>
        <w:rPr>
          <w:rFonts w:ascii="Calibri" w:hAnsi="Calibri"/>
          <w:b/>
          <w:color w:val="auto"/>
        </w:rPr>
        <w:t>9</w:t>
      </w:r>
      <w:r w:rsidR="00F460CD">
        <w:rPr>
          <w:rFonts w:ascii="Calibri" w:hAnsi="Calibri" w:hint="eastAsia"/>
          <w:b/>
          <w:color w:val="auto"/>
        </w:rPr>
        <w:t>、</w:t>
      </w:r>
      <w:r w:rsidR="00F460CD">
        <w:rPr>
          <w:rFonts w:ascii="Calibri" w:hAnsi="Calibri"/>
          <w:b/>
          <w:color w:val="auto"/>
        </w:rPr>
        <w:t>全厂固废产生情况汇总</w:t>
      </w:r>
    </w:p>
    <w:p w14:paraId="264ABAD7" w14:textId="77777777" w:rsidR="00695D64" w:rsidRPr="00053E85" w:rsidRDefault="00F460CD" w:rsidP="00053E85">
      <w:pPr>
        <w:spacing w:line="520" w:lineRule="exact"/>
        <w:ind w:firstLine="480"/>
        <w:jc w:val="left"/>
        <w:rPr>
          <w:rFonts w:ascii="Calibri" w:hAnsi="Calibri"/>
          <w:color w:val="auto"/>
          <w:sz w:val="24"/>
        </w:rPr>
      </w:pPr>
      <w:r w:rsidRPr="00A964FF">
        <w:rPr>
          <w:rFonts w:ascii="Calibri" w:hAnsi="Calibri" w:hint="eastAsia"/>
          <w:color w:val="auto"/>
          <w:sz w:val="24"/>
        </w:rPr>
        <w:t>本项目营运后全厂固废产生情况见表</w:t>
      </w:r>
      <w:r w:rsidRPr="00A964FF">
        <w:rPr>
          <w:rFonts w:ascii="Calibri" w:hAnsi="Calibri" w:hint="eastAsia"/>
          <w:color w:val="auto"/>
          <w:sz w:val="24"/>
        </w:rPr>
        <w:t>2.3</w:t>
      </w:r>
      <w:r w:rsidR="000D53E8">
        <w:rPr>
          <w:rFonts w:ascii="Calibri" w:hAnsi="Calibri" w:hint="eastAsia"/>
          <w:color w:val="auto"/>
          <w:sz w:val="24"/>
        </w:rPr>
        <w:t>-25</w:t>
      </w:r>
      <w:r w:rsidRPr="00A964FF">
        <w:rPr>
          <w:rFonts w:ascii="Calibri" w:hAnsi="Calibri" w:hint="eastAsia"/>
          <w:color w:val="auto"/>
          <w:sz w:val="24"/>
        </w:rPr>
        <w:t>。</w:t>
      </w:r>
    </w:p>
    <w:p w14:paraId="1BEE94D0" w14:textId="77777777" w:rsidR="00C636CC" w:rsidRDefault="00C636CC" w:rsidP="00F460CD">
      <w:pPr>
        <w:spacing w:line="520" w:lineRule="exact"/>
        <w:ind w:firstLineChars="200" w:firstLine="480"/>
        <w:jc w:val="left"/>
        <w:rPr>
          <w:rFonts w:ascii="Calibri" w:eastAsia="黑体" w:hAnsi="黑体"/>
          <w:bCs/>
          <w:color w:val="auto"/>
          <w:sz w:val="24"/>
        </w:rPr>
      </w:pPr>
    </w:p>
    <w:p w14:paraId="2ACFA6B6" w14:textId="77777777" w:rsidR="00C636CC" w:rsidRDefault="00C636CC" w:rsidP="00F460CD">
      <w:pPr>
        <w:spacing w:line="520" w:lineRule="exact"/>
        <w:ind w:firstLineChars="200" w:firstLine="480"/>
        <w:jc w:val="left"/>
        <w:rPr>
          <w:rFonts w:ascii="Calibri" w:eastAsia="黑体" w:hAnsi="黑体"/>
          <w:bCs/>
          <w:color w:val="auto"/>
          <w:sz w:val="24"/>
        </w:rPr>
      </w:pPr>
    </w:p>
    <w:p w14:paraId="7B3B61F7" w14:textId="77777777" w:rsidR="00C636CC" w:rsidRDefault="00C636CC" w:rsidP="00F460CD">
      <w:pPr>
        <w:spacing w:line="520" w:lineRule="exact"/>
        <w:ind w:firstLineChars="200" w:firstLine="480"/>
        <w:jc w:val="left"/>
        <w:rPr>
          <w:rFonts w:ascii="Calibri" w:eastAsia="黑体" w:hAnsi="黑体"/>
          <w:bCs/>
          <w:color w:val="auto"/>
          <w:sz w:val="24"/>
        </w:rPr>
      </w:pPr>
    </w:p>
    <w:p w14:paraId="302A365F" w14:textId="77777777" w:rsidR="00C636CC" w:rsidRDefault="00C636CC" w:rsidP="00F460CD">
      <w:pPr>
        <w:spacing w:line="520" w:lineRule="exact"/>
        <w:ind w:firstLineChars="200" w:firstLine="480"/>
        <w:jc w:val="left"/>
        <w:rPr>
          <w:rFonts w:ascii="Calibri" w:eastAsia="黑体" w:hAnsi="黑体"/>
          <w:bCs/>
          <w:color w:val="auto"/>
          <w:sz w:val="24"/>
        </w:rPr>
      </w:pPr>
    </w:p>
    <w:p w14:paraId="5E7494E1" w14:textId="77777777" w:rsidR="00C636CC" w:rsidRDefault="00C636CC" w:rsidP="00F460CD">
      <w:pPr>
        <w:spacing w:line="520" w:lineRule="exact"/>
        <w:ind w:firstLineChars="200" w:firstLine="480"/>
        <w:jc w:val="left"/>
        <w:rPr>
          <w:rFonts w:ascii="Calibri" w:eastAsia="黑体" w:hAnsi="黑体"/>
          <w:bCs/>
          <w:color w:val="auto"/>
          <w:sz w:val="24"/>
        </w:rPr>
      </w:pPr>
    </w:p>
    <w:p w14:paraId="398068AF" w14:textId="59CB4B2B" w:rsidR="00C636CC" w:rsidRDefault="00C636CC" w:rsidP="00F460CD">
      <w:pPr>
        <w:spacing w:line="520" w:lineRule="exact"/>
        <w:ind w:firstLineChars="200" w:firstLine="480"/>
        <w:jc w:val="left"/>
        <w:rPr>
          <w:rFonts w:ascii="Calibri" w:eastAsia="黑体" w:hAnsi="黑体"/>
          <w:bCs/>
          <w:color w:val="auto"/>
          <w:sz w:val="24"/>
        </w:rPr>
      </w:pPr>
    </w:p>
    <w:p w14:paraId="670F9ADE" w14:textId="77777777" w:rsidR="00C06E1B" w:rsidRDefault="00C06E1B" w:rsidP="00F460CD">
      <w:pPr>
        <w:spacing w:line="520" w:lineRule="exact"/>
        <w:ind w:firstLineChars="200" w:firstLine="480"/>
        <w:jc w:val="left"/>
        <w:rPr>
          <w:rFonts w:ascii="Calibri" w:eastAsia="黑体" w:hAnsi="黑体"/>
          <w:bCs/>
          <w:color w:val="auto"/>
          <w:sz w:val="24"/>
        </w:rPr>
      </w:pPr>
    </w:p>
    <w:p w14:paraId="0E3CDF76" w14:textId="77777777" w:rsidR="00F460CD" w:rsidRPr="007E5D31" w:rsidRDefault="00F460CD" w:rsidP="001A4912">
      <w:pPr>
        <w:spacing w:line="520" w:lineRule="exact"/>
        <w:ind w:firstLineChars="300" w:firstLine="720"/>
        <w:jc w:val="left"/>
        <w:rPr>
          <w:rFonts w:ascii="Calibri" w:eastAsia="黑体" w:hAnsi="黑体"/>
          <w:bCs/>
          <w:color w:val="auto"/>
          <w:sz w:val="24"/>
        </w:rPr>
      </w:pPr>
      <w:r w:rsidRPr="007E5D31">
        <w:rPr>
          <w:rFonts w:ascii="Calibri" w:eastAsia="黑体" w:hAnsi="黑体"/>
          <w:bCs/>
          <w:color w:val="auto"/>
          <w:sz w:val="24"/>
        </w:rPr>
        <w:lastRenderedPageBreak/>
        <w:t>表</w:t>
      </w:r>
      <w:r w:rsidRPr="007E5D31">
        <w:rPr>
          <w:rFonts w:ascii="Calibri" w:eastAsia="黑体" w:hAnsi="黑体" w:hint="eastAsia"/>
          <w:bCs/>
          <w:color w:val="auto"/>
          <w:sz w:val="24"/>
        </w:rPr>
        <w:t>2.3-</w:t>
      </w:r>
      <w:r w:rsidR="000D53E8">
        <w:rPr>
          <w:rFonts w:ascii="Calibri" w:eastAsia="黑体" w:hAnsi="黑体"/>
          <w:bCs/>
          <w:color w:val="auto"/>
          <w:sz w:val="24"/>
        </w:rPr>
        <w:t>25</w:t>
      </w:r>
      <w:r w:rsidRPr="007E5D31">
        <w:rPr>
          <w:rFonts w:ascii="Calibri" w:eastAsia="黑体" w:hAnsi="黑体"/>
          <w:bCs/>
          <w:color w:val="auto"/>
          <w:sz w:val="24"/>
        </w:rPr>
        <w:t xml:space="preserve"> </w:t>
      </w:r>
      <w:r w:rsidRPr="007E5D31">
        <w:rPr>
          <w:rFonts w:ascii="Calibri" w:eastAsia="黑体" w:hAnsi="黑体" w:hint="eastAsia"/>
          <w:bCs/>
          <w:color w:val="auto"/>
          <w:sz w:val="24"/>
        </w:rPr>
        <w:t xml:space="preserve">        </w:t>
      </w:r>
      <w:r w:rsidRPr="007E5D31">
        <w:rPr>
          <w:rFonts w:ascii="Calibri" w:eastAsia="黑体" w:hAnsi="黑体"/>
          <w:bCs/>
          <w:color w:val="auto"/>
          <w:sz w:val="24"/>
        </w:rPr>
        <w:t xml:space="preserve">    </w:t>
      </w:r>
      <w:r w:rsidRPr="007E5D31">
        <w:rPr>
          <w:rFonts w:ascii="Calibri" w:eastAsia="黑体" w:hAnsi="黑体" w:hint="eastAsia"/>
          <w:bCs/>
          <w:color w:val="auto"/>
          <w:sz w:val="24"/>
        </w:rPr>
        <w:t>全厂固废产生情况统计</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8"/>
        <w:gridCol w:w="1671"/>
        <w:gridCol w:w="21"/>
        <w:gridCol w:w="78"/>
        <w:gridCol w:w="1668"/>
        <w:gridCol w:w="1110"/>
        <w:gridCol w:w="1111"/>
        <w:gridCol w:w="2343"/>
      </w:tblGrid>
      <w:tr w:rsidR="0068469D" w:rsidRPr="006E3216" w14:paraId="0A2659EA" w14:textId="77777777" w:rsidTr="006B5DE5">
        <w:trPr>
          <w:trHeight w:val="340"/>
        </w:trPr>
        <w:tc>
          <w:tcPr>
            <w:tcW w:w="698" w:type="dxa"/>
            <w:vAlign w:val="center"/>
          </w:tcPr>
          <w:p w14:paraId="50557C32"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序号</w:t>
            </w:r>
          </w:p>
        </w:tc>
        <w:tc>
          <w:tcPr>
            <w:tcW w:w="1692" w:type="dxa"/>
            <w:gridSpan w:val="2"/>
            <w:vAlign w:val="center"/>
          </w:tcPr>
          <w:p w14:paraId="7A8A6B31"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固废名称</w:t>
            </w:r>
          </w:p>
        </w:tc>
        <w:tc>
          <w:tcPr>
            <w:tcW w:w="1746" w:type="dxa"/>
            <w:gridSpan w:val="2"/>
            <w:vAlign w:val="center"/>
          </w:tcPr>
          <w:p w14:paraId="2B3F3F9F"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来源</w:t>
            </w:r>
          </w:p>
        </w:tc>
        <w:tc>
          <w:tcPr>
            <w:tcW w:w="1110" w:type="dxa"/>
            <w:vAlign w:val="center"/>
          </w:tcPr>
          <w:p w14:paraId="34788450"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产生量</w:t>
            </w:r>
          </w:p>
          <w:p w14:paraId="0E78CAD4"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w:t>
            </w:r>
            <w:r w:rsidRPr="006E3216">
              <w:rPr>
                <w:rFonts w:ascii="Calibri" w:hAnsi="Calibri"/>
                <w:b/>
                <w:color w:val="auto"/>
                <w:szCs w:val="21"/>
                <w:u w:val="single"/>
              </w:rPr>
              <w:t>t/a</w:t>
            </w:r>
            <w:r w:rsidRPr="006E3216">
              <w:rPr>
                <w:rFonts w:ascii="Calibri" w:hAnsi="Calibri"/>
                <w:b/>
                <w:color w:val="auto"/>
                <w:szCs w:val="21"/>
                <w:u w:val="single"/>
              </w:rPr>
              <w:t>）</w:t>
            </w:r>
          </w:p>
        </w:tc>
        <w:tc>
          <w:tcPr>
            <w:tcW w:w="1111" w:type="dxa"/>
            <w:vAlign w:val="center"/>
          </w:tcPr>
          <w:p w14:paraId="4B09F1B8"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固废类别</w:t>
            </w:r>
          </w:p>
        </w:tc>
        <w:tc>
          <w:tcPr>
            <w:tcW w:w="2343" w:type="dxa"/>
            <w:vAlign w:val="center"/>
          </w:tcPr>
          <w:p w14:paraId="578AFD5A"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处置措施</w:t>
            </w:r>
          </w:p>
        </w:tc>
      </w:tr>
      <w:tr w:rsidR="0068469D" w:rsidRPr="006E3216" w14:paraId="3D68C8BA" w14:textId="77777777" w:rsidTr="006B5DE5">
        <w:trPr>
          <w:trHeight w:val="340"/>
        </w:trPr>
        <w:tc>
          <w:tcPr>
            <w:tcW w:w="698" w:type="dxa"/>
            <w:vAlign w:val="center"/>
          </w:tcPr>
          <w:p w14:paraId="7C540EEA"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一</w:t>
            </w:r>
          </w:p>
        </w:tc>
        <w:tc>
          <w:tcPr>
            <w:tcW w:w="8002" w:type="dxa"/>
            <w:gridSpan w:val="7"/>
            <w:vAlign w:val="center"/>
          </w:tcPr>
          <w:p w14:paraId="3FCD2DF4"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一期工程</w:t>
            </w:r>
          </w:p>
        </w:tc>
      </w:tr>
      <w:tr w:rsidR="0068469D" w:rsidRPr="006E3216" w14:paraId="35482B6E" w14:textId="77777777" w:rsidTr="006B5DE5">
        <w:trPr>
          <w:trHeight w:val="340"/>
        </w:trPr>
        <w:tc>
          <w:tcPr>
            <w:tcW w:w="698" w:type="dxa"/>
            <w:vAlign w:val="center"/>
          </w:tcPr>
          <w:p w14:paraId="77E94E4D"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1</w:t>
            </w:r>
          </w:p>
        </w:tc>
        <w:tc>
          <w:tcPr>
            <w:tcW w:w="1692" w:type="dxa"/>
            <w:gridSpan w:val="2"/>
            <w:vAlign w:val="center"/>
          </w:tcPr>
          <w:p w14:paraId="4C6DCBCB"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废原料包装物</w:t>
            </w:r>
          </w:p>
        </w:tc>
        <w:tc>
          <w:tcPr>
            <w:tcW w:w="1746" w:type="dxa"/>
            <w:gridSpan w:val="2"/>
            <w:vAlign w:val="center"/>
          </w:tcPr>
          <w:p w14:paraId="2B301346"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原辅材料拆包</w:t>
            </w:r>
          </w:p>
        </w:tc>
        <w:tc>
          <w:tcPr>
            <w:tcW w:w="1110" w:type="dxa"/>
            <w:vAlign w:val="center"/>
          </w:tcPr>
          <w:p w14:paraId="6E6026D0"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0.2</w:t>
            </w:r>
          </w:p>
        </w:tc>
        <w:tc>
          <w:tcPr>
            <w:tcW w:w="1111" w:type="dxa"/>
            <w:vAlign w:val="center"/>
          </w:tcPr>
          <w:p w14:paraId="79BDF737" w14:textId="77777777" w:rsidR="0068469D" w:rsidRPr="006E3216" w:rsidRDefault="00053E85" w:rsidP="008E59FE">
            <w:pPr>
              <w:jc w:val="center"/>
              <w:rPr>
                <w:rFonts w:ascii="Calibri" w:hAnsi="Calibri"/>
                <w:b/>
                <w:color w:val="auto"/>
                <w:szCs w:val="21"/>
                <w:u w:val="single"/>
              </w:rPr>
            </w:pPr>
            <w:r w:rsidRPr="006E3216">
              <w:rPr>
                <w:rFonts w:ascii="Calibri" w:hAnsi="Calibri" w:hint="eastAsia"/>
                <w:b/>
                <w:color w:val="auto"/>
                <w:szCs w:val="21"/>
                <w:u w:val="single"/>
              </w:rPr>
              <w:t>一般固废</w:t>
            </w:r>
          </w:p>
        </w:tc>
        <w:tc>
          <w:tcPr>
            <w:tcW w:w="2343" w:type="dxa"/>
            <w:vAlign w:val="center"/>
          </w:tcPr>
          <w:p w14:paraId="07C1EA5A" w14:textId="77777777" w:rsidR="0068469D"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由废品回收公司处理</w:t>
            </w:r>
          </w:p>
        </w:tc>
      </w:tr>
      <w:tr w:rsidR="0068469D" w:rsidRPr="006E3216" w14:paraId="456DB457" w14:textId="77777777" w:rsidTr="006B5DE5">
        <w:trPr>
          <w:trHeight w:val="340"/>
        </w:trPr>
        <w:tc>
          <w:tcPr>
            <w:tcW w:w="698" w:type="dxa"/>
            <w:vAlign w:val="center"/>
          </w:tcPr>
          <w:p w14:paraId="2CB6DF4C"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2</w:t>
            </w:r>
          </w:p>
        </w:tc>
        <w:tc>
          <w:tcPr>
            <w:tcW w:w="1692" w:type="dxa"/>
            <w:gridSpan w:val="2"/>
            <w:vAlign w:val="center"/>
          </w:tcPr>
          <w:p w14:paraId="7EA13342"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废机油</w:t>
            </w:r>
          </w:p>
        </w:tc>
        <w:tc>
          <w:tcPr>
            <w:tcW w:w="1746" w:type="dxa"/>
            <w:gridSpan w:val="2"/>
            <w:vAlign w:val="center"/>
          </w:tcPr>
          <w:p w14:paraId="09386437"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设备维护和检修</w:t>
            </w:r>
          </w:p>
        </w:tc>
        <w:tc>
          <w:tcPr>
            <w:tcW w:w="1110" w:type="dxa"/>
            <w:vAlign w:val="center"/>
          </w:tcPr>
          <w:p w14:paraId="5369418F" w14:textId="77777777" w:rsidR="0068469D" w:rsidRPr="006E3216" w:rsidRDefault="0053271F" w:rsidP="008E59FE">
            <w:pPr>
              <w:jc w:val="center"/>
              <w:rPr>
                <w:rFonts w:ascii="Calibri" w:hAnsi="Calibri"/>
                <w:b/>
                <w:color w:val="auto"/>
                <w:szCs w:val="21"/>
                <w:u w:val="single"/>
              </w:rPr>
            </w:pPr>
            <w:r w:rsidRPr="006E3216">
              <w:rPr>
                <w:rFonts w:ascii="Calibri" w:hAnsi="Calibri"/>
                <w:b/>
                <w:color w:val="auto"/>
                <w:szCs w:val="21"/>
                <w:u w:val="single"/>
              </w:rPr>
              <w:t>0.15</w:t>
            </w:r>
          </w:p>
        </w:tc>
        <w:tc>
          <w:tcPr>
            <w:tcW w:w="1111" w:type="dxa"/>
            <w:vAlign w:val="center"/>
          </w:tcPr>
          <w:p w14:paraId="0804F1E8"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危险固废</w:t>
            </w:r>
          </w:p>
        </w:tc>
        <w:tc>
          <w:tcPr>
            <w:tcW w:w="2343" w:type="dxa"/>
            <w:vAlign w:val="center"/>
          </w:tcPr>
          <w:p w14:paraId="40C0F46C"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委托资质单位安全处置</w:t>
            </w:r>
          </w:p>
        </w:tc>
      </w:tr>
      <w:tr w:rsidR="0068469D" w:rsidRPr="006E3216" w14:paraId="69C8C281" w14:textId="77777777" w:rsidTr="006B5DE5">
        <w:trPr>
          <w:trHeight w:val="340"/>
        </w:trPr>
        <w:tc>
          <w:tcPr>
            <w:tcW w:w="698" w:type="dxa"/>
            <w:vAlign w:val="center"/>
          </w:tcPr>
          <w:p w14:paraId="1CAC5708"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3</w:t>
            </w:r>
          </w:p>
        </w:tc>
        <w:tc>
          <w:tcPr>
            <w:tcW w:w="1692" w:type="dxa"/>
            <w:gridSpan w:val="2"/>
            <w:vAlign w:val="center"/>
          </w:tcPr>
          <w:p w14:paraId="1A939730"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废水</w:t>
            </w:r>
            <w:r w:rsidRPr="006E3216">
              <w:rPr>
                <w:rFonts w:ascii="Calibri" w:hAnsi="Calibri"/>
                <w:b/>
                <w:color w:val="auto"/>
                <w:szCs w:val="21"/>
                <w:u w:val="single"/>
              </w:rPr>
              <w:t>处理站污泥</w:t>
            </w:r>
          </w:p>
        </w:tc>
        <w:tc>
          <w:tcPr>
            <w:tcW w:w="1746" w:type="dxa"/>
            <w:gridSpan w:val="2"/>
            <w:vAlign w:val="center"/>
          </w:tcPr>
          <w:p w14:paraId="2B1BD8A4"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废水处理站</w:t>
            </w:r>
          </w:p>
        </w:tc>
        <w:tc>
          <w:tcPr>
            <w:tcW w:w="1110" w:type="dxa"/>
            <w:vAlign w:val="center"/>
          </w:tcPr>
          <w:p w14:paraId="6652DB00" w14:textId="2E7F841F" w:rsidR="0068469D" w:rsidRPr="006E3216" w:rsidRDefault="009C3A83" w:rsidP="008E59FE">
            <w:pPr>
              <w:jc w:val="center"/>
              <w:rPr>
                <w:rFonts w:ascii="Calibri" w:hAnsi="Calibri"/>
                <w:b/>
                <w:color w:val="auto"/>
                <w:szCs w:val="21"/>
                <w:u w:val="single"/>
              </w:rPr>
            </w:pPr>
            <w:r w:rsidRPr="006E3216">
              <w:rPr>
                <w:rFonts w:ascii="Calibri" w:hAnsi="Calibri"/>
                <w:b/>
                <w:color w:val="auto"/>
                <w:szCs w:val="21"/>
                <w:u w:val="single"/>
              </w:rPr>
              <w:t>16.60</w:t>
            </w:r>
          </w:p>
        </w:tc>
        <w:tc>
          <w:tcPr>
            <w:tcW w:w="1111" w:type="dxa"/>
            <w:vAlign w:val="center"/>
          </w:tcPr>
          <w:p w14:paraId="13A87D86" w14:textId="77777777" w:rsidR="0068469D" w:rsidRPr="006E3216" w:rsidRDefault="00C636CC" w:rsidP="008E59FE">
            <w:pPr>
              <w:jc w:val="center"/>
              <w:rPr>
                <w:rFonts w:ascii="Calibri" w:hAnsi="Calibri"/>
                <w:b/>
                <w:color w:val="auto"/>
                <w:szCs w:val="21"/>
                <w:u w:val="single"/>
              </w:rPr>
            </w:pPr>
            <w:r w:rsidRPr="006E3216">
              <w:rPr>
                <w:rFonts w:ascii="Calibri" w:hAnsi="Calibri" w:hint="eastAsia"/>
                <w:b/>
                <w:color w:val="auto"/>
                <w:szCs w:val="21"/>
                <w:u w:val="single"/>
              </w:rPr>
              <w:t>一般固废</w:t>
            </w:r>
          </w:p>
        </w:tc>
        <w:tc>
          <w:tcPr>
            <w:tcW w:w="2343" w:type="dxa"/>
            <w:vAlign w:val="center"/>
          </w:tcPr>
          <w:p w14:paraId="41E42E15" w14:textId="77777777" w:rsidR="0068469D" w:rsidRPr="006E3216" w:rsidRDefault="0068469D" w:rsidP="00C636CC">
            <w:pPr>
              <w:rPr>
                <w:rFonts w:ascii="Calibri" w:hAnsi="Calibri"/>
                <w:b/>
                <w:color w:val="auto"/>
                <w:szCs w:val="21"/>
                <w:u w:val="single"/>
              </w:rPr>
            </w:pPr>
            <w:r w:rsidRPr="006E3216">
              <w:rPr>
                <w:rFonts w:ascii="Calibri" w:hAnsi="Calibri" w:hint="eastAsia"/>
                <w:b/>
                <w:color w:val="auto"/>
                <w:szCs w:val="21"/>
                <w:u w:val="single"/>
              </w:rPr>
              <w:t>进入叶县</w:t>
            </w:r>
            <w:r w:rsidRPr="006E3216">
              <w:rPr>
                <w:rFonts w:ascii="Calibri" w:hAnsi="Calibri"/>
                <w:b/>
                <w:color w:val="auto"/>
                <w:szCs w:val="21"/>
                <w:u w:val="single"/>
              </w:rPr>
              <w:t>生活垃圾焚烧发电厂处理</w:t>
            </w:r>
          </w:p>
        </w:tc>
      </w:tr>
      <w:tr w:rsidR="0068469D" w:rsidRPr="006E3216" w14:paraId="700EA0DE" w14:textId="77777777" w:rsidTr="006B5DE5">
        <w:trPr>
          <w:trHeight w:val="340"/>
        </w:trPr>
        <w:tc>
          <w:tcPr>
            <w:tcW w:w="698" w:type="dxa"/>
            <w:vAlign w:val="center"/>
          </w:tcPr>
          <w:p w14:paraId="55DAB7C3"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4</w:t>
            </w:r>
          </w:p>
        </w:tc>
        <w:tc>
          <w:tcPr>
            <w:tcW w:w="1692" w:type="dxa"/>
            <w:gridSpan w:val="2"/>
            <w:vAlign w:val="center"/>
          </w:tcPr>
          <w:p w14:paraId="42C89911"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废活性炭</w:t>
            </w:r>
          </w:p>
        </w:tc>
        <w:tc>
          <w:tcPr>
            <w:tcW w:w="1746" w:type="dxa"/>
            <w:gridSpan w:val="2"/>
            <w:vAlign w:val="center"/>
          </w:tcPr>
          <w:p w14:paraId="24A50A3A"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废气治理</w:t>
            </w:r>
          </w:p>
        </w:tc>
        <w:tc>
          <w:tcPr>
            <w:tcW w:w="1110" w:type="dxa"/>
            <w:vAlign w:val="center"/>
          </w:tcPr>
          <w:p w14:paraId="6A861FDF" w14:textId="607B7829" w:rsidR="0068469D" w:rsidRPr="006E3216" w:rsidRDefault="009C3A83" w:rsidP="008E59FE">
            <w:pPr>
              <w:jc w:val="center"/>
              <w:rPr>
                <w:rFonts w:ascii="Calibri" w:hAnsi="Calibri"/>
                <w:b/>
                <w:color w:val="auto"/>
                <w:szCs w:val="21"/>
                <w:u w:val="single"/>
              </w:rPr>
            </w:pPr>
            <w:r w:rsidRPr="006E3216">
              <w:rPr>
                <w:rFonts w:ascii="Calibri" w:hAnsi="Calibri"/>
                <w:b/>
                <w:color w:val="auto"/>
                <w:szCs w:val="21"/>
                <w:u w:val="single"/>
              </w:rPr>
              <w:t>3.16</w:t>
            </w:r>
          </w:p>
        </w:tc>
        <w:tc>
          <w:tcPr>
            <w:tcW w:w="1111" w:type="dxa"/>
            <w:vAlign w:val="center"/>
          </w:tcPr>
          <w:p w14:paraId="36818ED2"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危险固废</w:t>
            </w:r>
          </w:p>
        </w:tc>
        <w:tc>
          <w:tcPr>
            <w:tcW w:w="2343" w:type="dxa"/>
            <w:vAlign w:val="center"/>
          </w:tcPr>
          <w:p w14:paraId="2350DBD8"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委托资质单位安全处置</w:t>
            </w:r>
          </w:p>
        </w:tc>
      </w:tr>
      <w:tr w:rsidR="0068469D" w:rsidRPr="006E3216" w14:paraId="3F5836B4" w14:textId="77777777" w:rsidTr="006B5DE5">
        <w:trPr>
          <w:trHeight w:val="340"/>
        </w:trPr>
        <w:tc>
          <w:tcPr>
            <w:tcW w:w="698" w:type="dxa"/>
            <w:vAlign w:val="center"/>
          </w:tcPr>
          <w:p w14:paraId="7C3E55B6"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5</w:t>
            </w:r>
          </w:p>
        </w:tc>
        <w:tc>
          <w:tcPr>
            <w:tcW w:w="1692" w:type="dxa"/>
            <w:gridSpan w:val="2"/>
            <w:vAlign w:val="center"/>
          </w:tcPr>
          <w:p w14:paraId="7E6B2B10" w14:textId="77777777" w:rsidR="0068469D" w:rsidRPr="006E3216" w:rsidRDefault="0068469D" w:rsidP="008E59FE">
            <w:pPr>
              <w:jc w:val="center"/>
              <w:rPr>
                <w:rFonts w:ascii="Calibri" w:hAnsi="Calibri"/>
                <w:b/>
                <w:color w:val="auto"/>
                <w:szCs w:val="21"/>
                <w:u w:val="single"/>
              </w:rPr>
            </w:pPr>
            <w:r w:rsidRPr="006E3216">
              <w:rPr>
                <w:rFonts w:ascii="Calibri" w:hint="eastAsia"/>
                <w:b/>
                <w:color w:val="auto"/>
                <w:szCs w:val="20"/>
                <w:u w:val="single"/>
              </w:rPr>
              <w:t>废紫外灯管</w:t>
            </w:r>
          </w:p>
        </w:tc>
        <w:tc>
          <w:tcPr>
            <w:tcW w:w="1746" w:type="dxa"/>
            <w:gridSpan w:val="2"/>
            <w:vAlign w:val="center"/>
          </w:tcPr>
          <w:p w14:paraId="70600011"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废气治理</w:t>
            </w:r>
          </w:p>
        </w:tc>
        <w:tc>
          <w:tcPr>
            <w:tcW w:w="1110" w:type="dxa"/>
            <w:vAlign w:val="center"/>
          </w:tcPr>
          <w:p w14:paraId="2DEF84BD" w14:textId="02EDC4F5" w:rsidR="0068469D" w:rsidRPr="006E3216" w:rsidRDefault="0068469D" w:rsidP="009C3A83">
            <w:pPr>
              <w:jc w:val="center"/>
              <w:rPr>
                <w:rFonts w:ascii="Calibri" w:hAnsi="Calibri"/>
                <w:b/>
                <w:color w:val="auto"/>
                <w:szCs w:val="21"/>
                <w:u w:val="single"/>
              </w:rPr>
            </w:pPr>
            <w:r w:rsidRPr="006E3216">
              <w:rPr>
                <w:rFonts w:ascii="Calibri" w:hAnsi="Calibri"/>
                <w:b/>
                <w:color w:val="auto"/>
                <w:szCs w:val="21"/>
                <w:u w:val="single"/>
              </w:rPr>
              <w:t>0.001</w:t>
            </w:r>
          </w:p>
        </w:tc>
        <w:tc>
          <w:tcPr>
            <w:tcW w:w="1111" w:type="dxa"/>
            <w:vAlign w:val="center"/>
          </w:tcPr>
          <w:p w14:paraId="58C4042D"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危险固废</w:t>
            </w:r>
          </w:p>
        </w:tc>
        <w:tc>
          <w:tcPr>
            <w:tcW w:w="2343" w:type="dxa"/>
            <w:vAlign w:val="center"/>
          </w:tcPr>
          <w:p w14:paraId="72E1110E"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委托资质单位安全处置</w:t>
            </w:r>
          </w:p>
        </w:tc>
      </w:tr>
      <w:tr w:rsidR="0068469D" w:rsidRPr="006E3216" w14:paraId="473707A0" w14:textId="77777777" w:rsidTr="006B5DE5">
        <w:trPr>
          <w:trHeight w:val="340"/>
        </w:trPr>
        <w:tc>
          <w:tcPr>
            <w:tcW w:w="698" w:type="dxa"/>
            <w:vAlign w:val="center"/>
          </w:tcPr>
          <w:p w14:paraId="36377188"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6</w:t>
            </w:r>
          </w:p>
        </w:tc>
        <w:tc>
          <w:tcPr>
            <w:tcW w:w="1692" w:type="dxa"/>
            <w:gridSpan w:val="2"/>
            <w:vAlign w:val="center"/>
          </w:tcPr>
          <w:p w14:paraId="080B3598" w14:textId="77777777" w:rsidR="0068469D" w:rsidRPr="006E3216" w:rsidRDefault="0068469D" w:rsidP="008E59FE">
            <w:pPr>
              <w:jc w:val="center"/>
              <w:rPr>
                <w:rFonts w:ascii="Calibri" w:hAnsi="Calibri"/>
                <w:b/>
                <w:color w:val="auto"/>
                <w:szCs w:val="21"/>
                <w:u w:val="single"/>
              </w:rPr>
            </w:pPr>
            <w:r w:rsidRPr="006E3216">
              <w:rPr>
                <w:rFonts w:ascii="Calibri" w:hint="eastAsia"/>
                <w:b/>
                <w:color w:val="auto"/>
                <w:szCs w:val="20"/>
                <w:u w:val="single"/>
              </w:rPr>
              <w:t>废反渗透膜</w:t>
            </w:r>
          </w:p>
        </w:tc>
        <w:tc>
          <w:tcPr>
            <w:tcW w:w="1746" w:type="dxa"/>
            <w:gridSpan w:val="2"/>
            <w:vAlign w:val="center"/>
          </w:tcPr>
          <w:p w14:paraId="3113AAC3"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纯水</w:t>
            </w:r>
            <w:r w:rsidRPr="006E3216">
              <w:rPr>
                <w:rFonts w:ascii="Calibri" w:hAnsi="Calibri"/>
                <w:b/>
                <w:color w:val="auto"/>
                <w:szCs w:val="21"/>
                <w:u w:val="single"/>
              </w:rPr>
              <w:t>制备</w:t>
            </w:r>
          </w:p>
        </w:tc>
        <w:tc>
          <w:tcPr>
            <w:tcW w:w="1110" w:type="dxa"/>
            <w:vAlign w:val="center"/>
          </w:tcPr>
          <w:p w14:paraId="5A8ACA90"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0.2</w:t>
            </w:r>
            <w:r w:rsidRPr="006E3216">
              <w:rPr>
                <w:rFonts w:ascii="Calibri" w:hAnsi="Calibri"/>
                <w:b/>
                <w:color w:val="auto"/>
                <w:szCs w:val="21"/>
                <w:u w:val="single"/>
              </w:rPr>
              <w:t>t/3a</w:t>
            </w:r>
          </w:p>
        </w:tc>
        <w:tc>
          <w:tcPr>
            <w:tcW w:w="1111" w:type="dxa"/>
            <w:vAlign w:val="center"/>
          </w:tcPr>
          <w:p w14:paraId="1989DA58"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一般固废</w:t>
            </w:r>
          </w:p>
        </w:tc>
        <w:tc>
          <w:tcPr>
            <w:tcW w:w="2343" w:type="dxa"/>
            <w:vAlign w:val="center"/>
          </w:tcPr>
          <w:p w14:paraId="588A2840" w14:textId="77777777" w:rsidR="0068469D" w:rsidRPr="006E3216" w:rsidRDefault="0068469D" w:rsidP="008E59FE">
            <w:pPr>
              <w:jc w:val="center"/>
              <w:rPr>
                <w:rFonts w:ascii="Calibri" w:hAnsi="Calibri"/>
                <w:b/>
                <w:color w:val="auto"/>
                <w:szCs w:val="21"/>
                <w:u w:val="single"/>
              </w:rPr>
            </w:pPr>
            <w:r w:rsidRPr="006E3216">
              <w:rPr>
                <w:rFonts w:ascii="Calibri"/>
                <w:b/>
                <w:color w:val="auto"/>
                <w:szCs w:val="20"/>
                <w:u w:val="single"/>
              </w:rPr>
              <w:t>由供货厂家回收再利用</w:t>
            </w:r>
          </w:p>
        </w:tc>
      </w:tr>
      <w:tr w:rsidR="0068469D" w:rsidRPr="006E3216" w14:paraId="44B1C060" w14:textId="77777777" w:rsidTr="006B5DE5">
        <w:trPr>
          <w:trHeight w:val="340"/>
        </w:trPr>
        <w:tc>
          <w:tcPr>
            <w:tcW w:w="698" w:type="dxa"/>
            <w:vAlign w:val="center"/>
          </w:tcPr>
          <w:p w14:paraId="252C5FF1"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7</w:t>
            </w:r>
          </w:p>
        </w:tc>
        <w:tc>
          <w:tcPr>
            <w:tcW w:w="1692" w:type="dxa"/>
            <w:gridSpan w:val="2"/>
            <w:vAlign w:val="center"/>
          </w:tcPr>
          <w:p w14:paraId="326959B9" w14:textId="77777777" w:rsidR="0068469D" w:rsidRPr="006E3216" w:rsidRDefault="0068469D" w:rsidP="008E59FE">
            <w:pPr>
              <w:jc w:val="center"/>
              <w:rPr>
                <w:rFonts w:ascii="Calibri"/>
                <w:b/>
                <w:color w:val="auto"/>
                <w:szCs w:val="20"/>
                <w:u w:val="single"/>
              </w:rPr>
            </w:pPr>
            <w:r w:rsidRPr="006E3216">
              <w:rPr>
                <w:rFonts w:ascii="Calibri" w:hint="eastAsia"/>
                <w:b/>
                <w:color w:val="auto"/>
                <w:szCs w:val="20"/>
                <w:u w:val="single"/>
              </w:rPr>
              <w:t>废导热油</w:t>
            </w:r>
          </w:p>
        </w:tc>
        <w:tc>
          <w:tcPr>
            <w:tcW w:w="1746" w:type="dxa"/>
            <w:gridSpan w:val="2"/>
            <w:vAlign w:val="center"/>
          </w:tcPr>
          <w:p w14:paraId="0EA3D864" w14:textId="77777777" w:rsidR="0068469D" w:rsidRPr="006E3216" w:rsidRDefault="0068469D" w:rsidP="008E59FE">
            <w:pPr>
              <w:jc w:val="center"/>
              <w:rPr>
                <w:rFonts w:ascii="Calibri"/>
                <w:b/>
                <w:color w:val="auto"/>
                <w:szCs w:val="20"/>
                <w:u w:val="single"/>
              </w:rPr>
            </w:pPr>
            <w:r w:rsidRPr="006E3216">
              <w:rPr>
                <w:rFonts w:ascii="Calibri" w:hint="eastAsia"/>
                <w:b/>
                <w:color w:val="auto"/>
                <w:szCs w:val="20"/>
                <w:u w:val="single"/>
              </w:rPr>
              <w:t>导热油炉</w:t>
            </w:r>
          </w:p>
        </w:tc>
        <w:tc>
          <w:tcPr>
            <w:tcW w:w="1110" w:type="dxa"/>
            <w:vAlign w:val="center"/>
          </w:tcPr>
          <w:p w14:paraId="3EB12110" w14:textId="77777777" w:rsidR="0068469D" w:rsidRPr="006E3216" w:rsidRDefault="0068469D" w:rsidP="00DD5619">
            <w:pPr>
              <w:jc w:val="center"/>
              <w:rPr>
                <w:rFonts w:ascii="Calibri"/>
                <w:b/>
                <w:color w:val="auto"/>
                <w:szCs w:val="20"/>
                <w:u w:val="single"/>
              </w:rPr>
            </w:pPr>
            <w:r w:rsidRPr="006E3216">
              <w:rPr>
                <w:rFonts w:ascii="Calibri"/>
                <w:b/>
                <w:color w:val="auto"/>
                <w:szCs w:val="20"/>
                <w:u w:val="single"/>
              </w:rPr>
              <w:t>14</w:t>
            </w:r>
            <w:r w:rsidRPr="006E3216">
              <w:rPr>
                <w:rFonts w:ascii="Calibri" w:hint="eastAsia"/>
                <w:b/>
                <w:color w:val="auto"/>
                <w:szCs w:val="20"/>
                <w:u w:val="single"/>
              </w:rPr>
              <w:t>t/</w:t>
            </w:r>
            <w:r w:rsidR="00DD5619" w:rsidRPr="006E3216">
              <w:rPr>
                <w:rFonts w:ascii="Calibri"/>
                <w:b/>
                <w:color w:val="auto"/>
                <w:szCs w:val="20"/>
                <w:u w:val="single"/>
              </w:rPr>
              <w:t>10</w:t>
            </w:r>
            <w:r w:rsidRPr="006E3216">
              <w:rPr>
                <w:rFonts w:ascii="Calibri" w:hint="eastAsia"/>
                <w:b/>
                <w:color w:val="auto"/>
                <w:szCs w:val="20"/>
                <w:u w:val="single"/>
              </w:rPr>
              <w:t>a</w:t>
            </w:r>
          </w:p>
        </w:tc>
        <w:tc>
          <w:tcPr>
            <w:tcW w:w="1111" w:type="dxa"/>
            <w:vAlign w:val="center"/>
          </w:tcPr>
          <w:p w14:paraId="2C4E2726" w14:textId="77777777" w:rsidR="0068469D" w:rsidRPr="006E3216" w:rsidRDefault="0068469D" w:rsidP="008E59FE">
            <w:pPr>
              <w:jc w:val="center"/>
              <w:rPr>
                <w:rFonts w:ascii="Calibri"/>
                <w:b/>
                <w:color w:val="auto"/>
                <w:szCs w:val="20"/>
                <w:u w:val="single"/>
              </w:rPr>
            </w:pPr>
            <w:r w:rsidRPr="006E3216">
              <w:rPr>
                <w:rFonts w:ascii="Calibri" w:hint="eastAsia"/>
                <w:b/>
                <w:color w:val="auto"/>
                <w:szCs w:val="20"/>
                <w:u w:val="single"/>
              </w:rPr>
              <w:t>危险固废</w:t>
            </w:r>
          </w:p>
        </w:tc>
        <w:tc>
          <w:tcPr>
            <w:tcW w:w="2343" w:type="dxa"/>
            <w:vAlign w:val="center"/>
          </w:tcPr>
          <w:p w14:paraId="4D40A975" w14:textId="77777777" w:rsidR="0068469D" w:rsidRPr="006E3216" w:rsidRDefault="0068469D" w:rsidP="008E59FE">
            <w:pPr>
              <w:jc w:val="center"/>
              <w:rPr>
                <w:rFonts w:ascii="Calibri"/>
                <w:b/>
                <w:color w:val="auto"/>
                <w:szCs w:val="20"/>
                <w:u w:val="single"/>
              </w:rPr>
            </w:pPr>
            <w:r w:rsidRPr="006E3216">
              <w:rPr>
                <w:rFonts w:ascii="Calibri" w:hint="eastAsia"/>
                <w:b/>
                <w:color w:val="auto"/>
                <w:szCs w:val="20"/>
                <w:u w:val="single"/>
              </w:rPr>
              <w:t>委托资质单位安全处置</w:t>
            </w:r>
          </w:p>
        </w:tc>
      </w:tr>
      <w:tr w:rsidR="0068469D" w:rsidRPr="006E3216" w14:paraId="5857DDC6" w14:textId="77777777" w:rsidTr="006B5DE5">
        <w:trPr>
          <w:trHeight w:val="340"/>
        </w:trPr>
        <w:tc>
          <w:tcPr>
            <w:tcW w:w="698" w:type="dxa"/>
            <w:vAlign w:val="center"/>
          </w:tcPr>
          <w:p w14:paraId="722DF8AA"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8</w:t>
            </w:r>
          </w:p>
        </w:tc>
        <w:tc>
          <w:tcPr>
            <w:tcW w:w="1692" w:type="dxa"/>
            <w:gridSpan w:val="2"/>
            <w:vAlign w:val="center"/>
          </w:tcPr>
          <w:p w14:paraId="68A99122" w14:textId="77777777" w:rsidR="0068469D" w:rsidRPr="006E3216" w:rsidRDefault="0092085C" w:rsidP="008E59FE">
            <w:pPr>
              <w:jc w:val="center"/>
              <w:rPr>
                <w:rFonts w:ascii="Calibri" w:hAnsi="Calibri"/>
                <w:b/>
                <w:color w:val="auto"/>
                <w:szCs w:val="21"/>
                <w:u w:val="single"/>
              </w:rPr>
            </w:pPr>
            <w:r w:rsidRPr="006E3216">
              <w:rPr>
                <w:rFonts w:ascii="Calibri" w:hAnsi="Calibri" w:hint="eastAsia"/>
                <w:b/>
                <w:color w:val="auto"/>
                <w:szCs w:val="21"/>
                <w:u w:val="single"/>
              </w:rPr>
              <w:t>品控中心</w:t>
            </w:r>
            <w:r w:rsidR="0068469D" w:rsidRPr="006E3216">
              <w:rPr>
                <w:rFonts w:ascii="Calibri" w:hAnsi="Calibri"/>
                <w:b/>
                <w:color w:val="auto"/>
                <w:szCs w:val="21"/>
                <w:u w:val="single"/>
              </w:rPr>
              <w:t>废物</w:t>
            </w:r>
          </w:p>
        </w:tc>
        <w:tc>
          <w:tcPr>
            <w:tcW w:w="1746" w:type="dxa"/>
            <w:gridSpan w:val="2"/>
            <w:vAlign w:val="center"/>
          </w:tcPr>
          <w:p w14:paraId="4C31BD76"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研究</w:t>
            </w:r>
            <w:r w:rsidRPr="006E3216">
              <w:rPr>
                <w:rFonts w:ascii="Calibri" w:hAnsi="Calibri"/>
                <w:b/>
                <w:color w:val="auto"/>
                <w:szCs w:val="21"/>
                <w:u w:val="single"/>
              </w:rPr>
              <w:t>活动</w:t>
            </w:r>
          </w:p>
        </w:tc>
        <w:tc>
          <w:tcPr>
            <w:tcW w:w="1110" w:type="dxa"/>
            <w:vAlign w:val="center"/>
          </w:tcPr>
          <w:p w14:paraId="2B3E383A"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0.1</w:t>
            </w:r>
          </w:p>
        </w:tc>
        <w:tc>
          <w:tcPr>
            <w:tcW w:w="1111" w:type="dxa"/>
            <w:vAlign w:val="center"/>
          </w:tcPr>
          <w:p w14:paraId="0CFFD32E" w14:textId="77777777" w:rsidR="0068469D" w:rsidRPr="006E3216" w:rsidRDefault="0068469D" w:rsidP="008E59FE">
            <w:pPr>
              <w:jc w:val="center"/>
              <w:rPr>
                <w:rFonts w:ascii="Calibri" w:hAnsi="Calibri"/>
                <w:b/>
                <w:color w:val="auto"/>
                <w:szCs w:val="21"/>
                <w:u w:val="single"/>
              </w:rPr>
            </w:pPr>
            <w:r w:rsidRPr="006E3216">
              <w:rPr>
                <w:rFonts w:ascii="Calibri" w:hint="eastAsia"/>
                <w:b/>
                <w:color w:val="auto"/>
                <w:szCs w:val="20"/>
                <w:u w:val="single"/>
              </w:rPr>
              <w:t>危险固废</w:t>
            </w:r>
          </w:p>
        </w:tc>
        <w:tc>
          <w:tcPr>
            <w:tcW w:w="2343" w:type="dxa"/>
            <w:vAlign w:val="center"/>
          </w:tcPr>
          <w:p w14:paraId="4D553179" w14:textId="77777777" w:rsidR="0068469D" w:rsidRPr="006E3216" w:rsidRDefault="0068469D" w:rsidP="008E59FE">
            <w:pPr>
              <w:jc w:val="center"/>
              <w:rPr>
                <w:rFonts w:ascii="Calibri" w:hAnsi="Calibri"/>
                <w:b/>
                <w:color w:val="auto"/>
                <w:szCs w:val="21"/>
                <w:u w:val="single"/>
              </w:rPr>
            </w:pPr>
            <w:r w:rsidRPr="006E3216">
              <w:rPr>
                <w:rFonts w:ascii="Calibri" w:hint="eastAsia"/>
                <w:b/>
                <w:color w:val="auto"/>
                <w:szCs w:val="20"/>
                <w:u w:val="single"/>
              </w:rPr>
              <w:t>委托资质单位安全处置</w:t>
            </w:r>
          </w:p>
        </w:tc>
      </w:tr>
      <w:tr w:rsidR="0068469D" w:rsidRPr="006E3216" w14:paraId="5B457C59" w14:textId="77777777" w:rsidTr="006B5DE5">
        <w:trPr>
          <w:trHeight w:val="340"/>
        </w:trPr>
        <w:tc>
          <w:tcPr>
            <w:tcW w:w="698" w:type="dxa"/>
            <w:vAlign w:val="center"/>
          </w:tcPr>
          <w:p w14:paraId="3DE3E792" w14:textId="77777777" w:rsidR="0068469D" w:rsidRPr="006E3216" w:rsidRDefault="0068469D" w:rsidP="008E59FE">
            <w:pPr>
              <w:jc w:val="center"/>
              <w:rPr>
                <w:rFonts w:ascii="Calibri" w:hAnsi="Calibri"/>
                <w:b/>
                <w:color w:val="auto"/>
                <w:szCs w:val="21"/>
                <w:u w:val="single"/>
              </w:rPr>
            </w:pPr>
            <w:r w:rsidRPr="006E3216">
              <w:rPr>
                <w:rFonts w:ascii="Calibri" w:hAnsi="Calibri"/>
                <w:b/>
                <w:color w:val="auto"/>
                <w:szCs w:val="21"/>
                <w:u w:val="single"/>
              </w:rPr>
              <w:t>9</w:t>
            </w:r>
          </w:p>
        </w:tc>
        <w:tc>
          <w:tcPr>
            <w:tcW w:w="1692" w:type="dxa"/>
            <w:gridSpan w:val="2"/>
            <w:vAlign w:val="center"/>
          </w:tcPr>
          <w:p w14:paraId="6B37A26E"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生活垃圾</w:t>
            </w:r>
          </w:p>
        </w:tc>
        <w:tc>
          <w:tcPr>
            <w:tcW w:w="1746" w:type="dxa"/>
            <w:gridSpan w:val="2"/>
            <w:vAlign w:val="center"/>
          </w:tcPr>
          <w:p w14:paraId="505F405C"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职工生活</w:t>
            </w:r>
          </w:p>
        </w:tc>
        <w:tc>
          <w:tcPr>
            <w:tcW w:w="1110" w:type="dxa"/>
            <w:vAlign w:val="center"/>
          </w:tcPr>
          <w:p w14:paraId="7134E090" w14:textId="77777777" w:rsidR="0068469D" w:rsidRPr="006E3216" w:rsidRDefault="006B5DE5" w:rsidP="008E59FE">
            <w:pPr>
              <w:jc w:val="center"/>
              <w:rPr>
                <w:rFonts w:ascii="Calibri" w:hAnsi="Calibri"/>
                <w:b/>
                <w:color w:val="auto"/>
                <w:szCs w:val="21"/>
                <w:u w:val="single"/>
              </w:rPr>
            </w:pPr>
            <w:r w:rsidRPr="006E3216">
              <w:rPr>
                <w:rFonts w:ascii="Calibri" w:hAnsi="Calibri"/>
                <w:b/>
                <w:color w:val="auto"/>
                <w:szCs w:val="21"/>
                <w:u w:val="single"/>
              </w:rPr>
              <w:t>13.5</w:t>
            </w:r>
          </w:p>
        </w:tc>
        <w:tc>
          <w:tcPr>
            <w:tcW w:w="1111" w:type="dxa"/>
            <w:vAlign w:val="center"/>
          </w:tcPr>
          <w:p w14:paraId="1497D7AC"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一般固废</w:t>
            </w:r>
          </w:p>
        </w:tc>
        <w:tc>
          <w:tcPr>
            <w:tcW w:w="2343" w:type="dxa"/>
            <w:vAlign w:val="center"/>
          </w:tcPr>
          <w:p w14:paraId="20398F91"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送集聚区垃圾中转站</w:t>
            </w:r>
          </w:p>
        </w:tc>
      </w:tr>
      <w:tr w:rsidR="0068469D" w:rsidRPr="006E3216" w14:paraId="68726925" w14:textId="77777777" w:rsidTr="006B5DE5">
        <w:trPr>
          <w:trHeight w:val="340"/>
        </w:trPr>
        <w:tc>
          <w:tcPr>
            <w:tcW w:w="698" w:type="dxa"/>
            <w:vMerge w:val="restart"/>
            <w:vAlign w:val="center"/>
          </w:tcPr>
          <w:p w14:paraId="13C057E6"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小计</w:t>
            </w:r>
          </w:p>
        </w:tc>
        <w:tc>
          <w:tcPr>
            <w:tcW w:w="3438" w:type="dxa"/>
            <w:gridSpan w:val="4"/>
            <w:vAlign w:val="center"/>
          </w:tcPr>
          <w:p w14:paraId="54F8C5CE"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一期工程</w:t>
            </w:r>
          </w:p>
        </w:tc>
        <w:tc>
          <w:tcPr>
            <w:tcW w:w="1110" w:type="dxa"/>
            <w:vAlign w:val="center"/>
          </w:tcPr>
          <w:p w14:paraId="66C952F7" w14:textId="4ABA2ECA" w:rsidR="0068469D" w:rsidRPr="006E3216" w:rsidRDefault="009C3A83" w:rsidP="006B5DE5">
            <w:pPr>
              <w:jc w:val="center"/>
              <w:rPr>
                <w:rFonts w:ascii="Calibri" w:hAnsi="Calibri"/>
                <w:b/>
                <w:color w:val="auto"/>
                <w:szCs w:val="21"/>
                <w:u w:val="single"/>
              </w:rPr>
            </w:pPr>
            <w:r w:rsidRPr="006E3216">
              <w:rPr>
                <w:rFonts w:ascii="Calibri" w:hAnsi="Calibri"/>
                <w:b/>
                <w:color w:val="auto"/>
                <w:szCs w:val="21"/>
                <w:u w:val="single"/>
              </w:rPr>
              <w:t>33.711</w:t>
            </w:r>
          </w:p>
        </w:tc>
        <w:tc>
          <w:tcPr>
            <w:tcW w:w="3454" w:type="dxa"/>
            <w:gridSpan w:val="2"/>
            <w:vMerge w:val="restart"/>
            <w:vAlign w:val="center"/>
          </w:tcPr>
          <w:p w14:paraId="5480B37B"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废反渗透膜、废导热油因产生周期较长，不计入核算数据</w:t>
            </w:r>
          </w:p>
        </w:tc>
      </w:tr>
      <w:tr w:rsidR="0068469D" w:rsidRPr="006E3216" w14:paraId="47A82D5F" w14:textId="77777777" w:rsidTr="006B5DE5">
        <w:trPr>
          <w:trHeight w:val="340"/>
        </w:trPr>
        <w:tc>
          <w:tcPr>
            <w:tcW w:w="698" w:type="dxa"/>
            <w:vMerge/>
            <w:vAlign w:val="center"/>
          </w:tcPr>
          <w:p w14:paraId="0838AD20" w14:textId="77777777" w:rsidR="0068469D" w:rsidRPr="006E3216" w:rsidRDefault="0068469D" w:rsidP="008E59FE">
            <w:pPr>
              <w:jc w:val="center"/>
              <w:rPr>
                <w:rFonts w:ascii="Calibri" w:hAnsi="Calibri"/>
                <w:b/>
                <w:color w:val="auto"/>
                <w:szCs w:val="21"/>
                <w:u w:val="single"/>
              </w:rPr>
            </w:pPr>
          </w:p>
        </w:tc>
        <w:tc>
          <w:tcPr>
            <w:tcW w:w="1692" w:type="dxa"/>
            <w:gridSpan w:val="2"/>
            <w:vAlign w:val="center"/>
          </w:tcPr>
          <w:p w14:paraId="015661B2"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其中</w:t>
            </w:r>
          </w:p>
        </w:tc>
        <w:tc>
          <w:tcPr>
            <w:tcW w:w="1746" w:type="dxa"/>
            <w:gridSpan w:val="2"/>
            <w:vAlign w:val="center"/>
          </w:tcPr>
          <w:p w14:paraId="69EE9E90"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危险固废</w:t>
            </w:r>
          </w:p>
        </w:tc>
        <w:tc>
          <w:tcPr>
            <w:tcW w:w="1110" w:type="dxa"/>
            <w:vAlign w:val="center"/>
          </w:tcPr>
          <w:p w14:paraId="0245DD4C" w14:textId="54D9972B" w:rsidR="0068469D" w:rsidRPr="006E3216" w:rsidRDefault="009C3A83" w:rsidP="009C3A83">
            <w:pPr>
              <w:jc w:val="center"/>
              <w:rPr>
                <w:rFonts w:ascii="Calibri" w:hAnsi="Calibri"/>
                <w:b/>
                <w:color w:val="auto"/>
                <w:szCs w:val="21"/>
                <w:u w:val="single"/>
              </w:rPr>
            </w:pPr>
            <w:r w:rsidRPr="006E3216">
              <w:rPr>
                <w:rFonts w:ascii="Calibri" w:hAnsi="Calibri"/>
                <w:b/>
                <w:color w:val="auto"/>
                <w:szCs w:val="21"/>
                <w:u w:val="single"/>
              </w:rPr>
              <w:t>3.411</w:t>
            </w:r>
          </w:p>
        </w:tc>
        <w:tc>
          <w:tcPr>
            <w:tcW w:w="3454" w:type="dxa"/>
            <w:gridSpan w:val="2"/>
            <w:vMerge/>
            <w:vAlign w:val="center"/>
          </w:tcPr>
          <w:p w14:paraId="4D476987" w14:textId="77777777" w:rsidR="0068469D" w:rsidRPr="006E3216" w:rsidRDefault="0068469D" w:rsidP="008E59FE">
            <w:pPr>
              <w:jc w:val="center"/>
              <w:rPr>
                <w:rFonts w:ascii="Calibri" w:hAnsi="Calibri"/>
                <w:b/>
                <w:color w:val="auto"/>
                <w:szCs w:val="21"/>
                <w:u w:val="single"/>
              </w:rPr>
            </w:pPr>
          </w:p>
        </w:tc>
      </w:tr>
      <w:tr w:rsidR="0068469D" w:rsidRPr="006E3216" w14:paraId="0E9D9797" w14:textId="77777777" w:rsidTr="006B5DE5">
        <w:trPr>
          <w:trHeight w:val="340"/>
        </w:trPr>
        <w:tc>
          <w:tcPr>
            <w:tcW w:w="698" w:type="dxa"/>
            <w:vAlign w:val="center"/>
          </w:tcPr>
          <w:p w14:paraId="19E17160"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二</w:t>
            </w:r>
          </w:p>
        </w:tc>
        <w:tc>
          <w:tcPr>
            <w:tcW w:w="8002" w:type="dxa"/>
            <w:gridSpan w:val="7"/>
            <w:vAlign w:val="center"/>
          </w:tcPr>
          <w:p w14:paraId="78C73DDF" w14:textId="77777777" w:rsidR="0068469D" w:rsidRPr="006E3216" w:rsidRDefault="0068469D" w:rsidP="008E59FE">
            <w:pPr>
              <w:jc w:val="center"/>
              <w:rPr>
                <w:rFonts w:ascii="Calibri" w:hAnsi="Calibri"/>
                <w:b/>
                <w:color w:val="auto"/>
                <w:szCs w:val="21"/>
                <w:u w:val="single"/>
              </w:rPr>
            </w:pPr>
            <w:r w:rsidRPr="006E3216">
              <w:rPr>
                <w:rFonts w:ascii="Calibri" w:hAnsi="Calibri" w:hint="eastAsia"/>
                <w:b/>
                <w:color w:val="auto"/>
                <w:szCs w:val="21"/>
                <w:u w:val="single"/>
              </w:rPr>
              <w:t>二期工程</w:t>
            </w:r>
          </w:p>
        </w:tc>
      </w:tr>
      <w:tr w:rsidR="00633D32" w:rsidRPr="006E3216" w14:paraId="49DBB475" w14:textId="77777777" w:rsidTr="006B5DE5">
        <w:trPr>
          <w:trHeight w:val="340"/>
        </w:trPr>
        <w:tc>
          <w:tcPr>
            <w:tcW w:w="698" w:type="dxa"/>
            <w:vAlign w:val="center"/>
          </w:tcPr>
          <w:p w14:paraId="4ECD2DD5" w14:textId="77777777" w:rsidR="00633D32" w:rsidRPr="006E3216" w:rsidRDefault="00633D32" w:rsidP="00633D32">
            <w:pPr>
              <w:jc w:val="center"/>
              <w:rPr>
                <w:rFonts w:ascii="Calibri" w:hAnsi="Calibri"/>
                <w:b/>
                <w:color w:val="auto"/>
                <w:szCs w:val="21"/>
                <w:u w:val="single"/>
              </w:rPr>
            </w:pPr>
            <w:r w:rsidRPr="006E3216">
              <w:rPr>
                <w:rFonts w:ascii="Calibri" w:hAnsi="Calibri"/>
                <w:b/>
                <w:color w:val="auto"/>
                <w:szCs w:val="21"/>
                <w:u w:val="single"/>
              </w:rPr>
              <w:t>1</w:t>
            </w:r>
          </w:p>
        </w:tc>
        <w:tc>
          <w:tcPr>
            <w:tcW w:w="1692" w:type="dxa"/>
            <w:gridSpan w:val="2"/>
            <w:vAlign w:val="center"/>
          </w:tcPr>
          <w:p w14:paraId="30642423"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废原料包装物</w:t>
            </w:r>
          </w:p>
        </w:tc>
        <w:tc>
          <w:tcPr>
            <w:tcW w:w="1746" w:type="dxa"/>
            <w:gridSpan w:val="2"/>
            <w:vAlign w:val="center"/>
          </w:tcPr>
          <w:p w14:paraId="0CCB31CD"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原辅材料拆包</w:t>
            </w:r>
          </w:p>
        </w:tc>
        <w:tc>
          <w:tcPr>
            <w:tcW w:w="1110" w:type="dxa"/>
            <w:vAlign w:val="center"/>
          </w:tcPr>
          <w:p w14:paraId="6A424C34" w14:textId="77777777" w:rsidR="00633D32" w:rsidRPr="006E3216" w:rsidRDefault="00633D32" w:rsidP="00633D32">
            <w:pPr>
              <w:jc w:val="center"/>
              <w:rPr>
                <w:rFonts w:ascii="Calibri"/>
                <w:b/>
                <w:color w:val="auto"/>
                <w:szCs w:val="20"/>
                <w:u w:val="single"/>
              </w:rPr>
            </w:pPr>
            <w:r w:rsidRPr="006E3216">
              <w:rPr>
                <w:rFonts w:ascii="Calibri"/>
                <w:b/>
                <w:color w:val="auto"/>
                <w:szCs w:val="20"/>
                <w:u w:val="single"/>
              </w:rPr>
              <w:t>0.1</w:t>
            </w:r>
          </w:p>
        </w:tc>
        <w:tc>
          <w:tcPr>
            <w:tcW w:w="1111" w:type="dxa"/>
            <w:vAlign w:val="center"/>
          </w:tcPr>
          <w:p w14:paraId="0C7252B7" w14:textId="77777777" w:rsidR="00633D32" w:rsidRPr="006E3216" w:rsidRDefault="00633D32" w:rsidP="00633D32">
            <w:pPr>
              <w:jc w:val="center"/>
              <w:rPr>
                <w:rFonts w:ascii="Calibri"/>
                <w:b/>
                <w:color w:val="auto"/>
                <w:szCs w:val="20"/>
                <w:u w:val="single"/>
              </w:rPr>
            </w:pPr>
            <w:r w:rsidRPr="006E3216">
              <w:rPr>
                <w:rFonts w:ascii="Calibri" w:hAnsi="Calibri" w:hint="eastAsia"/>
                <w:b/>
                <w:color w:val="auto"/>
                <w:szCs w:val="21"/>
                <w:u w:val="single"/>
              </w:rPr>
              <w:t>一般固废</w:t>
            </w:r>
          </w:p>
        </w:tc>
        <w:tc>
          <w:tcPr>
            <w:tcW w:w="2343" w:type="dxa"/>
            <w:vAlign w:val="center"/>
          </w:tcPr>
          <w:p w14:paraId="18DBF892"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由废品回收公司处理</w:t>
            </w:r>
          </w:p>
        </w:tc>
      </w:tr>
      <w:tr w:rsidR="00633D32" w:rsidRPr="006E3216" w14:paraId="34484A7D" w14:textId="77777777" w:rsidTr="006B5DE5">
        <w:trPr>
          <w:trHeight w:val="340"/>
        </w:trPr>
        <w:tc>
          <w:tcPr>
            <w:tcW w:w="698" w:type="dxa"/>
            <w:vAlign w:val="center"/>
          </w:tcPr>
          <w:p w14:paraId="0CA6C7EB" w14:textId="77777777" w:rsidR="00633D32" w:rsidRPr="006E3216" w:rsidRDefault="00633D32" w:rsidP="00633D32">
            <w:pPr>
              <w:jc w:val="center"/>
              <w:rPr>
                <w:rFonts w:ascii="Calibri" w:hAnsi="Calibri"/>
                <w:b/>
                <w:color w:val="auto"/>
                <w:szCs w:val="21"/>
                <w:u w:val="single"/>
              </w:rPr>
            </w:pPr>
            <w:r w:rsidRPr="006E3216">
              <w:rPr>
                <w:rFonts w:ascii="Calibri" w:hAnsi="Calibri"/>
                <w:b/>
                <w:color w:val="auto"/>
                <w:szCs w:val="21"/>
                <w:u w:val="single"/>
              </w:rPr>
              <w:t>2</w:t>
            </w:r>
          </w:p>
        </w:tc>
        <w:tc>
          <w:tcPr>
            <w:tcW w:w="1692" w:type="dxa"/>
            <w:gridSpan w:val="2"/>
            <w:vAlign w:val="center"/>
          </w:tcPr>
          <w:p w14:paraId="75504CEC"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废机油</w:t>
            </w:r>
          </w:p>
        </w:tc>
        <w:tc>
          <w:tcPr>
            <w:tcW w:w="1746" w:type="dxa"/>
            <w:gridSpan w:val="2"/>
            <w:vAlign w:val="center"/>
          </w:tcPr>
          <w:p w14:paraId="24A3EFAC"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设备维护和检修</w:t>
            </w:r>
          </w:p>
        </w:tc>
        <w:tc>
          <w:tcPr>
            <w:tcW w:w="1110" w:type="dxa"/>
            <w:vAlign w:val="center"/>
          </w:tcPr>
          <w:p w14:paraId="402E6FBA" w14:textId="77777777" w:rsidR="00633D32" w:rsidRPr="006E3216" w:rsidRDefault="0053271F" w:rsidP="00633D32">
            <w:pPr>
              <w:jc w:val="center"/>
              <w:rPr>
                <w:rFonts w:ascii="Calibri"/>
                <w:b/>
                <w:color w:val="auto"/>
                <w:szCs w:val="20"/>
                <w:u w:val="single"/>
              </w:rPr>
            </w:pPr>
            <w:r w:rsidRPr="006E3216">
              <w:rPr>
                <w:rFonts w:ascii="Calibri"/>
                <w:b/>
                <w:color w:val="auto"/>
                <w:szCs w:val="20"/>
                <w:u w:val="single"/>
              </w:rPr>
              <w:t>0.1</w:t>
            </w:r>
          </w:p>
        </w:tc>
        <w:tc>
          <w:tcPr>
            <w:tcW w:w="1111" w:type="dxa"/>
            <w:vAlign w:val="center"/>
          </w:tcPr>
          <w:p w14:paraId="50810F08"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危险固废</w:t>
            </w:r>
          </w:p>
        </w:tc>
        <w:tc>
          <w:tcPr>
            <w:tcW w:w="2343" w:type="dxa"/>
            <w:vAlign w:val="center"/>
          </w:tcPr>
          <w:p w14:paraId="022A854B"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委托资质单位安全处置</w:t>
            </w:r>
          </w:p>
        </w:tc>
      </w:tr>
      <w:tr w:rsidR="00633D32" w:rsidRPr="006E3216" w14:paraId="0E71ECDE" w14:textId="77777777" w:rsidTr="006B5DE5">
        <w:trPr>
          <w:trHeight w:val="340"/>
        </w:trPr>
        <w:tc>
          <w:tcPr>
            <w:tcW w:w="698" w:type="dxa"/>
            <w:vAlign w:val="center"/>
          </w:tcPr>
          <w:p w14:paraId="545E78C0"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3</w:t>
            </w:r>
          </w:p>
        </w:tc>
        <w:tc>
          <w:tcPr>
            <w:tcW w:w="1692" w:type="dxa"/>
            <w:gridSpan w:val="2"/>
            <w:vAlign w:val="center"/>
          </w:tcPr>
          <w:p w14:paraId="474B3857"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废水处理站污泥</w:t>
            </w:r>
          </w:p>
        </w:tc>
        <w:tc>
          <w:tcPr>
            <w:tcW w:w="1746" w:type="dxa"/>
            <w:gridSpan w:val="2"/>
            <w:vAlign w:val="center"/>
          </w:tcPr>
          <w:p w14:paraId="2BBD2C3C"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废水处理站</w:t>
            </w:r>
          </w:p>
        </w:tc>
        <w:tc>
          <w:tcPr>
            <w:tcW w:w="1110" w:type="dxa"/>
            <w:vAlign w:val="center"/>
          </w:tcPr>
          <w:p w14:paraId="1356D058" w14:textId="50A89221" w:rsidR="00633D32" w:rsidRPr="006E3216" w:rsidRDefault="006E3216" w:rsidP="00633D32">
            <w:pPr>
              <w:jc w:val="center"/>
              <w:rPr>
                <w:rFonts w:ascii="Calibri"/>
                <w:b/>
                <w:color w:val="auto"/>
                <w:szCs w:val="20"/>
                <w:u w:val="single"/>
              </w:rPr>
            </w:pPr>
            <w:r w:rsidRPr="006E3216">
              <w:rPr>
                <w:rFonts w:ascii="Calibri"/>
                <w:b/>
                <w:color w:val="auto"/>
                <w:szCs w:val="20"/>
                <w:u w:val="single"/>
              </w:rPr>
              <w:t>8.65</w:t>
            </w:r>
          </w:p>
        </w:tc>
        <w:tc>
          <w:tcPr>
            <w:tcW w:w="1111" w:type="dxa"/>
            <w:vAlign w:val="center"/>
          </w:tcPr>
          <w:p w14:paraId="04836B95"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一般固废</w:t>
            </w:r>
          </w:p>
        </w:tc>
        <w:tc>
          <w:tcPr>
            <w:tcW w:w="2343" w:type="dxa"/>
            <w:vAlign w:val="center"/>
          </w:tcPr>
          <w:p w14:paraId="40C2DBAA"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进入叶县</w:t>
            </w:r>
            <w:r w:rsidRPr="006E3216">
              <w:rPr>
                <w:rFonts w:ascii="Calibri" w:hAnsi="Calibri"/>
                <w:b/>
                <w:color w:val="auto"/>
                <w:szCs w:val="21"/>
                <w:u w:val="single"/>
              </w:rPr>
              <w:t>生活垃圾焚烧发电厂处理</w:t>
            </w:r>
          </w:p>
        </w:tc>
      </w:tr>
      <w:tr w:rsidR="00633D32" w:rsidRPr="006E3216" w14:paraId="27188593" w14:textId="77777777" w:rsidTr="006B5DE5">
        <w:trPr>
          <w:trHeight w:val="340"/>
        </w:trPr>
        <w:tc>
          <w:tcPr>
            <w:tcW w:w="698" w:type="dxa"/>
            <w:vAlign w:val="center"/>
          </w:tcPr>
          <w:p w14:paraId="4398A789"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4</w:t>
            </w:r>
          </w:p>
        </w:tc>
        <w:tc>
          <w:tcPr>
            <w:tcW w:w="1692" w:type="dxa"/>
            <w:gridSpan w:val="2"/>
            <w:vAlign w:val="center"/>
          </w:tcPr>
          <w:p w14:paraId="52601706"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废活性炭</w:t>
            </w:r>
          </w:p>
        </w:tc>
        <w:tc>
          <w:tcPr>
            <w:tcW w:w="1746" w:type="dxa"/>
            <w:gridSpan w:val="2"/>
            <w:vAlign w:val="center"/>
          </w:tcPr>
          <w:p w14:paraId="4B601C5E"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废气治理</w:t>
            </w:r>
          </w:p>
        </w:tc>
        <w:tc>
          <w:tcPr>
            <w:tcW w:w="1110" w:type="dxa"/>
            <w:vAlign w:val="center"/>
          </w:tcPr>
          <w:p w14:paraId="412D1E29" w14:textId="3BA37228" w:rsidR="00633D32" w:rsidRPr="006E3216" w:rsidRDefault="009C3A83" w:rsidP="00633D32">
            <w:pPr>
              <w:jc w:val="center"/>
              <w:rPr>
                <w:rFonts w:ascii="Calibri"/>
                <w:b/>
                <w:color w:val="auto"/>
                <w:szCs w:val="20"/>
                <w:u w:val="single"/>
              </w:rPr>
            </w:pPr>
            <w:r w:rsidRPr="006E3216">
              <w:rPr>
                <w:rFonts w:ascii="Calibri"/>
                <w:b/>
                <w:color w:val="auto"/>
                <w:szCs w:val="20"/>
                <w:u w:val="single"/>
              </w:rPr>
              <w:t>1.80</w:t>
            </w:r>
          </w:p>
        </w:tc>
        <w:tc>
          <w:tcPr>
            <w:tcW w:w="1111" w:type="dxa"/>
            <w:vAlign w:val="center"/>
          </w:tcPr>
          <w:p w14:paraId="7AEAE6D4"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危险固废</w:t>
            </w:r>
          </w:p>
        </w:tc>
        <w:tc>
          <w:tcPr>
            <w:tcW w:w="2343" w:type="dxa"/>
            <w:vAlign w:val="center"/>
          </w:tcPr>
          <w:p w14:paraId="20A64E5A"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委托资质单位安全处置</w:t>
            </w:r>
          </w:p>
        </w:tc>
      </w:tr>
      <w:tr w:rsidR="0053271F" w:rsidRPr="006E3216" w14:paraId="707E32FF" w14:textId="77777777" w:rsidTr="006B5DE5">
        <w:trPr>
          <w:trHeight w:val="340"/>
        </w:trPr>
        <w:tc>
          <w:tcPr>
            <w:tcW w:w="698" w:type="dxa"/>
            <w:vAlign w:val="center"/>
          </w:tcPr>
          <w:p w14:paraId="72C918B0" w14:textId="77777777" w:rsidR="0053271F" w:rsidRPr="006E3216" w:rsidRDefault="0053271F" w:rsidP="0053271F">
            <w:pPr>
              <w:jc w:val="center"/>
              <w:rPr>
                <w:rFonts w:ascii="Calibri" w:hAnsi="Calibri"/>
                <w:b/>
                <w:color w:val="auto"/>
                <w:szCs w:val="21"/>
                <w:u w:val="single"/>
              </w:rPr>
            </w:pPr>
            <w:r w:rsidRPr="006E3216">
              <w:rPr>
                <w:rFonts w:ascii="Calibri" w:hAnsi="Calibri" w:hint="eastAsia"/>
                <w:b/>
                <w:color w:val="auto"/>
                <w:szCs w:val="21"/>
                <w:u w:val="single"/>
              </w:rPr>
              <w:t>5</w:t>
            </w:r>
          </w:p>
        </w:tc>
        <w:tc>
          <w:tcPr>
            <w:tcW w:w="1692" w:type="dxa"/>
            <w:gridSpan w:val="2"/>
            <w:vAlign w:val="center"/>
          </w:tcPr>
          <w:p w14:paraId="27C5124C" w14:textId="77777777" w:rsidR="0053271F" w:rsidRPr="006E3216" w:rsidRDefault="0053271F" w:rsidP="0053271F">
            <w:pPr>
              <w:jc w:val="center"/>
              <w:rPr>
                <w:rFonts w:ascii="Calibri" w:hAnsi="Calibri"/>
                <w:b/>
                <w:color w:val="auto"/>
                <w:szCs w:val="21"/>
                <w:u w:val="single"/>
              </w:rPr>
            </w:pPr>
            <w:r w:rsidRPr="006E3216">
              <w:rPr>
                <w:rFonts w:ascii="Calibri" w:hAnsi="Calibri" w:hint="eastAsia"/>
                <w:b/>
                <w:color w:val="auto"/>
                <w:szCs w:val="21"/>
                <w:u w:val="single"/>
              </w:rPr>
              <w:t>生活垃圾</w:t>
            </w:r>
          </w:p>
        </w:tc>
        <w:tc>
          <w:tcPr>
            <w:tcW w:w="1746" w:type="dxa"/>
            <w:gridSpan w:val="2"/>
            <w:vAlign w:val="center"/>
          </w:tcPr>
          <w:p w14:paraId="4E5BB8E9" w14:textId="77777777" w:rsidR="0053271F" w:rsidRPr="006E3216" w:rsidRDefault="0053271F" w:rsidP="0053271F">
            <w:pPr>
              <w:jc w:val="center"/>
              <w:rPr>
                <w:rFonts w:ascii="Calibri" w:hAnsi="Calibri"/>
                <w:b/>
                <w:color w:val="auto"/>
                <w:szCs w:val="21"/>
                <w:u w:val="single"/>
              </w:rPr>
            </w:pPr>
            <w:r w:rsidRPr="006E3216">
              <w:rPr>
                <w:rFonts w:ascii="Calibri" w:hAnsi="Calibri" w:hint="eastAsia"/>
                <w:b/>
                <w:color w:val="auto"/>
                <w:szCs w:val="21"/>
                <w:u w:val="single"/>
              </w:rPr>
              <w:t>职工生活</w:t>
            </w:r>
          </w:p>
        </w:tc>
        <w:tc>
          <w:tcPr>
            <w:tcW w:w="1110" w:type="dxa"/>
            <w:vAlign w:val="center"/>
          </w:tcPr>
          <w:p w14:paraId="2FD1B18A" w14:textId="77777777" w:rsidR="0053271F" w:rsidRPr="006E3216" w:rsidRDefault="0053271F" w:rsidP="0053271F">
            <w:pPr>
              <w:jc w:val="center"/>
              <w:rPr>
                <w:rFonts w:ascii="Calibri" w:hAnsi="Calibri"/>
                <w:b/>
                <w:color w:val="auto"/>
                <w:szCs w:val="21"/>
                <w:u w:val="single"/>
              </w:rPr>
            </w:pPr>
            <w:r w:rsidRPr="006E3216">
              <w:rPr>
                <w:rFonts w:ascii="Calibri" w:hAnsi="Calibri"/>
                <w:b/>
                <w:color w:val="auto"/>
                <w:szCs w:val="21"/>
                <w:u w:val="single"/>
              </w:rPr>
              <w:t>4.5</w:t>
            </w:r>
          </w:p>
        </w:tc>
        <w:tc>
          <w:tcPr>
            <w:tcW w:w="1111" w:type="dxa"/>
            <w:vAlign w:val="center"/>
          </w:tcPr>
          <w:p w14:paraId="1A94CE61" w14:textId="77777777" w:rsidR="0053271F" w:rsidRPr="006E3216" w:rsidRDefault="0053271F" w:rsidP="0053271F">
            <w:pPr>
              <w:jc w:val="center"/>
              <w:rPr>
                <w:rFonts w:ascii="Calibri" w:hAnsi="Calibri"/>
                <w:b/>
                <w:color w:val="auto"/>
                <w:szCs w:val="21"/>
                <w:u w:val="single"/>
              </w:rPr>
            </w:pPr>
            <w:r w:rsidRPr="006E3216">
              <w:rPr>
                <w:rFonts w:ascii="Calibri" w:hAnsi="Calibri" w:hint="eastAsia"/>
                <w:b/>
                <w:color w:val="auto"/>
                <w:szCs w:val="21"/>
                <w:u w:val="single"/>
              </w:rPr>
              <w:t>一般固废</w:t>
            </w:r>
          </w:p>
        </w:tc>
        <w:tc>
          <w:tcPr>
            <w:tcW w:w="2343" w:type="dxa"/>
            <w:vAlign w:val="center"/>
          </w:tcPr>
          <w:p w14:paraId="59BE3182" w14:textId="77777777" w:rsidR="0053271F" w:rsidRPr="006E3216" w:rsidRDefault="0053271F" w:rsidP="0053271F">
            <w:pPr>
              <w:jc w:val="center"/>
              <w:rPr>
                <w:rFonts w:ascii="Calibri" w:hAnsi="Calibri"/>
                <w:b/>
                <w:color w:val="auto"/>
                <w:szCs w:val="21"/>
                <w:u w:val="single"/>
              </w:rPr>
            </w:pPr>
            <w:r w:rsidRPr="006E3216">
              <w:rPr>
                <w:rFonts w:ascii="Calibri" w:hAnsi="Calibri" w:hint="eastAsia"/>
                <w:b/>
                <w:color w:val="auto"/>
                <w:szCs w:val="21"/>
                <w:u w:val="single"/>
              </w:rPr>
              <w:t>送集聚区垃圾中转站</w:t>
            </w:r>
          </w:p>
        </w:tc>
      </w:tr>
      <w:tr w:rsidR="00633D32" w:rsidRPr="006E3216" w14:paraId="05FB0B9A" w14:textId="77777777" w:rsidTr="006B5DE5">
        <w:trPr>
          <w:trHeight w:val="340"/>
        </w:trPr>
        <w:tc>
          <w:tcPr>
            <w:tcW w:w="698" w:type="dxa"/>
            <w:vMerge w:val="restart"/>
            <w:vAlign w:val="center"/>
          </w:tcPr>
          <w:p w14:paraId="34775A9F"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小计</w:t>
            </w:r>
          </w:p>
        </w:tc>
        <w:tc>
          <w:tcPr>
            <w:tcW w:w="3438" w:type="dxa"/>
            <w:gridSpan w:val="4"/>
            <w:vAlign w:val="center"/>
          </w:tcPr>
          <w:p w14:paraId="61DC5482"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二期工程</w:t>
            </w:r>
          </w:p>
        </w:tc>
        <w:tc>
          <w:tcPr>
            <w:tcW w:w="1110" w:type="dxa"/>
            <w:vAlign w:val="center"/>
          </w:tcPr>
          <w:p w14:paraId="5CA2FBC2" w14:textId="732FEA90" w:rsidR="00633D32" w:rsidRPr="006E3216" w:rsidRDefault="006E3216" w:rsidP="0053271F">
            <w:pPr>
              <w:jc w:val="center"/>
              <w:rPr>
                <w:rFonts w:ascii="Calibri" w:hAnsi="Calibri"/>
                <w:b/>
                <w:color w:val="auto"/>
                <w:szCs w:val="21"/>
                <w:u w:val="single"/>
              </w:rPr>
            </w:pPr>
            <w:r w:rsidRPr="006E3216">
              <w:rPr>
                <w:rFonts w:ascii="Calibri" w:hAnsi="Calibri"/>
                <w:b/>
                <w:color w:val="auto"/>
                <w:szCs w:val="21"/>
                <w:u w:val="single"/>
              </w:rPr>
              <w:t>15.15</w:t>
            </w:r>
          </w:p>
        </w:tc>
        <w:tc>
          <w:tcPr>
            <w:tcW w:w="3454" w:type="dxa"/>
            <w:gridSpan w:val="2"/>
            <w:vMerge w:val="restart"/>
            <w:vAlign w:val="center"/>
          </w:tcPr>
          <w:p w14:paraId="73A116F8"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w:t>
            </w:r>
          </w:p>
        </w:tc>
      </w:tr>
      <w:tr w:rsidR="00633D32" w:rsidRPr="006E3216" w14:paraId="2D885384" w14:textId="77777777" w:rsidTr="006B5DE5">
        <w:trPr>
          <w:trHeight w:val="340"/>
        </w:trPr>
        <w:tc>
          <w:tcPr>
            <w:tcW w:w="698" w:type="dxa"/>
            <w:vMerge/>
            <w:vAlign w:val="center"/>
          </w:tcPr>
          <w:p w14:paraId="0AF8CED1" w14:textId="77777777" w:rsidR="00633D32" w:rsidRPr="006E3216" w:rsidRDefault="00633D32" w:rsidP="00633D32">
            <w:pPr>
              <w:jc w:val="center"/>
              <w:rPr>
                <w:rFonts w:ascii="Calibri" w:hAnsi="Calibri"/>
                <w:b/>
                <w:color w:val="auto"/>
                <w:szCs w:val="21"/>
                <w:u w:val="single"/>
              </w:rPr>
            </w:pPr>
          </w:p>
        </w:tc>
        <w:tc>
          <w:tcPr>
            <w:tcW w:w="1671" w:type="dxa"/>
            <w:vAlign w:val="center"/>
          </w:tcPr>
          <w:p w14:paraId="0622E06D"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其中</w:t>
            </w:r>
          </w:p>
        </w:tc>
        <w:tc>
          <w:tcPr>
            <w:tcW w:w="1767" w:type="dxa"/>
            <w:gridSpan w:val="3"/>
          </w:tcPr>
          <w:p w14:paraId="0308676E" w14:textId="77777777" w:rsidR="00633D32" w:rsidRPr="006E3216" w:rsidRDefault="00633D32" w:rsidP="00633D32">
            <w:pPr>
              <w:jc w:val="center"/>
              <w:rPr>
                <w:rFonts w:ascii="Calibri"/>
                <w:b/>
                <w:color w:val="auto"/>
                <w:szCs w:val="20"/>
                <w:u w:val="single"/>
              </w:rPr>
            </w:pPr>
            <w:r w:rsidRPr="006E3216">
              <w:rPr>
                <w:rFonts w:ascii="Calibri" w:hint="eastAsia"/>
                <w:b/>
                <w:color w:val="auto"/>
                <w:szCs w:val="20"/>
                <w:u w:val="single"/>
              </w:rPr>
              <w:t>危险固废</w:t>
            </w:r>
          </w:p>
        </w:tc>
        <w:tc>
          <w:tcPr>
            <w:tcW w:w="1110" w:type="dxa"/>
            <w:vAlign w:val="center"/>
          </w:tcPr>
          <w:p w14:paraId="7474926B" w14:textId="68032AE0" w:rsidR="00633D32" w:rsidRPr="006E3216" w:rsidRDefault="006E3216" w:rsidP="00633D32">
            <w:pPr>
              <w:jc w:val="center"/>
              <w:rPr>
                <w:rFonts w:ascii="Calibri" w:hAnsi="Calibri"/>
                <w:b/>
                <w:color w:val="auto"/>
                <w:szCs w:val="21"/>
                <w:u w:val="single"/>
              </w:rPr>
            </w:pPr>
            <w:r w:rsidRPr="006E3216">
              <w:rPr>
                <w:rFonts w:ascii="Calibri" w:hAnsi="Calibri"/>
                <w:b/>
                <w:color w:val="auto"/>
                <w:szCs w:val="21"/>
                <w:u w:val="single"/>
              </w:rPr>
              <w:t>1.90</w:t>
            </w:r>
          </w:p>
        </w:tc>
        <w:tc>
          <w:tcPr>
            <w:tcW w:w="3454" w:type="dxa"/>
            <w:gridSpan w:val="2"/>
            <w:vMerge/>
            <w:vAlign w:val="center"/>
          </w:tcPr>
          <w:p w14:paraId="3721FA33" w14:textId="77777777" w:rsidR="00633D32" w:rsidRPr="006E3216" w:rsidRDefault="00633D32" w:rsidP="00633D32">
            <w:pPr>
              <w:jc w:val="center"/>
              <w:rPr>
                <w:rFonts w:ascii="Calibri" w:hAnsi="Calibri"/>
                <w:b/>
                <w:color w:val="auto"/>
                <w:szCs w:val="21"/>
                <w:u w:val="single"/>
              </w:rPr>
            </w:pPr>
          </w:p>
        </w:tc>
      </w:tr>
      <w:tr w:rsidR="00633D32" w:rsidRPr="006E3216" w14:paraId="689F65F3" w14:textId="77777777" w:rsidTr="006B5DE5">
        <w:trPr>
          <w:trHeight w:val="340"/>
        </w:trPr>
        <w:tc>
          <w:tcPr>
            <w:tcW w:w="698" w:type="dxa"/>
            <w:vAlign w:val="center"/>
          </w:tcPr>
          <w:p w14:paraId="61F8B263"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三</w:t>
            </w:r>
          </w:p>
        </w:tc>
        <w:tc>
          <w:tcPr>
            <w:tcW w:w="8002" w:type="dxa"/>
            <w:gridSpan w:val="7"/>
            <w:vAlign w:val="center"/>
          </w:tcPr>
          <w:p w14:paraId="1CE06C17"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全厂固废</w:t>
            </w:r>
          </w:p>
        </w:tc>
      </w:tr>
      <w:tr w:rsidR="00633D32" w:rsidRPr="006E3216" w14:paraId="668332EB" w14:textId="77777777" w:rsidTr="006B5DE5">
        <w:trPr>
          <w:trHeight w:val="340"/>
        </w:trPr>
        <w:tc>
          <w:tcPr>
            <w:tcW w:w="698" w:type="dxa"/>
            <w:vMerge w:val="restart"/>
            <w:vAlign w:val="center"/>
          </w:tcPr>
          <w:p w14:paraId="461712F0"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全厂</w:t>
            </w:r>
          </w:p>
        </w:tc>
        <w:tc>
          <w:tcPr>
            <w:tcW w:w="3438" w:type="dxa"/>
            <w:gridSpan w:val="4"/>
            <w:vAlign w:val="center"/>
          </w:tcPr>
          <w:p w14:paraId="7E3E5E18"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全厂固废</w:t>
            </w:r>
          </w:p>
        </w:tc>
        <w:tc>
          <w:tcPr>
            <w:tcW w:w="1110" w:type="dxa"/>
            <w:vAlign w:val="center"/>
          </w:tcPr>
          <w:p w14:paraId="39ACC7EA" w14:textId="4B36D6A9" w:rsidR="00633D32" w:rsidRPr="006E3216" w:rsidRDefault="006E3216" w:rsidP="0053271F">
            <w:pPr>
              <w:jc w:val="center"/>
              <w:rPr>
                <w:rFonts w:ascii="Calibri" w:hAnsi="Calibri"/>
                <w:b/>
                <w:color w:val="auto"/>
                <w:szCs w:val="21"/>
                <w:u w:val="single"/>
              </w:rPr>
            </w:pPr>
            <w:r w:rsidRPr="006E3216">
              <w:rPr>
                <w:rFonts w:ascii="Calibri" w:hAnsi="Calibri"/>
                <w:b/>
                <w:color w:val="auto"/>
                <w:szCs w:val="21"/>
                <w:u w:val="single"/>
              </w:rPr>
              <w:t>48.861</w:t>
            </w:r>
          </w:p>
        </w:tc>
        <w:tc>
          <w:tcPr>
            <w:tcW w:w="3454" w:type="dxa"/>
            <w:gridSpan w:val="2"/>
            <w:vMerge w:val="restart"/>
            <w:vAlign w:val="center"/>
          </w:tcPr>
          <w:p w14:paraId="347E25F7"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废反渗透膜、废导热油因产生周期较长，不计入核算数据</w:t>
            </w:r>
          </w:p>
        </w:tc>
      </w:tr>
      <w:tr w:rsidR="00633D32" w:rsidRPr="006E3216" w14:paraId="1F6D5B83" w14:textId="77777777" w:rsidTr="006B5DE5">
        <w:trPr>
          <w:trHeight w:val="340"/>
        </w:trPr>
        <w:tc>
          <w:tcPr>
            <w:tcW w:w="698" w:type="dxa"/>
            <w:vMerge/>
            <w:vAlign w:val="center"/>
          </w:tcPr>
          <w:p w14:paraId="5245586E" w14:textId="77777777" w:rsidR="00633D32" w:rsidRPr="006E3216" w:rsidRDefault="00633D32" w:rsidP="00633D32">
            <w:pPr>
              <w:jc w:val="center"/>
              <w:rPr>
                <w:rFonts w:ascii="Calibri" w:hAnsi="Calibri"/>
                <w:b/>
                <w:color w:val="auto"/>
                <w:szCs w:val="21"/>
                <w:u w:val="single"/>
              </w:rPr>
            </w:pPr>
          </w:p>
        </w:tc>
        <w:tc>
          <w:tcPr>
            <w:tcW w:w="1770" w:type="dxa"/>
            <w:gridSpan w:val="3"/>
            <w:vAlign w:val="center"/>
          </w:tcPr>
          <w:p w14:paraId="495E65DA"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其中</w:t>
            </w:r>
          </w:p>
        </w:tc>
        <w:tc>
          <w:tcPr>
            <w:tcW w:w="1668" w:type="dxa"/>
            <w:vAlign w:val="center"/>
          </w:tcPr>
          <w:p w14:paraId="457639A2" w14:textId="77777777" w:rsidR="00633D32" w:rsidRPr="006E3216" w:rsidRDefault="00633D32" w:rsidP="00633D32">
            <w:pPr>
              <w:jc w:val="center"/>
              <w:rPr>
                <w:rFonts w:ascii="Calibri" w:hAnsi="Calibri"/>
                <w:b/>
                <w:color w:val="auto"/>
                <w:szCs w:val="21"/>
                <w:u w:val="single"/>
              </w:rPr>
            </w:pPr>
            <w:r w:rsidRPr="006E3216">
              <w:rPr>
                <w:rFonts w:ascii="Calibri" w:hAnsi="Calibri" w:hint="eastAsia"/>
                <w:b/>
                <w:color w:val="auto"/>
                <w:szCs w:val="21"/>
                <w:u w:val="single"/>
              </w:rPr>
              <w:t>危险固废</w:t>
            </w:r>
          </w:p>
        </w:tc>
        <w:tc>
          <w:tcPr>
            <w:tcW w:w="1110" w:type="dxa"/>
            <w:vAlign w:val="center"/>
          </w:tcPr>
          <w:p w14:paraId="638DC2BB" w14:textId="4FA513D0" w:rsidR="00633D32" w:rsidRPr="006E3216" w:rsidRDefault="006E3216" w:rsidP="00633D32">
            <w:pPr>
              <w:jc w:val="center"/>
              <w:rPr>
                <w:rFonts w:ascii="Calibri" w:hAnsi="Calibri"/>
                <w:b/>
                <w:color w:val="auto"/>
                <w:szCs w:val="21"/>
                <w:u w:val="single"/>
              </w:rPr>
            </w:pPr>
            <w:r w:rsidRPr="006E3216">
              <w:rPr>
                <w:rFonts w:ascii="Calibri" w:hAnsi="Calibri"/>
                <w:b/>
                <w:color w:val="auto"/>
                <w:szCs w:val="21"/>
                <w:u w:val="single"/>
              </w:rPr>
              <w:t>5.311</w:t>
            </w:r>
          </w:p>
        </w:tc>
        <w:tc>
          <w:tcPr>
            <w:tcW w:w="3454" w:type="dxa"/>
            <w:gridSpan w:val="2"/>
            <w:vMerge/>
            <w:vAlign w:val="center"/>
          </w:tcPr>
          <w:p w14:paraId="507479B1" w14:textId="77777777" w:rsidR="00633D32" w:rsidRPr="006E3216" w:rsidRDefault="00633D32" w:rsidP="00633D32">
            <w:pPr>
              <w:jc w:val="center"/>
              <w:rPr>
                <w:rFonts w:ascii="黑体" w:eastAsia="黑体" w:hAnsi="黑体"/>
                <w:b/>
                <w:color w:val="auto"/>
                <w:szCs w:val="21"/>
                <w:u w:val="single"/>
              </w:rPr>
            </w:pPr>
          </w:p>
        </w:tc>
      </w:tr>
    </w:tbl>
    <w:p w14:paraId="415C6CC2" w14:textId="77777777" w:rsidR="00AB5793" w:rsidRPr="00A964FF" w:rsidRDefault="00AB5793" w:rsidP="0068469D">
      <w:pPr>
        <w:pStyle w:val="00"/>
        <w:ind w:firstLineChars="200"/>
        <w:rPr>
          <w:rFonts w:ascii="Calibri" w:hAnsi="Calibri"/>
          <w:color w:val="auto"/>
        </w:rPr>
      </w:pPr>
      <w:r w:rsidRPr="00A964FF">
        <w:rPr>
          <w:rFonts w:ascii="Calibri" w:hAnsi="Calibri" w:hint="eastAsia"/>
          <w:color w:val="auto"/>
        </w:rPr>
        <w:t>本项目危险固废产生及处置情况见表</w:t>
      </w:r>
      <w:r w:rsidRPr="00A964FF">
        <w:rPr>
          <w:rFonts w:ascii="Calibri" w:hAnsi="Calibri" w:hint="eastAsia"/>
          <w:color w:val="auto"/>
        </w:rPr>
        <w:t>2.</w:t>
      </w:r>
      <w:r w:rsidR="005310B3" w:rsidRPr="00A964FF">
        <w:rPr>
          <w:rFonts w:ascii="Calibri" w:hAnsi="Calibri" w:hint="eastAsia"/>
          <w:color w:val="auto"/>
        </w:rPr>
        <w:t>3</w:t>
      </w:r>
      <w:r w:rsidRPr="00A964FF">
        <w:rPr>
          <w:rFonts w:ascii="Calibri" w:hAnsi="Calibri" w:hint="eastAsia"/>
          <w:color w:val="auto"/>
        </w:rPr>
        <w:t>-</w:t>
      </w:r>
      <w:r w:rsidR="000D53E8">
        <w:rPr>
          <w:rFonts w:ascii="Calibri" w:hAnsi="Calibri"/>
          <w:color w:val="auto"/>
        </w:rPr>
        <w:t>26</w:t>
      </w:r>
      <w:r w:rsidRPr="00A964FF">
        <w:rPr>
          <w:rFonts w:ascii="Calibri" w:hAnsi="Calibri" w:hint="eastAsia"/>
          <w:color w:val="auto"/>
        </w:rPr>
        <w:t>。</w:t>
      </w:r>
    </w:p>
    <w:p w14:paraId="11C522D9" w14:textId="77777777" w:rsidR="00DD287E" w:rsidRPr="00EA2872" w:rsidRDefault="00DD287E" w:rsidP="00AB5793">
      <w:pPr>
        <w:spacing w:line="520" w:lineRule="exact"/>
        <w:ind w:firstLineChars="200" w:firstLine="482"/>
        <w:jc w:val="left"/>
        <w:rPr>
          <w:rFonts w:ascii="黑体" w:eastAsia="黑体" w:hAnsi="黑体"/>
          <w:b/>
          <w:bCs/>
          <w:color w:val="auto"/>
          <w:sz w:val="24"/>
          <w:u w:val="single"/>
        </w:rPr>
        <w:sectPr w:rsidR="00DD287E" w:rsidRPr="00EA2872" w:rsidSect="00CC0381">
          <w:pgSz w:w="11906" w:h="16838" w:code="9"/>
          <w:pgMar w:top="1440" w:right="1588" w:bottom="1440" w:left="1588" w:header="851" w:footer="992" w:gutter="0"/>
          <w:cols w:space="720"/>
          <w:docGrid w:linePitch="312"/>
        </w:sectPr>
      </w:pPr>
    </w:p>
    <w:p w14:paraId="52D6A68A" w14:textId="77777777" w:rsidR="00AB5793" w:rsidRDefault="00AB5793" w:rsidP="000E15EB">
      <w:pPr>
        <w:spacing w:line="520" w:lineRule="exact"/>
        <w:ind w:firstLineChars="350" w:firstLine="840"/>
        <w:jc w:val="left"/>
        <w:rPr>
          <w:rFonts w:ascii="Calibri" w:eastAsia="黑体" w:hAnsi="黑体"/>
          <w:bCs/>
          <w:color w:val="auto"/>
          <w:sz w:val="24"/>
        </w:rPr>
      </w:pPr>
      <w:r w:rsidRPr="00A964FF">
        <w:rPr>
          <w:rFonts w:ascii="Calibri" w:eastAsia="黑体" w:hAnsi="黑体"/>
          <w:bCs/>
          <w:color w:val="auto"/>
          <w:sz w:val="24"/>
        </w:rPr>
        <w:lastRenderedPageBreak/>
        <w:t>表</w:t>
      </w:r>
      <w:r w:rsidRPr="00A964FF">
        <w:rPr>
          <w:rFonts w:ascii="Calibri" w:eastAsia="黑体" w:hAnsi="Calibri"/>
          <w:bCs/>
          <w:color w:val="auto"/>
          <w:sz w:val="24"/>
        </w:rPr>
        <w:t>2</w:t>
      </w:r>
      <w:r w:rsidRPr="00A964FF">
        <w:rPr>
          <w:rFonts w:ascii="Calibri" w:eastAsia="黑体" w:hAnsi="Calibri" w:hint="eastAsia"/>
          <w:bCs/>
          <w:color w:val="auto"/>
          <w:sz w:val="24"/>
        </w:rPr>
        <w:t>.</w:t>
      </w:r>
      <w:r w:rsidR="005310B3" w:rsidRPr="00A964FF">
        <w:rPr>
          <w:rFonts w:ascii="Calibri" w:eastAsia="黑体" w:hAnsi="Calibri" w:hint="eastAsia"/>
          <w:bCs/>
          <w:color w:val="auto"/>
          <w:sz w:val="24"/>
        </w:rPr>
        <w:t>3</w:t>
      </w:r>
      <w:r w:rsidRPr="00A964FF">
        <w:rPr>
          <w:rFonts w:ascii="Calibri" w:eastAsia="黑体" w:hAnsi="Calibri"/>
          <w:bCs/>
          <w:color w:val="auto"/>
          <w:sz w:val="24"/>
        </w:rPr>
        <w:t>-</w:t>
      </w:r>
      <w:r w:rsidR="000D53E8">
        <w:rPr>
          <w:rFonts w:ascii="Calibri" w:eastAsia="黑体" w:hAnsi="Calibri" w:hint="eastAsia"/>
          <w:bCs/>
          <w:color w:val="auto"/>
          <w:sz w:val="24"/>
        </w:rPr>
        <w:t>26</w:t>
      </w:r>
      <w:r w:rsidRPr="00A964FF">
        <w:rPr>
          <w:rFonts w:ascii="Calibri" w:eastAsia="黑体" w:hAnsi="Calibri"/>
          <w:bCs/>
          <w:color w:val="auto"/>
          <w:sz w:val="24"/>
        </w:rPr>
        <w:t xml:space="preserve">                              </w:t>
      </w:r>
      <w:r w:rsidRPr="00A964FF">
        <w:rPr>
          <w:rFonts w:ascii="Calibri" w:eastAsia="黑体" w:hAnsi="黑体"/>
          <w:bCs/>
          <w:color w:val="auto"/>
          <w:sz w:val="24"/>
        </w:rPr>
        <w:t>本项目危险固废产生及处置情况</w:t>
      </w:r>
    </w:p>
    <w:tbl>
      <w:tblPr>
        <w:tblW w:w="512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4"/>
        <w:gridCol w:w="1406"/>
        <w:gridCol w:w="1559"/>
        <w:gridCol w:w="1276"/>
        <w:gridCol w:w="1417"/>
        <w:gridCol w:w="1461"/>
        <w:gridCol w:w="1658"/>
        <w:gridCol w:w="992"/>
        <w:gridCol w:w="709"/>
        <w:gridCol w:w="732"/>
        <w:gridCol w:w="705"/>
        <w:gridCol w:w="1783"/>
      </w:tblGrid>
      <w:tr w:rsidR="0068469D" w:rsidRPr="004F7F0A" w14:paraId="7F89BFCF" w14:textId="77777777" w:rsidTr="008E59FE">
        <w:trPr>
          <w:trHeight w:val="340"/>
          <w:jc w:val="center"/>
        </w:trPr>
        <w:tc>
          <w:tcPr>
            <w:tcW w:w="564" w:type="dxa"/>
            <w:tcMar>
              <w:left w:w="28" w:type="dxa"/>
              <w:right w:w="28" w:type="dxa"/>
            </w:tcMar>
            <w:vAlign w:val="center"/>
          </w:tcPr>
          <w:p w14:paraId="0FBFCF75"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序号</w:t>
            </w:r>
          </w:p>
        </w:tc>
        <w:tc>
          <w:tcPr>
            <w:tcW w:w="1406" w:type="dxa"/>
            <w:tcMar>
              <w:left w:w="28" w:type="dxa"/>
              <w:right w:w="28" w:type="dxa"/>
            </w:tcMar>
            <w:vAlign w:val="center"/>
          </w:tcPr>
          <w:p w14:paraId="4C866E61"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危险废物</w:t>
            </w:r>
          </w:p>
          <w:p w14:paraId="5C4565E3"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名称</w:t>
            </w:r>
          </w:p>
        </w:tc>
        <w:tc>
          <w:tcPr>
            <w:tcW w:w="1559" w:type="dxa"/>
            <w:tcMar>
              <w:left w:w="28" w:type="dxa"/>
              <w:right w:w="28" w:type="dxa"/>
            </w:tcMar>
            <w:vAlign w:val="center"/>
          </w:tcPr>
          <w:p w14:paraId="6D62AFD2"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危险废物类别</w:t>
            </w:r>
          </w:p>
        </w:tc>
        <w:tc>
          <w:tcPr>
            <w:tcW w:w="1276" w:type="dxa"/>
            <w:tcMar>
              <w:left w:w="28" w:type="dxa"/>
              <w:right w:w="28" w:type="dxa"/>
            </w:tcMar>
            <w:vAlign w:val="center"/>
          </w:tcPr>
          <w:p w14:paraId="7DFFFCE0"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危险废物</w:t>
            </w:r>
          </w:p>
          <w:p w14:paraId="60952BAA"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代码</w:t>
            </w:r>
          </w:p>
        </w:tc>
        <w:tc>
          <w:tcPr>
            <w:tcW w:w="1417" w:type="dxa"/>
            <w:tcMar>
              <w:left w:w="28" w:type="dxa"/>
              <w:right w:w="28" w:type="dxa"/>
            </w:tcMar>
            <w:vAlign w:val="center"/>
          </w:tcPr>
          <w:p w14:paraId="55B8F033"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产生量</w:t>
            </w:r>
          </w:p>
          <w:p w14:paraId="32E3AD65"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w:t>
            </w:r>
            <w:r w:rsidRPr="004F7F0A">
              <w:rPr>
                <w:rFonts w:ascii="Calibri" w:hAnsi="Calibri"/>
                <w:bCs/>
                <w:color w:val="auto"/>
                <w:szCs w:val="21"/>
              </w:rPr>
              <w:t>t/a</w:t>
            </w:r>
            <w:r w:rsidRPr="004F7F0A">
              <w:rPr>
                <w:rFonts w:ascii="Calibri" w:hAnsi="Calibri"/>
                <w:bCs/>
                <w:color w:val="auto"/>
                <w:szCs w:val="21"/>
              </w:rPr>
              <w:t>）</w:t>
            </w:r>
          </w:p>
        </w:tc>
        <w:tc>
          <w:tcPr>
            <w:tcW w:w="1461" w:type="dxa"/>
            <w:tcMar>
              <w:left w:w="28" w:type="dxa"/>
              <w:right w:w="28" w:type="dxa"/>
            </w:tcMar>
            <w:vAlign w:val="center"/>
          </w:tcPr>
          <w:p w14:paraId="637FBF80"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产生工序</w:t>
            </w:r>
          </w:p>
          <w:p w14:paraId="36E27A1A"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及装置</w:t>
            </w:r>
          </w:p>
        </w:tc>
        <w:tc>
          <w:tcPr>
            <w:tcW w:w="1658" w:type="dxa"/>
            <w:tcMar>
              <w:left w:w="28" w:type="dxa"/>
              <w:right w:w="28" w:type="dxa"/>
            </w:tcMar>
            <w:vAlign w:val="center"/>
          </w:tcPr>
          <w:p w14:paraId="297300CD"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主要成分</w:t>
            </w:r>
          </w:p>
        </w:tc>
        <w:tc>
          <w:tcPr>
            <w:tcW w:w="992" w:type="dxa"/>
            <w:tcMar>
              <w:left w:w="28" w:type="dxa"/>
              <w:right w:w="28" w:type="dxa"/>
            </w:tcMar>
            <w:vAlign w:val="center"/>
          </w:tcPr>
          <w:p w14:paraId="3BF28BA5"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有害成分</w:t>
            </w:r>
          </w:p>
        </w:tc>
        <w:tc>
          <w:tcPr>
            <w:tcW w:w="709" w:type="dxa"/>
            <w:tcMar>
              <w:left w:w="28" w:type="dxa"/>
              <w:right w:w="28" w:type="dxa"/>
            </w:tcMar>
            <w:vAlign w:val="center"/>
          </w:tcPr>
          <w:p w14:paraId="62E4043E"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形态</w:t>
            </w:r>
          </w:p>
        </w:tc>
        <w:tc>
          <w:tcPr>
            <w:tcW w:w="732" w:type="dxa"/>
            <w:tcMar>
              <w:left w:w="28" w:type="dxa"/>
              <w:right w:w="28" w:type="dxa"/>
            </w:tcMar>
            <w:vAlign w:val="center"/>
          </w:tcPr>
          <w:p w14:paraId="6083AD6A"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产废</w:t>
            </w:r>
          </w:p>
          <w:p w14:paraId="36A0B51E"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周期</w:t>
            </w:r>
          </w:p>
        </w:tc>
        <w:tc>
          <w:tcPr>
            <w:tcW w:w="705" w:type="dxa"/>
            <w:tcMar>
              <w:left w:w="28" w:type="dxa"/>
              <w:right w:w="28" w:type="dxa"/>
            </w:tcMar>
            <w:vAlign w:val="center"/>
          </w:tcPr>
          <w:p w14:paraId="4E51122B"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危险</w:t>
            </w:r>
          </w:p>
          <w:p w14:paraId="1732E666"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特性</w:t>
            </w:r>
          </w:p>
        </w:tc>
        <w:tc>
          <w:tcPr>
            <w:tcW w:w="1783" w:type="dxa"/>
            <w:tcMar>
              <w:left w:w="28" w:type="dxa"/>
              <w:right w:w="28" w:type="dxa"/>
            </w:tcMar>
            <w:vAlign w:val="center"/>
          </w:tcPr>
          <w:p w14:paraId="16BD8450"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污染防治措施</w:t>
            </w:r>
            <w:r w:rsidRPr="004F7F0A">
              <w:rPr>
                <w:rFonts w:ascii="Calibri" w:hAnsi="Calibri"/>
                <w:bCs/>
                <w:color w:val="auto"/>
                <w:szCs w:val="21"/>
              </w:rPr>
              <w:t>*</w:t>
            </w:r>
          </w:p>
        </w:tc>
      </w:tr>
      <w:tr w:rsidR="0068469D" w:rsidRPr="004F7F0A" w14:paraId="22AF0BD9" w14:textId="77777777" w:rsidTr="008E59FE">
        <w:trPr>
          <w:trHeight w:val="340"/>
          <w:jc w:val="center"/>
        </w:trPr>
        <w:tc>
          <w:tcPr>
            <w:tcW w:w="564" w:type="dxa"/>
            <w:tcMar>
              <w:left w:w="28" w:type="dxa"/>
              <w:right w:w="28" w:type="dxa"/>
            </w:tcMar>
            <w:vAlign w:val="center"/>
          </w:tcPr>
          <w:p w14:paraId="629064BA" w14:textId="77777777" w:rsidR="0068469D" w:rsidRPr="004F7F0A" w:rsidRDefault="0068469D" w:rsidP="008E59FE">
            <w:pPr>
              <w:jc w:val="center"/>
              <w:rPr>
                <w:rFonts w:ascii="Calibri" w:hAnsi="Calibri"/>
                <w:bCs/>
                <w:color w:val="auto"/>
                <w:szCs w:val="21"/>
              </w:rPr>
            </w:pPr>
            <w:r w:rsidRPr="004F7F0A">
              <w:rPr>
                <w:rFonts w:ascii="Calibri" w:hAnsi="Calibri" w:hint="eastAsia"/>
                <w:bCs/>
                <w:color w:val="auto"/>
                <w:szCs w:val="21"/>
              </w:rPr>
              <w:t>一</w:t>
            </w:r>
          </w:p>
        </w:tc>
        <w:tc>
          <w:tcPr>
            <w:tcW w:w="13698" w:type="dxa"/>
            <w:gridSpan w:val="11"/>
            <w:tcMar>
              <w:left w:w="28" w:type="dxa"/>
              <w:right w:w="28" w:type="dxa"/>
            </w:tcMar>
            <w:vAlign w:val="center"/>
          </w:tcPr>
          <w:p w14:paraId="58752F93" w14:textId="77777777" w:rsidR="0068469D" w:rsidRPr="004F7F0A" w:rsidRDefault="0068469D" w:rsidP="008E59FE">
            <w:pPr>
              <w:jc w:val="center"/>
              <w:rPr>
                <w:rFonts w:ascii="Calibri" w:hAnsi="Calibri"/>
                <w:bCs/>
                <w:color w:val="auto"/>
                <w:szCs w:val="21"/>
              </w:rPr>
            </w:pPr>
            <w:r w:rsidRPr="004F7F0A">
              <w:rPr>
                <w:rFonts w:ascii="Calibri" w:hAnsi="Calibri" w:hint="eastAsia"/>
                <w:bCs/>
                <w:color w:val="auto"/>
                <w:szCs w:val="21"/>
              </w:rPr>
              <w:t>一期工程</w:t>
            </w:r>
          </w:p>
        </w:tc>
      </w:tr>
      <w:tr w:rsidR="00FD157B" w:rsidRPr="004F7F0A" w14:paraId="12FDE434" w14:textId="77777777" w:rsidTr="008E59FE">
        <w:trPr>
          <w:trHeight w:val="340"/>
          <w:jc w:val="center"/>
        </w:trPr>
        <w:tc>
          <w:tcPr>
            <w:tcW w:w="564" w:type="dxa"/>
            <w:tcMar>
              <w:left w:w="28" w:type="dxa"/>
              <w:right w:w="28" w:type="dxa"/>
            </w:tcMar>
            <w:vAlign w:val="center"/>
          </w:tcPr>
          <w:p w14:paraId="30663775" w14:textId="77777777" w:rsidR="00FD157B" w:rsidRPr="004F7F0A" w:rsidRDefault="00FD157B" w:rsidP="008E59FE">
            <w:pPr>
              <w:jc w:val="center"/>
              <w:rPr>
                <w:rFonts w:ascii="Calibri" w:hAnsi="Calibri"/>
                <w:color w:val="auto"/>
                <w:szCs w:val="21"/>
              </w:rPr>
            </w:pPr>
            <w:r>
              <w:rPr>
                <w:rFonts w:ascii="Calibri" w:hAnsi="Calibri"/>
                <w:color w:val="auto"/>
                <w:szCs w:val="21"/>
              </w:rPr>
              <w:t>1</w:t>
            </w:r>
          </w:p>
        </w:tc>
        <w:tc>
          <w:tcPr>
            <w:tcW w:w="1406" w:type="dxa"/>
            <w:tcMar>
              <w:left w:w="28" w:type="dxa"/>
              <w:right w:w="28" w:type="dxa"/>
            </w:tcMar>
            <w:vAlign w:val="center"/>
          </w:tcPr>
          <w:p w14:paraId="5C6A631C" w14:textId="77777777" w:rsidR="00FD157B" w:rsidRPr="004F7F0A" w:rsidRDefault="00FD157B" w:rsidP="008E59FE">
            <w:pPr>
              <w:jc w:val="center"/>
              <w:rPr>
                <w:rFonts w:ascii="Calibri" w:hAnsi="Calibri"/>
                <w:color w:val="auto"/>
                <w:szCs w:val="21"/>
              </w:rPr>
            </w:pPr>
            <w:r w:rsidRPr="004F7F0A">
              <w:rPr>
                <w:rFonts w:ascii="Calibri" w:hAnsi="Calibri" w:hint="eastAsia"/>
                <w:color w:val="auto"/>
                <w:szCs w:val="21"/>
              </w:rPr>
              <w:t>废活性炭</w:t>
            </w:r>
          </w:p>
        </w:tc>
        <w:tc>
          <w:tcPr>
            <w:tcW w:w="1559" w:type="dxa"/>
            <w:tcMar>
              <w:left w:w="28" w:type="dxa"/>
              <w:right w:w="28" w:type="dxa"/>
            </w:tcMar>
            <w:vAlign w:val="center"/>
          </w:tcPr>
          <w:p w14:paraId="786920AE" w14:textId="77777777" w:rsidR="00FD157B" w:rsidRPr="004F7F0A" w:rsidRDefault="00FD157B" w:rsidP="008E59FE">
            <w:pPr>
              <w:jc w:val="center"/>
              <w:rPr>
                <w:rFonts w:ascii="Calibri" w:hAnsi="Calibri"/>
                <w:bCs/>
                <w:color w:val="auto"/>
                <w:szCs w:val="21"/>
              </w:rPr>
            </w:pPr>
            <w:r w:rsidRPr="00A964FF">
              <w:rPr>
                <w:rFonts w:ascii="Calibri" w:hAnsi="Calibri" w:hint="eastAsia"/>
                <w:color w:val="auto"/>
              </w:rPr>
              <w:t>HW</w:t>
            </w:r>
            <w:r>
              <w:rPr>
                <w:rFonts w:ascii="Calibri" w:hAnsi="Calibri"/>
                <w:color w:val="auto"/>
              </w:rPr>
              <w:t>49</w:t>
            </w:r>
            <w:r>
              <w:rPr>
                <w:rFonts w:ascii="Calibri" w:hAnsi="Calibri" w:hint="eastAsia"/>
                <w:color w:val="auto"/>
              </w:rPr>
              <w:t>其他</w:t>
            </w:r>
            <w:r>
              <w:rPr>
                <w:rFonts w:ascii="Calibri" w:hAnsi="Calibri"/>
                <w:color w:val="auto"/>
              </w:rPr>
              <w:t>废物</w:t>
            </w:r>
          </w:p>
        </w:tc>
        <w:tc>
          <w:tcPr>
            <w:tcW w:w="1276" w:type="dxa"/>
            <w:tcMar>
              <w:left w:w="28" w:type="dxa"/>
              <w:right w:w="28" w:type="dxa"/>
            </w:tcMar>
            <w:vAlign w:val="center"/>
          </w:tcPr>
          <w:p w14:paraId="7417A88C" w14:textId="77777777" w:rsidR="00FD157B" w:rsidRPr="004F7F0A" w:rsidRDefault="00695D64" w:rsidP="008E59FE">
            <w:pPr>
              <w:jc w:val="center"/>
              <w:rPr>
                <w:rFonts w:ascii="Calibri" w:hAnsi="Calibri"/>
                <w:color w:val="auto"/>
                <w:szCs w:val="21"/>
              </w:rPr>
            </w:pPr>
            <w:r w:rsidRPr="000E15EB">
              <w:rPr>
                <w:rFonts w:ascii="Calibri" w:hAnsi="Calibri"/>
                <w:color w:val="auto"/>
              </w:rPr>
              <w:t>900-0</w:t>
            </w:r>
            <w:r>
              <w:rPr>
                <w:rFonts w:ascii="Calibri" w:hAnsi="Calibri"/>
                <w:color w:val="auto"/>
              </w:rPr>
              <w:t>39</w:t>
            </w:r>
            <w:r w:rsidRPr="000E15EB">
              <w:rPr>
                <w:rFonts w:ascii="Calibri" w:hAnsi="Calibri"/>
                <w:color w:val="auto"/>
              </w:rPr>
              <w:t>-49</w:t>
            </w:r>
          </w:p>
        </w:tc>
        <w:tc>
          <w:tcPr>
            <w:tcW w:w="1417" w:type="dxa"/>
            <w:tcBorders>
              <w:bottom w:val="single" w:sz="4" w:space="0" w:color="auto"/>
            </w:tcBorders>
            <w:tcMar>
              <w:left w:w="28" w:type="dxa"/>
              <w:right w:w="28" w:type="dxa"/>
            </w:tcMar>
            <w:vAlign w:val="center"/>
          </w:tcPr>
          <w:p w14:paraId="4AA9EE15" w14:textId="0491DB3A" w:rsidR="00FD157B" w:rsidRPr="004F7F0A" w:rsidRDefault="006E3216" w:rsidP="008E59FE">
            <w:pPr>
              <w:jc w:val="center"/>
              <w:rPr>
                <w:rFonts w:ascii="Calibri" w:hAnsi="Calibri"/>
                <w:color w:val="auto"/>
                <w:szCs w:val="21"/>
              </w:rPr>
            </w:pPr>
            <w:r>
              <w:rPr>
                <w:rFonts w:ascii="Calibri" w:hAnsi="Calibri"/>
                <w:color w:val="auto"/>
                <w:szCs w:val="21"/>
              </w:rPr>
              <w:t>3.16</w:t>
            </w:r>
          </w:p>
        </w:tc>
        <w:tc>
          <w:tcPr>
            <w:tcW w:w="1461" w:type="dxa"/>
            <w:vMerge w:val="restart"/>
            <w:tcMar>
              <w:left w:w="28" w:type="dxa"/>
              <w:right w:w="28" w:type="dxa"/>
            </w:tcMar>
            <w:vAlign w:val="center"/>
          </w:tcPr>
          <w:p w14:paraId="741F72C5" w14:textId="77777777" w:rsidR="00FD157B" w:rsidRPr="004F7F0A" w:rsidRDefault="00FD157B" w:rsidP="008E59FE">
            <w:pPr>
              <w:jc w:val="center"/>
              <w:rPr>
                <w:rFonts w:ascii="Calibri" w:hAnsi="Calibri"/>
                <w:color w:val="auto"/>
                <w:szCs w:val="21"/>
              </w:rPr>
            </w:pPr>
            <w:r>
              <w:rPr>
                <w:rFonts w:ascii="Calibri" w:hAnsi="Calibri" w:hint="eastAsia"/>
                <w:color w:val="auto"/>
                <w:szCs w:val="21"/>
              </w:rPr>
              <w:t>废气</w:t>
            </w:r>
            <w:r>
              <w:rPr>
                <w:rFonts w:ascii="Calibri" w:hAnsi="Calibri"/>
                <w:color w:val="auto"/>
                <w:szCs w:val="21"/>
              </w:rPr>
              <w:t>治理</w:t>
            </w:r>
          </w:p>
        </w:tc>
        <w:tc>
          <w:tcPr>
            <w:tcW w:w="1658" w:type="dxa"/>
            <w:tcMar>
              <w:left w:w="28" w:type="dxa"/>
              <w:right w:w="28" w:type="dxa"/>
            </w:tcMar>
            <w:vAlign w:val="center"/>
          </w:tcPr>
          <w:p w14:paraId="7582D2EB" w14:textId="2795AE80" w:rsidR="00FD157B" w:rsidRPr="004F7F0A" w:rsidRDefault="00FD157B" w:rsidP="008E59FE">
            <w:pPr>
              <w:jc w:val="center"/>
              <w:rPr>
                <w:rFonts w:ascii="Calibri" w:hAnsi="Calibri"/>
                <w:bCs/>
                <w:color w:val="auto"/>
                <w:szCs w:val="21"/>
              </w:rPr>
            </w:pPr>
            <w:r>
              <w:rPr>
                <w:rFonts w:ascii="Calibri" w:hAnsi="Calibri" w:hint="eastAsia"/>
                <w:bCs/>
                <w:color w:val="auto"/>
                <w:szCs w:val="21"/>
              </w:rPr>
              <w:t>己二胺</w:t>
            </w:r>
            <w:r>
              <w:rPr>
                <w:rFonts w:ascii="Calibri" w:hAnsi="Calibri"/>
                <w:bCs/>
                <w:color w:val="auto"/>
                <w:szCs w:val="21"/>
              </w:rPr>
              <w:t>、氨、己二酸、环戊酮、</w:t>
            </w:r>
            <w:r>
              <w:rPr>
                <w:rFonts w:ascii="Calibri" w:hAnsi="Calibri" w:hint="eastAsia"/>
                <w:color w:val="auto"/>
              </w:rPr>
              <w:t>环</w:t>
            </w:r>
            <w:r>
              <w:rPr>
                <w:rFonts w:ascii="Calibri" w:hAnsi="Calibri"/>
                <w:color w:val="auto"/>
              </w:rPr>
              <w:t>己</w:t>
            </w:r>
            <w:r>
              <w:rPr>
                <w:rFonts w:ascii="Calibri" w:hAnsi="Calibri" w:hint="eastAsia"/>
                <w:color w:val="auto"/>
              </w:rPr>
              <w:t>亚</w:t>
            </w:r>
            <w:r>
              <w:rPr>
                <w:rFonts w:ascii="Calibri" w:hAnsi="Calibri"/>
                <w:color w:val="auto"/>
              </w:rPr>
              <w:t>胺</w:t>
            </w:r>
            <w:r w:rsidR="006E3216">
              <w:rPr>
                <w:rFonts w:ascii="Calibri" w:hAnsi="Calibri" w:hint="eastAsia"/>
                <w:color w:val="auto"/>
              </w:rPr>
              <w:t>、</w:t>
            </w:r>
            <w:r w:rsidR="006E3216" w:rsidRPr="009C3A83">
              <w:rPr>
                <w:rFonts w:ascii="Calibri" w:hAnsi="Calibri" w:hint="eastAsia"/>
                <w:b/>
                <w:color w:val="auto"/>
                <w:u w:val="single"/>
              </w:rPr>
              <w:t>癸二胺、癸二酸、十二内酰胺</w:t>
            </w:r>
          </w:p>
        </w:tc>
        <w:tc>
          <w:tcPr>
            <w:tcW w:w="992" w:type="dxa"/>
            <w:tcMar>
              <w:left w:w="28" w:type="dxa"/>
              <w:right w:w="28" w:type="dxa"/>
            </w:tcMar>
            <w:vAlign w:val="center"/>
          </w:tcPr>
          <w:p w14:paraId="36E27C2E" w14:textId="77777777" w:rsidR="00FD157B" w:rsidRPr="00B063DA" w:rsidRDefault="00FD157B" w:rsidP="008E59FE">
            <w:pPr>
              <w:jc w:val="center"/>
              <w:rPr>
                <w:rFonts w:ascii="Calibri" w:hAnsi="Calibri"/>
                <w:bCs/>
                <w:color w:val="auto"/>
                <w:szCs w:val="21"/>
              </w:rPr>
            </w:pPr>
            <w:r>
              <w:rPr>
                <w:rFonts w:ascii="Calibri" w:hAnsi="Calibri" w:hint="eastAsia"/>
                <w:bCs/>
                <w:color w:val="auto"/>
                <w:szCs w:val="21"/>
              </w:rPr>
              <w:t>有机物</w:t>
            </w:r>
          </w:p>
        </w:tc>
        <w:tc>
          <w:tcPr>
            <w:tcW w:w="709" w:type="dxa"/>
            <w:tcMar>
              <w:left w:w="28" w:type="dxa"/>
              <w:right w:w="28" w:type="dxa"/>
            </w:tcMar>
            <w:vAlign w:val="center"/>
          </w:tcPr>
          <w:p w14:paraId="29C2BF76" w14:textId="77777777" w:rsidR="00FD157B" w:rsidRPr="004F7F0A" w:rsidRDefault="00FD157B" w:rsidP="008E59FE">
            <w:pPr>
              <w:jc w:val="center"/>
              <w:rPr>
                <w:rFonts w:ascii="Calibri" w:hAnsi="Calibri"/>
                <w:bCs/>
                <w:color w:val="auto"/>
                <w:szCs w:val="21"/>
              </w:rPr>
            </w:pPr>
            <w:r>
              <w:rPr>
                <w:rFonts w:ascii="Calibri" w:hAnsi="Calibri" w:hint="eastAsia"/>
                <w:bCs/>
                <w:color w:val="auto"/>
                <w:szCs w:val="21"/>
              </w:rPr>
              <w:t>固态</w:t>
            </w:r>
          </w:p>
        </w:tc>
        <w:tc>
          <w:tcPr>
            <w:tcW w:w="732" w:type="dxa"/>
            <w:tcMar>
              <w:left w:w="28" w:type="dxa"/>
              <w:right w:w="28" w:type="dxa"/>
            </w:tcMar>
            <w:vAlign w:val="center"/>
          </w:tcPr>
          <w:p w14:paraId="2F37E809" w14:textId="77777777" w:rsidR="00FD157B" w:rsidRPr="004F7F0A" w:rsidRDefault="00FD157B" w:rsidP="008E59FE">
            <w:pPr>
              <w:jc w:val="center"/>
              <w:rPr>
                <w:rFonts w:ascii="Calibri" w:hAnsi="Calibri"/>
                <w:bCs/>
                <w:color w:val="auto"/>
                <w:szCs w:val="21"/>
              </w:rPr>
            </w:pPr>
            <w:r>
              <w:rPr>
                <w:rFonts w:ascii="Calibri" w:hAnsi="Calibri" w:hint="eastAsia"/>
                <w:bCs/>
                <w:color w:val="auto"/>
                <w:szCs w:val="21"/>
              </w:rPr>
              <w:t>1</w:t>
            </w:r>
            <w:r>
              <w:rPr>
                <w:rFonts w:ascii="Calibri" w:hAnsi="Calibri" w:hint="eastAsia"/>
                <w:bCs/>
                <w:color w:val="auto"/>
                <w:szCs w:val="21"/>
              </w:rPr>
              <w:t>年</w:t>
            </w:r>
          </w:p>
        </w:tc>
        <w:tc>
          <w:tcPr>
            <w:tcW w:w="705" w:type="dxa"/>
            <w:tcMar>
              <w:left w:w="28" w:type="dxa"/>
              <w:right w:w="28" w:type="dxa"/>
            </w:tcMar>
            <w:vAlign w:val="center"/>
          </w:tcPr>
          <w:p w14:paraId="0ECD76C4" w14:textId="77777777" w:rsidR="00FD157B" w:rsidRPr="004F7F0A" w:rsidRDefault="00FD157B" w:rsidP="008E59FE">
            <w:pPr>
              <w:jc w:val="center"/>
              <w:rPr>
                <w:rFonts w:ascii="Calibri" w:hAnsi="Calibri"/>
                <w:bCs/>
                <w:color w:val="auto"/>
                <w:szCs w:val="21"/>
              </w:rPr>
            </w:pPr>
            <w:r w:rsidRPr="00B063DA">
              <w:rPr>
                <w:rFonts w:ascii="Calibri" w:hAnsi="Calibri"/>
                <w:bCs/>
                <w:color w:val="auto"/>
                <w:szCs w:val="21"/>
              </w:rPr>
              <w:t>T/In</w:t>
            </w:r>
          </w:p>
        </w:tc>
        <w:tc>
          <w:tcPr>
            <w:tcW w:w="1783" w:type="dxa"/>
            <w:tcMar>
              <w:left w:w="28" w:type="dxa"/>
              <w:right w:w="28" w:type="dxa"/>
            </w:tcMar>
            <w:vAlign w:val="center"/>
          </w:tcPr>
          <w:p w14:paraId="7B51FA57" w14:textId="77777777" w:rsidR="00FD157B" w:rsidRPr="004F7F0A" w:rsidRDefault="00FD157B" w:rsidP="008E59FE">
            <w:pPr>
              <w:jc w:val="center"/>
              <w:rPr>
                <w:rFonts w:ascii="Calibri" w:hAnsi="Calibri"/>
                <w:bCs/>
                <w:color w:val="auto"/>
                <w:szCs w:val="21"/>
              </w:rPr>
            </w:pPr>
            <w:r w:rsidRPr="004F7F0A">
              <w:rPr>
                <w:rFonts w:ascii="Calibri" w:hAnsi="Calibri"/>
                <w:bCs/>
                <w:color w:val="auto"/>
                <w:szCs w:val="21"/>
              </w:rPr>
              <w:t>委托资质单位处置</w:t>
            </w:r>
          </w:p>
        </w:tc>
      </w:tr>
      <w:tr w:rsidR="00FD157B" w:rsidRPr="004F7F0A" w14:paraId="3050BB54" w14:textId="77777777" w:rsidTr="008E59FE">
        <w:trPr>
          <w:trHeight w:val="340"/>
          <w:jc w:val="center"/>
        </w:trPr>
        <w:tc>
          <w:tcPr>
            <w:tcW w:w="564" w:type="dxa"/>
            <w:tcMar>
              <w:left w:w="28" w:type="dxa"/>
              <w:right w:w="28" w:type="dxa"/>
            </w:tcMar>
            <w:vAlign w:val="center"/>
          </w:tcPr>
          <w:p w14:paraId="31285776" w14:textId="77777777" w:rsidR="00FD157B" w:rsidRDefault="00FD157B" w:rsidP="008E59FE">
            <w:pPr>
              <w:jc w:val="center"/>
              <w:rPr>
                <w:rFonts w:ascii="Calibri" w:hAnsi="Calibri"/>
                <w:color w:val="auto"/>
                <w:szCs w:val="21"/>
              </w:rPr>
            </w:pPr>
            <w:r>
              <w:rPr>
                <w:rFonts w:ascii="Calibri" w:hAnsi="Calibri" w:hint="eastAsia"/>
                <w:color w:val="auto"/>
                <w:szCs w:val="21"/>
              </w:rPr>
              <w:t>2</w:t>
            </w:r>
          </w:p>
        </w:tc>
        <w:tc>
          <w:tcPr>
            <w:tcW w:w="1406" w:type="dxa"/>
            <w:tcMar>
              <w:left w:w="28" w:type="dxa"/>
              <w:right w:w="28" w:type="dxa"/>
            </w:tcMar>
            <w:vAlign w:val="center"/>
          </w:tcPr>
          <w:p w14:paraId="73B02906" w14:textId="77777777" w:rsidR="00FD157B" w:rsidRPr="004F7F0A" w:rsidRDefault="00FD157B" w:rsidP="008E59FE">
            <w:pPr>
              <w:jc w:val="center"/>
              <w:rPr>
                <w:rFonts w:ascii="Calibri" w:hAnsi="Calibri"/>
                <w:color w:val="auto"/>
                <w:szCs w:val="21"/>
              </w:rPr>
            </w:pPr>
            <w:r w:rsidRPr="00535728">
              <w:rPr>
                <w:rFonts w:ascii="Calibri" w:hint="eastAsia"/>
                <w:color w:val="auto"/>
                <w:szCs w:val="20"/>
              </w:rPr>
              <w:t>废</w:t>
            </w:r>
            <w:r>
              <w:rPr>
                <w:rFonts w:ascii="Calibri" w:hint="eastAsia"/>
                <w:color w:val="auto"/>
                <w:szCs w:val="20"/>
              </w:rPr>
              <w:t>紫外灯管</w:t>
            </w:r>
          </w:p>
        </w:tc>
        <w:tc>
          <w:tcPr>
            <w:tcW w:w="1559" w:type="dxa"/>
            <w:tcMar>
              <w:left w:w="28" w:type="dxa"/>
              <w:right w:w="28" w:type="dxa"/>
            </w:tcMar>
            <w:vAlign w:val="center"/>
          </w:tcPr>
          <w:p w14:paraId="4822BF3E" w14:textId="77777777" w:rsidR="00FD157B" w:rsidRPr="00A964FF" w:rsidRDefault="00FD157B" w:rsidP="008E59FE">
            <w:pPr>
              <w:jc w:val="center"/>
              <w:rPr>
                <w:rFonts w:ascii="Calibri" w:hAnsi="Calibri"/>
                <w:color w:val="auto"/>
              </w:rPr>
            </w:pPr>
            <w:r>
              <w:rPr>
                <w:rFonts w:ascii="Calibri" w:hAnsi="Calibri" w:hint="eastAsia"/>
                <w:color w:val="auto"/>
              </w:rPr>
              <w:t>HW29</w:t>
            </w:r>
            <w:r>
              <w:rPr>
                <w:rFonts w:ascii="Calibri" w:hAnsi="Calibri" w:hint="eastAsia"/>
                <w:color w:val="auto"/>
              </w:rPr>
              <w:t>（含</w:t>
            </w:r>
            <w:r>
              <w:rPr>
                <w:rFonts w:ascii="Calibri" w:hAnsi="Calibri"/>
                <w:color w:val="auto"/>
              </w:rPr>
              <w:t>汞废物</w:t>
            </w:r>
            <w:r>
              <w:rPr>
                <w:rFonts w:ascii="Calibri" w:hAnsi="Calibri" w:hint="eastAsia"/>
                <w:color w:val="auto"/>
              </w:rPr>
              <w:t>）</w:t>
            </w:r>
          </w:p>
        </w:tc>
        <w:tc>
          <w:tcPr>
            <w:tcW w:w="1276" w:type="dxa"/>
            <w:tcMar>
              <w:left w:w="28" w:type="dxa"/>
              <w:right w:w="28" w:type="dxa"/>
            </w:tcMar>
            <w:vAlign w:val="center"/>
          </w:tcPr>
          <w:p w14:paraId="780F954C" w14:textId="77777777" w:rsidR="00FD157B" w:rsidRPr="00B063DA" w:rsidRDefault="00FD157B" w:rsidP="008E59FE">
            <w:pPr>
              <w:jc w:val="center"/>
              <w:rPr>
                <w:rFonts w:ascii="Calibri" w:hAnsi="Calibri"/>
                <w:color w:val="auto"/>
              </w:rPr>
            </w:pPr>
            <w:r>
              <w:rPr>
                <w:rFonts w:ascii="Calibri" w:hAnsi="Calibri" w:hint="eastAsia"/>
                <w:color w:val="auto"/>
              </w:rPr>
              <w:t>900-023-29</w:t>
            </w:r>
          </w:p>
        </w:tc>
        <w:tc>
          <w:tcPr>
            <w:tcW w:w="1417" w:type="dxa"/>
            <w:tcBorders>
              <w:bottom w:val="single" w:sz="4" w:space="0" w:color="auto"/>
            </w:tcBorders>
            <w:tcMar>
              <w:left w:w="28" w:type="dxa"/>
              <w:right w:w="28" w:type="dxa"/>
            </w:tcMar>
            <w:vAlign w:val="center"/>
          </w:tcPr>
          <w:p w14:paraId="08DF7468" w14:textId="125E5601" w:rsidR="00FD157B" w:rsidRPr="004F7F0A" w:rsidRDefault="00FD157B" w:rsidP="008E59FE">
            <w:pPr>
              <w:jc w:val="center"/>
              <w:rPr>
                <w:rFonts w:ascii="Calibri" w:hAnsi="Calibri"/>
                <w:color w:val="auto"/>
                <w:szCs w:val="21"/>
              </w:rPr>
            </w:pPr>
            <w:r>
              <w:rPr>
                <w:rFonts w:ascii="Calibri" w:hAnsi="Calibri" w:hint="eastAsia"/>
                <w:color w:val="auto"/>
                <w:szCs w:val="21"/>
              </w:rPr>
              <w:t>0.001</w:t>
            </w:r>
          </w:p>
        </w:tc>
        <w:tc>
          <w:tcPr>
            <w:tcW w:w="1461" w:type="dxa"/>
            <w:vMerge/>
            <w:tcBorders>
              <w:bottom w:val="single" w:sz="4" w:space="0" w:color="auto"/>
            </w:tcBorders>
            <w:tcMar>
              <w:left w:w="28" w:type="dxa"/>
              <w:right w:w="28" w:type="dxa"/>
            </w:tcMar>
            <w:vAlign w:val="center"/>
          </w:tcPr>
          <w:p w14:paraId="7F816D8E" w14:textId="77777777" w:rsidR="00FD157B" w:rsidRPr="004F7F0A" w:rsidRDefault="00FD157B" w:rsidP="008E59FE">
            <w:pPr>
              <w:jc w:val="center"/>
              <w:rPr>
                <w:rFonts w:ascii="Calibri" w:hAnsi="Calibri"/>
                <w:color w:val="auto"/>
                <w:szCs w:val="21"/>
              </w:rPr>
            </w:pPr>
          </w:p>
        </w:tc>
        <w:tc>
          <w:tcPr>
            <w:tcW w:w="1658" w:type="dxa"/>
            <w:tcMar>
              <w:left w:w="28" w:type="dxa"/>
              <w:right w:w="28" w:type="dxa"/>
            </w:tcMar>
            <w:vAlign w:val="center"/>
          </w:tcPr>
          <w:p w14:paraId="2354CE22" w14:textId="77777777" w:rsidR="00FD157B" w:rsidRDefault="00FD157B" w:rsidP="008E59FE">
            <w:pPr>
              <w:jc w:val="center"/>
              <w:rPr>
                <w:rFonts w:ascii="Calibri" w:hAnsi="Calibri"/>
                <w:bCs/>
                <w:color w:val="auto"/>
                <w:szCs w:val="21"/>
              </w:rPr>
            </w:pPr>
            <w:r>
              <w:rPr>
                <w:rFonts w:ascii="Calibri" w:hAnsi="Calibri" w:hint="eastAsia"/>
                <w:bCs/>
                <w:color w:val="auto"/>
                <w:szCs w:val="21"/>
              </w:rPr>
              <w:t>汞</w:t>
            </w:r>
          </w:p>
        </w:tc>
        <w:tc>
          <w:tcPr>
            <w:tcW w:w="992" w:type="dxa"/>
            <w:tcMar>
              <w:left w:w="28" w:type="dxa"/>
              <w:right w:w="28" w:type="dxa"/>
            </w:tcMar>
            <w:vAlign w:val="center"/>
          </w:tcPr>
          <w:p w14:paraId="0774B769" w14:textId="77777777" w:rsidR="00FD157B" w:rsidRDefault="00FD157B" w:rsidP="008E59FE">
            <w:pPr>
              <w:jc w:val="center"/>
              <w:rPr>
                <w:rFonts w:ascii="Calibri" w:hAnsi="Calibri"/>
                <w:bCs/>
                <w:color w:val="auto"/>
                <w:szCs w:val="21"/>
              </w:rPr>
            </w:pPr>
            <w:r>
              <w:rPr>
                <w:rFonts w:ascii="Calibri" w:hAnsi="Calibri" w:hint="eastAsia"/>
                <w:bCs/>
                <w:color w:val="auto"/>
                <w:szCs w:val="21"/>
              </w:rPr>
              <w:t>汞</w:t>
            </w:r>
          </w:p>
        </w:tc>
        <w:tc>
          <w:tcPr>
            <w:tcW w:w="709" w:type="dxa"/>
            <w:tcMar>
              <w:left w:w="28" w:type="dxa"/>
              <w:right w:w="28" w:type="dxa"/>
            </w:tcMar>
            <w:vAlign w:val="center"/>
          </w:tcPr>
          <w:p w14:paraId="23ACEE72" w14:textId="77777777" w:rsidR="00FD157B" w:rsidRDefault="00FD157B" w:rsidP="008E59FE">
            <w:pPr>
              <w:jc w:val="center"/>
              <w:rPr>
                <w:rFonts w:ascii="Calibri" w:hAnsi="Calibri"/>
                <w:bCs/>
                <w:color w:val="auto"/>
                <w:szCs w:val="21"/>
              </w:rPr>
            </w:pPr>
            <w:r>
              <w:rPr>
                <w:rFonts w:ascii="Calibri" w:hAnsi="Calibri" w:hint="eastAsia"/>
                <w:bCs/>
                <w:color w:val="auto"/>
                <w:szCs w:val="21"/>
              </w:rPr>
              <w:t>固态</w:t>
            </w:r>
          </w:p>
        </w:tc>
        <w:tc>
          <w:tcPr>
            <w:tcW w:w="732" w:type="dxa"/>
            <w:tcMar>
              <w:left w:w="28" w:type="dxa"/>
              <w:right w:w="28" w:type="dxa"/>
            </w:tcMar>
            <w:vAlign w:val="center"/>
          </w:tcPr>
          <w:p w14:paraId="3C4440D7" w14:textId="4E26BDE9" w:rsidR="00FD157B" w:rsidRDefault="00C06E1B" w:rsidP="008E59FE">
            <w:pPr>
              <w:jc w:val="center"/>
              <w:rPr>
                <w:rFonts w:ascii="Calibri" w:hAnsi="Calibri"/>
                <w:bCs/>
                <w:color w:val="auto"/>
                <w:szCs w:val="21"/>
              </w:rPr>
            </w:pPr>
            <w:r>
              <w:rPr>
                <w:rFonts w:ascii="Calibri" w:hAnsi="Calibri"/>
                <w:bCs/>
                <w:color w:val="auto"/>
                <w:szCs w:val="21"/>
              </w:rPr>
              <w:t>1</w:t>
            </w:r>
            <w:r>
              <w:rPr>
                <w:rFonts w:ascii="Calibri" w:hAnsi="Calibri" w:hint="eastAsia"/>
                <w:bCs/>
                <w:color w:val="auto"/>
                <w:szCs w:val="21"/>
              </w:rPr>
              <w:t>年</w:t>
            </w:r>
          </w:p>
        </w:tc>
        <w:tc>
          <w:tcPr>
            <w:tcW w:w="705" w:type="dxa"/>
            <w:tcMar>
              <w:left w:w="28" w:type="dxa"/>
              <w:right w:w="28" w:type="dxa"/>
            </w:tcMar>
            <w:vAlign w:val="center"/>
          </w:tcPr>
          <w:p w14:paraId="21783F24" w14:textId="77777777" w:rsidR="00FD157B" w:rsidRPr="00B063DA" w:rsidRDefault="00FD157B" w:rsidP="008E59FE">
            <w:pPr>
              <w:jc w:val="center"/>
              <w:rPr>
                <w:rFonts w:ascii="Calibri" w:hAnsi="Calibri"/>
                <w:bCs/>
                <w:color w:val="auto"/>
                <w:szCs w:val="21"/>
              </w:rPr>
            </w:pPr>
            <w:r w:rsidRPr="00FD157B">
              <w:rPr>
                <w:rFonts w:ascii="Calibri" w:hAnsi="Calibri"/>
                <w:bCs/>
                <w:color w:val="auto"/>
                <w:szCs w:val="21"/>
              </w:rPr>
              <w:t>T</w:t>
            </w:r>
          </w:p>
        </w:tc>
        <w:tc>
          <w:tcPr>
            <w:tcW w:w="1783" w:type="dxa"/>
            <w:tcMar>
              <w:left w:w="28" w:type="dxa"/>
              <w:right w:w="28" w:type="dxa"/>
            </w:tcMar>
            <w:vAlign w:val="center"/>
          </w:tcPr>
          <w:p w14:paraId="1D1B030D" w14:textId="77777777" w:rsidR="00FD157B" w:rsidRPr="004F7F0A" w:rsidRDefault="00FD157B" w:rsidP="008E59FE">
            <w:pPr>
              <w:jc w:val="center"/>
              <w:rPr>
                <w:rFonts w:ascii="Calibri" w:hAnsi="Calibri"/>
                <w:bCs/>
                <w:color w:val="auto"/>
                <w:szCs w:val="21"/>
              </w:rPr>
            </w:pPr>
            <w:r w:rsidRPr="004F7F0A">
              <w:rPr>
                <w:rFonts w:ascii="Calibri" w:hAnsi="Calibri"/>
                <w:bCs/>
                <w:color w:val="auto"/>
                <w:szCs w:val="21"/>
              </w:rPr>
              <w:t>委托资质单位处置</w:t>
            </w:r>
          </w:p>
        </w:tc>
      </w:tr>
      <w:tr w:rsidR="0068469D" w:rsidRPr="004F7F0A" w14:paraId="3624E6C4" w14:textId="77777777" w:rsidTr="008E59FE">
        <w:trPr>
          <w:trHeight w:val="340"/>
          <w:jc w:val="center"/>
        </w:trPr>
        <w:tc>
          <w:tcPr>
            <w:tcW w:w="564" w:type="dxa"/>
            <w:tcMar>
              <w:left w:w="28" w:type="dxa"/>
              <w:right w:w="28" w:type="dxa"/>
            </w:tcMar>
            <w:vAlign w:val="center"/>
          </w:tcPr>
          <w:p w14:paraId="242F426F" w14:textId="77777777" w:rsidR="0068469D" w:rsidRPr="004F7F0A" w:rsidRDefault="00053E85" w:rsidP="008E59FE">
            <w:pPr>
              <w:jc w:val="center"/>
              <w:rPr>
                <w:rFonts w:ascii="Calibri" w:hAnsi="Calibri"/>
                <w:color w:val="auto"/>
                <w:szCs w:val="21"/>
              </w:rPr>
            </w:pPr>
            <w:r>
              <w:rPr>
                <w:rFonts w:ascii="Calibri" w:hAnsi="Calibri"/>
                <w:color w:val="auto"/>
                <w:szCs w:val="21"/>
              </w:rPr>
              <w:t>3</w:t>
            </w:r>
          </w:p>
        </w:tc>
        <w:tc>
          <w:tcPr>
            <w:tcW w:w="1406" w:type="dxa"/>
            <w:tcMar>
              <w:left w:w="28" w:type="dxa"/>
              <w:right w:w="28" w:type="dxa"/>
            </w:tcMar>
            <w:vAlign w:val="center"/>
          </w:tcPr>
          <w:p w14:paraId="441469A6"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废机油</w:t>
            </w:r>
          </w:p>
        </w:tc>
        <w:tc>
          <w:tcPr>
            <w:tcW w:w="1559" w:type="dxa"/>
            <w:tcMar>
              <w:left w:w="28" w:type="dxa"/>
              <w:right w:w="28" w:type="dxa"/>
            </w:tcMar>
            <w:vAlign w:val="center"/>
          </w:tcPr>
          <w:p w14:paraId="5E25F087" w14:textId="77777777" w:rsidR="0068469D" w:rsidRPr="004F7F0A" w:rsidRDefault="0068469D" w:rsidP="008E59FE">
            <w:pPr>
              <w:jc w:val="center"/>
              <w:rPr>
                <w:rFonts w:ascii="Calibri" w:hAnsi="Calibri"/>
                <w:color w:val="auto"/>
                <w:szCs w:val="21"/>
              </w:rPr>
            </w:pPr>
            <w:r w:rsidRPr="00A964FF">
              <w:rPr>
                <w:rFonts w:ascii="Calibri" w:hAnsi="Calibri" w:hint="eastAsia"/>
                <w:color w:val="auto"/>
              </w:rPr>
              <w:t>HW08</w:t>
            </w:r>
            <w:r w:rsidRPr="00A964FF">
              <w:rPr>
                <w:rFonts w:ascii="Calibri" w:hAnsi="Calibri" w:hint="eastAsia"/>
                <w:color w:val="auto"/>
              </w:rPr>
              <w:t>废矿物油与含矿物油废物</w:t>
            </w:r>
          </w:p>
        </w:tc>
        <w:tc>
          <w:tcPr>
            <w:tcW w:w="1276" w:type="dxa"/>
            <w:tcMar>
              <w:left w:w="28" w:type="dxa"/>
              <w:right w:w="28" w:type="dxa"/>
            </w:tcMar>
            <w:vAlign w:val="center"/>
          </w:tcPr>
          <w:p w14:paraId="7089421B" w14:textId="77777777" w:rsidR="0068469D" w:rsidRPr="004F7F0A" w:rsidRDefault="0068469D" w:rsidP="008E59FE">
            <w:pPr>
              <w:jc w:val="center"/>
              <w:rPr>
                <w:rFonts w:ascii="Calibri" w:hAnsi="Calibri"/>
                <w:color w:val="auto"/>
                <w:szCs w:val="21"/>
              </w:rPr>
            </w:pPr>
            <w:r w:rsidRPr="00A964FF">
              <w:rPr>
                <w:rFonts w:ascii="Calibri" w:hAnsi="Calibri"/>
                <w:color w:val="auto"/>
              </w:rPr>
              <w:t>900</w:t>
            </w:r>
            <w:r w:rsidRPr="00A964FF">
              <w:rPr>
                <w:rFonts w:ascii="Calibri" w:hAnsi="Calibri" w:hint="eastAsia"/>
                <w:color w:val="auto"/>
              </w:rPr>
              <w:t>-249</w:t>
            </w:r>
            <w:r w:rsidRPr="00A964FF">
              <w:rPr>
                <w:rFonts w:ascii="Calibri" w:hAnsi="Calibri"/>
                <w:color w:val="auto"/>
              </w:rPr>
              <w:t>-</w:t>
            </w:r>
            <w:r w:rsidRPr="00A964FF">
              <w:rPr>
                <w:rFonts w:ascii="Calibri" w:hAnsi="Calibri" w:hint="eastAsia"/>
                <w:color w:val="auto"/>
              </w:rPr>
              <w:t>08</w:t>
            </w:r>
          </w:p>
        </w:tc>
        <w:tc>
          <w:tcPr>
            <w:tcW w:w="1417" w:type="dxa"/>
            <w:tcMar>
              <w:left w:w="28" w:type="dxa"/>
              <w:right w:w="28" w:type="dxa"/>
            </w:tcMar>
            <w:vAlign w:val="center"/>
          </w:tcPr>
          <w:p w14:paraId="5CBA088F" w14:textId="77777777" w:rsidR="0068469D" w:rsidRPr="004F7F0A" w:rsidRDefault="00FD157B" w:rsidP="0053271F">
            <w:pPr>
              <w:jc w:val="center"/>
              <w:rPr>
                <w:rFonts w:ascii="Calibri" w:hAnsi="Calibri"/>
                <w:color w:val="auto"/>
                <w:szCs w:val="21"/>
              </w:rPr>
            </w:pPr>
            <w:r>
              <w:rPr>
                <w:rFonts w:ascii="Calibri" w:hAnsi="Calibri"/>
                <w:color w:val="auto"/>
                <w:szCs w:val="21"/>
              </w:rPr>
              <w:t>0.</w:t>
            </w:r>
            <w:r w:rsidR="0053271F">
              <w:rPr>
                <w:rFonts w:ascii="Calibri" w:hAnsi="Calibri"/>
                <w:color w:val="auto"/>
                <w:szCs w:val="21"/>
              </w:rPr>
              <w:t>15</w:t>
            </w:r>
          </w:p>
        </w:tc>
        <w:tc>
          <w:tcPr>
            <w:tcW w:w="1461" w:type="dxa"/>
            <w:tcMar>
              <w:left w:w="28" w:type="dxa"/>
              <w:right w:w="28" w:type="dxa"/>
            </w:tcMar>
            <w:vAlign w:val="center"/>
          </w:tcPr>
          <w:p w14:paraId="67E72E70"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设备维护和检修</w:t>
            </w:r>
          </w:p>
        </w:tc>
        <w:tc>
          <w:tcPr>
            <w:tcW w:w="1658" w:type="dxa"/>
            <w:tcMar>
              <w:left w:w="28" w:type="dxa"/>
              <w:right w:w="28" w:type="dxa"/>
            </w:tcMar>
            <w:vAlign w:val="center"/>
          </w:tcPr>
          <w:p w14:paraId="2AED6C62"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废矿物油</w:t>
            </w:r>
          </w:p>
        </w:tc>
        <w:tc>
          <w:tcPr>
            <w:tcW w:w="992" w:type="dxa"/>
            <w:tcMar>
              <w:left w:w="28" w:type="dxa"/>
              <w:right w:w="28" w:type="dxa"/>
            </w:tcMar>
            <w:vAlign w:val="center"/>
          </w:tcPr>
          <w:p w14:paraId="7163C271"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有机物</w:t>
            </w:r>
          </w:p>
        </w:tc>
        <w:tc>
          <w:tcPr>
            <w:tcW w:w="709" w:type="dxa"/>
            <w:tcMar>
              <w:left w:w="28" w:type="dxa"/>
              <w:right w:w="28" w:type="dxa"/>
            </w:tcMar>
            <w:vAlign w:val="center"/>
          </w:tcPr>
          <w:p w14:paraId="1B2756E6"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液态</w:t>
            </w:r>
          </w:p>
        </w:tc>
        <w:tc>
          <w:tcPr>
            <w:tcW w:w="732" w:type="dxa"/>
            <w:tcMar>
              <w:left w:w="28" w:type="dxa"/>
              <w:right w:w="28" w:type="dxa"/>
            </w:tcMar>
            <w:vAlign w:val="center"/>
          </w:tcPr>
          <w:p w14:paraId="4F3D741F" w14:textId="1D95D86B" w:rsidR="0068469D" w:rsidRPr="004F7F0A" w:rsidRDefault="00C06E1B" w:rsidP="008E59FE">
            <w:pPr>
              <w:jc w:val="center"/>
              <w:rPr>
                <w:rFonts w:ascii="Calibri" w:hAnsi="Calibri"/>
                <w:color w:val="auto"/>
                <w:szCs w:val="21"/>
              </w:rPr>
            </w:pPr>
            <w:r>
              <w:rPr>
                <w:rFonts w:ascii="Calibri" w:hAnsi="Calibri" w:hint="eastAsia"/>
                <w:bCs/>
                <w:color w:val="auto"/>
                <w:szCs w:val="21"/>
              </w:rPr>
              <w:t>半年</w:t>
            </w:r>
          </w:p>
        </w:tc>
        <w:tc>
          <w:tcPr>
            <w:tcW w:w="705" w:type="dxa"/>
            <w:tcMar>
              <w:left w:w="28" w:type="dxa"/>
              <w:right w:w="28" w:type="dxa"/>
            </w:tcMar>
            <w:vAlign w:val="center"/>
          </w:tcPr>
          <w:p w14:paraId="039C9671" w14:textId="77777777" w:rsidR="0068469D" w:rsidRPr="004F7F0A" w:rsidRDefault="0068469D" w:rsidP="008E59FE">
            <w:pPr>
              <w:jc w:val="center"/>
              <w:rPr>
                <w:rFonts w:ascii="Calibri" w:hAnsi="Calibri"/>
                <w:bCs/>
                <w:color w:val="auto"/>
                <w:szCs w:val="21"/>
              </w:rPr>
            </w:pPr>
            <w:r w:rsidRPr="00F24120">
              <w:rPr>
                <w:rFonts w:ascii="Calibri" w:hAnsi="Calibri" w:hint="eastAsia"/>
                <w:bCs/>
                <w:color w:val="auto"/>
                <w:szCs w:val="21"/>
              </w:rPr>
              <w:t>T</w:t>
            </w:r>
            <w:r w:rsidRPr="00F24120">
              <w:rPr>
                <w:rFonts w:ascii="Calibri" w:hAnsi="Calibri" w:hint="eastAsia"/>
                <w:bCs/>
                <w:color w:val="auto"/>
                <w:szCs w:val="21"/>
              </w:rPr>
              <w:t>，</w:t>
            </w:r>
            <w:r w:rsidRPr="00F24120">
              <w:rPr>
                <w:rFonts w:ascii="Calibri" w:hAnsi="Calibri" w:hint="eastAsia"/>
                <w:bCs/>
                <w:color w:val="auto"/>
                <w:szCs w:val="21"/>
              </w:rPr>
              <w:t>I</w:t>
            </w:r>
          </w:p>
        </w:tc>
        <w:tc>
          <w:tcPr>
            <w:tcW w:w="1783" w:type="dxa"/>
            <w:tcMar>
              <w:left w:w="28" w:type="dxa"/>
              <w:right w:w="28" w:type="dxa"/>
            </w:tcMar>
            <w:vAlign w:val="center"/>
          </w:tcPr>
          <w:p w14:paraId="294423FA"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委托资质单位处置</w:t>
            </w:r>
          </w:p>
        </w:tc>
      </w:tr>
      <w:tr w:rsidR="0068469D" w:rsidRPr="004F7F0A" w14:paraId="6B541277" w14:textId="77777777" w:rsidTr="008E59FE">
        <w:trPr>
          <w:trHeight w:val="340"/>
          <w:jc w:val="center"/>
        </w:trPr>
        <w:tc>
          <w:tcPr>
            <w:tcW w:w="564" w:type="dxa"/>
            <w:tcMar>
              <w:left w:w="28" w:type="dxa"/>
              <w:right w:w="28" w:type="dxa"/>
            </w:tcMar>
            <w:vAlign w:val="center"/>
          </w:tcPr>
          <w:p w14:paraId="40B5C8D7" w14:textId="77777777" w:rsidR="0068469D" w:rsidRPr="004F7F0A" w:rsidRDefault="00053E85" w:rsidP="008E59FE">
            <w:pPr>
              <w:jc w:val="center"/>
              <w:rPr>
                <w:rFonts w:ascii="Calibri" w:hAnsi="Calibri"/>
                <w:color w:val="auto"/>
                <w:szCs w:val="21"/>
              </w:rPr>
            </w:pPr>
            <w:r>
              <w:rPr>
                <w:rFonts w:ascii="Calibri" w:hAnsi="Calibri"/>
                <w:color w:val="auto"/>
                <w:szCs w:val="21"/>
              </w:rPr>
              <w:t>4</w:t>
            </w:r>
          </w:p>
        </w:tc>
        <w:tc>
          <w:tcPr>
            <w:tcW w:w="1406" w:type="dxa"/>
            <w:tcMar>
              <w:left w:w="28" w:type="dxa"/>
              <w:right w:w="28" w:type="dxa"/>
            </w:tcMar>
            <w:vAlign w:val="center"/>
          </w:tcPr>
          <w:p w14:paraId="18E6BF91"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废导热油</w:t>
            </w:r>
          </w:p>
        </w:tc>
        <w:tc>
          <w:tcPr>
            <w:tcW w:w="1559" w:type="dxa"/>
            <w:tcMar>
              <w:left w:w="28" w:type="dxa"/>
              <w:right w:w="28" w:type="dxa"/>
            </w:tcMar>
            <w:vAlign w:val="center"/>
          </w:tcPr>
          <w:p w14:paraId="674FE0E2" w14:textId="77777777" w:rsidR="0068469D" w:rsidRPr="00F24120" w:rsidRDefault="0068469D" w:rsidP="008E59FE">
            <w:pPr>
              <w:jc w:val="center"/>
              <w:rPr>
                <w:rFonts w:ascii="Calibri" w:hAnsi="Calibri"/>
                <w:color w:val="auto"/>
              </w:rPr>
            </w:pPr>
            <w:r w:rsidRPr="00A964FF">
              <w:rPr>
                <w:rFonts w:ascii="Calibri" w:hAnsi="Calibri" w:hint="eastAsia"/>
                <w:color w:val="auto"/>
              </w:rPr>
              <w:t>HW08</w:t>
            </w:r>
            <w:r w:rsidRPr="00A964FF">
              <w:rPr>
                <w:rFonts w:ascii="Calibri" w:hAnsi="Calibri" w:hint="eastAsia"/>
                <w:color w:val="auto"/>
              </w:rPr>
              <w:t>废矿物油与含矿物油废物</w:t>
            </w:r>
          </w:p>
        </w:tc>
        <w:tc>
          <w:tcPr>
            <w:tcW w:w="1276" w:type="dxa"/>
            <w:tcMar>
              <w:left w:w="28" w:type="dxa"/>
              <w:right w:w="28" w:type="dxa"/>
            </w:tcMar>
            <w:vAlign w:val="center"/>
          </w:tcPr>
          <w:p w14:paraId="7E733BAE" w14:textId="77777777" w:rsidR="0068469D" w:rsidRPr="004F7F0A" w:rsidRDefault="0068469D" w:rsidP="008E59FE">
            <w:pPr>
              <w:jc w:val="center"/>
              <w:rPr>
                <w:rFonts w:ascii="Calibri" w:hAnsi="Calibri"/>
                <w:color w:val="auto"/>
                <w:szCs w:val="21"/>
              </w:rPr>
            </w:pPr>
            <w:r w:rsidRPr="00A964FF">
              <w:rPr>
                <w:rFonts w:ascii="Calibri" w:hAnsi="Calibri"/>
                <w:color w:val="auto"/>
              </w:rPr>
              <w:t>900</w:t>
            </w:r>
            <w:r w:rsidRPr="00A964FF">
              <w:rPr>
                <w:rFonts w:ascii="Calibri" w:hAnsi="Calibri" w:hint="eastAsia"/>
                <w:color w:val="auto"/>
              </w:rPr>
              <w:t>-249</w:t>
            </w:r>
            <w:r w:rsidRPr="00A964FF">
              <w:rPr>
                <w:rFonts w:ascii="Calibri" w:hAnsi="Calibri"/>
                <w:color w:val="auto"/>
              </w:rPr>
              <w:t>-</w:t>
            </w:r>
            <w:r w:rsidRPr="00A964FF">
              <w:rPr>
                <w:rFonts w:ascii="Calibri" w:hAnsi="Calibri" w:hint="eastAsia"/>
                <w:color w:val="auto"/>
              </w:rPr>
              <w:t>08</w:t>
            </w:r>
          </w:p>
        </w:tc>
        <w:tc>
          <w:tcPr>
            <w:tcW w:w="1417" w:type="dxa"/>
            <w:tcMar>
              <w:left w:w="28" w:type="dxa"/>
              <w:right w:w="28" w:type="dxa"/>
            </w:tcMar>
            <w:vAlign w:val="center"/>
          </w:tcPr>
          <w:p w14:paraId="25C56C89" w14:textId="77777777" w:rsidR="0068469D" w:rsidRPr="004F7F0A" w:rsidRDefault="00FD157B" w:rsidP="00DD5619">
            <w:pPr>
              <w:jc w:val="center"/>
              <w:rPr>
                <w:rFonts w:ascii="Calibri" w:hAnsi="Calibri"/>
                <w:color w:val="auto"/>
                <w:szCs w:val="21"/>
              </w:rPr>
            </w:pPr>
            <w:r>
              <w:rPr>
                <w:rFonts w:ascii="Calibri" w:hAnsi="Calibri"/>
                <w:color w:val="auto"/>
                <w:szCs w:val="21"/>
              </w:rPr>
              <w:t>14</w:t>
            </w:r>
            <w:r w:rsidR="0068469D" w:rsidRPr="004F7F0A">
              <w:rPr>
                <w:rFonts w:ascii="Calibri" w:hAnsi="Calibri" w:hint="eastAsia"/>
                <w:color w:val="auto"/>
                <w:szCs w:val="21"/>
              </w:rPr>
              <w:t>t/</w:t>
            </w:r>
            <w:r w:rsidR="00DD5619">
              <w:rPr>
                <w:rFonts w:ascii="Calibri" w:hAnsi="Calibri"/>
                <w:color w:val="auto"/>
                <w:szCs w:val="21"/>
              </w:rPr>
              <w:t>10</w:t>
            </w:r>
            <w:r w:rsidR="0068469D" w:rsidRPr="004F7F0A">
              <w:rPr>
                <w:rFonts w:ascii="Calibri" w:hAnsi="Calibri" w:hint="eastAsia"/>
                <w:color w:val="auto"/>
                <w:szCs w:val="21"/>
              </w:rPr>
              <w:t>a</w:t>
            </w:r>
          </w:p>
        </w:tc>
        <w:tc>
          <w:tcPr>
            <w:tcW w:w="1461" w:type="dxa"/>
            <w:tcMar>
              <w:left w:w="28" w:type="dxa"/>
              <w:right w:w="28" w:type="dxa"/>
            </w:tcMar>
            <w:vAlign w:val="center"/>
          </w:tcPr>
          <w:p w14:paraId="21E19405"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导热油炉</w:t>
            </w:r>
          </w:p>
        </w:tc>
        <w:tc>
          <w:tcPr>
            <w:tcW w:w="1658" w:type="dxa"/>
            <w:tcMar>
              <w:left w:w="28" w:type="dxa"/>
              <w:right w:w="28" w:type="dxa"/>
            </w:tcMar>
            <w:vAlign w:val="center"/>
          </w:tcPr>
          <w:p w14:paraId="65F84BE5"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废矿物油</w:t>
            </w:r>
          </w:p>
        </w:tc>
        <w:tc>
          <w:tcPr>
            <w:tcW w:w="992" w:type="dxa"/>
            <w:tcMar>
              <w:left w:w="28" w:type="dxa"/>
              <w:right w:w="28" w:type="dxa"/>
            </w:tcMar>
            <w:vAlign w:val="center"/>
          </w:tcPr>
          <w:p w14:paraId="0184865C"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有机物</w:t>
            </w:r>
          </w:p>
        </w:tc>
        <w:tc>
          <w:tcPr>
            <w:tcW w:w="709" w:type="dxa"/>
            <w:tcMar>
              <w:left w:w="28" w:type="dxa"/>
              <w:right w:w="28" w:type="dxa"/>
            </w:tcMar>
            <w:vAlign w:val="center"/>
          </w:tcPr>
          <w:p w14:paraId="542315B1"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液态</w:t>
            </w:r>
          </w:p>
        </w:tc>
        <w:tc>
          <w:tcPr>
            <w:tcW w:w="732" w:type="dxa"/>
            <w:tcMar>
              <w:left w:w="28" w:type="dxa"/>
              <w:right w:w="28" w:type="dxa"/>
            </w:tcMar>
            <w:vAlign w:val="center"/>
          </w:tcPr>
          <w:p w14:paraId="61040FD3" w14:textId="77777777" w:rsidR="0068469D" w:rsidRPr="004F7F0A" w:rsidRDefault="007F65EB" w:rsidP="008E59FE">
            <w:pPr>
              <w:jc w:val="center"/>
              <w:rPr>
                <w:rFonts w:ascii="Calibri" w:hAnsi="Calibri"/>
                <w:color w:val="auto"/>
                <w:szCs w:val="21"/>
              </w:rPr>
            </w:pPr>
            <w:r>
              <w:rPr>
                <w:rFonts w:ascii="Calibri" w:hAnsi="Calibri"/>
                <w:color w:val="auto"/>
                <w:szCs w:val="21"/>
              </w:rPr>
              <w:t>10</w:t>
            </w:r>
            <w:r w:rsidR="0068469D">
              <w:rPr>
                <w:rFonts w:ascii="Calibri" w:hAnsi="Calibri" w:hint="eastAsia"/>
                <w:color w:val="auto"/>
                <w:szCs w:val="21"/>
              </w:rPr>
              <w:t>年</w:t>
            </w:r>
          </w:p>
        </w:tc>
        <w:tc>
          <w:tcPr>
            <w:tcW w:w="705" w:type="dxa"/>
            <w:tcMar>
              <w:left w:w="28" w:type="dxa"/>
              <w:right w:w="28" w:type="dxa"/>
            </w:tcMar>
            <w:vAlign w:val="center"/>
          </w:tcPr>
          <w:p w14:paraId="73E005DD" w14:textId="77777777" w:rsidR="0068469D" w:rsidRPr="004F7F0A" w:rsidRDefault="0068469D" w:rsidP="008E59FE">
            <w:pPr>
              <w:jc w:val="center"/>
              <w:rPr>
                <w:rFonts w:ascii="Calibri" w:hAnsi="Calibri"/>
                <w:bCs/>
                <w:color w:val="auto"/>
                <w:szCs w:val="21"/>
              </w:rPr>
            </w:pPr>
            <w:r w:rsidRPr="00F24120">
              <w:rPr>
                <w:rFonts w:ascii="Calibri" w:hAnsi="Calibri" w:hint="eastAsia"/>
                <w:bCs/>
                <w:color w:val="auto"/>
                <w:szCs w:val="21"/>
              </w:rPr>
              <w:t>T</w:t>
            </w:r>
            <w:r w:rsidRPr="00F24120">
              <w:rPr>
                <w:rFonts w:ascii="Calibri" w:hAnsi="Calibri" w:hint="eastAsia"/>
                <w:bCs/>
                <w:color w:val="auto"/>
                <w:szCs w:val="21"/>
              </w:rPr>
              <w:t>，</w:t>
            </w:r>
            <w:r w:rsidRPr="00F24120">
              <w:rPr>
                <w:rFonts w:ascii="Calibri" w:hAnsi="Calibri" w:hint="eastAsia"/>
                <w:bCs/>
                <w:color w:val="auto"/>
                <w:szCs w:val="21"/>
              </w:rPr>
              <w:t>I</w:t>
            </w:r>
          </w:p>
        </w:tc>
        <w:tc>
          <w:tcPr>
            <w:tcW w:w="1783" w:type="dxa"/>
            <w:tcMar>
              <w:left w:w="28" w:type="dxa"/>
              <w:right w:w="28" w:type="dxa"/>
            </w:tcMar>
            <w:vAlign w:val="center"/>
          </w:tcPr>
          <w:p w14:paraId="744DE4EB"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委托资质单位处置</w:t>
            </w:r>
          </w:p>
        </w:tc>
      </w:tr>
      <w:tr w:rsidR="0068469D" w:rsidRPr="004F7F0A" w14:paraId="43E6BF5F" w14:textId="77777777" w:rsidTr="008E59FE">
        <w:trPr>
          <w:trHeight w:val="340"/>
          <w:jc w:val="center"/>
        </w:trPr>
        <w:tc>
          <w:tcPr>
            <w:tcW w:w="564" w:type="dxa"/>
            <w:tcMar>
              <w:left w:w="28" w:type="dxa"/>
              <w:right w:w="28" w:type="dxa"/>
            </w:tcMar>
            <w:vAlign w:val="center"/>
          </w:tcPr>
          <w:p w14:paraId="13554C41" w14:textId="77777777" w:rsidR="0068469D" w:rsidRPr="004F7F0A" w:rsidRDefault="00223E03" w:rsidP="008E59FE">
            <w:pPr>
              <w:jc w:val="center"/>
              <w:rPr>
                <w:rFonts w:ascii="Calibri" w:hAnsi="Calibri"/>
                <w:color w:val="auto"/>
                <w:szCs w:val="21"/>
              </w:rPr>
            </w:pPr>
            <w:r>
              <w:rPr>
                <w:rFonts w:ascii="Calibri" w:hAnsi="Calibri"/>
                <w:color w:val="auto"/>
                <w:szCs w:val="21"/>
              </w:rPr>
              <w:t>5</w:t>
            </w:r>
          </w:p>
        </w:tc>
        <w:tc>
          <w:tcPr>
            <w:tcW w:w="1406" w:type="dxa"/>
            <w:tcMar>
              <w:left w:w="28" w:type="dxa"/>
              <w:right w:w="28" w:type="dxa"/>
            </w:tcMar>
            <w:vAlign w:val="center"/>
          </w:tcPr>
          <w:p w14:paraId="4A5B182E" w14:textId="77777777" w:rsidR="0068469D" w:rsidRPr="004F7F0A" w:rsidRDefault="0092085C" w:rsidP="008E59FE">
            <w:pPr>
              <w:jc w:val="center"/>
              <w:rPr>
                <w:rFonts w:ascii="Calibri" w:hAnsi="Calibri"/>
                <w:color w:val="auto"/>
                <w:szCs w:val="21"/>
              </w:rPr>
            </w:pPr>
            <w:r>
              <w:rPr>
                <w:rFonts w:ascii="Calibri" w:hAnsi="Calibri" w:hint="eastAsia"/>
                <w:color w:val="auto"/>
                <w:szCs w:val="21"/>
              </w:rPr>
              <w:t>品控中心</w:t>
            </w:r>
            <w:r w:rsidR="0068469D">
              <w:rPr>
                <w:rFonts w:ascii="Calibri" w:hAnsi="Calibri"/>
                <w:color w:val="auto"/>
                <w:szCs w:val="21"/>
              </w:rPr>
              <w:t>废物</w:t>
            </w:r>
          </w:p>
        </w:tc>
        <w:tc>
          <w:tcPr>
            <w:tcW w:w="1559" w:type="dxa"/>
            <w:tcMar>
              <w:left w:w="28" w:type="dxa"/>
              <w:right w:w="28" w:type="dxa"/>
            </w:tcMar>
            <w:vAlign w:val="center"/>
          </w:tcPr>
          <w:p w14:paraId="23BB69E4" w14:textId="77777777" w:rsidR="0068469D" w:rsidRPr="00F24120" w:rsidRDefault="00FD157B" w:rsidP="008E59FE">
            <w:pPr>
              <w:jc w:val="center"/>
              <w:rPr>
                <w:rFonts w:ascii="Calibri" w:hAnsi="Calibri"/>
                <w:color w:val="auto"/>
              </w:rPr>
            </w:pPr>
            <w:r w:rsidRPr="00FD157B">
              <w:rPr>
                <w:rFonts w:ascii="Calibri" w:hAnsi="Calibri" w:hint="eastAsia"/>
                <w:color w:val="auto"/>
              </w:rPr>
              <w:t>HW49</w:t>
            </w:r>
            <w:r w:rsidRPr="00FD157B">
              <w:rPr>
                <w:rFonts w:ascii="Calibri" w:hAnsi="Calibri" w:hint="eastAsia"/>
                <w:color w:val="auto"/>
              </w:rPr>
              <w:t>其他废物</w:t>
            </w:r>
          </w:p>
        </w:tc>
        <w:tc>
          <w:tcPr>
            <w:tcW w:w="1276" w:type="dxa"/>
            <w:tcMar>
              <w:left w:w="28" w:type="dxa"/>
              <w:right w:w="28" w:type="dxa"/>
            </w:tcMar>
            <w:vAlign w:val="center"/>
          </w:tcPr>
          <w:p w14:paraId="67DA06C0" w14:textId="77777777" w:rsidR="0068469D" w:rsidRPr="00FD157B" w:rsidRDefault="00FD157B" w:rsidP="008E59FE">
            <w:pPr>
              <w:jc w:val="center"/>
              <w:rPr>
                <w:rFonts w:ascii="Calibri" w:hAnsi="Calibri"/>
                <w:color w:val="auto"/>
              </w:rPr>
            </w:pPr>
            <w:r w:rsidRPr="00FD157B">
              <w:rPr>
                <w:rFonts w:ascii="Calibri" w:hAnsi="Calibri"/>
                <w:color w:val="auto"/>
              </w:rPr>
              <w:t>900-047-49</w:t>
            </w:r>
          </w:p>
        </w:tc>
        <w:tc>
          <w:tcPr>
            <w:tcW w:w="1417" w:type="dxa"/>
            <w:tcMar>
              <w:left w:w="28" w:type="dxa"/>
              <w:right w:w="28" w:type="dxa"/>
            </w:tcMar>
            <w:vAlign w:val="center"/>
          </w:tcPr>
          <w:p w14:paraId="3241D30F" w14:textId="77777777" w:rsidR="0068469D" w:rsidRPr="00FD157B" w:rsidRDefault="00FD157B" w:rsidP="008E59FE">
            <w:pPr>
              <w:jc w:val="center"/>
              <w:rPr>
                <w:rFonts w:ascii="Calibri" w:hAnsi="Calibri"/>
                <w:color w:val="auto"/>
              </w:rPr>
            </w:pPr>
            <w:r>
              <w:rPr>
                <w:rFonts w:ascii="Calibri" w:hAnsi="Calibri"/>
                <w:color w:val="auto"/>
              </w:rPr>
              <w:t>0.1</w:t>
            </w:r>
          </w:p>
        </w:tc>
        <w:tc>
          <w:tcPr>
            <w:tcW w:w="1461" w:type="dxa"/>
            <w:tcMar>
              <w:left w:w="28" w:type="dxa"/>
              <w:right w:w="28" w:type="dxa"/>
            </w:tcMar>
            <w:vAlign w:val="center"/>
          </w:tcPr>
          <w:p w14:paraId="224AC217" w14:textId="77777777" w:rsidR="0068469D" w:rsidRPr="004F7F0A" w:rsidRDefault="00852DCA" w:rsidP="008E59FE">
            <w:pPr>
              <w:jc w:val="center"/>
              <w:rPr>
                <w:rFonts w:ascii="Calibri" w:hAnsi="Calibri"/>
                <w:color w:val="auto"/>
                <w:szCs w:val="21"/>
              </w:rPr>
            </w:pPr>
            <w:r>
              <w:rPr>
                <w:rFonts w:ascii="Calibri" w:hAnsi="Calibri" w:hint="eastAsia"/>
                <w:color w:val="auto"/>
                <w:szCs w:val="21"/>
              </w:rPr>
              <w:t>品控中心</w:t>
            </w:r>
            <w:r>
              <w:rPr>
                <w:rFonts w:ascii="Calibri" w:hAnsi="Calibri"/>
                <w:color w:val="auto"/>
                <w:szCs w:val="21"/>
              </w:rPr>
              <w:t>检测</w:t>
            </w:r>
          </w:p>
        </w:tc>
        <w:tc>
          <w:tcPr>
            <w:tcW w:w="1658" w:type="dxa"/>
            <w:tcMar>
              <w:left w:w="28" w:type="dxa"/>
              <w:right w:w="28" w:type="dxa"/>
            </w:tcMar>
            <w:vAlign w:val="center"/>
          </w:tcPr>
          <w:p w14:paraId="2904A574" w14:textId="77777777" w:rsidR="0068469D" w:rsidRPr="004F7F0A" w:rsidRDefault="00FD157B" w:rsidP="005258F3">
            <w:pPr>
              <w:jc w:val="center"/>
              <w:rPr>
                <w:rFonts w:ascii="Calibri" w:hAnsi="Calibri"/>
                <w:color w:val="auto"/>
                <w:szCs w:val="21"/>
              </w:rPr>
            </w:pPr>
            <w:r>
              <w:rPr>
                <w:rFonts w:ascii="Calibri" w:hAnsi="Calibri" w:hint="eastAsia"/>
                <w:color w:val="auto"/>
                <w:szCs w:val="21"/>
              </w:rPr>
              <w:t>酸碱</w:t>
            </w:r>
            <w:r>
              <w:rPr>
                <w:rFonts w:ascii="Calibri" w:hAnsi="Calibri"/>
                <w:color w:val="auto"/>
                <w:szCs w:val="21"/>
              </w:rPr>
              <w:t>等</w:t>
            </w:r>
          </w:p>
        </w:tc>
        <w:tc>
          <w:tcPr>
            <w:tcW w:w="992" w:type="dxa"/>
            <w:tcMar>
              <w:left w:w="28" w:type="dxa"/>
              <w:right w:w="28" w:type="dxa"/>
            </w:tcMar>
            <w:vAlign w:val="center"/>
          </w:tcPr>
          <w:p w14:paraId="324C165A" w14:textId="77777777" w:rsidR="0068469D" w:rsidRPr="004F7F0A" w:rsidRDefault="00FD157B" w:rsidP="005258F3">
            <w:pPr>
              <w:jc w:val="center"/>
              <w:rPr>
                <w:rFonts w:ascii="Calibri" w:hAnsi="Calibri"/>
                <w:bCs/>
                <w:color w:val="auto"/>
                <w:szCs w:val="21"/>
              </w:rPr>
            </w:pPr>
            <w:r>
              <w:rPr>
                <w:rFonts w:ascii="Calibri" w:hAnsi="Calibri" w:hint="eastAsia"/>
                <w:bCs/>
                <w:color w:val="auto"/>
                <w:szCs w:val="21"/>
              </w:rPr>
              <w:t>酸碱</w:t>
            </w:r>
            <w:r>
              <w:rPr>
                <w:rFonts w:ascii="Calibri" w:hAnsi="Calibri"/>
                <w:bCs/>
                <w:color w:val="auto"/>
                <w:szCs w:val="21"/>
              </w:rPr>
              <w:t>等</w:t>
            </w:r>
          </w:p>
        </w:tc>
        <w:tc>
          <w:tcPr>
            <w:tcW w:w="709" w:type="dxa"/>
            <w:tcMar>
              <w:left w:w="28" w:type="dxa"/>
              <w:right w:w="28" w:type="dxa"/>
            </w:tcMar>
            <w:vAlign w:val="center"/>
          </w:tcPr>
          <w:p w14:paraId="2C0251EA" w14:textId="77777777" w:rsidR="0068469D" w:rsidRPr="004F7F0A" w:rsidRDefault="0068469D" w:rsidP="008E59FE">
            <w:pPr>
              <w:jc w:val="center"/>
              <w:rPr>
                <w:rFonts w:ascii="Calibri" w:hAnsi="Calibri"/>
                <w:bCs/>
                <w:color w:val="auto"/>
                <w:szCs w:val="21"/>
              </w:rPr>
            </w:pPr>
            <w:r w:rsidRPr="004F7F0A">
              <w:rPr>
                <w:rFonts w:ascii="Calibri" w:hAnsi="Calibri" w:hint="eastAsia"/>
                <w:bCs/>
                <w:color w:val="auto"/>
                <w:szCs w:val="21"/>
              </w:rPr>
              <w:t>液态</w:t>
            </w:r>
          </w:p>
        </w:tc>
        <w:tc>
          <w:tcPr>
            <w:tcW w:w="732" w:type="dxa"/>
            <w:tcMar>
              <w:left w:w="28" w:type="dxa"/>
              <w:right w:w="28" w:type="dxa"/>
            </w:tcMar>
            <w:vAlign w:val="center"/>
          </w:tcPr>
          <w:p w14:paraId="700D41F7" w14:textId="77777777" w:rsidR="0068469D" w:rsidRPr="004F7F0A" w:rsidRDefault="00FD157B" w:rsidP="008E59FE">
            <w:pPr>
              <w:jc w:val="center"/>
              <w:rPr>
                <w:rFonts w:ascii="Calibri" w:hAnsi="Calibri"/>
                <w:bCs/>
                <w:color w:val="auto"/>
                <w:szCs w:val="21"/>
              </w:rPr>
            </w:pPr>
            <w:r>
              <w:rPr>
                <w:rFonts w:ascii="Calibri" w:hAnsi="Calibri" w:hint="eastAsia"/>
                <w:bCs/>
                <w:color w:val="auto"/>
                <w:szCs w:val="21"/>
              </w:rPr>
              <w:t>1</w:t>
            </w:r>
            <w:r>
              <w:rPr>
                <w:rFonts w:ascii="Calibri" w:hAnsi="Calibri" w:hint="eastAsia"/>
                <w:bCs/>
                <w:color w:val="auto"/>
                <w:szCs w:val="21"/>
              </w:rPr>
              <w:t>个月</w:t>
            </w:r>
          </w:p>
        </w:tc>
        <w:tc>
          <w:tcPr>
            <w:tcW w:w="705" w:type="dxa"/>
            <w:tcMar>
              <w:left w:w="28" w:type="dxa"/>
              <w:right w:w="28" w:type="dxa"/>
            </w:tcMar>
            <w:vAlign w:val="center"/>
          </w:tcPr>
          <w:p w14:paraId="47A89744" w14:textId="77777777" w:rsidR="0068469D" w:rsidRPr="004F7F0A" w:rsidRDefault="00FD157B" w:rsidP="008E59FE">
            <w:pPr>
              <w:jc w:val="center"/>
              <w:rPr>
                <w:rFonts w:ascii="Calibri" w:hAnsi="Calibri"/>
                <w:bCs/>
                <w:color w:val="auto"/>
                <w:szCs w:val="21"/>
              </w:rPr>
            </w:pPr>
            <w:r w:rsidRPr="00FD157B">
              <w:rPr>
                <w:rFonts w:ascii="Calibri" w:hAnsi="Calibri"/>
                <w:bCs/>
                <w:color w:val="auto"/>
                <w:szCs w:val="21"/>
              </w:rPr>
              <w:t>T/C/I/R</w:t>
            </w:r>
          </w:p>
        </w:tc>
        <w:tc>
          <w:tcPr>
            <w:tcW w:w="1783" w:type="dxa"/>
            <w:tcMar>
              <w:left w:w="28" w:type="dxa"/>
              <w:right w:w="28" w:type="dxa"/>
            </w:tcMar>
            <w:vAlign w:val="center"/>
          </w:tcPr>
          <w:p w14:paraId="29BFF355"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委托资质单位处置</w:t>
            </w:r>
          </w:p>
        </w:tc>
      </w:tr>
      <w:tr w:rsidR="0068469D" w:rsidRPr="004F7F0A" w14:paraId="5F42D8D7" w14:textId="77777777" w:rsidTr="008E59FE">
        <w:trPr>
          <w:trHeight w:val="340"/>
          <w:jc w:val="center"/>
        </w:trPr>
        <w:tc>
          <w:tcPr>
            <w:tcW w:w="1970" w:type="dxa"/>
            <w:gridSpan w:val="2"/>
            <w:tcMar>
              <w:left w:w="28" w:type="dxa"/>
              <w:right w:w="28" w:type="dxa"/>
            </w:tcMar>
            <w:vAlign w:val="center"/>
          </w:tcPr>
          <w:p w14:paraId="064881E5"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小计</w:t>
            </w:r>
            <w:r>
              <w:rPr>
                <w:rFonts w:ascii="Calibri" w:hAnsi="Calibri" w:hint="eastAsia"/>
                <w:color w:val="auto"/>
                <w:szCs w:val="21"/>
              </w:rPr>
              <w:t>（一期）</w:t>
            </w:r>
          </w:p>
        </w:tc>
        <w:tc>
          <w:tcPr>
            <w:tcW w:w="1559" w:type="dxa"/>
            <w:tcMar>
              <w:left w:w="28" w:type="dxa"/>
              <w:right w:w="28" w:type="dxa"/>
            </w:tcMar>
            <w:vAlign w:val="center"/>
          </w:tcPr>
          <w:p w14:paraId="26ABF4A0"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w:t>
            </w:r>
          </w:p>
        </w:tc>
        <w:tc>
          <w:tcPr>
            <w:tcW w:w="1276" w:type="dxa"/>
            <w:tcMar>
              <w:left w:w="28" w:type="dxa"/>
              <w:right w:w="28" w:type="dxa"/>
            </w:tcMar>
            <w:vAlign w:val="center"/>
          </w:tcPr>
          <w:p w14:paraId="2DD46E13"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w:t>
            </w:r>
          </w:p>
        </w:tc>
        <w:tc>
          <w:tcPr>
            <w:tcW w:w="1417" w:type="dxa"/>
            <w:tcMar>
              <w:left w:w="28" w:type="dxa"/>
              <w:right w:w="28" w:type="dxa"/>
            </w:tcMar>
            <w:vAlign w:val="center"/>
          </w:tcPr>
          <w:p w14:paraId="498FA179" w14:textId="364DF2AF" w:rsidR="0068469D" w:rsidRPr="007E5D31" w:rsidRDefault="006E3216" w:rsidP="008E59FE">
            <w:pPr>
              <w:jc w:val="center"/>
              <w:rPr>
                <w:rFonts w:ascii="Calibri" w:hAnsi="Calibri"/>
                <w:color w:val="auto"/>
                <w:szCs w:val="21"/>
              </w:rPr>
            </w:pPr>
            <w:r w:rsidRPr="006E3216">
              <w:rPr>
                <w:rFonts w:ascii="Calibri" w:hAnsi="Calibri"/>
                <w:color w:val="auto"/>
                <w:szCs w:val="21"/>
              </w:rPr>
              <w:t>3.411</w:t>
            </w:r>
          </w:p>
        </w:tc>
        <w:tc>
          <w:tcPr>
            <w:tcW w:w="1461" w:type="dxa"/>
            <w:tcMar>
              <w:left w:w="28" w:type="dxa"/>
              <w:right w:w="28" w:type="dxa"/>
            </w:tcMar>
            <w:vAlign w:val="center"/>
          </w:tcPr>
          <w:p w14:paraId="26327F3E"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w:t>
            </w:r>
          </w:p>
        </w:tc>
        <w:tc>
          <w:tcPr>
            <w:tcW w:w="1658" w:type="dxa"/>
            <w:tcMar>
              <w:left w:w="28" w:type="dxa"/>
              <w:right w:w="28" w:type="dxa"/>
            </w:tcMar>
            <w:vAlign w:val="center"/>
          </w:tcPr>
          <w:p w14:paraId="7A4830A8"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w:t>
            </w:r>
          </w:p>
        </w:tc>
        <w:tc>
          <w:tcPr>
            <w:tcW w:w="992" w:type="dxa"/>
            <w:tcMar>
              <w:left w:w="28" w:type="dxa"/>
              <w:right w:w="28" w:type="dxa"/>
            </w:tcMar>
            <w:vAlign w:val="center"/>
          </w:tcPr>
          <w:p w14:paraId="3E7F93A5"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w:t>
            </w:r>
          </w:p>
        </w:tc>
        <w:tc>
          <w:tcPr>
            <w:tcW w:w="709" w:type="dxa"/>
            <w:tcMar>
              <w:left w:w="28" w:type="dxa"/>
              <w:right w:w="28" w:type="dxa"/>
            </w:tcMar>
            <w:vAlign w:val="center"/>
          </w:tcPr>
          <w:p w14:paraId="3F4FE919"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w:t>
            </w:r>
          </w:p>
        </w:tc>
        <w:tc>
          <w:tcPr>
            <w:tcW w:w="732" w:type="dxa"/>
            <w:tcMar>
              <w:left w:w="28" w:type="dxa"/>
              <w:right w:w="28" w:type="dxa"/>
            </w:tcMar>
            <w:vAlign w:val="center"/>
          </w:tcPr>
          <w:p w14:paraId="77AE3AD9"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w:t>
            </w:r>
          </w:p>
        </w:tc>
        <w:tc>
          <w:tcPr>
            <w:tcW w:w="705" w:type="dxa"/>
            <w:tcMar>
              <w:left w:w="28" w:type="dxa"/>
              <w:right w:w="28" w:type="dxa"/>
            </w:tcMar>
            <w:vAlign w:val="center"/>
          </w:tcPr>
          <w:p w14:paraId="72147DB5" w14:textId="77777777" w:rsidR="0068469D" w:rsidRPr="004F7F0A" w:rsidRDefault="0068469D" w:rsidP="008E59FE">
            <w:pPr>
              <w:jc w:val="center"/>
              <w:rPr>
                <w:rFonts w:ascii="Calibri" w:hAnsi="Calibri"/>
                <w:bCs/>
                <w:color w:val="auto"/>
                <w:szCs w:val="21"/>
              </w:rPr>
            </w:pPr>
            <w:r w:rsidRPr="004F7F0A">
              <w:rPr>
                <w:rFonts w:ascii="Calibri" w:hAnsi="Calibri" w:hint="eastAsia"/>
                <w:bCs/>
                <w:color w:val="auto"/>
                <w:szCs w:val="21"/>
              </w:rPr>
              <w:t>/</w:t>
            </w:r>
          </w:p>
        </w:tc>
        <w:tc>
          <w:tcPr>
            <w:tcW w:w="1783" w:type="dxa"/>
            <w:tcMar>
              <w:left w:w="28" w:type="dxa"/>
              <w:right w:w="28" w:type="dxa"/>
            </w:tcMar>
            <w:vAlign w:val="center"/>
          </w:tcPr>
          <w:p w14:paraId="172771BB" w14:textId="77777777" w:rsidR="0068469D" w:rsidRPr="004F7F0A" w:rsidRDefault="0068469D" w:rsidP="008E59FE">
            <w:pPr>
              <w:jc w:val="center"/>
              <w:rPr>
                <w:rFonts w:ascii="Calibri" w:hAnsi="Calibri"/>
                <w:bCs/>
                <w:color w:val="auto"/>
                <w:szCs w:val="21"/>
              </w:rPr>
            </w:pPr>
            <w:r w:rsidRPr="004F7F0A">
              <w:rPr>
                <w:rFonts w:ascii="Calibri" w:hAnsi="Calibri" w:hint="eastAsia"/>
                <w:bCs/>
                <w:color w:val="auto"/>
                <w:szCs w:val="21"/>
              </w:rPr>
              <w:t>/</w:t>
            </w:r>
          </w:p>
        </w:tc>
      </w:tr>
      <w:tr w:rsidR="0068469D" w:rsidRPr="004F7F0A" w14:paraId="7D5D3587" w14:textId="77777777" w:rsidTr="008E59FE">
        <w:trPr>
          <w:trHeight w:val="340"/>
          <w:jc w:val="center"/>
        </w:trPr>
        <w:tc>
          <w:tcPr>
            <w:tcW w:w="564" w:type="dxa"/>
            <w:tcMar>
              <w:left w:w="28" w:type="dxa"/>
              <w:right w:w="28" w:type="dxa"/>
            </w:tcMar>
            <w:vAlign w:val="center"/>
          </w:tcPr>
          <w:p w14:paraId="22859C01" w14:textId="77777777" w:rsidR="0068469D" w:rsidRPr="004F7F0A" w:rsidRDefault="0068469D" w:rsidP="008E59FE">
            <w:pPr>
              <w:jc w:val="center"/>
              <w:rPr>
                <w:rFonts w:ascii="Calibri" w:hAnsi="Calibri"/>
                <w:color w:val="auto"/>
                <w:szCs w:val="21"/>
              </w:rPr>
            </w:pPr>
            <w:r w:rsidRPr="004F7F0A">
              <w:rPr>
                <w:rFonts w:ascii="Calibri" w:hAnsi="Calibri" w:hint="eastAsia"/>
                <w:color w:val="auto"/>
                <w:szCs w:val="21"/>
              </w:rPr>
              <w:t>二</w:t>
            </w:r>
          </w:p>
        </w:tc>
        <w:tc>
          <w:tcPr>
            <w:tcW w:w="13698" w:type="dxa"/>
            <w:gridSpan w:val="11"/>
            <w:tcMar>
              <w:left w:w="28" w:type="dxa"/>
              <w:right w:w="28" w:type="dxa"/>
            </w:tcMar>
            <w:vAlign w:val="center"/>
          </w:tcPr>
          <w:p w14:paraId="7ABE9B6A" w14:textId="77777777" w:rsidR="0068469D" w:rsidRPr="004F7F0A" w:rsidRDefault="0068469D" w:rsidP="008E59FE">
            <w:pPr>
              <w:jc w:val="center"/>
              <w:rPr>
                <w:rFonts w:ascii="Calibri" w:hAnsi="Calibri"/>
                <w:bCs/>
                <w:color w:val="auto"/>
                <w:szCs w:val="21"/>
              </w:rPr>
            </w:pPr>
            <w:r w:rsidRPr="004F7F0A">
              <w:rPr>
                <w:rFonts w:ascii="Calibri" w:hAnsi="Calibri" w:hint="eastAsia"/>
                <w:bCs/>
                <w:color w:val="auto"/>
                <w:szCs w:val="21"/>
              </w:rPr>
              <w:t>二期工程</w:t>
            </w:r>
          </w:p>
        </w:tc>
      </w:tr>
      <w:tr w:rsidR="00FD157B" w:rsidRPr="004F7F0A" w14:paraId="45039E2C" w14:textId="77777777" w:rsidTr="008E59FE">
        <w:trPr>
          <w:trHeight w:val="340"/>
          <w:jc w:val="center"/>
        </w:trPr>
        <w:tc>
          <w:tcPr>
            <w:tcW w:w="564" w:type="dxa"/>
            <w:tcMar>
              <w:left w:w="28" w:type="dxa"/>
              <w:right w:w="28" w:type="dxa"/>
            </w:tcMar>
            <w:vAlign w:val="center"/>
          </w:tcPr>
          <w:p w14:paraId="7BDB7E57" w14:textId="77777777" w:rsidR="00FD157B" w:rsidRPr="004F7F0A" w:rsidRDefault="00223E03" w:rsidP="00FD157B">
            <w:pPr>
              <w:jc w:val="center"/>
              <w:rPr>
                <w:rFonts w:ascii="Calibri" w:hAnsi="Calibri"/>
                <w:color w:val="auto"/>
                <w:szCs w:val="21"/>
              </w:rPr>
            </w:pPr>
            <w:r>
              <w:rPr>
                <w:rFonts w:ascii="Calibri" w:hAnsi="Calibri"/>
                <w:color w:val="auto"/>
                <w:szCs w:val="21"/>
              </w:rPr>
              <w:t>1</w:t>
            </w:r>
          </w:p>
        </w:tc>
        <w:tc>
          <w:tcPr>
            <w:tcW w:w="1406" w:type="dxa"/>
            <w:tcMar>
              <w:left w:w="28" w:type="dxa"/>
              <w:right w:w="28" w:type="dxa"/>
            </w:tcMar>
            <w:vAlign w:val="center"/>
          </w:tcPr>
          <w:p w14:paraId="2E8ACB04"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废机油</w:t>
            </w:r>
          </w:p>
        </w:tc>
        <w:tc>
          <w:tcPr>
            <w:tcW w:w="1559" w:type="dxa"/>
            <w:tcMar>
              <w:left w:w="28" w:type="dxa"/>
              <w:right w:w="28" w:type="dxa"/>
            </w:tcMar>
            <w:vAlign w:val="center"/>
          </w:tcPr>
          <w:p w14:paraId="1D9B123A" w14:textId="77777777" w:rsidR="00FD157B" w:rsidRPr="004F7F0A" w:rsidRDefault="00FD157B" w:rsidP="00FD157B">
            <w:pPr>
              <w:jc w:val="center"/>
              <w:rPr>
                <w:rFonts w:ascii="Calibri" w:hAnsi="Calibri"/>
                <w:color w:val="auto"/>
                <w:szCs w:val="21"/>
              </w:rPr>
            </w:pPr>
            <w:r w:rsidRPr="00A964FF">
              <w:rPr>
                <w:rFonts w:ascii="Calibri" w:hAnsi="Calibri" w:hint="eastAsia"/>
                <w:color w:val="auto"/>
              </w:rPr>
              <w:t>HW08</w:t>
            </w:r>
            <w:r w:rsidRPr="00A964FF">
              <w:rPr>
                <w:rFonts w:ascii="Calibri" w:hAnsi="Calibri" w:hint="eastAsia"/>
                <w:color w:val="auto"/>
              </w:rPr>
              <w:t>废矿物油与含矿物油废物</w:t>
            </w:r>
          </w:p>
        </w:tc>
        <w:tc>
          <w:tcPr>
            <w:tcW w:w="1276" w:type="dxa"/>
            <w:tcMar>
              <w:left w:w="28" w:type="dxa"/>
              <w:right w:w="28" w:type="dxa"/>
            </w:tcMar>
            <w:vAlign w:val="center"/>
          </w:tcPr>
          <w:p w14:paraId="6116F045" w14:textId="77777777" w:rsidR="00FD157B" w:rsidRPr="004F7F0A" w:rsidRDefault="00FD157B" w:rsidP="00FD157B">
            <w:pPr>
              <w:jc w:val="center"/>
              <w:rPr>
                <w:rFonts w:ascii="Calibri" w:hAnsi="Calibri"/>
                <w:color w:val="auto"/>
                <w:szCs w:val="21"/>
              </w:rPr>
            </w:pPr>
            <w:r w:rsidRPr="00A964FF">
              <w:rPr>
                <w:rFonts w:ascii="Calibri" w:hAnsi="Calibri"/>
                <w:color w:val="auto"/>
              </w:rPr>
              <w:t>900</w:t>
            </w:r>
            <w:r w:rsidRPr="00A964FF">
              <w:rPr>
                <w:rFonts w:ascii="Calibri" w:hAnsi="Calibri" w:hint="eastAsia"/>
                <w:color w:val="auto"/>
              </w:rPr>
              <w:t>-249</w:t>
            </w:r>
            <w:r w:rsidRPr="00A964FF">
              <w:rPr>
                <w:rFonts w:ascii="Calibri" w:hAnsi="Calibri"/>
                <w:color w:val="auto"/>
              </w:rPr>
              <w:t>-</w:t>
            </w:r>
            <w:r w:rsidRPr="00A964FF">
              <w:rPr>
                <w:rFonts w:ascii="Calibri" w:hAnsi="Calibri" w:hint="eastAsia"/>
                <w:color w:val="auto"/>
              </w:rPr>
              <w:t>08</w:t>
            </w:r>
          </w:p>
        </w:tc>
        <w:tc>
          <w:tcPr>
            <w:tcW w:w="1417" w:type="dxa"/>
            <w:tcMar>
              <w:left w:w="28" w:type="dxa"/>
              <w:right w:w="28" w:type="dxa"/>
            </w:tcMar>
            <w:vAlign w:val="center"/>
          </w:tcPr>
          <w:p w14:paraId="480C5F8E" w14:textId="77777777" w:rsidR="00FD157B" w:rsidRPr="004F7F0A" w:rsidRDefault="00FD157B" w:rsidP="0053271F">
            <w:pPr>
              <w:jc w:val="center"/>
              <w:rPr>
                <w:rFonts w:ascii="Calibri" w:hAnsi="Calibri"/>
                <w:color w:val="auto"/>
                <w:szCs w:val="21"/>
              </w:rPr>
            </w:pPr>
            <w:r>
              <w:rPr>
                <w:rFonts w:ascii="Calibri" w:hAnsi="Calibri"/>
                <w:color w:val="auto"/>
                <w:szCs w:val="21"/>
              </w:rPr>
              <w:t>0.</w:t>
            </w:r>
            <w:r w:rsidR="0053271F">
              <w:rPr>
                <w:rFonts w:ascii="Calibri" w:hAnsi="Calibri"/>
                <w:color w:val="auto"/>
                <w:szCs w:val="21"/>
              </w:rPr>
              <w:t>1</w:t>
            </w:r>
          </w:p>
        </w:tc>
        <w:tc>
          <w:tcPr>
            <w:tcW w:w="1461" w:type="dxa"/>
            <w:tcMar>
              <w:left w:w="28" w:type="dxa"/>
              <w:right w:w="28" w:type="dxa"/>
            </w:tcMar>
            <w:vAlign w:val="center"/>
          </w:tcPr>
          <w:p w14:paraId="1DBAB849"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设备维护和检修</w:t>
            </w:r>
          </w:p>
        </w:tc>
        <w:tc>
          <w:tcPr>
            <w:tcW w:w="1658" w:type="dxa"/>
            <w:tcMar>
              <w:left w:w="28" w:type="dxa"/>
              <w:right w:w="28" w:type="dxa"/>
            </w:tcMar>
            <w:vAlign w:val="center"/>
          </w:tcPr>
          <w:p w14:paraId="1F3C7900" w14:textId="77777777" w:rsidR="00FD157B" w:rsidRPr="004F7F0A" w:rsidRDefault="00FD157B" w:rsidP="00FD157B">
            <w:pPr>
              <w:jc w:val="center"/>
              <w:rPr>
                <w:rFonts w:ascii="Calibri" w:hAnsi="Calibri"/>
                <w:color w:val="auto"/>
                <w:szCs w:val="21"/>
              </w:rPr>
            </w:pPr>
            <w:r>
              <w:rPr>
                <w:rFonts w:ascii="Calibri" w:hAnsi="Calibri" w:hint="eastAsia"/>
                <w:color w:val="auto"/>
                <w:szCs w:val="21"/>
              </w:rPr>
              <w:t>废矿物油</w:t>
            </w:r>
          </w:p>
        </w:tc>
        <w:tc>
          <w:tcPr>
            <w:tcW w:w="992" w:type="dxa"/>
            <w:tcMar>
              <w:left w:w="28" w:type="dxa"/>
              <w:right w:w="28" w:type="dxa"/>
            </w:tcMar>
            <w:vAlign w:val="center"/>
          </w:tcPr>
          <w:p w14:paraId="6DFABC7B" w14:textId="77777777" w:rsidR="00FD157B" w:rsidRPr="004F7F0A" w:rsidRDefault="00FD157B" w:rsidP="00FD157B">
            <w:pPr>
              <w:jc w:val="center"/>
              <w:rPr>
                <w:rFonts w:ascii="Calibri" w:hAnsi="Calibri"/>
                <w:color w:val="auto"/>
                <w:szCs w:val="21"/>
              </w:rPr>
            </w:pPr>
            <w:r>
              <w:rPr>
                <w:rFonts w:ascii="Calibri" w:hAnsi="Calibri" w:hint="eastAsia"/>
                <w:color w:val="auto"/>
                <w:szCs w:val="21"/>
              </w:rPr>
              <w:t>有机物</w:t>
            </w:r>
          </w:p>
        </w:tc>
        <w:tc>
          <w:tcPr>
            <w:tcW w:w="709" w:type="dxa"/>
            <w:tcMar>
              <w:left w:w="28" w:type="dxa"/>
              <w:right w:w="28" w:type="dxa"/>
            </w:tcMar>
            <w:vAlign w:val="center"/>
          </w:tcPr>
          <w:p w14:paraId="471D9F76" w14:textId="77777777" w:rsidR="00FD157B" w:rsidRPr="004F7F0A" w:rsidRDefault="00FD157B" w:rsidP="00FD157B">
            <w:pPr>
              <w:jc w:val="center"/>
              <w:rPr>
                <w:rFonts w:ascii="Calibri" w:hAnsi="Calibri"/>
                <w:color w:val="auto"/>
                <w:szCs w:val="21"/>
              </w:rPr>
            </w:pPr>
            <w:r>
              <w:rPr>
                <w:rFonts w:ascii="Calibri" w:hAnsi="Calibri" w:hint="eastAsia"/>
                <w:color w:val="auto"/>
                <w:szCs w:val="21"/>
              </w:rPr>
              <w:t>液态</w:t>
            </w:r>
          </w:p>
        </w:tc>
        <w:tc>
          <w:tcPr>
            <w:tcW w:w="732" w:type="dxa"/>
            <w:tcMar>
              <w:left w:w="28" w:type="dxa"/>
              <w:right w:w="28" w:type="dxa"/>
            </w:tcMar>
            <w:vAlign w:val="center"/>
          </w:tcPr>
          <w:p w14:paraId="567B578B" w14:textId="49618EEE" w:rsidR="00FD157B" w:rsidRPr="004F7F0A" w:rsidRDefault="00C06E1B" w:rsidP="00FD157B">
            <w:pPr>
              <w:jc w:val="center"/>
              <w:rPr>
                <w:rFonts w:ascii="Calibri" w:hAnsi="Calibri"/>
                <w:color w:val="auto"/>
                <w:szCs w:val="21"/>
              </w:rPr>
            </w:pPr>
            <w:r>
              <w:rPr>
                <w:rFonts w:ascii="Calibri" w:hAnsi="Calibri" w:hint="eastAsia"/>
                <w:bCs/>
                <w:color w:val="auto"/>
                <w:szCs w:val="21"/>
              </w:rPr>
              <w:t>半年</w:t>
            </w:r>
          </w:p>
        </w:tc>
        <w:tc>
          <w:tcPr>
            <w:tcW w:w="705" w:type="dxa"/>
            <w:tcMar>
              <w:left w:w="28" w:type="dxa"/>
              <w:right w:w="28" w:type="dxa"/>
            </w:tcMar>
            <w:vAlign w:val="center"/>
          </w:tcPr>
          <w:p w14:paraId="54DA5BFE" w14:textId="77777777" w:rsidR="00FD157B" w:rsidRPr="004F7F0A" w:rsidRDefault="00FD157B" w:rsidP="00FD157B">
            <w:pPr>
              <w:jc w:val="center"/>
              <w:rPr>
                <w:rFonts w:ascii="Calibri" w:hAnsi="Calibri"/>
                <w:bCs/>
                <w:color w:val="auto"/>
                <w:szCs w:val="21"/>
              </w:rPr>
            </w:pPr>
            <w:r w:rsidRPr="00F24120">
              <w:rPr>
                <w:rFonts w:ascii="Calibri" w:hAnsi="Calibri" w:hint="eastAsia"/>
                <w:bCs/>
                <w:color w:val="auto"/>
                <w:szCs w:val="21"/>
              </w:rPr>
              <w:t>T</w:t>
            </w:r>
            <w:r w:rsidRPr="00F24120">
              <w:rPr>
                <w:rFonts w:ascii="Calibri" w:hAnsi="Calibri" w:hint="eastAsia"/>
                <w:bCs/>
                <w:color w:val="auto"/>
                <w:szCs w:val="21"/>
              </w:rPr>
              <w:t>，</w:t>
            </w:r>
            <w:r w:rsidRPr="00F24120">
              <w:rPr>
                <w:rFonts w:ascii="Calibri" w:hAnsi="Calibri" w:hint="eastAsia"/>
                <w:bCs/>
                <w:color w:val="auto"/>
                <w:szCs w:val="21"/>
              </w:rPr>
              <w:t>I</w:t>
            </w:r>
          </w:p>
        </w:tc>
        <w:tc>
          <w:tcPr>
            <w:tcW w:w="1783" w:type="dxa"/>
            <w:tcMar>
              <w:left w:w="28" w:type="dxa"/>
              <w:right w:w="28" w:type="dxa"/>
            </w:tcMar>
            <w:vAlign w:val="center"/>
          </w:tcPr>
          <w:p w14:paraId="5807F9B6" w14:textId="77777777" w:rsidR="00FD157B" w:rsidRPr="004F7F0A" w:rsidRDefault="00FD157B" w:rsidP="00FD157B">
            <w:pPr>
              <w:jc w:val="center"/>
              <w:rPr>
                <w:rFonts w:ascii="Calibri" w:hAnsi="Calibri"/>
                <w:bCs/>
                <w:color w:val="auto"/>
                <w:szCs w:val="21"/>
              </w:rPr>
            </w:pPr>
            <w:r w:rsidRPr="004F7F0A">
              <w:rPr>
                <w:rFonts w:ascii="Calibri" w:hAnsi="Calibri"/>
                <w:bCs/>
                <w:color w:val="auto"/>
                <w:szCs w:val="21"/>
              </w:rPr>
              <w:t>委托资质单位处置</w:t>
            </w:r>
          </w:p>
        </w:tc>
      </w:tr>
      <w:tr w:rsidR="00FD157B" w:rsidRPr="004F7F0A" w14:paraId="010389C5" w14:textId="77777777" w:rsidTr="008E59FE">
        <w:trPr>
          <w:trHeight w:val="340"/>
          <w:jc w:val="center"/>
        </w:trPr>
        <w:tc>
          <w:tcPr>
            <w:tcW w:w="564" w:type="dxa"/>
            <w:tcMar>
              <w:left w:w="28" w:type="dxa"/>
              <w:right w:w="28" w:type="dxa"/>
            </w:tcMar>
            <w:vAlign w:val="center"/>
          </w:tcPr>
          <w:p w14:paraId="36D7DCC5" w14:textId="77777777" w:rsidR="00FD157B" w:rsidRPr="004F7F0A" w:rsidRDefault="00223E03" w:rsidP="00FD157B">
            <w:pPr>
              <w:jc w:val="center"/>
              <w:rPr>
                <w:rFonts w:ascii="Calibri" w:hAnsi="Calibri"/>
                <w:color w:val="auto"/>
                <w:szCs w:val="21"/>
              </w:rPr>
            </w:pPr>
            <w:r>
              <w:rPr>
                <w:rFonts w:ascii="Calibri" w:hAnsi="Calibri"/>
                <w:color w:val="auto"/>
                <w:szCs w:val="21"/>
              </w:rPr>
              <w:t>2</w:t>
            </w:r>
          </w:p>
        </w:tc>
        <w:tc>
          <w:tcPr>
            <w:tcW w:w="1406" w:type="dxa"/>
            <w:tcMar>
              <w:left w:w="28" w:type="dxa"/>
              <w:right w:w="28" w:type="dxa"/>
            </w:tcMar>
            <w:vAlign w:val="center"/>
          </w:tcPr>
          <w:p w14:paraId="123D42CB"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废活性炭</w:t>
            </w:r>
          </w:p>
        </w:tc>
        <w:tc>
          <w:tcPr>
            <w:tcW w:w="1559" w:type="dxa"/>
            <w:tcMar>
              <w:left w:w="28" w:type="dxa"/>
              <w:right w:w="28" w:type="dxa"/>
            </w:tcMar>
            <w:vAlign w:val="center"/>
          </w:tcPr>
          <w:p w14:paraId="53381553" w14:textId="77777777" w:rsidR="00FD157B" w:rsidRPr="004F7F0A" w:rsidRDefault="00FD157B" w:rsidP="00FD157B">
            <w:pPr>
              <w:jc w:val="center"/>
              <w:rPr>
                <w:rFonts w:ascii="Calibri" w:hAnsi="Calibri"/>
                <w:bCs/>
                <w:color w:val="auto"/>
                <w:szCs w:val="21"/>
              </w:rPr>
            </w:pPr>
            <w:r w:rsidRPr="00A964FF">
              <w:rPr>
                <w:rFonts w:ascii="Calibri" w:hAnsi="Calibri" w:hint="eastAsia"/>
                <w:color w:val="auto"/>
              </w:rPr>
              <w:t>HW</w:t>
            </w:r>
            <w:r>
              <w:rPr>
                <w:rFonts w:ascii="Calibri" w:hAnsi="Calibri"/>
                <w:color w:val="auto"/>
              </w:rPr>
              <w:t>49</w:t>
            </w:r>
            <w:r>
              <w:rPr>
                <w:rFonts w:ascii="Calibri" w:hAnsi="Calibri" w:hint="eastAsia"/>
                <w:color w:val="auto"/>
              </w:rPr>
              <w:t>其他</w:t>
            </w:r>
            <w:r>
              <w:rPr>
                <w:rFonts w:ascii="Calibri" w:hAnsi="Calibri"/>
                <w:color w:val="auto"/>
              </w:rPr>
              <w:t>废物</w:t>
            </w:r>
          </w:p>
        </w:tc>
        <w:tc>
          <w:tcPr>
            <w:tcW w:w="1276" w:type="dxa"/>
            <w:tcMar>
              <w:left w:w="28" w:type="dxa"/>
              <w:right w:w="28" w:type="dxa"/>
            </w:tcMar>
            <w:vAlign w:val="center"/>
          </w:tcPr>
          <w:p w14:paraId="2996F81B" w14:textId="77777777" w:rsidR="00FD157B" w:rsidRPr="004F7F0A" w:rsidRDefault="00695D64" w:rsidP="00FD157B">
            <w:pPr>
              <w:jc w:val="center"/>
              <w:rPr>
                <w:rFonts w:ascii="Calibri" w:hAnsi="Calibri"/>
                <w:color w:val="auto"/>
                <w:szCs w:val="21"/>
              </w:rPr>
            </w:pPr>
            <w:r w:rsidRPr="000E15EB">
              <w:rPr>
                <w:rFonts w:ascii="Calibri" w:hAnsi="Calibri"/>
                <w:color w:val="auto"/>
              </w:rPr>
              <w:t>900-0</w:t>
            </w:r>
            <w:r>
              <w:rPr>
                <w:rFonts w:ascii="Calibri" w:hAnsi="Calibri"/>
                <w:color w:val="auto"/>
              </w:rPr>
              <w:t>39</w:t>
            </w:r>
            <w:r w:rsidRPr="000E15EB">
              <w:rPr>
                <w:rFonts w:ascii="Calibri" w:hAnsi="Calibri"/>
                <w:color w:val="auto"/>
              </w:rPr>
              <w:t>-49</w:t>
            </w:r>
          </w:p>
        </w:tc>
        <w:tc>
          <w:tcPr>
            <w:tcW w:w="1417" w:type="dxa"/>
            <w:tcMar>
              <w:left w:w="28" w:type="dxa"/>
              <w:right w:w="28" w:type="dxa"/>
            </w:tcMar>
            <w:vAlign w:val="center"/>
          </w:tcPr>
          <w:p w14:paraId="1FB8ED51" w14:textId="31E7740F" w:rsidR="00FD157B" w:rsidRPr="004F7F0A" w:rsidRDefault="006E3216" w:rsidP="00FD157B">
            <w:pPr>
              <w:jc w:val="center"/>
              <w:rPr>
                <w:rFonts w:ascii="Calibri" w:hAnsi="Calibri"/>
                <w:color w:val="auto"/>
                <w:szCs w:val="21"/>
              </w:rPr>
            </w:pPr>
            <w:r w:rsidRPr="006E3216">
              <w:rPr>
                <w:rFonts w:ascii="Calibri" w:hAnsi="Calibri"/>
                <w:color w:val="auto"/>
                <w:szCs w:val="21"/>
              </w:rPr>
              <w:t>1.80</w:t>
            </w:r>
          </w:p>
        </w:tc>
        <w:tc>
          <w:tcPr>
            <w:tcW w:w="1461" w:type="dxa"/>
            <w:tcMar>
              <w:left w:w="28" w:type="dxa"/>
              <w:right w:w="28" w:type="dxa"/>
            </w:tcMar>
            <w:vAlign w:val="center"/>
          </w:tcPr>
          <w:p w14:paraId="1474F72C" w14:textId="77777777" w:rsidR="00FD157B" w:rsidRPr="004F7F0A" w:rsidRDefault="00FD157B" w:rsidP="00FD157B">
            <w:pPr>
              <w:jc w:val="center"/>
              <w:rPr>
                <w:rFonts w:ascii="Calibri" w:hAnsi="Calibri"/>
                <w:color w:val="auto"/>
                <w:szCs w:val="21"/>
              </w:rPr>
            </w:pPr>
            <w:r>
              <w:rPr>
                <w:rFonts w:ascii="Calibri" w:hAnsi="Calibri" w:hint="eastAsia"/>
                <w:color w:val="auto"/>
                <w:szCs w:val="21"/>
              </w:rPr>
              <w:t>废气</w:t>
            </w:r>
            <w:r>
              <w:rPr>
                <w:rFonts w:ascii="Calibri" w:hAnsi="Calibri"/>
                <w:color w:val="auto"/>
                <w:szCs w:val="21"/>
              </w:rPr>
              <w:t>治理</w:t>
            </w:r>
          </w:p>
        </w:tc>
        <w:tc>
          <w:tcPr>
            <w:tcW w:w="1658" w:type="dxa"/>
            <w:tcMar>
              <w:left w:w="28" w:type="dxa"/>
              <w:right w:w="28" w:type="dxa"/>
            </w:tcMar>
            <w:vAlign w:val="center"/>
          </w:tcPr>
          <w:p w14:paraId="663B160B" w14:textId="3BD2B557" w:rsidR="00FD157B" w:rsidRPr="004F7F0A" w:rsidRDefault="00FD157B" w:rsidP="00FD157B">
            <w:pPr>
              <w:jc w:val="center"/>
              <w:rPr>
                <w:rFonts w:ascii="Calibri" w:hAnsi="Calibri"/>
                <w:bCs/>
                <w:color w:val="auto"/>
                <w:szCs w:val="21"/>
              </w:rPr>
            </w:pPr>
            <w:r>
              <w:rPr>
                <w:rFonts w:ascii="Calibri" w:hAnsi="Calibri" w:hint="eastAsia"/>
                <w:bCs/>
                <w:color w:val="auto"/>
                <w:szCs w:val="21"/>
              </w:rPr>
              <w:t>己二胺</w:t>
            </w:r>
            <w:r>
              <w:rPr>
                <w:rFonts w:ascii="Calibri" w:hAnsi="Calibri"/>
                <w:bCs/>
                <w:color w:val="auto"/>
                <w:szCs w:val="21"/>
              </w:rPr>
              <w:t>、氨、己二酸、环戊酮、</w:t>
            </w:r>
            <w:r>
              <w:rPr>
                <w:rFonts w:ascii="Calibri" w:hAnsi="Calibri" w:hint="eastAsia"/>
                <w:color w:val="auto"/>
              </w:rPr>
              <w:t>环</w:t>
            </w:r>
            <w:r>
              <w:rPr>
                <w:rFonts w:ascii="Calibri" w:hAnsi="Calibri"/>
                <w:color w:val="auto"/>
              </w:rPr>
              <w:t>己</w:t>
            </w:r>
            <w:r>
              <w:rPr>
                <w:rFonts w:ascii="Calibri" w:hAnsi="Calibri" w:hint="eastAsia"/>
                <w:color w:val="auto"/>
              </w:rPr>
              <w:t>亚</w:t>
            </w:r>
            <w:r>
              <w:rPr>
                <w:rFonts w:ascii="Calibri" w:hAnsi="Calibri"/>
                <w:color w:val="auto"/>
              </w:rPr>
              <w:t>胺</w:t>
            </w:r>
            <w:r w:rsidR="006E3216" w:rsidRPr="009C3A83">
              <w:rPr>
                <w:rFonts w:ascii="Calibri" w:hAnsi="Calibri" w:hint="eastAsia"/>
                <w:b/>
                <w:color w:val="auto"/>
                <w:u w:val="single"/>
              </w:rPr>
              <w:t>癸二胺、癸二酸、十二内酰胺</w:t>
            </w:r>
          </w:p>
        </w:tc>
        <w:tc>
          <w:tcPr>
            <w:tcW w:w="992" w:type="dxa"/>
            <w:tcMar>
              <w:left w:w="28" w:type="dxa"/>
              <w:right w:w="28" w:type="dxa"/>
            </w:tcMar>
            <w:vAlign w:val="center"/>
          </w:tcPr>
          <w:p w14:paraId="03C993A5" w14:textId="77777777" w:rsidR="00FD157B" w:rsidRPr="00B063DA" w:rsidRDefault="00FD157B" w:rsidP="00FD157B">
            <w:pPr>
              <w:jc w:val="center"/>
              <w:rPr>
                <w:rFonts w:ascii="Calibri" w:hAnsi="Calibri"/>
                <w:bCs/>
                <w:color w:val="auto"/>
                <w:szCs w:val="21"/>
              </w:rPr>
            </w:pPr>
            <w:r>
              <w:rPr>
                <w:rFonts w:ascii="Calibri" w:hAnsi="Calibri" w:hint="eastAsia"/>
                <w:bCs/>
                <w:color w:val="auto"/>
                <w:szCs w:val="21"/>
              </w:rPr>
              <w:t>有机物</w:t>
            </w:r>
          </w:p>
        </w:tc>
        <w:tc>
          <w:tcPr>
            <w:tcW w:w="709" w:type="dxa"/>
            <w:tcMar>
              <w:left w:w="28" w:type="dxa"/>
              <w:right w:w="28" w:type="dxa"/>
            </w:tcMar>
            <w:vAlign w:val="center"/>
          </w:tcPr>
          <w:p w14:paraId="6731C6C7" w14:textId="77777777" w:rsidR="00FD157B" w:rsidRPr="004F7F0A" w:rsidRDefault="00FD157B" w:rsidP="00FD157B">
            <w:pPr>
              <w:jc w:val="center"/>
              <w:rPr>
                <w:rFonts w:ascii="Calibri" w:hAnsi="Calibri"/>
                <w:bCs/>
                <w:color w:val="auto"/>
                <w:szCs w:val="21"/>
              </w:rPr>
            </w:pPr>
            <w:r>
              <w:rPr>
                <w:rFonts w:ascii="Calibri" w:hAnsi="Calibri" w:hint="eastAsia"/>
                <w:bCs/>
                <w:color w:val="auto"/>
                <w:szCs w:val="21"/>
              </w:rPr>
              <w:t>固态</w:t>
            </w:r>
          </w:p>
        </w:tc>
        <w:tc>
          <w:tcPr>
            <w:tcW w:w="732" w:type="dxa"/>
            <w:tcMar>
              <w:left w:w="28" w:type="dxa"/>
              <w:right w:w="28" w:type="dxa"/>
            </w:tcMar>
            <w:vAlign w:val="center"/>
          </w:tcPr>
          <w:p w14:paraId="7BA3B614" w14:textId="77777777" w:rsidR="00FD157B" w:rsidRPr="004F7F0A" w:rsidRDefault="00FD157B" w:rsidP="00FD157B">
            <w:pPr>
              <w:jc w:val="center"/>
              <w:rPr>
                <w:rFonts w:ascii="Calibri" w:hAnsi="Calibri"/>
                <w:bCs/>
                <w:color w:val="auto"/>
                <w:szCs w:val="21"/>
              </w:rPr>
            </w:pPr>
            <w:r>
              <w:rPr>
                <w:rFonts w:ascii="Calibri" w:hAnsi="Calibri" w:hint="eastAsia"/>
                <w:bCs/>
                <w:color w:val="auto"/>
                <w:szCs w:val="21"/>
              </w:rPr>
              <w:t>1</w:t>
            </w:r>
            <w:r>
              <w:rPr>
                <w:rFonts w:ascii="Calibri" w:hAnsi="Calibri" w:hint="eastAsia"/>
                <w:bCs/>
                <w:color w:val="auto"/>
                <w:szCs w:val="21"/>
              </w:rPr>
              <w:t>年</w:t>
            </w:r>
          </w:p>
        </w:tc>
        <w:tc>
          <w:tcPr>
            <w:tcW w:w="705" w:type="dxa"/>
            <w:tcMar>
              <w:left w:w="28" w:type="dxa"/>
              <w:right w:w="28" w:type="dxa"/>
            </w:tcMar>
            <w:vAlign w:val="center"/>
          </w:tcPr>
          <w:p w14:paraId="528D0BC9" w14:textId="77777777" w:rsidR="00FD157B" w:rsidRPr="004F7F0A" w:rsidRDefault="00FD157B" w:rsidP="00FD157B">
            <w:pPr>
              <w:jc w:val="center"/>
              <w:rPr>
                <w:rFonts w:ascii="Calibri" w:hAnsi="Calibri"/>
                <w:bCs/>
                <w:color w:val="auto"/>
                <w:szCs w:val="21"/>
              </w:rPr>
            </w:pPr>
            <w:r w:rsidRPr="00B063DA">
              <w:rPr>
                <w:rFonts w:ascii="Calibri" w:hAnsi="Calibri"/>
                <w:bCs/>
                <w:color w:val="auto"/>
                <w:szCs w:val="21"/>
              </w:rPr>
              <w:t>T/In</w:t>
            </w:r>
          </w:p>
        </w:tc>
        <w:tc>
          <w:tcPr>
            <w:tcW w:w="1783" w:type="dxa"/>
            <w:tcMar>
              <w:left w:w="28" w:type="dxa"/>
              <w:right w:w="28" w:type="dxa"/>
            </w:tcMar>
            <w:vAlign w:val="center"/>
          </w:tcPr>
          <w:p w14:paraId="0809F4DD" w14:textId="77777777" w:rsidR="00FD157B" w:rsidRPr="004F7F0A" w:rsidRDefault="00FD157B" w:rsidP="00FD157B">
            <w:pPr>
              <w:jc w:val="center"/>
              <w:rPr>
                <w:rFonts w:ascii="Calibri" w:hAnsi="Calibri"/>
                <w:bCs/>
                <w:color w:val="auto"/>
                <w:szCs w:val="21"/>
              </w:rPr>
            </w:pPr>
            <w:r w:rsidRPr="004F7F0A">
              <w:rPr>
                <w:rFonts w:ascii="Calibri" w:hAnsi="Calibri"/>
                <w:bCs/>
                <w:color w:val="auto"/>
                <w:szCs w:val="21"/>
              </w:rPr>
              <w:t>委托资质单位处置</w:t>
            </w:r>
          </w:p>
        </w:tc>
      </w:tr>
      <w:tr w:rsidR="00FD157B" w:rsidRPr="004F7F0A" w14:paraId="56FF47C1" w14:textId="77777777" w:rsidTr="00FD157B">
        <w:trPr>
          <w:trHeight w:val="340"/>
          <w:jc w:val="center"/>
        </w:trPr>
        <w:tc>
          <w:tcPr>
            <w:tcW w:w="1970" w:type="dxa"/>
            <w:gridSpan w:val="2"/>
            <w:tcMar>
              <w:left w:w="28" w:type="dxa"/>
              <w:right w:w="28" w:type="dxa"/>
            </w:tcMar>
            <w:vAlign w:val="center"/>
          </w:tcPr>
          <w:p w14:paraId="7FC908FA"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小计</w:t>
            </w:r>
            <w:r>
              <w:rPr>
                <w:rFonts w:ascii="Calibri" w:hAnsi="Calibri" w:hint="eastAsia"/>
                <w:color w:val="auto"/>
                <w:szCs w:val="21"/>
              </w:rPr>
              <w:t>（一期）</w:t>
            </w:r>
          </w:p>
        </w:tc>
        <w:tc>
          <w:tcPr>
            <w:tcW w:w="1559" w:type="dxa"/>
            <w:vAlign w:val="center"/>
          </w:tcPr>
          <w:p w14:paraId="5E6A6AC9"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w:t>
            </w:r>
          </w:p>
        </w:tc>
        <w:tc>
          <w:tcPr>
            <w:tcW w:w="1276" w:type="dxa"/>
            <w:tcMar>
              <w:left w:w="28" w:type="dxa"/>
              <w:right w:w="28" w:type="dxa"/>
            </w:tcMar>
            <w:vAlign w:val="center"/>
          </w:tcPr>
          <w:p w14:paraId="338F9216"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w:t>
            </w:r>
          </w:p>
        </w:tc>
        <w:tc>
          <w:tcPr>
            <w:tcW w:w="1417" w:type="dxa"/>
            <w:tcMar>
              <w:left w:w="28" w:type="dxa"/>
              <w:right w:w="28" w:type="dxa"/>
            </w:tcMar>
            <w:vAlign w:val="center"/>
          </w:tcPr>
          <w:p w14:paraId="25E43381" w14:textId="0CE5EBD8" w:rsidR="00FD157B" w:rsidRDefault="006E3216" w:rsidP="0053271F">
            <w:pPr>
              <w:jc w:val="center"/>
              <w:rPr>
                <w:rFonts w:ascii="Calibri" w:hAnsi="Calibri"/>
                <w:color w:val="auto"/>
                <w:szCs w:val="21"/>
              </w:rPr>
            </w:pPr>
            <w:r>
              <w:rPr>
                <w:rFonts w:ascii="Calibri" w:hAnsi="Calibri"/>
                <w:color w:val="auto"/>
                <w:szCs w:val="21"/>
              </w:rPr>
              <w:t>1.90</w:t>
            </w:r>
          </w:p>
        </w:tc>
        <w:tc>
          <w:tcPr>
            <w:tcW w:w="1461" w:type="dxa"/>
            <w:tcMar>
              <w:left w:w="28" w:type="dxa"/>
              <w:right w:w="28" w:type="dxa"/>
            </w:tcMar>
            <w:vAlign w:val="center"/>
          </w:tcPr>
          <w:p w14:paraId="3E98A9B7" w14:textId="77777777" w:rsidR="00FD157B" w:rsidRPr="004F7F0A" w:rsidRDefault="00FD157B" w:rsidP="00FD157B">
            <w:pPr>
              <w:jc w:val="center"/>
              <w:rPr>
                <w:rFonts w:ascii="Calibri" w:hAnsi="Calibri"/>
                <w:color w:val="auto"/>
                <w:szCs w:val="21"/>
              </w:rPr>
            </w:pPr>
            <w:r>
              <w:rPr>
                <w:rFonts w:ascii="Calibri" w:hAnsi="Calibri" w:hint="eastAsia"/>
                <w:color w:val="auto"/>
                <w:szCs w:val="21"/>
              </w:rPr>
              <w:t>/</w:t>
            </w:r>
          </w:p>
        </w:tc>
        <w:tc>
          <w:tcPr>
            <w:tcW w:w="1658" w:type="dxa"/>
            <w:tcMar>
              <w:left w:w="28" w:type="dxa"/>
              <w:right w:w="28" w:type="dxa"/>
            </w:tcMar>
            <w:vAlign w:val="center"/>
          </w:tcPr>
          <w:p w14:paraId="01B3A0C2"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w:t>
            </w:r>
          </w:p>
        </w:tc>
        <w:tc>
          <w:tcPr>
            <w:tcW w:w="992" w:type="dxa"/>
            <w:tcMar>
              <w:left w:w="28" w:type="dxa"/>
              <w:right w:w="28" w:type="dxa"/>
            </w:tcMar>
            <w:vAlign w:val="center"/>
          </w:tcPr>
          <w:p w14:paraId="632AECB2"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w:t>
            </w:r>
          </w:p>
        </w:tc>
        <w:tc>
          <w:tcPr>
            <w:tcW w:w="709" w:type="dxa"/>
            <w:tcMar>
              <w:left w:w="28" w:type="dxa"/>
              <w:right w:w="28" w:type="dxa"/>
            </w:tcMar>
            <w:vAlign w:val="center"/>
          </w:tcPr>
          <w:p w14:paraId="00C747AE"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w:t>
            </w:r>
          </w:p>
        </w:tc>
        <w:tc>
          <w:tcPr>
            <w:tcW w:w="732" w:type="dxa"/>
            <w:tcMar>
              <w:left w:w="28" w:type="dxa"/>
              <w:right w:w="28" w:type="dxa"/>
            </w:tcMar>
            <w:vAlign w:val="center"/>
          </w:tcPr>
          <w:p w14:paraId="78158E9D" w14:textId="77777777" w:rsidR="00FD157B" w:rsidRPr="004F7F0A" w:rsidRDefault="00FD157B" w:rsidP="00FD157B">
            <w:pPr>
              <w:jc w:val="center"/>
              <w:rPr>
                <w:rFonts w:ascii="Calibri" w:hAnsi="Calibri"/>
                <w:color w:val="auto"/>
                <w:szCs w:val="21"/>
              </w:rPr>
            </w:pPr>
            <w:r w:rsidRPr="004F7F0A">
              <w:rPr>
                <w:rFonts w:ascii="Calibri" w:hAnsi="Calibri" w:hint="eastAsia"/>
                <w:color w:val="auto"/>
                <w:szCs w:val="21"/>
              </w:rPr>
              <w:t>/</w:t>
            </w:r>
          </w:p>
        </w:tc>
        <w:tc>
          <w:tcPr>
            <w:tcW w:w="705" w:type="dxa"/>
            <w:tcMar>
              <w:left w:w="28" w:type="dxa"/>
              <w:right w:w="28" w:type="dxa"/>
            </w:tcMar>
            <w:vAlign w:val="center"/>
          </w:tcPr>
          <w:p w14:paraId="6E0D03E9" w14:textId="77777777" w:rsidR="00FD157B" w:rsidRPr="004F7F0A" w:rsidRDefault="00FD157B" w:rsidP="00FD157B">
            <w:pPr>
              <w:jc w:val="center"/>
              <w:rPr>
                <w:rFonts w:ascii="Calibri" w:hAnsi="Calibri"/>
                <w:bCs/>
                <w:color w:val="auto"/>
                <w:szCs w:val="21"/>
              </w:rPr>
            </w:pPr>
            <w:r w:rsidRPr="004F7F0A">
              <w:rPr>
                <w:rFonts w:ascii="Calibri" w:hAnsi="Calibri" w:hint="eastAsia"/>
                <w:bCs/>
                <w:color w:val="auto"/>
                <w:szCs w:val="21"/>
              </w:rPr>
              <w:t>/</w:t>
            </w:r>
          </w:p>
        </w:tc>
        <w:tc>
          <w:tcPr>
            <w:tcW w:w="1783" w:type="dxa"/>
            <w:tcMar>
              <w:left w:w="28" w:type="dxa"/>
              <w:right w:w="28" w:type="dxa"/>
            </w:tcMar>
            <w:vAlign w:val="center"/>
          </w:tcPr>
          <w:p w14:paraId="045BF629" w14:textId="77777777" w:rsidR="00FD157B" w:rsidRPr="004F7F0A" w:rsidRDefault="00FD157B" w:rsidP="00FD157B">
            <w:pPr>
              <w:jc w:val="center"/>
              <w:rPr>
                <w:rFonts w:ascii="Calibri" w:hAnsi="Calibri"/>
                <w:bCs/>
                <w:color w:val="auto"/>
                <w:szCs w:val="21"/>
              </w:rPr>
            </w:pPr>
            <w:r w:rsidRPr="004F7F0A">
              <w:rPr>
                <w:rFonts w:ascii="Calibri" w:hAnsi="Calibri" w:hint="eastAsia"/>
                <w:bCs/>
                <w:color w:val="auto"/>
                <w:szCs w:val="21"/>
              </w:rPr>
              <w:t>/</w:t>
            </w:r>
          </w:p>
        </w:tc>
      </w:tr>
      <w:tr w:rsidR="0068469D" w:rsidRPr="004F7F0A" w14:paraId="60E03D81" w14:textId="77777777" w:rsidTr="008E59FE">
        <w:trPr>
          <w:trHeight w:val="340"/>
          <w:jc w:val="center"/>
        </w:trPr>
        <w:tc>
          <w:tcPr>
            <w:tcW w:w="3529" w:type="dxa"/>
            <w:gridSpan w:val="3"/>
            <w:tcMar>
              <w:left w:w="28" w:type="dxa"/>
              <w:right w:w="28" w:type="dxa"/>
            </w:tcMar>
            <w:vAlign w:val="center"/>
          </w:tcPr>
          <w:p w14:paraId="1A708E2F" w14:textId="77777777" w:rsidR="0068469D" w:rsidRPr="004F7F0A" w:rsidRDefault="0068469D" w:rsidP="008E59FE">
            <w:pPr>
              <w:jc w:val="center"/>
              <w:rPr>
                <w:rFonts w:ascii="Calibri" w:hAnsi="Calibri"/>
                <w:color w:val="auto"/>
                <w:szCs w:val="21"/>
              </w:rPr>
            </w:pPr>
            <w:r>
              <w:rPr>
                <w:rFonts w:ascii="Calibri" w:hAnsi="Calibri" w:hint="eastAsia"/>
                <w:color w:val="auto"/>
                <w:szCs w:val="21"/>
              </w:rPr>
              <w:t>合计</w:t>
            </w:r>
            <w:r>
              <w:rPr>
                <w:rFonts w:ascii="Calibri" w:hAnsi="Calibri"/>
                <w:color w:val="auto"/>
                <w:szCs w:val="21"/>
              </w:rPr>
              <w:t>（</w:t>
            </w:r>
            <w:r>
              <w:rPr>
                <w:rFonts w:ascii="Calibri" w:hAnsi="Calibri" w:hint="eastAsia"/>
                <w:color w:val="auto"/>
                <w:szCs w:val="21"/>
              </w:rPr>
              <w:t>全厂</w:t>
            </w:r>
            <w:r>
              <w:rPr>
                <w:rFonts w:ascii="Calibri" w:hAnsi="Calibri"/>
                <w:color w:val="auto"/>
                <w:szCs w:val="21"/>
              </w:rPr>
              <w:t>）</w:t>
            </w:r>
          </w:p>
        </w:tc>
        <w:tc>
          <w:tcPr>
            <w:tcW w:w="1276" w:type="dxa"/>
            <w:tcMar>
              <w:left w:w="28" w:type="dxa"/>
              <w:right w:w="28" w:type="dxa"/>
            </w:tcMar>
            <w:vAlign w:val="center"/>
          </w:tcPr>
          <w:p w14:paraId="6B0B5718" w14:textId="77777777" w:rsidR="0068469D" w:rsidRPr="004F7F0A" w:rsidRDefault="0068469D" w:rsidP="008E59FE">
            <w:pPr>
              <w:jc w:val="center"/>
              <w:rPr>
                <w:rFonts w:ascii="Calibri" w:hAnsi="Calibri"/>
                <w:color w:val="auto"/>
                <w:szCs w:val="21"/>
              </w:rPr>
            </w:pPr>
            <w:r w:rsidRPr="004F7F0A">
              <w:rPr>
                <w:rFonts w:ascii="Calibri" w:hAnsi="Calibri"/>
                <w:color w:val="auto"/>
                <w:szCs w:val="21"/>
              </w:rPr>
              <w:t>/</w:t>
            </w:r>
          </w:p>
        </w:tc>
        <w:tc>
          <w:tcPr>
            <w:tcW w:w="1417" w:type="dxa"/>
            <w:tcMar>
              <w:left w:w="28" w:type="dxa"/>
              <w:right w:w="28" w:type="dxa"/>
            </w:tcMar>
            <w:vAlign w:val="center"/>
          </w:tcPr>
          <w:p w14:paraId="2D193280" w14:textId="003EE74B" w:rsidR="0068469D" w:rsidRPr="004F7F0A" w:rsidRDefault="006E3216" w:rsidP="008E59FE">
            <w:pPr>
              <w:jc w:val="center"/>
              <w:rPr>
                <w:rFonts w:ascii="Calibri" w:hAnsi="Calibri"/>
                <w:color w:val="auto"/>
                <w:szCs w:val="21"/>
              </w:rPr>
            </w:pPr>
            <w:r w:rsidRPr="006E3216">
              <w:rPr>
                <w:rFonts w:ascii="Calibri" w:hAnsi="Calibri"/>
                <w:b/>
                <w:color w:val="auto"/>
                <w:szCs w:val="21"/>
                <w:u w:val="single"/>
              </w:rPr>
              <w:t>5.311</w:t>
            </w:r>
          </w:p>
        </w:tc>
        <w:tc>
          <w:tcPr>
            <w:tcW w:w="1461" w:type="dxa"/>
            <w:tcMar>
              <w:left w:w="28" w:type="dxa"/>
              <w:right w:w="28" w:type="dxa"/>
            </w:tcMar>
            <w:vAlign w:val="center"/>
          </w:tcPr>
          <w:p w14:paraId="3AB318DD" w14:textId="77777777" w:rsidR="0068469D" w:rsidRPr="004F7F0A" w:rsidRDefault="0068469D" w:rsidP="008E59FE">
            <w:pPr>
              <w:jc w:val="center"/>
              <w:rPr>
                <w:rFonts w:ascii="Calibri" w:hAnsi="Calibri"/>
                <w:color w:val="auto"/>
                <w:szCs w:val="21"/>
              </w:rPr>
            </w:pPr>
            <w:r w:rsidRPr="004F7F0A">
              <w:rPr>
                <w:rFonts w:ascii="Calibri" w:hAnsi="Calibri"/>
                <w:color w:val="auto"/>
                <w:szCs w:val="21"/>
              </w:rPr>
              <w:t>/</w:t>
            </w:r>
          </w:p>
        </w:tc>
        <w:tc>
          <w:tcPr>
            <w:tcW w:w="1658" w:type="dxa"/>
            <w:tcMar>
              <w:left w:w="28" w:type="dxa"/>
              <w:right w:w="28" w:type="dxa"/>
            </w:tcMar>
            <w:vAlign w:val="center"/>
          </w:tcPr>
          <w:p w14:paraId="03CDB141"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w:t>
            </w:r>
          </w:p>
        </w:tc>
        <w:tc>
          <w:tcPr>
            <w:tcW w:w="992" w:type="dxa"/>
            <w:tcMar>
              <w:left w:w="28" w:type="dxa"/>
              <w:right w:w="28" w:type="dxa"/>
            </w:tcMar>
            <w:vAlign w:val="center"/>
          </w:tcPr>
          <w:p w14:paraId="0515AB5C" w14:textId="77777777" w:rsidR="0068469D" w:rsidRPr="004F7F0A" w:rsidRDefault="0068469D" w:rsidP="008E59FE">
            <w:pPr>
              <w:jc w:val="center"/>
              <w:rPr>
                <w:rFonts w:ascii="Calibri" w:hAnsi="Calibri"/>
                <w:bCs/>
                <w:color w:val="auto"/>
                <w:szCs w:val="21"/>
              </w:rPr>
            </w:pPr>
            <w:r w:rsidRPr="004F7F0A">
              <w:rPr>
                <w:rFonts w:ascii="Calibri" w:hAnsi="Calibri" w:hint="eastAsia"/>
                <w:bCs/>
                <w:color w:val="auto"/>
                <w:szCs w:val="21"/>
              </w:rPr>
              <w:t>/</w:t>
            </w:r>
          </w:p>
        </w:tc>
        <w:tc>
          <w:tcPr>
            <w:tcW w:w="709" w:type="dxa"/>
            <w:tcMar>
              <w:left w:w="28" w:type="dxa"/>
              <w:right w:w="28" w:type="dxa"/>
            </w:tcMar>
            <w:vAlign w:val="center"/>
          </w:tcPr>
          <w:p w14:paraId="2B5BAA5C"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w:t>
            </w:r>
          </w:p>
        </w:tc>
        <w:tc>
          <w:tcPr>
            <w:tcW w:w="732" w:type="dxa"/>
            <w:tcMar>
              <w:left w:w="28" w:type="dxa"/>
              <w:right w:w="28" w:type="dxa"/>
            </w:tcMar>
            <w:vAlign w:val="center"/>
          </w:tcPr>
          <w:p w14:paraId="76A35F43"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w:t>
            </w:r>
          </w:p>
        </w:tc>
        <w:tc>
          <w:tcPr>
            <w:tcW w:w="705" w:type="dxa"/>
            <w:tcMar>
              <w:left w:w="28" w:type="dxa"/>
              <w:right w:w="28" w:type="dxa"/>
            </w:tcMar>
            <w:vAlign w:val="center"/>
          </w:tcPr>
          <w:p w14:paraId="748A975B"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w:t>
            </w:r>
          </w:p>
        </w:tc>
        <w:tc>
          <w:tcPr>
            <w:tcW w:w="1783" w:type="dxa"/>
            <w:tcMar>
              <w:left w:w="28" w:type="dxa"/>
              <w:right w:w="28" w:type="dxa"/>
            </w:tcMar>
            <w:vAlign w:val="center"/>
          </w:tcPr>
          <w:p w14:paraId="03DD6E61" w14:textId="77777777" w:rsidR="0068469D" w:rsidRPr="004F7F0A" w:rsidRDefault="0068469D" w:rsidP="008E59FE">
            <w:pPr>
              <w:jc w:val="center"/>
              <w:rPr>
                <w:rFonts w:ascii="Calibri" w:hAnsi="Calibri"/>
                <w:bCs/>
                <w:color w:val="auto"/>
                <w:szCs w:val="21"/>
              </w:rPr>
            </w:pPr>
            <w:r w:rsidRPr="004F7F0A">
              <w:rPr>
                <w:rFonts w:ascii="Calibri" w:hAnsi="Calibri"/>
                <w:bCs/>
                <w:color w:val="auto"/>
                <w:szCs w:val="21"/>
              </w:rPr>
              <w:t>/</w:t>
            </w:r>
          </w:p>
        </w:tc>
      </w:tr>
    </w:tbl>
    <w:p w14:paraId="15A45588" w14:textId="77777777" w:rsidR="0068469D" w:rsidRDefault="0068469D" w:rsidP="000E15EB">
      <w:pPr>
        <w:spacing w:line="520" w:lineRule="exact"/>
        <w:ind w:firstLineChars="350" w:firstLine="840"/>
        <w:jc w:val="left"/>
        <w:rPr>
          <w:rFonts w:ascii="Calibri" w:eastAsia="黑体" w:hAnsi="黑体"/>
          <w:bCs/>
          <w:color w:val="auto"/>
          <w:sz w:val="24"/>
        </w:rPr>
      </w:pPr>
    </w:p>
    <w:p w14:paraId="5C7209D0" w14:textId="77777777" w:rsidR="000E15EB" w:rsidRPr="00A964FF" w:rsidRDefault="000E15EB" w:rsidP="00FD157B">
      <w:pPr>
        <w:spacing w:line="520" w:lineRule="exact"/>
        <w:rPr>
          <w:rFonts w:ascii="Calibri" w:hAnsi="Calibri"/>
          <w:color w:val="auto"/>
          <w:szCs w:val="21"/>
        </w:rPr>
        <w:sectPr w:rsidR="000E15EB" w:rsidRPr="00A964FF" w:rsidSect="00FD157B">
          <w:pgSz w:w="16838" w:h="11906" w:orient="landscape" w:code="9"/>
          <w:pgMar w:top="1418" w:right="1440" w:bottom="1418" w:left="1440" w:header="851" w:footer="992" w:gutter="0"/>
          <w:cols w:space="720"/>
          <w:docGrid w:linePitch="312"/>
        </w:sectPr>
      </w:pPr>
    </w:p>
    <w:p w14:paraId="1DEF4E60" w14:textId="77777777" w:rsidR="0055605A" w:rsidRPr="00A964FF" w:rsidRDefault="0055605A" w:rsidP="0055605A">
      <w:pPr>
        <w:pStyle w:val="2"/>
        <w:spacing w:before="200" w:after="100"/>
        <w:rPr>
          <w:rFonts w:ascii="Calibri" w:hAnsi="Calibri"/>
          <w:bCs/>
          <w:color w:val="auto"/>
          <w:szCs w:val="28"/>
        </w:rPr>
      </w:pPr>
      <w:bookmarkStart w:id="46" w:name="_Toc112999907"/>
      <w:r w:rsidRPr="00A964FF">
        <w:rPr>
          <w:rFonts w:ascii="Calibri" w:hAnsi="Calibri" w:hint="eastAsia"/>
          <w:bCs/>
          <w:color w:val="auto"/>
          <w:szCs w:val="28"/>
        </w:rPr>
        <w:lastRenderedPageBreak/>
        <w:t>2</w:t>
      </w:r>
      <w:r w:rsidRPr="00A964FF">
        <w:rPr>
          <w:rFonts w:ascii="Calibri" w:hAnsi="Calibri"/>
          <w:bCs/>
          <w:color w:val="auto"/>
          <w:szCs w:val="28"/>
        </w:rPr>
        <w:t>.</w:t>
      </w:r>
      <w:r w:rsidR="005310B3" w:rsidRPr="00A964FF">
        <w:rPr>
          <w:rFonts w:ascii="Calibri" w:hAnsi="Calibri" w:hint="eastAsia"/>
          <w:bCs/>
          <w:color w:val="auto"/>
          <w:szCs w:val="28"/>
        </w:rPr>
        <w:t>4</w:t>
      </w:r>
      <w:r w:rsidR="00C1392D" w:rsidRPr="00A964FF">
        <w:rPr>
          <w:rFonts w:hint="eastAsia"/>
          <w:color w:val="auto"/>
        </w:rPr>
        <w:t>非正常工况</w:t>
      </w:r>
      <w:bookmarkEnd w:id="46"/>
    </w:p>
    <w:p w14:paraId="009E7C3D" w14:textId="77777777" w:rsidR="00070A5E" w:rsidRPr="00A964FF" w:rsidRDefault="00070A5E" w:rsidP="00070A5E">
      <w:pPr>
        <w:pStyle w:val="00"/>
        <w:ind w:firstLineChars="200" w:firstLine="482"/>
        <w:rPr>
          <w:rFonts w:ascii="Calibri" w:hAnsi="Calibri"/>
          <w:b/>
          <w:color w:val="auto"/>
        </w:rPr>
      </w:pPr>
      <w:r w:rsidRPr="00A964FF">
        <w:rPr>
          <w:rFonts w:ascii="Calibri" w:hAnsi="Calibri" w:hint="eastAsia"/>
          <w:b/>
          <w:color w:val="auto"/>
        </w:rPr>
        <w:t>1</w:t>
      </w:r>
      <w:r w:rsidRPr="00A964FF">
        <w:rPr>
          <w:rFonts w:ascii="Calibri" w:hAnsi="Calibri" w:hint="eastAsia"/>
          <w:b/>
          <w:color w:val="auto"/>
        </w:rPr>
        <w:t>、废气非正常排放</w:t>
      </w:r>
    </w:p>
    <w:p w14:paraId="5B10EEF3" w14:textId="585083DD" w:rsidR="002C02AD" w:rsidRDefault="002C02AD" w:rsidP="0075760C">
      <w:pPr>
        <w:pStyle w:val="00"/>
        <w:ind w:firstLineChars="200"/>
        <w:rPr>
          <w:rFonts w:ascii="Calibri" w:hAnsi="Calibri"/>
          <w:color w:val="auto"/>
        </w:rPr>
      </w:pPr>
      <w:r>
        <w:rPr>
          <w:rFonts w:ascii="Calibri" w:hAnsi="Calibri" w:hint="eastAsia"/>
          <w:color w:val="auto"/>
        </w:rPr>
        <w:t>本项目</w:t>
      </w:r>
      <w:r>
        <w:rPr>
          <w:rFonts w:ascii="Calibri" w:hAnsi="Calibri"/>
          <w:color w:val="auto"/>
        </w:rPr>
        <w:t>一期、二期</w:t>
      </w:r>
      <w:r>
        <w:rPr>
          <w:rFonts w:ascii="Calibri" w:hAnsi="Calibri" w:hint="eastAsia"/>
          <w:color w:val="auto"/>
        </w:rPr>
        <w:t>生产</w:t>
      </w:r>
      <w:r>
        <w:rPr>
          <w:rFonts w:ascii="Calibri" w:hAnsi="Calibri"/>
          <w:color w:val="auto"/>
        </w:rPr>
        <w:t>产品及工艺相同</w:t>
      </w:r>
      <w:r>
        <w:rPr>
          <w:rFonts w:ascii="Calibri" w:hAnsi="Calibri" w:hint="eastAsia"/>
          <w:color w:val="auto"/>
        </w:rPr>
        <w:t>，一期</w:t>
      </w:r>
      <w:r>
        <w:rPr>
          <w:rFonts w:ascii="Calibri" w:hAnsi="Calibri"/>
          <w:color w:val="auto"/>
        </w:rPr>
        <w:t>、二期</w:t>
      </w:r>
      <w:r>
        <w:rPr>
          <w:rFonts w:ascii="Calibri" w:hAnsi="Calibri" w:hint="eastAsia"/>
          <w:color w:val="auto"/>
        </w:rPr>
        <w:t>工程相同</w:t>
      </w:r>
      <w:r>
        <w:rPr>
          <w:rFonts w:ascii="Calibri" w:hAnsi="Calibri"/>
          <w:color w:val="auto"/>
        </w:rPr>
        <w:t>工序</w:t>
      </w:r>
      <w:r>
        <w:rPr>
          <w:rFonts w:ascii="Calibri" w:hAnsi="Calibri" w:hint="eastAsia"/>
          <w:color w:val="auto"/>
        </w:rPr>
        <w:t>共用</w:t>
      </w:r>
      <w:r>
        <w:rPr>
          <w:rFonts w:ascii="Calibri" w:hAnsi="Calibri"/>
          <w:color w:val="auto"/>
        </w:rPr>
        <w:t>一套</w:t>
      </w:r>
      <w:r>
        <w:rPr>
          <w:rFonts w:ascii="Calibri" w:hAnsi="Calibri" w:hint="eastAsia"/>
          <w:color w:val="auto"/>
        </w:rPr>
        <w:t>废气</w:t>
      </w:r>
      <w:r>
        <w:rPr>
          <w:rFonts w:ascii="Calibri" w:hAnsi="Calibri"/>
          <w:color w:val="auto"/>
        </w:rPr>
        <w:t>处理</w:t>
      </w:r>
      <w:r>
        <w:rPr>
          <w:rFonts w:ascii="Calibri" w:hAnsi="Calibri" w:hint="eastAsia"/>
          <w:color w:val="auto"/>
        </w:rPr>
        <w:t>设施</w:t>
      </w:r>
      <w:r>
        <w:rPr>
          <w:rFonts w:ascii="Calibri" w:hAnsi="Calibri"/>
          <w:color w:val="auto"/>
        </w:rPr>
        <w:t>。</w:t>
      </w:r>
      <w:r>
        <w:rPr>
          <w:rFonts w:ascii="Calibri" w:hAnsi="Calibri" w:hint="eastAsia"/>
          <w:color w:val="auto"/>
        </w:rPr>
        <w:t>聚合</w:t>
      </w:r>
      <w:r w:rsidR="00A06A90">
        <w:rPr>
          <w:rFonts w:ascii="Calibri" w:hAnsi="Calibri" w:hint="eastAsia"/>
          <w:szCs w:val="21"/>
        </w:rPr>
        <w:t>及</w:t>
      </w:r>
      <w:r w:rsidR="00A06A90" w:rsidRPr="00A06A90">
        <w:rPr>
          <w:rFonts w:ascii="Calibri" w:hAnsi="Calibri" w:hint="eastAsia"/>
          <w:color w:val="auto"/>
        </w:rPr>
        <w:t>聚合釜下料</w:t>
      </w:r>
      <w:r>
        <w:rPr>
          <w:rFonts w:ascii="Calibri" w:hAnsi="Calibri"/>
          <w:color w:val="auto"/>
        </w:rPr>
        <w:t>废气采用水喷淋</w:t>
      </w:r>
      <w:r>
        <w:rPr>
          <w:rFonts w:ascii="Calibri" w:hAnsi="Calibri" w:hint="eastAsia"/>
          <w:color w:val="auto"/>
        </w:rPr>
        <w:t>+</w:t>
      </w:r>
      <w:r>
        <w:rPr>
          <w:rFonts w:ascii="Calibri" w:hAnsi="Calibri" w:hint="eastAsia"/>
          <w:color w:val="auto"/>
        </w:rPr>
        <w:t>活性炭</w:t>
      </w:r>
      <w:r>
        <w:rPr>
          <w:rFonts w:ascii="Calibri" w:hAnsi="Calibri"/>
          <w:color w:val="auto"/>
        </w:rPr>
        <w:t>处理工艺；</w:t>
      </w:r>
      <w:r>
        <w:rPr>
          <w:rFonts w:ascii="Calibri" w:hAnsi="Calibri" w:hint="eastAsia"/>
          <w:color w:val="auto"/>
        </w:rPr>
        <w:t>污水</w:t>
      </w:r>
      <w:r>
        <w:rPr>
          <w:rFonts w:ascii="Calibri" w:hAnsi="Calibri"/>
          <w:color w:val="auto"/>
        </w:rPr>
        <w:t>处理站采用</w:t>
      </w:r>
      <w:r>
        <w:rPr>
          <w:rFonts w:ascii="Calibri" w:hAnsi="Calibri" w:hint="eastAsia"/>
          <w:color w:val="auto"/>
        </w:rPr>
        <w:t>光氧催化</w:t>
      </w:r>
      <w:r>
        <w:rPr>
          <w:rFonts w:ascii="Calibri" w:hAnsi="Calibri" w:hint="eastAsia"/>
          <w:color w:val="auto"/>
        </w:rPr>
        <w:t>+</w:t>
      </w:r>
      <w:r>
        <w:rPr>
          <w:rFonts w:ascii="Calibri" w:hAnsi="Calibri" w:hint="eastAsia"/>
          <w:color w:val="auto"/>
        </w:rPr>
        <w:t>活性炭</w:t>
      </w:r>
      <w:r>
        <w:rPr>
          <w:rFonts w:ascii="Calibri" w:hAnsi="Calibri"/>
          <w:color w:val="auto"/>
        </w:rPr>
        <w:t>吸附装置进行处理；导热油炉以天然气为</w:t>
      </w:r>
      <w:r w:rsidR="0039663C">
        <w:rPr>
          <w:rFonts w:ascii="Calibri" w:hAnsi="Calibri" w:hint="eastAsia"/>
          <w:color w:val="auto"/>
        </w:rPr>
        <w:t>燃料</w:t>
      </w:r>
      <w:r>
        <w:rPr>
          <w:rFonts w:ascii="Calibri" w:hAnsi="Calibri"/>
          <w:color w:val="auto"/>
        </w:rPr>
        <w:t>，采用低氮燃烧器降低污染物的产生与排放量。</w:t>
      </w:r>
    </w:p>
    <w:p w14:paraId="33ABC25C" w14:textId="77777777" w:rsidR="002C02AD" w:rsidRDefault="002C02AD" w:rsidP="008E59FE">
      <w:pPr>
        <w:pStyle w:val="00"/>
        <w:ind w:firstLineChars="200"/>
        <w:rPr>
          <w:rFonts w:ascii="Calibri" w:hAnsi="Calibri"/>
          <w:color w:val="auto"/>
        </w:rPr>
      </w:pPr>
      <w:r w:rsidRPr="00A964FF">
        <w:rPr>
          <w:rFonts w:ascii="Calibri" w:hAnsi="Calibri" w:hint="eastAsia"/>
          <w:color w:val="auto"/>
        </w:rPr>
        <w:t>正常工况下，</w:t>
      </w:r>
      <w:r>
        <w:rPr>
          <w:rFonts w:ascii="Calibri" w:hAnsi="Calibri" w:hint="eastAsia"/>
          <w:color w:val="auto"/>
        </w:rPr>
        <w:t>本项目</w:t>
      </w:r>
      <w:r w:rsidRPr="00A964FF">
        <w:rPr>
          <w:rFonts w:ascii="Calibri" w:hAnsi="Calibri" w:hint="eastAsia"/>
          <w:color w:val="auto"/>
        </w:rPr>
        <w:t>各废气处理设施正常运行，可以达到设计处理效率，实现污染物达标排放；在非正常工况下，废气末端治理设施故障，达不到设计处理效率。根据本项目废气排放特点，本次非正常工况仅考虑污染物产生速率大的工艺废气，</w:t>
      </w:r>
      <w:r>
        <w:rPr>
          <w:rFonts w:ascii="Calibri" w:hAnsi="Calibri" w:hint="eastAsia"/>
          <w:color w:val="auto"/>
        </w:rPr>
        <w:t>包装</w:t>
      </w:r>
      <w:r w:rsidRPr="00A964FF">
        <w:rPr>
          <w:rFonts w:ascii="Calibri" w:hAnsi="Calibri" w:hint="eastAsia"/>
          <w:color w:val="auto"/>
        </w:rPr>
        <w:t>工序粉尘和公用工程废气不再考虑</w:t>
      </w:r>
      <w:r>
        <w:rPr>
          <w:rFonts w:ascii="Calibri" w:hAnsi="Calibri" w:hint="eastAsia"/>
          <w:color w:val="auto"/>
        </w:rPr>
        <w:t>。</w:t>
      </w:r>
      <w:r w:rsidR="00A06A90" w:rsidRPr="00A06A90">
        <w:rPr>
          <w:rFonts w:ascii="Calibri" w:hAnsi="Calibri" w:hint="eastAsia"/>
          <w:color w:val="auto"/>
        </w:rPr>
        <w:t>聚合及聚合釜下料废气</w:t>
      </w:r>
      <w:r w:rsidR="008E59FE">
        <w:rPr>
          <w:rFonts w:ascii="Calibri" w:hAnsi="Calibri"/>
          <w:color w:val="auto"/>
        </w:rPr>
        <w:t>采用水喷淋</w:t>
      </w:r>
      <w:r w:rsidR="008E59FE">
        <w:rPr>
          <w:rFonts w:ascii="Calibri" w:hAnsi="Calibri" w:hint="eastAsia"/>
          <w:color w:val="auto"/>
        </w:rPr>
        <w:t>+</w:t>
      </w:r>
      <w:r w:rsidR="008E59FE">
        <w:rPr>
          <w:rFonts w:ascii="Calibri" w:hAnsi="Calibri" w:hint="eastAsia"/>
          <w:color w:val="auto"/>
        </w:rPr>
        <w:t>活性炭</w:t>
      </w:r>
      <w:r w:rsidR="008E59FE">
        <w:rPr>
          <w:rFonts w:ascii="Calibri" w:hAnsi="Calibri"/>
          <w:color w:val="auto"/>
        </w:rPr>
        <w:t>处理工艺</w:t>
      </w:r>
      <w:r w:rsidR="008E59FE">
        <w:rPr>
          <w:rFonts w:ascii="Calibri" w:hAnsi="Calibri" w:hint="eastAsia"/>
          <w:color w:val="auto"/>
        </w:rPr>
        <w:t>，</w:t>
      </w:r>
      <w:r>
        <w:rPr>
          <w:rFonts w:ascii="Calibri" w:hAnsi="Calibri"/>
          <w:color w:val="auto"/>
        </w:rPr>
        <w:t>本次评价环保设施非正常</w:t>
      </w:r>
      <w:r>
        <w:rPr>
          <w:rFonts w:ascii="Calibri" w:hAnsi="Calibri" w:hint="eastAsia"/>
          <w:color w:val="auto"/>
        </w:rPr>
        <w:t>工况</w:t>
      </w:r>
      <w:r>
        <w:rPr>
          <w:rFonts w:ascii="Calibri" w:hAnsi="Calibri"/>
          <w:color w:val="auto"/>
        </w:rPr>
        <w:t>下</w:t>
      </w:r>
      <w:r>
        <w:rPr>
          <w:rFonts w:ascii="Calibri" w:hAnsi="Calibri" w:hint="eastAsia"/>
          <w:color w:val="auto"/>
        </w:rPr>
        <w:t>仅考虑</w:t>
      </w:r>
      <w:r>
        <w:rPr>
          <w:rFonts w:ascii="Calibri" w:hAnsi="Calibri"/>
          <w:color w:val="auto"/>
        </w:rPr>
        <w:t>单台设备运行，</w:t>
      </w:r>
      <w:r w:rsidR="008E59FE">
        <w:rPr>
          <w:rFonts w:ascii="Calibri" w:hAnsi="Calibri" w:hint="eastAsia"/>
          <w:color w:val="auto"/>
        </w:rPr>
        <w:t>水喷淋</w:t>
      </w:r>
      <w:r>
        <w:rPr>
          <w:rFonts w:ascii="Calibri" w:hAnsi="Calibri"/>
          <w:color w:val="auto"/>
        </w:rPr>
        <w:t>装置对有机物的去除率</w:t>
      </w:r>
      <w:r>
        <w:rPr>
          <w:rFonts w:ascii="Calibri" w:hAnsi="Calibri" w:hint="eastAsia"/>
          <w:color w:val="auto"/>
        </w:rPr>
        <w:t>降低至</w:t>
      </w:r>
      <w:r w:rsidR="008E59FE">
        <w:rPr>
          <w:rFonts w:ascii="Calibri" w:hAnsi="Calibri"/>
          <w:color w:val="auto"/>
        </w:rPr>
        <w:t>60</w:t>
      </w:r>
      <w:r>
        <w:rPr>
          <w:rFonts w:ascii="Calibri" w:hAnsi="Calibri" w:hint="eastAsia"/>
          <w:color w:val="auto"/>
        </w:rPr>
        <w:t>%</w:t>
      </w:r>
      <w:r>
        <w:rPr>
          <w:rFonts w:ascii="Calibri" w:hAnsi="Calibri" w:hint="eastAsia"/>
          <w:color w:val="auto"/>
        </w:rPr>
        <w:t>（单级</w:t>
      </w:r>
      <w:r>
        <w:rPr>
          <w:rFonts w:ascii="Calibri" w:hAnsi="Calibri"/>
          <w:color w:val="auto"/>
        </w:rPr>
        <w:t>运行</w:t>
      </w:r>
      <w:r>
        <w:rPr>
          <w:rFonts w:ascii="Calibri" w:hAnsi="Calibri" w:hint="eastAsia"/>
          <w:color w:val="auto"/>
        </w:rPr>
        <w:t>），</w:t>
      </w:r>
      <w:r>
        <w:rPr>
          <w:rFonts w:ascii="Calibri" w:hAnsi="Calibri"/>
          <w:color w:val="auto"/>
        </w:rPr>
        <w:t>活性炭吸附</w:t>
      </w:r>
      <w:r>
        <w:rPr>
          <w:rFonts w:ascii="Calibri" w:hAnsi="Calibri" w:hint="eastAsia"/>
          <w:color w:val="auto"/>
        </w:rPr>
        <w:t>装置对</w:t>
      </w:r>
      <w:r>
        <w:rPr>
          <w:rFonts w:ascii="Calibri" w:hAnsi="Calibri"/>
          <w:color w:val="auto"/>
        </w:rPr>
        <w:t>有机物的去除率降低至</w:t>
      </w:r>
      <w:r w:rsidR="008E59FE">
        <w:rPr>
          <w:rFonts w:ascii="Calibri" w:hAnsi="Calibri"/>
          <w:color w:val="auto"/>
        </w:rPr>
        <w:t>75</w:t>
      </w:r>
      <w:r>
        <w:rPr>
          <w:rFonts w:ascii="Calibri" w:hAnsi="Calibri" w:hint="eastAsia"/>
          <w:color w:val="auto"/>
        </w:rPr>
        <w:t>%</w:t>
      </w:r>
      <w:r>
        <w:rPr>
          <w:rFonts w:ascii="Calibri" w:hAnsi="Calibri" w:hint="eastAsia"/>
          <w:color w:val="auto"/>
        </w:rPr>
        <w:t>。</w:t>
      </w:r>
      <w:r>
        <w:rPr>
          <w:rFonts w:ascii="Calibri" w:hAnsi="Calibri"/>
          <w:color w:val="auto"/>
        </w:rPr>
        <w:t>故障</w:t>
      </w:r>
      <w:r>
        <w:rPr>
          <w:rFonts w:ascii="Calibri" w:hAnsi="Calibri" w:hint="eastAsia"/>
          <w:color w:val="auto"/>
        </w:rPr>
        <w:t>发生</w:t>
      </w:r>
      <w:r>
        <w:rPr>
          <w:rFonts w:ascii="Calibri" w:hAnsi="Calibri"/>
          <w:color w:val="auto"/>
        </w:rPr>
        <w:t>时间为</w:t>
      </w:r>
      <w:r>
        <w:rPr>
          <w:rFonts w:ascii="Calibri" w:hAnsi="Calibri" w:hint="eastAsia"/>
          <w:color w:val="auto"/>
        </w:rPr>
        <w:t>2</w:t>
      </w:r>
      <w:r>
        <w:rPr>
          <w:rFonts w:ascii="Calibri" w:hAnsi="Calibri"/>
          <w:color w:val="auto"/>
        </w:rPr>
        <w:t>h</w:t>
      </w:r>
      <w:r>
        <w:rPr>
          <w:rFonts w:ascii="Calibri" w:hAnsi="Calibri"/>
          <w:color w:val="auto"/>
        </w:rPr>
        <w:t>。</w:t>
      </w:r>
    </w:p>
    <w:p w14:paraId="5F4C1FCF" w14:textId="5CC6F9DE" w:rsidR="008E59FE" w:rsidRDefault="008E59FE" w:rsidP="008E59FE">
      <w:pPr>
        <w:pStyle w:val="00"/>
        <w:ind w:firstLineChars="200"/>
        <w:rPr>
          <w:rFonts w:ascii="Calibri" w:hAnsi="Calibri"/>
          <w:color w:val="auto"/>
        </w:rPr>
      </w:pPr>
      <w:r w:rsidRPr="00A964FF">
        <w:rPr>
          <w:rFonts w:ascii="Calibri" w:hAnsi="Calibri" w:hint="eastAsia"/>
          <w:color w:val="auto"/>
        </w:rPr>
        <w:t>本项目环保设施非正常工况下废气排放情况见表</w:t>
      </w:r>
      <w:r w:rsidRPr="00A964FF">
        <w:rPr>
          <w:rFonts w:ascii="Calibri" w:hAnsi="Calibri" w:hint="eastAsia"/>
          <w:color w:val="auto"/>
        </w:rPr>
        <w:t>2.4-1</w:t>
      </w:r>
      <w:r w:rsidRPr="00A964FF">
        <w:rPr>
          <w:rFonts w:ascii="Calibri" w:hAnsi="Calibri" w:hint="eastAsia"/>
          <w:color w:val="auto"/>
        </w:rPr>
        <w:t>。</w:t>
      </w:r>
    </w:p>
    <w:p w14:paraId="586C94AF" w14:textId="2BAE6B56" w:rsidR="006E3216" w:rsidRPr="006E3216" w:rsidRDefault="006E3216" w:rsidP="006E3216">
      <w:pPr>
        <w:pStyle w:val="00"/>
        <w:ind w:firstLineChars="550" w:firstLine="1320"/>
        <w:rPr>
          <w:rFonts w:asciiTheme="minorHAnsi" w:eastAsia="黑体" w:hAnsiTheme="minorHAnsi"/>
          <w:color w:val="auto"/>
        </w:rPr>
      </w:pPr>
      <w:r w:rsidRPr="006E3216">
        <w:rPr>
          <w:rFonts w:asciiTheme="minorHAnsi" w:eastAsia="黑体" w:hAnsiTheme="minorHAnsi"/>
          <w:color w:val="auto"/>
        </w:rPr>
        <w:t>表</w:t>
      </w:r>
      <w:r w:rsidRPr="006E3216">
        <w:rPr>
          <w:rFonts w:asciiTheme="minorHAnsi" w:eastAsia="黑体" w:hAnsiTheme="minorHAnsi"/>
          <w:color w:val="auto"/>
        </w:rPr>
        <w:t xml:space="preserve">2.4-1    </w:t>
      </w:r>
      <w:r>
        <w:rPr>
          <w:rFonts w:asciiTheme="minorHAnsi" w:eastAsia="黑体" w:hAnsiTheme="minorHAnsi"/>
          <w:color w:val="auto"/>
        </w:rPr>
        <w:t xml:space="preserve">   </w:t>
      </w:r>
      <w:r w:rsidRPr="006E3216">
        <w:rPr>
          <w:rFonts w:asciiTheme="minorHAnsi" w:eastAsia="黑体" w:hAnsiTheme="minorHAnsi"/>
          <w:color w:val="auto"/>
        </w:rPr>
        <w:t>非正常工况下废气排放情况</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690"/>
        <w:gridCol w:w="2271"/>
        <w:gridCol w:w="1843"/>
        <w:gridCol w:w="1382"/>
        <w:gridCol w:w="990"/>
        <w:gridCol w:w="1524"/>
      </w:tblGrid>
      <w:tr w:rsidR="008E59FE" w:rsidRPr="00A964FF" w14:paraId="65C2048F" w14:textId="77777777" w:rsidTr="008E59FE">
        <w:trPr>
          <w:trHeight w:val="342"/>
        </w:trPr>
        <w:tc>
          <w:tcPr>
            <w:tcW w:w="397" w:type="pct"/>
            <w:tcBorders>
              <w:top w:val="single" w:sz="12" w:space="0" w:color="auto"/>
            </w:tcBorders>
            <w:vAlign w:val="center"/>
          </w:tcPr>
          <w:p w14:paraId="066D209E"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序号</w:t>
            </w:r>
          </w:p>
        </w:tc>
        <w:tc>
          <w:tcPr>
            <w:tcW w:w="1305" w:type="pct"/>
            <w:tcBorders>
              <w:top w:val="single" w:sz="12" w:space="0" w:color="auto"/>
            </w:tcBorders>
            <w:vAlign w:val="center"/>
          </w:tcPr>
          <w:p w14:paraId="23890DC4"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事故状态</w:t>
            </w:r>
          </w:p>
        </w:tc>
        <w:tc>
          <w:tcPr>
            <w:tcW w:w="1059" w:type="pct"/>
            <w:tcBorders>
              <w:top w:val="single" w:sz="12" w:space="0" w:color="auto"/>
            </w:tcBorders>
            <w:vAlign w:val="center"/>
          </w:tcPr>
          <w:p w14:paraId="5BE1CCCD"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排气筒参数</w:t>
            </w:r>
          </w:p>
        </w:tc>
        <w:tc>
          <w:tcPr>
            <w:tcW w:w="794" w:type="pct"/>
            <w:tcBorders>
              <w:top w:val="single" w:sz="12" w:space="0" w:color="auto"/>
              <w:bottom w:val="single" w:sz="4" w:space="0" w:color="auto"/>
            </w:tcBorders>
            <w:vAlign w:val="center"/>
          </w:tcPr>
          <w:p w14:paraId="007AC1F2"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污染物</w:t>
            </w:r>
          </w:p>
        </w:tc>
        <w:tc>
          <w:tcPr>
            <w:tcW w:w="569" w:type="pct"/>
            <w:tcBorders>
              <w:top w:val="single" w:sz="12" w:space="0" w:color="auto"/>
              <w:bottom w:val="single" w:sz="4" w:space="0" w:color="auto"/>
            </w:tcBorders>
            <w:vAlign w:val="center"/>
          </w:tcPr>
          <w:p w14:paraId="006F22DB"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去除率</w:t>
            </w:r>
          </w:p>
          <w:p w14:paraId="4298D90B"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w:t>
            </w:r>
            <w:r w:rsidRPr="00A964FF">
              <w:rPr>
                <w:rFonts w:ascii="Calibri" w:hAnsi="Calibri"/>
                <w:color w:val="auto"/>
                <w:szCs w:val="21"/>
              </w:rPr>
              <w:t>%</w:t>
            </w:r>
            <w:r w:rsidRPr="00A964FF">
              <w:rPr>
                <w:rFonts w:ascii="Calibri" w:hAnsi="Calibri"/>
                <w:color w:val="auto"/>
                <w:szCs w:val="21"/>
              </w:rPr>
              <w:t>）</w:t>
            </w:r>
          </w:p>
        </w:tc>
        <w:tc>
          <w:tcPr>
            <w:tcW w:w="876" w:type="pct"/>
            <w:tcBorders>
              <w:top w:val="single" w:sz="12" w:space="0" w:color="auto"/>
            </w:tcBorders>
            <w:vAlign w:val="center"/>
          </w:tcPr>
          <w:p w14:paraId="7CCB43C9"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排放量</w:t>
            </w:r>
          </w:p>
          <w:p w14:paraId="1CF45DDF" w14:textId="77777777" w:rsidR="008E59FE" w:rsidRPr="00A964FF" w:rsidRDefault="008E59FE" w:rsidP="008E59FE">
            <w:pPr>
              <w:jc w:val="center"/>
              <w:rPr>
                <w:rFonts w:ascii="Calibri" w:hAnsi="Calibri"/>
                <w:color w:val="auto"/>
                <w:szCs w:val="21"/>
              </w:rPr>
            </w:pPr>
            <w:r w:rsidRPr="00A964FF">
              <w:rPr>
                <w:rFonts w:ascii="Calibri" w:hAnsi="Calibri"/>
                <w:color w:val="auto"/>
                <w:szCs w:val="21"/>
              </w:rPr>
              <w:t>（</w:t>
            </w:r>
            <w:r w:rsidRPr="00A964FF">
              <w:rPr>
                <w:rFonts w:ascii="Calibri" w:hAnsi="Calibri"/>
                <w:color w:val="auto"/>
                <w:szCs w:val="21"/>
              </w:rPr>
              <w:t>kg/h</w:t>
            </w:r>
            <w:r w:rsidRPr="00A964FF">
              <w:rPr>
                <w:rFonts w:ascii="Calibri" w:hAnsi="Calibri"/>
                <w:color w:val="auto"/>
                <w:szCs w:val="21"/>
              </w:rPr>
              <w:t>）</w:t>
            </w:r>
          </w:p>
        </w:tc>
      </w:tr>
      <w:tr w:rsidR="006E3216" w:rsidRPr="00A964FF" w14:paraId="7ED03DB6" w14:textId="77777777" w:rsidTr="006E3216">
        <w:trPr>
          <w:trHeight w:val="487"/>
        </w:trPr>
        <w:tc>
          <w:tcPr>
            <w:tcW w:w="397" w:type="pct"/>
            <w:vMerge w:val="restart"/>
            <w:vAlign w:val="center"/>
          </w:tcPr>
          <w:p w14:paraId="5F35C5E7" w14:textId="77777777" w:rsidR="006E3216" w:rsidRPr="00A964FF" w:rsidRDefault="006E3216" w:rsidP="008E59FE">
            <w:pPr>
              <w:jc w:val="center"/>
              <w:rPr>
                <w:rFonts w:ascii="Calibri" w:hAnsi="Calibri"/>
                <w:color w:val="auto"/>
                <w:szCs w:val="21"/>
              </w:rPr>
            </w:pPr>
            <w:r w:rsidRPr="00A964FF">
              <w:rPr>
                <w:rFonts w:ascii="Calibri" w:hAnsi="Calibri"/>
                <w:color w:val="auto"/>
                <w:szCs w:val="21"/>
              </w:rPr>
              <w:t>1</w:t>
            </w:r>
          </w:p>
        </w:tc>
        <w:tc>
          <w:tcPr>
            <w:tcW w:w="1305" w:type="pct"/>
            <w:vMerge w:val="restart"/>
            <w:vAlign w:val="center"/>
          </w:tcPr>
          <w:p w14:paraId="2CF61499" w14:textId="77777777" w:rsidR="006E3216" w:rsidRPr="00A964FF" w:rsidRDefault="006E3216" w:rsidP="006859C0">
            <w:pPr>
              <w:jc w:val="center"/>
              <w:rPr>
                <w:rFonts w:ascii="Calibri" w:hAnsi="Calibri"/>
                <w:color w:val="auto"/>
                <w:szCs w:val="21"/>
              </w:rPr>
            </w:pPr>
            <w:r>
              <w:rPr>
                <w:rFonts w:ascii="Calibri" w:hAnsi="Calibri" w:hint="eastAsia"/>
                <w:color w:val="auto"/>
                <w:szCs w:val="21"/>
              </w:rPr>
              <w:t>一期、</w:t>
            </w:r>
            <w:r>
              <w:rPr>
                <w:rFonts w:ascii="Calibri" w:hAnsi="Calibri"/>
                <w:color w:val="auto"/>
                <w:szCs w:val="21"/>
              </w:rPr>
              <w:t>二期工程</w:t>
            </w:r>
            <w:r>
              <w:rPr>
                <w:rFonts w:ascii="Calibri" w:hAnsi="Calibri" w:hint="eastAsia"/>
                <w:color w:val="auto"/>
                <w:szCs w:val="21"/>
              </w:rPr>
              <w:t>废气</w:t>
            </w:r>
            <w:r>
              <w:rPr>
                <w:rFonts w:ascii="Calibri" w:hAnsi="Calibri"/>
                <w:color w:val="auto"/>
                <w:szCs w:val="21"/>
              </w:rPr>
              <w:t>处理设施故障</w:t>
            </w:r>
            <w:r>
              <w:rPr>
                <w:rFonts w:ascii="Calibri" w:hAnsi="Calibri" w:hint="eastAsia"/>
                <w:color w:val="auto"/>
                <w:szCs w:val="21"/>
              </w:rPr>
              <w:t>（水喷淋</w:t>
            </w:r>
            <w:r>
              <w:rPr>
                <w:rFonts w:ascii="Calibri" w:hAnsi="Calibri"/>
                <w:color w:val="auto"/>
                <w:szCs w:val="21"/>
              </w:rPr>
              <w:t>、</w:t>
            </w:r>
            <w:r>
              <w:rPr>
                <w:rFonts w:ascii="Calibri" w:hAnsi="Calibri" w:hint="eastAsia"/>
                <w:color w:val="auto"/>
                <w:szCs w:val="21"/>
              </w:rPr>
              <w:t>活性炭</w:t>
            </w:r>
            <w:r>
              <w:rPr>
                <w:rFonts w:ascii="Calibri" w:hAnsi="Calibri"/>
                <w:color w:val="auto"/>
                <w:szCs w:val="21"/>
              </w:rPr>
              <w:t>吸附装置单级运行</w:t>
            </w:r>
            <w:r>
              <w:rPr>
                <w:rFonts w:ascii="Calibri" w:hAnsi="Calibri" w:hint="eastAsia"/>
                <w:color w:val="auto"/>
                <w:szCs w:val="21"/>
              </w:rPr>
              <w:t>）</w:t>
            </w:r>
          </w:p>
        </w:tc>
        <w:tc>
          <w:tcPr>
            <w:tcW w:w="1059" w:type="pct"/>
            <w:vMerge w:val="restart"/>
            <w:vAlign w:val="center"/>
          </w:tcPr>
          <w:p w14:paraId="7780F7B6" w14:textId="77777777" w:rsidR="006E3216" w:rsidRPr="00A964FF" w:rsidRDefault="006E3216" w:rsidP="0028198D">
            <w:pPr>
              <w:tabs>
                <w:tab w:val="left" w:pos="567"/>
              </w:tabs>
              <w:snapToGrid w:val="0"/>
              <w:jc w:val="center"/>
              <w:rPr>
                <w:rFonts w:ascii="Calibri" w:hAnsi="Calibri"/>
                <w:color w:val="auto"/>
                <w:szCs w:val="21"/>
              </w:rPr>
            </w:pPr>
            <w:r w:rsidRPr="00A964FF">
              <w:rPr>
                <w:rFonts w:ascii="Calibri" w:hAnsi="Calibri"/>
                <w:color w:val="auto"/>
                <w:szCs w:val="21"/>
              </w:rPr>
              <w:t>风量</w:t>
            </w:r>
            <w:r>
              <w:rPr>
                <w:rFonts w:ascii="Calibri" w:hAnsi="Calibri"/>
                <w:color w:val="auto"/>
                <w:szCs w:val="21"/>
              </w:rPr>
              <w:t>5000</w:t>
            </w:r>
            <w:r w:rsidRPr="00A964FF">
              <w:rPr>
                <w:rFonts w:ascii="Calibri" w:hAnsi="Calibri"/>
                <w:color w:val="auto"/>
                <w:szCs w:val="21"/>
              </w:rPr>
              <w:t>m</w:t>
            </w:r>
            <w:r w:rsidRPr="00A964FF">
              <w:rPr>
                <w:rFonts w:ascii="Calibri" w:hAnsi="Calibri"/>
                <w:color w:val="auto"/>
                <w:szCs w:val="21"/>
                <w:vertAlign w:val="superscript"/>
              </w:rPr>
              <w:t>3</w:t>
            </w:r>
            <w:r w:rsidRPr="00A964FF">
              <w:rPr>
                <w:rFonts w:ascii="Calibri" w:hAnsi="Calibri"/>
                <w:color w:val="auto"/>
                <w:szCs w:val="21"/>
              </w:rPr>
              <w:t>/h</w:t>
            </w:r>
            <w:r w:rsidRPr="00A964FF">
              <w:rPr>
                <w:rFonts w:ascii="Calibri" w:hAnsi="Calibri"/>
                <w:color w:val="auto"/>
                <w:szCs w:val="21"/>
              </w:rPr>
              <w:t>，高度</w:t>
            </w:r>
            <w:r>
              <w:rPr>
                <w:rFonts w:ascii="Calibri" w:hAnsi="Calibri"/>
                <w:color w:val="auto"/>
                <w:szCs w:val="21"/>
              </w:rPr>
              <w:t>25</w:t>
            </w:r>
            <w:r w:rsidRPr="00A964FF">
              <w:rPr>
                <w:rFonts w:ascii="Calibri" w:hAnsi="Calibri"/>
                <w:color w:val="auto"/>
                <w:szCs w:val="21"/>
              </w:rPr>
              <w:t>m</w:t>
            </w:r>
            <w:r w:rsidRPr="00A964FF">
              <w:rPr>
                <w:rFonts w:ascii="Calibri" w:hAnsi="Calibri"/>
                <w:color w:val="auto"/>
                <w:szCs w:val="21"/>
              </w:rPr>
              <w:t>，内径</w:t>
            </w:r>
            <w:r>
              <w:rPr>
                <w:rFonts w:ascii="Calibri" w:hAnsi="Calibri"/>
                <w:color w:val="auto"/>
                <w:szCs w:val="21"/>
              </w:rPr>
              <w:t>0.3</w:t>
            </w:r>
            <w:r w:rsidRPr="00A964FF">
              <w:rPr>
                <w:rFonts w:ascii="Calibri" w:hAnsi="Calibri"/>
                <w:color w:val="auto"/>
                <w:szCs w:val="21"/>
              </w:rPr>
              <w:t>m</w:t>
            </w:r>
            <w:r w:rsidRPr="00A964FF">
              <w:rPr>
                <w:rFonts w:ascii="Calibri" w:hAnsi="Calibri"/>
                <w:color w:val="auto"/>
                <w:szCs w:val="21"/>
              </w:rPr>
              <w:t>，温度</w:t>
            </w:r>
            <w:r>
              <w:rPr>
                <w:rFonts w:ascii="Calibri" w:hAnsi="Calibri"/>
                <w:color w:val="auto"/>
                <w:szCs w:val="21"/>
              </w:rPr>
              <w:t>20</w:t>
            </w:r>
            <w:r w:rsidRPr="00A964FF">
              <w:rPr>
                <w:rFonts w:ascii="宋体" w:hAnsi="宋体" w:cs="宋体" w:hint="eastAsia"/>
                <w:color w:val="auto"/>
                <w:szCs w:val="21"/>
              </w:rPr>
              <w:t>℃</w:t>
            </w:r>
          </w:p>
        </w:tc>
        <w:tc>
          <w:tcPr>
            <w:tcW w:w="794" w:type="pct"/>
            <w:vAlign w:val="center"/>
          </w:tcPr>
          <w:p w14:paraId="29AC01EC" w14:textId="53FC660B" w:rsidR="006E3216" w:rsidRPr="00A964FF" w:rsidRDefault="006E3216" w:rsidP="008E59FE">
            <w:pPr>
              <w:jc w:val="center"/>
              <w:rPr>
                <w:rFonts w:ascii="Calibri" w:hAnsi="Calibri"/>
                <w:color w:val="auto"/>
                <w:szCs w:val="21"/>
              </w:rPr>
            </w:pPr>
            <w:r>
              <w:rPr>
                <w:rFonts w:ascii="Calibri" w:hAnsi="Calibri" w:hint="eastAsia"/>
                <w:szCs w:val="21"/>
              </w:rPr>
              <w:t>非甲烷总烃</w:t>
            </w:r>
          </w:p>
        </w:tc>
        <w:tc>
          <w:tcPr>
            <w:tcW w:w="569" w:type="pct"/>
            <w:vAlign w:val="center"/>
          </w:tcPr>
          <w:p w14:paraId="46D27780" w14:textId="5D4FF8D4" w:rsidR="006E3216" w:rsidRPr="00A964FF" w:rsidRDefault="006E3216" w:rsidP="008E59FE">
            <w:pPr>
              <w:jc w:val="center"/>
              <w:rPr>
                <w:rFonts w:ascii="Calibri" w:hAnsi="Calibri"/>
                <w:color w:val="auto"/>
                <w:szCs w:val="21"/>
              </w:rPr>
            </w:pPr>
            <w:r>
              <w:rPr>
                <w:rFonts w:ascii="Calibri" w:hAnsi="Calibri"/>
                <w:color w:val="auto"/>
                <w:szCs w:val="21"/>
              </w:rPr>
              <w:t>60</w:t>
            </w:r>
          </w:p>
        </w:tc>
        <w:tc>
          <w:tcPr>
            <w:tcW w:w="876" w:type="pct"/>
            <w:vAlign w:val="center"/>
          </w:tcPr>
          <w:p w14:paraId="133F4F41" w14:textId="5F15B335" w:rsidR="006E3216" w:rsidRPr="00A964FF" w:rsidRDefault="006E3216" w:rsidP="008E59FE">
            <w:pPr>
              <w:jc w:val="center"/>
              <w:rPr>
                <w:rFonts w:ascii="Calibri" w:hAnsi="Calibri"/>
                <w:color w:val="auto"/>
              </w:rPr>
            </w:pPr>
            <w:r>
              <w:rPr>
                <w:rFonts w:ascii="Calibri" w:hAnsi="Calibri"/>
                <w:color w:val="auto"/>
              </w:rPr>
              <w:t>0.29</w:t>
            </w:r>
          </w:p>
        </w:tc>
      </w:tr>
      <w:tr w:rsidR="008E59FE" w:rsidRPr="00A964FF" w14:paraId="6D528545" w14:textId="77777777" w:rsidTr="006E3216">
        <w:trPr>
          <w:trHeight w:val="423"/>
        </w:trPr>
        <w:tc>
          <w:tcPr>
            <w:tcW w:w="397" w:type="pct"/>
            <w:vMerge/>
            <w:tcBorders>
              <w:bottom w:val="single" w:sz="12" w:space="0" w:color="auto"/>
            </w:tcBorders>
            <w:vAlign w:val="center"/>
          </w:tcPr>
          <w:p w14:paraId="2E7EDDBF" w14:textId="77777777" w:rsidR="008E59FE" w:rsidRPr="00A964FF" w:rsidRDefault="008E59FE" w:rsidP="008E59FE">
            <w:pPr>
              <w:jc w:val="center"/>
              <w:rPr>
                <w:rFonts w:ascii="Calibri" w:hAnsi="Calibri"/>
                <w:color w:val="auto"/>
                <w:szCs w:val="21"/>
              </w:rPr>
            </w:pPr>
          </w:p>
        </w:tc>
        <w:tc>
          <w:tcPr>
            <w:tcW w:w="1305" w:type="pct"/>
            <w:vMerge/>
            <w:tcBorders>
              <w:bottom w:val="single" w:sz="12" w:space="0" w:color="auto"/>
            </w:tcBorders>
            <w:vAlign w:val="center"/>
          </w:tcPr>
          <w:p w14:paraId="540DC692" w14:textId="77777777" w:rsidR="008E59FE" w:rsidRPr="00A964FF" w:rsidRDefault="008E59FE" w:rsidP="008E59FE">
            <w:pPr>
              <w:jc w:val="center"/>
              <w:rPr>
                <w:rFonts w:ascii="Calibri" w:hAnsi="Calibri"/>
                <w:color w:val="auto"/>
                <w:szCs w:val="21"/>
              </w:rPr>
            </w:pPr>
          </w:p>
        </w:tc>
        <w:tc>
          <w:tcPr>
            <w:tcW w:w="1059" w:type="pct"/>
            <w:vMerge/>
            <w:tcBorders>
              <w:bottom w:val="single" w:sz="12" w:space="0" w:color="auto"/>
            </w:tcBorders>
            <w:vAlign w:val="center"/>
          </w:tcPr>
          <w:p w14:paraId="2F87B53E" w14:textId="77777777" w:rsidR="008E59FE" w:rsidRPr="00A964FF" w:rsidRDefault="008E59FE" w:rsidP="008E59FE">
            <w:pPr>
              <w:tabs>
                <w:tab w:val="left" w:pos="567"/>
              </w:tabs>
              <w:snapToGrid w:val="0"/>
              <w:jc w:val="center"/>
              <w:rPr>
                <w:rFonts w:ascii="Calibri" w:hAnsi="Calibri"/>
                <w:color w:val="auto"/>
                <w:szCs w:val="21"/>
              </w:rPr>
            </w:pPr>
          </w:p>
        </w:tc>
        <w:tc>
          <w:tcPr>
            <w:tcW w:w="794" w:type="pct"/>
            <w:tcBorders>
              <w:bottom w:val="single" w:sz="12" w:space="0" w:color="auto"/>
            </w:tcBorders>
            <w:vAlign w:val="center"/>
          </w:tcPr>
          <w:p w14:paraId="0440DC13" w14:textId="77777777" w:rsidR="008E59FE" w:rsidRPr="00A964FF" w:rsidRDefault="008E59FE" w:rsidP="008E59FE">
            <w:pPr>
              <w:jc w:val="center"/>
              <w:rPr>
                <w:rFonts w:ascii="Calibri" w:hAnsi="Calibri"/>
                <w:color w:val="auto"/>
                <w:szCs w:val="21"/>
              </w:rPr>
            </w:pPr>
            <w:r>
              <w:rPr>
                <w:rFonts w:ascii="Calibri" w:hAnsi="Calibri" w:hint="eastAsia"/>
                <w:szCs w:val="21"/>
              </w:rPr>
              <w:t>氨</w:t>
            </w:r>
          </w:p>
        </w:tc>
        <w:tc>
          <w:tcPr>
            <w:tcW w:w="569" w:type="pct"/>
            <w:tcBorders>
              <w:top w:val="single" w:sz="4" w:space="0" w:color="auto"/>
              <w:bottom w:val="single" w:sz="12" w:space="0" w:color="auto"/>
            </w:tcBorders>
            <w:vAlign w:val="center"/>
          </w:tcPr>
          <w:p w14:paraId="4747827E" w14:textId="77777777" w:rsidR="008E59FE" w:rsidRPr="00A964FF" w:rsidRDefault="008E59FE" w:rsidP="008E59FE">
            <w:pPr>
              <w:jc w:val="center"/>
              <w:rPr>
                <w:rFonts w:ascii="Calibri" w:hAnsi="Calibri"/>
                <w:color w:val="auto"/>
                <w:szCs w:val="21"/>
              </w:rPr>
            </w:pPr>
            <w:r>
              <w:rPr>
                <w:rFonts w:ascii="Calibri" w:hAnsi="Calibri"/>
                <w:color w:val="auto"/>
                <w:szCs w:val="21"/>
              </w:rPr>
              <w:t>60</w:t>
            </w:r>
          </w:p>
        </w:tc>
        <w:tc>
          <w:tcPr>
            <w:tcW w:w="876" w:type="pct"/>
            <w:tcBorders>
              <w:bottom w:val="single" w:sz="12" w:space="0" w:color="auto"/>
            </w:tcBorders>
            <w:vAlign w:val="center"/>
          </w:tcPr>
          <w:p w14:paraId="1D660174" w14:textId="378F9DD0" w:rsidR="008E59FE" w:rsidRPr="00A964FF" w:rsidRDefault="006859C0" w:rsidP="006E3216">
            <w:pPr>
              <w:jc w:val="center"/>
              <w:rPr>
                <w:rFonts w:ascii="Calibri" w:hAnsi="Calibri"/>
                <w:color w:val="auto"/>
              </w:rPr>
            </w:pPr>
            <w:r>
              <w:rPr>
                <w:rFonts w:ascii="Calibri" w:hAnsi="Calibri"/>
                <w:color w:val="auto"/>
              </w:rPr>
              <w:t>0.00</w:t>
            </w:r>
            <w:r w:rsidR="006E3216">
              <w:rPr>
                <w:rFonts w:ascii="Calibri" w:hAnsi="Calibri"/>
                <w:color w:val="auto"/>
              </w:rPr>
              <w:t>09</w:t>
            </w:r>
          </w:p>
        </w:tc>
      </w:tr>
    </w:tbl>
    <w:p w14:paraId="11CFA8DF" w14:textId="77777777" w:rsidR="00070A5E" w:rsidRPr="00A964FF" w:rsidRDefault="00070A5E" w:rsidP="006859C0">
      <w:pPr>
        <w:pStyle w:val="00"/>
        <w:ind w:firstLineChars="200" w:firstLine="482"/>
        <w:rPr>
          <w:rFonts w:ascii="Calibri" w:hAnsi="Calibri"/>
          <w:b/>
          <w:color w:val="auto"/>
        </w:rPr>
      </w:pPr>
      <w:r w:rsidRPr="00A964FF">
        <w:rPr>
          <w:rFonts w:ascii="Calibri" w:hAnsi="Calibri" w:hint="eastAsia"/>
          <w:b/>
          <w:color w:val="auto"/>
        </w:rPr>
        <w:t>2</w:t>
      </w:r>
      <w:r w:rsidRPr="00A964FF">
        <w:rPr>
          <w:rFonts w:ascii="Calibri" w:hAnsi="Calibri" w:hint="eastAsia"/>
          <w:b/>
          <w:color w:val="auto"/>
        </w:rPr>
        <w:t>、废水非正常排放</w:t>
      </w:r>
    </w:p>
    <w:p w14:paraId="668E2FC7" w14:textId="77777777" w:rsidR="00070A5E" w:rsidRPr="00A964FF" w:rsidRDefault="00070A5E" w:rsidP="00070A5E">
      <w:pPr>
        <w:spacing w:line="520" w:lineRule="exact"/>
        <w:ind w:firstLineChars="200" w:firstLine="480"/>
        <w:rPr>
          <w:rFonts w:ascii="Calibri" w:hAnsi="Calibri"/>
          <w:color w:val="auto"/>
          <w:sz w:val="24"/>
        </w:rPr>
      </w:pPr>
      <w:r w:rsidRPr="00A964FF">
        <w:rPr>
          <w:rFonts w:ascii="Calibri" w:hAnsi="Calibri" w:hint="eastAsia"/>
          <w:color w:val="auto"/>
          <w:sz w:val="24"/>
        </w:rPr>
        <w:t>本项目配套建设事故水池，厂区废水处理站出现故障时，可将废水排入事故水池暂存，待废水处理站恢复正常时再对废水进行处理达标后排放。本次评价要求建设企业在厂区废水处理站发生故障时应尽快修复，不能及时修复时应停止生产，避免废水量超过事故水池容积而发生超标排放现象。</w:t>
      </w:r>
    </w:p>
    <w:p w14:paraId="77CBCB0B" w14:textId="77777777" w:rsidR="00070A5E" w:rsidRDefault="00070A5E" w:rsidP="00070A5E">
      <w:pPr>
        <w:spacing w:line="520" w:lineRule="exact"/>
        <w:ind w:firstLineChars="200" w:firstLine="480"/>
        <w:rPr>
          <w:rFonts w:ascii="Calibri" w:hAnsi="Calibri"/>
          <w:color w:val="auto"/>
          <w:sz w:val="24"/>
        </w:rPr>
      </w:pPr>
      <w:r w:rsidRPr="00A964FF">
        <w:rPr>
          <w:rFonts w:ascii="Calibri" w:hAnsi="Calibri" w:hint="eastAsia"/>
          <w:color w:val="auto"/>
          <w:sz w:val="24"/>
        </w:rPr>
        <w:t>综上所述，非正常工况下无废水排放。</w:t>
      </w:r>
    </w:p>
    <w:p w14:paraId="60395875" w14:textId="77777777" w:rsidR="008E0F1C" w:rsidRPr="00040BEE" w:rsidRDefault="008E0F1C" w:rsidP="00040BEE">
      <w:pPr>
        <w:pStyle w:val="2"/>
        <w:spacing w:before="200" w:after="100"/>
        <w:rPr>
          <w:rFonts w:ascii="Calibri" w:hAnsi="Calibri"/>
          <w:bCs/>
          <w:color w:val="auto"/>
          <w:szCs w:val="28"/>
        </w:rPr>
      </w:pPr>
      <w:bookmarkStart w:id="47" w:name="_Toc109691473"/>
      <w:bookmarkStart w:id="48" w:name="_Toc112999908"/>
      <w:r w:rsidRPr="00040BEE">
        <w:rPr>
          <w:rFonts w:ascii="Calibri" w:hAnsi="Calibri" w:hint="eastAsia"/>
          <w:bCs/>
          <w:color w:val="auto"/>
          <w:szCs w:val="28"/>
        </w:rPr>
        <w:lastRenderedPageBreak/>
        <w:t>2</w:t>
      </w:r>
      <w:r w:rsidRPr="00040BEE">
        <w:rPr>
          <w:rFonts w:ascii="Calibri" w:hAnsi="Calibri"/>
          <w:bCs/>
          <w:color w:val="auto"/>
          <w:szCs w:val="28"/>
        </w:rPr>
        <w:t>.5</w:t>
      </w:r>
      <w:r w:rsidRPr="00040BEE">
        <w:rPr>
          <w:rFonts w:ascii="Calibri" w:hAnsi="Calibri" w:hint="eastAsia"/>
          <w:bCs/>
          <w:color w:val="auto"/>
          <w:szCs w:val="28"/>
        </w:rPr>
        <w:t>清洁生产分析</w:t>
      </w:r>
      <w:bookmarkEnd w:id="47"/>
      <w:bookmarkEnd w:id="48"/>
    </w:p>
    <w:p w14:paraId="13037D43" w14:textId="77777777" w:rsidR="008E0F1C" w:rsidRPr="00B57C3F" w:rsidRDefault="008E0F1C" w:rsidP="008E0F1C">
      <w:pPr>
        <w:spacing w:line="520" w:lineRule="exact"/>
        <w:ind w:firstLineChars="200" w:firstLine="480"/>
        <w:rPr>
          <w:color w:val="000000" w:themeColor="text1"/>
          <w:sz w:val="24"/>
        </w:rPr>
      </w:pPr>
      <w:r w:rsidRPr="00B57C3F">
        <w:rPr>
          <w:color w:val="000000" w:themeColor="text1"/>
          <w:sz w:val="24"/>
        </w:rPr>
        <w:t>清洁生产是将污染预防战略持续地应用于生产全过程，通过不断地改善管理和技术进步，提高资源利用率，减少污染物排放，以降低对环境和人类的危害。清洁生产的核心是从源头抓起，预防为主、生产全过程控制，实现经济效益和环境效益的统一。清洁生产涉及的范围很广，从改善日常管理的简单措施到原辅材料的变更，从工艺设计的选择到新设备的更换，都是清洁生产所包括的内容。清洁生产旨在既要尽可能取得资源利用的最优化，又要降低或消除环境影响。</w:t>
      </w:r>
    </w:p>
    <w:p w14:paraId="07E93761" w14:textId="77777777" w:rsidR="008E0F1C" w:rsidRPr="00B57C3F" w:rsidRDefault="008E0F1C" w:rsidP="000D53E8">
      <w:pPr>
        <w:spacing w:line="520" w:lineRule="exact"/>
        <w:ind w:firstLineChars="200" w:firstLine="480"/>
        <w:rPr>
          <w:color w:val="000000" w:themeColor="text1"/>
          <w:sz w:val="24"/>
        </w:rPr>
      </w:pPr>
      <w:r w:rsidRPr="00B57C3F">
        <w:rPr>
          <w:color w:val="000000" w:themeColor="text1"/>
          <w:sz w:val="24"/>
        </w:rPr>
        <w:t>实现清洁生产的最大生命力在于可以取得环境效益与经济效益的</w:t>
      </w:r>
      <w:r w:rsidR="000D53E8">
        <w:rPr>
          <w:rFonts w:hint="eastAsia"/>
          <w:color w:val="000000" w:themeColor="text1"/>
          <w:sz w:val="24"/>
        </w:rPr>
        <w:t>“</w:t>
      </w:r>
      <w:r w:rsidR="000D53E8" w:rsidRPr="00B57C3F">
        <w:rPr>
          <w:color w:val="000000" w:themeColor="text1"/>
          <w:sz w:val="24"/>
        </w:rPr>
        <w:t>双赢</w:t>
      </w:r>
      <w:r w:rsidR="000D53E8">
        <w:rPr>
          <w:rFonts w:hint="eastAsia"/>
          <w:color w:val="000000" w:themeColor="text1"/>
          <w:sz w:val="24"/>
        </w:rPr>
        <w:t>”</w:t>
      </w:r>
      <w:r w:rsidRPr="00B57C3F">
        <w:rPr>
          <w:color w:val="000000" w:themeColor="text1"/>
          <w:sz w:val="24"/>
        </w:rPr>
        <w:t>，它是实现经济与环境协调发展的根本途径，其实质是要达到</w:t>
      </w:r>
      <w:r w:rsidR="000D53E8">
        <w:rPr>
          <w:rFonts w:hint="eastAsia"/>
          <w:color w:val="000000" w:themeColor="text1"/>
          <w:sz w:val="24"/>
        </w:rPr>
        <w:t>“</w:t>
      </w:r>
      <w:r w:rsidR="000D53E8" w:rsidRPr="00B57C3F">
        <w:rPr>
          <w:color w:val="000000" w:themeColor="text1"/>
          <w:sz w:val="24"/>
        </w:rPr>
        <w:t>节能、降耗、减污、增效</w:t>
      </w:r>
      <w:r w:rsidR="000D53E8">
        <w:rPr>
          <w:rFonts w:hint="eastAsia"/>
          <w:color w:val="000000" w:themeColor="text1"/>
          <w:sz w:val="24"/>
        </w:rPr>
        <w:t>”</w:t>
      </w:r>
      <w:r w:rsidRPr="00B57C3F">
        <w:rPr>
          <w:color w:val="000000" w:themeColor="text1"/>
          <w:sz w:val="24"/>
        </w:rPr>
        <w:t>的目的。</w:t>
      </w:r>
    </w:p>
    <w:p w14:paraId="18FE3505" w14:textId="77777777" w:rsidR="008E0F1C" w:rsidRPr="00AD10F4" w:rsidRDefault="008E0F1C" w:rsidP="008E0F1C">
      <w:pPr>
        <w:pStyle w:val="00"/>
        <w:rPr>
          <w:rFonts w:ascii="Calibri" w:hAnsi="Calibri"/>
          <w:b/>
          <w:color w:val="auto"/>
        </w:rPr>
      </w:pPr>
      <w:r w:rsidRPr="00AD10F4">
        <w:rPr>
          <w:rFonts w:ascii="Calibri" w:hAnsi="Calibri" w:hint="eastAsia"/>
          <w:b/>
          <w:color w:val="auto"/>
        </w:rPr>
        <w:t>1</w:t>
      </w:r>
      <w:r w:rsidRPr="00AD10F4">
        <w:rPr>
          <w:rFonts w:ascii="Calibri" w:hAnsi="Calibri" w:hint="eastAsia"/>
          <w:b/>
          <w:color w:val="auto"/>
        </w:rPr>
        <w:t>、清洁生产</w:t>
      </w:r>
      <w:r>
        <w:rPr>
          <w:rFonts w:ascii="Calibri" w:hAnsi="Calibri" w:hint="eastAsia"/>
          <w:b/>
          <w:color w:val="auto"/>
        </w:rPr>
        <w:t>分析的</w:t>
      </w:r>
      <w:r>
        <w:rPr>
          <w:rFonts w:ascii="Calibri" w:hAnsi="Calibri"/>
          <w:b/>
          <w:color w:val="auto"/>
        </w:rPr>
        <w:t>思路与重点</w:t>
      </w:r>
    </w:p>
    <w:p w14:paraId="6B44BDCE" w14:textId="77777777" w:rsidR="008E0F1C" w:rsidRPr="006B496C" w:rsidRDefault="008E0F1C" w:rsidP="00AF5AB9">
      <w:pPr>
        <w:spacing w:line="520" w:lineRule="exact"/>
        <w:ind w:firstLineChars="200" w:firstLine="480"/>
        <w:rPr>
          <w:rFonts w:asciiTheme="minorHAnsi" w:hAnsiTheme="minorHAnsi"/>
          <w:color w:val="000000" w:themeColor="text1"/>
          <w:sz w:val="24"/>
        </w:rPr>
      </w:pPr>
      <w:r w:rsidRPr="006B496C">
        <w:rPr>
          <w:rFonts w:asciiTheme="minorHAnsi" w:hAnsiTheme="minorHAnsi"/>
          <w:color w:val="000000" w:themeColor="text1"/>
          <w:sz w:val="24"/>
        </w:rPr>
        <w:t>本次项目属于</w:t>
      </w:r>
      <w:r w:rsidR="00AF5AB9">
        <w:rPr>
          <w:rFonts w:asciiTheme="minorHAnsi" w:hAnsiTheme="minorHAnsi" w:hint="eastAsia"/>
          <w:color w:val="000000" w:themeColor="text1"/>
          <w:sz w:val="24"/>
        </w:rPr>
        <w:t>透明</w:t>
      </w:r>
      <w:r w:rsidR="00AF5AB9">
        <w:rPr>
          <w:rFonts w:asciiTheme="minorHAnsi" w:hAnsiTheme="minorHAnsi"/>
          <w:color w:val="000000" w:themeColor="text1"/>
          <w:sz w:val="24"/>
        </w:rPr>
        <w:t>尼龙</w:t>
      </w:r>
      <w:r w:rsidRPr="006B496C">
        <w:rPr>
          <w:rFonts w:asciiTheme="minorHAnsi" w:hAnsiTheme="minorHAnsi"/>
          <w:color w:val="000000" w:themeColor="text1"/>
          <w:sz w:val="24"/>
        </w:rPr>
        <w:t>切片合成材料制造，在本次清洁生产分析中，将对项目采取的主要清洁生产技术及效果进行简要介绍，并通过分析生产过程，对项目清洁生产机会进行识别，提出清洁生产建议；同时对生产过程中产生的污染物采用有效的处理处置措施，并提出持续清洁生产的建设性意见。本次清洁生产分析的总体思路为：</w:t>
      </w:r>
    </w:p>
    <w:p w14:paraId="4732827E" w14:textId="77777777" w:rsidR="008E0F1C" w:rsidRPr="006B496C" w:rsidRDefault="008E0F1C" w:rsidP="008E0F1C">
      <w:pPr>
        <w:spacing w:line="520" w:lineRule="exact"/>
        <w:ind w:firstLineChars="200" w:firstLine="480"/>
        <w:rPr>
          <w:rFonts w:asciiTheme="minorHAnsi" w:hAnsiTheme="minorHAnsi"/>
          <w:color w:val="000000" w:themeColor="text1"/>
          <w:sz w:val="24"/>
        </w:rPr>
      </w:pPr>
      <w:r w:rsidRPr="006B496C">
        <w:rPr>
          <w:rFonts w:asciiTheme="minorHAnsi" w:hAnsiTheme="minorHAnsi"/>
          <w:color w:val="000000" w:themeColor="text1"/>
          <w:sz w:val="24"/>
        </w:rPr>
        <w:t>（</w:t>
      </w:r>
      <w:r w:rsidRPr="006B496C">
        <w:rPr>
          <w:rFonts w:asciiTheme="minorHAnsi" w:hAnsiTheme="minorHAnsi"/>
          <w:color w:val="000000" w:themeColor="text1"/>
          <w:sz w:val="24"/>
        </w:rPr>
        <w:t>1</w:t>
      </w:r>
      <w:r w:rsidRPr="006B496C">
        <w:rPr>
          <w:rFonts w:asciiTheme="minorHAnsi" w:hAnsiTheme="minorHAnsi"/>
          <w:color w:val="000000" w:themeColor="text1"/>
          <w:sz w:val="24"/>
        </w:rPr>
        <w:t>）从建设项目与产业政策的相符性进行分析，论证本项目是否符合国家相关产业政策的要求；</w:t>
      </w:r>
    </w:p>
    <w:p w14:paraId="77C502F2" w14:textId="77777777" w:rsidR="008E0F1C" w:rsidRPr="006B496C" w:rsidRDefault="008E0F1C" w:rsidP="008E0F1C">
      <w:pPr>
        <w:spacing w:line="520" w:lineRule="exact"/>
        <w:ind w:firstLineChars="200" w:firstLine="480"/>
        <w:rPr>
          <w:rFonts w:asciiTheme="minorHAnsi" w:hAnsiTheme="minorHAnsi"/>
          <w:color w:val="000000" w:themeColor="text1"/>
          <w:sz w:val="24"/>
        </w:rPr>
      </w:pPr>
      <w:r w:rsidRPr="006B496C">
        <w:rPr>
          <w:rFonts w:asciiTheme="minorHAnsi" w:hAnsiTheme="minorHAnsi"/>
          <w:color w:val="000000" w:themeColor="text1"/>
          <w:sz w:val="24"/>
        </w:rPr>
        <w:t>（</w:t>
      </w:r>
      <w:r w:rsidRPr="006B496C">
        <w:rPr>
          <w:rFonts w:asciiTheme="minorHAnsi" w:hAnsiTheme="minorHAnsi"/>
          <w:color w:val="000000" w:themeColor="text1"/>
          <w:sz w:val="24"/>
        </w:rPr>
        <w:t>2</w:t>
      </w:r>
      <w:r w:rsidRPr="006B496C">
        <w:rPr>
          <w:rFonts w:asciiTheme="minorHAnsi" w:hAnsiTheme="minorHAnsi"/>
          <w:color w:val="000000" w:themeColor="text1"/>
          <w:sz w:val="24"/>
        </w:rPr>
        <w:t>）从原辅材料、燃料的清洁性，生产工艺的先进性、装备水平、生产过程控制、原辅材料消耗及能耗水平、资源及能源利用水平等方面对企业清洁生产情况进行分析，并提出相应的建议；</w:t>
      </w:r>
    </w:p>
    <w:p w14:paraId="5C0F02B0" w14:textId="77777777" w:rsidR="008E0F1C" w:rsidRPr="006B496C" w:rsidRDefault="008E0F1C" w:rsidP="008E0F1C">
      <w:pPr>
        <w:spacing w:line="520" w:lineRule="exact"/>
        <w:ind w:firstLineChars="200" w:firstLine="480"/>
        <w:rPr>
          <w:rFonts w:asciiTheme="minorHAnsi" w:hAnsiTheme="minorHAnsi"/>
          <w:color w:val="000000" w:themeColor="text1"/>
          <w:sz w:val="24"/>
        </w:rPr>
      </w:pPr>
      <w:r w:rsidRPr="006B496C">
        <w:rPr>
          <w:rFonts w:asciiTheme="minorHAnsi" w:hAnsiTheme="minorHAnsi"/>
          <w:color w:val="000000" w:themeColor="text1"/>
          <w:sz w:val="24"/>
        </w:rPr>
        <w:t>（</w:t>
      </w:r>
      <w:r w:rsidRPr="006B496C">
        <w:rPr>
          <w:rFonts w:asciiTheme="minorHAnsi" w:hAnsiTheme="minorHAnsi"/>
          <w:color w:val="000000" w:themeColor="text1"/>
          <w:sz w:val="24"/>
        </w:rPr>
        <w:t>3</w:t>
      </w:r>
      <w:r w:rsidRPr="006B496C">
        <w:rPr>
          <w:rFonts w:asciiTheme="minorHAnsi" w:hAnsiTheme="minorHAnsi"/>
          <w:color w:val="000000" w:themeColor="text1"/>
          <w:sz w:val="24"/>
        </w:rPr>
        <w:t>）通过清洁生产机会识别，提出工程应采取的清洁生产方案，同时对重点方案进行可行性分析；</w:t>
      </w:r>
    </w:p>
    <w:p w14:paraId="46E6EEAE" w14:textId="77777777" w:rsidR="008E0F1C" w:rsidRPr="006B496C" w:rsidRDefault="008E0F1C" w:rsidP="008E0F1C">
      <w:pPr>
        <w:spacing w:line="520" w:lineRule="exact"/>
        <w:ind w:firstLineChars="200" w:firstLine="480"/>
        <w:rPr>
          <w:rFonts w:asciiTheme="minorHAnsi" w:hAnsiTheme="minorHAnsi"/>
          <w:color w:val="000000" w:themeColor="text1"/>
          <w:sz w:val="24"/>
        </w:rPr>
      </w:pPr>
      <w:r w:rsidRPr="006B496C">
        <w:rPr>
          <w:rFonts w:asciiTheme="minorHAnsi" w:hAnsiTheme="minorHAnsi"/>
          <w:color w:val="000000" w:themeColor="text1"/>
          <w:sz w:val="24"/>
        </w:rPr>
        <w:t>（</w:t>
      </w:r>
      <w:r w:rsidRPr="006B496C">
        <w:rPr>
          <w:rFonts w:asciiTheme="minorHAnsi" w:hAnsiTheme="minorHAnsi"/>
          <w:color w:val="000000" w:themeColor="text1"/>
          <w:sz w:val="24"/>
        </w:rPr>
        <w:t>4</w:t>
      </w:r>
      <w:r w:rsidRPr="006B496C">
        <w:rPr>
          <w:rFonts w:asciiTheme="minorHAnsi" w:hAnsiTheme="minorHAnsi"/>
          <w:color w:val="000000" w:themeColor="text1"/>
          <w:sz w:val="24"/>
        </w:rPr>
        <w:t>）根据清洁生产八个方面指标的清洁性，分析本项目清洁生产水平。</w:t>
      </w:r>
    </w:p>
    <w:p w14:paraId="245F73C3" w14:textId="77777777" w:rsidR="008E0F1C" w:rsidRPr="006B496C" w:rsidRDefault="008E0F1C" w:rsidP="008E0F1C">
      <w:pPr>
        <w:spacing w:line="520" w:lineRule="exact"/>
        <w:ind w:firstLineChars="200" w:firstLine="480"/>
        <w:rPr>
          <w:rFonts w:asciiTheme="minorHAnsi" w:hAnsiTheme="minorHAnsi"/>
          <w:color w:val="000000" w:themeColor="text1"/>
          <w:sz w:val="24"/>
        </w:rPr>
      </w:pPr>
      <w:r w:rsidRPr="006B496C">
        <w:rPr>
          <w:rFonts w:asciiTheme="minorHAnsi" w:hAnsiTheme="minorHAnsi"/>
          <w:color w:val="000000" w:themeColor="text1"/>
          <w:sz w:val="24"/>
        </w:rPr>
        <w:t>（</w:t>
      </w:r>
      <w:r w:rsidRPr="006B496C">
        <w:rPr>
          <w:rFonts w:asciiTheme="minorHAnsi" w:hAnsiTheme="minorHAnsi"/>
          <w:color w:val="000000" w:themeColor="text1"/>
          <w:sz w:val="24"/>
        </w:rPr>
        <w:t>5</w:t>
      </w:r>
      <w:r w:rsidRPr="006B496C">
        <w:rPr>
          <w:rFonts w:asciiTheme="minorHAnsi" w:hAnsiTheme="minorHAnsi"/>
          <w:color w:val="000000" w:themeColor="text1"/>
          <w:sz w:val="24"/>
        </w:rPr>
        <w:t>）提出持续清洁生产方案及方向，指导企业的持续清洁生产。</w:t>
      </w:r>
    </w:p>
    <w:p w14:paraId="7CE8BE8D" w14:textId="77777777" w:rsidR="008E0F1C" w:rsidRPr="00AD10F4" w:rsidRDefault="008E0F1C" w:rsidP="008E0F1C">
      <w:pPr>
        <w:pStyle w:val="00"/>
        <w:rPr>
          <w:rFonts w:ascii="Calibri" w:hAnsi="Calibri"/>
          <w:b/>
          <w:color w:val="auto"/>
        </w:rPr>
      </w:pPr>
      <w:r>
        <w:rPr>
          <w:rFonts w:ascii="Calibri" w:hAnsi="Calibri"/>
          <w:b/>
          <w:color w:val="auto"/>
        </w:rPr>
        <w:t>2</w:t>
      </w:r>
      <w:r w:rsidRPr="00AD10F4">
        <w:rPr>
          <w:rFonts w:ascii="Calibri" w:hAnsi="Calibri" w:hint="eastAsia"/>
          <w:b/>
          <w:color w:val="auto"/>
        </w:rPr>
        <w:t>、</w:t>
      </w:r>
      <w:r w:rsidRPr="008E0F1C">
        <w:rPr>
          <w:rFonts w:ascii="Calibri" w:hAnsi="Calibri" w:hint="eastAsia"/>
          <w:b/>
          <w:color w:val="auto"/>
        </w:rPr>
        <w:t>清洁生产机会的识别</w:t>
      </w:r>
    </w:p>
    <w:p w14:paraId="07E328B4" w14:textId="77777777" w:rsidR="008E0F1C" w:rsidRPr="00B57C3F" w:rsidRDefault="008E0F1C" w:rsidP="008E0F1C">
      <w:pPr>
        <w:spacing w:line="520" w:lineRule="exact"/>
        <w:ind w:firstLineChars="200" w:firstLine="480"/>
        <w:rPr>
          <w:color w:val="000000" w:themeColor="text1"/>
          <w:sz w:val="24"/>
        </w:rPr>
      </w:pPr>
      <w:r w:rsidRPr="00B57C3F">
        <w:rPr>
          <w:rFonts w:hint="eastAsia"/>
          <w:color w:val="000000" w:themeColor="text1"/>
          <w:sz w:val="24"/>
        </w:rPr>
        <w:t>本次评价从原辅材料及能源、技术工艺、生产设备、过程控制、产品、废物综合</w:t>
      </w:r>
      <w:r w:rsidRPr="00B57C3F">
        <w:rPr>
          <w:rFonts w:hint="eastAsia"/>
          <w:color w:val="000000" w:themeColor="text1"/>
          <w:sz w:val="24"/>
        </w:rPr>
        <w:lastRenderedPageBreak/>
        <w:t>利用、管理、员工等方面对本项目清洁生产进行全程分析，汇总本项目清洁生产方案。</w:t>
      </w:r>
    </w:p>
    <w:p w14:paraId="309D3012" w14:textId="77777777" w:rsidR="008E0F1C" w:rsidRPr="006B496C" w:rsidRDefault="008E0F1C" w:rsidP="00070A5E">
      <w:pPr>
        <w:spacing w:line="520" w:lineRule="exact"/>
        <w:ind w:firstLineChars="200" w:firstLine="480"/>
        <w:rPr>
          <w:rFonts w:asciiTheme="minorHAnsi" w:hAnsiTheme="minorHAnsi"/>
          <w:color w:val="auto"/>
          <w:sz w:val="24"/>
        </w:rPr>
      </w:pPr>
      <w:r w:rsidRPr="006B496C">
        <w:rPr>
          <w:rFonts w:asciiTheme="minorHAnsi" w:hAnsiTheme="minorHAnsi"/>
          <w:color w:val="auto"/>
          <w:sz w:val="24"/>
        </w:rPr>
        <w:t>（</w:t>
      </w:r>
      <w:r w:rsidRPr="006B496C">
        <w:rPr>
          <w:rFonts w:asciiTheme="minorHAnsi" w:hAnsiTheme="minorHAnsi"/>
          <w:color w:val="auto"/>
          <w:sz w:val="24"/>
        </w:rPr>
        <w:t>1</w:t>
      </w:r>
      <w:r w:rsidRPr="006B496C">
        <w:rPr>
          <w:rFonts w:asciiTheme="minorHAnsi" w:hAnsiTheme="minorHAnsi"/>
          <w:color w:val="auto"/>
          <w:sz w:val="24"/>
        </w:rPr>
        <w:t>）</w:t>
      </w:r>
      <w:r w:rsidRPr="006B496C">
        <w:rPr>
          <w:rFonts w:asciiTheme="minorHAnsi" w:hAnsiTheme="minorHAnsi"/>
          <w:color w:val="000000" w:themeColor="text1"/>
          <w:sz w:val="24"/>
        </w:rPr>
        <w:t>原辅材料及能源分析</w:t>
      </w:r>
    </w:p>
    <w:p w14:paraId="194A029A" w14:textId="77777777" w:rsidR="008E0F1C" w:rsidRPr="006B496C" w:rsidRDefault="008E0F1C" w:rsidP="008E0F1C">
      <w:pPr>
        <w:spacing w:line="520" w:lineRule="exact"/>
        <w:ind w:firstLineChars="200" w:firstLine="480"/>
        <w:rPr>
          <w:rFonts w:asciiTheme="minorHAnsi" w:hAnsiTheme="minorHAnsi"/>
          <w:color w:val="000000" w:themeColor="text1"/>
          <w:sz w:val="24"/>
        </w:rPr>
      </w:pPr>
      <w:r w:rsidRPr="006B496C">
        <w:rPr>
          <w:rFonts w:asciiTheme="minorHAnsi" w:hAnsiTheme="minorHAnsi"/>
          <w:color w:val="000000" w:themeColor="text1"/>
          <w:sz w:val="24"/>
        </w:rPr>
        <w:t>本项目采用的主要原料为尼龙</w:t>
      </w:r>
      <w:r w:rsidRPr="006B496C">
        <w:rPr>
          <w:rFonts w:asciiTheme="minorHAnsi" w:hAnsiTheme="minorHAnsi"/>
          <w:color w:val="000000" w:themeColor="text1"/>
          <w:sz w:val="24"/>
        </w:rPr>
        <w:t>66</w:t>
      </w:r>
      <w:r w:rsidRPr="006B496C">
        <w:rPr>
          <w:rFonts w:asciiTheme="minorHAnsi" w:hAnsiTheme="minorHAnsi"/>
          <w:color w:val="000000" w:themeColor="text1"/>
          <w:sz w:val="24"/>
        </w:rPr>
        <w:t>盐溶液，尼龙</w:t>
      </w:r>
      <w:r w:rsidRPr="006B496C">
        <w:rPr>
          <w:rFonts w:asciiTheme="minorHAnsi" w:hAnsiTheme="minorHAnsi"/>
          <w:color w:val="000000" w:themeColor="text1"/>
          <w:sz w:val="24"/>
        </w:rPr>
        <w:t>1010</w:t>
      </w:r>
      <w:r w:rsidRPr="006B496C">
        <w:rPr>
          <w:rFonts w:asciiTheme="minorHAnsi" w:hAnsiTheme="minorHAnsi"/>
          <w:color w:val="000000" w:themeColor="text1"/>
          <w:sz w:val="24"/>
        </w:rPr>
        <w:t>盐、尼龙</w:t>
      </w:r>
      <w:r w:rsidRPr="006B496C">
        <w:rPr>
          <w:rFonts w:asciiTheme="minorHAnsi" w:hAnsiTheme="minorHAnsi"/>
          <w:color w:val="000000" w:themeColor="text1"/>
          <w:sz w:val="24"/>
        </w:rPr>
        <w:t>12</w:t>
      </w:r>
      <w:r w:rsidRPr="006B496C">
        <w:rPr>
          <w:rFonts w:asciiTheme="minorHAnsi" w:hAnsiTheme="minorHAnsi"/>
          <w:color w:val="000000" w:themeColor="text1"/>
          <w:sz w:val="24"/>
        </w:rPr>
        <w:t>盐。经比对《中国禁止或严格限制的有毒化学品目录（第一批）》，项目采用的原料均不属于国内禁止、限制类化学品；原料纯度较高，杂质含量少，产品纯度高，且产生污染物少。</w:t>
      </w:r>
    </w:p>
    <w:p w14:paraId="47527C2D" w14:textId="77777777" w:rsidR="008E0F1C" w:rsidRPr="00B57C3F" w:rsidRDefault="008E0F1C" w:rsidP="00D17E44">
      <w:pPr>
        <w:spacing w:line="520" w:lineRule="exact"/>
        <w:ind w:firstLineChars="200" w:firstLine="480"/>
        <w:rPr>
          <w:color w:val="000000" w:themeColor="text1"/>
          <w:sz w:val="24"/>
        </w:rPr>
      </w:pPr>
      <w:r w:rsidRPr="00B57C3F">
        <w:rPr>
          <w:rFonts w:hint="eastAsia"/>
          <w:color w:val="000000" w:themeColor="text1"/>
          <w:sz w:val="24"/>
        </w:rPr>
        <w:t>项目所用能源主要为</w:t>
      </w:r>
      <w:r w:rsidR="00D17E44">
        <w:rPr>
          <w:rFonts w:hint="eastAsia"/>
          <w:color w:val="000000" w:themeColor="text1"/>
          <w:sz w:val="24"/>
        </w:rPr>
        <w:t>天然气</w:t>
      </w:r>
      <w:r w:rsidRPr="00B57C3F">
        <w:rPr>
          <w:rFonts w:hint="eastAsia"/>
          <w:color w:val="000000" w:themeColor="text1"/>
          <w:sz w:val="24"/>
        </w:rPr>
        <w:t>、水和电，项目采用导热油炉</w:t>
      </w:r>
      <w:r w:rsidR="00D17E44">
        <w:rPr>
          <w:rFonts w:hint="eastAsia"/>
          <w:color w:val="000000" w:themeColor="text1"/>
          <w:sz w:val="24"/>
        </w:rPr>
        <w:t>加热</w:t>
      </w:r>
      <w:r w:rsidRPr="00B57C3F">
        <w:rPr>
          <w:rFonts w:hint="eastAsia"/>
          <w:color w:val="000000" w:themeColor="text1"/>
          <w:sz w:val="24"/>
        </w:rPr>
        <w:t>，</w:t>
      </w:r>
      <w:r w:rsidR="00D17E44">
        <w:rPr>
          <w:rFonts w:hint="eastAsia"/>
          <w:color w:val="000000" w:themeColor="text1"/>
          <w:sz w:val="24"/>
        </w:rPr>
        <w:t>以</w:t>
      </w:r>
      <w:r w:rsidR="00D17E44">
        <w:rPr>
          <w:color w:val="000000" w:themeColor="text1"/>
          <w:sz w:val="24"/>
        </w:rPr>
        <w:t>天然气为燃料，</w:t>
      </w:r>
      <w:r w:rsidRPr="00B57C3F">
        <w:rPr>
          <w:rFonts w:hint="eastAsia"/>
          <w:color w:val="000000" w:themeColor="text1"/>
          <w:sz w:val="24"/>
        </w:rPr>
        <w:t>天然气为清洁燃料；项目</w:t>
      </w:r>
      <w:r w:rsidRPr="00B57C3F">
        <w:rPr>
          <w:color w:val="000000" w:themeColor="text1"/>
          <w:sz w:val="24"/>
        </w:rPr>
        <w:t>用水主要为</w:t>
      </w:r>
      <w:r w:rsidRPr="00B57C3F">
        <w:rPr>
          <w:rFonts w:hint="eastAsia"/>
          <w:color w:val="000000" w:themeColor="text1"/>
          <w:sz w:val="24"/>
        </w:rPr>
        <w:t>原料</w:t>
      </w:r>
      <w:r w:rsidRPr="00B57C3F">
        <w:rPr>
          <w:color w:val="000000" w:themeColor="text1"/>
          <w:sz w:val="24"/>
        </w:rPr>
        <w:t>配料环节，</w:t>
      </w:r>
      <w:r w:rsidRPr="00B57C3F">
        <w:rPr>
          <w:rFonts w:hint="eastAsia"/>
          <w:color w:val="000000" w:themeColor="text1"/>
          <w:sz w:val="24"/>
        </w:rPr>
        <w:t>但项目</w:t>
      </w:r>
      <w:r w:rsidRPr="00B57C3F">
        <w:rPr>
          <w:color w:val="000000" w:themeColor="text1"/>
          <w:sz w:val="24"/>
        </w:rPr>
        <w:t>在生产环节将蒸汽冷凝后回用于生产配料，进一步循环利用，</w:t>
      </w:r>
      <w:r w:rsidRPr="00B57C3F">
        <w:rPr>
          <w:rFonts w:hint="eastAsia"/>
          <w:color w:val="000000" w:themeColor="text1"/>
          <w:sz w:val="24"/>
        </w:rPr>
        <w:t>最大限度地对能源进行利用，减少能源消耗总量。</w:t>
      </w:r>
    </w:p>
    <w:p w14:paraId="4272A6F6" w14:textId="77777777" w:rsidR="001D5F85" w:rsidRPr="00B57C3F" w:rsidRDefault="001D5F85" w:rsidP="001D5F85">
      <w:pPr>
        <w:spacing w:line="520" w:lineRule="exact"/>
        <w:ind w:firstLineChars="200" w:firstLine="480"/>
        <w:rPr>
          <w:color w:val="000000" w:themeColor="text1"/>
          <w:sz w:val="24"/>
        </w:rPr>
      </w:pPr>
      <w:r w:rsidRPr="00B57C3F">
        <w:rPr>
          <w:rFonts w:hint="eastAsia"/>
          <w:color w:val="000000" w:themeColor="text1"/>
          <w:sz w:val="24"/>
        </w:rPr>
        <w:t>项目在生产、使用全过程中应加强操作管理，严格控制原辅材料的质量，对原材料进库前进行严格检验，防止劣质原料进入生产线造成资源的浪费。工程原辅材料按要求选取低杂质、高纯度的原料，可以有效的减少在生产过程中的污染物产生量；原辅材料的存储和输送设备选取密封性能好的生产设备，最大程度的减少物料的无组织散失；原辅材料的管理应规范化，设置专门人员对物料进行管理，保证项目原辅材料满足清洁生产的要求。</w:t>
      </w:r>
    </w:p>
    <w:p w14:paraId="437BF253" w14:textId="77777777" w:rsidR="001D5F85" w:rsidRPr="001D5F85" w:rsidRDefault="001D5F85" w:rsidP="001D5F85">
      <w:pPr>
        <w:spacing w:line="520" w:lineRule="exact"/>
        <w:ind w:firstLineChars="200" w:firstLine="480"/>
        <w:rPr>
          <w:rFonts w:ascii="Calibri" w:hAnsi="Calibri"/>
          <w:color w:val="auto"/>
          <w:sz w:val="24"/>
        </w:rPr>
      </w:pPr>
      <w:r w:rsidRPr="001D5F85">
        <w:rPr>
          <w:rFonts w:ascii="Calibri" w:hAnsi="Calibri" w:hint="eastAsia"/>
          <w:color w:val="auto"/>
          <w:sz w:val="24"/>
        </w:rPr>
        <w:t>（</w:t>
      </w:r>
      <w:r w:rsidRPr="001D5F85">
        <w:rPr>
          <w:rFonts w:ascii="Calibri" w:hAnsi="Calibri"/>
          <w:color w:val="auto"/>
          <w:sz w:val="24"/>
        </w:rPr>
        <w:t>2</w:t>
      </w:r>
      <w:r w:rsidRPr="001D5F85">
        <w:rPr>
          <w:rFonts w:ascii="Calibri" w:hAnsi="Calibri" w:hint="eastAsia"/>
          <w:color w:val="auto"/>
          <w:sz w:val="24"/>
        </w:rPr>
        <w:t>）</w:t>
      </w:r>
      <w:r w:rsidRPr="001D5F85">
        <w:rPr>
          <w:rFonts w:hint="eastAsia"/>
          <w:color w:val="000000" w:themeColor="text1"/>
          <w:sz w:val="24"/>
        </w:rPr>
        <w:t>生产工艺</w:t>
      </w:r>
    </w:p>
    <w:p w14:paraId="050C3485" w14:textId="77777777" w:rsidR="001D5F85" w:rsidRPr="00166EFA" w:rsidRDefault="0053271F" w:rsidP="0053271F">
      <w:pPr>
        <w:spacing w:line="520" w:lineRule="exact"/>
        <w:ind w:firstLineChars="200" w:firstLine="480"/>
        <w:rPr>
          <w:rFonts w:asciiTheme="minorHAnsi" w:hAnsiTheme="minorHAnsi"/>
          <w:sz w:val="24"/>
        </w:rPr>
      </w:pPr>
      <w:r>
        <w:rPr>
          <w:rFonts w:asciiTheme="minorHAnsi" w:hAnsiTheme="minorHAnsi" w:hint="eastAsia"/>
          <w:sz w:val="24"/>
        </w:rPr>
        <w:t>透明尼龙</w:t>
      </w:r>
      <w:r w:rsidR="001D5F85" w:rsidRPr="00166EFA">
        <w:rPr>
          <w:rFonts w:asciiTheme="minorHAnsi" w:hAnsiTheme="minorHAnsi"/>
          <w:sz w:val="24"/>
        </w:rPr>
        <w:t>聚合工艺有间歇聚合和连续聚合两种，</w:t>
      </w:r>
      <w:r>
        <w:rPr>
          <w:rFonts w:asciiTheme="minorHAnsi" w:hAnsiTheme="minorHAnsi" w:hint="eastAsia"/>
          <w:sz w:val="24"/>
        </w:rPr>
        <w:t>透明尼龙</w:t>
      </w:r>
      <w:r w:rsidR="001D5F85" w:rsidRPr="00166EFA">
        <w:rPr>
          <w:rFonts w:asciiTheme="minorHAnsi" w:hAnsiTheme="minorHAnsi"/>
          <w:sz w:val="24"/>
        </w:rPr>
        <w:t>聚合基本上分为两个阶段。首先生成含有大量溶解水的低分子量</w:t>
      </w:r>
      <w:r>
        <w:rPr>
          <w:rFonts w:asciiTheme="minorHAnsi" w:hAnsiTheme="minorHAnsi" w:hint="eastAsia"/>
          <w:sz w:val="24"/>
        </w:rPr>
        <w:t>“</w:t>
      </w:r>
      <w:r w:rsidRPr="00166EFA">
        <w:rPr>
          <w:rFonts w:asciiTheme="minorHAnsi" w:hAnsiTheme="minorHAnsi"/>
          <w:sz w:val="24"/>
        </w:rPr>
        <w:t>预聚物</w:t>
      </w:r>
      <w:r>
        <w:rPr>
          <w:rFonts w:asciiTheme="minorHAnsi" w:hAnsiTheme="minorHAnsi" w:hint="eastAsia"/>
          <w:sz w:val="24"/>
        </w:rPr>
        <w:t>”</w:t>
      </w:r>
      <w:r w:rsidR="001D5F85" w:rsidRPr="00166EFA">
        <w:rPr>
          <w:rFonts w:asciiTheme="minorHAnsi" w:hAnsiTheme="minorHAnsi"/>
          <w:sz w:val="24"/>
        </w:rPr>
        <w:t>，然后尽可能迅速地从体系中除去水，通过控制剩余水的排出，使反应进行到所需的最终分子量。</w:t>
      </w:r>
    </w:p>
    <w:p w14:paraId="4047880A" w14:textId="77777777" w:rsidR="001D5F85" w:rsidRPr="00D17E44" w:rsidRDefault="001D5F85" w:rsidP="00D17E44">
      <w:pPr>
        <w:spacing w:line="520" w:lineRule="exact"/>
        <w:ind w:firstLineChars="200" w:firstLine="480"/>
        <w:rPr>
          <w:rFonts w:asciiTheme="minorHAnsi" w:hAnsiTheme="minorHAnsi"/>
          <w:sz w:val="24"/>
        </w:rPr>
      </w:pPr>
      <w:r w:rsidRPr="00D17E44">
        <w:rPr>
          <w:rFonts w:asciiTheme="minorHAnsi" w:hAnsiTheme="minorHAnsi"/>
          <w:sz w:val="24"/>
        </w:rPr>
        <w:t>间歇式聚合工艺比较简单，把尼龙盐溶液</w:t>
      </w:r>
      <w:r w:rsidR="00D17E44">
        <w:rPr>
          <w:rFonts w:asciiTheme="minorHAnsi" w:hAnsiTheme="minorHAnsi" w:hint="eastAsia"/>
          <w:sz w:val="24"/>
        </w:rPr>
        <w:t>和</w:t>
      </w:r>
      <w:r w:rsidR="00D17E44">
        <w:rPr>
          <w:rFonts w:asciiTheme="minorHAnsi" w:hAnsiTheme="minorHAnsi"/>
          <w:sz w:val="24"/>
        </w:rPr>
        <w:t>其他盐混合后</w:t>
      </w:r>
      <w:r w:rsidRPr="00D17E44">
        <w:rPr>
          <w:rFonts w:asciiTheme="minorHAnsi" w:hAnsiTheme="minorHAnsi"/>
          <w:sz w:val="24"/>
        </w:rPr>
        <w:t>由储罐输送进入聚合釜。在聚合釜中加热，将釜内压力升高，当物料达到一定温度时进入减压阶段，釜内压力根据设定分几个阶段缓慢减至设定值，然后进入完成阶段，聚合物的分子量可以通过改变完成阶段的压力的设定来调节，此阶段完成后进行挤出切粒，经干燥后根据需要可以作为纺丝和工程塑料的原料。</w:t>
      </w:r>
    </w:p>
    <w:p w14:paraId="133ACA8B" w14:textId="77777777" w:rsidR="008E0F1C" w:rsidRPr="001D5F85" w:rsidRDefault="001D5F85" w:rsidP="001D5F85">
      <w:pPr>
        <w:spacing w:line="520" w:lineRule="exact"/>
        <w:ind w:firstLineChars="200" w:firstLine="480"/>
        <w:rPr>
          <w:rFonts w:ascii="Calibri" w:hAnsi="Calibri"/>
          <w:color w:val="auto"/>
          <w:sz w:val="24"/>
        </w:rPr>
      </w:pPr>
      <w:r w:rsidRPr="001D5F85">
        <w:rPr>
          <w:rFonts w:hAnsi="Arial" w:hint="eastAsia"/>
          <w:sz w:val="24"/>
        </w:rPr>
        <w:t>连续聚合适合生产产品</w:t>
      </w:r>
      <w:r w:rsidR="00D17E44">
        <w:rPr>
          <w:rFonts w:hAnsi="Arial" w:hint="eastAsia"/>
          <w:sz w:val="24"/>
        </w:rPr>
        <w:t>量</w:t>
      </w:r>
      <w:r w:rsidRPr="001D5F85">
        <w:rPr>
          <w:rFonts w:hAnsi="Arial" w:hint="eastAsia"/>
          <w:sz w:val="24"/>
        </w:rPr>
        <w:t>比较大的品种，间歇式聚合适合生产批量小，品牌及牌号变化较多的产品。由于</w:t>
      </w:r>
      <w:r w:rsidRPr="001D5F85">
        <w:rPr>
          <w:rFonts w:hAnsi="Arial"/>
          <w:sz w:val="24"/>
        </w:rPr>
        <w:t>本项目</w:t>
      </w:r>
      <w:r w:rsidRPr="001D5F85">
        <w:rPr>
          <w:rFonts w:hAnsi="Arial" w:hint="eastAsia"/>
          <w:sz w:val="24"/>
        </w:rPr>
        <w:t>产量</w:t>
      </w:r>
      <w:r w:rsidRPr="001D5F85">
        <w:rPr>
          <w:rFonts w:hAnsi="Arial"/>
          <w:sz w:val="24"/>
        </w:rPr>
        <w:t>较</w:t>
      </w:r>
      <w:r w:rsidRPr="001D5F85">
        <w:rPr>
          <w:rFonts w:hAnsi="Arial" w:hint="eastAsia"/>
          <w:sz w:val="24"/>
        </w:rPr>
        <w:t>小</w:t>
      </w:r>
      <w:r w:rsidRPr="001D5F85">
        <w:rPr>
          <w:rFonts w:hAnsi="Arial"/>
          <w:sz w:val="24"/>
        </w:rPr>
        <w:t>，采用间歇聚合工艺</w:t>
      </w:r>
    </w:p>
    <w:p w14:paraId="5178E0FB" w14:textId="77777777" w:rsidR="001D5F85" w:rsidRPr="001D5F85" w:rsidRDefault="001D5F85" w:rsidP="001D5F85">
      <w:pPr>
        <w:spacing w:line="520" w:lineRule="exact"/>
        <w:ind w:firstLineChars="200" w:firstLine="480"/>
        <w:rPr>
          <w:rFonts w:ascii="Calibri" w:hAnsi="Calibri"/>
          <w:color w:val="auto"/>
          <w:sz w:val="24"/>
        </w:rPr>
      </w:pPr>
      <w:r w:rsidRPr="001D5F85">
        <w:rPr>
          <w:rFonts w:ascii="Calibri" w:hAnsi="Calibri" w:hint="eastAsia"/>
          <w:color w:val="auto"/>
          <w:sz w:val="24"/>
        </w:rPr>
        <w:t>（</w:t>
      </w:r>
      <w:r>
        <w:rPr>
          <w:rFonts w:ascii="Calibri" w:hAnsi="Calibri"/>
          <w:color w:val="auto"/>
          <w:sz w:val="24"/>
        </w:rPr>
        <w:t>3</w:t>
      </w:r>
      <w:r w:rsidRPr="001D5F85">
        <w:rPr>
          <w:rFonts w:ascii="Calibri" w:hAnsi="Calibri" w:hint="eastAsia"/>
          <w:color w:val="auto"/>
          <w:sz w:val="24"/>
        </w:rPr>
        <w:t>）</w:t>
      </w:r>
      <w:r w:rsidRPr="001D5F85">
        <w:rPr>
          <w:rFonts w:hint="eastAsia"/>
          <w:color w:val="000000" w:themeColor="text1"/>
          <w:sz w:val="24"/>
        </w:rPr>
        <w:t>生产</w:t>
      </w:r>
      <w:r>
        <w:rPr>
          <w:rFonts w:hint="eastAsia"/>
          <w:color w:val="000000" w:themeColor="text1"/>
          <w:sz w:val="24"/>
        </w:rPr>
        <w:t>设备</w:t>
      </w:r>
    </w:p>
    <w:p w14:paraId="255BD6A6" w14:textId="77777777" w:rsidR="008E0F1C" w:rsidRPr="001D5F85" w:rsidRDefault="001D5F85" w:rsidP="001D5F85">
      <w:pPr>
        <w:spacing w:line="520" w:lineRule="exact"/>
        <w:ind w:firstLineChars="200" w:firstLine="480"/>
        <w:rPr>
          <w:rFonts w:ascii="Calibri" w:hAnsi="Calibri"/>
          <w:color w:val="auto"/>
          <w:sz w:val="24"/>
        </w:rPr>
      </w:pPr>
      <w:r>
        <w:rPr>
          <w:rFonts w:ascii="Calibri" w:hAnsi="Calibri" w:hint="eastAsia"/>
          <w:color w:val="auto"/>
          <w:sz w:val="24"/>
        </w:rPr>
        <w:lastRenderedPageBreak/>
        <w:t>本项目选用</w:t>
      </w:r>
      <w:r>
        <w:rPr>
          <w:rFonts w:ascii="Calibri" w:hAnsi="Calibri"/>
          <w:color w:val="auto"/>
          <w:sz w:val="24"/>
        </w:rPr>
        <w:t>的</w:t>
      </w:r>
      <w:r w:rsidRPr="001D5F85">
        <w:rPr>
          <w:rFonts w:ascii="Calibri" w:hAnsi="Calibri" w:hint="eastAsia"/>
          <w:color w:val="auto"/>
          <w:sz w:val="24"/>
        </w:rPr>
        <w:t>设备主要有</w:t>
      </w:r>
      <w:r>
        <w:rPr>
          <w:rFonts w:ascii="Calibri" w:hAnsi="Calibri" w:hint="eastAsia"/>
          <w:color w:val="auto"/>
          <w:sz w:val="24"/>
        </w:rPr>
        <w:t>配料釜</w:t>
      </w:r>
      <w:r w:rsidRPr="001D5F85">
        <w:rPr>
          <w:rFonts w:ascii="Calibri" w:hAnsi="Calibri" w:hint="eastAsia"/>
          <w:color w:val="auto"/>
          <w:sz w:val="24"/>
        </w:rPr>
        <w:t>、聚合釜、切粒机等组成</w:t>
      </w:r>
      <w:r>
        <w:rPr>
          <w:rFonts w:ascii="Calibri" w:hAnsi="Calibri" w:hint="eastAsia"/>
          <w:color w:val="auto"/>
          <w:sz w:val="24"/>
        </w:rPr>
        <w:t>，</w:t>
      </w:r>
      <w:r w:rsidRPr="001D5F85">
        <w:rPr>
          <w:rFonts w:ascii="Calibri" w:hAnsi="Calibri" w:hint="eastAsia"/>
          <w:color w:val="auto"/>
          <w:sz w:val="24"/>
        </w:rPr>
        <w:t>聚合釜有保温夹套，切粒机</w:t>
      </w:r>
      <w:r>
        <w:rPr>
          <w:rFonts w:ascii="Calibri" w:hAnsi="Calibri" w:hint="eastAsia"/>
          <w:color w:val="auto"/>
          <w:sz w:val="24"/>
        </w:rPr>
        <w:t>采用干切</w:t>
      </w:r>
      <w:r w:rsidRPr="001D5F85">
        <w:rPr>
          <w:rFonts w:ascii="Calibri" w:hAnsi="Calibri" w:hint="eastAsia"/>
          <w:color w:val="auto"/>
          <w:sz w:val="24"/>
        </w:rPr>
        <w:t>。</w:t>
      </w:r>
      <w:r>
        <w:rPr>
          <w:rFonts w:ascii="Calibri" w:hAnsi="Calibri" w:hint="eastAsia"/>
          <w:color w:val="auto"/>
          <w:sz w:val="24"/>
        </w:rPr>
        <w:t>项目</w:t>
      </w:r>
      <w:r w:rsidRPr="001D5F85">
        <w:rPr>
          <w:rFonts w:ascii="Calibri" w:hAnsi="Calibri" w:hint="eastAsia"/>
          <w:color w:val="auto"/>
          <w:sz w:val="24"/>
        </w:rPr>
        <w:t>采用隔热和保温性能较好的设备及管道，对所有高温设备及管线均选用优质保温材料，减少散热，提高装置及系统的</w:t>
      </w:r>
      <w:r>
        <w:rPr>
          <w:rFonts w:ascii="Calibri" w:hAnsi="Calibri" w:hint="eastAsia"/>
          <w:color w:val="auto"/>
          <w:sz w:val="24"/>
        </w:rPr>
        <w:t>蒸汽</w:t>
      </w:r>
      <w:r w:rsidRPr="001D5F85">
        <w:rPr>
          <w:rFonts w:ascii="Calibri" w:hAnsi="Calibri" w:hint="eastAsia"/>
          <w:color w:val="auto"/>
          <w:sz w:val="24"/>
        </w:rPr>
        <w:t>回收率。</w:t>
      </w:r>
      <w:r>
        <w:rPr>
          <w:rFonts w:ascii="Calibri" w:hAnsi="Calibri" w:hint="eastAsia"/>
          <w:color w:val="auto"/>
          <w:sz w:val="24"/>
        </w:rPr>
        <w:t>项目</w:t>
      </w:r>
      <w:r w:rsidRPr="001D5F85">
        <w:rPr>
          <w:rFonts w:ascii="Calibri" w:hAnsi="Calibri" w:hint="eastAsia"/>
          <w:color w:val="auto"/>
          <w:sz w:val="24"/>
        </w:rPr>
        <w:t>主要生产装置均采用液位、压力自动报警装置，对主装置内液体状态进行自动监控</w:t>
      </w:r>
      <w:r w:rsidR="00695E76">
        <w:rPr>
          <w:rFonts w:ascii="Calibri" w:hAnsi="Calibri" w:hint="eastAsia"/>
          <w:color w:val="auto"/>
          <w:sz w:val="24"/>
        </w:rPr>
        <w:t>；</w:t>
      </w:r>
      <w:r w:rsidRPr="001D5F85">
        <w:rPr>
          <w:rFonts w:ascii="Calibri" w:hAnsi="Calibri" w:hint="eastAsia"/>
          <w:color w:val="auto"/>
          <w:sz w:val="24"/>
        </w:rPr>
        <w:t>控制室内常规仪表统一采用数字式（智能）调节仪、手操器、、记录仪、报警器等，实施对各工艺参数的显示、记录、调节、报警，即联锁设计。</w:t>
      </w:r>
    </w:p>
    <w:p w14:paraId="4F46737F" w14:textId="77777777" w:rsidR="001D5F85" w:rsidRDefault="00695E76" w:rsidP="00070A5E">
      <w:pPr>
        <w:spacing w:line="520" w:lineRule="exact"/>
        <w:ind w:firstLineChars="200" w:firstLine="480"/>
        <w:rPr>
          <w:rFonts w:ascii="Calibri" w:hAnsi="Calibri"/>
          <w:color w:val="auto"/>
          <w:sz w:val="24"/>
        </w:rPr>
      </w:pPr>
      <w:r w:rsidRPr="00695E76">
        <w:rPr>
          <w:rFonts w:ascii="Calibri" w:hAnsi="Calibri" w:hint="eastAsia"/>
          <w:color w:val="auto"/>
          <w:sz w:val="24"/>
        </w:rPr>
        <w:t>综上所述，项目设备的选用符合清洁生产的要求。</w:t>
      </w:r>
    </w:p>
    <w:p w14:paraId="5CC9BD21" w14:textId="77777777" w:rsidR="00695E76" w:rsidRPr="001D5F85" w:rsidRDefault="00695E76" w:rsidP="00695E76">
      <w:pPr>
        <w:spacing w:line="520" w:lineRule="exact"/>
        <w:ind w:firstLineChars="200" w:firstLine="480"/>
        <w:rPr>
          <w:rFonts w:ascii="Calibri" w:hAnsi="Calibri"/>
          <w:color w:val="auto"/>
          <w:sz w:val="24"/>
        </w:rPr>
      </w:pPr>
      <w:r w:rsidRPr="001D5F85">
        <w:rPr>
          <w:rFonts w:ascii="Calibri" w:hAnsi="Calibri" w:hint="eastAsia"/>
          <w:color w:val="auto"/>
          <w:sz w:val="24"/>
        </w:rPr>
        <w:t>（</w:t>
      </w:r>
      <w:r>
        <w:rPr>
          <w:rFonts w:ascii="Calibri" w:hAnsi="Calibri"/>
          <w:color w:val="auto"/>
          <w:sz w:val="24"/>
        </w:rPr>
        <w:t>4</w:t>
      </w:r>
      <w:r w:rsidRPr="001D5F85">
        <w:rPr>
          <w:rFonts w:ascii="Calibri" w:hAnsi="Calibri" w:hint="eastAsia"/>
          <w:color w:val="auto"/>
          <w:sz w:val="24"/>
        </w:rPr>
        <w:t>）</w:t>
      </w:r>
      <w:r>
        <w:rPr>
          <w:rFonts w:hint="eastAsia"/>
          <w:color w:val="000000" w:themeColor="text1"/>
          <w:sz w:val="24"/>
        </w:rPr>
        <w:t>过程控制</w:t>
      </w:r>
    </w:p>
    <w:p w14:paraId="42698DB4" w14:textId="77777777" w:rsidR="00695E76" w:rsidRPr="00EB4621" w:rsidRDefault="00695E76" w:rsidP="00695E76">
      <w:pPr>
        <w:spacing w:line="520" w:lineRule="exact"/>
        <w:ind w:firstLineChars="200" w:firstLine="480"/>
        <w:rPr>
          <w:color w:val="000000" w:themeColor="text1"/>
        </w:rPr>
      </w:pPr>
      <w:r w:rsidRPr="00695E76">
        <w:rPr>
          <w:rFonts w:ascii="Calibri" w:hAnsi="Calibri" w:hint="eastAsia"/>
          <w:color w:val="auto"/>
          <w:sz w:val="24"/>
        </w:rPr>
        <w:t>企业选用先进的仪器仪表，建立完善的监控控制制度。为了搞好生产过程中的工艺控制、优化生产，还应注意以下环节的工艺参数控制</w:t>
      </w:r>
      <w:r w:rsidRPr="00EB4621">
        <w:rPr>
          <w:rFonts w:hint="eastAsia"/>
          <w:color w:val="000000" w:themeColor="text1"/>
        </w:rPr>
        <w:t>：</w:t>
      </w:r>
    </w:p>
    <w:p w14:paraId="666E0FC0" w14:textId="77777777" w:rsidR="00695E76" w:rsidRPr="00695E76" w:rsidRDefault="00695E76" w:rsidP="00695E76">
      <w:pPr>
        <w:spacing w:line="520" w:lineRule="exact"/>
        <w:ind w:firstLineChars="200" w:firstLine="480"/>
        <w:rPr>
          <w:rFonts w:ascii="Calibri" w:hAnsi="Calibri"/>
          <w:color w:val="auto"/>
          <w:sz w:val="24"/>
        </w:rPr>
      </w:pPr>
      <w:r>
        <w:rPr>
          <w:rFonts w:ascii="Calibri" w:hAnsi="Calibri"/>
          <w:color w:val="auto"/>
          <w:sz w:val="24"/>
        </w:rPr>
        <w:t>1</w:t>
      </w:r>
      <w:r>
        <w:rPr>
          <w:rFonts w:ascii="Calibri" w:hAnsi="Calibri" w:hint="eastAsia"/>
          <w:color w:val="auto"/>
          <w:sz w:val="24"/>
        </w:rPr>
        <w:t>）</w:t>
      </w:r>
      <w:r w:rsidRPr="00695E76">
        <w:rPr>
          <w:rFonts w:ascii="Calibri" w:hAnsi="Calibri" w:hint="eastAsia"/>
          <w:color w:val="auto"/>
          <w:sz w:val="24"/>
        </w:rPr>
        <w:t>进料控制系统：启动原料泵，打开进料调节阀，关闭返料阀，开始向反应器投料，同时开始进料量累积。进料调节器引入进料压力和进料温度，并对进料量进行温压补偿。</w:t>
      </w:r>
    </w:p>
    <w:p w14:paraId="275F1F07" w14:textId="77777777" w:rsidR="00695E76" w:rsidRPr="00695E76" w:rsidRDefault="00695E76" w:rsidP="00695E76">
      <w:pPr>
        <w:spacing w:line="520" w:lineRule="exact"/>
        <w:ind w:firstLineChars="200" w:firstLine="480"/>
        <w:rPr>
          <w:rFonts w:ascii="Calibri" w:hAnsi="Calibri"/>
          <w:color w:val="auto"/>
          <w:sz w:val="24"/>
        </w:rPr>
      </w:pPr>
      <w:r>
        <w:rPr>
          <w:rFonts w:ascii="Calibri" w:hAnsi="Calibri"/>
          <w:color w:val="auto"/>
          <w:sz w:val="24"/>
        </w:rPr>
        <w:t>2</w:t>
      </w:r>
      <w:r>
        <w:rPr>
          <w:rFonts w:ascii="Calibri" w:hAnsi="Calibri" w:hint="eastAsia"/>
          <w:color w:val="auto"/>
          <w:sz w:val="24"/>
        </w:rPr>
        <w:t>）</w:t>
      </w:r>
      <w:r w:rsidRPr="00695E76">
        <w:rPr>
          <w:rFonts w:ascii="Calibri" w:hAnsi="Calibri" w:hint="eastAsia"/>
          <w:color w:val="auto"/>
          <w:sz w:val="24"/>
        </w:rPr>
        <w:t>对生产过程实时监控：控制系统采用分散型过程控制系统与常规仪表相结合的方案，尽量集中监控，仪表的选择以先进、可靠、经济和使用方便为原则。</w:t>
      </w:r>
    </w:p>
    <w:p w14:paraId="07362710" w14:textId="77777777" w:rsidR="00695E76" w:rsidRPr="00695E76" w:rsidRDefault="00695E76" w:rsidP="00695E76">
      <w:pPr>
        <w:spacing w:line="520" w:lineRule="exact"/>
        <w:ind w:firstLineChars="200" w:firstLine="480"/>
        <w:rPr>
          <w:rFonts w:ascii="Calibri" w:hAnsi="Calibri"/>
          <w:color w:val="auto"/>
          <w:sz w:val="24"/>
        </w:rPr>
      </w:pPr>
      <w:r>
        <w:rPr>
          <w:rFonts w:ascii="Calibri" w:hAnsi="Calibri"/>
          <w:color w:val="auto"/>
          <w:sz w:val="24"/>
        </w:rPr>
        <w:t>3</w:t>
      </w:r>
      <w:r>
        <w:rPr>
          <w:rFonts w:ascii="Calibri" w:hAnsi="Calibri" w:hint="eastAsia"/>
          <w:color w:val="auto"/>
          <w:sz w:val="24"/>
        </w:rPr>
        <w:t>）</w:t>
      </w:r>
      <w:r w:rsidRPr="00695E76">
        <w:rPr>
          <w:rFonts w:ascii="Calibri" w:hAnsi="Calibri" w:hint="eastAsia"/>
          <w:color w:val="auto"/>
          <w:sz w:val="24"/>
        </w:rPr>
        <w:t>本项目采用集散控制系统（</w:t>
      </w:r>
      <w:r w:rsidRPr="00695E76">
        <w:rPr>
          <w:rFonts w:ascii="Calibri" w:hAnsi="Calibri" w:hint="eastAsia"/>
          <w:color w:val="auto"/>
          <w:sz w:val="24"/>
        </w:rPr>
        <w:t>DCS</w:t>
      </w:r>
      <w:r>
        <w:rPr>
          <w:rFonts w:ascii="Calibri" w:hAnsi="Calibri" w:hint="eastAsia"/>
          <w:color w:val="auto"/>
          <w:sz w:val="24"/>
        </w:rPr>
        <w:t>）对工艺装置进行监视和控制</w:t>
      </w:r>
      <w:r w:rsidRPr="00695E76">
        <w:rPr>
          <w:rFonts w:ascii="Calibri" w:hAnsi="Calibri" w:hint="eastAsia"/>
          <w:color w:val="auto"/>
          <w:sz w:val="24"/>
        </w:rPr>
        <w:t>。根据本项目工艺装置特点，依据目前工业过程控制系统的发展水平和应用状态，以及生产装置对控制系统可靠性、稳定性，先进性和可通信性的要求，选择技术成熟的集散控制系统（</w:t>
      </w:r>
      <w:r w:rsidRPr="00695E76">
        <w:rPr>
          <w:rFonts w:ascii="Calibri" w:hAnsi="Calibri" w:hint="eastAsia"/>
          <w:color w:val="auto"/>
          <w:sz w:val="24"/>
        </w:rPr>
        <w:t>DCS</w:t>
      </w:r>
      <w:r w:rsidRPr="00695E76">
        <w:rPr>
          <w:rFonts w:ascii="Calibri" w:hAnsi="Calibri" w:hint="eastAsia"/>
          <w:color w:val="auto"/>
          <w:sz w:val="24"/>
        </w:rPr>
        <w:t>）作为主要的控制系统，用于工艺生产装置过程数据采集、信号处理、过程参数显示、报警和控制。</w:t>
      </w:r>
    </w:p>
    <w:p w14:paraId="43854A48" w14:textId="77777777" w:rsidR="00695E76" w:rsidRPr="00695E76" w:rsidRDefault="00695E76" w:rsidP="00695E76">
      <w:pPr>
        <w:spacing w:line="520" w:lineRule="exact"/>
        <w:ind w:firstLineChars="200" w:firstLine="480"/>
        <w:rPr>
          <w:rFonts w:ascii="Calibri" w:hAnsi="Calibri"/>
          <w:color w:val="auto"/>
          <w:sz w:val="24"/>
        </w:rPr>
      </w:pPr>
      <w:r w:rsidRPr="00695E76">
        <w:rPr>
          <w:rFonts w:ascii="Calibri" w:hAnsi="Calibri" w:hint="eastAsia"/>
          <w:color w:val="auto"/>
          <w:sz w:val="24"/>
        </w:rPr>
        <w:t>DCS</w:t>
      </w:r>
      <w:r w:rsidRPr="00695E76">
        <w:rPr>
          <w:rFonts w:ascii="Calibri" w:hAnsi="Calibri" w:hint="eastAsia"/>
          <w:color w:val="auto"/>
          <w:sz w:val="24"/>
        </w:rPr>
        <w:t>系统是企业信息化的一部分，它是综合自动化和信息化的一个重要的组成部分。该系统以微处理机为基础，进行分散控制，集中监视及管理。系统硬件的冗余配置以及自诊断功能，进一步提高了系统的可靠性，分散了危险性。</w:t>
      </w:r>
      <w:r w:rsidRPr="00695E76">
        <w:rPr>
          <w:rFonts w:ascii="Calibri" w:hAnsi="Calibri" w:hint="eastAsia"/>
          <w:color w:val="auto"/>
          <w:sz w:val="24"/>
        </w:rPr>
        <w:t>DCS</w:t>
      </w:r>
      <w:r w:rsidRPr="00695E76">
        <w:rPr>
          <w:rFonts w:ascii="Calibri" w:hAnsi="Calibri" w:hint="eastAsia"/>
          <w:color w:val="auto"/>
          <w:sz w:val="24"/>
        </w:rPr>
        <w:t>强大的功能软件，灵活的组态方式，方便了人机联系，同时克服了常规模拟仪表控制性能单一和人机联系过于分散的缺陷。</w:t>
      </w:r>
    </w:p>
    <w:p w14:paraId="6B7F9235" w14:textId="77777777" w:rsidR="00695E76" w:rsidRPr="00695E76" w:rsidRDefault="00695E76" w:rsidP="00695E76">
      <w:pPr>
        <w:spacing w:line="520" w:lineRule="exact"/>
        <w:ind w:firstLineChars="200" w:firstLine="480"/>
        <w:rPr>
          <w:rFonts w:ascii="Calibri" w:hAnsi="Calibri"/>
          <w:color w:val="auto"/>
          <w:sz w:val="24"/>
        </w:rPr>
      </w:pPr>
      <w:r w:rsidRPr="00695E76">
        <w:rPr>
          <w:rFonts w:ascii="Calibri" w:hAnsi="Calibri" w:hint="eastAsia"/>
          <w:color w:val="auto"/>
          <w:sz w:val="24"/>
        </w:rPr>
        <w:t>DCS</w:t>
      </w:r>
      <w:r w:rsidRPr="00695E76">
        <w:rPr>
          <w:rFonts w:ascii="Calibri" w:hAnsi="Calibri" w:hint="eastAsia"/>
          <w:color w:val="auto"/>
          <w:sz w:val="24"/>
        </w:rPr>
        <w:t>系统先进的过程自动化控制技术手段，有效的组成了过程管理信息网络。完</w:t>
      </w:r>
      <w:r w:rsidRPr="00695E76">
        <w:rPr>
          <w:rFonts w:ascii="Calibri" w:hAnsi="Calibri" w:hint="eastAsia"/>
          <w:color w:val="auto"/>
          <w:sz w:val="24"/>
        </w:rPr>
        <w:lastRenderedPageBreak/>
        <w:t>成数据的采集与处理、</w:t>
      </w:r>
      <w:r w:rsidRPr="00695E76">
        <w:rPr>
          <w:rFonts w:ascii="Calibri" w:hAnsi="Calibri" w:hint="eastAsia"/>
          <w:color w:val="auto"/>
          <w:sz w:val="24"/>
        </w:rPr>
        <w:t>PID</w:t>
      </w:r>
      <w:r w:rsidRPr="00695E76">
        <w:rPr>
          <w:rFonts w:ascii="Calibri" w:hAnsi="Calibri" w:hint="eastAsia"/>
          <w:color w:val="auto"/>
          <w:sz w:val="24"/>
        </w:rPr>
        <w:t>控制、批量控制、逻辑控制。与</w:t>
      </w:r>
      <w:r w:rsidRPr="00695E76">
        <w:rPr>
          <w:rFonts w:ascii="Calibri" w:hAnsi="Calibri" w:hint="eastAsia"/>
          <w:color w:val="auto"/>
          <w:sz w:val="24"/>
        </w:rPr>
        <w:t>PC</w:t>
      </w:r>
      <w:r w:rsidRPr="00695E76">
        <w:rPr>
          <w:rFonts w:ascii="Calibri" w:hAnsi="Calibri" w:hint="eastAsia"/>
          <w:color w:val="auto"/>
          <w:sz w:val="24"/>
        </w:rPr>
        <w:t>机相连，可以进行多变量相关控制以及优化控制。操作员和管理者与生产过程紧密的结合起来，随时进行信息交换，获得最佳的操作状态。</w:t>
      </w:r>
      <w:r w:rsidRPr="00695E76">
        <w:rPr>
          <w:rFonts w:ascii="Calibri" w:hAnsi="Calibri" w:hint="eastAsia"/>
          <w:color w:val="auto"/>
          <w:sz w:val="24"/>
        </w:rPr>
        <w:t>DCS</w:t>
      </w:r>
      <w:r w:rsidRPr="00695E76">
        <w:rPr>
          <w:rFonts w:ascii="Calibri" w:hAnsi="Calibri" w:hint="eastAsia"/>
          <w:color w:val="auto"/>
          <w:sz w:val="24"/>
        </w:rPr>
        <w:t>系统具有较高的性能价格比，控制水平和可靠性将大大的提高，同时也减少了整个系统的维修量。</w:t>
      </w:r>
    </w:p>
    <w:p w14:paraId="1818E43B" w14:textId="77777777" w:rsidR="001D5F85" w:rsidRPr="00695E76" w:rsidRDefault="00695E76" w:rsidP="00695E76">
      <w:pPr>
        <w:spacing w:line="520" w:lineRule="exact"/>
        <w:ind w:firstLineChars="200" w:firstLine="480"/>
        <w:rPr>
          <w:rFonts w:ascii="Calibri" w:hAnsi="Calibri"/>
          <w:color w:val="auto"/>
          <w:sz w:val="24"/>
        </w:rPr>
      </w:pPr>
      <w:r w:rsidRPr="00695E76">
        <w:rPr>
          <w:rFonts w:ascii="Calibri" w:hAnsi="Calibri" w:hint="eastAsia"/>
          <w:color w:val="auto"/>
          <w:sz w:val="24"/>
        </w:rPr>
        <w:t>DCS</w:t>
      </w:r>
      <w:r w:rsidRPr="00695E76">
        <w:rPr>
          <w:rFonts w:ascii="Calibri" w:hAnsi="Calibri" w:hint="eastAsia"/>
          <w:color w:val="auto"/>
          <w:sz w:val="24"/>
        </w:rPr>
        <w:t>系统组态灵活，可方便实现多种复杂回路和各种画面的编程，如总貌画面、分组画面、调整画面、趋势记录画面、报警一览画面和各种报表，并可通过外设辅助设备来获得实时数据。</w:t>
      </w:r>
    </w:p>
    <w:p w14:paraId="0DF87158" w14:textId="77777777" w:rsidR="00695E76" w:rsidRPr="001D5F85" w:rsidRDefault="00695E76" w:rsidP="00695E76">
      <w:pPr>
        <w:spacing w:line="520" w:lineRule="exact"/>
        <w:ind w:firstLineChars="200" w:firstLine="480"/>
        <w:rPr>
          <w:rFonts w:ascii="Calibri" w:hAnsi="Calibri"/>
          <w:color w:val="auto"/>
          <w:sz w:val="24"/>
        </w:rPr>
      </w:pPr>
      <w:r w:rsidRPr="001D5F85">
        <w:rPr>
          <w:rFonts w:ascii="Calibri" w:hAnsi="Calibri" w:hint="eastAsia"/>
          <w:color w:val="auto"/>
          <w:sz w:val="24"/>
        </w:rPr>
        <w:t>（</w:t>
      </w:r>
      <w:r>
        <w:rPr>
          <w:rFonts w:ascii="Calibri" w:hAnsi="Calibri"/>
          <w:color w:val="auto"/>
          <w:sz w:val="24"/>
        </w:rPr>
        <w:t>5</w:t>
      </w:r>
      <w:r w:rsidRPr="001D5F85">
        <w:rPr>
          <w:rFonts w:ascii="Calibri" w:hAnsi="Calibri" w:hint="eastAsia"/>
          <w:color w:val="auto"/>
          <w:sz w:val="24"/>
        </w:rPr>
        <w:t>）</w:t>
      </w:r>
      <w:r>
        <w:rPr>
          <w:rFonts w:hint="eastAsia"/>
          <w:color w:val="000000" w:themeColor="text1"/>
          <w:sz w:val="24"/>
        </w:rPr>
        <w:t>产品</w:t>
      </w:r>
    </w:p>
    <w:p w14:paraId="0F210281" w14:textId="77777777" w:rsidR="00AF5AB9" w:rsidRPr="00AF5AB9" w:rsidRDefault="00AF5AB9" w:rsidP="0053271F">
      <w:pPr>
        <w:spacing w:line="520" w:lineRule="exact"/>
        <w:ind w:firstLineChars="200" w:firstLine="480"/>
        <w:rPr>
          <w:rFonts w:ascii="Calibri" w:hAnsi="Calibri"/>
          <w:color w:val="auto"/>
          <w:sz w:val="24"/>
        </w:rPr>
      </w:pPr>
      <w:r w:rsidRPr="00AF5AB9">
        <w:rPr>
          <w:rFonts w:ascii="Calibri" w:hAnsi="Calibri" w:hint="eastAsia"/>
          <w:color w:val="auto"/>
          <w:sz w:val="24"/>
        </w:rPr>
        <w:t>透明尼龙材料具有极高透明度外形美观、高韧性、高回弹、高耐化学性、抗</w:t>
      </w:r>
      <w:r w:rsidRPr="00AF5AB9">
        <w:rPr>
          <w:rFonts w:ascii="Calibri" w:hAnsi="Calibri" w:hint="eastAsia"/>
          <w:color w:val="auto"/>
          <w:sz w:val="24"/>
        </w:rPr>
        <w:t>UV</w:t>
      </w:r>
      <w:r w:rsidRPr="00AF5AB9">
        <w:rPr>
          <w:rFonts w:ascii="Calibri" w:hAnsi="Calibri" w:hint="eastAsia"/>
          <w:color w:val="auto"/>
          <w:sz w:val="24"/>
        </w:rPr>
        <w:t>、耐水解、质轻、吸水率低、尺寸稳定性好、易加工，环保安全，不含</w:t>
      </w:r>
      <w:r w:rsidRPr="00AF5AB9">
        <w:rPr>
          <w:rFonts w:ascii="Calibri" w:hAnsi="Calibri" w:hint="eastAsia"/>
          <w:color w:val="auto"/>
          <w:sz w:val="24"/>
        </w:rPr>
        <w:t>BPA</w:t>
      </w:r>
      <w:r w:rsidRPr="00AF5AB9">
        <w:rPr>
          <w:rFonts w:ascii="Calibri" w:hAnsi="Calibri" w:hint="eastAsia"/>
          <w:color w:val="auto"/>
          <w:sz w:val="24"/>
        </w:rPr>
        <w:t>和</w:t>
      </w:r>
      <w:r w:rsidRPr="00AF5AB9">
        <w:rPr>
          <w:rFonts w:ascii="Calibri" w:hAnsi="Calibri" w:hint="eastAsia"/>
          <w:color w:val="auto"/>
          <w:sz w:val="24"/>
        </w:rPr>
        <w:t>BPS</w:t>
      </w:r>
      <w:r w:rsidRPr="00AF5AB9">
        <w:rPr>
          <w:rFonts w:ascii="Calibri" w:hAnsi="Calibri" w:hint="eastAsia"/>
          <w:color w:val="auto"/>
          <w:sz w:val="24"/>
        </w:rPr>
        <w:t>对人体有害物质。广泛应用于航空、医疗、光学、电子、家电等领域。产品如奶瓶、运动水壶、辅食机、蒸笼、耳机、眼镜、手表、油杯等。</w:t>
      </w:r>
    </w:p>
    <w:p w14:paraId="0069D7EC" w14:textId="77777777" w:rsidR="00695E76" w:rsidRPr="001D5F85" w:rsidRDefault="00695E76" w:rsidP="00695E76">
      <w:pPr>
        <w:spacing w:line="520" w:lineRule="exact"/>
        <w:ind w:firstLineChars="200" w:firstLine="480"/>
        <w:rPr>
          <w:rFonts w:ascii="Calibri" w:hAnsi="Calibri"/>
          <w:color w:val="auto"/>
          <w:sz w:val="24"/>
        </w:rPr>
      </w:pPr>
      <w:r w:rsidRPr="001D5F85">
        <w:rPr>
          <w:rFonts w:ascii="Calibri" w:hAnsi="Calibri" w:hint="eastAsia"/>
          <w:color w:val="auto"/>
          <w:sz w:val="24"/>
        </w:rPr>
        <w:t>（</w:t>
      </w:r>
      <w:r>
        <w:rPr>
          <w:rFonts w:ascii="Calibri" w:hAnsi="Calibri"/>
          <w:color w:val="auto"/>
          <w:sz w:val="24"/>
        </w:rPr>
        <w:t>6</w:t>
      </w:r>
      <w:r w:rsidRPr="001D5F85">
        <w:rPr>
          <w:rFonts w:ascii="Calibri" w:hAnsi="Calibri" w:hint="eastAsia"/>
          <w:color w:val="auto"/>
          <w:sz w:val="24"/>
        </w:rPr>
        <w:t>）</w:t>
      </w:r>
      <w:r w:rsidR="00EA1FAC">
        <w:rPr>
          <w:rFonts w:hint="eastAsia"/>
          <w:color w:val="000000" w:themeColor="text1"/>
          <w:sz w:val="24"/>
        </w:rPr>
        <w:t>污染物达标</w:t>
      </w:r>
      <w:r w:rsidR="00EA1FAC">
        <w:rPr>
          <w:color w:val="000000" w:themeColor="text1"/>
          <w:sz w:val="24"/>
        </w:rPr>
        <w:t>排放</w:t>
      </w:r>
    </w:p>
    <w:p w14:paraId="778D3007" w14:textId="77777777" w:rsidR="001D5F85" w:rsidRPr="00695E76" w:rsidRDefault="00B57C3F" w:rsidP="00070A5E">
      <w:pPr>
        <w:spacing w:line="520" w:lineRule="exact"/>
        <w:ind w:firstLineChars="200" w:firstLine="480"/>
        <w:rPr>
          <w:rFonts w:ascii="Calibri" w:hAnsi="Calibri"/>
          <w:color w:val="auto"/>
          <w:sz w:val="24"/>
        </w:rPr>
      </w:pPr>
      <w:r>
        <w:rPr>
          <w:rFonts w:ascii="Calibri" w:hAnsi="Calibri" w:hint="eastAsia"/>
          <w:color w:val="auto"/>
          <w:sz w:val="24"/>
        </w:rPr>
        <w:t>1</w:t>
      </w:r>
      <w:r>
        <w:rPr>
          <w:rFonts w:ascii="Calibri" w:hAnsi="Calibri" w:hint="eastAsia"/>
          <w:color w:val="auto"/>
          <w:sz w:val="24"/>
        </w:rPr>
        <w:t>）</w:t>
      </w:r>
      <w:r>
        <w:rPr>
          <w:rFonts w:ascii="Calibri" w:hAnsi="Calibri"/>
          <w:color w:val="auto"/>
          <w:sz w:val="24"/>
        </w:rPr>
        <w:t>废水</w:t>
      </w:r>
    </w:p>
    <w:p w14:paraId="7E787EB1" w14:textId="4CE91758" w:rsidR="00AC555A" w:rsidRDefault="00B57C3F" w:rsidP="000D53E8">
      <w:pPr>
        <w:spacing w:line="520" w:lineRule="exact"/>
        <w:ind w:firstLineChars="200" w:firstLine="480"/>
        <w:rPr>
          <w:rFonts w:ascii="Calibri" w:hAnsi="Calibri"/>
          <w:color w:val="auto"/>
          <w:sz w:val="24"/>
        </w:rPr>
      </w:pPr>
      <w:r w:rsidRPr="00B57C3F">
        <w:rPr>
          <w:rFonts w:ascii="Calibri" w:hAnsi="Calibri" w:hint="eastAsia"/>
          <w:color w:val="auto"/>
          <w:sz w:val="24"/>
        </w:rPr>
        <w:t>本次项目共计年排放废水量</w:t>
      </w:r>
      <w:r w:rsidR="0008226D">
        <w:rPr>
          <w:rFonts w:ascii="Calibri" w:hAnsi="Calibri"/>
          <w:color w:val="auto"/>
          <w:sz w:val="24"/>
        </w:rPr>
        <w:t>15394.855</w:t>
      </w:r>
      <w:r w:rsidRPr="00B57C3F">
        <w:rPr>
          <w:rFonts w:ascii="Calibri" w:hAnsi="Calibri" w:hint="eastAsia"/>
          <w:color w:val="auto"/>
          <w:sz w:val="24"/>
        </w:rPr>
        <w:t>m</w:t>
      </w:r>
      <w:r w:rsidRPr="00B57C3F">
        <w:rPr>
          <w:rFonts w:ascii="Calibri" w:hAnsi="Calibri" w:hint="eastAsia"/>
          <w:color w:val="auto"/>
          <w:sz w:val="24"/>
          <w:vertAlign w:val="superscript"/>
        </w:rPr>
        <w:t>3</w:t>
      </w:r>
      <w:r w:rsidRPr="00B57C3F">
        <w:rPr>
          <w:rFonts w:ascii="Calibri" w:hAnsi="Calibri" w:hint="eastAsia"/>
          <w:color w:val="auto"/>
          <w:sz w:val="24"/>
        </w:rPr>
        <w:t>/a</w:t>
      </w:r>
      <w:r w:rsidRPr="00B57C3F">
        <w:rPr>
          <w:rFonts w:ascii="Calibri" w:hAnsi="Calibri" w:hint="eastAsia"/>
          <w:color w:val="auto"/>
          <w:sz w:val="24"/>
        </w:rPr>
        <w:t>，基准排水量为</w:t>
      </w:r>
      <w:r w:rsidR="0008226D">
        <w:rPr>
          <w:rFonts w:ascii="Calibri" w:hAnsi="Calibri"/>
          <w:color w:val="auto"/>
          <w:sz w:val="24"/>
        </w:rPr>
        <w:t>3.84</w:t>
      </w:r>
      <w:r w:rsidRPr="00B57C3F">
        <w:rPr>
          <w:rFonts w:ascii="Calibri" w:hAnsi="Calibri" w:hint="eastAsia"/>
          <w:color w:val="auto"/>
          <w:sz w:val="24"/>
        </w:rPr>
        <w:t>m</w:t>
      </w:r>
      <w:r w:rsidRPr="00B57C3F">
        <w:rPr>
          <w:rFonts w:ascii="Calibri" w:hAnsi="Calibri" w:hint="eastAsia"/>
          <w:color w:val="auto"/>
          <w:sz w:val="24"/>
          <w:vertAlign w:val="superscript"/>
        </w:rPr>
        <w:t>3</w:t>
      </w:r>
      <w:r w:rsidRPr="00B57C3F">
        <w:rPr>
          <w:rFonts w:ascii="Calibri" w:hAnsi="Calibri" w:hint="eastAsia"/>
          <w:color w:val="auto"/>
          <w:sz w:val="24"/>
        </w:rPr>
        <w:t>/t</w:t>
      </w:r>
      <w:r w:rsidRPr="00B57C3F">
        <w:rPr>
          <w:rFonts w:ascii="Calibri" w:hAnsi="Calibri" w:hint="eastAsia"/>
          <w:color w:val="auto"/>
          <w:sz w:val="24"/>
        </w:rPr>
        <w:t>产品，小于《合成树脂工业污染物排放标准》（</w:t>
      </w:r>
      <w:r w:rsidRPr="00B57C3F">
        <w:rPr>
          <w:rFonts w:ascii="Calibri" w:hAnsi="Calibri" w:hint="eastAsia"/>
          <w:color w:val="auto"/>
          <w:sz w:val="24"/>
        </w:rPr>
        <w:t>GB31572-2015</w:t>
      </w:r>
      <w:r w:rsidRPr="00B57C3F">
        <w:rPr>
          <w:rFonts w:ascii="Calibri" w:hAnsi="Calibri" w:hint="eastAsia"/>
          <w:color w:val="auto"/>
          <w:sz w:val="24"/>
        </w:rPr>
        <w:t>）表</w:t>
      </w:r>
      <w:r w:rsidRPr="00B57C3F">
        <w:rPr>
          <w:rFonts w:ascii="Calibri" w:hAnsi="Calibri" w:hint="eastAsia"/>
          <w:color w:val="auto"/>
          <w:sz w:val="24"/>
        </w:rPr>
        <w:t>3</w:t>
      </w:r>
      <w:r w:rsidRPr="00B57C3F">
        <w:rPr>
          <w:rFonts w:ascii="Calibri" w:hAnsi="Calibri" w:hint="eastAsia"/>
          <w:color w:val="auto"/>
          <w:sz w:val="24"/>
        </w:rPr>
        <w:t>中单位产品基准排水量限值</w:t>
      </w:r>
      <w:r w:rsidRPr="00B57C3F">
        <w:rPr>
          <w:rFonts w:ascii="Calibri" w:hAnsi="Calibri" w:hint="eastAsia"/>
          <w:color w:val="auto"/>
          <w:sz w:val="24"/>
        </w:rPr>
        <w:t>4.0m</w:t>
      </w:r>
      <w:r w:rsidRPr="00B57C3F">
        <w:rPr>
          <w:rFonts w:ascii="Calibri" w:hAnsi="Calibri" w:hint="eastAsia"/>
          <w:color w:val="auto"/>
          <w:sz w:val="24"/>
          <w:vertAlign w:val="superscript"/>
        </w:rPr>
        <w:t>3</w:t>
      </w:r>
      <w:r w:rsidRPr="00B57C3F">
        <w:rPr>
          <w:rFonts w:ascii="Calibri" w:hAnsi="Calibri" w:hint="eastAsia"/>
          <w:color w:val="auto"/>
          <w:sz w:val="24"/>
        </w:rPr>
        <w:t>/t</w:t>
      </w:r>
      <w:r w:rsidRPr="00B57C3F">
        <w:rPr>
          <w:rFonts w:ascii="Calibri" w:hAnsi="Calibri" w:hint="eastAsia"/>
          <w:color w:val="auto"/>
          <w:sz w:val="24"/>
        </w:rPr>
        <w:t>产品的标准要求。项目生产、生活废水经厂区污水站处理达《合成树脂工业污染物排放标准》（</w:t>
      </w:r>
      <w:r w:rsidRPr="00B57C3F">
        <w:rPr>
          <w:rFonts w:ascii="Calibri" w:hAnsi="Calibri" w:hint="eastAsia"/>
          <w:color w:val="auto"/>
          <w:sz w:val="24"/>
        </w:rPr>
        <w:t>GB31572-2015</w:t>
      </w:r>
      <w:r w:rsidRPr="00B57C3F">
        <w:rPr>
          <w:rFonts w:ascii="Calibri" w:hAnsi="Calibri" w:hint="eastAsia"/>
          <w:color w:val="auto"/>
          <w:sz w:val="24"/>
        </w:rPr>
        <w:t>）表</w:t>
      </w:r>
      <w:r w:rsidRPr="00B57C3F">
        <w:rPr>
          <w:rFonts w:ascii="Calibri" w:hAnsi="Calibri" w:hint="eastAsia"/>
          <w:color w:val="auto"/>
          <w:sz w:val="24"/>
        </w:rPr>
        <w:t>1</w:t>
      </w:r>
      <w:r w:rsidRPr="00B57C3F">
        <w:rPr>
          <w:rFonts w:ascii="Calibri" w:hAnsi="Calibri" w:hint="eastAsia"/>
          <w:color w:val="auto"/>
          <w:sz w:val="24"/>
        </w:rPr>
        <w:t>间接排放标准</w:t>
      </w:r>
      <w:r w:rsidR="000D53E8">
        <w:rPr>
          <w:rFonts w:ascii="Calibri" w:hAnsi="Calibri" w:hint="eastAsia"/>
          <w:color w:val="auto"/>
          <w:sz w:val="24"/>
        </w:rPr>
        <w:t>，</w:t>
      </w:r>
      <w:r w:rsidR="000D53E8">
        <w:rPr>
          <w:rFonts w:ascii="Calibri" w:hAnsi="Calibri"/>
          <w:color w:val="auto"/>
          <w:sz w:val="24"/>
        </w:rPr>
        <w:t>同时满足</w:t>
      </w:r>
      <w:r w:rsidR="000D53E8" w:rsidRPr="000D53E8">
        <w:rPr>
          <w:rFonts w:ascii="Calibri" w:hAnsi="Calibri" w:hint="eastAsia"/>
          <w:color w:val="auto"/>
          <w:sz w:val="24"/>
        </w:rPr>
        <w:t>《化工行业水污染物间接排放标准》（</w:t>
      </w:r>
      <w:r w:rsidR="000D53E8" w:rsidRPr="000D53E8">
        <w:rPr>
          <w:rFonts w:ascii="Calibri" w:hAnsi="Calibri" w:hint="eastAsia"/>
          <w:color w:val="auto"/>
          <w:sz w:val="24"/>
        </w:rPr>
        <w:t>DB41/1135-2016</w:t>
      </w:r>
      <w:r w:rsidR="000D53E8" w:rsidRPr="000D53E8">
        <w:rPr>
          <w:rFonts w:ascii="Calibri" w:hAnsi="Calibri" w:hint="eastAsia"/>
          <w:color w:val="auto"/>
          <w:sz w:val="24"/>
        </w:rPr>
        <w:t>）</w:t>
      </w:r>
      <w:r w:rsidR="00E01926">
        <w:rPr>
          <w:rFonts w:ascii="Calibri" w:hAnsi="Calibri" w:hint="eastAsia"/>
          <w:color w:val="auto"/>
          <w:sz w:val="24"/>
        </w:rPr>
        <w:t>及平顶山第三污水处理厂进水水质指标后，经集聚区污水管网排放至平顶山</w:t>
      </w:r>
      <w:r w:rsidRPr="00B57C3F">
        <w:rPr>
          <w:rFonts w:ascii="Calibri" w:hAnsi="Calibri" w:hint="eastAsia"/>
          <w:color w:val="auto"/>
          <w:sz w:val="24"/>
        </w:rPr>
        <w:t>第三污水处理厂再次处理达标后排入灰河。</w:t>
      </w:r>
    </w:p>
    <w:p w14:paraId="6FA14828" w14:textId="77777777" w:rsidR="001D5F85" w:rsidRPr="00B57C3F" w:rsidRDefault="00B57C3F" w:rsidP="00070A5E">
      <w:pPr>
        <w:spacing w:line="520" w:lineRule="exact"/>
        <w:ind w:firstLineChars="200" w:firstLine="480"/>
        <w:rPr>
          <w:rFonts w:ascii="Calibri" w:hAnsi="Calibri"/>
          <w:color w:val="auto"/>
          <w:sz w:val="24"/>
        </w:rPr>
      </w:pPr>
      <w:r>
        <w:rPr>
          <w:rFonts w:ascii="Calibri" w:hAnsi="Calibri" w:hint="eastAsia"/>
          <w:color w:val="auto"/>
          <w:sz w:val="24"/>
        </w:rPr>
        <w:t>2</w:t>
      </w:r>
      <w:r>
        <w:rPr>
          <w:rFonts w:ascii="Calibri" w:hAnsi="Calibri" w:hint="eastAsia"/>
          <w:color w:val="auto"/>
          <w:sz w:val="24"/>
        </w:rPr>
        <w:t>）</w:t>
      </w:r>
      <w:r>
        <w:rPr>
          <w:rFonts w:ascii="Calibri" w:hAnsi="Calibri"/>
          <w:color w:val="auto"/>
          <w:sz w:val="24"/>
        </w:rPr>
        <w:t>废气</w:t>
      </w:r>
    </w:p>
    <w:p w14:paraId="195A0A1D" w14:textId="77777777" w:rsidR="00B57C3F" w:rsidRPr="00B57C3F" w:rsidRDefault="00B57C3F" w:rsidP="00B57C3F">
      <w:pPr>
        <w:spacing w:line="520" w:lineRule="exact"/>
        <w:ind w:firstLineChars="200" w:firstLine="480"/>
        <w:rPr>
          <w:rFonts w:ascii="Calibri" w:hAnsi="Calibri"/>
          <w:color w:val="auto"/>
          <w:sz w:val="24"/>
        </w:rPr>
      </w:pPr>
      <w:r w:rsidRPr="00B57C3F">
        <w:rPr>
          <w:rFonts w:ascii="Calibri" w:hAnsi="Calibri" w:hint="eastAsia"/>
          <w:color w:val="auto"/>
          <w:sz w:val="24"/>
        </w:rPr>
        <w:t>项目废气主要为</w:t>
      </w:r>
      <w:r w:rsidR="00A06A90" w:rsidRPr="00A06A90">
        <w:rPr>
          <w:rFonts w:ascii="Calibri" w:hAnsi="Calibri" w:hint="eastAsia"/>
          <w:color w:val="auto"/>
          <w:sz w:val="24"/>
        </w:rPr>
        <w:t>聚合及聚合釜下料</w:t>
      </w:r>
      <w:r w:rsidRPr="00B57C3F">
        <w:rPr>
          <w:rFonts w:ascii="Calibri" w:hAnsi="Calibri" w:hint="eastAsia"/>
          <w:color w:val="auto"/>
          <w:sz w:val="24"/>
        </w:rPr>
        <w:t>产生的工艺废气、导热油炉燃料燃烧废气以及污水处理站恶臭气体，经各自处理措施处理后，均能做到达标排放。根据核算，本次项目非甲烷总烃排放量为</w:t>
      </w:r>
      <w:r w:rsidR="000D53E8" w:rsidRPr="000D53E8">
        <w:rPr>
          <w:rFonts w:ascii="Calibri" w:hAnsi="Calibri"/>
          <w:color w:val="auto"/>
          <w:sz w:val="24"/>
        </w:rPr>
        <w:t>0.5493</w:t>
      </w:r>
      <w:r w:rsidRPr="00B57C3F">
        <w:rPr>
          <w:rFonts w:ascii="Calibri" w:hAnsi="Calibri" w:hint="eastAsia"/>
          <w:color w:val="auto"/>
          <w:sz w:val="24"/>
        </w:rPr>
        <w:t>t/a</w:t>
      </w:r>
      <w:r w:rsidRPr="00B57C3F">
        <w:rPr>
          <w:rFonts w:ascii="Calibri" w:hAnsi="Calibri" w:hint="eastAsia"/>
          <w:color w:val="auto"/>
          <w:sz w:val="24"/>
        </w:rPr>
        <w:t>，单位产品非甲烷总烃排放量</w:t>
      </w:r>
      <w:r w:rsidR="000D53E8">
        <w:rPr>
          <w:rFonts w:ascii="Calibri" w:hAnsi="Calibri"/>
          <w:color w:val="auto"/>
          <w:sz w:val="24"/>
        </w:rPr>
        <w:t>0.137</w:t>
      </w:r>
      <w:r w:rsidRPr="00B57C3F">
        <w:rPr>
          <w:rFonts w:ascii="Calibri" w:hAnsi="Calibri" w:hint="eastAsia"/>
          <w:color w:val="auto"/>
          <w:sz w:val="24"/>
        </w:rPr>
        <w:t>kg/t</w:t>
      </w:r>
      <w:r w:rsidRPr="00B57C3F">
        <w:rPr>
          <w:rFonts w:ascii="Calibri" w:hAnsi="Calibri" w:hint="eastAsia"/>
          <w:color w:val="auto"/>
          <w:sz w:val="24"/>
        </w:rPr>
        <w:t>产品，小于《合成树脂工业污染物排放标准》（</w:t>
      </w:r>
      <w:r w:rsidRPr="00B57C3F">
        <w:rPr>
          <w:rFonts w:ascii="Calibri" w:hAnsi="Calibri" w:hint="eastAsia"/>
          <w:color w:val="auto"/>
          <w:sz w:val="24"/>
        </w:rPr>
        <w:t>GB31572-2015</w:t>
      </w:r>
      <w:r w:rsidRPr="00B57C3F">
        <w:rPr>
          <w:rFonts w:ascii="Calibri" w:hAnsi="Calibri" w:hint="eastAsia"/>
          <w:color w:val="auto"/>
          <w:sz w:val="24"/>
        </w:rPr>
        <w:t>）表</w:t>
      </w:r>
      <w:r w:rsidRPr="00B57C3F">
        <w:rPr>
          <w:rFonts w:ascii="Calibri" w:hAnsi="Calibri" w:hint="eastAsia"/>
          <w:color w:val="auto"/>
          <w:sz w:val="24"/>
        </w:rPr>
        <w:t>4</w:t>
      </w:r>
      <w:r w:rsidRPr="00B57C3F">
        <w:rPr>
          <w:rFonts w:ascii="Calibri" w:hAnsi="Calibri" w:hint="eastAsia"/>
          <w:color w:val="auto"/>
          <w:sz w:val="24"/>
        </w:rPr>
        <w:t>中单位产品非甲烷总烃排放量</w:t>
      </w:r>
      <w:r w:rsidRPr="00B57C3F">
        <w:rPr>
          <w:rFonts w:ascii="Calibri" w:hAnsi="Calibri" w:hint="eastAsia"/>
          <w:color w:val="auto"/>
          <w:sz w:val="24"/>
        </w:rPr>
        <w:t>0.5kg/t</w:t>
      </w:r>
      <w:r w:rsidRPr="00B57C3F">
        <w:rPr>
          <w:rFonts w:ascii="Calibri" w:hAnsi="Calibri" w:hint="eastAsia"/>
          <w:color w:val="auto"/>
          <w:sz w:val="24"/>
        </w:rPr>
        <w:t>产品的标准要求。</w:t>
      </w:r>
    </w:p>
    <w:p w14:paraId="2E42BD73" w14:textId="77777777" w:rsidR="00433709" w:rsidRPr="00B57C3F" w:rsidRDefault="00433709" w:rsidP="00433709">
      <w:pPr>
        <w:spacing w:line="520" w:lineRule="exact"/>
        <w:ind w:firstLineChars="200" w:firstLine="480"/>
        <w:rPr>
          <w:rFonts w:ascii="Calibri" w:hAnsi="Calibri"/>
          <w:color w:val="auto"/>
          <w:sz w:val="24"/>
        </w:rPr>
      </w:pPr>
      <w:r>
        <w:rPr>
          <w:rFonts w:ascii="Calibri" w:hAnsi="Calibri"/>
          <w:color w:val="auto"/>
          <w:sz w:val="24"/>
        </w:rPr>
        <w:lastRenderedPageBreak/>
        <w:t>3</w:t>
      </w:r>
      <w:r>
        <w:rPr>
          <w:rFonts w:ascii="Calibri" w:hAnsi="Calibri" w:hint="eastAsia"/>
          <w:color w:val="auto"/>
          <w:sz w:val="24"/>
        </w:rPr>
        <w:t>）噪声</w:t>
      </w:r>
    </w:p>
    <w:p w14:paraId="516AA01F" w14:textId="77777777" w:rsidR="00433709" w:rsidRPr="00433709" w:rsidRDefault="00433709" w:rsidP="000D53E8">
      <w:pPr>
        <w:spacing w:line="520" w:lineRule="exact"/>
        <w:ind w:firstLineChars="200" w:firstLine="480"/>
        <w:rPr>
          <w:rFonts w:ascii="Calibri" w:hAnsi="Calibri"/>
          <w:color w:val="auto"/>
          <w:sz w:val="24"/>
        </w:rPr>
      </w:pPr>
      <w:r w:rsidRPr="00433709">
        <w:rPr>
          <w:rFonts w:ascii="Calibri" w:hAnsi="Calibri" w:hint="eastAsia"/>
          <w:color w:val="auto"/>
          <w:sz w:val="24"/>
        </w:rPr>
        <w:t>项目噪声来源于聚合、包装各类泵机以及转运车辆运转时产生的噪声，噪声级在</w:t>
      </w:r>
      <w:r>
        <w:rPr>
          <w:rFonts w:ascii="Calibri" w:hAnsi="Calibri"/>
          <w:color w:val="auto"/>
          <w:sz w:val="24"/>
        </w:rPr>
        <w:t>85</w:t>
      </w:r>
      <w:r w:rsidRPr="00433709">
        <w:rPr>
          <w:rFonts w:ascii="Calibri" w:hAnsi="Calibri" w:hint="eastAsia"/>
          <w:color w:val="auto"/>
          <w:sz w:val="24"/>
        </w:rPr>
        <w:t>～</w:t>
      </w:r>
      <w:r>
        <w:rPr>
          <w:rFonts w:ascii="Calibri" w:hAnsi="Calibri"/>
          <w:color w:val="auto"/>
          <w:sz w:val="24"/>
        </w:rPr>
        <w:t>90</w:t>
      </w:r>
      <w:r w:rsidRPr="00433709">
        <w:rPr>
          <w:rFonts w:ascii="Calibri" w:hAnsi="Calibri" w:hint="eastAsia"/>
          <w:color w:val="auto"/>
          <w:sz w:val="24"/>
        </w:rPr>
        <w:t>dB</w:t>
      </w:r>
      <w:r w:rsidRPr="00433709">
        <w:rPr>
          <w:rFonts w:ascii="Calibri" w:hAnsi="Calibri" w:hint="eastAsia"/>
          <w:color w:val="auto"/>
          <w:sz w:val="24"/>
        </w:rPr>
        <w:t>左右。工程采取生产设备安装在车间内、设置减震基座、安装隔声罩及进风口消声器等降噪措施，噪声源强可降低</w:t>
      </w:r>
      <w:r w:rsidRPr="00433709">
        <w:rPr>
          <w:rFonts w:ascii="Calibri" w:hAnsi="Calibri" w:hint="eastAsia"/>
          <w:color w:val="auto"/>
          <w:sz w:val="24"/>
        </w:rPr>
        <w:t>10</w:t>
      </w:r>
      <w:r w:rsidRPr="00433709">
        <w:rPr>
          <w:rFonts w:ascii="Calibri" w:hAnsi="Calibri" w:hint="eastAsia"/>
          <w:color w:val="auto"/>
          <w:sz w:val="24"/>
        </w:rPr>
        <w:t>～</w:t>
      </w:r>
      <w:r w:rsidRPr="00433709">
        <w:rPr>
          <w:rFonts w:ascii="Calibri" w:hAnsi="Calibri" w:hint="eastAsia"/>
          <w:color w:val="auto"/>
          <w:sz w:val="24"/>
        </w:rPr>
        <w:t>20dB</w:t>
      </w:r>
      <w:r w:rsidRPr="00433709">
        <w:rPr>
          <w:rFonts w:ascii="Calibri" w:hAnsi="Calibri" w:hint="eastAsia"/>
          <w:color w:val="auto"/>
          <w:sz w:val="24"/>
        </w:rPr>
        <w:t>（</w:t>
      </w:r>
      <w:r w:rsidRPr="00433709">
        <w:rPr>
          <w:rFonts w:ascii="Calibri" w:hAnsi="Calibri" w:hint="eastAsia"/>
          <w:color w:val="auto"/>
          <w:sz w:val="24"/>
        </w:rPr>
        <w:t>A</w:t>
      </w:r>
      <w:r w:rsidRPr="00433709">
        <w:rPr>
          <w:rFonts w:ascii="Calibri" w:hAnsi="Calibri" w:hint="eastAsia"/>
          <w:color w:val="auto"/>
          <w:sz w:val="24"/>
        </w:rPr>
        <w:t>）左右，经预测，项目厂界噪声能够做到达标排放。</w:t>
      </w:r>
    </w:p>
    <w:p w14:paraId="028D99B6"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4</w:t>
      </w:r>
      <w:r w:rsidRPr="00433709">
        <w:rPr>
          <w:rFonts w:ascii="Calibri" w:hAnsi="Calibri" w:hint="eastAsia"/>
          <w:color w:val="auto"/>
          <w:sz w:val="24"/>
        </w:rPr>
        <w:t>）固废</w:t>
      </w:r>
    </w:p>
    <w:p w14:paraId="0D4E836F"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color w:val="auto"/>
          <w:sz w:val="24"/>
        </w:rPr>
        <w:t>本项目固体废物主要为原料拆包产生的废包装材料</w:t>
      </w:r>
      <w:r w:rsidRPr="00433709">
        <w:rPr>
          <w:rFonts w:ascii="Calibri" w:hAnsi="Calibri" w:hint="eastAsia"/>
          <w:color w:val="auto"/>
          <w:sz w:val="24"/>
        </w:rPr>
        <w:t>、瑕疵产品、废导热油、污水站污泥、员工生活垃圾、废机油</w:t>
      </w:r>
      <w:r>
        <w:rPr>
          <w:rFonts w:ascii="Calibri" w:hAnsi="Calibri" w:hint="eastAsia"/>
          <w:color w:val="auto"/>
          <w:sz w:val="24"/>
        </w:rPr>
        <w:t>、</w:t>
      </w:r>
      <w:r w:rsidR="00852DCA">
        <w:rPr>
          <w:rFonts w:ascii="Calibri" w:hAnsi="Calibri" w:hint="eastAsia"/>
          <w:color w:val="auto"/>
          <w:sz w:val="24"/>
        </w:rPr>
        <w:t>品控中心</w:t>
      </w:r>
      <w:r>
        <w:rPr>
          <w:rFonts w:ascii="Calibri" w:hAnsi="Calibri" w:hint="eastAsia"/>
          <w:color w:val="auto"/>
          <w:sz w:val="24"/>
        </w:rPr>
        <w:t>固废、</w:t>
      </w:r>
      <w:r>
        <w:rPr>
          <w:rFonts w:ascii="Calibri" w:hAnsi="Calibri"/>
          <w:color w:val="auto"/>
          <w:sz w:val="24"/>
        </w:rPr>
        <w:t>废气治理固废</w:t>
      </w:r>
      <w:r w:rsidRPr="00433709">
        <w:rPr>
          <w:rFonts w:ascii="Calibri" w:hAnsi="Calibri" w:hint="eastAsia"/>
          <w:color w:val="auto"/>
          <w:sz w:val="24"/>
        </w:rPr>
        <w:t>等，均能做到合理妥善储存、处理与处置。</w:t>
      </w:r>
    </w:p>
    <w:p w14:paraId="1814E22A" w14:textId="77777777" w:rsidR="00433709" w:rsidRPr="001D5F85" w:rsidRDefault="00433709" w:rsidP="00433709">
      <w:pPr>
        <w:spacing w:line="520" w:lineRule="exact"/>
        <w:ind w:firstLineChars="200" w:firstLine="480"/>
        <w:rPr>
          <w:rFonts w:ascii="Calibri" w:hAnsi="Calibri"/>
          <w:color w:val="auto"/>
          <w:sz w:val="24"/>
        </w:rPr>
      </w:pPr>
      <w:r w:rsidRPr="001D5F85">
        <w:rPr>
          <w:rFonts w:ascii="Calibri" w:hAnsi="Calibri" w:hint="eastAsia"/>
          <w:color w:val="auto"/>
          <w:sz w:val="24"/>
        </w:rPr>
        <w:t>（</w:t>
      </w:r>
      <w:r>
        <w:rPr>
          <w:rFonts w:ascii="Calibri" w:hAnsi="Calibri"/>
          <w:color w:val="auto"/>
          <w:sz w:val="24"/>
        </w:rPr>
        <w:t>7</w:t>
      </w:r>
      <w:r w:rsidRPr="001D5F85">
        <w:rPr>
          <w:rFonts w:ascii="Calibri" w:hAnsi="Calibri" w:hint="eastAsia"/>
          <w:color w:val="auto"/>
          <w:sz w:val="24"/>
        </w:rPr>
        <w:t>）</w:t>
      </w:r>
      <w:r>
        <w:rPr>
          <w:rFonts w:hint="eastAsia"/>
          <w:color w:val="000000" w:themeColor="text1"/>
          <w:sz w:val="24"/>
        </w:rPr>
        <w:t>废物的</w:t>
      </w:r>
      <w:r>
        <w:rPr>
          <w:color w:val="000000" w:themeColor="text1"/>
          <w:sz w:val="24"/>
        </w:rPr>
        <w:t>综合利用</w:t>
      </w:r>
    </w:p>
    <w:p w14:paraId="74352F80"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项目生产过程排放的废物主要为废气、废水及固体废物。企业根据废物的性质应尽可能采用综合利用措施，减少资源浪费，减轻对环境的污染。</w:t>
      </w:r>
    </w:p>
    <w:p w14:paraId="376C32AE"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本项目各项废物综合利用措施如下：</w:t>
      </w:r>
    </w:p>
    <w:p w14:paraId="4CE1121B" w14:textId="77777777" w:rsidR="00433709" w:rsidRPr="00433709" w:rsidRDefault="00433709" w:rsidP="00433709">
      <w:pPr>
        <w:spacing w:line="520" w:lineRule="exact"/>
        <w:ind w:firstLineChars="200" w:firstLine="480"/>
        <w:rPr>
          <w:rFonts w:ascii="Calibri" w:hAnsi="Calibri"/>
          <w:color w:val="auto"/>
          <w:sz w:val="24"/>
        </w:rPr>
      </w:pPr>
      <w:r>
        <w:rPr>
          <w:rFonts w:ascii="Calibri" w:hAnsi="Calibri"/>
          <w:color w:val="auto"/>
          <w:sz w:val="24"/>
        </w:rPr>
        <w:t>1</w:t>
      </w:r>
      <w:r w:rsidRPr="00433709">
        <w:rPr>
          <w:rFonts w:ascii="Calibri" w:hAnsi="Calibri" w:hint="eastAsia"/>
          <w:color w:val="auto"/>
          <w:sz w:val="24"/>
        </w:rPr>
        <w:t>）</w:t>
      </w:r>
      <w:r>
        <w:rPr>
          <w:rFonts w:ascii="Calibri" w:hAnsi="Calibri" w:hint="eastAsia"/>
          <w:color w:val="auto"/>
          <w:sz w:val="24"/>
        </w:rPr>
        <w:t>制粒</w:t>
      </w:r>
      <w:r w:rsidR="0053271F">
        <w:rPr>
          <w:rFonts w:ascii="Calibri" w:hAnsi="Calibri" w:hint="eastAsia"/>
          <w:color w:val="auto"/>
          <w:sz w:val="24"/>
        </w:rPr>
        <w:t>阶段冷却</w:t>
      </w:r>
      <w:r w:rsidRPr="00433709">
        <w:rPr>
          <w:rFonts w:ascii="Calibri" w:hAnsi="Calibri" w:hint="eastAsia"/>
          <w:color w:val="auto"/>
          <w:sz w:val="24"/>
        </w:rPr>
        <w:t>水循环使用；</w:t>
      </w:r>
    </w:p>
    <w:p w14:paraId="718067ED" w14:textId="77777777" w:rsidR="00433709" w:rsidRPr="00433709" w:rsidRDefault="00433709" w:rsidP="00433709">
      <w:pPr>
        <w:spacing w:line="520" w:lineRule="exact"/>
        <w:ind w:firstLineChars="200" w:firstLine="480"/>
        <w:rPr>
          <w:rFonts w:ascii="Calibri" w:hAnsi="Calibri"/>
          <w:color w:val="auto"/>
          <w:sz w:val="24"/>
        </w:rPr>
      </w:pPr>
      <w:r>
        <w:rPr>
          <w:rFonts w:ascii="Calibri" w:hAnsi="Calibri"/>
          <w:color w:val="auto"/>
          <w:sz w:val="24"/>
        </w:rPr>
        <w:t>2</w:t>
      </w:r>
      <w:r w:rsidRPr="00433709">
        <w:rPr>
          <w:rFonts w:ascii="Calibri" w:hAnsi="Calibri" w:hint="eastAsia"/>
          <w:color w:val="auto"/>
          <w:sz w:val="24"/>
        </w:rPr>
        <w:t>）</w:t>
      </w:r>
      <w:r>
        <w:rPr>
          <w:rFonts w:ascii="Calibri" w:hAnsi="Calibri" w:hint="eastAsia"/>
          <w:color w:val="auto"/>
          <w:sz w:val="24"/>
        </w:rPr>
        <w:t>聚合</w:t>
      </w:r>
      <w:r w:rsidRPr="00433709">
        <w:rPr>
          <w:rFonts w:ascii="Calibri" w:hAnsi="Calibri" w:hint="eastAsia"/>
          <w:color w:val="auto"/>
          <w:sz w:val="24"/>
        </w:rPr>
        <w:t>阶段产生的废气经冷凝器冷凝后，冷凝液</w:t>
      </w:r>
      <w:r>
        <w:rPr>
          <w:rFonts w:ascii="Calibri" w:hAnsi="Calibri" w:hint="eastAsia"/>
          <w:color w:val="auto"/>
          <w:sz w:val="24"/>
        </w:rPr>
        <w:t>回用于配料</w:t>
      </w:r>
      <w:r w:rsidRPr="00433709">
        <w:rPr>
          <w:rFonts w:ascii="Calibri" w:hAnsi="Calibri" w:hint="eastAsia"/>
          <w:color w:val="auto"/>
          <w:sz w:val="24"/>
        </w:rPr>
        <w:t>；</w:t>
      </w:r>
    </w:p>
    <w:p w14:paraId="661FF24C" w14:textId="77777777" w:rsidR="00433709" w:rsidRPr="00433709" w:rsidRDefault="00433709" w:rsidP="00433709">
      <w:pPr>
        <w:spacing w:line="520" w:lineRule="exact"/>
        <w:ind w:firstLineChars="200" w:firstLine="480"/>
        <w:rPr>
          <w:rFonts w:ascii="Calibri" w:hAnsi="Calibri"/>
          <w:color w:val="auto"/>
          <w:sz w:val="24"/>
        </w:rPr>
      </w:pPr>
      <w:r>
        <w:rPr>
          <w:rFonts w:ascii="Calibri" w:hAnsi="Calibri"/>
          <w:color w:val="auto"/>
          <w:sz w:val="24"/>
        </w:rPr>
        <w:t>3</w:t>
      </w:r>
      <w:r w:rsidRPr="00433709">
        <w:rPr>
          <w:rFonts w:ascii="Calibri" w:hAnsi="Calibri" w:hint="eastAsia"/>
          <w:color w:val="auto"/>
          <w:sz w:val="24"/>
        </w:rPr>
        <w:t>）瑕疵产品作为较低级的原料出售</w:t>
      </w:r>
      <w:r>
        <w:rPr>
          <w:rFonts w:ascii="Calibri" w:hAnsi="Calibri" w:hint="eastAsia"/>
          <w:color w:val="auto"/>
          <w:sz w:val="24"/>
        </w:rPr>
        <w:t>。</w:t>
      </w:r>
    </w:p>
    <w:p w14:paraId="729F298B" w14:textId="77777777" w:rsidR="00433709" w:rsidRPr="001D5F85" w:rsidRDefault="00433709" w:rsidP="00433709">
      <w:pPr>
        <w:spacing w:line="520" w:lineRule="exact"/>
        <w:ind w:firstLineChars="200" w:firstLine="480"/>
        <w:rPr>
          <w:rFonts w:ascii="Calibri" w:hAnsi="Calibri"/>
          <w:color w:val="auto"/>
          <w:sz w:val="24"/>
        </w:rPr>
      </w:pPr>
      <w:r w:rsidRPr="001D5F85">
        <w:rPr>
          <w:rFonts w:ascii="Calibri" w:hAnsi="Calibri" w:hint="eastAsia"/>
          <w:color w:val="auto"/>
          <w:sz w:val="24"/>
        </w:rPr>
        <w:t>（</w:t>
      </w:r>
      <w:r>
        <w:rPr>
          <w:rFonts w:ascii="Calibri" w:hAnsi="Calibri"/>
          <w:color w:val="auto"/>
          <w:sz w:val="24"/>
        </w:rPr>
        <w:t>8</w:t>
      </w:r>
      <w:r w:rsidRPr="001D5F85">
        <w:rPr>
          <w:rFonts w:ascii="Calibri" w:hAnsi="Calibri" w:hint="eastAsia"/>
          <w:color w:val="auto"/>
          <w:sz w:val="24"/>
        </w:rPr>
        <w:t>）</w:t>
      </w:r>
      <w:r>
        <w:rPr>
          <w:rFonts w:hint="eastAsia"/>
          <w:color w:val="000000" w:themeColor="text1"/>
          <w:sz w:val="24"/>
        </w:rPr>
        <w:t>管理</w:t>
      </w:r>
    </w:p>
    <w:p w14:paraId="5F09B4D4"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企业环境管理的作用主要体现在协调发展生产和保护环境的关系。环境管理应依据清洁生产与末端治理相结合的思路，从生产原料进厂到产品出厂整个过程中对原料使用，能源利用、设备维护、污染物治理等方面认真做到严格管理，加强员工清洁生产意识，严格操作规程，杜绝生产过程中不必要的原料及能源的损耗，保证清洁生产稳定持续发展，协调社会、环境效益的统一。评价建议企业在以下方面加强环境管理：</w:t>
      </w:r>
    </w:p>
    <w:p w14:paraId="126B0242"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1</w:t>
      </w:r>
      <w:r w:rsidRPr="00433709">
        <w:rPr>
          <w:rFonts w:ascii="Calibri" w:hAnsi="Calibri" w:hint="eastAsia"/>
          <w:color w:val="auto"/>
          <w:sz w:val="24"/>
        </w:rPr>
        <w:t>）制定有利于清洁生产的管理条例及岗位操作规程。</w:t>
      </w:r>
    </w:p>
    <w:p w14:paraId="2E425E44" w14:textId="77777777" w:rsidR="00433709" w:rsidRDefault="00433709" w:rsidP="00433709">
      <w:pPr>
        <w:spacing w:line="520" w:lineRule="exact"/>
        <w:ind w:firstLineChars="200" w:firstLine="480"/>
        <w:rPr>
          <w:color w:val="000000" w:themeColor="text1"/>
        </w:rPr>
      </w:pPr>
      <w:r w:rsidRPr="00433709">
        <w:rPr>
          <w:rFonts w:ascii="Calibri" w:hAnsi="Calibri" w:hint="eastAsia"/>
          <w:color w:val="auto"/>
          <w:sz w:val="24"/>
        </w:rPr>
        <w:t>2</w:t>
      </w:r>
      <w:r w:rsidRPr="00433709">
        <w:rPr>
          <w:rFonts w:ascii="Calibri" w:hAnsi="Calibri" w:hint="eastAsia"/>
          <w:color w:val="auto"/>
          <w:sz w:val="24"/>
        </w:rPr>
        <w:t>）制定专门的管理制度及可持续清洁生产计划，推行</w:t>
      </w:r>
      <w:r w:rsidRPr="00433709">
        <w:rPr>
          <w:rFonts w:ascii="Calibri" w:hAnsi="Calibri" w:hint="eastAsia"/>
          <w:color w:val="auto"/>
          <w:sz w:val="24"/>
        </w:rPr>
        <w:t>ISO14001</w:t>
      </w:r>
      <w:r w:rsidRPr="00433709">
        <w:rPr>
          <w:rFonts w:ascii="Calibri" w:hAnsi="Calibri" w:hint="eastAsia"/>
          <w:color w:val="auto"/>
          <w:sz w:val="24"/>
        </w:rPr>
        <w:t>环境管理体系</w:t>
      </w:r>
      <w:r w:rsidRPr="00BE177D">
        <w:rPr>
          <w:rFonts w:hint="eastAsia"/>
          <w:color w:val="000000" w:themeColor="text1"/>
        </w:rPr>
        <w:t>。</w:t>
      </w:r>
    </w:p>
    <w:p w14:paraId="43272AB3" w14:textId="77777777" w:rsidR="00433709" w:rsidRPr="001D5F85" w:rsidRDefault="00433709" w:rsidP="00433709">
      <w:pPr>
        <w:spacing w:line="520" w:lineRule="exact"/>
        <w:ind w:firstLineChars="200" w:firstLine="480"/>
        <w:rPr>
          <w:rFonts w:ascii="Calibri" w:hAnsi="Calibri"/>
          <w:color w:val="auto"/>
          <w:sz w:val="24"/>
        </w:rPr>
      </w:pPr>
      <w:r w:rsidRPr="001D5F85">
        <w:rPr>
          <w:rFonts w:ascii="Calibri" w:hAnsi="Calibri" w:hint="eastAsia"/>
          <w:color w:val="auto"/>
          <w:sz w:val="24"/>
        </w:rPr>
        <w:t>（</w:t>
      </w:r>
      <w:r>
        <w:rPr>
          <w:rFonts w:ascii="Calibri" w:hAnsi="Calibri"/>
          <w:color w:val="auto"/>
          <w:sz w:val="24"/>
        </w:rPr>
        <w:t>9</w:t>
      </w:r>
      <w:r w:rsidRPr="001D5F85">
        <w:rPr>
          <w:rFonts w:ascii="Calibri" w:hAnsi="Calibri" w:hint="eastAsia"/>
          <w:color w:val="auto"/>
          <w:sz w:val="24"/>
        </w:rPr>
        <w:t>）</w:t>
      </w:r>
      <w:r>
        <w:rPr>
          <w:rFonts w:hint="eastAsia"/>
          <w:color w:val="000000" w:themeColor="text1"/>
          <w:sz w:val="24"/>
        </w:rPr>
        <w:t>员工</w:t>
      </w:r>
    </w:p>
    <w:p w14:paraId="509DE041"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lastRenderedPageBreak/>
        <w:t>员工素质也是影响清洁生产的重要环节，任何生产过程，无论自动化程度有多高，均需要人的参与，因此员工素质的提高和积极性的激励也是有效控制生产过程和废弃物产生量的重要因素。</w:t>
      </w:r>
    </w:p>
    <w:p w14:paraId="53B1058A"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1</w:t>
      </w:r>
      <w:r w:rsidRPr="00433709">
        <w:rPr>
          <w:rFonts w:ascii="Calibri" w:hAnsi="Calibri" w:hint="eastAsia"/>
          <w:color w:val="auto"/>
          <w:sz w:val="24"/>
        </w:rPr>
        <w:t>）选择有一定工作经验及文化素质较高的员工，并对其进行严格的岗前培训，培训合格方可上岗；</w:t>
      </w:r>
    </w:p>
    <w:p w14:paraId="492E5680"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2</w:t>
      </w:r>
      <w:r w:rsidRPr="00433709">
        <w:rPr>
          <w:rFonts w:ascii="Calibri" w:hAnsi="Calibri" w:hint="eastAsia"/>
          <w:color w:val="auto"/>
          <w:sz w:val="24"/>
        </w:rPr>
        <w:t>）加强对员工的清洁生产意识教育，制定清洁生产的奖励及惩罚措施，提高员工参与清洁生产的积极性；</w:t>
      </w:r>
    </w:p>
    <w:p w14:paraId="11B93E66" w14:textId="77777777" w:rsidR="00433709" w:rsidRPr="00433709" w:rsidRDefault="00433709" w:rsidP="00433709">
      <w:pPr>
        <w:spacing w:line="520" w:lineRule="exact"/>
        <w:ind w:firstLineChars="200" w:firstLine="480"/>
        <w:rPr>
          <w:rFonts w:ascii="Calibri" w:hAnsi="Calibri"/>
          <w:color w:val="auto"/>
          <w:sz w:val="24"/>
        </w:rPr>
      </w:pPr>
      <w:r w:rsidRPr="00433709">
        <w:rPr>
          <w:rFonts w:ascii="Calibri" w:hAnsi="Calibri" w:hint="eastAsia"/>
          <w:color w:val="auto"/>
          <w:sz w:val="24"/>
        </w:rPr>
        <w:t>3</w:t>
      </w:r>
      <w:r w:rsidRPr="00433709">
        <w:rPr>
          <w:rFonts w:ascii="Calibri" w:hAnsi="Calibri" w:hint="eastAsia"/>
          <w:color w:val="auto"/>
          <w:sz w:val="24"/>
        </w:rPr>
        <w:t>）对于车间主要负责人及生产岗位技术骨干，应具有</w:t>
      </w:r>
      <w:r w:rsidR="0053271F">
        <w:rPr>
          <w:rFonts w:ascii="Calibri" w:hAnsi="Calibri" w:hint="eastAsia"/>
          <w:color w:val="auto"/>
          <w:sz w:val="24"/>
        </w:rPr>
        <w:t>相关</w:t>
      </w:r>
      <w:r w:rsidRPr="00433709">
        <w:rPr>
          <w:rFonts w:ascii="Calibri" w:hAnsi="Calibri" w:hint="eastAsia"/>
          <w:color w:val="auto"/>
          <w:sz w:val="24"/>
        </w:rPr>
        <w:t>专业大专以上学历。</w:t>
      </w:r>
    </w:p>
    <w:p w14:paraId="0A9B96FD" w14:textId="77777777" w:rsidR="00433709" w:rsidRPr="00AD10F4" w:rsidRDefault="00433709" w:rsidP="00433709">
      <w:pPr>
        <w:pStyle w:val="00"/>
        <w:rPr>
          <w:rFonts w:ascii="Calibri" w:hAnsi="Calibri"/>
          <w:b/>
          <w:color w:val="auto"/>
        </w:rPr>
      </w:pPr>
      <w:r>
        <w:rPr>
          <w:rFonts w:ascii="Calibri" w:hAnsi="Calibri"/>
          <w:b/>
          <w:color w:val="auto"/>
        </w:rPr>
        <w:t>3</w:t>
      </w:r>
      <w:r w:rsidRPr="00AD10F4">
        <w:rPr>
          <w:rFonts w:ascii="Calibri" w:hAnsi="Calibri" w:hint="eastAsia"/>
          <w:b/>
          <w:color w:val="auto"/>
        </w:rPr>
        <w:t>、</w:t>
      </w:r>
      <w:r w:rsidR="00137E14">
        <w:rPr>
          <w:rFonts w:ascii="Calibri" w:hAnsi="Calibri" w:hint="eastAsia"/>
          <w:b/>
          <w:color w:val="auto"/>
        </w:rPr>
        <w:t>持续清洁</w:t>
      </w:r>
      <w:r w:rsidR="00137E14">
        <w:rPr>
          <w:rFonts w:ascii="Calibri" w:hAnsi="Calibri"/>
          <w:b/>
          <w:color w:val="auto"/>
        </w:rPr>
        <w:t>生产</w:t>
      </w:r>
    </w:p>
    <w:p w14:paraId="0DFC29C7" w14:textId="77777777" w:rsidR="001D5F85" w:rsidRPr="00137E14" w:rsidRDefault="00137E14" w:rsidP="00070A5E">
      <w:pPr>
        <w:spacing w:line="520" w:lineRule="exact"/>
        <w:ind w:firstLineChars="200" w:firstLine="480"/>
        <w:rPr>
          <w:rFonts w:ascii="Calibri" w:hAnsi="Calibri"/>
          <w:color w:val="auto"/>
          <w:sz w:val="24"/>
        </w:rPr>
      </w:pPr>
      <w:r w:rsidRPr="00137E14">
        <w:rPr>
          <w:rFonts w:ascii="Calibri" w:hAnsi="Calibri" w:hint="eastAsia"/>
          <w:color w:val="auto"/>
          <w:sz w:val="24"/>
        </w:rPr>
        <w:t>清洁生产是一个在连续不断改进企业管理、生产工艺、降低生产成本、提高产品质量和减少对环境污染的长期过程，不可能一蹴而就，只要企业进行生产，清洁生产就长期存在，它是使企业可持续发展的有效途径。在企业完成本次工程清洁生产实施方案后，必须制订下一阶段的清洁生产目标，结合本企业生产的实际，通过清洁生产水平的不断提高，尽可能地减少工程能耗和水耗，减少污染物的产生和排放，给企业带来更大的社会、环境和经济效益。</w:t>
      </w:r>
    </w:p>
    <w:p w14:paraId="1DDB5DCF" w14:textId="77777777" w:rsidR="001D5F85" w:rsidRPr="00137E14" w:rsidRDefault="00137E14" w:rsidP="00070A5E">
      <w:pPr>
        <w:spacing w:line="520" w:lineRule="exact"/>
        <w:ind w:firstLineChars="200" w:firstLine="480"/>
        <w:rPr>
          <w:rFonts w:ascii="Calibri" w:hAnsi="Calibri"/>
          <w:color w:val="auto"/>
          <w:sz w:val="24"/>
        </w:rPr>
      </w:pPr>
      <w:r>
        <w:rPr>
          <w:rFonts w:ascii="Calibri" w:hAnsi="Calibri" w:hint="eastAsia"/>
          <w:color w:val="auto"/>
          <w:sz w:val="24"/>
        </w:rPr>
        <w:t>（</w:t>
      </w:r>
      <w:r>
        <w:rPr>
          <w:rFonts w:ascii="Calibri" w:hAnsi="Calibri" w:hint="eastAsia"/>
          <w:color w:val="auto"/>
          <w:sz w:val="24"/>
        </w:rPr>
        <w:t>1</w:t>
      </w:r>
      <w:r>
        <w:rPr>
          <w:rFonts w:ascii="Calibri" w:hAnsi="Calibri" w:hint="eastAsia"/>
          <w:color w:val="auto"/>
          <w:sz w:val="24"/>
        </w:rPr>
        <w:t>）</w:t>
      </w:r>
      <w:r w:rsidRPr="00137E14">
        <w:rPr>
          <w:rFonts w:ascii="Calibri" w:hAnsi="Calibri" w:hint="eastAsia"/>
          <w:color w:val="auto"/>
          <w:sz w:val="24"/>
        </w:rPr>
        <w:t>建立和完善清洁生产组织</w:t>
      </w:r>
    </w:p>
    <w:p w14:paraId="03AA8F9E"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t>清洁生产是一个动态的、相对的概念，是一个连续的过程，因而需有一个固定的机构和工作人员来组织协调这方面的工作，以巩固已取得的清洁生产成果，并使企业清洁生产工作持续地开展下去。</w:t>
      </w:r>
    </w:p>
    <w:p w14:paraId="41544377" w14:textId="77777777" w:rsidR="001D5F85" w:rsidRPr="00137E14" w:rsidRDefault="00137E14" w:rsidP="00070A5E">
      <w:pPr>
        <w:spacing w:line="520" w:lineRule="exact"/>
        <w:ind w:firstLineChars="200" w:firstLine="480"/>
        <w:rPr>
          <w:rFonts w:ascii="Calibri" w:hAnsi="Calibri"/>
          <w:color w:val="auto"/>
          <w:sz w:val="24"/>
        </w:rPr>
      </w:pPr>
      <w:r>
        <w:rPr>
          <w:rFonts w:ascii="Calibri" w:hAnsi="Calibri" w:hint="eastAsia"/>
          <w:color w:val="auto"/>
          <w:sz w:val="24"/>
        </w:rPr>
        <w:t>1</w:t>
      </w:r>
      <w:r>
        <w:rPr>
          <w:rFonts w:ascii="Calibri" w:hAnsi="Calibri" w:hint="eastAsia"/>
          <w:color w:val="auto"/>
          <w:sz w:val="24"/>
        </w:rPr>
        <w:t>）清洁</w:t>
      </w:r>
      <w:r>
        <w:rPr>
          <w:rFonts w:ascii="Calibri" w:hAnsi="Calibri"/>
          <w:color w:val="auto"/>
          <w:sz w:val="24"/>
        </w:rPr>
        <w:t>生产组织</w:t>
      </w:r>
    </w:p>
    <w:p w14:paraId="58AD065E"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t>评价建议该厂单独设立清洁生产办公室，直接归属厂长领导，专人负责、配备人员须具备以下能力：熟练掌握清洁生产知识，熟悉企业环保情况，了解生产技术动态和发展方向，具有较强的工作协调能力、有较好的工作责任心和敬业精神。</w:t>
      </w:r>
    </w:p>
    <w:p w14:paraId="00DA31B3" w14:textId="77777777" w:rsidR="001D5F85" w:rsidRPr="00137E14" w:rsidRDefault="00137E14" w:rsidP="00070A5E">
      <w:pPr>
        <w:spacing w:line="520" w:lineRule="exact"/>
        <w:ind w:firstLineChars="200" w:firstLine="480"/>
        <w:rPr>
          <w:rFonts w:ascii="Calibri" w:hAnsi="Calibri"/>
          <w:color w:val="auto"/>
          <w:sz w:val="24"/>
        </w:rPr>
      </w:pPr>
      <w:r>
        <w:rPr>
          <w:rFonts w:ascii="Calibri" w:hAnsi="Calibri" w:hint="eastAsia"/>
          <w:color w:val="auto"/>
          <w:sz w:val="24"/>
        </w:rPr>
        <w:t>2</w:t>
      </w:r>
      <w:r>
        <w:rPr>
          <w:rFonts w:ascii="Calibri" w:hAnsi="Calibri" w:hint="eastAsia"/>
          <w:color w:val="auto"/>
          <w:sz w:val="24"/>
        </w:rPr>
        <w:t>）</w:t>
      </w:r>
      <w:r>
        <w:rPr>
          <w:rFonts w:ascii="Calibri" w:hAnsi="Calibri"/>
          <w:color w:val="auto"/>
          <w:sz w:val="24"/>
        </w:rPr>
        <w:t>任务</w:t>
      </w:r>
    </w:p>
    <w:p w14:paraId="4DB14292"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t>清洁生产办公室主要任务如下：</w:t>
      </w:r>
    </w:p>
    <w:p w14:paraId="2453AAC4"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t>•</w:t>
      </w:r>
      <w:r w:rsidRPr="00137E14">
        <w:rPr>
          <w:rFonts w:ascii="Calibri" w:hAnsi="Calibri"/>
          <w:color w:val="auto"/>
          <w:sz w:val="24"/>
        </w:rPr>
        <w:t>组织协调并监督实施清洁生产方案</w:t>
      </w:r>
    </w:p>
    <w:p w14:paraId="38CAEA55"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lastRenderedPageBreak/>
        <w:t>•</w:t>
      </w:r>
      <w:r w:rsidRPr="00137E14">
        <w:rPr>
          <w:rFonts w:ascii="Calibri" w:hAnsi="Calibri"/>
          <w:color w:val="auto"/>
          <w:sz w:val="24"/>
        </w:rPr>
        <w:t>定期组织对企业职工的清洁生产教育和培训</w:t>
      </w:r>
    </w:p>
    <w:p w14:paraId="5B8CA382"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t>•</w:t>
      </w:r>
      <w:r w:rsidRPr="00137E14">
        <w:rPr>
          <w:rFonts w:ascii="Calibri" w:hAnsi="Calibri"/>
          <w:color w:val="auto"/>
          <w:sz w:val="24"/>
        </w:rPr>
        <w:t>选择下一轮清洁生产重点，并启动新的清洁生产方案</w:t>
      </w:r>
    </w:p>
    <w:p w14:paraId="3D6989E5"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t>•</w:t>
      </w:r>
      <w:r w:rsidRPr="00137E14">
        <w:rPr>
          <w:rFonts w:ascii="Calibri" w:hAnsi="Calibri"/>
          <w:color w:val="auto"/>
          <w:sz w:val="24"/>
        </w:rPr>
        <w:t>负责清洁生产活动的日常管理</w:t>
      </w:r>
    </w:p>
    <w:p w14:paraId="14DBDD9A"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color w:val="auto"/>
          <w:sz w:val="24"/>
        </w:rPr>
        <w:t>•</w:t>
      </w:r>
      <w:r w:rsidRPr="00137E14">
        <w:rPr>
          <w:rFonts w:ascii="Calibri" w:hAnsi="Calibri"/>
          <w:color w:val="auto"/>
          <w:sz w:val="24"/>
        </w:rPr>
        <w:t>进行清洁生产教育</w:t>
      </w:r>
    </w:p>
    <w:p w14:paraId="51D11464" w14:textId="77777777" w:rsidR="001D5F85" w:rsidRPr="00137E14" w:rsidRDefault="00137E14" w:rsidP="00070A5E">
      <w:pPr>
        <w:spacing w:line="520" w:lineRule="exact"/>
        <w:ind w:firstLineChars="200" w:firstLine="480"/>
        <w:rPr>
          <w:rFonts w:ascii="Calibri" w:hAnsi="Calibri"/>
          <w:color w:val="auto"/>
          <w:sz w:val="24"/>
        </w:rPr>
      </w:pPr>
      <w:r>
        <w:rPr>
          <w:rFonts w:ascii="Calibri" w:hAnsi="Calibri" w:hint="eastAsia"/>
          <w:color w:val="auto"/>
          <w:sz w:val="24"/>
        </w:rPr>
        <w:t>（</w:t>
      </w:r>
      <w:r>
        <w:rPr>
          <w:rFonts w:ascii="Calibri" w:hAnsi="Calibri" w:hint="eastAsia"/>
          <w:color w:val="auto"/>
          <w:sz w:val="24"/>
        </w:rPr>
        <w:t>2</w:t>
      </w:r>
      <w:r>
        <w:rPr>
          <w:rFonts w:ascii="Calibri" w:hAnsi="Calibri" w:hint="eastAsia"/>
          <w:color w:val="auto"/>
          <w:sz w:val="24"/>
        </w:rPr>
        <w:t>）建立</w:t>
      </w:r>
      <w:r>
        <w:rPr>
          <w:rFonts w:ascii="Calibri" w:hAnsi="Calibri"/>
          <w:color w:val="auto"/>
          <w:sz w:val="24"/>
        </w:rPr>
        <w:t>和完善清洁生产管理制度</w:t>
      </w:r>
    </w:p>
    <w:p w14:paraId="5D082A0D"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清洁生产管理制定包括把清洁生产成果纳入企业的日常管理轨道、建立激励机制和保证稳定的清洁生产资金来源。</w:t>
      </w:r>
    </w:p>
    <w:p w14:paraId="1D4219E1"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1</w:t>
      </w:r>
      <w:r>
        <w:rPr>
          <w:rFonts w:ascii="Calibri" w:hAnsi="Calibri" w:hint="eastAsia"/>
          <w:color w:val="auto"/>
          <w:sz w:val="24"/>
        </w:rPr>
        <w:t>）</w:t>
      </w:r>
      <w:r w:rsidRPr="00137E14">
        <w:rPr>
          <w:rFonts w:ascii="Calibri" w:hAnsi="Calibri" w:hint="eastAsia"/>
          <w:color w:val="auto"/>
          <w:sz w:val="24"/>
        </w:rPr>
        <w:t>把清洁生产分析结果纳入企业的日常管理</w:t>
      </w:r>
    </w:p>
    <w:p w14:paraId="0BE78876"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把清洁生产的成果及时纳入企业的日常管理轨道，是巩固清洁生产成效的重要手段，特别是把清洁生产分析产生的一些无</w:t>
      </w:r>
      <w:r w:rsidRPr="00137E14">
        <w:rPr>
          <w:rFonts w:ascii="Calibri" w:hAnsi="Calibri" w:hint="eastAsia"/>
          <w:color w:val="auto"/>
          <w:sz w:val="24"/>
        </w:rPr>
        <w:t>/</w:t>
      </w:r>
      <w:r w:rsidRPr="00137E14">
        <w:rPr>
          <w:rFonts w:ascii="Calibri" w:hAnsi="Calibri" w:hint="eastAsia"/>
          <w:color w:val="auto"/>
          <w:sz w:val="24"/>
        </w:rPr>
        <w:t>低费方案及时纳入企业的日常管理轨道。</w:t>
      </w:r>
    </w:p>
    <w:p w14:paraId="4C6AC16D"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color w:val="auto"/>
          <w:sz w:val="24"/>
        </w:rPr>
        <w:t>a</w:t>
      </w:r>
      <w:r>
        <w:rPr>
          <w:rFonts w:ascii="Calibri" w:hAnsi="Calibri" w:hint="eastAsia"/>
          <w:color w:val="auto"/>
          <w:sz w:val="24"/>
        </w:rPr>
        <w:t>、</w:t>
      </w:r>
      <w:r w:rsidRPr="00137E14">
        <w:rPr>
          <w:rFonts w:ascii="Calibri" w:hAnsi="Calibri" w:hint="eastAsia"/>
          <w:color w:val="auto"/>
          <w:sz w:val="24"/>
        </w:rPr>
        <w:t>加强管理措施，形成清洁生产分析制度；</w:t>
      </w:r>
    </w:p>
    <w:p w14:paraId="368B5308"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b</w:t>
      </w:r>
      <w:r>
        <w:rPr>
          <w:rFonts w:ascii="Calibri" w:hAnsi="Calibri" w:hint="eastAsia"/>
          <w:color w:val="auto"/>
          <w:sz w:val="24"/>
        </w:rPr>
        <w:t>、</w:t>
      </w:r>
      <w:r w:rsidRPr="00137E14">
        <w:rPr>
          <w:rFonts w:ascii="Calibri" w:hAnsi="Calibri" w:hint="eastAsia"/>
          <w:color w:val="auto"/>
          <w:sz w:val="24"/>
        </w:rPr>
        <w:t>把清洁生产分析提出的岗位操作改进措施写进岗位的操作规程，并要求严格遵照执行。</w:t>
      </w:r>
    </w:p>
    <w:p w14:paraId="19FD2AFB"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color w:val="auto"/>
          <w:sz w:val="24"/>
        </w:rPr>
        <w:t>c</w:t>
      </w:r>
      <w:r>
        <w:rPr>
          <w:rFonts w:ascii="Calibri" w:hAnsi="Calibri" w:hint="eastAsia"/>
          <w:color w:val="auto"/>
          <w:sz w:val="24"/>
        </w:rPr>
        <w:t>、</w:t>
      </w:r>
      <w:r w:rsidRPr="00137E14">
        <w:rPr>
          <w:rFonts w:ascii="Calibri" w:hAnsi="Calibri" w:hint="eastAsia"/>
          <w:color w:val="auto"/>
          <w:sz w:val="24"/>
        </w:rPr>
        <w:t>把清洁生产分析提出的工艺过程控制的改进措施写入企业的技术规范中。</w:t>
      </w:r>
    </w:p>
    <w:p w14:paraId="2066A731"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2</w:t>
      </w:r>
      <w:r>
        <w:rPr>
          <w:rFonts w:ascii="Calibri" w:hAnsi="Calibri" w:hint="eastAsia"/>
          <w:color w:val="auto"/>
          <w:sz w:val="24"/>
        </w:rPr>
        <w:t>）</w:t>
      </w:r>
      <w:r w:rsidRPr="00137E14">
        <w:rPr>
          <w:rFonts w:ascii="Calibri" w:hAnsi="Calibri" w:hint="eastAsia"/>
          <w:color w:val="auto"/>
          <w:sz w:val="24"/>
        </w:rPr>
        <w:t>建立和完善清洁生产奖惩机制</w:t>
      </w:r>
    </w:p>
    <w:p w14:paraId="1D28CBA2"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在奖惩方面，充分与清洁生产挂钩，建立清洁生产奖惩激励机制，以调动全体职工参与清洁生产的积极性。</w:t>
      </w:r>
    </w:p>
    <w:p w14:paraId="4118CE9B"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3</w:t>
      </w:r>
      <w:r>
        <w:rPr>
          <w:rFonts w:ascii="Calibri" w:hAnsi="Calibri" w:hint="eastAsia"/>
          <w:color w:val="auto"/>
          <w:sz w:val="24"/>
        </w:rPr>
        <w:t>）</w:t>
      </w:r>
      <w:r w:rsidRPr="00137E14">
        <w:rPr>
          <w:rFonts w:ascii="Calibri" w:hAnsi="Calibri" w:hint="eastAsia"/>
          <w:color w:val="auto"/>
          <w:sz w:val="24"/>
        </w:rPr>
        <w:t>保证稳定的清洁生产资金来源</w:t>
      </w:r>
    </w:p>
    <w:p w14:paraId="6FBAF875" w14:textId="77777777" w:rsidR="0053271F"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清洁生产的资金来源可以有多种渠道，如贷款、集资等。但是清洁生产管理制度的一项重要作用是保证实施清洁生产所产生的经济效益，全部或部分地用于清洁生产，以持续滚动地推进清洁生产。</w:t>
      </w:r>
    </w:p>
    <w:p w14:paraId="72DA8CC6"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4</w:t>
      </w:r>
      <w:r>
        <w:rPr>
          <w:rFonts w:ascii="Calibri" w:hAnsi="Calibri" w:hint="eastAsia"/>
          <w:color w:val="auto"/>
          <w:sz w:val="24"/>
        </w:rPr>
        <w:t>）</w:t>
      </w:r>
      <w:r w:rsidRPr="00137E14">
        <w:rPr>
          <w:rFonts w:ascii="Calibri" w:hAnsi="Calibri" w:hint="eastAsia"/>
          <w:color w:val="auto"/>
          <w:sz w:val="24"/>
        </w:rPr>
        <w:t>搞好职工培训工作</w:t>
      </w:r>
    </w:p>
    <w:p w14:paraId="455773E7"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清洁生产措施能否顺利落实，清洁生产目标能否达到与企业每个职工的素质有很大关系。评价建议企业应对职工加强关于清洁生产方面的培训工作，不仅对操作工人进行培训，也要对各层干部、工程技术人员、车间班组长培训，并把实现清洁生产目标具体分配到每一个人，每一个污染部位有专人负责，以利于清洁生产目标的实</w:t>
      </w:r>
      <w:r w:rsidRPr="00137E14">
        <w:rPr>
          <w:rFonts w:ascii="Calibri" w:hAnsi="Calibri" w:hint="eastAsia"/>
          <w:color w:val="auto"/>
          <w:sz w:val="24"/>
        </w:rPr>
        <w:lastRenderedPageBreak/>
        <w:t>现。针对培训内容，制订出合理的培训计划。</w:t>
      </w:r>
    </w:p>
    <w:p w14:paraId="47063504"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5</w:t>
      </w:r>
      <w:r>
        <w:rPr>
          <w:rFonts w:ascii="Calibri" w:hAnsi="Calibri" w:hint="eastAsia"/>
          <w:color w:val="auto"/>
          <w:sz w:val="24"/>
        </w:rPr>
        <w:t>）</w:t>
      </w:r>
      <w:r w:rsidRPr="00137E14">
        <w:rPr>
          <w:rFonts w:ascii="Calibri" w:hAnsi="Calibri" w:hint="eastAsia"/>
          <w:color w:val="auto"/>
          <w:sz w:val="24"/>
        </w:rPr>
        <w:t>制定持续清洁生产计划</w:t>
      </w:r>
    </w:p>
    <w:p w14:paraId="542CBAF6"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清洁生产并非一朝一夕的事情，需要制定清洁生产计划，使清洁生产在企业中有组织、有计划地进行下去。评价建议企业执行以下清洁生产计划，见表</w:t>
      </w:r>
      <w:r w:rsidRPr="00137E14">
        <w:rPr>
          <w:rFonts w:ascii="Calibri" w:hAnsi="Calibri" w:hint="eastAsia"/>
          <w:color w:val="auto"/>
          <w:sz w:val="24"/>
        </w:rPr>
        <w:t>2.</w:t>
      </w:r>
      <w:r>
        <w:rPr>
          <w:rFonts w:ascii="Calibri" w:hAnsi="Calibri"/>
          <w:color w:val="auto"/>
          <w:sz w:val="24"/>
        </w:rPr>
        <w:t>5</w:t>
      </w:r>
      <w:r w:rsidRPr="00137E14">
        <w:rPr>
          <w:rFonts w:ascii="Calibri" w:hAnsi="Calibri" w:hint="eastAsia"/>
          <w:color w:val="auto"/>
          <w:sz w:val="24"/>
        </w:rPr>
        <w:t>-</w:t>
      </w:r>
      <w:r>
        <w:rPr>
          <w:rFonts w:ascii="Calibri" w:hAnsi="Calibri"/>
          <w:color w:val="auto"/>
          <w:sz w:val="24"/>
        </w:rPr>
        <w:t>1</w:t>
      </w:r>
      <w:r w:rsidRPr="00137E14">
        <w:rPr>
          <w:rFonts w:ascii="Calibri" w:hAnsi="Calibri" w:hint="eastAsia"/>
          <w:color w:val="auto"/>
          <w:sz w:val="24"/>
        </w:rPr>
        <w:t>。</w:t>
      </w:r>
    </w:p>
    <w:p w14:paraId="530D4768" w14:textId="77777777" w:rsidR="00137E14" w:rsidRPr="00137E14" w:rsidRDefault="00137E14" w:rsidP="00137E14">
      <w:pPr>
        <w:spacing w:line="520" w:lineRule="exact"/>
        <w:ind w:firstLineChars="450" w:firstLine="1080"/>
        <w:rPr>
          <w:rFonts w:asciiTheme="minorHAnsi" w:eastAsia="黑体" w:hAnsiTheme="minorHAnsi"/>
          <w:color w:val="auto"/>
          <w:sz w:val="24"/>
        </w:rPr>
      </w:pPr>
      <w:r w:rsidRPr="00137E14">
        <w:rPr>
          <w:rFonts w:asciiTheme="minorHAnsi" w:eastAsia="黑体" w:hAnsiTheme="minorHAnsi"/>
          <w:color w:val="auto"/>
          <w:sz w:val="24"/>
        </w:rPr>
        <w:t>表</w:t>
      </w:r>
      <w:r w:rsidRPr="00137E14">
        <w:rPr>
          <w:rFonts w:asciiTheme="minorHAnsi" w:eastAsia="黑体" w:hAnsiTheme="minorHAnsi"/>
          <w:color w:val="auto"/>
          <w:sz w:val="24"/>
        </w:rPr>
        <w:t xml:space="preserve">2.5-1           </w:t>
      </w:r>
      <w:r w:rsidRPr="00137E14">
        <w:rPr>
          <w:rFonts w:asciiTheme="minorHAnsi" w:eastAsia="黑体" w:hAnsiTheme="minorHAnsi"/>
          <w:color w:val="auto"/>
          <w:sz w:val="24"/>
        </w:rPr>
        <w:t>清洁生产计划一览表</w:t>
      </w:r>
    </w:p>
    <w:tbl>
      <w:tblPr>
        <w:tblW w:w="9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03"/>
        <w:gridCol w:w="7274"/>
      </w:tblGrid>
      <w:tr w:rsidR="00137E14" w:rsidRPr="003A2A6C" w14:paraId="5A288CC5" w14:textId="77777777" w:rsidTr="00137E14">
        <w:trPr>
          <w:trHeight w:hRule="exact" w:val="340"/>
          <w:jc w:val="center"/>
        </w:trPr>
        <w:tc>
          <w:tcPr>
            <w:tcW w:w="1903" w:type="dxa"/>
            <w:vAlign w:val="center"/>
          </w:tcPr>
          <w:p w14:paraId="3F794B08" w14:textId="77777777" w:rsidR="00137E14" w:rsidRPr="003A2A6C" w:rsidRDefault="00137E14" w:rsidP="00A94556">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项</w:t>
            </w:r>
            <w:r w:rsidRPr="003A2A6C">
              <w:rPr>
                <w:rFonts w:ascii="Times New Roman" w:hAnsi="Times New Roman"/>
                <w:szCs w:val="21"/>
              </w:rPr>
              <w:t xml:space="preserve">    </w:t>
            </w:r>
            <w:r w:rsidRPr="003A2A6C">
              <w:rPr>
                <w:rFonts w:ascii="Times New Roman" w:hAnsi="Times New Roman"/>
                <w:szCs w:val="21"/>
              </w:rPr>
              <w:t>目</w:t>
            </w:r>
          </w:p>
        </w:tc>
        <w:tc>
          <w:tcPr>
            <w:tcW w:w="7274" w:type="dxa"/>
            <w:vAlign w:val="center"/>
          </w:tcPr>
          <w:p w14:paraId="2B403B1D" w14:textId="77777777" w:rsidR="00137E14" w:rsidRPr="003A2A6C" w:rsidRDefault="00137E14" w:rsidP="00A94556">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内容</w:t>
            </w:r>
          </w:p>
        </w:tc>
      </w:tr>
      <w:tr w:rsidR="00137E14" w:rsidRPr="003A2A6C" w14:paraId="4E313AB7" w14:textId="77777777" w:rsidTr="00137E14">
        <w:trPr>
          <w:trHeight w:hRule="exact" w:val="340"/>
          <w:jc w:val="center"/>
        </w:trPr>
        <w:tc>
          <w:tcPr>
            <w:tcW w:w="1903" w:type="dxa"/>
            <w:vAlign w:val="center"/>
          </w:tcPr>
          <w:p w14:paraId="60AD351C" w14:textId="77777777" w:rsidR="00137E14" w:rsidRPr="003A2A6C" w:rsidRDefault="00137E14" w:rsidP="00A94556">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组建清洁生产组织</w:t>
            </w:r>
          </w:p>
        </w:tc>
        <w:tc>
          <w:tcPr>
            <w:tcW w:w="7274" w:type="dxa"/>
            <w:vAlign w:val="center"/>
          </w:tcPr>
          <w:p w14:paraId="6FDB6150" w14:textId="77777777" w:rsidR="00137E14" w:rsidRPr="003A2A6C" w:rsidRDefault="00137E14" w:rsidP="00A94556">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组建清洁生产领导小组，新技术研究与开发小组，开展清洁生产分析工作</w:t>
            </w:r>
          </w:p>
        </w:tc>
      </w:tr>
      <w:tr w:rsidR="00137E14" w:rsidRPr="003A2A6C" w14:paraId="0AC4CA0A" w14:textId="77777777" w:rsidTr="00137E14">
        <w:trPr>
          <w:trHeight w:hRule="exact" w:val="340"/>
          <w:jc w:val="center"/>
        </w:trPr>
        <w:tc>
          <w:tcPr>
            <w:tcW w:w="1903" w:type="dxa"/>
            <w:vAlign w:val="center"/>
          </w:tcPr>
          <w:p w14:paraId="51A653AC" w14:textId="77777777" w:rsidR="00137E14" w:rsidRPr="003A2A6C" w:rsidRDefault="00137E14" w:rsidP="00A94556">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清洁生产方案实施</w:t>
            </w:r>
          </w:p>
        </w:tc>
        <w:tc>
          <w:tcPr>
            <w:tcW w:w="7274" w:type="dxa"/>
            <w:vAlign w:val="center"/>
          </w:tcPr>
          <w:p w14:paraId="74E4DB7A" w14:textId="77777777" w:rsidR="00137E14" w:rsidRPr="003A2A6C" w:rsidRDefault="00137E14" w:rsidP="00AC555A">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在车间推行清洁生产</w:t>
            </w:r>
          </w:p>
        </w:tc>
      </w:tr>
      <w:tr w:rsidR="00137E14" w:rsidRPr="003A2A6C" w14:paraId="5C76269C" w14:textId="77777777" w:rsidTr="00137E14">
        <w:trPr>
          <w:trHeight w:hRule="exact" w:val="340"/>
          <w:jc w:val="center"/>
        </w:trPr>
        <w:tc>
          <w:tcPr>
            <w:tcW w:w="1903" w:type="dxa"/>
            <w:vAlign w:val="center"/>
          </w:tcPr>
          <w:p w14:paraId="3A8798B5" w14:textId="77777777" w:rsidR="00137E14" w:rsidRPr="003A2A6C" w:rsidRDefault="00137E14" w:rsidP="00A94556">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清洁生产培训</w:t>
            </w:r>
          </w:p>
        </w:tc>
        <w:tc>
          <w:tcPr>
            <w:tcW w:w="7274" w:type="dxa"/>
            <w:vAlign w:val="center"/>
          </w:tcPr>
          <w:p w14:paraId="7EFA1EA2" w14:textId="77777777" w:rsidR="00137E14" w:rsidRPr="003A2A6C" w:rsidRDefault="00137E14" w:rsidP="00A94556">
            <w:pPr>
              <w:pStyle w:val="aa"/>
              <w:adjustRightInd w:val="0"/>
              <w:snapToGrid w:val="0"/>
              <w:spacing w:line="240" w:lineRule="atLeast"/>
              <w:jc w:val="center"/>
              <w:rPr>
                <w:rFonts w:ascii="Times New Roman" w:hAnsi="Times New Roman"/>
                <w:szCs w:val="21"/>
              </w:rPr>
            </w:pPr>
            <w:r w:rsidRPr="003A2A6C">
              <w:rPr>
                <w:rFonts w:ascii="Times New Roman" w:hAnsi="Times New Roman"/>
                <w:szCs w:val="21"/>
              </w:rPr>
              <w:t>对厂级干部、中层干部、工程技术人员、车间班组长进行清洁生产知识培训</w:t>
            </w:r>
          </w:p>
        </w:tc>
      </w:tr>
    </w:tbl>
    <w:p w14:paraId="3BB40EF5"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6</w:t>
      </w:r>
      <w:r>
        <w:rPr>
          <w:rFonts w:ascii="Calibri" w:hAnsi="Calibri" w:hint="eastAsia"/>
          <w:color w:val="auto"/>
          <w:sz w:val="24"/>
        </w:rPr>
        <w:t>）</w:t>
      </w:r>
      <w:r w:rsidRPr="00137E14">
        <w:rPr>
          <w:rFonts w:ascii="Calibri" w:hAnsi="Calibri" w:hint="eastAsia"/>
          <w:color w:val="auto"/>
          <w:sz w:val="24"/>
        </w:rPr>
        <w:t>做好节能工作，推行清洁生产</w:t>
      </w:r>
      <w:r w:rsidRPr="00137E14">
        <w:rPr>
          <w:rFonts w:ascii="Calibri" w:hAnsi="Calibri" w:hint="eastAsia"/>
          <w:color w:val="auto"/>
          <w:sz w:val="24"/>
        </w:rPr>
        <w:t xml:space="preserve"> </w:t>
      </w:r>
    </w:p>
    <w:p w14:paraId="05AE9025" w14:textId="77777777" w:rsidR="00137E14" w:rsidRPr="00137E14"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能源是人类的宝贵财富和重要资源，是发展国民经济的主要物质基础，节约和合理利用能源是提高企业经济效益和环境效益，降低生产成本的主要途径之一。本项目采取的节能措施有：</w:t>
      </w:r>
      <w:r w:rsidRPr="00137E14">
        <w:rPr>
          <w:rFonts w:ascii="Calibri" w:hAnsi="Calibri" w:hint="eastAsia"/>
          <w:color w:val="auto"/>
          <w:sz w:val="24"/>
        </w:rPr>
        <w:t xml:space="preserve"> </w:t>
      </w:r>
    </w:p>
    <w:p w14:paraId="14DC8554"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color w:val="auto"/>
          <w:sz w:val="24"/>
        </w:rPr>
        <w:t>a</w:t>
      </w:r>
      <w:r>
        <w:rPr>
          <w:rFonts w:ascii="Calibri" w:hAnsi="Calibri" w:hint="eastAsia"/>
          <w:color w:val="auto"/>
          <w:sz w:val="24"/>
        </w:rPr>
        <w:t>、</w:t>
      </w:r>
      <w:r w:rsidRPr="00137E14">
        <w:rPr>
          <w:rFonts w:ascii="Calibri" w:hAnsi="Calibri" w:hint="eastAsia"/>
          <w:color w:val="auto"/>
          <w:sz w:val="24"/>
        </w:rPr>
        <w:t>本项目在设备选型时首先选用节能型；</w:t>
      </w:r>
      <w:r w:rsidRPr="00137E14">
        <w:rPr>
          <w:rFonts w:ascii="Calibri" w:hAnsi="Calibri" w:hint="eastAsia"/>
          <w:color w:val="auto"/>
          <w:sz w:val="24"/>
        </w:rPr>
        <w:t xml:space="preserve"> </w:t>
      </w:r>
    </w:p>
    <w:p w14:paraId="6AF3AF98" w14:textId="77777777" w:rsidR="00137E14" w:rsidRPr="00137E14" w:rsidRDefault="00137E14" w:rsidP="00137E14">
      <w:pPr>
        <w:spacing w:line="520" w:lineRule="exact"/>
        <w:ind w:firstLineChars="200" w:firstLine="480"/>
        <w:rPr>
          <w:rFonts w:ascii="Calibri" w:hAnsi="Calibri"/>
          <w:color w:val="auto"/>
          <w:sz w:val="24"/>
        </w:rPr>
      </w:pPr>
      <w:r>
        <w:rPr>
          <w:rFonts w:ascii="Calibri" w:hAnsi="Calibri" w:hint="eastAsia"/>
          <w:color w:val="auto"/>
          <w:sz w:val="24"/>
        </w:rPr>
        <w:t>b</w:t>
      </w:r>
      <w:r>
        <w:rPr>
          <w:rFonts w:ascii="Calibri" w:hAnsi="Calibri" w:hint="eastAsia"/>
          <w:color w:val="auto"/>
          <w:sz w:val="24"/>
        </w:rPr>
        <w:t>、</w:t>
      </w:r>
      <w:r w:rsidRPr="00137E14">
        <w:rPr>
          <w:rFonts w:ascii="Calibri" w:hAnsi="Calibri" w:hint="eastAsia"/>
          <w:color w:val="auto"/>
          <w:sz w:val="24"/>
        </w:rPr>
        <w:t>减少物料迂回运输，降低动力消耗；</w:t>
      </w:r>
      <w:r w:rsidRPr="00137E14">
        <w:rPr>
          <w:rFonts w:ascii="Calibri" w:hAnsi="Calibri" w:hint="eastAsia"/>
          <w:color w:val="auto"/>
          <w:sz w:val="24"/>
        </w:rPr>
        <w:t xml:space="preserve"> </w:t>
      </w:r>
    </w:p>
    <w:p w14:paraId="21A45062" w14:textId="77777777" w:rsidR="001D5F85" w:rsidRPr="00137E14" w:rsidRDefault="00137E14" w:rsidP="00137E14">
      <w:pPr>
        <w:spacing w:line="520" w:lineRule="exact"/>
        <w:ind w:firstLineChars="200" w:firstLine="480"/>
        <w:rPr>
          <w:rFonts w:ascii="Calibri" w:hAnsi="Calibri"/>
          <w:color w:val="auto"/>
          <w:sz w:val="24"/>
        </w:rPr>
      </w:pPr>
      <w:r>
        <w:rPr>
          <w:rFonts w:ascii="Calibri" w:hAnsi="Calibri"/>
          <w:color w:val="auto"/>
          <w:sz w:val="24"/>
        </w:rPr>
        <w:t>c</w:t>
      </w:r>
      <w:r>
        <w:rPr>
          <w:rFonts w:ascii="Calibri" w:hAnsi="Calibri" w:hint="eastAsia"/>
          <w:color w:val="auto"/>
          <w:sz w:val="24"/>
        </w:rPr>
        <w:t>、</w:t>
      </w:r>
      <w:r w:rsidRPr="00137E14">
        <w:rPr>
          <w:rFonts w:ascii="Calibri" w:hAnsi="Calibri" w:hint="eastAsia"/>
          <w:color w:val="auto"/>
          <w:sz w:val="24"/>
        </w:rPr>
        <w:t>强化节能管理，加强节能宣传，不断提高全员职工节能意识。实行车间、班组岗位能耗计量、开展节能竞赛，做好节能工作。</w:t>
      </w:r>
    </w:p>
    <w:p w14:paraId="37AC8450" w14:textId="77777777" w:rsidR="00137E14" w:rsidRPr="00AD10F4" w:rsidRDefault="00137E14" w:rsidP="00137E14">
      <w:pPr>
        <w:pStyle w:val="00"/>
        <w:rPr>
          <w:rFonts w:ascii="Calibri" w:hAnsi="Calibri"/>
          <w:b/>
          <w:color w:val="auto"/>
        </w:rPr>
      </w:pPr>
      <w:r>
        <w:rPr>
          <w:rFonts w:ascii="Calibri" w:hAnsi="Calibri"/>
          <w:b/>
          <w:color w:val="auto"/>
        </w:rPr>
        <w:t>4</w:t>
      </w:r>
      <w:r w:rsidRPr="00AD10F4">
        <w:rPr>
          <w:rFonts w:ascii="Calibri" w:hAnsi="Calibri" w:hint="eastAsia"/>
          <w:b/>
          <w:color w:val="auto"/>
        </w:rPr>
        <w:t>、</w:t>
      </w:r>
      <w:r>
        <w:rPr>
          <w:rFonts w:ascii="Calibri" w:hAnsi="Calibri" w:hint="eastAsia"/>
          <w:b/>
          <w:color w:val="auto"/>
        </w:rPr>
        <w:t>结论</w:t>
      </w:r>
    </w:p>
    <w:p w14:paraId="705CBA31" w14:textId="77777777" w:rsidR="001D5F85" w:rsidRPr="00A964FF" w:rsidRDefault="00137E14" w:rsidP="00137E14">
      <w:pPr>
        <w:spacing w:line="520" w:lineRule="exact"/>
        <w:ind w:firstLineChars="200" w:firstLine="480"/>
        <w:rPr>
          <w:rFonts w:ascii="Calibri" w:hAnsi="Calibri"/>
          <w:color w:val="auto"/>
          <w:sz w:val="24"/>
        </w:rPr>
      </w:pPr>
      <w:r w:rsidRPr="00137E14">
        <w:rPr>
          <w:rFonts w:ascii="Calibri" w:hAnsi="Calibri" w:hint="eastAsia"/>
          <w:color w:val="auto"/>
          <w:sz w:val="24"/>
        </w:rPr>
        <w:t>项目与国内先进的同类型企业相比，从原辅材料和能源、生产工艺、设备、过程控制等八大指标来说，本项目均处于国内先进清洁生产水平；从企业优势来讲，本项目原辅材料指标相对较优，其他指标均基本相同；从污染物排放情况相比，项目污染物均能做到达标排放，且吨产品废水、吨产品非甲烷总烃排放均符合标准要求。因此，本项目清洁生产水平处于国内先进水平，符合清洁生产的要求。</w:t>
      </w:r>
    </w:p>
    <w:p w14:paraId="305FCE6E" w14:textId="77777777" w:rsidR="00882105" w:rsidRPr="00A964FF" w:rsidRDefault="00882105" w:rsidP="00882105">
      <w:pPr>
        <w:pStyle w:val="2"/>
        <w:spacing w:before="200" w:after="100"/>
        <w:rPr>
          <w:rFonts w:ascii="Calibri" w:hAnsi="Calibri"/>
          <w:bCs/>
          <w:color w:val="auto"/>
          <w:szCs w:val="28"/>
        </w:rPr>
      </w:pPr>
      <w:bookmarkStart w:id="49" w:name="_Toc112999909"/>
      <w:r w:rsidRPr="002F3891">
        <w:rPr>
          <w:rFonts w:ascii="Calibri" w:hAnsi="Calibri" w:hint="eastAsia"/>
          <w:bCs/>
          <w:color w:val="auto"/>
          <w:szCs w:val="28"/>
        </w:rPr>
        <w:t>2</w:t>
      </w:r>
      <w:r w:rsidRPr="002F3891">
        <w:rPr>
          <w:rFonts w:ascii="Calibri" w:hAnsi="Calibri"/>
          <w:bCs/>
          <w:color w:val="auto"/>
          <w:szCs w:val="28"/>
        </w:rPr>
        <w:t>.</w:t>
      </w:r>
      <w:r w:rsidR="00137E14">
        <w:rPr>
          <w:rFonts w:ascii="Calibri" w:hAnsi="Calibri" w:hint="eastAsia"/>
          <w:bCs/>
          <w:color w:val="auto"/>
          <w:szCs w:val="28"/>
        </w:rPr>
        <w:t>6</w:t>
      </w:r>
      <w:r w:rsidRPr="002F3891">
        <w:rPr>
          <w:rFonts w:hint="eastAsia"/>
          <w:color w:val="auto"/>
        </w:rPr>
        <w:t>施工期污染源分析</w:t>
      </w:r>
      <w:bookmarkEnd w:id="49"/>
    </w:p>
    <w:p w14:paraId="667F29B3" w14:textId="77777777" w:rsidR="00070A5E" w:rsidRPr="00A964FF" w:rsidRDefault="00070A5E" w:rsidP="00991B8A">
      <w:pPr>
        <w:spacing w:line="520" w:lineRule="exact"/>
        <w:ind w:firstLineChars="200" w:firstLine="480"/>
        <w:rPr>
          <w:rFonts w:ascii="Calibri" w:hAnsi="Calibri"/>
          <w:color w:val="auto"/>
          <w:sz w:val="24"/>
        </w:rPr>
      </w:pPr>
      <w:r w:rsidRPr="00A964FF">
        <w:rPr>
          <w:rFonts w:ascii="Calibri" w:hAnsi="Calibri" w:hint="eastAsia"/>
          <w:color w:val="auto"/>
          <w:sz w:val="24"/>
        </w:rPr>
        <w:t>本项目选址位于</w:t>
      </w:r>
      <w:r w:rsidR="00976BB5" w:rsidRPr="00A964FF">
        <w:rPr>
          <w:rFonts w:ascii="Calibri" w:hAnsi="Calibri" w:hint="eastAsia"/>
          <w:color w:val="auto"/>
          <w:sz w:val="24"/>
        </w:rPr>
        <w:t>平顶山尼龙新材料产业集聚区</w:t>
      </w:r>
      <w:r w:rsidRPr="00A964FF">
        <w:rPr>
          <w:rFonts w:ascii="Calibri" w:hAnsi="Calibri" w:hint="eastAsia"/>
          <w:color w:val="auto"/>
          <w:sz w:val="24"/>
        </w:rPr>
        <w:t>，施工期主要建设</w:t>
      </w:r>
      <w:r w:rsidR="00976BB5" w:rsidRPr="00A964FF">
        <w:rPr>
          <w:rFonts w:ascii="Calibri" w:hAnsi="Calibri" w:hint="eastAsia"/>
          <w:color w:val="auto"/>
          <w:sz w:val="24"/>
        </w:rPr>
        <w:t>主体装置、辅助设施</w:t>
      </w:r>
      <w:r w:rsidRPr="00A964FF">
        <w:rPr>
          <w:rFonts w:ascii="Calibri" w:hAnsi="Calibri" w:hint="eastAsia"/>
          <w:color w:val="auto"/>
          <w:sz w:val="24"/>
        </w:rPr>
        <w:t>、</w:t>
      </w:r>
      <w:r w:rsidR="00976BB5" w:rsidRPr="00A964FF">
        <w:rPr>
          <w:rFonts w:ascii="Calibri" w:hAnsi="Calibri" w:hint="eastAsia"/>
          <w:color w:val="auto"/>
          <w:sz w:val="24"/>
        </w:rPr>
        <w:t>环保设施</w:t>
      </w:r>
      <w:r w:rsidRPr="00A964FF">
        <w:rPr>
          <w:rFonts w:ascii="Calibri" w:hAnsi="Calibri" w:hint="eastAsia"/>
          <w:color w:val="auto"/>
          <w:sz w:val="24"/>
        </w:rPr>
        <w:t>等构筑物。本项目施工期</w:t>
      </w:r>
      <w:r w:rsidR="00991B8A">
        <w:rPr>
          <w:rFonts w:ascii="Calibri" w:hAnsi="Calibri" w:hint="eastAsia"/>
          <w:color w:val="auto"/>
          <w:sz w:val="24"/>
        </w:rPr>
        <w:t>10</w:t>
      </w:r>
      <w:r w:rsidRPr="00A964FF">
        <w:rPr>
          <w:rFonts w:ascii="Calibri" w:hAnsi="Calibri" w:hint="eastAsia"/>
          <w:color w:val="auto"/>
          <w:sz w:val="24"/>
        </w:rPr>
        <w:t>个月，根据现场踏勘，项目现状用地为</w:t>
      </w:r>
      <w:r w:rsidR="00991B8A">
        <w:rPr>
          <w:rFonts w:ascii="Calibri" w:hAnsi="Calibri" w:hint="eastAsia"/>
          <w:color w:val="auto"/>
          <w:sz w:val="24"/>
        </w:rPr>
        <w:t>荒草地，</w:t>
      </w:r>
      <w:r w:rsidRPr="00A964FF">
        <w:rPr>
          <w:rFonts w:ascii="Calibri" w:hAnsi="Calibri" w:hint="eastAsia"/>
          <w:color w:val="auto"/>
          <w:sz w:val="24"/>
        </w:rPr>
        <w:t>地表主要覆盖有季节性草灌。本项目施工过程中产生的噪声、扬尘、废水、</w:t>
      </w:r>
      <w:r w:rsidRPr="00A964FF">
        <w:rPr>
          <w:rFonts w:ascii="Calibri" w:hAnsi="Calibri" w:hint="eastAsia"/>
          <w:color w:val="auto"/>
          <w:sz w:val="24"/>
        </w:rPr>
        <w:lastRenderedPageBreak/>
        <w:t>固废等会对周围环境产生一定影响，但影响持续时间短，强度低，施工期结束影响将随之消失。</w:t>
      </w:r>
    </w:p>
    <w:p w14:paraId="376FACC4" w14:textId="77777777" w:rsidR="00AA30FF" w:rsidRPr="00A964FF" w:rsidRDefault="00070A5E" w:rsidP="006859C0">
      <w:pPr>
        <w:spacing w:line="520" w:lineRule="exact"/>
        <w:ind w:firstLineChars="200" w:firstLine="480"/>
        <w:rPr>
          <w:rFonts w:ascii="Calibri" w:hAnsi="Calibri"/>
          <w:color w:val="auto"/>
          <w:sz w:val="24"/>
        </w:rPr>
      </w:pPr>
      <w:r w:rsidRPr="00A964FF">
        <w:rPr>
          <w:rFonts w:ascii="Calibri" w:hAnsi="Calibri" w:hint="eastAsia"/>
          <w:color w:val="auto"/>
          <w:sz w:val="24"/>
        </w:rPr>
        <w:t>本项目施工期工艺流程图见图</w:t>
      </w:r>
      <w:r w:rsidRPr="00A964FF">
        <w:rPr>
          <w:rFonts w:ascii="Calibri" w:hAnsi="Calibri"/>
          <w:color w:val="auto"/>
          <w:sz w:val="24"/>
        </w:rPr>
        <w:t>2</w:t>
      </w:r>
      <w:r w:rsidR="005310B3" w:rsidRPr="00A964FF">
        <w:rPr>
          <w:rFonts w:ascii="Calibri" w:hAnsi="Calibri" w:hint="eastAsia"/>
          <w:color w:val="auto"/>
          <w:sz w:val="24"/>
        </w:rPr>
        <w:t>.</w:t>
      </w:r>
      <w:r w:rsidR="00137E14">
        <w:rPr>
          <w:rFonts w:ascii="Calibri" w:hAnsi="Calibri"/>
          <w:color w:val="auto"/>
          <w:sz w:val="24"/>
        </w:rPr>
        <w:t>6</w:t>
      </w:r>
      <w:r w:rsidRPr="00A964FF">
        <w:rPr>
          <w:rFonts w:ascii="Calibri" w:hAnsi="Calibri"/>
          <w:color w:val="auto"/>
          <w:sz w:val="24"/>
        </w:rPr>
        <w:t>-</w:t>
      </w:r>
      <w:r w:rsidR="005310B3" w:rsidRPr="00A964FF">
        <w:rPr>
          <w:rFonts w:ascii="Calibri" w:hAnsi="Calibri" w:hint="eastAsia"/>
          <w:color w:val="auto"/>
          <w:sz w:val="24"/>
        </w:rPr>
        <w:t>1</w:t>
      </w:r>
      <w:r w:rsidRPr="00A964FF">
        <w:rPr>
          <w:rFonts w:ascii="Calibri" w:hAnsi="Calibri" w:hint="eastAsia"/>
          <w:color w:val="auto"/>
          <w:sz w:val="24"/>
        </w:rPr>
        <w:t>。</w:t>
      </w:r>
    </w:p>
    <w:p w14:paraId="5243B4E4" w14:textId="77777777" w:rsidR="00070A5E" w:rsidRPr="00A964FF" w:rsidRDefault="00070A5E" w:rsidP="00070A5E">
      <w:pPr>
        <w:spacing w:line="520" w:lineRule="exact"/>
        <w:ind w:firstLineChars="200" w:firstLine="480"/>
        <w:rPr>
          <w:rFonts w:ascii="Calibri" w:hAnsi="Calibri"/>
          <w:color w:val="auto"/>
          <w:sz w:val="24"/>
        </w:rPr>
      </w:pPr>
      <w:r w:rsidRPr="00A964FF">
        <w:rPr>
          <w:rFonts w:ascii="Calibri" w:eastAsia="黑体" w:hAnsi="Calibri" w:hint="eastAsia"/>
          <w:color w:val="auto"/>
          <w:sz w:val="24"/>
        </w:rPr>
        <w:t>图</w:t>
      </w:r>
      <w:r w:rsidRPr="00A964FF">
        <w:rPr>
          <w:rFonts w:ascii="Calibri" w:eastAsia="黑体" w:hAnsi="Calibri"/>
          <w:color w:val="auto"/>
          <w:sz w:val="24"/>
        </w:rPr>
        <w:t>2</w:t>
      </w:r>
      <w:r w:rsidR="00137E14">
        <w:rPr>
          <w:rFonts w:ascii="Calibri" w:eastAsia="黑体" w:hAnsi="Calibri" w:hint="eastAsia"/>
          <w:color w:val="auto"/>
          <w:sz w:val="24"/>
        </w:rPr>
        <w:t>.6</w:t>
      </w:r>
      <w:r w:rsidRPr="00A964FF">
        <w:rPr>
          <w:rFonts w:ascii="Calibri" w:eastAsia="黑体" w:hAnsi="Calibri"/>
          <w:color w:val="auto"/>
          <w:sz w:val="24"/>
        </w:rPr>
        <w:t>-</w:t>
      </w:r>
      <w:r w:rsidR="005310B3" w:rsidRPr="00A964FF">
        <w:rPr>
          <w:rFonts w:ascii="Calibri" w:eastAsia="黑体" w:hAnsi="Calibri" w:hint="eastAsia"/>
          <w:color w:val="auto"/>
          <w:sz w:val="24"/>
        </w:rPr>
        <w:t>1</w:t>
      </w:r>
      <w:r w:rsidRPr="00A964FF">
        <w:rPr>
          <w:rFonts w:ascii="Calibri" w:eastAsia="黑体" w:hAnsi="Calibri"/>
          <w:color w:val="auto"/>
          <w:sz w:val="24"/>
        </w:rPr>
        <w:t xml:space="preserve">           </w:t>
      </w:r>
      <w:r w:rsidRPr="00A964FF">
        <w:rPr>
          <w:rFonts w:ascii="Calibri" w:eastAsia="黑体" w:hAnsi="Calibri" w:hint="eastAsia"/>
          <w:bCs/>
          <w:color w:val="auto"/>
          <w:sz w:val="24"/>
        </w:rPr>
        <w:t>本项目施工期工艺流程及产污环节示意</w:t>
      </w:r>
      <w:r w:rsidR="00971B8B">
        <w:rPr>
          <w:rFonts w:ascii="Calibri" w:eastAsia="黑体" w:hAnsi="Calibri"/>
          <w:bCs/>
          <w:noProof/>
          <w:color w:val="auto"/>
          <w:sz w:val="24"/>
        </w:rPr>
        <mc:AlternateContent>
          <mc:Choice Requires="wpc">
            <w:drawing>
              <wp:anchor distT="0" distB="0" distL="114300" distR="114300" simplePos="0" relativeHeight="251451904" behindDoc="0" locked="0" layoutInCell="1" allowOverlap="1" wp14:anchorId="1ADD1FD3" wp14:editId="301A95CE">
                <wp:simplePos x="0" y="0"/>
                <wp:positionH relativeFrom="column">
                  <wp:posOffset>-134620</wp:posOffset>
                </wp:positionH>
                <wp:positionV relativeFrom="paragraph">
                  <wp:posOffset>86360</wp:posOffset>
                </wp:positionV>
                <wp:extent cx="5698490" cy="3571875"/>
                <wp:effectExtent l="0" t="0" r="0" b="0"/>
                <wp:wrapTopAndBottom/>
                <wp:docPr id="19027" name="画布 190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810" name="AutoShape 19029"/>
                        <wps:cNvCnPr>
                          <a:cxnSpLocks noChangeShapeType="1"/>
                        </wps:cNvCnPr>
                        <wps:spPr bwMode="auto">
                          <a:xfrm>
                            <a:off x="751205" y="527685"/>
                            <a:ext cx="635" cy="1993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11" name="AutoShape 19030"/>
                        <wps:cNvCnPr>
                          <a:cxnSpLocks noChangeShapeType="1"/>
                        </wps:cNvCnPr>
                        <wps:spPr bwMode="auto">
                          <a:xfrm flipH="1">
                            <a:off x="4302125" y="528955"/>
                            <a:ext cx="1905" cy="198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12" name="AutoShape 19031"/>
                        <wps:cNvCnPr>
                          <a:cxnSpLocks noChangeShapeType="1"/>
                        </wps:cNvCnPr>
                        <wps:spPr bwMode="auto">
                          <a:xfrm>
                            <a:off x="751205" y="726440"/>
                            <a:ext cx="355282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13" name="AutoShape 19032"/>
                        <wps:cNvCnPr>
                          <a:cxnSpLocks noChangeShapeType="1"/>
                        </wps:cNvCnPr>
                        <wps:spPr bwMode="auto">
                          <a:xfrm>
                            <a:off x="2899410" y="728980"/>
                            <a:ext cx="635" cy="3314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14" name="AutoShape 19033"/>
                        <wps:cNvCnPr>
                          <a:cxnSpLocks noChangeShapeType="1"/>
                        </wps:cNvCnPr>
                        <wps:spPr bwMode="auto">
                          <a:xfrm>
                            <a:off x="423545" y="1070610"/>
                            <a:ext cx="47053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15" name="Rectangle 19034"/>
                        <wps:cNvSpPr>
                          <a:spLocks noChangeArrowheads="1"/>
                        </wps:cNvSpPr>
                        <wps:spPr bwMode="auto">
                          <a:xfrm>
                            <a:off x="219075" y="1402080"/>
                            <a:ext cx="43307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B154B" w14:textId="77777777" w:rsidR="00217891" w:rsidRPr="00791640" w:rsidRDefault="00217891" w:rsidP="00070A5E">
                              <w:pPr>
                                <w:jc w:val="center"/>
                                <w:rPr>
                                  <w:rFonts w:ascii="宋体" w:hAnsi="宋体"/>
                                </w:rPr>
                              </w:pPr>
                              <w:r>
                                <w:rPr>
                                  <w:rFonts w:ascii="宋体" w:hAnsi="宋体" w:hint="eastAsia"/>
                                </w:rPr>
                                <w:t>施工噪声</w:t>
                              </w:r>
                            </w:p>
                          </w:txbxContent>
                        </wps:txbx>
                        <wps:bodyPr rot="0" vert="horz" wrap="square" lIns="36000" tIns="45720" rIns="36000" bIns="45720" anchor="t" anchorCtr="0" upright="1">
                          <a:noAutofit/>
                        </wps:bodyPr>
                      </wps:wsp>
                      <wps:wsp>
                        <wps:cNvPr id="26848" name="AutoShape 19035"/>
                        <wps:cNvCnPr>
                          <a:cxnSpLocks noChangeShapeType="1"/>
                        </wps:cNvCnPr>
                        <wps:spPr bwMode="auto">
                          <a:xfrm>
                            <a:off x="422275" y="1069340"/>
                            <a:ext cx="1270" cy="3327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49" name="AutoShape 19036"/>
                        <wps:cNvCnPr>
                          <a:cxnSpLocks noChangeShapeType="1"/>
                        </wps:cNvCnPr>
                        <wps:spPr bwMode="auto">
                          <a:xfrm flipH="1">
                            <a:off x="1282700" y="1094105"/>
                            <a:ext cx="635" cy="2990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50" name="AutoShape 19037"/>
                        <wps:cNvCnPr>
                          <a:cxnSpLocks noChangeShapeType="1"/>
                        </wps:cNvCnPr>
                        <wps:spPr bwMode="auto">
                          <a:xfrm>
                            <a:off x="2294255" y="1094105"/>
                            <a:ext cx="635" cy="2990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51" name="AutoShape 19038"/>
                        <wps:cNvCnPr>
                          <a:cxnSpLocks noChangeShapeType="1"/>
                        </wps:cNvCnPr>
                        <wps:spPr bwMode="auto">
                          <a:xfrm flipH="1">
                            <a:off x="3067685" y="1094105"/>
                            <a:ext cx="635" cy="2990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52" name="AutoShape 19039"/>
                        <wps:cNvCnPr>
                          <a:cxnSpLocks noChangeShapeType="1"/>
                        </wps:cNvCnPr>
                        <wps:spPr bwMode="auto">
                          <a:xfrm>
                            <a:off x="3778250" y="1094105"/>
                            <a:ext cx="635" cy="3327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53" name="AutoShape 19040"/>
                        <wps:cNvCnPr>
                          <a:cxnSpLocks noChangeShapeType="1"/>
                        </wps:cNvCnPr>
                        <wps:spPr bwMode="auto">
                          <a:xfrm>
                            <a:off x="5128260" y="1094105"/>
                            <a:ext cx="635" cy="3327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54" name="Rectangle 19041"/>
                        <wps:cNvSpPr>
                          <a:spLocks noChangeArrowheads="1"/>
                        </wps:cNvSpPr>
                        <wps:spPr bwMode="auto">
                          <a:xfrm>
                            <a:off x="1979930" y="3192780"/>
                            <a:ext cx="676275" cy="29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CCE3D" w14:textId="77777777" w:rsidR="00217891" w:rsidRPr="004274CF" w:rsidRDefault="00217891" w:rsidP="00070A5E">
                              <w:pPr>
                                <w:jc w:val="center"/>
                                <w:rPr>
                                  <w:rFonts w:ascii="宋体" w:hAnsi="宋体"/>
                                </w:rPr>
                              </w:pPr>
                              <w:r w:rsidRPr="004274CF">
                                <w:rPr>
                                  <w:rFonts w:ascii="宋体" w:hAnsi="宋体" w:hint="eastAsia"/>
                                </w:rPr>
                                <w:t>综合利用</w:t>
                              </w:r>
                            </w:p>
                          </w:txbxContent>
                        </wps:txbx>
                        <wps:bodyPr rot="0" vert="horz" wrap="square" lIns="0" tIns="45720" rIns="0" bIns="45720" anchor="t" anchorCtr="0" upright="1">
                          <a:noAutofit/>
                        </wps:bodyPr>
                      </wps:wsp>
                      <wps:wsp>
                        <wps:cNvPr id="26855" name="AutoShape 19042"/>
                        <wps:cNvCnPr>
                          <a:cxnSpLocks noChangeShapeType="1"/>
                        </wps:cNvCnPr>
                        <wps:spPr bwMode="auto">
                          <a:xfrm>
                            <a:off x="3778885" y="1906270"/>
                            <a:ext cx="635" cy="3714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56" name="Rectangle 19043"/>
                        <wps:cNvSpPr>
                          <a:spLocks noChangeArrowheads="1"/>
                        </wps:cNvSpPr>
                        <wps:spPr bwMode="auto">
                          <a:xfrm>
                            <a:off x="3597910" y="2277745"/>
                            <a:ext cx="1075055"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BC7D80" w14:textId="77777777" w:rsidR="00217891" w:rsidRPr="00791640" w:rsidRDefault="00217891" w:rsidP="00070A5E">
                              <w:pPr>
                                <w:jc w:val="center"/>
                                <w:rPr>
                                  <w:rFonts w:ascii="宋体" w:hAnsi="宋体"/>
                                </w:rPr>
                              </w:pPr>
                              <w:r>
                                <w:rPr>
                                  <w:rFonts w:ascii="宋体" w:hAnsi="宋体" w:hint="eastAsia"/>
                                </w:rPr>
                                <w:t>指定建筑垃圾堆放点</w:t>
                              </w:r>
                            </w:p>
                          </w:txbxContent>
                        </wps:txbx>
                        <wps:bodyPr rot="0" vert="horz" wrap="square" lIns="91440" tIns="45720" rIns="91440" bIns="45720" anchor="t" anchorCtr="0" upright="1">
                          <a:noAutofit/>
                        </wps:bodyPr>
                      </wps:wsp>
                      <wps:wsp>
                        <wps:cNvPr id="26857" name="AutoShape 19044"/>
                        <wps:cNvCnPr>
                          <a:cxnSpLocks noChangeShapeType="1"/>
                        </wps:cNvCnPr>
                        <wps:spPr bwMode="auto">
                          <a:xfrm>
                            <a:off x="5126990" y="1928495"/>
                            <a:ext cx="1905" cy="3492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58" name="Rectangle 19045"/>
                        <wps:cNvSpPr>
                          <a:spLocks noChangeArrowheads="1"/>
                        </wps:cNvSpPr>
                        <wps:spPr bwMode="auto">
                          <a:xfrm>
                            <a:off x="4800600" y="2277745"/>
                            <a:ext cx="761365" cy="6369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0E139" w14:textId="77777777" w:rsidR="00217891" w:rsidRDefault="00217891" w:rsidP="00070A5E">
                              <w:pPr>
                                <w:jc w:val="center"/>
                                <w:rPr>
                                  <w:rFonts w:ascii="宋体" w:hAnsi="宋体"/>
                                </w:rPr>
                              </w:pPr>
                              <w:r>
                                <w:rPr>
                                  <w:rFonts w:ascii="宋体" w:hAnsi="宋体" w:hint="eastAsia"/>
                                </w:rPr>
                                <w:t>生活垃圾</w:t>
                              </w:r>
                            </w:p>
                            <w:p w14:paraId="1BAD24EC" w14:textId="77777777" w:rsidR="00217891" w:rsidRPr="00791640" w:rsidRDefault="00217891" w:rsidP="00070A5E">
                              <w:pPr>
                                <w:jc w:val="center"/>
                                <w:rPr>
                                  <w:rFonts w:ascii="宋体" w:hAnsi="宋体"/>
                                </w:rPr>
                              </w:pPr>
                              <w:r>
                                <w:rPr>
                                  <w:rFonts w:ascii="宋体" w:hAnsi="宋体" w:hint="eastAsia"/>
                                </w:rPr>
                                <w:t>焚烧发电厂</w:t>
                              </w:r>
                            </w:p>
                          </w:txbxContent>
                        </wps:txbx>
                        <wps:bodyPr rot="0" vert="horz" wrap="square" lIns="91440" tIns="45720" rIns="91440" bIns="45720" anchor="t" anchorCtr="0" upright="1">
                          <a:noAutofit/>
                        </wps:bodyPr>
                      </wps:wsp>
                      <wps:wsp>
                        <wps:cNvPr id="26859" name="AutoShape 19046"/>
                        <wps:cNvCnPr>
                          <a:cxnSpLocks noChangeShapeType="1"/>
                        </wps:cNvCnPr>
                        <wps:spPr bwMode="auto">
                          <a:xfrm>
                            <a:off x="421005" y="1881505"/>
                            <a:ext cx="635" cy="3714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60" name="AutoShape 19047"/>
                        <wps:cNvCnPr>
                          <a:cxnSpLocks noChangeShapeType="1"/>
                        </wps:cNvCnPr>
                        <wps:spPr bwMode="auto">
                          <a:xfrm>
                            <a:off x="1274445" y="1873885"/>
                            <a:ext cx="635" cy="3727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61" name="Rectangle 19048"/>
                        <wps:cNvSpPr>
                          <a:spLocks noChangeArrowheads="1"/>
                        </wps:cNvSpPr>
                        <wps:spPr bwMode="auto">
                          <a:xfrm>
                            <a:off x="138430" y="3203575"/>
                            <a:ext cx="1609725" cy="29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5CDCE1" w14:textId="77777777" w:rsidR="00217891" w:rsidRPr="00791640" w:rsidRDefault="00217891" w:rsidP="00070A5E">
                              <w:pPr>
                                <w:jc w:val="center"/>
                                <w:rPr>
                                  <w:rFonts w:ascii="宋体" w:hAnsi="宋体"/>
                                </w:rPr>
                              </w:pPr>
                              <w:r>
                                <w:rPr>
                                  <w:rFonts w:ascii="宋体" w:hAnsi="宋体" w:hint="eastAsia"/>
                                </w:rPr>
                                <w:t>降低对周围环境的影响</w:t>
                              </w:r>
                            </w:p>
                          </w:txbxContent>
                        </wps:txbx>
                        <wps:bodyPr rot="0" vert="horz" wrap="square" lIns="91440" tIns="45720" rIns="91440" bIns="45720" anchor="t" anchorCtr="0" upright="1">
                          <a:noAutofit/>
                        </wps:bodyPr>
                      </wps:wsp>
                      <wps:wsp>
                        <wps:cNvPr id="26862" name="AutoShape 19049"/>
                        <wps:cNvCnPr>
                          <a:cxnSpLocks noChangeShapeType="1"/>
                        </wps:cNvCnPr>
                        <wps:spPr bwMode="auto">
                          <a:xfrm>
                            <a:off x="2294890" y="1894205"/>
                            <a:ext cx="635" cy="3619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63" name="Rectangle 19050"/>
                        <wps:cNvSpPr>
                          <a:spLocks noChangeArrowheads="1"/>
                        </wps:cNvSpPr>
                        <wps:spPr bwMode="auto">
                          <a:xfrm>
                            <a:off x="405765" y="60325"/>
                            <a:ext cx="627380" cy="46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F1E19A" w14:textId="77777777" w:rsidR="00217891" w:rsidRPr="00791640" w:rsidRDefault="00217891" w:rsidP="00070A5E">
                              <w:pPr>
                                <w:jc w:val="center"/>
                                <w:rPr>
                                  <w:rFonts w:ascii="宋体" w:hAnsi="宋体"/>
                                </w:rPr>
                              </w:pPr>
                              <w:r>
                                <w:rPr>
                                  <w:rFonts w:ascii="宋体" w:hAnsi="宋体" w:hint="eastAsia"/>
                                </w:rPr>
                                <w:t>土石方阶段</w:t>
                              </w:r>
                            </w:p>
                          </w:txbxContent>
                        </wps:txbx>
                        <wps:bodyPr rot="0" vert="horz" wrap="square" lIns="91440" tIns="45720" rIns="91440" bIns="45720" anchor="t" anchorCtr="0" upright="1">
                          <a:noAutofit/>
                        </wps:bodyPr>
                      </wps:wsp>
                      <wps:wsp>
                        <wps:cNvPr id="26865" name="Rectangle 19051"/>
                        <wps:cNvSpPr>
                          <a:spLocks noChangeArrowheads="1"/>
                        </wps:cNvSpPr>
                        <wps:spPr bwMode="auto">
                          <a:xfrm>
                            <a:off x="1358265" y="60960"/>
                            <a:ext cx="551180" cy="46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ED5DF" w14:textId="77777777" w:rsidR="00217891" w:rsidRPr="00791640" w:rsidRDefault="00217891" w:rsidP="00070A5E">
                              <w:pPr>
                                <w:jc w:val="center"/>
                                <w:rPr>
                                  <w:rFonts w:ascii="宋体" w:hAnsi="宋体"/>
                                </w:rPr>
                              </w:pPr>
                              <w:r>
                                <w:rPr>
                                  <w:rFonts w:ascii="宋体" w:hAnsi="宋体" w:hint="eastAsia"/>
                                </w:rPr>
                                <w:t>基础阶段</w:t>
                              </w:r>
                            </w:p>
                          </w:txbxContent>
                        </wps:txbx>
                        <wps:bodyPr rot="0" vert="horz" wrap="square" lIns="91440" tIns="45720" rIns="91440" bIns="45720" anchor="t" anchorCtr="0" upright="1">
                          <a:noAutofit/>
                        </wps:bodyPr>
                      </wps:wsp>
                      <wps:wsp>
                        <wps:cNvPr id="26866" name="Rectangle 19052"/>
                        <wps:cNvSpPr>
                          <a:spLocks noChangeArrowheads="1"/>
                        </wps:cNvSpPr>
                        <wps:spPr bwMode="auto">
                          <a:xfrm>
                            <a:off x="2234565" y="60325"/>
                            <a:ext cx="551180" cy="46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B625F" w14:textId="77777777" w:rsidR="00217891" w:rsidRPr="00791640" w:rsidRDefault="00217891" w:rsidP="00070A5E">
                              <w:pPr>
                                <w:jc w:val="center"/>
                                <w:rPr>
                                  <w:rFonts w:ascii="宋体" w:hAnsi="宋体"/>
                                </w:rPr>
                              </w:pPr>
                              <w:r>
                                <w:rPr>
                                  <w:rFonts w:ascii="宋体" w:hAnsi="宋体" w:hint="eastAsia"/>
                                </w:rPr>
                                <w:t>结构阶段</w:t>
                              </w:r>
                            </w:p>
                          </w:txbxContent>
                        </wps:txbx>
                        <wps:bodyPr rot="0" vert="horz" wrap="square" lIns="91440" tIns="45720" rIns="91440" bIns="45720" anchor="t" anchorCtr="0" upright="1">
                          <a:noAutofit/>
                        </wps:bodyPr>
                      </wps:wsp>
                      <wps:wsp>
                        <wps:cNvPr id="26867" name="Rectangle 19053"/>
                        <wps:cNvSpPr>
                          <a:spLocks noChangeArrowheads="1"/>
                        </wps:cNvSpPr>
                        <wps:spPr bwMode="auto">
                          <a:xfrm>
                            <a:off x="3097530" y="60960"/>
                            <a:ext cx="551180" cy="46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49688" w14:textId="77777777" w:rsidR="00217891" w:rsidRPr="00791640" w:rsidRDefault="00217891" w:rsidP="00070A5E">
                              <w:pPr>
                                <w:jc w:val="center"/>
                                <w:rPr>
                                  <w:rFonts w:ascii="宋体" w:hAnsi="宋体"/>
                                </w:rPr>
                              </w:pPr>
                              <w:r>
                                <w:rPr>
                                  <w:rFonts w:ascii="宋体" w:hAnsi="宋体" w:hint="eastAsia"/>
                                </w:rPr>
                                <w:t>安装阶段</w:t>
                              </w:r>
                            </w:p>
                          </w:txbxContent>
                        </wps:txbx>
                        <wps:bodyPr rot="0" vert="horz" wrap="square" lIns="91440" tIns="45720" rIns="91440" bIns="45720" anchor="t" anchorCtr="0" upright="1">
                          <a:noAutofit/>
                        </wps:bodyPr>
                      </wps:wsp>
                      <wps:wsp>
                        <wps:cNvPr id="26868" name="Rectangle 19054"/>
                        <wps:cNvSpPr>
                          <a:spLocks noChangeArrowheads="1"/>
                        </wps:cNvSpPr>
                        <wps:spPr bwMode="auto">
                          <a:xfrm>
                            <a:off x="3973830" y="60325"/>
                            <a:ext cx="551180" cy="46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27BE3" w14:textId="77777777" w:rsidR="00217891" w:rsidRPr="00791640" w:rsidRDefault="00217891" w:rsidP="00070A5E">
                              <w:pPr>
                                <w:jc w:val="center"/>
                                <w:rPr>
                                  <w:rFonts w:ascii="宋体" w:hAnsi="宋体"/>
                                </w:rPr>
                              </w:pPr>
                              <w:r>
                                <w:rPr>
                                  <w:rFonts w:ascii="宋体" w:hAnsi="宋体" w:hint="eastAsia"/>
                                </w:rPr>
                                <w:t>装修阶段</w:t>
                              </w:r>
                            </w:p>
                          </w:txbxContent>
                        </wps:txbx>
                        <wps:bodyPr rot="0" vert="horz" wrap="square" lIns="91440" tIns="45720" rIns="91440" bIns="45720" anchor="t" anchorCtr="0" upright="1">
                          <a:noAutofit/>
                        </wps:bodyPr>
                      </wps:wsp>
                      <wps:wsp>
                        <wps:cNvPr id="26869" name="Line 19055"/>
                        <wps:cNvCnPr>
                          <a:cxnSpLocks noChangeShapeType="1"/>
                        </wps:cNvCnPr>
                        <wps:spPr bwMode="auto">
                          <a:xfrm>
                            <a:off x="1033145" y="280670"/>
                            <a:ext cx="325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70" name="Rectangle 19056"/>
                        <wps:cNvSpPr>
                          <a:spLocks noChangeArrowheads="1"/>
                        </wps:cNvSpPr>
                        <wps:spPr bwMode="auto">
                          <a:xfrm>
                            <a:off x="4850130" y="60325"/>
                            <a:ext cx="551180" cy="46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C41944" w14:textId="77777777" w:rsidR="00217891" w:rsidRPr="00791640" w:rsidRDefault="00217891" w:rsidP="00070A5E">
                              <w:pPr>
                                <w:jc w:val="center"/>
                                <w:rPr>
                                  <w:rFonts w:ascii="宋体" w:hAnsi="宋体"/>
                                </w:rPr>
                              </w:pPr>
                              <w:r>
                                <w:rPr>
                                  <w:rFonts w:ascii="宋体" w:hAnsi="宋体" w:hint="eastAsia"/>
                                </w:rPr>
                                <w:t>工程验收</w:t>
                              </w:r>
                            </w:p>
                          </w:txbxContent>
                        </wps:txbx>
                        <wps:bodyPr rot="0" vert="horz" wrap="square" lIns="91440" tIns="45720" rIns="91440" bIns="45720" anchor="t" anchorCtr="0" upright="1">
                          <a:noAutofit/>
                        </wps:bodyPr>
                      </wps:wsp>
                      <wps:wsp>
                        <wps:cNvPr id="26871" name="Rectangle 19057"/>
                        <wps:cNvSpPr>
                          <a:spLocks noChangeArrowheads="1"/>
                        </wps:cNvSpPr>
                        <wps:spPr bwMode="auto">
                          <a:xfrm>
                            <a:off x="138430" y="2255520"/>
                            <a:ext cx="513715"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09EC1" w14:textId="77777777" w:rsidR="00217891" w:rsidRDefault="00217891" w:rsidP="00070A5E">
                              <w:pPr>
                                <w:jc w:val="center"/>
                                <w:rPr>
                                  <w:rFonts w:ascii="宋体" w:hAnsi="宋体"/>
                                </w:rPr>
                              </w:pPr>
                              <w:r>
                                <w:rPr>
                                  <w:rFonts w:ascii="宋体" w:hAnsi="宋体" w:hint="eastAsia"/>
                                </w:rPr>
                                <w:t>隔声</w:t>
                              </w:r>
                            </w:p>
                            <w:p w14:paraId="443710E7" w14:textId="77777777" w:rsidR="00217891" w:rsidRPr="00791640" w:rsidRDefault="00217891" w:rsidP="00070A5E">
                              <w:pPr>
                                <w:jc w:val="center"/>
                                <w:rPr>
                                  <w:rFonts w:ascii="宋体" w:hAnsi="宋体"/>
                                </w:rPr>
                              </w:pPr>
                              <w:r>
                                <w:rPr>
                                  <w:rFonts w:ascii="宋体" w:hAnsi="宋体" w:hint="eastAsia"/>
                                </w:rPr>
                                <w:t>减振等</w:t>
                              </w:r>
                            </w:p>
                          </w:txbxContent>
                        </wps:txbx>
                        <wps:bodyPr rot="0" vert="horz" wrap="square" lIns="36000" tIns="45720" rIns="36000" bIns="45720" anchor="t" anchorCtr="0" upright="1">
                          <a:noAutofit/>
                        </wps:bodyPr>
                      </wps:wsp>
                      <wps:wsp>
                        <wps:cNvPr id="26872" name="Rectangle 19058"/>
                        <wps:cNvSpPr>
                          <a:spLocks noChangeArrowheads="1"/>
                        </wps:cNvSpPr>
                        <wps:spPr bwMode="auto">
                          <a:xfrm>
                            <a:off x="1074420" y="1393190"/>
                            <a:ext cx="43307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59EC63" w14:textId="77777777" w:rsidR="00217891" w:rsidRPr="00791640" w:rsidRDefault="00217891" w:rsidP="00070A5E">
                              <w:pPr>
                                <w:jc w:val="center"/>
                                <w:rPr>
                                  <w:rFonts w:ascii="宋体" w:hAnsi="宋体"/>
                                </w:rPr>
                              </w:pPr>
                              <w:r>
                                <w:rPr>
                                  <w:rFonts w:ascii="宋体" w:hAnsi="宋体" w:hint="eastAsia"/>
                                </w:rPr>
                                <w:t>施工扬尘</w:t>
                              </w:r>
                            </w:p>
                          </w:txbxContent>
                        </wps:txbx>
                        <wps:bodyPr rot="0" vert="horz" wrap="square" lIns="36000" tIns="45720" rIns="36000" bIns="45720" anchor="t" anchorCtr="0" upright="1">
                          <a:noAutofit/>
                        </wps:bodyPr>
                      </wps:wsp>
                      <wps:wsp>
                        <wps:cNvPr id="26873" name="Rectangle 19059"/>
                        <wps:cNvSpPr>
                          <a:spLocks noChangeArrowheads="1"/>
                        </wps:cNvSpPr>
                        <wps:spPr bwMode="auto">
                          <a:xfrm>
                            <a:off x="2076450" y="1393190"/>
                            <a:ext cx="43307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D3F1F6" w14:textId="77777777" w:rsidR="00217891" w:rsidRPr="00791640" w:rsidRDefault="00217891" w:rsidP="00070A5E">
                              <w:pPr>
                                <w:jc w:val="center"/>
                                <w:rPr>
                                  <w:rFonts w:ascii="宋体" w:hAnsi="宋体"/>
                                </w:rPr>
                              </w:pPr>
                              <w:r>
                                <w:rPr>
                                  <w:rFonts w:ascii="宋体" w:hAnsi="宋体" w:hint="eastAsia"/>
                                </w:rPr>
                                <w:t>施工废水</w:t>
                              </w:r>
                            </w:p>
                          </w:txbxContent>
                        </wps:txbx>
                        <wps:bodyPr rot="0" vert="horz" wrap="square" lIns="36000" tIns="45720" rIns="36000" bIns="45720" anchor="t" anchorCtr="0" upright="1">
                          <a:noAutofit/>
                        </wps:bodyPr>
                      </wps:wsp>
                      <wps:wsp>
                        <wps:cNvPr id="26874" name="Rectangle 19060"/>
                        <wps:cNvSpPr>
                          <a:spLocks noChangeArrowheads="1"/>
                        </wps:cNvSpPr>
                        <wps:spPr bwMode="auto">
                          <a:xfrm>
                            <a:off x="3597910" y="1426845"/>
                            <a:ext cx="43307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8E52EC" w14:textId="77777777" w:rsidR="00217891" w:rsidRPr="00791640" w:rsidRDefault="00217891" w:rsidP="00070A5E">
                              <w:pPr>
                                <w:jc w:val="center"/>
                                <w:rPr>
                                  <w:rFonts w:ascii="宋体" w:hAnsi="宋体"/>
                                </w:rPr>
                              </w:pPr>
                              <w:r>
                                <w:rPr>
                                  <w:rFonts w:ascii="宋体" w:hAnsi="宋体" w:hint="eastAsia"/>
                                </w:rPr>
                                <w:t>建筑垃圾</w:t>
                              </w:r>
                            </w:p>
                          </w:txbxContent>
                        </wps:txbx>
                        <wps:bodyPr rot="0" vert="horz" wrap="square" lIns="36000" tIns="45720" rIns="36000" bIns="45720" anchor="t" anchorCtr="0" upright="1">
                          <a:noAutofit/>
                        </wps:bodyPr>
                      </wps:wsp>
                      <wps:wsp>
                        <wps:cNvPr id="26875" name="Rectangle 19061"/>
                        <wps:cNvSpPr>
                          <a:spLocks noChangeArrowheads="1"/>
                        </wps:cNvSpPr>
                        <wps:spPr bwMode="auto">
                          <a:xfrm>
                            <a:off x="4900930" y="1425575"/>
                            <a:ext cx="43307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9AE746" w14:textId="77777777" w:rsidR="00217891" w:rsidRPr="00791640" w:rsidRDefault="00217891" w:rsidP="00070A5E">
                              <w:pPr>
                                <w:jc w:val="center"/>
                                <w:rPr>
                                  <w:rFonts w:ascii="宋体" w:hAnsi="宋体"/>
                                </w:rPr>
                              </w:pPr>
                              <w:r>
                                <w:rPr>
                                  <w:rFonts w:ascii="宋体" w:hAnsi="宋体" w:hint="eastAsia"/>
                                </w:rPr>
                                <w:t>生活垃圾</w:t>
                              </w:r>
                            </w:p>
                          </w:txbxContent>
                        </wps:txbx>
                        <wps:bodyPr rot="0" vert="horz" wrap="square" lIns="36000" tIns="45720" rIns="36000" bIns="45720" anchor="t" anchorCtr="0" upright="1">
                          <a:noAutofit/>
                        </wps:bodyPr>
                      </wps:wsp>
                      <wps:wsp>
                        <wps:cNvPr id="26876" name="Rectangle 19062"/>
                        <wps:cNvSpPr>
                          <a:spLocks noChangeArrowheads="1"/>
                        </wps:cNvSpPr>
                        <wps:spPr bwMode="auto">
                          <a:xfrm>
                            <a:off x="930275" y="2258695"/>
                            <a:ext cx="68580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3E5061" w14:textId="77777777" w:rsidR="00217891" w:rsidRPr="00791640" w:rsidRDefault="00217891" w:rsidP="00070A5E">
                              <w:pPr>
                                <w:jc w:val="center"/>
                                <w:rPr>
                                  <w:rFonts w:ascii="宋体" w:hAnsi="宋体"/>
                                </w:rPr>
                              </w:pPr>
                              <w:r>
                                <w:rPr>
                                  <w:rFonts w:ascii="宋体" w:hAnsi="宋体" w:hint="eastAsia"/>
                                </w:rPr>
                                <w:t>洒水，设置围挡等</w:t>
                              </w:r>
                            </w:p>
                          </w:txbxContent>
                        </wps:txbx>
                        <wps:bodyPr rot="0" vert="horz" wrap="square" lIns="36000" tIns="45720" rIns="36000" bIns="45720" anchor="t" anchorCtr="0" upright="1">
                          <a:noAutofit/>
                        </wps:bodyPr>
                      </wps:wsp>
                      <wps:wsp>
                        <wps:cNvPr id="26877" name="AutoShape 19063"/>
                        <wps:cNvCnPr>
                          <a:cxnSpLocks noChangeShapeType="1"/>
                        </wps:cNvCnPr>
                        <wps:spPr bwMode="auto">
                          <a:xfrm>
                            <a:off x="365760" y="2752090"/>
                            <a:ext cx="635" cy="4565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78" name="Rectangle 19064"/>
                        <wps:cNvSpPr>
                          <a:spLocks noChangeArrowheads="1"/>
                        </wps:cNvSpPr>
                        <wps:spPr bwMode="auto">
                          <a:xfrm>
                            <a:off x="2076450" y="2233295"/>
                            <a:ext cx="485775"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6AEBBD" w14:textId="77777777" w:rsidR="00217891" w:rsidRPr="00791640" w:rsidRDefault="00217891" w:rsidP="00070A5E">
                              <w:pPr>
                                <w:jc w:val="center"/>
                                <w:rPr>
                                  <w:rFonts w:ascii="宋体" w:hAnsi="宋体"/>
                                </w:rPr>
                              </w:pPr>
                              <w:r>
                                <w:rPr>
                                  <w:rFonts w:ascii="宋体" w:hAnsi="宋体" w:hint="eastAsia"/>
                                </w:rPr>
                                <w:t>设置沉淀池</w:t>
                              </w:r>
                            </w:p>
                          </w:txbxContent>
                        </wps:txbx>
                        <wps:bodyPr rot="0" vert="horz" wrap="square" lIns="36000" tIns="45720" rIns="36000" bIns="45720" anchor="t" anchorCtr="0" upright="1">
                          <a:noAutofit/>
                        </wps:bodyPr>
                      </wps:wsp>
                      <wps:wsp>
                        <wps:cNvPr id="26879" name="AutoShape 19065"/>
                        <wps:cNvCnPr>
                          <a:cxnSpLocks noChangeShapeType="1"/>
                        </wps:cNvCnPr>
                        <wps:spPr bwMode="auto">
                          <a:xfrm>
                            <a:off x="3057525" y="1917700"/>
                            <a:ext cx="635" cy="3492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896" name="Rectangle 19066"/>
                        <wps:cNvSpPr>
                          <a:spLocks noChangeArrowheads="1"/>
                        </wps:cNvSpPr>
                        <wps:spPr bwMode="auto">
                          <a:xfrm>
                            <a:off x="2843530" y="1416050"/>
                            <a:ext cx="43307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7E17AC" w14:textId="77777777" w:rsidR="00217891" w:rsidRPr="00791640" w:rsidRDefault="00217891" w:rsidP="00070A5E">
                              <w:pPr>
                                <w:jc w:val="center"/>
                                <w:rPr>
                                  <w:rFonts w:ascii="宋体" w:hAnsi="宋体"/>
                                </w:rPr>
                              </w:pPr>
                              <w:r>
                                <w:rPr>
                                  <w:rFonts w:ascii="宋体" w:hAnsi="宋体" w:hint="eastAsia"/>
                                </w:rPr>
                                <w:t>生活污水</w:t>
                              </w:r>
                            </w:p>
                          </w:txbxContent>
                        </wps:txbx>
                        <wps:bodyPr rot="0" vert="horz" wrap="square" lIns="36000" tIns="45720" rIns="36000" bIns="45720" anchor="t" anchorCtr="0" upright="1">
                          <a:noAutofit/>
                        </wps:bodyPr>
                      </wps:wsp>
                      <wps:wsp>
                        <wps:cNvPr id="4897" name="Rectangle 19067"/>
                        <wps:cNvSpPr>
                          <a:spLocks noChangeArrowheads="1"/>
                        </wps:cNvSpPr>
                        <wps:spPr bwMode="auto">
                          <a:xfrm>
                            <a:off x="2843530" y="2256155"/>
                            <a:ext cx="485775"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971CE8" w14:textId="77777777" w:rsidR="00217891" w:rsidRPr="00791640" w:rsidRDefault="00217891" w:rsidP="00070A5E">
                              <w:pPr>
                                <w:jc w:val="center"/>
                                <w:rPr>
                                  <w:rFonts w:ascii="宋体" w:hAnsi="宋体"/>
                                </w:rPr>
                              </w:pPr>
                              <w:r>
                                <w:rPr>
                                  <w:rFonts w:ascii="宋体" w:hAnsi="宋体" w:hint="eastAsia"/>
                                </w:rPr>
                                <w:t>设置化粪池</w:t>
                              </w:r>
                            </w:p>
                          </w:txbxContent>
                        </wps:txbx>
                        <wps:bodyPr rot="0" vert="horz" wrap="square" lIns="36000" tIns="45720" rIns="36000" bIns="45720" anchor="t" anchorCtr="0" upright="1">
                          <a:noAutofit/>
                        </wps:bodyPr>
                      </wps:wsp>
                      <wps:wsp>
                        <wps:cNvPr id="4898" name="AutoShape 19068"/>
                        <wps:cNvCnPr>
                          <a:cxnSpLocks noChangeShapeType="1"/>
                        </wps:cNvCnPr>
                        <wps:spPr bwMode="auto">
                          <a:xfrm>
                            <a:off x="4420235" y="1094105"/>
                            <a:ext cx="635" cy="3327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899" name="AutoShape 19069"/>
                        <wps:cNvCnPr>
                          <a:cxnSpLocks noChangeShapeType="1"/>
                        </wps:cNvCnPr>
                        <wps:spPr bwMode="auto">
                          <a:xfrm>
                            <a:off x="4420870" y="1906270"/>
                            <a:ext cx="635" cy="3714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00" name="Rectangle 19070"/>
                        <wps:cNvSpPr>
                          <a:spLocks noChangeArrowheads="1"/>
                        </wps:cNvSpPr>
                        <wps:spPr bwMode="auto">
                          <a:xfrm>
                            <a:off x="4239895" y="1426845"/>
                            <a:ext cx="29972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23B85" w14:textId="77777777" w:rsidR="00217891" w:rsidRPr="00791640" w:rsidRDefault="00217891" w:rsidP="00070A5E">
                              <w:pPr>
                                <w:jc w:val="center"/>
                                <w:rPr>
                                  <w:rFonts w:ascii="宋体" w:hAnsi="宋体"/>
                                </w:rPr>
                              </w:pPr>
                              <w:r>
                                <w:rPr>
                                  <w:rFonts w:ascii="宋体" w:hAnsi="宋体" w:hint="eastAsia"/>
                                </w:rPr>
                                <w:t>弃土</w:t>
                              </w:r>
                            </w:p>
                          </w:txbxContent>
                        </wps:txbx>
                        <wps:bodyPr rot="0" vert="horz" wrap="square" lIns="36000" tIns="45720" rIns="36000" bIns="45720" anchor="t" anchorCtr="0" upright="1">
                          <a:noAutofit/>
                        </wps:bodyPr>
                      </wps:wsp>
                      <wps:wsp>
                        <wps:cNvPr id="4901" name="AutoShape 19071"/>
                        <wps:cNvCnPr>
                          <a:cxnSpLocks noChangeShapeType="1"/>
                        </wps:cNvCnPr>
                        <wps:spPr bwMode="auto">
                          <a:xfrm>
                            <a:off x="1282700" y="2766060"/>
                            <a:ext cx="635" cy="4565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02" name="AutoShape 19072"/>
                        <wps:cNvCnPr>
                          <a:cxnSpLocks noChangeShapeType="1"/>
                        </wps:cNvCnPr>
                        <wps:spPr bwMode="auto">
                          <a:xfrm>
                            <a:off x="2285365" y="2741295"/>
                            <a:ext cx="635" cy="4565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03" name="AutoShape 19073"/>
                        <wps:cNvCnPr>
                          <a:cxnSpLocks noChangeShapeType="1"/>
                        </wps:cNvCnPr>
                        <wps:spPr bwMode="auto">
                          <a:xfrm>
                            <a:off x="3067685" y="2741295"/>
                            <a:ext cx="635" cy="4565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04" name="Rectangle 19074"/>
                        <wps:cNvSpPr>
                          <a:spLocks noChangeArrowheads="1"/>
                        </wps:cNvSpPr>
                        <wps:spPr bwMode="auto">
                          <a:xfrm>
                            <a:off x="2781935" y="3192780"/>
                            <a:ext cx="618490" cy="29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131E32" w14:textId="77777777" w:rsidR="00217891" w:rsidRPr="004274CF" w:rsidRDefault="00217891" w:rsidP="00070A5E">
                              <w:pPr>
                                <w:jc w:val="center"/>
                                <w:rPr>
                                  <w:rFonts w:ascii="宋体" w:hAnsi="宋体"/>
                                </w:rPr>
                              </w:pPr>
                              <w:r w:rsidRPr="004274CF">
                                <w:rPr>
                                  <w:rFonts w:ascii="宋体" w:hAnsi="宋体" w:hint="eastAsia"/>
                                </w:rPr>
                                <w:t>综合利用</w:t>
                              </w:r>
                            </w:p>
                          </w:txbxContent>
                        </wps:txbx>
                        <wps:bodyPr rot="0" vert="horz" wrap="square" lIns="0" tIns="45720" rIns="0" bIns="45720" anchor="t" anchorCtr="0" upright="1">
                          <a:noAutofit/>
                        </wps:bodyPr>
                      </wps:wsp>
                      <wps:wsp>
                        <wps:cNvPr id="4905" name="Line 19075"/>
                        <wps:cNvCnPr>
                          <a:cxnSpLocks noChangeShapeType="1"/>
                        </wps:cNvCnPr>
                        <wps:spPr bwMode="auto">
                          <a:xfrm>
                            <a:off x="1909445" y="280035"/>
                            <a:ext cx="325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6" name="Line 19076"/>
                        <wps:cNvCnPr>
                          <a:cxnSpLocks noChangeShapeType="1"/>
                        </wps:cNvCnPr>
                        <wps:spPr bwMode="auto">
                          <a:xfrm>
                            <a:off x="2785745" y="279400"/>
                            <a:ext cx="325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7" name="Line 19077"/>
                        <wps:cNvCnPr>
                          <a:cxnSpLocks noChangeShapeType="1"/>
                        </wps:cNvCnPr>
                        <wps:spPr bwMode="auto">
                          <a:xfrm>
                            <a:off x="3648710" y="300990"/>
                            <a:ext cx="325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8" name="Line 19078"/>
                        <wps:cNvCnPr>
                          <a:cxnSpLocks noChangeShapeType="1"/>
                        </wps:cNvCnPr>
                        <wps:spPr bwMode="auto">
                          <a:xfrm>
                            <a:off x="4525010" y="301625"/>
                            <a:ext cx="325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ADD1FD3" id="画布 19027" o:spid="_x0000_s1512" editas="canvas" style="position:absolute;left:0;text-align:left;margin-left:-10.6pt;margin-top:6.8pt;width:448.7pt;height:281.25pt;z-index:251451904" coordsize="5698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">
                <v:shape id="_x0000_s1513" type="#_x0000_t75" style="position:absolute;width:56984;height:35718;visibility:visible;mso-wrap-style:square">
                  <v:fill o:detectmouseclick="t"/>
                  <v:path o:connecttype="none"/>
                </v:shape>
                <v:shape id="AutoShape 19029" o:spid="_x0000_s1514" type="#_x0000_t32" style="position:absolute;left:7512;top:5276;width:6;height:1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">
                  <v:stroke dashstyle="dash"/>
                </v:shape>
                <v:shape id="AutoShape 19030" o:spid="_x0000_s1515" type="#_x0000_t32" style="position:absolute;left:43021;top:5289;width:19;height:1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">
                  <v:stroke dashstyle="dash"/>
                </v:shape>
                <v:shape id="AutoShape 19031" o:spid="_x0000_s1516" type="#_x0000_t32" style="position:absolute;left:7512;top:7264;width:3552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">
                  <v:stroke dashstyle="dash"/>
                </v:shape>
                <v:shape id="AutoShape 19032" o:spid="_x0000_s1517" type="#_x0000_t32" style="position:absolute;left:28994;top:7289;width:6;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">
                  <v:stroke dashstyle="dash" endarrow="block"/>
                </v:shape>
                <v:shape id="AutoShape 19033" o:spid="_x0000_s1518" type="#_x0000_t32" style="position:absolute;left:4235;top:10706;width:470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">
                  <v:stroke dashstyle="dash"/>
                </v:shape>
                <v:rect id="Rectangle 19034" o:spid="_x0000_s1519" style="position:absolute;left:2190;top:14020;width:4331;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" filled="f">
                  <v:textbox inset="1mm,,1mm">
                    <w:txbxContent>
                      <w:p w14:paraId="391B154B" w14:textId="77777777" w:rsidR="00217891" w:rsidRPr="00791640" w:rsidRDefault="00217891" w:rsidP="00070A5E">
                        <w:pPr>
                          <w:jc w:val="center"/>
                          <w:rPr>
                            <w:rFonts w:ascii="宋体" w:hAnsi="宋体"/>
                          </w:rPr>
                        </w:pPr>
                        <w:r>
                          <w:rPr>
                            <w:rFonts w:ascii="宋体" w:hAnsi="宋体" w:hint="eastAsia"/>
                          </w:rPr>
                          <w:t>施工噪声</w:t>
                        </w:r>
                      </w:p>
                    </w:txbxContent>
                  </v:textbox>
                </v:rect>
                <v:shape id="AutoShape 19035" o:spid="_x0000_s1520" type="#_x0000_t32" style="position:absolute;left:4222;top:10693;width:13;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">
                  <v:stroke dashstyle="dash" endarrow="block"/>
                </v:shape>
                <v:shape id="AutoShape 19036" o:spid="_x0000_s1521" type="#_x0000_t32" style="position:absolute;left:12827;top:10941;width:6;height:2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">
                  <v:stroke dashstyle="dash" endarrow="block"/>
                </v:shape>
                <v:shape id="AutoShape 19037" o:spid="_x0000_s1522" type="#_x0000_t32" style="position:absolute;left:22942;top:10941;width:6;height:2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">
                  <v:stroke dashstyle="dash" endarrow="block"/>
                </v:shape>
                <v:shape id="AutoShape 19038" o:spid="_x0000_s1523" type="#_x0000_t32" style="position:absolute;left:30676;top:10941;width:7;height:2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">
                  <v:stroke dashstyle="dash" endarrow="block"/>
                </v:shape>
                <v:shape id="AutoShape 19039" o:spid="_x0000_s1524" type="#_x0000_t32" style="position:absolute;left:37782;top:10941;width:6;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">
                  <v:stroke dashstyle="dash" endarrow="block"/>
                </v:shape>
                <v:shape id="AutoShape 19040" o:spid="_x0000_s1525" type="#_x0000_t32" style="position:absolute;left:51282;top:10941;width:6;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">
                  <v:stroke dashstyle="dash" endarrow="block"/>
                </v:shape>
                <v:rect id="Rectangle 19041" o:spid="_x0000_s1526" style="position:absolute;left:19799;top:31927;width:676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" filled="f">
                  <v:textbox inset="0,,0">
                    <w:txbxContent>
                      <w:p w14:paraId="03DCCE3D" w14:textId="77777777" w:rsidR="00217891" w:rsidRPr="004274CF" w:rsidRDefault="00217891" w:rsidP="00070A5E">
                        <w:pPr>
                          <w:jc w:val="center"/>
                          <w:rPr>
                            <w:rFonts w:ascii="宋体" w:hAnsi="宋体"/>
                          </w:rPr>
                        </w:pPr>
                        <w:r w:rsidRPr="004274CF">
                          <w:rPr>
                            <w:rFonts w:ascii="宋体" w:hAnsi="宋体" w:hint="eastAsia"/>
                          </w:rPr>
                          <w:t>综合利用</w:t>
                        </w:r>
                      </w:p>
                    </w:txbxContent>
                  </v:textbox>
                </v:rect>
                <v:shape id="AutoShape 19042" o:spid="_x0000_s1527" type="#_x0000_t32" style="position:absolute;left:37788;top:19062;width:7;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">
                  <v:stroke dashstyle="dash" endarrow="block"/>
                </v:shape>
                <v:rect id="Rectangle 19043" o:spid="_x0000_s1528" style="position:absolute;left:35979;top:22777;width:1075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" filled="f">
                  <v:textbox>
                    <w:txbxContent>
                      <w:p w14:paraId="70BC7D80" w14:textId="77777777" w:rsidR="00217891" w:rsidRPr="00791640" w:rsidRDefault="00217891" w:rsidP="00070A5E">
                        <w:pPr>
                          <w:jc w:val="center"/>
                          <w:rPr>
                            <w:rFonts w:ascii="宋体" w:hAnsi="宋体"/>
                          </w:rPr>
                        </w:pPr>
                        <w:r>
                          <w:rPr>
                            <w:rFonts w:ascii="宋体" w:hAnsi="宋体" w:hint="eastAsia"/>
                          </w:rPr>
                          <w:t>指定建筑垃圾堆放点</w:t>
                        </w:r>
                      </w:p>
                    </w:txbxContent>
                  </v:textbox>
                </v:rect>
                <v:shape id="AutoShape 19044" o:spid="_x0000_s1529" type="#_x0000_t32" style="position:absolute;left:51269;top:19284;width:19;height:3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">
                  <v:stroke dashstyle="dash" endarrow="block"/>
                </v:shape>
                <v:rect id="Rectangle 19045" o:spid="_x0000_s1530" style="position:absolute;left:48006;top:22777;width:7613;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" filled="f">
                  <v:textbox>
                    <w:txbxContent>
                      <w:p w14:paraId="2C60E139" w14:textId="77777777" w:rsidR="00217891" w:rsidRDefault="00217891" w:rsidP="00070A5E">
                        <w:pPr>
                          <w:jc w:val="center"/>
                          <w:rPr>
                            <w:rFonts w:ascii="宋体" w:hAnsi="宋体"/>
                          </w:rPr>
                        </w:pPr>
                        <w:r>
                          <w:rPr>
                            <w:rFonts w:ascii="宋体" w:hAnsi="宋体" w:hint="eastAsia"/>
                          </w:rPr>
                          <w:t>生活垃圾</w:t>
                        </w:r>
                      </w:p>
                      <w:p w14:paraId="1BAD24EC" w14:textId="77777777" w:rsidR="00217891" w:rsidRPr="00791640" w:rsidRDefault="00217891" w:rsidP="00070A5E">
                        <w:pPr>
                          <w:jc w:val="center"/>
                          <w:rPr>
                            <w:rFonts w:ascii="宋体" w:hAnsi="宋体"/>
                          </w:rPr>
                        </w:pPr>
                        <w:r>
                          <w:rPr>
                            <w:rFonts w:ascii="宋体" w:hAnsi="宋体" w:hint="eastAsia"/>
                          </w:rPr>
                          <w:t>焚烧发电厂</w:t>
                        </w:r>
                      </w:p>
                    </w:txbxContent>
                  </v:textbox>
                </v:rect>
                <v:shape id="AutoShape 19046" o:spid="_x0000_s1531" type="#_x0000_t32" style="position:absolute;left:4210;top:18815;width:6;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">
                  <v:stroke dashstyle="dash" endarrow="block"/>
                </v:shape>
                <v:shape id="AutoShape 19047" o:spid="_x0000_s1532" type="#_x0000_t32" style="position:absolute;left:12744;top:18738;width:6;height:3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">
                  <v:stroke dashstyle="dash" endarrow="block"/>
                </v:shape>
                <v:rect id="Rectangle 19048" o:spid="_x0000_s1533" style="position:absolute;left:1384;top:32035;width:1609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" filled="f">
                  <v:textbox>
                    <w:txbxContent>
                      <w:p w14:paraId="085CDCE1" w14:textId="77777777" w:rsidR="00217891" w:rsidRPr="00791640" w:rsidRDefault="00217891" w:rsidP="00070A5E">
                        <w:pPr>
                          <w:jc w:val="center"/>
                          <w:rPr>
                            <w:rFonts w:ascii="宋体" w:hAnsi="宋体"/>
                          </w:rPr>
                        </w:pPr>
                        <w:r>
                          <w:rPr>
                            <w:rFonts w:ascii="宋体" w:hAnsi="宋体" w:hint="eastAsia"/>
                          </w:rPr>
                          <w:t>降低对周围环境的影响</w:t>
                        </w:r>
                      </w:p>
                    </w:txbxContent>
                  </v:textbox>
                </v:rect>
                <v:shape id="AutoShape 19049" o:spid="_x0000_s1534" type="#_x0000_t32" style="position:absolute;left:22948;top:18942;width:7;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">
                  <v:stroke dashstyle="dash" endarrow="block"/>
                </v:shape>
                <v:rect id="Rectangle 19050" o:spid="_x0000_s1535" style="position:absolute;left:4057;top:603;width:62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" filled="f">
                  <v:textbox>
                    <w:txbxContent>
                      <w:p w14:paraId="22F1E19A" w14:textId="77777777" w:rsidR="00217891" w:rsidRPr="00791640" w:rsidRDefault="00217891" w:rsidP="00070A5E">
                        <w:pPr>
                          <w:jc w:val="center"/>
                          <w:rPr>
                            <w:rFonts w:ascii="宋体" w:hAnsi="宋体"/>
                          </w:rPr>
                        </w:pPr>
                        <w:r>
                          <w:rPr>
                            <w:rFonts w:ascii="宋体" w:hAnsi="宋体" w:hint="eastAsia"/>
                          </w:rPr>
                          <w:t>土石方阶段</w:t>
                        </w:r>
                      </w:p>
                    </w:txbxContent>
                  </v:textbox>
                </v:rect>
                <v:rect id="Rectangle 19051" o:spid="_x0000_s1536" style="position:absolute;left:13582;top:609;width:551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" filled="f">
                  <v:textbox>
                    <w:txbxContent>
                      <w:p w14:paraId="2B5ED5DF" w14:textId="77777777" w:rsidR="00217891" w:rsidRPr="00791640" w:rsidRDefault="00217891" w:rsidP="00070A5E">
                        <w:pPr>
                          <w:jc w:val="center"/>
                          <w:rPr>
                            <w:rFonts w:ascii="宋体" w:hAnsi="宋体"/>
                          </w:rPr>
                        </w:pPr>
                        <w:r>
                          <w:rPr>
                            <w:rFonts w:ascii="宋体" w:hAnsi="宋体" w:hint="eastAsia"/>
                          </w:rPr>
                          <w:t>基础阶段</w:t>
                        </w:r>
                      </w:p>
                    </w:txbxContent>
                  </v:textbox>
                </v:rect>
                <v:rect id="Rectangle 19052" o:spid="_x0000_s1537" style="position:absolute;left:22345;top:603;width:551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" filled="f">
                  <v:textbox>
                    <w:txbxContent>
                      <w:p w14:paraId="503B625F" w14:textId="77777777" w:rsidR="00217891" w:rsidRPr="00791640" w:rsidRDefault="00217891" w:rsidP="00070A5E">
                        <w:pPr>
                          <w:jc w:val="center"/>
                          <w:rPr>
                            <w:rFonts w:ascii="宋体" w:hAnsi="宋体"/>
                          </w:rPr>
                        </w:pPr>
                        <w:r>
                          <w:rPr>
                            <w:rFonts w:ascii="宋体" w:hAnsi="宋体" w:hint="eastAsia"/>
                          </w:rPr>
                          <w:t>结构阶段</w:t>
                        </w:r>
                      </w:p>
                    </w:txbxContent>
                  </v:textbox>
                </v:rect>
                <v:rect id="Rectangle 19053" o:spid="_x0000_s1538" style="position:absolute;left:30975;top:609;width:551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" filled="f">
                  <v:textbox>
                    <w:txbxContent>
                      <w:p w14:paraId="70A49688" w14:textId="77777777" w:rsidR="00217891" w:rsidRPr="00791640" w:rsidRDefault="00217891" w:rsidP="00070A5E">
                        <w:pPr>
                          <w:jc w:val="center"/>
                          <w:rPr>
                            <w:rFonts w:ascii="宋体" w:hAnsi="宋体"/>
                          </w:rPr>
                        </w:pPr>
                        <w:r>
                          <w:rPr>
                            <w:rFonts w:ascii="宋体" w:hAnsi="宋体" w:hint="eastAsia"/>
                          </w:rPr>
                          <w:t>安装阶段</w:t>
                        </w:r>
                      </w:p>
                    </w:txbxContent>
                  </v:textbox>
                </v:rect>
                <v:rect id="Rectangle 19054" o:spid="_x0000_s1539" style="position:absolute;left:39738;top:603;width:551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" filled="f">
                  <v:textbox>
                    <w:txbxContent>
                      <w:p w14:paraId="48127BE3" w14:textId="77777777" w:rsidR="00217891" w:rsidRPr="00791640" w:rsidRDefault="00217891" w:rsidP="00070A5E">
                        <w:pPr>
                          <w:jc w:val="center"/>
                          <w:rPr>
                            <w:rFonts w:ascii="宋体" w:hAnsi="宋体"/>
                          </w:rPr>
                        </w:pPr>
                        <w:r>
                          <w:rPr>
                            <w:rFonts w:ascii="宋体" w:hAnsi="宋体" w:hint="eastAsia"/>
                          </w:rPr>
                          <w:t>装修阶段</w:t>
                        </w:r>
                      </w:p>
                    </w:txbxContent>
                  </v:textbox>
                </v:rect>
                <v:line id="Line 19055" o:spid="_x0000_s1540" style="position:absolute;visibility:visible;mso-wrap-style:square" from="10331,2806" to="13582,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">
                  <v:stroke endarrow="block"/>
                </v:line>
                <v:rect id="Rectangle 19056" o:spid="_x0000_s1541" style="position:absolute;left:48501;top:603;width:551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" filled="f">
                  <v:textbox>
                    <w:txbxContent>
                      <w:p w14:paraId="6DC41944" w14:textId="77777777" w:rsidR="00217891" w:rsidRPr="00791640" w:rsidRDefault="00217891" w:rsidP="00070A5E">
                        <w:pPr>
                          <w:jc w:val="center"/>
                          <w:rPr>
                            <w:rFonts w:ascii="宋体" w:hAnsi="宋体"/>
                          </w:rPr>
                        </w:pPr>
                        <w:r>
                          <w:rPr>
                            <w:rFonts w:ascii="宋体" w:hAnsi="宋体" w:hint="eastAsia"/>
                          </w:rPr>
                          <w:t>工程验收</w:t>
                        </w:r>
                      </w:p>
                    </w:txbxContent>
                  </v:textbox>
                </v:rect>
                <v:rect id="Rectangle 19057" o:spid="_x0000_s1542" style="position:absolute;left:1384;top:22555;width:5137;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" filled="f">
                  <v:textbox inset="1mm,,1mm">
                    <w:txbxContent>
                      <w:p w14:paraId="00E09EC1" w14:textId="77777777" w:rsidR="00217891" w:rsidRDefault="00217891" w:rsidP="00070A5E">
                        <w:pPr>
                          <w:jc w:val="center"/>
                          <w:rPr>
                            <w:rFonts w:ascii="宋体" w:hAnsi="宋体"/>
                          </w:rPr>
                        </w:pPr>
                        <w:r>
                          <w:rPr>
                            <w:rFonts w:ascii="宋体" w:hAnsi="宋体" w:hint="eastAsia"/>
                          </w:rPr>
                          <w:t>隔声</w:t>
                        </w:r>
                      </w:p>
                      <w:p w14:paraId="443710E7" w14:textId="77777777" w:rsidR="00217891" w:rsidRPr="00791640" w:rsidRDefault="00217891" w:rsidP="00070A5E">
                        <w:pPr>
                          <w:jc w:val="center"/>
                          <w:rPr>
                            <w:rFonts w:ascii="宋体" w:hAnsi="宋体"/>
                          </w:rPr>
                        </w:pPr>
                        <w:r>
                          <w:rPr>
                            <w:rFonts w:ascii="宋体" w:hAnsi="宋体" w:hint="eastAsia"/>
                          </w:rPr>
                          <w:t>减振等</w:t>
                        </w:r>
                      </w:p>
                    </w:txbxContent>
                  </v:textbox>
                </v:rect>
                <v:rect id="Rectangle 19058" o:spid="_x0000_s1543" style="position:absolute;left:10744;top:13931;width:4330;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" filled="f">
                  <v:textbox inset="1mm,,1mm">
                    <w:txbxContent>
                      <w:p w14:paraId="2E59EC63" w14:textId="77777777" w:rsidR="00217891" w:rsidRPr="00791640" w:rsidRDefault="00217891" w:rsidP="00070A5E">
                        <w:pPr>
                          <w:jc w:val="center"/>
                          <w:rPr>
                            <w:rFonts w:ascii="宋体" w:hAnsi="宋体"/>
                          </w:rPr>
                        </w:pPr>
                        <w:r>
                          <w:rPr>
                            <w:rFonts w:ascii="宋体" w:hAnsi="宋体" w:hint="eastAsia"/>
                          </w:rPr>
                          <w:t>施工扬尘</w:t>
                        </w:r>
                      </w:p>
                    </w:txbxContent>
                  </v:textbox>
                </v:rect>
                <v:rect id="Rectangle 19059" o:spid="_x0000_s1544" style="position:absolute;left:20764;top:13931;width:4331;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" filled="f">
                  <v:textbox inset="1mm,,1mm">
                    <w:txbxContent>
                      <w:p w14:paraId="6BD3F1F6" w14:textId="77777777" w:rsidR="00217891" w:rsidRPr="00791640" w:rsidRDefault="00217891" w:rsidP="00070A5E">
                        <w:pPr>
                          <w:jc w:val="center"/>
                          <w:rPr>
                            <w:rFonts w:ascii="宋体" w:hAnsi="宋体"/>
                          </w:rPr>
                        </w:pPr>
                        <w:r>
                          <w:rPr>
                            <w:rFonts w:ascii="宋体" w:hAnsi="宋体" w:hint="eastAsia"/>
                          </w:rPr>
                          <w:t>施工废水</w:t>
                        </w:r>
                      </w:p>
                    </w:txbxContent>
                  </v:textbox>
                </v:rect>
                <v:rect id="Rectangle 19060" o:spid="_x0000_s1545" style="position:absolute;left:35979;top:14268;width:4330;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" filled="f">
                  <v:textbox inset="1mm,,1mm">
                    <w:txbxContent>
                      <w:p w14:paraId="548E52EC" w14:textId="77777777" w:rsidR="00217891" w:rsidRPr="00791640" w:rsidRDefault="00217891" w:rsidP="00070A5E">
                        <w:pPr>
                          <w:jc w:val="center"/>
                          <w:rPr>
                            <w:rFonts w:ascii="宋体" w:hAnsi="宋体"/>
                          </w:rPr>
                        </w:pPr>
                        <w:r>
                          <w:rPr>
                            <w:rFonts w:ascii="宋体" w:hAnsi="宋体" w:hint="eastAsia"/>
                          </w:rPr>
                          <w:t>建筑垃圾</w:t>
                        </w:r>
                      </w:p>
                    </w:txbxContent>
                  </v:textbox>
                </v:rect>
                <v:rect id="Rectangle 19061" o:spid="_x0000_s1546" style="position:absolute;left:49009;top:14255;width:4331;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" filled="f">
                  <v:textbox inset="1mm,,1mm">
                    <w:txbxContent>
                      <w:p w14:paraId="469AE746" w14:textId="77777777" w:rsidR="00217891" w:rsidRPr="00791640" w:rsidRDefault="00217891" w:rsidP="00070A5E">
                        <w:pPr>
                          <w:jc w:val="center"/>
                          <w:rPr>
                            <w:rFonts w:ascii="宋体" w:hAnsi="宋体"/>
                          </w:rPr>
                        </w:pPr>
                        <w:r>
                          <w:rPr>
                            <w:rFonts w:ascii="宋体" w:hAnsi="宋体" w:hint="eastAsia"/>
                          </w:rPr>
                          <w:t>生活垃圾</w:t>
                        </w:r>
                      </w:p>
                    </w:txbxContent>
                  </v:textbox>
                </v:rect>
                <v:rect id="Rectangle 19062" o:spid="_x0000_s1547" style="position:absolute;left:9302;top:22586;width:6858;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" filled="f">
                  <v:textbox inset="1mm,,1mm">
                    <w:txbxContent>
                      <w:p w14:paraId="103E5061" w14:textId="77777777" w:rsidR="00217891" w:rsidRPr="00791640" w:rsidRDefault="00217891" w:rsidP="00070A5E">
                        <w:pPr>
                          <w:jc w:val="center"/>
                          <w:rPr>
                            <w:rFonts w:ascii="宋体" w:hAnsi="宋体"/>
                          </w:rPr>
                        </w:pPr>
                        <w:r>
                          <w:rPr>
                            <w:rFonts w:ascii="宋体" w:hAnsi="宋体" w:hint="eastAsia"/>
                          </w:rPr>
                          <w:t>洒水，设置围挡等</w:t>
                        </w:r>
                      </w:p>
                    </w:txbxContent>
                  </v:textbox>
                </v:rect>
                <v:shape id="AutoShape 19063" o:spid="_x0000_s1548" type="#_x0000_t32" style="position:absolute;left:3657;top:27520;width:6;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">
                  <v:stroke dashstyle="dash" endarrow="block"/>
                </v:shape>
                <v:rect id="Rectangle 19064" o:spid="_x0000_s1549" style="position:absolute;left:20764;top:22332;width:4858;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" filled="f">
                  <v:textbox inset="1mm,,1mm">
                    <w:txbxContent>
                      <w:p w14:paraId="6F6AEBBD" w14:textId="77777777" w:rsidR="00217891" w:rsidRPr="00791640" w:rsidRDefault="00217891" w:rsidP="00070A5E">
                        <w:pPr>
                          <w:jc w:val="center"/>
                          <w:rPr>
                            <w:rFonts w:ascii="宋体" w:hAnsi="宋体"/>
                          </w:rPr>
                        </w:pPr>
                        <w:r>
                          <w:rPr>
                            <w:rFonts w:ascii="宋体" w:hAnsi="宋体" w:hint="eastAsia"/>
                          </w:rPr>
                          <w:t>设置沉淀池</w:t>
                        </w:r>
                      </w:p>
                    </w:txbxContent>
                  </v:textbox>
                </v:rect>
                <v:shape id="AutoShape 19065" o:spid="_x0000_s1550" type="#_x0000_t32" style="position:absolute;left:30575;top:19177;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">
                  <v:stroke dashstyle="dash" endarrow="block"/>
                </v:shape>
                <v:rect id="Rectangle 19066" o:spid="_x0000_s1551" style="position:absolute;left:28435;top:14160;width:4331;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" filled="f">
                  <v:textbox inset="1mm,,1mm">
                    <w:txbxContent>
                      <w:p w14:paraId="587E17AC" w14:textId="77777777" w:rsidR="00217891" w:rsidRPr="00791640" w:rsidRDefault="00217891" w:rsidP="00070A5E">
                        <w:pPr>
                          <w:jc w:val="center"/>
                          <w:rPr>
                            <w:rFonts w:ascii="宋体" w:hAnsi="宋体"/>
                          </w:rPr>
                        </w:pPr>
                        <w:r>
                          <w:rPr>
                            <w:rFonts w:ascii="宋体" w:hAnsi="宋体" w:hint="eastAsia"/>
                          </w:rPr>
                          <w:t>生活污水</w:t>
                        </w:r>
                      </w:p>
                    </w:txbxContent>
                  </v:textbox>
                </v:rect>
                <v:rect id="Rectangle 19067" o:spid="_x0000_s1552" style="position:absolute;left:28435;top:22561;width:485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" filled="f">
                  <v:textbox inset="1mm,,1mm">
                    <w:txbxContent>
                      <w:p w14:paraId="70971CE8" w14:textId="77777777" w:rsidR="00217891" w:rsidRPr="00791640" w:rsidRDefault="00217891" w:rsidP="00070A5E">
                        <w:pPr>
                          <w:jc w:val="center"/>
                          <w:rPr>
                            <w:rFonts w:ascii="宋体" w:hAnsi="宋体"/>
                          </w:rPr>
                        </w:pPr>
                        <w:r>
                          <w:rPr>
                            <w:rFonts w:ascii="宋体" w:hAnsi="宋体" w:hint="eastAsia"/>
                          </w:rPr>
                          <w:t>设置化粪池</w:t>
                        </w:r>
                      </w:p>
                    </w:txbxContent>
                  </v:textbox>
                </v:rect>
                <v:shape id="AutoShape 19068" o:spid="_x0000_s1553" type="#_x0000_t32" style="position:absolute;left:44202;top:10941;width:6;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">
                  <v:stroke dashstyle="dash" endarrow="block"/>
                </v:shape>
                <v:shape id="AutoShape 19069" o:spid="_x0000_s1554" type="#_x0000_t32" style="position:absolute;left:44208;top:19062;width:7;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">
                  <v:stroke dashstyle="dash" endarrow="block"/>
                </v:shape>
                <v:rect id="Rectangle 19070" o:spid="_x0000_s1555" style="position:absolute;left:42398;top:14268;width:299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" filled="f">
                  <v:textbox inset="1mm,,1mm">
                    <w:txbxContent>
                      <w:p w14:paraId="69B23B85" w14:textId="77777777" w:rsidR="00217891" w:rsidRPr="00791640" w:rsidRDefault="00217891" w:rsidP="00070A5E">
                        <w:pPr>
                          <w:jc w:val="center"/>
                          <w:rPr>
                            <w:rFonts w:ascii="宋体" w:hAnsi="宋体"/>
                          </w:rPr>
                        </w:pPr>
                        <w:r>
                          <w:rPr>
                            <w:rFonts w:ascii="宋体" w:hAnsi="宋体" w:hint="eastAsia"/>
                          </w:rPr>
                          <w:t>弃土</w:t>
                        </w:r>
                      </w:p>
                    </w:txbxContent>
                  </v:textbox>
                </v:rect>
                <v:shape id="AutoShape 19071" o:spid="_x0000_s1556" type="#_x0000_t32" style="position:absolute;left:12827;top:27660;width:6;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">
                  <v:stroke dashstyle="dash" endarrow="block"/>
                </v:shape>
                <v:shape id="AutoShape 19072" o:spid="_x0000_s1557" type="#_x0000_t32" style="position:absolute;left:22853;top:27412;width:7;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">
                  <v:stroke dashstyle="dash" endarrow="block"/>
                </v:shape>
                <v:shape id="AutoShape 19073" o:spid="_x0000_s1558" type="#_x0000_t32" style="position:absolute;left:30676;top:27412;width:7;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">
                  <v:stroke dashstyle="dash" endarrow="block"/>
                </v:shape>
                <v:rect id="Rectangle 19074" o:spid="_x0000_s1559" style="position:absolute;left:27819;top:31927;width:618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" filled="f">
                  <v:textbox inset="0,,0">
                    <w:txbxContent>
                      <w:p w14:paraId="6F131E32" w14:textId="77777777" w:rsidR="00217891" w:rsidRPr="004274CF" w:rsidRDefault="00217891" w:rsidP="00070A5E">
                        <w:pPr>
                          <w:jc w:val="center"/>
                          <w:rPr>
                            <w:rFonts w:ascii="宋体" w:hAnsi="宋体"/>
                          </w:rPr>
                        </w:pPr>
                        <w:r w:rsidRPr="004274CF">
                          <w:rPr>
                            <w:rFonts w:ascii="宋体" w:hAnsi="宋体" w:hint="eastAsia"/>
                          </w:rPr>
                          <w:t>综合利用</w:t>
                        </w:r>
                      </w:p>
                    </w:txbxContent>
                  </v:textbox>
                </v:rect>
                <v:line id="Line 19075" o:spid="_x0000_s1560" style="position:absolute;visibility:visible;mso-wrap-style:square" from="19094,2800" to="22345,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">
                  <v:stroke endarrow="block"/>
                </v:line>
                <v:line id="Line 19076" o:spid="_x0000_s1561" style="position:absolute;visibility:visible;mso-wrap-style:square" from="27857,2794" to="31108,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">
                  <v:stroke endarrow="block"/>
                </v:line>
                <v:line id="Line 19077" o:spid="_x0000_s1562" style="position:absolute;visibility:visible;mso-wrap-style:square" from="36487,3009" to="3973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">
                  <v:stroke endarrow="block"/>
                </v:line>
                <v:line id="Line 19078" o:spid="_x0000_s1563" style="position:absolute;visibility:visible;mso-wrap-style:square" from="45250,3016" to="485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">
                  <v:stroke endarrow="block"/>
                </v:line>
                <w10:wrap type="topAndBottom"/>
              </v:group>
            </w:pict>
          </mc:Fallback>
        </mc:AlternateContent>
      </w:r>
      <w:r w:rsidRPr="00A964FF">
        <w:rPr>
          <w:rFonts w:ascii="Calibri" w:eastAsia="黑体" w:hAnsi="Calibri" w:hint="eastAsia"/>
          <w:bCs/>
          <w:color w:val="auto"/>
          <w:sz w:val="24"/>
        </w:rPr>
        <w:t>图</w:t>
      </w:r>
    </w:p>
    <w:p w14:paraId="0A7F78EE" w14:textId="77777777" w:rsidR="00070A5E" w:rsidRPr="00A964FF" w:rsidRDefault="00070A5E" w:rsidP="00070A5E">
      <w:pPr>
        <w:pStyle w:val="ad"/>
        <w:rPr>
          <w:rFonts w:ascii="Calibri" w:hAnsi="Calibri"/>
          <w:color w:val="auto"/>
          <w:sz w:val="24"/>
        </w:rPr>
      </w:pPr>
      <w:r w:rsidRPr="00A964FF">
        <w:rPr>
          <w:rFonts w:ascii="Calibri" w:hAnsi="Calibri"/>
          <w:color w:val="auto"/>
        </w:rPr>
        <w:t>2.</w:t>
      </w:r>
      <w:r w:rsidR="00137E14">
        <w:rPr>
          <w:rFonts w:ascii="Calibri" w:hAnsi="Calibri"/>
          <w:color w:val="auto"/>
        </w:rPr>
        <w:t>6</w:t>
      </w:r>
      <w:r w:rsidRPr="00A964FF">
        <w:rPr>
          <w:rFonts w:ascii="Calibri" w:hAnsi="Calibri"/>
          <w:color w:val="auto"/>
        </w:rPr>
        <w:t>.1</w:t>
      </w:r>
      <w:r w:rsidRPr="00A964FF">
        <w:rPr>
          <w:rFonts w:ascii="Calibri" w:hAnsi="Calibri" w:hint="eastAsia"/>
          <w:color w:val="auto"/>
        </w:rPr>
        <w:t>大气污染</w:t>
      </w:r>
    </w:p>
    <w:p w14:paraId="574EFDBA"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color w:val="auto"/>
          <w:sz w:val="24"/>
        </w:rPr>
        <w:t>施工活动产生的大气污染物主要为施工扬尘。</w:t>
      </w:r>
      <w:r w:rsidRPr="00A964FF">
        <w:rPr>
          <w:rFonts w:ascii="Calibri" w:hint="eastAsia"/>
          <w:noProof/>
          <w:color w:val="auto"/>
          <w:sz w:val="24"/>
        </w:rPr>
        <w:t>对整个施工期而言，施工扬尘主要集中在土建施工阶段，按起尘的原因可分为风力扬尘和动力扬尘，其中风力起尘主要是由于露天堆放的建筑材料及裸露的施工区表层浮土，由于天气干燥及大风产生风力扬尘。动力起尘主要是在建筑材料的装卸、转运过程中，由于外力而产生的尘粒再悬浮而造成，其中施工及装卸车辆造成的扬尘最为严重。</w:t>
      </w:r>
    </w:p>
    <w:p w14:paraId="0C68BC6A"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noProof/>
          <w:color w:val="auto"/>
          <w:sz w:val="24"/>
        </w:rPr>
        <w:t>（</w:t>
      </w:r>
      <w:r w:rsidRPr="00A964FF">
        <w:rPr>
          <w:rFonts w:ascii="Calibri"/>
          <w:noProof/>
          <w:color w:val="auto"/>
          <w:sz w:val="24"/>
        </w:rPr>
        <w:t>1</w:t>
      </w:r>
      <w:r w:rsidRPr="00A964FF">
        <w:rPr>
          <w:rFonts w:ascii="Calibri" w:hint="eastAsia"/>
          <w:noProof/>
          <w:color w:val="auto"/>
          <w:sz w:val="24"/>
        </w:rPr>
        <w:t>）风力起尘</w:t>
      </w:r>
    </w:p>
    <w:p w14:paraId="2910DAF1"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noProof/>
          <w:color w:val="auto"/>
          <w:sz w:val="24"/>
        </w:rPr>
        <w:t>由于施工需要，一些建材需露天堆放，一些施工点需人工开挖、堆放、在气候干燥又有风的情况下，会产生扬尘。这类扬尘的主要特点是与风速和尘粒含水率有关，据资料介绍，当灰尘含水率为</w:t>
      </w:r>
      <w:r w:rsidRPr="00A964FF">
        <w:rPr>
          <w:rFonts w:ascii="Calibri"/>
          <w:noProof/>
          <w:color w:val="auto"/>
          <w:sz w:val="24"/>
        </w:rPr>
        <w:t>0.5%</w:t>
      </w:r>
      <w:r w:rsidRPr="00A964FF">
        <w:rPr>
          <w:rFonts w:ascii="Calibri" w:hint="eastAsia"/>
          <w:noProof/>
          <w:color w:val="auto"/>
          <w:sz w:val="24"/>
        </w:rPr>
        <w:t>时，其启动风速约为</w:t>
      </w:r>
      <w:r w:rsidRPr="00A964FF">
        <w:rPr>
          <w:rFonts w:ascii="Calibri"/>
          <w:noProof/>
          <w:color w:val="auto"/>
          <w:sz w:val="24"/>
        </w:rPr>
        <w:t>4.0m/s</w:t>
      </w:r>
      <w:r w:rsidRPr="00A964FF">
        <w:rPr>
          <w:rFonts w:ascii="Calibri" w:hint="eastAsia"/>
          <w:noProof/>
          <w:color w:val="auto"/>
          <w:sz w:val="24"/>
        </w:rPr>
        <w:t>。因此，减少建材的露天堆放和保证一定的含水率是抑制这类扬尘的有效手段。</w:t>
      </w:r>
    </w:p>
    <w:p w14:paraId="06AC1E61"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noProof/>
          <w:color w:val="auto"/>
          <w:sz w:val="24"/>
        </w:rPr>
        <w:lastRenderedPageBreak/>
        <w:t>尘粒在空气中的传播扩散情况与风速等气象条件有关，也与尘粒本身的沉降速度有关。以沙土为例，其沉降速度随粒径的增大而迅速增大。当粒径为</w:t>
      </w:r>
      <w:r w:rsidRPr="00A964FF">
        <w:rPr>
          <w:rFonts w:ascii="Calibri"/>
          <w:noProof/>
          <w:color w:val="auto"/>
          <w:sz w:val="24"/>
        </w:rPr>
        <w:t>250</w:t>
      </w:r>
      <w:r w:rsidRPr="00A964FF">
        <w:rPr>
          <w:rFonts w:ascii="Calibri" w:hint="eastAsia"/>
          <w:noProof/>
          <w:color w:val="auto"/>
          <w:sz w:val="24"/>
        </w:rPr>
        <w:t>微米时，沉降速度为</w:t>
      </w:r>
      <w:r w:rsidRPr="00A964FF">
        <w:rPr>
          <w:rFonts w:ascii="Calibri"/>
          <w:noProof/>
          <w:color w:val="auto"/>
          <w:sz w:val="24"/>
        </w:rPr>
        <w:t>1.005m/s</w:t>
      </w:r>
      <w:r w:rsidRPr="00A964FF">
        <w:rPr>
          <w:rFonts w:ascii="Calibri" w:hint="eastAsia"/>
          <w:noProof/>
          <w:color w:val="auto"/>
          <w:sz w:val="24"/>
        </w:rPr>
        <w:t>，因此当尘粒大于</w:t>
      </w:r>
      <w:r w:rsidRPr="00A964FF">
        <w:rPr>
          <w:rFonts w:ascii="Calibri"/>
          <w:noProof/>
          <w:color w:val="auto"/>
          <w:sz w:val="24"/>
        </w:rPr>
        <w:t>250</w:t>
      </w:r>
      <w:r w:rsidRPr="00A964FF">
        <w:rPr>
          <w:rFonts w:ascii="Calibri" w:hint="eastAsia"/>
          <w:noProof/>
          <w:color w:val="auto"/>
          <w:sz w:val="24"/>
        </w:rPr>
        <w:t>微米时，主要影响范围在扬尘点下方向近距离内，而真正对外环境产生影响的是一些微小尘粒。根据现场施工季节的气候情况不同，其影响范围和方向也有所不同，施工期间制定必要的防治措施，以减小施工扬尘对周围环境的影响。</w:t>
      </w:r>
    </w:p>
    <w:p w14:paraId="14162604"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noProof/>
          <w:color w:val="auto"/>
          <w:sz w:val="24"/>
        </w:rPr>
        <w:t>（</w:t>
      </w:r>
      <w:r w:rsidRPr="00A964FF">
        <w:rPr>
          <w:rFonts w:ascii="Calibri"/>
          <w:noProof/>
          <w:color w:val="auto"/>
          <w:sz w:val="24"/>
        </w:rPr>
        <w:t>2</w:t>
      </w:r>
      <w:r w:rsidRPr="00A964FF">
        <w:rPr>
          <w:rFonts w:ascii="Calibri" w:hint="eastAsia"/>
          <w:noProof/>
          <w:color w:val="auto"/>
          <w:sz w:val="24"/>
        </w:rPr>
        <w:t>）动力起尘</w:t>
      </w:r>
    </w:p>
    <w:p w14:paraId="30BD1277"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noProof/>
          <w:color w:val="auto"/>
          <w:sz w:val="24"/>
        </w:rPr>
        <w:t>由于外力而产生的尘粒再悬浮而造成，其中施工装卸车辆造成的扬尘最为严重。据有关文献资料介绍，车辆行驶产生的扬尘占总扬尘的</w:t>
      </w:r>
      <w:r w:rsidRPr="00A964FF">
        <w:rPr>
          <w:rFonts w:ascii="Calibri"/>
          <w:noProof/>
          <w:color w:val="auto"/>
          <w:sz w:val="24"/>
        </w:rPr>
        <w:t>60%</w:t>
      </w:r>
      <w:r w:rsidRPr="00A964FF">
        <w:rPr>
          <w:rFonts w:ascii="Calibri" w:hint="eastAsia"/>
          <w:noProof/>
          <w:color w:val="auto"/>
          <w:sz w:val="24"/>
        </w:rPr>
        <w:t>以上。车辆行驶产生的扬尘，在完全干燥情况下，可按下列经验公式计算：</w:t>
      </w:r>
    </w:p>
    <w:p w14:paraId="607A1CBF" w14:textId="77777777" w:rsidR="00070A5E" w:rsidRPr="00A964FF" w:rsidRDefault="00070A5E" w:rsidP="00070A5E">
      <w:pPr>
        <w:ind w:firstLineChars="200" w:firstLine="480"/>
        <w:rPr>
          <w:rFonts w:ascii="Calibri"/>
          <w:noProof/>
          <w:color w:val="auto"/>
          <w:sz w:val="24"/>
        </w:rPr>
      </w:pPr>
      <w:r w:rsidRPr="00A964FF">
        <w:rPr>
          <w:rFonts w:ascii="Calibri"/>
          <w:noProof/>
          <w:color w:val="auto"/>
          <w:sz w:val="24"/>
        </w:rPr>
        <w:t xml:space="preserve">      </w:t>
      </w:r>
      <w:r w:rsidRPr="00A964FF">
        <w:rPr>
          <w:rFonts w:ascii="Calibri" w:hAnsi="Calibri"/>
          <w:color w:val="auto"/>
        </w:rPr>
        <w:object w:dxaOrig="3080" w:dyaOrig="740" w14:anchorId="06F1C380">
          <v:shape id="_x0000_i1029" type="#_x0000_t75" style="width:133.2pt;height:31.8pt;mso-position-horizontal-relative:page;mso-position-vertical-relative:page" o:ole="" fillcolor="window">
            <v:imagedata r:id="rId27" o:title=""/>
          </v:shape>
          <o:OLEObject Type="Embed" ProgID="Equation.3" ShapeID="_x0000_i1029" DrawAspect="Content" ObjectID="_1725951955" r:id="rId28"/>
        </w:object>
      </w:r>
    </w:p>
    <w:p w14:paraId="47ADAA19"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noProof/>
          <w:color w:val="auto"/>
          <w:sz w:val="24"/>
        </w:rPr>
        <w:t>式中：</w:t>
      </w:r>
      <w:r w:rsidRPr="00A964FF">
        <w:rPr>
          <w:rFonts w:ascii="Calibri"/>
          <w:noProof/>
          <w:color w:val="auto"/>
          <w:sz w:val="24"/>
        </w:rPr>
        <w:t>Q</w:t>
      </w:r>
      <w:r w:rsidRPr="00A964FF">
        <w:rPr>
          <w:rFonts w:ascii="Calibri" w:hint="eastAsia"/>
          <w:noProof/>
          <w:color w:val="auto"/>
          <w:sz w:val="24"/>
        </w:rPr>
        <w:t>——汽车行驶的扬尘，</w:t>
      </w:r>
      <w:r w:rsidRPr="00A964FF">
        <w:rPr>
          <w:rFonts w:ascii="Calibri"/>
          <w:noProof/>
          <w:color w:val="auto"/>
          <w:sz w:val="24"/>
        </w:rPr>
        <w:t>kg</w:t>
      </w:r>
      <w:r w:rsidRPr="00A964FF">
        <w:rPr>
          <w:rFonts w:ascii="Calibri" w:hAnsi="Calibri"/>
          <w:noProof/>
          <w:color w:val="auto"/>
          <w:sz w:val="24"/>
        </w:rPr>
        <w:t>/km·</w:t>
      </w:r>
      <w:r w:rsidRPr="00A964FF">
        <w:rPr>
          <w:rFonts w:ascii="Calibri" w:hAnsi="Calibri" w:hint="eastAsia"/>
          <w:noProof/>
          <w:color w:val="auto"/>
          <w:sz w:val="24"/>
        </w:rPr>
        <w:t>辆；</w:t>
      </w:r>
    </w:p>
    <w:p w14:paraId="6C634B55"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noProof/>
          <w:color w:val="auto"/>
          <w:sz w:val="24"/>
        </w:rPr>
        <w:t xml:space="preserve">      V</w:t>
      </w:r>
      <w:r w:rsidRPr="00A964FF">
        <w:rPr>
          <w:rFonts w:ascii="Calibri" w:hint="eastAsia"/>
          <w:noProof/>
          <w:color w:val="auto"/>
          <w:sz w:val="24"/>
        </w:rPr>
        <w:t>——汽车速度，</w:t>
      </w:r>
      <w:r w:rsidRPr="00A964FF">
        <w:rPr>
          <w:rFonts w:ascii="Calibri"/>
          <w:noProof/>
          <w:color w:val="auto"/>
          <w:sz w:val="24"/>
        </w:rPr>
        <w:t>km/h</w:t>
      </w:r>
      <w:r w:rsidRPr="00A964FF">
        <w:rPr>
          <w:rFonts w:ascii="Calibri" w:hint="eastAsia"/>
          <w:noProof/>
          <w:color w:val="auto"/>
          <w:sz w:val="24"/>
        </w:rPr>
        <w:t>；</w:t>
      </w:r>
    </w:p>
    <w:p w14:paraId="384DFC4F"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noProof/>
          <w:color w:val="auto"/>
          <w:sz w:val="24"/>
        </w:rPr>
        <w:t xml:space="preserve">      W</w:t>
      </w:r>
      <w:r w:rsidRPr="00A964FF">
        <w:rPr>
          <w:rFonts w:ascii="Calibri" w:hint="eastAsia"/>
          <w:noProof/>
          <w:color w:val="auto"/>
          <w:sz w:val="24"/>
        </w:rPr>
        <w:t>——汽车载重量，</w:t>
      </w:r>
      <w:r w:rsidRPr="00A964FF">
        <w:rPr>
          <w:rFonts w:ascii="Calibri"/>
          <w:noProof/>
          <w:color w:val="auto"/>
          <w:sz w:val="24"/>
        </w:rPr>
        <w:t>t</w:t>
      </w:r>
      <w:r w:rsidRPr="00A964FF">
        <w:rPr>
          <w:rFonts w:ascii="Calibri" w:hint="eastAsia"/>
          <w:noProof/>
          <w:color w:val="auto"/>
          <w:sz w:val="24"/>
        </w:rPr>
        <w:t>；</w:t>
      </w:r>
    </w:p>
    <w:p w14:paraId="22D52311"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noProof/>
          <w:color w:val="auto"/>
          <w:sz w:val="24"/>
        </w:rPr>
        <w:t xml:space="preserve">      P</w:t>
      </w:r>
      <w:r w:rsidRPr="00A964FF">
        <w:rPr>
          <w:rFonts w:ascii="Calibri" w:hint="eastAsia"/>
          <w:noProof/>
          <w:color w:val="auto"/>
          <w:sz w:val="24"/>
        </w:rPr>
        <w:t>——道路表面粉尘量，</w:t>
      </w:r>
      <w:r w:rsidRPr="00A964FF">
        <w:rPr>
          <w:rFonts w:ascii="Calibri"/>
          <w:noProof/>
          <w:color w:val="auto"/>
          <w:sz w:val="24"/>
        </w:rPr>
        <w:t>kg/m</w:t>
      </w:r>
      <w:r w:rsidRPr="00A964FF">
        <w:rPr>
          <w:rFonts w:ascii="Calibri"/>
          <w:noProof/>
          <w:color w:val="auto"/>
          <w:sz w:val="24"/>
          <w:vertAlign w:val="superscript"/>
        </w:rPr>
        <w:t>2</w:t>
      </w:r>
      <w:r w:rsidRPr="00A964FF">
        <w:rPr>
          <w:rFonts w:ascii="Calibri" w:hint="eastAsia"/>
          <w:noProof/>
          <w:color w:val="auto"/>
          <w:sz w:val="24"/>
        </w:rPr>
        <w:t>。</w:t>
      </w:r>
    </w:p>
    <w:p w14:paraId="65AEF7C6" w14:textId="77777777" w:rsidR="00070A5E" w:rsidRPr="00A964FF" w:rsidRDefault="00070A5E" w:rsidP="00070A5E">
      <w:pPr>
        <w:spacing w:line="520" w:lineRule="exact"/>
        <w:ind w:firstLineChars="200" w:firstLine="480"/>
        <w:rPr>
          <w:rFonts w:ascii="Calibri"/>
          <w:noProof/>
          <w:color w:val="auto"/>
          <w:sz w:val="24"/>
        </w:rPr>
      </w:pPr>
      <w:r w:rsidRPr="00A964FF">
        <w:rPr>
          <w:rFonts w:ascii="Calibri" w:hint="eastAsia"/>
          <w:noProof/>
          <w:color w:val="auto"/>
          <w:sz w:val="24"/>
        </w:rPr>
        <w:t>依据本项目工程规模及进度，施工期车辆行驶状况为：平均每日进出工地次数为</w:t>
      </w:r>
      <w:r w:rsidRPr="00A964FF">
        <w:rPr>
          <w:rFonts w:ascii="Calibri"/>
          <w:noProof/>
          <w:color w:val="auto"/>
          <w:sz w:val="24"/>
        </w:rPr>
        <w:t>20</w:t>
      </w:r>
      <w:r w:rsidRPr="00A964FF">
        <w:rPr>
          <w:rFonts w:ascii="Calibri" w:hint="eastAsia"/>
          <w:noProof/>
          <w:color w:val="auto"/>
          <w:sz w:val="24"/>
        </w:rPr>
        <w:t>次</w:t>
      </w:r>
      <w:r w:rsidRPr="00A964FF">
        <w:rPr>
          <w:rFonts w:ascii="Calibri"/>
          <w:noProof/>
          <w:color w:val="auto"/>
          <w:sz w:val="24"/>
        </w:rPr>
        <w:t>/</w:t>
      </w:r>
      <w:r w:rsidRPr="00A964FF">
        <w:rPr>
          <w:rFonts w:ascii="Calibri" w:hint="eastAsia"/>
          <w:noProof/>
          <w:color w:val="auto"/>
          <w:sz w:val="24"/>
        </w:rPr>
        <w:t>日，施工期（</w:t>
      </w:r>
      <w:r w:rsidR="00991B8A">
        <w:rPr>
          <w:rFonts w:ascii="Calibri" w:hint="eastAsia"/>
          <w:noProof/>
          <w:color w:val="auto"/>
          <w:sz w:val="24"/>
        </w:rPr>
        <w:t>10</w:t>
      </w:r>
      <w:r w:rsidRPr="00A964FF">
        <w:rPr>
          <w:rFonts w:ascii="Calibri" w:hint="eastAsia"/>
          <w:noProof/>
          <w:color w:val="auto"/>
          <w:sz w:val="24"/>
        </w:rPr>
        <w:t>个月）共计</w:t>
      </w:r>
      <w:r w:rsidR="00991B8A">
        <w:rPr>
          <w:rFonts w:ascii="Calibri" w:hint="eastAsia"/>
          <w:noProof/>
          <w:color w:val="auto"/>
          <w:sz w:val="24"/>
        </w:rPr>
        <w:t>6000</w:t>
      </w:r>
      <w:r w:rsidRPr="00A964FF">
        <w:rPr>
          <w:rFonts w:ascii="Calibri" w:hint="eastAsia"/>
          <w:noProof/>
          <w:color w:val="auto"/>
          <w:sz w:val="24"/>
        </w:rPr>
        <w:t>趟次；每趟行驶里程按</w:t>
      </w:r>
      <w:r w:rsidRPr="00A964FF">
        <w:rPr>
          <w:rFonts w:ascii="Calibri"/>
          <w:noProof/>
          <w:color w:val="auto"/>
          <w:sz w:val="24"/>
        </w:rPr>
        <w:t>0.5km</w:t>
      </w:r>
      <w:r w:rsidRPr="00A964FF">
        <w:rPr>
          <w:rFonts w:ascii="Calibri" w:hint="eastAsia"/>
          <w:noProof/>
          <w:color w:val="auto"/>
          <w:sz w:val="24"/>
        </w:rPr>
        <w:t>计，共行驶</w:t>
      </w:r>
      <w:r w:rsidR="00991B8A">
        <w:rPr>
          <w:rFonts w:ascii="Calibri" w:hint="eastAsia"/>
          <w:noProof/>
          <w:color w:val="auto"/>
          <w:sz w:val="24"/>
        </w:rPr>
        <w:t>30</w:t>
      </w:r>
      <w:r w:rsidRPr="00A964FF">
        <w:rPr>
          <w:rFonts w:ascii="Calibri"/>
          <w:noProof/>
          <w:color w:val="auto"/>
          <w:sz w:val="24"/>
        </w:rPr>
        <w:t>00km</w:t>
      </w:r>
      <w:r w:rsidRPr="00A964FF">
        <w:rPr>
          <w:rFonts w:ascii="Calibri" w:hint="eastAsia"/>
          <w:noProof/>
          <w:color w:val="auto"/>
          <w:sz w:val="24"/>
        </w:rPr>
        <w:t>；平均车速按</w:t>
      </w:r>
      <w:r w:rsidRPr="00A964FF">
        <w:rPr>
          <w:rFonts w:ascii="Calibri"/>
          <w:noProof/>
          <w:color w:val="auto"/>
          <w:sz w:val="24"/>
        </w:rPr>
        <w:t>15km/h</w:t>
      </w:r>
      <w:r w:rsidRPr="00A964FF">
        <w:rPr>
          <w:rFonts w:ascii="Calibri" w:hint="eastAsia"/>
          <w:noProof/>
          <w:color w:val="auto"/>
          <w:sz w:val="24"/>
        </w:rPr>
        <w:t>计，汽车平均载重量按</w:t>
      </w:r>
      <w:r w:rsidRPr="00A964FF">
        <w:rPr>
          <w:rFonts w:ascii="Calibri"/>
          <w:noProof/>
          <w:color w:val="auto"/>
          <w:sz w:val="24"/>
        </w:rPr>
        <w:t>5t</w:t>
      </w:r>
      <w:r w:rsidRPr="00A964FF">
        <w:rPr>
          <w:rFonts w:ascii="Calibri" w:hint="eastAsia"/>
          <w:noProof/>
          <w:color w:val="auto"/>
          <w:sz w:val="24"/>
        </w:rPr>
        <w:t>计；道路表面粉尘量按</w:t>
      </w:r>
      <w:r w:rsidRPr="00A964FF">
        <w:rPr>
          <w:rFonts w:ascii="Calibri"/>
          <w:noProof/>
          <w:color w:val="auto"/>
          <w:sz w:val="24"/>
        </w:rPr>
        <w:t>0.3kg/m</w:t>
      </w:r>
      <w:r w:rsidRPr="00A964FF">
        <w:rPr>
          <w:rFonts w:ascii="Calibri"/>
          <w:noProof/>
          <w:color w:val="auto"/>
          <w:sz w:val="24"/>
          <w:vertAlign w:val="superscript"/>
        </w:rPr>
        <w:t>2</w:t>
      </w:r>
      <w:r w:rsidRPr="00A964FF">
        <w:rPr>
          <w:rFonts w:ascii="Calibri" w:hint="eastAsia"/>
          <w:noProof/>
          <w:color w:val="auto"/>
          <w:sz w:val="24"/>
        </w:rPr>
        <w:t>计，则整个施工期汽车道路运输扬尘产生量为</w:t>
      </w:r>
      <w:r w:rsidR="00E67FE3">
        <w:rPr>
          <w:rFonts w:ascii="Calibri" w:hint="eastAsia"/>
          <w:noProof/>
          <w:color w:val="auto"/>
          <w:sz w:val="24"/>
        </w:rPr>
        <w:t>0.59</w:t>
      </w:r>
      <w:r w:rsidRPr="00A964FF">
        <w:rPr>
          <w:rFonts w:ascii="Calibri"/>
          <w:noProof/>
          <w:color w:val="auto"/>
          <w:sz w:val="24"/>
        </w:rPr>
        <w:t>t</w:t>
      </w:r>
      <w:r w:rsidRPr="00A964FF">
        <w:rPr>
          <w:rFonts w:ascii="Calibri" w:hint="eastAsia"/>
          <w:noProof/>
          <w:color w:val="auto"/>
          <w:sz w:val="24"/>
        </w:rPr>
        <w:t>。</w:t>
      </w:r>
    </w:p>
    <w:p w14:paraId="04645467" w14:textId="77777777" w:rsidR="006859C0" w:rsidRPr="00137E14" w:rsidRDefault="00070A5E" w:rsidP="00137E14">
      <w:pPr>
        <w:spacing w:line="520" w:lineRule="exact"/>
        <w:ind w:firstLineChars="200" w:firstLine="480"/>
        <w:rPr>
          <w:rFonts w:ascii="Calibri"/>
          <w:noProof/>
          <w:color w:val="auto"/>
          <w:sz w:val="24"/>
        </w:rPr>
      </w:pPr>
      <w:r w:rsidRPr="00A964FF">
        <w:rPr>
          <w:rFonts w:ascii="Calibri" w:hint="eastAsia"/>
          <w:noProof/>
          <w:color w:val="auto"/>
          <w:sz w:val="24"/>
        </w:rPr>
        <w:t>根据经验常数，通常运输车辆扬尘量约占扬尘总量的</w:t>
      </w:r>
      <w:r w:rsidRPr="00A964FF">
        <w:rPr>
          <w:rFonts w:ascii="Calibri"/>
          <w:noProof/>
          <w:color w:val="auto"/>
          <w:sz w:val="24"/>
        </w:rPr>
        <w:t>60%</w:t>
      </w:r>
      <w:r w:rsidRPr="00A964FF">
        <w:rPr>
          <w:rFonts w:ascii="Calibri" w:hint="eastAsia"/>
          <w:noProof/>
          <w:color w:val="auto"/>
          <w:sz w:val="24"/>
        </w:rPr>
        <w:t>，故在整个施工期，包括刮风等所有扬尘因素在内产生的总扬尘量约为</w:t>
      </w:r>
      <w:r w:rsidR="00E67FE3">
        <w:rPr>
          <w:rFonts w:ascii="Calibri" w:hint="eastAsia"/>
          <w:noProof/>
          <w:color w:val="auto"/>
          <w:sz w:val="24"/>
        </w:rPr>
        <w:t>0.98</w:t>
      </w:r>
      <w:r w:rsidRPr="00A964FF">
        <w:rPr>
          <w:rFonts w:ascii="Calibri"/>
          <w:noProof/>
          <w:color w:val="auto"/>
          <w:sz w:val="24"/>
        </w:rPr>
        <w:t>t</w:t>
      </w:r>
      <w:r w:rsidRPr="00A964FF">
        <w:rPr>
          <w:rFonts w:ascii="Calibri" w:hint="eastAsia"/>
          <w:noProof/>
          <w:color w:val="auto"/>
          <w:sz w:val="24"/>
        </w:rPr>
        <w:t>。通常扬尘集中发生在施工期土地平整和地基开挖的早期阶段，其</w:t>
      </w:r>
      <w:r w:rsidRPr="00A964FF">
        <w:rPr>
          <w:rFonts w:ascii="Calibri"/>
          <w:noProof/>
          <w:color w:val="auto"/>
          <w:sz w:val="24"/>
        </w:rPr>
        <w:t>PM</w:t>
      </w:r>
      <w:r w:rsidRPr="00A964FF">
        <w:rPr>
          <w:rFonts w:ascii="Calibri"/>
          <w:noProof/>
          <w:color w:val="auto"/>
          <w:sz w:val="24"/>
          <w:vertAlign w:val="subscript"/>
        </w:rPr>
        <w:t>10</w:t>
      </w:r>
      <w:r w:rsidRPr="00A964FF">
        <w:rPr>
          <w:rFonts w:ascii="Calibri" w:hint="eastAsia"/>
          <w:noProof/>
          <w:color w:val="auto"/>
          <w:sz w:val="24"/>
        </w:rPr>
        <w:t>排放浓度相对较高，需要采取措施进行防治，以减少对周围环境造成影响。</w:t>
      </w:r>
    </w:p>
    <w:p w14:paraId="1806B55C" w14:textId="77777777" w:rsidR="00070A5E" w:rsidRPr="00A964FF" w:rsidRDefault="00070A5E" w:rsidP="00070A5E">
      <w:pPr>
        <w:pStyle w:val="ad"/>
        <w:rPr>
          <w:rFonts w:ascii="Calibri" w:hAnsi="Calibri"/>
          <w:color w:val="auto"/>
          <w:sz w:val="24"/>
        </w:rPr>
      </w:pPr>
      <w:r w:rsidRPr="00A964FF">
        <w:rPr>
          <w:rFonts w:ascii="Calibri" w:hAnsi="Calibri"/>
          <w:color w:val="auto"/>
        </w:rPr>
        <w:t>2</w:t>
      </w:r>
      <w:r w:rsidR="00137E14">
        <w:rPr>
          <w:rFonts w:ascii="Calibri" w:hAnsi="Calibri"/>
          <w:color w:val="auto"/>
        </w:rPr>
        <w:t>.6</w:t>
      </w:r>
      <w:r w:rsidRPr="00A964FF">
        <w:rPr>
          <w:rFonts w:ascii="Calibri" w:hAnsi="Calibri"/>
          <w:color w:val="auto"/>
        </w:rPr>
        <w:t>.2</w:t>
      </w:r>
      <w:r w:rsidRPr="00A964FF">
        <w:rPr>
          <w:rFonts w:ascii="Calibri" w:hAnsi="Calibri" w:hint="eastAsia"/>
          <w:color w:val="auto"/>
        </w:rPr>
        <w:t>废水污染</w:t>
      </w:r>
    </w:p>
    <w:p w14:paraId="546837E7" w14:textId="77777777" w:rsidR="00070A5E" w:rsidRPr="00A964FF" w:rsidRDefault="00070A5E" w:rsidP="00070A5E">
      <w:pPr>
        <w:spacing w:line="520" w:lineRule="exact"/>
        <w:ind w:firstLine="482"/>
        <w:rPr>
          <w:rFonts w:ascii="Calibri" w:hAnsi="Calibri"/>
          <w:bCs/>
          <w:color w:val="auto"/>
          <w:sz w:val="24"/>
        </w:rPr>
      </w:pPr>
      <w:r w:rsidRPr="00A964FF">
        <w:rPr>
          <w:rFonts w:ascii="Calibri" w:hAnsi="Calibri" w:hint="eastAsia"/>
          <w:bCs/>
          <w:color w:val="auto"/>
          <w:sz w:val="24"/>
        </w:rPr>
        <w:t>施工过程中产生的废水主要为施工人员生活污水和施工作业废水。</w:t>
      </w:r>
    </w:p>
    <w:p w14:paraId="3D357C93" w14:textId="77777777" w:rsidR="00070A5E" w:rsidRPr="00A964FF" w:rsidRDefault="00070A5E" w:rsidP="00070A5E">
      <w:pPr>
        <w:spacing w:line="520" w:lineRule="exact"/>
        <w:ind w:firstLine="482"/>
        <w:rPr>
          <w:rFonts w:ascii="Calibri" w:hAnsi="Calibri"/>
          <w:b/>
          <w:bCs/>
          <w:color w:val="auto"/>
          <w:sz w:val="24"/>
        </w:rPr>
      </w:pPr>
      <w:r w:rsidRPr="00A964FF">
        <w:rPr>
          <w:rFonts w:ascii="Calibri" w:hAnsi="Calibri"/>
          <w:b/>
          <w:bCs/>
          <w:color w:val="auto"/>
          <w:sz w:val="24"/>
        </w:rPr>
        <w:t>1</w:t>
      </w:r>
      <w:r w:rsidRPr="00A964FF">
        <w:rPr>
          <w:rFonts w:ascii="Calibri" w:hAnsi="Calibri" w:hint="eastAsia"/>
          <w:b/>
          <w:bCs/>
          <w:color w:val="auto"/>
          <w:sz w:val="24"/>
        </w:rPr>
        <w:t>、施工人员生活污水</w:t>
      </w:r>
    </w:p>
    <w:p w14:paraId="47F8DD35" w14:textId="77777777" w:rsidR="00070A5E" w:rsidRPr="00A964FF" w:rsidRDefault="00070A5E" w:rsidP="00070A5E">
      <w:pPr>
        <w:spacing w:line="520" w:lineRule="exact"/>
        <w:ind w:firstLine="482"/>
        <w:rPr>
          <w:rFonts w:ascii="Calibri" w:hAnsi="Calibri"/>
          <w:bCs/>
          <w:color w:val="auto"/>
          <w:sz w:val="24"/>
        </w:rPr>
      </w:pPr>
      <w:r w:rsidRPr="00A964FF">
        <w:rPr>
          <w:rFonts w:ascii="Calibri" w:hint="eastAsia"/>
          <w:bCs/>
          <w:color w:val="auto"/>
          <w:sz w:val="24"/>
        </w:rPr>
        <w:lastRenderedPageBreak/>
        <w:t>本项目施工人员排放的生活污水和城市居民生活污水水质相似，污水中主要污染物为</w:t>
      </w:r>
      <w:r w:rsidRPr="00A964FF">
        <w:rPr>
          <w:rFonts w:ascii="Calibri"/>
          <w:bCs/>
          <w:color w:val="auto"/>
          <w:sz w:val="24"/>
        </w:rPr>
        <w:t>COD</w:t>
      </w:r>
      <w:r w:rsidRPr="00A964FF">
        <w:rPr>
          <w:rFonts w:ascii="Calibri" w:hint="eastAsia"/>
          <w:bCs/>
          <w:color w:val="auto"/>
          <w:sz w:val="24"/>
        </w:rPr>
        <w:t>、</w:t>
      </w:r>
      <w:r w:rsidRPr="00A964FF">
        <w:rPr>
          <w:rFonts w:ascii="Calibri" w:hAnsi="Calibri"/>
          <w:color w:val="auto"/>
          <w:sz w:val="24"/>
        </w:rPr>
        <w:t>BOD</w:t>
      </w:r>
      <w:r w:rsidRPr="00A964FF">
        <w:rPr>
          <w:rFonts w:ascii="Calibri" w:hAnsi="Calibri"/>
          <w:color w:val="auto"/>
          <w:sz w:val="24"/>
          <w:vertAlign w:val="subscript"/>
        </w:rPr>
        <w:t>5</w:t>
      </w:r>
      <w:r w:rsidRPr="00A964FF">
        <w:rPr>
          <w:rFonts w:ascii="Calibri" w:hint="eastAsia"/>
          <w:bCs/>
          <w:color w:val="auto"/>
          <w:sz w:val="24"/>
        </w:rPr>
        <w:t>、</w:t>
      </w:r>
      <w:r w:rsidRPr="00A964FF">
        <w:rPr>
          <w:rFonts w:ascii="Calibri"/>
          <w:bCs/>
          <w:color w:val="auto"/>
          <w:sz w:val="24"/>
        </w:rPr>
        <w:t>SS</w:t>
      </w:r>
      <w:r w:rsidRPr="00A964FF">
        <w:rPr>
          <w:rFonts w:ascii="Calibri" w:hint="eastAsia"/>
          <w:bCs/>
          <w:color w:val="auto"/>
          <w:sz w:val="24"/>
        </w:rPr>
        <w:t>、</w:t>
      </w:r>
      <w:r w:rsidRPr="00A964FF">
        <w:rPr>
          <w:rFonts w:ascii="Calibri"/>
          <w:bCs/>
          <w:color w:val="auto"/>
          <w:sz w:val="24"/>
        </w:rPr>
        <w:t>NH</w:t>
      </w:r>
      <w:r w:rsidRPr="00A964FF">
        <w:rPr>
          <w:rFonts w:ascii="Calibri"/>
          <w:bCs/>
          <w:color w:val="auto"/>
          <w:sz w:val="24"/>
          <w:vertAlign w:val="subscript"/>
        </w:rPr>
        <w:t>3</w:t>
      </w:r>
      <w:r w:rsidRPr="00A964FF">
        <w:rPr>
          <w:rFonts w:ascii="Calibri"/>
          <w:bCs/>
          <w:color w:val="auto"/>
          <w:sz w:val="24"/>
        </w:rPr>
        <w:t>-N</w:t>
      </w:r>
      <w:r w:rsidRPr="00A964FF">
        <w:rPr>
          <w:rFonts w:ascii="Calibri" w:hint="eastAsia"/>
          <w:bCs/>
          <w:color w:val="auto"/>
          <w:sz w:val="24"/>
        </w:rPr>
        <w:t>。根据建设单位提供的资料，本项目施工期间施工平均人数为</w:t>
      </w:r>
      <w:r w:rsidR="00991B8A">
        <w:rPr>
          <w:rFonts w:ascii="Calibri" w:hint="eastAsia"/>
          <w:bCs/>
          <w:color w:val="auto"/>
          <w:sz w:val="24"/>
        </w:rPr>
        <w:t>1</w:t>
      </w:r>
      <w:r w:rsidR="00976BB5" w:rsidRPr="00A964FF">
        <w:rPr>
          <w:rFonts w:ascii="Calibri" w:hint="eastAsia"/>
          <w:bCs/>
          <w:color w:val="auto"/>
          <w:sz w:val="24"/>
        </w:rPr>
        <w:t>00</w:t>
      </w:r>
      <w:r w:rsidRPr="00A964FF">
        <w:rPr>
          <w:rFonts w:ascii="Calibri" w:hint="eastAsia"/>
          <w:bCs/>
          <w:color w:val="auto"/>
          <w:sz w:val="24"/>
        </w:rPr>
        <w:t>人。施工人员平均用水量按</w:t>
      </w:r>
      <w:r w:rsidR="00976BB5" w:rsidRPr="00A964FF">
        <w:rPr>
          <w:rFonts w:ascii="Calibri" w:hint="eastAsia"/>
          <w:bCs/>
          <w:color w:val="auto"/>
          <w:sz w:val="24"/>
        </w:rPr>
        <w:t>4</w:t>
      </w:r>
      <w:r w:rsidRPr="00A964FF">
        <w:rPr>
          <w:rFonts w:ascii="Calibri"/>
          <w:bCs/>
          <w:color w:val="auto"/>
          <w:sz w:val="24"/>
        </w:rPr>
        <w:t>0L/</w:t>
      </w:r>
      <w:r w:rsidRPr="00A964FF">
        <w:rPr>
          <w:rFonts w:ascii="Calibri" w:hint="eastAsia"/>
          <w:bCs/>
          <w:color w:val="auto"/>
          <w:sz w:val="24"/>
        </w:rPr>
        <w:t>（人</w:t>
      </w:r>
      <w:r w:rsidRPr="00A964FF">
        <w:rPr>
          <w:rFonts w:ascii="Calibri"/>
          <w:bCs/>
          <w:color w:val="auto"/>
          <w:sz w:val="24"/>
        </w:rPr>
        <w:t>·</w:t>
      </w:r>
      <w:r w:rsidRPr="00A964FF">
        <w:rPr>
          <w:rFonts w:ascii="Calibri" w:hint="eastAsia"/>
          <w:bCs/>
          <w:color w:val="auto"/>
          <w:sz w:val="24"/>
        </w:rPr>
        <w:t>日）计，排污系数按</w:t>
      </w:r>
      <w:r w:rsidRPr="00A964FF">
        <w:rPr>
          <w:rFonts w:ascii="Calibri"/>
          <w:bCs/>
          <w:color w:val="auto"/>
          <w:sz w:val="24"/>
        </w:rPr>
        <w:t>0.8</w:t>
      </w:r>
      <w:r w:rsidRPr="00A964FF">
        <w:rPr>
          <w:rFonts w:ascii="Calibri" w:hint="eastAsia"/>
          <w:bCs/>
          <w:color w:val="auto"/>
          <w:sz w:val="24"/>
        </w:rPr>
        <w:t>计，则项目施工期间施工人员生活用水量为</w:t>
      </w:r>
      <w:r w:rsidR="00991B8A">
        <w:rPr>
          <w:rFonts w:ascii="Calibri" w:hint="eastAsia"/>
          <w:bCs/>
          <w:color w:val="auto"/>
          <w:sz w:val="24"/>
        </w:rPr>
        <w:t>4</w:t>
      </w:r>
      <w:r w:rsidRPr="00A964FF">
        <w:rPr>
          <w:rFonts w:ascii="Calibri"/>
          <w:bCs/>
          <w:color w:val="auto"/>
          <w:sz w:val="24"/>
        </w:rPr>
        <w:t>t/d</w:t>
      </w:r>
      <w:r w:rsidRPr="00A964FF">
        <w:rPr>
          <w:rFonts w:ascii="Calibri" w:hint="eastAsia"/>
          <w:bCs/>
          <w:color w:val="auto"/>
          <w:sz w:val="24"/>
        </w:rPr>
        <w:t>，生活污水产生量为</w:t>
      </w:r>
      <w:r w:rsidR="00E67FE3">
        <w:rPr>
          <w:rFonts w:ascii="Calibri" w:hint="eastAsia"/>
          <w:bCs/>
          <w:color w:val="auto"/>
          <w:sz w:val="24"/>
        </w:rPr>
        <w:t>3.2</w:t>
      </w:r>
      <w:r w:rsidRPr="00A964FF">
        <w:rPr>
          <w:rFonts w:ascii="Calibri"/>
          <w:bCs/>
          <w:color w:val="auto"/>
          <w:sz w:val="24"/>
        </w:rPr>
        <w:t>t/d</w:t>
      </w:r>
      <w:r w:rsidRPr="00A964FF">
        <w:rPr>
          <w:rFonts w:ascii="Calibri" w:hint="eastAsia"/>
          <w:bCs/>
          <w:color w:val="auto"/>
          <w:sz w:val="24"/>
        </w:rPr>
        <w:t>，根据类比资料，该污水的主要污染因子为</w:t>
      </w:r>
      <w:r w:rsidRPr="00A964FF">
        <w:rPr>
          <w:rFonts w:ascii="Calibri"/>
          <w:bCs/>
          <w:color w:val="auto"/>
          <w:sz w:val="24"/>
        </w:rPr>
        <w:t>COD</w:t>
      </w:r>
      <w:r w:rsidRPr="00A964FF">
        <w:rPr>
          <w:rFonts w:ascii="Calibri" w:hint="eastAsia"/>
          <w:bCs/>
          <w:color w:val="auto"/>
          <w:sz w:val="24"/>
        </w:rPr>
        <w:t>：</w:t>
      </w:r>
      <w:r w:rsidRPr="00A964FF">
        <w:rPr>
          <w:rFonts w:ascii="Calibri"/>
          <w:bCs/>
          <w:color w:val="auto"/>
          <w:sz w:val="24"/>
        </w:rPr>
        <w:t>300</w:t>
      </w:r>
      <w:r w:rsidR="00CC55BB" w:rsidRPr="00A964FF">
        <w:rPr>
          <w:rFonts w:ascii="Calibri"/>
          <w:bCs/>
          <w:color w:val="auto"/>
          <w:sz w:val="24"/>
        </w:rPr>
        <w:t>mg/L</w:t>
      </w:r>
      <w:r w:rsidRPr="00A964FF">
        <w:rPr>
          <w:rFonts w:ascii="Calibri" w:hint="eastAsia"/>
          <w:bCs/>
          <w:color w:val="auto"/>
          <w:sz w:val="24"/>
        </w:rPr>
        <w:t>、</w:t>
      </w:r>
      <w:r w:rsidRPr="00A964FF">
        <w:rPr>
          <w:rFonts w:ascii="Calibri" w:hAnsi="Calibri"/>
          <w:color w:val="auto"/>
          <w:sz w:val="24"/>
        </w:rPr>
        <w:t>BOD</w:t>
      </w:r>
      <w:r w:rsidRPr="00A964FF">
        <w:rPr>
          <w:rFonts w:ascii="Calibri" w:hAnsi="Calibri"/>
          <w:color w:val="auto"/>
          <w:sz w:val="24"/>
          <w:vertAlign w:val="subscript"/>
        </w:rPr>
        <w:t>5</w:t>
      </w:r>
      <w:r w:rsidRPr="00A964FF">
        <w:rPr>
          <w:rFonts w:ascii="Calibri" w:hint="eastAsia"/>
          <w:bCs/>
          <w:color w:val="auto"/>
          <w:sz w:val="24"/>
        </w:rPr>
        <w:t>：</w:t>
      </w:r>
      <w:r w:rsidRPr="00A964FF">
        <w:rPr>
          <w:rFonts w:ascii="Calibri"/>
          <w:bCs/>
          <w:color w:val="auto"/>
          <w:sz w:val="24"/>
        </w:rPr>
        <w:t>150</w:t>
      </w:r>
      <w:r w:rsidR="00CC55BB" w:rsidRPr="00A964FF">
        <w:rPr>
          <w:rFonts w:ascii="Calibri"/>
          <w:bCs/>
          <w:color w:val="auto"/>
          <w:sz w:val="24"/>
        </w:rPr>
        <w:t>mg/L</w:t>
      </w:r>
      <w:r w:rsidRPr="00A964FF">
        <w:rPr>
          <w:rFonts w:ascii="Calibri" w:hint="eastAsia"/>
          <w:bCs/>
          <w:color w:val="auto"/>
          <w:sz w:val="24"/>
        </w:rPr>
        <w:t>、</w:t>
      </w:r>
      <w:r w:rsidRPr="00A964FF">
        <w:rPr>
          <w:rFonts w:ascii="Calibri"/>
          <w:bCs/>
          <w:color w:val="auto"/>
          <w:sz w:val="24"/>
        </w:rPr>
        <w:t>SS</w:t>
      </w:r>
      <w:r w:rsidRPr="00A964FF">
        <w:rPr>
          <w:rFonts w:ascii="Calibri" w:hint="eastAsia"/>
          <w:bCs/>
          <w:color w:val="auto"/>
          <w:sz w:val="24"/>
        </w:rPr>
        <w:t>：</w:t>
      </w:r>
      <w:r w:rsidR="008B57AD" w:rsidRPr="00A964FF">
        <w:rPr>
          <w:rFonts w:ascii="Calibri" w:hint="eastAsia"/>
          <w:bCs/>
          <w:color w:val="auto"/>
          <w:sz w:val="24"/>
        </w:rPr>
        <w:t>20</w:t>
      </w:r>
      <w:r w:rsidRPr="00A964FF">
        <w:rPr>
          <w:rFonts w:ascii="Calibri"/>
          <w:bCs/>
          <w:color w:val="auto"/>
          <w:sz w:val="24"/>
        </w:rPr>
        <w:t>0</w:t>
      </w:r>
      <w:r w:rsidR="00CC55BB" w:rsidRPr="00A964FF">
        <w:rPr>
          <w:rFonts w:ascii="Calibri"/>
          <w:bCs/>
          <w:color w:val="auto"/>
          <w:sz w:val="24"/>
        </w:rPr>
        <w:t>mg/L</w:t>
      </w:r>
      <w:r w:rsidRPr="00A964FF">
        <w:rPr>
          <w:rFonts w:ascii="Calibri" w:hint="eastAsia"/>
          <w:bCs/>
          <w:color w:val="auto"/>
          <w:sz w:val="24"/>
        </w:rPr>
        <w:t>、</w:t>
      </w:r>
      <w:r w:rsidRPr="00A964FF">
        <w:rPr>
          <w:rFonts w:ascii="Calibri"/>
          <w:bCs/>
          <w:color w:val="auto"/>
          <w:sz w:val="24"/>
        </w:rPr>
        <w:t>NH</w:t>
      </w:r>
      <w:r w:rsidRPr="00A964FF">
        <w:rPr>
          <w:rFonts w:ascii="Calibri"/>
          <w:bCs/>
          <w:color w:val="auto"/>
          <w:sz w:val="24"/>
          <w:vertAlign w:val="subscript"/>
        </w:rPr>
        <w:t>3</w:t>
      </w:r>
      <w:r w:rsidRPr="00A964FF">
        <w:rPr>
          <w:rFonts w:ascii="Calibri"/>
          <w:bCs/>
          <w:color w:val="auto"/>
          <w:sz w:val="24"/>
        </w:rPr>
        <w:t>-N</w:t>
      </w:r>
      <w:r w:rsidRPr="00A964FF">
        <w:rPr>
          <w:rFonts w:ascii="Calibri" w:hint="eastAsia"/>
          <w:bCs/>
          <w:color w:val="auto"/>
          <w:sz w:val="24"/>
        </w:rPr>
        <w:t>：</w:t>
      </w:r>
      <w:r w:rsidRPr="00A964FF">
        <w:rPr>
          <w:rFonts w:ascii="Calibri" w:hint="eastAsia"/>
          <w:bCs/>
          <w:color w:val="auto"/>
          <w:sz w:val="24"/>
        </w:rPr>
        <w:t>25</w:t>
      </w:r>
      <w:r w:rsidR="00CC55BB" w:rsidRPr="00A964FF">
        <w:rPr>
          <w:rFonts w:ascii="Calibri"/>
          <w:bCs/>
          <w:color w:val="auto"/>
          <w:sz w:val="24"/>
        </w:rPr>
        <w:t>mg/L</w:t>
      </w:r>
      <w:r w:rsidRPr="00A964FF">
        <w:rPr>
          <w:rFonts w:ascii="Calibri" w:hint="eastAsia"/>
          <w:bCs/>
          <w:color w:val="auto"/>
          <w:sz w:val="24"/>
        </w:rPr>
        <w:t>，</w:t>
      </w:r>
      <w:r w:rsidRPr="00A964FF">
        <w:rPr>
          <w:rFonts w:ascii="Calibri" w:hAnsi="Calibri" w:hint="eastAsia"/>
          <w:bCs/>
          <w:color w:val="auto"/>
          <w:sz w:val="24"/>
        </w:rPr>
        <w:t>则施工期生活污水产生量见表</w:t>
      </w:r>
      <w:r w:rsidRPr="00A964FF">
        <w:rPr>
          <w:rFonts w:ascii="Calibri" w:hAnsi="Calibri"/>
          <w:bCs/>
          <w:color w:val="auto"/>
          <w:sz w:val="24"/>
        </w:rPr>
        <w:t>2</w:t>
      </w:r>
      <w:r w:rsidR="00137E14">
        <w:rPr>
          <w:rFonts w:ascii="Calibri" w:hAnsi="Calibri" w:hint="eastAsia"/>
          <w:bCs/>
          <w:color w:val="auto"/>
          <w:sz w:val="24"/>
        </w:rPr>
        <w:t>.6</w:t>
      </w:r>
      <w:r w:rsidRPr="00A964FF">
        <w:rPr>
          <w:rFonts w:ascii="Calibri" w:hAnsi="Calibri"/>
          <w:bCs/>
          <w:color w:val="auto"/>
          <w:sz w:val="24"/>
        </w:rPr>
        <w:t>-</w:t>
      </w:r>
      <w:r w:rsidR="005310B3" w:rsidRPr="00A964FF">
        <w:rPr>
          <w:rFonts w:ascii="Calibri" w:hAnsi="Calibri" w:hint="eastAsia"/>
          <w:bCs/>
          <w:color w:val="auto"/>
          <w:sz w:val="24"/>
        </w:rPr>
        <w:t>1</w:t>
      </w:r>
      <w:r w:rsidRPr="00A964FF">
        <w:rPr>
          <w:rFonts w:ascii="Calibri" w:hAnsi="Calibri" w:hint="eastAsia"/>
          <w:bCs/>
          <w:color w:val="auto"/>
          <w:sz w:val="24"/>
        </w:rPr>
        <w:t>。</w:t>
      </w:r>
    </w:p>
    <w:p w14:paraId="314B10DF" w14:textId="77777777" w:rsidR="00070A5E" w:rsidRPr="00A964FF" w:rsidRDefault="00070A5E" w:rsidP="00070A5E">
      <w:pPr>
        <w:pStyle w:val="00"/>
        <w:rPr>
          <w:rFonts w:ascii="Calibri" w:eastAsia="黑体" w:hAnsi="Calibri"/>
          <w:bCs/>
          <w:color w:val="auto"/>
        </w:rPr>
      </w:pPr>
      <w:r w:rsidRPr="00A964FF">
        <w:rPr>
          <w:rFonts w:ascii="Calibri" w:eastAsia="黑体" w:hAnsi="黑体" w:hint="eastAsia"/>
          <w:bCs/>
          <w:color w:val="auto"/>
        </w:rPr>
        <w:t>表</w:t>
      </w:r>
      <w:r w:rsidRPr="00A964FF">
        <w:rPr>
          <w:rFonts w:ascii="Calibri" w:eastAsia="黑体" w:hAnsi="Calibri"/>
          <w:bCs/>
          <w:color w:val="auto"/>
        </w:rPr>
        <w:t>2</w:t>
      </w:r>
      <w:r w:rsidR="00137E14">
        <w:rPr>
          <w:rFonts w:ascii="Calibri" w:eastAsia="黑体" w:hAnsi="Calibri" w:hint="eastAsia"/>
          <w:bCs/>
          <w:color w:val="auto"/>
        </w:rPr>
        <w:t>.6</w:t>
      </w:r>
      <w:r w:rsidRPr="00A964FF">
        <w:rPr>
          <w:rFonts w:ascii="Calibri" w:eastAsia="黑体" w:hAnsi="Calibri"/>
          <w:bCs/>
          <w:color w:val="auto"/>
        </w:rPr>
        <w:t>-</w:t>
      </w:r>
      <w:r w:rsidR="005310B3" w:rsidRPr="00A964FF">
        <w:rPr>
          <w:rFonts w:ascii="Calibri" w:eastAsia="黑体" w:hAnsi="Calibri" w:hint="eastAsia"/>
          <w:bCs/>
          <w:color w:val="auto"/>
        </w:rPr>
        <w:t>1</w:t>
      </w:r>
      <w:r w:rsidRPr="00A964FF">
        <w:rPr>
          <w:rFonts w:ascii="Calibri" w:eastAsia="黑体" w:hAnsi="Calibri"/>
          <w:bCs/>
          <w:color w:val="auto"/>
        </w:rPr>
        <w:t xml:space="preserve">              </w:t>
      </w:r>
      <w:r w:rsidRPr="00A964FF">
        <w:rPr>
          <w:rFonts w:ascii="Calibri" w:eastAsia="黑体" w:hAnsi="黑体" w:hint="eastAsia"/>
          <w:bCs/>
          <w:color w:val="auto"/>
        </w:rPr>
        <w:t>施工期生活污水产生情况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84"/>
        <w:gridCol w:w="770"/>
        <w:gridCol w:w="772"/>
        <w:gridCol w:w="771"/>
        <w:gridCol w:w="773"/>
        <w:gridCol w:w="773"/>
        <w:gridCol w:w="771"/>
        <w:gridCol w:w="773"/>
        <w:gridCol w:w="771"/>
        <w:gridCol w:w="773"/>
        <w:gridCol w:w="769"/>
      </w:tblGrid>
      <w:tr w:rsidR="00070A5E" w:rsidRPr="00A964FF" w14:paraId="58AA2FAE" w14:textId="77777777" w:rsidTr="00070A5E">
        <w:trPr>
          <w:trHeight w:val="425"/>
          <w:jc w:val="center"/>
        </w:trPr>
        <w:tc>
          <w:tcPr>
            <w:tcW w:w="566" w:type="pct"/>
            <w:vMerge w:val="restart"/>
            <w:tcMar>
              <w:top w:w="28" w:type="dxa"/>
              <w:bottom w:w="28" w:type="dxa"/>
            </w:tcMar>
            <w:vAlign w:val="center"/>
          </w:tcPr>
          <w:p w14:paraId="27D313F4"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污染物</w:t>
            </w:r>
          </w:p>
        </w:tc>
        <w:tc>
          <w:tcPr>
            <w:tcW w:w="887" w:type="pct"/>
            <w:gridSpan w:val="2"/>
            <w:tcMar>
              <w:top w:w="28" w:type="dxa"/>
              <w:bottom w:w="28" w:type="dxa"/>
            </w:tcMar>
            <w:vAlign w:val="center"/>
          </w:tcPr>
          <w:p w14:paraId="67B1426B"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废水</w:t>
            </w:r>
          </w:p>
        </w:tc>
        <w:tc>
          <w:tcPr>
            <w:tcW w:w="887" w:type="pct"/>
            <w:gridSpan w:val="2"/>
            <w:tcMar>
              <w:top w:w="28" w:type="dxa"/>
              <w:bottom w:w="28" w:type="dxa"/>
            </w:tcMar>
            <w:vAlign w:val="center"/>
          </w:tcPr>
          <w:p w14:paraId="164DE75A"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COD</w:t>
            </w:r>
          </w:p>
        </w:tc>
        <w:tc>
          <w:tcPr>
            <w:tcW w:w="887" w:type="pct"/>
            <w:gridSpan w:val="2"/>
            <w:tcMar>
              <w:top w:w="28" w:type="dxa"/>
              <w:bottom w:w="28" w:type="dxa"/>
            </w:tcMar>
            <w:vAlign w:val="center"/>
          </w:tcPr>
          <w:p w14:paraId="45B1316D"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BOD</w:t>
            </w:r>
            <w:r w:rsidRPr="00A964FF">
              <w:rPr>
                <w:rFonts w:ascii="Calibri"/>
                <w:color w:val="auto"/>
                <w:szCs w:val="21"/>
                <w:vertAlign w:val="subscript"/>
              </w:rPr>
              <w:t>5</w:t>
            </w:r>
          </w:p>
        </w:tc>
        <w:tc>
          <w:tcPr>
            <w:tcW w:w="887" w:type="pct"/>
            <w:gridSpan w:val="2"/>
            <w:tcMar>
              <w:top w:w="28" w:type="dxa"/>
              <w:bottom w:w="28" w:type="dxa"/>
            </w:tcMar>
            <w:vAlign w:val="center"/>
          </w:tcPr>
          <w:p w14:paraId="39C1F23F"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SS</w:t>
            </w:r>
          </w:p>
        </w:tc>
        <w:tc>
          <w:tcPr>
            <w:tcW w:w="887" w:type="pct"/>
            <w:gridSpan w:val="2"/>
            <w:tcMar>
              <w:top w:w="28" w:type="dxa"/>
              <w:bottom w:w="28" w:type="dxa"/>
            </w:tcMar>
            <w:vAlign w:val="center"/>
          </w:tcPr>
          <w:p w14:paraId="607737F2"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NH</w:t>
            </w:r>
            <w:r w:rsidRPr="00A964FF">
              <w:rPr>
                <w:rFonts w:ascii="Calibri"/>
                <w:color w:val="auto"/>
                <w:szCs w:val="21"/>
                <w:vertAlign w:val="subscript"/>
              </w:rPr>
              <w:t>3</w:t>
            </w:r>
            <w:r w:rsidRPr="00A964FF">
              <w:rPr>
                <w:rFonts w:ascii="Calibri"/>
                <w:color w:val="auto"/>
                <w:szCs w:val="21"/>
              </w:rPr>
              <w:t>-N</w:t>
            </w:r>
          </w:p>
        </w:tc>
      </w:tr>
      <w:tr w:rsidR="00070A5E" w:rsidRPr="00A964FF" w14:paraId="08A37025" w14:textId="77777777" w:rsidTr="00070A5E">
        <w:trPr>
          <w:trHeight w:val="425"/>
          <w:jc w:val="center"/>
        </w:trPr>
        <w:tc>
          <w:tcPr>
            <w:tcW w:w="566" w:type="pct"/>
            <w:vMerge/>
            <w:tcMar>
              <w:top w:w="28" w:type="dxa"/>
              <w:bottom w:w="28" w:type="dxa"/>
            </w:tcMar>
            <w:vAlign w:val="center"/>
          </w:tcPr>
          <w:p w14:paraId="13F40E37" w14:textId="77777777" w:rsidR="00070A5E" w:rsidRPr="00A964FF" w:rsidRDefault="00070A5E" w:rsidP="00070A5E">
            <w:pPr>
              <w:tabs>
                <w:tab w:val="left" w:pos="567"/>
              </w:tabs>
              <w:snapToGrid w:val="0"/>
              <w:jc w:val="center"/>
              <w:rPr>
                <w:rFonts w:ascii="Calibri"/>
                <w:color w:val="auto"/>
                <w:szCs w:val="21"/>
              </w:rPr>
            </w:pPr>
          </w:p>
        </w:tc>
        <w:tc>
          <w:tcPr>
            <w:tcW w:w="443" w:type="pct"/>
            <w:tcMar>
              <w:top w:w="28" w:type="dxa"/>
              <w:bottom w:w="28" w:type="dxa"/>
            </w:tcMar>
            <w:vAlign w:val="center"/>
          </w:tcPr>
          <w:p w14:paraId="14D20BF4"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t/d</w:t>
            </w:r>
          </w:p>
        </w:tc>
        <w:tc>
          <w:tcPr>
            <w:tcW w:w="444" w:type="pct"/>
            <w:tcMar>
              <w:top w:w="28" w:type="dxa"/>
              <w:bottom w:w="28" w:type="dxa"/>
            </w:tcMar>
            <w:vAlign w:val="center"/>
          </w:tcPr>
          <w:p w14:paraId="59215D6A"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t/</w:t>
            </w:r>
            <w:r w:rsidRPr="00A964FF">
              <w:rPr>
                <w:rFonts w:ascii="Calibri" w:hint="eastAsia"/>
                <w:color w:val="auto"/>
                <w:szCs w:val="21"/>
              </w:rPr>
              <w:t>施</w:t>
            </w:r>
          </w:p>
          <w:p w14:paraId="70099A2D"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工期</w:t>
            </w:r>
          </w:p>
        </w:tc>
        <w:tc>
          <w:tcPr>
            <w:tcW w:w="443" w:type="pct"/>
            <w:tcMar>
              <w:top w:w="28" w:type="dxa"/>
              <w:bottom w:w="28" w:type="dxa"/>
            </w:tcMar>
            <w:vAlign w:val="center"/>
          </w:tcPr>
          <w:p w14:paraId="3B6C950D" w14:textId="77777777" w:rsidR="00070A5E" w:rsidRPr="00A964FF" w:rsidRDefault="00CC55BB" w:rsidP="00070A5E">
            <w:pPr>
              <w:tabs>
                <w:tab w:val="left" w:pos="567"/>
              </w:tabs>
              <w:snapToGrid w:val="0"/>
              <w:jc w:val="center"/>
              <w:rPr>
                <w:rFonts w:ascii="Calibri"/>
                <w:color w:val="auto"/>
                <w:szCs w:val="21"/>
              </w:rPr>
            </w:pPr>
            <w:r w:rsidRPr="00A964FF">
              <w:rPr>
                <w:rFonts w:ascii="Calibri"/>
                <w:color w:val="auto"/>
                <w:szCs w:val="21"/>
              </w:rPr>
              <w:t>mg/L</w:t>
            </w:r>
          </w:p>
        </w:tc>
        <w:tc>
          <w:tcPr>
            <w:tcW w:w="444" w:type="pct"/>
            <w:tcMar>
              <w:top w:w="28" w:type="dxa"/>
              <w:bottom w:w="28" w:type="dxa"/>
            </w:tcMar>
            <w:vAlign w:val="center"/>
          </w:tcPr>
          <w:p w14:paraId="4F9EF25B"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t/</w:t>
            </w:r>
            <w:r w:rsidRPr="00A964FF">
              <w:rPr>
                <w:rFonts w:ascii="Calibri" w:hint="eastAsia"/>
                <w:color w:val="auto"/>
                <w:szCs w:val="21"/>
              </w:rPr>
              <w:t>施</w:t>
            </w:r>
          </w:p>
          <w:p w14:paraId="1FC476B6"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工期</w:t>
            </w:r>
          </w:p>
        </w:tc>
        <w:tc>
          <w:tcPr>
            <w:tcW w:w="444" w:type="pct"/>
            <w:tcMar>
              <w:top w:w="28" w:type="dxa"/>
              <w:bottom w:w="28" w:type="dxa"/>
            </w:tcMar>
            <w:vAlign w:val="center"/>
          </w:tcPr>
          <w:p w14:paraId="4F0ADBF0" w14:textId="77777777" w:rsidR="00070A5E" w:rsidRPr="00A964FF" w:rsidRDefault="00CC55BB" w:rsidP="00070A5E">
            <w:pPr>
              <w:tabs>
                <w:tab w:val="left" w:pos="567"/>
              </w:tabs>
              <w:snapToGrid w:val="0"/>
              <w:jc w:val="center"/>
              <w:rPr>
                <w:rFonts w:ascii="Calibri"/>
                <w:color w:val="auto"/>
                <w:szCs w:val="21"/>
              </w:rPr>
            </w:pPr>
            <w:r w:rsidRPr="00A964FF">
              <w:rPr>
                <w:rFonts w:ascii="Calibri"/>
                <w:color w:val="auto"/>
                <w:szCs w:val="21"/>
              </w:rPr>
              <w:t>mg/L</w:t>
            </w:r>
          </w:p>
        </w:tc>
        <w:tc>
          <w:tcPr>
            <w:tcW w:w="443" w:type="pct"/>
            <w:tcMar>
              <w:top w:w="28" w:type="dxa"/>
              <w:bottom w:w="28" w:type="dxa"/>
            </w:tcMar>
            <w:vAlign w:val="center"/>
          </w:tcPr>
          <w:p w14:paraId="6EA46C63"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t/</w:t>
            </w:r>
            <w:r w:rsidRPr="00A964FF">
              <w:rPr>
                <w:rFonts w:ascii="Calibri" w:hint="eastAsia"/>
                <w:color w:val="auto"/>
                <w:szCs w:val="21"/>
              </w:rPr>
              <w:t>施</w:t>
            </w:r>
          </w:p>
          <w:p w14:paraId="34DF08E1"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工期</w:t>
            </w:r>
          </w:p>
        </w:tc>
        <w:tc>
          <w:tcPr>
            <w:tcW w:w="444" w:type="pct"/>
            <w:tcMar>
              <w:top w:w="28" w:type="dxa"/>
              <w:bottom w:w="28" w:type="dxa"/>
            </w:tcMar>
            <w:vAlign w:val="center"/>
          </w:tcPr>
          <w:p w14:paraId="6B645D67" w14:textId="77777777" w:rsidR="00070A5E" w:rsidRPr="00A964FF" w:rsidRDefault="00CC55BB" w:rsidP="00070A5E">
            <w:pPr>
              <w:tabs>
                <w:tab w:val="left" w:pos="567"/>
              </w:tabs>
              <w:snapToGrid w:val="0"/>
              <w:jc w:val="center"/>
              <w:rPr>
                <w:rFonts w:ascii="Calibri"/>
                <w:color w:val="auto"/>
                <w:szCs w:val="21"/>
              </w:rPr>
            </w:pPr>
            <w:r w:rsidRPr="00A964FF">
              <w:rPr>
                <w:rFonts w:ascii="Calibri"/>
                <w:color w:val="auto"/>
                <w:szCs w:val="21"/>
              </w:rPr>
              <w:t>mg/L</w:t>
            </w:r>
          </w:p>
        </w:tc>
        <w:tc>
          <w:tcPr>
            <w:tcW w:w="443" w:type="pct"/>
            <w:tcMar>
              <w:top w:w="28" w:type="dxa"/>
              <w:bottom w:w="28" w:type="dxa"/>
            </w:tcMar>
            <w:vAlign w:val="center"/>
          </w:tcPr>
          <w:p w14:paraId="04602511"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t/</w:t>
            </w:r>
            <w:r w:rsidRPr="00A964FF">
              <w:rPr>
                <w:rFonts w:ascii="Calibri" w:hint="eastAsia"/>
                <w:color w:val="auto"/>
                <w:szCs w:val="21"/>
              </w:rPr>
              <w:t>施</w:t>
            </w:r>
          </w:p>
          <w:p w14:paraId="777ABF56"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工期</w:t>
            </w:r>
          </w:p>
        </w:tc>
        <w:tc>
          <w:tcPr>
            <w:tcW w:w="444" w:type="pct"/>
            <w:tcMar>
              <w:top w:w="28" w:type="dxa"/>
              <w:bottom w:w="28" w:type="dxa"/>
            </w:tcMar>
            <w:vAlign w:val="center"/>
          </w:tcPr>
          <w:p w14:paraId="3B0B2EFE" w14:textId="77777777" w:rsidR="00070A5E" w:rsidRPr="00A964FF" w:rsidRDefault="00CC55BB" w:rsidP="00070A5E">
            <w:pPr>
              <w:tabs>
                <w:tab w:val="left" w:pos="567"/>
              </w:tabs>
              <w:snapToGrid w:val="0"/>
              <w:jc w:val="center"/>
              <w:rPr>
                <w:rFonts w:ascii="Calibri"/>
                <w:color w:val="auto"/>
                <w:szCs w:val="21"/>
              </w:rPr>
            </w:pPr>
            <w:r w:rsidRPr="00A964FF">
              <w:rPr>
                <w:rFonts w:ascii="Calibri"/>
                <w:color w:val="auto"/>
                <w:szCs w:val="21"/>
              </w:rPr>
              <w:t>mg/L</w:t>
            </w:r>
          </w:p>
        </w:tc>
        <w:tc>
          <w:tcPr>
            <w:tcW w:w="444" w:type="pct"/>
            <w:tcMar>
              <w:top w:w="28" w:type="dxa"/>
              <w:bottom w:w="28" w:type="dxa"/>
            </w:tcMar>
            <w:vAlign w:val="center"/>
          </w:tcPr>
          <w:p w14:paraId="37169DB7"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t/</w:t>
            </w:r>
            <w:r w:rsidRPr="00A964FF">
              <w:rPr>
                <w:rFonts w:ascii="Calibri" w:hint="eastAsia"/>
                <w:color w:val="auto"/>
                <w:szCs w:val="21"/>
              </w:rPr>
              <w:t>施</w:t>
            </w:r>
          </w:p>
          <w:p w14:paraId="79AD4E58"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工期</w:t>
            </w:r>
          </w:p>
        </w:tc>
      </w:tr>
      <w:tr w:rsidR="00070A5E" w:rsidRPr="00A964FF" w14:paraId="4AE1AB2E" w14:textId="77777777" w:rsidTr="00070A5E">
        <w:trPr>
          <w:trHeight w:val="425"/>
          <w:jc w:val="center"/>
        </w:trPr>
        <w:tc>
          <w:tcPr>
            <w:tcW w:w="566" w:type="pct"/>
            <w:tcMar>
              <w:top w:w="28" w:type="dxa"/>
              <w:bottom w:w="28" w:type="dxa"/>
            </w:tcMar>
            <w:vAlign w:val="center"/>
          </w:tcPr>
          <w:p w14:paraId="0111FDC2"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产生量</w:t>
            </w:r>
          </w:p>
        </w:tc>
        <w:tc>
          <w:tcPr>
            <w:tcW w:w="443" w:type="pct"/>
            <w:tcMar>
              <w:top w:w="28" w:type="dxa"/>
              <w:bottom w:w="28" w:type="dxa"/>
            </w:tcMar>
            <w:vAlign w:val="center"/>
          </w:tcPr>
          <w:p w14:paraId="2A40A570" w14:textId="77777777" w:rsidR="00070A5E" w:rsidRPr="00A964FF" w:rsidRDefault="00E67FE3" w:rsidP="00070A5E">
            <w:pPr>
              <w:tabs>
                <w:tab w:val="left" w:pos="567"/>
              </w:tabs>
              <w:snapToGrid w:val="0"/>
              <w:jc w:val="center"/>
              <w:rPr>
                <w:rFonts w:ascii="Calibri"/>
                <w:color w:val="auto"/>
                <w:szCs w:val="21"/>
              </w:rPr>
            </w:pPr>
            <w:r>
              <w:rPr>
                <w:rFonts w:ascii="Calibri" w:hint="eastAsia"/>
                <w:color w:val="auto"/>
                <w:szCs w:val="21"/>
              </w:rPr>
              <w:t>3.2</w:t>
            </w:r>
          </w:p>
        </w:tc>
        <w:tc>
          <w:tcPr>
            <w:tcW w:w="444" w:type="pct"/>
            <w:tcMar>
              <w:top w:w="28" w:type="dxa"/>
              <w:bottom w:w="28" w:type="dxa"/>
            </w:tcMar>
            <w:vAlign w:val="center"/>
          </w:tcPr>
          <w:p w14:paraId="0D1788BE" w14:textId="77777777" w:rsidR="00070A5E" w:rsidRPr="00A964FF" w:rsidRDefault="00E67FE3" w:rsidP="00070A5E">
            <w:pPr>
              <w:tabs>
                <w:tab w:val="left" w:pos="567"/>
              </w:tabs>
              <w:snapToGrid w:val="0"/>
              <w:jc w:val="center"/>
              <w:rPr>
                <w:rFonts w:ascii="Calibri"/>
                <w:color w:val="auto"/>
                <w:szCs w:val="21"/>
              </w:rPr>
            </w:pPr>
            <w:r>
              <w:rPr>
                <w:rFonts w:ascii="Calibri" w:hint="eastAsia"/>
                <w:color w:val="auto"/>
                <w:szCs w:val="21"/>
              </w:rPr>
              <w:t>960</w:t>
            </w:r>
          </w:p>
        </w:tc>
        <w:tc>
          <w:tcPr>
            <w:tcW w:w="443" w:type="pct"/>
            <w:tcMar>
              <w:top w:w="28" w:type="dxa"/>
              <w:bottom w:w="28" w:type="dxa"/>
            </w:tcMar>
            <w:vAlign w:val="center"/>
          </w:tcPr>
          <w:p w14:paraId="5AE591D7"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300</w:t>
            </w:r>
          </w:p>
        </w:tc>
        <w:tc>
          <w:tcPr>
            <w:tcW w:w="444" w:type="pct"/>
            <w:tcMar>
              <w:top w:w="28" w:type="dxa"/>
              <w:bottom w:w="28" w:type="dxa"/>
            </w:tcMar>
            <w:vAlign w:val="center"/>
          </w:tcPr>
          <w:p w14:paraId="3418B8C4" w14:textId="77777777" w:rsidR="00070A5E" w:rsidRPr="00A964FF" w:rsidRDefault="00E67FE3" w:rsidP="00070A5E">
            <w:pPr>
              <w:tabs>
                <w:tab w:val="left" w:pos="567"/>
              </w:tabs>
              <w:snapToGrid w:val="0"/>
              <w:jc w:val="center"/>
              <w:rPr>
                <w:rFonts w:ascii="Calibri"/>
                <w:color w:val="auto"/>
                <w:szCs w:val="21"/>
              </w:rPr>
            </w:pPr>
            <w:r>
              <w:rPr>
                <w:rFonts w:ascii="Calibri" w:hint="eastAsia"/>
                <w:color w:val="auto"/>
                <w:szCs w:val="21"/>
              </w:rPr>
              <w:t>0.29</w:t>
            </w:r>
          </w:p>
        </w:tc>
        <w:tc>
          <w:tcPr>
            <w:tcW w:w="444" w:type="pct"/>
            <w:tcMar>
              <w:top w:w="28" w:type="dxa"/>
              <w:bottom w:w="28" w:type="dxa"/>
            </w:tcMar>
            <w:vAlign w:val="center"/>
          </w:tcPr>
          <w:p w14:paraId="3374F64B"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150</w:t>
            </w:r>
          </w:p>
        </w:tc>
        <w:tc>
          <w:tcPr>
            <w:tcW w:w="443" w:type="pct"/>
            <w:tcMar>
              <w:top w:w="28" w:type="dxa"/>
              <w:bottom w:w="28" w:type="dxa"/>
            </w:tcMar>
            <w:vAlign w:val="center"/>
          </w:tcPr>
          <w:p w14:paraId="291972D7" w14:textId="77777777" w:rsidR="00070A5E" w:rsidRPr="00A964FF" w:rsidRDefault="00E67FE3" w:rsidP="00070A5E">
            <w:pPr>
              <w:tabs>
                <w:tab w:val="left" w:pos="567"/>
              </w:tabs>
              <w:snapToGrid w:val="0"/>
              <w:jc w:val="center"/>
              <w:rPr>
                <w:rFonts w:ascii="Calibri"/>
                <w:color w:val="auto"/>
                <w:szCs w:val="21"/>
              </w:rPr>
            </w:pPr>
            <w:r>
              <w:rPr>
                <w:rFonts w:ascii="Calibri" w:hint="eastAsia"/>
                <w:color w:val="auto"/>
                <w:szCs w:val="21"/>
              </w:rPr>
              <w:t>0.14</w:t>
            </w:r>
          </w:p>
        </w:tc>
        <w:tc>
          <w:tcPr>
            <w:tcW w:w="444" w:type="pct"/>
            <w:tcMar>
              <w:top w:w="28" w:type="dxa"/>
              <w:bottom w:w="28" w:type="dxa"/>
            </w:tcMar>
            <w:vAlign w:val="center"/>
          </w:tcPr>
          <w:p w14:paraId="5057628B" w14:textId="77777777" w:rsidR="00070A5E" w:rsidRPr="00A964FF" w:rsidRDefault="008B57AD" w:rsidP="00070A5E">
            <w:pPr>
              <w:tabs>
                <w:tab w:val="left" w:pos="567"/>
              </w:tabs>
              <w:snapToGrid w:val="0"/>
              <w:jc w:val="center"/>
              <w:rPr>
                <w:rFonts w:ascii="Calibri"/>
                <w:color w:val="auto"/>
                <w:szCs w:val="21"/>
              </w:rPr>
            </w:pPr>
            <w:r w:rsidRPr="00A964FF">
              <w:rPr>
                <w:rFonts w:ascii="Calibri" w:hint="eastAsia"/>
                <w:color w:val="auto"/>
                <w:szCs w:val="21"/>
              </w:rPr>
              <w:t>200</w:t>
            </w:r>
          </w:p>
        </w:tc>
        <w:tc>
          <w:tcPr>
            <w:tcW w:w="443" w:type="pct"/>
            <w:tcMar>
              <w:top w:w="28" w:type="dxa"/>
              <w:bottom w:w="28" w:type="dxa"/>
            </w:tcMar>
            <w:vAlign w:val="center"/>
          </w:tcPr>
          <w:p w14:paraId="436C506D" w14:textId="77777777" w:rsidR="00070A5E" w:rsidRPr="00A964FF" w:rsidRDefault="00E67FE3" w:rsidP="00976BB5">
            <w:pPr>
              <w:tabs>
                <w:tab w:val="left" w:pos="567"/>
              </w:tabs>
              <w:snapToGrid w:val="0"/>
              <w:jc w:val="center"/>
              <w:rPr>
                <w:rFonts w:ascii="Calibri"/>
                <w:color w:val="auto"/>
                <w:szCs w:val="21"/>
              </w:rPr>
            </w:pPr>
            <w:r>
              <w:rPr>
                <w:rFonts w:ascii="Calibri" w:hint="eastAsia"/>
                <w:color w:val="auto"/>
                <w:szCs w:val="21"/>
              </w:rPr>
              <w:t>0.19</w:t>
            </w:r>
          </w:p>
        </w:tc>
        <w:tc>
          <w:tcPr>
            <w:tcW w:w="444" w:type="pct"/>
            <w:tcMar>
              <w:top w:w="28" w:type="dxa"/>
              <w:bottom w:w="28" w:type="dxa"/>
            </w:tcMar>
            <w:vAlign w:val="center"/>
          </w:tcPr>
          <w:p w14:paraId="2D564EF3"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25</w:t>
            </w:r>
          </w:p>
        </w:tc>
        <w:tc>
          <w:tcPr>
            <w:tcW w:w="444" w:type="pct"/>
            <w:tcMar>
              <w:top w:w="28" w:type="dxa"/>
              <w:bottom w:w="28" w:type="dxa"/>
            </w:tcMar>
            <w:vAlign w:val="center"/>
          </w:tcPr>
          <w:p w14:paraId="631F8296" w14:textId="77777777" w:rsidR="00070A5E" w:rsidRPr="00A964FF" w:rsidRDefault="00E67FE3" w:rsidP="00070A5E">
            <w:pPr>
              <w:tabs>
                <w:tab w:val="left" w:pos="567"/>
              </w:tabs>
              <w:snapToGrid w:val="0"/>
              <w:jc w:val="center"/>
              <w:rPr>
                <w:rFonts w:ascii="Calibri"/>
                <w:color w:val="auto"/>
                <w:szCs w:val="21"/>
              </w:rPr>
            </w:pPr>
            <w:r>
              <w:rPr>
                <w:rFonts w:ascii="Calibri" w:hint="eastAsia"/>
                <w:color w:val="auto"/>
                <w:szCs w:val="21"/>
              </w:rPr>
              <w:t>0.024</w:t>
            </w:r>
          </w:p>
        </w:tc>
      </w:tr>
    </w:tbl>
    <w:p w14:paraId="4E70D2C2" w14:textId="77777777" w:rsidR="00070A5E" w:rsidRPr="00A964FF" w:rsidRDefault="00070A5E" w:rsidP="00070A5E">
      <w:pPr>
        <w:spacing w:line="520" w:lineRule="exact"/>
        <w:ind w:firstLine="482"/>
        <w:rPr>
          <w:rFonts w:ascii="Calibri" w:hAnsi="Calibri"/>
          <w:b/>
          <w:bCs/>
          <w:color w:val="auto"/>
          <w:sz w:val="24"/>
        </w:rPr>
      </w:pPr>
      <w:r w:rsidRPr="00A964FF">
        <w:rPr>
          <w:rFonts w:ascii="Calibri" w:hAnsi="Calibri"/>
          <w:b/>
          <w:bCs/>
          <w:color w:val="auto"/>
          <w:sz w:val="24"/>
        </w:rPr>
        <w:t>2</w:t>
      </w:r>
      <w:r w:rsidRPr="00A964FF">
        <w:rPr>
          <w:rFonts w:ascii="Calibri" w:hAnsi="Calibri" w:hint="eastAsia"/>
          <w:b/>
          <w:bCs/>
          <w:color w:val="auto"/>
          <w:sz w:val="24"/>
        </w:rPr>
        <w:t>、施工废水</w:t>
      </w:r>
    </w:p>
    <w:p w14:paraId="59524E84" w14:textId="77777777" w:rsidR="00070A5E" w:rsidRPr="00A964FF" w:rsidRDefault="00070A5E" w:rsidP="00070A5E">
      <w:pPr>
        <w:spacing w:line="520" w:lineRule="exact"/>
        <w:ind w:firstLine="482"/>
        <w:rPr>
          <w:rFonts w:ascii="Calibri"/>
          <w:bCs/>
          <w:color w:val="auto"/>
          <w:sz w:val="24"/>
        </w:rPr>
      </w:pPr>
      <w:r w:rsidRPr="00A964FF">
        <w:rPr>
          <w:rFonts w:ascii="Calibri" w:hint="eastAsia"/>
          <w:bCs/>
          <w:color w:val="auto"/>
          <w:sz w:val="24"/>
        </w:rPr>
        <w:t>施工废水主要产生于混凝土养护及墙面的冲洗、构件与建筑材料的保湿等施工工序，废水主要污染物为泥沙、悬浮物等。此外，施工作业使用的燃油动力机械在维护和冲洗时，将产生含少量悬浮物和石油类等污染物的废水。施工期可在场区设置沉淀池，施工废水经沉淀池处理后回用于施工现场，综合利用，不外排。</w:t>
      </w:r>
    </w:p>
    <w:p w14:paraId="459B0953" w14:textId="77777777" w:rsidR="00070A5E" w:rsidRPr="00A964FF" w:rsidRDefault="00137E14" w:rsidP="00070A5E">
      <w:pPr>
        <w:pStyle w:val="ad"/>
        <w:rPr>
          <w:rFonts w:ascii="Calibri" w:hAnsi="Calibri"/>
          <w:color w:val="auto"/>
          <w:sz w:val="24"/>
        </w:rPr>
      </w:pPr>
      <w:r>
        <w:rPr>
          <w:rFonts w:ascii="Calibri" w:hAnsi="Calibri"/>
          <w:color w:val="auto"/>
        </w:rPr>
        <w:t>2.6</w:t>
      </w:r>
      <w:r w:rsidR="00070A5E" w:rsidRPr="00A964FF">
        <w:rPr>
          <w:rFonts w:ascii="Calibri" w:hAnsi="Calibri"/>
          <w:color w:val="auto"/>
        </w:rPr>
        <w:t>.3</w:t>
      </w:r>
      <w:r w:rsidR="00070A5E" w:rsidRPr="00A964FF">
        <w:rPr>
          <w:rFonts w:ascii="Calibri" w:hAnsi="Calibri" w:hint="eastAsia"/>
          <w:color w:val="auto"/>
        </w:rPr>
        <w:t>噪声污染</w:t>
      </w:r>
    </w:p>
    <w:p w14:paraId="67C19A27" w14:textId="77777777" w:rsidR="00070A5E" w:rsidRPr="00A964FF" w:rsidRDefault="00070A5E" w:rsidP="00070A5E">
      <w:pPr>
        <w:pStyle w:val="00"/>
        <w:rPr>
          <w:color w:val="auto"/>
          <w:kern w:val="28"/>
        </w:rPr>
      </w:pPr>
      <w:r w:rsidRPr="00A964FF">
        <w:rPr>
          <w:rFonts w:hint="eastAsia"/>
          <w:color w:val="auto"/>
          <w:kern w:val="28"/>
        </w:rPr>
        <w:t>施工噪声主要可分为机械噪声、施工作业噪声和施工车辆噪声。本项目使用的施工机械主要有如挖土机、振捣棒、起重机等，多为点声源；施工作业噪声主要指一些零星的敲打声、装卸车辆的撞击声、拆卸模板的撞击声等，多为瞬时噪声；施工车辆的噪声属于交通噪声。在这些施工噪声中，对声环境影响最大的是机械噪声。</w:t>
      </w:r>
    </w:p>
    <w:p w14:paraId="0943C4AE" w14:textId="77777777" w:rsidR="000D53E8" w:rsidRPr="002F5676" w:rsidRDefault="00070A5E" w:rsidP="002F5676">
      <w:pPr>
        <w:pStyle w:val="00"/>
        <w:rPr>
          <w:rFonts w:ascii="Calibri" w:hAnsi="Calibri"/>
          <w:color w:val="auto"/>
        </w:rPr>
      </w:pPr>
      <w:r w:rsidRPr="00A964FF">
        <w:rPr>
          <w:rFonts w:ascii="Calibri" w:hAnsi="Calibri" w:hint="eastAsia"/>
          <w:color w:val="auto"/>
        </w:rPr>
        <w:t>经类比调查，并参考《环境噪声与振动控制工程技术导则》（</w:t>
      </w:r>
      <w:r w:rsidRPr="00A964FF">
        <w:rPr>
          <w:rFonts w:ascii="Calibri" w:hAnsi="Calibri"/>
          <w:color w:val="auto"/>
        </w:rPr>
        <w:t>HJ2034-2013</w:t>
      </w:r>
      <w:r w:rsidRPr="00A964FF">
        <w:rPr>
          <w:rFonts w:ascii="Calibri" w:hAnsi="Calibri" w:hint="eastAsia"/>
          <w:color w:val="auto"/>
        </w:rPr>
        <w:t>），各施工阶段的主要产噪机械设备、运输车辆及其声级值见表</w:t>
      </w:r>
      <w:r w:rsidRPr="00A964FF">
        <w:rPr>
          <w:rFonts w:ascii="Calibri" w:hAnsi="Calibri"/>
          <w:color w:val="auto"/>
        </w:rPr>
        <w:t>2</w:t>
      </w:r>
      <w:r w:rsidR="00137E14">
        <w:rPr>
          <w:rFonts w:ascii="Calibri" w:hAnsi="Calibri" w:hint="eastAsia"/>
          <w:color w:val="auto"/>
        </w:rPr>
        <w:t>.6</w:t>
      </w:r>
      <w:r w:rsidRPr="00A964FF">
        <w:rPr>
          <w:rFonts w:ascii="Calibri" w:hAnsi="Calibri"/>
          <w:color w:val="auto"/>
        </w:rPr>
        <w:t>-</w:t>
      </w:r>
      <w:r w:rsidR="005310B3" w:rsidRPr="00A964FF">
        <w:rPr>
          <w:rFonts w:ascii="Calibri" w:hAnsi="Calibri" w:hint="eastAsia"/>
          <w:color w:val="auto"/>
        </w:rPr>
        <w:t>2</w:t>
      </w:r>
      <w:r w:rsidRPr="00A964FF">
        <w:rPr>
          <w:rFonts w:ascii="Calibri" w:hAnsi="Calibri" w:hint="eastAsia"/>
          <w:color w:val="auto"/>
        </w:rPr>
        <w:t>。</w:t>
      </w:r>
    </w:p>
    <w:p w14:paraId="07DCFA04" w14:textId="77777777" w:rsidR="002F5676" w:rsidRDefault="002F5676" w:rsidP="00070A5E">
      <w:pPr>
        <w:pStyle w:val="00"/>
        <w:rPr>
          <w:rFonts w:ascii="Calibri" w:eastAsia="黑体" w:hAnsi="Calibri"/>
          <w:color w:val="auto"/>
        </w:rPr>
      </w:pPr>
    </w:p>
    <w:p w14:paraId="437024C6" w14:textId="77777777" w:rsidR="002F5676" w:rsidRDefault="002F5676" w:rsidP="00070A5E">
      <w:pPr>
        <w:pStyle w:val="00"/>
        <w:rPr>
          <w:rFonts w:ascii="Calibri" w:eastAsia="黑体" w:hAnsi="Calibri"/>
          <w:color w:val="auto"/>
        </w:rPr>
      </w:pPr>
    </w:p>
    <w:p w14:paraId="403F980C" w14:textId="77777777" w:rsidR="002F5676" w:rsidRDefault="002F5676" w:rsidP="00070A5E">
      <w:pPr>
        <w:pStyle w:val="00"/>
        <w:rPr>
          <w:rFonts w:ascii="Calibri" w:eastAsia="黑体" w:hAnsi="Calibri"/>
          <w:color w:val="auto"/>
        </w:rPr>
      </w:pPr>
    </w:p>
    <w:p w14:paraId="62B8CF36" w14:textId="77777777" w:rsidR="002F5676" w:rsidRDefault="002F5676" w:rsidP="00070A5E">
      <w:pPr>
        <w:pStyle w:val="00"/>
        <w:rPr>
          <w:rFonts w:ascii="Calibri" w:eastAsia="黑体" w:hAnsi="Calibri"/>
          <w:color w:val="auto"/>
        </w:rPr>
      </w:pPr>
    </w:p>
    <w:p w14:paraId="25CBC20B" w14:textId="77777777" w:rsidR="00070A5E" w:rsidRPr="00A964FF" w:rsidRDefault="00070A5E" w:rsidP="00070A5E">
      <w:pPr>
        <w:pStyle w:val="00"/>
        <w:rPr>
          <w:rFonts w:ascii="Calibri" w:eastAsia="黑体" w:hAnsi="Calibri"/>
          <w:color w:val="auto"/>
        </w:rPr>
      </w:pPr>
      <w:r w:rsidRPr="00A964FF">
        <w:rPr>
          <w:rFonts w:ascii="Calibri" w:eastAsia="黑体" w:hAnsi="Calibri" w:hint="eastAsia"/>
          <w:color w:val="auto"/>
        </w:rPr>
        <w:lastRenderedPageBreak/>
        <w:t>表</w:t>
      </w:r>
      <w:r w:rsidRPr="00A964FF">
        <w:rPr>
          <w:rFonts w:ascii="Calibri" w:eastAsia="黑体" w:hAnsi="Calibri"/>
          <w:color w:val="auto"/>
        </w:rPr>
        <w:t>2</w:t>
      </w:r>
      <w:r w:rsidR="00137E14">
        <w:rPr>
          <w:rFonts w:ascii="Calibri" w:eastAsia="黑体" w:hAnsi="Calibri" w:hint="eastAsia"/>
          <w:color w:val="auto"/>
        </w:rPr>
        <w:t>.6</w:t>
      </w:r>
      <w:r w:rsidRPr="00A964FF">
        <w:rPr>
          <w:rFonts w:ascii="Calibri" w:eastAsia="黑体" w:hAnsi="Calibri"/>
          <w:color w:val="auto"/>
        </w:rPr>
        <w:t>-</w:t>
      </w:r>
      <w:r w:rsidR="005310B3" w:rsidRPr="00A964FF">
        <w:rPr>
          <w:rFonts w:ascii="Calibri" w:eastAsia="黑体" w:hAnsi="Calibri" w:hint="eastAsia"/>
          <w:color w:val="auto"/>
        </w:rPr>
        <w:t>2</w:t>
      </w:r>
      <w:r w:rsidRPr="00A964FF">
        <w:rPr>
          <w:rFonts w:ascii="Calibri" w:eastAsia="黑体" w:hAnsi="Calibri"/>
          <w:color w:val="auto"/>
        </w:rPr>
        <w:t xml:space="preserve">         </w:t>
      </w:r>
      <w:r w:rsidRPr="00A964FF">
        <w:rPr>
          <w:rFonts w:ascii="Calibri" w:eastAsia="黑体" w:hAnsi="Calibri" w:hint="eastAsia"/>
          <w:color w:val="auto"/>
        </w:rPr>
        <w:t>施工期主要机械设备噪声源及其声级值</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232"/>
        <w:gridCol w:w="2340"/>
        <w:gridCol w:w="2194"/>
        <w:gridCol w:w="1467"/>
        <w:gridCol w:w="1467"/>
      </w:tblGrid>
      <w:tr w:rsidR="00070A5E" w:rsidRPr="00A964FF" w14:paraId="63F3E2E0" w14:textId="77777777" w:rsidTr="00070A5E">
        <w:trPr>
          <w:trHeight w:val="340"/>
          <w:jc w:val="center"/>
        </w:trPr>
        <w:tc>
          <w:tcPr>
            <w:tcW w:w="708" w:type="pct"/>
            <w:vMerge w:val="restart"/>
            <w:vAlign w:val="center"/>
          </w:tcPr>
          <w:p w14:paraId="14DFF98A"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序号</w:t>
            </w:r>
          </w:p>
        </w:tc>
        <w:tc>
          <w:tcPr>
            <w:tcW w:w="1345" w:type="pct"/>
            <w:vMerge w:val="restart"/>
            <w:vAlign w:val="center"/>
          </w:tcPr>
          <w:p w14:paraId="6F74D8EE"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主要噪声源</w:t>
            </w:r>
          </w:p>
        </w:tc>
        <w:tc>
          <w:tcPr>
            <w:tcW w:w="1261" w:type="pct"/>
            <w:vMerge w:val="restart"/>
            <w:vAlign w:val="center"/>
          </w:tcPr>
          <w:p w14:paraId="70B30C55"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声功率级</w:t>
            </w:r>
            <w:r w:rsidRPr="00A964FF">
              <w:rPr>
                <w:rFonts w:ascii="Calibri"/>
                <w:color w:val="auto"/>
                <w:szCs w:val="21"/>
              </w:rPr>
              <w:t>/dB</w:t>
            </w:r>
          </w:p>
        </w:tc>
        <w:tc>
          <w:tcPr>
            <w:tcW w:w="1686" w:type="pct"/>
            <w:gridSpan w:val="2"/>
            <w:vAlign w:val="center"/>
          </w:tcPr>
          <w:p w14:paraId="1FED0C0C"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声级</w:t>
            </w:r>
          </w:p>
        </w:tc>
      </w:tr>
      <w:tr w:rsidR="00070A5E" w:rsidRPr="00A964FF" w14:paraId="010DEEAB" w14:textId="77777777" w:rsidTr="00070A5E">
        <w:trPr>
          <w:trHeight w:val="340"/>
          <w:jc w:val="center"/>
        </w:trPr>
        <w:tc>
          <w:tcPr>
            <w:tcW w:w="708" w:type="pct"/>
            <w:vMerge/>
            <w:vAlign w:val="center"/>
          </w:tcPr>
          <w:p w14:paraId="1E53A643" w14:textId="77777777" w:rsidR="00070A5E" w:rsidRPr="00A964FF" w:rsidRDefault="00070A5E" w:rsidP="00070A5E">
            <w:pPr>
              <w:tabs>
                <w:tab w:val="left" w:pos="567"/>
              </w:tabs>
              <w:snapToGrid w:val="0"/>
              <w:jc w:val="center"/>
              <w:rPr>
                <w:rFonts w:ascii="Calibri"/>
                <w:color w:val="auto"/>
                <w:szCs w:val="21"/>
              </w:rPr>
            </w:pPr>
          </w:p>
        </w:tc>
        <w:tc>
          <w:tcPr>
            <w:tcW w:w="1345" w:type="pct"/>
            <w:vMerge/>
            <w:vAlign w:val="center"/>
          </w:tcPr>
          <w:p w14:paraId="0A1E07A0" w14:textId="77777777" w:rsidR="00070A5E" w:rsidRPr="00A964FF" w:rsidRDefault="00070A5E" w:rsidP="00070A5E">
            <w:pPr>
              <w:tabs>
                <w:tab w:val="left" w:pos="567"/>
              </w:tabs>
              <w:snapToGrid w:val="0"/>
              <w:jc w:val="center"/>
              <w:rPr>
                <w:rFonts w:ascii="Calibri"/>
                <w:color w:val="auto"/>
                <w:szCs w:val="21"/>
              </w:rPr>
            </w:pPr>
          </w:p>
        </w:tc>
        <w:tc>
          <w:tcPr>
            <w:tcW w:w="1261" w:type="pct"/>
            <w:vMerge/>
            <w:vAlign w:val="center"/>
          </w:tcPr>
          <w:p w14:paraId="3D1729D7" w14:textId="77777777" w:rsidR="00070A5E" w:rsidRPr="00A964FF" w:rsidRDefault="00070A5E" w:rsidP="00070A5E">
            <w:pPr>
              <w:tabs>
                <w:tab w:val="left" w:pos="567"/>
              </w:tabs>
              <w:snapToGrid w:val="0"/>
              <w:jc w:val="center"/>
              <w:rPr>
                <w:rFonts w:ascii="Calibri"/>
                <w:color w:val="auto"/>
                <w:szCs w:val="21"/>
              </w:rPr>
            </w:pPr>
          </w:p>
        </w:tc>
        <w:tc>
          <w:tcPr>
            <w:tcW w:w="843" w:type="pct"/>
            <w:vAlign w:val="center"/>
          </w:tcPr>
          <w:p w14:paraId="3CACF718"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距离</w:t>
            </w:r>
            <w:r w:rsidRPr="00A964FF">
              <w:rPr>
                <w:rFonts w:ascii="Calibri"/>
                <w:color w:val="auto"/>
                <w:szCs w:val="21"/>
              </w:rPr>
              <w:t>/m</w:t>
            </w:r>
          </w:p>
        </w:tc>
        <w:tc>
          <w:tcPr>
            <w:tcW w:w="843" w:type="pct"/>
            <w:vAlign w:val="center"/>
          </w:tcPr>
          <w:p w14:paraId="52903354"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dB</w:t>
            </w:r>
            <w:r w:rsidRPr="00A964FF">
              <w:rPr>
                <w:rFonts w:ascii="Calibri" w:hint="eastAsia"/>
                <w:color w:val="auto"/>
                <w:szCs w:val="21"/>
              </w:rPr>
              <w:t>（</w:t>
            </w:r>
            <w:r w:rsidRPr="00A964FF">
              <w:rPr>
                <w:rFonts w:ascii="Calibri"/>
                <w:color w:val="auto"/>
                <w:szCs w:val="21"/>
              </w:rPr>
              <w:t>A</w:t>
            </w:r>
            <w:r w:rsidRPr="00A964FF">
              <w:rPr>
                <w:rFonts w:ascii="Calibri" w:hint="eastAsia"/>
                <w:color w:val="auto"/>
                <w:szCs w:val="21"/>
              </w:rPr>
              <w:t>）</w:t>
            </w:r>
          </w:p>
        </w:tc>
      </w:tr>
      <w:tr w:rsidR="00070A5E" w:rsidRPr="00A964FF" w14:paraId="6328F065" w14:textId="77777777" w:rsidTr="00070A5E">
        <w:trPr>
          <w:trHeight w:val="340"/>
          <w:jc w:val="center"/>
        </w:trPr>
        <w:tc>
          <w:tcPr>
            <w:tcW w:w="708" w:type="pct"/>
            <w:vAlign w:val="center"/>
          </w:tcPr>
          <w:p w14:paraId="0E89BEBC"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1</w:t>
            </w:r>
          </w:p>
        </w:tc>
        <w:tc>
          <w:tcPr>
            <w:tcW w:w="1345" w:type="pct"/>
            <w:vAlign w:val="center"/>
          </w:tcPr>
          <w:p w14:paraId="5566F702"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推土机</w:t>
            </w:r>
          </w:p>
        </w:tc>
        <w:tc>
          <w:tcPr>
            <w:tcW w:w="1261" w:type="pct"/>
            <w:vAlign w:val="center"/>
          </w:tcPr>
          <w:p w14:paraId="6A1EDC5B"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90</w:t>
            </w:r>
            <w:r w:rsidRPr="00A964FF">
              <w:rPr>
                <w:rFonts w:ascii="Calibri" w:hint="eastAsia"/>
                <w:color w:val="auto"/>
                <w:szCs w:val="21"/>
              </w:rPr>
              <w:t>～</w:t>
            </w:r>
            <w:r w:rsidRPr="00A964FF">
              <w:rPr>
                <w:rFonts w:ascii="Calibri"/>
                <w:color w:val="auto"/>
                <w:szCs w:val="21"/>
              </w:rPr>
              <w:t>105</w:t>
            </w:r>
          </w:p>
        </w:tc>
        <w:tc>
          <w:tcPr>
            <w:tcW w:w="843" w:type="pct"/>
            <w:vAlign w:val="center"/>
          </w:tcPr>
          <w:p w14:paraId="3CF8824C"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3</w:t>
            </w:r>
          </w:p>
        </w:tc>
        <w:tc>
          <w:tcPr>
            <w:tcW w:w="843" w:type="pct"/>
            <w:vAlign w:val="center"/>
          </w:tcPr>
          <w:p w14:paraId="24AB8563"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88</w:t>
            </w:r>
          </w:p>
        </w:tc>
      </w:tr>
      <w:tr w:rsidR="00070A5E" w:rsidRPr="00A964FF" w14:paraId="73C11A89" w14:textId="77777777" w:rsidTr="00070A5E">
        <w:trPr>
          <w:trHeight w:val="340"/>
          <w:jc w:val="center"/>
        </w:trPr>
        <w:tc>
          <w:tcPr>
            <w:tcW w:w="708" w:type="pct"/>
            <w:vAlign w:val="center"/>
          </w:tcPr>
          <w:p w14:paraId="349B2CD5"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2</w:t>
            </w:r>
          </w:p>
        </w:tc>
        <w:tc>
          <w:tcPr>
            <w:tcW w:w="1345" w:type="pct"/>
            <w:vAlign w:val="center"/>
          </w:tcPr>
          <w:p w14:paraId="4013AE90"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挖掘机</w:t>
            </w:r>
          </w:p>
        </w:tc>
        <w:tc>
          <w:tcPr>
            <w:tcW w:w="1261" w:type="pct"/>
            <w:vAlign w:val="center"/>
          </w:tcPr>
          <w:p w14:paraId="4E1C9338"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85</w:t>
            </w:r>
            <w:r w:rsidRPr="00A964FF">
              <w:rPr>
                <w:rFonts w:ascii="Calibri" w:hint="eastAsia"/>
                <w:color w:val="auto"/>
                <w:szCs w:val="21"/>
              </w:rPr>
              <w:t>～</w:t>
            </w:r>
            <w:r w:rsidRPr="00A964FF">
              <w:rPr>
                <w:rFonts w:ascii="Calibri"/>
                <w:color w:val="auto"/>
                <w:szCs w:val="21"/>
              </w:rPr>
              <w:t>95</w:t>
            </w:r>
          </w:p>
        </w:tc>
        <w:tc>
          <w:tcPr>
            <w:tcW w:w="843" w:type="pct"/>
            <w:vAlign w:val="center"/>
          </w:tcPr>
          <w:p w14:paraId="39489B11"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5</w:t>
            </w:r>
          </w:p>
        </w:tc>
        <w:tc>
          <w:tcPr>
            <w:tcW w:w="843" w:type="pct"/>
            <w:vAlign w:val="center"/>
          </w:tcPr>
          <w:p w14:paraId="3171BF35"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84</w:t>
            </w:r>
          </w:p>
        </w:tc>
      </w:tr>
      <w:tr w:rsidR="00070A5E" w:rsidRPr="00A964FF" w14:paraId="0C14F7A6" w14:textId="77777777" w:rsidTr="00070A5E">
        <w:trPr>
          <w:trHeight w:val="340"/>
          <w:jc w:val="center"/>
        </w:trPr>
        <w:tc>
          <w:tcPr>
            <w:tcW w:w="708" w:type="pct"/>
            <w:vAlign w:val="center"/>
          </w:tcPr>
          <w:p w14:paraId="5223E225"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3</w:t>
            </w:r>
          </w:p>
        </w:tc>
        <w:tc>
          <w:tcPr>
            <w:tcW w:w="1345" w:type="pct"/>
            <w:vAlign w:val="center"/>
          </w:tcPr>
          <w:p w14:paraId="45A78054"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装载机</w:t>
            </w:r>
          </w:p>
        </w:tc>
        <w:tc>
          <w:tcPr>
            <w:tcW w:w="1261" w:type="pct"/>
            <w:vAlign w:val="center"/>
          </w:tcPr>
          <w:p w14:paraId="45F2FD04"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85</w:t>
            </w:r>
            <w:r w:rsidRPr="00A964FF">
              <w:rPr>
                <w:rFonts w:ascii="Calibri" w:hint="eastAsia"/>
                <w:color w:val="auto"/>
                <w:szCs w:val="21"/>
              </w:rPr>
              <w:t>～</w:t>
            </w:r>
            <w:r w:rsidRPr="00A964FF">
              <w:rPr>
                <w:rFonts w:ascii="Calibri"/>
                <w:color w:val="auto"/>
                <w:szCs w:val="21"/>
              </w:rPr>
              <w:t>100</w:t>
            </w:r>
          </w:p>
        </w:tc>
        <w:tc>
          <w:tcPr>
            <w:tcW w:w="843" w:type="pct"/>
            <w:vAlign w:val="center"/>
          </w:tcPr>
          <w:p w14:paraId="15E16EE1"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5</w:t>
            </w:r>
          </w:p>
        </w:tc>
        <w:tc>
          <w:tcPr>
            <w:tcW w:w="843" w:type="pct"/>
            <w:vAlign w:val="center"/>
          </w:tcPr>
          <w:p w14:paraId="04675AD9"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86</w:t>
            </w:r>
          </w:p>
        </w:tc>
      </w:tr>
      <w:tr w:rsidR="00070A5E" w:rsidRPr="00A964FF" w14:paraId="1BB6B575" w14:textId="77777777" w:rsidTr="00070A5E">
        <w:trPr>
          <w:trHeight w:val="340"/>
          <w:jc w:val="center"/>
        </w:trPr>
        <w:tc>
          <w:tcPr>
            <w:tcW w:w="708" w:type="pct"/>
            <w:vAlign w:val="center"/>
          </w:tcPr>
          <w:p w14:paraId="1B6D535B"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4</w:t>
            </w:r>
          </w:p>
        </w:tc>
        <w:tc>
          <w:tcPr>
            <w:tcW w:w="1345" w:type="pct"/>
            <w:vAlign w:val="center"/>
          </w:tcPr>
          <w:p w14:paraId="4C237870"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打桩机</w:t>
            </w:r>
          </w:p>
        </w:tc>
        <w:tc>
          <w:tcPr>
            <w:tcW w:w="1261" w:type="pct"/>
            <w:vAlign w:val="center"/>
          </w:tcPr>
          <w:p w14:paraId="07D04B3D"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85</w:t>
            </w:r>
            <w:r w:rsidRPr="00A964FF">
              <w:rPr>
                <w:rFonts w:ascii="Calibri" w:hint="eastAsia"/>
                <w:color w:val="auto"/>
                <w:szCs w:val="21"/>
              </w:rPr>
              <w:t>～</w:t>
            </w:r>
            <w:r w:rsidRPr="00A964FF">
              <w:rPr>
                <w:rFonts w:ascii="Calibri"/>
                <w:color w:val="auto"/>
                <w:szCs w:val="21"/>
              </w:rPr>
              <w:t>100</w:t>
            </w:r>
          </w:p>
        </w:tc>
        <w:tc>
          <w:tcPr>
            <w:tcW w:w="843" w:type="pct"/>
            <w:vAlign w:val="center"/>
          </w:tcPr>
          <w:p w14:paraId="5CE321E0"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5</w:t>
            </w:r>
          </w:p>
        </w:tc>
        <w:tc>
          <w:tcPr>
            <w:tcW w:w="843" w:type="pct"/>
            <w:vAlign w:val="center"/>
          </w:tcPr>
          <w:p w14:paraId="1097697E"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80</w:t>
            </w:r>
          </w:p>
        </w:tc>
      </w:tr>
      <w:tr w:rsidR="00070A5E" w:rsidRPr="00A964FF" w14:paraId="560F2E9C" w14:textId="77777777" w:rsidTr="00070A5E">
        <w:trPr>
          <w:trHeight w:val="340"/>
          <w:jc w:val="center"/>
        </w:trPr>
        <w:tc>
          <w:tcPr>
            <w:tcW w:w="708" w:type="pct"/>
            <w:vAlign w:val="center"/>
          </w:tcPr>
          <w:p w14:paraId="4B5C0333"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5</w:t>
            </w:r>
          </w:p>
        </w:tc>
        <w:tc>
          <w:tcPr>
            <w:tcW w:w="1345" w:type="pct"/>
            <w:vAlign w:val="center"/>
          </w:tcPr>
          <w:p w14:paraId="23F39020"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工程钻机</w:t>
            </w:r>
          </w:p>
        </w:tc>
        <w:tc>
          <w:tcPr>
            <w:tcW w:w="1261" w:type="pct"/>
            <w:vAlign w:val="center"/>
          </w:tcPr>
          <w:p w14:paraId="51ECD1DF"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90</w:t>
            </w:r>
            <w:r w:rsidRPr="00A964FF">
              <w:rPr>
                <w:rFonts w:ascii="Calibri" w:hint="eastAsia"/>
                <w:color w:val="auto"/>
                <w:szCs w:val="21"/>
              </w:rPr>
              <w:t>～</w:t>
            </w:r>
            <w:r w:rsidRPr="00A964FF">
              <w:rPr>
                <w:rFonts w:ascii="Calibri"/>
                <w:color w:val="auto"/>
                <w:szCs w:val="21"/>
              </w:rPr>
              <w:t>100</w:t>
            </w:r>
          </w:p>
        </w:tc>
        <w:tc>
          <w:tcPr>
            <w:tcW w:w="843" w:type="pct"/>
            <w:vAlign w:val="center"/>
          </w:tcPr>
          <w:p w14:paraId="053C4556"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3</w:t>
            </w:r>
          </w:p>
        </w:tc>
        <w:tc>
          <w:tcPr>
            <w:tcW w:w="843" w:type="pct"/>
            <w:vAlign w:val="center"/>
          </w:tcPr>
          <w:p w14:paraId="743CA83D"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84</w:t>
            </w:r>
          </w:p>
        </w:tc>
      </w:tr>
      <w:tr w:rsidR="00070A5E" w:rsidRPr="00A964FF" w14:paraId="32C61EC2" w14:textId="77777777" w:rsidTr="00070A5E">
        <w:trPr>
          <w:trHeight w:val="340"/>
          <w:jc w:val="center"/>
        </w:trPr>
        <w:tc>
          <w:tcPr>
            <w:tcW w:w="708" w:type="pct"/>
            <w:vAlign w:val="center"/>
          </w:tcPr>
          <w:p w14:paraId="1F7BF9A8"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6</w:t>
            </w:r>
          </w:p>
        </w:tc>
        <w:tc>
          <w:tcPr>
            <w:tcW w:w="1345" w:type="pct"/>
            <w:vAlign w:val="center"/>
          </w:tcPr>
          <w:p w14:paraId="7225537B"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平地机</w:t>
            </w:r>
          </w:p>
        </w:tc>
        <w:tc>
          <w:tcPr>
            <w:tcW w:w="1261" w:type="pct"/>
            <w:vAlign w:val="center"/>
          </w:tcPr>
          <w:p w14:paraId="1D009165"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90</w:t>
            </w:r>
            <w:r w:rsidRPr="00A964FF">
              <w:rPr>
                <w:rFonts w:ascii="Calibri" w:hint="eastAsia"/>
                <w:color w:val="auto"/>
                <w:szCs w:val="21"/>
              </w:rPr>
              <w:t>～</w:t>
            </w:r>
            <w:r w:rsidRPr="00A964FF">
              <w:rPr>
                <w:rFonts w:ascii="Calibri"/>
                <w:color w:val="auto"/>
                <w:szCs w:val="21"/>
              </w:rPr>
              <w:t>105</w:t>
            </w:r>
          </w:p>
        </w:tc>
        <w:tc>
          <w:tcPr>
            <w:tcW w:w="843" w:type="pct"/>
            <w:vAlign w:val="center"/>
          </w:tcPr>
          <w:p w14:paraId="39D67EF9"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3</w:t>
            </w:r>
          </w:p>
        </w:tc>
        <w:tc>
          <w:tcPr>
            <w:tcW w:w="843" w:type="pct"/>
            <w:vAlign w:val="center"/>
          </w:tcPr>
          <w:p w14:paraId="74D1E188"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88</w:t>
            </w:r>
          </w:p>
        </w:tc>
      </w:tr>
      <w:tr w:rsidR="00070A5E" w:rsidRPr="00A964FF" w14:paraId="0FA688B3" w14:textId="77777777" w:rsidTr="00070A5E">
        <w:trPr>
          <w:trHeight w:val="340"/>
          <w:jc w:val="center"/>
        </w:trPr>
        <w:tc>
          <w:tcPr>
            <w:tcW w:w="708" w:type="pct"/>
            <w:vAlign w:val="center"/>
          </w:tcPr>
          <w:p w14:paraId="7596D828"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7</w:t>
            </w:r>
          </w:p>
        </w:tc>
        <w:tc>
          <w:tcPr>
            <w:tcW w:w="1345" w:type="pct"/>
            <w:vAlign w:val="center"/>
          </w:tcPr>
          <w:p w14:paraId="36EF7503"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起重机</w:t>
            </w:r>
          </w:p>
        </w:tc>
        <w:tc>
          <w:tcPr>
            <w:tcW w:w="1261" w:type="pct"/>
            <w:vAlign w:val="center"/>
          </w:tcPr>
          <w:p w14:paraId="1B68BEF2"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80</w:t>
            </w:r>
            <w:r w:rsidRPr="00A964FF">
              <w:rPr>
                <w:rFonts w:ascii="Calibri" w:hint="eastAsia"/>
                <w:color w:val="auto"/>
                <w:szCs w:val="21"/>
              </w:rPr>
              <w:t>～</w:t>
            </w:r>
            <w:r w:rsidRPr="00A964FF">
              <w:rPr>
                <w:rFonts w:ascii="Calibri"/>
                <w:color w:val="auto"/>
                <w:szCs w:val="21"/>
              </w:rPr>
              <w:t>95</w:t>
            </w:r>
          </w:p>
        </w:tc>
        <w:tc>
          <w:tcPr>
            <w:tcW w:w="843" w:type="pct"/>
            <w:vAlign w:val="center"/>
          </w:tcPr>
          <w:p w14:paraId="1C720F00"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w:t>
            </w:r>
          </w:p>
        </w:tc>
        <w:tc>
          <w:tcPr>
            <w:tcW w:w="843" w:type="pct"/>
            <w:vAlign w:val="center"/>
          </w:tcPr>
          <w:p w14:paraId="5EB6389B"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76</w:t>
            </w:r>
          </w:p>
        </w:tc>
      </w:tr>
      <w:tr w:rsidR="00070A5E" w:rsidRPr="00A964FF" w14:paraId="413C6DEC" w14:textId="77777777" w:rsidTr="00070A5E">
        <w:trPr>
          <w:trHeight w:val="340"/>
          <w:jc w:val="center"/>
        </w:trPr>
        <w:tc>
          <w:tcPr>
            <w:tcW w:w="708" w:type="pct"/>
            <w:vAlign w:val="center"/>
          </w:tcPr>
          <w:p w14:paraId="02D6EE35"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w:t>
            </w:r>
          </w:p>
        </w:tc>
        <w:tc>
          <w:tcPr>
            <w:tcW w:w="1345" w:type="pct"/>
            <w:vAlign w:val="center"/>
          </w:tcPr>
          <w:p w14:paraId="0A7D1D0E"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振捣棒</w:t>
            </w:r>
          </w:p>
        </w:tc>
        <w:tc>
          <w:tcPr>
            <w:tcW w:w="1261" w:type="pct"/>
            <w:vAlign w:val="center"/>
          </w:tcPr>
          <w:p w14:paraId="7CD06598"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90</w:t>
            </w:r>
            <w:r w:rsidRPr="00A964FF">
              <w:rPr>
                <w:rFonts w:ascii="Calibri" w:hint="eastAsia"/>
                <w:color w:val="auto"/>
                <w:szCs w:val="21"/>
              </w:rPr>
              <w:t>～</w:t>
            </w:r>
            <w:r w:rsidRPr="00A964FF">
              <w:rPr>
                <w:rFonts w:ascii="Calibri"/>
                <w:color w:val="auto"/>
                <w:szCs w:val="21"/>
              </w:rPr>
              <w:t>110</w:t>
            </w:r>
          </w:p>
        </w:tc>
        <w:tc>
          <w:tcPr>
            <w:tcW w:w="843" w:type="pct"/>
            <w:vAlign w:val="center"/>
          </w:tcPr>
          <w:p w14:paraId="61D6824D"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15</w:t>
            </w:r>
          </w:p>
        </w:tc>
        <w:tc>
          <w:tcPr>
            <w:tcW w:w="843" w:type="pct"/>
            <w:vAlign w:val="center"/>
          </w:tcPr>
          <w:p w14:paraId="7D51ABE5"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74</w:t>
            </w:r>
          </w:p>
        </w:tc>
      </w:tr>
      <w:tr w:rsidR="00070A5E" w:rsidRPr="00A964FF" w14:paraId="39A4D2D3" w14:textId="77777777" w:rsidTr="00070A5E">
        <w:trPr>
          <w:trHeight w:val="340"/>
          <w:jc w:val="center"/>
        </w:trPr>
        <w:tc>
          <w:tcPr>
            <w:tcW w:w="708" w:type="pct"/>
            <w:vAlign w:val="center"/>
          </w:tcPr>
          <w:p w14:paraId="4651C8C8"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9</w:t>
            </w:r>
          </w:p>
        </w:tc>
        <w:tc>
          <w:tcPr>
            <w:tcW w:w="1345" w:type="pct"/>
            <w:vAlign w:val="center"/>
          </w:tcPr>
          <w:p w14:paraId="4A907686"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切割机</w:t>
            </w:r>
          </w:p>
        </w:tc>
        <w:tc>
          <w:tcPr>
            <w:tcW w:w="1261" w:type="pct"/>
            <w:vAlign w:val="center"/>
          </w:tcPr>
          <w:p w14:paraId="231FD2AA"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85</w:t>
            </w:r>
            <w:r w:rsidRPr="00A964FF">
              <w:rPr>
                <w:rFonts w:ascii="Calibri" w:hint="eastAsia"/>
                <w:color w:val="auto"/>
                <w:szCs w:val="21"/>
              </w:rPr>
              <w:t>～</w:t>
            </w:r>
            <w:r w:rsidRPr="00A964FF">
              <w:rPr>
                <w:rFonts w:ascii="Calibri"/>
                <w:color w:val="auto"/>
                <w:szCs w:val="21"/>
              </w:rPr>
              <w:t>95</w:t>
            </w:r>
          </w:p>
        </w:tc>
        <w:tc>
          <w:tcPr>
            <w:tcW w:w="843" w:type="pct"/>
            <w:vAlign w:val="center"/>
          </w:tcPr>
          <w:p w14:paraId="16E19163"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1</w:t>
            </w:r>
          </w:p>
        </w:tc>
        <w:tc>
          <w:tcPr>
            <w:tcW w:w="843" w:type="pct"/>
            <w:vAlign w:val="center"/>
          </w:tcPr>
          <w:p w14:paraId="66933D55"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88</w:t>
            </w:r>
          </w:p>
        </w:tc>
      </w:tr>
      <w:tr w:rsidR="00070A5E" w:rsidRPr="00A964FF" w14:paraId="3B63A509" w14:textId="77777777" w:rsidTr="00070A5E">
        <w:trPr>
          <w:trHeight w:val="340"/>
          <w:jc w:val="center"/>
        </w:trPr>
        <w:tc>
          <w:tcPr>
            <w:tcW w:w="708" w:type="pct"/>
            <w:vAlign w:val="center"/>
          </w:tcPr>
          <w:p w14:paraId="0338C68B"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10</w:t>
            </w:r>
          </w:p>
        </w:tc>
        <w:tc>
          <w:tcPr>
            <w:tcW w:w="1345" w:type="pct"/>
            <w:vAlign w:val="center"/>
          </w:tcPr>
          <w:p w14:paraId="34256676"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混凝土罐车</w:t>
            </w:r>
          </w:p>
        </w:tc>
        <w:tc>
          <w:tcPr>
            <w:tcW w:w="1261" w:type="pct"/>
            <w:vAlign w:val="center"/>
          </w:tcPr>
          <w:p w14:paraId="19D89DE8"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90</w:t>
            </w:r>
            <w:r w:rsidRPr="00A964FF">
              <w:rPr>
                <w:rFonts w:ascii="Calibri" w:hint="eastAsia"/>
                <w:color w:val="auto"/>
                <w:szCs w:val="21"/>
              </w:rPr>
              <w:t>～</w:t>
            </w:r>
            <w:r w:rsidRPr="00A964FF">
              <w:rPr>
                <w:rFonts w:ascii="Calibri"/>
                <w:color w:val="auto"/>
                <w:szCs w:val="21"/>
              </w:rPr>
              <w:t>100</w:t>
            </w:r>
          </w:p>
        </w:tc>
        <w:tc>
          <w:tcPr>
            <w:tcW w:w="843" w:type="pct"/>
            <w:vAlign w:val="center"/>
          </w:tcPr>
          <w:p w14:paraId="262E7A04"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3</w:t>
            </w:r>
          </w:p>
        </w:tc>
        <w:tc>
          <w:tcPr>
            <w:tcW w:w="843" w:type="pct"/>
            <w:vAlign w:val="center"/>
          </w:tcPr>
          <w:p w14:paraId="600BAFC9"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78</w:t>
            </w:r>
          </w:p>
        </w:tc>
      </w:tr>
      <w:tr w:rsidR="00070A5E" w:rsidRPr="00A964FF" w14:paraId="6202F4D4" w14:textId="77777777" w:rsidTr="00070A5E">
        <w:trPr>
          <w:trHeight w:val="340"/>
          <w:jc w:val="center"/>
        </w:trPr>
        <w:tc>
          <w:tcPr>
            <w:tcW w:w="708" w:type="pct"/>
            <w:vAlign w:val="center"/>
          </w:tcPr>
          <w:p w14:paraId="78BF1D23"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11</w:t>
            </w:r>
          </w:p>
        </w:tc>
        <w:tc>
          <w:tcPr>
            <w:tcW w:w="1345" w:type="pct"/>
            <w:vAlign w:val="center"/>
          </w:tcPr>
          <w:p w14:paraId="56CDC3DF" w14:textId="77777777" w:rsidR="00070A5E" w:rsidRPr="00A964FF" w:rsidRDefault="00070A5E" w:rsidP="00070A5E">
            <w:pPr>
              <w:tabs>
                <w:tab w:val="left" w:pos="567"/>
              </w:tabs>
              <w:snapToGrid w:val="0"/>
              <w:jc w:val="center"/>
              <w:rPr>
                <w:rFonts w:ascii="Calibri"/>
                <w:color w:val="auto"/>
                <w:szCs w:val="21"/>
              </w:rPr>
            </w:pPr>
            <w:r w:rsidRPr="00A964FF">
              <w:rPr>
                <w:rFonts w:ascii="Calibri" w:hint="eastAsia"/>
                <w:color w:val="auto"/>
                <w:szCs w:val="21"/>
              </w:rPr>
              <w:t>运输车辆</w:t>
            </w:r>
          </w:p>
        </w:tc>
        <w:tc>
          <w:tcPr>
            <w:tcW w:w="1261" w:type="pct"/>
            <w:vAlign w:val="center"/>
          </w:tcPr>
          <w:p w14:paraId="2EE01B1A"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90</w:t>
            </w:r>
            <w:r w:rsidRPr="00A964FF">
              <w:rPr>
                <w:rFonts w:ascii="Calibri" w:hint="eastAsia"/>
                <w:color w:val="auto"/>
                <w:szCs w:val="21"/>
              </w:rPr>
              <w:t>～</w:t>
            </w:r>
            <w:r w:rsidRPr="00A964FF">
              <w:rPr>
                <w:rFonts w:ascii="Calibri"/>
                <w:color w:val="auto"/>
                <w:szCs w:val="21"/>
              </w:rPr>
              <w:t>95</w:t>
            </w:r>
          </w:p>
        </w:tc>
        <w:tc>
          <w:tcPr>
            <w:tcW w:w="843" w:type="pct"/>
            <w:vAlign w:val="center"/>
          </w:tcPr>
          <w:p w14:paraId="667C8D29"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w:t>
            </w:r>
          </w:p>
        </w:tc>
        <w:tc>
          <w:tcPr>
            <w:tcW w:w="843" w:type="pct"/>
            <w:vAlign w:val="center"/>
          </w:tcPr>
          <w:p w14:paraId="53403A21" w14:textId="77777777" w:rsidR="00070A5E" w:rsidRPr="00A964FF" w:rsidRDefault="00070A5E" w:rsidP="00070A5E">
            <w:pPr>
              <w:tabs>
                <w:tab w:val="left" w:pos="567"/>
              </w:tabs>
              <w:snapToGrid w:val="0"/>
              <w:jc w:val="center"/>
              <w:rPr>
                <w:rFonts w:ascii="Calibri"/>
                <w:color w:val="auto"/>
                <w:szCs w:val="21"/>
              </w:rPr>
            </w:pPr>
            <w:r w:rsidRPr="00A964FF">
              <w:rPr>
                <w:rFonts w:ascii="Calibri"/>
                <w:color w:val="auto"/>
                <w:szCs w:val="21"/>
              </w:rPr>
              <w:t>/</w:t>
            </w:r>
          </w:p>
        </w:tc>
      </w:tr>
    </w:tbl>
    <w:p w14:paraId="267757FC" w14:textId="77777777" w:rsidR="00070A5E" w:rsidRPr="00A964FF" w:rsidRDefault="00070A5E" w:rsidP="00070A5E">
      <w:pPr>
        <w:pStyle w:val="00"/>
        <w:rPr>
          <w:color w:val="auto"/>
        </w:rPr>
      </w:pPr>
      <w:r w:rsidRPr="00A964FF">
        <w:rPr>
          <w:rFonts w:hint="eastAsia"/>
          <w:color w:val="auto"/>
        </w:rPr>
        <w:t>由上表可知，各类机械施工的噪声级均比较大，加之人为噪声及其它施工声响，若未经妥善的隔声降噪处理，将对周围环境造成较大的影响。</w:t>
      </w:r>
    </w:p>
    <w:p w14:paraId="4B7738C3" w14:textId="77777777" w:rsidR="00070A5E" w:rsidRPr="00A964FF" w:rsidRDefault="00137E14" w:rsidP="00070A5E">
      <w:pPr>
        <w:pStyle w:val="ad"/>
        <w:rPr>
          <w:rFonts w:ascii="Calibri" w:hAnsi="Calibri"/>
          <w:color w:val="auto"/>
          <w:sz w:val="24"/>
        </w:rPr>
      </w:pPr>
      <w:r>
        <w:rPr>
          <w:rFonts w:ascii="Calibri" w:hAnsi="Calibri"/>
          <w:color w:val="auto"/>
        </w:rPr>
        <w:t>2.6</w:t>
      </w:r>
      <w:r w:rsidR="00070A5E" w:rsidRPr="00A964FF">
        <w:rPr>
          <w:rFonts w:ascii="Calibri" w:hAnsi="Calibri"/>
          <w:color w:val="auto"/>
        </w:rPr>
        <w:t>.4</w:t>
      </w:r>
      <w:r w:rsidR="00070A5E" w:rsidRPr="00A964FF">
        <w:rPr>
          <w:rFonts w:ascii="Calibri" w:hAnsi="Calibri" w:hint="eastAsia"/>
          <w:color w:val="auto"/>
        </w:rPr>
        <w:t>固体废物</w:t>
      </w:r>
    </w:p>
    <w:p w14:paraId="37C95EFE" w14:textId="77777777" w:rsidR="00070A5E" w:rsidRPr="00A964FF" w:rsidRDefault="00070A5E" w:rsidP="00070A5E">
      <w:pPr>
        <w:spacing w:line="520" w:lineRule="exact"/>
        <w:ind w:firstLineChars="200" w:firstLine="480"/>
        <w:rPr>
          <w:rFonts w:ascii="Calibri" w:hAnsi="Calibri"/>
          <w:color w:val="auto"/>
          <w:sz w:val="24"/>
        </w:rPr>
      </w:pPr>
      <w:r w:rsidRPr="00A964FF">
        <w:rPr>
          <w:rFonts w:ascii="Calibri" w:hAnsi="Calibri" w:hint="eastAsia"/>
          <w:color w:val="auto"/>
          <w:sz w:val="24"/>
        </w:rPr>
        <w:t>本项目施工活动较为简单，施工期固废主要为施工工程产生的建筑垃圾、弃土、施工人员产生的生活垃圾。</w:t>
      </w:r>
    </w:p>
    <w:p w14:paraId="434DFB0F" w14:textId="77777777" w:rsidR="00070A5E" w:rsidRPr="00A964FF" w:rsidRDefault="00070A5E" w:rsidP="00070A5E">
      <w:pPr>
        <w:spacing w:line="520" w:lineRule="exact"/>
        <w:ind w:firstLineChars="200" w:firstLine="482"/>
        <w:rPr>
          <w:rFonts w:ascii="Calibri" w:hAnsi="Calibri"/>
          <w:b/>
          <w:color w:val="auto"/>
          <w:sz w:val="24"/>
        </w:rPr>
      </w:pPr>
      <w:r w:rsidRPr="00A964FF">
        <w:rPr>
          <w:rFonts w:ascii="Calibri" w:hAnsi="Calibri"/>
          <w:b/>
          <w:color w:val="auto"/>
          <w:sz w:val="24"/>
        </w:rPr>
        <w:t>1</w:t>
      </w:r>
      <w:r w:rsidRPr="00A964FF">
        <w:rPr>
          <w:rFonts w:ascii="Calibri" w:hAnsi="Calibri" w:hint="eastAsia"/>
          <w:b/>
          <w:color w:val="auto"/>
          <w:sz w:val="24"/>
        </w:rPr>
        <w:t>、建筑垃圾</w:t>
      </w:r>
    </w:p>
    <w:p w14:paraId="21A53E8D" w14:textId="77777777" w:rsidR="00070A5E" w:rsidRPr="00A964FF" w:rsidRDefault="00070A5E" w:rsidP="00976BB5">
      <w:pPr>
        <w:spacing w:line="520" w:lineRule="exact"/>
        <w:ind w:firstLine="480"/>
        <w:rPr>
          <w:rFonts w:ascii="Calibri" w:hAnsi="Calibri"/>
          <w:color w:val="auto"/>
          <w:sz w:val="24"/>
        </w:rPr>
      </w:pPr>
      <w:r w:rsidRPr="00A964FF">
        <w:rPr>
          <w:rFonts w:ascii="Calibri" w:hAnsi="Calibri" w:hint="eastAsia"/>
          <w:color w:val="auto"/>
          <w:sz w:val="24"/>
        </w:rPr>
        <w:t>建筑垃圾主要成份为废弃的沙土石、水泥、木屑、碎木块、弃砖、水泥袋、纤维、塑料泡沫、碎玻璃、废金属、废瓷砖等。</w:t>
      </w:r>
      <w:r w:rsidR="00976BB5" w:rsidRPr="00A964FF">
        <w:rPr>
          <w:rFonts w:ascii="Calibri" w:hAnsi="Calibri" w:hint="eastAsia"/>
          <w:color w:val="auto"/>
          <w:sz w:val="24"/>
        </w:rPr>
        <w:t>根据施工量估算，本项目</w:t>
      </w:r>
      <w:r w:rsidRPr="00A964FF">
        <w:rPr>
          <w:rFonts w:ascii="Calibri" w:hAnsi="Calibri" w:hint="eastAsia"/>
          <w:color w:val="auto"/>
          <w:sz w:val="24"/>
        </w:rPr>
        <w:t>施工期建筑垃圾产生量为</w:t>
      </w:r>
      <w:r w:rsidR="00040BEE">
        <w:rPr>
          <w:rFonts w:ascii="Calibri" w:hAnsi="Calibri"/>
          <w:color w:val="auto"/>
          <w:sz w:val="24"/>
        </w:rPr>
        <w:t>8</w:t>
      </w:r>
      <w:r w:rsidR="00976BB5" w:rsidRPr="00A964FF">
        <w:rPr>
          <w:rFonts w:ascii="Calibri" w:hAnsi="Calibri" w:hint="eastAsia"/>
          <w:color w:val="auto"/>
          <w:sz w:val="24"/>
        </w:rPr>
        <w:t>00</w:t>
      </w:r>
      <w:r w:rsidRPr="00A964FF">
        <w:rPr>
          <w:rFonts w:ascii="Calibri" w:hAnsi="Calibri"/>
          <w:color w:val="auto"/>
          <w:sz w:val="24"/>
        </w:rPr>
        <w:t>t</w:t>
      </w:r>
      <w:r w:rsidR="00976BB5" w:rsidRPr="00A964FF">
        <w:rPr>
          <w:rFonts w:ascii="Calibri" w:hAnsi="Calibri" w:hint="eastAsia"/>
          <w:color w:val="auto"/>
          <w:sz w:val="24"/>
        </w:rPr>
        <w:t>。</w:t>
      </w:r>
    </w:p>
    <w:p w14:paraId="5B5D615E" w14:textId="77777777" w:rsidR="00070A5E" w:rsidRPr="00A964FF" w:rsidRDefault="00070A5E" w:rsidP="00070A5E">
      <w:pPr>
        <w:spacing w:line="520" w:lineRule="exact"/>
        <w:ind w:firstLineChars="200" w:firstLine="482"/>
        <w:rPr>
          <w:rFonts w:ascii="Calibri" w:hAnsi="Calibri"/>
          <w:b/>
          <w:color w:val="auto"/>
          <w:sz w:val="24"/>
        </w:rPr>
      </w:pPr>
      <w:r w:rsidRPr="00A964FF">
        <w:rPr>
          <w:rFonts w:ascii="Calibri" w:hAnsi="Calibri"/>
          <w:b/>
          <w:color w:val="auto"/>
          <w:sz w:val="24"/>
        </w:rPr>
        <w:t>2</w:t>
      </w:r>
      <w:r w:rsidRPr="00A964FF">
        <w:rPr>
          <w:rFonts w:ascii="Calibri" w:hAnsi="Calibri" w:hint="eastAsia"/>
          <w:b/>
          <w:color w:val="auto"/>
          <w:sz w:val="24"/>
        </w:rPr>
        <w:t>、弃土</w:t>
      </w:r>
    </w:p>
    <w:p w14:paraId="286D2B31" w14:textId="77777777" w:rsidR="00070A5E" w:rsidRPr="00A964FF" w:rsidRDefault="00070A5E" w:rsidP="00070A5E">
      <w:pPr>
        <w:spacing w:line="520" w:lineRule="exact"/>
        <w:ind w:firstLineChars="200" w:firstLine="480"/>
        <w:rPr>
          <w:rFonts w:ascii="Calibri" w:hAnsi="Calibri"/>
          <w:color w:val="auto"/>
          <w:sz w:val="24"/>
        </w:rPr>
      </w:pPr>
      <w:r w:rsidRPr="00A964FF">
        <w:rPr>
          <w:rFonts w:ascii="Calibri" w:hAnsi="Calibri" w:hint="eastAsia"/>
          <w:color w:val="auto"/>
          <w:sz w:val="24"/>
        </w:rPr>
        <w:t>本项目选址位于</w:t>
      </w:r>
      <w:r w:rsidR="00976BB5" w:rsidRPr="00A964FF">
        <w:rPr>
          <w:rFonts w:ascii="Calibri" w:hAnsi="Calibri" w:hint="eastAsia"/>
          <w:color w:val="auto"/>
          <w:sz w:val="24"/>
        </w:rPr>
        <w:t>平顶山尼龙新材料产业集聚区</w:t>
      </w:r>
      <w:r w:rsidRPr="00A964FF">
        <w:rPr>
          <w:rFonts w:ascii="Calibri" w:hAnsi="Calibri" w:hint="eastAsia"/>
          <w:color w:val="auto"/>
          <w:sz w:val="24"/>
        </w:rPr>
        <w:t>，</w:t>
      </w:r>
      <w:r w:rsidR="00976BB5" w:rsidRPr="00A964FF">
        <w:rPr>
          <w:rFonts w:ascii="Calibri" w:hAnsi="Calibri" w:hint="eastAsia"/>
          <w:color w:val="auto"/>
          <w:sz w:val="24"/>
        </w:rPr>
        <w:t>地势平坦，</w:t>
      </w:r>
      <w:r w:rsidRPr="00A964FF">
        <w:rPr>
          <w:rFonts w:ascii="Calibri" w:hAnsi="Calibri" w:hint="eastAsia"/>
          <w:color w:val="auto"/>
          <w:sz w:val="24"/>
        </w:rPr>
        <w:t>施工过程中开挖的土方全部用于厂区土地的平整，整个施工期无弃土外运。</w:t>
      </w:r>
    </w:p>
    <w:p w14:paraId="7F1EBAAF" w14:textId="77777777" w:rsidR="00070A5E" w:rsidRPr="00A964FF" w:rsidRDefault="00070A5E" w:rsidP="00070A5E">
      <w:pPr>
        <w:spacing w:line="520" w:lineRule="exact"/>
        <w:ind w:firstLineChars="200" w:firstLine="482"/>
        <w:rPr>
          <w:rFonts w:ascii="Calibri" w:hAnsi="Calibri"/>
          <w:b/>
          <w:color w:val="auto"/>
          <w:sz w:val="24"/>
        </w:rPr>
      </w:pPr>
      <w:r w:rsidRPr="00A964FF">
        <w:rPr>
          <w:rFonts w:ascii="Calibri" w:hAnsi="Calibri"/>
          <w:b/>
          <w:color w:val="auto"/>
          <w:sz w:val="24"/>
        </w:rPr>
        <w:t>3</w:t>
      </w:r>
      <w:r w:rsidRPr="00A964FF">
        <w:rPr>
          <w:rFonts w:ascii="Calibri" w:hAnsi="Calibri" w:hint="eastAsia"/>
          <w:b/>
          <w:color w:val="auto"/>
          <w:sz w:val="24"/>
        </w:rPr>
        <w:t>、生活垃圾</w:t>
      </w:r>
    </w:p>
    <w:p w14:paraId="58ECBB24" w14:textId="77777777" w:rsidR="000D53E8" w:rsidRPr="007430A4" w:rsidRDefault="00070A5E" w:rsidP="007430A4">
      <w:pPr>
        <w:spacing w:line="520" w:lineRule="exact"/>
        <w:ind w:firstLineChars="200" w:firstLine="480"/>
        <w:rPr>
          <w:rFonts w:ascii="Calibri" w:hAnsi="Calibri"/>
          <w:color w:val="auto"/>
          <w:sz w:val="24"/>
        </w:rPr>
      </w:pPr>
      <w:r w:rsidRPr="00A964FF">
        <w:rPr>
          <w:rFonts w:ascii="Calibri" w:hAnsi="Calibri" w:hint="eastAsia"/>
          <w:color w:val="auto"/>
          <w:sz w:val="24"/>
        </w:rPr>
        <w:t>本项目施工期平均施工人员</w:t>
      </w:r>
      <w:r w:rsidR="00E67FE3">
        <w:rPr>
          <w:rFonts w:ascii="Calibri" w:hAnsi="Calibri" w:hint="eastAsia"/>
          <w:color w:val="auto"/>
          <w:sz w:val="24"/>
        </w:rPr>
        <w:t>1</w:t>
      </w:r>
      <w:r w:rsidR="00976BB5" w:rsidRPr="00A964FF">
        <w:rPr>
          <w:rFonts w:ascii="Calibri" w:hAnsi="Calibri" w:hint="eastAsia"/>
          <w:color w:val="auto"/>
          <w:sz w:val="24"/>
        </w:rPr>
        <w:t>00</w:t>
      </w:r>
      <w:r w:rsidRPr="00A964FF">
        <w:rPr>
          <w:rFonts w:ascii="Calibri" w:hAnsi="Calibri" w:hint="eastAsia"/>
          <w:color w:val="auto"/>
          <w:sz w:val="24"/>
        </w:rPr>
        <w:t>人，施工人员生活垃圾产生量按</w:t>
      </w:r>
      <w:r w:rsidRPr="00A964FF">
        <w:rPr>
          <w:rFonts w:ascii="Calibri" w:hAnsi="Calibri"/>
          <w:color w:val="auto"/>
          <w:sz w:val="24"/>
        </w:rPr>
        <w:t>0.5kg/</w:t>
      </w:r>
      <w:r w:rsidRPr="00A964FF">
        <w:rPr>
          <w:rFonts w:ascii="Calibri" w:hAnsi="Calibri" w:hint="eastAsia"/>
          <w:color w:val="auto"/>
          <w:sz w:val="24"/>
        </w:rPr>
        <w:t>人</w:t>
      </w:r>
      <w:r w:rsidRPr="00A964FF">
        <w:rPr>
          <w:rFonts w:ascii="Calibri" w:hAnsi="Calibri"/>
          <w:color w:val="auto"/>
          <w:sz w:val="24"/>
        </w:rPr>
        <w:t>·d</w:t>
      </w:r>
      <w:r w:rsidRPr="00A964FF">
        <w:rPr>
          <w:rFonts w:ascii="Calibri" w:hAnsi="Calibri" w:hint="eastAsia"/>
          <w:color w:val="auto"/>
          <w:sz w:val="24"/>
        </w:rPr>
        <w:t>计，则生活垃圾产生量为</w:t>
      </w:r>
      <w:r w:rsidR="00976BB5" w:rsidRPr="00A964FF">
        <w:rPr>
          <w:rFonts w:ascii="Calibri" w:hAnsi="Calibri" w:hint="eastAsia"/>
          <w:color w:val="auto"/>
          <w:sz w:val="24"/>
        </w:rPr>
        <w:t>50</w:t>
      </w:r>
      <w:r w:rsidRPr="00A964FF">
        <w:rPr>
          <w:rFonts w:ascii="Calibri" w:hAnsi="Calibri"/>
          <w:color w:val="auto"/>
          <w:sz w:val="24"/>
        </w:rPr>
        <w:t>kg/d</w:t>
      </w:r>
      <w:r w:rsidRPr="00A964FF">
        <w:rPr>
          <w:rFonts w:ascii="Calibri" w:hAnsi="Calibri" w:hint="eastAsia"/>
          <w:color w:val="auto"/>
          <w:sz w:val="24"/>
        </w:rPr>
        <w:t>，整个施工期生活垃圾产生量为</w:t>
      </w:r>
      <w:r w:rsidR="00E67FE3">
        <w:rPr>
          <w:rFonts w:ascii="Calibri" w:hAnsi="Calibri" w:hint="eastAsia"/>
          <w:color w:val="auto"/>
          <w:sz w:val="24"/>
        </w:rPr>
        <w:t>15</w:t>
      </w:r>
      <w:r w:rsidRPr="00A964FF">
        <w:rPr>
          <w:rFonts w:ascii="Calibri" w:hAnsi="Calibri"/>
          <w:color w:val="auto"/>
          <w:sz w:val="24"/>
        </w:rPr>
        <w:t>t</w:t>
      </w:r>
      <w:r w:rsidRPr="00A964FF">
        <w:rPr>
          <w:rFonts w:ascii="Calibri" w:hAnsi="Calibri" w:hint="eastAsia"/>
          <w:color w:val="auto"/>
          <w:sz w:val="24"/>
        </w:rPr>
        <w:t>，厂区收集后应及时送集聚区垃圾中转站，</w:t>
      </w:r>
      <w:r w:rsidR="00E81A41" w:rsidRPr="00A964FF">
        <w:rPr>
          <w:rFonts w:ascii="Calibri" w:hAnsi="Calibri" w:hint="eastAsia"/>
          <w:color w:val="auto"/>
          <w:sz w:val="24"/>
        </w:rPr>
        <w:t>由</w:t>
      </w:r>
      <w:r w:rsidR="00260CDA" w:rsidRPr="00A964FF">
        <w:rPr>
          <w:rFonts w:ascii="Calibri" w:hAnsi="Calibri" w:hint="eastAsia"/>
          <w:color w:val="auto"/>
          <w:sz w:val="24"/>
        </w:rPr>
        <w:t>环卫部门集中清运并合理处置</w:t>
      </w:r>
      <w:r w:rsidRPr="00A964FF">
        <w:rPr>
          <w:rFonts w:ascii="Calibri" w:hAnsi="Calibri" w:hint="eastAsia"/>
          <w:color w:val="auto"/>
          <w:sz w:val="24"/>
        </w:rPr>
        <w:t>。</w:t>
      </w:r>
    </w:p>
    <w:p w14:paraId="1CBC8467" w14:textId="77777777" w:rsidR="000A2242" w:rsidRDefault="000A2242" w:rsidP="00070A5E">
      <w:pPr>
        <w:pStyle w:val="ad"/>
        <w:rPr>
          <w:rFonts w:ascii="Calibri" w:hAnsi="Calibri"/>
          <w:color w:val="auto"/>
        </w:rPr>
      </w:pPr>
    </w:p>
    <w:p w14:paraId="0CD43FC1" w14:textId="18DACB78" w:rsidR="00070A5E" w:rsidRPr="00A964FF" w:rsidRDefault="00137E14" w:rsidP="00070A5E">
      <w:pPr>
        <w:pStyle w:val="ad"/>
        <w:rPr>
          <w:rFonts w:ascii="Calibri" w:hAnsi="Calibri"/>
          <w:color w:val="auto"/>
        </w:rPr>
      </w:pPr>
      <w:r>
        <w:rPr>
          <w:rFonts w:ascii="Calibri" w:hAnsi="Calibri"/>
          <w:color w:val="auto"/>
        </w:rPr>
        <w:lastRenderedPageBreak/>
        <w:t>2.6</w:t>
      </w:r>
      <w:r w:rsidR="00070A5E" w:rsidRPr="00A964FF">
        <w:rPr>
          <w:rFonts w:ascii="Calibri" w:hAnsi="Calibri"/>
          <w:color w:val="auto"/>
        </w:rPr>
        <w:t>.5</w:t>
      </w:r>
      <w:r w:rsidR="00070A5E" w:rsidRPr="00A964FF">
        <w:rPr>
          <w:rFonts w:ascii="Calibri" w:hAnsi="Calibri" w:hint="eastAsia"/>
          <w:color w:val="auto"/>
        </w:rPr>
        <w:t>生态环境</w:t>
      </w:r>
    </w:p>
    <w:p w14:paraId="459E8343" w14:textId="77777777" w:rsidR="00070A5E" w:rsidRPr="00A964FF" w:rsidRDefault="00070A5E" w:rsidP="00070A5E">
      <w:pPr>
        <w:pStyle w:val="00"/>
        <w:rPr>
          <w:rFonts w:ascii="Calibri" w:hAnsi="Calibri"/>
          <w:color w:val="auto"/>
        </w:rPr>
      </w:pPr>
      <w:r w:rsidRPr="00A964FF">
        <w:rPr>
          <w:rFonts w:ascii="Calibri" w:hAnsi="Calibri" w:hint="eastAsia"/>
          <w:color w:val="auto"/>
        </w:rPr>
        <w:t>（</w:t>
      </w:r>
      <w:r w:rsidRPr="00A964FF">
        <w:rPr>
          <w:rFonts w:ascii="Calibri" w:hAnsi="Calibri"/>
          <w:color w:val="auto"/>
        </w:rPr>
        <w:t>1</w:t>
      </w:r>
      <w:r w:rsidRPr="00A964FF">
        <w:rPr>
          <w:rFonts w:ascii="Calibri" w:hAnsi="Calibri" w:hint="eastAsia"/>
          <w:color w:val="auto"/>
        </w:rPr>
        <w:t>）生态现状</w:t>
      </w:r>
    </w:p>
    <w:p w14:paraId="6D1E8B5C" w14:textId="77777777" w:rsidR="00070A5E" w:rsidRPr="00E67FE3" w:rsidRDefault="00070A5E" w:rsidP="00E67FE3">
      <w:pPr>
        <w:pStyle w:val="00"/>
        <w:rPr>
          <w:color w:val="auto"/>
        </w:rPr>
      </w:pPr>
      <w:r w:rsidRPr="00A964FF">
        <w:rPr>
          <w:rFonts w:ascii="Calibri" w:hAnsi="Calibri" w:hint="eastAsia"/>
          <w:color w:val="auto"/>
        </w:rPr>
        <w:t>本项目位于平顶山尼龙新材料产业集聚区</w:t>
      </w:r>
      <w:r w:rsidR="00976BB5" w:rsidRPr="00A964FF">
        <w:rPr>
          <w:rFonts w:hint="eastAsia"/>
          <w:color w:val="auto"/>
        </w:rPr>
        <w:t>，用地现状为</w:t>
      </w:r>
      <w:r w:rsidR="00137E14">
        <w:rPr>
          <w:rFonts w:ascii="Calibri" w:hAnsi="Calibri" w:hint="eastAsia"/>
          <w:color w:val="auto"/>
        </w:rPr>
        <w:t>空地</w:t>
      </w:r>
      <w:r w:rsidR="00976BB5" w:rsidRPr="00A964FF">
        <w:rPr>
          <w:rFonts w:hint="eastAsia"/>
          <w:color w:val="auto"/>
        </w:rPr>
        <w:t>，地表植被较为简单，主要为季节性草灌</w:t>
      </w:r>
      <w:r w:rsidRPr="00A964FF">
        <w:rPr>
          <w:rFonts w:hint="eastAsia"/>
          <w:color w:val="auto"/>
        </w:rPr>
        <w:t>。</w:t>
      </w:r>
      <w:r w:rsidRPr="00A964FF">
        <w:rPr>
          <w:rFonts w:ascii="Calibri" w:hAnsi="Calibri" w:hint="eastAsia"/>
          <w:color w:val="auto"/>
        </w:rPr>
        <w:t>受人为活动影响，项目区域动物数量较少，主要为当地常见的鸟类、鼠类和昆虫等。</w:t>
      </w:r>
    </w:p>
    <w:p w14:paraId="47D54973" w14:textId="77777777" w:rsidR="00070A5E" w:rsidRPr="00A964FF" w:rsidRDefault="00070A5E" w:rsidP="00070A5E">
      <w:pPr>
        <w:spacing w:line="520" w:lineRule="exac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color w:val="auto"/>
          <w:sz w:val="24"/>
        </w:rPr>
        <w:t>2</w:t>
      </w:r>
      <w:r w:rsidRPr="00A964FF">
        <w:rPr>
          <w:rFonts w:ascii="Calibri" w:hAnsi="Calibri" w:hint="eastAsia"/>
          <w:color w:val="auto"/>
          <w:sz w:val="24"/>
        </w:rPr>
        <w:t>）水土流失</w:t>
      </w:r>
    </w:p>
    <w:p w14:paraId="5C6F9286" w14:textId="77777777" w:rsidR="00070A5E" w:rsidRPr="00A964FF" w:rsidRDefault="00070A5E" w:rsidP="00070A5E">
      <w:pPr>
        <w:spacing w:line="520" w:lineRule="exact"/>
        <w:ind w:firstLineChars="200" w:firstLine="480"/>
        <w:rPr>
          <w:rFonts w:ascii="Calibri" w:hAnsi="Calibri"/>
          <w:color w:val="auto"/>
          <w:sz w:val="24"/>
        </w:rPr>
      </w:pPr>
      <w:r w:rsidRPr="00A964FF">
        <w:rPr>
          <w:rFonts w:ascii="Calibri" w:hAnsi="Calibri" w:hint="eastAsia"/>
          <w:color w:val="auto"/>
          <w:sz w:val="24"/>
        </w:rPr>
        <w:t>本项目施工期间开挖地基、平整场地等施工活动，需要进行土方开挖，并且开挖面较大，在开挖土方和临时堆存处会产生水土流失的现象。在项目施工活动中造成水土流失的因素较多，主要包括降雨、土壤、植被、地形地貌等自然因素以及工程施工等人为因素。就本项目而言，产生水土流失的主要因素是降雨和工程施工。在降雨条件下，工程施工开挖的土石方会导致一定量的水土流失。</w:t>
      </w:r>
    </w:p>
    <w:p w14:paraId="3F54FF0A" w14:textId="77777777" w:rsidR="0055605A" w:rsidRPr="00A964FF" w:rsidRDefault="0055605A" w:rsidP="0055605A">
      <w:pPr>
        <w:pStyle w:val="1e"/>
        <w:rPr>
          <w:color w:val="auto"/>
        </w:rPr>
      </w:pPr>
      <w:r w:rsidRPr="00A964FF">
        <w:rPr>
          <w:color w:val="auto"/>
          <w:sz w:val="24"/>
        </w:rPr>
        <w:br w:type="page"/>
      </w:r>
      <w:bookmarkStart w:id="50" w:name="_Toc447804117"/>
      <w:bookmarkStart w:id="51" w:name="_Toc112999910"/>
      <w:r w:rsidRPr="00A964FF">
        <w:rPr>
          <w:color w:val="auto"/>
        </w:rPr>
        <w:lastRenderedPageBreak/>
        <w:t>第</w:t>
      </w:r>
      <w:r w:rsidRPr="00A964FF">
        <w:rPr>
          <w:rFonts w:hint="eastAsia"/>
          <w:color w:val="auto"/>
        </w:rPr>
        <w:t>三</w:t>
      </w:r>
      <w:r w:rsidRPr="00A964FF">
        <w:rPr>
          <w:color w:val="auto"/>
        </w:rPr>
        <w:t>章</w:t>
      </w:r>
      <w:r w:rsidRPr="00A964FF">
        <w:rPr>
          <w:color w:val="auto"/>
        </w:rPr>
        <w:t xml:space="preserve">    </w:t>
      </w:r>
      <w:bookmarkEnd w:id="50"/>
      <w:r w:rsidRPr="00A964FF">
        <w:rPr>
          <w:rFonts w:hint="eastAsia"/>
          <w:color w:val="auto"/>
        </w:rPr>
        <w:t>环境现状调查与评价</w:t>
      </w:r>
      <w:bookmarkEnd w:id="51"/>
    </w:p>
    <w:p w14:paraId="3AC8ECBD" w14:textId="77777777" w:rsidR="0055605A" w:rsidRPr="00A964FF" w:rsidRDefault="0055605A" w:rsidP="0055605A">
      <w:pPr>
        <w:pStyle w:val="2"/>
        <w:spacing w:before="200" w:after="100" w:line="520" w:lineRule="exact"/>
        <w:rPr>
          <w:rFonts w:ascii="Calibri" w:hAnsi="Calibri"/>
          <w:bCs/>
          <w:color w:val="auto"/>
          <w:szCs w:val="28"/>
        </w:rPr>
      </w:pPr>
      <w:bookmarkStart w:id="52" w:name="_Toc447804118"/>
      <w:bookmarkStart w:id="53" w:name="_Toc112999911"/>
      <w:r w:rsidRPr="00552DA1">
        <w:rPr>
          <w:rFonts w:ascii="Calibri" w:hAnsi="Calibri" w:hint="eastAsia"/>
          <w:bCs/>
          <w:color w:val="auto"/>
          <w:szCs w:val="28"/>
        </w:rPr>
        <w:t>3</w:t>
      </w:r>
      <w:r w:rsidRPr="00552DA1">
        <w:rPr>
          <w:rFonts w:ascii="Calibri" w:hAnsi="Calibri"/>
          <w:bCs/>
          <w:color w:val="auto"/>
          <w:szCs w:val="28"/>
        </w:rPr>
        <w:t>.</w:t>
      </w:r>
      <w:r w:rsidRPr="00552DA1">
        <w:rPr>
          <w:rFonts w:ascii="Calibri" w:hAnsi="Calibri" w:hint="eastAsia"/>
          <w:bCs/>
          <w:color w:val="auto"/>
          <w:szCs w:val="28"/>
        </w:rPr>
        <w:t>1</w:t>
      </w:r>
      <w:bookmarkEnd w:id="52"/>
      <w:r w:rsidRPr="00552DA1">
        <w:rPr>
          <w:rFonts w:ascii="Calibri" w:hAnsi="Calibri" w:hint="eastAsia"/>
          <w:bCs/>
          <w:color w:val="auto"/>
          <w:szCs w:val="28"/>
        </w:rPr>
        <w:t>自然环境现状调查</w:t>
      </w:r>
      <w:bookmarkEnd w:id="53"/>
    </w:p>
    <w:p w14:paraId="492EDAC9" w14:textId="77777777" w:rsidR="0055605A" w:rsidRPr="00A964FF" w:rsidRDefault="0055605A" w:rsidP="0055605A">
      <w:pPr>
        <w:pStyle w:val="ad"/>
        <w:rPr>
          <w:rFonts w:ascii="Calibri" w:hAnsi="Calibri"/>
          <w:color w:val="auto"/>
        </w:rPr>
      </w:pPr>
      <w:r w:rsidRPr="00A964FF">
        <w:rPr>
          <w:rFonts w:ascii="Calibri" w:hAnsi="Calibri" w:hint="eastAsia"/>
          <w:color w:val="auto"/>
        </w:rPr>
        <w:t>3.1.1</w:t>
      </w:r>
      <w:r w:rsidRPr="00A964FF">
        <w:rPr>
          <w:rFonts w:ascii="Calibri" w:hAnsi="Calibri" w:hint="eastAsia"/>
          <w:color w:val="auto"/>
        </w:rPr>
        <w:t>地理位置</w:t>
      </w:r>
    </w:p>
    <w:p w14:paraId="258C3FD7" w14:textId="77777777" w:rsidR="00F57EE0" w:rsidRPr="00A964FF" w:rsidRDefault="00F57EE0" w:rsidP="00F57EE0">
      <w:pPr>
        <w:spacing w:line="520" w:lineRule="exact"/>
        <w:ind w:firstLineChars="200" w:firstLine="480"/>
        <w:rPr>
          <w:rFonts w:ascii="Calibri" w:hAnsi="Calibri"/>
          <w:color w:val="auto"/>
          <w:sz w:val="24"/>
        </w:rPr>
      </w:pPr>
      <w:r w:rsidRPr="00A964FF">
        <w:rPr>
          <w:rFonts w:ascii="Calibri" w:hAnsi="Calibri"/>
          <w:color w:val="auto"/>
          <w:sz w:val="24"/>
        </w:rPr>
        <w:t>叶县地处河南省中南部，地处东经</w:t>
      </w:r>
      <w:r w:rsidRPr="00A964FF">
        <w:rPr>
          <w:rFonts w:ascii="Calibri" w:hAnsi="Calibri"/>
          <w:color w:val="auto"/>
          <w:sz w:val="24"/>
        </w:rPr>
        <w:t>113°02′</w:t>
      </w:r>
      <w:r w:rsidRPr="00A964FF">
        <w:rPr>
          <w:rFonts w:ascii="Calibri" w:hAnsi="Calibri"/>
          <w:color w:val="auto"/>
          <w:sz w:val="24"/>
        </w:rPr>
        <w:t>～</w:t>
      </w:r>
      <w:r w:rsidRPr="00A964FF">
        <w:rPr>
          <w:rFonts w:ascii="Calibri" w:hAnsi="Calibri"/>
          <w:color w:val="auto"/>
          <w:sz w:val="24"/>
        </w:rPr>
        <w:t>113°37′</w:t>
      </w:r>
      <w:r w:rsidRPr="00A964FF">
        <w:rPr>
          <w:rFonts w:ascii="Calibri" w:hAnsi="Calibri"/>
          <w:color w:val="auto"/>
          <w:sz w:val="24"/>
        </w:rPr>
        <w:t>，北纬</w:t>
      </w:r>
      <w:r w:rsidRPr="00A964FF">
        <w:rPr>
          <w:rFonts w:ascii="Calibri" w:hAnsi="Calibri"/>
          <w:color w:val="auto"/>
          <w:sz w:val="24"/>
        </w:rPr>
        <w:t>33°21′</w:t>
      </w:r>
      <w:r w:rsidRPr="00A964FF">
        <w:rPr>
          <w:rFonts w:ascii="Calibri" w:hAnsi="Calibri"/>
          <w:color w:val="auto"/>
          <w:sz w:val="24"/>
        </w:rPr>
        <w:t>～</w:t>
      </w:r>
      <w:r w:rsidRPr="00A964FF">
        <w:rPr>
          <w:rFonts w:ascii="Calibri" w:hAnsi="Calibri"/>
          <w:color w:val="auto"/>
          <w:sz w:val="24"/>
        </w:rPr>
        <w:t>33°26′</w:t>
      </w:r>
      <w:r w:rsidRPr="00A964FF">
        <w:rPr>
          <w:rFonts w:ascii="Calibri" w:hAnsi="Calibri"/>
          <w:color w:val="auto"/>
          <w:sz w:val="24"/>
        </w:rPr>
        <w:t>，隶属于平顶山市，东与舞钢市、漯河市的舞阳县毗邻，南与南阳市的方城县接壤，西交鲁山，北与许昌市的襄城县、平顶山市市区紧连，东西平均长</w:t>
      </w:r>
      <w:r w:rsidRPr="00A964FF">
        <w:rPr>
          <w:rFonts w:ascii="Calibri" w:hAnsi="Calibri"/>
          <w:color w:val="auto"/>
          <w:sz w:val="24"/>
        </w:rPr>
        <w:t>54.5km</w:t>
      </w:r>
      <w:r w:rsidRPr="00A964FF">
        <w:rPr>
          <w:rFonts w:ascii="Calibri" w:hAnsi="Calibri"/>
          <w:color w:val="auto"/>
          <w:sz w:val="24"/>
        </w:rPr>
        <w:t>，南北平均宽</w:t>
      </w:r>
      <w:r w:rsidRPr="00A964FF">
        <w:rPr>
          <w:rFonts w:ascii="Calibri" w:hAnsi="Calibri"/>
          <w:color w:val="auto"/>
          <w:sz w:val="24"/>
        </w:rPr>
        <w:t>46.7km</w:t>
      </w:r>
      <w:r w:rsidRPr="00A964FF">
        <w:rPr>
          <w:rFonts w:ascii="Calibri" w:hAnsi="Calibri"/>
          <w:color w:val="auto"/>
          <w:sz w:val="24"/>
        </w:rPr>
        <w:t>，总面积</w:t>
      </w:r>
      <w:r w:rsidRPr="00A964FF">
        <w:rPr>
          <w:rFonts w:ascii="Calibri" w:hAnsi="Calibri"/>
          <w:color w:val="auto"/>
          <w:sz w:val="24"/>
        </w:rPr>
        <w:t>1373.3km</w:t>
      </w:r>
      <w:r w:rsidRPr="00A964FF">
        <w:rPr>
          <w:rFonts w:ascii="Calibri" w:hAnsi="Calibri"/>
          <w:color w:val="auto"/>
          <w:sz w:val="24"/>
          <w:vertAlign w:val="superscript"/>
        </w:rPr>
        <w:t>2</w:t>
      </w:r>
      <w:r w:rsidRPr="00A964FF">
        <w:rPr>
          <w:rFonts w:ascii="Calibri" w:hAnsi="Calibri"/>
          <w:color w:val="auto"/>
          <w:sz w:val="24"/>
        </w:rPr>
        <w:t>。境内交通便利，平舞铁路自境内通过，新建的许（昌）平（顶山）南（阳）高速公路、漯平洛高速公路在叶县交叉，许南公路贯穿南北，公路交通形成网路。</w:t>
      </w:r>
    </w:p>
    <w:p w14:paraId="1079E763" w14:textId="77777777" w:rsidR="00FD6BA4" w:rsidRDefault="00FD6BA4" w:rsidP="00FD6BA4">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平顶山尼龙新材料产业集聚区（原名平顶山化工产业集聚区、平顶山化工城）位于叶县县城东北部，</w:t>
      </w:r>
      <w:r w:rsidRPr="00856B06">
        <w:rPr>
          <w:rFonts w:ascii="Calibri" w:hAnsi="Calibri" w:hint="eastAsia"/>
          <w:bCs/>
          <w:color w:val="auto"/>
          <w:sz w:val="24"/>
        </w:rPr>
        <w:t>东至</w:t>
      </w:r>
      <w:r w:rsidRPr="00856B06">
        <w:rPr>
          <w:rFonts w:ascii="Calibri" w:hAnsi="Calibri" w:hint="eastAsia"/>
          <w:bCs/>
          <w:color w:val="auto"/>
          <w:sz w:val="24"/>
        </w:rPr>
        <w:t>G234</w:t>
      </w:r>
      <w:r w:rsidRPr="00856B06">
        <w:rPr>
          <w:rFonts w:ascii="Calibri" w:hAnsi="Calibri" w:hint="eastAsia"/>
          <w:bCs/>
          <w:color w:val="auto"/>
          <w:sz w:val="24"/>
        </w:rPr>
        <w:t>兴阳线平顶山市区段，西至希望大道，北至沙河一路，南至龚店镇南，规划面积</w:t>
      </w:r>
      <w:r>
        <w:rPr>
          <w:rFonts w:ascii="Calibri" w:hAnsi="Calibri" w:hint="eastAsia"/>
          <w:bCs/>
          <w:color w:val="auto"/>
          <w:sz w:val="24"/>
        </w:rPr>
        <w:t>25</w:t>
      </w:r>
      <w:r w:rsidRPr="00856B06">
        <w:rPr>
          <w:rFonts w:ascii="Calibri" w:hAnsi="Calibri" w:hint="eastAsia"/>
          <w:bCs/>
          <w:color w:val="auto"/>
          <w:sz w:val="24"/>
        </w:rPr>
        <w:t>平方公里。</w:t>
      </w:r>
    </w:p>
    <w:p w14:paraId="2FAE70FF" w14:textId="77777777" w:rsidR="00F57EE0" w:rsidRPr="00A964FF" w:rsidRDefault="00F57EE0" w:rsidP="00F57EE0">
      <w:pPr>
        <w:pStyle w:val="00"/>
        <w:ind w:firstLine="482"/>
        <w:rPr>
          <w:rFonts w:ascii="Calibri" w:hAnsi="Calibri"/>
          <w:color w:val="auto"/>
        </w:rPr>
      </w:pPr>
      <w:r w:rsidRPr="00A964FF">
        <w:rPr>
          <w:rFonts w:ascii="Calibri" w:hAnsi="Times New Roman" w:hint="eastAsia"/>
          <w:color w:val="auto"/>
        </w:rPr>
        <w:t>本项目位于平顶山尼龙新材料产业集聚区，具体位置见附图一。</w:t>
      </w:r>
    </w:p>
    <w:p w14:paraId="5231AAAC" w14:textId="77777777" w:rsidR="0055605A" w:rsidRPr="00A964FF" w:rsidRDefault="0055605A" w:rsidP="00A3000E">
      <w:pPr>
        <w:pStyle w:val="ad"/>
        <w:rPr>
          <w:rFonts w:ascii="Calibri" w:hAnsi="Calibri"/>
          <w:color w:val="auto"/>
        </w:rPr>
      </w:pPr>
      <w:r w:rsidRPr="00A964FF">
        <w:rPr>
          <w:rFonts w:ascii="Calibri" w:hAnsi="Calibri" w:hint="eastAsia"/>
          <w:color w:val="auto"/>
        </w:rPr>
        <w:t>3.1.2</w:t>
      </w:r>
      <w:r w:rsidRPr="00A964FF">
        <w:rPr>
          <w:rFonts w:ascii="Calibri" w:hAnsi="Calibri" w:hint="eastAsia"/>
          <w:color w:val="auto"/>
        </w:rPr>
        <w:t>地形地貌</w:t>
      </w:r>
    </w:p>
    <w:p w14:paraId="566D5FA0" w14:textId="77777777" w:rsidR="00F57EE0" w:rsidRPr="00A964FF" w:rsidRDefault="00F57EE0" w:rsidP="00F57EE0">
      <w:pPr>
        <w:spacing w:line="520" w:lineRule="exact"/>
        <w:ind w:firstLineChars="200" w:firstLine="480"/>
        <w:rPr>
          <w:rFonts w:ascii="Calibri" w:hAnsi="Calibri"/>
          <w:color w:val="auto"/>
          <w:sz w:val="24"/>
        </w:rPr>
      </w:pPr>
      <w:r w:rsidRPr="00A964FF">
        <w:rPr>
          <w:rFonts w:ascii="Calibri" w:hAnsi="Calibri" w:hint="eastAsia"/>
          <w:color w:val="auto"/>
          <w:sz w:val="24"/>
        </w:rPr>
        <w:t>叶县地势为西南高、东北低，两端相对高差</w:t>
      </w:r>
      <w:r w:rsidRPr="00A964FF">
        <w:rPr>
          <w:rFonts w:ascii="Calibri" w:hAnsi="Calibri" w:hint="eastAsia"/>
          <w:color w:val="auto"/>
          <w:sz w:val="24"/>
        </w:rPr>
        <w:t>580m</w:t>
      </w:r>
      <w:r w:rsidRPr="00A964FF">
        <w:rPr>
          <w:rFonts w:ascii="Calibri" w:hAnsi="Calibri" w:hint="eastAsia"/>
          <w:color w:val="auto"/>
          <w:sz w:val="24"/>
        </w:rPr>
        <w:t>，自西南向东北缓坡倾斜，为伏牛山前倾斜平原。境内大小山</w:t>
      </w:r>
      <w:r w:rsidRPr="00A964FF">
        <w:rPr>
          <w:rFonts w:ascii="Calibri" w:hAnsi="Calibri" w:hint="eastAsia"/>
          <w:color w:val="auto"/>
          <w:sz w:val="24"/>
        </w:rPr>
        <w:t>200</w:t>
      </w:r>
      <w:r w:rsidRPr="00A964FF">
        <w:rPr>
          <w:rFonts w:ascii="Calibri" w:hAnsi="Calibri" w:hint="eastAsia"/>
          <w:color w:val="auto"/>
          <w:sz w:val="24"/>
        </w:rPr>
        <w:t>余架，最高的老青山主峰海拔</w:t>
      </w:r>
      <w:r w:rsidRPr="00A964FF">
        <w:rPr>
          <w:rFonts w:ascii="Calibri" w:hAnsi="Calibri" w:hint="eastAsia"/>
          <w:color w:val="auto"/>
          <w:sz w:val="24"/>
        </w:rPr>
        <w:t>650.2m</w:t>
      </w:r>
      <w:r w:rsidRPr="00A964FF">
        <w:rPr>
          <w:rFonts w:ascii="Calibri" w:hAnsi="Calibri" w:hint="eastAsia"/>
          <w:color w:val="auto"/>
          <w:sz w:val="24"/>
        </w:rPr>
        <w:t>，是叶县与方城、鲁山两县的界山；最低的惊羊山海拔</w:t>
      </w:r>
      <w:r w:rsidRPr="00A964FF">
        <w:rPr>
          <w:rFonts w:ascii="Calibri" w:hAnsi="Calibri" w:hint="eastAsia"/>
          <w:color w:val="auto"/>
          <w:sz w:val="24"/>
        </w:rPr>
        <w:t>96.5m</w:t>
      </w:r>
      <w:r w:rsidRPr="00A964FF">
        <w:rPr>
          <w:rFonts w:ascii="Calibri" w:hAnsi="Calibri" w:hint="eastAsia"/>
          <w:color w:val="auto"/>
          <w:sz w:val="24"/>
        </w:rPr>
        <w:t>。伏牛山余脉逶迤西南，桐柏山沿东南边境向西延伸，在保安古镇凹陷成口，构成历史上著名的“南襄夹道”。县境地势由西南向东北逐渐倾斜。南及西南部为浅山丘陵区，约占总面积的四分之一，多数山峰海拔在</w:t>
      </w:r>
      <w:r w:rsidRPr="00A964FF">
        <w:rPr>
          <w:rFonts w:ascii="Calibri" w:hAnsi="Calibri" w:hint="eastAsia"/>
          <w:color w:val="auto"/>
          <w:sz w:val="24"/>
        </w:rPr>
        <w:t>200</w:t>
      </w:r>
      <w:r w:rsidRPr="00A964FF">
        <w:rPr>
          <w:rFonts w:ascii="Calibri" w:hAnsi="Calibri" w:hint="eastAsia"/>
          <w:color w:val="auto"/>
          <w:sz w:val="24"/>
        </w:rPr>
        <w:t>～</w:t>
      </w:r>
      <w:r w:rsidRPr="00A964FF">
        <w:rPr>
          <w:rFonts w:ascii="Calibri" w:hAnsi="Calibri" w:hint="eastAsia"/>
          <w:color w:val="auto"/>
          <w:sz w:val="24"/>
        </w:rPr>
        <w:t>300m</w:t>
      </w:r>
      <w:r w:rsidRPr="00A964FF">
        <w:rPr>
          <w:rFonts w:ascii="Calibri" w:hAnsi="Calibri" w:hint="eastAsia"/>
          <w:color w:val="auto"/>
          <w:sz w:val="24"/>
        </w:rPr>
        <w:t>之间；北、中部为平原，约占总面积的四分之三，海拔一般在</w:t>
      </w:r>
      <w:r w:rsidRPr="00A964FF">
        <w:rPr>
          <w:rFonts w:ascii="Calibri" w:hAnsi="Calibri" w:hint="eastAsia"/>
          <w:color w:val="auto"/>
          <w:sz w:val="24"/>
        </w:rPr>
        <w:t>80m</w:t>
      </w:r>
      <w:r w:rsidRPr="00A964FF">
        <w:rPr>
          <w:rFonts w:ascii="Calibri" w:hAnsi="Calibri" w:hint="eastAsia"/>
          <w:color w:val="auto"/>
          <w:sz w:val="24"/>
        </w:rPr>
        <w:t>左右，最低海拔</w:t>
      </w:r>
      <w:r w:rsidRPr="00A964FF">
        <w:rPr>
          <w:rFonts w:ascii="Calibri" w:hAnsi="Calibri" w:hint="eastAsia"/>
          <w:color w:val="auto"/>
          <w:sz w:val="24"/>
        </w:rPr>
        <w:t>69.8m</w:t>
      </w:r>
      <w:r w:rsidRPr="00A964FF">
        <w:rPr>
          <w:rFonts w:ascii="Calibri" w:hAnsi="Calibri" w:hint="eastAsia"/>
          <w:color w:val="auto"/>
          <w:sz w:val="24"/>
        </w:rPr>
        <w:t>。全县海拔</w:t>
      </w:r>
      <w:r w:rsidRPr="00A964FF">
        <w:rPr>
          <w:rFonts w:ascii="Calibri" w:hAnsi="Calibri" w:hint="eastAsia"/>
          <w:color w:val="auto"/>
          <w:sz w:val="24"/>
        </w:rPr>
        <w:t>85m</w:t>
      </w:r>
      <w:r w:rsidRPr="00A964FF">
        <w:rPr>
          <w:rFonts w:ascii="Calibri" w:hAnsi="Calibri" w:hint="eastAsia"/>
          <w:color w:val="auto"/>
          <w:sz w:val="24"/>
        </w:rPr>
        <w:t>。</w:t>
      </w:r>
    </w:p>
    <w:p w14:paraId="3CFA607B" w14:textId="77777777" w:rsidR="00F57EE0" w:rsidRPr="00A964FF" w:rsidRDefault="00F57EE0" w:rsidP="00F57EE0">
      <w:pPr>
        <w:pStyle w:val="00"/>
        <w:ind w:firstLine="482"/>
        <w:rPr>
          <w:rFonts w:ascii="Calibri" w:hAnsi="Calibri"/>
          <w:color w:val="auto"/>
        </w:rPr>
      </w:pPr>
      <w:r w:rsidRPr="00A964FF">
        <w:rPr>
          <w:rFonts w:ascii="Calibri" w:hAnsi="Calibri" w:hint="eastAsia"/>
          <w:color w:val="auto"/>
        </w:rPr>
        <w:t>本项目场地较平坦，利于项目建设。</w:t>
      </w:r>
    </w:p>
    <w:p w14:paraId="6C5422FA" w14:textId="77777777" w:rsidR="00A3000E" w:rsidRPr="00A964FF" w:rsidRDefault="00A3000E" w:rsidP="00A3000E">
      <w:pPr>
        <w:pStyle w:val="ad"/>
        <w:rPr>
          <w:rFonts w:ascii="Calibri" w:hAnsi="Calibri"/>
          <w:color w:val="auto"/>
        </w:rPr>
      </w:pPr>
      <w:r w:rsidRPr="00A964FF">
        <w:rPr>
          <w:rFonts w:ascii="Calibri" w:hAnsi="Calibri" w:hint="eastAsia"/>
          <w:color w:val="auto"/>
        </w:rPr>
        <w:t>3.1.3</w:t>
      </w:r>
      <w:r w:rsidRPr="00A964FF">
        <w:rPr>
          <w:rFonts w:ascii="Calibri" w:hAnsi="Calibri" w:hint="eastAsia"/>
          <w:color w:val="auto"/>
        </w:rPr>
        <w:t>地质</w:t>
      </w:r>
    </w:p>
    <w:p w14:paraId="72CEB7EB" w14:textId="77777777" w:rsidR="00F57EE0" w:rsidRPr="00A964FF" w:rsidRDefault="00F57EE0" w:rsidP="00F57EE0">
      <w:pPr>
        <w:spacing w:line="520" w:lineRule="exact"/>
        <w:ind w:firstLineChars="200" w:firstLine="480"/>
        <w:rPr>
          <w:rFonts w:ascii="Calibri" w:hAnsi="Calibri"/>
          <w:color w:val="auto"/>
          <w:sz w:val="24"/>
        </w:rPr>
      </w:pPr>
      <w:r w:rsidRPr="00A964FF">
        <w:rPr>
          <w:rFonts w:ascii="Calibri" w:hAnsi="Calibri" w:hint="eastAsia"/>
          <w:color w:val="auto"/>
          <w:sz w:val="24"/>
        </w:rPr>
        <w:t>平顶山尼龙新材料产业集聚区所在区域土体成因以缓流堆积为主，上部为第四纪全新世粘土、粉质粘土和砂砾土，下部为早更新新世粘土，地质构造简单，无活动</w:t>
      </w:r>
      <w:r w:rsidRPr="00A964FF">
        <w:rPr>
          <w:rFonts w:ascii="Calibri" w:hAnsi="Calibri" w:hint="eastAsia"/>
          <w:color w:val="auto"/>
          <w:sz w:val="24"/>
        </w:rPr>
        <w:lastRenderedPageBreak/>
        <w:t>断裂通过，未发现不良地质现象，场地和地基稳定，地基土均匀。地势平坦，多为耕地。</w:t>
      </w:r>
    </w:p>
    <w:p w14:paraId="7F72B02C" w14:textId="77777777" w:rsidR="0055605A" w:rsidRPr="00A964FF" w:rsidRDefault="0055605A" w:rsidP="0055605A">
      <w:pPr>
        <w:pStyle w:val="ad"/>
        <w:rPr>
          <w:rFonts w:ascii="Calibri" w:hAnsi="Calibri"/>
          <w:color w:val="auto"/>
        </w:rPr>
      </w:pPr>
      <w:r w:rsidRPr="00A964FF">
        <w:rPr>
          <w:rFonts w:ascii="Calibri" w:hAnsi="Calibri" w:hint="eastAsia"/>
          <w:color w:val="auto"/>
        </w:rPr>
        <w:t>3.1.</w:t>
      </w:r>
      <w:r w:rsidR="00A3000E" w:rsidRPr="00A964FF">
        <w:rPr>
          <w:rFonts w:ascii="Calibri" w:hAnsi="Calibri" w:hint="eastAsia"/>
          <w:color w:val="auto"/>
        </w:rPr>
        <w:t>4</w:t>
      </w:r>
      <w:r w:rsidRPr="00A964FF">
        <w:rPr>
          <w:rFonts w:ascii="Calibri" w:hAnsi="Calibri" w:hint="eastAsia"/>
          <w:color w:val="auto"/>
        </w:rPr>
        <w:t>气候气象</w:t>
      </w:r>
    </w:p>
    <w:p w14:paraId="6DDD8749" w14:textId="77777777" w:rsidR="00741E91" w:rsidRPr="00A964FF" w:rsidRDefault="00F57EE0" w:rsidP="00741E91">
      <w:pPr>
        <w:pStyle w:val="00"/>
        <w:ind w:firstLine="482"/>
        <w:rPr>
          <w:rFonts w:ascii="Calibri" w:hAnsi="Calibri"/>
          <w:color w:val="auto"/>
        </w:rPr>
      </w:pPr>
      <w:r w:rsidRPr="00A964FF">
        <w:rPr>
          <w:rFonts w:ascii="Calibri" w:hAnsi="Calibri" w:hint="eastAsia"/>
          <w:color w:val="auto"/>
        </w:rPr>
        <w:t>叶县属暖温带大陆性季风气候，四季分明，降雨量年际变率大，形成了以干</w:t>
      </w:r>
      <w:r w:rsidRPr="00A964FF">
        <w:rPr>
          <w:rFonts w:ascii="Calibri" w:hAnsi="Calibri"/>
          <w:color w:val="auto"/>
        </w:rPr>
        <w:t>旱为主的气候特点。夏季常处于太平洋副热带高压后部，多吹偏东北风，暖湿气流势力较强，容易产生阵性降水，为全年的主要降水季节；冬季常受西伯利亚冷空气团南下影响，多吹偏西风，气候寒冷，空气干燥，降水稀少。</w:t>
      </w:r>
      <w:r w:rsidR="00741E91" w:rsidRPr="00A964FF">
        <w:rPr>
          <w:rFonts w:ascii="Calibri" w:hAnsi="Calibri" w:hint="eastAsia"/>
          <w:color w:val="auto"/>
        </w:rPr>
        <w:t>根据气象资料统计，地区年均无霜期</w:t>
      </w:r>
      <w:r w:rsidR="00741E91" w:rsidRPr="00A964FF">
        <w:rPr>
          <w:rFonts w:ascii="Calibri" w:hAnsi="Calibri" w:hint="eastAsia"/>
          <w:color w:val="auto"/>
        </w:rPr>
        <w:t>217</w:t>
      </w:r>
      <w:r w:rsidR="00741E91" w:rsidRPr="00A964FF">
        <w:rPr>
          <w:rFonts w:ascii="Calibri" w:hAnsi="Calibri" w:hint="eastAsia"/>
          <w:color w:val="auto"/>
        </w:rPr>
        <w:t>天，年平均气温</w:t>
      </w:r>
      <w:r w:rsidR="00741E91" w:rsidRPr="00A964FF">
        <w:rPr>
          <w:rFonts w:ascii="Calibri" w:hAnsi="Calibri" w:hint="eastAsia"/>
          <w:color w:val="auto"/>
        </w:rPr>
        <w:t>14.9</w:t>
      </w:r>
      <w:r w:rsidR="00741E91" w:rsidRPr="00A964FF">
        <w:rPr>
          <w:rFonts w:ascii="Calibri" w:hAnsi="Calibri" w:hint="eastAsia"/>
          <w:color w:val="auto"/>
        </w:rPr>
        <w:t>℃，极端最高气温</w:t>
      </w:r>
      <w:r w:rsidR="00741E91" w:rsidRPr="00A964FF">
        <w:rPr>
          <w:rFonts w:ascii="Calibri" w:hAnsi="Calibri" w:hint="eastAsia"/>
          <w:color w:val="auto"/>
        </w:rPr>
        <w:t>42.6</w:t>
      </w:r>
      <w:r w:rsidR="00741E91" w:rsidRPr="00A964FF">
        <w:rPr>
          <w:rFonts w:ascii="Calibri" w:hAnsi="Calibri" w:hint="eastAsia"/>
          <w:color w:val="auto"/>
        </w:rPr>
        <w:t>℃，极端极低气温</w:t>
      </w:r>
      <w:r w:rsidR="00741E91" w:rsidRPr="00A964FF">
        <w:rPr>
          <w:rFonts w:ascii="Calibri" w:hAnsi="Calibri" w:hint="eastAsia"/>
          <w:color w:val="auto"/>
        </w:rPr>
        <w:t>-18.8</w:t>
      </w:r>
      <w:r w:rsidR="00741E91" w:rsidRPr="00A964FF">
        <w:rPr>
          <w:rFonts w:ascii="Calibri" w:hAnsi="Calibri" w:hint="eastAsia"/>
          <w:color w:val="auto"/>
        </w:rPr>
        <w:t>℃；从</w:t>
      </w:r>
      <w:r w:rsidR="00741E91" w:rsidRPr="00A964FF">
        <w:rPr>
          <w:rFonts w:ascii="Calibri" w:hAnsi="Calibri" w:hint="eastAsia"/>
          <w:color w:val="auto"/>
        </w:rPr>
        <w:t>12</w:t>
      </w:r>
      <w:r w:rsidR="00741E91" w:rsidRPr="00A964FF">
        <w:rPr>
          <w:rFonts w:ascii="Calibri" w:hAnsi="Calibri" w:hint="eastAsia"/>
          <w:color w:val="auto"/>
        </w:rPr>
        <w:t>月至翌年</w:t>
      </w:r>
      <w:r w:rsidR="00741E91" w:rsidRPr="00A964FF">
        <w:rPr>
          <w:rFonts w:ascii="Calibri" w:hAnsi="Calibri" w:hint="eastAsia"/>
          <w:color w:val="auto"/>
        </w:rPr>
        <w:t>2</w:t>
      </w:r>
      <w:r w:rsidR="00741E91" w:rsidRPr="00A964FF">
        <w:rPr>
          <w:rFonts w:ascii="Calibri" w:hAnsi="Calibri" w:hint="eastAsia"/>
          <w:color w:val="auto"/>
        </w:rPr>
        <w:t>月气温最低。多年平均降雨量</w:t>
      </w:r>
      <w:r w:rsidR="00741E91" w:rsidRPr="00A964FF">
        <w:rPr>
          <w:rFonts w:ascii="Calibri" w:hAnsi="Calibri" w:hint="eastAsia"/>
          <w:color w:val="auto"/>
        </w:rPr>
        <w:t>800mm</w:t>
      </w:r>
      <w:r w:rsidR="00741E91" w:rsidRPr="00A964FF">
        <w:rPr>
          <w:rFonts w:ascii="Calibri" w:hAnsi="Calibri" w:hint="eastAsia"/>
          <w:color w:val="auto"/>
        </w:rPr>
        <w:t>，年最大降雨量</w:t>
      </w:r>
      <w:r w:rsidR="00741E91" w:rsidRPr="00A964FF">
        <w:rPr>
          <w:rFonts w:ascii="Calibri" w:hAnsi="Calibri" w:hint="eastAsia"/>
          <w:color w:val="auto"/>
        </w:rPr>
        <w:t>1323.3mm</w:t>
      </w:r>
      <w:r w:rsidR="00741E91" w:rsidRPr="00A964FF">
        <w:rPr>
          <w:rFonts w:ascii="Calibri" w:hAnsi="Calibri" w:hint="eastAsia"/>
          <w:color w:val="auto"/>
        </w:rPr>
        <w:t>，年最小降雨量</w:t>
      </w:r>
      <w:r w:rsidR="00741E91" w:rsidRPr="00A964FF">
        <w:rPr>
          <w:rFonts w:ascii="Calibri" w:hAnsi="Calibri" w:hint="eastAsia"/>
          <w:color w:val="auto"/>
        </w:rPr>
        <w:t>373.9mm</w:t>
      </w:r>
      <w:r w:rsidR="00741E91" w:rsidRPr="00A964FF">
        <w:rPr>
          <w:rFonts w:ascii="Calibri" w:hAnsi="Calibri" w:hint="eastAsia"/>
          <w:color w:val="auto"/>
        </w:rPr>
        <w:t>，年最大蒸发量为</w:t>
      </w:r>
      <w:r w:rsidR="00741E91" w:rsidRPr="00A964FF">
        <w:rPr>
          <w:rFonts w:ascii="Calibri" w:hAnsi="Calibri" w:hint="eastAsia"/>
          <w:color w:val="auto"/>
        </w:rPr>
        <w:t>2825.0mm</w:t>
      </w:r>
      <w:r w:rsidR="00741E91" w:rsidRPr="00A964FF">
        <w:rPr>
          <w:rFonts w:ascii="Calibri" w:hAnsi="Calibri" w:hint="eastAsia"/>
          <w:color w:val="auto"/>
        </w:rPr>
        <w:t>。当地主导风向为东北风，平均风速</w:t>
      </w:r>
      <w:r w:rsidR="00741E91" w:rsidRPr="00A964FF">
        <w:rPr>
          <w:rFonts w:ascii="Calibri" w:hAnsi="Calibri" w:hint="eastAsia"/>
          <w:color w:val="auto"/>
        </w:rPr>
        <w:t>2.1m/s</w:t>
      </w:r>
      <w:r w:rsidR="00741E91" w:rsidRPr="00A964FF">
        <w:rPr>
          <w:rFonts w:ascii="Calibri" w:hAnsi="Calibri" w:hint="eastAsia"/>
          <w:color w:val="auto"/>
        </w:rPr>
        <w:t>。年平均相对湿度</w:t>
      </w:r>
      <w:r w:rsidR="00741E91" w:rsidRPr="00A964FF">
        <w:rPr>
          <w:rFonts w:ascii="Calibri" w:hAnsi="Calibri" w:hint="eastAsia"/>
          <w:color w:val="auto"/>
        </w:rPr>
        <w:t>67%</w:t>
      </w:r>
      <w:r w:rsidR="00741E91" w:rsidRPr="00A964FF">
        <w:rPr>
          <w:rFonts w:ascii="Calibri" w:hAnsi="Calibri" w:hint="eastAsia"/>
          <w:color w:val="auto"/>
        </w:rPr>
        <w:t>，年均气压</w:t>
      </w:r>
      <w:r w:rsidR="00741E91" w:rsidRPr="00A964FF">
        <w:rPr>
          <w:rFonts w:ascii="Calibri" w:hAnsi="Calibri" w:hint="eastAsia"/>
          <w:color w:val="auto"/>
        </w:rPr>
        <w:t>1005.8mbar</w:t>
      </w:r>
      <w:r w:rsidR="00741E91" w:rsidRPr="00A964FF">
        <w:rPr>
          <w:rFonts w:ascii="Calibri" w:hAnsi="Calibri" w:hint="eastAsia"/>
          <w:color w:val="auto"/>
        </w:rPr>
        <w:t>。</w:t>
      </w:r>
    </w:p>
    <w:p w14:paraId="669BECBC" w14:textId="77777777" w:rsidR="0055605A" w:rsidRPr="00A964FF" w:rsidRDefault="0055605A" w:rsidP="00741E91">
      <w:pPr>
        <w:pStyle w:val="ad"/>
        <w:rPr>
          <w:rFonts w:ascii="Calibri" w:hAnsi="Calibri"/>
          <w:color w:val="auto"/>
        </w:rPr>
      </w:pPr>
      <w:r w:rsidRPr="00A964FF">
        <w:rPr>
          <w:rFonts w:ascii="Calibri" w:hAnsi="Calibri" w:hint="eastAsia"/>
          <w:color w:val="auto"/>
        </w:rPr>
        <w:t>3.1.</w:t>
      </w:r>
      <w:r w:rsidR="00A3000E" w:rsidRPr="00A964FF">
        <w:rPr>
          <w:rFonts w:ascii="Calibri" w:hAnsi="Calibri" w:hint="eastAsia"/>
          <w:color w:val="auto"/>
        </w:rPr>
        <w:t>5</w:t>
      </w:r>
      <w:r w:rsidRPr="00A964FF">
        <w:rPr>
          <w:rFonts w:ascii="Calibri" w:hAnsi="Calibri" w:hint="eastAsia"/>
          <w:color w:val="auto"/>
        </w:rPr>
        <w:t>水文特征</w:t>
      </w:r>
    </w:p>
    <w:p w14:paraId="06D5D3D3" w14:textId="77777777" w:rsidR="0055605A" w:rsidRPr="00A964FF" w:rsidRDefault="0055605A" w:rsidP="0055605A">
      <w:pPr>
        <w:pStyle w:val="00"/>
        <w:rPr>
          <w:rFonts w:ascii="Calibri" w:hAnsi="Calibri"/>
          <w:b/>
          <w:color w:val="auto"/>
        </w:rPr>
      </w:pPr>
      <w:r w:rsidRPr="00A964FF">
        <w:rPr>
          <w:rFonts w:ascii="Calibri" w:hAnsi="Calibri" w:hint="eastAsia"/>
          <w:b/>
          <w:color w:val="auto"/>
        </w:rPr>
        <w:t>1</w:t>
      </w:r>
      <w:r w:rsidRPr="00A964FF">
        <w:rPr>
          <w:rFonts w:ascii="Calibri" w:hAnsi="Calibri" w:hint="eastAsia"/>
          <w:b/>
          <w:color w:val="auto"/>
        </w:rPr>
        <w:t>、</w:t>
      </w:r>
      <w:r w:rsidRPr="00A964FF">
        <w:rPr>
          <w:rFonts w:ascii="Calibri" w:hAnsi="Calibri"/>
          <w:b/>
          <w:color w:val="auto"/>
        </w:rPr>
        <w:t>地表水</w:t>
      </w:r>
    </w:p>
    <w:p w14:paraId="542BEBDD" w14:textId="77777777" w:rsidR="00F57EE0" w:rsidRPr="00A964FF" w:rsidRDefault="00F57EE0" w:rsidP="00F57EE0">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叶县境内河流均属于淮河流域，颍河水系，较大的河流有汝河、湛河、沙河、灰河、澧河、甘江河</w:t>
      </w:r>
      <w:r w:rsidRPr="00A964FF">
        <w:rPr>
          <w:rStyle w:val="00Char"/>
          <w:rFonts w:ascii="Calibri" w:hAnsi="Calibri" w:hint="eastAsia"/>
          <w:color w:val="auto"/>
        </w:rPr>
        <w:t>6</w:t>
      </w:r>
      <w:r w:rsidRPr="00A964FF">
        <w:rPr>
          <w:rStyle w:val="00Char"/>
          <w:rFonts w:ascii="Calibri" w:hAnsi="Calibri" w:hint="eastAsia"/>
          <w:color w:val="auto"/>
        </w:rPr>
        <w:t>条河流。</w:t>
      </w:r>
    </w:p>
    <w:p w14:paraId="34046F8D" w14:textId="77777777" w:rsidR="00F57EE0" w:rsidRPr="00A964FF" w:rsidRDefault="00F57EE0" w:rsidP="00F57EE0">
      <w:pPr>
        <w:spacing w:line="520" w:lineRule="exact"/>
        <w:ind w:firstLineChars="200" w:firstLine="480"/>
        <w:rPr>
          <w:rFonts w:ascii="Calibri" w:hAnsi="Calibri"/>
          <w:color w:val="auto"/>
          <w:sz w:val="24"/>
        </w:rPr>
      </w:pPr>
      <w:r w:rsidRPr="00A964FF">
        <w:rPr>
          <w:rStyle w:val="00Char"/>
          <w:rFonts w:ascii="Calibri" w:hAnsi="Calibri" w:hint="eastAsia"/>
          <w:color w:val="auto"/>
        </w:rPr>
        <w:t>沙河是流经叶县境内的一条大河，</w:t>
      </w:r>
      <w:r w:rsidRPr="00A964FF">
        <w:rPr>
          <w:rFonts w:ascii="Calibri" w:hAnsi="Calibri"/>
          <w:color w:val="auto"/>
          <w:sz w:val="24"/>
        </w:rPr>
        <w:t>发源于鲁山县尧山，流经鲁山、沙河区、叶县进入舞阳县境，境内流长</w:t>
      </w:r>
      <w:r w:rsidRPr="00A964FF">
        <w:rPr>
          <w:rFonts w:ascii="Calibri" w:hAnsi="Calibri"/>
          <w:color w:val="auto"/>
          <w:sz w:val="24"/>
        </w:rPr>
        <w:t>175.8km</w:t>
      </w:r>
      <w:r w:rsidRPr="00A964FF">
        <w:rPr>
          <w:rFonts w:ascii="Calibri" w:hAnsi="Calibri"/>
          <w:color w:val="auto"/>
          <w:sz w:val="24"/>
        </w:rPr>
        <w:t>，流域面积</w:t>
      </w:r>
      <w:r w:rsidRPr="00A964FF">
        <w:rPr>
          <w:rFonts w:ascii="Calibri" w:hAnsi="Calibri"/>
          <w:color w:val="auto"/>
          <w:sz w:val="24"/>
        </w:rPr>
        <w:t>3910.46km</w:t>
      </w:r>
      <w:r w:rsidRPr="00A964FF">
        <w:rPr>
          <w:rFonts w:ascii="Calibri" w:hAnsi="Calibri"/>
          <w:color w:val="auto"/>
          <w:sz w:val="24"/>
          <w:vertAlign w:val="superscript"/>
        </w:rPr>
        <w:t>2</w:t>
      </w:r>
      <w:r w:rsidRPr="00A964FF">
        <w:rPr>
          <w:rFonts w:ascii="Calibri" w:hAnsi="Calibri"/>
          <w:color w:val="auto"/>
          <w:sz w:val="24"/>
        </w:rPr>
        <w:t>，多年平均径流量为</w:t>
      </w:r>
      <w:r w:rsidRPr="00A964FF">
        <w:rPr>
          <w:rFonts w:ascii="Calibri" w:hAnsi="Calibri"/>
          <w:color w:val="auto"/>
          <w:sz w:val="24"/>
        </w:rPr>
        <w:t>11.2</w:t>
      </w:r>
      <w:r w:rsidRPr="00A964FF">
        <w:rPr>
          <w:rFonts w:ascii="Calibri" w:hAnsi="Calibri"/>
          <w:color w:val="auto"/>
          <w:sz w:val="24"/>
        </w:rPr>
        <w:t>亿</w:t>
      </w:r>
      <w:r w:rsidRPr="00A964FF">
        <w:rPr>
          <w:rFonts w:ascii="Calibri" w:hAnsi="Calibri"/>
          <w:color w:val="auto"/>
          <w:sz w:val="24"/>
        </w:rPr>
        <w:t>m</w:t>
      </w:r>
      <w:r w:rsidRPr="00A964FF">
        <w:rPr>
          <w:rFonts w:ascii="Calibri" w:hAnsi="Calibri"/>
          <w:color w:val="auto"/>
          <w:sz w:val="24"/>
          <w:vertAlign w:val="superscript"/>
        </w:rPr>
        <w:t>3</w:t>
      </w:r>
      <w:r w:rsidRPr="00A964FF">
        <w:rPr>
          <w:rFonts w:ascii="Calibri" w:hAnsi="Calibri"/>
          <w:color w:val="auto"/>
          <w:sz w:val="24"/>
        </w:rPr>
        <w:t>。在干流上建有昭平台、白龟山两座大型水库。沙河水文参数见表</w:t>
      </w:r>
      <w:r w:rsidRPr="00A964FF">
        <w:rPr>
          <w:rFonts w:ascii="Calibri" w:hAnsi="Calibri"/>
          <w:color w:val="auto"/>
          <w:sz w:val="24"/>
        </w:rPr>
        <w:t>3</w:t>
      </w:r>
      <w:r w:rsidR="00535E00" w:rsidRPr="00A964FF">
        <w:rPr>
          <w:rFonts w:ascii="Calibri" w:hAnsi="Calibri" w:hint="eastAsia"/>
          <w:color w:val="auto"/>
          <w:sz w:val="24"/>
        </w:rPr>
        <w:t>.1</w:t>
      </w:r>
      <w:r w:rsidRPr="00A964FF">
        <w:rPr>
          <w:rFonts w:ascii="Calibri" w:hAnsi="Calibri" w:hint="eastAsia"/>
          <w:color w:val="auto"/>
          <w:sz w:val="24"/>
        </w:rPr>
        <w:t>-</w:t>
      </w:r>
      <w:r w:rsidR="00741E91" w:rsidRPr="00A964FF">
        <w:rPr>
          <w:rFonts w:ascii="Calibri" w:hAnsi="Calibri" w:hint="eastAsia"/>
          <w:color w:val="auto"/>
          <w:sz w:val="24"/>
        </w:rPr>
        <w:t>1</w:t>
      </w:r>
      <w:r w:rsidRPr="00A964FF">
        <w:rPr>
          <w:rFonts w:ascii="Calibri" w:hAnsi="Calibri"/>
          <w:color w:val="auto"/>
          <w:sz w:val="24"/>
        </w:rPr>
        <w:t>。</w:t>
      </w:r>
    </w:p>
    <w:p w14:paraId="29384E23" w14:textId="77777777" w:rsidR="00F57EE0" w:rsidRPr="00A964FF" w:rsidRDefault="00F57EE0" w:rsidP="00F57EE0">
      <w:pPr>
        <w:widowControl/>
        <w:spacing w:line="520" w:lineRule="exact"/>
        <w:ind w:firstLineChars="200" w:firstLine="480"/>
        <w:rPr>
          <w:rFonts w:ascii="Calibri" w:eastAsia="黑体" w:hAnsi="Calibri"/>
          <w:color w:val="auto"/>
          <w:kern w:val="0"/>
          <w:sz w:val="24"/>
        </w:rPr>
      </w:pPr>
      <w:r w:rsidRPr="00A964FF">
        <w:rPr>
          <w:rFonts w:ascii="Calibri" w:eastAsia="黑体" w:hAnsi="Calibri"/>
          <w:color w:val="auto"/>
          <w:kern w:val="0"/>
          <w:sz w:val="24"/>
        </w:rPr>
        <w:t>表</w:t>
      </w:r>
      <w:r w:rsidRPr="00A964FF">
        <w:rPr>
          <w:rFonts w:ascii="Calibri" w:eastAsia="黑体" w:hAnsi="Calibri"/>
          <w:color w:val="auto"/>
          <w:kern w:val="0"/>
          <w:sz w:val="24"/>
        </w:rPr>
        <w:t>3</w:t>
      </w:r>
      <w:r w:rsidR="00535E00" w:rsidRPr="00A964FF">
        <w:rPr>
          <w:rFonts w:ascii="Calibri" w:eastAsia="黑体" w:hAnsi="Calibri" w:hint="eastAsia"/>
          <w:color w:val="auto"/>
          <w:kern w:val="0"/>
          <w:sz w:val="24"/>
        </w:rPr>
        <w:t>.1</w:t>
      </w:r>
      <w:r w:rsidRPr="00A964FF">
        <w:rPr>
          <w:rFonts w:ascii="Calibri" w:eastAsia="黑体" w:hAnsi="Calibri"/>
          <w:bCs/>
          <w:snapToGrid w:val="0"/>
          <w:color w:val="auto"/>
          <w:kern w:val="0"/>
          <w:sz w:val="24"/>
        </w:rPr>
        <w:t>-</w:t>
      </w:r>
      <w:r w:rsidR="008A1567" w:rsidRPr="00A964FF">
        <w:rPr>
          <w:rFonts w:ascii="Calibri" w:eastAsia="黑体" w:hAnsi="Calibri" w:hint="eastAsia"/>
          <w:bCs/>
          <w:snapToGrid w:val="0"/>
          <w:color w:val="auto"/>
          <w:kern w:val="0"/>
          <w:sz w:val="24"/>
        </w:rPr>
        <w:t>1</w:t>
      </w:r>
      <w:r w:rsidRPr="00A964FF">
        <w:rPr>
          <w:rFonts w:ascii="Calibri" w:eastAsia="黑体" w:hAnsi="Calibri"/>
          <w:color w:val="auto"/>
          <w:kern w:val="0"/>
          <w:sz w:val="24"/>
        </w:rPr>
        <w:t xml:space="preserve">                 </w:t>
      </w:r>
      <w:r w:rsidRPr="00A964FF">
        <w:rPr>
          <w:rFonts w:ascii="Calibri" w:eastAsia="黑体" w:hAnsi="Calibri"/>
          <w:color w:val="auto"/>
          <w:kern w:val="0"/>
          <w:sz w:val="24"/>
        </w:rPr>
        <w:t>沙河水文参数一览表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48"/>
        <w:gridCol w:w="1031"/>
        <w:gridCol w:w="1234"/>
        <w:gridCol w:w="1010"/>
        <w:gridCol w:w="1183"/>
        <w:gridCol w:w="1096"/>
        <w:gridCol w:w="1158"/>
        <w:gridCol w:w="1140"/>
      </w:tblGrid>
      <w:tr w:rsidR="00F57EE0" w:rsidRPr="00A964FF" w14:paraId="11F0C141" w14:textId="77777777" w:rsidTr="00741E91">
        <w:trPr>
          <w:trHeight w:val="369"/>
          <w:jc w:val="center"/>
        </w:trPr>
        <w:tc>
          <w:tcPr>
            <w:tcW w:w="492" w:type="pct"/>
            <w:vAlign w:val="center"/>
          </w:tcPr>
          <w:p w14:paraId="701A6D5A"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河流</w:t>
            </w:r>
          </w:p>
          <w:p w14:paraId="40E21154"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名称</w:t>
            </w:r>
          </w:p>
        </w:tc>
        <w:tc>
          <w:tcPr>
            <w:tcW w:w="597" w:type="pct"/>
            <w:vAlign w:val="center"/>
          </w:tcPr>
          <w:p w14:paraId="3BBF9244"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水面宽</w:t>
            </w:r>
          </w:p>
          <w:p w14:paraId="3F5B10DF" w14:textId="77777777" w:rsidR="00F57EE0" w:rsidRPr="00A964FF" w:rsidRDefault="00F57EE0" w:rsidP="00396B57">
            <w:pPr>
              <w:jc w:val="cente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m</w:t>
            </w:r>
            <w:r w:rsidRPr="00A964FF">
              <w:rPr>
                <w:rFonts w:ascii="Calibri" w:hAnsi="Calibri" w:hint="eastAsia"/>
                <w:color w:val="auto"/>
                <w:szCs w:val="21"/>
              </w:rPr>
              <w:t>）</w:t>
            </w:r>
          </w:p>
        </w:tc>
        <w:tc>
          <w:tcPr>
            <w:tcW w:w="714" w:type="pct"/>
            <w:vAlign w:val="center"/>
          </w:tcPr>
          <w:p w14:paraId="23A31082"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平均水深</w:t>
            </w:r>
          </w:p>
          <w:p w14:paraId="41BD085E" w14:textId="77777777" w:rsidR="00F57EE0" w:rsidRPr="00A964FF" w:rsidRDefault="00F57EE0" w:rsidP="00396B57">
            <w:pPr>
              <w:jc w:val="cente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m</w:t>
            </w:r>
            <w:r w:rsidRPr="00A964FF">
              <w:rPr>
                <w:rFonts w:ascii="Calibri" w:hAnsi="Calibri" w:hint="eastAsia"/>
                <w:color w:val="auto"/>
                <w:szCs w:val="21"/>
              </w:rPr>
              <w:t>）</w:t>
            </w:r>
          </w:p>
        </w:tc>
        <w:tc>
          <w:tcPr>
            <w:tcW w:w="585" w:type="pct"/>
            <w:vAlign w:val="center"/>
          </w:tcPr>
          <w:p w14:paraId="0BF6E062"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平均流速</w:t>
            </w:r>
            <w:r w:rsidRPr="00A964FF">
              <w:rPr>
                <w:rFonts w:ascii="Calibri" w:hAnsi="Calibri" w:hint="eastAsia"/>
                <w:color w:val="auto"/>
                <w:szCs w:val="21"/>
              </w:rPr>
              <w:t>（</w:t>
            </w:r>
            <w:r w:rsidRPr="00A964FF">
              <w:rPr>
                <w:rFonts w:ascii="Calibri" w:hAnsi="Calibri"/>
                <w:color w:val="auto"/>
                <w:szCs w:val="21"/>
              </w:rPr>
              <w:t>m/s</w:t>
            </w:r>
            <w:r w:rsidRPr="00A964FF">
              <w:rPr>
                <w:rFonts w:ascii="Calibri" w:hAnsi="Calibri" w:hint="eastAsia"/>
                <w:color w:val="auto"/>
                <w:szCs w:val="21"/>
              </w:rPr>
              <w:t>）</w:t>
            </w:r>
          </w:p>
        </w:tc>
        <w:tc>
          <w:tcPr>
            <w:tcW w:w="684" w:type="pct"/>
            <w:vAlign w:val="center"/>
          </w:tcPr>
          <w:p w14:paraId="190AC81A"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表面流速</w:t>
            </w:r>
          </w:p>
          <w:p w14:paraId="4DAB3F46" w14:textId="77777777" w:rsidR="00F57EE0" w:rsidRPr="00A964FF" w:rsidRDefault="00F57EE0" w:rsidP="00396B57">
            <w:pPr>
              <w:jc w:val="center"/>
              <w:rPr>
                <w:rFonts w:ascii="Calibri" w:hAnsi="Calibri"/>
                <w:color w:val="auto"/>
                <w:szCs w:val="21"/>
              </w:rPr>
            </w:pPr>
            <w:r w:rsidRPr="00A964FF">
              <w:rPr>
                <w:rFonts w:ascii="Calibri" w:hAnsi="Calibri" w:hint="eastAsia"/>
                <w:color w:val="auto"/>
                <w:szCs w:val="21"/>
              </w:rPr>
              <w:t>（</w:t>
            </w:r>
            <w:r w:rsidRPr="00A964FF">
              <w:rPr>
                <w:rFonts w:ascii="Calibri" w:hAnsi="Calibri"/>
                <w:color w:val="auto"/>
                <w:szCs w:val="21"/>
              </w:rPr>
              <w:t>m/s</w:t>
            </w:r>
            <w:r w:rsidRPr="00A964FF">
              <w:rPr>
                <w:rFonts w:ascii="Calibri" w:hAnsi="Calibri" w:hint="eastAsia"/>
                <w:color w:val="auto"/>
                <w:szCs w:val="21"/>
              </w:rPr>
              <w:t>）</w:t>
            </w:r>
          </w:p>
        </w:tc>
        <w:tc>
          <w:tcPr>
            <w:tcW w:w="634" w:type="pct"/>
            <w:vAlign w:val="center"/>
          </w:tcPr>
          <w:p w14:paraId="3DA73240"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年均流量</w:t>
            </w:r>
            <w:r w:rsidRPr="00A964FF">
              <w:rPr>
                <w:rFonts w:ascii="Calibri" w:hAnsi="Calibri" w:hint="eastAsia"/>
                <w:color w:val="auto"/>
                <w:szCs w:val="21"/>
              </w:rPr>
              <w:t>（</w:t>
            </w:r>
            <w:r w:rsidRPr="00A964FF">
              <w:rPr>
                <w:rFonts w:ascii="Calibri" w:hAnsi="Calibri"/>
                <w:color w:val="auto"/>
                <w:szCs w:val="21"/>
              </w:rPr>
              <w:t>m</w:t>
            </w:r>
            <w:r w:rsidRPr="00A964FF">
              <w:rPr>
                <w:rFonts w:ascii="Calibri" w:hAnsi="Calibri"/>
                <w:color w:val="auto"/>
                <w:szCs w:val="21"/>
                <w:vertAlign w:val="superscript"/>
              </w:rPr>
              <w:t>3</w:t>
            </w:r>
            <w:r w:rsidRPr="00A964FF">
              <w:rPr>
                <w:rFonts w:ascii="Calibri" w:hAnsi="Calibri"/>
                <w:color w:val="auto"/>
                <w:szCs w:val="21"/>
              </w:rPr>
              <w:t>/s</w:t>
            </w:r>
            <w:r w:rsidRPr="00A964FF">
              <w:rPr>
                <w:rFonts w:ascii="Calibri" w:hAnsi="Calibri" w:hint="eastAsia"/>
                <w:color w:val="auto"/>
                <w:szCs w:val="21"/>
              </w:rPr>
              <w:t>）</w:t>
            </w:r>
          </w:p>
        </w:tc>
        <w:tc>
          <w:tcPr>
            <w:tcW w:w="634" w:type="pct"/>
            <w:vAlign w:val="center"/>
          </w:tcPr>
          <w:p w14:paraId="523FA893"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含沙量</w:t>
            </w:r>
            <w:r w:rsidRPr="00A964FF">
              <w:rPr>
                <w:rFonts w:ascii="Calibri" w:hAnsi="Calibri" w:hint="eastAsia"/>
                <w:color w:val="auto"/>
                <w:szCs w:val="21"/>
              </w:rPr>
              <w:t>（</w:t>
            </w:r>
            <w:r w:rsidRPr="00A964FF">
              <w:rPr>
                <w:rFonts w:ascii="Calibri" w:hAnsi="Calibri"/>
                <w:color w:val="auto"/>
                <w:szCs w:val="21"/>
              </w:rPr>
              <w:t>kg/m</w:t>
            </w:r>
            <w:r w:rsidRPr="00A964FF">
              <w:rPr>
                <w:rFonts w:ascii="Calibri" w:hAnsi="Calibri"/>
                <w:color w:val="auto"/>
                <w:szCs w:val="21"/>
                <w:vertAlign w:val="superscript"/>
              </w:rPr>
              <w:t>3</w:t>
            </w:r>
            <w:r w:rsidRPr="00A964FF">
              <w:rPr>
                <w:rFonts w:ascii="Calibri" w:hAnsi="Calibri" w:hint="eastAsia"/>
                <w:color w:val="auto"/>
                <w:szCs w:val="21"/>
              </w:rPr>
              <w:t>）</w:t>
            </w:r>
          </w:p>
        </w:tc>
        <w:tc>
          <w:tcPr>
            <w:tcW w:w="659" w:type="pct"/>
            <w:vAlign w:val="center"/>
          </w:tcPr>
          <w:p w14:paraId="6F32FBBF"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下游取水口情况</w:t>
            </w:r>
          </w:p>
        </w:tc>
      </w:tr>
      <w:tr w:rsidR="00F57EE0" w:rsidRPr="00A964FF" w14:paraId="05A57575" w14:textId="77777777" w:rsidTr="00741E91">
        <w:trPr>
          <w:trHeight w:val="369"/>
          <w:jc w:val="center"/>
        </w:trPr>
        <w:tc>
          <w:tcPr>
            <w:tcW w:w="492" w:type="pct"/>
            <w:vAlign w:val="center"/>
          </w:tcPr>
          <w:p w14:paraId="5C329F9F"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沙河</w:t>
            </w:r>
          </w:p>
        </w:tc>
        <w:tc>
          <w:tcPr>
            <w:tcW w:w="597" w:type="pct"/>
            <w:vAlign w:val="center"/>
          </w:tcPr>
          <w:p w14:paraId="1D227BC4"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80</w:t>
            </w:r>
          </w:p>
        </w:tc>
        <w:tc>
          <w:tcPr>
            <w:tcW w:w="714" w:type="pct"/>
            <w:vAlign w:val="center"/>
          </w:tcPr>
          <w:p w14:paraId="4EF2E259"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1.5</w:t>
            </w:r>
          </w:p>
        </w:tc>
        <w:tc>
          <w:tcPr>
            <w:tcW w:w="585" w:type="pct"/>
            <w:vAlign w:val="center"/>
          </w:tcPr>
          <w:p w14:paraId="56E2497F"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1</w:t>
            </w:r>
          </w:p>
        </w:tc>
        <w:tc>
          <w:tcPr>
            <w:tcW w:w="684" w:type="pct"/>
            <w:vAlign w:val="center"/>
          </w:tcPr>
          <w:p w14:paraId="422A6CD2"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0.5</w:t>
            </w:r>
          </w:p>
        </w:tc>
        <w:tc>
          <w:tcPr>
            <w:tcW w:w="634" w:type="pct"/>
            <w:vAlign w:val="center"/>
          </w:tcPr>
          <w:p w14:paraId="709D8C67"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1</w:t>
            </w:r>
          </w:p>
        </w:tc>
        <w:tc>
          <w:tcPr>
            <w:tcW w:w="634" w:type="pct"/>
            <w:vAlign w:val="center"/>
          </w:tcPr>
          <w:p w14:paraId="67203CA2"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0.3</w:t>
            </w:r>
          </w:p>
        </w:tc>
        <w:tc>
          <w:tcPr>
            <w:tcW w:w="659" w:type="pct"/>
            <w:vAlign w:val="center"/>
          </w:tcPr>
          <w:p w14:paraId="5AC2FE5F" w14:textId="77777777" w:rsidR="00F57EE0" w:rsidRPr="00A964FF" w:rsidRDefault="00F57EE0" w:rsidP="00396B57">
            <w:pPr>
              <w:jc w:val="center"/>
              <w:rPr>
                <w:rFonts w:ascii="Calibri" w:hAnsi="Calibri"/>
                <w:color w:val="auto"/>
                <w:szCs w:val="21"/>
              </w:rPr>
            </w:pPr>
            <w:r w:rsidRPr="00A964FF">
              <w:rPr>
                <w:rFonts w:ascii="Calibri" w:hAnsi="Calibri"/>
                <w:color w:val="auto"/>
                <w:szCs w:val="21"/>
              </w:rPr>
              <w:t>无</w:t>
            </w:r>
          </w:p>
        </w:tc>
      </w:tr>
    </w:tbl>
    <w:p w14:paraId="3797AF0B" w14:textId="77777777" w:rsidR="00F57EE0" w:rsidRPr="00A964FF" w:rsidRDefault="00F57EE0" w:rsidP="00F57EE0">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灰河距城区最近，是城区生活污水和工业废水的接纳河流，灰河在叶县境内分南北两条河，北为老灰河，南为新灰河。该河发源于鲁山县樱桃山，流经叶县、舞阳，干流长</w:t>
      </w:r>
      <w:r w:rsidRPr="00A964FF">
        <w:rPr>
          <w:rStyle w:val="00Char"/>
          <w:rFonts w:ascii="Calibri" w:hAnsi="Calibri" w:hint="eastAsia"/>
          <w:color w:val="auto"/>
        </w:rPr>
        <w:t>81.9km</w:t>
      </w:r>
      <w:r w:rsidRPr="00A964FF">
        <w:rPr>
          <w:rStyle w:val="00Char"/>
          <w:rFonts w:ascii="Calibri" w:hAnsi="Calibri" w:hint="eastAsia"/>
          <w:color w:val="auto"/>
        </w:rPr>
        <w:t>，总流域面积</w:t>
      </w:r>
      <w:r w:rsidRPr="00A964FF">
        <w:rPr>
          <w:rStyle w:val="00Char"/>
          <w:rFonts w:ascii="Calibri" w:hAnsi="Calibri" w:hint="eastAsia"/>
          <w:color w:val="auto"/>
        </w:rPr>
        <w:t>505km</w:t>
      </w:r>
      <w:r w:rsidRPr="00A964FF">
        <w:rPr>
          <w:rStyle w:val="00Char"/>
          <w:rFonts w:ascii="Calibri" w:hAnsi="Calibri" w:hint="eastAsia"/>
          <w:color w:val="auto"/>
          <w:vertAlign w:val="superscript"/>
        </w:rPr>
        <w:t>2</w:t>
      </w:r>
      <w:r w:rsidRPr="00A964FF">
        <w:rPr>
          <w:rStyle w:val="00Char"/>
          <w:rFonts w:ascii="Calibri" w:hAnsi="Calibri" w:hint="eastAsia"/>
          <w:color w:val="auto"/>
        </w:rPr>
        <w:t>，在叶县境内自西向东长约</w:t>
      </w:r>
      <w:r w:rsidRPr="00A964FF">
        <w:rPr>
          <w:rStyle w:val="00Char"/>
          <w:rFonts w:ascii="Calibri" w:hAnsi="Calibri" w:hint="eastAsia"/>
          <w:color w:val="auto"/>
        </w:rPr>
        <w:t>42km</w:t>
      </w:r>
      <w:r w:rsidRPr="00A964FF">
        <w:rPr>
          <w:rStyle w:val="00Char"/>
          <w:rFonts w:ascii="Calibri" w:hAnsi="Calibri" w:hint="eastAsia"/>
          <w:color w:val="auto"/>
        </w:rPr>
        <w:t>，最终在漯河市舞阳北舞渡镇注入沙河。</w:t>
      </w:r>
    </w:p>
    <w:p w14:paraId="512312E9" w14:textId="77777777" w:rsidR="00F57EE0" w:rsidRPr="00A964FF" w:rsidRDefault="00F57EE0" w:rsidP="00F57EE0">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孤石滩水库是淮河支流澧河的发源地，平顶山市第三大水库，水库面积</w:t>
      </w:r>
      <w:r w:rsidRPr="00A964FF">
        <w:rPr>
          <w:rStyle w:val="00Char"/>
          <w:rFonts w:ascii="Calibri" w:hAnsi="Calibri" w:hint="eastAsia"/>
          <w:color w:val="auto"/>
        </w:rPr>
        <w:t>1.035</w:t>
      </w:r>
      <w:r w:rsidRPr="00A964FF">
        <w:rPr>
          <w:rStyle w:val="00Char"/>
          <w:rFonts w:ascii="Calibri" w:hAnsi="Calibri" w:hint="eastAsia"/>
          <w:color w:val="auto"/>
        </w:rPr>
        <w:t>万</w:t>
      </w:r>
      <w:r w:rsidRPr="00A964FF">
        <w:rPr>
          <w:rStyle w:val="00Char"/>
          <w:rFonts w:ascii="Calibri" w:hAnsi="Calibri" w:hint="eastAsia"/>
          <w:color w:val="auto"/>
        </w:rPr>
        <w:lastRenderedPageBreak/>
        <w:t>亩，平均水深</w:t>
      </w:r>
      <w:r w:rsidRPr="00A964FF">
        <w:rPr>
          <w:rStyle w:val="00Char"/>
          <w:rFonts w:ascii="Calibri" w:hAnsi="Calibri" w:hint="eastAsia"/>
          <w:color w:val="auto"/>
        </w:rPr>
        <w:t>7.97</w:t>
      </w:r>
      <w:r w:rsidRPr="00A964FF">
        <w:rPr>
          <w:rStyle w:val="00Char"/>
          <w:rFonts w:ascii="Calibri" w:hAnsi="Calibri" w:hint="eastAsia"/>
          <w:color w:val="auto"/>
        </w:rPr>
        <w:t>米。设计大坝为粘土心墙砂卵石坝，最大坝高</w:t>
      </w:r>
      <w:r w:rsidRPr="00A964FF">
        <w:rPr>
          <w:rStyle w:val="00Char"/>
          <w:rFonts w:ascii="Calibri" w:hAnsi="Calibri" w:hint="eastAsia"/>
          <w:color w:val="auto"/>
        </w:rPr>
        <w:t>30.3</w:t>
      </w:r>
      <w:r w:rsidRPr="00A964FF">
        <w:rPr>
          <w:rStyle w:val="00Char"/>
          <w:rFonts w:ascii="Calibri" w:hAnsi="Calibri" w:hint="eastAsia"/>
          <w:color w:val="auto"/>
        </w:rPr>
        <w:t>米，坝顶高程</w:t>
      </w:r>
      <w:r w:rsidRPr="00A964FF">
        <w:rPr>
          <w:rStyle w:val="00Char"/>
          <w:rFonts w:ascii="Calibri" w:hAnsi="Calibri" w:hint="eastAsia"/>
          <w:color w:val="auto"/>
        </w:rPr>
        <w:t>160.3</w:t>
      </w:r>
      <w:r w:rsidRPr="00A964FF">
        <w:rPr>
          <w:rStyle w:val="00Char"/>
          <w:rFonts w:ascii="Calibri" w:hAnsi="Calibri" w:hint="eastAsia"/>
          <w:color w:val="auto"/>
        </w:rPr>
        <w:t>米，防浪墙高</w:t>
      </w:r>
      <w:r w:rsidRPr="00A964FF">
        <w:rPr>
          <w:rStyle w:val="00Char"/>
          <w:rFonts w:ascii="Calibri" w:hAnsi="Calibri" w:hint="eastAsia"/>
          <w:color w:val="auto"/>
        </w:rPr>
        <w:t>1.2</w:t>
      </w:r>
      <w:r w:rsidRPr="00A964FF">
        <w:rPr>
          <w:rStyle w:val="00Char"/>
          <w:rFonts w:ascii="Calibri" w:hAnsi="Calibri" w:hint="eastAsia"/>
          <w:color w:val="auto"/>
        </w:rPr>
        <w:t>米，坝长</w:t>
      </w:r>
      <w:r w:rsidRPr="00A964FF">
        <w:rPr>
          <w:rStyle w:val="00Char"/>
          <w:rFonts w:ascii="Calibri" w:hAnsi="Calibri" w:hint="eastAsia"/>
          <w:color w:val="auto"/>
        </w:rPr>
        <w:t>494</w:t>
      </w:r>
      <w:r w:rsidRPr="00A964FF">
        <w:rPr>
          <w:rStyle w:val="00Char"/>
          <w:rFonts w:ascii="Calibri" w:hAnsi="Calibri" w:hint="eastAsia"/>
          <w:color w:val="auto"/>
        </w:rPr>
        <w:t>米，台地坝基表层为砂卵石，厚</w:t>
      </w:r>
      <w:r w:rsidRPr="00A964FF">
        <w:rPr>
          <w:rStyle w:val="00Char"/>
          <w:rFonts w:ascii="Calibri" w:hAnsi="Calibri" w:hint="eastAsia"/>
          <w:color w:val="auto"/>
        </w:rPr>
        <w:t>6</w:t>
      </w:r>
      <w:r w:rsidRPr="00A964FF">
        <w:rPr>
          <w:rStyle w:val="00Char"/>
          <w:rFonts w:ascii="Calibri" w:hAnsi="Calibri" w:hint="eastAsia"/>
          <w:color w:val="auto"/>
        </w:rPr>
        <w:t>～</w:t>
      </w:r>
      <w:r w:rsidRPr="00A964FF">
        <w:rPr>
          <w:rStyle w:val="00Char"/>
          <w:rFonts w:ascii="Calibri" w:hAnsi="Calibri" w:hint="eastAsia"/>
          <w:color w:val="auto"/>
        </w:rPr>
        <w:t>8</w:t>
      </w:r>
      <w:r w:rsidRPr="00A964FF">
        <w:rPr>
          <w:rStyle w:val="00Char"/>
          <w:rFonts w:ascii="Calibri" w:hAnsi="Calibri" w:hint="eastAsia"/>
          <w:color w:val="auto"/>
        </w:rPr>
        <w:t>米。采取粘土截水槽防渗；左坝头表层为沉积层，其下岩石有溶洞，做粘土包山铺盖处理。主溢洪道与右坝头相连，傍山开槽，建泄洪闸</w:t>
      </w:r>
      <w:r w:rsidRPr="00A964FF">
        <w:rPr>
          <w:rStyle w:val="00Char"/>
          <w:rFonts w:ascii="Calibri" w:hAnsi="Calibri" w:hint="eastAsia"/>
          <w:color w:val="auto"/>
        </w:rPr>
        <w:t>3</w:t>
      </w:r>
      <w:r w:rsidRPr="00A964FF">
        <w:rPr>
          <w:rStyle w:val="00Char"/>
          <w:rFonts w:ascii="Calibri" w:hAnsi="Calibri" w:hint="eastAsia"/>
          <w:color w:val="auto"/>
        </w:rPr>
        <w:t>孔，宽</w:t>
      </w:r>
      <w:r w:rsidRPr="00A964FF">
        <w:rPr>
          <w:rStyle w:val="00Char"/>
          <w:rFonts w:ascii="Calibri" w:hAnsi="Calibri" w:hint="eastAsia"/>
          <w:color w:val="auto"/>
        </w:rPr>
        <w:t>10</w:t>
      </w:r>
      <w:r w:rsidRPr="00A964FF">
        <w:rPr>
          <w:rStyle w:val="00Char"/>
          <w:rFonts w:ascii="Calibri" w:hAnsi="Calibri" w:hint="eastAsia"/>
          <w:color w:val="auto"/>
        </w:rPr>
        <w:t>米，高</w:t>
      </w:r>
      <w:r w:rsidRPr="00A964FF">
        <w:rPr>
          <w:rStyle w:val="00Char"/>
          <w:rFonts w:ascii="Calibri" w:hAnsi="Calibri" w:hint="eastAsia"/>
          <w:color w:val="auto"/>
        </w:rPr>
        <w:t>6</w:t>
      </w:r>
      <w:r w:rsidRPr="00A964FF">
        <w:rPr>
          <w:rStyle w:val="00Char"/>
          <w:rFonts w:ascii="Calibri" w:hAnsi="Calibri" w:hint="eastAsia"/>
          <w:color w:val="auto"/>
        </w:rPr>
        <w:t>米，最大泄量</w:t>
      </w:r>
      <w:r w:rsidRPr="00A964FF">
        <w:rPr>
          <w:rStyle w:val="00Char"/>
          <w:rFonts w:ascii="Calibri" w:hAnsi="Calibri" w:hint="eastAsia"/>
          <w:color w:val="auto"/>
        </w:rPr>
        <w:t>2188</w:t>
      </w:r>
      <w:r w:rsidRPr="00A964FF">
        <w:rPr>
          <w:rStyle w:val="00Char"/>
          <w:rFonts w:ascii="Calibri" w:hAnsi="Calibri" w:hint="eastAsia"/>
          <w:color w:val="auto"/>
        </w:rPr>
        <w:t>立方米</w:t>
      </w:r>
      <w:r w:rsidRPr="00A964FF">
        <w:rPr>
          <w:rStyle w:val="00Char"/>
          <w:rFonts w:ascii="Calibri" w:hAnsi="Calibri" w:hint="eastAsia"/>
          <w:color w:val="auto"/>
        </w:rPr>
        <w:t>/</w:t>
      </w:r>
      <w:r w:rsidRPr="00A964FF">
        <w:rPr>
          <w:rStyle w:val="00Char"/>
          <w:rFonts w:ascii="Calibri" w:hAnsi="Calibri" w:hint="eastAsia"/>
          <w:color w:val="auto"/>
        </w:rPr>
        <w:t>秒。副溢洪道位于坝左侧山坳中，底宽</w:t>
      </w:r>
      <w:r w:rsidRPr="00A964FF">
        <w:rPr>
          <w:rStyle w:val="00Char"/>
          <w:rFonts w:ascii="Calibri" w:hAnsi="Calibri" w:hint="eastAsia"/>
          <w:color w:val="auto"/>
        </w:rPr>
        <w:t>15</w:t>
      </w:r>
      <w:r w:rsidRPr="00A964FF">
        <w:rPr>
          <w:rStyle w:val="00Char"/>
          <w:rFonts w:ascii="Calibri" w:hAnsi="Calibri" w:hint="eastAsia"/>
          <w:color w:val="auto"/>
        </w:rPr>
        <w:t>米，最大泄量</w:t>
      </w:r>
      <w:r w:rsidRPr="00A964FF">
        <w:rPr>
          <w:rStyle w:val="00Char"/>
          <w:rFonts w:ascii="Calibri" w:hAnsi="Calibri" w:hint="eastAsia"/>
          <w:color w:val="auto"/>
        </w:rPr>
        <w:t>748</w:t>
      </w:r>
      <w:r w:rsidRPr="00A964FF">
        <w:rPr>
          <w:rStyle w:val="00Char"/>
          <w:rFonts w:ascii="Calibri" w:hAnsi="Calibri" w:hint="eastAsia"/>
          <w:color w:val="auto"/>
        </w:rPr>
        <w:t>立方米</w:t>
      </w:r>
      <w:r w:rsidRPr="00A964FF">
        <w:rPr>
          <w:rStyle w:val="00Char"/>
          <w:rFonts w:ascii="Calibri" w:hAnsi="Calibri" w:hint="eastAsia"/>
          <w:color w:val="auto"/>
        </w:rPr>
        <w:t>/</w:t>
      </w:r>
      <w:r w:rsidRPr="00A964FF">
        <w:rPr>
          <w:rStyle w:val="00Char"/>
          <w:rFonts w:ascii="Calibri" w:hAnsi="Calibri" w:hint="eastAsia"/>
          <w:color w:val="auto"/>
        </w:rPr>
        <w:t>秒。</w:t>
      </w:r>
      <w:r w:rsidRPr="00A964FF">
        <w:rPr>
          <w:rStyle w:val="00Char"/>
          <w:rFonts w:ascii="Calibri" w:hAnsi="Calibri" w:hint="eastAsia"/>
          <w:color w:val="auto"/>
        </w:rPr>
        <w:t>1970</w:t>
      </w:r>
      <w:r w:rsidRPr="00A964FF">
        <w:rPr>
          <w:rStyle w:val="00Char"/>
          <w:rFonts w:ascii="Calibri" w:hAnsi="Calibri" w:hint="eastAsia"/>
          <w:color w:val="auto"/>
        </w:rPr>
        <w:t>年</w:t>
      </w:r>
      <w:r w:rsidRPr="00A964FF">
        <w:rPr>
          <w:rStyle w:val="00Char"/>
          <w:rFonts w:ascii="Calibri" w:hAnsi="Calibri" w:hint="eastAsia"/>
          <w:color w:val="auto"/>
        </w:rPr>
        <w:t>4</w:t>
      </w:r>
      <w:r w:rsidRPr="00A964FF">
        <w:rPr>
          <w:rStyle w:val="00Char"/>
          <w:rFonts w:ascii="Calibri" w:hAnsi="Calibri" w:hint="eastAsia"/>
          <w:color w:val="auto"/>
        </w:rPr>
        <w:t>月开工，</w:t>
      </w:r>
      <w:r w:rsidRPr="00A964FF">
        <w:rPr>
          <w:rStyle w:val="00Char"/>
          <w:rFonts w:ascii="Calibri" w:hAnsi="Calibri" w:hint="eastAsia"/>
          <w:color w:val="auto"/>
        </w:rPr>
        <w:t>1974</w:t>
      </w:r>
      <w:r w:rsidRPr="00A964FF">
        <w:rPr>
          <w:rStyle w:val="00Char"/>
          <w:rFonts w:ascii="Calibri" w:hAnsi="Calibri" w:hint="eastAsia"/>
          <w:color w:val="auto"/>
        </w:rPr>
        <w:t>年</w:t>
      </w:r>
      <w:r w:rsidRPr="00A964FF">
        <w:rPr>
          <w:rStyle w:val="00Char"/>
          <w:rFonts w:ascii="Calibri" w:hAnsi="Calibri" w:hint="eastAsia"/>
          <w:color w:val="auto"/>
        </w:rPr>
        <w:t>8</w:t>
      </w:r>
      <w:r w:rsidRPr="00A964FF">
        <w:rPr>
          <w:rStyle w:val="00Char"/>
          <w:rFonts w:ascii="Calibri" w:hAnsi="Calibri" w:hint="eastAsia"/>
          <w:color w:val="auto"/>
        </w:rPr>
        <w:t>月完成。</w:t>
      </w:r>
      <w:r w:rsidRPr="00A964FF">
        <w:rPr>
          <w:rStyle w:val="00Char"/>
          <w:rFonts w:ascii="Calibri" w:hAnsi="Calibri" w:hint="eastAsia"/>
          <w:color w:val="auto"/>
        </w:rPr>
        <w:t>1976</w:t>
      </w:r>
      <w:r w:rsidRPr="00A964FF">
        <w:rPr>
          <w:rStyle w:val="00Char"/>
          <w:rFonts w:ascii="Calibri" w:hAnsi="Calibri" w:hint="eastAsia"/>
          <w:color w:val="auto"/>
        </w:rPr>
        <w:t>年副溢洪道底宽由</w:t>
      </w:r>
      <w:r w:rsidRPr="00A964FF">
        <w:rPr>
          <w:rStyle w:val="00Char"/>
          <w:rFonts w:ascii="Calibri" w:hAnsi="Calibri" w:hint="eastAsia"/>
          <w:color w:val="auto"/>
        </w:rPr>
        <w:t>15</w:t>
      </w:r>
      <w:r w:rsidRPr="00A964FF">
        <w:rPr>
          <w:rStyle w:val="00Char"/>
          <w:rFonts w:ascii="Calibri" w:hAnsi="Calibri" w:hint="eastAsia"/>
          <w:color w:val="auto"/>
        </w:rPr>
        <w:t>米扩至</w:t>
      </w:r>
      <w:r w:rsidRPr="00A964FF">
        <w:rPr>
          <w:rStyle w:val="00Char"/>
          <w:rFonts w:ascii="Calibri" w:hAnsi="Calibri" w:hint="eastAsia"/>
          <w:color w:val="auto"/>
        </w:rPr>
        <w:t>40</w:t>
      </w:r>
      <w:r w:rsidRPr="00A964FF">
        <w:rPr>
          <w:rStyle w:val="00Char"/>
          <w:rFonts w:ascii="Calibri" w:hAnsi="Calibri" w:hint="eastAsia"/>
          <w:color w:val="auto"/>
        </w:rPr>
        <w:t>米，底高降低</w:t>
      </w:r>
      <w:r w:rsidRPr="00A964FF">
        <w:rPr>
          <w:rStyle w:val="00Char"/>
          <w:rFonts w:ascii="Calibri" w:hAnsi="Calibri" w:hint="eastAsia"/>
          <w:color w:val="auto"/>
        </w:rPr>
        <w:t>2</w:t>
      </w:r>
      <w:r w:rsidRPr="00A964FF">
        <w:rPr>
          <w:rStyle w:val="00Char"/>
          <w:rFonts w:ascii="Calibri" w:hAnsi="Calibri" w:hint="eastAsia"/>
          <w:color w:val="auto"/>
        </w:rPr>
        <w:t>米，可防御</w:t>
      </w:r>
      <w:r w:rsidRPr="00A964FF">
        <w:rPr>
          <w:rStyle w:val="00Char"/>
          <w:rFonts w:ascii="Calibri" w:hAnsi="Calibri" w:hint="eastAsia"/>
          <w:color w:val="auto"/>
        </w:rPr>
        <w:t>2000</w:t>
      </w:r>
      <w:r w:rsidRPr="00A964FF">
        <w:rPr>
          <w:rStyle w:val="00Char"/>
          <w:rFonts w:ascii="Calibri" w:hAnsi="Calibri" w:hint="eastAsia"/>
          <w:color w:val="auto"/>
        </w:rPr>
        <w:t>年一遇洪水，</w:t>
      </w:r>
      <w:r w:rsidRPr="00A964FF">
        <w:rPr>
          <w:rStyle w:val="00Char"/>
          <w:rFonts w:ascii="Calibri" w:hAnsi="Calibri" w:hint="eastAsia"/>
          <w:color w:val="auto"/>
        </w:rPr>
        <w:t>1977</w:t>
      </w:r>
      <w:r w:rsidRPr="00A964FF">
        <w:rPr>
          <w:rStyle w:val="00Char"/>
          <w:rFonts w:ascii="Calibri" w:hAnsi="Calibri" w:hint="eastAsia"/>
          <w:color w:val="auto"/>
        </w:rPr>
        <w:t>年</w:t>
      </w:r>
      <w:r w:rsidRPr="00A964FF">
        <w:rPr>
          <w:rStyle w:val="00Char"/>
          <w:rFonts w:ascii="Calibri" w:hAnsi="Calibri" w:hint="eastAsia"/>
          <w:color w:val="auto"/>
        </w:rPr>
        <w:t>10</w:t>
      </w:r>
      <w:r w:rsidRPr="00A964FF">
        <w:rPr>
          <w:rStyle w:val="00Char"/>
          <w:rFonts w:ascii="Calibri" w:hAnsi="Calibri" w:hint="eastAsia"/>
          <w:color w:val="auto"/>
        </w:rPr>
        <w:t>月完成。</w:t>
      </w:r>
    </w:p>
    <w:p w14:paraId="49994D49" w14:textId="77777777" w:rsidR="00F57EE0" w:rsidRDefault="00F57EE0" w:rsidP="00F57EE0">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澧河，长江水系淮河支流颍河支流沙河的支流。澧河干流全部在河南省境内，发源于方城县四里店村西北栗树沟，流经叶县、舞阳县，至漯河市区西入沙河，全长</w:t>
      </w:r>
      <w:r w:rsidRPr="00A964FF">
        <w:rPr>
          <w:rStyle w:val="00Char"/>
          <w:rFonts w:ascii="Calibri" w:hAnsi="Calibri" w:hint="eastAsia"/>
          <w:color w:val="auto"/>
        </w:rPr>
        <w:t>163</w:t>
      </w:r>
      <w:r w:rsidRPr="00A964FF">
        <w:rPr>
          <w:rStyle w:val="00Char"/>
          <w:rFonts w:ascii="Calibri" w:hAnsi="Calibri" w:hint="eastAsia"/>
          <w:color w:val="auto"/>
        </w:rPr>
        <w:t>公里，流域面积</w:t>
      </w:r>
      <w:r w:rsidRPr="00A964FF">
        <w:rPr>
          <w:rStyle w:val="00Char"/>
          <w:rFonts w:ascii="Calibri" w:hAnsi="Calibri" w:hint="eastAsia"/>
          <w:color w:val="auto"/>
        </w:rPr>
        <w:t>2787</w:t>
      </w:r>
      <w:r w:rsidRPr="00A964FF">
        <w:rPr>
          <w:rStyle w:val="00Char"/>
          <w:rFonts w:ascii="Calibri" w:hAnsi="Calibri" w:hint="eastAsia"/>
          <w:color w:val="auto"/>
        </w:rPr>
        <w:t>平方公里，河床比降平均约</w:t>
      </w:r>
      <w:r w:rsidRPr="00A964FF">
        <w:rPr>
          <w:rStyle w:val="00Char"/>
          <w:rFonts w:ascii="Calibri" w:hAnsi="Calibri" w:hint="eastAsia"/>
          <w:color w:val="auto"/>
        </w:rPr>
        <w:t>1/3000</w:t>
      </w:r>
      <w:r w:rsidRPr="00A964FF">
        <w:rPr>
          <w:rStyle w:val="00Char"/>
          <w:rFonts w:ascii="Calibri" w:hAnsi="Calibri" w:hint="eastAsia"/>
          <w:color w:val="auto"/>
        </w:rPr>
        <w:t>。在叶县，澧河经方城县拐河街东流入境，经常村、夏李、旧县、龙泉、坟台</w:t>
      </w:r>
      <w:r w:rsidRPr="00A964FF">
        <w:rPr>
          <w:rStyle w:val="00Char"/>
          <w:rFonts w:ascii="Calibri" w:hAnsi="Calibri" w:hint="eastAsia"/>
          <w:color w:val="auto"/>
        </w:rPr>
        <w:t>5</w:t>
      </w:r>
      <w:r w:rsidRPr="00A964FF">
        <w:rPr>
          <w:rStyle w:val="00Char"/>
          <w:rFonts w:ascii="Calibri" w:hAnsi="Calibri" w:hint="eastAsia"/>
          <w:color w:val="auto"/>
        </w:rPr>
        <w:t>个乡，于坟台乡潘寨村南入舞阳县。县境内长</w:t>
      </w:r>
      <w:r w:rsidRPr="00A964FF">
        <w:rPr>
          <w:rStyle w:val="00Char"/>
          <w:rFonts w:ascii="Calibri" w:hAnsi="Calibri" w:hint="eastAsia"/>
          <w:color w:val="auto"/>
        </w:rPr>
        <w:t>51</w:t>
      </w:r>
      <w:r w:rsidRPr="00A964FF">
        <w:rPr>
          <w:rStyle w:val="00Char"/>
          <w:rFonts w:ascii="Calibri" w:hAnsi="Calibri" w:hint="eastAsia"/>
          <w:color w:val="auto"/>
        </w:rPr>
        <w:t>公里，流域面积约</w:t>
      </w:r>
      <w:r w:rsidRPr="00A964FF">
        <w:rPr>
          <w:rStyle w:val="00Char"/>
          <w:rFonts w:ascii="Calibri" w:hAnsi="Calibri" w:hint="eastAsia"/>
          <w:color w:val="auto"/>
        </w:rPr>
        <w:t>430</w:t>
      </w:r>
      <w:r w:rsidRPr="00A964FF">
        <w:rPr>
          <w:rStyle w:val="00Char"/>
          <w:rFonts w:ascii="Calibri" w:hAnsi="Calibri" w:hint="eastAsia"/>
          <w:color w:val="auto"/>
        </w:rPr>
        <w:t>平方公里。</w:t>
      </w:r>
    </w:p>
    <w:p w14:paraId="1936BECA" w14:textId="77777777" w:rsidR="005D40E5" w:rsidRPr="003C27C7" w:rsidRDefault="005D40E5" w:rsidP="003C27C7">
      <w:pPr>
        <w:spacing w:line="520" w:lineRule="exact"/>
        <w:ind w:firstLineChars="200" w:firstLine="480"/>
        <w:jc w:val="left"/>
        <w:rPr>
          <w:rStyle w:val="00Char"/>
          <w:rFonts w:ascii="Calibri" w:hAnsi="Calibri"/>
        </w:rPr>
      </w:pPr>
      <w:r w:rsidRPr="005D40E5">
        <w:rPr>
          <w:rFonts w:ascii="Calibri"/>
          <w:sz w:val="24"/>
        </w:rPr>
        <w:t>灰河是沙河的一级支流，发源于鲁山县境内的樱桃山里寺沟，自西向东流经鲁山、叶县、舞阳三个县，从叶县常村乡五间房入境，流经任店、城关、昆阳、田庄、马庄、仙台、廉村、邓李、水寨</w:t>
      </w:r>
      <w:r w:rsidRPr="005D40E5">
        <w:rPr>
          <w:rFonts w:ascii="Calibri" w:hAnsi="Calibri"/>
          <w:sz w:val="24"/>
        </w:rPr>
        <w:t>9</w:t>
      </w:r>
      <w:r w:rsidRPr="005D40E5">
        <w:rPr>
          <w:rFonts w:ascii="Calibri"/>
          <w:sz w:val="24"/>
        </w:rPr>
        <w:t>个乡镇入舞阳县境，于舞阳县的北舞渡入沙河，河流全长</w:t>
      </w:r>
      <w:r w:rsidRPr="005D40E5">
        <w:rPr>
          <w:rFonts w:ascii="Calibri" w:hAnsi="Calibri"/>
          <w:sz w:val="24"/>
        </w:rPr>
        <w:t>81.9km</w:t>
      </w:r>
      <w:r w:rsidRPr="005D40E5">
        <w:rPr>
          <w:rFonts w:ascii="Calibri"/>
          <w:sz w:val="24"/>
        </w:rPr>
        <w:t>，流域面积</w:t>
      </w:r>
      <w:r w:rsidRPr="005D40E5">
        <w:rPr>
          <w:rFonts w:ascii="Calibri" w:hAnsi="Calibri"/>
          <w:sz w:val="24"/>
        </w:rPr>
        <w:t>485km</w:t>
      </w:r>
      <w:r w:rsidRPr="005D40E5">
        <w:rPr>
          <w:rFonts w:ascii="Calibri" w:hAnsi="Calibri"/>
          <w:sz w:val="24"/>
          <w:vertAlign w:val="superscript"/>
        </w:rPr>
        <w:t>2</w:t>
      </w:r>
      <w:r w:rsidRPr="005D40E5">
        <w:rPr>
          <w:rFonts w:ascii="Calibri"/>
          <w:sz w:val="24"/>
        </w:rPr>
        <w:t>，是平顶山叶县地区骨干排水河道。</w:t>
      </w:r>
      <w:r w:rsidR="003C27C7">
        <w:rPr>
          <w:rFonts w:ascii="Calibri" w:hint="eastAsia"/>
          <w:sz w:val="24"/>
        </w:rPr>
        <w:t>根据水功能区划，灰河属于</w:t>
      </w:r>
      <w:r w:rsidR="003C27C7" w:rsidRPr="003C27C7">
        <w:rPr>
          <w:rFonts w:ascii="Calibri" w:hint="eastAsia"/>
          <w:sz w:val="24"/>
        </w:rPr>
        <w:t>Ⅳ</w:t>
      </w:r>
      <w:r w:rsidR="003C27C7">
        <w:rPr>
          <w:rFonts w:ascii="Calibri" w:hint="eastAsia"/>
          <w:sz w:val="24"/>
        </w:rPr>
        <w:t>类水体，项目所在区域灰河下游控制断面为屈庄断面。</w:t>
      </w:r>
    </w:p>
    <w:p w14:paraId="644219FB" w14:textId="77777777" w:rsidR="00090497" w:rsidRPr="00090497" w:rsidRDefault="0055605A" w:rsidP="00090497">
      <w:pPr>
        <w:pStyle w:val="000"/>
        <w:rPr>
          <w:rStyle w:val="00Char"/>
          <w:rFonts w:hAnsi="Calibri"/>
          <w:b/>
        </w:rPr>
      </w:pPr>
      <w:r w:rsidRPr="00A964FF">
        <w:rPr>
          <w:rFonts w:hint="eastAsia"/>
          <w:b/>
        </w:rPr>
        <w:t>2</w:t>
      </w:r>
      <w:r w:rsidRPr="00A964FF">
        <w:rPr>
          <w:rFonts w:hint="eastAsia"/>
          <w:b/>
        </w:rPr>
        <w:t>、</w:t>
      </w:r>
      <w:r w:rsidRPr="00A964FF">
        <w:rPr>
          <w:b/>
        </w:rPr>
        <w:t>地下水</w:t>
      </w:r>
    </w:p>
    <w:p w14:paraId="56EBA0C7" w14:textId="77777777" w:rsidR="001A5EC6" w:rsidRPr="00AC555A" w:rsidRDefault="001A5EC6" w:rsidP="001A5EC6">
      <w:pPr>
        <w:spacing w:line="520" w:lineRule="exact"/>
        <w:ind w:firstLineChars="200" w:firstLine="480"/>
        <w:rPr>
          <w:rFonts w:asciiTheme="minorHAnsi" w:hAnsiTheme="minorHAnsi"/>
          <w:sz w:val="24"/>
        </w:rPr>
      </w:pPr>
      <w:r w:rsidRPr="00AC555A">
        <w:rPr>
          <w:rFonts w:asciiTheme="minorHAnsi" w:hAnsiTheme="minorHAnsi"/>
          <w:sz w:val="24"/>
        </w:rPr>
        <w:t>叶县地下水可利用量为</w:t>
      </w:r>
      <w:r w:rsidRPr="00AC555A">
        <w:rPr>
          <w:rFonts w:asciiTheme="minorHAnsi" w:hAnsiTheme="minorHAnsi"/>
          <w:sz w:val="24"/>
        </w:rPr>
        <w:t xml:space="preserve">5860 </w:t>
      </w:r>
      <w:r w:rsidRPr="00AC555A">
        <w:rPr>
          <w:rFonts w:asciiTheme="minorHAnsi" w:hAnsiTheme="minorHAnsi"/>
          <w:sz w:val="24"/>
        </w:rPr>
        <w:t>万</w:t>
      </w:r>
      <w:r w:rsidRPr="00AC555A">
        <w:rPr>
          <w:rFonts w:asciiTheme="minorHAnsi" w:hAnsiTheme="minorHAnsi"/>
          <w:sz w:val="24"/>
        </w:rPr>
        <w:t>m</w:t>
      </w:r>
      <w:r w:rsidRPr="00AC555A">
        <w:rPr>
          <w:rFonts w:asciiTheme="minorHAnsi" w:hAnsiTheme="minorHAnsi"/>
          <w:sz w:val="24"/>
          <w:vertAlign w:val="superscript"/>
        </w:rPr>
        <w:t>3</w:t>
      </w:r>
      <w:r w:rsidRPr="00AC555A">
        <w:rPr>
          <w:rFonts w:asciiTheme="minorHAnsi" w:hAnsiTheme="minorHAnsi"/>
          <w:sz w:val="24"/>
        </w:rPr>
        <w:t>，占浅层地下水资源的</w:t>
      </w:r>
      <w:r w:rsidRPr="00AC555A">
        <w:rPr>
          <w:rFonts w:asciiTheme="minorHAnsi" w:hAnsiTheme="minorHAnsi"/>
          <w:sz w:val="24"/>
        </w:rPr>
        <w:t>29.4%</w:t>
      </w:r>
      <w:r w:rsidRPr="00AC555A">
        <w:rPr>
          <w:rFonts w:asciiTheme="minorHAnsi" w:hAnsiTheme="minorHAnsi"/>
          <w:sz w:val="24"/>
        </w:rPr>
        <w:t>，城区地下水含水层为冲积、洪积层，浅水层一般距地面</w:t>
      </w:r>
      <w:r w:rsidRPr="00AC555A">
        <w:rPr>
          <w:rFonts w:asciiTheme="minorHAnsi" w:hAnsiTheme="minorHAnsi"/>
          <w:sz w:val="24"/>
        </w:rPr>
        <w:t>4</w:t>
      </w:r>
      <w:r w:rsidRPr="00AC555A">
        <w:rPr>
          <w:rFonts w:asciiTheme="minorHAnsi" w:hAnsiTheme="minorHAnsi"/>
          <w:sz w:val="24"/>
        </w:rPr>
        <w:t>～</w:t>
      </w:r>
      <w:r w:rsidRPr="00AC555A">
        <w:rPr>
          <w:rFonts w:asciiTheme="minorHAnsi" w:hAnsiTheme="minorHAnsi"/>
          <w:sz w:val="24"/>
        </w:rPr>
        <w:t>6m</w:t>
      </w:r>
      <w:r w:rsidRPr="00AC555A">
        <w:rPr>
          <w:rFonts w:asciiTheme="minorHAnsi" w:hAnsiTheme="minorHAnsi"/>
          <w:sz w:val="24"/>
        </w:rPr>
        <w:t>，水力坡度小，依靠大气降水补给，雨季河水补给，灰河两岸单井涌水量</w:t>
      </w:r>
      <w:r w:rsidRPr="00AC555A">
        <w:rPr>
          <w:rFonts w:asciiTheme="minorHAnsi" w:hAnsiTheme="minorHAnsi"/>
          <w:sz w:val="24"/>
        </w:rPr>
        <w:t xml:space="preserve">2000 </w:t>
      </w:r>
      <w:r w:rsidRPr="00AC555A">
        <w:rPr>
          <w:rFonts w:asciiTheme="minorHAnsi" w:hAnsiTheme="minorHAnsi"/>
          <w:sz w:val="24"/>
        </w:rPr>
        <w:t>余</w:t>
      </w:r>
      <w:r w:rsidRPr="00AC555A">
        <w:rPr>
          <w:rFonts w:asciiTheme="minorHAnsi" w:hAnsiTheme="minorHAnsi"/>
          <w:sz w:val="24"/>
        </w:rPr>
        <w:t>m</w:t>
      </w:r>
      <w:r w:rsidRPr="00AC555A">
        <w:rPr>
          <w:rFonts w:asciiTheme="minorHAnsi" w:hAnsiTheme="minorHAnsi"/>
          <w:sz w:val="24"/>
          <w:vertAlign w:val="superscript"/>
        </w:rPr>
        <w:t>3</w:t>
      </w:r>
      <w:r w:rsidRPr="00AC555A">
        <w:rPr>
          <w:rFonts w:asciiTheme="minorHAnsi" w:hAnsiTheme="minorHAnsi"/>
          <w:sz w:val="24"/>
        </w:rPr>
        <w:t>/d</w:t>
      </w:r>
      <w:r w:rsidRPr="00AC555A">
        <w:rPr>
          <w:rFonts w:asciiTheme="minorHAnsi" w:hAnsiTheme="minorHAnsi"/>
          <w:sz w:val="24"/>
        </w:rPr>
        <w:t>，</w:t>
      </w:r>
      <w:r w:rsidRPr="00AC555A">
        <w:rPr>
          <w:rFonts w:asciiTheme="minorHAnsi" w:hAnsiTheme="minorHAnsi"/>
          <w:sz w:val="24"/>
        </w:rPr>
        <w:t xml:space="preserve">pH </w:t>
      </w:r>
      <w:r w:rsidRPr="00AC555A">
        <w:rPr>
          <w:rFonts w:asciiTheme="minorHAnsi" w:hAnsiTheme="minorHAnsi"/>
          <w:sz w:val="24"/>
        </w:rPr>
        <w:t>值为中软水，水质类型为</w:t>
      </w:r>
      <w:r w:rsidRPr="00AC555A">
        <w:rPr>
          <w:rFonts w:asciiTheme="minorHAnsi" w:hAnsiTheme="minorHAnsi"/>
          <w:sz w:val="24"/>
        </w:rPr>
        <w:t>HCO</w:t>
      </w:r>
      <w:r w:rsidRPr="00AC555A">
        <w:rPr>
          <w:rFonts w:asciiTheme="minorHAnsi" w:hAnsiTheme="minorHAnsi"/>
          <w:sz w:val="24"/>
          <w:vertAlign w:val="subscript"/>
        </w:rPr>
        <w:t>3</w:t>
      </w:r>
      <w:r w:rsidRPr="00AC555A">
        <w:rPr>
          <w:rFonts w:asciiTheme="minorHAnsi" w:hAnsiTheme="minorHAnsi"/>
          <w:sz w:val="24"/>
        </w:rPr>
        <w:t>-Ca-Mg</w:t>
      </w:r>
      <w:r w:rsidRPr="00AC555A">
        <w:rPr>
          <w:rFonts w:asciiTheme="minorHAnsi" w:hAnsiTheme="minorHAnsi"/>
          <w:sz w:val="24"/>
        </w:rPr>
        <w:t>。</w:t>
      </w:r>
      <w:r w:rsidRPr="00AC555A">
        <w:rPr>
          <w:rFonts w:asciiTheme="minorHAnsi" w:hAnsiTheme="minorHAnsi"/>
          <w:sz w:val="24"/>
        </w:rPr>
        <w:t xml:space="preserve">60m </w:t>
      </w:r>
      <w:r w:rsidRPr="00AC555A">
        <w:rPr>
          <w:rFonts w:asciiTheme="minorHAnsi" w:hAnsiTheme="minorHAnsi"/>
          <w:sz w:val="24"/>
        </w:rPr>
        <w:t>以内含水层水质较差，</w:t>
      </w:r>
      <w:r w:rsidRPr="00AC555A">
        <w:rPr>
          <w:rFonts w:asciiTheme="minorHAnsi" w:hAnsiTheme="minorHAnsi"/>
          <w:sz w:val="24"/>
        </w:rPr>
        <w:t>91.50</w:t>
      </w:r>
      <w:r w:rsidRPr="00AC555A">
        <w:rPr>
          <w:rFonts w:asciiTheme="minorHAnsi" w:hAnsiTheme="minorHAnsi"/>
          <w:sz w:val="24"/>
        </w:rPr>
        <w:t>～</w:t>
      </w:r>
      <w:r w:rsidRPr="00AC555A">
        <w:rPr>
          <w:rFonts w:asciiTheme="minorHAnsi" w:hAnsiTheme="minorHAnsi"/>
          <w:sz w:val="24"/>
        </w:rPr>
        <w:t xml:space="preserve">136.10m </w:t>
      </w:r>
      <w:r w:rsidRPr="00AC555A">
        <w:rPr>
          <w:rFonts w:asciiTheme="minorHAnsi" w:hAnsiTheme="minorHAnsi"/>
          <w:sz w:val="24"/>
        </w:rPr>
        <w:t>为主要富水段，</w:t>
      </w:r>
      <w:r w:rsidRPr="00AC555A">
        <w:rPr>
          <w:rFonts w:asciiTheme="minorHAnsi" w:hAnsiTheme="minorHAnsi"/>
          <w:sz w:val="24"/>
        </w:rPr>
        <w:t>91.50</w:t>
      </w:r>
      <w:r w:rsidRPr="00AC555A">
        <w:rPr>
          <w:rFonts w:asciiTheme="minorHAnsi" w:hAnsiTheme="minorHAnsi"/>
          <w:sz w:val="24"/>
        </w:rPr>
        <w:t>～</w:t>
      </w:r>
      <w:r w:rsidRPr="00AC555A">
        <w:rPr>
          <w:rFonts w:asciiTheme="minorHAnsi" w:hAnsiTheme="minorHAnsi"/>
          <w:sz w:val="24"/>
        </w:rPr>
        <w:t xml:space="preserve">136.10m </w:t>
      </w:r>
      <w:r w:rsidRPr="00AC555A">
        <w:rPr>
          <w:rFonts w:asciiTheme="minorHAnsi" w:hAnsiTheme="minorHAnsi"/>
          <w:sz w:val="24"/>
        </w:rPr>
        <w:t>为主要富水段，地下水走向大体为由西南向东北方向径流。</w:t>
      </w:r>
    </w:p>
    <w:p w14:paraId="2883D008" w14:textId="77777777" w:rsidR="001A5EC6" w:rsidRPr="006B496C" w:rsidRDefault="001A5EC6" w:rsidP="001A5EC6">
      <w:pPr>
        <w:spacing w:line="520" w:lineRule="exact"/>
        <w:ind w:firstLineChars="200" w:firstLine="480"/>
        <w:rPr>
          <w:rFonts w:asciiTheme="minorHAnsi" w:hAnsiTheme="minorHAnsi"/>
          <w:sz w:val="24"/>
        </w:rPr>
      </w:pPr>
      <w:r w:rsidRPr="006B496C">
        <w:rPr>
          <w:rFonts w:asciiTheme="minorHAnsi" w:hAnsiTheme="minorHAnsi"/>
          <w:sz w:val="24"/>
        </w:rPr>
        <w:t>（</w:t>
      </w:r>
      <w:r w:rsidRPr="006B496C">
        <w:rPr>
          <w:rFonts w:asciiTheme="minorHAnsi" w:hAnsiTheme="minorHAnsi"/>
          <w:sz w:val="24"/>
        </w:rPr>
        <w:t>1</w:t>
      </w:r>
      <w:r w:rsidRPr="006B496C">
        <w:rPr>
          <w:rFonts w:asciiTheme="minorHAnsi" w:hAnsiTheme="minorHAnsi"/>
          <w:sz w:val="24"/>
        </w:rPr>
        <w:t>）区域水文地质状况</w:t>
      </w:r>
    </w:p>
    <w:p w14:paraId="63D07F4C" w14:textId="77777777" w:rsidR="001A5EC6" w:rsidRPr="00AC555A" w:rsidRDefault="001A5EC6" w:rsidP="006B496C">
      <w:pPr>
        <w:spacing w:line="520" w:lineRule="exact"/>
        <w:ind w:firstLineChars="200" w:firstLine="480"/>
        <w:rPr>
          <w:rFonts w:asciiTheme="minorHAnsi" w:hAnsiTheme="minorHAnsi"/>
          <w:sz w:val="24"/>
        </w:rPr>
      </w:pPr>
      <w:r w:rsidRPr="006B496C">
        <w:rPr>
          <w:rFonts w:asciiTheme="minorHAnsi" w:hAnsiTheme="minorHAnsi"/>
          <w:sz w:val="24"/>
        </w:rPr>
        <w:t>本项目位于平顶山尼龙新材料产业集聚区，项目所在地地下水系统属沙河地下水系统，地层为第四系松散堆积物，存在厚度大于</w:t>
      </w:r>
      <w:r w:rsidRPr="006B496C">
        <w:rPr>
          <w:rFonts w:asciiTheme="minorHAnsi" w:hAnsiTheme="minorHAnsi"/>
          <w:sz w:val="24"/>
        </w:rPr>
        <w:t xml:space="preserve">10m </w:t>
      </w:r>
      <w:r w:rsidRPr="006B496C">
        <w:rPr>
          <w:rFonts w:asciiTheme="minorHAnsi" w:hAnsiTheme="minorHAnsi"/>
          <w:sz w:val="24"/>
        </w:rPr>
        <w:t>的下更新统（更新统是更新</w:t>
      </w:r>
      <w:r w:rsidRPr="00AC555A">
        <w:rPr>
          <w:rFonts w:asciiTheme="minorHAnsi" w:hAnsiTheme="minorHAnsi"/>
          <w:sz w:val="24"/>
        </w:rPr>
        <w:lastRenderedPageBreak/>
        <w:t>世形成的地层，可分为下更新统、中更新统和上更新统）含钙核粘土层和亚粘土层将含水岩组分为上、下含水岩组。上部含水岩组细砂和砂卵石层，地下水类型为松散岩类孔隙水。下部地层岩性为第四系下更新统冰水沉积的棕红、灰绿和灰白色泥质粉细砂、泥质砂砾石和粘性土，局部呈半固状态，主要含水岩组为细砂和砂卵石层。根据调查区域地下水类型属松散岩类孔隙水，划分为浅层水和中深层地下水。浅层地下水开发利用方式主要为农业灌溉用水和部分村庄居民生活饮用开采，井深为</w:t>
      </w:r>
      <w:r w:rsidRPr="00AC555A">
        <w:rPr>
          <w:rFonts w:asciiTheme="minorHAnsi" w:hAnsiTheme="minorHAnsi"/>
          <w:sz w:val="24"/>
        </w:rPr>
        <w:t>20</w:t>
      </w:r>
      <w:r w:rsidRPr="00AC555A">
        <w:rPr>
          <w:rFonts w:asciiTheme="minorHAnsi" w:hAnsiTheme="minorHAnsi"/>
          <w:sz w:val="24"/>
        </w:rPr>
        <w:t>～</w:t>
      </w:r>
      <w:r w:rsidRPr="00AC555A">
        <w:rPr>
          <w:rFonts w:asciiTheme="minorHAnsi" w:hAnsiTheme="minorHAnsi"/>
          <w:sz w:val="24"/>
        </w:rPr>
        <w:t>50m</w:t>
      </w:r>
      <w:r w:rsidRPr="00AC555A">
        <w:rPr>
          <w:rFonts w:asciiTheme="minorHAnsi" w:hAnsiTheme="minorHAnsi"/>
          <w:sz w:val="24"/>
        </w:rPr>
        <w:t>。中深层地下水开发利用方式主要为居民生活饮用水开采，井深多为</w:t>
      </w:r>
      <w:r w:rsidRPr="00AC555A">
        <w:rPr>
          <w:rFonts w:asciiTheme="minorHAnsi" w:hAnsiTheme="minorHAnsi"/>
          <w:sz w:val="24"/>
        </w:rPr>
        <w:t>120m</w:t>
      </w:r>
      <w:r w:rsidRPr="00AC555A">
        <w:rPr>
          <w:rFonts w:asciiTheme="minorHAnsi" w:hAnsiTheme="minorHAnsi"/>
          <w:sz w:val="24"/>
        </w:rPr>
        <w:t>左右。受地貌及地层条件控制，地下水径流缓慢，本区地下水的径流方向与地形倾向基本一致。地下水由西南向东北方向径流，水力坡度一般在</w:t>
      </w:r>
      <w:r w:rsidRPr="00AC555A">
        <w:rPr>
          <w:rFonts w:asciiTheme="minorHAnsi" w:hAnsiTheme="minorHAnsi"/>
          <w:sz w:val="24"/>
        </w:rPr>
        <w:t>0.5</w:t>
      </w:r>
      <w:r w:rsidRPr="00AC555A">
        <w:rPr>
          <w:rFonts w:asciiTheme="minorHAnsi" w:hAnsiTheme="minorHAnsi"/>
          <w:sz w:val="24"/>
        </w:rPr>
        <w:t>～</w:t>
      </w:r>
      <w:r w:rsidRPr="00AC555A">
        <w:rPr>
          <w:rFonts w:asciiTheme="minorHAnsi" w:hAnsiTheme="minorHAnsi"/>
          <w:sz w:val="24"/>
        </w:rPr>
        <w:t>1.0‰</w:t>
      </w:r>
      <w:r w:rsidRPr="00AC555A">
        <w:rPr>
          <w:rFonts w:asciiTheme="minorHAnsi" w:hAnsiTheme="minorHAnsi"/>
          <w:sz w:val="24"/>
        </w:rPr>
        <w:t>；在北部沿沙河地区，地下水向北径流，地下水补给河水，水力坡度一般在</w:t>
      </w:r>
      <w:r w:rsidRPr="00AC555A">
        <w:rPr>
          <w:rFonts w:asciiTheme="minorHAnsi" w:hAnsiTheme="minorHAnsi"/>
          <w:sz w:val="24"/>
        </w:rPr>
        <w:t>1.0</w:t>
      </w:r>
      <w:r w:rsidRPr="00AC555A">
        <w:rPr>
          <w:rFonts w:asciiTheme="minorHAnsi" w:hAnsiTheme="minorHAnsi"/>
          <w:sz w:val="24"/>
        </w:rPr>
        <w:t>～</w:t>
      </w:r>
      <w:r w:rsidRPr="00AC555A">
        <w:rPr>
          <w:rFonts w:asciiTheme="minorHAnsi" w:hAnsiTheme="minorHAnsi"/>
          <w:sz w:val="24"/>
        </w:rPr>
        <w:t>2.0‰</w:t>
      </w:r>
      <w:r w:rsidRPr="00AC555A">
        <w:rPr>
          <w:rFonts w:asciiTheme="minorHAnsi" w:hAnsiTheme="minorHAnsi"/>
          <w:sz w:val="24"/>
        </w:rPr>
        <w:t>左右。</w:t>
      </w:r>
    </w:p>
    <w:p w14:paraId="50B06FE2" w14:textId="77777777" w:rsidR="001A5EC6" w:rsidRPr="006B496C" w:rsidRDefault="001A5EC6" w:rsidP="001A5EC6">
      <w:pPr>
        <w:spacing w:line="520" w:lineRule="exact"/>
        <w:ind w:firstLineChars="200" w:firstLine="480"/>
        <w:rPr>
          <w:rFonts w:asciiTheme="minorHAnsi" w:hAnsiTheme="minorHAnsi"/>
          <w:sz w:val="24"/>
        </w:rPr>
      </w:pPr>
      <w:r w:rsidRPr="006B496C">
        <w:rPr>
          <w:rFonts w:asciiTheme="minorHAnsi" w:hAnsiTheme="minorHAnsi"/>
          <w:sz w:val="24"/>
        </w:rPr>
        <w:t>（</w:t>
      </w:r>
      <w:r w:rsidRPr="006B496C">
        <w:rPr>
          <w:rFonts w:asciiTheme="minorHAnsi" w:hAnsiTheme="minorHAnsi"/>
          <w:sz w:val="24"/>
        </w:rPr>
        <w:t>2</w:t>
      </w:r>
      <w:r w:rsidRPr="006B496C">
        <w:rPr>
          <w:rFonts w:asciiTheme="minorHAnsi" w:hAnsiTheme="minorHAnsi"/>
          <w:sz w:val="24"/>
        </w:rPr>
        <w:t>）地下水类型及特征</w:t>
      </w:r>
    </w:p>
    <w:p w14:paraId="1BC112D0" w14:textId="77777777" w:rsidR="001A5EC6" w:rsidRPr="006B496C" w:rsidRDefault="001A5EC6" w:rsidP="001A5EC6">
      <w:pPr>
        <w:spacing w:line="520" w:lineRule="exact"/>
        <w:ind w:firstLineChars="200" w:firstLine="480"/>
        <w:rPr>
          <w:rFonts w:asciiTheme="minorHAnsi" w:hAnsiTheme="minorHAnsi"/>
          <w:sz w:val="24"/>
        </w:rPr>
      </w:pPr>
      <w:r w:rsidRPr="006B496C">
        <w:rPr>
          <w:rFonts w:asciiTheme="minorHAnsi" w:hAnsiTheme="minorHAnsi"/>
          <w:sz w:val="24"/>
        </w:rPr>
        <w:t>根据地下水赋存介质和赋存介质的空间分布，区内（叶县境内）地下水可分为松散岩类孔隙水、碎屑岩类裂隙水、碳酸盐岩类裂隙岩溶水和基岩裂隙水。松散岩类孔隙水含水岩组水是集聚区内的主要的地下水含水岩组，依据地下水埋藏条件和水力联系特征，划分为浅层含水岩组和中深层含水岩组。</w:t>
      </w:r>
    </w:p>
    <w:p w14:paraId="58FB63A4" w14:textId="77777777" w:rsidR="001A5EC6" w:rsidRPr="00AC555A" w:rsidRDefault="001A5EC6" w:rsidP="001A5EC6">
      <w:pPr>
        <w:spacing w:line="520" w:lineRule="exact"/>
        <w:ind w:firstLineChars="200" w:firstLine="480"/>
        <w:rPr>
          <w:rFonts w:asciiTheme="minorHAnsi" w:hAnsiTheme="minorHAnsi"/>
          <w:sz w:val="24"/>
        </w:rPr>
      </w:pPr>
      <w:r>
        <w:rPr>
          <w:rFonts w:hint="eastAsia"/>
          <w:sz w:val="24"/>
        </w:rPr>
        <w:t>①</w:t>
      </w:r>
      <w:r w:rsidRPr="00AC555A">
        <w:rPr>
          <w:rFonts w:asciiTheme="minorHAnsi" w:hAnsiTheme="minorHAnsi"/>
          <w:sz w:val="24"/>
        </w:rPr>
        <w:t>浅层含水岩组的岩性为以细砂、砂砾石、粉质黏土为主，呈松散状、颗粒较粗，泥质含量稍高，孔隙发育，是集聚区内地下水主要含水层，其水流向总体上与地形倾向一致，即由西南向东北方向径流，径流速度缓慢，水力坡度介于</w:t>
      </w:r>
      <w:r w:rsidRPr="00AC555A">
        <w:rPr>
          <w:rFonts w:asciiTheme="minorHAnsi" w:hAnsiTheme="minorHAnsi"/>
          <w:sz w:val="24"/>
        </w:rPr>
        <w:t>0.1‰-1.4‰</w:t>
      </w:r>
      <w:r w:rsidRPr="00AC555A">
        <w:rPr>
          <w:rFonts w:asciiTheme="minorHAnsi" w:hAnsiTheme="minorHAnsi"/>
          <w:sz w:val="24"/>
        </w:rPr>
        <w:t>。产业集聚区内浅水含水层埋深</w:t>
      </w:r>
      <w:r w:rsidRPr="00AC555A">
        <w:rPr>
          <w:rFonts w:asciiTheme="minorHAnsi" w:hAnsiTheme="minorHAnsi"/>
          <w:sz w:val="24"/>
        </w:rPr>
        <w:t xml:space="preserve">20m-50m </w:t>
      </w:r>
      <w:r w:rsidRPr="00AC555A">
        <w:rPr>
          <w:rFonts w:asciiTheme="minorHAnsi" w:hAnsiTheme="minorHAnsi"/>
          <w:sz w:val="24"/>
        </w:rPr>
        <w:t>左右。</w:t>
      </w:r>
    </w:p>
    <w:p w14:paraId="3F2A7F9E" w14:textId="77777777" w:rsidR="001A5EC6" w:rsidRDefault="001A5EC6" w:rsidP="001A5EC6">
      <w:pPr>
        <w:spacing w:line="520" w:lineRule="exact"/>
        <w:ind w:firstLineChars="200" w:firstLine="480"/>
        <w:rPr>
          <w:sz w:val="24"/>
        </w:rPr>
      </w:pPr>
      <w:r>
        <w:rPr>
          <w:rFonts w:hint="eastAsia"/>
          <w:sz w:val="24"/>
        </w:rPr>
        <w:t>区域浅水含水层底板埋深变化较大，含水砂层的空间分布不均。地下水浅水含水层在沙河及其北部以上更新统为主，中部的广大平原地区以中更新统为主，中南部为中更新统和少量下更新统，山前岗地则以下更新统为主。</w:t>
      </w:r>
    </w:p>
    <w:p w14:paraId="5C6E9F99" w14:textId="77777777" w:rsidR="001A5EC6" w:rsidRPr="00AC555A" w:rsidRDefault="001A5EC6" w:rsidP="001A5EC6">
      <w:pPr>
        <w:spacing w:line="520" w:lineRule="exact"/>
        <w:ind w:firstLineChars="200" w:firstLine="480"/>
        <w:rPr>
          <w:rFonts w:asciiTheme="minorHAnsi" w:hAnsiTheme="minorHAnsi"/>
          <w:sz w:val="24"/>
        </w:rPr>
      </w:pPr>
      <w:r w:rsidRPr="00AC555A">
        <w:rPr>
          <w:rFonts w:asciiTheme="minorHAnsi" w:hAnsiTheme="minorHAnsi"/>
          <w:sz w:val="24"/>
        </w:rPr>
        <w:t>浅水含水层厚度，以中更新统时期沙河沉积中心的寺庄</w:t>
      </w:r>
      <w:r w:rsidRPr="00AC555A">
        <w:rPr>
          <w:rFonts w:asciiTheme="minorHAnsi" w:hAnsiTheme="minorHAnsi"/>
          <w:sz w:val="24"/>
        </w:rPr>
        <w:t>-</w:t>
      </w:r>
      <w:r w:rsidRPr="00AC555A">
        <w:rPr>
          <w:rFonts w:asciiTheme="minorHAnsi" w:hAnsiTheme="minorHAnsi"/>
          <w:sz w:val="24"/>
        </w:rPr>
        <w:t>叶县县城附近</w:t>
      </w:r>
      <w:r w:rsidRPr="00AC555A">
        <w:rPr>
          <w:rFonts w:asciiTheme="minorHAnsi" w:hAnsiTheme="minorHAnsi"/>
          <w:sz w:val="24"/>
        </w:rPr>
        <w:t>-</w:t>
      </w:r>
      <w:r w:rsidRPr="00AC555A">
        <w:rPr>
          <w:rFonts w:asciiTheme="minorHAnsi" w:hAnsiTheme="minorHAnsi"/>
          <w:sz w:val="24"/>
        </w:rPr>
        <w:t>廉村一带为最大，一般厚度在</w:t>
      </w:r>
      <w:r w:rsidRPr="00AC555A">
        <w:rPr>
          <w:rFonts w:asciiTheme="minorHAnsi" w:hAnsiTheme="minorHAnsi"/>
          <w:sz w:val="24"/>
        </w:rPr>
        <w:t>40-50m</w:t>
      </w:r>
      <w:r w:rsidRPr="00AC555A">
        <w:rPr>
          <w:rFonts w:asciiTheme="minorHAnsi" w:hAnsiTheme="minorHAnsi"/>
          <w:sz w:val="24"/>
        </w:rPr>
        <w:t>，最大厚度达</w:t>
      </w:r>
      <w:r w:rsidRPr="00AC555A">
        <w:rPr>
          <w:rFonts w:asciiTheme="minorHAnsi" w:hAnsiTheme="minorHAnsi"/>
          <w:sz w:val="24"/>
        </w:rPr>
        <w:t>60.2m</w:t>
      </w:r>
      <w:r w:rsidRPr="00AC555A">
        <w:rPr>
          <w:rFonts w:asciiTheme="minorHAnsi" w:hAnsiTheme="minorHAnsi"/>
          <w:sz w:val="24"/>
        </w:rPr>
        <w:t>，呈二元结构。东北的遵化</w:t>
      </w:r>
      <w:r w:rsidRPr="00AC555A">
        <w:rPr>
          <w:rFonts w:asciiTheme="minorHAnsi" w:hAnsiTheme="minorHAnsi"/>
          <w:sz w:val="24"/>
        </w:rPr>
        <w:t>-</w:t>
      </w:r>
      <w:r w:rsidRPr="00AC555A">
        <w:rPr>
          <w:rFonts w:asciiTheme="minorHAnsi" w:hAnsiTheme="minorHAnsi"/>
          <w:sz w:val="24"/>
        </w:rPr>
        <w:t>洪庄杨</w:t>
      </w:r>
      <w:r w:rsidRPr="00AC555A">
        <w:rPr>
          <w:rFonts w:asciiTheme="minorHAnsi" w:hAnsiTheme="minorHAnsi"/>
          <w:sz w:val="24"/>
        </w:rPr>
        <w:t>-</w:t>
      </w:r>
      <w:r w:rsidRPr="00AC555A">
        <w:rPr>
          <w:rFonts w:asciiTheme="minorHAnsi" w:hAnsiTheme="minorHAnsi"/>
          <w:sz w:val="24"/>
        </w:rPr>
        <w:t>邓李</w:t>
      </w:r>
      <w:r w:rsidRPr="00AC555A">
        <w:rPr>
          <w:rFonts w:asciiTheme="minorHAnsi" w:hAnsiTheme="minorHAnsi"/>
          <w:sz w:val="24"/>
        </w:rPr>
        <w:t>-</w:t>
      </w:r>
      <w:r w:rsidRPr="00AC555A">
        <w:rPr>
          <w:rFonts w:asciiTheme="minorHAnsi" w:hAnsiTheme="minorHAnsi"/>
          <w:sz w:val="24"/>
        </w:rPr>
        <w:t>水寨东一带厚度小于</w:t>
      </w:r>
      <w:r w:rsidRPr="00AC555A">
        <w:rPr>
          <w:rFonts w:asciiTheme="minorHAnsi" w:hAnsiTheme="minorHAnsi"/>
          <w:sz w:val="24"/>
        </w:rPr>
        <w:t>10m</w:t>
      </w:r>
      <w:r w:rsidRPr="00AC555A">
        <w:rPr>
          <w:rFonts w:asciiTheme="minorHAnsi" w:hAnsiTheme="minorHAnsi"/>
          <w:sz w:val="24"/>
        </w:rPr>
        <w:t>。集聚区单井出水量</w:t>
      </w:r>
      <w:r w:rsidRPr="00AC555A">
        <w:rPr>
          <w:rFonts w:asciiTheme="minorHAnsi" w:hAnsiTheme="minorHAnsi"/>
          <w:sz w:val="24"/>
        </w:rPr>
        <w:t>500-1000m</w:t>
      </w:r>
      <w:r w:rsidRPr="00AC555A">
        <w:rPr>
          <w:rFonts w:asciiTheme="minorHAnsi" w:hAnsiTheme="minorHAnsi"/>
          <w:sz w:val="24"/>
          <w:vertAlign w:val="superscript"/>
        </w:rPr>
        <w:t>3</w:t>
      </w:r>
      <w:r w:rsidRPr="00AC555A">
        <w:rPr>
          <w:rFonts w:asciiTheme="minorHAnsi" w:hAnsiTheme="minorHAnsi"/>
          <w:sz w:val="24"/>
        </w:rPr>
        <w:t>/d</w:t>
      </w:r>
      <w:r w:rsidRPr="00AC555A">
        <w:rPr>
          <w:rFonts w:asciiTheme="minorHAnsi" w:hAnsiTheme="minorHAnsi"/>
          <w:sz w:val="24"/>
        </w:rPr>
        <w:t>，属于弱富水区。</w:t>
      </w:r>
    </w:p>
    <w:p w14:paraId="1AED8A33" w14:textId="77777777" w:rsidR="001A5EC6" w:rsidRPr="00AC555A" w:rsidRDefault="001A5EC6" w:rsidP="001A5EC6">
      <w:pPr>
        <w:spacing w:line="520" w:lineRule="exact"/>
        <w:ind w:firstLineChars="200" w:firstLine="480"/>
        <w:rPr>
          <w:rFonts w:asciiTheme="minorHAnsi" w:hAnsiTheme="minorHAnsi"/>
          <w:sz w:val="24"/>
        </w:rPr>
      </w:pPr>
      <w:r>
        <w:rPr>
          <w:rFonts w:hint="eastAsia"/>
          <w:sz w:val="24"/>
        </w:rPr>
        <w:t>②中深层含水层岩组均为下更新统的泥质砂层、泥质沙砾卵石层。</w:t>
      </w:r>
      <w:r w:rsidRPr="00AC555A">
        <w:rPr>
          <w:rFonts w:asciiTheme="minorHAnsi" w:hAnsiTheme="minorHAnsi"/>
          <w:sz w:val="24"/>
        </w:rPr>
        <w:t>顶板埋深</w:t>
      </w:r>
      <w:r w:rsidRPr="00AC555A">
        <w:rPr>
          <w:rFonts w:asciiTheme="minorHAnsi" w:hAnsiTheme="minorHAnsi"/>
          <w:sz w:val="24"/>
        </w:rPr>
        <w:t>33.2-</w:t>
      </w:r>
      <w:r w:rsidRPr="00AC555A">
        <w:rPr>
          <w:rFonts w:asciiTheme="minorHAnsi" w:hAnsiTheme="minorHAnsi"/>
          <w:sz w:val="24"/>
        </w:rPr>
        <w:lastRenderedPageBreak/>
        <w:t>87.3m</w:t>
      </w:r>
      <w:r w:rsidRPr="00AC555A">
        <w:rPr>
          <w:rFonts w:asciiTheme="minorHAnsi" w:hAnsiTheme="minorHAnsi"/>
          <w:sz w:val="24"/>
        </w:rPr>
        <w:t>，在寺庄</w:t>
      </w:r>
      <w:r w:rsidRPr="00AC555A">
        <w:rPr>
          <w:rFonts w:asciiTheme="minorHAnsi" w:hAnsiTheme="minorHAnsi"/>
          <w:sz w:val="24"/>
        </w:rPr>
        <w:t>-</w:t>
      </w:r>
      <w:r w:rsidRPr="00AC555A">
        <w:rPr>
          <w:rFonts w:asciiTheme="minorHAnsi" w:hAnsiTheme="minorHAnsi"/>
          <w:sz w:val="24"/>
        </w:rPr>
        <w:t>堤郑和叶县县城以东广大地区顶板埋深大于</w:t>
      </w:r>
      <w:r w:rsidRPr="00AC555A">
        <w:rPr>
          <w:rFonts w:asciiTheme="minorHAnsi" w:hAnsiTheme="minorHAnsi"/>
          <w:sz w:val="24"/>
        </w:rPr>
        <w:t>60m</w:t>
      </w:r>
      <w:r w:rsidRPr="00AC555A">
        <w:rPr>
          <w:rFonts w:asciiTheme="minorHAnsi" w:hAnsiTheme="minorHAnsi"/>
          <w:sz w:val="24"/>
        </w:rPr>
        <w:t>，其它地带多为</w:t>
      </w:r>
      <w:r w:rsidRPr="00AC555A">
        <w:rPr>
          <w:rFonts w:asciiTheme="minorHAnsi" w:hAnsiTheme="minorHAnsi"/>
          <w:sz w:val="24"/>
        </w:rPr>
        <w:t>40-50m</w:t>
      </w:r>
      <w:r w:rsidRPr="00AC555A">
        <w:rPr>
          <w:rFonts w:asciiTheme="minorHAnsi" w:hAnsiTheme="minorHAnsi"/>
          <w:sz w:val="24"/>
        </w:rPr>
        <w:t>。含水岩组为多层结构、总厚度变化较大，从几米到数十米，一般在</w:t>
      </w:r>
      <w:r w:rsidRPr="00AC555A">
        <w:rPr>
          <w:rFonts w:asciiTheme="minorHAnsi" w:hAnsiTheme="minorHAnsi"/>
          <w:sz w:val="24"/>
        </w:rPr>
        <w:t>20-40m</w:t>
      </w:r>
      <w:r w:rsidRPr="00AC555A">
        <w:rPr>
          <w:rFonts w:asciiTheme="minorHAnsi" w:hAnsiTheme="minorHAnsi"/>
          <w:sz w:val="24"/>
        </w:rPr>
        <w:t>，最大达</w:t>
      </w:r>
      <w:r w:rsidRPr="00AC555A">
        <w:rPr>
          <w:rFonts w:asciiTheme="minorHAnsi" w:hAnsiTheme="minorHAnsi"/>
          <w:sz w:val="24"/>
        </w:rPr>
        <w:t>70.9m</w:t>
      </w:r>
      <w:r w:rsidRPr="00AC555A">
        <w:rPr>
          <w:rFonts w:asciiTheme="minorHAnsi" w:hAnsiTheme="minorHAnsi"/>
          <w:sz w:val="24"/>
        </w:rPr>
        <w:t>。区域上的分布大体与浅层含水岩组一致。集聚区内中深层含水层埋深大于</w:t>
      </w:r>
      <w:r w:rsidRPr="00AC555A">
        <w:rPr>
          <w:rFonts w:asciiTheme="minorHAnsi" w:hAnsiTheme="minorHAnsi"/>
          <w:sz w:val="24"/>
        </w:rPr>
        <w:t>60m</w:t>
      </w:r>
      <w:r w:rsidRPr="00AC555A">
        <w:rPr>
          <w:rFonts w:asciiTheme="minorHAnsi" w:hAnsiTheme="minorHAnsi"/>
          <w:sz w:val="24"/>
        </w:rPr>
        <w:t>。集聚区单井出水量大于</w:t>
      </w:r>
      <w:r w:rsidRPr="00AC555A">
        <w:rPr>
          <w:rFonts w:asciiTheme="minorHAnsi" w:hAnsiTheme="minorHAnsi"/>
          <w:sz w:val="24"/>
        </w:rPr>
        <w:t>3000m</w:t>
      </w:r>
      <w:r w:rsidRPr="00AC555A">
        <w:rPr>
          <w:rFonts w:asciiTheme="minorHAnsi" w:hAnsiTheme="minorHAnsi"/>
          <w:sz w:val="24"/>
          <w:vertAlign w:val="superscript"/>
        </w:rPr>
        <w:t>3</w:t>
      </w:r>
      <w:r w:rsidRPr="00AC555A">
        <w:rPr>
          <w:rFonts w:asciiTheme="minorHAnsi" w:hAnsiTheme="minorHAnsi"/>
          <w:sz w:val="24"/>
        </w:rPr>
        <w:t>/d</w:t>
      </w:r>
      <w:r w:rsidRPr="00AC555A">
        <w:rPr>
          <w:rFonts w:asciiTheme="minorHAnsi" w:hAnsiTheme="minorHAnsi"/>
          <w:sz w:val="24"/>
        </w:rPr>
        <w:t>，属于极富水区。</w:t>
      </w:r>
    </w:p>
    <w:p w14:paraId="25DB834C" w14:textId="77777777" w:rsidR="001A5EC6" w:rsidRDefault="001A5EC6" w:rsidP="001A5EC6">
      <w:pPr>
        <w:spacing w:line="520" w:lineRule="exact"/>
        <w:ind w:firstLineChars="200" w:firstLine="480"/>
        <w:rPr>
          <w:sz w:val="24"/>
        </w:rPr>
      </w:pPr>
      <w:r>
        <w:rPr>
          <w:rFonts w:hint="eastAsia"/>
          <w:sz w:val="24"/>
        </w:rPr>
        <w:t>区域的浅层地下水和中深层地下水之间有渗透性较弱的粘土层隔开，隔水层分布稳定，厚度较大，地层连续性较好，对垂直渗透的污染物阻隔作用明显，因此中深层含水层与浅层含水层之间水力联系较弱。</w:t>
      </w:r>
    </w:p>
    <w:p w14:paraId="7148B9FF" w14:textId="77777777" w:rsidR="001A5EC6" w:rsidRPr="006B496C" w:rsidRDefault="001A5EC6" w:rsidP="001A5EC6">
      <w:pPr>
        <w:spacing w:line="520" w:lineRule="exact"/>
        <w:ind w:firstLineChars="200" w:firstLine="480"/>
        <w:rPr>
          <w:rFonts w:asciiTheme="minorHAnsi" w:hAnsiTheme="minorHAnsi"/>
          <w:sz w:val="24"/>
        </w:rPr>
      </w:pPr>
      <w:r w:rsidRPr="006B496C">
        <w:rPr>
          <w:rFonts w:asciiTheme="minorHAnsi" w:hAnsiTheme="minorHAnsi"/>
          <w:sz w:val="24"/>
        </w:rPr>
        <w:t>（</w:t>
      </w:r>
      <w:r w:rsidRPr="006B496C">
        <w:rPr>
          <w:rFonts w:asciiTheme="minorHAnsi" w:hAnsiTheme="minorHAnsi"/>
          <w:sz w:val="24"/>
        </w:rPr>
        <w:t>3</w:t>
      </w:r>
      <w:r w:rsidRPr="006B496C">
        <w:rPr>
          <w:rFonts w:asciiTheme="minorHAnsi" w:hAnsiTheme="minorHAnsi"/>
          <w:sz w:val="24"/>
        </w:rPr>
        <w:t>）区域浅层地下水补给、径流及排泄特征</w:t>
      </w:r>
    </w:p>
    <w:p w14:paraId="0E145F1B" w14:textId="77777777" w:rsidR="001A5EC6" w:rsidRDefault="001A5EC6" w:rsidP="001A5EC6">
      <w:pPr>
        <w:spacing w:line="520" w:lineRule="exact"/>
        <w:ind w:firstLineChars="200" w:firstLine="480"/>
        <w:rPr>
          <w:sz w:val="24"/>
        </w:rPr>
      </w:pPr>
      <w:r>
        <w:rPr>
          <w:rFonts w:hint="eastAsia"/>
          <w:sz w:val="24"/>
        </w:rPr>
        <w:t>①补给</w:t>
      </w:r>
    </w:p>
    <w:p w14:paraId="3E913ED7" w14:textId="77777777" w:rsidR="001A5EC6" w:rsidRDefault="001A5EC6" w:rsidP="001A5EC6">
      <w:pPr>
        <w:spacing w:line="520" w:lineRule="exact"/>
        <w:ind w:firstLineChars="200" w:firstLine="480"/>
        <w:rPr>
          <w:sz w:val="24"/>
        </w:rPr>
      </w:pPr>
      <w:r>
        <w:rPr>
          <w:rFonts w:hint="eastAsia"/>
          <w:sz w:val="24"/>
        </w:rPr>
        <w:t>调查区的地下水的补给来源有：降水入渗补给、地下水侧向径流补给及灌溉渗漏补给。</w:t>
      </w:r>
    </w:p>
    <w:p w14:paraId="65248223" w14:textId="77777777" w:rsidR="001A5EC6" w:rsidRDefault="001A5EC6" w:rsidP="001A5EC6">
      <w:pPr>
        <w:spacing w:line="520" w:lineRule="exact"/>
        <w:ind w:firstLineChars="200" w:firstLine="480"/>
        <w:rPr>
          <w:sz w:val="24"/>
        </w:rPr>
      </w:pPr>
      <w:r>
        <w:rPr>
          <w:rFonts w:hint="eastAsia"/>
          <w:sz w:val="24"/>
        </w:rPr>
        <w:t>ⅰ降水入渗补给</w:t>
      </w:r>
    </w:p>
    <w:p w14:paraId="44A17638" w14:textId="77777777" w:rsidR="001A5EC6" w:rsidRDefault="001A5EC6" w:rsidP="001A5EC6">
      <w:pPr>
        <w:spacing w:line="520" w:lineRule="exact"/>
        <w:ind w:firstLineChars="200" w:firstLine="480"/>
        <w:rPr>
          <w:sz w:val="24"/>
        </w:rPr>
      </w:pPr>
      <w:r>
        <w:rPr>
          <w:rFonts w:hint="eastAsia"/>
          <w:sz w:val="24"/>
        </w:rPr>
        <w:t>调查区地形平坦，自沙河岸边至叶廉路，包气带岩性由细砂渐变为粉土、粉质粘土，局部为粘土，渗透性差，降水入渗逐渐减弱。降雨入渗的多少与降雨历时、强度、包气带厚度、渗透性息息相关。雨量大、历时长、包气带渗透性强、地表径流条件差有利于降雨入渗，入渗补给量大，表现在地下水位上升明显。该区降水主要集中在</w:t>
      </w:r>
      <w:r>
        <w:rPr>
          <w:rFonts w:hint="eastAsia"/>
          <w:sz w:val="24"/>
        </w:rPr>
        <w:t xml:space="preserve">7-9 </w:t>
      </w:r>
      <w:r>
        <w:rPr>
          <w:rFonts w:hint="eastAsia"/>
          <w:sz w:val="24"/>
        </w:rPr>
        <w:t>月份，因而降水入渗补给具有明显的季节性，反映在地下水位动态上，补给期地下水位呈上升趋势。</w:t>
      </w:r>
    </w:p>
    <w:p w14:paraId="014125B4" w14:textId="77777777" w:rsidR="001A5EC6" w:rsidRDefault="001A5EC6" w:rsidP="001A5EC6">
      <w:pPr>
        <w:spacing w:line="520" w:lineRule="exact"/>
        <w:ind w:firstLineChars="200" w:firstLine="480"/>
        <w:rPr>
          <w:sz w:val="24"/>
        </w:rPr>
      </w:pPr>
      <w:r>
        <w:rPr>
          <w:rFonts w:hint="eastAsia"/>
          <w:sz w:val="24"/>
        </w:rPr>
        <w:t>ⅱ地下水侧向径流补给</w:t>
      </w:r>
    </w:p>
    <w:p w14:paraId="3B501853" w14:textId="77777777" w:rsidR="001A5EC6" w:rsidRPr="00AC555A" w:rsidRDefault="001A5EC6" w:rsidP="00AC555A">
      <w:pPr>
        <w:spacing w:line="520" w:lineRule="exact"/>
        <w:ind w:firstLineChars="200" w:firstLine="480"/>
        <w:rPr>
          <w:rFonts w:asciiTheme="minorHAnsi" w:hAnsiTheme="minorHAnsi"/>
          <w:sz w:val="24"/>
        </w:rPr>
      </w:pPr>
      <w:r w:rsidRPr="00AC555A">
        <w:rPr>
          <w:rFonts w:asciiTheme="minorHAnsi" w:hAnsiTheme="minorHAnsi"/>
          <w:sz w:val="24"/>
        </w:rPr>
        <w:t>项目所在地区地下水西南向东北方向径流，区内地形平坦，地下水径流缓慢，土层渗透系数小于</w:t>
      </w:r>
      <w:r w:rsidRPr="00AC555A">
        <w:rPr>
          <w:rFonts w:asciiTheme="minorHAnsi" w:hAnsiTheme="minorHAnsi"/>
          <w:sz w:val="24"/>
        </w:rPr>
        <w:t>0.5m/d</w:t>
      </w:r>
      <w:r w:rsidRPr="00AC555A">
        <w:rPr>
          <w:rFonts w:asciiTheme="minorHAnsi" w:hAnsiTheme="minorHAnsi"/>
          <w:sz w:val="24"/>
        </w:rPr>
        <w:t>，水力坡度一般在</w:t>
      </w:r>
      <w:r w:rsidRPr="00AC555A">
        <w:rPr>
          <w:rFonts w:asciiTheme="minorHAnsi" w:hAnsiTheme="minorHAnsi"/>
          <w:sz w:val="24"/>
        </w:rPr>
        <w:t>0.3‰-2.0‰</w:t>
      </w:r>
      <w:r w:rsidRPr="00AC555A">
        <w:rPr>
          <w:rFonts w:asciiTheme="minorHAnsi" w:hAnsiTheme="minorHAnsi"/>
          <w:sz w:val="24"/>
        </w:rPr>
        <w:t>。</w:t>
      </w:r>
    </w:p>
    <w:p w14:paraId="0AC1E8E5" w14:textId="77777777" w:rsidR="001A5EC6" w:rsidRDefault="001A5EC6" w:rsidP="001A5EC6">
      <w:pPr>
        <w:spacing w:line="520" w:lineRule="exact"/>
        <w:ind w:firstLineChars="200" w:firstLine="480"/>
        <w:rPr>
          <w:sz w:val="24"/>
        </w:rPr>
      </w:pPr>
      <w:r>
        <w:rPr>
          <w:rFonts w:hint="eastAsia"/>
          <w:sz w:val="24"/>
        </w:rPr>
        <w:t>ⅲ灌溉渗漏补给</w:t>
      </w:r>
    </w:p>
    <w:p w14:paraId="4C1055BC" w14:textId="77777777" w:rsidR="001A5EC6" w:rsidRDefault="001A5EC6" w:rsidP="001A5EC6">
      <w:pPr>
        <w:spacing w:line="520" w:lineRule="exact"/>
        <w:ind w:firstLineChars="200" w:firstLine="480"/>
        <w:rPr>
          <w:sz w:val="24"/>
        </w:rPr>
      </w:pPr>
      <w:r>
        <w:rPr>
          <w:rFonts w:hint="eastAsia"/>
          <w:sz w:val="24"/>
        </w:rPr>
        <w:t>调查区大量分布灌渠，区内地表岩性大部分为细砂、粉土，南部为粉质粘土。旱季农田灌溉时地表水下渗补给地下水，具有明显的季节性。</w:t>
      </w:r>
    </w:p>
    <w:p w14:paraId="29B5DE25" w14:textId="77777777" w:rsidR="001A5EC6" w:rsidRDefault="001A5EC6" w:rsidP="001A5EC6">
      <w:pPr>
        <w:spacing w:line="520" w:lineRule="exact"/>
        <w:ind w:firstLineChars="200" w:firstLine="480"/>
        <w:rPr>
          <w:sz w:val="24"/>
        </w:rPr>
      </w:pPr>
      <w:r>
        <w:rPr>
          <w:rFonts w:hint="eastAsia"/>
          <w:sz w:val="24"/>
        </w:rPr>
        <w:t>②径流</w:t>
      </w:r>
    </w:p>
    <w:p w14:paraId="41180AE8" w14:textId="77777777" w:rsidR="001A5EC6" w:rsidRPr="00AC555A" w:rsidRDefault="001A5EC6" w:rsidP="001A5EC6">
      <w:pPr>
        <w:spacing w:line="520" w:lineRule="exact"/>
        <w:ind w:firstLineChars="200" w:firstLine="480"/>
        <w:rPr>
          <w:rFonts w:asciiTheme="minorHAnsi" w:hAnsiTheme="minorHAnsi"/>
          <w:sz w:val="24"/>
        </w:rPr>
      </w:pPr>
      <w:r>
        <w:rPr>
          <w:rFonts w:hint="eastAsia"/>
          <w:sz w:val="24"/>
        </w:rPr>
        <w:t>受地貌及地层条件控制，地下水径流缓慢，本区地下水的径流方向与地形倾向基</w:t>
      </w:r>
      <w:r w:rsidRPr="00AC555A">
        <w:rPr>
          <w:rFonts w:asciiTheme="minorHAnsi" w:hAnsiTheme="minorHAnsi"/>
          <w:sz w:val="24"/>
        </w:rPr>
        <w:lastRenderedPageBreak/>
        <w:t>本一致。地下水由西南向东北方向径流，水力坡度一般在</w:t>
      </w:r>
      <w:r w:rsidRPr="00AC555A">
        <w:rPr>
          <w:rFonts w:asciiTheme="minorHAnsi" w:hAnsiTheme="minorHAnsi"/>
          <w:sz w:val="24"/>
        </w:rPr>
        <w:t>0.5‰-1.0‰</w:t>
      </w:r>
      <w:r w:rsidRPr="00AC555A">
        <w:rPr>
          <w:rFonts w:asciiTheme="minorHAnsi" w:hAnsiTheme="minorHAnsi"/>
          <w:sz w:val="24"/>
        </w:rPr>
        <w:t>；在北部沿沙河地区，地下水向北径流，地下水补给河水，水力坡度一般在</w:t>
      </w:r>
      <w:r w:rsidRPr="00AC555A">
        <w:rPr>
          <w:rFonts w:asciiTheme="minorHAnsi" w:hAnsiTheme="minorHAnsi"/>
          <w:sz w:val="24"/>
        </w:rPr>
        <w:t>1‰-2‰</w:t>
      </w:r>
      <w:r w:rsidRPr="00AC555A">
        <w:rPr>
          <w:rFonts w:asciiTheme="minorHAnsi" w:hAnsiTheme="minorHAnsi"/>
          <w:sz w:val="24"/>
        </w:rPr>
        <w:t>左右。</w:t>
      </w:r>
    </w:p>
    <w:p w14:paraId="52673B79" w14:textId="77777777" w:rsidR="001A5EC6" w:rsidRDefault="001A5EC6" w:rsidP="001A5EC6">
      <w:pPr>
        <w:spacing w:line="520" w:lineRule="exact"/>
        <w:ind w:firstLineChars="200" w:firstLine="480"/>
        <w:rPr>
          <w:sz w:val="24"/>
        </w:rPr>
      </w:pPr>
      <w:r>
        <w:rPr>
          <w:rFonts w:hint="eastAsia"/>
          <w:sz w:val="24"/>
        </w:rPr>
        <w:t>③排泄</w:t>
      </w:r>
    </w:p>
    <w:p w14:paraId="5D617EF3" w14:textId="77777777" w:rsidR="001A5EC6" w:rsidRDefault="001A5EC6" w:rsidP="001A5EC6">
      <w:pPr>
        <w:spacing w:line="520" w:lineRule="exact"/>
        <w:ind w:firstLineChars="200" w:firstLine="480"/>
        <w:rPr>
          <w:sz w:val="24"/>
        </w:rPr>
      </w:pPr>
      <w:r>
        <w:rPr>
          <w:rFonts w:hint="eastAsia"/>
          <w:sz w:val="24"/>
        </w:rPr>
        <w:t>本区地下水排泄方式为人工开采和侧向径流排泄。人工开采排泄形式主要有农业灌溉、居民生活用水等。根据现场调查，调查区沙河水位略低于岸边地下水水位，地下水排泄至沙河。</w:t>
      </w:r>
    </w:p>
    <w:p w14:paraId="005022FF" w14:textId="77777777" w:rsidR="001A5EC6" w:rsidRPr="006B496C" w:rsidRDefault="001A5EC6" w:rsidP="001A5EC6">
      <w:pPr>
        <w:spacing w:line="520" w:lineRule="exact"/>
        <w:ind w:firstLineChars="200" w:firstLine="480"/>
        <w:rPr>
          <w:rFonts w:asciiTheme="minorHAnsi" w:hAnsiTheme="minorHAnsi"/>
          <w:sz w:val="24"/>
        </w:rPr>
      </w:pPr>
      <w:r w:rsidRPr="006B496C">
        <w:rPr>
          <w:rFonts w:asciiTheme="minorHAnsi" w:hAnsiTheme="minorHAnsi"/>
          <w:sz w:val="24"/>
        </w:rPr>
        <w:t>（</w:t>
      </w:r>
      <w:r w:rsidRPr="006B496C">
        <w:rPr>
          <w:rFonts w:asciiTheme="minorHAnsi" w:hAnsiTheme="minorHAnsi"/>
          <w:sz w:val="24"/>
        </w:rPr>
        <w:t>4</w:t>
      </w:r>
      <w:r w:rsidRPr="006B496C">
        <w:rPr>
          <w:rFonts w:asciiTheme="minorHAnsi" w:hAnsiTheme="minorHAnsi"/>
          <w:sz w:val="24"/>
        </w:rPr>
        <w:t>）地下水水位动态特征</w:t>
      </w:r>
    </w:p>
    <w:p w14:paraId="1D5B47A3" w14:textId="77777777" w:rsidR="001A5EC6" w:rsidRPr="00AC555A" w:rsidRDefault="001A5EC6" w:rsidP="001A5EC6">
      <w:pPr>
        <w:spacing w:line="520" w:lineRule="exact"/>
        <w:ind w:firstLineChars="200" w:firstLine="480"/>
        <w:rPr>
          <w:rFonts w:asciiTheme="minorHAnsi" w:hAnsiTheme="minorHAnsi"/>
          <w:sz w:val="24"/>
        </w:rPr>
      </w:pPr>
      <w:r w:rsidRPr="00AC555A">
        <w:rPr>
          <w:rFonts w:asciiTheme="minorHAnsi" w:hAnsiTheme="minorHAnsi"/>
          <w:sz w:val="24"/>
        </w:rPr>
        <w:t>浅层地下水动态变化主要受大气降水和农业开采影响。年内水位动态表现出：丰水期（</w:t>
      </w:r>
      <w:r w:rsidRPr="00AC555A">
        <w:rPr>
          <w:rFonts w:asciiTheme="minorHAnsi" w:hAnsiTheme="minorHAnsi"/>
          <w:sz w:val="24"/>
        </w:rPr>
        <w:t>7</w:t>
      </w:r>
      <w:r w:rsidRPr="00AC555A">
        <w:rPr>
          <w:rFonts w:asciiTheme="minorHAnsi" w:hAnsiTheme="minorHAnsi"/>
          <w:sz w:val="24"/>
        </w:rPr>
        <w:t>、</w:t>
      </w:r>
      <w:r w:rsidRPr="00AC555A">
        <w:rPr>
          <w:rFonts w:asciiTheme="minorHAnsi" w:hAnsiTheme="minorHAnsi"/>
          <w:sz w:val="24"/>
        </w:rPr>
        <w:t>8</w:t>
      </w:r>
      <w:r w:rsidRPr="00AC555A">
        <w:rPr>
          <w:rFonts w:asciiTheme="minorHAnsi" w:hAnsiTheme="minorHAnsi"/>
          <w:sz w:val="24"/>
        </w:rPr>
        <w:t>、</w:t>
      </w:r>
      <w:r w:rsidRPr="00AC555A">
        <w:rPr>
          <w:rFonts w:asciiTheme="minorHAnsi" w:hAnsiTheme="minorHAnsi"/>
          <w:sz w:val="24"/>
        </w:rPr>
        <w:t xml:space="preserve">9 </w:t>
      </w:r>
      <w:r w:rsidRPr="00AC555A">
        <w:rPr>
          <w:rFonts w:asciiTheme="minorHAnsi" w:hAnsiTheme="minorHAnsi"/>
          <w:sz w:val="24"/>
        </w:rPr>
        <w:t>月）降雨入渗补给大，同时农业开采相对减少，使得地下水位上升；枯水期（</w:t>
      </w:r>
      <w:r w:rsidRPr="00AC555A">
        <w:rPr>
          <w:rFonts w:asciiTheme="minorHAnsi" w:hAnsiTheme="minorHAnsi"/>
          <w:sz w:val="24"/>
        </w:rPr>
        <w:t>4</w:t>
      </w:r>
      <w:r w:rsidRPr="00AC555A">
        <w:rPr>
          <w:rFonts w:asciiTheme="minorHAnsi" w:hAnsiTheme="minorHAnsi"/>
          <w:sz w:val="24"/>
        </w:rPr>
        <w:t>、</w:t>
      </w:r>
      <w:r w:rsidRPr="00AC555A">
        <w:rPr>
          <w:rFonts w:asciiTheme="minorHAnsi" w:hAnsiTheme="minorHAnsi"/>
          <w:sz w:val="24"/>
        </w:rPr>
        <w:t>5</w:t>
      </w:r>
      <w:r w:rsidRPr="00AC555A">
        <w:rPr>
          <w:rFonts w:asciiTheme="minorHAnsi" w:hAnsiTheme="minorHAnsi"/>
          <w:sz w:val="24"/>
        </w:rPr>
        <w:t>、</w:t>
      </w:r>
      <w:r w:rsidRPr="00AC555A">
        <w:rPr>
          <w:rFonts w:asciiTheme="minorHAnsi" w:hAnsiTheme="minorHAnsi"/>
          <w:sz w:val="24"/>
        </w:rPr>
        <w:t xml:space="preserve">6 </w:t>
      </w:r>
      <w:r w:rsidRPr="00AC555A">
        <w:rPr>
          <w:rFonts w:asciiTheme="minorHAnsi" w:hAnsiTheme="minorHAnsi"/>
          <w:sz w:val="24"/>
        </w:rPr>
        <w:t>月）降水量小，农业灌溉开采量大，使得地下水位下降。年内地下水高水位出现在</w:t>
      </w:r>
      <w:r w:rsidRPr="00AC555A">
        <w:rPr>
          <w:rFonts w:asciiTheme="minorHAnsi" w:hAnsiTheme="minorHAnsi"/>
          <w:sz w:val="24"/>
        </w:rPr>
        <w:t>8</w:t>
      </w:r>
      <w:r w:rsidRPr="00AC555A">
        <w:rPr>
          <w:rFonts w:asciiTheme="minorHAnsi" w:hAnsiTheme="minorHAnsi"/>
          <w:sz w:val="24"/>
        </w:rPr>
        <w:t>、</w:t>
      </w:r>
      <w:r w:rsidRPr="00AC555A">
        <w:rPr>
          <w:rFonts w:asciiTheme="minorHAnsi" w:hAnsiTheme="minorHAnsi"/>
          <w:sz w:val="24"/>
        </w:rPr>
        <w:t xml:space="preserve">9 </w:t>
      </w:r>
      <w:r w:rsidRPr="00AC555A">
        <w:rPr>
          <w:rFonts w:asciiTheme="minorHAnsi" w:hAnsiTheme="minorHAnsi"/>
          <w:sz w:val="24"/>
        </w:rPr>
        <w:t>月份，低水位出现在</w:t>
      </w:r>
      <w:r w:rsidRPr="00AC555A">
        <w:rPr>
          <w:rFonts w:asciiTheme="minorHAnsi" w:hAnsiTheme="minorHAnsi"/>
          <w:sz w:val="24"/>
        </w:rPr>
        <w:t>5</w:t>
      </w:r>
      <w:r w:rsidRPr="00AC555A">
        <w:rPr>
          <w:rFonts w:asciiTheme="minorHAnsi" w:hAnsiTheme="minorHAnsi"/>
          <w:sz w:val="24"/>
        </w:rPr>
        <w:t>、</w:t>
      </w:r>
      <w:r w:rsidRPr="00AC555A">
        <w:rPr>
          <w:rFonts w:asciiTheme="minorHAnsi" w:hAnsiTheme="minorHAnsi"/>
          <w:sz w:val="24"/>
        </w:rPr>
        <w:t xml:space="preserve">6 </w:t>
      </w:r>
      <w:r w:rsidRPr="00AC555A">
        <w:rPr>
          <w:rFonts w:asciiTheme="minorHAnsi" w:hAnsiTheme="minorHAnsi"/>
          <w:sz w:val="24"/>
        </w:rPr>
        <w:t>月份，根据区域水位动态资料，年水位变幅一般在</w:t>
      </w:r>
      <w:r w:rsidRPr="00AC555A">
        <w:rPr>
          <w:rFonts w:asciiTheme="minorHAnsi" w:hAnsiTheme="minorHAnsi"/>
          <w:sz w:val="24"/>
        </w:rPr>
        <w:t>1.0m-2.5m</w:t>
      </w:r>
      <w:r w:rsidRPr="00AC555A">
        <w:rPr>
          <w:rFonts w:asciiTheme="minorHAnsi" w:hAnsiTheme="minorHAnsi"/>
          <w:sz w:val="24"/>
        </w:rPr>
        <w:t>。</w:t>
      </w:r>
    </w:p>
    <w:p w14:paraId="51D7F821" w14:textId="77777777" w:rsidR="001A5EC6" w:rsidRPr="00AC555A" w:rsidRDefault="001A5EC6" w:rsidP="001A5EC6">
      <w:pPr>
        <w:spacing w:line="520" w:lineRule="exact"/>
        <w:ind w:firstLineChars="200" w:firstLine="480"/>
        <w:rPr>
          <w:rFonts w:asciiTheme="minorHAnsi" w:hAnsiTheme="minorHAnsi"/>
          <w:sz w:val="24"/>
        </w:rPr>
      </w:pPr>
    </w:p>
    <w:p w14:paraId="6556EFE4" w14:textId="77777777" w:rsidR="001A5EC6" w:rsidRDefault="001A5EC6" w:rsidP="001A5EC6">
      <w:pPr>
        <w:spacing w:line="520" w:lineRule="exact"/>
        <w:ind w:firstLineChars="200" w:firstLine="480"/>
        <w:rPr>
          <w:sz w:val="24"/>
        </w:rPr>
      </w:pPr>
    </w:p>
    <w:p w14:paraId="533DD8DD" w14:textId="77777777" w:rsidR="001A5EC6" w:rsidRDefault="001A5EC6" w:rsidP="001A5EC6">
      <w:pPr>
        <w:spacing w:line="520" w:lineRule="exact"/>
        <w:ind w:firstLineChars="200" w:firstLine="480"/>
        <w:rPr>
          <w:sz w:val="24"/>
        </w:rPr>
      </w:pPr>
    </w:p>
    <w:p w14:paraId="06B58ABA" w14:textId="77777777" w:rsidR="001A5EC6" w:rsidRDefault="001A5EC6" w:rsidP="001A5EC6">
      <w:pPr>
        <w:spacing w:line="520" w:lineRule="exact"/>
        <w:ind w:firstLineChars="200" w:firstLine="480"/>
        <w:rPr>
          <w:sz w:val="24"/>
        </w:rPr>
      </w:pPr>
    </w:p>
    <w:p w14:paraId="7D97BF62" w14:textId="77777777" w:rsidR="001A5EC6" w:rsidRDefault="001A5EC6" w:rsidP="001A5EC6">
      <w:pPr>
        <w:spacing w:line="520" w:lineRule="exact"/>
        <w:ind w:firstLineChars="200" w:firstLine="480"/>
        <w:rPr>
          <w:sz w:val="24"/>
        </w:rPr>
      </w:pPr>
    </w:p>
    <w:p w14:paraId="41960D2F" w14:textId="77777777" w:rsidR="001A5EC6" w:rsidRDefault="001A5EC6" w:rsidP="001A5EC6">
      <w:pPr>
        <w:spacing w:line="520" w:lineRule="exact"/>
        <w:ind w:firstLineChars="200" w:firstLine="480"/>
        <w:rPr>
          <w:sz w:val="24"/>
        </w:rPr>
      </w:pPr>
    </w:p>
    <w:p w14:paraId="3484A435" w14:textId="77777777" w:rsidR="001A5EC6" w:rsidRDefault="001A5EC6" w:rsidP="001A5EC6">
      <w:pPr>
        <w:spacing w:line="520" w:lineRule="exact"/>
        <w:ind w:firstLineChars="200" w:firstLine="480"/>
        <w:rPr>
          <w:sz w:val="24"/>
        </w:rPr>
      </w:pPr>
    </w:p>
    <w:p w14:paraId="5F9C60D1" w14:textId="77777777" w:rsidR="001A5EC6" w:rsidRDefault="001A5EC6" w:rsidP="001A5EC6">
      <w:pPr>
        <w:spacing w:line="520" w:lineRule="exact"/>
        <w:ind w:firstLineChars="200" w:firstLine="480"/>
        <w:rPr>
          <w:sz w:val="24"/>
        </w:rPr>
      </w:pPr>
    </w:p>
    <w:p w14:paraId="0D3B0A6B" w14:textId="77777777" w:rsidR="001A5EC6" w:rsidRDefault="001A5EC6" w:rsidP="001A5EC6">
      <w:pPr>
        <w:spacing w:line="520" w:lineRule="exact"/>
        <w:ind w:firstLineChars="200" w:firstLine="480"/>
        <w:rPr>
          <w:sz w:val="24"/>
        </w:rPr>
      </w:pPr>
    </w:p>
    <w:p w14:paraId="2D0B7234" w14:textId="77777777" w:rsidR="001A5EC6" w:rsidRDefault="001A5EC6" w:rsidP="001A5EC6">
      <w:pPr>
        <w:spacing w:line="520" w:lineRule="exact"/>
        <w:ind w:firstLineChars="200" w:firstLine="480"/>
        <w:rPr>
          <w:sz w:val="24"/>
        </w:rPr>
      </w:pPr>
    </w:p>
    <w:p w14:paraId="2B290BBC" w14:textId="77777777" w:rsidR="001A5EC6" w:rsidRDefault="001A5EC6" w:rsidP="001A5EC6">
      <w:pPr>
        <w:spacing w:line="520" w:lineRule="exact"/>
        <w:ind w:firstLineChars="200" w:firstLine="480"/>
        <w:rPr>
          <w:sz w:val="24"/>
        </w:rPr>
      </w:pPr>
    </w:p>
    <w:p w14:paraId="60B3F2C7" w14:textId="77777777" w:rsidR="001A5EC6" w:rsidRDefault="001A5EC6" w:rsidP="001A5EC6">
      <w:pPr>
        <w:spacing w:line="520" w:lineRule="exact"/>
        <w:ind w:firstLineChars="200" w:firstLine="480"/>
        <w:rPr>
          <w:sz w:val="24"/>
        </w:rPr>
      </w:pPr>
    </w:p>
    <w:p w14:paraId="7275A112" w14:textId="77777777" w:rsidR="001A5EC6" w:rsidRDefault="001A5EC6" w:rsidP="001A5EC6">
      <w:pPr>
        <w:spacing w:line="520" w:lineRule="exact"/>
        <w:ind w:firstLineChars="200" w:firstLine="480"/>
        <w:rPr>
          <w:sz w:val="24"/>
        </w:rPr>
      </w:pPr>
    </w:p>
    <w:p w14:paraId="25B11525" w14:textId="77777777" w:rsidR="001A5EC6" w:rsidRDefault="001A5EC6" w:rsidP="001A5EC6">
      <w:pPr>
        <w:spacing w:line="520" w:lineRule="exact"/>
        <w:ind w:firstLineChars="200" w:firstLine="480"/>
        <w:rPr>
          <w:sz w:val="24"/>
        </w:rPr>
      </w:pPr>
    </w:p>
    <w:p w14:paraId="1584EB9C" w14:textId="77777777" w:rsidR="001A5EC6" w:rsidRDefault="001A5EC6" w:rsidP="001A5EC6">
      <w:pPr>
        <w:spacing w:line="520" w:lineRule="exact"/>
        <w:ind w:firstLineChars="200" w:firstLine="480"/>
        <w:rPr>
          <w:sz w:val="24"/>
        </w:rPr>
      </w:pPr>
    </w:p>
    <w:p w14:paraId="274F77DF" w14:textId="77777777" w:rsidR="001A5EC6" w:rsidRDefault="001A5EC6" w:rsidP="001A5EC6">
      <w:pPr>
        <w:spacing w:line="520" w:lineRule="exact"/>
        <w:ind w:firstLineChars="200" w:firstLine="480"/>
        <w:rPr>
          <w:sz w:val="24"/>
        </w:rPr>
      </w:pPr>
    </w:p>
    <w:p w14:paraId="2EB66255" w14:textId="77777777" w:rsidR="001A5EC6" w:rsidRDefault="001A5EC6" w:rsidP="001A5EC6">
      <w:pPr>
        <w:spacing w:line="520" w:lineRule="exact"/>
        <w:ind w:firstLineChars="200" w:firstLine="480"/>
        <w:rPr>
          <w:sz w:val="24"/>
        </w:rPr>
      </w:pPr>
    </w:p>
    <w:p w14:paraId="25E712D3" w14:textId="77777777" w:rsidR="001A5EC6" w:rsidRDefault="001A5EC6" w:rsidP="001A5EC6">
      <w:pPr>
        <w:spacing w:line="520" w:lineRule="exact"/>
        <w:ind w:firstLineChars="200" w:firstLine="480"/>
        <w:rPr>
          <w:sz w:val="24"/>
        </w:rPr>
      </w:pPr>
    </w:p>
    <w:p w14:paraId="2CC9E81E" w14:textId="77777777" w:rsidR="001A5EC6" w:rsidRDefault="001A5EC6" w:rsidP="001A5EC6">
      <w:pPr>
        <w:spacing w:line="520" w:lineRule="exact"/>
        <w:ind w:firstLineChars="200" w:firstLine="480"/>
        <w:rPr>
          <w:sz w:val="24"/>
        </w:rPr>
      </w:pPr>
    </w:p>
    <w:p w14:paraId="58DA9AF7" w14:textId="77777777" w:rsidR="001A5EC6" w:rsidRDefault="001A5EC6" w:rsidP="001A5EC6">
      <w:pPr>
        <w:spacing w:line="520" w:lineRule="exact"/>
        <w:ind w:firstLineChars="200" w:firstLine="480"/>
        <w:rPr>
          <w:sz w:val="24"/>
        </w:rPr>
      </w:pPr>
    </w:p>
    <w:p w14:paraId="5577EE4A" w14:textId="77777777" w:rsidR="001A5EC6" w:rsidRDefault="001A5EC6" w:rsidP="001A5EC6">
      <w:pPr>
        <w:spacing w:line="520" w:lineRule="exact"/>
        <w:ind w:firstLineChars="200" w:firstLine="480"/>
        <w:rPr>
          <w:sz w:val="24"/>
        </w:rPr>
      </w:pPr>
    </w:p>
    <w:p w14:paraId="74FD70AF" w14:textId="77777777" w:rsidR="001A5EC6" w:rsidRDefault="001A5EC6" w:rsidP="001A5EC6">
      <w:pPr>
        <w:spacing w:line="520" w:lineRule="exact"/>
        <w:ind w:firstLineChars="200" w:firstLine="480"/>
        <w:rPr>
          <w:sz w:val="24"/>
        </w:rPr>
      </w:pPr>
    </w:p>
    <w:p w14:paraId="39D8E7AE" w14:textId="77777777" w:rsidR="001A5EC6" w:rsidRDefault="001A5EC6" w:rsidP="001A5EC6">
      <w:pPr>
        <w:spacing w:line="520" w:lineRule="exact"/>
        <w:ind w:firstLineChars="200" w:firstLine="480"/>
        <w:rPr>
          <w:sz w:val="24"/>
        </w:rPr>
      </w:pPr>
    </w:p>
    <w:p w14:paraId="513CCCA9" w14:textId="77777777" w:rsidR="001A5EC6" w:rsidRDefault="001A5EC6" w:rsidP="001A5EC6">
      <w:pPr>
        <w:spacing w:line="520" w:lineRule="exact"/>
        <w:ind w:firstLineChars="200" w:firstLine="480"/>
        <w:rPr>
          <w:sz w:val="24"/>
        </w:rPr>
      </w:pPr>
    </w:p>
    <w:p w14:paraId="2484500E" w14:textId="77777777" w:rsidR="001A5EC6" w:rsidRDefault="001A5EC6" w:rsidP="001A5EC6">
      <w:pPr>
        <w:spacing w:line="520" w:lineRule="exact"/>
        <w:ind w:firstLineChars="200" w:firstLine="480"/>
        <w:rPr>
          <w:sz w:val="24"/>
        </w:rPr>
      </w:pPr>
    </w:p>
    <w:p w14:paraId="02FFE8B4" w14:textId="77777777" w:rsidR="001A5EC6" w:rsidRDefault="001A5EC6" w:rsidP="001A5EC6">
      <w:pPr>
        <w:spacing w:line="520" w:lineRule="exact"/>
        <w:ind w:firstLineChars="200" w:firstLine="480"/>
        <w:rPr>
          <w:sz w:val="24"/>
        </w:rPr>
      </w:pPr>
    </w:p>
    <w:p w14:paraId="2E8EFD09" w14:textId="77777777" w:rsidR="001A5EC6" w:rsidRDefault="001A5EC6" w:rsidP="001A5EC6">
      <w:pPr>
        <w:spacing w:line="520" w:lineRule="exact"/>
        <w:ind w:firstLineChars="200" w:firstLine="480"/>
        <w:rPr>
          <w:sz w:val="24"/>
        </w:rPr>
      </w:pPr>
    </w:p>
    <w:p w14:paraId="3E8E0C3A" w14:textId="77777777" w:rsidR="001A5EC6" w:rsidRDefault="001A5EC6" w:rsidP="001A5EC6">
      <w:pPr>
        <w:spacing w:line="520" w:lineRule="exact"/>
        <w:ind w:firstLineChars="200" w:firstLine="480"/>
        <w:rPr>
          <w:sz w:val="24"/>
        </w:rPr>
      </w:pPr>
    </w:p>
    <w:p w14:paraId="6A77E243" w14:textId="77777777" w:rsidR="001A5EC6" w:rsidRDefault="001A5EC6" w:rsidP="001A5EC6">
      <w:pPr>
        <w:spacing w:line="520" w:lineRule="exact"/>
        <w:ind w:firstLineChars="200" w:firstLine="480"/>
        <w:rPr>
          <w:sz w:val="24"/>
        </w:rPr>
      </w:pPr>
    </w:p>
    <w:p w14:paraId="14301256" w14:textId="77777777" w:rsidR="001A5EC6" w:rsidRDefault="001A5EC6" w:rsidP="001A5EC6">
      <w:pPr>
        <w:spacing w:line="520" w:lineRule="exact"/>
        <w:ind w:firstLineChars="200" w:firstLine="480"/>
        <w:rPr>
          <w:sz w:val="24"/>
        </w:rPr>
      </w:pPr>
    </w:p>
    <w:p w14:paraId="133C3999" w14:textId="77777777" w:rsidR="001A5EC6" w:rsidRDefault="001A5EC6" w:rsidP="001A5EC6">
      <w:pPr>
        <w:spacing w:line="520" w:lineRule="exact"/>
        <w:ind w:firstLineChars="200" w:firstLine="480"/>
        <w:rPr>
          <w:sz w:val="24"/>
        </w:rPr>
      </w:pPr>
    </w:p>
    <w:p w14:paraId="087A5995" w14:textId="77777777" w:rsidR="001A5EC6" w:rsidRDefault="001A5EC6" w:rsidP="001A5EC6">
      <w:pPr>
        <w:spacing w:line="520" w:lineRule="exact"/>
        <w:ind w:firstLineChars="200" w:firstLine="480"/>
        <w:rPr>
          <w:sz w:val="24"/>
        </w:rPr>
      </w:pPr>
    </w:p>
    <w:p w14:paraId="58CB690B" w14:textId="77777777" w:rsidR="001A5EC6" w:rsidRDefault="001A5EC6" w:rsidP="001A5EC6">
      <w:pPr>
        <w:spacing w:line="520" w:lineRule="exact"/>
        <w:rPr>
          <w:sz w:val="24"/>
        </w:rPr>
      </w:pPr>
    </w:p>
    <w:p w14:paraId="0E89A284" w14:textId="77777777" w:rsidR="001A5EC6" w:rsidRDefault="001A5EC6" w:rsidP="001A5EC6">
      <w:pPr>
        <w:ind w:firstLineChars="200" w:firstLine="420"/>
        <w:rPr>
          <w:sz w:val="24"/>
        </w:rPr>
      </w:pPr>
      <w:r>
        <w:rPr>
          <w:noProof/>
        </w:rPr>
        <w:drawing>
          <wp:anchor distT="0" distB="0" distL="114300" distR="114300" simplePos="0" relativeHeight="253676032" behindDoc="0" locked="0" layoutInCell="1" allowOverlap="1" wp14:anchorId="03E5B9CE" wp14:editId="1F15BF12">
            <wp:simplePos x="0" y="0"/>
            <wp:positionH relativeFrom="column">
              <wp:posOffset>267970</wp:posOffset>
            </wp:positionH>
            <wp:positionV relativeFrom="paragraph">
              <wp:posOffset>-6273800</wp:posOffset>
            </wp:positionV>
            <wp:extent cx="5353050" cy="668655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53050" cy="6686550"/>
                    </a:xfrm>
                    <a:prstGeom prst="rect">
                      <a:avLst/>
                    </a:prstGeom>
                  </pic:spPr>
                </pic:pic>
              </a:graphicData>
            </a:graphic>
            <wp14:sizeRelH relativeFrom="page">
              <wp14:pctWidth>0</wp14:pctWidth>
            </wp14:sizeRelH>
            <wp14:sizeRelV relativeFrom="page">
              <wp14:pctHeight>0</wp14:pctHeight>
            </wp14:sizeRelV>
          </wp:anchor>
        </w:drawing>
      </w:r>
    </w:p>
    <w:p w14:paraId="512C5B6C" w14:textId="77777777" w:rsidR="001A5EC6" w:rsidRDefault="001A5EC6" w:rsidP="001A5EC6">
      <w:pPr>
        <w:spacing w:line="520" w:lineRule="exact"/>
        <w:ind w:firstLineChars="200" w:firstLine="480"/>
        <w:rPr>
          <w:sz w:val="24"/>
        </w:rPr>
      </w:pPr>
    </w:p>
    <w:p w14:paraId="2DBC244A" w14:textId="77777777" w:rsidR="001A5EC6" w:rsidRPr="001A5EC6" w:rsidRDefault="001A5EC6" w:rsidP="001A5EC6">
      <w:pPr>
        <w:spacing w:line="520" w:lineRule="exact"/>
        <w:ind w:firstLineChars="700" w:firstLine="1680"/>
        <w:rPr>
          <w:rFonts w:asciiTheme="minorHAnsi" w:hAnsiTheme="minorHAnsi"/>
          <w:sz w:val="24"/>
        </w:rPr>
      </w:pPr>
      <w:r w:rsidRPr="001A5EC6">
        <w:rPr>
          <w:rFonts w:asciiTheme="minorHAnsi" w:eastAsia="黑体" w:hAnsiTheme="minorHAnsi"/>
          <w:sz w:val="24"/>
        </w:rPr>
        <w:t>图</w:t>
      </w:r>
      <w:r w:rsidRPr="001A5EC6">
        <w:rPr>
          <w:rFonts w:asciiTheme="minorHAnsi" w:eastAsia="黑体" w:hAnsiTheme="minorHAnsi"/>
          <w:sz w:val="24"/>
        </w:rPr>
        <w:t>3.1</w:t>
      </w:r>
      <w:r>
        <w:rPr>
          <w:rFonts w:asciiTheme="minorHAnsi" w:eastAsia="黑体" w:hAnsiTheme="minorHAnsi"/>
          <w:sz w:val="24"/>
        </w:rPr>
        <w:t>-1</w:t>
      </w:r>
      <w:r w:rsidRPr="001A5EC6">
        <w:rPr>
          <w:rFonts w:asciiTheme="minorHAnsi" w:eastAsia="黑体" w:hAnsiTheme="minorHAnsi"/>
          <w:sz w:val="24"/>
        </w:rPr>
        <w:t xml:space="preserve">             </w:t>
      </w:r>
      <w:r w:rsidRPr="001A5EC6">
        <w:rPr>
          <w:rFonts w:asciiTheme="minorHAnsi" w:eastAsia="黑体" w:hAnsiTheme="minorHAnsi"/>
          <w:sz w:val="24"/>
        </w:rPr>
        <w:t>项目区水文地质图</w:t>
      </w:r>
    </w:p>
    <w:p w14:paraId="25C8ED7F" w14:textId="77777777" w:rsidR="0055605A" w:rsidRPr="00A964FF" w:rsidRDefault="0055605A" w:rsidP="00A3000E">
      <w:pPr>
        <w:pStyle w:val="ad"/>
        <w:rPr>
          <w:rFonts w:ascii="Calibri" w:hAnsi="Calibri"/>
          <w:color w:val="auto"/>
        </w:rPr>
      </w:pPr>
      <w:r w:rsidRPr="00A964FF">
        <w:rPr>
          <w:rFonts w:ascii="Calibri" w:hAnsi="Calibri" w:hint="eastAsia"/>
          <w:color w:val="auto"/>
        </w:rPr>
        <w:t>3.1.</w:t>
      </w:r>
      <w:r w:rsidR="00A3000E" w:rsidRPr="00A964FF">
        <w:rPr>
          <w:rFonts w:ascii="Calibri" w:hAnsi="Calibri" w:hint="eastAsia"/>
          <w:color w:val="auto"/>
        </w:rPr>
        <w:t>6</w:t>
      </w:r>
      <w:r w:rsidRPr="00A964FF">
        <w:rPr>
          <w:rFonts w:ascii="Calibri" w:hAnsi="Calibri" w:hint="eastAsia"/>
          <w:color w:val="auto"/>
        </w:rPr>
        <w:t>矿产资源</w:t>
      </w:r>
    </w:p>
    <w:p w14:paraId="284BE6F9" w14:textId="77777777" w:rsidR="00523649" w:rsidRPr="00A964FF" w:rsidRDefault="00523649" w:rsidP="00523649">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叶县资源丰富，气候宜人。境内已查明的矿产资源主要有盐、石油、煤、铁、磷、铝矾土、钾、石墨、大理石及白云岩等。中国第二大内陆盐田—叶县盐田展布面积</w:t>
      </w:r>
      <w:r w:rsidRPr="00A964FF">
        <w:rPr>
          <w:rStyle w:val="00Char"/>
          <w:rFonts w:ascii="Calibri" w:hAnsi="Calibri" w:hint="eastAsia"/>
          <w:color w:val="auto"/>
        </w:rPr>
        <w:t>400</w:t>
      </w:r>
      <w:r w:rsidRPr="00A964FF">
        <w:rPr>
          <w:rStyle w:val="00Char"/>
          <w:rFonts w:ascii="Calibri" w:hAnsi="Calibri" w:hint="eastAsia"/>
          <w:color w:val="auto"/>
        </w:rPr>
        <w:t>平方公里，总储量</w:t>
      </w:r>
      <w:r w:rsidRPr="00A964FF">
        <w:rPr>
          <w:rStyle w:val="00Char"/>
          <w:rFonts w:ascii="Calibri" w:hAnsi="Calibri" w:hint="eastAsia"/>
          <w:color w:val="auto"/>
        </w:rPr>
        <w:t>3300</w:t>
      </w:r>
      <w:r w:rsidRPr="00A964FF">
        <w:rPr>
          <w:rStyle w:val="00Char"/>
          <w:rFonts w:ascii="Calibri" w:hAnsi="Calibri" w:hint="eastAsia"/>
          <w:color w:val="auto"/>
        </w:rPr>
        <w:t>亿吨，品位居全国井矿盐之首。氯化钠含量</w:t>
      </w:r>
      <w:r w:rsidRPr="00A964FF">
        <w:rPr>
          <w:rStyle w:val="00Char"/>
          <w:rFonts w:ascii="Calibri" w:hAnsi="Calibri" w:hint="eastAsia"/>
          <w:color w:val="auto"/>
        </w:rPr>
        <w:t>90%</w:t>
      </w:r>
      <w:r w:rsidRPr="00A964FF">
        <w:rPr>
          <w:rStyle w:val="00Char"/>
          <w:rFonts w:ascii="Calibri" w:hAnsi="Calibri" w:hint="eastAsia"/>
          <w:color w:val="auto"/>
        </w:rPr>
        <w:t>以上，品位居全国井矿盐之首。除此之外，矿产资源还有石墨（储量</w:t>
      </w:r>
      <w:r w:rsidRPr="00A964FF">
        <w:rPr>
          <w:rStyle w:val="00Char"/>
          <w:rFonts w:ascii="Calibri" w:hAnsi="Calibri" w:hint="eastAsia"/>
          <w:color w:val="auto"/>
        </w:rPr>
        <w:t>672</w:t>
      </w:r>
      <w:r w:rsidRPr="00A964FF">
        <w:rPr>
          <w:rStyle w:val="00Char"/>
          <w:rFonts w:ascii="Calibri" w:hAnsi="Calibri" w:hint="eastAsia"/>
          <w:color w:val="auto"/>
        </w:rPr>
        <w:t>万吨）、大理石、重晶</w:t>
      </w:r>
      <w:r w:rsidRPr="00A964FF">
        <w:rPr>
          <w:rStyle w:val="00Char"/>
          <w:rFonts w:ascii="Calibri" w:hAnsi="Calibri" w:hint="eastAsia"/>
          <w:color w:val="auto"/>
        </w:rPr>
        <w:lastRenderedPageBreak/>
        <w:t>石、轻质粘土和锰铁等，其特点为分布广，宜小型开采。</w:t>
      </w:r>
    </w:p>
    <w:p w14:paraId="02E89D07" w14:textId="77777777" w:rsidR="0055605A" w:rsidRPr="00A964FF" w:rsidRDefault="0055605A" w:rsidP="0055605A">
      <w:pPr>
        <w:pStyle w:val="ad"/>
        <w:rPr>
          <w:rFonts w:ascii="Calibri" w:hAnsi="Calibri"/>
          <w:color w:val="auto"/>
        </w:rPr>
      </w:pPr>
      <w:r w:rsidRPr="00A964FF">
        <w:rPr>
          <w:rFonts w:ascii="Calibri" w:hAnsi="Calibri" w:hint="eastAsia"/>
          <w:color w:val="auto"/>
        </w:rPr>
        <w:t>3.1.</w:t>
      </w:r>
      <w:r w:rsidR="00A3000E" w:rsidRPr="00A964FF">
        <w:rPr>
          <w:rFonts w:ascii="Calibri" w:hAnsi="Calibri" w:hint="eastAsia"/>
          <w:color w:val="auto"/>
        </w:rPr>
        <w:t>7</w:t>
      </w:r>
      <w:r w:rsidRPr="00A964FF">
        <w:rPr>
          <w:rFonts w:ascii="Calibri" w:hAnsi="Calibri" w:hint="eastAsia"/>
          <w:color w:val="auto"/>
        </w:rPr>
        <w:t>土壤</w:t>
      </w:r>
    </w:p>
    <w:p w14:paraId="30DCBC5B" w14:textId="77777777" w:rsidR="00523649" w:rsidRPr="00A964FF" w:rsidRDefault="00523649" w:rsidP="00523649">
      <w:pPr>
        <w:spacing w:line="520" w:lineRule="exact"/>
        <w:ind w:firstLineChars="200" w:firstLine="480"/>
        <w:textAlignment w:val="baseline"/>
        <w:rPr>
          <w:rFonts w:ascii="Calibri"/>
          <w:color w:val="auto"/>
          <w:sz w:val="24"/>
        </w:rPr>
      </w:pPr>
      <w:r w:rsidRPr="00A964FF">
        <w:rPr>
          <w:rFonts w:ascii="Calibri" w:hint="eastAsia"/>
          <w:color w:val="auto"/>
          <w:sz w:val="24"/>
        </w:rPr>
        <w:t>叶县土壤类型属南方的黄红壤向北方的褐土过渡地带，土壤种类多样，主要有黄棕壤、棕壤、褐土、潮土、砂礓黑土、粗骨土、红粘土、石质土、紫色土、水稻土</w:t>
      </w:r>
      <w:r w:rsidRPr="00A964FF">
        <w:rPr>
          <w:rFonts w:ascii="Calibri" w:hint="eastAsia"/>
          <w:color w:val="auto"/>
          <w:sz w:val="24"/>
        </w:rPr>
        <w:t>10</w:t>
      </w:r>
      <w:r w:rsidRPr="00A964FF">
        <w:rPr>
          <w:rFonts w:ascii="Calibri" w:hint="eastAsia"/>
          <w:color w:val="auto"/>
          <w:sz w:val="24"/>
        </w:rPr>
        <w:t>个土壤类型。</w:t>
      </w:r>
    </w:p>
    <w:p w14:paraId="1F32CC59" w14:textId="77777777" w:rsidR="0055605A" w:rsidRPr="00A964FF" w:rsidRDefault="0055605A" w:rsidP="0055605A">
      <w:pPr>
        <w:pStyle w:val="ad"/>
        <w:rPr>
          <w:rFonts w:ascii="Calibri" w:hAnsi="Calibri"/>
          <w:color w:val="auto"/>
        </w:rPr>
      </w:pPr>
      <w:r w:rsidRPr="00A964FF">
        <w:rPr>
          <w:rFonts w:ascii="Calibri" w:hAnsi="Calibri" w:hint="eastAsia"/>
          <w:color w:val="auto"/>
        </w:rPr>
        <w:t>3.1.</w:t>
      </w:r>
      <w:r w:rsidR="00A3000E" w:rsidRPr="00A964FF">
        <w:rPr>
          <w:rFonts w:ascii="Calibri" w:hAnsi="Calibri" w:hint="eastAsia"/>
          <w:color w:val="auto"/>
        </w:rPr>
        <w:t>8</w:t>
      </w:r>
      <w:r w:rsidRPr="00A964FF">
        <w:rPr>
          <w:rFonts w:ascii="Calibri" w:hAnsi="Calibri" w:hint="eastAsia"/>
          <w:color w:val="auto"/>
        </w:rPr>
        <w:t>植被及生物多样性</w:t>
      </w:r>
    </w:p>
    <w:p w14:paraId="7AD64247" w14:textId="77777777" w:rsidR="00810FB8" w:rsidRPr="00A964FF" w:rsidRDefault="00810FB8" w:rsidP="00810FB8">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叶县土地总面积</w:t>
      </w:r>
      <w:r w:rsidRPr="00A964FF">
        <w:rPr>
          <w:rStyle w:val="00Char"/>
          <w:rFonts w:ascii="Calibri" w:hAnsi="Calibri" w:hint="eastAsia"/>
          <w:color w:val="auto"/>
        </w:rPr>
        <w:t>1387km</w:t>
      </w:r>
      <w:r w:rsidRPr="00A964FF">
        <w:rPr>
          <w:rStyle w:val="00Char"/>
          <w:rFonts w:ascii="Calibri" w:hAnsi="Calibri" w:hint="eastAsia"/>
          <w:color w:val="auto"/>
          <w:vertAlign w:val="superscript"/>
        </w:rPr>
        <w:t>2</w:t>
      </w:r>
      <w:r w:rsidRPr="00A964FF">
        <w:rPr>
          <w:rStyle w:val="00Char"/>
          <w:rFonts w:ascii="Calibri" w:hAnsi="Calibri" w:hint="eastAsia"/>
          <w:color w:val="auto"/>
        </w:rPr>
        <w:t>，耕地面积约占土地总面积的</w:t>
      </w:r>
      <w:r w:rsidRPr="00A964FF">
        <w:rPr>
          <w:rStyle w:val="00Char"/>
          <w:rFonts w:ascii="Calibri" w:hAnsi="Calibri" w:hint="eastAsia"/>
          <w:color w:val="auto"/>
        </w:rPr>
        <w:t>40%</w:t>
      </w:r>
      <w:r w:rsidRPr="00A964FF">
        <w:rPr>
          <w:rStyle w:val="00Char"/>
          <w:rFonts w:ascii="Calibri" w:hAnsi="Calibri" w:hint="eastAsia"/>
          <w:color w:val="auto"/>
        </w:rPr>
        <w:t>；园地占</w:t>
      </w:r>
      <w:r w:rsidRPr="00A964FF">
        <w:rPr>
          <w:rStyle w:val="00Char"/>
          <w:rFonts w:ascii="Calibri" w:hAnsi="Calibri" w:hint="eastAsia"/>
          <w:color w:val="auto"/>
        </w:rPr>
        <w:t>2.6%</w:t>
      </w:r>
      <w:r w:rsidRPr="00A964FF">
        <w:rPr>
          <w:rStyle w:val="00Char"/>
          <w:rFonts w:ascii="Calibri" w:hAnsi="Calibri" w:hint="eastAsia"/>
          <w:color w:val="auto"/>
        </w:rPr>
        <w:t>、林地占</w:t>
      </w:r>
      <w:r w:rsidRPr="00A964FF">
        <w:rPr>
          <w:rStyle w:val="00Char"/>
          <w:rFonts w:ascii="Calibri" w:hAnsi="Calibri" w:hint="eastAsia"/>
          <w:color w:val="auto"/>
        </w:rPr>
        <w:t>14%</w:t>
      </w:r>
      <w:r w:rsidRPr="00A964FF">
        <w:rPr>
          <w:rStyle w:val="00Char"/>
          <w:rFonts w:ascii="Calibri" w:hAnsi="Calibri" w:hint="eastAsia"/>
          <w:color w:val="auto"/>
        </w:rPr>
        <w:t>；水域占</w:t>
      </w:r>
      <w:r w:rsidRPr="00A964FF">
        <w:rPr>
          <w:rStyle w:val="00Char"/>
          <w:rFonts w:ascii="Calibri" w:hAnsi="Calibri" w:hint="eastAsia"/>
          <w:color w:val="auto"/>
        </w:rPr>
        <w:t>7%</w:t>
      </w:r>
      <w:r w:rsidRPr="00A964FF">
        <w:rPr>
          <w:rStyle w:val="00Char"/>
          <w:rFonts w:ascii="Calibri" w:hAnsi="Calibri" w:hint="eastAsia"/>
          <w:color w:val="auto"/>
        </w:rPr>
        <w:t>；居民点及工矿用地占</w:t>
      </w:r>
      <w:r w:rsidRPr="00A964FF">
        <w:rPr>
          <w:rStyle w:val="00Char"/>
          <w:rFonts w:ascii="Calibri" w:hAnsi="Calibri" w:hint="eastAsia"/>
          <w:color w:val="auto"/>
        </w:rPr>
        <w:t>11%</w:t>
      </w:r>
      <w:r w:rsidRPr="00A964FF">
        <w:rPr>
          <w:rStyle w:val="00Char"/>
          <w:rFonts w:ascii="Calibri" w:hAnsi="Calibri" w:hint="eastAsia"/>
          <w:color w:val="auto"/>
        </w:rPr>
        <w:t>；交通占</w:t>
      </w:r>
      <w:r w:rsidRPr="00A964FF">
        <w:rPr>
          <w:rStyle w:val="00Char"/>
          <w:rFonts w:ascii="Calibri" w:hAnsi="Calibri" w:hint="eastAsia"/>
          <w:color w:val="auto"/>
        </w:rPr>
        <w:t>2.4%</w:t>
      </w:r>
      <w:r w:rsidRPr="00A964FF">
        <w:rPr>
          <w:rStyle w:val="00Char"/>
          <w:rFonts w:ascii="Calibri" w:hAnsi="Calibri" w:hint="eastAsia"/>
          <w:color w:val="auto"/>
        </w:rPr>
        <w:t>，还有少量牧草地及暂未利用土地。</w:t>
      </w:r>
    </w:p>
    <w:p w14:paraId="08B996BB" w14:textId="77777777" w:rsidR="00810FB8" w:rsidRPr="00A964FF" w:rsidRDefault="00810FB8" w:rsidP="00810FB8">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叶县植被类型为暖温带阔叶林，优势树种为杨树和泡桐，另有栎、槐、榆、椿等阔杂树种及桃、梨等经济树种，全部为人工林。</w:t>
      </w:r>
    </w:p>
    <w:p w14:paraId="52D83E01" w14:textId="77777777" w:rsidR="00810FB8" w:rsidRPr="00A964FF" w:rsidRDefault="00810FB8" w:rsidP="00810FB8">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叶县现有林业用地</w:t>
      </w:r>
      <w:r w:rsidRPr="00A964FF">
        <w:rPr>
          <w:rStyle w:val="00Char"/>
          <w:rFonts w:ascii="Calibri" w:hAnsi="Calibri" w:hint="eastAsia"/>
          <w:color w:val="auto"/>
        </w:rPr>
        <w:t>20997hm</w:t>
      </w:r>
      <w:r w:rsidRPr="00A964FF">
        <w:rPr>
          <w:rStyle w:val="00Char"/>
          <w:rFonts w:ascii="Calibri" w:hAnsi="Calibri" w:hint="eastAsia"/>
          <w:color w:val="auto"/>
          <w:vertAlign w:val="superscript"/>
        </w:rPr>
        <w:t>2</w:t>
      </w:r>
      <w:r w:rsidRPr="00A964FF">
        <w:rPr>
          <w:rStyle w:val="00Char"/>
          <w:rFonts w:ascii="Calibri" w:hAnsi="Calibri" w:hint="eastAsia"/>
          <w:color w:val="auto"/>
        </w:rPr>
        <w:t>，其中纯林</w:t>
      </w:r>
      <w:r w:rsidRPr="00A964FF">
        <w:rPr>
          <w:rStyle w:val="00Char"/>
          <w:rFonts w:ascii="Calibri" w:hAnsi="Calibri" w:hint="eastAsia"/>
          <w:color w:val="auto"/>
        </w:rPr>
        <w:t>15149hm</w:t>
      </w:r>
      <w:r w:rsidRPr="00A964FF">
        <w:rPr>
          <w:rStyle w:val="00Char"/>
          <w:rFonts w:ascii="Calibri" w:hAnsi="Calibri" w:hint="eastAsia"/>
          <w:color w:val="auto"/>
          <w:vertAlign w:val="superscript"/>
        </w:rPr>
        <w:t>2</w:t>
      </w:r>
      <w:r w:rsidRPr="00A964FF">
        <w:rPr>
          <w:rStyle w:val="00Char"/>
          <w:rFonts w:ascii="Calibri" w:hAnsi="Calibri" w:hint="eastAsia"/>
          <w:color w:val="auto"/>
        </w:rPr>
        <w:t>，混交林</w:t>
      </w:r>
      <w:r w:rsidRPr="00A964FF">
        <w:rPr>
          <w:rStyle w:val="00Char"/>
          <w:rFonts w:ascii="Calibri" w:hAnsi="Calibri" w:hint="eastAsia"/>
          <w:color w:val="auto"/>
        </w:rPr>
        <w:t>20hm</w:t>
      </w:r>
      <w:r w:rsidRPr="00A964FF">
        <w:rPr>
          <w:rStyle w:val="00Char"/>
          <w:rFonts w:ascii="Calibri" w:hAnsi="Calibri" w:hint="eastAsia"/>
          <w:color w:val="auto"/>
          <w:vertAlign w:val="superscript"/>
        </w:rPr>
        <w:t>2</w:t>
      </w:r>
      <w:r w:rsidRPr="00A964FF">
        <w:rPr>
          <w:rStyle w:val="00Char"/>
          <w:rFonts w:ascii="Calibri" w:hAnsi="Calibri" w:hint="eastAsia"/>
          <w:color w:val="auto"/>
        </w:rPr>
        <w:t>，苗圃地</w:t>
      </w:r>
      <w:r w:rsidRPr="00A964FF">
        <w:rPr>
          <w:rStyle w:val="00Char"/>
          <w:rFonts w:ascii="Calibri" w:hAnsi="Calibri" w:hint="eastAsia"/>
          <w:color w:val="auto"/>
        </w:rPr>
        <w:t>195.5hm</w:t>
      </w:r>
      <w:r w:rsidRPr="00A964FF">
        <w:rPr>
          <w:rStyle w:val="00Char"/>
          <w:rFonts w:ascii="Calibri" w:hAnsi="Calibri" w:hint="eastAsia"/>
          <w:color w:val="auto"/>
          <w:vertAlign w:val="superscript"/>
        </w:rPr>
        <w:t>2</w:t>
      </w:r>
      <w:r w:rsidRPr="00A964FF">
        <w:rPr>
          <w:rStyle w:val="00Char"/>
          <w:rFonts w:ascii="Calibri" w:hAnsi="Calibri" w:hint="eastAsia"/>
          <w:color w:val="auto"/>
        </w:rPr>
        <w:t>，未成林造林地</w:t>
      </w:r>
      <w:r w:rsidRPr="00A964FF">
        <w:rPr>
          <w:rStyle w:val="00Char"/>
          <w:rFonts w:ascii="Calibri" w:hAnsi="Calibri" w:hint="eastAsia"/>
          <w:color w:val="auto"/>
        </w:rPr>
        <w:t>1208.6hm</w:t>
      </w:r>
      <w:r w:rsidRPr="00A964FF">
        <w:rPr>
          <w:rStyle w:val="00Char"/>
          <w:rFonts w:ascii="Calibri" w:hAnsi="Calibri" w:hint="eastAsia"/>
          <w:color w:val="auto"/>
          <w:vertAlign w:val="superscript"/>
        </w:rPr>
        <w:t>2</w:t>
      </w:r>
      <w:r w:rsidRPr="00A964FF">
        <w:rPr>
          <w:rStyle w:val="00Char"/>
          <w:rFonts w:ascii="Calibri" w:hAnsi="Calibri" w:hint="eastAsia"/>
          <w:color w:val="auto"/>
        </w:rPr>
        <w:t>，荒山荒地</w:t>
      </w:r>
      <w:r w:rsidRPr="00A964FF">
        <w:rPr>
          <w:rStyle w:val="00Char"/>
          <w:rFonts w:ascii="Calibri" w:hAnsi="Calibri" w:hint="eastAsia"/>
          <w:color w:val="auto"/>
        </w:rPr>
        <w:t>2719.5hm</w:t>
      </w:r>
      <w:r w:rsidRPr="00A964FF">
        <w:rPr>
          <w:rStyle w:val="00Char"/>
          <w:rFonts w:ascii="Calibri" w:hAnsi="Calibri" w:hint="eastAsia"/>
          <w:color w:val="auto"/>
          <w:vertAlign w:val="superscript"/>
        </w:rPr>
        <w:t>2</w:t>
      </w:r>
      <w:r w:rsidRPr="00A964FF">
        <w:rPr>
          <w:rStyle w:val="00Char"/>
          <w:rFonts w:ascii="Calibri" w:hAnsi="Calibri" w:hint="eastAsia"/>
          <w:color w:val="auto"/>
        </w:rPr>
        <w:t>，其它宜林地</w:t>
      </w:r>
      <w:r w:rsidRPr="00A964FF">
        <w:rPr>
          <w:rStyle w:val="00Char"/>
          <w:rFonts w:ascii="Calibri" w:hAnsi="Calibri" w:hint="eastAsia"/>
          <w:color w:val="auto"/>
        </w:rPr>
        <w:t>1153.8hm</w:t>
      </w:r>
      <w:r w:rsidRPr="00A964FF">
        <w:rPr>
          <w:rStyle w:val="00Char"/>
          <w:rFonts w:ascii="Calibri" w:hAnsi="Calibri" w:hint="eastAsia"/>
          <w:color w:val="auto"/>
          <w:vertAlign w:val="superscript"/>
        </w:rPr>
        <w:t>2</w:t>
      </w:r>
      <w:r w:rsidRPr="00A964FF">
        <w:rPr>
          <w:rStyle w:val="00Char"/>
          <w:rFonts w:ascii="Calibri" w:hAnsi="Calibri" w:hint="eastAsia"/>
          <w:color w:val="auto"/>
        </w:rPr>
        <w:t>，灌木林地</w:t>
      </w:r>
      <w:r w:rsidRPr="00A964FF">
        <w:rPr>
          <w:rStyle w:val="00Char"/>
          <w:rFonts w:ascii="Calibri" w:hAnsi="Calibri" w:hint="eastAsia"/>
          <w:color w:val="auto"/>
        </w:rPr>
        <w:t>75.1hm</w:t>
      </w:r>
      <w:r w:rsidRPr="00A964FF">
        <w:rPr>
          <w:rStyle w:val="00Char"/>
          <w:rFonts w:ascii="Calibri" w:hAnsi="Calibri" w:hint="eastAsia"/>
          <w:color w:val="auto"/>
          <w:vertAlign w:val="superscript"/>
        </w:rPr>
        <w:t>2</w:t>
      </w:r>
      <w:r w:rsidRPr="00A964FF">
        <w:rPr>
          <w:rStyle w:val="00Char"/>
          <w:rFonts w:ascii="Calibri" w:hAnsi="Calibri" w:hint="eastAsia"/>
          <w:color w:val="auto"/>
        </w:rPr>
        <w:t>，采伐迹地</w:t>
      </w:r>
      <w:r w:rsidRPr="00A964FF">
        <w:rPr>
          <w:rStyle w:val="00Char"/>
          <w:rFonts w:ascii="Calibri" w:hAnsi="Calibri" w:hint="eastAsia"/>
          <w:color w:val="auto"/>
        </w:rPr>
        <w:t>16.2hm</w:t>
      </w:r>
      <w:r w:rsidRPr="00A964FF">
        <w:rPr>
          <w:rStyle w:val="00Char"/>
          <w:rFonts w:ascii="Calibri" w:hAnsi="Calibri" w:hint="eastAsia"/>
          <w:color w:val="auto"/>
          <w:vertAlign w:val="superscript"/>
        </w:rPr>
        <w:t>2</w:t>
      </w:r>
      <w:r w:rsidRPr="00A964FF">
        <w:rPr>
          <w:rStyle w:val="00Char"/>
          <w:rFonts w:ascii="Calibri" w:hAnsi="Calibri" w:hint="eastAsia"/>
          <w:color w:val="auto"/>
        </w:rPr>
        <w:t>。活立木蓄积为</w:t>
      </w:r>
      <w:r w:rsidRPr="00A964FF">
        <w:rPr>
          <w:rStyle w:val="00Char"/>
          <w:rFonts w:ascii="Calibri" w:hAnsi="Calibri" w:hint="eastAsia"/>
          <w:color w:val="auto"/>
        </w:rPr>
        <w:t>66.8</w:t>
      </w:r>
      <w:r w:rsidRPr="00A964FF">
        <w:rPr>
          <w:rStyle w:val="00Char"/>
          <w:rFonts w:ascii="Calibri" w:hAnsi="Calibri" w:hint="eastAsia"/>
          <w:color w:val="auto"/>
        </w:rPr>
        <w:t>万</w:t>
      </w:r>
      <w:r w:rsidRPr="00A964FF">
        <w:rPr>
          <w:rStyle w:val="00Char"/>
          <w:rFonts w:ascii="Calibri" w:hAnsi="Calibri" w:hint="eastAsia"/>
          <w:color w:val="auto"/>
        </w:rPr>
        <w:t>m</w:t>
      </w:r>
      <w:r w:rsidRPr="00A964FF">
        <w:rPr>
          <w:rStyle w:val="00Char"/>
          <w:rFonts w:ascii="Calibri" w:hAnsi="Calibri" w:hint="eastAsia"/>
          <w:color w:val="auto"/>
          <w:vertAlign w:val="superscript"/>
        </w:rPr>
        <w:t>3</w:t>
      </w:r>
      <w:r w:rsidRPr="00A964FF">
        <w:rPr>
          <w:rStyle w:val="00Char"/>
          <w:rFonts w:ascii="Calibri" w:hAnsi="Calibri" w:hint="eastAsia"/>
          <w:color w:val="auto"/>
        </w:rPr>
        <w:t>，森林覆盖率</w:t>
      </w:r>
      <w:r w:rsidRPr="00A964FF">
        <w:rPr>
          <w:rStyle w:val="00Char"/>
          <w:rFonts w:ascii="Calibri" w:hAnsi="Calibri" w:hint="eastAsia"/>
          <w:color w:val="auto"/>
        </w:rPr>
        <w:t>10.93%</w:t>
      </w:r>
      <w:r w:rsidRPr="00A964FF">
        <w:rPr>
          <w:rStyle w:val="00Char"/>
          <w:rFonts w:ascii="Calibri" w:hAnsi="Calibri" w:hint="eastAsia"/>
          <w:color w:val="auto"/>
        </w:rPr>
        <w:t>。</w:t>
      </w:r>
    </w:p>
    <w:p w14:paraId="4CCF7D6F" w14:textId="77777777" w:rsidR="00A3000E" w:rsidRPr="00A964FF" w:rsidRDefault="00A3000E" w:rsidP="00A3000E">
      <w:pPr>
        <w:spacing w:line="520" w:lineRule="exact"/>
        <w:ind w:firstLineChars="200" w:firstLine="480"/>
        <w:textAlignment w:val="baseline"/>
        <w:rPr>
          <w:rFonts w:ascii="Calibri"/>
          <w:color w:val="auto"/>
          <w:sz w:val="24"/>
        </w:rPr>
      </w:pPr>
      <w:r w:rsidRPr="00A964FF">
        <w:rPr>
          <w:rFonts w:ascii="Calibri" w:hint="eastAsia"/>
          <w:color w:val="auto"/>
          <w:sz w:val="24"/>
        </w:rPr>
        <w:t>评价区域内生物资源比较单一，本项目厂址及厂界外</w:t>
      </w:r>
      <w:r w:rsidRPr="00A964FF">
        <w:rPr>
          <w:rFonts w:ascii="Calibri" w:hint="eastAsia"/>
          <w:color w:val="auto"/>
          <w:sz w:val="24"/>
        </w:rPr>
        <w:t>500m</w:t>
      </w:r>
      <w:r w:rsidRPr="00A964FF">
        <w:rPr>
          <w:rFonts w:ascii="Calibri" w:hint="eastAsia"/>
          <w:color w:val="auto"/>
          <w:sz w:val="24"/>
        </w:rPr>
        <w:t>范围内生物资源丰度较小，植物种类主要是农田作物、季节性草灌以及当地常见本土树木和绿化树木；动物资源主要为当地常见鸟类，昆虫，无列入《国家重点保护野生植物名录》和《国家重点保护野生动物名录》的动植物。</w:t>
      </w:r>
    </w:p>
    <w:p w14:paraId="4F0BF9B1" w14:textId="77777777" w:rsidR="0055605A" w:rsidRPr="00A964FF" w:rsidRDefault="0055605A" w:rsidP="0055605A">
      <w:pPr>
        <w:pStyle w:val="2"/>
        <w:spacing w:before="200" w:after="100"/>
        <w:rPr>
          <w:rFonts w:ascii="Calibri" w:hAnsi="Calibri"/>
          <w:bCs/>
          <w:color w:val="auto"/>
          <w:szCs w:val="28"/>
        </w:rPr>
      </w:pPr>
      <w:bookmarkStart w:id="54" w:name="_Toc112999912"/>
      <w:r w:rsidRPr="00A964FF">
        <w:rPr>
          <w:rFonts w:ascii="Calibri" w:hAnsi="Calibri" w:hint="eastAsia"/>
          <w:bCs/>
          <w:color w:val="auto"/>
          <w:szCs w:val="28"/>
        </w:rPr>
        <w:t>3.2</w:t>
      </w:r>
      <w:r w:rsidRPr="00A964FF">
        <w:rPr>
          <w:rFonts w:hint="eastAsia"/>
          <w:color w:val="auto"/>
        </w:rPr>
        <w:t>环境保护目标调查</w:t>
      </w:r>
      <w:bookmarkEnd w:id="54"/>
    </w:p>
    <w:p w14:paraId="1976EA7F" w14:textId="77777777" w:rsidR="0055605A" w:rsidRPr="00A964FF" w:rsidRDefault="0055605A" w:rsidP="0055605A">
      <w:pPr>
        <w:spacing w:line="520" w:lineRule="exact"/>
        <w:ind w:firstLineChars="200" w:firstLine="480"/>
        <w:textAlignment w:val="baseline"/>
        <w:rPr>
          <w:rStyle w:val="00Char"/>
          <w:rFonts w:ascii="Calibri" w:hAnsi="Calibri"/>
          <w:color w:val="auto"/>
        </w:rPr>
      </w:pPr>
      <w:r w:rsidRPr="00A964FF">
        <w:rPr>
          <w:rStyle w:val="00Char"/>
          <w:rFonts w:hAnsi="Calibri" w:hint="eastAsia"/>
          <w:color w:val="auto"/>
        </w:rPr>
        <w:t>本项目</w:t>
      </w:r>
      <w:r w:rsidR="00810FB8" w:rsidRPr="00A964FF">
        <w:rPr>
          <w:rStyle w:val="00Char"/>
          <w:rFonts w:hAnsi="Calibri" w:hint="eastAsia"/>
          <w:color w:val="auto"/>
        </w:rPr>
        <w:t>选址在</w:t>
      </w:r>
      <w:r w:rsidR="003B048A" w:rsidRPr="00A964FF">
        <w:rPr>
          <w:rStyle w:val="00Char"/>
          <w:rFonts w:hAnsi="Calibri" w:hint="eastAsia"/>
          <w:color w:val="auto"/>
        </w:rPr>
        <w:t>平顶山尼龙新材料产业集聚区</w:t>
      </w:r>
      <w:r w:rsidR="006B7E8F" w:rsidRPr="00A964FF">
        <w:rPr>
          <w:rStyle w:val="00Char"/>
          <w:rFonts w:hAnsi="Calibri" w:hint="eastAsia"/>
          <w:color w:val="auto"/>
        </w:rPr>
        <w:t>内</w:t>
      </w:r>
      <w:r w:rsidR="00F22BBD" w:rsidRPr="00A964FF">
        <w:rPr>
          <w:rStyle w:val="00Char"/>
          <w:rFonts w:hAnsi="Calibri" w:hint="eastAsia"/>
          <w:color w:val="auto"/>
        </w:rPr>
        <w:t>，</w:t>
      </w:r>
      <w:r w:rsidRPr="00A964FF">
        <w:rPr>
          <w:rStyle w:val="00Char"/>
          <w:rFonts w:hAnsi="Calibri" w:hint="eastAsia"/>
          <w:color w:val="auto"/>
        </w:rPr>
        <w:t>经调查，评价范围内主要为各工业企业、</w:t>
      </w:r>
      <w:r w:rsidR="00A3000E" w:rsidRPr="00A964FF">
        <w:rPr>
          <w:rStyle w:val="00Char"/>
          <w:rFonts w:hAnsi="Calibri" w:hint="eastAsia"/>
          <w:color w:val="auto"/>
        </w:rPr>
        <w:t>农田</w:t>
      </w:r>
      <w:r w:rsidR="00810FB8" w:rsidRPr="00A964FF">
        <w:rPr>
          <w:rStyle w:val="00Char"/>
          <w:rFonts w:hAnsi="Calibri" w:hint="eastAsia"/>
          <w:color w:val="auto"/>
        </w:rPr>
        <w:t>、村庄</w:t>
      </w:r>
      <w:r w:rsidRPr="00A964FF">
        <w:rPr>
          <w:rStyle w:val="00Char"/>
          <w:rFonts w:hAnsi="Calibri" w:hint="eastAsia"/>
          <w:color w:val="auto"/>
        </w:rPr>
        <w:t>等，无自然保护区、风景名胜区、饮用水源保护区、重要生态功能区等其他需要特殊保护的区域。</w:t>
      </w:r>
    </w:p>
    <w:p w14:paraId="020ED2E5" w14:textId="77777777" w:rsidR="0055605A" w:rsidRPr="00A964FF" w:rsidRDefault="0055605A" w:rsidP="0055605A">
      <w:pPr>
        <w:pStyle w:val="2"/>
        <w:spacing w:before="200" w:after="100"/>
        <w:rPr>
          <w:rFonts w:ascii="Calibri" w:hAnsi="Calibri"/>
          <w:bCs/>
          <w:color w:val="auto"/>
          <w:szCs w:val="28"/>
        </w:rPr>
      </w:pPr>
      <w:bookmarkStart w:id="55" w:name="_Toc112999913"/>
      <w:r w:rsidRPr="00A964FF">
        <w:rPr>
          <w:rFonts w:ascii="Calibri" w:hAnsi="Calibri" w:hint="eastAsia"/>
          <w:bCs/>
          <w:color w:val="auto"/>
          <w:szCs w:val="28"/>
        </w:rPr>
        <w:t>3.3</w:t>
      </w:r>
      <w:r w:rsidRPr="00A964FF">
        <w:rPr>
          <w:rFonts w:ascii="Calibri" w:hAnsi="Calibri" w:hint="eastAsia"/>
          <w:bCs/>
          <w:color w:val="auto"/>
          <w:szCs w:val="28"/>
        </w:rPr>
        <w:t>环境质量现状调查</w:t>
      </w:r>
      <w:bookmarkEnd w:id="55"/>
    </w:p>
    <w:p w14:paraId="0DBD5CFB" w14:textId="77777777" w:rsidR="0055605A" w:rsidRPr="00A964FF" w:rsidRDefault="0055605A" w:rsidP="0055605A">
      <w:pPr>
        <w:pStyle w:val="ad"/>
        <w:rPr>
          <w:rFonts w:ascii="Calibri" w:hAnsi="Calibri"/>
          <w:color w:val="auto"/>
        </w:rPr>
      </w:pPr>
      <w:r w:rsidRPr="00A964FF">
        <w:rPr>
          <w:rFonts w:ascii="Calibri" w:hAnsi="Calibri" w:hint="eastAsia"/>
          <w:color w:val="auto"/>
        </w:rPr>
        <w:t>3.3.1</w:t>
      </w:r>
      <w:r w:rsidRPr="00A964FF">
        <w:rPr>
          <w:color w:val="auto"/>
        </w:rPr>
        <w:t>环境空气质量现状监测与评价</w:t>
      </w:r>
    </w:p>
    <w:p w14:paraId="34A4CF18" w14:textId="77777777" w:rsidR="009C62BE" w:rsidRPr="00A964FF" w:rsidRDefault="009C62BE" w:rsidP="0055605A">
      <w:pPr>
        <w:pStyle w:val="00"/>
        <w:rPr>
          <w:rFonts w:ascii="Calibri"/>
          <w:b/>
          <w:color w:val="auto"/>
        </w:rPr>
      </w:pPr>
      <w:r w:rsidRPr="00552DA1">
        <w:rPr>
          <w:rFonts w:ascii="Calibri" w:hint="eastAsia"/>
          <w:b/>
          <w:color w:val="auto"/>
        </w:rPr>
        <w:t>一、项目所在地环境空气质量区域达标判定</w:t>
      </w:r>
    </w:p>
    <w:p w14:paraId="31A9A842" w14:textId="77777777" w:rsidR="00F4648B" w:rsidRPr="001A5EC6" w:rsidRDefault="0070206E" w:rsidP="001A5EC6">
      <w:pPr>
        <w:pStyle w:val="00"/>
        <w:rPr>
          <w:rFonts w:ascii="Calibri"/>
          <w:color w:val="auto"/>
        </w:rPr>
      </w:pPr>
      <w:r w:rsidRPr="00A964FF">
        <w:rPr>
          <w:rFonts w:ascii="Calibri" w:hint="eastAsia"/>
          <w:color w:val="auto"/>
        </w:rPr>
        <w:t>本次区域环境</w:t>
      </w:r>
      <w:r w:rsidR="00567856">
        <w:rPr>
          <w:rFonts w:ascii="Calibri" w:hint="eastAsia"/>
          <w:color w:val="auto"/>
        </w:rPr>
        <w:t>空气</w:t>
      </w:r>
      <w:r w:rsidRPr="00A964FF">
        <w:rPr>
          <w:rFonts w:ascii="Calibri" w:hint="eastAsia"/>
          <w:color w:val="auto"/>
        </w:rPr>
        <w:t>质量评价收集了</w:t>
      </w:r>
      <w:r w:rsidR="00810FB8" w:rsidRPr="00A964FF">
        <w:rPr>
          <w:rFonts w:ascii="Calibri" w:hint="eastAsia"/>
          <w:color w:val="auto"/>
        </w:rPr>
        <w:t>叶县</w:t>
      </w:r>
      <w:r w:rsidRPr="00A964FF">
        <w:rPr>
          <w:rFonts w:ascii="Calibri" w:hint="eastAsia"/>
          <w:color w:val="auto"/>
        </w:rPr>
        <w:t>例行监测点</w:t>
      </w:r>
      <w:r w:rsidR="00B158F5">
        <w:rPr>
          <w:rFonts w:ascii="Calibri" w:hint="eastAsia"/>
          <w:color w:val="auto"/>
        </w:rPr>
        <w:t>202</w:t>
      </w:r>
      <w:r w:rsidR="00FE4478">
        <w:rPr>
          <w:rFonts w:ascii="Calibri" w:hint="eastAsia"/>
          <w:color w:val="auto"/>
        </w:rPr>
        <w:t>0</w:t>
      </w:r>
      <w:r w:rsidR="00567856">
        <w:rPr>
          <w:rFonts w:ascii="Calibri"/>
          <w:color w:val="auto"/>
        </w:rPr>
        <w:t>-2021</w:t>
      </w:r>
      <w:r w:rsidR="007614BD" w:rsidRPr="00A964FF">
        <w:rPr>
          <w:rFonts w:ascii="Calibri" w:hint="eastAsia"/>
          <w:color w:val="auto"/>
        </w:rPr>
        <w:t>年</w:t>
      </w:r>
      <w:r w:rsidRPr="00A964FF">
        <w:rPr>
          <w:rFonts w:ascii="Calibri" w:hint="eastAsia"/>
          <w:color w:val="auto"/>
        </w:rPr>
        <w:t>连续一年逐日</w:t>
      </w:r>
      <w:r w:rsidRPr="00A964FF">
        <w:rPr>
          <w:rFonts w:ascii="Calibri" w:hint="eastAsia"/>
          <w:color w:val="auto"/>
        </w:rPr>
        <w:lastRenderedPageBreak/>
        <w:t>监测数据，以此来说明区域大气环境质量现状情况；区域环境空气质量现状评价结果见表</w:t>
      </w:r>
      <w:r w:rsidRPr="00A964FF">
        <w:rPr>
          <w:rFonts w:ascii="Calibri" w:hint="eastAsia"/>
          <w:color w:val="auto"/>
        </w:rPr>
        <w:t>3</w:t>
      </w:r>
      <w:r w:rsidR="007614BD" w:rsidRPr="00A964FF">
        <w:rPr>
          <w:rFonts w:ascii="Calibri" w:hint="eastAsia"/>
          <w:color w:val="auto"/>
        </w:rPr>
        <w:t>.3</w:t>
      </w:r>
      <w:r w:rsidRPr="00A964FF">
        <w:rPr>
          <w:rFonts w:ascii="Calibri" w:hint="eastAsia"/>
          <w:color w:val="auto"/>
        </w:rPr>
        <w:t>-</w:t>
      </w:r>
      <w:r w:rsidR="007614BD" w:rsidRPr="00A964FF">
        <w:rPr>
          <w:rFonts w:ascii="Calibri" w:hint="eastAsia"/>
          <w:color w:val="auto"/>
        </w:rPr>
        <w:t>1</w:t>
      </w:r>
      <w:r w:rsidRPr="00A964FF">
        <w:rPr>
          <w:rFonts w:ascii="Calibri" w:hint="eastAsia"/>
          <w:color w:val="auto"/>
        </w:rPr>
        <w:t>。</w:t>
      </w:r>
    </w:p>
    <w:p w14:paraId="54A8ABF7" w14:textId="77777777" w:rsidR="0070206E" w:rsidRDefault="0070206E" w:rsidP="0070206E">
      <w:pPr>
        <w:spacing w:line="520" w:lineRule="exact"/>
        <w:ind w:firstLineChars="196" w:firstLine="470"/>
        <w:rPr>
          <w:rFonts w:ascii="Calibri" w:eastAsia="黑体" w:hAnsi="黑体"/>
          <w:color w:val="auto"/>
          <w:sz w:val="24"/>
        </w:rPr>
      </w:pPr>
      <w:r w:rsidRPr="00A964FF">
        <w:rPr>
          <w:rFonts w:ascii="Calibri" w:eastAsia="黑体" w:hAnsi="黑体"/>
          <w:color w:val="auto"/>
          <w:sz w:val="24"/>
        </w:rPr>
        <w:t>表</w:t>
      </w:r>
      <w:r w:rsidRPr="00A964FF">
        <w:rPr>
          <w:rFonts w:ascii="Calibri" w:eastAsia="黑体" w:hAnsi="Calibri"/>
          <w:color w:val="auto"/>
          <w:sz w:val="24"/>
        </w:rPr>
        <w:t>3</w:t>
      </w:r>
      <w:r w:rsidR="006B496C">
        <w:rPr>
          <w:rFonts w:ascii="Calibri" w:eastAsia="黑体" w:hAnsi="Calibri" w:hint="eastAsia"/>
          <w:color w:val="auto"/>
          <w:sz w:val="24"/>
        </w:rPr>
        <w:t>.3</w:t>
      </w:r>
      <w:r w:rsidRPr="00A964FF">
        <w:rPr>
          <w:rFonts w:ascii="Calibri" w:eastAsia="黑体" w:hAnsi="Calibri"/>
          <w:color w:val="auto"/>
          <w:sz w:val="24"/>
        </w:rPr>
        <w:t>-</w:t>
      </w:r>
      <w:r w:rsidR="00535E00" w:rsidRPr="00A964FF">
        <w:rPr>
          <w:rFonts w:ascii="Calibri" w:eastAsia="黑体" w:hAnsi="Calibri" w:hint="eastAsia"/>
          <w:color w:val="auto"/>
          <w:sz w:val="24"/>
        </w:rPr>
        <w:t>1</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008A1567" w:rsidRPr="00A964FF">
        <w:rPr>
          <w:rFonts w:ascii="Calibri" w:eastAsia="黑体" w:hAnsi="Calibri"/>
          <w:color w:val="auto"/>
          <w:sz w:val="24"/>
        </w:rPr>
        <w:t xml:space="preserve">   </w:t>
      </w:r>
      <w:r w:rsidR="00810FB8"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00810FB8" w:rsidRPr="00A964FF">
        <w:rPr>
          <w:rFonts w:ascii="Calibri" w:eastAsia="黑体" w:hAnsi="黑体" w:hint="eastAsia"/>
          <w:color w:val="auto"/>
          <w:sz w:val="24"/>
        </w:rPr>
        <w:t>叶县</w:t>
      </w:r>
      <w:r w:rsidRPr="00A964FF">
        <w:rPr>
          <w:rFonts w:ascii="Calibri" w:eastAsia="黑体" w:hAnsi="Calibri"/>
          <w:color w:val="auto"/>
          <w:sz w:val="24"/>
        </w:rPr>
        <w:t>20</w:t>
      </w:r>
      <w:r w:rsidR="003616F0" w:rsidRPr="00A964FF">
        <w:rPr>
          <w:rFonts w:ascii="Calibri" w:eastAsia="黑体" w:hAnsi="Calibri" w:hint="eastAsia"/>
          <w:color w:val="auto"/>
          <w:sz w:val="24"/>
        </w:rPr>
        <w:t>2</w:t>
      </w:r>
      <w:r w:rsidR="00FE4478">
        <w:rPr>
          <w:rFonts w:ascii="Calibri" w:eastAsia="黑体" w:hAnsi="Calibri" w:hint="eastAsia"/>
          <w:color w:val="auto"/>
          <w:sz w:val="24"/>
        </w:rPr>
        <w:t>0</w:t>
      </w:r>
      <w:r w:rsidR="00567856">
        <w:rPr>
          <w:rFonts w:ascii="Calibri" w:eastAsia="黑体" w:hAnsi="Calibri"/>
          <w:color w:val="auto"/>
          <w:sz w:val="24"/>
        </w:rPr>
        <w:t>-2021</w:t>
      </w:r>
      <w:r w:rsidRPr="00A964FF">
        <w:rPr>
          <w:rFonts w:ascii="Calibri" w:eastAsia="黑体" w:hAnsi="黑体"/>
          <w:color w:val="auto"/>
          <w:sz w:val="24"/>
        </w:rPr>
        <w:t>年监测数据统计结果</w:t>
      </w:r>
    </w:p>
    <w:tbl>
      <w:tblPr>
        <w:tblW w:w="5098"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689"/>
        <w:gridCol w:w="799"/>
        <w:gridCol w:w="830"/>
        <w:gridCol w:w="804"/>
        <w:gridCol w:w="1538"/>
        <w:gridCol w:w="878"/>
        <w:gridCol w:w="878"/>
        <w:gridCol w:w="878"/>
        <w:gridCol w:w="878"/>
        <w:gridCol w:w="699"/>
      </w:tblGrid>
      <w:tr w:rsidR="00FE4478" w:rsidRPr="00A964FF" w14:paraId="4D1A08C5" w14:textId="77777777" w:rsidTr="000A2242">
        <w:trPr>
          <w:trHeight w:val="340"/>
        </w:trPr>
        <w:tc>
          <w:tcPr>
            <w:tcW w:w="388" w:type="pct"/>
            <w:vAlign w:val="center"/>
          </w:tcPr>
          <w:p w14:paraId="65DA0137" w14:textId="77777777" w:rsidR="00FE4478" w:rsidRPr="00A964FF" w:rsidRDefault="00567856" w:rsidP="00107045">
            <w:pPr>
              <w:jc w:val="center"/>
              <w:rPr>
                <w:rFonts w:ascii="Calibri"/>
                <w:color w:val="auto"/>
                <w:szCs w:val="21"/>
              </w:rPr>
            </w:pPr>
            <w:r>
              <w:rPr>
                <w:rFonts w:ascii="Calibri" w:hint="eastAsia"/>
                <w:color w:val="auto"/>
                <w:szCs w:val="21"/>
              </w:rPr>
              <w:t>年份</w:t>
            </w:r>
          </w:p>
        </w:tc>
        <w:tc>
          <w:tcPr>
            <w:tcW w:w="918" w:type="pct"/>
            <w:gridSpan w:val="2"/>
            <w:vAlign w:val="center"/>
          </w:tcPr>
          <w:p w14:paraId="776D76B1" w14:textId="77777777" w:rsidR="00FE4478" w:rsidRPr="00A964FF" w:rsidRDefault="00FE4478" w:rsidP="00107045">
            <w:pPr>
              <w:jc w:val="center"/>
              <w:rPr>
                <w:rFonts w:ascii="Calibri"/>
                <w:color w:val="auto"/>
                <w:szCs w:val="21"/>
              </w:rPr>
            </w:pPr>
            <w:r w:rsidRPr="00A964FF">
              <w:rPr>
                <w:rFonts w:ascii="Calibri" w:hint="eastAsia"/>
                <w:color w:val="auto"/>
                <w:szCs w:val="21"/>
              </w:rPr>
              <w:t>监测点坐标</w:t>
            </w:r>
          </w:p>
        </w:tc>
        <w:tc>
          <w:tcPr>
            <w:tcW w:w="453" w:type="pct"/>
            <w:vAlign w:val="center"/>
          </w:tcPr>
          <w:p w14:paraId="3D6F4ABA" w14:textId="77777777" w:rsidR="00FE4478" w:rsidRPr="00A964FF" w:rsidRDefault="00FE4478" w:rsidP="00107045">
            <w:pPr>
              <w:jc w:val="center"/>
              <w:rPr>
                <w:rFonts w:ascii="Calibri"/>
                <w:color w:val="auto"/>
                <w:szCs w:val="21"/>
              </w:rPr>
            </w:pPr>
            <w:r w:rsidRPr="00A964FF">
              <w:rPr>
                <w:rFonts w:ascii="Calibri" w:hint="eastAsia"/>
                <w:color w:val="auto"/>
                <w:szCs w:val="21"/>
              </w:rPr>
              <w:t>污染物</w:t>
            </w:r>
          </w:p>
        </w:tc>
        <w:tc>
          <w:tcPr>
            <w:tcW w:w="867" w:type="pct"/>
            <w:vAlign w:val="center"/>
          </w:tcPr>
          <w:p w14:paraId="7192A718" w14:textId="77777777" w:rsidR="00FE4478" w:rsidRPr="00A964FF" w:rsidRDefault="00FE4478" w:rsidP="00107045">
            <w:pPr>
              <w:jc w:val="center"/>
              <w:rPr>
                <w:rFonts w:ascii="Calibri"/>
                <w:color w:val="auto"/>
                <w:szCs w:val="21"/>
              </w:rPr>
            </w:pPr>
            <w:r w:rsidRPr="00A964FF">
              <w:rPr>
                <w:rFonts w:ascii="Calibri" w:hint="eastAsia"/>
                <w:color w:val="auto"/>
                <w:szCs w:val="21"/>
              </w:rPr>
              <w:t>评价指标</w:t>
            </w:r>
          </w:p>
        </w:tc>
        <w:tc>
          <w:tcPr>
            <w:tcW w:w="495" w:type="pct"/>
            <w:vAlign w:val="center"/>
          </w:tcPr>
          <w:p w14:paraId="222148A5" w14:textId="77777777" w:rsidR="00FE4478" w:rsidRPr="00A964FF" w:rsidRDefault="00FE4478" w:rsidP="00107045">
            <w:pPr>
              <w:jc w:val="center"/>
              <w:rPr>
                <w:rFonts w:ascii="Calibri"/>
                <w:color w:val="auto"/>
                <w:szCs w:val="21"/>
              </w:rPr>
            </w:pPr>
            <w:r w:rsidRPr="00A964FF">
              <w:rPr>
                <w:rFonts w:ascii="Calibri" w:hint="eastAsia"/>
                <w:color w:val="auto"/>
                <w:szCs w:val="21"/>
              </w:rPr>
              <w:t>现状</w:t>
            </w:r>
          </w:p>
          <w:p w14:paraId="71EC9E68" w14:textId="77777777" w:rsidR="00FE4478" w:rsidRPr="00A964FF" w:rsidRDefault="00FE4478" w:rsidP="00107045">
            <w:pPr>
              <w:jc w:val="center"/>
              <w:rPr>
                <w:rFonts w:ascii="Calibri"/>
                <w:color w:val="auto"/>
                <w:szCs w:val="21"/>
              </w:rPr>
            </w:pPr>
            <w:r w:rsidRPr="00A964FF">
              <w:rPr>
                <w:rFonts w:ascii="Calibri" w:hint="eastAsia"/>
                <w:color w:val="auto"/>
                <w:szCs w:val="21"/>
              </w:rPr>
              <w:t>浓度</w:t>
            </w:r>
          </w:p>
        </w:tc>
        <w:tc>
          <w:tcPr>
            <w:tcW w:w="495" w:type="pct"/>
            <w:vAlign w:val="center"/>
          </w:tcPr>
          <w:p w14:paraId="1D85EC07" w14:textId="77777777" w:rsidR="00FE4478" w:rsidRPr="00A964FF" w:rsidRDefault="00FE4478" w:rsidP="00107045">
            <w:pPr>
              <w:jc w:val="center"/>
              <w:rPr>
                <w:rFonts w:ascii="Calibri"/>
                <w:color w:val="auto"/>
                <w:szCs w:val="21"/>
              </w:rPr>
            </w:pPr>
            <w:r w:rsidRPr="00A964FF">
              <w:rPr>
                <w:rFonts w:ascii="Calibri" w:hint="eastAsia"/>
                <w:color w:val="auto"/>
                <w:szCs w:val="21"/>
              </w:rPr>
              <w:t>标准</w:t>
            </w:r>
          </w:p>
          <w:p w14:paraId="35BC7FEA" w14:textId="77777777" w:rsidR="00FE4478" w:rsidRPr="00A964FF" w:rsidRDefault="00FE4478" w:rsidP="00107045">
            <w:pPr>
              <w:jc w:val="center"/>
              <w:rPr>
                <w:rFonts w:ascii="Calibri"/>
                <w:color w:val="auto"/>
                <w:szCs w:val="21"/>
              </w:rPr>
            </w:pPr>
            <w:r w:rsidRPr="00A964FF">
              <w:rPr>
                <w:rFonts w:ascii="Calibri" w:hint="eastAsia"/>
                <w:color w:val="auto"/>
                <w:szCs w:val="21"/>
              </w:rPr>
              <w:t>限值</w:t>
            </w:r>
          </w:p>
        </w:tc>
        <w:tc>
          <w:tcPr>
            <w:tcW w:w="495" w:type="pct"/>
            <w:vAlign w:val="center"/>
          </w:tcPr>
          <w:p w14:paraId="1B8416C4" w14:textId="77777777" w:rsidR="00FE4478" w:rsidRPr="00A964FF" w:rsidRDefault="00FE4478" w:rsidP="00107045">
            <w:pPr>
              <w:jc w:val="center"/>
              <w:rPr>
                <w:rFonts w:ascii="Calibri"/>
                <w:color w:val="auto"/>
                <w:szCs w:val="21"/>
              </w:rPr>
            </w:pPr>
            <w:r w:rsidRPr="00A964FF">
              <w:rPr>
                <w:rFonts w:ascii="Calibri" w:hint="eastAsia"/>
                <w:color w:val="auto"/>
                <w:szCs w:val="21"/>
              </w:rPr>
              <w:t>单位</w:t>
            </w:r>
          </w:p>
        </w:tc>
        <w:tc>
          <w:tcPr>
            <w:tcW w:w="495" w:type="pct"/>
            <w:vAlign w:val="center"/>
          </w:tcPr>
          <w:p w14:paraId="356A201D" w14:textId="77777777" w:rsidR="00FE4478" w:rsidRPr="00A964FF" w:rsidRDefault="00FE4478" w:rsidP="00107045">
            <w:pPr>
              <w:jc w:val="center"/>
              <w:rPr>
                <w:rFonts w:ascii="Calibri"/>
                <w:color w:val="auto"/>
                <w:szCs w:val="21"/>
              </w:rPr>
            </w:pPr>
            <w:r w:rsidRPr="00A964FF">
              <w:rPr>
                <w:rFonts w:ascii="Calibri" w:hint="eastAsia"/>
                <w:color w:val="auto"/>
                <w:szCs w:val="21"/>
              </w:rPr>
              <w:t>占标率</w:t>
            </w:r>
          </w:p>
        </w:tc>
        <w:tc>
          <w:tcPr>
            <w:tcW w:w="395" w:type="pct"/>
            <w:vAlign w:val="center"/>
          </w:tcPr>
          <w:p w14:paraId="435EDA3E" w14:textId="77777777" w:rsidR="00FE4478" w:rsidRPr="00A964FF" w:rsidRDefault="00FE4478" w:rsidP="00107045">
            <w:pPr>
              <w:jc w:val="center"/>
              <w:rPr>
                <w:rFonts w:ascii="Calibri"/>
                <w:color w:val="auto"/>
                <w:szCs w:val="21"/>
              </w:rPr>
            </w:pPr>
            <w:r w:rsidRPr="00A964FF">
              <w:rPr>
                <w:rFonts w:ascii="Calibri" w:hint="eastAsia"/>
                <w:color w:val="auto"/>
                <w:szCs w:val="21"/>
              </w:rPr>
              <w:t>达标</w:t>
            </w:r>
          </w:p>
          <w:p w14:paraId="28E750F8" w14:textId="77777777" w:rsidR="00FE4478" w:rsidRPr="00A964FF" w:rsidRDefault="00FE4478" w:rsidP="00107045">
            <w:pPr>
              <w:jc w:val="center"/>
              <w:rPr>
                <w:rFonts w:ascii="Calibri"/>
                <w:color w:val="auto"/>
                <w:szCs w:val="21"/>
              </w:rPr>
            </w:pPr>
            <w:r w:rsidRPr="00A964FF">
              <w:rPr>
                <w:rFonts w:ascii="Calibri" w:hint="eastAsia"/>
                <w:color w:val="auto"/>
                <w:szCs w:val="21"/>
              </w:rPr>
              <w:t>情况</w:t>
            </w:r>
          </w:p>
        </w:tc>
      </w:tr>
      <w:tr w:rsidR="00567856" w:rsidRPr="00A964FF" w14:paraId="526659A3" w14:textId="77777777" w:rsidTr="000A2242">
        <w:trPr>
          <w:trHeight w:val="340"/>
        </w:trPr>
        <w:tc>
          <w:tcPr>
            <w:tcW w:w="388" w:type="pct"/>
            <w:vMerge w:val="restart"/>
            <w:vAlign w:val="center"/>
          </w:tcPr>
          <w:p w14:paraId="7ACF3CC3" w14:textId="77777777" w:rsidR="00567856" w:rsidRPr="00A964FF" w:rsidRDefault="00567856" w:rsidP="00567856">
            <w:pPr>
              <w:jc w:val="center"/>
              <w:rPr>
                <w:rFonts w:ascii="Calibri"/>
                <w:color w:val="auto"/>
                <w:szCs w:val="21"/>
              </w:rPr>
            </w:pPr>
            <w:r>
              <w:rPr>
                <w:rFonts w:ascii="Calibri" w:hint="eastAsia"/>
                <w:color w:val="auto"/>
                <w:szCs w:val="21"/>
              </w:rPr>
              <w:t>20</w:t>
            </w:r>
            <w:r>
              <w:rPr>
                <w:rFonts w:ascii="Calibri"/>
                <w:color w:val="auto"/>
                <w:szCs w:val="21"/>
              </w:rPr>
              <w:t>20</w:t>
            </w:r>
          </w:p>
        </w:tc>
        <w:tc>
          <w:tcPr>
            <w:tcW w:w="450" w:type="pct"/>
            <w:vMerge w:val="restart"/>
            <w:vAlign w:val="center"/>
          </w:tcPr>
          <w:p w14:paraId="7B5B04D0" w14:textId="77777777" w:rsidR="00567856" w:rsidRPr="00A964FF" w:rsidRDefault="00567856" w:rsidP="00107045">
            <w:pPr>
              <w:jc w:val="center"/>
              <w:rPr>
                <w:rFonts w:ascii="Calibri"/>
                <w:color w:val="auto"/>
                <w:szCs w:val="21"/>
              </w:rPr>
            </w:pPr>
            <w:r w:rsidRPr="00A964FF">
              <w:rPr>
                <w:rFonts w:ascii="Calibri" w:hint="eastAsia"/>
                <w:color w:val="auto"/>
                <w:szCs w:val="21"/>
              </w:rPr>
              <w:t>E</w:t>
            </w:r>
            <w:r w:rsidRPr="00A964FF">
              <w:rPr>
                <w:rFonts w:ascii="Calibri"/>
                <w:color w:val="auto"/>
                <w:szCs w:val="21"/>
              </w:rPr>
              <w:t>113.373201</w:t>
            </w:r>
          </w:p>
        </w:tc>
        <w:tc>
          <w:tcPr>
            <w:tcW w:w="468" w:type="pct"/>
            <w:vMerge w:val="restart"/>
            <w:vAlign w:val="center"/>
          </w:tcPr>
          <w:p w14:paraId="6DD4A90E" w14:textId="77777777" w:rsidR="00567856" w:rsidRPr="00A964FF" w:rsidRDefault="00567856" w:rsidP="00107045">
            <w:pPr>
              <w:jc w:val="center"/>
              <w:rPr>
                <w:rFonts w:ascii="Calibri"/>
                <w:color w:val="auto"/>
                <w:szCs w:val="21"/>
              </w:rPr>
            </w:pPr>
            <w:r w:rsidRPr="00A964FF">
              <w:rPr>
                <w:rFonts w:ascii="Calibri" w:hint="eastAsia"/>
                <w:color w:val="auto"/>
                <w:szCs w:val="21"/>
              </w:rPr>
              <w:t>N</w:t>
            </w:r>
            <w:r w:rsidRPr="00A964FF">
              <w:rPr>
                <w:rFonts w:ascii="Calibri"/>
                <w:color w:val="auto"/>
                <w:szCs w:val="21"/>
              </w:rPr>
              <w:t>33.624001</w:t>
            </w:r>
          </w:p>
        </w:tc>
        <w:tc>
          <w:tcPr>
            <w:tcW w:w="453" w:type="pct"/>
            <w:vMerge w:val="restart"/>
            <w:vAlign w:val="center"/>
          </w:tcPr>
          <w:p w14:paraId="126663EB" w14:textId="77777777" w:rsidR="00567856" w:rsidRPr="00A964FF" w:rsidRDefault="00567856" w:rsidP="00107045">
            <w:pPr>
              <w:jc w:val="center"/>
              <w:rPr>
                <w:rFonts w:ascii="Calibri"/>
                <w:color w:val="auto"/>
                <w:szCs w:val="21"/>
              </w:rPr>
            </w:pPr>
            <w:r w:rsidRPr="00A964FF">
              <w:rPr>
                <w:rFonts w:ascii="Calibri" w:hint="eastAsia"/>
                <w:color w:val="auto"/>
                <w:szCs w:val="21"/>
              </w:rPr>
              <w:t>PM</w:t>
            </w:r>
            <w:r w:rsidRPr="00A964FF">
              <w:rPr>
                <w:rFonts w:ascii="Calibri" w:hint="eastAsia"/>
                <w:color w:val="auto"/>
                <w:szCs w:val="21"/>
                <w:vertAlign w:val="subscript"/>
              </w:rPr>
              <w:t>2.5</w:t>
            </w:r>
          </w:p>
        </w:tc>
        <w:tc>
          <w:tcPr>
            <w:tcW w:w="867" w:type="pct"/>
            <w:vAlign w:val="center"/>
          </w:tcPr>
          <w:p w14:paraId="7D13DC26" w14:textId="77777777" w:rsidR="00567856" w:rsidRPr="00A964FF" w:rsidRDefault="00567856" w:rsidP="00107045">
            <w:pPr>
              <w:jc w:val="center"/>
              <w:rPr>
                <w:rFonts w:ascii="Calibri"/>
                <w:color w:val="auto"/>
                <w:szCs w:val="21"/>
              </w:rPr>
            </w:pPr>
            <w:r w:rsidRPr="00A964FF">
              <w:rPr>
                <w:rFonts w:ascii="Calibri" w:hint="eastAsia"/>
                <w:color w:val="auto"/>
                <w:szCs w:val="21"/>
              </w:rPr>
              <w:t>年均值</w:t>
            </w:r>
          </w:p>
        </w:tc>
        <w:tc>
          <w:tcPr>
            <w:tcW w:w="495" w:type="pct"/>
            <w:vAlign w:val="center"/>
          </w:tcPr>
          <w:p w14:paraId="7DF19D54" w14:textId="77777777" w:rsidR="00567856" w:rsidRPr="00A964FF" w:rsidRDefault="00567856" w:rsidP="00107045">
            <w:pPr>
              <w:jc w:val="center"/>
              <w:rPr>
                <w:rFonts w:ascii="Calibri"/>
                <w:color w:val="auto"/>
                <w:szCs w:val="21"/>
              </w:rPr>
            </w:pPr>
            <w:r w:rsidRPr="00A964FF">
              <w:rPr>
                <w:rFonts w:ascii="Calibri" w:hint="eastAsia"/>
                <w:color w:val="auto"/>
                <w:szCs w:val="21"/>
              </w:rPr>
              <w:t>45</w:t>
            </w:r>
          </w:p>
        </w:tc>
        <w:tc>
          <w:tcPr>
            <w:tcW w:w="495" w:type="pct"/>
            <w:vAlign w:val="center"/>
          </w:tcPr>
          <w:p w14:paraId="392DA5B7" w14:textId="77777777" w:rsidR="00567856" w:rsidRPr="00A964FF" w:rsidRDefault="00567856" w:rsidP="00107045">
            <w:pPr>
              <w:jc w:val="center"/>
              <w:rPr>
                <w:rFonts w:asciiTheme="minorHAnsi" w:hAnsiTheme="minorHAnsi"/>
                <w:color w:val="auto"/>
                <w:szCs w:val="21"/>
              </w:rPr>
            </w:pPr>
            <w:r w:rsidRPr="00A964FF">
              <w:rPr>
                <w:rFonts w:asciiTheme="minorHAnsi" w:hAnsiTheme="minorHAnsi"/>
                <w:color w:val="auto"/>
                <w:szCs w:val="21"/>
              </w:rPr>
              <w:t>35</w:t>
            </w:r>
          </w:p>
        </w:tc>
        <w:tc>
          <w:tcPr>
            <w:tcW w:w="495" w:type="pct"/>
            <w:vAlign w:val="center"/>
          </w:tcPr>
          <w:p w14:paraId="273B1D3F" w14:textId="77777777" w:rsidR="00567856" w:rsidRPr="00A964FF" w:rsidRDefault="00567856" w:rsidP="00107045">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21DDC378" w14:textId="77777777" w:rsidR="00567856" w:rsidRPr="00A964FF" w:rsidRDefault="00567856" w:rsidP="00107045">
            <w:pPr>
              <w:jc w:val="center"/>
              <w:rPr>
                <w:rFonts w:ascii="Calibri"/>
                <w:color w:val="auto"/>
                <w:szCs w:val="21"/>
              </w:rPr>
            </w:pPr>
            <w:r w:rsidRPr="00A964FF">
              <w:rPr>
                <w:rFonts w:ascii="Calibri" w:hint="eastAsia"/>
                <w:color w:val="auto"/>
                <w:szCs w:val="21"/>
              </w:rPr>
              <w:t>1.29</w:t>
            </w:r>
          </w:p>
        </w:tc>
        <w:tc>
          <w:tcPr>
            <w:tcW w:w="395" w:type="pct"/>
            <w:vAlign w:val="center"/>
          </w:tcPr>
          <w:p w14:paraId="53A0944E" w14:textId="77777777" w:rsidR="00567856" w:rsidRPr="00A964FF" w:rsidRDefault="00567856" w:rsidP="00107045">
            <w:pPr>
              <w:jc w:val="center"/>
              <w:rPr>
                <w:rFonts w:ascii="Calibri"/>
                <w:color w:val="auto"/>
                <w:szCs w:val="21"/>
              </w:rPr>
            </w:pPr>
            <w:r w:rsidRPr="00A964FF">
              <w:rPr>
                <w:rFonts w:ascii="Calibri" w:hint="eastAsia"/>
                <w:color w:val="auto"/>
                <w:szCs w:val="21"/>
              </w:rPr>
              <w:t>超标</w:t>
            </w:r>
          </w:p>
        </w:tc>
      </w:tr>
      <w:tr w:rsidR="00567856" w:rsidRPr="00A964FF" w14:paraId="64E48065" w14:textId="77777777" w:rsidTr="000A2242">
        <w:trPr>
          <w:trHeight w:val="340"/>
        </w:trPr>
        <w:tc>
          <w:tcPr>
            <w:tcW w:w="388" w:type="pct"/>
            <w:vMerge/>
            <w:vAlign w:val="center"/>
          </w:tcPr>
          <w:p w14:paraId="3B89B23C" w14:textId="77777777" w:rsidR="00567856" w:rsidRPr="00A964FF" w:rsidRDefault="00567856" w:rsidP="00107045">
            <w:pPr>
              <w:jc w:val="center"/>
              <w:rPr>
                <w:rFonts w:ascii="Calibri"/>
                <w:color w:val="auto"/>
                <w:szCs w:val="21"/>
              </w:rPr>
            </w:pPr>
          </w:p>
        </w:tc>
        <w:tc>
          <w:tcPr>
            <w:tcW w:w="450" w:type="pct"/>
            <w:vMerge/>
            <w:vAlign w:val="center"/>
          </w:tcPr>
          <w:p w14:paraId="2C87707B" w14:textId="77777777" w:rsidR="00567856" w:rsidRPr="00A964FF" w:rsidRDefault="00567856" w:rsidP="00107045">
            <w:pPr>
              <w:jc w:val="center"/>
              <w:rPr>
                <w:rFonts w:ascii="Calibri"/>
                <w:color w:val="auto"/>
                <w:szCs w:val="21"/>
              </w:rPr>
            </w:pPr>
          </w:p>
        </w:tc>
        <w:tc>
          <w:tcPr>
            <w:tcW w:w="468" w:type="pct"/>
            <w:vMerge/>
            <w:vAlign w:val="center"/>
          </w:tcPr>
          <w:p w14:paraId="62F2D980" w14:textId="77777777" w:rsidR="00567856" w:rsidRPr="00A964FF" w:rsidRDefault="00567856" w:rsidP="00107045">
            <w:pPr>
              <w:jc w:val="center"/>
              <w:rPr>
                <w:rFonts w:ascii="Calibri"/>
                <w:color w:val="auto"/>
                <w:szCs w:val="21"/>
              </w:rPr>
            </w:pPr>
          </w:p>
        </w:tc>
        <w:tc>
          <w:tcPr>
            <w:tcW w:w="453" w:type="pct"/>
            <w:vMerge/>
            <w:vAlign w:val="center"/>
          </w:tcPr>
          <w:p w14:paraId="198EF3E5" w14:textId="77777777" w:rsidR="00567856" w:rsidRPr="00A964FF" w:rsidRDefault="00567856" w:rsidP="00107045">
            <w:pPr>
              <w:jc w:val="center"/>
              <w:rPr>
                <w:rFonts w:ascii="Calibri"/>
                <w:color w:val="auto"/>
                <w:szCs w:val="21"/>
              </w:rPr>
            </w:pPr>
          </w:p>
        </w:tc>
        <w:tc>
          <w:tcPr>
            <w:tcW w:w="867" w:type="pct"/>
            <w:vAlign w:val="center"/>
          </w:tcPr>
          <w:p w14:paraId="1C2F5D5A" w14:textId="5CEC37D6" w:rsidR="00567856" w:rsidRPr="00A964FF" w:rsidRDefault="00567856" w:rsidP="000A2242">
            <w:pPr>
              <w:jc w:val="center"/>
              <w:rPr>
                <w:rFonts w:ascii="Calibri"/>
                <w:color w:val="auto"/>
                <w:szCs w:val="21"/>
              </w:rPr>
            </w:pPr>
            <w:r>
              <w:rPr>
                <w:rFonts w:ascii="Calibri" w:hint="eastAsia"/>
                <w:color w:val="auto"/>
                <w:szCs w:val="21"/>
              </w:rPr>
              <w:t>95</w:t>
            </w:r>
            <w:r w:rsidR="000A2242">
              <w:rPr>
                <w:rFonts w:ascii="Calibri"/>
                <w:color w:val="auto"/>
                <w:szCs w:val="21"/>
              </w:rPr>
              <w:t>%</w:t>
            </w:r>
            <w:r w:rsidR="000A2242">
              <w:rPr>
                <w:rFonts w:ascii="Calibri" w:hint="eastAsia"/>
                <w:color w:val="auto"/>
                <w:szCs w:val="21"/>
              </w:rPr>
              <w:t>保证率</w:t>
            </w:r>
            <w:r w:rsidR="000A2242" w:rsidRPr="00A964FF">
              <w:rPr>
                <w:rFonts w:ascii="Calibri" w:hint="eastAsia"/>
                <w:color w:val="auto"/>
                <w:szCs w:val="21"/>
              </w:rPr>
              <w:t>24</w:t>
            </w:r>
            <w:r w:rsidR="000A2242" w:rsidRPr="00A964FF">
              <w:rPr>
                <w:rFonts w:ascii="Calibri" w:hint="eastAsia"/>
                <w:color w:val="auto"/>
                <w:szCs w:val="21"/>
              </w:rPr>
              <w:t>小时平均</w:t>
            </w:r>
          </w:p>
        </w:tc>
        <w:tc>
          <w:tcPr>
            <w:tcW w:w="495" w:type="pct"/>
            <w:vAlign w:val="center"/>
          </w:tcPr>
          <w:p w14:paraId="601D1245" w14:textId="77777777" w:rsidR="00567856" w:rsidRPr="00A964FF" w:rsidRDefault="00567856" w:rsidP="00107045">
            <w:pPr>
              <w:jc w:val="center"/>
              <w:rPr>
                <w:rFonts w:ascii="Calibri"/>
                <w:color w:val="auto"/>
                <w:szCs w:val="21"/>
              </w:rPr>
            </w:pPr>
            <w:r w:rsidRPr="00A964FF">
              <w:rPr>
                <w:rFonts w:ascii="Calibri" w:hint="eastAsia"/>
                <w:color w:val="auto"/>
                <w:szCs w:val="21"/>
              </w:rPr>
              <w:t>120</w:t>
            </w:r>
          </w:p>
        </w:tc>
        <w:tc>
          <w:tcPr>
            <w:tcW w:w="495" w:type="pct"/>
            <w:vAlign w:val="center"/>
          </w:tcPr>
          <w:p w14:paraId="5652D355" w14:textId="77777777" w:rsidR="00567856" w:rsidRPr="00A964FF" w:rsidRDefault="00567856" w:rsidP="00107045">
            <w:pPr>
              <w:jc w:val="center"/>
              <w:rPr>
                <w:rFonts w:ascii="Calibri"/>
                <w:color w:val="auto"/>
                <w:szCs w:val="21"/>
              </w:rPr>
            </w:pPr>
            <w:r w:rsidRPr="00A964FF">
              <w:rPr>
                <w:rFonts w:ascii="Calibri" w:hint="eastAsia"/>
                <w:color w:val="auto"/>
                <w:szCs w:val="21"/>
              </w:rPr>
              <w:t>75</w:t>
            </w:r>
          </w:p>
        </w:tc>
        <w:tc>
          <w:tcPr>
            <w:tcW w:w="495" w:type="pct"/>
            <w:vAlign w:val="center"/>
          </w:tcPr>
          <w:p w14:paraId="42823DCB"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19896D64" w14:textId="77777777" w:rsidR="00567856" w:rsidRPr="00A964FF" w:rsidRDefault="00567856" w:rsidP="00107045">
            <w:pPr>
              <w:jc w:val="center"/>
              <w:rPr>
                <w:rFonts w:ascii="Calibri"/>
                <w:color w:val="auto"/>
                <w:szCs w:val="21"/>
              </w:rPr>
            </w:pPr>
            <w:r w:rsidRPr="00A964FF">
              <w:rPr>
                <w:rFonts w:ascii="Calibri" w:hint="eastAsia"/>
                <w:color w:val="auto"/>
                <w:szCs w:val="21"/>
              </w:rPr>
              <w:t>1.60</w:t>
            </w:r>
          </w:p>
        </w:tc>
        <w:tc>
          <w:tcPr>
            <w:tcW w:w="395" w:type="pct"/>
            <w:vAlign w:val="center"/>
          </w:tcPr>
          <w:p w14:paraId="4836443C" w14:textId="77777777" w:rsidR="00567856" w:rsidRPr="00A964FF" w:rsidRDefault="00567856" w:rsidP="00107045">
            <w:pPr>
              <w:jc w:val="center"/>
              <w:rPr>
                <w:rFonts w:ascii="Calibri"/>
                <w:color w:val="auto"/>
                <w:szCs w:val="21"/>
              </w:rPr>
            </w:pPr>
            <w:r w:rsidRPr="00A964FF">
              <w:rPr>
                <w:rFonts w:ascii="Calibri" w:hint="eastAsia"/>
                <w:color w:val="auto"/>
                <w:szCs w:val="21"/>
              </w:rPr>
              <w:t>超标</w:t>
            </w:r>
          </w:p>
        </w:tc>
      </w:tr>
      <w:tr w:rsidR="00567856" w:rsidRPr="00A964FF" w14:paraId="68499CB0" w14:textId="77777777" w:rsidTr="000A2242">
        <w:trPr>
          <w:trHeight w:val="340"/>
        </w:trPr>
        <w:tc>
          <w:tcPr>
            <w:tcW w:w="388" w:type="pct"/>
            <w:vMerge/>
            <w:vAlign w:val="center"/>
          </w:tcPr>
          <w:p w14:paraId="2D1E9149" w14:textId="77777777" w:rsidR="00567856" w:rsidRPr="00A964FF" w:rsidRDefault="00567856" w:rsidP="00107045">
            <w:pPr>
              <w:jc w:val="center"/>
              <w:rPr>
                <w:rFonts w:ascii="Calibri"/>
                <w:color w:val="auto"/>
                <w:szCs w:val="21"/>
              </w:rPr>
            </w:pPr>
          </w:p>
        </w:tc>
        <w:tc>
          <w:tcPr>
            <w:tcW w:w="450" w:type="pct"/>
            <w:vMerge/>
            <w:vAlign w:val="center"/>
          </w:tcPr>
          <w:p w14:paraId="08B87B42" w14:textId="77777777" w:rsidR="00567856" w:rsidRPr="00A964FF" w:rsidRDefault="00567856" w:rsidP="00107045">
            <w:pPr>
              <w:jc w:val="center"/>
              <w:rPr>
                <w:rFonts w:ascii="Calibri"/>
                <w:color w:val="auto"/>
                <w:szCs w:val="21"/>
              </w:rPr>
            </w:pPr>
          </w:p>
        </w:tc>
        <w:tc>
          <w:tcPr>
            <w:tcW w:w="468" w:type="pct"/>
            <w:vMerge/>
            <w:vAlign w:val="center"/>
          </w:tcPr>
          <w:p w14:paraId="285D4F5F" w14:textId="77777777" w:rsidR="00567856" w:rsidRPr="00A964FF" w:rsidRDefault="00567856" w:rsidP="00107045">
            <w:pPr>
              <w:jc w:val="center"/>
              <w:rPr>
                <w:rFonts w:ascii="Calibri"/>
                <w:color w:val="auto"/>
                <w:szCs w:val="21"/>
              </w:rPr>
            </w:pPr>
          </w:p>
        </w:tc>
        <w:tc>
          <w:tcPr>
            <w:tcW w:w="453" w:type="pct"/>
            <w:vMerge w:val="restart"/>
            <w:vAlign w:val="center"/>
          </w:tcPr>
          <w:p w14:paraId="1EBAB26D" w14:textId="77777777" w:rsidR="00567856" w:rsidRPr="00A964FF" w:rsidRDefault="00567856" w:rsidP="00107045">
            <w:pPr>
              <w:jc w:val="center"/>
              <w:rPr>
                <w:rFonts w:ascii="Calibri"/>
                <w:color w:val="auto"/>
                <w:szCs w:val="21"/>
              </w:rPr>
            </w:pPr>
            <w:r w:rsidRPr="00A964FF">
              <w:rPr>
                <w:rFonts w:ascii="Calibri" w:hint="eastAsia"/>
                <w:color w:val="auto"/>
                <w:szCs w:val="21"/>
              </w:rPr>
              <w:t>PM</w:t>
            </w:r>
            <w:r w:rsidRPr="00A964FF">
              <w:rPr>
                <w:rFonts w:ascii="Calibri" w:hint="eastAsia"/>
                <w:color w:val="auto"/>
                <w:szCs w:val="21"/>
                <w:vertAlign w:val="subscript"/>
              </w:rPr>
              <w:t>10</w:t>
            </w:r>
          </w:p>
        </w:tc>
        <w:tc>
          <w:tcPr>
            <w:tcW w:w="867" w:type="pct"/>
            <w:vAlign w:val="center"/>
          </w:tcPr>
          <w:p w14:paraId="7B5BBAF0" w14:textId="77777777" w:rsidR="00567856" w:rsidRPr="00A964FF" w:rsidRDefault="00567856" w:rsidP="00107045">
            <w:pPr>
              <w:jc w:val="center"/>
              <w:rPr>
                <w:rFonts w:ascii="Calibri"/>
                <w:color w:val="auto"/>
                <w:szCs w:val="21"/>
              </w:rPr>
            </w:pPr>
            <w:r w:rsidRPr="00A964FF">
              <w:rPr>
                <w:rFonts w:ascii="Calibri" w:hint="eastAsia"/>
                <w:color w:val="auto"/>
                <w:szCs w:val="21"/>
              </w:rPr>
              <w:t>年均值</w:t>
            </w:r>
          </w:p>
        </w:tc>
        <w:tc>
          <w:tcPr>
            <w:tcW w:w="495" w:type="pct"/>
            <w:vAlign w:val="center"/>
          </w:tcPr>
          <w:p w14:paraId="091F8400" w14:textId="77777777" w:rsidR="00567856" w:rsidRPr="00A964FF" w:rsidRDefault="00567856" w:rsidP="00107045">
            <w:pPr>
              <w:jc w:val="center"/>
              <w:rPr>
                <w:rFonts w:ascii="Calibri"/>
                <w:color w:val="auto"/>
                <w:szCs w:val="21"/>
              </w:rPr>
            </w:pPr>
            <w:r w:rsidRPr="00A964FF">
              <w:rPr>
                <w:rFonts w:ascii="Calibri" w:hint="eastAsia"/>
                <w:color w:val="auto"/>
                <w:szCs w:val="21"/>
              </w:rPr>
              <w:t>89</w:t>
            </w:r>
          </w:p>
        </w:tc>
        <w:tc>
          <w:tcPr>
            <w:tcW w:w="495" w:type="pct"/>
            <w:vAlign w:val="center"/>
          </w:tcPr>
          <w:p w14:paraId="19179C64" w14:textId="77777777" w:rsidR="00567856" w:rsidRPr="00A964FF" w:rsidRDefault="00567856" w:rsidP="00107045">
            <w:pPr>
              <w:jc w:val="center"/>
              <w:rPr>
                <w:rFonts w:ascii="Calibri"/>
                <w:color w:val="auto"/>
                <w:szCs w:val="21"/>
              </w:rPr>
            </w:pPr>
            <w:r w:rsidRPr="00A964FF">
              <w:rPr>
                <w:rFonts w:ascii="Calibri" w:hint="eastAsia"/>
                <w:color w:val="auto"/>
                <w:szCs w:val="21"/>
              </w:rPr>
              <w:t>70</w:t>
            </w:r>
          </w:p>
        </w:tc>
        <w:tc>
          <w:tcPr>
            <w:tcW w:w="495" w:type="pct"/>
            <w:vAlign w:val="center"/>
          </w:tcPr>
          <w:p w14:paraId="39D75822"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155CE5D9" w14:textId="77777777" w:rsidR="00567856" w:rsidRPr="00A964FF" w:rsidRDefault="00567856" w:rsidP="00107045">
            <w:pPr>
              <w:jc w:val="center"/>
              <w:rPr>
                <w:rFonts w:ascii="Calibri"/>
                <w:color w:val="auto"/>
                <w:szCs w:val="21"/>
              </w:rPr>
            </w:pPr>
            <w:r w:rsidRPr="00A964FF">
              <w:rPr>
                <w:rFonts w:ascii="Calibri" w:hint="eastAsia"/>
                <w:color w:val="auto"/>
                <w:szCs w:val="21"/>
              </w:rPr>
              <w:t>1.27</w:t>
            </w:r>
          </w:p>
        </w:tc>
        <w:tc>
          <w:tcPr>
            <w:tcW w:w="395" w:type="pct"/>
            <w:vAlign w:val="center"/>
          </w:tcPr>
          <w:p w14:paraId="27EA72FA" w14:textId="77777777" w:rsidR="00567856" w:rsidRPr="00A964FF" w:rsidRDefault="00567856" w:rsidP="00107045">
            <w:pPr>
              <w:jc w:val="center"/>
              <w:rPr>
                <w:rFonts w:ascii="Calibri"/>
                <w:color w:val="auto"/>
                <w:szCs w:val="21"/>
              </w:rPr>
            </w:pPr>
            <w:r w:rsidRPr="00A964FF">
              <w:rPr>
                <w:rFonts w:ascii="Calibri" w:hint="eastAsia"/>
                <w:color w:val="auto"/>
                <w:szCs w:val="21"/>
              </w:rPr>
              <w:t>超标</w:t>
            </w:r>
          </w:p>
        </w:tc>
      </w:tr>
      <w:tr w:rsidR="00567856" w:rsidRPr="00A964FF" w14:paraId="0CFE9FD2" w14:textId="77777777" w:rsidTr="000A2242">
        <w:trPr>
          <w:trHeight w:val="340"/>
        </w:trPr>
        <w:tc>
          <w:tcPr>
            <w:tcW w:w="388" w:type="pct"/>
            <w:vMerge/>
            <w:vAlign w:val="center"/>
          </w:tcPr>
          <w:p w14:paraId="6B0CEACB" w14:textId="77777777" w:rsidR="00567856" w:rsidRPr="00A964FF" w:rsidRDefault="00567856" w:rsidP="00107045">
            <w:pPr>
              <w:jc w:val="center"/>
              <w:rPr>
                <w:rFonts w:ascii="Calibri"/>
                <w:color w:val="auto"/>
                <w:szCs w:val="21"/>
              </w:rPr>
            </w:pPr>
          </w:p>
        </w:tc>
        <w:tc>
          <w:tcPr>
            <w:tcW w:w="450" w:type="pct"/>
            <w:vMerge/>
            <w:vAlign w:val="center"/>
          </w:tcPr>
          <w:p w14:paraId="69986C4C" w14:textId="77777777" w:rsidR="00567856" w:rsidRPr="00A964FF" w:rsidRDefault="00567856" w:rsidP="00107045">
            <w:pPr>
              <w:jc w:val="center"/>
              <w:rPr>
                <w:rFonts w:ascii="Calibri"/>
                <w:color w:val="auto"/>
                <w:szCs w:val="21"/>
              </w:rPr>
            </w:pPr>
          </w:p>
        </w:tc>
        <w:tc>
          <w:tcPr>
            <w:tcW w:w="468" w:type="pct"/>
            <w:vMerge/>
            <w:vAlign w:val="center"/>
          </w:tcPr>
          <w:p w14:paraId="177F97DF" w14:textId="77777777" w:rsidR="00567856" w:rsidRPr="00A964FF" w:rsidRDefault="00567856" w:rsidP="00107045">
            <w:pPr>
              <w:jc w:val="center"/>
              <w:rPr>
                <w:rFonts w:ascii="Calibri"/>
                <w:color w:val="auto"/>
                <w:szCs w:val="21"/>
              </w:rPr>
            </w:pPr>
          </w:p>
        </w:tc>
        <w:tc>
          <w:tcPr>
            <w:tcW w:w="453" w:type="pct"/>
            <w:vMerge/>
            <w:vAlign w:val="center"/>
          </w:tcPr>
          <w:p w14:paraId="14F20DF2" w14:textId="77777777" w:rsidR="00567856" w:rsidRPr="00A964FF" w:rsidRDefault="00567856" w:rsidP="00107045">
            <w:pPr>
              <w:jc w:val="center"/>
              <w:rPr>
                <w:rFonts w:ascii="Calibri"/>
                <w:color w:val="auto"/>
                <w:szCs w:val="21"/>
              </w:rPr>
            </w:pPr>
          </w:p>
        </w:tc>
        <w:tc>
          <w:tcPr>
            <w:tcW w:w="867" w:type="pct"/>
            <w:vAlign w:val="center"/>
          </w:tcPr>
          <w:p w14:paraId="250DBEC7" w14:textId="2E641485" w:rsidR="00567856" w:rsidRPr="00A964FF" w:rsidRDefault="000A2242" w:rsidP="00107045">
            <w:pPr>
              <w:jc w:val="center"/>
              <w:rPr>
                <w:rFonts w:ascii="Calibri"/>
                <w:color w:val="auto"/>
                <w:szCs w:val="21"/>
              </w:rPr>
            </w:pPr>
            <w:r w:rsidRPr="000A2242">
              <w:rPr>
                <w:rFonts w:ascii="Calibri" w:hint="eastAsia"/>
                <w:color w:val="auto"/>
                <w:szCs w:val="21"/>
              </w:rPr>
              <w:t>95%</w:t>
            </w:r>
            <w:r w:rsidRPr="000A2242">
              <w:rPr>
                <w:rFonts w:ascii="Calibri" w:hint="eastAsia"/>
                <w:color w:val="auto"/>
                <w:szCs w:val="21"/>
              </w:rPr>
              <w:t>保证率</w:t>
            </w:r>
            <w:r w:rsidRPr="000A2242">
              <w:rPr>
                <w:rFonts w:ascii="Calibri" w:hint="eastAsia"/>
                <w:color w:val="auto"/>
                <w:szCs w:val="21"/>
              </w:rPr>
              <w:t>24</w:t>
            </w:r>
            <w:r w:rsidRPr="000A2242">
              <w:rPr>
                <w:rFonts w:ascii="Calibri" w:hint="eastAsia"/>
                <w:color w:val="auto"/>
                <w:szCs w:val="21"/>
              </w:rPr>
              <w:t>小时平均</w:t>
            </w:r>
          </w:p>
        </w:tc>
        <w:tc>
          <w:tcPr>
            <w:tcW w:w="495" w:type="pct"/>
            <w:vAlign w:val="center"/>
          </w:tcPr>
          <w:p w14:paraId="1B5CA52C" w14:textId="77777777" w:rsidR="00567856" w:rsidRPr="00A964FF" w:rsidRDefault="00567856" w:rsidP="00107045">
            <w:pPr>
              <w:jc w:val="center"/>
              <w:rPr>
                <w:rFonts w:ascii="Calibri"/>
                <w:color w:val="auto"/>
                <w:szCs w:val="21"/>
              </w:rPr>
            </w:pPr>
            <w:r w:rsidRPr="00A964FF">
              <w:rPr>
                <w:rFonts w:ascii="Calibri" w:hint="eastAsia"/>
                <w:color w:val="auto"/>
                <w:szCs w:val="21"/>
              </w:rPr>
              <w:t>174</w:t>
            </w:r>
          </w:p>
        </w:tc>
        <w:tc>
          <w:tcPr>
            <w:tcW w:w="495" w:type="pct"/>
            <w:vAlign w:val="center"/>
          </w:tcPr>
          <w:p w14:paraId="4C394A65" w14:textId="77777777" w:rsidR="00567856" w:rsidRPr="00A964FF" w:rsidRDefault="00567856" w:rsidP="00107045">
            <w:pPr>
              <w:jc w:val="center"/>
              <w:rPr>
                <w:rFonts w:ascii="Calibri"/>
                <w:color w:val="auto"/>
                <w:szCs w:val="21"/>
              </w:rPr>
            </w:pPr>
            <w:r w:rsidRPr="00A964FF">
              <w:rPr>
                <w:rFonts w:ascii="Calibri" w:hint="eastAsia"/>
                <w:color w:val="auto"/>
                <w:szCs w:val="21"/>
              </w:rPr>
              <w:t>150</w:t>
            </w:r>
          </w:p>
        </w:tc>
        <w:tc>
          <w:tcPr>
            <w:tcW w:w="495" w:type="pct"/>
            <w:vAlign w:val="center"/>
          </w:tcPr>
          <w:p w14:paraId="4CE7F47C"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799B132F" w14:textId="77777777" w:rsidR="00567856" w:rsidRPr="00A964FF" w:rsidRDefault="00567856" w:rsidP="00107045">
            <w:pPr>
              <w:jc w:val="center"/>
              <w:rPr>
                <w:rFonts w:ascii="Calibri"/>
                <w:color w:val="auto"/>
                <w:szCs w:val="21"/>
              </w:rPr>
            </w:pPr>
            <w:r w:rsidRPr="00A964FF">
              <w:rPr>
                <w:rFonts w:ascii="Calibri" w:hint="eastAsia"/>
                <w:color w:val="auto"/>
                <w:szCs w:val="21"/>
              </w:rPr>
              <w:t>1.16</w:t>
            </w:r>
          </w:p>
        </w:tc>
        <w:tc>
          <w:tcPr>
            <w:tcW w:w="395" w:type="pct"/>
            <w:vAlign w:val="center"/>
          </w:tcPr>
          <w:p w14:paraId="4D3BDF9E" w14:textId="77777777" w:rsidR="00567856" w:rsidRPr="00A964FF" w:rsidRDefault="00567856" w:rsidP="00107045">
            <w:pPr>
              <w:jc w:val="center"/>
              <w:rPr>
                <w:rFonts w:ascii="Calibri"/>
                <w:color w:val="auto"/>
                <w:szCs w:val="21"/>
              </w:rPr>
            </w:pPr>
            <w:r w:rsidRPr="00A964FF">
              <w:rPr>
                <w:rFonts w:ascii="Calibri" w:hint="eastAsia"/>
                <w:color w:val="auto"/>
                <w:szCs w:val="21"/>
              </w:rPr>
              <w:t>超标</w:t>
            </w:r>
          </w:p>
        </w:tc>
      </w:tr>
      <w:tr w:rsidR="00567856" w:rsidRPr="00A964FF" w14:paraId="3CA5C0B2" w14:textId="77777777" w:rsidTr="000A2242">
        <w:trPr>
          <w:trHeight w:val="340"/>
        </w:trPr>
        <w:tc>
          <w:tcPr>
            <w:tcW w:w="388" w:type="pct"/>
            <w:vMerge/>
            <w:vAlign w:val="center"/>
          </w:tcPr>
          <w:p w14:paraId="1F45F297" w14:textId="77777777" w:rsidR="00567856" w:rsidRPr="00A964FF" w:rsidRDefault="00567856" w:rsidP="00107045">
            <w:pPr>
              <w:jc w:val="center"/>
              <w:rPr>
                <w:rFonts w:ascii="Calibri"/>
                <w:color w:val="auto"/>
                <w:szCs w:val="21"/>
              </w:rPr>
            </w:pPr>
          </w:p>
        </w:tc>
        <w:tc>
          <w:tcPr>
            <w:tcW w:w="450" w:type="pct"/>
            <w:vMerge/>
            <w:vAlign w:val="center"/>
          </w:tcPr>
          <w:p w14:paraId="59784047" w14:textId="77777777" w:rsidR="00567856" w:rsidRPr="00A964FF" w:rsidRDefault="00567856" w:rsidP="00107045">
            <w:pPr>
              <w:jc w:val="center"/>
              <w:rPr>
                <w:rFonts w:ascii="Calibri"/>
                <w:color w:val="auto"/>
                <w:szCs w:val="21"/>
              </w:rPr>
            </w:pPr>
          </w:p>
        </w:tc>
        <w:tc>
          <w:tcPr>
            <w:tcW w:w="468" w:type="pct"/>
            <w:vMerge/>
            <w:vAlign w:val="center"/>
          </w:tcPr>
          <w:p w14:paraId="7546D12F" w14:textId="77777777" w:rsidR="00567856" w:rsidRPr="00A964FF" w:rsidRDefault="00567856" w:rsidP="00107045">
            <w:pPr>
              <w:jc w:val="center"/>
              <w:rPr>
                <w:rFonts w:ascii="Calibri"/>
                <w:color w:val="auto"/>
                <w:szCs w:val="21"/>
              </w:rPr>
            </w:pPr>
          </w:p>
        </w:tc>
        <w:tc>
          <w:tcPr>
            <w:tcW w:w="453" w:type="pct"/>
            <w:vMerge w:val="restart"/>
            <w:vAlign w:val="center"/>
          </w:tcPr>
          <w:p w14:paraId="38D3FFC5" w14:textId="77777777" w:rsidR="00567856" w:rsidRPr="00A964FF" w:rsidRDefault="00567856" w:rsidP="00107045">
            <w:pPr>
              <w:jc w:val="center"/>
              <w:rPr>
                <w:rFonts w:ascii="Calibri"/>
                <w:color w:val="auto"/>
                <w:szCs w:val="21"/>
              </w:rPr>
            </w:pPr>
            <w:r w:rsidRPr="00A964FF">
              <w:rPr>
                <w:rFonts w:ascii="Calibri" w:hint="eastAsia"/>
                <w:color w:val="auto"/>
                <w:szCs w:val="21"/>
              </w:rPr>
              <w:t>SO</w:t>
            </w:r>
            <w:r w:rsidRPr="00A964FF">
              <w:rPr>
                <w:rFonts w:ascii="Calibri" w:hint="eastAsia"/>
                <w:color w:val="auto"/>
                <w:szCs w:val="21"/>
                <w:vertAlign w:val="subscript"/>
              </w:rPr>
              <w:t>2</w:t>
            </w:r>
          </w:p>
        </w:tc>
        <w:tc>
          <w:tcPr>
            <w:tcW w:w="867" w:type="pct"/>
            <w:vAlign w:val="center"/>
          </w:tcPr>
          <w:p w14:paraId="3808009C" w14:textId="77777777" w:rsidR="00567856" w:rsidRPr="00A964FF" w:rsidRDefault="00567856" w:rsidP="00107045">
            <w:pPr>
              <w:jc w:val="center"/>
              <w:rPr>
                <w:rFonts w:ascii="Calibri"/>
                <w:color w:val="auto"/>
                <w:szCs w:val="21"/>
              </w:rPr>
            </w:pPr>
            <w:r w:rsidRPr="00A964FF">
              <w:rPr>
                <w:rFonts w:ascii="Calibri" w:hint="eastAsia"/>
                <w:color w:val="auto"/>
                <w:szCs w:val="21"/>
              </w:rPr>
              <w:t>年均值</w:t>
            </w:r>
          </w:p>
        </w:tc>
        <w:tc>
          <w:tcPr>
            <w:tcW w:w="495" w:type="pct"/>
            <w:vAlign w:val="center"/>
          </w:tcPr>
          <w:p w14:paraId="260C248F" w14:textId="77777777" w:rsidR="00567856" w:rsidRPr="00A964FF" w:rsidRDefault="00567856" w:rsidP="00107045">
            <w:pPr>
              <w:jc w:val="center"/>
              <w:rPr>
                <w:rFonts w:ascii="Calibri"/>
                <w:color w:val="auto"/>
                <w:szCs w:val="21"/>
              </w:rPr>
            </w:pPr>
            <w:r w:rsidRPr="00A964FF">
              <w:rPr>
                <w:rFonts w:ascii="Calibri" w:hint="eastAsia"/>
                <w:color w:val="auto"/>
                <w:szCs w:val="21"/>
              </w:rPr>
              <w:t>10</w:t>
            </w:r>
          </w:p>
        </w:tc>
        <w:tc>
          <w:tcPr>
            <w:tcW w:w="495" w:type="pct"/>
            <w:vAlign w:val="center"/>
          </w:tcPr>
          <w:p w14:paraId="3AE34B28" w14:textId="77777777" w:rsidR="00567856" w:rsidRPr="00A964FF" w:rsidRDefault="00567856" w:rsidP="00107045">
            <w:pPr>
              <w:jc w:val="center"/>
              <w:rPr>
                <w:rFonts w:ascii="Calibri"/>
                <w:color w:val="auto"/>
                <w:szCs w:val="21"/>
              </w:rPr>
            </w:pPr>
            <w:r w:rsidRPr="00A964FF">
              <w:rPr>
                <w:rFonts w:ascii="Calibri" w:hint="eastAsia"/>
                <w:color w:val="auto"/>
                <w:szCs w:val="21"/>
              </w:rPr>
              <w:t>60</w:t>
            </w:r>
          </w:p>
        </w:tc>
        <w:tc>
          <w:tcPr>
            <w:tcW w:w="495" w:type="pct"/>
            <w:vAlign w:val="center"/>
          </w:tcPr>
          <w:p w14:paraId="3CC702C4"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39C1ECC0" w14:textId="77777777" w:rsidR="00567856" w:rsidRPr="00A964FF" w:rsidRDefault="00567856" w:rsidP="00107045">
            <w:pPr>
              <w:jc w:val="center"/>
              <w:rPr>
                <w:rFonts w:ascii="Calibri"/>
                <w:color w:val="auto"/>
                <w:szCs w:val="21"/>
              </w:rPr>
            </w:pPr>
            <w:r w:rsidRPr="00A964FF">
              <w:rPr>
                <w:rFonts w:ascii="Calibri" w:hint="eastAsia"/>
                <w:color w:val="auto"/>
                <w:szCs w:val="21"/>
              </w:rPr>
              <w:t>0.17</w:t>
            </w:r>
          </w:p>
        </w:tc>
        <w:tc>
          <w:tcPr>
            <w:tcW w:w="395" w:type="pct"/>
            <w:vAlign w:val="center"/>
          </w:tcPr>
          <w:p w14:paraId="5FA44988" w14:textId="77777777" w:rsidR="00567856" w:rsidRPr="00A964FF" w:rsidRDefault="00567856" w:rsidP="00107045">
            <w:pPr>
              <w:jc w:val="center"/>
              <w:rPr>
                <w:rFonts w:ascii="Calibri"/>
                <w:color w:val="auto"/>
                <w:szCs w:val="21"/>
              </w:rPr>
            </w:pPr>
            <w:r w:rsidRPr="00A964FF">
              <w:rPr>
                <w:rFonts w:ascii="Calibri" w:hint="eastAsia"/>
                <w:color w:val="auto"/>
                <w:szCs w:val="21"/>
              </w:rPr>
              <w:t>达标</w:t>
            </w:r>
          </w:p>
        </w:tc>
      </w:tr>
      <w:tr w:rsidR="00567856" w:rsidRPr="00A964FF" w14:paraId="22C76163" w14:textId="77777777" w:rsidTr="000A2242">
        <w:trPr>
          <w:trHeight w:val="340"/>
        </w:trPr>
        <w:tc>
          <w:tcPr>
            <w:tcW w:w="388" w:type="pct"/>
            <w:vMerge/>
            <w:vAlign w:val="center"/>
          </w:tcPr>
          <w:p w14:paraId="3DDE41C8" w14:textId="77777777" w:rsidR="00567856" w:rsidRPr="00A964FF" w:rsidRDefault="00567856" w:rsidP="00107045">
            <w:pPr>
              <w:jc w:val="center"/>
              <w:rPr>
                <w:rFonts w:ascii="Calibri"/>
                <w:color w:val="auto"/>
                <w:szCs w:val="21"/>
              </w:rPr>
            </w:pPr>
          </w:p>
        </w:tc>
        <w:tc>
          <w:tcPr>
            <w:tcW w:w="450" w:type="pct"/>
            <w:vMerge/>
            <w:vAlign w:val="center"/>
          </w:tcPr>
          <w:p w14:paraId="128E7CB0" w14:textId="77777777" w:rsidR="00567856" w:rsidRPr="00A964FF" w:rsidRDefault="00567856" w:rsidP="00107045">
            <w:pPr>
              <w:jc w:val="center"/>
              <w:rPr>
                <w:rFonts w:ascii="Calibri"/>
                <w:color w:val="auto"/>
                <w:szCs w:val="21"/>
              </w:rPr>
            </w:pPr>
          </w:p>
        </w:tc>
        <w:tc>
          <w:tcPr>
            <w:tcW w:w="468" w:type="pct"/>
            <w:vMerge/>
            <w:vAlign w:val="center"/>
          </w:tcPr>
          <w:p w14:paraId="7F52160B" w14:textId="77777777" w:rsidR="00567856" w:rsidRPr="00A964FF" w:rsidRDefault="00567856" w:rsidP="00107045">
            <w:pPr>
              <w:jc w:val="center"/>
              <w:rPr>
                <w:rFonts w:ascii="Calibri"/>
                <w:color w:val="auto"/>
                <w:szCs w:val="21"/>
              </w:rPr>
            </w:pPr>
          </w:p>
        </w:tc>
        <w:tc>
          <w:tcPr>
            <w:tcW w:w="453" w:type="pct"/>
            <w:vMerge/>
            <w:vAlign w:val="center"/>
          </w:tcPr>
          <w:p w14:paraId="0B24A759" w14:textId="77777777" w:rsidR="00567856" w:rsidRPr="00A964FF" w:rsidRDefault="00567856" w:rsidP="00107045">
            <w:pPr>
              <w:jc w:val="center"/>
              <w:rPr>
                <w:rFonts w:ascii="Calibri"/>
                <w:color w:val="auto"/>
                <w:szCs w:val="21"/>
              </w:rPr>
            </w:pPr>
          </w:p>
        </w:tc>
        <w:tc>
          <w:tcPr>
            <w:tcW w:w="867" w:type="pct"/>
            <w:vAlign w:val="center"/>
          </w:tcPr>
          <w:p w14:paraId="1834C4D8" w14:textId="2B1A9F0E" w:rsidR="00567856" w:rsidRPr="00A964FF" w:rsidRDefault="000A2242" w:rsidP="00107045">
            <w:pPr>
              <w:jc w:val="center"/>
              <w:rPr>
                <w:rFonts w:ascii="Calibri"/>
                <w:color w:val="auto"/>
                <w:szCs w:val="21"/>
              </w:rPr>
            </w:pPr>
            <w:r>
              <w:rPr>
                <w:rFonts w:ascii="Calibri" w:hint="eastAsia"/>
                <w:color w:val="auto"/>
                <w:szCs w:val="21"/>
              </w:rPr>
              <w:t>98</w:t>
            </w:r>
            <w:r>
              <w:rPr>
                <w:rFonts w:ascii="Calibri"/>
                <w:color w:val="auto"/>
                <w:szCs w:val="21"/>
              </w:rPr>
              <w:t>%</w:t>
            </w:r>
            <w:r>
              <w:rPr>
                <w:rFonts w:ascii="Calibri" w:hint="eastAsia"/>
                <w:color w:val="auto"/>
                <w:szCs w:val="21"/>
              </w:rPr>
              <w:t>保证率</w:t>
            </w:r>
            <w:r w:rsidRPr="00A964FF">
              <w:rPr>
                <w:rFonts w:ascii="Calibri" w:hint="eastAsia"/>
                <w:color w:val="auto"/>
                <w:szCs w:val="21"/>
              </w:rPr>
              <w:t>24</w:t>
            </w:r>
            <w:r w:rsidRPr="00A964FF">
              <w:rPr>
                <w:rFonts w:ascii="Calibri" w:hint="eastAsia"/>
                <w:color w:val="auto"/>
                <w:szCs w:val="21"/>
              </w:rPr>
              <w:t>小时平均</w:t>
            </w:r>
          </w:p>
        </w:tc>
        <w:tc>
          <w:tcPr>
            <w:tcW w:w="495" w:type="pct"/>
            <w:vAlign w:val="center"/>
          </w:tcPr>
          <w:p w14:paraId="3B705F32" w14:textId="77777777" w:rsidR="00567856" w:rsidRPr="00A964FF" w:rsidRDefault="00567856" w:rsidP="00107045">
            <w:pPr>
              <w:jc w:val="center"/>
              <w:rPr>
                <w:rFonts w:ascii="Calibri"/>
                <w:color w:val="auto"/>
                <w:szCs w:val="21"/>
              </w:rPr>
            </w:pPr>
            <w:r w:rsidRPr="00A964FF">
              <w:rPr>
                <w:rFonts w:ascii="Calibri" w:hint="eastAsia"/>
                <w:color w:val="auto"/>
                <w:szCs w:val="21"/>
              </w:rPr>
              <w:t>21</w:t>
            </w:r>
          </w:p>
        </w:tc>
        <w:tc>
          <w:tcPr>
            <w:tcW w:w="495" w:type="pct"/>
            <w:vAlign w:val="center"/>
          </w:tcPr>
          <w:p w14:paraId="6100DB00" w14:textId="77777777" w:rsidR="00567856" w:rsidRPr="00A964FF" w:rsidRDefault="00567856" w:rsidP="00107045">
            <w:pPr>
              <w:jc w:val="center"/>
              <w:rPr>
                <w:rFonts w:ascii="Calibri"/>
                <w:color w:val="auto"/>
                <w:szCs w:val="21"/>
              </w:rPr>
            </w:pPr>
            <w:r w:rsidRPr="00A964FF">
              <w:rPr>
                <w:rFonts w:ascii="Calibri" w:hint="eastAsia"/>
                <w:color w:val="auto"/>
                <w:szCs w:val="21"/>
              </w:rPr>
              <w:t>150</w:t>
            </w:r>
          </w:p>
        </w:tc>
        <w:tc>
          <w:tcPr>
            <w:tcW w:w="495" w:type="pct"/>
            <w:vAlign w:val="center"/>
          </w:tcPr>
          <w:p w14:paraId="78DE8708"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0BEF3DAA" w14:textId="77777777" w:rsidR="00567856" w:rsidRPr="00A964FF" w:rsidRDefault="00567856" w:rsidP="00107045">
            <w:pPr>
              <w:jc w:val="center"/>
              <w:rPr>
                <w:rFonts w:ascii="Calibri"/>
                <w:color w:val="auto"/>
                <w:szCs w:val="21"/>
              </w:rPr>
            </w:pPr>
            <w:r w:rsidRPr="00A964FF">
              <w:rPr>
                <w:rFonts w:ascii="Calibri" w:hint="eastAsia"/>
                <w:color w:val="auto"/>
                <w:szCs w:val="21"/>
              </w:rPr>
              <w:t>0.14</w:t>
            </w:r>
          </w:p>
        </w:tc>
        <w:tc>
          <w:tcPr>
            <w:tcW w:w="395" w:type="pct"/>
            <w:vAlign w:val="center"/>
          </w:tcPr>
          <w:p w14:paraId="741D4AB1" w14:textId="77777777" w:rsidR="00567856" w:rsidRPr="00A964FF" w:rsidRDefault="00567856" w:rsidP="00107045">
            <w:pPr>
              <w:jc w:val="center"/>
              <w:rPr>
                <w:rFonts w:ascii="Calibri"/>
                <w:color w:val="auto"/>
                <w:szCs w:val="21"/>
              </w:rPr>
            </w:pPr>
            <w:r w:rsidRPr="00A964FF">
              <w:rPr>
                <w:rFonts w:ascii="Calibri" w:hint="eastAsia"/>
                <w:color w:val="auto"/>
                <w:szCs w:val="21"/>
              </w:rPr>
              <w:t>达标</w:t>
            </w:r>
          </w:p>
        </w:tc>
      </w:tr>
      <w:tr w:rsidR="00567856" w:rsidRPr="00A964FF" w14:paraId="4B021817" w14:textId="77777777" w:rsidTr="000A2242">
        <w:trPr>
          <w:trHeight w:val="340"/>
        </w:trPr>
        <w:tc>
          <w:tcPr>
            <w:tcW w:w="388" w:type="pct"/>
            <w:vMerge/>
            <w:vAlign w:val="center"/>
          </w:tcPr>
          <w:p w14:paraId="55EFDAD2" w14:textId="77777777" w:rsidR="00567856" w:rsidRPr="00A964FF" w:rsidRDefault="00567856" w:rsidP="00107045">
            <w:pPr>
              <w:jc w:val="center"/>
              <w:rPr>
                <w:rFonts w:ascii="Calibri"/>
                <w:color w:val="auto"/>
                <w:szCs w:val="21"/>
              </w:rPr>
            </w:pPr>
          </w:p>
        </w:tc>
        <w:tc>
          <w:tcPr>
            <w:tcW w:w="450" w:type="pct"/>
            <w:vMerge/>
            <w:vAlign w:val="center"/>
          </w:tcPr>
          <w:p w14:paraId="6DAA8B8B" w14:textId="77777777" w:rsidR="00567856" w:rsidRPr="00A964FF" w:rsidRDefault="00567856" w:rsidP="00107045">
            <w:pPr>
              <w:jc w:val="center"/>
              <w:rPr>
                <w:rFonts w:ascii="Calibri"/>
                <w:color w:val="auto"/>
                <w:szCs w:val="21"/>
              </w:rPr>
            </w:pPr>
          </w:p>
        </w:tc>
        <w:tc>
          <w:tcPr>
            <w:tcW w:w="468" w:type="pct"/>
            <w:vMerge/>
            <w:vAlign w:val="center"/>
          </w:tcPr>
          <w:p w14:paraId="42B84ADB" w14:textId="77777777" w:rsidR="00567856" w:rsidRPr="00A964FF" w:rsidRDefault="00567856" w:rsidP="00107045">
            <w:pPr>
              <w:jc w:val="center"/>
              <w:rPr>
                <w:rFonts w:ascii="Calibri"/>
                <w:color w:val="auto"/>
                <w:szCs w:val="21"/>
              </w:rPr>
            </w:pPr>
          </w:p>
        </w:tc>
        <w:tc>
          <w:tcPr>
            <w:tcW w:w="453" w:type="pct"/>
            <w:vMerge w:val="restart"/>
            <w:vAlign w:val="center"/>
          </w:tcPr>
          <w:p w14:paraId="331C9B09" w14:textId="77777777" w:rsidR="00567856" w:rsidRPr="00A964FF" w:rsidRDefault="00567856" w:rsidP="00107045">
            <w:pPr>
              <w:jc w:val="center"/>
              <w:rPr>
                <w:rFonts w:ascii="Calibri"/>
                <w:color w:val="auto"/>
                <w:szCs w:val="21"/>
              </w:rPr>
            </w:pPr>
            <w:r w:rsidRPr="00A964FF">
              <w:rPr>
                <w:rFonts w:ascii="Calibri" w:hint="eastAsia"/>
                <w:color w:val="auto"/>
                <w:szCs w:val="21"/>
              </w:rPr>
              <w:t>NO</w:t>
            </w:r>
            <w:r w:rsidRPr="00A964FF">
              <w:rPr>
                <w:rFonts w:ascii="Calibri" w:hint="eastAsia"/>
                <w:color w:val="auto"/>
                <w:szCs w:val="21"/>
                <w:vertAlign w:val="subscript"/>
              </w:rPr>
              <w:t>2</w:t>
            </w:r>
          </w:p>
        </w:tc>
        <w:tc>
          <w:tcPr>
            <w:tcW w:w="867" w:type="pct"/>
            <w:vAlign w:val="center"/>
          </w:tcPr>
          <w:p w14:paraId="6B747C30" w14:textId="77777777" w:rsidR="00567856" w:rsidRPr="00A964FF" w:rsidRDefault="00567856" w:rsidP="00107045">
            <w:pPr>
              <w:jc w:val="center"/>
              <w:rPr>
                <w:rFonts w:ascii="Calibri"/>
                <w:color w:val="auto"/>
                <w:szCs w:val="21"/>
              </w:rPr>
            </w:pPr>
            <w:r w:rsidRPr="00A964FF">
              <w:rPr>
                <w:rFonts w:ascii="Calibri" w:hint="eastAsia"/>
                <w:color w:val="auto"/>
                <w:szCs w:val="21"/>
              </w:rPr>
              <w:t>年均值</w:t>
            </w:r>
          </w:p>
        </w:tc>
        <w:tc>
          <w:tcPr>
            <w:tcW w:w="495" w:type="pct"/>
            <w:vAlign w:val="center"/>
          </w:tcPr>
          <w:p w14:paraId="6ECD280F" w14:textId="77777777" w:rsidR="00567856" w:rsidRPr="00A964FF" w:rsidRDefault="00567856" w:rsidP="00107045">
            <w:pPr>
              <w:jc w:val="center"/>
              <w:rPr>
                <w:rFonts w:ascii="Calibri"/>
                <w:color w:val="auto"/>
                <w:szCs w:val="21"/>
              </w:rPr>
            </w:pPr>
            <w:r w:rsidRPr="00A964FF">
              <w:rPr>
                <w:rFonts w:ascii="Calibri" w:hint="eastAsia"/>
                <w:color w:val="auto"/>
                <w:szCs w:val="21"/>
              </w:rPr>
              <w:t>27</w:t>
            </w:r>
          </w:p>
        </w:tc>
        <w:tc>
          <w:tcPr>
            <w:tcW w:w="495" w:type="pct"/>
            <w:vAlign w:val="center"/>
          </w:tcPr>
          <w:p w14:paraId="4F86B392" w14:textId="77777777" w:rsidR="00567856" w:rsidRPr="00A964FF" w:rsidRDefault="00567856" w:rsidP="00107045">
            <w:pPr>
              <w:jc w:val="center"/>
              <w:rPr>
                <w:rFonts w:ascii="Calibri"/>
                <w:color w:val="auto"/>
                <w:szCs w:val="21"/>
              </w:rPr>
            </w:pPr>
            <w:r w:rsidRPr="00A964FF">
              <w:rPr>
                <w:rFonts w:ascii="Calibri" w:hint="eastAsia"/>
                <w:color w:val="auto"/>
                <w:szCs w:val="21"/>
              </w:rPr>
              <w:t>40</w:t>
            </w:r>
          </w:p>
        </w:tc>
        <w:tc>
          <w:tcPr>
            <w:tcW w:w="495" w:type="pct"/>
            <w:vAlign w:val="center"/>
          </w:tcPr>
          <w:p w14:paraId="7DA3C612"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0EF29F2C" w14:textId="77777777" w:rsidR="00567856" w:rsidRPr="00A964FF" w:rsidRDefault="00567856" w:rsidP="00107045">
            <w:pPr>
              <w:jc w:val="center"/>
              <w:rPr>
                <w:rFonts w:ascii="Calibri"/>
                <w:color w:val="auto"/>
                <w:szCs w:val="21"/>
              </w:rPr>
            </w:pPr>
            <w:r w:rsidRPr="00A964FF">
              <w:rPr>
                <w:rFonts w:ascii="Calibri" w:hint="eastAsia"/>
                <w:color w:val="auto"/>
                <w:szCs w:val="21"/>
              </w:rPr>
              <w:t>0.68</w:t>
            </w:r>
          </w:p>
        </w:tc>
        <w:tc>
          <w:tcPr>
            <w:tcW w:w="395" w:type="pct"/>
            <w:vAlign w:val="center"/>
          </w:tcPr>
          <w:p w14:paraId="0CD10D90" w14:textId="77777777" w:rsidR="00567856" w:rsidRPr="00A964FF" w:rsidRDefault="00567856" w:rsidP="00107045">
            <w:pPr>
              <w:jc w:val="center"/>
              <w:rPr>
                <w:rFonts w:ascii="Calibri"/>
                <w:color w:val="auto"/>
                <w:szCs w:val="21"/>
              </w:rPr>
            </w:pPr>
            <w:r w:rsidRPr="00A964FF">
              <w:rPr>
                <w:rFonts w:ascii="Calibri" w:hint="eastAsia"/>
                <w:color w:val="auto"/>
                <w:szCs w:val="21"/>
              </w:rPr>
              <w:t>达标</w:t>
            </w:r>
          </w:p>
        </w:tc>
      </w:tr>
      <w:tr w:rsidR="00567856" w:rsidRPr="00A964FF" w14:paraId="2C905887" w14:textId="77777777" w:rsidTr="000A2242">
        <w:trPr>
          <w:trHeight w:val="340"/>
        </w:trPr>
        <w:tc>
          <w:tcPr>
            <w:tcW w:w="388" w:type="pct"/>
            <w:vMerge/>
            <w:vAlign w:val="center"/>
          </w:tcPr>
          <w:p w14:paraId="2A630ED6" w14:textId="77777777" w:rsidR="00567856" w:rsidRPr="00A964FF" w:rsidRDefault="00567856" w:rsidP="00107045">
            <w:pPr>
              <w:jc w:val="center"/>
              <w:rPr>
                <w:rFonts w:ascii="Calibri"/>
                <w:color w:val="auto"/>
                <w:szCs w:val="21"/>
              </w:rPr>
            </w:pPr>
          </w:p>
        </w:tc>
        <w:tc>
          <w:tcPr>
            <w:tcW w:w="450" w:type="pct"/>
            <w:vMerge/>
            <w:vAlign w:val="center"/>
          </w:tcPr>
          <w:p w14:paraId="353CF179" w14:textId="77777777" w:rsidR="00567856" w:rsidRPr="00A964FF" w:rsidRDefault="00567856" w:rsidP="00107045">
            <w:pPr>
              <w:jc w:val="center"/>
              <w:rPr>
                <w:rFonts w:ascii="Calibri"/>
                <w:color w:val="auto"/>
                <w:szCs w:val="21"/>
              </w:rPr>
            </w:pPr>
          </w:p>
        </w:tc>
        <w:tc>
          <w:tcPr>
            <w:tcW w:w="468" w:type="pct"/>
            <w:vMerge/>
            <w:vAlign w:val="center"/>
          </w:tcPr>
          <w:p w14:paraId="7E087E9A" w14:textId="77777777" w:rsidR="00567856" w:rsidRPr="00A964FF" w:rsidRDefault="00567856" w:rsidP="00107045">
            <w:pPr>
              <w:jc w:val="center"/>
              <w:rPr>
                <w:rFonts w:ascii="Calibri"/>
                <w:color w:val="auto"/>
                <w:szCs w:val="21"/>
              </w:rPr>
            </w:pPr>
          </w:p>
        </w:tc>
        <w:tc>
          <w:tcPr>
            <w:tcW w:w="453" w:type="pct"/>
            <w:vMerge/>
            <w:vAlign w:val="center"/>
          </w:tcPr>
          <w:p w14:paraId="26EDDD5F" w14:textId="77777777" w:rsidR="00567856" w:rsidRPr="00A964FF" w:rsidRDefault="00567856" w:rsidP="00107045">
            <w:pPr>
              <w:jc w:val="center"/>
              <w:rPr>
                <w:rFonts w:ascii="Calibri"/>
                <w:color w:val="auto"/>
                <w:szCs w:val="21"/>
              </w:rPr>
            </w:pPr>
          </w:p>
        </w:tc>
        <w:tc>
          <w:tcPr>
            <w:tcW w:w="867" w:type="pct"/>
            <w:vAlign w:val="center"/>
          </w:tcPr>
          <w:p w14:paraId="0E525012" w14:textId="7104421B" w:rsidR="00567856" w:rsidRPr="00A964FF" w:rsidRDefault="000A2242" w:rsidP="00107045">
            <w:pPr>
              <w:jc w:val="center"/>
              <w:rPr>
                <w:rFonts w:ascii="Calibri"/>
                <w:color w:val="auto"/>
                <w:szCs w:val="21"/>
              </w:rPr>
            </w:pPr>
            <w:r>
              <w:rPr>
                <w:rFonts w:ascii="Calibri" w:hint="eastAsia"/>
                <w:color w:val="auto"/>
                <w:szCs w:val="21"/>
              </w:rPr>
              <w:t>98</w:t>
            </w:r>
            <w:r>
              <w:rPr>
                <w:rFonts w:ascii="Calibri"/>
                <w:color w:val="auto"/>
                <w:szCs w:val="21"/>
              </w:rPr>
              <w:t>%</w:t>
            </w:r>
            <w:r>
              <w:rPr>
                <w:rFonts w:ascii="Calibri" w:hint="eastAsia"/>
                <w:color w:val="auto"/>
                <w:szCs w:val="21"/>
              </w:rPr>
              <w:t>保证率</w:t>
            </w:r>
            <w:r w:rsidRPr="00A964FF">
              <w:rPr>
                <w:rFonts w:ascii="Calibri" w:hint="eastAsia"/>
                <w:color w:val="auto"/>
                <w:szCs w:val="21"/>
              </w:rPr>
              <w:t>24</w:t>
            </w:r>
            <w:r w:rsidRPr="00A964FF">
              <w:rPr>
                <w:rFonts w:ascii="Calibri" w:hint="eastAsia"/>
                <w:color w:val="auto"/>
                <w:szCs w:val="21"/>
              </w:rPr>
              <w:t>小时平均</w:t>
            </w:r>
          </w:p>
        </w:tc>
        <w:tc>
          <w:tcPr>
            <w:tcW w:w="495" w:type="pct"/>
            <w:vAlign w:val="center"/>
          </w:tcPr>
          <w:p w14:paraId="06D66BC1" w14:textId="77777777" w:rsidR="00567856" w:rsidRPr="00A964FF" w:rsidRDefault="00567856" w:rsidP="00107045">
            <w:pPr>
              <w:jc w:val="center"/>
              <w:rPr>
                <w:rFonts w:ascii="Calibri"/>
                <w:color w:val="auto"/>
                <w:szCs w:val="21"/>
              </w:rPr>
            </w:pPr>
            <w:r w:rsidRPr="00A964FF">
              <w:rPr>
                <w:rFonts w:ascii="Calibri" w:hint="eastAsia"/>
                <w:color w:val="auto"/>
                <w:szCs w:val="21"/>
              </w:rPr>
              <w:t>58</w:t>
            </w:r>
          </w:p>
        </w:tc>
        <w:tc>
          <w:tcPr>
            <w:tcW w:w="495" w:type="pct"/>
            <w:vAlign w:val="center"/>
          </w:tcPr>
          <w:p w14:paraId="6AF07AD7" w14:textId="77777777" w:rsidR="00567856" w:rsidRPr="00A964FF" w:rsidRDefault="00567856" w:rsidP="00107045">
            <w:pPr>
              <w:jc w:val="center"/>
              <w:rPr>
                <w:rFonts w:ascii="Calibri"/>
                <w:color w:val="auto"/>
                <w:szCs w:val="21"/>
              </w:rPr>
            </w:pPr>
            <w:r w:rsidRPr="00A964FF">
              <w:rPr>
                <w:rFonts w:ascii="Calibri" w:hint="eastAsia"/>
                <w:color w:val="auto"/>
                <w:szCs w:val="21"/>
              </w:rPr>
              <w:t>80</w:t>
            </w:r>
          </w:p>
        </w:tc>
        <w:tc>
          <w:tcPr>
            <w:tcW w:w="495" w:type="pct"/>
            <w:vAlign w:val="center"/>
          </w:tcPr>
          <w:p w14:paraId="26A57EFF"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3605BDE6" w14:textId="77777777" w:rsidR="00567856" w:rsidRPr="00A964FF" w:rsidRDefault="00567856" w:rsidP="00107045">
            <w:pPr>
              <w:jc w:val="center"/>
              <w:rPr>
                <w:rFonts w:ascii="Calibri"/>
                <w:color w:val="auto"/>
                <w:szCs w:val="21"/>
              </w:rPr>
            </w:pPr>
            <w:r w:rsidRPr="00A964FF">
              <w:rPr>
                <w:rFonts w:ascii="Calibri" w:hint="eastAsia"/>
                <w:color w:val="auto"/>
                <w:szCs w:val="21"/>
              </w:rPr>
              <w:t>0.73</w:t>
            </w:r>
          </w:p>
        </w:tc>
        <w:tc>
          <w:tcPr>
            <w:tcW w:w="395" w:type="pct"/>
            <w:vAlign w:val="center"/>
          </w:tcPr>
          <w:p w14:paraId="1553026A" w14:textId="77777777" w:rsidR="00567856" w:rsidRPr="00A964FF" w:rsidRDefault="00567856" w:rsidP="00107045">
            <w:pPr>
              <w:jc w:val="center"/>
              <w:rPr>
                <w:rFonts w:ascii="Calibri"/>
                <w:color w:val="auto"/>
                <w:szCs w:val="21"/>
              </w:rPr>
            </w:pPr>
            <w:r w:rsidRPr="00A964FF">
              <w:rPr>
                <w:rFonts w:ascii="Calibri" w:hint="eastAsia"/>
                <w:color w:val="auto"/>
                <w:szCs w:val="21"/>
              </w:rPr>
              <w:t>达标</w:t>
            </w:r>
          </w:p>
        </w:tc>
      </w:tr>
      <w:tr w:rsidR="00567856" w:rsidRPr="00A964FF" w14:paraId="07C1AD5A" w14:textId="77777777" w:rsidTr="000A2242">
        <w:trPr>
          <w:trHeight w:val="340"/>
        </w:trPr>
        <w:tc>
          <w:tcPr>
            <w:tcW w:w="388" w:type="pct"/>
            <w:vMerge/>
            <w:vAlign w:val="center"/>
          </w:tcPr>
          <w:p w14:paraId="38A0F97A" w14:textId="77777777" w:rsidR="00567856" w:rsidRPr="00A964FF" w:rsidRDefault="00567856" w:rsidP="00107045">
            <w:pPr>
              <w:jc w:val="center"/>
              <w:rPr>
                <w:rFonts w:ascii="Calibri"/>
                <w:color w:val="auto"/>
                <w:szCs w:val="21"/>
              </w:rPr>
            </w:pPr>
          </w:p>
        </w:tc>
        <w:tc>
          <w:tcPr>
            <w:tcW w:w="450" w:type="pct"/>
            <w:vMerge/>
            <w:vAlign w:val="center"/>
          </w:tcPr>
          <w:p w14:paraId="128F8D46" w14:textId="77777777" w:rsidR="00567856" w:rsidRPr="00A964FF" w:rsidRDefault="00567856" w:rsidP="00107045">
            <w:pPr>
              <w:jc w:val="center"/>
              <w:rPr>
                <w:rFonts w:ascii="Calibri"/>
                <w:color w:val="auto"/>
                <w:szCs w:val="21"/>
              </w:rPr>
            </w:pPr>
          </w:p>
        </w:tc>
        <w:tc>
          <w:tcPr>
            <w:tcW w:w="468" w:type="pct"/>
            <w:vMerge/>
            <w:vAlign w:val="center"/>
          </w:tcPr>
          <w:p w14:paraId="282B62A4" w14:textId="77777777" w:rsidR="00567856" w:rsidRPr="00A964FF" w:rsidRDefault="00567856" w:rsidP="00107045">
            <w:pPr>
              <w:jc w:val="center"/>
              <w:rPr>
                <w:rFonts w:ascii="Calibri"/>
                <w:color w:val="auto"/>
                <w:szCs w:val="21"/>
              </w:rPr>
            </w:pPr>
          </w:p>
        </w:tc>
        <w:tc>
          <w:tcPr>
            <w:tcW w:w="453" w:type="pct"/>
            <w:vAlign w:val="center"/>
          </w:tcPr>
          <w:p w14:paraId="2373E780" w14:textId="77777777" w:rsidR="00567856" w:rsidRPr="00A964FF" w:rsidRDefault="00567856" w:rsidP="00107045">
            <w:pPr>
              <w:jc w:val="center"/>
              <w:rPr>
                <w:rFonts w:ascii="Calibri"/>
                <w:color w:val="auto"/>
                <w:szCs w:val="21"/>
              </w:rPr>
            </w:pPr>
            <w:r w:rsidRPr="00A964FF">
              <w:rPr>
                <w:rFonts w:ascii="Calibri" w:hint="eastAsia"/>
                <w:color w:val="auto"/>
                <w:szCs w:val="21"/>
              </w:rPr>
              <w:t>CO</w:t>
            </w:r>
          </w:p>
        </w:tc>
        <w:tc>
          <w:tcPr>
            <w:tcW w:w="867" w:type="pct"/>
            <w:vAlign w:val="center"/>
          </w:tcPr>
          <w:p w14:paraId="3084DCA3" w14:textId="710BF037" w:rsidR="00567856" w:rsidRPr="00A964FF" w:rsidRDefault="000A2242" w:rsidP="00107045">
            <w:pPr>
              <w:jc w:val="center"/>
              <w:rPr>
                <w:rFonts w:ascii="Calibri"/>
                <w:color w:val="auto"/>
                <w:szCs w:val="21"/>
              </w:rPr>
            </w:pPr>
            <w:r>
              <w:rPr>
                <w:rFonts w:ascii="Calibri" w:hint="eastAsia"/>
                <w:color w:val="auto"/>
                <w:szCs w:val="21"/>
              </w:rPr>
              <w:t>95</w:t>
            </w:r>
            <w:r>
              <w:rPr>
                <w:rFonts w:ascii="Calibri"/>
                <w:color w:val="auto"/>
                <w:szCs w:val="21"/>
              </w:rPr>
              <w:t>%</w:t>
            </w:r>
            <w:r>
              <w:rPr>
                <w:rFonts w:ascii="Calibri" w:hint="eastAsia"/>
                <w:color w:val="auto"/>
                <w:szCs w:val="21"/>
              </w:rPr>
              <w:t>保证率</w:t>
            </w:r>
            <w:r w:rsidRPr="00A964FF">
              <w:rPr>
                <w:rFonts w:ascii="Calibri" w:hint="eastAsia"/>
                <w:color w:val="auto"/>
                <w:szCs w:val="21"/>
              </w:rPr>
              <w:t>24</w:t>
            </w:r>
            <w:r w:rsidRPr="00A964FF">
              <w:rPr>
                <w:rFonts w:ascii="Calibri" w:hint="eastAsia"/>
                <w:color w:val="auto"/>
                <w:szCs w:val="21"/>
              </w:rPr>
              <w:t>小时平均</w:t>
            </w:r>
          </w:p>
        </w:tc>
        <w:tc>
          <w:tcPr>
            <w:tcW w:w="495" w:type="pct"/>
            <w:vAlign w:val="center"/>
          </w:tcPr>
          <w:p w14:paraId="74112976" w14:textId="77777777" w:rsidR="00567856" w:rsidRPr="00A964FF" w:rsidRDefault="00567856" w:rsidP="00107045">
            <w:pPr>
              <w:jc w:val="center"/>
              <w:rPr>
                <w:rFonts w:ascii="Calibri"/>
                <w:color w:val="auto"/>
                <w:szCs w:val="21"/>
              </w:rPr>
            </w:pPr>
            <w:r w:rsidRPr="00A964FF">
              <w:rPr>
                <w:rFonts w:ascii="Calibri" w:hint="eastAsia"/>
                <w:color w:val="auto"/>
                <w:szCs w:val="21"/>
              </w:rPr>
              <w:t>1.3</w:t>
            </w:r>
          </w:p>
        </w:tc>
        <w:tc>
          <w:tcPr>
            <w:tcW w:w="495" w:type="pct"/>
            <w:vAlign w:val="center"/>
          </w:tcPr>
          <w:p w14:paraId="51708250" w14:textId="77777777" w:rsidR="00567856" w:rsidRPr="00A964FF" w:rsidRDefault="00567856" w:rsidP="00107045">
            <w:pPr>
              <w:jc w:val="center"/>
              <w:rPr>
                <w:rFonts w:ascii="Calibri"/>
                <w:color w:val="auto"/>
                <w:szCs w:val="21"/>
              </w:rPr>
            </w:pPr>
            <w:r w:rsidRPr="00A964FF">
              <w:rPr>
                <w:rFonts w:ascii="Calibri" w:hint="eastAsia"/>
                <w:color w:val="auto"/>
                <w:szCs w:val="21"/>
              </w:rPr>
              <w:t>4</w:t>
            </w:r>
          </w:p>
        </w:tc>
        <w:tc>
          <w:tcPr>
            <w:tcW w:w="495" w:type="pct"/>
            <w:vAlign w:val="center"/>
          </w:tcPr>
          <w:p w14:paraId="64440702" w14:textId="77777777" w:rsidR="00567856" w:rsidRPr="00A964FF" w:rsidRDefault="00567856" w:rsidP="00107045">
            <w:pPr>
              <w:jc w:val="center"/>
              <w:rPr>
                <w:rFonts w:ascii="Calibri"/>
                <w:color w:val="auto"/>
                <w:szCs w:val="21"/>
              </w:rPr>
            </w:pPr>
            <w:r w:rsidRPr="00A964FF">
              <w:rPr>
                <w:rFonts w:ascii="Calibri" w:hint="eastAsia"/>
                <w:color w:val="auto"/>
                <w:szCs w:val="21"/>
              </w:rPr>
              <w:t>mg/m</w:t>
            </w:r>
            <w:r w:rsidRPr="00A964FF">
              <w:rPr>
                <w:rFonts w:ascii="Calibri" w:hint="eastAsia"/>
                <w:color w:val="auto"/>
                <w:szCs w:val="21"/>
                <w:vertAlign w:val="superscript"/>
              </w:rPr>
              <w:t>3</w:t>
            </w:r>
          </w:p>
        </w:tc>
        <w:tc>
          <w:tcPr>
            <w:tcW w:w="495" w:type="pct"/>
            <w:vAlign w:val="center"/>
          </w:tcPr>
          <w:p w14:paraId="20CDD0AA" w14:textId="77777777" w:rsidR="00567856" w:rsidRPr="00A964FF" w:rsidRDefault="00567856" w:rsidP="00107045">
            <w:pPr>
              <w:jc w:val="center"/>
              <w:rPr>
                <w:rFonts w:ascii="Calibri"/>
                <w:color w:val="auto"/>
                <w:szCs w:val="21"/>
              </w:rPr>
            </w:pPr>
            <w:r w:rsidRPr="00A964FF">
              <w:rPr>
                <w:rFonts w:ascii="Calibri" w:hint="eastAsia"/>
                <w:color w:val="auto"/>
                <w:szCs w:val="21"/>
              </w:rPr>
              <w:t>0.33</w:t>
            </w:r>
          </w:p>
        </w:tc>
        <w:tc>
          <w:tcPr>
            <w:tcW w:w="395" w:type="pct"/>
            <w:vAlign w:val="center"/>
          </w:tcPr>
          <w:p w14:paraId="12CAC3AE" w14:textId="77777777" w:rsidR="00567856" w:rsidRPr="00A964FF" w:rsidRDefault="00567856" w:rsidP="00107045">
            <w:pPr>
              <w:jc w:val="center"/>
              <w:rPr>
                <w:rFonts w:ascii="Calibri"/>
                <w:color w:val="auto"/>
                <w:szCs w:val="21"/>
              </w:rPr>
            </w:pPr>
            <w:r w:rsidRPr="00A964FF">
              <w:rPr>
                <w:rFonts w:ascii="Calibri" w:hint="eastAsia"/>
                <w:color w:val="auto"/>
                <w:szCs w:val="21"/>
              </w:rPr>
              <w:t>达标</w:t>
            </w:r>
          </w:p>
        </w:tc>
      </w:tr>
      <w:tr w:rsidR="00567856" w:rsidRPr="00A964FF" w14:paraId="43A2FE05" w14:textId="77777777" w:rsidTr="000A2242">
        <w:trPr>
          <w:trHeight w:val="340"/>
        </w:trPr>
        <w:tc>
          <w:tcPr>
            <w:tcW w:w="388" w:type="pct"/>
            <w:vMerge/>
            <w:vAlign w:val="center"/>
          </w:tcPr>
          <w:p w14:paraId="2C23FF95" w14:textId="77777777" w:rsidR="00567856" w:rsidRPr="00A964FF" w:rsidRDefault="00567856" w:rsidP="00107045">
            <w:pPr>
              <w:jc w:val="center"/>
              <w:rPr>
                <w:rFonts w:ascii="Calibri"/>
                <w:color w:val="auto"/>
                <w:szCs w:val="21"/>
              </w:rPr>
            </w:pPr>
          </w:p>
        </w:tc>
        <w:tc>
          <w:tcPr>
            <w:tcW w:w="450" w:type="pct"/>
            <w:vMerge/>
            <w:vAlign w:val="center"/>
          </w:tcPr>
          <w:p w14:paraId="7C10BF35" w14:textId="77777777" w:rsidR="00567856" w:rsidRPr="00A964FF" w:rsidRDefault="00567856" w:rsidP="00107045">
            <w:pPr>
              <w:jc w:val="center"/>
              <w:rPr>
                <w:rFonts w:ascii="Calibri"/>
                <w:color w:val="auto"/>
                <w:szCs w:val="21"/>
              </w:rPr>
            </w:pPr>
          </w:p>
        </w:tc>
        <w:tc>
          <w:tcPr>
            <w:tcW w:w="468" w:type="pct"/>
            <w:vMerge/>
            <w:vAlign w:val="center"/>
          </w:tcPr>
          <w:p w14:paraId="29844A6B" w14:textId="77777777" w:rsidR="00567856" w:rsidRPr="00A964FF" w:rsidRDefault="00567856" w:rsidP="00107045">
            <w:pPr>
              <w:jc w:val="center"/>
              <w:rPr>
                <w:rFonts w:ascii="Calibri"/>
                <w:color w:val="auto"/>
                <w:szCs w:val="21"/>
              </w:rPr>
            </w:pPr>
          </w:p>
        </w:tc>
        <w:tc>
          <w:tcPr>
            <w:tcW w:w="453" w:type="pct"/>
            <w:vAlign w:val="center"/>
          </w:tcPr>
          <w:p w14:paraId="5327AF94" w14:textId="77777777" w:rsidR="00567856" w:rsidRPr="00A964FF" w:rsidRDefault="00567856" w:rsidP="00107045">
            <w:pPr>
              <w:jc w:val="center"/>
              <w:rPr>
                <w:rFonts w:ascii="Calibri"/>
                <w:color w:val="auto"/>
                <w:szCs w:val="21"/>
              </w:rPr>
            </w:pPr>
            <w:r w:rsidRPr="00A964FF">
              <w:rPr>
                <w:rFonts w:ascii="Calibri" w:hint="eastAsia"/>
                <w:color w:val="auto"/>
                <w:szCs w:val="21"/>
              </w:rPr>
              <w:t>O</w:t>
            </w:r>
            <w:r w:rsidRPr="00A964FF">
              <w:rPr>
                <w:rFonts w:ascii="Calibri" w:hint="eastAsia"/>
                <w:color w:val="auto"/>
                <w:szCs w:val="21"/>
                <w:vertAlign w:val="subscript"/>
              </w:rPr>
              <w:t>3</w:t>
            </w:r>
          </w:p>
        </w:tc>
        <w:tc>
          <w:tcPr>
            <w:tcW w:w="867" w:type="pct"/>
            <w:vAlign w:val="center"/>
          </w:tcPr>
          <w:p w14:paraId="3487B043" w14:textId="61322F47" w:rsidR="00567856" w:rsidRPr="00A964FF" w:rsidRDefault="000A2242" w:rsidP="000A2242">
            <w:pPr>
              <w:jc w:val="center"/>
              <w:rPr>
                <w:rFonts w:ascii="Calibri"/>
                <w:color w:val="auto"/>
                <w:szCs w:val="21"/>
              </w:rPr>
            </w:pPr>
            <w:r>
              <w:rPr>
                <w:rFonts w:ascii="Calibri" w:hint="eastAsia"/>
                <w:color w:val="auto"/>
                <w:szCs w:val="21"/>
              </w:rPr>
              <w:t>90</w:t>
            </w:r>
            <w:r>
              <w:rPr>
                <w:rFonts w:ascii="Calibri"/>
                <w:color w:val="auto"/>
                <w:szCs w:val="21"/>
              </w:rPr>
              <w:t>%</w:t>
            </w:r>
            <w:r>
              <w:rPr>
                <w:rFonts w:ascii="Calibri" w:hint="eastAsia"/>
                <w:color w:val="auto"/>
                <w:szCs w:val="21"/>
              </w:rPr>
              <w:t>保证率</w:t>
            </w:r>
            <w:r>
              <w:rPr>
                <w:rFonts w:ascii="Calibri"/>
                <w:color w:val="auto"/>
                <w:szCs w:val="21"/>
              </w:rPr>
              <w:t>8</w:t>
            </w:r>
            <w:r w:rsidRPr="00A964FF">
              <w:rPr>
                <w:rFonts w:ascii="Calibri" w:hint="eastAsia"/>
                <w:color w:val="auto"/>
                <w:szCs w:val="21"/>
              </w:rPr>
              <w:t>小时平均</w:t>
            </w:r>
          </w:p>
        </w:tc>
        <w:tc>
          <w:tcPr>
            <w:tcW w:w="495" w:type="pct"/>
            <w:vAlign w:val="center"/>
          </w:tcPr>
          <w:p w14:paraId="5481B89B" w14:textId="77777777" w:rsidR="00567856" w:rsidRPr="00A964FF" w:rsidRDefault="00567856" w:rsidP="00107045">
            <w:pPr>
              <w:jc w:val="center"/>
              <w:rPr>
                <w:rFonts w:ascii="Calibri"/>
                <w:color w:val="auto"/>
                <w:szCs w:val="21"/>
              </w:rPr>
            </w:pPr>
            <w:r w:rsidRPr="00A964FF">
              <w:rPr>
                <w:rFonts w:ascii="Calibri" w:hint="eastAsia"/>
                <w:color w:val="auto"/>
                <w:szCs w:val="21"/>
              </w:rPr>
              <w:t>156</w:t>
            </w:r>
          </w:p>
        </w:tc>
        <w:tc>
          <w:tcPr>
            <w:tcW w:w="495" w:type="pct"/>
            <w:vAlign w:val="center"/>
          </w:tcPr>
          <w:p w14:paraId="0F93E9FA" w14:textId="77777777" w:rsidR="00567856" w:rsidRPr="00A964FF" w:rsidRDefault="00567856" w:rsidP="00107045">
            <w:pPr>
              <w:jc w:val="center"/>
              <w:rPr>
                <w:rFonts w:ascii="Calibri"/>
                <w:color w:val="auto"/>
                <w:szCs w:val="21"/>
              </w:rPr>
            </w:pPr>
            <w:r w:rsidRPr="00A964FF">
              <w:rPr>
                <w:rFonts w:ascii="Calibri" w:hint="eastAsia"/>
                <w:color w:val="auto"/>
                <w:szCs w:val="21"/>
              </w:rPr>
              <w:t>160</w:t>
            </w:r>
          </w:p>
        </w:tc>
        <w:tc>
          <w:tcPr>
            <w:tcW w:w="495" w:type="pct"/>
            <w:vAlign w:val="center"/>
          </w:tcPr>
          <w:p w14:paraId="3883E33A" w14:textId="77777777" w:rsidR="00567856" w:rsidRPr="00A964FF" w:rsidRDefault="00567856" w:rsidP="00107045">
            <w:pPr>
              <w:jc w:val="center"/>
              <w:rPr>
                <w:rFonts w:ascii="Calibr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36B105E2" w14:textId="77777777" w:rsidR="00567856" w:rsidRPr="00A964FF" w:rsidRDefault="00567856" w:rsidP="00107045">
            <w:pPr>
              <w:jc w:val="center"/>
              <w:rPr>
                <w:rFonts w:ascii="Calibri"/>
                <w:color w:val="auto"/>
                <w:szCs w:val="21"/>
              </w:rPr>
            </w:pPr>
            <w:r w:rsidRPr="00A964FF">
              <w:rPr>
                <w:rFonts w:ascii="Calibri" w:hint="eastAsia"/>
                <w:color w:val="auto"/>
                <w:szCs w:val="21"/>
              </w:rPr>
              <w:t>0.98</w:t>
            </w:r>
          </w:p>
        </w:tc>
        <w:tc>
          <w:tcPr>
            <w:tcW w:w="395" w:type="pct"/>
            <w:vAlign w:val="center"/>
          </w:tcPr>
          <w:p w14:paraId="403B7276" w14:textId="77777777" w:rsidR="00567856" w:rsidRPr="00A964FF" w:rsidRDefault="00567856" w:rsidP="00107045">
            <w:pPr>
              <w:jc w:val="center"/>
              <w:rPr>
                <w:rFonts w:ascii="Calibri"/>
                <w:color w:val="auto"/>
                <w:szCs w:val="21"/>
              </w:rPr>
            </w:pPr>
            <w:r w:rsidRPr="00A964FF">
              <w:rPr>
                <w:rFonts w:ascii="Calibri" w:hint="eastAsia"/>
                <w:color w:val="auto"/>
                <w:szCs w:val="21"/>
              </w:rPr>
              <w:t>达标</w:t>
            </w:r>
          </w:p>
        </w:tc>
      </w:tr>
      <w:tr w:rsidR="000A2242" w:rsidRPr="00A964FF" w14:paraId="13FA80B6" w14:textId="77777777" w:rsidTr="000A2242">
        <w:trPr>
          <w:trHeight w:val="340"/>
        </w:trPr>
        <w:tc>
          <w:tcPr>
            <w:tcW w:w="388" w:type="pct"/>
            <w:vMerge w:val="restart"/>
            <w:vAlign w:val="center"/>
          </w:tcPr>
          <w:p w14:paraId="5EF7E7E5" w14:textId="77777777" w:rsidR="000A2242" w:rsidRPr="00A964FF" w:rsidRDefault="000A2242" w:rsidP="000A2242">
            <w:pPr>
              <w:jc w:val="center"/>
              <w:rPr>
                <w:rFonts w:ascii="Calibri"/>
                <w:color w:val="auto"/>
                <w:szCs w:val="21"/>
              </w:rPr>
            </w:pPr>
            <w:r>
              <w:rPr>
                <w:rFonts w:ascii="Calibri" w:hint="eastAsia"/>
                <w:color w:val="auto"/>
                <w:szCs w:val="21"/>
              </w:rPr>
              <w:t>2021</w:t>
            </w:r>
          </w:p>
        </w:tc>
        <w:tc>
          <w:tcPr>
            <w:tcW w:w="450" w:type="pct"/>
            <w:vMerge/>
            <w:vAlign w:val="center"/>
          </w:tcPr>
          <w:p w14:paraId="6788337A" w14:textId="77777777" w:rsidR="000A2242" w:rsidRPr="00A964FF" w:rsidRDefault="000A2242" w:rsidP="000A2242">
            <w:pPr>
              <w:jc w:val="center"/>
              <w:rPr>
                <w:rFonts w:ascii="Calibri"/>
                <w:color w:val="auto"/>
                <w:szCs w:val="21"/>
              </w:rPr>
            </w:pPr>
          </w:p>
        </w:tc>
        <w:tc>
          <w:tcPr>
            <w:tcW w:w="468" w:type="pct"/>
            <w:vMerge/>
            <w:vAlign w:val="center"/>
          </w:tcPr>
          <w:p w14:paraId="6F2BAFC0" w14:textId="77777777" w:rsidR="000A2242" w:rsidRPr="00A964FF" w:rsidRDefault="000A2242" w:rsidP="000A2242">
            <w:pPr>
              <w:jc w:val="center"/>
              <w:rPr>
                <w:rFonts w:ascii="Calibri"/>
                <w:color w:val="auto"/>
                <w:szCs w:val="21"/>
              </w:rPr>
            </w:pPr>
          </w:p>
        </w:tc>
        <w:tc>
          <w:tcPr>
            <w:tcW w:w="453" w:type="pct"/>
            <w:vMerge w:val="restart"/>
            <w:vAlign w:val="center"/>
          </w:tcPr>
          <w:p w14:paraId="7A02502F" w14:textId="77777777" w:rsidR="000A2242" w:rsidRPr="00A964FF" w:rsidRDefault="000A2242" w:rsidP="000A2242">
            <w:pPr>
              <w:jc w:val="center"/>
              <w:rPr>
                <w:rFonts w:ascii="Calibri"/>
                <w:color w:val="auto"/>
                <w:szCs w:val="21"/>
              </w:rPr>
            </w:pPr>
            <w:r w:rsidRPr="00A964FF">
              <w:rPr>
                <w:rFonts w:ascii="Calibri" w:hint="eastAsia"/>
                <w:color w:val="auto"/>
                <w:szCs w:val="21"/>
              </w:rPr>
              <w:t>PM</w:t>
            </w:r>
            <w:r w:rsidRPr="00A964FF">
              <w:rPr>
                <w:rFonts w:ascii="Calibri" w:hint="eastAsia"/>
                <w:color w:val="auto"/>
                <w:szCs w:val="21"/>
                <w:vertAlign w:val="subscript"/>
              </w:rPr>
              <w:t>2.5</w:t>
            </w:r>
          </w:p>
        </w:tc>
        <w:tc>
          <w:tcPr>
            <w:tcW w:w="867" w:type="pct"/>
            <w:vAlign w:val="center"/>
          </w:tcPr>
          <w:p w14:paraId="45CB0998" w14:textId="63125609" w:rsidR="000A2242" w:rsidRPr="00A964FF" w:rsidRDefault="000A2242" w:rsidP="000A2242">
            <w:pPr>
              <w:jc w:val="center"/>
              <w:rPr>
                <w:rFonts w:ascii="Calibri"/>
                <w:color w:val="auto"/>
                <w:szCs w:val="21"/>
              </w:rPr>
            </w:pPr>
            <w:r w:rsidRPr="00A964FF">
              <w:rPr>
                <w:rFonts w:ascii="Calibri" w:hint="eastAsia"/>
                <w:color w:val="auto"/>
                <w:szCs w:val="21"/>
              </w:rPr>
              <w:t>年均值</w:t>
            </w:r>
          </w:p>
        </w:tc>
        <w:tc>
          <w:tcPr>
            <w:tcW w:w="495" w:type="pct"/>
            <w:vAlign w:val="center"/>
          </w:tcPr>
          <w:p w14:paraId="193BE310" w14:textId="77777777" w:rsidR="000A2242" w:rsidRPr="00A964FF" w:rsidRDefault="000A2242" w:rsidP="000A2242">
            <w:pPr>
              <w:jc w:val="center"/>
              <w:rPr>
                <w:rFonts w:ascii="Calibri"/>
                <w:color w:val="auto"/>
                <w:szCs w:val="21"/>
              </w:rPr>
            </w:pPr>
            <w:r>
              <w:rPr>
                <w:rFonts w:ascii="Calibri" w:hint="eastAsia"/>
                <w:color w:val="auto"/>
                <w:szCs w:val="21"/>
              </w:rPr>
              <w:t>40</w:t>
            </w:r>
          </w:p>
        </w:tc>
        <w:tc>
          <w:tcPr>
            <w:tcW w:w="495" w:type="pct"/>
            <w:vAlign w:val="center"/>
          </w:tcPr>
          <w:p w14:paraId="2982A44C" w14:textId="77777777" w:rsidR="000A2242" w:rsidRPr="00A964FF" w:rsidRDefault="000A2242" w:rsidP="000A2242">
            <w:pPr>
              <w:jc w:val="center"/>
              <w:rPr>
                <w:rFonts w:ascii="Calibri"/>
                <w:color w:val="auto"/>
                <w:szCs w:val="21"/>
              </w:rPr>
            </w:pPr>
            <w:r>
              <w:rPr>
                <w:rFonts w:ascii="Calibri" w:hint="eastAsia"/>
                <w:color w:val="auto"/>
                <w:szCs w:val="21"/>
              </w:rPr>
              <w:t>35</w:t>
            </w:r>
          </w:p>
        </w:tc>
        <w:tc>
          <w:tcPr>
            <w:tcW w:w="495" w:type="pct"/>
            <w:vAlign w:val="center"/>
          </w:tcPr>
          <w:p w14:paraId="13E5B607"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6E84E9C8" w14:textId="77777777" w:rsidR="000A2242" w:rsidRPr="00A964FF" w:rsidRDefault="000A2242" w:rsidP="000A2242">
            <w:pPr>
              <w:jc w:val="center"/>
              <w:rPr>
                <w:rFonts w:ascii="Calibri"/>
                <w:color w:val="auto"/>
                <w:szCs w:val="21"/>
              </w:rPr>
            </w:pPr>
            <w:r>
              <w:rPr>
                <w:rFonts w:ascii="Calibri" w:hint="eastAsia"/>
                <w:color w:val="auto"/>
                <w:szCs w:val="21"/>
              </w:rPr>
              <w:t>1.14</w:t>
            </w:r>
          </w:p>
        </w:tc>
        <w:tc>
          <w:tcPr>
            <w:tcW w:w="395" w:type="pct"/>
            <w:vAlign w:val="center"/>
          </w:tcPr>
          <w:p w14:paraId="7C09832E" w14:textId="77777777" w:rsidR="000A2242" w:rsidRPr="00A964FF" w:rsidRDefault="000A2242" w:rsidP="000A2242">
            <w:pPr>
              <w:jc w:val="center"/>
              <w:rPr>
                <w:rFonts w:ascii="Calibri"/>
                <w:color w:val="auto"/>
                <w:szCs w:val="21"/>
              </w:rPr>
            </w:pPr>
            <w:r w:rsidRPr="00A964FF">
              <w:rPr>
                <w:rFonts w:ascii="Calibri" w:hint="eastAsia"/>
                <w:color w:val="auto"/>
                <w:szCs w:val="21"/>
              </w:rPr>
              <w:t>超标</w:t>
            </w:r>
          </w:p>
        </w:tc>
      </w:tr>
      <w:tr w:rsidR="000A2242" w:rsidRPr="00A964FF" w14:paraId="156E277C" w14:textId="77777777" w:rsidTr="000A2242">
        <w:trPr>
          <w:trHeight w:val="340"/>
        </w:trPr>
        <w:tc>
          <w:tcPr>
            <w:tcW w:w="388" w:type="pct"/>
            <w:vMerge/>
            <w:vAlign w:val="center"/>
          </w:tcPr>
          <w:p w14:paraId="0C28897B" w14:textId="77777777" w:rsidR="000A2242" w:rsidRPr="00A964FF" w:rsidRDefault="000A2242" w:rsidP="000A2242">
            <w:pPr>
              <w:jc w:val="center"/>
              <w:rPr>
                <w:rFonts w:ascii="Calibri"/>
                <w:color w:val="auto"/>
                <w:szCs w:val="21"/>
              </w:rPr>
            </w:pPr>
          </w:p>
        </w:tc>
        <w:tc>
          <w:tcPr>
            <w:tcW w:w="450" w:type="pct"/>
            <w:vMerge/>
            <w:vAlign w:val="center"/>
          </w:tcPr>
          <w:p w14:paraId="0A2EF27A" w14:textId="77777777" w:rsidR="000A2242" w:rsidRPr="00A964FF" w:rsidRDefault="000A2242" w:rsidP="000A2242">
            <w:pPr>
              <w:jc w:val="center"/>
              <w:rPr>
                <w:rFonts w:ascii="Calibri"/>
                <w:color w:val="auto"/>
                <w:szCs w:val="21"/>
              </w:rPr>
            </w:pPr>
          </w:p>
        </w:tc>
        <w:tc>
          <w:tcPr>
            <w:tcW w:w="468" w:type="pct"/>
            <w:vMerge/>
            <w:vAlign w:val="center"/>
          </w:tcPr>
          <w:p w14:paraId="4618EE0A" w14:textId="77777777" w:rsidR="000A2242" w:rsidRPr="00A964FF" w:rsidRDefault="000A2242" w:rsidP="000A2242">
            <w:pPr>
              <w:jc w:val="center"/>
              <w:rPr>
                <w:rFonts w:ascii="Calibri"/>
                <w:color w:val="auto"/>
                <w:szCs w:val="21"/>
              </w:rPr>
            </w:pPr>
          </w:p>
        </w:tc>
        <w:tc>
          <w:tcPr>
            <w:tcW w:w="453" w:type="pct"/>
            <w:vMerge/>
            <w:vAlign w:val="center"/>
          </w:tcPr>
          <w:p w14:paraId="4570C68E" w14:textId="77777777" w:rsidR="000A2242" w:rsidRPr="00A964FF" w:rsidRDefault="000A2242" w:rsidP="000A2242">
            <w:pPr>
              <w:jc w:val="center"/>
              <w:rPr>
                <w:rFonts w:ascii="Calibri"/>
                <w:color w:val="auto"/>
                <w:szCs w:val="21"/>
              </w:rPr>
            </w:pPr>
          </w:p>
        </w:tc>
        <w:tc>
          <w:tcPr>
            <w:tcW w:w="867" w:type="pct"/>
            <w:vAlign w:val="center"/>
          </w:tcPr>
          <w:p w14:paraId="127E1606" w14:textId="0AA5EEB5" w:rsidR="000A2242" w:rsidRPr="00A964FF" w:rsidRDefault="000A2242" w:rsidP="000A2242">
            <w:pPr>
              <w:jc w:val="center"/>
              <w:rPr>
                <w:rFonts w:ascii="Calibri"/>
                <w:color w:val="auto"/>
                <w:szCs w:val="21"/>
              </w:rPr>
            </w:pPr>
            <w:r>
              <w:rPr>
                <w:rFonts w:ascii="Calibri" w:hint="eastAsia"/>
                <w:color w:val="auto"/>
                <w:szCs w:val="21"/>
              </w:rPr>
              <w:t>95</w:t>
            </w:r>
            <w:r>
              <w:rPr>
                <w:rFonts w:ascii="Calibri"/>
                <w:color w:val="auto"/>
                <w:szCs w:val="21"/>
              </w:rPr>
              <w:t>%</w:t>
            </w:r>
            <w:r>
              <w:rPr>
                <w:rFonts w:ascii="Calibri" w:hint="eastAsia"/>
                <w:color w:val="auto"/>
                <w:szCs w:val="21"/>
              </w:rPr>
              <w:t>保证率</w:t>
            </w:r>
            <w:r w:rsidRPr="00A964FF">
              <w:rPr>
                <w:rFonts w:ascii="Calibri" w:hint="eastAsia"/>
                <w:color w:val="auto"/>
                <w:szCs w:val="21"/>
              </w:rPr>
              <w:t>24</w:t>
            </w:r>
            <w:r w:rsidRPr="00A964FF">
              <w:rPr>
                <w:rFonts w:ascii="Calibri" w:hint="eastAsia"/>
                <w:color w:val="auto"/>
                <w:szCs w:val="21"/>
              </w:rPr>
              <w:t>小时平均</w:t>
            </w:r>
          </w:p>
        </w:tc>
        <w:tc>
          <w:tcPr>
            <w:tcW w:w="495" w:type="pct"/>
            <w:vAlign w:val="center"/>
          </w:tcPr>
          <w:p w14:paraId="0A1F8EE4" w14:textId="77777777" w:rsidR="000A2242" w:rsidRPr="00A964FF" w:rsidRDefault="000A2242" w:rsidP="000A2242">
            <w:pPr>
              <w:jc w:val="center"/>
              <w:rPr>
                <w:rFonts w:ascii="Calibri"/>
                <w:color w:val="auto"/>
                <w:szCs w:val="21"/>
              </w:rPr>
            </w:pPr>
            <w:r>
              <w:rPr>
                <w:rFonts w:ascii="Calibri" w:hint="eastAsia"/>
                <w:color w:val="auto"/>
                <w:szCs w:val="21"/>
              </w:rPr>
              <w:t>104</w:t>
            </w:r>
          </w:p>
        </w:tc>
        <w:tc>
          <w:tcPr>
            <w:tcW w:w="495" w:type="pct"/>
            <w:vAlign w:val="center"/>
          </w:tcPr>
          <w:p w14:paraId="77B988D5" w14:textId="77777777" w:rsidR="000A2242" w:rsidRPr="00A964FF" w:rsidRDefault="000A2242" w:rsidP="000A2242">
            <w:pPr>
              <w:jc w:val="center"/>
              <w:rPr>
                <w:rFonts w:ascii="Calibri"/>
                <w:color w:val="auto"/>
                <w:szCs w:val="21"/>
              </w:rPr>
            </w:pPr>
            <w:r>
              <w:rPr>
                <w:rFonts w:ascii="Calibri" w:hint="eastAsia"/>
                <w:color w:val="auto"/>
                <w:szCs w:val="21"/>
              </w:rPr>
              <w:t>75</w:t>
            </w:r>
          </w:p>
        </w:tc>
        <w:tc>
          <w:tcPr>
            <w:tcW w:w="495" w:type="pct"/>
            <w:vAlign w:val="center"/>
          </w:tcPr>
          <w:p w14:paraId="23C34293"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14DDCA29" w14:textId="77777777" w:rsidR="000A2242" w:rsidRPr="00A964FF" w:rsidRDefault="000A2242" w:rsidP="000A2242">
            <w:pPr>
              <w:jc w:val="center"/>
              <w:rPr>
                <w:rFonts w:ascii="Calibri"/>
                <w:color w:val="auto"/>
                <w:szCs w:val="21"/>
              </w:rPr>
            </w:pPr>
            <w:r>
              <w:rPr>
                <w:rFonts w:ascii="Calibri" w:hint="eastAsia"/>
                <w:color w:val="auto"/>
                <w:szCs w:val="21"/>
              </w:rPr>
              <w:t>1.39</w:t>
            </w:r>
          </w:p>
        </w:tc>
        <w:tc>
          <w:tcPr>
            <w:tcW w:w="395" w:type="pct"/>
            <w:vAlign w:val="center"/>
          </w:tcPr>
          <w:p w14:paraId="1BA148AF" w14:textId="77777777" w:rsidR="000A2242" w:rsidRPr="00A964FF" w:rsidRDefault="000A2242" w:rsidP="000A2242">
            <w:pPr>
              <w:jc w:val="center"/>
              <w:rPr>
                <w:rFonts w:ascii="Calibri"/>
                <w:color w:val="auto"/>
                <w:szCs w:val="21"/>
              </w:rPr>
            </w:pPr>
            <w:r w:rsidRPr="00A964FF">
              <w:rPr>
                <w:rFonts w:ascii="Calibri" w:hint="eastAsia"/>
                <w:color w:val="auto"/>
                <w:szCs w:val="21"/>
              </w:rPr>
              <w:t>超标</w:t>
            </w:r>
          </w:p>
        </w:tc>
      </w:tr>
      <w:tr w:rsidR="000A2242" w:rsidRPr="00A964FF" w14:paraId="7096A946" w14:textId="77777777" w:rsidTr="000A2242">
        <w:trPr>
          <w:trHeight w:val="340"/>
        </w:trPr>
        <w:tc>
          <w:tcPr>
            <w:tcW w:w="388" w:type="pct"/>
            <w:vMerge/>
            <w:vAlign w:val="center"/>
          </w:tcPr>
          <w:p w14:paraId="3DED8595" w14:textId="77777777" w:rsidR="000A2242" w:rsidRPr="00A964FF" w:rsidRDefault="000A2242" w:rsidP="000A2242">
            <w:pPr>
              <w:jc w:val="center"/>
              <w:rPr>
                <w:rFonts w:ascii="Calibri"/>
                <w:color w:val="auto"/>
                <w:szCs w:val="21"/>
              </w:rPr>
            </w:pPr>
          </w:p>
        </w:tc>
        <w:tc>
          <w:tcPr>
            <w:tcW w:w="450" w:type="pct"/>
            <w:vMerge/>
            <w:vAlign w:val="center"/>
          </w:tcPr>
          <w:p w14:paraId="5C2A6E2F" w14:textId="77777777" w:rsidR="000A2242" w:rsidRPr="00A964FF" w:rsidRDefault="000A2242" w:rsidP="000A2242">
            <w:pPr>
              <w:jc w:val="center"/>
              <w:rPr>
                <w:rFonts w:ascii="Calibri"/>
                <w:color w:val="auto"/>
                <w:szCs w:val="21"/>
              </w:rPr>
            </w:pPr>
          </w:p>
        </w:tc>
        <w:tc>
          <w:tcPr>
            <w:tcW w:w="468" w:type="pct"/>
            <w:vMerge/>
            <w:vAlign w:val="center"/>
          </w:tcPr>
          <w:p w14:paraId="62D1DEBC" w14:textId="77777777" w:rsidR="000A2242" w:rsidRPr="00A964FF" w:rsidRDefault="000A2242" w:rsidP="000A2242">
            <w:pPr>
              <w:jc w:val="center"/>
              <w:rPr>
                <w:rFonts w:ascii="Calibri"/>
                <w:color w:val="auto"/>
                <w:szCs w:val="21"/>
              </w:rPr>
            </w:pPr>
          </w:p>
        </w:tc>
        <w:tc>
          <w:tcPr>
            <w:tcW w:w="453" w:type="pct"/>
            <w:vMerge w:val="restart"/>
            <w:vAlign w:val="center"/>
          </w:tcPr>
          <w:p w14:paraId="285AAE16" w14:textId="77777777" w:rsidR="000A2242" w:rsidRPr="00A964FF" w:rsidRDefault="000A2242" w:rsidP="000A2242">
            <w:pPr>
              <w:jc w:val="center"/>
              <w:rPr>
                <w:rFonts w:ascii="Calibri"/>
                <w:color w:val="auto"/>
                <w:szCs w:val="21"/>
              </w:rPr>
            </w:pPr>
            <w:r w:rsidRPr="00A964FF">
              <w:rPr>
                <w:rFonts w:ascii="Calibri" w:hint="eastAsia"/>
                <w:color w:val="auto"/>
                <w:szCs w:val="21"/>
              </w:rPr>
              <w:t>PM</w:t>
            </w:r>
            <w:r w:rsidRPr="00A964FF">
              <w:rPr>
                <w:rFonts w:ascii="Calibri" w:hint="eastAsia"/>
                <w:color w:val="auto"/>
                <w:szCs w:val="21"/>
                <w:vertAlign w:val="subscript"/>
              </w:rPr>
              <w:t>10</w:t>
            </w:r>
          </w:p>
        </w:tc>
        <w:tc>
          <w:tcPr>
            <w:tcW w:w="867" w:type="pct"/>
            <w:vAlign w:val="center"/>
          </w:tcPr>
          <w:p w14:paraId="39D54906" w14:textId="4EBB06AD" w:rsidR="000A2242" w:rsidRPr="00A964FF" w:rsidRDefault="000A2242" w:rsidP="000A2242">
            <w:pPr>
              <w:jc w:val="center"/>
              <w:rPr>
                <w:rFonts w:ascii="Calibri"/>
                <w:color w:val="auto"/>
                <w:szCs w:val="21"/>
              </w:rPr>
            </w:pPr>
            <w:r w:rsidRPr="00A964FF">
              <w:rPr>
                <w:rFonts w:ascii="Calibri" w:hint="eastAsia"/>
                <w:color w:val="auto"/>
                <w:szCs w:val="21"/>
              </w:rPr>
              <w:t>年均值</w:t>
            </w:r>
          </w:p>
        </w:tc>
        <w:tc>
          <w:tcPr>
            <w:tcW w:w="495" w:type="pct"/>
            <w:vAlign w:val="center"/>
          </w:tcPr>
          <w:p w14:paraId="465F4C83" w14:textId="77777777" w:rsidR="000A2242" w:rsidRPr="00A964FF" w:rsidRDefault="000A2242" w:rsidP="000A2242">
            <w:pPr>
              <w:jc w:val="center"/>
              <w:rPr>
                <w:rFonts w:ascii="Calibri"/>
                <w:color w:val="auto"/>
                <w:szCs w:val="21"/>
              </w:rPr>
            </w:pPr>
            <w:r>
              <w:rPr>
                <w:rFonts w:ascii="Calibri" w:hint="eastAsia"/>
                <w:color w:val="auto"/>
                <w:szCs w:val="21"/>
              </w:rPr>
              <w:t>88</w:t>
            </w:r>
          </w:p>
        </w:tc>
        <w:tc>
          <w:tcPr>
            <w:tcW w:w="495" w:type="pct"/>
            <w:vAlign w:val="center"/>
          </w:tcPr>
          <w:p w14:paraId="5107158E" w14:textId="77777777" w:rsidR="000A2242" w:rsidRPr="00A964FF" w:rsidRDefault="000A2242" w:rsidP="000A2242">
            <w:pPr>
              <w:jc w:val="center"/>
              <w:rPr>
                <w:rFonts w:ascii="Calibri"/>
                <w:color w:val="auto"/>
                <w:szCs w:val="21"/>
              </w:rPr>
            </w:pPr>
            <w:r>
              <w:rPr>
                <w:rFonts w:ascii="Calibri" w:hint="eastAsia"/>
                <w:color w:val="auto"/>
                <w:szCs w:val="21"/>
              </w:rPr>
              <w:t>70</w:t>
            </w:r>
          </w:p>
        </w:tc>
        <w:tc>
          <w:tcPr>
            <w:tcW w:w="495" w:type="pct"/>
            <w:vAlign w:val="center"/>
          </w:tcPr>
          <w:p w14:paraId="17D2CBDE"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0CE3D0FA" w14:textId="77777777" w:rsidR="000A2242" w:rsidRPr="00A964FF" w:rsidRDefault="000A2242" w:rsidP="000A2242">
            <w:pPr>
              <w:jc w:val="center"/>
              <w:rPr>
                <w:rFonts w:ascii="Calibri"/>
                <w:color w:val="auto"/>
                <w:szCs w:val="21"/>
              </w:rPr>
            </w:pPr>
            <w:r>
              <w:rPr>
                <w:rFonts w:ascii="Calibri" w:hint="eastAsia"/>
                <w:color w:val="auto"/>
                <w:szCs w:val="21"/>
              </w:rPr>
              <w:t>1.26</w:t>
            </w:r>
          </w:p>
        </w:tc>
        <w:tc>
          <w:tcPr>
            <w:tcW w:w="395" w:type="pct"/>
            <w:vAlign w:val="center"/>
          </w:tcPr>
          <w:p w14:paraId="1AD4CBAF" w14:textId="77777777" w:rsidR="000A2242" w:rsidRPr="00A964FF" w:rsidRDefault="000A2242" w:rsidP="000A2242">
            <w:pPr>
              <w:jc w:val="center"/>
              <w:rPr>
                <w:rFonts w:ascii="Calibri"/>
                <w:color w:val="auto"/>
                <w:szCs w:val="21"/>
              </w:rPr>
            </w:pPr>
            <w:r w:rsidRPr="00A964FF">
              <w:rPr>
                <w:rFonts w:ascii="Calibri" w:hint="eastAsia"/>
                <w:color w:val="auto"/>
                <w:szCs w:val="21"/>
              </w:rPr>
              <w:t>超标</w:t>
            </w:r>
          </w:p>
        </w:tc>
      </w:tr>
      <w:tr w:rsidR="000A2242" w:rsidRPr="00A964FF" w14:paraId="1025A3F8" w14:textId="77777777" w:rsidTr="000A2242">
        <w:trPr>
          <w:trHeight w:val="340"/>
        </w:trPr>
        <w:tc>
          <w:tcPr>
            <w:tcW w:w="388" w:type="pct"/>
            <w:vMerge/>
            <w:vAlign w:val="center"/>
          </w:tcPr>
          <w:p w14:paraId="5EE8E52E" w14:textId="77777777" w:rsidR="000A2242" w:rsidRPr="00A964FF" w:rsidRDefault="000A2242" w:rsidP="000A2242">
            <w:pPr>
              <w:jc w:val="center"/>
              <w:rPr>
                <w:rFonts w:ascii="Calibri"/>
                <w:color w:val="auto"/>
                <w:szCs w:val="21"/>
              </w:rPr>
            </w:pPr>
          </w:p>
        </w:tc>
        <w:tc>
          <w:tcPr>
            <w:tcW w:w="450" w:type="pct"/>
            <w:vMerge/>
            <w:vAlign w:val="center"/>
          </w:tcPr>
          <w:p w14:paraId="27ACEE34" w14:textId="77777777" w:rsidR="000A2242" w:rsidRPr="00A964FF" w:rsidRDefault="000A2242" w:rsidP="000A2242">
            <w:pPr>
              <w:jc w:val="center"/>
              <w:rPr>
                <w:rFonts w:ascii="Calibri"/>
                <w:color w:val="auto"/>
                <w:szCs w:val="21"/>
              </w:rPr>
            </w:pPr>
          </w:p>
        </w:tc>
        <w:tc>
          <w:tcPr>
            <w:tcW w:w="468" w:type="pct"/>
            <w:vMerge/>
            <w:vAlign w:val="center"/>
          </w:tcPr>
          <w:p w14:paraId="303B0839" w14:textId="77777777" w:rsidR="000A2242" w:rsidRPr="00A964FF" w:rsidRDefault="000A2242" w:rsidP="000A2242">
            <w:pPr>
              <w:jc w:val="center"/>
              <w:rPr>
                <w:rFonts w:ascii="Calibri"/>
                <w:color w:val="auto"/>
                <w:szCs w:val="21"/>
              </w:rPr>
            </w:pPr>
          </w:p>
        </w:tc>
        <w:tc>
          <w:tcPr>
            <w:tcW w:w="453" w:type="pct"/>
            <w:vMerge/>
            <w:vAlign w:val="center"/>
          </w:tcPr>
          <w:p w14:paraId="63B7498C" w14:textId="77777777" w:rsidR="000A2242" w:rsidRPr="00A964FF" w:rsidRDefault="000A2242" w:rsidP="000A2242">
            <w:pPr>
              <w:jc w:val="center"/>
              <w:rPr>
                <w:rFonts w:ascii="Calibri"/>
                <w:color w:val="auto"/>
                <w:szCs w:val="21"/>
              </w:rPr>
            </w:pPr>
          </w:p>
        </w:tc>
        <w:tc>
          <w:tcPr>
            <w:tcW w:w="867" w:type="pct"/>
            <w:vAlign w:val="center"/>
          </w:tcPr>
          <w:p w14:paraId="098D6DB5" w14:textId="1A313B3B" w:rsidR="000A2242" w:rsidRPr="00A964FF" w:rsidRDefault="000A2242" w:rsidP="000A2242">
            <w:pPr>
              <w:jc w:val="center"/>
              <w:rPr>
                <w:rFonts w:ascii="Calibri"/>
                <w:color w:val="auto"/>
                <w:szCs w:val="21"/>
              </w:rPr>
            </w:pPr>
            <w:r w:rsidRPr="000A2242">
              <w:rPr>
                <w:rFonts w:ascii="Calibri" w:hint="eastAsia"/>
                <w:color w:val="auto"/>
                <w:szCs w:val="21"/>
              </w:rPr>
              <w:t>95%</w:t>
            </w:r>
            <w:r w:rsidRPr="000A2242">
              <w:rPr>
                <w:rFonts w:ascii="Calibri" w:hint="eastAsia"/>
                <w:color w:val="auto"/>
                <w:szCs w:val="21"/>
              </w:rPr>
              <w:t>保证率</w:t>
            </w:r>
            <w:r w:rsidRPr="000A2242">
              <w:rPr>
                <w:rFonts w:ascii="Calibri" w:hint="eastAsia"/>
                <w:color w:val="auto"/>
                <w:szCs w:val="21"/>
              </w:rPr>
              <w:t>24</w:t>
            </w:r>
            <w:r w:rsidRPr="000A2242">
              <w:rPr>
                <w:rFonts w:ascii="Calibri" w:hint="eastAsia"/>
                <w:color w:val="auto"/>
                <w:szCs w:val="21"/>
              </w:rPr>
              <w:t>小时平均</w:t>
            </w:r>
          </w:p>
        </w:tc>
        <w:tc>
          <w:tcPr>
            <w:tcW w:w="495" w:type="pct"/>
            <w:vAlign w:val="center"/>
          </w:tcPr>
          <w:p w14:paraId="11B6772C" w14:textId="77777777" w:rsidR="000A2242" w:rsidRPr="00A964FF" w:rsidRDefault="000A2242" w:rsidP="000A2242">
            <w:pPr>
              <w:jc w:val="center"/>
              <w:rPr>
                <w:rFonts w:ascii="Calibri"/>
                <w:color w:val="auto"/>
                <w:szCs w:val="21"/>
              </w:rPr>
            </w:pPr>
            <w:r>
              <w:rPr>
                <w:rFonts w:ascii="Calibri" w:hint="eastAsia"/>
                <w:color w:val="auto"/>
                <w:szCs w:val="21"/>
              </w:rPr>
              <w:t>218</w:t>
            </w:r>
          </w:p>
        </w:tc>
        <w:tc>
          <w:tcPr>
            <w:tcW w:w="495" w:type="pct"/>
            <w:vAlign w:val="center"/>
          </w:tcPr>
          <w:p w14:paraId="2006923A" w14:textId="77777777" w:rsidR="000A2242" w:rsidRPr="00A964FF" w:rsidRDefault="000A2242" w:rsidP="000A2242">
            <w:pPr>
              <w:jc w:val="center"/>
              <w:rPr>
                <w:rFonts w:ascii="Calibri"/>
                <w:color w:val="auto"/>
                <w:szCs w:val="21"/>
              </w:rPr>
            </w:pPr>
            <w:r>
              <w:rPr>
                <w:rFonts w:ascii="Calibri" w:hint="eastAsia"/>
                <w:color w:val="auto"/>
                <w:szCs w:val="21"/>
              </w:rPr>
              <w:t>150</w:t>
            </w:r>
          </w:p>
        </w:tc>
        <w:tc>
          <w:tcPr>
            <w:tcW w:w="495" w:type="pct"/>
            <w:vAlign w:val="center"/>
          </w:tcPr>
          <w:p w14:paraId="37247A3C"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0D722E5C" w14:textId="77777777" w:rsidR="000A2242" w:rsidRPr="00A964FF" w:rsidRDefault="000A2242" w:rsidP="000A2242">
            <w:pPr>
              <w:jc w:val="center"/>
              <w:rPr>
                <w:rFonts w:ascii="Calibri"/>
                <w:color w:val="auto"/>
                <w:szCs w:val="21"/>
              </w:rPr>
            </w:pPr>
            <w:r>
              <w:rPr>
                <w:rFonts w:ascii="Calibri" w:hint="eastAsia"/>
                <w:color w:val="auto"/>
                <w:szCs w:val="21"/>
              </w:rPr>
              <w:t>1.45</w:t>
            </w:r>
          </w:p>
        </w:tc>
        <w:tc>
          <w:tcPr>
            <w:tcW w:w="395" w:type="pct"/>
            <w:vAlign w:val="center"/>
          </w:tcPr>
          <w:p w14:paraId="70693BBD" w14:textId="77777777" w:rsidR="000A2242" w:rsidRPr="00A964FF" w:rsidRDefault="000A2242" w:rsidP="000A2242">
            <w:pPr>
              <w:jc w:val="center"/>
              <w:rPr>
                <w:rFonts w:ascii="Calibri"/>
                <w:color w:val="auto"/>
                <w:szCs w:val="21"/>
              </w:rPr>
            </w:pPr>
            <w:r w:rsidRPr="00A964FF">
              <w:rPr>
                <w:rFonts w:ascii="Calibri" w:hint="eastAsia"/>
                <w:color w:val="auto"/>
                <w:szCs w:val="21"/>
              </w:rPr>
              <w:t>超标</w:t>
            </w:r>
          </w:p>
        </w:tc>
      </w:tr>
      <w:tr w:rsidR="000A2242" w:rsidRPr="00A964FF" w14:paraId="2D999EA0" w14:textId="77777777" w:rsidTr="000A2242">
        <w:trPr>
          <w:trHeight w:val="340"/>
        </w:trPr>
        <w:tc>
          <w:tcPr>
            <w:tcW w:w="388" w:type="pct"/>
            <w:vMerge/>
            <w:vAlign w:val="center"/>
          </w:tcPr>
          <w:p w14:paraId="0F102090" w14:textId="77777777" w:rsidR="000A2242" w:rsidRPr="00A964FF" w:rsidRDefault="000A2242" w:rsidP="000A2242">
            <w:pPr>
              <w:jc w:val="center"/>
              <w:rPr>
                <w:rFonts w:ascii="Calibri"/>
                <w:color w:val="auto"/>
                <w:szCs w:val="21"/>
              </w:rPr>
            </w:pPr>
          </w:p>
        </w:tc>
        <w:tc>
          <w:tcPr>
            <w:tcW w:w="450" w:type="pct"/>
            <w:vMerge/>
            <w:vAlign w:val="center"/>
          </w:tcPr>
          <w:p w14:paraId="78BDE204" w14:textId="77777777" w:rsidR="000A2242" w:rsidRPr="00A964FF" w:rsidRDefault="000A2242" w:rsidP="000A2242">
            <w:pPr>
              <w:jc w:val="center"/>
              <w:rPr>
                <w:rFonts w:ascii="Calibri"/>
                <w:color w:val="auto"/>
                <w:szCs w:val="21"/>
              </w:rPr>
            </w:pPr>
          </w:p>
        </w:tc>
        <w:tc>
          <w:tcPr>
            <w:tcW w:w="468" w:type="pct"/>
            <w:vMerge/>
            <w:vAlign w:val="center"/>
          </w:tcPr>
          <w:p w14:paraId="2794AC04" w14:textId="77777777" w:rsidR="000A2242" w:rsidRPr="00A964FF" w:rsidRDefault="000A2242" w:rsidP="000A2242">
            <w:pPr>
              <w:jc w:val="center"/>
              <w:rPr>
                <w:rFonts w:ascii="Calibri"/>
                <w:color w:val="auto"/>
                <w:szCs w:val="21"/>
              </w:rPr>
            </w:pPr>
          </w:p>
        </w:tc>
        <w:tc>
          <w:tcPr>
            <w:tcW w:w="453" w:type="pct"/>
            <w:vMerge w:val="restart"/>
            <w:vAlign w:val="center"/>
          </w:tcPr>
          <w:p w14:paraId="0D97D2F9" w14:textId="77777777" w:rsidR="000A2242" w:rsidRPr="00A964FF" w:rsidRDefault="000A2242" w:rsidP="000A2242">
            <w:pPr>
              <w:jc w:val="center"/>
              <w:rPr>
                <w:rFonts w:ascii="Calibri"/>
                <w:color w:val="auto"/>
                <w:szCs w:val="21"/>
              </w:rPr>
            </w:pPr>
            <w:r w:rsidRPr="00A964FF">
              <w:rPr>
                <w:rFonts w:ascii="Calibri" w:hint="eastAsia"/>
                <w:color w:val="auto"/>
                <w:szCs w:val="21"/>
              </w:rPr>
              <w:t>SO</w:t>
            </w:r>
            <w:r w:rsidRPr="00A964FF">
              <w:rPr>
                <w:rFonts w:ascii="Calibri" w:hint="eastAsia"/>
                <w:color w:val="auto"/>
                <w:szCs w:val="21"/>
                <w:vertAlign w:val="subscript"/>
              </w:rPr>
              <w:t>2</w:t>
            </w:r>
          </w:p>
        </w:tc>
        <w:tc>
          <w:tcPr>
            <w:tcW w:w="867" w:type="pct"/>
            <w:vAlign w:val="center"/>
          </w:tcPr>
          <w:p w14:paraId="148552CE" w14:textId="13282C25" w:rsidR="000A2242" w:rsidRPr="00A964FF" w:rsidRDefault="000A2242" w:rsidP="000A2242">
            <w:pPr>
              <w:jc w:val="center"/>
              <w:rPr>
                <w:rFonts w:ascii="Calibri"/>
                <w:color w:val="auto"/>
                <w:szCs w:val="21"/>
              </w:rPr>
            </w:pPr>
            <w:r w:rsidRPr="00A964FF">
              <w:rPr>
                <w:rFonts w:ascii="Calibri" w:hint="eastAsia"/>
                <w:color w:val="auto"/>
                <w:szCs w:val="21"/>
              </w:rPr>
              <w:t>年均值</w:t>
            </w:r>
          </w:p>
        </w:tc>
        <w:tc>
          <w:tcPr>
            <w:tcW w:w="495" w:type="pct"/>
            <w:vAlign w:val="center"/>
          </w:tcPr>
          <w:p w14:paraId="59C67317" w14:textId="77777777" w:rsidR="000A2242" w:rsidRPr="00A964FF" w:rsidRDefault="000A2242" w:rsidP="000A2242">
            <w:pPr>
              <w:jc w:val="center"/>
              <w:rPr>
                <w:rFonts w:ascii="Calibri"/>
                <w:color w:val="auto"/>
                <w:szCs w:val="21"/>
              </w:rPr>
            </w:pPr>
            <w:r>
              <w:rPr>
                <w:rFonts w:ascii="Calibri" w:hint="eastAsia"/>
                <w:color w:val="auto"/>
                <w:szCs w:val="21"/>
              </w:rPr>
              <w:t>10</w:t>
            </w:r>
          </w:p>
        </w:tc>
        <w:tc>
          <w:tcPr>
            <w:tcW w:w="495" w:type="pct"/>
            <w:vAlign w:val="center"/>
          </w:tcPr>
          <w:p w14:paraId="2D3A136C" w14:textId="77777777" w:rsidR="000A2242" w:rsidRPr="00A964FF" w:rsidRDefault="000A2242" w:rsidP="000A2242">
            <w:pPr>
              <w:jc w:val="center"/>
              <w:rPr>
                <w:rFonts w:ascii="Calibri"/>
                <w:color w:val="auto"/>
                <w:szCs w:val="21"/>
              </w:rPr>
            </w:pPr>
            <w:r>
              <w:rPr>
                <w:rFonts w:ascii="Calibri" w:hint="eastAsia"/>
                <w:color w:val="auto"/>
                <w:szCs w:val="21"/>
              </w:rPr>
              <w:t>60</w:t>
            </w:r>
          </w:p>
        </w:tc>
        <w:tc>
          <w:tcPr>
            <w:tcW w:w="495" w:type="pct"/>
            <w:vAlign w:val="center"/>
          </w:tcPr>
          <w:p w14:paraId="2807D673"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4FBAC6CE" w14:textId="77777777" w:rsidR="000A2242" w:rsidRPr="00A964FF" w:rsidRDefault="000A2242" w:rsidP="000A2242">
            <w:pPr>
              <w:jc w:val="center"/>
              <w:rPr>
                <w:rFonts w:ascii="Calibri"/>
                <w:color w:val="auto"/>
                <w:szCs w:val="21"/>
              </w:rPr>
            </w:pPr>
            <w:r>
              <w:rPr>
                <w:rFonts w:ascii="Calibri" w:hint="eastAsia"/>
                <w:color w:val="auto"/>
                <w:szCs w:val="21"/>
              </w:rPr>
              <w:t>0.17</w:t>
            </w:r>
          </w:p>
        </w:tc>
        <w:tc>
          <w:tcPr>
            <w:tcW w:w="395" w:type="pct"/>
            <w:vAlign w:val="center"/>
          </w:tcPr>
          <w:p w14:paraId="4B699C2F" w14:textId="77777777" w:rsidR="000A2242" w:rsidRPr="00A964FF" w:rsidRDefault="000A2242" w:rsidP="000A2242">
            <w:pPr>
              <w:jc w:val="center"/>
              <w:rPr>
                <w:rFonts w:ascii="Calibri"/>
                <w:color w:val="auto"/>
                <w:szCs w:val="21"/>
              </w:rPr>
            </w:pPr>
            <w:r w:rsidRPr="00A964FF">
              <w:rPr>
                <w:rFonts w:ascii="Calibri" w:hint="eastAsia"/>
                <w:color w:val="auto"/>
                <w:szCs w:val="21"/>
              </w:rPr>
              <w:t>达标</w:t>
            </w:r>
          </w:p>
        </w:tc>
      </w:tr>
      <w:tr w:rsidR="000A2242" w:rsidRPr="00A964FF" w14:paraId="3A9FE48A" w14:textId="77777777" w:rsidTr="000A2242">
        <w:trPr>
          <w:trHeight w:val="340"/>
        </w:trPr>
        <w:tc>
          <w:tcPr>
            <w:tcW w:w="388" w:type="pct"/>
            <w:vMerge/>
            <w:vAlign w:val="center"/>
          </w:tcPr>
          <w:p w14:paraId="79673B03" w14:textId="77777777" w:rsidR="000A2242" w:rsidRPr="00A964FF" w:rsidRDefault="000A2242" w:rsidP="000A2242">
            <w:pPr>
              <w:jc w:val="center"/>
              <w:rPr>
                <w:rFonts w:ascii="Calibri"/>
                <w:color w:val="auto"/>
                <w:szCs w:val="21"/>
              </w:rPr>
            </w:pPr>
          </w:p>
        </w:tc>
        <w:tc>
          <w:tcPr>
            <w:tcW w:w="450" w:type="pct"/>
            <w:vMerge/>
            <w:vAlign w:val="center"/>
          </w:tcPr>
          <w:p w14:paraId="084FC898" w14:textId="77777777" w:rsidR="000A2242" w:rsidRPr="00A964FF" w:rsidRDefault="000A2242" w:rsidP="000A2242">
            <w:pPr>
              <w:jc w:val="center"/>
              <w:rPr>
                <w:rFonts w:ascii="Calibri"/>
                <w:color w:val="auto"/>
                <w:szCs w:val="21"/>
              </w:rPr>
            </w:pPr>
          </w:p>
        </w:tc>
        <w:tc>
          <w:tcPr>
            <w:tcW w:w="468" w:type="pct"/>
            <w:vMerge/>
            <w:vAlign w:val="center"/>
          </w:tcPr>
          <w:p w14:paraId="77CF3546" w14:textId="77777777" w:rsidR="000A2242" w:rsidRPr="00A964FF" w:rsidRDefault="000A2242" w:rsidP="000A2242">
            <w:pPr>
              <w:jc w:val="center"/>
              <w:rPr>
                <w:rFonts w:ascii="Calibri"/>
                <w:color w:val="auto"/>
                <w:szCs w:val="21"/>
              </w:rPr>
            </w:pPr>
          </w:p>
        </w:tc>
        <w:tc>
          <w:tcPr>
            <w:tcW w:w="453" w:type="pct"/>
            <w:vMerge/>
            <w:vAlign w:val="center"/>
          </w:tcPr>
          <w:p w14:paraId="633BB843" w14:textId="77777777" w:rsidR="000A2242" w:rsidRPr="00A964FF" w:rsidRDefault="000A2242" w:rsidP="000A2242">
            <w:pPr>
              <w:jc w:val="center"/>
              <w:rPr>
                <w:rFonts w:ascii="Calibri"/>
                <w:color w:val="auto"/>
                <w:szCs w:val="21"/>
              </w:rPr>
            </w:pPr>
          </w:p>
        </w:tc>
        <w:tc>
          <w:tcPr>
            <w:tcW w:w="867" w:type="pct"/>
            <w:vAlign w:val="center"/>
          </w:tcPr>
          <w:p w14:paraId="0518C9AB" w14:textId="310A6D01" w:rsidR="000A2242" w:rsidRPr="00A964FF" w:rsidRDefault="000A2242" w:rsidP="000A2242">
            <w:pPr>
              <w:jc w:val="center"/>
              <w:rPr>
                <w:rFonts w:ascii="Calibri"/>
                <w:color w:val="auto"/>
                <w:szCs w:val="21"/>
              </w:rPr>
            </w:pPr>
            <w:r>
              <w:rPr>
                <w:rFonts w:ascii="Calibri" w:hint="eastAsia"/>
                <w:color w:val="auto"/>
                <w:szCs w:val="21"/>
              </w:rPr>
              <w:t>98</w:t>
            </w:r>
            <w:r>
              <w:rPr>
                <w:rFonts w:ascii="Calibri"/>
                <w:color w:val="auto"/>
                <w:szCs w:val="21"/>
              </w:rPr>
              <w:t>%</w:t>
            </w:r>
            <w:r>
              <w:rPr>
                <w:rFonts w:ascii="Calibri" w:hint="eastAsia"/>
                <w:color w:val="auto"/>
                <w:szCs w:val="21"/>
              </w:rPr>
              <w:t>保证率</w:t>
            </w:r>
            <w:r w:rsidRPr="00A964FF">
              <w:rPr>
                <w:rFonts w:ascii="Calibri" w:hint="eastAsia"/>
                <w:color w:val="auto"/>
                <w:szCs w:val="21"/>
              </w:rPr>
              <w:t>24</w:t>
            </w:r>
            <w:r w:rsidRPr="00A964FF">
              <w:rPr>
                <w:rFonts w:ascii="Calibri" w:hint="eastAsia"/>
                <w:color w:val="auto"/>
                <w:szCs w:val="21"/>
              </w:rPr>
              <w:t>小时平均</w:t>
            </w:r>
          </w:p>
        </w:tc>
        <w:tc>
          <w:tcPr>
            <w:tcW w:w="495" w:type="pct"/>
            <w:vAlign w:val="center"/>
          </w:tcPr>
          <w:p w14:paraId="22FD6B1B" w14:textId="77777777" w:rsidR="000A2242" w:rsidRPr="00A964FF" w:rsidRDefault="000A2242" w:rsidP="000A2242">
            <w:pPr>
              <w:jc w:val="center"/>
              <w:rPr>
                <w:rFonts w:ascii="Calibri"/>
                <w:color w:val="auto"/>
                <w:szCs w:val="21"/>
              </w:rPr>
            </w:pPr>
            <w:r>
              <w:rPr>
                <w:rFonts w:ascii="Calibri" w:hint="eastAsia"/>
                <w:color w:val="auto"/>
                <w:szCs w:val="21"/>
              </w:rPr>
              <w:t>21</w:t>
            </w:r>
          </w:p>
        </w:tc>
        <w:tc>
          <w:tcPr>
            <w:tcW w:w="495" w:type="pct"/>
            <w:vAlign w:val="center"/>
          </w:tcPr>
          <w:p w14:paraId="6F02B74F" w14:textId="77777777" w:rsidR="000A2242" w:rsidRPr="00A964FF" w:rsidRDefault="000A2242" w:rsidP="000A2242">
            <w:pPr>
              <w:jc w:val="center"/>
              <w:rPr>
                <w:rFonts w:ascii="Calibri"/>
                <w:color w:val="auto"/>
                <w:szCs w:val="21"/>
              </w:rPr>
            </w:pPr>
            <w:r>
              <w:rPr>
                <w:rFonts w:ascii="Calibri" w:hint="eastAsia"/>
                <w:color w:val="auto"/>
                <w:szCs w:val="21"/>
              </w:rPr>
              <w:t>150</w:t>
            </w:r>
          </w:p>
        </w:tc>
        <w:tc>
          <w:tcPr>
            <w:tcW w:w="495" w:type="pct"/>
            <w:vAlign w:val="center"/>
          </w:tcPr>
          <w:p w14:paraId="563F3CFF"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5313E0AC" w14:textId="77777777" w:rsidR="000A2242" w:rsidRPr="00A964FF" w:rsidRDefault="000A2242" w:rsidP="000A2242">
            <w:pPr>
              <w:jc w:val="center"/>
              <w:rPr>
                <w:rFonts w:ascii="Calibri"/>
                <w:color w:val="auto"/>
                <w:szCs w:val="21"/>
              </w:rPr>
            </w:pPr>
            <w:r>
              <w:rPr>
                <w:rFonts w:ascii="Calibri" w:hint="eastAsia"/>
                <w:color w:val="auto"/>
                <w:szCs w:val="21"/>
              </w:rPr>
              <w:t>0.14</w:t>
            </w:r>
          </w:p>
        </w:tc>
        <w:tc>
          <w:tcPr>
            <w:tcW w:w="395" w:type="pct"/>
            <w:vAlign w:val="center"/>
          </w:tcPr>
          <w:p w14:paraId="3C9EFEC0" w14:textId="77777777" w:rsidR="000A2242" w:rsidRPr="00A964FF" w:rsidRDefault="000A2242" w:rsidP="000A2242">
            <w:pPr>
              <w:jc w:val="center"/>
              <w:rPr>
                <w:rFonts w:ascii="Calibri"/>
                <w:color w:val="auto"/>
                <w:szCs w:val="21"/>
              </w:rPr>
            </w:pPr>
            <w:r w:rsidRPr="00A964FF">
              <w:rPr>
                <w:rFonts w:ascii="Calibri" w:hint="eastAsia"/>
                <w:color w:val="auto"/>
                <w:szCs w:val="21"/>
              </w:rPr>
              <w:t>达标</w:t>
            </w:r>
          </w:p>
        </w:tc>
      </w:tr>
      <w:tr w:rsidR="000A2242" w:rsidRPr="00A964FF" w14:paraId="17CB8BFA" w14:textId="77777777" w:rsidTr="000A2242">
        <w:trPr>
          <w:trHeight w:val="340"/>
        </w:trPr>
        <w:tc>
          <w:tcPr>
            <w:tcW w:w="388" w:type="pct"/>
            <w:vMerge/>
            <w:vAlign w:val="center"/>
          </w:tcPr>
          <w:p w14:paraId="230F6557" w14:textId="77777777" w:rsidR="000A2242" w:rsidRPr="00A964FF" w:rsidRDefault="000A2242" w:rsidP="000A2242">
            <w:pPr>
              <w:jc w:val="center"/>
              <w:rPr>
                <w:rFonts w:ascii="Calibri"/>
                <w:color w:val="auto"/>
                <w:szCs w:val="21"/>
              </w:rPr>
            </w:pPr>
          </w:p>
        </w:tc>
        <w:tc>
          <w:tcPr>
            <w:tcW w:w="450" w:type="pct"/>
            <w:vMerge/>
            <w:vAlign w:val="center"/>
          </w:tcPr>
          <w:p w14:paraId="20AF80F7" w14:textId="77777777" w:rsidR="000A2242" w:rsidRPr="00A964FF" w:rsidRDefault="000A2242" w:rsidP="000A2242">
            <w:pPr>
              <w:jc w:val="center"/>
              <w:rPr>
                <w:rFonts w:ascii="Calibri"/>
                <w:color w:val="auto"/>
                <w:szCs w:val="21"/>
              </w:rPr>
            </w:pPr>
          </w:p>
        </w:tc>
        <w:tc>
          <w:tcPr>
            <w:tcW w:w="468" w:type="pct"/>
            <w:vMerge/>
            <w:vAlign w:val="center"/>
          </w:tcPr>
          <w:p w14:paraId="07F34CB7" w14:textId="77777777" w:rsidR="000A2242" w:rsidRPr="00A964FF" w:rsidRDefault="000A2242" w:rsidP="000A2242">
            <w:pPr>
              <w:jc w:val="center"/>
              <w:rPr>
                <w:rFonts w:ascii="Calibri"/>
                <w:color w:val="auto"/>
                <w:szCs w:val="21"/>
              </w:rPr>
            </w:pPr>
          </w:p>
        </w:tc>
        <w:tc>
          <w:tcPr>
            <w:tcW w:w="453" w:type="pct"/>
            <w:vMerge w:val="restart"/>
            <w:vAlign w:val="center"/>
          </w:tcPr>
          <w:p w14:paraId="1BD2B8D0" w14:textId="77777777" w:rsidR="000A2242" w:rsidRPr="00A964FF" w:rsidRDefault="000A2242" w:rsidP="000A2242">
            <w:pPr>
              <w:jc w:val="center"/>
              <w:rPr>
                <w:rFonts w:ascii="Calibri"/>
                <w:color w:val="auto"/>
                <w:szCs w:val="21"/>
              </w:rPr>
            </w:pPr>
            <w:r w:rsidRPr="00A964FF">
              <w:rPr>
                <w:rFonts w:ascii="Calibri" w:hint="eastAsia"/>
                <w:color w:val="auto"/>
                <w:szCs w:val="21"/>
              </w:rPr>
              <w:t>NO</w:t>
            </w:r>
            <w:r w:rsidRPr="00A964FF">
              <w:rPr>
                <w:rFonts w:ascii="Calibri" w:hint="eastAsia"/>
                <w:color w:val="auto"/>
                <w:szCs w:val="21"/>
                <w:vertAlign w:val="subscript"/>
              </w:rPr>
              <w:t>2</w:t>
            </w:r>
          </w:p>
        </w:tc>
        <w:tc>
          <w:tcPr>
            <w:tcW w:w="867" w:type="pct"/>
            <w:vAlign w:val="center"/>
          </w:tcPr>
          <w:p w14:paraId="7E08BD1B" w14:textId="62008260" w:rsidR="000A2242" w:rsidRPr="00A964FF" w:rsidRDefault="000A2242" w:rsidP="000A2242">
            <w:pPr>
              <w:jc w:val="center"/>
              <w:rPr>
                <w:rFonts w:ascii="Calibri"/>
                <w:color w:val="auto"/>
                <w:szCs w:val="21"/>
              </w:rPr>
            </w:pPr>
            <w:r w:rsidRPr="00A964FF">
              <w:rPr>
                <w:rFonts w:ascii="Calibri" w:hint="eastAsia"/>
                <w:color w:val="auto"/>
                <w:szCs w:val="21"/>
              </w:rPr>
              <w:t>年均值</w:t>
            </w:r>
          </w:p>
        </w:tc>
        <w:tc>
          <w:tcPr>
            <w:tcW w:w="495" w:type="pct"/>
            <w:vAlign w:val="center"/>
          </w:tcPr>
          <w:p w14:paraId="304BA1D5" w14:textId="77777777" w:rsidR="000A2242" w:rsidRPr="00A964FF" w:rsidRDefault="000A2242" w:rsidP="000A2242">
            <w:pPr>
              <w:jc w:val="center"/>
              <w:rPr>
                <w:rFonts w:ascii="Calibri"/>
                <w:color w:val="auto"/>
                <w:szCs w:val="21"/>
              </w:rPr>
            </w:pPr>
            <w:r>
              <w:rPr>
                <w:rFonts w:ascii="Calibri" w:hint="eastAsia"/>
                <w:color w:val="auto"/>
                <w:szCs w:val="21"/>
              </w:rPr>
              <w:t>25</w:t>
            </w:r>
          </w:p>
        </w:tc>
        <w:tc>
          <w:tcPr>
            <w:tcW w:w="495" w:type="pct"/>
            <w:vAlign w:val="center"/>
          </w:tcPr>
          <w:p w14:paraId="608C26F1" w14:textId="77777777" w:rsidR="000A2242" w:rsidRPr="00A964FF" w:rsidRDefault="000A2242" w:rsidP="000A2242">
            <w:pPr>
              <w:jc w:val="center"/>
              <w:rPr>
                <w:rFonts w:ascii="Calibri"/>
                <w:color w:val="auto"/>
                <w:szCs w:val="21"/>
              </w:rPr>
            </w:pPr>
            <w:r>
              <w:rPr>
                <w:rFonts w:ascii="Calibri" w:hint="eastAsia"/>
                <w:color w:val="auto"/>
                <w:szCs w:val="21"/>
              </w:rPr>
              <w:t>40</w:t>
            </w:r>
          </w:p>
        </w:tc>
        <w:tc>
          <w:tcPr>
            <w:tcW w:w="495" w:type="pct"/>
            <w:vAlign w:val="center"/>
          </w:tcPr>
          <w:p w14:paraId="7BBEDF16"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648152A4" w14:textId="77777777" w:rsidR="000A2242" w:rsidRPr="00A964FF" w:rsidRDefault="000A2242" w:rsidP="000A2242">
            <w:pPr>
              <w:jc w:val="center"/>
              <w:rPr>
                <w:rFonts w:ascii="Calibri"/>
                <w:color w:val="auto"/>
                <w:szCs w:val="21"/>
              </w:rPr>
            </w:pPr>
            <w:r>
              <w:rPr>
                <w:rFonts w:ascii="Calibri" w:hint="eastAsia"/>
                <w:color w:val="auto"/>
                <w:szCs w:val="21"/>
              </w:rPr>
              <w:t>0.63</w:t>
            </w:r>
          </w:p>
        </w:tc>
        <w:tc>
          <w:tcPr>
            <w:tcW w:w="395" w:type="pct"/>
            <w:vAlign w:val="center"/>
          </w:tcPr>
          <w:p w14:paraId="504C3CF6" w14:textId="77777777" w:rsidR="000A2242" w:rsidRPr="00A964FF" w:rsidRDefault="000A2242" w:rsidP="000A2242">
            <w:pPr>
              <w:jc w:val="center"/>
              <w:rPr>
                <w:rFonts w:ascii="Calibri"/>
                <w:color w:val="auto"/>
                <w:szCs w:val="21"/>
              </w:rPr>
            </w:pPr>
            <w:r w:rsidRPr="00A964FF">
              <w:rPr>
                <w:rFonts w:ascii="Calibri" w:hint="eastAsia"/>
                <w:color w:val="auto"/>
                <w:szCs w:val="21"/>
              </w:rPr>
              <w:t>达标</w:t>
            </w:r>
          </w:p>
        </w:tc>
      </w:tr>
      <w:tr w:rsidR="000A2242" w:rsidRPr="00A964FF" w14:paraId="12763950" w14:textId="77777777" w:rsidTr="000A2242">
        <w:trPr>
          <w:trHeight w:val="340"/>
        </w:trPr>
        <w:tc>
          <w:tcPr>
            <w:tcW w:w="388" w:type="pct"/>
            <w:vMerge/>
            <w:vAlign w:val="center"/>
          </w:tcPr>
          <w:p w14:paraId="76C5AACB" w14:textId="77777777" w:rsidR="000A2242" w:rsidRPr="00A964FF" w:rsidRDefault="000A2242" w:rsidP="000A2242">
            <w:pPr>
              <w:jc w:val="center"/>
              <w:rPr>
                <w:rFonts w:ascii="Calibri"/>
                <w:color w:val="auto"/>
                <w:szCs w:val="21"/>
              </w:rPr>
            </w:pPr>
          </w:p>
        </w:tc>
        <w:tc>
          <w:tcPr>
            <w:tcW w:w="450" w:type="pct"/>
            <w:vMerge/>
            <w:vAlign w:val="center"/>
          </w:tcPr>
          <w:p w14:paraId="183617B3" w14:textId="77777777" w:rsidR="000A2242" w:rsidRPr="00A964FF" w:rsidRDefault="000A2242" w:rsidP="000A2242">
            <w:pPr>
              <w:jc w:val="center"/>
              <w:rPr>
                <w:rFonts w:ascii="Calibri"/>
                <w:color w:val="auto"/>
                <w:szCs w:val="21"/>
              </w:rPr>
            </w:pPr>
          </w:p>
        </w:tc>
        <w:tc>
          <w:tcPr>
            <w:tcW w:w="468" w:type="pct"/>
            <w:vMerge/>
            <w:vAlign w:val="center"/>
          </w:tcPr>
          <w:p w14:paraId="6E37DB82" w14:textId="77777777" w:rsidR="000A2242" w:rsidRPr="00A964FF" w:rsidRDefault="000A2242" w:rsidP="000A2242">
            <w:pPr>
              <w:jc w:val="center"/>
              <w:rPr>
                <w:rFonts w:ascii="Calibri"/>
                <w:color w:val="auto"/>
                <w:szCs w:val="21"/>
              </w:rPr>
            </w:pPr>
          </w:p>
        </w:tc>
        <w:tc>
          <w:tcPr>
            <w:tcW w:w="453" w:type="pct"/>
            <w:vMerge/>
            <w:vAlign w:val="center"/>
          </w:tcPr>
          <w:p w14:paraId="6FECEDE1" w14:textId="77777777" w:rsidR="000A2242" w:rsidRPr="00A964FF" w:rsidRDefault="000A2242" w:rsidP="000A2242">
            <w:pPr>
              <w:jc w:val="center"/>
              <w:rPr>
                <w:rFonts w:ascii="Calibri"/>
                <w:color w:val="auto"/>
                <w:szCs w:val="21"/>
              </w:rPr>
            </w:pPr>
          </w:p>
        </w:tc>
        <w:tc>
          <w:tcPr>
            <w:tcW w:w="867" w:type="pct"/>
            <w:vAlign w:val="center"/>
          </w:tcPr>
          <w:p w14:paraId="6F6EC10E" w14:textId="4F101F41" w:rsidR="000A2242" w:rsidRPr="00A964FF" w:rsidRDefault="000A2242" w:rsidP="000A2242">
            <w:pPr>
              <w:jc w:val="center"/>
              <w:rPr>
                <w:rFonts w:ascii="Calibri"/>
                <w:color w:val="auto"/>
                <w:szCs w:val="21"/>
              </w:rPr>
            </w:pPr>
            <w:r>
              <w:rPr>
                <w:rFonts w:ascii="Calibri" w:hint="eastAsia"/>
                <w:color w:val="auto"/>
                <w:szCs w:val="21"/>
              </w:rPr>
              <w:t>98</w:t>
            </w:r>
            <w:r>
              <w:rPr>
                <w:rFonts w:ascii="Calibri"/>
                <w:color w:val="auto"/>
                <w:szCs w:val="21"/>
              </w:rPr>
              <w:t>%</w:t>
            </w:r>
            <w:r>
              <w:rPr>
                <w:rFonts w:ascii="Calibri" w:hint="eastAsia"/>
                <w:color w:val="auto"/>
                <w:szCs w:val="21"/>
              </w:rPr>
              <w:t>保证率</w:t>
            </w:r>
            <w:r w:rsidRPr="00A964FF">
              <w:rPr>
                <w:rFonts w:ascii="Calibri" w:hint="eastAsia"/>
                <w:color w:val="auto"/>
                <w:szCs w:val="21"/>
              </w:rPr>
              <w:t>24</w:t>
            </w:r>
            <w:r w:rsidRPr="00A964FF">
              <w:rPr>
                <w:rFonts w:ascii="Calibri" w:hint="eastAsia"/>
                <w:color w:val="auto"/>
                <w:szCs w:val="21"/>
              </w:rPr>
              <w:t>小时平均</w:t>
            </w:r>
          </w:p>
        </w:tc>
        <w:tc>
          <w:tcPr>
            <w:tcW w:w="495" w:type="pct"/>
            <w:vAlign w:val="center"/>
          </w:tcPr>
          <w:p w14:paraId="06F11AB8" w14:textId="77777777" w:rsidR="000A2242" w:rsidRPr="00A964FF" w:rsidRDefault="000A2242" w:rsidP="000A2242">
            <w:pPr>
              <w:jc w:val="center"/>
              <w:rPr>
                <w:rFonts w:ascii="Calibri"/>
                <w:color w:val="auto"/>
                <w:szCs w:val="21"/>
              </w:rPr>
            </w:pPr>
            <w:r>
              <w:rPr>
                <w:rFonts w:ascii="Calibri" w:hint="eastAsia"/>
                <w:color w:val="auto"/>
                <w:szCs w:val="21"/>
              </w:rPr>
              <w:t>56</w:t>
            </w:r>
          </w:p>
        </w:tc>
        <w:tc>
          <w:tcPr>
            <w:tcW w:w="495" w:type="pct"/>
            <w:vAlign w:val="center"/>
          </w:tcPr>
          <w:p w14:paraId="6A9AB638" w14:textId="77777777" w:rsidR="000A2242" w:rsidRPr="00A964FF" w:rsidRDefault="000A2242" w:rsidP="000A2242">
            <w:pPr>
              <w:jc w:val="center"/>
              <w:rPr>
                <w:rFonts w:ascii="Calibri"/>
                <w:color w:val="auto"/>
                <w:szCs w:val="21"/>
              </w:rPr>
            </w:pPr>
            <w:r>
              <w:rPr>
                <w:rFonts w:ascii="Calibri" w:hint="eastAsia"/>
                <w:color w:val="auto"/>
                <w:szCs w:val="21"/>
              </w:rPr>
              <w:t>80</w:t>
            </w:r>
          </w:p>
        </w:tc>
        <w:tc>
          <w:tcPr>
            <w:tcW w:w="495" w:type="pct"/>
            <w:vAlign w:val="center"/>
          </w:tcPr>
          <w:p w14:paraId="4C4D7715"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52DE3A51" w14:textId="77777777" w:rsidR="000A2242" w:rsidRPr="00A964FF" w:rsidRDefault="000A2242" w:rsidP="000A2242">
            <w:pPr>
              <w:jc w:val="center"/>
              <w:rPr>
                <w:rFonts w:ascii="Calibri"/>
                <w:color w:val="auto"/>
                <w:szCs w:val="21"/>
              </w:rPr>
            </w:pPr>
            <w:r>
              <w:rPr>
                <w:rFonts w:ascii="Calibri" w:hint="eastAsia"/>
                <w:color w:val="auto"/>
                <w:szCs w:val="21"/>
              </w:rPr>
              <w:t>0.70</w:t>
            </w:r>
          </w:p>
        </w:tc>
        <w:tc>
          <w:tcPr>
            <w:tcW w:w="395" w:type="pct"/>
            <w:vAlign w:val="center"/>
          </w:tcPr>
          <w:p w14:paraId="32701F87" w14:textId="77777777" w:rsidR="000A2242" w:rsidRPr="00A964FF" w:rsidRDefault="000A2242" w:rsidP="000A2242">
            <w:pPr>
              <w:jc w:val="center"/>
              <w:rPr>
                <w:rFonts w:ascii="Calibri"/>
                <w:color w:val="auto"/>
                <w:szCs w:val="21"/>
              </w:rPr>
            </w:pPr>
            <w:r w:rsidRPr="00A964FF">
              <w:rPr>
                <w:rFonts w:ascii="Calibri" w:hint="eastAsia"/>
                <w:color w:val="auto"/>
                <w:szCs w:val="21"/>
              </w:rPr>
              <w:t>达标</w:t>
            </w:r>
          </w:p>
        </w:tc>
      </w:tr>
      <w:tr w:rsidR="000A2242" w:rsidRPr="00A964FF" w14:paraId="2EB93399" w14:textId="77777777" w:rsidTr="000A2242">
        <w:trPr>
          <w:trHeight w:val="340"/>
        </w:trPr>
        <w:tc>
          <w:tcPr>
            <w:tcW w:w="388" w:type="pct"/>
            <w:vMerge/>
            <w:vAlign w:val="center"/>
          </w:tcPr>
          <w:p w14:paraId="5C817F89" w14:textId="77777777" w:rsidR="000A2242" w:rsidRPr="00A964FF" w:rsidRDefault="000A2242" w:rsidP="000A2242">
            <w:pPr>
              <w:jc w:val="center"/>
              <w:rPr>
                <w:rFonts w:ascii="Calibri"/>
                <w:color w:val="auto"/>
                <w:szCs w:val="21"/>
              </w:rPr>
            </w:pPr>
          </w:p>
        </w:tc>
        <w:tc>
          <w:tcPr>
            <w:tcW w:w="450" w:type="pct"/>
            <w:vMerge/>
            <w:vAlign w:val="center"/>
          </w:tcPr>
          <w:p w14:paraId="6F06A3ED" w14:textId="77777777" w:rsidR="000A2242" w:rsidRPr="00A964FF" w:rsidRDefault="000A2242" w:rsidP="000A2242">
            <w:pPr>
              <w:jc w:val="center"/>
              <w:rPr>
                <w:rFonts w:ascii="Calibri"/>
                <w:color w:val="auto"/>
                <w:szCs w:val="21"/>
              </w:rPr>
            </w:pPr>
          </w:p>
        </w:tc>
        <w:tc>
          <w:tcPr>
            <w:tcW w:w="468" w:type="pct"/>
            <w:vMerge/>
            <w:vAlign w:val="center"/>
          </w:tcPr>
          <w:p w14:paraId="6CCBB048" w14:textId="77777777" w:rsidR="000A2242" w:rsidRPr="00A964FF" w:rsidRDefault="000A2242" w:rsidP="000A2242">
            <w:pPr>
              <w:jc w:val="center"/>
              <w:rPr>
                <w:rFonts w:ascii="Calibri"/>
                <w:color w:val="auto"/>
                <w:szCs w:val="21"/>
              </w:rPr>
            </w:pPr>
          </w:p>
        </w:tc>
        <w:tc>
          <w:tcPr>
            <w:tcW w:w="453" w:type="pct"/>
            <w:vAlign w:val="center"/>
          </w:tcPr>
          <w:p w14:paraId="5D36BDA7" w14:textId="77777777" w:rsidR="000A2242" w:rsidRPr="00A964FF" w:rsidRDefault="000A2242" w:rsidP="000A2242">
            <w:pPr>
              <w:jc w:val="center"/>
              <w:rPr>
                <w:rFonts w:ascii="Calibri"/>
                <w:color w:val="auto"/>
                <w:szCs w:val="21"/>
              </w:rPr>
            </w:pPr>
            <w:r w:rsidRPr="00A964FF">
              <w:rPr>
                <w:rFonts w:ascii="Calibri" w:hint="eastAsia"/>
                <w:color w:val="auto"/>
                <w:szCs w:val="21"/>
              </w:rPr>
              <w:t>CO</w:t>
            </w:r>
          </w:p>
        </w:tc>
        <w:tc>
          <w:tcPr>
            <w:tcW w:w="867" w:type="pct"/>
            <w:vAlign w:val="center"/>
          </w:tcPr>
          <w:p w14:paraId="1816A77B" w14:textId="6B8A004E" w:rsidR="000A2242" w:rsidRPr="00A964FF" w:rsidRDefault="000A2242" w:rsidP="000A2242">
            <w:pPr>
              <w:jc w:val="center"/>
              <w:rPr>
                <w:rFonts w:ascii="Calibri"/>
                <w:color w:val="auto"/>
                <w:szCs w:val="21"/>
              </w:rPr>
            </w:pPr>
            <w:r>
              <w:rPr>
                <w:rFonts w:ascii="Calibri" w:hint="eastAsia"/>
                <w:color w:val="auto"/>
                <w:szCs w:val="21"/>
              </w:rPr>
              <w:t>95</w:t>
            </w:r>
            <w:r>
              <w:rPr>
                <w:rFonts w:ascii="Calibri"/>
                <w:color w:val="auto"/>
                <w:szCs w:val="21"/>
              </w:rPr>
              <w:t>%</w:t>
            </w:r>
            <w:r>
              <w:rPr>
                <w:rFonts w:ascii="Calibri" w:hint="eastAsia"/>
                <w:color w:val="auto"/>
                <w:szCs w:val="21"/>
              </w:rPr>
              <w:t>保证率</w:t>
            </w:r>
            <w:r w:rsidRPr="00A964FF">
              <w:rPr>
                <w:rFonts w:ascii="Calibri" w:hint="eastAsia"/>
                <w:color w:val="auto"/>
                <w:szCs w:val="21"/>
              </w:rPr>
              <w:t>24</w:t>
            </w:r>
            <w:r w:rsidRPr="00A964FF">
              <w:rPr>
                <w:rFonts w:ascii="Calibri" w:hint="eastAsia"/>
                <w:color w:val="auto"/>
                <w:szCs w:val="21"/>
              </w:rPr>
              <w:t>小时平均</w:t>
            </w:r>
          </w:p>
        </w:tc>
        <w:tc>
          <w:tcPr>
            <w:tcW w:w="495" w:type="pct"/>
            <w:vAlign w:val="center"/>
          </w:tcPr>
          <w:p w14:paraId="3823DE2B" w14:textId="77777777" w:rsidR="000A2242" w:rsidRPr="00A964FF" w:rsidRDefault="000A2242" w:rsidP="000A2242">
            <w:pPr>
              <w:jc w:val="center"/>
              <w:rPr>
                <w:rFonts w:ascii="Calibri"/>
                <w:color w:val="auto"/>
                <w:szCs w:val="21"/>
              </w:rPr>
            </w:pPr>
            <w:r>
              <w:rPr>
                <w:rFonts w:ascii="Calibri" w:hint="eastAsia"/>
                <w:color w:val="auto"/>
                <w:szCs w:val="21"/>
              </w:rPr>
              <w:t>1.2</w:t>
            </w:r>
          </w:p>
        </w:tc>
        <w:tc>
          <w:tcPr>
            <w:tcW w:w="495" w:type="pct"/>
            <w:vAlign w:val="center"/>
          </w:tcPr>
          <w:p w14:paraId="530EF235" w14:textId="77777777" w:rsidR="000A2242" w:rsidRPr="00A964FF" w:rsidRDefault="000A2242" w:rsidP="000A2242">
            <w:pPr>
              <w:jc w:val="center"/>
              <w:rPr>
                <w:rFonts w:ascii="Calibri"/>
                <w:color w:val="auto"/>
                <w:szCs w:val="21"/>
              </w:rPr>
            </w:pPr>
            <w:r>
              <w:rPr>
                <w:rFonts w:ascii="Calibri" w:hint="eastAsia"/>
                <w:color w:val="auto"/>
                <w:szCs w:val="21"/>
              </w:rPr>
              <w:t>4</w:t>
            </w:r>
          </w:p>
        </w:tc>
        <w:tc>
          <w:tcPr>
            <w:tcW w:w="495" w:type="pct"/>
            <w:vAlign w:val="center"/>
          </w:tcPr>
          <w:p w14:paraId="7F6ECC3E" w14:textId="77777777" w:rsidR="000A2242" w:rsidRPr="00A964FF" w:rsidRDefault="000A2242" w:rsidP="000A2242">
            <w:pPr>
              <w:jc w:val="center"/>
              <w:rPr>
                <w:rFonts w:asciiTheme="minorHAnsi" w:hAnsiTheme="minorHAnsi"/>
                <w:color w:val="auto"/>
                <w:szCs w:val="21"/>
              </w:rPr>
            </w:pPr>
            <w:r w:rsidRPr="00A964FF">
              <w:rPr>
                <w:rFonts w:ascii="Calibri" w:hint="eastAsia"/>
                <w:color w:val="auto"/>
                <w:szCs w:val="21"/>
              </w:rPr>
              <w:t>mg/m</w:t>
            </w:r>
            <w:r w:rsidRPr="00A964FF">
              <w:rPr>
                <w:rFonts w:ascii="Calibri" w:hint="eastAsia"/>
                <w:color w:val="auto"/>
                <w:szCs w:val="21"/>
                <w:vertAlign w:val="superscript"/>
              </w:rPr>
              <w:t>3</w:t>
            </w:r>
          </w:p>
        </w:tc>
        <w:tc>
          <w:tcPr>
            <w:tcW w:w="495" w:type="pct"/>
            <w:vAlign w:val="center"/>
          </w:tcPr>
          <w:p w14:paraId="589E636D" w14:textId="77777777" w:rsidR="000A2242" w:rsidRPr="00A964FF" w:rsidRDefault="000A2242" w:rsidP="000A2242">
            <w:pPr>
              <w:jc w:val="center"/>
              <w:rPr>
                <w:rFonts w:ascii="Calibri"/>
                <w:color w:val="auto"/>
                <w:szCs w:val="21"/>
              </w:rPr>
            </w:pPr>
            <w:r>
              <w:rPr>
                <w:rFonts w:ascii="Calibri" w:hint="eastAsia"/>
                <w:color w:val="auto"/>
                <w:szCs w:val="21"/>
              </w:rPr>
              <w:t>0.30</w:t>
            </w:r>
          </w:p>
        </w:tc>
        <w:tc>
          <w:tcPr>
            <w:tcW w:w="395" w:type="pct"/>
            <w:vAlign w:val="center"/>
          </w:tcPr>
          <w:p w14:paraId="4F594502" w14:textId="77777777" w:rsidR="000A2242" w:rsidRPr="00A964FF" w:rsidRDefault="000A2242" w:rsidP="000A2242">
            <w:pPr>
              <w:jc w:val="center"/>
              <w:rPr>
                <w:rFonts w:ascii="Calibri"/>
                <w:color w:val="auto"/>
                <w:szCs w:val="21"/>
              </w:rPr>
            </w:pPr>
            <w:r w:rsidRPr="00A964FF">
              <w:rPr>
                <w:rFonts w:ascii="Calibri" w:hint="eastAsia"/>
                <w:color w:val="auto"/>
                <w:szCs w:val="21"/>
              </w:rPr>
              <w:t>达标</w:t>
            </w:r>
          </w:p>
        </w:tc>
      </w:tr>
      <w:tr w:rsidR="000A2242" w:rsidRPr="00A964FF" w14:paraId="1ADC585E" w14:textId="77777777" w:rsidTr="000A2242">
        <w:trPr>
          <w:trHeight w:val="340"/>
        </w:trPr>
        <w:tc>
          <w:tcPr>
            <w:tcW w:w="388" w:type="pct"/>
            <w:vMerge/>
            <w:vAlign w:val="center"/>
          </w:tcPr>
          <w:p w14:paraId="11FD2E34" w14:textId="77777777" w:rsidR="000A2242" w:rsidRPr="00A964FF" w:rsidRDefault="000A2242" w:rsidP="000A2242">
            <w:pPr>
              <w:jc w:val="center"/>
              <w:rPr>
                <w:rFonts w:ascii="Calibri"/>
                <w:color w:val="auto"/>
                <w:szCs w:val="21"/>
              </w:rPr>
            </w:pPr>
          </w:p>
        </w:tc>
        <w:tc>
          <w:tcPr>
            <w:tcW w:w="450" w:type="pct"/>
            <w:vMerge/>
            <w:vAlign w:val="center"/>
          </w:tcPr>
          <w:p w14:paraId="38E24E84" w14:textId="77777777" w:rsidR="000A2242" w:rsidRPr="00A964FF" w:rsidRDefault="000A2242" w:rsidP="000A2242">
            <w:pPr>
              <w:jc w:val="center"/>
              <w:rPr>
                <w:rFonts w:ascii="Calibri"/>
                <w:color w:val="auto"/>
                <w:szCs w:val="21"/>
              </w:rPr>
            </w:pPr>
          </w:p>
        </w:tc>
        <w:tc>
          <w:tcPr>
            <w:tcW w:w="468" w:type="pct"/>
            <w:vMerge/>
            <w:vAlign w:val="center"/>
          </w:tcPr>
          <w:p w14:paraId="5CEAFEAF" w14:textId="77777777" w:rsidR="000A2242" w:rsidRPr="00A964FF" w:rsidRDefault="000A2242" w:rsidP="000A2242">
            <w:pPr>
              <w:jc w:val="center"/>
              <w:rPr>
                <w:rFonts w:ascii="Calibri"/>
                <w:color w:val="auto"/>
                <w:szCs w:val="21"/>
              </w:rPr>
            </w:pPr>
          </w:p>
        </w:tc>
        <w:tc>
          <w:tcPr>
            <w:tcW w:w="453" w:type="pct"/>
            <w:vAlign w:val="center"/>
          </w:tcPr>
          <w:p w14:paraId="3E396C85" w14:textId="77777777" w:rsidR="000A2242" w:rsidRPr="00A964FF" w:rsidRDefault="000A2242" w:rsidP="000A2242">
            <w:pPr>
              <w:jc w:val="center"/>
              <w:rPr>
                <w:rFonts w:ascii="Calibri"/>
                <w:color w:val="auto"/>
                <w:szCs w:val="21"/>
              </w:rPr>
            </w:pPr>
            <w:r w:rsidRPr="00A964FF">
              <w:rPr>
                <w:rFonts w:ascii="Calibri" w:hint="eastAsia"/>
                <w:color w:val="auto"/>
                <w:szCs w:val="21"/>
              </w:rPr>
              <w:t>O</w:t>
            </w:r>
            <w:r w:rsidRPr="00A964FF">
              <w:rPr>
                <w:rFonts w:ascii="Calibri" w:hint="eastAsia"/>
                <w:color w:val="auto"/>
                <w:szCs w:val="21"/>
                <w:vertAlign w:val="subscript"/>
              </w:rPr>
              <w:t>3</w:t>
            </w:r>
          </w:p>
        </w:tc>
        <w:tc>
          <w:tcPr>
            <w:tcW w:w="867" w:type="pct"/>
            <w:vAlign w:val="center"/>
          </w:tcPr>
          <w:p w14:paraId="3C050834" w14:textId="6DA1FABE" w:rsidR="000A2242" w:rsidRPr="00A964FF" w:rsidRDefault="000A2242" w:rsidP="000A2242">
            <w:pPr>
              <w:jc w:val="center"/>
              <w:rPr>
                <w:rFonts w:ascii="Calibri"/>
                <w:color w:val="auto"/>
                <w:szCs w:val="21"/>
              </w:rPr>
            </w:pPr>
            <w:r>
              <w:rPr>
                <w:rFonts w:ascii="Calibri" w:hint="eastAsia"/>
                <w:color w:val="auto"/>
                <w:szCs w:val="21"/>
              </w:rPr>
              <w:t>90</w:t>
            </w:r>
            <w:r>
              <w:rPr>
                <w:rFonts w:ascii="Calibri"/>
                <w:color w:val="auto"/>
                <w:szCs w:val="21"/>
              </w:rPr>
              <w:t>%</w:t>
            </w:r>
            <w:r>
              <w:rPr>
                <w:rFonts w:ascii="Calibri" w:hint="eastAsia"/>
                <w:color w:val="auto"/>
                <w:szCs w:val="21"/>
              </w:rPr>
              <w:t>保证率</w:t>
            </w:r>
            <w:r>
              <w:rPr>
                <w:rFonts w:ascii="Calibri"/>
                <w:color w:val="auto"/>
                <w:szCs w:val="21"/>
              </w:rPr>
              <w:t>8</w:t>
            </w:r>
            <w:r w:rsidRPr="00A964FF">
              <w:rPr>
                <w:rFonts w:ascii="Calibri" w:hint="eastAsia"/>
                <w:color w:val="auto"/>
                <w:szCs w:val="21"/>
              </w:rPr>
              <w:t>小时平均</w:t>
            </w:r>
          </w:p>
        </w:tc>
        <w:tc>
          <w:tcPr>
            <w:tcW w:w="495" w:type="pct"/>
            <w:vAlign w:val="center"/>
          </w:tcPr>
          <w:p w14:paraId="28187D39" w14:textId="77777777" w:rsidR="000A2242" w:rsidRPr="00A964FF" w:rsidRDefault="000A2242" w:rsidP="000A2242">
            <w:pPr>
              <w:jc w:val="center"/>
              <w:rPr>
                <w:rFonts w:ascii="Calibri"/>
                <w:color w:val="auto"/>
                <w:szCs w:val="21"/>
              </w:rPr>
            </w:pPr>
            <w:r>
              <w:rPr>
                <w:rFonts w:ascii="Calibri" w:hint="eastAsia"/>
                <w:color w:val="auto"/>
                <w:szCs w:val="21"/>
              </w:rPr>
              <w:t>152</w:t>
            </w:r>
          </w:p>
        </w:tc>
        <w:tc>
          <w:tcPr>
            <w:tcW w:w="495" w:type="pct"/>
            <w:vAlign w:val="center"/>
          </w:tcPr>
          <w:p w14:paraId="4E88AE60" w14:textId="77777777" w:rsidR="000A2242" w:rsidRPr="00A964FF" w:rsidRDefault="000A2242" w:rsidP="000A2242">
            <w:pPr>
              <w:jc w:val="center"/>
              <w:rPr>
                <w:rFonts w:ascii="Calibri"/>
                <w:color w:val="auto"/>
                <w:szCs w:val="21"/>
              </w:rPr>
            </w:pPr>
            <w:r>
              <w:rPr>
                <w:rFonts w:ascii="Calibri" w:hint="eastAsia"/>
                <w:color w:val="auto"/>
                <w:szCs w:val="21"/>
              </w:rPr>
              <w:t>160</w:t>
            </w:r>
          </w:p>
        </w:tc>
        <w:tc>
          <w:tcPr>
            <w:tcW w:w="495" w:type="pct"/>
            <w:vAlign w:val="center"/>
          </w:tcPr>
          <w:p w14:paraId="6C967B54" w14:textId="77777777" w:rsidR="000A2242" w:rsidRPr="00A964FF" w:rsidRDefault="000A2242" w:rsidP="000A2242">
            <w:pPr>
              <w:jc w:val="center"/>
              <w:rPr>
                <w:rFonts w:asciiTheme="minorHAnsi" w:hAnsiTheme="minorHAnsi"/>
                <w:color w:val="auto"/>
                <w:szCs w:val="21"/>
              </w:rPr>
            </w:pPr>
            <w:r w:rsidRPr="00A964FF">
              <w:rPr>
                <w:rFonts w:asciiTheme="minorHAnsi" w:hAnsiTheme="minorHAnsi"/>
                <w:color w:val="auto"/>
                <w:szCs w:val="21"/>
              </w:rPr>
              <w:t>μg/m</w:t>
            </w:r>
            <w:r w:rsidRPr="00A964FF">
              <w:rPr>
                <w:rFonts w:asciiTheme="minorHAnsi" w:hAnsiTheme="minorHAnsi"/>
                <w:color w:val="auto"/>
                <w:szCs w:val="21"/>
                <w:vertAlign w:val="superscript"/>
              </w:rPr>
              <w:t>3</w:t>
            </w:r>
          </w:p>
        </w:tc>
        <w:tc>
          <w:tcPr>
            <w:tcW w:w="495" w:type="pct"/>
            <w:vAlign w:val="center"/>
          </w:tcPr>
          <w:p w14:paraId="64063947" w14:textId="77777777" w:rsidR="000A2242" w:rsidRPr="00A964FF" w:rsidRDefault="000A2242" w:rsidP="000A2242">
            <w:pPr>
              <w:jc w:val="center"/>
              <w:rPr>
                <w:rFonts w:ascii="Calibri"/>
                <w:color w:val="auto"/>
                <w:szCs w:val="21"/>
              </w:rPr>
            </w:pPr>
            <w:r>
              <w:rPr>
                <w:rFonts w:ascii="Calibri" w:hint="eastAsia"/>
                <w:color w:val="auto"/>
                <w:szCs w:val="21"/>
              </w:rPr>
              <w:t>0.95</w:t>
            </w:r>
          </w:p>
        </w:tc>
        <w:tc>
          <w:tcPr>
            <w:tcW w:w="395" w:type="pct"/>
            <w:vAlign w:val="center"/>
          </w:tcPr>
          <w:p w14:paraId="5DD04B0F" w14:textId="77777777" w:rsidR="000A2242" w:rsidRPr="00A964FF" w:rsidRDefault="000A2242" w:rsidP="000A2242">
            <w:pPr>
              <w:jc w:val="center"/>
              <w:rPr>
                <w:rFonts w:ascii="Calibri"/>
                <w:color w:val="auto"/>
                <w:szCs w:val="21"/>
              </w:rPr>
            </w:pPr>
            <w:r w:rsidRPr="00A964FF">
              <w:rPr>
                <w:rFonts w:ascii="Calibri" w:hint="eastAsia"/>
                <w:color w:val="auto"/>
                <w:szCs w:val="21"/>
              </w:rPr>
              <w:t>达标</w:t>
            </w:r>
          </w:p>
        </w:tc>
      </w:tr>
    </w:tbl>
    <w:p w14:paraId="1236C06E" w14:textId="77777777" w:rsidR="006D1907" w:rsidRPr="00A964FF" w:rsidRDefault="006D1907" w:rsidP="006D1907">
      <w:pPr>
        <w:pStyle w:val="00"/>
        <w:ind w:firstLineChars="200"/>
        <w:rPr>
          <w:rFonts w:ascii="Calibri"/>
          <w:color w:val="auto"/>
        </w:rPr>
      </w:pPr>
      <w:r w:rsidRPr="00A964FF">
        <w:rPr>
          <w:rFonts w:ascii="Calibri" w:hint="eastAsia"/>
          <w:color w:val="auto"/>
        </w:rPr>
        <w:t>由上表监测数据可知，项目区域环境空气质量除</w:t>
      </w:r>
      <w:r w:rsidRPr="00A964FF">
        <w:rPr>
          <w:rFonts w:ascii="Calibri" w:hint="eastAsia"/>
          <w:color w:val="auto"/>
        </w:rPr>
        <w:t>PM</w:t>
      </w:r>
      <w:r w:rsidRPr="00A964FF">
        <w:rPr>
          <w:rFonts w:ascii="Calibri" w:hint="eastAsia"/>
          <w:color w:val="auto"/>
          <w:vertAlign w:val="subscript"/>
        </w:rPr>
        <w:t>10</w:t>
      </w:r>
      <w:r w:rsidRPr="00A964FF">
        <w:rPr>
          <w:rFonts w:ascii="Calibri" w:hint="eastAsia"/>
          <w:color w:val="auto"/>
        </w:rPr>
        <w:t>、</w:t>
      </w:r>
      <w:r w:rsidRPr="00A964FF">
        <w:rPr>
          <w:rFonts w:ascii="Calibri" w:hint="eastAsia"/>
          <w:color w:val="auto"/>
        </w:rPr>
        <w:t>PM</w:t>
      </w:r>
      <w:r w:rsidRPr="00A964FF">
        <w:rPr>
          <w:rFonts w:ascii="Calibri" w:hint="eastAsia"/>
          <w:color w:val="auto"/>
          <w:vertAlign w:val="subscript"/>
        </w:rPr>
        <w:t>2.5</w:t>
      </w:r>
      <w:r w:rsidRPr="00A964FF">
        <w:rPr>
          <w:rFonts w:ascii="Calibri" w:hint="eastAsia"/>
          <w:color w:val="auto"/>
        </w:rPr>
        <w:t>超标外，其余各监测因子均满足《环境空气质量标准》（</w:t>
      </w:r>
      <w:r w:rsidRPr="00A964FF">
        <w:rPr>
          <w:rFonts w:ascii="Calibri" w:hint="eastAsia"/>
          <w:color w:val="auto"/>
        </w:rPr>
        <w:t>GB3095-2012</w:t>
      </w:r>
      <w:r w:rsidRPr="00A964FF">
        <w:rPr>
          <w:rFonts w:ascii="Calibri" w:hint="eastAsia"/>
          <w:color w:val="auto"/>
        </w:rPr>
        <w:t>）二级标准限值</w:t>
      </w:r>
      <w:r w:rsidR="00852DCA">
        <w:rPr>
          <w:rFonts w:ascii="Calibri" w:hint="eastAsia"/>
          <w:color w:val="auto"/>
        </w:rPr>
        <w:t>及</w:t>
      </w:r>
      <w:r w:rsidR="00852DCA">
        <w:rPr>
          <w:rFonts w:ascii="Calibri"/>
          <w:color w:val="auto"/>
        </w:rPr>
        <w:t>修改单</w:t>
      </w:r>
      <w:r w:rsidRPr="00A964FF">
        <w:rPr>
          <w:rFonts w:ascii="Calibri" w:hint="eastAsia"/>
          <w:color w:val="auto"/>
        </w:rPr>
        <w:t>。根据《环境影响评价技术导则</w:t>
      </w:r>
      <w:r w:rsidRPr="00A964FF">
        <w:rPr>
          <w:rFonts w:ascii="Calibri" w:hint="eastAsia"/>
          <w:color w:val="auto"/>
        </w:rPr>
        <w:t xml:space="preserve"> </w:t>
      </w:r>
      <w:r w:rsidRPr="00A964FF">
        <w:rPr>
          <w:rFonts w:ascii="Calibri" w:hint="eastAsia"/>
          <w:color w:val="auto"/>
        </w:rPr>
        <w:t>大气环境》（</w:t>
      </w:r>
      <w:r w:rsidRPr="00A964FF">
        <w:rPr>
          <w:rFonts w:ascii="Calibri" w:hint="eastAsia"/>
          <w:color w:val="auto"/>
        </w:rPr>
        <w:t>HJ2.2-2018</w:t>
      </w:r>
      <w:r w:rsidRPr="00A964FF">
        <w:rPr>
          <w:rFonts w:ascii="Calibri" w:hint="eastAsia"/>
          <w:color w:val="auto"/>
        </w:rPr>
        <w:t>），城市环境空气质量达标情况评价指标为</w:t>
      </w:r>
      <w:r w:rsidRPr="00A964FF">
        <w:rPr>
          <w:rFonts w:ascii="Calibri" w:hint="eastAsia"/>
          <w:color w:val="auto"/>
        </w:rPr>
        <w:t>SO</w:t>
      </w:r>
      <w:r w:rsidRPr="00A964FF">
        <w:rPr>
          <w:rFonts w:ascii="Calibri" w:hint="eastAsia"/>
          <w:color w:val="auto"/>
          <w:vertAlign w:val="subscript"/>
        </w:rPr>
        <w:t>2</w:t>
      </w:r>
      <w:r w:rsidRPr="00A964FF">
        <w:rPr>
          <w:rFonts w:ascii="Calibri" w:hint="eastAsia"/>
          <w:color w:val="auto"/>
        </w:rPr>
        <w:t>、</w:t>
      </w:r>
      <w:r w:rsidRPr="00A964FF">
        <w:rPr>
          <w:rFonts w:ascii="Calibri" w:hint="eastAsia"/>
          <w:color w:val="auto"/>
        </w:rPr>
        <w:t>NO</w:t>
      </w:r>
      <w:r w:rsidRPr="00A964FF">
        <w:rPr>
          <w:rFonts w:ascii="Calibri" w:hint="eastAsia"/>
          <w:color w:val="auto"/>
          <w:vertAlign w:val="subscript"/>
        </w:rPr>
        <w:t>2</w:t>
      </w:r>
      <w:r w:rsidRPr="00A964FF">
        <w:rPr>
          <w:rFonts w:ascii="Calibri" w:hint="eastAsia"/>
          <w:color w:val="auto"/>
        </w:rPr>
        <w:t>、</w:t>
      </w:r>
      <w:r w:rsidRPr="00A964FF">
        <w:rPr>
          <w:rFonts w:ascii="Calibri" w:hint="eastAsia"/>
          <w:color w:val="auto"/>
        </w:rPr>
        <w:t>PM</w:t>
      </w:r>
      <w:r w:rsidRPr="00A964FF">
        <w:rPr>
          <w:rFonts w:ascii="Calibri" w:hint="eastAsia"/>
          <w:color w:val="auto"/>
          <w:vertAlign w:val="subscript"/>
        </w:rPr>
        <w:t>10</w:t>
      </w:r>
      <w:r w:rsidRPr="00A964FF">
        <w:rPr>
          <w:rFonts w:ascii="Calibri" w:hint="eastAsia"/>
          <w:color w:val="auto"/>
        </w:rPr>
        <w:t>、</w:t>
      </w:r>
      <w:r w:rsidRPr="00A964FF">
        <w:rPr>
          <w:rFonts w:ascii="Calibri" w:hint="eastAsia"/>
          <w:color w:val="auto"/>
        </w:rPr>
        <w:t>PM</w:t>
      </w:r>
      <w:r w:rsidRPr="00A964FF">
        <w:rPr>
          <w:rFonts w:ascii="Calibri" w:hint="eastAsia"/>
          <w:color w:val="auto"/>
          <w:vertAlign w:val="subscript"/>
        </w:rPr>
        <w:t>2.5</w:t>
      </w:r>
      <w:r w:rsidRPr="00A964FF">
        <w:rPr>
          <w:rFonts w:ascii="Calibri" w:hint="eastAsia"/>
          <w:color w:val="auto"/>
        </w:rPr>
        <w:t>、</w:t>
      </w:r>
      <w:r w:rsidRPr="00A964FF">
        <w:rPr>
          <w:rFonts w:ascii="Calibri" w:hint="eastAsia"/>
          <w:color w:val="auto"/>
        </w:rPr>
        <w:t>CO</w:t>
      </w:r>
      <w:r w:rsidRPr="00A964FF">
        <w:rPr>
          <w:rFonts w:ascii="Calibri" w:hint="eastAsia"/>
          <w:color w:val="auto"/>
        </w:rPr>
        <w:t>和</w:t>
      </w:r>
      <w:r w:rsidRPr="00A964FF">
        <w:rPr>
          <w:rFonts w:ascii="Calibri" w:hint="eastAsia"/>
          <w:color w:val="auto"/>
        </w:rPr>
        <w:t>O</w:t>
      </w:r>
      <w:r w:rsidRPr="00A964FF">
        <w:rPr>
          <w:rFonts w:ascii="Calibri" w:hint="eastAsia"/>
          <w:color w:val="auto"/>
          <w:vertAlign w:val="subscript"/>
        </w:rPr>
        <w:t>3</w:t>
      </w:r>
      <w:r w:rsidRPr="00A964FF">
        <w:rPr>
          <w:rFonts w:ascii="Calibri" w:hint="eastAsia"/>
          <w:color w:val="auto"/>
        </w:rPr>
        <w:t>，六项污染物全部达标即为城市环境空气质</w:t>
      </w:r>
      <w:r w:rsidRPr="00A964FF">
        <w:rPr>
          <w:rFonts w:ascii="Calibri" w:hint="eastAsia"/>
          <w:color w:val="auto"/>
        </w:rPr>
        <w:lastRenderedPageBreak/>
        <w:t>量达标。由于叶县区域</w:t>
      </w:r>
      <w:r w:rsidRPr="00A964FF">
        <w:rPr>
          <w:rFonts w:ascii="Calibri" w:hint="eastAsia"/>
          <w:color w:val="auto"/>
        </w:rPr>
        <w:t>PM</w:t>
      </w:r>
      <w:r w:rsidRPr="00A964FF">
        <w:rPr>
          <w:rFonts w:ascii="Calibri" w:hint="eastAsia"/>
          <w:color w:val="auto"/>
          <w:vertAlign w:val="subscript"/>
        </w:rPr>
        <w:t>10</w:t>
      </w:r>
      <w:r w:rsidRPr="00A964FF">
        <w:rPr>
          <w:rFonts w:ascii="Calibri" w:hint="eastAsia"/>
          <w:color w:val="auto"/>
        </w:rPr>
        <w:t>、</w:t>
      </w:r>
      <w:r w:rsidRPr="00A964FF">
        <w:rPr>
          <w:rFonts w:ascii="Calibri" w:hint="eastAsia"/>
          <w:color w:val="auto"/>
        </w:rPr>
        <w:t>PM</w:t>
      </w:r>
      <w:r w:rsidRPr="00A964FF">
        <w:rPr>
          <w:rFonts w:ascii="Calibri" w:hint="eastAsia"/>
          <w:color w:val="auto"/>
          <w:vertAlign w:val="subscript"/>
        </w:rPr>
        <w:t>2.5</w:t>
      </w:r>
      <w:r w:rsidRPr="00A964FF">
        <w:rPr>
          <w:rFonts w:ascii="Calibri" w:hint="eastAsia"/>
          <w:color w:val="auto"/>
        </w:rPr>
        <w:t>超标，由此可知，本项目所在地属于不达标区域。</w:t>
      </w:r>
    </w:p>
    <w:p w14:paraId="5980EADD" w14:textId="77777777" w:rsidR="006D1907" w:rsidRPr="00A964FF" w:rsidRDefault="006D1907" w:rsidP="002F5676">
      <w:pPr>
        <w:spacing w:line="520" w:lineRule="exact"/>
        <w:ind w:firstLineChars="200" w:firstLine="480"/>
        <w:rPr>
          <w:rFonts w:ascii="黑体" w:eastAsia="黑体" w:hAnsi="黑体"/>
          <w:b/>
          <w:color w:val="auto"/>
          <w:sz w:val="24"/>
          <w:u w:val="single"/>
        </w:rPr>
      </w:pPr>
      <w:r w:rsidRPr="00DA53F0">
        <w:rPr>
          <w:rFonts w:ascii="Calibri" w:hAnsi="Calibri" w:hint="eastAsia"/>
          <w:color w:val="0000FF"/>
          <w:sz w:val="24"/>
        </w:rPr>
        <w:t>为贯彻落实省委、省政府和市委、市政府关于深入打好污染防治攻坚战的决策部署，持续改善全市环境空气质量，深入推进</w:t>
      </w:r>
      <w:r>
        <w:rPr>
          <w:rFonts w:ascii="Calibri" w:hAnsi="Calibri" w:hint="eastAsia"/>
          <w:color w:val="0000FF"/>
          <w:sz w:val="24"/>
        </w:rPr>
        <w:t>2022</w:t>
      </w:r>
      <w:r w:rsidRPr="00DA53F0">
        <w:rPr>
          <w:rFonts w:ascii="Calibri" w:hAnsi="Calibri" w:hint="eastAsia"/>
          <w:color w:val="0000FF"/>
          <w:sz w:val="24"/>
        </w:rPr>
        <w:t>年全市大气污染防治攻坚工作，</w:t>
      </w:r>
      <w:r w:rsidRPr="00284B77">
        <w:rPr>
          <w:rFonts w:ascii="Calibri" w:hAnsi="Calibri" w:hint="eastAsia"/>
          <w:color w:val="auto"/>
          <w:sz w:val="24"/>
        </w:rPr>
        <w:t>平顶山市生态环境保护委员会办公室</w:t>
      </w:r>
      <w:r w:rsidRPr="00A964FF">
        <w:rPr>
          <w:rFonts w:ascii="Calibri" w:hAnsi="Calibri" w:hint="eastAsia"/>
          <w:color w:val="auto"/>
          <w:sz w:val="24"/>
        </w:rPr>
        <w:t>印发了《平顶山市</w:t>
      </w:r>
      <w:r w:rsidRPr="00A964FF">
        <w:rPr>
          <w:rFonts w:ascii="Calibri" w:hAnsi="Calibri" w:hint="eastAsia"/>
          <w:color w:val="auto"/>
          <w:sz w:val="24"/>
        </w:rPr>
        <w:t>202</w:t>
      </w:r>
      <w:r>
        <w:rPr>
          <w:rFonts w:ascii="Calibri" w:hAnsi="Calibri"/>
          <w:color w:val="auto"/>
          <w:sz w:val="24"/>
        </w:rPr>
        <w:t>2</w:t>
      </w:r>
      <w:r w:rsidRPr="00A964FF">
        <w:rPr>
          <w:rFonts w:ascii="Calibri" w:hAnsi="Calibri" w:hint="eastAsia"/>
          <w:color w:val="auto"/>
          <w:sz w:val="24"/>
        </w:rPr>
        <w:t>年大气污染防治攻坚战实施方案》。通过</w:t>
      </w:r>
      <w:r w:rsidRPr="00A964FF">
        <w:rPr>
          <w:rFonts w:ascii="Calibri" w:hAnsi="Calibri" w:hint="eastAsia"/>
          <w:color w:val="auto"/>
          <w:sz w:val="24"/>
        </w:rPr>
        <w:t>202</w:t>
      </w:r>
      <w:r>
        <w:rPr>
          <w:rFonts w:ascii="Calibri" w:hAnsi="Calibri"/>
          <w:color w:val="auto"/>
          <w:sz w:val="24"/>
        </w:rPr>
        <w:t>2</w:t>
      </w:r>
      <w:r w:rsidRPr="00A964FF">
        <w:rPr>
          <w:rFonts w:ascii="Calibri" w:hAnsi="Calibri" w:hint="eastAsia"/>
          <w:color w:val="auto"/>
          <w:sz w:val="24"/>
        </w:rPr>
        <w:t>年大气污染防治攻坚战实施方案的实施，区域环境空气质量将得到有效改善。</w:t>
      </w:r>
    </w:p>
    <w:p w14:paraId="41BF1540" w14:textId="77777777" w:rsidR="0070206E" w:rsidRPr="00A964FF" w:rsidRDefault="00535E00" w:rsidP="0055605A">
      <w:pPr>
        <w:pStyle w:val="00"/>
        <w:rPr>
          <w:rFonts w:ascii="Calibri"/>
          <w:b/>
          <w:color w:val="auto"/>
        </w:rPr>
      </w:pPr>
      <w:r w:rsidRPr="00963759">
        <w:rPr>
          <w:rFonts w:ascii="Calibri" w:hint="eastAsia"/>
          <w:b/>
          <w:color w:val="auto"/>
        </w:rPr>
        <w:t>二</w:t>
      </w:r>
      <w:r w:rsidR="000E76BA" w:rsidRPr="00963759">
        <w:rPr>
          <w:rFonts w:ascii="Calibri" w:hint="eastAsia"/>
          <w:b/>
          <w:color w:val="auto"/>
        </w:rPr>
        <w:t>、项目所在地环境空气检测</w:t>
      </w:r>
    </w:p>
    <w:p w14:paraId="5A9F007B" w14:textId="77777777" w:rsidR="00F80B57" w:rsidRPr="00A964FF" w:rsidRDefault="00F80B57" w:rsidP="00F80B57">
      <w:pPr>
        <w:pStyle w:val="00"/>
        <w:rPr>
          <w:rFonts w:ascii="Calibri"/>
          <w:b/>
          <w:color w:val="auto"/>
        </w:rPr>
      </w:pPr>
      <w:r w:rsidRPr="00A964FF">
        <w:rPr>
          <w:rFonts w:ascii="Calibri" w:hint="eastAsia"/>
          <w:b/>
          <w:color w:val="auto"/>
        </w:rPr>
        <w:t>1</w:t>
      </w:r>
      <w:r w:rsidRPr="00A964FF">
        <w:rPr>
          <w:rFonts w:ascii="Calibri" w:hint="eastAsia"/>
          <w:b/>
          <w:color w:val="auto"/>
        </w:rPr>
        <w:t>、检测点的布设</w:t>
      </w:r>
    </w:p>
    <w:p w14:paraId="20E24C6C" w14:textId="77777777" w:rsidR="00F80B57" w:rsidRPr="00A964FF" w:rsidRDefault="00F80B57" w:rsidP="00F80B57">
      <w:pPr>
        <w:pStyle w:val="00"/>
        <w:rPr>
          <w:rFonts w:ascii="Calibri" w:hAnsi="Calibri"/>
          <w:color w:val="auto"/>
        </w:rPr>
      </w:pPr>
      <w:r w:rsidRPr="00A964FF">
        <w:rPr>
          <w:rFonts w:ascii="Calibri" w:hint="eastAsia"/>
          <w:color w:val="auto"/>
        </w:rPr>
        <w:t>按照《环境影响评价技术导则</w:t>
      </w:r>
      <w:r w:rsidRPr="00A964FF">
        <w:rPr>
          <w:rFonts w:ascii="Calibri" w:hint="eastAsia"/>
          <w:color w:val="auto"/>
        </w:rPr>
        <w:t xml:space="preserve"> </w:t>
      </w:r>
      <w:r w:rsidRPr="00A964FF">
        <w:rPr>
          <w:rFonts w:ascii="Calibri" w:hint="eastAsia"/>
          <w:color w:val="auto"/>
        </w:rPr>
        <w:t>大气环境》（</w:t>
      </w:r>
      <w:r w:rsidRPr="00A964FF">
        <w:rPr>
          <w:rFonts w:ascii="Calibri" w:hint="eastAsia"/>
          <w:color w:val="auto"/>
        </w:rPr>
        <w:t>HJ2.2-2018</w:t>
      </w:r>
      <w:r w:rsidRPr="00A964FF">
        <w:rPr>
          <w:rFonts w:ascii="Calibri" w:hint="eastAsia"/>
          <w:color w:val="auto"/>
        </w:rPr>
        <w:t>）中要求，</w:t>
      </w:r>
      <w:r w:rsidRPr="00A964FF">
        <w:rPr>
          <w:rFonts w:ascii="Calibri" w:hAnsi="Calibri"/>
          <w:color w:val="auto"/>
        </w:rPr>
        <w:t>根据本项目厂址所处地理位置及周围敏感点的分布情况，同时结合</w:t>
      </w:r>
      <w:r w:rsidR="006D1907">
        <w:rPr>
          <w:rFonts w:ascii="Calibri" w:hAnsi="Calibri" w:hint="eastAsia"/>
          <w:color w:val="auto"/>
        </w:rPr>
        <w:t>常年</w:t>
      </w:r>
      <w:r w:rsidR="006D1907" w:rsidRPr="00A964FF">
        <w:rPr>
          <w:rFonts w:ascii="Calibri" w:hAnsi="Calibri"/>
          <w:color w:val="auto"/>
        </w:rPr>
        <w:t>主导风向</w:t>
      </w:r>
      <w:r w:rsidRPr="00A964FF">
        <w:rPr>
          <w:rFonts w:ascii="Calibri" w:hAnsi="Calibri"/>
          <w:color w:val="auto"/>
        </w:rPr>
        <w:t>等因素，本次环境空气质量现状</w:t>
      </w:r>
      <w:r w:rsidRPr="00A964FF">
        <w:rPr>
          <w:rFonts w:ascii="Calibri" w:hAnsi="Calibri" w:hint="eastAsia"/>
          <w:color w:val="auto"/>
        </w:rPr>
        <w:t>检测</w:t>
      </w:r>
      <w:r w:rsidRPr="00A964FF">
        <w:rPr>
          <w:rFonts w:ascii="Calibri" w:hAnsi="Calibri"/>
          <w:color w:val="auto"/>
        </w:rPr>
        <w:t>共布设</w:t>
      </w:r>
      <w:r w:rsidRPr="00A964FF">
        <w:rPr>
          <w:rFonts w:ascii="Calibri" w:hAnsi="Calibri" w:hint="eastAsia"/>
          <w:color w:val="auto"/>
        </w:rPr>
        <w:t>1</w:t>
      </w:r>
      <w:r w:rsidRPr="00A964FF">
        <w:rPr>
          <w:rFonts w:ascii="Calibri" w:hAnsi="Calibri"/>
          <w:color w:val="auto"/>
        </w:rPr>
        <w:t>个</w:t>
      </w:r>
      <w:r w:rsidRPr="00A964FF">
        <w:rPr>
          <w:rFonts w:ascii="Calibri" w:hAnsi="Calibri" w:hint="eastAsia"/>
          <w:color w:val="auto"/>
        </w:rPr>
        <w:t>检测点</w:t>
      </w:r>
      <w:r w:rsidRPr="00A964FF">
        <w:rPr>
          <w:rFonts w:ascii="Calibri" w:hAnsi="Calibri"/>
          <w:color w:val="auto"/>
        </w:rPr>
        <w:t>，</w:t>
      </w:r>
      <w:r w:rsidRPr="00A964FF">
        <w:rPr>
          <w:rFonts w:ascii="Calibri" w:hAnsi="Calibri" w:hint="eastAsia"/>
          <w:color w:val="auto"/>
        </w:rPr>
        <w:t>检测</w:t>
      </w:r>
      <w:r w:rsidRPr="00A964FF">
        <w:rPr>
          <w:rFonts w:ascii="Calibri" w:hAnsi="Calibri"/>
          <w:color w:val="auto"/>
        </w:rPr>
        <w:t>点的名称、方位、</w:t>
      </w:r>
      <w:r w:rsidRPr="00A964FF">
        <w:rPr>
          <w:rFonts w:ascii="Calibri" w:hAnsi="Calibri" w:hint="eastAsia"/>
          <w:color w:val="auto"/>
        </w:rPr>
        <w:t>检测</w:t>
      </w:r>
      <w:r w:rsidRPr="00A964FF">
        <w:rPr>
          <w:rFonts w:ascii="Calibri" w:hAnsi="Calibri"/>
          <w:color w:val="auto"/>
        </w:rPr>
        <w:t>内容见表</w:t>
      </w:r>
      <w:r w:rsidRPr="00A964FF">
        <w:rPr>
          <w:rFonts w:ascii="Calibri" w:hAnsi="Calibri" w:hint="eastAsia"/>
          <w:color w:val="auto"/>
        </w:rPr>
        <w:t>3</w:t>
      </w:r>
      <w:r w:rsidR="00A6079A" w:rsidRPr="00A964FF">
        <w:rPr>
          <w:rFonts w:ascii="Calibri" w:hAnsi="Calibri" w:hint="eastAsia"/>
          <w:color w:val="auto"/>
        </w:rPr>
        <w:t>.3</w:t>
      </w:r>
      <w:r w:rsidRPr="00A964FF">
        <w:rPr>
          <w:rFonts w:ascii="Calibri" w:hAnsi="Calibri" w:hint="eastAsia"/>
          <w:color w:val="auto"/>
        </w:rPr>
        <w:t>-</w:t>
      </w:r>
      <w:r w:rsidR="003616F0" w:rsidRPr="00A964FF">
        <w:rPr>
          <w:rFonts w:ascii="Calibri" w:hAnsi="Calibri" w:hint="eastAsia"/>
          <w:color w:val="auto"/>
        </w:rPr>
        <w:t>2</w:t>
      </w:r>
      <w:r w:rsidRPr="00A964FF">
        <w:rPr>
          <w:rFonts w:ascii="Calibri" w:hAnsi="Calibri"/>
          <w:color w:val="auto"/>
        </w:rPr>
        <w:t>。</w:t>
      </w:r>
    </w:p>
    <w:p w14:paraId="249A87A1" w14:textId="77777777" w:rsidR="00F80B57" w:rsidRPr="00A964FF" w:rsidRDefault="00F80B57" w:rsidP="00F80B57">
      <w:pPr>
        <w:spacing w:line="520" w:lineRule="exact"/>
        <w:ind w:firstLineChars="196" w:firstLine="470"/>
        <w:rPr>
          <w:rFonts w:ascii="Calibri" w:eastAsia="黑体" w:hAnsi="Calibri"/>
          <w:bCs/>
          <w:color w:val="auto"/>
          <w:sz w:val="24"/>
        </w:rPr>
      </w:pPr>
      <w:r w:rsidRPr="00A964FF">
        <w:rPr>
          <w:rFonts w:ascii="Calibri" w:eastAsia="黑体" w:hAnsi="Calibri"/>
          <w:bCs/>
          <w:color w:val="auto"/>
          <w:sz w:val="24"/>
        </w:rPr>
        <w:t>表</w:t>
      </w:r>
      <w:r w:rsidR="003F1151" w:rsidRPr="00A964FF">
        <w:rPr>
          <w:rFonts w:ascii="Calibri" w:eastAsia="黑体" w:hAnsi="Calibri" w:hint="eastAsia"/>
          <w:bCs/>
          <w:color w:val="auto"/>
          <w:sz w:val="24"/>
        </w:rPr>
        <w:t>3</w:t>
      </w:r>
      <w:r w:rsidR="00A6079A" w:rsidRPr="00A964FF">
        <w:rPr>
          <w:rFonts w:ascii="Calibri" w:eastAsia="黑体" w:hAnsi="Calibri" w:hint="eastAsia"/>
          <w:bCs/>
          <w:color w:val="auto"/>
          <w:sz w:val="24"/>
        </w:rPr>
        <w:t>.3</w:t>
      </w:r>
      <w:r w:rsidRPr="00A964FF">
        <w:rPr>
          <w:rFonts w:ascii="Calibri" w:eastAsia="黑体" w:hAnsi="Calibri"/>
          <w:bCs/>
          <w:color w:val="auto"/>
          <w:sz w:val="24"/>
        </w:rPr>
        <w:t>-</w:t>
      </w:r>
      <w:r w:rsidR="003616F0" w:rsidRPr="00A964FF">
        <w:rPr>
          <w:rFonts w:ascii="Calibri" w:eastAsia="黑体" w:hAnsi="Calibri" w:hint="eastAsia"/>
          <w:bCs/>
          <w:color w:val="auto"/>
          <w:sz w:val="24"/>
        </w:rPr>
        <w:t>2</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Calibri"/>
          <w:bCs/>
          <w:color w:val="auto"/>
          <w:sz w:val="24"/>
        </w:rPr>
        <w:t>环境空气质量</w:t>
      </w:r>
      <w:r w:rsidRPr="00A964FF">
        <w:rPr>
          <w:rFonts w:ascii="Calibri" w:eastAsia="黑体" w:hAnsi="Calibri" w:hint="eastAsia"/>
          <w:bCs/>
          <w:color w:val="auto"/>
          <w:sz w:val="24"/>
        </w:rPr>
        <w:t>检测</w:t>
      </w:r>
      <w:r w:rsidRPr="00A964FF">
        <w:rPr>
          <w:rFonts w:ascii="Calibri" w:eastAsia="黑体" w:hAnsi="Calibri"/>
          <w:bCs/>
          <w:color w:val="auto"/>
          <w:sz w:val="24"/>
        </w:rPr>
        <w:t>点位布设情况一览表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6"/>
        <w:gridCol w:w="1926"/>
        <w:gridCol w:w="1926"/>
        <w:gridCol w:w="1926"/>
        <w:gridCol w:w="1926"/>
      </w:tblGrid>
      <w:tr w:rsidR="00F80B57" w:rsidRPr="00A964FF" w14:paraId="4757044B" w14:textId="77777777" w:rsidTr="00F80B57">
        <w:trPr>
          <w:trHeight w:val="397"/>
        </w:trPr>
        <w:tc>
          <w:tcPr>
            <w:tcW w:w="572" w:type="pct"/>
            <w:vAlign w:val="center"/>
          </w:tcPr>
          <w:p w14:paraId="5751EE66" w14:textId="77777777" w:rsidR="00F80B57" w:rsidRPr="00A964FF" w:rsidRDefault="00F80B57" w:rsidP="00A55017">
            <w:pPr>
              <w:pStyle w:val="af6"/>
              <w:rPr>
                <w:rFonts w:ascii="Calibri" w:hAnsi="Calibri"/>
                <w:color w:val="auto"/>
                <w:szCs w:val="21"/>
              </w:rPr>
            </w:pPr>
            <w:r w:rsidRPr="00A964FF">
              <w:rPr>
                <w:rFonts w:ascii="Calibri" w:hAnsi="Calibri"/>
                <w:color w:val="auto"/>
                <w:szCs w:val="21"/>
              </w:rPr>
              <w:t>编号</w:t>
            </w:r>
          </w:p>
        </w:tc>
        <w:tc>
          <w:tcPr>
            <w:tcW w:w="1107" w:type="pct"/>
            <w:vAlign w:val="center"/>
          </w:tcPr>
          <w:p w14:paraId="7D33A0C2" w14:textId="77777777" w:rsidR="00F80B57" w:rsidRPr="00A964FF" w:rsidRDefault="00F80B57" w:rsidP="00A55017">
            <w:pPr>
              <w:pStyle w:val="af6"/>
              <w:rPr>
                <w:rFonts w:ascii="Calibri" w:hAnsi="Calibri"/>
                <w:color w:val="auto"/>
                <w:szCs w:val="21"/>
              </w:rPr>
            </w:pPr>
            <w:r w:rsidRPr="00A964FF">
              <w:rPr>
                <w:rFonts w:ascii="Calibri" w:hAnsi="Calibri" w:hint="eastAsia"/>
                <w:color w:val="auto"/>
                <w:szCs w:val="21"/>
              </w:rPr>
              <w:t>检测</w:t>
            </w:r>
            <w:r w:rsidRPr="00A964FF">
              <w:rPr>
                <w:rFonts w:ascii="Calibri" w:hAnsi="Calibri"/>
                <w:color w:val="auto"/>
                <w:szCs w:val="21"/>
              </w:rPr>
              <w:t>点名称</w:t>
            </w:r>
          </w:p>
        </w:tc>
        <w:tc>
          <w:tcPr>
            <w:tcW w:w="1107" w:type="pct"/>
            <w:vAlign w:val="center"/>
          </w:tcPr>
          <w:p w14:paraId="40AB2D49" w14:textId="77777777" w:rsidR="00F80B57" w:rsidRPr="00A964FF" w:rsidRDefault="00F80B57" w:rsidP="00A55017">
            <w:pPr>
              <w:pStyle w:val="af6"/>
              <w:rPr>
                <w:rFonts w:ascii="Calibri" w:hAnsi="Calibri"/>
                <w:color w:val="auto"/>
                <w:szCs w:val="21"/>
              </w:rPr>
            </w:pPr>
            <w:r w:rsidRPr="00A964FF">
              <w:rPr>
                <w:rFonts w:ascii="Calibri" w:hAnsi="Calibri"/>
                <w:color w:val="auto"/>
                <w:szCs w:val="21"/>
              </w:rPr>
              <w:t>相对方位</w:t>
            </w:r>
          </w:p>
        </w:tc>
        <w:tc>
          <w:tcPr>
            <w:tcW w:w="1107" w:type="pct"/>
            <w:vAlign w:val="center"/>
          </w:tcPr>
          <w:p w14:paraId="01F51846" w14:textId="77777777" w:rsidR="00F80B57" w:rsidRPr="00A964FF" w:rsidRDefault="00F80B57" w:rsidP="00A55017">
            <w:pPr>
              <w:pStyle w:val="af6"/>
              <w:rPr>
                <w:rFonts w:ascii="Calibri" w:hAnsi="Calibri"/>
                <w:color w:val="auto"/>
                <w:szCs w:val="21"/>
              </w:rPr>
            </w:pPr>
            <w:r w:rsidRPr="00A964FF">
              <w:rPr>
                <w:rFonts w:ascii="Calibri" w:hAnsi="Calibri"/>
                <w:color w:val="auto"/>
                <w:szCs w:val="21"/>
              </w:rPr>
              <w:t>距厂界距离</w:t>
            </w:r>
          </w:p>
        </w:tc>
        <w:tc>
          <w:tcPr>
            <w:tcW w:w="1107" w:type="pct"/>
            <w:vAlign w:val="center"/>
          </w:tcPr>
          <w:p w14:paraId="32B0E53C" w14:textId="77777777" w:rsidR="00F80B57" w:rsidRPr="00A964FF" w:rsidRDefault="00F80B57" w:rsidP="00A55017">
            <w:pPr>
              <w:pStyle w:val="af6"/>
              <w:rPr>
                <w:rFonts w:ascii="Calibri" w:hAnsi="Calibri"/>
                <w:color w:val="auto"/>
                <w:szCs w:val="21"/>
              </w:rPr>
            </w:pPr>
            <w:r w:rsidRPr="00A964FF">
              <w:rPr>
                <w:rFonts w:ascii="Calibri" w:hAnsi="Calibri"/>
                <w:color w:val="auto"/>
                <w:szCs w:val="21"/>
              </w:rPr>
              <w:t>功能区</w:t>
            </w:r>
          </w:p>
        </w:tc>
      </w:tr>
      <w:tr w:rsidR="00F80B57" w:rsidRPr="00A964FF" w14:paraId="319363A1" w14:textId="77777777" w:rsidTr="00F80B57">
        <w:trPr>
          <w:trHeight w:val="397"/>
        </w:trPr>
        <w:tc>
          <w:tcPr>
            <w:tcW w:w="572" w:type="pct"/>
            <w:vAlign w:val="center"/>
          </w:tcPr>
          <w:p w14:paraId="704C8563" w14:textId="77777777" w:rsidR="00F80B57" w:rsidRPr="00A964FF" w:rsidRDefault="00F80B57" w:rsidP="00A55017">
            <w:pPr>
              <w:pStyle w:val="af6"/>
              <w:rPr>
                <w:rFonts w:ascii="Calibri" w:hAnsi="Calibri"/>
                <w:color w:val="auto"/>
                <w:szCs w:val="21"/>
              </w:rPr>
            </w:pPr>
            <w:r w:rsidRPr="00A964FF">
              <w:rPr>
                <w:rFonts w:ascii="Calibri" w:hAnsi="Calibri" w:hint="eastAsia"/>
                <w:color w:val="auto"/>
                <w:szCs w:val="21"/>
              </w:rPr>
              <w:t>1</w:t>
            </w:r>
          </w:p>
        </w:tc>
        <w:tc>
          <w:tcPr>
            <w:tcW w:w="1107" w:type="pct"/>
            <w:vAlign w:val="center"/>
          </w:tcPr>
          <w:p w14:paraId="42A6267E" w14:textId="77777777" w:rsidR="00F80B57" w:rsidRPr="00A964FF" w:rsidRDefault="00B80DE2" w:rsidP="00A55017">
            <w:pPr>
              <w:pStyle w:val="af6"/>
              <w:rPr>
                <w:rFonts w:ascii="Calibri" w:hAnsi="Calibri"/>
                <w:color w:val="auto"/>
                <w:szCs w:val="21"/>
              </w:rPr>
            </w:pPr>
            <w:r w:rsidRPr="00A964FF">
              <w:rPr>
                <w:rFonts w:ascii="Calibri" w:hAnsi="Calibri" w:hint="eastAsia"/>
                <w:color w:val="auto"/>
                <w:szCs w:val="21"/>
              </w:rPr>
              <w:t>龚店镇</w:t>
            </w:r>
          </w:p>
        </w:tc>
        <w:tc>
          <w:tcPr>
            <w:tcW w:w="1107" w:type="pct"/>
            <w:vAlign w:val="center"/>
          </w:tcPr>
          <w:p w14:paraId="7B1F8F9A" w14:textId="77777777" w:rsidR="00F80B57" w:rsidRPr="00A964FF" w:rsidRDefault="00F80B57" w:rsidP="00A55017">
            <w:pPr>
              <w:pStyle w:val="af6"/>
              <w:rPr>
                <w:rFonts w:ascii="Calibri" w:hAnsi="Calibri"/>
                <w:color w:val="auto"/>
                <w:szCs w:val="21"/>
              </w:rPr>
            </w:pPr>
            <w:r w:rsidRPr="00A964FF">
              <w:rPr>
                <w:rFonts w:ascii="Calibri" w:hAnsi="Calibri" w:hint="eastAsia"/>
                <w:color w:val="auto"/>
                <w:szCs w:val="21"/>
              </w:rPr>
              <w:t>S</w:t>
            </w:r>
            <w:r w:rsidR="006D1907">
              <w:rPr>
                <w:rFonts w:ascii="Calibri" w:hAnsi="Calibri"/>
                <w:color w:val="auto"/>
                <w:szCs w:val="21"/>
              </w:rPr>
              <w:t>W</w:t>
            </w:r>
          </w:p>
        </w:tc>
        <w:tc>
          <w:tcPr>
            <w:tcW w:w="1107" w:type="pct"/>
            <w:vAlign w:val="center"/>
          </w:tcPr>
          <w:p w14:paraId="04D5135D" w14:textId="77777777" w:rsidR="00F80B57" w:rsidRPr="00A964FF" w:rsidRDefault="006D1907" w:rsidP="00A55017">
            <w:pPr>
              <w:pStyle w:val="af6"/>
              <w:rPr>
                <w:rFonts w:ascii="Calibri" w:hAnsi="Calibri"/>
                <w:color w:val="auto"/>
                <w:szCs w:val="21"/>
              </w:rPr>
            </w:pPr>
            <w:r>
              <w:rPr>
                <w:rFonts w:ascii="Calibri" w:hAnsi="宋体"/>
                <w:color w:val="auto"/>
              </w:rPr>
              <w:t>1030</w:t>
            </w:r>
            <w:r w:rsidR="00F80B57" w:rsidRPr="00A964FF">
              <w:rPr>
                <w:rFonts w:ascii="Calibri" w:hAnsi="宋体" w:hint="eastAsia"/>
                <w:color w:val="auto"/>
              </w:rPr>
              <w:t>m</w:t>
            </w:r>
          </w:p>
        </w:tc>
        <w:tc>
          <w:tcPr>
            <w:tcW w:w="1107" w:type="pct"/>
            <w:vAlign w:val="center"/>
          </w:tcPr>
          <w:p w14:paraId="7D54998B" w14:textId="77777777" w:rsidR="00F80B57" w:rsidRPr="00A964FF" w:rsidRDefault="00F80B57" w:rsidP="00A55017">
            <w:pPr>
              <w:pStyle w:val="af6"/>
              <w:rPr>
                <w:rFonts w:ascii="Calibri" w:hAnsi="Calibri"/>
                <w:color w:val="auto"/>
                <w:szCs w:val="21"/>
              </w:rPr>
            </w:pPr>
            <w:r w:rsidRPr="00A964FF">
              <w:rPr>
                <w:rFonts w:ascii="Calibri" w:hAnsi="Calibri"/>
                <w:color w:val="auto"/>
                <w:szCs w:val="21"/>
              </w:rPr>
              <w:t>村庄</w:t>
            </w:r>
          </w:p>
        </w:tc>
      </w:tr>
    </w:tbl>
    <w:p w14:paraId="7E61F452" w14:textId="77777777" w:rsidR="00F80B57" w:rsidRPr="00A964FF" w:rsidRDefault="00F80B57" w:rsidP="00F80B57">
      <w:pPr>
        <w:pStyle w:val="00"/>
        <w:rPr>
          <w:rFonts w:ascii="Calibri" w:hAnsi="Calibri"/>
          <w:b/>
          <w:color w:val="auto"/>
        </w:rPr>
      </w:pPr>
      <w:r w:rsidRPr="00963759">
        <w:rPr>
          <w:rFonts w:ascii="Calibri" w:hAnsi="Calibri" w:hint="eastAsia"/>
          <w:b/>
          <w:color w:val="auto"/>
        </w:rPr>
        <w:t>2</w:t>
      </w:r>
      <w:r w:rsidRPr="00963759">
        <w:rPr>
          <w:rFonts w:ascii="Calibri" w:hAnsi="Calibri" w:hint="eastAsia"/>
          <w:b/>
          <w:color w:val="auto"/>
        </w:rPr>
        <w:t>、检测因子</w:t>
      </w:r>
    </w:p>
    <w:p w14:paraId="0EE6F005" w14:textId="77777777" w:rsidR="004C513C" w:rsidRPr="00435100" w:rsidRDefault="00435100" w:rsidP="006760FE">
      <w:pPr>
        <w:pStyle w:val="00"/>
        <w:rPr>
          <w:rFonts w:ascii="Calibri"/>
          <w:color w:val="auto"/>
        </w:rPr>
      </w:pPr>
      <w:r w:rsidRPr="00435100">
        <w:rPr>
          <w:rFonts w:ascii="Calibri" w:hint="eastAsia"/>
          <w:color w:val="auto"/>
        </w:rPr>
        <w:t>由于目前无国家及地方发布的</w:t>
      </w:r>
      <w:r>
        <w:rPr>
          <w:rFonts w:ascii="Calibri" w:hint="eastAsia"/>
          <w:color w:val="auto"/>
        </w:rPr>
        <w:t>己二胺</w:t>
      </w:r>
      <w:r>
        <w:rPr>
          <w:rFonts w:ascii="Calibri"/>
          <w:color w:val="auto"/>
        </w:rPr>
        <w:t>、</w:t>
      </w:r>
      <w:r>
        <w:rPr>
          <w:rFonts w:ascii="Calibri" w:hint="eastAsia"/>
          <w:color w:val="auto"/>
        </w:rPr>
        <w:t>己二酸</w:t>
      </w:r>
      <w:r>
        <w:rPr>
          <w:rFonts w:ascii="Calibri"/>
          <w:color w:val="auto"/>
        </w:rPr>
        <w:t>、环戊酮、环己亚胺</w:t>
      </w:r>
      <w:r w:rsidR="006760FE">
        <w:rPr>
          <w:rFonts w:ascii="Calibri" w:hint="eastAsia"/>
          <w:color w:val="auto"/>
        </w:rPr>
        <w:t>、癸二酸</w:t>
      </w:r>
      <w:r w:rsidR="006760FE">
        <w:rPr>
          <w:rFonts w:ascii="Calibri"/>
          <w:color w:val="auto"/>
        </w:rPr>
        <w:t>、癸二胺、</w:t>
      </w:r>
      <w:r w:rsidR="006760FE">
        <w:rPr>
          <w:rFonts w:ascii="Calibri" w:hint="eastAsia"/>
          <w:color w:val="auto"/>
        </w:rPr>
        <w:t>十二</w:t>
      </w:r>
      <w:r w:rsidR="006760FE">
        <w:rPr>
          <w:rFonts w:ascii="Calibri"/>
          <w:color w:val="auto"/>
        </w:rPr>
        <w:t>内酰胺</w:t>
      </w:r>
      <w:r w:rsidRPr="00435100">
        <w:rPr>
          <w:rFonts w:ascii="Calibri" w:hint="eastAsia"/>
          <w:color w:val="auto"/>
        </w:rPr>
        <w:t>环境质量</w:t>
      </w:r>
      <w:r>
        <w:rPr>
          <w:rFonts w:ascii="Calibri" w:hint="eastAsia"/>
          <w:color w:val="auto"/>
        </w:rPr>
        <w:t>检测方法，</w:t>
      </w:r>
      <w:r w:rsidR="00F80B57" w:rsidRPr="00A964FF">
        <w:rPr>
          <w:rFonts w:ascii="Calibri" w:hAnsi="Calibri"/>
          <w:color w:val="auto"/>
        </w:rPr>
        <w:t>本次环境空气现状评价因子</w:t>
      </w:r>
      <w:r w:rsidR="006D1907">
        <w:rPr>
          <w:rFonts w:ascii="Calibri" w:hAnsi="Calibri" w:hint="eastAsia"/>
          <w:color w:val="auto"/>
        </w:rPr>
        <w:t>为</w:t>
      </w:r>
      <w:r w:rsidR="00297202" w:rsidRPr="00567856">
        <w:rPr>
          <w:rFonts w:ascii="Calibri" w:hint="eastAsia"/>
          <w:bCs/>
          <w:color w:val="auto"/>
        </w:rPr>
        <w:t>非甲烷总烃</w:t>
      </w:r>
      <w:r w:rsidR="006D1907">
        <w:rPr>
          <w:rFonts w:ascii="Calibri" w:hint="eastAsia"/>
          <w:bCs/>
          <w:color w:val="auto"/>
        </w:rPr>
        <w:t>、</w:t>
      </w:r>
      <w:r w:rsidR="00297202" w:rsidRPr="00963759">
        <w:rPr>
          <w:rFonts w:ascii="Calibri" w:hAnsi="Calibri" w:hint="eastAsia"/>
          <w:color w:val="auto"/>
          <w:szCs w:val="21"/>
        </w:rPr>
        <w:t>氨、硫化氢</w:t>
      </w:r>
      <w:r w:rsidR="00F80B57" w:rsidRPr="00A964FF">
        <w:rPr>
          <w:rFonts w:ascii="Calibri" w:hAnsi="Calibri"/>
          <w:color w:val="auto"/>
        </w:rPr>
        <w:t>共</w:t>
      </w:r>
      <w:r w:rsidR="006D1907">
        <w:rPr>
          <w:rFonts w:ascii="Calibri" w:hAnsi="Calibri"/>
          <w:color w:val="auto"/>
        </w:rPr>
        <w:t>3</w:t>
      </w:r>
      <w:r w:rsidR="004C513C">
        <w:rPr>
          <w:rFonts w:ascii="Calibri" w:hAnsi="Calibri"/>
          <w:color w:val="auto"/>
        </w:rPr>
        <w:t>项</w:t>
      </w:r>
      <w:r w:rsidR="00A31183">
        <w:rPr>
          <w:rFonts w:ascii="Calibri" w:hAnsi="Calibri" w:hint="eastAsia"/>
          <w:color w:val="auto"/>
        </w:rPr>
        <w:t>。</w:t>
      </w:r>
    </w:p>
    <w:p w14:paraId="4C92979A" w14:textId="77777777" w:rsidR="00F80B57" w:rsidRPr="00A964FF" w:rsidRDefault="00F80B57" w:rsidP="00F80B57">
      <w:pPr>
        <w:pStyle w:val="00"/>
        <w:rPr>
          <w:rFonts w:ascii="Calibri" w:hAnsi="Calibri"/>
          <w:b/>
          <w:color w:val="auto"/>
        </w:rPr>
      </w:pPr>
      <w:r w:rsidRPr="00A964FF">
        <w:rPr>
          <w:rFonts w:ascii="Calibri" w:hAnsi="Calibri" w:hint="eastAsia"/>
          <w:b/>
          <w:color w:val="auto"/>
        </w:rPr>
        <w:t>3</w:t>
      </w:r>
      <w:r w:rsidRPr="00A964FF">
        <w:rPr>
          <w:rFonts w:ascii="Calibri" w:hAnsi="Calibri" w:hint="eastAsia"/>
          <w:b/>
          <w:color w:val="auto"/>
        </w:rPr>
        <w:t>、检测时间和频率</w:t>
      </w:r>
    </w:p>
    <w:p w14:paraId="2ECEDA18" w14:textId="77777777" w:rsidR="006D1907" w:rsidRDefault="00F80B57" w:rsidP="006D1907">
      <w:pPr>
        <w:pStyle w:val="00"/>
        <w:rPr>
          <w:rFonts w:ascii="Calibri" w:hAnsi="Calibri"/>
          <w:color w:val="auto"/>
        </w:rPr>
      </w:pPr>
      <w:r w:rsidRPr="00A964FF">
        <w:rPr>
          <w:rFonts w:ascii="Calibri" w:hAnsi="Calibri"/>
          <w:color w:val="auto"/>
        </w:rPr>
        <w:t>本次环境空气检测因子</w:t>
      </w:r>
      <w:r w:rsidR="006D1907">
        <w:rPr>
          <w:rFonts w:ascii="Calibri" w:hAnsi="Calibri" w:hint="eastAsia"/>
          <w:color w:val="auto"/>
        </w:rPr>
        <w:t>采用《</w:t>
      </w:r>
      <w:r w:rsidR="006D1907" w:rsidRPr="006D1907">
        <w:rPr>
          <w:rFonts w:ascii="Calibri" w:hAnsi="Calibri" w:hint="eastAsia"/>
          <w:color w:val="auto"/>
        </w:rPr>
        <w:t>河南尤尼特化工新材料有限公司</w:t>
      </w:r>
      <w:r w:rsidR="006D1907" w:rsidRPr="006D1907">
        <w:rPr>
          <w:rFonts w:ascii="Calibri" w:hAnsi="Calibri" w:hint="eastAsia"/>
          <w:color w:val="auto"/>
        </w:rPr>
        <w:t>10000</w:t>
      </w:r>
      <w:r w:rsidR="006D1907" w:rsidRPr="006D1907">
        <w:rPr>
          <w:rFonts w:ascii="Calibri" w:hAnsi="Calibri" w:hint="eastAsia"/>
          <w:color w:val="auto"/>
        </w:rPr>
        <w:t>吨</w:t>
      </w:r>
      <w:r w:rsidR="006D1907" w:rsidRPr="006D1907">
        <w:rPr>
          <w:rFonts w:ascii="Calibri" w:hAnsi="Calibri" w:hint="eastAsia"/>
          <w:color w:val="auto"/>
        </w:rPr>
        <w:t>/</w:t>
      </w:r>
      <w:r w:rsidR="006D1907" w:rsidRPr="006D1907">
        <w:rPr>
          <w:rFonts w:ascii="Calibri" w:hAnsi="Calibri" w:hint="eastAsia"/>
          <w:color w:val="auto"/>
        </w:rPr>
        <w:t>年间苯二甲腈项目</w:t>
      </w:r>
      <w:r w:rsidR="006D1907" w:rsidRPr="006D1907">
        <w:rPr>
          <w:rFonts w:ascii="Calibri" w:hAnsi="Calibri"/>
          <w:color w:val="auto"/>
        </w:rPr>
        <w:t>环境影响报告书</w:t>
      </w:r>
      <w:r w:rsidR="006D1907">
        <w:rPr>
          <w:rFonts w:ascii="Calibri" w:hAnsi="Calibri" w:hint="eastAsia"/>
          <w:color w:val="auto"/>
        </w:rPr>
        <w:t>》中对龚店镇的检测数据，检测单位为</w:t>
      </w:r>
      <w:r w:rsidR="006D1907" w:rsidRPr="009112EB">
        <w:rPr>
          <w:rFonts w:ascii="Calibri" w:hAnsi="Calibri" w:hint="eastAsia"/>
          <w:color w:val="auto"/>
        </w:rPr>
        <w:t>河南松筠检测技术有限公司</w:t>
      </w:r>
      <w:r w:rsidR="006D1907">
        <w:rPr>
          <w:rFonts w:ascii="Calibri" w:hAnsi="Calibri" w:hint="eastAsia"/>
          <w:color w:val="auto"/>
        </w:rPr>
        <w:t>，检测时间为</w:t>
      </w:r>
      <w:r w:rsidR="006D1907" w:rsidRPr="003F72B9">
        <w:rPr>
          <w:rFonts w:ascii="Calibri" w:hAnsi="Calibri"/>
          <w:color w:val="auto"/>
        </w:rPr>
        <w:t>20</w:t>
      </w:r>
      <w:r w:rsidR="006D1907" w:rsidRPr="003F72B9">
        <w:rPr>
          <w:rFonts w:ascii="Calibri" w:hAnsi="Calibri" w:hint="eastAsia"/>
          <w:color w:val="auto"/>
        </w:rPr>
        <w:t>2</w:t>
      </w:r>
      <w:r w:rsidR="006D1907">
        <w:rPr>
          <w:rFonts w:ascii="Calibri" w:hAnsi="Calibri" w:hint="eastAsia"/>
          <w:color w:val="auto"/>
        </w:rPr>
        <w:t>1</w:t>
      </w:r>
      <w:r w:rsidR="006D1907" w:rsidRPr="003F72B9">
        <w:rPr>
          <w:rFonts w:ascii="Calibri" w:hAnsi="Calibri"/>
          <w:color w:val="auto"/>
        </w:rPr>
        <w:t>年</w:t>
      </w:r>
      <w:r w:rsidR="006D1907">
        <w:rPr>
          <w:rFonts w:ascii="Calibri" w:hAnsi="Calibri" w:hint="eastAsia"/>
          <w:color w:val="auto"/>
        </w:rPr>
        <w:t>6</w:t>
      </w:r>
      <w:r w:rsidR="006D1907" w:rsidRPr="003F72B9">
        <w:rPr>
          <w:rFonts w:ascii="Calibri" w:hAnsi="Calibri"/>
          <w:color w:val="auto"/>
        </w:rPr>
        <w:t>月</w:t>
      </w:r>
      <w:r w:rsidR="006D1907">
        <w:rPr>
          <w:rFonts w:ascii="Calibri" w:hAnsi="Calibri" w:hint="eastAsia"/>
          <w:color w:val="auto"/>
        </w:rPr>
        <w:t>9</w:t>
      </w:r>
      <w:r w:rsidR="006D1907" w:rsidRPr="003F72B9">
        <w:rPr>
          <w:rFonts w:ascii="Calibri" w:hAnsi="Calibri"/>
          <w:color w:val="auto"/>
        </w:rPr>
        <w:t>日～</w:t>
      </w:r>
      <w:r w:rsidR="006D1907">
        <w:rPr>
          <w:rFonts w:ascii="Calibri" w:hAnsi="Calibri" w:hint="eastAsia"/>
          <w:color w:val="auto"/>
        </w:rPr>
        <w:t>6</w:t>
      </w:r>
      <w:r w:rsidR="006D1907" w:rsidRPr="003F72B9">
        <w:rPr>
          <w:rFonts w:ascii="Calibri" w:hAnsi="Calibri"/>
          <w:color w:val="auto"/>
        </w:rPr>
        <w:t>月</w:t>
      </w:r>
      <w:r w:rsidR="006D1907">
        <w:rPr>
          <w:rFonts w:ascii="Calibri" w:hAnsi="Calibri" w:hint="eastAsia"/>
          <w:color w:val="auto"/>
        </w:rPr>
        <w:t>15</w:t>
      </w:r>
      <w:r w:rsidR="006D1907" w:rsidRPr="003F72B9">
        <w:rPr>
          <w:rFonts w:ascii="Calibri" w:hAnsi="Calibri"/>
          <w:color w:val="auto"/>
        </w:rPr>
        <w:t>日，连续</w:t>
      </w:r>
      <w:r w:rsidR="006D1907" w:rsidRPr="003F72B9">
        <w:rPr>
          <w:rFonts w:ascii="Calibri" w:hAnsi="Calibri" w:hint="eastAsia"/>
          <w:color w:val="auto"/>
        </w:rPr>
        <w:t>检测</w:t>
      </w:r>
      <w:r w:rsidR="006D1907" w:rsidRPr="003F72B9">
        <w:rPr>
          <w:rFonts w:ascii="Calibri" w:hAnsi="Calibri"/>
          <w:color w:val="auto"/>
        </w:rPr>
        <w:t>7</w:t>
      </w:r>
      <w:r w:rsidR="006D1907" w:rsidRPr="003F72B9">
        <w:rPr>
          <w:rFonts w:ascii="Calibri" w:hAnsi="Calibri"/>
          <w:color w:val="auto"/>
        </w:rPr>
        <w:t>天</w:t>
      </w:r>
      <w:r w:rsidR="006D1907">
        <w:rPr>
          <w:rFonts w:ascii="Calibri" w:hAnsi="Calibri" w:hint="eastAsia"/>
          <w:color w:val="auto"/>
        </w:rPr>
        <w:t>。</w:t>
      </w:r>
      <w:r w:rsidR="006D1907" w:rsidRPr="003F72B9">
        <w:rPr>
          <w:rFonts w:ascii="Calibri" w:hAnsi="Calibri"/>
          <w:color w:val="auto"/>
        </w:rPr>
        <w:t>各检测因子检测频率见表</w:t>
      </w:r>
      <w:r w:rsidR="006D1907" w:rsidRPr="003F72B9">
        <w:rPr>
          <w:rFonts w:ascii="Calibri" w:hAnsi="Calibri"/>
          <w:color w:val="auto"/>
        </w:rPr>
        <w:t>3</w:t>
      </w:r>
      <w:r w:rsidR="006D1907">
        <w:rPr>
          <w:rFonts w:ascii="Calibri" w:hAnsi="Calibri" w:hint="eastAsia"/>
          <w:color w:val="auto"/>
        </w:rPr>
        <w:t>.3</w:t>
      </w:r>
      <w:r w:rsidR="006D1907" w:rsidRPr="003F72B9">
        <w:rPr>
          <w:rFonts w:ascii="Calibri" w:hAnsi="Calibri"/>
          <w:color w:val="auto"/>
        </w:rPr>
        <w:t>-</w:t>
      </w:r>
      <w:r w:rsidR="006D1907">
        <w:rPr>
          <w:rFonts w:ascii="Calibri" w:hAnsi="Calibri" w:hint="eastAsia"/>
          <w:color w:val="auto"/>
        </w:rPr>
        <w:t>3</w:t>
      </w:r>
      <w:r w:rsidR="006D1907" w:rsidRPr="003F72B9">
        <w:rPr>
          <w:rFonts w:ascii="Calibri" w:hAnsi="Calibri"/>
          <w:color w:val="auto"/>
        </w:rPr>
        <w:t>。</w:t>
      </w:r>
    </w:p>
    <w:p w14:paraId="50919AD1" w14:textId="77777777" w:rsidR="006D1907" w:rsidRPr="003F72B9" w:rsidRDefault="006D1907" w:rsidP="006D1907">
      <w:pPr>
        <w:pStyle w:val="00"/>
        <w:rPr>
          <w:rFonts w:ascii="Calibri" w:eastAsia="黑体" w:hAnsi="Calibri"/>
          <w:color w:val="auto"/>
        </w:rPr>
      </w:pPr>
      <w:r w:rsidRPr="003F72B9">
        <w:rPr>
          <w:rFonts w:ascii="Calibri" w:eastAsia="黑体" w:hAnsi="黑体"/>
          <w:color w:val="auto"/>
        </w:rPr>
        <w:t>表</w:t>
      </w:r>
      <w:r w:rsidRPr="003F72B9">
        <w:rPr>
          <w:rFonts w:ascii="Calibri" w:eastAsia="黑体" w:hAnsi="Calibri"/>
          <w:color w:val="auto"/>
        </w:rPr>
        <w:t>3</w:t>
      </w:r>
      <w:r>
        <w:rPr>
          <w:rFonts w:ascii="Calibri" w:eastAsia="黑体" w:hAnsi="Calibri" w:hint="eastAsia"/>
          <w:color w:val="auto"/>
        </w:rPr>
        <w:t>.3</w:t>
      </w:r>
      <w:r w:rsidRPr="003F72B9">
        <w:rPr>
          <w:rFonts w:ascii="Calibri" w:eastAsia="黑体" w:hAnsi="Calibri"/>
          <w:color w:val="auto"/>
        </w:rPr>
        <w:t>-</w:t>
      </w:r>
      <w:r>
        <w:rPr>
          <w:rFonts w:ascii="Calibri" w:eastAsia="黑体" w:hAnsi="Calibri" w:hint="eastAsia"/>
          <w:color w:val="auto"/>
        </w:rPr>
        <w:t>3</w:t>
      </w:r>
      <w:r w:rsidRPr="003F72B9">
        <w:rPr>
          <w:rFonts w:ascii="Calibri" w:eastAsia="黑体" w:hAnsi="Calibri"/>
          <w:color w:val="auto"/>
        </w:rPr>
        <w:t xml:space="preserve">      </w:t>
      </w:r>
      <w:r w:rsidRPr="003F72B9">
        <w:rPr>
          <w:rFonts w:ascii="Calibri" w:eastAsia="黑体" w:hAnsi="Calibri" w:hint="eastAsia"/>
          <w:color w:val="auto"/>
        </w:rPr>
        <w:t xml:space="preserve">     </w:t>
      </w:r>
      <w:r w:rsidRPr="003F72B9">
        <w:rPr>
          <w:rFonts w:ascii="Calibri" w:eastAsia="黑体" w:hAnsi="Calibri"/>
          <w:color w:val="auto"/>
        </w:rPr>
        <w:t xml:space="preserve">        </w:t>
      </w:r>
      <w:r w:rsidRPr="003F72B9">
        <w:rPr>
          <w:rFonts w:ascii="Calibri" w:eastAsia="黑体" w:hAnsi="黑体"/>
          <w:color w:val="auto"/>
        </w:rPr>
        <w:t>各检测因子检测频率</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999"/>
        <w:gridCol w:w="1655"/>
        <w:gridCol w:w="4046"/>
      </w:tblGrid>
      <w:tr w:rsidR="006D1907" w:rsidRPr="003F72B9" w14:paraId="6426B258" w14:textId="77777777" w:rsidTr="00A94556">
        <w:trPr>
          <w:trHeight w:val="397"/>
        </w:trPr>
        <w:tc>
          <w:tcPr>
            <w:tcW w:w="1724" w:type="pct"/>
            <w:vAlign w:val="center"/>
          </w:tcPr>
          <w:p w14:paraId="7CED246E" w14:textId="77777777" w:rsidR="006D1907" w:rsidRPr="003F72B9" w:rsidRDefault="006D1907" w:rsidP="00A94556">
            <w:pPr>
              <w:pStyle w:val="af6"/>
              <w:rPr>
                <w:rFonts w:ascii="Calibri" w:hAnsi="Calibri"/>
                <w:color w:val="auto"/>
                <w:szCs w:val="21"/>
              </w:rPr>
            </w:pPr>
            <w:r w:rsidRPr="003F72B9">
              <w:rPr>
                <w:rFonts w:ascii="Calibri" w:hAnsi="Calibri" w:hint="eastAsia"/>
                <w:color w:val="auto"/>
                <w:szCs w:val="21"/>
              </w:rPr>
              <w:t>检测项目</w:t>
            </w:r>
          </w:p>
        </w:tc>
        <w:tc>
          <w:tcPr>
            <w:tcW w:w="951" w:type="pct"/>
            <w:vAlign w:val="center"/>
          </w:tcPr>
          <w:p w14:paraId="309B8E5E" w14:textId="77777777" w:rsidR="006D1907" w:rsidRPr="003F72B9" w:rsidRDefault="006D1907" w:rsidP="00A94556">
            <w:pPr>
              <w:pStyle w:val="af6"/>
              <w:rPr>
                <w:rFonts w:ascii="Calibri" w:hAnsi="Calibri"/>
                <w:color w:val="auto"/>
                <w:szCs w:val="21"/>
              </w:rPr>
            </w:pPr>
            <w:r w:rsidRPr="003F72B9">
              <w:rPr>
                <w:rFonts w:ascii="Calibri" w:hAnsi="Calibri" w:hint="eastAsia"/>
                <w:color w:val="auto"/>
                <w:szCs w:val="21"/>
              </w:rPr>
              <w:t>取值时间</w:t>
            </w:r>
          </w:p>
        </w:tc>
        <w:tc>
          <w:tcPr>
            <w:tcW w:w="2325" w:type="pct"/>
            <w:vAlign w:val="center"/>
          </w:tcPr>
          <w:p w14:paraId="5AB1701B" w14:textId="77777777" w:rsidR="006D1907" w:rsidRPr="003F72B9" w:rsidRDefault="006D1907" w:rsidP="00A94556">
            <w:pPr>
              <w:pStyle w:val="af6"/>
              <w:rPr>
                <w:rFonts w:ascii="Calibri" w:hAnsi="Calibri"/>
                <w:color w:val="auto"/>
                <w:szCs w:val="21"/>
              </w:rPr>
            </w:pPr>
            <w:r w:rsidRPr="003F72B9">
              <w:rPr>
                <w:rFonts w:ascii="Calibri" w:hAnsi="Calibri" w:hint="eastAsia"/>
                <w:color w:val="auto"/>
                <w:szCs w:val="21"/>
              </w:rPr>
              <w:t>检测频率</w:t>
            </w:r>
          </w:p>
        </w:tc>
      </w:tr>
      <w:tr w:rsidR="006D1907" w:rsidRPr="003F72B9" w14:paraId="6C6C7B8B" w14:textId="77777777" w:rsidTr="00A94556">
        <w:trPr>
          <w:trHeight w:val="397"/>
        </w:trPr>
        <w:tc>
          <w:tcPr>
            <w:tcW w:w="1724" w:type="pct"/>
            <w:vAlign w:val="center"/>
          </w:tcPr>
          <w:p w14:paraId="3B94C172" w14:textId="77777777" w:rsidR="006D1907" w:rsidRPr="003F72B9" w:rsidRDefault="006D1907" w:rsidP="006D1907">
            <w:pPr>
              <w:pStyle w:val="af6"/>
              <w:rPr>
                <w:rFonts w:ascii="Calibri" w:hAnsi="Calibri"/>
                <w:color w:val="auto"/>
                <w:szCs w:val="21"/>
              </w:rPr>
            </w:pPr>
            <w:r>
              <w:rPr>
                <w:rFonts w:cs="Times New Roman"/>
                <w:szCs w:val="21"/>
              </w:rPr>
              <w:t>氨、硫化氢</w:t>
            </w:r>
            <w:r>
              <w:rPr>
                <w:rFonts w:cs="Times New Roman" w:hint="eastAsia"/>
                <w:szCs w:val="21"/>
              </w:rPr>
              <w:t>、</w:t>
            </w:r>
            <w:r>
              <w:rPr>
                <w:rFonts w:cs="Times New Roman"/>
                <w:szCs w:val="21"/>
              </w:rPr>
              <w:t>非甲烷总烃</w:t>
            </w:r>
          </w:p>
        </w:tc>
        <w:tc>
          <w:tcPr>
            <w:tcW w:w="951" w:type="pct"/>
            <w:vAlign w:val="center"/>
          </w:tcPr>
          <w:p w14:paraId="54CE0655" w14:textId="77777777" w:rsidR="006D1907" w:rsidRPr="003F72B9" w:rsidRDefault="006D1907" w:rsidP="00A94556">
            <w:pPr>
              <w:pStyle w:val="af6"/>
              <w:rPr>
                <w:rFonts w:ascii="Calibri" w:hAnsi="Calibri"/>
                <w:color w:val="auto"/>
              </w:rPr>
            </w:pPr>
            <w:r w:rsidRPr="003F72B9">
              <w:rPr>
                <w:rFonts w:ascii="Calibri" w:hAnsi="Calibri" w:hint="eastAsia"/>
                <w:color w:val="auto"/>
              </w:rPr>
              <w:t>1</w:t>
            </w:r>
            <w:r w:rsidRPr="003F72B9">
              <w:rPr>
                <w:rFonts w:ascii="Calibri" w:hAnsi="Calibri" w:hint="eastAsia"/>
                <w:color w:val="auto"/>
              </w:rPr>
              <w:t>小时平均</w:t>
            </w:r>
          </w:p>
        </w:tc>
        <w:tc>
          <w:tcPr>
            <w:tcW w:w="2325" w:type="pct"/>
            <w:vAlign w:val="center"/>
          </w:tcPr>
          <w:p w14:paraId="7ED5D580" w14:textId="77777777" w:rsidR="006D1907" w:rsidRPr="003F72B9" w:rsidRDefault="006D1907" w:rsidP="00A94556">
            <w:pPr>
              <w:pStyle w:val="af6"/>
              <w:rPr>
                <w:rFonts w:ascii="Calibri" w:hAnsi="Calibri"/>
                <w:color w:val="auto"/>
              </w:rPr>
            </w:pPr>
            <w:r w:rsidRPr="003F72B9">
              <w:rPr>
                <w:rFonts w:ascii="Calibri" w:hAnsi="Calibri" w:hint="eastAsia"/>
                <w:color w:val="auto"/>
              </w:rPr>
              <w:t>连续检测</w:t>
            </w:r>
            <w:r w:rsidRPr="003F72B9">
              <w:rPr>
                <w:rFonts w:ascii="Calibri" w:hAnsi="Calibri" w:hint="eastAsia"/>
                <w:color w:val="auto"/>
              </w:rPr>
              <w:t>7d</w:t>
            </w:r>
            <w:r w:rsidRPr="003F72B9">
              <w:rPr>
                <w:rFonts w:ascii="Calibri" w:hAnsi="Calibri" w:hint="eastAsia"/>
                <w:color w:val="auto"/>
              </w:rPr>
              <w:t>，每小时至少有</w:t>
            </w:r>
            <w:r w:rsidRPr="003F72B9">
              <w:rPr>
                <w:rFonts w:ascii="Calibri" w:hAnsi="Calibri" w:hint="eastAsia"/>
                <w:color w:val="auto"/>
              </w:rPr>
              <w:t>45</w:t>
            </w:r>
            <w:r w:rsidRPr="003F72B9">
              <w:rPr>
                <w:rFonts w:ascii="Calibri" w:hAnsi="Calibri" w:hint="eastAsia"/>
                <w:color w:val="auto"/>
              </w:rPr>
              <w:t>分钟的采样时间，至少包括</w:t>
            </w:r>
            <w:r w:rsidRPr="003F72B9">
              <w:rPr>
                <w:rFonts w:ascii="Calibri" w:hAnsi="Calibri" w:hint="eastAsia"/>
                <w:color w:val="auto"/>
              </w:rPr>
              <w:t>02</w:t>
            </w:r>
            <w:r w:rsidRPr="003F72B9">
              <w:rPr>
                <w:rFonts w:ascii="Calibri" w:hAnsi="Calibri" w:hint="eastAsia"/>
                <w:color w:val="auto"/>
              </w:rPr>
              <w:t>、</w:t>
            </w:r>
            <w:r w:rsidRPr="003F72B9">
              <w:rPr>
                <w:rFonts w:ascii="Calibri" w:hAnsi="Calibri" w:hint="eastAsia"/>
                <w:color w:val="auto"/>
              </w:rPr>
              <w:t>08</w:t>
            </w:r>
            <w:r w:rsidRPr="003F72B9">
              <w:rPr>
                <w:rFonts w:ascii="Calibri" w:hAnsi="Calibri" w:hint="eastAsia"/>
                <w:color w:val="auto"/>
              </w:rPr>
              <w:t>、</w:t>
            </w:r>
            <w:r w:rsidRPr="003F72B9">
              <w:rPr>
                <w:rFonts w:ascii="Calibri" w:hAnsi="Calibri" w:hint="eastAsia"/>
                <w:color w:val="auto"/>
              </w:rPr>
              <w:t>14</w:t>
            </w:r>
            <w:r w:rsidRPr="003F72B9">
              <w:rPr>
                <w:rFonts w:ascii="Calibri" w:hAnsi="Calibri" w:hint="eastAsia"/>
                <w:color w:val="auto"/>
              </w:rPr>
              <w:t>、</w:t>
            </w:r>
            <w:r w:rsidRPr="003F72B9">
              <w:rPr>
                <w:rFonts w:ascii="Calibri" w:hAnsi="Calibri" w:hint="eastAsia"/>
                <w:color w:val="auto"/>
              </w:rPr>
              <w:t>20</w:t>
            </w:r>
            <w:r w:rsidRPr="003F72B9">
              <w:rPr>
                <w:rFonts w:ascii="Calibri" w:hAnsi="Calibri" w:hint="eastAsia"/>
                <w:color w:val="auto"/>
              </w:rPr>
              <w:t>时</w:t>
            </w:r>
            <w:r w:rsidRPr="003F72B9">
              <w:rPr>
                <w:rFonts w:ascii="Calibri" w:hAnsi="Calibri" w:hint="eastAsia"/>
                <w:color w:val="auto"/>
              </w:rPr>
              <w:t>4</w:t>
            </w:r>
            <w:r w:rsidRPr="003F72B9">
              <w:rPr>
                <w:rFonts w:ascii="Calibri" w:hAnsi="Calibri" w:hint="eastAsia"/>
                <w:color w:val="auto"/>
              </w:rPr>
              <w:t>个小时的浓度值</w:t>
            </w:r>
          </w:p>
        </w:tc>
      </w:tr>
    </w:tbl>
    <w:p w14:paraId="18CC8101" w14:textId="77777777" w:rsidR="006D1907" w:rsidRPr="003F72B9" w:rsidRDefault="006D1907" w:rsidP="006D1907">
      <w:pPr>
        <w:pStyle w:val="000"/>
        <w:rPr>
          <w:rFonts w:cs="Calibri"/>
        </w:rPr>
      </w:pPr>
      <w:r w:rsidRPr="003F72B9">
        <w:rPr>
          <w:rFonts w:cs="Calibri"/>
        </w:rPr>
        <w:lastRenderedPageBreak/>
        <w:t>备注：小时均值浓度监测值应符合《环境空气质量标准》（</w:t>
      </w:r>
      <w:r w:rsidRPr="003F72B9">
        <w:rPr>
          <w:rFonts w:cs="Calibri"/>
        </w:rPr>
        <w:t>GB3095-2012</w:t>
      </w:r>
      <w:r w:rsidRPr="003F72B9">
        <w:rPr>
          <w:rFonts w:cs="Calibri"/>
        </w:rPr>
        <w:t>）对数据的有效性规定。</w:t>
      </w:r>
    </w:p>
    <w:p w14:paraId="787DC06D" w14:textId="77777777" w:rsidR="006D1907" w:rsidRPr="003F72B9" w:rsidRDefault="006D1907" w:rsidP="006D1907">
      <w:pPr>
        <w:pStyle w:val="00"/>
        <w:rPr>
          <w:rFonts w:ascii="Calibri" w:hAnsi="Calibri"/>
          <w:b/>
          <w:color w:val="auto"/>
        </w:rPr>
      </w:pPr>
      <w:r w:rsidRPr="003F72B9">
        <w:rPr>
          <w:rFonts w:ascii="Calibri" w:hAnsi="Calibri" w:hint="eastAsia"/>
          <w:b/>
          <w:color w:val="auto"/>
        </w:rPr>
        <w:t>4</w:t>
      </w:r>
      <w:r w:rsidRPr="003F72B9">
        <w:rPr>
          <w:rFonts w:ascii="Calibri" w:hAnsi="Calibri" w:hint="eastAsia"/>
          <w:b/>
          <w:color w:val="auto"/>
        </w:rPr>
        <w:t>、检测分析方法</w:t>
      </w:r>
    </w:p>
    <w:p w14:paraId="0B4C173A" w14:textId="77777777" w:rsidR="006D1907" w:rsidRPr="003F72B9" w:rsidRDefault="006D1907" w:rsidP="006D1907">
      <w:pPr>
        <w:pStyle w:val="000"/>
      </w:pPr>
      <w:r w:rsidRPr="003F72B9">
        <w:rPr>
          <w:rFonts w:hint="eastAsia"/>
        </w:rPr>
        <w:t>根据《环境监测技术规范》（大气部分）和《空气和废气监测分析方法》要求进行监测，环境空气监测因子及检测分析方法见表</w:t>
      </w:r>
      <w:r w:rsidRPr="003F72B9">
        <w:rPr>
          <w:rFonts w:hint="eastAsia"/>
        </w:rPr>
        <w:t>3</w:t>
      </w:r>
      <w:r>
        <w:rPr>
          <w:rFonts w:hint="eastAsia"/>
        </w:rPr>
        <w:t>.3</w:t>
      </w:r>
      <w:r w:rsidRPr="003F72B9">
        <w:rPr>
          <w:rFonts w:hint="eastAsia"/>
        </w:rPr>
        <w:t>-</w:t>
      </w:r>
      <w:r>
        <w:rPr>
          <w:rFonts w:hint="eastAsia"/>
        </w:rPr>
        <w:t>4</w:t>
      </w:r>
      <w:r w:rsidRPr="003F72B9">
        <w:rPr>
          <w:rFonts w:hint="eastAsia"/>
        </w:rPr>
        <w:t>。</w:t>
      </w:r>
    </w:p>
    <w:p w14:paraId="0123C8D7" w14:textId="77777777" w:rsidR="006D1907" w:rsidRPr="003F72B9" w:rsidRDefault="006D1907" w:rsidP="006D1907">
      <w:pPr>
        <w:pStyle w:val="000"/>
        <w:rPr>
          <w:rFonts w:eastAsia="黑体"/>
        </w:rPr>
      </w:pPr>
      <w:r w:rsidRPr="003F72B9">
        <w:rPr>
          <w:rFonts w:eastAsia="黑体"/>
        </w:rPr>
        <w:t>表</w:t>
      </w:r>
      <w:r w:rsidRPr="003F72B9">
        <w:rPr>
          <w:rFonts w:eastAsia="黑体" w:hint="eastAsia"/>
        </w:rPr>
        <w:t>3</w:t>
      </w:r>
      <w:r>
        <w:rPr>
          <w:rFonts w:eastAsia="黑体" w:hint="eastAsia"/>
        </w:rPr>
        <w:t>.3</w:t>
      </w:r>
      <w:r w:rsidRPr="003F72B9">
        <w:rPr>
          <w:rFonts w:eastAsia="黑体" w:hint="eastAsia"/>
        </w:rPr>
        <w:t>-</w:t>
      </w:r>
      <w:r>
        <w:rPr>
          <w:rFonts w:eastAsia="黑体" w:hint="eastAsia"/>
        </w:rPr>
        <w:t>4</w:t>
      </w:r>
      <w:r w:rsidRPr="003F72B9">
        <w:rPr>
          <w:rFonts w:eastAsia="黑体"/>
        </w:rPr>
        <w:t xml:space="preserve">       </w:t>
      </w:r>
      <w:r w:rsidRPr="003F72B9">
        <w:rPr>
          <w:rFonts w:eastAsia="黑体" w:hint="eastAsia"/>
        </w:rPr>
        <w:t xml:space="preserve">  </w:t>
      </w:r>
      <w:r w:rsidRPr="003F72B9">
        <w:rPr>
          <w:rFonts w:eastAsia="黑体"/>
        </w:rPr>
        <w:t xml:space="preserve">      </w:t>
      </w:r>
      <w:r w:rsidRPr="003F72B9">
        <w:rPr>
          <w:rFonts w:eastAsia="黑体"/>
        </w:rPr>
        <w:t>环境空气</w:t>
      </w:r>
      <w:r w:rsidRPr="003F72B9">
        <w:rPr>
          <w:rFonts w:eastAsia="黑体" w:hint="eastAsia"/>
        </w:rPr>
        <w:t>检测</w:t>
      </w:r>
      <w:r w:rsidRPr="003F72B9">
        <w:rPr>
          <w:rFonts w:eastAsia="黑体"/>
        </w:rPr>
        <w:t>分析方法一览表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2"/>
        <w:gridCol w:w="1282"/>
        <w:gridCol w:w="4912"/>
        <w:gridCol w:w="1794"/>
      </w:tblGrid>
      <w:tr w:rsidR="006D1907" w:rsidRPr="003F72B9" w14:paraId="62E4CB48" w14:textId="77777777" w:rsidTr="00A94556">
        <w:trPr>
          <w:trHeight w:val="397"/>
        </w:trPr>
        <w:tc>
          <w:tcPr>
            <w:tcW w:w="409" w:type="pct"/>
            <w:tcBorders>
              <w:right w:val="single" w:sz="2" w:space="0" w:color="auto"/>
            </w:tcBorders>
            <w:tcMar>
              <w:left w:w="28" w:type="dxa"/>
              <w:right w:w="28" w:type="dxa"/>
            </w:tcMar>
            <w:vAlign w:val="center"/>
          </w:tcPr>
          <w:p w14:paraId="54DC9F7E" w14:textId="77777777" w:rsidR="006D1907" w:rsidRPr="003F72B9" w:rsidRDefault="006D1907" w:rsidP="00A94556">
            <w:pPr>
              <w:pStyle w:val="a1"/>
              <w:spacing w:before="24"/>
              <w:ind w:firstLine="0"/>
              <w:jc w:val="center"/>
              <w:rPr>
                <w:rFonts w:ascii="Calibri" w:hAnsi="Calibri"/>
                <w:bCs/>
                <w:color w:val="auto"/>
                <w:szCs w:val="21"/>
              </w:rPr>
            </w:pPr>
            <w:r w:rsidRPr="003F72B9">
              <w:rPr>
                <w:rFonts w:ascii="Calibri" w:hAnsi="Calibri"/>
                <w:bCs/>
                <w:color w:val="auto"/>
                <w:szCs w:val="21"/>
              </w:rPr>
              <w:t>序号</w:t>
            </w:r>
          </w:p>
        </w:tc>
        <w:tc>
          <w:tcPr>
            <w:tcW w:w="737" w:type="pct"/>
            <w:tcBorders>
              <w:left w:val="single" w:sz="2" w:space="0" w:color="auto"/>
            </w:tcBorders>
            <w:tcMar>
              <w:left w:w="28" w:type="dxa"/>
              <w:right w:w="28" w:type="dxa"/>
            </w:tcMar>
            <w:vAlign w:val="center"/>
          </w:tcPr>
          <w:p w14:paraId="2EDF983E" w14:textId="77777777" w:rsidR="006D1907" w:rsidRPr="004E515D" w:rsidRDefault="006D1907" w:rsidP="00A94556">
            <w:pPr>
              <w:pStyle w:val="a1"/>
              <w:spacing w:before="24"/>
              <w:ind w:firstLine="0"/>
              <w:jc w:val="center"/>
              <w:rPr>
                <w:rFonts w:ascii="Calibri" w:hAnsi="Calibri"/>
                <w:bCs/>
                <w:color w:val="auto"/>
                <w:szCs w:val="21"/>
              </w:rPr>
            </w:pPr>
            <w:r w:rsidRPr="004E515D">
              <w:rPr>
                <w:rFonts w:ascii="Calibri" w:hAnsi="Calibri"/>
                <w:bCs/>
                <w:color w:val="auto"/>
                <w:szCs w:val="21"/>
              </w:rPr>
              <w:t>项目</w:t>
            </w:r>
          </w:p>
        </w:tc>
        <w:tc>
          <w:tcPr>
            <w:tcW w:w="2823" w:type="pct"/>
            <w:tcMar>
              <w:left w:w="28" w:type="dxa"/>
              <w:right w:w="28" w:type="dxa"/>
            </w:tcMar>
            <w:vAlign w:val="center"/>
          </w:tcPr>
          <w:p w14:paraId="52E03DF1" w14:textId="77777777" w:rsidR="006D1907" w:rsidRPr="004E515D" w:rsidRDefault="006D1907" w:rsidP="00A94556">
            <w:pPr>
              <w:pStyle w:val="a1"/>
              <w:tabs>
                <w:tab w:val="left" w:pos="7560"/>
              </w:tabs>
              <w:spacing w:before="24"/>
              <w:ind w:firstLine="0"/>
              <w:jc w:val="center"/>
              <w:rPr>
                <w:rFonts w:ascii="Calibri" w:hAnsi="Calibri"/>
                <w:bCs/>
                <w:color w:val="auto"/>
                <w:szCs w:val="21"/>
              </w:rPr>
            </w:pPr>
            <w:r w:rsidRPr="004E515D">
              <w:rPr>
                <w:rFonts w:ascii="Calibri" w:hAnsi="Calibri"/>
                <w:bCs/>
                <w:color w:val="auto"/>
                <w:szCs w:val="21"/>
              </w:rPr>
              <w:t>监测标准</w:t>
            </w:r>
          </w:p>
        </w:tc>
        <w:tc>
          <w:tcPr>
            <w:tcW w:w="1031" w:type="pct"/>
            <w:tcMar>
              <w:left w:w="28" w:type="dxa"/>
              <w:right w:w="28" w:type="dxa"/>
            </w:tcMar>
            <w:vAlign w:val="center"/>
          </w:tcPr>
          <w:p w14:paraId="7FB521F6" w14:textId="77777777" w:rsidR="006D1907" w:rsidRPr="004E515D" w:rsidRDefault="006D1907" w:rsidP="00A94556">
            <w:pPr>
              <w:pStyle w:val="a1"/>
              <w:tabs>
                <w:tab w:val="left" w:pos="7560"/>
              </w:tabs>
              <w:spacing w:before="24"/>
              <w:ind w:firstLine="0"/>
              <w:jc w:val="center"/>
              <w:rPr>
                <w:rFonts w:ascii="Calibri" w:hAnsi="Calibri"/>
                <w:bCs/>
                <w:color w:val="auto"/>
                <w:szCs w:val="21"/>
              </w:rPr>
            </w:pPr>
            <w:r w:rsidRPr="004E515D">
              <w:rPr>
                <w:rFonts w:ascii="Calibri" w:hAnsi="Calibri"/>
                <w:bCs/>
                <w:color w:val="auto"/>
                <w:szCs w:val="21"/>
              </w:rPr>
              <w:t>最低检出限</w:t>
            </w:r>
          </w:p>
        </w:tc>
      </w:tr>
      <w:tr w:rsidR="006D1907" w:rsidRPr="003F72B9" w14:paraId="54592E59" w14:textId="77777777" w:rsidTr="00A94556">
        <w:trPr>
          <w:trHeight w:val="397"/>
        </w:trPr>
        <w:tc>
          <w:tcPr>
            <w:tcW w:w="409" w:type="pct"/>
            <w:tcBorders>
              <w:right w:val="single" w:sz="2" w:space="0" w:color="auto"/>
            </w:tcBorders>
            <w:tcMar>
              <w:left w:w="28" w:type="dxa"/>
              <w:right w:w="28" w:type="dxa"/>
            </w:tcMar>
            <w:vAlign w:val="center"/>
          </w:tcPr>
          <w:p w14:paraId="7E577F2A" w14:textId="77777777" w:rsidR="006D1907" w:rsidRPr="003F72B9" w:rsidRDefault="006D1907" w:rsidP="00A94556">
            <w:pPr>
              <w:pStyle w:val="a1"/>
              <w:spacing w:before="24"/>
              <w:ind w:firstLine="0"/>
              <w:jc w:val="center"/>
              <w:rPr>
                <w:rFonts w:ascii="Calibri" w:hAnsi="Calibri"/>
                <w:color w:val="auto"/>
                <w:szCs w:val="21"/>
              </w:rPr>
            </w:pPr>
            <w:r w:rsidRPr="003F72B9">
              <w:rPr>
                <w:rFonts w:ascii="Calibri" w:hAnsi="Calibri" w:hint="eastAsia"/>
                <w:color w:val="auto"/>
                <w:szCs w:val="21"/>
              </w:rPr>
              <w:t>1</w:t>
            </w:r>
          </w:p>
        </w:tc>
        <w:tc>
          <w:tcPr>
            <w:tcW w:w="737" w:type="pct"/>
            <w:tcBorders>
              <w:left w:val="single" w:sz="2" w:space="0" w:color="auto"/>
            </w:tcBorders>
            <w:tcMar>
              <w:left w:w="28" w:type="dxa"/>
              <w:right w:w="28" w:type="dxa"/>
            </w:tcMar>
            <w:vAlign w:val="center"/>
          </w:tcPr>
          <w:p w14:paraId="7DB671AE" w14:textId="77777777" w:rsidR="006D1907" w:rsidRPr="004E515D" w:rsidRDefault="006D1907" w:rsidP="00A94556">
            <w:pPr>
              <w:widowControl/>
              <w:jc w:val="center"/>
              <w:textAlignment w:val="center"/>
              <w:rPr>
                <w:rFonts w:ascii="Calibri" w:hAnsi="Calibri" w:cs="Times New Roman"/>
                <w:color w:val="auto"/>
                <w:kern w:val="0"/>
                <w:szCs w:val="21"/>
                <w:lang w:bidi="ar"/>
              </w:rPr>
            </w:pPr>
            <w:r w:rsidRPr="004E515D">
              <w:rPr>
                <w:rFonts w:ascii="Calibri" w:cs="Times New Roman"/>
                <w:color w:val="auto"/>
                <w:kern w:val="0"/>
                <w:szCs w:val="21"/>
                <w:lang w:bidi="ar"/>
              </w:rPr>
              <w:t>氨</w:t>
            </w:r>
          </w:p>
        </w:tc>
        <w:tc>
          <w:tcPr>
            <w:tcW w:w="2823" w:type="pct"/>
            <w:tcMar>
              <w:left w:w="28" w:type="dxa"/>
              <w:right w:w="28" w:type="dxa"/>
            </w:tcMar>
            <w:vAlign w:val="center"/>
          </w:tcPr>
          <w:p w14:paraId="5B341120" w14:textId="77777777" w:rsidR="006D1907" w:rsidRDefault="006D1907" w:rsidP="00A94556">
            <w:pPr>
              <w:widowControl/>
              <w:tabs>
                <w:tab w:val="left" w:pos="530"/>
                <w:tab w:val="center" w:pos="1193"/>
              </w:tabs>
              <w:jc w:val="center"/>
              <w:textAlignment w:val="center"/>
              <w:rPr>
                <w:rFonts w:ascii="Calibri" w:cs="Times New Roman"/>
                <w:color w:val="auto"/>
                <w:kern w:val="0"/>
                <w:szCs w:val="21"/>
                <w:lang w:bidi="ar"/>
              </w:rPr>
            </w:pPr>
            <w:r w:rsidRPr="004E515D">
              <w:rPr>
                <w:rFonts w:ascii="Calibri" w:cs="Times New Roman"/>
                <w:color w:val="auto"/>
                <w:kern w:val="0"/>
                <w:szCs w:val="21"/>
                <w:lang w:bidi="ar"/>
              </w:rPr>
              <w:t>环境空气</w:t>
            </w:r>
            <w:r w:rsidRPr="004E515D">
              <w:rPr>
                <w:rFonts w:ascii="Calibri" w:hAnsi="Calibri" w:cs="Times New Roman"/>
                <w:color w:val="auto"/>
                <w:kern w:val="0"/>
                <w:szCs w:val="21"/>
                <w:lang w:bidi="ar"/>
              </w:rPr>
              <w:t xml:space="preserve"> </w:t>
            </w:r>
            <w:r w:rsidRPr="004E515D">
              <w:rPr>
                <w:rFonts w:ascii="Calibri" w:cs="Times New Roman"/>
                <w:color w:val="auto"/>
                <w:kern w:val="0"/>
                <w:szCs w:val="21"/>
                <w:lang w:bidi="ar"/>
              </w:rPr>
              <w:t>氨的测定</w:t>
            </w:r>
            <w:r w:rsidRPr="004E515D">
              <w:rPr>
                <w:rFonts w:ascii="Calibri" w:hAnsi="Calibri" w:cs="Times New Roman"/>
                <w:color w:val="auto"/>
                <w:kern w:val="0"/>
                <w:szCs w:val="21"/>
                <w:lang w:bidi="ar"/>
              </w:rPr>
              <w:t xml:space="preserve"> </w:t>
            </w:r>
            <w:r w:rsidRPr="004E515D">
              <w:rPr>
                <w:rFonts w:ascii="Calibri" w:cs="Times New Roman"/>
                <w:color w:val="auto"/>
                <w:kern w:val="0"/>
                <w:szCs w:val="21"/>
                <w:lang w:bidi="ar"/>
              </w:rPr>
              <w:t>次氯酸钠</w:t>
            </w:r>
            <w:r w:rsidRPr="004E515D">
              <w:rPr>
                <w:rFonts w:ascii="Calibri" w:hAnsi="Calibri" w:cs="Times New Roman"/>
                <w:color w:val="auto"/>
                <w:kern w:val="0"/>
                <w:szCs w:val="21"/>
                <w:lang w:bidi="ar"/>
              </w:rPr>
              <w:t>-</w:t>
            </w:r>
            <w:r w:rsidRPr="004E515D">
              <w:rPr>
                <w:rFonts w:ascii="Calibri" w:cs="Times New Roman"/>
                <w:color w:val="auto"/>
                <w:kern w:val="0"/>
                <w:szCs w:val="21"/>
                <w:lang w:bidi="ar"/>
              </w:rPr>
              <w:t>水杨酸分光光度法</w:t>
            </w:r>
          </w:p>
          <w:p w14:paraId="7781EEA2" w14:textId="77777777" w:rsidR="006D1907" w:rsidRPr="004E515D" w:rsidRDefault="006D1907" w:rsidP="00A94556">
            <w:pPr>
              <w:widowControl/>
              <w:tabs>
                <w:tab w:val="left" w:pos="530"/>
                <w:tab w:val="center" w:pos="1193"/>
              </w:tabs>
              <w:jc w:val="center"/>
              <w:textAlignment w:val="center"/>
              <w:rPr>
                <w:rFonts w:ascii="Calibri" w:hAnsi="Calibri" w:cs="Times New Roman"/>
                <w:color w:val="auto"/>
                <w:kern w:val="0"/>
                <w:szCs w:val="21"/>
                <w:lang w:bidi="ar"/>
              </w:rPr>
            </w:pPr>
            <w:r>
              <w:rPr>
                <w:rFonts w:ascii="Calibri" w:hAnsi="Calibri" w:cs="Times New Roman"/>
                <w:color w:val="auto"/>
                <w:kern w:val="0"/>
                <w:szCs w:val="21"/>
                <w:lang w:bidi="ar"/>
              </w:rPr>
              <w:t>HJ</w:t>
            </w:r>
            <w:r w:rsidRPr="004E515D">
              <w:rPr>
                <w:rFonts w:ascii="Calibri" w:hAnsi="Calibri" w:cs="Times New Roman"/>
                <w:color w:val="auto"/>
                <w:kern w:val="0"/>
                <w:szCs w:val="21"/>
                <w:lang w:bidi="ar"/>
              </w:rPr>
              <w:t>534-2009</w:t>
            </w:r>
          </w:p>
        </w:tc>
        <w:tc>
          <w:tcPr>
            <w:tcW w:w="1031" w:type="pct"/>
            <w:tcMar>
              <w:left w:w="28" w:type="dxa"/>
              <w:right w:w="28" w:type="dxa"/>
            </w:tcMar>
            <w:vAlign w:val="center"/>
          </w:tcPr>
          <w:p w14:paraId="4EACC046" w14:textId="77777777" w:rsidR="006D1907" w:rsidRPr="004E515D" w:rsidRDefault="006D1907" w:rsidP="00A94556">
            <w:pPr>
              <w:tabs>
                <w:tab w:val="left" w:pos="7560"/>
              </w:tabs>
              <w:jc w:val="center"/>
              <w:rPr>
                <w:rFonts w:ascii="Calibri" w:hAnsi="Calibri"/>
                <w:bCs/>
                <w:color w:val="auto"/>
                <w:szCs w:val="21"/>
              </w:rPr>
            </w:pPr>
            <w:r w:rsidRPr="004E515D">
              <w:rPr>
                <w:rFonts w:ascii="Calibri" w:hAnsi="Calibri"/>
                <w:bCs/>
                <w:color w:val="auto"/>
                <w:szCs w:val="21"/>
              </w:rPr>
              <w:t>0.004mg/m</w:t>
            </w:r>
            <w:r w:rsidRPr="004E515D">
              <w:rPr>
                <w:rFonts w:ascii="Calibri" w:hAnsi="Calibri"/>
                <w:bCs/>
                <w:color w:val="auto"/>
                <w:szCs w:val="21"/>
                <w:vertAlign w:val="superscript"/>
              </w:rPr>
              <w:t>3</w:t>
            </w:r>
          </w:p>
        </w:tc>
      </w:tr>
      <w:tr w:rsidR="006D1907" w:rsidRPr="003F72B9" w14:paraId="402214F5" w14:textId="77777777" w:rsidTr="00A94556">
        <w:trPr>
          <w:trHeight w:val="397"/>
        </w:trPr>
        <w:tc>
          <w:tcPr>
            <w:tcW w:w="409" w:type="pct"/>
            <w:tcBorders>
              <w:right w:val="single" w:sz="2" w:space="0" w:color="auto"/>
            </w:tcBorders>
            <w:tcMar>
              <w:left w:w="28" w:type="dxa"/>
              <w:right w:w="28" w:type="dxa"/>
            </w:tcMar>
            <w:vAlign w:val="center"/>
          </w:tcPr>
          <w:p w14:paraId="7C53DBE7" w14:textId="77777777" w:rsidR="006D1907" w:rsidRPr="003F72B9" w:rsidRDefault="006D1907" w:rsidP="00A94556">
            <w:pPr>
              <w:pStyle w:val="a1"/>
              <w:spacing w:before="24"/>
              <w:ind w:firstLine="0"/>
              <w:jc w:val="center"/>
              <w:rPr>
                <w:rFonts w:ascii="Calibri" w:hAnsi="Calibri"/>
                <w:color w:val="auto"/>
                <w:szCs w:val="21"/>
              </w:rPr>
            </w:pPr>
            <w:r>
              <w:rPr>
                <w:rFonts w:ascii="Calibri" w:hAnsi="Calibri"/>
                <w:color w:val="auto"/>
                <w:szCs w:val="21"/>
              </w:rPr>
              <w:t>2</w:t>
            </w:r>
          </w:p>
        </w:tc>
        <w:tc>
          <w:tcPr>
            <w:tcW w:w="737" w:type="pct"/>
            <w:tcBorders>
              <w:left w:val="single" w:sz="2" w:space="0" w:color="auto"/>
            </w:tcBorders>
            <w:tcMar>
              <w:left w:w="28" w:type="dxa"/>
              <w:right w:w="28" w:type="dxa"/>
            </w:tcMar>
            <w:vAlign w:val="center"/>
          </w:tcPr>
          <w:p w14:paraId="38282960" w14:textId="77777777" w:rsidR="006D1907" w:rsidRPr="004E515D" w:rsidRDefault="006D1907" w:rsidP="00A94556">
            <w:pPr>
              <w:widowControl/>
              <w:tabs>
                <w:tab w:val="left" w:pos="530"/>
                <w:tab w:val="center" w:pos="1193"/>
              </w:tabs>
              <w:jc w:val="center"/>
              <w:textAlignment w:val="center"/>
              <w:rPr>
                <w:rFonts w:ascii="Calibri" w:hAnsi="Calibri" w:cs="Times New Roman"/>
                <w:szCs w:val="21"/>
              </w:rPr>
            </w:pPr>
            <w:r w:rsidRPr="004E515D">
              <w:rPr>
                <w:rFonts w:ascii="Calibri" w:cs="Times New Roman"/>
                <w:szCs w:val="21"/>
              </w:rPr>
              <w:t>硫化氢</w:t>
            </w:r>
          </w:p>
        </w:tc>
        <w:tc>
          <w:tcPr>
            <w:tcW w:w="2823" w:type="pct"/>
            <w:tcMar>
              <w:left w:w="28" w:type="dxa"/>
              <w:right w:w="28" w:type="dxa"/>
            </w:tcMar>
            <w:vAlign w:val="center"/>
          </w:tcPr>
          <w:p w14:paraId="77C81679" w14:textId="77777777" w:rsidR="006D1907" w:rsidRPr="004E515D" w:rsidRDefault="006D1907" w:rsidP="00A94556">
            <w:pPr>
              <w:widowControl/>
              <w:tabs>
                <w:tab w:val="left" w:pos="530"/>
                <w:tab w:val="center" w:pos="1193"/>
              </w:tabs>
              <w:jc w:val="center"/>
              <w:textAlignment w:val="center"/>
              <w:rPr>
                <w:rFonts w:ascii="Calibri" w:hAnsi="Calibri" w:cs="Times New Roman"/>
                <w:color w:val="auto"/>
                <w:kern w:val="0"/>
                <w:szCs w:val="21"/>
                <w:lang w:bidi="ar"/>
              </w:rPr>
            </w:pPr>
            <w:r w:rsidRPr="004E515D">
              <w:rPr>
                <w:rFonts w:ascii="Calibri" w:cs="Times New Roman"/>
                <w:color w:val="auto"/>
                <w:kern w:val="0"/>
                <w:szCs w:val="21"/>
                <w:lang w:bidi="ar"/>
              </w:rPr>
              <w:t>《空气和废气监测分析方法》（第四版增补版）第五篇</w:t>
            </w:r>
            <w:r w:rsidRPr="004E515D">
              <w:rPr>
                <w:rFonts w:ascii="Calibri" w:hAnsi="Calibri" w:cs="Times New Roman"/>
                <w:color w:val="auto"/>
                <w:kern w:val="0"/>
                <w:szCs w:val="21"/>
                <w:lang w:bidi="ar"/>
              </w:rPr>
              <w:t xml:space="preserve"> </w:t>
            </w:r>
            <w:r w:rsidRPr="004E515D">
              <w:rPr>
                <w:rFonts w:ascii="Calibri" w:cs="Times New Roman"/>
                <w:color w:val="auto"/>
                <w:kern w:val="0"/>
                <w:szCs w:val="21"/>
                <w:lang w:bidi="ar"/>
              </w:rPr>
              <w:t>第四章</w:t>
            </w:r>
            <w:r w:rsidRPr="004E515D">
              <w:rPr>
                <w:rFonts w:ascii="Calibri" w:hAnsi="Calibri" w:cs="Times New Roman"/>
                <w:color w:val="auto"/>
                <w:kern w:val="0"/>
                <w:szCs w:val="21"/>
                <w:lang w:bidi="ar"/>
              </w:rPr>
              <w:t xml:space="preserve"> </w:t>
            </w:r>
            <w:r w:rsidRPr="004E515D">
              <w:rPr>
                <w:rFonts w:ascii="Calibri" w:cs="Times New Roman"/>
                <w:color w:val="auto"/>
                <w:kern w:val="0"/>
                <w:szCs w:val="21"/>
                <w:lang w:bidi="ar"/>
              </w:rPr>
              <w:t>十（三）（亚甲基蓝分光光度法）</w:t>
            </w:r>
          </w:p>
        </w:tc>
        <w:tc>
          <w:tcPr>
            <w:tcW w:w="1031" w:type="pct"/>
            <w:tcMar>
              <w:left w:w="28" w:type="dxa"/>
              <w:right w:w="28" w:type="dxa"/>
            </w:tcMar>
            <w:vAlign w:val="center"/>
          </w:tcPr>
          <w:p w14:paraId="52130E8D" w14:textId="77777777" w:rsidR="006D1907" w:rsidRPr="004E515D" w:rsidRDefault="006D1907" w:rsidP="00A94556">
            <w:pPr>
              <w:widowControl/>
              <w:jc w:val="center"/>
              <w:textAlignment w:val="center"/>
              <w:rPr>
                <w:rFonts w:ascii="Calibri" w:hAnsi="Calibri" w:cs="Times New Roman"/>
                <w:color w:val="auto"/>
                <w:kern w:val="0"/>
                <w:szCs w:val="21"/>
                <w:lang w:bidi="ar"/>
              </w:rPr>
            </w:pPr>
            <w:r w:rsidRPr="004E515D">
              <w:rPr>
                <w:rFonts w:ascii="Calibri" w:hAnsi="Calibri" w:cs="Times New Roman"/>
                <w:color w:val="auto"/>
                <w:kern w:val="0"/>
                <w:szCs w:val="21"/>
                <w:lang w:bidi="ar"/>
              </w:rPr>
              <w:t>0.001mg/m</w:t>
            </w:r>
            <w:r w:rsidRPr="004E515D">
              <w:rPr>
                <w:rFonts w:ascii="Calibri" w:hAnsi="Calibri" w:cs="Times New Roman"/>
                <w:color w:val="auto"/>
                <w:kern w:val="0"/>
                <w:szCs w:val="21"/>
                <w:vertAlign w:val="superscript"/>
                <w:lang w:bidi="ar"/>
              </w:rPr>
              <w:t>3</w:t>
            </w:r>
          </w:p>
        </w:tc>
      </w:tr>
      <w:tr w:rsidR="006D1907" w:rsidRPr="003F72B9" w14:paraId="0D5981D9" w14:textId="77777777" w:rsidTr="00A94556">
        <w:trPr>
          <w:trHeight w:val="397"/>
        </w:trPr>
        <w:tc>
          <w:tcPr>
            <w:tcW w:w="409" w:type="pct"/>
            <w:tcBorders>
              <w:right w:val="single" w:sz="2" w:space="0" w:color="auto"/>
            </w:tcBorders>
            <w:tcMar>
              <w:left w:w="28" w:type="dxa"/>
              <w:right w:w="28" w:type="dxa"/>
            </w:tcMar>
            <w:vAlign w:val="center"/>
          </w:tcPr>
          <w:p w14:paraId="768ADDC2" w14:textId="77777777" w:rsidR="006D1907" w:rsidRPr="003F72B9" w:rsidRDefault="006D1907" w:rsidP="00A94556">
            <w:pPr>
              <w:pStyle w:val="a1"/>
              <w:spacing w:before="24"/>
              <w:ind w:firstLine="0"/>
              <w:jc w:val="center"/>
              <w:rPr>
                <w:rFonts w:ascii="Calibri" w:hAnsi="Calibri"/>
                <w:color w:val="auto"/>
                <w:szCs w:val="21"/>
              </w:rPr>
            </w:pPr>
            <w:r>
              <w:rPr>
                <w:rFonts w:ascii="Calibri" w:hAnsi="Calibri"/>
                <w:color w:val="auto"/>
                <w:szCs w:val="21"/>
              </w:rPr>
              <w:t>3</w:t>
            </w:r>
          </w:p>
        </w:tc>
        <w:tc>
          <w:tcPr>
            <w:tcW w:w="737" w:type="pct"/>
            <w:tcBorders>
              <w:left w:val="single" w:sz="2" w:space="0" w:color="auto"/>
            </w:tcBorders>
            <w:tcMar>
              <w:left w:w="28" w:type="dxa"/>
              <w:right w:w="28" w:type="dxa"/>
            </w:tcMar>
            <w:vAlign w:val="center"/>
          </w:tcPr>
          <w:p w14:paraId="486A44C0" w14:textId="77777777" w:rsidR="006D1907" w:rsidRPr="004E515D" w:rsidRDefault="006D1907" w:rsidP="00A94556">
            <w:pPr>
              <w:widowControl/>
              <w:tabs>
                <w:tab w:val="left" w:pos="530"/>
                <w:tab w:val="center" w:pos="1193"/>
              </w:tabs>
              <w:jc w:val="center"/>
              <w:textAlignment w:val="center"/>
              <w:rPr>
                <w:rFonts w:ascii="Calibri" w:hAnsi="Calibri" w:cs="Times New Roman"/>
                <w:szCs w:val="21"/>
              </w:rPr>
            </w:pPr>
            <w:r w:rsidRPr="004E515D">
              <w:rPr>
                <w:rFonts w:ascii="Calibri" w:cs="Times New Roman"/>
                <w:szCs w:val="21"/>
              </w:rPr>
              <w:t>非甲烷总烃</w:t>
            </w:r>
          </w:p>
        </w:tc>
        <w:tc>
          <w:tcPr>
            <w:tcW w:w="2823" w:type="pct"/>
            <w:tcMar>
              <w:left w:w="28" w:type="dxa"/>
              <w:right w:w="28" w:type="dxa"/>
            </w:tcMar>
            <w:vAlign w:val="center"/>
          </w:tcPr>
          <w:p w14:paraId="2FDC5B88" w14:textId="77777777" w:rsidR="006D1907" w:rsidRPr="004E515D" w:rsidRDefault="00217891" w:rsidP="00A94556">
            <w:pPr>
              <w:widowControl/>
              <w:jc w:val="center"/>
              <w:textAlignment w:val="center"/>
              <w:rPr>
                <w:rFonts w:ascii="Calibri" w:hAnsi="Calibri" w:cs="Times New Roman"/>
                <w:color w:val="auto"/>
                <w:kern w:val="0"/>
                <w:szCs w:val="21"/>
                <w:lang w:bidi="ar"/>
              </w:rPr>
            </w:pPr>
            <w:hyperlink r:id="rId30" w:history="1">
              <w:r w:rsidR="006D1907" w:rsidRPr="004E515D">
                <w:rPr>
                  <w:rFonts w:ascii="Calibri" w:cs="Times New Roman"/>
                  <w:color w:val="auto"/>
                  <w:kern w:val="0"/>
                  <w:szCs w:val="21"/>
                  <w:lang w:bidi="ar"/>
                </w:rPr>
                <w:t>环境空气</w:t>
              </w:r>
              <w:r w:rsidR="006D1907" w:rsidRPr="004E515D">
                <w:rPr>
                  <w:rFonts w:ascii="Calibri" w:hAnsi="Calibri" w:cs="Times New Roman"/>
                  <w:color w:val="auto"/>
                  <w:kern w:val="0"/>
                  <w:szCs w:val="21"/>
                  <w:lang w:bidi="ar"/>
                </w:rPr>
                <w:t xml:space="preserve"> </w:t>
              </w:r>
              <w:r w:rsidR="006D1907" w:rsidRPr="004E515D">
                <w:rPr>
                  <w:rFonts w:ascii="Calibri" w:cs="Times New Roman"/>
                  <w:color w:val="auto"/>
                  <w:kern w:val="0"/>
                  <w:szCs w:val="21"/>
                  <w:lang w:bidi="ar"/>
                </w:rPr>
                <w:t>总烃、甲烷和非甲烷总烃的测定</w:t>
              </w:r>
              <w:r w:rsidR="006D1907" w:rsidRPr="004E515D">
                <w:rPr>
                  <w:rFonts w:ascii="Calibri" w:hAnsi="Calibri" w:cs="Times New Roman"/>
                  <w:color w:val="auto"/>
                  <w:kern w:val="0"/>
                  <w:szCs w:val="21"/>
                  <w:lang w:bidi="ar"/>
                </w:rPr>
                <w:t xml:space="preserve"> </w:t>
              </w:r>
              <w:r w:rsidR="006D1907" w:rsidRPr="004E515D">
                <w:rPr>
                  <w:rFonts w:ascii="Calibri" w:cs="Times New Roman"/>
                  <w:color w:val="auto"/>
                  <w:kern w:val="0"/>
                  <w:szCs w:val="21"/>
                  <w:lang w:bidi="ar"/>
                </w:rPr>
                <w:t>直接进样</w:t>
              </w:r>
              <w:r w:rsidR="006D1907" w:rsidRPr="004E515D">
                <w:rPr>
                  <w:rFonts w:ascii="Calibri" w:hAnsi="Calibri" w:cs="Times New Roman"/>
                  <w:color w:val="auto"/>
                  <w:kern w:val="0"/>
                  <w:szCs w:val="21"/>
                  <w:lang w:bidi="ar"/>
                </w:rPr>
                <w:t>-</w:t>
              </w:r>
              <w:r w:rsidR="006D1907" w:rsidRPr="004E515D">
                <w:rPr>
                  <w:rFonts w:ascii="Calibri" w:cs="Times New Roman"/>
                  <w:color w:val="auto"/>
                  <w:kern w:val="0"/>
                  <w:szCs w:val="21"/>
                  <w:lang w:bidi="ar"/>
                </w:rPr>
                <w:t>气相色谱法</w:t>
              </w:r>
              <w:r w:rsidR="006D1907">
                <w:rPr>
                  <w:rFonts w:ascii="Calibri" w:cs="Times New Roman" w:hint="eastAsia"/>
                  <w:color w:val="auto"/>
                  <w:kern w:val="0"/>
                  <w:szCs w:val="21"/>
                  <w:lang w:bidi="ar"/>
                </w:rPr>
                <w:t xml:space="preserve"> </w:t>
              </w:r>
              <w:r w:rsidR="006D1907" w:rsidRPr="004E515D">
                <w:rPr>
                  <w:rFonts w:ascii="Calibri" w:hAnsi="Calibri" w:cs="Times New Roman"/>
                  <w:color w:val="auto"/>
                  <w:kern w:val="0"/>
                  <w:szCs w:val="21"/>
                  <w:lang w:bidi="ar"/>
                </w:rPr>
                <w:t>HJ 604-2017</w:t>
              </w:r>
            </w:hyperlink>
          </w:p>
        </w:tc>
        <w:tc>
          <w:tcPr>
            <w:tcW w:w="1031" w:type="pct"/>
            <w:tcMar>
              <w:left w:w="28" w:type="dxa"/>
              <w:right w:w="28" w:type="dxa"/>
            </w:tcMar>
            <w:vAlign w:val="center"/>
          </w:tcPr>
          <w:p w14:paraId="33B04BD2" w14:textId="77777777" w:rsidR="006D1907" w:rsidRPr="004E515D" w:rsidRDefault="006D1907" w:rsidP="00A94556">
            <w:pPr>
              <w:widowControl/>
              <w:jc w:val="center"/>
              <w:textAlignment w:val="center"/>
              <w:rPr>
                <w:rFonts w:ascii="Calibri" w:hAnsi="Calibri" w:cs="Times New Roman"/>
                <w:color w:val="auto"/>
                <w:kern w:val="0"/>
                <w:szCs w:val="21"/>
                <w:lang w:bidi="ar"/>
              </w:rPr>
            </w:pPr>
            <w:r w:rsidRPr="004E515D">
              <w:rPr>
                <w:rFonts w:ascii="Calibri" w:hAnsi="Calibri" w:cs="Times New Roman"/>
                <w:color w:val="auto"/>
                <w:kern w:val="0"/>
                <w:szCs w:val="21"/>
                <w:lang w:bidi="ar"/>
              </w:rPr>
              <w:t>0.07mg/m</w:t>
            </w:r>
            <w:r w:rsidRPr="004E515D">
              <w:rPr>
                <w:rFonts w:ascii="Calibri" w:hAnsi="Calibri" w:cs="Times New Roman"/>
                <w:color w:val="auto"/>
                <w:kern w:val="0"/>
                <w:szCs w:val="21"/>
                <w:vertAlign w:val="superscript"/>
                <w:lang w:bidi="ar"/>
              </w:rPr>
              <w:t>3</w:t>
            </w:r>
          </w:p>
        </w:tc>
      </w:tr>
    </w:tbl>
    <w:p w14:paraId="3DD70B0B" w14:textId="77777777" w:rsidR="006D1907" w:rsidRPr="003F72B9" w:rsidRDefault="006D1907" w:rsidP="006D1907">
      <w:pPr>
        <w:pStyle w:val="00"/>
        <w:rPr>
          <w:rFonts w:ascii="Calibri"/>
          <w:b/>
          <w:color w:val="auto"/>
        </w:rPr>
      </w:pPr>
      <w:r w:rsidRPr="003F72B9">
        <w:rPr>
          <w:rFonts w:ascii="Calibri" w:hint="eastAsia"/>
          <w:b/>
          <w:color w:val="auto"/>
        </w:rPr>
        <w:t>5</w:t>
      </w:r>
      <w:r w:rsidRPr="003F72B9">
        <w:rPr>
          <w:rFonts w:ascii="Calibri" w:hint="eastAsia"/>
          <w:b/>
          <w:color w:val="auto"/>
        </w:rPr>
        <w:t>、评价标准</w:t>
      </w:r>
    </w:p>
    <w:p w14:paraId="7DCF7B16" w14:textId="77777777" w:rsidR="006D1907" w:rsidRPr="003F72B9" w:rsidRDefault="006D1907" w:rsidP="006D1907">
      <w:pPr>
        <w:pStyle w:val="00"/>
        <w:rPr>
          <w:rFonts w:ascii="Calibri" w:hAnsi="Calibri"/>
          <w:color w:val="auto"/>
        </w:rPr>
      </w:pPr>
      <w:r w:rsidRPr="003F72B9">
        <w:rPr>
          <w:rFonts w:ascii="Calibri" w:hAnsi="Calibri"/>
          <w:color w:val="auto"/>
        </w:rPr>
        <w:t>本次评价特征因子</w:t>
      </w:r>
      <w:r w:rsidRPr="003F72B9">
        <w:rPr>
          <w:rFonts w:ascii="Calibri" w:hint="eastAsia"/>
          <w:color w:val="auto"/>
        </w:rPr>
        <w:t>氨、硫化氢参照《环境影响评价技术导则</w:t>
      </w:r>
      <w:r w:rsidRPr="003F72B9">
        <w:rPr>
          <w:rFonts w:ascii="Calibri" w:hint="eastAsia"/>
          <w:color w:val="auto"/>
        </w:rPr>
        <w:t xml:space="preserve"> </w:t>
      </w:r>
      <w:r w:rsidRPr="003F72B9">
        <w:rPr>
          <w:rFonts w:ascii="Calibri" w:hint="eastAsia"/>
          <w:color w:val="auto"/>
        </w:rPr>
        <w:t>大气环境》（</w:t>
      </w:r>
      <w:r w:rsidRPr="003F72B9">
        <w:rPr>
          <w:rFonts w:ascii="Calibri" w:hint="eastAsia"/>
          <w:color w:val="auto"/>
        </w:rPr>
        <w:t>HJ2.2-2018</w:t>
      </w:r>
      <w:r w:rsidRPr="003F72B9">
        <w:rPr>
          <w:rFonts w:ascii="Calibri" w:hint="eastAsia"/>
          <w:color w:val="auto"/>
        </w:rPr>
        <w:t>）附录</w:t>
      </w:r>
      <w:r w:rsidRPr="003F72B9">
        <w:rPr>
          <w:rFonts w:ascii="Calibri" w:hint="eastAsia"/>
          <w:color w:val="auto"/>
        </w:rPr>
        <w:t>D</w:t>
      </w:r>
      <w:r w:rsidRPr="003F72B9">
        <w:rPr>
          <w:rFonts w:ascii="Calibri" w:hint="eastAsia"/>
          <w:color w:val="auto"/>
        </w:rPr>
        <w:t>中其他污染物空气质量浓度参考限值；非甲烷总烃参考《大气污染物综合排放标准详解》；</w:t>
      </w:r>
      <w:r w:rsidRPr="003F72B9">
        <w:rPr>
          <w:rFonts w:ascii="Calibri" w:hAnsi="Calibri"/>
          <w:color w:val="auto"/>
        </w:rPr>
        <w:t>其具体标准限值</w:t>
      </w:r>
      <w:r w:rsidRPr="003F72B9">
        <w:rPr>
          <w:rFonts w:ascii="Calibri" w:hAnsi="Calibri" w:hint="eastAsia"/>
          <w:color w:val="auto"/>
        </w:rPr>
        <w:t>见表</w:t>
      </w:r>
      <w:r w:rsidRPr="003F72B9">
        <w:rPr>
          <w:rFonts w:ascii="Calibri" w:hAnsi="Calibri" w:hint="eastAsia"/>
          <w:color w:val="auto"/>
        </w:rPr>
        <w:t>3</w:t>
      </w:r>
      <w:r>
        <w:rPr>
          <w:rFonts w:ascii="Calibri" w:hAnsi="Calibri" w:hint="eastAsia"/>
          <w:color w:val="auto"/>
        </w:rPr>
        <w:t>.3</w:t>
      </w:r>
      <w:r w:rsidRPr="003F72B9">
        <w:rPr>
          <w:rFonts w:ascii="Calibri" w:hAnsi="Calibri" w:hint="eastAsia"/>
          <w:color w:val="auto"/>
        </w:rPr>
        <w:t>-</w:t>
      </w:r>
      <w:r>
        <w:rPr>
          <w:rFonts w:ascii="Calibri" w:hAnsi="Calibri" w:hint="eastAsia"/>
          <w:color w:val="auto"/>
        </w:rPr>
        <w:t>5</w:t>
      </w:r>
      <w:r w:rsidRPr="003F72B9">
        <w:rPr>
          <w:rFonts w:ascii="Calibri" w:hAnsi="Calibri" w:hint="eastAsia"/>
          <w:color w:val="auto"/>
        </w:rPr>
        <w:t>。</w:t>
      </w:r>
    </w:p>
    <w:p w14:paraId="1BB1EFE2" w14:textId="77777777" w:rsidR="006D1907" w:rsidRPr="003F72B9" w:rsidRDefault="006D1907" w:rsidP="006D1907">
      <w:pPr>
        <w:pStyle w:val="000"/>
        <w:rPr>
          <w:rFonts w:eastAsia="黑体"/>
        </w:rPr>
      </w:pPr>
      <w:r w:rsidRPr="003F72B9">
        <w:rPr>
          <w:rFonts w:eastAsia="黑体"/>
        </w:rPr>
        <w:t>表</w:t>
      </w:r>
      <w:r w:rsidRPr="003F72B9">
        <w:rPr>
          <w:rFonts w:eastAsia="黑体" w:hint="eastAsia"/>
        </w:rPr>
        <w:t>3</w:t>
      </w:r>
      <w:r>
        <w:rPr>
          <w:rFonts w:eastAsia="黑体" w:hint="eastAsia"/>
        </w:rPr>
        <w:t>.3</w:t>
      </w:r>
      <w:r w:rsidRPr="003F72B9">
        <w:rPr>
          <w:rFonts w:eastAsia="黑体" w:hint="eastAsia"/>
        </w:rPr>
        <w:t>-</w:t>
      </w:r>
      <w:r>
        <w:rPr>
          <w:rFonts w:eastAsia="黑体" w:hint="eastAsia"/>
        </w:rPr>
        <w:t>5</w:t>
      </w:r>
      <w:r w:rsidRPr="003F72B9">
        <w:rPr>
          <w:rFonts w:eastAsia="黑体" w:hint="eastAsia"/>
        </w:rPr>
        <w:t xml:space="preserve">                      </w:t>
      </w:r>
      <w:r w:rsidRPr="003F72B9">
        <w:rPr>
          <w:rFonts w:eastAsia="黑体" w:hint="eastAsia"/>
        </w:rPr>
        <w:t>评价标准限值</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74"/>
        <w:gridCol w:w="2481"/>
        <w:gridCol w:w="2573"/>
        <w:gridCol w:w="2572"/>
      </w:tblGrid>
      <w:tr w:rsidR="006D1907" w:rsidRPr="003F72B9" w14:paraId="1F1477CD" w14:textId="77777777" w:rsidTr="006D1907">
        <w:trPr>
          <w:trHeight w:val="340"/>
        </w:trPr>
        <w:tc>
          <w:tcPr>
            <w:tcW w:w="617" w:type="pct"/>
            <w:vMerge w:val="restart"/>
            <w:tcBorders>
              <w:right w:val="single" w:sz="2" w:space="0" w:color="auto"/>
            </w:tcBorders>
            <w:vAlign w:val="center"/>
          </w:tcPr>
          <w:p w14:paraId="144C725E" w14:textId="77777777" w:rsidR="006D1907" w:rsidRPr="003F72B9" w:rsidRDefault="006D1907" w:rsidP="00A94556">
            <w:pPr>
              <w:pStyle w:val="a1"/>
              <w:spacing w:before="24"/>
              <w:ind w:firstLine="0"/>
              <w:jc w:val="center"/>
              <w:rPr>
                <w:rFonts w:ascii="Calibri" w:hAnsi="Calibri"/>
                <w:bCs/>
                <w:color w:val="auto"/>
                <w:szCs w:val="21"/>
              </w:rPr>
            </w:pPr>
            <w:r w:rsidRPr="003F72B9">
              <w:rPr>
                <w:rFonts w:ascii="Calibri" w:hAnsi="Calibri"/>
                <w:bCs/>
                <w:color w:val="auto"/>
                <w:szCs w:val="21"/>
              </w:rPr>
              <w:t>序号</w:t>
            </w:r>
          </w:p>
        </w:tc>
        <w:tc>
          <w:tcPr>
            <w:tcW w:w="1426" w:type="pct"/>
            <w:vMerge w:val="restart"/>
            <w:tcBorders>
              <w:left w:val="single" w:sz="2" w:space="0" w:color="auto"/>
            </w:tcBorders>
            <w:vAlign w:val="center"/>
          </w:tcPr>
          <w:p w14:paraId="53CC3BA4" w14:textId="77777777" w:rsidR="006D1907" w:rsidRPr="003F72B9" w:rsidRDefault="006D1907" w:rsidP="00A94556">
            <w:pPr>
              <w:pStyle w:val="a1"/>
              <w:spacing w:before="24"/>
              <w:ind w:firstLine="0"/>
              <w:jc w:val="center"/>
              <w:rPr>
                <w:rFonts w:ascii="Calibri" w:hAnsi="Calibri"/>
                <w:bCs/>
                <w:color w:val="auto"/>
                <w:szCs w:val="21"/>
              </w:rPr>
            </w:pPr>
            <w:r w:rsidRPr="003F72B9">
              <w:rPr>
                <w:rFonts w:ascii="Calibri" w:hAnsi="Calibri"/>
                <w:bCs/>
                <w:color w:val="auto"/>
                <w:szCs w:val="21"/>
              </w:rPr>
              <w:t>污染物名称</w:t>
            </w:r>
          </w:p>
        </w:tc>
        <w:tc>
          <w:tcPr>
            <w:tcW w:w="2957" w:type="pct"/>
            <w:gridSpan w:val="2"/>
            <w:vAlign w:val="center"/>
          </w:tcPr>
          <w:p w14:paraId="5D18E4F5"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sidRPr="003F72B9">
              <w:rPr>
                <w:rFonts w:ascii="Calibri" w:hAnsi="Calibri"/>
                <w:bCs/>
                <w:color w:val="auto"/>
                <w:szCs w:val="21"/>
              </w:rPr>
              <w:t>评价标准（</w:t>
            </w:r>
            <w:r w:rsidRPr="003F72B9">
              <w:rPr>
                <w:rFonts w:ascii="Calibri" w:hAnsi="Calibri"/>
                <w:color w:val="auto"/>
              </w:rPr>
              <w:t>μg/m³</w:t>
            </w:r>
            <w:r w:rsidRPr="003F72B9">
              <w:rPr>
                <w:rFonts w:ascii="Calibri" w:hAnsi="Calibri"/>
                <w:bCs/>
                <w:color w:val="auto"/>
                <w:szCs w:val="21"/>
              </w:rPr>
              <w:t>）</w:t>
            </w:r>
          </w:p>
        </w:tc>
      </w:tr>
      <w:tr w:rsidR="006D1907" w:rsidRPr="003F72B9" w14:paraId="69B8E415" w14:textId="77777777" w:rsidTr="006D1907">
        <w:trPr>
          <w:trHeight w:val="340"/>
        </w:trPr>
        <w:tc>
          <w:tcPr>
            <w:tcW w:w="617" w:type="pct"/>
            <w:vMerge/>
            <w:tcBorders>
              <w:right w:val="single" w:sz="2" w:space="0" w:color="auto"/>
            </w:tcBorders>
            <w:vAlign w:val="center"/>
          </w:tcPr>
          <w:p w14:paraId="6F44C36B" w14:textId="77777777" w:rsidR="006D1907" w:rsidRPr="003F72B9" w:rsidRDefault="006D1907" w:rsidP="00A94556">
            <w:pPr>
              <w:pStyle w:val="a1"/>
              <w:spacing w:before="24"/>
              <w:ind w:firstLine="0"/>
              <w:jc w:val="center"/>
              <w:rPr>
                <w:rFonts w:ascii="Calibri" w:hAnsi="Calibri"/>
                <w:bCs/>
                <w:color w:val="auto"/>
                <w:szCs w:val="21"/>
              </w:rPr>
            </w:pPr>
          </w:p>
        </w:tc>
        <w:tc>
          <w:tcPr>
            <w:tcW w:w="1426" w:type="pct"/>
            <w:vMerge/>
            <w:tcBorders>
              <w:left w:val="single" w:sz="2" w:space="0" w:color="auto"/>
            </w:tcBorders>
            <w:vAlign w:val="center"/>
          </w:tcPr>
          <w:p w14:paraId="3C09D8CE" w14:textId="77777777" w:rsidR="006D1907" w:rsidRPr="003F72B9" w:rsidRDefault="006D1907" w:rsidP="00A94556">
            <w:pPr>
              <w:pStyle w:val="a1"/>
              <w:spacing w:before="24"/>
              <w:ind w:firstLine="0"/>
              <w:jc w:val="center"/>
              <w:rPr>
                <w:rFonts w:ascii="Calibri" w:hAnsi="Calibri"/>
                <w:bCs/>
                <w:color w:val="auto"/>
                <w:szCs w:val="21"/>
              </w:rPr>
            </w:pPr>
          </w:p>
        </w:tc>
        <w:tc>
          <w:tcPr>
            <w:tcW w:w="1479" w:type="pct"/>
            <w:vAlign w:val="center"/>
          </w:tcPr>
          <w:p w14:paraId="60CF3744"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Pr>
                <w:rFonts w:ascii="Calibri" w:hAnsi="Calibri" w:hint="eastAsia"/>
                <w:bCs/>
                <w:color w:val="auto"/>
                <w:szCs w:val="21"/>
              </w:rPr>
              <w:t>1</w:t>
            </w:r>
            <w:r w:rsidRPr="003F72B9">
              <w:rPr>
                <w:rFonts w:ascii="Calibri" w:hAnsi="Calibri"/>
                <w:bCs/>
                <w:color w:val="auto"/>
                <w:szCs w:val="21"/>
              </w:rPr>
              <w:t>小时浓度</w:t>
            </w:r>
          </w:p>
        </w:tc>
        <w:tc>
          <w:tcPr>
            <w:tcW w:w="1478" w:type="pct"/>
            <w:vAlign w:val="center"/>
          </w:tcPr>
          <w:p w14:paraId="08882324"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sidRPr="003F72B9">
              <w:rPr>
                <w:rFonts w:ascii="Calibri" w:hAnsi="Calibri"/>
                <w:bCs/>
                <w:color w:val="auto"/>
                <w:szCs w:val="21"/>
              </w:rPr>
              <w:t>日均浓度</w:t>
            </w:r>
          </w:p>
        </w:tc>
      </w:tr>
      <w:tr w:rsidR="006D1907" w:rsidRPr="003F72B9" w14:paraId="02214999" w14:textId="77777777" w:rsidTr="006D1907">
        <w:trPr>
          <w:trHeight w:val="340"/>
        </w:trPr>
        <w:tc>
          <w:tcPr>
            <w:tcW w:w="617" w:type="pct"/>
            <w:tcBorders>
              <w:right w:val="single" w:sz="2" w:space="0" w:color="auto"/>
            </w:tcBorders>
            <w:vAlign w:val="center"/>
          </w:tcPr>
          <w:p w14:paraId="7512E8D2" w14:textId="77777777" w:rsidR="006D1907" w:rsidRPr="003F72B9" w:rsidRDefault="006D1907" w:rsidP="00A94556">
            <w:pPr>
              <w:pStyle w:val="a1"/>
              <w:spacing w:before="24"/>
              <w:ind w:firstLine="0"/>
              <w:jc w:val="center"/>
              <w:rPr>
                <w:rFonts w:ascii="Calibri" w:hAnsi="Calibri"/>
                <w:color w:val="auto"/>
                <w:szCs w:val="21"/>
              </w:rPr>
            </w:pPr>
            <w:r w:rsidRPr="003F72B9">
              <w:rPr>
                <w:rFonts w:ascii="Calibri" w:hAnsi="Calibri"/>
                <w:color w:val="auto"/>
                <w:szCs w:val="21"/>
              </w:rPr>
              <w:t>1</w:t>
            </w:r>
          </w:p>
        </w:tc>
        <w:tc>
          <w:tcPr>
            <w:tcW w:w="1426" w:type="pct"/>
            <w:tcBorders>
              <w:left w:val="single" w:sz="2" w:space="0" w:color="auto"/>
            </w:tcBorders>
            <w:vAlign w:val="center"/>
          </w:tcPr>
          <w:p w14:paraId="717AAF68" w14:textId="77777777" w:rsidR="006D1907" w:rsidRPr="004E515D" w:rsidRDefault="006D1907" w:rsidP="00A94556">
            <w:pPr>
              <w:widowControl/>
              <w:jc w:val="center"/>
              <w:textAlignment w:val="center"/>
              <w:rPr>
                <w:rFonts w:ascii="Calibri" w:hAnsi="Calibri" w:cs="Times New Roman"/>
                <w:color w:val="auto"/>
                <w:kern w:val="0"/>
                <w:szCs w:val="21"/>
                <w:lang w:bidi="ar"/>
              </w:rPr>
            </w:pPr>
            <w:r w:rsidRPr="004E515D">
              <w:rPr>
                <w:rFonts w:ascii="Calibri" w:cs="Times New Roman"/>
                <w:color w:val="auto"/>
                <w:kern w:val="0"/>
                <w:szCs w:val="21"/>
                <w:lang w:bidi="ar"/>
              </w:rPr>
              <w:t>氨</w:t>
            </w:r>
          </w:p>
        </w:tc>
        <w:tc>
          <w:tcPr>
            <w:tcW w:w="1479" w:type="pct"/>
            <w:vAlign w:val="center"/>
          </w:tcPr>
          <w:p w14:paraId="0AA81103"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sidRPr="003F72B9">
              <w:rPr>
                <w:rFonts w:ascii="Calibri" w:hAnsi="Calibri"/>
                <w:bCs/>
                <w:color w:val="auto"/>
                <w:szCs w:val="21"/>
              </w:rPr>
              <w:t>200</w:t>
            </w:r>
          </w:p>
        </w:tc>
        <w:tc>
          <w:tcPr>
            <w:tcW w:w="1478" w:type="pct"/>
            <w:vAlign w:val="center"/>
          </w:tcPr>
          <w:p w14:paraId="6CA146AD"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sidRPr="003F72B9">
              <w:rPr>
                <w:rFonts w:ascii="Calibri" w:hAnsi="Calibri" w:hint="eastAsia"/>
                <w:bCs/>
                <w:color w:val="auto"/>
                <w:szCs w:val="21"/>
              </w:rPr>
              <w:t>/</w:t>
            </w:r>
          </w:p>
        </w:tc>
      </w:tr>
      <w:tr w:rsidR="006D1907" w:rsidRPr="003F72B9" w14:paraId="6B909215" w14:textId="77777777" w:rsidTr="006D1907">
        <w:trPr>
          <w:trHeight w:val="340"/>
        </w:trPr>
        <w:tc>
          <w:tcPr>
            <w:tcW w:w="617" w:type="pct"/>
            <w:tcBorders>
              <w:right w:val="single" w:sz="2" w:space="0" w:color="auto"/>
            </w:tcBorders>
            <w:vAlign w:val="center"/>
          </w:tcPr>
          <w:p w14:paraId="521111AD" w14:textId="77777777" w:rsidR="006D1907" w:rsidRPr="003F72B9" w:rsidRDefault="006D1907" w:rsidP="00A94556">
            <w:pPr>
              <w:pStyle w:val="a1"/>
              <w:spacing w:before="24"/>
              <w:ind w:firstLine="0"/>
              <w:jc w:val="center"/>
              <w:rPr>
                <w:rFonts w:ascii="Calibri" w:hAnsi="Calibri"/>
                <w:color w:val="auto"/>
                <w:szCs w:val="21"/>
              </w:rPr>
            </w:pPr>
            <w:r>
              <w:rPr>
                <w:rFonts w:ascii="Calibri" w:hAnsi="Calibri"/>
                <w:color w:val="auto"/>
                <w:szCs w:val="21"/>
              </w:rPr>
              <w:t>2</w:t>
            </w:r>
          </w:p>
        </w:tc>
        <w:tc>
          <w:tcPr>
            <w:tcW w:w="1426" w:type="pct"/>
            <w:tcBorders>
              <w:left w:val="single" w:sz="2" w:space="0" w:color="auto"/>
            </w:tcBorders>
            <w:vAlign w:val="center"/>
          </w:tcPr>
          <w:p w14:paraId="73E0024C" w14:textId="77777777" w:rsidR="006D1907" w:rsidRPr="004E515D" w:rsidRDefault="006D1907" w:rsidP="00A94556">
            <w:pPr>
              <w:widowControl/>
              <w:tabs>
                <w:tab w:val="left" w:pos="530"/>
                <w:tab w:val="center" w:pos="1193"/>
              </w:tabs>
              <w:jc w:val="center"/>
              <w:textAlignment w:val="center"/>
              <w:rPr>
                <w:rFonts w:ascii="Calibri" w:hAnsi="Calibri" w:cs="Times New Roman"/>
                <w:szCs w:val="21"/>
              </w:rPr>
            </w:pPr>
            <w:r w:rsidRPr="004E515D">
              <w:rPr>
                <w:rFonts w:ascii="Calibri" w:cs="Times New Roman"/>
                <w:szCs w:val="21"/>
              </w:rPr>
              <w:t>硫化氢</w:t>
            </w:r>
          </w:p>
        </w:tc>
        <w:tc>
          <w:tcPr>
            <w:tcW w:w="1479" w:type="pct"/>
            <w:vAlign w:val="center"/>
          </w:tcPr>
          <w:p w14:paraId="73C51664" w14:textId="77777777" w:rsidR="006D1907" w:rsidRPr="003F72B9" w:rsidRDefault="006D1907" w:rsidP="00A94556">
            <w:pPr>
              <w:jc w:val="center"/>
              <w:rPr>
                <w:rFonts w:ascii="Calibri" w:hAnsi="Calibri"/>
                <w:bCs/>
                <w:color w:val="auto"/>
                <w:szCs w:val="21"/>
              </w:rPr>
            </w:pPr>
            <w:r w:rsidRPr="003F72B9">
              <w:rPr>
                <w:rFonts w:ascii="Calibri" w:hAnsi="Calibri" w:hint="eastAsia"/>
                <w:bCs/>
                <w:color w:val="auto"/>
                <w:szCs w:val="21"/>
              </w:rPr>
              <w:t>10</w:t>
            </w:r>
          </w:p>
        </w:tc>
        <w:tc>
          <w:tcPr>
            <w:tcW w:w="1478" w:type="pct"/>
            <w:vAlign w:val="center"/>
          </w:tcPr>
          <w:p w14:paraId="6AF8F309" w14:textId="77777777" w:rsidR="006D1907" w:rsidRPr="003F72B9" w:rsidRDefault="006D1907" w:rsidP="00A94556">
            <w:pPr>
              <w:pStyle w:val="a1"/>
              <w:tabs>
                <w:tab w:val="left" w:pos="7560"/>
              </w:tabs>
              <w:spacing w:before="24"/>
              <w:ind w:firstLine="0"/>
              <w:jc w:val="center"/>
              <w:rPr>
                <w:rFonts w:ascii="Calibri" w:hAnsi="Calibri"/>
                <w:color w:val="auto"/>
              </w:rPr>
            </w:pPr>
            <w:r w:rsidRPr="003F72B9">
              <w:rPr>
                <w:rFonts w:ascii="Calibri" w:hAnsi="Calibri" w:hint="eastAsia"/>
                <w:color w:val="auto"/>
              </w:rPr>
              <w:t>/</w:t>
            </w:r>
          </w:p>
        </w:tc>
      </w:tr>
      <w:tr w:rsidR="006D1907" w:rsidRPr="003F72B9" w14:paraId="30981A4D" w14:textId="77777777" w:rsidTr="006D1907">
        <w:trPr>
          <w:trHeight w:val="340"/>
        </w:trPr>
        <w:tc>
          <w:tcPr>
            <w:tcW w:w="617" w:type="pct"/>
            <w:tcBorders>
              <w:right w:val="single" w:sz="2" w:space="0" w:color="auto"/>
            </w:tcBorders>
            <w:vAlign w:val="center"/>
          </w:tcPr>
          <w:p w14:paraId="24412C89" w14:textId="77777777" w:rsidR="006D1907" w:rsidRPr="003F72B9" w:rsidRDefault="006D1907" w:rsidP="00A94556">
            <w:pPr>
              <w:pStyle w:val="a1"/>
              <w:spacing w:before="24"/>
              <w:ind w:firstLine="0"/>
              <w:jc w:val="center"/>
              <w:rPr>
                <w:rFonts w:ascii="Calibri" w:hAnsi="Calibri"/>
                <w:color w:val="auto"/>
                <w:szCs w:val="21"/>
              </w:rPr>
            </w:pPr>
            <w:r>
              <w:rPr>
                <w:rFonts w:ascii="Calibri" w:hAnsi="Calibri"/>
                <w:color w:val="auto"/>
                <w:szCs w:val="21"/>
              </w:rPr>
              <w:t>3</w:t>
            </w:r>
          </w:p>
        </w:tc>
        <w:tc>
          <w:tcPr>
            <w:tcW w:w="1426" w:type="pct"/>
            <w:tcBorders>
              <w:left w:val="single" w:sz="2" w:space="0" w:color="auto"/>
            </w:tcBorders>
            <w:vAlign w:val="center"/>
          </w:tcPr>
          <w:p w14:paraId="735655D0" w14:textId="77777777" w:rsidR="006D1907" w:rsidRPr="004E515D" w:rsidRDefault="006D1907" w:rsidP="00A94556">
            <w:pPr>
              <w:widowControl/>
              <w:tabs>
                <w:tab w:val="left" w:pos="530"/>
                <w:tab w:val="center" w:pos="1193"/>
              </w:tabs>
              <w:jc w:val="center"/>
              <w:textAlignment w:val="center"/>
              <w:rPr>
                <w:rFonts w:ascii="Calibri" w:hAnsi="Calibri" w:cs="Times New Roman"/>
                <w:szCs w:val="21"/>
              </w:rPr>
            </w:pPr>
            <w:r w:rsidRPr="004E515D">
              <w:rPr>
                <w:rFonts w:ascii="Calibri" w:cs="Times New Roman"/>
                <w:szCs w:val="21"/>
              </w:rPr>
              <w:t>非甲烷总烃</w:t>
            </w:r>
          </w:p>
        </w:tc>
        <w:tc>
          <w:tcPr>
            <w:tcW w:w="1479" w:type="pct"/>
            <w:vAlign w:val="center"/>
          </w:tcPr>
          <w:p w14:paraId="522708CB"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Pr>
                <w:rFonts w:ascii="Calibri" w:hAnsi="Calibri" w:hint="eastAsia"/>
                <w:bCs/>
                <w:color w:val="auto"/>
                <w:szCs w:val="21"/>
              </w:rPr>
              <w:t>2000</w:t>
            </w:r>
          </w:p>
        </w:tc>
        <w:tc>
          <w:tcPr>
            <w:tcW w:w="1478" w:type="pct"/>
            <w:vAlign w:val="center"/>
          </w:tcPr>
          <w:p w14:paraId="3E8933E1"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Pr>
                <w:rFonts w:ascii="Calibri" w:hAnsi="Calibri" w:hint="eastAsia"/>
                <w:bCs/>
                <w:color w:val="auto"/>
                <w:szCs w:val="21"/>
              </w:rPr>
              <w:t>/</w:t>
            </w:r>
          </w:p>
        </w:tc>
      </w:tr>
    </w:tbl>
    <w:p w14:paraId="5635D476" w14:textId="77777777" w:rsidR="006D1907" w:rsidRPr="003F72B9" w:rsidRDefault="006D1907" w:rsidP="006D1907">
      <w:pPr>
        <w:spacing w:line="520" w:lineRule="exact"/>
        <w:ind w:firstLineChars="200" w:firstLine="482"/>
        <w:rPr>
          <w:rFonts w:ascii="Calibri" w:hAnsi="Calibri"/>
          <w:b/>
          <w:color w:val="auto"/>
          <w:sz w:val="24"/>
        </w:rPr>
      </w:pPr>
      <w:r w:rsidRPr="003F72B9">
        <w:rPr>
          <w:rFonts w:ascii="Calibri" w:hAnsi="Calibri" w:hint="eastAsia"/>
          <w:b/>
          <w:color w:val="auto"/>
          <w:sz w:val="24"/>
        </w:rPr>
        <w:t>6</w:t>
      </w:r>
      <w:r w:rsidRPr="003F72B9">
        <w:rPr>
          <w:rFonts w:ascii="Calibri" w:hAnsi="Calibri" w:hint="eastAsia"/>
          <w:b/>
          <w:color w:val="auto"/>
          <w:sz w:val="24"/>
        </w:rPr>
        <w:t>、评价方法</w:t>
      </w:r>
    </w:p>
    <w:p w14:paraId="6A24A08F" w14:textId="77777777" w:rsidR="006D1907" w:rsidRPr="003F72B9" w:rsidRDefault="006D1907" w:rsidP="006D1907">
      <w:pPr>
        <w:spacing w:line="520" w:lineRule="exact"/>
        <w:ind w:firstLineChars="200" w:firstLine="480"/>
        <w:rPr>
          <w:rFonts w:ascii="Calibri" w:hAnsi="Calibri"/>
          <w:bCs/>
          <w:color w:val="auto"/>
          <w:sz w:val="24"/>
        </w:rPr>
      </w:pPr>
      <w:r w:rsidRPr="003F72B9">
        <w:rPr>
          <w:rFonts w:ascii="Calibri"/>
          <w:bCs/>
          <w:color w:val="auto"/>
          <w:sz w:val="24"/>
        </w:rPr>
        <w:t>本次环境空气质量现状评价采用单项质量指数法，公式如下</w:t>
      </w:r>
      <w:r w:rsidRPr="003F72B9">
        <w:rPr>
          <w:rFonts w:ascii="Calibri" w:hint="eastAsia"/>
          <w:bCs/>
          <w:color w:val="auto"/>
          <w:sz w:val="24"/>
        </w:rPr>
        <w:t>：</w:t>
      </w:r>
    </w:p>
    <w:p w14:paraId="1A308B28" w14:textId="77777777" w:rsidR="006D1907" w:rsidRPr="003F72B9" w:rsidRDefault="006D1907" w:rsidP="006D1907">
      <w:pPr>
        <w:spacing w:line="520" w:lineRule="exact"/>
        <w:ind w:firstLineChars="300" w:firstLine="720"/>
        <w:rPr>
          <w:rFonts w:ascii="Calibri" w:hAnsi="Calibri"/>
          <w:bCs/>
          <w:color w:val="auto"/>
          <w:sz w:val="24"/>
        </w:rPr>
      </w:pPr>
      <w:r w:rsidRPr="003F72B9">
        <w:rPr>
          <w:rFonts w:ascii="Calibri" w:hAnsi="Calibri"/>
          <w:bCs/>
          <w:color w:val="auto"/>
          <w:sz w:val="24"/>
        </w:rPr>
        <w:t>I</w:t>
      </w:r>
      <w:r w:rsidRPr="003F72B9">
        <w:rPr>
          <w:rFonts w:ascii="Calibri" w:hAnsi="Calibri"/>
          <w:bCs/>
          <w:color w:val="auto"/>
          <w:sz w:val="24"/>
          <w:vertAlign w:val="subscript"/>
        </w:rPr>
        <w:t>i</w:t>
      </w:r>
      <w:r w:rsidRPr="003F72B9">
        <w:rPr>
          <w:rFonts w:ascii="Calibri" w:hAnsi="Calibri"/>
          <w:bCs/>
          <w:color w:val="auto"/>
          <w:sz w:val="24"/>
        </w:rPr>
        <w:t>=C</w:t>
      </w:r>
      <w:r w:rsidRPr="003F72B9">
        <w:rPr>
          <w:rFonts w:ascii="Calibri" w:hAnsi="Calibri"/>
          <w:bCs/>
          <w:color w:val="auto"/>
          <w:sz w:val="24"/>
          <w:vertAlign w:val="subscript"/>
        </w:rPr>
        <w:t>i</w:t>
      </w:r>
      <w:r w:rsidRPr="003F72B9">
        <w:rPr>
          <w:rFonts w:ascii="Calibri" w:hAnsi="Calibri"/>
          <w:bCs/>
          <w:color w:val="auto"/>
          <w:sz w:val="24"/>
        </w:rPr>
        <w:t>/C</w:t>
      </w:r>
      <w:r w:rsidRPr="003F72B9">
        <w:rPr>
          <w:rFonts w:ascii="Calibri" w:hAnsi="Calibri"/>
          <w:bCs/>
          <w:color w:val="auto"/>
          <w:sz w:val="24"/>
          <w:vertAlign w:val="subscript"/>
        </w:rPr>
        <w:t>0i</w:t>
      </w:r>
    </w:p>
    <w:p w14:paraId="53574503" w14:textId="77777777" w:rsidR="006D1907" w:rsidRPr="003F72B9" w:rsidRDefault="006D1907" w:rsidP="006D1907">
      <w:pPr>
        <w:spacing w:line="520" w:lineRule="exact"/>
        <w:rPr>
          <w:rFonts w:ascii="Calibri" w:hAnsi="Calibri"/>
          <w:color w:val="auto"/>
          <w:sz w:val="24"/>
        </w:rPr>
      </w:pPr>
      <w:r w:rsidRPr="003F72B9">
        <w:rPr>
          <w:rFonts w:ascii="Calibri"/>
          <w:color w:val="auto"/>
          <w:sz w:val="24"/>
        </w:rPr>
        <w:t>式中：</w:t>
      </w:r>
      <w:r w:rsidRPr="003F72B9">
        <w:rPr>
          <w:rFonts w:ascii="Calibri" w:hAnsi="Calibri"/>
          <w:color w:val="auto"/>
          <w:sz w:val="24"/>
        </w:rPr>
        <w:t>I</w:t>
      </w:r>
      <w:r w:rsidRPr="003F72B9">
        <w:rPr>
          <w:rFonts w:ascii="Calibri" w:hAnsi="Calibri"/>
          <w:color w:val="auto"/>
          <w:sz w:val="24"/>
          <w:vertAlign w:val="subscript"/>
        </w:rPr>
        <w:t>i</w:t>
      </w:r>
      <w:r w:rsidRPr="003F72B9">
        <w:rPr>
          <w:rFonts w:ascii="Calibri" w:hAnsi="Calibri"/>
          <w:color w:val="auto"/>
          <w:sz w:val="24"/>
        </w:rPr>
        <w:t>——i</w:t>
      </w:r>
      <w:r w:rsidRPr="003F72B9">
        <w:rPr>
          <w:rFonts w:ascii="Calibri"/>
          <w:color w:val="auto"/>
          <w:sz w:val="24"/>
        </w:rPr>
        <w:t>物质的污染指数；</w:t>
      </w:r>
    </w:p>
    <w:p w14:paraId="55FF68DE" w14:textId="77777777" w:rsidR="006D1907" w:rsidRPr="003F72B9" w:rsidRDefault="006D1907" w:rsidP="006D1907">
      <w:pPr>
        <w:spacing w:line="520" w:lineRule="exact"/>
        <w:ind w:firstLineChars="300" w:firstLine="720"/>
        <w:rPr>
          <w:rFonts w:ascii="Calibri" w:hAnsi="Calibri"/>
          <w:color w:val="auto"/>
          <w:sz w:val="24"/>
        </w:rPr>
      </w:pPr>
      <w:r w:rsidRPr="003F72B9">
        <w:rPr>
          <w:rFonts w:ascii="Calibri" w:hAnsi="Calibri"/>
          <w:color w:val="auto"/>
          <w:sz w:val="24"/>
        </w:rPr>
        <w:t>C</w:t>
      </w:r>
      <w:r w:rsidRPr="003F72B9">
        <w:rPr>
          <w:rFonts w:ascii="Calibri" w:hAnsi="Calibri"/>
          <w:color w:val="auto"/>
          <w:sz w:val="24"/>
          <w:vertAlign w:val="subscript"/>
        </w:rPr>
        <w:t>i</w:t>
      </w:r>
      <w:r w:rsidRPr="003F72B9">
        <w:rPr>
          <w:rFonts w:ascii="Calibri" w:hAnsi="Calibri"/>
          <w:color w:val="auto"/>
          <w:sz w:val="24"/>
        </w:rPr>
        <w:t>——i</w:t>
      </w:r>
      <w:r w:rsidRPr="003F72B9">
        <w:rPr>
          <w:rFonts w:ascii="Calibri"/>
          <w:color w:val="auto"/>
          <w:sz w:val="24"/>
        </w:rPr>
        <w:t>物质的监测浓度，</w:t>
      </w:r>
      <w:r w:rsidRPr="003F72B9">
        <w:rPr>
          <w:rFonts w:ascii="Calibri" w:hAnsi="Calibri"/>
          <w:color w:val="auto"/>
          <w:sz w:val="24"/>
        </w:rPr>
        <w:t>mg/m</w:t>
      </w:r>
      <w:r w:rsidRPr="003F72B9">
        <w:rPr>
          <w:rFonts w:ascii="Calibri" w:hAnsi="Calibri"/>
          <w:color w:val="auto"/>
          <w:sz w:val="24"/>
          <w:vertAlign w:val="superscript"/>
        </w:rPr>
        <w:t>3</w:t>
      </w:r>
      <w:r w:rsidRPr="003F72B9">
        <w:rPr>
          <w:rFonts w:ascii="Calibri"/>
          <w:color w:val="auto"/>
          <w:sz w:val="24"/>
        </w:rPr>
        <w:t>；</w:t>
      </w:r>
    </w:p>
    <w:p w14:paraId="4266F240" w14:textId="77777777" w:rsidR="006D1907" w:rsidRPr="003F72B9" w:rsidRDefault="006D1907" w:rsidP="006D1907">
      <w:pPr>
        <w:spacing w:line="520" w:lineRule="exact"/>
        <w:ind w:firstLineChars="300" w:firstLine="720"/>
        <w:rPr>
          <w:rFonts w:ascii="Calibri" w:hAnsi="Calibri"/>
          <w:color w:val="auto"/>
          <w:sz w:val="24"/>
        </w:rPr>
      </w:pPr>
      <w:r w:rsidRPr="003F72B9">
        <w:rPr>
          <w:rFonts w:ascii="Calibri" w:hAnsi="Calibri"/>
          <w:color w:val="auto"/>
          <w:sz w:val="24"/>
        </w:rPr>
        <w:t>C</w:t>
      </w:r>
      <w:r w:rsidRPr="003F72B9">
        <w:rPr>
          <w:rFonts w:ascii="Calibri" w:hAnsi="Calibri"/>
          <w:color w:val="auto"/>
          <w:sz w:val="24"/>
          <w:vertAlign w:val="subscript"/>
        </w:rPr>
        <w:t>0i</w:t>
      </w:r>
      <w:r w:rsidRPr="003F72B9">
        <w:rPr>
          <w:rFonts w:ascii="Calibri" w:hAnsi="Calibri"/>
          <w:color w:val="auto"/>
          <w:sz w:val="24"/>
        </w:rPr>
        <w:t>——i</w:t>
      </w:r>
      <w:r w:rsidRPr="003F72B9">
        <w:rPr>
          <w:rFonts w:ascii="Calibri"/>
          <w:color w:val="auto"/>
          <w:sz w:val="24"/>
        </w:rPr>
        <w:t>物质的评价标准，</w:t>
      </w:r>
      <w:r w:rsidRPr="003F72B9">
        <w:rPr>
          <w:rFonts w:ascii="Calibri" w:hAnsi="Calibri"/>
          <w:color w:val="auto"/>
          <w:sz w:val="24"/>
        </w:rPr>
        <w:t>mg/m</w:t>
      </w:r>
      <w:r w:rsidRPr="003F72B9">
        <w:rPr>
          <w:rFonts w:ascii="Calibri" w:hAnsi="Calibri"/>
          <w:color w:val="auto"/>
          <w:sz w:val="24"/>
          <w:vertAlign w:val="superscript"/>
        </w:rPr>
        <w:t>3</w:t>
      </w:r>
      <w:r w:rsidRPr="003F72B9">
        <w:rPr>
          <w:rFonts w:ascii="Calibri"/>
          <w:color w:val="auto"/>
          <w:sz w:val="24"/>
        </w:rPr>
        <w:t>。</w:t>
      </w:r>
    </w:p>
    <w:p w14:paraId="026866C8" w14:textId="77777777" w:rsidR="006D1907" w:rsidRPr="003F72B9" w:rsidRDefault="006D1907" w:rsidP="006D1907">
      <w:pPr>
        <w:spacing w:line="520" w:lineRule="exact"/>
        <w:ind w:firstLineChars="200" w:firstLine="482"/>
        <w:rPr>
          <w:rFonts w:ascii="Calibri" w:hAnsi="Calibri"/>
          <w:b/>
          <w:color w:val="auto"/>
          <w:sz w:val="24"/>
        </w:rPr>
      </w:pPr>
      <w:r w:rsidRPr="003F72B9">
        <w:rPr>
          <w:rFonts w:ascii="Calibri" w:hAnsi="Calibri" w:hint="eastAsia"/>
          <w:b/>
          <w:color w:val="auto"/>
          <w:sz w:val="24"/>
        </w:rPr>
        <w:t>7</w:t>
      </w:r>
      <w:r w:rsidRPr="003F72B9">
        <w:rPr>
          <w:rFonts w:ascii="Calibri" w:hAnsi="Calibri" w:hint="eastAsia"/>
          <w:b/>
          <w:color w:val="auto"/>
          <w:sz w:val="24"/>
        </w:rPr>
        <w:t>、检测结果统计</w:t>
      </w:r>
    </w:p>
    <w:p w14:paraId="611593E0" w14:textId="5E99DB03" w:rsidR="006D1907" w:rsidRPr="000A2242" w:rsidRDefault="006D1907" w:rsidP="000A2242">
      <w:pPr>
        <w:pStyle w:val="00"/>
        <w:rPr>
          <w:rFonts w:ascii="Calibri" w:hAnsi="Calibri" w:hint="eastAsia"/>
          <w:color w:val="auto"/>
        </w:rPr>
      </w:pPr>
      <w:r w:rsidRPr="003F72B9">
        <w:rPr>
          <w:rFonts w:ascii="Calibri" w:hAnsi="Calibri" w:hint="eastAsia"/>
          <w:color w:val="auto"/>
        </w:rPr>
        <w:t>环境空气质量现状检测结果统计分析情况见表</w:t>
      </w:r>
      <w:r w:rsidRPr="003F72B9">
        <w:rPr>
          <w:rFonts w:ascii="Calibri" w:hAnsi="Calibri" w:hint="eastAsia"/>
          <w:color w:val="auto"/>
        </w:rPr>
        <w:t>3</w:t>
      </w:r>
      <w:r>
        <w:rPr>
          <w:rFonts w:ascii="Calibri" w:hAnsi="Calibri" w:hint="eastAsia"/>
          <w:color w:val="auto"/>
        </w:rPr>
        <w:t>.3</w:t>
      </w:r>
      <w:r w:rsidRPr="003F72B9">
        <w:rPr>
          <w:rFonts w:ascii="Calibri" w:hAnsi="Calibri" w:hint="eastAsia"/>
          <w:color w:val="auto"/>
        </w:rPr>
        <w:t>-</w:t>
      </w:r>
      <w:r>
        <w:rPr>
          <w:rFonts w:ascii="Calibri" w:hAnsi="Calibri" w:hint="eastAsia"/>
          <w:color w:val="auto"/>
        </w:rPr>
        <w:t>6</w:t>
      </w:r>
      <w:r w:rsidRPr="003F72B9">
        <w:rPr>
          <w:rFonts w:ascii="Calibri" w:hAnsi="Calibri" w:hint="eastAsia"/>
          <w:color w:val="auto"/>
        </w:rPr>
        <w:t>。</w:t>
      </w:r>
    </w:p>
    <w:p w14:paraId="13D6F1B0" w14:textId="77777777" w:rsidR="006D1907" w:rsidRPr="003F72B9" w:rsidRDefault="006D1907" w:rsidP="006D1907">
      <w:pPr>
        <w:pStyle w:val="000"/>
        <w:rPr>
          <w:rFonts w:eastAsia="黑体" w:cs="Calibri"/>
        </w:rPr>
      </w:pPr>
      <w:r w:rsidRPr="003F72B9">
        <w:rPr>
          <w:rFonts w:eastAsia="黑体" w:cs="Calibri"/>
        </w:rPr>
        <w:lastRenderedPageBreak/>
        <w:t>表</w:t>
      </w:r>
      <w:r w:rsidRPr="003F72B9">
        <w:rPr>
          <w:rFonts w:eastAsia="黑体" w:cs="Calibri"/>
        </w:rPr>
        <w:t>3</w:t>
      </w:r>
      <w:r>
        <w:rPr>
          <w:rFonts w:eastAsia="黑体" w:cs="Calibri" w:hint="eastAsia"/>
        </w:rPr>
        <w:t>.3</w:t>
      </w:r>
      <w:r w:rsidRPr="003F72B9">
        <w:rPr>
          <w:rFonts w:eastAsia="黑体" w:cs="Calibri"/>
        </w:rPr>
        <w:t>-</w:t>
      </w:r>
      <w:r>
        <w:rPr>
          <w:rFonts w:eastAsia="黑体" w:cs="Calibri" w:hint="eastAsia"/>
        </w:rPr>
        <w:t>6</w:t>
      </w:r>
      <w:r w:rsidRPr="003F72B9">
        <w:rPr>
          <w:rFonts w:eastAsia="黑体" w:cs="Calibri"/>
        </w:rPr>
        <w:t xml:space="preserve">   </w:t>
      </w:r>
      <w:r>
        <w:rPr>
          <w:rFonts w:eastAsia="黑体" w:cs="Calibri" w:hint="eastAsia"/>
        </w:rPr>
        <w:t xml:space="preserve"> </w:t>
      </w:r>
      <w:r w:rsidRPr="003F72B9">
        <w:rPr>
          <w:rFonts w:eastAsia="黑体" w:cs="Calibri" w:hint="eastAsia"/>
        </w:rPr>
        <w:t xml:space="preserve">    </w:t>
      </w:r>
      <w:r w:rsidRPr="003F72B9">
        <w:rPr>
          <w:rFonts w:eastAsia="黑体" w:cs="Calibri"/>
        </w:rPr>
        <w:t xml:space="preserve">    </w:t>
      </w:r>
      <w:r w:rsidRPr="003F72B9">
        <w:rPr>
          <w:rFonts w:eastAsia="黑体" w:cs="Calibri" w:hint="eastAsia"/>
        </w:rPr>
        <w:t>环境空气质量现状检测结果统计</w:t>
      </w:r>
    </w:p>
    <w:tbl>
      <w:tblPr>
        <w:tblW w:w="504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13"/>
        <w:gridCol w:w="997"/>
        <w:gridCol w:w="1134"/>
        <w:gridCol w:w="1276"/>
        <w:gridCol w:w="1276"/>
        <w:gridCol w:w="1416"/>
        <w:gridCol w:w="849"/>
        <w:gridCol w:w="707"/>
        <w:gridCol w:w="707"/>
      </w:tblGrid>
      <w:tr w:rsidR="006D1907" w:rsidRPr="003F72B9" w14:paraId="0B32640C" w14:textId="77777777" w:rsidTr="006D1907">
        <w:trPr>
          <w:trHeight w:val="340"/>
        </w:trPr>
        <w:tc>
          <w:tcPr>
            <w:tcW w:w="235" w:type="pct"/>
            <w:tcBorders>
              <w:right w:val="single" w:sz="2" w:space="0" w:color="auto"/>
            </w:tcBorders>
            <w:vAlign w:val="center"/>
          </w:tcPr>
          <w:p w14:paraId="3802A356"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序号</w:t>
            </w:r>
          </w:p>
        </w:tc>
        <w:tc>
          <w:tcPr>
            <w:tcW w:w="1214" w:type="pct"/>
            <w:gridSpan w:val="2"/>
            <w:tcBorders>
              <w:left w:val="single" w:sz="2" w:space="0" w:color="auto"/>
            </w:tcBorders>
            <w:vAlign w:val="center"/>
          </w:tcPr>
          <w:p w14:paraId="5840EF23" w14:textId="77777777" w:rsidR="006D1907" w:rsidRPr="003F72B9" w:rsidRDefault="006D1907" w:rsidP="00A94556">
            <w:pPr>
              <w:widowControl/>
              <w:jc w:val="center"/>
              <w:rPr>
                <w:rFonts w:ascii="Calibri" w:hAnsi="Calibri"/>
                <w:color w:val="auto"/>
                <w:kern w:val="0"/>
                <w:szCs w:val="21"/>
              </w:rPr>
            </w:pPr>
            <w:r w:rsidRPr="003F72B9">
              <w:rPr>
                <w:rFonts w:ascii="Calibri" w:hAnsi="Calibri" w:hint="eastAsia"/>
                <w:color w:val="auto"/>
                <w:kern w:val="0"/>
                <w:szCs w:val="21"/>
              </w:rPr>
              <w:t>检测因子</w:t>
            </w:r>
          </w:p>
        </w:tc>
        <w:tc>
          <w:tcPr>
            <w:tcW w:w="727" w:type="pct"/>
            <w:tcBorders>
              <w:right w:val="single" w:sz="2" w:space="0" w:color="auto"/>
            </w:tcBorders>
            <w:vAlign w:val="center"/>
          </w:tcPr>
          <w:p w14:paraId="4E22E3D6"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浓度范围</w:t>
            </w:r>
          </w:p>
          <w:p w14:paraId="2B8B6594"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w:t>
            </w:r>
            <w:r w:rsidRPr="003F72B9">
              <w:rPr>
                <w:rFonts w:ascii="Calibri" w:hAnsi="Calibri"/>
                <w:color w:val="auto"/>
                <w:kern w:val="0"/>
                <w:szCs w:val="21"/>
              </w:rPr>
              <w:t>μg/m</w:t>
            </w:r>
            <w:r w:rsidRPr="003F72B9">
              <w:rPr>
                <w:rFonts w:ascii="Calibri" w:hAnsi="Calibri"/>
                <w:color w:val="auto"/>
                <w:kern w:val="0"/>
                <w:szCs w:val="21"/>
                <w:vertAlign w:val="superscript"/>
              </w:rPr>
              <w:t>3</w:t>
            </w:r>
            <w:r w:rsidRPr="003F72B9">
              <w:rPr>
                <w:rFonts w:ascii="Calibri" w:hAnsi="Calibri"/>
                <w:color w:val="auto"/>
                <w:kern w:val="0"/>
                <w:szCs w:val="21"/>
              </w:rPr>
              <w:t>）</w:t>
            </w:r>
          </w:p>
        </w:tc>
        <w:tc>
          <w:tcPr>
            <w:tcW w:w="727" w:type="pct"/>
            <w:tcBorders>
              <w:left w:val="single" w:sz="2" w:space="0" w:color="auto"/>
              <w:right w:val="single" w:sz="2" w:space="0" w:color="auto"/>
            </w:tcBorders>
            <w:vAlign w:val="center"/>
          </w:tcPr>
          <w:p w14:paraId="1DC4BAA1"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标准限值</w:t>
            </w:r>
          </w:p>
          <w:p w14:paraId="1F38807E"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w:t>
            </w:r>
            <w:r w:rsidRPr="003F72B9">
              <w:rPr>
                <w:rFonts w:ascii="Calibri" w:hAnsi="Calibri"/>
                <w:color w:val="auto"/>
                <w:kern w:val="0"/>
                <w:szCs w:val="21"/>
              </w:rPr>
              <w:t>μg/m</w:t>
            </w:r>
            <w:r w:rsidRPr="003F72B9">
              <w:rPr>
                <w:rFonts w:ascii="Calibri" w:hAnsi="Calibri"/>
                <w:color w:val="auto"/>
                <w:kern w:val="0"/>
                <w:szCs w:val="21"/>
                <w:vertAlign w:val="superscript"/>
              </w:rPr>
              <w:t>3</w:t>
            </w:r>
            <w:r w:rsidRPr="003F72B9">
              <w:rPr>
                <w:rFonts w:ascii="Calibri" w:hAnsi="Calibri"/>
                <w:color w:val="auto"/>
                <w:kern w:val="0"/>
                <w:szCs w:val="21"/>
              </w:rPr>
              <w:t>）</w:t>
            </w:r>
          </w:p>
        </w:tc>
        <w:tc>
          <w:tcPr>
            <w:tcW w:w="807" w:type="pct"/>
            <w:tcBorders>
              <w:left w:val="single" w:sz="2" w:space="0" w:color="auto"/>
              <w:right w:val="single" w:sz="2" w:space="0" w:color="auto"/>
            </w:tcBorders>
            <w:vAlign w:val="center"/>
          </w:tcPr>
          <w:p w14:paraId="55A6189F"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评价指数</w:t>
            </w:r>
          </w:p>
          <w:p w14:paraId="600B641A"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范围</w:t>
            </w:r>
          </w:p>
        </w:tc>
        <w:tc>
          <w:tcPr>
            <w:tcW w:w="484" w:type="pct"/>
            <w:tcBorders>
              <w:left w:val="single" w:sz="2" w:space="0" w:color="auto"/>
              <w:right w:val="single" w:sz="2" w:space="0" w:color="auto"/>
            </w:tcBorders>
            <w:vAlign w:val="center"/>
          </w:tcPr>
          <w:p w14:paraId="300C1934"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超标率（</w:t>
            </w:r>
            <w:r w:rsidRPr="003F72B9">
              <w:rPr>
                <w:rFonts w:ascii="Calibri" w:hAnsi="Calibri"/>
                <w:color w:val="auto"/>
                <w:kern w:val="0"/>
                <w:szCs w:val="21"/>
              </w:rPr>
              <w:t>%</w:t>
            </w:r>
            <w:r w:rsidRPr="003F72B9">
              <w:rPr>
                <w:rFonts w:ascii="Calibri" w:hAnsi="Calibri"/>
                <w:color w:val="auto"/>
                <w:kern w:val="0"/>
                <w:szCs w:val="21"/>
              </w:rPr>
              <w:t>）</w:t>
            </w:r>
          </w:p>
        </w:tc>
        <w:tc>
          <w:tcPr>
            <w:tcW w:w="403" w:type="pct"/>
            <w:tcBorders>
              <w:left w:val="single" w:sz="2" w:space="0" w:color="auto"/>
              <w:right w:val="single" w:sz="2" w:space="0" w:color="auto"/>
            </w:tcBorders>
            <w:vAlign w:val="center"/>
          </w:tcPr>
          <w:p w14:paraId="5B2FBEF9"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最大超标倍数</w:t>
            </w:r>
          </w:p>
        </w:tc>
        <w:tc>
          <w:tcPr>
            <w:tcW w:w="403" w:type="pct"/>
            <w:tcBorders>
              <w:left w:val="single" w:sz="2" w:space="0" w:color="auto"/>
            </w:tcBorders>
            <w:vAlign w:val="center"/>
          </w:tcPr>
          <w:p w14:paraId="51BE438D"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评价结果</w:t>
            </w:r>
          </w:p>
        </w:tc>
      </w:tr>
      <w:tr w:rsidR="006D1907" w:rsidRPr="003F72B9" w14:paraId="21CF94E0" w14:textId="77777777" w:rsidTr="006D1907">
        <w:trPr>
          <w:trHeight w:val="340"/>
        </w:trPr>
        <w:tc>
          <w:tcPr>
            <w:tcW w:w="235" w:type="pct"/>
            <w:tcBorders>
              <w:right w:val="single" w:sz="2" w:space="0" w:color="auto"/>
            </w:tcBorders>
            <w:vAlign w:val="center"/>
          </w:tcPr>
          <w:p w14:paraId="2734E273"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1</w:t>
            </w:r>
          </w:p>
        </w:tc>
        <w:tc>
          <w:tcPr>
            <w:tcW w:w="568" w:type="pct"/>
            <w:tcBorders>
              <w:left w:val="single" w:sz="2" w:space="0" w:color="auto"/>
              <w:right w:val="single" w:sz="2" w:space="0" w:color="auto"/>
            </w:tcBorders>
            <w:vAlign w:val="center"/>
          </w:tcPr>
          <w:p w14:paraId="32E01132" w14:textId="77777777" w:rsidR="006D1907" w:rsidRPr="004E515D" w:rsidRDefault="006D1907" w:rsidP="00A94556">
            <w:pPr>
              <w:widowControl/>
              <w:jc w:val="center"/>
              <w:textAlignment w:val="center"/>
              <w:rPr>
                <w:rFonts w:ascii="Calibri" w:hAnsi="Calibri" w:cs="Times New Roman"/>
                <w:color w:val="auto"/>
                <w:kern w:val="0"/>
                <w:szCs w:val="21"/>
                <w:lang w:bidi="ar"/>
              </w:rPr>
            </w:pPr>
            <w:r w:rsidRPr="004E515D">
              <w:rPr>
                <w:rFonts w:ascii="Calibri" w:cs="Times New Roman"/>
                <w:color w:val="auto"/>
                <w:kern w:val="0"/>
                <w:szCs w:val="21"/>
                <w:lang w:bidi="ar"/>
              </w:rPr>
              <w:t>氨</w:t>
            </w:r>
          </w:p>
        </w:tc>
        <w:tc>
          <w:tcPr>
            <w:tcW w:w="646" w:type="pct"/>
            <w:tcBorders>
              <w:left w:val="single" w:sz="2" w:space="0" w:color="auto"/>
            </w:tcBorders>
            <w:vAlign w:val="center"/>
          </w:tcPr>
          <w:p w14:paraId="59008693" w14:textId="77777777" w:rsidR="006D1907" w:rsidRPr="003F72B9" w:rsidRDefault="006D1907" w:rsidP="00A94556">
            <w:pPr>
              <w:pStyle w:val="TableStyle105"/>
              <w:rPr>
                <w:rFonts w:ascii="Calibri" w:hAnsi="Calibri"/>
              </w:rPr>
            </w:pPr>
            <w:r w:rsidRPr="003F72B9">
              <w:rPr>
                <w:rFonts w:ascii="Calibri" w:hAnsi="Calibri" w:hint="eastAsia"/>
              </w:rPr>
              <w:t>小时均值</w:t>
            </w:r>
          </w:p>
        </w:tc>
        <w:tc>
          <w:tcPr>
            <w:tcW w:w="727" w:type="pct"/>
            <w:tcBorders>
              <w:right w:val="single" w:sz="2" w:space="0" w:color="auto"/>
            </w:tcBorders>
            <w:vAlign w:val="center"/>
          </w:tcPr>
          <w:p w14:paraId="0437A653" w14:textId="77777777" w:rsidR="006D1907" w:rsidRPr="003F72B9" w:rsidRDefault="006D1907" w:rsidP="00A94556">
            <w:pPr>
              <w:widowControl/>
              <w:jc w:val="center"/>
              <w:rPr>
                <w:rFonts w:ascii="Calibri" w:hAnsi="Calibri"/>
                <w:color w:val="auto"/>
                <w:kern w:val="0"/>
                <w:szCs w:val="21"/>
              </w:rPr>
            </w:pPr>
            <w:r>
              <w:rPr>
                <w:rFonts w:ascii="Calibri" w:hAnsi="Calibri" w:hint="eastAsia"/>
                <w:color w:val="auto"/>
                <w:kern w:val="0"/>
                <w:szCs w:val="21"/>
              </w:rPr>
              <w:t>29</w:t>
            </w:r>
            <w:r w:rsidRPr="003F72B9">
              <w:rPr>
                <w:rFonts w:ascii="Calibri" w:hAnsi="Calibri" w:hint="eastAsia"/>
                <w:color w:val="auto"/>
                <w:kern w:val="0"/>
                <w:szCs w:val="21"/>
              </w:rPr>
              <w:t>～</w:t>
            </w:r>
            <w:r>
              <w:rPr>
                <w:rFonts w:ascii="Calibri" w:hAnsi="Calibri" w:hint="eastAsia"/>
                <w:color w:val="auto"/>
                <w:kern w:val="0"/>
                <w:szCs w:val="21"/>
              </w:rPr>
              <w:t>49</w:t>
            </w:r>
          </w:p>
        </w:tc>
        <w:tc>
          <w:tcPr>
            <w:tcW w:w="727" w:type="pct"/>
            <w:tcBorders>
              <w:left w:val="single" w:sz="2" w:space="0" w:color="auto"/>
              <w:right w:val="single" w:sz="2" w:space="0" w:color="auto"/>
            </w:tcBorders>
            <w:vAlign w:val="center"/>
          </w:tcPr>
          <w:p w14:paraId="65F4675C" w14:textId="77777777" w:rsidR="006D1907" w:rsidRPr="003F72B9" w:rsidRDefault="006D1907" w:rsidP="00A94556">
            <w:pPr>
              <w:widowControl/>
              <w:jc w:val="center"/>
              <w:rPr>
                <w:rFonts w:ascii="Calibri" w:hAnsi="Calibri"/>
                <w:color w:val="auto"/>
                <w:kern w:val="0"/>
                <w:szCs w:val="21"/>
              </w:rPr>
            </w:pPr>
            <w:r>
              <w:rPr>
                <w:rFonts w:ascii="Calibri" w:hAnsi="Calibri" w:hint="eastAsia"/>
                <w:color w:val="auto"/>
                <w:kern w:val="0"/>
                <w:szCs w:val="21"/>
              </w:rPr>
              <w:t>200</w:t>
            </w:r>
          </w:p>
        </w:tc>
        <w:tc>
          <w:tcPr>
            <w:tcW w:w="807" w:type="pct"/>
            <w:tcBorders>
              <w:left w:val="single" w:sz="2" w:space="0" w:color="auto"/>
              <w:right w:val="single" w:sz="2" w:space="0" w:color="auto"/>
            </w:tcBorders>
            <w:vAlign w:val="center"/>
          </w:tcPr>
          <w:p w14:paraId="6C2E30E0" w14:textId="77777777" w:rsidR="006D1907" w:rsidRPr="003F72B9" w:rsidRDefault="006D1907" w:rsidP="00A94556">
            <w:pPr>
              <w:widowControl/>
              <w:jc w:val="center"/>
              <w:rPr>
                <w:rFonts w:ascii="Calibri" w:hAnsi="Calibri"/>
                <w:color w:val="auto"/>
                <w:kern w:val="0"/>
                <w:szCs w:val="21"/>
              </w:rPr>
            </w:pPr>
            <w:r w:rsidRPr="003F72B9">
              <w:rPr>
                <w:rFonts w:ascii="Calibri" w:hAnsi="Calibri" w:hint="eastAsia"/>
                <w:color w:val="auto"/>
                <w:kern w:val="0"/>
                <w:szCs w:val="21"/>
              </w:rPr>
              <w:t>0.1</w:t>
            </w:r>
            <w:r>
              <w:rPr>
                <w:rFonts w:ascii="Calibri" w:hAnsi="Calibri" w:hint="eastAsia"/>
                <w:color w:val="auto"/>
                <w:kern w:val="0"/>
                <w:szCs w:val="21"/>
              </w:rPr>
              <w:t>4</w:t>
            </w:r>
            <w:r w:rsidRPr="003F72B9">
              <w:rPr>
                <w:rFonts w:ascii="Calibri" w:hAnsi="Calibri" w:hint="eastAsia"/>
                <w:color w:val="auto"/>
                <w:kern w:val="0"/>
                <w:szCs w:val="21"/>
              </w:rPr>
              <w:t>5</w:t>
            </w:r>
            <w:r w:rsidRPr="003F72B9">
              <w:rPr>
                <w:rFonts w:ascii="Calibri" w:hAnsi="Calibri" w:hint="eastAsia"/>
                <w:color w:val="auto"/>
                <w:kern w:val="0"/>
                <w:szCs w:val="21"/>
              </w:rPr>
              <w:t>～</w:t>
            </w:r>
            <w:r w:rsidRPr="003F72B9">
              <w:rPr>
                <w:rFonts w:ascii="Calibri" w:hAnsi="Calibri" w:hint="eastAsia"/>
                <w:color w:val="auto"/>
                <w:kern w:val="0"/>
                <w:szCs w:val="21"/>
              </w:rPr>
              <w:t>0.</w:t>
            </w:r>
            <w:r>
              <w:rPr>
                <w:rFonts w:ascii="Calibri" w:hAnsi="Calibri" w:hint="eastAsia"/>
                <w:color w:val="auto"/>
                <w:kern w:val="0"/>
                <w:szCs w:val="21"/>
              </w:rPr>
              <w:t>24</w:t>
            </w:r>
            <w:r w:rsidRPr="003F72B9">
              <w:rPr>
                <w:rFonts w:ascii="Calibri" w:hAnsi="Calibri" w:hint="eastAsia"/>
                <w:color w:val="auto"/>
                <w:kern w:val="0"/>
                <w:szCs w:val="21"/>
              </w:rPr>
              <w:t>5</w:t>
            </w:r>
          </w:p>
        </w:tc>
        <w:tc>
          <w:tcPr>
            <w:tcW w:w="484" w:type="pct"/>
            <w:tcBorders>
              <w:left w:val="single" w:sz="2" w:space="0" w:color="auto"/>
              <w:right w:val="single" w:sz="2" w:space="0" w:color="auto"/>
            </w:tcBorders>
            <w:vAlign w:val="center"/>
          </w:tcPr>
          <w:p w14:paraId="4315F643"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0</w:t>
            </w:r>
          </w:p>
        </w:tc>
        <w:tc>
          <w:tcPr>
            <w:tcW w:w="403" w:type="pct"/>
            <w:tcBorders>
              <w:left w:val="single" w:sz="2" w:space="0" w:color="auto"/>
              <w:right w:val="single" w:sz="2" w:space="0" w:color="auto"/>
            </w:tcBorders>
            <w:vAlign w:val="center"/>
          </w:tcPr>
          <w:p w14:paraId="3C954FF7"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0</w:t>
            </w:r>
          </w:p>
        </w:tc>
        <w:tc>
          <w:tcPr>
            <w:tcW w:w="403" w:type="pct"/>
            <w:tcBorders>
              <w:left w:val="single" w:sz="2" w:space="0" w:color="auto"/>
            </w:tcBorders>
            <w:vAlign w:val="center"/>
          </w:tcPr>
          <w:p w14:paraId="47299896"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达标</w:t>
            </w:r>
          </w:p>
        </w:tc>
      </w:tr>
      <w:tr w:rsidR="006D1907" w:rsidRPr="003F72B9" w14:paraId="474E2B66" w14:textId="77777777" w:rsidTr="006D1907">
        <w:trPr>
          <w:trHeight w:val="340"/>
        </w:trPr>
        <w:tc>
          <w:tcPr>
            <w:tcW w:w="235" w:type="pct"/>
            <w:tcBorders>
              <w:right w:val="single" w:sz="2" w:space="0" w:color="auto"/>
            </w:tcBorders>
            <w:vAlign w:val="center"/>
          </w:tcPr>
          <w:p w14:paraId="338F1BCF" w14:textId="77777777" w:rsidR="006D1907" w:rsidRPr="003F72B9" w:rsidRDefault="006D1907" w:rsidP="00A94556">
            <w:pPr>
              <w:widowControl/>
              <w:jc w:val="center"/>
              <w:rPr>
                <w:rFonts w:ascii="Calibri" w:hAnsi="Calibri"/>
                <w:color w:val="auto"/>
                <w:kern w:val="0"/>
                <w:szCs w:val="21"/>
              </w:rPr>
            </w:pPr>
            <w:r>
              <w:rPr>
                <w:rFonts w:ascii="Calibri" w:hAnsi="Calibri"/>
                <w:color w:val="auto"/>
                <w:kern w:val="0"/>
                <w:szCs w:val="21"/>
              </w:rPr>
              <w:t>2</w:t>
            </w:r>
          </w:p>
        </w:tc>
        <w:tc>
          <w:tcPr>
            <w:tcW w:w="568" w:type="pct"/>
            <w:tcBorders>
              <w:left w:val="single" w:sz="2" w:space="0" w:color="auto"/>
              <w:right w:val="single" w:sz="2" w:space="0" w:color="auto"/>
            </w:tcBorders>
            <w:vAlign w:val="center"/>
          </w:tcPr>
          <w:p w14:paraId="142AA427" w14:textId="77777777" w:rsidR="006D1907" w:rsidRPr="004E515D" w:rsidRDefault="006D1907" w:rsidP="00A94556">
            <w:pPr>
              <w:widowControl/>
              <w:tabs>
                <w:tab w:val="left" w:pos="530"/>
                <w:tab w:val="center" w:pos="1193"/>
              </w:tabs>
              <w:jc w:val="center"/>
              <w:textAlignment w:val="center"/>
              <w:rPr>
                <w:rFonts w:ascii="Calibri" w:hAnsi="Calibri" w:cs="Times New Roman"/>
                <w:szCs w:val="21"/>
              </w:rPr>
            </w:pPr>
            <w:r w:rsidRPr="004E515D">
              <w:rPr>
                <w:rFonts w:ascii="Calibri" w:cs="Times New Roman"/>
                <w:szCs w:val="21"/>
              </w:rPr>
              <w:t>硫化氢</w:t>
            </w:r>
          </w:p>
        </w:tc>
        <w:tc>
          <w:tcPr>
            <w:tcW w:w="646" w:type="pct"/>
            <w:tcBorders>
              <w:left w:val="single" w:sz="2" w:space="0" w:color="auto"/>
            </w:tcBorders>
            <w:vAlign w:val="center"/>
          </w:tcPr>
          <w:p w14:paraId="42E81860" w14:textId="77777777" w:rsidR="006D1907" w:rsidRPr="003F72B9" w:rsidRDefault="006D1907" w:rsidP="00A94556">
            <w:pPr>
              <w:jc w:val="center"/>
              <w:rPr>
                <w:rFonts w:ascii="Calibri" w:hAnsi="Calibri"/>
                <w:color w:val="auto"/>
              </w:rPr>
            </w:pPr>
            <w:r w:rsidRPr="003F72B9">
              <w:rPr>
                <w:rFonts w:ascii="Calibri" w:hAnsi="Calibri" w:hint="eastAsia"/>
                <w:color w:val="auto"/>
              </w:rPr>
              <w:t>小时均值</w:t>
            </w:r>
          </w:p>
        </w:tc>
        <w:tc>
          <w:tcPr>
            <w:tcW w:w="727" w:type="pct"/>
            <w:tcBorders>
              <w:right w:val="single" w:sz="2" w:space="0" w:color="auto"/>
            </w:tcBorders>
            <w:vAlign w:val="center"/>
          </w:tcPr>
          <w:p w14:paraId="5CFBFB28" w14:textId="77777777" w:rsidR="006D1907" w:rsidRPr="003F72B9" w:rsidRDefault="006D1907" w:rsidP="00A94556">
            <w:pPr>
              <w:widowControl/>
              <w:jc w:val="center"/>
              <w:rPr>
                <w:rFonts w:ascii="Calibri" w:hAnsi="Calibri"/>
                <w:color w:val="auto"/>
                <w:kern w:val="0"/>
                <w:szCs w:val="21"/>
              </w:rPr>
            </w:pPr>
            <w:r>
              <w:rPr>
                <w:rFonts w:ascii="Calibri" w:hAnsi="Calibri" w:hint="eastAsia"/>
                <w:color w:val="auto"/>
                <w:kern w:val="0"/>
                <w:szCs w:val="21"/>
              </w:rPr>
              <w:t>2</w:t>
            </w:r>
            <w:r>
              <w:rPr>
                <w:rFonts w:ascii="Calibri" w:hAnsi="Calibri" w:hint="eastAsia"/>
                <w:color w:val="auto"/>
                <w:kern w:val="0"/>
                <w:szCs w:val="21"/>
              </w:rPr>
              <w:t>～</w:t>
            </w:r>
            <w:r>
              <w:rPr>
                <w:rFonts w:ascii="Calibri" w:hAnsi="Calibri" w:hint="eastAsia"/>
                <w:color w:val="auto"/>
                <w:kern w:val="0"/>
                <w:szCs w:val="21"/>
              </w:rPr>
              <w:t>5</w:t>
            </w:r>
          </w:p>
        </w:tc>
        <w:tc>
          <w:tcPr>
            <w:tcW w:w="727" w:type="pct"/>
            <w:tcBorders>
              <w:left w:val="single" w:sz="2" w:space="0" w:color="auto"/>
              <w:right w:val="single" w:sz="2" w:space="0" w:color="auto"/>
            </w:tcBorders>
            <w:vAlign w:val="center"/>
          </w:tcPr>
          <w:p w14:paraId="49DF1708" w14:textId="77777777" w:rsidR="006D1907" w:rsidRPr="003F72B9" w:rsidRDefault="006D1907" w:rsidP="00A94556">
            <w:pPr>
              <w:jc w:val="center"/>
              <w:rPr>
                <w:rFonts w:ascii="Calibri" w:hAnsi="Calibri"/>
                <w:bCs/>
                <w:color w:val="auto"/>
                <w:szCs w:val="21"/>
              </w:rPr>
            </w:pPr>
            <w:r w:rsidRPr="003F72B9">
              <w:rPr>
                <w:rFonts w:ascii="Calibri" w:hAnsi="Calibri" w:hint="eastAsia"/>
                <w:bCs/>
                <w:color w:val="auto"/>
                <w:szCs w:val="21"/>
              </w:rPr>
              <w:t>10</w:t>
            </w:r>
          </w:p>
        </w:tc>
        <w:tc>
          <w:tcPr>
            <w:tcW w:w="807" w:type="pct"/>
            <w:tcBorders>
              <w:left w:val="single" w:sz="2" w:space="0" w:color="auto"/>
              <w:right w:val="single" w:sz="2" w:space="0" w:color="auto"/>
            </w:tcBorders>
            <w:vAlign w:val="center"/>
          </w:tcPr>
          <w:p w14:paraId="0E835E28" w14:textId="77777777" w:rsidR="006D1907" w:rsidRPr="003F72B9" w:rsidRDefault="006D1907" w:rsidP="00A94556">
            <w:pPr>
              <w:widowControl/>
              <w:jc w:val="center"/>
              <w:rPr>
                <w:rFonts w:ascii="Calibri" w:hAnsi="Calibri"/>
                <w:color w:val="auto"/>
                <w:kern w:val="0"/>
                <w:szCs w:val="21"/>
              </w:rPr>
            </w:pPr>
            <w:r>
              <w:rPr>
                <w:rFonts w:ascii="Calibri" w:hAnsi="Calibri" w:hint="eastAsia"/>
                <w:color w:val="auto"/>
                <w:kern w:val="0"/>
                <w:szCs w:val="21"/>
              </w:rPr>
              <w:t>0.20</w:t>
            </w:r>
            <w:r>
              <w:rPr>
                <w:rFonts w:ascii="Calibri" w:hAnsi="Calibri" w:hint="eastAsia"/>
                <w:color w:val="auto"/>
                <w:kern w:val="0"/>
                <w:szCs w:val="21"/>
              </w:rPr>
              <w:t>～</w:t>
            </w:r>
            <w:r>
              <w:rPr>
                <w:rFonts w:ascii="Calibri" w:hAnsi="Calibri" w:hint="eastAsia"/>
                <w:color w:val="auto"/>
                <w:kern w:val="0"/>
                <w:szCs w:val="21"/>
              </w:rPr>
              <w:t>0.50</w:t>
            </w:r>
          </w:p>
        </w:tc>
        <w:tc>
          <w:tcPr>
            <w:tcW w:w="484" w:type="pct"/>
            <w:tcBorders>
              <w:left w:val="single" w:sz="2" w:space="0" w:color="auto"/>
              <w:right w:val="single" w:sz="2" w:space="0" w:color="auto"/>
            </w:tcBorders>
            <w:vAlign w:val="center"/>
          </w:tcPr>
          <w:p w14:paraId="60BFEC9C"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0</w:t>
            </w:r>
          </w:p>
        </w:tc>
        <w:tc>
          <w:tcPr>
            <w:tcW w:w="403" w:type="pct"/>
            <w:tcBorders>
              <w:left w:val="single" w:sz="2" w:space="0" w:color="auto"/>
              <w:right w:val="single" w:sz="2" w:space="0" w:color="auto"/>
            </w:tcBorders>
            <w:vAlign w:val="center"/>
          </w:tcPr>
          <w:p w14:paraId="3DE512D6"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0</w:t>
            </w:r>
          </w:p>
        </w:tc>
        <w:tc>
          <w:tcPr>
            <w:tcW w:w="403" w:type="pct"/>
            <w:tcBorders>
              <w:left w:val="single" w:sz="2" w:space="0" w:color="auto"/>
            </w:tcBorders>
            <w:vAlign w:val="center"/>
          </w:tcPr>
          <w:p w14:paraId="18106061"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达标</w:t>
            </w:r>
          </w:p>
        </w:tc>
      </w:tr>
      <w:tr w:rsidR="006D1907" w:rsidRPr="003F72B9" w14:paraId="2F2B7AB5" w14:textId="77777777" w:rsidTr="006D1907">
        <w:trPr>
          <w:trHeight w:val="340"/>
        </w:trPr>
        <w:tc>
          <w:tcPr>
            <w:tcW w:w="235" w:type="pct"/>
            <w:tcBorders>
              <w:right w:val="single" w:sz="2" w:space="0" w:color="auto"/>
            </w:tcBorders>
            <w:vAlign w:val="center"/>
          </w:tcPr>
          <w:p w14:paraId="1CE3D0CF" w14:textId="77777777" w:rsidR="006D1907" w:rsidRPr="003F72B9" w:rsidRDefault="006D1907" w:rsidP="00A94556">
            <w:pPr>
              <w:widowControl/>
              <w:jc w:val="center"/>
              <w:rPr>
                <w:rFonts w:ascii="Calibri" w:hAnsi="Calibri"/>
                <w:color w:val="auto"/>
                <w:kern w:val="0"/>
                <w:szCs w:val="21"/>
              </w:rPr>
            </w:pPr>
            <w:r>
              <w:rPr>
                <w:rFonts w:ascii="Calibri" w:hAnsi="Calibri"/>
                <w:color w:val="auto"/>
                <w:kern w:val="0"/>
                <w:szCs w:val="21"/>
              </w:rPr>
              <w:t>3</w:t>
            </w:r>
          </w:p>
        </w:tc>
        <w:tc>
          <w:tcPr>
            <w:tcW w:w="568" w:type="pct"/>
            <w:tcBorders>
              <w:left w:val="single" w:sz="2" w:space="0" w:color="auto"/>
              <w:right w:val="single" w:sz="2" w:space="0" w:color="auto"/>
            </w:tcBorders>
            <w:vAlign w:val="center"/>
          </w:tcPr>
          <w:p w14:paraId="6ACE4620" w14:textId="77777777" w:rsidR="006D1907" w:rsidRPr="004E515D" w:rsidRDefault="006D1907" w:rsidP="00A94556">
            <w:pPr>
              <w:widowControl/>
              <w:tabs>
                <w:tab w:val="left" w:pos="530"/>
                <w:tab w:val="center" w:pos="1193"/>
              </w:tabs>
              <w:jc w:val="center"/>
              <w:textAlignment w:val="center"/>
              <w:rPr>
                <w:rFonts w:ascii="Calibri" w:hAnsi="Calibri" w:cs="Times New Roman"/>
                <w:szCs w:val="21"/>
              </w:rPr>
            </w:pPr>
            <w:r w:rsidRPr="004E515D">
              <w:rPr>
                <w:rFonts w:ascii="Calibri" w:cs="Times New Roman"/>
                <w:szCs w:val="21"/>
              </w:rPr>
              <w:t>非甲烷总烃</w:t>
            </w:r>
          </w:p>
        </w:tc>
        <w:tc>
          <w:tcPr>
            <w:tcW w:w="646" w:type="pct"/>
            <w:tcBorders>
              <w:left w:val="single" w:sz="2" w:space="0" w:color="auto"/>
            </w:tcBorders>
            <w:vAlign w:val="center"/>
          </w:tcPr>
          <w:p w14:paraId="06652AEC" w14:textId="77777777" w:rsidR="006D1907" w:rsidRPr="003F72B9" w:rsidRDefault="006D1907" w:rsidP="00A94556">
            <w:pPr>
              <w:pStyle w:val="TableStyle105"/>
              <w:rPr>
                <w:rFonts w:ascii="Calibri" w:hAnsi="Calibri"/>
              </w:rPr>
            </w:pPr>
            <w:r w:rsidRPr="003F72B9">
              <w:rPr>
                <w:rFonts w:ascii="Calibri" w:hAnsi="Calibri" w:hint="eastAsia"/>
              </w:rPr>
              <w:t>小时均值</w:t>
            </w:r>
          </w:p>
        </w:tc>
        <w:tc>
          <w:tcPr>
            <w:tcW w:w="727" w:type="pct"/>
            <w:tcBorders>
              <w:right w:val="single" w:sz="2" w:space="0" w:color="auto"/>
            </w:tcBorders>
            <w:vAlign w:val="center"/>
          </w:tcPr>
          <w:p w14:paraId="722C456C" w14:textId="77777777" w:rsidR="006D1907" w:rsidRPr="003F72B9" w:rsidRDefault="006D1907" w:rsidP="00A94556">
            <w:pPr>
              <w:pStyle w:val="TableStyle105"/>
              <w:rPr>
                <w:rFonts w:ascii="Calibri" w:hAnsi="Calibri" w:cs="Calibri"/>
                <w:szCs w:val="21"/>
              </w:rPr>
            </w:pPr>
            <w:r>
              <w:rPr>
                <w:rFonts w:ascii="Calibri" w:hAnsi="Calibri" w:cs="Calibri" w:hint="eastAsia"/>
                <w:szCs w:val="21"/>
              </w:rPr>
              <w:t>350</w:t>
            </w:r>
            <w:r>
              <w:rPr>
                <w:rFonts w:ascii="Calibri" w:hAnsi="Calibri" w:cs="Calibri" w:hint="eastAsia"/>
                <w:szCs w:val="21"/>
              </w:rPr>
              <w:t>～</w:t>
            </w:r>
            <w:r>
              <w:rPr>
                <w:rFonts w:ascii="Calibri" w:hAnsi="Calibri" w:cs="Calibri" w:hint="eastAsia"/>
                <w:szCs w:val="21"/>
              </w:rPr>
              <w:t>490</w:t>
            </w:r>
          </w:p>
        </w:tc>
        <w:tc>
          <w:tcPr>
            <w:tcW w:w="727" w:type="pct"/>
            <w:tcBorders>
              <w:left w:val="single" w:sz="2" w:space="0" w:color="auto"/>
              <w:right w:val="single" w:sz="2" w:space="0" w:color="auto"/>
            </w:tcBorders>
            <w:vAlign w:val="center"/>
          </w:tcPr>
          <w:p w14:paraId="27702816" w14:textId="77777777" w:rsidR="006D1907" w:rsidRPr="003F72B9" w:rsidRDefault="006D1907" w:rsidP="00A94556">
            <w:pPr>
              <w:pStyle w:val="a1"/>
              <w:tabs>
                <w:tab w:val="left" w:pos="7560"/>
              </w:tabs>
              <w:spacing w:before="24"/>
              <w:ind w:firstLine="0"/>
              <w:jc w:val="center"/>
              <w:rPr>
                <w:rFonts w:ascii="Calibri" w:hAnsi="Calibri"/>
                <w:bCs/>
                <w:color w:val="auto"/>
                <w:szCs w:val="21"/>
              </w:rPr>
            </w:pPr>
            <w:r>
              <w:rPr>
                <w:rFonts w:ascii="Calibri" w:hAnsi="Calibri" w:hint="eastAsia"/>
                <w:bCs/>
                <w:color w:val="auto"/>
                <w:szCs w:val="21"/>
              </w:rPr>
              <w:t>2000</w:t>
            </w:r>
          </w:p>
        </w:tc>
        <w:tc>
          <w:tcPr>
            <w:tcW w:w="807" w:type="pct"/>
            <w:tcBorders>
              <w:left w:val="single" w:sz="2" w:space="0" w:color="auto"/>
              <w:right w:val="single" w:sz="2" w:space="0" w:color="auto"/>
            </w:tcBorders>
            <w:vAlign w:val="center"/>
          </w:tcPr>
          <w:p w14:paraId="14BEA48B" w14:textId="77777777" w:rsidR="006D1907" w:rsidRPr="003F72B9" w:rsidRDefault="006D1907" w:rsidP="00A94556">
            <w:pPr>
              <w:widowControl/>
              <w:jc w:val="center"/>
              <w:rPr>
                <w:rFonts w:ascii="Calibri" w:hAnsi="Calibri"/>
                <w:color w:val="auto"/>
                <w:kern w:val="0"/>
                <w:szCs w:val="21"/>
              </w:rPr>
            </w:pPr>
            <w:r>
              <w:rPr>
                <w:rFonts w:ascii="Calibri" w:hAnsi="Calibri" w:hint="eastAsia"/>
                <w:color w:val="auto"/>
                <w:kern w:val="0"/>
                <w:szCs w:val="21"/>
              </w:rPr>
              <w:t>0.175</w:t>
            </w:r>
            <w:r>
              <w:rPr>
                <w:rFonts w:ascii="Calibri" w:hAnsi="Calibri" w:hint="eastAsia"/>
                <w:color w:val="auto"/>
                <w:kern w:val="0"/>
                <w:szCs w:val="21"/>
              </w:rPr>
              <w:t>～</w:t>
            </w:r>
            <w:r>
              <w:rPr>
                <w:rFonts w:ascii="Calibri" w:hAnsi="Calibri" w:hint="eastAsia"/>
                <w:color w:val="auto"/>
                <w:kern w:val="0"/>
                <w:szCs w:val="21"/>
              </w:rPr>
              <w:t>0.245</w:t>
            </w:r>
          </w:p>
        </w:tc>
        <w:tc>
          <w:tcPr>
            <w:tcW w:w="484" w:type="pct"/>
            <w:tcBorders>
              <w:left w:val="single" w:sz="2" w:space="0" w:color="auto"/>
              <w:right w:val="single" w:sz="2" w:space="0" w:color="auto"/>
            </w:tcBorders>
            <w:vAlign w:val="center"/>
          </w:tcPr>
          <w:p w14:paraId="70BB2616"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0</w:t>
            </w:r>
          </w:p>
        </w:tc>
        <w:tc>
          <w:tcPr>
            <w:tcW w:w="403" w:type="pct"/>
            <w:tcBorders>
              <w:left w:val="single" w:sz="2" w:space="0" w:color="auto"/>
              <w:right w:val="single" w:sz="2" w:space="0" w:color="auto"/>
            </w:tcBorders>
            <w:vAlign w:val="center"/>
          </w:tcPr>
          <w:p w14:paraId="56B0FFAB"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0</w:t>
            </w:r>
          </w:p>
        </w:tc>
        <w:tc>
          <w:tcPr>
            <w:tcW w:w="403" w:type="pct"/>
            <w:tcBorders>
              <w:left w:val="single" w:sz="2" w:space="0" w:color="auto"/>
            </w:tcBorders>
            <w:vAlign w:val="center"/>
          </w:tcPr>
          <w:p w14:paraId="5F4D2FB1" w14:textId="77777777" w:rsidR="006D1907" w:rsidRPr="003F72B9" w:rsidRDefault="006D1907" w:rsidP="00A94556">
            <w:pPr>
              <w:widowControl/>
              <w:jc w:val="center"/>
              <w:rPr>
                <w:rFonts w:ascii="Calibri" w:hAnsi="Calibri"/>
                <w:color w:val="auto"/>
                <w:kern w:val="0"/>
                <w:szCs w:val="21"/>
              </w:rPr>
            </w:pPr>
            <w:r w:rsidRPr="003F72B9">
              <w:rPr>
                <w:rFonts w:ascii="Calibri" w:hAnsi="Calibri"/>
                <w:color w:val="auto"/>
                <w:kern w:val="0"/>
                <w:szCs w:val="21"/>
              </w:rPr>
              <w:t>达标</w:t>
            </w:r>
          </w:p>
        </w:tc>
      </w:tr>
    </w:tbl>
    <w:p w14:paraId="320F50B0" w14:textId="77777777" w:rsidR="006D1907" w:rsidRPr="003F72B9" w:rsidRDefault="006D1907" w:rsidP="006D1907">
      <w:pPr>
        <w:pStyle w:val="00"/>
        <w:rPr>
          <w:rFonts w:ascii="Calibri" w:hAnsi="Calibri"/>
          <w:b/>
          <w:color w:val="auto"/>
        </w:rPr>
      </w:pPr>
      <w:r w:rsidRPr="003F72B9">
        <w:rPr>
          <w:rFonts w:ascii="Calibri" w:hAnsi="Calibri" w:hint="eastAsia"/>
          <w:b/>
          <w:color w:val="auto"/>
        </w:rPr>
        <w:t>8</w:t>
      </w:r>
      <w:r w:rsidRPr="003F72B9">
        <w:rPr>
          <w:rFonts w:ascii="Calibri" w:hAnsi="Calibri" w:hint="eastAsia"/>
          <w:b/>
          <w:color w:val="auto"/>
        </w:rPr>
        <w:t>、评价结果分析</w:t>
      </w:r>
    </w:p>
    <w:p w14:paraId="10974F1A" w14:textId="77777777" w:rsidR="006D1907" w:rsidRPr="003F72B9" w:rsidRDefault="006D1907" w:rsidP="006D1907">
      <w:pPr>
        <w:pStyle w:val="00"/>
        <w:rPr>
          <w:rFonts w:ascii="Calibri" w:hAnsi="Calibri"/>
          <w:color w:val="auto"/>
        </w:rPr>
      </w:pPr>
      <w:r w:rsidRPr="003F72B9">
        <w:rPr>
          <w:rFonts w:ascii="Calibri" w:hAnsi="Calibri" w:hint="eastAsia"/>
          <w:color w:val="auto"/>
        </w:rPr>
        <w:t>检测期间内测点氨小时均值范围在</w:t>
      </w:r>
      <w:r>
        <w:rPr>
          <w:rFonts w:ascii="Calibri" w:hAnsi="Calibri" w:hint="eastAsia"/>
          <w:color w:val="auto"/>
        </w:rPr>
        <w:t>29</w:t>
      </w:r>
      <w:r w:rsidRPr="003F72B9">
        <w:rPr>
          <w:rFonts w:ascii="Calibri" w:hAnsi="Calibri" w:hint="eastAsia"/>
          <w:color w:val="auto"/>
        </w:rPr>
        <w:t>～</w:t>
      </w:r>
      <w:r>
        <w:rPr>
          <w:rFonts w:ascii="Calibri" w:hAnsi="Calibri" w:hint="eastAsia"/>
          <w:color w:val="auto"/>
        </w:rPr>
        <w:t>49</w:t>
      </w:r>
      <w:r w:rsidRPr="003F72B9">
        <w:rPr>
          <w:rFonts w:ascii="Calibri" w:hAnsi="Calibri"/>
          <w:color w:val="auto"/>
        </w:rPr>
        <w:t>μg/m</w:t>
      </w:r>
      <w:r w:rsidRPr="003F72B9">
        <w:rPr>
          <w:rFonts w:ascii="Calibri" w:hAnsi="Calibri"/>
          <w:color w:val="auto"/>
          <w:vertAlign w:val="superscript"/>
        </w:rPr>
        <w:t>3</w:t>
      </w:r>
      <w:r w:rsidRPr="003F72B9">
        <w:rPr>
          <w:rFonts w:ascii="Calibri" w:hAnsi="Calibri" w:hint="eastAsia"/>
          <w:color w:val="auto"/>
        </w:rPr>
        <w:t>之间，标准指数范围为</w:t>
      </w:r>
      <w:r w:rsidRPr="003F72B9">
        <w:rPr>
          <w:rFonts w:ascii="Calibri" w:hAnsi="Calibri" w:hint="eastAsia"/>
          <w:color w:val="auto"/>
        </w:rPr>
        <w:t>0.1</w:t>
      </w:r>
      <w:r>
        <w:rPr>
          <w:rFonts w:ascii="Calibri" w:hAnsi="Calibri" w:hint="eastAsia"/>
          <w:color w:val="auto"/>
        </w:rPr>
        <w:t>4</w:t>
      </w:r>
      <w:r w:rsidRPr="003F72B9">
        <w:rPr>
          <w:rFonts w:ascii="Calibri" w:hAnsi="Calibri" w:hint="eastAsia"/>
          <w:color w:val="auto"/>
        </w:rPr>
        <w:t>5</w:t>
      </w:r>
      <w:r w:rsidRPr="003F72B9">
        <w:rPr>
          <w:rFonts w:ascii="Calibri" w:hAnsi="Calibri" w:hint="eastAsia"/>
          <w:color w:val="auto"/>
        </w:rPr>
        <w:t>～</w:t>
      </w:r>
      <w:r w:rsidRPr="003F72B9">
        <w:rPr>
          <w:rFonts w:ascii="Calibri" w:hAnsi="Calibri" w:hint="eastAsia"/>
          <w:color w:val="auto"/>
        </w:rPr>
        <w:t>0.</w:t>
      </w:r>
      <w:r>
        <w:rPr>
          <w:rFonts w:ascii="Calibri" w:hAnsi="Calibri" w:hint="eastAsia"/>
          <w:color w:val="auto"/>
        </w:rPr>
        <w:t>2</w:t>
      </w:r>
      <w:r w:rsidRPr="003F72B9">
        <w:rPr>
          <w:rFonts w:ascii="Calibri" w:hAnsi="Calibri" w:hint="eastAsia"/>
          <w:color w:val="auto"/>
        </w:rPr>
        <w:t>45</w:t>
      </w:r>
      <w:r w:rsidRPr="003F72B9">
        <w:rPr>
          <w:rFonts w:ascii="Calibri" w:hAnsi="Calibri" w:hint="eastAsia"/>
          <w:color w:val="auto"/>
        </w:rPr>
        <w:t>；未出现超标现象。硫化氢小时均值范围在</w:t>
      </w:r>
      <w:r>
        <w:rPr>
          <w:rFonts w:ascii="Calibri" w:hAnsi="Calibri" w:hint="eastAsia"/>
          <w:color w:val="auto"/>
        </w:rPr>
        <w:t>2</w:t>
      </w:r>
      <w:r w:rsidRPr="003F72B9">
        <w:rPr>
          <w:rFonts w:ascii="Calibri" w:hAnsi="Calibri" w:hint="eastAsia"/>
          <w:color w:val="auto"/>
        </w:rPr>
        <w:t>～</w:t>
      </w:r>
      <w:r>
        <w:rPr>
          <w:rFonts w:ascii="Calibri" w:hAnsi="Calibri" w:hint="eastAsia"/>
          <w:color w:val="auto"/>
        </w:rPr>
        <w:t>5</w:t>
      </w:r>
      <w:r w:rsidRPr="003F72B9">
        <w:rPr>
          <w:rFonts w:ascii="Calibri" w:hAnsi="Calibri"/>
          <w:color w:val="auto"/>
        </w:rPr>
        <w:t>μ</w:t>
      </w:r>
      <w:r w:rsidRPr="003F72B9">
        <w:rPr>
          <w:rFonts w:ascii="Calibri" w:hAnsi="Calibri" w:hint="eastAsia"/>
          <w:color w:val="auto"/>
        </w:rPr>
        <w:t>g/m</w:t>
      </w:r>
      <w:r w:rsidRPr="003F72B9">
        <w:rPr>
          <w:rFonts w:ascii="Calibri" w:hAnsi="Calibri" w:hint="eastAsia"/>
          <w:color w:val="auto"/>
          <w:vertAlign w:val="superscript"/>
        </w:rPr>
        <w:t>3</w:t>
      </w:r>
      <w:r w:rsidRPr="003F72B9">
        <w:rPr>
          <w:rFonts w:ascii="Calibri" w:hAnsi="Calibri" w:hint="eastAsia"/>
          <w:color w:val="auto"/>
        </w:rPr>
        <w:t>之间，标准指数范围为</w:t>
      </w:r>
      <w:r w:rsidRPr="003F72B9">
        <w:rPr>
          <w:rFonts w:ascii="Calibri" w:hAnsi="Calibri" w:hint="eastAsia"/>
          <w:color w:val="auto"/>
        </w:rPr>
        <w:t>0.</w:t>
      </w:r>
      <w:r>
        <w:rPr>
          <w:rFonts w:ascii="Calibri" w:hAnsi="Calibri" w:hint="eastAsia"/>
          <w:color w:val="auto"/>
        </w:rPr>
        <w:t>20</w:t>
      </w:r>
      <w:r w:rsidRPr="003F72B9">
        <w:rPr>
          <w:rFonts w:ascii="Calibri" w:hAnsi="Calibri" w:hint="eastAsia"/>
          <w:color w:val="auto"/>
        </w:rPr>
        <w:t>～</w:t>
      </w:r>
      <w:r w:rsidRPr="003F72B9">
        <w:rPr>
          <w:rFonts w:ascii="Calibri" w:hAnsi="Calibri" w:hint="eastAsia"/>
          <w:color w:val="auto"/>
        </w:rPr>
        <w:t>0.</w:t>
      </w:r>
      <w:r>
        <w:rPr>
          <w:rFonts w:ascii="Calibri" w:hAnsi="Calibri" w:hint="eastAsia"/>
          <w:color w:val="auto"/>
        </w:rPr>
        <w:t>50</w:t>
      </w:r>
      <w:r w:rsidRPr="003F72B9">
        <w:rPr>
          <w:rFonts w:ascii="Calibri" w:hAnsi="Calibri" w:hint="eastAsia"/>
          <w:color w:val="auto"/>
        </w:rPr>
        <w:t>；未出现超标现象。非甲烷总烃小时均值范围在</w:t>
      </w:r>
      <w:r>
        <w:rPr>
          <w:rFonts w:ascii="Calibri" w:hAnsi="Calibri" w:hint="eastAsia"/>
          <w:color w:val="auto"/>
        </w:rPr>
        <w:t>350</w:t>
      </w:r>
      <w:r w:rsidRPr="003F72B9">
        <w:rPr>
          <w:rFonts w:ascii="Calibri" w:hAnsi="Calibri" w:hint="eastAsia"/>
          <w:color w:val="auto"/>
        </w:rPr>
        <w:t>～</w:t>
      </w:r>
      <w:r>
        <w:rPr>
          <w:rFonts w:ascii="Calibri" w:hAnsi="Calibri" w:hint="eastAsia"/>
          <w:color w:val="auto"/>
        </w:rPr>
        <w:t>49</w:t>
      </w:r>
      <w:r w:rsidRPr="003F72B9">
        <w:rPr>
          <w:rFonts w:ascii="Calibri" w:hAnsi="Calibri" w:hint="eastAsia"/>
          <w:color w:val="auto"/>
        </w:rPr>
        <w:t>0</w:t>
      </w:r>
      <w:r w:rsidRPr="003F72B9">
        <w:rPr>
          <w:rFonts w:ascii="Calibri" w:hAnsi="Calibri"/>
          <w:color w:val="auto"/>
        </w:rPr>
        <w:t>μ</w:t>
      </w:r>
      <w:r w:rsidRPr="003F72B9">
        <w:rPr>
          <w:rFonts w:ascii="Calibri" w:hAnsi="Calibri" w:hint="eastAsia"/>
          <w:color w:val="auto"/>
        </w:rPr>
        <w:t>g/m</w:t>
      </w:r>
      <w:r w:rsidRPr="003F72B9">
        <w:rPr>
          <w:rFonts w:ascii="Calibri" w:hAnsi="Calibri" w:hint="eastAsia"/>
          <w:color w:val="auto"/>
          <w:vertAlign w:val="superscript"/>
        </w:rPr>
        <w:t>3</w:t>
      </w:r>
      <w:r w:rsidRPr="003F72B9">
        <w:rPr>
          <w:rFonts w:ascii="Calibri" w:hAnsi="Calibri" w:hint="eastAsia"/>
          <w:color w:val="auto"/>
        </w:rPr>
        <w:t>之间，标准指数范围为</w:t>
      </w:r>
      <w:r w:rsidRPr="003F72B9">
        <w:rPr>
          <w:rFonts w:ascii="Calibri" w:hAnsi="Calibri" w:hint="eastAsia"/>
          <w:color w:val="auto"/>
        </w:rPr>
        <w:t>0.1</w:t>
      </w:r>
      <w:r>
        <w:rPr>
          <w:rFonts w:ascii="Calibri" w:hAnsi="Calibri" w:hint="eastAsia"/>
          <w:color w:val="auto"/>
        </w:rPr>
        <w:t>75</w:t>
      </w:r>
      <w:r w:rsidRPr="003F72B9">
        <w:rPr>
          <w:rFonts w:ascii="Calibri" w:hAnsi="Calibri" w:hint="eastAsia"/>
          <w:color w:val="auto"/>
        </w:rPr>
        <w:t>～</w:t>
      </w:r>
      <w:r w:rsidRPr="003F72B9">
        <w:rPr>
          <w:rFonts w:ascii="Calibri" w:hAnsi="Calibri" w:hint="eastAsia"/>
          <w:color w:val="auto"/>
        </w:rPr>
        <w:t>0.2</w:t>
      </w:r>
      <w:r>
        <w:rPr>
          <w:rFonts w:ascii="Calibri" w:hAnsi="Calibri" w:hint="eastAsia"/>
          <w:color w:val="auto"/>
        </w:rPr>
        <w:t>4</w:t>
      </w:r>
      <w:r w:rsidRPr="003F72B9">
        <w:rPr>
          <w:rFonts w:ascii="Calibri" w:hAnsi="Calibri" w:hint="eastAsia"/>
          <w:color w:val="auto"/>
        </w:rPr>
        <w:t>5</w:t>
      </w:r>
      <w:r w:rsidRPr="003F72B9">
        <w:rPr>
          <w:rFonts w:ascii="Calibri" w:hAnsi="Calibri" w:hint="eastAsia"/>
          <w:color w:val="auto"/>
        </w:rPr>
        <w:t>；未出现超标现象。</w:t>
      </w:r>
    </w:p>
    <w:p w14:paraId="17C23FC9" w14:textId="77777777" w:rsidR="006D1907" w:rsidRDefault="006D1907" w:rsidP="006D1907">
      <w:pPr>
        <w:pStyle w:val="00"/>
        <w:rPr>
          <w:rFonts w:ascii="Calibri" w:hAnsi="Calibri"/>
          <w:color w:val="auto"/>
        </w:rPr>
      </w:pPr>
      <w:r w:rsidRPr="003F72B9">
        <w:rPr>
          <w:rFonts w:ascii="Calibri" w:hAnsi="Calibri" w:hint="eastAsia"/>
          <w:color w:val="auto"/>
        </w:rPr>
        <w:t>由以上统计分析结果可知，检测期间测点龚店镇</w:t>
      </w:r>
      <w:r>
        <w:rPr>
          <w:rFonts w:ascii="Calibri" w:hAnsi="Calibri" w:hint="eastAsia"/>
          <w:color w:val="auto"/>
        </w:rPr>
        <w:t>氨、硫化氢、非甲烷总烃</w:t>
      </w:r>
      <w:r w:rsidRPr="003F72B9">
        <w:rPr>
          <w:rFonts w:ascii="Calibri" w:hAnsi="Calibri" w:hint="eastAsia"/>
          <w:color w:val="auto"/>
        </w:rPr>
        <w:t>小时浓度均值均满足相关质量标准限值。</w:t>
      </w:r>
    </w:p>
    <w:p w14:paraId="1215C35C" w14:textId="77777777" w:rsidR="0055605A" w:rsidRPr="00A964FF" w:rsidRDefault="0055605A" w:rsidP="0055605A">
      <w:pPr>
        <w:pStyle w:val="ad"/>
        <w:rPr>
          <w:rFonts w:ascii="Calibri" w:hAnsi="Calibri" w:cs="Times New Roman"/>
          <w:color w:val="auto"/>
        </w:rPr>
      </w:pPr>
      <w:r w:rsidRPr="00A964FF">
        <w:rPr>
          <w:rFonts w:ascii="Calibri" w:hAnsi="Calibri" w:cs="Times New Roman"/>
          <w:color w:val="auto"/>
        </w:rPr>
        <w:t>3.3.</w:t>
      </w:r>
      <w:r w:rsidRPr="00A964FF">
        <w:rPr>
          <w:rFonts w:ascii="Calibri" w:hAnsi="Calibri" w:cs="Times New Roman" w:hint="eastAsia"/>
          <w:color w:val="auto"/>
        </w:rPr>
        <w:t>2</w:t>
      </w:r>
      <w:r w:rsidRPr="00A964FF">
        <w:rPr>
          <w:rFonts w:ascii="Calibri" w:hAnsi="Calibri" w:cs="Times New Roman"/>
          <w:color w:val="auto"/>
        </w:rPr>
        <w:t>地表水</w:t>
      </w:r>
      <w:r w:rsidRPr="00A964FF">
        <w:rPr>
          <w:rFonts w:ascii="Calibri" w:hAnsi="Calibri" w:cs="Times New Roman" w:hint="eastAsia"/>
          <w:color w:val="auto"/>
        </w:rPr>
        <w:t>环境</w:t>
      </w:r>
      <w:r w:rsidRPr="00A964FF">
        <w:rPr>
          <w:rFonts w:ascii="Calibri" w:hAnsi="Calibri" w:cs="Times New Roman"/>
          <w:color w:val="auto"/>
        </w:rPr>
        <w:t>质量现状监测与评价</w:t>
      </w:r>
    </w:p>
    <w:p w14:paraId="67F462E2" w14:textId="77777777" w:rsidR="006D1907" w:rsidRPr="00A964FF" w:rsidRDefault="006D1907" w:rsidP="006D1907">
      <w:pPr>
        <w:spacing w:line="520" w:lineRule="exact"/>
        <w:ind w:firstLineChars="200" w:firstLine="482"/>
        <w:rPr>
          <w:rFonts w:ascii="Calibri" w:hAnsi="Calibri"/>
          <w:b/>
          <w:color w:val="auto"/>
          <w:sz w:val="24"/>
        </w:rPr>
      </w:pPr>
      <w:r w:rsidRPr="00A964FF">
        <w:rPr>
          <w:rFonts w:ascii="Calibri" w:hAnsi="Calibri" w:hint="eastAsia"/>
          <w:b/>
          <w:color w:val="auto"/>
          <w:sz w:val="24"/>
        </w:rPr>
        <w:t>1</w:t>
      </w:r>
      <w:r w:rsidRPr="00A964FF">
        <w:rPr>
          <w:rFonts w:ascii="Calibri" w:hAnsi="Calibri" w:hint="eastAsia"/>
          <w:b/>
          <w:color w:val="auto"/>
          <w:sz w:val="24"/>
        </w:rPr>
        <w:t>、评价河流</w:t>
      </w:r>
    </w:p>
    <w:p w14:paraId="2582565D" w14:textId="77777777" w:rsidR="006D1907" w:rsidRPr="00A964FF" w:rsidRDefault="006D1907" w:rsidP="006D1907">
      <w:pPr>
        <w:pStyle w:val="00"/>
        <w:rPr>
          <w:rFonts w:ascii="Calibri"/>
          <w:color w:val="auto"/>
        </w:rPr>
      </w:pPr>
      <w:r w:rsidRPr="00A964FF">
        <w:rPr>
          <w:rFonts w:ascii="Calibri" w:hAnsi="Calibri" w:hint="eastAsia"/>
          <w:color w:val="auto"/>
        </w:rPr>
        <w:t>本项目运营后厂区废水经自建废水处理站处理达标后</w:t>
      </w:r>
      <w:r w:rsidRPr="00A964FF">
        <w:rPr>
          <w:rFonts w:ascii="Calibri" w:hint="eastAsia"/>
          <w:color w:val="auto"/>
        </w:rPr>
        <w:t>排入集聚区市政污水管网，经集聚区污水处理厂集中处理达标后排入关庙沟，关</w:t>
      </w:r>
      <w:r w:rsidR="00726673">
        <w:rPr>
          <w:rFonts w:ascii="Calibri" w:hint="eastAsia"/>
          <w:color w:val="auto"/>
        </w:rPr>
        <w:t>庙沟为灰河支流，灰河为沙河支流。按当地地表水功能区域要求，沙河</w:t>
      </w:r>
      <w:r w:rsidRPr="00A964FF">
        <w:rPr>
          <w:rFonts w:ascii="Calibri" w:hint="eastAsia"/>
          <w:color w:val="auto"/>
        </w:rPr>
        <w:t>为</w:t>
      </w:r>
      <w:r w:rsidRPr="00A964FF">
        <w:rPr>
          <w:rFonts w:ascii="Calibri" w:hint="eastAsia"/>
          <w:color w:val="auto"/>
        </w:rPr>
        <w:t>III</w:t>
      </w:r>
      <w:r w:rsidRPr="00A964FF">
        <w:rPr>
          <w:rFonts w:ascii="Calibri" w:hint="eastAsia"/>
          <w:color w:val="auto"/>
        </w:rPr>
        <w:t>类水体；灰河为</w:t>
      </w:r>
      <w:r w:rsidRPr="00A964FF">
        <w:rPr>
          <w:rFonts w:ascii="Calibri" w:hint="eastAsia"/>
          <w:color w:val="auto"/>
        </w:rPr>
        <w:t>IV</w:t>
      </w:r>
      <w:r w:rsidRPr="00A964FF">
        <w:rPr>
          <w:rFonts w:ascii="Calibri" w:hint="eastAsia"/>
          <w:color w:val="auto"/>
        </w:rPr>
        <w:t>类水体。</w:t>
      </w:r>
    </w:p>
    <w:p w14:paraId="1437F498" w14:textId="77777777" w:rsidR="006D1907" w:rsidRPr="00A964FF" w:rsidRDefault="006D1907" w:rsidP="006D1907">
      <w:pPr>
        <w:spacing w:line="520" w:lineRule="exact"/>
        <w:ind w:firstLineChars="200" w:firstLine="482"/>
        <w:rPr>
          <w:rFonts w:ascii="Calibri" w:hAnsi="Calibri"/>
          <w:b/>
          <w:color w:val="auto"/>
          <w:sz w:val="24"/>
        </w:rPr>
      </w:pPr>
      <w:r w:rsidRPr="00A964FF">
        <w:rPr>
          <w:rFonts w:ascii="Calibri" w:hAnsi="Calibri" w:hint="eastAsia"/>
          <w:b/>
          <w:color w:val="auto"/>
          <w:sz w:val="24"/>
        </w:rPr>
        <w:t>2</w:t>
      </w:r>
      <w:r w:rsidRPr="00A964FF">
        <w:rPr>
          <w:rFonts w:ascii="Calibri" w:hAnsi="Calibri" w:hint="eastAsia"/>
          <w:b/>
          <w:color w:val="auto"/>
          <w:sz w:val="24"/>
        </w:rPr>
        <w:t>、监测断面</w:t>
      </w:r>
    </w:p>
    <w:p w14:paraId="41AF37A5" w14:textId="77777777" w:rsidR="006D1907" w:rsidRPr="00431878" w:rsidRDefault="006D1907" w:rsidP="00431878">
      <w:pPr>
        <w:pStyle w:val="00"/>
        <w:rPr>
          <w:rFonts w:ascii="Calibri"/>
          <w:color w:val="auto"/>
          <w:kern w:val="0"/>
        </w:rPr>
      </w:pPr>
      <w:r w:rsidRPr="00A964FF">
        <w:rPr>
          <w:rFonts w:ascii="Calibri" w:hAnsi="Calibri"/>
          <w:color w:val="auto"/>
        </w:rPr>
        <w:t>为了解项目区域地表水体的水质现状，</w:t>
      </w:r>
      <w:r w:rsidRPr="00A964FF">
        <w:rPr>
          <w:rFonts w:ascii="Calibri" w:hAnsi="Calibri"/>
          <w:color w:val="auto"/>
          <w:kern w:val="0"/>
        </w:rPr>
        <w:t>本次评价</w:t>
      </w:r>
      <w:r w:rsidRPr="00A964FF">
        <w:rPr>
          <w:rFonts w:ascii="Calibri" w:hint="eastAsia"/>
          <w:color w:val="auto"/>
          <w:kern w:val="0"/>
        </w:rPr>
        <w:t>采用</w:t>
      </w:r>
      <w:r w:rsidRPr="00A964FF">
        <w:rPr>
          <w:rFonts w:ascii="Calibri" w:hint="eastAsia"/>
          <w:color w:val="auto"/>
          <w:kern w:val="0"/>
        </w:rPr>
        <w:t>202</w:t>
      </w:r>
      <w:r>
        <w:rPr>
          <w:rFonts w:ascii="Calibri"/>
          <w:color w:val="auto"/>
          <w:kern w:val="0"/>
        </w:rPr>
        <w:t>1</w:t>
      </w:r>
      <w:r w:rsidRPr="00A964FF">
        <w:rPr>
          <w:rFonts w:ascii="Calibri" w:hint="eastAsia"/>
          <w:color w:val="auto"/>
          <w:kern w:val="0"/>
        </w:rPr>
        <w:t>年</w:t>
      </w:r>
      <w:r w:rsidR="00431878" w:rsidRPr="00431878">
        <w:rPr>
          <w:rFonts w:ascii="Calibri" w:hint="eastAsia"/>
          <w:color w:val="auto"/>
          <w:kern w:val="0"/>
        </w:rPr>
        <w:t>平顶山生态环保部门发布</w:t>
      </w:r>
      <w:r w:rsidRPr="00A964FF">
        <w:rPr>
          <w:rFonts w:ascii="Calibri" w:hint="eastAsia"/>
          <w:color w:val="auto"/>
          <w:kern w:val="0"/>
        </w:rPr>
        <w:t>叶县灰河水寨屈庄断面、沙河舞阳马湾断面的监测数据</w:t>
      </w:r>
      <w:r w:rsidRPr="00A964FF">
        <w:rPr>
          <w:rFonts w:ascii="Calibri" w:hAnsi="Calibri" w:hint="eastAsia"/>
          <w:color w:val="auto"/>
        </w:rPr>
        <w:t>；</w:t>
      </w:r>
      <w:r w:rsidRPr="00A964FF">
        <w:rPr>
          <w:rFonts w:ascii="Calibri" w:hAnsi="Calibri" w:hint="eastAsia"/>
          <w:bCs/>
          <w:color w:val="auto"/>
        </w:rPr>
        <w:t>监测断面基本信息见表</w:t>
      </w:r>
      <w:r w:rsidRPr="00A964FF">
        <w:rPr>
          <w:rFonts w:ascii="Calibri" w:hAnsi="Calibri" w:hint="eastAsia"/>
          <w:color w:val="auto"/>
        </w:rPr>
        <w:t>3.3-</w:t>
      </w:r>
      <w:r>
        <w:rPr>
          <w:rFonts w:ascii="Calibri" w:hAnsi="Calibri"/>
          <w:color w:val="auto"/>
        </w:rPr>
        <w:t>7</w:t>
      </w:r>
      <w:r w:rsidRPr="00A964FF">
        <w:rPr>
          <w:rFonts w:ascii="Calibri" w:hAnsi="Calibri"/>
          <w:color w:val="auto"/>
        </w:rPr>
        <w:t>。</w:t>
      </w:r>
    </w:p>
    <w:p w14:paraId="79F69944" w14:textId="77777777" w:rsidR="006D1907" w:rsidRPr="00A964FF" w:rsidRDefault="006D1907" w:rsidP="006D1907">
      <w:pPr>
        <w:spacing w:line="520" w:lineRule="exact"/>
        <w:ind w:firstLineChars="200" w:firstLine="480"/>
        <w:rPr>
          <w:rFonts w:ascii="黑体" w:eastAsia="黑体"/>
          <w:color w:val="auto"/>
          <w:sz w:val="24"/>
        </w:rPr>
      </w:pPr>
      <w:r w:rsidRPr="00A964FF">
        <w:rPr>
          <w:rFonts w:ascii="Calibri" w:eastAsia="黑体" w:hAnsi="Calibri"/>
          <w:color w:val="auto"/>
          <w:sz w:val="24"/>
        </w:rPr>
        <w:t>表</w:t>
      </w:r>
      <w:r w:rsidRPr="00A964FF">
        <w:rPr>
          <w:rFonts w:ascii="Calibri" w:eastAsia="黑体" w:hAnsi="Calibri"/>
          <w:color w:val="auto"/>
          <w:sz w:val="24"/>
        </w:rPr>
        <w:t>3</w:t>
      </w:r>
      <w:r w:rsidRPr="00A964FF">
        <w:rPr>
          <w:rFonts w:ascii="Calibri" w:eastAsia="黑体" w:hAnsi="Calibri" w:hint="eastAsia"/>
          <w:color w:val="auto"/>
          <w:sz w:val="24"/>
        </w:rPr>
        <w:t>.3</w:t>
      </w:r>
      <w:r w:rsidRPr="00A964FF">
        <w:rPr>
          <w:rFonts w:ascii="Calibri" w:eastAsia="黑体" w:hAnsi="Calibri"/>
          <w:color w:val="auto"/>
          <w:sz w:val="24"/>
        </w:rPr>
        <w:t>-</w:t>
      </w:r>
      <w:r w:rsidRPr="00A964FF">
        <w:rPr>
          <w:rFonts w:ascii="Calibri" w:eastAsia="黑体" w:hAnsi="Calibri" w:hint="eastAsia"/>
          <w:color w:val="auto"/>
          <w:sz w:val="24"/>
        </w:rPr>
        <w:t>7</w:t>
      </w:r>
      <w:r w:rsidRPr="00A964FF">
        <w:rPr>
          <w:rFonts w:ascii="Calibri" w:eastAsia="黑体" w:hAnsi="Calibri"/>
          <w:color w:val="auto"/>
          <w:sz w:val="24"/>
        </w:rPr>
        <w:t xml:space="preserve">  </w:t>
      </w:r>
      <w:r w:rsidRPr="00A964FF">
        <w:rPr>
          <w:rFonts w:ascii="黑体" w:eastAsia="黑体" w:hint="eastAsia"/>
          <w:color w:val="auto"/>
          <w:sz w:val="24"/>
        </w:rPr>
        <w:t xml:space="preserve">              </w:t>
      </w:r>
      <w:r w:rsidRPr="00A964FF">
        <w:rPr>
          <w:rFonts w:ascii="黑体" w:eastAsia="黑体" w:hAnsi="宋体" w:hint="eastAsia"/>
          <w:color w:val="auto"/>
          <w:sz w:val="24"/>
        </w:rPr>
        <w:t>地表水监测断面基本信息</w:t>
      </w:r>
    </w:p>
    <w:tbl>
      <w:tblPr>
        <w:tblW w:w="5000" w:type="pct"/>
        <w:jc w:val="center"/>
        <w:tblBorders>
          <w:top w:val="single" w:sz="12" w:space="0" w:color="auto"/>
          <w:left w:val="single" w:sz="12" w:space="0" w:color="auto"/>
          <w:bottom w:val="single" w:sz="12" w:space="0" w:color="000000"/>
          <w:right w:val="single" w:sz="12" w:space="0" w:color="auto"/>
          <w:insideH w:val="single" w:sz="2" w:space="0" w:color="000000"/>
          <w:insideV w:val="single" w:sz="2" w:space="0" w:color="000000"/>
        </w:tblBorders>
        <w:tblLook w:val="04A0" w:firstRow="1" w:lastRow="0" w:firstColumn="1" w:lastColumn="0" w:noHBand="0" w:noVBand="1"/>
      </w:tblPr>
      <w:tblGrid>
        <w:gridCol w:w="902"/>
        <w:gridCol w:w="1201"/>
        <w:gridCol w:w="3470"/>
        <w:gridCol w:w="1467"/>
        <w:gridCol w:w="1660"/>
      </w:tblGrid>
      <w:tr w:rsidR="006D1907" w:rsidRPr="00A964FF" w14:paraId="536C3E23" w14:textId="77777777" w:rsidTr="00A94556">
        <w:trPr>
          <w:trHeight w:val="340"/>
          <w:jc w:val="center"/>
        </w:trPr>
        <w:tc>
          <w:tcPr>
            <w:tcW w:w="519" w:type="pct"/>
            <w:vAlign w:val="center"/>
          </w:tcPr>
          <w:p w14:paraId="0462CE3A" w14:textId="77777777" w:rsidR="006D1907" w:rsidRPr="00A964FF" w:rsidRDefault="006D1907" w:rsidP="00A94556">
            <w:pPr>
              <w:jc w:val="center"/>
              <w:rPr>
                <w:rFonts w:ascii="Calibri" w:hAnsi="Calibri"/>
                <w:color w:val="auto"/>
                <w:szCs w:val="21"/>
              </w:rPr>
            </w:pPr>
            <w:r w:rsidRPr="00A964FF">
              <w:rPr>
                <w:rFonts w:ascii="Calibri"/>
                <w:color w:val="auto"/>
                <w:szCs w:val="21"/>
              </w:rPr>
              <w:t>序号</w:t>
            </w:r>
          </w:p>
        </w:tc>
        <w:tc>
          <w:tcPr>
            <w:tcW w:w="690" w:type="pct"/>
            <w:vAlign w:val="center"/>
          </w:tcPr>
          <w:p w14:paraId="5D8E38BF" w14:textId="77777777" w:rsidR="006D1907" w:rsidRPr="00A964FF" w:rsidRDefault="006D1907" w:rsidP="00A94556">
            <w:pPr>
              <w:jc w:val="center"/>
              <w:rPr>
                <w:rFonts w:ascii="Calibri" w:hAnsi="Calibri"/>
                <w:color w:val="auto"/>
                <w:szCs w:val="21"/>
              </w:rPr>
            </w:pPr>
            <w:r w:rsidRPr="00A964FF">
              <w:rPr>
                <w:rFonts w:ascii="Calibri"/>
                <w:color w:val="auto"/>
                <w:szCs w:val="21"/>
              </w:rPr>
              <w:t>地表水体</w:t>
            </w:r>
          </w:p>
        </w:tc>
        <w:tc>
          <w:tcPr>
            <w:tcW w:w="1994" w:type="pct"/>
            <w:tcBorders>
              <w:right w:val="single" w:sz="2" w:space="0" w:color="auto"/>
            </w:tcBorders>
            <w:vAlign w:val="center"/>
          </w:tcPr>
          <w:p w14:paraId="3423E1A3" w14:textId="77777777" w:rsidR="006D1907" w:rsidRPr="00A964FF" w:rsidRDefault="006D1907" w:rsidP="00A94556">
            <w:pPr>
              <w:jc w:val="center"/>
              <w:rPr>
                <w:rFonts w:ascii="Calibri" w:hAnsi="Calibri"/>
                <w:color w:val="auto"/>
                <w:szCs w:val="21"/>
              </w:rPr>
            </w:pPr>
            <w:r w:rsidRPr="00A964FF">
              <w:rPr>
                <w:rFonts w:ascii="Calibri"/>
                <w:color w:val="auto"/>
                <w:szCs w:val="21"/>
              </w:rPr>
              <w:t>监测断面名称</w:t>
            </w:r>
          </w:p>
        </w:tc>
        <w:tc>
          <w:tcPr>
            <w:tcW w:w="843" w:type="pct"/>
            <w:tcBorders>
              <w:left w:val="single" w:sz="2" w:space="0" w:color="auto"/>
            </w:tcBorders>
            <w:vAlign w:val="center"/>
          </w:tcPr>
          <w:p w14:paraId="5F93F36B"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相对位置</w:t>
            </w:r>
          </w:p>
        </w:tc>
        <w:tc>
          <w:tcPr>
            <w:tcW w:w="954" w:type="pct"/>
            <w:vAlign w:val="center"/>
          </w:tcPr>
          <w:p w14:paraId="49EE3B78" w14:textId="77777777" w:rsidR="006D1907" w:rsidRPr="00A964FF" w:rsidRDefault="006D1907" w:rsidP="00A94556">
            <w:pPr>
              <w:jc w:val="center"/>
              <w:rPr>
                <w:rFonts w:ascii="Calibri" w:hAnsi="Calibri"/>
                <w:color w:val="auto"/>
                <w:szCs w:val="21"/>
              </w:rPr>
            </w:pPr>
            <w:r w:rsidRPr="00A964FF">
              <w:rPr>
                <w:rFonts w:ascii="Calibri"/>
                <w:color w:val="auto"/>
                <w:szCs w:val="21"/>
              </w:rPr>
              <w:t>水功能区划类别</w:t>
            </w:r>
          </w:p>
        </w:tc>
      </w:tr>
      <w:tr w:rsidR="006D1907" w:rsidRPr="00A964FF" w14:paraId="6B282A50" w14:textId="77777777" w:rsidTr="00A94556">
        <w:trPr>
          <w:trHeight w:val="340"/>
          <w:jc w:val="center"/>
        </w:trPr>
        <w:tc>
          <w:tcPr>
            <w:tcW w:w="519" w:type="pct"/>
            <w:vAlign w:val="center"/>
          </w:tcPr>
          <w:p w14:paraId="7A98B2DB" w14:textId="77777777" w:rsidR="006D1907" w:rsidRPr="00A964FF" w:rsidRDefault="006D1907" w:rsidP="00A94556">
            <w:pPr>
              <w:jc w:val="center"/>
              <w:rPr>
                <w:rFonts w:ascii="Calibri" w:hAnsi="Calibri"/>
                <w:color w:val="auto"/>
                <w:szCs w:val="21"/>
              </w:rPr>
            </w:pPr>
            <w:r>
              <w:rPr>
                <w:rFonts w:ascii="Calibri" w:hAnsi="Calibri"/>
                <w:color w:val="auto"/>
                <w:szCs w:val="21"/>
              </w:rPr>
              <w:t>1</w:t>
            </w:r>
          </w:p>
        </w:tc>
        <w:tc>
          <w:tcPr>
            <w:tcW w:w="690" w:type="pct"/>
            <w:vAlign w:val="center"/>
          </w:tcPr>
          <w:p w14:paraId="4F127C36" w14:textId="77777777" w:rsidR="006D1907" w:rsidRPr="00A964FF" w:rsidRDefault="006D1907" w:rsidP="00A94556">
            <w:pPr>
              <w:jc w:val="center"/>
              <w:rPr>
                <w:rFonts w:ascii="Calibri"/>
                <w:color w:val="auto"/>
                <w:szCs w:val="21"/>
              </w:rPr>
            </w:pPr>
            <w:r w:rsidRPr="00A964FF">
              <w:rPr>
                <w:rFonts w:ascii="Calibri" w:hint="eastAsia"/>
                <w:color w:val="auto"/>
                <w:szCs w:val="21"/>
              </w:rPr>
              <w:t>灰河</w:t>
            </w:r>
          </w:p>
        </w:tc>
        <w:tc>
          <w:tcPr>
            <w:tcW w:w="1994" w:type="pct"/>
            <w:tcBorders>
              <w:right w:val="single" w:sz="2" w:space="0" w:color="auto"/>
            </w:tcBorders>
            <w:vAlign w:val="center"/>
          </w:tcPr>
          <w:p w14:paraId="1333F8D0" w14:textId="77777777" w:rsidR="006D1907" w:rsidRPr="00A964FF" w:rsidRDefault="006D1907" w:rsidP="00A94556">
            <w:pPr>
              <w:jc w:val="center"/>
              <w:rPr>
                <w:rFonts w:ascii="Calibri"/>
                <w:color w:val="auto"/>
                <w:szCs w:val="21"/>
              </w:rPr>
            </w:pPr>
            <w:r w:rsidRPr="00A964FF">
              <w:rPr>
                <w:rFonts w:ascii="Calibri" w:hint="eastAsia"/>
                <w:bCs/>
                <w:color w:val="auto"/>
              </w:rPr>
              <w:t>叶县水寨屈庄断面</w:t>
            </w:r>
          </w:p>
        </w:tc>
        <w:tc>
          <w:tcPr>
            <w:tcW w:w="843" w:type="pct"/>
            <w:tcBorders>
              <w:left w:val="single" w:sz="2" w:space="0" w:color="auto"/>
            </w:tcBorders>
            <w:vAlign w:val="center"/>
          </w:tcPr>
          <w:p w14:paraId="4BDD0B32" w14:textId="77777777" w:rsidR="006D1907" w:rsidRPr="00A964FF" w:rsidRDefault="006D1907" w:rsidP="00A94556">
            <w:pPr>
              <w:jc w:val="center"/>
              <w:rPr>
                <w:rFonts w:ascii="Calibri"/>
                <w:color w:val="auto"/>
                <w:szCs w:val="21"/>
              </w:rPr>
            </w:pPr>
            <w:r w:rsidRPr="00A964FF">
              <w:rPr>
                <w:rFonts w:ascii="Calibri" w:hint="eastAsia"/>
                <w:color w:val="auto"/>
                <w:szCs w:val="21"/>
              </w:rPr>
              <w:t>下游</w:t>
            </w:r>
          </w:p>
        </w:tc>
        <w:tc>
          <w:tcPr>
            <w:tcW w:w="954" w:type="pct"/>
            <w:vAlign w:val="center"/>
          </w:tcPr>
          <w:p w14:paraId="7A034983" w14:textId="77777777" w:rsidR="006D1907" w:rsidRPr="00A964FF" w:rsidRDefault="006D1907" w:rsidP="00A94556">
            <w:pPr>
              <w:jc w:val="center"/>
              <w:rPr>
                <w:rFonts w:ascii="Calibri"/>
                <w:color w:val="auto"/>
                <w:szCs w:val="21"/>
              </w:rPr>
            </w:pPr>
            <w:r w:rsidRPr="00A964FF">
              <w:rPr>
                <w:rFonts w:ascii="Calibri" w:hint="eastAsia"/>
                <w:color w:val="auto"/>
                <w:szCs w:val="21"/>
              </w:rPr>
              <w:t>IV</w:t>
            </w:r>
            <w:r w:rsidRPr="00A964FF">
              <w:rPr>
                <w:rFonts w:ascii="Calibri"/>
                <w:color w:val="auto"/>
                <w:szCs w:val="21"/>
              </w:rPr>
              <w:t>类</w:t>
            </w:r>
          </w:p>
        </w:tc>
      </w:tr>
      <w:tr w:rsidR="006D1907" w:rsidRPr="00A964FF" w14:paraId="6143B6B6" w14:textId="77777777" w:rsidTr="00A94556">
        <w:trPr>
          <w:trHeight w:val="340"/>
          <w:jc w:val="center"/>
        </w:trPr>
        <w:tc>
          <w:tcPr>
            <w:tcW w:w="519" w:type="pct"/>
            <w:vAlign w:val="center"/>
          </w:tcPr>
          <w:p w14:paraId="7EEC257C" w14:textId="77777777" w:rsidR="006D1907" w:rsidRPr="00A964FF" w:rsidRDefault="006D1907" w:rsidP="00A94556">
            <w:pPr>
              <w:jc w:val="center"/>
              <w:rPr>
                <w:rFonts w:ascii="Calibri" w:hAnsi="Calibri"/>
                <w:color w:val="auto"/>
                <w:szCs w:val="21"/>
              </w:rPr>
            </w:pPr>
            <w:r>
              <w:rPr>
                <w:rFonts w:ascii="Calibri" w:hAnsi="Calibri"/>
                <w:color w:val="auto"/>
                <w:szCs w:val="21"/>
              </w:rPr>
              <w:t>2</w:t>
            </w:r>
          </w:p>
        </w:tc>
        <w:tc>
          <w:tcPr>
            <w:tcW w:w="690" w:type="pct"/>
            <w:vAlign w:val="center"/>
          </w:tcPr>
          <w:p w14:paraId="446711F0" w14:textId="77777777" w:rsidR="006D1907" w:rsidRPr="00A964FF" w:rsidRDefault="006D1907" w:rsidP="00A94556">
            <w:pPr>
              <w:jc w:val="center"/>
              <w:rPr>
                <w:rFonts w:ascii="Calibri"/>
                <w:color w:val="auto"/>
                <w:szCs w:val="21"/>
              </w:rPr>
            </w:pPr>
            <w:r w:rsidRPr="00A964FF">
              <w:rPr>
                <w:rFonts w:ascii="Calibri" w:hint="eastAsia"/>
                <w:color w:val="auto"/>
                <w:szCs w:val="21"/>
              </w:rPr>
              <w:t>沙河</w:t>
            </w:r>
          </w:p>
        </w:tc>
        <w:tc>
          <w:tcPr>
            <w:tcW w:w="1994" w:type="pct"/>
            <w:tcBorders>
              <w:right w:val="single" w:sz="2" w:space="0" w:color="auto"/>
            </w:tcBorders>
            <w:vAlign w:val="center"/>
          </w:tcPr>
          <w:p w14:paraId="412802D2" w14:textId="77777777" w:rsidR="006D1907" w:rsidRPr="00A964FF" w:rsidRDefault="006D1907" w:rsidP="00A94556">
            <w:pPr>
              <w:jc w:val="center"/>
              <w:rPr>
                <w:rFonts w:ascii="Calibri"/>
                <w:color w:val="auto"/>
                <w:szCs w:val="21"/>
              </w:rPr>
            </w:pPr>
            <w:r w:rsidRPr="00A964FF">
              <w:rPr>
                <w:rFonts w:ascii="Calibri" w:hint="eastAsia"/>
                <w:color w:val="auto"/>
                <w:szCs w:val="21"/>
              </w:rPr>
              <w:t>舞阳马湾断面</w:t>
            </w:r>
          </w:p>
        </w:tc>
        <w:tc>
          <w:tcPr>
            <w:tcW w:w="843" w:type="pct"/>
            <w:tcBorders>
              <w:left w:val="single" w:sz="2" w:space="0" w:color="auto"/>
            </w:tcBorders>
            <w:vAlign w:val="center"/>
          </w:tcPr>
          <w:p w14:paraId="37011BF0" w14:textId="77777777" w:rsidR="006D1907" w:rsidRPr="00A964FF" w:rsidRDefault="006D1907" w:rsidP="00A94556">
            <w:pPr>
              <w:jc w:val="center"/>
              <w:rPr>
                <w:rFonts w:ascii="Calibri"/>
                <w:color w:val="auto"/>
                <w:szCs w:val="21"/>
              </w:rPr>
            </w:pPr>
            <w:r w:rsidRPr="00A964FF">
              <w:rPr>
                <w:rFonts w:ascii="Calibri" w:hint="eastAsia"/>
                <w:color w:val="auto"/>
                <w:szCs w:val="21"/>
              </w:rPr>
              <w:t>下游</w:t>
            </w:r>
          </w:p>
        </w:tc>
        <w:tc>
          <w:tcPr>
            <w:tcW w:w="954" w:type="pct"/>
            <w:vAlign w:val="center"/>
          </w:tcPr>
          <w:p w14:paraId="4099A45F" w14:textId="77777777" w:rsidR="006D1907" w:rsidRPr="00A964FF" w:rsidRDefault="006D1907" w:rsidP="00A94556">
            <w:pPr>
              <w:jc w:val="center"/>
              <w:rPr>
                <w:rFonts w:ascii="Calibri" w:hAnsi="Calibri"/>
                <w:color w:val="auto"/>
                <w:szCs w:val="21"/>
              </w:rPr>
            </w:pPr>
            <w:r w:rsidRPr="00A964FF">
              <w:rPr>
                <w:rFonts w:ascii="Calibri" w:hint="eastAsia"/>
                <w:color w:val="auto"/>
                <w:szCs w:val="21"/>
              </w:rPr>
              <w:t>III</w:t>
            </w:r>
            <w:r w:rsidRPr="00A964FF">
              <w:rPr>
                <w:rFonts w:ascii="Calibri"/>
                <w:color w:val="auto"/>
                <w:szCs w:val="21"/>
              </w:rPr>
              <w:t>类</w:t>
            </w:r>
          </w:p>
        </w:tc>
      </w:tr>
    </w:tbl>
    <w:p w14:paraId="7DC55B06" w14:textId="77777777" w:rsidR="006D1907" w:rsidRPr="00A964FF" w:rsidRDefault="006D1907" w:rsidP="006D1907">
      <w:pPr>
        <w:spacing w:line="520" w:lineRule="exact"/>
        <w:ind w:firstLineChars="200" w:firstLine="482"/>
        <w:rPr>
          <w:rFonts w:ascii="Calibri" w:hAnsi="Calibri"/>
          <w:b/>
          <w:color w:val="auto"/>
          <w:sz w:val="24"/>
        </w:rPr>
      </w:pPr>
      <w:r w:rsidRPr="00A964FF">
        <w:rPr>
          <w:rFonts w:ascii="Calibri" w:hAnsi="Calibri" w:hint="eastAsia"/>
          <w:b/>
          <w:color w:val="auto"/>
          <w:sz w:val="24"/>
        </w:rPr>
        <w:t>3</w:t>
      </w:r>
      <w:r w:rsidRPr="00A964FF">
        <w:rPr>
          <w:rFonts w:ascii="Calibri" w:hAnsi="Calibri" w:hint="eastAsia"/>
          <w:b/>
          <w:color w:val="auto"/>
          <w:sz w:val="24"/>
        </w:rPr>
        <w:t>、监测因子及分析方法</w:t>
      </w:r>
    </w:p>
    <w:p w14:paraId="1741FF80" w14:textId="77777777" w:rsidR="006D1907" w:rsidRPr="00A964FF" w:rsidRDefault="006D1907" w:rsidP="006D1907">
      <w:pPr>
        <w:spacing w:line="520" w:lineRule="exact"/>
        <w:ind w:firstLine="480"/>
        <w:rPr>
          <w:rFonts w:ascii="Calibri" w:hAnsi="Calibri"/>
          <w:color w:val="auto"/>
          <w:sz w:val="24"/>
        </w:rPr>
      </w:pPr>
      <w:r w:rsidRPr="00A964FF">
        <w:rPr>
          <w:rFonts w:ascii="Calibri" w:hAnsi="Calibri"/>
          <w:color w:val="auto"/>
          <w:sz w:val="24"/>
        </w:rPr>
        <w:t>地表水环境质量现状监测因子</w:t>
      </w:r>
      <w:r w:rsidRPr="00A964FF">
        <w:rPr>
          <w:rFonts w:ascii="Calibri" w:hAnsi="Calibri" w:hint="eastAsia"/>
          <w:color w:val="auto"/>
          <w:sz w:val="24"/>
        </w:rPr>
        <w:t>为</w:t>
      </w:r>
      <w:r w:rsidRPr="00A964FF">
        <w:rPr>
          <w:rFonts w:ascii="Calibri" w:hAnsi="Calibri" w:hint="eastAsia"/>
          <w:color w:val="auto"/>
          <w:sz w:val="24"/>
        </w:rPr>
        <w:t>pH</w:t>
      </w:r>
      <w:r w:rsidRPr="00A964FF">
        <w:rPr>
          <w:rFonts w:ascii="Calibri" w:hAnsi="Calibri" w:hint="eastAsia"/>
          <w:color w:val="auto"/>
          <w:sz w:val="24"/>
        </w:rPr>
        <w:t>、高锰酸盐指数、</w:t>
      </w:r>
      <w:r w:rsidRPr="00A964FF">
        <w:rPr>
          <w:rFonts w:ascii="Calibri" w:hAnsi="Calibri" w:hint="eastAsia"/>
          <w:color w:val="auto"/>
          <w:sz w:val="24"/>
        </w:rPr>
        <w:t>COD</w:t>
      </w:r>
      <w:r w:rsidRPr="00A964FF">
        <w:rPr>
          <w:rFonts w:ascii="Calibri" w:hAnsi="Calibri" w:hint="eastAsia"/>
          <w:color w:val="auto"/>
          <w:sz w:val="24"/>
        </w:rPr>
        <w:t>、</w:t>
      </w:r>
      <w:r w:rsidRPr="00A964FF">
        <w:rPr>
          <w:rFonts w:ascii="Calibri" w:hAnsi="Calibri" w:hint="eastAsia"/>
          <w:color w:val="auto"/>
          <w:sz w:val="24"/>
        </w:rPr>
        <w:t>BOD</w:t>
      </w:r>
      <w:r w:rsidRPr="00A964FF">
        <w:rPr>
          <w:rFonts w:ascii="Calibri" w:hAnsi="Calibri" w:hint="eastAsia"/>
          <w:color w:val="auto"/>
          <w:sz w:val="24"/>
          <w:vertAlign w:val="subscript"/>
        </w:rPr>
        <w:t>5</w:t>
      </w:r>
      <w:r w:rsidRPr="00A964FF">
        <w:rPr>
          <w:rFonts w:ascii="Calibri" w:hAnsi="Calibri" w:hint="eastAsia"/>
          <w:color w:val="auto"/>
          <w:sz w:val="24"/>
        </w:rPr>
        <w:t>、氨氮、总氮、</w:t>
      </w:r>
      <w:r w:rsidRPr="00A964FF">
        <w:rPr>
          <w:rFonts w:ascii="Calibri" w:hAnsi="Calibri" w:hint="eastAsia"/>
          <w:color w:val="auto"/>
          <w:sz w:val="24"/>
        </w:rPr>
        <w:lastRenderedPageBreak/>
        <w:t>铜、锌、氟化物、硒、砷、汞、镉、六价铬、铅、氰化物、挥发酚、石油类、阴离子表面活性剂、硫化物、粪大肠菌群共</w:t>
      </w:r>
      <w:r w:rsidRPr="00A964FF">
        <w:rPr>
          <w:rFonts w:ascii="Calibri" w:hAnsi="Calibri" w:hint="eastAsia"/>
          <w:color w:val="auto"/>
          <w:sz w:val="24"/>
        </w:rPr>
        <w:t>2</w:t>
      </w:r>
      <w:r w:rsidR="00FC0738">
        <w:rPr>
          <w:rFonts w:ascii="Calibri" w:hAnsi="Calibri"/>
          <w:color w:val="auto"/>
          <w:sz w:val="24"/>
        </w:rPr>
        <w:t>1</w:t>
      </w:r>
      <w:r w:rsidRPr="00A964FF">
        <w:rPr>
          <w:rFonts w:ascii="Calibri" w:hAnsi="Calibri" w:hint="eastAsia"/>
          <w:color w:val="auto"/>
          <w:sz w:val="24"/>
        </w:rPr>
        <w:t>项。</w:t>
      </w:r>
    </w:p>
    <w:p w14:paraId="59F390F7" w14:textId="77777777" w:rsidR="006D1907" w:rsidRPr="005E22EF" w:rsidRDefault="006D1907" w:rsidP="006D1907">
      <w:pPr>
        <w:spacing w:line="520" w:lineRule="exact"/>
        <w:ind w:firstLine="480"/>
        <w:rPr>
          <w:rFonts w:ascii="Calibri" w:hAnsi="Calibri"/>
          <w:color w:val="auto"/>
          <w:sz w:val="24"/>
        </w:rPr>
      </w:pPr>
      <w:r w:rsidRPr="00A964FF">
        <w:rPr>
          <w:rFonts w:ascii="Calibri" w:hAnsi="Calibri"/>
          <w:color w:val="auto"/>
          <w:sz w:val="24"/>
        </w:rPr>
        <w:t>根据国家标准方法，地表水各监测因子分析方法见表</w:t>
      </w:r>
      <w:r w:rsidRPr="00A964FF">
        <w:rPr>
          <w:rFonts w:ascii="Calibri" w:hAnsi="Calibri" w:hint="eastAsia"/>
          <w:color w:val="auto"/>
          <w:sz w:val="24"/>
        </w:rPr>
        <w:t>3.3</w:t>
      </w:r>
      <w:r w:rsidRPr="00A964FF">
        <w:rPr>
          <w:rFonts w:ascii="Calibri" w:hAnsi="Calibri"/>
          <w:color w:val="auto"/>
          <w:sz w:val="24"/>
        </w:rPr>
        <w:t>-</w:t>
      </w:r>
      <w:r w:rsidRPr="00A964FF">
        <w:rPr>
          <w:rFonts w:ascii="Calibri" w:hAnsi="Calibri" w:hint="eastAsia"/>
          <w:color w:val="auto"/>
          <w:sz w:val="24"/>
        </w:rPr>
        <w:t>8</w:t>
      </w:r>
      <w:r w:rsidRPr="00A964FF">
        <w:rPr>
          <w:rFonts w:ascii="Calibri" w:hAnsi="Calibri"/>
          <w:color w:val="auto"/>
          <w:sz w:val="24"/>
        </w:rPr>
        <w:t>。</w:t>
      </w:r>
    </w:p>
    <w:p w14:paraId="700D27CC" w14:textId="77777777" w:rsidR="006D1907" w:rsidRPr="00A964FF" w:rsidRDefault="006D1907" w:rsidP="006D1907">
      <w:pPr>
        <w:spacing w:line="520" w:lineRule="exact"/>
        <w:ind w:firstLineChars="200" w:firstLine="480"/>
        <w:rPr>
          <w:rFonts w:ascii="Calibri" w:eastAsia="黑体" w:hAnsi="Calibri"/>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3.3</w:t>
      </w:r>
      <w:r w:rsidRPr="00A964FF">
        <w:rPr>
          <w:rFonts w:ascii="Calibri" w:eastAsia="黑体" w:hAnsi="Calibri"/>
          <w:color w:val="auto"/>
          <w:sz w:val="24"/>
        </w:rPr>
        <w:t>-</w:t>
      </w:r>
      <w:r w:rsidRPr="00A964FF">
        <w:rPr>
          <w:rFonts w:ascii="Calibri" w:eastAsia="黑体" w:hAnsi="Calibri" w:hint="eastAsia"/>
          <w:color w:val="auto"/>
          <w:sz w:val="24"/>
        </w:rPr>
        <w:t>8</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hint="eastAsia"/>
          <w:color w:val="auto"/>
          <w:sz w:val="24"/>
        </w:rPr>
        <w:t>地表水</w:t>
      </w:r>
      <w:r w:rsidRPr="00A964FF">
        <w:rPr>
          <w:rFonts w:ascii="Calibri" w:eastAsia="黑体" w:hAnsi="Calibri"/>
          <w:color w:val="auto"/>
          <w:sz w:val="24"/>
        </w:rPr>
        <w:t>监测分析方法一览表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570"/>
        <w:gridCol w:w="1103"/>
        <w:gridCol w:w="4956"/>
        <w:gridCol w:w="1091"/>
        <w:gridCol w:w="980"/>
      </w:tblGrid>
      <w:tr w:rsidR="006D1907" w:rsidRPr="00A964FF" w14:paraId="586026FA" w14:textId="77777777" w:rsidTr="004C513C">
        <w:trPr>
          <w:trHeight w:val="369"/>
          <w:jc w:val="center"/>
        </w:trPr>
        <w:tc>
          <w:tcPr>
            <w:tcW w:w="328" w:type="pct"/>
            <w:tcMar>
              <w:left w:w="28" w:type="dxa"/>
              <w:right w:w="28" w:type="dxa"/>
            </w:tcMar>
            <w:vAlign w:val="center"/>
          </w:tcPr>
          <w:p w14:paraId="43BCB5AB" w14:textId="77777777" w:rsidR="006D1907" w:rsidRPr="00A964FF" w:rsidRDefault="006D1907" w:rsidP="00A94556">
            <w:pPr>
              <w:pStyle w:val="a1"/>
              <w:ind w:firstLine="0"/>
              <w:jc w:val="center"/>
              <w:rPr>
                <w:rFonts w:ascii="Calibri" w:hAnsi="Calibri"/>
                <w:bCs/>
                <w:color w:val="auto"/>
                <w:szCs w:val="21"/>
              </w:rPr>
            </w:pPr>
            <w:r w:rsidRPr="00A964FF">
              <w:rPr>
                <w:rFonts w:ascii="Calibri" w:hAnsi="Calibri"/>
                <w:bCs/>
                <w:color w:val="auto"/>
                <w:szCs w:val="21"/>
              </w:rPr>
              <w:t>序号</w:t>
            </w:r>
          </w:p>
        </w:tc>
        <w:tc>
          <w:tcPr>
            <w:tcW w:w="634" w:type="pct"/>
            <w:tcMar>
              <w:left w:w="28" w:type="dxa"/>
              <w:right w:w="28" w:type="dxa"/>
            </w:tcMar>
            <w:vAlign w:val="center"/>
          </w:tcPr>
          <w:p w14:paraId="39924500" w14:textId="77777777" w:rsidR="006D1907" w:rsidRPr="00A964FF" w:rsidRDefault="006D1907" w:rsidP="00A94556">
            <w:pPr>
              <w:pStyle w:val="a1"/>
              <w:ind w:firstLine="0"/>
              <w:jc w:val="center"/>
              <w:rPr>
                <w:rFonts w:ascii="Calibri" w:hAnsi="Calibri"/>
                <w:bCs/>
                <w:color w:val="auto"/>
                <w:szCs w:val="21"/>
              </w:rPr>
            </w:pPr>
            <w:r w:rsidRPr="00A964FF">
              <w:rPr>
                <w:rFonts w:ascii="Calibri" w:hAnsi="Calibri"/>
                <w:bCs/>
                <w:color w:val="auto"/>
                <w:szCs w:val="21"/>
              </w:rPr>
              <w:t>监测项目</w:t>
            </w:r>
          </w:p>
        </w:tc>
        <w:tc>
          <w:tcPr>
            <w:tcW w:w="2848" w:type="pct"/>
            <w:tcMar>
              <w:left w:w="28" w:type="dxa"/>
              <w:right w:w="28" w:type="dxa"/>
            </w:tcMar>
            <w:vAlign w:val="center"/>
          </w:tcPr>
          <w:p w14:paraId="3B6DEFB6"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分析方法名称及来源</w:t>
            </w:r>
          </w:p>
        </w:tc>
        <w:tc>
          <w:tcPr>
            <w:tcW w:w="627" w:type="pct"/>
            <w:tcMar>
              <w:left w:w="28" w:type="dxa"/>
              <w:right w:w="28" w:type="dxa"/>
            </w:tcMar>
            <w:vAlign w:val="center"/>
          </w:tcPr>
          <w:p w14:paraId="0391E36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检出限</w:t>
            </w:r>
          </w:p>
        </w:tc>
        <w:tc>
          <w:tcPr>
            <w:tcW w:w="563" w:type="pct"/>
            <w:tcMar>
              <w:left w:w="28" w:type="dxa"/>
              <w:right w:w="28" w:type="dxa"/>
            </w:tcMar>
            <w:vAlign w:val="center"/>
          </w:tcPr>
          <w:p w14:paraId="0ECC8D94"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最低检出浓度</w:t>
            </w:r>
          </w:p>
        </w:tc>
      </w:tr>
      <w:tr w:rsidR="006D1907" w:rsidRPr="00A964FF" w14:paraId="2BD1E2C3" w14:textId="77777777" w:rsidTr="004C513C">
        <w:trPr>
          <w:trHeight w:val="369"/>
          <w:jc w:val="center"/>
        </w:trPr>
        <w:tc>
          <w:tcPr>
            <w:tcW w:w="328" w:type="pct"/>
            <w:tcMar>
              <w:left w:w="28" w:type="dxa"/>
              <w:right w:w="28" w:type="dxa"/>
            </w:tcMar>
            <w:vAlign w:val="center"/>
          </w:tcPr>
          <w:p w14:paraId="7BC43835"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1</w:t>
            </w:r>
          </w:p>
        </w:tc>
        <w:tc>
          <w:tcPr>
            <w:tcW w:w="634" w:type="pct"/>
            <w:tcMar>
              <w:left w:w="28" w:type="dxa"/>
              <w:right w:w="28" w:type="dxa"/>
            </w:tcMar>
            <w:vAlign w:val="center"/>
          </w:tcPr>
          <w:p w14:paraId="31AD3EF8"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pH</w:t>
            </w:r>
          </w:p>
        </w:tc>
        <w:tc>
          <w:tcPr>
            <w:tcW w:w="2848" w:type="pct"/>
            <w:tcMar>
              <w:left w:w="28" w:type="dxa"/>
              <w:right w:w="28" w:type="dxa"/>
            </w:tcMar>
            <w:vAlign w:val="center"/>
          </w:tcPr>
          <w:p w14:paraId="5E55715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pH</w:t>
            </w:r>
            <w:r w:rsidRPr="00A964FF">
              <w:rPr>
                <w:rFonts w:ascii="Calibri" w:hAnsi="Calibri"/>
                <w:bCs/>
                <w:color w:val="auto"/>
                <w:szCs w:val="21"/>
              </w:rPr>
              <w:t>值</w:t>
            </w:r>
            <w:r w:rsidRPr="00A964FF">
              <w:rPr>
                <w:rFonts w:ascii="Calibri" w:hAnsi="Calibri"/>
                <w:bCs/>
                <w:color w:val="auto"/>
                <w:szCs w:val="21"/>
              </w:rPr>
              <w:t xml:space="preserve"> </w:t>
            </w:r>
            <w:r w:rsidRPr="00A964FF">
              <w:rPr>
                <w:rFonts w:ascii="Calibri" w:hAnsi="Calibri"/>
                <w:bCs/>
                <w:color w:val="auto"/>
                <w:szCs w:val="21"/>
              </w:rPr>
              <w:t>便携式</w:t>
            </w:r>
            <w:r w:rsidRPr="00A964FF">
              <w:rPr>
                <w:rFonts w:ascii="Calibri" w:hAnsi="Calibri"/>
                <w:bCs/>
                <w:color w:val="auto"/>
                <w:szCs w:val="21"/>
              </w:rPr>
              <w:t>pH</w:t>
            </w:r>
            <w:r w:rsidRPr="00A964FF">
              <w:rPr>
                <w:rFonts w:ascii="Calibri" w:hAnsi="Calibri"/>
                <w:bCs/>
                <w:color w:val="auto"/>
                <w:szCs w:val="21"/>
              </w:rPr>
              <w:t>计法</w:t>
            </w:r>
            <w:r w:rsidRPr="00A964FF">
              <w:rPr>
                <w:rFonts w:ascii="Calibri" w:hAnsi="Calibri"/>
                <w:bCs/>
                <w:color w:val="auto"/>
                <w:szCs w:val="21"/>
              </w:rPr>
              <w:t xml:space="preserve"> </w:t>
            </w:r>
            <w:r w:rsidRPr="00A964FF">
              <w:rPr>
                <w:rFonts w:ascii="Calibri" w:hAnsi="Calibri"/>
                <w:bCs/>
                <w:color w:val="auto"/>
                <w:szCs w:val="21"/>
              </w:rPr>
              <w:t>《水和废水监测分析方法》（第四版增补版）</w:t>
            </w:r>
            <w:r w:rsidRPr="00A964FF">
              <w:rPr>
                <w:rFonts w:ascii="Calibri" w:hAnsi="Calibri"/>
                <w:bCs/>
                <w:color w:val="auto"/>
                <w:szCs w:val="21"/>
              </w:rPr>
              <w:t xml:space="preserve"> </w:t>
            </w:r>
            <w:r w:rsidRPr="00A964FF">
              <w:rPr>
                <w:rFonts w:ascii="Calibri" w:hAnsi="Calibri"/>
                <w:bCs/>
                <w:color w:val="auto"/>
                <w:szCs w:val="21"/>
              </w:rPr>
              <w:t>国家环境保护总局（</w:t>
            </w:r>
            <w:r w:rsidRPr="00A964FF">
              <w:rPr>
                <w:rFonts w:ascii="Calibri" w:hAnsi="Calibri"/>
                <w:bCs/>
                <w:color w:val="auto"/>
                <w:szCs w:val="21"/>
              </w:rPr>
              <w:t>2002</w:t>
            </w:r>
            <w:r w:rsidRPr="00A964FF">
              <w:rPr>
                <w:rFonts w:ascii="Calibri" w:hAnsi="Calibri"/>
                <w:bCs/>
                <w:color w:val="auto"/>
                <w:szCs w:val="21"/>
              </w:rPr>
              <w:t>年）</w:t>
            </w:r>
          </w:p>
        </w:tc>
        <w:tc>
          <w:tcPr>
            <w:tcW w:w="627" w:type="pct"/>
            <w:tcMar>
              <w:left w:w="28" w:type="dxa"/>
              <w:right w:w="28" w:type="dxa"/>
            </w:tcMar>
            <w:vAlign w:val="center"/>
          </w:tcPr>
          <w:p w14:paraId="0EEA91E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c>
          <w:tcPr>
            <w:tcW w:w="563" w:type="pct"/>
            <w:tcMar>
              <w:left w:w="28" w:type="dxa"/>
              <w:right w:w="28" w:type="dxa"/>
            </w:tcMar>
            <w:vAlign w:val="center"/>
          </w:tcPr>
          <w:p w14:paraId="57ECA063"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2DAF9A71" w14:textId="77777777" w:rsidTr="004C513C">
        <w:trPr>
          <w:trHeight w:val="369"/>
          <w:jc w:val="center"/>
        </w:trPr>
        <w:tc>
          <w:tcPr>
            <w:tcW w:w="328" w:type="pct"/>
            <w:tcMar>
              <w:left w:w="28" w:type="dxa"/>
              <w:right w:w="28" w:type="dxa"/>
            </w:tcMar>
            <w:vAlign w:val="center"/>
          </w:tcPr>
          <w:p w14:paraId="2DF522CA"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2</w:t>
            </w:r>
          </w:p>
        </w:tc>
        <w:tc>
          <w:tcPr>
            <w:tcW w:w="634" w:type="pct"/>
            <w:tcMar>
              <w:left w:w="28" w:type="dxa"/>
              <w:right w:w="28" w:type="dxa"/>
            </w:tcMar>
            <w:vAlign w:val="center"/>
          </w:tcPr>
          <w:p w14:paraId="304471F4"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高锰酸盐指数</w:t>
            </w:r>
          </w:p>
        </w:tc>
        <w:tc>
          <w:tcPr>
            <w:tcW w:w="2848" w:type="pct"/>
            <w:tcMar>
              <w:left w:w="28" w:type="dxa"/>
              <w:right w:w="28" w:type="dxa"/>
            </w:tcMar>
            <w:vAlign w:val="center"/>
          </w:tcPr>
          <w:p w14:paraId="4CD47DEC"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高锰酸盐指数的测定</w:t>
            </w:r>
            <w:r w:rsidRPr="00A964FF">
              <w:rPr>
                <w:rFonts w:ascii="Calibri" w:hAnsi="Calibri"/>
                <w:bCs/>
                <w:color w:val="auto"/>
                <w:szCs w:val="21"/>
              </w:rPr>
              <w:t xml:space="preserve"> GB/T11892-1989</w:t>
            </w:r>
          </w:p>
        </w:tc>
        <w:tc>
          <w:tcPr>
            <w:tcW w:w="627" w:type="pct"/>
            <w:tcMar>
              <w:left w:w="28" w:type="dxa"/>
              <w:right w:w="28" w:type="dxa"/>
            </w:tcMar>
            <w:vAlign w:val="center"/>
          </w:tcPr>
          <w:p w14:paraId="0EEFB03D"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0.5</w:t>
            </w:r>
            <w:r w:rsidRPr="00A964FF">
              <w:rPr>
                <w:rFonts w:ascii="Calibri" w:hAnsi="Calibri" w:hint="eastAsia"/>
                <w:bCs/>
                <w:color w:val="auto"/>
                <w:szCs w:val="21"/>
              </w:rPr>
              <w:t>mg/L</w:t>
            </w:r>
          </w:p>
        </w:tc>
        <w:tc>
          <w:tcPr>
            <w:tcW w:w="563" w:type="pct"/>
            <w:tcMar>
              <w:left w:w="28" w:type="dxa"/>
              <w:right w:w="28" w:type="dxa"/>
            </w:tcMar>
            <w:vAlign w:val="center"/>
          </w:tcPr>
          <w:p w14:paraId="1C48BE0C"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062D64A0" w14:textId="77777777" w:rsidTr="004C513C">
        <w:trPr>
          <w:trHeight w:val="369"/>
          <w:jc w:val="center"/>
        </w:trPr>
        <w:tc>
          <w:tcPr>
            <w:tcW w:w="328" w:type="pct"/>
            <w:tcMar>
              <w:left w:w="28" w:type="dxa"/>
              <w:right w:w="28" w:type="dxa"/>
            </w:tcMar>
            <w:vAlign w:val="center"/>
          </w:tcPr>
          <w:p w14:paraId="44C4B0D9"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3</w:t>
            </w:r>
          </w:p>
        </w:tc>
        <w:tc>
          <w:tcPr>
            <w:tcW w:w="634" w:type="pct"/>
            <w:tcMar>
              <w:left w:w="28" w:type="dxa"/>
              <w:right w:w="28" w:type="dxa"/>
            </w:tcMar>
            <w:vAlign w:val="center"/>
          </w:tcPr>
          <w:p w14:paraId="48C15FD4"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COD</w:t>
            </w:r>
          </w:p>
        </w:tc>
        <w:tc>
          <w:tcPr>
            <w:tcW w:w="2848" w:type="pct"/>
            <w:tcMar>
              <w:left w:w="28" w:type="dxa"/>
              <w:right w:w="28" w:type="dxa"/>
            </w:tcMar>
            <w:vAlign w:val="center"/>
          </w:tcPr>
          <w:p w14:paraId="3D86308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化学需氧量的测定</w:t>
            </w:r>
            <w:r w:rsidRPr="00A964FF">
              <w:rPr>
                <w:rFonts w:ascii="Calibri" w:hAnsi="Calibri"/>
                <w:bCs/>
                <w:color w:val="auto"/>
                <w:szCs w:val="21"/>
              </w:rPr>
              <w:t xml:space="preserve"> </w:t>
            </w:r>
            <w:r w:rsidRPr="00A964FF">
              <w:rPr>
                <w:rFonts w:ascii="Calibri" w:hAnsi="Calibri"/>
                <w:bCs/>
                <w:color w:val="auto"/>
                <w:szCs w:val="21"/>
              </w:rPr>
              <w:t>重铬酸盐法</w:t>
            </w:r>
            <w:r w:rsidRPr="00A964FF">
              <w:rPr>
                <w:rFonts w:ascii="Calibri" w:hAnsi="Calibri"/>
                <w:bCs/>
                <w:color w:val="auto"/>
                <w:szCs w:val="21"/>
              </w:rPr>
              <w:t xml:space="preserve"> HJ 828-2017</w:t>
            </w:r>
          </w:p>
        </w:tc>
        <w:tc>
          <w:tcPr>
            <w:tcW w:w="627" w:type="pct"/>
            <w:tcMar>
              <w:left w:w="28" w:type="dxa"/>
              <w:right w:w="28" w:type="dxa"/>
            </w:tcMar>
            <w:vAlign w:val="center"/>
          </w:tcPr>
          <w:p w14:paraId="600106E2"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4</w:t>
            </w:r>
            <w:r w:rsidRPr="00A964FF">
              <w:rPr>
                <w:rFonts w:ascii="Calibri" w:hAnsi="Calibri" w:hint="eastAsia"/>
                <w:bCs/>
                <w:color w:val="auto"/>
                <w:szCs w:val="21"/>
              </w:rPr>
              <w:t>mg/L</w:t>
            </w:r>
          </w:p>
        </w:tc>
        <w:tc>
          <w:tcPr>
            <w:tcW w:w="563" w:type="pct"/>
            <w:tcMar>
              <w:left w:w="28" w:type="dxa"/>
              <w:right w:w="28" w:type="dxa"/>
            </w:tcMar>
            <w:vAlign w:val="center"/>
          </w:tcPr>
          <w:p w14:paraId="2271E365"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6CA87F6D" w14:textId="77777777" w:rsidTr="004C513C">
        <w:trPr>
          <w:trHeight w:val="369"/>
          <w:jc w:val="center"/>
        </w:trPr>
        <w:tc>
          <w:tcPr>
            <w:tcW w:w="328" w:type="pct"/>
            <w:tcMar>
              <w:left w:w="28" w:type="dxa"/>
              <w:right w:w="28" w:type="dxa"/>
            </w:tcMar>
            <w:vAlign w:val="center"/>
          </w:tcPr>
          <w:p w14:paraId="1679F3D1"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4</w:t>
            </w:r>
          </w:p>
        </w:tc>
        <w:tc>
          <w:tcPr>
            <w:tcW w:w="634" w:type="pct"/>
            <w:tcMar>
              <w:left w:w="28" w:type="dxa"/>
              <w:right w:w="28" w:type="dxa"/>
            </w:tcMar>
            <w:vAlign w:val="center"/>
          </w:tcPr>
          <w:p w14:paraId="5F8B5A69"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BOD</w:t>
            </w:r>
            <w:r w:rsidRPr="00A964FF">
              <w:rPr>
                <w:rFonts w:ascii="Calibri" w:hAnsi="Calibri"/>
                <w:color w:val="auto"/>
                <w:szCs w:val="21"/>
                <w:vertAlign w:val="subscript"/>
              </w:rPr>
              <w:t>5</w:t>
            </w:r>
          </w:p>
        </w:tc>
        <w:tc>
          <w:tcPr>
            <w:tcW w:w="2848" w:type="pct"/>
            <w:tcMar>
              <w:left w:w="28" w:type="dxa"/>
              <w:right w:w="28" w:type="dxa"/>
            </w:tcMar>
            <w:vAlign w:val="center"/>
          </w:tcPr>
          <w:p w14:paraId="001864E9"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五日生化需氧量（</w:t>
            </w:r>
            <w:r w:rsidRPr="00A964FF">
              <w:rPr>
                <w:rFonts w:ascii="Calibri" w:hAnsi="Calibri"/>
                <w:bCs/>
                <w:color w:val="auto"/>
                <w:szCs w:val="21"/>
              </w:rPr>
              <w:t>BOD</w:t>
            </w:r>
            <w:r w:rsidRPr="00A964FF">
              <w:rPr>
                <w:rFonts w:ascii="Calibri" w:hAnsi="Calibri"/>
                <w:bCs/>
                <w:color w:val="auto"/>
                <w:szCs w:val="21"/>
                <w:vertAlign w:val="subscript"/>
              </w:rPr>
              <w:t>5</w:t>
            </w:r>
            <w:r w:rsidRPr="00A964FF">
              <w:rPr>
                <w:rFonts w:ascii="Calibri" w:hAnsi="Calibri"/>
                <w:bCs/>
                <w:color w:val="auto"/>
                <w:szCs w:val="21"/>
              </w:rPr>
              <w:t>）的测定</w:t>
            </w:r>
            <w:r w:rsidRPr="00A964FF">
              <w:rPr>
                <w:rFonts w:ascii="Calibri" w:hAnsi="Calibri"/>
                <w:bCs/>
                <w:color w:val="auto"/>
                <w:szCs w:val="21"/>
              </w:rPr>
              <w:t xml:space="preserve"> </w:t>
            </w:r>
            <w:r w:rsidRPr="00A964FF">
              <w:rPr>
                <w:rFonts w:ascii="Calibri" w:hAnsi="Calibri"/>
                <w:bCs/>
                <w:color w:val="auto"/>
                <w:szCs w:val="21"/>
              </w:rPr>
              <w:t>稀释与接种法</w:t>
            </w:r>
            <w:r w:rsidRPr="00A964FF">
              <w:rPr>
                <w:rFonts w:ascii="Calibri" w:hAnsi="Calibri"/>
                <w:bCs/>
                <w:color w:val="auto"/>
                <w:szCs w:val="21"/>
              </w:rPr>
              <w:t xml:space="preserve"> HJ505-2009</w:t>
            </w:r>
          </w:p>
        </w:tc>
        <w:tc>
          <w:tcPr>
            <w:tcW w:w="627" w:type="pct"/>
            <w:tcMar>
              <w:left w:w="28" w:type="dxa"/>
              <w:right w:w="28" w:type="dxa"/>
            </w:tcMar>
            <w:vAlign w:val="center"/>
          </w:tcPr>
          <w:p w14:paraId="42E3EE4D"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0.5</w:t>
            </w:r>
            <w:r w:rsidRPr="00A964FF">
              <w:rPr>
                <w:rFonts w:ascii="Calibri" w:hAnsi="Calibri" w:hint="eastAsia"/>
                <w:bCs/>
                <w:color w:val="auto"/>
                <w:szCs w:val="21"/>
              </w:rPr>
              <w:t>mg/L</w:t>
            </w:r>
          </w:p>
        </w:tc>
        <w:tc>
          <w:tcPr>
            <w:tcW w:w="563" w:type="pct"/>
            <w:tcMar>
              <w:left w:w="28" w:type="dxa"/>
              <w:right w:w="28" w:type="dxa"/>
            </w:tcMar>
            <w:vAlign w:val="center"/>
          </w:tcPr>
          <w:p w14:paraId="3D39C788"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6E56DDB5" w14:textId="77777777" w:rsidTr="004C513C">
        <w:trPr>
          <w:trHeight w:val="369"/>
          <w:jc w:val="center"/>
        </w:trPr>
        <w:tc>
          <w:tcPr>
            <w:tcW w:w="328" w:type="pct"/>
            <w:tcMar>
              <w:left w:w="28" w:type="dxa"/>
              <w:right w:w="28" w:type="dxa"/>
            </w:tcMar>
            <w:vAlign w:val="center"/>
          </w:tcPr>
          <w:p w14:paraId="172D5C54"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5</w:t>
            </w:r>
          </w:p>
        </w:tc>
        <w:tc>
          <w:tcPr>
            <w:tcW w:w="634" w:type="pct"/>
            <w:tcMar>
              <w:left w:w="28" w:type="dxa"/>
              <w:right w:w="28" w:type="dxa"/>
            </w:tcMar>
            <w:vAlign w:val="center"/>
          </w:tcPr>
          <w:p w14:paraId="423BD35D"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氨氮</w:t>
            </w:r>
          </w:p>
        </w:tc>
        <w:tc>
          <w:tcPr>
            <w:tcW w:w="2848" w:type="pct"/>
            <w:tcMar>
              <w:left w:w="28" w:type="dxa"/>
              <w:right w:w="28" w:type="dxa"/>
            </w:tcMar>
            <w:vAlign w:val="center"/>
          </w:tcPr>
          <w:p w14:paraId="0C287041"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氨氮的测定</w:t>
            </w:r>
            <w:r w:rsidRPr="00A964FF">
              <w:rPr>
                <w:rFonts w:ascii="Calibri" w:hAnsi="Calibri"/>
                <w:bCs/>
                <w:color w:val="auto"/>
                <w:szCs w:val="21"/>
              </w:rPr>
              <w:t xml:space="preserve"> </w:t>
            </w:r>
            <w:r w:rsidRPr="00A964FF">
              <w:rPr>
                <w:rFonts w:ascii="Calibri" w:hAnsi="Calibri"/>
                <w:bCs/>
                <w:color w:val="auto"/>
                <w:szCs w:val="21"/>
              </w:rPr>
              <w:t>纳氏试剂分光光度法</w:t>
            </w:r>
            <w:r w:rsidRPr="00A964FF">
              <w:rPr>
                <w:rFonts w:ascii="Calibri" w:hAnsi="Calibri"/>
                <w:bCs/>
                <w:color w:val="auto"/>
                <w:szCs w:val="21"/>
              </w:rPr>
              <w:t xml:space="preserve"> HJ 535-2009</w:t>
            </w:r>
          </w:p>
        </w:tc>
        <w:tc>
          <w:tcPr>
            <w:tcW w:w="627" w:type="pct"/>
            <w:tcMar>
              <w:left w:w="28" w:type="dxa"/>
              <w:right w:w="28" w:type="dxa"/>
            </w:tcMar>
            <w:vAlign w:val="center"/>
          </w:tcPr>
          <w:p w14:paraId="06671C73"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0.025</w:t>
            </w:r>
            <w:r w:rsidRPr="00A964FF">
              <w:rPr>
                <w:rFonts w:ascii="Calibri" w:hAnsi="Calibri" w:hint="eastAsia"/>
                <w:bCs/>
                <w:color w:val="auto"/>
                <w:szCs w:val="21"/>
              </w:rPr>
              <w:t>mg/L</w:t>
            </w:r>
          </w:p>
        </w:tc>
        <w:tc>
          <w:tcPr>
            <w:tcW w:w="563" w:type="pct"/>
            <w:tcMar>
              <w:left w:w="28" w:type="dxa"/>
              <w:right w:w="28" w:type="dxa"/>
            </w:tcMar>
            <w:vAlign w:val="center"/>
          </w:tcPr>
          <w:p w14:paraId="3CBB090C"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47ED253E" w14:textId="77777777" w:rsidTr="004C513C">
        <w:trPr>
          <w:trHeight w:val="369"/>
          <w:jc w:val="center"/>
        </w:trPr>
        <w:tc>
          <w:tcPr>
            <w:tcW w:w="328" w:type="pct"/>
            <w:tcMar>
              <w:left w:w="28" w:type="dxa"/>
              <w:right w:w="28" w:type="dxa"/>
            </w:tcMar>
            <w:vAlign w:val="center"/>
          </w:tcPr>
          <w:p w14:paraId="15846C7B" w14:textId="77777777" w:rsidR="006D1907" w:rsidRPr="00A964FF" w:rsidRDefault="004C513C" w:rsidP="00A94556">
            <w:pPr>
              <w:pStyle w:val="a1"/>
              <w:tabs>
                <w:tab w:val="left" w:pos="7560"/>
              </w:tabs>
              <w:ind w:firstLine="0"/>
              <w:jc w:val="center"/>
              <w:rPr>
                <w:rFonts w:ascii="Calibri" w:hAnsi="Calibri"/>
                <w:bCs/>
                <w:color w:val="auto"/>
                <w:szCs w:val="21"/>
              </w:rPr>
            </w:pPr>
            <w:r>
              <w:rPr>
                <w:rFonts w:ascii="Calibri" w:hAnsi="Calibri"/>
                <w:bCs/>
                <w:color w:val="auto"/>
                <w:szCs w:val="21"/>
              </w:rPr>
              <w:t>6</w:t>
            </w:r>
          </w:p>
        </w:tc>
        <w:tc>
          <w:tcPr>
            <w:tcW w:w="634" w:type="pct"/>
            <w:tcMar>
              <w:left w:w="28" w:type="dxa"/>
              <w:right w:w="28" w:type="dxa"/>
            </w:tcMar>
            <w:vAlign w:val="center"/>
          </w:tcPr>
          <w:p w14:paraId="14426AC0"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总氮</w:t>
            </w:r>
          </w:p>
        </w:tc>
        <w:tc>
          <w:tcPr>
            <w:tcW w:w="2848" w:type="pct"/>
            <w:tcMar>
              <w:left w:w="28" w:type="dxa"/>
              <w:right w:w="28" w:type="dxa"/>
            </w:tcMar>
            <w:vAlign w:val="center"/>
          </w:tcPr>
          <w:p w14:paraId="530606D7"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总氮的测定</w:t>
            </w:r>
            <w:r w:rsidRPr="00A964FF">
              <w:rPr>
                <w:rFonts w:ascii="Calibri" w:hAnsi="Calibri"/>
                <w:bCs/>
                <w:color w:val="auto"/>
                <w:szCs w:val="21"/>
              </w:rPr>
              <w:t xml:space="preserve"> </w:t>
            </w:r>
            <w:r w:rsidRPr="00A964FF">
              <w:rPr>
                <w:rFonts w:ascii="Calibri" w:hAnsi="Calibri"/>
                <w:bCs/>
                <w:color w:val="auto"/>
                <w:szCs w:val="21"/>
              </w:rPr>
              <w:t>碱性过硫酸钾消解</w:t>
            </w:r>
            <w:r w:rsidRPr="00A964FF">
              <w:rPr>
                <w:rFonts w:ascii="Calibri" w:hAnsi="Calibri"/>
                <w:bCs/>
                <w:color w:val="auto"/>
                <w:szCs w:val="21"/>
              </w:rPr>
              <w:t>-</w:t>
            </w:r>
            <w:r w:rsidRPr="00A964FF">
              <w:rPr>
                <w:rFonts w:ascii="Calibri" w:hAnsi="Calibri"/>
                <w:bCs/>
                <w:color w:val="auto"/>
                <w:szCs w:val="21"/>
              </w:rPr>
              <w:t>紫外分光光度法</w:t>
            </w:r>
          </w:p>
          <w:p w14:paraId="29413DB3"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HJ636-2012</w:t>
            </w:r>
          </w:p>
        </w:tc>
        <w:tc>
          <w:tcPr>
            <w:tcW w:w="627" w:type="pct"/>
            <w:tcMar>
              <w:left w:w="28" w:type="dxa"/>
              <w:right w:w="28" w:type="dxa"/>
            </w:tcMar>
            <w:vAlign w:val="center"/>
          </w:tcPr>
          <w:p w14:paraId="46E8BC77"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0.05</w:t>
            </w:r>
            <w:r w:rsidRPr="00A964FF">
              <w:rPr>
                <w:rFonts w:ascii="Calibri" w:hAnsi="Calibri" w:hint="eastAsia"/>
                <w:bCs/>
                <w:color w:val="auto"/>
                <w:szCs w:val="21"/>
              </w:rPr>
              <w:t>mg/L</w:t>
            </w:r>
          </w:p>
        </w:tc>
        <w:tc>
          <w:tcPr>
            <w:tcW w:w="563" w:type="pct"/>
            <w:tcMar>
              <w:left w:w="28" w:type="dxa"/>
              <w:right w:w="28" w:type="dxa"/>
            </w:tcMar>
            <w:vAlign w:val="center"/>
          </w:tcPr>
          <w:p w14:paraId="69930329"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74164793" w14:textId="77777777" w:rsidTr="004C513C">
        <w:trPr>
          <w:trHeight w:val="369"/>
          <w:jc w:val="center"/>
        </w:trPr>
        <w:tc>
          <w:tcPr>
            <w:tcW w:w="328" w:type="pct"/>
            <w:tcMar>
              <w:left w:w="28" w:type="dxa"/>
              <w:right w:w="28" w:type="dxa"/>
            </w:tcMar>
            <w:vAlign w:val="center"/>
          </w:tcPr>
          <w:p w14:paraId="6FBAA432" w14:textId="77777777" w:rsidR="006D1907" w:rsidRPr="00A964FF" w:rsidRDefault="004C513C" w:rsidP="00A94556">
            <w:pPr>
              <w:pStyle w:val="a1"/>
              <w:ind w:firstLine="0"/>
              <w:jc w:val="center"/>
              <w:rPr>
                <w:rFonts w:ascii="Calibri" w:hAnsi="Calibri"/>
                <w:color w:val="auto"/>
                <w:szCs w:val="21"/>
              </w:rPr>
            </w:pPr>
            <w:r>
              <w:rPr>
                <w:rFonts w:ascii="Calibri" w:hAnsi="Calibri"/>
                <w:color w:val="auto"/>
                <w:szCs w:val="21"/>
              </w:rPr>
              <w:t>7</w:t>
            </w:r>
          </w:p>
        </w:tc>
        <w:tc>
          <w:tcPr>
            <w:tcW w:w="634" w:type="pct"/>
            <w:tcMar>
              <w:left w:w="28" w:type="dxa"/>
              <w:right w:w="28" w:type="dxa"/>
            </w:tcMar>
            <w:vAlign w:val="center"/>
          </w:tcPr>
          <w:p w14:paraId="663A08D9"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铜</w:t>
            </w:r>
          </w:p>
        </w:tc>
        <w:tc>
          <w:tcPr>
            <w:tcW w:w="2848" w:type="pct"/>
            <w:tcMar>
              <w:left w:w="28" w:type="dxa"/>
              <w:right w:w="28" w:type="dxa"/>
            </w:tcMar>
            <w:vAlign w:val="center"/>
          </w:tcPr>
          <w:p w14:paraId="5B72623E"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生活饮用水标准检验方法</w:t>
            </w:r>
            <w:r w:rsidRPr="00A964FF">
              <w:rPr>
                <w:rFonts w:ascii="Calibri" w:hAnsi="Calibri"/>
                <w:bCs/>
                <w:color w:val="auto"/>
                <w:szCs w:val="21"/>
              </w:rPr>
              <w:t xml:space="preserve"> </w:t>
            </w:r>
            <w:r w:rsidRPr="00A964FF">
              <w:rPr>
                <w:rFonts w:ascii="Calibri" w:hAnsi="Calibri"/>
                <w:bCs/>
                <w:color w:val="auto"/>
                <w:szCs w:val="21"/>
              </w:rPr>
              <w:t>金属指标铜的测定</w:t>
            </w:r>
            <w:r w:rsidRPr="00A964FF">
              <w:rPr>
                <w:rFonts w:ascii="Calibri" w:hAnsi="Calibri"/>
                <w:bCs/>
                <w:color w:val="auto"/>
                <w:szCs w:val="21"/>
              </w:rPr>
              <w:t xml:space="preserve"> GB/T5750.6-2006</w:t>
            </w:r>
            <w:r w:rsidRPr="00A964FF">
              <w:rPr>
                <w:rFonts w:ascii="Calibri" w:hAnsi="Calibri"/>
                <w:bCs/>
                <w:color w:val="auto"/>
                <w:szCs w:val="21"/>
              </w:rPr>
              <w:t>中</w:t>
            </w:r>
            <w:r w:rsidRPr="00A964FF">
              <w:rPr>
                <w:rFonts w:ascii="Calibri" w:hAnsi="Calibri"/>
                <w:bCs/>
                <w:color w:val="auto"/>
                <w:szCs w:val="21"/>
              </w:rPr>
              <w:t>4</w:t>
            </w:r>
          </w:p>
        </w:tc>
        <w:tc>
          <w:tcPr>
            <w:tcW w:w="627" w:type="pct"/>
            <w:tcMar>
              <w:left w:w="28" w:type="dxa"/>
              <w:right w:w="28" w:type="dxa"/>
            </w:tcMar>
            <w:vAlign w:val="center"/>
          </w:tcPr>
          <w:p w14:paraId="4E2FD69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c>
          <w:tcPr>
            <w:tcW w:w="563" w:type="pct"/>
            <w:tcMar>
              <w:left w:w="28" w:type="dxa"/>
              <w:right w:w="28" w:type="dxa"/>
            </w:tcMar>
            <w:vAlign w:val="center"/>
          </w:tcPr>
          <w:p w14:paraId="1C473DB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5µg/L</w:t>
            </w:r>
          </w:p>
        </w:tc>
      </w:tr>
      <w:tr w:rsidR="006D1907" w:rsidRPr="00A964FF" w14:paraId="17DBBCFC" w14:textId="77777777" w:rsidTr="004C513C">
        <w:trPr>
          <w:trHeight w:val="369"/>
          <w:jc w:val="center"/>
        </w:trPr>
        <w:tc>
          <w:tcPr>
            <w:tcW w:w="328" w:type="pct"/>
            <w:tcMar>
              <w:left w:w="28" w:type="dxa"/>
              <w:right w:w="28" w:type="dxa"/>
            </w:tcMar>
            <w:vAlign w:val="center"/>
          </w:tcPr>
          <w:p w14:paraId="15C4CCEA" w14:textId="77777777" w:rsidR="006D1907" w:rsidRPr="00A964FF" w:rsidRDefault="004C513C" w:rsidP="00A94556">
            <w:pPr>
              <w:pStyle w:val="a1"/>
              <w:ind w:firstLine="0"/>
              <w:jc w:val="center"/>
              <w:rPr>
                <w:rFonts w:ascii="Calibri" w:hAnsi="Calibri"/>
                <w:color w:val="auto"/>
                <w:szCs w:val="21"/>
              </w:rPr>
            </w:pPr>
            <w:r>
              <w:rPr>
                <w:rFonts w:ascii="Calibri" w:hAnsi="Calibri"/>
                <w:color w:val="auto"/>
                <w:szCs w:val="21"/>
              </w:rPr>
              <w:t>8</w:t>
            </w:r>
          </w:p>
        </w:tc>
        <w:tc>
          <w:tcPr>
            <w:tcW w:w="634" w:type="pct"/>
            <w:tcMar>
              <w:left w:w="28" w:type="dxa"/>
              <w:right w:w="28" w:type="dxa"/>
            </w:tcMar>
            <w:vAlign w:val="center"/>
          </w:tcPr>
          <w:p w14:paraId="39F5DFE3"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锌</w:t>
            </w:r>
          </w:p>
        </w:tc>
        <w:tc>
          <w:tcPr>
            <w:tcW w:w="2848" w:type="pct"/>
            <w:tcMar>
              <w:left w:w="28" w:type="dxa"/>
              <w:right w:w="28" w:type="dxa"/>
            </w:tcMar>
            <w:vAlign w:val="center"/>
          </w:tcPr>
          <w:p w14:paraId="289AC7C1"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水质</w:t>
            </w:r>
            <w:r w:rsidRPr="00A964FF">
              <w:rPr>
                <w:rFonts w:ascii="Calibri" w:hAnsi="Calibri"/>
                <w:bCs/>
                <w:color w:val="auto"/>
                <w:szCs w:val="21"/>
              </w:rPr>
              <w:t xml:space="preserve"> </w:t>
            </w:r>
            <w:r w:rsidRPr="00A964FF">
              <w:rPr>
                <w:rFonts w:ascii="Calibri" w:hAnsi="Calibri"/>
                <w:bCs/>
                <w:color w:val="auto"/>
                <w:szCs w:val="21"/>
              </w:rPr>
              <w:t>铜、锌、铅、镉的测定原子吸收分光光度法</w:t>
            </w:r>
            <w:r w:rsidRPr="00A964FF">
              <w:rPr>
                <w:rFonts w:ascii="Calibri" w:hAnsi="Calibri"/>
                <w:bCs/>
                <w:color w:val="auto"/>
                <w:szCs w:val="21"/>
              </w:rPr>
              <w:t xml:space="preserve"> GB/T7475-198</w:t>
            </w:r>
          </w:p>
        </w:tc>
        <w:tc>
          <w:tcPr>
            <w:tcW w:w="627" w:type="pct"/>
            <w:tcMar>
              <w:left w:w="28" w:type="dxa"/>
              <w:right w:w="28" w:type="dxa"/>
            </w:tcMar>
            <w:vAlign w:val="center"/>
          </w:tcPr>
          <w:p w14:paraId="54EE0B1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c>
          <w:tcPr>
            <w:tcW w:w="563" w:type="pct"/>
            <w:tcMar>
              <w:left w:w="28" w:type="dxa"/>
              <w:right w:w="28" w:type="dxa"/>
            </w:tcMar>
            <w:vAlign w:val="center"/>
          </w:tcPr>
          <w:p w14:paraId="4B2CFC66"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0.05</w:t>
            </w:r>
            <w:r w:rsidRPr="00A964FF">
              <w:rPr>
                <w:rFonts w:ascii="Calibri" w:hAnsi="Calibri" w:hint="eastAsia"/>
                <w:bCs/>
                <w:color w:val="auto"/>
                <w:szCs w:val="21"/>
              </w:rPr>
              <w:t>mg/L</w:t>
            </w:r>
          </w:p>
        </w:tc>
      </w:tr>
      <w:tr w:rsidR="006D1907" w:rsidRPr="00A964FF" w14:paraId="3A9749A6" w14:textId="77777777" w:rsidTr="004C513C">
        <w:trPr>
          <w:trHeight w:val="369"/>
          <w:jc w:val="center"/>
        </w:trPr>
        <w:tc>
          <w:tcPr>
            <w:tcW w:w="328" w:type="pct"/>
            <w:tcMar>
              <w:left w:w="28" w:type="dxa"/>
              <w:right w:w="28" w:type="dxa"/>
            </w:tcMar>
            <w:vAlign w:val="center"/>
          </w:tcPr>
          <w:p w14:paraId="63EDC08C" w14:textId="77777777" w:rsidR="006D1907" w:rsidRPr="00A964FF" w:rsidRDefault="004C513C" w:rsidP="00A94556">
            <w:pPr>
              <w:pStyle w:val="a1"/>
              <w:ind w:firstLine="0"/>
              <w:jc w:val="center"/>
              <w:rPr>
                <w:rFonts w:ascii="Calibri" w:hAnsi="Calibri"/>
                <w:color w:val="auto"/>
                <w:szCs w:val="21"/>
              </w:rPr>
            </w:pPr>
            <w:r>
              <w:rPr>
                <w:rFonts w:ascii="Calibri" w:hAnsi="Calibri"/>
                <w:color w:val="auto"/>
                <w:szCs w:val="21"/>
              </w:rPr>
              <w:t>9</w:t>
            </w:r>
          </w:p>
        </w:tc>
        <w:tc>
          <w:tcPr>
            <w:tcW w:w="634" w:type="pct"/>
            <w:tcMar>
              <w:left w:w="28" w:type="dxa"/>
              <w:right w:w="28" w:type="dxa"/>
            </w:tcMar>
            <w:vAlign w:val="center"/>
          </w:tcPr>
          <w:p w14:paraId="3300B31F"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氟化物</w:t>
            </w:r>
          </w:p>
        </w:tc>
        <w:tc>
          <w:tcPr>
            <w:tcW w:w="2848" w:type="pct"/>
            <w:tcMar>
              <w:left w:w="28" w:type="dxa"/>
              <w:right w:w="28" w:type="dxa"/>
            </w:tcMar>
            <w:vAlign w:val="center"/>
          </w:tcPr>
          <w:p w14:paraId="3CE47432"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无机阴离子（</w:t>
            </w:r>
            <w:r w:rsidRPr="00A964FF">
              <w:rPr>
                <w:rFonts w:ascii="Calibri" w:hAnsi="Calibri"/>
                <w:bCs/>
                <w:color w:val="auto"/>
                <w:szCs w:val="21"/>
              </w:rPr>
              <w:t>F</w:t>
            </w:r>
            <w:r w:rsidRPr="00A964FF">
              <w:rPr>
                <w:rFonts w:ascii="Calibri" w:hAnsi="Calibri"/>
                <w:bCs/>
                <w:color w:val="auto"/>
                <w:szCs w:val="21"/>
                <w:vertAlign w:val="superscript"/>
              </w:rPr>
              <w:t>-</w:t>
            </w:r>
            <w:r w:rsidRPr="00A964FF">
              <w:rPr>
                <w:rFonts w:ascii="Calibri" w:hAnsi="Calibri"/>
                <w:bCs/>
                <w:color w:val="auto"/>
                <w:szCs w:val="21"/>
              </w:rPr>
              <w:t>、</w:t>
            </w:r>
            <w:r w:rsidRPr="00A964FF">
              <w:rPr>
                <w:rFonts w:ascii="Calibri" w:hAnsi="Calibri"/>
                <w:bCs/>
                <w:color w:val="auto"/>
                <w:szCs w:val="21"/>
              </w:rPr>
              <w:t>Cl</w:t>
            </w:r>
            <w:r w:rsidRPr="00A964FF">
              <w:rPr>
                <w:rFonts w:ascii="Calibri" w:hAnsi="Calibri"/>
                <w:bCs/>
                <w:color w:val="auto"/>
                <w:szCs w:val="21"/>
                <w:vertAlign w:val="superscript"/>
              </w:rPr>
              <w:t>-</w:t>
            </w:r>
            <w:r w:rsidRPr="00A964FF">
              <w:rPr>
                <w:rFonts w:ascii="Calibri" w:hAnsi="Calibri"/>
                <w:bCs/>
                <w:color w:val="auto"/>
                <w:szCs w:val="21"/>
              </w:rPr>
              <w:t>、</w:t>
            </w:r>
            <w:r w:rsidRPr="00A964FF">
              <w:rPr>
                <w:rFonts w:ascii="Calibri" w:hAnsi="Calibri"/>
                <w:bCs/>
                <w:color w:val="auto"/>
                <w:szCs w:val="21"/>
              </w:rPr>
              <w:t>NO</w:t>
            </w:r>
            <w:r w:rsidRPr="00A964FF">
              <w:rPr>
                <w:rFonts w:ascii="Calibri" w:hAnsi="Calibri"/>
                <w:bCs/>
                <w:color w:val="auto"/>
                <w:szCs w:val="21"/>
                <w:vertAlign w:val="subscript"/>
              </w:rPr>
              <w:t>2</w:t>
            </w:r>
            <w:r w:rsidRPr="00A964FF">
              <w:rPr>
                <w:rFonts w:ascii="Calibri" w:hAnsi="Calibri"/>
                <w:bCs/>
                <w:color w:val="auto"/>
                <w:szCs w:val="21"/>
                <w:vertAlign w:val="superscript"/>
              </w:rPr>
              <w:t>-</w:t>
            </w:r>
            <w:r w:rsidRPr="00A964FF">
              <w:rPr>
                <w:rFonts w:ascii="Calibri" w:hAnsi="Calibri"/>
                <w:bCs/>
                <w:color w:val="auto"/>
                <w:szCs w:val="21"/>
              </w:rPr>
              <w:t>、</w:t>
            </w:r>
            <w:r w:rsidRPr="00A964FF">
              <w:rPr>
                <w:rFonts w:ascii="Calibri" w:hAnsi="Calibri"/>
                <w:bCs/>
                <w:color w:val="auto"/>
                <w:szCs w:val="21"/>
              </w:rPr>
              <w:t>Br</w:t>
            </w:r>
            <w:r w:rsidRPr="00A964FF">
              <w:rPr>
                <w:rFonts w:ascii="Calibri" w:hAnsi="Calibri"/>
                <w:bCs/>
                <w:color w:val="auto"/>
                <w:szCs w:val="21"/>
                <w:vertAlign w:val="superscript"/>
              </w:rPr>
              <w:t>-</w:t>
            </w:r>
            <w:r w:rsidRPr="00A964FF">
              <w:rPr>
                <w:rFonts w:ascii="Calibri" w:hAnsi="Calibri"/>
                <w:bCs/>
                <w:color w:val="auto"/>
                <w:szCs w:val="21"/>
              </w:rPr>
              <w:t>、</w:t>
            </w:r>
            <w:r w:rsidRPr="00A964FF">
              <w:rPr>
                <w:rFonts w:ascii="Calibri" w:hAnsi="Calibri"/>
                <w:bCs/>
                <w:color w:val="auto"/>
                <w:szCs w:val="21"/>
              </w:rPr>
              <w:t>NO</w:t>
            </w:r>
            <w:r w:rsidRPr="00A964FF">
              <w:rPr>
                <w:rFonts w:ascii="Calibri" w:hAnsi="Calibri"/>
                <w:bCs/>
                <w:color w:val="auto"/>
                <w:szCs w:val="21"/>
                <w:vertAlign w:val="subscript"/>
              </w:rPr>
              <w:t>3</w:t>
            </w:r>
            <w:r w:rsidRPr="00A964FF">
              <w:rPr>
                <w:rFonts w:ascii="Calibri" w:hAnsi="Calibri"/>
                <w:bCs/>
                <w:color w:val="auto"/>
                <w:szCs w:val="21"/>
                <w:vertAlign w:val="superscript"/>
              </w:rPr>
              <w:t>-</w:t>
            </w:r>
            <w:r w:rsidRPr="00A964FF">
              <w:rPr>
                <w:rFonts w:ascii="Calibri" w:hAnsi="Calibri"/>
                <w:bCs/>
                <w:color w:val="auto"/>
                <w:szCs w:val="21"/>
              </w:rPr>
              <w:t>、</w:t>
            </w:r>
            <w:r w:rsidRPr="00A964FF">
              <w:rPr>
                <w:rFonts w:ascii="Calibri" w:hAnsi="Calibri"/>
                <w:bCs/>
                <w:color w:val="auto"/>
                <w:szCs w:val="21"/>
              </w:rPr>
              <w:t>PO</w:t>
            </w:r>
            <w:r w:rsidRPr="00A964FF">
              <w:rPr>
                <w:rFonts w:ascii="Calibri" w:hAnsi="Calibri"/>
                <w:bCs/>
                <w:color w:val="auto"/>
                <w:szCs w:val="21"/>
                <w:vertAlign w:val="subscript"/>
              </w:rPr>
              <w:t>4</w:t>
            </w:r>
            <w:r w:rsidRPr="00A964FF">
              <w:rPr>
                <w:rFonts w:ascii="Calibri" w:hAnsi="Calibri"/>
                <w:bCs/>
                <w:color w:val="auto"/>
                <w:szCs w:val="21"/>
                <w:vertAlign w:val="superscript"/>
              </w:rPr>
              <w:t>3-</w:t>
            </w:r>
            <w:r w:rsidRPr="00A964FF">
              <w:rPr>
                <w:rFonts w:ascii="Calibri" w:hAnsi="Calibri"/>
                <w:bCs/>
                <w:color w:val="auto"/>
                <w:szCs w:val="21"/>
              </w:rPr>
              <w:t>、</w:t>
            </w:r>
            <w:r w:rsidRPr="00A964FF">
              <w:rPr>
                <w:rFonts w:ascii="Calibri" w:hAnsi="Calibri"/>
                <w:bCs/>
                <w:color w:val="auto"/>
                <w:szCs w:val="21"/>
              </w:rPr>
              <w:t>SO</w:t>
            </w:r>
            <w:r w:rsidRPr="00A964FF">
              <w:rPr>
                <w:rFonts w:ascii="Calibri" w:hAnsi="Calibri"/>
                <w:bCs/>
                <w:color w:val="auto"/>
                <w:szCs w:val="21"/>
                <w:vertAlign w:val="subscript"/>
              </w:rPr>
              <w:t>3</w:t>
            </w:r>
            <w:r w:rsidRPr="00A964FF">
              <w:rPr>
                <w:rFonts w:ascii="Calibri" w:hAnsi="Calibri"/>
                <w:bCs/>
                <w:color w:val="auto"/>
                <w:szCs w:val="21"/>
                <w:vertAlign w:val="superscript"/>
              </w:rPr>
              <w:t>2-</w:t>
            </w:r>
            <w:r w:rsidRPr="00A964FF">
              <w:rPr>
                <w:rFonts w:ascii="Calibri" w:hAnsi="Calibri"/>
                <w:bCs/>
                <w:color w:val="auto"/>
                <w:szCs w:val="21"/>
              </w:rPr>
              <w:t>、</w:t>
            </w:r>
            <w:r w:rsidRPr="00A964FF">
              <w:rPr>
                <w:rFonts w:ascii="Calibri" w:hAnsi="Calibri"/>
                <w:bCs/>
                <w:color w:val="auto"/>
                <w:szCs w:val="21"/>
              </w:rPr>
              <w:t>SO</w:t>
            </w:r>
            <w:r w:rsidRPr="00A964FF">
              <w:rPr>
                <w:rFonts w:ascii="Calibri" w:hAnsi="Calibri"/>
                <w:bCs/>
                <w:color w:val="auto"/>
                <w:szCs w:val="21"/>
                <w:vertAlign w:val="subscript"/>
              </w:rPr>
              <w:t>4</w:t>
            </w:r>
            <w:r w:rsidRPr="00A964FF">
              <w:rPr>
                <w:rFonts w:ascii="Calibri" w:hAnsi="Calibri"/>
                <w:bCs/>
                <w:color w:val="auto"/>
                <w:szCs w:val="21"/>
                <w:vertAlign w:val="superscript"/>
              </w:rPr>
              <w:t>2-</w:t>
            </w:r>
            <w:r w:rsidRPr="00A964FF">
              <w:rPr>
                <w:rFonts w:ascii="Calibri" w:hAnsi="Calibri"/>
                <w:bCs/>
                <w:color w:val="auto"/>
                <w:szCs w:val="21"/>
              </w:rPr>
              <w:t>）的测定</w:t>
            </w:r>
            <w:r w:rsidRPr="00A964FF">
              <w:rPr>
                <w:rFonts w:ascii="Calibri" w:hAnsi="Calibri"/>
                <w:bCs/>
                <w:color w:val="auto"/>
                <w:szCs w:val="21"/>
              </w:rPr>
              <w:t xml:space="preserve"> </w:t>
            </w:r>
            <w:r w:rsidRPr="00A964FF">
              <w:rPr>
                <w:rFonts w:ascii="Calibri" w:hAnsi="Calibri"/>
                <w:bCs/>
                <w:color w:val="auto"/>
                <w:szCs w:val="21"/>
              </w:rPr>
              <w:t>离子色谱法</w:t>
            </w:r>
            <w:r w:rsidRPr="00A964FF">
              <w:rPr>
                <w:rFonts w:ascii="Calibri" w:hAnsi="Calibri"/>
                <w:bCs/>
                <w:color w:val="auto"/>
                <w:szCs w:val="21"/>
              </w:rPr>
              <w:t xml:space="preserve"> HJ84-2016</w:t>
            </w:r>
          </w:p>
        </w:tc>
        <w:tc>
          <w:tcPr>
            <w:tcW w:w="627" w:type="pct"/>
            <w:tcMar>
              <w:left w:w="28" w:type="dxa"/>
              <w:right w:w="28" w:type="dxa"/>
            </w:tcMar>
            <w:vAlign w:val="center"/>
          </w:tcPr>
          <w:p w14:paraId="234A6407"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0.006</w:t>
            </w:r>
            <w:r w:rsidRPr="00A964FF">
              <w:rPr>
                <w:rFonts w:ascii="Calibri" w:hAnsi="Calibri" w:hint="eastAsia"/>
                <w:bCs/>
                <w:color w:val="auto"/>
                <w:szCs w:val="21"/>
              </w:rPr>
              <w:t>mg/L</w:t>
            </w:r>
          </w:p>
        </w:tc>
        <w:tc>
          <w:tcPr>
            <w:tcW w:w="563" w:type="pct"/>
            <w:tcMar>
              <w:left w:w="28" w:type="dxa"/>
              <w:right w:w="28" w:type="dxa"/>
            </w:tcMar>
            <w:vAlign w:val="center"/>
          </w:tcPr>
          <w:p w14:paraId="77EC2D6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593DA130" w14:textId="77777777" w:rsidTr="004C513C">
        <w:trPr>
          <w:trHeight w:val="369"/>
          <w:jc w:val="center"/>
        </w:trPr>
        <w:tc>
          <w:tcPr>
            <w:tcW w:w="328" w:type="pct"/>
            <w:tcMar>
              <w:left w:w="28" w:type="dxa"/>
              <w:right w:w="28" w:type="dxa"/>
            </w:tcMar>
            <w:vAlign w:val="center"/>
          </w:tcPr>
          <w:p w14:paraId="58F12ECF"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1</w:t>
            </w:r>
            <w:r w:rsidR="004C513C">
              <w:rPr>
                <w:rFonts w:ascii="Calibri" w:hAnsi="Calibri"/>
                <w:color w:val="auto"/>
                <w:szCs w:val="21"/>
              </w:rPr>
              <w:t>0</w:t>
            </w:r>
          </w:p>
        </w:tc>
        <w:tc>
          <w:tcPr>
            <w:tcW w:w="634" w:type="pct"/>
            <w:tcMar>
              <w:left w:w="28" w:type="dxa"/>
              <w:right w:w="28" w:type="dxa"/>
            </w:tcMar>
            <w:vAlign w:val="center"/>
          </w:tcPr>
          <w:p w14:paraId="379D9C4F"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硒</w:t>
            </w:r>
          </w:p>
        </w:tc>
        <w:tc>
          <w:tcPr>
            <w:tcW w:w="2848" w:type="pct"/>
            <w:vMerge w:val="restart"/>
            <w:tcMar>
              <w:left w:w="28" w:type="dxa"/>
              <w:right w:w="28" w:type="dxa"/>
            </w:tcMar>
            <w:vAlign w:val="center"/>
          </w:tcPr>
          <w:p w14:paraId="348245C3"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水质汞、砷、硒、铋和锑的测定</w:t>
            </w:r>
            <w:r w:rsidRPr="00A964FF">
              <w:rPr>
                <w:rFonts w:ascii="Calibri" w:hAnsi="Calibri"/>
                <w:bCs/>
                <w:color w:val="auto"/>
                <w:szCs w:val="21"/>
              </w:rPr>
              <w:t xml:space="preserve"> </w:t>
            </w:r>
            <w:r w:rsidRPr="00A964FF">
              <w:rPr>
                <w:rFonts w:ascii="Calibri" w:hAnsi="Calibri"/>
                <w:bCs/>
                <w:color w:val="auto"/>
                <w:szCs w:val="21"/>
              </w:rPr>
              <w:t>原子荧光法</w:t>
            </w:r>
          </w:p>
          <w:p w14:paraId="04BB1320" w14:textId="77777777" w:rsidR="006D1907" w:rsidRPr="00A964FF" w:rsidRDefault="006D1907" w:rsidP="00A94556">
            <w:pPr>
              <w:pStyle w:val="a1"/>
              <w:tabs>
                <w:tab w:val="left" w:pos="7560"/>
              </w:tabs>
              <w:ind w:firstLine="0"/>
              <w:jc w:val="center"/>
              <w:rPr>
                <w:rFonts w:ascii="Calibri" w:hAnsi="Calibri"/>
                <w:bCs/>
                <w:color w:val="auto"/>
                <w:szCs w:val="21"/>
              </w:rPr>
            </w:pPr>
            <w:r>
              <w:rPr>
                <w:rFonts w:ascii="Calibri" w:hAnsi="Calibri"/>
                <w:bCs/>
                <w:color w:val="auto"/>
                <w:szCs w:val="21"/>
              </w:rPr>
              <w:t>HJ</w:t>
            </w:r>
            <w:r w:rsidRPr="00A964FF">
              <w:rPr>
                <w:rFonts w:ascii="Calibri" w:hAnsi="Calibri"/>
                <w:bCs/>
                <w:color w:val="auto"/>
                <w:szCs w:val="21"/>
              </w:rPr>
              <w:t>694-2014</w:t>
            </w:r>
          </w:p>
        </w:tc>
        <w:tc>
          <w:tcPr>
            <w:tcW w:w="627" w:type="pct"/>
            <w:tcMar>
              <w:left w:w="28" w:type="dxa"/>
              <w:right w:w="28" w:type="dxa"/>
            </w:tcMar>
            <w:vAlign w:val="center"/>
          </w:tcPr>
          <w:p w14:paraId="17D95877"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0.4µg/L</w:t>
            </w:r>
          </w:p>
        </w:tc>
        <w:tc>
          <w:tcPr>
            <w:tcW w:w="563" w:type="pct"/>
            <w:tcMar>
              <w:left w:w="28" w:type="dxa"/>
              <w:right w:w="28" w:type="dxa"/>
            </w:tcMar>
            <w:vAlign w:val="center"/>
          </w:tcPr>
          <w:p w14:paraId="08239CA8"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2EE88B93" w14:textId="77777777" w:rsidTr="004C513C">
        <w:trPr>
          <w:trHeight w:val="369"/>
          <w:jc w:val="center"/>
        </w:trPr>
        <w:tc>
          <w:tcPr>
            <w:tcW w:w="328" w:type="pct"/>
            <w:tcMar>
              <w:left w:w="28" w:type="dxa"/>
              <w:right w:w="28" w:type="dxa"/>
            </w:tcMar>
            <w:vAlign w:val="center"/>
          </w:tcPr>
          <w:p w14:paraId="2C5D8535"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1</w:t>
            </w:r>
            <w:r w:rsidR="004C513C">
              <w:rPr>
                <w:rFonts w:ascii="Calibri" w:hAnsi="Calibri"/>
                <w:color w:val="auto"/>
                <w:szCs w:val="21"/>
              </w:rPr>
              <w:t>1</w:t>
            </w:r>
          </w:p>
        </w:tc>
        <w:tc>
          <w:tcPr>
            <w:tcW w:w="634" w:type="pct"/>
            <w:tcMar>
              <w:left w:w="28" w:type="dxa"/>
              <w:right w:w="28" w:type="dxa"/>
            </w:tcMar>
            <w:vAlign w:val="center"/>
          </w:tcPr>
          <w:p w14:paraId="1ACC02C5"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汞</w:t>
            </w:r>
          </w:p>
        </w:tc>
        <w:tc>
          <w:tcPr>
            <w:tcW w:w="2848" w:type="pct"/>
            <w:vMerge/>
            <w:tcMar>
              <w:left w:w="28" w:type="dxa"/>
              <w:right w:w="28" w:type="dxa"/>
            </w:tcMar>
            <w:vAlign w:val="center"/>
          </w:tcPr>
          <w:p w14:paraId="1F93021B" w14:textId="77777777" w:rsidR="006D1907" w:rsidRPr="00A964FF" w:rsidRDefault="006D1907" w:rsidP="00A94556">
            <w:pPr>
              <w:pStyle w:val="a1"/>
              <w:tabs>
                <w:tab w:val="left" w:pos="7560"/>
              </w:tabs>
              <w:ind w:firstLine="0"/>
              <w:jc w:val="center"/>
              <w:rPr>
                <w:rFonts w:ascii="Calibri" w:hAnsi="Calibri"/>
                <w:bCs/>
                <w:color w:val="auto"/>
                <w:szCs w:val="21"/>
              </w:rPr>
            </w:pPr>
          </w:p>
        </w:tc>
        <w:tc>
          <w:tcPr>
            <w:tcW w:w="627" w:type="pct"/>
            <w:tcMar>
              <w:left w:w="28" w:type="dxa"/>
              <w:right w:w="28" w:type="dxa"/>
            </w:tcMar>
            <w:vAlign w:val="center"/>
          </w:tcPr>
          <w:p w14:paraId="65C484AC"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0.04µg/L</w:t>
            </w:r>
          </w:p>
        </w:tc>
        <w:tc>
          <w:tcPr>
            <w:tcW w:w="563" w:type="pct"/>
            <w:tcMar>
              <w:left w:w="28" w:type="dxa"/>
              <w:right w:w="28" w:type="dxa"/>
            </w:tcMar>
            <w:vAlign w:val="center"/>
          </w:tcPr>
          <w:p w14:paraId="3F22A389"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2D7A149C" w14:textId="77777777" w:rsidTr="004C513C">
        <w:trPr>
          <w:trHeight w:val="369"/>
          <w:jc w:val="center"/>
        </w:trPr>
        <w:tc>
          <w:tcPr>
            <w:tcW w:w="328" w:type="pct"/>
            <w:tcMar>
              <w:left w:w="28" w:type="dxa"/>
              <w:right w:w="28" w:type="dxa"/>
            </w:tcMar>
            <w:vAlign w:val="center"/>
          </w:tcPr>
          <w:p w14:paraId="2A3F40D9" w14:textId="77777777" w:rsidR="006D1907" w:rsidRPr="00A964FF" w:rsidRDefault="006D1907" w:rsidP="004C513C">
            <w:pPr>
              <w:pStyle w:val="a1"/>
              <w:ind w:firstLine="0"/>
              <w:jc w:val="center"/>
              <w:rPr>
                <w:rFonts w:ascii="Calibri" w:hAnsi="Calibri"/>
                <w:color w:val="auto"/>
                <w:szCs w:val="21"/>
              </w:rPr>
            </w:pPr>
            <w:r>
              <w:rPr>
                <w:rFonts w:ascii="Calibri" w:hAnsi="Calibri" w:hint="eastAsia"/>
                <w:color w:val="auto"/>
                <w:szCs w:val="21"/>
              </w:rPr>
              <w:t>1</w:t>
            </w:r>
            <w:r w:rsidR="004C513C">
              <w:rPr>
                <w:rFonts w:ascii="Calibri" w:hAnsi="Calibri"/>
                <w:color w:val="auto"/>
                <w:szCs w:val="21"/>
              </w:rPr>
              <w:t>2</w:t>
            </w:r>
          </w:p>
        </w:tc>
        <w:tc>
          <w:tcPr>
            <w:tcW w:w="634" w:type="pct"/>
            <w:tcMar>
              <w:left w:w="28" w:type="dxa"/>
              <w:right w:w="28" w:type="dxa"/>
            </w:tcMar>
            <w:vAlign w:val="center"/>
          </w:tcPr>
          <w:p w14:paraId="57A79262"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砷</w:t>
            </w:r>
          </w:p>
        </w:tc>
        <w:tc>
          <w:tcPr>
            <w:tcW w:w="2848" w:type="pct"/>
            <w:vMerge/>
            <w:tcMar>
              <w:left w:w="28" w:type="dxa"/>
              <w:right w:w="28" w:type="dxa"/>
            </w:tcMar>
            <w:vAlign w:val="center"/>
          </w:tcPr>
          <w:p w14:paraId="52A7935D" w14:textId="77777777" w:rsidR="006D1907" w:rsidRPr="00A964FF" w:rsidRDefault="006D1907" w:rsidP="00A94556">
            <w:pPr>
              <w:pStyle w:val="a1"/>
              <w:tabs>
                <w:tab w:val="left" w:pos="7560"/>
              </w:tabs>
              <w:ind w:firstLine="0"/>
              <w:jc w:val="center"/>
              <w:rPr>
                <w:rFonts w:ascii="Calibri" w:hAnsi="Calibri"/>
                <w:bCs/>
                <w:color w:val="auto"/>
                <w:szCs w:val="21"/>
              </w:rPr>
            </w:pPr>
          </w:p>
        </w:tc>
        <w:tc>
          <w:tcPr>
            <w:tcW w:w="627" w:type="pct"/>
            <w:tcMar>
              <w:left w:w="28" w:type="dxa"/>
              <w:right w:w="28" w:type="dxa"/>
            </w:tcMar>
            <w:vAlign w:val="center"/>
          </w:tcPr>
          <w:p w14:paraId="01CD47D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0.3µg/L</w:t>
            </w:r>
          </w:p>
        </w:tc>
        <w:tc>
          <w:tcPr>
            <w:tcW w:w="563" w:type="pct"/>
            <w:tcMar>
              <w:left w:w="28" w:type="dxa"/>
              <w:right w:w="28" w:type="dxa"/>
            </w:tcMar>
            <w:vAlign w:val="center"/>
          </w:tcPr>
          <w:p w14:paraId="3B4A53B5"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4BDDDAA7" w14:textId="77777777" w:rsidTr="004C513C">
        <w:trPr>
          <w:trHeight w:val="369"/>
          <w:jc w:val="center"/>
        </w:trPr>
        <w:tc>
          <w:tcPr>
            <w:tcW w:w="328" w:type="pct"/>
            <w:tcMar>
              <w:left w:w="28" w:type="dxa"/>
              <w:right w:w="28" w:type="dxa"/>
            </w:tcMar>
            <w:vAlign w:val="center"/>
          </w:tcPr>
          <w:p w14:paraId="3F756496"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1</w:t>
            </w:r>
            <w:r w:rsidR="004C513C">
              <w:rPr>
                <w:rFonts w:ascii="Calibri" w:hAnsi="Calibri"/>
                <w:color w:val="auto"/>
                <w:szCs w:val="21"/>
              </w:rPr>
              <w:t>3</w:t>
            </w:r>
          </w:p>
        </w:tc>
        <w:tc>
          <w:tcPr>
            <w:tcW w:w="634" w:type="pct"/>
            <w:tcMar>
              <w:left w:w="28" w:type="dxa"/>
              <w:right w:w="28" w:type="dxa"/>
            </w:tcMar>
            <w:vAlign w:val="center"/>
          </w:tcPr>
          <w:p w14:paraId="15A0A603"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镉</w:t>
            </w:r>
          </w:p>
        </w:tc>
        <w:tc>
          <w:tcPr>
            <w:tcW w:w="2848" w:type="pct"/>
            <w:tcMar>
              <w:left w:w="28" w:type="dxa"/>
              <w:right w:w="28" w:type="dxa"/>
            </w:tcMar>
            <w:vAlign w:val="center"/>
          </w:tcPr>
          <w:p w14:paraId="4F0D7A8F"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生活饮用水标准检验方法</w:t>
            </w:r>
            <w:r w:rsidRPr="00A964FF">
              <w:rPr>
                <w:rFonts w:ascii="Calibri" w:hAnsi="Calibri"/>
                <w:bCs/>
                <w:color w:val="auto"/>
                <w:szCs w:val="21"/>
              </w:rPr>
              <w:t xml:space="preserve"> </w:t>
            </w:r>
            <w:r w:rsidRPr="00A964FF">
              <w:rPr>
                <w:rFonts w:ascii="Calibri" w:hAnsi="Calibri"/>
                <w:bCs/>
                <w:color w:val="auto"/>
                <w:szCs w:val="21"/>
              </w:rPr>
              <w:t>金属指标镉的测定</w:t>
            </w:r>
            <w:r w:rsidRPr="00A964FF">
              <w:rPr>
                <w:rFonts w:ascii="Calibri" w:hAnsi="Calibri"/>
                <w:bCs/>
                <w:color w:val="auto"/>
                <w:szCs w:val="21"/>
              </w:rPr>
              <w:t xml:space="preserve"> GB/T5750.6-2006</w:t>
            </w:r>
            <w:r w:rsidRPr="00A964FF">
              <w:rPr>
                <w:rFonts w:ascii="Calibri" w:hAnsi="Calibri"/>
                <w:bCs/>
                <w:color w:val="auto"/>
                <w:szCs w:val="21"/>
              </w:rPr>
              <w:t>中</w:t>
            </w:r>
            <w:r w:rsidRPr="00A964FF">
              <w:rPr>
                <w:rFonts w:ascii="Calibri" w:hAnsi="Calibri"/>
                <w:bCs/>
                <w:color w:val="auto"/>
                <w:szCs w:val="21"/>
              </w:rPr>
              <w:t>9</w:t>
            </w:r>
          </w:p>
        </w:tc>
        <w:tc>
          <w:tcPr>
            <w:tcW w:w="627" w:type="pct"/>
            <w:tcMar>
              <w:left w:w="28" w:type="dxa"/>
              <w:right w:w="28" w:type="dxa"/>
            </w:tcMar>
            <w:vAlign w:val="center"/>
          </w:tcPr>
          <w:p w14:paraId="5323A60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c>
          <w:tcPr>
            <w:tcW w:w="563" w:type="pct"/>
            <w:tcMar>
              <w:left w:w="28" w:type="dxa"/>
              <w:right w:w="28" w:type="dxa"/>
            </w:tcMar>
            <w:vAlign w:val="center"/>
          </w:tcPr>
          <w:p w14:paraId="19A436FA"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0.5µg/L</w:t>
            </w:r>
          </w:p>
        </w:tc>
      </w:tr>
      <w:tr w:rsidR="006D1907" w:rsidRPr="00A964FF" w14:paraId="31913D96" w14:textId="77777777" w:rsidTr="004C513C">
        <w:trPr>
          <w:trHeight w:val="369"/>
          <w:jc w:val="center"/>
        </w:trPr>
        <w:tc>
          <w:tcPr>
            <w:tcW w:w="328" w:type="pct"/>
            <w:tcMar>
              <w:left w:w="28" w:type="dxa"/>
              <w:right w:w="28" w:type="dxa"/>
            </w:tcMar>
            <w:vAlign w:val="center"/>
          </w:tcPr>
          <w:p w14:paraId="191A1D99"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1</w:t>
            </w:r>
            <w:r w:rsidR="004C513C">
              <w:rPr>
                <w:rFonts w:ascii="Calibri" w:hAnsi="Calibri"/>
                <w:color w:val="auto"/>
                <w:szCs w:val="21"/>
              </w:rPr>
              <w:t>4</w:t>
            </w:r>
          </w:p>
        </w:tc>
        <w:tc>
          <w:tcPr>
            <w:tcW w:w="634" w:type="pct"/>
            <w:tcMar>
              <w:left w:w="28" w:type="dxa"/>
              <w:right w:w="28" w:type="dxa"/>
            </w:tcMar>
            <w:vAlign w:val="center"/>
          </w:tcPr>
          <w:p w14:paraId="19EE43C3"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六价铬</w:t>
            </w:r>
          </w:p>
        </w:tc>
        <w:tc>
          <w:tcPr>
            <w:tcW w:w="2848" w:type="pct"/>
            <w:tcMar>
              <w:left w:w="28" w:type="dxa"/>
              <w:right w:w="28" w:type="dxa"/>
            </w:tcMar>
            <w:vAlign w:val="center"/>
          </w:tcPr>
          <w:p w14:paraId="64AA46C3"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六价铬的测定</w:t>
            </w:r>
            <w:r w:rsidRPr="00A964FF">
              <w:rPr>
                <w:rFonts w:ascii="Calibri" w:hAnsi="Calibri"/>
                <w:bCs/>
                <w:color w:val="auto"/>
                <w:szCs w:val="21"/>
              </w:rPr>
              <w:t xml:space="preserve"> </w:t>
            </w:r>
            <w:r w:rsidRPr="00A964FF">
              <w:rPr>
                <w:rFonts w:ascii="Calibri" w:hAnsi="Calibri"/>
                <w:bCs/>
                <w:color w:val="auto"/>
                <w:szCs w:val="21"/>
              </w:rPr>
              <w:t>二苯碳酰二肼分光光度法</w:t>
            </w:r>
            <w:r w:rsidRPr="00A964FF">
              <w:rPr>
                <w:rFonts w:ascii="Calibri" w:hAnsi="Calibri"/>
                <w:bCs/>
                <w:color w:val="auto"/>
                <w:szCs w:val="21"/>
              </w:rPr>
              <w:t xml:space="preserve"> GB/T7467-1987</w:t>
            </w:r>
          </w:p>
        </w:tc>
        <w:tc>
          <w:tcPr>
            <w:tcW w:w="627" w:type="pct"/>
            <w:tcMar>
              <w:left w:w="28" w:type="dxa"/>
              <w:right w:w="28" w:type="dxa"/>
            </w:tcMar>
            <w:vAlign w:val="center"/>
          </w:tcPr>
          <w:p w14:paraId="73698625"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c>
          <w:tcPr>
            <w:tcW w:w="563" w:type="pct"/>
            <w:tcMar>
              <w:left w:w="28" w:type="dxa"/>
              <w:right w:w="28" w:type="dxa"/>
            </w:tcMar>
            <w:vAlign w:val="center"/>
          </w:tcPr>
          <w:p w14:paraId="324C3B71"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0.004</w:t>
            </w:r>
            <w:r w:rsidRPr="00A964FF">
              <w:rPr>
                <w:rFonts w:ascii="Calibri" w:hAnsi="Calibri" w:hint="eastAsia"/>
                <w:bCs/>
                <w:color w:val="auto"/>
                <w:szCs w:val="21"/>
              </w:rPr>
              <w:t>mg/L</w:t>
            </w:r>
          </w:p>
        </w:tc>
      </w:tr>
      <w:tr w:rsidR="006D1907" w:rsidRPr="00A964FF" w14:paraId="440AA91F" w14:textId="77777777" w:rsidTr="004C513C">
        <w:trPr>
          <w:trHeight w:val="369"/>
          <w:jc w:val="center"/>
        </w:trPr>
        <w:tc>
          <w:tcPr>
            <w:tcW w:w="328" w:type="pct"/>
            <w:tcMar>
              <w:left w:w="28" w:type="dxa"/>
              <w:right w:w="28" w:type="dxa"/>
            </w:tcMar>
            <w:vAlign w:val="center"/>
          </w:tcPr>
          <w:p w14:paraId="2BF46DAC"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1</w:t>
            </w:r>
            <w:r w:rsidR="004C513C">
              <w:rPr>
                <w:rFonts w:ascii="Calibri" w:hAnsi="Calibri"/>
                <w:color w:val="auto"/>
                <w:szCs w:val="21"/>
              </w:rPr>
              <w:t>5</w:t>
            </w:r>
          </w:p>
        </w:tc>
        <w:tc>
          <w:tcPr>
            <w:tcW w:w="634" w:type="pct"/>
            <w:tcMar>
              <w:left w:w="28" w:type="dxa"/>
              <w:right w:w="28" w:type="dxa"/>
            </w:tcMar>
            <w:vAlign w:val="center"/>
          </w:tcPr>
          <w:p w14:paraId="5B203294"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铅</w:t>
            </w:r>
          </w:p>
        </w:tc>
        <w:tc>
          <w:tcPr>
            <w:tcW w:w="2848" w:type="pct"/>
            <w:tcMar>
              <w:left w:w="28" w:type="dxa"/>
              <w:right w:w="28" w:type="dxa"/>
            </w:tcMar>
            <w:vAlign w:val="center"/>
          </w:tcPr>
          <w:p w14:paraId="7D414276"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生活饮用水标准检验方法</w:t>
            </w:r>
            <w:r w:rsidRPr="00A964FF">
              <w:rPr>
                <w:rFonts w:ascii="Calibri" w:hAnsi="Calibri"/>
                <w:bCs/>
                <w:color w:val="auto"/>
                <w:szCs w:val="21"/>
              </w:rPr>
              <w:t xml:space="preserve"> </w:t>
            </w:r>
            <w:r w:rsidRPr="00A964FF">
              <w:rPr>
                <w:rFonts w:ascii="Calibri" w:hAnsi="Calibri"/>
                <w:bCs/>
                <w:color w:val="auto"/>
                <w:szCs w:val="21"/>
              </w:rPr>
              <w:t>金属指标</w:t>
            </w:r>
            <w:r w:rsidRPr="00A964FF">
              <w:rPr>
                <w:rFonts w:ascii="Calibri" w:hAnsi="Calibri"/>
                <w:bCs/>
                <w:color w:val="auto"/>
                <w:szCs w:val="21"/>
              </w:rPr>
              <w:t xml:space="preserve"> </w:t>
            </w:r>
            <w:r w:rsidRPr="00A964FF">
              <w:rPr>
                <w:rFonts w:ascii="Calibri" w:hAnsi="Calibri"/>
                <w:bCs/>
                <w:color w:val="auto"/>
                <w:szCs w:val="21"/>
              </w:rPr>
              <w:t>铅的测定</w:t>
            </w:r>
            <w:r w:rsidRPr="00A964FF">
              <w:rPr>
                <w:rFonts w:ascii="Calibri" w:hAnsi="Calibri"/>
                <w:bCs/>
                <w:color w:val="auto"/>
                <w:szCs w:val="21"/>
              </w:rPr>
              <w:t xml:space="preserve"> GB/T5750.6-2006 </w:t>
            </w:r>
            <w:r w:rsidRPr="00A964FF">
              <w:rPr>
                <w:rFonts w:ascii="Calibri" w:hAnsi="Calibri"/>
                <w:bCs/>
                <w:color w:val="auto"/>
                <w:szCs w:val="21"/>
              </w:rPr>
              <w:t>中</w:t>
            </w:r>
            <w:r w:rsidRPr="00A964FF">
              <w:rPr>
                <w:rFonts w:ascii="Calibri" w:hAnsi="Calibri"/>
                <w:bCs/>
                <w:color w:val="auto"/>
                <w:szCs w:val="21"/>
              </w:rPr>
              <w:t xml:space="preserve"> 11</w:t>
            </w:r>
          </w:p>
        </w:tc>
        <w:tc>
          <w:tcPr>
            <w:tcW w:w="627" w:type="pct"/>
            <w:tcMar>
              <w:left w:w="28" w:type="dxa"/>
              <w:right w:w="28" w:type="dxa"/>
            </w:tcMar>
            <w:vAlign w:val="center"/>
          </w:tcPr>
          <w:p w14:paraId="4B9F9BE2"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c>
          <w:tcPr>
            <w:tcW w:w="563" w:type="pct"/>
            <w:tcMar>
              <w:left w:w="28" w:type="dxa"/>
              <w:right w:w="28" w:type="dxa"/>
            </w:tcMar>
            <w:vAlign w:val="center"/>
          </w:tcPr>
          <w:p w14:paraId="452C000C"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348EF940" w14:textId="77777777" w:rsidTr="004C513C">
        <w:trPr>
          <w:trHeight w:val="369"/>
          <w:jc w:val="center"/>
        </w:trPr>
        <w:tc>
          <w:tcPr>
            <w:tcW w:w="328" w:type="pct"/>
            <w:tcMar>
              <w:left w:w="28" w:type="dxa"/>
              <w:right w:w="28" w:type="dxa"/>
            </w:tcMar>
            <w:vAlign w:val="center"/>
          </w:tcPr>
          <w:p w14:paraId="6806DF27"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1</w:t>
            </w:r>
            <w:r w:rsidR="004C513C">
              <w:rPr>
                <w:rFonts w:ascii="Calibri" w:hAnsi="Calibri"/>
                <w:color w:val="auto"/>
                <w:szCs w:val="21"/>
              </w:rPr>
              <w:t>6</w:t>
            </w:r>
          </w:p>
        </w:tc>
        <w:tc>
          <w:tcPr>
            <w:tcW w:w="634" w:type="pct"/>
            <w:tcMar>
              <w:left w:w="28" w:type="dxa"/>
              <w:right w:w="28" w:type="dxa"/>
            </w:tcMar>
            <w:vAlign w:val="center"/>
          </w:tcPr>
          <w:p w14:paraId="6AABD3A6"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氰化物</w:t>
            </w:r>
          </w:p>
        </w:tc>
        <w:tc>
          <w:tcPr>
            <w:tcW w:w="2848" w:type="pct"/>
            <w:tcMar>
              <w:left w:w="28" w:type="dxa"/>
              <w:right w:w="28" w:type="dxa"/>
            </w:tcMar>
            <w:vAlign w:val="center"/>
          </w:tcPr>
          <w:p w14:paraId="5CE38A81"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氰化物的测定</w:t>
            </w:r>
            <w:r w:rsidRPr="00A964FF">
              <w:rPr>
                <w:rFonts w:ascii="Calibri" w:hAnsi="Calibri"/>
                <w:bCs/>
                <w:color w:val="auto"/>
                <w:szCs w:val="21"/>
              </w:rPr>
              <w:t xml:space="preserve"> </w:t>
            </w:r>
            <w:r w:rsidRPr="00A964FF">
              <w:rPr>
                <w:rFonts w:ascii="Calibri" w:hAnsi="Calibri"/>
                <w:bCs/>
                <w:color w:val="auto"/>
                <w:szCs w:val="21"/>
              </w:rPr>
              <w:t>容量法和分光光度法</w:t>
            </w:r>
            <w:r w:rsidRPr="00A964FF">
              <w:rPr>
                <w:rFonts w:ascii="Calibri" w:hAnsi="Calibri"/>
                <w:bCs/>
                <w:color w:val="auto"/>
                <w:szCs w:val="21"/>
              </w:rPr>
              <w:t xml:space="preserve"> </w:t>
            </w:r>
            <w:r w:rsidRPr="00A964FF">
              <w:rPr>
                <w:rFonts w:ascii="Calibri" w:hAnsi="Calibri"/>
                <w:bCs/>
                <w:color w:val="auto"/>
                <w:szCs w:val="21"/>
              </w:rPr>
              <w:t>第二部分</w:t>
            </w:r>
            <w:r w:rsidRPr="00A964FF">
              <w:rPr>
                <w:rFonts w:ascii="Calibri" w:hAnsi="Calibri"/>
                <w:bCs/>
                <w:color w:val="auto"/>
                <w:szCs w:val="21"/>
              </w:rPr>
              <w:t>HJ484-2009</w:t>
            </w:r>
          </w:p>
        </w:tc>
        <w:tc>
          <w:tcPr>
            <w:tcW w:w="627" w:type="pct"/>
            <w:tcMar>
              <w:left w:w="28" w:type="dxa"/>
              <w:right w:w="28" w:type="dxa"/>
            </w:tcMar>
            <w:vAlign w:val="center"/>
          </w:tcPr>
          <w:p w14:paraId="204552BA"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0.004</w:t>
            </w:r>
            <w:r w:rsidRPr="00A964FF">
              <w:rPr>
                <w:rFonts w:ascii="Calibri" w:hAnsi="Calibri" w:hint="eastAsia"/>
                <w:bCs/>
                <w:color w:val="auto"/>
                <w:szCs w:val="21"/>
              </w:rPr>
              <w:t>mg/L</w:t>
            </w:r>
          </w:p>
        </w:tc>
        <w:tc>
          <w:tcPr>
            <w:tcW w:w="563" w:type="pct"/>
            <w:tcMar>
              <w:left w:w="28" w:type="dxa"/>
              <w:right w:w="28" w:type="dxa"/>
            </w:tcMar>
            <w:vAlign w:val="center"/>
          </w:tcPr>
          <w:p w14:paraId="1E837793"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0010BC04" w14:textId="77777777" w:rsidTr="004C513C">
        <w:trPr>
          <w:trHeight w:val="369"/>
          <w:jc w:val="center"/>
        </w:trPr>
        <w:tc>
          <w:tcPr>
            <w:tcW w:w="328" w:type="pct"/>
            <w:tcMar>
              <w:left w:w="28" w:type="dxa"/>
              <w:right w:w="28" w:type="dxa"/>
            </w:tcMar>
            <w:vAlign w:val="center"/>
          </w:tcPr>
          <w:p w14:paraId="6BFCE497"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1</w:t>
            </w:r>
            <w:r w:rsidR="004C513C">
              <w:rPr>
                <w:rFonts w:ascii="Calibri" w:hAnsi="Calibri"/>
                <w:color w:val="auto"/>
                <w:szCs w:val="21"/>
              </w:rPr>
              <w:t>7</w:t>
            </w:r>
          </w:p>
        </w:tc>
        <w:tc>
          <w:tcPr>
            <w:tcW w:w="634" w:type="pct"/>
            <w:tcMar>
              <w:left w:w="28" w:type="dxa"/>
              <w:right w:w="28" w:type="dxa"/>
            </w:tcMar>
            <w:vAlign w:val="center"/>
          </w:tcPr>
          <w:p w14:paraId="5FDA549D"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挥发酚</w:t>
            </w:r>
          </w:p>
        </w:tc>
        <w:tc>
          <w:tcPr>
            <w:tcW w:w="2848" w:type="pct"/>
            <w:tcMar>
              <w:left w:w="28" w:type="dxa"/>
              <w:right w:w="28" w:type="dxa"/>
            </w:tcMar>
            <w:vAlign w:val="center"/>
          </w:tcPr>
          <w:p w14:paraId="55ECEA45"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挥发酚的测定</w:t>
            </w:r>
            <w:r w:rsidRPr="00A964FF">
              <w:rPr>
                <w:rFonts w:ascii="Calibri" w:hAnsi="Calibri"/>
                <w:bCs/>
                <w:color w:val="auto"/>
                <w:szCs w:val="21"/>
              </w:rPr>
              <w:t xml:space="preserve"> 4-</w:t>
            </w:r>
            <w:r w:rsidRPr="00A964FF">
              <w:rPr>
                <w:rFonts w:ascii="Calibri" w:hAnsi="Calibri"/>
                <w:bCs/>
                <w:color w:val="auto"/>
                <w:szCs w:val="21"/>
              </w:rPr>
              <w:t>氨基安替比林分光光度法（萃取）</w:t>
            </w:r>
          </w:p>
          <w:p w14:paraId="7CE42DB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HJ503-2009</w:t>
            </w:r>
          </w:p>
        </w:tc>
        <w:tc>
          <w:tcPr>
            <w:tcW w:w="627" w:type="pct"/>
            <w:tcMar>
              <w:left w:w="28" w:type="dxa"/>
              <w:right w:w="28" w:type="dxa"/>
            </w:tcMar>
            <w:vAlign w:val="center"/>
          </w:tcPr>
          <w:p w14:paraId="58BB68E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0.0003</w:t>
            </w:r>
            <w:r w:rsidRPr="00A964FF">
              <w:rPr>
                <w:rFonts w:ascii="Calibri" w:hAnsi="Calibri" w:hint="eastAsia"/>
                <w:bCs/>
                <w:color w:val="auto"/>
                <w:szCs w:val="21"/>
              </w:rPr>
              <w:t>mg/L</w:t>
            </w:r>
          </w:p>
        </w:tc>
        <w:tc>
          <w:tcPr>
            <w:tcW w:w="563" w:type="pct"/>
            <w:tcMar>
              <w:left w:w="28" w:type="dxa"/>
              <w:right w:w="28" w:type="dxa"/>
            </w:tcMar>
            <w:vAlign w:val="center"/>
          </w:tcPr>
          <w:p w14:paraId="28B342A7"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26D544B9" w14:textId="77777777" w:rsidTr="004C513C">
        <w:trPr>
          <w:trHeight w:val="369"/>
          <w:jc w:val="center"/>
        </w:trPr>
        <w:tc>
          <w:tcPr>
            <w:tcW w:w="328" w:type="pct"/>
            <w:tcMar>
              <w:left w:w="28" w:type="dxa"/>
              <w:right w:w="28" w:type="dxa"/>
            </w:tcMar>
            <w:vAlign w:val="center"/>
          </w:tcPr>
          <w:p w14:paraId="1D099389" w14:textId="77777777" w:rsidR="006D1907" w:rsidRPr="00A964FF" w:rsidRDefault="006D1907" w:rsidP="004C513C">
            <w:pPr>
              <w:pStyle w:val="a1"/>
              <w:ind w:firstLine="0"/>
              <w:jc w:val="center"/>
              <w:rPr>
                <w:rFonts w:ascii="Calibri" w:hAnsi="Calibri"/>
                <w:color w:val="auto"/>
                <w:szCs w:val="21"/>
              </w:rPr>
            </w:pPr>
            <w:r>
              <w:rPr>
                <w:rFonts w:ascii="Calibri" w:hAnsi="Calibri" w:hint="eastAsia"/>
                <w:color w:val="auto"/>
                <w:szCs w:val="21"/>
              </w:rPr>
              <w:t>1</w:t>
            </w:r>
            <w:r w:rsidR="004C513C">
              <w:rPr>
                <w:rFonts w:ascii="Calibri" w:hAnsi="Calibri"/>
                <w:color w:val="auto"/>
                <w:szCs w:val="21"/>
              </w:rPr>
              <w:t>8</w:t>
            </w:r>
          </w:p>
        </w:tc>
        <w:tc>
          <w:tcPr>
            <w:tcW w:w="634" w:type="pct"/>
            <w:tcMar>
              <w:left w:w="28" w:type="dxa"/>
              <w:right w:w="28" w:type="dxa"/>
            </w:tcMar>
            <w:vAlign w:val="center"/>
          </w:tcPr>
          <w:p w14:paraId="136DBD73"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石油类</w:t>
            </w:r>
          </w:p>
        </w:tc>
        <w:tc>
          <w:tcPr>
            <w:tcW w:w="2848" w:type="pct"/>
            <w:tcMar>
              <w:left w:w="28" w:type="dxa"/>
              <w:right w:w="28" w:type="dxa"/>
            </w:tcMar>
            <w:vAlign w:val="center"/>
          </w:tcPr>
          <w:p w14:paraId="74099B3F"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石油类的测定</w:t>
            </w:r>
            <w:r w:rsidRPr="00A964FF">
              <w:rPr>
                <w:rFonts w:ascii="Calibri" w:hAnsi="Calibri"/>
                <w:bCs/>
                <w:color w:val="auto"/>
                <w:szCs w:val="21"/>
              </w:rPr>
              <w:t xml:space="preserve"> </w:t>
            </w:r>
            <w:r w:rsidRPr="00A964FF">
              <w:rPr>
                <w:rFonts w:ascii="Calibri" w:hAnsi="Calibri"/>
                <w:bCs/>
                <w:color w:val="auto"/>
                <w:szCs w:val="21"/>
              </w:rPr>
              <w:t>紫外分光光度法（试行）</w:t>
            </w:r>
            <w:r>
              <w:rPr>
                <w:rFonts w:ascii="Calibri" w:hAnsi="Calibri"/>
                <w:bCs/>
                <w:color w:val="auto"/>
                <w:szCs w:val="21"/>
              </w:rPr>
              <w:t xml:space="preserve"> HJ</w:t>
            </w:r>
            <w:r w:rsidRPr="00A964FF">
              <w:rPr>
                <w:rFonts w:ascii="Calibri" w:hAnsi="Calibri"/>
                <w:bCs/>
                <w:color w:val="auto"/>
                <w:szCs w:val="21"/>
              </w:rPr>
              <w:t>970-2018</w:t>
            </w:r>
          </w:p>
        </w:tc>
        <w:tc>
          <w:tcPr>
            <w:tcW w:w="627" w:type="pct"/>
            <w:tcMar>
              <w:left w:w="28" w:type="dxa"/>
              <w:right w:w="28" w:type="dxa"/>
            </w:tcMar>
            <w:vAlign w:val="center"/>
          </w:tcPr>
          <w:p w14:paraId="2F95C21D"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0.01</w:t>
            </w:r>
            <w:r w:rsidRPr="00A964FF">
              <w:rPr>
                <w:rFonts w:ascii="Calibri" w:hAnsi="Calibri" w:hint="eastAsia"/>
                <w:bCs/>
                <w:color w:val="auto"/>
                <w:szCs w:val="21"/>
              </w:rPr>
              <w:t>mg/L</w:t>
            </w:r>
          </w:p>
        </w:tc>
        <w:tc>
          <w:tcPr>
            <w:tcW w:w="563" w:type="pct"/>
            <w:tcMar>
              <w:left w:w="28" w:type="dxa"/>
              <w:right w:w="28" w:type="dxa"/>
            </w:tcMar>
            <w:vAlign w:val="center"/>
          </w:tcPr>
          <w:p w14:paraId="1F44A0B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1AFCF81F" w14:textId="77777777" w:rsidTr="004C513C">
        <w:trPr>
          <w:trHeight w:val="369"/>
          <w:jc w:val="center"/>
        </w:trPr>
        <w:tc>
          <w:tcPr>
            <w:tcW w:w="328" w:type="pct"/>
            <w:tcMar>
              <w:left w:w="28" w:type="dxa"/>
              <w:right w:w="28" w:type="dxa"/>
            </w:tcMar>
            <w:vAlign w:val="center"/>
          </w:tcPr>
          <w:p w14:paraId="5EBA3D4E" w14:textId="77777777" w:rsidR="006D1907" w:rsidRPr="00A964FF" w:rsidRDefault="004C513C" w:rsidP="00A94556">
            <w:pPr>
              <w:pStyle w:val="a1"/>
              <w:ind w:firstLine="0"/>
              <w:jc w:val="center"/>
              <w:rPr>
                <w:rFonts w:ascii="Calibri" w:hAnsi="Calibri"/>
                <w:color w:val="auto"/>
                <w:szCs w:val="21"/>
              </w:rPr>
            </w:pPr>
            <w:r>
              <w:rPr>
                <w:rFonts w:ascii="Calibri" w:hAnsi="Calibri"/>
                <w:color w:val="auto"/>
                <w:szCs w:val="21"/>
              </w:rPr>
              <w:t>19</w:t>
            </w:r>
          </w:p>
        </w:tc>
        <w:tc>
          <w:tcPr>
            <w:tcW w:w="634" w:type="pct"/>
            <w:tcMar>
              <w:left w:w="28" w:type="dxa"/>
              <w:right w:w="28" w:type="dxa"/>
            </w:tcMar>
            <w:vAlign w:val="center"/>
          </w:tcPr>
          <w:p w14:paraId="29CEB9D8"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阴离子表面</w:t>
            </w:r>
          </w:p>
          <w:p w14:paraId="7ABC6B82"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活性剂</w:t>
            </w:r>
          </w:p>
        </w:tc>
        <w:tc>
          <w:tcPr>
            <w:tcW w:w="2848" w:type="pct"/>
            <w:tcMar>
              <w:left w:w="28" w:type="dxa"/>
              <w:right w:w="28" w:type="dxa"/>
            </w:tcMar>
            <w:vAlign w:val="center"/>
          </w:tcPr>
          <w:p w14:paraId="2975447A"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阴离子表面活性剂的测定</w:t>
            </w:r>
            <w:r w:rsidRPr="00A964FF">
              <w:rPr>
                <w:rFonts w:ascii="Calibri" w:hAnsi="Calibri"/>
                <w:bCs/>
                <w:color w:val="auto"/>
                <w:szCs w:val="21"/>
              </w:rPr>
              <w:t xml:space="preserve"> </w:t>
            </w:r>
            <w:r w:rsidRPr="00A964FF">
              <w:rPr>
                <w:rFonts w:ascii="Calibri" w:hAnsi="Calibri"/>
                <w:bCs/>
                <w:color w:val="auto"/>
                <w:szCs w:val="21"/>
              </w:rPr>
              <w:t>亚甲蓝分光光度法</w:t>
            </w:r>
            <w:r w:rsidRPr="00A964FF">
              <w:rPr>
                <w:rFonts w:ascii="Calibri" w:hAnsi="Calibri"/>
                <w:bCs/>
                <w:color w:val="auto"/>
                <w:szCs w:val="21"/>
              </w:rPr>
              <w:t xml:space="preserve"> GB/T7494-1987</w:t>
            </w:r>
          </w:p>
        </w:tc>
        <w:tc>
          <w:tcPr>
            <w:tcW w:w="627" w:type="pct"/>
            <w:tcMar>
              <w:left w:w="28" w:type="dxa"/>
              <w:right w:w="28" w:type="dxa"/>
            </w:tcMar>
            <w:vAlign w:val="center"/>
          </w:tcPr>
          <w:p w14:paraId="12D0C5AE"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c>
          <w:tcPr>
            <w:tcW w:w="563" w:type="pct"/>
            <w:tcMar>
              <w:left w:w="28" w:type="dxa"/>
              <w:right w:w="28" w:type="dxa"/>
            </w:tcMar>
            <w:vAlign w:val="center"/>
          </w:tcPr>
          <w:p w14:paraId="6E3C5104"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0.05</w:t>
            </w:r>
            <w:r w:rsidRPr="00A964FF">
              <w:rPr>
                <w:rFonts w:ascii="Calibri" w:hAnsi="Calibri" w:hint="eastAsia"/>
                <w:bCs/>
                <w:color w:val="auto"/>
                <w:szCs w:val="21"/>
              </w:rPr>
              <w:t>mg/L</w:t>
            </w:r>
          </w:p>
        </w:tc>
      </w:tr>
      <w:tr w:rsidR="006D1907" w:rsidRPr="00A964FF" w14:paraId="3F584BE4" w14:textId="77777777" w:rsidTr="004C513C">
        <w:trPr>
          <w:trHeight w:val="369"/>
          <w:jc w:val="center"/>
        </w:trPr>
        <w:tc>
          <w:tcPr>
            <w:tcW w:w="328" w:type="pct"/>
            <w:tcMar>
              <w:left w:w="28" w:type="dxa"/>
              <w:right w:w="28" w:type="dxa"/>
            </w:tcMar>
            <w:vAlign w:val="center"/>
          </w:tcPr>
          <w:p w14:paraId="75C785DD"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2</w:t>
            </w:r>
            <w:r w:rsidR="004C513C">
              <w:rPr>
                <w:rFonts w:ascii="Calibri" w:hAnsi="Calibri"/>
                <w:color w:val="auto"/>
                <w:szCs w:val="21"/>
              </w:rPr>
              <w:t>0</w:t>
            </w:r>
          </w:p>
        </w:tc>
        <w:tc>
          <w:tcPr>
            <w:tcW w:w="634" w:type="pct"/>
            <w:tcMar>
              <w:left w:w="28" w:type="dxa"/>
              <w:right w:w="28" w:type="dxa"/>
            </w:tcMar>
            <w:vAlign w:val="center"/>
          </w:tcPr>
          <w:p w14:paraId="02676FDE"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硫化物</w:t>
            </w:r>
          </w:p>
        </w:tc>
        <w:tc>
          <w:tcPr>
            <w:tcW w:w="2848" w:type="pct"/>
            <w:tcMar>
              <w:left w:w="28" w:type="dxa"/>
              <w:right w:w="28" w:type="dxa"/>
            </w:tcMar>
            <w:vAlign w:val="center"/>
          </w:tcPr>
          <w:p w14:paraId="553B3F6F"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硫化物的测定</w:t>
            </w:r>
            <w:r w:rsidRPr="00A964FF">
              <w:rPr>
                <w:rFonts w:ascii="Calibri" w:hAnsi="Calibri"/>
                <w:bCs/>
                <w:color w:val="auto"/>
                <w:szCs w:val="21"/>
              </w:rPr>
              <w:t xml:space="preserve"> </w:t>
            </w:r>
            <w:r w:rsidRPr="00A964FF">
              <w:rPr>
                <w:rFonts w:ascii="Calibri" w:hAnsi="Calibri"/>
                <w:bCs/>
                <w:color w:val="auto"/>
                <w:szCs w:val="21"/>
              </w:rPr>
              <w:t>亚甲基蓝分光光度法</w:t>
            </w:r>
            <w:r w:rsidRPr="00A964FF">
              <w:rPr>
                <w:rFonts w:ascii="Calibri" w:hAnsi="Calibri"/>
                <w:bCs/>
                <w:color w:val="auto"/>
                <w:szCs w:val="21"/>
              </w:rPr>
              <w:t xml:space="preserve"> GB/T16489-1996</w:t>
            </w:r>
          </w:p>
        </w:tc>
        <w:tc>
          <w:tcPr>
            <w:tcW w:w="627" w:type="pct"/>
            <w:tcMar>
              <w:left w:w="28" w:type="dxa"/>
              <w:right w:w="28" w:type="dxa"/>
            </w:tcMar>
            <w:vAlign w:val="center"/>
          </w:tcPr>
          <w:p w14:paraId="5CFD7079"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0.005</w:t>
            </w:r>
            <w:r w:rsidRPr="00A964FF">
              <w:rPr>
                <w:rFonts w:ascii="Calibri" w:hAnsi="Calibri" w:hint="eastAsia"/>
                <w:bCs/>
                <w:color w:val="auto"/>
                <w:szCs w:val="21"/>
              </w:rPr>
              <w:t>mg/L</w:t>
            </w:r>
          </w:p>
        </w:tc>
        <w:tc>
          <w:tcPr>
            <w:tcW w:w="563" w:type="pct"/>
            <w:tcMar>
              <w:left w:w="28" w:type="dxa"/>
              <w:right w:w="28" w:type="dxa"/>
            </w:tcMar>
            <w:vAlign w:val="center"/>
          </w:tcPr>
          <w:p w14:paraId="01D0B91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r w:rsidR="006D1907" w:rsidRPr="00A964FF" w14:paraId="4FCB0ECF" w14:textId="77777777" w:rsidTr="004C513C">
        <w:trPr>
          <w:trHeight w:val="369"/>
          <w:jc w:val="center"/>
        </w:trPr>
        <w:tc>
          <w:tcPr>
            <w:tcW w:w="328" w:type="pct"/>
            <w:tcMar>
              <w:left w:w="28" w:type="dxa"/>
              <w:right w:w="28" w:type="dxa"/>
            </w:tcMar>
            <w:vAlign w:val="center"/>
          </w:tcPr>
          <w:p w14:paraId="396442B2" w14:textId="77777777" w:rsidR="006D1907" w:rsidRPr="00A964FF" w:rsidRDefault="006D1907" w:rsidP="004C513C">
            <w:pPr>
              <w:pStyle w:val="a1"/>
              <w:ind w:firstLine="0"/>
              <w:jc w:val="center"/>
              <w:rPr>
                <w:rFonts w:ascii="Calibri" w:hAnsi="Calibri"/>
                <w:color w:val="auto"/>
                <w:szCs w:val="21"/>
              </w:rPr>
            </w:pPr>
            <w:r w:rsidRPr="00A964FF">
              <w:rPr>
                <w:rFonts w:ascii="Calibri" w:hAnsi="Calibri"/>
                <w:color w:val="auto"/>
                <w:szCs w:val="21"/>
              </w:rPr>
              <w:t>2</w:t>
            </w:r>
            <w:r w:rsidR="004C513C">
              <w:rPr>
                <w:rFonts w:ascii="Calibri" w:hAnsi="Calibri"/>
                <w:color w:val="auto"/>
                <w:szCs w:val="21"/>
              </w:rPr>
              <w:t>1</w:t>
            </w:r>
          </w:p>
        </w:tc>
        <w:tc>
          <w:tcPr>
            <w:tcW w:w="634" w:type="pct"/>
            <w:tcMar>
              <w:left w:w="28" w:type="dxa"/>
              <w:right w:w="28" w:type="dxa"/>
            </w:tcMar>
            <w:vAlign w:val="center"/>
          </w:tcPr>
          <w:p w14:paraId="565F817A"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粪大肠菌群</w:t>
            </w:r>
          </w:p>
        </w:tc>
        <w:tc>
          <w:tcPr>
            <w:tcW w:w="2848" w:type="pct"/>
            <w:tcMar>
              <w:left w:w="28" w:type="dxa"/>
              <w:right w:w="28" w:type="dxa"/>
            </w:tcMar>
            <w:vAlign w:val="center"/>
          </w:tcPr>
          <w:p w14:paraId="28F704DB"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粪大肠菌群的测定</w:t>
            </w:r>
            <w:r w:rsidRPr="00A964FF">
              <w:rPr>
                <w:rFonts w:ascii="Calibri" w:hAnsi="Calibri"/>
                <w:bCs/>
                <w:color w:val="auto"/>
                <w:szCs w:val="21"/>
              </w:rPr>
              <w:t xml:space="preserve"> </w:t>
            </w:r>
            <w:r w:rsidRPr="00A964FF">
              <w:rPr>
                <w:rFonts w:ascii="Calibri" w:hAnsi="Calibri"/>
                <w:bCs/>
                <w:color w:val="auto"/>
                <w:szCs w:val="21"/>
              </w:rPr>
              <w:t>多管发酵法</w:t>
            </w:r>
            <w:r w:rsidRPr="00A964FF">
              <w:rPr>
                <w:rFonts w:ascii="Calibri" w:hAnsi="Calibri"/>
                <w:bCs/>
                <w:color w:val="auto"/>
                <w:szCs w:val="21"/>
              </w:rPr>
              <w:t xml:space="preserve"> HJ347.2-2018</w:t>
            </w:r>
          </w:p>
        </w:tc>
        <w:tc>
          <w:tcPr>
            <w:tcW w:w="627" w:type="pct"/>
            <w:tcMar>
              <w:left w:w="28" w:type="dxa"/>
              <w:right w:w="28" w:type="dxa"/>
            </w:tcMar>
            <w:vAlign w:val="center"/>
          </w:tcPr>
          <w:p w14:paraId="27820FBD"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20MPN/L</w:t>
            </w:r>
          </w:p>
        </w:tc>
        <w:tc>
          <w:tcPr>
            <w:tcW w:w="563" w:type="pct"/>
            <w:tcMar>
              <w:left w:w="28" w:type="dxa"/>
              <w:right w:w="28" w:type="dxa"/>
            </w:tcMar>
            <w:vAlign w:val="center"/>
          </w:tcPr>
          <w:p w14:paraId="43A298C1"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bCs/>
                <w:color w:val="auto"/>
                <w:szCs w:val="21"/>
              </w:rPr>
              <w:t>/</w:t>
            </w:r>
          </w:p>
        </w:tc>
      </w:tr>
    </w:tbl>
    <w:p w14:paraId="3C040E37" w14:textId="77777777" w:rsidR="004C513C" w:rsidRDefault="004C513C" w:rsidP="006D1907">
      <w:pPr>
        <w:spacing w:line="520" w:lineRule="exact"/>
        <w:ind w:firstLineChars="200" w:firstLine="482"/>
        <w:rPr>
          <w:rFonts w:ascii="Calibri" w:hAnsi="Calibri"/>
          <w:b/>
          <w:color w:val="auto"/>
          <w:sz w:val="24"/>
        </w:rPr>
      </w:pPr>
    </w:p>
    <w:p w14:paraId="02A226DB" w14:textId="77777777" w:rsidR="006D1907" w:rsidRPr="00A964FF" w:rsidRDefault="006D1907" w:rsidP="006D1907">
      <w:pPr>
        <w:spacing w:line="520" w:lineRule="exact"/>
        <w:ind w:firstLineChars="200" w:firstLine="482"/>
        <w:rPr>
          <w:rFonts w:ascii="Calibri" w:hAnsi="Calibri"/>
          <w:b/>
          <w:color w:val="auto"/>
          <w:sz w:val="24"/>
        </w:rPr>
      </w:pPr>
      <w:r w:rsidRPr="00A964FF">
        <w:rPr>
          <w:rFonts w:ascii="Calibri" w:hAnsi="Calibri" w:hint="eastAsia"/>
          <w:b/>
          <w:color w:val="auto"/>
          <w:sz w:val="24"/>
        </w:rPr>
        <w:lastRenderedPageBreak/>
        <w:t>4</w:t>
      </w:r>
      <w:r w:rsidRPr="00A964FF">
        <w:rPr>
          <w:rFonts w:ascii="Calibri" w:hAnsi="Calibri" w:hint="eastAsia"/>
          <w:b/>
          <w:color w:val="auto"/>
          <w:sz w:val="24"/>
        </w:rPr>
        <w:t>、评价方法</w:t>
      </w:r>
    </w:p>
    <w:p w14:paraId="21B94EFE" w14:textId="77777777" w:rsidR="006D1907" w:rsidRPr="00A964FF" w:rsidRDefault="006D1907" w:rsidP="006D1907">
      <w:pPr>
        <w:pStyle w:val="afa"/>
        <w:snapToGrid w:val="0"/>
        <w:spacing w:line="520" w:lineRule="exact"/>
        <w:ind w:firstLineChars="200" w:firstLine="480"/>
        <w:rPr>
          <w:rFonts w:ascii="Calibri" w:hAnsi="Calibri"/>
          <w:color w:val="auto"/>
          <w:sz w:val="24"/>
        </w:rPr>
      </w:pPr>
      <w:r w:rsidRPr="00A964FF">
        <w:rPr>
          <w:rFonts w:ascii="Calibri" w:hAnsi="Calibri"/>
          <w:color w:val="auto"/>
          <w:sz w:val="24"/>
        </w:rPr>
        <w:t>根据监测结果，评价采用标准指数法对各评价因子进行单项水质参数评价，计算公式如下：</w:t>
      </w:r>
    </w:p>
    <w:p w14:paraId="5D1818ED" w14:textId="77777777" w:rsidR="006D1907" w:rsidRPr="00A964FF" w:rsidRDefault="006D1907" w:rsidP="006D1907">
      <w:pPr>
        <w:pStyle w:val="afa"/>
        <w:snapToGrid w:val="0"/>
        <w:spacing w:line="360" w:lineRule="auto"/>
        <w:ind w:firstLineChars="50" w:firstLine="120"/>
        <w:rPr>
          <w:rFonts w:ascii="Calibri" w:hAnsi="Calibri"/>
          <w:color w:val="auto"/>
          <w:sz w:val="24"/>
        </w:rPr>
      </w:pPr>
      <w:r w:rsidRPr="00A964FF">
        <w:rPr>
          <w:rFonts w:ascii="Calibri" w:hAnsi="Calibri"/>
          <w:color w:val="auto"/>
          <w:sz w:val="24"/>
        </w:rPr>
        <w:t>（</w:t>
      </w:r>
      <w:r w:rsidRPr="00A964FF">
        <w:rPr>
          <w:rFonts w:ascii="Calibri" w:hAnsi="Calibri"/>
          <w:color w:val="auto"/>
          <w:sz w:val="24"/>
        </w:rPr>
        <w:t>1</w:t>
      </w:r>
      <w:r w:rsidRPr="00A964FF">
        <w:rPr>
          <w:rFonts w:ascii="Calibri" w:hAnsi="Calibri"/>
          <w:color w:val="auto"/>
          <w:sz w:val="24"/>
        </w:rPr>
        <w:t>）一般项目单项标准指数计算公式：</w:t>
      </w:r>
    </w:p>
    <w:p w14:paraId="008124DA" w14:textId="77777777" w:rsidR="006D1907" w:rsidRPr="00A964FF" w:rsidRDefault="00217891" w:rsidP="006D1907">
      <w:pPr>
        <w:snapToGrid w:val="0"/>
        <w:spacing w:line="360" w:lineRule="auto"/>
        <w:ind w:firstLineChars="700" w:firstLine="1680"/>
        <w:rPr>
          <w:rFonts w:ascii="Calibri" w:hAnsi="Calibri"/>
          <w:bCs/>
          <w:color w:val="auto"/>
          <w:sz w:val="24"/>
        </w:rPr>
      </w:pPr>
      <w:r>
        <w:rPr>
          <w:rFonts w:ascii="Calibri" w:hAnsi="Calibri"/>
          <w:bCs/>
          <w:noProof/>
          <w:color w:val="auto"/>
          <w:sz w:val="24"/>
        </w:rPr>
        <w:object w:dxaOrig="0" w:dyaOrig="0" w14:anchorId="204FE7F6">
          <v:shape id="_x0000_s13137" type="#_x0000_t75" style="position:absolute;left:0;text-align:left;margin-left:78.75pt;margin-top:1pt;width:45.75pt;height:36pt;z-index:253634048" o:allowoverlap="f">
            <v:imagedata r:id="rId31" o:title=""/>
            <w10:wrap type="square"/>
          </v:shape>
          <o:OLEObject Type="Embed" ProgID="Equation.3" ShapeID="_x0000_s13137" DrawAspect="Content" ObjectID="_1725951976" r:id="rId32"/>
        </w:object>
      </w:r>
    </w:p>
    <w:p w14:paraId="756F701F" w14:textId="77777777" w:rsidR="006D1907" w:rsidRPr="00A964FF" w:rsidRDefault="006D1907" w:rsidP="006D1907">
      <w:pPr>
        <w:snapToGrid w:val="0"/>
        <w:spacing w:line="520" w:lineRule="exact"/>
        <w:ind w:firstLineChars="700" w:firstLine="1680"/>
        <w:rPr>
          <w:rFonts w:ascii="Calibri" w:hAnsi="Calibri"/>
          <w:bCs/>
          <w:color w:val="auto"/>
          <w:sz w:val="24"/>
        </w:rPr>
      </w:pPr>
    </w:p>
    <w:p w14:paraId="4F2D468E" w14:textId="77777777" w:rsidR="006D1907" w:rsidRPr="00A964FF" w:rsidRDefault="006D1907" w:rsidP="006D1907">
      <w:pPr>
        <w:snapToGrid w:val="0"/>
        <w:spacing w:line="520" w:lineRule="exact"/>
        <w:ind w:firstLineChars="300" w:firstLine="720"/>
        <w:rPr>
          <w:rFonts w:ascii="Calibri" w:hAnsi="Calibri"/>
          <w:bCs/>
          <w:color w:val="auto"/>
          <w:sz w:val="24"/>
        </w:rPr>
      </w:pPr>
      <w:r w:rsidRPr="00A964FF">
        <w:rPr>
          <w:rFonts w:ascii="Calibri" w:hAnsi="Calibri"/>
          <w:bCs/>
          <w:color w:val="auto"/>
          <w:sz w:val="24"/>
        </w:rPr>
        <w:t>式中：</w:t>
      </w:r>
      <w:r w:rsidRPr="00A964FF">
        <w:rPr>
          <w:rFonts w:ascii="Calibri" w:hAnsi="Calibri"/>
          <w:bCs/>
          <w:color w:val="auto"/>
          <w:position w:val="-14"/>
          <w:sz w:val="24"/>
        </w:rPr>
        <w:object w:dxaOrig="260" w:dyaOrig="380" w14:anchorId="34829AB7">
          <v:shape id="_x0000_i1031" type="#_x0000_t75" style="width:10.8pt;height:17.4pt" o:ole="">
            <v:imagedata r:id="rId33" o:title=""/>
          </v:shape>
          <o:OLEObject Type="Embed" ProgID="Equation.3" ShapeID="_x0000_i1031" DrawAspect="Content" ObjectID="_1725951956" r:id="rId34"/>
        </w:object>
      </w:r>
      <w:r w:rsidRPr="00A964FF">
        <w:rPr>
          <w:rFonts w:ascii="Calibri" w:hAnsi="Calibri"/>
          <w:bCs/>
          <w:color w:val="auto"/>
          <w:sz w:val="24"/>
        </w:rPr>
        <w:t>——</w:t>
      </w:r>
      <w:r w:rsidRPr="00A964FF">
        <w:rPr>
          <w:rFonts w:ascii="Calibri" w:hAnsi="Calibri"/>
          <w:bCs/>
          <w:color w:val="auto"/>
          <w:sz w:val="24"/>
        </w:rPr>
        <w:t>标准指数；</w:t>
      </w:r>
    </w:p>
    <w:p w14:paraId="16F88D2E" w14:textId="77777777" w:rsidR="006D1907" w:rsidRPr="00A964FF" w:rsidRDefault="006D1907" w:rsidP="006D1907">
      <w:pPr>
        <w:tabs>
          <w:tab w:val="num" w:pos="720"/>
        </w:tabs>
        <w:snapToGrid w:val="0"/>
        <w:spacing w:line="520" w:lineRule="exact"/>
        <w:ind w:firstLineChars="600" w:firstLine="1440"/>
        <w:rPr>
          <w:rFonts w:ascii="Calibri" w:hAnsi="Calibri"/>
          <w:bCs/>
          <w:color w:val="auto"/>
          <w:sz w:val="24"/>
        </w:rPr>
      </w:pPr>
      <w:r w:rsidRPr="00A964FF">
        <w:rPr>
          <w:rFonts w:ascii="Calibri" w:hAnsi="Calibri"/>
          <w:bCs/>
          <w:color w:val="auto"/>
          <w:position w:val="-14"/>
          <w:sz w:val="24"/>
        </w:rPr>
        <w:object w:dxaOrig="260" w:dyaOrig="380" w14:anchorId="117629DD">
          <v:shape id="_x0000_i1032" type="#_x0000_t75" style="width:10.8pt;height:17.4pt" o:ole="">
            <v:imagedata r:id="rId35" o:title=""/>
          </v:shape>
          <o:OLEObject Type="Embed" ProgID="Equation.3" ShapeID="_x0000_i1032" DrawAspect="Content" ObjectID="_1725951957" r:id="rId36"/>
        </w:object>
      </w:r>
      <w:r w:rsidRPr="00A964FF">
        <w:rPr>
          <w:rFonts w:ascii="Calibri" w:hAnsi="Calibri"/>
          <w:bCs/>
          <w:color w:val="auto"/>
          <w:sz w:val="24"/>
        </w:rPr>
        <w:t>——</w:t>
      </w:r>
      <w:r w:rsidRPr="00A964FF">
        <w:rPr>
          <w:rFonts w:ascii="Calibri" w:hAnsi="Calibri"/>
          <w:bCs/>
          <w:color w:val="auto"/>
          <w:sz w:val="24"/>
        </w:rPr>
        <w:t>评价因子</w:t>
      </w:r>
      <w:r w:rsidRPr="00A964FF">
        <w:rPr>
          <w:rFonts w:ascii="Calibri" w:hAnsi="Calibri"/>
          <w:bCs/>
          <w:i/>
          <w:color w:val="auto"/>
          <w:sz w:val="24"/>
        </w:rPr>
        <w:t>i</w:t>
      </w:r>
      <w:r w:rsidRPr="00A964FF">
        <w:rPr>
          <w:rFonts w:ascii="Calibri" w:hAnsi="Calibri"/>
          <w:bCs/>
          <w:color w:val="auto"/>
          <w:sz w:val="24"/>
        </w:rPr>
        <w:t>在</w:t>
      </w:r>
      <w:r w:rsidRPr="00A964FF">
        <w:rPr>
          <w:rFonts w:ascii="Calibri" w:hAnsi="Calibri"/>
          <w:bCs/>
          <w:i/>
          <w:color w:val="auto"/>
          <w:sz w:val="24"/>
        </w:rPr>
        <w:t>j</w:t>
      </w:r>
      <w:r w:rsidRPr="00A964FF">
        <w:rPr>
          <w:rFonts w:ascii="Calibri" w:hAnsi="Calibri"/>
          <w:bCs/>
          <w:color w:val="auto"/>
          <w:sz w:val="24"/>
        </w:rPr>
        <w:t>点的实测统计代表值，</w:t>
      </w:r>
      <w:r w:rsidRPr="00A964FF">
        <w:rPr>
          <w:rFonts w:ascii="Calibri" w:hAnsi="Calibri"/>
          <w:bCs/>
          <w:color w:val="auto"/>
          <w:sz w:val="24"/>
        </w:rPr>
        <w:t>mg/L</w:t>
      </w:r>
      <w:r w:rsidRPr="00A964FF">
        <w:rPr>
          <w:rFonts w:ascii="Calibri" w:hAnsi="Calibri"/>
          <w:bCs/>
          <w:color w:val="auto"/>
          <w:sz w:val="24"/>
        </w:rPr>
        <w:t>；</w:t>
      </w:r>
    </w:p>
    <w:p w14:paraId="584CDE26" w14:textId="77777777" w:rsidR="006D1907" w:rsidRPr="00A964FF" w:rsidRDefault="006D1907" w:rsidP="006D1907">
      <w:pPr>
        <w:tabs>
          <w:tab w:val="num" w:pos="720"/>
        </w:tabs>
        <w:spacing w:line="520" w:lineRule="exact"/>
        <w:ind w:firstLineChars="600" w:firstLine="1440"/>
        <w:rPr>
          <w:rFonts w:ascii="Calibri" w:hAnsi="Calibri"/>
          <w:bCs/>
          <w:color w:val="auto"/>
          <w:sz w:val="24"/>
        </w:rPr>
      </w:pPr>
      <w:r w:rsidRPr="00A964FF">
        <w:rPr>
          <w:rFonts w:ascii="Calibri" w:hAnsi="Calibri"/>
          <w:bCs/>
          <w:color w:val="auto"/>
          <w:position w:val="-12"/>
          <w:sz w:val="24"/>
        </w:rPr>
        <w:object w:dxaOrig="279" w:dyaOrig="360" w14:anchorId="7D30AC6B">
          <v:shape id="_x0000_i1033" type="#_x0000_t75" style="width:14.4pt;height:18pt" o:ole="">
            <v:imagedata r:id="rId37" o:title=""/>
          </v:shape>
          <o:OLEObject Type="Embed" ProgID="Equation.3" ShapeID="_x0000_i1033" DrawAspect="Content" ObjectID="_1725951958" r:id="rId38"/>
        </w:object>
      </w:r>
      <w:r w:rsidRPr="00A964FF">
        <w:rPr>
          <w:rFonts w:ascii="Calibri" w:hAnsi="Calibri"/>
          <w:bCs/>
          <w:color w:val="auto"/>
          <w:sz w:val="24"/>
        </w:rPr>
        <w:t>——</w:t>
      </w:r>
      <w:r w:rsidRPr="00A964FF">
        <w:rPr>
          <w:rFonts w:ascii="Calibri" w:hAnsi="Calibri"/>
          <w:bCs/>
          <w:color w:val="auto"/>
          <w:sz w:val="24"/>
        </w:rPr>
        <w:t>评价因子</w:t>
      </w:r>
      <w:r w:rsidRPr="00A964FF">
        <w:rPr>
          <w:rFonts w:ascii="Calibri" w:hAnsi="Calibri"/>
          <w:bCs/>
          <w:i/>
          <w:color w:val="auto"/>
          <w:sz w:val="24"/>
        </w:rPr>
        <w:t>i</w:t>
      </w:r>
      <w:r w:rsidRPr="00A964FF">
        <w:rPr>
          <w:rFonts w:ascii="Calibri" w:hAnsi="Calibri"/>
          <w:bCs/>
          <w:color w:val="auto"/>
          <w:sz w:val="24"/>
        </w:rPr>
        <w:t>的评价标准限值，</w:t>
      </w:r>
      <w:r w:rsidRPr="00A964FF">
        <w:rPr>
          <w:rFonts w:ascii="Calibri" w:hAnsi="Calibri"/>
          <w:bCs/>
          <w:color w:val="auto"/>
          <w:sz w:val="24"/>
        </w:rPr>
        <w:t>mg/L</w:t>
      </w:r>
      <w:r w:rsidRPr="00A964FF">
        <w:rPr>
          <w:rFonts w:ascii="Calibri" w:hAnsi="Calibri"/>
          <w:bCs/>
          <w:color w:val="auto"/>
          <w:sz w:val="24"/>
        </w:rPr>
        <w:t>。</w:t>
      </w:r>
    </w:p>
    <w:p w14:paraId="17F339BD" w14:textId="77777777" w:rsidR="006D1907" w:rsidRPr="00A964FF" w:rsidRDefault="006D1907" w:rsidP="006D1907">
      <w:pPr>
        <w:tabs>
          <w:tab w:val="num" w:pos="720"/>
        </w:tabs>
        <w:spacing w:line="520" w:lineRule="exact"/>
        <w:ind w:leftChars="171" w:left="359" w:firstLineChars="100" w:firstLine="240"/>
        <w:rPr>
          <w:rFonts w:ascii="Calibri" w:hAnsi="Calibri"/>
          <w:bCs/>
          <w:color w:val="auto"/>
          <w:sz w:val="24"/>
        </w:rPr>
      </w:pPr>
      <w:r w:rsidRPr="00A964FF">
        <w:rPr>
          <w:rFonts w:ascii="Calibri" w:hAnsi="Calibri"/>
          <w:bCs/>
          <w:color w:val="auto"/>
          <w:sz w:val="24"/>
        </w:rPr>
        <w:t>（</w:t>
      </w:r>
      <w:r w:rsidRPr="00A964FF">
        <w:rPr>
          <w:rFonts w:ascii="Calibri" w:hAnsi="Calibri"/>
          <w:bCs/>
          <w:color w:val="auto"/>
          <w:sz w:val="24"/>
        </w:rPr>
        <w:t>2</w:t>
      </w:r>
      <w:r w:rsidRPr="00A964FF">
        <w:rPr>
          <w:rFonts w:ascii="Calibri" w:hAnsi="Calibri"/>
          <w:bCs/>
          <w:color w:val="auto"/>
          <w:sz w:val="24"/>
        </w:rPr>
        <w:t>）</w:t>
      </w:r>
      <w:r w:rsidRPr="00A964FF">
        <w:rPr>
          <w:rFonts w:ascii="Calibri" w:hAnsi="Calibri"/>
          <w:bCs/>
          <w:color w:val="auto"/>
          <w:sz w:val="24"/>
        </w:rPr>
        <w:t>pH</w:t>
      </w:r>
      <w:r w:rsidRPr="00A964FF">
        <w:rPr>
          <w:rFonts w:ascii="Calibri" w:hAnsi="Calibri"/>
          <w:bCs/>
          <w:color w:val="auto"/>
          <w:sz w:val="24"/>
        </w:rPr>
        <w:t>的标准指数为：</w:t>
      </w:r>
    </w:p>
    <w:p w14:paraId="68FACAA5" w14:textId="77777777" w:rsidR="006D1907" w:rsidRPr="00A964FF" w:rsidRDefault="00217891" w:rsidP="006D1907">
      <w:pPr>
        <w:pStyle w:val="afa"/>
        <w:snapToGrid w:val="0"/>
        <w:spacing w:line="520" w:lineRule="exact"/>
        <w:ind w:firstLineChars="200" w:firstLine="480"/>
        <w:rPr>
          <w:rFonts w:ascii="Calibri" w:hAnsi="Calibri"/>
          <w:bCs/>
          <w:color w:val="auto"/>
          <w:sz w:val="24"/>
        </w:rPr>
      </w:pPr>
      <w:r>
        <w:rPr>
          <w:rFonts w:ascii="Calibri" w:hAnsi="Calibri"/>
          <w:color w:val="auto"/>
          <w:sz w:val="24"/>
        </w:rPr>
        <w:object w:dxaOrig="0" w:dyaOrig="0" w14:anchorId="4F537A5C">
          <v:shape id="_x0000_s13135" type="#_x0000_t75" style="position:absolute;left:0;text-align:left;margin-left:121.5pt;margin-top:.5pt;width:97.25pt;height:36pt;z-index:253632000">
            <v:imagedata r:id="rId39" o:title=""/>
            <w10:wrap type="square"/>
          </v:shape>
          <o:OLEObject Type="Embed" ProgID="Equation.3" ShapeID="_x0000_s13135" DrawAspect="Content" ObjectID="_1725951977" r:id="rId40"/>
        </w:object>
      </w:r>
      <w:r w:rsidR="006D1907" w:rsidRPr="00A964FF">
        <w:rPr>
          <w:rFonts w:ascii="Calibri" w:hAnsi="Calibri"/>
          <w:color w:val="auto"/>
          <w:sz w:val="24"/>
        </w:rPr>
        <w:t>当</w:t>
      </w:r>
      <w:r w:rsidR="006D1907" w:rsidRPr="00A964FF">
        <w:rPr>
          <w:rFonts w:ascii="Calibri" w:hAnsi="Calibri"/>
          <w:color w:val="auto"/>
          <w:sz w:val="24"/>
        </w:rPr>
        <w:t>PH</w:t>
      </w:r>
      <w:r w:rsidR="006D1907" w:rsidRPr="00A964FF">
        <w:rPr>
          <w:rFonts w:ascii="Calibri" w:hAnsi="Calibri"/>
          <w:color w:val="auto"/>
          <w:sz w:val="24"/>
          <w:vertAlign w:val="subscript"/>
        </w:rPr>
        <w:t>j</w:t>
      </w:r>
      <w:r w:rsidR="006D1907" w:rsidRPr="00A964FF">
        <w:rPr>
          <w:rFonts w:ascii="Calibri" w:hAnsi="Calibri"/>
          <w:color w:val="auto"/>
          <w:sz w:val="24"/>
        </w:rPr>
        <w:t xml:space="preserve">≤7.0  </w:t>
      </w:r>
      <w:r w:rsidR="006D1907" w:rsidRPr="00A964FF">
        <w:rPr>
          <w:rFonts w:ascii="Calibri" w:hAnsi="Calibri"/>
          <w:bCs/>
          <w:color w:val="auto"/>
          <w:sz w:val="24"/>
        </w:rPr>
        <w:t xml:space="preserve">    </w:t>
      </w:r>
    </w:p>
    <w:p w14:paraId="783D049D" w14:textId="77777777" w:rsidR="006D1907" w:rsidRPr="00A964FF" w:rsidRDefault="006D1907" w:rsidP="006D1907">
      <w:pPr>
        <w:tabs>
          <w:tab w:val="num" w:pos="720"/>
        </w:tabs>
        <w:spacing w:line="520" w:lineRule="exact"/>
        <w:ind w:left="360"/>
        <w:rPr>
          <w:rFonts w:ascii="Calibri" w:hAnsi="Calibri"/>
          <w:bCs/>
          <w:color w:val="auto"/>
          <w:sz w:val="24"/>
        </w:rPr>
      </w:pPr>
      <w:r w:rsidRPr="00A964FF">
        <w:rPr>
          <w:rFonts w:ascii="Calibri" w:hAnsi="Calibri"/>
          <w:bCs/>
          <w:color w:val="auto"/>
          <w:sz w:val="24"/>
        </w:rPr>
        <w:t xml:space="preserve">     </w:t>
      </w:r>
    </w:p>
    <w:p w14:paraId="57E6F1B8" w14:textId="77777777" w:rsidR="006D1907" w:rsidRPr="00A964FF" w:rsidRDefault="00217891" w:rsidP="006D1907">
      <w:pPr>
        <w:tabs>
          <w:tab w:val="num" w:pos="720"/>
        </w:tabs>
        <w:spacing w:line="520" w:lineRule="exact"/>
        <w:ind w:left="360"/>
        <w:rPr>
          <w:rFonts w:ascii="Calibri" w:hAnsi="Calibri"/>
          <w:bCs/>
          <w:color w:val="auto"/>
          <w:sz w:val="24"/>
        </w:rPr>
      </w:pPr>
      <w:r>
        <w:rPr>
          <w:rFonts w:ascii="Calibri" w:hAnsi="Calibri"/>
          <w:bCs/>
          <w:noProof/>
          <w:color w:val="auto"/>
          <w:position w:val="-30"/>
          <w:sz w:val="24"/>
        </w:rPr>
        <w:object w:dxaOrig="0" w:dyaOrig="0" w14:anchorId="5089EE11">
          <v:shape id="_x0000_s13136" type="#_x0000_t75" style="position:absolute;left:0;text-align:left;margin-left:109.95pt;margin-top:-1.4pt;width:98.1pt;height:36pt;z-index:253633024" wrapcoords="9406 2250 523 7650 348 12600 2265 14400 8710 16650 8535 18450 12542 19800 14632 19800 17071 19800 21077 18000 20903 16650 21600 11250 20729 10350 17768 9000 20381 6300 20032 2250 9406 2250">
            <v:imagedata r:id="rId41" o:title=""/>
            <w10:wrap type="tight"/>
          </v:shape>
          <o:OLEObject Type="Embed" ProgID="Equation.3" ShapeID="_x0000_s13136" DrawAspect="Content" ObjectID="_1725951978" r:id="rId42"/>
        </w:object>
      </w:r>
    </w:p>
    <w:p w14:paraId="51D41541" w14:textId="77777777" w:rsidR="006D1907" w:rsidRPr="00A964FF" w:rsidRDefault="006D1907" w:rsidP="006D1907">
      <w:pPr>
        <w:tabs>
          <w:tab w:val="num" w:pos="720"/>
        </w:tabs>
        <w:spacing w:line="520" w:lineRule="exact"/>
        <w:ind w:leftChars="171" w:left="359" w:firstLineChars="250" w:firstLine="600"/>
        <w:rPr>
          <w:rFonts w:ascii="Calibri" w:hAnsi="Calibri"/>
          <w:bCs/>
          <w:color w:val="auto"/>
          <w:sz w:val="24"/>
        </w:rPr>
      </w:pPr>
      <w:r w:rsidRPr="00A964FF">
        <w:rPr>
          <w:rFonts w:ascii="Calibri"/>
          <w:bCs/>
          <w:color w:val="auto"/>
          <w:sz w:val="24"/>
        </w:rPr>
        <w:t>当</w:t>
      </w:r>
      <w:r w:rsidRPr="00A964FF">
        <w:rPr>
          <w:rFonts w:ascii="Calibri" w:hAnsi="Calibri"/>
          <w:bCs/>
          <w:color w:val="auto"/>
          <w:sz w:val="24"/>
        </w:rPr>
        <w:t>pH</w:t>
      </w:r>
      <w:r w:rsidRPr="00A964FF">
        <w:rPr>
          <w:rFonts w:ascii="Calibri" w:hAnsi="Calibri"/>
          <w:bCs/>
          <w:color w:val="auto"/>
          <w:sz w:val="24"/>
          <w:vertAlign w:val="subscript"/>
        </w:rPr>
        <w:t>j</w:t>
      </w:r>
      <w:r w:rsidRPr="00A964FF">
        <w:rPr>
          <w:rFonts w:ascii="Calibri" w:hAnsi="Calibri" w:hint="eastAsia"/>
          <w:bCs/>
          <w:color w:val="auto"/>
          <w:sz w:val="24"/>
        </w:rPr>
        <w:t>＞</w:t>
      </w:r>
      <w:r w:rsidRPr="00A964FF">
        <w:rPr>
          <w:rFonts w:ascii="Calibri" w:hAnsi="Calibri"/>
          <w:bCs/>
          <w:color w:val="auto"/>
          <w:sz w:val="24"/>
        </w:rPr>
        <w:t xml:space="preserve">7.0   </w:t>
      </w:r>
    </w:p>
    <w:p w14:paraId="504050A7" w14:textId="77777777" w:rsidR="006D1907" w:rsidRPr="00A964FF" w:rsidRDefault="006D1907" w:rsidP="006D1907">
      <w:pPr>
        <w:tabs>
          <w:tab w:val="num" w:pos="720"/>
        </w:tabs>
        <w:spacing w:line="520" w:lineRule="exact"/>
        <w:ind w:leftChars="171" w:left="359" w:firstLineChars="250" w:firstLine="600"/>
        <w:rPr>
          <w:rFonts w:ascii="Calibri" w:hAnsi="Calibri"/>
          <w:bCs/>
          <w:color w:val="auto"/>
          <w:sz w:val="24"/>
        </w:rPr>
      </w:pPr>
      <w:r w:rsidRPr="00A964FF">
        <w:rPr>
          <w:rFonts w:ascii="Calibri"/>
          <w:bCs/>
          <w:color w:val="auto"/>
          <w:sz w:val="24"/>
        </w:rPr>
        <w:t>式中：</w:t>
      </w:r>
      <w:r w:rsidRPr="00A964FF">
        <w:rPr>
          <w:rFonts w:ascii="Calibri" w:hAnsi="Calibri"/>
          <w:bCs/>
          <w:color w:val="auto"/>
          <w:position w:val="-18"/>
          <w:sz w:val="24"/>
        </w:rPr>
        <w:object w:dxaOrig="560" w:dyaOrig="420" w14:anchorId="567EE96D">
          <v:shape id="_x0000_i1036" type="#_x0000_t75" style="width:25.8pt;height:21.6pt" o:ole="">
            <v:imagedata r:id="rId43" o:title=""/>
          </v:shape>
          <o:OLEObject Type="Embed" ProgID="Equation.3" ShapeID="_x0000_i1036" DrawAspect="Content" ObjectID="_1725951959" r:id="rId44"/>
        </w:object>
      </w:r>
      <w:r w:rsidRPr="00A964FF">
        <w:rPr>
          <w:rFonts w:ascii="Calibri" w:hAnsi="Calibri"/>
          <w:bCs/>
          <w:color w:val="auto"/>
          <w:sz w:val="24"/>
        </w:rPr>
        <w:t>——pH</w:t>
      </w:r>
      <w:r w:rsidRPr="00A964FF">
        <w:rPr>
          <w:rFonts w:ascii="Calibri"/>
          <w:bCs/>
          <w:color w:val="auto"/>
          <w:sz w:val="24"/>
        </w:rPr>
        <w:t>的标准指数；</w:t>
      </w:r>
    </w:p>
    <w:p w14:paraId="4E63020A" w14:textId="77777777" w:rsidR="006D1907" w:rsidRPr="00A964FF" w:rsidRDefault="006D1907" w:rsidP="006D1907">
      <w:pPr>
        <w:tabs>
          <w:tab w:val="num" w:pos="720"/>
        </w:tabs>
        <w:spacing w:line="520" w:lineRule="exact"/>
        <w:ind w:firstLineChars="700" w:firstLine="1680"/>
        <w:rPr>
          <w:rFonts w:ascii="Calibri" w:hAnsi="Calibri"/>
          <w:bCs/>
          <w:color w:val="auto"/>
          <w:sz w:val="24"/>
        </w:rPr>
      </w:pPr>
      <w:r w:rsidRPr="00A964FF">
        <w:rPr>
          <w:rFonts w:ascii="Calibri" w:hAnsi="Calibri"/>
          <w:bCs/>
          <w:color w:val="auto"/>
          <w:position w:val="-14"/>
          <w:sz w:val="24"/>
        </w:rPr>
        <w:object w:dxaOrig="499" w:dyaOrig="380" w14:anchorId="5DCDDFF9">
          <v:shape id="_x0000_i1037" type="#_x0000_t75" style="width:24.6pt;height:17.4pt" o:ole="">
            <v:imagedata r:id="rId45" o:title=""/>
          </v:shape>
          <o:OLEObject Type="Embed" ProgID="Equation.3" ShapeID="_x0000_i1037" DrawAspect="Content" ObjectID="_1725951960" r:id="rId46"/>
        </w:object>
      </w:r>
      <w:r w:rsidRPr="00A964FF">
        <w:rPr>
          <w:rFonts w:ascii="Calibri" w:hAnsi="Calibri"/>
          <w:bCs/>
          <w:color w:val="auto"/>
          <w:sz w:val="24"/>
        </w:rPr>
        <w:t>——j</w:t>
      </w:r>
      <w:r w:rsidRPr="00A964FF">
        <w:rPr>
          <w:rFonts w:ascii="Calibri"/>
          <w:bCs/>
          <w:color w:val="auto"/>
          <w:sz w:val="24"/>
        </w:rPr>
        <w:t>点的</w:t>
      </w:r>
      <w:r w:rsidRPr="00A964FF">
        <w:rPr>
          <w:rFonts w:ascii="Calibri" w:hAnsi="Calibri"/>
          <w:bCs/>
          <w:color w:val="auto"/>
          <w:sz w:val="24"/>
        </w:rPr>
        <w:t>pH</w:t>
      </w:r>
      <w:r w:rsidRPr="00A964FF">
        <w:rPr>
          <w:rFonts w:ascii="Calibri"/>
          <w:bCs/>
          <w:color w:val="auto"/>
          <w:sz w:val="24"/>
        </w:rPr>
        <w:t>值；</w:t>
      </w:r>
    </w:p>
    <w:p w14:paraId="47521EA3" w14:textId="77777777" w:rsidR="006D1907" w:rsidRPr="00A964FF" w:rsidRDefault="006D1907" w:rsidP="006D1907">
      <w:pPr>
        <w:tabs>
          <w:tab w:val="num" w:pos="720"/>
          <w:tab w:val="num" w:pos="1080"/>
        </w:tabs>
        <w:spacing w:line="520" w:lineRule="exact"/>
        <w:ind w:leftChars="343" w:left="720" w:firstLineChars="400" w:firstLine="960"/>
        <w:rPr>
          <w:rFonts w:ascii="Calibri" w:hAnsi="Calibri"/>
          <w:bCs/>
          <w:color w:val="auto"/>
          <w:sz w:val="24"/>
        </w:rPr>
      </w:pPr>
      <w:r w:rsidRPr="00A964FF">
        <w:rPr>
          <w:rFonts w:ascii="Calibri" w:hAnsi="Calibri"/>
          <w:bCs/>
          <w:color w:val="auto"/>
          <w:position w:val="-12"/>
          <w:sz w:val="24"/>
        </w:rPr>
        <w:object w:dxaOrig="580" w:dyaOrig="360" w14:anchorId="3E164A72">
          <v:shape id="_x0000_i1038" type="#_x0000_t75" style="width:25.8pt;height:18pt" o:ole="">
            <v:imagedata r:id="rId47" o:title=""/>
          </v:shape>
          <o:OLEObject Type="Embed" ProgID="Equation.3" ShapeID="_x0000_i1038" DrawAspect="Content" ObjectID="_1725951961" r:id="rId48"/>
        </w:object>
      </w:r>
      <w:r w:rsidRPr="00A964FF">
        <w:rPr>
          <w:rFonts w:ascii="Calibri" w:hAnsi="Calibri"/>
          <w:bCs/>
          <w:color w:val="auto"/>
          <w:sz w:val="24"/>
        </w:rPr>
        <w:t>——</w:t>
      </w:r>
      <w:r w:rsidRPr="00A964FF">
        <w:rPr>
          <w:rFonts w:ascii="Calibri"/>
          <w:bCs/>
          <w:color w:val="auto"/>
          <w:sz w:val="24"/>
        </w:rPr>
        <w:t>地表水水质标准规定的</w:t>
      </w:r>
      <w:r w:rsidRPr="00A964FF">
        <w:rPr>
          <w:rFonts w:ascii="Calibri" w:hAnsi="Calibri"/>
          <w:bCs/>
          <w:color w:val="auto"/>
          <w:sz w:val="24"/>
        </w:rPr>
        <w:t>pH</w:t>
      </w:r>
      <w:r w:rsidRPr="00A964FF">
        <w:rPr>
          <w:rFonts w:ascii="Calibri"/>
          <w:bCs/>
          <w:color w:val="auto"/>
          <w:sz w:val="24"/>
        </w:rPr>
        <w:t>的下限值；</w:t>
      </w:r>
    </w:p>
    <w:p w14:paraId="346E275C" w14:textId="77777777" w:rsidR="006D1907" w:rsidRPr="00A964FF" w:rsidRDefault="006D1907" w:rsidP="006D1907">
      <w:pPr>
        <w:tabs>
          <w:tab w:val="num" w:pos="720"/>
          <w:tab w:val="num" w:pos="1080"/>
        </w:tabs>
        <w:spacing w:line="520" w:lineRule="exact"/>
        <w:ind w:leftChars="343" w:left="720" w:firstLineChars="400" w:firstLine="960"/>
        <w:rPr>
          <w:rFonts w:ascii="Calibri"/>
          <w:bCs/>
          <w:color w:val="auto"/>
          <w:sz w:val="24"/>
        </w:rPr>
      </w:pPr>
      <w:r w:rsidRPr="00A964FF">
        <w:rPr>
          <w:rFonts w:ascii="Calibri" w:hAnsi="Calibri"/>
          <w:bCs/>
          <w:color w:val="auto"/>
          <w:position w:val="-12"/>
          <w:sz w:val="24"/>
        </w:rPr>
        <w:object w:dxaOrig="580" w:dyaOrig="360" w14:anchorId="7832BBF8">
          <v:shape id="_x0000_i1039" type="#_x0000_t75" style="width:25.8pt;height:18pt" o:ole="">
            <v:imagedata r:id="rId49" o:title=""/>
          </v:shape>
          <o:OLEObject Type="Embed" ProgID="Equation.3" ShapeID="_x0000_i1039" DrawAspect="Content" ObjectID="_1725951962" r:id="rId50"/>
        </w:object>
      </w:r>
      <w:r w:rsidRPr="00A964FF">
        <w:rPr>
          <w:rFonts w:ascii="Calibri" w:hAnsi="Calibri"/>
          <w:bCs/>
          <w:color w:val="auto"/>
          <w:sz w:val="24"/>
        </w:rPr>
        <w:t>——</w:t>
      </w:r>
      <w:r w:rsidRPr="00A964FF">
        <w:rPr>
          <w:rFonts w:ascii="Calibri"/>
          <w:bCs/>
          <w:color w:val="auto"/>
          <w:sz w:val="24"/>
        </w:rPr>
        <w:t>地表水水质标准规定的</w:t>
      </w:r>
      <w:r w:rsidRPr="00A964FF">
        <w:rPr>
          <w:rFonts w:ascii="Calibri" w:hAnsi="Calibri"/>
          <w:bCs/>
          <w:color w:val="auto"/>
          <w:sz w:val="24"/>
        </w:rPr>
        <w:t>pH</w:t>
      </w:r>
      <w:r w:rsidRPr="00A964FF">
        <w:rPr>
          <w:rFonts w:ascii="Calibri"/>
          <w:bCs/>
          <w:color w:val="auto"/>
          <w:sz w:val="24"/>
        </w:rPr>
        <w:t>的上限值。</w:t>
      </w:r>
    </w:p>
    <w:p w14:paraId="00E8CD97" w14:textId="77777777" w:rsidR="006D1907" w:rsidRPr="00A964FF" w:rsidRDefault="006D1907" w:rsidP="006D1907">
      <w:pPr>
        <w:spacing w:line="520" w:lineRule="exact"/>
        <w:ind w:firstLine="480"/>
        <w:rPr>
          <w:rFonts w:ascii="Calibri" w:hAnsi="Calibri"/>
          <w:b/>
          <w:color w:val="auto"/>
          <w:sz w:val="24"/>
        </w:rPr>
      </w:pPr>
      <w:r w:rsidRPr="00A964FF">
        <w:rPr>
          <w:rFonts w:ascii="Calibri" w:hAnsi="Calibri" w:hint="eastAsia"/>
          <w:b/>
          <w:color w:val="auto"/>
          <w:sz w:val="24"/>
        </w:rPr>
        <w:t>5</w:t>
      </w:r>
      <w:r w:rsidRPr="00A964FF">
        <w:rPr>
          <w:rFonts w:ascii="Calibri" w:hAnsi="Calibri" w:hint="eastAsia"/>
          <w:b/>
          <w:color w:val="auto"/>
          <w:sz w:val="24"/>
        </w:rPr>
        <w:t>、评价标准</w:t>
      </w:r>
    </w:p>
    <w:p w14:paraId="7E23D32C" w14:textId="77777777" w:rsidR="006D1907" w:rsidRPr="00B0031E" w:rsidRDefault="006D1907" w:rsidP="006D1907">
      <w:pPr>
        <w:pStyle w:val="00"/>
        <w:rPr>
          <w:rFonts w:ascii="Calibri" w:hAnsi="Calibri"/>
          <w:noProof/>
          <w:color w:val="auto"/>
        </w:rPr>
      </w:pPr>
      <w:r w:rsidRPr="00A964FF">
        <w:rPr>
          <w:rFonts w:ascii="Calibri" w:hAnsi="Calibri" w:hint="eastAsia"/>
          <w:noProof/>
          <w:color w:val="auto"/>
        </w:rPr>
        <w:t>根据水质功能，沙河执行《</w:t>
      </w:r>
      <w:r w:rsidRPr="00A964FF">
        <w:rPr>
          <w:rFonts w:ascii="Calibri" w:hAnsi="Calibri"/>
          <w:noProof/>
          <w:color w:val="auto"/>
        </w:rPr>
        <w:t>地表水环境质量标准》（</w:t>
      </w:r>
      <w:r w:rsidRPr="00A964FF">
        <w:rPr>
          <w:rFonts w:ascii="Calibri" w:hAnsi="Calibri"/>
          <w:noProof/>
          <w:color w:val="auto"/>
        </w:rPr>
        <w:t>GB3838-2002</w:t>
      </w:r>
      <w:r w:rsidRPr="00A964FF">
        <w:rPr>
          <w:rFonts w:ascii="Calibri" w:hAnsi="Calibri"/>
          <w:noProof/>
          <w:color w:val="auto"/>
        </w:rPr>
        <w:t>）</w:t>
      </w:r>
      <w:r w:rsidRPr="00A964FF">
        <w:rPr>
          <w:rFonts w:ascii="Calibri" w:hAnsi="Calibri" w:hint="eastAsia"/>
          <w:noProof/>
          <w:color w:val="auto"/>
        </w:rPr>
        <w:t>III</w:t>
      </w:r>
      <w:r w:rsidRPr="00A964FF">
        <w:rPr>
          <w:rFonts w:ascii="Calibri" w:hAnsi="Calibri"/>
          <w:noProof/>
          <w:color w:val="auto"/>
        </w:rPr>
        <w:t>类标准</w:t>
      </w:r>
      <w:r w:rsidRPr="00A964FF">
        <w:rPr>
          <w:rFonts w:ascii="Calibri" w:hAnsi="Calibri" w:hint="eastAsia"/>
          <w:noProof/>
          <w:color w:val="auto"/>
        </w:rPr>
        <w:t>，灰河执行《</w:t>
      </w:r>
      <w:r w:rsidRPr="00A964FF">
        <w:rPr>
          <w:rFonts w:ascii="Calibri" w:hAnsi="Calibri"/>
          <w:noProof/>
          <w:color w:val="auto"/>
        </w:rPr>
        <w:t>地表水环境质量标准》（</w:t>
      </w:r>
      <w:r w:rsidRPr="00A964FF">
        <w:rPr>
          <w:rFonts w:ascii="Calibri" w:hAnsi="Calibri"/>
          <w:noProof/>
          <w:color w:val="auto"/>
        </w:rPr>
        <w:t>GB3838-2002</w:t>
      </w:r>
      <w:r w:rsidRPr="00A964FF">
        <w:rPr>
          <w:rFonts w:ascii="Calibri" w:hAnsi="Calibri"/>
          <w:noProof/>
          <w:color w:val="auto"/>
        </w:rPr>
        <w:t>）</w:t>
      </w:r>
      <w:r w:rsidRPr="00A964FF">
        <w:rPr>
          <w:rFonts w:ascii="Calibri" w:hAnsi="Calibri" w:hint="eastAsia"/>
          <w:noProof/>
          <w:color w:val="auto"/>
        </w:rPr>
        <w:t>IV</w:t>
      </w:r>
      <w:r w:rsidRPr="00A964FF">
        <w:rPr>
          <w:rFonts w:ascii="Calibri" w:hAnsi="Calibri"/>
          <w:noProof/>
          <w:color w:val="auto"/>
        </w:rPr>
        <w:t>类标准</w:t>
      </w:r>
      <w:r w:rsidRPr="00A964FF">
        <w:rPr>
          <w:rFonts w:ascii="Calibri" w:hAnsi="Calibri" w:hint="eastAsia"/>
          <w:noProof/>
          <w:color w:val="auto"/>
        </w:rPr>
        <w:t>，其</w:t>
      </w:r>
      <w:r w:rsidRPr="00A964FF">
        <w:rPr>
          <w:rFonts w:ascii="Calibri" w:hAnsi="Calibri"/>
          <w:noProof/>
          <w:color w:val="auto"/>
        </w:rPr>
        <w:t>具体限值见表</w:t>
      </w:r>
      <w:r w:rsidRPr="00A964FF">
        <w:rPr>
          <w:rFonts w:ascii="Calibri" w:hAnsi="Calibri" w:hint="eastAsia"/>
          <w:noProof/>
          <w:color w:val="auto"/>
        </w:rPr>
        <w:t>3.3</w:t>
      </w:r>
      <w:r w:rsidRPr="00A964FF">
        <w:rPr>
          <w:rFonts w:ascii="Calibri" w:hAnsi="Calibri"/>
          <w:noProof/>
          <w:color w:val="auto"/>
        </w:rPr>
        <w:t>-</w:t>
      </w:r>
      <w:r w:rsidRPr="00A964FF">
        <w:rPr>
          <w:rFonts w:ascii="Calibri" w:hAnsi="Calibri" w:hint="eastAsia"/>
          <w:noProof/>
          <w:color w:val="auto"/>
        </w:rPr>
        <w:t>9</w:t>
      </w:r>
      <w:r w:rsidRPr="00A964FF">
        <w:rPr>
          <w:rFonts w:ascii="Calibri" w:hAnsi="Calibri"/>
          <w:noProof/>
          <w:color w:val="auto"/>
        </w:rPr>
        <w:t>。</w:t>
      </w:r>
    </w:p>
    <w:p w14:paraId="3F693D77" w14:textId="77777777" w:rsidR="006D1907" w:rsidRDefault="006D1907" w:rsidP="006D1907">
      <w:pPr>
        <w:pStyle w:val="a1"/>
        <w:spacing w:line="520" w:lineRule="exact"/>
        <w:ind w:firstLineChars="175"/>
        <w:jc w:val="left"/>
        <w:rPr>
          <w:rFonts w:ascii="Calibri" w:eastAsia="黑体" w:hAnsi="Calibri"/>
          <w:bCs/>
          <w:color w:val="auto"/>
          <w:sz w:val="24"/>
        </w:rPr>
      </w:pPr>
    </w:p>
    <w:p w14:paraId="4367D49F" w14:textId="77777777" w:rsidR="006D1907" w:rsidRDefault="006D1907" w:rsidP="006D1907">
      <w:pPr>
        <w:pStyle w:val="a1"/>
        <w:spacing w:line="520" w:lineRule="exact"/>
        <w:ind w:firstLineChars="175"/>
        <w:jc w:val="left"/>
        <w:rPr>
          <w:rFonts w:ascii="Calibri" w:eastAsia="黑体" w:hAnsi="Calibri"/>
          <w:bCs/>
          <w:color w:val="auto"/>
          <w:sz w:val="24"/>
        </w:rPr>
      </w:pPr>
    </w:p>
    <w:p w14:paraId="0154C22A" w14:textId="77777777" w:rsidR="006D1907" w:rsidRDefault="006D1907" w:rsidP="006D1907">
      <w:pPr>
        <w:pStyle w:val="a1"/>
        <w:spacing w:line="520" w:lineRule="exact"/>
        <w:ind w:firstLineChars="175"/>
        <w:jc w:val="left"/>
        <w:rPr>
          <w:rFonts w:ascii="Calibri" w:eastAsia="黑体" w:hAnsi="Calibri"/>
          <w:bCs/>
          <w:color w:val="auto"/>
          <w:sz w:val="24"/>
        </w:rPr>
      </w:pPr>
    </w:p>
    <w:p w14:paraId="2BA9760A" w14:textId="77777777" w:rsidR="006D1907" w:rsidRDefault="006D1907" w:rsidP="006D1907">
      <w:pPr>
        <w:pStyle w:val="a1"/>
        <w:spacing w:line="520" w:lineRule="exact"/>
        <w:ind w:firstLineChars="175"/>
        <w:jc w:val="left"/>
        <w:rPr>
          <w:rFonts w:ascii="Calibri" w:eastAsia="黑体" w:hAnsi="Calibri"/>
          <w:bCs/>
          <w:color w:val="auto"/>
          <w:sz w:val="24"/>
        </w:rPr>
      </w:pPr>
    </w:p>
    <w:p w14:paraId="1F221AA1" w14:textId="77777777" w:rsidR="00AC555A" w:rsidRPr="00AC555A" w:rsidRDefault="00AC555A" w:rsidP="006D1907">
      <w:pPr>
        <w:pStyle w:val="a1"/>
        <w:spacing w:line="520" w:lineRule="exact"/>
        <w:ind w:firstLineChars="175"/>
        <w:jc w:val="left"/>
        <w:rPr>
          <w:rFonts w:ascii="Calibri" w:eastAsia="黑体" w:hAnsi="Calibri"/>
          <w:bCs/>
          <w:color w:val="auto"/>
          <w:sz w:val="24"/>
        </w:rPr>
      </w:pPr>
    </w:p>
    <w:p w14:paraId="7A644BEB" w14:textId="77777777" w:rsidR="006D1907" w:rsidRPr="00A964FF" w:rsidRDefault="006D1907" w:rsidP="006D1907">
      <w:pPr>
        <w:pStyle w:val="a1"/>
        <w:spacing w:line="520" w:lineRule="exact"/>
        <w:ind w:firstLineChars="175"/>
        <w:jc w:val="left"/>
        <w:rPr>
          <w:rFonts w:ascii="黑体" w:eastAsia="黑体" w:hAnsi="Calibri"/>
          <w:bCs/>
          <w:color w:val="auto"/>
          <w:sz w:val="24"/>
        </w:rPr>
      </w:pPr>
      <w:r w:rsidRPr="00A964FF">
        <w:rPr>
          <w:rFonts w:ascii="Calibri" w:eastAsia="黑体" w:hAnsi="Calibri"/>
          <w:bCs/>
          <w:color w:val="auto"/>
          <w:sz w:val="24"/>
        </w:rPr>
        <w:lastRenderedPageBreak/>
        <w:t>表</w:t>
      </w:r>
      <w:r w:rsidRPr="00A964FF">
        <w:rPr>
          <w:rFonts w:ascii="Calibri" w:eastAsia="黑体" w:hAnsi="Calibri" w:hint="eastAsia"/>
          <w:bCs/>
          <w:color w:val="auto"/>
          <w:sz w:val="24"/>
        </w:rPr>
        <w:t>3.3</w:t>
      </w:r>
      <w:r w:rsidRPr="00A964FF">
        <w:rPr>
          <w:rFonts w:ascii="Calibri" w:eastAsia="黑体" w:hAnsi="Calibri"/>
          <w:bCs/>
          <w:color w:val="auto"/>
          <w:sz w:val="24"/>
        </w:rPr>
        <w:t>-</w:t>
      </w:r>
      <w:r w:rsidRPr="00A964FF">
        <w:rPr>
          <w:rFonts w:ascii="Calibri" w:eastAsia="黑体" w:hAnsi="Calibri" w:hint="eastAsia"/>
          <w:bCs/>
          <w:color w:val="auto"/>
          <w:sz w:val="24"/>
        </w:rPr>
        <w:t>9</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Calibri"/>
          <w:bCs/>
          <w:color w:val="auto"/>
          <w:sz w:val="24"/>
        </w:rPr>
        <w:t>地表水环境质量标准</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hAnsi="Calibri"/>
          <w:color w:val="auto"/>
          <w:szCs w:val="21"/>
        </w:rPr>
        <w:t>单位：</w:t>
      </w:r>
      <w:r w:rsidRPr="00A964FF">
        <w:rPr>
          <w:rFonts w:ascii="Calibri" w:hAnsi="Calibri"/>
          <w:color w:val="auto"/>
          <w:szCs w:val="21"/>
        </w:rPr>
        <w:t>mg/L</w:t>
      </w:r>
      <w:r w:rsidRPr="00A964FF">
        <w:rPr>
          <w:rFonts w:ascii="黑体" w:eastAsia="黑体" w:hAnsi="Calibri"/>
          <w:bCs/>
          <w:color w:val="auto"/>
          <w:sz w:val="24"/>
        </w:rPr>
        <w:t xml:space="preserve"> </w:t>
      </w:r>
    </w:p>
    <w:tbl>
      <w:tblPr>
        <w:tblW w:w="5022"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68"/>
        <w:gridCol w:w="2632"/>
        <w:gridCol w:w="2216"/>
        <w:gridCol w:w="2122"/>
      </w:tblGrid>
      <w:tr w:rsidR="006D1907" w:rsidRPr="00A964FF" w14:paraId="402277BA" w14:textId="77777777" w:rsidTr="004C513C">
        <w:trPr>
          <w:trHeight w:val="298"/>
          <w:jc w:val="center"/>
        </w:trPr>
        <w:tc>
          <w:tcPr>
            <w:tcW w:w="1012" w:type="pct"/>
            <w:vAlign w:val="center"/>
          </w:tcPr>
          <w:p w14:paraId="74C16C1E" w14:textId="77777777" w:rsidR="006D1907" w:rsidRPr="00A964FF" w:rsidRDefault="006D1907" w:rsidP="00A94556">
            <w:pPr>
              <w:jc w:val="center"/>
              <w:rPr>
                <w:rFonts w:ascii="Calibri" w:hAnsi="Calibri"/>
                <w:color w:val="auto"/>
                <w:szCs w:val="21"/>
              </w:rPr>
            </w:pPr>
            <w:r w:rsidRPr="00A964FF">
              <w:rPr>
                <w:rFonts w:ascii="Calibri"/>
                <w:color w:val="auto"/>
                <w:szCs w:val="21"/>
              </w:rPr>
              <w:t>序号</w:t>
            </w:r>
          </w:p>
        </w:tc>
        <w:tc>
          <w:tcPr>
            <w:tcW w:w="1506" w:type="pct"/>
            <w:vAlign w:val="center"/>
          </w:tcPr>
          <w:p w14:paraId="3B5DB927" w14:textId="77777777" w:rsidR="006D1907" w:rsidRPr="00A964FF" w:rsidRDefault="006D1907" w:rsidP="00A94556">
            <w:pPr>
              <w:jc w:val="center"/>
              <w:rPr>
                <w:rFonts w:ascii="Calibri" w:hAnsi="Calibri"/>
                <w:color w:val="auto"/>
                <w:szCs w:val="21"/>
              </w:rPr>
            </w:pPr>
            <w:r w:rsidRPr="00A964FF">
              <w:rPr>
                <w:rFonts w:ascii="Calibri" w:hint="eastAsia"/>
                <w:color w:val="auto"/>
                <w:szCs w:val="21"/>
              </w:rPr>
              <w:t>评价因子</w:t>
            </w:r>
          </w:p>
        </w:tc>
        <w:tc>
          <w:tcPr>
            <w:tcW w:w="1268" w:type="pct"/>
            <w:tcBorders>
              <w:right w:val="single" w:sz="4" w:space="0" w:color="auto"/>
            </w:tcBorders>
            <w:vAlign w:val="center"/>
          </w:tcPr>
          <w:p w14:paraId="1594E98F"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III</w:t>
            </w:r>
            <w:r w:rsidRPr="00A964FF">
              <w:rPr>
                <w:rFonts w:ascii="Calibri" w:hAnsi="Calibri" w:hint="eastAsia"/>
                <w:color w:val="auto"/>
                <w:szCs w:val="21"/>
              </w:rPr>
              <w:t>类标准限值</w:t>
            </w:r>
          </w:p>
        </w:tc>
        <w:tc>
          <w:tcPr>
            <w:tcW w:w="1214" w:type="pct"/>
            <w:tcBorders>
              <w:left w:val="single" w:sz="4" w:space="0" w:color="auto"/>
            </w:tcBorders>
            <w:vAlign w:val="center"/>
          </w:tcPr>
          <w:p w14:paraId="0CD0C501"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IV</w:t>
            </w:r>
            <w:r w:rsidRPr="00A964FF">
              <w:rPr>
                <w:rFonts w:ascii="Calibri" w:hAnsi="Calibri" w:hint="eastAsia"/>
                <w:color w:val="auto"/>
                <w:szCs w:val="21"/>
              </w:rPr>
              <w:t>类标准限值</w:t>
            </w:r>
          </w:p>
        </w:tc>
      </w:tr>
      <w:tr w:rsidR="006D1907" w:rsidRPr="00A964FF" w14:paraId="5D85B5F4" w14:textId="77777777" w:rsidTr="004C513C">
        <w:trPr>
          <w:trHeight w:val="298"/>
          <w:jc w:val="center"/>
        </w:trPr>
        <w:tc>
          <w:tcPr>
            <w:tcW w:w="1012" w:type="pct"/>
            <w:vAlign w:val="center"/>
          </w:tcPr>
          <w:p w14:paraId="0557F58A"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hint="eastAsia"/>
                <w:bCs/>
                <w:color w:val="auto"/>
                <w:szCs w:val="21"/>
              </w:rPr>
              <w:t>1</w:t>
            </w:r>
          </w:p>
        </w:tc>
        <w:tc>
          <w:tcPr>
            <w:tcW w:w="1506" w:type="pct"/>
            <w:vAlign w:val="center"/>
          </w:tcPr>
          <w:p w14:paraId="1A734FE1"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color w:val="auto"/>
                <w:szCs w:val="21"/>
              </w:rPr>
              <w:t>pH</w:t>
            </w:r>
          </w:p>
        </w:tc>
        <w:tc>
          <w:tcPr>
            <w:tcW w:w="1268" w:type="pct"/>
            <w:tcBorders>
              <w:right w:val="single" w:sz="4" w:space="0" w:color="auto"/>
            </w:tcBorders>
            <w:vAlign w:val="center"/>
          </w:tcPr>
          <w:p w14:paraId="54CC2CAD"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6</w:t>
            </w:r>
            <w:r w:rsidRPr="00A964FF">
              <w:rPr>
                <w:rFonts w:ascii="Calibri"/>
                <w:color w:val="auto"/>
                <w:szCs w:val="21"/>
              </w:rPr>
              <w:t>～</w:t>
            </w:r>
            <w:r w:rsidRPr="00A964FF">
              <w:rPr>
                <w:rFonts w:ascii="Calibri" w:hAnsi="Calibri"/>
                <w:color w:val="auto"/>
                <w:szCs w:val="21"/>
              </w:rPr>
              <w:t>9</w:t>
            </w:r>
          </w:p>
        </w:tc>
        <w:tc>
          <w:tcPr>
            <w:tcW w:w="1214" w:type="pct"/>
            <w:tcBorders>
              <w:left w:val="single" w:sz="4" w:space="0" w:color="auto"/>
            </w:tcBorders>
            <w:vAlign w:val="center"/>
          </w:tcPr>
          <w:p w14:paraId="37DABCB1"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6</w:t>
            </w:r>
            <w:r w:rsidRPr="00A964FF">
              <w:rPr>
                <w:rFonts w:ascii="Calibri"/>
                <w:color w:val="auto"/>
                <w:szCs w:val="21"/>
              </w:rPr>
              <w:t>～</w:t>
            </w:r>
            <w:r w:rsidRPr="00A964FF">
              <w:rPr>
                <w:rFonts w:ascii="Calibri" w:hAnsi="Calibri"/>
                <w:color w:val="auto"/>
                <w:szCs w:val="21"/>
              </w:rPr>
              <w:t>9</w:t>
            </w:r>
          </w:p>
        </w:tc>
      </w:tr>
      <w:tr w:rsidR="006D1907" w:rsidRPr="00A964FF" w14:paraId="4D52FF13" w14:textId="77777777" w:rsidTr="004C513C">
        <w:trPr>
          <w:trHeight w:val="298"/>
          <w:jc w:val="center"/>
        </w:trPr>
        <w:tc>
          <w:tcPr>
            <w:tcW w:w="1012" w:type="pct"/>
            <w:vAlign w:val="center"/>
          </w:tcPr>
          <w:p w14:paraId="6DA241CE"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hint="eastAsia"/>
                <w:bCs/>
                <w:color w:val="auto"/>
                <w:szCs w:val="21"/>
              </w:rPr>
              <w:t>2</w:t>
            </w:r>
          </w:p>
        </w:tc>
        <w:tc>
          <w:tcPr>
            <w:tcW w:w="1506" w:type="pct"/>
            <w:vAlign w:val="center"/>
          </w:tcPr>
          <w:p w14:paraId="04C378D2" w14:textId="77777777" w:rsidR="006D1907" w:rsidRPr="00A964FF" w:rsidRDefault="006D1907" w:rsidP="00A94556">
            <w:pPr>
              <w:pStyle w:val="a1"/>
              <w:tabs>
                <w:tab w:val="left" w:pos="7560"/>
              </w:tabs>
              <w:ind w:firstLine="0"/>
              <w:jc w:val="center"/>
              <w:rPr>
                <w:rFonts w:ascii="Calibri" w:hAnsi="Calibri"/>
                <w:color w:val="auto"/>
                <w:szCs w:val="21"/>
              </w:rPr>
            </w:pPr>
            <w:r w:rsidRPr="00A964FF">
              <w:rPr>
                <w:rFonts w:ascii="Calibri" w:hAnsi="Calibri" w:hint="eastAsia"/>
                <w:color w:val="auto"/>
                <w:szCs w:val="21"/>
              </w:rPr>
              <w:t>高锰酸盐指数</w:t>
            </w:r>
          </w:p>
        </w:tc>
        <w:tc>
          <w:tcPr>
            <w:tcW w:w="1268" w:type="pct"/>
            <w:tcBorders>
              <w:right w:val="single" w:sz="4" w:space="0" w:color="auto"/>
            </w:tcBorders>
            <w:vAlign w:val="center"/>
          </w:tcPr>
          <w:p w14:paraId="59FEC2DD"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6</w:t>
            </w:r>
          </w:p>
        </w:tc>
        <w:tc>
          <w:tcPr>
            <w:tcW w:w="1214" w:type="pct"/>
            <w:tcBorders>
              <w:left w:val="single" w:sz="4" w:space="0" w:color="auto"/>
            </w:tcBorders>
            <w:vAlign w:val="center"/>
          </w:tcPr>
          <w:p w14:paraId="1D86896E"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10</w:t>
            </w:r>
          </w:p>
        </w:tc>
      </w:tr>
      <w:tr w:rsidR="006D1907" w:rsidRPr="00A964FF" w14:paraId="1B839D69" w14:textId="77777777" w:rsidTr="004C513C">
        <w:trPr>
          <w:trHeight w:val="298"/>
          <w:jc w:val="center"/>
        </w:trPr>
        <w:tc>
          <w:tcPr>
            <w:tcW w:w="1012" w:type="pct"/>
            <w:vAlign w:val="center"/>
          </w:tcPr>
          <w:p w14:paraId="04106C00"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hint="eastAsia"/>
                <w:bCs/>
                <w:color w:val="auto"/>
                <w:szCs w:val="21"/>
              </w:rPr>
              <w:t>3</w:t>
            </w:r>
          </w:p>
        </w:tc>
        <w:tc>
          <w:tcPr>
            <w:tcW w:w="1506" w:type="pct"/>
            <w:vAlign w:val="center"/>
          </w:tcPr>
          <w:p w14:paraId="050BE54A"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hint="eastAsia"/>
                <w:color w:val="auto"/>
                <w:szCs w:val="21"/>
              </w:rPr>
              <w:t>COD</w:t>
            </w:r>
          </w:p>
        </w:tc>
        <w:tc>
          <w:tcPr>
            <w:tcW w:w="1268" w:type="pct"/>
            <w:tcBorders>
              <w:right w:val="single" w:sz="4" w:space="0" w:color="auto"/>
            </w:tcBorders>
            <w:vAlign w:val="center"/>
          </w:tcPr>
          <w:p w14:paraId="3467FE95"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20</w:t>
            </w:r>
          </w:p>
        </w:tc>
        <w:tc>
          <w:tcPr>
            <w:tcW w:w="1214" w:type="pct"/>
            <w:tcBorders>
              <w:left w:val="single" w:sz="4" w:space="0" w:color="auto"/>
            </w:tcBorders>
            <w:vAlign w:val="center"/>
          </w:tcPr>
          <w:p w14:paraId="149E6489"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30</w:t>
            </w:r>
          </w:p>
        </w:tc>
      </w:tr>
      <w:tr w:rsidR="006D1907" w:rsidRPr="00A964FF" w14:paraId="42AB3BA5" w14:textId="77777777" w:rsidTr="004C513C">
        <w:trPr>
          <w:trHeight w:val="298"/>
          <w:jc w:val="center"/>
        </w:trPr>
        <w:tc>
          <w:tcPr>
            <w:tcW w:w="1012" w:type="pct"/>
            <w:vAlign w:val="center"/>
          </w:tcPr>
          <w:p w14:paraId="233A7D1E"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hint="eastAsia"/>
                <w:bCs/>
                <w:color w:val="auto"/>
                <w:szCs w:val="21"/>
              </w:rPr>
              <w:t>4</w:t>
            </w:r>
          </w:p>
        </w:tc>
        <w:tc>
          <w:tcPr>
            <w:tcW w:w="1506" w:type="pct"/>
            <w:vAlign w:val="center"/>
          </w:tcPr>
          <w:p w14:paraId="15DEB5AD"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hint="eastAsia"/>
                <w:color w:val="auto"/>
                <w:szCs w:val="21"/>
              </w:rPr>
              <w:t>BOD</w:t>
            </w:r>
            <w:r w:rsidRPr="00A964FF">
              <w:rPr>
                <w:rFonts w:ascii="Calibri" w:hAnsi="Calibri" w:hint="eastAsia"/>
                <w:color w:val="auto"/>
                <w:szCs w:val="21"/>
                <w:vertAlign w:val="subscript"/>
              </w:rPr>
              <w:t>5</w:t>
            </w:r>
          </w:p>
        </w:tc>
        <w:tc>
          <w:tcPr>
            <w:tcW w:w="1268" w:type="pct"/>
            <w:tcBorders>
              <w:right w:val="single" w:sz="4" w:space="0" w:color="auto"/>
            </w:tcBorders>
            <w:vAlign w:val="center"/>
          </w:tcPr>
          <w:p w14:paraId="1BEC7628"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4</w:t>
            </w:r>
          </w:p>
        </w:tc>
        <w:tc>
          <w:tcPr>
            <w:tcW w:w="1214" w:type="pct"/>
            <w:tcBorders>
              <w:left w:val="single" w:sz="4" w:space="0" w:color="auto"/>
            </w:tcBorders>
            <w:vAlign w:val="center"/>
          </w:tcPr>
          <w:p w14:paraId="597D9ADF"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6</w:t>
            </w:r>
          </w:p>
        </w:tc>
      </w:tr>
      <w:tr w:rsidR="006D1907" w:rsidRPr="00A964FF" w14:paraId="0DE28ED7" w14:textId="77777777" w:rsidTr="004C513C">
        <w:trPr>
          <w:trHeight w:val="298"/>
          <w:jc w:val="center"/>
        </w:trPr>
        <w:tc>
          <w:tcPr>
            <w:tcW w:w="1012" w:type="pct"/>
            <w:vAlign w:val="center"/>
          </w:tcPr>
          <w:p w14:paraId="3E1C1297" w14:textId="77777777" w:rsidR="006D1907" w:rsidRPr="00A964FF" w:rsidRDefault="006D1907" w:rsidP="00A94556">
            <w:pPr>
              <w:pStyle w:val="a1"/>
              <w:tabs>
                <w:tab w:val="left" w:pos="7560"/>
              </w:tabs>
              <w:ind w:firstLine="0"/>
              <w:jc w:val="center"/>
              <w:rPr>
                <w:rFonts w:ascii="Calibri" w:hAnsi="Calibri"/>
                <w:bCs/>
                <w:color w:val="auto"/>
                <w:szCs w:val="21"/>
              </w:rPr>
            </w:pPr>
            <w:r w:rsidRPr="00A964FF">
              <w:rPr>
                <w:rFonts w:ascii="Calibri" w:hAnsi="Calibri" w:hint="eastAsia"/>
                <w:bCs/>
                <w:color w:val="auto"/>
                <w:szCs w:val="21"/>
              </w:rPr>
              <w:t>5</w:t>
            </w:r>
          </w:p>
        </w:tc>
        <w:tc>
          <w:tcPr>
            <w:tcW w:w="1506" w:type="pct"/>
            <w:vAlign w:val="center"/>
          </w:tcPr>
          <w:p w14:paraId="5602090A"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color w:val="auto"/>
                <w:szCs w:val="21"/>
              </w:rPr>
              <w:t>氨氮</w:t>
            </w:r>
          </w:p>
        </w:tc>
        <w:tc>
          <w:tcPr>
            <w:tcW w:w="1268" w:type="pct"/>
            <w:tcBorders>
              <w:right w:val="single" w:sz="4" w:space="0" w:color="auto"/>
            </w:tcBorders>
            <w:vAlign w:val="center"/>
          </w:tcPr>
          <w:p w14:paraId="2721AAD6"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1.0</w:t>
            </w:r>
          </w:p>
        </w:tc>
        <w:tc>
          <w:tcPr>
            <w:tcW w:w="1214" w:type="pct"/>
            <w:tcBorders>
              <w:left w:val="single" w:sz="4" w:space="0" w:color="auto"/>
            </w:tcBorders>
            <w:vAlign w:val="center"/>
          </w:tcPr>
          <w:p w14:paraId="51A3A44A"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1.5</w:t>
            </w:r>
          </w:p>
        </w:tc>
      </w:tr>
      <w:tr w:rsidR="006D1907" w:rsidRPr="00A964FF" w14:paraId="6E33F8A4" w14:textId="77777777" w:rsidTr="004C513C">
        <w:trPr>
          <w:trHeight w:val="298"/>
          <w:jc w:val="center"/>
        </w:trPr>
        <w:tc>
          <w:tcPr>
            <w:tcW w:w="1012" w:type="pct"/>
            <w:vAlign w:val="center"/>
          </w:tcPr>
          <w:p w14:paraId="478E8D6B" w14:textId="77777777" w:rsidR="006D1907" w:rsidRPr="00A964FF" w:rsidRDefault="004C513C" w:rsidP="00A94556">
            <w:pPr>
              <w:pStyle w:val="a1"/>
              <w:ind w:firstLine="0"/>
              <w:jc w:val="center"/>
              <w:rPr>
                <w:rFonts w:ascii="Calibri" w:hAnsi="Calibri"/>
                <w:color w:val="auto"/>
                <w:szCs w:val="21"/>
              </w:rPr>
            </w:pPr>
            <w:r>
              <w:rPr>
                <w:rFonts w:ascii="Calibri" w:hAnsi="Calibri" w:hint="eastAsia"/>
                <w:color w:val="auto"/>
                <w:szCs w:val="21"/>
              </w:rPr>
              <w:t>6</w:t>
            </w:r>
          </w:p>
        </w:tc>
        <w:tc>
          <w:tcPr>
            <w:tcW w:w="1506" w:type="pct"/>
            <w:vAlign w:val="center"/>
          </w:tcPr>
          <w:p w14:paraId="42D42E5E" w14:textId="77777777" w:rsidR="006D1907" w:rsidRPr="00A964FF" w:rsidRDefault="006D1907" w:rsidP="00A94556">
            <w:pPr>
              <w:pStyle w:val="a1"/>
              <w:ind w:firstLine="0"/>
              <w:jc w:val="center"/>
              <w:rPr>
                <w:rFonts w:ascii="Calibri" w:hAnsi="Calibri"/>
                <w:color w:val="auto"/>
                <w:szCs w:val="21"/>
              </w:rPr>
            </w:pPr>
            <w:r w:rsidRPr="00A964FF">
              <w:rPr>
                <w:rFonts w:ascii="Calibri" w:hAnsi="Calibri" w:hint="eastAsia"/>
                <w:color w:val="auto"/>
                <w:szCs w:val="21"/>
              </w:rPr>
              <w:t>总氮（湖库，以</w:t>
            </w:r>
            <w:r w:rsidRPr="00A964FF">
              <w:rPr>
                <w:rFonts w:ascii="Calibri" w:hAnsi="Calibri" w:hint="eastAsia"/>
                <w:color w:val="auto"/>
                <w:szCs w:val="21"/>
              </w:rPr>
              <w:t>N</w:t>
            </w:r>
            <w:r w:rsidRPr="00A964FF">
              <w:rPr>
                <w:rFonts w:ascii="Calibri" w:hAnsi="Calibri" w:hint="eastAsia"/>
                <w:color w:val="auto"/>
                <w:szCs w:val="21"/>
              </w:rPr>
              <w:t>计）</w:t>
            </w:r>
          </w:p>
        </w:tc>
        <w:tc>
          <w:tcPr>
            <w:tcW w:w="1268" w:type="pct"/>
            <w:tcBorders>
              <w:right w:val="single" w:sz="4" w:space="0" w:color="auto"/>
            </w:tcBorders>
            <w:vAlign w:val="center"/>
          </w:tcPr>
          <w:p w14:paraId="6103A696"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1.0</w:t>
            </w:r>
          </w:p>
        </w:tc>
        <w:tc>
          <w:tcPr>
            <w:tcW w:w="1214" w:type="pct"/>
            <w:tcBorders>
              <w:left w:val="single" w:sz="4" w:space="0" w:color="auto"/>
            </w:tcBorders>
            <w:vAlign w:val="center"/>
          </w:tcPr>
          <w:p w14:paraId="641AAB8C"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1.5</w:t>
            </w:r>
          </w:p>
        </w:tc>
      </w:tr>
      <w:tr w:rsidR="004C513C" w:rsidRPr="00A964FF" w14:paraId="4B790549" w14:textId="77777777" w:rsidTr="004C513C">
        <w:trPr>
          <w:trHeight w:val="298"/>
          <w:jc w:val="center"/>
        </w:trPr>
        <w:tc>
          <w:tcPr>
            <w:tcW w:w="1012" w:type="pct"/>
            <w:vAlign w:val="center"/>
          </w:tcPr>
          <w:p w14:paraId="5AD6A32A"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7</w:t>
            </w:r>
          </w:p>
        </w:tc>
        <w:tc>
          <w:tcPr>
            <w:tcW w:w="1506" w:type="pct"/>
            <w:vAlign w:val="center"/>
          </w:tcPr>
          <w:p w14:paraId="773E5833"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铜</w:t>
            </w:r>
          </w:p>
        </w:tc>
        <w:tc>
          <w:tcPr>
            <w:tcW w:w="1268" w:type="pct"/>
            <w:tcBorders>
              <w:right w:val="single" w:sz="4" w:space="0" w:color="auto"/>
            </w:tcBorders>
            <w:vAlign w:val="center"/>
          </w:tcPr>
          <w:p w14:paraId="2DCA837B"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1.0</w:t>
            </w:r>
          </w:p>
        </w:tc>
        <w:tc>
          <w:tcPr>
            <w:tcW w:w="1214" w:type="pct"/>
            <w:tcBorders>
              <w:left w:val="single" w:sz="4" w:space="0" w:color="auto"/>
            </w:tcBorders>
            <w:vAlign w:val="center"/>
          </w:tcPr>
          <w:p w14:paraId="4D22CF56"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1.0</w:t>
            </w:r>
          </w:p>
        </w:tc>
      </w:tr>
      <w:tr w:rsidR="004C513C" w:rsidRPr="00A964FF" w14:paraId="18F39AF9" w14:textId="77777777" w:rsidTr="004C513C">
        <w:trPr>
          <w:trHeight w:val="298"/>
          <w:jc w:val="center"/>
        </w:trPr>
        <w:tc>
          <w:tcPr>
            <w:tcW w:w="1012" w:type="pct"/>
            <w:vAlign w:val="center"/>
          </w:tcPr>
          <w:p w14:paraId="7CCCA2B3"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8</w:t>
            </w:r>
          </w:p>
        </w:tc>
        <w:tc>
          <w:tcPr>
            <w:tcW w:w="1506" w:type="pct"/>
            <w:vAlign w:val="center"/>
          </w:tcPr>
          <w:p w14:paraId="518A9D6B"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锌</w:t>
            </w:r>
          </w:p>
        </w:tc>
        <w:tc>
          <w:tcPr>
            <w:tcW w:w="1268" w:type="pct"/>
            <w:tcBorders>
              <w:right w:val="single" w:sz="4" w:space="0" w:color="auto"/>
            </w:tcBorders>
            <w:vAlign w:val="center"/>
          </w:tcPr>
          <w:p w14:paraId="4DC5FD65"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1.0</w:t>
            </w:r>
          </w:p>
        </w:tc>
        <w:tc>
          <w:tcPr>
            <w:tcW w:w="1214" w:type="pct"/>
            <w:tcBorders>
              <w:left w:val="single" w:sz="4" w:space="0" w:color="auto"/>
            </w:tcBorders>
            <w:vAlign w:val="center"/>
          </w:tcPr>
          <w:p w14:paraId="3F96D845"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2.0</w:t>
            </w:r>
          </w:p>
        </w:tc>
      </w:tr>
      <w:tr w:rsidR="004C513C" w:rsidRPr="00A964FF" w14:paraId="025D1731" w14:textId="77777777" w:rsidTr="004C513C">
        <w:trPr>
          <w:trHeight w:val="298"/>
          <w:jc w:val="center"/>
        </w:trPr>
        <w:tc>
          <w:tcPr>
            <w:tcW w:w="1012" w:type="pct"/>
            <w:vAlign w:val="center"/>
          </w:tcPr>
          <w:p w14:paraId="548CF602"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9</w:t>
            </w:r>
          </w:p>
        </w:tc>
        <w:tc>
          <w:tcPr>
            <w:tcW w:w="1506" w:type="pct"/>
            <w:vAlign w:val="center"/>
          </w:tcPr>
          <w:p w14:paraId="3EC6835E"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氟化物</w:t>
            </w:r>
          </w:p>
        </w:tc>
        <w:tc>
          <w:tcPr>
            <w:tcW w:w="1268" w:type="pct"/>
            <w:tcBorders>
              <w:right w:val="single" w:sz="4" w:space="0" w:color="auto"/>
            </w:tcBorders>
            <w:vAlign w:val="center"/>
          </w:tcPr>
          <w:p w14:paraId="60AA826A"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1.0</w:t>
            </w:r>
          </w:p>
        </w:tc>
        <w:tc>
          <w:tcPr>
            <w:tcW w:w="1214" w:type="pct"/>
            <w:tcBorders>
              <w:left w:val="single" w:sz="4" w:space="0" w:color="auto"/>
            </w:tcBorders>
            <w:vAlign w:val="center"/>
          </w:tcPr>
          <w:p w14:paraId="085A1179"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1.5</w:t>
            </w:r>
          </w:p>
        </w:tc>
      </w:tr>
      <w:tr w:rsidR="004C513C" w:rsidRPr="00A964FF" w14:paraId="46CA1B49" w14:textId="77777777" w:rsidTr="004C513C">
        <w:trPr>
          <w:trHeight w:val="298"/>
          <w:jc w:val="center"/>
        </w:trPr>
        <w:tc>
          <w:tcPr>
            <w:tcW w:w="1012" w:type="pct"/>
            <w:vAlign w:val="center"/>
          </w:tcPr>
          <w:p w14:paraId="484F6A2C"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10</w:t>
            </w:r>
          </w:p>
        </w:tc>
        <w:tc>
          <w:tcPr>
            <w:tcW w:w="1506" w:type="pct"/>
            <w:vAlign w:val="center"/>
          </w:tcPr>
          <w:p w14:paraId="29A8FCBE"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硒</w:t>
            </w:r>
          </w:p>
        </w:tc>
        <w:tc>
          <w:tcPr>
            <w:tcW w:w="1268" w:type="pct"/>
            <w:tcBorders>
              <w:right w:val="single" w:sz="4" w:space="0" w:color="auto"/>
            </w:tcBorders>
            <w:vAlign w:val="center"/>
          </w:tcPr>
          <w:p w14:paraId="52F4DEF0"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0.01</w:t>
            </w:r>
          </w:p>
        </w:tc>
        <w:tc>
          <w:tcPr>
            <w:tcW w:w="1214" w:type="pct"/>
            <w:tcBorders>
              <w:left w:val="single" w:sz="4" w:space="0" w:color="auto"/>
            </w:tcBorders>
            <w:vAlign w:val="center"/>
          </w:tcPr>
          <w:p w14:paraId="171975D5"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0.02</w:t>
            </w:r>
          </w:p>
        </w:tc>
      </w:tr>
      <w:tr w:rsidR="004C513C" w:rsidRPr="00A964FF" w14:paraId="575C5575" w14:textId="77777777" w:rsidTr="004C513C">
        <w:trPr>
          <w:trHeight w:val="298"/>
          <w:jc w:val="center"/>
        </w:trPr>
        <w:tc>
          <w:tcPr>
            <w:tcW w:w="1012" w:type="pct"/>
            <w:vAlign w:val="center"/>
          </w:tcPr>
          <w:p w14:paraId="52858E1E"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11</w:t>
            </w:r>
          </w:p>
        </w:tc>
        <w:tc>
          <w:tcPr>
            <w:tcW w:w="1506" w:type="pct"/>
            <w:vAlign w:val="center"/>
          </w:tcPr>
          <w:p w14:paraId="68AA037E"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砷</w:t>
            </w:r>
          </w:p>
        </w:tc>
        <w:tc>
          <w:tcPr>
            <w:tcW w:w="1268" w:type="pct"/>
            <w:tcBorders>
              <w:right w:val="single" w:sz="4" w:space="0" w:color="auto"/>
            </w:tcBorders>
            <w:vAlign w:val="center"/>
          </w:tcPr>
          <w:p w14:paraId="5D54D682"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0.05</w:t>
            </w:r>
          </w:p>
        </w:tc>
        <w:tc>
          <w:tcPr>
            <w:tcW w:w="1214" w:type="pct"/>
            <w:tcBorders>
              <w:left w:val="single" w:sz="4" w:space="0" w:color="auto"/>
            </w:tcBorders>
            <w:vAlign w:val="center"/>
          </w:tcPr>
          <w:p w14:paraId="1AB61BFC"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0.1</w:t>
            </w:r>
          </w:p>
        </w:tc>
      </w:tr>
      <w:tr w:rsidR="004C513C" w:rsidRPr="00A964FF" w14:paraId="61930749" w14:textId="77777777" w:rsidTr="004C513C">
        <w:trPr>
          <w:trHeight w:val="298"/>
          <w:jc w:val="center"/>
        </w:trPr>
        <w:tc>
          <w:tcPr>
            <w:tcW w:w="1012" w:type="pct"/>
            <w:vAlign w:val="center"/>
          </w:tcPr>
          <w:p w14:paraId="0C474B37"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12</w:t>
            </w:r>
          </w:p>
        </w:tc>
        <w:tc>
          <w:tcPr>
            <w:tcW w:w="1506" w:type="pct"/>
            <w:vAlign w:val="center"/>
          </w:tcPr>
          <w:p w14:paraId="261D2B10"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汞</w:t>
            </w:r>
          </w:p>
        </w:tc>
        <w:tc>
          <w:tcPr>
            <w:tcW w:w="1268" w:type="pct"/>
            <w:tcBorders>
              <w:right w:val="single" w:sz="4" w:space="0" w:color="auto"/>
            </w:tcBorders>
            <w:vAlign w:val="center"/>
          </w:tcPr>
          <w:p w14:paraId="4809D37D"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0.0001</w:t>
            </w:r>
          </w:p>
        </w:tc>
        <w:tc>
          <w:tcPr>
            <w:tcW w:w="1214" w:type="pct"/>
            <w:tcBorders>
              <w:left w:val="single" w:sz="4" w:space="0" w:color="auto"/>
            </w:tcBorders>
            <w:vAlign w:val="center"/>
          </w:tcPr>
          <w:p w14:paraId="3C03319C"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0.001</w:t>
            </w:r>
          </w:p>
        </w:tc>
      </w:tr>
      <w:tr w:rsidR="004C513C" w:rsidRPr="00A964FF" w14:paraId="30D55490" w14:textId="77777777" w:rsidTr="004C513C">
        <w:trPr>
          <w:trHeight w:val="298"/>
          <w:jc w:val="center"/>
        </w:trPr>
        <w:tc>
          <w:tcPr>
            <w:tcW w:w="1012" w:type="pct"/>
            <w:vAlign w:val="center"/>
          </w:tcPr>
          <w:p w14:paraId="608B5EA6"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13</w:t>
            </w:r>
          </w:p>
        </w:tc>
        <w:tc>
          <w:tcPr>
            <w:tcW w:w="1506" w:type="pct"/>
            <w:vAlign w:val="center"/>
          </w:tcPr>
          <w:p w14:paraId="5DBAEC0E"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镉</w:t>
            </w:r>
          </w:p>
        </w:tc>
        <w:tc>
          <w:tcPr>
            <w:tcW w:w="1268" w:type="pct"/>
            <w:tcBorders>
              <w:right w:val="single" w:sz="4" w:space="0" w:color="auto"/>
            </w:tcBorders>
            <w:vAlign w:val="center"/>
          </w:tcPr>
          <w:p w14:paraId="66FEC88C"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0.005</w:t>
            </w:r>
          </w:p>
        </w:tc>
        <w:tc>
          <w:tcPr>
            <w:tcW w:w="1214" w:type="pct"/>
            <w:tcBorders>
              <w:left w:val="single" w:sz="4" w:space="0" w:color="auto"/>
            </w:tcBorders>
            <w:vAlign w:val="center"/>
          </w:tcPr>
          <w:p w14:paraId="57609F8A"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0.005</w:t>
            </w:r>
          </w:p>
        </w:tc>
      </w:tr>
      <w:tr w:rsidR="004C513C" w:rsidRPr="00A964FF" w14:paraId="1AB325D9" w14:textId="77777777" w:rsidTr="004C513C">
        <w:trPr>
          <w:trHeight w:val="298"/>
          <w:jc w:val="center"/>
        </w:trPr>
        <w:tc>
          <w:tcPr>
            <w:tcW w:w="1012" w:type="pct"/>
            <w:vAlign w:val="center"/>
          </w:tcPr>
          <w:p w14:paraId="0319F394"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14</w:t>
            </w:r>
          </w:p>
        </w:tc>
        <w:tc>
          <w:tcPr>
            <w:tcW w:w="1506" w:type="pct"/>
            <w:vAlign w:val="center"/>
          </w:tcPr>
          <w:p w14:paraId="15A23163"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铅</w:t>
            </w:r>
          </w:p>
        </w:tc>
        <w:tc>
          <w:tcPr>
            <w:tcW w:w="1268" w:type="pct"/>
            <w:tcBorders>
              <w:right w:val="single" w:sz="4" w:space="0" w:color="auto"/>
            </w:tcBorders>
            <w:vAlign w:val="center"/>
          </w:tcPr>
          <w:p w14:paraId="0A4D546C"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w:t>
            </w:r>
            <w:r w:rsidRPr="00A964FF">
              <w:rPr>
                <w:rFonts w:ascii="Calibri" w:hAnsi="Calibri" w:hint="eastAsia"/>
                <w:color w:val="auto"/>
                <w:szCs w:val="21"/>
              </w:rPr>
              <w:t>5</w:t>
            </w:r>
          </w:p>
        </w:tc>
        <w:tc>
          <w:tcPr>
            <w:tcW w:w="1214" w:type="pct"/>
            <w:tcBorders>
              <w:left w:val="single" w:sz="4" w:space="0" w:color="auto"/>
            </w:tcBorders>
            <w:vAlign w:val="center"/>
          </w:tcPr>
          <w:p w14:paraId="53AC7937"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0.05</w:t>
            </w:r>
          </w:p>
        </w:tc>
      </w:tr>
      <w:tr w:rsidR="004C513C" w:rsidRPr="00A964FF" w14:paraId="10B0563F" w14:textId="77777777" w:rsidTr="004C513C">
        <w:trPr>
          <w:trHeight w:val="298"/>
          <w:jc w:val="center"/>
        </w:trPr>
        <w:tc>
          <w:tcPr>
            <w:tcW w:w="1012" w:type="pct"/>
            <w:vAlign w:val="center"/>
          </w:tcPr>
          <w:p w14:paraId="65BFBAC4"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15</w:t>
            </w:r>
          </w:p>
        </w:tc>
        <w:tc>
          <w:tcPr>
            <w:tcW w:w="1506" w:type="pct"/>
            <w:vAlign w:val="center"/>
          </w:tcPr>
          <w:p w14:paraId="076CCF3E"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六价铬</w:t>
            </w:r>
          </w:p>
        </w:tc>
        <w:tc>
          <w:tcPr>
            <w:tcW w:w="1268" w:type="pct"/>
            <w:tcBorders>
              <w:right w:val="single" w:sz="4" w:space="0" w:color="auto"/>
            </w:tcBorders>
            <w:vAlign w:val="center"/>
          </w:tcPr>
          <w:p w14:paraId="74572F6C"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0.05</w:t>
            </w:r>
          </w:p>
        </w:tc>
        <w:tc>
          <w:tcPr>
            <w:tcW w:w="1214" w:type="pct"/>
            <w:tcBorders>
              <w:left w:val="single" w:sz="4" w:space="0" w:color="auto"/>
            </w:tcBorders>
            <w:vAlign w:val="center"/>
          </w:tcPr>
          <w:p w14:paraId="4FC34163"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0.05</w:t>
            </w:r>
          </w:p>
        </w:tc>
      </w:tr>
      <w:tr w:rsidR="004C513C" w:rsidRPr="00A964FF" w14:paraId="6D534600" w14:textId="77777777" w:rsidTr="004C513C">
        <w:trPr>
          <w:trHeight w:val="298"/>
          <w:jc w:val="center"/>
        </w:trPr>
        <w:tc>
          <w:tcPr>
            <w:tcW w:w="1012" w:type="pct"/>
            <w:vAlign w:val="center"/>
          </w:tcPr>
          <w:p w14:paraId="57E97C36"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16</w:t>
            </w:r>
          </w:p>
        </w:tc>
        <w:tc>
          <w:tcPr>
            <w:tcW w:w="1506" w:type="pct"/>
            <w:vAlign w:val="center"/>
          </w:tcPr>
          <w:p w14:paraId="334F0ED7"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氰化物</w:t>
            </w:r>
          </w:p>
        </w:tc>
        <w:tc>
          <w:tcPr>
            <w:tcW w:w="1268" w:type="pct"/>
            <w:tcBorders>
              <w:right w:val="single" w:sz="4" w:space="0" w:color="auto"/>
            </w:tcBorders>
            <w:vAlign w:val="center"/>
          </w:tcPr>
          <w:p w14:paraId="7AF9252B"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0.2</w:t>
            </w:r>
          </w:p>
        </w:tc>
        <w:tc>
          <w:tcPr>
            <w:tcW w:w="1214" w:type="pct"/>
            <w:tcBorders>
              <w:left w:val="single" w:sz="4" w:space="0" w:color="auto"/>
            </w:tcBorders>
            <w:vAlign w:val="center"/>
          </w:tcPr>
          <w:p w14:paraId="4313E55F"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0.2</w:t>
            </w:r>
          </w:p>
        </w:tc>
      </w:tr>
      <w:tr w:rsidR="004C513C" w:rsidRPr="00A964FF" w14:paraId="7DD66701" w14:textId="77777777" w:rsidTr="004C513C">
        <w:trPr>
          <w:trHeight w:val="298"/>
          <w:jc w:val="center"/>
        </w:trPr>
        <w:tc>
          <w:tcPr>
            <w:tcW w:w="1012" w:type="pct"/>
            <w:vAlign w:val="center"/>
          </w:tcPr>
          <w:p w14:paraId="2EB15BB2"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17</w:t>
            </w:r>
          </w:p>
        </w:tc>
        <w:tc>
          <w:tcPr>
            <w:tcW w:w="1506" w:type="pct"/>
            <w:vAlign w:val="center"/>
          </w:tcPr>
          <w:p w14:paraId="65179281"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挥发酚</w:t>
            </w:r>
          </w:p>
        </w:tc>
        <w:tc>
          <w:tcPr>
            <w:tcW w:w="1268" w:type="pct"/>
            <w:tcBorders>
              <w:right w:val="single" w:sz="4" w:space="0" w:color="auto"/>
            </w:tcBorders>
            <w:vAlign w:val="center"/>
          </w:tcPr>
          <w:p w14:paraId="545C4CB5"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0.005</w:t>
            </w:r>
          </w:p>
        </w:tc>
        <w:tc>
          <w:tcPr>
            <w:tcW w:w="1214" w:type="pct"/>
            <w:tcBorders>
              <w:left w:val="single" w:sz="4" w:space="0" w:color="auto"/>
            </w:tcBorders>
            <w:vAlign w:val="center"/>
          </w:tcPr>
          <w:p w14:paraId="73F7A088"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0.01</w:t>
            </w:r>
          </w:p>
        </w:tc>
      </w:tr>
      <w:tr w:rsidR="004C513C" w:rsidRPr="00A964FF" w14:paraId="35A60AEB" w14:textId="77777777" w:rsidTr="004C513C">
        <w:trPr>
          <w:trHeight w:val="298"/>
          <w:jc w:val="center"/>
        </w:trPr>
        <w:tc>
          <w:tcPr>
            <w:tcW w:w="1012" w:type="pct"/>
            <w:vAlign w:val="center"/>
          </w:tcPr>
          <w:p w14:paraId="253A9D42"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18</w:t>
            </w:r>
          </w:p>
        </w:tc>
        <w:tc>
          <w:tcPr>
            <w:tcW w:w="1506" w:type="pct"/>
            <w:vAlign w:val="center"/>
          </w:tcPr>
          <w:p w14:paraId="54AFA53F"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石油类</w:t>
            </w:r>
          </w:p>
        </w:tc>
        <w:tc>
          <w:tcPr>
            <w:tcW w:w="1268" w:type="pct"/>
            <w:tcBorders>
              <w:right w:val="single" w:sz="4" w:space="0" w:color="auto"/>
            </w:tcBorders>
            <w:vAlign w:val="center"/>
          </w:tcPr>
          <w:p w14:paraId="71634B88"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0.05</w:t>
            </w:r>
          </w:p>
        </w:tc>
        <w:tc>
          <w:tcPr>
            <w:tcW w:w="1214" w:type="pct"/>
            <w:tcBorders>
              <w:left w:val="single" w:sz="4" w:space="0" w:color="auto"/>
            </w:tcBorders>
            <w:vAlign w:val="center"/>
          </w:tcPr>
          <w:p w14:paraId="0955A4F5"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0.5</w:t>
            </w:r>
          </w:p>
        </w:tc>
      </w:tr>
      <w:tr w:rsidR="004C513C" w:rsidRPr="00A964FF" w14:paraId="13D44359" w14:textId="77777777" w:rsidTr="004C513C">
        <w:trPr>
          <w:trHeight w:val="298"/>
          <w:jc w:val="center"/>
        </w:trPr>
        <w:tc>
          <w:tcPr>
            <w:tcW w:w="1012" w:type="pct"/>
            <w:vAlign w:val="center"/>
          </w:tcPr>
          <w:p w14:paraId="3DFDB0E3"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19</w:t>
            </w:r>
          </w:p>
        </w:tc>
        <w:tc>
          <w:tcPr>
            <w:tcW w:w="1506" w:type="pct"/>
            <w:vAlign w:val="center"/>
          </w:tcPr>
          <w:p w14:paraId="4877D44C"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阴离子表面活性剂</w:t>
            </w:r>
          </w:p>
        </w:tc>
        <w:tc>
          <w:tcPr>
            <w:tcW w:w="1268" w:type="pct"/>
            <w:tcBorders>
              <w:right w:val="single" w:sz="4" w:space="0" w:color="auto"/>
            </w:tcBorders>
            <w:vAlign w:val="center"/>
          </w:tcPr>
          <w:p w14:paraId="38184DAA"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0.2</w:t>
            </w:r>
          </w:p>
        </w:tc>
        <w:tc>
          <w:tcPr>
            <w:tcW w:w="1214" w:type="pct"/>
            <w:tcBorders>
              <w:left w:val="single" w:sz="4" w:space="0" w:color="auto"/>
            </w:tcBorders>
            <w:vAlign w:val="center"/>
          </w:tcPr>
          <w:p w14:paraId="1768355F"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0.3</w:t>
            </w:r>
          </w:p>
        </w:tc>
      </w:tr>
      <w:tr w:rsidR="004C513C" w:rsidRPr="00A964FF" w14:paraId="5F9B234E" w14:textId="77777777" w:rsidTr="004C513C">
        <w:trPr>
          <w:trHeight w:val="298"/>
          <w:jc w:val="center"/>
        </w:trPr>
        <w:tc>
          <w:tcPr>
            <w:tcW w:w="1012" w:type="pct"/>
            <w:vAlign w:val="center"/>
          </w:tcPr>
          <w:p w14:paraId="51286BE5"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20</w:t>
            </w:r>
          </w:p>
        </w:tc>
        <w:tc>
          <w:tcPr>
            <w:tcW w:w="1506" w:type="pct"/>
            <w:vAlign w:val="center"/>
          </w:tcPr>
          <w:p w14:paraId="16C023BC"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硫化物</w:t>
            </w:r>
          </w:p>
        </w:tc>
        <w:tc>
          <w:tcPr>
            <w:tcW w:w="1268" w:type="pct"/>
            <w:tcBorders>
              <w:right w:val="single" w:sz="4" w:space="0" w:color="auto"/>
            </w:tcBorders>
            <w:vAlign w:val="center"/>
          </w:tcPr>
          <w:p w14:paraId="64279A38"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0.2</w:t>
            </w:r>
          </w:p>
        </w:tc>
        <w:tc>
          <w:tcPr>
            <w:tcW w:w="1214" w:type="pct"/>
            <w:tcBorders>
              <w:left w:val="single" w:sz="4" w:space="0" w:color="auto"/>
            </w:tcBorders>
            <w:vAlign w:val="center"/>
          </w:tcPr>
          <w:p w14:paraId="5E5435A7"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0.5</w:t>
            </w:r>
          </w:p>
        </w:tc>
      </w:tr>
      <w:tr w:rsidR="004C513C" w:rsidRPr="00A964FF" w14:paraId="5E87B82F" w14:textId="77777777" w:rsidTr="004C513C">
        <w:trPr>
          <w:trHeight w:val="298"/>
          <w:jc w:val="center"/>
        </w:trPr>
        <w:tc>
          <w:tcPr>
            <w:tcW w:w="1012" w:type="pct"/>
            <w:vAlign w:val="center"/>
          </w:tcPr>
          <w:p w14:paraId="5DA646CB"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21</w:t>
            </w:r>
          </w:p>
        </w:tc>
        <w:tc>
          <w:tcPr>
            <w:tcW w:w="1506" w:type="pct"/>
            <w:vAlign w:val="center"/>
          </w:tcPr>
          <w:p w14:paraId="4EF6C352" w14:textId="77777777" w:rsidR="004C513C" w:rsidRPr="00A964FF" w:rsidRDefault="004C513C" w:rsidP="004C513C">
            <w:pPr>
              <w:pStyle w:val="a1"/>
              <w:ind w:firstLine="0"/>
              <w:jc w:val="center"/>
              <w:rPr>
                <w:rFonts w:ascii="Calibri" w:hAnsi="Calibri"/>
                <w:color w:val="auto"/>
                <w:szCs w:val="21"/>
              </w:rPr>
            </w:pPr>
            <w:r w:rsidRPr="00A964FF">
              <w:rPr>
                <w:rFonts w:ascii="Calibri" w:hAnsi="Calibri" w:hint="eastAsia"/>
                <w:color w:val="auto"/>
                <w:szCs w:val="21"/>
              </w:rPr>
              <w:t>粪大肠菌群</w:t>
            </w:r>
          </w:p>
        </w:tc>
        <w:tc>
          <w:tcPr>
            <w:tcW w:w="1268" w:type="pct"/>
            <w:tcBorders>
              <w:right w:val="single" w:sz="4" w:space="0" w:color="auto"/>
            </w:tcBorders>
            <w:vAlign w:val="center"/>
          </w:tcPr>
          <w:p w14:paraId="6BAFF801" w14:textId="77777777" w:rsidR="004C513C" w:rsidRPr="00A964FF" w:rsidRDefault="004C513C" w:rsidP="004C513C">
            <w:pPr>
              <w:jc w:val="center"/>
              <w:rPr>
                <w:rFonts w:ascii="Calibri" w:hAnsi="Calibri"/>
                <w:color w:val="auto"/>
                <w:szCs w:val="21"/>
              </w:rPr>
            </w:pPr>
            <w:r w:rsidRPr="00A964FF">
              <w:rPr>
                <w:rFonts w:ascii="Calibri" w:hAnsi="Calibri"/>
                <w:color w:val="auto"/>
                <w:szCs w:val="21"/>
              </w:rPr>
              <w:t>10000</w:t>
            </w:r>
            <w:r w:rsidRPr="00A964FF">
              <w:rPr>
                <w:rFonts w:ascii="Calibri"/>
                <w:color w:val="auto"/>
                <w:szCs w:val="21"/>
              </w:rPr>
              <w:t>个</w:t>
            </w:r>
            <w:r w:rsidRPr="00A964FF">
              <w:rPr>
                <w:rFonts w:ascii="Calibri" w:hAnsi="Calibri"/>
                <w:color w:val="auto"/>
                <w:szCs w:val="21"/>
              </w:rPr>
              <w:t>/L</w:t>
            </w:r>
          </w:p>
        </w:tc>
        <w:tc>
          <w:tcPr>
            <w:tcW w:w="1214" w:type="pct"/>
            <w:tcBorders>
              <w:left w:val="single" w:sz="4" w:space="0" w:color="auto"/>
            </w:tcBorders>
            <w:vAlign w:val="center"/>
          </w:tcPr>
          <w:p w14:paraId="58CA28AF" w14:textId="77777777" w:rsidR="004C513C" w:rsidRPr="00A964FF" w:rsidRDefault="004C513C" w:rsidP="004C513C">
            <w:pPr>
              <w:jc w:val="center"/>
              <w:rPr>
                <w:rFonts w:ascii="Calibri" w:hAnsi="Calibri"/>
                <w:color w:val="auto"/>
                <w:szCs w:val="21"/>
              </w:rPr>
            </w:pPr>
            <w:r w:rsidRPr="00A964FF">
              <w:rPr>
                <w:rFonts w:ascii="Calibri" w:hAnsi="Calibri" w:hint="eastAsia"/>
                <w:color w:val="auto"/>
                <w:szCs w:val="21"/>
              </w:rPr>
              <w:t>20000</w:t>
            </w:r>
            <w:r w:rsidRPr="00A964FF">
              <w:rPr>
                <w:rFonts w:ascii="Calibri"/>
                <w:color w:val="auto"/>
                <w:szCs w:val="21"/>
              </w:rPr>
              <w:t>个</w:t>
            </w:r>
            <w:r w:rsidRPr="00A964FF">
              <w:rPr>
                <w:rFonts w:ascii="Calibri" w:hAnsi="Calibri"/>
                <w:color w:val="auto"/>
                <w:szCs w:val="21"/>
              </w:rPr>
              <w:t>/L</w:t>
            </w:r>
          </w:p>
        </w:tc>
      </w:tr>
    </w:tbl>
    <w:p w14:paraId="17B1D185" w14:textId="77777777" w:rsidR="006D1907" w:rsidRPr="00A964FF" w:rsidRDefault="006D1907" w:rsidP="006D1907">
      <w:pPr>
        <w:pStyle w:val="a1"/>
        <w:spacing w:line="520" w:lineRule="exact"/>
        <w:ind w:firstLineChars="200" w:firstLine="482"/>
        <w:jc w:val="left"/>
        <w:rPr>
          <w:rFonts w:ascii="Calibri" w:hAnsi="Calibri"/>
          <w:b/>
          <w:color w:val="auto"/>
          <w:sz w:val="24"/>
        </w:rPr>
      </w:pPr>
      <w:r w:rsidRPr="00A964FF">
        <w:rPr>
          <w:rFonts w:ascii="Calibri" w:hAnsi="Calibri" w:hint="eastAsia"/>
          <w:b/>
          <w:color w:val="auto"/>
          <w:sz w:val="24"/>
        </w:rPr>
        <w:t>6</w:t>
      </w:r>
      <w:r w:rsidRPr="00A964FF">
        <w:rPr>
          <w:rFonts w:ascii="Calibri" w:hAnsi="Calibri" w:hint="eastAsia"/>
          <w:b/>
          <w:color w:val="auto"/>
          <w:sz w:val="24"/>
        </w:rPr>
        <w:t>、监测及评价统计结果</w:t>
      </w:r>
    </w:p>
    <w:p w14:paraId="1BBFAB1E" w14:textId="77777777" w:rsidR="006D1907" w:rsidRPr="00A964FF" w:rsidRDefault="006D1907" w:rsidP="006D1907">
      <w:pPr>
        <w:pStyle w:val="00"/>
        <w:rPr>
          <w:rFonts w:ascii="Calibri" w:hAnsi="Calibri"/>
          <w:color w:val="auto"/>
        </w:rPr>
      </w:pPr>
      <w:r w:rsidRPr="00A964FF">
        <w:rPr>
          <w:rFonts w:ascii="Calibri" w:hAnsi="Calibri"/>
          <w:color w:val="auto"/>
        </w:rPr>
        <w:t>（</w:t>
      </w:r>
      <w:r>
        <w:rPr>
          <w:rFonts w:ascii="Calibri" w:hAnsi="Calibri"/>
          <w:color w:val="auto"/>
        </w:rPr>
        <w:t>1</w:t>
      </w:r>
      <w:r w:rsidRPr="00A964FF">
        <w:rPr>
          <w:rFonts w:ascii="Calibri" w:hAnsi="Calibri"/>
          <w:color w:val="auto"/>
        </w:rPr>
        <w:t>）灰河</w:t>
      </w:r>
    </w:p>
    <w:p w14:paraId="23146289" w14:textId="77777777" w:rsidR="006D1907" w:rsidRPr="00A964FF" w:rsidRDefault="006D1907" w:rsidP="006D1907">
      <w:pPr>
        <w:pStyle w:val="00"/>
        <w:rPr>
          <w:rFonts w:ascii="Calibri" w:hAnsi="Calibri"/>
          <w:noProof/>
          <w:color w:val="auto"/>
        </w:rPr>
      </w:pPr>
      <w:r w:rsidRPr="00A964FF">
        <w:rPr>
          <w:rFonts w:ascii="Calibri" w:hAnsi="Calibri" w:hint="eastAsia"/>
          <w:color w:val="auto"/>
        </w:rPr>
        <w:t>灰河</w:t>
      </w:r>
      <w:r w:rsidRPr="00A964FF">
        <w:rPr>
          <w:rFonts w:ascii="Calibri" w:hAnsi="Calibri"/>
          <w:color w:val="auto"/>
        </w:rPr>
        <w:t>现状监测</w:t>
      </w:r>
      <w:r w:rsidRPr="00A964FF">
        <w:rPr>
          <w:color w:val="auto"/>
        </w:rPr>
        <w:t>及评价统计结果</w:t>
      </w:r>
      <w:r w:rsidRPr="00A964FF">
        <w:rPr>
          <w:rFonts w:ascii="Calibri" w:hAnsi="Calibri"/>
          <w:noProof/>
          <w:color w:val="auto"/>
        </w:rPr>
        <w:t>见表</w:t>
      </w:r>
      <w:r w:rsidRPr="00A964FF">
        <w:rPr>
          <w:rFonts w:ascii="Calibri" w:hAnsi="Calibri" w:hint="eastAsia"/>
          <w:noProof/>
          <w:color w:val="auto"/>
        </w:rPr>
        <w:t>3.3-1</w:t>
      </w:r>
      <w:r>
        <w:rPr>
          <w:rFonts w:ascii="Calibri" w:hAnsi="Calibri" w:hint="eastAsia"/>
          <w:noProof/>
          <w:color w:val="auto"/>
        </w:rPr>
        <w:t>0</w:t>
      </w:r>
      <w:r w:rsidRPr="00A964FF">
        <w:rPr>
          <w:rFonts w:ascii="Calibri" w:hAnsi="Calibri"/>
          <w:noProof/>
          <w:color w:val="auto"/>
        </w:rPr>
        <w:t>。</w:t>
      </w:r>
    </w:p>
    <w:p w14:paraId="6014E3EE" w14:textId="77777777" w:rsidR="006D1907" w:rsidRPr="004E57A8" w:rsidRDefault="006D1907" w:rsidP="006D1907">
      <w:pPr>
        <w:spacing w:line="520" w:lineRule="exact"/>
        <w:rPr>
          <w:rFonts w:ascii="Calibri" w:eastAsia="黑体" w:hAnsi="Calibri"/>
          <w:sz w:val="24"/>
        </w:rPr>
      </w:pPr>
      <w:r w:rsidRPr="00A964FF">
        <w:rPr>
          <w:rFonts w:ascii="Calibri" w:eastAsia="黑体" w:hAnsi="黑体"/>
          <w:bCs/>
          <w:color w:val="auto"/>
          <w:sz w:val="24"/>
          <w:szCs w:val="20"/>
        </w:rPr>
        <w:t>表</w:t>
      </w:r>
      <w:r w:rsidRPr="00A964FF">
        <w:rPr>
          <w:rFonts w:ascii="Calibri" w:eastAsia="黑体" w:hAnsi="黑体"/>
          <w:bCs/>
          <w:color w:val="auto"/>
          <w:sz w:val="24"/>
          <w:szCs w:val="20"/>
        </w:rPr>
        <w:t>3</w:t>
      </w:r>
      <w:r w:rsidRPr="00A964FF">
        <w:rPr>
          <w:rFonts w:ascii="Calibri" w:eastAsia="黑体" w:hAnsi="黑体" w:hint="eastAsia"/>
          <w:bCs/>
          <w:color w:val="auto"/>
          <w:sz w:val="24"/>
          <w:szCs w:val="20"/>
        </w:rPr>
        <w:t>.3</w:t>
      </w:r>
      <w:r w:rsidRPr="00A964FF">
        <w:rPr>
          <w:rFonts w:ascii="Calibri" w:eastAsia="黑体" w:hAnsi="黑体"/>
          <w:bCs/>
          <w:color w:val="auto"/>
          <w:sz w:val="24"/>
          <w:szCs w:val="20"/>
        </w:rPr>
        <w:t>-</w:t>
      </w:r>
      <w:r>
        <w:rPr>
          <w:rFonts w:ascii="Calibri" w:eastAsia="黑体" w:hAnsi="黑体"/>
          <w:bCs/>
          <w:color w:val="auto"/>
          <w:sz w:val="24"/>
          <w:szCs w:val="20"/>
        </w:rPr>
        <w:t xml:space="preserve">10      </w:t>
      </w:r>
      <w:r w:rsidRPr="00A964FF">
        <w:rPr>
          <w:rFonts w:ascii="Calibri" w:eastAsia="黑体" w:hAnsi="黑体"/>
          <w:bCs/>
          <w:color w:val="auto"/>
          <w:sz w:val="24"/>
          <w:szCs w:val="20"/>
        </w:rPr>
        <w:t>20</w:t>
      </w:r>
      <w:r w:rsidRPr="00A964FF">
        <w:rPr>
          <w:rFonts w:ascii="Calibri" w:eastAsia="黑体" w:hAnsi="黑体" w:hint="eastAsia"/>
          <w:bCs/>
          <w:color w:val="auto"/>
          <w:sz w:val="24"/>
          <w:szCs w:val="20"/>
        </w:rPr>
        <w:t>2</w:t>
      </w:r>
      <w:r>
        <w:rPr>
          <w:rFonts w:ascii="Calibri" w:eastAsia="黑体" w:hAnsi="黑体"/>
          <w:bCs/>
          <w:color w:val="auto"/>
          <w:sz w:val="24"/>
          <w:szCs w:val="20"/>
        </w:rPr>
        <w:t>1</w:t>
      </w:r>
      <w:r w:rsidRPr="00A964FF">
        <w:rPr>
          <w:rFonts w:ascii="Calibri" w:eastAsia="黑体" w:hAnsi="黑体"/>
          <w:bCs/>
          <w:color w:val="auto"/>
          <w:sz w:val="24"/>
          <w:szCs w:val="20"/>
        </w:rPr>
        <w:t>年灰河叶县水寨屈庄断面监测结果统计</w:t>
      </w:r>
      <w:r w:rsidRPr="00A964FF">
        <w:rPr>
          <w:rFonts w:ascii="Calibri" w:eastAsia="黑体" w:hAnsi="黑体"/>
          <w:bCs/>
          <w:color w:val="auto"/>
          <w:sz w:val="24"/>
          <w:szCs w:val="20"/>
        </w:rPr>
        <w:t xml:space="preserve"> </w:t>
      </w:r>
      <w:r w:rsidRPr="00A964FF">
        <w:rPr>
          <w:rFonts w:ascii="Calibri" w:hAnsi="Calibri"/>
          <w:bCs/>
          <w:color w:val="auto"/>
        </w:rPr>
        <w:t xml:space="preserve"> </w:t>
      </w:r>
      <w:r w:rsidRPr="00A964FF">
        <w:rPr>
          <w:rFonts w:ascii="Calibri" w:hAnsi="宋体"/>
          <w:color w:val="auto"/>
          <w:szCs w:val="21"/>
        </w:rPr>
        <w:t>单位：</w:t>
      </w:r>
      <w:r w:rsidRPr="00A964FF">
        <w:rPr>
          <w:rFonts w:ascii="Calibri" w:hAnsi="Calibri"/>
          <w:color w:val="auto"/>
          <w:szCs w:val="21"/>
        </w:rPr>
        <w:t>mg/L</w:t>
      </w:r>
      <w:r w:rsidRPr="00A964FF">
        <w:rPr>
          <w:rFonts w:ascii="Calibri" w:hAnsi="宋体"/>
          <w:color w:val="auto"/>
          <w:szCs w:val="21"/>
        </w:rPr>
        <w:t>（除</w:t>
      </w:r>
      <w:r w:rsidRPr="00A964FF">
        <w:rPr>
          <w:rFonts w:ascii="Calibri" w:hAnsi="Calibri"/>
          <w:color w:val="auto"/>
          <w:szCs w:val="21"/>
        </w:rPr>
        <w:t>pH</w:t>
      </w:r>
      <w:r w:rsidRPr="00A964FF">
        <w:rPr>
          <w:rFonts w:ascii="Calibri" w:hAnsi="宋体"/>
          <w:color w:val="auto"/>
          <w:szCs w:val="21"/>
        </w:rPr>
        <w:t>外）</w:t>
      </w:r>
    </w:p>
    <w:tbl>
      <w:tblPr>
        <w:tblW w:w="512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51"/>
        <w:gridCol w:w="2185"/>
        <w:gridCol w:w="1116"/>
        <w:gridCol w:w="1116"/>
        <w:gridCol w:w="1116"/>
        <w:gridCol w:w="1116"/>
        <w:gridCol w:w="1116"/>
      </w:tblGrid>
      <w:tr w:rsidR="006D1907" w:rsidRPr="004E57A8" w14:paraId="5A1BD94A" w14:textId="77777777" w:rsidTr="00A94556">
        <w:trPr>
          <w:trHeight w:val="340"/>
        </w:trPr>
        <w:tc>
          <w:tcPr>
            <w:tcW w:w="645" w:type="pct"/>
            <w:vAlign w:val="center"/>
          </w:tcPr>
          <w:p w14:paraId="1C790A37" w14:textId="77777777" w:rsidR="006D1907" w:rsidRPr="004E57A8" w:rsidRDefault="006D1907" w:rsidP="00A94556">
            <w:pPr>
              <w:jc w:val="center"/>
              <w:rPr>
                <w:rFonts w:ascii="Calibri" w:hAnsi="Calibri"/>
                <w:szCs w:val="21"/>
              </w:rPr>
            </w:pPr>
            <w:r w:rsidRPr="004E57A8">
              <w:rPr>
                <w:rFonts w:ascii="Calibri" w:hAnsi="Calibri"/>
                <w:szCs w:val="21"/>
              </w:rPr>
              <w:t>河流断面</w:t>
            </w:r>
          </w:p>
        </w:tc>
        <w:tc>
          <w:tcPr>
            <w:tcW w:w="1225" w:type="pct"/>
            <w:vAlign w:val="center"/>
          </w:tcPr>
          <w:p w14:paraId="6A8990E8" w14:textId="77777777" w:rsidR="006D1907" w:rsidRPr="004E57A8" w:rsidRDefault="006D1907" w:rsidP="00A94556">
            <w:pPr>
              <w:jc w:val="center"/>
              <w:rPr>
                <w:rFonts w:ascii="Calibri" w:hAnsi="Calibri"/>
                <w:szCs w:val="21"/>
              </w:rPr>
            </w:pPr>
            <w:r w:rsidRPr="004E57A8">
              <w:rPr>
                <w:rFonts w:ascii="Calibri" w:hAnsi="Calibri"/>
                <w:szCs w:val="21"/>
              </w:rPr>
              <w:t>项目</w:t>
            </w:r>
          </w:p>
        </w:tc>
        <w:tc>
          <w:tcPr>
            <w:tcW w:w="626" w:type="pct"/>
            <w:vAlign w:val="center"/>
          </w:tcPr>
          <w:p w14:paraId="3A890593" w14:textId="77777777" w:rsidR="006D1907" w:rsidRPr="004E57A8" w:rsidRDefault="006D1907" w:rsidP="00A94556">
            <w:pPr>
              <w:jc w:val="center"/>
              <w:rPr>
                <w:rFonts w:ascii="Calibri" w:hAnsi="Calibri"/>
                <w:szCs w:val="21"/>
              </w:rPr>
            </w:pPr>
            <w:r>
              <w:rPr>
                <w:rFonts w:ascii="Calibri" w:hAnsi="Calibri" w:hint="eastAsia"/>
                <w:szCs w:val="21"/>
              </w:rPr>
              <w:t>均值</w:t>
            </w:r>
          </w:p>
        </w:tc>
        <w:tc>
          <w:tcPr>
            <w:tcW w:w="626" w:type="pct"/>
            <w:vAlign w:val="center"/>
          </w:tcPr>
          <w:p w14:paraId="35A7A475" w14:textId="77777777" w:rsidR="006D1907" w:rsidRPr="004E57A8" w:rsidRDefault="006D1907" w:rsidP="00A94556">
            <w:pPr>
              <w:jc w:val="center"/>
              <w:rPr>
                <w:rFonts w:ascii="Calibri" w:hAnsi="Calibri"/>
                <w:szCs w:val="21"/>
              </w:rPr>
            </w:pPr>
            <w:r w:rsidRPr="004E57A8">
              <w:rPr>
                <w:rFonts w:ascii="Calibri" w:hAnsi="Calibri"/>
                <w:szCs w:val="21"/>
              </w:rPr>
              <w:t>评价标准</w:t>
            </w:r>
          </w:p>
        </w:tc>
        <w:tc>
          <w:tcPr>
            <w:tcW w:w="626" w:type="pct"/>
            <w:vAlign w:val="center"/>
          </w:tcPr>
          <w:p w14:paraId="7B5CDDFD" w14:textId="77777777" w:rsidR="006D1907" w:rsidRPr="004E57A8" w:rsidRDefault="006D1907" w:rsidP="00A94556">
            <w:pPr>
              <w:jc w:val="center"/>
              <w:rPr>
                <w:rFonts w:ascii="Calibri" w:hAnsi="Calibri"/>
                <w:szCs w:val="21"/>
              </w:rPr>
            </w:pPr>
            <w:r w:rsidRPr="004E57A8">
              <w:rPr>
                <w:rFonts w:ascii="Calibri" w:hAnsi="Calibri"/>
                <w:szCs w:val="21"/>
              </w:rPr>
              <w:t>标准指数</w:t>
            </w:r>
          </w:p>
        </w:tc>
        <w:tc>
          <w:tcPr>
            <w:tcW w:w="626" w:type="pct"/>
            <w:vAlign w:val="center"/>
          </w:tcPr>
          <w:p w14:paraId="34BD29AC" w14:textId="77777777" w:rsidR="006D1907" w:rsidRPr="004E57A8" w:rsidRDefault="006D1907" w:rsidP="00A94556">
            <w:pPr>
              <w:jc w:val="center"/>
              <w:rPr>
                <w:rFonts w:ascii="Calibri" w:hAnsi="Calibri"/>
                <w:szCs w:val="21"/>
              </w:rPr>
            </w:pPr>
            <w:r w:rsidRPr="004E57A8">
              <w:rPr>
                <w:rFonts w:ascii="Calibri" w:hAnsi="Calibri"/>
                <w:szCs w:val="21"/>
              </w:rPr>
              <w:t>超标率（</w:t>
            </w:r>
            <w:r w:rsidRPr="004E57A8">
              <w:rPr>
                <w:rFonts w:ascii="Calibri" w:hAnsi="Calibri"/>
                <w:szCs w:val="21"/>
              </w:rPr>
              <w:t>%</w:t>
            </w:r>
            <w:r w:rsidRPr="004E57A8">
              <w:rPr>
                <w:rFonts w:ascii="Calibri" w:hAnsi="Calibri"/>
                <w:szCs w:val="21"/>
              </w:rPr>
              <w:t>）</w:t>
            </w:r>
          </w:p>
        </w:tc>
        <w:tc>
          <w:tcPr>
            <w:tcW w:w="626" w:type="pct"/>
            <w:vAlign w:val="center"/>
          </w:tcPr>
          <w:p w14:paraId="57F48193" w14:textId="77777777" w:rsidR="006D1907" w:rsidRPr="004E57A8" w:rsidRDefault="006D1907" w:rsidP="00A94556">
            <w:pPr>
              <w:jc w:val="center"/>
              <w:rPr>
                <w:rFonts w:ascii="Calibri" w:hAnsi="Calibri"/>
                <w:szCs w:val="21"/>
              </w:rPr>
            </w:pPr>
            <w:r w:rsidRPr="004E57A8">
              <w:rPr>
                <w:rFonts w:ascii="Calibri" w:hAnsi="Calibri"/>
                <w:szCs w:val="21"/>
              </w:rPr>
              <w:t>最大超标倍数</w:t>
            </w:r>
          </w:p>
        </w:tc>
      </w:tr>
      <w:tr w:rsidR="006D1907" w:rsidRPr="004E57A8" w14:paraId="135C4C40" w14:textId="77777777" w:rsidTr="00A94556">
        <w:trPr>
          <w:trHeight w:val="340"/>
        </w:trPr>
        <w:tc>
          <w:tcPr>
            <w:tcW w:w="645" w:type="pct"/>
            <w:vMerge w:val="restart"/>
            <w:vAlign w:val="center"/>
          </w:tcPr>
          <w:p w14:paraId="796BD381" w14:textId="77777777" w:rsidR="006D1907" w:rsidRPr="004E57A8" w:rsidRDefault="006D1907" w:rsidP="00A94556">
            <w:pPr>
              <w:jc w:val="center"/>
              <w:rPr>
                <w:rFonts w:ascii="Calibri" w:hAnsi="Calibri"/>
                <w:szCs w:val="21"/>
              </w:rPr>
            </w:pPr>
            <w:r>
              <w:rPr>
                <w:rFonts w:ascii="Calibri" w:hAnsi="Calibri" w:hint="eastAsia"/>
                <w:szCs w:val="21"/>
              </w:rPr>
              <w:t>灰河叶县</w:t>
            </w:r>
            <w:r>
              <w:rPr>
                <w:rFonts w:ascii="Calibri" w:hAnsi="Calibri"/>
                <w:szCs w:val="21"/>
              </w:rPr>
              <w:t>水寨屈庄断面</w:t>
            </w:r>
          </w:p>
        </w:tc>
        <w:tc>
          <w:tcPr>
            <w:tcW w:w="1225" w:type="pct"/>
            <w:vAlign w:val="center"/>
          </w:tcPr>
          <w:p w14:paraId="389E0415" w14:textId="77777777" w:rsidR="006D1907" w:rsidRPr="004E57A8" w:rsidRDefault="006D1907" w:rsidP="00A94556">
            <w:pPr>
              <w:pStyle w:val="a1"/>
              <w:tabs>
                <w:tab w:val="left" w:pos="7560"/>
              </w:tabs>
              <w:ind w:firstLine="0"/>
              <w:jc w:val="center"/>
              <w:rPr>
                <w:rFonts w:ascii="Calibri" w:hAnsi="Calibri"/>
                <w:bCs/>
                <w:szCs w:val="21"/>
              </w:rPr>
            </w:pPr>
            <w:r w:rsidRPr="004E57A8">
              <w:rPr>
                <w:rFonts w:ascii="Calibri" w:hAnsi="Calibri"/>
                <w:szCs w:val="21"/>
              </w:rPr>
              <w:t>pH</w:t>
            </w:r>
          </w:p>
        </w:tc>
        <w:tc>
          <w:tcPr>
            <w:tcW w:w="626" w:type="pct"/>
            <w:vAlign w:val="center"/>
          </w:tcPr>
          <w:p w14:paraId="210F7C29" w14:textId="77777777" w:rsidR="006D1907" w:rsidRPr="004E57A8" w:rsidRDefault="006D1907" w:rsidP="00A94556">
            <w:pPr>
              <w:pStyle w:val="a1"/>
              <w:ind w:firstLine="0"/>
              <w:jc w:val="center"/>
              <w:rPr>
                <w:rFonts w:ascii="Calibri" w:hAnsi="Calibri"/>
                <w:szCs w:val="21"/>
              </w:rPr>
            </w:pPr>
            <w:r>
              <w:rPr>
                <w:rFonts w:ascii="Calibri" w:hAnsi="Calibri"/>
                <w:bCs/>
                <w:szCs w:val="21"/>
              </w:rPr>
              <w:t>7.90</w:t>
            </w:r>
          </w:p>
        </w:tc>
        <w:tc>
          <w:tcPr>
            <w:tcW w:w="626" w:type="pct"/>
            <w:vAlign w:val="center"/>
          </w:tcPr>
          <w:p w14:paraId="6A1B0543" w14:textId="77777777" w:rsidR="006D1907" w:rsidRPr="004E57A8" w:rsidRDefault="006D1907" w:rsidP="00A94556">
            <w:pPr>
              <w:pStyle w:val="a1"/>
              <w:ind w:firstLine="0"/>
              <w:jc w:val="center"/>
              <w:rPr>
                <w:rFonts w:ascii="Calibri" w:hAnsi="Calibri"/>
                <w:szCs w:val="21"/>
              </w:rPr>
            </w:pPr>
            <w:r w:rsidRPr="004E57A8">
              <w:rPr>
                <w:rFonts w:ascii="Calibri" w:hAnsi="Calibri"/>
                <w:szCs w:val="21"/>
              </w:rPr>
              <w:t>6</w:t>
            </w:r>
            <w:r w:rsidRPr="004E57A8">
              <w:rPr>
                <w:rFonts w:ascii="Calibri" w:hAnsi="Calibri"/>
                <w:szCs w:val="21"/>
              </w:rPr>
              <w:t>～</w:t>
            </w:r>
            <w:r w:rsidRPr="004E57A8">
              <w:rPr>
                <w:rFonts w:ascii="Calibri" w:hAnsi="Calibri"/>
                <w:szCs w:val="21"/>
              </w:rPr>
              <w:t>9</w:t>
            </w:r>
          </w:p>
        </w:tc>
        <w:tc>
          <w:tcPr>
            <w:tcW w:w="626" w:type="pct"/>
            <w:vAlign w:val="center"/>
          </w:tcPr>
          <w:p w14:paraId="29A5C969"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0.45</w:t>
            </w:r>
          </w:p>
        </w:tc>
        <w:tc>
          <w:tcPr>
            <w:tcW w:w="626" w:type="pct"/>
            <w:vAlign w:val="center"/>
          </w:tcPr>
          <w:p w14:paraId="582C9477"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41487278"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3BD17111" w14:textId="77777777" w:rsidTr="00A94556">
        <w:trPr>
          <w:trHeight w:val="340"/>
        </w:trPr>
        <w:tc>
          <w:tcPr>
            <w:tcW w:w="645" w:type="pct"/>
            <w:vMerge/>
            <w:vAlign w:val="center"/>
          </w:tcPr>
          <w:p w14:paraId="56E5E0E1" w14:textId="77777777" w:rsidR="006D1907" w:rsidRPr="004E57A8" w:rsidRDefault="006D1907" w:rsidP="00A94556">
            <w:pPr>
              <w:jc w:val="center"/>
              <w:rPr>
                <w:rFonts w:ascii="Calibri" w:hAnsi="Calibri"/>
                <w:szCs w:val="21"/>
              </w:rPr>
            </w:pPr>
          </w:p>
        </w:tc>
        <w:tc>
          <w:tcPr>
            <w:tcW w:w="1225" w:type="pct"/>
            <w:vAlign w:val="center"/>
          </w:tcPr>
          <w:p w14:paraId="4BF10954"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COD</w:t>
            </w:r>
          </w:p>
        </w:tc>
        <w:tc>
          <w:tcPr>
            <w:tcW w:w="626" w:type="pct"/>
            <w:vAlign w:val="center"/>
          </w:tcPr>
          <w:p w14:paraId="78FFC370"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26</w:t>
            </w:r>
          </w:p>
        </w:tc>
        <w:tc>
          <w:tcPr>
            <w:tcW w:w="626" w:type="pct"/>
            <w:vAlign w:val="center"/>
          </w:tcPr>
          <w:p w14:paraId="06F99D6C"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30</w:t>
            </w:r>
          </w:p>
        </w:tc>
        <w:tc>
          <w:tcPr>
            <w:tcW w:w="626" w:type="pct"/>
            <w:vAlign w:val="center"/>
          </w:tcPr>
          <w:p w14:paraId="3118E3EB"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0.87</w:t>
            </w:r>
          </w:p>
        </w:tc>
        <w:tc>
          <w:tcPr>
            <w:tcW w:w="626" w:type="pct"/>
            <w:vAlign w:val="center"/>
          </w:tcPr>
          <w:p w14:paraId="22EC843E"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p>
        </w:tc>
        <w:tc>
          <w:tcPr>
            <w:tcW w:w="626" w:type="pct"/>
            <w:vAlign w:val="center"/>
          </w:tcPr>
          <w:p w14:paraId="6699F824"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222D8379" w14:textId="77777777" w:rsidTr="00A94556">
        <w:trPr>
          <w:trHeight w:val="340"/>
        </w:trPr>
        <w:tc>
          <w:tcPr>
            <w:tcW w:w="645" w:type="pct"/>
            <w:vMerge/>
            <w:vAlign w:val="center"/>
          </w:tcPr>
          <w:p w14:paraId="6CEB79E8" w14:textId="77777777" w:rsidR="006D1907" w:rsidRPr="004E57A8" w:rsidRDefault="006D1907" w:rsidP="00A94556">
            <w:pPr>
              <w:jc w:val="center"/>
              <w:rPr>
                <w:rFonts w:ascii="Calibri" w:hAnsi="Calibri"/>
                <w:szCs w:val="21"/>
              </w:rPr>
            </w:pPr>
          </w:p>
        </w:tc>
        <w:tc>
          <w:tcPr>
            <w:tcW w:w="1225" w:type="pct"/>
            <w:vAlign w:val="center"/>
          </w:tcPr>
          <w:p w14:paraId="20B0A63B"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BOD</w:t>
            </w:r>
            <w:r w:rsidRPr="00A964FF">
              <w:rPr>
                <w:rFonts w:ascii="Calibri" w:hAnsi="Calibri" w:hint="eastAsia"/>
                <w:color w:val="auto"/>
                <w:szCs w:val="21"/>
                <w:vertAlign w:val="subscript"/>
              </w:rPr>
              <w:t>5</w:t>
            </w:r>
          </w:p>
        </w:tc>
        <w:tc>
          <w:tcPr>
            <w:tcW w:w="626" w:type="pct"/>
            <w:vAlign w:val="center"/>
          </w:tcPr>
          <w:p w14:paraId="33E5DD1B"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2.8</w:t>
            </w:r>
          </w:p>
        </w:tc>
        <w:tc>
          <w:tcPr>
            <w:tcW w:w="626" w:type="pct"/>
            <w:vAlign w:val="center"/>
          </w:tcPr>
          <w:p w14:paraId="14602D14"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6</w:t>
            </w:r>
          </w:p>
        </w:tc>
        <w:tc>
          <w:tcPr>
            <w:tcW w:w="626" w:type="pct"/>
            <w:vAlign w:val="center"/>
          </w:tcPr>
          <w:p w14:paraId="48AE0AB1"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0.47</w:t>
            </w:r>
          </w:p>
        </w:tc>
        <w:tc>
          <w:tcPr>
            <w:tcW w:w="626" w:type="pct"/>
            <w:vAlign w:val="center"/>
          </w:tcPr>
          <w:p w14:paraId="57DD0B81"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560F409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5B5C6DC6" w14:textId="77777777" w:rsidTr="00A94556">
        <w:trPr>
          <w:trHeight w:val="340"/>
        </w:trPr>
        <w:tc>
          <w:tcPr>
            <w:tcW w:w="645" w:type="pct"/>
            <w:vMerge/>
            <w:vAlign w:val="center"/>
          </w:tcPr>
          <w:p w14:paraId="47198FA6" w14:textId="77777777" w:rsidR="006D1907" w:rsidRPr="004E57A8" w:rsidRDefault="006D1907" w:rsidP="00A94556">
            <w:pPr>
              <w:jc w:val="center"/>
              <w:rPr>
                <w:rFonts w:ascii="Calibri" w:hAnsi="Calibri"/>
                <w:szCs w:val="21"/>
              </w:rPr>
            </w:pPr>
          </w:p>
        </w:tc>
        <w:tc>
          <w:tcPr>
            <w:tcW w:w="1225" w:type="pct"/>
            <w:vAlign w:val="center"/>
          </w:tcPr>
          <w:p w14:paraId="3AA8B337" w14:textId="77777777" w:rsidR="006D1907" w:rsidRPr="004E57A8" w:rsidRDefault="006D1907" w:rsidP="00A94556">
            <w:pPr>
              <w:pStyle w:val="a1"/>
              <w:ind w:firstLine="0"/>
              <w:jc w:val="center"/>
              <w:rPr>
                <w:rFonts w:ascii="Calibri" w:hAnsi="Calibri"/>
                <w:bCs/>
                <w:szCs w:val="21"/>
              </w:rPr>
            </w:pPr>
            <w:r w:rsidRPr="00A964FF">
              <w:rPr>
                <w:rFonts w:ascii="Calibri" w:hAnsi="Calibri"/>
                <w:color w:val="auto"/>
                <w:szCs w:val="21"/>
              </w:rPr>
              <w:t>氟化物</w:t>
            </w:r>
          </w:p>
        </w:tc>
        <w:tc>
          <w:tcPr>
            <w:tcW w:w="626" w:type="pct"/>
            <w:vAlign w:val="center"/>
          </w:tcPr>
          <w:p w14:paraId="74F00BA3"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r>
              <w:rPr>
                <w:rFonts w:ascii="Calibri" w:hAnsi="Calibri"/>
                <w:szCs w:val="21"/>
              </w:rPr>
              <w:t>.67</w:t>
            </w:r>
          </w:p>
        </w:tc>
        <w:tc>
          <w:tcPr>
            <w:tcW w:w="626" w:type="pct"/>
            <w:vAlign w:val="center"/>
          </w:tcPr>
          <w:p w14:paraId="37FB5112" w14:textId="77777777" w:rsidR="006D1907" w:rsidRPr="004E57A8" w:rsidRDefault="006D1907" w:rsidP="00A94556">
            <w:pPr>
              <w:jc w:val="center"/>
              <w:rPr>
                <w:rFonts w:ascii="Calibri" w:hAnsi="Calibri"/>
                <w:szCs w:val="21"/>
              </w:rPr>
            </w:pPr>
            <w:r>
              <w:rPr>
                <w:rFonts w:ascii="Calibri" w:hAnsi="Calibri" w:hint="eastAsia"/>
                <w:szCs w:val="21"/>
              </w:rPr>
              <w:t>1.5</w:t>
            </w:r>
          </w:p>
        </w:tc>
        <w:tc>
          <w:tcPr>
            <w:tcW w:w="626" w:type="pct"/>
            <w:vAlign w:val="center"/>
          </w:tcPr>
          <w:p w14:paraId="3F61E5E6"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r>
              <w:rPr>
                <w:rFonts w:ascii="Calibri" w:hAnsi="Calibri"/>
                <w:szCs w:val="21"/>
              </w:rPr>
              <w:t>45</w:t>
            </w:r>
          </w:p>
        </w:tc>
        <w:tc>
          <w:tcPr>
            <w:tcW w:w="626" w:type="pct"/>
            <w:vAlign w:val="center"/>
          </w:tcPr>
          <w:p w14:paraId="29BD7189"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63B96B76"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8FA6AE2" w14:textId="77777777" w:rsidTr="00A94556">
        <w:trPr>
          <w:trHeight w:val="340"/>
        </w:trPr>
        <w:tc>
          <w:tcPr>
            <w:tcW w:w="645" w:type="pct"/>
            <w:vMerge/>
            <w:vAlign w:val="center"/>
          </w:tcPr>
          <w:p w14:paraId="03EC31F4" w14:textId="77777777" w:rsidR="006D1907" w:rsidRPr="004E57A8" w:rsidRDefault="006D1907" w:rsidP="00A94556">
            <w:pPr>
              <w:jc w:val="center"/>
              <w:rPr>
                <w:rFonts w:ascii="Calibri" w:hAnsi="Calibri"/>
                <w:szCs w:val="21"/>
              </w:rPr>
            </w:pPr>
          </w:p>
        </w:tc>
        <w:tc>
          <w:tcPr>
            <w:tcW w:w="1225" w:type="pct"/>
            <w:vAlign w:val="center"/>
          </w:tcPr>
          <w:p w14:paraId="17451C22" w14:textId="77777777" w:rsidR="006D1907" w:rsidRPr="004E57A8" w:rsidRDefault="006D1907" w:rsidP="00A94556">
            <w:pPr>
              <w:pStyle w:val="a1"/>
              <w:ind w:firstLine="0"/>
              <w:jc w:val="center"/>
              <w:rPr>
                <w:rFonts w:ascii="Calibri" w:hAnsi="Calibri"/>
                <w:bCs/>
                <w:szCs w:val="21"/>
              </w:rPr>
            </w:pPr>
            <w:r w:rsidRPr="00A964FF">
              <w:rPr>
                <w:rFonts w:ascii="Calibri" w:hAnsi="Calibri"/>
                <w:color w:val="auto"/>
                <w:szCs w:val="21"/>
              </w:rPr>
              <w:t>阴离子表面活性剂</w:t>
            </w:r>
          </w:p>
        </w:tc>
        <w:tc>
          <w:tcPr>
            <w:tcW w:w="626" w:type="pct"/>
            <w:vAlign w:val="center"/>
          </w:tcPr>
          <w:p w14:paraId="51550A8F" w14:textId="77777777" w:rsidR="006D1907" w:rsidRPr="004E57A8" w:rsidRDefault="006D1907" w:rsidP="00A94556">
            <w:pPr>
              <w:jc w:val="center"/>
              <w:rPr>
                <w:rFonts w:ascii="Calibri" w:hAnsi="Calibri"/>
                <w:szCs w:val="21"/>
              </w:rPr>
            </w:pPr>
            <w:r>
              <w:rPr>
                <w:rFonts w:ascii="Calibri" w:hAnsi="Calibri" w:hint="eastAsia"/>
                <w:szCs w:val="21"/>
              </w:rPr>
              <w:t>0.02</w:t>
            </w:r>
          </w:p>
        </w:tc>
        <w:tc>
          <w:tcPr>
            <w:tcW w:w="626" w:type="pct"/>
            <w:vAlign w:val="center"/>
          </w:tcPr>
          <w:p w14:paraId="4682F15B" w14:textId="77777777" w:rsidR="006D1907" w:rsidRPr="004E57A8" w:rsidRDefault="006D1907" w:rsidP="00A94556">
            <w:pPr>
              <w:jc w:val="center"/>
              <w:rPr>
                <w:rFonts w:ascii="Calibri" w:hAnsi="Calibri"/>
                <w:szCs w:val="21"/>
              </w:rPr>
            </w:pPr>
            <w:r>
              <w:rPr>
                <w:rFonts w:ascii="Calibri" w:hAnsi="Calibri" w:hint="eastAsia"/>
                <w:szCs w:val="21"/>
              </w:rPr>
              <w:t>0.3</w:t>
            </w:r>
          </w:p>
        </w:tc>
        <w:tc>
          <w:tcPr>
            <w:tcW w:w="626" w:type="pct"/>
            <w:vAlign w:val="center"/>
          </w:tcPr>
          <w:p w14:paraId="28720EFF" w14:textId="77777777" w:rsidR="006D1907" w:rsidRPr="004E57A8" w:rsidRDefault="006D1907" w:rsidP="00A94556">
            <w:pPr>
              <w:jc w:val="center"/>
              <w:rPr>
                <w:rFonts w:ascii="Calibri" w:hAnsi="Calibri"/>
                <w:szCs w:val="21"/>
              </w:rPr>
            </w:pPr>
            <w:r>
              <w:rPr>
                <w:rFonts w:ascii="Calibri" w:hAnsi="Calibri" w:hint="eastAsia"/>
                <w:szCs w:val="21"/>
              </w:rPr>
              <w:t>0.067</w:t>
            </w:r>
          </w:p>
        </w:tc>
        <w:tc>
          <w:tcPr>
            <w:tcW w:w="626" w:type="pct"/>
            <w:vAlign w:val="center"/>
          </w:tcPr>
          <w:p w14:paraId="3AB6056F"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73FB4106"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5EDA8D2A" w14:textId="77777777" w:rsidTr="00A94556">
        <w:trPr>
          <w:trHeight w:val="340"/>
        </w:trPr>
        <w:tc>
          <w:tcPr>
            <w:tcW w:w="645" w:type="pct"/>
            <w:vMerge/>
            <w:vAlign w:val="center"/>
          </w:tcPr>
          <w:p w14:paraId="09E32291" w14:textId="77777777" w:rsidR="006D1907" w:rsidRPr="004E57A8" w:rsidRDefault="006D1907" w:rsidP="00A94556">
            <w:pPr>
              <w:jc w:val="center"/>
              <w:rPr>
                <w:rFonts w:ascii="Calibri" w:hAnsi="Calibri"/>
                <w:szCs w:val="21"/>
              </w:rPr>
            </w:pPr>
          </w:p>
        </w:tc>
        <w:tc>
          <w:tcPr>
            <w:tcW w:w="1225" w:type="pct"/>
            <w:vAlign w:val="center"/>
          </w:tcPr>
          <w:p w14:paraId="69B1CC92" w14:textId="77777777" w:rsidR="006D1907" w:rsidRPr="004E57A8" w:rsidRDefault="006D1907" w:rsidP="00A94556">
            <w:pPr>
              <w:pStyle w:val="a1"/>
              <w:tabs>
                <w:tab w:val="left" w:pos="7560"/>
              </w:tabs>
              <w:ind w:firstLine="0"/>
              <w:jc w:val="center"/>
              <w:rPr>
                <w:rFonts w:ascii="Calibri" w:hAnsi="Calibri"/>
                <w:bCs/>
                <w:szCs w:val="21"/>
              </w:rPr>
            </w:pPr>
            <w:r w:rsidRPr="00A964FF">
              <w:rPr>
                <w:rFonts w:ascii="Calibri" w:hAnsi="Calibri"/>
                <w:color w:val="auto"/>
                <w:szCs w:val="21"/>
              </w:rPr>
              <w:t>高锰酸盐指数</w:t>
            </w:r>
          </w:p>
        </w:tc>
        <w:tc>
          <w:tcPr>
            <w:tcW w:w="626" w:type="pct"/>
            <w:vAlign w:val="center"/>
          </w:tcPr>
          <w:p w14:paraId="6501EA35"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4.3</w:t>
            </w:r>
          </w:p>
        </w:tc>
        <w:tc>
          <w:tcPr>
            <w:tcW w:w="626" w:type="pct"/>
            <w:vAlign w:val="center"/>
          </w:tcPr>
          <w:p w14:paraId="1582E60C" w14:textId="77777777" w:rsidR="006D1907" w:rsidRPr="004E57A8" w:rsidRDefault="006D1907" w:rsidP="00A94556">
            <w:pPr>
              <w:jc w:val="center"/>
              <w:rPr>
                <w:rFonts w:ascii="Calibri" w:hAnsi="Calibri"/>
                <w:szCs w:val="21"/>
              </w:rPr>
            </w:pPr>
            <w:r>
              <w:rPr>
                <w:rFonts w:ascii="Calibri" w:hAnsi="Calibri" w:hint="eastAsia"/>
                <w:szCs w:val="21"/>
              </w:rPr>
              <w:t>10</w:t>
            </w:r>
          </w:p>
        </w:tc>
        <w:tc>
          <w:tcPr>
            <w:tcW w:w="626" w:type="pct"/>
            <w:vAlign w:val="center"/>
          </w:tcPr>
          <w:p w14:paraId="59C01853"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0.43</w:t>
            </w:r>
          </w:p>
        </w:tc>
        <w:tc>
          <w:tcPr>
            <w:tcW w:w="626" w:type="pct"/>
            <w:vAlign w:val="center"/>
          </w:tcPr>
          <w:p w14:paraId="39720A4F"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67025097"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18F54155" w14:textId="77777777" w:rsidTr="00A94556">
        <w:trPr>
          <w:trHeight w:val="340"/>
        </w:trPr>
        <w:tc>
          <w:tcPr>
            <w:tcW w:w="645" w:type="pct"/>
            <w:vMerge/>
            <w:vAlign w:val="center"/>
          </w:tcPr>
          <w:p w14:paraId="01667C13" w14:textId="77777777" w:rsidR="006D1907" w:rsidRPr="004E57A8" w:rsidRDefault="006D1907" w:rsidP="00A94556">
            <w:pPr>
              <w:jc w:val="center"/>
              <w:rPr>
                <w:rFonts w:ascii="Calibri" w:hAnsi="Calibri"/>
                <w:szCs w:val="21"/>
              </w:rPr>
            </w:pPr>
          </w:p>
        </w:tc>
        <w:tc>
          <w:tcPr>
            <w:tcW w:w="1225" w:type="pct"/>
            <w:vAlign w:val="center"/>
          </w:tcPr>
          <w:p w14:paraId="53B28306" w14:textId="77777777" w:rsidR="006D1907" w:rsidRPr="004E57A8" w:rsidRDefault="006D1907" w:rsidP="00A94556">
            <w:pPr>
              <w:pStyle w:val="a1"/>
              <w:tabs>
                <w:tab w:val="left" w:pos="7560"/>
              </w:tabs>
              <w:ind w:firstLine="0"/>
              <w:jc w:val="center"/>
              <w:rPr>
                <w:rFonts w:ascii="Calibri" w:hAnsi="Calibri"/>
                <w:bCs/>
                <w:szCs w:val="21"/>
              </w:rPr>
            </w:pPr>
            <w:r>
              <w:rPr>
                <w:rFonts w:ascii="Calibri" w:hAnsi="Calibri" w:hint="eastAsia"/>
                <w:bCs/>
                <w:szCs w:val="21"/>
              </w:rPr>
              <w:t>氨氮</w:t>
            </w:r>
          </w:p>
        </w:tc>
        <w:tc>
          <w:tcPr>
            <w:tcW w:w="626" w:type="pct"/>
            <w:vAlign w:val="center"/>
          </w:tcPr>
          <w:p w14:paraId="025957C6" w14:textId="77777777" w:rsidR="006D1907" w:rsidRPr="004E57A8" w:rsidRDefault="006D1907" w:rsidP="00A94556">
            <w:pPr>
              <w:jc w:val="center"/>
              <w:rPr>
                <w:rFonts w:ascii="Calibri" w:hAnsi="Calibri"/>
                <w:szCs w:val="21"/>
              </w:rPr>
            </w:pPr>
            <w:r>
              <w:rPr>
                <w:rFonts w:ascii="Calibri" w:hAnsi="Calibri" w:hint="eastAsia"/>
                <w:szCs w:val="21"/>
              </w:rPr>
              <w:t>0.763</w:t>
            </w:r>
          </w:p>
        </w:tc>
        <w:tc>
          <w:tcPr>
            <w:tcW w:w="626" w:type="pct"/>
            <w:vAlign w:val="center"/>
          </w:tcPr>
          <w:p w14:paraId="3888F6A9" w14:textId="77777777" w:rsidR="006D1907" w:rsidRPr="004E57A8" w:rsidRDefault="006D1907" w:rsidP="00A94556">
            <w:pPr>
              <w:jc w:val="center"/>
              <w:rPr>
                <w:rFonts w:ascii="Calibri" w:hAnsi="Calibri"/>
                <w:szCs w:val="21"/>
              </w:rPr>
            </w:pPr>
            <w:r>
              <w:rPr>
                <w:rFonts w:ascii="Calibri" w:hAnsi="Calibri" w:hint="eastAsia"/>
                <w:szCs w:val="21"/>
              </w:rPr>
              <w:t>1.5</w:t>
            </w:r>
          </w:p>
        </w:tc>
        <w:tc>
          <w:tcPr>
            <w:tcW w:w="626" w:type="pct"/>
            <w:vAlign w:val="center"/>
          </w:tcPr>
          <w:p w14:paraId="796B7FEB" w14:textId="77777777" w:rsidR="006D1907" w:rsidRPr="004E57A8" w:rsidRDefault="006D1907" w:rsidP="00A94556">
            <w:pPr>
              <w:jc w:val="center"/>
              <w:rPr>
                <w:rFonts w:ascii="Calibri" w:hAnsi="Calibri"/>
                <w:szCs w:val="21"/>
              </w:rPr>
            </w:pPr>
            <w:r>
              <w:rPr>
                <w:rFonts w:ascii="Calibri" w:hAnsi="Calibri" w:hint="eastAsia"/>
                <w:szCs w:val="21"/>
              </w:rPr>
              <w:t>0.51</w:t>
            </w:r>
          </w:p>
        </w:tc>
        <w:tc>
          <w:tcPr>
            <w:tcW w:w="626" w:type="pct"/>
            <w:vAlign w:val="center"/>
          </w:tcPr>
          <w:p w14:paraId="2C175900"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16BE2DF1"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9FA45F4" w14:textId="77777777" w:rsidTr="00A94556">
        <w:trPr>
          <w:trHeight w:val="340"/>
        </w:trPr>
        <w:tc>
          <w:tcPr>
            <w:tcW w:w="645" w:type="pct"/>
            <w:vMerge/>
            <w:vAlign w:val="center"/>
          </w:tcPr>
          <w:p w14:paraId="13D817FF" w14:textId="77777777" w:rsidR="006D1907" w:rsidRPr="004E57A8" w:rsidRDefault="006D1907" w:rsidP="00A94556">
            <w:pPr>
              <w:jc w:val="center"/>
              <w:rPr>
                <w:rFonts w:ascii="Calibri" w:hAnsi="Calibri"/>
                <w:szCs w:val="21"/>
              </w:rPr>
            </w:pPr>
          </w:p>
        </w:tc>
        <w:tc>
          <w:tcPr>
            <w:tcW w:w="1225" w:type="pct"/>
            <w:vAlign w:val="center"/>
          </w:tcPr>
          <w:p w14:paraId="641D5B5D" w14:textId="77777777" w:rsidR="006D1907" w:rsidRPr="004E57A8" w:rsidRDefault="006D1907" w:rsidP="00A94556">
            <w:pPr>
              <w:pStyle w:val="a1"/>
              <w:tabs>
                <w:tab w:val="left" w:pos="7560"/>
              </w:tabs>
              <w:ind w:firstLine="0"/>
              <w:jc w:val="center"/>
              <w:rPr>
                <w:rFonts w:ascii="Calibri" w:hAnsi="Calibri"/>
                <w:bCs/>
                <w:szCs w:val="21"/>
              </w:rPr>
            </w:pPr>
            <w:r>
              <w:rPr>
                <w:rFonts w:ascii="Calibri" w:hAnsi="Calibri" w:hint="eastAsia"/>
                <w:bCs/>
                <w:szCs w:val="21"/>
              </w:rPr>
              <w:t>总氮</w:t>
            </w:r>
          </w:p>
        </w:tc>
        <w:tc>
          <w:tcPr>
            <w:tcW w:w="626" w:type="pct"/>
            <w:vAlign w:val="center"/>
          </w:tcPr>
          <w:p w14:paraId="5546F4CC" w14:textId="77777777" w:rsidR="006D1907" w:rsidRPr="004E57A8" w:rsidRDefault="006D1907" w:rsidP="00A94556">
            <w:pPr>
              <w:pStyle w:val="a1"/>
              <w:ind w:firstLine="0"/>
              <w:jc w:val="center"/>
              <w:rPr>
                <w:rFonts w:ascii="Calibri" w:hAnsi="Calibri"/>
                <w:szCs w:val="21"/>
              </w:rPr>
            </w:pPr>
            <w:r>
              <w:rPr>
                <w:rFonts w:ascii="Calibri" w:hAnsi="Calibri"/>
                <w:szCs w:val="21"/>
              </w:rPr>
              <w:t>5.28</w:t>
            </w:r>
          </w:p>
        </w:tc>
        <w:tc>
          <w:tcPr>
            <w:tcW w:w="626" w:type="pct"/>
            <w:vAlign w:val="center"/>
          </w:tcPr>
          <w:p w14:paraId="1E2A132C" w14:textId="77777777" w:rsidR="006D1907" w:rsidRPr="004E57A8" w:rsidRDefault="006D1907" w:rsidP="00A94556">
            <w:pPr>
              <w:jc w:val="center"/>
              <w:rPr>
                <w:rFonts w:ascii="Calibri" w:hAnsi="Calibri"/>
                <w:szCs w:val="21"/>
              </w:rPr>
            </w:pPr>
            <w:r>
              <w:rPr>
                <w:rFonts w:ascii="Calibri" w:hAnsi="Calibri" w:hint="eastAsia"/>
                <w:szCs w:val="21"/>
              </w:rPr>
              <w:t>/</w:t>
            </w:r>
          </w:p>
        </w:tc>
        <w:tc>
          <w:tcPr>
            <w:tcW w:w="626" w:type="pct"/>
            <w:vAlign w:val="center"/>
          </w:tcPr>
          <w:p w14:paraId="4F2E4963"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w:t>
            </w:r>
          </w:p>
        </w:tc>
        <w:tc>
          <w:tcPr>
            <w:tcW w:w="626" w:type="pct"/>
            <w:vAlign w:val="center"/>
          </w:tcPr>
          <w:p w14:paraId="3DC242F7" w14:textId="77777777" w:rsidR="006D1907" w:rsidRPr="004E57A8" w:rsidRDefault="006D1907" w:rsidP="00A94556">
            <w:pPr>
              <w:pStyle w:val="a1"/>
              <w:ind w:firstLine="0"/>
              <w:jc w:val="center"/>
              <w:rPr>
                <w:rFonts w:ascii="Calibri" w:hAnsi="Calibri"/>
                <w:szCs w:val="21"/>
              </w:rPr>
            </w:pPr>
            <w:r>
              <w:rPr>
                <w:rFonts w:ascii="Calibri" w:hAnsi="Calibri"/>
                <w:szCs w:val="21"/>
              </w:rPr>
              <w:t>/</w:t>
            </w:r>
          </w:p>
        </w:tc>
        <w:tc>
          <w:tcPr>
            <w:tcW w:w="626" w:type="pct"/>
            <w:vAlign w:val="center"/>
          </w:tcPr>
          <w:p w14:paraId="608FDC10" w14:textId="77777777" w:rsidR="006D1907" w:rsidRPr="004E57A8" w:rsidRDefault="006D1907" w:rsidP="00A94556">
            <w:pPr>
              <w:pStyle w:val="a1"/>
              <w:ind w:firstLine="0"/>
              <w:jc w:val="center"/>
              <w:rPr>
                <w:rFonts w:ascii="Calibri" w:hAnsi="Calibri"/>
                <w:szCs w:val="21"/>
              </w:rPr>
            </w:pPr>
            <w:r>
              <w:rPr>
                <w:rFonts w:ascii="Calibri" w:hAnsi="Calibri"/>
                <w:szCs w:val="21"/>
              </w:rPr>
              <w:t>/</w:t>
            </w:r>
          </w:p>
        </w:tc>
      </w:tr>
      <w:tr w:rsidR="006D1907" w:rsidRPr="004E57A8" w14:paraId="04E99D62" w14:textId="77777777" w:rsidTr="00A94556">
        <w:trPr>
          <w:trHeight w:val="340"/>
        </w:trPr>
        <w:tc>
          <w:tcPr>
            <w:tcW w:w="645" w:type="pct"/>
            <w:vMerge/>
            <w:vAlign w:val="center"/>
          </w:tcPr>
          <w:p w14:paraId="615A69F2" w14:textId="77777777" w:rsidR="006D1907" w:rsidRPr="004E57A8" w:rsidRDefault="006D1907" w:rsidP="00A94556">
            <w:pPr>
              <w:jc w:val="center"/>
              <w:rPr>
                <w:rFonts w:ascii="Calibri" w:hAnsi="Calibri"/>
                <w:szCs w:val="21"/>
              </w:rPr>
            </w:pPr>
          </w:p>
        </w:tc>
        <w:tc>
          <w:tcPr>
            <w:tcW w:w="1225" w:type="pct"/>
            <w:vAlign w:val="center"/>
          </w:tcPr>
          <w:p w14:paraId="649F4D9E"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铜</w:t>
            </w:r>
          </w:p>
        </w:tc>
        <w:tc>
          <w:tcPr>
            <w:tcW w:w="626" w:type="pct"/>
            <w:vAlign w:val="center"/>
          </w:tcPr>
          <w:p w14:paraId="4E718508" w14:textId="77777777" w:rsidR="006D1907" w:rsidRPr="004E57A8" w:rsidRDefault="006D1907" w:rsidP="00A94556">
            <w:pPr>
              <w:jc w:val="center"/>
              <w:rPr>
                <w:rFonts w:ascii="Calibri" w:hAnsi="Calibri"/>
                <w:szCs w:val="21"/>
              </w:rPr>
            </w:pPr>
            <w:r>
              <w:rPr>
                <w:rFonts w:ascii="Calibri" w:hAnsi="Calibri" w:hint="eastAsia"/>
                <w:szCs w:val="21"/>
              </w:rPr>
              <w:t>0.003</w:t>
            </w:r>
          </w:p>
        </w:tc>
        <w:tc>
          <w:tcPr>
            <w:tcW w:w="626" w:type="pct"/>
            <w:vAlign w:val="center"/>
          </w:tcPr>
          <w:p w14:paraId="74096D8D" w14:textId="77777777" w:rsidR="006D1907" w:rsidRPr="004E57A8" w:rsidRDefault="006D1907" w:rsidP="00A94556">
            <w:pPr>
              <w:jc w:val="center"/>
              <w:rPr>
                <w:rFonts w:ascii="Calibri" w:hAnsi="Calibri"/>
                <w:szCs w:val="21"/>
              </w:rPr>
            </w:pPr>
            <w:r>
              <w:rPr>
                <w:rFonts w:ascii="Calibri" w:hAnsi="Calibri" w:hint="eastAsia"/>
                <w:szCs w:val="21"/>
              </w:rPr>
              <w:t>1.0</w:t>
            </w:r>
          </w:p>
        </w:tc>
        <w:tc>
          <w:tcPr>
            <w:tcW w:w="626" w:type="pct"/>
            <w:vAlign w:val="center"/>
          </w:tcPr>
          <w:p w14:paraId="28BCBEC6" w14:textId="77777777" w:rsidR="006D1907" w:rsidRPr="004E57A8" w:rsidRDefault="006D1907" w:rsidP="00A94556">
            <w:pPr>
              <w:jc w:val="center"/>
              <w:rPr>
                <w:rFonts w:ascii="Calibri" w:hAnsi="Calibri"/>
                <w:szCs w:val="21"/>
              </w:rPr>
            </w:pPr>
            <w:r>
              <w:rPr>
                <w:rFonts w:ascii="Calibri" w:hAnsi="Calibri" w:hint="eastAsia"/>
                <w:szCs w:val="21"/>
              </w:rPr>
              <w:t>0.003</w:t>
            </w:r>
          </w:p>
        </w:tc>
        <w:tc>
          <w:tcPr>
            <w:tcW w:w="626" w:type="pct"/>
            <w:vAlign w:val="center"/>
          </w:tcPr>
          <w:p w14:paraId="6BEF71D7"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5BEF42FC"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58215183" w14:textId="77777777" w:rsidTr="00A94556">
        <w:trPr>
          <w:trHeight w:val="340"/>
        </w:trPr>
        <w:tc>
          <w:tcPr>
            <w:tcW w:w="645" w:type="pct"/>
            <w:vMerge/>
            <w:vAlign w:val="center"/>
          </w:tcPr>
          <w:p w14:paraId="1147784B" w14:textId="77777777" w:rsidR="006D1907" w:rsidRPr="004E57A8" w:rsidRDefault="006D1907" w:rsidP="00A94556">
            <w:pPr>
              <w:jc w:val="center"/>
              <w:rPr>
                <w:rFonts w:ascii="Calibri" w:hAnsi="Calibri"/>
                <w:szCs w:val="21"/>
              </w:rPr>
            </w:pPr>
          </w:p>
        </w:tc>
        <w:tc>
          <w:tcPr>
            <w:tcW w:w="1225" w:type="pct"/>
            <w:vAlign w:val="center"/>
          </w:tcPr>
          <w:p w14:paraId="7DDE97DB"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石油类</w:t>
            </w:r>
          </w:p>
        </w:tc>
        <w:tc>
          <w:tcPr>
            <w:tcW w:w="626" w:type="pct"/>
            <w:vAlign w:val="center"/>
          </w:tcPr>
          <w:p w14:paraId="5F7498C1"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0.005</w:t>
            </w:r>
          </w:p>
        </w:tc>
        <w:tc>
          <w:tcPr>
            <w:tcW w:w="626" w:type="pct"/>
            <w:vAlign w:val="center"/>
          </w:tcPr>
          <w:p w14:paraId="1715090B" w14:textId="77777777" w:rsidR="006D1907" w:rsidRPr="004E57A8" w:rsidRDefault="006D1907" w:rsidP="00A94556">
            <w:pPr>
              <w:jc w:val="center"/>
              <w:rPr>
                <w:rFonts w:ascii="Calibri" w:hAnsi="Calibri"/>
                <w:szCs w:val="21"/>
              </w:rPr>
            </w:pPr>
            <w:r>
              <w:rPr>
                <w:rFonts w:ascii="Calibri" w:hAnsi="Calibri" w:hint="eastAsia"/>
                <w:szCs w:val="21"/>
              </w:rPr>
              <w:t>0.5</w:t>
            </w:r>
          </w:p>
        </w:tc>
        <w:tc>
          <w:tcPr>
            <w:tcW w:w="626" w:type="pct"/>
            <w:vAlign w:val="center"/>
          </w:tcPr>
          <w:p w14:paraId="1D08B82D"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0.01</w:t>
            </w:r>
          </w:p>
        </w:tc>
        <w:tc>
          <w:tcPr>
            <w:tcW w:w="626" w:type="pct"/>
            <w:vAlign w:val="center"/>
          </w:tcPr>
          <w:p w14:paraId="728E4D44"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58372F60"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131907EA" w14:textId="77777777" w:rsidTr="00A94556">
        <w:trPr>
          <w:trHeight w:val="340"/>
        </w:trPr>
        <w:tc>
          <w:tcPr>
            <w:tcW w:w="645" w:type="pct"/>
            <w:vMerge/>
            <w:vAlign w:val="center"/>
          </w:tcPr>
          <w:p w14:paraId="1140EE0D" w14:textId="77777777" w:rsidR="006D1907" w:rsidRPr="004E57A8" w:rsidRDefault="006D1907" w:rsidP="00A94556">
            <w:pPr>
              <w:jc w:val="center"/>
              <w:rPr>
                <w:rFonts w:ascii="Calibri" w:hAnsi="Calibri"/>
                <w:szCs w:val="21"/>
              </w:rPr>
            </w:pPr>
          </w:p>
        </w:tc>
        <w:tc>
          <w:tcPr>
            <w:tcW w:w="1225" w:type="pct"/>
            <w:vAlign w:val="center"/>
          </w:tcPr>
          <w:p w14:paraId="02F92BF0"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锌</w:t>
            </w:r>
          </w:p>
        </w:tc>
        <w:tc>
          <w:tcPr>
            <w:tcW w:w="626" w:type="pct"/>
            <w:vAlign w:val="center"/>
          </w:tcPr>
          <w:p w14:paraId="2C17470B"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0.002</w:t>
            </w:r>
          </w:p>
        </w:tc>
        <w:tc>
          <w:tcPr>
            <w:tcW w:w="626" w:type="pct"/>
            <w:vAlign w:val="center"/>
          </w:tcPr>
          <w:p w14:paraId="140D34F6" w14:textId="77777777" w:rsidR="006D1907" w:rsidRPr="004E57A8" w:rsidRDefault="006D1907" w:rsidP="00A94556">
            <w:pPr>
              <w:jc w:val="center"/>
              <w:rPr>
                <w:rFonts w:ascii="Calibri" w:hAnsi="Calibri"/>
                <w:szCs w:val="21"/>
              </w:rPr>
            </w:pPr>
            <w:r>
              <w:rPr>
                <w:rFonts w:ascii="Calibri" w:hAnsi="Calibri" w:hint="eastAsia"/>
                <w:szCs w:val="21"/>
              </w:rPr>
              <w:t>2.0</w:t>
            </w:r>
          </w:p>
        </w:tc>
        <w:tc>
          <w:tcPr>
            <w:tcW w:w="626" w:type="pct"/>
            <w:vAlign w:val="center"/>
          </w:tcPr>
          <w:p w14:paraId="59B5822E"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0.001</w:t>
            </w:r>
          </w:p>
        </w:tc>
        <w:tc>
          <w:tcPr>
            <w:tcW w:w="626" w:type="pct"/>
            <w:vAlign w:val="center"/>
          </w:tcPr>
          <w:p w14:paraId="234FFD1F"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4EAE6301"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7752490A" w14:textId="77777777" w:rsidTr="00A94556">
        <w:trPr>
          <w:trHeight w:val="340"/>
        </w:trPr>
        <w:tc>
          <w:tcPr>
            <w:tcW w:w="645" w:type="pct"/>
            <w:vMerge/>
            <w:vAlign w:val="center"/>
          </w:tcPr>
          <w:p w14:paraId="42515AB9" w14:textId="77777777" w:rsidR="006D1907" w:rsidRPr="004E57A8" w:rsidRDefault="006D1907" w:rsidP="00A94556">
            <w:pPr>
              <w:jc w:val="center"/>
              <w:rPr>
                <w:rFonts w:ascii="Calibri" w:hAnsi="Calibri"/>
                <w:szCs w:val="21"/>
              </w:rPr>
            </w:pPr>
          </w:p>
        </w:tc>
        <w:tc>
          <w:tcPr>
            <w:tcW w:w="1225" w:type="pct"/>
            <w:vAlign w:val="center"/>
          </w:tcPr>
          <w:p w14:paraId="46124652"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硒</w:t>
            </w:r>
          </w:p>
        </w:tc>
        <w:tc>
          <w:tcPr>
            <w:tcW w:w="626" w:type="pct"/>
            <w:vAlign w:val="center"/>
          </w:tcPr>
          <w:p w14:paraId="46208CD5" w14:textId="77777777" w:rsidR="006D1907" w:rsidRPr="00855946" w:rsidRDefault="006D1907" w:rsidP="00A94556">
            <w:pPr>
              <w:jc w:val="center"/>
              <w:rPr>
                <w:rFonts w:ascii="Calibri" w:hAnsi="Calibri"/>
                <w:color w:val="auto"/>
                <w:szCs w:val="21"/>
              </w:rPr>
            </w:pPr>
            <w:r w:rsidRPr="00855946">
              <w:rPr>
                <w:rFonts w:ascii="Calibri" w:hAnsi="Calibri" w:hint="eastAsia"/>
                <w:color w:val="auto"/>
                <w:szCs w:val="21"/>
              </w:rPr>
              <w:t>0.0002</w:t>
            </w:r>
          </w:p>
        </w:tc>
        <w:tc>
          <w:tcPr>
            <w:tcW w:w="626" w:type="pct"/>
            <w:vAlign w:val="center"/>
          </w:tcPr>
          <w:p w14:paraId="69C7A76F"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0.03</w:t>
            </w:r>
          </w:p>
        </w:tc>
        <w:tc>
          <w:tcPr>
            <w:tcW w:w="626" w:type="pct"/>
            <w:vAlign w:val="center"/>
          </w:tcPr>
          <w:p w14:paraId="2B6F4848"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0.0067</w:t>
            </w:r>
          </w:p>
        </w:tc>
        <w:tc>
          <w:tcPr>
            <w:tcW w:w="626" w:type="pct"/>
            <w:vAlign w:val="center"/>
          </w:tcPr>
          <w:p w14:paraId="6734CEC4"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6FED228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037A966" w14:textId="77777777" w:rsidTr="00A94556">
        <w:trPr>
          <w:trHeight w:val="340"/>
        </w:trPr>
        <w:tc>
          <w:tcPr>
            <w:tcW w:w="645" w:type="pct"/>
            <w:vMerge/>
            <w:vAlign w:val="center"/>
          </w:tcPr>
          <w:p w14:paraId="2AC9073C" w14:textId="77777777" w:rsidR="006D1907" w:rsidRPr="004E57A8" w:rsidRDefault="006D1907" w:rsidP="00A94556">
            <w:pPr>
              <w:jc w:val="center"/>
              <w:rPr>
                <w:rFonts w:ascii="Calibri" w:hAnsi="Calibri"/>
                <w:szCs w:val="21"/>
              </w:rPr>
            </w:pPr>
          </w:p>
        </w:tc>
        <w:tc>
          <w:tcPr>
            <w:tcW w:w="1225" w:type="pct"/>
            <w:vAlign w:val="center"/>
          </w:tcPr>
          <w:p w14:paraId="7D275359" w14:textId="77777777" w:rsidR="006D1907" w:rsidRPr="004E57A8" w:rsidRDefault="006D1907" w:rsidP="00A94556">
            <w:pPr>
              <w:pStyle w:val="a1"/>
              <w:ind w:firstLine="0"/>
              <w:jc w:val="center"/>
              <w:rPr>
                <w:rFonts w:ascii="Calibri" w:hAnsi="Calibri"/>
                <w:szCs w:val="21"/>
              </w:rPr>
            </w:pPr>
            <w:r w:rsidRPr="00A964FF">
              <w:rPr>
                <w:rFonts w:ascii="Calibri" w:hAnsi="Calibri"/>
                <w:color w:val="auto"/>
                <w:szCs w:val="21"/>
              </w:rPr>
              <w:t>挥发酚</w:t>
            </w:r>
          </w:p>
        </w:tc>
        <w:tc>
          <w:tcPr>
            <w:tcW w:w="626" w:type="pct"/>
            <w:vAlign w:val="center"/>
          </w:tcPr>
          <w:p w14:paraId="68B57344" w14:textId="77777777" w:rsidR="006D1907" w:rsidRPr="00855946" w:rsidRDefault="006D1907" w:rsidP="00A94556">
            <w:pPr>
              <w:jc w:val="center"/>
              <w:rPr>
                <w:rFonts w:ascii="Calibri" w:hAnsi="Calibri"/>
                <w:color w:val="auto"/>
                <w:szCs w:val="21"/>
              </w:rPr>
            </w:pPr>
            <w:r w:rsidRPr="00855946">
              <w:rPr>
                <w:rFonts w:ascii="Calibri" w:hAnsi="Calibri" w:hint="eastAsia"/>
                <w:color w:val="auto"/>
                <w:szCs w:val="21"/>
              </w:rPr>
              <w:t>0.0002</w:t>
            </w:r>
          </w:p>
        </w:tc>
        <w:tc>
          <w:tcPr>
            <w:tcW w:w="626" w:type="pct"/>
            <w:vAlign w:val="center"/>
          </w:tcPr>
          <w:p w14:paraId="1413F450"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0.01</w:t>
            </w:r>
          </w:p>
        </w:tc>
        <w:tc>
          <w:tcPr>
            <w:tcW w:w="626" w:type="pct"/>
            <w:vAlign w:val="center"/>
          </w:tcPr>
          <w:p w14:paraId="5C905729"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0.02</w:t>
            </w:r>
          </w:p>
        </w:tc>
        <w:tc>
          <w:tcPr>
            <w:tcW w:w="626" w:type="pct"/>
            <w:vAlign w:val="center"/>
          </w:tcPr>
          <w:p w14:paraId="286C9F48"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6A27496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234FAF96" w14:textId="77777777" w:rsidTr="00A94556">
        <w:trPr>
          <w:trHeight w:val="340"/>
        </w:trPr>
        <w:tc>
          <w:tcPr>
            <w:tcW w:w="645" w:type="pct"/>
            <w:vMerge/>
            <w:vAlign w:val="center"/>
          </w:tcPr>
          <w:p w14:paraId="726A4B46" w14:textId="77777777" w:rsidR="006D1907" w:rsidRPr="004E57A8" w:rsidRDefault="006D1907" w:rsidP="00A94556">
            <w:pPr>
              <w:jc w:val="center"/>
              <w:rPr>
                <w:rFonts w:ascii="Calibri" w:hAnsi="Calibri"/>
                <w:szCs w:val="21"/>
              </w:rPr>
            </w:pPr>
          </w:p>
        </w:tc>
        <w:tc>
          <w:tcPr>
            <w:tcW w:w="1225" w:type="pct"/>
            <w:vAlign w:val="center"/>
          </w:tcPr>
          <w:p w14:paraId="72D6B67D" w14:textId="77777777" w:rsidR="006D1907" w:rsidRPr="004E57A8" w:rsidRDefault="006D1907" w:rsidP="00A94556">
            <w:pPr>
              <w:pStyle w:val="a1"/>
              <w:ind w:firstLine="0"/>
              <w:jc w:val="center"/>
              <w:rPr>
                <w:rFonts w:ascii="Calibri" w:hAnsi="Calibri"/>
                <w:szCs w:val="21"/>
              </w:rPr>
            </w:pPr>
            <w:r w:rsidRPr="00A964FF">
              <w:rPr>
                <w:rFonts w:ascii="Calibri" w:hAnsi="Calibri"/>
                <w:color w:val="auto"/>
                <w:szCs w:val="21"/>
              </w:rPr>
              <w:t>氰化物</w:t>
            </w:r>
          </w:p>
        </w:tc>
        <w:tc>
          <w:tcPr>
            <w:tcW w:w="626" w:type="pct"/>
            <w:vAlign w:val="center"/>
          </w:tcPr>
          <w:p w14:paraId="3223BD97" w14:textId="77777777" w:rsidR="006D1907" w:rsidRPr="00855946" w:rsidRDefault="006D1907" w:rsidP="00A94556">
            <w:pPr>
              <w:jc w:val="center"/>
              <w:rPr>
                <w:rFonts w:ascii="Calibri" w:hAnsi="Calibri"/>
                <w:color w:val="auto"/>
                <w:szCs w:val="21"/>
              </w:rPr>
            </w:pPr>
            <w:r w:rsidRPr="00855946">
              <w:rPr>
                <w:rFonts w:ascii="Calibri" w:hAnsi="Calibri" w:hint="eastAsia"/>
                <w:color w:val="auto"/>
                <w:szCs w:val="21"/>
              </w:rPr>
              <w:t>0.002</w:t>
            </w:r>
          </w:p>
        </w:tc>
        <w:tc>
          <w:tcPr>
            <w:tcW w:w="626" w:type="pct"/>
            <w:vAlign w:val="center"/>
          </w:tcPr>
          <w:p w14:paraId="202D1E27"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0.2</w:t>
            </w:r>
          </w:p>
        </w:tc>
        <w:tc>
          <w:tcPr>
            <w:tcW w:w="626" w:type="pct"/>
            <w:vAlign w:val="center"/>
          </w:tcPr>
          <w:p w14:paraId="7DEA7EE7" w14:textId="77777777" w:rsidR="006D1907" w:rsidRPr="00855946" w:rsidRDefault="006D1907" w:rsidP="00A94556">
            <w:pPr>
              <w:ind w:leftChars="-50" w:left="-105" w:rightChars="-50" w:right="-105"/>
              <w:jc w:val="center"/>
              <w:rPr>
                <w:rFonts w:ascii="Calibri" w:hAnsi="Calibri"/>
                <w:color w:val="auto"/>
                <w:szCs w:val="21"/>
              </w:rPr>
            </w:pPr>
            <w:r>
              <w:rPr>
                <w:rFonts w:ascii="Calibri" w:hAnsi="Calibri" w:hint="eastAsia"/>
                <w:color w:val="auto"/>
                <w:szCs w:val="21"/>
              </w:rPr>
              <w:t>0.01</w:t>
            </w:r>
          </w:p>
        </w:tc>
        <w:tc>
          <w:tcPr>
            <w:tcW w:w="626" w:type="pct"/>
            <w:vAlign w:val="center"/>
          </w:tcPr>
          <w:p w14:paraId="281361B9"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0A98CF27"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7BBFDEB8" w14:textId="77777777" w:rsidTr="00A94556">
        <w:trPr>
          <w:trHeight w:val="340"/>
        </w:trPr>
        <w:tc>
          <w:tcPr>
            <w:tcW w:w="645" w:type="pct"/>
            <w:vMerge/>
            <w:vAlign w:val="center"/>
          </w:tcPr>
          <w:p w14:paraId="430FCB9C" w14:textId="77777777" w:rsidR="006D1907" w:rsidRPr="004E57A8" w:rsidRDefault="006D1907" w:rsidP="00A94556">
            <w:pPr>
              <w:jc w:val="center"/>
              <w:rPr>
                <w:rFonts w:ascii="Calibri" w:hAnsi="Calibri"/>
                <w:szCs w:val="21"/>
              </w:rPr>
            </w:pPr>
          </w:p>
        </w:tc>
        <w:tc>
          <w:tcPr>
            <w:tcW w:w="1225" w:type="pct"/>
            <w:vAlign w:val="center"/>
          </w:tcPr>
          <w:p w14:paraId="5002E967"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砷</w:t>
            </w:r>
          </w:p>
        </w:tc>
        <w:tc>
          <w:tcPr>
            <w:tcW w:w="626" w:type="pct"/>
            <w:vAlign w:val="center"/>
          </w:tcPr>
          <w:p w14:paraId="1AC0E412" w14:textId="77777777" w:rsidR="006D1907" w:rsidRPr="00855946" w:rsidRDefault="006D1907" w:rsidP="00A94556">
            <w:pPr>
              <w:jc w:val="center"/>
              <w:rPr>
                <w:rFonts w:ascii="Calibri" w:hAnsi="Calibri"/>
                <w:color w:val="auto"/>
                <w:szCs w:val="21"/>
              </w:rPr>
            </w:pPr>
            <w:r w:rsidRPr="00855946">
              <w:rPr>
                <w:rFonts w:ascii="Calibri" w:hAnsi="Calibri" w:hint="eastAsia"/>
                <w:color w:val="auto"/>
                <w:szCs w:val="21"/>
              </w:rPr>
              <w:t>0.0008</w:t>
            </w:r>
          </w:p>
        </w:tc>
        <w:tc>
          <w:tcPr>
            <w:tcW w:w="626" w:type="pct"/>
            <w:vAlign w:val="center"/>
          </w:tcPr>
          <w:p w14:paraId="74FA3D3C" w14:textId="77777777" w:rsidR="006D1907" w:rsidRPr="00855946" w:rsidRDefault="006D1907" w:rsidP="00A94556">
            <w:pPr>
              <w:ind w:leftChars="-50" w:left="-105" w:rightChars="-50" w:right="-105"/>
              <w:jc w:val="center"/>
              <w:rPr>
                <w:rFonts w:ascii="Calibri" w:hAnsi="Calibri"/>
                <w:color w:val="auto"/>
                <w:szCs w:val="21"/>
              </w:rPr>
            </w:pPr>
            <w:r>
              <w:rPr>
                <w:rFonts w:ascii="Calibri" w:hAnsi="Calibri" w:hint="eastAsia"/>
                <w:color w:val="auto"/>
                <w:szCs w:val="21"/>
              </w:rPr>
              <w:t>0.1</w:t>
            </w:r>
          </w:p>
        </w:tc>
        <w:tc>
          <w:tcPr>
            <w:tcW w:w="626" w:type="pct"/>
            <w:vAlign w:val="center"/>
          </w:tcPr>
          <w:p w14:paraId="3F0C1790"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0.008</w:t>
            </w:r>
          </w:p>
        </w:tc>
        <w:tc>
          <w:tcPr>
            <w:tcW w:w="626" w:type="pct"/>
            <w:vAlign w:val="center"/>
          </w:tcPr>
          <w:p w14:paraId="4DF0D763"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2B83D64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4F050F0C" w14:textId="77777777" w:rsidTr="00A94556">
        <w:trPr>
          <w:trHeight w:val="340"/>
        </w:trPr>
        <w:tc>
          <w:tcPr>
            <w:tcW w:w="645" w:type="pct"/>
            <w:vMerge/>
            <w:vAlign w:val="center"/>
          </w:tcPr>
          <w:p w14:paraId="0AD027E4" w14:textId="77777777" w:rsidR="006D1907" w:rsidRPr="004E57A8" w:rsidRDefault="006D1907" w:rsidP="00A94556">
            <w:pPr>
              <w:jc w:val="center"/>
              <w:rPr>
                <w:rFonts w:ascii="Calibri" w:hAnsi="Calibri"/>
                <w:szCs w:val="21"/>
              </w:rPr>
            </w:pPr>
          </w:p>
        </w:tc>
        <w:tc>
          <w:tcPr>
            <w:tcW w:w="1225" w:type="pct"/>
            <w:vAlign w:val="center"/>
          </w:tcPr>
          <w:p w14:paraId="6E9710CB" w14:textId="77777777" w:rsidR="006D1907" w:rsidRPr="004E57A8" w:rsidRDefault="006D1907" w:rsidP="00A94556">
            <w:pPr>
              <w:pStyle w:val="a1"/>
              <w:ind w:firstLine="0"/>
              <w:jc w:val="center"/>
              <w:rPr>
                <w:rFonts w:ascii="Calibri" w:hAnsi="Calibri"/>
                <w:szCs w:val="21"/>
              </w:rPr>
            </w:pPr>
            <w:r w:rsidRPr="00A964FF">
              <w:rPr>
                <w:rFonts w:ascii="Calibri" w:hAnsi="Calibri"/>
                <w:color w:val="auto"/>
                <w:szCs w:val="21"/>
              </w:rPr>
              <w:t>汞</w:t>
            </w:r>
          </w:p>
        </w:tc>
        <w:tc>
          <w:tcPr>
            <w:tcW w:w="626" w:type="pct"/>
            <w:vAlign w:val="center"/>
          </w:tcPr>
          <w:p w14:paraId="346C3A14" w14:textId="77777777" w:rsidR="006D1907" w:rsidRPr="004E57A8" w:rsidRDefault="006D1907" w:rsidP="00A94556">
            <w:pPr>
              <w:pStyle w:val="a1"/>
              <w:ind w:firstLine="0"/>
              <w:jc w:val="center"/>
              <w:rPr>
                <w:rFonts w:ascii="Calibri" w:hAnsi="Calibri"/>
                <w:szCs w:val="21"/>
              </w:rPr>
            </w:pPr>
            <w:r w:rsidRPr="00855946">
              <w:rPr>
                <w:rFonts w:ascii="Calibri" w:hAnsi="Calibri" w:hint="eastAsia"/>
                <w:color w:val="auto"/>
                <w:szCs w:val="21"/>
              </w:rPr>
              <w:t>0.00002</w:t>
            </w:r>
          </w:p>
        </w:tc>
        <w:tc>
          <w:tcPr>
            <w:tcW w:w="626" w:type="pct"/>
            <w:vAlign w:val="center"/>
          </w:tcPr>
          <w:p w14:paraId="36FCCE55" w14:textId="77777777" w:rsidR="006D1907" w:rsidRPr="004E57A8" w:rsidRDefault="006D1907" w:rsidP="00A94556">
            <w:pPr>
              <w:jc w:val="center"/>
              <w:rPr>
                <w:rFonts w:ascii="Calibri" w:hAnsi="Calibri"/>
                <w:szCs w:val="21"/>
              </w:rPr>
            </w:pPr>
            <w:r>
              <w:rPr>
                <w:rFonts w:ascii="Calibri" w:hAnsi="Calibri" w:hint="eastAsia"/>
                <w:szCs w:val="21"/>
              </w:rPr>
              <w:t>0.001</w:t>
            </w:r>
          </w:p>
        </w:tc>
        <w:tc>
          <w:tcPr>
            <w:tcW w:w="626" w:type="pct"/>
            <w:vAlign w:val="center"/>
          </w:tcPr>
          <w:p w14:paraId="1B846E25"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0.02</w:t>
            </w:r>
          </w:p>
        </w:tc>
        <w:tc>
          <w:tcPr>
            <w:tcW w:w="626" w:type="pct"/>
            <w:vAlign w:val="center"/>
          </w:tcPr>
          <w:p w14:paraId="42823E0F"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19939D4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53467AF9" w14:textId="77777777" w:rsidTr="00A94556">
        <w:trPr>
          <w:trHeight w:val="340"/>
        </w:trPr>
        <w:tc>
          <w:tcPr>
            <w:tcW w:w="645" w:type="pct"/>
            <w:vMerge/>
            <w:vAlign w:val="center"/>
          </w:tcPr>
          <w:p w14:paraId="101F14EE" w14:textId="77777777" w:rsidR="006D1907" w:rsidRPr="004E57A8" w:rsidRDefault="006D1907" w:rsidP="00A94556">
            <w:pPr>
              <w:jc w:val="center"/>
              <w:rPr>
                <w:rFonts w:ascii="Calibri" w:hAnsi="Calibri"/>
                <w:szCs w:val="21"/>
              </w:rPr>
            </w:pPr>
          </w:p>
        </w:tc>
        <w:tc>
          <w:tcPr>
            <w:tcW w:w="1225" w:type="pct"/>
            <w:vAlign w:val="center"/>
          </w:tcPr>
          <w:p w14:paraId="1372B293"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硫化物</w:t>
            </w:r>
          </w:p>
        </w:tc>
        <w:tc>
          <w:tcPr>
            <w:tcW w:w="626" w:type="pct"/>
            <w:vAlign w:val="center"/>
          </w:tcPr>
          <w:p w14:paraId="32396926"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0.002</w:t>
            </w:r>
          </w:p>
        </w:tc>
        <w:tc>
          <w:tcPr>
            <w:tcW w:w="626" w:type="pct"/>
            <w:vAlign w:val="center"/>
          </w:tcPr>
          <w:p w14:paraId="5F83B609"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0.5</w:t>
            </w:r>
          </w:p>
        </w:tc>
        <w:tc>
          <w:tcPr>
            <w:tcW w:w="626" w:type="pct"/>
            <w:vAlign w:val="center"/>
          </w:tcPr>
          <w:p w14:paraId="5AEB724D"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0.004</w:t>
            </w:r>
          </w:p>
        </w:tc>
        <w:tc>
          <w:tcPr>
            <w:tcW w:w="626" w:type="pct"/>
            <w:vAlign w:val="center"/>
          </w:tcPr>
          <w:p w14:paraId="158CD78E"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5736256C"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265357F3" w14:textId="77777777" w:rsidTr="00A94556">
        <w:trPr>
          <w:trHeight w:val="340"/>
        </w:trPr>
        <w:tc>
          <w:tcPr>
            <w:tcW w:w="645" w:type="pct"/>
            <w:vMerge/>
            <w:vAlign w:val="center"/>
          </w:tcPr>
          <w:p w14:paraId="51E87B06" w14:textId="77777777" w:rsidR="006D1907" w:rsidRPr="004E57A8" w:rsidRDefault="006D1907" w:rsidP="00A94556">
            <w:pPr>
              <w:jc w:val="center"/>
              <w:rPr>
                <w:rFonts w:ascii="Calibri" w:hAnsi="Calibri"/>
                <w:szCs w:val="21"/>
              </w:rPr>
            </w:pPr>
          </w:p>
        </w:tc>
        <w:tc>
          <w:tcPr>
            <w:tcW w:w="1225" w:type="pct"/>
            <w:vAlign w:val="center"/>
          </w:tcPr>
          <w:p w14:paraId="5EC4637A"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六价铬</w:t>
            </w:r>
          </w:p>
        </w:tc>
        <w:tc>
          <w:tcPr>
            <w:tcW w:w="626" w:type="pct"/>
            <w:vAlign w:val="center"/>
          </w:tcPr>
          <w:p w14:paraId="2F293868"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0.002</w:t>
            </w:r>
          </w:p>
        </w:tc>
        <w:tc>
          <w:tcPr>
            <w:tcW w:w="626" w:type="pct"/>
            <w:vAlign w:val="center"/>
          </w:tcPr>
          <w:p w14:paraId="5B65B5A3"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0.05</w:t>
            </w:r>
          </w:p>
        </w:tc>
        <w:tc>
          <w:tcPr>
            <w:tcW w:w="626" w:type="pct"/>
            <w:vAlign w:val="center"/>
          </w:tcPr>
          <w:p w14:paraId="67F60F78"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0.04</w:t>
            </w:r>
          </w:p>
        </w:tc>
        <w:tc>
          <w:tcPr>
            <w:tcW w:w="626" w:type="pct"/>
            <w:vAlign w:val="center"/>
          </w:tcPr>
          <w:p w14:paraId="65BC65F4"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07A0290C"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7F8D59C8" w14:textId="77777777" w:rsidTr="00A94556">
        <w:trPr>
          <w:trHeight w:val="340"/>
        </w:trPr>
        <w:tc>
          <w:tcPr>
            <w:tcW w:w="645" w:type="pct"/>
            <w:vMerge/>
            <w:vAlign w:val="center"/>
          </w:tcPr>
          <w:p w14:paraId="6661CDA8" w14:textId="77777777" w:rsidR="006D1907" w:rsidRPr="004E57A8" w:rsidRDefault="006D1907" w:rsidP="00A94556">
            <w:pPr>
              <w:jc w:val="center"/>
              <w:rPr>
                <w:rFonts w:ascii="Calibri" w:hAnsi="Calibri"/>
                <w:szCs w:val="21"/>
              </w:rPr>
            </w:pPr>
          </w:p>
        </w:tc>
        <w:tc>
          <w:tcPr>
            <w:tcW w:w="1225" w:type="pct"/>
            <w:vAlign w:val="center"/>
          </w:tcPr>
          <w:p w14:paraId="511B91B4"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镉</w:t>
            </w:r>
          </w:p>
        </w:tc>
        <w:tc>
          <w:tcPr>
            <w:tcW w:w="626" w:type="pct"/>
            <w:vAlign w:val="center"/>
          </w:tcPr>
          <w:p w14:paraId="29B180E8"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0.00005</w:t>
            </w:r>
          </w:p>
        </w:tc>
        <w:tc>
          <w:tcPr>
            <w:tcW w:w="626" w:type="pct"/>
            <w:vAlign w:val="center"/>
          </w:tcPr>
          <w:p w14:paraId="19AB07F2"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0.005</w:t>
            </w:r>
          </w:p>
        </w:tc>
        <w:tc>
          <w:tcPr>
            <w:tcW w:w="626" w:type="pct"/>
            <w:vAlign w:val="center"/>
          </w:tcPr>
          <w:p w14:paraId="515C8337"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0.01</w:t>
            </w:r>
          </w:p>
        </w:tc>
        <w:tc>
          <w:tcPr>
            <w:tcW w:w="626" w:type="pct"/>
            <w:vAlign w:val="center"/>
          </w:tcPr>
          <w:p w14:paraId="6522A693"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p>
        </w:tc>
        <w:tc>
          <w:tcPr>
            <w:tcW w:w="626" w:type="pct"/>
            <w:vAlign w:val="center"/>
          </w:tcPr>
          <w:p w14:paraId="7D5D4E2F"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p>
        </w:tc>
      </w:tr>
      <w:tr w:rsidR="006D1907" w:rsidRPr="004E57A8" w14:paraId="59D7D093" w14:textId="77777777" w:rsidTr="00A94556">
        <w:trPr>
          <w:trHeight w:val="340"/>
        </w:trPr>
        <w:tc>
          <w:tcPr>
            <w:tcW w:w="645" w:type="pct"/>
            <w:vMerge/>
            <w:vAlign w:val="center"/>
          </w:tcPr>
          <w:p w14:paraId="6CBA3F78" w14:textId="77777777" w:rsidR="006D1907" w:rsidRPr="004E57A8" w:rsidRDefault="006D1907" w:rsidP="00A94556">
            <w:pPr>
              <w:jc w:val="center"/>
              <w:rPr>
                <w:rFonts w:ascii="Calibri" w:hAnsi="Calibri"/>
                <w:szCs w:val="21"/>
              </w:rPr>
            </w:pPr>
          </w:p>
        </w:tc>
        <w:tc>
          <w:tcPr>
            <w:tcW w:w="1225" w:type="pct"/>
            <w:vAlign w:val="center"/>
          </w:tcPr>
          <w:p w14:paraId="4021DB80"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铅</w:t>
            </w:r>
          </w:p>
        </w:tc>
        <w:tc>
          <w:tcPr>
            <w:tcW w:w="626" w:type="pct"/>
            <w:vAlign w:val="center"/>
          </w:tcPr>
          <w:p w14:paraId="6DEE8F8B"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w:t>
            </w:r>
            <w:r>
              <w:rPr>
                <w:rFonts w:ascii="Calibri" w:hAnsi="Calibri"/>
                <w:color w:val="auto"/>
                <w:szCs w:val="21"/>
              </w:rPr>
              <w:t>01</w:t>
            </w:r>
          </w:p>
        </w:tc>
        <w:tc>
          <w:tcPr>
            <w:tcW w:w="626" w:type="pct"/>
            <w:vAlign w:val="center"/>
          </w:tcPr>
          <w:p w14:paraId="7405C3B9"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0.05</w:t>
            </w:r>
          </w:p>
        </w:tc>
        <w:tc>
          <w:tcPr>
            <w:tcW w:w="626" w:type="pct"/>
            <w:vAlign w:val="center"/>
          </w:tcPr>
          <w:p w14:paraId="1C3296B5"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0.02</w:t>
            </w:r>
          </w:p>
        </w:tc>
        <w:tc>
          <w:tcPr>
            <w:tcW w:w="626" w:type="pct"/>
            <w:vAlign w:val="center"/>
          </w:tcPr>
          <w:p w14:paraId="5BCC5307"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489A1300"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963F530" w14:textId="77777777" w:rsidTr="00A94556">
        <w:trPr>
          <w:trHeight w:val="340"/>
        </w:trPr>
        <w:tc>
          <w:tcPr>
            <w:tcW w:w="645" w:type="pct"/>
            <w:vMerge/>
            <w:vAlign w:val="center"/>
          </w:tcPr>
          <w:p w14:paraId="47696E9E" w14:textId="77777777" w:rsidR="006D1907" w:rsidRPr="004E57A8" w:rsidRDefault="006D1907" w:rsidP="00A94556">
            <w:pPr>
              <w:jc w:val="center"/>
              <w:rPr>
                <w:rFonts w:ascii="Calibri" w:hAnsi="Calibri"/>
                <w:szCs w:val="21"/>
              </w:rPr>
            </w:pPr>
          </w:p>
        </w:tc>
        <w:tc>
          <w:tcPr>
            <w:tcW w:w="1225" w:type="pct"/>
            <w:vAlign w:val="center"/>
          </w:tcPr>
          <w:p w14:paraId="32C58DB9"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粪大肠菌群（个</w:t>
            </w:r>
            <w:r w:rsidRPr="00A964FF">
              <w:rPr>
                <w:rFonts w:ascii="Calibri" w:hAnsi="Calibri"/>
                <w:color w:val="auto"/>
                <w:szCs w:val="21"/>
              </w:rPr>
              <w:t>/L</w:t>
            </w:r>
            <w:r w:rsidRPr="00A964FF">
              <w:rPr>
                <w:rFonts w:ascii="Calibri" w:hAnsi="Calibri"/>
                <w:color w:val="auto"/>
                <w:szCs w:val="21"/>
              </w:rPr>
              <w:t>）</w:t>
            </w:r>
          </w:p>
        </w:tc>
        <w:tc>
          <w:tcPr>
            <w:tcW w:w="626" w:type="pct"/>
            <w:vAlign w:val="center"/>
          </w:tcPr>
          <w:p w14:paraId="5FDAC261"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261</w:t>
            </w:r>
          </w:p>
        </w:tc>
        <w:tc>
          <w:tcPr>
            <w:tcW w:w="626" w:type="pct"/>
            <w:vAlign w:val="center"/>
          </w:tcPr>
          <w:p w14:paraId="665FEAB6"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20000</w:t>
            </w:r>
          </w:p>
        </w:tc>
        <w:tc>
          <w:tcPr>
            <w:tcW w:w="626" w:type="pct"/>
            <w:vAlign w:val="center"/>
          </w:tcPr>
          <w:p w14:paraId="08BC4267"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0.013</w:t>
            </w:r>
          </w:p>
        </w:tc>
        <w:tc>
          <w:tcPr>
            <w:tcW w:w="626" w:type="pct"/>
            <w:vAlign w:val="center"/>
          </w:tcPr>
          <w:p w14:paraId="394C2DAE"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3A8131E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bl>
    <w:p w14:paraId="5AC1E17E" w14:textId="77777777" w:rsidR="006D1907" w:rsidRPr="00A964FF" w:rsidRDefault="006D1907" w:rsidP="006D1907">
      <w:pPr>
        <w:tabs>
          <w:tab w:val="left" w:pos="426"/>
        </w:tabs>
        <w:spacing w:line="520" w:lineRule="exact"/>
        <w:ind w:firstLineChars="200" w:firstLine="480"/>
        <w:jc w:val="left"/>
        <w:rPr>
          <w:rFonts w:ascii="Calibri" w:hAnsi="宋体"/>
          <w:color w:val="auto"/>
          <w:sz w:val="24"/>
        </w:rPr>
      </w:pPr>
      <w:r w:rsidRPr="00A964FF">
        <w:rPr>
          <w:rFonts w:ascii="Calibri" w:hAnsi="Calibri"/>
          <w:color w:val="auto"/>
          <w:sz w:val="24"/>
        </w:rPr>
        <w:t>由上表</w:t>
      </w:r>
      <w:r w:rsidRPr="00A964FF">
        <w:rPr>
          <w:rFonts w:ascii="Calibri" w:hAnsi="Calibri" w:hint="eastAsia"/>
          <w:color w:val="auto"/>
          <w:sz w:val="24"/>
        </w:rPr>
        <w:t>检测</w:t>
      </w:r>
      <w:r w:rsidRPr="00A964FF">
        <w:rPr>
          <w:rFonts w:ascii="Calibri" w:hAnsi="Calibri"/>
          <w:color w:val="auto"/>
          <w:sz w:val="24"/>
        </w:rPr>
        <w:t>结果可知，</w:t>
      </w:r>
      <w:r w:rsidRPr="00A964FF">
        <w:rPr>
          <w:rFonts w:ascii="Calibri" w:hAnsi="宋体" w:hint="eastAsia"/>
          <w:color w:val="auto"/>
          <w:sz w:val="24"/>
        </w:rPr>
        <w:t>202</w:t>
      </w:r>
      <w:r>
        <w:rPr>
          <w:rFonts w:ascii="Calibri" w:hAnsi="宋体"/>
          <w:color w:val="auto"/>
          <w:sz w:val="24"/>
        </w:rPr>
        <w:t>1</w:t>
      </w:r>
      <w:r w:rsidRPr="00A964FF">
        <w:rPr>
          <w:rFonts w:ascii="Calibri" w:hAnsi="宋体" w:hint="eastAsia"/>
          <w:color w:val="auto"/>
          <w:sz w:val="24"/>
        </w:rPr>
        <w:t>年度</w:t>
      </w:r>
      <w:r w:rsidRPr="00A964FF">
        <w:rPr>
          <w:rFonts w:ascii="Calibri" w:hAnsi="宋体"/>
          <w:color w:val="auto"/>
          <w:sz w:val="24"/>
        </w:rPr>
        <w:t>灰河叶县水寨屈庄断面各监测因子均满足《地表水环境质量标准》（</w:t>
      </w:r>
      <w:r>
        <w:rPr>
          <w:rFonts w:ascii="Calibri" w:hAnsi="Calibri"/>
          <w:color w:val="auto"/>
          <w:sz w:val="24"/>
        </w:rPr>
        <w:t>GB3838</w:t>
      </w:r>
      <w:r w:rsidRPr="00A964FF">
        <w:rPr>
          <w:rFonts w:ascii="Calibri" w:hAnsi="Calibri"/>
          <w:color w:val="auto"/>
          <w:sz w:val="24"/>
        </w:rPr>
        <w:t>2002</w:t>
      </w:r>
      <w:r w:rsidRPr="00A964FF">
        <w:rPr>
          <w:rFonts w:ascii="Calibri" w:hAnsi="宋体"/>
          <w:color w:val="auto"/>
          <w:sz w:val="24"/>
        </w:rPr>
        <w:t>）</w:t>
      </w:r>
      <w:r w:rsidRPr="00A964FF">
        <w:rPr>
          <w:rFonts w:ascii="Calibri" w:hAnsi="Calibri" w:hint="eastAsia"/>
          <w:color w:val="auto"/>
          <w:sz w:val="24"/>
        </w:rPr>
        <w:t>IV</w:t>
      </w:r>
      <w:r w:rsidR="004C513C">
        <w:rPr>
          <w:rFonts w:ascii="Calibri" w:hAnsi="宋体"/>
          <w:color w:val="auto"/>
          <w:sz w:val="24"/>
        </w:rPr>
        <w:t>类标准</w:t>
      </w:r>
      <w:r w:rsidRPr="00A964FF">
        <w:rPr>
          <w:rFonts w:ascii="Calibri" w:hAnsi="宋体"/>
          <w:color w:val="auto"/>
          <w:sz w:val="24"/>
        </w:rPr>
        <w:t>。</w:t>
      </w:r>
    </w:p>
    <w:p w14:paraId="5AF47B4F" w14:textId="77777777" w:rsidR="006D1907" w:rsidRPr="00A964FF" w:rsidRDefault="006D1907" w:rsidP="006D1907">
      <w:pPr>
        <w:pStyle w:val="00"/>
        <w:rPr>
          <w:rFonts w:ascii="Calibri" w:hAnsi="Calibri"/>
          <w:color w:val="auto"/>
        </w:rPr>
      </w:pPr>
      <w:r w:rsidRPr="00A964FF">
        <w:rPr>
          <w:rFonts w:ascii="Calibri" w:hAnsi="Calibri"/>
          <w:color w:val="auto"/>
        </w:rPr>
        <w:t>（</w:t>
      </w:r>
      <w:r>
        <w:rPr>
          <w:rFonts w:ascii="Calibri" w:hAnsi="Calibri"/>
          <w:color w:val="auto"/>
        </w:rPr>
        <w:t>2</w:t>
      </w:r>
      <w:r w:rsidRPr="00A964FF">
        <w:rPr>
          <w:rFonts w:ascii="Calibri" w:hAnsi="Calibri"/>
          <w:color w:val="auto"/>
        </w:rPr>
        <w:t>）</w:t>
      </w:r>
      <w:r w:rsidRPr="00A964FF">
        <w:rPr>
          <w:rFonts w:ascii="Calibri" w:hAnsi="Calibri" w:hint="eastAsia"/>
          <w:color w:val="auto"/>
        </w:rPr>
        <w:t>沙河</w:t>
      </w:r>
    </w:p>
    <w:p w14:paraId="702B6C0C" w14:textId="77777777" w:rsidR="006D1907" w:rsidRDefault="006D1907" w:rsidP="006D1907">
      <w:pPr>
        <w:pStyle w:val="00"/>
        <w:rPr>
          <w:rFonts w:ascii="Calibri" w:hAnsi="Calibri"/>
          <w:noProof/>
          <w:color w:val="auto"/>
        </w:rPr>
      </w:pPr>
      <w:r w:rsidRPr="00A964FF">
        <w:rPr>
          <w:rFonts w:ascii="Calibri" w:hAnsi="Calibri" w:hint="eastAsia"/>
          <w:color w:val="auto"/>
        </w:rPr>
        <w:t>沙河</w:t>
      </w:r>
      <w:r w:rsidRPr="00A964FF">
        <w:rPr>
          <w:rFonts w:ascii="Calibri" w:hAnsi="Calibri"/>
          <w:color w:val="auto"/>
        </w:rPr>
        <w:t>现状监测</w:t>
      </w:r>
      <w:r w:rsidRPr="00A964FF">
        <w:rPr>
          <w:color w:val="auto"/>
        </w:rPr>
        <w:t>及评价统计结果</w:t>
      </w:r>
      <w:r w:rsidRPr="00A964FF">
        <w:rPr>
          <w:rFonts w:ascii="Calibri" w:hAnsi="Calibri"/>
          <w:noProof/>
          <w:color w:val="auto"/>
        </w:rPr>
        <w:t>见表</w:t>
      </w:r>
      <w:r w:rsidRPr="00A964FF">
        <w:rPr>
          <w:rFonts w:ascii="Calibri" w:hAnsi="Calibri" w:hint="eastAsia"/>
          <w:noProof/>
          <w:color w:val="auto"/>
        </w:rPr>
        <w:t>3.3-</w:t>
      </w:r>
      <w:r>
        <w:rPr>
          <w:rFonts w:ascii="Calibri" w:hAnsi="Calibri"/>
          <w:noProof/>
          <w:color w:val="auto"/>
        </w:rPr>
        <w:t>11</w:t>
      </w:r>
      <w:r w:rsidRPr="00A964FF">
        <w:rPr>
          <w:rFonts w:ascii="Calibri" w:hAnsi="Calibri"/>
          <w:noProof/>
          <w:color w:val="auto"/>
        </w:rPr>
        <w:t>。</w:t>
      </w:r>
    </w:p>
    <w:p w14:paraId="4CDD0D35" w14:textId="77777777" w:rsidR="006D1907" w:rsidRPr="00311E5D" w:rsidRDefault="006D1907" w:rsidP="006D1907">
      <w:pPr>
        <w:pStyle w:val="00"/>
        <w:ind w:firstLineChars="50" w:firstLine="120"/>
        <w:rPr>
          <w:rFonts w:ascii="Calibri" w:hAnsi="Calibri"/>
          <w:color w:val="auto"/>
        </w:rPr>
      </w:pPr>
      <w:r w:rsidRPr="00A964FF">
        <w:rPr>
          <w:rFonts w:ascii="Calibri" w:eastAsia="黑体" w:hAnsi="黑体"/>
          <w:bCs/>
          <w:color w:val="auto"/>
          <w:szCs w:val="20"/>
        </w:rPr>
        <w:t>表</w:t>
      </w:r>
      <w:r w:rsidRPr="00A964FF">
        <w:rPr>
          <w:rFonts w:ascii="Calibri" w:eastAsia="黑体" w:hAnsi="黑体"/>
          <w:bCs/>
          <w:color w:val="auto"/>
          <w:szCs w:val="20"/>
        </w:rPr>
        <w:t>3</w:t>
      </w:r>
      <w:r w:rsidRPr="00A964FF">
        <w:rPr>
          <w:rFonts w:ascii="Calibri" w:eastAsia="黑体" w:hAnsi="黑体" w:hint="eastAsia"/>
          <w:bCs/>
          <w:color w:val="auto"/>
          <w:szCs w:val="20"/>
        </w:rPr>
        <w:t>.3</w:t>
      </w:r>
      <w:r w:rsidRPr="00A964FF">
        <w:rPr>
          <w:rFonts w:ascii="Calibri" w:eastAsia="黑体" w:hAnsi="黑体"/>
          <w:bCs/>
          <w:color w:val="auto"/>
          <w:szCs w:val="20"/>
        </w:rPr>
        <w:t>-</w:t>
      </w:r>
      <w:r>
        <w:rPr>
          <w:rFonts w:ascii="Calibri" w:eastAsia="黑体" w:hAnsi="黑体"/>
          <w:bCs/>
          <w:color w:val="auto"/>
          <w:szCs w:val="20"/>
        </w:rPr>
        <w:t xml:space="preserve">11  </w:t>
      </w:r>
      <w:r w:rsidRPr="00A964FF">
        <w:rPr>
          <w:rFonts w:ascii="Calibri" w:eastAsia="黑体" w:hAnsi="黑体"/>
          <w:bCs/>
          <w:color w:val="auto"/>
          <w:szCs w:val="20"/>
        </w:rPr>
        <w:t xml:space="preserve"> </w:t>
      </w:r>
      <w:r>
        <w:rPr>
          <w:rFonts w:ascii="Calibri" w:eastAsia="黑体" w:hAnsi="黑体"/>
          <w:bCs/>
          <w:color w:val="auto"/>
          <w:szCs w:val="20"/>
        </w:rPr>
        <w:t xml:space="preserve">  </w:t>
      </w:r>
      <w:r w:rsidRPr="00A964FF">
        <w:rPr>
          <w:rFonts w:ascii="Calibri" w:eastAsia="黑体" w:hAnsi="黑体"/>
          <w:bCs/>
          <w:color w:val="auto"/>
          <w:szCs w:val="20"/>
        </w:rPr>
        <w:t>20</w:t>
      </w:r>
      <w:r w:rsidRPr="00A964FF">
        <w:rPr>
          <w:rFonts w:ascii="Calibri" w:eastAsia="黑体" w:hAnsi="黑体" w:hint="eastAsia"/>
          <w:bCs/>
          <w:color w:val="auto"/>
          <w:szCs w:val="20"/>
        </w:rPr>
        <w:t>2</w:t>
      </w:r>
      <w:r>
        <w:rPr>
          <w:rFonts w:ascii="Calibri" w:eastAsia="黑体" w:hAnsi="黑体"/>
          <w:bCs/>
          <w:color w:val="auto"/>
          <w:szCs w:val="20"/>
        </w:rPr>
        <w:t>1</w:t>
      </w:r>
      <w:r w:rsidRPr="00A964FF">
        <w:rPr>
          <w:rFonts w:ascii="Calibri" w:eastAsia="黑体" w:hAnsi="黑体"/>
          <w:bCs/>
          <w:color w:val="auto"/>
          <w:szCs w:val="20"/>
        </w:rPr>
        <w:t>年</w:t>
      </w:r>
      <w:r w:rsidRPr="00A964FF">
        <w:rPr>
          <w:rFonts w:ascii="Calibri" w:eastAsia="黑体" w:hAnsi="黑体" w:hint="eastAsia"/>
          <w:bCs/>
          <w:color w:val="auto"/>
          <w:szCs w:val="20"/>
        </w:rPr>
        <w:t>沙河舞阳马湾断面</w:t>
      </w:r>
      <w:r w:rsidRPr="00A964FF">
        <w:rPr>
          <w:rFonts w:ascii="Calibri" w:eastAsia="黑体" w:hAnsi="黑体"/>
          <w:bCs/>
          <w:color w:val="auto"/>
          <w:szCs w:val="20"/>
        </w:rPr>
        <w:t>监测结果统计</w:t>
      </w:r>
      <w:r w:rsidRPr="00A964FF">
        <w:rPr>
          <w:rFonts w:ascii="Calibri" w:eastAsia="黑体" w:hAnsi="黑体"/>
          <w:bCs/>
          <w:color w:val="auto"/>
          <w:szCs w:val="20"/>
        </w:rPr>
        <w:t xml:space="preserve"> </w:t>
      </w:r>
      <w:r w:rsidRPr="00A964FF">
        <w:rPr>
          <w:rFonts w:ascii="Calibri" w:hAnsi="Calibri"/>
          <w:bCs/>
          <w:color w:val="auto"/>
          <w:szCs w:val="20"/>
        </w:rPr>
        <w:t xml:space="preserve">  </w:t>
      </w:r>
      <w:r w:rsidRPr="00A964FF">
        <w:rPr>
          <w:rFonts w:ascii="Calibri" w:hAnsi="Calibri"/>
          <w:bCs/>
          <w:color w:val="auto"/>
        </w:rPr>
        <w:t xml:space="preserve"> </w:t>
      </w:r>
      <w:r w:rsidRPr="00A964FF">
        <w:rPr>
          <w:rFonts w:ascii="Calibri"/>
          <w:color w:val="auto"/>
          <w:szCs w:val="21"/>
        </w:rPr>
        <w:t>单位：</w:t>
      </w:r>
      <w:r w:rsidRPr="00A964FF">
        <w:rPr>
          <w:rFonts w:ascii="Calibri" w:hAnsi="Calibri"/>
          <w:color w:val="auto"/>
          <w:szCs w:val="21"/>
        </w:rPr>
        <w:t>mg/L</w:t>
      </w:r>
      <w:r w:rsidRPr="00A964FF">
        <w:rPr>
          <w:rFonts w:ascii="Calibri"/>
          <w:color w:val="auto"/>
          <w:szCs w:val="21"/>
        </w:rPr>
        <w:t>（除</w:t>
      </w:r>
      <w:r w:rsidRPr="00A964FF">
        <w:rPr>
          <w:rFonts w:ascii="Calibri" w:hAnsi="Calibri"/>
          <w:color w:val="auto"/>
          <w:szCs w:val="21"/>
        </w:rPr>
        <w:t>pH</w:t>
      </w:r>
      <w:r w:rsidRPr="00A964FF">
        <w:rPr>
          <w:rFonts w:ascii="Calibri"/>
          <w:color w:val="auto"/>
          <w:szCs w:val="21"/>
        </w:rPr>
        <w:t>外）</w:t>
      </w:r>
    </w:p>
    <w:tbl>
      <w:tblPr>
        <w:tblW w:w="512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51"/>
        <w:gridCol w:w="2185"/>
        <w:gridCol w:w="1116"/>
        <w:gridCol w:w="1116"/>
        <w:gridCol w:w="1116"/>
        <w:gridCol w:w="1116"/>
        <w:gridCol w:w="1116"/>
      </w:tblGrid>
      <w:tr w:rsidR="006D1907" w:rsidRPr="004E57A8" w14:paraId="5FE5FB60" w14:textId="77777777" w:rsidTr="00A94556">
        <w:trPr>
          <w:trHeight w:val="340"/>
        </w:trPr>
        <w:tc>
          <w:tcPr>
            <w:tcW w:w="645" w:type="pct"/>
            <w:vAlign w:val="center"/>
          </w:tcPr>
          <w:p w14:paraId="5750860A" w14:textId="77777777" w:rsidR="006D1907" w:rsidRPr="004E57A8" w:rsidRDefault="006D1907" w:rsidP="00A94556">
            <w:pPr>
              <w:jc w:val="center"/>
              <w:rPr>
                <w:rFonts w:ascii="Calibri" w:hAnsi="Calibri"/>
                <w:szCs w:val="21"/>
              </w:rPr>
            </w:pPr>
            <w:r w:rsidRPr="004E57A8">
              <w:rPr>
                <w:rFonts w:ascii="Calibri" w:hAnsi="Calibri"/>
                <w:szCs w:val="21"/>
              </w:rPr>
              <w:t>河流断面</w:t>
            </w:r>
          </w:p>
        </w:tc>
        <w:tc>
          <w:tcPr>
            <w:tcW w:w="1225" w:type="pct"/>
            <w:vAlign w:val="center"/>
          </w:tcPr>
          <w:p w14:paraId="47331B07" w14:textId="77777777" w:rsidR="006D1907" w:rsidRPr="004E57A8" w:rsidRDefault="006D1907" w:rsidP="00A94556">
            <w:pPr>
              <w:jc w:val="center"/>
              <w:rPr>
                <w:rFonts w:ascii="Calibri" w:hAnsi="Calibri"/>
                <w:szCs w:val="21"/>
              </w:rPr>
            </w:pPr>
            <w:r w:rsidRPr="004E57A8">
              <w:rPr>
                <w:rFonts w:ascii="Calibri" w:hAnsi="Calibri"/>
                <w:szCs w:val="21"/>
              </w:rPr>
              <w:t>项目</w:t>
            </w:r>
          </w:p>
        </w:tc>
        <w:tc>
          <w:tcPr>
            <w:tcW w:w="626" w:type="pct"/>
            <w:vAlign w:val="center"/>
          </w:tcPr>
          <w:p w14:paraId="0EA0BCE1" w14:textId="77777777" w:rsidR="006D1907" w:rsidRPr="004E57A8" w:rsidRDefault="006D1907" w:rsidP="00A94556">
            <w:pPr>
              <w:jc w:val="center"/>
              <w:rPr>
                <w:rFonts w:ascii="Calibri" w:hAnsi="Calibri"/>
                <w:szCs w:val="21"/>
              </w:rPr>
            </w:pPr>
            <w:r>
              <w:rPr>
                <w:rFonts w:ascii="Calibri" w:hAnsi="Calibri" w:hint="eastAsia"/>
                <w:szCs w:val="21"/>
              </w:rPr>
              <w:t>均值</w:t>
            </w:r>
          </w:p>
        </w:tc>
        <w:tc>
          <w:tcPr>
            <w:tcW w:w="626" w:type="pct"/>
            <w:vAlign w:val="center"/>
          </w:tcPr>
          <w:p w14:paraId="477AB557" w14:textId="77777777" w:rsidR="006D1907" w:rsidRPr="004E57A8" w:rsidRDefault="006D1907" w:rsidP="00A94556">
            <w:pPr>
              <w:jc w:val="center"/>
              <w:rPr>
                <w:rFonts w:ascii="Calibri" w:hAnsi="Calibri"/>
                <w:szCs w:val="21"/>
              </w:rPr>
            </w:pPr>
            <w:r w:rsidRPr="004E57A8">
              <w:rPr>
                <w:rFonts w:ascii="Calibri" w:hAnsi="Calibri"/>
                <w:szCs w:val="21"/>
              </w:rPr>
              <w:t>评价标准</w:t>
            </w:r>
          </w:p>
        </w:tc>
        <w:tc>
          <w:tcPr>
            <w:tcW w:w="626" w:type="pct"/>
            <w:vAlign w:val="center"/>
          </w:tcPr>
          <w:p w14:paraId="498BADE3" w14:textId="77777777" w:rsidR="006D1907" w:rsidRPr="004E57A8" w:rsidRDefault="006D1907" w:rsidP="00A94556">
            <w:pPr>
              <w:jc w:val="center"/>
              <w:rPr>
                <w:rFonts w:ascii="Calibri" w:hAnsi="Calibri"/>
                <w:szCs w:val="21"/>
              </w:rPr>
            </w:pPr>
            <w:r w:rsidRPr="004E57A8">
              <w:rPr>
                <w:rFonts w:ascii="Calibri" w:hAnsi="Calibri"/>
                <w:szCs w:val="21"/>
              </w:rPr>
              <w:t>标准指数</w:t>
            </w:r>
          </w:p>
        </w:tc>
        <w:tc>
          <w:tcPr>
            <w:tcW w:w="626" w:type="pct"/>
            <w:vAlign w:val="center"/>
          </w:tcPr>
          <w:p w14:paraId="0E9AAACB" w14:textId="77777777" w:rsidR="006D1907" w:rsidRPr="004E57A8" w:rsidRDefault="006D1907" w:rsidP="00A94556">
            <w:pPr>
              <w:jc w:val="center"/>
              <w:rPr>
                <w:rFonts w:ascii="Calibri" w:hAnsi="Calibri"/>
                <w:szCs w:val="21"/>
              </w:rPr>
            </w:pPr>
            <w:r w:rsidRPr="004E57A8">
              <w:rPr>
                <w:rFonts w:ascii="Calibri" w:hAnsi="Calibri"/>
                <w:szCs w:val="21"/>
              </w:rPr>
              <w:t>超标率（</w:t>
            </w:r>
            <w:r w:rsidRPr="004E57A8">
              <w:rPr>
                <w:rFonts w:ascii="Calibri" w:hAnsi="Calibri"/>
                <w:szCs w:val="21"/>
              </w:rPr>
              <w:t>%</w:t>
            </w:r>
            <w:r w:rsidRPr="004E57A8">
              <w:rPr>
                <w:rFonts w:ascii="Calibri" w:hAnsi="Calibri"/>
                <w:szCs w:val="21"/>
              </w:rPr>
              <w:t>）</w:t>
            </w:r>
          </w:p>
        </w:tc>
        <w:tc>
          <w:tcPr>
            <w:tcW w:w="626" w:type="pct"/>
            <w:vAlign w:val="center"/>
          </w:tcPr>
          <w:p w14:paraId="5E96F29B" w14:textId="77777777" w:rsidR="006D1907" w:rsidRPr="004E57A8" w:rsidRDefault="006D1907" w:rsidP="00A94556">
            <w:pPr>
              <w:jc w:val="center"/>
              <w:rPr>
                <w:rFonts w:ascii="Calibri" w:hAnsi="Calibri"/>
                <w:szCs w:val="21"/>
              </w:rPr>
            </w:pPr>
            <w:r w:rsidRPr="004E57A8">
              <w:rPr>
                <w:rFonts w:ascii="Calibri" w:hAnsi="Calibri"/>
                <w:szCs w:val="21"/>
              </w:rPr>
              <w:t>最大超标倍数</w:t>
            </w:r>
          </w:p>
        </w:tc>
      </w:tr>
      <w:tr w:rsidR="006D1907" w:rsidRPr="004E57A8" w14:paraId="3BE873E1" w14:textId="77777777" w:rsidTr="00A94556">
        <w:trPr>
          <w:trHeight w:val="340"/>
        </w:trPr>
        <w:tc>
          <w:tcPr>
            <w:tcW w:w="645" w:type="pct"/>
            <w:vMerge w:val="restart"/>
            <w:vAlign w:val="center"/>
          </w:tcPr>
          <w:p w14:paraId="14E96E44" w14:textId="77777777" w:rsidR="006D1907" w:rsidRPr="004E57A8" w:rsidRDefault="006D1907" w:rsidP="00A94556">
            <w:pPr>
              <w:jc w:val="center"/>
              <w:rPr>
                <w:rFonts w:ascii="Calibri" w:hAnsi="Calibri"/>
                <w:szCs w:val="21"/>
              </w:rPr>
            </w:pPr>
            <w:r>
              <w:rPr>
                <w:rFonts w:ascii="Calibri" w:hAnsi="Calibri" w:hint="eastAsia"/>
                <w:szCs w:val="21"/>
              </w:rPr>
              <w:t>沙河</w:t>
            </w:r>
            <w:r>
              <w:rPr>
                <w:rFonts w:ascii="Calibri" w:hAnsi="Calibri"/>
                <w:szCs w:val="21"/>
              </w:rPr>
              <w:t>舞阳马湾断面</w:t>
            </w:r>
          </w:p>
        </w:tc>
        <w:tc>
          <w:tcPr>
            <w:tcW w:w="1225" w:type="pct"/>
            <w:vAlign w:val="center"/>
          </w:tcPr>
          <w:p w14:paraId="5A37D8C1" w14:textId="77777777" w:rsidR="006D1907" w:rsidRPr="004E57A8" w:rsidRDefault="006D1907" w:rsidP="00A94556">
            <w:pPr>
              <w:pStyle w:val="a1"/>
              <w:tabs>
                <w:tab w:val="left" w:pos="7560"/>
              </w:tabs>
              <w:ind w:firstLine="0"/>
              <w:jc w:val="center"/>
              <w:rPr>
                <w:rFonts w:ascii="Calibri" w:hAnsi="Calibri"/>
                <w:bCs/>
                <w:szCs w:val="21"/>
              </w:rPr>
            </w:pPr>
            <w:r w:rsidRPr="004E57A8">
              <w:rPr>
                <w:rFonts w:ascii="Calibri" w:hAnsi="Calibri"/>
                <w:szCs w:val="21"/>
              </w:rPr>
              <w:t>pH</w:t>
            </w:r>
          </w:p>
        </w:tc>
        <w:tc>
          <w:tcPr>
            <w:tcW w:w="626" w:type="pct"/>
            <w:vAlign w:val="center"/>
          </w:tcPr>
          <w:p w14:paraId="2B834AD7"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8</w:t>
            </w:r>
          </w:p>
        </w:tc>
        <w:tc>
          <w:tcPr>
            <w:tcW w:w="626" w:type="pct"/>
            <w:vAlign w:val="center"/>
          </w:tcPr>
          <w:p w14:paraId="66DAF511" w14:textId="77777777" w:rsidR="006D1907" w:rsidRPr="004E57A8" w:rsidRDefault="006D1907" w:rsidP="00A94556">
            <w:pPr>
              <w:pStyle w:val="a1"/>
              <w:ind w:firstLine="0"/>
              <w:jc w:val="center"/>
              <w:rPr>
                <w:rFonts w:ascii="Calibri" w:hAnsi="Calibri"/>
                <w:szCs w:val="21"/>
              </w:rPr>
            </w:pPr>
            <w:r w:rsidRPr="004E57A8">
              <w:rPr>
                <w:rFonts w:ascii="Calibri" w:hAnsi="Calibri"/>
                <w:szCs w:val="21"/>
              </w:rPr>
              <w:t>6</w:t>
            </w:r>
            <w:r w:rsidRPr="004E57A8">
              <w:rPr>
                <w:rFonts w:ascii="Calibri" w:hAnsi="Calibri"/>
                <w:szCs w:val="21"/>
              </w:rPr>
              <w:t>～</w:t>
            </w:r>
            <w:r w:rsidRPr="004E57A8">
              <w:rPr>
                <w:rFonts w:ascii="Calibri" w:hAnsi="Calibri"/>
                <w:szCs w:val="21"/>
              </w:rPr>
              <w:t>9</w:t>
            </w:r>
          </w:p>
        </w:tc>
        <w:tc>
          <w:tcPr>
            <w:tcW w:w="626" w:type="pct"/>
            <w:vAlign w:val="center"/>
          </w:tcPr>
          <w:p w14:paraId="78F87AA5"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r>
              <w:rPr>
                <w:rFonts w:ascii="Calibri" w:hAnsi="Calibri"/>
                <w:szCs w:val="21"/>
              </w:rPr>
              <w:t>.</w:t>
            </w:r>
            <w:r>
              <w:rPr>
                <w:rFonts w:ascii="Calibri" w:hAnsi="Calibri" w:hint="eastAsia"/>
                <w:szCs w:val="21"/>
              </w:rPr>
              <w:t>50</w:t>
            </w:r>
          </w:p>
        </w:tc>
        <w:tc>
          <w:tcPr>
            <w:tcW w:w="626" w:type="pct"/>
            <w:vAlign w:val="center"/>
          </w:tcPr>
          <w:p w14:paraId="6F85F43D"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00F7C25F"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37FA82E8" w14:textId="77777777" w:rsidTr="00A94556">
        <w:trPr>
          <w:trHeight w:val="340"/>
        </w:trPr>
        <w:tc>
          <w:tcPr>
            <w:tcW w:w="645" w:type="pct"/>
            <w:vMerge/>
            <w:vAlign w:val="center"/>
          </w:tcPr>
          <w:p w14:paraId="5FB24F83" w14:textId="77777777" w:rsidR="006D1907" w:rsidRPr="004E57A8" w:rsidRDefault="006D1907" w:rsidP="00A94556">
            <w:pPr>
              <w:jc w:val="center"/>
              <w:rPr>
                <w:rFonts w:ascii="Calibri" w:hAnsi="Calibri"/>
                <w:szCs w:val="21"/>
              </w:rPr>
            </w:pPr>
          </w:p>
        </w:tc>
        <w:tc>
          <w:tcPr>
            <w:tcW w:w="1225" w:type="pct"/>
            <w:vAlign w:val="center"/>
          </w:tcPr>
          <w:p w14:paraId="56A1328D"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COD</w:t>
            </w:r>
          </w:p>
        </w:tc>
        <w:tc>
          <w:tcPr>
            <w:tcW w:w="626" w:type="pct"/>
            <w:vAlign w:val="center"/>
          </w:tcPr>
          <w:p w14:paraId="011D1C86"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16</w:t>
            </w:r>
          </w:p>
        </w:tc>
        <w:tc>
          <w:tcPr>
            <w:tcW w:w="626" w:type="pct"/>
            <w:vAlign w:val="center"/>
          </w:tcPr>
          <w:p w14:paraId="54DBF73A"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20</w:t>
            </w:r>
          </w:p>
        </w:tc>
        <w:tc>
          <w:tcPr>
            <w:tcW w:w="626" w:type="pct"/>
            <w:vAlign w:val="center"/>
          </w:tcPr>
          <w:p w14:paraId="15A84EE8"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0.80</w:t>
            </w:r>
          </w:p>
        </w:tc>
        <w:tc>
          <w:tcPr>
            <w:tcW w:w="626" w:type="pct"/>
            <w:vAlign w:val="center"/>
          </w:tcPr>
          <w:p w14:paraId="74E7C942"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p>
        </w:tc>
        <w:tc>
          <w:tcPr>
            <w:tcW w:w="626" w:type="pct"/>
            <w:vAlign w:val="center"/>
          </w:tcPr>
          <w:p w14:paraId="7B20E4E8"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6E39922" w14:textId="77777777" w:rsidTr="00A94556">
        <w:trPr>
          <w:trHeight w:val="340"/>
        </w:trPr>
        <w:tc>
          <w:tcPr>
            <w:tcW w:w="645" w:type="pct"/>
            <w:vMerge/>
            <w:vAlign w:val="center"/>
          </w:tcPr>
          <w:p w14:paraId="207CC40B" w14:textId="77777777" w:rsidR="006D1907" w:rsidRPr="004E57A8" w:rsidRDefault="006D1907" w:rsidP="00A94556">
            <w:pPr>
              <w:jc w:val="center"/>
              <w:rPr>
                <w:rFonts w:ascii="Calibri" w:hAnsi="Calibri"/>
                <w:szCs w:val="21"/>
              </w:rPr>
            </w:pPr>
          </w:p>
        </w:tc>
        <w:tc>
          <w:tcPr>
            <w:tcW w:w="1225" w:type="pct"/>
            <w:vAlign w:val="center"/>
          </w:tcPr>
          <w:p w14:paraId="6D799197" w14:textId="77777777" w:rsidR="006D1907" w:rsidRPr="00A964FF" w:rsidRDefault="006D1907" w:rsidP="00A94556">
            <w:pPr>
              <w:jc w:val="center"/>
              <w:rPr>
                <w:rFonts w:ascii="Calibri" w:hAnsi="Calibri"/>
                <w:color w:val="auto"/>
                <w:szCs w:val="21"/>
              </w:rPr>
            </w:pPr>
            <w:r w:rsidRPr="00A964FF">
              <w:rPr>
                <w:rFonts w:ascii="Calibri" w:hAnsi="Calibri" w:hint="eastAsia"/>
                <w:color w:val="auto"/>
                <w:szCs w:val="21"/>
              </w:rPr>
              <w:t>BOD</w:t>
            </w:r>
            <w:r w:rsidRPr="00A964FF">
              <w:rPr>
                <w:rFonts w:ascii="Calibri" w:hAnsi="Calibri" w:hint="eastAsia"/>
                <w:color w:val="auto"/>
                <w:szCs w:val="21"/>
                <w:vertAlign w:val="subscript"/>
              </w:rPr>
              <w:t>5</w:t>
            </w:r>
          </w:p>
        </w:tc>
        <w:tc>
          <w:tcPr>
            <w:tcW w:w="626" w:type="pct"/>
            <w:vAlign w:val="center"/>
          </w:tcPr>
          <w:p w14:paraId="6BD34583"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2.6</w:t>
            </w:r>
          </w:p>
        </w:tc>
        <w:tc>
          <w:tcPr>
            <w:tcW w:w="626" w:type="pct"/>
            <w:vAlign w:val="center"/>
          </w:tcPr>
          <w:p w14:paraId="231EB5F1"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4</w:t>
            </w:r>
          </w:p>
        </w:tc>
        <w:tc>
          <w:tcPr>
            <w:tcW w:w="626" w:type="pct"/>
            <w:vAlign w:val="center"/>
          </w:tcPr>
          <w:p w14:paraId="6C36A20F"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r>
              <w:rPr>
                <w:rFonts w:ascii="Calibri" w:hAnsi="Calibri"/>
                <w:color w:val="auto"/>
                <w:szCs w:val="21"/>
              </w:rPr>
              <w:t>.65</w:t>
            </w:r>
          </w:p>
        </w:tc>
        <w:tc>
          <w:tcPr>
            <w:tcW w:w="626" w:type="pct"/>
            <w:vAlign w:val="center"/>
          </w:tcPr>
          <w:p w14:paraId="06F40C8B"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5B91E3F8"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296FFE27" w14:textId="77777777" w:rsidTr="00A94556">
        <w:trPr>
          <w:trHeight w:val="340"/>
        </w:trPr>
        <w:tc>
          <w:tcPr>
            <w:tcW w:w="645" w:type="pct"/>
            <w:vMerge/>
            <w:vAlign w:val="center"/>
          </w:tcPr>
          <w:p w14:paraId="64766060" w14:textId="77777777" w:rsidR="006D1907" w:rsidRPr="004E57A8" w:rsidRDefault="006D1907" w:rsidP="00A94556">
            <w:pPr>
              <w:jc w:val="center"/>
              <w:rPr>
                <w:rFonts w:ascii="Calibri" w:hAnsi="Calibri"/>
                <w:szCs w:val="21"/>
              </w:rPr>
            </w:pPr>
          </w:p>
        </w:tc>
        <w:tc>
          <w:tcPr>
            <w:tcW w:w="1225" w:type="pct"/>
            <w:vAlign w:val="center"/>
          </w:tcPr>
          <w:p w14:paraId="2C5C3777" w14:textId="77777777" w:rsidR="006D1907" w:rsidRPr="004E57A8" w:rsidRDefault="006D1907" w:rsidP="00A94556">
            <w:pPr>
              <w:pStyle w:val="a1"/>
              <w:ind w:firstLine="0"/>
              <w:jc w:val="center"/>
              <w:rPr>
                <w:rFonts w:ascii="Calibri" w:hAnsi="Calibri"/>
                <w:bCs/>
                <w:szCs w:val="21"/>
              </w:rPr>
            </w:pPr>
            <w:r w:rsidRPr="00A964FF">
              <w:rPr>
                <w:rFonts w:ascii="Calibri" w:hAnsi="Calibri"/>
                <w:color w:val="auto"/>
                <w:szCs w:val="21"/>
              </w:rPr>
              <w:t>氟化物</w:t>
            </w:r>
          </w:p>
        </w:tc>
        <w:tc>
          <w:tcPr>
            <w:tcW w:w="626" w:type="pct"/>
            <w:vAlign w:val="center"/>
          </w:tcPr>
          <w:p w14:paraId="68C89BFB"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0.509</w:t>
            </w:r>
          </w:p>
        </w:tc>
        <w:tc>
          <w:tcPr>
            <w:tcW w:w="626" w:type="pct"/>
            <w:vAlign w:val="center"/>
          </w:tcPr>
          <w:p w14:paraId="7314DE85" w14:textId="77777777" w:rsidR="006D1907" w:rsidRPr="004E57A8" w:rsidRDefault="006D1907" w:rsidP="00A94556">
            <w:pPr>
              <w:jc w:val="center"/>
              <w:rPr>
                <w:rFonts w:ascii="Calibri" w:hAnsi="Calibri"/>
                <w:szCs w:val="21"/>
              </w:rPr>
            </w:pPr>
            <w:r>
              <w:rPr>
                <w:rFonts w:ascii="Calibri" w:hAnsi="Calibri" w:hint="eastAsia"/>
                <w:szCs w:val="21"/>
              </w:rPr>
              <w:t>1.0</w:t>
            </w:r>
          </w:p>
        </w:tc>
        <w:tc>
          <w:tcPr>
            <w:tcW w:w="626" w:type="pct"/>
            <w:vAlign w:val="center"/>
          </w:tcPr>
          <w:p w14:paraId="02A99B91"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r>
              <w:rPr>
                <w:rFonts w:ascii="Calibri" w:hAnsi="Calibri"/>
                <w:szCs w:val="21"/>
              </w:rPr>
              <w:t>.509</w:t>
            </w:r>
          </w:p>
        </w:tc>
        <w:tc>
          <w:tcPr>
            <w:tcW w:w="626" w:type="pct"/>
            <w:vAlign w:val="center"/>
          </w:tcPr>
          <w:p w14:paraId="3FC1B7E8"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05B91BE6"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7C5BAD5B" w14:textId="77777777" w:rsidTr="00A94556">
        <w:trPr>
          <w:trHeight w:val="340"/>
        </w:trPr>
        <w:tc>
          <w:tcPr>
            <w:tcW w:w="645" w:type="pct"/>
            <w:vMerge/>
            <w:vAlign w:val="center"/>
          </w:tcPr>
          <w:p w14:paraId="4875EF77" w14:textId="77777777" w:rsidR="006D1907" w:rsidRPr="004E57A8" w:rsidRDefault="006D1907" w:rsidP="00A94556">
            <w:pPr>
              <w:jc w:val="center"/>
              <w:rPr>
                <w:rFonts w:ascii="Calibri" w:hAnsi="Calibri"/>
                <w:szCs w:val="21"/>
              </w:rPr>
            </w:pPr>
          </w:p>
        </w:tc>
        <w:tc>
          <w:tcPr>
            <w:tcW w:w="1225" w:type="pct"/>
            <w:vAlign w:val="center"/>
          </w:tcPr>
          <w:p w14:paraId="6F708524" w14:textId="77777777" w:rsidR="006D1907" w:rsidRPr="004E57A8" w:rsidRDefault="006D1907" w:rsidP="00A94556">
            <w:pPr>
              <w:pStyle w:val="a1"/>
              <w:ind w:firstLine="0"/>
              <w:jc w:val="center"/>
              <w:rPr>
                <w:rFonts w:ascii="Calibri" w:hAnsi="Calibri"/>
                <w:bCs/>
                <w:szCs w:val="21"/>
              </w:rPr>
            </w:pPr>
            <w:r w:rsidRPr="00A964FF">
              <w:rPr>
                <w:rFonts w:ascii="Calibri" w:hAnsi="Calibri"/>
                <w:color w:val="auto"/>
                <w:szCs w:val="21"/>
              </w:rPr>
              <w:t>阴离子表面活性剂</w:t>
            </w:r>
          </w:p>
        </w:tc>
        <w:tc>
          <w:tcPr>
            <w:tcW w:w="626" w:type="pct"/>
            <w:vAlign w:val="center"/>
          </w:tcPr>
          <w:p w14:paraId="4AB098E9" w14:textId="77777777" w:rsidR="006D1907" w:rsidRPr="004E57A8" w:rsidRDefault="006D1907" w:rsidP="00A94556">
            <w:pPr>
              <w:jc w:val="center"/>
              <w:rPr>
                <w:rFonts w:ascii="Calibri" w:hAnsi="Calibri"/>
                <w:szCs w:val="21"/>
              </w:rPr>
            </w:pPr>
            <w:r>
              <w:rPr>
                <w:rFonts w:ascii="Calibri" w:hAnsi="Calibri" w:hint="eastAsia"/>
                <w:szCs w:val="21"/>
              </w:rPr>
              <w:t>0.03</w:t>
            </w:r>
          </w:p>
        </w:tc>
        <w:tc>
          <w:tcPr>
            <w:tcW w:w="626" w:type="pct"/>
            <w:vAlign w:val="center"/>
          </w:tcPr>
          <w:p w14:paraId="73E6EC99" w14:textId="77777777" w:rsidR="006D1907" w:rsidRPr="004E57A8" w:rsidRDefault="006D1907" w:rsidP="00A94556">
            <w:pPr>
              <w:jc w:val="center"/>
              <w:rPr>
                <w:rFonts w:ascii="Calibri" w:hAnsi="Calibri"/>
                <w:szCs w:val="21"/>
              </w:rPr>
            </w:pPr>
            <w:r>
              <w:rPr>
                <w:rFonts w:ascii="Calibri" w:hAnsi="Calibri" w:hint="eastAsia"/>
                <w:szCs w:val="21"/>
              </w:rPr>
              <w:t>0.2</w:t>
            </w:r>
          </w:p>
        </w:tc>
        <w:tc>
          <w:tcPr>
            <w:tcW w:w="626" w:type="pct"/>
            <w:vAlign w:val="center"/>
          </w:tcPr>
          <w:p w14:paraId="7D0F8E22" w14:textId="77777777" w:rsidR="006D1907" w:rsidRPr="004E57A8" w:rsidRDefault="006D1907" w:rsidP="00A94556">
            <w:pPr>
              <w:jc w:val="center"/>
              <w:rPr>
                <w:rFonts w:ascii="Calibri" w:hAnsi="Calibri"/>
                <w:szCs w:val="21"/>
              </w:rPr>
            </w:pPr>
            <w:r>
              <w:rPr>
                <w:rFonts w:ascii="Calibri" w:hAnsi="Calibri" w:hint="eastAsia"/>
                <w:szCs w:val="21"/>
              </w:rPr>
              <w:t>0</w:t>
            </w:r>
            <w:r>
              <w:rPr>
                <w:rFonts w:ascii="Calibri" w:hAnsi="Calibri"/>
                <w:szCs w:val="21"/>
              </w:rPr>
              <w:t>.15</w:t>
            </w:r>
          </w:p>
        </w:tc>
        <w:tc>
          <w:tcPr>
            <w:tcW w:w="626" w:type="pct"/>
            <w:vAlign w:val="center"/>
          </w:tcPr>
          <w:p w14:paraId="58CCA590"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3DF85EDA"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7AE8F944" w14:textId="77777777" w:rsidTr="00A94556">
        <w:trPr>
          <w:trHeight w:val="340"/>
        </w:trPr>
        <w:tc>
          <w:tcPr>
            <w:tcW w:w="645" w:type="pct"/>
            <w:vMerge/>
            <w:vAlign w:val="center"/>
          </w:tcPr>
          <w:p w14:paraId="641665EE" w14:textId="77777777" w:rsidR="006D1907" w:rsidRPr="004E57A8" w:rsidRDefault="006D1907" w:rsidP="00A94556">
            <w:pPr>
              <w:jc w:val="center"/>
              <w:rPr>
                <w:rFonts w:ascii="Calibri" w:hAnsi="Calibri"/>
                <w:szCs w:val="21"/>
              </w:rPr>
            </w:pPr>
          </w:p>
        </w:tc>
        <w:tc>
          <w:tcPr>
            <w:tcW w:w="1225" w:type="pct"/>
            <w:vAlign w:val="center"/>
          </w:tcPr>
          <w:p w14:paraId="4A514EA0" w14:textId="77777777" w:rsidR="006D1907" w:rsidRPr="004E57A8" w:rsidRDefault="006D1907" w:rsidP="00A94556">
            <w:pPr>
              <w:pStyle w:val="a1"/>
              <w:tabs>
                <w:tab w:val="left" w:pos="7560"/>
              </w:tabs>
              <w:ind w:firstLine="0"/>
              <w:jc w:val="center"/>
              <w:rPr>
                <w:rFonts w:ascii="Calibri" w:hAnsi="Calibri"/>
                <w:bCs/>
                <w:szCs w:val="21"/>
              </w:rPr>
            </w:pPr>
            <w:r w:rsidRPr="00A964FF">
              <w:rPr>
                <w:rFonts w:ascii="Calibri" w:hAnsi="Calibri"/>
                <w:color w:val="auto"/>
                <w:szCs w:val="21"/>
              </w:rPr>
              <w:t>高锰酸盐指数</w:t>
            </w:r>
          </w:p>
        </w:tc>
        <w:tc>
          <w:tcPr>
            <w:tcW w:w="626" w:type="pct"/>
            <w:vAlign w:val="center"/>
          </w:tcPr>
          <w:p w14:paraId="2C4230EF"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5</w:t>
            </w:r>
            <w:r>
              <w:rPr>
                <w:rFonts w:ascii="Calibri" w:hAnsi="Calibri"/>
                <w:szCs w:val="21"/>
              </w:rPr>
              <w:t>.0</w:t>
            </w:r>
          </w:p>
        </w:tc>
        <w:tc>
          <w:tcPr>
            <w:tcW w:w="626" w:type="pct"/>
            <w:vAlign w:val="center"/>
          </w:tcPr>
          <w:p w14:paraId="025C0E61" w14:textId="77777777" w:rsidR="006D1907" w:rsidRPr="004E57A8" w:rsidRDefault="006D1907" w:rsidP="00A94556">
            <w:pPr>
              <w:jc w:val="center"/>
              <w:rPr>
                <w:rFonts w:ascii="Calibri" w:hAnsi="Calibri"/>
                <w:szCs w:val="21"/>
              </w:rPr>
            </w:pPr>
            <w:r>
              <w:rPr>
                <w:rFonts w:ascii="Calibri" w:hAnsi="Calibri" w:hint="eastAsia"/>
                <w:szCs w:val="21"/>
              </w:rPr>
              <w:t>6</w:t>
            </w:r>
          </w:p>
        </w:tc>
        <w:tc>
          <w:tcPr>
            <w:tcW w:w="626" w:type="pct"/>
            <w:vAlign w:val="center"/>
          </w:tcPr>
          <w:p w14:paraId="20A052A4"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r>
              <w:rPr>
                <w:rFonts w:ascii="Calibri" w:hAnsi="Calibri"/>
                <w:szCs w:val="21"/>
              </w:rPr>
              <w:t>.83</w:t>
            </w:r>
          </w:p>
        </w:tc>
        <w:tc>
          <w:tcPr>
            <w:tcW w:w="626" w:type="pct"/>
            <w:vAlign w:val="center"/>
          </w:tcPr>
          <w:p w14:paraId="418F2849"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2C0946AC"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23AA5197" w14:textId="77777777" w:rsidTr="00A94556">
        <w:trPr>
          <w:trHeight w:val="340"/>
        </w:trPr>
        <w:tc>
          <w:tcPr>
            <w:tcW w:w="645" w:type="pct"/>
            <w:vMerge/>
            <w:vAlign w:val="center"/>
          </w:tcPr>
          <w:p w14:paraId="56AF9C2A" w14:textId="77777777" w:rsidR="006D1907" w:rsidRPr="004E57A8" w:rsidRDefault="006D1907" w:rsidP="00A94556">
            <w:pPr>
              <w:jc w:val="center"/>
              <w:rPr>
                <w:rFonts w:ascii="Calibri" w:hAnsi="Calibri"/>
                <w:szCs w:val="21"/>
              </w:rPr>
            </w:pPr>
          </w:p>
        </w:tc>
        <w:tc>
          <w:tcPr>
            <w:tcW w:w="1225" w:type="pct"/>
            <w:vAlign w:val="center"/>
          </w:tcPr>
          <w:p w14:paraId="2A06D7D8" w14:textId="77777777" w:rsidR="006D1907" w:rsidRPr="004E57A8" w:rsidRDefault="006D1907" w:rsidP="00A94556">
            <w:pPr>
              <w:pStyle w:val="a1"/>
              <w:tabs>
                <w:tab w:val="left" w:pos="7560"/>
              </w:tabs>
              <w:ind w:firstLine="0"/>
              <w:jc w:val="center"/>
              <w:rPr>
                <w:rFonts w:ascii="Calibri" w:hAnsi="Calibri"/>
                <w:bCs/>
                <w:szCs w:val="21"/>
              </w:rPr>
            </w:pPr>
            <w:r>
              <w:rPr>
                <w:rFonts w:ascii="Calibri" w:hAnsi="Calibri" w:hint="eastAsia"/>
                <w:bCs/>
                <w:szCs w:val="21"/>
              </w:rPr>
              <w:t>氨氮</w:t>
            </w:r>
          </w:p>
        </w:tc>
        <w:tc>
          <w:tcPr>
            <w:tcW w:w="626" w:type="pct"/>
            <w:vAlign w:val="center"/>
          </w:tcPr>
          <w:p w14:paraId="6393321D" w14:textId="77777777" w:rsidR="006D1907" w:rsidRPr="004E57A8" w:rsidRDefault="006D1907" w:rsidP="00A94556">
            <w:pPr>
              <w:jc w:val="center"/>
              <w:rPr>
                <w:rFonts w:ascii="Calibri" w:hAnsi="Calibri"/>
                <w:szCs w:val="21"/>
              </w:rPr>
            </w:pPr>
            <w:r>
              <w:rPr>
                <w:rFonts w:ascii="Calibri" w:hAnsi="Calibri" w:hint="eastAsia"/>
                <w:szCs w:val="21"/>
              </w:rPr>
              <w:t>0.13</w:t>
            </w:r>
          </w:p>
        </w:tc>
        <w:tc>
          <w:tcPr>
            <w:tcW w:w="626" w:type="pct"/>
            <w:vAlign w:val="center"/>
          </w:tcPr>
          <w:p w14:paraId="20F668AA" w14:textId="77777777" w:rsidR="006D1907" w:rsidRPr="004E57A8" w:rsidRDefault="006D1907" w:rsidP="00A94556">
            <w:pPr>
              <w:jc w:val="center"/>
              <w:rPr>
                <w:rFonts w:ascii="Calibri" w:hAnsi="Calibri"/>
                <w:szCs w:val="21"/>
              </w:rPr>
            </w:pPr>
            <w:r>
              <w:rPr>
                <w:rFonts w:ascii="Calibri" w:hAnsi="Calibri" w:hint="eastAsia"/>
                <w:szCs w:val="21"/>
              </w:rPr>
              <w:t>1.0</w:t>
            </w:r>
          </w:p>
        </w:tc>
        <w:tc>
          <w:tcPr>
            <w:tcW w:w="626" w:type="pct"/>
            <w:vAlign w:val="center"/>
          </w:tcPr>
          <w:p w14:paraId="281A0B57" w14:textId="77777777" w:rsidR="006D1907" w:rsidRPr="004E57A8" w:rsidRDefault="006D1907" w:rsidP="00A94556">
            <w:pPr>
              <w:jc w:val="center"/>
              <w:rPr>
                <w:rFonts w:ascii="Calibri" w:hAnsi="Calibri"/>
                <w:szCs w:val="21"/>
              </w:rPr>
            </w:pPr>
            <w:r>
              <w:rPr>
                <w:rFonts w:ascii="Calibri" w:hAnsi="Calibri" w:hint="eastAsia"/>
                <w:szCs w:val="21"/>
              </w:rPr>
              <w:t>0</w:t>
            </w:r>
            <w:r>
              <w:rPr>
                <w:rFonts w:ascii="Calibri" w:hAnsi="Calibri"/>
                <w:szCs w:val="21"/>
              </w:rPr>
              <w:t>.13</w:t>
            </w:r>
          </w:p>
        </w:tc>
        <w:tc>
          <w:tcPr>
            <w:tcW w:w="626" w:type="pct"/>
            <w:vAlign w:val="center"/>
          </w:tcPr>
          <w:p w14:paraId="0A31CA52"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332B6ABB"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8256D9F" w14:textId="77777777" w:rsidTr="00A94556">
        <w:trPr>
          <w:trHeight w:val="340"/>
        </w:trPr>
        <w:tc>
          <w:tcPr>
            <w:tcW w:w="645" w:type="pct"/>
            <w:vMerge/>
            <w:vAlign w:val="center"/>
          </w:tcPr>
          <w:p w14:paraId="5808D689" w14:textId="77777777" w:rsidR="006D1907" w:rsidRPr="004E57A8" w:rsidRDefault="006D1907" w:rsidP="00A94556">
            <w:pPr>
              <w:jc w:val="center"/>
              <w:rPr>
                <w:rFonts w:ascii="Calibri" w:hAnsi="Calibri"/>
                <w:szCs w:val="21"/>
              </w:rPr>
            </w:pPr>
          </w:p>
        </w:tc>
        <w:tc>
          <w:tcPr>
            <w:tcW w:w="1225" w:type="pct"/>
            <w:vAlign w:val="center"/>
          </w:tcPr>
          <w:p w14:paraId="661B26F3" w14:textId="77777777" w:rsidR="006D1907" w:rsidRPr="004E57A8" w:rsidRDefault="006D1907" w:rsidP="00A94556">
            <w:pPr>
              <w:pStyle w:val="a1"/>
              <w:tabs>
                <w:tab w:val="left" w:pos="7560"/>
              </w:tabs>
              <w:ind w:firstLine="0"/>
              <w:jc w:val="center"/>
              <w:rPr>
                <w:rFonts w:ascii="Calibri" w:hAnsi="Calibri"/>
                <w:bCs/>
                <w:szCs w:val="21"/>
              </w:rPr>
            </w:pPr>
            <w:r>
              <w:rPr>
                <w:rFonts w:ascii="Calibri" w:hAnsi="Calibri" w:hint="eastAsia"/>
                <w:bCs/>
                <w:szCs w:val="21"/>
              </w:rPr>
              <w:t>总氮</w:t>
            </w:r>
          </w:p>
        </w:tc>
        <w:tc>
          <w:tcPr>
            <w:tcW w:w="626" w:type="pct"/>
            <w:vAlign w:val="center"/>
          </w:tcPr>
          <w:p w14:paraId="3AB228AC"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3.84</w:t>
            </w:r>
          </w:p>
        </w:tc>
        <w:tc>
          <w:tcPr>
            <w:tcW w:w="626" w:type="pct"/>
            <w:vAlign w:val="center"/>
          </w:tcPr>
          <w:p w14:paraId="5FCF13A4" w14:textId="77777777" w:rsidR="006D1907" w:rsidRPr="004E57A8" w:rsidRDefault="006D1907" w:rsidP="00A94556">
            <w:pPr>
              <w:jc w:val="center"/>
              <w:rPr>
                <w:rFonts w:ascii="Calibri" w:hAnsi="Calibri"/>
                <w:szCs w:val="21"/>
              </w:rPr>
            </w:pPr>
            <w:r>
              <w:rPr>
                <w:rFonts w:ascii="Calibri" w:hAnsi="Calibri" w:hint="eastAsia"/>
                <w:szCs w:val="21"/>
              </w:rPr>
              <w:t>/</w:t>
            </w:r>
          </w:p>
        </w:tc>
        <w:tc>
          <w:tcPr>
            <w:tcW w:w="626" w:type="pct"/>
            <w:vAlign w:val="center"/>
          </w:tcPr>
          <w:p w14:paraId="26316D85"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w:t>
            </w:r>
          </w:p>
        </w:tc>
        <w:tc>
          <w:tcPr>
            <w:tcW w:w="626" w:type="pct"/>
            <w:vAlign w:val="center"/>
          </w:tcPr>
          <w:p w14:paraId="51435338" w14:textId="77777777" w:rsidR="006D1907" w:rsidRPr="004E57A8" w:rsidRDefault="006D1907" w:rsidP="00A94556">
            <w:pPr>
              <w:pStyle w:val="a1"/>
              <w:ind w:firstLine="0"/>
              <w:jc w:val="center"/>
              <w:rPr>
                <w:rFonts w:ascii="Calibri" w:hAnsi="Calibri"/>
                <w:szCs w:val="21"/>
              </w:rPr>
            </w:pPr>
            <w:r>
              <w:rPr>
                <w:rFonts w:ascii="Calibri" w:hAnsi="Calibri"/>
                <w:szCs w:val="21"/>
              </w:rPr>
              <w:t>/</w:t>
            </w:r>
          </w:p>
        </w:tc>
        <w:tc>
          <w:tcPr>
            <w:tcW w:w="626" w:type="pct"/>
            <w:vAlign w:val="center"/>
          </w:tcPr>
          <w:p w14:paraId="1EDC6543" w14:textId="77777777" w:rsidR="006D1907" w:rsidRPr="004E57A8" w:rsidRDefault="006D1907" w:rsidP="00A94556">
            <w:pPr>
              <w:pStyle w:val="a1"/>
              <w:ind w:firstLine="0"/>
              <w:jc w:val="center"/>
              <w:rPr>
                <w:rFonts w:ascii="Calibri" w:hAnsi="Calibri"/>
                <w:szCs w:val="21"/>
              </w:rPr>
            </w:pPr>
            <w:r>
              <w:rPr>
                <w:rFonts w:ascii="Calibri" w:hAnsi="Calibri"/>
                <w:szCs w:val="21"/>
              </w:rPr>
              <w:t>/</w:t>
            </w:r>
          </w:p>
        </w:tc>
      </w:tr>
      <w:tr w:rsidR="006D1907" w:rsidRPr="004E57A8" w14:paraId="72F07119" w14:textId="77777777" w:rsidTr="00A94556">
        <w:trPr>
          <w:trHeight w:val="340"/>
        </w:trPr>
        <w:tc>
          <w:tcPr>
            <w:tcW w:w="645" w:type="pct"/>
            <w:vMerge/>
            <w:vAlign w:val="center"/>
          </w:tcPr>
          <w:p w14:paraId="1EEB1BAB" w14:textId="77777777" w:rsidR="006D1907" w:rsidRPr="004E57A8" w:rsidRDefault="006D1907" w:rsidP="00A94556">
            <w:pPr>
              <w:jc w:val="center"/>
              <w:rPr>
                <w:rFonts w:ascii="Calibri" w:hAnsi="Calibri"/>
                <w:szCs w:val="21"/>
              </w:rPr>
            </w:pPr>
          </w:p>
        </w:tc>
        <w:tc>
          <w:tcPr>
            <w:tcW w:w="1225" w:type="pct"/>
            <w:vAlign w:val="center"/>
          </w:tcPr>
          <w:p w14:paraId="3C913DB9"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铜</w:t>
            </w:r>
          </w:p>
        </w:tc>
        <w:tc>
          <w:tcPr>
            <w:tcW w:w="626" w:type="pct"/>
            <w:vAlign w:val="center"/>
          </w:tcPr>
          <w:p w14:paraId="2AF9AA71" w14:textId="77777777" w:rsidR="006D1907" w:rsidRPr="004E57A8" w:rsidRDefault="006D1907" w:rsidP="00A94556">
            <w:pPr>
              <w:jc w:val="center"/>
              <w:rPr>
                <w:rFonts w:ascii="Calibri" w:hAnsi="Calibri"/>
                <w:szCs w:val="21"/>
              </w:rPr>
            </w:pPr>
            <w:r>
              <w:rPr>
                <w:rFonts w:ascii="Calibri" w:hAnsi="Calibri" w:hint="eastAsia"/>
                <w:szCs w:val="21"/>
              </w:rPr>
              <w:t>0.00</w:t>
            </w:r>
            <w:r>
              <w:rPr>
                <w:rFonts w:ascii="Calibri" w:hAnsi="Calibri"/>
                <w:szCs w:val="21"/>
              </w:rPr>
              <w:t>3</w:t>
            </w:r>
          </w:p>
        </w:tc>
        <w:tc>
          <w:tcPr>
            <w:tcW w:w="626" w:type="pct"/>
            <w:vAlign w:val="center"/>
          </w:tcPr>
          <w:p w14:paraId="470C686C" w14:textId="77777777" w:rsidR="006D1907" w:rsidRPr="004E57A8" w:rsidRDefault="006D1907" w:rsidP="00A94556">
            <w:pPr>
              <w:jc w:val="center"/>
              <w:rPr>
                <w:rFonts w:ascii="Calibri" w:hAnsi="Calibri"/>
                <w:szCs w:val="21"/>
              </w:rPr>
            </w:pPr>
            <w:r>
              <w:rPr>
                <w:rFonts w:ascii="Calibri" w:hAnsi="Calibri" w:hint="eastAsia"/>
                <w:szCs w:val="21"/>
              </w:rPr>
              <w:t>1.0</w:t>
            </w:r>
          </w:p>
        </w:tc>
        <w:tc>
          <w:tcPr>
            <w:tcW w:w="626" w:type="pct"/>
            <w:vAlign w:val="center"/>
          </w:tcPr>
          <w:p w14:paraId="420ED9FD" w14:textId="77777777" w:rsidR="006D1907" w:rsidRPr="004E57A8" w:rsidRDefault="006D1907" w:rsidP="00A94556">
            <w:pPr>
              <w:jc w:val="center"/>
              <w:rPr>
                <w:rFonts w:ascii="Calibri" w:hAnsi="Calibri"/>
                <w:szCs w:val="21"/>
              </w:rPr>
            </w:pPr>
            <w:r>
              <w:rPr>
                <w:rFonts w:ascii="Calibri" w:hAnsi="Calibri" w:hint="eastAsia"/>
                <w:szCs w:val="21"/>
              </w:rPr>
              <w:t>0</w:t>
            </w:r>
            <w:r>
              <w:rPr>
                <w:rFonts w:ascii="Calibri" w:hAnsi="Calibri"/>
                <w:szCs w:val="21"/>
              </w:rPr>
              <w:t>.003</w:t>
            </w:r>
          </w:p>
        </w:tc>
        <w:tc>
          <w:tcPr>
            <w:tcW w:w="626" w:type="pct"/>
            <w:vAlign w:val="center"/>
          </w:tcPr>
          <w:p w14:paraId="4ECDA82F"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42B9F4C8"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57B1FFE6" w14:textId="77777777" w:rsidTr="00A94556">
        <w:trPr>
          <w:trHeight w:val="340"/>
        </w:trPr>
        <w:tc>
          <w:tcPr>
            <w:tcW w:w="645" w:type="pct"/>
            <w:vMerge/>
            <w:vAlign w:val="center"/>
          </w:tcPr>
          <w:p w14:paraId="0D2FC120" w14:textId="77777777" w:rsidR="006D1907" w:rsidRPr="004E57A8" w:rsidRDefault="006D1907" w:rsidP="00A94556">
            <w:pPr>
              <w:jc w:val="center"/>
              <w:rPr>
                <w:rFonts w:ascii="Calibri" w:hAnsi="Calibri"/>
                <w:szCs w:val="21"/>
              </w:rPr>
            </w:pPr>
          </w:p>
        </w:tc>
        <w:tc>
          <w:tcPr>
            <w:tcW w:w="1225" w:type="pct"/>
            <w:vAlign w:val="center"/>
          </w:tcPr>
          <w:p w14:paraId="7C10919C"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石油类</w:t>
            </w:r>
          </w:p>
        </w:tc>
        <w:tc>
          <w:tcPr>
            <w:tcW w:w="626" w:type="pct"/>
            <w:vAlign w:val="center"/>
          </w:tcPr>
          <w:p w14:paraId="22AEF53A"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0.005</w:t>
            </w:r>
          </w:p>
        </w:tc>
        <w:tc>
          <w:tcPr>
            <w:tcW w:w="626" w:type="pct"/>
            <w:vAlign w:val="center"/>
          </w:tcPr>
          <w:p w14:paraId="2D0266BF" w14:textId="77777777" w:rsidR="006D1907" w:rsidRPr="004E57A8" w:rsidRDefault="006D1907" w:rsidP="00A94556">
            <w:pPr>
              <w:jc w:val="center"/>
              <w:rPr>
                <w:rFonts w:ascii="Calibri" w:hAnsi="Calibri"/>
                <w:szCs w:val="21"/>
              </w:rPr>
            </w:pPr>
            <w:r>
              <w:rPr>
                <w:rFonts w:ascii="Calibri" w:hAnsi="Calibri" w:hint="eastAsia"/>
                <w:szCs w:val="21"/>
              </w:rPr>
              <w:t>0</w:t>
            </w:r>
            <w:r>
              <w:rPr>
                <w:rFonts w:ascii="Calibri" w:hAnsi="Calibri"/>
                <w:szCs w:val="21"/>
              </w:rPr>
              <w:t>.05</w:t>
            </w:r>
          </w:p>
        </w:tc>
        <w:tc>
          <w:tcPr>
            <w:tcW w:w="626" w:type="pct"/>
            <w:vAlign w:val="center"/>
          </w:tcPr>
          <w:p w14:paraId="502C7B76"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r>
              <w:rPr>
                <w:rFonts w:ascii="Calibri" w:hAnsi="Calibri"/>
                <w:szCs w:val="21"/>
              </w:rPr>
              <w:t>10</w:t>
            </w:r>
          </w:p>
        </w:tc>
        <w:tc>
          <w:tcPr>
            <w:tcW w:w="626" w:type="pct"/>
            <w:vAlign w:val="center"/>
          </w:tcPr>
          <w:p w14:paraId="5589420C"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0DB79A9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49F1EDEC" w14:textId="77777777" w:rsidTr="00A94556">
        <w:trPr>
          <w:trHeight w:val="340"/>
        </w:trPr>
        <w:tc>
          <w:tcPr>
            <w:tcW w:w="645" w:type="pct"/>
            <w:vMerge/>
            <w:vAlign w:val="center"/>
          </w:tcPr>
          <w:p w14:paraId="62B2F61E" w14:textId="77777777" w:rsidR="006D1907" w:rsidRPr="004E57A8" w:rsidRDefault="006D1907" w:rsidP="00A94556">
            <w:pPr>
              <w:jc w:val="center"/>
              <w:rPr>
                <w:rFonts w:ascii="Calibri" w:hAnsi="Calibri"/>
                <w:szCs w:val="21"/>
              </w:rPr>
            </w:pPr>
          </w:p>
        </w:tc>
        <w:tc>
          <w:tcPr>
            <w:tcW w:w="1225" w:type="pct"/>
            <w:vAlign w:val="center"/>
          </w:tcPr>
          <w:p w14:paraId="0698B565"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锌</w:t>
            </w:r>
          </w:p>
        </w:tc>
        <w:tc>
          <w:tcPr>
            <w:tcW w:w="626" w:type="pct"/>
            <w:vAlign w:val="center"/>
          </w:tcPr>
          <w:p w14:paraId="2B7384A9"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0.004</w:t>
            </w:r>
          </w:p>
        </w:tc>
        <w:tc>
          <w:tcPr>
            <w:tcW w:w="626" w:type="pct"/>
            <w:vAlign w:val="center"/>
          </w:tcPr>
          <w:p w14:paraId="09B51E3D" w14:textId="77777777" w:rsidR="006D1907" w:rsidRPr="004E57A8" w:rsidRDefault="006D1907" w:rsidP="00A94556">
            <w:pPr>
              <w:jc w:val="center"/>
              <w:rPr>
                <w:rFonts w:ascii="Calibri" w:hAnsi="Calibri"/>
                <w:szCs w:val="21"/>
              </w:rPr>
            </w:pPr>
            <w:r>
              <w:rPr>
                <w:rFonts w:ascii="Calibri" w:hAnsi="Calibri" w:hint="eastAsia"/>
                <w:szCs w:val="21"/>
              </w:rPr>
              <w:t>1.0</w:t>
            </w:r>
          </w:p>
        </w:tc>
        <w:tc>
          <w:tcPr>
            <w:tcW w:w="626" w:type="pct"/>
            <w:vAlign w:val="center"/>
          </w:tcPr>
          <w:p w14:paraId="0455D1A5"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r>
              <w:rPr>
                <w:rFonts w:ascii="Calibri" w:hAnsi="Calibri"/>
                <w:szCs w:val="21"/>
              </w:rPr>
              <w:t>.004</w:t>
            </w:r>
          </w:p>
        </w:tc>
        <w:tc>
          <w:tcPr>
            <w:tcW w:w="626" w:type="pct"/>
            <w:vAlign w:val="center"/>
          </w:tcPr>
          <w:p w14:paraId="6B58655B"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393539A9"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4984B49F" w14:textId="77777777" w:rsidTr="00A94556">
        <w:trPr>
          <w:trHeight w:val="340"/>
        </w:trPr>
        <w:tc>
          <w:tcPr>
            <w:tcW w:w="645" w:type="pct"/>
            <w:vMerge/>
            <w:vAlign w:val="center"/>
          </w:tcPr>
          <w:p w14:paraId="6141554B" w14:textId="77777777" w:rsidR="006D1907" w:rsidRPr="004E57A8" w:rsidRDefault="006D1907" w:rsidP="00A94556">
            <w:pPr>
              <w:jc w:val="center"/>
              <w:rPr>
                <w:rFonts w:ascii="Calibri" w:hAnsi="Calibri"/>
                <w:szCs w:val="21"/>
              </w:rPr>
            </w:pPr>
          </w:p>
        </w:tc>
        <w:tc>
          <w:tcPr>
            <w:tcW w:w="1225" w:type="pct"/>
            <w:vAlign w:val="center"/>
          </w:tcPr>
          <w:p w14:paraId="227200EE"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硒</w:t>
            </w:r>
          </w:p>
        </w:tc>
        <w:tc>
          <w:tcPr>
            <w:tcW w:w="626" w:type="pct"/>
            <w:vAlign w:val="center"/>
          </w:tcPr>
          <w:p w14:paraId="0A9A6668"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0.0003</w:t>
            </w:r>
          </w:p>
        </w:tc>
        <w:tc>
          <w:tcPr>
            <w:tcW w:w="626" w:type="pct"/>
            <w:vAlign w:val="center"/>
          </w:tcPr>
          <w:p w14:paraId="6057633E"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0.01</w:t>
            </w:r>
          </w:p>
        </w:tc>
        <w:tc>
          <w:tcPr>
            <w:tcW w:w="626" w:type="pct"/>
            <w:vAlign w:val="center"/>
          </w:tcPr>
          <w:p w14:paraId="13873BF6"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w:t>
            </w:r>
            <w:r>
              <w:rPr>
                <w:rFonts w:ascii="Calibri" w:hAnsi="Calibri"/>
                <w:color w:val="auto"/>
                <w:szCs w:val="21"/>
              </w:rPr>
              <w:t>3</w:t>
            </w:r>
          </w:p>
        </w:tc>
        <w:tc>
          <w:tcPr>
            <w:tcW w:w="626" w:type="pct"/>
            <w:vAlign w:val="center"/>
          </w:tcPr>
          <w:p w14:paraId="4613F833"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0725A056"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3B5E1216" w14:textId="77777777" w:rsidTr="00A94556">
        <w:trPr>
          <w:trHeight w:val="340"/>
        </w:trPr>
        <w:tc>
          <w:tcPr>
            <w:tcW w:w="645" w:type="pct"/>
            <w:vMerge/>
            <w:vAlign w:val="center"/>
          </w:tcPr>
          <w:p w14:paraId="03120624" w14:textId="77777777" w:rsidR="006D1907" w:rsidRPr="004E57A8" w:rsidRDefault="006D1907" w:rsidP="00A94556">
            <w:pPr>
              <w:jc w:val="center"/>
              <w:rPr>
                <w:rFonts w:ascii="Calibri" w:hAnsi="Calibri"/>
                <w:szCs w:val="21"/>
              </w:rPr>
            </w:pPr>
          </w:p>
        </w:tc>
        <w:tc>
          <w:tcPr>
            <w:tcW w:w="1225" w:type="pct"/>
            <w:vAlign w:val="center"/>
          </w:tcPr>
          <w:p w14:paraId="65824667" w14:textId="77777777" w:rsidR="006D1907" w:rsidRPr="004E57A8" w:rsidRDefault="006D1907" w:rsidP="00A94556">
            <w:pPr>
              <w:pStyle w:val="a1"/>
              <w:ind w:firstLine="0"/>
              <w:jc w:val="center"/>
              <w:rPr>
                <w:rFonts w:ascii="Calibri" w:hAnsi="Calibri"/>
                <w:szCs w:val="21"/>
              </w:rPr>
            </w:pPr>
            <w:r w:rsidRPr="00A964FF">
              <w:rPr>
                <w:rFonts w:ascii="Calibri" w:hAnsi="Calibri"/>
                <w:color w:val="auto"/>
                <w:szCs w:val="21"/>
              </w:rPr>
              <w:t>挥发酚</w:t>
            </w:r>
          </w:p>
        </w:tc>
        <w:tc>
          <w:tcPr>
            <w:tcW w:w="626" w:type="pct"/>
            <w:vAlign w:val="center"/>
          </w:tcPr>
          <w:p w14:paraId="51D3C785"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0.0011</w:t>
            </w:r>
          </w:p>
        </w:tc>
        <w:tc>
          <w:tcPr>
            <w:tcW w:w="626" w:type="pct"/>
            <w:vAlign w:val="center"/>
          </w:tcPr>
          <w:p w14:paraId="449A0B96"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0.05</w:t>
            </w:r>
          </w:p>
        </w:tc>
        <w:tc>
          <w:tcPr>
            <w:tcW w:w="626" w:type="pct"/>
            <w:vAlign w:val="center"/>
          </w:tcPr>
          <w:p w14:paraId="64BB6443"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w:t>
            </w:r>
            <w:r>
              <w:rPr>
                <w:rFonts w:ascii="Calibri" w:hAnsi="Calibri"/>
                <w:color w:val="auto"/>
                <w:szCs w:val="21"/>
              </w:rPr>
              <w:t>.022</w:t>
            </w:r>
          </w:p>
        </w:tc>
        <w:tc>
          <w:tcPr>
            <w:tcW w:w="626" w:type="pct"/>
            <w:vAlign w:val="center"/>
          </w:tcPr>
          <w:p w14:paraId="04025854"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690336E6"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7982913A" w14:textId="77777777" w:rsidTr="00A94556">
        <w:trPr>
          <w:trHeight w:val="340"/>
        </w:trPr>
        <w:tc>
          <w:tcPr>
            <w:tcW w:w="645" w:type="pct"/>
            <w:vMerge/>
            <w:vAlign w:val="center"/>
          </w:tcPr>
          <w:p w14:paraId="22E8AB7D" w14:textId="77777777" w:rsidR="006D1907" w:rsidRPr="004E57A8" w:rsidRDefault="006D1907" w:rsidP="00A94556">
            <w:pPr>
              <w:jc w:val="center"/>
              <w:rPr>
                <w:rFonts w:ascii="Calibri" w:hAnsi="Calibri"/>
                <w:szCs w:val="21"/>
              </w:rPr>
            </w:pPr>
          </w:p>
        </w:tc>
        <w:tc>
          <w:tcPr>
            <w:tcW w:w="1225" w:type="pct"/>
            <w:vAlign w:val="center"/>
          </w:tcPr>
          <w:p w14:paraId="5307978D" w14:textId="77777777" w:rsidR="006D1907" w:rsidRPr="004E57A8" w:rsidRDefault="006D1907" w:rsidP="00A94556">
            <w:pPr>
              <w:pStyle w:val="a1"/>
              <w:ind w:firstLine="0"/>
              <w:jc w:val="center"/>
              <w:rPr>
                <w:rFonts w:ascii="Calibri" w:hAnsi="Calibri"/>
                <w:szCs w:val="21"/>
              </w:rPr>
            </w:pPr>
            <w:r w:rsidRPr="00A964FF">
              <w:rPr>
                <w:rFonts w:ascii="Calibri" w:hAnsi="Calibri"/>
                <w:color w:val="auto"/>
                <w:szCs w:val="21"/>
              </w:rPr>
              <w:t>氰化物</w:t>
            </w:r>
          </w:p>
        </w:tc>
        <w:tc>
          <w:tcPr>
            <w:tcW w:w="626" w:type="pct"/>
            <w:vAlign w:val="center"/>
          </w:tcPr>
          <w:p w14:paraId="654DDE74"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0.002</w:t>
            </w:r>
          </w:p>
        </w:tc>
        <w:tc>
          <w:tcPr>
            <w:tcW w:w="626" w:type="pct"/>
            <w:vAlign w:val="center"/>
          </w:tcPr>
          <w:p w14:paraId="775BE6FF" w14:textId="77777777" w:rsidR="006D1907" w:rsidRPr="00855946" w:rsidRDefault="006D1907" w:rsidP="00A94556">
            <w:pPr>
              <w:jc w:val="center"/>
              <w:rPr>
                <w:rFonts w:ascii="Calibri" w:hAnsi="Calibri"/>
                <w:color w:val="auto"/>
                <w:szCs w:val="21"/>
              </w:rPr>
            </w:pPr>
            <w:r>
              <w:rPr>
                <w:rFonts w:ascii="Calibri" w:hAnsi="Calibri"/>
                <w:color w:val="auto"/>
                <w:szCs w:val="21"/>
              </w:rPr>
              <w:t>0.2</w:t>
            </w:r>
          </w:p>
        </w:tc>
        <w:tc>
          <w:tcPr>
            <w:tcW w:w="626" w:type="pct"/>
            <w:vAlign w:val="center"/>
          </w:tcPr>
          <w:p w14:paraId="1BB9C331" w14:textId="77777777" w:rsidR="006D1907" w:rsidRPr="00855946" w:rsidRDefault="006D1907" w:rsidP="00A94556">
            <w:pPr>
              <w:ind w:leftChars="-50" w:left="-105" w:rightChars="-50" w:right="-105"/>
              <w:jc w:val="center"/>
              <w:rPr>
                <w:rFonts w:ascii="Calibri" w:hAnsi="Calibri"/>
                <w:color w:val="auto"/>
                <w:szCs w:val="21"/>
              </w:rPr>
            </w:pPr>
            <w:r>
              <w:rPr>
                <w:rFonts w:ascii="Calibri" w:hAnsi="Calibri" w:hint="eastAsia"/>
                <w:color w:val="auto"/>
                <w:szCs w:val="21"/>
              </w:rPr>
              <w:t>0.01</w:t>
            </w:r>
          </w:p>
        </w:tc>
        <w:tc>
          <w:tcPr>
            <w:tcW w:w="626" w:type="pct"/>
            <w:vAlign w:val="center"/>
          </w:tcPr>
          <w:p w14:paraId="408200B3"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56619AF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587327C2" w14:textId="77777777" w:rsidTr="00A94556">
        <w:trPr>
          <w:trHeight w:val="340"/>
        </w:trPr>
        <w:tc>
          <w:tcPr>
            <w:tcW w:w="645" w:type="pct"/>
            <w:vMerge/>
            <w:vAlign w:val="center"/>
          </w:tcPr>
          <w:p w14:paraId="210A5150" w14:textId="77777777" w:rsidR="006D1907" w:rsidRPr="004E57A8" w:rsidRDefault="006D1907" w:rsidP="00A94556">
            <w:pPr>
              <w:jc w:val="center"/>
              <w:rPr>
                <w:rFonts w:ascii="Calibri" w:hAnsi="Calibri"/>
                <w:szCs w:val="21"/>
              </w:rPr>
            </w:pPr>
          </w:p>
        </w:tc>
        <w:tc>
          <w:tcPr>
            <w:tcW w:w="1225" w:type="pct"/>
            <w:vAlign w:val="center"/>
          </w:tcPr>
          <w:p w14:paraId="23DE2BA0"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砷</w:t>
            </w:r>
          </w:p>
        </w:tc>
        <w:tc>
          <w:tcPr>
            <w:tcW w:w="626" w:type="pct"/>
            <w:vAlign w:val="center"/>
          </w:tcPr>
          <w:p w14:paraId="1D3C707E" w14:textId="77777777" w:rsidR="006D1907" w:rsidRPr="00855946" w:rsidRDefault="006D1907" w:rsidP="00A94556">
            <w:pPr>
              <w:jc w:val="center"/>
              <w:rPr>
                <w:rFonts w:ascii="Calibri" w:hAnsi="Calibri"/>
                <w:color w:val="auto"/>
                <w:szCs w:val="21"/>
              </w:rPr>
            </w:pPr>
            <w:r>
              <w:rPr>
                <w:rFonts w:ascii="Calibri" w:hAnsi="Calibri" w:hint="eastAsia"/>
                <w:color w:val="auto"/>
                <w:szCs w:val="21"/>
              </w:rPr>
              <w:t>0.0009</w:t>
            </w:r>
          </w:p>
        </w:tc>
        <w:tc>
          <w:tcPr>
            <w:tcW w:w="626" w:type="pct"/>
            <w:vAlign w:val="center"/>
          </w:tcPr>
          <w:p w14:paraId="32B463AC" w14:textId="77777777" w:rsidR="006D1907" w:rsidRPr="00855946" w:rsidRDefault="006D1907" w:rsidP="00A94556">
            <w:pPr>
              <w:ind w:leftChars="-50" w:left="-105" w:rightChars="-50" w:right="-105"/>
              <w:jc w:val="center"/>
              <w:rPr>
                <w:rFonts w:ascii="Calibri" w:hAnsi="Calibri"/>
                <w:color w:val="auto"/>
                <w:szCs w:val="21"/>
              </w:rPr>
            </w:pPr>
            <w:r>
              <w:rPr>
                <w:rFonts w:ascii="Calibri" w:hAnsi="Calibri" w:hint="eastAsia"/>
                <w:color w:val="auto"/>
                <w:szCs w:val="21"/>
              </w:rPr>
              <w:t>0.</w:t>
            </w:r>
            <w:r>
              <w:rPr>
                <w:rFonts w:ascii="Calibri" w:hAnsi="Calibri"/>
                <w:color w:val="auto"/>
                <w:szCs w:val="21"/>
              </w:rPr>
              <w:t>05</w:t>
            </w:r>
          </w:p>
        </w:tc>
        <w:tc>
          <w:tcPr>
            <w:tcW w:w="626" w:type="pct"/>
            <w:vAlign w:val="center"/>
          </w:tcPr>
          <w:p w14:paraId="4D60856A"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0.018</w:t>
            </w:r>
          </w:p>
        </w:tc>
        <w:tc>
          <w:tcPr>
            <w:tcW w:w="626" w:type="pct"/>
            <w:vAlign w:val="center"/>
          </w:tcPr>
          <w:p w14:paraId="0AEB1BBD"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7893C82C"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38BA4DD9" w14:textId="77777777" w:rsidTr="00A94556">
        <w:trPr>
          <w:trHeight w:val="340"/>
        </w:trPr>
        <w:tc>
          <w:tcPr>
            <w:tcW w:w="645" w:type="pct"/>
            <w:vMerge/>
            <w:vAlign w:val="center"/>
          </w:tcPr>
          <w:p w14:paraId="54C92D58" w14:textId="77777777" w:rsidR="006D1907" w:rsidRPr="004E57A8" w:rsidRDefault="006D1907" w:rsidP="00A94556">
            <w:pPr>
              <w:jc w:val="center"/>
              <w:rPr>
                <w:rFonts w:ascii="Calibri" w:hAnsi="Calibri"/>
                <w:szCs w:val="21"/>
              </w:rPr>
            </w:pPr>
          </w:p>
        </w:tc>
        <w:tc>
          <w:tcPr>
            <w:tcW w:w="1225" w:type="pct"/>
            <w:vAlign w:val="center"/>
          </w:tcPr>
          <w:p w14:paraId="44DD6A13" w14:textId="77777777" w:rsidR="006D1907" w:rsidRPr="004E57A8" w:rsidRDefault="006D1907" w:rsidP="00A94556">
            <w:pPr>
              <w:pStyle w:val="a1"/>
              <w:ind w:firstLine="0"/>
              <w:jc w:val="center"/>
              <w:rPr>
                <w:rFonts w:ascii="Calibri" w:hAnsi="Calibri"/>
                <w:szCs w:val="21"/>
              </w:rPr>
            </w:pPr>
            <w:r w:rsidRPr="00A964FF">
              <w:rPr>
                <w:rFonts w:ascii="Calibri" w:hAnsi="Calibri"/>
                <w:color w:val="auto"/>
                <w:szCs w:val="21"/>
              </w:rPr>
              <w:t>汞</w:t>
            </w:r>
          </w:p>
        </w:tc>
        <w:tc>
          <w:tcPr>
            <w:tcW w:w="626" w:type="pct"/>
            <w:vAlign w:val="center"/>
          </w:tcPr>
          <w:p w14:paraId="7D3B4453" w14:textId="77777777" w:rsidR="006D1907" w:rsidRPr="00801DE4" w:rsidRDefault="006D1907" w:rsidP="00A94556">
            <w:pPr>
              <w:jc w:val="center"/>
              <w:rPr>
                <w:rFonts w:ascii="Calibri" w:hAnsi="宋体"/>
                <w:color w:val="auto"/>
                <w:szCs w:val="21"/>
              </w:rPr>
            </w:pPr>
            <w:r w:rsidRPr="00801DE4">
              <w:rPr>
                <w:rFonts w:ascii="Calibri" w:hAnsi="宋体"/>
                <w:color w:val="auto"/>
                <w:szCs w:val="21"/>
              </w:rPr>
              <w:t>0.00002</w:t>
            </w:r>
          </w:p>
        </w:tc>
        <w:tc>
          <w:tcPr>
            <w:tcW w:w="626" w:type="pct"/>
            <w:vAlign w:val="center"/>
          </w:tcPr>
          <w:p w14:paraId="65B913CB" w14:textId="77777777" w:rsidR="006D1907" w:rsidRPr="004E57A8" w:rsidRDefault="006D1907" w:rsidP="00A94556">
            <w:pPr>
              <w:jc w:val="center"/>
              <w:rPr>
                <w:rFonts w:ascii="Calibri" w:hAnsi="Calibri"/>
                <w:szCs w:val="21"/>
              </w:rPr>
            </w:pPr>
            <w:r w:rsidRPr="00A964FF">
              <w:rPr>
                <w:rFonts w:ascii="Calibri" w:hAnsi="Calibri"/>
                <w:color w:val="auto"/>
                <w:szCs w:val="21"/>
              </w:rPr>
              <w:t>0.0001</w:t>
            </w:r>
          </w:p>
        </w:tc>
        <w:tc>
          <w:tcPr>
            <w:tcW w:w="626" w:type="pct"/>
            <w:vAlign w:val="center"/>
          </w:tcPr>
          <w:p w14:paraId="08394577"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0.20</w:t>
            </w:r>
          </w:p>
        </w:tc>
        <w:tc>
          <w:tcPr>
            <w:tcW w:w="626" w:type="pct"/>
            <w:vAlign w:val="center"/>
          </w:tcPr>
          <w:p w14:paraId="182A9D3B"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35DEA059"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EE87C5E" w14:textId="77777777" w:rsidTr="00A94556">
        <w:trPr>
          <w:trHeight w:val="340"/>
        </w:trPr>
        <w:tc>
          <w:tcPr>
            <w:tcW w:w="645" w:type="pct"/>
            <w:vMerge/>
            <w:vAlign w:val="center"/>
          </w:tcPr>
          <w:p w14:paraId="5E495DAA" w14:textId="77777777" w:rsidR="006D1907" w:rsidRPr="004E57A8" w:rsidRDefault="006D1907" w:rsidP="00A94556">
            <w:pPr>
              <w:jc w:val="center"/>
              <w:rPr>
                <w:rFonts w:ascii="Calibri" w:hAnsi="Calibri"/>
                <w:szCs w:val="21"/>
              </w:rPr>
            </w:pPr>
          </w:p>
        </w:tc>
        <w:tc>
          <w:tcPr>
            <w:tcW w:w="1225" w:type="pct"/>
            <w:vAlign w:val="center"/>
          </w:tcPr>
          <w:p w14:paraId="3F9B28CF"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硫化物</w:t>
            </w:r>
          </w:p>
        </w:tc>
        <w:tc>
          <w:tcPr>
            <w:tcW w:w="626" w:type="pct"/>
            <w:vAlign w:val="center"/>
          </w:tcPr>
          <w:p w14:paraId="3E79762D"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0.002</w:t>
            </w:r>
          </w:p>
        </w:tc>
        <w:tc>
          <w:tcPr>
            <w:tcW w:w="626" w:type="pct"/>
            <w:vAlign w:val="center"/>
          </w:tcPr>
          <w:p w14:paraId="54B7622E"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r>
              <w:rPr>
                <w:rFonts w:ascii="Calibri" w:hAnsi="Calibri"/>
                <w:color w:val="auto"/>
                <w:szCs w:val="21"/>
              </w:rPr>
              <w:t>2</w:t>
            </w:r>
          </w:p>
        </w:tc>
        <w:tc>
          <w:tcPr>
            <w:tcW w:w="626" w:type="pct"/>
            <w:vAlign w:val="center"/>
          </w:tcPr>
          <w:p w14:paraId="1A3E63A4"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0.01</w:t>
            </w:r>
          </w:p>
        </w:tc>
        <w:tc>
          <w:tcPr>
            <w:tcW w:w="626" w:type="pct"/>
            <w:vAlign w:val="center"/>
          </w:tcPr>
          <w:p w14:paraId="668157C1"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0B106467"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63F29372" w14:textId="77777777" w:rsidTr="00A94556">
        <w:trPr>
          <w:trHeight w:val="340"/>
        </w:trPr>
        <w:tc>
          <w:tcPr>
            <w:tcW w:w="645" w:type="pct"/>
            <w:vMerge/>
            <w:vAlign w:val="center"/>
          </w:tcPr>
          <w:p w14:paraId="07F7D76D" w14:textId="77777777" w:rsidR="006D1907" w:rsidRPr="004E57A8" w:rsidRDefault="006D1907" w:rsidP="00A94556">
            <w:pPr>
              <w:jc w:val="center"/>
              <w:rPr>
                <w:rFonts w:ascii="Calibri" w:hAnsi="Calibri"/>
                <w:szCs w:val="21"/>
              </w:rPr>
            </w:pPr>
          </w:p>
        </w:tc>
        <w:tc>
          <w:tcPr>
            <w:tcW w:w="1225" w:type="pct"/>
            <w:vAlign w:val="center"/>
          </w:tcPr>
          <w:p w14:paraId="4A1029B1"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六价铬</w:t>
            </w:r>
          </w:p>
        </w:tc>
        <w:tc>
          <w:tcPr>
            <w:tcW w:w="626" w:type="pct"/>
            <w:vAlign w:val="center"/>
          </w:tcPr>
          <w:p w14:paraId="691C54DF"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w:t>
            </w:r>
            <w:r>
              <w:rPr>
                <w:rFonts w:ascii="Calibri" w:hAnsi="Calibri"/>
                <w:color w:val="auto"/>
                <w:szCs w:val="21"/>
              </w:rPr>
              <w:t>4</w:t>
            </w:r>
          </w:p>
        </w:tc>
        <w:tc>
          <w:tcPr>
            <w:tcW w:w="626" w:type="pct"/>
            <w:vAlign w:val="center"/>
          </w:tcPr>
          <w:p w14:paraId="7EF0EC97"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0.05</w:t>
            </w:r>
          </w:p>
        </w:tc>
        <w:tc>
          <w:tcPr>
            <w:tcW w:w="626" w:type="pct"/>
            <w:vAlign w:val="center"/>
          </w:tcPr>
          <w:p w14:paraId="7BB1472D"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0.08</w:t>
            </w:r>
          </w:p>
        </w:tc>
        <w:tc>
          <w:tcPr>
            <w:tcW w:w="626" w:type="pct"/>
            <w:vAlign w:val="center"/>
          </w:tcPr>
          <w:p w14:paraId="5B047FF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56ADC886"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r w:rsidR="006D1907" w:rsidRPr="004E57A8" w14:paraId="00F7D85D" w14:textId="77777777" w:rsidTr="00A94556">
        <w:trPr>
          <w:trHeight w:val="340"/>
        </w:trPr>
        <w:tc>
          <w:tcPr>
            <w:tcW w:w="645" w:type="pct"/>
            <w:vMerge/>
            <w:vAlign w:val="center"/>
          </w:tcPr>
          <w:p w14:paraId="6C0F634A" w14:textId="77777777" w:rsidR="006D1907" w:rsidRPr="004E57A8" w:rsidRDefault="006D1907" w:rsidP="00A94556">
            <w:pPr>
              <w:jc w:val="center"/>
              <w:rPr>
                <w:rFonts w:ascii="Calibri" w:hAnsi="Calibri"/>
                <w:szCs w:val="21"/>
              </w:rPr>
            </w:pPr>
          </w:p>
        </w:tc>
        <w:tc>
          <w:tcPr>
            <w:tcW w:w="1225" w:type="pct"/>
            <w:vAlign w:val="center"/>
          </w:tcPr>
          <w:p w14:paraId="2560F6C9"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镉</w:t>
            </w:r>
          </w:p>
        </w:tc>
        <w:tc>
          <w:tcPr>
            <w:tcW w:w="626" w:type="pct"/>
            <w:vAlign w:val="center"/>
          </w:tcPr>
          <w:p w14:paraId="13E83BE3" w14:textId="77777777" w:rsidR="006D1907" w:rsidRPr="00801DE4" w:rsidRDefault="006D1907" w:rsidP="00A94556">
            <w:pPr>
              <w:jc w:val="center"/>
              <w:rPr>
                <w:rFonts w:ascii="Calibri" w:hAnsi="宋体"/>
                <w:color w:val="auto"/>
                <w:szCs w:val="21"/>
              </w:rPr>
            </w:pPr>
            <w:r w:rsidRPr="00801DE4">
              <w:rPr>
                <w:rFonts w:ascii="Calibri" w:hAnsi="宋体"/>
                <w:color w:val="auto"/>
                <w:szCs w:val="21"/>
              </w:rPr>
              <w:t>0.00002</w:t>
            </w:r>
          </w:p>
        </w:tc>
        <w:tc>
          <w:tcPr>
            <w:tcW w:w="626" w:type="pct"/>
            <w:vAlign w:val="center"/>
          </w:tcPr>
          <w:p w14:paraId="4F4E3627"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0.005</w:t>
            </w:r>
          </w:p>
        </w:tc>
        <w:tc>
          <w:tcPr>
            <w:tcW w:w="626" w:type="pct"/>
            <w:vAlign w:val="center"/>
          </w:tcPr>
          <w:p w14:paraId="068042F9"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0.004</w:t>
            </w:r>
          </w:p>
        </w:tc>
        <w:tc>
          <w:tcPr>
            <w:tcW w:w="626" w:type="pct"/>
            <w:vAlign w:val="center"/>
          </w:tcPr>
          <w:p w14:paraId="019604E8"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p>
        </w:tc>
        <w:tc>
          <w:tcPr>
            <w:tcW w:w="626" w:type="pct"/>
            <w:vAlign w:val="center"/>
          </w:tcPr>
          <w:p w14:paraId="7346DF77" w14:textId="77777777" w:rsidR="006D1907" w:rsidRPr="004E57A8" w:rsidRDefault="006D1907" w:rsidP="00A94556">
            <w:pPr>
              <w:pStyle w:val="a1"/>
              <w:ind w:firstLine="0"/>
              <w:jc w:val="center"/>
              <w:rPr>
                <w:rFonts w:ascii="Calibri" w:hAnsi="Calibri"/>
                <w:szCs w:val="21"/>
              </w:rPr>
            </w:pPr>
            <w:r>
              <w:rPr>
                <w:rFonts w:ascii="Calibri" w:hAnsi="Calibri" w:hint="eastAsia"/>
                <w:szCs w:val="21"/>
              </w:rPr>
              <w:t>0</w:t>
            </w:r>
          </w:p>
        </w:tc>
      </w:tr>
      <w:tr w:rsidR="006D1907" w:rsidRPr="004E57A8" w14:paraId="2C4DA748" w14:textId="77777777" w:rsidTr="00A94556">
        <w:trPr>
          <w:trHeight w:val="340"/>
        </w:trPr>
        <w:tc>
          <w:tcPr>
            <w:tcW w:w="645" w:type="pct"/>
            <w:vMerge/>
            <w:vAlign w:val="center"/>
          </w:tcPr>
          <w:p w14:paraId="3F3417AA" w14:textId="77777777" w:rsidR="006D1907" w:rsidRPr="004E57A8" w:rsidRDefault="006D1907" w:rsidP="00A94556">
            <w:pPr>
              <w:jc w:val="center"/>
              <w:rPr>
                <w:rFonts w:ascii="Calibri" w:hAnsi="Calibri"/>
                <w:szCs w:val="21"/>
              </w:rPr>
            </w:pPr>
          </w:p>
        </w:tc>
        <w:tc>
          <w:tcPr>
            <w:tcW w:w="1225" w:type="pct"/>
            <w:vAlign w:val="center"/>
          </w:tcPr>
          <w:p w14:paraId="4C7CB138" w14:textId="77777777" w:rsidR="006D1907" w:rsidRPr="00A964FF" w:rsidRDefault="006D1907" w:rsidP="00A94556">
            <w:pPr>
              <w:jc w:val="center"/>
              <w:rPr>
                <w:rFonts w:ascii="Calibri" w:hAnsi="Calibri"/>
                <w:color w:val="auto"/>
                <w:szCs w:val="21"/>
              </w:rPr>
            </w:pPr>
            <w:r w:rsidRPr="00A964FF">
              <w:rPr>
                <w:rFonts w:ascii="Calibri" w:hAnsi="Calibri"/>
                <w:color w:val="auto"/>
                <w:szCs w:val="21"/>
              </w:rPr>
              <w:t>铅</w:t>
            </w:r>
          </w:p>
        </w:tc>
        <w:tc>
          <w:tcPr>
            <w:tcW w:w="626" w:type="pct"/>
            <w:vAlign w:val="center"/>
          </w:tcPr>
          <w:p w14:paraId="66A79C31"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r>
              <w:rPr>
                <w:rFonts w:ascii="Calibri" w:hAnsi="Calibri"/>
                <w:color w:val="auto"/>
                <w:szCs w:val="21"/>
              </w:rPr>
              <w:t>.0002</w:t>
            </w:r>
          </w:p>
        </w:tc>
        <w:tc>
          <w:tcPr>
            <w:tcW w:w="626" w:type="pct"/>
            <w:vAlign w:val="center"/>
          </w:tcPr>
          <w:p w14:paraId="471FDE64"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r>
              <w:rPr>
                <w:rFonts w:ascii="Calibri" w:hAnsi="Calibri"/>
                <w:color w:val="auto"/>
                <w:szCs w:val="21"/>
              </w:rPr>
              <w:t>05</w:t>
            </w:r>
          </w:p>
        </w:tc>
        <w:tc>
          <w:tcPr>
            <w:tcW w:w="626" w:type="pct"/>
            <w:vAlign w:val="center"/>
          </w:tcPr>
          <w:p w14:paraId="2CA36CF5" w14:textId="77777777" w:rsidR="006D1907" w:rsidRPr="00A964FF" w:rsidRDefault="006D1907" w:rsidP="00A94556">
            <w:pPr>
              <w:jc w:val="center"/>
              <w:rPr>
                <w:rFonts w:ascii="Calibri" w:hAnsi="Calibri"/>
                <w:color w:val="auto"/>
                <w:szCs w:val="21"/>
              </w:rPr>
            </w:pPr>
            <w:r>
              <w:rPr>
                <w:rFonts w:ascii="Calibri" w:hAnsi="Calibri" w:hint="eastAsia"/>
                <w:color w:val="auto"/>
                <w:szCs w:val="21"/>
              </w:rPr>
              <w:t>0</w:t>
            </w:r>
            <w:r>
              <w:rPr>
                <w:rFonts w:ascii="Calibri" w:hAnsi="Calibri"/>
                <w:color w:val="auto"/>
                <w:szCs w:val="21"/>
              </w:rPr>
              <w:t>.004</w:t>
            </w:r>
          </w:p>
        </w:tc>
        <w:tc>
          <w:tcPr>
            <w:tcW w:w="626" w:type="pct"/>
            <w:vAlign w:val="center"/>
          </w:tcPr>
          <w:p w14:paraId="1497C98D"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c>
          <w:tcPr>
            <w:tcW w:w="626" w:type="pct"/>
            <w:vAlign w:val="center"/>
          </w:tcPr>
          <w:p w14:paraId="1E1BD1D5" w14:textId="77777777" w:rsidR="006D1907" w:rsidRPr="004E57A8" w:rsidRDefault="006D1907" w:rsidP="00A94556">
            <w:pPr>
              <w:pStyle w:val="a1"/>
              <w:ind w:firstLine="0"/>
              <w:jc w:val="center"/>
              <w:rPr>
                <w:rFonts w:ascii="Calibri" w:hAnsi="Calibri"/>
                <w:szCs w:val="21"/>
              </w:rPr>
            </w:pPr>
            <w:r w:rsidRPr="004E57A8">
              <w:rPr>
                <w:rFonts w:ascii="Calibri" w:hAnsi="Calibri" w:hint="eastAsia"/>
                <w:szCs w:val="21"/>
              </w:rPr>
              <w:t>0</w:t>
            </w:r>
          </w:p>
        </w:tc>
      </w:tr>
    </w:tbl>
    <w:p w14:paraId="3A1732E6" w14:textId="77777777" w:rsidR="004C513C" w:rsidRDefault="006D1907" w:rsidP="006D1907">
      <w:pPr>
        <w:tabs>
          <w:tab w:val="left" w:pos="426"/>
        </w:tabs>
        <w:spacing w:line="520" w:lineRule="exact"/>
        <w:ind w:firstLineChars="200" w:firstLine="480"/>
        <w:jc w:val="left"/>
        <w:rPr>
          <w:rFonts w:ascii="Calibri" w:hAnsi="宋体"/>
          <w:color w:val="auto"/>
          <w:sz w:val="24"/>
        </w:rPr>
      </w:pPr>
      <w:r w:rsidRPr="00A964FF">
        <w:rPr>
          <w:rFonts w:ascii="Calibri" w:hAnsi="Calibri"/>
          <w:color w:val="auto"/>
          <w:sz w:val="24"/>
        </w:rPr>
        <w:lastRenderedPageBreak/>
        <w:t>由上表</w:t>
      </w:r>
      <w:r w:rsidRPr="00A964FF">
        <w:rPr>
          <w:rFonts w:ascii="Calibri" w:hAnsi="Calibri" w:hint="eastAsia"/>
          <w:color w:val="auto"/>
          <w:sz w:val="24"/>
        </w:rPr>
        <w:t>检测</w:t>
      </w:r>
      <w:r w:rsidRPr="00A964FF">
        <w:rPr>
          <w:rFonts w:ascii="Calibri" w:hAnsi="Calibri"/>
          <w:color w:val="auto"/>
          <w:sz w:val="24"/>
        </w:rPr>
        <w:t>结果可知，</w:t>
      </w:r>
      <w:r w:rsidRPr="00A964FF">
        <w:rPr>
          <w:rFonts w:ascii="Calibri" w:hAnsi="宋体" w:hint="eastAsia"/>
          <w:color w:val="auto"/>
          <w:sz w:val="24"/>
        </w:rPr>
        <w:t>202</w:t>
      </w:r>
      <w:r>
        <w:rPr>
          <w:rFonts w:ascii="Calibri" w:hAnsi="宋体"/>
          <w:color w:val="auto"/>
          <w:sz w:val="24"/>
        </w:rPr>
        <w:t>1</w:t>
      </w:r>
      <w:r w:rsidRPr="00A964FF">
        <w:rPr>
          <w:rFonts w:ascii="Calibri" w:hAnsi="宋体" w:hint="eastAsia"/>
          <w:color w:val="auto"/>
          <w:sz w:val="24"/>
        </w:rPr>
        <w:t>年度沙河马湾</w:t>
      </w:r>
      <w:r w:rsidRPr="00A964FF">
        <w:rPr>
          <w:rFonts w:ascii="Calibri" w:hAnsi="宋体"/>
          <w:color w:val="auto"/>
          <w:sz w:val="24"/>
        </w:rPr>
        <w:t>断面各监测因子均满足《地表水环境质量标准》（</w:t>
      </w:r>
      <w:r w:rsidRPr="00A964FF">
        <w:rPr>
          <w:rFonts w:ascii="Calibri" w:hAnsi="Calibri"/>
          <w:color w:val="auto"/>
          <w:sz w:val="24"/>
        </w:rPr>
        <w:t>GB3838-2002</w:t>
      </w:r>
      <w:r w:rsidRPr="00A964FF">
        <w:rPr>
          <w:rFonts w:ascii="Calibri" w:hAnsi="宋体"/>
          <w:color w:val="auto"/>
          <w:sz w:val="24"/>
        </w:rPr>
        <w:t>）</w:t>
      </w:r>
      <w:r w:rsidRPr="00A964FF">
        <w:rPr>
          <w:rFonts w:ascii="Calibri" w:hAnsi="Calibri"/>
          <w:color w:val="auto"/>
          <w:sz w:val="24"/>
        </w:rPr>
        <w:t>III</w:t>
      </w:r>
      <w:r>
        <w:rPr>
          <w:rFonts w:ascii="Calibri" w:hAnsi="宋体"/>
          <w:color w:val="auto"/>
          <w:sz w:val="24"/>
        </w:rPr>
        <w:t>类标准</w:t>
      </w:r>
      <w:r>
        <w:rPr>
          <w:rFonts w:ascii="Calibri" w:hAnsi="宋体" w:hint="eastAsia"/>
          <w:color w:val="auto"/>
          <w:sz w:val="24"/>
        </w:rPr>
        <w:t>，说明</w:t>
      </w:r>
      <w:r>
        <w:rPr>
          <w:rFonts w:ascii="Calibri" w:hAnsi="宋体"/>
          <w:color w:val="auto"/>
          <w:sz w:val="24"/>
        </w:rPr>
        <w:t>沙河水质现状</w:t>
      </w:r>
      <w:r>
        <w:rPr>
          <w:rFonts w:ascii="Calibri" w:hAnsi="宋体" w:hint="eastAsia"/>
          <w:color w:val="auto"/>
          <w:sz w:val="24"/>
        </w:rPr>
        <w:t>较好。</w:t>
      </w:r>
    </w:p>
    <w:p w14:paraId="27086ECF" w14:textId="77777777" w:rsidR="0055605A" w:rsidRPr="004C513C" w:rsidRDefault="0055605A" w:rsidP="004C513C">
      <w:pPr>
        <w:pStyle w:val="ad"/>
        <w:rPr>
          <w:rFonts w:ascii="Calibri" w:hAnsi="Calibri" w:cs="Times New Roman"/>
          <w:color w:val="auto"/>
        </w:rPr>
      </w:pPr>
      <w:r w:rsidRPr="00A964FF">
        <w:rPr>
          <w:rFonts w:ascii="Calibri" w:hAnsi="Calibri" w:cs="Times New Roman"/>
          <w:color w:val="auto"/>
        </w:rPr>
        <w:t>3.3.</w:t>
      </w:r>
      <w:r w:rsidRPr="00A964FF">
        <w:rPr>
          <w:rFonts w:ascii="Calibri" w:hAnsi="Calibri" w:cs="Times New Roman" w:hint="eastAsia"/>
          <w:color w:val="auto"/>
        </w:rPr>
        <w:t>3</w:t>
      </w:r>
      <w:r w:rsidRPr="00A964FF">
        <w:rPr>
          <w:rFonts w:ascii="Calibri" w:hAnsi="Calibri" w:cs="Times New Roman"/>
          <w:color w:val="auto"/>
        </w:rPr>
        <w:t>地</w:t>
      </w:r>
      <w:r w:rsidRPr="00A964FF">
        <w:rPr>
          <w:rFonts w:ascii="Calibri" w:hAnsi="Calibri" w:cs="Times New Roman" w:hint="eastAsia"/>
          <w:color w:val="auto"/>
        </w:rPr>
        <w:t>下水</w:t>
      </w:r>
      <w:r w:rsidRPr="00A964FF">
        <w:rPr>
          <w:rFonts w:ascii="Calibri" w:hAnsi="Calibri" w:cs="Times New Roman"/>
          <w:color w:val="auto"/>
        </w:rPr>
        <w:t>质量现状检测与评价</w:t>
      </w:r>
    </w:p>
    <w:p w14:paraId="098FB918" w14:textId="77777777" w:rsidR="0055605A" w:rsidRPr="00A964FF" w:rsidRDefault="0055605A" w:rsidP="0055605A">
      <w:pPr>
        <w:pStyle w:val="aa"/>
        <w:spacing w:line="540" w:lineRule="exact"/>
        <w:ind w:firstLine="480"/>
        <w:rPr>
          <w:rFonts w:ascii="Calibri" w:hAnsi="Calibri"/>
          <w:b/>
          <w:color w:val="auto"/>
          <w:sz w:val="24"/>
        </w:rPr>
      </w:pPr>
      <w:r w:rsidRPr="00A964FF">
        <w:rPr>
          <w:rFonts w:ascii="Calibri" w:hAnsi="Calibri" w:hint="eastAsia"/>
          <w:b/>
          <w:color w:val="auto"/>
          <w:sz w:val="24"/>
        </w:rPr>
        <w:t>1</w:t>
      </w:r>
      <w:r w:rsidRPr="00A964FF">
        <w:rPr>
          <w:rFonts w:ascii="Calibri" w:hAnsi="Calibri" w:hint="eastAsia"/>
          <w:b/>
          <w:color w:val="auto"/>
          <w:sz w:val="24"/>
        </w:rPr>
        <w:t>、地下水现状检测点位选取</w:t>
      </w:r>
    </w:p>
    <w:p w14:paraId="69BC828A" w14:textId="77777777" w:rsidR="0055605A" w:rsidRPr="00A964FF" w:rsidRDefault="00DC253D" w:rsidP="001849B8">
      <w:pPr>
        <w:spacing w:line="520" w:lineRule="exact"/>
        <w:ind w:firstLineChars="200" w:firstLine="480"/>
        <w:rPr>
          <w:rFonts w:ascii="Calibri" w:hAnsi="Calibri"/>
          <w:color w:val="auto"/>
          <w:sz w:val="24"/>
        </w:rPr>
      </w:pPr>
      <w:r w:rsidRPr="00A964FF">
        <w:rPr>
          <w:rFonts w:ascii="Calibri" w:hAnsi="Calibri" w:hint="eastAsia"/>
          <w:color w:val="auto"/>
          <w:sz w:val="24"/>
        </w:rPr>
        <w:t>为了解本项目区域地下水情况，根据区域地下水流向，本次地下水现状检测共布设</w:t>
      </w:r>
      <w:r w:rsidR="006D1907">
        <w:rPr>
          <w:rFonts w:ascii="Calibri" w:hAnsi="Calibri"/>
          <w:color w:val="auto"/>
          <w:sz w:val="24"/>
        </w:rPr>
        <w:t>5</w:t>
      </w:r>
      <w:r w:rsidRPr="00A964FF">
        <w:rPr>
          <w:rFonts w:ascii="Calibri" w:hAnsi="Calibri" w:hint="eastAsia"/>
          <w:color w:val="auto"/>
          <w:sz w:val="24"/>
        </w:rPr>
        <w:t>个</w:t>
      </w:r>
      <w:r w:rsidR="006A7BA8" w:rsidRPr="00A964FF">
        <w:rPr>
          <w:rFonts w:ascii="Calibri" w:hAnsi="Calibri" w:hint="eastAsia"/>
          <w:color w:val="auto"/>
          <w:sz w:val="24"/>
        </w:rPr>
        <w:t>水质</w:t>
      </w:r>
      <w:r w:rsidRPr="00A964FF">
        <w:rPr>
          <w:rFonts w:ascii="Calibri" w:hAnsi="Calibri" w:hint="eastAsia"/>
          <w:color w:val="auto"/>
          <w:sz w:val="24"/>
        </w:rPr>
        <w:t>检测点</w:t>
      </w:r>
      <w:r w:rsidR="006A7BA8" w:rsidRPr="00A964FF">
        <w:rPr>
          <w:rFonts w:ascii="Calibri" w:hAnsi="Calibri" w:hint="eastAsia"/>
          <w:color w:val="auto"/>
          <w:sz w:val="24"/>
        </w:rPr>
        <w:t>，</w:t>
      </w:r>
      <w:r w:rsidR="006D1907">
        <w:rPr>
          <w:rFonts w:ascii="Calibri" w:hAnsi="Calibri"/>
          <w:color w:val="auto"/>
          <w:sz w:val="24"/>
        </w:rPr>
        <w:t>10</w:t>
      </w:r>
      <w:r w:rsidR="006A7BA8" w:rsidRPr="00A964FF">
        <w:rPr>
          <w:rFonts w:ascii="Calibri" w:hAnsi="Calibri" w:hint="eastAsia"/>
          <w:color w:val="auto"/>
          <w:sz w:val="24"/>
        </w:rPr>
        <w:t>个水位检测点</w:t>
      </w:r>
      <w:r w:rsidR="00AA3FB1" w:rsidRPr="00A964FF">
        <w:rPr>
          <w:rFonts w:ascii="Calibri" w:hAnsi="Calibri" w:hint="eastAsia"/>
          <w:color w:val="auto"/>
          <w:sz w:val="24"/>
        </w:rPr>
        <w:t>。</w:t>
      </w:r>
      <w:r w:rsidR="006A7BA8" w:rsidRPr="00A964FF">
        <w:rPr>
          <w:rFonts w:ascii="Calibri" w:hAnsi="Calibri" w:hint="eastAsia"/>
          <w:color w:val="auto"/>
          <w:sz w:val="24"/>
        </w:rPr>
        <w:t>地下水</w:t>
      </w:r>
      <w:r w:rsidR="0055605A" w:rsidRPr="00A964FF">
        <w:rPr>
          <w:rFonts w:ascii="Calibri" w:hint="eastAsia"/>
          <w:bCs/>
          <w:color w:val="auto"/>
          <w:sz w:val="24"/>
        </w:rPr>
        <w:t>各检测点位布设情况见表</w:t>
      </w:r>
      <w:r w:rsidR="0055605A" w:rsidRPr="00A964FF">
        <w:rPr>
          <w:rFonts w:ascii="Calibri" w:hint="eastAsia"/>
          <w:bCs/>
          <w:color w:val="auto"/>
          <w:sz w:val="24"/>
        </w:rPr>
        <w:t>3</w:t>
      </w:r>
      <w:r w:rsidR="00A6079A" w:rsidRPr="00A964FF">
        <w:rPr>
          <w:rFonts w:ascii="Calibri" w:hint="eastAsia"/>
          <w:bCs/>
          <w:color w:val="auto"/>
          <w:sz w:val="24"/>
        </w:rPr>
        <w:t>.3</w:t>
      </w:r>
      <w:r w:rsidR="0055605A" w:rsidRPr="00A964FF">
        <w:rPr>
          <w:rFonts w:ascii="Calibri" w:hint="eastAsia"/>
          <w:bCs/>
          <w:color w:val="auto"/>
          <w:sz w:val="24"/>
        </w:rPr>
        <w:t>-1</w:t>
      </w:r>
      <w:r w:rsidR="00AC555A">
        <w:rPr>
          <w:rFonts w:ascii="Calibri" w:hint="eastAsia"/>
          <w:bCs/>
          <w:color w:val="auto"/>
          <w:sz w:val="24"/>
        </w:rPr>
        <w:t>2</w:t>
      </w:r>
      <w:r w:rsidR="0055605A" w:rsidRPr="00A964FF">
        <w:rPr>
          <w:rFonts w:ascii="Calibri" w:hint="eastAsia"/>
          <w:bCs/>
          <w:color w:val="auto"/>
          <w:sz w:val="24"/>
        </w:rPr>
        <w:t>。</w:t>
      </w:r>
    </w:p>
    <w:p w14:paraId="7FE8EA81" w14:textId="77777777" w:rsidR="0055605A" w:rsidRPr="00A964FF" w:rsidRDefault="0055605A" w:rsidP="0055605A">
      <w:pPr>
        <w:spacing w:line="520" w:lineRule="exact"/>
        <w:ind w:firstLineChars="196" w:firstLine="470"/>
        <w:rPr>
          <w:rFonts w:ascii="黑体" w:eastAsia="黑体"/>
          <w:bCs/>
          <w:color w:val="auto"/>
          <w:sz w:val="24"/>
        </w:rPr>
      </w:pPr>
      <w:r w:rsidRPr="00A964FF">
        <w:rPr>
          <w:rFonts w:ascii="黑体" w:eastAsia="黑体" w:hint="eastAsia"/>
          <w:bCs/>
          <w:color w:val="auto"/>
          <w:sz w:val="24"/>
        </w:rPr>
        <w:t>表</w:t>
      </w:r>
      <w:r w:rsidRPr="00A964FF">
        <w:rPr>
          <w:rFonts w:ascii="Calibri" w:eastAsia="黑体" w:hAnsi="Calibri" w:hint="eastAsia"/>
          <w:bCs/>
          <w:color w:val="auto"/>
          <w:sz w:val="24"/>
        </w:rPr>
        <w:t>3</w:t>
      </w:r>
      <w:r w:rsidR="00A6079A" w:rsidRPr="00A964FF">
        <w:rPr>
          <w:rFonts w:ascii="Calibri" w:eastAsia="黑体" w:hAnsi="Calibri" w:hint="eastAsia"/>
          <w:bCs/>
          <w:color w:val="auto"/>
          <w:sz w:val="24"/>
        </w:rPr>
        <w:t>.3</w:t>
      </w:r>
      <w:r w:rsidRPr="00A964FF">
        <w:rPr>
          <w:rFonts w:ascii="Calibri" w:eastAsia="黑体" w:hAnsi="Calibri"/>
          <w:bCs/>
          <w:color w:val="auto"/>
          <w:sz w:val="24"/>
        </w:rPr>
        <w:t>-</w:t>
      </w:r>
      <w:r w:rsidRPr="00A964FF">
        <w:rPr>
          <w:rFonts w:ascii="Calibri" w:eastAsia="黑体" w:hAnsi="Calibri" w:hint="eastAsia"/>
          <w:bCs/>
          <w:color w:val="auto"/>
          <w:sz w:val="24"/>
        </w:rPr>
        <w:t>1</w:t>
      </w:r>
      <w:r w:rsidR="00AC555A">
        <w:rPr>
          <w:rFonts w:ascii="Calibri" w:eastAsia="黑体" w:hAnsi="Calibri" w:hint="eastAsia"/>
          <w:bCs/>
          <w:color w:val="auto"/>
          <w:sz w:val="24"/>
        </w:rPr>
        <w:t>2</w:t>
      </w:r>
      <w:r w:rsidRPr="00A964FF">
        <w:rPr>
          <w:rFonts w:ascii="黑体" w:eastAsia="黑体" w:hint="eastAsia"/>
          <w:bCs/>
          <w:color w:val="auto"/>
          <w:sz w:val="24"/>
        </w:rPr>
        <w:t xml:space="preserve">              地下水检测点位布设情况一览表</w:t>
      </w:r>
    </w:p>
    <w:tbl>
      <w:tblPr>
        <w:tblW w:w="4918"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30"/>
        <w:gridCol w:w="2022"/>
        <w:gridCol w:w="1533"/>
        <w:gridCol w:w="1391"/>
        <w:gridCol w:w="1391"/>
        <w:gridCol w:w="1290"/>
      </w:tblGrid>
      <w:tr w:rsidR="00715116" w:rsidRPr="00A964FF" w14:paraId="71EAA022" w14:textId="77777777" w:rsidTr="001419B6">
        <w:trPr>
          <w:trHeight w:val="340"/>
          <w:jc w:val="right"/>
        </w:trPr>
        <w:tc>
          <w:tcPr>
            <w:tcW w:w="543" w:type="pct"/>
            <w:vAlign w:val="center"/>
          </w:tcPr>
          <w:p w14:paraId="2579592A" w14:textId="77777777" w:rsidR="00715116" w:rsidRPr="00A964FF" w:rsidRDefault="00715116" w:rsidP="003E0795">
            <w:pPr>
              <w:jc w:val="center"/>
              <w:rPr>
                <w:rFonts w:ascii="Calibri"/>
                <w:bCs/>
                <w:color w:val="auto"/>
                <w:szCs w:val="21"/>
              </w:rPr>
            </w:pPr>
            <w:r w:rsidRPr="00A964FF">
              <w:rPr>
                <w:rFonts w:ascii="Calibri" w:hint="eastAsia"/>
                <w:bCs/>
                <w:color w:val="auto"/>
                <w:szCs w:val="21"/>
              </w:rPr>
              <w:t>序号</w:t>
            </w:r>
          </w:p>
        </w:tc>
        <w:tc>
          <w:tcPr>
            <w:tcW w:w="1181" w:type="pct"/>
            <w:vAlign w:val="center"/>
          </w:tcPr>
          <w:p w14:paraId="3B5E754D" w14:textId="77777777" w:rsidR="00715116" w:rsidRPr="00A964FF" w:rsidRDefault="00715116" w:rsidP="003E0795">
            <w:pPr>
              <w:jc w:val="center"/>
              <w:rPr>
                <w:rFonts w:ascii="Calibri" w:hAnsi="Calibri"/>
                <w:bCs/>
                <w:color w:val="auto"/>
                <w:szCs w:val="21"/>
              </w:rPr>
            </w:pPr>
            <w:r w:rsidRPr="00A964FF">
              <w:rPr>
                <w:rFonts w:ascii="Calibri" w:hint="eastAsia"/>
                <w:bCs/>
                <w:color w:val="auto"/>
                <w:szCs w:val="21"/>
              </w:rPr>
              <w:t>检测点名称</w:t>
            </w:r>
          </w:p>
        </w:tc>
        <w:tc>
          <w:tcPr>
            <w:tcW w:w="896" w:type="pct"/>
            <w:vAlign w:val="center"/>
          </w:tcPr>
          <w:p w14:paraId="31C6EB08" w14:textId="77777777" w:rsidR="00715116" w:rsidRPr="00A964FF" w:rsidRDefault="00715116" w:rsidP="003E0795">
            <w:pPr>
              <w:jc w:val="center"/>
              <w:rPr>
                <w:rFonts w:ascii="Calibri" w:hAnsi="Calibri"/>
                <w:bCs/>
                <w:color w:val="auto"/>
                <w:szCs w:val="21"/>
              </w:rPr>
            </w:pPr>
            <w:r w:rsidRPr="00A964FF">
              <w:rPr>
                <w:rFonts w:ascii="Calibri"/>
                <w:bCs/>
                <w:color w:val="auto"/>
                <w:szCs w:val="21"/>
              </w:rPr>
              <w:t>方位</w:t>
            </w:r>
          </w:p>
        </w:tc>
        <w:tc>
          <w:tcPr>
            <w:tcW w:w="813" w:type="pct"/>
            <w:tcBorders>
              <w:bottom w:val="single" w:sz="4" w:space="0" w:color="auto"/>
              <w:right w:val="single" w:sz="2" w:space="0" w:color="auto"/>
            </w:tcBorders>
            <w:vAlign w:val="center"/>
          </w:tcPr>
          <w:p w14:paraId="37336680" w14:textId="77777777" w:rsidR="00715116" w:rsidRPr="00A964FF" w:rsidRDefault="00715116" w:rsidP="003E0795">
            <w:pPr>
              <w:jc w:val="center"/>
              <w:rPr>
                <w:rFonts w:ascii="Calibri"/>
                <w:bCs/>
                <w:color w:val="auto"/>
                <w:szCs w:val="21"/>
              </w:rPr>
            </w:pPr>
            <w:r w:rsidRPr="00A964FF">
              <w:rPr>
                <w:rFonts w:ascii="Calibri"/>
                <w:bCs/>
                <w:color w:val="auto"/>
                <w:szCs w:val="21"/>
              </w:rPr>
              <w:t>距离</w:t>
            </w:r>
            <w:r w:rsidR="00656A07" w:rsidRPr="00A964FF">
              <w:rPr>
                <w:rFonts w:ascii="Calibri" w:hint="eastAsia"/>
                <w:bCs/>
                <w:color w:val="auto"/>
                <w:szCs w:val="21"/>
              </w:rPr>
              <w:t>（</w:t>
            </w:r>
            <w:r w:rsidR="00656A07" w:rsidRPr="00A964FF">
              <w:rPr>
                <w:rFonts w:ascii="Calibri" w:hint="eastAsia"/>
                <w:bCs/>
                <w:color w:val="auto"/>
                <w:szCs w:val="21"/>
              </w:rPr>
              <w:t>m</w:t>
            </w:r>
            <w:r w:rsidR="00656A07" w:rsidRPr="00A964FF">
              <w:rPr>
                <w:rFonts w:ascii="Calibri" w:hint="eastAsia"/>
                <w:bCs/>
                <w:color w:val="auto"/>
                <w:szCs w:val="21"/>
              </w:rPr>
              <w:t>）</w:t>
            </w:r>
          </w:p>
        </w:tc>
        <w:tc>
          <w:tcPr>
            <w:tcW w:w="813" w:type="pct"/>
            <w:tcBorders>
              <w:left w:val="single" w:sz="2" w:space="0" w:color="auto"/>
              <w:bottom w:val="single" w:sz="4" w:space="0" w:color="auto"/>
              <w:right w:val="single" w:sz="4" w:space="0" w:color="auto"/>
            </w:tcBorders>
            <w:vAlign w:val="center"/>
          </w:tcPr>
          <w:p w14:paraId="49F0191C" w14:textId="77777777" w:rsidR="00715116" w:rsidRPr="00A964FF" w:rsidRDefault="00715116" w:rsidP="003E0795">
            <w:pPr>
              <w:jc w:val="center"/>
              <w:rPr>
                <w:rFonts w:ascii="Calibri"/>
                <w:bCs/>
                <w:color w:val="auto"/>
                <w:szCs w:val="21"/>
              </w:rPr>
            </w:pPr>
            <w:r w:rsidRPr="00A964FF">
              <w:rPr>
                <w:rFonts w:ascii="Calibri" w:hint="eastAsia"/>
                <w:bCs/>
                <w:color w:val="auto"/>
                <w:szCs w:val="21"/>
              </w:rPr>
              <w:t>与地下水流向关系</w:t>
            </w:r>
          </w:p>
        </w:tc>
        <w:tc>
          <w:tcPr>
            <w:tcW w:w="754" w:type="pct"/>
            <w:tcBorders>
              <w:left w:val="single" w:sz="4" w:space="0" w:color="auto"/>
              <w:bottom w:val="single" w:sz="4" w:space="0" w:color="auto"/>
            </w:tcBorders>
            <w:vAlign w:val="center"/>
          </w:tcPr>
          <w:p w14:paraId="1B00347F" w14:textId="77777777" w:rsidR="00715116" w:rsidRPr="00A964FF" w:rsidRDefault="00715116" w:rsidP="003E0795">
            <w:pPr>
              <w:jc w:val="center"/>
              <w:rPr>
                <w:rFonts w:ascii="Calibri"/>
                <w:bCs/>
                <w:color w:val="auto"/>
                <w:szCs w:val="21"/>
              </w:rPr>
            </w:pPr>
            <w:r w:rsidRPr="00A964FF">
              <w:rPr>
                <w:rFonts w:ascii="Calibri" w:hint="eastAsia"/>
                <w:bCs/>
                <w:color w:val="auto"/>
                <w:szCs w:val="21"/>
              </w:rPr>
              <w:t>备注</w:t>
            </w:r>
          </w:p>
        </w:tc>
      </w:tr>
      <w:tr w:rsidR="00656A07" w:rsidRPr="00A964FF" w14:paraId="62C4B5BA" w14:textId="77777777" w:rsidTr="001419B6">
        <w:trPr>
          <w:trHeight w:val="340"/>
          <w:jc w:val="right"/>
        </w:trPr>
        <w:tc>
          <w:tcPr>
            <w:tcW w:w="543" w:type="pct"/>
            <w:vAlign w:val="center"/>
          </w:tcPr>
          <w:p w14:paraId="510E3ACD" w14:textId="77777777" w:rsidR="00656A07" w:rsidRPr="00A964FF" w:rsidRDefault="00656A07" w:rsidP="003E0795">
            <w:pPr>
              <w:jc w:val="center"/>
              <w:rPr>
                <w:rFonts w:ascii="Calibri"/>
                <w:bCs/>
                <w:color w:val="auto"/>
                <w:szCs w:val="21"/>
              </w:rPr>
            </w:pPr>
            <w:r w:rsidRPr="00A964FF">
              <w:rPr>
                <w:rFonts w:ascii="Calibri" w:hint="eastAsia"/>
                <w:bCs/>
                <w:color w:val="auto"/>
                <w:szCs w:val="21"/>
              </w:rPr>
              <w:t>1</w:t>
            </w:r>
          </w:p>
        </w:tc>
        <w:tc>
          <w:tcPr>
            <w:tcW w:w="1181" w:type="pct"/>
            <w:vAlign w:val="center"/>
          </w:tcPr>
          <w:p w14:paraId="29F2AD74" w14:textId="77777777" w:rsidR="00656A07" w:rsidRPr="00A964FF" w:rsidRDefault="006D1907" w:rsidP="001419B6">
            <w:pPr>
              <w:jc w:val="center"/>
              <w:rPr>
                <w:rFonts w:cs="Times New Roman"/>
                <w:color w:val="auto"/>
                <w:szCs w:val="21"/>
              </w:rPr>
            </w:pPr>
            <w:r>
              <w:rPr>
                <w:rFonts w:cs="Times New Roman" w:hint="eastAsia"/>
                <w:color w:val="auto"/>
                <w:szCs w:val="21"/>
              </w:rPr>
              <w:t>龚店镇</w:t>
            </w:r>
          </w:p>
        </w:tc>
        <w:tc>
          <w:tcPr>
            <w:tcW w:w="896" w:type="pct"/>
            <w:vAlign w:val="center"/>
          </w:tcPr>
          <w:p w14:paraId="5DF512F5" w14:textId="77777777" w:rsidR="00656A07" w:rsidRPr="00227625" w:rsidRDefault="00A94556" w:rsidP="00162031">
            <w:pPr>
              <w:jc w:val="center"/>
              <w:rPr>
                <w:rFonts w:asciiTheme="minorHAnsi" w:hAnsiTheme="minorHAnsi" w:cstheme="minorHAnsi"/>
                <w:color w:val="auto"/>
                <w:szCs w:val="21"/>
              </w:rPr>
            </w:pPr>
            <w:r w:rsidRPr="00227625">
              <w:rPr>
                <w:rFonts w:asciiTheme="minorHAnsi" w:hAnsiTheme="minorHAnsi" w:cstheme="minorHAnsi"/>
                <w:color w:val="auto"/>
                <w:szCs w:val="21"/>
              </w:rPr>
              <w:t>SW</w:t>
            </w:r>
          </w:p>
        </w:tc>
        <w:tc>
          <w:tcPr>
            <w:tcW w:w="813" w:type="pct"/>
            <w:tcBorders>
              <w:right w:val="single" w:sz="2" w:space="0" w:color="auto"/>
            </w:tcBorders>
            <w:vAlign w:val="center"/>
          </w:tcPr>
          <w:p w14:paraId="1DE5165A" w14:textId="77777777" w:rsidR="00656A07" w:rsidRPr="00A964FF" w:rsidRDefault="00A94556" w:rsidP="006A7BA8">
            <w:pPr>
              <w:jc w:val="center"/>
              <w:rPr>
                <w:rFonts w:ascii="Calibri"/>
                <w:bCs/>
                <w:color w:val="auto"/>
                <w:szCs w:val="21"/>
              </w:rPr>
            </w:pPr>
            <w:r>
              <w:rPr>
                <w:rFonts w:ascii="Calibri"/>
                <w:bCs/>
                <w:color w:val="auto"/>
                <w:szCs w:val="21"/>
              </w:rPr>
              <w:t>1030</w:t>
            </w:r>
          </w:p>
        </w:tc>
        <w:tc>
          <w:tcPr>
            <w:tcW w:w="813" w:type="pct"/>
            <w:tcBorders>
              <w:left w:val="single" w:sz="2" w:space="0" w:color="auto"/>
              <w:right w:val="single" w:sz="4" w:space="0" w:color="auto"/>
            </w:tcBorders>
            <w:vAlign w:val="center"/>
          </w:tcPr>
          <w:p w14:paraId="789729E6" w14:textId="77777777" w:rsidR="00656A07" w:rsidRPr="00A964FF" w:rsidRDefault="00A94556" w:rsidP="00162031">
            <w:pPr>
              <w:jc w:val="center"/>
              <w:rPr>
                <w:rFonts w:ascii="Calibri" w:hAnsi="Calibri"/>
                <w:color w:val="auto"/>
                <w:szCs w:val="21"/>
              </w:rPr>
            </w:pPr>
            <w:r>
              <w:rPr>
                <w:rFonts w:ascii="Calibri" w:hAnsi="Calibri" w:hint="eastAsia"/>
                <w:color w:val="auto"/>
                <w:szCs w:val="21"/>
              </w:rPr>
              <w:t>上游</w:t>
            </w:r>
          </w:p>
        </w:tc>
        <w:tc>
          <w:tcPr>
            <w:tcW w:w="754" w:type="pct"/>
            <w:vMerge w:val="restart"/>
            <w:tcBorders>
              <w:left w:val="single" w:sz="4" w:space="0" w:color="auto"/>
            </w:tcBorders>
            <w:vAlign w:val="center"/>
          </w:tcPr>
          <w:p w14:paraId="5A2F4707" w14:textId="77777777" w:rsidR="00656A07" w:rsidRPr="00A964FF" w:rsidRDefault="00656A07" w:rsidP="003E0795">
            <w:pPr>
              <w:jc w:val="center"/>
              <w:rPr>
                <w:rFonts w:ascii="Calibri"/>
                <w:bCs/>
                <w:color w:val="auto"/>
                <w:szCs w:val="21"/>
              </w:rPr>
            </w:pPr>
            <w:r w:rsidRPr="00A964FF">
              <w:rPr>
                <w:rFonts w:ascii="Calibri" w:hint="eastAsia"/>
                <w:bCs/>
                <w:color w:val="auto"/>
                <w:szCs w:val="21"/>
              </w:rPr>
              <w:t>水质、水位监测点</w:t>
            </w:r>
          </w:p>
        </w:tc>
      </w:tr>
      <w:tr w:rsidR="00656A07" w:rsidRPr="00A964FF" w14:paraId="79A66FBE" w14:textId="77777777" w:rsidTr="001419B6">
        <w:trPr>
          <w:trHeight w:val="340"/>
          <w:jc w:val="right"/>
        </w:trPr>
        <w:tc>
          <w:tcPr>
            <w:tcW w:w="543" w:type="pct"/>
            <w:vAlign w:val="center"/>
          </w:tcPr>
          <w:p w14:paraId="2F7C86C6" w14:textId="77777777" w:rsidR="00656A07" w:rsidRPr="00A964FF" w:rsidRDefault="001419B6" w:rsidP="003E0795">
            <w:pPr>
              <w:jc w:val="center"/>
              <w:rPr>
                <w:rFonts w:ascii="Calibri"/>
                <w:bCs/>
                <w:color w:val="auto"/>
                <w:szCs w:val="21"/>
              </w:rPr>
            </w:pPr>
            <w:r>
              <w:rPr>
                <w:rFonts w:ascii="Calibri" w:hint="eastAsia"/>
                <w:bCs/>
                <w:color w:val="auto"/>
                <w:szCs w:val="21"/>
              </w:rPr>
              <w:t>2</w:t>
            </w:r>
          </w:p>
        </w:tc>
        <w:tc>
          <w:tcPr>
            <w:tcW w:w="1181" w:type="pct"/>
            <w:vAlign w:val="center"/>
          </w:tcPr>
          <w:p w14:paraId="574B2A7A" w14:textId="77777777" w:rsidR="00656A07" w:rsidRPr="00A964FF" w:rsidRDefault="00A94556" w:rsidP="00A94556">
            <w:pPr>
              <w:rPr>
                <w:rFonts w:cs="Times New Roman"/>
                <w:color w:val="auto"/>
                <w:szCs w:val="21"/>
              </w:rPr>
            </w:pPr>
            <w:r>
              <w:rPr>
                <w:rFonts w:cs="Times New Roman" w:hint="eastAsia"/>
                <w:color w:val="auto"/>
                <w:szCs w:val="21"/>
              </w:rPr>
              <w:t>节庄村</w:t>
            </w:r>
            <w:r w:rsidRPr="00BB5174">
              <w:rPr>
                <w:rFonts w:ascii="Calibri" w:hAnsi="Calibri" w:hint="eastAsia"/>
                <w:szCs w:val="21"/>
              </w:rPr>
              <w:t>（遗留水井）</w:t>
            </w:r>
          </w:p>
        </w:tc>
        <w:tc>
          <w:tcPr>
            <w:tcW w:w="896" w:type="pct"/>
            <w:vAlign w:val="center"/>
          </w:tcPr>
          <w:p w14:paraId="79A96E45" w14:textId="77777777" w:rsidR="00656A07" w:rsidRPr="00227625" w:rsidRDefault="00A94556" w:rsidP="00162031">
            <w:pPr>
              <w:jc w:val="center"/>
              <w:rPr>
                <w:rFonts w:asciiTheme="minorHAnsi" w:hAnsiTheme="minorHAnsi" w:cstheme="minorHAnsi"/>
                <w:color w:val="auto"/>
                <w:szCs w:val="21"/>
              </w:rPr>
            </w:pPr>
            <w:r w:rsidRPr="00227625">
              <w:rPr>
                <w:rFonts w:asciiTheme="minorHAnsi" w:hAnsiTheme="minorHAnsi" w:cstheme="minorHAnsi"/>
                <w:color w:val="auto"/>
                <w:szCs w:val="21"/>
              </w:rPr>
              <w:t>NW</w:t>
            </w:r>
          </w:p>
        </w:tc>
        <w:tc>
          <w:tcPr>
            <w:tcW w:w="813" w:type="pct"/>
            <w:tcBorders>
              <w:right w:val="single" w:sz="2" w:space="0" w:color="auto"/>
            </w:tcBorders>
            <w:vAlign w:val="center"/>
          </w:tcPr>
          <w:p w14:paraId="73F8591B" w14:textId="77777777" w:rsidR="00656A07" w:rsidRPr="00A964FF" w:rsidRDefault="00A94556" w:rsidP="00656A07">
            <w:pPr>
              <w:pStyle w:val="af6"/>
              <w:rPr>
                <w:rFonts w:ascii="Calibri" w:hAnsi="Calibri"/>
                <w:color w:val="auto"/>
                <w:szCs w:val="21"/>
              </w:rPr>
            </w:pPr>
            <w:r>
              <w:rPr>
                <w:rFonts w:ascii="Calibri" w:hAnsi="Calibri"/>
                <w:color w:val="auto"/>
                <w:szCs w:val="21"/>
              </w:rPr>
              <w:t>240</w:t>
            </w:r>
          </w:p>
        </w:tc>
        <w:tc>
          <w:tcPr>
            <w:tcW w:w="813" w:type="pct"/>
            <w:tcBorders>
              <w:left w:val="single" w:sz="2" w:space="0" w:color="auto"/>
              <w:right w:val="single" w:sz="4" w:space="0" w:color="auto"/>
            </w:tcBorders>
            <w:vAlign w:val="center"/>
          </w:tcPr>
          <w:p w14:paraId="197F4D62" w14:textId="77777777" w:rsidR="00656A07" w:rsidRPr="00A964FF" w:rsidRDefault="00A94556" w:rsidP="00162031">
            <w:pPr>
              <w:jc w:val="center"/>
              <w:rPr>
                <w:rFonts w:ascii="Calibri" w:hAnsi="Calibri"/>
                <w:color w:val="auto"/>
                <w:szCs w:val="21"/>
              </w:rPr>
            </w:pPr>
            <w:r w:rsidRPr="00623F1E">
              <w:rPr>
                <w:rFonts w:ascii="Calibri" w:hAnsi="Calibri" w:hint="eastAsia"/>
                <w:szCs w:val="21"/>
              </w:rPr>
              <w:t>侧游</w:t>
            </w:r>
          </w:p>
        </w:tc>
        <w:tc>
          <w:tcPr>
            <w:tcW w:w="754" w:type="pct"/>
            <w:vMerge/>
            <w:tcBorders>
              <w:left w:val="single" w:sz="4" w:space="0" w:color="auto"/>
            </w:tcBorders>
            <w:vAlign w:val="center"/>
          </w:tcPr>
          <w:p w14:paraId="43C863B8" w14:textId="77777777" w:rsidR="00656A07" w:rsidRPr="00A964FF" w:rsidRDefault="00656A07" w:rsidP="004A3168">
            <w:pPr>
              <w:pStyle w:val="af6"/>
              <w:rPr>
                <w:rFonts w:ascii="Calibri"/>
                <w:bCs/>
                <w:color w:val="auto"/>
                <w:szCs w:val="21"/>
              </w:rPr>
            </w:pPr>
          </w:p>
        </w:tc>
      </w:tr>
      <w:tr w:rsidR="00656A07" w:rsidRPr="00A964FF" w14:paraId="01B74E51" w14:textId="77777777" w:rsidTr="001419B6">
        <w:trPr>
          <w:trHeight w:val="340"/>
          <w:jc w:val="right"/>
        </w:trPr>
        <w:tc>
          <w:tcPr>
            <w:tcW w:w="543" w:type="pct"/>
            <w:vAlign w:val="center"/>
          </w:tcPr>
          <w:p w14:paraId="0119CD6E" w14:textId="77777777" w:rsidR="00656A07" w:rsidRPr="00A964FF" w:rsidRDefault="001419B6" w:rsidP="006A7BA8">
            <w:pPr>
              <w:jc w:val="center"/>
              <w:rPr>
                <w:rFonts w:ascii="Calibri"/>
                <w:bCs/>
                <w:color w:val="auto"/>
                <w:szCs w:val="21"/>
              </w:rPr>
            </w:pPr>
            <w:r>
              <w:rPr>
                <w:rFonts w:ascii="Calibri" w:hint="eastAsia"/>
                <w:bCs/>
                <w:color w:val="auto"/>
                <w:szCs w:val="21"/>
              </w:rPr>
              <w:t>3</w:t>
            </w:r>
          </w:p>
        </w:tc>
        <w:tc>
          <w:tcPr>
            <w:tcW w:w="1181" w:type="pct"/>
            <w:vAlign w:val="center"/>
          </w:tcPr>
          <w:p w14:paraId="55EA9CBF" w14:textId="77777777" w:rsidR="00656A07" w:rsidRPr="00A964FF" w:rsidRDefault="006D1907" w:rsidP="00656A07">
            <w:pPr>
              <w:jc w:val="center"/>
              <w:rPr>
                <w:rFonts w:cs="Times New Roman"/>
                <w:color w:val="auto"/>
                <w:szCs w:val="21"/>
              </w:rPr>
            </w:pPr>
            <w:r>
              <w:rPr>
                <w:rFonts w:cs="Times New Roman" w:hint="eastAsia"/>
                <w:color w:val="auto"/>
                <w:szCs w:val="21"/>
              </w:rPr>
              <w:t>泥河张</w:t>
            </w:r>
          </w:p>
        </w:tc>
        <w:tc>
          <w:tcPr>
            <w:tcW w:w="896" w:type="pct"/>
            <w:vAlign w:val="center"/>
          </w:tcPr>
          <w:p w14:paraId="248C368A" w14:textId="77777777" w:rsidR="00656A07" w:rsidRPr="00227625" w:rsidRDefault="00A94556" w:rsidP="00DB1CA5">
            <w:pPr>
              <w:jc w:val="center"/>
              <w:rPr>
                <w:rFonts w:asciiTheme="minorHAnsi" w:hAnsiTheme="minorHAnsi" w:cstheme="minorHAnsi"/>
                <w:color w:val="auto"/>
                <w:szCs w:val="21"/>
              </w:rPr>
            </w:pPr>
            <w:r w:rsidRPr="00227625">
              <w:rPr>
                <w:rFonts w:asciiTheme="minorHAnsi" w:hAnsiTheme="minorHAnsi" w:cstheme="minorHAnsi"/>
                <w:color w:val="auto"/>
                <w:szCs w:val="21"/>
              </w:rPr>
              <w:t>SE</w:t>
            </w:r>
          </w:p>
        </w:tc>
        <w:tc>
          <w:tcPr>
            <w:tcW w:w="813" w:type="pct"/>
            <w:tcBorders>
              <w:right w:val="single" w:sz="2" w:space="0" w:color="auto"/>
            </w:tcBorders>
            <w:vAlign w:val="center"/>
          </w:tcPr>
          <w:p w14:paraId="32150155" w14:textId="77777777" w:rsidR="00656A07" w:rsidRPr="00A964FF" w:rsidRDefault="00A94556" w:rsidP="00DB1CA5">
            <w:pPr>
              <w:jc w:val="center"/>
              <w:rPr>
                <w:rFonts w:ascii="Calibri" w:hAnsi="Calibri"/>
                <w:color w:val="auto"/>
                <w:szCs w:val="21"/>
              </w:rPr>
            </w:pPr>
            <w:r>
              <w:rPr>
                <w:rFonts w:ascii="Calibri" w:hAnsi="Calibri"/>
                <w:color w:val="auto"/>
                <w:szCs w:val="21"/>
              </w:rPr>
              <w:t>556</w:t>
            </w:r>
          </w:p>
        </w:tc>
        <w:tc>
          <w:tcPr>
            <w:tcW w:w="813" w:type="pct"/>
            <w:tcBorders>
              <w:left w:val="single" w:sz="2" w:space="0" w:color="auto"/>
              <w:right w:val="single" w:sz="4" w:space="0" w:color="auto"/>
            </w:tcBorders>
            <w:vAlign w:val="center"/>
          </w:tcPr>
          <w:p w14:paraId="6AE0F25E" w14:textId="77777777" w:rsidR="00656A07" w:rsidRPr="00A964FF" w:rsidRDefault="00A94556" w:rsidP="00162031">
            <w:pPr>
              <w:jc w:val="center"/>
              <w:rPr>
                <w:rFonts w:ascii="Calibri" w:hAnsi="Calibri"/>
                <w:color w:val="auto"/>
                <w:szCs w:val="21"/>
              </w:rPr>
            </w:pPr>
            <w:r w:rsidRPr="00623F1E">
              <w:rPr>
                <w:rFonts w:ascii="Calibri" w:hAnsi="Calibri" w:hint="eastAsia"/>
                <w:szCs w:val="21"/>
              </w:rPr>
              <w:t>侧游</w:t>
            </w:r>
          </w:p>
        </w:tc>
        <w:tc>
          <w:tcPr>
            <w:tcW w:w="754" w:type="pct"/>
            <w:vMerge/>
            <w:tcBorders>
              <w:left w:val="single" w:sz="4" w:space="0" w:color="auto"/>
            </w:tcBorders>
            <w:vAlign w:val="center"/>
          </w:tcPr>
          <w:p w14:paraId="52BEEDD8" w14:textId="77777777" w:rsidR="00656A07" w:rsidRPr="00A964FF" w:rsidRDefault="00656A07" w:rsidP="004A3168">
            <w:pPr>
              <w:pStyle w:val="af6"/>
              <w:rPr>
                <w:rFonts w:ascii="Calibri"/>
                <w:bCs/>
                <w:color w:val="auto"/>
                <w:szCs w:val="21"/>
              </w:rPr>
            </w:pPr>
          </w:p>
        </w:tc>
      </w:tr>
      <w:tr w:rsidR="00656A07" w:rsidRPr="00A964FF" w14:paraId="1A528B31" w14:textId="77777777" w:rsidTr="001419B6">
        <w:trPr>
          <w:trHeight w:val="340"/>
          <w:jc w:val="right"/>
        </w:trPr>
        <w:tc>
          <w:tcPr>
            <w:tcW w:w="543" w:type="pct"/>
            <w:vAlign w:val="center"/>
          </w:tcPr>
          <w:p w14:paraId="70441A8B" w14:textId="77777777" w:rsidR="00656A07" w:rsidRPr="00A964FF" w:rsidRDefault="001419B6" w:rsidP="006A7BA8">
            <w:pPr>
              <w:jc w:val="center"/>
              <w:rPr>
                <w:rFonts w:ascii="Calibri"/>
                <w:bCs/>
                <w:color w:val="auto"/>
                <w:szCs w:val="21"/>
              </w:rPr>
            </w:pPr>
            <w:r>
              <w:rPr>
                <w:rFonts w:ascii="Calibri" w:hint="eastAsia"/>
                <w:bCs/>
                <w:color w:val="auto"/>
                <w:szCs w:val="21"/>
              </w:rPr>
              <w:t>4</w:t>
            </w:r>
          </w:p>
        </w:tc>
        <w:tc>
          <w:tcPr>
            <w:tcW w:w="1181" w:type="pct"/>
            <w:vAlign w:val="center"/>
          </w:tcPr>
          <w:p w14:paraId="7FBB2B46" w14:textId="77777777" w:rsidR="00656A07" w:rsidRPr="00227625" w:rsidRDefault="006D1907" w:rsidP="00A94556">
            <w:pPr>
              <w:rPr>
                <w:rFonts w:cs="Times New Roman"/>
                <w:color w:val="auto"/>
                <w:szCs w:val="21"/>
              </w:rPr>
            </w:pPr>
            <w:r>
              <w:rPr>
                <w:rFonts w:cs="Times New Roman" w:hint="eastAsia"/>
                <w:color w:val="auto"/>
                <w:szCs w:val="21"/>
              </w:rPr>
              <w:t>坡</w:t>
            </w:r>
            <w:r>
              <w:rPr>
                <w:rFonts w:cs="Times New Roman"/>
                <w:color w:val="auto"/>
                <w:szCs w:val="21"/>
              </w:rPr>
              <w:t>宋村</w:t>
            </w:r>
            <w:r w:rsidR="00A94556" w:rsidRPr="00BB5174">
              <w:rPr>
                <w:rFonts w:ascii="Calibri" w:hAnsi="Calibri" w:hint="eastAsia"/>
                <w:szCs w:val="21"/>
              </w:rPr>
              <w:t>（遗留水井）</w:t>
            </w:r>
          </w:p>
        </w:tc>
        <w:tc>
          <w:tcPr>
            <w:tcW w:w="896" w:type="pct"/>
            <w:vAlign w:val="center"/>
          </w:tcPr>
          <w:p w14:paraId="4A781909" w14:textId="77777777" w:rsidR="00656A07" w:rsidRPr="00227625" w:rsidRDefault="00A94556" w:rsidP="00DB1CA5">
            <w:pPr>
              <w:jc w:val="center"/>
              <w:rPr>
                <w:rFonts w:asciiTheme="minorHAnsi" w:hAnsiTheme="minorHAnsi" w:cstheme="minorHAnsi"/>
                <w:color w:val="auto"/>
                <w:szCs w:val="21"/>
              </w:rPr>
            </w:pPr>
            <w:r>
              <w:rPr>
                <w:rFonts w:asciiTheme="minorHAnsi" w:hAnsiTheme="minorHAnsi" w:cstheme="minorHAnsi"/>
                <w:color w:val="auto"/>
                <w:szCs w:val="21"/>
              </w:rPr>
              <w:t>N</w:t>
            </w:r>
            <w:r w:rsidRPr="00227625">
              <w:rPr>
                <w:rFonts w:asciiTheme="minorHAnsi" w:hAnsiTheme="minorHAnsi" w:cstheme="minorHAnsi"/>
                <w:color w:val="auto"/>
                <w:szCs w:val="21"/>
              </w:rPr>
              <w:t>E</w:t>
            </w:r>
          </w:p>
        </w:tc>
        <w:tc>
          <w:tcPr>
            <w:tcW w:w="813" w:type="pct"/>
            <w:tcBorders>
              <w:right w:val="single" w:sz="2" w:space="0" w:color="auto"/>
            </w:tcBorders>
            <w:vAlign w:val="center"/>
          </w:tcPr>
          <w:p w14:paraId="7C654ACD" w14:textId="77777777" w:rsidR="00656A07" w:rsidRPr="00A964FF" w:rsidRDefault="00A94556" w:rsidP="00DB1CA5">
            <w:pPr>
              <w:jc w:val="center"/>
              <w:rPr>
                <w:rFonts w:ascii="Calibri" w:hAnsi="Calibri"/>
                <w:color w:val="auto"/>
                <w:szCs w:val="21"/>
              </w:rPr>
            </w:pPr>
            <w:r>
              <w:rPr>
                <w:rFonts w:ascii="Calibri" w:hAnsi="Calibri"/>
                <w:color w:val="auto"/>
                <w:szCs w:val="21"/>
              </w:rPr>
              <w:t>550</w:t>
            </w:r>
          </w:p>
        </w:tc>
        <w:tc>
          <w:tcPr>
            <w:tcW w:w="813" w:type="pct"/>
            <w:tcBorders>
              <w:left w:val="single" w:sz="2" w:space="0" w:color="auto"/>
              <w:right w:val="single" w:sz="4" w:space="0" w:color="auto"/>
            </w:tcBorders>
            <w:vAlign w:val="center"/>
          </w:tcPr>
          <w:p w14:paraId="54F3A730" w14:textId="77777777" w:rsidR="00656A07" w:rsidRPr="00A964FF" w:rsidRDefault="00227625" w:rsidP="00162031">
            <w:pPr>
              <w:jc w:val="center"/>
              <w:rPr>
                <w:rFonts w:ascii="Calibri" w:hAnsi="Calibri"/>
                <w:color w:val="auto"/>
                <w:szCs w:val="21"/>
              </w:rPr>
            </w:pPr>
            <w:r>
              <w:rPr>
                <w:rFonts w:ascii="Calibri" w:hAnsi="Calibri" w:hint="eastAsia"/>
                <w:color w:val="auto"/>
                <w:szCs w:val="21"/>
              </w:rPr>
              <w:t>下游</w:t>
            </w:r>
          </w:p>
        </w:tc>
        <w:tc>
          <w:tcPr>
            <w:tcW w:w="754" w:type="pct"/>
            <w:vMerge/>
            <w:tcBorders>
              <w:left w:val="single" w:sz="4" w:space="0" w:color="auto"/>
            </w:tcBorders>
            <w:vAlign w:val="center"/>
          </w:tcPr>
          <w:p w14:paraId="2261BB13" w14:textId="77777777" w:rsidR="00656A07" w:rsidRPr="00A964FF" w:rsidRDefault="00656A07" w:rsidP="004A3168">
            <w:pPr>
              <w:pStyle w:val="af6"/>
              <w:rPr>
                <w:rFonts w:ascii="Calibri"/>
                <w:bCs/>
                <w:color w:val="auto"/>
                <w:szCs w:val="21"/>
              </w:rPr>
            </w:pPr>
          </w:p>
        </w:tc>
      </w:tr>
      <w:tr w:rsidR="001419B6" w:rsidRPr="00A964FF" w14:paraId="0E35A216" w14:textId="77777777" w:rsidTr="001419B6">
        <w:trPr>
          <w:trHeight w:val="340"/>
          <w:jc w:val="right"/>
        </w:trPr>
        <w:tc>
          <w:tcPr>
            <w:tcW w:w="543" w:type="pct"/>
            <w:vAlign w:val="center"/>
          </w:tcPr>
          <w:p w14:paraId="6BB28E9F" w14:textId="77777777" w:rsidR="001419B6" w:rsidRPr="00A964FF" w:rsidRDefault="001419B6" w:rsidP="006A7BA8">
            <w:pPr>
              <w:jc w:val="center"/>
              <w:rPr>
                <w:rFonts w:ascii="Calibri"/>
                <w:bCs/>
                <w:color w:val="auto"/>
                <w:szCs w:val="21"/>
              </w:rPr>
            </w:pPr>
            <w:r>
              <w:rPr>
                <w:rFonts w:ascii="Calibri" w:hint="eastAsia"/>
                <w:bCs/>
                <w:color w:val="auto"/>
                <w:szCs w:val="21"/>
              </w:rPr>
              <w:t>5</w:t>
            </w:r>
          </w:p>
        </w:tc>
        <w:tc>
          <w:tcPr>
            <w:tcW w:w="1181" w:type="pct"/>
            <w:vAlign w:val="center"/>
          </w:tcPr>
          <w:p w14:paraId="3C164FF7" w14:textId="77777777" w:rsidR="001419B6" w:rsidRPr="00227625" w:rsidRDefault="00A94556" w:rsidP="00DB1CA5">
            <w:pPr>
              <w:jc w:val="center"/>
              <w:rPr>
                <w:rFonts w:cs="Times New Roman"/>
                <w:color w:val="auto"/>
                <w:szCs w:val="21"/>
              </w:rPr>
            </w:pPr>
            <w:r>
              <w:rPr>
                <w:rFonts w:cs="Times New Roman" w:hint="eastAsia"/>
                <w:color w:val="auto"/>
                <w:szCs w:val="21"/>
              </w:rPr>
              <w:t>周庄</w:t>
            </w:r>
          </w:p>
        </w:tc>
        <w:tc>
          <w:tcPr>
            <w:tcW w:w="896" w:type="pct"/>
            <w:vAlign w:val="center"/>
          </w:tcPr>
          <w:p w14:paraId="3F068747" w14:textId="77777777" w:rsidR="001419B6" w:rsidRPr="00227625" w:rsidRDefault="00A94556" w:rsidP="00DB1CA5">
            <w:pPr>
              <w:jc w:val="center"/>
              <w:rPr>
                <w:rFonts w:asciiTheme="minorHAnsi" w:hAnsiTheme="minorHAnsi" w:cstheme="minorHAnsi"/>
                <w:color w:val="auto"/>
                <w:szCs w:val="21"/>
              </w:rPr>
            </w:pPr>
            <w:r w:rsidRPr="00227625">
              <w:rPr>
                <w:rFonts w:asciiTheme="minorHAnsi" w:hAnsiTheme="minorHAnsi" w:cstheme="minorHAnsi"/>
                <w:color w:val="auto"/>
                <w:szCs w:val="21"/>
              </w:rPr>
              <w:t>SW</w:t>
            </w:r>
          </w:p>
        </w:tc>
        <w:tc>
          <w:tcPr>
            <w:tcW w:w="813" w:type="pct"/>
            <w:tcBorders>
              <w:right w:val="single" w:sz="2" w:space="0" w:color="auto"/>
            </w:tcBorders>
            <w:vAlign w:val="center"/>
          </w:tcPr>
          <w:p w14:paraId="788092BF" w14:textId="77777777" w:rsidR="001419B6" w:rsidRPr="00A964FF" w:rsidRDefault="00A94556" w:rsidP="00DB1CA5">
            <w:pPr>
              <w:jc w:val="center"/>
              <w:rPr>
                <w:rFonts w:ascii="Calibri" w:hAnsi="Calibri"/>
                <w:color w:val="auto"/>
                <w:szCs w:val="21"/>
              </w:rPr>
            </w:pPr>
            <w:r>
              <w:rPr>
                <w:rFonts w:ascii="Calibri" w:hAnsi="Calibri"/>
                <w:color w:val="auto"/>
                <w:szCs w:val="21"/>
              </w:rPr>
              <w:t>890</w:t>
            </w:r>
          </w:p>
        </w:tc>
        <w:tc>
          <w:tcPr>
            <w:tcW w:w="813" w:type="pct"/>
            <w:tcBorders>
              <w:left w:val="single" w:sz="2" w:space="0" w:color="auto"/>
              <w:right w:val="single" w:sz="4" w:space="0" w:color="auto"/>
            </w:tcBorders>
            <w:vAlign w:val="center"/>
          </w:tcPr>
          <w:p w14:paraId="778A8F10" w14:textId="77777777" w:rsidR="001419B6" w:rsidRPr="00A964FF" w:rsidRDefault="00A94556" w:rsidP="00162031">
            <w:pPr>
              <w:jc w:val="center"/>
              <w:rPr>
                <w:rFonts w:ascii="Calibri" w:hAnsi="Calibri"/>
                <w:color w:val="auto"/>
                <w:szCs w:val="21"/>
              </w:rPr>
            </w:pPr>
            <w:r>
              <w:rPr>
                <w:rFonts w:ascii="Calibri" w:hAnsi="Calibri" w:hint="eastAsia"/>
                <w:color w:val="auto"/>
                <w:szCs w:val="21"/>
              </w:rPr>
              <w:t>上游</w:t>
            </w:r>
          </w:p>
        </w:tc>
        <w:tc>
          <w:tcPr>
            <w:tcW w:w="754" w:type="pct"/>
            <w:vMerge/>
            <w:tcBorders>
              <w:left w:val="single" w:sz="4" w:space="0" w:color="auto"/>
            </w:tcBorders>
            <w:vAlign w:val="center"/>
          </w:tcPr>
          <w:p w14:paraId="199F4563" w14:textId="77777777" w:rsidR="001419B6" w:rsidRPr="00A964FF" w:rsidRDefault="001419B6" w:rsidP="004A3168">
            <w:pPr>
              <w:pStyle w:val="af6"/>
              <w:rPr>
                <w:rFonts w:ascii="Calibri"/>
                <w:bCs/>
                <w:color w:val="auto"/>
                <w:szCs w:val="21"/>
              </w:rPr>
            </w:pPr>
          </w:p>
        </w:tc>
      </w:tr>
      <w:tr w:rsidR="00A94556" w:rsidRPr="00A964FF" w14:paraId="4F563E3D" w14:textId="77777777" w:rsidTr="001419B6">
        <w:trPr>
          <w:trHeight w:val="340"/>
          <w:jc w:val="right"/>
        </w:trPr>
        <w:tc>
          <w:tcPr>
            <w:tcW w:w="543" w:type="pct"/>
            <w:vAlign w:val="center"/>
          </w:tcPr>
          <w:p w14:paraId="3A97E588" w14:textId="77777777" w:rsidR="00A94556" w:rsidRPr="00A964FF" w:rsidRDefault="00A94556" w:rsidP="00A94556">
            <w:pPr>
              <w:jc w:val="center"/>
              <w:rPr>
                <w:rFonts w:ascii="Calibri"/>
                <w:bCs/>
                <w:color w:val="auto"/>
                <w:szCs w:val="21"/>
              </w:rPr>
            </w:pPr>
            <w:r>
              <w:rPr>
                <w:rFonts w:ascii="Calibri" w:hint="eastAsia"/>
                <w:bCs/>
                <w:color w:val="auto"/>
                <w:szCs w:val="21"/>
              </w:rPr>
              <w:t>6</w:t>
            </w:r>
          </w:p>
        </w:tc>
        <w:tc>
          <w:tcPr>
            <w:tcW w:w="1181" w:type="pct"/>
            <w:vAlign w:val="center"/>
          </w:tcPr>
          <w:p w14:paraId="704D6D71" w14:textId="77777777" w:rsidR="00A94556" w:rsidRPr="00BB5174" w:rsidRDefault="00A94556" w:rsidP="00A94556">
            <w:pPr>
              <w:jc w:val="center"/>
              <w:rPr>
                <w:rFonts w:ascii="Calibri" w:hAnsi="Calibri"/>
                <w:szCs w:val="21"/>
              </w:rPr>
            </w:pPr>
            <w:r w:rsidRPr="00BB5174">
              <w:rPr>
                <w:rFonts w:ascii="Calibri" w:hAnsi="Calibri" w:hint="eastAsia"/>
                <w:szCs w:val="21"/>
              </w:rPr>
              <w:t>席庄</w:t>
            </w:r>
          </w:p>
        </w:tc>
        <w:tc>
          <w:tcPr>
            <w:tcW w:w="896" w:type="pct"/>
            <w:vAlign w:val="center"/>
          </w:tcPr>
          <w:p w14:paraId="656C7C7D" w14:textId="77777777" w:rsidR="00A94556" w:rsidRPr="00227625" w:rsidRDefault="00A94556" w:rsidP="00A94556">
            <w:pPr>
              <w:jc w:val="center"/>
              <w:rPr>
                <w:rFonts w:asciiTheme="minorHAnsi" w:hAnsiTheme="minorHAnsi" w:cstheme="minorHAnsi"/>
                <w:color w:val="auto"/>
                <w:szCs w:val="21"/>
              </w:rPr>
            </w:pPr>
            <w:r w:rsidRPr="00227625">
              <w:rPr>
                <w:rFonts w:asciiTheme="minorHAnsi" w:hAnsiTheme="minorHAnsi" w:cstheme="minorHAnsi"/>
                <w:color w:val="auto"/>
                <w:szCs w:val="21"/>
              </w:rPr>
              <w:t>W</w:t>
            </w:r>
          </w:p>
        </w:tc>
        <w:tc>
          <w:tcPr>
            <w:tcW w:w="813" w:type="pct"/>
            <w:tcBorders>
              <w:right w:val="single" w:sz="2" w:space="0" w:color="auto"/>
            </w:tcBorders>
            <w:vAlign w:val="center"/>
          </w:tcPr>
          <w:p w14:paraId="0DF0ABBE" w14:textId="77777777" w:rsidR="00A94556" w:rsidRPr="00A964FF" w:rsidRDefault="00A94556" w:rsidP="00A94556">
            <w:pPr>
              <w:jc w:val="center"/>
              <w:rPr>
                <w:rFonts w:ascii="Calibri" w:hAnsi="Calibri"/>
                <w:color w:val="auto"/>
                <w:szCs w:val="21"/>
              </w:rPr>
            </w:pPr>
            <w:r>
              <w:rPr>
                <w:rFonts w:ascii="Calibri" w:hAnsi="Calibri"/>
                <w:color w:val="auto"/>
                <w:szCs w:val="21"/>
              </w:rPr>
              <w:t>2430</w:t>
            </w:r>
          </w:p>
        </w:tc>
        <w:tc>
          <w:tcPr>
            <w:tcW w:w="813" w:type="pct"/>
            <w:tcBorders>
              <w:left w:val="single" w:sz="2" w:space="0" w:color="auto"/>
              <w:right w:val="single" w:sz="4" w:space="0" w:color="auto"/>
            </w:tcBorders>
            <w:vAlign w:val="center"/>
          </w:tcPr>
          <w:p w14:paraId="64F953D0" w14:textId="77777777" w:rsidR="00A94556" w:rsidRPr="00A964FF" w:rsidRDefault="00A94556" w:rsidP="00A94556">
            <w:pPr>
              <w:jc w:val="center"/>
              <w:rPr>
                <w:rFonts w:ascii="Calibri" w:hAnsi="Calibri"/>
                <w:color w:val="auto"/>
                <w:szCs w:val="21"/>
              </w:rPr>
            </w:pPr>
            <w:r>
              <w:rPr>
                <w:rFonts w:ascii="Calibri" w:hAnsi="Calibri" w:hint="eastAsia"/>
                <w:color w:val="auto"/>
                <w:szCs w:val="21"/>
              </w:rPr>
              <w:t>上游</w:t>
            </w:r>
          </w:p>
        </w:tc>
        <w:tc>
          <w:tcPr>
            <w:tcW w:w="754" w:type="pct"/>
            <w:vMerge w:val="restart"/>
            <w:tcBorders>
              <w:left w:val="single" w:sz="4" w:space="0" w:color="auto"/>
            </w:tcBorders>
            <w:vAlign w:val="center"/>
          </w:tcPr>
          <w:p w14:paraId="4C1150D1" w14:textId="77777777" w:rsidR="00A94556" w:rsidRPr="00A964FF" w:rsidRDefault="00A94556" w:rsidP="00A94556">
            <w:pPr>
              <w:jc w:val="center"/>
              <w:rPr>
                <w:rFonts w:ascii="Calibri"/>
                <w:bCs/>
                <w:color w:val="auto"/>
                <w:szCs w:val="21"/>
              </w:rPr>
            </w:pPr>
            <w:r w:rsidRPr="00A964FF">
              <w:rPr>
                <w:rFonts w:ascii="Calibri" w:hint="eastAsia"/>
                <w:bCs/>
                <w:color w:val="auto"/>
                <w:szCs w:val="21"/>
              </w:rPr>
              <w:t>水位监测点</w:t>
            </w:r>
          </w:p>
        </w:tc>
      </w:tr>
      <w:tr w:rsidR="00A94556" w:rsidRPr="00A964FF" w14:paraId="6EC62B26" w14:textId="77777777" w:rsidTr="001419B6">
        <w:trPr>
          <w:trHeight w:val="340"/>
          <w:jc w:val="right"/>
        </w:trPr>
        <w:tc>
          <w:tcPr>
            <w:tcW w:w="543" w:type="pct"/>
            <w:vAlign w:val="center"/>
          </w:tcPr>
          <w:p w14:paraId="3A9E7B9C" w14:textId="77777777" w:rsidR="00A94556" w:rsidRPr="00A964FF" w:rsidRDefault="00A94556" w:rsidP="00A94556">
            <w:pPr>
              <w:jc w:val="center"/>
              <w:rPr>
                <w:rFonts w:ascii="Calibri"/>
                <w:bCs/>
                <w:color w:val="auto"/>
                <w:szCs w:val="21"/>
              </w:rPr>
            </w:pPr>
            <w:r>
              <w:rPr>
                <w:rFonts w:ascii="Calibri" w:hint="eastAsia"/>
                <w:bCs/>
                <w:color w:val="auto"/>
                <w:szCs w:val="21"/>
              </w:rPr>
              <w:t>7</w:t>
            </w:r>
          </w:p>
        </w:tc>
        <w:tc>
          <w:tcPr>
            <w:tcW w:w="1181" w:type="pct"/>
            <w:vAlign w:val="center"/>
          </w:tcPr>
          <w:p w14:paraId="6CF8D427" w14:textId="77777777" w:rsidR="00A94556" w:rsidRPr="00BB5174" w:rsidRDefault="00A94556" w:rsidP="00A94556">
            <w:pPr>
              <w:jc w:val="center"/>
              <w:rPr>
                <w:rFonts w:ascii="Calibri" w:hAnsi="Calibri"/>
                <w:szCs w:val="21"/>
              </w:rPr>
            </w:pPr>
            <w:r w:rsidRPr="00BB5174">
              <w:rPr>
                <w:rFonts w:ascii="Calibri" w:hAnsi="Calibri" w:hint="eastAsia"/>
                <w:szCs w:val="21"/>
              </w:rPr>
              <w:t>叶寨</w:t>
            </w:r>
          </w:p>
        </w:tc>
        <w:tc>
          <w:tcPr>
            <w:tcW w:w="896" w:type="pct"/>
            <w:vAlign w:val="center"/>
          </w:tcPr>
          <w:p w14:paraId="20EFDD1F" w14:textId="77777777" w:rsidR="00A94556" w:rsidRPr="00227625" w:rsidRDefault="00A94556" w:rsidP="00A94556">
            <w:pPr>
              <w:jc w:val="center"/>
              <w:rPr>
                <w:rFonts w:asciiTheme="minorHAnsi" w:hAnsiTheme="minorHAnsi" w:cstheme="minorHAnsi"/>
                <w:color w:val="auto"/>
                <w:szCs w:val="21"/>
              </w:rPr>
            </w:pPr>
            <w:r w:rsidRPr="00227625">
              <w:rPr>
                <w:rFonts w:asciiTheme="minorHAnsi" w:hAnsiTheme="minorHAnsi" w:cstheme="minorHAnsi"/>
                <w:color w:val="auto"/>
                <w:szCs w:val="21"/>
              </w:rPr>
              <w:t>SW</w:t>
            </w:r>
          </w:p>
        </w:tc>
        <w:tc>
          <w:tcPr>
            <w:tcW w:w="813" w:type="pct"/>
            <w:tcBorders>
              <w:right w:val="single" w:sz="2" w:space="0" w:color="auto"/>
            </w:tcBorders>
            <w:vAlign w:val="center"/>
          </w:tcPr>
          <w:p w14:paraId="2D02B8F7" w14:textId="77777777" w:rsidR="00A94556" w:rsidRPr="00A964FF" w:rsidRDefault="00A94556" w:rsidP="00A94556">
            <w:pPr>
              <w:jc w:val="center"/>
              <w:rPr>
                <w:rFonts w:ascii="Calibri" w:hAnsi="Calibri"/>
                <w:color w:val="auto"/>
                <w:szCs w:val="21"/>
              </w:rPr>
            </w:pPr>
            <w:r>
              <w:rPr>
                <w:rFonts w:ascii="Calibri" w:hAnsi="Calibri"/>
                <w:color w:val="auto"/>
                <w:szCs w:val="21"/>
              </w:rPr>
              <w:t>3202</w:t>
            </w:r>
          </w:p>
        </w:tc>
        <w:tc>
          <w:tcPr>
            <w:tcW w:w="813" w:type="pct"/>
            <w:tcBorders>
              <w:left w:val="single" w:sz="2" w:space="0" w:color="auto"/>
              <w:right w:val="single" w:sz="4" w:space="0" w:color="auto"/>
            </w:tcBorders>
            <w:vAlign w:val="center"/>
          </w:tcPr>
          <w:p w14:paraId="5C7EB93D" w14:textId="77777777" w:rsidR="00A94556" w:rsidRPr="00A964FF" w:rsidRDefault="00A94556" w:rsidP="00A94556">
            <w:pPr>
              <w:jc w:val="center"/>
              <w:rPr>
                <w:rFonts w:ascii="Calibri" w:hAnsi="Calibri"/>
                <w:color w:val="auto"/>
                <w:szCs w:val="21"/>
              </w:rPr>
            </w:pPr>
            <w:r>
              <w:rPr>
                <w:rFonts w:ascii="Calibri" w:hAnsi="Calibri" w:hint="eastAsia"/>
                <w:color w:val="auto"/>
                <w:szCs w:val="21"/>
              </w:rPr>
              <w:t>上游</w:t>
            </w:r>
          </w:p>
        </w:tc>
        <w:tc>
          <w:tcPr>
            <w:tcW w:w="754" w:type="pct"/>
            <w:vMerge/>
            <w:tcBorders>
              <w:left w:val="single" w:sz="4" w:space="0" w:color="auto"/>
            </w:tcBorders>
            <w:vAlign w:val="center"/>
          </w:tcPr>
          <w:p w14:paraId="04954D61" w14:textId="77777777" w:rsidR="00A94556" w:rsidRPr="00A964FF" w:rsidRDefault="00A94556" w:rsidP="00A94556">
            <w:pPr>
              <w:jc w:val="center"/>
              <w:rPr>
                <w:rFonts w:ascii="Calibri"/>
                <w:color w:val="auto"/>
                <w:szCs w:val="21"/>
              </w:rPr>
            </w:pPr>
          </w:p>
        </w:tc>
      </w:tr>
      <w:tr w:rsidR="00A94556" w:rsidRPr="00A964FF" w14:paraId="360A132B" w14:textId="77777777" w:rsidTr="001419B6">
        <w:trPr>
          <w:trHeight w:val="340"/>
          <w:jc w:val="right"/>
        </w:trPr>
        <w:tc>
          <w:tcPr>
            <w:tcW w:w="543" w:type="pct"/>
            <w:vAlign w:val="center"/>
          </w:tcPr>
          <w:p w14:paraId="43723163" w14:textId="77777777" w:rsidR="00A94556" w:rsidRPr="00A964FF" w:rsidRDefault="00A94556" w:rsidP="00A94556">
            <w:pPr>
              <w:jc w:val="center"/>
              <w:rPr>
                <w:rFonts w:ascii="Calibri"/>
                <w:bCs/>
                <w:color w:val="auto"/>
                <w:szCs w:val="21"/>
              </w:rPr>
            </w:pPr>
            <w:r>
              <w:rPr>
                <w:rFonts w:ascii="Calibri" w:hint="eastAsia"/>
                <w:bCs/>
                <w:color w:val="auto"/>
                <w:szCs w:val="21"/>
              </w:rPr>
              <w:t>8</w:t>
            </w:r>
          </w:p>
        </w:tc>
        <w:tc>
          <w:tcPr>
            <w:tcW w:w="1181" w:type="pct"/>
            <w:vAlign w:val="center"/>
          </w:tcPr>
          <w:p w14:paraId="0EDD820D" w14:textId="77777777" w:rsidR="00A94556" w:rsidRPr="00BB5174" w:rsidRDefault="00A94556" w:rsidP="00A94556">
            <w:pPr>
              <w:jc w:val="center"/>
              <w:rPr>
                <w:rFonts w:ascii="Calibri" w:hAnsi="Calibri"/>
                <w:szCs w:val="21"/>
              </w:rPr>
            </w:pPr>
            <w:r w:rsidRPr="00BB5174">
              <w:rPr>
                <w:rFonts w:ascii="Calibri" w:hAnsi="Calibri" w:hint="eastAsia"/>
                <w:szCs w:val="21"/>
              </w:rPr>
              <w:t>楼马村</w:t>
            </w:r>
          </w:p>
        </w:tc>
        <w:tc>
          <w:tcPr>
            <w:tcW w:w="896" w:type="pct"/>
            <w:vAlign w:val="center"/>
          </w:tcPr>
          <w:p w14:paraId="62D2F374" w14:textId="77777777" w:rsidR="00A94556" w:rsidRPr="00227625" w:rsidRDefault="00A94556" w:rsidP="00A94556">
            <w:pPr>
              <w:jc w:val="center"/>
              <w:rPr>
                <w:rFonts w:asciiTheme="minorHAnsi" w:hAnsiTheme="minorHAnsi" w:cstheme="minorHAnsi"/>
                <w:color w:val="auto"/>
                <w:szCs w:val="21"/>
              </w:rPr>
            </w:pPr>
            <w:r>
              <w:rPr>
                <w:rFonts w:asciiTheme="minorHAnsi" w:hAnsiTheme="minorHAnsi" w:cstheme="minorHAnsi"/>
                <w:color w:val="auto"/>
                <w:szCs w:val="21"/>
              </w:rPr>
              <w:t>N</w:t>
            </w:r>
            <w:r w:rsidRPr="00227625">
              <w:rPr>
                <w:rFonts w:asciiTheme="minorHAnsi" w:hAnsiTheme="minorHAnsi" w:cstheme="minorHAnsi"/>
                <w:color w:val="auto"/>
                <w:szCs w:val="21"/>
              </w:rPr>
              <w:t>E</w:t>
            </w:r>
          </w:p>
        </w:tc>
        <w:tc>
          <w:tcPr>
            <w:tcW w:w="813" w:type="pct"/>
            <w:tcBorders>
              <w:right w:val="single" w:sz="2" w:space="0" w:color="auto"/>
            </w:tcBorders>
            <w:vAlign w:val="center"/>
          </w:tcPr>
          <w:p w14:paraId="51D294F6" w14:textId="77777777" w:rsidR="00A94556" w:rsidRPr="00A964FF" w:rsidRDefault="00A94556" w:rsidP="00A94556">
            <w:pPr>
              <w:jc w:val="center"/>
              <w:rPr>
                <w:rFonts w:ascii="Calibri" w:hAnsi="Calibri"/>
                <w:color w:val="auto"/>
                <w:szCs w:val="21"/>
              </w:rPr>
            </w:pPr>
            <w:r>
              <w:rPr>
                <w:rFonts w:ascii="Calibri" w:hAnsi="Calibri"/>
                <w:color w:val="auto"/>
                <w:szCs w:val="21"/>
              </w:rPr>
              <w:t>2307</w:t>
            </w:r>
          </w:p>
        </w:tc>
        <w:tc>
          <w:tcPr>
            <w:tcW w:w="813" w:type="pct"/>
            <w:tcBorders>
              <w:left w:val="single" w:sz="2" w:space="0" w:color="auto"/>
              <w:right w:val="single" w:sz="4" w:space="0" w:color="auto"/>
            </w:tcBorders>
            <w:vAlign w:val="center"/>
          </w:tcPr>
          <w:p w14:paraId="16A989D2" w14:textId="77777777" w:rsidR="00A94556" w:rsidRPr="00A964FF" w:rsidRDefault="00A94556" w:rsidP="00A94556">
            <w:pPr>
              <w:jc w:val="center"/>
              <w:rPr>
                <w:rFonts w:ascii="Calibri" w:hAnsi="Calibri"/>
                <w:color w:val="auto"/>
                <w:szCs w:val="21"/>
              </w:rPr>
            </w:pPr>
            <w:r>
              <w:rPr>
                <w:rFonts w:ascii="Calibri" w:hAnsi="Calibri" w:hint="eastAsia"/>
                <w:color w:val="auto"/>
                <w:szCs w:val="21"/>
              </w:rPr>
              <w:t>下游</w:t>
            </w:r>
          </w:p>
        </w:tc>
        <w:tc>
          <w:tcPr>
            <w:tcW w:w="754" w:type="pct"/>
            <w:vMerge/>
            <w:tcBorders>
              <w:left w:val="single" w:sz="4" w:space="0" w:color="auto"/>
            </w:tcBorders>
            <w:vAlign w:val="center"/>
          </w:tcPr>
          <w:p w14:paraId="0118F8B6" w14:textId="77777777" w:rsidR="00A94556" w:rsidRPr="00A964FF" w:rsidRDefault="00A94556" w:rsidP="00A94556">
            <w:pPr>
              <w:jc w:val="center"/>
              <w:rPr>
                <w:rFonts w:ascii="Calibri"/>
                <w:color w:val="auto"/>
                <w:szCs w:val="21"/>
              </w:rPr>
            </w:pPr>
          </w:p>
        </w:tc>
      </w:tr>
      <w:tr w:rsidR="00A94556" w:rsidRPr="00A964FF" w14:paraId="7598B2F1" w14:textId="77777777" w:rsidTr="001419B6">
        <w:trPr>
          <w:trHeight w:val="340"/>
          <w:jc w:val="right"/>
        </w:trPr>
        <w:tc>
          <w:tcPr>
            <w:tcW w:w="543" w:type="pct"/>
            <w:vAlign w:val="center"/>
          </w:tcPr>
          <w:p w14:paraId="3B8E232D" w14:textId="77777777" w:rsidR="00A94556" w:rsidRPr="00A964FF" w:rsidRDefault="00A94556" w:rsidP="00A94556">
            <w:pPr>
              <w:jc w:val="center"/>
              <w:rPr>
                <w:rFonts w:ascii="Calibri"/>
                <w:bCs/>
                <w:color w:val="auto"/>
                <w:szCs w:val="21"/>
              </w:rPr>
            </w:pPr>
            <w:r>
              <w:rPr>
                <w:rFonts w:ascii="Calibri" w:hint="eastAsia"/>
                <w:bCs/>
                <w:color w:val="auto"/>
                <w:szCs w:val="21"/>
              </w:rPr>
              <w:t>9</w:t>
            </w:r>
          </w:p>
        </w:tc>
        <w:tc>
          <w:tcPr>
            <w:tcW w:w="1181" w:type="pct"/>
            <w:vAlign w:val="center"/>
          </w:tcPr>
          <w:p w14:paraId="56E85062" w14:textId="77777777" w:rsidR="00A94556" w:rsidRPr="00BB5174" w:rsidRDefault="00A94556" w:rsidP="00A94556">
            <w:pPr>
              <w:jc w:val="center"/>
              <w:rPr>
                <w:rFonts w:ascii="Calibri" w:hAnsi="Calibri"/>
                <w:szCs w:val="21"/>
              </w:rPr>
            </w:pPr>
            <w:r w:rsidRPr="00BB5174">
              <w:rPr>
                <w:rFonts w:ascii="Calibri" w:hAnsi="Calibri" w:hint="eastAsia"/>
                <w:szCs w:val="21"/>
              </w:rPr>
              <w:t>贺渡口村</w:t>
            </w:r>
          </w:p>
        </w:tc>
        <w:tc>
          <w:tcPr>
            <w:tcW w:w="896" w:type="pct"/>
            <w:vAlign w:val="center"/>
          </w:tcPr>
          <w:p w14:paraId="2960B40B" w14:textId="77777777" w:rsidR="00A94556" w:rsidRPr="00227625" w:rsidRDefault="00A94556" w:rsidP="00A94556">
            <w:pPr>
              <w:jc w:val="center"/>
              <w:rPr>
                <w:rFonts w:asciiTheme="minorHAnsi" w:hAnsiTheme="minorHAnsi" w:cstheme="minorHAnsi"/>
                <w:color w:val="auto"/>
                <w:szCs w:val="21"/>
              </w:rPr>
            </w:pPr>
            <w:r>
              <w:rPr>
                <w:rFonts w:asciiTheme="minorHAnsi" w:hAnsiTheme="minorHAnsi" w:cstheme="minorHAnsi"/>
                <w:color w:val="auto"/>
                <w:szCs w:val="21"/>
              </w:rPr>
              <w:t>N</w:t>
            </w:r>
          </w:p>
        </w:tc>
        <w:tc>
          <w:tcPr>
            <w:tcW w:w="813" w:type="pct"/>
            <w:tcBorders>
              <w:right w:val="single" w:sz="2" w:space="0" w:color="auto"/>
            </w:tcBorders>
            <w:vAlign w:val="center"/>
          </w:tcPr>
          <w:p w14:paraId="7DE7C7CF" w14:textId="77777777" w:rsidR="00A94556" w:rsidRPr="00A964FF" w:rsidRDefault="00A94556" w:rsidP="00A94556">
            <w:pPr>
              <w:jc w:val="center"/>
              <w:rPr>
                <w:rFonts w:ascii="Calibri" w:hAnsi="Calibri"/>
                <w:color w:val="auto"/>
                <w:szCs w:val="21"/>
              </w:rPr>
            </w:pPr>
            <w:r>
              <w:rPr>
                <w:rFonts w:ascii="Calibri" w:hAnsi="Calibri"/>
                <w:color w:val="auto"/>
                <w:szCs w:val="21"/>
              </w:rPr>
              <w:t>2270</w:t>
            </w:r>
          </w:p>
        </w:tc>
        <w:tc>
          <w:tcPr>
            <w:tcW w:w="813" w:type="pct"/>
            <w:tcBorders>
              <w:left w:val="single" w:sz="2" w:space="0" w:color="auto"/>
              <w:right w:val="single" w:sz="4" w:space="0" w:color="auto"/>
            </w:tcBorders>
            <w:vAlign w:val="center"/>
          </w:tcPr>
          <w:p w14:paraId="3FE94AC8" w14:textId="77777777" w:rsidR="00A94556" w:rsidRPr="00A964FF" w:rsidRDefault="00A94556" w:rsidP="00A94556">
            <w:pPr>
              <w:jc w:val="center"/>
              <w:rPr>
                <w:rFonts w:ascii="Calibri" w:hAnsi="Calibri"/>
                <w:color w:val="auto"/>
                <w:szCs w:val="21"/>
              </w:rPr>
            </w:pPr>
            <w:r>
              <w:rPr>
                <w:rFonts w:ascii="Calibri" w:hAnsi="Calibri" w:hint="eastAsia"/>
                <w:color w:val="auto"/>
                <w:szCs w:val="21"/>
              </w:rPr>
              <w:t>侧</w:t>
            </w:r>
            <w:r>
              <w:rPr>
                <w:rFonts w:ascii="Calibri" w:hAnsi="Calibri"/>
                <w:color w:val="auto"/>
                <w:szCs w:val="21"/>
              </w:rPr>
              <w:t>游</w:t>
            </w:r>
          </w:p>
        </w:tc>
        <w:tc>
          <w:tcPr>
            <w:tcW w:w="754" w:type="pct"/>
            <w:vMerge/>
            <w:tcBorders>
              <w:left w:val="single" w:sz="4" w:space="0" w:color="auto"/>
            </w:tcBorders>
            <w:vAlign w:val="center"/>
          </w:tcPr>
          <w:p w14:paraId="73E6BAC9" w14:textId="77777777" w:rsidR="00A94556" w:rsidRPr="00A964FF" w:rsidRDefault="00A94556" w:rsidP="00A94556">
            <w:pPr>
              <w:jc w:val="center"/>
              <w:rPr>
                <w:rFonts w:ascii="Calibri"/>
                <w:color w:val="auto"/>
                <w:szCs w:val="21"/>
              </w:rPr>
            </w:pPr>
          </w:p>
        </w:tc>
      </w:tr>
      <w:tr w:rsidR="00656A07" w:rsidRPr="00A964FF" w14:paraId="5F4071E5" w14:textId="77777777" w:rsidTr="001419B6">
        <w:trPr>
          <w:trHeight w:val="340"/>
          <w:jc w:val="right"/>
        </w:trPr>
        <w:tc>
          <w:tcPr>
            <w:tcW w:w="543" w:type="pct"/>
            <w:vAlign w:val="center"/>
          </w:tcPr>
          <w:p w14:paraId="7E15C68D" w14:textId="77777777" w:rsidR="00656A07" w:rsidRPr="00A964FF" w:rsidRDefault="001419B6" w:rsidP="003E0795">
            <w:pPr>
              <w:jc w:val="center"/>
              <w:rPr>
                <w:rFonts w:ascii="Calibri"/>
                <w:bCs/>
                <w:color w:val="auto"/>
                <w:szCs w:val="21"/>
              </w:rPr>
            </w:pPr>
            <w:r>
              <w:rPr>
                <w:rFonts w:ascii="Calibri" w:hint="eastAsia"/>
                <w:bCs/>
                <w:color w:val="auto"/>
                <w:szCs w:val="21"/>
              </w:rPr>
              <w:t>10</w:t>
            </w:r>
          </w:p>
        </w:tc>
        <w:tc>
          <w:tcPr>
            <w:tcW w:w="1181" w:type="pct"/>
            <w:vAlign w:val="center"/>
          </w:tcPr>
          <w:p w14:paraId="246F0AEE" w14:textId="77777777" w:rsidR="00656A07" w:rsidRPr="00A964FF" w:rsidRDefault="00A94556" w:rsidP="00DB1CA5">
            <w:pPr>
              <w:jc w:val="center"/>
              <w:rPr>
                <w:rFonts w:ascii="Calibri" w:hAnsi="Calibri"/>
                <w:color w:val="auto"/>
                <w:szCs w:val="21"/>
              </w:rPr>
            </w:pPr>
            <w:r w:rsidRPr="00BB5174">
              <w:rPr>
                <w:rFonts w:ascii="Calibri" w:hAnsi="Calibri" w:hint="eastAsia"/>
                <w:szCs w:val="21"/>
              </w:rPr>
              <w:t>余营村</w:t>
            </w:r>
          </w:p>
        </w:tc>
        <w:tc>
          <w:tcPr>
            <w:tcW w:w="896" w:type="pct"/>
            <w:vAlign w:val="center"/>
          </w:tcPr>
          <w:p w14:paraId="5303221A" w14:textId="77777777" w:rsidR="00656A07" w:rsidRPr="00227625" w:rsidRDefault="00A94556" w:rsidP="00DB1CA5">
            <w:pPr>
              <w:jc w:val="center"/>
              <w:rPr>
                <w:rFonts w:asciiTheme="minorHAnsi" w:hAnsiTheme="minorHAnsi" w:cstheme="minorHAnsi"/>
                <w:color w:val="auto"/>
                <w:szCs w:val="21"/>
              </w:rPr>
            </w:pPr>
            <w:r w:rsidRPr="00227625">
              <w:rPr>
                <w:rFonts w:asciiTheme="minorHAnsi" w:hAnsiTheme="minorHAnsi" w:cstheme="minorHAnsi"/>
                <w:color w:val="auto"/>
                <w:szCs w:val="21"/>
              </w:rPr>
              <w:t>SE</w:t>
            </w:r>
          </w:p>
        </w:tc>
        <w:tc>
          <w:tcPr>
            <w:tcW w:w="813" w:type="pct"/>
            <w:tcBorders>
              <w:right w:val="single" w:sz="2" w:space="0" w:color="auto"/>
            </w:tcBorders>
            <w:vAlign w:val="center"/>
          </w:tcPr>
          <w:p w14:paraId="3A4030E3" w14:textId="77777777" w:rsidR="00656A07" w:rsidRPr="00A964FF" w:rsidRDefault="00A94556" w:rsidP="00DB1CA5">
            <w:pPr>
              <w:jc w:val="center"/>
              <w:rPr>
                <w:rFonts w:ascii="Calibri" w:hAnsi="Calibri"/>
                <w:color w:val="auto"/>
                <w:szCs w:val="21"/>
              </w:rPr>
            </w:pPr>
            <w:r>
              <w:rPr>
                <w:rFonts w:ascii="Calibri" w:hAnsi="Calibri"/>
                <w:color w:val="auto"/>
                <w:szCs w:val="21"/>
              </w:rPr>
              <w:t>1407</w:t>
            </w:r>
          </w:p>
        </w:tc>
        <w:tc>
          <w:tcPr>
            <w:tcW w:w="813" w:type="pct"/>
            <w:tcBorders>
              <w:left w:val="single" w:sz="2" w:space="0" w:color="auto"/>
              <w:right w:val="single" w:sz="4" w:space="0" w:color="auto"/>
            </w:tcBorders>
            <w:vAlign w:val="center"/>
          </w:tcPr>
          <w:p w14:paraId="4BA04E74" w14:textId="77777777" w:rsidR="00656A07" w:rsidRPr="00A964FF" w:rsidRDefault="00A94556" w:rsidP="00162031">
            <w:pPr>
              <w:jc w:val="center"/>
              <w:rPr>
                <w:rFonts w:ascii="Calibri" w:hAnsi="Calibri"/>
                <w:color w:val="auto"/>
                <w:szCs w:val="21"/>
              </w:rPr>
            </w:pPr>
            <w:r>
              <w:rPr>
                <w:rFonts w:ascii="Calibri" w:hAnsi="Calibri" w:hint="eastAsia"/>
                <w:color w:val="auto"/>
                <w:szCs w:val="21"/>
              </w:rPr>
              <w:t>下游</w:t>
            </w:r>
          </w:p>
        </w:tc>
        <w:tc>
          <w:tcPr>
            <w:tcW w:w="754" w:type="pct"/>
            <w:vMerge/>
            <w:tcBorders>
              <w:left w:val="single" w:sz="4" w:space="0" w:color="auto"/>
            </w:tcBorders>
            <w:vAlign w:val="center"/>
          </w:tcPr>
          <w:p w14:paraId="5FEE97BF" w14:textId="77777777" w:rsidR="00656A07" w:rsidRPr="00A964FF" w:rsidRDefault="00656A07" w:rsidP="003E0795">
            <w:pPr>
              <w:jc w:val="center"/>
              <w:rPr>
                <w:rFonts w:ascii="Calibri"/>
                <w:color w:val="auto"/>
                <w:szCs w:val="21"/>
              </w:rPr>
            </w:pPr>
          </w:p>
        </w:tc>
      </w:tr>
    </w:tbl>
    <w:p w14:paraId="465E5387" w14:textId="77777777" w:rsidR="0055605A" w:rsidRPr="00A964FF" w:rsidRDefault="0055605A" w:rsidP="0055605A">
      <w:pPr>
        <w:pStyle w:val="aa"/>
        <w:spacing w:line="540" w:lineRule="exact"/>
        <w:ind w:firstLine="480"/>
        <w:rPr>
          <w:rFonts w:ascii="Calibri" w:hAnsi="Calibri"/>
          <w:b/>
          <w:color w:val="auto"/>
          <w:sz w:val="24"/>
        </w:rPr>
      </w:pPr>
      <w:r w:rsidRPr="00A964FF">
        <w:rPr>
          <w:rFonts w:ascii="Calibri" w:hAnsi="Calibri" w:hint="eastAsia"/>
          <w:b/>
          <w:color w:val="auto"/>
          <w:sz w:val="24"/>
        </w:rPr>
        <w:t>2</w:t>
      </w:r>
      <w:r w:rsidRPr="00A964FF">
        <w:rPr>
          <w:rFonts w:ascii="Calibri" w:hAnsi="Calibri" w:hint="eastAsia"/>
          <w:b/>
          <w:color w:val="auto"/>
          <w:sz w:val="24"/>
        </w:rPr>
        <w:t>、检测因子</w:t>
      </w:r>
    </w:p>
    <w:p w14:paraId="2BB74D1E" w14:textId="77777777" w:rsidR="0055605A" w:rsidRPr="00A964FF" w:rsidRDefault="0055605A" w:rsidP="0055605A">
      <w:pPr>
        <w:adjustRightInd w:val="0"/>
        <w:snapToGrid w:val="0"/>
        <w:spacing w:line="500" w:lineRule="exact"/>
        <w:ind w:firstLineChars="200" w:firstLine="480"/>
        <w:rPr>
          <w:rFonts w:ascii="Calibri"/>
          <w:bCs/>
          <w:color w:val="auto"/>
          <w:sz w:val="24"/>
        </w:rPr>
      </w:pPr>
      <w:r w:rsidRPr="00A964FF">
        <w:rPr>
          <w:rFonts w:ascii="Calibri" w:hint="eastAsia"/>
          <w:bCs/>
          <w:color w:val="auto"/>
          <w:sz w:val="24"/>
        </w:rPr>
        <w:t>（</w:t>
      </w:r>
      <w:r w:rsidRPr="00A964FF">
        <w:rPr>
          <w:rFonts w:ascii="Calibri" w:hint="eastAsia"/>
          <w:bCs/>
          <w:color w:val="auto"/>
          <w:sz w:val="24"/>
        </w:rPr>
        <w:t>1</w:t>
      </w:r>
      <w:r w:rsidRPr="00A964FF">
        <w:rPr>
          <w:rFonts w:ascii="Calibri" w:hint="eastAsia"/>
          <w:bCs/>
          <w:color w:val="auto"/>
          <w:sz w:val="24"/>
        </w:rPr>
        <w:t>）检测项目：</w:t>
      </w:r>
      <w:r w:rsidRPr="00A964FF">
        <w:rPr>
          <w:rFonts w:ascii="Calibri" w:hint="eastAsia"/>
          <w:bCs/>
          <w:color w:val="auto"/>
          <w:sz w:val="24"/>
        </w:rPr>
        <w:t>K</w:t>
      </w:r>
      <w:r w:rsidRPr="00A964FF">
        <w:rPr>
          <w:rFonts w:ascii="Calibri" w:hint="eastAsia"/>
          <w:bCs/>
          <w:color w:val="auto"/>
          <w:sz w:val="24"/>
          <w:vertAlign w:val="superscript"/>
        </w:rPr>
        <w:t>+</w:t>
      </w:r>
      <w:r w:rsidRPr="00A964FF">
        <w:rPr>
          <w:rFonts w:ascii="Calibri" w:hint="eastAsia"/>
          <w:bCs/>
          <w:color w:val="auto"/>
          <w:sz w:val="24"/>
        </w:rPr>
        <w:t>、</w:t>
      </w:r>
      <w:r w:rsidRPr="00A964FF">
        <w:rPr>
          <w:rFonts w:ascii="Calibri" w:hint="eastAsia"/>
          <w:bCs/>
          <w:color w:val="auto"/>
          <w:sz w:val="24"/>
        </w:rPr>
        <w:t>Na</w:t>
      </w:r>
      <w:r w:rsidRPr="00A964FF">
        <w:rPr>
          <w:rFonts w:ascii="Calibri" w:hint="eastAsia"/>
          <w:bCs/>
          <w:color w:val="auto"/>
          <w:sz w:val="24"/>
          <w:vertAlign w:val="superscript"/>
        </w:rPr>
        <w:t>+</w:t>
      </w:r>
      <w:r w:rsidRPr="00A964FF">
        <w:rPr>
          <w:rFonts w:ascii="Calibri" w:hint="eastAsia"/>
          <w:bCs/>
          <w:color w:val="auto"/>
          <w:sz w:val="24"/>
        </w:rPr>
        <w:t>、</w:t>
      </w:r>
      <w:r w:rsidRPr="00A964FF">
        <w:rPr>
          <w:rFonts w:ascii="Calibri" w:hint="eastAsia"/>
          <w:bCs/>
          <w:color w:val="auto"/>
          <w:sz w:val="24"/>
        </w:rPr>
        <w:t>Ca</w:t>
      </w:r>
      <w:r w:rsidRPr="00A964FF">
        <w:rPr>
          <w:rFonts w:ascii="Calibri" w:hint="eastAsia"/>
          <w:bCs/>
          <w:color w:val="auto"/>
          <w:sz w:val="24"/>
          <w:vertAlign w:val="superscript"/>
        </w:rPr>
        <w:t>2+</w:t>
      </w:r>
      <w:r w:rsidRPr="00A964FF">
        <w:rPr>
          <w:rFonts w:ascii="Calibri" w:hint="eastAsia"/>
          <w:bCs/>
          <w:color w:val="auto"/>
          <w:sz w:val="24"/>
        </w:rPr>
        <w:t>、</w:t>
      </w:r>
      <w:r w:rsidRPr="00A964FF">
        <w:rPr>
          <w:rFonts w:ascii="Calibri" w:hint="eastAsia"/>
          <w:bCs/>
          <w:color w:val="auto"/>
          <w:sz w:val="24"/>
        </w:rPr>
        <w:t>Mg</w:t>
      </w:r>
      <w:r w:rsidRPr="00A964FF">
        <w:rPr>
          <w:rFonts w:ascii="Calibri" w:hint="eastAsia"/>
          <w:bCs/>
          <w:color w:val="auto"/>
          <w:sz w:val="24"/>
          <w:vertAlign w:val="superscript"/>
        </w:rPr>
        <w:t>2+</w:t>
      </w:r>
      <w:r w:rsidRPr="00A964FF">
        <w:rPr>
          <w:rFonts w:ascii="Calibri" w:hint="eastAsia"/>
          <w:bCs/>
          <w:color w:val="auto"/>
          <w:sz w:val="24"/>
        </w:rPr>
        <w:t>、</w:t>
      </w:r>
      <w:r w:rsidRPr="00A964FF">
        <w:rPr>
          <w:rFonts w:ascii="Calibri" w:hint="eastAsia"/>
          <w:bCs/>
          <w:color w:val="auto"/>
          <w:sz w:val="24"/>
        </w:rPr>
        <w:t>CO</w:t>
      </w:r>
      <w:r w:rsidRPr="00A964FF">
        <w:rPr>
          <w:rFonts w:ascii="Calibri" w:hint="eastAsia"/>
          <w:bCs/>
          <w:color w:val="auto"/>
          <w:sz w:val="24"/>
          <w:vertAlign w:val="subscript"/>
        </w:rPr>
        <w:t>3</w:t>
      </w:r>
      <w:r w:rsidRPr="00A964FF">
        <w:rPr>
          <w:rFonts w:ascii="Calibri" w:hint="eastAsia"/>
          <w:bCs/>
          <w:color w:val="auto"/>
          <w:sz w:val="24"/>
          <w:vertAlign w:val="superscript"/>
        </w:rPr>
        <w:t>2-</w:t>
      </w:r>
      <w:r w:rsidRPr="00A964FF">
        <w:rPr>
          <w:rFonts w:ascii="Calibri" w:hint="eastAsia"/>
          <w:bCs/>
          <w:color w:val="auto"/>
          <w:sz w:val="24"/>
        </w:rPr>
        <w:t>、</w:t>
      </w:r>
      <w:r w:rsidRPr="00A964FF">
        <w:rPr>
          <w:rFonts w:ascii="Calibri" w:hint="eastAsia"/>
          <w:bCs/>
          <w:color w:val="auto"/>
          <w:sz w:val="24"/>
        </w:rPr>
        <w:t>HCO</w:t>
      </w:r>
      <w:r w:rsidRPr="00A964FF">
        <w:rPr>
          <w:rFonts w:ascii="Calibri" w:hint="eastAsia"/>
          <w:bCs/>
          <w:color w:val="auto"/>
          <w:sz w:val="24"/>
          <w:vertAlign w:val="superscript"/>
        </w:rPr>
        <w:t>3-</w:t>
      </w:r>
      <w:r w:rsidRPr="00A964FF">
        <w:rPr>
          <w:rFonts w:ascii="Calibri" w:hint="eastAsia"/>
          <w:bCs/>
          <w:color w:val="auto"/>
          <w:sz w:val="24"/>
        </w:rPr>
        <w:t>、</w:t>
      </w:r>
      <w:r w:rsidRPr="00A964FF">
        <w:rPr>
          <w:rFonts w:ascii="Calibri" w:hint="eastAsia"/>
          <w:bCs/>
          <w:color w:val="auto"/>
          <w:sz w:val="24"/>
        </w:rPr>
        <w:t>Cl</w:t>
      </w:r>
      <w:r w:rsidRPr="00A964FF">
        <w:rPr>
          <w:rFonts w:ascii="Calibri" w:hint="eastAsia"/>
          <w:bCs/>
          <w:color w:val="auto"/>
          <w:sz w:val="24"/>
          <w:vertAlign w:val="superscript"/>
        </w:rPr>
        <w:t>-</w:t>
      </w:r>
      <w:r w:rsidRPr="00A964FF">
        <w:rPr>
          <w:rFonts w:ascii="Calibri" w:hint="eastAsia"/>
          <w:bCs/>
          <w:color w:val="auto"/>
          <w:sz w:val="24"/>
        </w:rPr>
        <w:t>、</w:t>
      </w:r>
      <w:r w:rsidRPr="00A964FF">
        <w:rPr>
          <w:rFonts w:ascii="Calibri" w:hint="eastAsia"/>
          <w:bCs/>
          <w:color w:val="auto"/>
          <w:sz w:val="24"/>
        </w:rPr>
        <w:t>SO</w:t>
      </w:r>
      <w:r w:rsidRPr="00A964FF">
        <w:rPr>
          <w:rFonts w:ascii="Calibri" w:hint="eastAsia"/>
          <w:bCs/>
          <w:color w:val="auto"/>
          <w:sz w:val="24"/>
          <w:vertAlign w:val="subscript"/>
        </w:rPr>
        <w:t>4</w:t>
      </w:r>
      <w:r w:rsidRPr="00A964FF">
        <w:rPr>
          <w:rFonts w:ascii="Calibri" w:hint="eastAsia"/>
          <w:bCs/>
          <w:color w:val="auto"/>
          <w:sz w:val="24"/>
          <w:vertAlign w:val="superscript"/>
        </w:rPr>
        <w:t>2-</w:t>
      </w:r>
      <w:r w:rsidRPr="00A964FF">
        <w:rPr>
          <w:rFonts w:ascii="Calibri" w:hint="eastAsia"/>
          <w:bCs/>
          <w:color w:val="auto"/>
          <w:sz w:val="24"/>
        </w:rPr>
        <w:t>共</w:t>
      </w:r>
      <w:r w:rsidRPr="00A964FF">
        <w:rPr>
          <w:rFonts w:ascii="Calibri" w:hint="eastAsia"/>
          <w:bCs/>
          <w:color w:val="auto"/>
          <w:sz w:val="24"/>
        </w:rPr>
        <w:t>8</w:t>
      </w:r>
      <w:r w:rsidRPr="00A964FF">
        <w:rPr>
          <w:rFonts w:ascii="Calibri" w:hint="eastAsia"/>
          <w:bCs/>
          <w:color w:val="auto"/>
          <w:sz w:val="24"/>
        </w:rPr>
        <w:t>项。</w:t>
      </w:r>
    </w:p>
    <w:p w14:paraId="32164108" w14:textId="77777777" w:rsidR="002445F5" w:rsidRPr="006D1907" w:rsidRDefault="0055605A" w:rsidP="006D1907">
      <w:pPr>
        <w:adjustRightInd w:val="0"/>
        <w:snapToGrid w:val="0"/>
        <w:spacing w:line="500" w:lineRule="exact"/>
        <w:ind w:firstLineChars="200" w:firstLine="480"/>
        <w:rPr>
          <w:rFonts w:ascii="Calibri"/>
          <w:bCs/>
          <w:color w:val="auto"/>
          <w:sz w:val="24"/>
        </w:rPr>
      </w:pPr>
      <w:r w:rsidRPr="00A964FF">
        <w:rPr>
          <w:rFonts w:ascii="Calibri" w:hint="eastAsia"/>
          <w:bCs/>
          <w:color w:val="auto"/>
          <w:sz w:val="24"/>
        </w:rPr>
        <w:t>（</w:t>
      </w:r>
      <w:r w:rsidRPr="00A964FF">
        <w:rPr>
          <w:rFonts w:ascii="Calibri" w:hint="eastAsia"/>
          <w:bCs/>
          <w:color w:val="auto"/>
          <w:sz w:val="24"/>
        </w:rPr>
        <w:t>2</w:t>
      </w:r>
      <w:r w:rsidRPr="00A964FF">
        <w:rPr>
          <w:rFonts w:ascii="Calibri" w:hint="eastAsia"/>
          <w:bCs/>
          <w:color w:val="auto"/>
          <w:sz w:val="24"/>
        </w:rPr>
        <w:t>）检测因子：</w:t>
      </w:r>
      <w:r w:rsidR="00656A07" w:rsidRPr="00A964FF">
        <w:rPr>
          <w:rFonts w:ascii="Calibri" w:hint="eastAsia"/>
          <w:bCs/>
          <w:color w:val="auto"/>
          <w:sz w:val="24"/>
        </w:rPr>
        <w:t>pH</w:t>
      </w:r>
      <w:r w:rsidR="00656A07" w:rsidRPr="00A964FF">
        <w:rPr>
          <w:rFonts w:ascii="Calibri" w:hint="eastAsia"/>
          <w:bCs/>
          <w:color w:val="auto"/>
          <w:sz w:val="24"/>
        </w:rPr>
        <w:t>值、氨氮、硝酸盐、亚硝酸盐、挥发性酚类、氰化物、砷、汞、铬（六价）、总硬度、铅、氟化物、镉、铁、锰、溶解性总固体、耗氧量、硫酸盐、氯化物、总大肠菌群、细菌总数</w:t>
      </w:r>
      <w:r w:rsidR="007D6441">
        <w:rPr>
          <w:rFonts w:ascii="Calibri" w:hint="eastAsia"/>
          <w:bCs/>
          <w:color w:val="auto"/>
          <w:sz w:val="24"/>
        </w:rPr>
        <w:t>、石油类</w:t>
      </w:r>
      <w:r w:rsidR="003550C9" w:rsidRPr="00623F1E">
        <w:rPr>
          <w:rFonts w:ascii="Calibri" w:hint="eastAsia"/>
          <w:bCs/>
          <w:sz w:val="24"/>
        </w:rPr>
        <w:t>等共</w:t>
      </w:r>
      <w:r w:rsidR="003550C9">
        <w:rPr>
          <w:rFonts w:ascii="Calibri"/>
          <w:bCs/>
          <w:sz w:val="24"/>
        </w:rPr>
        <w:t>2</w:t>
      </w:r>
      <w:r w:rsidR="007D6441">
        <w:rPr>
          <w:rFonts w:ascii="Calibri"/>
          <w:bCs/>
          <w:sz w:val="24"/>
        </w:rPr>
        <w:t>2</w:t>
      </w:r>
      <w:r w:rsidR="003550C9" w:rsidRPr="00623F1E">
        <w:rPr>
          <w:rFonts w:ascii="Calibri" w:hint="eastAsia"/>
          <w:bCs/>
          <w:sz w:val="24"/>
        </w:rPr>
        <w:t>项。</w:t>
      </w:r>
    </w:p>
    <w:p w14:paraId="1AC98E2D" w14:textId="77777777" w:rsidR="0055605A" w:rsidRPr="00A964FF" w:rsidRDefault="0055605A" w:rsidP="0055605A">
      <w:pPr>
        <w:pStyle w:val="aa"/>
        <w:spacing w:line="540" w:lineRule="exact"/>
        <w:ind w:firstLine="480"/>
        <w:rPr>
          <w:rFonts w:ascii="Calibri" w:hAnsi="Calibri"/>
          <w:b/>
          <w:color w:val="auto"/>
          <w:sz w:val="24"/>
        </w:rPr>
      </w:pPr>
      <w:r w:rsidRPr="00A964FF">
        <w:rPr>
          <w:rFonts w:ascii="Calibri" w:hAnsi="Calibri" w:hint="eastAsia"/>
          <w:b/>
          <w:color w:val="auto"/>
          <w:sz w:val="24"/>
        </w:rPr>
        <w:t>3</w:t>
      </w:r>
      <w:r w:rsidRPr="00A964FF">
        <w:rPr>
          <w:rFonts w:ascii="Calibri" w:hAnsi="Calibri" w:hint="eastAsia"/>
          <w:b/>
          <w:color w:val="auto"/>
          <w:sz w:val="24"/>
        </w:rPr>
        <w:t>、检测时间</w:t>
      </w:r>
    </w:p>
    <w:p w14:paraId="416005A7" w14:textId="77777777" w:rsidR="003550C9" w:rsidRDefault="003550C9" w:rsidP="003550C9">
      <w:pPr>
        <w:spacing w:line="520" w:lineRule="exact"/>
        <w:ind w:firstLineChars="200" w:firstLine="480"/>
        <w:rPr>
          <w:rFonts w:ascii="Calibri"/>
          <w:bCs/>
          <w:color w:val="auto"/>
          <w:sz w:val="24"/>
        </w:rPr>
      </w:pPr>
      <w:r w:rsidRPr="00623F1E">
        <w:rPr>
          <w:rFonts w:ascii="Calibri" w:hint="eastAsia"/>
          <w:bCs/>
          <w:sz w:val="24"/>
        </w:rPr>
        <w:t>为了解本项目区域地下水情况，本次地下水现状评价引用</w:t>
      </w:r>
      <w:r w:rsidRPr="00623F1E">
        <w:rPr>
          <w:rFonts w:ascii="Calibri" w:hint="eastAsia"/>
          <w:sz w:val="24"/>
        </w:rPr>
        <w:t>《中国平煤神马能源化工集团有限责任公司</w:t>
      </w:r>
      <w:r w:rsidRPr="00623F1E">
        <w:rPr>
          <w:rFonts w:ascii="Calibri" w:hint="eastAsia"/>
          <w:sz w:val="24"/>
        </w:rPr>
        <w:t>5</w:t>
      </w:r>
      <w:r w:rsidRPr="00623F1E">
        <w:rPr>
          <w:rFonts w:ascii="Calibri" w:hint="eastAsia"/>
          <w:sz w:val="24"/>
        </w:rPr>
        <w:t>万吨</w:t>
      </w:r>
      <w:r w:rsidRPr="00623F1E">
        <w:rPr>
          <w:rFonts w:ascii="Calibri" w:hint="eastAsia"/>
          <w:sz w:val="24"/>
        </w:rPr>
        <w:t>/</w:t>
      </w:r>
      <w:r w:rsidRPr="00623F1E">
        <w:rPr>
          <w:rFonts w:ascii="Calibri" w:hint="eastAsia"/>
          <w:sz w:val="24"/>
        </w:rPr>
        <w:t>年己二腈项目环境影响报告书》中检测数据，检测单位为</w:t>
      </w:r>
      <w:r w:rsidRPr="00623F1E">
        <w:rPr>
          <w:rFonts w:ascii="Calibri" w:hAnsi="Calibri"/>
          <w:sz w:val="24"/>
        </w:rPr>
        <w:t>河南省溯源计量工程技术研究中心有限公司</w:t>
      </w:r>
      <w:r w:rsidRPr="00623F1E">
        <w:rPr>
          <w:rFonts w:ascii="Calibri" w:hAnsi="Calibri" w:hint="eastAsia"/>
          <w:sz w:val="24"/>
        </w:rPr>
        <w:t>，检测时间为</w:t>
      </w:r>
      <w:r w:rsidRPr="00623F1E">
        <w:rPr>
          <w:rFonts w:ascii="Calibri" w:hAnsi="Calibri"/>
          <w:sz w:val="24"/>
        </w:rPr>
        <w:t>2020</w:t>
      </w:r>
      <w:r w:rsidRPr="00623F1E">
        <w:rPr>
          <w:rFonts w:ascii="Calibri" w:hAnsi="Calibri"/>
          <w:sz w:val="24"/>
        </w:rPr>
        <w:t>年</w:t>
      </w:r>
      <w:r w:rsidRPr="00623F1E">
        <w:rPr>
          <w:rFonts w:ascii="Calibri" w:hAnsi="Calibri"/>
          <w:sz w:val="24"/>
        </w:rPr>
        <w:t>9</w:t>
      </w:r>
      <w:r w:rsidRPr="00623F1E">
        <w:rPr>
          <w:rFonts w:ascii="Calibri" w:hAnsi="Calibri"/>
          <w:sz w:val="24"/>
        </w:rPr>
        <w:t>月</w:t>
      </w:r>
      <w:r w:rsidRPr="00623F1E">
        <w:rPr>
          <w:rFonts w:ascii="Calibri" w:hAnsi="Calibri" w:hint="eastAsia"/>
          <w:sz w:val="24"/>
        </w:rPr>
        <w:t>3</w:t>
      </w:r>
      <w:r w:rsidRPr="00623F1E">
        <w:rPr>
          <w:rFonts w:ascii="Calibri" w:hAnsi="Calibri"/>
          <w:sz w:val="24"/>
        </w:rPr>
        <w:t>日</w:t>
      </w:r>
      <w:r w:rsidRPr="00623F1E">
        <w:rPr>
          <w:rFonts w:ascii="Calibri" w:hAnsi="Calibri" w:hint="eastAsia"/>
          <w:sz w:val="24"/>
        </w:rPr>
        <w:t>。</w:t>
      </w:r>
    </w:p>
    <w:p w14:paraId="1BC59F14" w14:textId="77777777" w:rsidR="003550C9" w:rsidRPr="003F72B9" w:rsidRDefault="003550C9" w:rsidP="003550C9">
      <w:pPr>
        <w:pStyle w:val="aa"/>
        <w:spacing w:line="540" w:lineRule="exact"/>
        <w:ind w:firstLine="480"/>
        <w:rPr>
          <w:rFonts w:ascii="Calibri" w:hAnsi="Calibri"/>
          <w:b/>
          <w:color w:val="auto"/>
          <w:sz w:val="24"/>
        </w:rPr>
      </w:pPr>
      <w:r w:rsidRPr="003F72B9">
        <w:rPr>
          <w:rFonts w:ascii="Calibri" w:hAnsi="Calibri" w:hint="eastAsia"/>
          <w:b/>
          <w:color w:val="auto"/>
          <w:sz w:val="24"/>
        </w:rPr>
        <w:t>4</w:t>
      </w:r>
      <w:r w:rsidRPr="003F72B9">
        <w:rPr>
          <w:rFonts w:ascii="Calibri" w:hAnsi="Calibri" w:hint="eastAsia"/>
          <w:b/>
          <w:color w:val="auto"/>
          <w:sz w:val="24"/>
        </w:rPr>
        <w:t>、检测方法</w:t>
      </w:r>
    </w:p>
    <w:p w14:paraId="077479B7" w14:textId="77777777" w:rsidR="003550C9" w:rsidRPr="00FC0738" w:rsidRDefault="003550C9" w:rsidP="00FC0738">
      <w:pPr>
        <w:pStyle w:val="41"/>
        <w:snapToGrid w:val="0"/>
        <w:spacing w:line="520" w:lineRule="exact"/>
        <w:ind w:firstLine="495"/>
        <w:rPr>
          <w:rFonts w:ascii="Calibri" w:eastAsia="宋体" w:hAnsi="Calibri"/>
          <w:b w:val="0"/>
          <w:color w:val="auto"/>
          <w:sz w:val="24"/>
          <w:szCs w:val="24"/>
        </w:rPr>
      </w:pPr>
      <w:r w:rsidRPr="003F72B9">
        <w:rPr>
          <w:rFonts w:ascii="Calibri" w:eastAsia="宋体" w:hAnsi="Calibri"/>
          <w:b w:val="0"/>
          <w:color w:val="auto"/>
          <w:sz w:val="24"/>
          <w:szCs w:val="24"/>
        </w:rPr>
        <w:t>检测样品的采集及分析均采用国家标准方法，各检测因子分析方法详见表</w:t>
      </w:r>
      <w:r w:rsidRPr="003F72B9">
        <w:rPr>
          <w:rFonts w:ascii="Calibri" w:eastAsia="宋体" w:hAnsi="Calibri" w:hint="eastAsia"/>
          <w:b w:val="0"/>
          <w:color w:val="auto"/>
          <w:sz w:val="24"/>
          <w:szCs w:val="24"/>
        </w:rPr>
        <w:t>3</w:t>
      </w:r>
      <w:r>
        <w:rPr>
          <w:rFonts w:ascii="Calibri" w:eastAsia="宋体" w:hAnsi="Calibri" w:hint="eastAsia"/>
          <w:b w:val="0"/>
          <w:color w:val="auto"/>
          <w:sz w:val="24"/>
          <w:szCs w:val="24"/>
        </w:rPr>
        <w:t>.3</w:t>
      </w:r>
      <w:r w:rsidRPr="003F72B9">
        <w:rPr>
          <w:rFonts w:ascii="Calibri" w:eastAsia="宋体" w:hAnsi="Calibri"/>
          <w:b w:val="0"/>
          <w:color w:val="auto"/>
          <w:sz w:val="24"/>
          <w:szCs w:val="24"/>
        </w:rPr>
        <w:t>-</w:t>
      </w:r>
      <w:r w:rsidRPr="003F72B9">
        <w:rPr>
          <w:rFonts w:ascii="Calibri" w:eastAsia="宋体" w:hAnsi="Calibri" w:hint="eastAsia"/>
          <w:b w:val="0"/>
          <w:color w:val="auto"/>
          <w:sz w:val="24"/>
          <w:szCs w:val="24"/>
        </w:rPr>
        <w:lastRenderedPageBreak/>
        <w:t>1</w:t>
      </w:r>
      <w:r w:rsidR="00AC555A">
        <w:rPr>
          <w:rFonts w:ascii="Calibri" w:eastAsia="宋体" w:hAnsi="Calibri" w:hint="eastAsia"/>
          <w:b w:val="0"/>
          <w:color w:val="auto"/>
          <w:sz w:val="24"/>
          <w:szCs w:val="24"/>
        </w:rPr>
        <w:t>3</w:t>
      </w:r>
      <w:r w:rsidRPr="003F72B9">
        <w:rPr>
          <w:rFonts w:ascii="Calibri" w:eastAsia="宋体" w:hAnsi="Calibri"/>
          <w:b w:val="0"/>
          <w:color w:val="auto"/>
          <w:sz w:val="24"/>
          <w:szCs w:val="24"/>
        </w:rPr>
        <w:t>。</w:t>
      </w:r>
    </w:p>
    <w:p w14:paraId="1A6E24D8" w14:textId="77777777" w:rsidR="003550C9" w:rsidRPr="003F72B9" w:rsidRDefault="003550C9" w:rsidP="003550C9">
      <w:pPr>
        <w:spacing w:line="520" w:lineRule="exact"/>
        <w:ind w:firstLineChars="200" w:firstLine="480"/>
        <w:rPr>
          <w:rFonts w:ascii="Calibri" w:eastAsia="黑体" w:hAnsi="Calibri"/>
          <w:color w:val="auto"/>
          <w:sz w:val="24"/>
        </w:rPr>
      </w:pPr>
      <w:r w:rsidRPr="003F72B9">
        <w:rPr>
          <w:rFonts w:ascii="Calibri" w:eastAsia="黑体" w:hAnsi="Calibri"/>
          <w:color w:val="auto"/>
          <w:sz w:val="24"/>
        </w:rPr>
        <w:t>表</w:t>
      </w:r>
      <w:r w:rsidRPr="003F72B9">
        <w:rPr>
          <w:rFonts w:ascii="Calibri" w:eastAsia="黑体" w:hAnsi="Calibri" w:hint="eastAsia"/>
          <w:color w:val="auto"/>
          <w:sz w:val="24"/>
        </w:rPr>
        <w:t>3</w:t>
      </w:r>
      <w:r>
        <w:rPr>
          <w:rFonts w:ascii="Calibri" w:eastAsia="黑体" w:hAnsi="Calibri" w:hint="eastAsia"/>
          <w:color w:val="auto"/>
          <w:sz w:val="24"/>
        </w:rPr>
        <w:t>.3</w:t>
      </w:r>
      <w:r w:rsidRPr="003F72B9">
        <w:rPr>
          <w:rFonts w:ascii="Calibri" w:eastAsia="黑体" w:hAnsi="Calibri"/>
          <w:color w:val="auto"/>
          <w:sz w:val="24"/>
        </w:rPr>
        <w:t>-</w:t>
      </w:r>
      <w:r w:rsidRPr="003F72B9">
        <w:rPr>
          <w:rFonts w:ascii="Calibri" w:eastAsia="黑体" w:hAnsi="Calibri" w:hint="eastAsia"/>
          <w:color w:val="auto"/>
          <w:sz w:val="24"/>
        </w:rPr>
        <w:t>1</w:t>
      </w:r>
      <w:r w:rsidR="00AC555A">
        <w:rPr>
          <w:rFonts w:ascii="Calibri" w:eastAsia="黑体" w:hAnsi="Calibri"/>
          <w:color w:val="auto"/>
          <w:sz w:val="24"/>
        </w:rPr>
        <w:t>3</w:t>
      </w:r>
      <w:r w:rsidRPr="003F72B9">
        <w:rPr>
          <w:rFonts w:ascii="Calibri" w:eastAsia="黑体" w:hAnsi="Calibri"/>
          <w:color w:val="auto"/>
          <w:sz w:val="24"/>
        </w:rPr>
        <w:t xml:space="preserve">    </w:t>
      </w:r>
      <w:r w:rsidRPr="003F72B9">
        <w:rPr>
          <w:rFonts w:ascii="Calibri" w:eastAsia="黑体" w:hAnsi="Calibri" w:hint="eastAsia"/>
          <w:color w:val="auto"/>
          <w:sz w:val="24"/>
        </w:rPr>
        <w:t xml:space="preserve">  </w:t>
      </w:r>
      <w:r w:rsidRPr="003F72B9">
        <w:rPr>
          <w:rFonts w:ascii="Calibri" w:eastAsia="黑体" w:hAnsi="Calibri"/>
          <w:color w:val="auto"/>
          <w:sz w:val="24"/>
        </w:rPr>
        <w:t xml:space="preserve">  </w:t>
      </w:r>
      <w:r w:rsidRPr="003F72B9">
        <w:rPr>
          <w:rFonts w:ascii="Calibri" w:eastAsia="黑体" w:hAnsi="Calibri" w:hint="eastAsia"/>
          <w:color w:val="auto"/>
          <w:sz w:val="24"/>
        </w:rPr>
        <w:t xml:space="preserve">  </w:t>
      </w:r>
      <w:r w:rsidRPr="003F72B9">
        <w:rPr>
          <w:rFonts w:ascii="Calibri" w:eastAsia="黑体" w:hAnsi="Calibri"/>
          <w:color w:val="auto"/>
          <w:sz w:val="24"/>
        </w:rPr>
        <w:t xml:space="preserve">  </w:t>
      </w:r>
      <w:r w:rsidRPr="003F72B9">
        <w:rPr>
          <w:rFonts w:ascii="Calibri" w:eastAsia="黑体" w:hAnsi="Calibri" w:hint="eastAsia"/>
          <w:color w:val="auto"/>
          <w:sz w:val="24"/>
        </w:rPr>
        <w:t xml:space="preserve"> </w:t>
      </w:r>
      <w:r w:rsidRPr="003F72B9">
        <w:rPr>
          <w:rFonts w:ascii="Calibri" w:eastAsia="黑体" w:hAnsi="Calibri"/>
          <w:color w:val="auto"/>
          <w:sz w:val="24"/>
        </w:rPr>
        <w:t xml:space="preserve"> </w:t>
      </w:r>
      <w:r w:rsidRPr="003F72B9">
        <w:rPr>
          <w:rFonts w:ascii="Calibri" w:eastAsia="黑体" w:hAnsi="Calibri"/>
          <w:color w:val="auto"/>
          <w:sz w:val="24"/>
        </w:rPr>
        <w:t>地下水检测因子分析方法</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729"/>
        <w:gridCol w:w="1122"/>
        <w:gridCol w:w="5476"/>
        <w:gridCol w:w="1373"/>
      </w:tblGrid>
      <w:tr w:rsidR="003550C9" w:rsidRPr="003E36C1" w14:paraId="14DEAFFD" w14:textId="77777777" w:rsidTr="00040BEE">
        <w:trPr>
          <w:trHeight w:val="340"/>
          <w:jc w:val="center"/>
        </w:trPr>
        <w:tc>
          <w:tcPr>
            <w:tcW w:w="419" w:type="pct"/>
            <w:vAlign w:val="center"/>
          </w:tcPr>
          <w:p w14:paraId="0E883143"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序号</w:t>
            </w:r>
          </w:p>
        </w:tc>
        <w:tc>
          <w:tcPr>
            <w:tcW w:w="645" w:type="pct"/>
            <w:vAlign w:val="center"/>
          </w:tcPr>
          <w:p w14:paraId="19D6930F"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监测项目</w:t>
            </w:r>
          </w:p>
        </w:tc>
        <w:tc>
          <w:tcPr>
            <w:tcW w:w="3147" w:type="pct"/>
            <w:vAlign w:val="center"/>
          </w:tcPr>
          <w:p w14:paraId="57D4775F" w14:textId="77777777" w:rsidR="003550C9" w:rsidRPr="003E36C1" w:rsidRDefault="003550C9" w:rsidP="00040BEE">
            <w:pPr>
              <w:pStyle w:val="a1"/>
              <w:tabs>
                <w:tab w:val="left" w:pos="7560"/>
              </w:tabs>
              <w:ind w:firstLine="0"/>
              <w:jc w:val="center"/>
              <w:rPr>
                <w:rFonts w:ascii="Calibri" w:hAnsi="Calibri"/>
                <w:bCs/>
                <w:color w:val="auto"/>
                <w:szCs w:val="21"/>
              </w:rPr>
            </w:pPr>
            <w:r w:rsidRPr="003E36C1">
              <w:rPr>
                <w:rFonts w:ascii="Calibri" w:hAnsi="Calibri"/>
                <w:bCs/>
                <w:color w:val="auto"/>
                <w:szCs w:val="21"/>
              </w:rPr>
              <w:t>监测标准</w:t>
            </w:r>
          </w:p>
        </w:tc>
        <w:tc>
          <w:tcPr>
            <w:tcW w:w="789" w:type="pct"/>
            <w:vAlign w:val="center"/>
          </w:tcPr>
          <w:p w14:paraId="0CF457F3" w14:textId="77777777" w:rsidR="003550C9" w:rsidRPr="003E36C1" w:rsidRDefault="003550C9" w:rsidP="00040BEE">
            <w:pPr>
              <w:jc w:val="center"/>
              <w:rPr>
                <w:rFonts w:ascii="Calibri" w:hAnsi="Calibri"/>
                <w:bCs/>
                <w:color w:val="auto"/>
                <w:szCs w:val="21"/>
              </w:rPr>
            </w:pPr>
            <w:r w:rsidRPr="003E36C1">
              <w:rPr>
                <w:rFonts w:ascii="Calibri" w:hAnsi="Calibri"/>
                <w:bCs/>
                <w:color w:val="auto"/>
                <w:szCs w:val="21"/>
              </w:rPr>
              <w:t>检出限</w:t>
            </w:r>
          </w:p>
        </w:tc>
      </w:tr>
      <w:tr w:rsidR="003550C9" w:rsidRPr="003E36C1" w14:paraId="3CAC27A1" w14:textId="77777777" w:rsidTr="00040BEE">
        <w:trPr>
          <w:trHeight w:val="340"/>
          <w:jc w:val="center"/>
        </w:trPr>
        <w:tc>
          <w:tcPr>
            <w:tcW w:w="419" w:type="pct"/>
            <w:vAlign w:val="center"/>
          </w:tcPr>
          <w:p w14:paraId="3E1244EB"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w:t>
            </w:r>
          </w:p>
        </w:tc>
        <w:tc>
          <w:tcPr>
            <w:tcW w:w="645" w:type="pct"/>
            <w:vAlign w:val="center"/>
          </w:tcPr>
          <w:p w14:paraId="5DEAB433" w14:textId="77777777" w:rsidR="003550C9" w:rsidRPr="003E36C1" w:rsidRDefault="003550C9" w:rsidP="00040BEE">
            <w:pPr>
              <w:jc w:val="center"/>
              <w:rPr>
                <w:rFonts w:ascii="Calibri" w:hAnsi="Calibri" w:cs="Times New Roman"/>
                <w:color w:val="auto"/>
                <w:szCs w:val="21"/>
                <w:lang w:bidi="ar"/>
              </w:rPr>
            </w:pPr>
            <w:r w:rsidRPr="003E36C1">
              <w:rPr>
                <w:rFonts w:ascii="Calibri" w:hAnsi="Calibri" w:cs="Times New Roman"/>
                <w:color w:val="auto"/>
                <w:szCs w:val="21"/>
              </w:rPr>
              <w:t>K</w:t>
            </w:r>
            <w:r w:rsidRPr="003E36C1">
              <w:rPr>
                <w:rFonts w:ascii="Calibri" w:hAnsi="Calibri" w:cs="Times New Roman"/>
                <w:color w:val="auto"/>
                <w:szCs w:val="21"/>
                <w:vertAlign w:val="superscript"/>
              </w:rPr>
              <w:t>+</w:t>
            </w:r>
          </w:p>
        </w:tc>
        <w:tc>
          <w:tcPr>
            <w:tcW w:w="3147" w:type="pct"/>
            <w:vAlign w:val="center"/>
          </w:tcPr>
          <w:p w14:paraId="100FF7A6"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水质</w:t>
            </w:r>
            <w:r w:rsidRPr="003E36C1">
              <w:rPr>
                <w:rFonts w:ascii="Calibri" w:hAnsi="Calibri" w:cs="Times New Roman"/>
                <w:color w:val="auto"/>
                <w:szCs w:val="21"/>
                <w:lang w:bidi="ar"/>
              </w:rPr>
              <w:t xml:space="preserve"> </w:t>
            </w:r>
            <w:r w:rsidRPr="003E36C1">
              <w:rPr>
                <w:rFonts w:ascii="Calibri" w:cs="Times New Roman"/>
                <w:color w:val="auto"/>
                <w:szCs w:val="21"/>
                <w:lang w:bidi="ar"/>
              </w:rPr>
              <w:t>钾和钠的测定</w:t>
            </w:r>
            <w:r w:rsidRPr="003E36C1">
              <w:rPr>
                <w:rFonts w:ascii="Calibri" w:hAnsi="Calibri" w:cs="Times New Roman"/>
                <w:color w:val="auto"/>
                <w:szCs w:val="21"/>
                <w:lang w:bidi="ar"/>
              </w:rPr>
              <w:t xml:space="preserve"> </w:t>
            </w:r>
            <w:r w:rsidRPr="003E36C1">
              <w:rPr>
                <w:rFonts w:ascii="Calibri" w:cs="Times New Roman"/>
                <w:color w:val="auto"/>
                <w:szCs w:val="21"/>
                <w:lang w:bidi="ar"/>
              </w:rPr>
              <w:t>火焰原子吸收分光光度法</w:t>
            </w:r>
            <w:r w:rsidRPr="003E36C1">
              <w:rPr>
                <w:rFonts w:ascii="Calibri" w:hAnsi="Calibri" w:cs="Times New Roman"/>
                <w:color w:val="auto"/>
                <w:szCs w:val="21"/>
                <w:lang w:bidi="ar"/>
              </w:rPr>
              <w:t>GB 11904-1989</w:t>
            </w:r>
          </w:p>
        </w:tc>
        <w:tc>
          <w:tcPr>
            <w:tcW w:w="789" w:type="pct"/>
            <w:vAlign w:val="center"/>
          </w:tcPr>
          <w:p w14:paraId="4F9C5D17"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0.05mg/L</w:t>
            </w:r>
          </w:p>
        </w:tc>
      </w:tr>
      <w:tr w:rsidR="003550C9" w:rsidRPr="003E36C1" w14:paraId="147C975B" w14:textId="77777777" w:rsidTr="00040BEE">
        <w:trPr>
          <w:trHeight w:val="340"/>
          <w:jc w:val="center"/>
        </w:trPr>
        <w:tc>
          <w:tcPr>
            <w:tcW w:w="419" w:type="pct"/>
            <w:vAlign w:val="center"/>
          </w:tcPr>
          <w:p w14:paraId="33791106"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w:t>
            </w:r>
          </w:p>
        </w:tc>
        <w:tc>
          <w:tcPr>
            <w:tcW w:w="645" w:type="pct"/>
            <w:vAlign w:val="center"/>
          </w:tcPr>
          <w:p w14:paraId="468EDC3C" w14:textId="77777777" w:rsidR="003550C9" w:rsidRPr="003E36C1" w:rsidRDefault="003550C9" w:rsidP="00040BEE">
            <w:pPr>
              <w:jc w:val="center"/>
              <w:rPr>
                <w:rFonts w:ascii="Calibri" w:hAnsi="Calibri" w:cs="Times New Roman"/>
                <w:color w:val="auto"/>
                <w:szCs w:val="21"/>
                <w:lang w:bidi="ar"/>
              </w:rPr>
            </w:pPr>
            <w:r w:rsidRPr="003E36C1">
              <w:rPr>
                <w:rFonts w:ascii="Calibri" w:hAnsi="Calibri" w:cs="Times New Roman"/>
                <w:color w:val="auto"/>
                <w:szCs w:val="21"/>
              </w:rPr>
              <w:t>Na</w:t>
            </w:r>
            <w:r w:rsidRPr="003E36C1">
              <w:rPr>
                <w:rFonts w:ascii="Calibri" w:hAnsi="Calibri" w:cs="Times New Roman"/>
                <w:color w:val="auto"/>
                <w:szCs w:val="21"/>
                <w:vertAlign w:val="superscript"/>
              </w:rPr>
              <w:t>+</w:t>
            </w:r>
          </w:p>
        </w:tc>
        <w:tc>
          <w:tcPr>
            <w:tcW w:w="3147" w:type="pct"/>
            <w:vAlign w:val="center"/>
          </w:tcPr>
          <w:p w14:paraId="71A3C774"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金属指标火焰原子吸收分光光度法</w:t>
            </w:r>
            <w:r w:rsidRPr="003E36C1">
              <w:rPr>
                <w:rFonts w:ascii="Calibri" w:hAnsi="Calibri" w:cs="Times New Roman"/>
                <w:color w:val="auto"/>
                <w:szCs w:val="21"/>
                <w:lang w:bidi="ar"/>
              </w:rPr>
              <w:t>GB/T 5750.6-2006</w:t>
            </w:r>
          </w:p>
        </w:tc>
        <w:tc>
          <w:tcPr>
            <w:tcW w:w="789" w:type="pct"/>
            <w:vAlign w:val="center"/>
          </w:tcPr>
          <w:p w14:paraId="3327AF4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0.01mg/L</w:t>
            </w:r>
          </w:p>
        </w:tc>
      </w:tr>
      <w:tr w:rsidR="003550C9" w:rsidRPr="003E36C1" w14:paraId="5EC43CC3" w14:textId="77777777" w:rsidTr="00040BEE">
        <w:trPr>
          <w:trHeight w:val="340"/>
          <w:jc w:val="center"/>
        </w:trPr>
        <w:tc>
          <w:tcPr>
            <w:tcW w:w="419" w:type="pct"/>
            <w:vAlign w:val="center"/>
          </w:tcPr>
          <w:p w14:paraId="0AC74000"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3</w:t>
            </w:r>
          </w:p>
        </w:tc>
        <w:tc>
          <w:tcPr>
            <w:tcW w:w="645" w:type="pct"/>
            <w:vAlign w:val="center"/>
          </w:tcPr>
          <w:p w14:paraId="18EEED7C" w14:textId="77777777" w:rsidR="003550C9" w:rsidRPr="003E36C1" w:rsidRDefault="003550C9" w:rsidP="00040BEE">
            <w:pPr>
              <w:jc w:val="center"/>
              <w:rPr>
                <w:rFonts w:ascii="Calibri" w:hAnsi="Calibri" w:cs="Times New Roman"/>
                <w:color w:val="auto"/>
                <w:szCs w:val="21"/>
                <w:lang w:bidi="ar"/>
              </w:rPr>
            </w:pPr>
            <w:r w:rsidRPr="003E36C1">
              <w:rPr>
                <w:rFonts w:ascii="Calibri" w:hAnsi="Calibri" w:cs="Times New Roman"/>
                <w:color w:val="auto"/>
                <w:szCs w:val="21"/>
              </w:rPr>
              <w:t>Ca</w:t>
            </w:r>
            <w:r w:rsidRPr="003E36C1">
              <w:rPr>
                <w:rFonts w:ascii="Calibri" w:hAnsi="Calibri" w:cs="Times New Roman"/>
                <w:color w:val="auto"/>
                <w:szCs w:val="21"/>
                <w:vertAlign w:val="superscript"/>
              </w:rPr>
              <w:t>2+</w:t>
            </w:r>
          </w:p>
        </w:tc>
        <w:tc>
          <w:tcPr>
            <w:tcW w:w="3147" w:type="pct"/>
            <w:vAlign w:val="center"/>
          </w:tcPr>
          <w:p w14:paraId="21196B57" w14:textId="77777777" w:rsidR="003550C9" w:rsidRPr="003E36C1" w:rsidRDefault="003550C9" w:rsidP="00040BEE">
            <w:pPr>
              <w:adjustRightInd w:val="0"/>
              <w:snapToGrid w:val="0"/>
              <w:jc w:val="center"/>
              <w:rPr>
                <w:rFonts w:ascii="Calibri" w:hAnsi="Calibri" w:cs="Times New Roman"/>
                <w:color w:val="auto"/>
                <w:szCs w:val="21"/>
                <w:lang w:bidi="ar"/>
              </w:rPr>
            </w:pPr>
            <w:r w:rsidRPr="003E36C1">
              <w:rPr>
                <w:rFonts w:ascii="Calibri" w:cs="Times New Roman"/>
                <w:color w:val="auto"/>
                <w:szCs w:val="21"/>
                <w:lang w:bidi="ar"/>
              </w:rPr>
              <w:t>水质</w:t>
            </w:r>
            <w:r w:rsidRPr="003E36C1">
              <w:rPr>
                <w:rFonts w:ascii="Calibri" w:hAnsi="Calibri" w:cs="Times New Roman"/>
                <w:color w:val="auto"/>
                <w:szCs w:val="21"/>
                <w:lang w:bidi="ar"/>
              </w:rPr>
              <w:t xml:space="preserve"> </w:t>
            </w:r>
            <w:r w:rsidRPr="003E36C1">
              <w:rPr>
                <w:rFonts w:ascii="Calibri" w:cs="Times New Roman"/>
                <w:color w:val="auto"/>
                <w:szCs w:val="21"/>
                <w:lang w:bidi="ar"/>
              </w:rPr>
              <w:t>钙和镁的测定</w:t>
            </w:r>
            <w:r w:rsidRPr="003E36C1">
              <w:rPr>
                <w:rFonts w:ascii="Calibri" w:hAnsi="Calibri" w:cs="Times New Roman"/>
                <w:color w:val="auto"/>
                <w:szCs w:val="21"/>
                <w:lang w:bidi="ar"/>
              </w:rPr>
              <w:t xml:space="preserve"> </w:t>
            </w:r>
            <w:r w:rsidRPr="003E36C1">
              <w:rPr>
                <w:rFonts w:ascii="Calibri" w:cs="Times New Roman"/>
                <w:color w:val="auto"/>
                <w:szCs w:val="21"/>
                <w:lang w:bidi="ar"/>
              </w:rPr>
              <w:t>原子吸收分光光度法</w:t>
            </w:r>
            <w:r w:rsidRPr="003E36C1">
              <w:rPr>
                <w:rFonts w:ascii="Calibri" w:hAnsi="Calibri" w:cs="Times New Roman"/>
                <w:color w:val="auto"/>
                <w:szCs w:val="21"/>
                <w:lang w:bidi="ar"/>
              </w:rPr>
              <w:t>GB 11905-1989</w:t>
            </w:r>
          </w:p>
        </w:tc>
        <w:tc>
          <w:tcPr>
            <w:tcW w:w="789" w:type="pct"/>
            <w:vAlign w:val="center"/>
          </w:tcPr>
          <w:p w14:paraId="6737B268" w14:textId="77777777" w:rsidR="003550C9" w:rsidRPr="003E36C1" w:rsidRDefault="003550C9" w:rsidP="00040BEE">
            <w:pPr>
              <w:pStyle w:val="a1"/>
              <w:overflowPunct w:val="0"/>
              <w:topLinePunct/>
              <w:snapToGrid w:val="0"/>
              <w:rPr>
                <w:rFonts w:ascii="Calibri" w:hAnsi="Calibri" w:cs="Times New Roman"/>
                <w:color w:val="auto"/>
                <w:szCs w:val="21"/>
                <w:lang w:bidi="ar"/>
              </w:rPr>
            </w:pPr>
            <w:r w:rsidRPr="003E36C1">
              <w:rPr>
                <w:rFonts w:ascii="Calibri" w:hAnsi="Calibri" w:cs="Times New Roman"/>
                <w:color w:val="auto"/>
                <w:szCs w:val="21"/>
              </w:rPr>
              <w:t>0.02</w:t>
            </w:r>
            <w:r w:rsidRPr="003E36C1">
              <w:rPr>
                <w:rFonts w:ascii="Calibri" w:hAnsi="Calibri" w:cs="Times New Roman"/>
                <w:color w:val="auto"/>
                <w:szCs w:val="21"/>
                <w:lang w:bidi="ar"/>
              </w:rPr>
              <w:t>mg/L</w:t>
            </w:r>
          </w:p>
        </w:tc>
      </w:tr>
      <w:tr w:rsidR="003550C9" w:rsidRPr="003E36C1" w14:paraId="08230454" w14:textId="77777777" w:rsidTr="00040BEE">
        <w:trPr>
          <w:trHeight w:val="340"/>
          <w:jc w:val="center"/>
        </w:trPr>
        <w:tc>
          <w:tcPr>
            <w:tcW w:w="419" w:type="pct"/>
            <w:vAlign w:val="center"/>
          </w:tcPr>
          <w:p w14:paraId="295BDDC8"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4</w:t>
            </w:r>
          </w:p>
        </w:tc>
        <w:tc>
          <w:tcPr>
            <w:tcW w:w="645" w:type="pct"/>
            <w:vAlign w:val="center"/>
          </w:tcPr>
          <w:p w14:paraId="44580C6F"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rPr>
              <w:t>Mg</w:t>
            </w:r>
            <w:r w:rsidRPr="003E36C1">
              <w:rPr>
                <w:rFonts w:ascii="Calibri" w:hAnsi="Calibri" w:cs="Times New Roman"/>
                <w:color w:val="auto"/>
                <w:szCs w:val="21"/>
                <w:vertAlign w:val="superscript"/>
              </w:rPr>
              <w:t>2+</w:t>
            </w:r>
          </w:p>
        </w:tc>
        <w:tc>
          <w:tcPr>
            <w:tcW w:w="3147" w:type="pct"/>
            <w:vAlign w:val="center"/>
          </w:tcPr>
          <w:p w14:paraId="00E1E2CF" w14:textId="77777777" w:rsidR="003550C9" w:rsidRPr="003E36C1" w:rsidRDefault="003550C9" w:rsidP="00040BEE">
            <w:pPr>
              <w:adjustRightInd w:val="0"/>
              <w:snapToGrid w:val="0"/>
              <w:jc w:val="center"/>
              <w:rPr>
                <w:rFonts w:ascii="Calibri" w:hAnsi="Calibri" w:cs="Times New Roman"/>
                <w:color w:val="auto"/>
                <w:szCs w:val="21"/>
                <w:lang w:bidi="ar"/>
              </w:rPr>
            </w:pPr>
            <w:r w:rsidRPr="003E36C1">
              <w:rPr>
                <w:rFonts w:ascii="Calibri" w:cs="Times New Roman"/>
                <w:color w:val="auto"/>
                <w:szCs w:val="21"/>
                <w:lang w:bidi="ar"/>
              </w:rPr>
              <w:t>水质</w:t>
            </w:r>
            <w:r w:rsidRPr="003E36C1">
              <w:rPr>
                <w:rFonts w:ascii="Calibri" w:hAnsi="Calibri" w:cs="Times New Roman"/>
                <w:color w:val="auto"/>
                <w:szCs w:val="21"/>
                <w:lang w:bidi="ar"/>
              </w:rPr>
              <w:t xml:space="preserve"> </w:t>
            </w:r>
            <w:r w:rsidRPr="003E36C1">
              <w:rPr>
                <w:rFonts w:ascii="Calibri" w:cs="Times New Roman"/>
                <w:color w:val="auto"/>
                <w:szCs w:val="21"/>
                <w:lang w:bidi="ar"/>
              </w:rPr>
              <w:t>钙和镁的测定</w:t>
            </w:r>
            <w:r w:rsidRPr="003E36C1">
              <w:rPr>
                <w:rFonts w:ascii="Calibri" w:hAnsi="Calibri" w:cs="Times New Roman"/>
                <w:color w:val="auto"/>
                <w:szCs w:val="21"/>
                <w:lang w:bidi="ar"/>
              </w:rPr>
              <w:t xml:space="preserve"> </w:t>
            </w:r>
            <w:r w:rsidRPr="003E36C1">
              <w:rPr>
                <w:rFonts w:ascii="Calibri" w:cs="Times New Roman"/>
                <w:color w:val="auto"/>
                <w:szCs w:val="21"/>
                <w:lang w:bidi="ar"/>
              </w:rPr>
              <w:t>原子吸收分光光度法</w:t>
            </w:r>
            <w:r w:rsidRPr="003E36C1">
              <w:rPr>
                <w:rFonts w:ascii="Calibri" w:hAnsi="Calibri" w:cs="Times New Roman"/>
                <w:color w:val="auto"/>
                <w:szCs w:val="21"/>
                <w:lang w:bidi="ar"/>
              </w:rPr>
              <w:t>GB 11905-1989</w:t>
            </w:r>
          </w:p>
        </w:tc>
        <w:tc>
          <w:tcPr>
            <w:tcW w:w="789" w:type="pct"/>
            <w:vAlign w:val="center"/>
          </w:tcPr>
          <w:p w14:paraId="74C6C290"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rPr>
              <w:t>0.002</w:t>
            </w:r>
            <w:r w:rsidRPr="003E36C1">
              <w:rPr>
                <w:rFonts w:ascii="Calibri" w:hAnsi="Calibri" w:cs="Times New Roman"/>
                <w:color w:val="auto"/>
                <w:szCs w:val="21"/>
                <w:lang w:bidi="ar"/>
              </w:rPr>
              <w:t>mg/L</w:t>
            </w:r>
          </w:p>
        </w:tc>
      </w:tr>
      <w:tr w:rsidR="003550C9" w:rsidRPr="003E36C1" w14:paraId="13431000" w14:textId="77777777" w:rsidTr="00040BEE">
        <w:trPr>
          <w:trHeight w:val="340"/>
          <w:jc w:val="center"/>
        </w:trPr>
        <w:tc>
          <w:tcPr>
            <w:tcW w:w="419" w:type="pct"/>
            <w:vAlign w:val="center"/>
          </w:tcPr>
          <w:p w14:paraId="4269CCD4"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5</w:t>
            </w:r>
          </w:p>
        </w:tc>
        <w:tc>
          <w:tcPr>
            <w:tcW w:w="645" w:type="pct"/>
            <w:vAlign w:val="center"/>
          </w:tcPr>
          <w:p w14:paraId="6FE3B156" w14:textId="77777777" w:rsidR="003550C9" w:rsidRPr="003E36C1" w:rsidRDefault="003550C9" w:rsidP="00040BEE">
            <w:pPr>
              <w:jc w:val="center"/>
              <w:rPr>
                <w:rFonts w:ascii="Calibri" w:hAnsi="Calibri" w:cs="Times New Roman"/>
                <w:color w:val="auto"/>
                <w:szCs w:val="21"/>
                <w:lang w:bidi="ar"/>
              </w:rPr>
            </w:pPr>
            <w:r w:rsidRPr="003E36C1">
              <w:rPr>
                <w:rFonts w:ascii="Calibri" w:hAnsi="Calibri" w:cs="Times New Roman"/>
                <w:color w:val="auto"/>
                <w:szCs w:val="21"/>
              </w:rPr>
              <w:t>CO</w:t>
            </w:r>
            <w:r w:rsidRPr="003E36C1">
              <w:rPr>
                <w:rFonts w:ascii="Calibri" w:hAnsi="Calibri" w:cs="Times New Roman"/>
                <w:color w:val="auto"/>
                <w:szCs w:val="21"/>
                <w:vertAlign w:val="subscript"/>
              </w:rPr>
              <w:t>3</w:t>
            </w:r>
            <w:r w:rsidRPr="003E36C1">
              <w:rPr>
                <w:rFonts w:ascii="Calibri" w:hAnsi="Calibri" w:cs="Times New Roman"/>
                <w:color w:val="auto"/>
                <w:szCs w:val="21"/>
                <w:vertAlign w:val="superscript"/>
              </w:rPr>
              <w:t>2-</w:t>
            </w:r>
          </w:p>
        </w:tc>
        <w:tc>
          <w:tcPr>
            <w:tcW w:w="3147" w:type="pct"/>
            <w:vAlign w:val="center"/>
          </w:tcPr>
          <w:p w14:paraId="0D1725A9"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《水和废水监测分析方法》（第四版增补版）酸碱指示剂滴定法</w:t>
            </w:r>
          </w:p>
        </w:tc>
        <w:tc>
          <w:tcPr>
            <w:tcW w:w="789" w:type="pct"/>
            <w:vAlign w:val="center"/>
          </w:tcPr>
          <w:p w14:paraId="4C0C69C9" w14:textId="77777777" w:rsidR="003550C9" w:rsidRPr="003E36C1" w:rsidRDefault="003550C9" w:rsidP="00040BEE">
            <w:pPr>
              <w:jc w:val="center"/>
              <w:textAlignment w:val="center"/>
              <w:rPr>
                <w:rFonts w:ascii="Calibri" w:hAnsi="Calibri" w:cs="Times New Roman"/>
                <w:szCs w:val="21"/>
              </w:rPr>
            </w:pPr>
            <w:r w:rsidRPr="003E36C1">
              <w:rPr>
                <w:rFonts w:ascii="Calibri" w:hAnsi="Calibri" w:cs="Times New Roman"/>
                <w:color w:val="auto"/>
                <w:szCs w:val="21"/>
              </w:rPr>
              <w:t>0.08</w:t>
            </w:r>
            <w:r w:rsidRPr="003E36C1">
              <w:rPr>
                <w:rFonts w:ascii="Calibri" w:hAnsi="Calibri" w:cs="Times New Roman"/>
                <w:color w:val="auto"/>
                <w:szCs w:val="21"/>
                <w:lang w:bidi="ar"/>
              </w:rPr>
              <w:t>mmol/L</w:t>
            </w:r>
          </w:p>
        </w:tc>
      </w:tr>
      <w:tr w:rsidR="003550C9" w:rsidRPr="003E36C1" w14:paraId="520DCFFC" w14:textId="77777777" w:rsidTr="00040BEE">
        <w:trPr>
          <w:trHeight w:val="340"/>
          <w:jc w:val="center"/>
        </w:trPr>
        <w:tc>
          <w:tcPr>
            <w:tcW w:w="419" w:type="pct"/>
            <w:vAlign w:val="center"/>
          </w:tcPr>
          <w:p w14:paraId="0EC98A86"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6</w:t>
            </w:r>
          </w:p>
        </w:tc>
        <w:tc>
          <w:tcPr>
            <w:tcW w:w="645" w:type="pct"/>
            <w:vAlign w:val="center"/>
          </w:tcPr>
          <w:p w14:paraId="64D3E4D5" w14:textId="77777777" w:rsidR="003550C9" w:rsidRPr="003E36C1" w:rsidRDefault="003550C9" w:rsidP="00040BEE">
            <w:pPr>
              <w:jc w:val="center"/>
              <w:rPr>
                <w:rFonts w:ascii="Calibri" w:hAnsi="Calibri" w:cs="Times New Roman"/>
                <w:color w:val="auto"/>
                <w:szCs w:val="21"/>
                <w:lang w:bidi="ar"/>
              </w:rPr>
            </w:pPr>
            <w:r w:rsidRPr="003E36C1">
              <w:rPr>
                <w:rFonts w:ascii="Calibri" w:hAnsi="Calibri" w:cs="Times New Roman"/>
                <w:color w:val="auto"/>
                <w:szCs w:val="21"/>
              </w:rPr>
              <w:t>HCO</w:t>
            </w:r>
            <w:r w:rsidRPr="003E36C1">
              <w:rPr>
                <w:rFonts w:ascii="Calibri" w:hAnsi="Calibri" w:cs="Times New Roman"/>
                <w:color w:val="auto"/>
                <w:szCs w:val="21"/>
                <w:vertAlign w:val="subscript"/>
              </w:rPr>
              <w:t>3</w:t>
            </w:r>
            <w:r w:rsidRPr="003E36C1">
              <w:rPr>
                <w:rFonts w:ascii="Calibri" w:hAnsi="Calibri" w:cs="Times New Roman"/>
                <w:color w:val="auto"/>
                <w:szCs w:val="21"/>
                <w:vertAlign w:val="superscript"/>
              </w:rPr>
              <w:t>-</w:t>
            </w:r>
          </w:p>
        </w:tc>
        <w:tc>
          <w:tcPr>
            <w:tcW w:w="3147" w:type="pct"/>
            <w:vAlign w:val="center"/>
          </w:tcPr>
          <w:p w14:paraId="2FFEBB63"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《水和废水监测分析方法》（第四版增补版）酸碱指示剂滴定法</w:t>
            </w:r>
          </w:p>
        </w:tc>
        <w:tc>
          <w:tcPr>
            <w:tcW w:w="789" w:type="pct"/>
            <w:vAlign w:val="center"/>
          </w:tcPr>
          <w:p w14:paraId="5A67900B" w14:textId="77777777" w:rsidR="003550C9" w:rsidRPr="003E36C1" w:rsidRDefault="003550C9" w:rsidP="00040BEE">
            <w:pPr>
              <w:jc w:val="center"/>
              <w:textAlignment w:val="center"/>
              <w:rPr>
                <w:rFonts w:ascii="Calibri" w:hAnsi="Calibri" w:cs="Times New Roman"/>
                <w:szCs w:val="21"/>
              </w:rPr>
            </w:pPr>
            <w:r w:rsidRPr="003E36C1">
              <w:rPr>
                <w:rFonts w:ascii="Calibri" w:hAnsi="Calibri" w:cs="Times New Roman"/>
                <w:color w:val="auto"/>
                <w:szCs w:val="21"/>
              </w:rPr>
              <w:t>0.08</w:t>
            </w:r>
            <w:r w:rsidRPr="003E36C1">
              <w:rPr>
                <w:rFonts w:ascii="Calibri" w:hAnsi="Calibri" w:cs="Times New Roman"/>
                <w:color w:val="auto"/>
                <w:szCs w:val="21"/>
                <w:lang w:bidi="ar"/>
              </w:rPr>
              <w:t>mmol/L</w:t>
            </w:r>
          </w:p>
        </w:tc>
      </w:tr>
      <w:tr w:rsidR="003550C9" w:rsidRPr="003E36C1" w14:paraId="114D75D4" w14:textId="77777777" w:rsidTr="00040BEE">
        <w:trPr>
          <w:trHeight w:val="340"/>
          <w:jc w:val="center"/>
        </w:trPr>
        <w:tc>
          <w:tcPr>
            <w:tcW w:w="419" w:type="pct"/>
            <w:vAlign w:val="center"/>
          </w:tcPr>
          <w:p w14:paraId="76F0D627"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7</w:t>
            </w:r>
          </w:p>
        </w:tc>
        <w:tc>
          <w:tcPr>
            <w:tcW w:w="645" w:type="pct"/>
            <w:vAlign w:val="center"/>
          </w:tcPr>
          <w:p w14:paraId="10548DAF" w14:textId="77777777" w:rsidR="003550C9" w:rsidRPr="003E36C1" w:rsidRDefault="003550C9" w:rsidP="00040BEE">
            <w:pPr>
              <w:jc w:val="center"/>
              <w:rPr>
                <w:rFonts w:ascii="Calibri" w:hAnsi="Calibri" w:cs="Times New Roman"/>
                <w:color w:val="auto"/>
                <w:szCs w:val="21"/>
                <w:lang w:bidi="ar"/>
              </w:rPr>
            </w:pPr>
            <w:r w:rsidRPr="003E36C1">
              <w:rPr>
                <w:rFonts w:ascii="Calibri" w:hAnsi="Calibri" w:cs="Times New Roman"/>
                <w:color w:val="auto"/>
                <w:szCs w:val="21"/>
              </w:rPr>
              <w:t>SO</w:t>
            </w:r>
            <w:r w:rsidRPr="003E36C1">
              <w:rPr>
                <w:rFonts w:ascii="Calibri" w:hAnsi="Calibri" w:cs="Times New Roman"/>
                <w:color w:val="auto"/>
                <w:szCs w:val="21"/>
                <w:vertAlign w:val="subscript"/>
              </w:rPr>
              <w:t>4</w:t>
            </w:r>
            <w:r w:rsidRPr="003E36C1">
              <w:rPr>
                <w:rFonts w:ascii="Calibri" w:hAnsi="Calibri" w:cs="Times New Roman"/>
                <w:color w:val="auto"/>
                <w:szCs w:val="21"/>
                <w:vertAlign w:val="superscript"/>
              </w:rPr>
              <w:t>2-</w:t>
            </w:r>
          </w:p>
        </w:tc>
        <w:tc>
          <w:tcPr>
            <w:tcW w:w="3147" w:type="pct"/>
            <w:vAlign w:val="center"/>
          </w:tcPr>
          <w:p w14:paraId="16CC1B43"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水质</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无机阴离子（</w:t>
            </w:r>
            <w:r w:rsidRPr="003E36C1">
              <w:rPr>
                <w:rFonts w:ascii="Calibri" w:hAnsi="Calibri" w:cs="Times New Roman"/>
                <w:color w:val="auto"/>
                <w:szCs w:val="21"/>
                <w:lang w:bidi="ar"/>
              </w:rPr>
              <w:t>F</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Cl</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NO</w:t>
            </w:r>
            <w:r w:rsidRPr="003E36C1">
              <w:rPr>
                <w:rFonts w:ascii="Calibri" w:hAnsi="Calibri" w:cs="Times New Roman"/>
                <w:color w:val="auto"/>
                <w:szCs w:val="21"/>
                <w:vertAlign w:val="subscript"/>
                <w:lang w:bidi="ar"/>
              </w:rPr>
              <w:t>2</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Br</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NO</w:t>
            </w:r>
            <w:r w:rsidRPr="003E36C1">
              <w:rPr>
                <w:rFonts w:ascii="Calibri" w:hAnsi="Calibri" w:cs="Times New Roman"/>
                <w:color w:val="auto"/>
                <w:szCs w:val="21"/>
                <w:vertAlign w:val="subscript"/>
                <w:lang w:bidi="ar"/>
              </w:rPr>
              <w:t>3</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PO</w:t>
            </w:r>
            <w:r w:rsidRPr="003E36C1">
              <w:rPr>
                <w:rFonts w:ascii="Calibri" w:hAnsi="Calibri" w:cs="Times New Roman"/>
                <w:color w:val="auto"/>
                <w:szCs w:val="21"/>
                <w:vertAlign w:val="subscript"/>
                <w:lang w:bidi="ar"/>
              </w:rPr>
              <w:t>4</w:t>
            </w:r>
            <w:r w:rsidRPr="003E36C1">
              <w:rPr>
                <w:rFonts w:ascii="Calibri" w:hAnsi="Calibri" w:cs="Times New Roman"/>
                <w:color w:val="auto"/>
                <w:szCs w:val="21"/>
                <w:vertAlign w:val="superscript"/>
                <w:lang w:bidi="ar"/>
              </w:rPr>
              <w:t>3-</w:t>
            </w:r>
            <w:r w:rsidRPr="003E36C1">
              <w:rPr>
                <w:rFonts w:ascii="Calibri" w:cs="Times New Roman"/>
                <w:color w:val="auto"/>
                <w:szCs w:val="21"/>
                <w:lang w:bidi="ar"/>
              </w:rPr>
              <w:t>、</w:t>
            </w:r>
            <w:r w:rsidRPr="003E36C1">
              <w:rPr>
                <w:rFonts w:ascii="Calibri" w:hAnsi="Calibri" w:cs="Times New Roman"/>
                <w:color w:val="auto"/>
                <w:szCs w:val="21"/>
                <w:lang w:bidi="ar"/>
              </w:rPr>
              <w:t>SO</w:t>
            </w:r>
            <w:r w:rsidRPr="003E36C1">
              <w:rPr>
                <w:rFonts w:ascii="Calibri" w:hAnsi="Calibri" w:cs="Times New Roman"/>
                <w:color w:val="auto"/>
                <w:szCs w:val="21"/>
                <w:vertAlign w:val="subscript"/>
                <w:lang w:bidi="ar"/>
              </w:rPr>
              <w:t>3</w:t>
            </w:r>
            <w:r w:rsidRPr="003E36C1">
              <w:rPr>
                <w:rFonts w:ascii="Calibri" w:hAnsi="Calibri" w:cs="Times New Roman"/>
                <w:color w:val="auto"/>
                <w:szCs w:val="21"/>
                <w:vertAlign w:val="superscript"/>
                <w:lang w:bidi="ar"/>
              </w:rPr>
              <w:t>2-</w:t>
            </w:r>
            <w:r w:rsidRPr="003E36C1">
              <w:rPr>
                <w:rFonts w:ascii="Calibri" w:cs="Times New Roman"/>
                <w:color w:val="auto"/>
                <w:szCs w:val="21"/>
                <w:lang w:bidi="ar"/>
              </w:rPr>
              <w:t>、</w:t>
            </w:r>
            <w:r w:rsidRPr="003E36C1">
              <w:rPr>
                <w:rFonts w:ascii="Calibri" w:hAnsi="Calibri" w:cs="Times New Roman"/>
                <w:color w:val="auto"/>
                <w:szCs w:val="21"/>
                <w:lang w:bidi="ar"/>
              </w:rPr>
              <w:t>SO</w:t>
            </w:r>
            <w:r w:rsidRPr="003E36C1">
              <w:rPr>
                <w:rFonts w:ascii="Calibri" w:hAnsi="Calibri" w:cs="Times New Roman"/>
                <w:color w:val="auto"/>
                <w:szCs w:val="21"/>
                <w:vertAlign w:val="subscript"/>
                <w:lang w:bidi="ar"/>
              </w:rPr>
              <w:t>4</w:t>
            </w:r>
            <w:r w:rsidRPr="003E36C1">
              <w:rPr>
                <w:rFonts w:ascii="Calibri" w:hAnsi="Calibri" w:cs="Times New Roman"/>
                <w:color w:val="auto"/>
                <w:szCs w:val="21"/>
                <w:vertAlign w:val="superscript"/>
                <w:lang w:bidi="ar"/>
              </w:rPr>
              <w:t>2-</w:t>
            </w:r>
            <w:r w:rsidRPr="003E36C1">
              <w:rPr>
                <w:rFonts w:ascii="Calibri" w:cs="Times New Roman"/>
                <w:color w:val="auto"/>
                <w:szCs w:val="21"/>
                <w:lang w:bidi="ar"/>
              </w:rPr>
              <w:t>）的测定离子色谱法</w:t>
            </w:r>
            <w:r w:rsidRPr="003E36C1">
              <w:rPr>
                <w:rFonts w:ascii="Calibri" w:hAnsi="Calibri" w:cs="Times New Roman"/>
                <w:color w:val="auto"/>
                <w:szCs w:val="21"/>
                <w:lang w:bidi="ar"/>
              </w:rPr>
              <w:t>HJ 84-2016</w:t>
            </w:r>
          </w:p>
        </w:tc>
        <w:tc>
          <w:tcPr>
            <w:tcW w:w="789" w:type="pct"/>
            <w:vAlign w:val="center"/>
          </w:tcPr>
          <w:p w14:paraId="2F3EA505"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0.018mg/L</w:t>
            </w:r>
          </w:p>
        </w:tc>
      </w:tr>
      <w:tr w:rsidR="003550C9" w:rsidRPr="003E36C1" w14:paraId="1B1C0A8C" w14:textId="77777777" w:rsidTr="00040BEE">
        <w:trPr>
          <w:trHeight w:val="340"/>
          <w:jc w:val="center"/>
        </w:trPr>
        <w:tc>
          <w:tcPr>
            <w:tcW w:w="419" w:type="pct"/>
            <w:vAlign w:val="center"/>
          </w:tcPr>
          <w:p w14:paraId="63AE04A7"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8</w:t>
            </w:r>
          </w:p>
        </w:tc>
        <w:tc>
          <w:tcPr>
            <w:tcW w:w="645" w:type="pct"/>
            <w:vAlign w:val="center"/>
          </w:tcPr>
          <w:p w14:paraId="25F5752D" w14:textId="77777777" w:rsidR="003550C9" w:rsidRPr="003E36C1" w:rsidRDefault="003550C9" w:rsidP="00040BEE">
            <w:pPr>
              <w:jc w:val="center"/>
              <w:rPr>
                <w:rFonts w:ascii="Calibri" w:hAnsi="Calibri" w:cs="Times New Roman"/>
                <w:color w:val="auto"/>
                <w:szCs w:val="21"/>
                <w:lang w:bidi="ar"/>
              </w:rPr>
            </w:pPr>
            <w:r w:rsidRPr="003E36C1">
              <w:rPr>
                <w:rFonts w:ascii="Calibri" w:hAnsi="Calibri" w:cs="Times New Roman"/>
                <w:color w:val="auto"/>
                <w:szCs w:val="21"/>
              </w:rPr>
              <w:t>Cl</w:t>
            </w:r>
            <w:r w:rsidRPr="003E36C1">
              <w:rPr>
                <w:rFonts w:ascii="Calibri" w:hAnsi="Calibri" w:cs="Times New Roman"/>
                <w:color w:val="auto"/>
                <w:szCs w:val="21"/>
                <w:vertAlign w:val="superscript"/>
              </w:rPr>
              <w:t>-</w:t>
            </w:r>
          </w:p>
        </w:tc>
        <w:tc>
          <w:tcPr>
            <w:tcW w:w="3147" w:type="pct"/>
            <w:vAlign w:val="center"/>
          </w:tcPr>
          <w:p w14:paraId="549D1883"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水质</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无机阴离子（</w:t>
            </w:r>
            <w:r w:rsidRPr="003E36C1">
              <w:rPr>
                <w:rFonts w:ascii="Calibri" w:hAnsi="Calibri" w:cs="Times New Roman"/>
                <w:color w:val="auto"/>
                <w:szCs w:val="21"/>
                <w:lang w:bidi="ar"/>
              </w:rPr>
              <w:t>F</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Cl</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NO</w:t>
            </w:r>
            <w:r w:rsidRPr="003E36C1">
              <w:rPr>
                <w:rFonts w:ascii="Calibri" w:hAnsi="Calibri" w:cs="Times New Roman"/>
                <w:color w:val="auto"/>
                <w:szCs w:val="21"/>
                <w:vertAlign w:val="subscript"/>
                <w:lang w:bidi="ar"/>
              </w:rPr>
              <w:t>2</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Br</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NO</w:t>
            </w:r>
            <w:r w:rsidRPr="003E36C1">
              <w:rPr>
                <w:rFonts w:ascii="Calibri" w:hAnsi="Calibri" w:cs="Times New Roman"/>
                <w:color w:val="auto"/>
                <w:szCs w:val="21"/>
                <w:vertAlign w:val="subscript"/>
                <w:lang w:bidi="ar"/>
              </w:rPr>
              <w:t>3</w:t>
            </w:r>
            <w:r w:rsidRPr="003E36C1">
              <w:rPr>
                <w:rFonts w:ascii="Calibri" w:hAnsi="Calibri" w:cs="Times New Roman"/>
                <w:color w:val="auto"/>
                <w:szCs w:val="21"/>
                <w:vertAlign w:val="superscript"/>
                <w:lang w:bidi="ar"/>
              </w:rPr>
              <w:t>-</w:t>
            </w:r>
            <w:r w:rsidRPr="003E36C1">
              <w:rPr>
                <w:rFonts w:ascii="Calibri" w:cs="Times New Roman"/>
                <w:color w:val="auto"/>
                <w:szCs w:val="21"/>
                <w:lang w:bidi="ar"/>
              </w:rPr>
              <w:t>、</w:t>
            </w:r>
            <w:r w:rsidRPr="003E36C1">
              <w:rPr>
                <w:rFonts w:ascii="Calibri" w:hAnsi="Calibri" w:cs="Times New Roman"/>
                <w:color w:val="auto"/>
                <w:szCs w:val="21"/>
                <w:lang w:bidi="ar"/>
              </w:rPr>
              <w:t>PO</w:t>
            </w:r>
            <w:r w:rsidRPr="003E36C1">
              <w:rPr>
                <w:rFonts w:ascii="Calibri" w:hAnsi="Calibri" w:cs="Times New Roman"/>
                <w:color w:val="auto"/>
                <w:szCs w:val="21"/>
                <w:vertAlign w:val="subscript"/>
                <w:lang w:bidi="ar"/>
              </w:rPr>
              <w:t>4</w:t>
            </w:r>
            <w:r w:rsidRPr="003E36C1">
              <w:rPr>
                <w:rFonts w:ascii="Calibri" w:hAnsi="Calibri" w:cs="Times New Roman"/>
                <w:color w:val="auto"/>
                <w:szCs w:val="21"/>
                <w:vertAlign w:val="superscript"/>
                <w:lang w:bidi="ar"/>
              </w:rPr>
              <w:t>3-</w:t>
            </w:r>
            <w:r w:rsidRPr="003E36C1">
              <w:rPr>
                <w:rFonts w:ascii="Calibri" w:cs="Times New Roman"/>
                <w:color w:val="auto"/>
                <w:szCs w:val="21"/>
                <w:lang w:bidi="ar"/>
              </w:rPr>
              <w:t>、</w:t>
            </w:r>
            <w:r w:rsidRPr="003E36C1">
              <w:rPr>
                <w:rFonts w:ascii="Calibri" w:hAnsi="Calibri" w:cs="Times New Roman"/>
                <w:color w:val="auto"/>
                <w:szCs w:val="21"/>
                <w:lang w:bidi="ar"/>
              </w:rPr>
              <w:t>SO</w:t>
            </w:r>
            <w:r w:rsidRPr="003E36C1">
              <w:rPr>
                <w:rFonts w:ascii="Calibri" w:hAnsi="Calibri" w:cs="Times New Roman"/>
                <w:color w:val="auto"/>
                <w:szCs w:val="21"/>
                <w:vertAlign w:val="subscript"/>
                <w:lang w:bidi="ar"/>
              </w:rPr>
              <w:t>3</w:t>
            </w:r>
            <w:r w:rsidRPr="003E36C1">
              <w:rPr>
                <w:rFonts w:ascii="Calibri" w:hAnsi="Calibri" w:cs="Times New Roman"/>
                <w:color w:val="auto"/>
                <w:szCs w:val="21"/>
                <w:vertAlign w:val="superscript"/>
                <w:lang w:bidi="ar"/>
              </w:rPr>
              <w:t>2-</w:t>
            </w:r>
            <w:r w:rsidRPr="003E36C1">
              <w:rPr>
                <w:rFonts w:ascii="Calibri" w:cs="Times New Roman"/>
                <w:color w:val="auto"/>
                <w:szCs w:val="21"/>
                <w:lang w:bidi="ar"/>
              </w:rPr>
              <w:t>、</w:t>
            </w:r>
            <w:r w:rsidRPr="003E36C1">
              <w:rPr>
                <w:rFonts w:ascii="Calibri" w:hAnsi="Calibri" w:cs="Times New Roman"/>
                <w:color w:val="auto"/>
                <w:szCs w:val="21"/>
                <w:lang w:bidi="ar"/>
              </w:rPr>
              <w:t>SO</w:t>
            </w:r>
            <w:r w:rsidRPr="003E36C1">
              <w:rPr>
                <w:rFonts w:ascii="Calibri" w:hAnsi="Calibri" w:cs="Times New Roman"/>
                <w:color w:val="auto"/>
                <w:szCs w:val="21"/>
                <w:vertAlign w:val="subscript"/>
                <w:lang w:bidi="ar"/>
              </w:rPr>
              <w:t>4</w:t>
            </w:r>
            <w:r w:rsidRPr="003E36C1">
              <w:rPr>
                <w:rFonts w:ascii="Calibri" w:hAnsi="Calibri" w:cs="Times New Roman"/>
                <w:color w:val="auto"/>
                <w:szCs w:val="21"/>
                <w:vertAlign w:val="superscript"/>
                <w:lang w:bidi="ar"/>
              </w:rPr>
              <w:t>2-</w:t>
            </w:r>
            <w:r w:rsidRPr="003E36C1">
              <w:rPr>
                <w:rFonts w:ascii="Calibri" w:cs="Times New Roman"/>
                <w:color w:val="auto"/>
                <w:szCs w:val="21"/>
                <w:lang w:bidi="ar"/>
              </w:rPr>
              <w:t>）的测定离子色谱法</w:t>
            </w:r>
            <w:r w:rsidRPr="003E36C1">
              <w:rPr>
                <w:rFonts w:ascii="Calibri" w:hAnsi="Calibri" w:cs="Times New Roman"/>
                <w:color w:val="auto"/>
                <w:szCs w:val="21"/>
                <w:lang w:bidi="ar"/>
              </w:rPr>
              <w:t>HJ 84-2016</w:t>
            </w:r>
          </w:p>
        </w:tc>
        <w:tc>
          <w:tcPr>
            <w:tcW w:w="789" w:type="pct"/>
            <w:vAlign w:val="center"/>
          </w:tcPr>
          <w:p w14:paraId="29C23946"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0.007mg/L</w:t>
            </w:r>
          </w:p>
        </w:tc>
      </w:tr>
      <w:tr w:rsidR="003550C9" w:rsidRPr="003E36C1" w14:paraId="6A0ED9E7" w14:textId="77777777" w:rsidTr="00040BEE">
        <w:trPr>
          <w:trHeight w:val="340"/>
          <w:jc w:val="center"/>
        </w:trPr>
        <w:tc>
          <w:tcPr>
            <w:tcW w:w="419" w:type="pct"/>
            <w:vAlign w:val="center"/>
          </w:tcPr>
          <w:p w14:paraId="1DCD67B7"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9</w:t>
            </w:r>
          </w:p>
        </w:tc>
        <w:tc>
          <w:tcPr>
            <w:tcW w:w="645" w:type="pct"/>
            <w:vAlign w:val="center"/>
          </w:tcPr>
          <w:p w14:paraId="6C109C90" w14:textId="77777777" w:rsidR="003550C9" w:rsidRPr="003E36C1" w:rsidRDefault="003550C9" w:rsidP="00040BEE">
            <w:pPr>
              <w:widowControl/>
              <w:jc w:val="center"/>
              <w:textAlignment w:val="center"/>
              <w:rPr>
                <w:rFonts w:ascii="Calibri" w:hAnsi="Calibri" w:cs="Times New Roman"/>
                <w:color w:val="auto"/>
                <w:kern w:val="0"/>
                <w:szCs w:val="21"/>
                <w:lang w:bidi="ar"/>
              </w:rPr>
            </w:pPr>
            <w:r w:rsidRPr="003E36C1">
              <w:rPr>
                <w:rFonts w:ascii="Calibri" w:hAnsi="Calibri" w:cs="Times New Roman"/>
                <w:szCs w:val="21"/>
              </w:rPr>
              <w:t>pH</w:t>
            </w:r>
            <w:r w:rsidRPr="003E36C1">
              <w:rPr>
                <w:rFonts w:ascii="Calibri" w:cs="Times New Roman"/>
                <w:szCs w:val="21"/>
              </w:rPr>
              <w:t>值</w:t>
            </w:r>
          </w:p>
        </w:tc>
        <w:tc>
          <w:tcPr>
            <w:tcW w:w="3147" w:type="pct"/>
            <w:vAlign w:val="center"/>
          </w:tcPr>
          <w:p w14:paraId="54532C49" w14:textId="77777777" w:rsidR="003550C9" w:rsidRPr="003E36C1" w:rsidRDefault="003550C9" w:rsidP="00040BEE">
            <w:pPr>
              <w:widowControl/>
              <w:jc w:val="center"/>
              <w:textAlignment w:val="center"/>
              <w:rPr>
                <w:rFonts w:ascii="Calibri" w:hAnsi="Calibri" w:cs="Times New Roman"/>
                <w:color w:val="auto"/>
                <w:kern w:val="0"/>
                <w:szCs w:val="21"/>
                <w:lang w:bidi="ar"/>
              </w:rPr>
            </w:pPr>
            <w:r w:rsidRPr="003E36C1">
              <w:rPr>
                <w:rFonts w:ascii="Calibri" w:cs="Times New Roman"/>
                <w:szCs w:val="21"/>
              </w:rPr>
              <w:t>《水和废水监测分析方法》（第四版增补版）第三篇</w:t>
            </w:r>
            <w:r w:rsidRPr="003E36C1">
              <w:rPr>
                <w:rFonts w:ascii="Calibri" w:hAnsi="Calibri" w:cs="Times New Roman"/>
                <w:szCs w:val="21"/>
              </w:rPr>
              <w:t xml:space="preserve"> </w:t>
            </w:r>
            <w:r w:rsidRPr="003E36C1">
              <w:rPr>
                <w:rFonts w:ascii="Calibri" w:cs="Times New Roman"/>
                <w:szCs w:val="21"/>
              </w:rPr>
              <w:t>第一章</w:t>
            </w:r>
            <w:r w:rsidRPr="003E36C1">
              <w:rPr>
                <w:rFonts w:ascii="Calibri" w:hAnsi="Calibri" w:cs="Times New Roman"/>
                <w:szCs w:val="21"/>
              </w:rPr>
              <w:t xml:space="preserve"> </w:t>
            </w:r>
            <w:r w:rsidRPr="003E36C1">
              <w:rPr>
                <w:rFonts w:ascii="Calibri" w:cs="Times New Roman"/>
                <w:szCs w:val="21"/>
              </w:rPr>
              <w:t>六（便携式</w:t>
            </w:r>
            <w:r w:rsidRPr="003E36C1">
              <w:rPr>
                <w:rFonts w:ascii="Calibri" w:hAnsi="Calibri" w:cs="Times New Roman"/>
                <w:szCs w:val="21"/>
              </w:rPr>
              <w:t>pH</w:t>
            </w:r>
            <w:r w:rsidRPr="003E36C1">
              <w:rPr>
                <w:rFonts w:ascii="Calibri" w:cs="Times New Roman"/>
                <w:szCs w:val="21"/>
              </w:rPr>
              <w:t>值计法）</w:t>
            </w:r>
          </w:p>
        </w:tc>
        <w:tc>
          <w:tcPr>
            <w:tcW w:w="789" w:type="pct"/>
            <w:vAlign w:val="center"/>
          </w:tcPr>
          <w:p w14:paraId="15D6BC9F" w14:textId="77777777" w:rsidR="003550C9" w:rsidRPr="003E36C1" w:rsidRDefault="003550C9" w:rsidP="00040BEE">
            <w:pPr>
              <w:widowControl/>
              <w:jc w:val="center"/>
              <w:textAlignment w:val="center"/>
              <w:rPr>
                <w:rFonts w:ascii="Calibri" w:hAnsi="Calibri" w:cs="Times New Roman"/>
                <w:color w:val="auto"/>
                <w:kern w:val="0"/>
                <w:szCs w:val="21"/>
                <w:lang w:bidi="ar"/>
              </w:rPr>
            </w:pPr>
            <w:r w:rsidRPr="003E36C1">
              <w:rPr>
                <w:rFonts w:ascii="Calibri" w:hAnsi="Calibri" w:cs="Times New Roman"/>
                <w:color w:val="auto"/>
                <w:kern w:val="0"/>
                <w:szCs w:val="21"/>
                <w:lang w:bidi="ar"/>
              </w:rPr>
              <w:t>/</w:t>
            </w:r>
          </w:p>
        </w:tc>
      </w:tr>
      <w:tr w:rsidR="003550C9" w:rsidRPr="003E36C1" w14:paraId="2C399327" w14:textId="77777777" w:rsidTr="00040BEE">
        <w:trPr>
          <w:trHeight w:val="340"/>
          <w:jc w:val="center"/>
        </w:trPr>
        <w:tc>
          <w:tcPr>
            <w:tcW w:w="419" w:type="pct"/>
            <w:vAlign w:val="center"/>
          </w:tcPr>
          <w:p w14:paraId="56CA7152"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10</w:t>
            </w:r>
          </w:p>
        </w:tc>
        <w:tc>
          <w:tcPr>
            <w:tcW w:w="645" w:type="pct"/>
            <w:vAlign w:val="center"/>
          </w:tcPr>
          <w:p w14:paraId="2F6A410A"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氨氮</w:t>
            </w:r>
          </w:p>
        </w:tc>
        <w:tc>
          <w:tcPr>
            <w:tcW w:w="3147" w:type="pct"/>
            <w:vAlign w:val="center"/>
          </w:tcPr>
          <w:p w14:paraId="1A4DE5D7"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无机非金属指标纳氏试剂分光光度法</w:t>
            </w:r>
            <w:r w:rsidRPr="003E36C1">
              <w:rPr>
                <w:rFonts w:ascii="Calibri" w:hAnsi="Calibri" w:cs="Times New Roman"/>
                <w:color w:val="auto"/>
                <w:szCs w:val="21"/>
                <w:lang w:bidi="ar"/>
              </w:rPr>
              <w:t>GB/T 5750.5-2006</w:t>
            </w:r>
          </w:p>
        </w:tc>
        <w:tc>
          <w:tcPr>
            <w:tcW w:w="789" w:type="pct"/>
            <w:vAlign w:val="center"/>
          </w:tcPr>
          <w:p w14:paraId="39772E57"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0.02mg/L</w:t>
            </w:r>
          </w:p>
        </w:tc>
      </w:tr>
      <w:tr w:rsidR="003550C9" w:rsidRPr="003E36C1" w14:paraId="174CC77B" w14:textId="77777777" w:rsidTr="00040BEE">
        <w:trPr>
          <w:trHeight w:val="340"/>
          <w:jc w:val="center"/>
        </w:trPr>
        <w:tc>
          <w:tcPr>
            <w:tcW w:w="419" w:type="pct"/>
            <w:vAlign w:val="center"/>
          </w:tcPr>
          <w:p w14:paraId="37CF06F3"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11</w:t>
            </w:r>
          </w:p>
        </w:tc>
        <w:tc>
          <w:tcPr>
            <w:tcW w:w="645" w:type="pct"/>
            <w:vAlign w:val="center"/>
          </w:tcPr>
          <w:p w14:paraId="1C4A7292"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硝酸盐</w:t>
            </w:r>
          </w:p>
        </w:tc>
        <w:tc>
          <w:tcPr>
            <w:tcW w:w="3147" w:type="pct"/>
            <w:vAlign w:val="center"/>
          </w:tcPr>
          <w:p w14:paraId="6F19F9C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无机非金属指标麝香草酚分光光度法</w:t>
            </w:r>
            <w:r w:rsidRPr="003E36C1">
              <w:rPr>
                <w:rFonts w:ascii="Calibri" w:hAnsi="Calibri" w:cs="Times New Roman"/>
                <w:color w:val="auto"/>
                <w:szCs w:val="21"/>
                <w:lang w:bidi="ar"/>
              </w:rPr>
              <w:t>GB/T 5750.5-2006</w:t>
            </w:r>
          </w:p>
        </w:tc>
        <w:tc>
          <w:tcPr>
            <w:tcW w:w="789" w:type="pct"/>
            <w:vAlign w:val="center"/>
          </w:tcPr>
          <w:p w14:paraId="5290C7C6"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0.5mg/L</w:t>
            </w:r>
          </w:p>
        </w:tc>
      </w:tr>
      <w:tr w:rsidR="003550C9" w:rsidRPr="003E36C1" w14:paraId="206DE8E1" w14:textId="77777777" w:rsidTr="00040BEE">
        <w:trPr>
          <w:trHeight w:val="340"/>
          <w:jc w:val="center"/>
        </w:trPr>
        <w:tc>
          <w:tcPr>
            <w:tcW w:w="419" w:type="pct"/>
            <w:vAlign w:val="center"/>
          </w:tcPr>
          <w:p w14:paraId="778D7746"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12</w:t>
            </w:r>
          </w:p>
        </w:tc>
        <w:tc>
          <w:tcPr>
            <w:tcW w:w="645" w:type="pct"/>
            <w:vAlign w:val="center"/>
          </w:tcPr>
          <w:p w14:paraId="09259E1C"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亚硝酸盐</w:t>
            </w:r>
          </w:p>
        </w:tc>
        <w:tc>
          <w:tcPr>
            <w:tcW w:w="3147" w:type="pct"/>
            <w:vAlign w:val="center"/>
          </w:tcPr>
          <w:p w14:paraId="032F5E62"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无机非金属指标重氮偶合分光光度法</w:t>
            </w:r>
            <w:r w:rsidRPr="003E36C1">
              <w:rPr>
                <w:rFonts w:ascii="Calibri" w:hAnsi="Calibri" w:cs="Times New Roman"/>
                <w:color w:val="auto"/>
                <w:szCs w:val="21"/>
                <w:lang w:bidi="ar"/>
              </w:rPr>
              <w:t>GB/T 5750.5-2006</w:t>
            </w:r>
          </w:p>
        </w:tc>
        <w:tc>
          <w:tcPr>
            <w:tcW w:w="789" w:type="pct"/>
            <w:vAlign w:val="center"/>
          </w:tcPr>
          <w:p w14:paraId="4B4490A5"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0.001mg/L</w:t>
            </w:r>
          </w:p>
        </w:tc>
      </w:tr>
      <w:tr w:rsidR="003550C9" w:rsidRPr="003E36C1" w14:paraId="5E5AC114" w14:textId="77777777" w:rsidTr="00040BEE">
        <w:trPr>
          <w:trHeight w:val="340"/>
          <w:jc w:val="center"/>
        </w:trPr>
        <w:tc>
          <w:tcPr>
            <w:tcW w:w="419" w:type="pct"/>
            <w:vAlign w:val="center"/>
          </w:tcPr>
          <w:p w14:paraId="338BCF8A"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13</w:t>
            </w:r>
          </w:p>
        </w:tc>
        <w:tc>
          <w:tcPr>
            <w:tcW w:w="645" w:type="pct"/>
            <w:vAlign w:val="center"/>
          </w:tcPr>
          <w:p w14:paraId="15A5A5C5"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rPr>
              <w:t>挥发性酚</w:t>
            </w:r>
            <w:r w:rsidRPr="003E36C1">
              <w:rPr>
                <w:rFonts w:ascii="Calibri" w:cs="Times New Roman"/>
                <w:color w:val="auto"/>
                <w:szCs w:val="21"/>
                <w:lang w:bidi="ar"/>
              </w:rPr>
              <w:t>类</w:t>
            </w:r>
          </w:p>
        </w:tc>
        <w:tc>
          <w:tcPr>
            <w:tcW w:w="3147" w:type="pct"/>
            <w:vAlign w:val="center"/>
          </w:tcPr>
          <w:p w14:paraId="0ED538B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rPr>
              <w:t>水质</w:t>
            </w:r>
            <w:r w:rsidRPr="003E36C1">
              <w:rPr>
                <w:rFonts w:ascii="Calibri" w:hAnsi="Calibri" w:cs="Times New Roman"/>
                <w:color w:val="auto"/>
                <w:szCs w:val="21"/>
              </w:rPr>
              <w:t xml:space="preserve"> </w:t>
            </w:r>
            <w:r w:rsidRPr="003E36C1">
              <w:rPr>
                <w:rFonts w:ascii="Calibri" w:cs="Times New Roman"/>
                <w:color w:val="auto"/>
                <w:szCs w:val="21"/>
              </w:rPr>
              <w:t>挥发酚的测定</w:t>
            </w:r>
            <w:r w:rsidRPr="003E36C1">
              <w:rPr>
                <w:rFonts w:ascii="Calibri" w:hAnsi="Calibri" w:cs="Times New Roman"/>
                <w:color w:val="auto"/>
                <w:szCs w:val="21"/>
              </w:rPr>
              <w:t xml:space="preserve"> 4-</w:t>
            </w:r>
            <w:r w:rsidRPr="003E36C1">
              <w:rPr>
                <w:rFonts w:ascii="Calibri" w:cs="Times New Roman"/>
                <w:color w:val="auto"/>
                <w:szCs w:val="21"/>
              </w:rPr>
              <w:t>氨基安替比林分光光度法</w:t>
            </w:r>
            <w:r w:rsidRPr="003E36C1">
              <w:rPr>
                <w:rFonts w:ascii="Calibri" w:hAnsi="Calibri" w:cs="Times New Roman"/>
                <w:color w:val="auto"/>
                <w:szCs w:val="21"/>
              </w:rPr>
              <w:t>HJ 503-2009</w:t>
            </w:r>
          </w:p>
        </w:tc>
        <w:tc>
          <w:tcPr>
            <w:tcW w:w="789" w:type="pct"/>
            <w:vAlign w:val="center"/>
          </w:tcPr>
          <w:p w14:paraId="24EE2052"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szCs w:val="21"/>
              </w:rPr>
              <w:t>0.0003mg/L</w:t>
            </w:r>
          </w:p>
        </w:tc>
      </w:tr>
      <w:tr w:rsidR="003550C9" w:rsidRPr="003E36C1" w14:paraId="19E66A50" w14:textId="77777777" w:rsidTr="00040BEE">
        <w:trPr>
          <w:trHeight w:val="340"/>
          <w:jc w:val="center"/>
        </w:trPr>
        <w:tc>
          <w:tcPr>
            <w:tcW w:w="419" w:type="pct"/>
            <w:vAlign w:val="center"/>
          </w:tcPr>
          <w:p w14:paraId="5AAE0D8E"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14</w:t>
            </w:r>
          </w:p>
        </w:tc>
        <w:tc>
          <w:tcPr>
            <w:tcW w:w="645" w:type="pct"/>
            <w:vAlign w:val="center"/>
          </w:tcPr>
          <w:p w14:paraId="624AF300"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氰化物</w:t>
            </w:r>
          </w:p>
        </w:tc>
        <w:tc>
          <w:tcPr>
            <w:tcW w:w="3147" w:type="pct"/>
            <w:vAlign w:val="center"/>
          </w:tcPr>
          <w:p w14:paraId="70592ED9"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无机非金属指标异烟酸</w:t>
            </w:r>
            <w:r w:rsidRPr="003E36C1">
              <w:rPr>
                <w:rFonts w:ascii="Calibri" w:hAnsi="Calibri" w:cs="Times New Roman"/>
                <w:color w:val="auto"/>
                <w:szCs w:val="21"/>
                <w:lang w:bidi="ar"/>
              </w:rPr>
              <w:t>-</w:t>
            </w:r>
            <w:r w:rsidRPr="003E36C1">
              <w:rPr>
                <w:rFonts w:ascii="Calibri" w:cs="Times New Roman"/>
                <w:color w:val="auto"/>
                <w:szCs w:val="21"/>
                <w:lang w:bidi="ar"/>
              </w:rPr>
              <w:t>吡唑酮分光光度法</w:t>
            </w:r>
            <w:r w:rsidRPr="003E36C1">
              <w:rPr>
                <w:rFonts w:ascii="Calibri" w:hAnsi="Calibri" w:cs="Times New Roman"/>
                <w:color w:val="auto"/>
                <w:szCs w:val="21"/>
                <w:lang w:bidi="ar"/>
              </w:rPr>
              <w:t>GB/T 5750.5-2006</w:t>
            </w:r>
          </w:p>
        </w:tc>
        <w:tc>
          <w:tcPr>
            <w:tcW w:w="789" w:type="pct"/>
            <w:vAlign w:val="center"/>
          </w:tcPr>
          <w:p w14:paraId="28673198"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0.002mg/L</w:t>
            </w:r>
          </w:p>
        </w:tc>
      </w:tr>
      <w:tr w:rsidR="003550C9" w:rsidRPr="003E36C1" w14:paraId="09BBCB93" w14:textId="77777777" w:rsidTr="00040BEE">
        <w:trPr>
          <w:trHeight w:val="340"/>
          <w:jc w:val="center"/>
        </w:trPr>
        <w:tc>
          <w:tcPr>
            <w:tcW w:w="419" w:type="pct"/>
            <w:vAlign w:val="center"/>
          </w:tcPr>
          <w:p w14:paraId="37894D97"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15</w:t>
            </w:r>
          </w:p>
        </w:tc>
        <w:tc>
          <w:tcPr>
            <w:tcW w:w="645" w:type="pct"/>
            <w:vAlign w:val="center"/>
          </w:tcPr>
          <w:p w14:paraId="29725B1F"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砷</w:t>
            </w:r>
          </w:p>
        </w:tc>
        <w:tc>
          <w:tcPr>
            <w:tcW w:w="3147" w:type="pct"/>
            <w:vAlign w:val="center"/>
          </w:tcPr>
          <w:p w14:paraId="231E6FC2"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金属指标氢化物原子荧光法</w:t>
            </w:r>
            <w:r w:rsidRPr="003E36C1">
              <w:rPr>
                <w:rFonts w:ascii="Calibri" w:hAnsi="Calibri" w:cs="Times New Roman"/>
                <w:color w:val="auto"/>
                <w:szCs w:val="21"/>
                <w:lang w:bidi="ar"/>
              </w:rPr>
              <w:t>GB/T 5750.6-2006</w:t>
            </w:r>
          </w:p>
        </w:tc>
        <w:tc>
          <w:tcPr>
            <w:tcW w:w="789" w:type="pct"/>
            <w:vAlign w:val="center"/>
          </w:tcPr>
          <w:p w14:paraId="61B2217E"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1.0μg/L</w:t>
            </w:r>
          </w:p>
        </w:tc>
      </w:tr>
      <w:tr w:rsidR="003550C9" w:rsidRPr="003E36C1" w14:paraId="207F49AF" w14:textId="77777777" w:rsidTr="00040BEE">
        <w:trPr>
          <w:trHeight w:val="340"/>
          <w:jc w:val="center"/>
        </w:trPr>
        <w:tc>
          <w:tcPr>
            <w:tcW w:w="419" w:type="pct"/>
            <w:vAlign w:val="center"/>
          </w:tcPr>
          <w:p w14:paraId="047D6FFE"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16</w:t>
            </w:r>
          </w:p>
        </w:tc>
        <w:tc>
          <w:tcPr>
            <w:tcW w:w="645" w:type="pct"/>
            <w:vAlign w:val="center"/>
          </w:tcPr>
          <w:p w14:paraId="5B3E0F7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汞</w:t>
            </w:r>
          </w:p>
        </w:tc>
        <w:tc>
          <w:tcPr>
            <w:tcW w:w="3147" w:type="pct"/>
            <w:vAlign w:val="center"/>
          </w:tcPr>
          <w:p w14:paraId="76E4C1F7"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金属指标原子荧光法</w:t>
            </w:r>
            <w:r w:rsidRPr="003E36C1">
              <w:rPr>
                <w:rFonts w:ascii="Calibri" w:hAnsi="Calibri" w:cs="Times New Roman"/>
                <w:color w:val="auto"/>
                <w:szCs w:val="21"/>
                <w:lang w:bidi="ar"/>
              </w:rPr>
              <w:t>GB/T 5750.6-2006</w:t>
            </w:r>
          </w:p>
        </w:tc>
        <w:tc>
          <w:tcPr>
            <w:tcW w:w="789" w:type="pct"/>
            <w:vAlign w:val="center"/>
          </w:tcPr>
          <w:p w14:paraId="40F20A3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0.1μg/L</w:t>
            </w:r>
          </w:p>
        </w:tc>
      </w:tr>
      <w:tr w:rsidR="003550C9" w:rsidRPr="003E36C1" w14:paraId="20D600CA" w14:textId="77777777" w:rsidTr="00040BEE">
        <w:trPr>
          <w:trHeight w:val="340"/>
          <w:jc w:val="center"/>
        </w:trPr>
        <w:tc>
          <w:tcPr>
            <w:tcW w:w="419" w:type="pct"/>
            <w:vAlign w:val="center"/>
          </w:tcPr>
          <w:p w14:paraId="4E3A86A8"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17</w:t>
            </w:r>
          </w:p>
        </w:tc>
        <w:tc>
          <w:tcPr>
            <w:tcW w:w="645" w:type="pct"/>
            <w:vAlign w:val="center"/>
          </w:tcPr>
          <w:p w14:paraId="364CAAD5"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铬（六价）</w:t>
            </w:r>
          </w:p>
        </w:tc>
        <w:tc>
          <w:tcPr>
            <w:tcW w:w="3147" w:type="pct"/>
            <w:vAlign w:val="center"/>
          </w:tcPr>
          <w:p w14:paraId="36427204"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金属指标二苯碳酰二肼分光光度法</w:t>
            </w:r>
            <w:r w:rsidRPr="003E36C1">
              <w:rPr>
                <w:rFonts w:ascii="Calibri" w:hAnsi="Calibri" w:cs="Times New Roman"/>
                <w:color w:val="auto"/>
                <w:szCs w:val="21"/>
                <w:lang w:bidi="ar"/>
              </w:rPr>
              <w:t>GB/T 5750.6-2006</w:t>
            </w:r>
          </w:p>
        </w:tc>
        <w:tc>
          <w:tcPr>
            <w:tcW w:w="789" w:type="pct"/>
            <w:vAlign w:val="center"/>
          </w:tcPr>
          <w:p w14:paraId="2E1CC59E"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0.004mg/L</w:t>
            </w:r>
          </w:p>
        </w:tc>
      </w:tr>
      <w:tr w:rsidR="003550C9" w:rsidRPr="003E36C1" w14:paraId="6ECB63C2" w14:textId="77777777" w:rsidTr="00040BEE">
        <w:trPr>
          <w:trHeight w:val="340"/>
          <w:jc w:val="center"/>
        </w:trPr>
        <w:tc>
          <w:tcPr>
            <w:tcW w:w="419" w:type="pct"/>
            <w:vAlign w:val="center"/>
          </w:tcPr>
          <w:p w14:paraId="4CE8F64F"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18</w:t>
            </w:r>
          </w:p>
        </w:tc>
        <w:tc>
          <w:tcPr>
            <w:tcW w:w="645" w:type="pct"/>
            <w:vAlign w:val="center"/>
          </w:tcPr>
          <w:p w14:paraId="203E25FE"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总硬度</w:t>
            </w:r>
          </w:p>
        </w:tc>
        <w:tc>
          <w:tcPr>
            <w:tcW w:w="3147" w:type="pct"/>
            <w:vAlign w:val="center"/>
          </w:tcPr>
          <w:p w14:paraId="0B444D54"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感官性状和物理指标乙二胺四乙酸二钠滴定法</w:t>
            </w:r>
            <w:r w:rsidRPr="003E36C1">
              <w:rPr>
                <w:rFonts w:ascii="Calibri" w:hAnsi="Calibri" w:cs="Times New Roman"/>
                <w:color w:val="auto"/>
                <w:szCs w:val="21"/>
                <w:lang w:bidi="ar"/>
              </w:rPr>
              <w:t>GB/T 5750.4-2006</w:t>
            </w:r>
          </w:p>
        </w:tc>
        <w:tc>
          <w:tcPr>
            <w:tcW w:w="789" w:type="pct"/>
            <w:vAlign w:val="center"/>
          </w:tcPr>
          <w:p w14:paraId="56575100"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1.0mg/L</w:t>
            </w:r>
          </w:p>
        </w:tc>
      </w:tr>
      <w:tr w:rsidR="003550C9" w:rsidRPr="003E36C1" w14:paraId="1EE54FF0" w14:textId="77777777" w:rsidTr="00040BEE">
        <w:trPr>
          <w:trHeight w:val="340"/>
          <w:jc w:val="center"/>
        </w:trPr>
        <w:tc>
          <w:tcPr>
            <w:tcW w:w="419" w:type="pct"/>
            <w:vAlign w:val="center"/>
          </w:tcPr>
          <w:p w14:paraId="0BBF05DC"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19</w:t>
            </w:r>
          </w:p>
        </w:tc>
        <w:tc>
          <w:tcPr>
            <w:tcW w:w="645" w:type="pct"/>
            <w:vAlign w:val="center"/>
          </w:tcPr>
          <w:p w14:paraId="3A50907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铅</w:t>
            </w:r>
          </w:p>
        </w:tc>
        <w:tc>
          <w:tcPr>
            <w:tcW w:w="3147" w:type="pct"/>
            <w:vAlign w:val="center"/>
          </w:tcPr>
          <w:p w14:paraId="3FC38411"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金属指标无火焰原子吸收分光光度法</w:t>
            </w:r>
            <w:r w:rsidRPr="003E36C1">
              <w:rPr>
                <w:rFonts w:ascii="Calibri" w:hAnsi="Calibri" w:cs="Times New Roman"/>
                <w:color w:val="auto"/>
                <w:szCs w:val="21"/>
                <w:lang w:bidi="ar"/>
              </w:rPr>
              <w:t>GB/T 5750.6-2006</w:t>
            </w:r>
          </w:p>
        </w:tc>
        <w:tc>
          <w:tcPr>
            <w:tcW w:w="789" w:type="pct"/>
            <w:vAlign w:val="center"/>
          </w:tcPr>
          <w:p w14:paraId="4AAE61A8"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2.5μg/L</w:t>
            </w:r>
          </w:p>
        </w:tc>
      </w:tr>
      <w:tr w:rsidR="003550C9" w:rsidRPr="003E36C1" w14:paraId="1E55A265" w14:textId="77777777" w:rsidTr="00040BEE">
        <w:trPr>
          <w:trHeight w:val="340"/>
          <w:jc w:val="center"/>
        </w:trPr>
        <w:tc>
          <w:tcPr>
            <w:tcW w:w="419" w:type="pct"/>
            <w:vAlign w:val="center"/>
          </w:tcPr>
          <w:p w14:paraId="5E385EDC"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20</w:t>
            </w:r>
          </w:p>
        </w:tc>
        <w:tc>
          <w:tcPr>
            <w:tcW w:w="645" w:type="pct"/>
            <w:vAlign w:val="center"/>
          </w:tcPr>
          <w:p w14:paraId="339C125D"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氟化物</w:t>
            </w:r>
          </w:p>
        </w:tc>
        <w:tc>
          <w:tcPr>
            <w:tcW w:w="3147" w:type="pct"/>
            <w:vAlign w:val="center"/>
          </w:tcPr>
          <w:p w14:paraId="0579379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无机非金属指标离子选择电极法</w:t>
            </w:r>
            <w:r w:rsidRPr="003E36C1">
              <w:rPr>
                <w:rFonts w:ascii="Calibri" w:hAnsi="Calibri" w:cs="Times New Roman"/>
                <w:color w:val="auto"/>
                <w:szCs w:val="21"/>
                <w:lang w:bidi="ar"/>
              </w:rPr>
              <w:t>GB/T 5750.5-2006</w:t>
            </w:r>
          </w:p>
        </w:tc>
        <w:tc>
          <w:tcPr>
            <w:tcW w:w="789" w:type="pct"/>
            <w:vAlign w:val="center"/>
          </w:tcPr>
          <w:p w14:paraId="1656E32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0.2mg/L</w:t>
            </w:r>
          </w:p>
        </w:tc>
      </w:tr>
      <w:tr w:rsidR="003550C9" w:rsidRPr="003E36C1" w14:paraId="04CBC84B" w14:textId="77777777" w:rsidTr="00040BEE">
        <w:trPr>
          <w:trHeight w:val="340"/>
          <w:jc w:val="center"/>
        </w:trPr>
        <w:tc>
          <w:tcPr>
            <w:tcW w:w="419" w:type="pct"/>
            <w:vAlign w:val="center"/>
          </w:tcPr>
          <w:p w14:paraId="5643B1E4"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21</w:t>
            </w:r>
          </w:p>
        </w:tc>
        <w:tc>
          <w:tcPr>
            <w:tcW w:w="645" w:type="pct"/>
            <w:vAlign w:val="center"/>
          </w:tcPr>
          <w:p w14:paraId="7E0C5051" w14:textId="77777777" w:rsidR="003550C9" w:rsidRPr="003E36C1" w:rsidRDefault="003550C9" w:rsidP="00040BEE">
            <w:pPr>
              <w:widowControl/>
              <w:jc w:val="center"/>
              <w:textAlignment w:val="center"/>
              <w:rPr>
                <w:rFonts w:ascii="Calibri" w:hAnsi="Calibri" w:cs="Times New Roman"/>
                <w:color w:val="auto"/>
                <w:kern w:val="0"/>
                <w:szCs w:val="21"/>
                <w:lang w:bidi="ar"/>
              </w:rPr>
            </w:pPr>
            <w:r w:rsidRPr="003E36C1">
              <w:rPr>
                <w:rFonts w:ascii="Calibri" w:cs="Times New Roman"/>
                <w:color w:val="auto"/>
                <w:kern w:val="0"/>
                <w:szCs w:val="21"/>
                <w:lang w:bidi="ar"/>
              </w:rPr>
              <w:t>镉</w:t>
            </w:r>
          </w:p>
        </w:tc>
        <w:tc>
          <w:tcPr>
            <w:tcW w:w="3147" w:type="pct"/>
            <w:vAlign w:val="center"/>
          </w:tcPr>
          <w:p w14:paraId="3972211F" w14:textId="77777777" w:rsidR="003550C9" w:rsidRPr="003E36C1" w:rsidRDefault="003550C9" w:rsidP="00040BEE">
            <w:pPr>
              <w:widowControl/>
              <w:jc w:val="center"/>
              <w:textAlignment w:val="center"/>
              <w:rPr>
                <w:rFonts w:ascii="Calibri" w:hAnsi="Calibri" w:cs="Times New Roman"/>
                <w:color w:val="auto"/>
                <w:kern w:val="0"/>
                <w:szCs w:val="21"/>
                <w:lang w:bidi="ar"/>
              </w:rPr>
            </w:pPr>
            <w:r w:rsidRPr="003E36C1">
              <w:rPr>
                <w:rFonts w:ascii="Calibri" w:cs="Times New Roman"/>
                <w:color w:val="auto"/>
                <w:kern w:val="0"/>
                <w:szCs w:val="21"/>
                <w:lang w:bidi="ar"/>
              </w:rPr>
              <w:t>生活饮用水标准检验方法</w:t>
            </w:r>
            <w:r w:rsidRPr="003E36C1">
              <w:rPr>
                <w:rFonts w:ascii="Calibri" w:hAnsi="Calibri" w:cs="Times New Roman"/>
                <w:color w:val="auto"/>
                <w:kern w:val="0"/>
                <w:szCs w:val="21"/>
                <w:lang w:bidi="ar"/>
              </w:rPr>
              <w:t xml:space="preserve"> </w:t>
            </w:r>
            <w:r w:rsidRPr="003E36C1">
              <w:rPr>
                <w:rFonts w:ascii="Calibri" w:cs="Times New Roman"/>
                <w:color w:val="auto"/>
                <w:kern w:val="0"/>
                <w:szCs w:val="21"/>
                <w:lang w:bidi="ar"/>
              </w:rPr>
              <w:t>金属指标无火焰原子吸收分光光度法</w:t>
            </w:r>
            <w:r w:rsidRPr="003E36C1">
              <w:rPr>
                <w:rFonts w:ascii="Calibri" w:hAnsi="Calibri" w:cs="Times New Roman"/>
                <w:color w:val="auto"/>
                <w:kern w:val="0"/>
                <w:szCs w:val="21"/>
                <w:lang w:bidi="ar"/>
              </w:rPr>
              <w:t>GB/T 5750.6-2006</w:t>
            </w:r>
          </w:p>
        </w:tc>
        <w:tc>
          <w:tcPr>
            <w:tcW w:w="789" w:type="pct"/>
            <w:vAlign w:val="center"/>
          </w:tcPr>
          <w:p w14:paraId="6A6D791A" w14:textId="77777777" w:rsidR="003550C9" w:rsidRPr="003E36C1" w:rsidRDefault="003550C9" w:rsidP="00040BEE">
            <w:pPr>
              <w:widowControl/>
              <w:jc w:val="center"/>
              <w:textAlignment w:val="center"/>
              <w:rPr>
                <w:rFonts w:ascii="Calibri" w:hAnsi="Calibri" w:cs="Times New Roman"/>
                <w:color w:val="auto"/>
                <w:kern w:val="0"/>
                <w:szCs w:val="21"/>
                <w:lang w:bidi="ar"/>
              </w:rPr>
            </w:pPr>
            <w:r w:rsidRPr="003E36C1">
              <w:rPr>
                <w:rFonts w:ascii="Calibri" w:hAnsi="Calibri" w:cs="Times New Roman"/>
                <w:color w:val="auto"/>
                <w:kern w:val="0"/>
                <w:szCs w:val="21"/>
                <w:lang w:bidi="ar"/>
              </w:rPr>
              <w:t>0.5μg/L</w:t>
            </w:r>
          </w:p>
        </w:tc>
      </w:tr>
      <w:tr w:rsidR="003550C9" w:rsidRPr="003E36C1" w14:paraId="7BA02079" w14:textId="77777777" w:rsidTr="00040BEE">
        <w:trPr>
          <w:trHeight w:val="340"/>
          <w:jc w:val="center"/>
        </w:trPr>
        <w:tc>
          <w:tcPr>
            <w:tcW w:w="419" w:type="pct"/>
            <w:vAlign w:val="center"/>
          </w:tcPr>
          <w:p w14:paraId="18CFA3AA"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22</w:t>
            </w:r>
          </w:p>
        </w:tc>
        <w:tc>
          <w:tcPr>
            <w:tcW w:w="645" w:type="pct"/>
            <w:vAlign w:val="center"/>
          </w:tcPr>
          <w:p w14:paraId="70C66FFF"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铁</w:t>
            </w:r>
          </w:p>
        </w:tc>
        <w:tc>
          <w:tcPr>
            <w:tcW w:w="3147" w:type="pct"/>
            <w:vAlign w:val="center"/>
          </w:tcPr>
          <w:p w14:paraId="07C36F2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水质</w:t>
            </w:r>
            <w:r w:rsidRPr="003E36C1">
              <w:rPr>
                <w:rFonts w:ascii="Calibri" w:hAnsi="Calibri" w:cs="Times New Roman"/>
                <w:color w:val="auto"/>
                <w:szCs w:val="21"/>
                <w:lang w:bidi="ar"/>
              </w:rPr>
              <w:t xml:space="preserve"> </w:t>
            </w:r>
            <w:r w:rsidRPr="003E36C1">
              <w:rPr>
                <w:rFonts w:ascii="Calibri" w:cs="Times New Roman"/>
                <w:color w:val="auto"/>
                <w:szCs w:val="21"/>
                <w:lang w:bidi="ar"/>
              </w:rPr>
              <w:t>铁、锰的测定</w:t>
            </w:r>
            <w:r w:rsidRPr="003E36C1">
              <w:rPr>
                <w:rFonts w:ascii="Calibri" w:hAnsi="Calibri" w:cs="Times New Roman"/>
                <w:color w:val="auto"/>
                <w:szCs w:val="21"/>
                <w:lang w:bidi="ar"/>
              </w:rPr>
              <w:t xml:space="preserve"> </w:t>
            </w:r>
            <w:r w:rsidRPr="003E36C1">
              <w:rPr>
                <w:rFonts w:ascii="Calibri" w:cs="Times New Roman"/>
                <w:color w:val="auto"/>
                <w:szCs w:val="21"/>
                <w:lang w:bidi="ar"/>
              </w:rPr>
              <w:t>火焰原子吸收分光光度法</w:t>
            </w:r>
            <w:r w:rsidRPr="003E36C1">
              <w:rPr>
                <w:rFonts w:ascii="Calibri" w:hAnsi="Calibri" w:cs="Times New Roman"/>
                <w:color w:val="auto"/>
                <w:szCs w:val="21"/>
                <w:lang w:bidi="ar"/>
              </w:rPr>
              <w:t>GB 11911-1989</w:t>
            </w:r>
          </w:p>
        </w:tc>
        <w:tc>
          <w:tcPr>
            <w:tcW w:w="789" w:type="pct"/>
            <w:vAlign w:val="center"/>
          </w:tcPr>
          <w:p w14:paraId="6F8C7CE4"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0.03mg/L</w:t>
            </w:r>
          </w:p>
        </w:tc>
      </w:tr>
      <w:tr w:rsidR="003550C9" w:rsidRPr="003E36C1" w14:paraId="58DA1B83" w14:textId="77777777" w:rsidTr="00040BEE">
        <w:trPr>
          <w:trHeight w:val="340"/>
          <w:jc w:val="center"/>
        </w:trPr>
        <w:tc>
          <w:tcPr>
            <w:tcW w:w="419" w:type="pct"/>
            <w:vAlign w:val="center"/>
          </w:tcPr>
          <w:p w14:paraId="490AC6A8"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23</w:t>
            </w:r>
          </w:p>
        </w:tc>
        <w:tc>
          <w:tcPr>
            <w:tcW w:w="645" w:type="pct"/>
            <w:vAlign w:val="center"/>
          </w:tcPr>
          <w:p w14:paraId="3D73E8E2"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锰</w:t>
            </w:r>
          </w:p>
        </w:tc>
        <w:tc>
          <w:tcPr>
            <w:tcW w:w="3147" w:type="pct"/>
            <w:vAlign w:val="center"/>
          </w:tcPr>
          <w:p w14:paraId="22B9F561"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水质</w:t>
            </w:r>
            <w:r w:rsidRPr="003E36C1">
              <w:rPr>
                <w:rFonts w:ascii="Calibri" w:hAnsi="Calibri" w:cs="Times New Roman"/>
                <w:color w:val="auto"/>
                <w:szCs w:val="21"/>
                <w:lang w:bidi="ar"/>
              </w:rPr>
              <w:t xml:space="preserve"> </w:t>
            </w:r>
            <w:r w:rsidRPr="003E36C1">
              <w:rPr>
                <w:rFonts w:ascii="Calibri" w:cs="Times New Roman"/>
                <w:color w:val="auto"/>
                <w:szCs w:val="21"/>
                <w:lang w:bidi="ar"/>
              </w:rPr>
              <w:t>铁、锰的测定</w:t>
            </w:r>
            <w:r w:rsidRPr="003E36C1">
              <w:rPr>
                <w:rFonts w:ascii="Calibri" w:hAnsi="Calibri" w:cs="Times New Roman"/>
                <w:color w:val="auto"/>
                <w:szCs w:val="21"/>
                <w:lang w:bidi="ar"/>
              </w:rPr>
              <w:t xml:space="preserve"> </w:t>
            </w:r>
            <w:r w:rsidRPr="003E36C1">
              <w:rPr>
                <w:rFonts w:ascii="Calibri" w:cs="Times New Roman"/>
                <w:color w:val="auto"/>
                <w:szCs w:val="21"/>
                <w:lang w:bidi="ar"/>
              </w:rPr>
              <w:t>火焰原子吸收分光光度法</w:t>
            </w:r>
            <w:r w:rsidRPr="003E36C1">
              <w:rPr>
                <w:rFonts w:ascii="Calibri" w:hAnsi="Calibri" w:cs="Times New Roman"/>
                <w:color w:val="auto"/>
                <w:szCs w:val="21"/>
                <w:lang w:bidi="ar"/>
              </w:rPr>
              <w:t>GB 11911-1989</w:t>
            </w:r>
          </w:p>
        </w:tc>
        <w:tc>
          <w:tcPr>
            <w:tcW w:w="789" w:type="pct"/>
            <w:vAlign w:val="center"/>
          </w:tcPr>
          <w:p w14:paraId="53074475"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0.01mg/L</w:t>
            </w:r>
          </w:p>
        </w:tc>
      </w:tr>
      <w:tr w:rsidR="003550C9" w:rsidRPr="003E36C1" w14:paraId="7396817E" w14:textId="77777777" w:rsidTr="00040BEE">
        <w:trPr>
          <w:trHeight w:val="340"/>
          <w:jc w:val="center"/>
        </w:trPr>
        <w:tc>
          <w:tcPr>
            <w:tcW w:w="419" w:type="pct"/>
            <w:vAlign w:val="center"/>
          </w:tcPr>
          <w:p w14:paraId="425E56B8"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24</w:t>
            </w:r>
          </w:p>
        </w:tc>
        <w:tc>
          <w:tcPr>
            <w:tcW w:w="645" w:type="pct"/>
            <w:tcBorders>
              <w:bottom w:val="single" w:sz="2" w:space="0" w:color="auto"/>
            </w:tcBorders>
            <w:vAlign w:val="center"/>
          </w:tcPr>
          <w:p w14:paraId="38319A6D" w14:textId="77777777" w:rsidR="003550C9" w:rsidRDefault="003550C9" w:rsidP="00040BEE">
            <w:pPr>
              <w:jc w:val="center"/>
              <w:textAlignment w:val="center"/>
              <w:rPr>
                <w:rFonts w:ascii="Calibri" w:cs="Times New Roman"/>
                <w:color w:val="auto"/>
                <w:szCs w:val="21"/>
                <w:lang w:bidi="ar"/>
              </w:rPr>
            </w:pPr>
            <w:r w:rsidRPr="003E36C1">
              <w:rPr>
                <w:rFonts w:ascii="Calibri" w:cs="Times New Roman"/>
                <w:color w:val="auto"/>
                <w:szCs w:val="21"/>
                <w:lang w:bidi="ar"/>
              </w:rPr>
              <w:t>溶解性总</w:t>
            </w:r>
          </w:p>
          <w:p w14:paraId="61FE094F"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lastRenderedPageBreak/>
              <w:t>固体</w:t>
            </w:r>
          </w:p>
        </w:tc>
        <w:tc>
          <w:tcPr>
            <w:tcW w:w="3147" w:type="pct"/>
            <w:tcBorders>
              <w:bottom w:val="single" w:sz="2" w:space="0" w:color="auto"/>
            </w:tcBorders>
            <w:vAlign w:val="center"/>
          </w:tcPr>
          <w:p w14:paraId="69B80100"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lastRenderedPageBreak/>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感官性状和物理指标称量法</w:t>
            </w:r>
            <w:r w:rsidRPr="003E36C1">
              <w:rPr>
                <w:rFonts w:ascii="Calibri" w:hAnsi="Calibri" w:cs="Times New Roman"/>
                <w:color w:val="auto"/>
                <w:szCs w:val="21"/>
                <w:lang w:bidi="ar"/>
              </w:rPr>
              <w:t xml:space="preserve">GB/T </w:t>
            </w:r>
            <w:r w:rsidRPr="003E36C1">
              <w:rPr>
                <w:rFonts w:ascii="Calibri" w:hAnsi="Calibri" w:cs="Times New Roman"/>
                <w:color w:val="auto"/>
                <w:szCs w:val="21"/>
                <w:lang w:bidi="ar"/>
              </w:rPr>
              <w:lastRenderedPageBreak/>
              <w:t>5750.4-2006</w:t>
            </w:r>
          </w:p>
        </w:tc>
        <w:tc>
          <w:tcPr>
            <w:tcW w:w="789" w:type="pct"/>
            <w:vAlign w:val="center"/>
          </w:tcPr>
          <w:p w14:paraId="530B4D04"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lastRenderedPageBreak/>
              <w:t>/</w:t>
            </w:r>
          </w:p>
        </w:tc>
      </w:tr>
      <w:tr w:rsidR="003550C9" w:rsidRPr="003E36C1" w14:paraId="77BDFB0D" w14:textId="77777777" w:rsidTr="00040BEE">
        <w:trPr>
          <w:trHeight w:val="340"/>
          <w:jc w:val="center"/>
        </w:trPr>
        <w:tc>
          <w:tcPr>
            <w:tcW w:w="419" w:type="pct"/>
            <w:vAlign w:val="center"/>
          </w:tcPr>
          <w:p w14:paraId="6FF2C651"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25</w:t>
            </w:r>
          </w:p>
        </w:tc>
        <w:tc>
          <w:tcPr>
            <w:tcW w:w="645" w:type="pct"/>
            <w:vAlign w:val="center"/>
          </w:tcPr>
          <w:p w14:paraId="4FAF01E4"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耗氧量</w:t>
            </w:r>
          </w:p>
        </w:tc>
        <w:tc>
          <w:tcPr>
            <w:tcW w:w="3147" w:type="pct"/>
            <w:vAlign w:val="center"/>
          </w:tcPr>
          <w:p w14:paraId="07E87A66"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有机物综合指标酸性高锰酸钾滴定法</w:t>
            </w:r>
            <w:r w:rsidRPr="003E36C1">
              <w:rPr>
                <w:rFonts w:ascii="Calibri" w:hAnsi="Calibri" w:cs="Times New Roman"/>
                <w:color w:val="auto"/>
                <w:szCs w:val="21"/>
                <w:lang w:bidi="ar"/>
              </w:rPr>
              <w:t>GB/T 5750.7-2006</w:t>
            </w:r>
          </w:p>
        </w:tc>
        <w:tc>
          <w:tcPr>
            <w:tcW w:w="789" w:type="pct"/>
            <w:vAlign w:val="center"/>
          </w:tcPr>
          <w:p w14:paraId="7CAC441D"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0.05mg/L</w:t>
            </w:r>
          </w:p>
        </w:tc>
      </w:tr>
      <w:tr w:rsidR="003550C9" w:rsidRPr="003E36C1" w14:paraId="3AC605A1" w14:textId="77777777" w:rsidTr="00040BEE">
        <w:trPr>
          <w:trHeight w:val="340"/>
          <w:jc w:val="center"/>
        </w:trPr>
        <w:tc>
          <w:tcPr>
            <w:tcW w:w="419" w:type="pct"/>
            <w:vAlign w:val="center"/>
          </w:tcPr>
          <w:p w14:paraId="4E551EED"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26</w:t>
            </w:r>
          </w:p>
        </w:tc>
        <w:tc>
          <w:tcPr>
            <w:tcW w:w="645" w:type="pct"/>
            <w:vAlign w:val="center"/>
          </w:tcPr>
          <w:p w14:paraId="32905805"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硫酸盐</w:t>
            </w:r>
          </w:p>
        </w:tc>
        <w:tc>
          <w:tcPr>
            <w:tcW w:w="3147" w:type="pct"/>
            <w:vAlign w:val="center"/>
          </w:tcPr>
          <w:p w14:paraId="668D7D33"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无机非金属指标铬酸钡分光光度法（热法）</w:t>
            </w:r>
            <w:r w:rsidRPr="003E36C1">
              <w:rPr>
                <w:rFonts w:ascii="Calibri" w:hAnsi="Calibri" w:cs="Times New Roman"/>
                <w:color w:val="auto"/>
                <w:szCs w:val="21"/>
                <w:lang w:bidi="ar"/>
              </w:rPr>
              <w:t>GB/T 5750.5-2006</w:t>
            </w:r>
          </w:p>
        </w:tc>
        <w:tc>
          <w:tcPr>
            <w:tcW w:w="789" w:type="pct"/>
            <w:vAlign w:val="center"/>
          </w:tcPr>
          <w:p w14:paraId="5D08EF02"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5.0mg/L</w:t>
            </w:r>
          </w:p>
        </w:tc>
      </w:tr>
      <w:tr w:rsidR="003550C9" w:rsidRPr="003E36C1" w14:paraId="23C8902F" w14:textId="77777777" w:rsidTr="00040BEE">
        <w:trPr>
          <w:trHeight w:val="340"/>
          <w:jc w:val="center"/>
        </w:trPr>
        <w:tc>
          <w:tcPr>
            <w:tcW w:w="419" w:type="pct"/>
            <w:vAlign w:val="center"/>
          </w:tcPr>
          <w:p w14:paraId="59D2CC86"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27</w:t>
            </w:r>
          </w:p>
        </w:tc>
        <w:tc>
          <w:tcPr>
            <w:tcW w:w="645" w:type="pct"/>
            <w:vAlign w:val="center"/>
          </w:tcPr>
          <w:p w14:paraId="06FD251F"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氯化物</w:t>
            </w:r>
          </w:p>
        </w:tc>
        <w:tc>
          <w:tcPr>
            <w:tcW w:w="3147" w:type="pct"/>
            <w:vAlign w:val="center"/>
          </w:tcPr>
          <w:p w14:paraId="3885D414"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无机非金属指标硝酸银容量法</w:t>
            </w:r>
            <w:r w:rsidRPr="003E36C1">
              <w:rPr>
                <w:rFonts w:ascii="Calibri" w:hAnsi="Calibri" w:cs="Times New Roman"/>
                <w:color w:val="auto"/>
                <w:szCs w:val="21"/>
                <w:lang w:bidi="ar"/>
              </w:rPr>
              <w:t>GB/T 5750.5-2006</w:t>
            </w:r>
          </w:p>
        </w:tc>
        <w:tc>
          <w:tcPr>
            <w:tcW w:w="789" w:type="pct"/>
            <w:vAlign w:val="center"/>
          </w:tcPr>
          <w:p w14:paraId="0125D77D"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color w:val="auto"/>
                <w:szCs w:val="21"/>
                <w:lang w:bidi="ar"/>
              </w:rPr>
              <w:t>1.0mg/L</w:t>
            </w:r>
          </w:p>
        </w:tc>
      </w:tr>
      <w:tr w:rsidR="003550C9" w:rsidRPr="003E36C1" w14:paraId="5183905E" w14:textId="77777777" w:rsidTr="00040BEE">
        <w:trPr>
          <w:trHeight w:val="340"/>
          <w:jc w:val="center"/>
        </w:trPr>
        <w:tc>
          <w:tcPr>
            <w:tcW w:w="419" w:type="pct"/>
            <w:vAlign w:val="center"/>
          </w:tcPr>
          <w:p w14:paraId="60501046"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28</w:t>
            </w:r>
          </w:p>
        </w:tc>
        <w:tc>
          <w:tcPr>
            <w:tcW w:w="645" w:type="pct"/>
            <w:vAlign w:val="center"/>
          </w:tcPr>
          <w:p w14:paraId="7A8D316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总大肠菌群</w:t>
            </w:r>
          </w:p>
        </w:tc>
        <w:tc>
          <w:tcPr>
            <w:tcW w:w="3147" w:type="pct"/>
            <w:vAlign w:val="center"/>
          </w:tcPr>
          <w:p w14:paraId="15ADD241"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微生物指标滤膜法</w:t>
            </w:r>
            <w:r w:rsidRPr="003E36C1">
              <w:rPr>
                <w:rFonts w:ascii="Calibri" w:hAnsi="Calibri" w:cs="Times New Roman"/>
                <w:color w:val="auto"/>
                <w:szCs w:val="21"/>
                <w:lang w:bidi="ar"/>
              </w:rPr>
              <w:t>GB/T 5750.12-2006</w:t>
            </w:r>
          </w:p>
        </w:tc>
        <w:tc>
          <w:tcPr>
            <w:tcW w:w="789" w:type="pct"/>
            <w:vAlign w:val="center"/>
          </w:tcPr>
          <w:p w14:paraId="4867CF2B"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kern w:val="0"/>
                <w:szCs w:val="21"/>
                <w:lang w:bidi="ar"/>
              </w:rPr>
              <w:t>1CFU/100mL</w:t>
            </w:r>
          </w:p>
        </w:tc>
      </w:tr>
      <w:tr w:rsidR="003550C9" w:rsidRPr="003E36C1" w14:paraId="66A326E3" w14:textId="77777777" w:rsidTr="00040BEE">
        <w:trPr>
          <w:trHeight w:val="340"/>
          <w:jc w:val="center"/>
        </w:trPr>
        <w:tc>
          <w:tcPr>
            <w:tcW w:w="419" w:type="pct"/>
            <w:vAlign w:val="center"/>
          </w:tcPr>
          <w:p w14:paraId="3F4647A1" w14:textId="77777777" w:rsidR="003550C9" w:rsidRPr="003E36C1" w:rsidRDefault="003550C9" w:rsidP="00040BEE">
            <w:pPr>
              <w:pStyle w:val="a1"/>
              <w:ind w:firstLine="0"/>
              <w:jc w:val="center"/>
              <w:rPr>
                <w:rFonts w:ascii="Calibri" w:hAnsi="Calibri"/>
                <w:bCs/>
                <w:color w:val="auto"/>
                <w:szCs w:val="21"/>
              </w:rPr>
            </w:pPr>
            <w:r w:rsidRPr="003E36C1">
              <w:rPr>
                <w:rFonts w:ascii="Calibri" w:hAnsi="Calibri"/>
                <w:bCs/>
                <w:color w:val="auto"/>
                <w:szCs w:val="21"/>
              </w:rPr>
              <w:t>29</w:t>
            </w:r>
          </w:p>
        </w:tc>
        <w:tc>
          <w:tcPr>
            <w:tcW w:w="645" w:type="pct"/>
            <w:vAlign w:val="center"/>
          </w:tcPr>
          <w:p w14:paraId="0636D165"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菌落总数</w:t>
            </w:r>
          </w:p>
        </w:tc>
        <w:tc>
          <w:tcPr>
            <w:tcW w:w="3147" w:type="pct"/>
            <w:vAlign w:val="center"/>
          </w:tcPr>
          <w:p w14:paraId="000BC45F"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cs="Times New Roman"/>
                <w:color w:val="auto"/>
                <w:szCs w:val="21"/>
                <w:lang w:bidi="ar"/>
              </w:rPr>
              <w:t>生活饮用水标准检验方法</w:t>
            </w:r>
            <w:r w:rsidRPr="003E36C1">
              <w:rPr>
                <w:rFonts w:ascii="Calibri" w:hAnsi="Calibri" w:cs="Times New Roman"/>
                <w:color w:val="auto"/>
                <w:szCs w:val="21"/>
                <w:lang w:bidi="ar"/>
              </w:rPr>
              <w:t xml:space="preserve"> </w:t>
            </w:r>
            <w:r w:rsidRPr="003E36C1">
              <w:rPr>
                <w:rFonts w:ascii="Calibri" w:cs="Times New Roman"/>
                <w:color w:val="auto"/>
                <w:szCs w:val="21"/>
                <w:lang w:bidi="ar"/>
              </w:rPr>
              <w:t>微生物指标平皿计数法</w:t>
            </w:r>
            <w:r w:rsidRPr="003E36C1">
              <w:rPr>
                <w:rFonts w:ascii="Calibri" w:hAnsi="Calibri" w:cs="Times New Roman"/>
                <w:color w:val="auto"/>
                <w:szCs w:val="21"/>
                <w:lang w:bidi="ar"/>
              </w:rPr>
              <w:t>GB/T 5750.12-2006</w:t>
            </w:r>
          </w:p>
        </w:tc>
        <w:tc>
          <w:tcPr>
            <w:tcW w:w="789" w:type="pct"/>
            <w:vAlign w:val="center"/>
          </w:tcPr>
          <w:p w14:paraId="5E791839" w14:textId="77777777" w:rsidR="003550C9" w:rsidRPr="003E36C1" w:rsidRDefault="003550C9" w:rsidP="00040BEE">
            <w:pPr>
              <w:jc w:val="center"/>
              <w:textAlignment w:val="center"/>
              <w:rPr>
                <w:rFonts w:ascii="Calibri" w:hAnsi="Calibri" w:cs="Times New Roman"/>
                <w:color w:val="auto"/>
                <w:szCs w:val="21"/>
                <w:lang w:bidi="ar"/>
              </w:rPr>
            </w:pPr>
            <w:r w:rsidRPr="003E36C1">
              <w:rPr>
                <w:rFonts w:ascii="Calibri" w:hAnsi="Calibri" w:cs="Times New Roman"/>
                <w:kern w:val="0"/>
                <w:szCs w:val="21"/>
                <w:lang w:bidi="ar"/>
              </w:rPr>
              <w:t>1CFU/mL</w:t>
            </w:r>
          </w:p>
        </w:tc>
      </w:tr>
      <w:tr w:rsidR="003550C9" w:rsidRPr="003E36C1" w14:paraId="5BF560DC" w14:textId="77777777" w:rsidTr="00040BEE">
        <w:trPr>
          <w:trHeight w:val="340"/>
          <w:jc w:val="center"/>
        </w:trPr>
        <w:tc>
          <w:tcPr>
            <w:tcW w:w="419" w:type="pct"/>
            <w:vAlign w:val="center"/>
          </w:tcPr>
          <w:p w14:paraId="1C17B453" w14:textId="77777777" w:rsidR="003550C9" w:rsidRPr="003E36C1" w:rsidRDefault="004C513C" w:rsidP="00040BEE">
            <w:pPr>
              <w:pStyle w:val="a1"/>
              <w:ind w:firstLine="0"/>
              <w:jc w:val="center"/>
              <w:rPr>
                <w:rFonts w:ascii="Calibri" w:hAnsi="Calibri"/>
                <w:bCs/>
                <w:color w:val="auto"/>
                <w:szCs w:val="21"/>
              </w:rPr>
            </w:pPr>
            <w:r>
              <w:rPr>
                <w:rFonts w:ascii="Calibri" w:hAnsi="Calibri"/>
                <w:bCs/>
                <w:color w:val="auto"/>
                <w:szCs w:val="21"/>
              </w:rPr>
              <w:t>30</w:t>
            </w:r>
          </w:p>
        </w:tc>
        <w:tc>
          <w:tcPr>
            <w:tcW w:w="645" w:type="pct"/>
            <w:vAlign w:val="center"/>
          </w:tcPr>
          <w:p w14:paraId="546D902B" w14:textId="77777777" w:rsidR="003550C9" w:rsidRPr="003E36C1" w:rsidRDefault="003550C9" w:rsidP="00040BEE">
            <w:pPr>
              <w:jc w:val="center"/>
              <w:textAlignment w:val="center"/>
              <w:rPr>
                <w:rFonts w:ascii="Calibri" w:hAnsi="Calibri" w:cs="Times New Roman"/>
                <w:szCs w:val="21"/>
              </w:rPr>
            </w:pPr>
            <w:r w:rsidRPr="003E36C1">
              <w:rPr>
                <w:rFonts w:ascii="Calibri" w:cs="Times New Roman"/>
                <w:szCs w:val="21"/>
              </w:rPr>
              <w:t>石油类</w:t>
            </w:r>
          </w:p>
        </w:tc>
        <w:tc>
          <w:tcPr>
            <w:tcW w:w="3147" w:type="pct"/>
            <w:vAlign w:val="center"/>
          </w:tcPr>
          <w:p w14:paraId="0A40AE6C" w14:textId="77777777" w:rsidR="003550C9" w:rsidRPr="003E36C1" w:rsidRDefault="003550C9" w:rsidP="00040BEE">
            <w:pPr>
              <w:widowControl/>
              <w:jc w:val="center"/>
              <w:textAlignment w:val="center"/>
              <w:rPr>
                <w:rFonts w:ascii="Calibri" w:hAnsi="Calibri" w:cs="Times New Roman"/>
                <w:szCs w:val="21"/>
              </w:rPr>
            </w:pPr>
            <w:r w:rsidRPr="003E36C1">
              <w:rPr>
                <w:rFonts w:ascii="Calibri" w:cs="Times New Roman"/>
                <w:color w:val="auto"/>
                <w:kern w:val="0"/>
                <w:szCs w:val="21"/>
                <w:lang w:bidi="ar"/>
              </w:rPr>
              <w:t>生活饮用水标准检验方法</w:t>
            </w:r>
            <w:r w:rsidRPr="003E36C1">
              <w:rPr>
                <w:rFonts w:ascii="Calibri" w:hAnsi="Calibri" w:cs="Times New Roman"/>
                <w:color w:val="auto"/>
                <w:kern w:val="0"/>
                <w:szCs w:val="21"/>
                <w:lang w:bidi="ar"/>
              </w:rPr>
              <w:t xml:space="preserve"> </w:t>
            </w:r>
            <w:r w:rsidRPr="003E36C1">
              <w:rPr>
                <w:rFonts w:ascii="Calibri" w:cs="Times New Roman"/>
                <w:color w:val="auto"/>
                <w:kern w:val="0"/>
                <w:szCs w:val="21"/>
                <w:lang w:bidi="ar"/>
              </w:rPr>
              <w:t>有机物综合指标</w:t>
            </w:r>
            <w:r w:rsidRPr="003E36C1">
              <w:rPr>
                <w:rFonts w:ascii="Calibri" w:cs="Times New Roman"/>
                <w:color w:val="auto"/>
                <w:szCs w:val="21"/>
              </w:rPr>
              <w:t>非分散红外光度法</w:t>
            </w:r>
            <w:r w:rsidRPr="003E36C1">
              <w:rPr>
                <w:rFonts w:ascii="Calibri" w:hAnsi="Calibri" w:cs="Times New Roman"/>
                <w:color w:val="auto"/>
                <w:kern w:val="0"/>
                <w:szCs w:val="21"/>
                <w:lang w:bidi="ar"/>
              </w:rPr>
              <w:t>GB/T 5750.7-2006</w:t>
            </w:r>
          </w:p>
        </w:tc>
        <w:tc>
          <w:tcPr>
            <w:tcW w:w="789" w:type="pct"/>
            <w:vAlign w:val="center"/>
          </w:tcPr>
          <w:p w14:paraId="6E700ED1" w14:textId="77777777" w:rsidR="003550C9" w:rsidRPr="003E36C1" w:rsidRDefault="003550C9" w:rsidP="00040BEE">
            <w:pPr>
              <w:widowControl/>
              <w:jc w:val="center"/>
              <w:textAlignment w:val="center"/>
              <w:rPr>
                <w:rFonts w:ascii="Calibri" w:hAnsi="Calibri" w:cs="Times New Roman"/>
                <w:szCs w:val="21"/>
              </w:rPr>
            </w:pPr>
            <w:r w:rsidRPr="003E36C1">
              <w:rPr>
                <w:rFonts w:ascii="Calibri" w:hAnsi="Calibri" w:cs="Times New Roman"/>
                <w:color w:val="auto"/>
                <w:szCs w:val="21"/>
              </w:rPr>
              <w:t>0.05mg</w:t>
            </w:r>
            <w:r w:rsidRPr="003E36C1">
              <w:rPr>
                <w:rFonts w:ascii="Calibri" w:hAnsi="Calibri" w:cs="Times New Roman"/>
                <w:color w:val="auto"/>
                <w:kern w:val="0"/>
                <w:szCs w:val="21"/>
                <w:lang w:bidi="ar"/>
              </w:rPr>
              <w:t>/L</w:t>
            </w:r>
          </w:p>
        </w:tc>
      </w:tr>
    </w:tbl>
    <w:p w14:paraId="6F91B85A" w14:textId="77777777" w:rsidR="0055605A" w:rsidRPr="00A964FF" w:rsidRDefault="0055605A" w:rsidP="007D6441">
      <w:pPr>
        <w:pStyle w:val="a1"/>
        <w:spacing w:line="520" w:lineRule="exact"/>
        <w:ind w:firstLineChars="200" w:firstLine="482"/>
        <w:rPr>
          <w:rFonts w:ascii="Calibri" w:hAnsi="Calibri"/>
          <w:b/>
          <w:color w:val="auto"/>
          <w:sz w:val="24"/>
        </w:rPr>
      </w:pPr>
      <w:r w:rsidRPr="00A964FF">
        <w:rPr>
          <w:rFonts w:ascii="Calibri" w:hAnsi="Calibri" w:hint="eastAsia"/>
          <w:b/>
          <w:color w:val="auto"/>
          <w:sz w:val="24"/>
        </w:rPr>
        <w:t>5</w:t>
      </w:r>
      <w:r w:rsidRPr="00A964FF">
        <w:rPr>
          <w:rFonts w:ascii="Calibri" w:hAnsi="Calibri" w:hint="eastAsia"/>
          <w:b/>
          <w:color w:val="auto"/>
          <w:sz w:val="24"/>
        </w:rPr>
        <w:t>、评价标准</w:t>
      </w:r>
    </w:p>
    <w:p w14:paraId="445A4C22" w14:textId="77777777" w:rsidR="00963759" w:rsidRPr="00A964FF" w:rsidRDefault="0055605A" w:rsidP="0071576B">
      <w:pPr>
        <w:adjustRightInd w:val="0"/>
        <w:snapToGrid w:val="0"/>
        <w:spacing w:line="500" w:lineRule="exact"/>
        <w:ind w:firstLineChars="200" w:firstLine="480"/>
        <w:rPr>
          <w:rFonts w:ascii="Calibri" w:hAnsi="Calibri"/>
          <w:bCs/>
          <w:color w:val="auto"/>
          <w:sz w:val="24"/>
        </w:rPr>
      </w:pPr>
      <w:r w:rsidRPr="00A964FF">
        <w:rPr>
          <w:rFonts w:ascii="Calibri" w:hAnsi="Calibri"/>
          <w:bCs/>
          <w:color w:val="auto"/>
          <w:sz w:val="24"/>
        </w:rPr>
        <w:t>本次地下水现状评价按《地下水质量标准》（</w:t>
      </w:r>
      <w:r w:rsidRPr="00A964FF">
        <w:rPr>
          <w:rFonts w:ascii="Calibri" w:hAnsi="Calibri"/>
          <w:bCs/>
          <w:color w:val="auto"/>
          <w:sz w:val="24"/>
        </w:rPr>
        <w:t>GB/T14848-</w:t>
      </w:r>
      <w:r w:rsidR="003D7CF3" w:rsidRPr="00A964FF">
        <w:rPr>
          <w:rFonts w:ascii="Calibri" w:hAnsi="Calibri" w:hint="eastAsia"/>
          <w:bCs/>
          <w:color w:val="auto"/>
          <w:sz w:val="24"/>
        </w:rPr>
        <w:t>2017</w:t>
      </w:r>
      <w:r w:rsidRPr="00A964FF">
        <w:rPr>
          <w:rFonts w:ascii="Calibri" w:hAnsi="Calibri"/>
          <w:bCs/>
          <w:color w:val="auto"/>
          <w:sz w:val="24"/>
        </w:rPr>
        <w:t>）</w:t>
      </w:r>
      <w:r w:rsidRPr="00A964FF">
        <w:rPr>
          <w:rFonts w:ascii="Calibri" w:hAnsi="Calibri" w:hint="eastAsia"/>
          <w:bCs/>
          <w:color w:val="auto"/>
          <w:sz w:val="24"/>
        </w:rPr>
        <w:t>III</w:t>
      </w:r>
      <w:r w:rsidRPr="00A964FF">
        <w:rPr>
          <w:rFonts w:ascii="Calibri" w:hAnsi="Calibri"/>
          <w:bCs/>
          <w:color w:val="auto"/>
          <w:sz w:val="24"/>
        </w:rPr>
        <w:t>类标准执行，</w:t>
      </w:r>
      <w:r w:rsidRPr="00A964FF">
        <w:rPr>
          <w:rFonts w:ascii="Calibri" w:hAnsi="Calibri" w:hint="eastAsia"/>
          <w:bCs/>
          <w:color w:val="auto"/>
          <w:sz w:val="24"/>
        </w:rPr>
        <w:t>具体限值</w:t>
      </w:r>
      <w:r w:rsidRPr="00A964FF">
        <w:rPr>
          <w:rFonts w:ascii="Calibri" w:hAnsi="Calibri"/>
          <w:bCs/>
          <w:color w:val="auto"/>
          <w:sz w:val="24"/>
        </w:rPr>
        <w:t>见表</w:t>
      </w:r>
      <w:r w:rsidRPr="00A964FF">
        <w:rPr>
          <w:rFonts w:ascii="Calibri" w:hAnsi="Calibri" w:hint="eastAsia"/>
          <w:bCs/>
          <w:color w:val="auto"/>
          <w:sz w:val="24"/>
        </w:rPr>
        <w:t>3</w:t>
      </w:r>
      <w:r w:rsidR="00A6079A" w:rsidRPr="00A964FF">
        <w:rPr>
          <w:rFonts w:ascii="Calibri" w:hAnsi="Calibri" w:hint="eastAsia"/>
          <w:bCs/>
          <w:color w:val="auto"/>
          <w:sz w:val="24"/>
        </w:rPr>
        <w:t>.3</w:t>
      </w:r>
      <w:r w:rsidRPr="00A964FF">
        <w:rPr>
          <w:rFonts w:ascii="Calibri" w:hAnsi="Calibri"/>
          <w:bCs/>
          <w:color w:val="auto"/>
          <w:sz w:val="24"/>
        </w:rPr>
        <w:t>-</w:t>
      </w:r>
      <w:r w:rsidR="00A6079A" w:rsidRPr="00A964FF">
        <w:rPr>
          <w:rFonts w:ascii="Calibri" w:hAnsi="Calibri" w:hint="eastAsia"/>
          <w:bCs/>
          <w:color w:val="auto"/>
          <w:sz w:val="24"/>
        </w:rPr>
        <w:t>1</w:t>
      </w:r>
      <w:r w:rsidR="00AC555A">
        <w:rPr>
          <w:rFonts w:ascii="Calibri" w:hAnsi="Calibri" w:hint="eastAsia"/>
          <w:bCs/>
          <w:color w:val="auto"/>
          <w:sz w:val="24"/>
        </w:rPr>
        <w:t>4</w:t>
      </w:r>
      <w:r w:rsidRPr="00A964FF">
        <w:rPr>
          <w:rFonts w:ascii="Calibri" w:hAnsi="Calibri"/>
          <w:bCs/>
          <w:color w:val="auto"/>
          <w:sz w:val="24"/>
        </w:rPr>
        <w:t>。</w:t>
      </w:r>
    </w:p>
    <w:p w14:paraId="57277C82" w14:textId="77777777" w:rsidR="0055605A" w:rsidRPr="00A964FF" w:rsidRDefault="0055605A" w:rsidP="0055605A">
      <w:pPr>
        <w:spacing w:line="520" w:lineRule="exact"/>
        <w:ind w:firstLineChars="200" w:firstLine="480"/>
        <w:rPr>
          <w:rFonts w:ascii="Calibri" w:hAnsi="Calibri"/>
          <w:color w:val="auto"/>
          <w:sz w:val="24"/>
        </w:rPr>
      </w:pPr>
      <w:r w:rsidRPr="00A964FF">
        <w:rPr>
          <w:rFonts w:ascii="Calibri" w:eastAsia="黑体" w:hAnsi="Calibri"/>
          <w:color w:val="auto"/>
          <w:sz w:val="24"/>
        </w:rPr>
        <w:t>表</w:t>
      </w:r>
      <w:r w:rsidR="00A6079A" w:rsidRPr="00A964FF">
        <w:rPr>
          <w:rFonts w:ascii="Calibri" w:eastAsia="黑体" w:hAnsi="Calibri" w:hint="eastAsia"/>
          <w:color w:val="auto"/>
          <w:sz w:val="24"/>
        </w:rPr>
        <w:t>3.</w:t>
      </w:r>
      <w:r w:rsidRPr="00A964FF">
        <w:rPr>
          <w:rFonts w:ascii="Calibri" w:eastAsia="黑体" w:hAnsi="Calibri" w:hint="eastAsia"/>
          <w:color w:val="auto"/>
          <w:sz w:val="24"/>
        </w:rPr>
        <w:t>3</w:t>
      </w:r>
      <w:r w:rsidRPr="00A964FF">
        <w:rPr>
          <w:rFonts w:ascii="Calibri" w:eastAsia="黑体" w:hAnsi="Calibri"/>
          <w:color w:val="auto"/>
          <w:sz w:val="24"/>
        </w:rPr>
        <w:t>-</w:t>
      </w:r>
      <w:r w:rsidR="00A6079A" w:rsidRPr="00A964FF">
        <w:rPr>
          <w:rFonts w:ascii="Calibri" w:eastAsia="黑体" w:hAnsi="Calibri" w:hint="eastAsia"/>
          <w:color w:val="auto"/>
          <w:sz w:val="24"/>
        </w:rPr>
        <w:t>1</w:t>
      </w:r>
      <w:r w:rsidR="00AC555A">
        <w:rPr>
          <w:rFonts w:ascii="Calibri" w:eastAsia="黑体" w:hAnsi="Calibri" w:hint="eastAsia"/>
          <w:color w:val="auto"/>
          <w:sz w:val="24"/>
        </w:rPr>
        <w:t>4</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008A1567" w:rsidRPr="00A964FF">
        <w:rPr>
          <w:rFonts w:ascii="Calibri" w:eastAsia="黑体" w:hAnsi="Calibri" w:hint="eastAsia"/>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地下水</w:t>
      </w:r>
      <w:r w:rsidRPr="00A964FF">
        <w:rPr>
          <w:rFonts w:ascii="Calibri" w:eastAsia="黑体" w:hAnsi="Calibri" w:hint="eastAsia"/>
          <w:color w:val="auto"/>
          <w:sz w:val="24"/>
        </w:rPr>
        <w:t>质量标准</w:t>
      </w:r>
      <w:r w:rsidR="00A6079A" w:rsidRPr="00A964FF">
        <w:rPr>
          <w:rFonts w:ascii="Calibri" w:eastAsia="黑体" w:hAnsi="Calibri"/>
          <w:color w:val="auto"/>
          <w:sz w:val="24"/>
        </w:rPr>
        <w:t xml:space="preserve">         </w:t>
      </w:r>
      <w:r w:rsidRPr="00A964FF">
        <w:rPr>
          <w:rFonts w:ascii="Calibri" w:eastAsia="黑体" w:hAnsi="Calibri"/>
          <w:color w:val="auto"/>
          <w:sz w:val="24"/>
        </w:rPr>
        <w:t xml:space="preserve"> </w:t>
      </w:r>
      <w:r w:rsidR="008A1567" w:rsidRPr="00A964FF">
        <w:rPr>
          <w:rFonts w:ascii="Calibri" w:eastAsia="黑体" w:hAnsi="Calibri" w:hint="eastAsia"/>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hAnsi="Calibri"/>
          <w:color w:val="auto"/>
          <w:szCs w:val="21"/>
        </w:rPr>
        <w:t xml:space="preserve"> </w:t>
      </w:r>
      <w:r w:rsidRPr="00A964FF">
        <w:rPr>
          <w:rFonts w:ascii="Calibri" w:hAnsi="Calibri"/>
          <w:color w:val="auto"/>
          <w:szCs w:val="21"/>
        </w:rPr>
        <w:t>单位：</w:t>
      </w:r>
      <w:r w:rsidR="00CC55BB" w:rsidRPr="00A964FF">
        <w:rPr>
          <w:rFonts w:ascii="Calibri" w:hAnsi="Calibri"/>
          <w:color w:val="auto"/>
          <w:szCs w:val="21"/>
        </w:rPr>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00"/>
        <w:gridCol w:w="3450"/>
        <w:gridCol w:w="3450"/>
      </w:tblGrid>
      <w:tr w:rsidR="0055605A" w:rsidRPr="00A964FF" w14:paraId="0C2E909F" w14:textId="77777777" w:rsidTr="005D774C">
        <w:trPr>
          <w:trHeight w:val="340"/>
          <w:jc w:val="center"/>
        </w:trPr>
        <w:tc>
          <w:tcPr>
            <w:tcW w:w="1034" w:type="pct"/>
            <w:vAlign w:val="center"/>
          </w:tcPr>
          <w:p w14:paraId="20E05DFF"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hint="eastAsia"/>
                <w:color w:val="auto"/>
                <w:szCs w:val="21"/>
              </w:rPr>
              <w:t>序号</w:t>
            </w:r>
          </w:p>
        </w:tc>
        <w:tc>
          <w:tcPr>
            <w:tcW w:w="1983" w:type="pct"/>
            <w:vAlign w:val="center"/>
          </w:tcPr>
          <w:p w14:paraId="5A82C026"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color w:val="auto"/>
                <w:szCs w:val="21"/>
              </w:rPr>
              <w:t>项目</w:t>
            </w:r>
          </w:p>
        </w:tc>
        <w:tc>
          <w:tcPr>
            <w:tcW w:w="1983" w:type="pct"/>
            <w:vAlign w:val="center"/>
          </w:tcPr>
          <w:p w14:paraId="65125AB4"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color w:val="auto"/>
                <w:szCs w:val="21"/>
              </w:rPr>
              <w:t>标准限值</w:t>
            </w:r>
          </w:p>
        </w:tc>
      </w:tr>
      <w:tr w:rsidR="0055605A" w:rsidRPr="00A964FF" w14:paraId="064C90D4" w14:textId="77777777" w:rsidTr="005D774C">
        <w:trPr>
          <w:trHeight w:val="340"/>
          <w:jc w:val="center"/>
        </w:trPr>
        <w:tc>
          <w:tcPr>
            <w:tcW w:w="1034" w:type="pct"/>
            <w:vAlign w:val="center"/>
          </w:tcPr>
          <w:p w14:paraId="716EE672"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hint="eastAsia"/>
                <w:color w:val="auto"/>
                <w:szCs w:val="21"/>
              </w:rPr>
              <w:t>1</w:t>
            </w:r>
          </w:p>
        </w:tc>
        <w:tc>
          <w:tcPr>
            <w:tcW w:w="1983" w:type="pct"/>
            <w:vAlign w:val="center"/>
          </w:tcPr>
          <w:p w14:paraId="468B9694"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pH</w:t>
            </w:r>
            <w:r w:rsidRPr="00A964FF">
              <w:rPr>
                <w:rFonts w:ascii="Calibri"/>
                <w:color w:val="auto"/>
                <w:szCs w:val="21"/>
              </w:rPr>
              <w:t>值</w:t>
            </w:r>
          </w:p>
        </w:tc>
        <w:tc>
          <w:tcPr>
            <w:tcW w:w="1983" w:type="pct"/>
            <w:vAlign w:val="center"/>
          </w:tcPr>
          <w:p w14:paraId="741C8CA5"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6.5</w:t>
            </w:r>
            <w:r w:rsidRPr="00A964FF">
              <w:rPr>
                <w:rFonts w:ascii="Calibri" w:hAnsi="Calibri" w:hint="eastAsia"/>
                <w:color w:val="auto"/>
                <w:szCs w:val="21"/>
              </w:rPr>
              <w:t>～</w:t>
            </w:r>
            <w:r w:rsidRPr="00A964FF">
              <w:rPr>
                <w:rFonts w:ascii="Calibri" w:hAnsi="Calibri" w:hint="eastAsia"/>
                <w:color w:val="auto"/>
                <w:szCs w:val="21"/>
              </w:rPr>
              <w:t>8.5</w:t>
            </w:r>
            <w:r w:rsidRPr="00A964FF">
              <w:rPr>
                <w:rFonts w:ascii="Calibri" w:hAnsi="Calibri" w:hint="eastAsia"/>
                <w:color w:val="auto"/>
                <w:szCs w:val="21"/>
              </w:rPr>
              <w:t>（无量纲）</w:t>
            </w:r>
          </w:p>
        </w:tc>
      </w:tr>
      <w:tr w:rsidR="0055605A" w:rsidRPr="00A964FF" w14:paraId="0DC80AC9" w14:textId="77777777" w:rsidTr="005D774C">
        <w:trPr>
          <w:trHeight w:val="340"/>
          <w:jc w:val="center"/>
        </w:trPr>
        <w:tc>
          <w:tcPr>
            <w:tcW w:w="1034" w:type="pct"/>
            <w:vAlign w:val="center"/>
          </w:tcPr>
          <w:p w14:paraId="425CC44C" w14:textId="77777777" w:rsidR="0055605A" w:rsidRPr="00A964FF" w:rsidRDefault="0055605A" w:rsidP="003E0795">
            <w:pPr>
              <w:spacing w:line="240" w:lineRule="exact"/>
              <w:jc w:val="center"/>
              <w:rPr>
                <w:rFonts w:ascii="Calibri" w:hAnsi="Calibri"/>
                <w:color w:val="auto"/>
                <w:szCs w:val="21"/>
              </w:rPr>
            </w:pPr>
            <w:r w:rsidRPr="00A964FF">
              <w:rPr>
                <w:rFonts w:ascii="Calibri" w:hAnsi="Calibri" w:hint="eastAsia"/>
                <w:color w:val="auto"/>
                <w:szCs w:val="21"/>
              </w:rPr>
              <w:t>2</w:t>
            </w:r>
          </w:p>
        </w:tc>
        <w:tc>
          <w:tcPr>
            <w:tcW w:w="1983" w:type="pct"/>
            <w:vAlign w:val="center"/>
          </w:tcPr>
          <w:p w14:paraId="7BE362AF" w14:textId="77777777" w:rsidR="0055605A" w:rsidRPr="00A964FF" w:rsidRDefault="0055605A" w:rsidP="003E0795">
            <w:pPr>
              <w:jc w:val="center"/>
              <w:rPr>
                <w:rFonts w:ascii="Calibri" w:hAnsi="Calibri"/>
                <w:color w:val="auto"/>
                <w:szCs w:val="21"/>
              </w:rPr>
            </w:pPr>
            <w:r w:rsidRPr="00A964FF">
              <w:rPr>
                <w:rFonts w:ascii="Calibri"/>
                <w:color w:val="auto"/>
                <w:szCs w:val="21"/>
              </w:rPr>
              <w:t>氨氮</w:t>
            </w:r>
          </w:p>
        </w:tc>
        <w:tc>
          <w:tcPr>
            <w:tcW w:w="1983" w:type="pct"/>
            <w:vAlign w:val="center"/>
          </w:tcPr>
          <w:p w14:paraId="5D4DD3ED"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0.50</w:t>
            </w:r>
          </w:p>
        </w:tc>
      </w:tr>
      <w:tr w:rsidR="0055605A" w:rsidRPr="00A964FF" w14:paraId="759E856A" w14:textId="77777777" w:rsidTr="005D774C">
        <w:trPr>
          <w:trHeight w:val="340"/>
          <w:jc w:val="center"/>
        </w:trPr>
        <w:tc>
          <w:tcPr>
            <w:tcW w:w="1034" w:type="pct"/>
            <w:vAlign w:val="center"/>
          </w:tcPr>
          <w:p w14:paraId="4E5272C5"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3</w:t>
            </w:r>
          </w:p>
        </w:tc>
        <w:tc>
          <w:tcPr>
            <w:tcW w:w="1983" w:type="pct"/>
            <w:vAlign w:val="center"/>
          </w:tcPr>
          <w:p w14:paraId="4C09E0C8" w14:textId="77777777" w:rsidR="0055605A" w:rsidRPr="00A964FF" w:rsidRDefault="0055605A" w:rsidP="003E0795">
            <w:pPr>
              <w:jc w:val="center"/>
              <w:rPr>
                <w:rFonts w:cs="Times New Roman"/>
                <w:color w:val="auto"/>
                <w:szCs w:val="21"/>
              </w:rPr>
            </w:pPr>
            <w:r w:rsidRPr="00A964FF">
              <w:rPr>
                <w:rFonts w:cs="Times New Roman"/>
                <w:color w:val="auto"/>
                <w:szCs w:val="21"/>
              </w:rPr>
              <w:t>硝酸盐</w:t>
            </w:r>
          </w:p>
        </w:tc>
        <w:tc>
          <w:tcPr>
            <w:tcW w:w="1983" w:type="pct"/>
            <w:vAlign w:val="center"/>
          </w:tcPr>
          <w:p w14:paraId="3201441B"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20.0</w:t>
            </w:r>
          </w:p>
        </w:tc>
      </w:tr>
      <w:tr w:rsidR="0055605A" w:rsidRPr="00A964FF" w14:paraId="10BE6398" w14:textId="77777777" w:rsidTr="005D774C">
        <w:trPr>
          <w:trHeight w:val="340"/>
          <w:jc w:val="center"/>
        </w:trPr>
        <w:tc>
          <w:tcPr>
            <w:tcW w:w="1034" w:type="pct"/>
            <w:vAlign w:val="center"/>
          </w:tcPr>
          <w:p w14:paraId="5D7129E5"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4</w:t>
            </w:r>
          </w:p>
        </w:tc>
        <w:tc>
          <w:tcPr>
            <w:tcW w:w="1983" w:type="pct"/>
            <w:vAlign w:val="center"/>
          </w:tcPr>
          <w:p w14:paraId="59610FBB" w14:textId="77777777" w:rsidR="0055605A" w:rsidRPr="00A964FF" w:rsidRDefault="0055605A" w:rsidP="003E0795">
            <w:pPr>
              <w:jc w:val="center"/>
              <w:rPr>
                <w:rFonts w:cs="Times New Roman"/>
                <w:color w:val="auto"/>
                <w:szCs w:val="21"/>
              </w:rPr>
            </w:pPr>
            <w:r w:rsidRPr="00A964FF">
              <w:rPr>
                <w:rFonts w:cs="Times New Roman"/>
                <w:color w:val="auto"/>
                <w:szCs w:val="21"/>
              </w:rPr>
              <w:t>亚硝酸盐</w:t>
            </w:r>
          </w:p>
        </w:tc>
        <w:tc>
          <w:tcPr>
            <w:tcW w:w="1983" w:type="pct"/>
            <w:vAlign w:val="center"/>
          </w:tcPr>
          <w:p w14:paraId="7BA55518"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1.00</w:t>
            </w:r>
          </w:p>
        </w:tc>
      </w:tr>
      <w:tr w:rsidR="0055605A" w:rsidRPr="00A964FF" w14:paraId="0E75689D" w14:textId="77777777" w:rsidTr="005D774C">
        <w:trPr>
          <w:trHeight w:val="340"/>
          <w:jc w:val="center"/>
        </w:trPr>
        <w:tc>
          <w:tcPr>
            <w:tcW w:w="1034" w:type="pct"/>
            <w:vAlign w:val="center"/>
          </w:tcPr>
          <w:p w14:paraId="72FF8B04"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5</w:t>
            </w:r>
          </w:p>
        </w:tc>
        <w:tc>
          <w:tcPr>
            <w:tcW w:w="1983" w:type="pct"/>
            <w:vAlign w:val="center"/>
          </w:tcPr>
          <w:p w14:paraId="50851FA0"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挥发性酚类</w:t>
            </w:r>
          </w:p>
        </w:tc>
        <w:tc>
          <w:tcPr>
            <w:tcW w:w="1983" w:type="pct"/>
            <w:vAlign w:val="center"/>
          </w:tcPr>
          <w:p w14:paraId="1E1B0AAE"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0.002</w:t>
            </w:r>
          </w:p>
        </w:tc>
      </w:tr>
      <w:tr w:rsidR="0055605A" w:rsidRPr="00A964FF" w14:paraId="12ACBF18" w14:textId="77777777" w:rsidTr="005D774C">
        <w:trPr>
          <w:trHeight w:val="340"/>
          <w:jc w:val="center"/>
        </w:trPr>
        <w:tc>
          <w:tcPr>
            <w:tcW w:w="1034" w:type="pct"/>
            <w:vAlign w:val="center"/>
          </w:tcPr>
          <w:p w14:paraId="493B19BD"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6</w:t>
            </w:r>
          </w:p>
        </w:tc>
        <w:tc>
          <w:tcPr>
            <w:tcW w:w="1983" w:type="pct"/>
            <w:vAlign w:val="center"/>
          </w:tcPr>
          <w:p w14:paraId="7B57452B"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氰化物</w:t>
            </w:r>
          </w:p>
        </w:tc>
        <w:tc>
          <w:tcPr>
            <w:tcW w:w="1983" w:type="pct"/>
            <w:vAlign w:val="center"/>
          </w:tcPr>
          <w:p w14:paraId="5E0576D5"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0.05</w:t>
            </w:r>
          </w:p>
        </w:tc>
      </w:tr>
      <w:tr w:rsidR="0055605A" w:rsidRPr="00A964FF" w14:paraId="39AA0CAF" w14:textId="77777777" w:rsidTr="005D774C">
        <w:trPr>
          <w:trHeight w:val="340"/>
          <w:jc w:val="center"/>
        </w:trPr>
        <w:tc>
          <w:tcPr>
            <w:tcW w:w="1034" w:type="pct"/>
            <w:vAlign w:val="center"/>
          </w:tcPr>
          <w:p w14:paraId="082BBCE9"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7</w:t>
            </w:r>
          </w:p>
        </w:tc>
        <w:tc>
          <w:tcPr>
            <w:tcW w:w="1983" w:type="pct"/>
            <w:vAlign w:val="center"/>
          </w:tcPr>
          <w:p w14:paraId="10FAEB2C"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砷</w:t>
            </w:r>
          </w:p>
        </w:tc>
        <w:tc>
          <w:tcPr>
            <w:tcW w:w="1983" w:type="pct"/>
            <w:vAlign w:val="center"/>
          </w:tcPr>
          <w:p w14:paraId="051CB720"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0.01</w:t>
            </w:r>
          </w:p>
        </w:tc>
      </w:tr>
      <w:tr w:rsidR="0055605A" w:rsidRPr="00A964FF" w14:paraId="43CA976F" w14:textId="77777777" w:rsidTr="005D774C">
        <w:trPr>
          <w:trHeight w:val="340"/>
          <w:jc w:val="center"/>
        </w:trPr>
        <w:tc>
          <w:tcPr>
            <w:tcW w:w="1034" w:type="pct"/>
            <w:vAlign w:val="center"/>
          </w:tcPr>
          <w:p w14:paraId="4BB5690B"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8</w:t>
            </w:r>
          </w:p>
        </w:tc>
        <w:tc>
          <w:tcPr>
            <w:tcW w:w="1983" w:type="pct"/>
            <w:vAlign w:val="center"/>
          </w:tcPr>
          <w:p w14:paraId="098BB22D"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汞</w:t>
            </w:r>
          </w:p>
        </w:tc>
        <w:tc>
          <w:tcPr>
            <w:tcW w:w="1983" w:type="pct"/>
            <w:vAlign w:val="center"/>
          </w:tcPr>
          <w:p w14:paraId="4F3F2065"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0.001</w:t>
            </w:r>
          </w:p>
        </w:tc>
      </w:tr>
      <w:tr w:rsidR="0055605A" w:rsidRPr="00A964FF" w14:paraId="4FFF9CA3" w14:textId="77777777" w:rsidTr="005D774C">
        <w:trPr>
          <w:trHeight w:val="340"/>
          <w:jc w:val="center"/>
        </w:trPr>
        <w:tc>
          <w:tcPr>
            <w:tcW w:w="1034" w:type="pct"/>
            <w:vAlign w:val="center"/>
          </w:tcPr>
          <w:p w14:paraId="4E2067DF"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9</w:t>
            </w:r>
          </w:p>
        </w:tc>
        <w:tc>
          <w:tcPr>
            <w:tcW w:w="1983" w:type="pct"/>
            <w:vAlign w:val="center"/>
          </w:tcPr>
          <w:p w14:paraId="4C3DBB17"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铬（六价）</w:t>
            </w:r>
          </w:p>
        </w:tc>
        <w:tc>
          <w:tcPr>
            <w:tcW w:w="1983" w:type="pct"/>
            <w:vAlign w:val="center"/>
          </w:tcPr>
          <w:p w14:paraId="773F3C77"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0.05</w:t>
            </w:r>
          </w:p>
        </w:tc>
      </w:tr>
      <w:tr w:rsidR="0055605A" w:rsidRPr="00A964FF" w14:paraId="72713BFA" w14:textId="77777777" w:rsidTr="005D774C">
        <w:trPr>
          <w:trHeight w:val="340"/>
          <w:jc w:val="center"/>
        </w:trPr>
        <w:tc>
          <w:tcPr>
            <w:tcW w:w="1034" w:type="pct"/>
            <w:vAlign w:val="center"/>
          </w:tcPr>
          <w:p w14:paraId="1C28F95A"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10</w:t>
            </w:r>
          </w:p>
        </w:tc>
        <w:tc>
          <w:tcPr>
            <w:tcW w:w="1983" w:type="pct"/>
            <w:vAlign w:val="center"/>
          </w:tcPr>
          <w:p w14:paraId="6AF2A6E4"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总硬度</w:t>
            </w:r>
          </w:p>
        </w:tc>
        <w:tc>
          <w:tcPr>
            <w:tcW w:w="1983" w:type="pct"/>
            <w:vAlign w:val="center"/>
          </w:tcPr>
          <w:p w14:paraId="79F977AE"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450</w:t>
            </w:r>
          </w:p>
        </w:tc>
      </w:tr>
      <w:tr w:rsidR="0055605A" w:rsidRPr="00A964FF" w14:paraId="2AA89E81" w14:textId="77777777" w:rsidTr="005D774C">
        <w:trPr>
          <w:trHeight w:val="340"/>
          <w:jc w:val="center"/>
        </w:trPr>
        <w:tc>
          <w:tcPr>
            <w:tcW w:w="1034" w:type="pct"/>
            <w:vAlign w:val="center"/>
          </w:tcPr>
          <w:p w14:paraId="7D16EA11"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11</w:t>
            </w:r>
          </w:p>
        </w:tc>
        <w:tc>
          <w:tcPr>
            <w:tcW w:w="1983" w:type="pct"/>
            <w:vAlign w:val="center"/>
          </w:tcPr>
          <w:p w14:paraId="731E7EF1" w14:textId="77777777" w:rsidR="0055605A" w:rsidRPr="00A964FF" w:rsidRDefault="0055605A" w:rsidP="003E0795">
            <w:pPr>
              <w:jc w:val="center"/>
              <w:rPr>
                <w:rFonts w:ascii="Calibri"/>
                <w:color w:val="auto"/>
                <w:szCs w:val="21"/>
              </w:rPr>
            </w:pPr>
            <w:r w:rsidRPr="00A964FF">
              <w:rPr>
                <w:rFonts w:ascii="Calibri" w:hint="eastAsia"/>
                <w:color w:val="auto"/>
                <w:szCs w:val="21"/>
              </w:rPr>
              <w:t>铅</w:t>
            </w:r>
          </w:p>
        </w:tc>
        <w:tc>
          <w:tcPr>
            <w:tcW w:w="1983" w:type="pct"/>
            <w:vAlign w:val="center"/>
          </w:tcPr>
          <w:p w14:paraId="73F8CBA0"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0.01</w:t>
            </w:r>
          </w:p>
        </w:tc>
      </w:tr>
      <w:tr w:rsidR="0055605A" w:rsidRPr="00A964FF" w14:paraId="49838A61" w14:textId="77777777" w:rsidTr="005D774C">
        <w:trPr>
          <w:trHeight w:val="340"/>
          <w:jc w:val="center"/>
        </w:trPr>
        <w:tc>
          <w:tcPr>
            <w:tcW w:w="1034" w:type="pct"/>
            <w:vAlign w:val="center"/>
          </w:tcPr>
          <w:p w14:paraId="21D58B90"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12</w:t>
            </w:r>
          </w:p>
        </w:tc>
        <w:tc>
          <w:tcPr>
            <w:tcW w:w="1983" w:type="pct"/>
            <w:vAlign w:val="center"/>
          </w:tcPr>
          <w:p w14:paraId="1857DED8"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氟化物</w:t>
            </w:r>
          </w:p>
        </w:tc>
        <w:tc>
          <w:tcPr>
            <w:tcW w:w="1983" w:type="pct"/>
            <w:vAlign w:val="center"/>
          </w:tcPr>
          <w:p w14:paraId="7E0CBB8A"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1.0</w:t>
            </w:r>
          </w:p>
        </w:tc>
      </w:tr>
      <w:tr w:rsidR="0055605A" w:rsidRPr="00A964FF" w14:paraId="787923F5" w14:textId="77777777" w:rsidTr="005D774C">
        <w:trPr>
          <w:trHeight w:val="340"/>
          <w:jc w:val="center"/>
        </w:trPr>
        <w:tc>
          <w:tcPr>
            <w:tcW w:w="1034" w:type="pct"/>
            <w:vAlign w:val="center"/>
          </w:tcPr>
          <w:p w14:paraId="56607EC8"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13</w:t>
            </w:r>
          </w:p>
        </w:tc>
        <w:tc>
          <w:tcPr>
            <w:tcW w:w="1983" w:type="pct"/>
            <w:vAlign w:val="center"/>
          </w:tcPr>
          <w:p w14:paraId="4EECACCD"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镉</w:t>
            </w:r>
          </w:p>
        </w:tc>
        <w:tc>
          <w:tcPr>
            <w:tcW w:w="1983" w:type="pct"/>
            <w:vAlign w:val="center"/>
          </w:tcPr>
          <w:p w14:paraId="68AE0EC2"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0.005</w:t>
            </w:r>
          </w:p>
        </w:tc>
      </w:tr>
      <w:tr w:rsidR="0055605A" w:rsidRPr="00A964FF" w14:paraId="440DF08C" w14:textId="77777777" w:rsidTr="005D774C">
        <w:trPr>
          <w:trHeight w:val="340"/>
          <w:jc w:val="center"/>
        </w:trPr>
        <w:tc>
          <w:tcPr>
            <w:tcW w:w="1034" w:type="pct"/>
            <w:vAlign w:val="center"/>
          </w:tcPr>
          <w:p w14:paraId="5A655507"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14</w:t>
            </w:r>
          </w:p>
        </w:tc>
        <w:tc>
          <w:tcPr>
            <w:tcW w:w="1983" w:type="pct"/>
            <w:vAlign w:val="center"/>
          </w:tcPr>
          <w:p w14:paraId="7C7BE473"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铁</w:t>
            </w:r>
          </w:p>
        </w:tc>
        <w:tc>
          <w:tcPr>
            <w:tcW w:w="1983" w:type="pct"/>
            <w:vAlign w:val="center"/>
          </w:tcPr>
          <w:p w14:paraId="37F81A19"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0.3</w:t>
            </w:r>
          </w:p>
        </w:tc>
      </w:tr>
      <w:tr w:rsidR="0055605A" w:rsidRPr="00A964FF" w14:paraId="2C880B7C" w14:textId="77777777" w:rsidTr="005D774C">
        <w:trPr>
          <w:trHeight w:val="340"/>
          <w:jc w:val="center"/>
        </w:trPr>
        <w:tc>
          <w:tcPr>
            <w:tcW w:w="1034" w:type="pct"/>
            <w:vAlign w:val="center"/>
          </w:tcPr>
          <w:p w14:paraId="65D1FEED"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15</w:t>
            </w:r>
          </w:p>
        </w:tc>
        <w:tc>
          <w:tcPr>
            <w:tcW w:w="1983" w:type="pct"/>
            <w:vAlign w:val="center"/>
          </w:tcPr>
          <w:p w14:paraId="442DC2A8" w14:textId="77777777" w:rsidR="0055605A" w:rsidRPr="00A964FF" w:rsidRDefault="0055605A" w:rsidP="003E0795">
            <w:pPr>
              <w:jc w:val="center"/>
              <w:rPr>
                <w:rFonts w:cs="Times New Roman"/>
                <w:color w:val="auto"/>
                <w:szCs w:val="21"/>
              </w:rPr>
            </w:pPr>
            <w:r w:rsidRPr="00A964FF">
              <w:rPr>
                <w:rFonts w:cs="Times New Roman" w:hint="eastAsia"/>
                <w:color w:val="auto"/>
                <w:szCs w:val="21"/>
              </w:rPr>
              <w:t>锰</w:t>
            </w:r>
          </w:p>
        </w:tc>
        <w:tc>
          <w:tcPr>
            <w:tcW w:w="1983" w:type="pct"/>
            <w:vAlign w:val="center"/>
          </w:tcPr>
          <w:p w14:paraId="2A918AD6"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0.10</w:t>
            </w:r>
          </w:p>
        </w:tc>
      </w:tr>
      <w:tr w:rsidR="0055605A" w:rsidRPr="00A964FF" w14:paraId="7469A9E1" w14:textId="77777777" w:rsidTr="005D774C">
        <w:trPr>
          <w:trHeight w:val="340"/>
          <w:jc w:val="center"/>
        </w:trPr>
        <w:tc>
          <w:tcPr>
            <w:tcW w:w="1034" w:type="pct"/>
            <w:vAlign w:val="center"/>
          </w:tcPr>
          <w:p w14:paraId="7A2D626B"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16</w:t>
            </w:r>
          </w:p>
        </w:tc>
        <w:tc>
          <w:tcPr>
            <w:tcW w:w="1983" w:type="pct"/>
            <w:vAlign w:val="center"/>
          </w:tcPr>
          <w:p w14:paraId="3A25A2ED" w14:textId="77777777" w:rsidR="0055605A" w:rsidRPr="00A964FF" w:rsidRDefault="0055605A" w:rsidP="003E0795">
            <w:pPr>
              <w:jc w:val="center"/>
              <w:rPr>
                <w:rFonts w:ascii="Calibri" w:hAnsi="Calibri"/>
                <w:color w:val="auto"/>
                <w:szCs w:val="21"/>
              </w:rPr>
            </w:pPr>
            <w:r w:rsidRPr="00A964FF">
              <w:rPr>
                <w:rFonts w:ascii="Calibri"/>
                <w:color w:val="auto"/>
                <w:szCs w:val="21"/>
              </w:rPr>
              <w:t>溶解性总固体</w:t>
            </w:r>
          </w:p>
        </w:tc>
        <w:tc>
          <w:tcPr>
            <w:tcW w:w="1983" w:type="pct"/>
            <w:vAlign w:val="center"/>
          </w:tcPr>
          <w:p w14:paraId="50E821E8"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1000</w:t>
            </w:r>
          </w:p>
        </w:tc>
      </w:tr>
      <w:tr w:rsidR="0055605A" w:rsidRPr="00A964FF" w14:paraId="0B619198" w14:textId="77777777" w:rsidTr="005D774C">
        <w:trPr>
          <w:trHeight w:val="340"/>
          <w:jc w:val="center"/>
        </w:trPr>
        <w:tc>
          <w:tcPr>
            <w:tcW w:w="1034" w:type="pct"/>
            <w:vAlign w:val="center"/>
          </w:tcPr>
          <w:p w14:paraId="14A70C76"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17</w:t>
            </w:r>
          </w:p>
        </w:tc>
        <w:tc>
          <w:tcPr>
            <w:tcW w:w="1983" w:type="pct"/>
            <w:vAlign w:val="center"/>
          </w:tcPr>
          <w:p w14:paraId="6795B7BF" w14:textId="77777777" w:rsidR="0055605A" w:rsidRPr="00A964FF" w:rsidRDefault="0055605A" w:rsidP="003E0795">
            <w:pPr>
              <w:jc w:val="center"/>
              <w:rPr>
                <w:rFonts w:ascii="Calibri" w:hAnsi="Calibri"/>
                <w:color w:val="auto"/>
                <w:szCs w:val="21"/>
              </w:rPr>
            </w:pPr>
            <w:r w:rsidRPr="00A964FF">
              <w:rPr>
                <w:rFonts w:ascii="Calibri" w:hint="eastAsia"/>
                <w:color w:val="auto"/>
                <w:szCs w:val="21"/>
              </w:rPr>
              <w:t>耗氧量</w:t>
            </w:r>
          </w:p>
        </w:tc>
        <w:tc>
          <w:tcPr>
            <w:tcW w:w="1983" w:type="pct"/>
            <w:vAlign w:val="center"/>
          </w:tcPr>
          <w:p w14:paraId="75B71305"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3.0</w:t>
            </w:r>
          </w:p>
        </w:tc>
      </w:tr>
      <w:tr w:rsidR="0055605A" w:rsidRPr="00A964FF" w14:paraId="2BFC6174" w14:textId="77777777" w:rsidTr="005D774C">
        <w:trPr>
          <w:trHeight w:val="340"/>
          <w:jc w:val="center"/>
        </w:trPr>
        <w:tc>
          <w:tcPr>
            <w:tcW w:w="1034" w:type="pct"/>
            <w:vAlign w:val="center"/>
          </w:tcPr>
          <w:p w14:paraId="391B218D"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18</w:t>
            </w:r>
          </w:p>
        </w:tc>
        <w:tc>
          <w:tcPr>
            <w:tcW w:w="1983" w:type="pct"/>
            <w:vAlign w:val="center"/>
          </w:tcPr>
          <w:p w14:paraId="60E2F3F0" w14:textId="77777777" w:rsidR="0055605A" w:rsidRPr="00A964FF" w:rsidRDefault="0055605A" w:rsidP="003E0795">
            <w:pPr>
              <w:jc w:val="center"/>
              <w:rPr>
                <w:rFonts w:ascii="Calibri" w:hAnsi="Calibri" w:cs="Times New Roman"/>
                <w:color w:val="auto"/>
                <w:szCs w:val="21"/>
              </w:rPr>
            </w:pPr>
            <w:r w:rsidRPr="00A964FF">
              <w:rPr>
                <w:rFonts w:ascii="Calibri" w:cs="Times New Roman"/>
                <w:color w:val="auto"/>
                <w:szCs w:val="21"/>
              </w:rPr>
              <w:t>硫酸盐</w:t>
            </w:r>
          </w:p>
        </w:tc>
        <w:tc>
          <w:tcPr>
            <w:tcW w:w="1983" w:type="pct"/>
            <w:vAlign w:val="center"/>
          </w:tcPr>
          <w:p w14:paraId="7DB53698"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250</w:t>
            </w:r>
          </w:p>
        </w:tc>
      </w:tr>
      <w:tr w:rsidR="0055605A" w:rsidRPr="00A964FF" w14:paraId="40FD99B8" w14:textId="77777777" w:rsidTr="005D774C">
        <w:trPr>
          <w:trHeight w:val="340"/>
          <w:jc w:val="center"/>
        </w:trPr>
        <w:tc>
          <w:tcPr>
            <w:tcW w:w="1034" w:type="pct"/>
            <w:vAlign w:val="center"/>
          </w:tcPr>
          <w:p w14:paraId="0C3358EA" w14:textId="77777777" w:rsidR="0055605A" w:rsidRPr="00A964FF" w:rsidRDefault="0055605A" w:rsidP="003E0795">
            <w:pPr>
              <w:pStyle w:val="a1"/>
              <w:ind w:firstLine="0"/>
              <w:jc w:val="center"/>
              <w:rPr>
                <w:rFonts w:ascii="Calibri" w:hAnsi="Calibri"/>
                <w:color w:val="auto"/>
                <w:szCs w:val="21"/>
              </w:rPr>
            </w:pPr>
            <w:r w:rsidRPr="00A964FF">
              <w:rPr>
                <w:rFonts w:ascii="Calibri" w:hAnsi="Calibri" w:hint="eastAsia"/>
                <w:color w:val="auto"/>
                <w:szCs w:val="21"/>
              </w:rPr>
              <w:t>19</w:t>
            </w:r>
          </w:p>
        </w:tc>
        <w:tc>
          <w:tcPr>
            <w:tcW w:w="1983" w:type="pct"/>
            <w:vAlign w:val="center"/>
          </w:tcPr>
          <w:p w14:paraId="28E6BE35" w14:textId="77777777" w:rsidR="0055605A" w:rsidRPr="00A964FF" w:rsidRDefault="0055605A" w:rsidP="003E0795">
            <w:pPr>
              <w:jc w:val="center"/>
              <w:rPr>
                <w:rFonts w:ascii="Calibri" w:hAnsi="Calibri" w:cs="Times New Roman"/>
                <w:color w:val="auto"/>
                <w:szCs w:val="21"/>
              </w:rPr>
            </w:pPr>
            <w:r w:rsidRPr="00A964FF">
              <w:rPr>
                <w:rFonts w:ascii="Calibri" w:cs="Times New Roman"/>
                <w:color w:val="auto"/>
                <w:szCs w:val="21"/>
              </w:rPr>
              <w:t>氯化物</w:t>
            </w:r>
          </w:p>
        </w:tc>
        <w:tc>
          <w:tcPr>
            <w:tcW w:w="1983" w:type="pct"/>
            <w:vAlign w:val="center"/>
          </w:tcPr>
          <w:p w14:paraId="371BCFBF" w14:textId="77777777" w:rsidR="0055605A" w:rsidRPr="00A964FF" w:rsidRDefault="0055605A" w:rsidP="003E0795">
            <w:pPr>
              <w:jc w:val="center"/>
              <w:rPr>
                <w:rFonts w:ascii="Calibri" w:hAnsi="Calibri"/>
                <w:color w:val="auto"/>
                <w:szCs w:val="21"/>
              </w:rPr>
            </w:pPr>
            <w:r w:rsidRPr="00A964FF">
              <w:rPr>
                <w:rFonts w:ascii="Calibri" w:hAnsi="Calibri" w:hint="eastAsia"/>
                <w:color w:val="auto"/>
                <w:szCs w:val="21"/>
              </w:rPr>
              <w:t>250</w:t>
            </w:r>
          </w:p>
        </w:tc>
      </w:tr>
      <w:tr w:rsidR="005B0FCB" w:rsidRPr="00A964FF" w14:paraId="6EC973E8" w14:textId="77777777" w:rsidTr="005D774C">
        <w:trPr>
          <w:trHeight w:val="340"/>
          <w:jc w:val="center"/>
        </w:trPr>
        <w:tc>
          <w:tcPr>
            <w:tcW w:w="1034" w:type="pct"/>
            <w:vAlign w:val="center"/>
          </w:tcPr>
          <w:p w14:paraId="5BFEFEAF" w14:textId="77777777" w:rsidR="005B0FCB" w:rsidRPr="00A964FF" w:rsidRDefault="005B0FCB" w:rsidP="003E0795">
            <w:pPr>
              <w:pStyle w:val="a1"/>
              <w:ind w:firstLine="0"/>
              <w:jc w:val="center"/>
              <w:rPr>
                <w:rFonts w:ascii="Calibri" w:hAnsi="Calibri"/>
                <w:color w:val="auto"/>
                <w:szCs w:val="21"/>
              </w:rPr>
            </w:pPr>
            <w:r w:rsidRPr="00A964FF">
              <w:rPr>
                <w:rFonts w:ascii="Calibri" w:hAnsi="Calibri" w:hint="eastAsia"/>
                <w:color w:val="auto"/>
                <w:szCs w:val="21"/>
              </w:rPr>
              <w:t>20</w:t>
            </w:r>
          </w:p>
        </w:tc>
        <w:tc>
          <w:tcPr>
            <w:tcW w:w="1983" w:type="pct"/>
            <w:vAlign w:val="center"/>
          </w:tcPr>
          <w:p w14:paraId="607D6D6B" w14:textId="77777777" w:rsidR="005B0FCB" w:rsidRPr="00A964FF" w:rsidRDefault="005B0FCB" w:rsidP="004A3168">
            <w:pPr>
              <w:jc w:val="center"/>
              <w:rPr>
                <w:rFonts w:ascii="Calibri" w:hAnsi="Calibri" w:cs="Times New Roman"/>
                <w:color w:val="auto"/>
                <w:szCs w:val="21"/>
              </w:rPr>
            </w:pPr>
            <w:r w:rsidRPr="00A964FF">
              <w:rPr>
                <w:rFonts w:ascii="Calibri" w:cs="Times New Roman"/>
                <w:color w:val="auto"/>
                <w:szCs w:val="21"/>
              </w:rPr>
              <w:t>总大肠菌群</w:t>
            </w:r>
            <w:r w:rsidRPr="00A964FF">
              <w:rPr>
                <w:rFonts w:ascii="Calibri" w:cs="Times New Roman" w:hint="eastAsia"/>
                <w:color w:val="auto"/>
                <w:szCs w:val="21"/>
              </w:rPr>
              <w:t>（</w:t>
            </w:r>
            <w:r w:rsidRPr="00A964FF">
              <w:rPr>
                <w:rFonts w:ascii="Calibri" w:cs="Times New Roman"/>
                <w:color w:val="auto"/>
                <w:szCs w:val="21"/>
              </w:rPr>
              <w:t>MPN/100mL</w:t>
            </w:r>
            <w:r w:rsidRPr="00A964FF">
              <w:rPr>
                <w:rFonts w:ascii="Calibri" w:cs="Times New Roman" w:hint="eastAsia"/>
                <w:color w:val="auto"/>
                <w:szCs w:val="21"/>
              </w:rPr>
              <w:t>）</w:t>
            </w:r>
          </w:p>
        </w:tc>
        <w:tc>
          <w:tcPr>
            <w:tcW w:w="1983" w:type="pct"/>
            <w:vAlign w:val="center"/>
          </w:tcPr>
          <w:p w14:paraId="46DB86A6" w14:textId="77777777" w:rsidR="005B0FCB" w:rsidRPr="00A964FF" w:rsidRDefault="005B0FCB" w:rsidP="004A3168">
            <w:pPr>
              <w:jc w:val="center"/>
              <w:rPr>
                <w:rFonts w:ascii="Calibri" w:hAnsi="Calibri"/>
                <w:color w:val="auto"/>
                <w:szCs w:val="21"/>
              </w:rPr>
            </w:pPr>
            <w:r w:rsidRPr="00A964FF">
              <w:rPr>
                <w:rFonts w:ascii="Calibri" w:hAnsi="Calibri" w:hint="eastAsia"/>
                <w:color w:val="auto"/>
                <w:szCs w:val="21"/>
              </w:rPr>
              <w:t>3.0</w:t>
            </w:r>
          </w:p>
        </w:tc>
      </w:tr>
      <w:tr w:rsidR="005B0FCB" w:rsidRPr="00A964FF" w14:paraId="29B3B6BB" w14:textId="77777777" w:rsidTr="005D774C">
        <w:trPr>
          <w:trHeight w:val="340"/>
          <w:jc w:val="center"/>
        </w:trPr>
        <w:tc>
          <w:tcPr>
            <w:tcW w:w="1034" w:type="pct"/>
            <w:vAlign w:val="center"/>
          </w:tcPr>
          <w:p w14:paraId="417070CF" w14:textId="77777777" w:rsidR="005B0FCB" w:rsidRPr="00A964FF" w:rsidRDefault="005B0FCB" w:rsidP="003E0795">
            <w:pPr>
              <w:pStyle w:val="a1"/>
              <w:ind w:firstLine="0"/>
              <w:jc w:val="center"/>
              <w:rPr>
                <w:rFonts w:ascii="Calibri" w:hAnsi="Calibri"/>
                <w:color w:val="auto"/>
                <w:szCs w:val="21"/>
              </w:rPr>
            </w:pPr>
            <w:r w:rsidRPr="00A964FF">
              <w:rPr>
                <w:rFonts w:ascii="Calibri" w:hAnsi="Calibri" w:hint="eastAsia"/>
                <w:color w:val="auto"/>
                <w:szCs w:val="21"/>
              </w:rPr>
              <w:t>21</w:t>
            </w:r>
          </w:p>
        </w:tc>
        <w:tc>
          <w:tcPr>
            <w:tcW w:w="1983" w:type="pct"/>
            <w:vAlign w:val="center"/>
          </w:tcPr>
          <w:p w14:paraId="11A493D6" w14:textId="77777777" w:rsidR="005B0FCB" w:rsidRPr="00A964FF" w:rsidRDefault="005B0FCB" w:rsidP="004A3168">
            <w:pPr>
              <w:jc w:val="center"/>
              <w:rPr>
                <w:rFonts w:ascii="Calibri" w:hAnsi="Calibri" w:cs="Times New Roman"/>
                <w:color w:val="auto"/>
                <w:szCs w:val="21"/>
              </w:rPr>
            </w:pPr>
            <w:r w:rsidRPr="00A964FF">
              <w:rPr>
                <w:rFonts w:ascii="Calibri" w:cs="Times New Roman"/>
                <w:color w:val="auto"/>
                <w:szCs w:val="21"/>
              </w:rPr>
              <w:t>细菌总数</w:t>
            </w:r>
            <w:r w:rsidRPr="00A964FF">
              <w:rPr>
                <w:rFonts w:ascii="Calibri" w:cs="Times New Roman" w:hint="eastAsia"/>
                <w:color w:val="auto"/>
                <w:szCs w:val="21"/>
              </w:rPr>
              <w:t>（</w:t>
            </w:r>
            <w:r w:rsidRPr="00A964FF">
              <w:rPr>
                <w:rFonts w:ascii="Calibri" w:cs="Times New Roman"/>
                <w:color w:val="auto"/>
                <w:szCs w:val="21"/>
              </w:rPr>
              <w:t>CFU/mL</w:t>
            </w:r>
            <w:r w:rsidRPr="00A964FF">
              <w:rPr>
                <w:rFonts w:ascii="Calibri" w:cs="Times New Roman" w:hint="eastAsia"/>
                <w:color w:val="auto"/>
                <w:szCs w:val="21"/>
              </w:rPr>
              <w:t>）</w:t>
            </w:r>
          </w:p>
        </w:tc>
        <w:tc>
          <w:tcPr>
            <w:tcW w:w="1983" w:type="pct"/>
            <w:vAlign w:val="center"/>
          </w:tcPr>
          <w:p w14:paraId="71C83C06" w14:textId="77777777" w:rsidR="005B0FCB" w:rsidRPr="00A964FF" w:rsidRDefault="005B0FCB" w:rsidP="004A3168">
            <w:pPr>
              <w:jc w:val="center"/>
              <w:rPr>
                <w:rFonts w:ascii="Calibri" w:hAnsi="Calibri"/>
                <w:color w:val="auto"/>
                <w:szCs w:val="21"/>
              </w:rPr>
            </w:pPr>
            <w:r w:rsidRPr="00A964FF">
              <w:rPr>
                <w:rFonts w:ascii="Calibri" w:hAnsi="Calibri" w:hint="eastAsia"/>
                <w:color w:val="auto"/>
                <w:szCs w:val="21"/>
              </w:rPr>
              <w:t>100</w:t>
            </w:r>
          </w:p>
        </w:tc>
      </w:tr>
      <w:tr w:rsidR="003E36C1" w:rsidRPr="00A964FF" w14:paraId="29CB7A50" w14:textId="77777777" w:rsidTr="005D774C">
        <w:trPr>
          <w:trHeight w:val="340"/>
          <w:jc w:val="center"/>
        </w:trPr>
        <w:tc>
          <w:tcPr>
            <w:tcW w:w="1034" w:type="pct"/>
            <w:vAlign w:val="center"/>
          </w:tcPr>
          <w:p w14:paraId="6E75E3D8" w14:textId="77777777" w:rsidR="003E36C1" w:rsidRPr="00A964FF" w:rsidRDefault="007D6441" w:rsidP="003E0795">
            <w:pPr>
              <w:pStyle w:val="a1"/>
              <w:ind w:firstLine="0"/>
              <w:jc w:val="center"/>
              <w:rPr>
                <w:rFonts w:ascii="Calibri" w:hAnsi="Calibri"/>
                <w:color w:val="auto"/>
                <w:szCs w:val="21"/>
              </w:rPr>
            </w:pPr>
            <w:r>
              <w:rPr>
                <w:rFonts w:ascii="Calibri" w:hAnsi="Calibri"/>
                <w:color w:val="auto"/>
                <w:szCs w:val="21"/>
              </w:rPr>
              <w:t>22</w:t>
            </w:r>
          </w:p>
        </w:tc>
        <w:tc>
          <w:tcPr>
            <w:tcW w:w="1983" w:type="pct"/>
            <w:vAlign w:val="center"/>
          </w:tcPr>
          <w:p w14:paraId="3BB2D359" w14:textId="77777777" w:rsidR="003E36C1" w:rsidRPr="00A964FF" w:rsidRDefault="0071576B" w:rsidP="00DB1CA5">
            <w:pPr>
              <w:jc w:val="center"/>
              <w:textAlignment w:val="center"/>
              <w:rPr>
                <w:rFonts w:ascii="Calibri" w:hAnsi="Calibri" w:cs="Times New Roman"/>
                <w:color w:val="auto"/>
                <w:szCs w:val="21"/>
              </w:rPr>
            </w:pPr>
            <w:r>
              <w:rPr>
                <w:rFonts w:ascii="Calibri" w:hAnsi="Calibri" w:cs="Times New Roman" w:hint="eastAsia"/>
                <w:color w:val="auto"/>
                <w:szCs w:val="21"/>
              </w:rPr>
              <w:t>石油类</w:t>
            </w:r>
          </w:p>
        </w:tc>
        <w:tc>
          <w:tcPr>
            <w:tcW w:w="1983" w:type="pct"/>
            <w:vAlign w:val="center"/>
          </w:tcPr>
          <w:p w14:paraId="5662DD2A" w14:textId="77777777" w:rsidR="003E36C1" w:rsidRPr="00A964FF" w:rsidRDefault="00F0532D" w:rsidP="00DB1CA5">
            <w:pPr>
              <w:jc w:val="center"/>
              <w:rPr>
                <w:rFonts w:ascii="Calibri" w:hAnsi="Calibri"/>
                <w:color w:val="auto"/>
                <w:szCs w:val="21"/>
              </w:rPr>
            </w:pPr>
            <w:r w:rsidRPr="00A964FF">
              <w:rPr>
                <w:rFonts w:ascii="Calibri" w:hAnsi="Calibri" w:hint="eastAsia"/>
                <w:color w:val="auto"/>
                <w:szCs w:val="21"/>
              </w:rPr>
              <w:t>0.05</w:t>
            </w:r>
          </w:p>
        </w:tc>
      </w:tr>
    </w:tbl>
    <w:p w14:paraId="7E2011AC" w14:textId="77777777" w:rsidR="00F0532D" w:rsidRPr="00A964FF" w:rsidRDefault="00F0532D" w:rsidP="00336080">
      <w:pPr>
        <w:adjustRightInd w:val="0"/>
        <w:snapToGrid w:val="0"/>
        <w:spacing w:line="500" w:lineRule="exact"/>
        <w:ind w:firstLineChars="200" w:firstLine="420"/>
        <w:rPr>
          <w:rFonts w:ascii="Calibri"/>
          <w:bCs/>
          <w:color w:val="auto"/>
          <w:szCs w:val="21"/>
        </w:rPr>
      </w:pPr>
      <w:r w:rsidRPr="00A964FF">
        <w:rPr>
          <w:rFonts w:ascii="Calibri" w:hint="eastAsia"/>
          <w:bCs/>
          <w:color w:val="auto"/>
          <w:szCs w:val="21"/>
        </w:rPr>
        <w:lastRenderedPageBreak/>
        <w:t>备注：石油类</w:t>
      </w:r>
      <w:r w:rsidRPr="00A964FF">
        <w:rPr>
          <w:rFonts w:ascii="Calibri" w:hAnsi="Calibri" w:hint="eastAsia"/>
          <w:color w:val="auto"/>
          <w:szCs w:val="21"/>
        </w:rPr>
        <w:t>参考</w:t>
      </w:r>
      <w:r w:rsidRPr="00A964FF">
        <w:rPr>
          <w:rFonts w:ascii="Calibri"/>
          <w:color w:val="auto"/>
          <w:szCs w:val="21"/>
        </w:rPr>
        <w:t>《地表水环境质量标准》（</w:t>
      </w:r>
      <w:r w:rsidRPr="00A964FF">
        <w:rPr>
          <w:rFonts w:ascii="Calibri" w:hAnsi="Calibri"/>
          <w:color w:val="auto"/>
          <w:szCs w:val="21"/>
        </w:rPr>
        <w:t>GB3838-2002</w:t>
      </w:r>
      <w:r w:rsidRPr="00A964FF">
        <w:rPr>
          <w:rFonts w:ascii="Calibri"/>
          <w:color w:val="auto"/>
          <w:szCs w:val="21"/>
        </w:rPr>
        <w:t>）</w:t>
      </w:r>
      <w:r w:rsidRPr="00A964FF">
        <w:rPr>
          <w:rFonts w:ascii="Calibri" w:hAnsi="Calibri" w:hint="eastAsia"/>
          <w:color w:val="auto"/>
          <w:szCs w:val="21"/>
        </w:rPr>
        <w:t>III</w:t>
      </w:r>
      <w:r w:rsidRPr="00A964FF">
        <w:rPr>
          <w:rFonts w:ascii="Calibri"/>
          <w:color w:val="auto"/>
          <w:szCs w:val="21"/>
        </w:rPr>
        <w:t>类标准</w:t>
      </w:r>
    </w:p>
    <w:p w14:paraId="2F52DFAF" w14:textId="77777777" w:rsidR="0055605A" w:rsidRPr="00A964FF" w:rsidRDefault="0055605A" w:rsidP="0055605A">
      <w:pPr>
        <w:pStyle w:val="a1"/>
        <w:spacing w:line="520" w:lineRule="exact"/>
        <w:ind w:firstLineChars="200" w:firstLine="482"/>
        <w:rPr>
          <w:rFonts w:ascii="Calibri" w:hAnsi="Calibri"/>
          <w:b/>
          <w:color w:val="auto"/>
          <w:sz w:val="24"/>
        </w:rPr>
      </w:pPr>
      <w:r w:rsidRPr="00A964FF">
        <w:rPr>
          <w:rFonts w:ascii="Calibri" w:hAnsi="Calibri" w:hint="eastAsia"/>
          <w:b/>
          <w:color w:val="auto"/>
          <w:sz w:val="24"/>
        </w:rPr>
        <w:t>6</w:t>
      </w:r>
      <w:r w:rsidRPr="00A964FF">
        <w:rPr>
          <w:rFonts w:ascii="Calibri" w:hAnsi="Calibri" w:hint="eastAsia"/>
          <w:b/>
          <w:color w:val="auto"/>
          <w:sz w:val="24"/>
        </w:rPr>
        <w:t>、评价方法</w:t>
      </w:r>
    </w:p>
    <w:p w14:paraId="195BFB24" w14:textId="77777777" w:rsidR="0055605A" w:rsidRPr="00A964FF" w:rsidRDefault="0055605A" w:rsidP="0055605A">
      <w:pPr>
        <w:adjustRightInd w:val="0"/>
        <w:snapToGrid w:val="0"/>
        <w:spacing w:line="500" w:lineRule="exact"/>
        <w:ind w:firstLineChars="200" w:firstLine="480"/>
        <w:rPr>
          <w:rFonts w:ascii="Calibri"/>
          <w:bCs/>
          <w:color w:val="auto"/>
          <w:sz w:val="24"/>
        </w:rPr>
      </w:pPr>
      <w:r w:rsidRPr="00A964FF">
        <w:rPr>
          <w:rFonts w:ascii="Calibri"/>
          <w:bCs/>
          <w:color w:val="auto"/>
          <w:sz w:val="24"/>
        </w:rPr>
        <w:t>根据检测结果，</w:t>
      </w:r>
      <w:r w:rsidRPr="00A964FF">
        <w:rPr>
          <w:rFonts w:ascii="Calibri" w:hint="eastAsia"/>
          <w:bCs/>
          <w:color w:val="auto"/>
          <w:sz w:val="24"/>
        </w:rPr>
        <w:t>采用单项标准指数法对评价范围内的地下水质量进行评价。</w:t>
      </w:r>
      <w:r w:rsidRPr="00A964FF">
        <w:rPr>
          <w:rFonts w:ascii="Calibri"/>
          <w:bCs/>
          <w:color w:val="auto"/>
          <w:sz w:val="24"/>
        </w:rPr>
        <w:t>计算公式如下：</w:t>
      </w:r>
    </w:p>
    <w:p w14:paraId="78BE6140" w14:textId="77777777" w:rsidR="0055605A" w:rsidRPr="00A964FF" w:rsidRDefault="0055605A" w:rsidP="0055605A">
      <w:pPr>
        <w:adjustRightInd w:val="0"/>
        <w:snapToGrid w:val="0"/>
        <w:spacing w:line="500" w:lineRule="exact"/>
        <w:ind w:firstLineChars="200" w:firstLine="480"/>
        <w:rPr>
          <w:rFonts w:ascii="Calibri"/>
          <w:bCs/>
          <w:color w:val="auto"/>
          <w:sz w:val="24"/>
        </w:rPr>
      </w:pPr>
      <w:r w:rsidRPr="00A964FF">
        <w:rPr>
          <w:rFonts w:ascii="Calibri"/>
          <w:bCs/>
          <w:color w:val="auto"/>
          <w:sz w:val="24"/>
        </w:rPr>
        <w:t>（</w:t>
      </w:r>
      <w:r w:rsidRPr="00A964FF">
        <w:rPr>
          <w:rFonts w:ascii="Calibri"/>
          <w:bCs/>
          <w:color w:val="auto"/>
          <w:sz w:val="24"/>
        </w:rPr>
        <w:t>1</w:t>
      </w:r>
      <w:r w:rsidRPr="00A964FF">
        <w:rPr>
          <w:rFonts w:ascii="Calibri"/>
          <w:bCs/>
          <w:color w:val="auto"/>
          <w:sz w:val="24"/>
        </w:rPr>
        <w:t>）一般项目单项标准指数计算公式：</w:t>
      </w:r>
    </w:p>
    <w:p w14:paraId="3AA5D7E6" w14:textId="77777777" w:rsidR="0055605A" w:rsidRPr="00A964FF" w:rsidRDefault="00217891" w:rsidP="0055605A">
      <w:pPr>
        <w:snapToGrid w:val="0"/>
        <w:spacing w:line="360" w:lineRule="auto"/>
        <w:ind w:firstLineChars="700" w:firstLine="1680"/>
        <w:rPr>
          <w:rFonts w:ascii="Calibri" w:hAnsi="Calibri"/>
          <w:bCs/>
          <w:color w:val="auto"/>
          <w:sz w:val="24"/>
        </w:rPr>
      </w:pPr>
      <w:r>
        <w:rPr>
          <w:rFonts w:ascii="Calibri" w:hAnsi="Calibri"/>
          <w:bCs/>
          <w:noProof/>
          <w:color w:val="auto"/>
          <w:sz w:val="24"/>
        </w:rPr>
        <w:object w:dxaOrig="0" w:dyaOrig="0" w14:anchorId="4D622103">
          <v:shape id="_x0000_s13108" type="#_x0000_t75" style="position:absolute;left:0;text-align:left;margin-left:78.75pt;margin-top:1pt;width:45.75pt;height:36pt;z-index:251444736" o:allowoverlap="f">
            <v:imagedata r:id="rId31" o:title=""/>
            <w10:wrap type="square"/>
          </v:shape>
          <o:OLEObject Type="Embed" ProgID="Equation.3" ShapeID="_x0000_s13108" DrawAspect="Content" ObjectID="_1725951979" r:id="rId51"/>
        </w:object>
      </w:r>
    </w:p>
    <w:p w14:paraId="075871F1" w14:textId="77777777" w:rsidR="0055605A" w:rsidRPr="00A964FF" w:rsidRDefault="0055605A" w:rsidP="0055605A">
      <w:pPr>
        <w:snapToGrid w:val="0"/>
        <w:spacing w:line="520" w:lineRule="exact"/>
        <w:ind w:firstLineChars="300" w:firstLine="720"/>
        <w:rPr>
          <w:rFonts w:ascii="Calibri" w:hAnsi="Calibri"/>
          <w:bCs/>
          <w:color w:val="auto"/>
          <w:sz w:val="24"/>
        </w:rPr>
      </w:pPr>
      <w:r w:rsidRPr="00A964FF">
        <w:rPr>
          <w:rFonts w:ascii="Calibri"/>
          <w:bCs/>
          <w:color w:val="auto"/>
          <w:sz w:val="24"/>
        </w:rPr>
        <w:t>式中：</w:t>
      </w:r>
      <w:r w:rsidRPr="00A964FF">
        <w:rPr>
          <w:rFonts w:ascii="Calibri" w:hAnsi="Calibri"/>
          <w:bCs/>
          <w:color w:val="auto"/>
          <w:position w:val="-14"/>
          <w:sz w:val="24"/>
        </w:rPr>
        <w:object w:dxaOrig="260" w:dyaOrig="380" w14:anchorId="48995D1C">
          <v:shape id="_x0000_i1041" type="#_x0000_t75" style="width:10.8pt;height:17.4pt" o:ole="">
            <v:imagedata r:id="rId33" o:title=""/>
          </v:shape>
          <o:OLEObject Type="Embed" ProgID="Equation.3" ShapeID="_x0000_i1041" DrawAspect="Content" ObjectID="_1725951963" r:id="rId52"/>
        </w:object>
      </w:r>
      <w:r w:rsidRPr="00A964FF">
        <w:rPr>
          <w:rFonts w:ascii="Calibri" w:hAnsi="Calibri"/>
          <w:bCs/>
          <w:color w:val="auto"/>
          <w:sz w:val="24"/>
        </w:rPr>
        <w:t>——</w:t>
      </w:r>
      <w:r w:rsidRPr="00A964FF">
        <w:rPr>
          <w:rFonts w:ascii="Calibri"/>
          <w:bCs/>
          <w:color w:val="auto"/>
          <w:sz w:val="24"/>
        </w:rPr>
        <w:t>标准指数；</w:t>
      </w:r>
    </w:p>
    <w:p w14:paraId="6717E6CB" w14:textId="77777777" w:rsidR="0055605A" w:rsidRPr="00A964FF" w:rsidRDefault="0055605A" w:rsidP="0055605A">
      <w:pPr>
        <w:tabs>
          <w:tab w:val="num" w:pos="720"/>
        </w:tabs>
        <w:snapToGrid w:val="0"/>
        <w:spacing w:line="520" w:lineRule="exact"/>
        <w:ind w:firstLineChars="600" w:firstLine="1440"/>
        <w:rPr>
          <w:rFonts w:ascii="Calibri" w:hAnsi="Calibri"/>
          <w:bCs/>
          <w:color w:val="auto"/>
          <w:sz w:val="24"/>
        </w:rPr>
      </w:pPr>
      <w:r w:rsidRPr="00A964FF">
        <w:rPr>
          <w:rFonts w:ascii="Calibri" w:hAnsi="Calibri"/>
          <w:bCs/>
          <w:color w:val="auto"/>
          <w:position w:val="-14"/>
          <w:sz w:val="24"/>
        </w:rPr>
        <w:object w:dxaOrig="260" w:dyaOrig="380" w14:anchorId="3E95E007">
          <v:shape id="_x0000_i1042" type="#_x0000_t75" style="width:10.8pt;height:17.4pt" o:ole="">
            <v:imagedata r:id="rId35" o:title=""/>
          </v:shape>
          <o:OLEObject Type="Embed" ProgID="Equation.3" ShapeID="_x0000_i1042" DrawAspect="Content" ObjectID="_1725951964" r:id="rId53"/>
        </w:object>
      </w:r>
      <w:r w:rsidRPr="00A964FF">
        <w:rPr>
          <w:rFonts w:ascii="Calibri" w:hAnsi="Calibri"/>
          <w:bCs/>
          <w:color w:val="auto"/>
          <w:sz w:val="24"/>
        </w:rPr>
        <w:t>——</w:t>
      </w:r>
      <w:r w:rsidRPr="00A964FF">
        <w:rPr>
          <w:rFonts w:ascii="Calibri"/>
          <w:bCs/>
          <w:color w:val="auto"/>
          <w:sz w:val="24"/>
        </w:rPr>
        <w:t>评价因子</w:t>
      </w:r>
      <w:r w:rsidRPr="00A964FF">
        <w:rPr>
          <w:rFonts w:ascii="Calibri" w:hAnsi="Calibri"/>
          <w:bCs/>
          <w:i/>
          <w:color w:val="auto"/>
          <w:sz w:val="24"/>
        </w:rPr>
        <w:t>i</w:t>
      </w:r>
      <w:r w:rsidRPr="00A964FF">
        <w:rPr>
          <w:rFonts w:ascii="Calibri"/>
          <w:bCs/>
          <w:color w:val="auto"/>
          <w:sz w:val="24"/>
        </w:rPr>
        <w:t>在</w:t>
      </w:r>
      <w:r w:rsidRPr="00A964FF">
        <w:rPr>
          <w:rFonts w:ascii="Calibri" w:hAnsi="Calibri"/>
          <w:bCs/>
          <w:i/>
          <w:color w:val="auto"/>
          <w:sz w:val="24"/>
        </w:rPr>
        <w:t>j</w:t>
      </w:r>
      <w:r w:rsidRPr="00A964FF">
        <w:rPr>
          <w:rFonts w:ascii="Calibri"/>
          <w:bCs/>
          <w:color w:val="auto"/>
          <w:sz w:val="24"/>
        </w:rPr>
        <w:t>点的实测统计代表值，</w:t>
      </w:r>
      <w:r w:rsidR="00CC55BB" w:rsidRPr="00A964FF">
        <w:rPr>
          <w:rFonts w:ascii="Calibri" w:hAnsi="Calibri"/>
          <w:bCs/>
          <w:color w:val="auto"/>
          <w:sz w:val="24"/>
        </w:rPr>
        <w:t>mg/L</w:t>
      </w:r>
      <w:r w:rsidRPr="00A964FF">
        <w:rPr>
          <w:rFonts w:ascii="Calibri"/>
          <w:bCs/>
          <w:color w:val="auto"/>
          <w:sz w:val="24"/>
        </w:rPr>
        <w:t>；</w:t>
      </w:r>
    </w:p>
    <w:p w14:paraId="1AFDD516" w14:textId="77777777" w:rsidR="0055605A" w:rsidRPr="00A964FF" w:rsidRDefault="0055605A" w:rsidP="0055605A">
      <w:pPr>
        <w:tabs>
          <w:tab w:val="num" w:pos="720"/>
        </w:tabs>
        <w:spacing w:line="520" w:lineRule="exact"/>
        <w:ind w:firstLineChars="600" w:firstLine="1440"/>
        <w:rPr>
          <w:rFonts w:ascii="Calibri" w:hAnsi="Calibri"/>
          <w:bCs/>
          <w:color w:val="auto"/>
          <w:sz w:val="24"/>
        </w:rPr>
      </w:pPr>
      <w:r w:rsidRPr="00A964FF">
        <w:rPr>
          <w:rFonts w:ascii="Calibri" w:hAnsi="Calibri"/>
          <w:bCs/>
          <w:color w:val="auto"/>
          <w:position w:val="-12"/>
          <w:sz w:val="24"/>
        </w:rPr>
        <w:object w:dxaOrig="279" w:dyaOrig="360" w14:anchorId="16C032C1">
          <v:shape id="_x0000_i1043" type="#_x0000_t75" style="width:14.4pt;height:18pt" o:ole="">
            <v:imagedata r:id="rId37" o:title=""/>
          </v:shape>
          <o:OLEObject Type="Embed" ProgID="Equation.3" ShapeID="_x0000_i1043" DrawAspect="Content" ObjectID="_1725951965" r:id="rId54"/>
        </w:object>
      </w:r>
      <w:r w:rsidRPr="00A964FF">
        <w:rPr>
          <w:rFonts w:ascii="Calibri" w:hAnsi="Calibri"/>
          <w:bCs/>
          <w:color w:val="auto"/>
          <w:sz w:val="24"/>
        </w:rPr>
        <w:t>——</w:t>
      </w:r>
      <w:r w:rsidRPr="00A964FF">
        <w:rPr>
          <w:rFonts w:ascii="Calibri"/>
          <w:bCs/>
          <w:color w:val="auto"/>
          <w:sz w:val="24"/>
        </w:rPr>
        <w:t>评价因子</w:t>
      </w:r>
      <w:r w:rsidRPr="00A964FF">
        <w:rPr>
          <w:rFonts w:ascii="Calibri" w:hAnsi="Calibri"/>
          <w:bCs/>
          <w:i/>
          <w:color w:val="auto"/>
          <w:sz w:val="24"/>
        </w:rPr>
        <w:t>i</w:t>
      </w:r>
      <w:r w:rsidRPr="00A964FF">
        <w:rPr>
          <w:rFonts w:ascii="Calibri"/>
          <w:bCs/>
          <w:color w:val="auto"/>
          <w:sz w:val="24"/>
        </w:rPr>
        <w:t>的评价标准限值，</w:t>
      </w:r>
      <w:r w:rsidR="00CC55BB" w:rsidRPr="00A964FF">
        <w:rPr>
          <w:rFonts w:ascii="Calibri" w:hAnsi="Calibri"/>
          <w:bCs/>
          <w:color w:val="auto"/>
          <w:sz w:val="24"/>
        </w:rPr>
        <w:t>mg/L</w:t>
      </w:r>
      <w:r w:rsidRPr="00A964FF">
        <w:rPr>
          <w:rFonts w:ascii="Calibri"/>
          <w:bCs/>
          <w:color w:val="auto"/>
          <w:sz w:val="24"/>
        </w:rPr>
        <w:t>。</w:t>
      </w:r>
    </w:p>
    <w:p w14:paraId="16E47095" w14:textId="77777777" w:rsidR="0055605A" w:rsidRPr="00A964FF" w:rsidRDefault="0055605A" w:rsidP="0055605A">
      <w:pPr>
        <w:tabs>
          <w:tab w:val="num" w:pos="720"/>
        </w:tabs>
        <w:spacing w:line="520" w:lineRule="exact"/>
        <w:ind w:leftChars="171" w:left="359" w:firstLineChars="100" w:firstLine="240"/>
        <w:rPr>
          <w:rFonts w:ascii="Calibri" w:hAnsi="Calibri"/>
          <w:bCs/>
          <w:color w:val="auto"/>
          <w:sz w:val="24"/>
        </w:rPr>
      </w:pPr>
      <w:r w:rsidRPr="00A964FF">
        <w:rPr>
          <w:rFonts w:ascii="Calibri"/>
          <w:bCs/>
          <w:color w:val="auto"/>
          <w:sz w:val="24"/>
        </w:rPr>
        <w:t>（</w:t>
      </w:r>
      <w:r w:rsidRPr="00A964FF">
        <w:rPr>
          <w:rFonts w:ascii="Calibri" w:hAnsi="Calibri"/>
          <w:bCs/>
          <w:color w:val="auto"/>
          <w:sz w:val="24"/>
        </w:rPr>
        <w:t>2</w:t>
      </w:r>
      <w:r w:rsidRPr="00A964FF">
        <w:rPr>
          <w:rFonts w:ascii="Calibri"/>
          <w:bCs/>
          <w:color w:val="auto"/>
          <w:sz w:val="24"/>
        </w:rPr>
        <w:t>）</w:t>
      </w:r>
      <w:r w:rsidRPr="00A964FF">
        <w:rPr>
          <w:rFonts w:ascii="Calibri" w:hAnsi="Calibri"/>
          <w:bCs/>
          <w:i/>
          <w:color w:val="auto"/>
          <w:sz w:val="24"/>
        </w:rPr>
        <w:t>pH</w:t>
      </w:r>
      <w:r w:rsidRPr="00A964FF">
        <w:rPr>
          <w:rFonts w:ascii="Calibri"/>
          <w:bCs/>
          <w:color w:val="auto"/>
          <w:sz w:val="24"/>
        </w:rPr>
        <w:t>的标准指数为：</w:t>
      </w:r>
    </w:p>
    <w:p w14:paraId="54BFB176" w14:textId="77777777" w:rsidR="0055605A" w:rsidRPr="00A964FF" w:rsidRDefault="00217891" w:rsidP="0055605A">
      <w:pPr>
        <w:pStyle w:val="afa"/>
        <w:snapToGrid w:val="0"/>
        <w:spacing w:line="520" w:lineRule="exact"/>
        <w:ind w:firstLineChars="200" w:firstLine="480"/>
        <w:rPr>
          <w:bCs/>
          <w:color w:val="auto"/>
          <w:sz w:val="24"/>
        </w:rPr>
      </w:pPr>
      <w:r>
        <w:rPr>
          <w:rFonts w:ascii="Calibri"/>
          <w:color w:val="auto"/>
          <w:sz w:val="24"/>
        </w:rPr>
        <w:object w:dxaOrig="0" w:dyaOrig="0" w14:anchorId="6667D128">
          <v:shape id="_x0000_s13106" type="#_x0000_t75" style="position:absolute;left:0;text-align:left;margin-left:121.5pt;margin-top:.5pt;width:97.25pt;height:36pt;z-index:251442688">
            <v:imagedata r:id="rId39" o:title=""/>
            <w10:wrap type="square"/>
          </v:shape>
          <o:OLEObject Type="Embed" ProgID="Equation.3" ShapeID="_x0000_s13106" DrawAspect="Content" ObjectID="_1725951980" r:id="rId55"/>
        </w:object>
      </w:r>
      <w:r w:rsidR="0055605A" w:rsidRPr="00A964FF">
        <w:rPr>
          <w:rFonts w:ascii="Calibri"/>
          <w:color w:val="auto"/>
          <w:sz w:val="24"/>
        </w:rPr>
        <w:t>当</w:t>
      </w:r>
      <w:r w:rsidR="0055605A" w:rsidRPr="00A964FF">
        <w:rPr>
          <w:rFonts w:ascii="Calibri"/>
          <w:color w:val="auto"/>
          <w:sz w:val="24"/>
        </w:rPr>
        <w:t>PH</w:t>
      </w:r>
      <w:r w:rsidR="0055605A" w:rsidRPr="00A964FF">
        <w:rPr>
          <w:rFonts w:ascii="Calibri"/>
          <w:color w:val="auto"/>
          <w:sz w:val="24"/>
          <w:vertAlign w:val="subscript"/>
        </w:rPr>
        <w:t>j</w:t>
      </w:r>
      <w:r w:rsidR="0055605A" w:rsidRPr="00A964FF">
        <w:rPr>
          <w:rFonts w:ascii="Calibri"/>
          <w:color w:val="auto"/>
          <w:sz w:val="24"/>
        </w:rPr>
        <w:t>≤</w:t>
      </w:r>
      <w:r w:rsidR="0055605A" w:rsidRPr="00A964FF">
        <w:rPr>
          <w:rFonts w:ascii="Calibri"/>
          <w:color w:val="auto"/>
          <w:sz w:val="24"/>
        </w:rPr>
        <w:t xml:space="preserve">7.0  </w:t>
      </w:r>
      <w:r w:rsidR="0055605A" w:rsidRPr="00A964FF">
        <w:rPr>
          <w:bCs/>
          <w:color w:val="auto"/>
          <w:sz w:val="24"/>
        </w:rPr>
        <w:t xml:space="preserve">    </w:t>
      </w:r>
    </w:p>
    <w:p w14:paraId="5907D195" w14:textId="77777777" w:rsidR="0055605A" w:rsidRPr="00A964FF" w:rsidRDefault="00217891" w:rsidP="0055605A">
      <w:pPr>
        <w:tabs>
          <w:tab w:val="num" w:pos="720"/>
        </w:tabs>
        <w:spacing w:line="520" w:lineRule="exact"/>
        <w:ind w:left="360"/>
        <w:rPr>
          <w:bCs/>
          <w:color w:val="auto"/>
          <w:sz w:val="24"/>
        </w:rPr>
      </w:pPr>
      <w:r>
        <w:rPr>
          <w:bCs/>
          <w:noProof/>
          <w:color w:val="auto"/>
          <w:position w:val="-30"/>
          <w:sz w:val="24"/>
        </w:rPr>
        <w:object w:dxaOrig="0" w:dyaOrig="0" w14:anchorId="37CFCA77">
          <v:shape id="_x0000_s13107" type="#_x0000_t75" style="position:absolute;left:0;text-align:left;margin-left:120.75pt;margin-top:18.6pt;width:98.1pt;height:36pt;z-index:251443712" wrapcoords="9406 2250 523 7650 348 12600 2265 14400 8710 16650 8535 18450 12542 19800 14632 19800 17071 19800 21077 18000 20903 16650 21600 11250 20729 10350 17768 9000 20381 6300 20032 2250 9406 2250">
            <v:imagedata r:id="rId41" o:title=""/>
            <w10:wrap type="tight"/>
          </v:shape>
          <o:OLEObject Type="Embed" ProgID="Equation.3" ShapeID="_x0000_s13107" DrawAspect="Content" ObjectID="_1725951981" r:id="rId56"/>
        </w:object>
      </w:r>
      <w:r w:rsidR="0055605A" w:rsidRPr="00A964FF">
        <w:rPr>
          <w:bCs/>
          <w:color w:val="auto"/>
          <w:sz w:val="24"/>
        </w:rPr>
        <w:t xml:space="preserve">     </w:t>
      </w:r>
    </w:p>
    <w:p w14:paraId="1C00398B" w14:textId="77777777" w:rsidR="0055605A" w:rsidRPr="00A964FF" w:rsidRDefault="0055605A" w:rsidP="0055605A">
      <w:pPr>
        <w:tabs>
          <w:tab w:val="num" w:pos="720"/>
        </w:tabs>
        <w:spacing w:line="520" w:lineRule="exact"/>
        <w:ind w:leftChars="171" w:left="359" w:firstLineChars="250" w:firstLine="600"/>
        <w:rPr>
          <w:bCs/>
          <w:color w:val="auto"/>
          <w:sz w:val="24"/>
        </w:rPr>
      </w:pPr>
      <w:r w:rsidRPr="00A964FF">
        <w:rPr>
          <w:bCs/>
          <w:color w:val="auto"/>
          <w:sz w:val="24"/>
        </w:rPr>
        <w:t>当</w:t>
      </w:r>
      <w:r w:rsidRPr="00A964FF">
        <w:rPr>
          <w:bCs/>
          <w:i/>
          <w:color w:val="auto"/>
          <w:sz w:val="24"/>
        </w:rPr>
        <w:t>PH</w:t>
      </w:r>
      <w:r w:rsidRPr="00A964FF">
        <w:rPr>
          <w:bCs/>
          <w:i/>
          <w:color w:val="auto"/>
          <w:sz w:val="24"/>
          <w:vertAlign w:val="subscript"/>
        </w:rPr>
        <w:t>j</w:t>
      </w:r>
      <w:r w:rsidRPr="00A964FF">
        <w:rPr>
          <w:bCs/>
          <w:color w:val="auto"/>
          <w:sz w:val="24"/>
        </w:rPr>
        <w:t>≥</w:t>
      </w:r>
      <w:r w:rsidRPr="00A964FF">
        <w:rPr>
          <w:rFonts w:ascii="Calibri" w:hAnsi="Calibri"/>
          <w:bCs/>
          <w:color w:val="auto"/>
          <w:sz w:val="24"/>
        </w:rPr>
        <w:t>7.0</w:t>
      </w:r>
      <w:r w:rsidRPr="00A964FF">
        <w:rPr>
          <w:bCs/>
          <w:color w:val="auto"/>
          <w:sz w:val="24"/>
        </w:rPr>
        <w:t xml:space="preserve">   </w:t>
      </w:r>
    </w:p>
    <w:p w14:paraId="4FAC3900" w14:textId="77777777" w:rsidR="0055605A" w:rsidRPr="00A964FF" w:rsidRDefault="0055605A" w:rsidP="0055605A">
      <w:pPr>
        <w:tabs>
          <w:tab w:val="num" w:pos="720"/>
        </w:tabs>
        <w:spacing w:line="520" w:lineRule="exact"/>
        <w:ind w:leftChars="171" w:left="359" w:firstLineChars="250" w:firstLine="600"/>
        <w:rPr>
          <w:bCs/>
          <w:color w:val="auto"/>
          <w:sz w:val="24"/>
        </w:rPr>
      </w:pPr>
      <w:r w:rsidRPr="00A964FF">
        <w:rPr>
          <w:bCs/>
          <w:color w:val="auto"/>
          <w:sz w:val="24"/>
        </w:rPr>
        <w:t>式中：</w:t>
      </w:r>
      <w:r w:rsidRPr="00A964FF">
        <w:rPr>
          <w:bCs/>
          <w:color w:val="auto"/>
          <w:position w:val="-18"/>
          <w:sz w:val="24"/>
        </w:rPr>
        <w:object w:dxaOrig="560" w:dyaOrig="420" w14:anchorId="39971664">
          <v:shape id="_x0000_i1046" type="#_x0000_t75" style="width:25.8pt;height:21.6pt" o:ole="">
            <v:imagedata r:id="rId43" o:title=""/>
          </v:shape>
          <o:OLEObject Type="Embed" ProgID="Equation.3" ShapeID="_x0000_i1046" DrawAspect="Content" ObjectID="_1725951966" r:id="rId57"/>
        </w:object>
      </w:r>
      <w:r w:rsidRPr="00A964FF">
        <w:rPr>
          <w:rFonts w:hint="eastAsia"/>
          <w:bCs/>
          <w:color w:val="auto"/>
          <w:sz w:val="24"/>
        </w:rPr>
        <w:t>——</w:t>
      </w:r>
      <w:r w:rsidRPr="00A964FF">
        <w:rPr>
          <w:rFonts w:hint="eastAsia"/>
          <w:bCs/>
          <w:color w:val="auto"/>
          <w:sz w:val="24"/>
        </w:rPr>
        <w:t>pH</w:t>
      </w:r>
      <w:r w:rsidRPr="00A964FF">
        <w:rPr>
          <w:rFonts w:hint="eastAsia"/>
          <w:bCs/>
          <w:color w:val="auto"/>
          <w:sz w:val="24"/>
        </w:rPr>
        <w:t>的标准指数；</w:t>
      </w:r>
    </w:p>
    <w:p w14:paraId="1D1394FC" w14:textId="77777777" w:rsidR="0055605A" w:rsidRPr="00A964FF" w:rsidRDefault="0055605A" w:rsidP="0055605A">
      <w:pPr>
        <w:tabs>
          <w:tab w:val="num" w:pos="720"/>
        </w:tabs>
        <w:spacing w:line="520" w:lineRule="exact"/>
        <w:ind w:firstLineChars="700" w:firstLine="1680"/>
        <w:rPr>
          <w:bCs/>
          <w:color w:val="auto"/>
          <w:sz w:val="24"/>
        </w:rPr>
      </w:pPr>
      <w:r w:rsidRPr="00A964FF">
        <w:rPr>
          <w:bCs/>
          <w:color w:val="auto"/>
          <w:position w:val="-14"/>
          <w:sz w:val="24"/>
        </w:rPr>
        <w:object w:dxaOrig="499" w:dyaOrig="380" w14:anchorId="7442C807">
          <v:shape id="_x0000_i1047" type="#_x0000_t75" style="width:24.6pt;height:17.4pt" o:ole="">
            <v:imagedata r:id="rId45" o:title=""/>
          </v:shape>
          <o:OLEObject Type="Embed" ProgID="Equation.3" ShapeID="_x0000_i1047" DrawAspect="Content" ObjectID="_1725951967" r:id="rId58"/>
        </w:object>
      </w:r>
      <w:r w:rsidRPr="00A964FF">
        <w:rPr>
          <w:rFonts w:hint="eastAsia"/>
          <w:bCs/>
          <w:color w:val="auto"/>
          <w:sz w:val="24"/>
        </w:rPr>
        <w:t>——</w:t>
      </w:r>
      <w:r w:rsidRPr="00A964FF">
        <w:rPr>
          <w:bCs/>
          <w:i/>
          <w:color w:val="auto"/>
          <w:sz w:val="24"/>
        </w:rPr>
        <w:t>j</w:t>
      </w:r>
      <w:r w:rsidRPr="00A964FF">
        <w:rPr>
          <w:bCs/>
          <w:color w:val="auto"/>
          <w:sz w:val="24"/>
        </w:rPr>
        <w:t>点的</w:t>
      </w:r>
      <w:r w:rsidRPr="00A964FF">
        <w:rPr>
          <w:rFonts w:hint="eastAsia"/>
          <w:bCs/>
          <w:i/>
          <w:color w:val="auto"/>
          <w:sz w:val="24"/>
        </w:rPr>
        <w:t>p</w:t>
      </w:r>
      <w:r w:rsidRPr="00A964FF">
        <w:rPr>
          <w:bCs/>
          <w:i/>
          <w:color w:val="auto"/>
          <w:sz w:val="24"/>
        </w:rPr>
        <w:t>H</w:t>
      </w:r>
      <w:r w:rsidRPr="00A964FF">
        <w:rPr>
          <w:bCs/>
          <w:color w:val="auto"/>
          <w:sz w:val="24"/>
        </w:rPr>
        <w:t>值；</w:t>
      </w:r>
    </w:p>
    <w:p w14:paraId="1347552D" w14:textId="77777777" w:rsidR="0055605A" w:rsidRPr="00A964FF" w:rsidRDefault="0055605A" w:rsidP="0055605A">
      <w:pPr>
        <w:tabs>
          <w:tab w:val="num" w:pos="720"/>
          <w:tab w:val="num" w:pos="1080"/>
        </w:tabs>
        <w:spacing w:line="520" w:lineRule="exact"/>
        <w:ind w:leftChars="343" w:left="720" w:firstLineChars="400" w:firstLine="960"/>
        <w:rPr>
          <w:bCs/>
          <w:color w:val="auto"/>
          <w:sz w:val="24"/>
        </w:rPr>
      </w:pPr>
      <w:r w:rsidRPr="00A964FF">
        <w:rPr>
          <w:bCs/>
          <w:color w:val="auto"/>
          <w:position w:val="-12"/>
          <w:sz w:val="24"/>
        </w:rPr>
        <w:object w:dxaOrig="580" w:dyaOrig="360" w14:anchorId="41009C3E">
          <v:shape id="_x0000_i1048" type="#_x0000_t75" style="width:25.8pt;height:18pt" o:ole="">
            <v:imagedata r:id="rId47" o:title=""/>
          </v:shape>
          <o:OLEObject Type="Embed" ProgID="Equation.3" ShapeID="_x0000_i1048" DrawAspect="Content" ObjectID="_1725951968" r:id="rId59"/>
        </w:object>
      </w:r>
      <w:r w:rsidRPr="00A964FF">
        <w:rPr>
          <w:rFonts w:hint="eastAsia"/>
          <w:bCs/>
          <w:color w:val="auto"/>
          <w:sz w:val="24"/>
        </w:rPr>
        <w:t>——</w:t>
      </w:r>
      <w:r w:rsidRPr="00A964FF">
        <w:rPr>
          <w:bCs/>
          <w:color w:val="auto"/>
          <w:sz w:val="24"/>
        </w:rPr>
        <w:t>地表水水质标准规定的</w:t>
      </w:r>
      <w:r w:rsidRPr="00A964FF">
        <w:rPr>
          <w:rFonts w:hint="eastAsia"/>
          <w:bCs/>
          <w:i/>
          <w:color w:val="auto"/>
          <w:sz w:val="24"/>
        </w:rPr>
        <w:t>p</w:t>
      </w:r>
      <w:r w:rsidRPr="00A964FF">
        <w:rPr>
          <w:bCs/>
          <w:i/>
          <w:color w:val="auto"/>
          <w:sz w:val="24"/>
        </w:rPr>
        <w:t>H</w:t>
      </w:r>
      <w:r w:rsidRPr="00A964FF">
        <w:rPr>
          <w:bCs/>
          <w:color w:val="auto"/>
          <w:sz w:val="24"/>
        </w:rPr>
        <w:t>的下限值；</w:t>
      </w:r>
    </w:p>
    <w:p w14:paraId="329B59B8" w14:textId="77777777" w:rsidR="0055605A" w:rsidRPr="00A964FF" w:rsidRDefault="0055605A" w:rsidP="0055605A">
      <w:pPr>
        <w:tabs>
          <w:tab w:val="num" w:pos="720"/>
          <w:tab w:val="num" w:pos="1080"/>
        </w:tabs>
        <w:spacing w:line="520" w:lineRule="exact"/>
        <w:ind w:leftChars="343" w:left="720" w:firstLineChars="400" w:firstLine="960"/>
        <w:rPr>
          <w:bCs/>
          <w:color w:val="auto"/>
          <w:sz w:val="24"/>
        </w:rPr>
      </w:pPr>
      <w:r w:rsidRPr="00A964FF">
        <w:rPr>
          <w:bCs/>
          <w:color w:val="auto"/>
          <w:position w:val="-12"/>
          <w:sz w:val="24"/>
        </w:rPr>
        <w:object w:dxaOrig="580" w:dyaOrig="360" w14:anchorId="4F76DF59">
          <v:shape id="_x0000_i1049" type="#_x0000_t75" style="width:25.8pt;height:18pt" o:ole="">
            <v:imagedata r:id="rId49" o:title=""/>
          </v:shape>
          <o:OLEObject Type="Embed" ProgID="Equation.3" ShapeID="_x0000_i1049" DrawAspect="Content" ObjectID="_1725951969" r:id="rId60"/>
        </w:object>
      </w:r>
      <w:r w:rsidRPr="00A964FF">
        <w:rPr>
          <w:rFonts w:hint="eastAsia"/>
          <w:bCs/>
          <w:color w:val="auto"/>
          <w:sz w:val="24"/>
        </w:rPr>
        <w:t>——</w:t>
      </w:r>
      <w:r w:rsidRPr="00A964FF">
        <w:rPr>
          <w:bCs/>
          <w:color w:val="auto"/>
          <w:sz w:val="24"/>
        </w:rPr>
        <w:t>地表水水质标准规定的</w:t>
      </w:r>
      <w:r w:rsidRPr="00A964FF">
        <w:rPr>
          <w:rFonts w:hint="eastAsia"/>
          <w:bCs/>
          <w:i/>
          <w:color w:val="auto"/>
          <w:sz w:val="24"/>
        </w:rPr>
        <w:t>p</w:t>
      </w:r>
      <w:r w:rsidRPr="00A964FF">
        <w:rPr>
          <w:bCs/>
          <w:i/>
          <w:color w:val="auto"/>
          <w:sz w:val="24"/>
        </w:rPr>
        <w:t>H</w:t>
      </w:r>
      <w:r w:rsidRPr="00A964FF">
        <w:rPr>
          <w:bCs/>
          <w:color w:val="auto"/>
          <w:sz w:val="24"/>
        </w:rPr>
        <w:t>的上限值。</w:t>
      </w:r>
    </w:p>
    <w:p w14:paraId="0CCDAE6E" w14:textId="77777777" w:rsidR="0055605A" w:rsidRPr="00A964FF" w:rsidRDefault="0055605A" w:rsidP="0055605A">
      <w:pPr>
        <w:pStyle w:val="aa"/>
        <w:spacing w:line="540" w:lineRule="exact"/>
        <w:ind w:firstLine="480"/>
        <w:rPr>
          <w:rFonts w:ascii="Calibri" w:hAnsi="Calibri"/>
          <w:b/>
          <w:color w:val="auto"/>
          <w:sz w:val="24"/>
        </w:rPr>
      </w:pPr>
      <w:r w:rsidRPr="00A964FF">
        <w:rPr>
          <w:rFonts w:ascii="Calibri" w:hAnsi="Calibri" w:hint="eastAsia"/>
          <w:b/>
          <w:color w:val="auto"/>
          <w:sz w:val="24"/>
        </w:rPr>
        <w:t>7</w:t>
      </w:r>
      <w:r w:rsidRPr="00A964FF">
        <w:rPr>
          <w:rFonts w:ascii="Calibri" w:hAnsi="Calibri" w:hint="eastAsia"/>
          <w:b/>
          <w:color w:val="auto"/>
          <w:sz w:val="24"/>
        </w:rPr>
        <w:t>、评价结果统计与分析</w:t>
      </w:r>
    </w:p>
    <w:p w14:paraId="49A9697C" w14:textId="77777777" w:rsidR="0071576B" w:rsidRPr="007D6441" w:rsidRDefault="0055605A" w:rsidP="007D6441">
      <w:pPr>
        <w:pStyle w:val="00"/>
        <w:rPr>
          <w:rFonts w:ascii="Calibri" w:hAnsi="Calibri"/>
          <w:color w:val="auto"/>
        </w:rPr>
      </w:pPr>
      <w:r w:rsidRPr="00A964FF">
        <w:rPr>
          <w:rFonts w:ascii="Calibri" w:hAnsi="Calibri" w:hint="eastAsia"/>
          <w:color w:val="auto"/>
        </w:rPr>
        <w:t>地下水水温、水位检测结果见表</w:t>
      </w:r>
      <w:r w:rsidRPr="00A964FF">
        <w:rPr>
          <w:rFonts w:ascii="Calibri" w:hAnsi="Calibri" w:hint="eastAsia"/>
          <w:color w:val="auto"/>
        </w:rPr>
        <w:t>3</w:t>
      </w:r>
      <w:r w:rsidR="00A6079A" w:rsidRPr="00A964FF">
        <w:rPr>
          <w:rFonts w:ascii="Calibri" w:hAnsi="Calibri" w:hint="eastAsia"/>
          <w:color w:val="auto"/>
        </w:rPr>
        <w:t>.3</w:t>
      </w:r>
      <w:r w:rsidRPr="00A964FF">
        <w:rPr>
          <w:rFonts w:ascii="Calibri" w:hAnsi="Calibri" w:hint="eastAsia"/>
          <w:color w:val="auto"/>
        </w:rPr>
        <w:t>-</w:t>
      </w:r>
      <w:r w:rsidR="00A6079A" w:rsidRPr="00A964FF">
        <w:rPr>
          <w:rFonts w:ascii="Calibri" w:hAnsi="Calibri" w:hint="eastAsia"/>
          <w:color w:val="auto"/>
        </w:rPr>
        <w:t>1</w:t>
      </w:r>
      <w:r w:rsidR="00AC555A">
        <w:rPr>
          <w:rFonts w:ascii="Calibri" w:hAnsi="Calibri" w:hint="eastAsia"/>
          <w:color w:val="auto"/>
        </w:rPr>
        <w:t>5</w:t>
      </w:r>
      <w:r w:rsidRPr="00A964FF">
        <w:rPr>
          <w:rFonts w:ascii="Calibri" w:hAnsi="Calibri" w:hint="eastAsia"/>
          <w:color w:val="auto"/>
        </w:rPr>
        <w:t>。</w:t>
      </w:r>
    </w:p>
    <w:p w14:paraId="03408461" w14:textId="77777777" w:rsidR="004C513C" w:rsidRDefault="004C513C" w:rsidP="003E36C1">
      <w:pPr>
        <w:pStyle w:val="a1"/>
        <w:spacing w:line="520" w:lineRule="exact"/>
        <w:ind w:firstLineChars="200" w:firstLine="480"/>
        <w:rPr>
          <w:rFonts w:ascii="Calibri" w:eastAsia="黑体" w:hAnsi="Calibri"/>
          <w:color w:val="auto"/>
          <w:sz w:val="24"/>
        </w:rPr>
      </w:pPr>
    </w:p>
    <w:p w14:paraId="5D2337E8" w14:textId="77777777" w:rsidR="004C513C" w:rsidRDefault="004C513C" w:rsidP="003E36C1">
      <w:pPr>
        <w:pStyle w:val="a1"/>
        <w:spacing w:line="520" w:lineRule="exact"/>
        <w:ind w:firstLineChars="200" w:firstLine="480"/>
        <w:rPr>
          <w:rFonts w:ascii="Calibri" w:eastAsia="黑体" w:hAnsi="Calibri"/>
          <w:color w:val="auto"/>
          <w:sz w:val="24"/>
        </w:rPr>
      </w:pPr>
    </w:p>
    <w:p w14:paraId="2B24A1BE" w14:textId="77777777" w:rsidR="004C513C" w:rsidRDefault="004C513C" w:rsidP="003E36C1">
      <w:pPr>
        <w:pStyle w:val="a1"/>
        <w:spacing w:line="520" w:lineRule="exact"/>
        <w:ind w:firstLineChars="200" w:firstLine="480"/>
        <w:rPr>
          <w:rFonts w:ascii="Calibri" w:eastAsia="黑体" w:hAnsi="Calibri"/>
          <w:color w:val="auto"/>
          <w:sz w:val="24"/>
        </w:rPr>
      </w:pPr>
    </w:p>
    <w:p w14:paraId="375DB411" w14:textId="77777777" w:rsidR="004C513C" w:rsidRDefault="004C513C" w:rsidP="003E36C1">
      <w:pPr>
        <w:pStyle w:val="a1"/>
        <w:spacing w:line="520" w:lineRule="exact"/>
        <w:ind w:firstLineChars="200" w:firstLine="480"/>
        <w:rPr>
          <w:rFonts w:ascii="Calibri" w:eastAsia="黑体" w:hAnsi="Calibri"/>
          <w:color w:val="auto"/>
          <w:sz w:val="24"/>
        </w:rPr>
      </w:pPr>
    </w:p>
    <w:p w14:paraId="20D1B2F0" w14:textId="77777777" w:rsidR="004C513C" w:rsidRDefault="004C513C" w:rsidP="003E36C1">
      <w:pPr>
        <w:pStyle w:val="a1"/>
        <w:spacing w:line="520" w:lineRule="exact"/>
        <w:ind w:firstLineChars="200" w:firstLine="480"/>
        <w:rPr>
          <w:rFonts w:ascii="Calibri" w:eastAsia="黑体" w:hAnsi="Calibri"/>
          <w:color w:val="auto"/>
          <w:sz w:val="24"/>
        </w:rPr>
      </w:pPr>
    </w:p>
    <w:p w14:paraId="27CA74F6" w14:textId="77777777" w:rsidR="004C513C" w:rsidRDefault="004C513C" w:rsidP="003E36C1">
      <w:pPr>
        <w:pStyle w:val="a1"/>
        <w:spacing w:line="520" w:lineRule="exact"/>
        <w:ind w:firstLineChars="200" w:firstLine="480"/>
        <w:rPr>
          <w:rFonts w:ascii="Calibri" w:eastAsia="黑体" w:hAnsi="Calibri"/>
          <w:color w:val="auto"/>
          <w:sz w:val="24"/>
        </w:rPr>
      </w:pPr>
    </w:p>
    <w:p w14:paraId="1CF5B7B1" w14:textId="77777777" w:rsidR="00FC0738" w:rsidRDefault="00FC0738" w:rsidP="003E36C1">
      <w:pPr>
        <w:pStyle w:val="a1"/>
        <w:spacing w:line="520" w:lineRule="exact"/>
        <w:ind w:firstLineChars="200" w:firstLine="480"/>
        <w:rPr>
          <w:rFonts w:ascii="Calibri" w:eastAsia="黑体" w:hAnsi="Calibri"/>
          <w:color w:val="auto"/>
          <w:sz w:val="24"/>
        </w:rPr>
      </w:pPr>
    </w:p>
    <w:p w14:paraId="1994CF3B" w14:textId="77777777" w:rsidR="003E36C1" w:rsidRPr="00A964FF" w:rsidRDefault="0055605A" w:rsidP="003E36C1">
      <w:pPr>
        <w:pStyle w:val="a1"/>
        <w:spacing w:line="520" w:lineRule="exact"/>
        <w:ind w:firstLineChars="200" w:firstLine="480"/>
        <w:rPr>
          <w:rFonts w:ascii="黑体" w:eastAsia="黑体" w:hAnsi="Calibri"/>
          <w:bCs/>
          <w:color w:val="auto"/>
          <w:sz w:val="24"/>
        </w:rPr>
      </w:pPr>
      <w:r w:rsidRPr="00A964FF">
        <w:rPr>
          <w:rFonts w:ascii="Calibri" w:eastAsia="黑体" w:hAnsi="Calibri"/>
          <w:color w:val="auto"/>
          <w:sz w:val="24"/>
        </w:rPr>
        <w:lastRenderedPageBreak/>
        <w:t>表</w:t>
      </w:r>
      <w:r w:rsidRPr="00A964FF">
        <w:rPr>
          <w:rFonts w:ascii="Calibri" w:eastAsia="黑体" w:hAnsi="Calibri" w:hint="eastAsia"/>
          <w:color w:val="auto"/>
          <w:sz w:val="24"/>
        </w:rPr>
        <w:t>3</w:t>
      </w:r>
      <w:r w:rsidR="00A6079A" w:rsidRPr="00A964FF">
        <w:rPr>
          <w:rFonts w:ascii="Calibri" w:eastAsia="黑体" w:hAnsi="Calibri" w:hint="eastAsia"/>
          <w:color w:val="auto"/>
          <w:sz w:val="24"/>
        </w:rPr>
        <w:t>.3</w:t>
      </w:r>
      <w:r w:rsidRPr="00A964FF">
        <w:rPr>
          <w:rFonts w:ascii="Calibri" w:eastAsia="黑体" w:hAnsi="Calibri"/>
          <w:color w:val="auto"/>
          <w:sz w:val="24"/>
        </w:rPr>
        <w:t>-</w:t>
      </w:r>
      <w:r w:rsidR="00A6079A" w:rsidRPr="00A964FF">
        <w:rPr>
          <w:rFonts w:ascii="Calibri" w:eastAsia="黑体" w:hAnsi="Calibri" w:hint="eastAsia"/>
          <w:color w:val="auto"/>
          <w:sz w:val="24"/>
        </w:rPr>
        <w:t>1</w:t>
      </w:r>
      <w:r w:rsidR="00AC555A">
        <w:rPr>
          <w:rFonts w:ascii="Calibri" w:eastAsia="黑体" w:hAnsi="Calibri" w:hint="eastAsia"/>
          <w:color w:val="auto"/>
          <w:sz w:val="24"/>
        </w:rPr>
        <w:t>5</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003616F0" w:rsidRPr="00A964FF">
        <w:rPr>
          <w:rFonts w:ascii="Calibri" w:eastAsia="黑体" w:hAnsi="Calibri" w:hint="eastAsia"/>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地下水水温、水位检测结果统计表</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349"/>
        <w:gridCol w:w="2203"/>
        <w:gridCol w:w="1716"/>
        <w:gridCol w:w="1716"/>
        <w:gridCol w:w="1716"/>
      </w:tblGrid>
      <w:tr w:rsidR="003E36C1" w:rsidRPr="00A964FF" w14:paraId="3BD2F69C" w14:textId="77777777" w:rsidTr="007D6441">
        <w:trPr>
          <w:trHeight w:val="312"/>
        </w:trPr>
        <w:tc>
          <w:tcPr>
            <w:tcW w:w="775" w:type="pct"/>
            <w:vAlign w:val="center"/>
          </w:tcPr>
          <w:p w14:paraId="7CDEBA4F" w14:textId="77777777" w:rsidR="003E36C1" w:rsidRPr="00A964FF" w:rsidRDefault="003E36C1" w:rsidP="00DB1CA5">
            <w:pPr>
              <w:jc w:val="center"/>
              <w:rPr>
                <w:rFonts w:ascii="Calibri" w:hAnsi="Calibri"/>
                <w:color w:val="auto"/>
                <w:szCs w:val="21"/>
              </w:rPr>
            </w:pPr>
            <w:r w:rsidRPr="00A964FF">
              <w:rPr>
                <w:rFonts w:ascii="Calibri"/>
                <w:color w:val="auto"/>
                <w:szCs w:val="21"/>
              </w:rPr>
              <w:t>序号</w:t>
            </w:r>
          </w:p>
        </w:tc>
        <w:tc>
          <w:tcPr>
            <w:tcW w:w="1266" w:type="pct"/>
            <w:tcBorders>
              <w:right w:val="single" w:sz="4" w:space="0" w:color="auto"/>
            </w:tcBorders>
            <w:vAlign w:val="center"/>
          </w:tcPr>
          <w:p w14:paraId="079E6B87" w14:textId="77777777" w:rsidR="003E36C1" w:rsidRPr="00A964FF" w:rsidRDefault="003E36C1" w:rsidP="00DB1CA5">
            <w:pPr>
              <w:jc w:val="center"/>
              <w:rPr>
                <w:rFonts w:ascii="Calibri" w:hAnsi="Calibri"/>
                <w:color w:val="auto"/>
                <w:szCs w:val="21"/>
              </w:rPr>
            </w:pPr>
            <w:r w:rsidRPr="00A964FF">
              <w:rPr>
                <w:rFonts w:ascii="Calibri" w:hAnsi="Calibri" w:hint="eastAsia"/>
                <w:color w:val="auto"/>
                <w:szCs w:val="21"/>
              </w:rPr>
              <w:t>检测井位</w:t>
            </w:r>
          </w:p>
        </w:tc>
        <w:tc>
          <w:tcPr>
            <w:tcW w:w="986" w:type="pct"/>
            <w:tcBorders>
              <w:right w:val="single" w:sz="4" w:space="0" w:color="auto"/>
            </w:tcBorders>
            <w:vAlign w:val="center"/>
          </w:tcPr>
          <w:p w14:paraId="638FD336" w14:textId="77777777" w:rsidR="003E36C1" w:rsidRPr="00A964FF" w:rsidRDefault="003E36C1" w:rsidP="00DB1CA5">
            <w:pPr>
              <w:jc w:val="center"/>
              <w:rPr>
                <w:rFonts w:ascii="Calibri" w:hAnsi="Calibri"/>
                <w:color w:val="auto"/>
                <w:szCs w:val="21"/>
              </w:rPr>
            </w:pPr>
            <w:r w:rsidRPr="00A964FF">
              <w:rPr>
                <w:rFonts w:ascii="Calibri" w:hAnsi="Calibri" w:hint="eastAsia"/>
                <w:color w:val="auto"/>
                <w:szCs w:val="21"/>
              </w:rPr>
              <w:t>水温（℃）</w:t>
            </w:r>
          </w:p>
        </w:tc>
        <w:tc>
          <w:tcPr>
            <w:tcW w:w="986" w:type="pct"/>
            <w:tcBorders>
              <w:left w:val="single" w:sz="4" w:space="0" w:color="auto"/>
            </w:tcBorders>
            <w:vAlign w:val="center"/>
          </w:tcPr>
          <w:p w14:paraId="1FA6AF29" w14:textId="77777777" w:rsidR="003E36C1" w:rsidRPr="00A964FF" w:rsidRDefault="003E36C1" w:rsidP="00DB1CA5">
            <w:pPr>
              <w:jc w:val="center"/>
              <w:rPr>
                <w:rFonts w:ascii="Calibri" w:hAnsi="Calibri"/>
                <w:color w:val="auto"/>
                <w:szCs w:val="21"/>
              </w:rPr>
            </w:pPr>
            <w:r w:rsidRPr="00A964FF">
              <w:rPr>
                <w:rFonts w:ascii="Calibri" w:hAnsi="Calibri" w:hint="eastAsia"/>
                <w:color w:val="auto"/>
                <w:szCs w:val="21"/>
              </w:rPr>
              <w:t>水位（</w:t>
            </w:r>
            <w:r w:rsidRPr="00A964FF">
              <w:rPr>
                <w:rFonts w:ascii="Calibri" w:hAnsi="Calibri" w:hint="eastAsia"/>
                <w:color w:val="auto"/>
                <w:szCs w:val="21"/>
              </w:rPr>
              <w:t>m</w:t>
            </w:r>
            <w:r w:rsidRPr="00A964FF">
              <w:rPr>
                <w:rFonts w:ascii="Calibri" w:hAnsi="Calibri" w:hint="eastAsia"/>
                <w:color w:val="auto"/>
                <w:szCs w:val="21"/>
              </w:rPr>
              <w:t>）</w:t>
            </w:r>
          </w:p>
        </w:tc>
        <w:tc>
          <w:tcPr>
            <w:tcW w:w="986" w:type="pct"/>
            <w:tcBorders>
              <w:left w:val="single" w:sz="4" w:space="0" w:color="auto"/>
            </w:tcBorders>
            <w:vAlign w:val="center"/>
          </w:tcPr>
          <w:p w14:paraId="589A8AFD" w14:textId="77777777" w:rsidR="003E36C1" w:rsidRPr="00A964FF" w:rsidRDefault="003E36C1" w:rsidP="00DB1CA5">
            <w:pPr>
              <w:jc w:val="center"/>
              <w:rPr>
                <w:rFonts w:ascii="Calibri" w:hAnsi="Calibri"/>
                <w:color w:val="auto"/>
                <w:szCs w:val="21"/>
              </w:rPr>
            </w:pPr>
            <w:r w:rsidRPr="00A964FF">
              <w:rPr>
                <w:rFonts w:ascii="Calibri" w:hAnsi="Calibri" w:hint="eastAsia"/>
                <w:color w:val="auto"/>
                <w:szCs w:val="21"/>
              </w:rPr>
              <w:t>井深（</w:t>
            </w:r>
            <w:r w:rsidRPr="00A964FF">
              <w:rPr>
                <w:rFonts w:ascii="Calibri" w:hAnsi="Calibri" w:hint="eastAsia"/>
                <w:color w:val="auto"/>
                <w:szCs w:val="21"/>
              </w:rPr>
              <w:t>m</w:t>
            </w:r>
            <w:r w:rsidRPr="00A964FF">
              <w:rPr>
                <w:rFonts w:ascii="Calibri" w:hAnsi="Calibri" w:hint="eastAsia"/>
                <w:color w:val="auto"/>
                <w:szCs w:val="21"/>
              </w:rPr>
              <w:t>）</w:t>
            </w:r>
          </w:p>
        </w:tc>
      </w:tr>
      <w:tr w:rsidR="007D6441" w:rsidRPr="00A964FF" w14:paraId="68145ABF" w14:textId="77777777" w:rsidTr="007D6441">
        <w:trPr>
          <w:trHeight w:val="312"/>
        </w:trPr>
        <w:tc>
          <w:tcPr>
            <w:tcW w:w="775" w:type="pct"/>
            <w:vAlign w:val="center"/>
          </w:tcPr>
          <w:p w14:paraId="274B8B53"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1</w:t>
            </w:r>
          </w:p>
        </w:tc>
        <w:tc>
          <w:tcPr>
            <w:tcW w:w="1266" w:type="pct"/>
            <w:tcBorders>
              <w:right w:val="single" w:sz="4" w:space="0" w:color="auto"/>
            </w:tcBorders>
            <w:vAlign w:val="center"/>
          </w:tcPr>
          <w:p w14:paraId="182CC207" w14:textId="77777777" w:rsidR="007D6441" w:rsidRPr="00A964FF" w:rsidRDefault="007D6441" w:rsidP="007D6441">
            <w:pPr>
              <w:jc w:val="center"/>
              <w:rPr>
                <w:rFonts w:cs="Times New Roman"/>
                <w:color w:val="auto"/>
                <w:szCs w:val="21"/>
              </w:rPr>
            </w:pPr>
            <w:r>
              <w:rPr>
                <w:rFonts w:cs="Times New Roman" w:hint="eastAsia"/>
                <w:color w:val="auto"/>
                <w:szCs w:val="21"/>
              </w:rPr>
              <w:t>龚店镇</w:t>
            </w:r>
          </w:p>
        </w:tc>
        <w:tc>
          <w:tcPr>
            <w:tcW w:w="986" w:type="pct"/>
            <w:tcBorders>
              <w:right w:val="single" w:sz="4" w:space="0" w:color="auto"/>
            </w:tcBorders>
            <w:vAlign w:val="center"/>
          </w:tcPr>
          <w:p w14:paraId="081C35FA" w14:textId="77777777" w:rsidR="007D6441" w:rsidRPr="00BB5174" w:rsidRDefault="007D6441" w:rsidP="007D6441">
            <w:pPr>
              <w:jc w:val="center"/>
              <w:rPr>
                <w:rFonts w:ascii="Calibri" w:hAnsi="Calibri"/>
                <w:szCs w:val="21"/>
              </w:rPr>
            </w:pPr>
            <w:r>
              <w:rPr>
                <w:rFonts w:ascii="Calibri" w:hAnsi="Calibri" w:hint="eastAsia"/>
                <w:szCs w:val="21"/>
              </w:rPr>
              <w:t>15.3</w:t>
            </w:r>
          </w:p>
        </w:tc>
        <w:tc>
          <w:tcPr>
            <w:tcW w:w="986" w:type="pct"/>
            <w:tcBorders>
              <w:left w:val="single" w:sz="4" w:space="0" w:color="auto"/>
            </w:tcBorders>
            <w:vAlign w:val="center"/>
          </w:tcPr>
          <w:p w14:paraId="3D4F6A79" w14:textId="77777777" w:rsidR="007D6441" w:rsidRPr="00BB5174" w:rsidRDefault="007D6441" w:rsidP="007D6441">
            <w:pPr>
              <w:jc w:val="center"/>
              <w:rPr>
                <w:rFonts w:ascii="Calibri" w:hAnsi="Calibri"/>
                <w:szCs w:val="21"/>
              </w:rPr>
            </w:pPr>
            <w:r>
              <w:rPr>
                <w:rFonts w:ascii="Calibri" w:hAnsi="Calibri" w:hint="eastAsia"/>
                <w:szCs w:val="21"/>
              </w:rPr>
              <w:t>41</w:t>
            </w:r>
          </w:p>
        </w:tc>
        <w:tc>
          <w:tcPr>
            <w:tcW w:w="986" w:type="pct"/>
            <w:tcBorders>
              <w:left w:val="single" w:sz="4" w:space="0" w:color="auto"/>
            </w:tcBorders>
            <w:vAlign w:val="center"/>
          </w:tcPr>
          <w:p w14:paraId="2AB475B5" w14:textId="77777777" w:rsidR="007D6441" w:rsidRPr="00BB5174" w:rsidRDefault="007D6441" w:rsidP="007D6441">
            <w:pPr>
              <w:jc w:val="center"/>
              <w:rPr>
                <w:rFonts w:ascii="Calibri" w:hAnsi="Calibri"/>
                <w:szCs w:val="21"/>
              </w:rPr>
            </w:pPr>
            <w:r>
              <w:rPr>
                <w:rFonts w:ascii="Calibri" w:hAnsi="Calibri" w:hint="eastAsia"/>
                <w:szCs w:val="21"/>
              </w:rPr>
              <w:t>50</w:t>
            </w:r>
          </w:p>
        </w:tc>
      </w:tr>
      <w:tr w:rsidR="007D6441" w:rsidRPr="00A964FF" w14:paraId="74F37F71" w14:textId="77777777" w:rsidTr="007D6441">
        <w:trPr>
          <w:trHeight w:val="312"/>
        </w:trPr>
        <w:tc>
          <w:tcPr>
            <w:tcW w:w="775" w:type="pct"/>
            <w:vAlign w:val="center"/>
          </w:tcPr>
          <w:p w14:paraId="6FEA41DA"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2</w:t>
            </w:r>
          </w:p>
        </w:tc>
        <w:tc>
          <w:tcPr>
            <w:tcW w:w="1266" w:type="pct"/>
            <w:tcBorders>
              <w:right w:val="single" w:sz="4" w:space="0" w:color="auto"/>
            </w:tcBorders>
            <w:vAlign w:val="center"/>
          </w:tcPr>
          <w:p w14:paraId="08ED3AB0" w14:textId="77777777" w:rsidR="007D6441" w:rsidRPr="00A964FF" w:rsidRDefault="007D6441" w:rsidP="007D6441">
            <w:pPr>
              <w:rPr>
                <w:rFonts w:cs="Times New Roman"/>
                <w:color w:val="auto"/>
                <w:szCs w:val="21"/>
              </w:rPr>
            </w:pPr>
            <w:r>
              <w:rPr>
                <w:rFonts w:cs="Times New Roman" w:hint="eastAsia"/>
                <w:color w:val="auto"/>
                <w:szCs w:val="21"/>
              </w:rPr>
              <w:t>节庄村</w:t>
            </w:r>
            <w:r w:rsidRPr="00BB5174">
              <w:rPr>
                <w:rFonts w:ascii="Calibri" w:hAnsi="Calibri" w:hint="eastAsia"/>
                <w:szCs w:val="21"/>
              </w:rPr>
              <w:t>（遗留水井）</w:t>
            </w:r>
          </w:p>
        </w:tc>
        <w:tc>
          <w:tcPr>
            <w:tcW w:w="986" w:type="pct"/>
            <w:tcBorders>
              <w:right w:val="single" w:sz="4" w:space="0" w:color="auto"/>
            </w:tcBorders>
            <w:vAlign w:val="center"/>
          </w:tcPr>
          <w:p w14:paraId="0FF13A65" w14:textId="77777777" w:rsidR="007D6441" w:rsidRPr="00BB5174" w:rsidRDefault="007D6441" w:rsidP="007D6441">
            <w:pPr>
              <w:jc w:val="center"/>
              <w:rPr>
                <w:rFonts w:ascii="Calibri" w:hAnsi="Calibri"/>
                <w:szCs w:val="21"/>
              </w:rPr>
            </w:pPr>
            <w:r>
              <w:rPr>
                <w:rFonts w:ascii="Calibri" w:hAnsi="Calibri" w:hint="eastAsia"/>
                <w:szCs w:val="21"/>
              </w:rPr>
              <w:t>16.9</w:t>
            </w:r>
          </w:p>
        </w:tc>
        <w:tc>
          <w:tcPr>
            <w:tcW w:w="986" w:type="pct"/>
            <w:tcBorders>
              <w:left w:val="single" w:sz="4" w:space="0" w:color="auto"/>
            </w:tcBorders>
            <w:vAlign w:val="center"/>
          </w:tcPr>
          <w:p w14:paraId="345A00F8" w14:textId="77777777" w:rsidR="007D6441" w:rsidRPr="00BB5174" w:rsidRDefault="007D6441" w:rsidP="007D6441">
            <w:pPr>
              <w:jc w:val="center"/>
              <w:rPr>
                <w:rFonts w:ascii="Calibri" w:hAnsi="Calibri"/>
                <w:szCs w:val="21"/>
              </w:rPr>
            </w:pPr>
            <w:r>
              <w:rPr>
                <w:rFonts w:ascii="Calibri" w:hAnsi="Calibri" w:hint="eastAsia"/>
                <w:szCs w:val="21"/>
              </w:rPr>
              <w:t>44</w:t>
            </w:r>
          </w:p>
        </w:tc>
        <w:tc>
          <w:tcPr>
            <w:tcW w:w="986" w:type="pct"/>
            <w:tcBorders>
              <w:left w:val="single" w:sz="4" w:space="0" w:color="auto"/>
            </w:tcBorders>
            <w:vAlign w:val="center"/>
          </w:tcPr>
          <w:p w14:paraId="7BE4007C" w14:textId="77777777" w:rsidR="007D6441" w:rsidRPr="00BB5174" w:rsidRDefault="007D6441" w:rsidP="007D6441">
            <w:pPr>
              <w:jc w:val="center"/>
              <w:rPr>
                <w:rFonts w:ascii="Calibri" w:hAnsi="Calibri"/>
                <w:szCs w:val="21"/>
              </w:rPr>
            </w:pPr>
            <w:r>
              <w:rPr>
                <w:rFonts w:ascii="Calibri" w:hAnsi="Calibri" w:hint="eastAsia"/>
                <w:szCs w:val="21"/>
              </w:rPr>
              <w:t>25</w:t>
            </w:r>
          </w:p>
        </w:tc>
      </w:tr>
      <w:tr w:rsidR="007D6441" w:rsidRPr="00A964FF" w14:paraId="292B05EB" w14:textId="77777777" w:rsidTr="007D6441">
        <w:trPr>
          <w:trHeight w:val="312"/>
        </w:trPr>
        <w:tc>
          <w:tcPr>
            <w:tcW w:w="775" w:type="pct"/>
            <w:vAlign w:val="center"/>
          </w:tcPr>
          <w:p w14:paraId="3C6D0F8E"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3</w:t>
            </w:r>
          </w:p>
        </w:tc>
        <w:tc>
          <w:tcPr>
            <w:tcW w:w="1266" w:type="pct"/>
            <w:tcBorders>
              <w:right w:val="single" w:sz="4" w:space="0" w:color="auto"/>
            </w:tcBorders>
            <w:vAlign w:val="center"/>
          </w:tcPr>
          <w:p w14:paraId="3EFA9E04" w14:textId="77777777" w:rsidR="007D6441" w:rsidRPr="00A964FF" w:rsidRDefault="007D6441" w:rsidP="007D6441">
            <w:pPr>
              <w:jc w:val="center"/>
              <w:rPr>
                <w:rFonts w:cs="Times New Roman"/>
                <w:color w:val="auto"/>
                <w:szCs w:val="21"/>
              </w:rPr>
            </w:pPr>
            <w:r>
              <w:rPr>
                <w:rFonts w:cs="Times New Roman" w:hint="eastAsia"/>
                <w:color w:val="auto"/>
                <w:szCs w:val="21"/>
              </w:rPr>
              <w:t>泥河张</w:t>
            </w:r>
          </w:p>
        </w:tc>
        <w:tc>
          <w:tcPr>
            <w:tcW w:w="986" w:type="pct"/>
            <w:tcBorders>
              <w:right w:val="single" w:sz="4" w:space="0" w:color="auto"/>
            </w:tcBorders>
            <w:vAlign w:val="center"/>
          </w:tcPr>
          <w:p w14:paraId="2F8CDAB8" w14:textId="77777777" w:rsidR="007D6441" w:rsidRPr="00BB5174" w:rsidRDefault="007D6441" w:rsidP="007D6441">
            <w:pPr>
              <w:jc w:val="center"/>
              <w:rPr>
                <w:rFonts w:ascii="Calibri" w:hAnsi="Calibri"/>
                <w:szCs w:val="21"/>
              </w:rPr>
            </w:pPr>
            <w:r>
              <w:rPr>
                <w:rFonts w:ascii="Calibri" w:hAnsi="Calibri" w:hint="eastAsia"/>
                <w:szCs w:val="21"/>
              </w:rPr>
              <w:t>15.1</w:t>
            </w:r>
          </w:p>
        </w:tc>
        <w:tc>
          <w:tcPr>
            <w:tcW w:w="986" w:type="pct"/>
            <w:tcBorders>
              <w:left w:val="single" w:sz="4" w:space="0" w:color="auto"/>
            </w:tcBorders>
            <w:vAlign w:val="center"/>
          </w:tcPr>
          <w:p w14:paraId="49AF8176" w14:textId="77777777" w:rsidR="007D6441" w:rsidRPr="00BB5174" w:rsidRDefault="007D6441" w:rsidP="007D6441">
            <w:pPr>
              <w:jc w:val="center"/>
              <w:rPr>
                <w:rFonts w:ascii="Calibri" w:hAnsi="Calibri"/>
                <w:szCs w:val="21"/>
              </w:rPr>
            </w:pPr>
            <w:r>
              <w:rPr>
                <w:rFonts w:ascii="Calibri" w:hAnsi="Calibri" w:hint="eastAsia"/>
                <w:szCs w:val="21"/>
              </w:rPr>
              <w:t>47</w:t>
            </w:r>
          </w:p>
        </w:tc>
        <w:tc>
          <w:tcPr>
            <w:tcW w:w="986" w:type="pct"/>
            <w:tcBorders>
              <w:left w:val="single" w:sz="4" w:space="0" w:color="auto"/>
            </w:tcBorders>
            <w:vAlign w:val="center"/>
          </w:tcPr>
          <w:p w14:paraId="6D0663AE" w14:textId="77777777" w:rsidR="007D6441" w:rsidRPr="00BB5174" w:rsidRDefault="007D6441" w:rsidP="007D6441">
            <w:pPr>
              <w:jc w:val="center"/>
              <w:rPr>
                <w:rFonts w:ascii="Calibri" w:hAnsi="Calibri"/>
                <w:szCs w:val="21"/>
              </w:rPr>
            </w:pPr>
            <w:r>
              <w:rPr>
                <w:rFonts w:ascii="Calibri" w:hAnsi="Calibri" w:hint="eastAsia"/>
                <w:szCs w:val="21"/>
              </w:rPr>
              <w:t>50</w:t>
            </w:r>
          </w:p>
        </w:tc>
      </w:tr>
      <w:tr w:rsidR="007D6441" w:rsidRPr="00A964FF" w14:paraId="6EFA507A" w14:textId="77777777" w:rsidTr="007D6441">
        <w:trPr>
          <w:trHeight w:val="312"/>
        </w:trPr>
        <w:tc>
          <w:tcPr>
            <w:tcW w:w="775" w:type="pct"/>
            <w:vAlign w:val="center"/>
          </w:tcPr>
          <w:p w14:paraId="728EDE03"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4</w:t>
            </w:r>
          </w:p>
        </w:tc>
        <w:tc>
          <w:tcPr>
            <w:tcW w:w="1266" w:type="pct"/>
            <w:tcBorders>
              <w:right w:val="single" w:sz="4" w:space="0" w:color="auto"/>
            </w:tcBorders>
            <w:vAlign w:val="center"/>
          </w:tcPr>
          <w:p w14:paraId="6DE80A87" w14:textId="77777777" w:rsidR="007D6441" w:rsidRPr="00227625" w:rsidRDefault="007D6441" w:rsidP="007D6441">
            <w:pPr>
              <w:rPr>
                <w:rFonts w:cs="Times New Roman"/>
                <w:color w:val="auto"/>
                <w:szCs w:val="21"/>
              </w:rPr>
            </w:pPr>
            <w:r>
              <w:rPr>
                <w:rFonts w:cs="Times New Roman" w:hint="eastAsia"/>
                <w:color w:val="auto"/>
                <w:szCs w:val="21"/>
              </w:rPr>
              <w:t>坡</w:t>
            </w:r>
            <w:r>
              <w:rPr>
                <w:rFonts w:cs="Times New Roman"/>
                <w:color w:val="auto"/>
                <w:szCs w:val="21"/>
              </w:rPr>
              <w:t>宋村</w:t>
            </w:r>
            <w:r w:rsidRPr="00BB5174">
              <w:rPr>
                <w:rFonts w:ascii="Calibri" w:hAnsi="Calibri" w:hint="eastAsia"/>
                <w:szCs w:val="21"/>
              </w:rPr>
              <w:t>（遗留水井）</w:t>
            </w:r>
          </w:p>
        </w:tc>
        <w:tc>
          <w:tcPr>
            <w:tcW w:w="986" w:type="pct"/>
            <w:tcBorders>
              <w:right w:val="single" w:sz="4" w:space="0" w:color="auto"/>
            </w:tcBorders>
            <w:vAlign w:val="center"/>
          </w:tcPr>
          <w:p w14:paraId="79E8DD8B" w14:textId="77777777" w:rsidR="007D6441" w:rsidRPr="00BB5174" w:rsidRDefault="007D6441" w:rsidP="007D6441">
            <w:pPr>
              <w:jc w:val="center"/>
              <w:rPr>
                <w:rFonts w:ascii="Calibri" w:hAnsi="Calibri"/>
                <w:szCs w:val="21"/>
              </w:rPr>
            </w:pPr>
            <w:r>
              <w:rPr>
                <w:rFonts w:ascii="Calibri" w:hAnsi="Calibri" w:hint="eastAsia"/>
                <w:szCs w:val="21"/>
              </w:rPr>
              <w:t>17.2</w:t>
            </w:r>
          </w:p>
        </w:tc>
        <w:tc>
          <w:tcPr>
            <w:tcW w:w="986" w:type="pct"/>
            <w:tcBorders>
              <w:left w:val="single" w:sz="4" w:space="0" w:color="auto"/>
            </w:tcBorders>
            <w:vAlign w:val="center"/>
          </w:tcPr>
          <w:p w14:paraId="75880B1D" w14:textId="77777777" w:rsidR="007D6441" w:rsidRPr="00BB5174" w:rsidRDefault="007D6441" w:rsidP="007D6441">
            <w:pPr>
              <w:jc w:val="center"/>
              <w:rPr>
                <w:rFonts w:ascii="Calibri" w:hAnsi="Calibri"/>
                <w:szCs w:val="21"/>
              </w:rPr>
            </w:pPr>
            <w:r>
              <w:rPr>
                <w:rFonts w:ascii="Calibri" w:hAnsi="Calibri" w:hint="eastAsia"/>
                <w:szCs w:val="21"/>
              </w:rPr>
              <w:t>43</w:t>
            </w:r>
          </w:p>
        </w:tc>
        <w:tc>
          <w:tcPr>
            <w:tcW w:w="986" w:type="pct"/>
            <w:tcBorders>
              <w:left w:val="single" w:sz="4" w:space="0" w:color="auto"/>
            </w:tcBorders>
            <w:vAlign w:val="center"/>
          </w:tcPr>
          <w:p w14:paraId="7F1F4DD8" w14:textId="77777777" w:rsidR="007D6441" w:rsidRPr="00BB5174" w:rsidRDefault="007D6441" w:rsidP="007D6441">
            <w:pPr>
              <w:jc w:val="center"/>
              <w:rPr>
                <w:rFonts w:ascii="Calibri" w:hAnsi="Calibri"/>
                <w:szCs w:val="21"/>
              </w:rPr>
            </w:pPr>
            <w:r>
              <w:rPr>
                <w:rFonts w:ascii="Calibri" w:hAnsi="Calibri" w:hint="eastAsia"/>
                <w:szCs w:val="21"/>
              </w:rPr>
              <w:t>25</w:t>
            </w:r>
          </w:p>
        </w:tc>
      </w:tr>
      <w:tr w:rsidR="007D6441" w:rsidRPr="00A964FF" w14:paraId="2D1C637E" w14:textId="77777777" w:rsidTr="007D6441">
        <w:trPr>
          <w:trHeight w:val="312"/>
        </w:trPr>
        <w:tc>
          <w:tcPr>
            <w:tcW w:w="775" w:type="pct"/>
            <w:vAlign w:val="center"/>
          </w:tcPr>
          <w:p w14:paraId="13EE3FA6"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5</w:t>
            </w:r>
          </w:p>
        </w:tc>
        <w:tc>
          <w:tcPr>
            <w:tcW w:w="1266" w:type="pct"/>
            <w:tcBorders>
              <w:right w:val="single" w:sz="4" w:space="0" w:color="auto"/>
            </w:tcBorders>
            <w:vAlign w:val="center"/>
          </w:tcPr>
          <w:p w14:paraId="360C895D" w14:textId="77777777" w:rsidR="007D6441" w:rsidRPr="00227625" w:rsidRDefault="007D6441" w:rsidP="007D6441">
            <w:pPr>
              <w:jc w:val="center"/>
              <w:rPr>
                <w:rFonts w:cs="Times New Roman"/>
                <w:color w:val="auto"/>
                <w:szCs w:val="21"/>
              </w:rPr>
            </w:pPr>
            <w:r>
              <w:rPr>
                <w:rFonts w:cs="Times New Roman" w:hint="eastAsia"/>
                <w:color w:val="auto"/>
                <w:szCs w:val="21"/>
              </w:rPr>
              <w:t>周庄</w:t>
            </w:r>
          </w:p>
        </w:tc>
        <w:tc>
          <w:tcPr>
            <w:tcW w:w="986" w:type="pct"/>
            <w:tcBorders>
              <w:right w:val="single" w:sz="4" w:space="0" w:color="auto"/>
            </w:tcBorders>
            <w:vAlign w:val="center"/>
          </w:tcPr>
          <w:p w14:paraId="19FE8842" w14:textId="77777777" w:rsidR="007D6441" w:rsidRPr="00BB5174" w:rsidRDefault="007D6441" w:rsidP="007D6441">
            <w:pPr>
              <w:jc w:val="center"/>
              <w:rPr>
                <w:rFonts w:ascii="Calibri" w:hAnsi="Calibri"/>
                <w:szCs w:val="21"/>
              </w:rPr>
            </w:pPr>
            <w:r>
              <w:rPr>
                <w:rFonts w:ascii="Calibri" w:hAnsi="Calibri" w:hint="eastAsia"/>
                <w:szCs w:val="21"/>
              </w:rPr>
              <w:t>16.8</w:t>
            </w:r>
          </w:p>
        </w:tc>
        <w:tc>
          <w:tcPr>
            <w:tcW w:w="986" w:type="pct"/>
            <w:tcBorders>
              <w:left w:val="single" w:sz="4" w:space="0" w:color="auto"/>
            </w:tcBorders>
            <w:vAlign w:val="center"/>
          </w:tcPr>
          <w:p w14:paraId="54BE0CCA" w14:textId="77777777" w:rsidR="007D6441" w:rsidRPr="00BB5174" w:rsidRDefault="007D6441" w:rsidP="007D6441">
            <w:pPr>
              <w:jc w:val="center"/>
              <w:rPr>
                <w:rFonts w:ascii="Calibri" w:hAnsi="Calibri"/>
                <w:szCs w:val="21"/>
              </w:rPr>
            </w:pPr>
            <w:r>
              <w:rPr>
                <w:rFonts w:ascii="Calibri" w:hAnsi="Calibri" w:hint="eastAsia"/>
                <w:szCs w:val="21"/>
              </w:rPr>
              <w:t>45</w:t>
            </w:r>
          </w:p>
        </w:tc>
        <w:tc>
          <w:tcPr>
            <w:tcW w:w="986" w:type="pct"/>
            <w:tcBorders>
              <w:left w:val="single" w:sz="4" w:space="0" w:color="auto"/>
            </w:tcBorders>
            <w:vAlign w:val="center"/>
          </w:tcPr>
          <w:p w14:paraId="19FD7FCC" w14:textId="77777777" w:rsidR="007D6441" w:rsidRPr="00BB5174" w:rsidRDefault="007D6441" w:rsidP="007D6441">
            <w:pPr>
              <w:jc w:val="center"/>
              <w:rPr>
                <w:rFonts w:ascii="Calibri" w:hAnsi="Calibri"/>
                <w:szCs w:val="21"/>
              </w:rPr>
            </w:pPr>
            <w:r>
              <w:rPr>
                <w:rFonts w:ascii="Calibri" w:hAnsi="Calibri" w:hint="eastAsia"/>
                <w:szCs w:val="21"/>
              </w:rPr>
              <w:t>25</w:t>
            </w:r>
          </w:p>
        </w:tc>
      </w:tr>
      <w:tr w:rsidR="007D6441" w:rsidRPr="00A964FF" w14:paraId="54FE1464" w14:textId="77777777" w:rsidTr="007D6441">
        <w:trPr>
          <w:trHeight w:val="312"/>
        </w:trPr>
        <w:tc>
          <w:tcPr>
            <w:tcW w:w="775" w:type="pct"/>
            <w:vAlign w:val="center"/>
          </w:tcPr>
          <w:p w14:paraId="35219CF6"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6</w:t>
            </w:r>
          </w:p>
        </w:tc>
        <w:tc>
          <w:tcPr>
            <w:tcW w:w="1266" w:type="pct"/>
            <w:tcBorders>
              <w:right w:val="single" w:sz="4" w:space="0" w:color="auto"/>
            </w:tcBorders>
            <w:vAlign w:val="center"/>
          </w:tcPr>
          <w:p w14:paraId="658F4815" w14:textId="77777777" w:rsidR="007D6441" w:rsidRPr="00BB5174" w:rsidRDefault="007D6441" w:rsidP="007D6441">
            <w:pPr>
              <w:jc w:val="center"/>
              <w:rPr>
                <w:rFonts w:ascii="Calibri" w:hAnsi="Calibri"/>
                <w:szCs w:val="21"/>
              </w:rPr>
            </w:pPr>
            <w:r w:rsidRPr="00BB5174">
              <w:rPr>
                <w:rFonts w:ascii="Calibri" w:hAnsi="Calibri" w:hint="eastAsia"/>
                <w:szCs w:val="21"/>
              </w:rPr>
              <w:t>席庄</w:t>
            </w:r>
          </w:p>
        </w:tc>
        <w:tc>
          <w:tcPr>
            <w:tcW w:w="986" w:type="pct"/>
            <w:tcBorders>
              <w:right w:val="single" w:sz="4" w:space="0" w:color="auto"/>
            </w:tcBorders>
            <w:vAlign w:val="center"/>
          </w:tcPr>
          <w:p w14:paraId="44CD28BE" w14:textId="77777777" w:rsidR="007D6441" w:rsidRPr="00BB5174" w:rsidRDefault="007D6441" w:rsidP="007D6441">
            <w:pPr>
              <w:jc w:val="center"/>
              <w:rPr>
                <w:rFonts w:ascii="Calibri" w:hAnsi="Calibri"/>
                <w:szCs w:val="21"/>
              </w:rPr>
            </w:pPr>
            <w:r w:rsidRPr="00BB5174">
              <w:rPr>
                <w:rFonts w:ascii="Calibri" w:hAnsi="Calibri" w:hint="eastAsia"/>
                <w:szCs w:val="21"/>
              </w:rPr>
              <w:t>16</w:t>
            </w:r>
          </w:p>
        </w:tc>
        <w:tc>
          <w:tcPr>
            <w:tcW w:w="986" w:type="pct"/>
            <w:tcBorders>
              <w:left w:val="single" w:sz="4" w:space="0" w:color="auto"/>
            </w:tcBorders>
            <w:vAlign w:val="center"/>
          </w:tcPr>
          <w:p w14:paraId="0DA0D612" w14:textId="77777777" w:rsidR="007D6441" w:rsidRPr="00BB5174" w:rsidRDefault="007D6441" w:rsidP="007D6441">
            <w:pPr>
              <w:jc w:val="center"/>
              <w:rPr>
                <w:rFonts w:ascii="Calibri" w:hAnsi="Calibri"/>
                <w:szCs w:val="21"/>
              </w:rPr>
            </w:pPr>
            <w:r w:rsidRPr="00BB5174">
              <w:rPr>
                <w:rFonts w:ascii="Calibri" w:hAnsi="Calibri" w:hint="eastAsia"/>
                <w:szCs w:val="21"/>
              </w:rPr>
              <w:t>66</w:t>
            </w:r>
          </w:p>
        </w:tc>
        <w:tc>
          <w:tcPr>
            <w:tcW w:w="986" w:type="pct"/>
            <w:tcBorders>
              <w:left w:val="single" w:sz="4" w:space="0" w:color="auto"/>
            </w:tcBorders>
            <w:vAlign w:val="center"/>
          </w:tcPr>
          <w:p w14:paraId="6E412A3B" w14:textId="77777777" w:rsidR="007D6441" w:rsidRPr="00BB5174" w:rsidRDefault="007D6441" w:rsidP="007D6441">
            <w:pPr>
              <w:jc w:val="center"/>
              <w:rPr>
                <w:rFonts w:ascii="Calibri" w:hAnsi="Calibri"/>
                <w:szCs w:val="21"/>
              </w:rPr>
            </w:pPr>
            <w:r w:rsidRPr="00BB5174">
              <w:rPr>
                <w:rFonts w:ascii="Calibri" w:hAnsi="Calibri" w:hint="eastAsia"/>
                <w:szCs w:val="21"/>
              </w:rPr>
              <w:t>32</w:t>
            </w:r>
          </w:p>
        </w:tc>
      </w:tr>
      <w:tr w:rsidR="007D6441" w:rsidRPr="00A964FF" w14:paraId="43E0B142" w14:textId="77777777" w:rsidTr="007D6441">
        <w:trPr>
          <w:trHeight w:val="312"/>
        </w:trPr>
        <w:tc>
          <w:tcPr>
            <w:tcW w:w="775" w:type="pct"/>
            <w:vAlign w:val="center"/>
          </w:tcPr>
          <w:p w14:paraId="32611D04"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7</w:t>
            </w:r>
          </w:p>
        </w:tc>
        <w:tc>
          <w:tcPr>
            <w:tcW w:w="1266" w:type="pct"/>
            <w:tcBorders>
              <w:right w:val="single" w:sz="4" w:space="0" w:color="auto"/>
            </w:tcBorders>
            <w:vAlign w:val="center"/>
          </w:tcPr>
          <w:p w14:paraId="52A2F061" w14:textId="77777777" w:rsidR="007D6441" w:rsidRPr="00BB5174" w:rsidRDefault="007D6441" w:rsidP="007D6441">
            <w:pPr>
              <w:jc w:val="center"/>
              <w:rPr>
                <w:rFonts w:ascii="Calibri" w:hAnsi="Calibri"/>
                <w:szCs w:val="21"/>
              </w:rPr>
            </w:pPr>
            <w:r w:rsidRPr="00BB5174">
              <w:rPr>
                <w:rFonts w:ascii="Calibri" w:hAnsi="Calibri" w:hint="eastAsia"/>
                <w:szCs w:val="21"/>
              </w:rPr>
              <w:t>叶寨</w:t>
            </w:r>
          </w:p>
        </w:tc>
        <w:tc>
          <w:tcPr>
            <w:tcW w:w="986" w:type="pct"/>
            <w:tcBorders>
              <w:right w:val="single" w:sz="4" w:space="0" w:color="auto"/>
            </w:tcBorders>
            <w:vAlign w:val="center"/>
          </w:tcPr>
          <w:p w14:paraId="4FEC8F7B" w14:textId="77777777" w:rsidR="007D6441" w:rsidRPr="00BB5174" w:rsidRDefault="007D6441" w:rsidP="007D6441">
            <w:pPr>
              <w:jc w:val="center"/>
              <w:rPr>
                <w:rFonts w:ascii="Calibri" w:hAnsi="Calibri"/>
                <w:szCs w:val="21"/>
              </w:rPr>
            </w:pPr>
            <w:r w:rsidRPr="00BB5174">
              <w:rPr>
                <w:rFonts w:ascii="Calibri" w:hAnsi="Calibri" w:hint="eastAsia"/>
                <w:szCs w:val="21"/>
              </w:rPr>
              <w:t>10</w:t>
            </w:r>
          </w:p>
        </w:tc>
        <w:tc>
          <w:tcPr>
            <w:tcW w:w="986" w:type="pct"/>
            <w:tcBorders>
              <w:left w:val="single" w:sz="4" w:space="0" w:color="auto"/>
            </w:tcBorders>
            <w:vAlign w:val="center"/>
          </w:tcPr>
          <w:p w14:paraId="41493E25" w14:textId="77777777" w:rsidR="007D6441" w:rsidRPr="00BB5174" w:rsidRDefault="007D6441" w:rsidP="007D6441">
            <w:pPr>
              <w:jc w:val="center"/>
              <w:rPr>
                <w:rFonts w:ascii="Calibri" w:hAnsi="Calibri"/>
                <w:szCs w:val="21"/>
              </w:rPr>
            </w:pPr>
            <w:r w:rsidRPr="00BB5174">
              <w:rPr>
                <w:rFonts w:ascii="Calibri" w:hAnsi="Calibri" w:hint="eastAsia"/>
                <w:szCs w:val="21"/>
              </w:rPr>
              <w:t>75</w:t>
            </w:r>
          </w:p>
        </w:tc>
        <w:tc>
          <w:tcPr>
            <w:tcW w:w="986" w:type="pct"/>
            <w:tcBorders>
              <w:left w:val="single" w:sz="4" w:space="0" w:color="auto"/>
            </w:tcBorders>
            <w:vAlign w:val="center"/>
          </w:tcPr>
          <w:p w14:paraId="31E1F0D4" w14:textId="77777777" w:rsidR="007D6441" w:rsidRPr="00BB5174" w:rsidRDefault="007D6441" w:rsidP="007D6441">
            <w:pPr>
              <w:jc w:val="center"/>
              <w:rPr>
                <w:rFonts w:ascii="Calibri" w:hAnsi="Calibri"/>
                <w:szCs w:val="21"/>
              </w:rPr>
            </w:pPr>
            <w:r w:rsidRPr="00BB5174">
              <w:rPr>
                <w:rFonts w:ascii="Calibri" w:hAnsi="Calibri" w:hint="eastAsia"/>
                <w:szCs w:val="21"/>
              </w:rPr>
              <w:t>8.8</w:t>
            </w:r>
          </w:p>
        </w:tc>
      </w:tr>
      <w:tr w:rsidR="007D6441" w:rsidRPr="00A964FF" w14:paraId="079BAEA0" w14:textId="77777777" w:rsidTr="007D6441">
        <w:trPr>
          <w:trHeight w:val="312"/>
        </w:trPr>
        <w:tc>
          <w:tcPr>
            <w:tcW w:w="775" w:type="pct"/>
            <w:vAlign w:val="center"/>
          </w:tcPr>
          <w:p w14:paraId="1DFD0C51"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8</w:t>
            </w:r>
          </w:p>
        </w:tc>
        <w:tc>
          <w:tcPr>
            <w:tcW w:w="1266" w:type="pct"/>
            <w:tcBorders>
              <w:right w:val="single" w:sz="4" w:space="0" w:color="auto"/>
            </w:tcBorders>
            <w:vAlign w:val="center"/>
          </w:tcPr>
          <w:p w14:paraId="0FCE4304" w14:textId="77777777" w:rsidR="007D6441" w:rsidRPr="00BB5174" w:rsidRDefault="007D6441" w:rsidP="007D6441">
            <w:pPr>
              <w:jc w:val="center"/>
              <w:rPr>
                <w:rFonts w:ascii="Calibri" w:hAnsi="Calibri"/>
                <w:szCs w:val="21"/>
              </w:rPr>
            </w:pPr>
            <w:r w:rsidRPr="00BB5174">
              <w:rPr>
                <w:rFonts w:ascii="Calibri" w:hAnsi="Calibri" w:hint="eastAsia"/>
                <w:szCs w:val="21"/>
              </w:rPr>
              <w:t>楼马村</w:t>
            </w:r>
          </w:p>
        </w:tc>
        <w:tc>
          <w:tcPr>
            <w:tcW w:w="986" w:type="pct"/>
            <w:tcBorders>
              <w:right w:val="single" w:sz="4" w:space="0" w:color="auto"/>
            </w:tcBorders>
            <w:vAlign w:val="center"/>
          </w:tcPr>
          <w:p w14:paraId="76ED9DC8" w14:textId="77777777" w:rsidR="007D6441" w:rsidRPr="00BB5174" w:rsidRDefault="007D6441" w:rsidP="007D6441">
            <w:pPr>
              <w:jc w:val="center"/>
              <w:rPr>
                <w:rFonts w:ascii="Calibri" w:hAnsi="Calibri"/>
                <w:szCs w:val="21"/>
              </w:rPr>
            </w:pPr>
            <w:r w:rsidRPr="00BB5174">
              <w:rPr>
                <w:rFonts w:ascii="Calibri" w:hAnsi="Calibri" w:hint="eastAsia"/>
                <w:szCs w:val="21"/>
              </w:rPr>
              <w:t>20</w:t>
            </w:r>
          </w:p>
        </w:tc>
        <w:tc>
          <w:tcPr>
            <w:tcW w:w="986" w:type="pct"/>
            <w:tcBorders>
              <w:left w:val="single" w:sz="4" w:space="0" w:color="auto"/>
            </w:tcBorders>
            <w:vAlign w:val="center"/>
          </w:tcPr>
          <w:p w14:paraId="14CAFDBE" w14:textId="77777777" w:rsidR="007D6441" w:rsidRPr="00BB5174" w:rsidRDefault="007D6441" w:rsidP="007D6441">
            <w:pPr>
              <w:jc w:val="center"/>
              <w:rPr>
                <w:rFonts w:ascii="Calibri" w:hAnsi="Calibri"/>
                <w:szCs w:val="21"/>
              </w:rPr>
            </w:pPr>
            <w:r w:rsidRPr="00BB5174">
              <w:rPr>
                <w:rFonts w:ascii="Calibri" w:hAnsi="Calibri" w:hint="eastAsia"/>
                <w:szCs w:val="21"/>
              </w:rPr>
              <w:t>71</w:t>
            </w:r>
          </w:p>
        </w:tc>
        <w:tc>
          <w:tcPr>
            <w:tcW w:w="986" w:type="pct"/>
            <w:tcBorders>
              <w:left w:val="single" w:sz="4" w:space="0" w:color="auto"/>
            </w:tcBorders>
            <w:vAlign w:val="center"/>
          </w:tcPr>
          <w:p w14:paraId="4A750DB5" w14:textId="77777777" w:rsidR="007D6441" w:rsidRPr="00BB5174" w:rsidRDefault="007D6441" w:rsidP="007D6441">
            <w:pPr>
              <w:jc w:val="center"/>
              <w:rPr>
                <w:rFonts w:ascii="Calibri" w:hAnsi="Calibri"/>
                <w:szCs w:val="21"/>
              </w:rPr>
            </w:pPr>
            <w:r w:rsidRPr="00BB5174">
              <w:rPr>
                <w:rFonts w:ascii="Calibri" w:hAnsi="Calibri" w:hint="eastAsia"/>
                <w:szCs w:val="21"/>
              </w:rPr>
              <w:t>8.0</w:t>
            </w:r>
          </w:p>
        </w:tc>
      </w:tr>
      <w:tr w:rsidR="007D6441" w:rsidRPr="00A964FF" w14:paraId="58CF30FA" w14:textId="77777777" w:rsidTr="007D6441">
        <w:trPr>
          <w:trHeight w:val="312"/>
        </w:trPr>
        <w:tc>
          <w:tcPr>
            <w:tcW w:w="775" w:type="pct"/>
            <w:vAlign w:val="center"/>
          </w:tcPr>
          <w:p w14:paraId="7A86E9BE"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9</w:t>
            </w:r>
          </w:p>
        </w:tc>
        <w:tc>
          <w:tcPr>
            <w:tcW w:w="1266" w:type="pct"/>
            <w:tcBorders>
              <w:right w:val="single" w:sz="4" w:space="0" w:color="auto"/>
            </w:tcBorders>
            <w:vAlign w:val="center"/>
          </w:tcPr>
          <w:p w14:paraId="24C21204" w14:textId="77777777" w:rsidR="007D6441" w:rsidRPr="00BB5174" w:rsidRDefault="007D6441" w:rsidP="007D6441">
            <w:pPr>
              <w:jc w:val="center"/>
              <w:rPr>
                <w:rFonts w:ascii="Calibri" w:hAnsi="Calibri"/>
                <w:szCs w:val="21"/>
              </w:rPr>
            </w:pPr>
            <w:r w:rsidRPr="00BB5174">
              <w:rPr>
                <w:rFonts w:ascii="Calibri" w:hAnsi="Calibri" w:hint="eastAsia"/>
                <w:szCs w:val="21"/>
              </w:rPr>
              <w:t>贺渡口村</w:t>
            </w:r>
          </w:p>
        </w:tc>
        <w:tc>
          <w:tcPr>
            <w:tcW w:w="986" w:type="pct"/>
            <w:tcBorders>
              <w:right w:val="single" w:sz="4" w:space="0" w:color="auto"/>
            </w:tcBorders>
            <w:vAlign w:val="center"/>
          </w:tcPr>
          <w:p w14:paraId="4439DDD3" w14:textId="77777777" w:rsidR="007D6441" w:rsidRPr="00BB5174" w:rsidRDefault="007D6441" w:rsidP="007D6441">
            <w:pPr>
              <w:jc w:val="center"/>
              <w:rPr>
                <w:rFonts w:ascii="Calibri" w:hAnsi="Calibri"/>
                <w:szCs w:val="21"/>
              </w:rPr>
            </w:pPr>
            <w:r w:rsidRPr="00BB5174">
              <w:rPr>
                <w:rFonts w:ascii="Calibri" w:hAnsi="Calibri" w:hint="eastAsia"/>
                <w:szCs w:val="21"/>
              </w:rPr>
              <w:t>16.3</w:t>
            </w:r>
          </w:p>
        </w:tc>
        <w:tc>
          <w:tcPr>
            <w:tcW w:w="986" w:type="pct"/>
            <w:tcBorders>
              <w:left w:val="single" w:sz="4" w:space="0" w:color="auto"/>
            </w:tcBorders>
            <w:vAlign w:val="center"/>
          </w:tcPr>
          <w:p w14:paraId="7AFFAE3B" w14:textId="77777777" w:rsidR="007D6441" w:rsidRPr="00BB5174" w:rsidRDefault="007D6441" w:rsidP="007D6441">
            <w:pPr>
              <w:jc w:val="center"/>
              <w:rPr>
                <w:rFonts w:ascii="Calibri" w:hAnsi="Calibri"/>
                <w:szCs w:val="21"/>
              </w:rPr>
            </w:pPr>
            <w:r w:rsidRPr="00BB5174">
              <w:rPr>
                <w:rFonts w:ascii="Calibri" w:hAnsi="Calibri" w:hint="eastAsia"/>
                <w:szCs w:val="21"/>
              </w:rPr>
              <w:t>42</w:t>
            </w:r>
          </w:p>
        </w:tc>
        <w:tc>
          <w:tcPr>
            <w:tcW w:w="986" w:type="pct"/>
            <w:tcBorders>
              <w:left w:val="single" w:sz="4" w:space="0" w:color="auto"/>
            </w:tcBorders>
            <w:vAlign w:val="center"/>
          </w:tcPr>
          <w:p w14:paraId="3DCC11AF" w14:textId="77777777" w:rsidR="007D6441" w:rsidRPr="00BB5174" w:rsidRDefault="007D6441" w:rsidP="007D6441">
            <w:pPr>
              <w:jc w:val="center"/>
              <w:rPr>
                <w:rFonts w:ascii="Calibri" w:hAnsi="Calibri"/>
                <w:szCs w:val="21"/>
              </w:rPr>
            </w:pPr>
            <w:r w:rsidRPr="00BB5174">
              <w:rPr>
                <w:rFonts w:ascii="Calibri" w:hAnsi="Calibri" w:hint="eastAsia"/>
                <w:szCs w:val="21"/>
              </w:rPr>
              <w:t>30</w:t>
            </w:r>
          </w:p>
        </w:tc>
      </w:tr>
      <w:tr w:rsidR="007D6441" w:rsidRPr="00A964FF" w14:paraId="7D52A68F" w14:textId="77777777" w:rsidTr="007D6441">
        <w:trPr>
          <w:trHeight w:val="312"/>
        </w:trPr>
        <w:tc>
          <w:tcPr>
            <w:tcW w:w="775" w:type="pct"/>
            <w:vAlign w:val="center"/>
          </w:tcPr>
          <w:p w14:paraId="1F96CED3" w14:textId="77777777" w:rsidR="007D6441" w:rsidRPr="00A964FF" w:rsidRDefault="007D6441" w:rsidP="007D6441">
            <w:pPr>
              <w:jc w:val="center"/>
              <w:rPr>
                <w:rFonts w:ascii="Calibri"/>
                <w:bCs/>
                <w:color w:val="auto"/>
                <w:szCs w:val="21"/>
              </w:rPr>
            </w:pPr>
            <w:r w:rsidRPr="00A964FF">
              <w:rPr>
                <w:rFonts w:ascii="Calibri" w:hint="eastAsia"/>
                <w:bCs/>
                <w:color w:val="auto"/>
                <w:szCs w:val="21"/>
              </w:rPr>
              <w:t>10</w:t>
            </w:r>
          </w:p>
        </w:tc>
        <w:tc>
          <w:tcPr>
            <w:tcW w:w="1266" w:type="pct"/>
            <w:tcBorders>
              <w:right w:val="single" w:sz="4" w:space="0" w:color="auto"/>
            </w:tcBorders>
            <w:vAlign w:val="center"/>
          </w:tcPr>
          <w:p w14:paraId="77892C9F" w14:textId="77777777" w:rsidR="007D6441" w:rsidRPr="00A964FF" w:rsidRDefault="007D6441" w:rsidP="007D6441">
            <w:pPr>
              <w:jc w:val="center"/>
              <w:rPr>
                <w:rFonts w:ascii="Calibri" w:hAnsi="Calibri"/>
                <w:color w:val="auto"/>
                <w:szCs w:val="21"/>
              </w:rPr>
            </w:pPr>
            <w:r w:rsidRPr="00BB5174">
              <w:rPr>
                <w:rFonts w:ascii="Calibri" w:hAnsi="Calibri" w:hint="eastAsia"/>
                <w:szCs w:val="21"/>
              </w:rPr>
              <w:t>余营村</w:t>
            </w:r>
          </w:p>
        </w:tc>
        <w:tc>
          <w:tcPr>
            <w:tcW w:w="986" w:type="pct"/>
            <w:tcBorders>
              <w:right w:val="single" w:sz="4" w:space="0" w:color="auto"/>
            </w:tcBorders>
            <w:vAlign w:val="center"/>
          </w:tcPr>
          <w:p w14:paraId="6481C3E6" w14:textId="77777777" w:rsidR="007D6441" w:rsidRPr="00BB5174" w:rsidRDefault="007D6441" w:rsidP="007D6441">
            <w:pPr>
              <w:jc w:val="center"/>
              <w:rPr>
                <w:rFonts w:ascii="Calibri" w:hAnsi="Calibri"/>
                <w:szCs w:val="21"/>
              </w:rPr>
            </w:pPr>
            <w:r w:rsidRPr="00BB5174">
              <w:rPr>
                <w:rFonts w:ascii="Calibri" w:hAnsi="Calibri" w:hint="eastAsia"/>
                <w:szCs w:val="21"/>
              </w:rPr>
              <w:t>20</w:t>
            </w:r>
          </w:p>
        </w:tc>
        <w:tc>
          <w:tcPr>
            <w:tcW w:w="986" w:type="pct"/>
            <w:tcBorders>
              <w:left w:val="single" w:sz="4" w:space="0" w:color="auto"/>
            </w:tcBorders>
            <w:vAlign w:val="center"/>
          </w:tcPr>
          <w:p w14:paraId="61453D5F" w14:textId="77777777" w:rsidR="007D6441" w:rsidRPr="00BB5174" w:rsidRDefault="007D6441" w:rsidP="007D6441">
            <w:pPr>
              <w:jc w:val="center"/>
              <w:rPr>
                <w:rFonts w:ascii="Calibri" w:hAnsi="Calibri"/>
                <w:szCs w:val="21"/>
              </w:rPr>
            </w:pPr>
            <w:r w:rsidRPr="00BB5174">
              <w:rPr>
                <w:rFonts w:ascii="Calibri" w:hAnsi="Calibri" w:hint="eastAsia"/>
                <w:szCs w:val="21"/>
              </w:rPr>
              <w:t>74</w:t>
            </w:r>
          </w:p>
        </w:tc>
        <w:tc>
          <w:tcPr>
            <w:tcW w:w="986" w:type="pct"/>
            <w:tcBorders>
              <w:left w:val="single" w:sz="4" w:space="0" w:color="auto"/>
            </w:tcBorders>
            <w:vAlign w:val="center"/>
          </w:tcPr>
          <w:p w14:paraId="38505827" w14:textId="77777777" w:rsidR="007D6441" w:rsidRPr="00BB5174" w:rsidRDefault="007D6441" w:rsidP="007D6441">
            <w:pPr>
              <w:jc w:val="center"/>
              <w:rPr>
                <w:rFonts w:ascii="Calibri" w:hAnsi="Calibri"/>
                <w:szCs w:val="21"/>
              </w:rPr>
            </w:pPr>
            <w:r w:rsidRPr="00BB5174">
              <w:rPr>
                <w:rFonts w:ascii="Calibri" w:hAnsi="Calibri" w:hint="eastAsia"/>
                <w:szCs w:val="21"/>
              </w:rPr>
              <w:t>8.6</w:t>
            </w:r>
          </w:p>
        </w:tc>
      </w:tr>
    </w:tbl>
    <w:p w14:paraId="66CCA658" w14:textId="77777777" w:rsidR="003E36C1" w:rsidRPr="0071576B" w:rsidRDefault="0055605A" w:rsidP="0071576B">
      <w:pPr>
        <w:pStyle w:val="00"/>
        <w:rPr>
          <w:rFonts w:ascii="Calibri" w:hAnsi="Calibri"/>
          <w:color w:val="auto"/>
        </w:rPr>
      </w:pPr>
      <w:r w:rsidRPr="00A964FF">
        <w:rPr>
          <w:rFonts w:ascii="Calibri" w:hAnsi="Calibri" w:hint="eastAsia"/>
          <w:color w:val="auto"/>
        </w:rPr>
        <w:t>地下水各测点八大因子检测结果见表</w:t>
      </w:r>
      <w:r w:rsidRPr="00A964FF">
        <w:rPr>
          <w:rFonts w:ascii="Calibri" w:hAnsi="Calibri" w:hint="eastAsia"/>
          <w:color w:val="auto"/>
        </w:rPr>
        <w:t>3</w:t>
      </w:r>
      <w:r w:rsidR="00A6079A" w:rsidRPr="00A964FF">
        <w:rPr>
          <w:rFonts w:ascii="Calibri" w:hAnsi="Calibri" w:hint="eastAsia"/>
          <w:color w:val="auto"/>
        </w:rPr>
        <w:t>.3</w:t>
      </w:r>
      <w:r w:rsidRPr="00A964FF">
        <w:rPr>
          <w:rFonts w:ascii="Calibri" w:hAnsi="Calibri" w:hint="eastAsia"/>
          <w:color w:val="auto"/>
        </w:rPr>
        <w:t>-</w:t>
      </w:r>
      <w:r w:rsidR="00A6079A" w:rsidRPr="00A964FF">
        <w:rPr>
          <w:rFonts w:ascii="Calibri" w:hAnsi="Calibri" w:hint="eastAsia"/>
          <w:color w:val="auto"/>
        </w:rPr>
        <w:t>1</w:t>
      </w:r>
      <w:r w:rsidR="00AC555A">
        <w:rPr>
          <w:rFonts w:ascii="Calibri" w:hAnsi="Calibri" w:hint="eastAsia"/>
          <w:color w:val="auto"/>
        </w:rPr>
        <w:t>6</w:t>
      </w:r>
      <w:r w:rsidRPr="00A964FF">
        <w:rPr>
          <w:rFonts w:ascii="Calibri" w:hAnsi="Calibri" w:hint="eastAsia"/>
          <w:color w:val="auto"/>
        </w:rPr>
        <w:t>。</w:t>
      </w:r>
    </w:p>
    <w:p w14:paraId="54167B79" w14:textId="77777777" w:rsidR="00F0532D" w:rsidRPr="00A964FF" w:rsidRDefault="0055605A" w:rsidP="00F0532D">
      <w:pPr>
        <w:pStyle w:val="a1"/>
        <w:spacing w:line="520" w:lineRule="exact"/>
        <w:ind w:firstLineChars="200" w:firstLine="480"/>
        <w:rPr>
          <w:rFonts w:ascii="黑体" w:eastAsia="黑体" w:hAnsi="Calibri"/>
          <w:bCs/>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3</w:t>
      </w:r>
      <w:r w:rsidR="00A6079A" w:rsidRPr="00A964FF">
        <w:rPr>
          <w:rFonts w:ascii="Calibri" w:eastAsia="黑体" w:hAnsi="Calibri" w:hint="eastAsia"/>
          <w:color w:val="auto"/>
          <w:sz w:val="24"/>
        </w:rPr>
        <w:t>.3</w:t>
      </w:r>
      <w:r w:rsidRPr="00A964FF">
        <w:rPr>
          <w:rFonts w:ascii="Calibri" w:eastAsia="黑体" w:hAnsi="Calibri"/>
          <w:color w:val="auto"/>
          <w:sz w:val="24"/>
        </w:rPr>
        <w:t>-</w:t>
      </w:r>
      <w:r w:rsidR="00AC555A">
        <w:rPr>
          <w:rFonts w:ascii="Calibri" w:eastAsia="黑体" w:hAnsi="Calibri" w:hint="eastAsia"/>
          <w:color w:val="auto"/>
          <w:sz w:val="24"/>
        </w:rPr>
        <w:t>1</w:t>
      </w:r>
      <w:r w:rsidR="00AC555A">
        <w:rPr>
          <w:rFonts w:ascii="Calibri" w:eastAsia="黑体" w:hAnsi="Calibri"/>
          <w:color w:val="auto"/>
          <w:sz w:val="24"/>
        </w:rPr>
        <w:t>6</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地下水各测点八大因子检测结果</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hAnsi="Calibri"/>
          <w:color w:val="auto"/>
          <w:szCs w:val="21"/>
        </w:rPr>
        <w:t>单位：</w:t>
      </w:r>
      <w:r w:rsidR="00CC55BB" w:rsidRPr="00A964FF">
        <w:rPr>
          <w:rFonts w:ascii="Calibri" w:hAnsi="Calibri"/>
          <w:color w:val="auto"/>
          <w:szCs w:val="21"/>
        </w:rPr>
        <w:t>mg/L</w:t>
      </w:r>
      <w:r w:rsidR="00F0532D" w:rsidRPr="00A964FF">
        <w:rPr>
          <w:rFonts w:ascii="黑体" w:eastAsia="黑体" w:hAnsi="Calibri"/>
          <w:bCs/>
          <w:color w:val="auto"/>
          <w:sz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872"/>
        <w:gridCol w:w="1458"/>
        <w:gridCol w:w="1275"/>
        <w:gridCol w:w="1274"/>
        <w:gridCol w:w="1275"/>
        <w:gridCol w:w="1274"/>
        <w:gridCol w:w="1272"/>
      </w:tblGrid>
      <w:tr w:rsidR="0071576B" w:rsidRPr="00A964FF" w14:paraId="5DE807A6" w14:textId="77777777" w:rsidTr="007D6441">
        <w:trPr>
          <w:trHeight w:val="340"/>
          <w:jc w:val="center"/>
        </w:trPr>
        <w:tc>
          <w:tcPr>
            <w:tcW w:w="501" w:type="pct"/>
            <w:vAlign w:val="center"/>
          </w:tcPr>
          <w:p w14:paraId="7D8BB44F" w14:textId="77777777" w:rsidR="0071576B" w:rsidRPr="00A964FF" w:rsidRDefault="0071576B" w:rsidP="00DB1CA5">
            <w:pPr>
              <w:jc w:val="center"/>
              <w:rPr>
                <w:rFonts w:ascii="Calibri" w:hAnsi="Calibri"/>
                <w:color w:val="auto"/>
                <w:szCs w:val="21"/>
              </w:rPr>
            </w:pPr>
            <w:r w:rsidRPr="00A964FF">
              <w:rPr>
                <w:rFonts w:ascii="Calibri"/>
                <w:color w:val="auto"/>
                <w:szCs w:val="21"/>
              </w:rPr>
              <w:t>序号</w:t>
            </w:r>
          </w:p>
        </w:tc>
        <w:tc>
          <w:tcPr>
            <w:tcW w:w="838" w:type="pct"/>
            <w:vAlign w:val="center"/>
          </w:tcPr>
          <w:p w14:paraId="7391355B" w14:textId="77777777" w:rsidR="0071576B" w:rsidRPr="00A964FF" w:rsidRDefault="0071576B" w:rsidP="00DB1CA5">
            <w:pPr>
              <w:jc w:val="center"/>
              <w:rPr>
                <w:rFonts w:ascii="Calibri"/>
                <w:color w:val="auto"/>
                <w:szCs w:val="21"/>
              </w:rPr>
            </w:pPr>
            <w:r w:rsidRPr="00A964FF">
              <w:rPr>
                <w:rFonts w:ascii="Calibri" w:hint="eastAsia"/>
                <w:color w:val="auto"/>
                <w:szCs w:val="21"/>
              </w:rPr>
              <w:t>评价因子</w:t>
            </w:r>
          </w:p>
        </w:tc>
        <w:tc>
          <w:tcPr>
            <w:tcW w:w="733" w:type="pct"/>
            <w:tcBorders>
              <w:bottom w:val="single" w:sz="4" w:space="0" w:color="auto"/>
              <w:right w:val="single" w:sz="2" w:space="0" w:color="auto"/>
            </w:tcBorders>
            <w:vAlign w:val="center"/>
          </w:tcPr>
          <w:p w14:paraId="24B8CB3D" w14:textId="77777777" w:rsidR="0071576B" w:rsidRPr="00A964FF" w:rsidRDefault="007D6441" w:rsidP="00DB1CA5">
            <w:pPr>
              <w:jc w:val="center"/>
              <w:rPr>
                <w:rFonts w:ascii="Calibri"/>
                <w:color w:val="auto"/>
                <w:szCs w:val="21"/>
              </w:rPr>
            </w:pPr>
            <w:r>
              <w:rPr>
                <w:rFonts w:cs="Times New Roman" w:hint="eastAsia"/>
                <w:color w:val="auto"/>
                <w:szCs w:val="21"/>
              </w:rPr>
              <w:t>龚店镇</w:t>
            </w:r>
          </w:p>
        </w:tc>
        <w:tc>
          <w:tcPr>
            <w:tcW w:w="732" w:type="pct"/>
            <w:tcBorders>
              <w:left w:val="single" w:sz="2" w:space="0" w:color="auto"/>
              <w:bottom w:val="single" w:sz="4" w:space="0" w:color="auto"/>
              <w:right w:val="single" w:sz="4" w:space="0" w:color="auto"/>
            </w:tcBorders>
            <w:vAlign w:val="center"/>
          </w:tcPr>
          <w:p w14:paraId="60599B48" w14:textId="77777777" w:rsidR="0071576B" w:rsidRPr="0071576B" w:rsidRDefault="007D6441" w:rsidP="0071576B">
            <w:pPr>
              <w:jc w:val="center"/>
              <w:rPr>
                <w:rFonts w:cs="Times New Roman"/>
                <w:szCs w:val="21"/>
              </w:rPr>
            </w:pPr>
            <w:r>
              <w:rPr>
                <w:rFonts w:cs="Times New Roman" w:hint="eastAsia"/>
                <w:color w:val="auto"/>
                <w:szCs w:val="21"/>
              </w:rPr>
              <w:t>节庄村</w:t>
            </w:r>
          </w:p>
        </w:tc>
        <w:tc>
          <w:tcPr>
            <w:tcW w:w="733" w:type="pct"/>
            <w:tcBorders>
              <w:left w:val="single" w:sz="4" w:space="0" w:color="auto"/>
              <w:right w:val="single" w:sz="2" w:space="0" w:color="auto"/>
            </w:tcBorders>
            <w:vAlign w:val="center"/>
          </w:tcPr>
          <w:p w14:paraId="68A6F4DE" w14:textId="77777777" w:rsidR="0071576B" w:rsidRPr="00A964FF" w:rsidRDefault="007D6441" w:rsidP="00DB1CA5">
            <w:pPr>
              <w:jc w:val="center"/>
              <w:rPr>
                <w:rFonts w:ascii="Calibri"/>
                <w:color w:val="auto"/>
                <w:szCs w:val="21"/>
              </w:rPr>
            </w:pPr>
            <w:r>
              <w:rPr>
                <w:rFonts w:cs="Times New Roman" w:hint="eastAsia"/>
                <w:color w:val="auto"/>
                <w:szCs w:val="21"/>
              </w:rPr>
              <w:t>泥河张</w:t>
            </w:r>
          </w:p>
        </w:tc>
        <w:tc>
          <w:tcPr>
            <w:tcW w:w="732" w:type="pct"/>
            <w:tcBorders>
              <w:left w:val="single" w:sz="2" w:space="0" w:color="auto"/>
            </w:tcBorders>
            <w:vAlign w:val="center"/>
          </w:tcPr>
          <w:p w14:paraId="680CCF13" w14:textId="77777777" w:rsidR="0071576B" w:rsidRPr="00A964FF" w:rsidRDefault="007D6441" w:rsidP="00DB1CA5">
            <w:pPr>
              <w:jc w:val="center"/>
              <w:rPr>
                <w:rFonts w:ascii="Calibri"/>
                <w:color w:val="auto"/>
                <w:szCs w:val="21"/>
              </w:rPr>
            </w:pPr>
            <w:r>
              <w:rPr>
                <w:rFonts w:cs="Times New Roman" w:hint="eastAsia"/>
                <w:color w:val="auto"/>
                <w:szCs w:val="21"/>
              </w:rPr>
              <w:t>坡</w:t>
            </w:r>
            <w:r>
              <w:rPr>
                <w:rFonts w:cs="Times New Roman"/>
                <w:color w:val="auto"/>
                <w:szCs w:val="21"/>
              </w:rPr>
              <w:t>宋村</w:t>
            </w:r>
          </w:p>
        </w:tc>
        <w:tc>
          <w:tcPr>
            <w:tcW w:w="731" w:type="pct"/>
            <w:tcBorders>
              <w:left w:val="single" w:sz="4" w:space="0" w:color="auto"/>
            </w:tcBorders>
            <w:vAlign w:val="center"/>
          </w:tcPr>
          <w:p w14:paraId="4E70F15B" w14:textId="77777777" w:rsidR="0071576B" w:rsidRPr="0071576B" w:rsidRDefault="007D6441" w:rsidP="0071576B">
            <w:pPr>
              <w:jc w:val="center"/>
              <w:rPr>
                <w:rFonts w:cs="Times New Roman"/>
                <w:szCs w:val="21"/>
              </w:rPr>
            </w:pPr>
            <w:r>
              <w:rPr>
                <w:rFonts w:cs="Times New Roman" w:hint="eastAsia"/>
                <w:color w:val="auto"/>
                <w:szCs w:val="21"/>
              </w:rPr>
              <w:t>周庄</w:t>
            </w:r>
          </w:p>
        </w:tc>
      </w:tr>
      <w:tr w:rsidR="007D6441" w:rsidRPr="00A964FF" w14:paraId="54A00E4A" w14:textId="77777777" w:rsidTr="007D6441">
        <w:trPr>
          <w:trHeight w:val="340"/>
          <w:jc w:val="center"/>
        </w:trPr>
        <w:tc>
          <w:tcPr>
            <w:tcW w:w="501" w:type="pct"/>
            <w:vAlign w:val="center"/>
          </w:tcPr>
          <w:p w14:paraId="297A521C" w14:textId="77777777" w:rsidR="007D6441" w:rsidRPr="00A964FF" w:rsidRDefault="007D6441" w:rsidP="007D6441">
            <w:pPr>
              <w:pStyle w:val="a1"/>
              <w:tabs>
                <w:tab w:val="left" w:pos="7560"/>
              </w:tabs>
              <w:ind w:firstLine="0"/>
              <w:jc w:val="center"/>
              <w:rPr>
                <w:rFonts w:ascii="Calibri" w:hAnsi="Calibri"/>
                <w:bCs/>
                <w:color w:val="auto"/>
                <w:szCs w:val="21"/>
              </w:rPr>
            </w:pPr>
            <w:r w:rsidRPr="00A964FF">
              <w:rPr>
                <w:rFonts w:ascii="Calibri" w:hAnsi="Calibri" w:hint="eastAsia"/>
                <w:bCs/>
                <w:color w:val="auto"/>
                <w:szCs w:val="21"/>
              </w:rPr>
              <w:t>1</w:t>
            </w:r>
          </w:p>
        </w:tc>
        <w:tc>
          <w:tcPr>
            <w:tcW w:w="838" w:type="pct"/>
            <w:vAlign w:val="center"/>
          </w:tcPr>
          <w:p w14:paraId="54ACB7BD"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K</w:t>
            </w:r>
            <w:r w:rsidRPr="00A964FF">
              <w:rPr>
                <w:rFonts w:ascii="Calibri" w:hAnsi="Calibri"/>
                <w:color w:val="auto"/>
                <w:szCs w:val="21"/>
                <w:vertAlign w:val="superscript"/>
              </w:rPr>
              <w:t>+</w:t>
            </w:r>
          </w:p>
        </w:tc>
        <w:tc>
          <w:tcPr>
            <w:tcW w:w="733" w:type="pct"/>
            <w:tcBorders>
              <w:right w:val="single" w:sz="2" w:space="0" w:color="auto"/>
            </w:tcBorders>
            <w:vAlign w:val="center"/>
          </w:tcPr>
          <w:p w14:paraId="0111B703" w14:textId="77777777" w:rsidR="007D6441" w:rsidRPr="00BB5174" w:rsidRDefault="007D6441" w:rsidP="007D6441">
            <w:pPr>
              <w:jc w:val="center"/>
              <w:rPr>
                <w:rFonts w:ascii="Calibri" w:hAnsi="Calibri"/>
                <w:szCs w:val="21"/>
              </w:rPr>
            </w:pPr>
            <w:r w:rsidRPr="00BB5174">
              <w:rPr>
                <w:rFonts w:ascii="Calibri" w:hAnsi="Calibri" w:hint="eastAsia"/>
                <w:szCs w:val="21"/>
              </w:rPr>
              <w:t>1.82</w:t>
            </w:r>
          </w:p>
        </w:tc>
        <w:tc>
          <w:tcPr>
            <w:tcW w:w="732" w:type="pct"/>
            <w:tcBorders>
              <w:left w:val="single" w:sz="2" w:space="0" w:color="auto"/>
              <w:bottom w:val="single" w:sz="4" w:space="0" w:color="auto"/>
              <w:right w:val="single" w:sz="4" w:space="0" w:color="auto"/>
            </w:tcBorders>
            <w:vAlign w:val="center"/>
          </w:tcPr>
          <w:p w14:paraId="1FA6B067" w14:textId="77777777" w:rsidR="007D6441" w:rsidRPr="00BB5174" w:rsidRDefault="007D6441" w:rsidP="007D6441">
            <w:pPr>
              <w:jc w:val="center"/>
              <w:rPr>
                <w:rFonts w:ascii="Calibri" w:hAnsi="Calibri"/>
                <w:szCs w:val="21"/>
              </w:rPr>
            </w:pPr>
            <w:r>
              <w:rPr>
                <w:rFonts w:ascii="Calibri" w:hAnsi="Calibri" w:hint="eastAsia"/>
                <w:szCs w:val="21"/>
              </w:rPr>
              <w:t>1.67</w:t>
            </w:r>
          </w:p>
        </w:tc>
        <w:tc>
          <w:tcPr>
            <w:tcW w:w="733" w:type="pct"/>
            <w:tcBorders>
              <w:left w:val="single" w:sz="4" w:space="0" w:color="auto"/>
              <w:right w:val="single" w:sz="2" w:space="0" w:color="auto"/>
            </w:tcBorders>
            <w:vAlign w:val="center"/>
          </w:tcPr>
          <w:p w14:paraId="58CA2FBE" w14:textId="77777777" w:rsidR="007D6441" w:rsidRPr="00BB5174" w:rsidRDefault="007D6441" w:rsidP="007D6441">
            <w:pPr>
              <w:jc w:val="center"/>
              <w:rPr>
                <w:rFonts w:ascii="Calibri" w:hAnsi="Calibri"/>
                <w:szCs w:val="21"/>
              </w:rPr>
            </w:pPr>
            <w:r w:rsidRPr="00BB5174">
              <w:rPr>
                <w:rFonts w:ascii="Calibri" w:hAnsi="Calibri" w:hint="eastAsia"/>
                <w:szCs w:val="21"/>
              </w:rPr>
              <w:t>2.15</w:t>
            </w:r>
          </w:p>
        </w:tc>
        <w:tc>
          <w:tcPr>
            <w:tcW w:w="732" w:type="pct"/>
            <w:tcBorders>
              <w:left w:val="single" w:sz="2" w:space="0" w:color="auto"/>
            </w:tcBorders>
            <w:vAlign w:val="center"/>
          </w:tcPr>
          <w:p w14:paraId="5F966693" w14:textId="77777777" w:rsidR="007D6441" w:rsidRPr="00BB5174" w:rsidRDefault="007D6441" w:rsidP="007D6441">
            <w:pPr>
              <w:jc w:val="center"/>
              <w:rPr>
                <w:rFonts w:ascii="Calibri" w:hAnsi="Calibri"/>
                <w:szCs w:val="21"/>
              </w:rPr>
            </w:pPr>
            <w:r w:rsidRPr="00BB5174">
              <w:rPr>
                <w:rFonts w:ascii="Calibri" w:hAnsi="Calibri" w:hint="eastAsia"/>
                <w:szCs w:val="21"/>
              </w:rPr>
              <w:t>1.24</w:t>
            </w:r>
          </w:p>
        </w:tc>
        <w:tc>
          <w:tcPr>
            <w:tcW w:w="731" w:type="pct"/>
            <w:tcBorders>
              <w:left w:val="single" w:sz="4" w:space="0" w:color="auto"/>
            </w:tcBorders>
            <w:vAlign w:val="center"/>
          </w:tcPr>
          <w:p w14:paraId="27E9EFC5" w14:textId="77777777" w:rsidR="007D6441" w:rsidRPr="00BB5174" w:rsidRDefault="007D6441" w:rsidP="007D6441">
            <w:pPr>
              <w:jc w:val="center"/>
              <w:rPr>
                <w:rFonts w:ascii="Calibri" w:hAnsi="Calibri"/>
                <w:szCs w:val="21"/>
              </w:rPr>
            </w:pPr>
            <w:r w:rsidRPr="00BB5174">
              <w:rPr>
                <w:rFonts w:ascii="Calibri" w:hAnsi="Calibri" w:hint="eastAsia"/>
                <w:szCs w:val="21"/>
              </w:rPr>
              <w:t>0.74</w:t>
            </w:r>
          </w:p>
        </w:tc>
      </w:tr>
      <w:tr w:rsidR="007D6441" w:rsidRPr="00A964FF" w14:paraId="10918D6E" w14:textId="77777777" w:rsidTr="007D6441">
        <w:trPr>
          <w:trHeight w:val="340"/>
          <w:jc w:val="center"/>
        </w:trPr>
        <w:tc>
          <w:tcPr>
            <w:tcW w:w="501" w:type="pct"/>
            <w:vAlign w:val="center"/>
          </w:tcPr>
          <w:p w14:paraId="1B510FCA" w14:textId="77777777" w:rsidR="007D6441" w:rsidRPr="00A964FF" w:rsidRDefault="007D6441" w:rsidP="007D6441">
            <w:pPr>
              <w:pStyle w:val="a1"/>
              <w:ind w:firstLine="0"/>
              <w:jc w:val="center"/>
              <w:rPr>
                <w:rFonts w:ascii="Calibri" w:hAnsi="Calibri"/>
                <w:color w:val="auto"/>
                <w:szCs w:val="21"/>
              </w:rPr>
            </w:pPr>
            <w:r w:rsidRPr="00A964FF">
              <w:rPr>
                <w:rFonts w:ascii="Calibri" w:hAnsi="Calibri" w:hint="eastAsia"/>
                <w:color w:val="auto"/>
                <w:szCs w:val="21"/>
              </w:rPr>
              <w:t>2</w:t>
            </w:r>
          </w:p>
        </w:tc>
        <w:tc>
          <w:tcPr>
            <w:tcW w:w="838" w:type="pct"/>
            <w:vAlign w:val="center"/>
          </w:tcPr>
          <w:p w14:paraId="0FD7893C"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Na</w:t>
            </w:r>
            <w:r w:rsidRPr="00A964FF">
              <w:rPr>
                <w:rFonts w:ascii="Calibri" w:hAnsi="Calibri"/>
                <w:color w:val="auto"/>
                <w:szCs w:val="21"/>
                <w:vertAlign w:val="superscript"/>
              </w:rPr>
              <w:t>+</w:t>
            </w:r>
          </w:p>
        </w:tc>
        <w:tc>
          <w:tcPr>
            <w:tcW w:w="733" w:type="pct"/>
            <w:tcBorders>
              <w:right w:val="single" w:sz="2" w:space="0" w:color="auto"/>
            </w:tcBorders>
            <w:vAlign w:val="center"/>
          </w:tcPr>
          <w:p w14:paraId="5AB875E6" w14:textId="77777777" w:rsidR="007D6441" w:rsidRPr="00BB5174" w:rsidRDefault="007D6441" w:rsidP="007D6441">
            <w:pPr>
              <w:jc w:val="center"/>
              <w:rPr>
                <w:rFonts w:ascii="Calibri" w:hAnsi="Calibri"/>
                <w:szCs w:val="21"/>
              </w:rPr>
            </w:pPr>
            <w:r w:rsidRPr="00BB5174">
              <w:rPr>
                <w:rFonts w:ascii="Calibri" w:hAnsi="Calibri" w:hint="eastAsia"/>
                <w:szCs w:val="21"/>
              </w:rPr>
              <w:t>42.5</w:t>
            </w:r>
          </w:p>
        </w:tc>
        <w:tc>
          <w:tcPr>
            <w:tcW w:w="732" w:type="pct"/>
            <w:tcBorders>
              <w:top w:val="single" w:sz="4" w:space="0" w:color="auto"/>
              <w:left w:val="single" w:sz="2" w:space="0" w:color="auto"/>
              <w:right w:val="single" w:sz="4" w:space="0" w:color="auto"/>
            </w:tcBorders>
            <w:vAlign w:val="center"/>
          </w:tcPr>
          <w:p w14:paraId="718FCDBF" w14:textId="77777777" w:rsidR="007D6441" w:rsidRPr="00BB5174" w:rsidRDefault="007D6441" w:rsidP="007D6441">
            <w:pPr>
              <w:jc w:val="center"/>
              <w:rPr>
                <w:rFonts w:ascii="Calibri" w:hAnsi="Calibri"/>
                <w:szCs w:val="21"/>
              </w:rPr>
            </w:pPr>
            <w:r>
              <w:rPr>
                <w:rFonts w:ascii="Calibri" w:hAnsi="Calibri" w:hint="eastAsia"/>
                <w:szCs w:val="21"/>
              </w:rPr>
              <w:t>25.8</w:t>
            </w:r>
          </w:p>
        </w:tc>
        <w:tc>
          <w:tcPr>
            <w:tcW w:w="733" w:type="pct"/>
            <w:tcBorders>
              <w:left w:val="single" w:sz="4" w:space="0" w:color="auto"/>
              <w:right w:val="single" w:sz="2" w:space="0" w:color="auto"/>
            </w:tcBorders>
            <w:vAlign w:val="center"/>
          </w:tcPr>
          <w:p w14:paraId="34D50662" w14:textId="77777777" w:rsidR="007D6441" w:rsidRPr="00BB5174" w:rsidRDefault="007D6441" w:rsidP="007D6441">
            <w:pPr>
              <w:jc w:val="center"/>
              <w:rPr>
                <w:rFonts w:ascii="Calibri" w:hAnsi="Calibri"/>
                <w:szCs w:val="21"/>
              </w:rPr>
            </w:pPr>
            <w:r w:rsidRPr="00BB5174">
              <w:rPr>
                <w:rFonts w:ascii="Calibri" w:hAnsi="Calibri" w:hint="eastAsia"/>
                <w:szCs w:val="21"/>
              </w:rPr>
              <w:t>35.2</w:t>
            </w:r>
          </w:p>
        </w:tc>
        <w:tc>
          <w:tcPr>
            <w:tcW w:w="732" w:type="pct"/>
            <w:tcBorders>
              <w:left w:val="single" w:sz="2" w:space="0" w:color="auto"/>
            </w:tcBorders>
            <w:vAlign w:val="center"/>
          </w:tcPr>
          <w:p w14:paraId="6B62A9F3" w14:textId="77777777" w:rsidR="007D6441" w:rsidRPr="00BB5174" w:rsidRDefault="007D6441" w:rsidP="007D6441">
            <w:pPr>
              <w:jc w:val="center"/>
              <w:rPr>
                <w:rFonts w:ascii="Calibri" w:hAnsi="Calibri"/>
                <w:szCs w:val="21"/>
              </w:rPr>
            </w:pPr>
            <w:r w:rsidRPr="00BB5174">
              <w:rPr>
                <w:rFonts w:ascii="Calibri" w:hAnsi="Calibri" w:hint="eastAsia"/>
                <w:szCs w:val="21"/>
              </w:rPr>
              <w:t>65.0</w:t>
            </w:r>
          </w:p>
        </w:tc>
        <w:tc>
          <w:tcPr>
            <w:tcW w:w="731" w:type="pct"/>
            <w:tcBorders>
              <w:left w:val="single" w:sz="4" w:space="0" w:color="auto"/>
            </w:tcBorders>
            <w:vAlign w:val="center"/>
          </w:tcPr>
          <w:p w14:paraId="431ED300" w14:textId="77777777" w:rsidR="007D6441" w:rsidRPr="00BB5174" w:rsidRDefault="007D6441" w:rsidP="007D6441">
            <w:pPr>
              <w:jc w:val="center"/>
              <w:rPr>
                <w:rFonts w:ascii="Calibri" w:hAnsi="Calibri"/>
                <w:szCs w:val="21"/>
              </w:rPr>
            </w:pPr>
            <w:r w:rsidRPr="00BB5174">
              <w:rPr>
                <w:rFonts w:ascii="Calibri" w:hAnsi="Calibri" w:hint="eastAsia"/>
                <w:szCs w:val="21"/>
              </w:rPr>
              <w:t>71.1</w:t>
            </w:r>
          </w:p>
        </w:tc>
      </w:tr>
      <w:tr w:rsidR="007D6441" w:rsidRPr="00A964FF" w14:paraId="6EF801AC" w14:textId="77777777" w:rsidTr="007D6441">
        <w:trPr>
          <w:trHeight w:val="340"/>
          <w:jc w:val="center"/>
        </w:trPr>
        <w:tc>
          <w:tcPr>
            <w:tcW w:w="501" w:type="pct"/>
            <w:vAlign w:val="center"/>
          </w:tcPr>
          <w:p w14:paraId="3AEB740D" w14:textId="77777777" w:rsidR="007D6441" w:rsidRPr="00A964FF" w:rsidRDefault="007D6441" w:rsidP="007D6441">
            <w:pPr>
              <w:pStyle w:val="a1"/>
              <w:ind w:firstLine="0"/>
              <w:jc w:val="center"/>
              <w:rPr>
                <w:rFonts w:ascii="Calibri" w:hAnsi="Calibri"/>
                <w:color w:val="auto"/>
                <w:szCs w:val="21"/>
              </w:rPr>
            </w:pPr>
            <w:r w:rsidRPr="00A964FF">
              <w:rPr>
                <w:rFonts w:ascii="Calibri" w:hAnsi="Calibri" w:hint="eastAsia"/>
                <w:color w:val="auto"/>
                <w:szCs w:val="21"/>
              </w:rPr>
              <w:t>3</w:t>
            </w:r>
          </w:p>
        </w:tc>
        <w:tc>
          <w:tcPr>
            <w:tcW w:w="838" w:type="pct"/>
            <w:vAlign w:val="center"/>
          </w:tcPr>
          <w:p w14:paraId="75CFEE50"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Ca</w:t>
            </w:r>
            <w:r w:rsidRPr="00A964FF">
              <w:rPr>
                <w:rFonts w:ascii="Calibri" w:hAnsi="Calibri"/>
                <w:color w:val="auto"/>
                <w:szCs w:val="21"/>
                <w:vertAlign w:val="superscript"/>
              </w:rPr>
              <w:t>2+</w:t>
            </w:r>
          </w:p>
        </w:tc>
        <w:tc>
          <w:tcPr>
            <w:tcW w:w="733" w:type="pct"/>
            <w:tcBorders>
              <w:right w:val="single" w:sz="2" w:space="0" w:color="auto"/>
            </w:tcBorders>
            <w:vAlign w:val="center"/>
          </w:tcPr>
          <w:p w14:paraId="44F659DD" w14:textId="77777777" w:rsidR="007D6441" w:rsidRPr="00BB5174" w:rsidRDefault="007D6441" w:rsidP="007D6441">
            <w:pPr>
              <w:jc w:val="center"/>
              <w:rPr>
                <w:rFonts w:ascii="Calibri" w:hAnsi="Calibri"/>
                <w:szCs w:val="21"/>
              </w:rPr>
            </w:pPr>
            <w:r w:rsidRPr="00BB5174">
              <w:rPr>
                <w:rFonts w:ascii="Calibri" w:hAnsi="Calibri" w:hint="eastAsia"/>
                <w:szCs w:val="21"/>
              </w:rPr>
              <w:t>53.6</w:t>
            </w:r>
          </w:p>
        </w:tc>
        <w:tc>
          <w:tcPr>
            <w:tcW w:w="732" w:type="pct"/>
            <w:tcBorders>
              <w:left w:val="single" w:sz="2" w:space="0" w:color="auto"/>
              <w:right w:val="single" w:sz="4" w:space="0" w:color="auto"/>
            </w:tcBorders>
            <w:vAlign w:val="center"/>
          </w:tcPr>
          <w:p w14:paraId="39E25538" w14:textId="77777777" w:rsidR="007D6441" w:rsidRPr="00BB5174" w:rsidRDefault="007D6441" w:rsidP="007D6441">
            <w:pPr>
              <w:jc w:val="center"/>
              <w:rPr>
                <w:rFonts w:ascii="Calibri" w:hAnsi="Calibri"/>
                <w:szCs w:val="21"/>
              </w:rPr>
            </w:pPr>
            <w:r>
              <w:rPr>
                <w:rFonts w:ascii="Calibri" w:hAnsi="Calibri" w:hint="eastAsia"/>
                <w:szCs w:val="21"/>
              </w:rPr>
              <w:t>64.3</w:t>
            </w:r>
          </w:p>
        </w:tc>
        <w:tc>
          <w:tcPr>
            <w:tcW w:w="733" w:type="pct"/>
            <w:tcBorders>
              <w:left w:val="single" w:sz="4" w:space="0" w:color="auto"/>
              <w:right w:val="single" w:sz="2" w:space="0" w:color="auto"/>
            </w:tcBorders>
            <w:vAlign w:val="center"/>
          </w:tcPr>
          <w:p w14:paraId="3AEC0855" w14:textId="77777777" w:rsidR="007D6441" w:rsidRPr="00BB5174" w:rsidRDefault="007D6441" w:rsidP="007D6441">
            <w:pPr>
              <w:jc w:val="center"/>
              <w:rPr>
                <w:rFonts w:ascii="Calibri" w:hAnsi="Calibri"/>
                <w:szCs w:val="21"/>
              </w:rPr>
            </w:pPr>
            <w:r w:rsidRPr="00BB5174">
              <w:rPr>
                <w:rFonts w:ascii="Calibri" w:hAnsi="Calibri" w:hint="eastAsia"/>
                <w:szCs w:val="21"/>
              </w:rPr>
              <w:t>50.0</w:t>
            </w:r>
          </w:p>
        </w:tc>
        <w:tc>
          <w:tcPr>
            <w:tcW w:w="732" w:type="pct"/>
            <w:tcBorders>
              <w:left w:val="single" w:sz="2" w:space="0" w:color="auto"/>
            </w:tcBorders>
            <w:vAlign w:val="center"/>
          </w:tcPr>
          <w:p w14:paraId="0C086732" w14:textId="77777777" w:rsidR="007D6441" w:rsidRPr="00BB5174" w:rsidRDefault="007D6441" w:rsidP="007D6441">
            <w:pPr>
              <w:jc w:val="center"/>
              <w:rPr>
                <w:rFonts w:ascii="Calibri" w:hAnsi="Calibri"/>
                <w:szCs w:val="21"/>
              </w:rPr>
            </w:pPr>
            <w:r w:rsidRPr="00BB5174">
              <w:rPr>
                <w:rFonts w:ascii="Calibri" w:hAnsi="Calibri" w:hint="eastAsia"/>
                <w:szCs w:val="21"/>
              </w:rPr>
              <w:t>191</w:t>
            </w:r>
          </w:p>
        </w:tc>
        <w:tc>
          <w:tcPr>
            <w:tcW w:w="731" w:type="pct"/>
            <w:tcBorders>
              <w:left w:val="single" w:sz="4" w:space="0" w:color="auto"/>
            </w:tcBorders>
            <w:vAlign w:val="center"/>
          </w:tcPr>
          <w:p w14:paraId="396B9320" w14:textId="77777777" w:rsidR="007D6441" w:rsidRPr="00BB5174" w:rsidRDefault="007D6441" w:rsidP="007D6441">
            <w:pPr>
              <w:jc w:val="center"/>
              <w:rPr>
                <w:rFonts w:ascii="Calibri" w:hAnsi="Calibri"/>
                <w:szCs w:val="21"/>
              </w:rPr>
            </w:pPr>
            <w:r w:rsidRPr="00BB5174">
              <w:rPr>
                <w:rFonts w:ascii="Calibri" w:hAnsi="Calibri" w:hint="eastAsia"/>
                <w:szCs w:val="21"/>
              </w:rPr>
              <w:t>134</w:t>
            </w:r>
          </w:p>
        </w:tc>
      </w:tr>
      <w:tr w:rsidR="007D6441" w:rsidRPr="00A964FF" w14:paraId="02D640B1" w14:textId="77777777" w:rsidTr="007D6441">
        <w:trPr>
          <w:trHeight w:val="340"/>
          <w:jc w:val="center"/>
        </w:trPr>
        <w:tc>
          <w:tcPr>
            <w:tcW w:w="501" w:type="pct"/>
            <w:vAlign w:val="center"/>
          </w:tcPr>
          <w:p w14:paraId="3B651587" w14:textId="77777777" w:rsidR="007D6441" w:rsidRPr="00A964FF" w:rsidRDefault="007D6441" w:rsidP="007D6441">
            <w:pPr>
              <w:pStyle w:val="a1"/>
              <w:ind w:firstLine="0"/>
              <w:jc w:val="center"/>
              <w:rPr>
                <w:rFonts w:ascii="Calibri" w:hAnsi="Calibri"/>
                <w:color w:val="auto"/>
                <w:szCs w:val="21"/>
              </w:rPr>
            </w:pPr>
            <w:r w:rsidRPr="00A964FF">
              <w:rPr>
                <w:rFonts w:ascii="Calibri" w:hAnsi="Calibri" w:hint="eastAsia"/>
                <w:color w:val="auto"/>
                <w:szCs w:val="21"/>
              </w:rPr>
              <w:t>4</w:t>
            </w:r>
          </w:p>
        </w:tc>
        <w:tc>
          <w:tcPr>
            <w:tcW w:w="838" w:type="pct"/>
            <w:vAlign w:val="center"/>
          </w:tcPr>
          <w:p w14:paraId="2FF7A134"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Mg</w:t>
            </w:r>
            <w:r w:rsidRPr="00A964FF">
              <w:rPr>
                <w:rFonts w:ascii="Calibri" w:hAnsi="Calibri"/>
                <w:color w:val="auto"/>
                <w:szCs w:val="21"/>
                <w:vertAlign w:val="superscript"/>
              </w:rPr>
              <w:t>2+</w:t>
            </w:r>
          </w:p>
        </w:tc>
        <w:tc>
          <w:tcPr>
            <w:tcW w:w="733" w:type="pct"/>
            <w:tcBorders>
              <w:right w:val="single" w:sz="2" w:space="0" w:color="auto"/>
            </w:tcBorders>
            <w:vAlign w:val="center"/>
          </w:tcPr>
          <w:p w14:paraId="49F01478" w14:textId="77777777" w:rsidR="007D6441" w:rsidRPr="00BB5174" w:rsidRDefault="007D6441" w:rsidP="007D6441">
            <w:pPr>
              <w:jc w:val="center"/>
              <w:rPr>
                <w:rFonts w:ascii="Calibri" w:hAnsi="Calibri"/>
                <w:szCs w:val="21"/>
              </w:rPr>
            </w:pPr>
            <w:r w:rsidRPr="00BB5174">
              <w:rPr>
                <w:rFonts w:ascii="Calibri" w:hAnsi="Calibri" w:hint="eastAsia"/>
                <w:szCs w:val="21"/>
              </w:rPr>
              <w:t>41.0</w:t>
            </w:r>
          </w:p>
        </w:tc>
        <w:tc>
          <w:tcPr>
            <w:tcW w:w="732" w:type="pct"/>
            <w:tcBorders>
              <w:left w:val="single" w:sz="2" w:space="0" w:color="auto"/>
              <w:right w:val="single" w:sz="4" w:space="0" w:color="auto"/>
            </w:tcBorders>
            <w:vAlign w:val="center"/>
          </w:tcPr>
          <w:p w14:paraId="1A4E0B80" w14:textId="77777777" w:rsidR="007D6441" w:rsidRPr="00BB5174" w:rsidRDefault="007D6441" w:rsidP="007D6441">
            <w:pPr>
              <w:jc w:val="center"/>
              <w:rPr>
                <w:rFonts w:ascii="Calibri" w:hAnsi="Calibri"/>
                <w:szCs w:val="21"/>
              </w:rPr>
            </w:pPr>
            <w:r>
              <w:rPr>
                <w:rFonts w:ascii="Calibri" w:hAnsi="Calibri" w:hint="eastAsia"/>
                <w:szCs w:val="21"/>
              </w:rPr>
              <w:t>52.1</w:t>
            </w:r>
          </w:p>
        </w:tc>
        <w:tc>
          <w:tcPr>
            <w:tcW w:w="733" w:type="pct"/>
            <w:tcBorders>
              <w:left w:val="single" w:sz="4" w:space="0" w:color="auto"/>
              <w:right w:val="single" w:sz="2" w:space="0" w:color="auto"/>
            </w:tcBorders>
            <w:vAlign w:val="center"/>
          </w:tcPr>
          <w:p w14:paraId="3F1BE10D" w14:textId="77777777" w:rsidR="007D6441" w:rsidRPr="00BB5174" w:rsidRDefault="007D6441" w:rsidP="007D6441">
            <w:pPr>
              <w:jc w:val="center"/>
              <w:rPr>
                <w:rFonts w:ascii="Calibri" w:hAnsi="Calibri"/>
                <w:szCs w:val="21"/>
              </w:rPr>
            </w:pPr>
            <w:r w:rsidRPr="00BB5174">
              <w:rPr>
                <w:rFonts w:ascii="Calibri" w:hAnsi="Calibri" w:hint="eastAsia"/>
                <w:szCs w:val="21"/>
              </w:rPr>
              <w:t>38.4</w:t>
            </w:r>
          </w:p>
        </w:tc>
        <w:tc>
          <w:tcPr>
            <w:tcW w:w="732" w:type="pct"/>
            <w:tcBorders>
              <w:left w:val="single" w:sz="2" w:space="0" w:color="auto"/>
            </w:tcBorders>
            <w:vAlign w:val="center"/>
          </w:tcPr>
          <w:p w14:paraId="2B95885D" w14:textId="77777777" w:rsidR="007D6441" w:rsidRPr="00BB5174" w:rsidRDefault="007D6441" w:rsidP="007D6441">
            <w:pPr>
              <w:jc w:val="center"/>
              <w:rPr>
                <w:rFonts w:ascii="Calibri" w:hAnsi="Calibri"/>
                <w:szCs w:val="21"/>
              </w:rPr>
            </w:pPr>
            <w:r w:rsidRPr="00BB5174">
              <w:rPr>
                <w:rFonts w:ascii="Calibri" w:hAnsi="Calibri" w:hint="eastAsia"/>
                <w:szCs w:val="21"/>
              </w:rPr>
              <w:t>106</w:t>
            </w:r>
          </w:p>
        </w:tc>
        <w:tc>
          <w:tcPr>
            <w:tcW w:w="731" w:type="pct"/>
            <w:tcBorders>
              <w:left w:val="single" w:sz="4" w:space="0" w:color="auto"/>
            </w:tcBorders>
            <w:vAlign w:val="center"/>
          </w:tcPr>
          <w:p w14:paraId="229D2D0E" w14:textId="77777777" w:rsidR="007D6441" w:rsidRPr="00BB5174" w:rsidRDefault="007D6441" w:rsidP="007D6441">
            <w:pPr>
              <w:jc w:val="center"/>
              <w:rPr>
                <w:rFonts w:ascii="Calibri" w:hAnsi="Calibri"/>
                <w:szCs w:val="21"/>
              </w:rPr>
            </w:pPr>
            <w:r w:rsidRPr="00BB5174">
              <w:rPr>
                <w:rFonts w:ascii="Calibri" w:hAnsi="Calibri" w:hint="eastAsia"/>
                <w:szCs w:val="21"/>
              </w:rPr>
              <w:t>80.6</w:t>
            </w:r>
          </w:p>
        </w:tc>
      </w:tr>
      <w:tr w:rsidR="007D6441" w:rsidRPr="00A964FF" w14:paraId="321CCA52" w14:textId="77777777" w:rsidTr="007D6441">
        <w:trPr>
          <w:trHeight w:val="340"/>
          <w:jc w:val="center"/>
        </w:trPr>
        <w:tc>
          <w:tcPr>
            <w:tcW w:w="501" w:type="pct"/>
            <w:vAlign w:val="center"/>
          </w:tcPr>
          <w:p w14:paraId="707C682A" w14:textId="77777777" w:rsidR="007D6441" w:rsidRPr="00A964FF" w:rsidRDefault="007D6441" w:rsidP="007D6441">
            <w:pPr>
              <w:pStyle w:val="a1"/>
              <w:ind w:firstLine="0"/>
              <w:jc w:val="center"/>
              <w:rPr>
                <w:rFonts w:ascii="Calibri" w:hAnsi="Calibri"/>
                <w:color w:val="auto"/>
                <w:szCs w:val="21"/>
              </w:rPr>
            </w:pPr>
            <w:r w:rsidRPr="00A964FF">
              <w:rPr>
                <w:rFonts w:ascii="Calibri" w:hAnsi="Calibri" w:hint="eastAsia"/>
                <w:color w:val="auto"/>
                <w:szCs w:val="21"/>
              </w:rPr>
              <w:t>5</w:t>
            </w:r>
          </w:p>
        </w:tc>
        <w:tc>
          <w:tcPr>
            <w:tcW w:w="838" w:type="pct"/>
            <w:vAlign w:val="center"/>
          </w:tcPr>
          <w:p w14:paraId="6FB5175B"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CO</w:t>
            </w:r>
            <w:r w:rsidRPr="00A964FF">
              <w:rPr>
                <w:rFonts w:ascii="Calibri" w:hAnsi="Calibri"/>
                <w:color w:val="auto"/>
                <w:szCs w:val="21"/>
                <w:vertAlign w:val="subscript"/>
              </w:rPr>
              <w:t>3</w:t>
            </w:r>
            <w:r w:rsidRPr="00A964FF">
              <w:rPr>
                <w:rFonts w:ascii="Calibri" w:hAnsi="Calibri"/>
                <w:color w:val="auto"/>
                <w:szCs w:val="21"/>
                <w:vertAlign w:val="superscript"/>
              </w:rPr>
              <w:t>2-</w:t>
            </w:r>
          </w:p>
        </w:tc>
        <w:tc>
          <w:tcPr>
            <w:tcW w:w="733" w:type="pct"/>
            <w:tcBorders>
              <w:right w:val="single" w:sz="2" w:space="0" w:color="auto"/>
            </w:tcBorders>
            <w:vAlign w:val="center"/>
          </w:tcPr>
          <w:p w14:paraId="114DF7D2" w14:textId="77777777" w:rsidR="007D6441" w:rsidRPr="00BB5174" w:rsidRDefault="007D6441" w:rsidP="007D6441">
            <w:pPr>
              <w:jc w:val="center"/>
              <w:rPr>
                <w:rFonts w:ascii="Calibri" w:hAnsi="Calibri"/>
                <w:szCs w:val="21"/>
              </w:rPr>
            </w:pPr>
            <w:r w:rsidRPr="00BB5174">
              <w:rPr>
                <w:rFonts w:ascii="Calibri" w:hAnsi="Calibri" w:hint="eastAsia"/>
                <w:szCs w:val="21"/>
              </w:rPr>
              <w:t>0.08</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32" w:type="pct"/>
            <w:tcBorders>
              <w:left w:val="single" w:sz="2" w:space="0" w:color="auto"/>
              <w:right w:val="single" w:sz="4" w:space="0" w:color="auto"/>
            </w:tcBorders>
            <w:vAlign w:val="center"/>
          </w:tcPr>
          <w:p w14:paraId="7728ED35" w14:textId="77777777" w:rsidR="007D6441" w:rsidRPr="00BB5174" w:rsidRDefault="007D6441" w:rsidP="007D6441">
            <w:pPr>
              <w:jc w:val="center"/>
              <w:rPr>
                <w:rFonts w:ascii="Calibri" w:hAnsi="Calibri"/>
                <w:szCs w:val="21"/>
              </w:rPr>
            </w:pPr>
            <w:r>
              <w:rPr>
                <w:rFonts w:ascii="Calibri" w:hAnsi="Calibri" w:hint="eastAsia"/>
                <w:szCs w:val="21"/>
              </w:rPr>
              <w:t>0.08</w:t>
            </w:r>
            <w:r>
              <w:rPr>
                <w:rFonts w:ascii="Calibri" w:hAnsi="Calibri" w:hint="eastAsia"/>
                <w:szCs w:val="21"/>
              </w:rPr>
              <w:t>（</w:t>
            </w:r>
            <w:r>
              <w:rPr>
                <w:rFonts w:ascii="Calibri" w:hAnsi="Calibri" w:hint="eastAsia"/>
                <w:szCs w:val="21"/>
              </w:rPr>
              <w:t>L</w:t>
            </w:r>
            <w:r>
              <w:rPr>
                <w:rFonts w:ascii="Calibri" w:hAnsi="Calibri" w:hint="eastAsia"/>
                <w:szCs w:val="21"/>
              </w:rPr>
              <w:t>）</w:t>
            </w:r>
          </w:p>
        </w:tc>
        <w:tc>
          <w:tcPr>
            <w:tcW w:w="733" w:type="pct"/>
            <w:tcBorders>
              <w:left w:val="single" w:sz="4" w:space="0" w:color="auto"/>
              <w:right w:val="single" w:sz="2" w:space="0" w:color="auto"/>
            </w:tcBorders>
            <w:vAlign w:val="center"/>
          </w:tcPr>
          <w:p w14:paraId="7820F3C0" w14:textId="77777777" w:rsidR="007D6441" w:rsidRPr="00BB5174" w:rsidRDefault="007D6441" w:rsidP="007D6441">
            <w:pPr>
              <w:jc w:val="center"/>
              <w:rPr>
                <w:rFonts w:ascii="Calibri" w:hAnsi="Calibri"/>
                <w:szCs w:val="21"/>
              </w:rPr>
            </w:pPr>
            <w:r w:rsidRPr="00BB5174">
              <w:rPr>
                <w:rFonts w:ascii="Calibri" w:hAnsi="Calibri" w:hint="eastAsia"/>
                <w:szCs w:val="21"/>
              </w:rPr>
              <w:t>0.08</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32" w:type="pct"/>
            <w:tcBorders>
              <w:left w:val="single" w:sz="2" w:space="0" w:color="auto"/>
            </w:tcBorders>
            <w:vAlign w:val="center"/>
          </w:tcPr>
          <w:p w14:paraId="2334035D" w14:textId="77777777" w:rsidR="007D6441" w:rsidRPr="00BB5174" w:rsidRDefault="007D6441" w:rsidP="007D6441">
            <w:pPr>
              <w:jc w:val="center"/>
              <w:rPr>
                <w:rFonts w:ascii="Calibri" w:hAnsi="Calibri"/>
                <w:szCs w:val="21"/>
              </w:rPr>
            </w:pPr>
            <w:r w:rsidRPr="00BB5174">
              <w:rPr>
                <w:rFonts w:ascii="Calibri" w:hAnsi="Calibri" w:hint="eastAsia"/>
                <w:szCs w:val="21"/>
              </w:rPr>
              <w:t>＜</w:t>
            </w:r>
            <w:r w:rsidRPr="00BB5174">
              <w:rPr>
                <w:rFonts w:ascii="Calibri" w:hAnsi="Calibri" w:hint="eastAsia"/>
                <w:szCs w:val="21"/>
              </w:rPr>
              <w:t>5</w:t>
            </w:r>
          </w:p>
        </w:tc>
        <w:tc>
          <w:tcPr>
            <w:tcW w:w="731" w:type="pct"/>
            <w:tcBorders>
              <w:left w:val="single" w:sz="4" w:space="0" w:color="auto"/>
            </w:tcBorders>
            <w:vAlign w:val="center"/>
          </w:tcPr>
          <w:p w14:paraId="1D71CEF2" w14:textId="77777777" w:rsidR="007D6441" w:rsidRPr="00BB5174" w:rsidRDefault="007D6441" w:rsidP="007D6441">
            <w:pPr>
              <w:jc w:val="center"/>
              <w:rPr>
                <w:rFonts w:ascii="Calibri" w:hAnsi="Calibri"/>
                <w:szCs w:val="21"/>
              </w:rPr>
            </w:pPr>
            <w:r w:rsidRPr="00BB5174">
              <w:rPr>
                <w:rFonts w:ascii="Calibri" w:hAnsi="Calibri" w:hint="eastAsia"/>
                <w:szCs w:val="21"/>
              </w:rPr>
              <w:t>＜</w:t>
            </w:r>
            <w:r w:rsidRPr="00BB5174">
              <w:rPr>
                <w:rFonts w:ascii="Calibri" w:hAnsi="Calibri" w:hint="eastAsia"/>
                <w:szCs w:val="21"/>
              </w:rPr>
              <w:t>5</w:t>
            </w:r>
          </w:p>
        </w:tc>
      </w:tr>
      <w:tr w:rsidR="007D6441" w:rsidRPr="00A964FF" w14:paraId="64A4F3C1" w14:textId="77777777" w:rsidTr="007D6441">
        <w:trPr>
          <w:trHeight w:val="340"/>
          <w:jc w:val="center"/>
        </w:trPr>
        <w:tc>
          <w:tcPr>
            <w:tcW w:w="501" w:type="pct"/>
            <w:vAlign w:val="center"/>
          </w:tcPr>
          <w:p w14:paraId="158A6C4E" w14:textId="77777777" w:rsidR="007D6441" w:rsidRPr="00A964FF" w:rsidRDefault="007D6441" w:rsidP="007D6441">
            <w:pPr>
              <w:pStyle w:val="a1"/>
              <w:ind w:firstLine="0"/>
              <w:jc w:val="center"/>
              <w:rPr>
                <w:rFonts w:ascii="Calibri" w:hAnsi="Calibri"/>
                <w:color w:val="auto"/>
                <w:szCs w:val="21"/>
              </w:rPr>
            </w:pPr>
            <w:r w:rsidRPr="00A964FF">
              <w:rPr>
                <w:rFonts w:ascii="Calibri" w:hAnsi="Calibri" w:hint="eastAsia"/>
                <w:color w:val="auto"/>
                <w:szCs w:val="21"/>
              </w:rPr>
              <w:t>6</w:t>
            </w:r>
          </w:p>
        </w:tc>
        <w:tc>
          <w:tcPr>
            <w:tcW w:w="838" w:type="pct"/>
            <w:vAlign w:val="center"/>
          </w:tcPr>
          <w:p w14:paraId="7A69AEDE"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HCO</w:t>
            </w:r>
            <w:r w:rsidRPr="00A964FF">
              <w:rPr>
                <w:rFonts w:ascii="Calibri" w:hAnsi="Calibri"/>
                <w:color w:val="auto"/>
                <w:szCs w:val="21"/>
                <w:vertAlign w:val="subscript"/>
              </w:rPr>
              <w:t>3</w:t>
            </w:r>
            <w:r w:rsidRPr="00A964FF">
              <w:rPr>
                <w:rFonts w:ascii="Calibri" w:hAnsi="Calibri"/>
                <w:color w:val="auto"/>
                <w:szCs w:val="21"/>
                <w:vertAlign w:val="superscript"/>
              </w:rPr>
              <w:t>-</w:t>
            </w:r>
          </w:p>
        </w:tc>
        <w:tc>
          <w:tcPr>
            <w:tcW w:w="733" w:type="pct"/>
            <w:tcBorders>
              <w:right w:val="single" w:sz="2" w:space="0" w:color="auto"/>
            </w:tcBorders>
            <w:vAlign w:val="center"/>
          </w:tcPr>
          <w:p w14:paraId="4366863D" w14:textId="77777777" w:rsidR="007D6441" w:rsidRPr="00BB5174" w:rsidRDefault="007D6441" w:rsidP="007D6441">
            <w:pPr>
              <w:jc w:val="center"/>
              <w:rPr>
                <w:rFonts w:ascii="Calibri" w:hAnsi="Calibri"/>
                <w:szCs w:val="21"/>
              </w:rPr>
            </w:pPr>
            <w:r w:rsidRPr="00BB5174">
              <w:rPr>
                <w:rFonts w:ascii="Calibri" w:hAnsi="Calibri" w:hint="eastAsia"/>
                <w:szCs w:val="21"/>
              </w:rPr>
              <w:t>4.41</w:t>
            </w:r>
          </w:p>
          <w:p w14:paraId="4F38BB49" w14:textId="77777777" w:rsidR="007D6441" w:rsidRPr="00BB5174" w:rsidRDefault="007D6441" w:rsidP="007D6441">
            <w:pPr>
              <w:jc w:val="center"/>
              <w:rPr>
                <w:rFonts w:ascii="Calibri" w:hAnsi="Calibri"/>
                <w:szCs w:val="21"/>
              </w:rPr>
            </w:pPr>
            <w:r w:rsidRPr="00BB5174">
              <w:rPr>
                <w:rFonts w:ascii="Calibri" w:hAnsi="Calibri" w:hint="eastAsia"/>
                <w:szCs w:val="21"/>
              </w:rPr>
              <w:t>mmol/L</w:t>
            </w:r>
          </w:p>
        </w:tc>
        <w:tc>
          <w:tcPr>
            <w:tcW w:w="732" w:type="pct"/>
            <w:tcBorders>
              <w:left w:val="single" w:sz="2" w:space="0" w:color="auto"/>
              <w:right w:val="single" w:sz="4" w:space="0" w:color="auto"/>
            </w:tcBorders>
            <w:vAlign w:val="center"/>
          </w:tcPr>
          <w:p w14:paraId="4E75B34A" w14:textId="77777777" w:rsidR="007D6441" w:rsidRPr="00BB5174" w:rsidRDefault="007D6441" w:rsidP="007D6441">
            <w:pPr>
              <w:jc w:val="center"/>
              <w:rPr>
                <w:rFonts w:ascii="Calibri" w:hAnsi="Calibri"/>
                <w:szCs w:val="21"/>
              </w:rPr>
            </w:pPr>
            <w:r>
              <w:rPr>
                <w:rFonts w:ascii="Calibri" w:hAnsi="Calibri" w:hint="eastAsia"/>
                <w:szCs w:val="21"/>
              </w:rPr>
              <w:t>4.82</w:t>
            </w:r>
          </w:p>
        </w:tc>
        <w:tc>
          <w:tcPr>
            <w:tcW w:w="733" w:type="pct"/>
            <w:tcBorders>
              <w:left w:val="single" w:sz="4" w:space="0" w:color="auto"/>
              <w:right w:val="single" w:sz="2" w:space="0" w:color="auto"/>
            </w:tcBorders>
            <w:vAlign w:val="center"/>
          </w:tcPr>
          <w:p w14:paraId="146BFA92" w14:textId="77777777" w:rsidR="007D6441" w:rsidRPr="00BB5174" w:rsidRDefault="007D6441" w:rsidP="007D6441">
            <w:pPr>
              <w:jc w:val="center"/>
              <w:rPr>
                <w:rFonts w:ascii="Calibri" w:hAnsi="Calibri"/>
                <w:szCs w:val="21"/>
              </w:rPr>
            </w:pPr>
            <w:r w:rsidRPr="00BB5174">
              <w:rPr>
                <w:rFonts w:ascii="Calibri" w:hAnsi="Calibri" w:hint="eastAsia"/>
                <w:szCs w:val="21"/>
              </w:rPr>
              <w:t>4.51</w:t>
            </w:r>
          </w:p>
          <w:p w14:paraId="0D7880F8" w14:textId="77777777" w:rsidR="007D6441" w:rsidRPr="00BB5174" w:rsidRDefault="007D6441" w:rsidP="007D6441">
            <w:pPr>
              <w:jc w:val="center"/>
              <w:rPr>
                <w:rFonts w:ascii="Calibri" w:hAnsi="Calibri"/>
                <w:szCs w:val="21"/>
              </w:rPr>
            </w:pPr>
            <w:r w:rsidRPr="00BB5174">
              <w:rPr>
                <w:rFonts w:ascii="Calibri" w:hAnsi="Calibri" w:hint="eastAsia"/>
                <w:szCs w:val="21"/>
              </w:rPr>
              <w:t>mmol/L</w:t>
            </w:r>
          </w:p>
        </w:tc>
        <w:tc>
          <w:tcPr>
            <w:tcW w:w="732" w:type="pct"/>
            <w:tcBorders>
              <w:left w:val="single" w:sz="2" w:space="0" w:color="auto"/>
            </w:tcBorders>
            <w:vAlign w:val="center"/>
          </w:tcPr>
          <w:p w14:paraId="62F859F9" w14:textId="77777777" w:rsidR="007D6441" w:rsidRPr="00BB5174" w:rsidRDefault="007D6441" w:rsidP="007D6441">
            <w:pPr>
              <w:jc w:val="center"/>
              <w:rPr>
                <w:rFonts w:ascii="Calibri" w:hAnsi="Calibri"/>
                <w:szCs w:val="21"/>
              </w:rPr>
            </w:pPr>
            <w:r w:rsidRPr="00BB5174">
              <w:rPr>
                <w:rFonts w:ascii="Calibri" w:hAnsi="Calibri" w:hint="eastAsia"/>
                <w:szCs w:val="21"/>
              </w:rPr>
              <w:t>360</w:t>
            </w:r>
          </w:p>
        </w:tc>
        <w:tc>
          <w:tcPr>
            <w:tcW w:w="731" w:type="pct"/>
            <w:tcBorders>
              <w:left w:val="single" w:sz="4" w:space="0" w:color="auto"/>
            </w:tcBorders>
            <w:vAlign w:val="center"/>
          </w:tcPr>
          <w:p w14:paraId="6CA081EB" w14:textId="77777777" w:rsidR="007D6441" w:rsidRPr="00BB5174" w:rsidRDefault="007D6441" w:rsidP="007D6441">
            <w:pPr>
              <w:jc w:val="center"/>
              <w:rPr>
                <w:rFonts w:ascii="Calibri" w:hAnsi="Calibri"/>
                <w:szCs w:val="21"/>
              </w:rPr>
            </w:pPr>
            <w:r w:rsidRPr="00BB5174">
              <w:rPr>
                <w:rFonts w:ascii="Calibri" w:hAnsi="Calibri" w:hint="eastAsia"/>
                <w:szCs w:val="21"/>
              </w:rPr>
              <w:t>229</w:t>
            </w:r>
          </w:p>
        </w:tc>
      </w:tr>
      <w:tr w:rsidR="007D6441" w:rsidRPr="00A964FF" w14:paraId="13723E5A" w14:textId="77777777" w:rsidTr="007D6441">
        <w:trPr>
          <w:trHeight w:val="340"/>
          <w:jc w:val="center"/>
        </w:trPr>
        <w:tc>
          <w:tcPr>
            <w:tcW w:w="501" w:type="pct"/>
            <w:vAlign w:val="center"/>
          </w:tcPr>
          <w:p w14:paraId="272815CC" w14:textId="77777777" w:rsidR="007D6441" w:rsidRPr="00A964FF" w:rsidRDefault="007D6441" w:rsidP="007D6441">
            <w:pPr>
              <w:pStyle w:val="a1"/>
              <w:ind w:firstLine="0"/>
              <w:jc w:val="center"/>
              <w:rPr>
                <w:rFonts w:ascii="Calibri" w:hAnsi="Calibri"/>
                <w:color w:val="auto"/>
                <w:szCs w:val="21"/>
              </w:rPr>
            </w:pPr>
            <w:r w:rsidRPr="00A964FF">
              <w:rPr>
                <w:rFonts w:ascii="Calibri" w:hAnsi="Calibri" w:hint="eastAsia"/>
                <w:color w:val="auto"/>
                <w:szCs w:val="21"/>
              </w:rPr>
              <w:t>7</w:t>
            </w:r>
          </w:p>
        </w:tc>
        <w:tc>
          <w:tcPr>
            <w:tcW w:w="838" w:type="pct"/>
            <w:vAlign w:val="center"/>
          </w:tcPr>
          <w:p w14:paraId="47D8EF0D"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Cl</w:t>
            </w:r>
            <w:r w:rsidRPr="00A964FF">
              <w:rPr>
                <w:rFonts w:ascii="Calibri" w:hAnsi="Calibri"/>
                <w:color w:val="auto"/>
                <w:szCs w:val="21"/>
                <w:vertAlign w:val="superscript"/>
              </w:rPr>
              <w:t>-</w:t>
            </w:r>
          </w:p>
        </w:tc>
        <w:tc>
          <w:tcPr>
            <w:tcW w:w="733" w:type="pct"/>
            <w:tcBorders>
              <w:right w:val="single" w:sz="2" w:space="0" w:color="auto"/>
            </w:tcBorders>
            <w:vAlign w:val="center"/>
          </w:tcPr>
          <w:p w14:paraId="6857AB8C" w14:textId="77777777" w:rsidR="007D6441" w:rsidRPr="00BB5174" w:rsidRDefault="007D6441" w:rsidP="007D6441">
            <w:pPr>
              <w:jc w:val="center"/>
              <w:rPr>
                <w:rFonts w:ascii="Calibri" w:hAnsi="Calibri"/>
                <w:szCs w:val="21"/>
              </w:rPr>
            </w:pPr>
            <w:r w:rsidRPr="00BB5174">
              <w:rPr>
                <w:rFonts w:ascii="Calibri" w:hAnsi="Calibri" w:hint="eastAsia"/>
                <w:szCs w:val="21"/>
              </w:rPr>
              <w:t>35.6</w:t>
            </w:r>
          </w:p>
        </w:tc>
        <w:tc>
          <w:tcPr>
            <w:tcW w:w="732" w:type="pct"/>
            <w:tcBorders>
              <w:left w:val="single" w:sz="2" w:space="0" w:color="auto"/>
              <w:right w:val="single" w:sz="4" w:space="0" w:color="auto"/>
            </w:tcBorders>
            <w:vAlign w:val="center"/>
          </w:tcPr>
          <w:p w14:paraId="065D144C" w14:textId="77777777" w:rsidR="007D6441" w:rsidRPr="00BB5174" w:rsidRDefault="007D6441" w:rsidP="007D6441">
            <w:pPr>
              <w:jc w:val="center"/>
              <w:rPr>
                <w:rFonts w:ascii="Calibri" w:hAnsi="Calibri"/>
                <w:szCs w:val="21"/>
              </w:rPr>
            </w:pPr>
            <w:r>
              <w:rPr>
                <w:rFonts w:ascii="Calibri" w:hAnsi="Calibri" w:hint="eastAsia"/>
                <w:szCs w:val="21"/>
              </w:rPr>
              <w:t>64.5</w:t>
            </w:r>
          </w:p>
        </w:tc>
        <w:tc>
          <w:tcPr>
            <w:tcW w:w="733" w:type="pct"/>
            <w:tcBorders>
              <w:left w:val="single" w:sz="4" w:space="0" w:color="auto"/>
              <w:right w:val="single" w:sz="2" w:space="0" w:color="auto"/>
            </w:tcBorders>
            <w:vAlign w:val="center"/>
          </w:tcPr>
          <w:p w14:paraId="3BE05371" w14:textId="77777777" w:rsidR="007D6441" w:rsidRPr="00BB5174" w:rsidRDefault="007D6441" w:rsidP="007D6441">
            <w:pPr>
              <w:jc w:val="center"/>
              <w:rPr>
                <w:rFonts w:ascii="Calibri" w:hAnsi="Calibri"/>
                <w:szCs w:val="21"/>
              </w:rPr>
            </w:pPr>
            <w:r w:rsidRPr="00BB5174">
              <w:rPr>
                <w:rFonts w:ascii="Calibri" w:hAnsi="Calibri" w:hint="eastAsia"/>
                <w:szCs w:val="21"/>
              </w:rPr>
              <w:t>30.2</w:t>
            </w:r>
          </w:p>
        </w:tc>
        <w:tc>
          <w:tcPr>
            <w:tcW w:w="732" w:type="pct"/>
            <w:tcBorders>
              <w:left w:val="single" w:sz="2" w:space="0" w:color="auto"/>
            </w:tcBorders>
            <w:vAlign w:val="center"/>
          </w:tcPr>
          <w:p w14:paraId="27EDF9DB" w14:textId="77777777" w:rsidR="007D6441" w:rsidRPr="00BB5174" w:rsidRDefault="007D6441" w:rsidP="007D6441">
            <w:pPr>
              <w:jc w:val="center"/>
              <w:rPr>
                <w:rFonts w:ascii="Calibri" w:hAnsi="Calibri"/>
                <w:szCs w:val="21"/>
              </w:rPr>
            </w:pPr>
            <w:r w:rsidRPr="00BB5174">
              <w:rPr>
                <w:rFonts w:ascii="Calibri" w:hAnsi="Calibri" w:hint="eastAsia"/>
                <w:szCs w:val="21"/>
              </w:rPr>
              <w:t>185</w:t>
            </w:r>
          </w:p>
        </w:tc>
        <w:tc>
          <w:tcPr>
            <w:tcW w:w="731" w:type="pct"/>
            <w:tcBorders>
              <w:left w:val="single" w:sz="4" w:space="0" w:color="auto"/>
            </w:tcBorders>
            <w:vAlign w:val="center"/>
          </w:tcPr>
          <w:p w14:paraId="6F971E4C" w14:textId="77777777" w:rsidR="007D6441" w:rsidRPr="00BB5174" w:rsidRDefault="007D6441" w:rsidP="007D6441">
            <w:pPr>
              <w:jc w:val="center"/>
              <w:rPr>
                <w:rFonts w:ascii="Calibri" w:hAnsi="Calibri"/>
                <w:szCs w:val="21"/>
              </w:rPr>
            </w:pPr>
            <w:r w:rsidRPr="00BB5174">
              <w:rPr>
                <w:rFonts w:ascii="Calibri" w:hAnsi="Calibri" w:hint="eastAsia"/>
                <w:szCs w:val="21"/>
              </w:rPr>
              <w:t>162</w:t>
            </w:r>
          </w:p>
        </w:tc>
      </w:tr>
      <w:tr w:rsidR="007D6441" w:rsidRPr="00A964FF" w14:paraId="771CB303" w14:textId="77777777" w:rsidTr="007D6441">
        <w:trPr>
          <w:trHeight w:val="340"/>
          <w:jc w:val="center"/>
        </w:trPr>
        <w:tc>
          <w:tcPr>
            <w:tcW w:w="501" w:type="pct"/>
            <w:vAlign w:val="center"/>
          </w:tcPr>
          <w:p w14:paraId="20CEB62C" w14:textId="77777777" w:rsidR="007D6441" w:rsidRPr="00A964FF" w:rsidRDefault="007D6441" w:rsidP="007D6441">
            <w:pPr>
              <w:pStyle w:val="a1"/>
              <w:ind w:firstLine="0"/>
              <w:jc w:val="center"/>
              <w:rPr>
                <w:rFonts w:ascii="Calibri" w:hAnsi="Calibri"/>
                <w:color w:val="auto"/>
                <w:szCs w:val="21"/>
              </w:rPr>
            </w:pPr>
            <w:r w:rsidRPr="00A964FF">
              <w:rPr>
                <w:rFonts w:ascii="Calibri" w:hAnsi="Calibri" w:hint="eastAsia"/>
                <w:color w:val="auto"/>
                <w:szCs w:val="21"/>
              </w:rPr>
              <w:t>8</w:t>
            </w:r>
          </w:p>
        </w:tc>
        <w:tc>
          <w:tcPr>
            <w:tcW w:w="838" w:type="pct"/>
            <w:vAlign w:val="center"/>
          </w:tcPr>
          <w:p w14:paraId="352F87A8" w14:textId="77777777" w:rsidR="007D6441" w:rsidRPr="00A964FF" w:rsidRDefault="007D6441" w:rsidP="007D6441">
            <w:pPr>
              <w:jc w:val="center"/>
              <w:rPr>
                <w:rFonts w:ascii="Calibri" w:hAnsi="Calibri"/>
                <w:color w:val="auto"/>
                <w:szCs w:val="21"/>
              </w:rPr>
            </w:pPr>
            <w:r w:rsidRPr="00A964FF">
              <w:rPr>
                <w:rFonts w:ascii="Calibri" w:hAnsi="Calibri"/>
                <w:color w:val="auto"/>
                <w:szCs w:val="21"/>
              </w:rPr>
              <w:t>SO</w:t>
            </w:r>
            <w:r w:rsidRPr="00A964FF">
              <w:rPr>
                <w:rFonts w:ascii="Calibri" w:hAnsi="Calibri"/>
                <w:color w:val="auto"/>
                <w:szCs w:val="21"/>
                <w:vertAlign w:val="subscript"/>
              </w:rPr>
              <w:t>4</w:t>
            </w:r>
            <w:r w:rsidRPr="00A964FF">
              <w:rPr>
                <w:rFonts w:ascii="Calibri" w:hAnsi="Calibri"/>
                <w:color w:val="auto"/>
                <w:szCs w:val="21"/>
                <w:vertAlign w:val="superscript"/>
              </w:rPr>
              <w:t>2-</w:t>
            </w:r>
          </w:p>
        </w:tc>
        <w:tc>
          <w:tcPr>
            <w:tcW w:w="733" w:type="pct"/>
            <w:tcBorders>
              <w:right w:val="single" w:sz="2" w:space="0" w:color="auto"/>
            </w:tcBorders>
            <w:vAlign w:val="center"/>
          </w:tcPr>
          <w:p w14:paraId="7B74116B" w14:textId="77777777" w:rsidR="007D6441" w:rsidRPr="00BB5174" w:rsidRDefault="007D6441" w:rsidP="007D6441">
            <w:pPr>
              <w:jc w:val="center"/>
              <w:rPr>
                <w:rFonts w:ascii="Calibri" w:hAnsi="Calibri"/>
                <w:szCs w:val="21"/>
              </w:rPr>
            </w:pPr>
            <w:r w:rsidRPr="00BB5174">
              <w:rPr>
                <w:rFonts w:ascii="Calibri" w:hAnsi="Calibri" w:hint="eastAsia"/>
                <w:szCs w:val="21"/>
              </w:rPr>
              <w:t>42.2</w:t>
            </w:r>
          </w:p>
        </w:tc>
        <w:tc>
          <w:tcPr>
            <w:tcW w:w="732" w:type="pct"/>
            <w:tcBorders>
              <w:left w:val="single" w:sz="2" w:space="0" w:color="auto"/>
              <w:right w:val="single" w:sz="4" w:space="0" w:color="auto"/>
            </w:tcBorders>
            <w:vAlign w:val="center"/>
          </w:tcPr>
          <w:p w14:paraId="2ECD2A76" w14:textId="77777777" w:rsidR="007D6441" w:rsidRPr="00BB5174" w:rsidRDefault="007D6441" w:rsidP="007D6441">
            <w:pPr>
              <w:jc w:val="center"/>
              <w:rPr>
                <w:rFonts w:ascii="Calibri" w:hAnsi="Calibri"/>
                <w:szCs w:val="21"/>
              </w:rPr>
            </w:pPr>
            <w:r>
              <w:rPr>
                <w:rFonts w:ascii="Calibri" w:hAnsi="Calibri" w:hint="eastAsia"/>
                <w:szCs w:val="21"/>
              </w:rPr>
              <w:t>72.1</w:t>
            </w:r>
          </w:p>
        </w:tc>
        <w:tc>
          <w:tcPr>
            <w:tcW w:w="733" w:type="pct"/>
            <w:tcBorders>
              <w:left w:val="single" w:sz="4" w:space="0" w:color="auto"/>
              <w:right w:val="single" w:sz="2" w:space="0" w:color="auto"/>
            </w:tcBorders>
            <w:vAlign w:val="center"/>
          </w:tcPr>
          <w:p w14:paraId="0FE2BC9F" w14:textId="77777777" w:rsidR="007D6441" w:rsidRPr="00BB5174" w:rsidRDefault="007D6441" w:rsidP="007D6441">
            <w:pPr>
              <w:jc w:val="center"/>
              <w:rPr>
                <w:rFonts w:ascii="Calibri" w:hAnsi="Calibri"/>
                <w:szCs w:val="21"/>
              </w:rPr>
            </w:pPr>
            <w:r w:rsidRPr="00BB5174">
              <w:rPr>
                <w:rFonts w:ascii="Calibri" w:hAnsi="Calibri" w:hint="eastAsia"/>
                <w:szCs w:val="21"/>
              </w:rPr>
              <w:t>48.1</w:t>
            </w:r>
          </w:p>
        </w:tc>
        <w:tc>
          <w:tcPr>
            <w:tcW w:w="732" w:type="pct"/>
            <w:tcBorders>
              <w:left w:val="single" w:sz="2" w:space="0" w:color="auto"/>
            </w:tcBorders>
            <w:vAlign w:val="center"/>
          </w:tcPr>
          <w:p w14:paraId="086AEBBE" w14:textId="77777777" w:rsidR="007D6441" w:rsidRPr="00BB5174" w:rsidRDefault="007D6441" w:rsidP="007D6441">
            <w:pPr>
              <w:jc w:val="center"/>
              <w:rPr>
                <w:rFonts w:ascii="Calibri" w:hAnsi="Calibri"/>
                <w:szCs w:val="21"/>
              </w:rPr>
            </w:pPr>
            <w:r w:rsidRPr="00BB5174">
              <w:rPr>
                <w:rFonts w:ascii="Calibri" w:hAnsi="Calibri" w:hint="eastAsia"/>
                <w:szCs w:val="21"/>
              </w:rPr>
              <w:t>215</w:t>
            </w:r>
          </w:p>
        </w:tc>
        <w:tc>
          <w:tcPr>
            <w:tcW w:w="731" w:type="pct"/>
            <w:tcBorders>
              <w:left w:val="single" w:sz="4" w:space="0" w:color="auto"/>
            </w:tcBorders>
            <w:vAlign w:val="center"/>
          </w:tcPr>
          <w:p w14:paraId="08E2928C" w14:textId="77777777" w:rsidR="007D6441" w:rsidRPr="00BB5174" w:rsidRDefault="007D6441" w:rsidP="007D6441">
            <w:pPr>
              <w:jc w:val="center"/>
              <w:rPr>
                <w:rFonts w:ascii="Calibri" w:hAnsi="Calibri"/>
                <w:szCs w:val="21"/>
              </w:rPr>
            </w:pPr>
            <w:r w:rsidRPr="00BB5174">
              <w:rPr>
                <w:rFonts w:ascii="Calibri" w:hAnsi="Calibri" w:hint="eastAsia"/>
                <w:szCs w:val="21"/>
              </w:rPr>
              <w:t>195</w:t>
            </w:r>
          </w:p>
        </w:tc>
      </w:tr>
    </w:tbl>
    <w:p w14:paraId="230C7619" w14:textId="77777777" w:rsidR="0055605A" w:rsidRPr="00A964FF" w:rsidRDefault="0055605A" w:rsidP="00F0532D">
      <w:pPr>
        <w:pStyle w:val="00"/>
        <w:rPr>
          <w:rFonts w:ascii="Calibri" w:hAnsi="Calibri"/>
          <w:color w:val="auto"/>
        </w:rPr>
      </w:pPr>
      <w:r w:rsidRPr="00A964FF">
        <w:rPr>
          <w:rFonts w:ascii="Calibri" w:hAnsi="Calibri" w:hint="eastAsia"/>
          <w:color w:val="auto"/>
        </w:rPr>
        <w:t>地下水各测点评价因子检测</w:t>
      </w:r>
      <w:r w:rsidRPr="00A964FF">
        <w:rPr>
          <w:rFonts w:ascii="Calibri" w:hAnsi="Calibri"/>
          <w:color w:val="auto"/>
        </w:rPr>
        <w:t>结果及分析见表</w:t>
      </w:r>
      <w:r w:rsidRPr="00A964FF">
        <w:rPr>
          <w:rFonts w:ascii="Calibri" w:hAnsi="Calibri" w:hint="eastAsia"/>
          <w:color w:val="auto"/>
        </w:rPr>
        <w:t>3</w:t>
      </w:r>
      <w:r w:rsidR="00A6079A" w:rsidRPr="00A964FF">
        <w:rPr>
          <w:rFonts w:ascii="Calibri" w:hAnsi="Calibri" w:hint="eastAsia"/>
          <w:color w:val="auto"/>
        </w:rPr>
        <w:t>.3</w:t>
      </w:r>
      <w:r w:rsidRPr="00A964FF">
        <w:rPr>
          <w:rFonts w:ascii="Calibri" w:hAnsi="Calibri"/>
          <w:color w:val="auto"/>
        </w:rPr>
        <w:t>-</w:t>
      </w:r>
      <w:r w:rsidR="00A6079A" w:rsidRPr="00A964FF">
        <w:rPr>
          <w:rFonts w:ascii="Calibri" w:hAnsi="Calibri" w:hint="eastAsia"/>
          <w:color w:val="auto"/>
        </w:rPr>
        <w:t>1</w:t>
      </w:r>
      <w:r w:rsidR="00AC555A">
        <w:rPr>
          <w:rFonts w:ascii="Calibri" w:hAnsi="Calibri" w:hint="eastAsia"/>
          <w:color w:val="auto"/>
        </w:rPr>
        <w:t>7</w:t>
      </w:r>
      <w:r w:rsidRPr="00A964FF">
        <w:rPr>
          <w:rFonts w:ascii="Calibri" w:hAnsi="Calibri"/>
          <w:color w:val="auto"/>
        </w:rPr>
        <w:t>。</w:t>
      </w:r>
    </w:p>
    <w:p w14:paraId="301B683D" w14:textId="77777777" w:rsidR="0055605A" w:rsidRDefault="0055605A" w:rsidP="0055605A">
      <w:pPr>
        <w:adjustRightInd w:val="0"/>
        <w:snapToGrid w:val="0"/>
        <w:spacing w:line="520" w:lineRule="exact"/>
        <w:ind w:firstLineChars="200" w:firstLine="480"/>
        <w:jc w:val="left"/>
        <w:rPr>
          <w:rFonts w:ascii="Calibri" w:hAnsi="Calibri"/>
          <w:bCs/>
          <w:color w:val="auto"/>
          <w:szCs w:val="21"/>
        </w:rPr>
      </w:pPr>
      <w:r w:rsidRPr="00A964FF">
        <w:rPr>
          <w:rFonts w:ascii="Calibri" w:eastAsia="黑体" w:hAnsi="Calibri"/>
          <w:bCs/>
          <w:color w:val="auto"/>
          <w:sz w:val="24"/>
        </w:rPr>
        <w:t>表</w:t>
      </w:r>
      <w:r w:rsidRPr="00A964FF">
        <w:rPr>
          <w:rFonts w:ascii="Calibri" w:eastAsia="黑体" w:hAnsi="Calibri" w:hint="eastAsia"/>
          <w:bCs/>
          <w:color w:val="auto"/>
          <w:sz w:val="24"/>
        </w:rPr>
        <w:t>3</w:t>
      </w:r>
      <w:r w:rsidR="00A6079A" w:rsidRPr="00A964FF">
        <w:rPr>
          <w:rFonts w:ascii="Calibri" w:eastAsia="黑体" w:hAnsi="Calibri" w:hint="eastAsia"/>
          <w:bCs/>
          <w:color w:val="auto"/>
          <w:sz w:val="24"/>
        </w:rPr>
        <w:t>.3</w:t>
      </w:r>
      <w:r w:rsidRPr="00A964FF">
        <w:rPr>
          <w:rFonts w:ascii="Calibri" w:eastAsia="黑体" w:hAnsi="Calibri"/>
          <w:bCs/>
          <w:color w:val="auto"/>
          <w:sz w:val="24"/>
        </w:rPr>
        <w:t>-</w:t>
      </w:r>
      <w:r w:rsidR="00A6079A" w:rsidRPr="00A964FF">
        <w:rPr>
          <w:rFonts w:ascii="Calibri" w:eastAsia="黑体" w:hAnsi="Calibri" w:hint="eastAsia"/>
          <w:bCs/>
          <w:color w:val="auto"/>
          <w:sz w:val="24"/>
        </w:rPr>
        <w:t>1</w:t>
      </w:r>
      <w:r w:rsidR="00AC555A">
        <w:rPr>
          <w:rFonts w:ascii="Calibri" w:eastAsia="黑体" w:hAnsi="Calibri" w:hint="eastAsia"/>
          <w:bCs/>
          <w:color w:val="auto"/>
          <w:sz w:val="24"/>
        </w:rPr>
        <w:t>7</w:t>
      </w:r>
      <w:r w:rsidRPr="00A964FF">
        <w:rPr>
          <w:rFonts w:ascii="Calibri" w:eastAsia="黑体" w:hAnsi="Calibri"/>
          <w:bCs/>
          <w:color w:val="auto"/>
          <w:sz w:val="24"/>
        </w:rPr>
        <w:t xml:space="preserve">         </w:t>
      </w:r>
      <w:r w:rsidR="003F1151"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hint="eastAsia"/>
          <w:bCs/>
          <w:color w:val="auto"/>
          <w:sz w:val="24"/>
        </w:rPr>
        <w:t>地下水现状检测结果统计</w:t>
      </w:r>
      <w:r w:rsidRPr="00A964FF">
        <w:rPr>
          <w:rFonts w:ascii="Calibri" w:eastAsia="黑体" w:hAnsi="Calibri" w:hint="eastAsia"/>
          <w:bCs/>
          <w:color w:val="auto"/>
          <w:sz w:val="24"/>
        </w:rPr>
        <w:t xml:space="preserve">        </w:t>
      </w:r>
      <w:r w:rsidR="003F1151" w:rsidRPr="00A964FF">
        <w:rPr>
          <w:rFonts w:ascii="Calibri" w:eastAsia="黑体" w:hAnsi="Calibri" w:hint="eastAsia"/>
          <w:bCs/>
          <w:color w:val="auto"/>
          <w:sz w:val="24"/>
        </w:rPr>
        <w:t xml:space="preserve">  </w:t>
      </w:r>
      <w:r w:rsidRPr="00A964FF">
        <w:rPr>
          <w:rFonts w:ascii="Calibri" w:eastAsia="黑体" w:hAnsi="Calibri" w:hint="eastAsia"/>
          <w:bCs/>
          <w:color w:val="auto"/>
          <w:sz w:val="24"/>
        </w:rPr>
        <w:t xml:space="preserve">    </w:t>
      </w:r>
      <w:r w:rsidRPr="00A964FF">
        <w:rPr>
          <w:rFonts w:ascii="Calibri" w:hAnsi="Calibri"/>
          <w:bCs/>
          <w:color w:val="auto"/>
          <w:szCs w:val="21"/>
        </w:rPr>
        <w:t xml:space="preserve"> </w:t>
      </w:r>
      <w:r w:rsidRPr="00A964FF">
        <w:rPr>
          <w:rFonts w:ascii="Calibri" w:hAnsi="宋体"/>
          <w:bCs/>
          <w:color w:val="auto"/>
          <w:szCs w:val="21"/>
        </w:rPr>
        <w:t>单位：</w:t>
      </w:r>
      <w:r w:rsidR="00CC55BB" w:rsidRPr="00A964FF">
        <w:rPr>
          <w:rFonts w:ascii="Calibri" w:hAnsi="Calibri"/>
          <w:bCs/>
          <w:color w:val="auto"/>
          <w:szCs w:val="21"/>
        </w:rPr>
        <w:t>mg/L</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010"/>
        <w:gridCol w:w="1967"/>
        <w:gridCol w:w="1982"/>
        <w:gridCol w:w="1230"/>
        <w:gridCol w:w="1392"/>
        <w:gridCol w:w="1119"/>
      </w:tblGrid>
      <w:tr w:rsidR="007D6441" w:rsidRPr="003F72B9" w14:paraId="2093BE79" w14:textId="77777777" w:rsidTr="007D6441">
        <w:trPr>
          <w:trHeight w:val="340"/>
        </w:trPr>
        <w:tc>
          <w:tcPr>
            <w:tcW w:w="580" w:type="pct"/>
            <w:vAlign w:val="center"/>
          </w:tcPr>
          <w:p w14:paraId="267AA6C2" w14:textId="77777777" w:rsidR="007D6441" w:rsidRDefault="007D6441" w:rsidP="00040BEE">
            <w:pPr>
              <w:jc w:val="center"/>
              <w:rPr>
                <w:rFonts w:ascii="Calibri" w:hAnsi="Calibri"/>
                <w:color w:val="auto"/>
                <w:szCs w:val="21"/>
              </w:rPr>
            </w:pPr>
            <w:r w:rsidRPr="003F72B9">
              <w:rPr>
                <w:rFonts w:ascii="Calibri" w:hAnsi="Calibri" w:hint="eastAsia"/>
                <w:color w:val="auto"/>
                <w:szCs w:val="21"/>
              </w:rPr>
              <w:t>检测</w:t>
            </w:r>
          </w:p>
          <w:p w14:paraId="4A5C159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点位</w:t>
            </w:r>
          </w:p>
        </w:tc>
        <w:tc>
          <w:tcPr>
            <w:tcW w:w="1130" w:type="pct"/>
            <w:vAlign w:val="center"/>
          </w:tcPr>
          <w:p w14:paraId="49B5867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检测因子</w:t>
            </w:r>
          </w:p>
        </w:tc>
        <w:tc>
          <w:tcPr>
            <w:tcW w:w="1139" w:type="pct"/>
            <w:vAlign w:val="center"/>
          </w:tcPr>
          <w:p w14:paraId="53F4750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检测值</w:t>
            </w:r>
          </w:p>
        </w:tc>
        <w:tc>
          <w:tcPr>
            <w:tcW w:w="707" w:type="pct"/>
            <w:vAlign w:val="center"/>
          </w:tcPr>
          <w:p w14:paraId="643B23D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标准限值</w:t>
            </w:r>
          </w:p>
        </w:tc>
        <w:tc>
          <w:tcPr>
            <w:tcW w:w="800" w:type="pct"/>
            <w:vAlign w:val="center"/>
          </w:tcPr>
          <w:p w14:paraId="4BDA470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标准指数</w:t>
            </w:r>
          </w:p>
        </w:tc>
        <w:tc>
          <w:tcPr>
            <w:tcW w:w="643" w:type="pct"/>
            <w:vAlign w:val="center"/>
          </w:tcPr>
          <w:p w14:paraId="0FE35DD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评价结果</w:t>
            </w:r>
          </w:p>
        </w:tc>
      </w:tr>
      <w:tr w:rsidR="007D6441" w:rsidRPr="003F72B9" w14:paraId="765D227A" w14:textId="77777777" w:rsidTr="007D6441">
        <w:trPr>
          <w:trHeight w:val="340"/>
        </w:trPr>
        <w:tc>
          <w:tcPr>
            <w:tcW w:w="580" w:type="pct"/>
            <w:vMerge w:val="restart"/>
            <w:vAlign w:val="center"/>
          </w:tcPr>
          <w:p w14:paraId="5EFEF8BA" w14:textId="77777777" w:rsidR="007D6441" w:rsidRPr="003F72B9" w:rsidRDefault="007D6441" w:rsidP="00040BEE">
            <w:pPr>
              <w:jc w:val="center"/>
              <w:rPr>
                <w:rFonts w:ascii="Calibri" w:hAnsi="Calibri"/>
                <w:color w:val="auto"/>
                <w:szCs w:val="21"/>
              </w:rPr>
            </w:pPr>
            <w:r>
              <w:rPr>
                <w:color w:val="auto"/>
              </w:rPr>
              <w:t>节庄村</w:t>
            </w:r>
          </w:p>
        </w:tc>
        <w:tc>
          <w:tcPr>
            <w:tcW w:w="1130" w:type="pct"/>
            <w:vAlign w:val="center"/>
          </w:tcPr>
          <w:p w14:paraId="7698F06D" w14:textId="77777777" w:rsidR="007D6441" w:rsidRPr="003F72B9" w:rsidRDefault="007D6441" w:rsidP="00040BEE">
            <w:pPr>
              <w:jc w:val="center"/>
              <w:rPr>
                <w:rFonts w:ascii="Calibri" w:hAnsi="Calibri"/>
                <w:color w:val="auto"/>
                <w:szCs w:val="21"/>
              </w:rPr>
            </w:pPr>
            <w:r w:rsidRPr="003F72B9">
              <w:rPr>
                <w:rFonts w:ascii="Calibri" w:hAnsi="Calibri"/>
                <w:color w:val="auto"/>
                <w:szCs w:val="21"/>
              </w:rPr>
              <w:t>pH</w:t>
            </w:r>
            <w:r w:rsidRPr="003F72B9">
              <w:rPr>
                <w:rFonts w:ascii="Calibri"/>
                <w:color w:val="auto"/>
                <w:szCs w:val="21"/>
              </w:rPr>
              <w:t>值</w:t>
            </w:r>
          </w:p>
        </w:tc>
        <w:tc>
          <w:tcPr>
            <w:tcW w:w="1139" w:type="pct"/>
            <w:vAlign w:val="center"/>
          </w:tcPr>
          <w:p w14:paraId="644C854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7.</w:t>
            </w:r>
            <w:r>
              <w:rPr>
                <w:rFonts w:ascii="Calibri" w:hAnsi="Calibri" w:hint="eastAsia"/>
                <w:color w:val="auto"/>
                <w:szCs w:val="21"/>
              </w:rPr>
              <w:t>36</w:t>
            </w:r>
          </w:p>
        </w:tc>
        <w:tc>
          <w:tcPr>
            <w:tcW w:w="707" w:type="pct"/>
            <w:vAlign w:val="center"/>
          </w:tcPr>
          <w:p w14:paraId="66A1BC0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6.5</w:t>
            </w:r>
            <w:r w:rsidRPr="003F72B9">
              <w:rPr>
                <w:rFonts w:ascii="Calibri" w:hAnsi="Calibri" w:hint="eastAsia"/>
                <w:color w:val="auto"/>
                <w:szCs w:val="21"/>
              </w:rPr>
              <w:t>～</w:t>
            </w:r>
            <w:r w:rsidRPr="003F72B9">
              <w:rPr>
                <w:rFonts w:ascii="Calibri" w:hAnsi="Calibri" w:hint="eastAsia"/>
                <w:color w:val="auto"/>
                <w:szCs w:val="21"/>
              </w:rPr>
              <w:t>8.5</w:t>
            </w:r>
          </w:p>
        </w:tc>
        <w:tc>
          <w:tcPr>
            <w:tcW w:w="800" w:type="pct"/>
            <w:vAlign w:val="center"/>
          </w:tcPr>
          <w:p w14:paraId="65B80E9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0.2</w:t>
            </w:r>
            <w:r>
              <w:rPr>
                <w:rFonts w:ascii="Calibri" w:hAnsi="Calibri" w:hint="eastAsia"/>
                <w:color w:val="auto"/>
                <w:szCs w:val="21"/>
              </w:rPr>
              <w:t>4</w:t>
            </w:r>
          </w:p>
        </w:tc>
        <w:tc>
          <w:tcPr>
            <w:tcW w:w="643" w:type="pct"/>
            <w:vAlign w:val="center"/>
          </w:tcPr>
          <w:p w14:paraId="6114CF2F"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F9DB208" w14:textId="77777777" w:rsidTr="007D6441">
        <w:trPr>
          <w:trHeight w:val="340"/>
        </w:trPr>
        <w:tc>
          <w:tcPr>
            <w:tcW w:w="580" w:type="pct"/>
            <w:vMerge/>
            <w:vAlign w:val="center"/>
          </w:tcPr>
          <w:p w14:paraId="6E008B71" w14:textId="77777777" w:rsidR="007D6441" w:rsidRPr="003F72B9" w:rsidRDefault="007D6441" w:rsidP="00040BEE">
            <w:pPr>
              <w:jc w:val="center"/>
              <w:rPr>
                <w:rFonts w:ascii="Calibri" w:hAnsi="Calibri"/>
                <w:color w:val="auto"/>
                <w:szCs w:val="21"/>
              </w:rPr>
            </w:pPr>
          </w:p>
        </w:tc>
        <w:tc>
          <w:tcPr>
            <w:tcW w:w="1130" w:type="pct"/>
            <w:vAlign w:val="center"/>
          </w:tcPr>
          <w:p w14:paraId="25F26843" w14:textId="77777777" w:rsidR="007D6441" w:rsidRPr="003F72B9" w:rsidRDefault="007D6441" w:rsidP="00040BEE">
            <w:pPr>
              <w:jc w:val="center"/>
              <w:rPr>
                <w:rFonts w:ascii="Calibri" w:hAnsi="Calibri"/>
                <w:color w:val="auto"/>
                <w:szCs w:val="21"/>
              </w:rPr>
            </w:pPr>
            <w:r w:rsidRPr="003F72B9">
              <w:rPr>
                <w:rFonts w:ascii="Calibri"/>
                <w:color w:val="auto"/>
                <w:szCs w:val="21"/>
              </w:rPr>
              <w:t>氨氮</w:t>
            </w:r>
          </w:p>
        </w:tc>
        <w:tc>
          <w:tcPr>
            <w:tcW w:w="1139" w:type="pct"/>
            <w:vAlign w:val="center"/>
          </w:tcPr>
          <w:p w14:paraId="5F968FB4" w14:textId="77777777" w:rsidR="007D6441" w:rsidRPr="003F72B9" w:rsidRDefault="007D6441" w:rsidP="00040BEE">
            <w:pPr>
              <w:jc w:val="center"/>
              <w:rPr>
                <w:rFonts w:ascii="Calibri" w:hAnsi="Calibri"/>
                <w:color w:val="auto"/>
                <w:szCs w:val="21"/>
              </w:rPr>
            </w:pPr>
            <w:r w:rsidRPr="00F0532D">
              <w:rPr>
                <w:rFonts w:ascii="Calibri" w:hAnsi="Calibri"/>
                <w:color w:val="auto"/>
                <w:szCs w:val="21"/>
              </w:rPr>
              <w:t>0.02</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2E13E38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0.50</w:t>
            </w:r>
          </w:p>
        </w:tc>
        <w:tc>
          <w:tcPr>
            <w:tcW w:w="800" w:type="pct"/>
            <w:vAlign w:val="center"/>
          </w:tcPr>
          <w:p w14:paraId="4C0C848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17457B7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7644B2E" w14:textId="77777777" w:rsidTr="007D6441">
        <w:trPr>
          <w:trHeight w:val="340"/>
        </w:trPr>
        <w:tc>
          <w:tcPr>
            <w:tcW w:w="580" w:type="pct"/>
            <w:vMerge/>
            <w:vAlign w:val="center"/>
          </w:tcPr>
          <w:p w14:paraId="3FC3D325" w14:textId="77777777" w:rsidR="007D6441" w:rsidRPr="003F72B9" w:rsidRDefault="007D6441" w:rsidP="00040BEE">
            <w:pPr>
              <w:jc w:val="center"/>
              <w:rPr>
                <w:rFonts w:ascii="Calibri" w:hAnsi="Calibri"/>
                <w:color w:val="auto"/>
                <w:szCs w:val="21"/>
              </w:rPr>
            </w:pPr>
          </w:p>
        </w:tc>
        <w:tc>
          <w:tcPr>
            <w:tcW w:w="1130" w:type="pct"/>
            <w:vAlign w:val="center"/>
          </w:tcPr>
          <w:p w14:paraId="5687FE0B" w14:textId="77777777" w:rsidR="007D6441" w:rsidRPr="003F72B9" w:rsidRDefault="007D6441" w:rsidP="00040BEE">
            <w:pPr>
              <w:jc w:val="center"/>
              <w:rPr>
                <w:rFonts w:cs="Times New Roman"/>
                <w:color w:val="auto"/>
                <w:szCs w:val="21"/>
              </w:rPr>
            </w:pPr>
            <w:r w:rsidRPr="003F72B9">
              <w:rPr>
                <w:rFonts w:cs="Times New Roman"/>
                <w:color w:val="auto"/>
                <w:szCs w:val="21"/>
              </w:rPr>
              <w:t>硝酸盐</w:t>
            </w:r>
          </w:p>
        </w:tc>
        <w:tc>
          <w:tcPr>
            <w:tcW w:w="1139" w:type="pct"/>
            <w:vAlign w:val="center"/>
          </w:tcPr>
          <w:p w14:paraId="3A29D067"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5.6</w:t>
            </w:r>
          </w:p>
        </w:tc>
        <w:tc>
          <w:tcPr>
            <w:tcW w:w="707" w:type="pct"/>
            <w:tcMar>
              <w:left w:w="28" w:type="dxa"/>
              <w:right w:w="28" w:type="dxa"/>
            </w:tcMar>
            <w:vAlign w:val="center"/>
          </w:tcPr>
          <w:p w14:paraId="712CC22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20.0</w:t>
            </w:r>
          </w:p>
        </w:tc>
        <w:tc>
          <w:tcPr>
            <w:tcW w:w="800" w:type="pct"/>
            <w:tcMar>
              <w:left w:w="28" w:type="dxa"/>
              <w:right w:w="28" w:type="dxa"/>
            </w:tcMar>
            <w:vAlign w:val="center"/>
          </w:tcPr>
          <w:p w14:paraId="5D22327B"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0.28</w:t>
            </w:r>
          </w:p>
        </w:tc>
        <w:tc>
          <w:tcPr>
            <w:tcW w:w="643" w:type="pct"/>
            <w:tcMar>
              <w:left w:w="28" w:type="dxa"/>
              <w:right w:w="28" w:type="dxa"/>
            </w:tcMar>
            <w:vAlign w:val="center"/>
          </w:tcPr>
          <w:p w14:paraId="03F77586" w14:textId="77777777" w:rsidR="007D6441" w:rsidRPr="003F72B9" w:rsidRDefault="007D6441" w:rsidP="00040BEE">
            <w:pPr>
              <w:adjustRightInd w:val="0"/>
              <w:snapToGrid w:val="0"/>
              <w:jc w:val="center"/>
              <w:rPr>
                <w:rFonts w:ascii="Calibri" w:hAnsi="Calibri"/>
                <w:color w:val="auto"/>
                <w:szCs w:val="21"/>
              </w:rPr>
            </w:pPr>
            <w:r w:rsidRPr="003F72B9">
              <w:rPr>
                <w:rFonts w:ascii="Calibri" w:hAnsi="宋体"/>
                <w:color w:val="auto"/>
                <w:szCs w:val="21"/>
              </w:rPr>
              <w:t>达标</w:t>
            </w:r>
          </w:p>
        </w:tc>
      </w:tr>
      <w:tr w:rsidR="007D6441" w:rsidRPr="003F72B9" w14:paraId="11B6D28F" w14:textId="77777777" w:rsidTr="007D6441">
        <w:trPr>
          <w:trHeight w:val="340"/>
        </w:trPr>
        <w:tc>
          <w:tcPr>
            <w:tcW w:w="580" w:type="pct"/>
            <w:vMerge/>
            <w:vAlign w:val="center"/>
          </w:tcPr>
          <w:p w14:paraId="6DA4F1B5" w14:textId="77777777" w:rsidR="007D6441" w:rsidRPr="003F72B9" w:rsidRDefault="007D6441" w:rsidP="00040BEE">
            <w:pPr>
              <w:jc w:val="center"/>
              <w:rPr>
                <w:rFonts w:ascii="Calibri" w:hAnsi="Calibri"/>
                <w:color w:val="auto"/>
                <w:szCs w:val="21"/>
              </w:rPr>
            </w:pPr>
          </w:p>
        </w:tc>
        <w:tc>
          <w:tcPr>
            <w:tcW w:w="1130" w:type="pct"/>
            <w:vAlign w:val="center"/>
          </w:tcPr>
          <w:p w14:paraId="6BD9B053" w14:textId="77777777" w:rsidR="007D6441" w:rsidRPr="003F72B9" w:rsidRDefault="007D6441" w:rsidP="00040BEE">
            <w:pPr>
              <w:jc w:val="center"/>
              <w:rPr>
                <w:rFonts w:cs="Times New Roman"/>
                <w:color w:val="auto"/>
                <w:szCs w:val="21"/>
              </w:rPr>
            </w:pPr>
            <w:r w:rsidRPr="003F72B9">
              <w:rPr>
                <w:rFonts w:cs="Times New Roman"/>
                <w:color w:val="auto"/>
                <w:szCs w:val="21"/>
              </w:rPr>
              <w:t>亚硝酸盐</w:t>
            </w:r>
          </w:p>
        </w:tc>
        <w:tc>
          <w:tcPr>
            <w:tcW w:w="1139" w:type="pct"/>
            <w:vAlign w:val="center"/>
          </w:tcPr>
          <w:p w14:paraId="194E5EDC"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0.001</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6E99D76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1.00</w:t>
            </w:r>
          </w:p>
        </w:tc>
        <w:tc>
          <w:tcPr>
            <w:tcW w:w="800" w:type="pct"/>
            <w:vAlign w:val="center"/>
          </w:tcPr>
          <w:p w14:paraId="1EE8FD62"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w:t>
            </w:r>
          </w:p>
        </w:tc>
        <w:tc>
          <w:tcPr>
            <w:tcW w:w="643" w:type="pct"/>
            <w:vAlign w:val="center"/>
          </w:tcPr>
          <w:p w14:paraId="6B4D5B5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0FFFBF0" w14:textId="77777777" w:rsidTr="007D6441">
        <w:trPr>
          <w:trHeight w:val="340"/>
        </w:trPr>
        <w:tc>
          <w:tcPr>
            <w:tcW w:w="580" w:type="pct"/>
            <w:vMerge/>
            <w:vAlign w:val="center"/>
          </w:tcPr>
          <w:p w14:paraId="2DB86E6C" w14:textId="77777777" w:rsidR="007D6441" w:rsidRPr="003F72B9" w:rsidRDefault="007D6441" w:rsidP="00040BEE">
            <w:pPr>
              <w:jc w:val="center"/>
              <w:rPr>
                <w:rFonts w:ascii="Calibri" w:hAnsi="Calibri"/>
                <w:color w:val="auto"/>
                <w:szCs w:val="21"/>
              </w:rPr>
            </w:pPr>
          </w:p>
        </w:tc>
        <w:tc>
          <w:tcPr>
            <w:tcW w:w="1130" w:type="pct"/>
            <w:vAlign w:val="center"/>
          </w:tcPr>
          <w:p w14:paraId="1771011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挥发性酚类</w:t>
            </w:r>
          </w:p>
        </w:tc>
        <w:tc>
          <w:tcPr>
            <w:tcW w:w="1139" w:type="pct"/>
            <w:vAlign w:val="center"/>
          </w:tcPr>
          <w:p w14:paraId="6543EA15"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0.0003</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797804D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0.002</w:t>
            </w:r>
          </w:p>
        </w:tc>
        <w:tc>
          <w:tcPr>
            <w:tcW w:w="800" w:type="pct"/>
            <w:vAlign w:val="center"/>
          </w:tcPr>
          <w:p w14:paraId="0C5E847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210BE940" w14:textId="77777777" w:rsidR="007D6441" w:rsidRPr="003F72B9" w:rsidRDefault="007D6441" w:rsidP="00040BEE">
            <w:pPr>
              <w:adjustRightInd w:val="0"/>
              <w:snapToGrid w:val="0"/>
              <w:jc w:val="center"/>
              <w:rPr>
                <w:rFonts w:ascii="Calibri" w:hAnsi="Calibri"/>
                <w:color w:val="auto"/>
                <w:szCs w:val="21"/>
              </w:rPr>
            </w:pPr>
            <w:r w:rsidRPr="003F72B9">
              <w:rPr>
                <w:rFonts w:ascii="Calibri" w:hAnsi="宋体"/>
                <w:color w:val="auto"/>
                <w:szCs w:val="21"/>
              </w:rPr>
              <w:t>达标</w:t>
            </w:r>
          </w:p>
        </w:tc>
      </w:tr>
      <w:tr w:rsidR="007D6441" w:rsidRPr="003F72B9" w14:paraId="3BE45821" w14:textId="77777777" w:rsidTr="007D6441">
        <w:trPr>
          <w:trHeight w:val="340"/>
        </w:trPr>
        <w:tc>
          <w:tcPr>
            <w:tcW w:w="580" w:type="pct"/>
            <w:vMerge/>
            <w:vAlign w:val="center"/>
          </w:tcPr>
          <w:p w14:paraId="57710F29" w14:textId="77777777" w:rsidR="007D6441" w:rsidRPr="003F72B9" w:rsidRDefault="007D6441" w:rsidP="00040BEE">
            <w:pPr>
              <w:jc w:val="center"/>
              <w:rPr>
                <w:rFonts w:ascii="Calibri" w:hAnsi="Calibri"/>
                <w:color w:val="auto"/>
                <w:szCs w:val="21"/>
              </w:rPr>
            </w:pPr>
          </w:p>
        </w:tc>
        <w:tc>
          <w:tcPr>
            <w:tcW w:w="1130" w:type="pct"/>
            <w:vAlign w:val="center"/>
          </w:tcPr>
          <w:p w14:paraId="275F841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氰化物</w:t>
            </w:r>
          </w:p>
        </w:tc>
        <w:tc>
          <w:tcPr>
            <w:tcW w:w="1139" w:type="pct"/>
            <w:vAlign w:val="center"/>
          </w:tcPr>
          <w:p w14:paraId="165B4B49"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0.002</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4763FCB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0.05</w:t>
            </w:r>
          </w:p>
        </w:tc>
        <w:tc>
          <w:tcPr>
            <w:tcW w:w="800" w:type="pct"/>
            <w:vAlign w:val="center"/>
          </w:tcPr>
          <w:p w14:paraId="61E215F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3970EA9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B4D7347" w14:textId="77777777" w:rsidTr="007D6441">
        <w:trPr>
          <w:trHeight w:val="340"/>
        </w:trPr>
        <w:tc>
          <w:tcPr>
            <w:tcW w:w="580" w:type="pct"/>
            <w:vMerge/>
            <w:vAlign w:val="center"/>
          </w:tcPr>
          <w:p w14:paraId="4215C972" w14:textId="77777777" w:rsidR="007D6441" w:rsidRPr="003F72B9" w:rsidRDefault="007D6441" w:rsidP="00040BEE">
            <w:pPr>
              <w:jc w:val="center"/>
              <w:rPr>
                <w:rFonts w:ascii="Calibri" w:hAnsi="Calibri"/>
                <w:color w:val="auto"/>
                <w:szCs w:val="21"/>
              </w:rPr>
            </w:pPr>
          </w:p>
        </w:tc>
        <w:tc>
          <w:tcPr>
            <w:tcW w:w="1130" w:type="pct"/>
            <w:vAlign w:val="center"/>
          </w:tcPr>
          <w:p w14:paraId="58DE03F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总硬度</w:t>
            </w:r>
          </w:p>
        </w:tc>
        <w:tc>
          <w:tcPr>
            <w:tcW w:w="1139" w:type="pct"/>
            <w:vAlign w:val="center"/>
          </w:tcPr>
          <w:p w14:paraId="584BD820" w14:textId="77777777" w:rsidR="007D6441" w:rsidRPr="003F72B9" w:rsidRDefault="007D6441" w:rsidP="00040BEE">
            <w:pPr>
              <w:jc w:val="center"/>
              <w:rPr>
                <w:rFonts w:ascii="Calibri" w:cs="Times New Roman"/>
                <w:color w:val="auto"/>
                <w:szCs w:val="21"/>
              </w:rPr>
            </w:pPr>
            <w:r>
              <w:rPr>
                <w:rFonts w:ascii="Calibri" w:cs="Times New Roman" w:hint="eastAsia"/>
                <w:color w:val="auto"/>
                <w:szCs w:val="21"/>
              </w:rPr>
              <w:t>376</w:t>
            </w:r>
          </w:p>
        </w:tc>
        <w:tc>
          <w:tcPr>
            <w:tcW w:w="707" w:type="pct"/>
            <w:vAlign w:val="center"/>
          </w:tcPr>
          <w:p w14:paraId="70AF2DF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450</w:t>
            </w:r>
          </w:p>
        </w:tc>
        <w:tc>
          <w:tcPr>
            <w:tcW w:w="800" w:type="pct"/>
            <w:vAlign w:val="center"/>
          </w:tcPr>
          <w:p w14:paraId="0B829374"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0.84</w:t>
            </w:r>
          </w:p>
        </w:tc>
        <w:tc>
          <w:tcPr>
            <w:tcW w:w="643" w:type="pct"/>
            <w:vAlign w:val="center"/>
          </w:tcPr>
          <w:p w14:paraId="2B5F8A6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A80523F" w14:textId="77777777" w:rsidTr="007D6441">
        <w:trPr>
          <w:trHeight w:val="340"/>
        </w:trPr>
        <w:tc>
          <w:tcPr>
            <w:tcW w:w="580" w:type="pct"/>
            <w:vMerge/>
            <w:vAlign w:val="center"/>
          </w:tcPr>
          <w:p w14:paraId="354C26D0" w14:textId="77777777" w:rsidR="007D6441" w:rsidRPr="003F72B9" w:rsidRDefault="007D6441" w:rsidP="00040BEE">
            <w:pPr>
              <w:jc w:val="center"/>
              <w:rPr>
                <w:rFonts w:ascii="Calibri" w:hAnsi="Calibri"/>
                <w:color w:val="auto"/>
                <w:szCs w:val="21"/>
              </w:rPr>
            </w:pPr>
          </w:p>
        </w:tc>
        <w:tc>
          <w:tcPr>
            <w:tcW w:w="1130" w:type="pct"/>
            <w:vAlign w:val="center"/>
          </w:tcPr>
          <w:p w14:paraId="4579BFFF" w14:textId="77777777" w:rsidR="007D6441" w:rsidRPr="003F72B9" w:rsidRDefault="007D6441" w:rsidP="00040BEE">
            <w:pPr>
              <w:jc w:val="center"/>
              <w:rPr>
                <w:rFonts w:ascii="Calibri" w:hAnsi="Calibri"/>
                <w:color w:val="auto"/>
                <w:szCs w:val="21"/>
              </w:rPr>
            </w:pPr>
            <w:r w:rsidRPr="003F72B9">
              <w:rPr>
                <w:rFonts w:ascii="Calibri"/>
                <w:color w:val="auto"/>
                <w:szCs w:val="21"/>
              </w:rPr>
              <w:t>溶解性总固体</w:t>
            </w:r>
          </w:p>
        </w:tc>
        <w:tc>
          <w:tcPr>
            <w:tcW w:w="1139" w:type="pct"/>
            <w:vAlign w:val="center"/>
          </w:tcPr>
          <w:p w14:paraId="6AC76995" w14:textId="77777777" w:rsidR="007D6441" w:rsidRPr="003F72B9" w:rsidRDefault="007D6441" w:rsidP="00040BEE">
            <w:pPr>
              <w:jc w:val="center"/>
              <w:rPr>
                <w:rFonts w:ascii="Calibri" w:cs="Times New Roman"/>
                <w:color w:val="auto"/>
                <w:szCs w:val="21"/>
              </w:rPr>
            </w:pPr>
            <w:r>
              <w:rPr>
                <w:rFonts w:ascii="Calibri" w:cs="Times New Roman" w:hint="eastAsia"/>
                <w:color w:val="auto"/>
                <w:szCs w:val="21"/>
              </w:rPr>
              <w:t>732</w:t>
            </w:r>
          </w:p>
        </w:tc>
        <w:tc>
          <w:tcPr>
            <w:tcW w:w="707" w:type="pct"/>
            <w:vAlign w:val="center"/>
          </w:tcPr>
          <w:p w14:paraId="7F2A720F"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1000</w:t>
            </w:r>
          </w:p>
        </w:tc>
        <w:tc>
          <w:tcPr>
            <w:tcW w:w="800" w:type="pct"/>
            <w:vAlign w:val="center"/>
          </w:tcPr>
          <w:p w14:paraId="1A66B03F"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0.732</w:t>
            </w:r>
          </w:p>
        </w:tc>
        <w:tc>
          <w:tcPr>
            <w:tcW w:w="643" w:type="pct"/>
            <w:vAlign w:val="center"/>
          </w:tcPr>
          <w:p w14:paraId="7084320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2C8535E" w14:textId="77777777" w:rsidTr="007D6441">
        <w:trPr>
          <w:trHeight w:val="340"/>
        </w:trPr>
        <w:tc>
          <w:tcPr>
            <w:tcW w:w="580" w:type="pct"/>
            <w:vMerge/>
            <w:vAlign w:val="center"/>
          </w:tcPr>
          <w:p w14:paraId="47DFFFBF" w14:textId="77777777" w:rsidR="007D6441" w:rsidRPr="003F72B9" w:rsidRDefault="007D6441" w:rsidP="00040BEE">
            <w:pPr>
              <w:jc w:val="center"/>
              <w:rPr>
                <w:rFonts w:ascii="Calibri" w:hAnsi="Calibri"/>
                <w:color w:val="auto"/>
                <w:szCs w:val="21"/>
              </w:rPr>
            </w:pPr>
          </w:p>
        </w:tc>
        <w:tc>
          <w:tcPr>
            <w:tcW w:w="1130" w:type="pct"/>
            <w:vAlign w:val="center"/>
          </w:tcPr>
          <w:p w14:paraId="77631973" w14:textId="77777777" w:rsidR="007D6441" w:rsidRPr="003F72B9" w:rsidRDefault="007D6441" w:rsidP="00040BEE">
            <w:pPr>
              <w:jc w:val="center"/>
              <w:rPr>
                <w:rFonts w:ascii="Calibri" w:hAnsi="Calibri"/>
                <w:color w:val="auto"/>
                <w:szCs w:val="21"/>
              </w:rPr>
            </w:pPr>
            <w:r w:rsidRPr="003F72B9">
              <w:rPr>
                <w:rFonts w:ascii="Calibri" w:hint="eastAsia"/>
                <w:color w:val="auto"/>
                <w:szCs w:val="21"/>
              </w:rPr>
              <w:t>耗氧量</w:t>
            </w:r>
          </w:p>
        </w:tc>
        <w:tc>
          <w:tcPr>
            <w:tcW w:w="1139" w:type="pct"/>
            <w:vAlign w:val="center"/>
          </w:tcPr>
          <w:p w14:paraId="2FD45387" w14:textId="77777777" w:rsidR="007D6441" w:rsidRPr="003F72B9" w:rsidRDefault="007D6441" w:rsidP="00040BEE">
            <w:pPr>
              <w:jc w:val="center"/>
              <w:rPr>
                <w:rFonts w:ascii="Calibri" w:cs="Times New Roman"/>
                <w:color w:val="auto"/>
                <w:szCs w:val="21"/>
              </w:rPr>
            </w:pPr>
            <w:r>
              <w:rPr>
                <w:rFonts w:ascii="Calibri" w:cs="Times New Roman" w:hint="eastAsia"/>
                <w:color w:val="auto"/>
                <w:szCs w:val="21"/>
              </w:rPr>
              <w:t>0.93</w:t>
            </w:r>
          </w:p>
        </w:tc>
        <w:tc>
          <w:tcPr>
            <w:tcW w:w="707" w:type="pct"/>
            <w:vAlign w:val="center"/>
          </w:tcPr>
          <w:p w14:paraId="7F953A8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3.0</w:t>
            </w:r>
          </w:p>
        </w:tc>
        <w:tc>
          <w:tcPr>
            <w:tcW w:w="800" w:type="pct"/>
            <w:vAlign w:val="center"/>
          </w:tcPr>
          <w:p w14:paraId="1AF3611B"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0.31</w:t>
            </w:r>
          </w:p>
        </w:tc>
        <w:tc>
          <w:tcPr>
            <w:tcW w:w="643" w:type="pct"/>
            <w:vAlign w:val="center"/>
          </w:tcPr>
          <w:p w14:paraId="05E0F94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FD0F235" w14:textId="77777777" w:rsidTr="007D6441">
        <w:trPr>
          <w:trHeight w:val="340"/>
        </w:trPr>
        <w:tc>
          <w:tcPr>
            <w:tcW w:w="580" w:type="pct"/>
            <w:vMerge/>
            <w:vAlign w:val="center"/>
          </w:tcPr>
          <w:p w14:paraId="7A32FB8F" w14:textId="77777777" w:rsidR="007D6441" w:rsidRPr="003F72B9" w:rsidRDefault="007D6441" w:rsidP="00040BEE">
            <w:pPr>
              <w:jc w:val="center"/>
              <w:rPr>
                <w:rFonts w:ascii="Calibri" w:hAnsi="Calibri"/>
                <w:color w:val="auto"/>
                <w:szCs w:val="21"/>
              </w:rPr>
            </w:pPr>
          </w:p>
        </w:tc>
        <w:tc>
          <w:tcPr>
            <w:tcW w:w="1130" w:type="pct"/>
            <w:vAlign w:val="center"/>
          </w:tcPr>
          <w:p w14:paraId="10E9A8E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氟化物</w:t>
            </w:r>
          </w:p>
        </w:tc>
        <w:tc>
          <w:tcPr>
            <w:tcW w:w="1139" w:type="pct"/>
            <w:vAlign w:val="center"/>
          </w:tcPr>
          <w:p w14:paraId="6F01FE88" w14:textId="77777777" w:rsidR="007D6441" w:rsidRPr="003F72B9" w:rsidRDefault="007D6441" w:rsidP="00040BEE">
            <w:pPr>
              <w:jc w:val="center"/>
              <w:rPr>
                <w:rFonts w:ascii="Calibri" w:cs="Times New Roman"/>
                <w:color w:val="auto"/>
                <w:szCs w:val="21"/>
              </w:rPr>
            </w:pPr>
            <w:r>
              <w:rPr>
                <w:rFonts w:ascii="Calibri" w:cs="Times New Roman" w:hint="eastAsia"/>
                <w:color w:val="auto"/>
                <w:szCs w:val="21"/>
              </w:rPr>
              <w:t>0.6</w:t>
            </w:r>
          </w:p>
        </w:tc>
        <w:tc>
          <w:tcPr>
            <w:tcW w:w="707" w:type="pct"/>
            <w:vAlign w:val="center"/>
          </w:tcPr>
          <w:p w14:paraId="3A8EAC5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1.0</w:t>
            </w:r>
          </w:p>
        </w:tc>
        <w:tc>
          <w:tcPr>
            <w:tcW w:w="800" w:type="pct"/>
            <w:vAlign w:val="center"/>
          </w:tcPr>
          <w:p w14:paraId="0E75F559" w14:textId="77777777" w:rsidR="007D6441" w:rsidRPr="003F72B9" w:rsidRDefault="007D6441" w:rsidP="00040BEE">
            <w:pPr>
              <w:jc w:val="center"/>
              <w:rPr>
                <w:rFonts w:ascii="Calibri" w:hAnsi="Calibri"/>
                <w:color w:val="auto"/>
                <w:szCs w:val="21"/>
              </w:rPr>
            </w:pPr>
            <w:r>
              <w:rPr>
                <w:rFonts w:ascii="Calibri" w:cs="Times New Roman" w:hint="eastAsia"/>
                <w:color w:val="auto"/>
                <w:szCs w:val="21"/>
              </w:rPr>
              <w:t>0.60</w:t>
            </w:r>
          </w:p>
        </w:tc>
        <w:tc>
          <w:tcPr>
            <w:tcW w:w="643" w:type="pct"/>
            <w:vAlign w:val="center"/>
          </w:tcPr>
          <w:p w14:paraId="5E52213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0399E29" w14:textId="77777777" w:rsidTr="007D6441">
        <w:trPr>
          <w:trHeight w:val="340"/>
        </w:trPr>
        <w:tc>
          <w:tcPr>
            <w:tcW w:w="580" w:type="pct"/>
            <w:vMerge/>
            <w:vAlign w:val="center"/>
          </w:tcPr>
          <w:p w14:paraId="5DE889B5" w14:textId="77777777" w:rsidR="007D6441" w:rsidRPr="003F72B9" w:rsidRDefault="007D6441" w:rsidP="00040BEE">
            <w:pPr>
              <w:jc w:val="center"/>
              <w:rPr>
                <w:rFonts w:ascii="Calibri" w:hAnsi="Calibri"/>
                <w:color w:val="auto"/>
                <w:szCs w:val="21"/>
              </w:rPr>
            </w:pPr>
          </w:p>
        </w:tc>
        <w:tc>
          <w:tcPr>
            <w:tcW w:w="1130" w:type="pct"/>
            <w:vAlign w:val="center"/>
          </w:tcPr>
          <w:p w14:paraId="3CF7D64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汞（</w:t>
            </w:r>
            <w:r w:rsidRPr="003F72B9">
              <w:rPr>
                <w:rFonts w:ascii="Calibri" w:hAnsi="Calibri"/>
                <w:color w:val="auto"/>
                <w:szCs w:val="21"/>
              </w:rPr>
              <w:t>μ</w:t>
            </w:r>
            <w:r w:rsidRPr="003F72B9">
              <w:rPr>
                <w:rFonts w:ascii="Calibri" w:hAnsi="Calibri" w:hint="eastAsia"/>
                <w:color w:val="auto"/>
                <w:szCs w:val="21"/>
              </w:rPr>
              <w:t>g/L</w:t>
            </w:r>
            <w:r w:rsidRPr="003F72B9">
              <w:rPr>
                <w:rFonts w:ascii="Calibri" w:hAnsi="Calibri" w:hint="eastAsia"/>
                <w:color w:val="auto"/>
                <w:szCs w:val="21"/>
              </w:rPr>
              <w:t>）</w:t>
            </w:r>
          </w:p>
        </w:tc>
        <w:tc>
          <w:tcPr>
            <w:tcW w:w="1139" w:type="pct"/>
            <w:vAlign w:val="center"/>
          </w:tcPr>
          <w:p w14:paraId="0AE3F607"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0.1</w:t>
            </w:r>
            <w:r>
              <w:rPr>
                <w:rFonts w:ascii="Calibri" w:hAnsi="Calibri" w:hint="eastAsia"/>
                <w:color w:val="auto"/>
                <w:szCs w:val="21"/>
              </w:rPr>
              <w:t>×</w:t>
            </w:r>
            <w:r>
              <w:rPr>
                <w:rFonts w:ascii="Calibri" w:hAnsi="Calibri" w:hint="eastAsia"/>
                <w:color w:val="auto"/>
                <w:szCs w:val="21"/>
              </w:rPr>
              <w:t>10</w:t>
            </w:r>
            <w:r w:rsidRPr="00012CE4">
              <w:rPr>
                <w:rFonts w:ascii="Calibri" w:hAnsi="Calibri" w:hint="eastAsia"/>
                <w:color w:val="auto"/>
                <w:szCs w:val="21"/>
                <w:vertAlign w:val="superscript"/>
              </w:rPr>
              <w:t>-3</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66621FA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1</w:t>
            </w:r>
          </w:p>
        </w:tc>
        <w:tc>
          <w:tcPr>
            <w:tcW w:w="800" w:type="pct"/>
            <w:vAlign w:val="center"/>
          </w:tcPr>
          <w:p w14:paraId="5D65B4A4"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w:t>
            </w:r>
          </w:p>
        </w:tc>
        <w:tc>
          <w:tcPr>
            <w:tcW w:w="643" w:type="pct"/>
            <w:vAlign w:val="center"/>
          </w:tcPr>
          <w:p w14:paraId="21CFE96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1C20006" w14:textId="77777777" w:rsidTr="007D6441">
        <w:trPr>
          <w:trHeight w:val="340"/>
        </w:trPr>
        <w:tc>
          <w:tcPr>
            <w:tcW w:w="580" w:type="pct"/>
            <w:vMerge/>
            <w:vAlign w:val="center"/>
          </w:tcPr>
          <w:p w14:paraId="7D7555E5" w14:textId="77777777" w:rsidR="007D6441" w:rsidRPr="003F72B9" w:rsidRDefault="007D6441" w:rsidP="00040BEE">
            <w:pPr>
              <w:jc w:val="center"/>
              <w:rPr>
                <w:rFonts w:ascii="Calibri" w:hAnsi="Calibri"/>
                <w:color w:val="auto"/>
                <w:szCs w:val="21"/>
              </w:rPr>
            </w:pPr>
          </w:p>
        </w:tc>
        <w:tc>
          <w:tcPr>
            <w:tcW w:w="1130" w:type="pct"/>
            <w:vAlign w:val="center"/>
          </w:tcPr>
          <w:p w14:paraId="196D2B9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砷（</w:t>
            </w:r>
            <w:r w:rsidRPr="003F72B9">
              <w:rPr>
                <w:rFonts w:ascii="Calibri" w:hAnsi="Calibri"/>
                <w:color w:val="auto"/>
                <w:szCs w:val="21"/>
              </w:rPr>
              <w:t>μ</w:t>
            </w:r>
            <w:r w:rsidRPr="003F72B9">
              <w:rPr>
                <w:rFonts w:ascii="Calibri" w:hAnsi="Calibri" w:hint="eastAsia"/>
                <w:color w:val="auto"/>
                <w:szCs w:val="21"/>
              </w:rPr>
              <w:t>g/L</w:t>
            </w:r>
            <w:r w:rsidRPr="003F72B9">
              <w:rPr>
                <w:rFonts w:ascii="Calibri" w:hAnsi="Calibri" w:hint="eastAsia"/>
                <w:color w:val="auto"/>
                <w:szCs w:val="21"/>
              </w:rPr>
              <w:t>）</w:t>
            </w:r>
          </w:p>
        </w:tc>
        <w:tc>
          <w:tcPr>
            <w:tcW w:w="1139" w:type="pct"/>
            <w:vAlign w:val="center"/>
          </w:tcPr>
          <w:p w14:paraId="0C2D8A23"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1.0</w:t>
            </w:r>
            <w:r>
              <w:rPr>
                <w:rFonts w:ascii="Calibri" w:hAnsi="Calibri" w:hint="eastAsia"/>
                <w:color w:val="auto"/>
                <w:szCs w:val="21"/>
              </w:rPr>
              <w:t>×</w:t>
            </w:r>
            <w:r>
              <w:rPr>
                <w:rFonts w:ascii="Calibri" w:hAnsi="Calibri" w:hint="eastAsia"/>
                <w:color w:val="auto"/>
                <w:szCs w:val="21"/>
              </w:rPr>
              <w:t>10</w:t>
            </w:r>
            <w:r w:rsidRPr="00012CE4">
              <w:rPr>
                <w:rFonts w:ascii="Calibri" w:hAnsi="Calibri" w:hint="eastAsia"/>
                <w:color w:val="auto"/>
                <w:szCs w:val="21"/>
                <w:vertAlign w:val="superscript"/>
              </w:rPr>
              <w:t>-3</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4A190B2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10</w:t>
            </w:r>
          </w:p>
        </w:tc>
        <w:tc>
          <w:tcPr>
            <w:tcW w:w="800" w:type="pct"/>
            <w:vAlign w:val="center"/>
          </w:tcPr>
          <w:p w14:paraId="3DCC9D1F"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w:t>
            </w:r>
          </w:p>
        </w:tc>
        <w:tc>
          <w:tcPr>
            <w:tcW w:w="643" w:type="pct"/>
            <w:vAlign w:val="center"/>
          </w:tcPr>
          <w:p w14:paraId="6DB4879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6FEC459" w14:textId="77777777" w:rsidTr="007D6441">
        <w:trPr>
          <w:trHeight w:val="340"/>
        </w:trPr>
        <w:tc>
          <w:tcPr>
            <w:tcW w:w="580" w:type="pct"/>
            <w:vMerge/>
            <w:vAlign w:val="center"/>
          </w:tcPr>
          <w:p w14:paraId="4A87B621" w14:textId="77777777" w:rsidR="007D6441" w:rsidRPr="003F72B9" w:rsidRDefault="007D6441" w:rsidP="00040BEE">
            <w:pPr>
              <w:jc w:val="center"/>
              <w:rPr>
                <w:rFonts w:ascii="Calibri" w:hAnsi="Calibri"/>
                <w:color w:val="auto"/>
                <w:szCs w:val="21"/>
              </w:rPr>
            </w:pPr>
          </w:p>
        </w:tc>
        <w:tc>
          <w:tcPr>
            <w:tcW w:w="1130" w:type="pct"/>
            <w:vAlign w:val="center"/>
          </w:tcPr>
          <w:p w14:paraId="5362E28F" w14:textId="77777777" w:rsidR="007D6441" w:rsidRPr="003F72B9" w:rsidRDefault="007D6441" w:rsidP="00040BEE">
            <w:pPr>
              <w:jc w:val="center"/>
              <w:rPr>
                <w:rFonts w:ascii="Calibri"/>
                <w:color w:val="auto"/>
                <w:szCs w:val="21"/>
              </w:rPr>
            </w:pPr>
            <w:r w:rsidRPr="003F72B9">
              <w:rPr>
                <w:rFonts w:ascii="Calibri" w:hint="eastAsia"/>
                <w:color w:val="auto"/>
                <w:szCs w:val="21"/>
              </w:rPr>
              <w:t>铅</w:t>
            </w:r>
            <w:r w:rsidRPr="003F72B9">
              <w:rPr>
                <w:rFonts w:ascii="Calibri" w:hAnsi="Calibri" w:hint="eastAsia"/>
                <w:color w:val="auto"/>
                <w:szCs w:val="21"/>
              </w:rPr>
              <w:t>（</w:t>
            </w:r>
            <w:r w:rsidRPr="003F72B9">
              <w:rPr>
                <w:rFonts w:ascii="Calibri" w:hAnsi="Calibri"/>
                <w:color w:val="auto"/>
                <w:szCs w:val="21"/>
              </w:rPr>
              <w:t>μ</w:t>
            </w:r>
            <w:r w:rsidRPr="003F72B9">
              <w:rPr>
                <w:rFonts w:ascii="Calibri" w:hAnsi="Calibri" w:hint="eastAsia"/>
                <w:color w:val="auto"/>
                <w:szCs w:val="21"/>
              </w:rPr>
              <w:t>g/L</w:t>
            </w:r>
            <w:r w:rsidRPr="003F72B9">
              <w:rPr>
                <w:rFonts w:ascii="Calibri" w:hAnsi="Calibri" w:hint="eastAsia"/>
                <w:color w:val="auto"/>
                <w:szCs w:val="21"/>
              </w:rPr>
              <w:t>）</w:t>
            </w:r>
          </w:p>
        </w:tc>
        <w:tc>
          <w:tcPr>
            <w:tcW w:w="1139" w:type="pct"/>
            <w:vAlign w:val="center"/>
          </w:tcPr>
          <w:p w14:paraId="139A683C" w14:textId="77777777" w:rsidR="007D6441" w:rsidRPr="003F72B9" w:rsidRDefault="007D6441" w:rsidP="00040BEE">
            <w:pPr>
              <w:jc w:val="center"/>
              <w:rPr>
                <w:rFonts w:ascii="Calibri" w:cs="Times New Roman"/>
                <w:color w:val="auto"/>
                <w:szCs w:val="21"/>
              </w:rPr>
            </w:pPr>
            <w:r>
              <w:rPr>
                <w:rFonts w:ascii="Calibri" w:hAnsi="Calibri" w:hint="eastAsia"/>
                <w:color w:val="auto"/>
                <w:szCs w:val="21"/>
              </w:rPr>
              <w:t>2.5</w:t>
            </w:r>
            <w:r>
              <w:rPr>
                <w:rFonts w:ascii="Calibri" w:hAnsi="Calibri" w:hint="eastAsia"/>
                <w:color w:val="auto"/>
                <w:szCs w:val="21"/>
              </w:rPr>
              <w:t>×</w:t>
            </w:r>
            <w:r>
              <w:rPr>
                <w:rFonts w:ascii="Calibri" w:hAnsi="Calibri" w:hint="eastAsia"/>
                <w:color w:val="auto"/>
                <w:szCs w:val="21"/>
              </w:rPr>
              <w:t>10</w:t>
            </w:r>
            <w:r w:rsidRPr="00012CE4">
              <w:rPr>
                <w:rFonts w:ascii="Calibri" w:hAnsi="Calibri" w:hint="eastAsia"/>
                <w:color w:val="auto"/>
                <w:szCs w:val="21"/>
                <w:vertAlign w:val="superscript"/>
              </w:rPr>
              <w:t>-3</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259D88EF"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10</w:t>
            </w:r>
          </w:p>
        </w:tc>
        <w:tc>
          <w:tcPr>
            <w:tcW w:w="800" w:type="pct"/>
            <w:vAlign w:val="center"/>
          </w:tcPr>
          <w:p w14:paraId="279B091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01B7E5F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52DF6B8" w14:textId="77777777" w:rsidTr="007D6441">
        <w:trPr>
          <w:trHeight w:val="340"/>
        </w:trPr>
        <w:tc>
          <w:tcPr>
            <w:tcW w:w="580" w:type="pct"/>
            <w:vMerge/>
            <w:vAlign w:val="center"/>
          </w:tcPr>
          <w:p w14:paraId="76BF4EF7" w14:textId="77777777" w:rsidR="007D6441" w:rsidRPr="003F72B9" w:rsidRDefault="007D6441" w:rsidP="00040BEE">
            <w:pPr>
              <w:jc w:val="center"/>
              <w:rPr>
                <w:rFonts w:ascii="Calibri" w:hAnsi="Calibri"/>
                <w:color w:val="auto"/>
                <w:szCs w:val="21"/>
              </w:rPr>
            </w:pPr>
          </w:p>
        </w:tc>
        <w:tc>
          <w:tcPr>
            <w:tcW w:w="1130" w:type="pct"/>
            <w:vAlign w:val="center"/>
          </w:tcPr>
          <w:p w14:paraId="2445594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镉（</w:t>
            </w:r>
            <w:r w:rsidRPr="003F72B9">
              <w:rPr>
                <w:rFonts w:ascii="Calibri" w:hAnsi="Calibri"/>
                <w:color w:val="auto"/>
                <w:szCs w:val="21"/>
              </w:rPr>
              <w:t>μ</w:t>
            </w:r>
            <w:r w:rsidRPr="003F72B9">
              <w:rPr>
                <w:rFonts w:ascii="Calibri" w:hAnsi="Calibri" w:hint="eastAsia"/>
                <w:color w:val="auto"/>
                <w:szCs w:val="21"/>
              </w:rPr>
              <w:t>g/L</w:t>
            </w:r>
            <w:r w:rsidRPr="003F72B9">
              <w:rPr>
                <w:rFonts w:ascii="Calibri" w:hAnsi="Calibri" w:hint="eastAsia"/>
                <w:color w:val="auto"/>
                <w:szCs w:val="21"/>
              </w:rPr>
              <w:t>）</w:t>
            </w:r>
          </w:p>
        </w:tc>
        <w:tc>
          <w:tcPr>
            <w:tcW w:w="1139" w:type="pct"/>
            <w:vAlign w:val="center"/>
          </w:tcPr>
          <w:p w14:paraId="137DBCCD" w14:textId="77777777" w:rsidR="007D6441" w:rsidRPr="003F72B9" w:rsidRDefault="007D6441" w:rsidP="00040BEE">
            <w:pPr>
              <w:jc w:val="center"/>
              <w:rPr>
                <w:rFonts w:ascii="Calibri" w:cs="Times New Roman"/>
                <w:color w:val="auto"/>
                <w:szCs w:val="21"/>
              </w:rPr>
            </w:pPr>
            <w:r>
              <w:rPr>
                <w:rFonts w:ascii="Calibri" w:hAnsi="Calibri" w:hint="eastAsia"/>
                <w:color w:val="auto"/>
                <w:szCs w:val="21"/>
              </w:rPr>
              <w:t>0.5</w:t>
            </w:r>
            <w:r>
              <w:rPr>
                <w:rFonts w:ascii="Calibri" w:hAnsi="Calibri" w:hint="eastAsia"/>
                <w:color w:val="auto"/>
                <w:szCs w:val="21"/>
              </w:rPr>
              <w:t>×</w:t>
            </w:r>
            <w:r>
              <w:rPr>
                <w:rFonts w:ascii="Calibri" w:hAnsi="Calibri" w:hint="eastAsia"/>
                <w:color w:val="auto"/>
                <w:szCs w:val="21"/>
              </w:rPr>
              <w:t>10</w:t>
            </w:r>
            <w:r w:rsidRPr="00012CE4">
              <w:rPr>
                <w:rFonts w:ascii="Calibri" w:hAnsi="Calibri" w:hint="eastAsia"/>
                <w:color w:val="auto"/>
                <w:szCs w:val="21"/>
                <w:vertAlign w:val="superscript"/>
              </w:rPr>
              <w:t>-3</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59C0C21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5</w:t>
            </w:r>
          </w:p>
        </w:tc>
        <w:tc>
          <w:tcPr>
            <w:tcW w:w="800" w:type="pct"/>
            <w:vAlign w:val="center"/>
          </w:tcPr>
          <w:p w14:paraId="52E1C57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3A6238E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4A65656" w14:textId="77777777" w:rsidTr="007D6441">
        <w:trPr>
          <w:trHeight w:val="340"/>
        </w:trPr>
        <w:tc>
          <w:tcPr>
            <w:tcW w:w="580" w:type="pct"/>
            <w:vMerge/>
            <w:vAlign w:val="center"/>
          </w:tcPr>
          <w:p w14:paraId="2F5ED3E6" w14:textId="77777777" w:rsidR="007D6441" w:rsidRPr="003F72B9" w:rsidRDefault="007D6441" w:rsidP="00040BEE">
            <w:pPr>
              <w:jc w:val="center"/>
              <w:rPr>
                <w:rFonts w:ascii="Calibri" w:hAnsi="Calibri"/>
                <w:color w:val="auto"/>
                <w:szCs w:val="21"/>
              </w:rPr>
            </w:pPr>
          </w:p>
        </w:tc>
        <w:tc>
          <w:tcPr>
            <w:tcW w:w="1130" w:type="pct"/>
            <w:vAlign w:val="center"/>
          </w:tcPr>
          <w:p w14:paraId="63F3FD5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铁</w:t>
            </w:r>
          </w:p>
        </w:tc>
        <w:tc>
          <w:tcPr>
            <w:tcW w:w="1139" w:type="pct"/>
            <w:vAlign w:val="center"/>
          </w:tcPr>
          <w:p w14:paraId="224AC3D4" w14:textId="77777777" w:rsidR="007D6441" w:rsidRPr="003F72B9" w:rsidRDefault="007D6441" w:rsidP="00040BEE">
            <w:pPr>
              <w:jc w:val="center"/>
              <w:rPr>
                <w:rFonts w:ascii="Calibri" w:cs="Times New Roman"/>
                <w:color w:val="auto"/>
                <w:szCs w:val="21"/>
              </w:rPr>
            </w:pPr>
            <w:r>
              <w:rPr>
                <w:rFonts w:ascii="Calibri" w:hAnsi="Calibri" w:hint="eastAsia"/>
                <w:color w:val="auto"/>
                <w:szCs w:val="21"/>
              </w:rPr>
              <w:t>0.03</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294771F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0.3</w:t>
            </w:r>
          </w:p>
        </w:tc>
        <w:tc>
          <w:tcPr>
            <w:tcW w:w="800" w:type="pct"/>
            <w:vAlign w:val="center"/>
          </w:tcPr>
          <w:p w14:paraId="34EBAAF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500A428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11F3967" w14:textId="77777777" w:rsidTr="007D6441">
        <w:trPr>
          <w:trHeight w:val="340"/>
        </w:trPr>
        <w:tc>
          <w:tcPr>
            <w:tcW w:w="580" w:type="pct"/>
            <w:vMerge/>
            <w:vAlign w:val="center"/>
          </w:tcPr>
          <w:p w14:paraId="6C4AE44D" w14:textId="77777777" w:rsidR="007D6441" w:rsidRPr="003F72B9" w:rsidRDefault="007D6441" w:rsidP="00040BEE">
            <w:pPr>
              <w:jc w:val="center"/>
              <w:rPr>
                <w:rFonts w:ascii="Calibri" w:hAnsi="Calibri"/>
                <w:color w:val="auto"/>
                <w:szCs w:val="21"/>
              </w:rPr>
            </w:pPr>
          </w:p>
        </w:tc>
        <w:tc>
          <w:tcPr>
            <w:tcW w:w="1130" w:type="pct"/>
            <w:vAlign w:val="center"/>
          </w:tcPr>
          <w:p w14:paraId="10254D9E" w14:textId="77777777" w:rsidR="007D6441" w:rsidRPr="003F72B9" w:rsidRDefault="007D6441" w:rsidP="00040BEE">
            <w:pPr>
              <w:jc w:val="center"/>
              <w:rPr>
                <w:rFonts w:cs="Times New Roman"/>
                <w:color w:val="auto"/>
                <w:szCs w:val="21"/>
              </w:rPr>
            </w:pPr>
            <w:r w:rsidRPr="003F72B9">
              <w:rPr>
                <w:rFonts w:cs="Times New Roman" w:hint="eastAsia"/>
                <w:color w:val="auto"/>
                <w:szCs w:val="21"/>
              </w:rPr>
              <w:t>锰</w:t>
            </w:r>
          </w:p>
        </w:tc>
        <w:tc>
          <w:tcPr>
            <w:tcW w:w="1139" w:type="pct"/>
            <w:vAlign w:val="center"/>
          </w:tcPr>
          <w:p w14:paraId="021F72C1" w14:textId="77777777" w:rsidR="007D6441" w:rsidRPr="003F72B9" w:rsidRDefault="007D6441" w:rsidP="00040BEE">
            <w:pPr>
              <w:jc w:val="center"/>
              <w:rPr>
                <w:rFonts w:ascii="Calibri" w:cs="Times New Roman"/>
                <w:color w:val="auto"/>
                <w:szCs w:val="21"/>
              </w:rPr>
            </w:pPr>
            <w:r>
              <w:rPr>
                <w:rFonts w:ascii="Calibri" w:hAnsi="Calibri" w:hint="eastAsia"/>
                <w:color w:val="auto"/>
                <w:szCs w:val="21"/>
              </w:rPr>
              <w:t>0.01</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0B820D1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0.10</w:t>
            </w:r>
          </w:p>
        </w:tc>
        <w:tc>
          <w:tcPr>
            <w:tcW w:w="800" w:type="pct"/>
            <w:vAlign w:val="center"/>
          </w:tcPr>
          <w:p w14:paraId="173DD17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3999174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2BA7CCD" w14:textId="77777777" w:rsidTr="007D6441">
        <w:trPr>
          <w:trHeight w:val="340"/>
        </w:trPr>
        <w:tc>
          <w:tcPr>
            <w:tcW w:w="580" w:type="pct"/>
            <w:vMerge/>
            <w:vAlign w:val="center"/>
          </w:tcPr>
          <w:p w14:paraId="65E9F989" w14:textId="77777777" w:rsidR="007D6441" w:rsidRPr="003F72B9" w:rsidRDefault="007D6441" w:rsidP="00040BEE">
            <w:pPr>
              <w:jc w:val="center"/>
              <w:rPr>
                <w:rFonts w:ascii="Calibri" w:hAnsi="Calibri"/>
                <w:color w:val="auto"/>
                <w:szCs w:val="21"/>
              </w:rPr>
            </w:pPr>
          </w:p>
        </w:tc>
        <w:tc>
          <w:tcPr>
            <w:tcW w:w="1130" w:type="pct"/>
            <w:vAlign w:val="center"/>
          </w:tcPr>
          <w:p w14:paraId="5C16E3C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铬（六价）</w:t>
            </w:r>
          </w:p>
        </w:tc>
        <w:tc>
          <w:tcPr>
            <w:tcW w:w="1139" w:type="pct"/>
            <w:vAlign w:val="center"/>
          </w:tcPr>
          <w:p w14:paraId="752DD994"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0.004</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7B01061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0.05</w:t>
            </w:r>
          </w:p>
        </w:tc>
        <w:tc>
          <w:tcPr>
            <w:tcW w:w="800" w:type="pct"/>
            <w:vAlign w:val="center"/>
          </w:tcPr>
          <w:p w14:paraId="7154706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4F6938F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6D3E402" w14:textId="77777777" w:rsidTr="007D6441">
        <w:trPr>
          <w:trHeight w:val="340"/>
        </w:trPr>
        <w:tc>
          <w:tcPr>
            <w:tcW w:w="580" w:type="pct"/>
            <w:vMerge/>
            <w:vAlign w:val="center"/>
          </w:tcPr>
          <w:p w14:paraId="175272A2" w14:textId="77777777" w:rsidR="007D6441" w:rsidRPr="003F72B9" w:rsidRDefault="007D6441" w:rsidP="00040BEE">
            <w:pPr>
              <w:jc w:val="center"/>
              <w:rPr>
                <w:rFonts w:ascii="Calibri" w:hAnsi="Calibri"/>
                <w:color w:val="auto"/>
                <w:szCs w:val="21"/>
              </w:rPr>
            </w:pPr>
          </w:p>
        </w:tc>
        <w:tc>
          <w:tcPr>
            <w:tcW w:w="1130" w:type="pct"/>
            <w:vAlign w:val="center"/>
          </w:tcPr>
          <w:p w14:paraId="51046021" w14:textId="77777777" w:rsidR="007D6441" w:rsidRPr="003F72B9" w:rsidRDefault="007D6441" w:rsidP="00040BEE">
            <w:pPr>
              <w:jc w:val="center"/>
              <w:rPr>
                <w:rFonts w:ascii="Calibri" w:hAnsi="Calibri" w:cs="Times New Roman"/>
                <w:color w:val="auto"/>
                <w:szCs w:val="21"/>
              </w:rPr>
            </w:pPr>
            <w:r w:rsidRPr="003F72B9">
              <w:rPr>
                <w:rFonts w:ascii="Calibri" w:cs="Times New Roman"/>
                <w:color w:val="auto"/>
                <w:szCs w:val="21"/>
              </w:rPr>
              <w:t>硫酸盐</w:t>
            </w:r>
          </w:p>
        </w:tc>
        <w:tc>
          <w:tcPr>
            <w:tcW w:w="1139" w:type="pct"/>
            <w:vAlign w:val="center"/>
          </w:tcPr>
          <w:p w14:paraId="2FE8C36E" w14:textId="77777777" w:rsidR="007D6441" w:rsidRPr="003F72B9" w:rsidRDefault="007D6441" w:rsidP="00040BEE">
            <w:pPr>
              <w:jc w:val="center"/>
              <w:rPr>
                <w:rFonts w:ascii="Calibri" w:cs="Times New Roman"/>
                <w:color w:val="auto"/>
                <w:szCs w:val="21"/>
              </w:rPr>
            </w:pPr>
            <w:r>
              <w:rPr>
                <w:rFonts w:ascii="Calibri" w:cs="Times New Roman" w:hint="eastAsia"/>
                <w:color w:val="auto"/>
                <w:szCs w:val="21"/>
              </w:rPr>
              <w:t>74.8</w:t>
            </w:r>
          </w:p>
        </w:tc>
        <w:tc>
          <w:tcPr>
            <w:tcW w:w="707" w:type="pct"/>
            <w:vAlign w:val="center"/>
          </w:tcPr>
          <w:p w14:paraId="0F9E2CF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250</w:t>
            </w:r>
          </w:p>
        </w:tc>
        <w:tc>
          <w:tcPr>
            <w:tcW w:w="800" w:type="pct"/>
            <w:vAlign w:val="center"/>
          </w:tcPr>
          <w:p w14:paraId="422F45E3"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0.30</w:t>
            </w:r>
          </w:p>
        </w:tc>
        <w:tc>
          <w:tcPr>
            <w:tcW w:w="643" w:type="pct"/>
            <w:vAlign w:val="center"/>
          </w:tcPr>
          <w:p w14:paraId="2A98E69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C28F3EE" w14:textId="77777777" w:rsidTr="007D6441">
        <w:trPr>
          <w:trHeight w:val="340"/>
        </w:trPr>
        <w:tc>
          <w:tcPr>
            <w:tcW w:w="580" w:type="pct"/>
            <w:vMerge/>
            <w:vAlign w:val="center"/>
          </w:tcPr>
          <w:p w14:paraId="49DF0BCC" w14:textId="77777777" w:rsidR="007D6441" w:rsidRPr="003F72B9" w:rsidRDefault="007D6441" w:rsidP="00040BEE">
            <w:pPr>
              <w:jc w:val="center"/>
              <w:rPr>
                <w:rFonts w:ascii="Calibri" w:hAnsi="Calibri"/>
                <w:color w:val="auto"/>
                <w:szCs w:val="21"/>
              </w:rPr>
            </w:pPr>
          </w:p>
        </w:tc>
        <w:tc>
          <w:tcPr>
            <w:tcW w:w="1130" w:type="pct"/>
            <w:vAlign w:val="center"/>
          </w:tcPr>
          <w:p w14:paraId="0CD4809B" w14:textId="77777777" w:rsidR="007D6441" w:rsidRPr="003F72B9" w:rsidRDefault="007D6441" w:rsidP="00040BEE">
            <w:pPr>
              <w:jc w:val="center"/>
              <w:rPr>
                <w:rFonts w:ascii="Calibri" w:hAnsi="Calibri" w:cs="Times New Roman"/>
                <w:color w:val="auto"/>
                <w:szCs w:val="21"/>
              </w:rPr>
            </w:pPr>
            <w:r w:rsidRPr="003F72B9">
              <w:rPr>
                <w:rFonts w:ascii="Calibri" w:cs="Times New Roman"/>
                <w:color w:val="auto"/>
                <w:szCs w:val="21"/>
              </w:rPr>
              <w:t>氯化物</w:t>
            </w:r>
          </w:p>
        </w:tc>
        <w:tc>
          <w:tcPr>
            <w:tcW w:w="1139" w:type="pct"/>
            <w:vAlign w:val="center"/>
          </w:tcPr>
          <w:p w14:paraId="4F567893" w14:textId="77777777" w:rsidR="007D6441" w:rsidRPr="003F72B9" w:rsidRDefault="007D6441" w:rsidP="00040BEE">
            <w:pPr>
              <w:jc w:val="center"/>
              <w:rPr>
                <w:rFonts w:ascii="Calibri" w:cs="Times New Roman"/>
                <w:color w:val="auto"/>
                <w:szCs w:val="21"/>
              </w:rPr>
            </w:pPr>
            <w:r>
              <w:rPr>
                <w:rFonts w:ascii="Calibri" w:cs="Times New Roman" w:hint="eastAsia"/>
                <w:color w:val="auto"/>
                <w:szCs w:val="21"/>
              </w:rPr>
              <w:t>67.4</w:t>
            </w:r>
          </w:p>
        </w:tc>
        <w:tc>
          <w:tcPr>
            <w:tcW w:w="707" w:type="pct"/>
            <w:vAlign w:val="center"/>
          </w:tcPr>
          <w:p w14:paraId="435C771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250</w:t>
            </w:r>
          </w:p>
        </w:tc>
        <w:tc>
          <w:tcPr>
            <w:tcW w:w="800" w:type="pct"/>
            <w:vAlign w:val="center"/>
          </w:tcPr>
          <w:p w14:paraId="4D50B4F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0.</w:t>
            </w:r>
            <w:r>
              <w:rPr>
                <w:rFonts w:ascii="Calibri" w:hAnsi="Calibri" w:hint="eastAsia"/>
                <w:color w:val="auto"/>
                <w:szCs w:val="21"/>
              </w:rPr>
              <w:t>27</w:t>
            </w:r>
          </w:p>
        </w:tc>
        <w:tc>
          <w:tcPr>
            <w:tcW w:w="643" w:type="pct"/>
            <w:vAlign w:val="center"/>
          </w:tcPr>
          <w:p w14:paraId="2C3A85B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2AB89D5" w14:textId="77777777" w:rsidTr="007D6441">
        <w:trPr>
          <w:trHeight w:val="340"/>
        </w:trPr>
        <w:tc>
          <w:tcPr>
            <w:tcW w:w="580" w:type="pct"/>
            <w:vMerge/>
            <w:vAlign w:val="center"/>
          </w:tcPr>
          <w:p w14:paraId="2A22D69E" w14:textId="77777777" w:rsidR="007D6441" w:rsidRPr="003F72B9" w:rsidRDefault="007D6441" w:rsidP="00040BEE">
            <w:pPr>
              <w:jc w:val="center"/>
              <w:rPr>
                <w:rFonts w:ascii="Calibri" w:hAnsi="Calibri"/>
                <w:color w:val="auto"/>
                <w:szCs w:val="21"/>
              </w:rPr>
            </w:pPr>
          </w:p>
        </w:tc>
        <w:tc>
          <w:tcPr>
            <w:tcW w:w="1130" w:type="pct"/>
            <w:vAlign w:val="center"/>
          </w:tcPr>
          <w:p w14:paraId="1590271F" w14:textId="77777777" w:rsidR="007D6441" w:rsidRPr="003F72B9" w:rsidRDefault="007D6441" w:rsidP="00040BEE">
            <w:pPr>
              <w:jc w:val="center"/>
              <w:rPr>
                <w:rFonts w:ascii="Calibri" w:hAnsi="Calibri" w:cs="Times New Roman"/>
                <w:color w:val="auto"/>
                <w:szCs w:val="21"/>
              </w:rPr>
            </w:pPr>
            <w:r w:rsidRPr="003F72B9">
              <w:rPr>
                <w:rFonts w:ascii="Calibri" w:cs="Times New Roman"/>
                <w:color w:val="auto"/>
                <w:szCs w:val="21"/>
              </w:rPr>
              <w:t>总大肠菌群</w:t>
            </w:r>
            <w:r w:rsidRPr="003F72B9">
              <w:rPr>
                <w:rFonts w:ascii="Calibri" w:cs="Times New Roman" w:hint="eastAsia"/>
                <w:color w:val="auto"/>
                <w:szCs w:val="21"/>
              </w:rPr>
              <w:t>（</w:t>
            </w:r>
            <w:r w:rsidRPr="003F72B9">
              <w:rPr>
                <w:rFonts w:ascii="Calibri" w:cs="Times New Roman"/>
                <w:color w:val="auto"/>
                <w:szCs w:val="21"/>
              </w:rPr>
              <w:t>MPN/100mL</w:t>
            </w:r>
            <w:r w:rsidRPr="003F72B9">
              <w:rPr>
                <w:rFonts w:ascii="Calibri" w:cs="Times New Roman" w:hint="eastAsia"/>
                <w:color w:val="auto"/>
                <w:szCs w:val="21"/>
              </w:rPr>
              <w:t>）</w:t>
            </w:r>
          </w:p>
        </w:tc>
        <w:tc>
          <w:tcPr>
            <w:tcW w:w="1139" w:type="pct"/>
            <w:vAlign w:val="center"/>
          </w:tcPr>
          <w:p w14:paraId="56397AD2" w14:textId="77777777" w:rsidR="007D6441" w:rsidRPr="003F72B9" w:rsidRDefault="007D6441" w:rsidP="00040BEE">
            <w:pPr>
              <w:jc w:val="center"/>
              <w:rPr>
                <w:rFonts w:ascii="Calibri" w:cs="Times New Roman"/>
                <w:color w:val="auto"/>
                <w:szCs w:val="21"/>
              </w:rPr>
            </w:pPr>
            <w:r>
              <w:rPr>
                <w:rFonts w:ascii="Calibri" w:hAnsi="Calibri" w:hint="eastAsia"/>
                <w:color w:val="auto"/>
                <w:szCs w:val="21"/>
              </w:rPr>
              <w:t>未检出</w:t>
            </w:r>
          </w:p>
        </w:tc>
        <w:tc>
          <w:tcPr>
            <w:tcW w:w="707" w:type="pct"/>
            <w:vAlign w:val="center"/>
          </w:tcPr>
          <w:p w14:paraId="7629AAB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3.0</w:t>
            </w:r>
          </w:p>
        </w:tc>
        <w:tc>
          <w:tcPr>
            <w:tcW w:w="800" w:type="pct"/>
            <w:vAlign w:val="center"/>
          </w:tcPr>
          <w:p w14:paraId="37874C4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5C862E5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C082749" w14:textId="77777777" w:rsidTr="007D6441">
        <w:trPr>
          <w:trHeight w:val="340"/>
        </w:trPr>
        <w:tc>
          <w:tcPr>
            <w:tcW w:w="580" w:type="pct"/>
            <w:vMerge/>
            <w:vAlign w:val="center"/>
          </w:tcPr>
          <w:p w14:paraId="29D370E5" w14:textId="77777777" w:rsidR="007D6441" w:rsidRPr="003F72B9" w:rsidRDefault="007D6441" w:rsidP="00040BEE">
            <w:pPr>
              <w:jc w:val="center"/>
              <w:rPr>
                <w:rFonts w:ascii="Calibri" w:hAnsi="Calibri"/>
                <w:color w:val="auto"/>
                <w:szCs w:val="21"/>
              </w:rPr>
            </w:pPr>
          </w:p>
        </w:tc>
        <w:tc>
          <w:tcPr>
            <w:tcW w:w="1130" w:type="pct"/>
            <w:vAlign w:val="center"/>
          </w:tcPr>
          <w:p w14:paraId="2F9EC3BB" w14:textId="77777777" w:rsidR="007D6441" w:rsidRPr="003F72B9" w:rsidRDefault="007D6441" w:rsidP="00040BEE">
            <w:pPr>
              <w:jc w:val="center"/>
              <w:rPr>
                <w:rFonts w:ascii="Calibri" w:hAnsi="Calibri" w:cs="Times New Roman"/>
                <w:color w:val="auto"/>
                <w:szCs w:val="21"/>
              </w:rPr>
            </w:pPr>
            <w:r w:rsidRPr="003F72B9">
              <w:rPr>
                <w:rFonts w:ascii="Calibri" w:cs="Times New Roman"/>
                <w:color w:val="auto"/>
                <w:szCs w:val="21"/>
              </w:rPr>
              <w:t>细菌总数</w:t>
            </w:r>
            <w:r w:rsidRPr="003F72B9">
              <w:rPr>
                <w:rFonts w:ascii="Calibri" w:cs="Times New Roman" w:hint="eastAsia"/>
                <w:color w:val="auto"/>
                <w:szCs w:val="21"/>
              </w:rPr>
              <w:t>（</w:t>
            </w:r>
            <w:r w:rsidRPr="003F72B9">
              <w:rPr>
                <w:rFonts w:ascii="Calibri" w:cs="Times New Roman"/>
                <w:color w:val="auto"/>
                <w:szCs w:val="21"/>
              </w:rPr>
              <w:t>CFU/mL</w:t>
            </w:r>
            <w:r w:rsidRPr="003F72B9">
              <w:rPr>
                <w:rFonts w:ascii="Calibri" w:cs="Times New Roman" w:hint="eastAsia"/>
                <w:color w:val="auto"/>
                <w:szCs w:val="21"/>
              </w:rPr>
              <w:t>）</w:t>
            </w:r>
          </w:p>
        </w:tc>
        <w:tc>
          <w:tcPr>
            <w:tcW w:w="1139" w:type="pct"/>
            <w:vAlign w:val="center"/>
          </w:tcPr>
          <w:p w14:paraId="78C79BCC" w14:textId="77777777" w:rsidR="007D6441" w:rsidRPr="003F72B9" w:rsidRDefault="007D6441" w:rsidP="00040BEE">
            <w:pPr>
              <w:jc w:val="center"/>
              <w:rPr>
                <w:rFonts w:ascii="Calibri" w:cs="Times New Roman"/>
                <w:color w:val="auto"/>
                <w:szCs w:val="21"/>
              </w:rPr>
            </w:pPr>
            <w:r>
              <w:rPr>
                <w:rFonts w:ascii="Calibri" w:cs="Times New Roman" w:hint="eastAsia"/>
                <w:color w:val="auto"/>
                <w:szCs w:val="21"/>
              </w:rPr>
              <w:t>53</w:t>
            </w:r>
          </w:p>
        </w:tc>
        <w:tc>
          <w:tcPr>
            <w:tcW w:w="707" w:type="pct"/>
            <w:vAlign w:val="center"/>
          </w:tcPr>
          <w:p w14:paraId="1CB0CA2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100</w:t>
            </w:r>
          </w:p>
        </w:tc>
        <w:tc>
          <w:tcPr>
            <w:tcW w:w="800" w:type="pct"/>
            <w:vAlign w:val="center"/>
          </w:tcPr>
          <w:p w14:paraId="454853D9"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0.53</w:t>
            </w:r>
          </w:p>
        </w:tc>
        <w:tc>
          <w:tcPr>
            <w:tcW w:w="643" w:type="pct"/>
            <w:vAlign w:val="center"/>
          </w:tcPr>
          <w:p w14:paraId="02C5743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A5F6697" w14:textId="77777777" w:rsidTr="007D6441">
        <w:trPr>
          <w:trHeight w:val="340"/>
        </w:trPr>
        <w:tc>
          <w:tcPr>
            <w:tcW w:w="580" w:type="pct"/>
            <w:vMerge/>
            <w:vAlign w:val="center"/>
          </w:tcPr>
          <w:p w14:paraId="0FD81C67" w14:textId="77777777" w:rsidR="007D6441" w:rsidRPr="003F72B9" w:rsidRDefault="007D6441" w:rsidP="00040BEE">
            <w:pPr>
              <w:jc w:val="center"/>
              <w:rPr>
                <w:rFonts w:ascii="Calibri" w:hAnsi="Calibri"/>
                <w:color w:val="auto"/>
                <w:szCs w:val="21"/>
              </w:rPr>
            </w:pPr>
          </w:p>
        </w:tc>
        <w:tc>
          <w:tcPr>
            <w:tcW w:w="1130" w:type="pct"/>
            <w:vAlign w:val="center"/>
          </w:tcPr>
          <w:p w14:paraId="70C64FCA" w14:textId="77777777" w:rsidR="007D6441" w:rsidRPr="003F72B9" w:rsidRDefault="007D6441" w:rsidP="00040BEE">
            <w:pPr>
              <w:jc w:val="center"/>
              <w:rPr>
                <w:rFonts w:ascii="Calibri" w:hAnsi="Calibri" w:cs="Times New Roman"/>
                <w:color w:val="auto"/>
                <w:szCs w:val="21"/>
              </w:rPr>
            </w:pPr>
            <w:r w:rsidRPr="003F72B9">
              <w:rPr>
                <w:rFonts w:ascii="Calibri" w:hAnsi="Calibri" w:cs="Times New Roman" w:hint="eastAsia"/>
                <w:color w:val="auto"/>
                <w:szCs w:val="21"/>
              </w:rPr>
              <w:t>石油类</w:t>
            </w:r>
          </w:p>
        </w:tc>
        <w:tc>
          <w:tcPr>
            <w:tcW w:w="1139" w:type="pct"/>
            <w:vAlign w:val="center"/>
          </w:tcPr>
          <w:p w14:paraId="02EFF751" w14:textId="77777777" w:rsidR="007D6441" w:rsidRPr="003F72B9" w:rsidRDefault="007D6441" w:rsidP="00040BEE">
            <w:pPr>
              <w:jc w:val="center"/>
              <w:rPr>
                <w:rFonts w:ascii="Calibri" w:cs="Times New Roman"/>
                <w:color w:val="auto"/>
                <w:szCs w:val="21"/>
              </w:rPr>
            </w:pPr>
            <w:r>
              <w:rPr>
                <w:rFonts w:ascii="Calibri" w:hAnsi="Calibri" w:hint="eastAsia"/>
                <w:color w:val="auto"/>
                <w:szCs w:val="21"/>
              </w:rPr>
              <w:t>0.05</w:t>
            </w:r>
            <w:r>
              <w:rPr>
                <w:rFonts w:ascii="Calibri" w:hAnsi="Calibri" w:hint="eastAsia"/>
                <w:color w:val="auto"/>
                <w:szCs w:val="21"/>
              </w:rPr>
              <w:t>（</w:t>
            </w:r>
            <w:r>
              <w:rPr>
                <w:rFonts w:ascii="Calibri" w:hAnsi="Calibri" w:hint="eastAsia"/>
                <w:color w:val="auto"/>
                <w:szCs w:val="21"/>
              </w:rPr>
              <w:t>L</w:t>
            </w:r>
            <w:r>
              <w:rPr>
                <w:rFonts w:ascii="Calibri" w:hAnsi="Calibri" w:hint="eastAsia"/>
                <w:color w:val="auto"/>
                <w:szCs w:val="21"/>
              </w:rPr>
              <w:t>）</w:t>
            </w:r>
          </w:p>
        </w:tc>
        <w:tc>
          <w:tcPr>
            <w:tcW w:w="707" w:type="pct"/>
            <w:vAlign w:val="center"/>
          </w:tcPr>
          <w:p w14:paraId="4AEF8683" w14:textId="77777777" w:rsidR="007D6441" w:rsidRPr="003F72B9" w:rsidRDefault="007D6441" w:rsidP="00040BEE">
            <w:pPr>
              <w:jc w:val="center"/>
              <w:rPr>
                <w:rFonts w:ascii="Calibri" w:hAnsi="Calibri"/>
                <w:color w:val="auto"/>
                <w:szCs w:val="21"/>
              </w:rPr>
            </w:pPr>
            <w:r w:rsidRPr="003F72B9">
              <w:rPr>
                <w:rFonts w:ascii="Calibri" w:hAnsi="Calibri"/>
                <w:color w:val="auto"/>
                <w:szCs w:val="21"/>
              </w:rPr>
              <w:t>0.05</w:t>
            </w:r>
          </w:p>
        </w:tc>
        <w:tc>
          <w:tcPr>
            <w:tcW w:w="800" w:type="pct"/>
            <w:vAlign w:val="center"/>
          </w:tcPr>
          <w:p w14:paraId="6208303F"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w:t>
            </w:r>
          </w:p>
        </w:tc>
        <w:tc>
          <w:tcPr>
            <w:tcW w:w="643" w:type="pct"/>
            <w:vAlign w:val="center"/>
          </w:tcPr>
          <w:p w14:paraId="6F2FDDD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1D832F1" w14:textId="77777777" w:rsidTr="007D6441">
        <w:trPr>
          <w:trHeight w:val="340"/>
        </w:trPr>
        <w:tc>
          <w:tcPr>
            <w:tcW w:w="580" w:type="pct"/>
            <w:vMerge w:val="restart"/>
            <w:vAlign w:val="center"/>
          </w:tcPr>
          <w:p w14:paraId="58EF79B5"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周庄</w:t>
            </w:r>
          </w:p>
        </w:tc>
        <w:tc>
          <w:tcPr>
            <w:tcW w:w="1130" w:type="pct"/>
            <w:vAlign w:val="center"/>
          </w:tcPr>
          <w:p w14:paraId="761D0033" w14:textId="77777777" w:rsidR="007D6441" w:rsidRPr="00BB5174" w:rsidRDefault="007D6441" w:rsidP="00040BEE">
            <w:pPr>
              <w:jc w:val="center"/>
              <w:rPr>
                <w:rFonts w:ascii="Calibri" w:hAnsi="Calibri"/>
                <w:szCs w:val="21"/>
              </w:rPr>
            </w:pPr>
            <w:r w:rsidRPr="00BB5174">
              <w:rPr>
                <w:rFonts w:ascii="Calibri" w:hAnsi="Calibri"/>
                <w:szCs w:val="21"/>
              </w:rPr>
              <w:t>pH</w:t>
            </w:r>
            <w:r w:rsidRPr="00BB5174">
              <w:rPr>
                <w:rFonts w:ascii="Calibri"/>
                <w:szCs w:val="21"/>
              </w:rPr>
              <w:t>值</w:t>
            </w:r>
          </w:p>
        </w:tc>
        <w:tc>
          <w:tcPr>
            <w:tcW w:w="1139" w:type="pct"/>
            <w:vAlign w:val="center"/>
          </w:tcPr>
          <w:p w14:paraId="519D9080" w14:textId="77777777" w:rsidR="007D6441" w:rsidRPr="00BB5174" w:rsidRDefault="007D6441" w:rsidP="00040BEE">
            <w:pPr>
              <w:jc w:val="center"/>
              <w:rPr>
                <w:rFonts w:ascii="Calibri" w:hAnsi="Calibri"/>
                <w:szCs w:val="21"/>
              </w:rPr>
            </w:pPr>
            <w:r w:rsidRPr="00BB5174">
              <w:rPr>
                <w:rFonts w:ascii="Calibri" w:hAnsi="Calibri" w:hint="eastAsia"/>
                <w:szCs w:val="21"/>
              </w:rPr>
              <w:t>7.43</w:t>
            </w:r>
          </w:p>
        </w:tc>
        <w:tc>
          <w:tcPr>
            <w:tcW w:w="707" w:type="pct"/>
            <w:vAlign w:val="center"/>
          </w:tcPr>
          <w:p w14:paraId="24BD4E9A" w14:textId="77777777" w:rsidR="007D6441" w:rsidRPr="00BB5174" w:rsidRDefault="007D6441" w:rsidP="00040BEE">
            <w:pPr>
              <w:jc w:val="center"/>
              <w:rPr>
                <w:rFonts w:ascii="Calibri" w:hAnsi="Calibri"/>
                <w:szCs w:val="21"/>
              </w:rPr>
            </w:pPr>
            <w:r w:rsidRPr="00BB5174">
              <w:rPr>
                <w:rFonts w:ascii="Calibri" w:hAnsi="Calibri" w:hint="eastAsia"/>
                <w:szCs w:val="21"/>
              </w:rPr>
              <w:t>6.5</w:t>
            </w:r>
            <w:r w:rsidRPr="00BB5174">
              <w:rPr>
                <w:rFonts w:ascii="Calibri" w:hAnsi="Calibri" w:hint="eastAsia"/>
                <w:szCs w:val="21"/>
              </w:rPr>
              <w:t>～</w:t>
            </w:r>
            <w:r w:rsidRPr="00BB5174">
              <w:rPr>
                <w:rFonts w:ascii="Calibri" w:hAnsi="Calibri" w:hint="eastAsia"/>
                <w:szCs w:val="21"/>
              </w:rPr>
              <w:t>8.5</w:t>
            </w:r>
          </w:p>
        </w:tc>
        <w:tc>
          <w:tcPr>
            <w:tcW w:w="800" w:type="pct"/>
            <w:vAlign w:val="center"/>
          </w:tcPr>
          <w:p w14:paraId="0D7D2418" w14:textId="77777777" w:rsidR="007D6441" w:rsidRPr="00BB5174" w:rsidRDefault="007D6441" w:rsidP="00040BEE">
            <w:pPr>
              <w:jc w:val="center"/>
              <w:rPr>
                <w:rFonts w:ascii="Calibri" w:hAnsi="Calibri"/>
                <w:szCs w:val="21"/>
              </w:rPr>
            </w:pPr>
            <w:r w:rsidRPr="00BB5174">
              <w:rPr>
                <w:rFonts w:ascii="Calibri" w:hAnsi="Calibri" w:hint="eastAsia"/>
                <w:szCs w:val="21"/>
              </w:rPr>
              <w:t>0.29</w:t>
            </w:r>
          </w:p>
        </w:tc>
        <w:tc>
          <w:tcPr>
            <w:tcW w:w="643" w:type="pct"/>
            <w:vAlign w:val="center"/>
          </w:tcPr>
          <w:p w14:paraId="14DE5E6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5BBE8B8" w14:textId="77777777" w:rsidTr="007D6441">
        <w:trPr>
          <w:trHeight w:val="340"/>
        </w:trPr>
        <w:tc>
          <w:tcPr>
            <w:tcW w:w="580" w:type="pct"/>
            <w:vMerge/>
            <w:vAlign w:val="center"/>
          </w:tcPr>
          <w:p w14:paraId="4E2710C1" w14:textId="77777777" w:rsidR="007D6441" w:rsidRPr="003F72B9" w:rsidRDefault="007D6441" w:rsidP="00040BEE">
            <w:pPr>
              <w:jc w:val="center"/>
              <w:rPr>
                <w:rFonts w:ascii="Calibri" w:hAnsi="Calibri"/>
                <w:color w:val="auto"/>
                <w:szCs w:val="21"/>
              </w:rPr>
            </w:pPr>
          </w:p>
        </w:tc>
        <w:tc>
          <w:tcPr>
            <w:tcW w:w="1130" w:type="pct"/>
            <w:vAlign w:val="center"/>
          </w:tcPr>
          <w:p w14:paraId="4BBAA7B6" w14:textId="77777777" w:rsidR="007D6441" w:rsidRPr="00BB5174" w:rsidRDefault="007D6441" w:rsidP="00040BEE">
            <w:pPr>
              <w:jc w:val="center"/>
              <w:rPr>
                <w:rFonts w:ascii="Calibri" w:hAnsi="Calibri"/>
                <w:szCs w:val="21"/>
              </w:rPr>
            </w:pPr>
            <w:r w:rsidRPr="00BB5174">
              <w:rPr>
                <w:rFonts w:ascii="Calibri"/>
                <w:szCs w:val="21"/>
              </w:rPr>
              <w:t>氨氮</w:t>
            </w:r>
          </w:p>
        </w:tc>
        <w:tc>
          <w:tcPr>
            <w:tcW w:w="1139" w:type="pct"/>
            <w:vAlign w:val="center"/>
          </w:tcPr>
          <w:p w14:paraId="52C0C4A9"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4845758A" w14:textId="77777777" w:rsidR="007D6441" w:rsidRPr="00BB5174" w:rsidRDefault="007D6441" w:rsidP="00040BEE">
            <w:pPr>
              <w:jc w:val="center"/>
              <w:rPr>
                <w:rFonts w:ascii="Calibri" w:hAnsi="Calibri"/>
                <w:szCs w:val="21"/>
              </w:rPr>
            </w:pPr>
            <w:r w:rsidRPr="00BB5174">
              <w:rPr>
                <w:rFonts w:ascii="Calibri" w:hAnsi="Calibri" w:hint="eastAsia"/>
                <w:szCs w:val="21"/>
              </w:rPr>
              <w:t>0.50</w:t>
            </w:r>
          </w:p>
        </w:tc>
        <w:tc>
          <w:tcPr>
            <w:tcW w:w="800" w:type="pct"/>
            <w:vAlign w:val="center"/>
          </w:tcPr>
          <w:p w14:paraId="2BBB096C"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4165495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200307C" w14:textId="77777777" w:rsidTr="007D6441">
        <w:trPr>
          <w:trHeight w:val="340"/>
        </w:trPr>
        <w:tc>
          <w:tcPr>
            <w:tcW w:w="580" w:type="pct"/>
            <w:vMerge/>
            <w:vAlign w:val="center"/>
          </w:tcPr>
          <w:p w14:paraId="74DBD1AD" w14:textId="77777777" w:rsidR="007D6441" w:rsidRPr="003F72B9" w:rsidRDefault="007D6441" w:rsidP="00040BEE">
            <w:pPr>
              <w:jc w:val="center"/>
              <w:rPr>
                <w:rFonts w:ascii="Calibri" w:hAnsi="Calibri"/>
                <w:color w:val="auto"/>
                <w:szCs w:val="21"/>
              </w:rPr>
            </w:pPr>
          </w:p>
        </w:tc>
        <w:tc>
          <w:tcPr>
            <w:tcW w:w="1130" w:type="pct"/>
            <w:vAlign w:val="center"/>
          </w:tcPr>
          <w:p w14:paraId="3007DD33" w14:textId="77777777" w:rsidR="007D6441" w:rsidRPr="00BB5174" w:rsidRDefault="007D6441" w:rsidP="00040BEE">
            <w:pPr>
              <w:jc w:val="center"/>
              <w:rPr>
                <w:rFonts w:cs="Times New Roman"/>
                <w:szCs w:val="21"/>
              </w:rPr>
            </w:pPr>
            <w:r w:rsidRPr="00BB5174">
              <w:rPr>
                <w:rFonts w:cs="Times New Roman"/>
                <w:szCs w:val="21"/>
              </w:rPr>
              <w:t>硝酸盐</w:t>
            </w:r>
          </w:p>
        </w:tc>
        <w:tc>
          <w:tcPr>
            <w:tcW w:w="1139" w:type="pct"/>
            <w:vAlign w:val="center"/>
          </w:tcPr>
          <w:p w14:paraId="38BDB10A" w14:textId="77777777" w:rsidR="007D6441" w:rsidRPr="00BB5174" w:rsidRDefault="007D6441" w:rsidP="00040BEE">
            <w:pPr>
              <w:jc w:val="center"/>
              <w:rPr>
                <w:rFonts w:ascii="Calibri" w:hAnsi="Calibri"/>
                <w:szCs w:val="21"/>
              </w:rPr>
            </w:pPr>
            <w:r w:rsidRPr="00BB5174">
              <w:rPr>
                <w:rFonts w:ascii="Calibri" w:hAnsi="Calibri" w:hint="eastAsia"/>
                <w:szCs w:val="21"/>
              </w:rPr>
              <w:t>0.98</w:t>
            </w:r>
          </w:p>
        </w:tc>
        <w:tc>
          <w:tcPr>
            <w:tcW w:w="707" w:type="pct"/>
            <w:vAlign w:val="center"/>
          </w:tcPr>
          <w:p w14:paraId="603D995C" w14:textId="77777777" w:rsidR="007D6441" w:rsidRPr="00BB5174" w:rsidRDefault="007D6441" w:rsidP="00040BEE">
            <w:pPr>
              <w:jc w:val="center"/>
              <w:rPr>
                <w:rFonts w:ascii="Calibri" w:hAnsi="Calibri"/>
                <w:szCs w:val="21"/>
              </w:rPr>
            </w:pPr>
            <w:r w:rsidRPr="00BB5174">
              <w:rPr>
                <w:rFonts w:ascii="Calibri" w:hAnsi="Calibri" w:hint="eastAsia"/>
                <w:szCs w:val="21"/>
              </w:rPr>
              <w:t>20.0</w:t>
            </w:r>
          </w:p>
        </w:tc>
        <w:tc>
          <w:tcPr>
            <w:tcW w:w="800" w:type="pct"/>
            <w:vAlign w:val="center"/>
          </w:tcPr>
          <w:p w14:paraId="36313843" w14:textId="77777777" w:rsidR="007D6441" w:rsidRPr="00BB5174" w:rsidRDefault="007D6441" w:rsidP="00040BEE">
            <w:pPr>
              <w:jc w:val="center"/>
              <w:rPr>
                <w:rFonts w:ascii="Calibri" w:hAnsi="Calibri"/>
                <w:szCs w:val="21"/>
              </w:rPr>
            </w:pPr>
            <w:r w:rsidRPr="00BB5174">
              <w:rPr>
                <w:rFonts w:ascii="Calibri" w:hAnsi="Calibri" w:hint="eastAsia"/>
                <w:szCs w:val="21"/>
              </w:rPr>
              <w:t>0.049</w:t>
            </w:r>
          </w:p>
        </w:tc>
        <w:tc>
          <w:tcPr>
            <w:tcW w:w="643" w:type="pct"/>
            <w:vAlign w:val="center"/>
          </w:tcPr>
          <w:p w14:paraId="1948340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891DBAC" w14:textId="77777777" w:rsidTr="007D6441">
        <w:trPr>
          <w:trHeight w:val="340"/>
        </w:trPr>
        <w:tc>
          <w:tcPr>
            <w:tcW w:w="580" w:type="pct"/>
            <w:vMerge/>
            <w:vAlign w:val="center"/>
          </w:tcPr>
          <w:p w14:paraId="5C50ACE8" w14:textId="77777777" w:rsidR="007D6441" w:rsidRPr="003F72B9" w:rsidRDefault="007D6441" w:rsidP="00040BEE">
            <w:pPr>
              <w:jc w:val="center"/>
              <w:rPr>
                <w:rFonts w:ascii="Calibri" w:hAnsi="Calibri"/>
                <w:color w:val="auto"/>
                <w:szCs w:val="21"/>
              </w:rPr>
            </w:pPr>
          </w:p>
        </w:tc>
        <w:tc>
          <w:tcPr>
            <w:tcW w:w="1130" w:type="pct"/>
            <w:vAlign w:val="center"/>
          </w:tcPr>
          <w:p w14:paraId="1E063267" w14:textId="77777777" w:rsidR="007D6441" w:rsidRPr="00BB5174" w:rsidRDefault="007D6441" w:rsidP="00040BEE">
            <w:pPr>
              <w:jc w:val="center"/>
              <w:rPr>
                <w:rFonts w:cs="Times New Roman"/>
                <w:szCs w:val="21"/>
              </w:rPr>
            </w:pPr>
            <w:r w:rsidRPr="00BB5174">
              <w:rPr>
                <w:rFonts w:cs="Times New Roman"/>
                <w:szCs w:val="21"/>
              </w:rPr>
              <w:t>亚硝酸盐</w:t>
            </w:r>
          </w:p>
        </w:tc>
        <w:tc>
          <w:tcPr>
            <w:tcW w:w="1139" w:type="pct"/>
            <w:vAlign w:val="center"/>
          </w:tcPr>
          <w:p w14:paraId="6EC85608" w14:textId="77777777" w:rsidR="007D6441" w:rsidRPr="00BB5174" w:rsidRDefault="007D6441" w:rsidP="00040BEE">
            <w:pPr>
              <w:jc w:val="center"/>
              <w:rPr>
                <w:rFonts w:ascii="Calibri" w:hAnsi="Calibri"/>
                <w:szCs w:val="21"/>
              </w:rPr>
            </w:pPr>
            <w:r w:rsidRPr="00BB5174">
              <w:rPr>
                <w:rFonts w:ascii="Calibri" w:hAnsi="Calibri" w:hint="eastAsia"/>
                <w:szCs w:val="21"/>
              </w:rPr>
              <w:t>0.007</w:t>
            </w:r>
          </w:p>
        </w:tc>
        <w:tc>
          <w:tcPr>
            <w:tcW w:w="707" w:type="pct"/>
            <w:vAlign w:val="center"/>
          </w:tcPr>
          <w:p w14:paraId="16996F17"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17477457" w14:textId="77777777" w:rsidR="007D6441" w:rsidRPr="00BB5174" w:rsidRDefault="007D6441" w:rsidP="00040BEE">
            <w:pPr>
              <w:jc w:val="center"/>
              <w:rPr>
                <w:rFonts w:ascii="Calibri" w:hAnsi="Calibri"/>
                <w:szCs w:val="21"/>
              </w:rPr>
            </w:pPr>
            <w:r w:rsidRPr="00BB5174">
              <w:rPr>
                <w:rFonts w:ascii="Calibri" w:hAnsi="Calibri" w:hint="eastAsia"/>
                <w:szCs w:val="21"/>
              </w:rPr>
              <w:t>0.007</w:t>
            </w:r>
          </w:p>
        </w:tc>
        <w:tc>
          <w:tcPr>
            <w:tcW w:w="643" w:type="pct"/>
            <w:vAlign w:val="center"/>
          </w:tcPr>
          <w:p w14:paraId="2B46DCD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8C6B786" w14:textId="77777777" w:rsidTr="007D6441">
        <w:trPr>
          <w:trHeight w:val="340"/>
        </w:trPr>
        <w:tc>
          <w:tcPr>
            <w:tcW w:w="580" w:type="pct"/>
            <w:vMerge/>
            <w:vAlign w:val="center"/>
          </w:tcPr>
          <w:p w14:paraId="6EA53397" w14:textId="77777777" w:rsidR="007D6441" w:rsidRPr="003F72B9" w:rsidRDefault="007D6441" w:rsidP="00040BEE">
            <w:pPr>
              <w:jc w:val="center"/>
              <w:rPr>
                <w:rFonts w:ascii="Calibri" w:hAnsi="Calibri"/>
                <w:color w:val="auto"/>
                <w:szCs w:val="21"/>
              </w:rPr>
            </w:pPr>
          </w:p>
        </w:tc>
        <w:tc>
          <w:tcPr>
            <w:tcW w:w="1130" w:type="pct"/>
            <w:vAlign w:val="center"/>
          </w:tcPr>
          <w:p w14:paraId="52B92D74" w14:textId="77777777" w:rsidR="007D6441" w:rsidRPr="00BB5174" w:rsidRDefault="007D6441" w:rsidP="00040BEE">
            <w:pPr>
              <w:jc w:val="center"/>
              <w:rPr>
                <w:rFonts w:ascii="Calibri" w:hAnsi="Calibri"/>
                <w:szCs w:val="21"/>
              </w:rPr>
            </w:pPr>
            <w:r w:rsidRPr="00BB5174">
              <w:rPr>
                <w:rFonts w:ascii="Calibri" w:hAnsi="Calibri" w:hint="eastAsia"/>
                <w:szCs w:val="21"/>
              </w:rPr>
              <w:t>挥发性酚类</w:t>
            </w:r>
          </w:p>
        </w:tc>
        <w:tc>
          <w:tcPr>
            <w:tcW w:w="1139" w:type="pct"/>
            <w:vAlign w:val="center"/>
          </w:tcPr>
          <w:p w14:paraId="25118FE3"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2DC9BBA7" w14:textId="77777777" w:rsidR="007D6441" w:rsidRPr="00BB5174" w:rsidRDefault="007D6441" w:rsidP="00040BEE">
            <w:pPr>
              <w:jc w:val="center"/>
              <w:rPr>
                <w:rFonts w:ascii="Calibri" w:hAnsi="Calibri"/>
                <w:szCs w:val="21"/>
              </w:rPr>
            </w:pPr>
            <w:r w:rsidRPr="00BB5174">
              <w:rPr>
                <w:rFonts w:ascii="Calibri" w:hAnsi="Calibri" w:hint="eastAsia"/>
                <w:szCs w:val="21"/>
              </w:rPr>
              <w:t>0.002</w:t>
            </w:r>
          </w:p>
        </w:tc>
        <w:tc>
          <w:tcPr>
            <w:tcW w:w="800" w:type="pct"/>
            <w:vAlign w:val="center"/>
          </w:tcPr>
          <w:p w14:paraId="2F30B462"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7A84EEB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8847335" w14:textId="77777777" w:rsidTr="007D6441">
        <w:trPr>
          <w:trHeight w:val="340"/>
        </w:trPr>
        <w:tc>
          <w:tcPr>
            <w:tcW w:w="580" w:type="pct"/>
            <w:vMerge/>
            <w:vAlign w:val="center"/>
          </w:tcPr>
          <w:p w14:paraId="5A7B6FD0" w14:textId="77777777" w:rsidR="007D6441" w:rsidRPr="003F72B9" w:rsidRDefault="007D6441" w:rsidP="00040BEE">
            <w:pPr>
              <w:jc w:val="center"/>
              <w:rPr>
                <w:rFonts w:ascii="Calibri" w:hAnsi="Calibri"/>
                <w:color w:val="auto"/>
                <w:szCs w:val="21"/>
              </w:rPr>
            </w:pPr>
          </w:p>
        </w:tc>
        <w:tc>
          <w:tcPr>
            <w:tcW w:w="1130" w:type="pct"/>
            <w:vAlign w:val="center"/>
          </w:tcPr>
          <w:p w14:paraId="4C7D5A20" w14:textId="77777777" w:rsidR="007D6441" w:rsidRPr="00BB5174" w:rsidRDefault="007D6441" w:rsidP="00040BEE">
            <w:pPr>
              <w:jc w:val="center"/>
              <w:rPr>
                <w:rFonts w:ascii="Calibri" w:hAnsi="Calibri"/>
                <w:szCs w:val="21"/>
              </w:rPr>
            </w:pPr>
            <w:r w:rsidRPr="00BB5174">
              <w:rPr>
                <w:rFonts w:ascii="Calibri" w:hAnsi="Calibri" w:hint="eastAsia"/>
                <w:szCs w:val="21"/>
              </w:rPr>
              <w:t>氰化物</w:t>
            </w:r>
          </w:p>
        </w:tc>
        <w:tc>
          <w:tcPr>
            <w:tcW w:w="1139" w:type="pct"/>
            <w:vAlign w:val="center"/>
          </w:tcPr>
          <w:p w14:paraId="7FF7561D"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4EAF843B"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3E70A247"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20E4547" w14:textId="77777777" w:rsidR="007D6441" w:rsidRPr="003F72B9" w:rsidRDefault="007D6441" w:rsidP="00040BEE">
            <w:pPr>
              <w:adjustRightInd w:val="0"/>
              <w:snapToGrid w:val="0"/>
              <w:jc w:val="center"/>
              <w:rPr>
                <w:rFonts w:ascii="Calibri" w:hAnsi="Calibri"/>
                <w:color w:val="auto"/>
                <w:szCs w:val="21"/>
              </w:rPr>
            </w:pPr>
            <w:r w:rsidRPr="003F72B9">
              <w:rPr>
                <w:rFonts w:ascii="Calibri" w:hAnsi="宋体"/>
                <w:color w:val="auto"/>
                <w:szCs w:val="21"/>
              </w:rPr>
              <w:t>达标</w:t>
            </w:r>
          </w:p>
        </w:tc>
      </w:tr>
      <w:tr w:rsidR="007D6441" w:rsidRPr="003F72B9" w14:paraId="32732406" w14:textId="77777777" w:rsidTr="007D6441">
        <w:trPr>
          <w:trHeight w:val="340"/>
        </w:trPr>
        <w:tc>
          <w:tcPr>
            <w:tcW w:w="580" w:type="pct"/>
            <w:vMerge/>
            <w:vAlign w:val="center"/>
          </w:tcPr>
          <w:p w14:paraId="0C449DDD" w14:textId="77777777" w:rsidR="007D6441" w:rsidRPr="003F72B9" w:rsidRDefault="007D6441" w:rsidP="00040BEE">
            <w:pPr>
              <w:jc w:val="center"/>
              <w:rPr>
                <w:rFonts w:ascii="Calibri" w:hAnsi="Calibri"/>
                <w:color w:val="auto"/>
                <w:szCs w:val="21"/>
              </w:rPr>
            </w:pPr>
          </w:p>
        </w:tc>
        <w:tc>
          <w:tcPr>
            <w:tcW w:w="1130" w:type="pct"/>
            <w:vAlign w:val="center"/>
          </w:tcPr>
          <w:p w14:paraId="3F68D72A" w14:textId="77777777" w:rsidR="007D6441" w:rsidRPr="00BB5174" w:rsidRDefault="007D6441" w:rsidP="00040BEE">
            <w:pPr>
              <w:jc w:val="center"/>
              <w:rPr>
                <w:rFonts w:ascii="Calibri" w:hAnsi="Calibri"/>
                <w:szCs w:val="21"/>
              </w:rPr>
            </w:pPr>
            <w:r w:rsidRPr="00BB5174">
              <w:rPr>
                <w:rFonts w:ascii="Calibri" w:hAnsi="Calibri" w:hint="eastAsia"/>
                <w:szCs w:val="21"/>
              </w:rPr>
              <w:t>总硬度</w:t>
            </w:r>
          </w:p>
        </w:tc>
        <w:tc>
          <w:tcPr>
            <w:tcW w:w="1139" w:type="pct"/>
            <w:vAlign w:val="center"/>
          </w:tcPr>
          <w:p w14:paraId="341342B8" w14:textId="77777777" w:rsidR="007D6441" w:rsidRPr="00BB5174" w:rsidRDefault="007D6441" w:rsidP="00040BEE">
            <w:pPr>
              <w:jc w:val="center"/>
              <w:rPr>
                <w:rFonts w:ascii="Calibri" w:cs="Times New Roman"/>
                <w:szCs w:val="21"/>
              </w:rPr>
            </w:pPr>
            <w:r w:rsidRPr="00BB5174">
              <w:rPr>
                <w:rFonts w:ascii="Calibri" w:cs="Times New Roman" w:hint="eastAsia"/>
                <w:szCs w:val="21"/>
              </w:rPr>
              <w:t>343</w:t>
            </w:r>
          </w:p>
        </w:tc>
        <w:tc>
          <w:tcPr>
            <w:tcW w:w="707" w:type="pct"/>
            <w:vAlign w:val="center"/>
          </w:tcPr>
          <w:p w14:paraId="61F36C3A" w14:textId="77777777" w:rsidR="007D6441" w:rsidRPr="00BB5174" w:rsidRDefault="007D6441" w:rsidP="00040BEE">
            <w:pPr>
              <w:jc w:val="center"/>
              <w:rPr>
                <w:rFonts w:ascii="Calibri" w:hAnsi="Calibri"/>
                <w:szCs w:val="21"/>
              </w:rPr>
            </w:pPr>
            <w:r w:rsidRPr="00BB5174">
              <w:rPr>
                <w:rFonts w:ascii="Calibri" w:hAnsi="Calibri" w:hint="eastAsia"/>
                <w:szCs w:val="21"/>
              </w:rPr>
              <w:t>450</w:t>
            </w:r>
          </w:p>
        </w:tc>
        <w:tc>
          <w:tcPr>
            <w:tcW w:w="800" w:type="pct"/>
            <w:vAlign w:val="center"/>
          </w:tcPr>
          <w:p w14:paraId="528BCFAD" w14:textId="77777777" w:rsidR="007D6441" w:rsidRPr="00BB5174" w:rsidRDefault="007D6441" w:rsidP="00040BEE">
            <w:pPr>
              <w:jc w:val="center"/>
              <w:rPr>
                <w:rFonts w:ascii="Calibri" w:hAnsi="Calibri"/>
                <w:szCs w:val="21"/>
              </w:rPr>
            </w:pPr>
            <w:r w:rsidRPr="00BB5174">
              <w:rPr>
                <w:rFonts w:ascii="Calibri" w:hAnsi="Calibri" w:hint="eastAsia"/>
                <w:szCs w:val="21"/>
              </w:rPr>
              <w:t>0.76</w:t>
            </w:r>
          </w:p>
        </w:tc>
        <w:tc>
          <w:tcPr>
            <w:tcW w:w="643" w:type="pct"/>
            <w:vAlign w:val="center"/>
          </w:tcPr>
          <w:p w14:paraId="58AAFB2F" w14:textId="77777777" w:rsidR="007D6441" w:rsidRPr="003F72B9" w:rsidRDefault="004C513C" w:rsidP="00040BEE">
            <w:pPr>
              <w:adjustRightInd w:val="0"/>
              <w:snapToGrid w:val="0"/>
              <w:jc w:val="center"/>
              <w:rPr>
                <w:rFonts w:ascii="Calibri" w:hAnsi="Calibri"/>
                <w:color w:val="auto"/>
                <w:szCs w:val="21"/>
              </w:rPr>
            </w:pPr>
            <w:r>
              <w:rPr>
                <w:rFonts w:ascii="Calibri" w:hAnsi="宋体" w:hint="eastAsia"/>
                <w:color w:val="auto"/>
                <w:szCs w:val="21"/>
              </w:rPr>
              <w:t>达标</w:t>
            </w:r>
          </w:p>
        </w:tc>
      </w:tr>
      <w:tr w:rsidR="007D6441" w:rsidRPr="003F72B9" w14:paraId="7CFC9045" w14:textId="77777777" w:rsidTr="007D6441">
        <w:trPr>
          <w:trHeight w:val="340"/>
        </w:trPr>
        <w:tc>
          <w:tcPr>
            <w:tcW w:w="580" w:type="pct"/>
            <w:vMerge/>
            <w:vAlign w:val="center"/>
          </w:tcPr>
          <w:p w14:paraId="0639CDE1" w14:textId="77777777" w:rsidR="007D6441" w:rsidRPr="003F72B9" w:rsidRDefault="007D6441" w:rsidP="00040BEE">
            <w:pPr>
              <w:jc w:val="center"/>
              <w:rPr>
                <w:rFonts w:ascii="Calibri" w:hAnsi="Calibri"/>
                <w:color w:val="auto"/>
                <w:szCs w:val="21"/>
              </w:rPr>
            </w:pPr>
          </w:p>
        </w:tc>
        <w:tc>
          <w:tcPr>
            <w:tcW w:w="1130" w:type="pct"/>
            <w:vAlign w:val="center"/>
          </w:tcPr>
          <w:p w14:paraId="729BE017" w14:textId="77777777" w:rsidR="007D6441" w:rsidRPr="00BB5174" w:rsidRDefault="007D6441" w:rsidP="00040BEE">
            <w:pPr>
              <w:jc w:val="center"/>
              <w:rPr>
                <w:rFonts w:ascii="Calibri" w:hAnsi="Calibri"/>
                <w:szCs w:val="21"/>
              </w:rPr>
            </w:pPr>
            <w:r w:rsidRPr="00BB5174">
              <w:rPr>
                <w:rFonts w:ascii="Calibri"/>
                <w:szCs w:val="21"/>
              </w:rPr>
              <w:t>溶解性总固体</w:t>
            </w:r>
          </w:p>
        </w:tc>
        <w:tc>
          <w:tcPr>
            <w:tcW w:w="1139" w:type="pct"/>
            <w:vAlign w:val="center"/>
          </w:tcPr>
          <w:p w14:paraId="60F0CAC3" w14:textId="77777777" w:rsidR="007D6441" w:rsidRPr="00BB5174" w:rsidRDefault="007D6441" w:rsidP="00040BEE">
            <w:pPr>
              <w:jc w:val="center"/>
              <w:rPr>
                <w:rFonts w:ascii="Calibri" w:cs="Times New Roman"/>
                <w:szCs w:val="21"/>
              </w:rPr>
            </w:pPr>
            <w:r w:rsidRPr="00BB5174">
              <w:rPr>
                <w:rFonts w:ascii="Calibri" w:cs="Times New Roman" w:hint="eastAsia"/>
                <w:szCs w:val="21"/>
              </w:rPr>
              <w:t>531</w:t>
            </w:r>
          </w:p>
        </w:tc>
        <w:tc>
          <w:tcPr>
            <w:tcW w:w="707" w:type="pct"/>
            <w:vAlign w:val="center"/>
          </w:tcPr>
          <w:p w14:paraId="109F9726" w14:textId="77777777" w:rsidR="007D6441" w:rsidRPr="00BB5174" w:rsidRDefault="007D6441" w:rsidP="00040BEE">
            <w:pPr>
              <w:jc w:val="center"/>
              <w:rPr>
                <w:rFonts w:ascii="Calibri" w:hAnsi="Calibri"/>
                <w:szCs w:val="21"/>
              </w:rPr>
            </w:pPr>
            <w:r w:rsidRPr="00BB5174">
              <w:rPr>
                <w:rFonts w:ascii="Calibri" w:hAnsi="Calibri" w:hint="eastAsia"/>
                <w:szCs w:val="21"/>
              </w:rPr>
              <w:t>1000</w:t>
            </w:r>
          </w:p>
        </w:tc>
        <w:tc>
          <w:tcPr>
            <w:tcW w:w="800" w:type="pct"/>
            <w:vAlign w:val="center"/>
          </w:tcPr>
          <w:p w14:paraId="55764D64" w14:textId="77777777" w:rsidR="007D6441" w:rsidRPr="00BB5174" w:rsidRDefault="007D6441" w:rsidP="00040BEE">
            <w:pPr>
              <w:jc w:val="center"/>
              <w:rPr>
                <w:rFonts w:ascii="Calibri" w:hAnsi="Calibri"/>
                <w:szCs w:val="21"/>
              </w:rPr>
            </w:pPr>
            <w:r w:rsidRPr="00BB5174">
              <w:rPr>
                <w:rFonts w:ascii="Calibri" w:hAnsi="Calibri" w:hint="eastAsia"/>
                <w:szCs w:val="21"/>
              </w:rPr>
              <w:t>0.531</w:t>
            </w:r>
          </w:p>
        </w:tc>
        <w:tc>
          <w:tcPr>
            <w:tcW w:w="643" w:type="pct"/>
            <w:vAlign w:val="center"/>
          </w:tcPr>
          <w:p w14:paraId="3683E53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501A8DD" w14:textId="77777777" w:rsidTr="007D6441">
        <w:trPr>
          <w:trHeight w:val="340"/>
        </w:trPr>
        <w:tc>
          <w:tcPr>
            <w:tcW w:w="580" w:type="pct"/>
            <w:vMerge/>
            <w:vAlign w:val="center"/>
          </w:tcPr>
          <w:p w14:paraId="0037907F" w14:textId="77777777" w:rsidR="007D6441" w:rsidRPr="003F72B9" w:rsidRDefault="007D6441" w:rsidP="00040BEE">
            <w:pPr>
              <w:jc w:val="center"/>
              <w:rPr>
                <w:rFonts w:ascii="Calibri" w:hAnsi="Calibri"/>
                <w:color w:val="auto"/>
                <w:szCs w:val="21"/>
              </w:rPr>
            </w:pPr>
          </w:p>
        </w:tc>
        <w:tc>
          <w:tcPr>
            <w:tcW w:w="1130" w:type="pct"/>
            <w:vAlign w:val="center"/>
          </w:tcPr>
          <w:p w14:paraId="6EAEFB20" w14:textId="77777777" w:rsidR="007D6441" w:rsidRPr="00BB5174" w:rsidRDefault="007D6441" w:rsidP="00040BEE">
            <w:pPr>
              <w:jc w:val="center"/>
              <w:rPr>
                <w:rFonts w:ascii="Calibri" w:hAnsi="Calibri"/>
                <w:szCs w:val="21"/>
              </w:rPr>
            </w:pPr>
            <w:r w:rsidRPr="00BB5174">
              <w:rPr>
                <w:rFonts w:ascii="Calibri" w:hint="eastAsia"/>
                <w:szCs w:val="21"/>
              </w:rPr>
              <w:t>耗氧量</w:t>
            </w:r>
          </w:p>
        </w:tc>
        <w:tc>
          <w:tcPr>
            <w:tcW w:w="1139" w:type="pct"/>
            <w:vAlign w:val="center"/>
          </w:tcPr>
          <w:p w14:paraId="49E4F429" w14:textId="77777777" w:rsidR="007D6441" w:rsidRPr="00BB5174" w:rsidRDefault="007D6441" w:rsidP="00040BEE">
            <w:pPr>
              <w:jc w:val="center"/>
              <w:rPr>
                <w:rFonts w:ascii="Calibri" w:cs="Times New Roman"/>
                <w:szCs w:val="21"/>
              </w:rPr>
            </w:pPr>
            <w:r w:rsidRPr="00BB5174">
              <w:rPr>
                <w:rFonts w:ascii="Calibri" w:cs="Times New Roman" w:hint="eastAsia"/>
                <w:szCs w:val="21"/>
              </w:rPr>
              <w:t>0.62</w:t>
            </w:r>
          </w:p>
        </w:tc>
        <w:tc>
          <w:tcPr>
            <w:tcW w:w="707" w:type="pct"/>
            <w:vAlign w:val="center"/>
          </w:tcPr>
          <w:p w14:paraId="6F77A295"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5BA5183A" w14:textId="77777777" w:rsidR="007D6441" w:rsidRPr="00BB5174" w:rsidRDefault="007D6441" w:rsidP="00040BEE">
            <w:pPr>
              <w:jc w:val="center"/>
              <w:rPr>
                <w:rFonts w:ascii="Calibri" w:hAnsi="Calibri"/>
                <w:szCs w:val="21"/>
              </w:rPr>
            </w:pPr>
            <w:r w:rsidRPr="00BB5174">
              <w:rPr>
                <w:rFonts w:ascii="Calibri" w:hAnsi="Calibri" w:hint="eastAsia"/>
                <w:szCs w:val="21"/>
              </w:rPr>
              <w:t>0.21</w:t>
            </w:r>
          </w:p>
        </w:tc>
        <w:tc>
          <w:tcPr>
            <w:tcW w:w="643" w:type="pct"/>
            <w:vAlign w:val="center"/>
          </w:tcPr>
          <w:p w14:paraId="679F4AB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966CBEF" w14:textId="77777777" w:rsidTr="007D6441">
        <w:trPr>
          <w:trHeight w:val="340"/>
        </w:trPr>
        <w:tc>
          <w:tcPr>
            <w:tcW w:w="580" w:type="pct"/>
            <w:vMerge/>
            <w:vAlign w:val="center"/>
          </w:tcPr>
          <w:p w14:paraId="0BB81F73" w14:textId="77777777" w:rsidR="007D6441" w:rsidRPr="003F72B9" w:rsidRDefault="007D6441" w:rsidP="00040BEE">
            <w:pPr>
              <w:jc w:val="center"/>
              <w:rPr>
                <w:rFonts w:ascii="Calibri" w:hAnsi="Calibri"/>
                <w:color w:val="auto"/>
                <w:szCs w:val="21"/>
              </w:rPr>
            </w:pPr>
          </w:p>
        </w:tc>
        <w:tc>
          <w:tcPr>
            <w:tcW w:w="1130" w:type="pct"/>
            <w:vAlign w:val="center"/>
          </w:tcPr>
          <w:p w14:paraId="319B273D" w14:textId="77777777" w:rsidR="007D6441" w:rsidRPr="00BB5174" w:rsidRDefault="007D6441" w:rsidP="00040BEE">
            <w:pPr>
              <w:jc w:val="center"/>
              <w:rPr>
                <w:rFonts w:ascii="Calibri" w:hAnsi="Calibri"/>
                <w:szCs w:val="21"/>
              </w:rPr>
            </w:pPr>
            <w:r w:rsidRPr="00BB5174">
              <w:rPr>
                <w:rFonts w:ascii="Calibri" w:hAnsi="Calibri" w:hint="eastAsia"/>
                <w:szCs w:val="21"/>
              </w:rPr>
              <w:t>氟化物</w:t>
            </w:r>
          </w:p>
        </w:tc>
        <w:tc>
          <w:tcPr>
            <w:tcW w:w="1139" w:type="pct"/>
            <w:vAlign w:val="center"/>
          </w:tcPr>
          <w:p w14:paraId="283D2C4C" w14:textId="77777777" w:rsidR="007D6441" w:rsidRPr="00BB5174" w:rsidRDefault="007D6441" w:rsidP="00040BEE">
            <w:pPr>
              <w:jc w:val="center"/>
              <w:rPr>
                <w:rFonts w:ascii="Calibri" w:cs="Times New Roman"/>
                <w:szCs w:val="21"/>
              </w:rPr>
            </w:pPr>
            <w:r w:rsidRPr="00BB5174">
              <w:rPr>
                <w:rFonts w:ascii="Calibri" w:cs="Times New Roman" w:hint="eastAsia"/>
                <w:szCs w:val="21"/>
              </w:rPr>
              <w:t>0.79</w:t>
            </w:r>
          </w:p>
        </w:tc>
        <w:tc>
          <w:tcPr>
            <w:tcW w:w="707" w:type="pct"/>
            <w:vAlign w:val="center"/>
          </w:tcPr>
          <w:p w14:paraId="4DD930FB"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2038F111" w14:textId="77777777" w:rsidR="007D6441" w:rsidRPr="00BB5174" w:rsidRDefault="007D6441" w:rsidP="00040BEE">
            <w:pPr>
              <w:jc w:val="center"/>
              <w:rPr>
                <w:rFonts w:ascii="Calibri" w:hAnsi="Calibri"/>
                <w:szCs w:val="21"/>
              </w:rPr>
            </w:pPr>
            <w:r w:rsidRPr="00BB5174">
              <w:rPr>
                <w:rFonts w:ascii="Calibri" w:cs="Times New Roman" w:hint="eastAsia"/>
                <w:szCs w:val="21"/>
              </w:rPr>
              <w:t>0.79</w:t>
            </w:r>
          </w:p>
        </w:tc>
        <w:tc>
          <w:tcPr>
            <w:tcW w:w="643" w:type="pct"/>
            <w:vAlign w:val="center"/>
          </w:tcPr>
          <w:p w14:paraId="4384D18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E282433" w14:textId="77777777" w:rsidTr="007D6441">
        <w:trPr>
          <w:trHeight w:val="340"/>
        </w:trPr>
        <w:tc>
          <w:tcPr>
            <w:tcW w:w="580" w:type="pct"/>
            <w:vMerge/>
            <w:vAlign w:val="center"/>
          </w:tcPr>
          <w:p w14:paraId="57AA69E3" w14:textId="77777777" w:rsidR="007D6441" w:rsidRPr="003F72B9" w:rsidRDefault="007D6441" w:rsidP="00040BEE">
            <w:pPr>
              <w:jc w:val="center"/>
              <w:rPr>
                <w:rFonts w:ascii="Calibri" w:hAnsi="Calibri"/>
                <w:color w:val="auto"/>
                <w:szCs w:val="21"/>
              </w:rPr>
            </w:pPr>
          </w:p>
        </w:tc>
        <w:tc>
          <w:tcPr>
            <w:tcW w:w="1130" w:type="pct"/>
            <w:vAlign w:val="center"/>
          </w:tcPr>
          <w:p w14:paraId="3FAD100B" w14:textId="77777777" w:rsidR="007D6441" w:rsidRPr="00BB5174" w:rsidRDefault="007D6441" w:rsidP="00040BEE">
            <w:pPr>
              <w:jc w:val="center"/>
              <w:rPr>
                <w:rFonts w:ascii="Calibri" w:hAnsi="Calibri"/>
                <w:szCs w:val="21"/>
              </w:rPr>
            </w:pPr>
            <w:r w:rsidRPr="00BB5174">
              <w:rPr>
                <w:rFonts w:ascii="Calibri" w:hAnsi="Calibri" w:hint="eastAsia"/>
                <w:szCs w:val="21"/>
              </w:rPr>
              <w:t>汞（</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6D4D4305" w14:textId="77777777" w:rsidR="007D6441" w:rsidRPr="00BB5174" w:rsidRDefault="007D6441" w:rsidP="00040BEE">
            <w:pPr>
              <w:jc w:val="center"/>
              <w:rPr>
                <w:rFonts w:ascii="Calibri" w:hAnsi="Calibri"/>
                <w:szCs w:val="21"/>
              </w:rPr>
            </w:pPr>
            <w:r w:rsidRPr="00BB5174">
              <w:rPr>
                <w:rFonts w:ascii="Calibri" w:hAnsi="Calibri" w:hint="eastAsia"/>
                <w:szCs w:val="21"/>
              </w:rPr>
              <w:t>0.11</w:t>
            </w:r>
          </w:p>
        </w:tc>
        <w:tc>
          <w:tcPr>
            <w:tcW w:w="707" w:type="pct"/>
            <w:vAlign w:val="center"/>
          </w:tcPr>
          <w:p w14:paraId="48110C87" w14:textId="77777777" w:rsidR="007D6441" w:rsidRPr="00BB5174" w:rsidRDefault="007D6441" w:rsidP="00040BEE">
            <w:pPr>
              <w:jc w:val="center"/>
              <w:rPr>
                <w:rFonts w:ascii="Calibri" w:hAnsi="Calibri"/>
                <w:szCs w:val="21"/>
              </w:rPr>
            </w:pPr>
            <w:r w:rsidRPr="00BB5174">
              <w:rPr>
                <w:rFonts w:ascii="Calibri" w:hAnsi="Calibri" w:hint="eastAsia"/>
                <w:szCs w:val="21"/>
              </w:rPr>
              <w:t>1</w:t>
            </w:r>
          </w:p>
        </w:tc>
        <w:tc>
          <w:tcPr>
            <w:tcW w:w="800" w:type="pct"/>
            <w:vAlign w:val="center"/>
          </w:tcPr>
          <w:p w14:paraId="511A7EAB" w14:textId="77777777" w:rsidR="007D6441" w:rsidRPr="00BB5174" w:rsidRDefault="007D6441" w:rsidP="00040BEE">
            <w:pPr>
              <w:jc w:val="center"/>
              <w:rPr>
                <w:rFonts w:ascii="Calibri" w:hAnsi="Calibri"/>
                <w:szCs w:val="21"/>
              </w:rPr>
            </w:pPr>
            <w:r w:rsidRPr="00BB5174">
              <w:rPr>
                <w:rFonts w:ascii="Calibri" w:hAnsi="Calibri" w:hint="eastAsia"/>
                <w:szCs w:val="21"/>
              </w:rPr>
              <w:t>0.11</w:t>
            </w:r>
          </w:p>
        </w:tc>
        <w:tc>
          <w:tcPr>
            <w:tcW w:w="643" w:type="pct"/>
            <w:vAlign w:val="center"/>
          </w:tcPr>
          <w:p w14:paraId="007A47F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3C2DA19" w14:textId="77777777" w:rsidTr="007D6441">
        <w:trPr>
          <w:trHeight w:val="340"/>
        </w:trPr>
        <w:tc>
          <w:tcPr>
            <w:tcW w:w="580" w:type="pct"/>
            <w:vMerge/>
            <w:vAlign w:val="center"/>
          </w:tcPr>
          <w:p w14:paraId="1501A554" w14:textId="77777777" w:rsidR="007D6441" w:rsidRPr="003F72B9" w:rsidRDefault="007D6441" w:rsidP="00040BEE">
            <w:pPr>
              <w:jc w:val="center"/>
              <w:rPr>
                <w:rFonts w:ascii="Calibri" w:hAnsi="Calibri"/>
                <w:color w:val="auto"/>
                <w:szCs w:val="21"/>
              </w:rPr>
            </w:pPr>
          </w:p>
        </w:tc>
        <w:tc>
          <w:tcPr>
            <w:tcW w:w="1130" w:type="pct"/>
            <w:vAlign w:val="center"/>
          </w:tcPr>
          <w:p w14:paraId="7B303CA3" w14:textId="77777777" w:rsidR="007D6441" w:rsidRPr="00BB5174" w:rsidRDefault="007D6441" w:rsidP="00040BEE">
            <w:pPr>
              <w:jc w:val="center"/>
              <w:rPr>
                <w:rFonts w:ascii="Calibri" w:hAnsi="Calibri"/>
                <w:szCs w:val="21"/>
              </w:rPr>
            </w:pPr>
            <w:r w:rsidRPr="00BB5174">
              <w:rPr>
                <w:rFonts w:ascii="Calibri" w:hAnsi="Calibri" w:hint="eastAsia"/>
                <w:szCs w:val="21"/>
              </w:rPr>
              <w:t>砷（</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0493311B" w14:textId="77777777" w:rsidR="007D6441" w:rsidRPr="00BB5174" w:rsidRDefault="007D6441" w:rsidP="00040BEE">
            <w:pPr>
              <w:jc w:val="center"/>
              <w:rPr>
                <w:rFonts w:ascii="Calibri" w:hAnsi="Calibri"/>
                <w:szCs w:val="21"/>
              </w:rPr>
            </w:pPr>
            <w:r w:rsidRPr="00BB5174">
              <w:rPr>
                <w:rFonts w:ascii="Calibri" w:hAnsi="Calibri" w:hint="eastAsia"/>
                <w:szCs w:val="21"/>
              </w:rPr>
              <w:t>3.5</w:t>
            </w:r>
          </w:p>
        </w:tc>
        <w:tc>
          <w:tcPr>
            <w:tcW w:w="707" w:type="pct"/>
            <w:vAlign w:val="center"/>
          </w:tcPr>
          <w:p w14:paraId="1DCF7DE7"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3C1DB706" w14:textId="77777777" w:rsidR="007D6441" w:rsidRPr="00BB5174" w:rsidRDefault="007D6441" w:rsidP="00040BEE">
            <w:pPr>
              <w:jc w:val="center"/>
              <w:rPr>
                <w:rFonts w:ascii="Calibri" w:hAnsi="Calibri"/>
                <w:szCs w:val="21"/>
              </w:rPr>
            </w:pPr>
            <w:r w:rsidRPr="00BB5174">
              <w:rPr>
                <w:rFonts w:ascii="Calibri" w:hAnsi="Calibri" w:hint="eastAsia"/>
                <w:szCs w:val="21"/>
              </w:rPr>
              <w:t>0.35</w:t>
            </w:r>
          </w:p>
        </w:tc>
        <w:tc>
          <w:tcPr>
            <w:tcW w:w="643" w:type="pct"/>
            <w:vAlign w:val="center"/>
          </w:tcPr>
          <w:p w14:paraId="5B032C2E"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E5518B2" w14:textId="77777777" w:rsidTr="007D6441">
        <w:trPr>
          <w:trHeight w:val="340"/>
        </w:trPr>
        <w:tc>
          <w:tcPr>
            <w:tcW w:w="580" w:type="pct"/>
            <w:vMerge/>
            <w:vAlign w:val="center"/>
          </w:tcPr>
          <w:p w14:paraId="0535AE74" w14:textId="77777777" w:rsidR="007D6441" w:rsidRPr="003F72B9" w:rsidRDefault="007D6441" w:rsidP="00040BEE">
            <w:pPr>
              <w:jc w:val="center"/>
              <w:rPr>
                <w:rFonts w:ascii="Calibri" w:hAnsi="Calibri"/>
                <w:color w:val="auto"/>
                <w:szCs w:val="21"/>
              </w:rPr>
            </w:pPr>
          </w:p>
        </w:tc>
        <w:tc>
          <w:tcPr>
            <w:tcW w:w="1130" w:type="pct"/>
            <w:vAlign w:val="center"/>
          </w:tcPr>
          <w:p w14:paraId="7772428C" w14:textId="77777777" w:rsidR="007D6441" w:rsidRPr="00BB5174" w:rsidRDefault="007D6441" w:rsidP="00040BEE">
            <w:pPr>
              <w:jc w:val="center"/>
              <w:rPr>
                <w:rFonts w:ascii="Calibri"/>
                <w:szCs w:val="21"/>
              </w:rPr>
            </w:pPr>
            <w:r w:rsidRPr="00BB5174">
              <w:rPr>
                <w:rFonts w:ascii="Calibri" w:hint="eastAsia"/>
                <w:szCs w:val="21"/>
              </w:rPr>
              <w:t>铅</w:t>
            </w:r>
            <w:r w:rsidRPr="00BB5174">
              <w:rPr>
                <w:rFonts w:ascii="Calibri" w:hAnsi="Calibri" w:hint="eastAsia"/>
                <w:szCs w:val="21"/>
              </w:rPr>
              <w:t>（</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756FEDB7"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61FF853B"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22A71D19"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0141ACF"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4998406" w14:textId="77777777" w:rsidTr="007D6441">
        <w:trPr>
          <w:trHeight w:val="340"/>
        </w:trPr>
        <w:tc>
          <w:tcPr>
            <w:tcW w:w="580" w:type="pct"/>
            <w:vMerge/>
            <w:vAlign w:val="center"/>
          </w:tcPr>
          <w:p w14:paraId="41A11F8F" w14:textId="77777777" w:rsidR="007D6441" w:rsidRPr="003F72B9" w:rsidRDefault="007D6441" w:rsidP="00040BEE">
            <w:pPr>
              <w:jc w:val="center"/>
              <w:rPr>
                <w:rFonts w:ascii="Calibri" w:hAnsi="Calibri"/>
                <w:color w:val="auto"/>
                <w:szCs w:val="21"/>
              </w:rPr>
            </w:pPr>
          </w:p>
        </w:tc>
        <w:tc>
          <w:tcPr>
            <w:tcW w:w="1130" w:type="pct"/>
            <w:vAlign w:val="center"/>
          </w:tcPr>
          <w:p w14:paraId="5D448F95" w14:textId="77777777" w:rsidR="007D6441" w:rsidRPr="00BB5174" w:rsidRDefault="007D6441" w:rsidP="00040BEE">
            <w:pPr>
              <w:jc w:val="center"/>
              <w:rPr>
                <w:rFonts w:ascii="Calibri" w:hAnsi="Calibri"/>
                <w:szCs w:val="21"/>
              </w:rPr>
            </w:pPr>
            <w:r w:rsidRPr="00BB5174">
              <w:rPr>
                <w:rFonts w:ascii="Calibri" w:hAnsi="Calibri" w:hint="eastAsia"/>
                <w:szCs w:val="21"/>
              </w:rPr>
              <w:t>镉（</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2A4530C8"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3B6D207A" w14:textId="77777777" w:rsidR="007D6441" w:rsidRPr="00BB5174" w:rsidRDefault="007D6441" w:rsidP="00040BEE">
            <w:pPr>
              <w:jc w:val="center"/>
              <w:rPr>
                <w:rFonts w:ascii="Calibri" w:hAnsi="Calibri"/>
                <w:szCs w:val="21"/>
              </w:rPr>
            </w:pPr>
            <w:r w:rsidRPr="00BB5174">
              <w:rPr>
                <w:rFonts w:ascii="Calibri" w:hAnsi="Calibri" w:hint="eastAsia"/>
                <w:szCs w:val="21"/>
              </w:rPr>
              <w:t>5</w:t>
            </w:r>
          </w:p>
        </w:tc>
        <w:tc>
          <w:tcPr>
            <w:tcW w:w="800" w:type="pct"/>
            <w:vAlign w:val="center"/>
          </w:tcPr>
          <w:p w14:paraId="6483CE85"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2F96BB3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1EA4524" w14:textId="77777777" w:rsidTr="007D6441">
        <w:trPr>
          <w:trHeight w:val="340"/>
        </w:trPr>
        <w:tc>
          <w:tcPr>
            <w:tcW w:w="580" w:type="pct"/>
            <w:vMerge/>
            <w:vAlign w:val="center"/>
          </w:tcPr>
          <w:p w14:paraId="506ABFDB" w14:textId="77777777" w:rsidR="007D6441" w:rsidRPr="003F72B9" w:rsidRDefault="007D6441" w:rsidP="00040BEE">
            <w:pPr>
              <w:jc w:val="center"/>
              <w:rPr>
                <w:rFonts w:ascii="Calibri" w:hAnsi="Calibri"/>
                <w:color w:val="auto"/>
                <w:szCs w:val="21"/>
              </w:rPr>
            </w:pPr>
          </w:p>
        </w:tc>
        <w:tc>
          <w:tcPr>
            <w:tcW w:w="1130" w:type="pct"/>
            <w:vAlign w:val="center"/>
          </w:tcPr>
          <w:p w14:paraId="2A4F210E" w14:textId="77777777" w:rsidR="007D6441" w:rsidRPr="00BB5174" w:rsidRDefault="007D6441" w:rsidP="00040BEE">
            <w:pPr>
              <w:jc w:val="center"/>
              <w:rPr>
                <w:rFonts w:ascii="Calibri" w:hAnsi="Calibri"/>
                <w:szCs w:val="21"/>
              </w:rPr>
            </w:pPr>
            <w:r w:rsidRPr="00BB5174">
              <w:rPr>
                <w:rFonts w:ascii="Calibri" w:hAnsi="Calibri" w:hint="eastAsia"/>
                <w:szCs w:val="21"/>
              </w:rPr>
              <w:t>铁</w:t>
            </w:r>
          </w:p>
        </w:tc>
        <w:tc>
          <w:tcPr>
            <w:tcW w:w="1139" w:type="pct"/>
            <w:vAlign w:val="center"/>
          </w:tcPr>
          <w:p w14:paraId="38B3F086"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6A1F27BC" w14:textId="77777777" w:rsidR="007D6441" w:rsidRPr="00BB5174" w:rsidRDefault="007D6441" w:rsidP="00040BEE">
            <w:pPr>
              <w:jc w:val="center"/>
              <w:rPr>
                <w:rFonts w:ascii="Calibri" w:hAnsi="Calibri"/>
                <w:szCs w:val="21"/>
              </w:rPr>
            </w:pPr>
            <w:r w:rsidRPr="00BB5174">
              <w:rPr>
                <w:rFonts w:ascii="Calibri" w:hAnsi="Calibri" w:hint="eastAsia"/>
                <w:szCs w:val="21"/>
              </w:rPr>
              <w:t>0.3</w:t>
            </w:r>
          </w:p>
        </w:tc>
        <w:tc>
          <w:tcPr>
            <w:tcW w:w="800" w:type="pct"/>
            <w:vAlign w:val="center"/>
          </w:tcPr>
          <w:p w14:paraId="48443615"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7BDB94D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017924B" w14:textId="77777777" w:rsidTr="007D6441">
        <w:trPr>
          <w:trHeight w:val="340"/>
        </w:trPr>
        <w:tc>
          <w:tcPr>
            <w:tcW w:w="580" w:type="pct"/>
            <w:vMerge/>
            <w:vAlign w:val="center"/>
          </w:tcPr>
          <w:p w14:paraId="036B36BF" w14:textId="77777777" w:rsidR="007D6441" w:rsidRPr="003F72B9" w:rsidRDefault="007D6441" w:rsidP="00040BEE">
            <w:pPr>
              <w:jc w:val="center"/>
              <w:rPr>
                <w:rFonts w:ascii="Calibri" w:hAnsi="Calibri"/>
                <w:color w:val="auto"/>
                <w:szCs w:val="21"/>
              </w:rPr>
            </w:pPr>
          </w:p>
        </w:tc>
        <w:tc>
          <w:tcPr>
            <w:tcW w:w="1130" w:type="pct"/>
            <w:vAlign w:val="center"/>
          </w:tcPr>
          <w:p w14:paraId="431FE77F" w14:textId="77777777" w:rsidR="007D6441" w:rsidRPr="00BB5174" w:rsidRDefault="007D6441" w:rsidP="00040BEE">
            <w:pPr>
              <w:jc w:val="center"/>
              <w:rPr>
                <w:rFonts w:cs="Times New Roman"/>
                <w:szCs w:val="21"/>
              </w:rPr>
            </w:pPr>
            <w:r w:rsidRPr="00BB5174">
              <w:rPr>
                <w:rFonts w:cs="Times New Roman" w:hint="eastAsia"/>
                <w:szCs w:val="21"/>
              </w:rPr>
              <w:t>锰</w:t>
            </w:r>
          </w:p>
        </w:tc>
        <w:tc>
          <w:tcPr>
            <w:tcW w:w="1139" w:type="pct"/>
            <w:vAlign w:val="center"/>
          </w:tcPr>
          <w:p w14:paraId="3A00D020"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4C3D1F0F" w14:textId="77777777" w:rsidR="007D6441" w:rsidRPr="00BB5174" w:rsidRDefault="007D6441" w:rsidP="00040BEE">
            <w:pPr>
              <w:jc w:val="center"/>
              <w:rPr>
                <w:rFonts w:ascii="Calibri" w:hAnsi="Calibri"/>
                <w:szCs w:val="21"/>
              </w:rPr>
            </w:pPr>
            <w:r w:rsidRPr="00BB5174">
              <w:rPr>
                <w:rFonts w:ascii="Calibri" w:hAnsi="Calibri" w:hint="eastAsia"/>
                <w:szCs w:val="21"/>
              </w:rPr>
              <w:t>0.10</w:t>
            </w:r>
          </w:p>
        </w:tc>
        <w:tc>
          <w:tcPr>
            <w:tcW w:w="800" w:type="pct"/>
            <w:vAlign w:val="center"/>
          </w:tcPr>
          <w:p w14:paraId="5FDD6E92"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4CE7B50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22D38CF" w14:textId="77777777" w:rsidTr="007D6441">
        <w:trPr>
          <w:trHeight w:val="340"/>
        </w:trPr>
        <w:tc>
          <w:tcPr>
            <w:tcW w:w="580" w:type="pct"/>
            <w:vMerge/>
            <w:vAlign w:val="center"/>
          </w:tcPr>
          <w:p w14:paraId="53544A85" w14:textId="77777777" w:rsidR="007D6441" w:rsidRPr="003F72B9" w:rsidRDefault="007D6441" w:rsidP="00040BEE">
            <w:pPr>
              <w:jc w:val="center"/>
              <w:rPr>
                <w:rFonts w:ascii="Calibri" w:hAnsi="Calibri"/>
                <w:color w:val="auto"/>
                <w:szCs w:val="21"/>
              </w:rPr>
            </w:pPr>
          </w:p>
        </w:tc>
        <w:tc>
          <w:tcPr>
            <w:tcW w:w="1130" w:type="pct"/>
            <w:vAlign w:val="center"/>
          </w:tcPr>
          <w:p w14:paraId="63BBB325" w14:textId="77777777" w:rsidR="007D6441" w:rsidRPr="00BB5174" w:rsidRDefault="007D6441" w:rsidP="00040BEE">
            <w:pPr>
              <w:jc w:val="center"/>
              <w:rPr>
                <w:rFonts w:ascii="Calibri" w:hAnsi="Calibri"/>
                <w:szCs w:val="21"/>
              </w:rPr>
            </w:pPr>
            <w:r w:rsidRPr="00BB5174">
              <w:rPr>
                <w:rFonts w:ascii="Calibri" w:hAnsi="Calibri" w:hint="eastAsia"/>
                <w:szCs w:val="21"/>
              </w:rPr>
              <w:t>铬（六价）</w:t>
            </w:r>
          </w:p>
        </w:tc>
        <w:tc>
          <w:tcPr>
            <w:tcW w:w="1139" w:type="pct"/>
            <w:vAlign w:val="center"/>
          </w:tcPr>
          <w:p w14:paraId="32D482AF"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1DA65129"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108466B7"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426545A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64EEB7E" w14:textId="77777777" w:rsidTr="007D6441">
        <w:trPr>
          <w:trHeight w:val="340"/>
        </w:trPr>
        <w:tc>
          <w:tcPr>
            <w:tcW w:w="580" w:type="pct"/>
            <w:vMerge/>
            <w:vAlign w:val="center"/>
          </w:tcPr>
          <w:p w14:paraId="5BE938AF" w14:textId="77777777" w:rsidR="007D6441" w:rsidRPr="003F72B9" w:rsidRDefault="007D6441" w:rsidP="00040BEE">
            <w:pPr>
              <w:jc w:val="center"/>
              <w:rPr>
                <w:rFonts w:ascii="Calibri" w:hAnsi="Calibri"/>
                <w:color w:val="auto"/>
                <w:szCs w:val="21"/>
              </w:rPr>
            </w:pPr>
          </w:p>
        </w:tc>
        <w:tc>
          <w:tcPr>
            <w:tcW w:w="1130" w:type="pct"/>
            <w:vAlign w:val="center"/>
          </w:tcPr>
          <w:p w14:paraId="1D308976" w14:textId="77777777" w:rsidR="007D6441" w:rsidRPr="00BB5174" w:rsidRDefault="007D6441" w:rsidP="00040BEE">
            <w:pPr>
              <w:jc w:val="center"/>
              <w:rPr>
                <w:rFonts w:ascii="Calibri" w:hAnsi="Calibri" w:cs="Times New Roman"/>
                <w:szCs w:val="21"/>
              </w:rPr>
            </w:pPr>
            <w:r w:rsidRPr="00BB5174">
              <w:rPr>
                <w:rFonts w:ascii="Calibri" w:cs="Times New Roman"/>
                <w:szCs w:val="21"/>
              </w:rPr>
              <w:t>硫酸盐</w:t>
            </w:r>
          </w:p>
        </w:tc>
        <w:tc>
          <w:tcPr>
            <w:tcW w:w="1139" w:type="pct"/>
            <w:vAlign w:val="center"/>
          </w:tcPr>
          <w:p w14:paraId="6A163F51" w14:textId="77777777" w:rsidR="007D6441" w:rsidRPr="00BB5174" w:rsidRDefault="007D6441" w:rsidP="00040BEE">
            <w:pPr>
              <w:jc w:val="center"/>
              <w:rPr>
                <w:rFonts w:ascii="Calibri" w:cs="Times New Roman"/>
                <w:szCs w:val="21"/>
              </w:rPr>
            </w:pPr>
            <w:r w:rsidRPr="00BB5174">
              <w:rPr>
                <w:rFonts w:ascii="Calibri" w:cs="Times New Roman" w:hint="eastAsia"/>
                <w:szCs w:val="21"/>
              </w:rPr>
              <w:t>195</w:t>
            </w:r>
          </w:p>
        </w:tc>
        <w:tc>
          <w:tcPr>
            <w:tcW w:w="707" w:type="pct"/>
            <w:vAlign w:val="center"/>
          </w:tcPr>
          <w:p w14:paraId="72880341"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66F1C5FA" w14:textId="77777777" w:rsidR="007D6441" w:rsidRPr="00BB5174" w:rsidRDefault="007D6441" w:rsidP="00040BEE">
            <w:pPr>
              <w:jc w:val="center"/>
              <w:rPr>
                <w:rFonts w:ascii="Calibri" w:hAnsi="Calibri"/>
                <w:szCs w:val="21"/>
              </w:rPr>
            </w:pPr>
            <w:r w:rsidRPr="00BB5174">
              <w:rPr>
                <w:rFonts w:ascii="Calibri" w:hAnsi="Calibri" w:hint="eastAsia"/>
                <w:szCs w:val="21"/>
              </w:rPr>
              <w:t>0.78</w:t>
            </w:r>
          </w:p>
        </w:tc>
        <w:tc>
          <w:tcPr>
            <w:tcW w:w="643" w:type="pct"/>
            <w:vAlign w:val="center"/>
          </w:tcPr>
          <w:p w14:paraId="6445014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665DEE5" w14:textId="77777777" w:rsidTr="007D6441">
        <w:trPr>
          <w:trHeight w:val="340"/>
        </w:trPr>
        <w:tc>
          <w:tcPr>
            <w:tcW w:w="580" w:type="pct"/>
            <w:vMerge/>
            <w:vAlign w:val="center"/>
          </w:tcPr>
          <w:p w14:paraId="5CAD0D6C" w14:textId="77777777" w:rsidR="007D6441" w:rsidRPr="003F72B9" w:rsidRDefault="007D6441" w:rsidP="00040BEE">
            <w:pPr>
              <w:jc w:val="center"/>
              <w:rPr>
                <w:rFonts w:ascii="Calibri" w:hAnsi="Calibri"/>
                <w:color w:val="auto"/>
                <w:szCs w:val="21"/>
              </w:rPr>
            </w:pPr>
          </w:p>
        </w:tc>
        <w:tc>
          <w:tcPr>
            <w:tcW w:w="1130" w:type="pct"/>
            <w:vAlign w:val="center"/>
          </w:tcPr>
          <w:p w14:paraId="75E8E177" w14:textId="77777777" w:rsidR="007D6441" w:rsidRPr="00BB5174" w:rsidRDefault="007D6441" w:rsidP="00040BEE">
            <w:pPr>
              <w:jc w:val="center"/>
              <w:rPr>
                <w:rFonts w:ascii="Calibri" w:hAnsi="Calibri" w:cs="Times New Roman"/>
                <w:szCs w:val="21"/>
              </w:rPr>
            </w:pPr>
            <w:r w:rsidRPr="00BB5174">
              <w:rPr>
                <w:rFonts w:ascii="Calibri" w:cs="Times New Roman"/>
                <w:szCs w:val="21"/>
              </w:rPr>
              <w:t>氯化物</w:t>
            </w:r>
          </w:p>
        </w:tc>
        <w:tc>
          <w:tcPr>
            <w:tcW w:w="1139" w:type="pct"/>
            <w:vAlign w:val="center"/>
          </w:tcPr>
          <w:p w14:paraId="021E8E64" w14:textId="77777777" w:rsidR="007D6441" w:rsidRPr="00BB5174" w:rsidRDefault="007D6441" w:rsidP="00040BEE">
            <w:pPr>
              <w:jc w:val="center"/>
              <w:rPr>
                <w:rFonts w:ascii="Calibri" w:cs="Times New Roman"/>
                <w:szCs w:val="21"/>
              </w:rPr>
            </w:pPr>
            <w:r w:rsidRPr="00BB5174">
              <w:rPr>
                <w:rFonts w:ascii="Calibri" w:cs="Times New Roman" w:hint="eastAsia"/>
                <w:szCs w:val="21"/>
              </w:rPr>
              <w:t>162</w:t>
            </w:r>
          </w:p>
        </w:tc>
        <w:tc>
          <w:tcPr>
            <w:tcW w:w="707" w:type="pct"/>
            <w:vAlign w:val="center"/>
          </w:tcPr>
          <w:p w14:paraId="6949450D"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3AEB02CE" w14:textId="77777777" w:rsidR="007D6441" w:rsidRPr="00BB5174" w:rsidRDefault="007D6441" w:rsidP="00040BEE">
            <w:pPr>
              <w:jc w:val="center"/>
              <w:rPr>
                <w:rFonts w:ascii="Calibri" w:hAnsi="Calibri"/>
                <w:szCs w:val="21"/>
              </w:rPr>
            </w:pPr>
            <w:r w:rsidRPr="00BB5174">
              <w:rPr>
                <w:rFonts w:ascii="Calibri" w:hAnsi="Calibri" w:hint="eastAsia"/>
                <w:szCs w:val="21"/>
              </w:rPr>
              <w:t>0.65</w:t>
            </w:r>
          </w:p>
        </w:tc>
        <w:tc>
          <w:tcPr>
            <w:tcW w:w="643" w:type="pct"/>
            <w:vAlign w:val="center"/>
          </w:tcPr>
          <w:p w14:paraId="64D765B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34A6793" w14:textId="77777777" w:rsidTr="007D6441">
        <w:trPr>
          <w:trHeight w:val="340"/>
        </w:trPr>
        <w:tc>
          <w:tcPr>
            <w:tcW w:w="580" w:type="pct"/>
            <w:vMerge/>
            <w:vAlign w:val="center"/>
          </w:tcPr>
          <w:p w14:paraId="7D24C09E" w14:textId="77777777" w:rsidR="007D6441" w:rsidRPr="003F72B9" w:rsidRDefault="007D6441" w:rsidP="00040BEE">
            <w:pPr>
              <w:jc w:val="center"/>
              <w:rPr>
                <w:rFonts w:ascii="Calibri" w:hAnsi="Calibri"/>
                <w:color w:val="auto"/>
                <w:szCs w:val="21"/>
              </w:rPr>
            </w:pPr>
          </w:p>
        </w:tc>
        <w:tc>
          <w:tcPr>
            <w:tcW w:w="1130" w:type="pct"/>
            <w:vAlign w:val="center"/>
          </w:tcPr>
          <w:p w14:paraId="05FE6DE8" w14:textId="77777777" w:rsidR="007D6441" w:rsidRPr="00BB5174" w:rsidRDefault="007D6441" w:rsidP="00040BEE">
            <w:pPr>
              <w:jc w:val="center"/>
              <w:rPr>
                <w:rFonts w:ascii="Calibri" w:hAnsi="Calibri" w:cs="Times New Roman"/>
                <w:szCs w:val="21"/>
              </w:rPr>
            </w:pPr>
            <w:r w:rsidRPr="00BB5174">
              <w:rPr>
                <w:rFonts w:ascii="Calibri" w:cs="Times New Roman"/>
                <w:szCs w:val="21"/>
              </w:rPr>
              <w:t>总大肠菌群</w:t>
            </w:r>
            <w:r w:rsidRPr="00BB5174">
              <w:rPr>
                <w:rFonts w:ascii="Calibri" w:cs="Times New Roman" w:hint="eastAsia"/>
                <w:szCs w:val="21"/>
              </w:rPr>
              <w:t>（</w:t>
            </w:r>
            <w:r w:rsidRPr="00BB5174">
              <w:rPr>
                <w:rFonts w:ascii="Calibri" w:cs="Times New Roman"/>
                <w:szCs w:val="21"/>
              </w:rPr>
              <w:t>MPN/100mL</w:t>
            </w:r>
            <w:r w:rsidRPr="00BB5174">
              <w:rPr>
                <w:rFonts w:ascii="Calibri" w:cs="Times New Roman" w:hint="eastAsia"/>
                <w:szCs w:val="21"/>
              </w:rPr>
              <w:t>）</w:t>
            </w:r>
          </w:p>
        </w:tc>
        <w:tc>
          <w:tcPr>
            <w:tcW w:w="1139" w:type="pct"/>
            <w:vAlign w:val="center"/>
          </w:tcPr>
          <w:p w14:paraId="0CCAFE2E" w14:textId="77777777" w:rsidR="007D6441" w:rsidRPr="00BB5174" w:rsidRDefault="007D6441" w:rsidP="00040BEE">
            <w:pPr>
              <w:jc w:val="center"/>
              <w:rPr>
                <w:rFonts w:ascii="Calibri" w:cs="Times New Roman"/>
                <w:szCs w:val="21"/>
              </w:rPr>
            </w:pPr>
            <w:r w:rsidRPr="00BB5174">
              <w:rPr>
                <w:rFonts w:ascii="Calibri" w:cs="Times New Roman" w:hint="eastAsia"/>
                <w:szCs w:val="21"/>
              </w:rPr>
              <w:t>未检出</w:t>
            </w:r>
          </w:p>
        </w:tc>
        <w:tc>
          <w:tcPr>
            <w:tcW w:w="707" w:type="pct"/>
            <w:vAlign w:val="center"/>
          </w:tcPr>
          <w:p w14:paraId="6285D438"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432B5A4F"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71346D1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43CC526" w14:textId="77777777" w:rsidTr="007D6441">
        <w:trPr>
          <w:trHeight w:val="340"/>
        </w:trPr>
        <w:tc>
          <w:tcPr>
            <w:tcW w:w="580" w:type="pct"/>
            <w:vMerge/>
            <w:vAlign w:val="center"/>
          </w:tcPr>
          <w:p w14:paraId="58741FE2" w14:textId="77777777" w:rsidR="007D6441" w:rsidRPr="003F72B9" w:rsidRDefault="007D6441" w:rsidP="00040BEE">
            <w:pPr>
              <w:jc w:val="center"/>
              <w:rPr>
                <w:rFonts w:ascii="Calibri" w:hAnsi="Calibri"/>
                <w:color w:val="auto"/>
                <w:szCs w:val="21"/>
              </w:rPr>
            </w:pPr>
          </w:p>
        </w:tc>
        <w:tc>
          <w:tcPr>
            <w:tcW w:w="1130" w:type="pct"/>
            <w:vAlign w:val="center"/>
          </w:tcPr>
          <w:p w14:paraId="79F804C1" w14:textId="77777777" w:rsidR="007D6441" w:rsidRPr="00BB5174" w:rsidRDefault="007D6441" w:rsidP="00040BEE">
            <w:pPr>
              <w:jc w:val="center"/>
              <w:rPr>
                <w:rFonts w:ascii="Calibri" w:hAnsi="Calibri" w:cs="Times New Roman"/>
                <w:szCs w:val="21"/>
              </w:rPr>
            </w:pPr>
            <w:r w:rsidRPr="00BB5174">
              <w:rPr>
                <w:rFonts w:ascii="Calibri" w:cs="Times New Roman"/>
                <w:szCs w:val="21"/>
              </w:rPr>
              <w:t>细菌总数</w:t>
            </w:r>
            <w:r w:rsidRPr="00BB5174">
              <w:rPr>
                <w:rFonts w:ascii="Calibri" w:cs="Times New Roman" w:hint="eastAsia"/>
                <w:szCs w:val="21"/>
              </w:rPr>
              <w:t>（</w:t>
            </w:r>
            <w:r w:rsidRPr="00BB5174">
              <w:rPr>
                <w:rFonts w:ascii="Calibri" w:cs="Times New Roman"/>
                <w:szCs w:val="21"/>
              </w:rPr>
              <w:t>CFU/mL</w:t>
            </w:r>
            <w:r w:rsidRPr="00BB5174">
              <w:rPr>
                <w:rFonts w:ascii="Calibri" w:cs="Times New Roman" w:hint="eastAsia"/>
                <w:szCs w:val="21"/>
              </w:rPr>
              <w:t>）</w:t>
            </w:r>
          </w:p>
        </w:tc>
        <w:tc>
          <w:tcPr>
            <w:tcW w:w="1139" w:type="pct"/>
            <w:vAlign w:val="center"/>
          </w:tcPr>
          <w:p w14:paraId="3ADB6749" w14:textId="77777777" w:rsidR="007D6441" w:rsidRPr="00BB5174" w:rsidRDefault="007D6441" w:rsidP="00040BEE">
            <w:pPr>
              <w:jc w:val="center"/>
              <w:rPr>
                <w:rFonts w:ascii="Calibri" w:cs="Times New Roman"/>
                <w:szCs w:val="21"/>
              </w:rPr>
            </w:pPr>
            <w:r w:rsidRPr="00BB5174">
              <w:rPr>
                <w:rFonts w:ascii="Calibri" w:cs="Times New Roman" w:hint="eastAsia"/>
                <w:szCs w:val="21"/>
              </w:rPr>
              <w:t>69</w:t>
            </w:r>
          </w:p>
        </w:tc>
        <w:tc>
          <w:tcPr>
            <w:tcW w:w="707" w:type="pct"/>
            <w:vAlign w:val="center"/>
          </w:tcPr>
          <w:p w14:paraId="0E162913"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0332714F" w14:textId="77777777" w:rsidR="007D6441" w:rsidRPr="00BB5174" w:rsidRDefault="007D6441" w:rsidP="00040BEE">
            <w:pPr>
              <w:jc w:val="center"/>
              <w:rPr>
                <w:rFonts w:ascii="Calibri" w:hAnsi="Calibri"/>
                <w:szCs w:val="21"/>
              </w:rPr>
            </w:pPr>
            <w:r w:rsidRPr="00BB5174">
              <w:rPr>
                <w:rFonts w:ascii="Calibri" w:hAnsi="Calibri" w:hint="eastAsia"/>
                <w:szCs w:val="21"/>
              </w:rPr>
              <w:t>0.69</w:t>
            </w:r>
          </w:p>
        </w:tc>
        <w:tc>
          <w:tcPr>
            <w:tcW w:w="643" w:type="pct"/>
            <w:vAlign w:val="center"/>
          </w:tcPr>
          <w:p w14:paraId="4131880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802EBFC" w14:textId="77777777" w:rsidTr="007D6441">
        <w:trPr>
          <w:trHeight w:val="340"/>
        </w:trPr>
        <w:tc>
          <w:tcPr>
            <w:tcW w:w="580" w:type="pct"/>
            <w:vMerge/>
            <w:vAlign w:val="center"/>
          </w:tcPr>
          <w:p w14:paraId="4A64014B" w14:textId="77777777" w:rsidR="007D6441" w:rsidRPr="003F72B9" w:rsidRDefault="007D6441" w:rsidP="00040BEE">
            <w:pPr>
              <w:jc w:val="center"/>
              <w:rPr>
                <w:rFonts w:ascii="Calibri" w:hAnsi="Calibri"/>
                <w:color w:val="auto"/>
                <w:szCs w:val="21"/>
              </w:rPr>
            </w:pPr>
          </w:p>
        </w:tc>
        <w:tc>
          <w:tcPr>
            <w:tcW w:w="1130" w:type="pct"/>
            <w:vAlign w:val="center"/>
          </w:tcPr>
          <w:p w14:paraId="799286D0" w14:textId="77777777" w:rsidR="007D6441" w:rsidRPr="00BB5174" w:rsidRDefault="007D6441" w:rsidP="00040BEE">
            <w:pPr>
              <w:jc w:val="center"/>
              <w:rPr>
                <w:rFonts w:ascii="Calibri" w:hAnsi="Calibri" w:cs="Times New Roman"/>
                <w:szCs w:val="21"/>
              </w:rPr>
            </w:pPr>
            <w:r w:rsidRPr="00BB5174">
              <w:rPr>
                <w:rFonts w:ascii="Calibri" w:hAnsi="Calibri" w:cs="Times New Roman" w:hint="eastAsia"/>
                <w:szCs w:val="21"/>
              </w:rPr>
              <w:t>石油类</w:t>
            </w:r>
          </w:p>
        </w:tc>
        <w:tc>
          <w:tcPr>
            <w:tcW w:w="1139" w:type="pct"/>
            <w:vAlign w:val="center"/>
          </w:tcPr>
          <w:p w14:paraId="054AE156" w14:textId="77777777" w:rsidR="007D6441" w:rsidRPr="00BB5174" w:rsidRDefault="007D6441" w:rsidP="00040BEE">
            <w:pPr>
              <w:jc w:val="center"/>
              <w:rPr>
                <w:rFonts w:ascii="Calibri" w:cs="Times New Roman"/>
                <w:szCs w:val="21"/>
              </w:rPr>
            </w:pPr>
            <w:r w:rsidRPr="00BB5174">
              <w:rPr>
                <w:rFonts w:ascii="Calibri" w:cs="Times New Roman" w:hint="eastAsia"/>
                <w:szCs w:val="21"/>
              </w:rPr>
              <w:t>未检出</w:t>
            </w:r>
          </w:p>
        </w:tc>
        <w:tc>
          <w:tcPr>
            <w:tcW w:w="707" w:type="pct"/>
            <w:vAlign w:val="center"/>
          </w:tcPr>
          <w:p w14:paraId="24B358D1" w14:textId="77777777" w:rsidR="007D6441" w:rsidRPr="00BB5174" w:rsidRDefault="007D6441" w:rsidP="00040BEE">
            <w:pPr>
              <w:jc w:val="center"/>
              <w:rPr>
                <w:rFonts w:ascii="Calibri" w:hAnsi="Calibri"/>
                <w:szCs w:val="21"/>
              </w:rPr>
            </w:pPr>
            <w:r w:rsidRPr="00BB5174">
              <w:rPr>
                <w:rFonts w:ascii="Calibri" w:hAnsi="Calibri"/>
                <w:szCs w:val="21"/>
              </w:rPr>
              <w:t>0.05</w:t>
            </w:r>
          </w:p>
        </w:tc>
        <w:tc>
          <w:tcPr>
            <w:tcW w:w="800" w:type="pct"/>
            <w:vAlign w:val="center"/>
          </w:tcPr>
          <w:p w14:paraId="0F6302BA"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646C40E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98ECD98" w14:textId="77777777" w:rsidTr="007D6441">
        <w:trPr>
          <w:trHeight w:val="340"/>
        </w:trPr>
        <w:tc>
          <w:tcPr>
            <w:tcW w:w="580" w:type="pct"/>
            <w:vMerge w:val="restart"/>
            <w:vAlign w:val="center"/>
          </w:tcPr>
          <w:p w14:paraId="1323E503" w14:textId="77777777" w:rsidR="007D6441" w:rsidRPr="003F72B9" w:rsidRDefault="007D6441" w:rsidP="00040BEE">
            <w:pPr>
              <w:jc w:val="center"/>
              <w:rPr>
                <w:rFonts w:ascii="Calibri" w:hAnsi="Calibri"/>
                <w:color w:val="auto"/>
                <w:szCs w:val="21"/>
              </w:rPr>
            </w:pPr>
            <w:r>
              <w:rPr>
                <w:rFonts w:ascii="Calibri" w:hAnsi="Calibri" w:hint="eastAsia"/>
                <w:color w:val="auto"/>
                <w:szCs w:val="21"/>
              </w:rPr>
              <w:t>坡宋村（遗留水井）</w:t>
            </w:r>
          </w:p>
        </w:tc>
        <w:tc>
          <w:tcPr>
            <w:tcW w:w="1130" w:type="pct"/>
            <w:vAlign w:val="center"/>
          </w:tcPr>
          <w:p w14:paraId="63155BFC" w14:textId="77777777" w:rsidR="007D6441" w:rsidRPr="00BB5174" w:rsidRDefault="007D6441" w:rsidP="00040BEE">
            <w:pPr>
              <w:jc w:val="center"/>
              <w:rPr>
                <w:rFonts w:ascii="Calibri" w:hAnsi="Calibri"/>
                <w:szCs w:val="21"/>
              </w:rPr>
            </w:pPr>
            <w:r w:rsidRPr="00BB5174">
              <w:rPr>
                <w:rFonts w:ascii="Calibri" w:hAnsi="Calibri"/>
                <w:szCs w:val="21"/>
              </w:rPr>
              <w:t>pH</w:t>
            </w:r>
            <w:r w:rsidRPr="00BB5174">
              <w:rPr>
                <w:rFonts w:ascii="Calibri"/>
                <w:szCs w:val="21"/>
              </w:rPr>
              <w:t>值</w:t>
            </w:r>
          </w:p>
        </w:tc>
        <w:tc>
          <w:tcPr>
            <w:tcW w:w="1139" w:type="pct"/>
            <w:vAlign w:val="center"/>
          </w:tcPr>
          <w:p w14:paraId="4576BFB8" w14:textId="77777777" w:rsidR="007D6441" w:rsidRPr="00BB5174" w:rsidRDefault="007D6441" w:rsidP="00040BEE">
            <w:pPr>
              <w:jc w:val="center"/>
              <w:rPr>
                <w:rFonts w:ascii="Calibri" w:hAnsi="Calibri"/>
                <w:szCs w:val="21"/>
              </w:rPr>
            </w:pPr>
            <w:r w:rsidRPr="00BB5174">
              <w:rPr>
                <w:rFonts w:ascii="Calibri" w:hAnsi="Calibri" w:hint="eastAsia"/>
                <w:szCs w:val="21"/>
              </w:rPr>
              <w:t>7.28</w:t>
            </w:r>
          </w:p>
        </w:tc>
        <w:tc>
          <w:tcPr>
            <w:tcW w:w="707" w:type="pct"/>
            <w:vAlign w:val="center"/>
          </w:tcPr>
          <w:p w14:paraId="77A5C244" w14:textId="77777777" w:rsidR="007D6441" w:rsidRPr="00BB5174" w:rsidRDefault="007D6441" w:rsidP="00040BEE">
            <w:pPr>
              <w:jc w:val="center"/>
              <w:rPr>
                <w:rFonts w:ascii="Calibri" w:hAnsi="Calibri"/>
                <w:szCs w:val="21"/>
              </w:rPr>
            </w:pPr>
            <w:r w:rsidRPr="00BB5174">
              <w:rPr>
                <w:rFonts w:ascii="Calibri" w:hAnsi="Calibri" w:hint="eastAsia"/>
                <w:szCs w:val="21"/>
              </w:rPr>
              <w:t>6.5</w:t>
            </w:r>
            <w:r w:rsidRPr="00BB5174">
              <w:rPr>
                <w:rFonts w:ascii="Calibri" w:hAnsi="Calibri" w:hint="eastAsia"/>
                <w:szCs w:val="21"/>
              </w:rPr>
              <w:t>～</w:t>
            </w:r>
            <w:r w:rsidRPr="00BB5174">
              <w:rPr>
                <w:rFonts w:ascii="Calibri" w:hAnsi="Calibri" w:hint="eastAsia"/>
                <w:szCs w:val="21"/>
              </w:rPr>
              <w:t>8.5</w:t>
            </w:r>
          </w:p>
        </w:tc>
        <w:tc>
          <w:tcPr>
            <w:tcW w:w="800" w:type="pct"/>
            <w:vAlign w:val="center"/>
          </w:tcPr>
          <w:p w14:paraId="2D1AB566" w14:textId="77777777" w:rsidR="007D6441" w:rsidRPr="00BB5174" w:rsidRDefault="007D6441" w:rsidP="00040BEE">
            <w:pPr>
              <w:jc w:val="center"/>
              <w:rPr>
                <w:rFonts w:ascii="Calibri" w:hAnsi="Calibri"/>
                <w:szCs w:val="21"/>
              </w:rPr>
            </w:pPr>
            <w:r w:rsidRPr="00BB5174">
              <w:rPr>
                <w:rFonts w:ascii="Calibri" w:hAnsi="Calibri" w:hint="eastAsia"/>
                <w:szCs w:val="21"/>
              </w:rPr>
              <w:t>0.19</w:t>
            </w:r>
          </w:p>
        </w:tc>
        <w:tc>
          <w:tcPr>
            <w:tcW w:w="643" w:type="pct"/>
            <w:vAlign w:val="center"/>
          </w:tcPr>
          <w:p w14:paraId="74ADC5E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24FC0C5" w14:textId="77777777" w:rsidTr="007D6441">
        <w:trPr>
          <w:trHeight w:val="340"/>
        </w:trPr>
        <w:tc>
          <w:tcPr>
            <w:tcW w:w="580" w:type="pct"/>
            <w:vMerge/>
            <w:vAlign w:val="center"/>
          </w:tcPr>
          <w:p w14:paraId="06721890" w14:textId="77777777" w:rsidR="007D6441" w:rsidRPr="003F72B9" w:rsidRDefault="007D6441" w:rsidP="00040BEE">
            <w:pPr>
              <w:jc w:val="center"/>
              <w:rPr>
                <w:rFonts w:ascii="Calibri" w:hAnsi="Calibri"/>
                <w:color w:val="auto"/>
                <w:szCs w:val="21"/>
              </w:rPr>
            </w:pPr>
          </w:p>
        </w:tc>
        <w:tc>
          <w:tcPr>
            <w:tcW w:w="1130" w:type="pct"/>
            <w:vAlign w:val="center"/>
          </w:tcPr>
          <w:p w14:paraId="622505B5" w14:textId="77777777" w:rsidR="007D6441" w:rsidRPr="00BB5174" w:rsidRDefault="007D6441" w:rsidP="00040BEE">
            <w:pPr>
              <w:jc w:val="center"/>
              <w:rPr>
                <w:rFonts w:ascii="Calibri" w:hAnsi="Calibri"/>
                <w:szCs w:val="21"/>
              </w:rPr>
            </w:pPr>
            <w:r w:rsidRPr="00BB5174">
              <w:rPr>
                <w:rFonts w:ascii="Calibri"/>
                <w:szCs w:val="21"/>
              </w:rPr>
              <w:t>氨氮</w:t>
            </w:r>
          </w:p>
        </w:tc>
        <w:tc>
          <w:tcPr>
            <w:tcW w:w="1139" w:type="pct"/>
            <w:vAlign w:val="center"/>
          </w:tcPr>
          <w:p w14:paraId="4158CFD7"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072A31D7" w14:textId="77777777" w:rsidR="007D6441" w:rsidRPr="00BB5174" w:rsidRDefault="007D6441" w:rsidP="00040BEE">
            <w:pPr>
              <w:jc w:val="center"/>
              <w:rPr>
                <w:rFonts w:ascii="Calibri" w:hAnsi="Calibri"/>
                <w:szCs w:val="21"/>
              </w:rPr>
            </w:pPr>
            <w:r w:rsidRPr="00BB5174">
              <w:rPr>
                <w:rFonts w:ascii="Calibri" w:hAnsi="Calibri" w:hint="eastAsia"/>
                <w:szCs w:val="21"/>
              </w:rPr>
              <w:t>0.50</w:t>
            </w:r>
          </w:p>
        </w:tc>
        <w:tc>
          <w:tcPr>
            <w:tcW w:w="800" w:type="pct"/>
            <w:vAlign w:val="center"/>
          </w:tcPr>
          <w:p w14:paraId="78C6CA90"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7D55DEC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F29D088" w14:textId="77777777" w:rsidTr="007D6441">
        <w:trPr>
          <w:trHeight w:val="340"/>
        </w:trPr>
        <w:tc>
          <w:tcPr>
            <w:tcW w:w="580" w:type="pct"/>
            <w:vMerge/>
            <w:vAlign w:val="center"/>
          </w:tcPr>
          <w:p w14:paraId="28A32EFE" w14:textId="77777777" w:rsidR="007D6441" w:rsidRPr="003F72B9" w:rsidRDefault="007D6441" w:rsidP="00040BEE">
            <w:pPr>
              <w:jc w:val="center"/>
              <w:rPr>
                <w:rFonts w:ascii="Calibri" w:hAnsi="Calibri"/>
                <w:color w:val="auto"/>
                <w:szCs w:val="21"/>
              </w:rPr>
            </w:pPr>
          </w:p>
        </w:tc>
        <w:tc>
          <w:tcPr>
            <w:tcW w:w="1130" w:type="pct"/>
            <w:vAlign w:val="center"/>
          </w:tcPr>
          <w:p w14:paraId="174E8F8E" w14:textId="77777777" w:rsidR="007D6441" w:rsidRPr="00BB5174" w:rsidRDefault="007D6441" w:rsidP="00040BEE">
            <w:pPr>
              <w:jc w:val="center"/>
              <w:rPr>
                <w:rFonts w:cs="Times New Roman"/>
                <w:szCs w:val="21"/>
              </w:rPr>
            </w:pPr>
            <w:r w:rsidRPr="00BB5174">
              <w:rPr>
                <w:rFonts w:cs="Times New Roman"/>
                <w:szCs w:val="21"/>
              </w:rPr>
              <w:t>硝酸盐</w:t>
            </w:r>
          </w:p>
        </w:tc>
        <w:tc>
          <w:tcPr>
            <w:tcW w:w="1139" w:type="pct"/>
            <w:vAlign w:val="center"/>
          </w:tcPr>
          <w:p w14:paraId="3BE606CA" w14:textId="77777777" w:rsidR="007D6441" w:rsidRPr="00BB5174" w:rsidRDefault="007D6441" w:rsidP="00040BEE">
            <w:pPr>
              <w:jc w:val="center"/>
              <w:rPr>
                <w:rFonts w:ascii="Calibri" w:hAnsi="Calibri"/>
                <w:szCs w:val="21"/>
              </w:rPr>
            </w:pPr>
            <w:r w:rsidRPr="00BB5174">
              <w:rPr>
                <w:rFonts w:ascii="Calibri" w:hAnsi="Calibri" w:hint="eastAsia"/>
                <w:szCs w:val="21"/>
              </w:rPr>
              <w:t>1.02</w:t>
            </w:r>
          </w:p>
        </w:tc>
        <w:tc>
          <w:tcPr>
            <w:tcW w:w="707" w:type="pct"/>
            <w:vAlign w:val="center"/>
          </w:tcPr>
          <w:p w14:paraId="029F42D0" w14:textId="77777777" w:rsidR="007D6441" w:rsidRPr="00BB5174" w:rsidRDefault="007D6441" w:rsidP="00040BEE">
            <w:pPr>
              <w:jc w:val="center"/>
              <w:rPr>
                <w:rFonts w:ascii="Calibri" w:hAnsi="Calibri"/>
                <w:szCs w:val="21"/>
              </w:rPr>
            </w:pPr>
            <w:r w:rsidRPr="00BB5174">
              <w:rPr>
                <w:rFonts w:ascii="Calibri" w:hAnsi="Calibri" w:hint="eastAsia"/>
                <w:szCs w:val="21"/>
              </w:rPr>
              <w:t>20.0</w:t>
            </w:r>
          </w:p>
        </w:tc>
        <w:tc>
          <w:tcPr>
            <w:tcW w:w="800" w:type="pct"/>
            <w:vAlign w:val="center"/>
          </w:tcPr>
          <w:p w14:paraId="32D2C75B" w14:textId="77777777" w:rsidR="007D6441" w:rsidRPr="00BB5174" w:rsidRDefault="007D6441" w:rsidP="00040BEE">
            <w:pPr>
              <w:jc w:val="center"/>
              <w:rPr>
                <w:rFonts w:ascii="Calibri" w:hAnsi="Calibri"/>
                <w:szCs w:val="21"/>
              </w:rPr>
            </w:pPr>
            <w:r w:rsidRPr="00BB5174">
              <w:rPr>
                <w:rFonts w:ascii="Calibri" w:hAnsi="Calibri" w:hint="eastAsia"/>
                <w:szCs w:val="21"/>
              </w:rPr>
              <w:t>0.051</w:t>
            </w:r>
          </w:p>
        </w:tc>
        <w:tc>
          <w:tcPr>
            <w:tcW w:w="643" w:type="pct"/>
            <w:vAlign w:val="center"/>
          </w:tcPr>
          <w:p w14:paraId="5B36C4D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A0A1DC0" w14:textId="77777777" w:rsidTr="007D6441">
        <w:trPr>
          <w:trHeight w:val="340"/>
        </w:trPr>
        <w:tc>
          <w:tcPr>
            <w:tcW w:w="580" w:type="pct"/>
            <w:vMerge/>
            <w:vAlign w:val="center"/>
          </w:tcPr>
          <w:p w14:paraId="6231D13D" w14:textId="77777777" w:rsidR="007D6441" w:rsidRPr="003F72B9" w:rsidRDefault="007D6441" w:rsidP="00040BEE">
            <w:pPr>
              <w:jc w:val="center"/>
              <w:rPr>
                <w:rFonts w:ascii="Calibri" w:hAnsi="Calibri"/>
                <w:color w:val="auto"/>
                <w:szCs w:val="21"/>
              </w:rPr>
            </w:pPr>
          </w:p>
        </w:tc>
        <w:tc>
          <w:tcPr>
            <w:tcW w:w="1130" w:type="pct"/>
            <w:vAlign w:val="center"/>
          </w:tcPr>
          <w:p w14:paraId="2C34F737" w14:textId="77777777" w:rsidR="007D6441" w:rsidRPr="00BB5174" w:rsidRDefault="007D6441" w:rsidP="00040BEE">
            <w:pPr>
              <w:jc w:val="center"/>
              <w:rPr>
                <w:rFonts w:cs="Times New Roman"/>
                <w:szCs w:val="21"/>
              </w:rPr>
            </w:pPr>
            <w:r w:rsidRPr="00BB5174">
              <w:rPr>
                <w:rFonts w:cs="Times New Roman"/>
                <w:szCs w:val="21"/>
              </w:rPr>
              <w:t>亚硝酸盐</w:t>
            </w:r>
          </w:p>
        </w:tc>
        <w:tc>
          <w:tcPr>
            <w:tcW w:w="1139" w:type="pct"/>
            <w:vAlign w:val="center"/>
          </w:tcPr>
          <w:p w14:paraId="06FCBB98" w14:textId="77777777" w:rsidR="007D6441" w:rsidRPr="00BB5174" w:rsidRDefault="007D6441" w:rsidP="00040BEE">
            <w:pPr>
              <w:jc w:val="center"/>
              <w:rPr>
                <w:rFonts w:ascii="Calibri" w:hAnsi="Calibri"/>
                <w:szCs w:val="21"/>
              </w:rPr>
            </w:pPr>
            <w:r w:rsidRPr="00BB5174">
              <w:rPr>
                <w:rFonts w:ascii="Calibri" w:hAnsi="Calibri" w:hint="eastAsia"/>
                <w:szCs w:val="21"/>
              </w:rPr>
              <w:t>0.073</w:t>
            </w:r>
          </w:p>
        </w:tc>
        <w:tc>
          <w:tcPr>
            <w:tcW w:w="707" w:type="pct"/>
            <w:vAlign w:val="center"/>
          </w:tcPr>
          <w:p w14:paraId="28B57C0E"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5564E3A6" w14:textId="77777777" w:rsidR="007D6441" w:rsidRPr="00BB5174" w:rsidRDefault="007D6441" w:rsidP="00040BEE">
            <w:pPr>
              <w:jc w:val="center"/>
              <w:rPr>
                <w:rFonts w:ascii="Calibri" w:hAnsi="Calibri"/>
                <w:szCs w:val="21"/>
              </w:rPr>
            </w:pPr>
            <w:r w:rsidRPr="00BB5174">
              <w:rPr>
                <w:rFonts w:ascii="Calibri" w:hAnsi="Calibri" w:hint="eastAsia"/>
                <w:szCs w:val="21"/>
              </w:rPr>
              <w:t>0.073</w:t>
            </w:r>
          </w:p>
        </w:tc>
        <w:tc>
          <w:tcPr>
            <w:tcW w:w="643" w:type="pct"/>
            <w:vAlign w:val="center"/>
          </w:tcPr>
          <w:p w14:paraId="1A7E4AD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CD4A0B8" w14:textId="77777777" w:rsidTr="007D6441">
        <w:trPr>
          <w:trHeight w:val="340"/>
        </w:trPr>
        <w:tc>
          <w:tcPr>
            <w:tcW w:w="580" w:type="pct"/>
            <w:vMerge/>
            <w:vAlign w:val="center"/>
          </w:tcPr>
          <w:p w14:paraId="7124546B" w14:textId="77777777" w:rsidR="007D6441" w:rsidRPr="003F72B9" w:rsidRDefault="007D6441" w:rsidP="00040BEE">
            <w:pPr>
              <w:jc w:val="center"/>
              <w:rPr>
                <w:rFonts w:ascii="Calibri" w:hAnsi="Calibri"/>
                <w:color w:val="auto"/>
                <w:szCs w:val="21"/>
              </w:rPr>
            </w:pPr>
          </w:p>
        </w:tc>
        <w:tc>
          <w:tcPr>
            <w:tcW w:w="1130" w:type="pct"/>
            <w:vAlign w:val="center"/>
          </w:tcPr>
          <w:p w14:paraId="19C78EE0" w14:textId="77777777" w:rsidR="007D6441" w:rsidRPr="00BB5174" w:rsidRDefault="007D6441" w:rsidP="00040BEE">
            <w:pPr>
              <w:jc w:val="center"/>
              <w:rPr>
                <w:rFonts w:ascii="Calibri" w:hAnsi="Calibri"/>
                <w:szCs w:val="21"/>
              </w:rPr>
            </w:pPr>
            <w:r w:rsidRPr="00BB5174">
              <w:rPr>
                <w:rFonts w:ascii="Calibri" w:hAnsi="Calibri" w:hint="eastAsia"/>
                <w:szCs w:val="21"/>
              </w:rPr>
              <w:t>挥发性酚类</w:t>
            </w:r>
          </w:p>
        </w:tc>
        <w:tc>
          <w:tcPr>
            <w:tcW w:w="1139" w:type="pct"/>
            <w:vAlign w:val="center"/>
          </w:tcPr>
          <w:p w14:paraId="17C0E08C"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5D732509" w14:textId="77777777" w:rsidR="007D6441" w:rsidRPr="00BB5174" w:rsidRDefault="007D6441" w:rsidP="00040BEE">
            <w:pPr>
              <w:jc w:val="center"/>
              <w:rPr>
                <w:rFonts w:ascii="Calibri" w:hAnsi="Calibri"/>
                <w:szCs w:val="21"/>
              </w:rPr>
            </w:pPr>
            <w:r w:rsidRPr="00BB5174">
              <w:rPr>
                <w:rFonts w:ascii="Calibri" w:hAnsi="Calibri" w:hint="eastAsia"/>
                <w:szCs w:val="21"/>
              </w:rPr>
              <w:t>0.002</w:t>
            </w:r>
          </w:p>
        </w:tc>
        <w:tc>
          <w:tcPr>
            <w:tcW w:w="800" w:type="pct"/>
            <w:vAlign w:val="center"/>
          </w:tcPr>
          <w:p w14:paraId="2560C3BB"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C41A146" w14:textId="77777777" w:rsidR="007D6441" w:rsidRPr="003F72B9" w:rsidRDefault="007D6441" w:rsidP="00040BEE">
            <w:pPr>
              <w:adjustRightInd w:val="0"/>
              <w:snapToGrid w:val="0"/>
              <w:jc w:val="center"/>
              <w:rPr>
                <w:rFonts w:ascii="Calibri" w:hAnsi="Calibri"/>
                <w:color w:val="auto"/>
                <w:szCs w:val="21"/>
              </w:rPr>
            </w:pPr>
            <w:r w:rsidRPr="003F72B9">
              <w:rPr>
                <w:rFonts w:ascii="Calibri" w:hAnsi="宋体"/>
                <w:color w:val="auto"/>
                <w:szCs w:val="21"/>
              </w:rPr>
              <w:t>达标</w:t>
            </w:r>
          </w:p>
        </w:tc>
      </w:tr>
      <w:tr w:rsidR="007D6441" w:rsidRPr="003F72B9" w14:paraId="388C90DD" w14:textId="77777777" w:rsidTr="007D6441">
        <w:trPr>
          <w:trHeight w:val="340"/>
        </w:trPr>
        <w:tc>
          <w:tcPr>
            <w:tcW w:w="580" w:type="pct"/>
            <w:vMerge/>
            <w:vAlign w:val="center"/>
          </w:tcPr>
          <w:p w14:paraId="142685B8" w14:textId="77777777" w:rsidR="007D6441" w:rsidRPr="003F72B9" w:rsidRDefault="007D6441" w:rsidP="00040BEE">
            <w:pPr>
              <w:jc w:val="center"/>
              <w:rPr>
                <w:rFonts w:ascii="Calibri" w:hAnsi="Calibri"/>
                <w:color w:val="auto"/>
                <w:szCs w:val="21"/>
              </w:rPr>
            </w:pPr>
          </w:p>
        </w:tc>
        <w:tc>
          <w:tcPr>
            <w:tcW w:w="1130" w:type="pct"/>
            <w:vAlign w:val="center"/>
          </w:tcPr>
          <w:p w14:paraId="24E49346" w14:textId="77777777" w:rsidR="007D6441" w:rsidRPr="00BB5174" w:rsidRDefault="007D6441" w:rsidP="00040BEE">
            <w:pPr>
              <w:jc w:val="center"/>
              <w:rPr>
                <w:rFonts w:ascii="Calibri" w:hAnsi="Calibri"/>
                <w:szCs w:val="21"/>
              </w:rPr>
            </w:pPr>
            <w:r w:rsidRPr="00BB5174">
              <w:rPr>
                <w:rFonts w:ascii="Calibri" w:hAnsi="Calibri" w:hint="eastAsia"/>
                <w:szCs w:val="21"/>
              </w:rPr>
              <w:t>氰化物</w:t>
            </w:r>
          </w:p>
        </w:tc>
        <w:tc>
          <w:tcPr>
            <w:tcW w:w="1139" w:type="pct"/>
            <w:vAlign w:val="center"/>
          </w:tcPr>
          <w:p w14:paraId="6FF2BD71"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4E5A9029"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03595555"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152B4897" w14:textId="77777777" w:rsidR="007D6441" w:rsidRPr="003F72B9" w:rsidRDefault="007D6441" w:rsidP="00040BEE">
            <w:pPr>
              <w:adjustRightInd w:val="0"/>
              <w:snapToGrid w:val="0"/>
              <w:jc w:val="center"/>
              <w:rPr>
                <w:rFonts w:ascii="Calibri" w:hAnsi="Calibri"/>
                <w:color w:val="auto"/>
                <w:szCs w:val="21"/>
              </w:rPr>
            </w:pPr>
            <w:r w:rsidRPr="003F72B9">
              <w:rPr>
                <w:rFonts w:ascii="Calibri" w:hAnsi="宋体"/>
                <w:color w:val="auto"/>
                <w:szCs w:val="21"/>
              </w:rPr>
              <w:t>达标</w:t>
            </w:r>
          </w:p>
        </w:tc>
      </w:tr>
      <w:tr w:rsidR="007D6441" w:rsidRPr="003F72B9" w14:paraId="761BB061" w14:textId="77777777" w:rsidTr="007D6441">
        <w:trPr>
          <w:trHeight w:val="340"/>
        </w:trPr>
        <w:tc>
          <w:tcPr>
            <w:tcW w:w="580" w:type="pct"/>
            <w:vMerge/>
            <w:vAlign w:val="center"/>
          </w:tcPr>
          <w:p w14:paraId="039E371F" w14:textId="77777777" w:rsidR="007D6441" w:rsidRPr="003F72B9" w:rsidRDefault="007D6441" w:rsidP="00040BEE">
            <w:pPr>
              <w:jc w:val="center"/>
              <w:rPr>
                <w:rFonts w:ascii="Calibri" w:hAnsi="Calibri"/>
                <w:color w:val="auto"/>
                <w:szCs w:val="21"/>
              </w:rPr>
            </w:pPr>
          </w:p>
        </w:tc>
        <w:tc>
          <w:tcPr>
            <w:tcW w:w="1130" w:type="pct"/>
            <w:vAlign w:val="center"/>
          </w:tcPr>
          <w:p w14:paraId="67B542A7" w14:textId="77777777" w:rsidR="007D6441" w:rsidRPr="00BB5174" w:rsidRDefault="007D6441" w:rsidP="00040BEE">
            <w:pPr>
              <w:jc w:val="center"/>
              <w:rPr>
                <w:rFonts w:ascii="Calibri" w:hAnsi="Calibri"/>
                <w:szCs w:val="21"/>
              </w:rPr>
            </w:pPr>
            <w:r w:rsidRPr="00BB5174">
              <w:rPr>
                <w:rFonts w:ascii="Calibri" w:hAnsi="Calibri" w:hint="eastAsia"/>
                <w:szCs w:val="21"/>
              </w:rPr>
              <w:t>总硬度</w:t>
            </w:r>
          </w:p>
        </w:tc>
        <w:tc>
          <w:tcPr>
            <w:tcW w:w="1139" w:type="pct"/>
            <w:vAlign w:val="center"/>
          </w:tcPr>
          <w:p w14:paraId="2FCAE8D2" w14:textId="77777777" w:rsidR="007D6441" w:rsidRPr="00BB5174" w:rsidRDefault="007D6441" w:rsidP="00040BEE">
            <w:pPr>
              <w:jc w:val="center"/>
              <w:rPr>
                <w:rFonts w:ascii="Calibri" w:cs="Times New Roman"/>
                <w:szCs w:val="21"/>
              </w:rPr>
            </w:pPr>
            <w:r w:rsidRPr="00BB5174">
              <w:rPr>
                <w:rFonts w:ascii="Calibri" w:hAnsi="Calibri" w:hint="eastAsia"/>
                <w:szCs w:val="21"/>
              </w:rPr>
              <w:t>722</w:t>
            </w:r>
          </w:p>
        </w:tc>
        <w:tc>
          <w:tcPr>
            <w:tcW w:w="707" w:type="pct"/>
            <w:vAlign w:val="center"/>
          </w:tcPr>
          <w:p w14:paraId="16528633" w14:textId="77777777" w:rsidR="007D6441" w:rsidRPr="00BB5174" w:rsidRDefault="007D6441" w:rsidP="00040BEE">
            <w:pPr>
              <w:jc w:val="center"/>
              <w:rPr>
                <w:rFonts w:ascii="Calibri" w:hAnsi="Calibri"/>
                <w:szCs w:val="21"/>
              </w:rPr>
            </w:pPr>
            <w:r w:rsidRPr="00BB5174">
              <w:rPr>
                <w:rFonts w:ascii="Calibri" w:hAnsi="Calibri" w:hint="eastAsia"/>
                <w:szCs w:val="21"/>
              </w:rPr>
              <w:t>450</w:t>
            </w:r>
          </w:p>
        </w:tc>
        <w:tc>
          <w:tcPr>
            <w:tcW w:w="800" w:type="pct"/>
            <w:vAlign w:val="center"/>
          </w:tcPr>
          <w:p w14:paraId="76F3180F" w14:textId="77777777" w:rsidR="007D6441" w:rsidRPr="00BB5174" w:rsidRDefault="007D6441" w:rsidP="00040BEE">
            <w:pPr>
              <w:jc w:val="center"/>
              <w:rPr>
                <w:rFonts w:ascii="Calibri" w:hAnsi="Calibri"/>
                <w:szCs w:val="21"/>
              </w:rPr>
            </w:pPr>
            <w:r w:rsidRPr="00BB5174">
              <w:rPr>
                <w:rFonts w:ascii="Calibri" w:hAnsi="Calibri" w:hint="eastAsia"/>
                <w:szCs w:val="21"/>
              </w:rPr>
              <w:t>1.60</w:t>
            </w:r>
          </w:p>
        </w:tc>
        <w:tc>
          <w:tcPr>
            <w:tcW w:w="643" w:type="pct"/>
            <w:vAlign w:val="center"/>
          </w:tcPr>
          <w:p w14:paraId="66EEE6DE"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超标</w:t>
            </w:r>
          </w:p>
        </w:tc>
      </w:tr>
      <w:tr w:rsidR="007D6441" w:rsidRPr="003F72B9" w14:paraId="1631F65E" w14:textId="77777777" w:rsidTr="007D6441">
        <w:trPr>
          <w:trHeight w:val="340"/>
        </w:trPr>
        <w:tc>
          <w:tcPr>
            <w:tcW w:w="580" w:type="pct"/>
            <w:vMerge/>
            <w:vAlign w:val="center"/>
          </w:tcPr>
          <w:p w14:paraId="1F4A825C" w14:textId="77777777" w:rsidR="007D6441" w:rsidRPr="003F72B9" w:rsidRDefault="007D6441" w:rsidP="00040BEE">
            <w:pPr>
              <w:jc w:val="center"/>
              <w:rPr>
                <w:rFonts w:ascii="Calibri" w:hAnsi="Calibri"/>
                <w:color w:val="auto"/>
                <w:szCs w:val="21"/>
              </w:rPr>
            </w:pPr>
          </w:p>
        </w:tc>
        <w:tc>
          <w:tcPr>
            <w:tcW w:w="1130" w:type="pct"/>
            <w:vAlign w:val="center"/>
          </w:tcPr>
          <w:p w14:paraId="0877C67D" w14:textId="77777777" w:rsidR="007D6441" w:rsidRPr="00BB5174" w:rsidRDefault="007D6441" w:rsidP="00040BEE">
            <w:pPr>
              <w:jc w:val="center"/>
              <w:rPr>
                <w:rFonts w:ascii="Calibri" w:hAnsi="Calibri"/>
                <w:szCs w:val="21"/>
              </w:rPr>
            </w:pPr>
            <w:r w:rsidRPr="00BB5174">
              <w:rPr>
                <w:rFonts w:ascii="Calibri"/>
                <w:szCs w:val="21"/>
              </w:rPr>
              <w:t>溶解性总固体</w:t>
            </w:r>
          </w:p>
        </w:tc>
        <w:tc>
          <w:tcPr>
            <w:tcW w:w="1139" w:type="pct"/>
            <w:vAlign w:val="center"/>
          </w:tcPr>
          <w:p w14:paraId="76064C53" w14:textId="77777777" w:rsidR="007D6441" w:rsidRPr="00BB5174" w:rsidRDefault="007D6441" w:rsidP="00040BEE">
            <w:pPr>
              <w:jc w:val="center"/>
              <w:rPr>
                <w:rFonts w:ascii="Calibri" w:cs="Times New Roman"/>
                <w:szCs w:val="21"/>
              </w:rPr>
            </w:pPr>
            <w:r w:rsidRPr="00BB5174">
              <w:rPr>
                <w:rFonts w:ascii="Calibri" w:hAnsi="Calibri" w:hint="eastAsia"/>
                <w:szCs w:val="21"/>
              </w:rPr>
              <w:t>950</w:t>
            </w:r>
          </w:p>
        </w:tc>
        <w:tc>
          <w:tcPr>
            <w:tcW w:w="707" w:type="pct"/>
            <w:vAlign w:val="center"/>
          </w:tcPr>
          <w:p w14:paraId="6AAAFEB7" w14:textId="77777777" w:rsidR="007D6441" w:rsidRPr="00BB5174" w:rsidRDefault="007D6441" w:rsidP="00040BEE">
            <w:pPr>
              <w:jc w:val="center"/>
              <w:rPr>
                <w:rFonts w:ascii="Calibri" w:hAnsi="Calibri"/>
                <w:szCs w:val="21"/>
              </w:rPr>
            </w:pPr>
            <w:r w:rsidRPr="00BB5174">
              <w:rPr>
                <w:rFonts w:ascii="Calibri" w:hAnsi="Calibri" w:hint="eastAsia"/>
                <w:szCs w:val="21"/>
              </w:rPr>
              <w:t>1000</w:t>
            </w:r>
          </w:p>
        </w:tc>
        <w:tc>
          <w:tcPr>
            <w:tcW w:w="800" w:type="pct"/>
            <w:vAlign w:val="center"/>
          </w:tcPr>
          <w:p w14:paraId="3CFAA858" w14:textId="77777777" w:rsidR="007D6441" w:rsidRPr="00BB5174" w:rsidRDefault="007D6441" w:rsidP="00040BEE">
            <w:pPr>
              <w:jc w:val="center"/>
              <w:rPr>
                <w:rFonts w:ascii="Calibri" w:hAnsi="Calibri"/>
                <w:szCs w:val="21"/>
              </w:rPr>
            </w:pPr>
            <w:r w:rsidRPr="00BB5174">
              <w:rPr>
                <w:rFonts w:ascii="Calibri" w:hAnsi="Calibri" w:hint="eastAsia"/>
                <w:szCs w:val="21"/>
              </w:rPr>
              <w:t>0.95</w:t>
            </w:r>
          </w:p>
        </w:tc>
        <w:tc>
          <w:tcPr>
            <w:tcW w:w="643" w:type="pct"/>
            <w:vAlign w:val="center"/>
          </w:tcPr>
          <w:p w14:paraId="7719071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CFD02AD" w14:textId="77777777" w:rsidTr="007D6441">
        <w:trPr>
          <w:trHeight w:val="340"/>
        </w:trPr>
        <w:tc>
          <w:tcPr>
            <w:tcW w:w="580" w:type="pct"/>
            <w:vMerge/>
            <w:vAlign w:val="center"/>
          </w:tcPr>
          <w:p w14:paraId="15C5351D" w14:textId="77777777" w:rsidR="007D6441" w:rsidRPr="003F72B9" w:rsidRDefault="007D6441" w:rsidP="00040BEE">
            <w:pPr>
              <w:jc w:val="center"/>
              <w:rPr>
                <w:rFonts w:ascii="Calibri" w:hAnsi="Calibri"/>
                <w:color w:val="auto"/>
                <w:szCs w:val="21"/>
              </w:rPr>
            </w:pPr>
          </w:p>
        </w:tc>
        <w:tc>
          <w:tcPr>
            <w:tcW w:w="1130" w:type="pct"/>
            <w:vAlign w:val="center"/>
          </w:tcPr>
          <w:p w14:paraId="49935F85" w14:textId="77777777" w:rsidR="007D6441" w:rsidRPr="00BB5174" w:rsidRDefault="007D6441" w:rsidP="00040BEE">
            <w:pPr>
              <w:jc w:val="center"/>
              <w:rPr>
                <w:rFonts w:ascii="Calibri" w:hAnsi="Calibri"/>
                <w:szCs w:val="21"/>
              </w:rPr>
            </w:pPr>
            <w:r w:rsidRPr="00BB5174">
              <w:rPr>
                <w:rFonts w:ascii="Calibri" w:hint="eastAsia"/>
                <w:szCs w:val="21"/>
              </w:rPr>
              <w:t>耗氧量</w:t>
            </w:r>
          </w:p>
        </w:tc>
        <w:tc>
          <w:tcPr>
            <w:tcW w:w="1139" w:type="pct"/>
            <w:vAlign w:val="center"/>
          </w:tcPr>
          <w:p w14:paraId="35C43DD2" w14:textId="77777777" w:rsidR="007D6441" w:rsidRPr="00BB5174" w:rsidRDefault="007D6441" w:rsidP="00040BEE">
            <w:pPr>
              <w:jc w:val="center"/>
              <w:rPr>
                <w:rFonts w:ascii="Calibri" w:cs="Times New Roman"/>
                <w:szCs w:val="21"/>
              </w:rPr>
            </w:pPr>
            <w:r w:rsidRPr="00BB5174">
              <w:rPr>
                <w:rFonts w:ascii="Calibri" w:hAnsi="Calibri" w:hint="eastAsia"/>
                <w:szCs w:val="21"/>
              </w:rPr>
              <w:t>0.64</w:t>
            </w:r>
          </w:p>
        </w:tc>
        <w:tc>
          <w:tcPr>
            <w:tcW w:w="707" w:type="pct"/>
            <w:vAlign w:val="center"/>
          </w:tcPr>
          <w:p w14:paraId="44846639"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265276BE" w14:textId="77777777" w:rsidR="007D6441" w:rsidRPr="00BB5174" w:rsidRDefault="007D6441" w:rsidP="00040BEE">
            <w:pPr>
              <w:jc w:val="center"/>
              <w:rPr>
                <w:rFonts w:ascii="Calibri" w:hAnsi="Calibri"/>
                <w:szCs w:val="21"/>
              </w:rPr>
            </w:pPr>
            <w:r w:rsidRPr="00BB5174">
              <w:rPr>
                <w:rFonts w:ascii="Calibri" w:hAnsi="Calibri" w:hint="eastAsia"/>
                <w:szCs w:val="21"/>
              </w:rPr>
              <w:t>0.21</w:t>
            </w:r>
          </w:p>
        </w:tc>
        <w:tc>
          <w:tcPr>
            <w:tcW w:w="643" w:type="pct"/>
            <w:vAlign w:val="center"/>
          </w:tcPr>
          <w:p w14:paraId="44A22F4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17C1DA9" w14:textId="77777777" w:rsidTr="007D6441">
        <w:trPr>
          <w:trHeight w:val="340"/>
        </w:trPr>
        <w:tc>
          <w:tcPr>
            <w:tcW w:w="580" w:type="pct"/>
            <w:vMerge/>
            <w:vAlign w:val="center"/>
          </w:tcPr>
          <w:p w14:paraId="315C63B1" w14:textId="77777777" w:rsidR="007D6441" w:rsidRPr="003F72B9" w:rsidRDefault="007D6441" w:rsidP="00040BEE">
            <w:pPr>
              <w:jc w:val="center"/>
              <w:rPr>
                <w:rFonts w:ascii="Calibri" w:hAnsi="Calibri"/>
                <w:color w:val="auto"/>
                <w:szCs w:val="21"/>
              </w:rPr>
            </w:pPr>
          </w:p>
        </w:tc>
        <w:tc>
          <w:tcPr>
            <w:tcW w:w="1130" w:type="pct"/>
            <w:vAlign w:val="center"/>
          </w:tcPr>
          <w:p w14:paraId="406943A9" w14:textId="77777777" w:rsidR="007D6441" w:rsidRPr="00BB5174" w:rsidRDefault="007D6441" w:rsidP="00040BEE">
            <w:pPr>
              <w:jc w:val="center"/>
              <w:rPr>
                <w:rFonts w:ascii="Calibri" w:hAnsi="Calibri"/>
                <w:szCs w:val="21"/>
              </w:rPr>
            </w:pPr>
            <w:r w:rsidRPr="00BB5174">
              <w:rPr>
                <w:rFonts w:ascii="Calibri" w:hAnsi="Calibri" w:hint="eastAsia"/>
                <w:szCs w:val="21"/>
              </w:rPr>
              <w:t>氟化物</w:t>
            </w:r>
          </w:p>
        </w:tc>
        <w:tc>
          <w:tcPr>
            <w:tcW w:w="1139" w:type="pct"/>
            <w:vAlign w:val="center"/>
          </w:tcPr>
          <w:p w14:paraId="21557360" w14:textId="77777777" w:rsidR="007D6441" w:rsidRPr="00BB5174" w:rsidRDefault="007D6441" w:rsidP="00040BEE">
            <w:pPr>
              <w:jc w:val="center"/>
              <w:rPr>
                <w:rFonts w:ascii="Calibri" w:cs="Times New Roman"/>
                <w:szCs w:val="21"/>
              </w:rPr>
            </w:pPr>
            <w:r w:rsidRPr="00BB5174">
              <w:rPr>
                <w:rFonts w:ascii="Calibri" w:hAnsi="Calibri" w:hint="eastAsia"/>
                <w:szCs w:val="21"/>
              </w:rPr>
              <w:t>0.83</w:t>
            </w:r>
          </w:p>
        </w:tc>
        <w:tc>
          <w:tcPr>
            <w:tcW w:w="707" w:type="pct"/>
            <w:vAlign w:val="center"/>
          </w:tcPr>
          <w:p w14:paraId="66380091"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0D7A9A96" w14:textId="77777777" w:rsidR="007D6441" w:rsidRPr="00BB5174" w:rsidRDefault="007D6441" w:rsidP="00040BEE">
            <w:pPr>
              <w:jc w:val="center"/>
              <w:rPr>
                <w:rFonts w:ascii="Calibri" w:hAnsi="Calibri"/>
                <w:szCs w:val="21"/>
              </w:rPr>
            </w:pPr>
            <w:r w:rsidRPr="00BB5174">
              <w:rPr>
                <w:rFonts w:ascii="Calibri" w:cs="Times New Roman" w:hint="eastAsia"/>
                <w:szCs w:val="21"/>
              </w:rPr>
              <w:t>0.83</w:t>
            </w:r>
          </w:p>
        </w:tc>
        <w:tc>
          <w:tcPr>
            <w:tcW w:w="643" w:type="pct"/>
            <w:vAlign w:val="center"/>
          </w:tcPr>
          <w:p w14:paraId="3389332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4FADABD" w14:textId="77777777" w:rsidTr="007D6441">
        <w:trPr>
          <w:trHeight w:val="340"/>
        </w:trPr>
        <w:tc>
          <w:tcPr>
            <w:tcW w:w="580" w:type="pct"/>
            <w:vMerge/>
            <w:vAlign w:val="center"/>
          </w:tcPr>
          <w:p w14:paraId="018AA29B" w14:textId="77777777" w:rsidR="007D6441" w:rsidRPr="003F72B9" w:rsidRDefault="007D6441" w:rsidP="00040BEE">
            <w:pPr>
              <w:jc w:val="center"/>
              <w:rPr>
                <w:rFonts w:ascii="Calibri" w:hAnsi="Calibri"/>
                <w:color w:val="auto"/>
                <w:szCs w:val="21"/>
              </w:rPr>
            </w:pPr>
          </w:p>
        </w:tc>
        <w:tc>
          <w:tcPr>
            <w:tcW w:w="1130" w:type="pct"/>
            <w:vAlign w:val="center"/>
          </w:tcPr>
          <w:p w14:paraId="3E8CCF5A" w14:textId="77777777" w:rsidR="007D6441" w:rsidRPr="00BB5174" w:rsidRDefault="007D6441" w:rsidP="00040BEE">
            <w:pPr>
              <w:jc w:val="center"/>
              <w:rPr>
                <w:rFonts w:ascii="Calibri" w:hAnsi="Calibri"/>
                <w:szCs w:val="21"/>
              </w:rPr>
            </w:pPr>
            <w:r w:rsidRPr="00BB5174">
              <w:rPr>
                <w:rFonts w:ascii="Calibri" w:hAnsi="Calibri" w:hint="eastAsia"/>
                <w:szCs w:val="21"/>
              </w:rPr>
              <w:t>汞（</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3AFB8EA2" w14:textId="77777777" w:rsidR="007D6441" w:rsidRPr="00BB5174" w:rsidRDefault="007D6441" w:rsidP="00040BEE">
            <w:pPr>
              <w:jc w:val="center"/>
              <w:rPr>
                <w:rFonts w:ascii="Calibri" w:hAnsi="Calibri"/>
                <w:szCs w:val="21"/>
              </w:rPr>
            </w:pPr>
            <w:r w:rsidRPr="00BB5174">
              <w:rPr>
                <w:rFonts w:ascii="Calibri" w:hAnsi="Calibri" w:hint="eastAsia"/>
                <w:szCs w:val="21"/>
              </w:rPr>
              <w:t>0.06</w:t>
            </w:r>
          </w:p>
        </w:tc>
        <w:tc>
          <w:tcPr>
            <w:tcW w:w="707" w:type="pct"/>
            <w:vAlign w:val="center"/>
          </w:tcPr>
          <w:p w14:paraId="5F9BA11C" w14:textId="77777777" w:rsidR="007D6441" w:rsidRPr="00BB5174" w:rsidRDefault="007D6441" w:rsidP="00040BEE">
            <w:pPr>
              <w:jc w:val="center"/>
              <w:rPr>
                <w:rFonts w:ascii="Calibri" w:hAnsi="Calibri"/>
                <w:szCs w:val="21"/>
              </w:rPr>
            </w:pPr>
            <w:r w:rsidRPr="00BB5174">
              <w:rPr>
                <w:rFonts w:ascii="Calibri" w:hAnsi="Calibri" w:hint="eastAsia"/>
                <w:szCs w:val="21"/>
              </w:rPr>
              <w:t>1</w:t>
            </w:r>
          </w:p>
        </w:tc>
        <w:tc>
          <w:tcPr>
            <w:tcW w:w="800" w:type="pct"/>
            <w:vAlign w:val="center"/>
          </w:tcPr>
          <w:p w14:paraId="70809B37" w14:textId="77777777" w:rsidR="007D6441" w:rsidRPr="00BB5174" w:rsidRDefault="007D6441" w:rsidP="00040BEE">
            <w:pPr>
              <w:jc w:val="center"/>
              <w:rPr>
                <w:rFonts w:ascii="Calibri" w:hAnsi="Calibri"/>
                <w:szCs w:val="21"/>
              </w:rPr>
            </w:pPr>
            <w:r w:rsidRPr="00BB5174">
              <w:rPr>
                <w:rFonts w:ascii="Calibri" w:hAnsi="Calibri" w:hint="eastAsia"/>
                <w:szCs w:val="21"/>
              </w:rPr>
              <w:t>0.06</w:t>
            </w:r>
          </w:p>
        </w:tc>
        <w:tc>
          <w:tcPr>
            <w:tcW w:w="643" w:type="pct"/>
            <w:vAlign w:val="center"/>
          </w:tcPr>
          <w:p w14:paraId="10CF8A5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34EC797" w14:textId="77777777" w:rsidTr="007D6441">
        <w:trPr>
          <w:trHeight w:val="340"/>
        </w:trPr>
        <w:tc>
          <w:tcPr>
            <w:tcW w:w="580" w:type="pct"/>
            <w:vMerge/>
            <w:vAlign w:val="center"/>
          </w:tcPr>
          <w:p w14:paraId="26A641CE" w14:textId="77777777" w:rsidR="007D6441" w:rsidRPr="003F72B9" w:rsidRDefault="007D6441" w:rsidP="00040BEE">
            <w:pPr>
              <w:jc w:val="center"/>
              <w:rPr>
                <w:rFonts w:ascii="Calibri" w:hAnsi="Calibri"/>
                <w:color w:val="auto"/>
                <w:szCs w:val="21"/>
              </w:rPr>
            </w:pPr>
          </w:p>
        </w:tc>
        <w:tc>
          <w:tcPr>
            <w:tcW w:w="1130" w:type="pct"/>
            <w:vAlign w:val="center"/>
          </w:tcPr>
          <w:p w14:paraId="533737B4" w14:textId="77777777" w:rsidR="007D6441" w:rsidRPr="00BB5174" w:rsidRDefault="007D6441" w:rsidP="00040BEE">
            <w:pPr>
              <w:jc w:val="center"/>
              <w:rPr>
                <w:rFonts w:ascii="Calibri" w:hAnsi="Calibri"/>
                <w:szCs w:val="21"/>
              </w:rPr>
            </w:pPr>
            <w:r w:rsidRPr="00BB5174">
              <w:rPr>
                <w:rFonts w:ascii="Calibri" w:hAnsi="Calibri" w:hint="eastAsia"/>
                <w:szCs w:val="21"/>
              </w:rPr>
              <w:t>砷（</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0860D341" w14:textId="77777777" w:rsidR="007D6441" w:rsidRPr="00BB5174" w:rsidRDefault="007D6441" w:rsidP="00040BEE">
            <w:pPr>
              <w:jc w:val="center"/>
              <w:rPr>
                <w:rFonts w:ascii="Calibri" w:hAnsi="Calibri"/>
                <w:szCs w:val="21"/>
              </w:rPr>
            </w:pPr>
            <w:r w:rsidRPr="00BB5174">
              <w:rPr>
                <w:rFonts w:ascii="Calibri" w:hAnsi="Calibri" w:hint="eastAsia"/>
                <w:szCs w:val="21"/>
              </w:rPr>
              <w:t>2.8</w:t>
            </w:r>
          </w:p>
        </w:tc>
        <w:tc>
          <w:tcPr>
            <w:tcW w:w="707" w:type="pct"/>
            <w:vAlign w:val="center"/>
          </w:tcPr>
          <w:p w14:paraId="05951672"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438ABEDF" w14:textId="77777777" w:rsidR="007D6441" w:rsidRPr="00BB5174" w:rsidRDefault="007D6441" w:rsidP="00040BEE">
            <w:pPr>
              <w:jc w:val="center"/>
              <w:rPr>
                <w:rFonts w:ascii="Calibri" w:hAnsi="Calibri"/>
                <w:szCs w:val="21"/>
              </w:rPr>
            </w:pPr>
            <w:r w:rsidRPr="00BB5174">
              <w:rPr>
                <w:rFonts w:ascii="Calibri" w:hAnsi="Calibri" w:hint="eastAsia"/>
                <w:szCs w:val="21"/>
              </w:rPr>
              <w:t>0.28</w:t>
            </w:r>
          </w:p>
        </w:tc>
        <w:tc>
          <w:tcPr>
            <w:tcW w:w="643" w:type="pct"/>
            <w:vAlign w:val="center"/>
          </w:tcPr>
          <w:p w14:paraId="3CC9585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CE65B23" w14:textId="77777777" w:rsidTr="007D6441">
        <w:trPr>
          <w:trHeight w:val="340"/>
        </w:trPr>
        <w:tc>
          <w:tcPr>
            <w:tcW w:w="580" w:type="pct"/>
            <w:vMerge/>
            <w:vAlign w:val="center"/>
          </w:tcPr>
          <w:p w14:paraId="504BB85B" w14:textId="77777777" w:rsidR="007D6441" w:rsidRPr="003F72B9" w:rsidRDefault="007D6441" w:rsidP="00040BEE">
            <w:pPr>
              <w:jc w:val="center"/>
              <w:rPr>
                <w:rFonts w:ascii="Calibri" w:hAnsi="Calibri"/>
                <w:color w:val="auto"/>
                <w:szCs w:val="21"/>
              </w:rPr>
            </w:pPr>
          </w:p>
        </w:tc>
        <w:tc>
          <w:tcPr>
            <w:tcW w:w="1130" w:type="pct"/>
            <w:vAlign w:val="center"/>
          </w:tcPr>
          <w:p w14:paraId="03EC665C" w14:textId="77777777" w:rsidR="007D6441" w:rsidRPr="00BB5174" w:rsidRDefault="007D6441" w:rsidP="00040BEE">
            <w:pPr>
              <w:jc w:val="center"/>
              <w:rPr>
                <w:rFonts w:ascii="Calibri"/>
                <w:szCs w:val="21"/>
              </w:rPr>
            </w:pPr>
            <w:r w:rsidRPr="00BB5174">
              <w:rPr>
                <w:rFonts w:ascii="Calibri" w:hint="eastAsia"/>
                <w:szCs w:val="21"/>
              </w:rPr>
              <w:t>铅</w:t>
            </w:r>
            <w:r w:rsidRPr="00BB5174">
              <w:rPr>
                <w:rFonts w:ascii="Calibri" w:hAnsi="Calibri" w:hint="eastAsia"/>
                <w:szCs w:val="21"/>
              </w:rPr>
              <w:t>（</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1F1F8F19"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18C163FD"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4E259356"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12922D7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CAF39BA" w14:textId="77777777" w:rsidTr="007D6441">
        <w:trPr>
          <w:trHeight w:val="340"/>
        </w:trPr>
        <w:tc>
          <w:tcPr>
            <w:tcW w:w="580" w:type="pct"/>
            <w:vMerge/>
            <w:vAlign w:val="center"/>
          </w:tcPr>
          <w:p w14:paraId="7C4316B1" w14:textId="77777777" w:rsidR="007D6441" w:rsidRPr="003F72B9" w:rsidRDefault="007D6441" w:rsidP="00040BEE">
            <w:pPr>
              <w:jc w:val="center"/>
              <w:rPr>
                <w:rFonts w:ascii="Calibri" w:hAnsi="Calibri"/>
                <w:color w:val="auto"/>
                <w:szCs w:val="21"/>
              </w:rPr>
            </w:pPr>
          </w:p>
        </w:tc>
        <w:tc>
          <w:tcPr>
            <w:tcW w:w="1130" w:type="pct"/>
            <w:vAlign w:val="center"/>
          </w:tcPr>
          <w:p w14:paraId="34CA815B" w14:textId="77777777" w:rsidR="007D6441" w:rsidRPr="00BB5174" w:rsidRDefault="007D6441" w:rsidP="00040BEE">
            <w:pPr>
              <w:jc w:val="center"/>
              <w:rPr>
                <w:rFonts w:ascii="Calibri" w:hAnsi="Calibri"/>
                <w:szCs w:val="21"/>
              </w:rPr>
            </w:pPr>
            <w:r w:rsidRPr="00BB5174">
              <w:rPr>
                <w:rFonts w:ascii="Calibri" w:hAnsi="Calibri" w:hint="eastAsia"/>
                <w:szCs w:val="21"/>
              </w:rPr>
              <w:t>镉（</w:t>
            </w:r>
            <w:r w:rsidRPr="00BB5174">
              <w:rPr>
                <w:rFonts w:ascii="Calibri" w:hAnsi="Calibri"/>
                <w:szCs w:val="21"/>
              </w:rPr>
              <w:t>μ</w:t>
            </w:r>
            <w:r w:rsidRPr="00BB5174">
              <w:rPr>
                <w:rFonts w:ascii="Calibri" w:hAnsi="Calibri" w:hint="eastAsia"/>
                <w:szCs w:val="21"/>
              </w:rPr>
              <w:t>g/L</w:t>
            </w:r>
            <w:r w:rsidRPr="00BB5174">
              <w:rPr>
                <w:rFonts w:ascii="Calibri" w:hAnsi="Calibri" w:hint="eastAsia"/>
                <w:szCs w:val="21"/>
              </w:rPr>
              <w:t>）</w:t>
            </w:r>
          </w:p>
        </w:tc>
        <w:tc>
          <w:tcPr>
            <w:tcW w:w="1139" w:type="pct"/>
            <w:vAlign w:val="center"/>
          </w:tcPr>
          <w:p w14:paraId="57D1600A"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165E53A0" w14:textId="77777777" w:rsidR="007D6441" w:rsidRPr="00BB5174" w:rsidRDefault="007D6441" w:rsidP="00040BEE">
            <w:pPr>
              <w:jc w:val="center"/>
              <w:rPr>
                <w:rFonts w:ascii="Calibri" w:hAnsi="Calibri"/>
                <w:szCs w:val="21"/>
              </w:rPr>
            </w:pPr>
            <w:r w:rsidRPr="00BB5174">
              <w:rPr>
                <w:rFonts w:ascii="Calibri" w:hAnsi="Calibri" w:hint="eastAsia"/>
                <w:szCs w:val="21"/>
              </w:rPr>
              <w:t>5</w:t>
            </w:r>
          </w:p>
        </w:tc>
        <w:tc>
          <w:tcPr>
            <w:tcW w:w="800" w:type="pct"/>
            <w:vAlign w:val="center"/>
          </w:tcPr>
          <w:p w14:paraId="3BBADB7F"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A835DB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7F5797F" w14:textId="77777777" w:rsidTr="007D6441">
        <w:trPr>
          <w:trHeight w:val="340"/>
        </w:trPr>
        <w:tc>
          <w:tcPr>
            <w:tcW w:w="580" w:type="pct"/>
            <w:vMerge/>
            <w:vAlign w:val="center"/>
          </w:tcPr>
          <w:p w14:paraId="19468544" w14:textId="77777777" w:rsidR="007D6441" w:rsidRPr="003F72B9" w:rsidRDefault="007D6441" w:rsidP="00040BEE">
            <w:pPr>
              <w:jc w:val="center"/>
              <w:rPr>
                <w:rFonts w:ascii="Calibri" w:hAnsi="Calibri"/>
                <w:color w:val="auto"/>
                <w:szCs w:val="21"/>
              </w:rPr>
            </w:pPr>
          </w:p>
        </w:tc>
        <w:tc>
          <w:tcPr>
            <w:tcW w:w="1130" w:type="pct"/>
            <w:vAlign w:val="center"/>
          </w:tcPr>
          <w:p w14:paraId="41733C5F" w14:textId="77777777" w:rsidR="007D6441" w:rsidRPr="00BB5174" w:rsidRDefault="007D6441" w:rsidP="00040BEE">
            <w:pPr>
              <w:jc w:val="center"/>
              <w:rPr>
                <w:rFonts w:ascii="Calibri" w:hAnsi="Calibri"/>
                <w:szCs w:val="21"/>
              </w:rPr>
            </w:pPr>
            <w:r w:rsidRPr="00BB5174">
              <w:rPr>
                <w:rFonts w:ascii="Calibri" w:hAnsi="Calibri" w:hint="eastAsia"/>
                <w:szCs w:val="21"/>
              </w:rPr>
              <w:t>铁</w:t>
            </w:r>
          </w:p>
        </w:tc>
        <w:tc>
          <w:tcPr>
            <w:tcW w:w="1139" w:type="pct"/>
            <w:vAlign w:val="center"/>
          </w:tcPr>
          <w:p w14:paraId="7CDFEAF7"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3545F97F" w14:textId="77777777" w:rsidR="007D6441" w:rsidRPr="00BB5174" w:rsidRDefault="007D6441" w:rsidP="00040BEE">
            <w:pPr>
              <w:jc w:val="center"/>
              <w:rPr>
                <w:rFonts w:ascii="Calibri" w:hAnsi="Calibri"/>
                <w:szCs w:val="21"/>
              </w:rPr>
            </w:pPr>
            <w:r w:rsidRPr="00BB5174">
              <w:rPr>
                <w:rFonts w:ascii="Calibri" w:hAnsi="Calibri" w:hint="eastAsia"/>
                <w:szCs w:val="21"/>
              </w:rPr>
              <w:t>0.3</w:t>
            </w:r>
          </w:p>
        </w:tc>
        <w:tc>
          <w:tcPr>
            <w:tcW w:w="800" w:type="pct"/>
            <w:vAlign w:val="center"/>
          </w:tcPr>
          <w:p w14:paraId="5881490A"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72DBDE8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8F0AF62" w14:textId="77777777" w:rsidTr="007D6441">
        <w:trPr>
          <w:trHeight w:val="340"/>
        </w:trPr>
        <w:tc>
          <w:tcPr>
            <w:tcW w:w="580" w:type="pct"/>
            <w:vMerge/>
            <w:vAlign w:val="center"/>
          </w:tcPr>
          <w:p w14:paraId="1F42F8D8" w14:textId="77777777" w:rsidR="007D6441" w:rsidRPr="003F72B9" w:rsidRDefault="007D6441" w:rsidP="00040BEE">
            <w:pPr>
              <w:jc w:val="center"/>
              <w:rPr>
                <w:rFonts w:ascii="Calibri" w:hAnsi="Calibri"/>
                <w:color w:val="auto"/>
                <w:szCs w:val="21"/>
              </w:rPr>
            </w:pPr>
          </w:p>
        </w:tc>
        <w:tc>
          <w:tcPr>
            <w:tcW w:w="1130" w:type="pct"/>
            <w:vAlign w:val="center"/>
          </w:tcPr>
          <w:p w14:paraId="67514C1C" w14:textId="77777777" w:rsidR="007D6441" w:rsidRPr="00BB5174" w:rsidRDefault="007D6441" w:rsidP="00040BEE">
            <w:pPr>
              <w:jc w:val="center"/>
              <w:rPr>
                <w:rFonts w:cs="Times New Roman"/>
                <w:szCs w:val="21"/>
              </w:rPr>
            </w:pPr>
            <w:r w:rsidRPr="00BB5174">
              <w:rPr>
                <w:rFonts w:cs="Times New Roman" w:hint="eastAsia"/>
                <w:szCs w:val="21"/>
              </w:rPr>
              <w:t>锰</w:t>
            </w:r>
          </w:p>
        </w:tc>
        <w:tc>
          <w:tcPr>
            <w:tcW w:w="1139" w:type="pct"/>
            <w:vAlign w:val="center"/>
          </w:tcPr>
          <w:p w14:paraId="34E1BF9D" w14:textId="77777777" w:rsidR="007D6441" w:rsidRPr="00BB5174" w:rsidRDefault="007D6441" w:rsidP="00040BEE">
            <w:pPr>
              <w:jc w:val="center"/>
              <w:rPr>
                <w:rFonts w:ascii="Calibri" w:cs="Times New Roman"/>
                <w:szCs w:val="21"/>
              </w:rPr>
            </w:pPr>
            <w:r w:rsidRPr="00BB5174">
              <w:rPr>
                <w:rFonts w:ascii="Calibri" w:hAnsi="Calibri" w:hint="eastAsia"/>
                <w:szCs w:val="21"/>
              </w:rPr>
              <w:t>未检出</w:t>
            </w:r>
          </w:p>
        </w:tc>
        <w:tc>
          <w:tcPr>
            <w:tcW w:w="707" w:type="pct"/>
            <w:vAlign w:val="center"/>
          </w:tcPr>
          <w:p w14:paraId="5380C406" w14:textId="77777777" w:rsidR="007D6441" w:rsidRPr="00BB5174" w:rsidRDefault="007D6441" w:rsidP="00040BEE">
            <w:pPr>
              <w:jc w:val="center"/>
              <w:rPr>
                <w:rFonts w:ascii="Calibri" w:hAnsi="Calibri"/>
                <w:szCs w:val="21"/>
              </w:rPr>
            </w:pPr>
            <w:r w:rsidRPr="00BB5174">
              <w:rPr>
                <w:rFonts w:ascii="Calibri" w:hAnsi="Calibri" w:hint="eastAsia"/>
                <w:szCs w:val="21"/>
              </w:rPr>
              <w:t>0.10</w:t>
            </w:r>
          </w:p>
        </w:tc>
        <w:tc>
          <w:tcPr>
            <w:tcW w:w="800" w:type="pct"/>
            <w:vAlign w:val="center"/>
          </w:tcPr>
          <w:p w14:paraId="0DECF9CB"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57378B8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1C7F3BA" w14:textId="77777777" w:rsidTr="007D6441">
        <w:trPr>
          <w:trHeight w:val="340"/>
        </w:trPr>
        <w:tc>
          <w:tcPr>
            <w:tcW w:w="580" w:type="pct"/>
            <w:vMerge/>
            <w:vAlign w:val="center"/>
          </w:tcPr>
          <w:p w14:paraId="14850750" w14:textId="77777777" w:rsidR="007D6441" w:rsidRPr="003F72B9" w:rsidRDefault="007D6441" w:rsidP="00040BEE">
            <w:pPr>
              <w:jc w:val="center"/>
              <w:rPr>
                <w:rFonts w:ascii="Calibri" w:hAnsi="Calibri"/>
                <w:color w:val="auto"/>
                <w:szCs w:val="21"/>
              </w:rPr>
            </w:pPr>
          </w:p>
        </w:tc>
        <w:tc>
          <w:tcPr>
            <w:tcW w:w="1130" w:type="pct"/>
            <w:vAlign w:val="center"/>
          </w:tcPr>
          <w:p w14:paraId="4E765131" w14:textId="77777777" w:rsidR="007D6441" w:rsidRPr="00BB5174" w:rsidRDefault="007D6441" w:rsidP="00040BEE">
            <w:pPr>
              <w:jc w:val="center"/>
              <w:rPr>
                <w:rFonts w:ascii="Calibri" w:hAnsi="Calibri"/>
                <w:szCs w:val="21"/>
              </w:rPr>
            </w:pPr>
            <w:r w:rsidRPr="00BB5174">
              <w:rPr>
                <w:rFonts w:ascii="Calibri" w:hAnsi="Calibri" w:hint="eastAsia"/>
                <w:szCs w:val="21"/>
              </w:rPr>
              <w:t>铬（六价）</w:t>
            </w:r>
          </w:p>
        </w:tc>
        <w:tc>
          <w:tcPr>
            <w:tcW w:w="1139" w:type="pct"/>
            <w:vAlign w:val="center"/>
          </w:tcPr>
          <w:p w14:paraId="2C15A96E" w14:textId="77777777" w:rsidR="007D6441" w:rsidRPr="00BB5174" w:rsidRDefault="007D6441" w:rsidP="00040BEE">
            <w:pPr>
              <w:jc w:val="center"/>
              <w:rPr>
                <w:rFonts w:ascii="Calibri" w:hAnsi="Calibri"/>
                <w:szCs w:val="21"/>
              </w:rPr>
            </w:pPr>
            <w:r w:rsidRPr="00BB5174">
              <w:rPr>
                <w:rFonts w:ascii="Calibri" w:hAnsi="Calibri" w:hint="eastAsia"/>
                <w:szCs w:val="21"/>
              </w:rPr>
              <w:t>未检出</w:t>
            </w:r>
          </w:p>
        </w:tc>
        <w:tc>
          <w:tcPr>
            <w:tcW w:w="707" w:type="pct"/>
            <w:vAlign w:val="center"/>
          </w:tcPr>
          <w:p w14:paraId="5611B8A0"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00E4BFE6"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62A2920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1874287" w14:textId="77777777" w:rsidTr="007D6441">
        <w:trPr>
          <w:trHeight w:val="340"/>
        </w:trPr>
        <w:tc>
          <w:tcPr>
            <w:tcW w:w="580" w:type="pct"/>
            <w:vMerge/>
            <w:vAlign w:val="center"/>
          </w:tcPr>
          <w:p w14:paraId="3EDDF0D3" w14:textId="77777777" w:rsidR="007D6441" w:rsidRPr="003F72B9" w:rsidRDefault="007D6441" w:rsidP="00040BEE">
            <w:pPr>
              <w:jc w:val="center"/>
              <w:rPr>
                <w:rFonts w:ascii="Calibri" w:hAnsi="Calibri"/>
                <w:color w:val="auto"/>
                <w:szCs w:val="21"/>
              </w:rPr>
            </w:pPr>
          </w:p>
        </w:tc>
        <w:tc>
          <w:tcPr>
            <w:tcW w:w="1130" w:type="pct"/>
            <w:vAlign w:val="center"/>
          </w:tcPr>
          <w:p w14:paraId="636CA8B7" w14:textId="77777777" w:rsidR="007D6441" w:rsidRPr="00BB5174" w:rsidRDefault="007D6441" w:rsidP="00040BEE">
            <w:pPr>
              <w:jc w:val="center"/>
              <w:rPr>
                <w:rFonts w:ascii="Calibri" w:hAnsi="Calibri" w:cs="Times New Roman"/>
                <w:szCs w:val="21"/>
              </w:rPr>
            </w:pPr>
            <w:r w:rsidRPr="00BB5174">
              <w:rPr>
                <w:rFonts w:ascii="Calibri" w:cs="Times New Roman"/>
                <w:szCs w:val="21"/>
              </w:rPr>
              <w:t>硫酸盐</w:t>
            </w:r>
          </w:p>
        </w:tc>
        <w:tc>
          <w:tcPr>
            <w:tcW w:w="1139" w:type="pct"/>
            <w:vAlign w:val="center"/>
          </w:tcPr>
          <w:p w14:paraId="5A915B0E" w14:textId="77777777" w:rsidR="007D6441" w:rsidRPr="00BB5174" w:rsidRDefault="007D6441" w:rsidP="00040BEE">
            <w:pPr>
              <w:jc w:val="center"/>
              <w:rPr>
                <w:rFonts w:ascii="Calibri" w:cs="Times New Roman"/>
                <w:szCs w:val="21"/>
              </w:rPr>
            </w:pPr>
            <w:r w:rsidRPr="00BB5174">
              <w:rPr>
                <w:rFonts w:ascii="Calibri" w:cs="Times New Roman" w:hint="eastAsia"/>
                <w:szCs w:val="21"/>
              </w:rPr>
              <w:t>215</w:t>
            </w:r>
          </w:p>
        </w:tc>
        <w:tc>
          <w:tcPr>
            <w:tcW w:w="707" w:type="pct"/>
            <w:vAlign w:val="center"/>
          </w:tcPr>
          <w:p w14:paraId="155F1B7A"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7CADE6AA" w14:textId="77777777" w:rsidR="007D6441" w:rsidRPr="00BB5174" w:rsidRDefault="007D6441" w:rsidP="00040BEE">
            <w:pPr>
              <w:jc w:val="center"/>
              <w:rPr>
                <w:rFonts w:ascii="Calibri" w:hAnsi="Calibri"/>
                <w:szCs w:val="21"/>
              </w:rPr>
            </w:pPr>
            <w:r w:rsidRPr="00BB5174">
              <w:rPr>
                <w:rFonts w:ascii="Calibri" w:hAnsi="Calibri" w:hint="eastAsia"/>
                <w:szCs w:val="21"/>
              </w:rPr>
              <w:t>0.86</w:t>
            </w:r>
          </w:p>
        </w:tc>
        <w:tc>
          <w:tcPr>
            <w:tcW w:w="643" w:type="pct"/>
            <w:vAlign w:val="center"/>
          </w:tcPr>
          <w:p w14:paraId="367715A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CABF50F" w14:textId="77777777" w:rsidTr="007D6441">
        <w:trPr>
          <w:trHeight w:val="340"/>
        </w:trPr>
        <w:tc>
          <w:tcPr>
            <w:tcW w:w="580" w:type="pct"/>
            <w:vMerge/>
            <w:vAlign w:val="center"/>
          </w:tcPr>
          <w:p w14:paraId="0D0FDCC2" w14:textId="77777777" w:rsidR="007D6441" w:rsidRPr="003F72B9" w:rsidRDefault="007D6441" w:rsidP="00040BEE">
            <w:pPr>
              <w:jc w:val="center"/>
              <w:rPr>
                <w:rFonts w:ascii="Calibri" w:hAnsi="Calibri"/>
                <w:color w:val="auto"/>
                <w:szCs w:val="21"/>
              </w:rPr>
            </w:pPr>
          </w:p>
        </w:tc>
        <w:tc>
          <w:tcPr>
            <w:tcW w:w="1130" w:type="pct"/>
            <w:vAlign w:val="center"/>
          </w:tcPr>
          <w:p w14:paraId="3494BC4B" w14:textId="77777777" w:rsidR="007D6441" w:rsidRPr="00BB5174" w:rsidRDefault="007D6441" w:rsidP="00040BEE">
            <w:pPr>
              <w:jc w:val="center"/>
              <w:rPr>
                <w:rFonts w:ascii="Calibri" w:hAnsi="Calibri" w:cs="Times New Roman"/>
                <w:szCs w:val="21"/>
              </w:rPr>
            </w:pPr>
            <w:r w:rsidRPr="00BB5174">
              <w:rPr>
                <w:rFonts w:ascii="Calibri" w:cs="Times New Roman"/>
                <w:szCs w:val="21"/>
              </w:rPr>
              <w:t>氯化物</w:t>
            </w:r>
          </w:p>
        </w:tc>
        <w:tc>
          <w:tcPr>
            <w:tcW w:w="1139" w:type="pct"/>
            <w:vAlign w:val="center"/>
          </w:tcPr>
          <w:p w14:paraId="49085D77" w14:textId="77777777" w:rsidR="007D6441" w:rsidRPr="00BB5174" w:rsidRDefault="007D6441" w:rsidP="00040BEE">
            <w:pPr>
              <w:jc w:val="center"/>
              <w:rPr>
                <w:rFonts w:ascii="Calibri" w:cs="Times New Roman"/>
                <w:szCs w:val="21"/>
              </w:rPr>
            </w:pPr>
            <w:r w:rsidRPr="00BB5174">
              <w:rPr>
                <w:rFonts w:ascii="Calibri" w:hAnsi="Calibri" w:hint="eastAsia"/>
                <w:szCs w:val="21"/>
              </w:rPr>
              <w:t>185</w:t>
            </w:r>
          </w:p>
        </w:tc>
        <w:tc>
          <w:tcPr>
            <w:tcW w:w="707" w:type="pct"/>
            <w:vAlign w:val="center"/>
          </w:tcPr>
          <w:p w14:paraId="60F67E5D"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6B5A9158" w14:textId="77777777" w:rsidR="007D6441" w:rsidRPr="00BB5174" w:rsidRDefault="007D6441" w:rsidP="00040BEE">
            <w:pPr>
              <w:jc w:val="center"/>
              <w:rPr>
                <w:rFonts w:ascii="Calibri" w:hAnsi="Calibri"/>
                <w:szCs w:val="21"/>
              </w:rPr>
            </w:pPr>
            <w:r w:rsidRPr="00BB5174">
              <w:rPr>
                <w:rFonts w:ascii="Calibri" w:hAnsi="Calibri" w:hint="eastAsia"/>
                <w:szCs w:val="21"/>
              </w:rPr>
              <w:t>0.75</w:t>
            </w:r>
          </w:p>
        </w:tc>
        <w:tc>
          <w:tcPr>
            <w:tcW w:w="643" w:type="pct"/>
            <w:vAlign w:val="center"/>
          </w:tcPr>
          <w:p w14:paraId="0C86DBD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CEAE1CE" w14:textId="77777777" w:rsidTr="007D6441">
        <w:trPr>
          <w:trHeight w:val="340"/>
        </w:trPr>
        <w:tc>
          <w:tcPr>
            <w:tcW w:w="580" w:type="pct"/>
            <w:vMerge/>
            <w:vAlign w:val="center"/>
          </w:tcPr>
          <w:p w14:paraId="5BE51E42" w14:textId="77777777" w:rsidR="007D6441" w:rsidRPr="003F72B9" w:rsidRDefault="007D6441" w:rsidP="00040BEE">
            <w:pPr>
              <w:jc w:val="center"/>
              <w:rPr>
                <w:rFonts w:ascii="Calibri" w:hAnsi="Calibri"/>
                <w:color w:val="auto"/>
                <w:szCs w:val="21"/>
              </w:rPr>
            </w:pPr>
          </w:p>
        </w:tc>
        <w:tc>
          <w:tcPr>
            <w:tcW w:w="1130" w:type="pct"/>
            <w:vAlign w:val="center"/>
          </w:tcPr>
          <w:p w14:paraId="7FC6B3B2" w14:textId="77777777" w:rsidR="007D6441" w:rsidRPr="00BB5174" w:rsidRDefault="007D6441" w:rsidP="00040BEE">
            <w:pPr>
              <w:jc w:val="center"/>
              <w:rPr>
                <w:rFonts w:ascii="Calibri" w:hAnsi="Calibri" w:cs="Times New Roman"/>
                <w:szCs w:val="21"/>
              </w:rPr>
            </w:pPr>
            <w:r w:rsidRPr="00BB5174">
              <w:rPr>
                <w:rFonts w:ascii="Calibri" w:cs="Times New Roman"/>
                <w:szCs w:val="21"/>
              </w:rPr>
              <w:t>总大肠菌群</w:t>
            </w:r>
            <w:r w:rsidRPr="00BB5174">
              <w:rPr>
                <w:rFonts w:ascii="Calibri" w:cs="Times New Roman" w:hint="eastAsia"/>
                <w:szCs w:val="21"/>
              </w:rPr>
              <w:t>（</w:t>
            </w:r>
            <w:r w:rsidRPr="00BB5174">
              <w:rPr>
                <w:rFonts w:ascii="Calibri" w:cs="Times New Roman"/>
                <w:szCs w:val="21"/>
              </w:rPr>
              <w:t>MPN/100mL</w:t>
            </w:r>
            <w:r w:rsidRPr="00BB5174">
              <w:rPr>
                <w:rFonts w:ascii="Calibri" w:cs="Times New Roman" w:hint="eastAsia"/>
                <w:szCs w:val="21"/>
              </w:rPr>
              <w:t>）</w:t>
            </w:r>
          </w:p>
        </w:tc>
        <w:tc>
          <w:tcPr>
            <w:tcW w:w="1139" w:type="pct"/>
            <w:vAlign w:val="center"/>
          </w:tcPr>
          <w:p w14:paraId="04E8BF2F" w14:textId="77777777" w:rsidR="007D6441" w:rsidRPr="00BB5174" w:rsidRDefault="007D6441" w:rsidP="00040BEE">
            <w:pPr>
              <w:jc w:val="center"/>
              <w:rPr>
                <w:rFonts w:ascii="Calibri" w:cs="Times New Roman"/>
                <w:szCs w:val="21"/>
              </w:rPr>
            </w:pPr>
            <w:r w:rsidRPr="00BB5174">
              <w:rPr>
                <w:rFonts w:ascii="Calibri" w:cs="Times New Roman" w:hint="eastAsia"/>
                <w:szCs w:val="21"/>
              </w:rPr>
              <w:t>12</w:t>
            </w:r>
            <w:r w:rsidRPr="00BB5174">
              <w:rPr>
                <w:rFonts w:ascii="Calibri" w:cs="Times New Roman"/>
                <w:szCs w:val="21"/>
              </w:rPr>
              <w:t>MPN/L</w:t>
            </w:r>
            <w:r w:rsidRPr="00BB5174">
              <w:rPr>
                <w:rFonts w:ascii="Calibri" w:cs="Times New Roman" w:hint="eastAsia"/>
                <w:szCs w:val="21"/>
              </w:rPr>
              <w:t>（</w:t>
            </w:r>
            <w:r w:rsidRPr="00BB5174">
              <w:rPr>
                <w:rFonts w:ascii="Calibri" w:cs="Times New Roman" w:hint="eastAsia"/>
                <w:szCs w:val="21"/>
              </w:rPr>
              <w:t>1.2</w:t>
            </w:r>
            <w:r w:rsidRPr="00BB5174">
              <w:rPr>
                <w:rFonts w:ascii="Calibri" w:cs="Times New Roman"/>
                <w:szCs w:val="21"/>
              </w:rPr>
              <w:t>MPN/100mL</w:t>
            </w:r>
            <w:r w:rsidRPr="00BB5174">
              <w:rPr>
                <w:rFonts w:ascii="Calibri" w:cs="Times New Roman" w:hint="eastAsia"/>
                <w:szCs w:val="21"/>
              </w:rPr>
              <w:t>）</w:t>
            </w:r>
          </w:p>
        </w:tc>
        <w:tc>
          <w:tcPr>
            <w:tcW w:w="707" w:type="pct"/>
            <w:vAlign w:val="center"/>
          </w:tcPr>
          <w:p w14:paraId="6FFB29F0"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1184E16A" w14:textId="77777777" w:rsidR="007D6441" w:rsidRPr="00BB5174" w:rsidRDefault="007D6441" w:rsidP="00040BEE">
            <w:pPr>
              <w:jc w:val="center"/>
              <w:rPr>
                <w:rFonts w:ascii="Calibri" w:hAnsi="Calibri"/>
                <w:szCs w:val="21"/>
              </w:rPr>
            </w:pPr>
            <w:r w:rsidRPr="00BB5174">
              <w:rPr>
                <w:rFonts w:ascii="Calibri" w:hAnsi="Calibri" w:hint="eastAsia"/>
                <w:szCs w:val="21"/>
              </w:rPr>
              <w:t>0.40</w:t>
            </w:r>
          </w:p>
        </w:tc>
        <w:tc>
          <w:tcPr>
            <w:tcW w:w="643" w:type="pct"/>
            <w:vAlign w:val="center"/>
          </w:tcPr>
          <w:p w14:paraId="31C8517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1CBE3DD" w14:textId="77777777" w:rsidTr="007D6441">
        <w:trPr>
          <w:trHeight w:val="340"/>
        </w:trPr>
        <w:tc>
          <w:tcPr>
            <w:tcW w:w="580" w:type="pct"/>
            <w:vMerge/>
            <w:vAlign w:val="center"/>
          </w:tcPr>
          <w:p w14:paraId="09E57AEC" w14:textId="77777777" w:rsidR="007D6441" w:rsidRPr="003F72B9" w:rsidRDefault="007D6441" w:rsidP="00040BEE">
            <w:pPr>
              <w:jc w:val="center"/>
              <w:rPr>
                <w:rFonts w:ascii="Calibri" w:hAnsi="Calibri"/>
                <w:color w:val="auto"/>
                <w:szCs w:val="21"/>
              </w:rPr>
            </w:pPr>
          </w:p>
        </w:tc>
        <w:tc>
          <w:tcPr>
            <w:tcW w:w="1130" w:type="pct"/>
            <w:vAlign w:val="center"/>
          </w:tcPr>
          <w:p w14:paraId="43A9768B" w14:textId="77777777" w:rsidR="007D6441" w:rsidRPr="00BB5174" w:rsidRDefault="007D6441" w:rsidP="00040BEE">
            <w:pPr>
              <w:jc w:val="center"/>
              <w:rPr>
                <w:rFonts w:ascii="Calibri" w:hAnsi="Calibri" w:cs="Times New Roman"/>
                <w:szCs w:val="21"/>
              </w:rPr>
            </w:pPr>
            <w:r w:rsidRPr="00BB5174">
              <w:rPr>
                <w:rFonts w:ascii="Calibri" w:cs="Times New Roman"/>
                <w:szCs w:val="21"/>
              </w:rPr>
              <w:t>细菌总数</w:t>
            </w:r>
            <w:r w:rsidRPr="00BB5174">
              <w:rPr>
                <w:rFonts w:ascii="Calibri" w:cs="Times New Roman" w:hint="eastAsia"/>
                <w:szCs w:val="21"/>
              </w:rPr>
              <w:t>（</w:t>
            </w:r>
            <w:r w:rsidRPr="00BB5174">
              <w:rPr>
                <w:rFonts w:ascii="Calibri" w:cs="Times New Roman"/>
                <w:szCs w:val="21"/>
              </w:rPr>
              <w:t>CFU/mL</w:t>
            </w:r>
            <w:r w:rsidRPr="00BB5174">
              <w:rPr>
                <w:rFonts w:ascii="Calibri" w:cs="Times New Roman" w:hint="eastAsia"/>
                <w:szCs w:val="21"/>
              </w:rPr>
              <w:t>）</w:t>
            </w:r>
          </w:p>
        </w:tc>
        <w:tc>
          <w:tcPr>
            <w:tcW w:w="1139" w:type="pct"/>
            <w:vAlign w:val="center"/>
          </w:tcPr>
          <w:p w14:paraId="57357EEC" w14:textId="77777777" w:rsidR="007D6441" w:rsidRPr="00BB5174" w:rsidRDefault="007D6441" w:rsidP="00040BEE">
            <w:pPr>
              <w:jc w:val="center"/>
              <w:rPr>
                <w:rFonts w:ascii="Calibri" w:cs="Times New Roman"/>
                <w:szCs w:val="21"/>
              </w:rPr>
            </w:pPr>
            <w:r w:rsidRPr="00BB5174">
              <w:rPr>
                <w:rFonts w:ascii="Calibri" w:cs="Times New Roman" w:hint="eastAsia"/>
                <w:szCs w:val="21"/>
              </w:rPr>
              <w:t>60</w:t>
            </w:r>
          </w:p>
        </w:tc>
        <w:tc>
          <w:tcPr>
            <w:tcW w:w="707" w:type="pct"/>
            <w:vAlign w:val="center"/>
          </w:tcPr>
          <w:p w14:paraId="3A530810"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1E692FF9" w14:textId="77777777" w:rsidR="007D6441" w:rsidRPr="00BB5174" w:rsidRDefault="007D6441" w:rsidP="00040BEE">
            <w:pPr>
              <w:jc w:val="center"/>
              <w:rPr>
                <w:rFonts w:ascii="Calibri" w:hAnsi="Calibri"/>
                <w:szCs w:val="21"/>
              </w:rPr>
            </w:pPr>
            <w:r w:rsidRPr="00BB5174">
              <w:rPr>
                <w:rFonts w:ascii="Calibri" w:hAnsi="Calibri" w:hint="eastAsia"/>
                <w:szCs w:val="21"/>
              </w:rPr>
              <w:t>0.69</w:t>
            </w:r>
          </w:p>
        </w:tc>
        <w:tc>
          <w:tcPr>
            <w:tcW w:w="643" w:type="pct"/>
            <w:vAlign w:val="center"/>
          </w:tcPr>
          <w:p w14:paraId="446214F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D576C52" w14:textId="77777777" w:rsidTr="007D6441">
        <w:trPr>
          <w:trHeight w:val="340"/>
        </w:trPr>
        <w:tc>
          <w:tcPr>
            <w:tcW w:w="580" w:type="pct"/>
            <w:vMerge/>
            <w:vAlign w:val="center"/>
          </w:tcPr>
          <w:p w14:paraId="05F1405F" w14:textId="77777777" w:rsidR="007D6441" w:rsidRPr="003F72B9" w:rsidRDefault="007D6441" w:rsidP="00040BEE">
            <w:pPr>
              <w:jc w:val="center"/>
              <w:rPr>
                <w:rFonts w:ascii="Calibri" w:hAnsi="Calibri"/>
                <w:color w:val="auto"/>
                <w:szCs w:val="21"/>
              </w:rPr>
            </w:pPr>
          </w:p>
        </w:tc>
        <w:tc>
          <w:tcPr>
            <w:tcW w:w="1130" w:type="pct"/>
            <w:vAlign w:val="center"/>
          </w:tcPr>
          <w:p w14:paraId="133F4100" w14:textId="77777777" w:rsidR="007D6441" w:rsidRPr="00BB5174" w:rsidRDefault="007D6441" w:rsidP="00040BEE">
            <w:pPr>
              <w:jc w:val="center"/>
              <w:rPr>
                <w:rFonts w:ascii="Calibri" w:hAnsi="Calibri" w:cs="Times New Roman"/>
                <w:szCs w:val="21"/>
              </w:rPr>
            </w:pPr>
            <w:r w:rsidRPr="00BB5174">
              <w:rPr>
                <w:rFonts w:ascii="Calibri" w:hAnsi="Calibri" w:cs="Times New Roman" w:hint="eastAsia"/>
                <w:szCs w:val="21"/>
              </w:rPr>
              <w:t>石油类</w:t>
            </w:r>
          </w:p>
        </w:tc>
        <w:tc>
          <w:tcPr>
            <w:tcW w:w="1139" w:type="pct"/>
            <w:vAlign w:val="center"/>
          </w:tcPr>
          <w:p w14:paraId="7CAD6837" w14:textId="77777777" w:rsidR="007D6441" w:rsidRPr="00BB5174" w:rsidRDefault="007D6441" w:rsidP="00040BEE">
            <w:pPr>
              <w:jc w:val="center"/>
              <w:rPr>
                <w:rFonts w:ascii="Calibri" w:cs="Times New Roman"/>
                <w:szCs w:val="21"/>
              </w:rPr>
            </w:pPr>
            <w:r w:rsidRPr="00BB5174">
              <w:rPr>
                <w:rFonts w:ascii="Calibri" w:cs="Times New Roman" w:hint="eastAsia"/>
                <w:szCs w:val="21"/>
              </w:rPr>
              <w:t>未检出</w:t>
            </w:r>
          </w:p>
        </w:tc>
        <w:tc>
          <w:tcPr>
            <w:tcW w:w="707" w:type="pct"/>
            <w:vAlign w:val="center"/>
          </w:tcPr>
          <w:p w14:paraId="23840506" w14:textId="77777777" w:rsidR="007D6441" w:rsidRPr="00BB5174" w:rsidRDefault="007D6441" w:rsidP="00040BEE">
            <w:pPr>
              <w:jc w:val="center"/>
              <w:rPr>
                <w:rFonts w:ascii="Calibri" w:hAnsi="Calibri"/>
                <w:szCs w:val="21"/>
              </w:rPr>
            </w:pPr>
            <w:r w:rsidRPr="00BB5174">
              <w:rPr>
                <w:rFonts w:ascii="Calibri" w:hAnsi="Calibri"/>
                <w:szCs w:val="21"/>
              </w:rPr>
              <w:t>0.05</w:t>
            </w:r>
          </w:p>
        </w:tc>
        <w:tc>
          <w:tcPr>
            <w:tcW w:w="800" w:type="pct"/>
            <w:vAlign w:val="center"/>
          </w:tcPr>
          <w:p w14:paraId="1AC17CCA"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BDD216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6E273D4" w14:textId="77777777" w:rsidTr="007D6441">
        <w:trPr>
          <w:trHeight w:val="340"/>
        </w:trPr>
        <w:tc>
          <w:tcPr>
            <w:tcW w:w="580" w:type="pct"/>
            <w:vMerge w:val="restart"/>
            <w:vAlign w:val="center"/>
          </w:tcPr>
          <w:p w14:paraId="5DE361F3" w14:textId="77777777" w:rsidR="007D6441" w:rsidRPr="00BB5174" w:rsidRDefault="007D6441" w:rsidP="00040BEE">
            <w:pPr>
              <w:jc w:val="center"/>
              <w:rPr>
                <w:rFonts w:ascii="Calibri" w:hAnsi="Calibri"/>
                <w:szCs w:val="21"/>
              </w:rPr>
            </w:pPr>
            <w:r w:rsidRPr="00BB5174">
              <w:rPr>
                <w:rFonts w:ascii="Calibri" w:hAnsi="Calibri" w:hint="eastAsia"/>
                <w:szCs w:val="21"/>
              </w:rPr>
              <w:t>龚店镇</w:t>
            </w:r>
          </w:p>
        </w:tc>
        <w:tc>
          <w:tcPr>
            <w:tcW w:w="1130" w:type="pct"/>
            <w:vAlign w:val="center"/>
          </w:tcPr>
          <w:p w14:paraId="77319126" w14:textId="77777777" w:rsidR="007D6441" w:rsidRPr="00BB5174" w:rsidRDefault="007D6441" w:rsidP="00040BEE">
            <w:pPr>
              <w:jc w:val="center"/>
              <w:rPr>
                <w:rFonts w:ascii="Calibri" w:hAnsi="Calibri"/>
                <w:szCs w:val="21"/>
              </w:rPr>
            </w:pPr>
            <w:r w:rsidRPr="00BB5174">
              <w:rPr>
                <w:rFonts w:ascii="Calibri" w:hAnsi="Calibri"/>
                <w:szCs w:val="21"/>
              </w:rPr>
              <w:t>pH</w:t>
            </w:r>
            <w:r w:rsidRPr="00BB5174">
              <w:rPr>
                <w:rFonts w:ascii="Calibri"/>
                <w:szCs w:val="21"/>
              </w:rPr>
              <w:t>值</w:t>
            </w:r>
          </w:p>
        </w:tc>
        <w:tc>
          <w:tcPr>
            <w:tcW w:w="1139" w:type="pct"/>
            <w:vAlign w:val="center"/>
          </w:tcPr>
          <w:p w14:paraId="439A51E5" w14:textId="77777777" w:rsidR="007D6441" w:rsidRPr="00BB5174" w:rsidRDefault="007D6441" w:rsidP="00040BEE">
            <w:pPr>
              <w:jc w:val="center"/>
              <w:rPr>
                <w:rFonts w:ascii="Calibri" w:hAnsi="Calibri"/>
                <w:szCs w:val="21"/>
              </w:rPr>
            </w:pPr>
            <w:r w:rsidRPr="00BB5174">
              <w:rPr>
                <w:rFonts w:ascii="Calibri" w:hAnsi="Calibri" w:hint="eastAsia"/>
                <w:szCs w:val="21"/>
              </w:rPr>
              <w:t>7.36</w:t>
            </w:r>
          </w:p>
        </w:tc>
        <w:tc>
          <w:tcPr>
            <w:tcW w:w="707" w:type="pct"/>
            <w:vAlign w:val="center"/>
          </w:tcPr>
          <w:p w14:paraId="12449809" w14:textId="77777777" w:rsidR="007D6441" w:rsidRPr="00BB5174" w:rsidRDefault="007D6441" w:rsidP="00040BEE">
            <w:pPr>
              <w:jc w:val="center"/>
              <w:rPr>
                <w:rFonts w:ascii="Calibri" w:hAnsi="Calibri"/>
                <w:szCs w:val="21"/>
              </w:rPr>
            </w:pPr>
            <w:r w:rsidRPr="00BB5174">
              <w:rPr>
                <w:rFonts w:ascii="Calibri" w:hAnsi="Calibri" w:hint="eastAsia"/>
                <w:szCs w:val="21"/>
              </w:rPr>
              <w:t>6.5</w:t>
            </w:r>
            <w:r w:rsidRPr="00BB5174">
              <w:rPr>
                <w:rFonts w:ascii="Calibri" w:hAnsi="Calibri" w:hint="eastAsia"/>
                <w:szCs w:val="21"/>
              </w:rPr>
              <w:t>～</w:t>
            </w:r>
            <w:r w:rsidRPr="00BB5174">
              <w:rPr>
                <w:rFonts w:ascii="Calibri" w:hAnsi="Calibri" w:hint="eastAsia"/>
                <w:szCs w:val="21"/>
              </w:rPr>
              <w:t>8.5</w:t>
            </w:r>
          </w:p>
        </w:tc>
        <w:tc>
          <w:tcPr>
            <w:tcW w:w="800" w:type="pct"/>
            <w:vAlign w:val="center"/>
          </w:tcPr>
          <w:p w14:paraId="6C893C93" w14:textId="77777777" w:rsidR="007D6441" w:rsidRPr="00BB5174" w:rsidRDefault="007D6441" w:rsidP="00040BEE">
            <w:pPr>
              <w:jc w:val="center"/>
              <w:rPr>
                <w:rFonts w:ascii="Calibri" w:hAnsi="Calibri"/>
                <w:szCs w:val="21"/>
              </w:rPr>
            </w:pPr>
            <w:r w:rsidRPr="00BB5174">
              <w:rPr>
                <w:rFonts w:ascii="Calibri" w:hAnsi="Calibri" w:hint="eastAsia"/>
                <w:szCs w:val="21"/>
              </w:rPr>
              <w:t>0.24</w:t>
            </w:r>
          </w:p>
        </w:tc>
        <w:tc>
          <w:tcPr>
            <w:tcW w:w="643" w:type="pct"/>
            <w:vAlign w:val="center"/>
          </w:tcPr>
          <w:p w14:paraId="67E5D32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57D8B72" w14:textId="77777777" w:rsidTr="007D6441">
        <w:trPr>
          <w:trHeight w:val="340"/>
        </w:trPr>
        <w:tc>
          <w:tcPr>
            <w:tcW w:w="580" w:type="pct"/>
            <w:vMerge/>
            <w:vAlign w:val="center"/>
          </w:tcPr>
          <w:p w14:paraId="68828519" w14:textId="77777777" w:rsidR="007D6441" w:rsidRPr="00BB5174" w:rsidRDefault="007D6441" w:rsidP="00040BEE">
            <w:pPr>
              <w:jc w:val="center"/>
              <w:rPr>
                <w:rFonts w:ascii="Calibri" w:hAnsi="Calibri"/>
                <w:szCs w:val="21"/>
              </w:rPr>
            </w:pPr>
          </w:p>
        </w:tc>
        <w:tc>
          <w:tcPr>
            <w:tcW w:w="1130" w:type="pct"/>
            <w:vAlign w:val="center"/>
          </w:tcPr>
          <w:p w14:paraId="7238FE4C" w14:textId="77777777" w:rsidR="007D6441" w:rsidRPr="00BB5174" w:rsidRDefault="007D6441" w:rsidP="00040BEE">
            <w:pPr>
              <w:jc w:val="center"/>
              <w:rPr>
                <w:rFonts w:ascii="Calibri" w:hAnsi="Calibri"/>
                <w:szCs w:val="21"/>
              </w:rPr>
            </w:pPr>
            <w:r w:rsidRPr="00BB5174">
              <w:rPr>
                <w:rFonts w:ascii="Calibri"/>
                <w:szCs w:val="21"/>
              </w:rPr>
              <w:t>氨氮</w:t>
            </w:r>
          </w:p>
        </w:tc>
        <w:tc>
          <w:tcPr>
            <w:tcW w:w="1139" w:type="pct"/>
            <w:vAlign w:val="center"/>
          </w:tcPr>
          <w:p w14:paraId="0F80B13C" w14:textId="77777777" w:rsidR="007D6441" w:rsidRPr="00BB5174" w:rsidRDefault="007D6441" w:rsidP="00040BEE">
            <w:pPr>
              <w:jc w:val="center"/>
              <w:rPr>
                <w:rFonts w:ascii="Calibri" w:hAnsi="Calibri"/>
                <w:szCs w:val="21"/>
              </w:rPr>
            </w:pPr>
            <w:r w:rsidRPr="00BB5174">
              <w:rPr>
                <w:rFonts w:ascii="Calibri" w:hAnsi="Calibri" w:hint="eastAsia"/>
                <w:szCs w:val="21"/>
              </w:rPr>
              <w:t>0.02</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571BF594" w14:textId="77777777" w:rsidR="007D6441" w:rsidRPr="00BB5174" w:rsidRDefault="007D6441" w:rsidP="00040BEE">
            <w:pPr>
              <w:jc w:val="center"/>
              <w:rPr>
                <w:rFonts w:ascii="Calibri" w:hAnsi="Calibri"/>
                <w:szCs w:val="21"/>
              </w:rPr>
            </w:pPr>
            <w:r w:rsidRPr="00BB5174">
              <w:rPr>
                <w:rFonts w:ascii="Calibri" w:hAnsi="Calibri" w:hint="eastAsia"/>
                <w:szCs w:val="21"/>
              </w:rPr>
              <w:t>0.50</w:t>
            </w:r>
          </w:p>
        </w:tc>
        <w:tc>
          <w:tcPr>
            <w:tcW w:w="800" w:type="pct"/>
            <w:vAlign w:val="center"/>
          </w:tcPr>
          <w:p w14:paraId="66A9241A"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1DAE48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309C67B" w14:textId="77777777" w:rsidTr="007D6441">
        <w:trPr>
          <w:trHeight w:val="340"/>
        </w:trPr>
        <w:tc>
          <w:tcPr>
            <w:tcW w:w="580" w:type="pct"/>
            <w:vMerge/>
            <w:vAlign w:val="center"/>
          </w:tcPr>
          <w:p w14:paraId="7C5B790B" w14:textId="77777777" w:rsidR="007D6441" w:rsidRPr="00BB5174" w:rsidRDefault="007D6441" w:rsidP="00040BEE">
            <w:pPr>
              <w:jc w:val="center"/>
              <w:rPr>
                <w:rFonts w:ascii="Calibri" w:hAnsi="Calibri"/>
                <w:szCs w:val="21"/>
              </w:rPr>
            </w:pPr>
          </w:p>
        </w:tc>
        <w:tc>
          <w:tcPr>
            <w:tcW w:w="1130" w:type="pct"/>
            <w:vAlign w:val="center"/>
          </w:tcPr>
          <w:p w14:paraId="5C3F89AA" w14:textId="77777777" w:rsidR="007D6441" w:rsidRPr="00BB5174" w:rsidRDefault="007D6441" w:rsidP="00040BEE">
            <w:pPr>
              <w:jc w:val="center"/>
              <w:rPr>
                <w:rFonts w:cs="Times New Roman"/>
                <w:szCs w:val="21"/>
              </w:rPr>
            </w:pPr>
            <w:r w:rsidRPr="00BB5174">
              <w:rPr>
                <w:rFonts w:cs="Times New Roman"/>
                <w:szCs w:val="21"/>
              </w:rPr>
              <w:t>硝酸盐</w:t>
            </w:r>
          </w:p>
        </w:tc>
        <w:tc>
          <w:tcPr>
            <w:tcW w:w="1139" w:type="pct"/>
            <w:vAlign w:val="center"/>
          </w:tcPr>
          <w:p w14:paraId="0C91238A" w14:textId="77777777" w:rsidR="007D6441" w:rsidRPr="00BB5174" w:rsidRDefault="007D6441" w:rsidP="00040BEE">
            <w:pPr>
              <w:jc w:val="center"/>
              <w:rPr>
                <w:rFonts w:ascii="Calibri" w:hAnsi="Calibri"/>
                <w:szCs w:val="21"/>
              </w:rPr>
            </w:pPr>
            <w:r w:rsidRPr="00BB5174">
              <w:rPr>
                <w:rFonts w:ascii="Calibri" w:hAnsi="Calibri" w:hint="eastAsia"/>
                <w:szCs w:val="21"/>
              </w:rPr>
              <w:t>3.6</w:t>
            </w:r>
          </w:p>
        </w:tc>
        <w:tc>
          <w:tcPr>
            <w:tcW w:w="707" w:type="pct"/>
            <w:vAlign w:val="center"/>
          </w:tcPr>
          <w:p w14:paraId="370D2460" w14:textId="77777777" w:rsidR="007D6441" w:rsidRPr="00BB5174" w:rsidRDefault="007D6441" w:rsidP="00040BEE">
            <w:pPr>
              <w:jc w:val="center"/>
              <w:rPr>
                <w:rFonts w:ascii="Calibri" w:hAnsi="Calibri"/>
                <w:szCs w:val="21"/>
              </w:rPr>
            </w:pPr>
            <w:r w:rsidRPr="00BB5174">
              <w:rPr>
                <w:rFonts w:ascii="Calibri" w:hAnsi="Calibri" w:hint="eastAsia"/>
                <w:szCs w:val="21"/>
              </w:rPr>
              <w:t>20.0</w:t>
            </w:r>
          </w:p>
        </w:tc>
        <w:tc>
          <w:tcPr>
            <w:tcW w:w="800" w:type="pct"/>
            <w:vAlign w:val="center"/>
          </w:tcPr>
          <w:p w14:paraId="0E39360B" w14:textId="77777777" w:rsidR="007D6441" w:rsidRPr="00BB5174" w:rsidRDefault="007D6441" w:rsidP="00040BEE">
            <w:pPr>
              <w:jc w:val="center"/>
              <w:rPr>
                <w:rFonts w:ascii="Calibri" w:hAnsi="Calibri"/>
                <w:szCs w:val="21"/>
              </w:rPr>
            </w:pPr>
            <w:r w:rsidRPr="00BB5174">
              <w:rPr>
                <w:rFonts w:ascii="Calibri" w:hAnsi="Calibri" w:hint="eastAsia"/>
                <w:szCs w:val="21"/>
              </w:rPr>
              <w:t>0.18</w:t>
            </w:r>
          </w:p>
        </w:tc>
        <w:tc>
          <w:tcPr>
            <w:tcW w:w="643" w:type="pct"/>
            <w:vAlign w:val="center"/>
          </w:tcPr>
          <w:p w14:paraId="43DAFC31"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A7C0CDD" w14:textId="77777777" w:rsidTr="007D6441">
        <w:trPr>
          <w:trHeight w:val="340"/>
        </w:trPr>
        <w:tc>
          <w:tcPr>
            <w:tcW w:w="580" w:type="pct"/>
            <w:vMerge/>
            <w:vAlign w:val="center"/>
          </w:tcPr>
          <w:p w14:paraId="69103EFD" w14:textId="77777777" w:rsidR="007D6441" w:rsidRPr="00BB5174" w:rsidRDefault="007D6441" w:rsidP="00040BEE">
            <w:pPr>
              <w:jc w:val="center"/>
              <w:rPr>
                <w:rFonts w:ascii="Calibri" w:hAnsi="Calibri"/>
                <w:szCs w:val="21"/>
              </w:rPr>
            </w:pPr>
          </w:p>
        </w:tc>
        <w:tc>
          <w:tcPr>
            <w:tcW w:w="1130" w:type="pct"/>
            <w:vAlign w:val="center"/>
          </w:tcPr>
          <w:p w14:paraId="2F4D55BD" w14:textId="77777777" w:rsidR="007D6441" w:rsidRPr="00BB5174" w:rsidRDefault="007D6441" w:rsidP="00040BEE">
            <w:pPr>
              <w:jc w:val="center"/>
              <w:rPr>
                <w:rFonts w:cs="Times New Roman"/>
                <w:szCs w:val="21"/>
              </w:rPr>
            </w:pPr>
            <w:r w:rsidRPr="00BB5174">
              <w:rPr>
                <w:rFonts w:cs="Times New Roman"/>
                <w:szCs w:val="21"/>
              </w:rPr>
              <w:t>亚硝酸盐</w:t>
            </w:r>
          </w:p>
        </w:tc>
        <w:tc>
          <w:tcPr>
            <w:tcW w:w="1139" w:type="pct"/>
            <w:vAlign w:val="center"/>
          </w:tcPr>
          <w:p w14:paraId="44DF07BB" w14:textId="77777777" w:rsidR="007D6441" w:rsidRPr="00BB5174" w:rsidRDefault="007D6441" w:rsidP="00040BEE">
            <w:pPr>
              <w:jc w:val="center"/>
              <w:rPr>
                <w:rFonts w:ascii="Calibri" w:hAnsi="Calibri"/>
                <w:szCs w:val="21"/>
              </w:rPr>
            </w:pPr>
            <w:r w:rsidRPr="00BB5174">
              <w:rPr>
                <w:rFonts w:ascii="Calibri" w:hAnsi="Calibri" w:hint="eastAsia"/>
                <w:szCs w:val="21"/>
              </w:rPr>
              <w:t>0.001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3B386321"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7D3FCCCA"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13A05F7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04B3E6B" w14:textId="77777777" w:rsidTr="007D6441">
        <w:trPr>
          <w:trHeight w:val="340"/>
        </w:trPr>
        <w:tc>
          <w:tcPr>
            <w:tcW w:w="580" w:type="pct"/>
            <w:vMerge/>
            <w:vAlign w:val="center"/>
          </w:tcPr>
          <w:p w14:paraId="54063494" w14:textId="77777777" w:rsidR="007D6441" w:rsidRPr="00BB5174" w:rsidRDefault="007D6441" w:rsidP="00040BEE">
            <w:pPr>
              <w:jc w:val="center"/>
              <w:rPr>
                <w:rFonts w:ascii="Calibri" w:hAnsi="Calibri"/>
                <w:szCs w:val="21"/>
              </w:rPr>
            </w:pPr>
          </w:p>
        </w:tc>
        <w:tc>
          <w:tcPr>
            <w:tcW w:w="1130" w:type="pct"/>
            <w:vAlign w:val="center"/>
          </w:tcPr>
          <w:p w14:paraId="0D1BF7BF" w14:textId="77777777" w:rsidR="007D6441" w:rsidRPr="00BB5174" w:rsidRDefault="007D6441" w:rsidP="00040BEE">
            <w:pPr>
              <w:jc w:val="center"/>
              <w:rPr>
                <w:rFonts w:ascii="Calibri" w:hAnsi="Calibri"/>
                <w:szCs w:val="21"/>
              </w:rPr>
            </w:pPr>
            <w:r w:rsidRPr="00BB5174">
              <w:rPr>
                <w:rFonts w:ascii="Calibri" w:hAnsi="Calibri" w:hint="eastAsia"/>
                <w:szCs w:val="21"/>
              </w:rPr>
              <w:t>挥发性酚类</w:t>
            </w:r>
          </w:p>
        </w:tc>
        <w:tc>
          <w:tcPr>
            <w:tcW w:w="1139" w:type="pct"/>
            <w:vAlign w:val="center"/>
          </w:tcPr>
          <w:p w14:paraId="04FC1609" w14:textId="77777777" w:rsidR="007D6441" w:rsidRPr="00BB5174" w:rsidRDefault="007D6441" w:rsidP="00040BEE">
            <w:pPr>
              <w:jc w:val="center"/>
              <w:rPr>
                <w:rFonts w:ascii="Calibri" w:hAnsi="Calibri"/>
                <w:szCs w:val="21"/>
              </w:rPr>
            </w:pPr>
            <w:r w:rsidRPr="00BB5174">
              <w:rPr>
                <w:rFonts w:ascii="Calibri" w:hAnsi="Calibri" w:hint="eastAsia"/>
                <w:szCs w:val="21"/>
              </w:rPr>
              <w:t>0.0003</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55E5FADC" w14:textId="77777777" w:rsidR="007D6441" w:rsidRPr="00BB5174" w:rsidRDefault="007D6441" w:rsidP="00040BEE">
            <w:pPr>
              <w:jc w:val="center"/>
              <w:rPr>
                <w:rFonts w:ascii="Calibri" w:hAnsi="Calibri"/>
                <w:szCs w:val="21"/>
              </w:rPr>
            </w:pPr>
            <w:r w:rsidRPr="00BB5174">
              <w:rPr>
                <w:rFonts w:ascii="Calibri" w:hAnsi="Calibri" w:hint="eastAsia"/>
                <w:szCs w:val="21"/>
              </w:rPr>
              <w:t>0.002</w:t>
            </w:r>
          </w:p>
        </w:tc>
        <w:tc>
          <w:tcPr>
            <w:tcW w:w="800" w:type="pct"/>
            <w:vAlign w:val="center"/>
          </w:tcPr>
          <w:p w14:paraId="72D5AE79"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A934F06"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9C3CF2B" w14:textId="77777777" w:rsidTr="007D6441">
        <w:trPr>
          <w:trHeight w:val="340"/>
        </w:trPr>
        <w:tc>
          <w:tcPr>
            <w:tcW w:w="580" w:type="pct"/>
            <w:vMerge/>
            <w:vAlign w:val="center"/>
          </w:tcPr>
          <w:p w14:paraId="71A67346" w14:textId="77777777" w:rsidR="007D6441" w:rsidRPr="00BB5174" w:rsidRDefault="007D6441" w:rsidP="00040BEE">
            <w:pPr>
              <w:jc w:val="center"/>
              <w:rPr>
                <w:rFonts w:ascii="Calibri" w:hAnsi="Calibri"/>
                <w:szCs w:val="21"/>
              </w:rPr>
            </w:pPr>
          </w:p>
        </w:tc>
        <w:tc>
          <w:tcPr>
            <w:tcW w:w="1130" w:type="pct"/>
            <w:vAlign w:val="center"/>
          </w:tcPr>
          <w:p w14:paraId="19A12D8F" w14:textId="77777777" w:rsidR="007D6441" w:rsidRPr="00BB5174" w:rsidRDefault="007D6441" w:rsidP="00040BEE">
            <w:pPr>
              <w:jc w:val="center"/>
              <w:rPr>
                <w:rFonts w:ascii="Calibri" w:hAnsi="Calibri"/>
                <w:szCs w:val="21"/>
              </w:rPr>
            </w:pPr>
            <w:r w:rsidRPr="00BB5174">
              <w:rPr>
                <w:rFonts w:ascii="Calibri" w:hAnsi="Calibri" w:hint="eastAsia"/>
                <w:szCs w:val="21"/>
              </w:rPr>
              <w:t>氰化物</w:t>
            </w:r>
          </w:p>
        </w:tc>
        <w:tc>
          <w:tcPr>
            <w:tcW w:w="1139" w:type="pct"/>
            <w:vAlign w:val="center"/>
          </w:tcPr>
          <w:p w14:paraId="575D746E" w14:textId="77777777" w:rsidR="007D6441" w:rsidRPr="00BB5174" w:rsidRDefault="007D6441" w:rsidP="00040BEE">
            <w:pPr>
              <w:jc w:val="center"/>
              <w:rPr>
                <w:rFonts w:ascii="Calibri" w:hAnsi="Calibri"/>
                <w:szCs w:val="21"/>
              </w:rPr>
            </w:pPr>
            <w:r w:rsidRPr="00BB5174">
              <w:rPr>
                <w:rFonts w:ascii="Calibri" w:hAnsi="Calibri" w:hint="eastAsia"/>
                <w:szCs w:val="21"/>
              </w:rPr>
              <w:t>0.002</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3748839E"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73EE0E33"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EA3B78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0F962CC" w14:textId="77777777" w:rsidTr="007D6441">
        <w:trPr>
          <w:trHeight w:val="340"/>
        </w:trPr>
        <w:tc>
          <w:tcPr>
            <w:tcW w:w="580" w:type="pct"/>
            <w:vMerge/>
            <w:vAlign w:val="center"/>
          </w:tcPr>
          <w:p w14:paraId="27EF6F67" w14:textId="77777777" w:rsidR="007D6441" w:rsidRPr="00BB5174" w:rsidRDefault="007D6441" w:rsidP="00040BEE">
            <w:pPr>
              <w:jc w:val="center"/>
              <w:rPr>
                <w:rFonts w:ascii="Calibri" w:hAnsi="Calibri"/>
                <w:szCs w:val="21"/>
              </w:rPr>
            </w:pPr>
          </w:p>
        </w:tc>
        <w:tc>
          <w:tcPr>
            <w:tcW w:w="1130" w:type="pct"/>
            <w:vAlign w:val="center"/>
          </w:tcPr>
          <w:p w14:paraId="27918089" w14:textId="77777777" w:rsidR="007D6441" w:rsidRPr="00BB5174" w:rsidRDefault="007D6441" w:rsidP="00040BEE">
            <w:pPr>
              <w:jc w:val="center"/>
              <w:rPr>
                <w:rFonts w:ascii="Calibri" w:hAnsi="Calibri"/>
                <w:szCs w:val="21"/>
              </w:rPr>
            </w:pPr>
            <w:r w:rsidRPr="00BB5174">
              <w:rPr>
                <w:rFonts w:ascii="Calibri" w:hAnsi="Calibri" w:hint="eastAsia"/>
                <w:szCs w:val="21"/>
              </w:rPr>
              <w:t>总硬度</w:t>
            </w:r>
          </w:p>
        </w:tc>
        <w:tc>
          <w:tcPr>
            <w:tcW w:w="1139" w:type="pct"/>
            <w:vAlign w:val="center"/>
          </w:tcPr>
          <w:p w14:paraId="13FCD181" w14:textId="77777777" w:rsidR="007D6441" w:rsidRPr="00BB5174" w:rsidRDefault="007D6441" w:rsidP="00040BEE">
            <w:pPr>
              <w:jc w:val="center"/>
              <w:rPr>
                <w:rFonts w:ascii="Calibri" w:cs="Times New Roman"/>
                <w:szCs w:val="21"/>
              </w:rPr>
            </w:pPr>
            <w:r w:rsidRPr="00BB5174">
              <w:rPr>
                <w:rFonts w:ascii="Calibri" w:cs="Times New Roman" w:hint="eastAsia"/>
                <w:szCs w:val="21"/>
              </w:rPr>
              <w:t>305</w:t>
            </w:r>
          </w:p>
        </w:tc>
        <w:tc>
          <w:tcPr>
            <w:tcW w:w="707" w:type="pct"/>
            <w:vAlign w:val="center"/>
          </w:tcPr>
          <w:p w14:paraId="64FDEB26" w14:textId="77777777" w:rsidR="007D6441" w:rsidRPr="00BB5174" w:rsidRDefault="007D6441" w:rsidP="00040BEE">
            <w:pPr>
              <w:jc w:val="center"/>
              <w:rPr>
                <w:rFonts w:ascii="Calibri" w:hAnsi="Calibri"/>
                <w:szCs w:val="21"/>
              </w:rPr>
            </w:pPr>
            <w:r w:rsidRPr="00BB5174">
              <w:rPr>
                <w:rFonts w:ascii="Calibri" w:hAnsi="Calibri" w:hint="eastAsia"/>
                <w:szCs w:val="21"/>
              </w:rPr>
              <w:t>450</w:t>
            </w:r>
          </w:p>
        </w:tc>
        <w:tc>
          <w:tcPr>
            <w:tcW w:w="800" w:type="pct"/>
            <w:vAlign w:val="center"/>
          </w:tcPr>
          <w:p w14:paraId="7C32EDDD" w14:textId="77777777" w:rsidR="007D6441" w:rsidRPr="00BB5174" w:rsidRDefault="007D6441" w:rsidP="00040BEE">
            <w:pPr>
              <w:jc w:val="center"/>
              <w:rPr>
                <w:rFonts w:ascii="Calibri" w:hAnsi="Calibri"/>
                <w:szCs w:val="21"/>
              </w:rPr>
            </w:pPr>
            <w:r w:rsidRPr="00BB5174">
              <w:rPr>
                <w:rFonts w:ascii="Calibri" w:hAnsi="Calibri" w:hint="eastAsia"/>
                <w:szCs w:val="21"/>
              </w:rPr>
              <w:t>0.68</w:t>
            </w:r>
          </w:p>
        </w:tc>
        <w:tc>
          <w:tcPr>
            <w:tcW w:w="643" w:type="pct"/>
            <w:vAlign w:val="center"/>
          </w:tcPr>
          <w:p w14:paraId="48DC280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D1EE49C" w14:textId="77777777" w:rsidTr="007D6441">
        <w:trPr>
          <w:trHeight w:val="340"/>
        </w:trPr>
        <w:tc>
          <w:tcPr>
            <w:tcW w:w="580" w:type="pct"/>
            <w:vMerge/>
            <w:vAlign w:val="center"/>
          </w:tcPr>
          <w:p w14:paraId="3A50116A" w14:textId="77777777" w:rsidR="007D6441" w:rsidRPr="00BB5174" w:rsidRDefault="007D6441" w:rsidP="00040BEE">
            <w:pPr>
              <w:jc w:val="center"/>
              <w:rPr>
                <w:rFonts w:ascii="Calibri" w:hAnsi="Calibri"/>
                <w:szCs w:val="21"/>
              </w:rPr>
            </w:pPr>
          </w:p>
        </w:tc>
        <w:tc>
          <w:tcPr>
            <w:tcW w:w="1130" w:type="pct"/>
            <w:vAlign w:val="center"/>
          </w:tcPr>
          <w:p w14:paraId="2CB8D92A" w14:textId="77777777" w:rsidR="007D6441" w:rsidRPr="00BB5174" w:rsidRDefault="007D6441" w:rsidP="00040BEE">
            <w:pPr>
              <w:jc w:val="center"/>
              <w:rPr>
                <w:rFonts w:ascii="Calibri" w:hAnsi="Calibri"/>
                <w:szCs w:val="21"/>
              </w:rPr>
            </w:pPr>
            <w:r w:rsidRPr="00BB5174">
              <w:rPr>
                <w:rFonts w:ascii="Calibri"/>
                <w:szCs w:val="21"/>
              </w:rPr>
              <w:t>溶解性总固体</w:t>
            </w:r>
          </w:p>
        </w:tc>
        <w:tc>
          <w:tcPr>
            <w:tcW w:w="1139" w:type="pct"/>
            <w:vAlign w:val="center"/>
          </w:tcPr>
          <w:p w14:paraId="4A6FE8F0" w14:textId="77777777" w:rsidR="007D6441" w:rsidRPr="00BB5174" w:rsidRDefault="007D6441" w:rsidP="00040BEE">
            <w:pPr>
              <w:jc w:val="center"/>
              <w:rPr>
                <w:rFonts w:ascii="Calibri" w:cs="Times New Roman"/>
                <w:szCs w:val="21"/>
              </w:rPr>
            </w:pPr>
            <w:r w:rsidRPr="00BB5174">
              <w:rPr>
                <w:rFonts w:ascii="Calibri" w:cs="Times New Roman" w:hint="eastAsia"/>
                <w:szCs w:val="21"/>
              </w:rPr>
              <w:t>474</w:t>
            </w:r>
          </w:p>
        </w:tc>
        <w:tc>
          <w:tcPr>
            <w:tcW w:w="707" w:type="pct"/>
            <w:vAlign w:val="center"/>
          </w:tcPr>
          <w:p w14:paraId="4248205F" w14:textId="77777777" w:rsidR="007D6441" w:rsidRPr="00BB5174" w:rsidRDefault="007D6441" w:rsidP="00040BEE">
            <w:pPr>
              <w:jc w:val="center"/>
              <w:rPr>
                <w:rFonts w:ascii="Calibri" w:hAnsi="Calibri"/>
                <w:szCs w:val="21"/>
              </w:rPr>
            </w:pPr>
            <w:r w:rsidRPr="00BB5174">
              <w:rPr>
                <w:rFonts w:ascii="Calibri" w:hAnsi="Calibri" w:hint="eastAsia"/>
                <w:szCs w:val="21"/>
              </w:rPr>
              <w:t>1000</w:t>
            </w:r>
          </w:p>
        </w:tc>
        <w:tc>
          <w:tcPr>
            <w:tcW w:w="800" w:type="pct"/>
            <w:vAlign w:val="center"/>
          </w:tcPr>
          <w:p w14:paraId="640EA68A" w14:textId="77777777" w:rsidR="007D6441" w:rsidRPr="00BB5174" w:rsidRDefault="007D6441" w:rsidP="00040BEE">
            <w:pPr>
              <w:jc w:val="center"/>
              <w:rPr>
                <w:rFonts w:ascii="Calibri" w:hAnsi="Calibri"/>
                <w:szCs w:val="21"/>
              </w:rPr>
            </w:pPr>
            <w:r w:rsidRPr="00BB5174">
              <w:rPr>
                <w:rFonts w:ascii="Calibri" w:hAnsi="Calibri" w:hint="eastAsia"/>
                <w:szCs w:val="21"/>
              </w:rPr>
              <w:t>0.474</w:t>
            </w:r>
          </w:p>
        </w:tc>
        <w:tc>
          <w:tcPr>
            <w:tcW w:w="643" w:type="pct"/>
            <w:vAlign w:val="center"/>
          </w:tcPr>
          <w:p w14:paraId="2117E7A8"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7541A17" w14:textId="77777777" w:rsidTr="007D6441">
        <w:trPr>
          <w:trHeight w:val="340"/>
        </w:trPr>
        <w:tc>
          <w:tcPr>
            <w:tcW w:w="580" w:type="pct"/>
            <w:vMerge/>
            <w:vAlign w:val="center"/>
          </w:tcPr>
          <w:p w14:paraId="15350094" w14:textId="77777777" w:rsidR="007D6441" w:rsidRPr="00BB5174" w:rsidRDefault="007D6441" w:rsidP="00040BEE">
            <w:pPr>
              <w:jc w:val="center"/>
              <w:rPr>
                <w:rFonts w:ascii="Calibri" w:hAnsi="Calibri"/>
                <w:szCs w:val="21"/>
              </w:rPr>
            </w:pPr>
          </w:p>
        </w:tc>
        <w:tc>
          <w:tcPr>
            <w:tcW w:w="1130" w:type="pct"/>
            <w:vAlign w:val="center"/>
          </w:tcPr>
          <w:p w14:paraId="2D63E151" w14:textId="77777777" w:rsidR="007D6441" w:rsidRPr="00BB5174" w:rsidRDefault="007D6441" w:rsidP="00040BEE">
            <w:pPr>
              <w:jc w:val="center"/>
              <w:rPr>
                <w:rFonts w:ascii="Calibri" w:hAnsi="Calibri"/>
                <w:szCs w:val="21"/>
              </w:rPr>
            </w:pPr>
            <w:r w:rsidRPr="00BB5174">
              <w:rPr>
                <w:rFonts w:ascii="Calibri" w:hint="eastAsia"/>
                <w:szCs w:val="21"/>
              </w:rPr>
              <w:t>耗氧量</w:t>
            </w:r>
          </w:p>
        </w:tc>
        <w:tc>
          <w:tcPr>
            <w:tcW w:w="1139" w:type="pct"/>
            <w:vAlign w:val="center"/>
          </w:tcPr>
          <w:p w14:paraId="6BC7B910" w14:textId="77777777" w:rsidR="007D6441" w:rsidRPr="00BB5174" w:rsidRDefault="007D6441" w:rsidP="00040BEE">
            <w:pPr>
              <w:jc w:val="center"/>
              <w:rPr>
                <w:rFonts w:ascii="Calibri" w:cs="Times New Roman"/>
                <w:szCs w:val="21"/>
              </w:rPr>
            </w:pPr>
            <w:r w:rsidRPr="00BB5174">
              <w:rPr>
                <w:rFonts w:ascii="Calibri" w:cs="Times New Roman" w:hint="eastAsia"/>
                <w:szCs w:val="21"/>
              </w:rPr>
              <w:t>0.95</w:t>
            </w:r>
          </w:p>
        </w:tc>
        <w:tc>
          <w:tcPr>
            <w:tcW w:w="707" w:type="pct"/>
            <w:vAlign w:val="center"/>
          </w:tcPr>
          <w:p w14:paraId="68139671"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527F622A" w14:textId="77777777" w:rsidR="007D6441" w:rsidRPr="00BB5174" w:rsidRDefault="007D6441" w:rsidP="00040BEE">
            <w:pPr>
              <w:jc w:val="center"/>
              <w:rPr>
                <w:rFonts w:ascii="Calibri" w:hAnsi="Calibri"/>
                <w:szCs w:val="21"/>
              </w:rPr>
            </w:pPr>
            <w:r w:rsidRPr="00BB5174">
              <w:rPr>
                <w:rFonts w:ascii="Calibri" w:hAnsi="Calibri" w:hint="eastAsia"/>
                <w:szCs w:val="21"/>
              </w:rPr>
              <w:t>0.32</w:t>
            </w:r>
          </w:p>
        </w:tc>
        <w:tc>
          <w:tcPr>
            <w:tcW w:w="643" w:type="pct"/>
            <w:vAlign w:val="center"/>
          </w:tcPr>
          <w:p w14:paraId="7BE5BB6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AC2CF34" w14:textId="77777777" w:rsidTr="007D6441">
        <w:trPr>
          <w:trHeight w:val="340"/>
        </w:trPr>
        <w:tc>
          <w:tcPr>
            <w:tcW w:w="580" w:type="pct"/>
            <w:vMerge/>
            <w:vAlign w:val="center"/>
          </w:tcPr>
          <w:p w14:paraId="3079C7F0" w14:textId="77777777" w:rsidR="007D6441" w:rsidRPr="00BB5174" w:rsidRDefault="007D6441" w:rsidP="00040BEE">
            <w:pPr>
              <w:jc w:val="center"/>
              <w:rPr>
                <w:rFonts w:ascii="Calibri" w:hAnsi="Calibri"/>
                <w:szCs w:val="21"/>
              </w:rPr>
            </w:pPr>
          </w:p>
        </w:tc>
        <w:tc>
          <w:tcPr>
            <w:tcW w:w="1130" w:type="pct"/>
            <w:vAlign w:val="center"/>
          </w:tcPr>
          <w:p w14:paraId="4AF80506" w14:textId="77777777" w:rsidR="007D6441" w:rsidRPr="00BB5174" w:rsidRDefault="007D6441" w:rsidP="00040BEE">
            <w:pPr>
              <w:jc w:val="center"/>
              <w:rPr>
                <w:rFonts w:ascii="Calibri" w:hAnsi="Calibri"/>
                <w:szCs w:val="21"/>
              </w:rPr>
            </w:pPr>
            <w:r w:rsidRPr="00BB5174">
              <w:rPr>
                <w:rFonts w:ascii="Calibri" w:hAnsi="Calibri" w:hint="eastAsia"/>
                <w:szCs w:val="21"/>
              </w:rPr>
              <w:t>氟化物</w:t>
            </w:r>
          </w:p>
        </w:tc>
        <w:tc>
          <w:tcPr>
            <w:tcW w:w="1139" w:type="pct"/>
            <w:vAlign w:val="center"/>
          </w:tcPr>
          <w:p w14:paraId="27E591EB" w14:textId="77777777" w:rsidR="007D6441" w:rsidRPr="00BB5174" w:rsidRDefault="007D6441" w:rsidP="00040BEE">
            <w:pPr>
              <w:jc w:val="center"/>
              <w:rPr>
                <w:rFonts w:ascii="Calibri" w:cs="Times New Roman"/>
                <w:szCs w:val="21"/>
              </w:rPr>
            </w:pPr>
            <w:r w:rsidRPr="00BB5174">
              <w:rPr>
                <w:rFonts w:ascii="Calibri" w:cs="Times New Roman" w:hint="eastAsia"/>
                <w:szCs w:val="21"/>
              </w:rPr>
              <w:t>0.8</w:t>
            </w:r>
          </w:p>
        </w:tc>
        <w:tc>
          <w:tcPr>
            <w:tcW w:w="707" w:type="pct"/>
            <w:vAlign w:val="center"/>
          </w:tcPr>
          <w:p w14:paraId="2D1BBCF0"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1C2C117D" w14:textId="77777777" w:rsidR="007D6441" w:rsidRPr="00BB5174" w:rsidRDefault="007D6441" w:rsidP="00040BEE">
            <w:pPr>
              <w:jc w:val="center"/>
              <w:rPr>
                <w:rFonts w:ascii="Calibri" w:hAnsi="Calibri"/>
                <w:szCs w:val="21"/>
              </w:rPr>
            </w:pPr>
            <w:r w:rsidRPr="00BB5174">
              <w:rPr>
                <w:rFonts w:ascii="Calibri" w:cs="Times New Roman" w:hint="eastAsia"/>
                <w:szCs w:val="21"/>
              </w:rPr>
              <w:t>0.8</w:t>
            </w:r>
          </w:p>
        </w:tc>
        <w:tc>
          <w:tcPr>
            <w:tcW w:w="643" w:type="pct"/>
            <w:vAlign w:val="center"/>
          </w:tcPr>
          <w:p w14:paraId="61A7BB21"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3052DB2" w14:textId="77777777" w:rsidTr="007D6441">
        <w:trPr>
          <w:trHeight w:val="340"/>
        </w:trPr>
        <w:tc>
          <w:tcPr>
            <w:tcW w:w="580" w:type="pct"/>
            <w:vMerge/>
            <w:vAlign w:val="center"/>
          </w:tcPr>
          <w:p w14:paraId="1E940583" w14:textId="77777777" w:rsidR="007D6441" w:rsidRPr="00BB5174" w:rsidRDefault="007D6441" w:rsidP="00040BEE">
            <w:pPr>
              <w:jc w:val="center"/>
              <w:rPr>
                <w:rFonts w:ascii="Calibri" w:hAnsi="Calibri"/>
                <w:szCs w:val="21"/>
              </w:rPr>
            </w:pPr>
          </w:p>
        </w:tc>
        <w:tc>
          <w:tcPr>
            <w:tcW w:w="1130" w:type="pct"/>
            <w:vAlign w:val="center"/>
          </w:tcPr>
          <w:p w14:paraId="2FA443BD" w14:textId="77777777" w:rsidR="007D6441" w:rsidRPr="00BB5174" w:rsidRDefault="007D6441" w:rsidP="00040BEE">
            <w:pPr>
              <w:jc w:val="center"/>
              <w:rPr>
                <w:rFonts w:ascii="Calibri" w:hAnsi="Calibri"/>
                <w:szCs w:val="21"/>
              </w:rPr>
            </w:pPr>
            <w:r w:rsidRPr="00BB5174">
              <w:rPr>
                <w:rFonts w:ascii="Calibri" w:hAnsi="Calibri" w:hint="eastAsia"/>
                <w:szCs w:val="21"/>
              </w:rPr>
              <w:t>汞</w:t>
            </w:r>
          </w:p>
        </w:tc>
        <w:tc>
          <w:tcPr>
            <w:tcW w:w="1139" w:type="pct"/>
            <w:vAlign w:val="center"/>
          </w:tcPr>
          <w:p w14:paraId="4BC778A2" w14:textId="77777777" w:rsidR="007D6441" w:rsidRPr="00BB5174" w:rsidRDefault="007D6441" w:rsidP="00040BEE">
            <w:pPr>
              <w:jc w:val="center"/>
              <w:rPr>
                <w:rFonts w:ascii="Calibri" w:hAnsi="Calibri"/>
                <w:szCs w:val="21"/>
              </w:rPr>
            </w:pPr>
            <w:r w:rsidRPr="00BB5174">
              <w:rPr>
                <w:rFonts w:ascii="Calibri" w:hAnsi="Calibri" w:hint="eastAsia"/>
                <w:szCs w:val="21"/>
              </w:rPr>
              <w:t>0.0001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3E6BC9ED" w14:textId="77777777" w:rsidR="007D6441" w:rsidRPr="00BB5174" w:rsidRDefault="007D6441" w:rsidP="00040BEE">
            <w:pPr>
              <w:jc w:val="center"/>
              <w:rPr>
                <w:rFonts w:ascii="Calibri" w:hAnsi="Calibri"/>
                <w:szCs w:val="21"/>
              </w:rPr>
            </w:pPr>
            <w:r w:rsidRPr="00BB5174">
              <w:rPr>
                <w:rFonts w:ascii="Calibri" w:hAnsi="Calibri" w:hint="eastAsia"/>
                <w:szCs w:val="21"/>
              </w:rPr>
              <w:t>0.001</w:t>
            </w:r>
          </w:p>
        </w:tc>
        <w:tc>
          <w:tcPr>
            <w:tcW w:w="800" w:type="pct"/>
            <w:vAlign w:val="center"/>
          </w:tcPr>
          <w:p w14:paraId="482E523A"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34155FB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F5C05D9" w14:textId="77777777" w:rsidTr="007D6441">
        <w:trPr>
          <w:trHeight w:val="340"/>
        </w:trPr>
        <w:tc>
          <w:tcPr>
            <w:tcW w:w="580" w:type="pct"/>
            <w:vMerge/>
            <w:vAlign w:val="center"/>
          </w:tcPr>
          <w:p w14:paraId="68B6CD12" w14:textId="77777777" w:rsidR="007D6441" w:rsidRPr="00BB5174" w:rsidRDefault="007D6441" w:rsidP="00040BEE">
            <w:pPr>
              <w:jc w:val="center"/>
              <w:rPr>
                <w:rFonts w:ascii="Calibri" w:hAnsi="Calibri"/>
                <w:szCs w:val="21"/>
              </w:rPr>
            </w:pPr>
          </w:p>
        </w:tc>
        <w:tc>
          <w:tcPr>
            <w:tcW w:w="1130" w:type="pct"/>
            <w:vAlign w:val="center"/>
          </w:tcPr>
          <w:p w14:paraId="47E60959" w14:textId="77777777" w:rsidR="007D6441" w:rsidRPr="00BB5174" w:rsidRDefault="007D6441" w:rsidP="00040BEE">
            <w:pPr>
              <w:jc w:val="center"/>
              <w:rPr>
                <w:rFonts w:ascii="Calibri" w:hAnsi="Calibri"/>
                <w:szCs w:val="21"/>
              </w:rPr>
            </w:pPr>
            <w:r w:rsidRPr="00BB5174">
              <w:rPr>
                <w:rFonts w:ascii="Calibri" w:hAnsi="Calibri" w:hint="eastAsia"/>
                <w:szCs w:val="21"/>
              </w:rPr>
              <w:t>砷</w:t>
            </w:r>
          </w:p>
        </w:tc>
        <w:tc>
          <w:tcPr>
            <w:tcW w:w="1139" w:type="pct"/>
            <w:vAlign w:val="center"/>
          </w:tcPr>
          <w:p w14:paraId="5F01850E" w14:textId="77777777" w:rsidR="007D6441" w:rsidRPr="00BB5174" w:rsidRDefault="007D6441" w:rsidP="00040BEE">
            <w:pPr>
              <w:jc w:val="center"/>
              <w:rPr>
                <w:rFonts w:ascii="Calibri" w:hAnsi="Calibri"/>
                <w:szCs w:val="21"/>
              </w:rPr>
            </w:pPr>
            <w:r w:rsidRPr="00BB5174">
              <w:rPr>
                <w:rFonts w:ascii="Calibri" w:hAnsi="Calibri" w:hint="eastAsia"/>
                <w:szCs w:val="21"/>
              </w:rPr>
              <w:t>0.001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585A4F3D" w14:textId="77777777" w:rsidR="007D6441" w:rsidRPr="00BB5174" w:rsidRDefault="007D6441" w:rsidP="00040BEE">
            <w:pPr>
              <w:jc w:val="center"/>
              <w:rPr>
                <w:rFonts w:ascii="Calibri" w:hAnsi="Calibri"/>
                <w:szCs w:val="21"/>
              </w:rPr>
            </w:pPr>
            <w:r w:rsidRPr="00BB5174">
              <w:rPr>
                <w:rFonts w:ascii="Calibri" w:hAnsi="Calibri" w:hint="eastAsia"/>
                <w:szCs w:val="21"/>
              </w:rPr>
              <w:t>0.01</w:t>
            </w:r>
          </w:p>
        </w:tc>
        <w:tc>
          <w:tcPr>
            <w:tcW w:w="800" w:type="pct"/>
            <w:vAlign w:val="center"/>
          </w:tcPr>
          <w:p w14:paraId="1B9EB93E"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3335507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7249DF9" w14:textId="77777777" w:rsidTr="007D6441">
        <w:trPr>
          <w:trHeight w:val="340"/>
        </w:trPr>
        <w:tc>
          <w:tcPr>
            <w:tcW w:w="580" w:type="pct"/>
            <w:vMerge/>
            <w:vAlign w:val="center"/>
          </w:tcPr>
          <w:p w14:paraId="285926E8" w14:textId="77777777" w:rsidR="007D6441" w:rsidRPr="00BB5174" w:rsidRDefault="007D6441" w:rsidP="00040BEE">
            <w:pPr>
              <w:jc w:val="center"/>
              <w:rPr>
                <w:rFonts w:ascii="Calibri" w:hAnsi="Calibri"/>
                <w:szCs w:val="21"/>
              </w:rPr>
            </w:pPr>
          </w:p>
        </w:tc>
        <w:tc>
          <w:tcPr>
            <w:tcW w:w="1130" w:type="pct"/>
            <w:vAlign w:val="center"/>
          </w:tcPr>
          <w:p w14:paraId="7F365A49" w14:textId="77777777" w:rsidR="007D6441" w:rsidRPr="00BB5174" w:rsidRDefault="007D6441" w:rsidP="00040BEE">
            <w:pPr>
              <w:jc w:val="center"/>
              <w:rPr>
                <w:rFonts w:ascii="Calibri"/>
                <w:szCs w:val="21"/>
              </w:rPr>
            </w:pPr>
            <w:r w:rsidRPr="00BB5174">
              <w:rPr>
                <w:rFonts w:ascii="Calibri" w:hint="eastAsia"/>
                <w:szCs w:val="21"/>
              </w:rPr>
              <w:t>铅</w:t>
            </w:r>
          </w:p>
        </w:tc>
        <w:tc>
          <w:tcPr>
            <w:tcW w:w="1139" w:type="pct"/>
            <w:vAlign w:val="center"/>
          </w:tcPr>
          <w:p w14:paraId="633291B6" w14:textId="77777777" w:rsidR="007D6441" w:rsidRPr="00BB5174" w:rsidRDefault="007D6441" w:rsidP="00040BEE">
            <w:pPr>
              <w:jc w:val="center"/>
              <w:rPr>
                <w:rFonts w:ascii="Calibri" w:cs="Times New Roman"/>
                <w:szCs w:val="21"/>
              </w:rPr>
            </w:pPr>
            <w:r w:rsidRPr="00BB5174">
              <w:rPr>
                <w:rFonts w:ascii="Calibri" w:cs="Times New Roman" w:hint="eastAsia"/>
                <w:szCs w:val="21"/>
              </w:rPr>
              <w:t>0.0025</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260CE23D" w14:textId="77777777" w:rsidR="007D6441" w:rsidRPr="00BB5174" w:rsidRDefault="007D6441" w:rsidP="00040BEE">
            <w:pPr>
              <w:jc w:val="center"/>
              <w:rPr>
                <w:rFonts w:ascii="Calibri" w:hAnsi="Calibri"/>
                <w:szCs w:val="21"/>
              </w:rPr>
            </w:pPr>
            <w:r w:rsidRPr="00BB5174">
              <w:rPr>
                <w:rFonts w:ascii="Calibri" w:hAnsi="Calibri" w:hint="eastAsia"/>
                <w:szCs w:val="21"/>
              </w:rPr>
              <w:t>0.01</w:t>
            </w:r>
          </w:p>
        </w:tc>
        <w:tc>
          <w:tcPr>
            <w:tcW w:w="800" w:type="pct"/>
            <w:vAlign w:val="center"/>
          </w:tcPr>
          <w:p w14:paraId="574FFFF2"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331AD33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FDEA811" w14:textId="77777777" w:rsidTr="007D6441">
        <w:trPr>
          <w:trHeight w:val="340"/>
        </w:trPr>
        <w:tc>
          <w:tcPr>
            <w:tcW w:w="580" w:type="pct"/>
            <w:vMerge/>
            <w:vAlign w:val="center"/>
          </w:tcPr>
          <w:p w14:paraId="42CD2283" w14:textId="77777777" w:rsidR="007D6441" w:rsidRPr="00BB5174" w:rsidRDefault="007D6441" w:rsidP="00040BEE">
            <w:pPr>
              <w:jc w:val="center"/>
              <w:rPr>
                <w:rFonts w:ascii="Calibri" w:hAnsi="Calibri"/>
                <w:szCs w:val="21"/>
              </w:rPr>
            </w:pPr>
          </w:p>
        </w:tc>
        <w:tc>
          <w:tcPr>
            <w:tcW w:w="1130" w:type="pct"/>
            <w:vAlign w:val="center"/>
          </w:tcPr>
          <w:p w14:paraId="52B1D940" w14:textId="77777777" w:rsidR="007D6441" w:rsidRPr="00BB5174" w:rsidRDefault="007D6441" w:rsidP="00040BEE">
            <w:pPr>
              <w:jc w:val="center"/>
              <w:rPr>
                <w:rFonts w:ascii="Calibri" w:hAnsi="Calibri"/>
                <w:szCs w:val="21"/>
              </w:rPr>
            </w:pPr>
            <w:r w:rsidRPr="00BB5174">
              <w:rPr>
                <w:rFonts w:ascii="Calibri" w:hAnsi="Calibri" w:hint="eastAsia"/>
                <w:szCs w:val="21"/>
              </w:rPr>
              <w:t>镉</w:t>
            </w:r>
          </w:p>
        </w:tc>
        <w:tc>
          <w:tcPr>
            <w:tcW w:w="1139" w:type="pct"/>
            <w:vAlign w:val="center"/>
          </w:tcPr>
          <w:p w14:paraId="0BE8480A" w14:textId="77777777" w:rsidR="007D6441" w:rsidRPr="00BB5174" w:rsidRDefault="007D6441" w:rsidP="00040BEE">
            <w:pPr>
              <w:jc w:val="center"/>
              <w:rPr>
                <w:rFonts w:ascii="Calibri" w:cs="Times New Roman"/>
                <w:szCs w:val="21"/>
              </w:rPr>
            </w:pPr>
            <w:r w:rsidRPr="00BB5174">
              <w:rPr>
                <w:rFonts w:ascii="Calibri" w:cs="Times New Roman" w:hint="eastAsia"/>
                <w:szCs w:val="21"/>
              </w:rPr>
              <w:t>0.005</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69206EAA" w14:textId="77777777" w:rsidR="007D6441" w:rsidRPr="00BB5174" w:rsidRDefault="007D6441" w:rsidP="00040BEE">
            <w:pPr>
              <w:jc w:val="center"/>
              <w:rPr>
                <w:rFonts w:ascii="Calibri" w:hAnsi="Calibri"/>
                <w:szCs w:val="21"/>
              </w:rPr>
            </w:pPr>
            <w:r w:rsidRPr="00BB5174">
              <w:rPr>
                <w:rFonts w:ascii="Calibri" w:hAnsi="Calibri" w:hint="eastAsia"/>
                <w:szCs w:val="21"/>
              </w:rPr>
              <w:t>0.005</w:t>
            </w:r>
          </w:p>
        </w:tc>
        <w:tc>
          <w:tcPr>
            <w:tcW w:w="800" w:type="pct"/>
            <w:vAlign w:val="center"/>
          </w:tcPr>
          <w:p w14:paraId="1C425118"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372DB752"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55DFBED" w14:textId="77777777" w:rsidTr="007D6441">
        <w:trPr>
          <w:trHeight w:val="340"/>
        </w:trPr>
        <w:tc>
          <w:tcPr>
            <w:tcW w:w="580" w:type="pct"/>
            <w:vMerge/>
            <w:vAlign w:val="center"/>
          </w:tcPr>
          <w:p w14:paraId="4BE287DD" w14:textId="77777777" w:rsidR="007D6441" w:rsidRPr="00BB5174" w:rsidRDefault="007D6441" w:rsidP="00040BEE">
            <w:pPr>
              <w:jc w:val="center"/>
              <w:rPr>
                <w:rFonts w:ascii="Calibri" w:hAnsi="Calibri"/>
                <w:szCs w:val="21"/>
              </w:rPr>
            </w:pPr>
          </w:p>
        </w:tc>
        <w:tc>
          <w:tcPr>
            <w:tcW w:w="1130" w:type="pct"/>
            <w:vAlign w:val="center"/>
          </w:tcPr>
          <w:p w14:paraId="4C831482" w14:textId="77777777" w:rsidR="007D6441" w:rsidRPr="00BB5174" w:rsidRDefault="007D6441" w:rsidP="00040BEE">
            <w:pPr>
              <w:jc w:val="center"/>
              <w:rPr>
                <w:rFonts w:ascii="Calibri" w:hAnsi="Calibri"/>
                <w:szCs w:val="21"/>
              </w:rPr>
            </w:pPr>
            <w:r w:rsidRPr="00BB5174">
              <w:rPr>
                <w:rFonts w:ascii="Calibri" w:hAnsi="Calibri" w:hint="eastAsia"/>
                <w:szCs w:val="21"/>
              </w:rPr>
              <w:t>铁</w:t>
            </w:r>
          </w:p>
        </w:tc>
        <w:tc>
          <w:tcPr>
            <w:tcW w:w="1139" w:type="pct"/>
            <w:vAlign w:val="center"/>
          </w:tcPr>
          <w:p w14:paraId="5BB6964B" w14:textId="77777777" w:rsidR="007D6441" w:rsidRPr="00BB5174" w:rsidRDefault="007D6441" w:rsidP="00040BEE">
            <w:pPr>
              <w:jc w:val="center"/>
              <w:rPr>
                <w:rFonts w:ascii="Calibri" w:cs="Times New Roman"/>
                <w:szCs w:val="21"/>
              </w:rPr>
            </w:pPr>
            <w:r w:rsidRPr="00BB5174">
              <w:rPr>
                <w:rFonts w:ascii="Calibri" w:cs="Times New Roman" w:hint="eastAsia"/>
                <w:szCs w:val="21"/>
              </w:rPr>
              <w:t>0.03</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06B097A3" w14:textId="77777777" w:rsidR="007D6441" w:rsidRPr="00BB5174" w:rsidRDefault="007D6441" w:rsidP="00040BEE">
            <w:pPr>
              <w:jc w:val="center"/>
              <w:rPr>
                <w:rFonts w:ascii="Calibri" w:hAnsi="Calibri"/>
                <w:szCs w:val="21"/>
              </w:rPr>
            </w:pPr>
            <w:r w:rsidRPr="00BB5174">
              <w:rPr>
                <w:rFonts w:ascii="Calibri" w:hAnsi="Calibri" w:hint="eastAsia"/>
                <w:szCs w:val="21"/>
              </w:rPr>
              <w:t>0.3</w:t>
            </w:r>
          </w:p>
        </w:tc>
        <w:tc>
          <w:tcPr>
            <w:tcW w:w="800" w:type="pct"/>
            <w:vAlign w:val="center"/>
          </w:tcPr>
          <w:p w14:paraId="3FB5FA44"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434EE96E"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C7904F1" w14:textId="77777777" w:rsidTr="007D6441">
        <w:trPr>
          <w:trHeight w:val="340"/>
        </w:trPr>
        <w:tc>
          <w:tcPr>
            <w:tcW w:w="580" w:type="pct"/>
            <w:vMerge/>
            <w:vAlign w:val="center"/>
          </w:tcPr>
          <w:p w14:paraId="41967A34" w14:textId="77777777" w:rsidR="007D6441" w:rsidRPr="00BB5174" w:rsidRDefault="007D6441" w:rsidP="00040BEE">
            <w:pPr>
              <w:jc w:val="center"/>
              <w:rPr>
                <w:rFonts w:ascii="Calibri" w:hAnsi="Calibri"/>
                <w:szCs w:val="21"/>
              </w:rPr>
            </w:pPr>
          </w:p>
        </w:tc>
        <w:tc>
          <w:tcPr>
            <w:tcW w:w="1130" w:type="pct"/>
            <w:vAlign w:val="center"/>
          </w:tcPr>
          <w:p w14:paraId="44DB0531" w14:textId="77777777" w:rsidR="007D6441" w:rsidRPr="00BB5174" w:rsidRDefault="007D6441" w:rsidP="00040BEE">
            <w:pPr>
              <w:jc w:val="center"/>
              <w:rPr>
                <w:rFonts w:cs="Times New Roman"/>
                <w:szCs w:val="21"/>
              </w:rPr>
            </w:pPr>
            <w:r w:rsidRPr="00BB5174">
              <w:rPr>
                <w:rFonts w:cs="Times New Roman" w:hint="eastAsia"/>
                <w:szCs w:val="21"/>
              </w:rPr>
              <w:t>锰</w:t>
            </w:r>
          </w:p>
        </w:tc>
        <w:tc>
          <w:tcPr>
            <w:tcW w:w="1139" w:type="pct"/>
            <w:vAlign w:val="center"/>
          </w:tcPr>
          <w:p w14:paraId="2162FCA6" w14:textId="77777777" w:rsidR="007D6441" w:rsidRPr="00BB5174" w:rsidRDefault="007D6441" w:rsidP="00040BEE">
            <w:pPr>
              <w:jc w:val="center"/>
              <w:rPr>
                <w:rFonts w:ascii="Calibri" w:cs="Times New Roman"/>
                <w:szCs w:val="21"/>
              </w:rPr>
            </w:pPr>
            <w:r w:rsidRPr="00BB5174">
              <w:rPr>
                <w:rFonts w:ascii="Calibri" w:cs="Times New Roman" w:hint="eastAsia"/>
                <w:szCs w:val="21"/>
              </w:rPr>
              <w:t>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6D832998" w14:textId="77777777" w:rsidR="007D6441" w:rsidRPr="00BB5174" w:rsidRDefault="007D6441" w:rsidP="00040BEE">
            <w:pPr>
              <w:jc w:val="center"/>
              <w:rPr>
                <w:rFonts w:ascii="Calibri" w:hAnsi="Calibri"/>
                <w:szCs w:val="21"/>
              </w:rPr>
            </w:pPr>
            <w:r w:rsidRPr="00BB5174">
              <w:rPr>
                <w:rFonts w:ascii="Calibri" w:hAnsi="Calibri" w:hint="eastAsia"/>
                <w:szCs w:val="21"/>
              </w:rPr>
              <w:t>0.10</w:t>
            </w:r>
          </w:p>
        </w:tc>
        <w:tc>
          <w:tcPr>
            <w:tcW w:w="800" w:type="pct"/>
            <w:vAlign w:val="center"/>
          </w:tcPr>
          <w:p w14:paraId="5BDF9C63"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2C7F58A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045EDAC" w14:textId="77777777" w:rsidTr="007D6441">
        <w:trPr>
          <w:trHeight w:val="340"/>
        </w:trPr>
        <w:tc>
          <w:tcPr>
            <w:tcW w:w="580" w:type="pct"/>
            <w:vMerge/>
            <w:vAlign w:val="center"/>
          </w:tcPr>
          <w:p w14:paraId="39BF5835" w14:textId="77777777" w:rsidR="007D6441" w:rsidRPr="00BB5174" w:rsidRDefault="007D6441" w:rsidP="00040BEE">
            <w:pPr>
              <w:jc w:val="center"/>
              <w:rPr>
                <w:rFonts w:ascii="Calibri" w:hAnsi="Calibri"/>
                <w:szCs w:val="21"/>
              </w:rPr>
            </w:pPr>
          </w:p>
        </w:tc>
        <w:tc>
          <w:tcPr>
            <w:tcW w:w="1130" w:type="pct"/>
            <w:vAlign w:val="center"/>
          </w:tcPr>
          <w:p w14:paraId="7CA7CE1B" w14:textId="77777777" w:rsidR="007D6441" w:rsidRPr="00BB5174" w:rsidRDefault="007D6441" w:rsidP="00040BEE">
            <w:pPr>
              <w:jc w:val="center"/>
              <w:rPr>
                <w:rFonts w:ascii="Calibri" w:hAnsi="Calibri"/>
                <w:szCs w:val="21"/>
              </w:rPr>
            </w:pPr>
            <w:r w:rsidRPr="00BB5174">
              <w:rPr>
                <w:rFonts w:ascii="Calibri" w:hAnsi="Calibri" w:hint="eastAsia"/>
                <w:szCs w:val="21"/>
              </w:rPr>
              <w:t>铬（六价）</w:t>
            </w:r>
          </w:p>
        </w:tc>
        <w:tc>
          <w:tcPr>
            <w:tcW w:w="1139" w:type="pct"/>
            <w:vAlign w:val="center"/>
          </w:tcPr>
          <w:p w14:paraId="4C9ACE61" w14:textId="77777777" w:rsidR="007D6441" w:rsidRPr="00BB5174" w:rsidRDefault="007D6441" w:rsidP="00040BEE">
            <w:pPr>
              <w:jc w:val="center"/>
              <w:rPr>
                <w:rFonts w:ascii="Calibri" w:hAnsi="Calibri"/>
                <w:szCs w:val="21"/>
              </w:rPr>
            </w:pPr>
            <w:r w:rsidRPr="00BB5174">
              <w:rPr>
                <w:rFonts w:ascii="Calibri" w:hAnsi="Calibri" w:hint="eastAsia"/>
                <w:szCs w:val="21"/>
              </w:rPr>
              <w:t>0.004</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69EC40B8"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277BB8C0"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506B526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70A26AA" w14:textId="77777777" w:rsidTr="007D6441">
        <w:trPr>
          <w:trHeight w:val="340"/>
        </w:trPr>
        <w:tc>
          <w:tcPr>
            <w:tcW w:w="580" w:type="pct"/>
            <w:vMerge/>
            <w:vAlign w:val="center"/>
          </w:tcPr>
          <w:p w14:paraId="55BBC3AA" w14:textId="77777777" w:rsidR="007D6441" w:rsidRPr="00BB5174" w:rsidRDefault="007D6441" w:rsidP="00040BEE">
            <w:pPr>
              <w:jc w:val="center"/>
              <w:rPr>
                <w:rFonts w:ascii="Calibri" w:hAnsi="Calibri"/>
                <w:szCs w:val="21"/>
              </w:rPr>
            </w:pPr>
          </w:p>
        </w:tc>
        <w:tc>
          <w:tcPr>
            <w:tcW w:w="1130" w:type="pct"/>
            <w:vAlign w:val="center"/>
          </w:tcPr>
          <w:p w14:paraId="1F4E24FB" w14:textId="77777777" w:rsidR="007D6441" w:rsidRPr="00BB5174" w:rsidRDefault="007D6441" w:rsidP="00040BEE">
            <w:pPr>
              <w:jc w:val="center"/>
              <w:rPr>
                <w:rFonts w:ascii="Calibri" w:hAnsi="Calibri" w:cs="Times New Roman"/>
                <w:szCs w:val="21"/>
              </w:rPr>
            </w:pPr>
            <w:r w:rsidRPr="00BB5174">
              <w:rPr>
                <w:rFonts w:ascii="Calibri" w:cs="Times New Roman"/>
                <w:szCs w:val="21"/>
              </w:rPr>
              <w:t>硫酸盐</w:t>
            </w:r>
          </w:p>
        </w:tc>
        <w:tc>
          <w:tcPr>
            <w:tcW w:w="1139" w:type="pct"/>
            <w:vAlign w:val="center"/>
          </w:tcPr>
          <w:p w14:paraId="13ED6AF5" w14:textId="77777777" w:rsidR="007D6441" w:rsidRPr="00BB5174" w:rsidRDefault="007D6441" w:rsidP="00040BEE">
            <w:pPr>
              <w:jc w:val="center"/>
              <w:rPr>
                <w:rFonts w:ascii="Calibri" w:cs="Times New Roman"/>
                <w:szCs w:val="21"/>
              </w:rPr>
            </w:pPr>
            <w:r w:rsidRPr="00BB5174">
              <w:rPr>
                <w:rFonts w:ascii="Calibri" w:cs="Times New Roman" w:hint="eastAsia"/>
                <w:szCs w:val="21"/>
              </w:rPr>
              <w:t>43.6</w:t>
            </w:r>
          </w:p>
        </w:tc>
        <w:tc>
          <w:tcPr>
            <w:tcW w:w="707" w:type="pct"/>
            <w:vAlign w:val="center"/>
          </w:tcPr>
          <w:p w14:paraId="162CEE35"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54BB1961" w14:textId="77777777" w:rsidR="007D6441" w:rsidRPr="00BB5174" w:rsidRDefault="007D6441" w:rsidP="00040BEE">
            <w:pPr>
              <w:jc w:val="center"/>
              <w:rPr>
                <w:rFonts w:ascii="Calibri" w:hAnsi="Calibri"/>
                <w:szCs w:val="21"/>
              </w:rPr>
            </w:pPr>
            <w:r w:rsidRPr="00BB5174">
              <w:rPr>
                <w:rFonts w:ascii="Calibri" w:hAnsi="Calibri" w:hint="eastAsia"/>
                <w:szCs w:val="21"/>
              </w:rPr>
              <w:t>0.17</w:t>
            </w:r>
          </w:p>
        </w:tc>
        <w:tc>
          <w:tcPr>
            <w:tcW w:w="643" w:type="pct"/>
            <w:vAlign w:val="center"/>
          </w:tcPr>
          <w:p w14:paraId="28C98BEF"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52E096D" w14:textId="77777777" w:rsidTr="007D6441">
        <w:trPr>
          <w:trHeight w:val="340"/>
        </w:trPr>
        <w:tc>
          <w:tcPr>
            <w:tcW w:w="580" w:type="pct"/>
            <w:vMerge/>
            <w:vAlign w:val="center"/>
          </w:tcPr>
          <w:p w14:paraId="3B7A359A" w14:textId="77777777" w:rsidR="007D6441" w:rsidRPr="00BB5174" w:rsidRDefault="007D6441" w:rsidP="00040BEE">
            <w:pPr>
              <w:jc w:val="center"/>
              <w:rPr>
                <w:rFonts w:ascii="Calibri" w:hAnsi="Calibri"/>
                <w:szCs w:val="21"/>
              </w:rPr>
            </w:pPr>
          </w:p>
        </w:tc>
        <w:tc>
          <w:tcPr>
            <w:tcW w:w="1130" w:type="pct"/>
            <w:vAlign w:val="center"/>
          </w:tcPr>
          <w:p w14:paraId="5A6739B9" w14:textId="77777777" w:rsidR="007D6441" w:rsidRPr="00BB5174" w:rsidRDefault="007D6441" w:rsidP="00040BEE">
            <w:pPr>
              <w:jc w:val="center"/>
              <w:rPr>
                <w:rFonts w:ascii="Calibri" w:hAnsi="Calibri" w:cs="Times New Roman"/>
                <w:szCs w:val="21"/>
              </w:rPr>
            </w:pPr>
            <w:r w:rsidRPr="00BB5174">
              <w:rPr>
                <w:rFonts w:ascii="Calibri" w:cs="Times New Roman"/>
                <w:szCs w:val="21"/>
              </w:rPr>
              <w:t>氯化物</w:t>
            </w:r>
          </w:p>
        </w:tc>
        <w:tc>
          <w:tcPr>
            <w:tcW w:w="1139" w:type="pct"/>
            <w:vAlign w:val="center"/>
          </w:tcPr>
          <w:p w14:paraId="451E53CF" w14:textId="77777777" w:rsidR="007D6441" w:rsidRPr="00BB5174" w:rsidRDefault="007D6441" w:rsidP="00040BEE">
            <w:pPr>
              <w:jc w:val="center"/>
              <w:rPr>
                <w:rFonts w:ascii="Calibri" w:cs="Times New Roman"/>
                <w:szCs w:val="21"/>
              </w:rPr>
            </w:pPr>
            <w:r w:rsidRPr="00BB5174">
              <w:rPr>
                <w:rFonts w:ascii="Calibri" w:cs="Times New Roman" w:hint="eastAsia"/>
                <w:szCs w:val="21"/>
              </w:rPr>
              <w:t>36.8</w:t>
            </w:r>
          </w:p>
        </w:tc>
        <w:tc>
          <w:tcPr>
            <w:tcW w:w="707" w:type="pct"/>
            <w:vAlign w:val="center"/>
          </w:tcPr>
          <w:p w14:paraId="378211BA"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13EEEB22" w14:textId="77777777" w:rsidR="007D6441" w:rsidRPr="00BB5174" w:rsidRDefault="007D6441" w:rsidP="00040BEE">
            <w:pPr>
              <w:jc w:val="center"/>
              <w:rPr>
                <w:rFonts w:ascii="Calibri" w:hAnsi="Calibri"/>
                <w:szCs w:val="21"/>
              </w:rPr>
            </w:pPr>
            <w:r w:rsidRPr="00BB5174">
              <w:rPr>
                <w:rFonts w:ascii="Calibri" w:hAnsi="Calibri" w:hint="eastAsia"/>
                <w:szCs w:val="21"/>
              </w:rPr>
              <w:t>0.15</w:t>
            </w:r>
          </w:p>
        </w:tc>
        <w:tc>
          <w:tcPr>
            <w:tcW w:w="643" w:type="pct"/>
            <w:vAlign w:val="center"/>
          </w:tcPr>
          <w:p w14:paraId="4FBF33A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25466C2" w14:textId="77777777" w:rsidTr="007D6441">
        <w:trPr>
          <w:trHeight w:val="340"/>
        </w:trPr>
        <w:tc>
          <w:tcPr>
            <w:tcW w:w="580" w:type="pct"/>
            <w:vMerge/>
            <w:vAlign w:val="center"/>
          </w:tcPr>
          <w:p w14:paraId="022C806E" w14:textId="77777777" w:rsidR="007D6441" w:rsidRPr="00BB5174" w:rsidRDefault="007D6441" w:rsidP="00040BEE">
            <w:pPr>
              <w:jc w:val="center"/>
              <w:rPr>
                <w:rFonts w:ascii="Calibri" w:hAnsi="Calibri"/>
                <w:szCs w:val="21"/>
              </w:rPr>
            </w:pPr>
          </w:p>
        </w:tc>
        <w:tc>
          <w:tcPr>
            <w:tcW w:w="1130" w:type="pct"/>
            <w:vAlign w:val="center"/>
          </w:tcPr>
          <w:p w14:paraId="0047A9BF" w14:textId="77777777" w:rsidR="007D6441" w:rsidRPr="00BB5174" w:rsidRDefault="007D6441" w:rsidP="00040BEE">
            <w:pPr>
              <w:jc w:val="center"/>
              <w:rPr>
                <w:rFonts w:ascii="Calibri" w:hAnsi="Calibri" w:cs="Times New Roman"/>
                <w:szCs w:val="21"/>
              </w:rPr>
            </w:pPr>
            <w:r w:rsidRPr="00BB5174">
              <w:rPr>
                <w:rFonts w:ascii="Calibri" w:cs="Times New Roman"/>
                <w:szCs w:val="21"/>
              </w:rPr>
              <w:t>总大肠菌群</w:t>
            </w:r>
            <w:r w:rsidRPr="00BB5174">
              <w:rPr>
                <w:rFonts w:ascii="Calibri" w:cs="Times New Roman" w:hint="eastAsia"/>
                <w:szCs w:val="21"/>
              </w:rPr>
              <w:t>（</w:t>
            </w:r>
            <w:r w:rsidRPr="00BB5174">
              <w:rPr>
                <w:rFonts w:ascii="Calibri" w:cs="Times New Roman"/>
                <w:szCs w:val="21"/>
              </w:rPr>
              <w:t>MPN/100mL</w:t>
            </w:r>
            <w:r w:rsidRPr="00BB5174">
              <w:rPr>
                <w:rFonts w:ascii="Calibri" w:cs="Times New Roman" w:hint="eastAsia"/>
                <w:szCs w:val="21"/>
              </w:rPr>
              <w:t>）</w:t>
            </w:r>
          </w:p>
        </w:tc>
        <w:tc>
          <w:tcPr>
            <w:tcW w:w="1139" w:type="pct"/>
            <w:vAlign w:val="center"/>
          </w:tcPr>
          <w:p w14:paraId="5847B730" w14:textId="77777777" w:rsidR="007D6441" w:rsidRPr="00BB5174" w:rsidRDefault="007D6441" w:rsidP="00040BEE">
            <w:pPr>
              <w:jc w:val="center"/>
              <w:rPr>
                <w:rFonts w:ascii="Calibri" w:cs="Times New Roman"/>
                <w:szCs w:val="21"/>
              </w:rPr>
            </w:pPr>
            <w:r w:rsidRPr="00BB5174">
              <w:rPr>
                <w:rFonts w:ascii="Calibri" w:cs="Times New Roman" w:hint="eastAsia"/>
                <w:szCs w:val="21"/>
              </w:rPr>
              <w:t>未检出</w:t>
            </w:r>
          </w:p>
        </w:tc>
        <w:tc>
          <w:tcPr>
            <w:tcW w:w="707" w:type="pct"/>
            <w:vAlign w:val="center"/>
          </w:tcPr>
          <w:p w14:paraId="524BA31E"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3ABD9B0D"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16F223CE"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08A57C0" w14:textId="77777777" w:rsidTr="007D6441">
        <w:trPr>
          <w:trHeight w:val="340"/>
        </w:trPr>
        <w:tc>
          <w:tcPr>
            <w:tcW w:w="580" w:type="pct"/>
            <w:vMerge/>
            <w:vAlign w:val="center"/>
          </w:tcPr>
          <w:p w14:paraId="5AF700E8" w14:textId="77777777" w:rsidR="007D6441" w:rsidRPr="00BB5174" w:rsidRDefault="007D6441" w:rsidP="00040BEE">
            <w:pPr>
              <w:jc w:val="center"/>
              <w:rPr>
                <w:rFonts w:ascii="Calibri" w:hAnsi="Calibri"/>
                <w:szCs w:val="21"/>
              </w:rPr>
            </w:pPr>
          </w:p>
        </w:tc>
        <w:tc>
          <w:tcPr>
            <w:tcW w:w="1130" w:type="pct"/>
            <w:vAlign w:val="center"/>
          </w:tcPr>
          <w:p w14:paraId="50EABBB7" w14:textId="77777777" w:rsidR="007D6441" w:rsidRPr="00BB5174" w:rsidRDefault="007D6441" w:rsidP="00040BEE">
            <w:pPr>
              <w:jc w:val="center"/>
              <w:rPr>
                <w:rFonts w:ascii="Calibri" w:hAnsi="Calibri" w:cs="Times New Roman"/>
                <w:szCs w:val="21"/>
              </w:rPr>
            </w:pPr>
            <w:r w:rsidRPr="00BB5174">
              <w:rPr>
                <w:rFonts w:ascii="Calibri" w:cs="Times New Roman"/>
                <w:szCs w:val="21"/>
              </w:rPr>
              <w:t>细菌总数</w:t>
            </w:r>
            <w:r w:rsidRPr="00BB5174">
              <w:rPr>
                <w:rFonts w:ascii="Calibri" w:cs="Times New Roman" w:hint="eastAsia"/>
                <w:szCs w:val="21"/>
              </w:rPr>
              <w:t>（</w:t>
            </w:r>
            <w:r w:rsidRPr="00BB5174">
              <w:rPr>
                <w:rFonts w:ascii="Calibri" w:cs="Times New Roman"/>
                <w:szCs w:val="21"/>
              </w:rPr>
              <w:t>CFU/mL</w:t>
            </w:r>
            <w:r w:rsidRPr="00BB5174">
              <w:rPr>
                <w:rFonts w:ascii="Calibri" w:cs="Times New Roman" w:hint="eastAsia"/>
                <w:szCs w:val="21"/>
              </w:rPr>
              <w:t>）</w:t>
            </w:r>
          </w:p>
        </w:tc>
        <w:tc>
          <w:tcPr>
            <w:tcW w:w="1139" w:type="pct"/>
            <w:vAlign w:val="center"/>
          </w:tcPr>
          <w:p w14:paraId="583049D9" w14:textId="77777777" w:rsidR="007D6441" w:rsidRPr="00BB5174" w:rsidRDefault="007D6441" w:rsidP="00040BEE">
            <w:pPr>
              <w:jc w:val="center"/>
              <w:rPr>
                <w:rFonts w:ascii="Calibri" w:cs="Times New Roman"/>
                <w:szCs w:val="21"/>
              </w:rPr>
            </w:pPr>
            <w:r w:rsidRPr="00BB5174">
              <w:rPr>
                <w:rFonts w:ascii="Calibri" w:cs="Times New Roman" w:hint="eastAsia"/>
                <w:szCs w:val="21"/>
              </w:rPr>
              <w:t>26</w:t>
            </w:r>
          </w:p>
        </w:tc>
        <w:tc>
          <w:tcPr>
            <w:tcW w:w="707" w:type="pct"/>
            <w:vAlign w:val="center"/>
          </w:tcPr>
          <w:p w14:paraId="4F8DF906"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14974A4D" w14:textId="77777777" w:rsidR="007D6441" w:rsidRPr="00BB5174" w:rsidRDefault="007D6441" w:rsidP="00040BEE">
            <w:pPr>
              <w:jc w:val="center"/>
              <w:rPr>
                <w:rFonts w:ascii="Calibri" w:hAnsi="Calibri"/>
                <w:szCs w:val="21"/>
              </w:rPr>
            </w:pPr>
            <w:r w:rsidRPr="00BB5174">
              <w:rPr>
                <w:rFonts w:ascii="Calibri" w:hAnsi="Calibri" w:hint="eastAsia"/>
                <w:szCs w:val="21"/>
              </w:rPr>
              <w:t>0.26</w:t>
            </w:r>
          </w:p>
        </w:tc>
        <w:tc>
          <w:tcPr>
            <w:tcW w:w="643" w:type="pct"/>
            <w:vAlign w:val="center"/>
          </w:tcPr>
          <w:p w14:paraId="0B0A2DC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9DCDE80" w14:textId="77777777" w:rsidTr="007D6441">
        <w:trPr>
          <w:trHeight w:val="340"/>
        </w:trPr>
        <w:tc>
          <w:tcPr>
            <w:tcW w:w="580" w:type="pct"/>
            <w:vMerge/>
            <w:vAlign w:val="center"/>
          </w:tcPr>
          <w:p w14:paraId="76552648" w14:textId="77777777" w:rsidR="007D6441" w:rsidRPr="00BB5174" w:rsidRDefault="007D6441" w:rsidP="00040BEE">
            <w:pPr>
              <w:jc w:val="center"/>
              <w:rPr>
                <w:rFonts w:ascii="Calibri" w:hAnsi="Calibri"/>
                <w:szCs w:val="21"/>
              </w:rPr>
            </w:pPr>
          </w:p>
        </w:tc>
        <w:tc>
          <w:tcPr>
            <w:tcW w:w="1130" w:type="pct"/>
            <w:vAlign w:val="center"/>
          </w:tcPr>
          <w:p w14:paraId="3BAA8793" w14:textId="77777777" w:rsidR="007D6441" w:rsidRPr="00BB5174" w:rsidRDefault="007D6441" w:rsidP="00040BEE">
            <w:pPr>
              <w:jc w:val="center"/>
              <w:rPr>
                <w:rFonts w:ascii="Calibri" w:hAnsi="Calibri" w:cs="Times New Roman"/>
                <w:szCs w:val="21"/>
              </w:rPr>
            </w:pPr>
            <w:r w:rsidRPr="00BB5174">
              <w:rPr>
                <w:rFonts w:ascii="Calibri" w:hAnsi="Calibri" w:cs="Times New Roman" w:hint="eastAsia"/>
                <w:szCs w:val="21"/>
              </w:rPr>
              <w:t>石油类</w:t>
            </w:r>
          </w:p>
        </w:tc>
        <w:tc>
          <w:tcPr>
            <w:tcW w:w="1139" w:type="pct"/>
            <w:vAlign w:val="center"/>
          </w:tcPr>
          <w:p w14:paraId="181FF024" w14:textId="77777777" w:rsidR="007D6441" w:rsidRPr="00BB5174" w:rsidRDefault="007D6441" w:rsidP="00040BEE">
            <w:pPr>
              <w:jc w:val="center"/>
              <w:rPr>
                <w:rFonts w:ascii="Calibri" w:cs="Times New Roman"/>
                <w:szCs w:val="21"/>
              </w:rPr>
            </w:pPr>
            <w:r w:rsidRPr="00BB5174">
              <w:rPr>
                <w:rFonts w:ascii="Calibri" w:cs="Times New Roman" w:hint="eastAsia"/>
                <w:szCs w:val="21"/>
              </w:rPr>
              <w:t>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1C4C5179" w14:textId="77777777" w:rsidR="007D6441" w:rsidRPr="00BB5174" w:rsidRDefault="007D6441" w:rsidP="00040BEE">
            <w:pPr>
              <w:jc w:val="center"/>
              <w:rPr>
                <w:rFonts w:ascii="Calibri" w:hAnsi="Calibri"/>
                <w:szCs w:val="21"/>
              </w:rPr>
            </w:pPr>
            <w:r w:rsidRPr="00BB5174">
              <w:rPr>
                <w:rFonts w:ascii="Calibri" w:hAnsi="Calibri"/>
                <w:szCs w:val="21"/>
              </w:rPr>
              <w:t>0.05</w:t>
            </w:r>
          </w:p>
        </w:tc>
        <w:tc>
          <w:tcPr>
            <w:tcW w:w="800" w:type="pct"/>
            <w:vAlign w:val="center"/>
          </w:tcPr>
          <w:p w14:paraId="36DE51DE"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09F7935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4D1C109" w14:textId="77777777" w:rsidTr="007D6441">
        <w:trPr>
          <w:trHeight w:val="340"/>
        </w:trPr>
        <w:tc>
          <w:tcPr>
            <w:tcW w:w="580" w:type="pct"/>
            <w:vMerge w:val="restart"/>
            <w:vAlign w:val="center"/>
          </w:tcPr>
          <w:p w14:paraId="2950C98A" w14:textId="77777777" w:rsidR="007D6441" w:rsidRDefault="007D6441" w:rsidP="00040BEE">
            <w:pPr>
              <w:jc w:val="center"/>
              <w:rPr>
                <w:rFonts w:ascii="Calibri" w:hAnsi="Calibri"/>
                <w:szCs w:val="21"/>
              </w:rPr>
            </w:pPr>
            <w:r w:rsidRPr="00BB5174">
              <w:rPr>
                <w:rFonts w:ascii="Calibri" w:hAnsi="Calibri" w:hint="eastAsia"/>
                <w:szCs w:val="21"/>
              </w:rPr>
              <w:t>泥河</w:t>
            </w:r>
          </w:p>
          <w:p w14:paraId="1B50827C" w14:textId="77777777" w:rsidR="007D6441" w:rsidRPr="00BB5174" w:rsidRDefault="007D6441" w:rsidP="00040BEE">
            <w:pPr>
              <w:jc w:val="center"/>
              <w:rPr>
                <w:rFonts w:ascii="Calibri" w:hAnsi="Calibri"/>
                <w:szCs w:val="21"/>
              </w:rPr>
            </w:pPr>
            <w:r w:rsidRPr="00BB5174">
              <w:rPr>
                <w:rFonts w:ascii="Calibri" w:hAnsi="Calibri" w:hint="eastAsia"/>
                <w:szCs w:val="21"/>
              </w:rPr>
              <w:t>张村</w:t>
            </w:r>
          </w:p>
        </w:tc>
        <w:tc>
          <w:tcPr>
            <w:tcW w:w="1130" w:type="pct"/>
            <w:vAlign w:val="center"/>
          </w:tcPr>
          <w:p w14:paraId="7AAA903B" w14:textId="77777777" w:rsidR="007D6441" w:rsidRPr="00BB5174" w:rsidRDefault="007D6441" w:rsidP="00040BEE">
            <w:pPr>
              <w:jc w:val="center"/>
              <w:rPr>
                <w:rFonts w:ascii="Calibri" w:hAnsi="Calibri"/>
                <w:szCs w:val="21"/>
              </w:rPr>
            </w:pPr>
            <w:r w:rsidRPr="00BB5174">
              <w:rPr>
                <w:rFonts w:ascii="Calibri" w:hAnsi="Calibri"/>
                <w:szCs w:val="21"/>
              </w:rPr>
              <w:t>pH</w:t>
            </w:r>
            <w:r w:rsidRPr="00BB5174">
              <w:rPr>
                <w:rFonts w:ascii="Calibri"/>
                <w:szCs w:val="21"/>
              </w:rPr>
              <w:t>值</w:t>
            </w:r>
          </w:p>
        </w:tc>
        <w:tc>
          <w:tcPr>
            <w:tcW w:w="1139" w:type="pct"/>
            <w:vAlign w:val="center"/>
          </w:tcPr>
          <w:p w14:paraId="7C6C28AE" w14:textId="77777777" w:rsidR="007D6441" w:rsidRPr="00BB5174" w:rsidRDefault="007D6441" w:rsidP="00040BEE">
            <w:pPr>
              <w:jc w:val="center"/>
              <w:rPr>
                <w:rFonts w:ascii="Calibri" w:hAnsi="Calibri"/>
                <w:szCs w:val="21"/>
              </w:rPr>
            </w:pPr>
            <w:r w:rsidRPr="00BB5174">
              <w:rPr>
                <w:rFonts w:ascii="Calibri" w:hAnsi="Calibri" w:hint="eastAsia"/>
                <w:szCs w:val="21"/>
              </w:rPr>
              <w:t>7.22</w:t>
            </w:r>
          </w:p>
        </w:tc>
        <w:tc>
          <w:tcPr>
            <w:tcW w:w="707" w:type="pct"/>
            <w:vAlign w:val="center"/>
          </w:tcPr>
          <w:p w14:paraId="5C61A826" w14:textId="77777777" w:rsidR="007D6441" w:rsidRPr="00BB5174" w:rsidRDefault="007D6441" w:rsidP="00040BEE">
            <w:pPr>
              <w:jc w:val="center"/>
              <w:rPr>
                <w:rFonts w:ascii="Calibri" w:hAnsi="Calibri"/>
                <w:szCs w:val="21"/>
              </w:rPr>
            </w:pPr>
            <w:r w:rsidRPr="00BB5174">
              <w:rPr>
                <w:rFonts w:ascii="Calibri" w:hAnsi="Calibri" w:hint="eastAsia"/>
                <w:szCs w:val="21"/>
              </w:rPr>
              <w:t>6.5</w:t>
            </w:r>
            <w:r w:rsidRPr="00BB5174">
              <w:rPr>
                <w:rFonts w:ascii="Calibri" w:hAnsi="Calibri" w:hint="eastAsia"/>
                <w:szCs w:val="21"/>
              </w:rPr>
              <w:t>～</w:t>
            </w:r>
            <w:r w:rsidRPr="00BB5174">
              <w:rPr>
                <w:rFonts w:ascii="Calibri" w:hAnsi="Calibri" w:hint="eastAsia"/>
                <w:szCs w:val="21"/>
              </w:rPr>
              <w:t>8.5</w:t>
            </w:r>
          </w:p>
        </w:tc>
        <w:tc>
          <w:tcPr>
            <w:tcW w:w="800" w:type="pct"/>
            <w:vAlign w:val="center"/>
          </w:tcPr>
          <w:p w14:paraId="297CAD45" w14:textId="77777777" w:rsidR="007D6441" w:rsidRPr="00BB5174" w:rsidRDefault="007D6441" w:rsidP="00040BEE">
            <w:pPr>
              <w:jc w:val="center"/>
              <w:rPr>
                <w:rFonts w:ascii="Calibri" w:hAnsi="Calibri"/>
                <w:szCs w:val="21"/>
              </w:rPr>
            </w:pPr>
            <w:r w:rsidRPr="00BB5174">
              <w:rPr>
                <w:rFonts w:ascii="Calibri" w:hAnsi="Calibri" w:hint="eastAsia"/>
                <w:szCs w:val="21"/>
              </w:rPr>
              <w:t>0.15</w:t>
            </w:r>
          </w:p>
        </w:tc>
        <w:tc>
          <w:tcPr>
            <w:tcW w:w="643" w:type="pct"/>
            <w:vAlign w:val="center"/>
          </w:tcPr>
          <w:p w14:paraId="2F10066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0168ED6" w14:textId="77777777" w:rsidTr="007D6441">
        <w:trPr>
          <w:trHeight w:val="340"/>
        </w:trPr>
        <w:tc>
          <w:tcPr>
            <w:tcW w:w="580" w:type="pct"/>
            <w:vMerge/>
            <w:vAlign w:val="center"/>
          </w:tcPr>
          <w:p w14:paraId="4DE72B2B" w14:textId="77777777" w:rsidR="007D6441" w:rsidRPr="00BB5174" w:rsidRDefault="007D6441" w:rsidP="00040BEE">
            <w:pPr>
              <w:jc w:val="center"/>
              <w:rPr>
                <w:rFonts w:ascii="Calibri" w:hAnsi="Calibri"/>
                <w:szCs w:val="21"/>
              </w:rPr>
            </w:pPr>
          </w:p>
        </w:tc>
        <w:tc>
          <w:tcPr>
            <w:tcW w:w="1130" w:type="pct"/>
            <w:vAlign w:val="center"/>
          </w:tcPr>
          <w:p w14:paraId="386FF39A" w14:textId="77777777" w:rsidR="007D6441" w:rsidRPr="00BB5174" w:rsidRDefault="007D6441" w:rsidP="00040BEE">
            <w:pPr>
              <w:jc w:val="center"/>
              <w:rPr>
                <w:rFonts w:ascii="Calibri" w:hAnsi="Calibri"/>
                <w:szCs w:val="21"/>
              </w:rPr>
            </w:pPr>
            <w:r w:rsidRPr="00BB5174">
              <w:rPr>
                <w:rFonts w:ascii="Calibri"/>
                <w:szCs w:val="21"/>
              </w:rPr>
              <w:t>氨氮</w:t>
            </w:r>
          </w:p>
        </w:tc>
        <w:tc>
          <w:tcPr>
            <w:tcW w:w="1139" w:type="pct"/>
            <w:vAlign w:val="center"/>
          </w:tcPr>
          <w:p w14:paraId="39E132C3" w14:textId="77777777" w:rsidR="007D6441" w:rsidRPr="00BB5174" w:rsidRDefault="007D6441" w:rsidP="00040BEE">
            <w:pPr>
              <w:jc w:val="center"/>
              <w:rPr>
                <w:rFonts w:ascii="Calibri" w:hAnsi="Calibri"/>
                <w:szCs w:val="21"/>
              </w:rPr>
            </w:pPr>
            <w:r w:rsidRPr="00BB5174">
              <w:rPr>
                <w:rFonts w:ascii="Calibri" w:hAnsi="Calibri" w:hint="eastAsia"/>
                <w:szCs w:val="21"/>
              </w:rPr>
              <w:t>0.02</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0F653830" w14:textId="77777777" w:rsidR="007D6441" w:rsidRPr="00BB5174" w:rsidRDefault="007D6441" w:rsidP="00040BEE">
            <w:pPr>
              <w:jc w:val="center"/>
              <w:rPr>
                <w:rFonts w:ascii="Calibri" w:hAnsi="Calibri"/>
                <w:szCs w:val="21"/>
              </w:rPr>
            </w:pPr>
            <w:r w:rsidRPr="00BB5174">
              <w:rPr>
                <w:rFonts w:ascii="Calibri" w:hAnsi="Calibri" w:hint="eastAsia"/>
                <w:szCs w:val="21"/>
              </w:rPr>
              <w:t>0.50</w:t>
            </w:r>
          </w:p>
        </w:tc>
        <w:tc>
          <w:tcPr>
            <w:tcW w:w="800" w:type="pct"/>
            <w:vAlign w:val="center"/>
          </w:tcPr>
          <w:p w14:paraId="392938A5"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7D6ED60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255CC1E" w14:textId="77777777" w:rsidTr="007D6441">
        <w:trPr>
          <w:trHeight w:val="340"/>
        </w:trPr>
        <w:tc>
          <w:tcPr>
            <w:tcW w:w="580" w:type="pct"/>
            <w:vMerge/>
            <w:vAlign w:val="center"/>
          </w:tcPr>
          <w:p w14:paraId="1C72609E" w14:textId="77777777" w:rsidR="007D6441" w:rsidRPr="00BB5174" w:rsidRDefault="007D6441" w:rsidP="00040BEE">
            <w:pPr>
              <w:jc w:val="center"/>
              <w:rPr>
                <w:rFonts w:ascii="Calibri" w:hAnsi="Calibri"/>
                <w:szCs w:val="21"/>
              </w:rPr>
            </w:pPr>
          </w:p>
        </w:tc>
        <w:tc>
          <w:tcPr>
            <w:tcW w:w="1130" w:type="pct"/>
            <w:vAlign w:val="center"/>
          </w:tcPr>
          <w:p w14:paraId="6AF13BB4" w14:textId="77777777" w:rsidR="007D6441" w:rsidRPr="00BB5174" w:rsidRDefault="007D6441" w:rsidP="00040BEE">
            <w:pPr>
              <w:jc w:val="center"/>
              <w:rPr>
                <w:rFonts w:cs="Times New Roman"/>
                <w:szCs w:val="21"/>
              </w:rPr>
            </w:pPr>
            <w:r w:rsidRPr="00BB5174">
              <w:rPr>
                <w:rFonts w:cs="Times New Roman"/>
                <w:szCs w:val="21"/>
              </w:rPr>
              <w:t>硝酸盐</w:t>
            </w:r>
          </w:p>
        </w:tc>
        <w:tc>
          <w:tcPr>
            <w:tcW w:w="1139" w:type="pct"/>
            <w:vAlign w:val="center"/>
          </w:tcPr>
          <w:p w14:paraId="438C4BF8"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707" w:type="pct"/>
            <w:vAlign w:val="center"/>
          </w:tcPr>
          <w:p w14:paraId="784B525D" w14:textId="77777777" w:rsidR="007D6441" w:rsidRPr="00BB5174" w:rsidRDefault="007D6441" w:rsidP="00040BEE">
            <w:pPr>
              <w:jc w:val="center"/>
              <w:rPr>
                <w:rFonts w:ascii="Calibri" w:hAnsi="Calibri"/>
                <w:szCs w:val="21"/>
              </w:rPr>
            </w:pPr>
            <w:r w:rsidRPr="00BB5174">
              <w:rPr>
                <w:rFonts w:ascii="Calibri" w:hAnsi="Calibri" w:hint="eastAsia"/>
                <w:szCs w:val="21"/>
              </w:rPr>
              <w:t>20.0</w:t>
            </w:r>
          </w:p>
        </w:tc>
        <w:tc>
          <w:tcPr>
            <w:tcW w:w="800" w:type="pct"/>
            <w:vAlign w:val="center"/>
          </w:tcPr>
          <w:p w14:paraId="7CA3C1DA" w14:textId="77777777" w:rsidR="007D6441" w:rsidRPr="00BB5174" w:rsidRDefault="007D6441" w:rsidP="00040BEE">
            <w:pPr>
              <w:jc w:val="center"/>
              <w:rPr>
                <w:rFonts w:ascii="Calibri" w:hAnsi="Calibri"/>
                <w:szCs w:val="21"/>
              </w:rPr>
            </w:pPr>
            <w:r w:rsidRPr="00BB5174">
              <w:rPr>
                <w:rFonts w:ascii="Calibri" w:hAnsi="Calibri" w:hint="eastAsia"/>
                <w:szCs w:val="21"/>
              </w:rPr>
              <w:t>0.15</w:t>
            </w:r>
          </w:p>
        </w:tc>
        <w:tc>
          <w:tcPr>
            <w:tcW w:w="643" w:type="pct"/>
            <w:vAlign w:val="center"/>
          </w:tcPr>
          <w:p w14:paraId="3150C301"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4362E56" w14:textId="77777777" w:rsidTr="007D6441">
        <w:trPr>
          <w:trHeight w:val="340"/>
        </w:trPr>
        <w:tc>
          <w:tcPr>
            <w:tcW w:w="580" w:type="pct"/>
            <w:vMerge/>
            <w:vAlign w:val="center"/>
          </w:tcPr>
          <w:p w14:paraId="30844AB4" w14:textId="77777777" w:rsidR="007D6441" w:rsidRPr="00BB5174" w:rsidRDefault="007D6441" w:rsidP="00040BEE">
            <w:pPr>
              <w:jc w:val="center"/>
              <w:rPr>
                <w:rFonts w:ascii="Calibri" w:hAnsi="Calibri"/>
                <w:szCs w:val="21"/>
              </w:rPr>
            </w:pPr>
          </w:p>
        </w:tc>
        <w:tc>
          <w:tcPr>
            <w:tcW w:w="1130" w:type="pct"/>
            <w:vAlign w:val="center"/>
          </w:tcPr>
          <w:p w14:paraId="5E32B0E2" w14:textId="77777777" w:rsidR="007D6441" w:rsidRPr="00BB5174" w:rsidRDefault="007D6441" w:rsidP="00040BEE">
            <w:pPr>
              <w:jc w:val="center"/>
              <w:rPr>
                <w:rFonts w:cs="Times New Roman"/>
                <w:szCs w:val="21"/>
              </w:rPr>
            </w:pPr>
            <w:r w:rsidRPr="00BB5174">
              <w:rPr>
                <w:rFonts w:cs="Times New Roman"/>
                <w:szCs w:val="21"/>
              </w:rPr>
              <w:t>亚硝酸盐</w:t>
            </w:r>
          </w:p>
        </w:tc>
        <w:tc>
          <w:tcPr>
            <w:tcW w:w="1139" w:type="pct"/>
            <w:vAlign w:val="center"/>
          </w:tcPr>
          <w:p w14:paraId="59B8C89C" w14:textId="77777777" w:rsidR="007D6441" w:rsidRPr="00BB5174" w:rsidRDefault="007D6441" w:rsidP="00040BEE">
            <w:pPr>
              <w:jc w:val="center"/>
              <w:rPr>
                <w:rFonts w:ascii="Calibri" w:hAnsi="Calibri"/>
                <w:szCs w:val="21"/>
              </w:rPr>
            </w:pPr>
            <w:r w:rsidRPr="00BB5174">
              <w:rPr>
                <w:rFonts w:ascii="Calibri" w:hAnsi="Calibri" w:hint="eastAsia"/>
                <w:szCs w:val="21"/>
              </w:rPr>
              <w:t>0.001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20F4E1D7"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6D88AE6C"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2F9863B7"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6106A84" w14:textId="77777777" w:rsidTr="007D6441">
        <w:trPr>
          <w:trHeight w:val="340"/>
        </w:trPr>
        <w:tc>
          <w:tcPr>
            <w:tcW w:w="580" w:type="pct"/>
            <w:vMerge/>
            <w:vAlign w:val="center"/>
          </w:tcPr>
          <w:p w14:paraId="2D9C5E54" w14:textId="77777777" w:rsidR="007D6441" w:rsidRPr="00BB5174" w:rsidRDefault="007D6441" w:rsidP="00040BEE">
            <w:pPr>
              <w:jc w:val="center"/>
              <w:rPr>
                <w:rFonts w:ascii="Calibri" w:hAnsi="Calibri"/>
                <w:szCs w:val="21"/>
              </w:rPr>
            </w:pPr>
          </w:p>
        </w:tc>
        <w:tc>
          <w:tcPr>
            <w:tcW w:w="1130" w:type="pct"/>
            <w:vAlign w:val="center"/>
          </w:tcPr>
          <w:p w14:paraId="62DB821F" w14:textId="77777777" w:rsidR="007D6441" w:rsidRPr="00BB5174" w:rsidRDefault="007D6441" w:rsidP="00040BEE">
            <w:pPr>
              <w:jc w:val="center"/>
              <w:rPr>
                <w:rFonts w:ascii="Calibri" w:hAnsi="Calibri"/>
                <w:szCs w:val="21"/>
              </w:rPr>
            </w:pPr>
            <w:r w:rsidRPr="00BB5174">
              <w:rPr>
                <w:rFonts w:ascii="Calibri" w:hAnsi="Calibri" w:hint="eastAsia"/>
                <w:szCs w:val="21"/>
              </w:rPr>
              <w:t>挥发性酚类</w:t>
            </w:r>
          </w:p>
        </w:tc>
        <w:tc>
          <w:tcPr>
            <w:tcW w:w="1139" w:type="pct"/>
            <w:vAlign w:val="center"/>
          </w:tcPr>
          <w:p w14:paraId="1A1BD5A7" w14:textId="77777777" w:rsidR="007D6441" w:rsidRPr="00BB5174" w:rsidRDefault="007D6441" w:rsidP="00040BEE">
            <w:pPr>
              <w:jc w:val="center"/>
              <w:rPr>
                <w:rFonts w:ascii="Calibri" w:hAnsi="Calibri"/>
                <w:szCs w:val="21"/>
              </w:rPr>
            </w:pPr>
            <w:r w:rsidRPr="00BB5174">
              <w:rPr>
                <w:rFonts w:ascii="Calibri" w:hAnsi="Calibri" w:hint="eastAsia"/>
                <w:szCs w:val="21"/>
              </w:rPr>
              <w:t>0.0003</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38E01AD8" w14:textId="77777777" w:rsidR="007D6441" w:rsidRPr="00BB5174" w:rsidRDefault="007D6441" w:rsidP="00040BEE">
            <w:pPr>
              <w:jc w:val="center"/>
              <w:rPr>
                <w:rFonts w:ascii="Calibri" w:hAnsi="Calibri"/>
                <w:szCs w:val="21"/>
              </w:rPr>
            </w:pPr>
            <w:r w:rsidRPr="00BB5174">
              <w:rPr>
                <w:rFonts w:ascii="Calibri" w:hAnsi="Calibri" w:hint="eastAsia"/>
                <w:szCs w:val="21"/>
              </w:rPr>
              <w:t>0.002</w:t>
            </w:r>
          </w:p>
        </w:tc>
        <w:tc>
          <w:tcPr>
            <w:tcW w:w="800" w:type="pct"/>
            <w:vAlign w:val="center"/>
          </w:tcPr>
          <w:p w14:paraId="0872ACA2"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3255865D"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E8007DB" w14:textId="77777777" w:rsidTr="007D6441">
        <w:trPr>
          <w:trHeight w:val="340"/>
        </w:trPr>
        <w:tc>
          <w:tcPr>
            <w:tcW w:w="580" w:type="pct"/>
            <w:vMerge/>
            <w:vAlign w:val="center"/>
          </w:tcPr>
          <w:p w14:paraId="0ED2FD6F" w14:textId="77777777" w:rsidR="007D6441" w:rsidRPr="00BB5174" w:rsidRDefault="007D6441" w:rsidP="00040BEE">
            <w:pPr>
              <w:jc w:val="center"/>
              <w:rPr>
                <w:rFonts w:ascii="Calibri" w:hAnsi="Calibri"/>
                <w:szCs w:val="21"/>
              </w:rPr>
            </w:pPr>
          </w:p>
        </w:tc>
        <w:tc>
          <w:tcPr>
            <w:tcW w:w="1130" w:type="pct"/>
            <w:vAlign w:val="center"/>
          </w:tcPr>
          <w:p w14:paraId="4F5136A2" w14:textId="77777777" w:rsidR="007D6441" w:rsidRPr="00BB5174" w:rsidRDefault="007D6441" w:rsidP="00040BEE">
            <w:pPr>
              <w:jc w:val="center"/>
              <w:rPr>
                <w:rFonts w:ascii="Calibri" w:hAnsi="Calibri"/>
                <w:szCs w:val="21"/>
              </w:rPr>
            </w:pPr>
            <w:r w:rsidRPr="00BB5174">
              <w:rPr>
                <w:rFonts w:ascii="Calibri" w:hAnsi="Calibri" w:hint="eastAsia"/>
                <w:szCs w:val="21"/>
              </w:rPr>
              <w:t>氰化物</w:t>
            </w:r>
          </w:p>
        </w:tc>
        <w:tc>
          <w:tcPr>
            <w:tcW w:w="1139" w:type="pct"/>
            <w:vAlign w:val="center"/>
          </w:tcPr>
          <w:p w14:paraId="79A9BE3D" w14:textId="77777777" w:rsidR="007D6441" w:rsidRPr="00BB5174" w:rsidRDefault="007D6441" w:rsidP="00040BEE">
            <w:pPr>
              <w:jc w:val="center"/>
              <w:rPr>
                <w:rFonts w:ascii="Calibri" w:hAnsi="Calibri"/>
                <w:szCs w:val="21"/>
              </w:rPr>
            </w:pPr>
            <w:r w:rsidRPr="00BB5174">
              <w:rPr>
                <w:rFonts w:ascii="Calibri" w:hAnsi="Calibri" w:hint="eastAsia"/>
                <w:szCs w:val="21"/>
              </w:rPr>
              <w:t>0.002</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7FF41EBF"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534C7780"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37915BE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A7CF3D4" w14:textId="77777777" w:rsidTr="007D6441">
        <w:trPr>
          <w:trHeight w:val="340"/>
        </w:trPr>
        <w:tc>
          <w:tcPr>
            <w:tcW w:w="580" w:type="pct"/>
            <w:vMerge/>
            <w:vAlign w:val="center"/>
          </w:tcPr>
          <w:p w14:paraId="70BA5351" w14:textId="77777777" w:rsidR="007D6441" w:rsidRPr="00BB5174" w:rsidRDefault="007D6441" w:rsidP="00040BEE">
            <w:pPr>
              <w:jc w:val="center"/>
              <w:rPr>
                <w:rFonts w:ascii="Calibri" w:hAnsi="Calibri"/>
                <w:szCs w:val="21"/>
              </w:rPr>
            </w:pPr>
          </w:p>
        </w:tc>
        <w:tc>
          <w:tcPr>
            <w:tcW w:w="1130" w:type="pct"/>
            <w:vAlign w:val="center"/>
          </w:tcPr>
          <w:p w14:paraId="371B46CF" w14:textId="77777777" w:rsidR="007D6441" w:rsidRPr="00BB5174" w:rsidRDefault="007D6441" w:rsidP="00040BEE">
            <w:pPr>
              <w:jc w:val="center"/>
              <w:rPr>
                <w:rFonts w:ascii="Calibri" w:hAnsi="Calibri"/>
                <w:szCs w:val="21"/>
              </w:rPr>
            </w:pPr>
            <w:r w:rsidRPr="00BB5174">
              <w:rPr>
                <w:rFonts w:ascii="Calibri" w:hAnsi="Calibri" w:hint="eastAsia"/>
                <w:szCs w:val="21"/>
              </w:rPr>
              <w:t>总硬度</w:t>
            </w:r>
          </w:p>
        </w:tc>
        <w:tc>
          <w:tcPr>
            <w:tcW w:w="1139" w:type="pct"/>
            <w:vAlign w:val="center"/>
          </w:tcPr>
          <w:p w14:paraId="2C783AC2" w14:textId="77777777" w:rsidR="007D6441" w:rsidRPr="00BB5174" w:rsidRDefault="007D6441" w:rsidP="00040BEE">
            <w:pPr>
              <w:jc w:val="center"/>
              <w:rPr>
                <w:rFonts w:ascii="Calibri" w:cs="Times New Roman"/>
                <w:szCs w:val="21"/>
              </w:rPr>
            </w:pPr>
            <w:r w:rsidRPr="00BB5174">
              <w:rPr>
                <w:rFonts w:ascii="Calibri" w:cs="Times New Roman" w:hint="eastAsia"/>
                <w:szCs w:val="21"/>
              </w:rPr>
              <w:t>285</w:t>
            </w:r>
          </w:p>
        </w:tc>
        <w:tc>
          <w:tcPr>
            <w:tcW w:w="707" w:type="pct"/>
            <w:vAlign w:val="center"/>
          </w:tcPr>
          <w:p w14:paraId="1B72E9DD" w14:textId="77777777" w:rsidR="007D6441" w:rsidRPr="00BB5174" w:rsidRDefault="007D6441" w:rsidP="00040BEE">
            <w:pPr>
              <w:jc w:val="center"/>
              <w:rPr>
                <w:rFonts w:ascii="Calibri" w:hAnsi="Calibri"/>
                <w:szCs w:val="21"/>
              </w:rPr>
            </w:pPr>
            <w:r w:rsidRPr="00BB5174">
              <w:rPr>
                <w:rFonts w:ascii="Calibri" w:hAnsi="Calibri" w:hint="eastAsia"/>
                <w:szCs w:val="21"/>
              </w:rPr>
              <w:t>450</w:t>
            </w:r>
          </w:p>
        </w:tc>
        <w:tc>
          <w:tcPr>
            <w:tcW w:w="800" w:type="pct"/>
            <w:vAlign w:val="center"/>
          </w:tcPr>
          <w:p w14:paraId="22827E68" w14:textId="77777777" w:rsidR="007D6441" w:rsidRPr="00BB5174" w:rsidRDefault="007D6441" w:rsidP="00040BEE">
            <w:pPr>
              <w:jc w:val="center"/>
              <w:rPr>
                <w:rFonts w:ascii="Calibri" w:hAnsi="Calibri"/>
                <w:szCs w:val="21"/>
              </w:rPr>
            </w:pPr>
            <w:r w:rsidRPr="00BB5174">
              <w:rPr>
                <w:rFonts w:ascii="Calibri" w:hAnsi="Calibri" w:hint="eastAsia"/>
                <w:szCs w:val="21"/>
              </w:rPr>
              <w:t>0.63</w:t>
            </w:r>
          </w:p>
        </w:tc>
        <w:tc>
          <w:tcPr>
            <w:tcW w:w="643" w:type="pct"/>
            <w:vAlign w:val="center"/>
          </w:tcPr>
          <w:p w14:paraId="03381B5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57EDE9B" w14:textId="77777777" w:rsidTr="007D6441">
        <w:trPr>
          <w:trHeight w:val="340"/>
        </w:trPr>
        <w:tc>
          <w:tcPr>
            <w:tcW w:w="580" w:type="pct"/>
            <w:vMerge/>
            <w:vAlign w:val="center"/>
          </w:tcPr>
          <w:p w14:paraId="46A2DA18" w14:textId="77777777" w:rsidR="007D6441" w:rsidRPr="00BB5174" w:rsidRDefault="007D6441" w:rsidP="00040BEE">
            <w:pPr>
              <w:jc w:val="center"/>
              <w:rPr>
                <w:rFonts w:ascii="Calibri" w:hAnsi="Calibri"/>
                <w:szCs w:val="21"/>
              </w:rPr>
            </w:pPr>
          </w:p>
        </w:tc>
        <w:tc>
          <w:tcPr>
            <w:tcW w:w="1130" w:type="pct"/>
            <w:vAlign w:val="center"/>
          </w:tcPr>
          <w:p w14:paraId="70959F89" w14:textId="77777777" w:rsidR="007D6441" w:rsidRPr="00BB5174" w:rsidRDefault="007D6441" w:rsidP="00040BEE">
            <w:pPr>
              <w:jc w:val="center"/>
              <w:rPr>
                <w:rFonts w:ascii="Calibri" w:hAnsi="Calibri"/>
                <w:szCs w:val="21"/>
              </w:rPr>
            </w:pPr>
            <w:r w:rsidRPr="00BB5174">
              <w:rPr>
                <w:rFonts w:ascii="Calibri"/>
                <w:szCs w:val="21"/>
              </w:rPr>
              <w:t>溶解性总固体</w:t>
            </w:r>
          </w:p>
        </w:tc>
        <w:tc>
          <w:tcPr>
            <w:tcW w:w="1139" w:type="pct"/>
            <w:vAlign w:val="center"/>
          </w:tcPr>
          <w:p w14:paraId="37163C49" w14:textId="77777777" w:rsidR="007D6441" w:rsidRPr="00BB5174" w:rsidRDefault="007D6441" w:rsidP="00040BEE">
            <w:pPr>
              <w:jc w:val="center"/>
              <w:rPr>
                <w:rFonts w:ascii="Calibri" w:cs="Times New Roman"/>
                <w:szCs w:val="21"/>
              </w:rPr>
            </w:pPr>
            <w:r w:rsidRPr="00BB5174">
              <w:rPr>
                <w:rFonts w:ascii="Calibri" w:cs="Times New Roman" w:hint="eastAsia"/>
                <w:szCs w:val="21"/>
              </w:rPr>
              <w:t>574</w:t>
            </w:r>
          </w:p>
        </w:tc>
        <w:tc>
          <w:tcPr>
            <w:tcW w:w="707" w:type="pct"/>
            <w:vAlign w:val="center"/>
          </w:tcPr>
          <w:p w14:paraId="6B139D8D" w14:textId="77777777" w:rsidR="007D6441" w:rsidRPr="00BB5174" w:rsidRDefault="007D6441" w:rsidP="00040BEE">
            <w:pPr>
              <w:jc w:val="center"/>
              <w:rPr>
                <w:rFonts w:ascii="Calibri" w:hAnsi="Calibri"/>
                <w:szCs w:val="21"/>
              </w:rPr>
            </w:pPr>
            <w:r w:rsidRPr="00BB5174">
              <w:rPr>
                <w:rFonts w:ascii="Calibri" w:hAnsi="Calibri" w:hint="eastAsia"/>
                <w:szCs w:val="21"/>
              </w:rPr>
              <w:t>1000</w:t>
            </w:r>
          </w:p>
        </w:tc>
        <w:tc>
          <w:tcPr>
            <w:tcW w:w="800" w:type="pct"/>
            <w:vAlign w:val="center"/>
          </w:tcPr>
          <w:p w14:paraId="6A900CAD" w14:textId="77777777" w:rsidR="007D6441" w:rsidRPr="00BB5174" w:rsidRDefault="007D6441" w:rsidP="00040BEE">
            <w:pPr>
              <w:jc w:val="center"/>
              <w:rPr>
                <w:rFonts w:ascii="Calibri" w:hAnsi="Calibri"/>
                <w:szCs w:val="21"/>
              </w:rPr>
            </w:pPr>
            <w:r w:rsidRPr="00BB5174">
              <w:rPr>
                <w:rFonts w:ascii="Calibri" w:hAnsi="Calibri" w:hint="eastAsia"/>
                <w:szCs w:val="21"/>
              </w:rPr>
              <w:t>0.574</w:t>
            </w:r>
          </w:p>
        </w:tc>
        <w:tc>
          <w:tcPr>
            <w:tcW w:w="643" w:type="pct"/>
            <w:vAlign w:val="center"/>
          </w:tcPr>
          <w:p w14:paraId="33433CC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E0076C1" w14:textId="77777777" w:rsidTr="007D6441">
        <w:trPr>
          <w:trHeight w:val="340"/>
        </w:trPr>
        <w:tc>
          <w:tcPr>
            <w:tcW w:w="580" w:type="pct"/>
            <w:vMerge/>
            <w:vAlign w:val="center"/>
          </w:tcPr>
          <w:p w14:paraId="5F2EAB03" w14:textId="77777777" w:rsidR="007D6441" w:rsidRPr="00BB5174" w:rsidRDefault="007D6441" w:rsidP="00040BEE">
            <w:pPr>
              <w:jc w:val="center"/>
              <w:rPr>
                <w:rFonts w:ascii="Calibri" w:hAnsi="Calibri"/>
                <w:szCs w:val="21"/>
              </w:rPr>
            </w:pPr>
          </w:p>
        </w:tc>
        <w:tc>
          <w:tcPr>
            <w:tcW w:w="1130" w:type="pct"/>
            <w:vAlign w:val="center"/>
          </w:tcPr>
          <w:p w14:paraId="1C636F9A" w14:textId="77777777" w:rsidR="007D6441" w:rsidRPr="00BB5174" w:rsidRDefault="007D6441" w:rsidP="00040BEE">
            <w:pPr>
              <w:jc w:val="center"/>
              <w:rPr>
                <w:rFonts w:ascii="Calibri" w:hAnsi="Calibri"/>
                <w:szCs w:val="21"/>
              </w:rPr>
            </w:pPr>
            <w:r w:rsidRPr="00BB5174">
              <w:rPr>
                <w:rFonts w:ascii="Calibri" w:hint="eastAsia"/>
                <w:szCs w:val="21"/>
              </w:rPr>
              <w:t>耗氧量</w:t>
            </w:r>
          </w:p>
        </w:tc>
        <w:tc>
          <w:tcPr>
            <w:tcW w:w="1139" w:type="pct"/>
            <w:vAlign w:val="center"/>
          </w:tcPr>
          <w:p w14:paraId="2DBD34CC" w14:textId="77777777" w:rsidR="007D6441" w:rsidRPr="00BB5174" w:rsidRDefault="007D6441" w:rsidP="00040BEE">
            <w:pPr>
              <w:jc w:val="center"/>
              <w:rPr>
                <w:rFonts w:ascii="Calibri" w:cs="Times New Roman"/>
                <w:szCs w:val="21"/>
              </w:rPr>
            </w:pPr>
            <w:r w:rsidRPr="00BB5174">
              <w:rPr>
                <w:rFonts w:ascii="Calibri" w:cs="Times New Roman" w:hint="eastAsia"/>
                <w:szCs w:val="21"/>
              </w:rPr>
              <w:t>0.88</w:t>
            </w:r>
          </w:p>
        </w:tc>
        <w:tc>
          <w:tcPr>
            <w:tcW w:w="707" w:type="pct"/>
            <w:vAlign w:val="center"/>
          </w:tcPr>
          <w:p w14:paraId="4E9F4562"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4F35A12F" w14:textId="77777777" w:rsidR="007D6441" w:rsidRPr="00BB5174" w:rsidRDefault="007D6441" w:rsidP="00040BEE">
            <w:pPr>
              <w:jc w:val="center"/>
              <w:rPr>
                <w:rFonts w:ascii="Calibri" w:hAnsi="Calibri"/>
                <w:szCs w:val="21"/>
              </w:rPr>
            </w:pPr>
            <w:r w:rsidRPr="00BB5174">
              <w:rPr>
                <w:rFonts w:ascii="Calibri" w:hAnsi="Calibri" w:hint="eastAsia"/>
                <w:szCs w:val="21"/>
              </w:rPr>
              <w:t>0.29</w:t>
            </w:r>
          </w:p>
        </w:tc>
        <w:tc>
          <w:tcPr>
            <w:tcW w:w="643" w:type="pct"/>
            <w:vAlign w:val="center"/>
          </w:tcPr>
          <w:p w14:paraId="5775671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F62E6E3" w14:textId="77777777" w:rsidTr="007D6441">
        <w:trPr>
          <w:trHeight w:val="340"/>
        </w:trPr>
        <w:tc>
          <w:tcPr>
            <w:tcW w:w="580" w:type="pct"/>
            <w:vMerge/>
            <w:vAlign w:val="center"/>
          </w:tcPr>
          <w:p w14:paraId="02D8BA0F" w14:textId="77777777" w:rsidR="007D6441" w:rsidRPr="00BB5174" w:rsidRDefault="007D6441" w:rsidP="00040BEE">
            <w:pPr>
              <w:jc w:val="center"/>
              <w:rPr>
                <w:rFonts w:ascii="Calibri" w:hAnsi="Calibri"/>
                <w:szCs w:val="21"/>
              </w:rPr>
            </w:pPr>
          </w:p>
        </w:tc>
        <w:tc>
          <w:tcPr>
            <w:tcW w:w="1130" w:type="pct"/>
            <w:vAlign w:val="center"/>
          </w:tcPr>
          <w:p w14:paraId="4F669329" w14:textId="77777777" w:rsidR="007D6441" w:rsidRPr="00BB5174" w:rsidRDefault="007D6441" w:rsidP="00040BEE">
            <w:pPr>
              <w:jc w:val="center"/>
              <w:rPr>
                <w:rFonts w:ascii="Calibri" w:hAnsi="Calibri"/>
                <w:szCs w:val="21"/>
              </w:rPr>
            </w:pPr>
            <w:r w:rsidRPr="00BB5174">
              <w:rPr>
                <w:rFonts w:ascii="Calibri" w:hAnsi="Calibri" w:hint="eastAsia"/>
                <w:szCs w:val="21"/>
              </w:rPr>
              <w:t>氟化物</w:t>
            </w:r>
          </w:p>
        </w:tc>
        <w:tc>
          <w:tcPr>
            <w:tcW w:w="1139" w:type="pct"/>
            <w:vAlign w:val="center"/>
          </w:tcPr>
          <w:p w14:paraId="2D287134" w14:textId="77777777" w:rsidR="007D6441" w:rsidRPr="00BB5174" w:rsidRDefault="007D6441" w:rsidP="00040BEE">
            <w:pPr>
              <w:jc w:val="center"/>
              <w:rPr>
                <w:rFonts w:ascii="Calibri" w:cs="Times New Roman"/>
                <w:szCs w:val="21"/>
              </w:rPr>
            </w:pPr>
            <w:r w:rsidRPr="00BB5174">
              <w:rPr>
                <w:rFonts w:ascii="Calibri" w:cs="Times New Roman" w:hint="eastAsia"/>
                <w:szCs w:val="21"/>
              </w:rPr>
              <w:t>0.9</w:t>
            </w:r>
          </w:p>
        </w:tc>
        <w:tc>
          <w:tcPr>
            <w:tcW w:w="707" w:type="pct"/>
            <w:vAlign w:val="center"/>
          </w:tcPr>
          <w:p w14:paraId="038B9230" w14:textId="77777777" w:rsidR="007D6441" w:rsidRPr="00BB5174" w:rsidRDefault="007D6441" w:rsidP="00040BEE">
            <w:pPr>
              <w:jc w:val="center"/>
              <w:rPr>
                <w:rFonts w:ascii="Calibri" w:hAnsi="Calibri"/>
                <w:szCs w:val="21"/>
              </w:rPr>
            </w:pPr>
            <w:r w:rsidRPr="00BB5174">
              <w:rPr>
                <w:rFonts w:ascii="Calibri" w:hAnsi="Calibri" w:hint="eastAsia"/>
                <w:szCs w:val="21"/>
              </w:rPr>
              <w:t>1.0</w:t>
            </w:r>
          </w:p>
        </w:tc>
        <w:tc>
          <w:tcPr>
            <w:tcW w:w="800" w:type="pct"/>
            <w:vAlign w:val="center"/>
          </w:tcPr>
          <w:p w14:paraId="1C73FB0E" w14:textId="77777777" w:rsidR="007D6441" w:rsidRPr="00BB5174" w:rsidRDefault="007D6441" w:rsidP="00040BEE">
            <w:pPr>
              <w:jc w:val="center"/>
              <w:rPr>
                <w:rFonts w:ascii="Calibri" w:hAnsi="Calibri"/>
                <w:szCs w:val="21"/>
              </w:rPr>
            </w:pPr>
            <w:r w:rsidRPr="00BB5174">
              <w:rPr>
                <w:rFonts w:ascii="Calibri" w:cs="Times New Roman" w:hint="eastAsia"/>
                <w:szCs w:val="21"/>
              </w:rPr>
              <w:t>0.90</w:t>
            </w:r>
          </w:p>
        </w:tc>
        <w:tc>
          <w:tcPr>
            <w:tcW w:w="643" w:type="pct"/>
            <w:vAlign w:val="center"/>
          </w:tcPr>
          <w:p w14:paraId="287303B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1F6DE36A" w14:textId="77777777" w:rsidTr="007D6441">
        <w:trPr>
          <w:trHeight w:val="340"/>
        </w:trPr>
        <w:tc>
          <w:tcPr>
            <w:tcW w:w="580" w:type="pct"/>
            <w:vMerge/>
            <w:vAlign w:val="center"/>
          </w:tcPr>
          <w:p w14:paraId="70407704" w14:textId="77777777" w:rsidR="007D6441" w:rsidRPr="00BB5174" w:rsidRDefault="007D6441" w:rsidP="00040BEE">
            <w:pPr>
              <w:jc w:val="center"/>
              <w:rPr>
                <w:rFonts w:ascii="Calibri" w:hAnsi="Calibri"/>
                <w:szCs w:val="21"/>
              </w:rPr>
            </w:pPr>
          </w:p>
        </w:tc>
        <w:tc>
          <w:tcPr>
            <w:tcW w:w="1130" w:type="pct"/>
            <w:vAlign w:val="center"/>
          </w:tcPr>
          <w:p w14:paraId="7422CB83" w14:textId="77777777" w:rsidR="007D6441" w:rsidRPr="00BB5174" w:rsidRDefault="007D6441" w:rsidP="00040BEE">
            <w:pPr>
              <w:jc w:val="center"/>
              <w:rPr>
                <w:rFonts w:ascii="Calibri" w:hAnsi="Calibri"/>
                <w:szCs w:val="21"/>
              </w:rPr>
            </w:pPr>
            <w:r w:rsidRPr="00BB5174">
              <w:rPr>
                <w:rFonts w:ascii="Calibri" w:hAnsi="Calibri" w:hint="eastAsia"/>
                <w:szCs w:val="21"/>
              </w:rPr>
              <w:t>汞</w:t>
            </w:r>
          </w:p>
        </w:tc>
        <w:tc>
          <w:tcPr>
            <w:tcW w:w="1139" w:type="pct"/>
            <w:vAlign w:val="center"/>
          </w:tcPr>
          <w:p w14:paraId="75E6528E" w14:textId="77777777" w:rsidR="007D6441" w:rsidRPr="00BB5174" w:rsidRDefault="007D6441" w:rsidP="00040BEE">
            <w:pPr>
              <w:jc w:val="center"/>
              <w:rPr>
                <w:rFonts w:ascii="Calibri" w:hAnsi="Calibri"/>
                <w:szCs w:val="21"/>
              </w:rPr>
            </w:pPr>
            <w:r w:rsidRPr="00BB5174">
              <w:rPr>
                <w:rFonts w:ascii="Calibri" w:hAnsi="Calibri" w:hint="eastAsia"/>
                <w:szCs w:val="21"/>
              </w:rPr>
              <w:t>0.0001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1FF9F611" w14:textId="77777777" w:rsidR="007D6441" w:rsidRPr="00BB5174" w:rsidRDefault="007D6441" w:rsidP="00040BEE">
            <w:pPr>
              <w:jc w:val="center"/>
              <w:rPr>
                <w:rFonts w:ascii="Calibri" w:hAnsi="Calibri"/>
                <w:szCs w:val="21"/>
              </w:rPr>
            </w:pPr>
            <w:r w:rsidRPr="00BB5174">
              <w:rPr>
                <w:rFonts w:ascii="Calibri" w:hAnsi="Calibri" w:hint="eastAsia"/>
                <w:szCs w:val="21"/>
              </w:rPr>
              <w:t>0.001</w:t>
            </w:r>
          </w:p>
        </w:tc>
        <w:tc>
          <w:tcPr>
            <w:tcW w:w="800" w:type="pct"/>
            <w:vAlign w:val="center"/>
          </w:tcPr>
          <w:p w14:paraId="5361B3FB"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66427ACC"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AAC7CE4" w14:textId="77777777" w:rsidTr="007D6441">
        <w:trPr>
          <w:trHeight w:val="340"/>
        </w:trPr>
        <w:tc>
          <w:tcPr>
            <w:tcW w:w="580" w:type="pct"/>
            <w:vMerge/>
            <w:vAlign w:val="center"/>
          </w:tcPr>
          <w:p w14:paraId="55BA2449" w14:textId="77777777" w:rsidR="007D6441" w:rsidRPr="00BB5174" w:rsidRDefault="007D6441" w:rsidP="00040BEE">
            <w:pPr>
              <w:jc w:val="center"/>
              <w:rPr>
                <w:rFonts w:ascii="Calibri" w:hAnsi="Calibri"/>
                <w:szCs w:val="21"/>
              </w:rPr>
            </w:pPr>
          </w:p>
        </w:tc>
        <w:tc>
          <w:tcPr>
            <w:tcW w:w="1130" w:type="pct"/>
            <w:vAlign w:val="center"/>
          </w:tcPr>
          <w:p w14:paraId="610EE8FF" w14:textId="77777777" w:rsidR="007D6441" w:rsidRPr="00BB5174" w:rsidRDefault="007D6441" w:rsidP="00040BEE">
            <w:pPr>
              <w:jc w:val="center"/>
              <w:rPr>
                <w:rFonts w:ascii="Calibri" w:hAnsi="Calibri"/>
                <w:szCs w:val="21"/>
              </w:rPr>
            </w:pPr>
            <w:r w:rsidRPr="00BB5174">
              <w:rPr>
                <w:rFonts w:ascii="Calibri" w:hAnsi="Calibri" w:hint="eastAsia"/>
                <w:szCs w:val="21"/>
              </w:rPr>
              <w:t>砷</w:t>
            </w:r>
          </w:p>
        </w:tc>
        <w:tc>
          <w:tcPr>
            <w:tcW w:w="1139" w:type="pct"/>
            <w:vAlign w:val="center"/>
          </w:tcPr>
          <w:p w14:paraId="140D6EBC" w14:textId="77777777" w:rsidR="007D6441" w:rsidRPr="00BB5174" w:rsidRDefault="007D6441" w:rsidP="00040BEE">
            <w:pPr>
              <w:jc w:val="center"/>
              <w:rPr>
                <w:rFonts w:ascii="Calibri" w:hAnsi="Calibri"/>
                <w:szCs w:val="21"/>
              </w:rPr>
            </w:pPr>
            <w:r w:rsidRPr="00BB5174">
              <w:rPr>
                <w:rFonts w:ascii="Calibri" w:hAnsi="Calibri" w:hint="eastAsia"/>
                <w:szCs w:val="21"/>
              </w:rPr>
              <w:t>0.001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625DCB95" w14:textId="77777777" w:rsidR="007D6441" w:rsidRPr="00BB5174" w:rsidRDefault="007D6441" w:rsidP="00040BEE">
            <w:pPr>
              <w:jc w:val="center"/>
              <w:rPr>
                <w:rFonts w:ascii="Calibri" w:hAnsi="Calibri"/>
                <w:szCs w:val="21"/>
              </w:rPr>
            </w:pPr>
            <w:r w:rsidRPr="00BB5174">
              <w:rPr>
                <w:rFonts w:ascii="Calibri" w:hAnsi="Calibri" w:hint="eastAsia"/>
                <w:szCs w:val="21"/>
              </w:rPr>
              <w:t>0.01</w:t>
            </w:r>
          </w:p>
        </w:tc>
        <w:tc>
          <w:tcPr>
            <w:tcW w:w="800" w:type="pct"/>
            <w:vAlign w:val="center"/>
          </w:tcPr>
          <w:p w14:paraId="4357F031"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1FA6523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CE65C4E" w14:textId="77777777" w:rsidTr="007D6441">
        <w:trPr>
          <w:trHeight w:val="340"/>
        </w:trPr>
        <w:tc>
          <w:tcPr>
            <w:tcW w:w="580" w:type="pct"/>
            <w:vMerge/>
            <w:vAlign w:val="center"/>
          </w:tcPr>
          <w:p w14:paraId="56401529" w14:textId="77777777" w:rsidR="007D6441" w:rsidRPr="00BB5174" w:rsidRDefault="007D6441" w:rsidP="00040BEE">
            <w:pPr>
              <w:jc w:val="center"/>
              <w:rPr>
                <w:rFonts w:ascii="Calibri" w:hAnsi="Calibri"/>
                <w:szCs w:val="21"/>
              </w:rPr>
            </w:pPr>
          </w:p>
        </w:tc>
        <w:tc>
          <w:tcPr>
            <w:tcW w:w="1130" w:type="pct"/>
            <w:vAlign w:val="center"/>
          </w:tcPr>
          <w:p w14:paraId="7378BA08" w14:textId="77777777" w:rsidR="007D6441" w:rsidRPr="00BB5174" w:rsidRDefault="007D6441" w:rsidP="00040BEE">
            <w:pPr>
              <w:jc w:val="center"/>
              <w:rPr>
                <w:rFonts w:ascii="Calibri"/>
                <w:szCs w:val="21"/>
              </w:rPr>
            </w:pPr>
            <w:r w:rsidRPr="00BB5174">
              <w:rPr>
                <w:rFonts w:ascii="Calibri" w:hint="eastAsia"/>
                <w:szCs w:val="21"/>
              </w:rPr>
              <w:t>铅</w:t>
            </w:r>
          </w:p>
        </w:tc>
        <w:tc>
          <w:tcPr>
            <w:tcW w:w="1139" w:type="pct"/>
            <w:vAlign w:val="center"/>
          </w:tcPr>
          <w:p w14:paraId="7985B392" w14:textId="77777777" w:rsidR="007D6441" w:rsidRPr="00BB5174" w:rsidRDefault="007D6441" w:rsidP="00040BEE">
            <w:pPr>
              <w:jc w:val="center"/>
              <w:rPr>
                <w:rFonts w:ascii="Calibri" w:cs="Times New Roman"/>
                <w:szCs w:val="21"/>
              </w:rPr>
            </w:pPr>
            <w:r w:rsidRPr="00BB5174">
              <w:rPr>
                <w:rFonts w:ascii="Calibri" w:cs="Times New Roman" w:hint="eastAsia"/>
                <w:szCs w:val="21"/>
              </w:rPr>
              <w:t>0.0025</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1946F32F" w14:textId="77777777" w:rsidR="007D6441" w:rsidRPr="00BB5174" w:rsidRDefault="007D6441" w:rsidP="00040BEE">
            <w:pPr>
              <w:jc w:val="center"/>
              <w:rPr>
                <w:rFonts w:ascii="Calibri" w:hAnsi="Calibri"/>
                <w:szCs w:val="21"/>
              </w:rPr>
            </w:pPr>
            <w:r w:rsidRPr="00BB5174">
              <w:rPr>
                <w:rFonts w:ascii="Calibri" w:hAnsi="Calibri" w:hint="eastAsia"/>
                <w:szCs w:val="21"/>
              </w:rPr>
              <w:t>0.01</w:t>
            </w:r>
          </w:p>
        </w:tc>
        <w:tc>
          <w:tcPr>
            <w:tcW w:w="800" w:type="pct"/>
            <w:vAlign w:val="center"/>
          </w:tcPr>
          <w:p w14:paraId="51EC1163"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6863EF7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F1FF5A4" w14:textId="77777777" w:rsidTr="007D6441">
        <w:trPr>
          <w:trHeight w:val="340"/>
        </w:trPr>
        <w:tc>
          <w:tcPr>
            <w:tcW w:w="580" w:type="pct"/>
            <w:vMerge/>
            <w:vAlign w:val="center"/>
          </w:tcPr>
          <w:p w14:paraId="0C6FFF65" w14:textId="77777777" w:rsidR="007D6441" w:rsidRPr="00BB5174" w:rsidRDefault="007D6441" w:rsidP="00040BEE">
            <w:pPr>
              <w:jc w:val="center"/>
              <w:rPr>
                <w:rFonts w:ascii="Calibri" w:hAnsi="Calibri"/>
                <w:szCs w:val="21"/>
              </w:rPr>
            </w:pPr>
          </w:p>
        </w:tc>
        <w:tc>
          <w:tcPr>
            <w:tcW w:w="1130" w:type="pct"/>
            <w:vAlign w:val="center"/>
          </w:tcPr>
          <w:p w14:paraId="3FA57E1D" w14:textId="77777777" w:rsidR="007D6441" w:rsidRPr="00BB5174" w:rsidRDefault="007D6441" w:rsidP="00040BEE">
            <w:pPr>
              <w:jc w:val="center"/>
              <w:rPr>
                <w:rFonts w:ascii="Calibri" w:hAnsi="Calibri"/>
                <w:szCs w:val="21"/>
              </w:rPr>
            </w:pPr>
            <w:r w:rsidRPr="00BB5174">
              <w:rPr>
                <w:rFonts w:ascii="Calibri" w:hAnsi="Calibri" w:hint="eastAsia"/>
                <w:szCs w:val="21"/>
              </w:rPr>
              <w:t>镉</w:t>
            </w:r>
          </w:p>
        </w:tc>
        <w:tc>
          <w:tcPr>
            <w:tcW w:w="1139" w:type="pct"/>
            <w:vAlign w:val="center"/>
          </w:tcPr>
          <w:p w14:paraId="4AE3EFC2" w14:textId="77777777" w:rsidR="007D6441" w:rsidRPr="00BB5174" w:rsidRDefault="007D6441" w:rsidP="00040BEE">
            <w:pPr>
              <w:jc w:val="center"/>
              <w:rPr>
                <w:rFonts w:ascii="Calibri" w:cs="Times New Roman"/>
                <w:szCs w:val="21"/>
              </w:rPr>
            </w:pPr>
            <w:r w:rsidRPr="00BB5174">
              <w:rPr>
                <w:rFonts w:ascii="Calibri" w:cs="Times New Roman" w:hint="eastAsia"/>
                <w:szCs w:val="21"/>
              </w:rPr>
              <w:t>0.005</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2571BB6C" w14:textId="77777777" w:rsidR="007D6441" w:rsidRPr="00BB5174" w:rsidRDefault="007D6441" w:rsidP="00040BEE">
            <w:pPr>
              <w:jc w:val="center"/>
              <w:rPr>
                <w:rFonts w:ascii="Calibri" w:hAnsi="Calibri"/>
                <w:szCs w:val="21"/>
              </w:rPr>
            </w:pPr>
            <w:r w:rsidRPr="00BB5174">
              <w:rPr>
                <w:rFonts w:ascii="Calibri" w:hAnsi="Calibri" w:hint="eastAsia"/>
                <w:szCs w:val="21"/>
              </w:rPr>
              <w:t>0.005</w:t>
            </w:r>
          </w:p>
        </w:tc>
        <w:tc>
          <w:tcPr>
            <w:tcW w:w="800" w:type="pct"/>
            <w:vAlign w:val="center"/>
          </w:tcPr>
          <w:p w14:paraId="172FDED3"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22840E29"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3CDAE1F1" w14:textId="77777777" w:rsidTr="007D6441">
        <w:trPr>
          <w:trHeight w:val="340"/>
        </w:trPr>
        <w:tc>
          <w:tcPr>
            <w:tcW w:w="580" w:type="pct"/>
            <w:vMerge/>
            <w:vAlign w:val="center"/>
          </w:tcPr>
          <w:p w14:paraId="481F57A4" w14:textId="77777777" w:rsidR="007D6441" w:rsidRPr="00BB5174" w:rsidRDefault="007D6441" w:rsidP="00040BEE">
            <w:pPr>
              <w:jc w:val="center"/>
              <w:rPr>
                <w:rFonts w:ascii="Calibri" w:hAnsi="Calibri"/>
                <w:szCs w:val="21"/>
              </w:rPr>
            </w:pPr>
          </w:p>
        </w:tc>
        <w:tc>
          <w:tcPr>
            <w:tcW w:w="1130" w:type="pct"/>
            <w:vAlign w:val="center"/>
          </w:tcPr>
          <w:p w14:paraId="7571F7DB" w14:textId="77777777" w:rsidR="007D6441" w:rsidRPr="00BB5174" w:rsidRDefault="007D6441" w:rsidP="00040BEE">
            <w:pPr>
              <w:jc w:val="center"/>
              <w:rPr>
                <w:rFonts w:ascii="Calibri" w:hAnsi="Calibri"/>
                <w:szCs w:val="21"/>
              </w:rPr>
            </w:pPr>
            <w:r w:rsidRPr="00BB5174">
              <w:rPr>
                <w:rFonts w:ascii="Calibri" w:hAnsi="Calibri" w:hint="eastAsia"/>
                <w:szCs w:val="21"/>
              </w:rPr>
              <w:t>铁</w:t>
            </w:r>
          </w:p>
        </w:tc>
        <w:tc>
          <w:tcPr>
            <w:tcW w:w="1139" w:type="pct"/>
            <w:vAlign w:val="center"/>
          </w:tcPr>
          <w:p w14:paraId="303E7F20" w14:textId="77777777" w:rsidR="007D6441" w:rsidRPr="00BB5174" w:rsidRDefault="007D6441" w:rsidP="00040BEE">
            <w:pPr>
              <w:jc w:val="center"/>
              <w:rPr>
                <w:rFonts w:ascii="Calibri" w:cs="Times New Roman"/>
                <w:szCs w:val="21"/>
              </w:rPr>
            </w:pPr>
            <w:r w:rsidRPr="00BB5174">
              <w:rPr>
                <w:rFonts w:ascii="Calibri" w:cs="Times New Roman" w:hint="eastAsia"/>
                <w:szCs w:val="21"/>
              </w:rPr>
              <w:t>0.03</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689FBE1F" w14:textId="77777777" w:rsidR="007D6441" w:rsidRPr="00BB5174" w:rsidRDefault="007D6441" w:rsidP="00040BEE">
            <w:pPr>
              <w:jc w:val="center"/>
              <w:rPr>
                <w:rFonts w:ascii="Calibri" w:hAnsi="Calibri"/>
                <w:szCs w:val="21"/>
              </w:rPr>
            </w:pPr>
            <w:r w:rsidRPr="00BB5174">
              <w:rPr>
                <w:rFonts w:ascii="Calibri" w:hAnsi="Calibri" w:hint="eastAsia"/>
                <w:szCs w:val="21"/>
              </w:rPr>
              <w:t>0.3</w:t>
            </w:r>
          </w:p>
        </w:tc>
        <w:tc>
          <w:tcPr>
            <w:tcW w:w="800" w:type="pct"/>
            <w:vAlign w:val="center"/>
          </w:tcPr>
          <w:p w14:paraId="534DA0C0"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641CB86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F84C712" w14:textId="77777777" w:rsidTr="007D6441">
        <w:trPr>
          <w:trHeight w:val="340"/>
        </w:trPr>
        <w:tc>
          <w:tcPr>
            <w:tcW w:w="580" w:type="pct"/>
            <w:vMerge/>
            <w:vAlign w:val="center"/>
          </w:tcPr>
          <w:p w14:paraId="341ABFEE" w14:textId="77777777" w:rsidR="007D6441" w:rsidRPr="00BB5174" w:rsidRDefault="007D6441" w:rsidP="00040BEE">
            <w:pPr>
              <w:jc w:val="center"/>
              <w:rPr>
                <w:rFonts w:ascii="Calibri" w:hAnsi="Calibri"/>
                <w:szCs w:val="21"/>
              </w:rPr>
            </w:pPr>
          </w:p>
        </w:tc>
        <w:tc>
          <w:tcPr>
            <w:tcW w:w="1130" w:type="pct"/>
            <w:vAlign w:val="center"/>
          </w:tcPr>
          <w:p w14:paraId="0141DE17" w14:textId="77777777" w:rsidR="007D6441" w:rsidRPr="00BB5174" w:rsidRDefault="007D6441" w:rsidP="00040BEE">
            <w:pPr>
              <w:jc w:val="center"/>
              <w:rPr>
                <w:rFonts w:cs="Times New Roman"/>
                <w:szCs w:val="21"/>
              </w:rPr>
            </w:pPr>
            <w:r w:rsidRPr="00BB5174">
              <w:rPr>
                <w:rFonts w:cs="Times New Roman" w:hint="eastAsia"/>
                <w:szCs w:val="21"/>
              </w:rPr>
              <w:t>锰</w:t>
            </w:r>
          </w:p>
        </w:tc>
        <w:tc>
          <w:tcPr>
            <w:tcW w:w="1139" w:type="pct"/>
            <w:vAlign w:val="center"/>
          </w:tcPr>
          <w:p w14:paraId="56F1B68D" w14:textId="77777777" w:rsidR="007D6441" w:rsidRPr="00BB5174" w:rsidRDefault="007D6441" w:rsidP="00040BEE">
            <w:pPr>
              <w:jc w:val="center"/>
              <w:rPr>
                <w:rFonts w:ascii="Calibri" w:cs="Times New Roman"/>
                <w:szCs w:val="21"/>
              </w:rPr>
            </w:pPr>
            <w:r w:rsidRPr="00BB5174">
              <w:rPr>
                <w:rFonts w:ascii="Calibri" w:cs="Times New Roman" w:hint="eastAsia"/>
                <w:szCs w:val="21"/>
              </w:rPr>
              <w:t>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11F520C9" w14:textId="77777777" w:rsidR="007D6441" w:rsidRPr="00BB5174" w:rsidRDefault="007D6441" w:rsidP="00040BEE">
            <w:pPr>
              <w:jc w:val="center"/>
              <w:rPr>
                <w:rFonts w:ascii="Calibri" w:hAnsi="Calibri"/>
                <w:szCs w:val="21"/>
              </w:rPr>
            </w:pPr>
            <w:r w:rsidRPr="00BB5174">
              <w:rPr>
                <w:rFonts w:ascii="Calibri" w:hAnsi="Calibri" w:hint="eastAsia"/>
                <w:szCs w:val="21"/>
              </w:rPr>
              <w:t>0.10</w:t>
            </w:r>
          </w:p>
        </w:tc>
        <w:tc>
          <w:tcPr>
            <w:tcW w:w="800" w:type="pct"/>
            <w:vAlign w:val="center"/>
          </w:tcPr>
          <w:p w14:paraId="03F76AA2"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45C2716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667AC6C4" w14:textId="77777777" w:rsidTr="007D6441">
        <w:trPr>
          <w:trHeight w:val="340"/>
        </w:trPr>
        <w:tc>
          <w:tcPr>
            <w:tcW w:w="580" w:type="pct"/>
            <w:vMerge/>
            <w:vAlign w:val="center"/>
          </w:tcPr>
          <w:p w14:paraId="33D5CACB" w14:textId="77777777" w:rsidR="007D6441" w:rsidRPr="00BB5174" w:rsidRDefault="007D6441" w:rsidP="00040BEE">
            <w:pPr>
              <w:jc w:val="center"/>
              <w:rPr>
                <w:rFonts w:ascii="Calibri" w:hAnsi="Calibri"/>
                <w:szCs w:val="21"/>
              </w:rPr>
            </w:pPr>
          </w:p>
        </w:tc>
        <w:tc>
          <w:tcPr>
            <w:tcW w:w="1130" w:type="pct"/>
            <w:vAlign w:val="center"/>
          </w:tcPr>
          <w:p w14:paraId="2BD18BA3" w14:textId="77777777" w:rsidR="007D6441" w:rsidRPr="00BB5174" w:rsidRDefault="007D6441" w:rsidP="00040BEE">
            <w:pPr>
              <w:jc w:val="center"/>
              <w:rPr>
                <w:rFonts w:ascii="Calibri" w:hAnsi="Calibri"/>
                <w:szCs w:val="21"/>
              </w:rPr>
            </w:pPr>
            <w:r w:rsidRPr="00BB5174">
              <w:rPr>
                <w:rFonts w:ascii="Calibri" w:hAnsi="Calibri" w:hint="eastAsia"/>
                <w:szCs w:val="21"/>
              </w:rPr>
              <w:t>铬（六价）</w:t>
            </w:r>
          </w:p>
        </w:tc>
        <w:tc>
          <w:tcPr>
            <w:tcW w:w="1139" w:type="pct"/>
            <w:vAlign w:val="center"/>
          </w:tcPr>
          <w:p w14:paraId="20E6C768" w14:textId="77777777" w:rsidR="007D6441" w:rsidRPr="00BB5174" w:rsidRDefault="007D6441" w:rsidP="00040BEE">
            <w:pPr>
              <w:jc w:val="center"/>
              <w:rPr>
                <w:rFonts w:ascii="Calibri" w:hAnsi="Calibri"/>
                <w:szCs w:val="21"/>
              </w:rPr>
            </w:pPr>
            <w:r w:rsidRPr="00BB5174">
              <w:rPr>
                <w:rFonts w:ascii="Calibri" w:hAnsi="Calibri" w:hint="eastAsia"/>
                <w:szCs w:val="21"/>
              </w:rPr>
              <w:t>0.004</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507C966E" w14:textId="77777777" w:rsidR="007D6441" w:rsidRPr="00BB5174" w:rsidRDefault="007D6441" w:rsidP="00040BEE">
            <w:pPr>
              <w:jc w:val="center"/>
              <w:rPr>
                <w:rFonts w:ascii="Calibri" w:hAnsi="Calibri"/>
                <w:szCs w:val="21"/>
              </w:rPr>
            </w:pPr>
            <w:r w:rsidRPr="00BB5174">
              <w:rPr>
                <w:rFonts w:ascii="Calibri" w:hAnsi="Calibri" w:hint="eastAsia"/>
                <w:szCs w:val="21"/>
              </w:rPr>
              <w:t>0.05</w:t>
            </w:r>
          </w:p>
        </w:tc>
        <w:tc>
          <w:tcPr>
            <w:tcW w:w="800" w:type="pct"/>
            <w:vAlign w:val="center"/>
          </w:tcPr>
          <w:p w14:paraId="56A3D5E6"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6651AD85"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4677D529" w14:textId="77777777" w:rsidTr="007D6441">
        <w:trPr>
          <w:trHeight w:val="340"/>
        </w:trPr>
        <w:tc>
          <w:tcPr>
            <w:tcW w:w="580" w:type="pct"/>
            <w:vMerge/>
            <w:vAlign w:val="center"/>
          </w:tcPr>
          <w:p w14:paraId="0F284C49" w14:textId="77777777" w:rsidR="007D6441" w:rsidRPr="00BB5174" w:rsidRDefault="007D6441" w:rsidP="00040BEE">
            <w:pPr>
              <w:jc w:val="center"/>
              <w:rPr>
                <w:rFonts w:ascii="Calibri" w:hAnsi="Calibri"/>
                <w:szCs w:val="21"/>
              </w:rPr>
            </w:pPr>
          </w:p>
        </w:tc>
        <w:tc>
          <w:tcPr>
            <w:tcW w:w="1130" w:type="pct"/>
            <w:vAlign w:val="center"/>
          </w:tcPr>
          <w:p w14:paraId="18034265" w14:textId="77777777" w:rsidR="007D6441" w:rsidRPr="00BB5174" w:rsidRDefault="007D6441" w:rsidP="00040BEE">
            <w:pPr>
              <w:jc w:val="center"/>
              <w:rPr>
                <w:rFonts w:ascii="Calibri" w:hAnsi="Calibri" w:cs="Times New Roman"/>
                <w:szCs w:val="21"/>
              </w:rPr>
            </w:pPr>
            <w:r w:rsidRPr="00BB5174">
              <w:rPr>
                <w:rFonts w:ascii="Calibri" w:cs="Times New Roman"/>
                <w:szCs w:val="21"/>
              </w:rPr>
              <w:t>硫酸盐</w:t>
            </w:r>
          </w:p>
        </w:tc>
        <w:tc>
          <w:tcPr>
            <w:tcW w:w="1139" w:type="pct"/>
            <w:vAlign w:val="center"/>
          </w:tcPr>
          <w:p w14:paraId="5016E72B" w14:textId="77777777" w:rsidR="007D6441" w:rsidRPr="00BB5174" w:rsidRDefault="007D6441" w:rsidP="00040BEE">
            <w:pPr>
              <w:jc w:val="center"/>
              <w:rPr>
                <w:rFonts w:ascii="Calibri" w:cs="Times New Roman"/>
                <w:szCs w:val="21"/>
              </w:rPr>
            </w:pPr>
            <w:r w:rsidRPr="00BB5174">
              <w:rPr>
                <w:rFonts w:ascii="Calibri" w:cs="Times New Roman" w:hint="eastAsia"/>
                <w:szCs w:val="21"/>
              </w:rPr>
              <w:t>49.2</w:t>
            </w:r>
          </w:p>
        </w:tc>
        <w:tc>
          <w:tcPr>
            <w:tcW w:w="707" w:type="pct"/>
            <w:vAlign w:val="center"/>
          </w:tcPr>
          <w:p w14:paraId="19AF4B98"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74F3BA11" w14:textId="77777777" w:rsidR="007D6441" w:rsidRPr="00BB5174" w:rsidRDefault="007D6441" w:rsidP="00040BEE">
            <w:pPr>
              <w:jc w:val="center"/>
              <w:rPr>
                <w:rFonts w:ascii="Calibri" w:hAnsi="Calibri"/>
                <w:szCs w:val="21"/>
              </w:rPr>
            </w:pPr>
            <w:r w:rsidRPr="00BB5174">
              <w:rPr>
                <w:rFonts w:ascii="Calibri" w:hAnsi="Calibri" w:hint="eastAsia"/>
                <w:szCs w:val="21"/>
              </w:rPr>
              <w:t>0.20</w:t>
            </w:r>
          </w:p>
        </w:tc>
        <w:tc>
          <w:tcPr>
            <w:tcW w:w="643" w:type="pct"/>
            <w:vAlign w:val="center"/>
          </w:tcPr>
          <w:p w14:paraId="453612B0"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5815ED5A" w14:textId="77777777" w:rsidTr="007D6441">
        <w:trPr>
          <w:trHeight w:val="340"/>
        </w:trPr>
        <w:tc>
          <w:tcPr>
            <w:tcW w:w="580" w:type="pct"/>
            <w:vMerge/>
            <w:vAlign w:val="center"/>
          </w:tcPr>
          <w:p w14:paraId="7E395CF5" w14:textId="77777777" w:rsidR="007D6441" w:rsidRPr="00BB5174" w:rsidRDefault="007D6441" w:rsidP="00040BEE">
            <w:pPr>
              <w:jc w:val="center"/>
              <w:rPr>
                <w:rFonts w:ascii="Calibri" w:hAnsi="Calibri"/>
                <w:szCs w:val="21"/>
              </w:rPr>
            </w:pPr>
          </w:p>
        </w:tc>
        <w:tc>
          <w:tcPr>
            <w:tcW w:w="1130" w:type="pct"/>
            <w:vAlign w:val="center"/>
          </w:tcPr>
          <w:p w14:paraId="79B025C0" w14:textId="77777777" w:rsidR="007D6441" w:rsidRPr="00BB5174" w:rsidRDefault="007D6441" w:rsidP="00040BEE">
            <w:pPr>
              <w:jc w:val="center"/>
              <w:rPr>
                <w:rFonts w:ascii="Calibri" w:hAnsi="Calibri" w:cs="Times New Roman"/>
                <w:szCs w:val="21"/>
              </w:rPr>
            </w:pPr>
            <w:r w:rsidRPr="00BB5174">
              <w:rPr>
                <w:rFonts w:ascii="Calibri" w:cs="Times New Roman"/>
                <w:szCs w:val="21"/>
              </w:rPr>
              <w:t>氯化物</w:t>
            </w:r>
          </w:p>
        </w:tc>
        <w:tc>
          <w:tcPr>
            <w:tcW w:w="1139" w:type="pct"/>
            <w:vAlign w:val="center"/>
          </w:tcPr>
          <w:p w14:paraId="75A5359A" w14:textId="77777777" w:rsidR="007D6441" w:rsidRPr="00BB5174" w:rsidRDefault="007D6441" w:rsidP="00040BEE">
            <w:pPr>
              <w:jc w:val="center"/>
              <w:rPr>
                <w:rFonts w:ascii="Calibri" w:cs="Times New Roman"/>
                <w:szCs w:val="21"/>
              </w:rPr>
            </w:pPr>
            <w:r w:rsidRPr="00BB5174">
              <w:rPr>
                <w:rFonts w:ascii="Calibri" w:cs="Times New Roman" w:hint="eastAsia"/>
                <w:szCs w:val="21"/>
              </w:rPr>
              <w:t>31.0</w:t>
            </w:r>
          </w:p>
        </w:tc>
        <w:tc>
          <w:tcPr>
            <w:tcW w:w="707" w:type="pct"/>
            <w:vAlign w:val="center"/>
          </w:tcPr>
          <w:p w14:paraId="5E0642B7" w14:textId="77777777" w:rsidR="007D6441" w:rsidRPr="00BB5174" w:rsidRDefault="007D6441" w:rsidP="00040BEE">
            <w:pPr>
              <w:jc w:val="center"/>
              <w:rPr>
                <w:rFonts w:ascii="Calibri" w:hAnsi="Calibri"/>
                <w:szCs w:val="21"/>
              </w:rPr>
            </w:pPr>
            <w:r w:rsidRPr="00BB5174">
              <w:rPr>
                <w:rFonts w:ascii="Calibri" w:hAnsi="Calibri" w:hint="eastAsia"/>
                <w:szCs w:val="21"/>
              </w:rPr>
              <w:t>250</w:t>
            </w:r>
          </w:p>
        </w:tc>
        <w:tc>
          <w:tcPr>
            <w:tcW w:w="800" w:type="pct"/>
            <w:vAlign w:val="center"/>
          </w:tcPr>
          <w:p w14:paraId="313A445E" w14:textId="77777777" w:rsidR="007D6441" w:rsidRPr="00BB5174" w:rsidRDefault="007D6441" w:rsidP="00040BEE">
            <w:pPr>
              <w:jc w:val="center"/>
              <w:rPr>
                <w:rFonts w:ascii="Calibri" w:hAnsi="Calibri"/>
                <w:szCs w:val="21"/>
              </w:rPr>
            </w:pPr>
            <w:r w:rsidRPr="00BB5174">
              <w:rPr>
                <w:rFonts w:ascii="Calibri" w:hAnsi="Calibri" w:hint="eastAsia"/>
                <w:szCs w:val="21"/>
              </w:rPr>
              <w:t>0.12</w:t>
            </w:r>
          </w:p>
        </w:tc>
        <w:tc>
          <w:tcPr>
            <w:tcW w:w="643" w:type="pct"/>
            <w:vAlign w:val="center"/>
          </w:tcPr>
          <w:p w14:paraId="235D947B"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21238E77" w14:textId="77777777" w:rsidTr="007D6441">
        <w:trPr>
          <w:trHeight w:val="340"/>
        </w:trPr>
        <w:tc>
          <w:tcPr>
            <w:tcW w:w="580" w:type="pct"/>
            <w:vMerge/>
            <w:vAlign w:val="center"/>
          </w:tcPr>
          <w:p w14:paraId="5C3F7826" w14:textId="77777777" w:rsidR="007D6441" w:rsidRPr="00BB5174" w:rsidRDefault="007D6441" w:rsidP="00040BEE">
            <w:pPr>
              <w:jc w:val="center"/>
              <w:rPr>
                <w:rFonts w:ascii="Calibri" w:hAnsi="Calibri"/>
                <w:szCs w:val="21"/>
              </w:rPr>
            </w:pPr>
          </w:p>
        </w:tc>
        <w:tc>
          <w:tcPr>
            <w:tcW w:w="1130" w:type="pct"/>
            <w:vAlign w:val="center"/>
          </w:tcPr>
          <w:p w14:paraId="09F13D93" w14:textId="77777777" w:rsidR="007D6441" w:rsidRPr="00BB5174" w:rsidRDefault="007D6441" w:rsidP="00040BEE">
            <w:pPr>
              <w:jc w:val="center"/>
              <w:rPr>
                <w:rFonts w:ascii="Calibri" w:hAnsi="Calibri" w:cs="Times New Roman"/>
                <w:szCs w:val="21"/>
              </w:rPr>
            </w:pPr>
            <w:r w:rsidRPr="00BB5174">
              <w:rPr>
                <w:rFonts w:ascii="Calibri" w:cs="Times New Roman"/>
                <w:szCs w:val="21"/>
              </w:rPr>
              <w:t>总大肠菌群</w:t>
            </w:r>
            <w:r w:rsidRPr="00BB5174">
              <w:rPr>
                <w:rFonts w:ascii="Calibri" w:cs="Times New Roman" w:hint="eastAsia"/>
                <w:szCs w:val="21"/>
              </w:rPr>
              <w:t>（</w:t>
            </w:r>
            <w:r w:rsidRPr="00BB5174">
              <w:rPr>
                <w:rFonts w:ascii="Calibri" w:cs="Times New Roman"/>
                <w:szCs w:val="21"/>
              </w:rPr>
              <w:t>MPN/100mL</w:t>
            </w:r>
            <w:r w:rsidRPr="00BB5174">
              <w:rPr>
                <w:rFonts w:ascii="Calibri" w:cs="Times New Roman" w:hint="eastAsia"/>
                <w:szCs w:val="21"/>
              </w:rPr>
              <w:t>）</w:t>
            </w:r>
          </w:p>
        </w:tc>
        <w:tc>
          <w:tcPr>
            <w:tcW w:w="1139" w:type="pct"/>
            <w:vAlign w:val="center"/>
          </w:tcPr>
          <w:p w14:paraId="06D3D5DF" w14:textId="77777777" w:rsidR="007D6441" w:rsidRPr="00BB5174" w:rsidRDefault="007D6441" w:rsidP="00040BEE">
            <w:pPr>
              <w:jc w:val="center"/>
              <w:rPr>
                <w:rFonts w:ascii="Calibri" w:cs="Times New Roman"/>
                <w:szCs w:val="21"/>
              </w:rPr>
            </w:pPr>
            <w:r w:rsidRPr="00BB5174">
              <w:rPr>
                <w:rFonts w:ascii="Calibri" w:cs="Times New Roman" w:hint="eastAsia"/>
                <w:szCs w:val="21"/>
              </w:rPr>
              <w:t>未检出</w:t>
            </w:r>
          </w:p>
        </w:tc>
        <w:tc>
          <w:tcPr>
            <w:tcW w:w="707" w:type="pct"/>
            <w:vAlign w:val="center"/>
          </w:tcPr>
          <w:p w14:paraId="07C07899" w14:textId="77777777" w:rsidR="007D6441" w:rsidRPr="00BB5174" w:rsidRDefault="007D6441" w:rsidP="00040BEE">
            <w:pPr>
              <w:jc w:val="center"/>
              <w:rPr>
                <w:rFonts w:ascii="Calibri" w:hAnsi="Calibri"/>
                <w:szCs w:val="21"/>
              </w:rPr>
            </w:pPr>
            <w:r w:rsidRPr="00BB5174">
              <w:rPr>
                <w:rFonts w:ascii="Calibri" w:hAnsi="Calibri" w:hint="eastAsia"/>
                <w:szCs w:val="21"/>
              </w:rPr>
              <w:t>3.0</w:t>
            </w:r>
          </w:p>
        </w:tc>
        <w:tc>
          <w:tcPr>
            <w:tcW w:w="800" w:type="pct"/>
            <w:vAlign w:val="center"/>
          </w:tcPr>
          <w:p w14:paraId="7DDF3BFA"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780CE113"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0083AC9F" w14:textId="77777777" w:rsidTr="007D6441">
        <w:trPr>
          <w:trHeight w:val="340"/>
        </w:trPr>
        <w:tc>
          <w:tcPr>
            <w:tcW w:w="580" w:type="pct"/>
            <w:vMerge/>
            <w:vAlign w:val="center"/>
          </w:tcPr>
          <w:p w14:paraId="6C1D28BF" w14:textId="77777777" w:rsidR="007D6441" w:rsidRPr="00BB5174" w:rsidRDefault="007D6441" w:rsidP="00040BEE">
            <w:pPr>
              <w:jc w:val="center"/>
              <w:rPr>
                <w:rFonts w:ascii="Calibri" w:hAnsi="Calibri"/>
                <w:szCs w:val="21"/>
              </w:rPr>
            </w:pPr>
          </w:p>
        </w:tc>
        <w:tc>
          <w:tcPr>
            <w:tcW w:w="1130" w:type="pct"/>
            <w:vAlign w:val="center"/>
          </w:tcPr>
          <w:p w14:paraId="35B10619" w14:textId="77777777" w:rsidR="007D6441" w:rsidRPr="00BB5174" w:rsidRDefault="007D6441" w:rsidP="00040BEE">
            <w:pPr>
              <w:jc w:val="center"/>
              <w:rPr>
                <w:rFonts w:ascii="Calibri" w:hAnsi="Calibri" w:cs="Times New Roman"/>
                <w:szCs w:val="21"/>
              </w:rPr>
            </w:pPr>
            <w:r w:rsidRPr="00BB5174">
              <w:rPr>
                <w:rFonts w:ascii="Calibri" w:cs="Times New Roman"/>
                <w:szCs w:val="21"/>
              </w:rPr>
              <w:t>细菌总数</w:t>
            </w:r>
            <w:r w:rsidRPr="00BB5174">
              <w:rPr>
                <w:rFonts w:ascii="Calibri" w:cs="Times New Roman" w:hint="eastAsia"/>
                <w:szCs w:val="21"/>
              </w:rPr>
              <w:t>（</w:t>
            </w:r>
            <w:r w:rsidRPr="00BB5174">
              <w:rPr>
                <w:rFonts w:ascii="Calibri" w:cs="Times New Roman"/>
                <w:szCs w:val="21"/>
              </w:rPr>
              <w:t>CFU/mL</w:t>
            </w:r>
            <w:r w:rsidRPr="00BB5174">
              <w:rPr>
                <w:rFonts w:ascii="Calibri" w:cs="Times New Roman" w:hint="eastAsia"/>
                <w:szCs w:val="21"/>
              </w:rPr>
              <w:t>）</w:t>
            </w:r>
          </w:p>
        </w:tc>
        <w:tc>
          <w:tcPr>
            <w:tcW w:w="1139" w:type="pct"/>
            <w:vAlign w:val="center"/>
          </w:tcPr>
          <w:p w14:paraId="6343B756" w14:textId="77777777" w:rsidR="007D6441" w:rsidRPr="00BB5174" w:rsidRDefault="007D6441" w:rsidP="00040BEE">
            <w:pPr>
              <w:jc w:val="center"/>
              <w:rPr>
                <w:rFonts w:ascii="Calibri" w:cs="Times New Roman"/>
                <w:szCs w:val="21"/>
              </w:rPr>
            </w:pPr>
            <w:r w:rsidRPr="00BB5174">
              <w:rPr>
                <w:rFonts w:ascii="Calibri" w:cs="Times New Roman" w:hint="eastAsia"/>
                <w:szCs w:val="21"/>
              </w:rPr>
              <w:t>35</w:t>
            </w:r>
          </w:p>
        </w:tc>
        <w:tc>
          <w:tcPr>
            <w:tcW w:w="707" w:type="pct"/>
            <w:vAlign w:val="center"/>
          </w:tcPr>
          <w:p w14:paraId="37DD384F" w14:textId="77777777" w:rsidR="007D6441" w:rsidRPr="00BB5174" w:rsidRDefault="007D6441" w:rsidP="00040BEE">
            <w:pPr>
              <w:jc w:val="center"/>
              <w:rPr>
                <w:rFonts w:ascii="Calibri" w:hAnsi="Calibri"/>
                <w:szCs w:val="21"/>
              </w:rPr>
            </w:pPr>
            <w:r w:rsidRPr="00BB5174">
              <w:rPr>
                <w:rFonts w:ascii="Calibri" w:hAnsi="Calibri" w:hint="eastAsia"/>
                <w:szCs w:val="21"/>
              </w:rPr>
              <w:t>100</w:t>
            </w:r>
          </w:p>
        </w:tc>
        <w:tc>
          <w:tcPr>
            <w:tcW w:w="800" w:type="pct"/>
            <w:vAlign w:val="center"/>
          </w:tcPr>
          <w:p w14:paraId="3CC5EEEA" w14:textId="77777777" w:rsidR="007D6441" w:rsidRPr="00BB5174" w:rsidRDefault="007D6441" w:rsidP="00040BEE">
            <w:pPr>
              <w:jc w:val="center"/>
              <w:rPr>
                <w:rFonts w:ascii="Calibri" w:hAnsi="Calibri"/>
                <w:szCs w:val="21"/>
              </w:rPr>
            </w:pPr>
            <w:r w:rsidRPr="00BB5174">
              <w:rPr>
                <w:rFonts w:ascii="Calibri" w:hAnsi="Calibri" w:hint="eastAsia"/>
                <w:szCs w:val="21"/>
              </w:rPr>
              <w:t>0.35</w:t>
            </w:r>
          </w:p>
        </w:tc>
        <w:tc>
          <w:tcPr>
            <w:tcW w:w="643" w:type="pct"/>
            <w:vAlign w:val="center"/>
          </w:tcPr>
          <w:p w14:paraId="106B540A"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r w:rsidR="007D6441" w:rsidRPr="003F72B9" w14:paraId="7DD0DCDE" w14:textId="77777777" w:rsidTr="007D6441">
        <w:trPr>
          <w:trHeight w:val="340"/>
        </w:trPr>
        <w:tc>
          <w:tcPr>
            <w:tcW w:w="580" w:type="pct"/>
            <w:vMerge/>
            <w:vAlign w:val="center"/>
          </w:tcPr>
          <w:p w14:paraId="568210F3" w14:textId="77777777" w:rsidR="007D6441" w:rsidRPr="00BB5174" w:rsidRDefault="007D6441" w:rsidP="00040BEE">
            <w:pPr>
              <w:jc w:val="center"/>
              <w:rPr>
                <w:rFonts w:ascii="Calibri" w:hAnsi="Calibri"/>
                <w:szCs w:val="21"/>
              </w:rPr>
            </w:pPr>
          </w:p>
        </w:tc>
        <w:tc>
          <w:tcPr>
            <w:tcW w:w="1130" w:type="pct"/>
            <w:vAlign w:val="center"/>
          </w:tcPr>
          <w:p w14:paraId="56D1152A" w14:textId="77777777" w:rsidR="007D6441" w:rsidRPr="00BB5174" w:rsidRDefault="007D6441" w:rsidP="00040BEE">
            <w:pPr>
              <w:jc w:val="center"/>
              <w:rPr>
                <w:rFonts w:ascii="Calibri" w:hAnsi="Calibri" w:cs="Times New Roman"/>
                <w:szCs w:val="21"/>
              </w:rPr>
            </w:pPr>
            <w:r w:rsidRPr="00BB5174">
              <w:rPr>
                <w:rFonts w:ascii="Calibri" w:hAnsi="Calibri" w:cs="Times New Roman" w:hint="eastAsia"/>
                <w:szCs w:val="21"/>
              </w:rPr>
              <w:t>石油类</w:t>
            </w:r>
          </w:p>
        </w:tc>
        <w:tc>
          <w:tcPr>
            <w:tcW w:w="1139" w:type="pct"/>
            <w:vAlign w:val="center"/>
          </w:tcPr>
          <w:p w14:paraId="2E25DE3A" w14:textId="77777777" w:rsidR="007D6441" w:rsidRPr="00BB5174" w:rsidRDefault="007D6441" w:rsidP="00040BEE">
            <w:pPr>
              <w:jc w:val="center"/>
              <w:rPr>
                <w:rFonts w:ascii="Calibri" w:cs="Times New Roman"/>
                <w:szCs w:val="21"/>
              </w:rPr>
            </w:pPr>
            <w:r w:rsidRPr="00BB5174">
              <w:rPr>
                <w:rFonts w:ascii="Calibri" w:cs="Times New Roman" w:hint="eastAsia"/>
                <w:szCs w:val="21"/>
              </w:rPr>
              <w:t>0.01</w:t>
            </w:r>
            <w:r w:rsidRPr="00BB5174">
              <w:rPr>
                <w:rFonts w:ascii="Calibri" w:hAnsi="Calibri" w:hint="eastAsia"/>
                <w:szCs w:val="21"/>
              </w:rPr>
              <w:t>（</w:t>
            </w:r>
            <w:r w:rsidRPr="00BB5174">
              <w:rPr>
                <w:rFonts w:ascii="Calibri" w:hAnsi="Calibri" w:hint="eastAsia"/>
                <w:szCs w:val="21"/>
              </w:rPr>
              <w:t>L</w:t>
            </w:r>
            <w:r w:rsidRPr="00BB5174">
              <w:rPr>
                <w:rFonts w:ascii="Calibri" w:hAnsi="Calibri" w:hint="eastAsia"/>
                <w:szCs w:val="21"/>
              </w:rPr>
              <w:t>）</w:t>
            </w:r>
          </w:p>
        </w:tc>
        <w:tc>
          <w:tcPr>
            <w:tcW w:w="707" w:type="pct"/>
            <w:vAlign w:val="center"/>
          </w:tcPr>
          <w:p w14:paraId="7DCB151C" w14:textId="77777777" w:rsidR="007D6441" w:rsidRPr="00BB5174" w:rsidRDefault="007D6441" w:rsidP="00040BEE">
            <w:pPr>
              <w:jc w:val="center"/>
              <w:rPr>
                <w:rFonts w:ascii="Calibri" w:hAnsi="Calibri"/>
                <w:szCs w:val="21"/>
              </w:rPr>
            </w:pPr>
            <w:r w:rsidRPr="00BB5174">
              <w:rPr>
                <w:rFonts w:ascii="Calibri" w:hAnsi="Calibri"/>
                <w:szCs w:val="21"/>
              </w:rPr>
              <w:t>0.05</w:t>
            </w:r>
          </w:p>
        </w:tc>
        <w:tc>
          <w:tcPr>
            <w:tcW w:w="800" w:type="pct"/>
            <w:vAlign w:val="center"/>
          </w:tcPr>
          <w:p w14:paraId="72F5BC4B" w14:textId="77777777" w:rsidR="007D6441" w:rsidRPr="00BB5174" w:rsidRDefault="007D6441" w:rsidP="00040BEE">
            <w:pPr>
              <w:jc w:val="center"/>
              <w:rPr>
                <w:rFonts w:ascii="Calibri" w:hAnsi="Calibri"/>
                <w:szCs w:val="21"/>
              </w:rPr>
            </w:pPr>
            <w:r w:rsidRPr="00BB5174">
              <w:rPr>
                <w:rFonts w:ascii="Calibri" w:hAnsi="Calibri" w:hint="eastAsia"/>
                <w:szCs w:val="21"/>
              </w:rPr>
              <w:t>/</w:t>
            </w:r>
          </w:p>
        </w:tc>
        <w:tc>
          <w:tcPr>
            <w:tcW w:w="643" w:type="pct"/>
            <w:vAlign w:val="center"/>
          </w:tcPr>
          <w:p w14:paraId="58458374" w14:textId="77777777" w:rsidR="007D6441" w:rsidRPr="003F72B9" w:rsidRDefault="007D6441" w:rsidP="00040BEE">
            <w:pPr>
              <w:jc w:val="center"/>
              <w:rPr>
                <w:rFonts w:ascii="Calibri" w:hAnsi="Calibri"/>
                <w:color w:val="auto"/>
                <w:szCs w:val="21"/>
              </w:rPr>
            </w:pPr>
            <w:r w:rsidRPr="003F72B9">
              <w:rPr>
                <w:rFonts w:ascii="Calibri" w:hAnsi="Calibri" w:hint="eastAsia"/>
                <w:color w:val="auto"/>
                <w:szCs w:val="21"/>
              </w:rPr>
              <w:t>达标</w:t>
            </w:r>
          </w:p>
        </w:tc>
      </w:tr>
    </w:tbl>
    <w:p w14:paraId="50B627C9" w14:textId="77777777" w:rsidR="007D6441" w:rsidRPr="00BB5174" w:rsidRDefault="007D6441" w:rsidP="007D6441">
      <w:pPr>
        <w:pStyle w:val="00"/>
        <w:rPr>
          <w:rFonts w:ascii="Calibri" w:hAnsi="Calibri"/>
          <w:noProof/>
        </w:rPr>
      </w:pPr>
      <w:r w:rsidRPr="00BB5174">
        <w:rPr>
          <w:rFonts w:ascii="Calibri" w:hAnsi="Calibri" w:hint="eastAsia"/>
          <w:noProof/>
        </w:rPr>
        <w:t>备注：“</w:t>
      </w:r>
      <w:r w:rsidRPr="00BB5174">
        <w:rPr>
          <w:rFonts w:ascii="Calibri" w:hAnsi="Calibri" w:hint="eastAsia"/>
          <w:noProof/>
        </w:rPr>
        <w:t>L</w:t>
      </w:r>
      <w:r w:rsidRPr="00BB5174">
        <w:rPr>
          <w:rFonts w:ascii="Calibri" w:hAnsi="Calibri" w:hint="eastAsia"/>
          <w:noProof/>
        </w:rPr>
        <w:t>”表示检测结果小于方法检出限。</w:t>
      </w:r>
    </w:p>
    <w:p w14:paraId="77211CAA" w14:textId="77777777" w:rsidR="007D6441" w:rsidRPr="007D6441" w:rsidRDefault="007D6441" w:rsidP="004C513C">
      <w:pPr>
        <w:pStyle w:val="00"/>
        <w:rPr>
          <w:rFonts w:ascii="Calibri" w:hAnsi="Calibri"/>
        </w:rPr>
      </w:pPr>
      <w:r w:rsidRPr="00BB5174">
        <w:rPr>
          <w:rFonts w:ascii="Calibri" w:hAnsi="Calibri" w:hint="eastAsia"/>
        </w:rPr>
        <w:t>由上表现状检测结果可知，</w:t>
      </w:r>
      <w:r w:rsidR="004C513C" w:rsidRPr="00BB5174">
        <w:rPr>
          <w:rFonts w:ascii="Calibri" w:hAnsi="Calibri" w:hint="eastAsia"/>
        </w:rPr>
        <w:t>坡宋村</w:t>
      </w:r>
      <w:r w:rsidR="004C513C">
        <w:rPr>
          <w:rFonts w:ascii="Calibri" w:hAnsi="Calibri" w:hint="eastAsia"/>
        </w:rPr>
        <w:t>（遗留水井）地下水</w:t>
      </w:r>
      <w:r w:rsidR="004C513C" w:rsidRPr="00BB5174">
        <w:rPr>
          <w:rFonts w:ascii="Calibri" w:hAnsi="Calibri" w:hint="eastAsia"/>
        </w:rPr>
        <w:t>检测点除总硬度超标外，其余各检测因子均能满足《地下水质量标准》（</w:t>
      </w:r>
      <w:r w:rsidR="004C513C" w:rsidRPr="00BB5174">
        <w:rPr>
          <w:rFonts w:ascii="Calibri" w:hAnsi="Calibri" w:hint="eastAsia"/>
        </w:rPr>
        <w:t>GB/T14848-2017</w:t>
      </w:r>
      <w:r w:rsidR="004C513C" w:rsidRPr="00BB5174">
        <w:rPr>
          <w:rFonts w:ascii="Calibri" w:hAnsi="Calibri" w:hint="eastAsia"/>
        </w:rPr>
        <w:t>）</w:t>
      </w:r>
      <w:r w:rsidR="004C513C" w:rsidRPr="00BB5174">
        <w:rPr>
          <w:rFonts w:ascii="Calibri" w:hAnsi="Calibri" w:hint="eastAsia"/>
        </w:rPr>
        <w:t>III</w:t>
      </w:r>
      <w:r w:rsidR="004C513C" w:rsidRPr="00BB5174">
        <w:rPr>
          <w:rFonts w:ascii="Calibri" w:hAnsi="Calibri" w:hint="eastAsia"/>
        </w:rPr>
        <w:t>类标准</w:t>
      </w:r>
      <w:r w:rsidR="004C513C">
        <w:rPr>
          <w:rFonts w:ascii="Calibri" w:hAnsi="Calibri" w:hint="eastAsia"/>
        </w:rPr>
        <w:t>；</w:t>
      </w:r>
      <w:r w:rsidR="004C513C" w:rsidRPr="00BB5174">
        <w:rPr>
          <w:rFonts w:ascii="Calibri" w:hAnsi="Calibri" w:hint="eastAsia"/>
        </w:rPr>
        <w:t>周庄、</w:t>
      </w:r>
      <w:r>
        <w:rPr>
          <w:rFonts w:ascii="Calibri" w:hAnsi="Calibri" w:hint="eastAsia"/>
        </w:rPr>
        <w:t>节庄村（遗留水井）、</w:t>
      </w:r>
      <w:r w:rsidRPr="00BB5174">
        <w:rPr>
          <w:rFonts w:ascii="Calibri" w:hAnsi="Calibri" w:hint="eastAsia"/>
        </w:rPr>
        <w:t>龚店镇、泥河张村</w:t>
      </w:r>
      <w:r>
        <w:rPr>
          <w:rFonts w:ascii="Calibri" w:hAnsi="Calibri" w:hint="eastAsia"/>
        </w:rPr>
        <w:t>地下水</w:t>
      </w:r>
      <w:r w:rsidRPr="00BB5174">
        <w:rPr>
          <w:rFonts w:ascii="Calibri" w:hAnsi="Calibri" w:hint="eastAsia"/>
        </w:rPr>
        <w:t>检测点</w:t>
      </w:r>
      <w:r w:rsidR="004C513C">
        <w:rPr>
          <w:rFonts w:ascii="Calibri" w:hAnsi="Calibri" w:hint="eastAsia"/>
        </w:rPr>
        <w:t>各检测</w:t>
      </w:r>
      <w:r w:rsidR="004C513C">
        <w:rPr>
          <w:rFonts w:ascii="Calibri" w:hAnsi="Calibri"/>
        </w:rPr>
        <w:t>因子</w:t>
      </w:r>
      <w:r w:rsidRPr="00BB5174">
        <w:rPr>
          <w:rFonts w:ascii="Calibri" w:hAnsi="Calibri" w:hint="eastAsia"/>
        </w:rPr>
        <w:t>均能满足《地下水质量标准》（</w:t>
      </w:r>
      <w:r w:rsidRPr="00BB5174">
        <w:rPr>
          <w:rFonts w:ascii="Calibri" w:hAnsi="Calibri" w:hint="eastAsia"/>
        </w:rPr>
        <w:t>GB/T14848-2017</w:t>
      </w:r>
      <w:r w:rsidRPr="00BB5174">
        <w:rPr>
          <w:rFonts w:ascii="Calibri" w:hAnsi="Calibri" w:hint="eastAsia"/>
        </w:rPr>
        <w:t>）</w:t>
      </w:r>
      <w:r w:rsidRPr="00BB5174">
        <w:rPr>
          <w:rFonts w:ascii="Calibri" w:hAnsi="Calibri" w:hint="eastAsia"/>
        </w:rPr>
        <w:t>III</w:t>
      </w:r>
      <w:r w:rsidRPr="00BB5174">
        <w:rPr>
          <w:rFonts w:ascii="Calibri" w:hAnsi="Calibri" w:hint="eastAsia"/>
        </w:rPr>
        <w:t>类标准</w:t>
      </w:r>
      <w:r w:rsidR="004C513C">
        <w:rPr>
          <w:rFonts w:ascii="Calibri" w:hAnsi="Calibri" w:hint="eastAsia"/>
        </w:rPr>
        <w:t>，</w:t>
      </w:r>
      <w:r w:rsidRPr="00BB5174">
        <w:rPr>
          <w:rFonts w:ascii="Calibri" w:hAnsi="Calibri" w:hint="eastAsia"/>
        </w:rPr>
        <w:t>其中总硬度超标与地质构造有关。</w:t>
      </w:r>
    </w:p>
    <w:p w14:paraId="4C558D02" w14:textId="77777777" w:rsidR="0055605A" w:rsidRPr="00A964FF" w:rsidRDefault="0055605A" w:rsidP="0055605A">
      <w:pPr>
        <w:pStyle w:val="ad"/>
        <w:rPr>
          <w:rFonts w:ascii="Calibri" w:hAnsi="Calibri" w:cs="Times New Roman"/>
          <w:color w:val="auto"/>
        </w:rPr>
      </w:pPr>
      <w:r w:rsidRPr="00A964FF">
        <w:rPr>
          <w:rFonts w:ascii="Calibri" w:hAnsi="Calibri" w:cs="Times New Roman"/>
          <w:color w:val="auto"/>
        </w:rPr>
        <w:t>3.3.</w:t>
      </w:r>
      <w:r w:rsidRPr="00A964FF">
        <w:rPr>
          <w:rFonts w:ascii="Calibri" w:hAnsi="Calibri" w:cs="Times New Roman" w:hint="eastAsia"/>
          <w:color w:val="auto"/>
        </w:rPr>
        <w:t>4</w:t>
      </w:r>
      <w:r w:rsidRPr="00A964FF">
        <w:rPr>
          <w:rFonts w:ascii="Calibri" w:hAnsi="Calibri" w:cs="Times New Roman" w:hint="eastAsia"/>
          <w:color w:val="auto"/>
        </w:rPr>
        <w:t>声环境质量</w:t>
      </w:r>
      <w:r w:rsidRPr="00A964FF">
        <w:rPr>
          <w:rFonts w:ascii="Calibri" w:hAnsi="Calibri" w:cs="Times New Roman"/>
          <w:color w:val="auto"/>
        </w:rPr>
        <w:t>现状检测与评价</w:t>
      </w:r>
    </w:p>
    <w:p w14:paraId="090F6B42" w14:textId="77777777" w:rsidR="0055605A" w:rsidRPr="00A964FF" w:rsidRDefault="0055605A" w:rsidP="0055605A">
      <w:pPr>
        <w:tabs>
          <w:tab w:val="left" w:pos="465"/>
        </w:tabs>
        <w:adjustRightInd w:val="0"/>
        <w:snapToGrid w:val="0"/>
        <w:spacing w:line="520" w:lineRule="exact"/>
        <w:ind w:firstLineChars="200" w:firstLine="482"/>
        <w:jc w:val="left"/>
        <w:rPr>
          <w:rFonts w:ascii="Calibri" w:hAnsi="Calibri" w:cs="宋体"/>
          <w:b/>
          <w:color w:val="auto"/>
          <w:sz w:val="24"/>
        </w:rPr>
      </w:pPr>
      <w:r w:rsidRPr="00A964FF">
        <w:rPr>
          <w:rFonts w:ascii="Calibri" w:hAnsi="Calibri" w:cs="宋体"/>
          <w:b/>
          <w:color w:val="auto"/>
          <w:sz w:val="24"/>
        </w:rPr>
        <w:t>1</w:t>
      </w:r>
      <w:r w:rsidRPr="00A964FF">
        <w:rPr>
          <w:rFonts w:ascii="Calibri" w:hAnsi="Calibri" w:cs="宋体"/>
          <w:b/>
          <w:color w:val="auto"/>
          <w:sz w:val="24"/>
        </w:rPr>
        <w:t>、检测布点</w:t>
      </w:r>
    </w:p>
    <w:p w14:paraId="2F927B2D" w14:textId="77777777" w:rsidR="0055605A" w:rsidRPr="00A964FF" w:rsidRDefault="0055605A" w:rsidP="0055605A">
      <w:pPr>
        <w:pStyle w:val="00"/>
        <w:rPr>
          <w:rFonts w:ascii="Calibri" w:hAnsi="Calibri"/>
          <w:color w:val="auto"/>
          <w:szCs w:val="21"/>
        </w:rPr>
      </w:pPr>
      <w:r w:rsidRPr="00A964FF">
        <w:rPr>
          <w:rFonts w:ascii="Calibri" w:hAnsi="Calibri"/>
          <w:color w:val="auto"/>
        </w:rPr>
        <w:t>根据项目特点，本次评价共设置</w:t>
      </w:r>
      <w:r w:rsidR="004A3168" w:rsidRPr="00A964FF">
        <w:rPr>
          <w:rFonts w:ascii="Calibri" w:hAnsi="Calibri" w:hint="eastAsia"/>
          <w:color w:val="auto"/>
        </w:rPr>
        <w:t>4</w:t>
      </w:r>
      <w:r w:rsidRPr="00A964FF">
        <w:rPr>
          <w:rFonts w:ascii="Calibri" w:hAnsi="Calibri"/>
          <w:color w:val="auto"/>
        </w:rPr>
        <w:t>个检测点位，其中</w:t>
      </w:r>
      <w:r w:rsidRPr="00A964FF">
        <w:rPr>
          <w:rFonts w:ascii="Calibri" w:hAnsi="Calibri"/>
          <w:color w:val="auto"/>
          <w:szCs w:val="21"/>
        </w:rPr>
        <w:t>东厂界、西厂界、南厂界、北厂界各设置</w:t>
      </w:r>
      <w:r w:rsidRPr="00A964FF">
        <w:rPr>
          <w:rFonts w:ascii="Calibri" w:hAnsi="Calibri"/>
          <w:color w:val="auto"/>
          <w:szCs w:val="21"/>
        </w:rPr>
        <w:t>1</w:t>
      </w:r>
      <w:r w:rsidRPr="00A964FF">
        <w:rPr>
          <w:rFonts w:ascii="Calibri" w:hAnsi="Calibri"/>
          <w:color w:val="auto"/>
          <w:szCs w:val="21"/>
        </w:rPr>
        <w:t>个测点。</w:t>
      </w:r>
    </w:p>
    <w:p w14:paraId="218C29AB" w14:textId="77777777" w:rsidR="0055605A" w:rsidRPr="00A964FF" w:rsidRDefault="0055605A" w:rsidP="0055605A">
      <w:pPr>
        <w:pStyle w:val="00"/>
        <w:rPr>
          <w:rFonts w:ascii="Calibri" w:hAnsi="Calibri"/>
          <w:b/>
          <w:color w:val="auto"/>
          <w:szCs w:val="21"/>
        </w:rPr>
      </w:pPr>
      <w:r w:rsidRPr="00A964FF">
        <w:rPr>
          <w:rFonts w:ascii="Calibri" w:hAnsi="Calibri" w:hint="eastAsia"/>
          <w:b/>
          <w:color w:val="auto"/>
          <w:szCs w:val="21"/>
        </w:rPr>
        <w:lastRenderedPageBreak/>
        <w:t>2</w:t>
      </w:r>
      <w:r w:rsidRPr="00A964FF">
        <w:rPr>
          <w:rFonts w:ascii="Calibri" w:hAnsi="Calibri" w:hint="eastAsia"/>
          <w:b/>
          <w:color w:val="auto"/>
          <w:szCs w:val="21"/>
        </w:rPr>
        <w:t>、检测方法</w:t>
      </w:r>
    </w:p>
    <w:p w14:paraId="19274111" w14:textId="77777777" w:rsidR="0055605A" w:rsidRPr="00A964FF" w:rsidRDefault="0055605A" w:rsidP="0055605A">
      <w:pPr>
        <w:spacing w:line="500" w:lineRule="exact"/>
        <w:ind w:firstLineChars="200" w:firstLine="480"/>
        <w:rPr>
          <w:rFonts w:ascii="Calibri" w:hAnsi="Calibri"/>
          <w:bCs/>
          <w:color w:val="auto"/>
          <w:sz w:val="24"/>
        </w:rPr>
      </w:pPr>
      <w:r w:rsidRPr="00A964FF">
        <w:rPr>
          <w:rFonts w:ascii="Calibri"/>
          <w:bCs/>
          <w:color w:val="auto"/>
          <w:sz w:val="24"/>
        </w:rPr>
        <w:t>本次噪声现状检测按照《声环境质量标准》（</w:t>
      </w:r>
      <w:r w:rsidRPr="00A964FF">
        <w:rPr>
          <w:rFonts w:ascii="Calibri" w:hAnsi="Calibri"/>
          <w:bCs/>
          <w:color w:val="auto"/>
          <w:sz w:val="24"/>
        </w:rPr>
        <w:t>GB3096-2008</w:t>
      </w:r>
      <w:r w:rsidRPr="00A964FF">
        <w:rPr>
          <w:rFonts w:ascii="Calibri"/>
          <w:bCs/>
          <w:color w:val="auto"/>
          <w:sz w:val="24"/>
        </w:rPr>
        <w:t>）中有关规定进行。</w:t>
      </w:r>
    </w:p>
    <w:p w14:paraId="11F7E8A5" w14:textId="77777777" w:rsidR="0055605A" w:rsidRPr="00A964FF" w:rsidRDefault="0055605A" w:rsidP="0055605A">
      <w:pPr>
        <w:tabs>
          <w:tab w:val="left" w:pos="465"/>
        </w:tabs>
        <w:adjustRightInd w:val="0"/>
        <w:snapToGrid w:val="0"/>
        <w:spacing w:line="520" w:lineRule="exact"/>
        <w:ind w:firstLineChars="200" w:firstLine="482"/>
        <w:jc w:val="left"/>
        <w:rPr>
          <w:rFonts w:ascii="Calibri" w:hAnsi="Calibri" w:cs="宋体"/>
          <w:b/>
          <w:color w:val="auto"/>
          <w:sz w:val="24"/>
        </w:rPr>
      </w:pPr>
      <w:r w:rsidRPr="00A964FF">
        <w:rPr>
          <w:rFonts w:ascii="Calibri" w:hAnsi="Calibri" w:cs="宋体" w:hint="eastAsia"/>
          <w:b/>
          <w:color w:val="auto"/>
          <w:sz w:val="24"/>
        </w:rPr>
        <w:t>3</w:t>
      </w:r>
      <w:r w:rsidRPr="00A964FF">
        <w:rPr>
          <w:rFonts w:ascii="Calibri" w:hAnsi="Calibri" w:cs="宋体" w:hint="eastAsia"/>
          <w:b/>
          <w:color w:val="auto"/>
          <w:sz w:val="24"/>
        </w:rPr>
        <w:t>、检测时间及频率</w:t>
      </w:r>
    </w:p>
    <w:p w14:paraId="6EA4AFA5" w14:textId="77777777" w:rsidR="007D6441" w:rsidRPr="004C513C" w:rsidRDefault="0055605A" w:rsidP="004C513C">
      <w:pPr>
        <w:spacing w:line="520" w:lineRule="exact"/>
        <w:ind w:firstLine="480"/>
        <w:rPr>
          <w:rFonts w:ascii="Calibri"/>
          <w:bCs/>
          <w:color w:val="auto"/>
          <w:sz w:val="24"/>
        </w:rPr>
      </w:pPr>
      <w:r w:rsidRPr="00A964FF">
        <w:rPr>
          <w:rFonts w:ascii="Calibri"/>
          <w:bCs/>
          <w:color w:val="auto"/>
          <w:sz w:val="24"/>
        </w:rPr>
        <w:t>本次噪声</w:t>
      </w:r>
      <w:r w:rsidRPr="00A964FF">
        <w:rPr>
          <w:rFonts w:ascii="Calibri" w:hint="eastAsia"/>
          <w:bCs/>
          <w:color w:val="auto"/>
          <w:sz w:val="24"/>
        </w:rPr>
        <w:t>背景值</w:t>
      </w:r>
      <w:r w:rsidR="00205014" w:rsidRPr="00A964FF">
        <w:rPr>
          <w:rFonts w:ascii="Calibri" w:hint="eastAsia"/>
          <w:bCs/>
          <w:color w:val="auto"/>
          <w:sz w:val="24"/>
        </w:rPr>
        <w:t>由</w:t>
      </w:r>
      <w:r w:rsidR="00DD2E43" w:rsidRPr="002445F5">
        <w:rPr>
          <w:rFonts w:ascii="Calibri" w:hint="eastAsia"/>
          <w:bCs/>
          <w:color w:val="auto"/>
          <w:sz w:val="24"/>
        </w:rPr>
        <w:t>河南</w:t>
      </w:r>
      <w:r w:rsidR="002445F5" w:rsidRPr="002445F5">
        <w:rPr>
          <w:rFonts w:ascii="Calibri" w:hint="eastAsia"/>
          <w:bCs/>
          <w:color w:val="auto"/>
          <w:sz w:val="24"/>
        </w:rPr>
        <w:t>永飞</w:t>
      </w:r>
      <w:r w:rsidR="002445F5" w:rsidRPr="002445F5">
        <w:rPr>
          <w:rFonts w:ascii="Calibri"/>
          <w:bCs/>
          <w:color w:val="auto"/>
          <w:sz w:val="24"/>
        </w:rPr>
        <w:t>检测科技有限公司</w:t>
      </w:r>
      <w:r w:rsidRPr="002445F5">
        <w:rPr>
          <w:rFonts w:ascii="Calibri" w:hint="eastAsia"/>
          <w:bCs/>
          <w:color w:val="auto"/>
          <w:sz w:val="24"/>
        </w:rPr>
        <w:t>进行检测</w:t>
      </w:r>
      <w:r w:rsidRPr="006B496C">
        <w:rPr>
          <w:rFonts w:ascii="Calibri" w:hint="eastAsia"/>
          <w:bCs/>
          <w:color w:val="auto"/>
          <w:sz w:val="24"/>
        </w:rPr>
        <w:t>，检测</w:t>
      </w:r>
      <w:r w:rsidRPr="006B496C">
        <w:rPr>
          <w:rFonts w:ascii="Calibri"/>
          <w:bCs/>
          <w:color w:val="auto"/>
          <w:sz w:val="24"/>
        </w:rPr>
        <w:t>时间为</w:t>
      </w:r>
      <w:r w:rsidRPr="006B496C">
        <w:rPr>
          <w:rFonts w:ascii="Calibri" w:hint="eastAsia"/>
          <w:bCs/>
          <w:color w:val="auto"/>
          <w:sz w:val="24"/>
        </w:rPr>
        <w:t>202</w:t>
      </w:r>
      <w:r w:rsidR="002445F5" w:rsidRPr="006B496C">
        <w:rPr>
          <w:rFonts w:ascii="Calibri"/>
          <w:bCs/>
          <w:color w:val="auto"/>
          <w:sz w:val="24"/>
        </w:rPr>
        <w:t>2</w:t>
      </w:r>
      <w:r w:rsidRPr="006B496C">
        <w:rPr>
          <w:rFonts w:ascii="Calibri" w:hint="eastAsia"/>
          <w:bCs/>
          <w:color w:val="auto"/>
          <w:sz w:val="24"/>
        </w:rPr>
        <w:t>年</w:t>
      </w:r>
      <w:r w:rsidR="006B496C" w:rsidRPr="006B496C">
        <w:rPr>
          <w:rFonts w:ascii="Calibri"/>
          <w:bCs/>
          <w:color w:val="auto"/>
          <w:sz w:val="24"/>
        </w:rPr>
        <w:t>7</w:t>
      </w:r>
      <w:r w:rsidRPr="006B496C">
        <w:rPr>
          <w:rFonts w:ascii="Calibri" w:hint="eastAsia"/>
          <w:bCs/>
          <w:color w:val="auto"/>
          <w:sz w:val="24"/>
        </w:rPr>
        <w:t>月</w:t>
      </w:r>
      <w:r w:rsidR="006B496C" w:rsidRPr="006B496C">
        <w:rPr>
          <w:rFonts w:ascii="Calibri"/>
          <w:bCs/>
          <w:color w:val="auto"/>
          <w:sz w:val="24"/>
        </w:rPr>
        <w:t>29</w:t>
      </w:r>
      <w:r w:rsidRPr="006B496C">
        <w:rPr>
          <w:rFonts w:ascii="Calibri" w:hint="eastAsia"/>
          <w:bCs/>
          <w:color w:val="auto"/>
          <w:sz w:val="24"/>
        </w:rPr>
        <w:t>日～</w:t>
      </w:r>
      <w:r w:rsidR="006B496C" w:rsidRPr="006B496C">
        <w:rPr>
          <w:rFonts w:ascii="Calibri"/>
          <w:bCs/>
          <w:color w:val="auto"/>
          <w:sz w:val="24"/>
        </w:rPr>
        <w:t>7</w:t>
      </w:r>
      <w:r w:rsidRPr="006B496C">
        <w:rPr>
          <w:rFonts w:ascii="Calibri" w:hint="eastAsia"/>
          <w:bCs/>
          <w:color w:val="auto"/>
          <w:sz w:val="24"/>
        </w:rPr>
        <w:t>月</w:t>
      </w:r>
      <w:r w:rsidR="006B496C" w:rsidRPr="006B496C">
        <w:rPr>
          <w:rFonts w:ascii="Calibri"/>
          <w:bCs/>
          <w:color w:val="auto"/>
          <w:sz w:val="24"/>
        </w:rPr>
        <w:t>30</w:t>
      </w:r>
      <w:r w:rsidRPr="006B496C">
        <w:rPr>
          <w:rFonts w:ascii="Calibri" w:hint="eastAsia"/>
          <w:bCs/>
          <w:color w:val="auto"/>
          <w:sz w:val="24"/>
        </w:rPr>
        <w:t>日</w:t>
      </w:r>
      <w:r w:rsidRPr="006B496C">
        <w:rPr>
          <w:rFonts w:ascii="Calibri"/>
          <w:bCs/>
          <w:color w:val="auto"/>
          <w:sz w:val="24"/>
        </w:rPr>
        <w:t>，</w:t>
      </w:r>
      <w:r w:rsidRPr="00A964FF">
        <w:rPr>
          <w:rFonts w:ascii="Calibri"/>
          <w:bCs/>
          <w:color w:val="auto"/>
          <w:sz w:val="24"/>
        </w:rPr>
        <w:t>共两天，每天昼、夜各检测一次。</w:t>
      </w:r>
    </w:p>
    <w:p w14:paraId="3EF34580" w14:textId="77777777" w:rsidR="0055605A" w:rsidRPr="00A964FF" w:rsidRDefault="0055605A" w:rsidP="0055605A">
      <w:pPr>
        <w:tabs>
          <w:tab w:val="left" w:pos="465"/>
        </w:tabs>
        <w:adjustRightInd w:val="0"/>
        <w:snapToGrid w:val="0"/>
        <w:spacing w:line="520" w:lineRule="exact"/>
        <w:ind w:firstLineChars="200" w:firstLine="482"/>
        <w:jc w:val="left"/>
        <w:rPr>
          <w:rFonts w:ascii="Calibri" w:hAnsi="Calibri" w:cs="宋体"/>
          <w:b/>
          <w:color w:val="auto"/>
          <w:sz w:val="24"/>
        </w:rPr>
      </w:pPr>
      <w:r w:rsidRPr="00A964FF">
        <w:rPr>
          <w:rFonts w:ascii="Calibri" w:hAnsi="Calibri" w:cs="宋体" w:hint="eastAsia"/>
          <w:b/>
          <w:color w:val="auto"/>
          <w:sz w:val="24"/>
        </w:rPr>
        <w:t>4</w:t>
      </w:r>
      <w:r w:rsidRPr="00A964FF">
        <w:rPr>
          <w:rFonts w:ascii="Calibri" w:hAnsi="Calibri" w:cs="宋体" w:hint="eastAsia"/>
          <w:b/>
          <w:color w:val="auto"/>
          <w:sz w:val="24"/>
        </w:rPr>
        <w:t>、评价方法</w:t>
      </w:r>
    </w:p>
    <w:p w14:paraId="15BE2362" w14:textId="77777777" w:rsidR="0055605A" w:rsidRPr="00A964FF" w:rsidRDefault="0055605A" w:rsidP="0055605A">
      <w:pPr>
        <w:spacing w:line="520" w:lineRule="exact"/>
        <w:ind w:firstLineChars="200" w:firstLine="480"/>
        <w:rPr>
          <w:rFonts w:ascii="宋体" w:hAnsi="宋体"/>
          <w:bCs/>
          <w:color w:val="auto"/>
          <w:sz w:val="24"/>
        </w:rPr>
      </w:pPr>
      <w:r w:rsidRPr="00A964FF">
        <w:rPr>
          <w:rFonts w:ascii="宋体" w:hAnsi="宋体" w:hint="eastAsia"/>
          <w:bCs/>
          <w:color w:val="auto"/>
          <w:sz w:val="24"/>
        </w:rPr>
        <w:t>根据声环境质量现状检测统计分析结果，采用等效声级法，即用各检测点等效声级值与评价标准进行比较，对声环境质量现状进行评价。</w:t>
      </w:r>
    </w:p>
    <w:p w14:paraId="3A601EF3" w14:textId="77777777" w:rsidR="0055605A" w:rsidRPr="00A964FF" w:rsidRDefault="0055605A" w:rsidP="0055605A">
      <w:pPr>
        <w:tabs>
          <w:tab w:val="left" w:pos="465"/>
        </w:tabs>
        <w:adjustRightInd w:val="0"/>
        <w:snapToGrid w:val="0"/>
        <w:spacing w:line="520" w:lineRule="exact"/>
        <w:ind w:firstLineChars="200" w:firstLine="482"/>
        <w:jc w:val="left"/>
        <w:rPr>
          <w:rFonts w:ascii="Calibri" w:hAnsi="Calibri" w:cs="宋体"/>
          <w:b/>
          <w:color w:val="auto"/>
          <w:sz w:val="24"/>
        </w:rPr>
      </w:pPr>
      <w:r w:rsidRPr="00A964FF">
        <w:rPr>
          <w:rFonts w:ascii="Calibri" w:hAnsi="Calibri" w:cs="宋体" w:hint="eastAsia"/>
          <w:b/>
          <w:color w:val="auto"/>
          <w:sz w:val="24"/>
        </w:rPr>
        <w:t>5</w:t>
      </w:r>
      <w:r w:rsidRPr="00A964FF">
        <w:rPr>
          <w:rFonts w:ascii="Calibri" w:hAnsi="Calibri" w:cs="宋体" w:hint="eastAsia"/>
          <w:b/>
          <w:color w:val="auto"/>
          <w:sz w:val="24"/>
        </w:rPr>
        <w:t>、评价标准</w:t>
      </w:r>
    </w:p>
    <w:p w14:paraId="14901A89" w14:textId="77777777" w:rsidR="0055605A" w:rsidRPr="00A964FF" w:rsidRDefault="0055605A" w:rsidP="004A3168">
      <w:pPr>
        <w:pStyle w:val="00"/>
        <w:rPr>
          <w:rFonts w:ascii="Calibri" w:hAnsi="Calibri"/>
          <w:bCs/>
          <w:color w:val="auto"/>
        </w:rPr>
      </w:pPr>
      <w:r w:rsidRPr="00A964FF">
        <w:rPr>
          <w:rFonts w:ascii="Calibri" w:hAnsi="Calibri"/>
          <w:bCs/>
          <w:color w:val="auto"/>
        </w:rPr>
        <w:t>本项目</w:t>
      </w:r>
      <w:r w:rsidR="008C7A91" w:rsidRPr="00A964FF">
        <w:rPr>
          <w:rFonts w:ascii="Calibri" w:hAnsi="Calibri"/>
          <w:bCs/>
          <w:color w:val="auto"/>
        </w:rPr>
        <w:t>位于平顶山尼龙新材料产业集聚区</w:t>
      </w:r>
      <w:r w:rsidR="00F22BBD" w:rsidRPr="00A964FF">
        <w:rPr>
          <w:rFonts w:ascii="Calibri" w:hAnsi="Calibri"/>
          <w:noProof/>
          <w:color w:val="auto"/>
        </w:rPr>
        <w:t>，</w:t>
      </w:r>
      <w:r w:rsidRPr="00A964FF">
        <w:rPr>
          <w:rFonts w:ascii="Calibri" w:hAnsi="Calibri"/>
          <w:noProof/>
          <w:color w:val="auto"/>
        </w:rPr>
        <w:t>声环境执行</w:t>
      </w:r>
      <w:r w:rsidRPr="00A964FF">
        <w:rPr>
          <w:rFonts w:ascii="Calibri" w:hAnsi="Calibri"/>
          <w:bCs/>
          <w:color w:val="auto"/>
        </w:rPr>
        <w:t>《声环境质量标准》（</w:t>
      </w:r>
      <w:r w:rsidRPr="00A964FF">
        <w:rPr>
          <w:rFonts w:ascii="Calibri" w:hAnsi="Calibri"/>
          <w:bCs/>
          <w:color w:val="auto"/>
        </w:rPr>
        <w:t>GB3096-2008</w:t>
      </w:r>
      <w:r w:rsidRPr="00A964FF">
        <w:rPr>
          <w:rFonts w:ascii="Calibri" w:hAnsi="Calibri"/>
          <w:bCs/>
          <w:color w:val="auto"/>
        </w:rPr>
        <w:t>）中</w:t>
      </w:r>
      <w:r w:rsidR="0007472D">
        <w:rPr>
          <w:rFonts w:ascii="Calibri" w:hAnsi="Calibri" w:hint="eastAsia"/>
          <w:bCs/>
          <w:color w:val="auto"/>
        </w:rPr>
        <w:t>3</w:t>
      </w:r>
      <w:r w:rsidRPr="00A964FF">
        <w:rPr>
          <w:rFonts w:ascii="Calibri" w:hAnsi="Calibri"/>
          <w:noProof/>
          <w:color w:val="auto"/>
        </w:rPr>
        <w:t>类标准，具体限值见表</w:t>
      </w:r>
      <w:r w:rsidRPr="00A964FF">
        <w:rPr>
          <w:rFonts w:ascii="Calibri" w:hAnsi="Calibri" w:hint="eastAsia"/>
          <w:noProof/>
          <w:color w:val="auto"/>
        </w:rPr>
        <w:t>3</w:t>
      </w:r>
      <w:r w:rsidR="00A6079A" w:rsidRPr="00A964FF">
        <w:rPr>
          <w:rFonts w:ascii="Calibri" w:hAnsi="Calibri" w:hint="eastAsia"/>
          <w:noProof/>
          <w:color w:val="auto"/>
        </w:rPr>
        <w:t>.3</w:t>
      </w:r>
      <w:r w:rsidRPr="00A964FF">
        <w:rPr>
          <w:rFonts w:ascii="Calibri" w:hAnsi="Calibri"/>
          <w:noProof/>
          <w:color w:val="auto"/>
        </w:rPr>
        <w:t>-</w:t>
      </w:r>
      <w:r w:rsidR="00AC555A">
        <w:rPr>
          <w:rFonts w:ascii="Calibri" w:hAnsi="Calibri" w:hint="eastAsia"/>
          <w:noProof/>
          <w:color w:val="auto"/>
        </w:rPr>
        <w:t>18</w:t>
      </w:r>
      <w:r w:rsidRPr="00A964FF">
        <w:rPr>
          <w:rFonts w:ascii="Calibri" w:hAnsi="Calibri"/>
          <w:noProof/>
          <w:color w:val="auto"/>
        </w:rPr>
        <w:t>。</w:t>
      </w:r>
    </w:p>
    <w:p w14:paraId="7756AD78" w14:textId="77777777" w:rsidR="0055605A" w:rsidRPr="00A964FF" w:rsidRDefault="0055605A" w:rsidP="0055605A">
      <w:pPr>
        <w:snapToGrid w:val="0"/>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hint="eastAsia"/>
          <w:color w:val="auto"/>
          <w:sz w:val="24"/>
        </w:rPr>
        <w:t>3</w:t>
      </w:r>
      <w:r w:rsidR="00A6079A" w:rsidRPr="00A964FF">
        <w:rPr>
          <w:rFonts w:ascii="Calibri" w:eastAsia="黑体" w:hAnsi="Calibri" w:hint="eastAsia"/>
          <w:color w:val="auto"/>
          <w:sz w:val="24"/>
        </w:rPr>
        <w:t>.3</w:t>
      </w:r>
      <w:r w:rsidRPr="00A964FF">
        <w:rPr>
          <w:rFonts w:ascii="Calibri" w:eastAsia="黑体" w:hAnsi="Calibri"/>
          <w:color w:val="auto"/>
          <w:sz w:val="24"/>
        </w:rPr>
        <w:t>-</w:t>
      </w:r>
      <w:r w:rsidR="003616F0" w:rsidRPr="00A964FF">
        <w:rPr>
          <w:rFonts w:ascii="Calibri" w:eastAsia="黑体" w:hAnsi="Calibri" w:hint="eastAsia"/>
          <w:color w:val="auto"/>
          <w:sz w:val="24"/>
        </w:rPr>
        <w:t>1</w:t>
      </w:r>
      <w:r w:rsidR="00AC555A">
        <w:rPr>
          <w:rFonts w:ascii="Calibri" w:eastAsia="黑体" w:hAnsi="Calibri"/>
          <w:color w:val="auto"/>
          <w:sz w:val="24"/>
        </w:rPr>
        <w:t>8</w:t>
      </w:r>
      <w:r w:rsidRPr="00A964FF">
        <w:rPr>
          <w:rFonts w:ascii="Calibri" w:eastAsia="黑体" w:hAnsi="Calibri"/>
          <w:color w:val="auto"/>
          <w:sz w:val="24"/>
        </w:rPr>
        <w:t xml:space="preserve">              </w:t>
      </w:r>
      <w:r w:rsidRPr="00A964FF">
        <w:rPr>
          <w:rFonts w:ascii="Calibri" w:eastAsia="黑体"/>
          <w:color w:val="auto"/>
          <w:sz w:val="24"/>
        </w:rPr>
        <w:t>声环境现状评价标准</w:t>
      </w:r>
      <w:r w:rsidRPr="00A964FF">
        <w:rPr>
          <w:rFonts w:ascii="Calibri" w:eastAsia="黑体" w:hAnsi="Calibri"/>
          <w:color w:val="auto"/>
          <w:sz w:val="24"/>
        </w:rPr>
        <w:t xml:space="preserve">       </w:t>
      </w:r>
      <w:r w:rsidR="003F1151"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color w:val="auto"/>
          <w:szCs w:val="21"/>
        </w:rPr>
        <w:t>单位：</w:t>
      </w:r>
      <w:r w:rsidRPr="00A964FF">
        <w:rPr>
          <w:rFonts w:ascii="Calibri" w:hAnsi="Calibri"/>
          <w:color w:val="auto"/>
          <w:szCs w:val="21"/>
        </w:rPr>
        <w:t>dB</w:t>
      </w:r>
      <w:r w:rsidRPr="00A964FF">
        <w:rPr>
          <w:rFonts w:ascii="Calibri"/>
          <w:color w:val="auto"/>
          <w:szCs w:val="21"/>
        </w:rPr>
        <w:t>（</w:t>
      </w:r>
      <w:r w:rsidRPr="00A964FF">
        <w:rPr>
          <w:rFonts w:ascii="Calibri" w:hAnsi="Calibri"/>
          <w:color w:val="auto"/>
          <w:szCs w:val="21"/>
        </w:rPr>
        <w:t>A</w:t>
      </w:r>
      <w:r w:rsidRPr="00A964FF">
        <w:rPr>
          <w:rFonts w:ascii="Calibri"/>
          <w:color w:val="auto"/>
          <w:szCs w:val="21"/>
        </w:rPr>
        <w:t>）</w:t>
      </w:r>
    </w:p>
    <w:tbl>
      <w:tblPr>
        <w:tblW w:w="49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34"/>
        <w:gridCol w:w="1918"/>
        <w:gridCol w:w="1918"/>
      </w:tblGrid>
      <w:tr w:rsidR="0055605A" w:rsidRPr="00A964FF" w14:paraId="1F550822" w14:textId="77777777" w:rsidTr="003E0795">
        <w:trPr>
          <w:trHeight w:val="397"/>
        </w:trPr>
        <w:tc>
          <w:tcPr>
            <w:tcW w:w="2762" w:type="pct"/>
            <w:vAlign w:val="center"/>
          </w:tcPr>
          <w:p w14:paraId="5349BB2B" w14:textId="77777777" w:rsidR="0055605A" w:rsidRPr="00A964FF" w:rsidRDefault="0055605A" w:rsidP="003E0795">
            <w:pPr>
              <w:jc w:val="center"/>
              <w:rPr>
                <w:rFonts w:ascii="Calibri" w:hAnsi="Calibri"/>
                <w:color w:val="auto"/>
              </w:rPr>
            </w:pPr>
            <w:r w:rsidRPr="00A964FF">
              <w:rPr>
                <w:rFonts w:ascii="Calibri"/>
                <w:color w:val="auto"/>
              </w:rPr>
              <w:t>评价标准</w:t>
            </w:r>
          </w:p>
        </w:tc>
        <w:tc>
          <w:tcPr>
            <w:tcW w:w="1119" w:type="pct"/>
            <w:vAlign w:val="center"/>
          </w:tcPr>
          <w:p w14:paraId="4E9E5416" w14:textId="77777777" w:rsidR="0055605A" w:rsidRPr="00A964FF" w:rsidRDefault="0055605A" w:rsidP="003E0795">
            <w:pPr>
              <w:jc w:val="center"/>
              <w:rPr>
                <w:rFonts w:ascii="Calibri" w:hAnsi="Calibri"/>
                <w:color w:val="auto"/>
              </w:rPr>
            </w:pPr>
            <w:r w:rsidRPr="00A964FF">
              <w:rPr>
                <w:rFonts w:ascii="Calibri"/>
                <w:color w:val="auto"/>
              </w:rPr>
              <w:t>昼间</w:t>
            </w:r>
          </w:p>
        </w:tc>
        <w:tc>
          <w:tcPr>
            <w:tcW w:w="1119" w:type="pct"/>
            <w:vAlign w:val="center"/>
          </w:tcPr>
          <w:p w14:paraId="2B0CA650" w14:textId="77777777" w:rsidR="0055605A" w:rsidRPr="00A964FF" w:rsidRDefault="0055605A" w:rsidP="003E0795">
            <w:pPr>
              <w:jc w:val="center"/>
              <w:rPr>
                <w:rFonts w:ascii="Calibri" w:hAnsi="Calibri"/>
                <w:color w:val="auto"/>
              </w:rPr>
            </w:pPr>
            <w:r w:rsidRPr="00A964FF">
              <w:rPr>
                <w:rFonts w:ascii="Calibri"/>
                <w:color w:val="auto"/>
              </w:rPr>
              <w:t>夜间</w:t>
            </w:r>
          </w:p>
        </w:tc>
      </w:tr>
      <w:tr w:rsidR="0055605A" w:rsidRPr="00A964FF" w14:paraId="3DCD5298" w14:textId="77777777" w:rsidTr="002445F5">
        <w:trPr>
          <w:trHeight w:val="467"/>
        </w:trPr>
        <w:tc>
          <w:tcPr>
            <w:tcW w:w="2762" w:type="pct"/>
            <w:vAlign w:val="center"/>
          </w:tcPr>
          <w:p w14:paraId="1C25B541" w14:textId="77777777" w:rsidR="0055605A" w:rsidRPr="00A964FF" w:rsidRDefault="0055605A" w:rsidP="0007472D">
            <w:pPr>
              <w:jc w:val="center"/>
              <w:rPr>
                <w:rFonts w:ascii="Calibri" w:hAnsi="Calibri"/>
                <w:color w:val="auto"/>
              </w:rPr>
            </w:pPr>
            <w:r w:rsidRPr="00A964FF">
              <w:rPr>
                <w:rFonts w:ascii="Calibri"/>
                <w:color w:val="auto"/>
              </w:rPr>
              <w:t>《声环境质量标准》（</w:t>
            </w:r>
            <w:r w:rsidRPr="00A964FF">
              <w:rPr>
                <w:rFonts w:ascii="Calibri" w:hAnsi="Calibri"/>
                <w:color w:val="auto"/>
              </w:rPr>
              <w:t>GB3096-2008</w:t>
            </w:r>
            <w:r w:rsidRPr="00A964FF">
              <w:rPr>
                <w:rFonts w:ascii="Calibri"/>
                <w:color w:val="auto"/>
              </w:rPr>
              <w:t>）</w:t>
            </w:r>
            <w:r w:rsidR="0007472D">
              <w:rPr>
                <w:rFonts w:ascii="Calibri" w:hAnsi="Calibri" w:hint="eastAsia"/>
                <w:color w:val="auto"/>
              </w:rPr>
              <w:t>3</w:t>
            </w:r>
            <w:r w:rsidRPr="00A964FF">
              <w:rPr>
                <w:rFonts w:ascii="Calibri"/>
                <w:color w:val="auto"/>
              </w:rPr>
              <w:t>类</w:t>
            </w:r>
          </w:p>
        </w:tc>
        <w:tc>
          <w:tcPr>
            <w:tcW w:w="1119" w:type="pct"/>
            <w:vAlign w:val="center"/>
          </w:tcPr>
          <w:p w14:paraId="6DA73B3A" w14:textId="77777777" w:rsidR="0055605A" w:rsidRPr="00A964FF" w:rsidRDefault="0007472D" w:rsidP="003E0795">
            <w:pPr>
              <w:jc w:val="center"/>
              <w:rPr>
                <w:rFonts w:ascii="Calibri" w:hAnsi="Calibri"/>
                <w:color w:val="auto"/>
              </w:rPr>
            </w:pPr>
            <w:r>
              <w:rPr>
                <w:rFonts w:ascii="Calibri" w:hAnsi="Calibri" w:hint="eastAsia"/>
                <w:color w:val="auto"/>
              </w:rPr>
              <w:t>65</w:t>
            </w:r>
          </w:p>
        </w:tc>
        <w:tc>
          <w:tcPr>
            <w:tcW w:w="1119" w:type="pct"/>
            <w:vAlign w:val="center"/>
          </w:tcPr>
          <w:p w14:paraId="43981E40" w14:textId="77777777" w:rsidR="0055605A" w:rsidRPr="00A964FF" w:rsidRDefault="0007472D" w:rsidP="003E0795">
            <w:pPr>
              <w:jc w:val="center"/>
              <w:rPr>
                <w:rFonts w:ascii="Calibri" w:hAnsi="Calibri"/>
                <w:color w:val="auto"/>
              </w:rPr>
            </w:pPr>
            <w:r>
              <w:rPr>
                <w:rFonts w:ascii="Calibri" w:hAnsi="Calibri" w:hint="eastAsia"/>
                <w:color w:val="auto"/>
              </w:rPr>
              <w:t>55</w:t>
            </w:r>
          </w:p>
        </w:tc>
      </w:tr>
    </w:tbl>
    <w:p w14:paraId="08E666CA" w14:textId="77777777" w:rsidR="0055605A" w:rsidRPr="00A964FF" w:rsidRDefault="0055605A" w:rsidP="0055605A">
      <w:pPr>
        <w:tabs>
          <w:tab w:val="left" w:pos="465"/>
        </w:tabs>
        <w:adjustRightInd w:val="0"/>
        <w:snapToGrid w:val="0"/>
        <w:spacing w:line="520" w:lineRule="exact"/>
        <w:ind w:firstLineChars="200" w:firstLine="482"/>
        <w:jc w:val="left"/>
        <w:rPr>
          <w:rFonts w:ascii="Calibri" w:hAnsi="Calibri" w:cs="宋体"/>
          <w:b/>
          <w:color w:val="auto"/>
          <w:sz w:val="24"/>
        </w:rPr>
      </w:pPr>
      <w:r w:rsidRPr="00A964FF">
        <w:rPr>
          <w:rFonts w:ascii="Calibri" w:hAnsi="Calibri" w:cs="宋体" w:hint="eastAsia"/>
          <w:b/>
          <w:color w:val="auto"/>
          <w:sz w:val="24"/>
        </w:rPr>
        <w:t>6</w:t>
      </w:r>
      <w:r w:rsidRPr="00A964FF">
        <w:rPr>
          <w:rFonts w:ascii="Calibri" w:hAnsi="Calibri" w:cs="宋体" w:hint="eastAsia"/>
          <w:b/>
          <w:color w:val="auto"/>
          <w:sz w:val="24"/>
        </w:rPr>
        <w:t>、检测结果与评价</w:t>
      </w:r>
    </w:p>
    <w:p w14:paraId="0A02177F" w14:textId="77777777" w:rsidR="0055605A" w:rsidRPr="00A964FF" w:rsidRDefault="0055605A" w:rsidP="0055605A">
      <w:pPr>
        <w:tabs>
          <w:tab w:val="left" w:pos="465"/>
        </w:tabs>
        <w:adjustRightInd w:val="0"/>
        <w:snapToGrid w:val="0"/>
        <w:spacing w:line="520" w:lineRule="exact"/>
        <w:ind w:firstLineChars="200" w:firstLine="480"/>
        <w:jc w:val="left"/>
        <w:rPr>
          <w:rFonts w:ascii="Calibri" w:hAnsi="Calibri" w:cs="宋体"/>
          <w:color w:val="auto"/>
          <w:sz w:val="24"/>
        </w:rPr>
      </w:pPr>
      <w:r w:rsidRPr="00A964FF">
        <w:rPr>
          <w:rFonts w:ascii="Calibri" w:hAnsi="Calibri" w:cs="宋体" w:hint="eastAsia"/>
          <w:color w:val="auto"/>
          <w:sz w:val="24"/>
        </w:rPr>
        <w:t>本次评价</w:t>
      </w:r>
      <w:r w:rsidR="00664F5B" w:rsidRPr="00A964FF">
        <w:rPr>
          <w:rFonts w:ascii="Calibri" w:hAnsi="Calibri" w:cs="宋体" w:hint="eastAsia"/>
          <w:color w:val="auto"/>
          <w:sz w:val="24"/>
        </w:rPr>
        <w:t>声环境</w:t>
      </w:r>
      <w:r w:rsidRPr="00A964FF">
        <w:rPr>
          <w:rFonts w:ascii="Calibri" w:hAnsi="Calibri" w:cs="宋体" w:hint="eastAsia"/>
          <w:color w:val="auto"/>
          <w:sz w:val="24"/>
        </w:rPr>
        <w:t>现状检测结果见表</w:t>
      </w:r>
      <w:r w:rsidRPr="00A964FF">
        <w:rPr>
          <w:rFonts w:ascii="Calibri" w:hAnsi="Calibri" w:cs="宋体" w:hint="eastAsia"/>
          <w:color w:val="auto"/>
          <w:sz w:val="24"/>
        </w:rPr>
        <w:t>3</w:t>
      </w:r>
      <w:r w:rsidR="00A6079A" w:rsidRPr="00A964FF">
        <w:rPr>
          <w:rFonts w:ascii="Calibri" w:hAnsi="Calibri" w:cs="宋体" w:hint="eastAsia"/>
          <w:color w:val="auto"/>
          <w:sz w:val="24"/>
        </w:rPr>
        <w:t>.3</w:t>
      </w:r>
      <w:r w:rsidRPr="00A964FF">
        <w:rPr>
          <w:rFonts w:ascii="Calibri" w:hAnsi="Calibri" w:cs="宋体" w:hint="eastAsia"/>
          <w:color w:val="auto"/>
          <w:sz w:val="24"/>
        </w:rPr>
        <w:t>-</w:t>
      </w:r>
      <w:r w:rsidR="00AC555A">
        <w:rPr>
          <w:rFonts w:ascii="Calibri" w:hAnsi="Calibri" w:cs="宋体" w:hint="eastAsia"/>
          <w:color w:val="auto"/>
          <w:sz w:val="24"/>
        </w:rPr>
        <w:t>19</w:t>
      </w:r>
      <w:r w:rsidRPr="00A964FF">
        <w:rPr>
          <w:rFonts w:ascii="Calibri" w:hAnsi="Calibri" w:cs="宋体" w:hint="eastAsia"/>
          <w:color w:val="auto"/>
          <w:sz w:val="24"/>
        </w:rPr>
        <w:t>。</w:t>
      </w:r>
    </w:p>
    <w:p w14:paraId="0D4C1AE3" w14:textId="77777777" w:rsidR="0055605A" w:rsidRPr="00A964FF" w:rsidRDefault="0055605A" w:rsidP="0055605A">
      <w:pPr>
        <w:spacing w:line="480" w:lineRule="exact"/>
        <w:ind w:firstLineChars="200" w:firstLine="480"/>
        <w:rPr>
          <w:rFonts w:ascii="Calibri" w:eastAsia="黑体" w:hAnsi="Calibri"/>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3</w:t>
      </w:r>
      <w:r w:rsidR="00A6079A" w:rsidRPr="00A964FF">
        <w:rPr>
          <w:rFonts w:ascii="Calibri" w:eastAsia="黑体" w:hAnsi="Calibri" w:hint="eastAsia"/>
          <w:color w:val="auto"/>
          <w:sz w:val="24"/>
        </w:rPr>
        <w:t>.3</w:t>
      </w:r>
      <w:r w:rsidRPr="00A964FF">
        <w:rPr>
          <w:rFonts w:ascii="Calibri" w:eastAsia="黑体" w:hAnsi="Calibri" w:hint="eastAsia"/>
          <w:color w:val="auto"/>
          <w:sz w:val="24"/>
        </w:rPr>
        <w:t>-</w:t>
      </w:r>
      <w:r w:rsidR="00AC555A">
        <w:rPr>
          <w:rFonts w:ascii="Calibri" w:eastAsia="黑体" w:hAnsi="Calibri" w:hint="eastAsia"/>
          <w:color w:val="auto"/>
          <w:sz w:val="24"/>
        </w:rPr>
        <w:t>19</w:t>
      </w:r>
      <w:r w:rsidRPr="00A964FF">
        <w:rPr>
          <w:rFonts w:ascii="Calibri" w:eastAsia="黑体" w:hAnsi="Calibri"/>
          <w:color w:val="auto"/>
          <w:sz w:val="24"/>
        </w:rPr>
        <w:t xml:space="preserve">             </w:t>
      </w:r>
      <w:r w:rsidR="003F1151"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color w:val="auto"/>
          <w:sz w:val="24"/>
        </w:rPr>
        <w:t>声</w:t>
      </w:r>
      <w:r w:rsidRPr="00A964FF">
        <w:rPr>
          <w:rFonts w:ascii="Calibri" w:eastAsia="黑体" w:hAnsi="Calibri" w:hint="eastAsia"/>
          <w:color w:val="auto"/>
          <w:sz w:val="24"/>
        </w:rPr>
        <w:t>环境</w:t>
      </w:r>
      <w:r w:rsidRPr="00A964FF">
        <w:rPr>
          <w:rFonts w:ascii="Calibri" w:eastAsia="黑体" w:hAnsi="Calibri"/>
          <w:color w:val="auto"/>
          <w:sz w:val="24"/>
        </w:rPr>
        <w:t>现状</w:t>
      </w:r>
      <w:r w:rsidRPr="00A964FF">
        <w:rPr>
          <w:rFonts w:ascii="Calibri" w:eastAsia="黑体" w:hAnsi="Calibri" w:hint="eastAsia"/>
          <w:color w:val="auto"/>
          <w:sz w:val="24"/>
        </w:rPr>
        <w:t>检测</w:t>
      </w:r>
      <w:r w:rsidRPr="00A964FF">
        <w:rPr>
          <w:rFonts w:ascii="Calibri" w:eastAsia="黑体" w:hAnsi="Calibri"/>
          <w:color w:val="auto"/>
          <w:sz w:val="24"/>
        </w:rPr>
        <w:t>结果</w:t>
      </w:r>
      <w:r w:rsidRPr="00A964FF">
        <w:rPr>
          <w:rFonts w:ascii="Calibri" w:eastAsia="黑体" w:hAnsi="Calibri"/>
          <w:color w:val="auto"/>
          <w:sz w:val="24"/>
        </w:rPr>
        <w:t xml:space="preserve">        </w:t>
      </w:r>
      <w:r w:rsidR="003F1151"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hAnsi="Calibri"/>
          <w:color w:val="auto"/>
          <w:szCs w:val="21"/>
        </w:rPr>
        <w:t>单位：</w:t>
      </w:r>
      <w:r w:rsidRPr="00A964FF">
        <w:rPr>
          <w:rFonts w:ascii="Calibri" w:hAnsi="Calibri"/>
          <w:color w:val="auto"/>
          <w:szCs w:val="21"/>
        </w:rPr>
        <w:t>dB</w:t>
      </w:r>
      <w:r w:rsidRPr="00A964FF">
        <w:rPr>
          <w:rFonts w:ascii="Calibri" w:hAnsi="Calibri"/>
          <w:color w:val="auto"/>
          <w:szCs w:val="21"/>
        </w:rPr>
        <w:t>（</w:t>
      </w:r>
      <w:r w:rsidRPr="00A964FF">
        <w:rPr>
          <w:rFonts w:ascii="Calibri" w:hAnsi="Calibri"/>
          <w:color w:val="auto"/>
          <w:szCs w:val="21"/>
        </w:rPr>
        <w:t>A</w:t>
      </w:r>
      <w:r w:rsidRPr="00A964FF">
        <w:rPr>
          <w:rFonts w:ascii="Calibri" w:hAnsi="Calibri"/>
          <w:color w:val="auto"/>
          <w:szCs w:val="21"/>
        </w:rPr>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998"/>
        <w:gridCol w:w="1474"/>
        <w:gridCol w:w="1357"/>
        <w:gridCol w:w="1307"/>
        <w:gridCol w:w="1188"/>
        <w:gridCol w:w="1188"/>
        <w:gridCol w:w="1188"/>
      </w:tblGrid>
      <w:tr w:rsidR="0055605A" w:rsidRPr="00A964FF" w14:paraId="50DE7728" w14:textId="77777777" w:rsidTr="003E0795">
        <w:trPr>
          <w:trHeight w:val="397"/>
        </w:trPr>
        <w:tc>
          <w:tcPr>
            <w:tcW w:w="573" w:type="pct"/>
            <w:vAlign w:val="center"/>
          </w:tcPr>
          <w:p w14:paraId="3BB02F56" w14:textId="77777777" w:rsidR="0055605A" w:rsidRPr="00A964FF" w:rsidRDefault="0055605A" w:rsidP="003E0795">
            <w:pPr>
              <w:pStyle w:val="000"/>
              <w:spacing w:line="240" w:lineRule="auto"/>
              <w:ind w:firstLine="0"/>
              <w:jc w:val="center"/>
              <w:rPr>
                <w:sz w:val="21"/>
                <w:szCs w:val="21"/>
              </w:rPr>
            </w:pPr>
            <w:r w:rsidRPr="00A964FF">
              <w:rPr>
                <w:rFonts w:hAnsi="宋体"/>
                <w:sz w:val="21"/>
                <w:szCs w:val="21"/>
              </w:rPr>
              <w:t>序号</w:t>
            </w:r>
          </w:p>
        </w:tc>
        <w:tc>
          <w:tcPr>
            <w:tcW w:w="847" w:type="pct"/>
            <w:vAlign w:val="center"/>
          </w:tcPr>
          <w:p w14:paraId="7114CAE9" w14:textId="77777777" w:rsidR="0055605A" w:rsidRPr="00A964FF" w:rsidRDefault="0055605A" w:rsidP="003E0795">
            <w:pPr>
              <w:pStyle w:val="000"/>
              <w:spacing w:line="240" w:lineRule="auto"/>
              <w:ind w:firstLine="0"/>
              <w:jc w:val="center"/>
              <w:rPr>
                <w:sz w:val="21"/>
                <w:szCs w:val="21"/>
              </w:rPr>
            </w:pPr>
            <w:r w:rsidRPr="00A964FF">
              <w:rPr>
                <w:rFonts w:hAnsi="宋体" w:hint="eastAsia"/>
                <w:sz w:val="21"/>
                <w:szCs w:val="21"/>
              </w:rPr>
              <w:t>检测点位</w:t>
            </w:r>
          </w:p>
        </w:tc>
        <w:tc>
          <w:tcPr>
            <w:tcW w:w="780" w:type="pct"/>
            <w:vAlign w:val="center"/>
          </w:tcPr>
          <w:p w14:paraId="45B93039" w14:textId="77777777" w:rsidR="0055605A" w:rsidRPr="00A964FF" w:rsidRDefault="0055605A" w:rsidP="003E0795">
            <w:pPr>
              <w:pStyle w:val="000"/>
              <w:spacing w:line="240" w:lineRule="auto"/>
              <w:ind w:firstLine="0"/>
              <w:jc w:val="center"/>
              <w:rPr>
                <w:sz w:val="21"/>
                <w:szCs w:val="21"/>
              </w:rPr>
            </w:pPr>
            <w:r w:rsidRPr="00A964FF">
              <w:rPr>
                <w:rFonts w:hAnsi="宋体"/>
                <w:sz w:val="21"/>
                <w:szCs w:val="21"/>
              </w:rPr>
              <w:t>检测日期</w:t>
            </w:r>
          </w:p>
        </w:tc>
        <w:tc>
          <w:tcPr>
            <w:tcW w:w="751" w:type="pct"/>
            <w:vAlign w:val="center"/>
          </w:tcPr>
          <w:p w14:paraId="6C7BE3FB" w14:textId="77777777" w:rsidR="0055605A" w:rsidRPr="00A964FF" w:rsidRDefault="0055605A" w:rsidP="003E0795">
            <w:pPr>
              <w:pStyle w:val="000"/>
              <w:spacing w:line="240" w:lineRule="auto"/>
              <w:ind w:firstLine="0"/>
              <w:jc w:val="center"/>
              <w:rPr>
                <w:sz w:val="21"/>
                <w:szCs w:val="21"/>
              </w:rPr>
            </w:pPr>
            <w:r w:rsidRPr="00A964FF">
              <w:rPr>
                <w:rFonts w:hAnsi="宋体"/>
                <w:sz w:val="21"/>
                <w:szCs w:val="21"/>
              </w:rPr>
              <w:t>昼间</w:t>
            </w:r>
          </w:p>
        </w:tc>
        <w:tc>
          <w:tcPr>
            <w:tcW w:w="683" w:type="pct"/>
            <w:vAlign w:val="center"/>
          </w:tcPr>
          <w:p w14:paraId="67E5F5E3" w14:textId="77777777" w:rsidR="0055605A" w:rsidRPr="00A964FF" w:rsidRDefault="0055605A" w:rsidP="003E0795">
            <w:pPr>
              <w:pStyle w:val="000"/>
              <w:spacing w:line="240" w:lineRule="auto"/>
              <w:ind w:firstLine="0"/>
              <w:jc w:val="center"/>
              <w:rPr>
                <w:sz w:val="21"/>
                <w:szCs w:val="21"/>
              </w:rPr>
            </w:pPr>
            <w:r w:rsidRPr="00A964FF">
              <w:rPr>
                <w:rFonts w:hAnsi="宋体"/>
                <w:sz w:val="21"/>
                <w:szCs w:val="21"/>
              </w:rPr>
              <w:t>夜间</w:t>
            </w:r>
          </w:p>
        </w:tc>
        <w:tc>
          <w:tcPr>
            <w:tcW w:w="683" w:type="pct"/>
            <w:vAlign w:val="center"/>
          </w:tcPr>
          <w:p w14:paraId="7C170045" w14:textId="77777777" w:rsidR="0055605A" w:rsidRPr="00A964FF" w:rsidRDefault="0055605A" w:rsidP="003E0795">
            <w:pPr>
              <w:jc w:val="center"/>
              <w:rPr>
                <w:color w:val="auto"/>
              </w:rPr>
            </w:pPr>
            <w:r w:rsidRPr="00A964FF">
              <w:rPr>
                <w:rFonts w:hint="eastAsia"/>
                <w:color w:val="auto"/>
              </w:rPr>
              <w:t>标准限值</w:t>
            </w:r>
          </w:p>
        </w:tc>
        <w:tc>
          <w:tcPr>
            <w:tcW w:w="683" w:type="pct"/>
            <w:vAlign w:val="center"/>
          </w:tcPr>
          <w:p w14:paraId="19724C1B" w14:textId="77777777" w:rsidR="0055605A" w:rsidRPr="00A964FF" w:rsidRDefault="0055605A" w:rsidP="003E0795">
            <w:pPr>
              <w:jc w:val="center"/>
              <w:rPr>
                <w:color w:val="auto"/>
              </w:rPr>
            </w:pPr>
            <w:r w:rsidRPr="00A964FF">
              <w:rPr>
                <w:rFonts w:hint="eastAsia"/>
                <w:color w:val="auto"/>
              </w:rPr>
              <w:t>是否达标</w:t>
            </w:r>
          </w:p>
        </w:tc>
      </w:tr>
      <w:tr w:rsidR="0055605A" w:rsidRPr="00A964FF" w14:paraId="57676995" w14:textId="77777777" w:rsidTr="003E0795">
        <w:trPr>
          <w:trHeight w:val="397"/>
        </w:trPr>
        <w:tc>
          <w:tcPr>
            <w:tcW w:w="573" w:type="pct"/>
            <w:vAlign w:val="center"/>
          </w:tcPr>
          <w:p w14:paraId="018E2116" w14:textId="77777777" w:rsidR="0055605A" w:rsidRPr="00A964FF" w:rsidRDefault="0055605A" w:rsidP="003E0795">
            <w:pPr>
              <w:pStyle w:val="000"/>
              <w:spacing w:line="240" w:lineRule="auto"/>
              <w:ind w:firstLine="0"/>
              <w:jc w:val="center"/>
              <w:rPr>
                <w:sz w:val="21"/>
                <w:szCs w:val="21"/>
              </w:rPr>
            </w:pPr>
            <w:r w:rsidRPr="00A964FF">
              <w:rPr>
                <w:sz w:val="21"/>
                <w:szCs w:val="21"/>
              </w:rPr>
              <w:t>1</w:t>
            </w:r>
          </w:p>
        </w:tc>
        <w:tc>
          <w:tcPr>
            <w:tcW w:w="847" w:type="pct"/>
            <w:vAlign w:val="center"/>
          </w:tcPr>
          <w:p w14:paraId="4497FD84" w14:textId="77777777" w:rsidR="0055605A" w:rsidRPr="00A964FF" w:rsidRDefault="0055605A" w:rsidP="003E0795">
            <w:pPr>
              <w:pStyle w:val="000"/>
              <w:spacing w:line="240" w:lineRule="auto"/>
              <w:ind w:firstLine="0"/>
              <w:jc w:val="center"/>
              <w:rPr>
                <w:sz w:val="21"/>
                <w:szCs w:val="21"/>
              </w:rPr>
            </w:pPr>
            <w:r w:rsidRPr="00A964FF">
              <w:rPr>
                <w:rFonts w:hAnsi="宋体"/>
                <w:sz w:val="21"/>
                <w:szCs w:val="21"/>
              </w:rPr>
              <w:t>厂界</w:t>
            </w:r>
            <w:r w:rsidRPr="00A964FF">
              <w:rPr>
                <w:rFonts w:hAnsi="宋体" w:hint="eastAsia"/>
                <w:sz w:val="21"/>
                <w:szCs w:val="21"/>
              </w:rPr>
              <w:t>东</w:t>
            </w:r>
          </w:p>
        </w:tc>
        <w:tc>
          <w:tcPr>
            <w:tcW w:w="780" w:type="pct"/>
            <w:vMerge w:val="restart"/>
            <w:vAlign w:val="center"/>
          </w:tcPr>
          <w:p w14:paraId="15E59776" w14:textId="77777777" w:rsidR="0055605A" w:rsidRPr="00A964FF" w:rsidRDefault="0055605A" w:rsidP="006B496C">
            <w:pPr>
              <w:pStyle w:val="000"/>
              <w:spacing w:line="240" w:lineRule="auto"/>
              <w:ind w:firstLine="0"/>
              <w:jc w:val="center"/>
              <w:rPr>
                <w:sz w:val="21"/>
                <w:szCs w:val="21"/>
              </w:rPr>
            </w:pPr>
            <w:r w:rsidRPr="00A964FF">
              <w:rPr>
                <w:rFonts w:hint="eastAsia"/>
                <w:sz w:val="21"/>
                <w:szCs w:val="21"/>
              </w:rPr>
              <w:t>20</w:t>
            </w:r>
            <w:r w:rsidR="002445F5">
              <w:rPr>
                <w:sz w:val="21"/>
                <w:szCs w:val="21"/>
              </w:rPr>
              <w:t>22</w:t>
            </w:r>
            <w:r w:rsidR="00DD2E43" w:rsidRPr="00A964FF">
              <w:rPr>
                <w:rFonts w:hint="eastAsia"/>
                <w:sz w:val="21"/>
                <w:szCs w:val="21"/>
              </w:rPr>
              <w:t>.</w:t>
            </w:r>
            <w:r w:rsidR="006B496C">
              <w:rPr>
                <w:sz w:val="21"/>
                <w:szCs w:val="21"/>
              </w:rPr>
              <w:t>7</w:t>
            </w:r>
            <w:r w:rsidR="00DD2E43" w:rsidRPr="00A964FF">
              <w:rPr>
                <w:rFonts w:hint="eastAsia"/>
                <w:sz w:val="21"/>
                <w:szCs w:val="21"/>
              </w:rPr>
              <w:t>.</w:t>
            </w:r>
            <w:r w:rsidR="006B496C">
              <w:rPr>
                <w:sz w:val="21"/>
                <w:szCs w:val="21"/>
              </w:rPr>
              <w:t>29</w:t>
            </w:r>
          </w:p>
        </w:tc>
        <w:tc>
          <w:tcPr>
            <w:tcW w:w="751" w:type="pct"/>
            <w:vAlign w:val="center"/>
          </w:tcPr>
          <w:p w14:paraId="23F03507" w14:textId="77777777" w:rsidR="0055605A" w:rsidRPr="00A964FF" w:rsidRDefault="006B496C" w:rsidP="003E0795">
            <w:pPr>
              <w:pStyle w:val="000"/>
              <w:spacing w:line="240" w:lineRule="auto"/>
              <w:ind w:firstLine="0"/>
              <w:jc w:val="center"/>
              <w:rPr>
                <w:sz w:val="21"/>
                <w:szCs w:val="21"/>
              </w:rPr>
            </w:pPr>
            <w:r>
              <w:rPr>
                <w:sz w:val="21"/>
                <w:szCs w:val="21"/>
              </w:rPr>
              <w:t>53</w:t>
            </w:r>
          </w:p>
        </w:tc>
        <w:tc>
          <w:tcPr>
            <w:tcW w:w="683" w:type="pct"/>
            <w:vAlign w:val="center"/>
          </w:tcPr>
          <w:p w14:paraId="512F18FF" w14:textId="77777777" w:rsidR="0055605A" w:rsidRPr="00A964FF" w:rsidRDefault="006B496C" w:rsidP="003E0795">
            <w:pPr>
              <w:pStyle w:val="000"/>
              <w:spacing w:line="240" w:lineRule="auto"/>
              <w:ind w:firstLine="0"/>
              <w:jc w:val="center"/>
              <w:rPr>
                <w:sz w:val="21"/>
                <w:szCs w:val="21"/>
              </w:rPr>
            </w:pPr>
            <w:r>
              <w:rPr>
                <w:sz w:val="21"/>
                <w:szCs w:val="21"/>
              </w:rPr>
              <w:t>44</w:t>
            </w:r>
          </w:p>
        </w:tc>
        <w:tc>
          <w:tcPr>
            <w:tcW w:w="683" w:type="pct"/>
            <w:vAlign w:val="center"/>
          </w:tcPr>
          <w:p w14:paraId="16DEC51B" w14:textId="77777777" w:rsidR="0055605A" w:rsidRPr="00A964FF" w:rsidRDefault="002445F5" w:rsidP="002445F5">
            <w:pPr>
              <w:pStyle w:val="000"/>
              <w:spacing w:line="240" w:lineRule="auto"/>
              <w:ind w:firstLine="0"/>
              <w:jc w:val="center"/>
              <w:rPr>
                <w:sz w:val="21"/>
                <w:szCs w:val="21"/>
              </w:rPr>
            </w:pPr>
            <w:r>
              <w:rPr>
                <w:sz w:val="21"/>
                <w:szCs w:val="21"/>
              </w:rPr>
              <w:t>65</w:t>
            </w:r>
            <w:r w:rsidR="0055605A" w:rsidRPr="00A964FF">
              <w:rPr>
                <w:rFonts w:hint="eastAsia"/>
                <w:sz w:val="21"/>
                <w:szCs w:val="21"/>
              </w:rPr>
              <w:t>/</w:t>
            </w:r>
            <w:r>
              <w:rPr>
                <w:sz w:val="21"/>
                <w:szCs w:val="21"/>
              </w:rPr>
              <w:t>55</w:t>
            </w:r>
          </w:p>
        </w:tc>
        <w:tc>
          <w:tcPr>
            <w:tcW w:w="683" w:type="pct"/>
            <w:vAlign w:val="center"/>
          </w:tcPr>
          <w:p w14:paraId="7B3C67CF" w14:textId="77777777" w:rsidR="0055605A" w:rsidRPr="00A964FF" w:rsidRDefault="0055605A" w:rsidP="003E0795">
            <w:pPr>
              <w:pStyle w:val="000"/>
              <w:spacing w:line="240" w:lineRule="auto"/>
              <w:ind w:firstLine="0"/>
              <w:jc w:val="center"/>
              <w:rPr>
                <w:sz w:val="21"/>
                <w:szCs w:val="21"/>
              </w:rPr>
            </w:pPr>
            <w:r w:rsidRPr="00A964FF">
              <w:rPr>
                <w:rFonts w:hint="eastAsia"/>
                <w:sz w:val="21"/>
                <w:szCs w:val="21"/>
              </w:rPr>
              <w:t>达标</w:t>
            </w:r>
          </w:p>
        </w:tc>
      </w:tr>
      <w:tr w:rsidR="0055605A" w:rsidRPr="00A964FF" w14:paraId="4AFAC4D6" w14:textId="77777777" w:rsidTr="003E0795">
        <w:trPr>
          <w:trHeight w:val="397"/>
        </w:trPr>
        <w:tc>
          <w:tcPr>
            <w:tcW w:w="573" w:type="pct"/>
            <w:vAlign w:val="center"/>
          </w:tcPr>
          <w:p w14:paraId="354A5CDC" w14:textId="77777777" w:rsidR="0055605A" w:rsidRPr="00A964FF" w:rsidRDefault="0055605A" w:rsidP="003E0795">
            <w:pPr>
              <w:pStyle w:val="000"/>
              <w:spacing w:line="240" w:lineRule="auto"/>
              <w:ind w:firstLine="0"/>
              <w:jc w:val="center"/>
              <w:rPr>
                <w:sz w:val="21"/>
                <w:szCs w:val="21"/>
              </w:rPr>
            </w:pPr>
            <w:r w:rsidRPr="00A964FF">
              <w:rPr>
                <w:sz w:val="21"/>
                <w:szCs w:val="21"/>
              </w:rPr>
              <w:t>2</w:t>
            </w:r>
          </w:p>
        </w:tc>
        <w:tc>
          <w:tcPr>
            <w:tcW w:w="847" w:type="pct"/>
            <w:vAlign w:val="center"/>
          </w:tcPr>
          <w:p w14:paraId="00D934B3" w14:textId="77777777" w:rsidR="0055605A" w:rsidRPr="00A964FF" w:rsidRDefault="0055605A" w:rsidP="003E0795">
            <w:pPr>
              <w:pStyle w:val="000"/>
              <w:spacing w:line="240" w:lineRule="auto"/>
              <w:ind w:firstLine="0"/>
              <w:jc w:val="center"/>
              <w:rPr>
                <w:sz w:val="21"/>
                <w:szCs w:val="21"/>
              </w:rPr>
            </w:pPr>
            <w:r w:rsidRPr="00A964FF">
              <w:rPr>
                <w:rFonts w:hint="eastAsia"/>
                <w:sz w:val="21"/>
                <w:szCs w:val="21"/>
              </w:rPr>
              <w:t>厂界南</w:t>
            </w:r>
          </w:p>
        </w:tc>
        <w:tc>
          <w:tcPr>
            <w:tcW w:w="780" w:type="pct"/>
            <w:vMerge/>
            <w:vAlign w:val="center"/>
          </w:tcPr>
          <w:p w14:paraId="27C76329" w14:textId="77777777" w:rsidR="0055605A" w:rsidRPr="00A964FF" w:rsidRDefault="0055605A" w:rsidP="003E0795">
            <w:pPr>
              <w:pStyle w:val="000"/>
              <w:spacing w:line="240" w:lineRule="auto"/>
              <w:ind w:firstLine="0"/>
              <w:jc w:val="center"/>
              <w:rPr>
                <w:sz w:val="21"/>
                <w:szCs w:val="21"/>
              </w:rPr>
            </w:pPr>
          </w:p>
        </w:tc>
        <w:tc>
          <w:tcPr>
            <w:tcW w:w="751" w:type="pct"/>
            <w:vAlign w:val="center"/>
          </w:tcPr>
          <w:p w14:paraId="2733F536" w14:textId="77777777" w:rsidR="0055605A" w:rsidRPr="00A964FF" w:rsidRDefault="002445F5" w:rsidP="003E0795">
            <w:pPr>
              <w:pStyle w:val="000"/>
              <w:spacing w:line="240" w:lineRule="auto"/>
              <w:ind w:firstLine="0"/>
              <w:jc w:val="center"/>
              <w:rPr>
                <w:sz w:val="21"/>
                <w:szCs w:val="21"/>
              </w:rPr>
            </w:pPr>
            <w:r>
              <w:rPr>
                <w:sz w:val="21"/>
                <w:szCs w:val="21"/>
              </w:rPr>
              <w:t>52</w:t>
            </w:r>
          </w:p>
        </w:tc>
        <w:tc>
          <w:tcPr>
            <w:tcW w:w="683" w:type="pct"/>
            <w:vAlign w:val="center"/>
          </w:tcPr>
          <w:p w14:paraId="0F52EB61" w14:textId="77777777" w:rsidR="0055605A" w:rsidRPr="00A964FF" w:rsidRDefault="006B496C" w:rsidP="003E0795">
            <w:pPr>
              <w:pStyle w:val="000"/>
              <w:spacing w:line="240" w:lineRule="auto"/>
              <w:ind w:firstLine="0"/>
              <w:jc w:val="center"/>
              <w:rPr>
                <w:sz w:val="21"/>
                <w:szCs w:val="21"/>
              </w:rPr>
            </w:pPr>
            <w:r>
              <w:rPr>
                <w:sz w:val="21"/>
                <w:szCs w:val="21"/>
              </w:rPr>
              <w:t>43</w:t>
            </w:r>
          </w:p>
        </w:tc>
        <w:tc>
          <w:tcPr>
            <w:tcW w:w="683" w:type="pct"/>
            <w:vAlign w:val="center"/>
          </w:tcPr>
          <w:p w14:paraId="7B1CA065" w14:textId="77777777" w:rsidR="0055605A" w:rsidRPr="00A964FF" w:rsidRDefault="002445F5" w:rsidP="003E0795">
            <w:pPr>
              <w:pStyle w:val="000"/>
              <w:spacing w:line="240" w:lineRule="auto"/>
              <w:ind w:firstLine="0"/>
              <w:jc w:val="center"/>
              <w:rPr>
                <w:sz w:val="21"/>
                <w:szCs w:val="21"/>
              </w:rPr>
            </w:pPr>
            <w:r>
              <w:rPr>
                <w:sz w:val="21"/>
                <w:szCs w:val="21"/>
              </w:rPr>
              <w:t>65</w:t>
            </w:r>
            <w:r w:rsidRPr="00A964FF">
              <w:rPr>
                <w:rFonts w:hint="eastAsia"/>
                <w:sz w:val="21"/>
                <w:szCs w:val="21"/>
              </w:rPr>
              <w:t>/</w:t>
            </w:r>
            <w:r>
              <w:rPr>
                <w:sz w:val="21"/>
                <w:szCs w:val="21"/>
              </w:rPr>
              <w:t>55</w:t>
            </w:r>
          </w:p>
        </w:tc>
        <w:tc>
          <w:tcPr>
            <w:tcW w:w="683" w:type="pct"/>
            <w:vAlign w:val="center"/>
          </w:tcPr>
          <w:p w14:paraId="14423513" w14:textId="77777777" w:rsidR="0055605A" w:rsidRPr="00A964FF" w:rsidRDefault="0055605A" w:rsidP="003E0795">
            <w:pPr>
              <w:pStyle w:val="000"/>
              <w:spacing w:line="240" w:lineRule="auto"/>
              <w:ind w:firstLine="0"/>
              <w:jc w:val="center"/>
              <w:rPr>
                <w:sz w:val="21"/>
                <w:szCs w:val="21"/>
              </w:rPr>
            </w:pPr>
            <w:r w:rsidRPr="00A964FF">
              <w:rPr>
                <w:rFonts w:hint="eastAsia"/>
                <w:sz w:val="21"/>
                <w:szCs w:val="21"/>
              </w:rPr>
              <w:t>达标</w:t>
            </w:r>
          </w:p>
        </w:tc>
      </w:tr>
      <w:tr w:rsidR="00222DFB" w:rsidRPr="00A964FF" w14:paraId="7F6D516B" w14:textId="77777777" w:rsidTr="003E0795">
        <w:trPr>
          <w:trHeight w:val="397"/>
        </w:trPr>
        <w:tc>
          <w:tcPr>
            <w:tcW w:w="573" w:type="pct"/>
            <w:vAlign w:val="center"/>
          </w:tcPr>
          <w:p w14:paraId="115E22A8" w14:textId="77777777" w:rsidR="00222DFB" w:rsidRPr="00A964FF" w:rsidRDefault="00222DFB" w:rsidP="003E0795">
            <w:pPr>
              <w:pStyle w:val="000"/>
              <w:spacing w:line="240" w:lineRule="auto"/>
              <w:ind w:firstLine="0"/>
              <w:jc w:val="center"/>
              <w:rPr>
                <w:sz w:val="21"/>
                <w:szCs w:val="21"/>
              </w:rPr>
            </w:pPr>
            <w:r w:rsidRPr="00A964FF">
              <w:rPr>
                <w:sz w:val="21"/>
                <w:szCs w:val="21"/>
              </w:rPr>
              <w:t>3</w:t>
            </w:r>
          </w:p>
        </w:tc>
        <w:tc>
          <w:tcPr>
            <w:tcW w:w="847" w:type="pct"/>
            <w:vAlign w:val="center"/>
          </w:tcPr>
          <w:p w14:paraId="6364437F"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厂界西</w:t>
            </w:r>
          </w:p>
        </w:tc>
        <w:tc>
          <w:tcPr>
            <w:tcW w:w="780" w:type="pct"/>
            <w:vMerge/>
            <w:vAlign w:val="center"/>
          </w:tcPr>
          <w:p w14:paraId="187E4F62" w14:textId="77777777" w:rsidR="00222DFB" w:rsidRPr="00A964FF" w:rsidRDefault="00222DFB" w:rsidP="003E0795">
            <w:pPr>
              <w:pStyle w:val="000"/>
              <w:spacing w:line="240" w:lineRule="auto"/>
              <w:ind w:firstLine="0"/>
              <w:jc w:val="center"/>
              <w:rPr>
                <w:sz w:val="21"/>
                <w:szCs w:val="21"/>
              </w:rPr>
            </w:pPr>
          </w:p>
        </w:tc>
        <w:tc>
          <w:tcPr>
            <w:tcW w:w="751" w:type="pct"/>
            <w:vAlign w:val="center"/>
          </w:tcPr>
          <w:p w14:paraId="40B819D3" w14:textId="77777777" w:rsidR="00222DFB" w:rsidRPr="00A964FF" w:rsidRDefault="006B496C" w:rsidP="003E0795">
            <w:pPr>
              <w:pStyle w:val="000"/>
              <w:spacing w:line="240" w:lineRule="auto"/>
              <w:ind w:firstLine="0"/>
              <w:jc w:val="center"/>
              <w:rPr>
                <w:sz w:val="21"/>
                <w:szCs w:val="21"/>
              </w:rPr>
            </w:pPr>
            <w:r>
              <w:rPr>
                <w:sz w:val="21"/>
                <w:szCs w:val="21"/>
              </w:rPr>
              <w:t>51</w:t>
            </w:r>
          </w:p>
        </w:tc>
        <w:tc>
          <w:tcPr>
            <w:tcW w:w="683" w:type="pct"/>
            <w:vAlign w:val="center"/>
          </w:tcPr>
          <w:p w14:paraId="71C38878" w14:textId="77777777" w:rsidR="00222DFB" w:rsidRPr="00A964FF" w:rsidRDefault="006B496C" w:rsidP="003E0795">
            <w:pPr>
              <w:pStyle w:val="000"/>
              <w:spacing w:line="240" w:lineRule="auto"/>
              <w:ind w:firstLine="0"/>
              <w:jc w:val="center"/>
              <w:rPr>
                <w:sz w:val="21"/>
                <w:szCs w:val="21"/>
              </w:rPr>
            </w:pPr>
            <w:r>
              <w:rPr>
                <w:sz w:val="21"/>
                <w:szCs w:val="21"/>
              </w:rPr>
              <w:t>40</w:t>
            </w:r>
          </w:p>
        </w:tc>
        <w:tc>
          <w:tcPr>
            <w:tcW w:w="683" w:type="pct"/>
            <w:vAlign w:val="center"/>
          </w:tcPr>
          <w:p w14:paraId="7557551B" w14:textId="77777777" w:rsidR="00222DFB" w:rsidRPr="00A964FF" w:rsidRDefault="002445F5" w:rsidP="002D481B">
            <w:pPr>
              <w:pStyle w:val="000"/>
              <w:spacing w:line="240" w:lineRule="auto"/>
              <w:ind w:firstLine="0"/>
              <w:jc w:val="center"/>
              <w:rPr>
                <w:sz w:val="21"/>
                <w:szCs w:val="21"/>
              </w:rPr>
            </w:pPr>
            <w:r>
              <w:rPr>
                <w:sz w:val="21"/>
                <w:szCs w:val="21"/>
              </w:rPr>
              <w:t>65</w:t>
            </w:r>
            <w:r w:rsidRPr="00A964FF">
              <w:rPr>
                <w:rFonts w:hint="eastAsia"/>
                <w:sz w:val="21"/>
                <w:szCs w:val="21"/>
              </w:rPr>
              <w:t>/</w:t>
            </w:r>
            <w:r>
              <w:rPr>
                <w:sz w:val="21"/>
                <w:szCs w:val="21"/>
              </w:rPr>
              <w:t>55</w:t>
            </w:r>
          </w:p>
        </w:tc>
        <w:tc>
          <w:tcPr>
            <w:tcW w:w="683" w:type="pct"/>
            <w:vAlign w:val="center"/>
          </w:tcPr>
          <w:p w14:paraId="3268F435"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达标</w:t>
            </w:r>
          </w:p>
        </w:tc>
      </w:tr>
      <w:tr w:rsidR="00222DFB" w:rsidRPr="00A964FF" w14:paraId="1F366D69" w14:textId="77777777" w:rsidTr="003E0795">
        <w:trPr>
          <w:trHeight w:val="397"/>
        </w:trPr>
        <w:tc>
          <w:tcPr>
            <w:tcW w:w="573" w:type="pct"/>
            <w:vAlign w:val="center"/>
          </w:tcPr>
          <w:p w14:paraId="1FD9709B" w14:textId="77777777" w:rsidR="00222DFB" w:rsidRPr="00A964FF" w:rsidRDefault="00222DFB" w:rsidP="003E0795">
            <w:pPr>
              <w:pStyle w:val="000"/>
              <w:spacing w:line="240" w:lineRule="auto"/>
              <w:ind w:firstLine="0"/>
              <w:jc w:val="center"/>
              <w:rPr>
                <w:sz w:val="21"/>
                <w:szCs w:val="21"/>
              </w:rPr>
            </w:pPr>
            <w:r w:rsidRPr="00A964FF">
              <w:rPr>
                <w:sz w:val="21"/>
                <w:szCs w:val="21"/>
              </w:rPr>
              <w:t>4</w:t>
            </w:r>
          </w:p>
        </w:tc>
        <w:tc>
          <w:tcPr>
            <w:tcW w:w="847" w:type="pct"/>
            <w:vAlign w:val="center"/>
          </w:tcPr>
          <w:p w14:paraId="73C1B229"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厂界北</w:t>
            </w:r>
          </w:p>
        </w:tc>
        <w:tc>
          <w:tcPr>
            <w:tcW w:w="780" w:type="pct"/>
            <w:vMerge/>
            <w:vAlign w:val="center"/>
          </w:tcPr>
          <w:p w14:paraId="68DCD683" w14:textId="77777777" w:rsidR="00222DFB" w:rsidRPr="00A964FF" w:rsidRDefault="00222DFB" w:rsidP="003E0795">
            <w:pPr>
              <w:pStyle w:val="000"/>
              <w:spacing w:line="240" w:lineRule="auto"/>
              <w:ind w:firstLine="0"/>
              <w:jc w:val="center"/>
              <w:rPr>
                <w:sz w:val="21"/>
                <w:szCs w:val="21"/>
              </w:rPr>
            </w:pPr>
          </w:p>
        </w:tc>
        <w:tc>
          <w:tcPr>
            <w:tcW w:w="751" w:type="pct"/>
            <w:vAlign w:val="center"/>
          </w:tcPr>
          <w:p w14:paraId="7B1E5719" w14:textId="77777777" w:rsidR="00222DFB" w:rsidRPr="00A964FF" w:rsidRDefault="006B496C" w:rsidP="003E0795">
            <w:pPr>
              <w:pStyle w:val="000"/>
              <w:spacing w:line="240" w:lineRule="auto"/>
              <w:ind w:firstLine="0"/>
              <w:jc w:val="center"/>
              <w:rPr>
                <w:sz w:val="21"/>
                <w:szCs w:val="21"/>
              </w:rPr>
            </w:pPr>
            <w:r>
              <w:rPr>
                <w:sz w:val="21"/>
                <w:szCs w:val="21"/>
              </w:rPr>
              <w:t>53</w:t>
            </w:r>
          </w:p>
        </w:tc>
        <w:tc>
          <w:tcPr>
            <w:tcW w:w="683" w:type="pct"/>
            <w:vAlign w:val="center"/>
          </w:tcPr>
          <w:p w14:paraId="56004F6B" w14:textId="77777777" w:rsidR="00222DFB" w:rsidRPr="00A964FF" w:rsidRDefault="006B496C" w:rsidP="003E0795">
            <w:pPr>
              <w:pStyle w:val="000"/>
              <w:spacing w:line="240" w:lineRule="auto"/>
              <w:ind w:firstLine="0"/>
              <w:jc w:val="center"/>
              <w:rPr>
                <w:sz w:val="21"/>
                <w:szCs w:val="21"/>
              </w:rPr>
            </w:pPr>
            <w:r>
              <w:rPr>
                <w:sz w:val="21"/>
                <w:szCs w:val="21"/>
              </w:rPr>
              <w:t>43</w:t>
            </w:r>
          </w:p>
        </w:tc>
        <w:tc>
          <w:tcPr>
            <w:tcW w:w="683" w:type="pct"/>
            <w:vAlign w:val="center"/>
          </w:tcPr>
          <w:p w14:paraId="64F3A717" w14:textId="77777777" w:rsidR="00222DFB" w:rsidRPr="00A964FF" w:rsidRDefault="002445F5" w:rsidP="002D481B">
            <w:pPr>
              <w:pStyle w:val="000"/>
              <w:spacing w:line="240" w:lineRule="auto"/>
              <w:ind w:firstLine="0"/>
              <w:jc w:val="center"/>
              <w:rPr>
                <w:sz w:val="21"/>
                <w:szCs w:val="21"/>
              </w:rPr>
            </w:pPr>
            <w:r>
              <w:rPr>
                <w:sz w:val="21"/>
                <w:szCs w:val="21"/>
              </w:rPr>
              <w:t>65</w:t>
            </w:r>
            <w:r w:rsidRPr="00A964FF">
              <w:rPr>
                <w:rFonts w:hint="eastAsia"/>
                <w:sz w:val="21"/>
                <w:szCs w:val="21"/>
              </w:rPr>
              <w:t>/</w:t>
            </w:r>
            <w:r>
              <w:rPr>
                <w:sz w:val="21"/>
                <w:szCs w:val="21"/>
              </w:rPr>
              <w:t>55</w:t>
            </w:r>
          </w:p>
        </w:tc>
        <w:tc>
          <w:tcPr>
            <w:tcW w:w="683" w:type="pct"/>
            <w:vAlign w:val="center"/>
          </w:tcPr>
          <w:p w14:paraId="725E1AC8"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达标</w:t>
            </w:r>
          </w:p>
        </w:tc>
      </w:tr>
      <w:tr w:rsidR="00222DFB" w:rsidRPr="00A964FF" w14:paraId="4B4FCAD5" w14:textId="77777777" w:rsidTr="003E0795">
        <w:trPr>
          <w:trHeight w:val="397"/>
        </w:trPr>
        <w:tc>
          <w:tcPr>
            <w:tcW w:w="573" w:type="pct"/>
            <w:vAlign w:val="center"/>
          </w:tcPr>
          <w:p w14:paraId="06100747"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5</w:t>
            </w:r>
          </w:p>
        </w:tc>
        <w:tc>
          <w:tcPr>
            <w:tcW w:w="847" w:type="pct"/>
            <w:vAlign w:val="center"/>
          </w:tcPr>
          <w:p w14:paraId="2FF3CFC3" w14:textId="77777777" w:rsidR="00222DFB" w:rsidRPr="00A964FF" w:rsidRDefault="00222DFB" w:rsidP="003E0795">
            <w:pPr>
              <w:pStyle w:val="000"/>
              <w:spacing w:line="240" w:lineRule="auto"/>
              <w:ind w:firstLine="0"/>
              <w:jc w:val="center"/>
              <w:rPr>
                <w:sz w:val="21"/>
                <w:szCs w:val="21"/>
              </w:rPr>
            </w:pPr>
            <w:r w:rsidRPr="00A964FF">
              <w:rPr>
                <w:rFonts w:hAnsi="宋体"/>
                <w:sz w:val="21"/>
                <w:szCs w:val="21"/>
              </w:rPr>
              <w:t>厂界</w:t>
            </w:r>
            <w:r w:rsidRPr="00A964FF">
              <w:rPr>
                <w:rFonts w:hAnsi="宋体" w:hint="eastAsia"/>
                <w:sz w:val="21"/>
                <w:szCs w:val="21"/>
              </w:rPr>
              <w:t>东</w:t>
            </w:r>
          </w:p>
        </w:tc>
        <w:tc>
          <w:tcPr>
            <w:tcW w:w="780" w:type="pct"/>
            <w:vMerge w:val="restart"/>
            <w:vAlign w:val="center"/>
          </w:tcPr>
          <w:p w14:paraId="377642AF" w14:textId="77777777" w:rsidR="00222DFB" w:rsidRPr="00A964FF" w:rsidRDefault="00222DFB" w:rsidP="006B496C">
            <w:pPr>
              <w:pStyle w:val="000"/>
              <w:ind w:firstLine="0"/>
              <w:jc w:val="center"/>
              <w:rPr>
                <w:sz w:val="21"/>
                <w:szCs w:val="21"/>
              </w:rPr>
            </w:pPr>
            <w:r w:rsidRPr="00A964FF">
              <w:rPr>
                <w:rFonts w:hint="eastAsia"/>
                <w:sz w:val="21"/>
                <w:szCs w:val="21"/>
              </w:rPr>
              <w:t>202</w:t>
            </w:r>
            <w:r w:rsidR="002445F5">
              <w:rPr>
                <w:sz w:val="21"/>
                <w:szCs w:val="21"/>
              </w:rPr>
              <w:t>2</w:t>
            </w:r>
            <w:r w:rsidR="00DD2E43" w:rsidRPr="00A964FF">
              <w:rPr>
                <w:rFonts w:hint="eastAsia"/>
                <w:sz w:val="21"/>
                <w:szCs w:val="21"/>
              </w:rPr>
              <w:t>.</w:t>
            </w:r>
            <w:r w:rsidR="006B496C">
              <w:rPr>
                <w:sz w:val="21"/>
                <w:szCs w:val="21"/>
              </w:rPr>
              <w:t>7</w:t>
            </w:r>
            <w:r w:rsidR="00DD2E43" w:rsidRPr="00A964FF">
              <w:rPr>
                <w:rFonts w:hint="eastAsia"/>
                <w:sz w:val="21"/>
                <w:szCs w:val="21"/>
              </w:rPr>
              <w:t>.</w:t>
            </w:r>
            <w:r w:rsidR="006B496C">
              <w:rPr>
                <w:sz w:val="21"/>
                <w:szCs w:val="21"/>
              </w:rPr>
              <w:t>30</w:t>
            </w:r>
          </w:p>
        </w:tc>
        <w:tc>
          <w:tcPr>
            <w:tcW w:w="751" w:type="pct"/>
            <w:vAlign w:val="center"/>
          </w:tcPr>
          <w:p w14:paraId="4EE8FB0E" w14:textId="77777777" w:rsidR="00222DFB" w:rsidRPr="00A964FF" w:rsidRDefault="002445F5" w:rsidP="003E0795">
            <w:pPr>
              <w:pStyle w:val="000"/>
              <w:spacing w:line="240" w:lineRule="auto"/>
              <w:ind w:firstLine="0"/>
              <w:jc w:val="center"/>
              <w:rPr>
                <w:sz w:val="21"/>
                <w:szCs w:val="21"/>
              </w:rPr>
            </w:pPr>
            <w:r>
              <w:rPr>
                <w:sz w:val="21"/>
                <w:szCs w:val="21"/>
              </w:rPr>
              <w:t>54</w:t>
            </w:r>
          </w:p>
        </w:tc>
        <w:tc>
          <w:tcPr>
            <w:tcW w:w="683" w:type="pct"/>
            <w:vAlign w:val="center"/>
          </w:tcPr>
          <w:p w14:paraId="5AF42CDD" w14:textId="77777777" w:rsidR="00222DFB" w:rsidRPr="00A964FF" w:rsidRDefault="006B496C" w:rsidP="003E0795">
            <w:pPr>
              <w:pStyle w:val="000"/>
              <w:spacing w:line="240" w:lineRule="auto"/>
              <w:ind w:firstLine="0"/>
              <w:jc w:val="center"/>
              <w:rPr>
                <w:sz w:val="21"/>
                <w:szCs w:val="21"/>
              </w:rPr>
            </w:pPr>
            <w:r>
              <w:rPr>
                <w:sz w:val="21"/>
                <w:szCs w:val="21"/>
              </w:rPr>
              <w:t>42</w:t>
            </w:r>
          </w:p>
        </w:tc>
        <w:tc>
          <w:tcPr>
            <w:tcW w:w="683" w:type="pct"/>
            <w:vAlign w:val="center"/>
          </w:tcPr>
          <w:p w14:paraId="6469FFE3" w14:textId="77777777" w:rsidR="00222DFB" w:rsidRPr="00A964FF" w:rsidRDefault="002445F5" w:rsidP="002D481B">
            <w:pPr>
              <w:pStyle w:val="000"/>
              <w:spacing w:line="240" w:lineRule="auto"/>
              <w:ind w:firstLine="0"/>
              <w:jc w:val="center"/>
              <w:rPr>
                <w:sz w:val="21"/>
                <w:szCs w:val="21"/>
              </w:rPr>
            </w:pPr>
            <w:r>
              <w:rPr>
                <w:sz w:val="21"/>
                <w:szCs w:val="21"/>
              </w:rPr>
              <w:t>65</w:t>
            </w:r>
            <w:r w:rsidRPr="00A964FF">
              <w:rPr>
                <w:rFonts w:hint="eastAsia"/>
                <w:sz w:val="21"/>
                <w:szCs w:val="21"/>
              </w:rPr>
              <w:t>/</w:t>
            </w:r>
            <w:r>
              <w:rPr>
                <w:sz w:val="21"/>
                <w:szCs w:val="21"/>
              </w:rPr>
              <w:t>55</w:t>
            </w:r>
          </w:p>
        </w:tc>
        <w:tc>
          <w:tcPr>
            <w:tcW w:w="683" w:type="pct"/>
            <w:vAlign w:val="center"/>
          </w:tcPr>
          <w:p w14:paraId="518A8CFE"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达标</w:t>
            </w:r>
          </w:p>
        </w:tc>
      </w:tr>
      <w:tr w:rsidR="00222DFB" w:rsidRPr="00A964FF" w14:paraId="7C506D6D" w14:textId="77777777" w:rsidTr="003E0795">
        <w:trPr>
          <w:trHeight w:val="397"/>
        </w:trPr>
        <w:tc>
          <w:tcPr>
            <w:tcW w:w="573" w:type="pct"/>
            <w:vAlign w:val="center"/>
          </w:tcPr>
          <w:p w14:paraId="4F25300F"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6</w:t>
            </w:r>
          </w:p>
        </w:tc>
        <w:tc>
          <w:tcPr>
            <w:tcW w:w="847" w:type="pct"/>
            <w:vAlign w:val="center"/>
          </w:tcPr>
          <w:p w14:paraId="60B191C1"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厂界南</w:t>
            </w:r>
          </w:p>
        </w:tc>
        <w:tc>
          <w:tcPr>
            <w:tcW w:w="780" w:type="pct"/>
            <w:vMerge/>
            <w:vAlign w:val="center"/>
          </w:tcPr>
          <w:p w14:paraId="17317EF2" w14:textId="77777777" w:rsidR="00222DFB" w:rsidRPr="00A964FF" w:rsidRDefault="00222DFB" w:rsidP="003E0795">
            <w:pPr>
              <w:pStyle w:val="000"/>
              <w:spacing w:line="240" w:lineRule="auto"/>
              <w:ind w:firstLine="0"/>
              <w:jc w:val="center"/>
              <w:rPr>
                <w:sz w:val="21"/>
                <w:szCs w:val="21"/>
              </w:rPr>
            </w:pPr>
          </w:p>
        </w:tc>
        <w:tc>
          <w:tcPr>
            <w:tcW w:w="751" w:type="pct"/>
            <w:vAlign w:val="center"/>
          </w:tcPr>
          <w:p w14:paraId="60DFB79E" w14:textId="77777777" w:rsidR="00222DFB" w:rsidRPr="00A964FF" w:rsidRDefault="006B496C" w:rsidP="003E0795">
            <w:pPr>
              <w:pStyle w:val="000"/>
              <w:spacing w:line="240" w:lineRule="auto"/>
              <w:ind w:firstLine="0"/>
              <w:jc w:val="center"/>
              <w:rPr>
                <w:sz w:val="21"/>
                <w:szCs w:val="21"/>
              </w:rPr>
            </w:pPr>
            <w:r>
              <w:rPr>
                <w:sz w:val="21"/>
                <w:szCs w:val="21"/>
              </w:rPr>
              <w:t>53</w:t>
            </w:r>
          </w:p>
        </w:tc>
        <w:tc>
          <w:tcPr>
            <w:tcW w:w="683" w:type="pct"/>
            <w:vAlign w:val="center"/>
          </w:tcPr>
          <w:p w14:paraId="019420F6" w14:textId="77777777" w:rsidR="00222DFB" w:rsidRPr="00A964FF" w:rsidRDefault="006B496C" w:rsidP="003E0795">
            <w:pPr>
              <w:pStyle w:val="000"/>
              <w:spacing w:line="240" w:lineRule="auto"/>
              <w:ind w:firstLine="0"/>
              <w:jc w:val="center"/>
              <w:rPr>
                <w:sz w:val="21"/>
                <w:szCs w:val="21"/>
              </w:rPr>
            </w:pPr>
            <w:r>
              <w:rPr>
                <w:sz w:val="21"/>
                <w:szCs w:val="21"/>
              </w:rPr>
              <w:t>42</w:t>
            </w:r>
          </w:p>
        </w:tc>
        <w:tc>
          <w:tcPr>
            <w:tcW w:w="683" w:type="pct"/>
            <w:vAlign w:val="center"/>
          </w:tcPr>
          <w:p w14:paraId="2AC13ACF" w14:textId="77777777" w:rsidR="00222DFB" w:rsidRPr="00A964FF" w:rsidRDefault="002445F5" w:rsidP="002D481B">
            <w:pPr>
              <w:pStyle w:val="000"/>
              <w:spacing w:line="240" w:lineRule="auto"/>
              <w:ind w:firstLine="0"/>
              <w:jc w:val="center"/>
              <w:rPr>
                <w:sz w:val="21"/>
                <w:szCs w:val="21"/>
              </w:rPr>
            </w:pPr>
            <w:r>
              <w:rPr>
                <w:sz w:val="21"/>
                <w:szCs w:val="21"/>
              </w:rPr>
              <w:t>65</w:t>
            </w:r>
            <w:r w:rsidRPr="00A964FF">
              <w:rPr>
                <w:rFonts w:hint="eastAsia"/>
                <w:sz w:val="21"/>
                <w:szCs w:val="21"/>
              </w:rPr>
              <w:t>/</w:t>
            </w:r>
            <w:r>
              <w:rPr>
                <w:sz w:val="21"/>
                <w:szCs w:val="21"/>
              </w:rPr>
              <w:t>55</w:t>
            </w:r>
          </w:p>
        </w:tc>
        <w:tc>
          <w:tcPr>
            <w:tcW w:w="683" w:type="pct"/>
            <w:vAlign w:val="center"/>
          </w:tcPr>
          <w:p w14:paraId="51F9EEF1"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达标</w:t>
            </w:r>
          </w:p>
        </w:tc>
      </w:tr>
      <w:tr w:rsidR="00222DFB" w:rsidRPr="00A964FF" w14:paraId="34E946D9" w14:textId="77777777" w:rsidTr="003E0795">
        <w:trPr>
          <w:trHeight w:val="397"/>
        </w:trPr>
        <w:tc>
          <w:tcPr>
            <w:tcW w:w="573" w:type="pct"/>
            <w:vAlign w:val="center"/>
          </w:tcPr>
          <w:p w14:paraId="3482D6E6"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7</w:t>
            </w:r>
          </w:p>
        </w:tc>
        <w:tc>
          <w:tcPr>
            <w:tcW w:w="847" w:type="pct"/>
            <w:vAlign w:val="center"/>
          </w:tcPr>
          <w:p w14:paraId="1A7B0967"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厂界西</w:t>
            </w:r>
          </w:p>
        </w:tc>
        <w:tc>
          <w:tcPr>
            <w:tcW w:w="780" w:type="pct"/>
            <w:vMerge/>
            <w:vAlign w:val="center"/>
          </w:tcPr>
          <w:p w14:paraId="7D2471B5" w14:textId="77777777" w:rsidR="00222DFB" w:rsidRPr="00A964FF" w:rsidRDefault="00222DFB" w:rsidP="003E0795">
            <w:pPr>
              <w:pStyle w:val="000"/>
              <w:spacing w:line="240" w:lineRule="auto"/>
              <w:ind w:firstLine="0"/>
              <w:jc w:val="center"/>
              <w:rPr>
                <w:sz w:val="21"/>
                <w:szCs w:val="21"/>
              </w:rPr>
            </w:pPr>
          </w:p>
        </w:tc>
        <w:tc>
          <w:tcPr>
            <w:tcW w:w="751" w:type="pct"/>
            <w:vAlign w:val="center"/>
          </w:tcPr>
          <w:p w14:paraId="7A2B1CEB" w14:textId="77777777" w:rsidR="00222DFB" w:rsidRPr="00A964FF" w:rsidRDefault="006B496C" w:rsidP="003E0795">
            <w:pPr>
              <w:pStyle w:val="000"/>
              <w:spacing w:line="240" w:lineRule="auto"/>
              <w:ind w:firstLine="0"/>
              <w:jc w:val="center"/>
              <w:rPr>
                <w:sz w:val="21"/>
                <w:szCs w:val="21"/>
              </w:rPr>
            </w:pPr>
            <w:r>
              <w:rPr>
                <w:sz w:val="21"/>
                <w:szCs w:val="21"/>
              </w:rPr>
              <w:t>52</w:t>
            </w:r>
          </w:p>
        </w:tc>
        <w:tc>
          <w:tcPr>
            <w:tcW w:w="683" w:type="pct"/>
            <w:vAlign w:val="center"/>
          </w:tcPr>
          <w:p w14:paraId="6301606D" w14:textId="77777777" w:rsidR="00222DFB" w:rsidRPr="00A964FF" w:rsidRDefault="006B496C" w:rsidP="003E0795">
            <w:pPr>
              <w:pStyle w:val="000"/>
              <w:spacing w:line="240" w:lineRule="auto"/>
              <w:ind w:firstLine="0"/>
              <w:jc w:val="center"/>
              <w:rPr>
                <w:sz w:val="21"/>
                <w:szCs w:val="21"/>
              </w:rPr>
            </w:pPr>
            <w:r>
              <w:rPr>
                <w:sz w:val="21"/>
                <w:szCs w:val="21"/>
              </w:rPr>
              <w:t>41</w:t>
            </w:r>
          </w:p>
        </w:tc>
        <w:tc>
          <w:tcPr>
            <w:tcW w:w="683" w:type="pct"/>
            <w:vAlign w:val="center"/>
          </w:tcPr>
          <w:p w14:paraId="46DD1595" w14:textId="77777777" w:rsidR="00222DFB" w:rsidRPr="00A964FF" w:rsidRDefault="002445F5" w:rsidP="002D481B">
            <w:pPr>
              <w:pStyle w:val="000"/>
              <w:spacing w:line="240" w:lineRule="auto"/>
              <w:ind w:firstLine="0"/>
              <w:jc w:val="center"/>
              <w:rPr>
                <w:sz w:val="21"/>
                <w:szCs w:val="21"/>
              </w:rPr>
            </w:pPr>
            <w:r>
              <w:rPr>
                <w:sz w:val="21"/>
                <w:szCs w:val="21"/>
              </w:rPr>
              <w:t>65</w:t>
            </w:r>
            <w:r w:rsidRPr="00A964FF">
              <w:rPr>
                <w:rFonts w:hint="eastAsia"/>
                <w:sz w:val="21"/>
                <w:szCs w:val="21"/>
              </w:rPr>
              <w:t>/</w:t>
            </w:r>
            <w:r>
              <w:rPr>
                <w:sz w:val="21"/>
                <w:szCs w:val="21"/>
              </w:rPr>
              <w:t>55</w:t>
            </w:r>
          </w:p>
        </w:tc>
        <w:tc>
          <w:tcPr>
            <w:tcW w:w="683" w:type="pct"/>
            <w:vAlign w:val="center"/>
          </w:tcPr>
          <w:p w14:paraId="2A91C2C2"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达标</w:t>
            </w:r>
          </w:p>
        </w:tc>
      </w:tr>
      <w:tr w:rsidR="00222DFB" w:rsidRPr="00A964FF" w14:paraId="544ECC30" w14:textId="77777777" w:rsidTr="003E0795">
        <w:trPr>
          <w:trHeight w:val="397"/>
        </w:trPr>
        <w:tc>
          <w:tcPr>
            <w:tcW w:w="573" w:type="pct"/>
            <w:vAlign w:val="center"/>
          </w:tcPr>
          <w:p w14:paraId="744FB969"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8</w:t>
            </w:r>
          </w:p>
        </w:tc>
        <w:tc>
          <w:tcPr>
            <w:tcW w:w="847" w:type="pct"/>
            <w:vAlign w:val="center"/>
          </w:tcPr>
          <w:p w14:paraId="3188F565"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厂界北</w:t>
            </w:r>
          </w:p>
        </w:tc>
        <w:tc>
          <w:tcPr>
            <w:tcW w:w="780" w:type="pct"/>
            <w:vMerge/>
            <w:vAlign w:val="center"/>
          </w:tcPr>
          <w:p w14:paraId="6E3AEE18" w14:textId="77777777" w:rsidR="00222DFB" w:rsidRPr="00A964FF" w:rsidRDefault="00222DFB" w:rsidP="003E0795">
            <w:pPr>
              <w:pStyle w:val="000"/>
              <w:spacing w:line="240" w:lineRule="auto"/>
              <w:ind w:firstLine="0"/>
              <w:jc w:val="center"/>
              <w:rPr>
                <w:sz w:val="21"/>
                <w:szCs w:val="21"/>
              </w:rPr>
            </w:pPr>
          </w:p>
        </w:tc>
        <w:tc>
          <w:tcPr>
            <w:tcW w:w="751" w:type="pct"/>
            <w:vAlign w:val="center"/>
          </w:tcPr>
          <w:p w14:paraId="65CCF6B8" w14:textId="77777777" w:rsidR="00222DFB" w:rsidRPr="00A964FF" w:rsidRDefault="006B496C" w:rsidP="003E0795">
            <w:pPr>
              <w:pStyle w:val="000"/>
              <w:spacing w:line="240" w:lineRule="auto"/>
              <w:ind w:firstLine="0"/>
              <w:jc w:val="center"/>
              <w:rPr>
                <w:sz w:val="21"/>
                <w:szCs w:val="21"/>
              </w:rPr>
            </w:pPr>
            <w:r>
              <w:rPr>
                <w:sz w:val="21"/>
                <w:szCs w:val="21"/>
              </w:rPr>
              <w:t>52</w:t>
            </w:r>
          </w:p>
        </w:tc>
        <w:tc>
          <w:tcPr>
            <w:tcW w:w="683" w:type="pct"/>
            <w:vAlign w:val="center"/>
          </w:tcPr>
          <w:p w14:paraId="0321CF2F" w14:textId="77777777" w:rsidR="00222DFB" w:rsidRPr="00A964FF" w:rsidRDefault="006B496C" w:rsidP="003E0795">
            <w:pPr>
              <w:pStyle w:val="000"/>
              <w:spacing w:line="240" w:lineRule="auto"/>
              <w:ind w:firstLine="0"/>
              <w:jc w:val="center"/>
              <w:rPr>
                <w:sz w:val="21"/>
                <w:szCs w:val="21"/>
              </w:rPr>
            </w:pPr>
            <w:r>
              <w:rPr>
                <w:sz w:val="21"/>
                <w:szCs w:val="21"/>
              </w:rPr>
              <w:t>44</w:t>
            </w:r>
          </w:p>
        </w:tc>
        <w:tc>
          <w:tcPr>
            <w:tcW w:w="683" w:type="pct"/>
            <w:vAlign w:val="center"/>
          </w:tcPr>
          <w:p w14:paraId="4315E57D" w14:textId="77777777" w:rsidR="00222DFB" w:rsidRPr="00A964FF" w:rsidRDefault="002445F5" w:rsidP="002D481B">
            <w:pPr>
              <w:pStyle w:val="000"/>
              <w:spacing w:line="240" w:lineRule="auto"/>
              <w:ind w:firstLine="0"/>
              <w:jc w:val="center"/>
              <w:rPr>
                <w:sz w:val="21"/>
                <w:szCs w:val="21"/>
              </w:rPr>
            </w:pPr>
            <w:r>
              <w:rPr>
                <w:sz w:val="21"/>
                <w:szCs w:val="21"/>
              </w:rPr>
              <w:t>65</w:t>
            </w:r>
            <w:r w:rsidRPr="00A964FF">
              <w:rPr>
                <w:rFonts w:hint="eastAsia"/>
                <w:sz w:val="21"/>
                <w:szCs w:val="21"/>
              </w:rPr>
              <w:t>/</w:t>
            </w:r>
            <w:r>
              <w:rPr>
                <w:sz w:val="21"/>
                <w:szCs w:val="21"/>
              </w:rPr>
              <w:t>55</w:t>
            </w:r>
          </w:p>
        </w:tc>
        <w:tc>
          <w:tcPr>
            <w:tcW w:w="683" w:type="pct"/>
            <w:vAlign w:val="center"/>
          </w:tcPr>
          <w:p w14:paraId="3A11B4B8" w14:textId="77777777" w:rsidR="00222DFB" w:rsidRPr="00A964FF" w:rsidRDefault="00222DFB" w:rsidP="003E0795">
            <w:pPr>
              <w:pStyle w:val="000"/>
              <w:spacing w:line="240" w:lineRule="auto"/>
              <w:ind w:firstLine="0"/>
              <w:jc w:val="center"/>
              <w:rPr>
                <w:sz w:val="21"/>
                <w:szCs w:val="21"/>
              </w:rPr>
            </w:pPr>
            <w:r w:rsidRPr="00A964FF">
              <w:rPr>
                <w:rFonts w:hint="eastAsia"/>
                <w:sz w:val="21"/>
                <w:szCs w:val="21"/>
              </w:rPr>
              <w:t>达标</w:t>
            </w:r>
          </w:p>
        </w:tc>
      </w:tr>
    </w:tbl>
    <w:p w14:paraId="6DFC2301" w14:textId="77777777" w:rsidR="0055605A" w:rsidRPr="00A964FF" w:rsidRDefault="0055605A" w:rsidP="0055605A">
      <w:pPr>
        <w:spacing w:line="520" w:lineRule="exact"/>
        <w:ind w:firstLineChars="200" w:firstLine="480"/>
        <w:rPr>
          <w:rFonts w:ascii="Calibri" w:hAnsi="宋体"/>
          <w:color w:val="auto"/>
          <w:sz w:val="24"/>
        </w:rPr>
      </w:pPr>
      <w:r w:rsidRPr="00A964FF">
        <w:rPr>
          <w:rFonts w:ascii="Calibri" w:hAnsi="宋体"/>
          <w:color w:val="auto"/>
          <w:sz w:val="24"/>
        </w:rPr>
        <w:t>由上表检测结果可知，项目</w:t>
      </w:r>
      <w:r w:rsidRPr="00A964FF">
        <w:rPr>
          <w:rFonts w:ascii="Calibri" w:hAnsi="宋体" w:hint="eastAsia"/>
          <w:color w:val="auto"/>
          <w:sz w:val="24"/>
        </w:rPr>
        <w:t>东、南、</w:t>
      </w:r>
      <w:r w:rsidRPr="00A964FF">
        <w:rPr>
          <w:rFonts w:ascii="Calibri" w:hAnsi="宋体"/>
          <w:color w:val="auto"/>
          <w:sz w:val="24"/>
        </w:rPr>
        <w:t>西</w:t>
      </w:r>
      <w:r w:rsidRPr="00A964FF">
        <w:rPr>
          <w:rFonts w:ascii="Calibri" w:hAnsi="宋体" w:hint="eastAsia"/>
          <w:color w:val="auto"/>
          <w:sz w:val="24"/>
        </w:rPr>
        <w:t>、北厂界</w:t>
      </w:r>
      <w:r w:rsidRPr="00A964FF">
        <w:rPr>
          <w:rFonts w:ascii="Calibri" w:hAnsi="宋体"/>
          <w:color w:val="auto"/>
          <w:sz w:val="24"/>
        </w:rPr>
        <w:t>昼夜间噪声均可以</w:t>
      </w:r>
      <w:r w:rsidRPr="00A964FF">
        <w:rPr>
          <w:rFonts w:ascii="Calibri" w:hAnsi="宋体" w:hint="eastAsia"/>
          <w:color w:val="auto"/>
          <w:sz w:val="24"/>
        </w:rPr>
        <w:t>满足</w:t>
      </w:r>
      <w:r w:rsidRPr="00A964FF">
        <w:rPr>
          <w:rFonts w:ascii="Calibri" w:hAnsi="宋体"/>
          <w:color w:val="auto"/>
          <w:sz w:val="24"/>
        </w:rPr>
        <w:t>《声环境质量标准》</w:t>
      </w:r>
      <w:r w:rsidRPr="00A964FF">
        <w:rPr>
          <w:rFonts w:ascii="Calibri" w:hAnsi="宋体" w:hint="eastAsia"/>
          <w:color w:val="auto"/>
          <w:sz w:val="24"/>
        </w:rPr>
        <w:t>（</w:t>
      </w:r>
      <w:r w:rsidRPr="00A964FF">
        <w:rPr>
          <w:rFonts w:ascii="Calibri" w:hAnsi="宋体" w:hint="eastAsia"/>
          <w:color w:val="auto"/>
          <w:sz w:val="24"/>
        </w:rPr>
        <w:t>GB3096-2008</w:t>
      </w:r>
      <w:r w:rsidRPr="00A964FF">
        <w:rPr>
          <w:rFonts w:ascii="Calibri" w:hAnsi="宋体" w:hint="eastAsia"/>
          <w:color w:val="auto"/>
          <w:sz w:val="24"/>
        </w:rPr>
        <w:t>）</w:t>
      </w:r>
      <w:r w:rsidRPr="00A964FF">
        <w:rPr>
          <w:rFonts w:ascii="Calibri" w:hAnsi="宋体"/>
          <w:color w:val="auto"/>
          <w:sz w:val="24"/>
        </w:rPr>
        <w:t>中</w:t>
      </w:r>
      <w:r w:rsidR="0007472D">
        <w:rPr>
          <w:rFonts w:ascii="Calibri" w:hAnsi="宋体" w:hint="eastAsia"/>
          <w:color w:val="auto"/>
          <w:sz w:val="24"/>
        </w:rPr>
        <w:t>3</w:t>
      </w:r>
      <w:r w:rsidRPr="00A964FF">
        <w:rPr>
          <w:rFonts w:ascii="Calibri" w:hAnsi="宋体"/>
          <w:color w:val="auto"/>
          <w:sz w:val="24"/>
        </w:rPr>
        <w:t>类标准，</w:t>
      </w:r>
      <w:r w:rsidRPr="00A964FF">
        <w:rPr>
          <w:rFonts w:ascii="Calibri" w:hAnsi="宋体" w:hint="eastAsia"/>
          <w:color w:val="auto"/>
          <w:sz w:val="24"/>
        </w:rPr>
        <w:t>说明项目区域声环境质量现状较</w:t>
      </w:r>
      <w:r w:rsidRPr="00A964FF">
        <w:rPr>
          <w:rFonts w:ascii="Calibri" w:hAnsi="宋体"/>
          <w:color w:val="auto"/>
          <w:sz w:val="24"/>
        </w:rPr>
        <w:t>好。</w:t>
      </w:r>
    </w:p>
    <w:p w14:paraId="7CD7C7D5" w14:textId="77777777" w:rsidR="004C513C" w:rsidRDefault="004C513C" w:rsidP="004A3168">
      <w:pPr>
        <w:pStyle w:val="ad"/>
        <w:rPr>
          <w:rFonts w:ascii="Calibri" w:hAnsi="Calibri" w:cs="Times New Roman"/>
          <w:color w:val="auto"/>
        </w:rPr>
      </w:pPr>
    </w:p>
    <w:p w14:paraId="7D1A3AEC" w14:textId="77777777" w:rsidR="004A3168" w:rsidRPr="00A964FF" w:rsidRDefault="004A3168" w:rsidP="004A3168">
      <w:pPr>
        <w:pStyle w:val="ad"/>
        <w:rPr>
          <w:rFonts w:ascii="Calibri" w:hAnsi="Calibri" w:cs="Times New Roman"/>
          <w:color w:val="auto"/>
        </w:rPr>
      </w:pPr>
      <w:r w:rsidRPr="00A964FF">
        <w:rPr>
          <w:rFonts w:ascii="Calibri" w:hAnsi="Calibri" w:cs="Times New Roman"/>
          <w:color w:val="auto"/>
        </w:rPr>
        <w:lastRenderedPageBreak/>
        <w:t>3.3.</w:t>
      </w:r>
      <w:r w:rsidRPr="00A964FF">
        <w:rPr>
          <w:rFonts w:ascii="Calibri" w:hAnsi="Calibri" w:cs="Times New Roman" w:hint="eastAsia"/>
          <w:color w:val="auto"/>
        </w:rPr>
        <w:t>5</w:t>
      </w:r>
      <w:r w:rsidRPr="00A964FF">
        <w:rPr>
          <w:rFonts w:ascii="Calibri" w:hAnsi="Calibri" w:cs="Times New Roman" w:hint="eastAsia"/>
          <w:color w:val="auto"/>
        </w:rPr>
        <w:t>土壤环境质量</w:t>
      </w:r>
      <w:r w:rsidRPr="00A964FF">
        <w:rPr>
          <w:rFonts w:ascii="Calibri" w:hAnsi="Calibri" w:cs="Times New Roman"/>
          <w:color w:val="auto"/>
        </w:rPr>
        <w:t>现状检测与评价</w:t>
      </w:r>
    </w:p>
    <w:p w14:paraId="72537C5F" w14:textId="77777777" w:rsidR="004A3168" w:rsidRPr="00A964FF" w:rsidRDefault="004A3168" w:rsidP="004A3168">
      <w:pPr>
        <w:pStyle w:val="ad"/>
        <w:ind w:firstLineChars="200" w:firstLine="482"/>
        <w:rPr>
          <w:rFonts w:ascii="Calibri" w:eastAsia="宋体" w:hAnsi="Calibri"/>
          <w:color w:val="auto"/>
          <w:sz w:val="24"/>
        </w:rPr>
      </w:pPr>
      <w:r w:rsidRPr="00A964FF">
        <w:rPr>
          <w:rFonts w:ascii="Calibri" w:eastAsia="宋体" w:hAnsi="Calibri"/>
          <w:color w:val="auto"/>
          <w:sz w:val="24"/>
        </w:rPr>
        <w:t>1</w:t>
      </w:r>
      <w:r w:rsidRPr="00A964FF">
        <w:rPr>
          <w:rFonts w:ascii="Calibri" w:eastAsia="宋体"/>
          <w:color w:val="auto"/>
          <w:sz w:val="24"/>
        </w:rPr>
        <w:t>、</w:t>
      </w:r>
      <w:r w:rsidRPr="00A964FF">
        <w:rPr>
          <w:rFonts w:ascii="Calibri" w:eastAsia="宋体" w:hint="eastAsia"/>
          <w:color w:val="auto"/>
          <w:sz w:val="24"/>
        </w:rPr>
        <w:t>检测内容</w:t>
      </w:r>
    </w:p>
    <w:p w14:paraId="07D74678" w14:textId="77777777" w:rsidR="00AC555A" w:rsidRPr="004C513C" w:rsidRDefault="004A3168" w:rsidP="004C513C">
      <w:pPr>
        <w:spacing w:line="520" w:lineRule="exact"/>
        <w:ind w:firstLineChars="200" w:firstLine="480"/>
        <w:jc w:val="left"/>
        <w:rPr>
          <w:rFonts w:ascii="Calibri" w:hAnsi="Calibri"/>
          <w:bCs/>
          <w:color w:val="auto"/>
          <w:sz w:val="24"/>
        </w:rPr>
      </w:pPr>
      <w:r w:rsidRPr="00A964FF">
        <w:rPr>
          <w:rFonts w:ascii="Calibri" w:hAnsi="Calibri" w:hint="eastAsia"/>
          <w:color w:val="auto"/>
          <w:sz w:val="24"/>
        </w:rPr>
        <w:t>本次土壤现状检测布置</w:t>
      </w:r>
      <w:r w:rsidR="00DD2E43" w:rsidRPr="00A964FF">
        <w:rPr>
          <w:rFonts w:ascii="Calibri" w:hAnsi="Calibri" w:hint="eastAsia"/>
          <w:color w:val="auto"/>
          <w:sz w:val="24"/>
        </w:rPr>
        <w:t>6</w:t>
      </w:r>
      <w:r w:rsidRPr="00A964FF">
        <w:rPr>
          <w:rFonts w:ascii="Calibri" w:hAnsi="Calibri" w:hint="eastAsia"/>
          <w:color w:val="auto"/>
          <w:sz w:val="24"/>
        </w:rPr>
        <w:t>个土壤检测点，厂区内</w:t>
      </w:r>
      <w:r w:rsidRPr="00A964FF">
        <w:rPr>
          <w:rFonts w:ascii="Calibri" w:hAnsi="Calibri" w:hint="eastAsia"/>
          <w:color w:val="auto"/>
          <w:sz w:val="24"/>
        </w:rPr>
        <w:t>4</w:t>
      </w:r>
      <w:r w:rsidRPr="00A964FF">
        <w:rPr>
          <w:rFonts w:ascii="Calibri" w:hAnsi="Calibri" w:hint="eastAsia"/>
          <w:color w:val="auto"/>
          <w:sz w:val="24"/>
        </w:rPr>
        <w:t>个，厂区外</w:t>
      </w:r>
      <w:r w:rsidR="00DD2E43" w:rsidRPr="00A964FF">
        <w:rPr>
          <w:rFonts w:ascii="Calibri" w:hAnsi="Calibri" w:hint="eastAsia"/>
          <w:color w:val="auto"/>
          <w:sz w:val="24"/>
        </w:rPr>
        <w:t>2</w:t>
      </w:r>
      <w:r w:rsidRPr="00A964FF">
        <w:rPr>
          <w:rFonts w:ascii="Calibri" w:hAnsi="Calibri" w:hint="eastAsia"/>
          <w:color w:val="auto"/>
          <w:sz w:val="24"/>
        </w:rPr>
        <w:t>个。</w:t>
      </w:r>
      <w:r w:rsidRPr="00A964FF">
        <w:rPr>
          <w:rFonts w:ascii="Calibri" w:hAnsi="Calibri" w:hint="eastAsia"/>
          <w:bCs/>
          <w:color w:val="auto"/>
          <w:sz w:val="24"/>
        </w:rPr>
        <w:t>本次厂区内在</w:t>
      </w:r>
      <w:r w:rsidR="002445F5">
        <w:rPr>
          <w:rFonts w:ascii="Calibri" w:hAnsi="Calibri" w:hint="eastAsia"/>
          <w:bCs/>
          <w:color w:val="auto"/>
          <w:sz w:val="24"/>
        </w:rPr>
        <w:t>仓库</w:t>
      </w:r>
      <w:r w:rsidR="002445F5">
        <w:rPr>
          <w:rFonts w:ascii="Calibri" w:hAnsi="Calibri"/>
          <w:bCs/>
          <w:color w:val="auto"/>
          <w:sz w:val="24"/>
        </w:rPr>
        <w:t>、生产区、</w:t>
      </w:r>
      <w:r w:rsidR="00AC555A">
        <w:rPr>
          <w:rFonts w:ascii="Calibri" w:hAnsi="Calibri" w:hint="eastAsia"/>
          <w:bCs/>
          <w:color w:val="auto"/>
          <w:sz w:val="24"/>
        </w:rPr>
        <w:t>危废</w:t>
      </w:r>
      <w:r w:rsidR="00AC555A">
        <w:rPr>
          <w:rFonts w:ascii="Calibri" w:hAnsi="Calibri"/>
          <w:bCs/>
          <w:color w:val="auto"/>
          <w:sz w:val="24"/>
        </w:rPr>
        <w:t>暂存间、</w:t>
      </w:r>
      <w:r w:rsidR="002445F5">
        <w:rPr>
          <w:rFonts w:ascii="Calibri" w:hAnsi="Calibri"/>
          <w:bCs/>
          <w:color w:val="auto"/>
          <w:sz w:val="24"/>
        </w:rPr>
        <w:t>废水处理站</w:t>
      </w:r>
      <w:r w:rsidRPr="00A964FF">
        <w:rPr>
          <w:rFonts w:ascii="Calibri" w:hAnsi="Calibri" w:hint="eastAsia"/>
          <w:bCs/>
          <w:color w:val="auto"/>
          <w:sz w:val="24"/>
        </w:rPr>
        <w:t>设置</w:t>
      </w:r>
      <w:r w:rsidR="00222DFB" w:rsidRPr="00A964FF">
        <w:rPr>
          <w:rFonts w:ascii="Calibri" w:hAnsi="Calibri" w:hint="eastAsia"/>
          <w:bCs/>
          <w:color w:val="auto"/>
          <w:sz w:val="24"/>
        </w:rPr>
        <w:t>4</w:t>
      </w:r>
      <w:r w:rsidRPr="00A964FF">
        <w:rPr>
          <w:rFonts w:ascii="Calibri" w:hAnsi="Calibri" w:hint="eastAsia"/>
          <w:bCs/>
          <w:color w:val="auto"/>
          <w:sz w:val="24"/>
        </w:rPr>
        <w:t>个检测点，厂区</w:t>
      </w:r>
      <w:r w:rsidR="00DD2E43" w:rsidRPr="00A964FF">
        <w:rPr>
          <w:rFonts w:ascii="Calibri" w:hAnsi="Calibri" w:hint="eastAsia"/>
          <w:bCs/>
          <w:color w:val="auto"/>
          <w:sz w:val="24"/>
        </w:rPr>
        <w:t>外</w:t>
      </w:r>
      <w:r w:rsidR="00AC555A">
        <w:rPr>
          <w:rFonts w:ascii="Calibri" w:hAnsi="Calibri" w:hint="eastAsia"/>
          <w:bCs/>
          <w:color w:val="auto"/>
          <w:sz w:val="24"/>
        </w:rPr>
        <w:t>北</w:t>
      </w:r>
      <w:r w:rsidR="005D774C" w:rsidRPr="00A964FF">
        <w:rPr>
          <w:rFonts w:ascii="Calibri" w:hAnsi="Calibri" w:hint="eastAsia"/>
          <w:bCs/>
          <w:color w:val="auto"/>
          <w:sz w:val="24"/>
        </w:rPr>
        <w:t>侧</w:t>
      </w:r>
      <w:r w:rsidR="006B496C">
        <w:rPr>
          <w:rFonts w:ascii="Calibri" w:hAnsi="Calibri" w:hint="eastAsia"/>
          <w:bCs/>
          <w:color w:val="auto"/>
          <w:sz w:val="24"/>
        </w:rPr>
        <w:t>、</w:t>
      </w:r>
      <w:r w:rsidR="006B496C">
        <w:rPr>
          <w:rFonts w:ascii="Calibri" w:hAnsi="Calibri"/>
          <w:bCs/>
          <w:color w:val="auto"/>
          <w:sz w:val="24"/>
        </w:rPr>
        <w:t>西侧</w:t>
      </w:r>
      <w:r w:rsidR="006B496C">
        <w:rPr>
          <w:rFonts w:ascii="Calibri" w:hAnsi="Calibri" w:hint="eastAsia"/>
          <w:bCs/>
          <w:color w:val="auto"/>
          <w:sz w:val="24"/>
        </w:rPr>
        <w:t>现状</w:t>
      </w:r>
      <w:r w:rsidR="006B496C">
        <w:rPr>
          <w:rFonts w:ascii="Calibri" w:hAnsi="Calibri"/>
          <w:bCs/>
          <w:color w:val="auto"/>
          <w:sz w:val="24"/>
        </w:rPr>
        <w:t>农用地</w:t>
      </w:r>
      <w:r w:rsidR="006B496C">
        <w:rPr>
          <w:rFonts w:ascii="Calibri" w:hAnsi="Calibri" w:hint="eastAsia"/>
          <w:bCs/>
          <w:color w:val="auto"/>
          <w:sz w:val="24"/>
        </w:rPr>
        <w:t>各</w:t>
      </w:r>
      <w:r w:rsidRPr="00A964FF">
        <w:rPr>
          <w:rFonts w:ascii="Calibri" w:hAnsi="Calibri" w:hint="eastAsia"/>
          <w:bCs/>
          <w:color w:val="auto"/>
          <w:sz w:val="24"/>
        </w:rPr>
        <w:t>设置</w:t>
      </w:r>
      <w:r w:rsidRPr="00A964FF">
        <w:rPr>
          <w:rFonts w:ascii="Calibri" w:hAnsi="Calibri" w:hint="eastAsia"/>
          <w:bCs/>
          <w:color w:val="auto"/>
          <w:sz w:val="24"/>
        </w:rPr>
        <w:t>1</w:t>
      </w:r>
      <w:r w:rsidRPr="00A964FF">
        <w:rPr>
          <w:rFonts w:ascii="Calibri" w:hAnsi="Calibri" w:hint="eastAsia"/>
          <w:bCs/>
          <w:color w:val="auto"/>
          <w:sz w:val="24"/>
        </w:rPr>
        <w:t>个检测点</w:t>
      </w:r>
      <w:r w:rsidR="002D481B" w:rsidRPr="00A964FF">
        <w:rPr>
          <w:rFonts w:ascii="Calibri" w:hAnsi="Calibri" w:hint="eastAsia"/>
          <w:bCs/>
          <w:color w:val="auto"/>
          <w:sz w:val="24"/>
        </w:rPr>
        <w:t>。</w:t>
      </w:r>
    </w:p>
    <w:p w14:paraId="68B72A1B" w14:textId="77777777" w:rsidR="004C513C" w:rsidRPr="004C513C" w:rsidRDefault="00222DFB" w:rsidP="004C513C">
      <w:pPr>
        <w:spacing w:line="520" w:lineRule="exact"/>
        <w:ind w:firstLineChars="200" w:firstLine="480"/>
        <w:jc w:val="left"/>
        <w:rPr>
          <w:rFonts w:ascii="Calibri" w:hAnsi="Calibri"/>
          <w:color w:val="auto"/>
          <w:sz w:val="24"/>
        </w:rPr>
      </w:pPr>
      <w:r w:rsidRPr="00A964FF">
        <w:rPr>
          <w:rFonts w:ascii="Calibri" w:hAnsi="Calibri" w:hint="eastAsia"/>
          <w:color w:val="auto"/>
          <w:sz w:val="24"/>
        </w:rPr>
        <w:t>土壤监测点布设情况见表</w:t>
      </w:r>
      <w:r w:rsidRPr="00A964FF">
        <w:rPr>
          <w:rFonts w:ascii="Calibri" w:hAnsi="Calibri" w:hint="eastAsia"/>
          <w:color w:val="auto"/>
          <w:sz w:val="24"/>
        </w:rPr>
        <w:t>3</w:t>
      </w:r>
      <w:r w:rsidR="00A6079A" w:rsidRPr="00A964FF">
        <w:rPr>
          <w:rFonts w:ascii="Calibri" w:hAnsi="Calibri" w:hint="eastAsia"/>
          <w:color w:val="auto"/>
          <w:sz w:val="24"/>
        </w:rPr>
        <w:t>.3</w:t>
      </w:r>
      <w:r w:rsidRPr="00A964FF">
        <w:rPr>
          <w:rFonts w:ascii="Calibri" w:hAnsi="Calibri" w:hint="eastAsia"/>
          <w:color w:val="auto"/>
          <w:sz w:val="24"/>
        </w:rPr>
        <w:t>-</w:t>
      </w:r>
      <w:r w:rsidR="003F1151" w:rsidRPr="00A964FF">
        <w:rPr>
          <w:rFonts w:ascii="Calibri" w:hAnsi="Calibri" w:hint="eastAsia"/>
          <w:color w:val="auto"/>
          <w:sz w:val="24"/>
        </w:rPr>
        <w:t>2</w:t>
      </w:r>
      <w:r w:rsidR="00AC555A">
        <w:rPr>
          <w:rFonts w:ascii="Calibri" w:hAnsi="Calibri" w:hint="eastAsia"/>
          <w:color w:val="auto"/>
          <w:sz w:val="24"/>
        </w:rPr>
        <w:t>0</w:t>
      </w:r>
      <w:r w:rsidRPr="00A964FF">
        <w:rPr>
          <w:rFonts w:ascii="Calibri" w:hAnsi="Calibri" w:hint="eastAsia"/>
          <w:color w:val="auto"/>
          <w:sz w:val="24"/>
        </w:rPr>
        <w:t>。</w:t>
      </w:r>
    </w:p>
    <w:p w14:paraId="55D736B5" w14:textId="77777777" w:rsidR="004A3168" w:rsidRPr="00A964FF" w:rsidRDefault="004A3168" w:rsidP="004A3168">
      <w:pPr>
        <w:spacing w:line="520" w:lineRule="exact"/>
        <w:ind w:firstLineChars="250" w:firstLine="600"/>
        <w:jc w:val="left"/>
        <w:rPr>
          <w:rFonts w:ascii="Calibri" w:eastAsia="黑体" w:hAnsi="Calibri"/>
          <w:color w:val="auto"/>
          <w:sz w:val="24"/>
        </w:rPr>
      </w:pPr>
      <w:r w:rsidRPr="00A964FF">
        <w:rPr>
          <w:rFonts w:ascii="Calibri" w:eastAsia="黑体" w:hAnsi="Calibri" w:hint="eastAsia"/>
          <w:color w:val="auto"/>
          <w:sz w:val="24"/>
        </w:rPr>
        <w:t>表</w:t>
      </w:r>
      <w:r w:rsidR="00222DFB" w:rsidRPr="00A964FF">
        <w:rPr>
          <w:rFonts w:ascii="Calibri" w:eastAsia="黑体" w:hAnsi="Calibri" w:hint="eastAsia"/>
          <w:color w:val="auto"/>
          <w:sz w:val="24"/>
        </w:rPr>
        <w:t>3</w:t>
      </w:r>
      <w:r w:rsidR="00A6079A" w:rsidRPr="00A964FF">
        <w:rPr>
          <w:rFonts w:ascii="Calibri" w:eastAsia="黑体" w:hAnsi="Calibri" w:hint="eastAsia"/>
          <w:color w:val="auto"/>
          <w:sz w:val="24"/>
        </w:rPr>
        <w:t>.3</w:t>
      </w:r>
      <w:r w:rsidR="00222DFB" w:rsidRPr="00A964FF">
        <w:rPr>
          <w:rFonts w:ascii="Calibri" w:eastAsia="黑体" w:hAnsi="Calibri" w:hint="eastAsia"/>
          <w:color w:val="auto"/>
          <w:sz w:val="24"/>
        </w:rPr>
        <w:t>-</w:t>
      </w:r>
      <w:r w:rsidR="003F1151" w:rsidRPr="00A964FF">
        <w:rPr>
          <w:rFonts w:ascii="Calibri" w:eastAsia="黑体" w:hAnsi="Calibri" w:hint="eastAsia"/>
          <w:color w:val="auto"/>
          <w:sz w:val="24"/>
        </w:rPr>
        <w:t>2</w:t>
      </w:r>
      <w:r w:rsidR="00AC555A">
        <w:rPr>
          <w:rFonts w:ascii="Calibri" w:eastAsia="黑体" w:hAnsi="Calibri" w:hint="eastAsia"/>
          <w:color w:val="auto"/>
          <w:sz w:val="24"/>
        </w:rPr>
        <w:t>0</w:t>
      </w:r>
      <w:r w:rsidRPr="00A964FF">
        <w:rPr>
          <w:rFonts w:ascii="Calibri" w:eastAsia="黑体" w:hAnsi="Calibri" w:hint="eastAsia"/>
          <w:color w:val="auto"/>
          <w:sz w:val="24"/>
        </w:rPr>
        <w:t xml:space="preserve">        </w:t>
      </w:r>
      <w:r w:rsidR="005979CE" w:rsidRPr="00A964FF">
        <w:rPr>
          <w:rFonts w:ascii="Calibri" w:eastAsia="黑体" w:hAnsi="Calibri" w:hint="eastAsia"/>
          <w:color w:val="auto"/>
          <w:sz w:val="24"/>
        </w:rPr>
        <w:t xml:space="preserve">    </w:t>
      </w:r>
      <w:r w:rsidR="00222DFB" w:rsidRPr="00A964FF">
        <w:rPr>
          <w:rFonts w:ascii="Calibri" w:eastAsia="黑体" w:hAnsi="Calibri" w:hint="eastAsia"/>
          <w:color w:val="auto"/>
          <w:sz w:val="24"/>
        </w:rPr>
        <w:t xml:space="preserve">  </w:t>
      </w:r>
      <w:r w:rsidRPr="00A964FF">
        <w:rPr>
          <w:rFonts w:ascii="Calibri" w:eastAsia="黑体" w:hAnsi="Calibri" w:hint="eastAsia"/>
          <w:color w:val="auto"/>
          <w:sz w:val="24"/>
        </w:rPr>
        <w:t xml:space="preserve"> </w:t>
      </w:r>
      <w:r w:rsidR="00222DFB" w:rsidRPr="00A964FF">
        <w:rPr>
          <w:rFonts w:ascii="Calibri" w:eastAsia="黑体" w:hAnsi="Calibri" w:hint="eastAsia"/>
          <w:color w:val="auto"/>
          <w:sz w:val="24"/>
        </w:rPr>
        <w:t xml:space="preserve">  </w:t>
      </w:r>
      <w:r w:rsidRPr="00A964FF">
        <w:rPr>
          <w:rFonts w:ascii="Calibri" w:eastAsia="黑体" w:hAnsi="Calibri" w:hint="eastAsia"/>
          <w:color w:val="auto"/>
          <w:sz w:val="24"/>
        </w:rPr>
        <w:t>土壤质量现状检测点位</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26"/>
        <w:gridCol w:w="618"/>
        <w:gridCol w:w="1984"/>
        <w:gridCol w:w="2553"/>
        <w:gridCol w:w="2619"/>
      </w:tblGrid>
      <w:tr w:rsidR="004A3168" w:rsidRPr="00A964FF" w14:paraId="47CAF9C0" w14:textId="77777777" w:rsidTr="00AC555A">
        <w:trPr>
          <w:trHeight w:val="340"/>
        </w:trPr>
        <w:tc>
          <w:tcPr>
            <w:tcW w:w="532" w:type="pct"/>
            <w:vAlign w:val="center"/>
          </w:tcPr>
          <w:p w14:paraId="3C5AA2FC" w14:textId="77777777" w:rsidR="004A3168" w:rsidRPr="00A964FF" w:rsidRDefault="004A3168" w:rsidP="004A3168">
            <w:pPr>
              <w:jc w:val="center"/>
              <w:rPr>
                <w:rFonts w:ascii="Calibri" w:hAnsi="Calibri"/>
                <w:color w:val="auto"/>
                <w:szCs w:val="21"/>
              </w:rPr>
            </w:pPr>
            <w:r w:rsidRPr="00A964FF">
              <w:rPr>
                <w:rFonts w:ascii="Calibri" w:hAnsi="Calibri"/>
                <w:color w:val="auto"/>
                <w:szCs w:val="21"/>
              </w:rPr>
              <w:t>序号</w:t>
            </w:r>
          </w:p>
        </w:tc>
        <w:tc>
          <w:tcPr>
            <w:tcW w:w="1495" w:type="pct"/>
            <w:gridSpan w:val="2"/>
            <w:vAlign w:val="center"/>
          </w:tcPr>
          <w:p w14:paraId="7C2B603B" w14:textId="77777777" w:rsidR="004A3168" w:rsidRPr="00A964FF" w:rsidRDefault="004A3168" w:rsidP="004A3168">
            <w:pPr>
              <w:ind w:firstLineChars="200" w:firstLine="420"/>
              <w:jc w:val="center"/>
              <w:rPr>
                <w:rFonts w:ascii="Calibri" w:hAnsi="Calibri"/>
                <w:color w:val="auto"/>
                <w:szCs w:val="21"/>
              </w:rPr>
            </w:pPr>
            <w:r w:rsidRPr="00A964FF">
              <w:rPr>
                <w:rFonts w:ascii="Calibri" w:hAnsi="Calibri"/>
                <w:color w:val="auto"/>
                <w:szCs w:val="21"/>
              </w:rPr>
              <w:t>检测布点</w:t>
            </w:r>
          </w:p>
        </w:tc>
        <w:tc>
          <w:tcPr>
            <w:tcW w:w="1467" w:type="pct"/>
            <w:vAlign w:val="center"/>
          </w:tcPr>
          <w:p w14:paraId="2717AA9A" w14:textId="77777777" w:rsidR="004A3168" w:rsidRPr="00A964FF" w:rsidRDefault="004A3168" w:rsidP="004A3168">
            <w:pPr>
              <w:jc w:val="center"/>
              <w:rPr>
                <w:rFonts w:ascii="Calibri" w:hAnsi="Calibri"/>
                <w:color w:val="auto"/>
                <w:szCs w:val="21"/>
              </w:rPr>
            </w:pPr>
            <w:r w:rsidRPr="00A964FF">
              <w:rPr>
                <w:rFonts w:ascii="Calibri" w:hAnsi="Calibri"/>
                <w:color w:val="auto"/>
                <w:szCs w:val="21"/>
              </w:rPr>
              <w:t>取样深度（</w:t>
            </w:r>
            <w:r w:rsidRPr="00A964FF">
              <w:rPr>
                <w:rFonts w:ascii="Calibri" w:hAnsi="Calibri"/>
                <w:color w:val="auto"/>
                <w:szCs w:val="21"/>
              </w:rPr>
              <w:t>m</w:t>
            </w:r>
            <w:r w:rsidRPr="00A964FF">
              <w:rPr>
                <w:rFonts w:ascii="Calibri" w:hAnsi="Calibri"/>
                <w:color w:val="auto"/>
                <w:szCs w:val="21"/>
              </w:rPr>
              <w:t>）</w:t>
            </w:r>
          </w:p>
        </w:tc>
        <w:tc>
          <w:tcPr>
            <w:tcW w:w="1505" w:type="pct"/>
            <w:vAlign w:val="center"/>
          </w:tcPr>
          <w:p w14:paraId="51F89077" w14:textId="77777777" w:rsidR="004A3168" w:rsidRPr="00A964FF" w:rsidRDefault="004A3168" w:rsidP="004A3168">
            <w:pPr>
              <w:jc w:val="center"/>
              <w:rPr>
                <w:rFonts w:ascii="Calibri" w:hAnsi="Calibri"/>
                <w:color w:val="auto"/>
                <w:szCs w:val="21"/>
              </w:rPr>
            </w:pPr>
            <w:r w:rsidRPr="00A964FF">
              <w:rPr>
                <w:rFonts w:ascii="Calibri" w:hAnsi="Calibri"/>
                <w:color w:val="auto"/>
                <w:szCs w:val="21"/>
              </w:rPr>
              <w:t>检测因子</w:t>
            </w:r>
          </w:p>
        </w:tc>
      </w:tr>
      <w:tr w:rsidR="00AC555A" w:rsidRPr="00A964FF" w14:paraId="577D4609" w14:textId="77777777" w:rsidTr="00AC555A">
        <w:trPr>
          <w:trHeight w:val="340"/>
        </w:trPr>
        <w:tc>
          <w:tcPr>
            <w:tcW w:w="532" w:type="pct"/>
            <w:vAlign w:val="center"/>
          </w:tcPr>
          <w:p w14:paraId="50DC1064"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1</w:t>
            </w:r>
            <w:r w:rsidRPr="00A964FF">
              <w:rPr>
                <w:rFonts w:ascii="Calibri" w:hAnsi="Calibri" w:hint="eastAsia"/>
                <w:color w:val="auto"/>
                <w:szCs w:val="21"/>
              </w:rPr>
              <w:t>#</w:t>
            </w:r>
          </w:p>
        </w:tc>
        <w:tc>
          <w:tcPr>
            <w:tcW w:w="355" w:type="pct"/>
            <w:vMerge w:val="restart"/>
            <w:vAlign w:val="center"/>
          </w:tcPr>
          <w:p w14:paraId="256DBDC6"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占地范围内</w:t>
            </w:r>
          </w:p>
        </w:tc>
        <w:tc>
          <w:tcPr>
            <w:tcW w:w="1140" w:type="pct"/>
            <w:vAlign w:val="center"/>
          </w:tcPr>
          <w:p w14:paraId="7E16088D" w14:textId="77777777" w:rsidR="00AC555A" w:rsidRPr="00633F2A" w:rsidRDefault="00AC555A" w:rsidP="00AC555A">
            <w:pPr>
              <w:jc w:val="center"/>
              <w:rPr>
                <w:rFonts w:ascii="Calibri" w:hAnsi="Calibri"/>
                <w:szCs w:val="21"/>
              </w:rPr>
            </w:pPr>
            <w:r>
              <w:rPr>
                <w:rFonts w:ascii="Calibri" w:hAnsi="Calibri" w:hint="eastAsia"/>
                <w:szCs w:val="21"/>
              </w:rPr>
              <w:t>仓库</w:t>
            </w:r>
          </w:p>
        </w:tc>
        <w:tc>
          <w:tcPr>
            <w:tcW w:w="1467" w:type="pct"/>
            <w:vAlign w:val="center"/>
          </w:tcPr>
          <w:p w14:paraId="2E530F32"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0</w:t>
            </w:r>
            <w:r w:rsidRPr="00A964FF">
              <w:rPr>
                <w:rFonts w:ascii="Calibri" w:hAnsi="Calibri" w:hint="eastAsia"/>
                <w:color w:val="auto"/>
                <w:szCs w:val="21"/>
              </w:rPr>
              <w:t>～</w:t>
            </w:r>
            <w:r w:rsidRPr="00A964FF">
              <w:rPr>
                <w:rFonts w:ascii="Calibri" w:hAnsi="Calibri" w:hint="eastAsia"/>
                <w:color w:val="auto"/>
                <w:szCs w:val="21"/>
              </w:rPr>
              <w:t>0.2</w:t>
            </w:r>
          </w:p>
        </w:tc>
        <w:tc>
          <w:tcPr>
            <w:tcW w:w="1505" w:type="pct"/>
            <w:vAlign w:val="center"/>
          </w:tcPr>
          <w:p w14:paraId="437AC250"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GB36600-2018</w:t>
            </w:r>
            <w:r w:rsidRPr="00A964FF">
              <w:rPr>
                <w:rFonts w:ascii="Calibri" w:hAnsi="Calibri" w:hint="eastAsia"/>
                <w:color w:val="auto"/>
                <w:szCs w:val="21"/>
              </w:rPr>
              <w:t>中表</w:t>
            </w:r>
            <w:r w:rsidRPr="00A964FF">
              <w:rPr>
                <w:rFonts w:ascii="Calibri" w:hAnsi="Calibri" w:hint="eastAsia"/>
                <w:color w:val="auto"/>
                <w:szCs w:val="21"/>
              </w:rPr>
              <w:t>1</w:t>
            </w:r>
            <w:r w:rsidRPr="00A964FF">
              <w:rPr>
                <w:rFonts w:ascii="Calibri" w:hAnsi="Calibri" w:hint="eastAsia"/>
                <w:color w:val="auto"/>
                <w:szCs w:val="21"/>
              </w:rPr>
              <w:t>基本项目共</w:t>
            </w:r>
            <w:r w:rsidRPr="00A964FF">
              <w:rPr>
                <w:rFonts w:ascii="Calibri" w:hAnsi="Calibri" w:hint="eastAsia"/>
                <w:color w:val="auto"/>
                <w:szCs w:val="21"/>
              </w:rPr>
              <w:t>45</w:t>
            </w:r>
            <w:r w:rsidRPr="00A964FF">
              <w:rPr>
                <w:rFonts w:ascii="Calibri" w:hAnsi="Calibri" w:hint="eastAsia"/>
                <w:color w:val="auto"/>
                <w:szCs w:val="21"/>
              </w:rPr>
              <w:t>项</w:t>
            </w:r>
            <w:r w:rsidRPr="00A964FF">
              <w:rPr>
                <w:rFonts w:ascii="Calibri" w:hAnsi="Calibri" w:hint="eastAsia"/>
                <w:color w:val="auto"/>
                <w:szCs w:val="21"/>
              </w:rPr>
              <w:t>+pH</w:t>
            </w:r>
            <w:r w:rsidRPr="00A964FF">
              <w:rPr>
                <w:rFonts w:ascii="Calibri" w:hAnsi="Calibri" w:hint="eastAsia"/>
                <w:color w:val="auto"/>
                <w:szCs w:val="21"/>
              </w:rPr>
              <w:t>、石油烃</w:t>
            </w:r>
          </w:p>
        </w:tc>
      </w:tr>
      <w:tr w:rsidR="00AC555A" w:rsidRPr="00A964FF" w14:paraId="5C543272" w14:textId="77777777" w:rsidTr="00AC555A">
        <w:trPr>
          <w:trHeight w:val="340"/>
        </w:trPr>
        <w:tc>
          <w:tcPr>
            <w:tcW w:w="532" w:type="pct"/>
            <w:vAlign w:val="center"/>
          </w:tcPr>
          <w:p w14:paraId="7BF4B257"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2</w:t>
            </w:r>
            <w:r w:rsidRPr="00A964FF">
              <w:rPr>
                <w:rFonts w:ascii="Calibri" w:hAnsi="Calibri" w:hint="eastAsia"/>
                <w:color w:val="auto"/>
                <w:szCs w:val="21"/>
              </w:rPr>
              <w:t>#</w:t>
            </w:r>
          </w:p>
        </w:tc>
        <w:tc>
          <w:tcPr>
            <w:tcW w:w="355" w:type="pct"/>
            <w:vMerge/>
            <w:vAlign w:val="center"/>
          </w:tcPr>
          <w:p w14:paraId="756AA319" w14:textId="77777777" w:rsidR="00AC555A" w:rsidRPr="00A964FF" w:rsidRDefault="00AC555A" w:rsidP="00AC555A">
            <w:pPr>
              <w:ind w:firstLineChars="200" w:firstLine="420"/>
              <w:jc w:val="center"/>
              <w:rPr>
                <w:rFonts w:ascii="Calibri" w:hAnsi="Calibri"/>
                <w:color w:val="auto"/>
                <w:szCs w:val="21"/>
              </w:rPr>
            </w:pPr>
          </w:p>
        </w:tc>
        <w:tc>
          <w:tcPr>
            <w:tcW w:w="1140" w:type="pct"/>
            <w:vAlign w:val="center"/>
          </w:tcPr>
          <w:p w14:paraId="16FFDAB7" w14:textId="77777777" w:rsidR="00AC555A" w:rsidRPr="00633F2A" w:rsidRDefault="00AC555A" w:rsidP="00AC555A">
            <w:pPr>
              <w:jc w:val="center"/>
              <w:rPr>
                <w:rFonts w:ascii="Calibri" w:hAnsi="Calibri"/>
                <w:szCs w:val="21"/>
              </w:rPr>
            </w:pPr>
            <w:r>
              <w:rPr>
                <w:rFonts w:ascii="Calibri" w:hAnsi="Calibri" w:hint="eastAsia"/>
                <w:szCs w:val="21"/>
              </w:rPr>
              <w:t>危废暂存间</w:t>
            </w:r>
          </w:p>
        </w:tc>
        <w:tc>
          <w:tcPr>
            <w:tcW w:w="1467" w:type="pct"/>
            <w:vAlign w:val="center"/>
          </w:tcPr>
          <w:p w14:paraId="70764FDB"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0</w:t>
            </w:r>
            <w:r w:rsidRPr="00A964FF">
              <w:rPr>
                <w:rFonts w:ascii="Calibri" w:hAnsi="Calibri" w:hint="eastAsia"/>
                <w:color w:val="auto"/>
                <w:szCs w:val="21"/>
              </w:rPr>
              <w:t>～</w:t>
            </w:r>
            <w:r w:rsidRPr="00A964FF">
              <w:rPr>
                <w:rFonts w:ascii="Calibri" w:hAnsi="Calibri" w:hint="eastAsia"/>
                <w:color w:val="auto"/>
                <w:szCs w:val="21"/>
              </w:rPr>
              <w:t>0.5</w:t>
            </w:r>
            <w:r w:rsidRPr="00A964FF">
              <w:rPr>
                <w:rFonts w:ascii="Calibri" w:hAnsi="Calibri" w:hint="eastAsia"/>
                <w:color w:val="auto"/>
                <w:szCs w:val="21"/>
              </w:rPr>
              <w:t>、</w:t>
            </w:r>
            <w:r w:rsidRPr="00A964FF">
              <w:rPr>
                <w:rFonts w:ascii="Calibri" w:hAnsi="Calibri" w:hint="eastAsia"/>
                <w:color w:val="auto"/>
                <w:szCs w:val="21"/>
              </w:rPr>
              <w:t>0.5</w:t>
            </w:r>
            <w:r w:rsidRPr="00A964FF">
              <w:rPr>
                <w:rFonts w:ascii="Calibri" w:hAnsi="Calibri" w:hint="eastAsia"/>
                <w:color w:val="auto"/>
                <w:szCs w:val="21"/>
              </w:rPr>
              <w:t>～</w:t>
            </w:r>
            <w:r w:rsidRPr="00A964FF">
              <w:rPr>
                <w:rFonts w:ascii="Calibri" w:hAnsi="Calibri" w:hint="eastAsia"/>
                <w:color w:val="auto"/>
                <w:szCs w:val="21"/>
              </w:rPr>
              <w:t>1.5</w:t>
            </w:r>
            <w:r w:rsidRPr="00A964FF">
              <w:rPr>
                <w:rFonts w:ascii="Calibri" w:hAnsi="Calibri" w:hint="eastAsia"/>
                <w:color w:val="auto"/>
                <w:szCs w:val="21"/>
              </w:rPr>
              <w:t>、</w:t>
            </w:r>
            <w:r w:rsidRPr="00A964FF">
              <w:rPr>
                <w:rFonts w:ascii="Calibri" w:hAnsi="Calibri" w:hint="eastAsia"/>
                <w:color w:val="auto"/>
                <w:szCs w:val="21"/>
              </w:rPr>
              <w:t>1.5</w:t>
            </w:r>
            <w:r w:rsidRPr="00A964FF">
              <w:rPr>
                <w:rFonts w:ascii="Calibri" w:hAnsi="Calibri" w:hint="eastAsia"/>
                <w:color w:val="auto"/>
                <w:szCs w:val="21"/>
              </w:rPr>
              <w:t>～</w:t>
            </w:r>
            <w:r w:rsidRPr="00A964FF">
              <w:rPr>
                <w:rFonts w:ascii="Calibri" w:hAnsi="Calibri" w:hint="eastAsia"/>
                <w:color w:val="auto"/>
                <w:szCs w:val="21"/>
              </w:rPr>
              <w:t>3</w:t>
            </w:r>
            <w:r w:rsidRPr="00A964FF">
              <w:rPr>
                <w:rFonts w:ascii="Calibri" w:hAnsi="Calibri" w:hint="eastAsia"/>
                <w:color w:val="auto"/>
                <w:szCs w:val="21"/>
              </w:rPr>
              <w:t>分别取一个样</w:t>
            </w:r>
          </w:p>
        </w:tc>
        <w:tc>
          <w:tcPr>
            <w:tcW w:w="1505" w:type="pct"/>
            <w:vAlign w:val="center"/>
          </w:tcPr>
          <w:p w14:paraId="05E2794D"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pH</w:t>
            </w:r>
            <w:r w:rsidRPr="00A964FF">
              <w:rPr>
                <w:rFonts w:ascii="Calibri" w:hAnsi="Calibri" w:hint="eastAsia"/>
                <w:color w:val="auto"/>
                <w:szCs w:val="21"/>
              </w:rPr>
              <w:t>、石油烃</w:t>
            </w:r>
          </w:p>
        </w:tc>
      </w:tr>
      <w:tr w:rsidR="00AC555A" w:rsidRPr="00A964FF" w14:paraId="72C86579" w14:textId="77777777" w:rsidTr="00AC555A">
        <w:trPr>
          <w:trHeight w:val="340"/>
        </w:trPr>
        <w:tc>
          <w:tcPr>
            <w:tcW w:w="532" w:type="pct"/>
            <w:vAlign w:val="center"/>
          </w:tcPr>
          <w:p w14:paraId="25203773"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3</w:t>
            </w:r>
            <w:r w:rsidRPr="00A964FF">
              <w:rPr>
                <w:rFonts w:ascii="Calibri" w:hAnsi="Calibri" w:hint="eastAsia"/>
                <w:color w:val="auto"/>
                <w:szCs w:val="21"/>
              </w:rPr>
              <w:t>#</w:t>
            </w:r>
          </w:p>
        </w:tc>
        <w:tc>
          <w:tcPr>
            <w:tcW w:w="355" w:type="pct"/>
            <w:vMerge/>
            <w:vAlign w:val="center"/>
          </w:tcPr>
          <w:p w14:paraId="5FFC102A" w14:textId="77777777" w:rsidR="00AC555A" w:rsidRPr="00A964FF" w:rsidRDefault="00AC555A" w:rsidP="00AC555A">
            <w:pPr>
              <w:ind w:firstLineChars="200" w:firstLine="420"/>
              <w:jc w:val="center"/>
              <w:rPr>
                <w:rFonts w:ascii="Calibri" w:hAnsi="Calibri"/>
                <w:color w:val="auto"/>
                <w:szCs w:val="21"/>
              </w:rPr>
            </w:pPr>
          </w:p>
        </w:tc>
        <w:tc>
          <w:tcPr>
            <w:tcW w:w="1140" w:type="pct"/>
            <w:vAlign w:val="center"/>
          </w:tcPr>
          <w:p w14:paraId="64050FD8" w14:textId="77777777" w:rsidR="00AC555A" w:rsidRPr="00633F2A" w:rsidRDefault="00AC555A" w:rsidP="00AC555A">
            <w:pPr>
              <w:jc w:val="center"/>
              <w:rPr>
                <w:rFonts w:ascii="Calibri" w:hAnsi="Calibri"/>
                <w:szCs w:val="21"/>
              </w:rPr>
            </w:pPr>
            <w:r>
              <w:rPr>
                <w:rFonts w:ascii="Calibri" w:hAnsi="Calibri" w:hint="eastAsia"/>
                <w:szCs w:val="21"/>
              </w:rPr>
              <w:t>生产区</w:t>
            </w:r>
          </w:p>
        </w:tc>
        <w:tc>
          <w:tcPr>
            <w:tcW w:w="1467" w:type="pct"/>
            <w:vAlign w:val="center"/>
          </w:tcPr>
          <w:p w14:paraId="313DC396"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0</w:t>
            </w:r>
            <w:r w:rsidRPr="00A964FF">
              <w:rPr>
                <w:rFonts w:ascii="Calibri" w:hAnsi="Calibri" w:hint="eastAsia"/>
                <w:color w:val="auto"/>
                <w:szCs w:val="21"/>
              </w:rPr>
              <w:t>～</w:t>
            </w:r>
            <w:r w:rsidRPr="00A964FF">
              <w:rPr>
                <w:rFonts w:ascii="Calibri" w:hAnsi="Calibri" w:hint="eastAsia"/>
                <w:color w:val="auto"/>
                <w:szCs w:val="21"/>
              </w:rPr>
              <w:t>0.5</w:t>
            </w:r>
            <w:r w:rsidRPr="00A964FF">
              <w:rPr>
                <w:rFonts w:ascii="Calibri" w:hAnsi="Calibri" w:hint="eastAsia"/>
                <w:color w:val="auto"/>
                <w:szCs w:val="21"/>
              </w:rPr>
              <w:t>、</w:t>
            </w:r>
            <w:r w:rsidRPr="00A964FF">
              <w:rPr>
                <w:rFonts w:ascii="Calibri" w:hAnsi="Calibri" w:hint="eastAsia"/>
                <w:color w:val="auto"/>
                <w:szCs w:val="21"/>
              </w:rPr>
              <w:t>0.5</w:t>
            </w:r>
            <w:r w:rsidRPr="00A964FF">
              <w:rPr>
                <w:rFonts w:ascii="Calibri" w:hAnsi="Calibri" w:hint="eastAsia"/>
                <w:color w:val="auto"/>
                <w:szCs w:val="21"/>
              </w:rPr>
              <w:t>～</w:t>
            </w:r>
            <w:r w:rsidRPr="00A964FF">
              <w:rPr>
                <w:rFonts w:ascii="Calibri" w:hAnsi="Calibri" w:hint="eastAsia"/>
                <w:color w:val="auto"/>
                <w:szCs w:val="21"/>
              </w:rPr>
              <w:t>1.5</w:t>
            </w:r>
            <w:r w:rsidRPr="00A964FF">
              <w:rPr>
                <w:rFonts w:ascii="Calibri" w:hAnsi="Calibri" w:hint="eastAsia"/>
                <w:color w:val="auto"/>
                <w:szCs w:val="21"/>
              </w:rPr>
              <w:t>、</w:t>
            </w:r>
            <w:r w:rsidRPr="00A964FF">
              <w:rPr>
                <w:rFonts w:ascii="Calibri" w:hAnsi="Calibri" w:hint="eastAsia"/>
                <w:color w:val="auto"/>
                <w:szCs w:val="21"/>
              </w:rPr>
              <w:t>1.5</w:t>
            </w:r>
            <w:r w:rsidRPr="00A964FF">
              <w:rPr>
                <w:rFonts w:ascii="Calibri" w:hAnsi="Calibri" w:hint="eastAsia"/>
                <w:color w:val="auto"/>
                <w:szCs w:val="21"/>
              </w:rPr>
              <w:t>～</w:t>
            </w:r>
            <w:r w:rsidRPr="00A964FF">
              <w:rPr>
                <w:rFonts w:ascii="Calibri" w:hAnsi="Calibri" w:hint="eastAsia"/>
                <w:color w:val="auto"/>
                <w:szCs w:val="21"/>
              </w:rPr>
              <w:t>3</w:t>
            </w:r>
            <w:r w:rsidRPr="00A964FF">
              <w:rPr>
                <w:rFonts w:ascii="Calibri" w:hAnsi="Calibri" w:hint="eastAsia"/>
                <w:color w:val="auto"/>
                <w:szCs w:val="21"/>
              </w:rPr>
              <w:t>分别取一个样</w:t>
            </w:r>
          </w:p>
        </w:tc>
        <w:tc>
          <w:tcPr>
            <w:tcW w:w="1505" w:type="pct"/>
            <w:vAlign w:val="center"/>
          </w:tcPr>
          <w:p w14:paraId="29851D79"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pH</w:t>
            </w:r>
            <w:r w:rsidRPr="00A964FF">
              <w:rPr>
                <w:rFonts w:ascii="Calibri" w:hAnsi="Calibri" w:hint="eastAsia"/>
                <w:color w:val="auto"/>
                <w:szCs w:val="21"/>
              </w:rPr>
              <w:t>、石油烃</w:t>
            </w:r>
          </w:p>
        </w:tc>
      </w:tr>
      <w:tr w:rsidR="00AC555A" w:rsidRPr="00A964FF" w14:paraId="651FCBD1" w14:textId="77777777" w:rsidTr="00AC555A">
        <w:trPr>
          <w:trHeight w:val="340"/>
        </w:trPr>
        <w:tc>
          <w:tcPr>
            <w:tcW w:w="532" w:type="pct"/>
            <w:vAlign w:val="center"/>
          </w:tcPr>
          <w:p w14:paraId="0CE9CDD8"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4</w:t>
            </w:r>
            <w:r w:rsidRPr="00A964FF">
              <w:rPr>
                <w:rFonts w:ascii="Calibri" w:hAnsi="Calibri" w:hint="eastAsia"/>
                <w:color w:val="auto"/>
                <w:szCs w:val="21"/>
              </w:rPr>
              <w:t>#</w:t>
            </w:r>
          </w:p>
        </w:tc>
        <w:tc>
          <w:tcPr>
            <w:tcW w:w="355" w:type="pct"/>
            <w:vMerge/>
            <w:vAlign w:val="center"/>
          </w:tcPr>
          <w:p w14:paraId="008A86C1" w14:textId="77777777" w:rsidR="00AC555A" w:rsidRPr="00A964FF" w:rsidRDefault="00AC555A" w:rsidP="00AC555A">
            <w:pPr>
              <w:ind w:firstLineChars="200" w:firstLine="420"/>
              <w:jc w:val="center"/>
              <w:rPr>
                <w:rFonts w:ascii="Calibri" w:hAnsi="Calibri"/>
                <w:color w:val="auto"/>
                <w:szCs w:val="21"/>
              </w:rPr>
            </w:pPr>
          </w:p>
        </w:tc>
        <w:tc>
          <w:tcPr>
            <w:tcW w:w="1140" w:type="pct"/>
            <w:vAlign w:val="center"/>
          </w:tcPr>
          <w:p w14:paraId="5D603ED4" w14:textId="77777777" w:rsidR="00AC555A" w:rsidRPr="00633F2A" w:rsidRDefault="00AC555A" w:rsidP="00AC555A">
            <w:pPr>
              <w:jc w:val="center"/>
              <w:rPr>
                <w:rFonts w:ascii="Calibri" w:hAnsi="Calibri"/>
                <w:szCs w:val="21"/>
              </w:rPr>
            </w:pPr>
            <w:r>
              <w:rPr>
                <w:rFonts w:ascii="Calibri" w:hAnsi="Calibri" w:hint="eastAsia"/>
                <w:szCs w:val="21"/>
              </w:rPr>
              <w:t>废水处理站</w:t>
            </w:r>
          </w:p>
        </w:tc>
        <w:tc>
          <w:tcPr>
            <w:tcW w:w="1467" w:type="pct"/>
            <w:vAlign w:val="center"/>
          </w:tcPr>
          <w:p w14:paraId="50572501"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0</w:t>
            </w:r>
            <w:r w:rsidRPr="00A964FF">
              <w:rPr>
                <w:rFonts w:ascii="Calibri" w:hAnsi="Calibri" w:hint="eastAsia"/>
                <w:color w:val="auto"/>
                <w:szCs w:val="21"/>
              </w:rPr>
              <w:t>～</w:t>
            </w:r>
            <w:r w:rsidRPr="00A964FF">
              <w:rPr>
                <w:rFonts w:ascii="Calibri" w:hAnsi="Calibri" w:hint="eastAsia"/>
                <w:color w:val="auto"/>
                <w:szCs w:val="21"/>
              </w:rPr>
              <w:t>0.5</w:t>
            </w:r>
            <w:r w:rsidRPr="00A964FF">
              <w:rPr>
                <w:rFonts w:ascii="Calibri" w:hAnsi="Calibri" w:hint="eastAsia"/>
                <w:color w:val="auto"/>
                <w:szCs w:val="21"/>
              </w:rPr>
              <w:t>、</w:t>
            </w:r>
            <w:r w:rsidRPr="00A964FF">
              <w:rPr>
                <w:rFonts w:ascii="Calibri" w:hAnsi="Calibri" w:hint="eastAsia"/>
                <w:color w:val="auto"/>
                <w:szCs w:val="21"/>
              </w:rPr>
              <w:t>0.5</w:t>
            </w:r>
            <w:r w:rsidRPr="00A964FF">
              <w:rPr>
                <w:rFonts w:ascii="Calibri" w:hAnsi="Calibri" w:hint="eastAsia"/>
                <w:color w:val="auto"/>
                <w:szCs w:val="21"/>
              </w:rPr>
              <w:t>～</w:t>
            </w:r>
            <w:r w:rsidRPr="00A964FF">
              <w:rPr>
                <w:rFonts w:ascii="Calibri" w:hAnsi="Calibri" w:hint="eastAsia"/>
                <w:color w:val="auto"/>
                <w:szCs w:val="21"/>
              </w:rPr>
              <w:t>1.5</w:t>
            </w:r>
            <w:r w:rsidRPr="00A964FF">
              <w:rPr>
                <w:rFonts w:ascii="Calibri" w:hAnsi="Calibri" w:hint="eastAsia"/>
                <w:color w:val="auto"/>
                <w:szCs w:val="21"/>
              </w:rPr>
              <w:t>、</w:t>
            </w:r>
            <w:r w:rsidRPr="00A964FF">
              <w:rPr>
                <w:rFonts w:ascii="Calibri" w:hAnsi="Calibri" w:hint="eastAsia"/>
                <w:color w:val="auto"/>
                <w:szCs w:val="21"/>
              </w:rPr>
              <w:t>1.5</w:t>
            </w:r>
            <w:r w:rsidRPr="00A964FF">
              <w:rPr>
                <w:rFonts w:ascii="Calibri" w:hAnsi="Calibri" w:hint="eastAsia"/>
                <w:color w:val="auto"/>
                <w:szCs w:val="21"/>
              </w:rPr>
              <w:t>～</w:t>
            </w:r>
            <w:r w:rsidRPr="00A964FF">
              <w:rPr>
                <w:rFonts w:ascii="Calibri" w:hAnsi="Calibri" w:hint="eastAsia"/>
                <w:color w:val="auto"/>
                <w:szCs w:val="21"/>
              </w:rPr>
              <w:t>3</w:t>
            </w:r>
            <w:r w:rsidRPr="00A964FF">
              <w:rPr>
                <w:rFonts w:ascii="Calibri" w:hAnsi="Calibri" w:hint="eastAsia"/>
                <w:color w:val="auto"/>
                <w:szCs w:val="21"/>
              </w:rPr>
              <w:t>分别取一个样</w:t>
            </w:r>
          </w:p>
        </w:tc>
        <w:tc>
          <w:tcPr>
            <w:tcW w:w="1505" w:type="pct"/>
            <w:vAlign w:val="center"/>
          </w:tcPr>
          <w:p w14:paraId="3A338270"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pH</w:t>
            </w:r>
            <w:r w:rsidRPr="00A964FF">
              <w:rPr>
                <w:rFonts w:ascii="Calibri" w:hAnsi="Calibri" w:hint="eastAsia"/>
                <w:color w:val="auto"/>
                <w:szCs w:val="21"/>
              </w:rPr>
              <w:t>、石油烃</w:t>
            </w:r>
          </w:p>
        </w:tc>
      </w:tr>
      <w:tr w:rsidR="00AC555A" w:rsidRPr="00A964FF" w14:paraId="5E2CDEFC" w14:textId="77777777" w:rsidTr="00AC555A">
        <w:trPr>
          <w:trHeight w:val="340"/>
        </w:trPr>
        <w:tc>
          <w:tcPr>
            <w:tcW w:w="532" w:type="pct"/>
            <w:vAlign w:val="center"/>
          </w:tcPr>
          <w:p w14:paraId="0FDAF58F"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5</w:t>
            </w:r>
            <w:r w:rsidRPr="00A964FF">
              <w:rPr>
                <w:rFonts w:ascii="Calibri" w:hAnsi="Calibri" w:hint="eastAsia"/>
                <w:color w:val="auto"/>
                <w:szCs w:val="21"/>
              </w:rPr>
              <w:t>#</w:t>
            </w:r>
          </w:p>
        </w:tc>
        <w:tc>
          <w:tcPr>
            <w:tcW w:w="355" w:type="pct"/>
            <w:vMerge w:val="restart"/>
            <w:vAlign w:val="center"/>
          </w:tcPr>
          <w:p w14:paraId="5E0B2040"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占地范围外</w:t>
            </w:r>
          </w:p>
        </w:tc>
        <w:tc>
          <w:tcPr>
            <w:tcW w:w="1140" w:type="pct"/>
            <w:vAlign w:val="center"/>
          </w:tcPr>
          <w:p w14:paraId="6BE12505" w14:textId="77777777" w:rsidR="00AC555A" w:rsidRPr="00AC555A" w:rsidRDefault="00AC555A" w:rsidP="00AC555A">
            <w:pPr>
              <w:jc w:val="center"/>
              <w:rPr>
                <w:rFonts w:ascii="Calibri" w:hAnsi="Calibri"/>
                <w:color w:val="auto"/>
                <w:szCs w:val="21"/>
              </w:rPr>
            </w:pPr>
            <w:r w:rsidRPr="00AC555A">
              <w:rPr>
                <w:rFonts w:ascii="Calibri" w:hAnsi="Calibri" w:hint="eastAsia"/>
                <w:color w:val="auto"/>
                <w:szCs w:val="21"/>
              </w:rPr>
              <w:t>厂区北侧现状农田</w:t>
            </w:r>
          </w:p>
        </w:tc>
        <w:tc>
          <w:tcPr>
            <w:tcW w:w="1467" w:type="pct"/>
            <w:vAlign w:val="center"/>
          </w:tcPr>
          <w:p w14:paraId="37560EA1"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0</w:t>
            </w:r>
            <w:r w:rsidRPr="00A964FF">
              <w:rPr>
                <w:rFonts w:ascii="Calibri" w:hAnsi="Calibri" w:hint="eastAsia"/>
                <w:color w:val="auto"/>
                <w:szCs w:val="21"/>
              </w:rPr>
              <w:t>～</w:t>
            </w:r>
            <w:r w:rsidRPr="00A964FF">
              <w:rPr>
                <w:rFonts w:ascii="Calibri" w:hAnsi="Calibri" w:hint="eastAsia"/>
                <w:color w:val="auto"/>
                <w:szCs w:val="21"/>
              </w:rPr>
              <w:t>0.2</w:t>
            </w:r>
          </w:p>
        </w:tc>
        <w:tc>
          <w:tcPr>
            <w:tcW w:w="1505" w:type="pct"/>
            <w:vAlign w:val="center"/>
          </w:tcPr>
          <w:p w14:paraId="7B7BF9D8" w14:textId="77777777" w:rsidR="00AC555A" w:rsidRPr="00AC555A" w:rsidRDefault="00AC555A" w:rsidP="00AC555A">
            <w:pPr>
              <w:jc w:val="center"/>
              <w:rPr>
                <w:rFonts w:ascii="Calibri" w:hAnsi="Calibri"/>
                <w:color w:val="auto"/>
                <w:szCs w:val="21"/>
              </w:rPr>
            </w:pPr>
            <w:r w:rsidRPr="00AC555A">
              <w:rPr>
                <w:rFonts w:ascii="Calibri" w:hAnsi="Calibri" w:hint="eastAsia"/>
                <w:color w:val="auto"/>
                <w:szCs w:val="21"/>
              </w:rPr>
              <w:t>pH</w:t>
            </w:r>
            <w:r w:rsidRPr="00AC555A">
              <w:rPr>
                <w:rFonts w:ascii="Calibri" w:hAnsi="Calibri" w:hint="eastAsia"/>
                <w:color w:val="auto"/>
                <w:szCs w:val="21"/>
              </w:rPr>
              <w:t>、镉、汞、砷、铅、铬、铜、镍、锌；石油烃</w:t>
            </w:r>
          </w:p>
        </w:tc>
      </w:tr>
      <w:tr w:rsidR="00AC555A" w:rsidRPr="00A964FF" w14:paraId="032DF197" w14:textId="77777777" w:rsidTr="00AC555A">
        <w:trPr>
          <w:trHeight w:val="688"/>
        </w:trPr>
        <w:tc>
          <w:tcPr>
            <w:tcW w:w="532" w:type="pct"/>
            <w:vAlign w:val="center"/>
          </w:tcPr>
          <w:p w14:paraId="7A734BC6" w14:textId="77777777" w:rsidR="00AC555A" w:rsidRPr="00A964FF" w:rsidRDefault="00AC555A" w:rsidP="00AC555A">
            <w:pPr>
              <w:jc w:val="center"/>
              <w:rPr>
                <w:rFonts w:ascii="Calibri" w:hAnsi="Calibri"/>
                <w:color w:val="auto"/>
                <w:szCs w:val="21"/>
              </w:rPr>
            </w:pPr>
            <w:r w:rsidRPr="00A964FF">
              <w:rPr>
                <w:rFonts w:ascii="Calibri" w:hAnsi="Calibri"/>
                <w:color w:val="auto"/>
                <w:szCs w:val="21"/>
              </w:rPr>
              <w:t>6</w:t>
            </w:r>
            <w:r w:rsidRPr="00A964FF">
              <w:rPr>
                <w:rFonts w:ascii="Calibri" w:hAnsi="Calibri" w:hint="eastAsia"/>
                <w:color w:val="auto"/>
                <w:szCs w:val="21"/>
              </w:rPr>
              <w:t>#</w:t>
            </w:r>
          </w:p>
        </w:tc>
        <w:tc>
          <w:tcPr>
            <w:tcW w:w="355" w:type="pct"/>
            <w:vMerge/>
            <w:vAlign w:val="center"/>
          </w:tcPr>
          <w:p w14:paraId="342EF027" w14:textId="77777777" w:rsidR="00AC555A" w:rsidRPr="00A964FF" w:rsidRDefault="00AC555A" w:rsidP="00AC555A">
            <w:pPr>
              <w:jc w:val="center"/>
              <w:rPr>
                <w:rFonts w:ascii="Calibri" w:hAnsi="Calibri"/>
                <w:color w:val="auto"/>
                <w:szCs w:val="21"/>
              </w:rPr>
            </w:pPr>
          </w:p>
        </w:tc>
        <w:tc>
          <w:tcPr>
            <w:tcW w:w="1140" w:type="pct"/>
            <w:vAlign w:val="center"/>
          </w:tcPr>
          <w:p w14:paraId="07BFE083" w14:textId="77777777" w:rsidR="00AC555A" w:rsidRPr="00AC555A" w:rsidRDefault="00AC555A" w:rsidP="00AC555A">
            <w:pPr>
              <w:jc w:val="center"/>
              <w:rPr>
                <w:rFonts w:ascii="Calibri" w:hAnsi="Calibri"/>
                <w:color w:val="auto"/>
                <w:szCs w:val="21"/>
              </w:rPr>
            </w:pPr>
            <w:r w:rsidRPr="00AC555A">
              <w:rPr>
                <w:rFonts w:ascii="Calibri" w:hAnsi="Calibri" w:hint="eastAsia"/>
                <w:color w:val="auto"/>
                <w:szCs w:val="21"/>
              </w:rPr>
              <w:t>厂区西侧现状农田</w:t>
            </w:r>
          </w:p>
        </w:tc>
        <w:tc>
          <w:tcPr>
            <w:tcW w:w="1467" w:type="pct"/>
            <w:vAlign w:val="center"/>
          </w:tcPr>
          <w:p w14:paraId="6714BAFC" w14:textId="77777777" w:rsidR="00AC555A" w:rsidRPr="00A964FF" w:rsidRDefault="00AC555A" w:rsidP="00AC555A">
            <w:pPr>
              <w:jc w:val="center"/>
              <w:rPr>
                <w:rFonts w:ascii="Calibri" w:hAnsi="Calibri"/>
                <w:color w:val="auto"/>
                <w:szCs w:val="21"/>
              </w:rPr>
            </w:pPr>
            <w:r w:rsidRPr="00A964FF">
              <w:rPr>
                <w:rFonts w:ascii="Calibri" w:hAnsi="Calibri" w:hint="eastAsia"/>
                <w:color w:val="auto"/>
                <w:szCs w:val="21"/>
              </w:rPr>
              <w:t>0</w:t>
            </w:r>
            <w:r w:rsidRPr="00A964FF">
              <w:rPr>
                <w:rFonts w:ascii="Calibri" w:hAnsi="Calibri" w:hint="eastAsia"/>
                <w:color w:val="auto"/>
                <w:szCs w:val="21"/>
              </w:rPr>
              <w:t>～</w:t>
            </w:r>
            <w:r w:rsidRPr="00A964FF">
              <w:rPr>
                <w:rFonts w:ascii="Calibri" w:hAnsi="Calibri" w:hint="eastAsia"/>
                <w:color w:val="auto"/>
                <w:szCs w:val="21"/>
              </w:rPr>
              <w:t>0.2</w:t>
            </w:r>
          </w:p>
        </w:tc>
        <w:tc>
          <w:tcPr>
            <w:tcW w:w="1505" w:type="pct"/>
            <w:vAlign w:val="center"/>
          </w:tcPr>
          <w:p w14:paraId="215634A2" w14:textId="77777777" w:rsidR="00AC555A" w:rsidRPr="00AC555A" w:rsidRDefault="00AC555A" w:rsidP="00AC555A">
            <w:pPr>
              <w:jc w:val="center"/>
              <w:rPr>
                <w:rFonts w:ascii="Calibri" w:hAnsi="Calibri"/>
                <w:color w:val="auto"/>
                <w:szCs w:val="21"/>
              </w:rPr>
            </w:pPr>
            <w:r w:rsidRPr="00AC555A">
              <w:rPr>
                <w:rFonts w:ascii="Calibri" w:hAnsi="Calibri" w:hint="eastAsia"/>
                <w:color w:val="auto"/>
                <w:szCs w:val="21"/>
              </w:rPr>
              <w:t>pH</w:t>
            </w:r>
            <w:r w:rsidRPr="00AC555A">
              <w:rPr>
                <w:rFonts w:ascii="Calibri" w:hAnsi="Calibri" w:hint="eastAsia"/>
                <w:color w:val="auto"/>
                <w:szCs w:val="21"/>
              </w:rPr>
              <w:t>、镉、汞、砷、铅、铬、铜、镍、锌；石油烃</w:t>
            </w:r>
          </w:p>
        </w:tc>
      </w:tr>
    </w:tbl>
    <w:p w14:paraId="1499CCF4" w14:textId="77777777" w:rsidR="004A3168" w:rsidRPr="00A964FF" w:rsidRDefault="004A3168" w:rsidP="004C513C">
      <w:pPr>
        <w:spacing w:line="520" w:lineRule="exact"/>
        <w:ind w:firstLineChars="200" w:firstLine="482"/>
        <w:jc w:val="left"/>
        <w:rPr>
          <w:rFonts w:ascii="Calibri" w:hAnsi="Calibri"/>
          <w:b/>
          <w:color w:val="auto"/>
          <w:sz w:val="24"/>
        </w:rPr>
      </w:pPr>
      <w:r w:rsidRPr="00A964FF">
        <w:rPr>
          <w:rFonts w:ascii="Calibri" w:hAnsi="Calibri"/>
          <w:b/>
          <w:color w:val="auto"/>
          <w:sz w:val="24"/>
        </w:rPr>
        <w:t>2</w:t>
      </w:r>
      <w:r w:rsidRPr="00A964FF">
        <w:rPr>
          <w:rFonts w:ascii="Calibri" w:hAnsi="Calibri"/>
          <w:b/>
          <w:color w:val="auto"/>
          <w:sz w:val="24"/>
        </w:rPr>
        <w:t>、评价标准</w:t>
      </w:r>
    </w:p>
    <w:p w14:paraId="6B586EBA" w14:textId="77777777" w:rsidR="00AC555A" w:rsidRPr="00E52BCF" w:rsidRDefault="00AC555A" w:rsidP="00AC555A">
      <w:pPr>
        <w:spacing w:line="520" w:lineRule="exact"/>
        <w:ind w:firstLineChars="200" w:firstLine="480"/>
        <w:jc w:val="left"/>
        <w:rPr>
          <w:rFonts w:asciiTheme="minorHAnsi" w:hAnsiTheme="minorHAnsi"/>
          <w:color w:val="000000" w:themeColor="text1"/>
          <w:sz w:val="24"/>
        </w:rPr>
      </w:pPr>
      <w:r>
        <w:rPr>
          <w:rFonts w:asciiTheme="minorHAnsi" w:hAnsiTheme="minorHAnsi"/>
          <w:color w:val="000000" w:themeColor="text1"/>
          <w:sz w:val="24"/>
        </w:rPr>
        <w:t>本次评价</w:t>
      </w:r>
      <w:r>
        <w:rPr>
          <w:rFonts w:asciiTheme="minorHAnsi" w:hAnsiTheme="minorHAnsi" w:hint="eastAsia"/>
          <w:color w:val="000000" w:themeColor="text1"/>
          <w:sz w:val="24"/>
        </w:rPr>
        <w:t>评价范围内建设用地</w:t>
      </w:r>
      <w:r>
        <w:rPr>
          <w:rFonts w:asciiTheme="minorHAnsi" w:hAnsiTheme="minorHAnsi"/>
          <w:color w:val="000000" w:themeColor="text1"/>
          <w:sz w:val="24"/>
        </w:rPr>
        <w:t>执行《土壤环境质量</w:t>
      </w:r>
      <w:r>
        <w:rPr>
          <w:rFonts w:asciiTheme="minorHAnsi" w:hAnsiTheme="minorHAnsi"/>
          <w:color w:val="000000" w:themeColor="text1"/>
          <w:sz w:val="24"/>
        </w:rPr>
        <w:t xml:space="preserve">  </w:t>
      </w:r>
      <w:r>
        <w:rPr>
          <w:rFonts w:asciiTheme="minorHAnsi" w:hAnsiTheme="minorHAnsi"/>
          <w:color w:val="000000" w:themeColor="text1"/>
          <w:sz w:val="24"/>
        </w:rPr>
        <w:t>建设用地土壤污染风险管控标准》（</w:t>
      </w:r>
      <w:r>
        <w:rPr>
          <w:rFonts w:asciiTheme="minorHAnsi" w:hAnsiTheme="minorHAnsi"/>
          <w:color w:val="000000" w:themeColor="text1"/>
          <w:sz w:val="24"/>
        </w:rPr>
        <w:t>GB36600-2018</w:t>
      </w:r>
      <w:r>
        <w:rPr>
          <w:rFonts w:asciiTheme="minorHAnsi" w:hAnsiTheme="minorHAnsi"/>
          <w:color w:val="000000" w:themeColor="text1"/>
          <w:sz w:val="24"/>
        </w:rPr>
        <w:t>）（试行）表</w:t>
      </w:r>
      <w:r>
        <w:rPr>
          <w:rFonts w:asciiTheme="minorHAnsi" w:hAnsiTheme="minorHAnsi"/>
          <w:color w:val="000000" w:themeColor="text1"/>
          <w:sz w:val="24"/>
        </w:rPr>
        <w:t>1</w:t>
      </w:r>
      <w:r>
        <w:rPr>
          <w:rFonts w:asciiTheme="minorHAnsi" w:hAnsiTheme="minorHAnsi"/>
          <w:color w:val="000000" w:themeColor="text1"/>
          <w:sz w:val="24"/>
        </w:rPr>
        <w:t>第二类用地筛选值标准，</w:t>
      </w:r>
      <w:r>
        <w:rPr>
          <w:rFonts w:asciiTheme="minorHAnsi" w:hAnsiTheme="minorHAnsi" w:hint="eastAsia"/>
          <w:color w:val="000000" w:themeColor="text1"/>
          <w:sz w:val="24"/>
        </w:rPr>
        <w:t>农田</w:t>
      </w:r>
      <w:r>
        <w:rPr>
          <w:rFonts w:asciiTheme="minorHAnsi" w:hAnsiTheme="minorHAnsi"/>
          <w:color w:val="000000" w:themeColor="text1"/>
          <w:sz w:val="24"/>
        </w:rPr>
        <w:t>执行《土壤环境质量</w:t>
      </w:r>
      <w:r>
        <w:rPr>
          <w:rFonts w:asciiTheme="minorHAnsi" w:hAnsiTheme="minorHAnsi"/>
          <w:color w:val="000000" w:themeColor="text1"/>
          <w:sz w:val="24"/>
        </w:rPr>
        <w:t xml:space="preserve"> </w:t>
      </w:r>
      <w:r>
        <w:rPr>
          <w:rFonts w:asciiTheme="minorHAnsi" w:hAnsiTheme="minorHAnsi"/>
          <w:color w:val="000000" w:themeColor="text1"/>
          <w:sz w:val="24"/>
        </w:rPr>
        <w:t>农用地土壤污染风险管控标准（试行）》（</w:t>
      </w:r>
      <w:r>
        <w:rPr>
          <w:rFonts w:asciiTheme="minorHAnsi" w:hAnsiTheme="minorHAnsi"/>
          <w:color w:val="000000" w:themeColor="text1"/>
          <w:sz w:val="24"/>
        </w:rPr>
        <w:t>GB15618-2018</w:t>
      </w:r>
      <w:r>
        <w:rPr>
          <w:rFonts w:asciiTheme="minorHAnsi" w:hAnsiTheme="minorHAnsi"/>
          <w:color w:val="000000" w:themeColor="text1"/>
          <w:sz w:val="24"/>
        </w:rPr>
        <w:t>）筛选值标准，具体标准限值见表</w:t>
      </w:r>
      <w:r>
        <w:rPr>
          <w:rFonts w:asciiTheme="minorHAnsi" w:hAnsiTheme="minorHAnsi"/>
          <w:color w:val="000000" w:themeColor="text1"/>
          <w:sz w:val="24"/>
        </w:rPr>
        <w:t>3.3-2</w:t>
      </w:r>
      <w:r>
        <w:rPr>
          <w:rFonts w:asciiTheme="minorHAnsi" w:hAnsiTheme="minorHAnsi" w:hint="eastAsia"/>
          <w:color w:val="000000" w:themeColor="text1"/>
          <w:sz w:val="24"/>
        </w:rPr>
        <w:t>1</w:t>
      </w:r>
      <w:r>
        <w:rPr>
          <w:rFonts w:asciiTheme="minorHAnsi" w:hAnsiTheme="minorHAnsi"/>
          <w:color w:val="000000" w:themeColor="text1"/>
          <w:sz w:val="24"/>
        </w:rPr>
        <w:t>、</w:t>
      </w:r>
      <w:r>
        <w:rPr>
          <w:rFonts w:asciiTheme="minorHAnsi" w:hAnsiTheme="minorHAnsi"/>
          <w:color w:val="000000" w:themeColor="text1"/>
          <w:sz w:val="24"/>
        </w:rPr>
        <w:t>3.3-2</w:t>
      </w:r>
      <w:r>
        <w:rPr>
          <w:rFonts w:asciiTheme="minorHAnsi" w:hAnsiTheme="minorHAnsi" w:hint="eastAsia"/>
          <w:color w:val="000000" w:themeColor="text1"/>
          <w:sz w:val="24"/>
        </w:rPr>
        <w:t>2</w:t>
      </w:r>
      <w:r>
        <w:rPr>
          <w:rFonts w:asciiTheme="minorHAnsi" w:hAnsiTheme="minorHAnsi"/>
          <w:color w:val="000000" w:themeColor="text1"/>
          <w:sz w:val="24"/>
        </w:rPr>
        <w:t>。</w:t>
      </w:r>
    </w:p>
    <w:p w14:paraId="3A9CCE5B" w14:textId="77777777" w:rsidR="00AC555A" w:rsidRPr="00A964FF" w:rsidRDefault="00AC555A" w:rsidP="00AC555A">
      <w:pPr>
        <w:spacing w:line="520" w:lineRule="exact"/>
        <w:ind w:firstLineChars="196" w:firstLine="470"/>
        <w:rPr>
          <w:rFonts w:ascii="Calibri" w:eastAsia="黑体" w:hAnsi="Calibri"/>
          <w:bCs/>
          <w:color w:val="auto"/>
          <w:sz w:val="24"/>
        </w:rPr>
      </w:pPr>
      <w:r w:rsidRPr="00A964FF">
        <w:rPr>
          <w:rFonts w:ascii="Calibri" w:eastAsia="黑体" w:hint="eastAsia"/>
          <w:bCs/>
          <w:color w:val="auto"/>
          <w:sz w:val="24"/>
        </w:rPr>
        <w:t>表</w:t>
      </w:r>
      <w:r w:rsidRPr="00A964FF">
        <w:rPr>
          <w:rFonts w:ascii="Calibri" w:eastAsia="黑体" w:hAnsi="Calibri" w:hint="eastAsia"/>
          <w:bCs/>
          <w:color w:val="auto"/>
          <w:sz w:val="24"/>
        </w:rPr>
        <w:t>3.3-2</w:t>
      </w:r>
      <w:r>
        <w:rPr>
          <w:rFonts w:ascii="Calibri" w:eastAsia="黑体" w:hAnsi="Calibri"/>
          <w:bCs/>
          <w:color w:val="auto"/>
          <w:sz w:val="24"/>
        </w:rPr>
        <w:t>1</w:t>
      </w:r>
      <w:r w:rsidRPr="00A964FF">
        <w:rPr>
          <w:rFonts w:ascii="Calibri" w:eastAsia="黑体" w:hAnsi="Calibri" w:hint="eastAsia"/>
          <w:bCs/>
          <w:color w:val="auto"/>
          <w:sz w:val="24"/>
        </w:rPr>
        <w:t xml:space="preserve">          </w:t>
      </w:r>
      <w:r w:rsidRPr="00A964FF">
        <w:rPr>
          <w:rFonts w:ascii="Calibri" w:eastAsia="黑体" w:hAnsi="Calibri" w:hint="eastAsia"/>
          <w:bCs/>
          <w:color w:val="auto"/>
          <w:sz w:val="24"/>
        </w:rPr>
        <w:t>建设用地土壤污染风险筛选值</w:t>
      </w:r>
      <w:r w:rsidRPr="00A964FF">
        <w:rPr>
          <w:rFonts w:ascii="Calibri" w:eastAsia="黑体" w:hAnsi="Calibri" w:hint="eastAsia"/>
          <w:bCs/>
          <w:color w:val="auto"/>
          <w:sz w:val="24"/>
        </w:rPr>
        <w:t xml:space="preserve">            </w:t>
      </w:r>
      <w:r w:rsidRPr="00A964FF">
        <w:rPr>
          <w:rFonts w:ascii="Calibri" w:hAnsi="宋体" w:hint="eastAsia"/>
          <w:bCs/>
          <w:color w:val="auto"/>
          <w:szCs w:val="21"/>
        </w:rPr>
        <w:t xml:space="preserve">  </w:t>
      </w:r>
      <w:r w:rsidRPr="00A964FF">
        <w:rPr>
          <w:rFonts w:ascii="Calibri" w:hAnsi="宋体" w:hint="eastAsia"/>
          <w:bCs/>
          <w:color w:val="auto"/>
          <w:szCs w:val="21"/>
        </w:rPr>
        <w:t>单位：</w:t>
      </w:r>
      <w:r w:rsidRPr="00A964FF">
        <w:rPr>
          <w:rFonts w:ascii="Calibri" w:hAnsi="宋体" w:hint="eastAsia"/>
          <w:bCs/>
          <w:color w:val="auto"/>
          <w:szCs w:val="21"/>
        </w:rPr>
        <w:t>mg/kg</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43"/>
        <w:gridCol w:w="3356"/>
        <w:gridCol w:w="2901"/>
      </w:tblGrid>
      <w:tr w:rsidR="00AC555A" w:rsidRPr="00A964FF" w14:paraId="2FEE35D1" w14:textId="77777777" w:rsidTr="00AC555A">
        <w:trPr>
          <w:trHeight w:val="340"/>
        </w:trPr>
        <w:tc>
          <w:tcPr>
            <w:tcW w:w="1404" w:type="pct"/>
            <w:vAlign w:val="center"/>
          </w:tcPr>
          <w:p w14:paraId="2CA54B68"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序号</w:t>
            </w:r>
          </w:p>
        </w:tc>
        <w:tc>
          <w:tcPr>
            <w:tcW w:w="1929" w:type="pct"/>
            <w:vAlign w:val="center"/>
          </w:tcPr>
          <w:p w14:paraId="5C4AA028"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污染物名称</w:t>
            </w:r>
          </w:p>
        </w:tc>
        <w:tc>
          <w:tcPr>
            <w:tcW w:w="1667" w:type="pct"/>
            <w:vAlign w:val="center"/>
          </w:tcPr>
          <w:p w14:paraId="35EF146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第二类用地（筛选值）</w:t>
            </w:r>
          </w:p>
        </w:tc>
      </w:tr>
      <w:tr w:rsidR="00AC555A" w:rsidRPr="00A964FF" w14:paraId="7EF567F6" w14:textId="77777777" w:rsidTr="00AC555A">
        <w:trPr>
          <w:trHeight w:val="340"/>
        </w:trPr>
        <w:tc>
          <w:tcPr>
            <w:tcW w:w="1404" w:type="pct"/>
            <w:vAlign w:val="center"/>
          </w:tcPr>
          <w:p w14:paraId="60936592"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1</w:t>
            </w:r>
          </w:p>
        </w:tc>
        <w:tc>
          <w:tcPr>
            <w:tcW w:w="1929" w:type="pct"/>
            <w:vAlign w:val="center"/>
          </w:tcPr>
          <w:p w14:paraId="11AC794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总砷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20B5F14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60</w:t>
            </w:r>
          </w:p>
        </w:tc>
      </w:tr>
      <w:tr w:rsidR="00AC555A" w:rsidRPr="00A964FF" w14:paraId="52FE26C2" w14:textId="77777777" w:rsidTr="00AC555A">
        <w:trPr>
          <w:trHeight w:val="340"/>
        </w:trPr>
        <w:tc>
          <w:tcPr>
            <w:tcW w:w="1404" w:type="pct"/>
            <w:vAlign w:val="center"/>
          </w:tcPr>
          <w:p w14:paraId="27A2334B"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2</w:t>
            </w:r>
          </w:p>
        </w:tc>
        <w:tc>
          <w:tcPr>
            <w:tcW w:w="1929" w:type="pct"/>
            <w:vAlign w:val="center"/>
          </w:tcPr>
          <w:p w14:paraId="14967F8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镉</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6CA6B86D"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65</w:t>
            </w:r>
          </w:p>
        </w:tc>
      </w:tr>
      <w:tr w:rsidR="00AC555A" w:rsidRPr="00A964FF" w14:paraId="12A26995" w14:textId="77777777" w:rsidTr="00AC555A">
        <w:trPr>
          <w:trHeight w:val="340"/>
        </w:trPr>
        <w:tc>
          <w:tcPr>
            <w:tcW w:w="1404" w:type="pct"/>
            <w:vAlign w:val="center"/>
          </w:tcPr>
          <w:p w14:paraId="7B21AF5F"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w:t>
            </w:r>
          </w:p>
        </w:tc>
        <w:tc>
          <w:tcPr>
            <w:tcW w:w="1929" w:type="pct"/>
            <w:vAlign w:val="center"/>
          </w:tcPr>
          <w:p w14:paraId="5651D9F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铬（六价）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D243F70"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5.7</w:t>
            </w:r>
          </w:p>
        </w:tc>
      </w:tr>
      <w:tr w:rsidR="00AC555A" w:rsidRPr="00A964FF" w14:paraId="2EC2D647" w14:textId="77777777" w:rsidTr="00AC555A">
        <w:trPr>
          <w:trHeight w:val="340"/>
        </w:trPr>
        <w:tc>
          <w:tcPr>
            <w:tcW w:w="1404" w:type="pct"/>
            <w:vAlign w:val="center"/>
          </w:tcPr>
          <w:p w14:paraId="7BB92DF3"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w:t>
            </w:r>
          </w:p>
        </w:tc>
        <w:tc>
          <w:tcPr>
            <w:tcW w:w="1929" w:type="pct"/>
            <w:vAlign w:val="center"/>
          </w:tcPr>
          <w:p w14:paraId="0A24C5A8"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铜</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FBF739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18000</w:t>
            </w:r>
          </w:p>
        </w:tc>
      </w:tr>
      <w:tr w:rsidR="00AC555A" w:rsidRPr="00A964FF" w14:paraId="0C7ED3BD" w14:textId="77777777" w:rsidTr="00AC555A">
        <w:trPr>
          <w:trHeight w:val="340"/>
        </w:trPr>
        <w:tc>
          <w:tcPr>
            <w:tcW w:w="1404" w:type="pct"/>
            <w:vAlign w:val="center"/>
          </w:tcPr>
          <w:p w14:paraId="03A33AE3"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5</w:t>
            </w:r>
          </w:p>
        </w:tc>
        <w:tc>
          <w:tcPr>
            <w:tcW w:w="1929" w:type="pct"/>
            <w:vAlign w:val="center"/>
          </w:tcPr>
          <w:p w14:paraId="2816C8D2"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铅</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0D22D62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800</w:t>
            </w:r>
          </w:p>
        </w:tc>
      </w:tr>
      <w:tr w:rsidR="00AC555A" w:rsidRPr="00A964FF" w14:paraId="5A1E4E8A" w14:textId="77777777" w:rsidTr="00AC555A">
        <w:trPr>
          <w:trHeight w:val="340"/>
        </w:trPr>
        <w:tc>
          <w:tcPr>
            <w:tcW w:w="1404" w:type="pct"/>
            <w:vAlign w:val="center"/>
          </w:tcPr>
          <w:p w14:paraId="788DC243"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6</w:t>
            </w:r>
          </w:p>
        </w:tc>
        <w:tc>
          <w:tcPr>
            <w:tcW w:w="1929" w:type="pct"/>
            <w:vAlign w:val="center"/>
          </w:tcPr>
          <w:p w14:paraId="716284E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汞</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6B91F98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38</w:t>
            </w:r>
          </w:p>
        </w:tc>
      </w:tr>
      <w:tr w:rsidR="00AC555A" w:rsidRPr="00A964FF" w14:paraId="5BAED22A" w14:textId="77777777" w:rsidTr="00AC555A">
        <w:trPr>
          <w:trHeight w:val="340"/>
        </w:trPr>
        <w:tc>
          <w:tcPr>
            <w:tcW w:w="1404" w:type="pct"/>
            <w:vAlign w:val="center"/>
          </w:tcPr>
          <w:p w14:paraId="57B7DB46"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7</w:t>
            </w:r>
          </w:p>
        </w:tc>
        <w:tc>
          <w:tcPr>
            <w:tcW w:w="1929" w:type="pct"/>
            <w:vAlign w:val="center"/>
          </w:tcPr>
          <w:p w14:paraId="4363EFC9"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镍</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6BF2C650"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900</w:t>
            </w:r>
          </w:p>
        </w:tc>
      </w:tr>
      <w:tr w:rsidR="00AC555A" w:rsidRPr="00A964FF" w14:paraId="18D0E89A" w14:textId="77777777" w:rsidTr="00AC555A">
        <w:trPr>
          <w:trHeight w:val="340"/>
        </w:trPr>
        <w:tc>
          <w:tcPr>
            <w:tcW w:w="1404" w:type="pct"/>
            <w:vAlign w:val="center"/>
          </w:tcPr>
          <w:p w14:paraId="5CC16CB3"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lastRenderedPageBreak/>
              <w:t>8</w:t>
            </w:r>
          </w:p>
        </w:tc>
        <w:tc>
          <w:tcPr>
            <w:tcW w:w="1929" w:type="pct"/>
            <w:vAlign w:val="center"/>
          </w:tcPr>
          <w:p w14:paraId="0373E7E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四氯化碳</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0940001"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r>
      <w:tr w:rsidR="00AC555A" w:rsidRPr="00A964FF" w14:paraId="52A163EB" w14:textId="77777777" w:rsidTr="00AC555A">
        <w:trPr>
          <w:trHeight w:val="340"/>
        </w:trPr>
        <w:tc>
          <w:tcPr>
            <w:tcW w:w="1404" w:type="pct"/>
            <w:vAlign w:val="center"/>
          </w:tcPr>
          <w:p w14:paraId="2178254D"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9</w:t>
            </w:r>
          </w:p>
        </w:tc>
        <w:tc>
          <w:tcPr>
            <w:tcW w:w="1929" w:type="pct"/>
            <w:vAlign w:val="center"/>
          </w:tcPr>
          <w:p w14:paraId="193BCE2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氯仿</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26602CBF"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0.9</w:t>
            </w:r>
          </w:p>
        </w:tc>
      </w:tr>
      <w:tr w:rsidR="00AC555A" w:rsidRPr="00A964FF" w14:paraId="456D02D0" w14:textId="77777777" w:rsidTr="00AC555A">
        <w:trPr>
          <w:trHeight w:val="340"/>
        </w:trPr>
        <w:tc>
          <w:tcPr>
            <w:tcW w:w="1404" w:type="pct"/>
            <w:vAlign w:val="center"/>
          </w:tcPr>
          <w:p w14:paraId="1483019F"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10</w:t>
            </w:r>
          </w:p>
        </w:tc>
        <w:tc>
          <w:tcPr>
            <w:tcW w:w="1929" w:type="pct"/>
            <w:vAlign w:val="center"/>
          </w:tcPr>
          <w:p w14:paraId="00E1DCAD"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氯甲烷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73DB76E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37</w:t>
            </w:r>
          </w:p>
        </w:tc>
      </w:tr>
      <w:tr w:rsidR="00AC555A" w:rsidRPr="00A964FF" w14:paraId="67BD68D4" w14:textId="77777777" w:rsidTr="00AC555A">
        <w:trPr>
          <w:trHeight w:val="340"/>
        </w:trPr>
        <w:tc>
          <w:tcPr>
            <w:tcW w:w="1404" w:type="pct"/>
            <w:vAlign w:val="center"/>
          </w:tcPr>
          <w:p w14:paraId="0211BFD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11</w:t>
            </w:r>
          </w:p>
        </w:tc>
        <w:tc>
          <w:tcPr>
            <w:tcW w:w="1929" w:type="pct"/>
            <w:vAlign w:val="center"/>
          </w:tcPr>
          <w:p w14:paraId="7DF9E34F"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1,1-</w:t>
            </w:r>
            <w:r w:rsidRPr="00A964FF">
              <w:rPr>
                <w:rFonts w:ascii="Calibri" w:hAnsi="Times New Roman"/>
                <w:color w:val="auto"/>
                <w:kern w:val="2"/>
                <w:sz w:val="21"/>
                <w:szCs w:val="21"/>
              </w:rPr>
              <w:t>二氯乙烷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76925B1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9</w:t>
            </w:r>
          </w:p>
        </w:tc>
      </w:tr>
      <w:tr w:rsidR="00AC555A" w:rsidRPr="00A964FF" w14:paraId="6A824DE1" w14:textId="77777777" w:rsidTr="00AC555A">
        <w:trPr>
          <w:trHeight w:val="340"/>
        </w:trPr>
        <w:tc>
          <w:tcPr>
            <w:tcW w:w="1404" w:type="pct"/>
            <w:vAlign w:val="center"/>
          </w:tcPr>
          <w:p w14:paraId="686B875F"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12</w:t>
            </w:r>
          </w:p>
        </w:tc>
        <w:tc>
          <w:tcPr>
            <w:tcW w:w="1929" w:type="pct"/>
            <w:vAlign w:val="center"/>
          </w:tcPr>
          <w:p w14:paraId="0035391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w:t>
            </w:r>
            <w:r w:rsidRPr="00A964FF">
              <w:rPr>
                <w:rFonts w:ascii="Calibri" w:hAnsi="Times New Roman"/>
                <w:color w:val="auto"/>
                <w:kern w:val="2"/>
                <w:sz w:val="21"/>
                <w:szCs w:val="21"/>
              </w:rPr>
              <w:t>二氯乙烷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4DC8260"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w:t>
            </w:r>
          </w:p>
        </w:tc>
      </w:tr>
      <w:tr w:rsidR="00AC555A" w:rsidRPr="00A964FF" w14:paraId="448B085A" w14:textId="77777777" w:rsidTr="00AC555A">
        <w:trPr>
          <w:trHeight w:val="340"/>
        </w:trPr>
        <w:tc>
          <w:tcPr>
            <w:tcW w:w="1404" w:type="pct"/>
            <w:vAlign w:val="center"/>
          </w:tcPr>
          <w:p w14:paraId="23F29101"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13</w:t>
            </w:r>
          </w:p>
        </w:tc>
        <w:tc>
          <w:tcPr>
            <w:tcW w:w="1929" w:type="pct"/>
            <w:vAlign w:val="center"/>
          </w:tcPr>
          <w:p w14:paraId="2BB19E5E"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1,1-</w:t>
            </w:r>
            <w:r w:rsidRPr="00A964FF">
              <w:rPr>
                <w:rFonts w:ascii="Calibri" w:hAnsi="Times New Roman"/>
                <w:color w:val="auto"/>
                <w:kern w:val="2"/>
                <w:sz w:val="21"/>
                <w:szCs w:val="21"/>
              </w:rPr>
              <w:t>二氯乙烯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58154F2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66</w:t>
            </w:r>
          </w:p>
        </w:tc>
      </w:tr>
      <w:tr w:rsidR="00AC555A" w:rsidRPr="00A964FF" w14:paraId="06DE93BF" w14:textId="77777777" w:rsidTr="00AC555A">
        <w:trPr>
          <w:trHeight w:val="340"/>
        </w:trPr>
        <w:tc>
          <w:tcPr>
            <w:tcW w:w="1404" w:type="pct"/>
            <w:vAlign w:val="center"/>
          </w:tcPr>
          <w:p w14:paraId="24CC3578"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14</w:t>
            </w:r>
          </w:p>
        </w:tc>
        <w:tc>
          <w:tcPr>
            <w:tcW w:w="1929" w:type="pct"/>
            <w:vAlign w:val="center"/>
          </w:tcPr>
          <w:p w14:paraId="492C0F1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顺式</w:t>
            </w:r>
            <w:r w:rsidRPr="00A964FF">
              <w:rPr>
                <w:rFonts w:ascii="Calibri" w:hAnsi="Calibri"/>
                <w:color w:val="auto"/>
                <w:kern w:val="2"/>
                <w:sz w:val="21"/>
                <w:szCs w:val="21"/>
              </w:rPr>
              <w:t>-1,2-</w:t>
            </w:r>
            <w:r w:rsidRPr="00A964FF">
              <w:rPr>
                <w:rFonts w:ascii="Calibri" w:hAnsi="Times New Roman"/>
                <w:color w:val="auto"/>
                <w:kern w:val="2"/>
                <w:sz w:val="21"/>
                <w:szCs w:val="21"/>
              </w:rPr>
              <w:t>二氯乙烯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A4BBEAC"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596</w:t>
            </w:r>
          </w:p>
        </w:tc>
      </w:tr>
      <w:tr w:rsidR="00AC555A" w:rsidRPr="00A964FF" w14:paraId="2114D9F3" w14:textId="77777777" w:rsidTr="00AC555A">
        <w:trPr>
          <w:trHeight w:val="340"/>
        </w:trPr>
        <w:tc>
          <w:tcPr>
            <w:tcW w:w="1404" w:type="pct"/>
            <w:vAlign w:val="center"/>
          </w:tcPr>
          <w:p w14:paraId="23D6AFE6"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15</w:t>
            </w:r>
          </w:p>
        </w:tc>
        <w:tc>
          <w:tcPr>
            <w:tcW w:w="1929" w:type="pct"/>
            <w:vAlign w:val="center"/>
          </w:tcPr>
          <w:p w14:paraId="7E26D62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反式</w:t>
            </w:r>
            <w:r w:rsidRPr="00A964FF">
              <w:rPr>
                <w:rFonts w:ascii="Calibri" w:hAnsi="Calibri"/>
                <w:color w:val="auto"/>
                <w:kern w:val="2"/>
                <w:sz w:val="21"/>
                <w:szCs w:val="21"/>
              </w:rPr>
              <w:t>-1,2-</w:t>
            </w:r>
            <w:r w:rsidRPr="00A964FF">
              <w:rPr>
                <w:rFonts w:ascii="Calibri" w:hAnsi="Times New Roman"/>
                <w:color w:val="auto"/>
                <w:kern w:val="2"/>
                <w:sz w:val="21"/>
                <w:szCs w:val="21"/>
              </w:rPr>
              <w:t>二氯乙烯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2F2A0F0"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54</w:t>
            </w:r>
          </w:p>
        </w:tc>
      </w:tr>
      <w:tr w:rsidR="00AC555A" w:rsidRPr="00A964FF" w14:paraId="6243C8C3" w14:textId="77777777" w:rsidTr="00AC555A">
        <w:trPr>
          <w:trHeight w:val="340"/>
        </w:trPr>
        <w:tc>
          <w:tcPr>
            <w:tcW w:w="1404" w:type="pct"/>
            <w:vAlign w:val="center"/>
          </w:tcPr>
          <w:p w14:paraId="37FA130C"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16</w:t>
            </w:r>
          </w:p>
        </w:tc>
        <w:tc>
          <w:tcPr>
            <w:tcW w:w="1929" w:type="pct"/>
            <w:vAlign w:val="center"/>
          </w:tcPr>
          <w:p w14:paraId="0FB9900D"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二氯甲烷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5CD7EA49"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616</w:t>
            </w:r>
          </w:p>
        </w:tc>
      </w:tr>
      <w:tr w:rsidR="00AC555A" w:rsidRPr="00A964FF" w14:paraId="3C3EC819" w14:textId="77777777" w:rsidTr="00AC555A">
        <w:trPr>
          <w:trHeight w:val="340"/>
        </w:trPr>
        <w:tc>
          <w:tcPr>
            <w:tcW w:w="1404" w:type="pct"/>
            <w:vAlign w:val="center"/>
          </w:tcPr>
          <w:p w14:paraId="5D79BD4D"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17</w:t>
            </w:r>
          </w:p>
        </w:tc>
        <w:tc>
          <w:tcPr>
            <w:tcW w:w="1929" w:type="pct"/>
            <w:vAlign w:val="center"/>
          </w:tcPr>
          <w:p w14:paraId="2260125C"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w:t>
            </w:r>
            <w:r w:rsidRPr="00A964FF">
              <w:rPr>
                <w:rFonts w:ascii="Calibri" w:hAnsi="Times New Roman"/>
                <w:color w:val="auto"/>
                <w:kern w:val="2"/>
                <w:sz w:val="21"/>
                <w:szCs w:val="21"/>
              </w:rPr>
              <w:t>二氯丙烷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5AAD0FA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w:t>
            </w:r>
          </w:p>
        </w:tc>
      </w:tr>
      <w:tr w:rsidR="00AC555A" w:rsidRPr="00A964FF" w14:paraId="0DACD3FE" w14:textId="77777777" w:rsidTr="00AC555A">
        <w:trPr>
          <w:trHeight w:val="340"/>
        </w:trPr>
        <w:tc>
          <w:tcPr>
            <w:tcW w:w="1404" w:type="pct"/>
            <w:vAlign w:val="center"/>
          </w:tcPr>
          <w:p w14:paraId="4F8F2AA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18</w:t>
            </w:r>
          </w:p>
        </w:tc>
        <w:tc>
          <w:tcPr>
            <w:tcW w:w="1929" w:type="pct"/>
            <w:vAlign w:val="center"/>
          </w:tcPr>
          <w:p w14:paraId="4264B5D1"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1,1,1,2-</w:t>
            </w:r>
            <w:r w:rsidRPr="00A964FF">
              <w:rPr>
                <w:rFonts w:ascii="Calibri" w:hAnsi="Times New Roman"/>
                <w:color w:val="auto"/>
                <w:kern w:val="2"/>
                <w:sz w:val="21"/>
                <w:szCs w:val="21"/>
              </w:rPr>
              <w:t>四氯乙烷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2C9FE8A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10</w:t>
            </w:r>
          </w:p>
        </w:tc>
      </w:tr>
      <w:tr w:rsidR="00AC555A" w:rsidRPr="00A964FF" w14:paraId="4289B69B" w14:textId="77777777" w:rsidTr="00AC555A">
        <w:trPr>
          <w:trHeight w:val="340"/>
        </w:trPr>
        <w:tc>
          <w:tcPr>
            <w:tcW w:w="1404" w:type="pct"/>
            <w:vAlign w:val="center"/>
          </w:tcPr>
          <w:p w14:paraId="3A4D66C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19</w:t>
            </w:r>
          </w:p>
        </w:tc>
        <w:tc>
          <w:tcPr>
            <w:tcW w:w="1929" w:type="pct"/>
            <w:vAlign w:val="center"/>
          </w:tcPr>
          <w:p w14:paraId="466CC04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1,1,2,2-</w:t>
            </w:r>
            <w:r w:rsidRPr="00A964FF">
              <w:rPr>
                <w:rFonts w:ascii="Calibri" w:hAnsi="Times New Roman"/>
                <w:color w:val="auto"/>
                <w:kern w:val="2"/>
                <w:sz w:val="21"/>
                <w:szCs w:val="21"/>
              </w:rPr>
              <w:t>四氯乙烷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5519316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6.8</w:t>
            </w:r>
          </w:p>
        </w:tc>
      </w:tr>
      <w:tr w:rsidR="00AC555A" w:rsidRPr="00A964FF" w14:paraId="1BFC623C" w14:textId="77777777" w:rsidTr="00AC555A">
        <w:trPr>
          <w:trHeight w:val="340"/>
        </w:trPr>
        <w:tc>
          <w:tcPr>
            <w:tcW w:w="1404" w:type="pct"/>
            <w:vAlign w:val="center"/>
          </w:tcPr>
          <w:p w14:paraId="382F1EE4"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20</w:t>
            </w:r>
          </w:p>
        </w:tc>
        <w:tc>
          <w:tcPr>
            <w:tcW w:w="1929" w:type="pct"/>
            <w:vAlign w:val="center"/>
          </w:tcPr>
          <w:p w14:paraId="02C0EEB8"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四氯乙烯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E92ACCF"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53</w:t>
            </w:r>
          </w:p>
        </w:tc>
      </w:tr>
      <w:tr w:rsidR="00AC555A" w:rsidRPr="00A964FF" w14:paraId="49109989" w14:textId="77777777" w:rsidTr="00AC555A">
        <w:trPr>
          <w:trHeight w:val="340"/>
        </w:trPr>
        <w:tc>
          <w:tcPr>
            <w:tcW w:w="1404" w:type="pct"/>
            <w:vAlign w:val="center"/>
          </w:tcPr>
          <w:p w14:paraId="3C516AE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21</w:t>
            </w:r>
          </w:p>
        </w:tc>
        <w:tc>
          <w:tcPr>
            <w:tcW w:w="1929" w:type="pct"/>
            <w:vAlign w:val="center"/>
          </w:tcPr>
          <w:p w14:paraId="1A7E978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1,1,1-</w:t>
            </w:r>
            <w:r w:rsidRPr="00A964FF">
              <w:rPr>
                <w:rFonts w:ascii="Calibri" w:hAnsi="Times New Roman"/>
                <w:color w:val="auto"/>
                <w:kern w:val="2"/>
                <w:sz w:val="21"/>
                <w:szCs w:val="21"/>
              </w:rPr>
              <w:t>三氯乙烷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0587E2B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840</w:t>
            </w:r>
          </w:p>
        </w:tc>
      </w:tr>
      <w:tr w:rsidR="00AC555A" w:rsidRPr="00A964FF" w14:paraId="77AD01B2" w14:textId="77777777" w:rsidTr="00AC555A">
        <w:trPr>
          <w:trHeight w:val="340"/>
        </w:trPr>
        <w:tc>
          <w:tcPr>
            <w:tcW w:w="1404" w:type="pct"/>
            <w:vAlign w:val="center"/>
          </w:tcPr>
          <w:p w14:paraId="1CDEF291"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22</w:t>
            </w:r>
          </w:p>
        </w:tc>
        <w:tc>
          <w:tcPr>
            <w:tcW w:w="1929" w:type="pct"/>
            <w:vAlign w:val="center"/>
          </w:tcPr>
          <w:p w14:paraId="300C575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1,1,2-</w:t>
            </w:r>
            <w:r w:rsidRPr="00A964FF">
              <w:rPr>
                <w:rFonts w:ascii="Calibri" w:hAnsi="Times New Roman"/>
                <w:color w:val="auto"/>
                <w:kern w:val="2"/>
                <w:sz w:val="21"/>
                <w:szCs w:val="21"/>
              </w:rPr>
              <w:t>三氯乙烷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647F034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r>
      <w:tr w:rsidR="00AC555A" w:rsidRPr="00A964FF" w14:paraId="694C7C3E" w14:textId="77777777" w:rsidTr="00AC555A">
        <w:trPr>
          <w:trHeight w:val="340"/>
        </w:trPr>
        <w:tc>
          <w:tcPr>
            <w:tcW w:w="1404" w:type="pct"/>
            <w:vAlign w:val="center"/>
          </w:tcPr>
          <w:p w14:paraId="4326FA22"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23</w:t>
            </w:r>
          </w:p>
        </w:tc>
        <w:tc>
          <w:tcPr>
            <w:tcW w:w="1929" w:type="pct"/>
            <w:vAlign w:val="center"/>
          </w:tcPr>
          <w:p w14:paraId="4956B68E"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三氯乙烯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EA6350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r>
      <w:tr w:rsidR="00AC555A" w:rsidRPr="00A964FF" w14:paraId="4D6864EB" w14:textId="77777777" w:rsidTr="00AC555A">
        <w:trPr>
          <w:trHeight w:val="340"/>
        </w:trPr>
        <w:tc>
          <w:tcPr>
            <w:tcW w:w="1404" w:type="pct"/>
            <w:vAlign w:val="center"/>
          </w:tcPr>
          <w:p w14:paraId="364753A8"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24</w:t>
            </w:r>
          </w:p>
        </w:tc>
        <w:tc>
          <w:tcPr>
            <w:tcW w:w="1929" w:type="pct"/>
            <w:vAlign w:val="center"/>
          </w:tcPr>
          <w:p w14:paraId="6961148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1,2,3-</w:t>
            </w:r>
            <w:r w:rsidRPr="00A964FF">
              <w:rPr>
                <w:rFonts w:ascii="Calibri" w:hAnsi="Times New Roman"/>
                <w:color w:val="auto"/>
                <w:kern w:val="2"/>
                <w:sz w:val="21"/>
                <w:szCs w:val="21"/>
              </w:rPr>
              <w:t>三氯丙烷</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4C5E016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0.5</w:t>
            </w:r>
          </w:p>
        </w:tc>
      </w:tr>
      <w:tr w:rsidR="00AC555A" w:rsidRPr="00A964FF" w14:paraId="730AFED0" w14:textId="77777777" w:rsidTr="00AC555A">
        <w:trPr>
          <w:trHeight w:val="340"/>
        </w:trPr>
        <w:tc>
          <w:tcPr>
            <w:tcW w:w="1404" w:type="pct"/>
            <w:vAlign w:val="center"/>
          </w:tcPr>
          <w:p w14:paraId="38F4746C"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25</w:t>
            </w:r>
          </w:p>
        </w:tc>
        <w:tc>
          <w:tcPr>
            <w:tcW w:w="1929" w:type="pct"/>
            <w:vAlign w:val="center"/>
          </w:tcPr>
          <w:p w14:paraId="1523200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氯乙烯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7F90DA1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0.43</w:t>
            </w:r>
          </w:p>
        </w:tc>
      </w:tr>
      <w:tr w:rsidR="00AC555A" w:rsidRPr="00A964FF" w14:paraId="2938FE78" w14:textId="77777777" w:rsidTr="00AC555A">
        <w:trPr>
          <w:trHeight w:val="340"/>
        </w:trPr>
        <w:tc>
          <w:tcPr>
            <w:tcW w:w="1404" w:type="pct"/>
            <w:vAlign w:val="center"/>
          </w:tcPr>
          <w:p w14:paraId="07DE71C5"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26</w:t>
            </w:r>
          </w:p>
        </w:tc>
        <w:tc>
          <w:tcPr>
            <w:tcW w:w="1929" w:type="pct"/>
            <w:vAlign w:val="center"/>
          </w:tcPr>
          <w:p w14:paraId="7BBF3DF2"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72B873A2"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4</w:t>
            </w:r>
          </w:p>
        </w:tc>
      </w:tr>
      <w:tr w:rsidR="00AC555A" w:rsidRPr="00A964FF" w14:paraId="75EDBDA7" w14:textId="77777777" w:rsidTr="00AC555A">
        <w:trPr>
          <w:trHeight w:val="340"/>
        </w:trPr>
        <w:tc>
          <w:tcPr>
            <w:tcW w:w="1404" w:type="pct"/>
            <w:vAlign w:val="center"/>
          </w:tcPr>
          <w:p w14:paraId="0A871BBC"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27</w:t>
            </w:r>
          </w:p>
        </w:tc>
        <w:tc>
          <w:tcPr>
            <w:tcW w:w="1929" w:type="pct"/>
            <w:vAlign w:val="center"/>
          </w:tcPr>
          <w:p w14:paraId="7C3FC27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氯苯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514B19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270</w:t>
            </w:r>
          </w:p>
        </w:tc>
      </w:tr>
      <w:tr w:rsidR="00AC555A" w:rsidRPr="00A964FF" w14:paraId="19DC3993" w14:textId="77777777" w:rsidTr="00AC555A">
        <w:trPr>
          <w:trHeight w:val="340"/>
        </w:trPr>
        <w:tc>
          <w:tcPr>
            <w:tcW w:w="1404" w:type="pct"/>
            <w:vAlign w:val="center"/>
          </w:tcPr>
          <w:p w14:paraId="3C919AAB"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28</w:t>
            </w:r>
          </w:p>
        </w:tc>
        <w:tc>
          <w:tcPr>
            <w:tcW w:w="1929" w:type="pct"/>
            <w:vAlign w:val="center"/>
          </w:tcPr>
          <w:p w14:paraId="38E75449"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w:t>
            </w:r>
            <w:r w:rsidRPr="00A964FF">
              <w:rPr>
                <w:rFonts w:ascii="Calibri" w:hAnsi="Times New Roman"/>
                <w:color w:val="auto"/>
                <w:kern w:val="2"/>
                <w:sz w:val="21"/>
                <w:szCs w:val="21"/>
              </w:rPr>
              <w:t>二氯苯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D9936E9"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560</w:t>
            </w:r>
          </w:p>
        </w:tc>
      </w:tr>
      <w:tr w:rsidR="00AC555A" w:rsidRPr="00A964FF" w14:paraId="73554275" w14:textId="77777777" w:rsidTr="00AC555A">
        <w:trPr>
          <w:trHeight w:val="340"/>
        </w:trPr>
        <w:tc>
          <w:tcPr>
            <w:tcW w:w="1404" w:type="pct"/>
            <w:vAlign w:val="center"/>
          </w:tcPr>
          <w:p w14:paraId="3099875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29</w:t>
            </w:r>
          </w:p>
        </w:tc>
        <w:tc>
          <w:tcPr>
            <w:tcW w:w="1929" w:type="pct"/>
            <w:vAlign w:val="center"/>
          </w:tcPr>
          <w:p w14:paraId="0CE993EF"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1,4-</w:t>
            </w:r>
            <w:r w:rsidRPr="00A964FF">
              <w:rPr>
                <w:rFonts w:ascii="Calibri" w:hAnsi="Times New Roman"/>
                <w:color w:val="auto"/>
                <w:kern w:val="2"/>
                <w:sz w:val="21"/>
                <w:szCs w:val="21"/>
              </w:rPr>
              <w:t>二氯苯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77DCF94F"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20</w:t>
            </w:r>
          </w:p>
        </w:tc>
      </w:tr>
      <w:tr w:rsidR="00AC555A" w:rsidRPr="00A964FF" w14:paraId="6149F0E3" w14:textId="77777777" w:rsidTr="00AC555A">
        <w:trPr>
          <w:trHeight w:val="340"/>
        </w:trPr>
        <w:tc>
          <w:tcPr>
            <w:tcW w:w="1404" w:type="pct"/>
            <w:vAlign w:val="center"/>
          </w:tcPr>
          <w:p w14:paraId="28E37EF6"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30</w:t>
            </w:r>
          </w:p>
        </w:tc>
        <w:tc>
          <w:tcPr>
            <w:tcW w:w="1929" w:type="pct"/>
            <w:vAlign w:val="center"/>
          </w:tcPr>
          <w:p w14:paraId="3A8A71F8"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乙苯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6C42FF52"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r>
      <w:tr w:rsidR="00AC555A" w:rsidRPr="00A964FF" w14:paraId="16C6CB46" w14:textId="77777777" w:rsidTr="00AC555A">
        <w:trPr>
          <w:trHeight w:val="340"/>
        </w:trPr>
        <w:tc>
          <w:tcPr>
            <w:tcW w:w="1404" w:type="pct"/>
            <w:vAlign w:val="center"/>
          </w:tcPr>
          <w:p w14:paraId="6CAB174B"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31</w:t>
            </w:r>
          </w:p>
        </w:tc>
        <w:tc>
          <w:tcPr>
            <w:tcW w:w="1929" w:type="pct"/>
            <w:vAlign w:val="center"/>
          </w:tcPr>
          <w:p w14:paraId="7AA9887C"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苯乙烯</w:t>
            </w:r>
          </w:p>
        </w:tc>
        <w:tc>
          <w:tcPr>
            <w:tcW w:w="1667" w:type="pct"/>
            <w:vAlign w:val="center"/>
          </w:tcPr>
          <w:p w14:paraId="54E6012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1290</w:t>
            </w:r>
          </w:p>
        </w:tc>
      </w:tr>
      <w:tr w:rsidR="00AC555A" w:rsidRPr="00A964FF" w14:paraId="7928D7C2" w14:textId="77777777" w:rsidTr="00AC555A">
        <w:trPr>
          <w:trHeight w:val="340"/>
        </w:trPr>
        <w:tc>
          <w:tcPr>
            <w:tcW w:w="1404" w:type="pct"/>
            <w:vAlign w:val="center"/>
          </w:tcPr>
          <w:p w14:paraId="6371064F"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32</w:t>
            </w:r>
          </w:p>
        </w:tc>
        <w:tc>
          <w:tcPr>
            <w:tcW w:w="1929" w:type="pct"/>
            <w:vAlign w:val="center"/>
          </w:tcPr>
          <w:p w14:paraId="020BE24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甲苯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CF4DF5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1200</w:t>
            </w:r>
          </w:p>
        </w:tc>
      </w:tr>
      <w:tr w:rsidR="00AC555A" w:rsidRPr="00A964FF" w14:paraId="06560397" w14:textId="77777777" w:rsidTr="00AC555A">
        <w:trPr>
          <w:trHeight w:val="340"/>
        </w:trPr>
        <w:tc>
          <w:tcPr>
            <w:tcW w:w="1404" w:type="pct"/>
            <w:vAlign w:val="center"/>
          </w:tcPr>
          <w:p w14:paraId="2EEA2570"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33</w:t>
            </w:r>
          </w:p>
        </w:tc>
        <w:tc>
          <w:tcPr>
            <w:tcW w:w="1929" w:type="pct"/>
            <w:vAlign w:val="center"/>
          </w:tcPr>
          <w:p w14:paraId="67AB0C2E"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间</w:t>
            </w:r>
            <w:r w:rsidRPr="00A964FF">
              <w:rPr>
                <w:rFonts w:ascii="Calibri" w:hAnsi="Calibri" w:hint="eastAsia"/>
                <w:color w:val="auto"/>
                <w:kern w:val="2"/>
                <w:sz w:val="21"/>
                <w:szCs w:val="21"/>
              </w:rPr>
              <w:t>+</w:t>
            </w:r>
            <w:r w:rsidRPr="00A964FF">
              <w:rPr>
                <w:rFonts w:ascii="Calibri" w:hAnsi="Times New Roman"/>
                <w:color w:val="auto"/>
                <w:kern w:val="2"/>
                <w:sz w:val="21"/>
                <w:szCs w:val="21"/>
              </w:rPr>
              <w:t>对</w:t>
            </w:r>
            <w:r w:rsidRPr="00A964FF">
              <w:rPr>
                <w:rFonts w:ascii="Calibri" w:hAnsi="Calibri"/>
                <w:color w:val="auto"/>
                <w:kern w:val="2"/>
                <w:sz w:val="21"/>
                <w:szCs w:val="21"/>
              </w:rPr>
              <w:t>-</w:t>
            </w:r>
            <w:r w:rsidRPr="00A964FF">
              <w:rPr>
                <w:rFonts w:ascii="Calibri" w:hAnsi="Times New Roman"/>
                <w:color w:val="auto"/>
                <w:kern w:val="2"/>
                <w:sz w:val="21"/>
                <w:szCs w:val="21"/>
              </w:rPr>
              <w:t>二甲苯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27FF406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570</w:t>
            </w:r>
          </w:p>
        </w:tc>
      </w:tr>
      <w:tr w:rsidR="00AC555A" w:rsidRPr="00A964FF" w14:paraId="6697114A" w14:textId="77777777" w:rsidTr="00AC555A">
        <w:trPr>
          <w:trHeight w:val="340"/>
        </w:trPr>
        <w:tc>
          <w:tcPr>
            <w:tcW w:w="1404" w:type="pct"/>
            <w:vAlign w:val="center"/>
          </w:tcPr>
          <w:p w14:paraId="2CD4615E"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34</w:t>
            </w:r>
          </w:p>
        </w:tc>
        <w:tc>
          <w:tcPr>
            <w:tcW w:w="1929" w:type="pct"/>
            <w:vAlign w:val="center"/>
          </w:tcPr>
          <w:p w14:paraId="6AA81EC0"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邻二甲苯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4EB0902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640</w:t>
            </w:r>
          </w:p>
        </w:tc>
      </w:tr>
      <w:tr w:rsidR="00AC555A" w:rsidRPr="00A964FF" w14:paraId="5CD75F9B" w14:textId="77777777" w:rsidTr="00AC555A">
        <w:trPr>
          <w:trHeight w:val="340"/>
        </w:trPr>
        <w:tc>
          <w:tcPr>
            <w:tcW w:w="1404" w:type="pct"/>
            <w:vAlign w:val="center"/>
          </w:tcPr>
          <w:p w14:paraId="4C7F3E04"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35</w:t>
            </w:r>
          </w:p>
        </w:tc>
        <w:tc>
          <w:tcPr>
            <w:tcW w:w="1929" w:type="pct"/>
            <w:vAlign w:val="center"/>
          </w:tcPr>
          <w:p w14:paraId="487AFC2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硝基苯</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127BF01"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76</w:t>
            </w:r>
          </w:p>
        </w:tc>
      </w:tr>
      <w:tr w:rsidR="00AC555A" w:rsidRPr="00A964FF" w14:paraId="376DD671" w14:textId="77777777" w:rsidTr="00AC555A">
        <w:trPr>
          <w:trHeight w:val="340"/>
        </w:trPr>
        <w:tc>
          <w:tcPr>
            <w:tcW w:w="1404" w:type="pct"/>
            <w:vAlign w:val="center"/>
          </w:tcPr>
          <w:p w14:paraId="4D7B99C5"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36</w:t>
            </w:r>
          </w:p>
        </w:tc>
        <w:tc>
          <w:tcPr>
            <w:tcW w:w="1929" w:type="pct"/>
            <w:vAlign w:val="center"/>
          </w:tcPr>
          <w:p w14:paraId="19C6F9F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苯胺</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016FC1E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260</w:t>
            </w:r>
          </w:p>
        </w:tc>
      </w:tr>
      <w:tr w:rsidR="00AC555A" w:rsidRPr="00A964FF" w14:paraId="2CF23B1B" w14:textId="77777777" w:rsidTr="00AC555A">
        <w:trPr>
          <w:trHeight w:val="340"/>
        </w:trPr>
        <w:tc>
          <w:tcPr>
            <w:tcW w:w="1404" w:type="pct"/>
            <w:vAlign w:val="center"/>
          </w:tcPr>
          <w:p w14:paraId="0BC870A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37</w:t>
            </w:r>
          </w:p>
        </w:tc>
        <w:tc>
          <w:tcPr>
            <w:tcW w:w="1929" w:type="pct"/>
            <w:vAlign w:val="center"/>
          </w:tcPr>
          <w:p w14:paraId="2395FC60"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w:t>
            </w:r>
            <w:r w:rsidRPr="00A964FF">
              <w:rPr>
                <w:rFonts w:ascii="Calibri" w:hAnsi="Times New Roman"/>
                <w:color w:val="auto"/>
                <w:kern w:val="2"/>
                <w:sz w:val="21"/>
                <w:szCs w:val="21"/>
              </w:rPr>
              <w:t>氯酚</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4BFFBC9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2256</w:t>
            </w:r>
          </w:p>
        </w:tc>
      </w:tr>
      <w:tr w:rsidR="00AC555A" w:rsidRPr="00A964FF" w14:paraId="233AD395" w14:textId="77777777" w:rsidTr="00AC555A">
        <w:trPr>
          <w:trHeight w:val="340"/>
        </w:trPr>
        <w:tc>
          <w:tcPr>
            <w:tcW w:w="1404" w:type="pct"/>
            <w:vAlign w:val="center"/>
          </w:tcPr>
          <w:p w14:paraId="63D23D45"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38</w:t>
            </w:r>
          </w:p>
        </w:tc>
        <w:tc>
          <w:tcPr>
            <w:tcW w:w="1929" w:type="pct"/>
            <w:vAlign w:val="center"/>
          </w:tcPr>
          <w:p w14:paraId="13855E5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苯并</w:t>
            </w:r>
            <w:r w:rsidRPr="00A964FF">
              <w:rPr>
                <w:rFonts w:ascii="Calibri" w:hAnsi="Calibri"/>
                <w:color w:val="auto"/>
                <w:kern w:val="2"/>
                <w:sz w:val="21"/>
                <w:szCs w:val="21"/>
              </w:rPr>
              <w:t>[a]</w:t>
            </w:r>
            <w:r w:rsidRPr="00A964FF">
              <w:rPr>
                <w:rFonts w:ascii="Calibri" w:hAnsi="Times New Roman"/>
                <w:color w:val="auto"/>
                <w:kern w:val="2"/>
                <w:sz w:val="21"/>
                <w:szCs w:val="21"/>
              </w:rPr>
              <w:t>蒽</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7E808352"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r>
      <w:tr w:rsidR="00AC555A" w:rsidRPr="00A964FF" w14:paraId="60359903" w14:textId="77777777" w:rsidTr="00AC555A">
        <w:trPr>
          <w:trHeight w:val="340"/>
        </w:trPr>
        <w:tc>
          <w:tcPr>
            <w:tcW w:w="1404" w:type="pct"/>
            <w:vAlign w:val="center"/>
          </w:tcPr>
          <w:p w14:paraId="22D3B919"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39</w:t>
            </w:r>
          </w:p>
        </w:tc>
        <w:tc>
          <w:tcPr>
            <w:tcW w:w="1929" w:type="pct"/>
            <w:vAlign w:val="center"/>
          </w:tcPr>
          <w:p w14:paraId="2F70AFE0"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苯并</w:t>
            </w:r>
            <w:r w:rsidRPr="00A964FF">
              <w:rPr>
                <w:rFonts w:ascii="Calibri" w:hAnsi="Calibri" w:hint="eastAsia"/>
                <w:color w:val="auto"/>
                <w:kern w:val="2"/>
                <w:sz w:val="21"/>
                <w:szCs w:val="21"/>
              </w:rPr>
              <w:t>[</w:t>
            </w:r>
            <w:r w:rsidRPr="00A964FF">
              <w:rPr>
                <w:rFonts w:ascii="Calibri" w:hAnsi="Calibri"/>
                <w:color w:val="auto"/>
                <w:kern w:val="2"/>
                <w:sz w:val="21"/>
                <w:szCs w:val="21"/>
              </w:rPr>
              <w:t>a</w:t>
            </w:r>
            <w:r w:rsidRPr="00A964FF">
              <w:rPr>
                <w:rFonts w:ascii="Calibri" w:hAnsi="Calibri" w:hint="eastAsia"/>
                <w:color w:val="auto"/>
                <w:kern w:val="2"/>
                <w:sz w:val="21"/>
                <w:szCs w:val="21"/>
              </w:rPr>
              <w:t>]</w:t>
            </w:r>
            <w:r w:rsidRPr="00A964FF">
              <w:rPr>
                <w:rFonts w:ascii="Calibri" w:hAnsi="Times New Roman"/>
                <w:color w:val="auto"/>
                <w:kern w:val="2"/>
                <w:sz w:val="21"/>
                <w:szCs w:val="21"/>
              </w:rPr>
              <w:t>芘</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117FC4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r>
      <w:tr w:rsidR="00AC555A" w:rsidRPr="00A964FF" w14:paraId="3541FD5C" w14:textId="77777777" w:rsidTr="00AC555A">
        <w:trPr>
          <w:trHeight w:val="340"/>
        </w:trPr>
        <w:tc>
          <w:tcPr>
            <w:tcW w:w="1404" w:type="pct"/>
            <w:vAlign w:val="center"/>
          </w:tcPr>
          <w:p w14:paraId="033BFFE7"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40</w:t>
            </w:r>
          </w:p>
        </w:tc>
        <w:tc>
          <w:tcPr>
            <w:tcW w:w="1929" w:type="pct"/>
            <w:vAlign w:val="center"/>
          </w:tcPr>
          <w:p w14:paraId="2FD5056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苯并</w:t>
            </w:r>
            <w:r w:rsidRPr="00A964FF">
              <w:rPr>
                <w:rFonts w:ascii="Calibri" w:hAnsi="Calibri" w:hint="eastAsia"/>
                <w:color w:val="auto"/>
                <w:kern w:val="2"/>
                <w:sz w:val="21"/>
                <w:szCs w:val="21"/>
              </w:rPr>
              <w:t>[</w:t>
            </w:r>
            <w:r w:rsidRPr="00A964FF">
              <w:rPr>
                <w:rFonts w:ascii="Calibri" w:hAnsi="Calibri"/>
                <w:color w:val="auto"/>
                <w:kern w:val="2"/>
                <w:sz w:val="21"/>
                <w:szCs w:val="21"/>
              </w:rPr>
              <w:t>b</w:t>
            </w:r>
            <w:r w:rsidRPr="00A964FF">
              <w:rPr>
                <w:rFonts w:ascii="Calibri" w:hAnsi="Calibri" w:hint="eastAsia"/>
                <w:color w:val="auto"/>
                <w:kern w:val="2"/>
                <w:sz w:val="21"/>
                <w:szCs w:val="21"/>
              </w:rPr>
              <w:t>]</w:t>
            </w:r>
            <w:r w:rsidRPr="00A964FF">
              <w:rPr>
                <w:rFonts w:ascii="Calibri" w:hAnsi="Times New Roman"/>
                <w:color w:val="auto"/>
                <w:kern w:val="2"/>
                <w:sz w:val="21"/>
                <w:szCs w:val="21"/>
              </w:rPr>
              <w:t>荧蒽</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1A3D1B0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r>
      <w:tr w:rsidR="00AC555A" w:rsidRPr="00A964FF" w14:paraId="68F29F73" w14:textId="77777777" w:rsidTr="00AC555A">
        <w:trPr>
          <w:trHeight w:val="340"/>
        </w:trPr>
        <w:tc>
          <w:tcPr>
            <w:tcW w:w="1404" w:type="pct"/>
            <w:vAlign w:val="center"/>
          </w:tcPr>
          <w:p w14:paraId="3FA17FE6"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41</w:t>
            </w:r>
          </w:p>
        </w:tc>
        <w:tc>
          <w:tcPr>
            <w:tcW w:w="1929" w:type="pct"/>
            <w:vAlign w:val="center"/>
          </w:tcPr>
          <w:p w14:paraId="31B46D5A"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苯并</w:t>
            </w:r>
            <w:r w:rsidRPr="00A964FF">
              <w:rPr>
                <w:rFonts w:ascii="Calibri" w:hAnsi="Calibri" w:hint="eastAsia"/>
                <w:color w:val="auto"/>
                <w:kern w:val="2"/>
                <w:sz w:val="21"/>
                <w:szCs w:val="21"/>
              </w:rPr>
              <w:t>[</w:t>
            </w:r>
            <w:r w:rsidRPr="00A964FF">
              <w:rPr>
                <w:rFonts w:ascii="Calibri" w:hAnsi="Calibri"/>
                <w:color w:val="auto"/>
                <w:kern w:val="2"/>
                <w:sz w:val="21"/>
                <w:szCs w:val="21"/>
              </w:rPr>
              <w:t>k</w:t>
            </w:r>
            <w:r w:rsidRPr="00A964FF">
              <w:rPr>
                <w:rFonts w:ascii="Calibri" w:hAnsi="Calibri" w:hint="eastAsia"/>
                <w:color w:val="auto"/>
                <w:kern w:val="2"/>
                <w:sz w:val="21"/>
                <w:szCs w:val="21"/>
              </w:rPr>
              <w:t>]</w:t>
            </w:r>
            <w:r w:rsidRPr="00A964FF">
              <w:rPr>
                <w:rFonts w:ascii="Calibri" w:hAnsi="Times New Roman"/>
                <w:color w:val="auto"/>
                <w:kern w:val="2"/>
                <w:sz w:val="21"/>
                <w:szCs w:val="21"/>
              </w:rPr>
              <w:t>荧蒽</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71D3E484"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151</w:t>
            </w:r>
          </w:p>
        </w:tc>
      </w:tr>
      <w:tr w:rsidR="00AC555A" w:rsidRPr="00A964FF" w14:paraId="6B2B37CA" w14:textId="77777777" w:rsidTr="00AC555A">
        <w:trPr>
          <w:trHeight w:val="340"/>
        </w:trPr>
        <w:tc>
          <w:tcPr>
            <w:tcW w:w="1404" w:type="pct"/>
            <w:vAlign w:val="center"/>
          </w:tcPr>
          <w:p w14:paraId="3EDBF697"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42</w:t>
            </w:r>
          </w:p>
        </w:tc>
        <w:tc>
          <w:tcPr>
            <w:tcW w:w="1929" w:type="pct"/>
            <w:vAlign w:val="center"/>
          </w:tcPr>
          <w:p w14:paraId="178FC358"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䓛</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0145BB33"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1293</w:t>
            </w:r>
          </w:p>
        </w:tc>
      </w:tr>
      <w:tr w:rsidR="00AC555A" w:rsidRPr="00A964FF" w14:paraId="03F4E29C" w14:textId="77777777" w:rsidTr="00AC555A">
        <w:trPr>
          <w:trHeight w:val="340"/>
        </w:trPr>
        <w:tc>
          <w:tcPr>
            <w:tcW w:w="1404" w:type="pct"/>
            <w:vAlign w:val="center"/>
          </w:tcPr>
          <w:p w14:paraId="74083D49"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43</w:t>
            </w:r>
          </w:p>
        </w:tc>
        <w:tc>
          <w:tcPr>
            <w:tcW w:w="1929" w:type="pct"/>
            <w:vAlign w:val="center"/>
          </w:tcPr>
          <w:p w14:paraId="7B241D77"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二苯并</w:t>
            </w:r>
            <w:r w:rsidRPr="00A964FF">
              <w:rPr>
                <w:rFonts w:ascii="Calibri" w:hAnsi="Calibri" w:hint="eastAsia"/>
                <w:color w:val="auto"/>
                <w:kern w:val="2"/>
                <w:sz w:val="21"/>
                <w:szCs w:val="21"/>
              </w:rPr>
              <w:t>[</w:t>
            </w:r>
            <w:r w:rsidRPr="00A964FF">
              <w:rPr>
                <w:rFonts w:ascii="Calibri" w:hAnsi="Calibri"/>
                <w:color w:val="auto"/>
                <w:kern w:val="2"/>
                <w:sz w:val="21"/>
                <w:szCs w:val="21"/>
              </w:rPr>
              <w:t>a,h</w:t>
            </w:r>
            <w:r w:rsidRPr="00A964FF">
              <w:rPr>
                <w:rFonts w:ascii="Calibri" w:hAnsi="Calibri" w:hint="eastAsia"/>
                <w:color w:val="auto"/>
                <w:kern w:val="2"/>
                <w:sz w:val="21"/>
                <w:szCs w:val="21"/>
              </w:rPr>
              <w:t>]</w:t>
            </w:r>
            <w:r w:rsidRPr="00A964FF">
              <w:rPr>
                <w:rFonts w:ascii="Calibri" w:hAnsi="Times New Roman"/>
                <w:color w:val="auto"/>
                <w:kern w:val="2"/>
                <w:sz w:val="21"/>
                <w:szCs w:val="21"/>
              </w:rPr>
              <w:t>蒽</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38B597D"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r>
      <w:tr w:rsidR="00AC555A" w:rsidRPr="00A964FF" w14:paraId="29717D50" w14:textId="77777777" w:rsidTr="00AC555A">
        <w:trPr>
          <w:trHeight w:val="340"/>
        </w:trPr>
        <w:tc>
          <w:tcPr>
            <w:tcW w:w="1404" w:type="pct"/>
            <w:vAlign w:val="center"/>
          </w:tcPr>
          <w:p w14:paraId="64A6381C"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44</w:t>
            </w:r>
          </w:p>
        </w:tc>
        <w:tc>
          <w:tcPr>
            <w:tcW w:w="1929" w:type="pct"/>
            <w:vAlign w:val="center"/>
          </w:tcPr>
          <w:p w14:paraId="57C38846"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茚并</w:t>
            </w:r>
            <w:r w:rsidRPr="00A964FF">
              <w:rPr>
                <w:rFonts w:ascii="Calibri" w:hAnsi="Calibri" w:hint="eastAsia"/>
                <w:color w:val="auto"/>
                <w:kern w:val="2"/>
                <w:sz w:val="21"/>
                <w:szCs w:val="21"/>
              </w:rPr>
              <w:t>[</w:t>
            </w:r>
            <w:r w:rsidRPr="00A964FF">
              <w:rPr>
                <w:rFonts w:ascii="Calibri" w:hAnsi="Calibri"/>
                <w:color w:val="auto"/>
                <w:kern w:val="2"/>
                <w:sz w:val="21"/>
                <w:szCs w:val="21"/>
              </w:rPr>
              <w:t>1,2,3-cd</w:t>
            </w:r>
            <w:r w:rsidRPr="00A964FF">
              <w:rPr>
                <w:rFonts w:ascii="Calibri" w:hAnsi="Calibri" w:hint="eastAsia"/>
                <w:color w:val="auto"/>
                <w:kern w:val="2"/>
                <w:sz w:val="21"/>
                <w:szCs w:val="21"/>
              </w:rPr>
              <w:t>]</w:t>
            </w:r>
            <w:r w:rsidRPr="00A964FF">
              <w:rPr>
                <w:rFonts w:ascii="Calibri" w:hAnsi="Times New Roman"/>
                <w:color w:val="auto"/>
                <w:kern w:val="2"/>
                <w:sz w:val="21"/>
                <w:szCs w:val="21"/>
              </w:rPr>
              <w:t>芘</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034FDA2C"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r>
      <w:tr w:rsidR="00AC555A" w:rsidRPr="00A964FF" w14:paraId="4A659ABB" w14:textId="77777777" w:rsidTr="00AC555A">
        <w:trPr>
          <w:trHeight w:val="340"/>
        </w:trPr>
        <w:tc>
          <w:tcPr>
            <w:tcW w:w="1404" w:type="pct"/>
            <w:vAlign w:val="center"/>
          </w:tcPr>
          <w:p w14:paraId="01E129CE"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45</w:t>
            </w:r>
          </w:p>
        </w:tc>
        <w:tc>
          <w:tcPr>
            <w:tcW w:w="1929" w:type="pct"/>
            <w:vAlign w:val="center"/>
          </w:tcPr>
          <w:p w14:paraId="360D6FBF"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Times New Roman"/>
                <w:color w:val="auto"/>
                <w:kern w:val="2"/>
                <w:sz w:val="21"/>
                <w:szCs w:val="21"/>
              </w:rPr>
              <w:t>萘</w:t>
            </w:r>
            <w:r w:rsidRPr="00A964FF">
              <w:rPr>
                <w:rFonts w:ascii="Calibri" w:hAnsi="Calibri"/>
                <w:color w:val="auto"/>
                <w:kern w:val="2"/>
                <w:sz w:val="21"/>
                <w:szCs w:val="21"/>
              </w:rPr>
              <w:t>（</w:t>
            </w:r>
            <w:r w:rsidRPr="00A964FF">
              <w:rPr>
                <w:rFonts w:ascii="Calibri" w:hAnsi="Calibri"/>
                <w:color w:val="auto"/>
                <w:kern w:val="2"/>
                <w:sz w:val="21"/>
                <w:szCs w:val="21"/>
              </w:rPr>
              <w:t>mg/kg</w:t>
            </w:r>
            <w:r w:rsidRPr="00A964FF">
              <w:rPr>
                <w:rFonts w:ascii="Calibri" w:hAnsi="Calibri"/>
                <w:color w:val="auto"/>
                <w:kern w:val="2"/>
                <w:sz w:val="21"/>
                <w:szCs w:val="21"/>
              </w:rPr>
              <w:t>）</w:t>
            </w:r>
          </w:p>
        </w:tc>
        <w:tc>
          <w:tcPr>
            <w:tcW w:w="1667" w:type="pct"/>
            <w:vAlign w:val="center"/>
          </w:tcPr>
          <w:p w14:paraId="3C84B6CD"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70</w:t>
            </w:r>
          </w:p>
        </w:tc>
      </w:tr>
      <w:tr w:rsidR="00AC555A" w:rsidRPr="00A964FF" w14:paraId="045725BE" w14:textId="77777777" w:rsidTr="00AC555A">
        <w:trPr>
          <w:trHeight w:val="340"/>
        </w:trPr>
        <w:tc>
          <w:tcPr>
            <w:tcW w:w="1404" w:type="pct"/>
            <w:vAlign w:val="center"/>
          </w:tcPr>
          <w:p w14:paraId="36EDE3FB"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46</w:t>
            </w:r>
          </w:p>
        </w:tc>
        <w:tc>
          <w:tcPr>
            <w:tcW w:w="1929" w:type="pct"/>
            <w:vAlign w:val="center"/>
          </w:tcPr>
          <w:p w14:paraId="5F4FEB2C" w14:textId="77777777" w:rsidR="00AC555A" w:rsidRPr="00A964FF" w:rsidRDefault="00AC555A" w:rsidP="00AC555A">
            <w:pPr>
              <w:pStyle w:val="af1"/>
              <w:widowControl w:val="0"/>
              <w:jc w:val="center"/>
              <w:rPr>
                <w:rFonts w:ascii="Calibri" w:hAnsi="Times New Roman"/>
                <w:color w:val="auto"/>
                <w:kern w:val="2"/>
                <w:sz w:val="21"/>
                <w:szCs w:val="21"/>
              </w:rPr>
            </w:pPr>
            <w:r w:rsidRPr="00A964FF">
              <w:rPr>
                <w:rFonts w:ascii="Calibri" w:hAnsi="Times New Roman" w:hint="eastAsia"/>
                <w:color w:val="auto"/>
                <w:kern w:val="2"/>
                <w:sz w:val="21"/>
                <w:szCs w:val="21"/>
              </w:rPr>
              <w:t>石油烃</w:t>
            </w:r>
          </w:p>
        </w:tc>
        <w:tc>
          <w:tcPr>
            <w:tcW w:w="1667" w:type="pct"/>
            <w:vAlign w:val="center"/>
          </w:tcPr>
          <w:p w14:paraId="17FDF2C5" w14:textId="77777777" w:rsidR="00AC555A" w:rsidRPr="00A964FF" w:rsidRDefault="00AC555A" w:rsidP="00AC555A">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4500</w:t>
            </w:r>
          </w:p>
        </w:tc>
      </w:tr>
    </w:tbl>
    <w:p w14:paraId="1E4FAA04" w14:textId="77777777" w:rsidR="00AC555A" w:rsidRDefault="00AC555A" w:rsidP="00AC555A">
      <w:pPr>
        <w:spacing w:line="520" w:lineRule="exact"/>
        <w:ind w:firstLineChars="196" w:firstLine="470"/>
        <w:rPr>
          <w:rFonts w:asciiTheme="minorHAnsi" w:eastAsia="黑体" w:hAnsiTheme="minorHAnsi"/>
          <w:bCs/>
          <w:color w:val="000000" w:themeColor="text1"/>
          <w:sz w:val="24"/>
        </w:rPr>
      </w:pPr>
      <w:r>
        <w:rPr>
          <w:rFonts w:asciiTheme="minorHAnsi" w:eastAsia="黑体" w:hAnsiTheme="minorHAnsi"/>
          <w:bCs/>
          <w:color w:val="000000" w:themeColor="text1"/>
          <w:sz w:val="24"/>
        </w:rPr>
        <w:lastRenderedPageBreak/>
        <w:t>表</w:t>
      </w:r>
      <w:r>
        <w:rPr>
          <w:rFonts w:asciiTheme="minorHAnsi" w:eastAsia="黑体" w:hAnsiTheme="minorHAnsi"/>
          <w:bCs/>
          <w:color w:val="000000" w:themeColor="text1"/>
          <w:sz w:val="24"/>
        </w:rPr>
        <w:t xml:space="preserve">3.3-22            </w:t>
      </w:r>
      <w:r>
        <w:rPr>
          <w:rFonts w:asciiTheme="minorHAnsi" w:eastAsia="黑体" w:hAnsiTheme="minorHAnsi"/>
          <w:bCs/>
          <w:color w:val="000000" w:themeColor="text1"/>
          <w:sz w:val="24"/>
        </w:rPr>
        <w:t>农用地土壤污染风险筛选值</w:t>
      </w:r>
      <w:r>
        <w:rPr>
          <w:rFonts w:asciiTheme="minorHAnsi" w:eastAsia="黑体" w:hAnsiTheme="minorHAnsi"/>
          <w:bCs/>
          <w:color w:val="000000" w:themeColor="text1"/>
          <w:sz w:val="24"/>
        </w:rPr>
        <w:t xml:space="preserve">            </w:t>
      </w:r>
      <w:r>
        <w:rPr>
          <w:rFonts w:asciiTheme="minorHAnsi" w:hAnsiTheme="minorHAnsi"/>
          <w:bCs/>
          <w:color w:val="000000" w:themeColor="text1"/>
          <w:szCs w:val="21"/>
        </w:rPr>
        <w:t>单位：</w:t>
      </w:r>
      <w:r>
        <w:rPr>
          <w:rFonts w:asciiTheme="minorHAnsi" w:hAnsiTheme="minorHAnsi"/>
          <w:bCs/>
          <w:color w:val="000000" w:themeColor="text1"/>
          <w:szCs w:val="21"/>
        </w:rPr>
        <w:t>mg/kg</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53"/>
        <w:gridCol w:w="1532"/>
        <w:gridCol w:w="1603"/>
        <w:gridCol w:w="1603"/>
        <w:gridCol w:w="1603"/>
        <w:gridCol w:w="1606"/>
      </w:tblGrid>
      <w:tr w:rsidR="00AC555A" w14:paraId="2A9EE2D2" w14:textId="77777777" w:rsidTr="00AC555A">
        <w:trPr>
          <w:trHeight w:val="340"/>
          <w:jc w:val="center"/>
        </w:trPr>
        <w:tc>
          <w:tcPr>
            <w:tcW w:w="432" w:type="pct"/>
            <w:vMerge w:val="restart"/>
            <w:tcMar>
              <w:left w:w="57" w:type="dxa"/>
              <w:right w:w="57" w:type="dxa"/>
            </w:tcMar>
            <w:vAlign w:val="center"/>
          </w:tcPr>
          <w:p w14:paraId="713A1392"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序号</w:t>
            </w:r>
          </w:p>
        </w:tc>
        <w:tc>
          <w:tcPr>
            <w:tcW w:w="880" w:type="pct"/>
            <w:vMerge w:val="restart"/>
            <w:tcMar>
              <w:left w:w="57" w:type="dxa"/>
              <w:right w:w="57" w:type="dxa"/>
            </w:tcMar>
            <w:vAlign w:val="center"/>
          </w:tcPr>
          <w:p w14:paraId="5C0DCA1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污染物</w:t>
            </w:r>
          </w:p>
        </w:tc>
        <w:tc>
          <w:tcPr>
            <w:tcW w:w="3686" w:type="pct"/>
            <w:gridSpan w:val="4"/>
            <w:tcMar>
              <w:left w:w="57" w:type="dxa"/>
              <w:right w:w="57" w:type="dxa"/>
            </w:tcMar>
            <w:vAlign w:val="center"/>
          </w:tcPr>
          <w:p w14:paraId="180FA0F7"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《土壤环境质量农用地土壤污染风险管控标准（试行）》（</w:t>
            </w:r>
            <w:r>
              <w:rPr>
                <w:rFonts w:asciiTheme="minorHAnsi" w:hAnsiTheme="minorHAnsi"/>
                <w:bCs/>
                <w:color w:val="000000" w:themeColor="text1"/>
              </w:rPr>
              <w:t>mg/kg</w:t>
            </w:r>
            <w:r>
              <w:rPr>
                <w:rFonts w:asciiTheme="minorHAnsi" w:hAnsiTheme="minorHAnsi"/>
                <w:bCs/>
                <w:color w:val="000000" w:themeColor="text1"/>
              </w:rPr>
              <w:t>）</w:t>
            </w:r>
          </w:p>
        </w:tc>
      </w:tr>
      <w:tr w:rsidR="00AC555A" w14:paraId="511ABA3C" w14:textId="77777777" w:rsidTr="00AC555A">
        <w:trPr>
          <w:trHeight w:val="340"/>
          <w:jc w:val="center"/>
        </w:trPr>
        <w:tc>
          <w:tcPr>
            <w:tcW w:w="432" w:type="pct"/>
            <w:vMerge/>
            <w:tcMar>
              <w:left w:w="57" w:type="dxa"/>
              <w:right w:w="57" w:type="dxa"/>
            </w:tcMar>
            <w:vAlign w:val="center"/>
          </w:tcPr>
          <w:p w14:paraId="2C7069E2" w14:textId="77777777" w:rsidR="00AC555A" w:rsidRDefault="00AC555A" w:rsidP="00AC555A">
            <w:pPr>
              <w:jc w:val="center"/>
              <w:rPr>
                <w:rFonts w:asciiTheme="minorHAnsi" w:hAnsiTheme="minorHAnsi"/>
                <w:bCs/>
                <w:color w:val="000000" w:themeColor="text1"/>
              </w:rPr>
            </w:pPr>
          </w:p>
        </w:tc>
        <w:tc>
          <w:tcPr>
            <w:tcW w:w="880" w:type="pct"/>
            <w:vMerge/>
            <w:tcMar>
              <w:left w:w="57" w:type="dxa"/>
              <w:right w:w="57" w:type="dxa"/>
            </w:tcMar>
            <w:vAlign w:val="center"/>
          </w:tcPr>
          <w:p w14:paraId="6F9AC38A" w14:textId="77777777" w:rsidR="00AC555A" w:rsidRDefault="00AC555A" w:rsidP="00AC555A">
            <w:pPr>
              <w:jc w:val="center"/>
              <w:rPr>
                <w:rFonts w:asciiTheme="minorHAnsi" w:hAnsiTheme="minorHAnsi"/>
                <w:bCs/>
                <w:color w:val="000000" w:themeColor="text1"/>
              </w:rPr>
            </w:pPr>
          </w:p>
        </w:tc>
        <w:tc>
          <w:tcPr>
            <w:tcW w:w="3686" w:type="pct"/>
            <w:gridSpan w:val="4"/>
            <w:tcMar>
              <w:left w:w="57" w:type="dxa"/>
              <w:right w:w="57" w:type="dxa"/>
            </w:tcMar>
            <w:vAlign w:val="center"/>
          </w:tcPr>
          <w:p w14:paraId="1F4C6711"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风险筛选值</w:t>
            </w:r>
          </w:p>
        </w:tc>
      </w:tr>
      <w:tr w:rsidR="00AC555A" w14:paraId="4B06361C" w14:textId="77777777" w:rsidTr="00AC555A">
        <w:trPr>
          <w:trHeight w:val="340"/>
          <w:jc w:val="center"/>
        </w:trPr>
        <w:tc>
          <w:tcPr>
            <w:tcW w:w="432" w:type="pct"/>
            <w:vMerge/>
            <w:tcMar>
              <w:left w:w="57" w:type="dxa"/>
              <w:right w:w="57" w:type="dxa"/>
            </w:tcMar>
            <w:vAlign w:val="center"/>
          </w:tcPr>
          <w:p w14:paraId="09677F72" w14:textId="77777777" w:rsidR="00AC555A" w:rsidRDefault="00AC555A" w:rsidP="00AC555A">
            <w:pPr>
              <w:jc w:val="center"/>
              <w:rPr>
                <w:rFonts w:asciiTheme="minorHAnsi" w:hAnsiTheme="minorHAnsi"/>
                <w:bCs/>
                <w:color w:val="000000" w:themeColor="text1"/>
              </w:rPr>
            </w:pPr>
          </w:p>
        </w:tc>
        <w:tc>
          <w:tcPr>
            <w:tcW w:w="880" w:type="pct"/>
            <w:vMerge/>
            <w:tcMar>
              <w:left w:w="57" w:type="dxa"/>
              <w:right w:w="57" w:type="dxa"/>
            </w:tcMar>
            <w:vAlign w:val="center"/>
          </w:tcPr>
          <w:p w14:paraId="6290DE40" w14:textId="77777777" w:rsidR="00AC555A" w:rsidRDefault="00AC555A" w:rsidP="00AC555A">
            <w:pPr>
              <w:jc w:val="center"/>
              <w:rPr>
                <w:rFonts w:asciiTheme="minorHAnsi" w:hAnsiTheme="minorHAnsi"/>
                <w:bCs/>
                <w:color w:val="000000" w:themeColor="text1"/>
              </w:rPr>
            </w:pPr>
          </w:p>
        </w:tc>
        <w:tc>
          <w:tcPr>
            <w:tcW w:w="921" w:type="pct"/>
            <w:tcBorders>
              <w:right w:val="single" w:sz="4" w:space="0" w:color="auto"/>
            </w:tcBorders>
            <w:tcMar>
              <w:left w:w="57" w:type="dxa"/>
              <w:right w:w="57" w:type="dxa"/>
            </w:tcMar>
            <w:vAlign w:val="center"/>
          </w:tcPr>
          <w:p w14:paraId="6AAB3309"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pH≤5.5</w:t>
            </w:r>
          </w:p>
        </w:tc>
        <w:tc>
          <w:tcPr>
            <w:tcW w:w="921" w:type="pct"/>
            <w:tcBorders>
              <w:left w:val="single" w:sz="4" w:space="0" w:color="auto"/>
            </w:tcBorders>
            <w:vAlign w:val="center"/>
          </w:tcPr>
          <w:p w14:paraId="44D1CECA"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5.5</w:t>
            </w:r>
            <w:r>
              <w:rPr>
                <w:rFonts w:asciiTheme="minorHAnsi" w:hAnsiTheme="minorHAnsi"/>
                <w:bCs/>
                <w:color w:val="000000" w:themeColor="text1"/>
              </w:rPr>
              <w:t>＜</w:t>
            </w:r>
            <w:r>
              <w:rPr>
                <w:rFonts w:asciiTheme="minorHAnsi" w:hAnsiTheme="minorHAnsi"/>
                <w:bCs/>
                <w:color w:val="000000" w:themeColor="text1"/>
              </w:rPr>
              <w:t>pH≤6.5</w:t>
            </w:r>
          </w:p>
        </w:tc>
        <w:tc>
          <w:tcPr>
            <w:tcW w:w="921" w:type="pct"/>
            <w:tcBorders>
              <w:left w:val="single" w:sz="4" w:space="0" w:color="auto"/>
            </w:tcBorders>
            <w:vAlign w:val="center"/>
          </w:tcPr>
          <w:p w14:paraId="3FF6F226"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6.5</w:t>
            </w:r>
            <w:r>
              <w:rPr>
                <w:rFonts w:asciiTheme="minorHAnsi" w:hAnsiTheme="minorHAnsi"/>
                <w:bCs/>
                <w:color w:val="000000" w:themeColor="text1"/>
              </w:rPr>
              <w:t>＜</w:t>
            </w:r>
            <w:r>
              <w:rPr>
                <w:rFonts w:asciiTheme="minorHAnsi" w:hAnsiTheme="minorHAnsi"/>
                <w:bCs/>
                <w:color w:val="000000" w:themeColor="text1"/>
              </w:rPr>
              <w:t>pH≤7.5</w:t>
            </w:r>
          </w:p>
        </w:tc>
        <w:tc>
          <w:tcPr>
            <w:tcW w:w="920" w:type="pct"/>
            <w:tcBorders>
              <w:left w:val="single" w:sz="4" w:space="0" w:color="auto"/>
            </w:tcBorders>
            <w:vAlign w:val="center"/>
          </w:tcPr>
          <w:p w14:paraId="7FB482A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pH</w:t>
            </w:r>
            <w:r>
              <w:rPr>
                <w:rFonts w:asciiTheme="minorHAnsi" w:hAnsiTheme="minorHAnsi"/>
                <w:bCs/>
                <w:color w:val="000000" w:themeColor="text1"/>
              </w:rPr>
              <w:t>＞</w:t>
            </w:r>
            <w:r>
              <w:rPr>
                <w:rFonts w:asciiTheme="minorHAnsi" w:hAnsiTheme="minorHAnsi"/>
                <w:bCs/>
                <w:color w:val="000000" w:themeColor="text1"/>
              </w:rPr>
              <w:t>7.5</w:t>
            </w:r>
          </w:p>
        </w:tc>
      </w:tr>
      <w:tr w:rsidR="00AC555A" w14:paraId="724D2A03" w14:textId="77777777" w:rsidTr="00AC555A">
        <w:trPr>
          <w:trHeight w:val="340"/>
          <w:jc w:val="center"/>
        </w:trPr>
        <w:tc>
          <w:tcPr>
            <w:tcW w:w="432" w:type="pct"/>
            <w:tcMar>
              <w:left w:w="57" w:type="dxa"/>
              <w:right w:w="57" w:type="dxa"/>
            </w:tcMar>
            <w:vAlign w:val="center"/>
          </w:tcPr>
          <w:p w14:paraId="4856B566"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w:t>
            </w:r>
          </w:p>
        </w:tc>
        <w:tc>
          <w:tcPr>
            <w:tcW w:w="880" w:type="pct"/>
            <w:tcMar>
              <w:left w:w="57" w:type="dxa"/>
              <w:right w:w="57" w:type="dxa"/>
            </w:tcMar>
            <w:vAlign w:val="center"/>
          </w:tcPr>
          <w:p w14:paraId="4179F31B"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汞（其他）</w:t>
            </w:r>
          </w:p>
        </w:tc>
        <w:tc>
          <w:tcPr>
            <w:tcW w:w="921" w:type="pct"/>
            <w:tcBorders>
              <w:right w:val="single" w:sz="4" w:space="0" w:color="auto"/>
            </w:tcBorders>
            <w:tcMar>
              <w:left w:w="57" w:type="dxa"/>
              <w:right w:w="57" w:type="dxa"/>
            </w:tcMar>
            <w:vAlign w:val="center"/>
          </w:tcPr>
          <w:p w14:paraId="7E701F9B"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1.3</w:t>
            </w:r>
          </w:p>
        </w:tc>
        <w:tc>
          <w:tcPr>
            <w:tcW w:w="921" w:type="pct"/>
            <w:tcBorders>
              <w:left w:val="single" w:sz="4" w:space="0" w:color="auto"/>
            </w:tcBorders>
            <w:vAlign w:val="center"/>
          </w:tcPr>
          <w:p w14:paraId="2E79847B"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1.8</w:t>
            </w:r>
          </w:p>
        </w:tc>
        <w:tc>
          <w:tcPr>
            <w:tcW w:w="921" w:type="pct"/>
            <w:tcBorders>
              <w:left w:val="single" w:sz="4" w:space="0" w:color="auto"/>
            </w:tcBorders>
            <w:vAlign w:val="center"/>
          </w:tcPr>
          <w:p w14:paraId="06DC303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2.4</w:t>
            </w:r>
          </w:p>
        </w:tc>
        <w:tc>
          <w:tcPr>
            <w:tcW w:w="920" w:type="pct"/>
            <w:tcBorders>
              <w:left w:val="single" w:sz="4" w:space="0" w:color="auto"/>
            </w:tcBorders>
            <w:vAlign w:val="center"/>
          </w:tcPr>
          <w:p w14:paraId="48334790"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3.4</w:t>
            </w:r>
          </w:p>
        </w:tc>
      </w:tr>
      <w:tr w:rsidR="00AC555A" w14:paraId="2DA3148C" w14:textId="77777777" w:rsidTr="00AC555A">
        <w:trPr>
          <w:trHeight w:val="340"/>
          <w:jc w:val="center"/>
        </w:trPr>
        <w:tc>
          <w:tcPr>
            <w:tcW w:w="432" w:type="pct"/>
            <w:tcMar>
              <w:left w:w="57" w:type="dxa"/>
              <w:right w:w="57" w:type="dxa"/>
            </w:tcMar>
            <w:vAlign w:val="center"/>
          </w:tcPr>
          <w:p w14:paraId="1551B8F7"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2</w:t>
            </w:r>
          </w:p>
        </w:tc>
        <w:tc>
          <w:tcPr>
            <w:tcW w:w="880" w:type="pct"/>
            <w:tcMar>
              <w:left w:w="57" w:type="dxa"/>
              <w:right w:w="57" w:type="dxa"/>
            </w:tcMar>
            <w:vAlign w:val="center"/>
          </w:tcPr>
          <w:p w14:paraId="7B31A994"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镉（其他）</w:t>
            </w:r>
          </w:p>
        </w:tc>
        <w:tc>
          <w:tcPr>
            <w:tcW w:w="921" w:type="pct"/>
            <w:tcBorders>
              <w:right w:val="single" w:sz="4" w:space="0" w:color="auto"/>
            </w:tcBorders>
            <w:tcMar>
              <w:left w:w="57" w:type="dxa"/>
              <w:right w:w="57" w:type="dxa"/>
            </w:tcMar>
            <w:vAlign w:val="center"/>
          </w:tcPr>
          <w:p w14:paraId="3B438867"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0.3</w:t>
            </w:r>
          </w:p>
        </w:tc>
        <w:tc>
          <w:tcPr>
            <w:tcW w:w="921" w:type="pct"/>
            <w:tcBorders>
              <w:left w:val="single" w:sz="4" w:space="0" w:color="auto"/>
            </w:tcBorders>
            <w:vAlign w:val="center"/>
          </w:tcPr>
          <w:p w14:paraId="28D4B827"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0.3</w:t>
            </w:r>
          </w:p>
        </w:tc>
        <w:tc>
          <w:tcPr>
            <w:tcW w:w="921" w:type="pct"/>
            <w:tcBorders>
              <w:left w:val="single" w:sz="4" w:space="0" w:color="auto"/>
            </w:tcBorders>
            <w:vAlign w:val="center"/>
          </w:tcPr>
          <w:p w14:paraId="03A976C1"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0.3</w:t>
            </w:r>
          </w:p>
        </w:tc>
        <w:tc>
          <w:tcPr>
            <w:tcW w:w="920" w:type="pct"/>
            <w:tcBorders>
              <w:left w:val="single" w:sz="4" w:space="0" w:color="auto"/>
            </w:tcBorders>
            <w:vAlign w:val="center"/>
          </w:tcPr>
          <w:p w14:paraId="173D81A3"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0.6</w:t>
            </w:r>
          </w:p>
        </w:tc>
      </w:tr>
      <w:tr w:rsidR="00AC555A" w14:paraId="03C5B88E" w14:textId="77777777" w:rsidTr="00AC555A">
        <w:trPr>
          <w:trHeight w:val="340"/>
          <w:jc w:val="center"/>
        </w:trPr>
        <w:tc>
          <w:tcPr>
            <w:tcW w:w="432" w:type="pct"/>
            <w:tcMar>
              <w:left w:w="57" w:type="dxa"/>
              <w:right w:w="57" w:type="dxa"/>
            </w:tcMar>
            <w:vAlign w:val="center"/>
          </w:tcPr>
          <w:p w14:paraId="6457F987"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3</w:t>
            </w:r>
          </w:p>
        </w:tc>
        <w:tc>
          <w:tcPr>
            <w:tcW w:w="880" w:type="pct"/>
            <w:tcMar>
              <w:left w:w="57" w:type="dxa"/>
              <w:right w:w="57" w:type="dxa"/>
            </w:tcMar>
            <w:vAlign w:val="center"/>
          </w:tcPr>
          <w:p w14:paraId="1E0C9280"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铬（其他）</w:t>
            </w:r>
          </w:p>
        </w:tc>
        <w:tc>
          <w:tcPr>
            <w:tcW w:w="921" w:type="pct"/>
            <w:tcBorders>
              <w:right w:val="single" w:sz="4" w:space="0" w:color="auto"/>
            </w:tcBorders>
            <w:tcMar>
              <w:left w:w="57" w:type="dxa"/>
              <w:right w:w="57" w:type="dxa"/>
            </w:tcMar>
            <w:vAlign w:val="center"/>
          </w:tcPr>
          <w:p w14:paraId="635D05E6"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70</w:t>
            </w:r>
          </w:p>
        </w:tc>
        <w:tc>
          <w:tcPr>
            <w:tcW w:w="921" w:type="pct"/>
            <w:tcBorders>
              <w:left w:val="single" w:sz="4" w:space="0" w:color="auto"/>
            </w:tcBorders>
            <w:vAlign w:val="center"/>
          </w:tcPr>
          <w:p w14:paraId="02B83AC0"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90</w:t>
            </w:r>
          </w:p>
        </w:tc>
        <w:tc>
          <w:tcPr>
            <w:tcW w:w="921" w:type="pct"/>
            <w:tcBorders>
              <w:left w:val="single" w:sz="4" w:space="0" w:color="auto"/>
            </w:tcBorders>
            <w:vAlign w:val="center"/>
          </w:tcPr>
          <w:p w14:paraId="70B28454"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120</w:t>
            </w:r>
          </w:p>
        </w:tc>
        <w:tc>
          <w:tcPr>
            <w:tcW w:w="920" w:type="pct"/>
            <w:tcBorders>
              <w:left w:val="single" w:sz="4" w:space="0" w:color="auto"/>
            </w:tcBorders>
            <w:vAlign w:val="center"/>
          </w:tcPr>
          <w:p w14:paraId="0B8B8DA5"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170</w:t>
            </w:r>
          </w:p>
        </w:tc>
      </w:tr>
      <w:tr w:rsidR="00AC555A" w14:paraId="74D35092" w14:textId="77777777" w:rsidTr="00AC555A">
        <w:trPr>
          <w:trHeight w:val="340"/>
          <w:jc w:val="center"/>
        </w:trPr>
        <w:tc>
          <w:tcPr>
            <w:tcW w:w="432" w:type="pct"/>
            <w:tcMar>
              <w:left w:w="57" w:type="dxa"/>
              <w:right w:w="57" w:type="dxa"/>
            </w:tcMar>
            <w:vAlign w:val="center"/>
          </w:tcPr>
          <w:p w14:paraId="5345C93F"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4</w:t>
            </w:r>
          </w:p>
        </w:tc>
        <w:tc>
          <w:tcPr>
            <w:tcW w:w="880" w:type="pct"/>
            <w:tcMar>
              <w:left w:w="57" w:type="dxa"/>
              <w:right w:w="57" w:type="dxa"/>
            </w:tcMar>
            <w:vAlign w:val="center"/>
          </w:tcPr>
          <w:p w14:paraId="37464F6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砷（其他）</w:t>
            </w:r>
          </w:p>
        </w:tc>
        <w:tc>
          <w:tcPr>
            <w:tcW w:w="921" w:type="pct"/>
            <w:tcBorders>
              <w:right w:val="single" w:sz="4" w:space="0" w:color="auto"/>
            </w:tcBorders>
            <w:tcMar>
              <w:left w:w="57" w:type="dxa"/>
              <w:right w:w="57" w:type="dxa"/>
            </w:tcMar>
            <w:vAlign w:val="center"/>
          </w:tcPr>
          <w:p w14:paraId="1F61E4C3"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40</w:t>
            </w:r>
          </w:p>
        </w:tc>
        <w:tc>
          <w:tcPr>
            <w:tcW w:w="921" w:type="pct"/>
            <w:tcBorders>
              <w:left w:val="single" w:sz="4" w:space="0" w:color="auto"/>
            </w:tcBorders>
            <w:vAlign w:val="center"/>
          </w:tcPr>
          <w:p w14:paraId="0991D05B"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40</w:t>
            </w:r>
          </w:p>
        </w:tc>
        <w:tc>
          <w:tcPr>
            <w:tcW w:w="921" w:type="pct"/>
            <w:tcBorders>
              <w:left w:val="single" w:sz="4" w:space="0" w:color="auto"/>
            </w:tcBorders>
            <w:vAlign w:val="center"/>
          </w:tcPr>
          <w:p w14:paraId="39F2D96C"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30</w:t>
            </w:r>
          </w:p>
        </w:tc>
        <w:tc>
          <w:tcPr>
            <w:tcW w:w="920" w:type="pct"/>
            <w:tcBorders>
              <w:left w:val="single" w:sz="4" w:space="0" w:color="auto"/>
            </w:tcBorders>
            <w:vAlign w:val="center"/>
          </w:tcPr>
          <w:p w14:paraId="348BDE13"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25</w:t>
            </w:r>
          </w:p>
        </w:tc>
      </w:tr>
      <w:tr w:rsidR="00AC555A" w14:paraId="47687919" w14:textId="77777777" w:rsidTr="00AC555A">
        <w:trPr>
          <w:trHeight w:val="340"/>
          <w:jc w:val="center"/>
        </w:trPr>
        <w:tc>
          <w:tcPr>
            <w:tcW w:w="432" w:type="pct"/>
            <w:tcMar>
              <w:left w:w="57" w:type="dxa"/>
              <w:right w:w="57" w:type="dxa"/>
            </w:tcMar>
            <w:vAlign w:val="center"/>
          </w:tcPr>
          <w:p w14:paraId="69C6F0CA"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5</w:t>
            </w:r>
          </w:p>
        </w:tc>
        <w:tc>
          <w:tcPr>
            <w:tcW w:w="880" w:type="pct"/>
            <w:tcMar>
              <w:left w:w="57" w:type="dxa"/>
              <w:right w:w="57" w:type="dxa"/>
            </w:tcMar>
            <w:vAlign w:val="center"/>
          </w:tcPr>
          <w:p w14:paraId="10106A0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铅（其他）</w:t>
            </w:r>
          </w:p>
        </w:tc>
        <w:tc>
          <w:tcPr>
            <w:tcW w:w="921" w:type="pct"/>
            <w:tcBorders>
              <w:right w:val="single" w:sz="4" w:space="0" w:color="auto"/>
            </w:tcBorders>
            <w:tcMar>
              <w:left w:w="57" w:type="dxa"/>
              <w:right w:w="57" w:type="dxa"/>
            </w:tcMar>
            <w:vAlign w:val="center"/>
          </w:tcPr>
          <w:p w14:paraId="60C12114"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70</w:t>
            </w:r>
          </w:p>
        </w:tc>
        <w:tc>
          <w:tcPr>
            <w:tcW w:w="921" w:type="pct"/>
            <w:tcBorders>
              <w:left w:val="single" w:sz="4" w:space="0" w:color="auto"/>
            </w:tcBorders>
            <w:vAlign w:val="center"/>
          </w:tcPr>
          <w:p w14:paraId="6C1EEA7C"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90</w:t>
            </w:r>
          </w:p>
        </w:tc>
        <w:tc>
          <w:tcPr>
            <w:tcW w:w="921" w:type="pct"/>
            <w:tcBorders>
              <w:left w:val="single" w:sz="4" w:space="0" w:color="auto"/>
            </w:tcBorders>
            <w:vAlign w:val="center"/>
          </w:tcPr>
          <w:p w14:paraId="7916784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120</w:t>
            </w:r>
          </w:p>
        </w:tc>
        <w:tc>
          <w:tcPr>
            <w:tcW w:w="920" w:type="pct"/>
            <w:tcBorders>
              <w:left w:val="single" w:sz="4" w:space="0" w:color="auto"/>
            </w:tcBorders>
            <w:vAlign w:val="center"/>
          </w:tcPr>
          <w:p w14:paraId="6E12197B"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170</w:t>
            </w:r>
          </w:p>
        </w:tc>
      </w:tr>
      <w:tr w:rsidR="00AC555A" w14:paraId="04FC6721" w14:textId="77777777" w:rsidTr="00AC555A">
        <w:trPr>
          <w:trHeight w:val="340"/>
          <w:jc w:val="center"/>
        </w:trPr>
        <w:tc>
          <w:tcPr>
            <w:tcW w:w="432" w:type="pct"/>
            <w:tcMar>
              <w:left w:w="57" w:type="dxa"/>
              <w:right w:w="57" w:type="dxa"/>
            </w:tcMar>
            <w:vAlign w:val="center"/>
          </w:tcPr>
          <w:p w14:paraId="0DFA7FD7"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6</w:t>
            </w:r>
          </w:p>
        </w:tc>
        <w:tc>
          <w:tcPr>
            <w:tcW w:w="880" w:type="pct"/>
            <w:tcMar>
              <w:left w:w="57" w:type="dxa"/>
              <w:right w:w="57" w:type="dxa"/>
            </w:tcMar>
            <w:vAlign w:val="center"/>
          </w:tcPr>
          <w:p w14:paraId="5E0700B8"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铜（其他）</w:t>
            </w:r>
          </w:p>
        </w:tc>
        <w:tc>
          <w:tcPr>
            <w:tcW w:w="921" w:type="pct"/>
            <w:tcBorders>
              <w:right w:val="single" w:sz="4" w:space="0" w:color="auto"/>
            </w:tcBorders>
            <w:tcMar>
              <w:left w:w="57" w:type="dxa"/>
              <w:right w:w="57" w:type="dxa"/>
            </w:tcMar>
            <w:vAlign w:val="center"/>
          </w:tcPr>
          <w:p w14:paraId="4DB373BA"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50</w:t>
            </w:r>
          </w:p>
        </w:tc>
        <w:tc>
          <w:tcPr>
            <w:tcW w:w="921" w:type="pct"/>
            <w:tcBorders>
              <w:left w:val="single" w:sz="4" w:space="0" w:color="auto"/>
            </w:tcBorders>
            <w:vAlign w:val="center"/>
          </w:tcPr>
          <w:p w14:paraId="786B7B16"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50</w:t>
            </w:r>
          </w:p>
        </w:tc>
        <w:tc>
          <w:tcPr>
            <w:tcW w:w="921" w:type="pct"/>
            <w:tcBorders>
              <w:left w:val="single" w:sz="4" w:space="0" w:color="auto"/>
            </w:tcBorders>
            <w:vAlign w:val="center"/>
          </w:tcPr>
          <w:p w14:paraId="4E5DF6FF"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100</w:t>
            </w:r>
          </w:p>
        </w:tc>
        <w:tc>
          <w:tcPr>
            <w:tcW w:w="920" w:type="pct"/>
            <w:tcBorders>
              <w:left w:val="single" w:sz="4" w:space="0" w:color="auto"/>
            </w:tcBorders>
            <w:vAlign w:val="center"/>
          </w:tcPr>
          <w:p w14:paraId="05D98628"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100</w:t>
            </w:r>
          </w:p>
        </w:tc>
      </w:tr>
      <w:tr w:rsidR="00AC555A" w14:paraId="5215D744" w14:textId="77777777" w:rsidTr="00AC555A">
        <w:trPr>
          <w:trHeight w:val="340"/>
          <w:jc w:val="center"/>
        </w:trPr>
        <w:tc>
          <w:tcPr>
            <w:tcW w:w="432" w:type="pct"/>
            <w:tcMar>
              <w:left w:w="57" w:type="dxa"/>
              <w:right w:w="57" w:type="dxa"/>
            </w:tcMar>
            <w:vAlign w:val="center"/>
          </w:tcPr>
          <w:p w14:paraId="620D121C"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7</w:t>
            </w:r>
          </w:p>
        </w:tc>
        <w:tc>
          <w:tcPr>
            <w:tcW w:w="880" w:type="pct"/>
            <w:tcMar>
              <w:left w:w="57" w:type="dxa"/>
              <w:right w:w="57" w:type="dxa"/>
            </w:tcMar>
            <w:vAlign w:val="center"/>
          </w:tcPr>
          <w:p w14:paraId="2A7CB40F"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锌</w:t>
            </w:r>
          </w:p>
        </w:tc>
        <w:tc>
          <w:tcPr>
            <w:tcW w:w="921" w:type="pct"/>
            <w:tcBorders>
              <w:right w:val="single" w:sz="4" w:space="0" w:color="auto"/>
            </w:tcBorders>
            <w:tcMar>
              <w:left w:w="57" w:type="dxa"/>
              <w:right w:w="57" w:type="dxa"/>
            </w:tcMar>
            <w:vAlign w:val="center"/>
          </w:tcPr>
          <w:p w14:paraId="0D146EE8"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200</w:t>
            </w:r>
          </w:p>
        </w:tc>
        <w:tc>
          <w:tcPr>
            <w:tcW w:w="921" w:type="pct"/>
            <w:tcBorders>
              <w:left w:val="single" w:sz="4" w:space="0" w:color="auto"/>
            </w:tcBorders>
            <w:vAlign w:val="center"/>
          </w:tcPr>
          <w:p w14:paraId="63EF6A62"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200</w:t>
            </w:r>
          </w:p>
        </w:tc>
        <w:tc>
          <w:tcPr>
            <w:tcW w:w="921" w:type="pct"/>
            <w:tcBorders>
              <w:left w:val="single" w:sz="4" w:space="0" w:color="auto"/>
            </w:tcBorders>
            <w:vAlign w:val="center"/>
          </w:tcPr>
          <w:p w14:paraId="72D122F7"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250</w:t>
            </w:r>
          </w:p>
        </w:tc>
        <w:tc>
          <w:tcPr>
            <w:tcW w:w="920" w:type="pct"/>
            <w:tcBorders>
              <w:left w:val="single" w:sz="4" w:space="0" w:color="auto"/>
            </w:tcBorders>
            <w:vAlign w:val="center"/>
          </w:tcPr>
          <w:p w14:paraId="5C37571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300</w:t>
            </w:r>
          </w:p>
        </w:tc>
      </w:tr>
      <w:tr w:rsidR="00AC555A" w14:paraId="02763A06" w14:textId="77777777" w:rsidTr="00AC555A">
        <w:trPr>
          <w:trHeight w:val="340"/>
          <w:jc w:val="center"/>
        </w:trPr>
        <w:tc>
          <w:tcPr>
            <w:tcW w:w="432" w:type="pct"/>
            <w:tcMar>
              <w:left w:w="57" w:type="dxa"/>
              <w:right w:w="57" w:type="dxa"/>
            </w:tcMar>
            <w:vAlign w:val="center"/>
          </w:tcPr>
          <w:p w14:paraId="2AF01C7A"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8</w:t>
            </w:r>
          </w:p>
        </w:tc>
        <w:tc>
          <w:tcPr>
            <w:tcW w:w="880" w:type="pct"/>
            <w:tcMar>
              <w:left w:w="57" w:type="dxa"/>
              <w:right w:w="57" w:type="dxa"/>
            </w:tcMar>
            <w:vAlign w:val="center"/>
          </w:tcPr>
          <w:p w14:paraId="588146D1"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镍</w:t>
            </w:r>
          </w:p>
        </w:tc>
        <w:tc>
          <w:tcPr>
            <w:tcW w:w="921" w:type="pct"/>
            <w:tcBorders>
              <w:right w:val="single" w:sz="4" w:space="0" w:color="auto"/>
            </w:tcBorders>
            <w:tcMar>
              <w:left w:w="57" w:type="dxa"/>
              <w:right w:w="57" w:type="dxa"/>
            </w:tcMar>
            <w:vAlign w:val="center"/>
          </w:tcPr>
          <w:p w14:paraId="7286993D"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60</w:t>
            </w:r>
          </w:p>
        </w:tc>
        <w:tc>
          <w:tcPr>
            <w:tcW w:w="921" w:type="pct"/>
            <w:tcBorders>
              <w:left w:val="single" w:sz="4" w:space="0" w:color="auto"/>
            </w:tcBorders>
            <w:vAlign w:val="center"/>
          </w:tcPr>
          <w:p w14:paraId="30B1A6C8"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70</w:t>
            </w:r>
          </w:p>
        </w:tc>
        <w:tc>
          <w:tcPr>
            <w:tcW w:w="921" w:type="pct"/>
            <w:tcBorders>
              <w:left w:val="single" w:sz="4" w:space="0" w:color="auto"/>
            </w:tcBorders>
            <w:vAlign w:val="center"/>
          </w:tcPr>
          <w:p w14:paraId="2A58169B"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100</w:t>
            </w:r>
          </w:p>
        </w:tc>
        <w:tc>
          <w:tcPr>
            <w:tcW w:w="920" w:type="pct"/>
            <w:tcBorders>
              <w:left w:val="single" w:sz="4" w:space="0" w:color="auto"/>
            </w:tcBorders>
            <w:vAlign w:val="center"/>
          </w:tcPr>
          <w:p w14:paraId="10680AE2" w14:textId="77777777" w:rsidR="00AC555A" w:rsidRDefault="00AC555A" w:rsidP="00AC555A">
            <w:pPr>
              <w:jc w:val="center"/>
              <w:rPr>
                <w:rFonts w:asciiTheme="minorHAnsi" w:hAnsiTheme="minorHAnsi"/>
                <w:bCs/>
                <w:color w:val="000000" w:themeColor="text1"/>
              </w:rPr>
            </w:pPr>
            <w:r>
              <w:rPr>
                <w:rFonts w:asciiTheme="minorHAnsi" w:hAnsiTheme="minorHAnsi"/>
                <w:bCs/>
                <w:color w:val="000000" w:themeColor="text1"/>
              </w:rPr>
              <w:t>190</w:t>
            </w:r>
          </w:p>
        </w:tc>
      </w:tr>
    </w:tbl>
    <w:p w14:paraId="0C9CBB52" w14:textId="77777777" w:rsidR="004A3168" w:rsidRPr="00A964FF" w:rsidRDefault="004A3168" w:rsidP="00205F4B">
      <w:pPr>
        <w:pStyle w:val="aa"/>
        <w:spacing w:line="540" w:lineRule="exact"/>
        <w:ind w:firstLineChars="200" w:firstLine="482"/>
        <w:rPr>
          <w:rFonts w:ascii="Calibri" w:hAnsi="Calibri"/>
          <w:b/>
          <w:color w:val="auto"/>
          <w:sz w:val="24"/>
        </w:rPr>
      </w:pPr>
      <w:r w:rsidRPr="00A964FF">
        <w:rPr>
          <w:rFonts w:ascii="Calibri" w:hAnsi="Calibri" w:hint="eastAsia"/>
          <w:b/>
          <w:color w:val="auto"/>
          <w:sz w:val="24"/>
        </w:rPr>
        <w:t>3</w:t>
      </w:r>
      <w:r w:rsidRPr="00A964FF">
        <w:rPr>
          <w:rFonts w:ascii="Calibri" w:hAnsi="Calibri" w:hint="eastAsia"/>
          <w:b/>
          <w:color w:val="auto"/>
          <w:sz w:val="24"/>
        </w:rPr>
        <w:t>、检测方法</w:t>
      </w:r>
    </w:p>
    <w:p w14:paraId="73CAE2AC" w14:textId="77777777" w:rsidR="00222DFB" w:rsidRPr="006B496C" w:rsidRDefault="002D481B" w:rsidP="00222DFB">
      <w:pPr>
        <w:spacing w:line="520" w:lineRule="exact"/>
        <w:ind w:firstLineChars="200" w:firstLine="480"/>
        <w:jc w:val="left"/>
        <w:rPr>
          <w:rFonts w:ascii="Calibri"/>
          <w:color w:val="auto"/>
          <w:sz w:val="24"/>
        </w:rPr>
      </w:pPr>
      <w:r w:rsidRPr="006B496C">
        <w:rPr>
          <w:rFonts w:ascii="Calibri" w:hint="eastAsia"/>
          <w:color w:val="auto"/>
          <w:sz w:val="24"/>
        </w:rPr>
        <w:t>本次检测样品的分析采用国家标准（或推荐）方法，检测分析方法见表</w:t>
      </w:r>
      <w:r w:rsidRPr="006B496C">
        <w:rPr>
          <w:rFonts w:ascii="Calibri" w:hint="eastAsia"/>
          <w:color w:val="auto"/>
          <w:sz w:val="24"/>
        </w:rPr>
        <w:t>3</w:t>
      </w:r>
      <w:r w:rsidR="00A6079A" w:rsidRPr="006B496C">
        <w:rPr>
          <w:rFonts w:ascii="Calibri" w:hint="eastAsia"/>
          <w:color w:val="auto"/>
          <w:sz w:val="24"/>
        </w:rPr>
        <w:t>.3</w:t>
      </w:r>
      <w:r w:rsidRPr="006B496C">
        <w:rPr>
          <w:rFonts w:ascii="Calibri" w:hint="eastAsia"/>
          <w:color w:val="auto"/>
          <w:sz w:val="24"/>
        </w:rPr>
        <w:t>-</w:t>
      </w:r>
      <w:r w:rsidR="006B496C" w:rsidRPr="006B496C">
        <w:rPr>
          <w:rFonts w:ascii="Calibri"/>
          <w:color w:val="auto"/>
          <w:sz w:val="24"/>
        </w:rPr>
        <w:t>23</w:t>
      </w:r>
      <w:r w:rsidR="00222DFB" w:rsidRPr="006B496C">
        <w:rPr>
          <w:rFonts w:ascii="Calibri" w:hint="eastAsia"/>
          <w:color w:val="auto"/>
          <w:sz w:val="24"/>
        </w:rPr>
        <w:t>。</w:t>
      </w:r>
    </w:p>
    <w:p w14:paraId="4966E5EC" w14:textId="77777777" w:rsidR="004A3168" w:rsidRDefault="004A3168" w:rsidP="004A3168">
      <w:pPr>
        <w:spacing w:line="520" w:lineRule="exact"/>
        <w:ind w:firstLineChars="196" w:firstLine="470"/>
        <w:rPr>
          <w:rFonts w:ascii="Calibri" w:eastAsia="黑体" w:hAnsi="Calibri"/>
          <w:bCs/>
          <w:color w:val="auto"/>
          <w:sz w:val="24"/>
        </w:rPr>
      </w:pPr>
      <w:r w:rsidRPr="006B496C">
        <w:rPr>
          <w:rFonts w:ascii="Calibri" w:eastAsia="黑体" w:hint="eastAsia"/>
          <w:bCs/>
          <w:color w:val="auto"/>
          <w:sz w:val="24"/>
        </w:rPr>
        <w:t>表</w:t>
      </w:r>
      <w:r w:rsidRPr="006B496C">
        <w:rPr>
          <w:rFonts w:ascii="Calibri" w:eastAsia="黑体" w:hAnsi="Calibri" w:hint="eastAsia"/>
          <w:bCs/>
          <w:color w:val="auto"/>
          <w:sz w:val="24"/>
        </w:rPr>
        <w:t>3</w:t>
      </w:r>
      <w:r w:rsidR="00A6079A" w:rsidRPr="006B496C">
        <w:rPr>
          <w:rFonts w:ascii="Calibri" w:eastAsia="黑体" w:hAnsi="Calibri" w:hint="eastAsia"/>
          <w:bCs/>
          <w:color w:val="auto"/>
          <w:sz w:val="24"/>
        </w:rPr>
        <w:t>.3</w:t>
      </w:r>
      <w:r w:rsidRPr="006B496C">
        <w:rPr>
          <w:rFonts w:ascii="Calibri" w:eastAsia="黑体" w:hAnsi="Calibri" w:hint="eastAsia"/>
          <w:bCs/>
          <w:color w:val="auto"/>
          <w:sz w:val="24"/>
        </w:rPr>
        <w:t>-</w:t>
      </w:r>
      <w:r w:rsidR="006B496C" w:rsidRPr="006B496C">
        <w:rPr>
          <w:rFonts w:ascii="Calibri" w:eastAsia="黑体" w:hAnsi="Calibri"/>
          <w:bCs/>
          <w:color w:val="auto"/>
          <w:sz w:val="24"/>
        </w:rPr>
        <w:t>23</w:t>
      </w:r>
      <w:r w:rsidRPr="006B496C">
        <w:rPr>
          <w:rFonts w:ascii="Calibri" w:eastAsia="黑体" w:hAnsi="Calibri" w:hint="eastAsia"/>
          <w:bCs/>
          <w:color w:val="auto"/>
          <w:sz w:val="24"/>
        </w:rPr>
        <w:t xml:space="preserve">    </w:t>
      </w:r>
      <w:r w:rsidR="003F1151" w:rsidRPr="006B496C">
        <w:rPr>
          <w:rFonts w:ascii="Calibri" w:eastAsia="黑体" w:hAnsi="Calibri" w:hint="eastAsia"/>
          <w:bCs/>
          <w:color w:val="auto"/>
          <w:sz w:val="24"/>
        </w:rPr>
        <w:t xml:space="preserve">       </w:t>
      </w:r>
      <w:r w:rsidRPr="006B496C">
        <w:rPr>
          <w:rFonts w:ascii="Calibri" w:eastAsia="黑体" w:hAnsi="Calibri" w:hint="eastAsia"/>
          <w:bCs/>
          <w:color w:val="auto"/>
          <w:sz w:val="24"/>
        </w:rPr>
        <w:t xml:space="preserve">  </w:t>
      </w:r>
      <w:r w:rsidRPr="006B496C">
        <w:rPr>
          <w:rFonts w:ascii="Calibri" w:eastAsia="黑体" w:hAnsi="Calibri" w:hint="eastAsia"/>
          <w:bCs/>
          <w:color w:val="auto"/>
          <w:sz w:val="24"/>
        </w:rPr>
        <w:t>土壤环境现状检测项目分析方法</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0"/>
        <w:gridCol w:w="915"/>
        <w:gridCol w:w="1052"/>
        <w:gridCol w:w="2551"/>
        <w:gridCol w:w="1558"/>
        <w:gridCol w:w="1276"/>
        <w:gridCol w:w="913"/>
      </w:tblGrid>
      <w:tr w:rsidR="006B496C" w:rsidRPr="006B496C" w14:paraId="0C6CB8B3" w14:textId="77777777" w:rsidTr="006B496C">
        <w:trPr>
          <w:trHeight w:val="567"/>
          <w:tblHeader/>
          <w:jc w:val="center"/>
        </w:trPr>
        <w:tc>
          <w:tcPr>
            <w:tcW w:w="247" w:type="pct"/>
            <w:vAlign w:val="center"/>
          </w:tcPr>
          <w:p w14:paraId="0B8F6CA0" w14:textId="77777777" w:rsidR="006B496C" w:rsidRPr="006B496C" w:rsidRDefault="006B496C" w:rsidP="008367BA">
            <w:pPr>
              <w:snapToGrid w:val="0"/>
              <w:jc w:val="center"/>
              <w:rPr>
                <w:rFonts w:asciiTheme="minorHAnsi" w:hAnsiTheme="minorHAnsi" w:cs="Times New Roman"/>
                <w:b/>
                <w:bCs/>
                <w:color w:val="auto"/>
                <w:szCs w:val="21"/>
              </w:rPr>
            </w:pPr>
            <w:r w:rsidRPr="006B496C">
              <w:rPr>
                <w:rFonts w:asciiTheme="minorHAnsi" w:hAnsiTheme="minorHAnsi" w:cs="Times New Roman"/>
                <w:b/>
                <w:bCs/>
                <w:color w:val="auto"/>
                <w:szCs w:val="21"/>
              </w:rPr>
              <w:t>序号</w:t>
            </w:r>
          </w:p>
        </w:tc>
        <w:tc>
          <w:tcPr>
            <w:tcW w:w="526" w:type="pct"/>
            <w:vAlign w:val="center"/>
          </w:tcPr>
          <w:p w14:paraId="1846DA18" w14:textId="77777777" w:rsidR="006B496C" w:rsidRPr="006B496C" w:rsidRDefault="006B496C" w:rsidP="008367BA">
            <w:pPr>
              <w:widowControl/>
              <w:snapToGrid w:val="0"/>
              <w:ind w:leftChars="-50" w:left="-105" w:rightChars="-50" w:right="-105"/>
              <w:jc w:val="center"/>
              <w:rPr>
                <w:rFonts w:asciiTheme="minorHAnsi" w:hAnsiTheme="minorHAnsi" w:cs="Times New Roman"/>
                <w:b/>
                <w:bCs/>
                <w:color w:val="auto"/>
                <w:szCs w:val="21"/>
              </w:rPr>
            </w:pPr>
            <w:r w:rsidRPr="006B496C">
              <w:rPr>
                <w:rFonts w:asciiTheme="minorHAnsi" w:hAnsiTheme="minorHAnsi" w:cs="Times New Roman"/>
                <w:b/>
                <w:bCs/>
                <w:color w:val="auto"/>
                <w:szCs w:val="21"/>
              </w:rPr>
              <w:t>检测类别</w:t>
            </w:r>
          </w:p>
        </w:tc>
        <w:tc>
          <w:tcPr>
            <w:tcW w:w="605" w:type="pct"/>
            <w:vAlign w:val="center"/>
          </w:tcPr>
          <w:p w14:paraId="71298563" w14:textId="77777777" w:rsidR="006B496C" w:rsidRPr="006B496C" w:rsidRDefault="006B496C" w:rsidP="008367BA">
            <w:pPr>
              <w:snapToGrid w:val="0"/>
              <w:jc w:val="center"/>
              <w:rPr>
                <w:rFonts w:asciiTheme="minorHAnsi" w:hAnsiTheme="minorHAnsi" w:cs="Times New Roman"/>
                <w:b/>
                <w:bCs/>
                <w:color w:val="auto"/>
                <w:szCs w:val="21"/>
              </w:rPr>
            </w:pPr>
            <w:r w:rsidRPr="006B496C">
              <w:rPr>
                <w:rFonts w:asciiTheme="minorHAnsi" w:hAnsiTheme="minorHAnsi" w:cs="Times New Roman"/>
                <w:b/>
                <w:bCs/>
                <w:color w:val="auto"/>
                <w:szCs w:val="21"/>
              </w:rPr>
              <w:t>检测因子</w:t>
            </w:r>
          </w:p>
        </w:tc>
        <w:tc>
          <w:tcPr>
            <w:tcW w:w="1467" w:type="pct"/>
            <w:vAlign w:val="center"/>
          </w:tcPr>
          <w:p w14:paraId="60EF096B" w14:textId="77777777" w:rsidR="006B496C" w:rsidRPr="006B496C" w:rsidRDefault="006B496C" w:rsidP="008367BA">
            <w:pPr>
              <w:snapToGrid w:val="0"/>
              <w:jc w:val="center"/>
              <w:rPr>
                <w:rFonts w:asciiTheme="minorHAnsi" w:hAnsiTheme="minorHAnsi" w:cs="Times New Roman"/>
                <w:b/>
                <w:bCs/>
                <w:color w:val="auto"/>
                <w:szCs w:val="21"/>
              </w:rPr>
            </w:pPr>
            <w:r w:rsidRPr="006B496C">
              <w:rPr>
                <w:rFonts w:asciiTheme="minorHAnsi" w:hAnsiTheme="minorHAnsi" w:cs="Times New Roman"/>
                <w:b/>
                <w:bCs/>
                <w:color w:val="auto"/>
                <w:szCs w:val="21"/>
              </w:rPr>
              <w:t>检测方法及编号</w:t>
            </w:r>
          </w:p>
        </w:tc>
        <w:tc>
          <w:tcPr>
            <w:tcW w:w="896" w:type="pct"/>
            <w:vAlign w:val="center"/>
          </w:tcPr>
          <w:p w14:paraId="4D4941C9" w14:textId="77777777" w:rsidR="006B496C" w:rsidRPr="006B496C" w:rsidRDefault="006B496C" w:rsidP="008367BA">
            <w:pPr>
              <w:snapToGrid w:val="0"/>
              <w:jc w:val="center"/>
              <w:rPr>
                <w:rFonts w:asciiTheme="minorHAnsi" w:hAnsiTheme="minorHAnsi" w:cs="Times New Roman"/>
                <w:b/>
                <w:bCs/>
                <w:color w:val="auto"/>
                <w:szCs w:val="21"/>
              </w:rPr>
            </w:pPr>
            <w:r w:rsidRPr="006B496C">
              <w:rPr>
                <w:rFonts w:asciiTheme="minorHAnsi" w:hAnsiTheme="minorHAnsi" w:cs="Times New Roman"/>
                <w:b/>
                <w:bCs/>
                <w:color w:val="auto"/>
                <w:szCs w:val="21"/>
              </w:rPr>
              <w:t>检测仪器型号及编号</w:t>
            </w:r>
          </w:p>
        </w:tc>
        <w:tc>
          <w:tcPr>
            <w:tcW w:w="734" w:type="pct"/>
            <w:vAlign w:val="center"/>
          </w:tcPr>
          <w:p w14:paraId="0E6D95C9" w14:textId="77777777" w:rsidR="006B496C" w:rsidRPr="006B496C" w:rsidRDefault="006B496C" w:rsidP="008367BA">
            <w:pPr>
              <w:snapToGrid w:val="0"/>
              <w:jc w:val="center"/>
              <w:rPr>
                <w:rFonts w:asciiTheme="minorHAnsi" w:hAnsiTheme="minorHAnsi" w:cs="Times New Roman"/>
                <w:b/>
                <w:bCs/>
                <w:color w:val="auto"/>
                <w:szCs w:val="21"/>
              </w:rPr>
            </w:pPr>
            <w:r w:rsidRPr="006B496C">
              <w:rPr>
                <w:rFonts w:asciiTheme="minorHAnsi" w:hAnsiTheme="minorHAnsi" w:cs="Times New Roman"/>
                <w:b/>
                <w:bCs/>
                <w:color w:val="auto"/>
                <w:szCs w:val="21"/>
              </w:rPr>
              <w:t>检出限</w:t>
            </w:r>
          </w:p>
        </w:tc>
        <w:tc>
          <w:tcPr>
            <w:tcW w:w="525" w:type="pct"/>
            <w:vAlign w:val="center"/>
          </w:tcPr>
          <w:p w14:paraId="1D180ABA" w14:textId="77777777" w:rsidR="006B496C" w:rsidRPr="006B496C" w:rsidRDefault="006B496C" w:rsidP="008367BA">
            <w:pPr>
              <w:widowControl/>
              <w:snapToGrid w:val="0"/>
              <w:jc w:val="center"/>
              <w:rPr>
                <w:rFonts w:asciiTheme="minorHAnsi" w:hAnsiTheme="minorHAnsi" w:cs="Times New Roman"/>
                <w:b/>
                <w:bCs/>
                <w:color w:val="auto"/>
                <w:szCs w:val="21"/>
              </w:rPr>
            </w:pPr>
            <w:r w:rsidRPr="006B496C">
              <w:rPr>
                <w:rFonts w:asciiTheme="minorHAnsi" w:hAnsiTheme="minorHAnsi" w:cs="Times New Roman"/>
                <w:b/>
                <w:bCs/>
                <w:color w:val="auto"/>
                <w:szCs w:val="21"/>
              </w:rPr>
              <w:t>最低检</w:t>
            </w:r>
          </w:p>
          <w:p w14:paraId="3E6038B8" w14:textId="77777777" w:rsidR="006B496C" w:rsidRPr="006B496C" w:rsidRDefault="006B496C" w:rsidP="008367BA">
            <w:pPr>
              <w:widowControl/>
              <w:snapToGrid w:val="0"/>
              <w:jc w:val="center"/>
              <w:rPr>
                <w:rFonts w:asciiTheme="minorHAnsi" w:hAnsiTheme="minorHAnsi" w:cs="Times New Roman"/>
                <w:b/>
                <w:bCs/>
                <w:color w:val="auto"/>
                <w:szCs w:val="21"/>
              </w:rPr>
            </w:pPr>
            <w:r w:rsidRPr="006B496C">
              <w:rPr>
                <w:rFonts w:asciiTheme="minorHAnsi" w:hAnsiTheme="minorHAnsi" w:cs="Times New Roman"/>
                <w:b/>
                <w:bCs/>
                <w:color w:val="auto"/>
                <w:szCs w:val="21"/>
              </w:rPr>
              <w:t>出浓度</w:t>
            </w:r>
          </w:p>
        </w:tc>
      </w:tr>
      <w:tr w:rsidR="006B496C" w:rsidRPr="006B496C" w14:paraId="58677A0F" w14:textId="77777777" w:rsidTr="006B496C">
        <w:trPr>
          <w:trHeight w:val="567"/>
          <w:jc w:val="center"/>
        </w:trPr>
        <w:tc>
          <w:tcPr>
            <w:tcW w:w="247" w:type="pct"/>
            <w:vAlign w:val="center"/>
          </w:tcPr>
          <w:p w14:paraId="41F653F0"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w:t>
            </w:r>
          </w:p>
        </w:tc>
        <w:tc>
          <w:tcPr>
            <w:tcW w:w="526" w:type="pct"/>
            <w:vMerge w:val="restart"/>
            <w:vAlign w:val="center"/>
          </w:tcPr>
          <w:p w14:paraId="21FEFEC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土壤</w:t>
            </w:r>
          </w:p>
        </w:tc>
        <w:tc>
          <w:tcPr>
            <w:tcW w:w="605" w:type="pct"/>
            <w:vAlign w:val="center"/>
          </w:tcPr>
          <w:p w14:paraId="4E80AA93" w14:textId="77777777" w:rsidR="006B496C" w:rsidRPr="006B496C" w:rsidRDefault="006B496C" w:rsidP="008367BA">
            <w:pPr>
              <w:widowControl/>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pH</w:t>
            </w:r>
            <w:r w:rsidRPr="006B496C">
              <w:rPr>
                <w:rFonts w:asciiTheme="minorHAnsi" w:hAnsiTheme="minorHAnsi" w:cs="Times New Roman"/>
                <w:color w:val="auto"/>
                <w:szCs w:val="21"/>
              </w:rPr>
              <w:t>值</w:t>
            </w:r>
          </w:p>
        </w:tc>
        <w:tc>
          <w:tcPr>
            <w:tcW w:w="1467" w:type="pct"/>
            <w:vAlign w:val="center"/>
          </w:tcPr>
          <w:p w14:paraId="391CAF88" w14:textId="77777777" w:rsidR="006B496C" w:rsidRPr="006B496C" w:rsidRDefault="006B496C" w:rsidP="008367BA">
            <w:pPr>
              <w:widowControl/>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r w:rsidRPr="006B496C">
              <w:rPr>
                <w:rFonts w:asciiTheme="minorHAnsi" w:hAnsiTheme="minorHAnsi" w:cs="Times New Roman"/>
                <w:color w:val="auto"/>
                <w:kern w:val="0"/>
                <w:szCs w:val="21"/>
                <w:lang w:bidi="ar"/>
              </w:rPr>
              <w:t>土壤</w:t>
            </w:r>
            <w:r w:rsidRPr="006B496C">
              <w:rPr>
                <w:rFonts w:asciiTheme="minorHAnsi" w:hAnsiTheme="minorHAnsi" w:cs="Times New Roman"/>
                <w:color w:val="auto"/>
                <w:kern w:val="0"/>
                <w:szCs w:val="21"/>
                <w:lang w:bidi="ar"/>
              </w:rPr>
              <w:t xml:space="preserve">  pH </w:t>
            </w:r>
            <w:r w:rsidRPr="006B496C">
              <w:rPr>
                <w:rFonts w:asciiTheme="minorHAnsi" w:hAnsiTheme="minorHAnsi" w:cs="Times New Roman"/>
                <w:color w:val="auto"/>
                <w:kern w:val="0"/>
                <w:szCs w:val="21"/>
                <w:lang w:bidi="ar"/>
              </w:rPr>
              <w:t>值的测定</w:t>
            </w:r>
            <w:r w:rsidRPr="006B496C">
              <w:rPr>
                <w:rFonts w:asciiTheme="minorHAnsi" w:hAnsiTheme="minorHAnsi" w:cs="Times New Roman"/>
                <w:color w:val="auto"/>
                <w:kern w:val="0"/>
                <w:szCs w:val="21"/>
                <w:lang w:bidi="ar"/>
              </w:rPr>
              <w:t xml:space="preserve"> </w:t>
            </w:r>
            <w:r w:rsidRPr="006B496C">
              <w:rPr>
                <w:rFonts w:asciiTheme="minorHAnsi" w:hAnsiTheme="minorHAnsi" w:cs="Times New Roman"/>
                <w:color w:val="auto"/>
                <w:kern w:val="0"/>
                <w:szCs w:val="21"/>
                <w:lang w:bidi="ar"/>
              </w:rPr>
              <w:t>电位法</w:t>
            </w:r>
            <w:r w:rsidRPr="006B496C">
              <w:rPr>
                <w:rFonts w:asciiTheme="minorHAnsi" w:hAnsiTheme="minorHAnsi" w:cs="Times New Roman"/>
                <w:color w:val="auto"/>
                <w:szCs w:val="21"/>
              </w:rPr>
              <w:t>》</w:t>
            </w:r>
            <w:r w:rsidRPr="006B496C">
              <w:rPr>
                <w:rFonts w:asciiTheme="minorHAnsi" w:hAnsiTheme="minorHAnsi" w:cs="Times New Roman"/>
                <w:color w:val="auto"/>
                <w:kern w:val="0"/>
                <w:szCs w:val="21"/>
                <w:lang w:bidi="ar"/>
              </w:rPr>
              <w:t>HJ 962-2018</w:t>
            </w:r>
          </w:p>
        </w:tc>
        <w:tc>
          <w:tcPr>
            <w:tcW w:w="896" w:type="pct"/>
            <w:vAlign w:val="center"/>
          </w:tcPr>
          <w:p w14:paraId="1C86BDFD"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PH</w:t>
            </w:r>
            <w:r w:rsidRPr="006B496C">
              <w:rPr>
                <w:rFonts w:asciiTheme="minorHAnsi" w:hAnsiTheme="minorHAnsi" w:cs="Times New Roman"/>
                <w:color w:val="auto"/>
                <w:kern w:val="0"/>
                <w:szCs w:val="21"/>
                <w:lang w:bidi="ar"/>
              </w:rPr>
              <w:t>计</w:t>
            </w:r>
          </w:p>
          <w:p w14:paraId="7833549F" w14:textId="77777777" w:rsidR="006B496C" w:rsidRPr="006B496C" w:rsidRDefault="006B496C" w:rsidP="008367BA">
            <w:pPr>
              <w:widowControl/>
              <w:snapToGrid w:val="0"/>
              <w:jc w:val="center"/>
              <w:rPr>
                <w:rFonts w:asciiTheme="minorHAnsi" w:hAnsiTheme="minorHAnsi" w:cs="Times New Roman"/>
                <w:color w:val="auto"/>
                <w:szCs w:val="21"/>
                <w:lang w:bidi="ar"/>
              </w:rPr>
            </w:pPr>
            <w:r w:rsidRPr="006B496C">
              <w:rPr>
                <w:rFonts w:asciiTheme="minorHAnsi" w:hAnsiTheme="minorHAnsi" w:cs="Times New Roman"/>
                <w:color w:val="auto"/>
                <w:kern w:val="0"/>
                <w:szCs w:val="21"/>
                <w:lang w:bidi="ar"/>
              </w:rPr>
              <w:t>PHS-25</w:t>
            </w:r>
            <w:r w:rsidRPr="006B496C">
              <w:rPr>
                <w:rFonts w:asciiTheme="minorHAnsi" w:hAnsiTheme="minorHAnsi" w:cs="Times New Roman"/>
                <w:color w:val="auto"/>
                <w:kern w:val="0"/>
                <w:szCs w:val="21"/>
                <w:lang w:bidi="ar"/>
              </w:rPr>
              <w:t>型</w:t>
            </w:r>
            <w:r w:rsidRPr="006B496C">
              <w:rPr>
                <w:rFonts w:asciiTheme="minorHAnsi" w:hAnsiTheme="minorHAnsi" w:cs="Times New Roman"/>
                <w:color w:val="auto"/>
                <w:kern w:val="0"/>
                <w:szCs w:val="21"/>
                <w:lang w:bidi="ar"/>
              </w:rPr>
              <w:t>YFYQ-022-2020</w:t>
            </w:r>
          </w:p>
        </w:tc>
        <w:tc>
          <w:tcPr>
            <w:tcW w:w="734" w:type="pct"/>
            <w:vAlign w:val="center"/>
          </w:tcPr>
          <w:p w14:paraId="64423D10" w14:textId="77777777" w:rsidR="006B496C" w:rsidRPr="006B496C" w:rsidRDefault="006B496C" w:rsidP="008367BA">
            <w:pPr>
              <w:widowControl/>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p>
        </w:tc>
        <w:tc>
          <w:tcPr>
            <w:tcW w:w="525" w:type="pct"/>
            <w:vAlign w:val="center"/>
          </w:tcPr>
          <w:p w14:paraId="5C2D7ED4" w14:textId="77777777" w:rsidR="006B496C" w:rsidRPr="006B496C" w:rsidRDefault="006B496C" w:rsidP="008367BA">
            <w:pPr>
              <w:widowControl/>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5B352AAD" w14:textId="77777777" w:rsidTr="006B496C">
        <w:trPr>
          <w:trHeight w:val="567"/>
          <w:jc w:val="center"/>
        </w:trPr>
        <w:tc>
          <w:tcPr>
            <w:tcW w:w="247" w:type="pct"/>
            <w:vAlign w:val="center"/>
          </w:tcPr>
          <w:p w14:paraId="14C272A2"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w:t>
            </w:r>
          </w:p>
        </w:tc>
        <w:tc>
          <w:tcPr>
            <w:tcW w:w="526" w:type="pct"/>
            <w:vMerge/>
            <w:vAlign w:val="center"/>
          </w:tcPr>
          <w:p w14:paraId="02B47AE3"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60DAF542"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镉</w:t>
            </w:r>
          </w:p>
        </w:tc>
        <w:tc>
          <w:tcPr>
            <w:tcW w:w="1467" w:type="pct"/>
            <w:vAlign w:val="center"/>
          </w:tcPr>
          <w:p w14:paraId="4AFFD7EB" w14:textId="3E512F13" w:rsidR="006B496C" w:rsidRPr="006B496C" w:rsidRDefault="006B496C" w:rsidP="008367BA">
            <w:pPr>
              <w:snapToGrid w:val="0"/>
              <w:jc w:val="center"/>
              <w:rPr>
                <w:rFonts w:asciiTheme="minorHAnsi" w:hAnsiTheme="minorHAnsi" w:cs="Times New Roman"/>
                <w:color w:val="auto"/>
                <w:szCs w:val="21"/>
                <w:lang w:bidi="ar"/>
              </w:rPr>
            </w:pPr>
            <w:r w:rsidRPr="006B496C">
              <w:rPr>
                <w:rFonts w:asciiTheme="minorHAnsi" w:hAnsiTheme="minorHAnsi" w:cs="Times New Roman"/>
                <w:color w:val="auto"/>
                <w:szCs w:val="21"/>
              </w:rPr>
              <w:t>《土壤质量</w:t>
            </w:r>
            <w:r w:rsidRPr="006B496C">
              <w:rPr>
                <w:rFonts w:asciiTheme="minorHAnsi" w:hAnsiTheme="minorHAnsi" w:cs="Times New Roman"/>
                <w:color w:val="auto"/>
                <w:szCs w:val="21"/>
              </w:rPr>
              <w:t xml:space="preserve"> </w:t>
            </w:r>
            <w:r w:rsidRPr="006B496C">
              <w:rPr>
                <w:rFonts w:asciiTheme="minorHAnsi" w:hAnsiTheme="minorHAnsi" w:cs="Times New Roman"/>
                <w:color w:val="auto"/>
                <w:szCs w:val="21"/>
              </w:rPr>
              <w:t>铅、镉的测定</w:t>
            </w:r>
            <w:r w:rsidRPr="006B496C">
              <w:rPr>
                <w:rFonts w:asciiTheme="minorHAnsi" w:hAnsiTheme="minorHAnsi" w:cs="Times New Roman"/>
                <w:color w:val="auto"/>
                <w:szCs w:val="21"/>
              </w:rPr>
              <w:t xml:space="preserve"> </w:t>
            </w:r>
            <w:r w:rsidRPr="006B496C">
              <w:rPr>
                <w:rFonts w:asciiTheme="minorHAnsi" w:hAnsiTheme="minorHAnsi" w:cs="Times New Roman"/>
                <w:color w:val="auto"/>
                <w:szCs w:val="21"/>
              </w:rPr>
              <w:t>石墨炉原子吸收分光光度法》</w:t>
            </w:r>
            <w:r w:rsidR="000A2242">
              <w:rPr>
                <w:rFonts w:asciiTheme="minorHAnsi" w:hAnsiTheme="minorHAnsi" w:cs="Times New Roman"/>
                <w:color w:val="auto"/>
                <w:szCs w:val="21"/>
                <w:lang w:bidi="ar"/>
              </w:rPr>
              <w:t>GB/T</w:t>
            </w:r>
            <w:r w:rsidRPr="006B496C">
              <w:rPr>
                <w:rFonts w:asciiTheme="minorHAnsi" w:hAnsiTheme="minorHAnsi" w:cs="Times New Roman"/>
                <w:color w:val="auto"/>
                <w:szCs w:val="21"/>
                <w:lang w:bidi="ar"/>
              </w:rPr>
              <w:t>17141-1997</w:t>
            </w:r>
          </w:p>
        </w:tc>
        <w:tc>
          <w:tcPr>
            <w:tcW w:w="896" w:type="pct"/>
            <w:vAlign w:val="center"/>
          </w:tcPr>
          <w:p w14:paraId="540B354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原子吸收分光光度计</w:t>
            </w:r>
            <w:r w:rsidRPr="006B496C">
              <w:rPr>
                <w:rFonts w:asciiTheme="minorHAnsi" w:hAnsiTheme="minorHAnsi" w:cs="Times New Roman"/>
                <w:color w:val="auto"/>
                <w:szCs w:val="21"/>
              </w:rPr>
              <w:t>TAS-990AFG</w:t>
            </w:r>
          </w:p>
          <w:p w14:paraId="4D07B5A4"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YFYQ-001-2020</w:t>
            </w:r>
          </w:p>
        </w:tc>
        <w:tc>
          <w:tcPr>
            <w:tcW w:w="734" w:type="pct"/>
            <w:vAlign w:val="center"/>
          </w:tcPr>
          <w:p w14:paraId="3BD02E0B"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0.01</w:t>
            </w:r>
          </w:p>
          <w:p w14:paraId="3C833131"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1002EC6F" w14:textId="77777777" w:rsidR="006B496C" w:rsidRPr="006B496C" w:rsidRDefault="006B496C" w:rsidP="008367BA">
            <w:pPr>
              <w:widowControl/>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189C9CF6" w14:textId="77777777" w:rsidTr="006B496C">
        <w:trPr>
          <w:trHeight w:val="567"/>
          <w:jc w:val="center"/>
        </w:trPr>
        <w:tc>
          <w:tcPr>
            <w:tcW w:w="247" w:type="pct"/>
            <w:vAlign w:val="center"/>
          </w:tcPr>
          <w:p w14:paraId="21B30C36"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w:t>
            </w:r>
          </w:p>
        </w:tc>
        <w:tc>
          <w:tcPr>
            <w:tcW w:w="526" w:type="pct"/>
            <w:vMerge/>
            <w:vAlign w:val="center"/>
          </w:tcPr>
          <w:p w14:paraId="6CE83387"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230DBFE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镍</w:t>
            </w:r>
          </w:p>
        </w:tc>
        <w:tc>
          <w:tcPr>
            <w:tcW w:w="1467" w:type="pct"/>
            <w:vMerge w:val="restart"/>
            <w:vAlign w:val="center"/>
          </w:tcPr>
          <w:p w14:paraId="6188A091" w14:textId="77777777" w:rsidR="006B496C" w:rsidRPr="006B496C" w:rsidRDefault="006B496C" w:rsidP="008367BA">
            <w:pPr>
              <w:snapToGrid w:val="0"/>
              <w:jc w:val="center"/>
              <w:rPr>
                <w:rFonts w:asciiTheme="minorHAnsi" w:hAnsiTheme="minorHAnsi" w:cs="Times New Roman"/>
                <w:color w:val="auto"/>
                <w:kern w:val="0"/>
                <w:szCs w:val="21"/>
                <w:lang w:bidi="ar"/>
              </w:rPr>
            </w:pPr>
            <w:r w:rsidRPr="006B496C">
              <w:rPr>
                <w:rFonts w:asciiTheme="minorHAnsi" w:hAnsiTheme="minorHAnsi" w:cs="Times New Roman"/>
                <w:color w:val="auto"/>
                <w:szCs w:val="21"/>
              </w:rPr>
              <w:t>《土壤和沉积物</w:t>
            </w:r>
            <w:r w:rsidRPr="006B496C">
              <w:rPr>
                <w:rFonts w:asciiTheme="minorHAnsi" w:hAnsiTheme="minorHAnsi" w:cs="Times New Roman"/>
                <w:color w:val="auto"/>
                <w:szCs w:val="21"/>
              </w:rPr>
              <w:t xml:space="preserve">  </w:t>
            </w:r>
            <w:r w:rsidRPr="006B496C">
              <w:rPr>
                <w:rFonts w:asciiTheme="minorHAnsi" w:hAnsiTheme="minorHAnsi" w:cs="Times New Roman"/>
                <w:color w:val="auto"/>
                <w:szCs w:val="21"/>
              </w:rPr>
              <w:t>铜、锌、铅、镍、铬的测定</w:t>
            </w:r>
            <w:r w:rsidRPr="006B496C">
              <w:rPr>
                <w:rFonts w:asciiTheme="minorHAnsi" w:hAnsiTheme="minorHAnsi" w:cs="Times New Roman"/>
                <w:color w:val="auto"/>
                <w:szCs w:val="21"/>
              </w:rPr>
              <w:t xml:space="preserve"> </w:t>
            </w:r>
            <w:r w:rsidRPr="006B496C">
              <w:rPr>
                <w:rFonts w:asciiTheme="minorHAnsi" w:hAnsiTheme="minorHAnsi" w:cs="Times New Roman"/>
                <w:color w:val="auto"/>
                <w:szCs w:val="21"/>
              </w:rPr>
              <w:t>火焰原子吸收分光光度法》</w:t>
            </w:r>
            <w:r w:rsidRPr="006B496C">
              <w:rPr>
                <w:rFonts w:asciiTheme="minorHAnsi" w:hAnsiTheme="minorHAnsi" w:cs="Times New Roman"/>
                <w:color w:val="auto"/>
                <w:szCs w:val="21"/>
              </w:rPr>
              <w:t>HJ 491-2019</w:t>
            </w:r>
          </w:p>
        </w:tc>
        <w:tc>
          <w:tcPr>
            <w:tcW w:w="896" w:type="pct"/>
            <w:vMerge w:val="restart"/>
            <w:vAlign w:val="center"/>
          </w:tcPr>
          <w:p w14:paraId="5184C0B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原子吸收分光光度计</w:t>
            </w:r>
            <w:r w:rsidRPr="006B496C">
              <w:rPr>
                <w:rFonts w:asciiTheme="minorHAnsi" w:hAnsiTheme="minorHAnsi" w:cs="Times New Roman"/>
                <w:color w:val="auto"/>
                <w:szCs w:val="21"/>
              </w:rPr>
              <w:t>TAS-990AFG</w:t>
            </w:r>
          </w:p>
          <w:p w14:paraId="6CE2888B"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YFYQ-001-2020</w:t>
            </w:r>
          </w:p>
        </w:tc>
        <w:tc>
          <w:tcPr>
            <w:tcW w:w="734" w:type="pct"/>
            <w:vAlign w:val="center"/>
          </w:tcPr>
          <w:p w14:paraId="499D28B1"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3</w:t>
            </w:r>
          </w:p>
          <w:p w14:paraId="2D2EF33B"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7D35EB9B"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1D77B54F" w14:textId="77777777" w:rsidTr="006B496C">
        <w:trPr>
          <w:trHeight w:val="567"/>
          <w:jc w:val="center"/>
        </w:trPr>
        <w:tc>
          <w:tcPr>
            <w:tcW w:w="247" w:type="pct"/>
            <w:vAlign w:val="center"/>
          </w:tcPr>
          <w:p w14:paraId="4B3E4263"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w:t>
            </w:r>
          </w:p>
        </w:tc>
        <w:tc>
          <w:tcPr>
            <w:tcW w:w="526" w:type="pct"/>
            <w:vMerge/>
            <w:vAlign w:val="center"/>
          </w:tcPr>
          <w:p w14:paraId="2E85B292"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A206660"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铅</w:t>
            </w:r>
          </w:p>
        </w:tc>
        <w:tc>
          <w:tcPr>
            <w:tcW w:w="1467" w:type="pct"/>
            <w:vMerge/>
            <w:vAlign w:val="center"/>
          </w:tcPr>
          <w:p w14:paraId="28045AD3"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4A1D2459"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5B08400C"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10</w:t>
            </w:r>
          </w:p>
          <w:p w14:paraId="668E04C4"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7159CF6E"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76A510D5" w14:textId="77777777" w:rsidTr="006B496C">
        <w:trPr>
          <w:trHeight w:val="567"/>
          <w:jc w:val="center"/>
        </w:trPr>
        <w:tc>
          <w:tcPr>
            <w:tcW w:w="247" w:type="pct"/>
            <w:vAlign w:val="center"/>
          </w:tcPr>
          <w:p w14:paraId="14736567"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5</w:t>
            </w:r>
          </w:p>
        </w:tc>
        <w:tc>
          <w:tcPr>
            <w:tcW w:w="526" w:type="pct"/>
            <w:vMerge/>
            <w:vAlign w:val="center"/>
          </w:tcPr>
          <w:p w14:paraId="2A05E1C2"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3EB291F0"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铬</w:t>
            </w:r>
          </w:p>
        </w:tc>
        <w:tc>
          <w:tcPr>
            <w:tcW w:w="1467" w:type="pct"/>
            <w:vMerge/>
            <w:vAlign w:val="center"/>
          </w:tcPr>
          <w:p w14:paraId="63958272"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79BA3C95"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78B312EA"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4</w:t>
            </w:r>
          </w:p>
          <w:p w14:paraId="08E9A5B4"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0686A643"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14380DA8" w14:textId="77777777" w:rsidTr="006B496C">
        <w:trPr>
          <w:trHeight w:val="567"/>
          <w:jc w:val="center"/>
        </w:trPr>
        <w:tc>
          <w:tcPr>
            <w:tcW w:w="247" w:type="pct"/>
            <w:vAlign w:val="center"/>
          </w:tcPr>
          <w:p w14:paraId="3583B9EF"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6</w:t>
            </w:r>
          </w:p>
        </w:tc>
        <w:tc>
          <w:tcPr>
            <w:tcW w:w="526" w:type="pct"/>
            <w:vMerge/>
            <w:vAlign w:val="center"/>
          </w:tcPr>
          <w:p w14:paraId="1980D7B9"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7EE09C22"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铜</w:t>
            </w:r>
          </w:p>
        </w:tc>
        <w:tc>
          <w:tcPr>
            <w:tcW w:w="1467" w:type="pct"/>
            <w:vMerge/>
            <w:vAlign w:val="center"/>
          </w:tcPr>
          <w:p w14:paraId="09D2D2F2"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77F33480"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4832013E"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1</w:t>
            </w:r>
          </w:p>
          <w:p w14:paraId="41669358"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 xml:space="preserve">mg/kg </w:t>
            </w:r>
          </w:p>
        </w:tc>
        <w:tc>
          <w:tcPr>
            <w:tcW w:w="525" w:type="pct"/>
            <w:vAlign w:val="center"/>
          </w:tcPr>
          <w:p w14:paraId="172F7F6C"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3731D8F0" w14:textId="77777777" w:rsidTr="006B496C">
        <w:trPr>
          <w:trHeight w:val="567"/>
          <w:jc w:val="center"/>
        </w:trPr>
        <w:tc>
          <w:tcPr>
            <w:tcW w:w="247" w:type="pct"/>
            <w:vAlign w:val="center"/>
          </w:tcPr>
          <w:p w14:paraId="45709B15"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7</w:t>
            </w:r>
          </w:p>
        </w:tc>
        <w:tc>
          <w:tcPr>
            <w:tcW w:w="526" w:type="pct"/>
            <w:vMerge/>
            <w:vAlign w:val="center"/>
          </w:tcPr>
          <w:p w14:paraId="0BFA3F30"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1A56BDA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锌</w:t>
            </w:r>
          </w:p>
        </w:tc>
        <w:tc>
          <w:tcPr>
            <w:tcW w:w="1467" w:type="pct"/>
            <w:vMerge/>
            <w:vAlign w:val="center"/>
          </w:tcPr>
          <w:p w14:paraId="0CB65F67"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4B769A94"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20150765"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1</w:t>
            </w:r>
          </w:p>
          <w:p w14:paraId="61C9692F"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 xml:space="preserve">mg/kg </w:t>
            </w:r>
          </w:p>
        </w:tc>
        <w:tc>
          <w:tcPr>
            <w:tcW w:w="525" w:type="pct"/>
            <w:vAlign w:val="center"/>
          </w:tcPr>
          <w:p w14:paraId="06D51275"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E8CB161" w14:textId="77777777" w:rsidTr="006B496C">
        <w:trPr>
          <w:trHeight w:val="567"/>
          <w:jc w:val="center"/>
        </w:trPr>
        <w:tc>
          <w:tcPr>
            <w:tcW w:w="247" w:type="pct"/>
            <w:vAlign w:val="center"/>
          </w:tcPr>
          <w:p w14:paraId="0E5C3F24"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8</w:t>
            </w:r>
          </w:p>
        </w:tc>
        <w:tc>
          <w:tcPr>
            <w:tcW w:w="526" w:type="pct"/>
            <w:vMerge/>
            <w:vAlign w:val="center"/>
          </w:tcPr>
          <w:p w14:paraId="03EEF44A"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011E74C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砷</w:t>
            </w:r>
          </w:p>
        </w:tc>
        <w:tc>
          <w:tcPr>
            <w:tcW w:w="1467" w:type="pct"/>
            <w:vMerge w:val="restart"/>
            <w:vAlign w:val="center"/>
          </w:tcPr>
          <w:p w14:paraId="0873C5F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《土壤和沉积物</w:t>
            </w:r>
            <w:r w:rsidRPr="006B496C">
              <w:rPr>
                <w:rFonts w:asciiTheme="minorHAnsi" w:hAnsiTheme="minorHAnsi" w:cs="Times New Roman"/>
                <w:color w:val="auto"/>
                <w:szCs w:val="21"/>
              </w:rPr>
              <w:t xml:space="preserve"> </w:t>
            </w:r>
            <w:r w:rsidRPr="006B496C">
              <w:rPr>
                <w:rFonts w:asciiTheme="minorHAnsi" w:hAnsiTheme="minorHAnsi" w:cs="Times New Roman"/>
                <w:color w:val="auto"/>
                <w:szCs w:val="21"/>
              </w:rPr>
              <w:t>汞、砷、硒、锑、铋的测定</w:t>
            </w:r>
            <w:r w:rsidRPr="006B496C">
              <w:rPr>
                <w:rFonts w:asciiTheme="minorHAnsi" w:hAnsiTheme="minorHAnsi" w:cs="Times New Roman"/>
                <w:color w:val="auto"/>
                <w:szCs w:val="21"/>
              </w:rPr>
              <w:t xml:space="preserve"> </w:t>
            </w:r>
            <w:r w:rsidRPr="006B496C">
              <w:rPr>
                <w:rFonts w:asciiTheme="minorHAnsi" w:hAnsiTheme="minorHAnsi" w:cs="Times New Roman"/>
                <w:color w:val="auto"/>
                <w:szCs w:val="21"/>
              </w:rPr>
              <w:t>微波消解</w:t>
            </w:r>
            <w:r w:rsidRPr="006B496C">
              <w:rPr>
                <w:rFonts w:asciiTheme="minorHAnsi" w:hAnsiTheme="minorHAnsi" w:cs="Times New Roman"/>
                <w:color w:val="auto"/>
                <w:szCs w:val="21"/>
              </w:rPr>
              <w:t>/</w:t>
            </w:r>
            <w:r w:rsidRPr="006B496C">
              <w:rPr>
                <w:rFonts w:asciiTheme="minorHAnsi" w:hAnsiTheme="minorHAnsi" w:cs="Times New Roman"/>
                <w:color w:val="auto"/>
                <w:szCs w:val="21"/>
              </w:rPr>
              <w:t>原子荧光法》</w:t>
            </w:r>
            <w:r w:rsidRPr="006B496C">
              <w:rPr>
                <w:rFonts w:asciiTheme="minorHAnsi" w:hAnsiTheme="minorHAnsi" w:cs="Times New Roman"/>
                <w:color w:val="auto"/>
                <w:szCs w:val="21"/>
              </w:rPr>
              <w:t>HJ</w:t>
            </w:r>
            <w:r w:rsidRPr="006B496C">
              <w:rPr>
                <w:rFonts w:asciiTheme="minorHAnsi" w:hAnsiTheme="minorHAnsi" w:cs="Times New Roman"/>
                <w:color w:val="auto"/>
                <w:szCs w:val="21"/>
                <w:lang w:bidi="ar"/>
              </w:rPr>
              <w:t>680-2013</w:t>
            </w:r>
          </w:p>
        </w:tc>
        <w:tc>
          <w:tcPr>
            <w:tcW w:w="896" w:type="pct"/>
            <w:vMerge w:val="restart"/>
            <w:vAlign w:val="center"/>
          </w:tcPr>
          <w:p w14:paraId="5C7EB1B4"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原子荧光光度计</w:t>
            </w:r>
            <w:r w:rsidRPr="006B496C">
              <w:rPr>
                <w:rFonts w:asciiTheme="minorHAnsi" w:hAnsiTheme="minorHAnsi" w:cs="Times New Roman"/>
                <w:color w:val="auto"/>
                <w:szCs w:val="21"/>
                <w:lang w:bidi="ar"/>
              </w:rPr>
              <w:t>AFS-8220</w:t>
            </w:r>
          </w:p>
          <w:p w14:paraId="03744057"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YFYQ-003-2020</w:t>
            </w:r>
          </w:p>
        </w:tc>
        <w:tc>
          <w:tcPr>
            <w:tcW w:w="734" w:type="pct"/>
            <w:vAlign w:val="center"/>
          </w:tcPr>
          <w:p w14:paraId="1DD501A7" w14:textId="77777777" w:rsidR="006B496C" w:rsidRPr="006B496C" w:rsidRDefault="006B496C" w:rsidP="008367BA">
            <w:pPr>
              <w:snapToGrid w:val="0"/>
              <w:jc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0.01</w:t>
            </w:r>
          </w:p>
          <w:p w14:paraId="0FAD386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lang w:bidi="ar"/>
              </w:rPr>
              <w:t>mg/kg</w:t>
            </w:r>
          </w:p>
        </w:tc>
        <w:tc>
          <w:tcPr>
            <w:tcW w:w="525" w:type="pct"/>
            <w:vAlign w:val="center"/>
          </w:tcPr>
          <w:p w14:paraId="0359FEB2"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1932961" w14:textId="77777777" w:rsidTr="006B496C">
        <w:trPr>
          <w:trHeight w:val="567"/>
          <w:jc w:val="center"/>
        </w:trPr>
        <w:tc>
          <w:tcPr>
            <w:tcW w:w="247" w:type="pct"/>
            <w:vAlign w:val="center"/>
          </w:tcPr>
          <w:p w14:paraId="667DB159"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9</w:t>
            </w:r>
          </w:p>
        </w:tc>
        <w:tc>
          <w:tcPr>
            <w:tcW w:w="526" w:type="pct"/>
            <w:vMerge/>
            <w:vAlign w:val="center"/>
          </w:tcPr>
          <w:p w14:paraId="7F099EBC"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2F1B98B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汞</w:t>
            </w:r>
          </w:p>
        </w:tc>
        <w:tc>
          <w:tcPr>
            <w:tcW w:w="1467" w:type="pct"/>
            <w:vMerge/>
            <w:vAlign w:val="center"/>
          </w:tcPr>
          <w:p w14:paraId="50BE9F96"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3BFD280A"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79F5ECB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0.002</w:t>
            </w:r>
          </w:p>
          <w:p w14:paraId="6A86DD3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52E1F57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1ACCD0D1" w14:textId="77777777" w:rsidTr="006B496C">
        <w:trPr>
          <w:trHeight w:val="567"/>
          <w:jc w:val="center"/>
        </w:trPr>
        <w:tc>
          <w:tcPr>
            <w:tcW w:w="247" w:type="pct"/>
            <w:vAlign w:val="center"/>
          </w:tcPr>
          <w:p w14:paraId="45A742D5"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10</w:t>
            </w:r>
          </w:p>
        </w:tc>
        <w:tc>
          <w:tcPr>
            <w:tcW w:w="526" w:type="pct"/>
            <w:vMerge/>
            <w:vAlign w:val="center"/>
          </w:tcPr>
          <w:p w14:paraId="3CBBC1FE"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0A0DF43C"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六价铬</w:t>
            </w:r>
          </w:p>
        </w:tc>
        <w:tc>
          <w:tcPr>
            <w:tcW w:w="1467" w:type="pct"/>
            <w:vAlign w:val="center"/>
          </w:tcPr>
          <w:p w14:paraId="545F55CC"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r w:rsidRPr="006B496C">
              <w:rPr>
                <w:rFonts w:asciiTheme="minorHAnsi" w:hAnsiTheme="minorHAnsi" w:cs="Times New Roman"/>
                <w:color w:val="auto"/>
                <w:szCs w:val="21"/>
                <w:lang w:bidi="ar"/>
              </w:rPr>
              <w:t>土壤和沉积物</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六价铬的测定</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碱溶液提取</w:t>
            </w:r>
            <w:r w:rsidRPr="006B496C">
              <w:rPr>
                <w:rFonts w:asciiTheme="minorHAnsi" w:hAnsiTheme="minorHAnsi" w:cs="Times New Roman"/>
                <w:color w:val="auto"/>
                <w:szCs w:val="21"/>
                <w:lang w:bidi="ar"/>
              </w:rPr>
              <w:t>-</w:t>
            </w:r>
            <w:r w:rsidRPr="006B496C">
              <w:rPr>
                <w:rFonts w:asciiTheme="minorHAnsi" w:hAnsiTheme="minorHAnsi" w:cs="Times New Roman"/>
                <w:color w:val="auto"/>
                <w:szCs w:val="21"/>
                <w:lang w:bidi="ar"/>
              </w:rPr>
              <w:t>火焰原子吸收分光光度法</w:t>
            </w:r>
            <w:r w:rsidRPr="006B496C">
              <w:rPr>
                <w:rFonts w:asciiTheme="minorHAnsi" w:hAnsiTheme="minorHAnsi" w:cs="Times New Roman"/>
                <w:color w:val="auto"/>
                <w:szCs w:val="21"/>
              </w:rPr>
              <w:t>》</w:t>
            </w:r>
          </w:p>
          <w:p w14:paraId="686B4F32"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lastRenderedPageBreak/>
              <w:t>HJ 1082-2019</w:t>
            </w:r>
          </w:p>
        </w:tc>
        <w:tc>
          <w:tcPr>
            <w:tcW w:w="896" w:type="pct"/>
            <w:vAlign w:val="center"/>
          </w:tcPr>
          <w:p w14:paraId="77CA141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lastRenderedPageBreak/>
              <w:t>原子吸收分光光度计</w:t>
            </w:r>
            <w:r w:rsidRPr="006B496C">
              <w:rPr>
                <w:rFonts w:asciiTheme="minorHAnsi" w:hAnsiTheme="minorHAnsi" w:cs="Times New Roman"/>
                <w:color w:val="auto"/>
                <w:szCs w:val="21"/>
              </w:rPr>
              <w:t>TAS-990AFG</w:t>
            </w:r>
          </w:p>
          <w:p w14:paraId="1E70C764"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rPr>
              <w:lastRenderedPageBreak/>
              <w:t>YFYQ-001-2020</w:t>
            </w:r>
          </w:p>
        </w:tc>
        <w:tc>
          <w:tcPr>
            <w:tcW w:w="734" w:type="pct"/>
            <w:vAlign w:val="center"/>
          </w:tcPr>
          <w:p w14:paraId="679DFA8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lastRenderedPageBreak/>
              <w:t>0.5</w:t>
            </w:r>
          </w:p>
          <w:p w14:paraId="32A0030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FA0E70E"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64ED65E7" w14:textId="77777777" w:rsidTr="006B496C">
        <w:trPr>
          <w:trHeight w:val="567"/>
          <w:jc w:val="center"/>
        </w:trPr>
        <w:tc>
          <w:tcPr>
            <w:tcW w:w="247" w:type="pct"/>
            <w:vAlign w:val="center"/>
          </w:tcPr>
          <w:p w14:paraId="3E739567"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11</w:t>
            </w:r>
          </w:p>
        </w:tc>
        <w:tc>
          <w:tcPr>
            <w:tcW w:w="526" w:type="pct"/>
            <w:vMerge/>
            <w:vAlign w:val="center"/>
          </w:tcPr>
          <w:p w14:paraId="73376216"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2EBAE5BF"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四氯化碳</w:t>
            </w:r>
          </w:p>
        </w:tc>
        <w:tc>
          <w:tcPr>
            <w:tcW w:w="1467" w:type="pct"/>
            <w:vMerge w:val="restart"/>
            <w:vAlign w:val="center"/>
          </w:tcPr>
          <w:p w14:paraId="530C9EB0"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r w:rsidRPr="006B496C">
              <w:rPr>
                <w:rFonts w:asciiTheme="minorHAnsi" w:hAnsiTheme="minorHAnsi" w:cs="Times New Roman"/>
                <w:color w:val="auto"/>
                <w:szCs w:val="21"/>
                <w:lang w:bidi="ar"/>
              </w:rPr>
              <w:t>土壤和沉积物</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挥发性有机物的测定</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顶空</w:t>
            </w:r>
            <w:r w:rsidRPr="006B496C">
              <w:rPr>
                <w:rFonts w:asciiTheme="minorHAnsi" w:hAnsiTheme="minorHAnsi" w:cs="Times New Roman"/>
                <w:color w:val="auto"/>
                <w:szCs w:val="21"/>
                <w:lang w:bidi="ar"/>
              </w:rPr>
              <w:t>/</w:t>
            </w:r>
            <w:r w:rsidRPr="006B496C">
              <w:rPr>
                <w:rFonts w:asciiTheme="minorHAnsi" w:hAnsiTheme="minorHAnsi" w:cs="Times New Roman"/>
                <w:color w:val="auto"/>
                <w:szCs w:val="21"/>
                <w:lang w:bidi="ar"/>
              </w:rPr>
              <w:t>气相色谱法</w:t>
            </w:r>
            <w:r w:rsidRPr="006B496C">
              <w:rPr>
                <w:rFonts w:asciiTheme="minorHAnsi" w:hAnsiTheme="minorHAnsi" w:cs="Times New Roman"/>
                <w:color w:val="auto"/>
                <w:szCs w:val="21"/>
              </w:rPr>
              <w:t>》</w:t>
            </w:r>
            <w:r w:rsidRPr="006B496C">
              <w:rPr>
                <w:rFonts w:asciiTheme="minorHAnsi" w:hAnsiTheme="minorHAnsi" w:cs="Times New Roman"/>
                <w:color w:val="auto"/>
                <w:szCs w:val="21"/>
              </w:rPr>
              <w:t>HJ 741-2015</w:t>
            </w:r>
          </w:p>
          <w:p w14:paraId="263098A9"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restart"/>
            <w:vAlign w:val="center"/>
          </w:tcPr>
          <w:p w14:paraId="315D5341"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气相色谱仪</w:t>
            </w:r>
          </w:p>
          <w:p w14:paraId="644F9F81"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GC9790Plus</w:t>
            </w:r>
          </w:p>
          <w:p w14:paraId="5DA70F39"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rPr>
              <w:t>YFYQ-004-2020</w:t>
            </w:r>
          </w:p>
        </w:tc>
        <w:tc>
          <w:tcPr>
            <w:tcW w:w="734" w:type="pct"/>
            <w:vAlign w:val="center"/>
          </w:tcPr>
          <w:p w14:paraId="6CFFE51B"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0.03</w:t>
            </w:r>
          </w:p>
          <w:p w14:paraId="30053020"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52140414"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1480A64" w14:textId="77777777" w:rsidTr="006B496C">
        <w:trPr>
          <w:trHeight w:val="567"/>
          <w:jc w:val="center"/>
        </w:trPr>
        <w:tc>
          <w:tcPr>
            <w:tcW w:w="247" w:type="pct"/>
            <w:vAlign w:val="center"/>
          </w:tcPr>
          <w:p w14:paraId="026B4BAD"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12</w:t>
            </w:r>
          </w:p>
        </w:tc>
        <w:tc>
          <w:tcPr>
            <w:tcW w:w="526" w:type="pct"/>
            <w:vMerge/>
            <w:vAlign w:val="center"/>
          </w:tcPr>
          <w:p w14:paraId="6942EFE1"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47F9883F"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氯仿</w:t>
            </w:r>
          </w:p>
        </w:tc>
        <w:tc>
          <w:tcPr>
            <w:tcW w:w="1467" w:type="pct"/>
            <w:vMerge/>
            <w:vAlign w:val="center"/>
          </w:tcPr>
          <w:p w14:paraId="4AECACE2"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74B12554"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4AF1EF7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3E7B997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26BC4FA4"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3190CFDD" w14:textId="77777777" w:rsidTr="006B496C">
        <w:trPr>
          <w:trHeight w:val="567"/>
          <w:jc w:val="center"/>
        </w:trPr>
        <w:tc>
          <w:tcPr>
            <w:tcW w:w="247" w:type="pct"/>
            <w:vAlign w:val="center"/>
          </w:tcPr>
          <w:p w14:paraId="63C36090"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13</w:t>
            </w:r>
          </w:p>
        </w:tc>
        <w:tc>
          <w:tcPr>
            <w:tcW w:w="526" w:type="pct"/>
            <w:vMerge/>
            <w:vAlign w:val="center"/>
          </w:tcPr>
          <w:p w14:paraId="595C6408"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48765A14"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1,1-</w:t>
            </w:r>
            <w:r w:rsidRPr="006B496C">
              <w:rPr>
                <w:rFonts w:asciiTheme="minorHAnsi" w:hAnsiTheme="minorHAnsi" w:cs="Times New Roman"/>
                <w:color w:val="auto"/>
                <w:szCs w:val="21"/>
              </w:rPr>
              <w:t>二氯</w:t>
            </w:r>
          </w:p>
          <w:p w14:paraId="7F6A7C9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乙烷</w:t>
            </w:r>
          </w:p>
        </w:tc>
        <w:tc>
          <w:tcPr>
            <w:tcW w:w="1467" w:type="pct"/>
            <w:vMerge/>
            <w:vAlign w:val="center"/>
          </w:tcPr>
          <w:p w14:paraId="3339B592"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47F77549"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7B5B43C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7744872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1B01DD3B"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3406DDB" w14:textId="77777777" w:rsidTr="006B496C">
        <w:trPr>
          <w:trHeight w:val="567"/>
          <w:jc w:val="center"/>
        </w:trPr>
        <w:tc>
          <w:tcPr>
            <w:tcW w:w="247" w:type="pct"/>
            <w:vAlign w:val="center"/>
          </w:tcPr>
          <w:p w14:paraId="1B832A4D"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14</w:t>
            </w:r>
          </w:p>
        </w:tc>
        <w:tc>
          <w:tcPr>
            <w:tcW w:w="526" w:type="pct"/>
            <w:vMerge/>
            <w:vAlign w:val="center"/>
          </w:tcPr>
          <w:p w14:paraId="11FA9DB9"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6817C33"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1,2-</w:t>
            </w:r>
            <w:r w:rsidRPr="006B496C">
              <w:rPr>
                <w:rFonts w:asciiTheme="minorHAnsi" w:hAnsiTheme="minorHAnsi" w:cs="Times New Roman"/>
                <w:color w:val="auto"/>
                <w:szCs w:val="21"/>
              </w:rPr>
              <w:t>二氯</w:t>
            </w:r>
          </w:p>
          <w:p w14:paraId="4086A0FF"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乙烷</w:t>
            </w:r>
            <w:r w:rsidRPr="006B496C">
              <w:rPr>
                <w:rFonts w:asciiTheme="minorHAnsi" w:hAnsiTheme="minorHAnsi" w:cs="Times New Roman"/>
                <w:color w:val="auto"/>
                <w:szCs w:val="21"/>
              </w:rPr>
              <w:t>+</w:t>
            </w:r>
            <w:r w:rsidRPr="006B496C">
              <w:rPr>
                <w:rFonts w:asciiTheme="minorHAnsi" w:hAnsiTheme="minorHAnsi" w:cs="Times New Roman"/>
                <w:color w:val="auto"/>
                <w:szCs w:val="21"/>
              </w:rPr>
              <w:t>苯</w:t>
            </w:r>
          </w:p>
        </w:tc>
        <w:tc>
          <w:tcPr>
            <w:tcW w:w="1467" w:type="pct"/>
            <w:vMerge/>
            <w:vAlign w:val="center"/>
          </w:tcPr>
          <w:p w14:paraId="07DB22C5"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7CD181A8"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0C67FCA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0.01</w:t>
            </w:r>
          </w:p>
          <w:p w14:paraId="0C55290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A13C384"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A0C7133" w14:textId="77777777" w:rsidTr="006B496C">
        <w:trPr>
          <w:trHeight w:val="567"/>
          <w:jc w:val="center"/>
        </w:trPr>
        <w:tc>
          <w:tcPr>
            <w:tcW w:w="247" w:type="pct"/>
            <w:vAlign w:val="center"/>
          </w:tcPr>
          <w:p w14:paraId="79C3284C"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15</w:t>
            </w:r>
          </w:p>
        </w:tc>
        <w:tc>
          <w:tcPr>
            <w:tcW w:w="526" w:type="pct"/>
            <w:vMerge/>
            <w:vAlign w:val="center"/>
          </w:tcPr>
          <w:p w14:paraId="4EEDDF39"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1699720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1,1-</w:t>
            </w:r>
            <w:r w:rsidRPr="006B496C">
              <w:rPr>
                <w:rFonts w:asciiTheme="minorHAnsi" w:hAnsiTheme="minorHAnsi" w:cs="Times New Roman"/>
                <w:color w:val="auto"/>
                <w:szCs w:val="21"/>
              </w:rPr>
              <w:t>二氯</w:t>
            </w:r>
          </w:p>
          <w:p w14:paraId="17B8A56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乙烯</w:t>
            </w:r>
          </w:p>
        </w:tc>
        <w:tc>
          <w:tcPr>
            <w:tcW w:w="1467" w:type="pct"/>
            <w:vMerge/>
            <w:vAlign w:val="center"/>
          </w:tcPr>
          <w:p w14:paraId="21AF1E7E"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56317DB9"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43B0F3A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0.01</w:t>
            </w:r>
          </w:p>
          <w:p w14:paraId="76803883"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004FA8B"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612EB6B5" w14:textId="77777777" w:rsidTr="006B496C">
        <w:trPr>
          <w:trHeight w:val="567"/>
          <w:jc w:val="center"/>
        </w:trPr>
        <w:tc>
          <w:tcPr>
            <w:tcW w:w="247" w:type="pct"/>
            <w:vAlign w:val="center"/>
          </w:tcPr>
          <w:p w14:paraId="5A5F8F09"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16</w:t>
            </w:r>
          </w:p>
        </w:tc>
        <w:tc>
          <w:tcPr>
            <w:tcW w:w="526" w:type="pct"/>
            <w:vMerge/>
            <w:vAlign w:val="center"/>
          </w:tcPr>
          <w:p w14:paraId="1EFF407C"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4159A452"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顺</w:t>
            </w:r>
            <w:r w:rsidRPr="006B496C">
              <w:rPr>
                <w:rFonts w:asciiTheme="minorHAnsi" w:hAnsiTheme="minorHAnsi" w:cs="Times New Roman"/>
                <w:color w:val="auto"/>
                <w:szCs w:val="21"/>
              </w:rPr>
              <w:t>-1,2-</w:t>
            </w:r>
            <w:r w:rsidRPr="006B496C">
              <w:rPr>
                <w:rFonts w:asciiTheme="minorHAnsi" w:hAnsiTheme="minorHAnsi" w:cs="Times New Roman"/>
                <w:color w:val="auto"/>
                <w:szCs w:val="21"/>
              </w:rPr>
              <w:t>二氯乙烯</w:t>
            </w:r>
          </w:p>
        </w:tc>
        <w:tc>
          <w:tcPr>
            <w:tcW w:w="1467" w:type="pct"/>
            <w:vMerge/>
            <w:vAlign w:val="center"/>
          </w:tcPr>
          <w:p w14:paraId="2701BE60"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08F12186"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259FD172"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0.008</w:t>
            </w:r>
          </w:p>
          <w:p w14:paraId="7F32CBF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5AC8B759"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8002788" w14:textId="77777777" w:rsidTr="006B496C">
        <w:trPr>
          <w:trHeight w:val="567"/>
          <w:jc w:val="center"/>
        </w:trPr>
        <w:tc>
          <w:tcPr>
            <w:tcW w:w="247" w:type="pct"/>
            <w:vAlign w:val="center"/>
          </w:tcPr>
          <w:p w14:paraId="582434BD"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17</w:t>
            </w:r>
          </w:p>
        </w:tc>
        <w:tc>
          <w:tcPr>
            <w:tcW w:w="526" w:type="pct"/>
            <w:vMerge/>
            <w:vAlign w:val="center"/>
          </w:tcPr>
          <w:p w14:paraId="00082196"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2FD32AF"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反</w:t>
            </w:r>
            <w:r w:rsidRPr="006B496C">
              <w:rPr>
                <w:rFonts w:asciiTheme="minorHAnsi" w:hAnsiTheme="minorHAnsi" w:cs="Times New Roman"/>
                <w:color w:val="auto"/>
                <w:szCs w:val="21"/>
              </w:rPr>
              <w:t>-1,2-</w:t>
            </w:r>
            <w:r w:rsidRPr="006B496C">
              <w:rPr>
                <w:rFonts w:asciiTheme="minorHAnsi" w:hAnsiTheme="minorHAnsi" w:cs="Times New Roman"/>
                <w:color w:val="auto"/>
                <w:szCs w:val="21"/>
              </w:rPr>
              <w:t>二氯乙烯</w:t>
            </w:r>
          </w:p>
        </w:tc>
        <w:tc>
          <w:tcPr>
            <w:tcW w:w="1467" w:type="pct"/>
            <w:vMerge/>
            <w:vAlign w:val="center"/>
          </w:tcPr>
          <w:p w14:paraId="568E5072"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2CB109F8"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1ED83FCB"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69141A4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4340CCDE"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137689DE" w14:textId="77777777" w:rsidTr="006B496C">
        <w:trPr>
          <w:trHeight w:val="567"/>
          <w:jc w:val="center"/>
        </w:trPr>
        <w:tc>
          <w:tcPr>
            <w:tcW w:w="247" w:type="pct"/>
            <w:vAlign w:val="center"/>
          </w:tcPr>
          <w:p w14:paraId="28F95FCE"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18</w:t>
            </w:r>
          </w:p>
        </w:tc>
        <w:tc>
          <w:tcPr>
            <w:tcW w:w="526" w:type="pct"/>
            <w:vMerge/>
            <w:vAlign w:val="center"/>
          </w:tcPr>
          <w:p w14:paraId="01DD1BAF"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1A7BC4BF"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二氯甲烷</w:t>
            </w:r>
          </w:p>
        </w:tc>
        <w:tc>
          <w:tcPr>
            <w:tcW w:w="1467" w:type="pct"/>
            <w:vMerge/>
            <w:vAlign w:val="center"/>
          </w:tcPr>
          <w:p w14:paraId="19378166"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016BDE68"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223FDFA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0774A38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20B323F1"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7B69E8E5" w14:textId="77777777" w:rsidTr="006B496C">
        <w:trPr>
          <w:trHeight w:val="567"/>
          <w:jc w:val="center"/>
        </w:trPr>
        <w:tc>
          <w:tcPr>
            <w:tcW w:w="247" w:type="pct"/>
            <w:vAlign w:val="center"/>
          </w:tcPr>
          <w:p w14:paraId="4593B30C"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19</w:t>
            </w:r>
          </w:p>
        </w:tc>
        <w:tc>
          <w:tcPr>
            <w:tcW w:w="526" w:type="pct"/>
            <w:vMerge/>
            <w:vAlign w:val="center"/>
          </w:tcPr>
          <w:p w14:paraId="4E48A7B1"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45608AB"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1,2-</w:t>
            </w:r>
            <w:r w:rsidRPr="006B496C">
              <w:rPr>
                <w:rFonts w:asciiTheme="minorHAnsi" w:hAnsiTheme="minorHAnsi" w:cs="Times New Roman"/>
                <w:color w:val="auto"/>
                <w:szCs w:val="21"/>
              </w:rPr>
              <w:t>二氯</w:t>
            </w:r>
          </w:p>
          <w:p w14:paraId="03975A0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丙烷</w:t>
            </w:r>
          </w:p>
        </w:tc>
        <w:tc>
          <w:tcPr>
            <w:tcW w:w="1467" w:type="pct"/>
            <w:vMerge/>
            <w:vAlign w:val="center"/>
          </w:tcPr>
          <w:p w14:paraId="606539BF"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26653C9D"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14D31FE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0.008</w:t>
            </w:r>
          </w:p>
          <w:p w14:paraId="027C156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6D4E99A9"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556F9C08" w14:textId="77777777" w:rsidTr="006B496C">
        <w:trPr>
          <w:trHeight w:val="567"/>
          <w:jc w:val="center"/>
        </w:trPr>
        <w:tc>
          <w:tcPr>
            <w:tcW w:w="247" w:type="pct"/>
            <w:vAlign w:val="center"/>
          </w:tcPr>
          <w:p w14:paraId="29189DBE"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20</w:t>
            </w:r>
          </w:p>
        </w:tc>
        <w:tc>
          <w:tcPr>
            <w:tcW w:w="526" w:type="pct"/>
            <w:vMerge/>
            <w:vAlign w:val="center"/>
          </w:tcPr>
          <w:p w14:paraId="306841F0"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2AB66BB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1,1,1,2-</w:t>
            </w:r>
            <w:r w:rsidRPr="006B496C">
              <w:rPr>
                <w:rFonts w:asciiTheme="minorHAnsi" w:hAnsiTheme="minorHAnsi" w:cs="Times New Roman"/>
                <w:color w:val="auto"/>
                <w:szCs w:val="21"/>
              </w:rPr>
              <w:t>四氯乙烷</w:t>
            </w:r>
          </w:p>
        </w:tc>
        <w:tc>
          <w:tcPr>
            <w:tcW w:w="1467" w:type="pct"/>
            <w:vMerge/>
            <w:vAlign w:val="center"/>
          </w:tcPr>
          <w:p w14:paraId="334EB83A"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6DFE48C2"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4F3A2373"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046EDF0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2C6FBB42"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66A9E43C" w14:textId="77777777" w:rsidTr="006B496C">
        <w:trPr>
          <w:trHeight w:val="567"/>
          <w:jc w:val="center"/>
        </w:trPr>
        <w:tc>
          <w:tcPr>
            <w:tcW w:w="247" w:type="pct"/>
            <w:vAlign w:val="center"/>
          </w:tcPr>
          <w:p w14:paraId="35C1BC91"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21</w:t>
            </w:r>
          </w:p>
        </w:tc>
        <w:tc>
          <w:tcPr>
            <w:tcW w:w="526" w:type="pct"/>
            <w:vMerge/>
            <w:vAlign w:val="center"/>
          </w:tcPr>
          <w:p w14:paraId="646BE276"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19DBB644"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1,1,2,2-</w:t>
            </w:r>
            <w:r w:rsidRPr="006B496C">
              <w:rPr>
                <w:rFonts w:asciiTheme="minorHAnsi" w:hAnsiTheme="minorHAnsi" w:cs="Times New Roman"/>
                <w:color w:val="auto"/>
                <w:szCs w:val="21"/>
              </w:rPr>
              <w:t>四氯乙烷</w:t>
            </w:r>
          </w:p>
        </w:tc>
        <w:tc>
          <w:tcPr>
            <w:tcW w:w="1467" w:type="pct"/>
            <w:vMerge/>
            <w:vAlign w:val="center"/>
          </w:tcPr>
          <w:p w14:paraId="1CEC09AD"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263BE374"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6291960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06368AC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7576B926"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5614DEDC" w14:textId="77777777" w:rsidTr="006B496C">
        <w:trPr>
          <w:trHeight w:val="567"/>
          <w:jc w:val="center"/>
        </w:trPr>
        <w:tc>
          <w:tcPr>
            <w:tcW w:w="247" w:type="pct"/>
            <w:vAlign w:val="center"/>
          </w:tcPr>
          <w:p w14:paraId="1EA5AE56"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22</w:t>
            </w:r>
          </w:p>
        </w:tc>
        <w:tc>
          <w:tcPr>
            <w:tcW w:w="526" w:type="pct"/>
            <w:vMerge/>
            <w:vAlign w:val="center"/>
          </w:tcPr>
          <w:p w14:paraId="551DD93B"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75238AE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四氯乙烯</w:t>
            </w:r>
          </w:p>
        </w:tc>
        <w:tc>
          <w:tcPr>
            <w:tcW w:w="1467" w:type="pct"/>
            <w:vMerge/>
            <w:vAlign w:val="center"/>
          </w:tcPr>
          <w:p w14:paraId="6F953515"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4A224D0E"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20F2F79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24122099"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667949E6"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5EDCBE05" w14:textId="77777777" w:rsidTr="006B496C">
        <w:trPr>
          <w:trHeight w:val="567"/>
          <w:jc w:val="center"/>
        </w:trPr>
        <w:tc>
          <w:tcPr>
            <w:tcW w:w="247" w:type="pct"/>
            <w:vAlign w:val="center"/>
          </w:tcPr>
          <w:p w14:paraId="79B683BF"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23</w:t>
            </w:r>
          </w:p>
        </w:tc>
        <w:tc>
          <w:tcPr>
            <w:tcW w:w="526" w:type="pct"/>
            <w:vMerge/>
            <w:vAlign w:val="center"/>
          </w:tcPr>
          <w:p w14:paraId="69E930D1"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3202BAA3"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1,1,1-</w:t>
            </w:r>
            <w:r w:rsidRPr="006B496C">
              <w:rPr>
                <w:rFonts w:asciiTheme="minorHAnsi" w:hAnsiTheme="minorHAnsi" w:cs="Times New Roman"/>
                <w:color w:val="auto"/>
                <w:szCs w:val="21"/>
              </w:rPr>
              <w:t>三氯乙烷</w:t>
            </w:r>
          </w:p>
        </w:tc>
        <w:tc>
          <w:tcPr>
            <w:tcW w:w="1467" w:type="pct"/>
            <w:vMerge/>
            <w:vAlign w:val="center"/>
          </w:tcPr>
          <w:p w14:paraId="2DBECA98"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0B6EF8B9"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3B4879F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667BF1B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BF5C6E9"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0681C83" w14:textId="77777777" w:rsidTr="006B496C">
        <w:trPr>
          <w:trHeight w:val="567"/>
          <w:jc w:val="center"/>
        </w:trPr>
        <w:tc>
          <w:tcPr>
            <w:tcW w:w="247" w:type="pct"/>
            <w:vAlign w:val="center"/>
          </w:tcPr>
          <w:p w14:paraId="5572BCCD"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24</w:t>
            </w:r>
          </w:p>
        </w:tc>
        <w:tc>
          <w:tcPr>
            <w:tcW w:w="526" w:type="pct"/>
            <w:vMerge/>
            <w:vAlign w:val="center"/>
          </w:tcPr>
          <w:p w14:paraId="2DC1EF66"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0409D74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1,1,2-</w:t>
            </w:r>
            <w:r w:rsidRPr="006B496C">
              <w:rPr>
                <w:rFonts w:asciiTheme="minorHAnsi" w:hAnsiTheme="minorHAnsi" w:cs="Times New Roman"/>
                <w:color w:val="auto"/>
                <w:szCs w:val="21"/>
              </w:rPr>
              <w:t>三氯乙烷</w:t>
            </w:r>
          </w:p>
        </w:tc>
        <w:tc>
          <w:tcPr>
            <w:tcW w:w="1467" w:type="pct"/>
            <w:vMerge/>
            <w:vAlign w:val="center"/>
          </w:tcPr>
          <w:p w14:paraId="089378C3"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1C8C8165"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554CCE24"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7E8D1BBB"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066DE147"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039AEB0" w14:textId="77777777" w:rsidTr="006B496C">
        <w:trPr>
          <w:trHeight w:val="567"/>
          <w:jc w:val="center"/>
        </w:trPr>
        <w:tc>
          <w:tcPr>
            <w:tcW w:w="247" w:type="pct"/>
            <w:vAlign w:val="center"/>
          </w:tcPr>
          <w:p w14:paraId="751A9E82"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25</w:t>
            </w:r>
          </w:p>
        </w:tc>
        <w:tc>
          <w:tcPr>
            <w:tcW w:w="526" w:type="pct"/>
            <w:vMerge/>
            <w:vAlign w:val="center"/>
          </w:tcPr>
          <w:p w14:paraId="193FE806"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43B4FF54"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三氯乙烯</w:t>
            </w:r>
          </w:p>
        </w:tc>
        <w:tc>
          <w:tcPr>
            <w:tcW w:w="1467" w:type="pct"/>
            <w:vMerge/>
            <w:vAlign w:val="center"/>
          </w:tcPr>
          <w:p w14:paraId="11B4087E"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42B68E7C"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7084F42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0.009</w:t>
            </w:r>
          </w:p>
          <w:p w14:paraId="379846F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67E7BC8F"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3BA6DBB8" w14:textId="77777777" w:rsidTr="006B496C">
        <w:trPr>
          <w:trHeight w:val="567"/>
          <w:jc w:val="center"/>
        </w:trPr>
        <w:tc>
          <w:tcPr>
            <w:tcW w:w="247" w:type="pct"/>
            <w:vAlign w:val="center"/>
          </w:tcPr>
          <w:p w14:paraId="7FEF6FA0"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26</w:t>
            </w:r>
          </w:p>
        </w:tc>
        <w:tc>
          <w:tcPr>
            <w:tcW w:w="526" w:type="pct"/>
            <w:vMerge/>
            <w:vAlign w:val="center"/>
          </w:tcPr>
          <w:p w14:paraId="1F9A373A"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7A45675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1,2,3-</w:t>
            </w:r>
            <w:r w:rsidRPr="006B496C">
              <w:rPr>
                <w:rFonts w:asciiTheme="minorHAnsi" w:hAnsiTheme="minorHAnsi" w:cs="Times New Roman"/>
                <w:color w:val="auto"/>
                <w:szCs w:val="21"/>
              </w:rPr>
              <w:t>三氯丙烷</w:t>
            </w:r>
          </w:p>
        </w:tc>
        <w:tc>
          <w:tcPr>
            <w:tcW w:w="1467" w:type="pct"/>
            <w:vMerge/>
            <w:vAlign w:val="center"/>
          </w:tcPr>
          <w:p w14:paraId="539A4215"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5FE5F293"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1397CE2B"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41CCF62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6F0C0849"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1DABD7D3" w14:textId="77777777" w:rsidTr="006B496C">
        <w:trPr>
          <w:trHeight w:val="567"/>
          <w:jc w:val="center"/>
        </w:trPr>
        <w:tc>
          <w:tcPr>
            <w:tcW w:w="247" w:type="pct"/>
            <w:vAlign w:val="center"/>
          </w:tcPr>
          <w:p w14:paraId="0B47FDC9"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27</w:t>
            </w:r>
          </w:p>
        </w:tc>
        <w:tc>
          <w:tcPr>
            <w:tcW w:w="526" w:type="pct"/>
            <w:vMerge/>
            <w:vAlign w:val="center"/>
          </w:tcPr>
          <w:p w14:paraId="63DFB6A0"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186DF13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氯乙烯</w:t>
            </w:r>
          </w:p>
        </w:tc>
        <w:tc>
          <w:tcPr>
            <w:tcW w:w="1467" w:type="pct"/>
            <w:vMerge/>
            <w:vAlign w:val="center"/>
          </w:tcPr>
          <w:p w14:paraId="4CCBA3B2"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3B53BFE7"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16F5CB6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6E88D0A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11B9BD9D"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7AAB39E1" w14:textId="77777777" w:rsidTr="006B496C">
        <w:trPr>
          <w:trHeight w:val="567"/>
          <w:jc w:val="center"/>
        </w:trPr>
        <w:tc>
          <w:tcPr>
            <w:tcW w:w="247" w:type="pct"/>
            <w:vAlign w:val="center"/>
          </w:tcPr>
          <w:p w14:paraId="64837E6F"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28</w:t>
            </w:r>
          </w:p>
        </w:tc>
        <w:tc>
          <w:tcPr>
            <w:tcW w:w="526" w:type="pct"/>
            <w:vMerge/>
            <w:vAlign w:val="center"/>
          </w:tcPr>
          <w:p w14:paraId="23965ECA"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ABF258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氯苯</w:t>
            </w:r>
          </w:p>
        </w:tc>
        <w:tc>
          <w:tcPr>
            <w:tcW w:w="1467" w:type="pct"/>
            <w:vMerge/>
            <w:vAlign w:val="center"/>
          </w:tcPr>
          <w:p w14:paraId="720F8415"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584B03E0"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50E0981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0.005</w:t>
            </w:r>
          </w:p>
          <w:p w14:paraId="5337A3E3"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18972D22"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F42B899" w14:textId="77777777" w:rsidTr="006B496C">
        <w:trPr>
          <w:trHeight w:val="567"/>
          <w:jc w:val="center"/>
        </w:trPr>
        <w:tc>
          <w:tcPr>
            <w:tcW w:w="247" w:type="pct"/>
            <w:vAlign w:val="center"/>
          </w:tcPr>
          <w:p w14:paraId="15D8665A"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29</w:t>
            </w:r>
          </w:p>
        </w:tc>
        <w:tc>
          <w:tcPr>
            <w:tcW w:w="526" w:type="pct"/>
            <w:vMerge/>
            <w:vAlign w:val="center"/>
          </w:tcPr>
          <w:p w14:paraId="29DB36AE"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9CD7C9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1,2-</w:t>
            </w:r>
            <w:r w:rsidRPr="006B496C">
              <w:rPr>
                <w:rFonts w:asciiTheme="minorHAnsi" w:hAnsiTheme="minorHAnsi" w:cs="Times New Roman"/>
                <w:color w:val="auto"/>
                <w:szCs w:val="21"/>
              </w:rPr>
              <w:t>二氯苯</w:t>
            </w:r>
          </w:p>
        </w:tc>
        <w:tc>
          <w:tcPr>
            <w:tcW w:w="1467" w:type="pct"/>
            <w:vMerge/>
            <w:vAlign w:val="center"/>
          </w:tcPr>
          <w:p w14:paraId="3B317C5B"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747C7E2E"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6701A3B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44F2B12B"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2D83AAF8"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A908D1F" w14:textId="77777777" w:rsidTr="006B496C">
        <w:trPr>
          <w:trHeight w:val="567"/>
          <w:jc w:val="center"/>
        </w:trPr>
        <w:tc>
          <w:tcPr>
            <w:tcW w:w="247" w:type="pct"/>
            <w:vAlign w:val="center"/>
          </w:tcPr>
          <w:p w14:paraId="2DB08A84"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30</w:t>
            </w:r>
          </w:p>
        </w:tc>
        <w:tc>
          <w:tcPr>
            <w:tcW w:w="526" w:type="pct"/>
            <w:vMerge/>
            <w:vAlign w:val="center"/>
          </w:tcPr>
          <w:p w14:paraId="68BEC7FC"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7A0B0D2C"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1,4-</w:t>
            </w:r>
            <w:r w:rsidRPr="006B496C">
              <w:rPr>
                <w:rFonts w:asciiTheme="minorHAnsi" w:hAnsiTheme="minorHAnsi" w:cs="Times New Roman"/>
                <w:color w:val="auto"/>
                <w:szCs w:val="21"/>
              </w:rPr>
              <w:t>二氯苯</w:t>
            </w:r>
          </w:p>
        </w:tc>
        <w:tc>
          <w:tcPr>
            <w:tcW w:w="1467" w:type="pct"/>
            <w:vMerge/>
            <w:vAlign w:val="center"/>
          </w:tcPr>
          <w:p w14:paraId="15055024"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07E03200"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3EEAD0F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0.008</w:t>
            </w:r>
          </w:p>
          <w:p w14:paraId="515F589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51D66FEC"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9BB6E9E" w14:textId="77777777" w:rsidTr="006B496C">
        <w:trPr>
          <w:trHeight w:val="567"/>
          <w:jc w:val="center"/>
        </w:trPr>
        <w:tc>
          <w:tcPr>
            <w:tcW w:w="247" w:type="pct"/>
            <w:vAlign w:val="center"/>
          </w:tcPr>
          <w:p w14:paraId="0682B6AE"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31</w:t>
            </w:r>
          </w:p>
        </w:tc>
        <w:tc>
          <w:tcPr>
            <w:tcW w:w="526" w:type="pct"/>
            <w:vMerge/>
            <w:vAlign w:val="center"/>
          </w:tcPr>
          <w:p w14:paraId="5FA6F193"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228E6F5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乙苯</w:t>
            </w:r>
          </w:p>
        </w:tc>
        <w:tc>
          <w:tcPr>
            <w:tcW w:w="1467" w:type="pct"/>
            <w:vMerge/>
            <w:vAlign w:val="center"/>
          </w:tcPr>
          <w:p w14:paraId="4D533041"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0B6F15EB"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3FA885D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0.006</w:t>
            </w:r>
          </w:p>
          <w:p w14:paraId="3F23DFD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5E4F7800"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555B0DFE" w14:textId="77777777" w:rsidTr="006B496C">
        <w:trPr>
          <w:trHeight w:val="567"/>
          <w:jc w:val="center"/>
        </w:trPr>
        <w:tc>
          <w:tcPr>
            <w:tcW w:w="247" w:type="pct"/>
            <w:vAlign w:val="center"/>
          </w:tcPr>
          <w:p w14:paraId="168F7C57"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lastRenderedPageBreak/>
              <w:t>32</w:t>
            </w:r>
          </w:p>
        </w:tc>
        <w:tc>
          <w:tcPr>
            <w:tcW w:w="526" w:type="pct"/>
            <w:vMerge/>
            <w:vAlign w:val="center"/>
          </w:tcPr>
          <w:p w14:paraId="19A1E063"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7229F414"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甲苯</w:t>
            </w:r>
          </w:p>
        </w:tc>
        <w:tc>
          <w:tcPr>
            <w:tcW w:w="1467" w:type="pct"/>
            <w:vMerge/>
            <w:vAlign w:val="center"/>
          </w:tcPr>
          <w:p w14:paraId="4E85935C"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75730011"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57D68F99"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0.006</w:t>
            </w:r>
          </w:p>
          <w:p w14:paraId="5D4FD17F"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5A24EB13"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BF0AE41" w14:textId="77777777" w:rsidTr="006B496C">
        <w:trPr>
          <w:trHeight w:val="567"/>
          <w:jc w:val="center"/>
        </w:trPr>
        <w:tc>
          <w:tcPr>
            <w:tcW w:w="247" w:type="pct"/>
            <w:vAlign w:val="center"/>
          </w:tcPr>
          <w:p w14:paraId="2134BE2A"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33</w:t>
            </w:r>
          </w:p>
        </w:tc>
        <w:tc>
          <w:tcPr>
            <w:tcW w:w="526" w:type="pct"/>
            <w:vMerge/>
            <w:vAlign w:val="center"/>
          </w:tcPr>
          <w:p w14:paraId="7F701284"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09835A2D"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间</w:t>
            </w:r>
            <w:r w:rsidRPr="006B496C">
              <w:rPr>
                <w:rFonts w:asciiTheme="minorHAnsi" w:hAnsiTheme="minorHAnsi" w:cs="Times New Roman"/>
                <w:color w:val="auto"/>
                <w:szCs w:val="21"/>
              </w:rPr>
              <w:t>+</w:t>
            </w:r>
            <w:r w:rsidRPr="006B496C">
              <w:rPr>
                <w:rFonts w:asciiTheme="minorHAnsi" w:hAnsiTheme="minorHAnsi" w:cs="Times New Roman"/>
                <w:color w:val="auto"/>
                <w:szCs w:val="21"/>
              </w:rPr>
              <w:t>对</w:t>
            </w:r>
            <w:r w:rsidRPr="006B496C">
              <w:rPr>
                <w:rFonts w:asciiTheme="minorHAnsi" w:hAnsiTheme="minorHAnsi" w:cs="Times New Roman"/>
                <w:color w:val="auto"/>
                <w:szCs w:val="21"/>
              </w:rPr>
              <w:t>-</w:t>
            </w:r>
            <w:r w:rsidRPr="006B496C">
              <w:rPr>
                <w:rFonts w:asciiTheme="minorHAnsi" w:hAnsiTheme="minorHAnsi" w:cs="Times New Roman"/>
                <w:color w:val="auto"/>
                <w:szCs w:val="21"/>
              </w:rPr>
              <w:t>二甲苯</w:t>
            </w:r>
          </w:p>
        </w:tc>
        <w:tc>
          <w:tcPr>
            <w:tcW w:w="1467" w:type="pct"/>
            <w:vMerge/>
            <w:vAlign w:val="center"/>
          </w:tcPr>
          <w:p w14:paraId="0F272C85"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6CE39852"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72576FDB"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0.009</w:t>
            </w:r>
          </w:p>
          <w:p w14:paraId="1F6B1E52"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6B76E9B5"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04FB779" w14:textId="77777777" w:rsidTr="006B496C">
        <w:trPr>
          <w:trHeight w:val="567"/>
          <w:jc w:val="center"/>
        </w:trPr>
        <w:tc>
          <w:tcPr>
            <w:tcW w:w="247" w:type="pct"/>
            <w:vAlign w:val="center"/>
          </w:tcPr>
          <w:p w14:paraId="6B59C3DC"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34</w:t>
            </w:r>
          </w:p>
        </w:tc>
        <w:tc>
          <w:tcPr>
            <w:tcW w:w="526" w:type="pct"/>
            <w:vMerge/>
            <w:vAlign w:val="center"/>
          </w:tcPr>
          <w:p w14:paraId="6DBBBD5D"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65C8F19"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邻</w:t>
            </w:r>
            <w:r w:rsidRPr="006B496C">
              <w:rPr>
                <w:rFonts w:asciiTheme="minorHAnsi" w:hAnsiTheme="minorHAnsi" w:cs="Times New Roman"/>
                <w:color w:val="auto"/>
                <w:szCs w:val="21"/>
              </w:rPr>
              <w:t>-</w:t>
            </w:r>
            <w:r w:rsidRPr="006B496C">
              <w:rPr>
                <w:rFonts w:asciiTheme="minorHAnsi" w:hAnsiTheme="minorHAnsi" w:cs="Times New Roman"/>
                <w:color w:val="auto"/>
                <w:szCs w:val="21"/>
              </w:rPr>
              <w:t>二甲苯</w:t>
            </w:r>
            <w:r w:rsidRPr="006B496C">
              <w:rPr>
                <w:rFonts w:asciiTheme="minorHAnsi" w:hAnsiTheme="minorHAnsi" w:cs="Times New Roman"/>
                <w:color w:val="auto"/>
                <w:szCs w:val="21"/>
              </w:rPr>
              <w:t>+</w:t>
            </w:r>
            <w:r w:rsidRPr="006B496C">
              <w:rPr>
                <w:rFonts w:asciiTheme="minorHAnsi" w:hAnsiTheme="minorHAnsi" w:cs="Times New Roman"/>
                <w:color w:val="auto"/>
                <w:szCs w:val="21"/>
              </w:rPr>
              <w:t>苯乙烯</w:t>
            </w:r>
          </w:p>
        </w:tc>
        <w:tc>
          <w:tcPr>
            <w:tcW w:w="1467" w:type="pct"/>
            <w:vMerge/>
            <w:vAlign w:val="center"/>
          </w:tcPr>
          <w:p w14:paraId="37EA84BB" w14:textId="77777777" w:rsidR="006B496C" w:rsidRPr="006B496C" w:rsidRDefault="006B496C" w:rsidP="008367BA">
            <w:pPr>
              <w:snapToGrid w:val="0"/>
              <w:jc w:val="center"/>
              <w:rPr>
                <w:rFonts w:asciiTheme="minorHAnsi" w:hAnsiTheme="minorHAnsi" w:cs="Times New Roman"/>
                <w:color w:val="auto"/>
                <w:szCs w:val="21"/>
              </w:rPr>
            </w:pPr>
          </w:p>
        </w:tc>
        <w:tc>
          <w:tcPr>
            <w:tcW w:w="896" w:type="pct"/>
            <w:vMerge/>
            <w:vAlign w:val="center"/>
          </w:tcPr>
          <w:p w14:paraId="3AF2BAD2"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p>
        </w:tc>
        <w:tc>
          <w:tcPr>
            <w:tcW w:w="734" w:type="pct"/>
            <w:vAlign w:val="center"/>
          </w:tcPr>
          <w:p w14:paraId="0CF5EFAC"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0.02</w:t>
            </w:r>
          </w:p>
          <w:p w14:paraId="51F843B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C4BBAF2"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724245C9" w14:textId="77777777" w:rsidTr="006B496C">
        <w:trPr>
          <w:trHeight w:val="567"/>
          <w:jc w:val="center"/>
        </w:trPr>
        <w:tc>
          <w:tcPr>
            <w:tcW w:w="247" w:type="pct"/>
            <w:vAlign w:val="center"/>
          </w:tcPr>
          <w:p w14:paraId="4D3E6377"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35</w:t>
            </w:r>
          </w:p>
        </w:tc>
        <w:tc>
          <w:tcPr>
            <w:tcW w:w="526" w:type="pct"/>
            <w:vMerge/>
            <w:vAlign w:val="center"/>
          </w:tcPr>
          <w:p w14:paraId="6D7AA325"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14D1B742"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氯甲烷</w:t>
            </w:r>
            <w:r w:rsidRPr="006B496C">
              <w:rPr>
                <w:rFonts w:asciiTheme="minorHAnsi" w:hAnsiTheme="minorHAnsi" w:cs="Times New Roman"/>
                <w:color w:val="auto"/>
                <w:szCs w:val="21"/>
                <w:vertAlign w:val="superscript"/>
                <w:lang w:bidi="ar"/>
              </w:rPr>
              <w:t>@</w:t>
            </w:r>
          </w:p>
        </w:tc>
        <w:tc>
          <w:tcPr>
            <w:tcW w:w="1467" w:type="pct"/>
            <w:vAlign w:val="center"/>
          </w:tcPr>
          <w:p w14:paraId="4C701958"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《土壤和沉积物</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挥发性有机物的测定</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吹扫捕集</w:t>
            </w:r>
            <w:r w:rsidRPr="006B496C">
              <w:rPr>
                <w:rFonts w:asciiTheme="minorHAnsi" w:hAnsiTheme="minorHAnsi" w:cs="Times New Roman"/>
                <w:color w:val="auto"/>
                <w:szCs w:val="21"/>
                <w:lang w:bidi="ar"/>
              </w:rPr>
              <w:t>/</w:t>
            </w:r>
            <w:r w:rsidRPr="006B496C">
              <w:rPr>
                <w:rFonts w:asciiTheme="minorHAnsi" w:hAnsiTheme="minorHAnsi" w:cs="Times New Roman"/>
                <w:color w:val="auto"/>
                <w:szCs w:val="21"/>
                <w:lang w:bidi="ar"/>
              </w:rPr>
              <w:t>气相色谱</w:t>
            </w:r>
            <w:r w:rsidRPr="006B496C">
              <w:rPr>
                <w:rFonts w:asciiTheme="minorHAnsi" w:hAnsiTheme="minorHAnsi" w:cs="Times New Roman"/>
                <w:color w:val="auto"/>
                <w:szCs w:val="21"/>
                <w:lang w:bidi="ar"/>
              </w:rPr>
              <w:t>-</w:t>
            </w:r>
            <w:r w:rsidRPr="006B496C">
              <w:rPr>
                <w:rFonts w:asciiTheme="minorHAnsi" w:hAnsiTheme="minorHAnsi" w:cs="Times New Roman"/>
                <w:color w:val="auto"/>
                <w:szCs w:val="21"/>
                <w:lang w:bidi="ar"/>
              </w:rPr>
              <w:t>质谱法》</w:t>
            </w:r>
            <w:r w:rsidRPr="006B496C">
              <w:rPr>
                <w:rFonts w:asciiTheme="minorHAnsi" w:hAnsiTheme="minorHAnsi" w:cs="Times New Roman"/>
                <w:color w:val="auto"/>
                <w:szCs w:val="21"/>
                <w:lang w:bidi="ar"/>
              </w:rPr>
              <w:t>HJ 605-2011</w:t>
            </w:r>
          </w:p>
        </w:tc>
        <w:tc>
          <w:tcPr>
            <w:tcW w:w="896" w:type="pct"/>
            <w:vAlign w:val="center"/>
          </w:tcPr>
          <w:p w14:paraId="038931EB" w14:textId="77777777" w:rsidR="006B496C" w:rsidRPr="006B496C" w:rsidRDefault="006B496C" w:rsidP="008367BA">
            <w:pPr>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气相色谱质谱联用仪</w:t>
            </w:r>
            <w:r w:rsidRPr="006B496C">
              <w:rPr>
                <w:rFonts w:asciiTheme="minorHAnsi" w:hAnsiTheme="minorHAnsi" w:cs="Times New Roman"/>
                <w:color w:val="auto"/>
                <w:szCs w:val="21"/>
                <w:lang w:bidi="ar"/>
              </w:rPr>
              <w:t xml:space="preserve"> 7890B-5977B/GC-MS</w:t>
            </w:r>
          </w:p>
        </w:tc>
        <w:tc>
          <w:tcPr>
            <w:tcW w:w="734" w:type="pct"/>
            <w:vAlign w:val="center"/>
          </w:tcPr>
          <w:p w14:paraId="414CBBE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1.0</w:t>
            </w:r>
          </w:p>
          <w:p w14:paraId="37D10A8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μg/kg</w:t>
            </w:r>
          </w:p>
        </w:tc>
        <w:tc>
          <w:tcPr>
            <w:tcW w:w="525" w:type="pct"/>
            <w:vAlign w:val="center"/>
          </w:tcPr>
          <w:p w14:paraId="698D7159"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6ABAA08" w14:textId="77777777" w:rsidTr="006B496C">
        <w:trPr>
          <w:trHeight w:val="567"/>
          <w:jc w:val="center"/>
        </w:trPr>
        <w:tc>
          <w:tcPr>
            <w:tcW w:w="247" w:type="pct"/>
            <w:vAlign w:val="center"/>
          </w:tcPr>
          <w:p w14:paraId="737C23C8"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36</w:t>
            </w:r>
          </w:p>
        </w:tc>
        <w:tc>
          <w:tcPr>
            <w:tcW w:w="526" w:type="pct"/>
            <w:vMerge/>
            <w:vAlign w:val="center"/>
          </w:tcPr>
          <w:p w14:paraId="7C75A1EB"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47D1B4B9"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苯胺</w:t>
            </w:r>
            <w:r w:rsidRPr="006B496C">
              <w:rPr>
                <w:rFonts w:asciiTheme="minorHAnsi" w:hAnsiTheme="minorHAnsi" w:cs="Times New Roman"/>
                <w:color w:val="auto"/>
                <w:szCs w:val="21"/>
                <w:vertAlign w:val="superscript"/>
                <w:lang w:bidi="ar"/>
              </w:rPr>
              <w:t>@</w:t>
            </w:r>
          </w:p>
        </w:tc>
        <w:tc>
          <w:tcPr>
            <w:tcW w:w="1467" w:type="pct"/>
            <w:vMerge w:val="restart"/>
            <w:vAlign w:val="center"/>
          </w:tcPr>
          <w:p w14:paraId="530EFCE4"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《土壤和沉积物</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半挥发性有机物的测定</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气相色谱</w:t>
            </w:r>
            <w:r w:rsidRPr="006B496C">
              <w:rPr>
                <w:rFonts w:asciiTheme="minorHAnsi" w:hAnsiTheme="minorHAnsi" w:cs="Times New Roman"/>
                <w:color w:val="auto"/>
                <w:szCs w:val="21"/>
                <w:lang w:bidi="ar"/>
              </w:rPr>
              <w:t>-</w:t>
            </w:r>
            <w:r w:rsidRPr="006B496C">
              <w:rPr>
                <w:rFonts w:asciiTheme="minorHAnsi" w:hAnsiTheme="minorHAnsi" w:cs="Times New Roman"/>
                <w:color w:val="auto"/>
                <w:szCs w:val="21"/>
                <w:lang w:bidi="ar"/>
              </w:rPr>
              <w:t>质谱法》</w:t>
            </w:r>
            <w:r w:rsidRPr="006B496C">
              <w:rPr>
                <w:rFonts w:asciiTheme="minorHAnsi" w:hAnsiTheme="minorHAnsi" w:cs="Times New Roman"/>
                <w:color w:val="auto"/>
                <w:szCs w:val="21"/>
                <w:lang w:bidi="ar"/>
              </w:rPr>
              <w:t>HJ 834-2017</w:t>
            </w:r>
          </w:p>
        </w:tc>
        <w:tc>
          <w:tcPr>
            <w:tcW w:w="896" w:type="pct"/>
            <w:vMerge w:val="restart"/>
            <w:vAlign w:val="center"/>
          </w:tcPr>
          <w:p w14:paraId="01088EF3" w14:textId="77777777" w:rsidR="006B496C" w:rsidRPr="006B496C" w:rsidRDefault="006B496C" w:rsidP="008367BA">
            <w:pPr>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气相色谱质谱联用仪</w:t>
            </w:r>
            <w:r w:rsidRPr="006B496C">
              <w:rPr>
                <w:rFonts w:asciiTheme="minorHAnsi" w:hAnsiTheme="minorHAnsi" w:cs="Times New Roman"/>
                <w:color w:val="auto"/>
                <w:szCs w:val="21"/>
                <w:lang w:bidi="ar"/>
              </w:rPr>
              <w:t xml:space="preserve"> 7890B-5977B/GC-MS</w:t>
            </w:r>
          </w:p>
        </w:tc>
        <w:tc>
          <w:tcPr>
            <w:tcW w:w="734" w:type="pct"/>
            <w:vAlign w:val="center"/>
          </w:tcPr>
          <w:p w14:paraId="4060A4C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0.08</w:t>
            </w:r>
          </w:p>
          <w:p w14:paraId="569DDEA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01737DBF"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5AC987D2" w14:textId="77777777" w:rsidTr="006B496C">
        <w:trPr>
          <w:trHeight w:val="567"/>
          <w:jc w:val="center"/>
        </w:trPr>
        <w:tc>
          <w:tcPr>
            <w:tcW w:w="247" w:type="pct"/>
            <w:vAlign w:val="center"/>
          </w:tcPr>
          <w:p w14:paraId="42A6BDBD"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37</w:t>
            </w:r>
          </w:p>
        </w:tc>
        <w:tc>
          <w:tcPr>
            <w:tcW w:w="526" w:type="pct"/>
            <w:vMerge/>
            <w:vAlign w:val="center"/>
          </w:tcPr>
          <w:p w14:paraId="11C9CFE2"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0638CAE0"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硝基苯</w:t>
            </w:r>
            <w:r w:rsidRPr="006B496C">
              <w:rPr>
                <w:rFonts w:asciiTheme="minorHAnsi" w:hAnsiTheme="minorHAnsi" w:cs="Times New Roman"/>
                <w:color w:val="auto"/>
                <w:szCs w:val="21"/>
                <w:vertAlign w:val="superscript"/>
                <w:lang w:bidi="ar"/>
              </w:rPr>
              <w:t>@</w:t>
            </w:r>
          </w:p>
        </w:tc>
        <w:tc>
          <w:tcPr>
            <w:tcW w:w="1467" w:type="pct"/>
            <w:vMerge/>
            <w:vAlign w:val="center"/>
          </w:tcPr>
          <w:p w14:paraId="4BCBA893"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5F0EE7E4"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59E3038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0.09</w:t>
            </w:r>
          </w:p>
          <w:p w14:paraId="750B028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426C9629"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69D6EF63" w14:textId="77777777" w:rsidTr="006B496C">
        <w:trPr>
          <w:trHeight w:val="567"/>
          <w:jc w:val="center"/>
        </w:trPr>
        <w:tc>
          <w:tcPr>
            <w:tcW w:w="247" w:type="pct"/>
            <w:vAlign w:val="center"/>
          </w:tcPr>
          <w:p w14:paraId="006C76D5"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38</w:t>
            </w:r>
          </w:p>
        </w:tc>
        <w:tc>
          <w:tcPr>
            <w:tcW w:w="526" w:type="pct"/>
            <w:vMerge/>
            <w:vAlign w:val="center"/>
          </w:tcPr>
          <w:p w14:paraId="5C17804D"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0CA1E949" w14:textId="77777777" w:rsidR="006B496C" w:rsidRPr="006B496C" w:rsidRDefault="006B496C" w:rsidP="008367BA">
            <w:pPr>
              <w:jc w:val="center"/>
              <w:rPr>
                <w:rFonts w:asciiTheme="minorHAnsi" w:hAnsiTheme="minorHAnsi" w:cs="Times New Roman"/>
                <w:color w:val="auto"/>
                <w:szCs w:val="21"/>
              </w:rPr>
            </w:pPr>
            <w:r w:rsidRPr="006B496C">
              <w:rPr>
                <w:rFonts w:asciiTheme="minorHAnsi" w:hAnsiTheme="minorHAnsi" w:cs="Times New Roman"/>
                <w:color w:val="auto"/>
                <w:szCs w:val="21"/>
                <w:lang w:bidi="ar"/>
              </w:rPr>
              <w:t>2-</w:t>
            </w:r>
            <w:r w:rsidRPr="006B496C">
              <w:rPr>
                <w:rFonts w:asciiTheme="minorHAnsi" w:hAnsiTheme="minorHAnsi" w:cs="Times New Roman"/>
                <w:color w:val="auto"/>
                <w:szCs w:val="21"/>
                <w:lang w:bidi="ar"/>
              </w:rPr>
              <w:t>氯酚</w:t>
            </w:r>
            <w:r w:rsidRPr="006B496C">
              <w:rPr>
                <w:rFonts w:asciiTheme="minorHAnsi" w:hAnsiTheme="minorHAnsi" w:cs="Times New Roman"/>
                <w:color w:val="auto"/>
                <w:szCs w:val="21"/>
                <w:vertAlign w:val="superscript"/>
                <w:lang w:bidi="ar"/>
              </w:rPr>
              <w:t>@</w:t>
            </w:r>
          </w:p>
        </w:tc>
        <w:tc>
          <w:tcPr>
            <w:tcW w:w="1467" w:type="pct"/>
            <w:vMerge/>
            <w:vAlign w:val="center"/>
          </w:tcPr>
          <w:p w14:paraId="3A7F5642" w14:textId="77777777" w:rsidR="006B496C" w:rsidRPr="006B496C" w:rsidRDefault="006B496C" w:rsidP="008367BA">
            <w:pPr>
              <w:jc w:val="center"/>
              <w:rPr>
                <w:rFonts w:asciiTheme="minorHAnsi" w:hAnsiTheme="minorHAnsi" w:cs="Times New Roman"/>
                <w:color w:val="auto"/>
                <w:szCs w:val="21"/>
              </w:rPr>
            </w:pPr>
          </w:p>
        </w:tc>
        <w:tc>
          <w:tcPr>
            <w:tcW w:w="896" w:type="pct"/>
            <w:vMerge/>
            <w:vAlign w:val="center"/>
          </w:tcPr>
          <w:p w14:paraId="421CF96B" w14:textId="77777777" w:rsidR="006B496C" w:rsidRPr="006B496C" w:rsidRDefault="006B496C" w:rsidP="008367BA">
            <w:pPr>
              <w:jc w:val="center"/>
              <w:rPr>
                <w:rFonts w:asciiTheme="minorHAnsi" w:hAnsiTheme="minorHAnsi" w:cs="Times New Roman"/>
                <w:color w:val="auto"/>
                <w:szCs w:val="21"/>
                <w:lang w:bidi="ar"/>
              </w:rPr>
            </w:pPr>
          </w:p>
        </w:tc>
        <w:tc>
          <w:tcPr>
            <w:tcW w:w="734" w:type="pct"/>
            <w:vAlign w:val="center"/>
          </w:tcPr>
          <w:p w14:paraId="6C9956BC"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0.06</w:t>
            </w:r>
          </w:p>
          <w:p w14:paraId="51A15478"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5326845"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33F6ADE4" w14:textId="77777777" w:rsidTr="006B496C">
        <w:trPr>
          <w:trHeight w:val="567"/>
          <w:jc w:val="center"/>
        </w:trPr>
        <w:tc>
          <w:tcPr>
            <w:tcW w:w="247" w:type="pct"/>
            <w:vAlign w:val="center"/>
          </w:tcPr>
          <w:p w14:paraId="75AA9E60"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39</w:t>
            </w:r>
          </w:p>
        </w:tc>
        <w:tc>
          <w:tcPr>
            <w:tcW w:w="526" w:type="pct"/>
            <w:vMerge/>
            <w:vAlign w:val="center"/>
          </w:tcPr>
          <w:p w14:paraId="2D8ABAEB"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3E318E88"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苯并</w:t>
            </w:r>
            <w:r w:rsidRPr="006B496C">
              <w:rPr>
                <w:rFonts w:asciiTheme="minorHAnsi" w:hAnsiTheme="minorHAnsi" w:cs="Times New Roman"/>
                <w:color w:val="auto"/>
                <w:szCs w:val="21"/>
                <w:lang w:bidi="ar"/>
              </w:rPr>
              <w:t>[a]</w:t>
            </w:r>
            <w:r w:rsidRPr="006B496C">
              <w:rPr>
                <w:rFonts w:asciiTheme="minorHAnsi" w:hAnsiTheme="minorHAnsi" w:cs="Times New Roman"/>
                <w:color w:val="auto"/>
                <w:szCs w:val="21"/>
                <w:lang w:bidi="ar"/>
              </w:rPr>
              <w:t>蒽</w:t>
            </w:r>
            <w:r w:rsidRPr="006B496C">
              <w:rPr>
                <w:rFonts w:asciiTheme="minorHAnsi" w:hAnsiTheme="minorHAnsi" w:cs="Times New Roman"/>
                <w:color w:val="auto"/>
                <w:szCs w:val="21"/>
                <w:vertAlign w:val="superscript"/>
                <w:lang w:bidi="ar"/>
              </w:rPr>
              <w:t>@</w:t>
            </w:r>
          </w:p>
        </w:tc>
        <w:tc>
          <w:tcPr>
            <w:tcW w:w="1467" w:type="pct"/>
            <w:vMerge/>
            <w:vAlign w:val="center"/>
          </w:tcPr>
          <w:p w14:paraId="0E35C3FD"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3FAC6673"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53E323B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0.1</w:t>
            </w:r>
          </w:p>
          <w:p w14:paraId="4BDD15F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7B9F93D1"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7DED1512" w14:textId="77777777" w:rsidTr="006B496C">
        <w:trPr>
          <w:trHeight w:val="567"/>
          <w:jc w:val="center"/>
        </w:trPr>
        <w:tc>
          <w:tcPr>
            <w:tcW w:w="247" w:type="pct"/>
            <w:vAlign w:val="center"/>
          </w:tcPr>
          <w:p w14:paraId="1979CC23"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40</w:t>
            </w:r>
          </w:p>
        </w:tc>
        <w:tc>
          <w:tcPr>
            <w:tcW w:w="526" w:type="pct"/>
            <w:vMerge/>
            <w:vAlign w:val="center"/>
          </w:tcPr>
          <w:p w14:paraId="7099190D"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3C630CB9"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苯并</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a</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芘</w:t>
            </w:r>
            <w:r w:rsidRPr="006B496C">
              <w:rPr>
                <w:rFonts w:asciiTheme="minorHAnsi" w:hAnsiTheme="minorHAnsi" w:cs="Times New Roman"/>
                <w:color w:val="auto"/>
                <w:szCs w:val="21"/>
                <w:vertAlign w:val="superscript"/>
                <w:lang w:bidi="ar"/>
              </w:rPr>
              <w:t>@</w:t>
            </w:r>
          </w:p>
        </w:tc>
        <w:tc>
          <w:tcPr>
            <w:tcW w:w="1467" w:type="pct"/>
            <w:vMerge/>
            <w:vAlign w:val="center"/>
          </w:tcPr>
          <w:p w14:paraId="3EEBD891"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78E017D3"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47FF0219"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0.1</w:t>
            </w:r>
          </w:p>
          <w:p w14:paraId="1D004A1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2F26C8AB"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995F1DF" w14:textId="77777777" w:rsidTr="006B496C">
        <w:trPr>
          <w:trHeight w:val="567"/>
          <w:jc w:val="center"/>
        </w:trPr>
        <w:tc>
          <w:tcPr>
            <w:tcW w:w="247" w:type="pct"/>
            <w:vAlign w:val="center"/>
          </w:tcPr>
          <w:p w14:paraId="0B4E4249"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41</w:t>
            </w:r>
          </w:p>
        </w:tc>
        <w:tc>
          <w:tcPr>
            <w:tcW w:w="526" w:type="pct"/>
            <w:vMerge/>
            <w:vAlign w:val="center"/>
          </w:tcPr>
          <w:p w14:paraId="5451AFFA"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CD8F245"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苯并</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b</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荧蒽</w:t>
            </w:r>
            <w:r w:rsidRPr="006B496C">
              <w:rPr>
                <w:rFonts w:asciiTheme="minorHAnsi" w:hAnsiTheme="minorHAnsi" w:cs="Times New Roman"/>
                <w:color w:val="auto"/>
                <w:szCs w:val="21"/>
                <w:vertAlign w:val="superscript"/>
                <w:lang w:bidi="ar"/>
              </w:rPr>
              <w:t>@</w:t>
            </w:r>
          </w:p>
        </w:tc>
        <w:tc>
          <w:tcPr>
            <w:tcW w:w="1467" w:type="pct"/>
            <w:vMerge/>
            <w:vAlign w:val="center"/>
          </w:tcPr>
          <w:p w14:paraId="09D322DA"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03ECBA40"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2BB1CD7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0.2</w:t>
            </w:r>
          </w:p>
          <w:p w14:paraId="5F2337A0"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6519CB37"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5DDE0420" w14:textId="77777777" w:rsidTr="006B496C">
        <w:trPr>
          <w:trHeight w:val="567"/>
          <w:jc w:val="center"/>
        </w:trPr>
        <w:tc>
          <w:tcPr>
            <w:tcW w:w="247" w:type="pct"/>
            <w:vAlign w:val="center"/>
          </w:tcPr>
          <w:p w14:paraId="786CB945"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42</w:t>
            </w:r>
          </w:p>
        </w:tc>
        <w:tc>
          <w:tcPr>
            <w:tcW w:w="526" w:type="pct"/>
            <w:vMerge/>
            <w:vAlign w:val="center"/>
          </w:tcPr>
          <w:p w14:paraId="7E0C9448"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43A1970D"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苯并</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k</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荧蒽</w:t>
            </w:r>
            <w:r w:rsidRPr="006B496C">
              <w:rPr>
                <w:rFonts w:asciiTheme="minorHAnsi" w:hAnsiTheme="minorHAnsi" w:cs="Times New Roman"/>
                <w:color w:val="auto"/>
                <w:szCs w:val="21"/>
                <w:vertAlign w:val="superscript"/>
                <w:lang w:bidi="ar"/>
              </w:rPr>
              <w:t>@</w:t>
            </w:r>
          </w:p>
        </w:tc>
        <w:tc>
          <w:tcPr>
            <w:tcW w:w="1467" w:type="pct"/>
            <w:vMerge/>
            <w:vAlign w:val="center"/>
          </w:tcPr>
          <w:p w14:paraId="292CA22B"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30561A4C"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723BA4C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0.1</w:t>
            </w:r>
          </w:p>
          <w:p w14:paraId="752E72CF"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11F778B2"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00C1AA53" w14:textId="77777777" w:rsidTr="006B496C">
        <w:trPr>
          <w:trHeight w:val="567"/>
          <w:jc w:val="center"/>
        </w:trPr>
        <w:tc>
          <w:tcPr>
            <w:tcW w:w="247" w:type="pct"/>
            <w:vAlign w:val="center"/>
          </w:tcPr>
          <w:p w14:paraId="29513A0F"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43</w:t>
            </w:r>
          </w:p>
        </w:tc>
        <w:tc>
          <w:tcPr>
            <w:tcW w:w="526" w:type="pct"/>
            <w:vMerge/>
            <w:vAlign w:val="center"/>
          </w:tcPr>
          <w:p w14:paraId="2C2D23A6"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ABD54BF"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䓛</w:t>
            </w:r>
            <w:r w:rsidRPr="006B496C">
              <w:rPr>
                <w:rFonts w:asciiTheme="minorHAnsi" w:hAnsiTheme="minorHAnsi" w:cs="Times New Roman"/>
                <w:color w:val="auto"/>
                <w:szCs w:val="21"/>
                <w:vertAlign w:val="superscript"/>
                <w:lang w:bidi="ar"/>
              </w:rPr>
              <w:t>@</w:t>
            </w:r>
          </w:p>
        </w:tc>
        <w:tc>
          <w:tcPr>
            <w:tcW w:w="1467" w:type="pct"/>
            <w:vMerge/>
            <w:vAlign w:val="center"/>
          </w:tcPr>
          <w:p w14:paraId="2C68FB21"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5276EF5D"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37C99C7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0.1</w:t>
            </w:r>
          </w:p>
          <w:p w14:paraId="4C84B80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1A95D2B8"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46B6DCCA" w14:textId="77777777" w:rsidTr="006B496C">
        <w:trPr>
          <w:trHeight w:val="567"/>
          <w:jc w:val="center"/>
        </w:trPr>
        <w:tc>
          <w:tcPr>
            <w:tcW w:w="247" w:type="pct"/>
            <w:vAlign w:val="center"/>
          </w:tcPr>
          <w:p w14:paraId="20AFDE96"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44</w:t>
            </w:r>
          </w:p>
        </w:tc>
        <w:tc>
          <w:tcPr>
            <w:tcW w:w="526" w:type="pct"/>
            <w:vMerge/>
            <w:vAlign w:val="center"/>
          </w:tcPr>
          <w:p w14:paraId="15FAEF52"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6BBDF10"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二苯并</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a, h</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蒽</w:t>
            </w:r>
            <w:r w:rsidRPr="006B496C">
              <w:rPr>
                <w:rFonts w:asciiTheme="minorHAnsi" w:hAnsiTheme="minorHAnsi" w:cs="Times New Roman"/>
                <w:color w:val="auto"/>
                <w:szCs w:val="21"/>
                <w:vertAlign w:val="superscript"/>
                <w:lang w:bidi="ar"/>
              </w:rPr>
              <w:t>@</w:t>
            </w:r>
          </w:p>
        </w:tc>
        <w:tc>
          <w:tcPr>
            <w:tcW w:w="1467" w:type="pct"/>
            <w:vMerge/>
            <w:vAlign w:val="center"/>
          </w:tcPr>
          <w:p w14:paraId="006948D6"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621BF7A2"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65F7DD0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0.1</w:t>
            </w:r>
          </w:p>
          <w:p w14:paraId="70E7B307"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03CC110D"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3EA6B605" w14:textId="77777777" w:rsidTr="006B496C">
        <w:trPr>
          <w:trHeight w:val="567"/>
          <w:jc w:val="center"/>
        </w:trPr>
        <w:tc>
          <w:tcPr>
            <w:tcW w:w="247" w:type="pct"/>
            <w:vAlign w:val="center"/>
          </w:tcPr>
          <w:p w14:paraId="70410CA5"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45</w:t>
            </w:r>
          </w:p>
        </w:tc>
        <w:tc>
          <w:tcPr>
            <w:tcW w:w="526" w:type="pct"/>
            <w:vMerge/>
            <w:vAlign w:val="center"/>
          </w:tcPr>
          <w:p w14:paraId="0A8EF8ED"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29F04DA0"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茚并</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1,2,3-cd</w:t>
            </w:r>
            <w:r w:rsidRPr="006B496C">
              <w:rPr>
                <w:rFonts w:asciiTheme="minorHAnsi" w:hAnsiTheme="minorHAnsi" w:cs="Times New Roman"/>
                <w:bCs/>
                <w:color w:val="auto"/>
                <w:szCs w:val="21"/>
              </w:rPr>
              <w:t>]</w:t>
            </w:r>
            <w:r w:rsidRPr="006B496C">
              <w:rPr>
                <w:rFonts w:asciiTheme="minorHAnsi" w:hAnsiTheme="minorHAnsi" w:cs="Times New Roman"/>
                <w:color w:val="auto"/>
                <w:szCs w:val="21"/>
              </w:rPr>
              <w:t>芘</w:t>
            </w:r>
            <w:r w:rsidRPr="006B496C">
              <w:rPr>
                <w:rFonts w:asciiTheme="minorHAnsi" w:hAnsiTheme="minorHAnsi" w:cs="Times New Roman"/>
                <w:color w:val="auto"/>
                <w:szCs w:val="21"/>
                <w:vertAlign w:val="superscript"/>
                <w:lang w:bidi="ar"/>
              </w:rPr>
              <w:t>@</w:t>
            </w:r>
          </w:p>
        </w:tc>
        <w:tc>
          <w:tcPr>
            <w:tcW w:w="1467" w:type="pct"/>
            <w:vMerge/>
            <w:vAlign w:val="center"/>
          </w:tcPr>
          <w:p w14:paraId="02DECF71" w14:textId="77777777" w:rsidR="006B496C" w:rsidRPr="006B496C" w:rsidRDefault="006B496C" w:rsidP="008367BA">
            <w:pPr>
              <w:jc w:val="center"/>
              <w:textAlignment w:val="center"/>
              <w:rPr>
                <w:rFonts w:asciiTheme="minorHAnsi" w:hAnsiTheme="minorHAnsi" w:cs="Times New Roman"/>
                <w:color w:val="auto"/>
                <w:szCs w:val="21"/>
              </w:rPr>
            </w:pPr>
          </w:p>
        </w:tc>
        <w:tc>
          <w:tcPr>
            <w:tcW w:w="896" w:type="pct"/>
            <w:vMerge/>
            <w:vAlign w:val="center"/>
          </w:tcPr>
          <w:p w14:paraId="38C8CD23"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0A727C35"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0.1</w:t>
            </w:r>
          </w:p>
          <w:p w14:paraId="6513A21E"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D3F40D3"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708824DD" w14:textId="77777777" w:rsidTr="006B496C">
        <w:trPr>
          <w:trHeight w:val="567"/>
          <w:jc w:val="center"/>
        </w:trPr>
        <w:tc>
          <w:tcPr>
            <w:tcW w:w="247" w:type="pct"/>
            <w:vAlign w:val="center"/>
          </w:tcPr>
          <w:p w14:paraId="1CA1AFB7"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46</w:t>
            </w:r>
          </w:p>
        </w:tc>
        <w:tc>
          <w:tcPr>
            <w:tcW w:w="526" w:type="pct"/>
            <w:vMerge/>
            <w:vAlign w:val="center"/>
          </w:tcPr>
          <w:p w14:paraId="01DEC76A"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5A94EF5E" w14:textId="77777777" w:rsidR="006B496C" w:rsidRPr="006B496C" w:rsidRDefault="006B496C" w:rsidP="008367BA">
            <w:pPr>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萘</w:t>
            </w:r>
            <w:r w:rsidRPr="006B496C">
              <w:rPr>
                <w:rFonts w:asciiTheme="minorHAnsi" w:hAnsiTheme="minorHAnsi" w:cs="Times New Roman"/>
                <w:color w:val="auto"/>
                <w:szCs w:val="21"/>
                <w:vertAlign w:val="superscript"/>
                <w:lang w:bidi="ar"/>
              </w:rPr>
              <w:t>@</w:t>
            </w:r>
          </w:p>
        </w:tc>
        <w:tc>
          <w:tcPr>
            <w:tcW w:w="1467" w:type="pct"/>
            <w:vMerge/>
            <w:vAlign w:val="center"/>
          </w:tcPr>
          <w:p w14:paraId="1EAFDC65" w14:textId="77777777" w:rsidR="006B496C" w:rsidRPr="006B496C" w:rsidRDefault="006B496C" w:rsidP="008367BA">
            <w:pPr>
              <w:jc w:val="center"/>
              <w:rPr>
                <w:rFonts w:asciiTheme="minorHAnsi" w:hAnsiTheme="minorHAnsi" w:cs="Times New Roman"/>
                <w:color w:val="auto"/>
                <w:szCs w:val="21"/>
              </w:rPr>
            </w:pPr>
          </w:p>
        </w:tc>
        <w:tc>
          <w:tcPr>
            <w:tcW w:w="896" w:type="pct"/>
            <w:vMerge/>
            <w:vAlign w:val="center"/>
          </w:tcPr>
          <w:p w14:paraId="5BA6C0BE" w14:textId="77777777" w:rsidR="006B496C" w:rsidRPr="006B496C" w:rsidRDefault="006B496C" w:rsidP="008367BA">
            <w:pPr>
              <w:jc w:val="center"/>
              <w:textAlignment w:val="center"/>
              <w:rPr>
                <w:rFonts w:asciiTheme="minorHAnsi" w:hAnsiTheme="minorHAnsi" w:cs="Times New Roman"/>
                <w:color w:val="auto"/>
                <w:szCs w:val="21"/>
                <w:lang w:bidi="ar"/>
              </w:rPr>
            </w:pPr>
          </w:p>
        </w:tc>
        <w:tc>
          <w:tcPr>
            <w:tcW w:w="734" w:type="pct"/>
            <w:vAlign w:val="center"/>
          </w:tcPr>
          <w:p w14:paraId="273D1FC1"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0.09</w:t>
            </w:r>
          </w:p>
          <w:p w14:paraId="6EF7E3B6"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36E7AA97"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rPr>
              <w:t>/</w:t>
            </w:r>
          </w:p>
        </w:tc>
      </w:tr>
      <w:tr w:rsidR="006B496C" w:rsidRPr="006B496C" w14:paraId="206B2C30" w14:textId="77777777" w:rsidTr="006B496C">
        <w:trPr>
          <w:trHeight w:val="567"/>
          <w:jc w:val="center"/>
        </w:trPr>
        <w:tc>
          <w:tcPr>
            <w:tcW w:w="247" w:type="pct"/>
            <w:vAlign w:val="center"/>
          </w:tcPr>
          <w:p w14:paraId="31FB3376" w14:textId="77777777" w:rsidR="006B496C" w:rsidRPr="006B496C" w:rsidRDefault="006B496C" w:rsidP="008367BA">
            <w:pPr>
              <w:widowControl/>
              <w:jc w:val="center"/>
              <w:textAlignment w:val="center"/>
              <w:rPr>
                <w:rFonts w:asciiTheme="minorHAnsi" w:hAnsiTheme="minorHAnsi" w:cs="Times New Roman"/>
                <w:color w:val="auto"/>
                <w:kern w:val="0"/>
                <w:szCs w:val="21"/>
                <w:lang w:bidi="ar"/>
              </w:rPr>
            </w:pPr>
            <w:r w:rsidRPr="006B496C">
              <w:rPr>
                <w:rFonts w:asciiTheme="minorHAnsi" w:hAnsiTheme="minorHAnsi" w:cs="Times New Roman"/>
                <w:color w:val="auto"/>
                <w:kern w:val="0"/>
                <w:szCs w:val="21"/>
                <w:lang w:bidi="ar"/>
              </w:rPr>
              <w:t>47</w:t>
            </w:r>
          </w:p>
        </w:tc>
        <w:tc>
          <w:tcPr>
            <w:tcW w:w="526" w:type="pct"/>
            <w:vMerge/>
            <w:vAlign w:val="center"/>
          </w:tcPr>
          <w:p w14:paraId="0CF21567" w14:textId="77777777" w:rsidR="006B496C" w:rsidRPr="006B496C" w:rsidRDefault="006B496C" w:rsidP="008367BA">
            <w:pPr>
              <w:snapToGrid w:val="0"/>
              <w:jc w:val="center"/>
              <w:rPr>
                <w:rFonts w:asciiTheme="minorHAnsi" w:hAnsiTheme="minorHAnsi" w:cs="Times New Roman"/>
                <w:color w:val="auto"/>
                <w:szCs w:val="21"/>
              </w:rPr>
            </w:pPr>
          </w:p>
        </w:tc>
        <w:tc>
          <w:tcPr>
            <w:tcW w:w="605" w:type="pct"/>
            <w:vAlign w:val="center"/>
          </w:tcPr>
          <w:p w14:paraId="3E2BDA99" w14:textId="77777777" w:rsidR="006B496C" w:rsidRPr="006B496C" w:rsidRDefault="006B496C" w:rsidP="008367BA">
            <w:pPr>
              <w:snapToGrid w:val="0"/>
              <w:jc w:val="center"/>
              <w:rPr>
                <w:rFonts w:asciiTheme="minorHAnsi" w:hAnsiTheme="minorHAnsi" w:cs="Times New Roman"/>
                <w:color w:val="auto"/>
                <w:szCs w:val="21"/>
                <w:lang w:bidi="ar"/>
              </w:rPr>
            </w:pPr>
            <w:r w:rsidRPr="006B496C">
              <w:rPr>
                <w:rFonts w:asciiTheme="minorHAnsi" w:hAnsiTheme="minorHAnsi" w:cs="Times New Roman"/>
                <w:color w:val="auto"/>
                <w:szCs w:val="21"/>
              </w:rPr>
              <w:t>石油烃（</w:t>
            </w:r>
            <w:r w:rsidRPr="006B496C">
              <w:rPr>
                <w:rFonts w:asciiTheme="minorHAnsi" w:hAnsiTheme="minorHAnsi" w:cs="Times New Roman"/>
                <w:color w:val="auto"/>
                <w:szCs w:val="21"/>
              </w:rPr>
              <w:t>C</w:t>
            </w:r>
            <w:r w:rsidRPr="006B496C">
              <w:rPr>
                <w:rFonts w:asciiTheme="minorHAnsi" w:hAnsiTheme="minorHAnsi" w:cs="Times New Roman"/>
                <w:color w:val="auto"/>
                <w:szCs w:val="21"/>
                <w:vertAlign w:val="subscript"/>
              </w:rPr>
              <w:t>10-</w:t>
            </w:r>
            <w:r w:rsidRPr="006B496C">
              <w:rPr>
                <w:rFonts w:asciiTheme="minorHAnsi" w:hAnsiTheme="minorHAnsi" w:cs="Times New Roman"/>
                <w:color w:val="auto"/>
                <w:szCs w:val="21"/>
              </w:rPr>
              <w:t>C</w:t>
            </w:r>
            <w:r w:rsidRPr="006B496C">
              <w:rPr>
                <w:rFonts w:asciiTheme="minorHAnsi" w:hAnsiTheme="minorHAnsi" w:cs="Times New Roman"/>
                <w:color w:val="auto"/>
                <w:szCs w:val="21"/>
                <w:vertAlign w:val="subscript"/>
              </w:rPr>
              <w:t>40</w:t>
            </w:r>
            <w:r w:rsidRPr="006B496C">
              <w:rPr>
                <w:rFonts w:asciiTheme="minorHAnsi" w:hAnsiTheme="minorHAnsi" w:cs="Times New Roman"/>
                <w:color w:val="auto"/>
                <w:szCs w:val="21"/>
              </w:rPr>
              <w:t>）</w:t>
            </w:r>
          </w:p>
        </w:tc>
        <w:tc>
          <w:tcPr>
            <w:tcW w:w="1467" w:type="pct"/>
            <w:vAlign w:val="center"/>
          </w:tcPr>
          <w:p w14:paraId="336DF2AE" w14:textId="77777777" w:rsidR="006B496C" w:rsidRPr="006B496C" w:rsidRDefault="006B496C" w:rsidP="008367BA">
            <w:pPr>
              <w:snapToGrid w:val="0"/>
              <w:jc w:val="center"/>
              <w:textAlignment w:val="center"/>
              <w:rPr>
                <w:rFonts w:asciiTheme="minorHAnsi" w:hAnsiTheme="minorHAnsi" w:cs="Times New Roman"/>
                <w:color w:val="auto"/>
                <w:szCs w:val="21"/>
              </w:rPr>
            </w:pPr>
            <w:r w:rsidRPr="006B496C">
              <w:rPr>
                <w:rFonts w:asciiTheme="minorHAnsi" w:hAnsiTheme="minorHAnsi" w:cs="Times New Roman"/>
                <w:color w:val="auto"/>
                <w:szCs w:val="21"/>
                <w:lang w:bidi="ar"/>
              </w:rPr>
              <w:t>《土壤和沉积物</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石油烃（</w:t>
            </w:r>
            <w:r w:rsidRPr="006B496C">
              <w:rPr>
                <w:rFonts w:asciiTheme="minorHAnsi" w:hAnsiTheme="minorHAnsi" w:cs="Times New Roman"/>
                <w:color w:val="auto"/>
                <w:szCs w:val="21"/>
                <w:lang w:bidi="ar"/>
              </w:rPr>
              <w:t>C</w:t>
            </w:r>
            <w:r w:rsidRPr="006B496C">
              <w:rPr>
                <w:rFonts w:asciiTheme="minorHAnsi" w:hAnsiTheme="minorHAnsi" w:cs="Times New Roman"/>
                <w:color w:val="auto"/>
                <w:szCs w:val="21"/>
                <w:vertAlign w:val="subscript"/>
                <w:lang w:bidi="ar"/>
              </w:rPr>
              <w:t>10</w:t>
            </w:r>
            <w:r w:rsidRPr="006B496C">
              <w:rPr>
                <w:rFonts w:asciiTheme="minorHAnsi" w:hAnsiTheme="minorHAnsi" w:cs="Times New Roman"/>
                <w:color w:val="auto"/>
                <w:szCs w:val="21"/>
                <w:lang w:bidi="ar"/>
              </w:rPr>
              <w:t>-C</w:t>
            </w:r>
            <w:r w:rsidRPr="006B496C">
              <w:rPr>
                <w:rFonts w:asciiTheme="minorHAnsi" w:hAnsiTheme="minorHAnsi" w:cs="Times New Roman"/>
                <w:color w:val="auto"/>
                <w:szCs w:val="21"/>
                <w:vertAlign w:val="subscript"/>
                <w:lang w:bidi="ar"/>
              </w:rPr>
              <w:t>40</w:t>
            </w:r>
            <w:r w:rsidRPr="006B496C">
              <w:rPr>
                <w:rFonts w:asciiTheme="minorHAnsi" w:hAnsiTheme="minorHAnsi" w:cs="Times New Roman"/>
                <w:color w:val="auto"/>
                <w:szCs w:val="21"/>
                <w:lang w:bidi="ar"/>
              </w:rPr>
              <w:t>）的测定</w:t>
            </w:r>
            <w:r w:rsidRPr="006B496C">
              <w:rPr>
                <w:rFonts w:asciiTheme="minorHAnsi" w:hAnsiTheme="minorHAnsi" w:cs="Times New Roman"/>
                <w:color w:val="auto"/>
                <w:szCs w:val="21"/>
                <w:lang w:bidi="ar"/>
              </w:rPr>
              <w:t xml:space="preserve"> </w:t>
            </w:r>
            <w:r w:rsidRPr="006B496C">
              <w:rPr>
                <w:rFonts w:asciiTheme="minorHAnsi" w:hAnsiTheme="minorHAnsi" w:cs="Times New Roman"/>
                <w:color w:val="auto"/>
                <w:szCs w:val="21"/>
                <w:lang w:bidi="ar"/>
              </w:rPr>
              <w:t>气相色谱法》</w:t>
            </w:r>
            <w:r w:rsidRPr="006B496C">
              <w:rPr>
                <w:rFonts w:asciiTheme="minorHAnsi" w:hAnsiTheme="minorHAnsi" w:cs="Times New Roman"/>
                <w:color w:val="auto"/>
                <w:szCs w:val="21"/>
                <w:lang w:bidi="ar"/>
              </w:rPr>
              <w:t>HJ 1021-2019</w:t>
            </w:r>
          </w:p>
        </w:tc>
        <w:tc>
          <w:tcPr>
            <w:tcW w:w="896" w:type="pct"/>
            <w:vAlign w:val="center"/>
          </w:tcPr>
          <w:p w14:paraId="1C03C18C"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气相色谱仪</w:t>
            </w:r>
          </w:p>
          <w:p w14:paraId="5724E483"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PANNA A60</w:t>
            </w:r>
          </w:p>
          <w:p w14:paraId="3D5F4876" w14:textId="77777777" w:rsidR="006B496C" w:rsidRPr="006B496C" w:rsidRDefault="006B496C" w:rsidP="008367BA">
            <w:pPr>
              <w:snapToGrid w:val="0"/>
              <w:jc w:val="center"/>
              <w:textAlignment w:val="center"/>
              <w:rPr>
                <w:rFonts w:asciiTheme="minorHAnsi" w:hAnsiTheme="minorHAnsi" w:cs="Times New Roman"/>
                <w:color w:val="auto"/>
                <w:szCs w:val="21"/>
                <w:lang w:bidi="ar"/>
              </w:rPr>
            </w:pPr>
            <w:r w:rsidRPr="006B496C">
              <w:rPr>
                <w:rFonts w:asciiTheme="minorHAnsi" w:hAnsiTheme="minorHAnsi" w:cs="Times New Roman"/>
                <w:color w:val="auto"/>
                <w:szCs w:val="21"/>
                <w:lang w:bidi="ar"/>
              </w:rPr>
              <w:t>YFYQ-004-01-2020</w:t>
            </w:r>
          </w:p>
        </w:tc>
        <w:tc>
          <w:tcPr>
            <w:tcW w:w="734" w:type="pct"/>
            <w:vAlign w:val="center"/>
          </w:tcPr>
          <w:p w14:paraId="0B6BACAA"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6</w:t>
            </w:r>
          </w:p>
          <w:p w14:paraId="3CCBA869"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mg/kg</w:t>
            </w:r>
          </w:p>
        </w:tc>
        <w:tc>
          <w:tcPr>
            <w:tcW w:w="525" w:type="pct"/>
            <w:vAlign w:val="center"/>
          </w:tcPr>
          <w:p w14:paraId="6C0895E4" w14:textId="77777777" w:rsidR="006B496C" w:rsidRPr="006B496C" w:rsidRDefault="006B496C" w:rsidP="008367BA">
            <w:pPr>
              <w:snapToGrid w:val="0"/>
              <w:jc w:val="center"/>
              <w:rPr>
                <w:rFonts w:asciiTheme="minorHAnsi" w:hAnsiTheme="minorHAnsi" w:cs="Times New Roman"/>
                <w:color w:val="auto"/>
                <w:szCs w:val="21"/>
              </w:rPr>
            </w:pPr>
            <w:r w:rsidRPr="006B496C">
              <w:rPr>
                <w:rFonts w:asciiTheme="minorHAnsi" w:hAnsiTheme="minorHAnsi" w:cs="Times New Roman"/>
                <w:color w:val="auto"/>
                <w:szCs w:val="21"/>
              </w:rPr>
              <w:t>/</w:t>
            </w:r>
          </w:p>
        </w:tc>
      </w:tr>
    </w:tbl>
    <w:p w14:paraId="4A8AF7B1" w14:textId="77777777" w:rsidR="002D481B" w:rsidRPr="006B496C" w:rsidRDefault="002D481B" w:rsidP="006B496C">
      <w:pPr>
        <w:spacing w:line="520" w:lineRule="exact"/>
        <w:ind w:firstLineChars="200" w:firstLine="482"/>
        <w:jc w:val="left"/>
        <w:rPr>
          <w:rFonts w:ascii="Calibri" w:hAnsi="Calibri"/>
          <w:b/>
          <w:color w:val="auto"/>
          <w:sz w:val="24"/>
        </w:rPr>
      </w:pPr>
      <w:r w:rsidRPr="006B496C">
        <w:rPr>
          <w:rFonts w:ascii="Calibri" w:hAnsi="Calibri" w:hint="eastAsia"/>
          <w:b/>
          <w:color w:val="auto"/>
          <w:sz w:val="24"/>
        </w:rPr>
        <w:t>4</w:t>
      </w:r>
      <w:r w:rsidRPr="006B496C">
        <w:rPr>
          <w:rFonts w:ascii="Calibri" w:hAnsi="Calibri" w:hint="eastAsia"/>
          <w:b/>
          <w:color w:val="auto"/>
          <w:sz w:val="24"/>
        </w:rPr>
        <w:t>、检测时间</w:t>
      </w:r>
    </w:p>
    <w:p w14:paraId="504D1B5D" w14:textId="77777777" w:rsidR="002D481B" w:rsidRPr="00A964FF" w:rsidRDefault="002D481B" w:rsidP="002D481B">
      <w:pPr>
        <w:spacing w:line="520" w:lineRule="exact"/>
        <w:ind w:firstLine="480"/>
        <w:rPr>
          <w:rFonts w:ascii="Calibri" w:hAnsi="Calibri"/>
          <w:bCs/>
          <w:color w:val="auto"/>
          <w:sz w:val="24"/>
        </w:rPr>
      </w:pPr>
      <w:r w:rsidRPr="006B496C">
        <w:rPr>
          <w:rFonts w:ascii="Calibri"/>
          <w:bCs/>
          <w:color w:val="auto"/>
          <w:sz w:val="24"/>
        </w:rPr>
        <w:t>本次</w:t>
      </w:r>
      <w:r w:rsidRPr="006B496C">
        <w:rPr>
          <w:rFonts w:ascii="Calibri" w:hint="eastAsia"/>
          <w:bCs/>
          <w:color w:val="auto"/>
          <w:sz w:val="24"/>
        </w:rPr>
        <w:t>土壤现状检测</w:t>
      </w:r>
      <w:r w:rsidR="00BA0870" w:rsidRPr="006B496C">
        <w:rPr>
          <w:rFonts w:ascii="Calibri" w:hint="eastAsia"/>
          <w:bCs/>
          <w:color w:val="auto"/>
          <w:sz w:val="24"/>
        </w:rPr>
        <w:t>单位为</w:t>
      </w:r>
      <w:r w:rsidR="00C563AD" w:rsidRPr="006B496C">
        <w:rPr>
          <w:rFonts w:ascii="Calibri"/>
          <w:bCs/>
          <w:color w:val="auto"/>
          <w:sz w:val="24"/>
        </w:rPr>
        <w:t>河南永飞检测科技有限公司</w:t>
      </w:r>
      <w:r w:rsidRPr="006B496C">
        <w:rPr>
          <w:rFonts w:ascii="Calibri" w:hint="eastAsia"/>
          <w:bCs/>
          <w:color w:val="auto"/>
          <w:sz w:val="24"/>
        </w:rPr>
        <w:t>，</w:t>
      </w:r>
      <w:r w:rsidR="006B496C">
        <w:rPr>
          <w:rFonts w:ascii="Calibri" w:hint="eastAsia"/>
          <w:bCs/>
          <w:color w:val="auto"/>
          <w:sz w:val="24"/>
        </w:rPr>
        <w:t>采样</w:t>
      </w:r>
      <w:r w:rsidRPr="006B496C">
        <w:rPr>
          <w:rFonts w:ascii="Calibri"/>
          <w:bCs/>
          <w:color w:val="auto"/>
          <w:sz w:val="24"/>
        </w:rPr>
        <w:t>时间为</w:t>
      </w:r>
      <w:r w:rsidRPr="006B496C">
        <w:rPr>
          <w:rFonts w:ascii="Calibri" w:hAnsi="Calibri" w:cs="宋体" w:hint="eastAsia"/>
          <w:color w:val="auto"/>
          <w:sz w:val="24"/>
        </w:rPr>
        <w:t>202</w:t>
      </w:r>
      <w:r w:rsidR="00C563AD" w:rsidRPr="006B496C">
        <w:rPr>
          <w:rFonts w:ascii="Calibri" w:hAnsi="Calibri" w:cs="宋体"/>
          <w:color w:val="auto"/>
          <w:sz w:val="24"/>
        </w:rPr>
        <w:t>2</w:t>
      </w:r>
      <w:r w:rsidRPr="006B496C">
        <w:rPr>
          <w:rFonts w:ascii="Calibri" w:hAnsi="Calibri" w:cs="宋体" w:hint="eastAsia"/>
          <w:color w:val="auto"/>
          <w:sz w:val="24"/>
        </w:rPr>
        <w:t>年</w:t>
      </w:r>
      <w:r w:rsidR="006B496C">
        <w:rPr>
          <w:rFonts w:ascii="Calibri" w:hAnsi="Calibri" w:cs="宋体"/>
          <w:color w:val="auto"/>
          <w:sz w:val="24"/>
        </w:rPr>
        <w:t>7</w:t>
      </w:r>
      <w:r w:rsidRPr="006B496C">
        <w:rPr>
          <w:rFonts w:ascii="Calibri" w:hAnsi="Calibri" w:cs="宋体" w:hint="eastAsia"/>
          <w:color w:val="auto"/>
          <w:sz w:val="24"/>
        </w:rPr>
        <w:t>月</w:t>
      </w:r>
      <w:r w:rsidR="006B496C">
        <w:rPr>
          <w:rFonts w:ascii="Calibri" w:hAnsi="Calibri" w:cs="宋体"/>
          <w:color w:val="auto"/>
          <w:sz w:val="24"/>
        </w:rPr>
        <w:t>29</w:t>
      </w:r>
      <w:r w:rsidRPr="006B496C">
        <w:rPr>
          <w:rFonts w:ascii="Calibri" w:hAnsi="Calibri" w:cs="宋体" w:hint="eastAsia"/>
          <w:color w:val="auto"/>
          <w:sz w:val="24"/>
        </w:rPr>
        <w:t>日</w:t>
      </w:r>
      <w:r w:rsidR="005D774C" w:rsidRPr="006B496C">
        <w:rPr>
          <w:rFonts w:ascii="Calibri" w:hint="eastAsia"/>
          <w:bCs/>
          <w:color w:val="auto"/>
          <w:sz w:val="24"/>
        </w:rPr>
        <w:t>。</w:t>
      </w:r>
    </w:p>
    <w:p w14:paraId="391FA55D" w14:textId="77777777" w:rsidR="004A3168" w:rsidRPr="00A964FF" w:rsidRDefault="002D481B" w:rsidP="004A3168">
      <w:pPr>
        <w:spacing w:line="520" w:lineRule="exact"/>
        <w:ind w:firstLineChars="200" w:firstLine="482"/>
        <w:jc w:val="left"/>
        <w:rPr>
          <w:rFonts w:ascii="Calibri" w:hAnsi="Calibri"/>
          <w:b/>
          <w:color w:val="auto"/>
          <w:sz w:val="24"/>
        </w:rPr>
      </w:pPr>
      <w:r w:rsidRPr="00A964FF">
        <w:rPr>
          <w:rFonts w:ascii="Calibri" w:hAnsi="Calibri" w:hint="eastAsia"/>
          <w:b/>
          <w:color w:val="auto"/>
          <w:sz w:val="24"/>
        </w:rPr>
        <w:t>5</w:t>
      </w:r>
      <w:r w:rsidR="004A3168" w:rsidRPr="00A964FF">
        <w:rPr>
          <w:rFonts w:ascii="Calibri" w:hAnsi="Calibri" w:hint="eastAsia"/>
          <w:b/>
          <w:color w:val="auto"/>
          <w:sz w:val="24"/>
        </w:rPr>
        <w:t>、检测结果</w:t>
      </w:r>
    </w:p>
    <w:p w14:paraId="0E17ADD1" w14:textId="77777777" w:rsidR="002D481B" w:rsidRPr="00A964FF" w:rsidRDefault="002D481B" w:rsidP="002D481B">
      <w:pPr>
        <w:tabs>
          <w:tab w:val="left" w:pos="465"/>
        </w:tabs>
        <w:adjustRightInd w:val="0"/>
        <w:snapToGrid w:val="0"/>
        <w:spacing w:line="520" w:lineRule="exact"/>
        <w:ind w:firstLineChars="200" w:firstLine="480"/>
        <w:jc w:val="left"/>
        <w:rPr>
          <w:rFonts w:ascii="Calibri" w:hAnsi="Calibri" w:cs="宋体"/>
          <w:color w:val="auto"/>
          <w:sz w:val="24"/>
        </w:rPr>
      </w:pPr>
      <w:r w:rsidRPr="008367BA">
        <w:rPr>
          <w:rFonts w:ascii="Calibri" w:hAnsi="Calibri" w:cs="宋体" w:hint="eastAsia"/>
          <w:color w:val="auto"/>
          <w:sz w:val="24"/>
        </w:rPr>
        <w:t>本次评价土壤现状检测结果见表</w:t>
      </w:r>
      <w:r w:rsidRPr="008367BA">
        <w:rPr>
          <w:rFonts w:ascii="Calibri" w:hAnsi="Calibri" w:cs="宋体" w:hint="eastAsia"/>
          <w:color w:val="auto"/>
          <w:sz w:val="24"/>
        </w:rPr>
        <w:t>3</w:t>
      </w:r>
      <w:r w:rsidR="00A6079A" w:rsidRPr="008367BA">
        <w:rPr>
          <w:rFonts w:ascii="Calibri" w:hAnsi="Calibri" w:cs="宋体" w:hint="eastAsia"/>
          <w:color w:val="auto"/>
          <w:sz w:val="24"/>
        </w:rPr>
        <w:t>.3</w:t>
      </w:r>
      <w:r w:rsidRPr="008367BA">
        <w:rPr>
          <w:rFonts w:ascii="Calibri" w:hAnsi="Calibri" w:cs="宋体" w:hint="eastAsia"/>
          <w:color w:val="auto"/>
          <w:sz w:val="24"/>
        </w:rPr>
        <w:t>-</w:t>
      </w:r>
      <w:r w:rsidR="00AC555A" w:rsidRPr="008367BA">
        <w:rPr>
          <w:rFonts w:ascii="Calibri" w:hAnsi="Calibri" w:cs="宋体" w:hint="eastAsia"/>
          <w:color w:val="auto"/>
          <w:sz w:val="24"/>
        </w:rPr>
        <w:t>2</w:t>
      </w:r>
      <w:r w:rsidR="006B496C" w:rsidRPr="008367BA">
        <w:rPr>
          <w:rFonts w:ascii="Calibri" w:hAnsi="Calibri" w:cs="宋体"/>
          <w:color w:val="auto"/>
          <w:sz w:val="24"/>
        </w:rPr>
        <w:t>4</w:t>
      </w:r>
      <w:r w:rsidR="003F1151" w:rsidRPr="008367BA">
        <w:rPr>
          <w:rFonts w:ascii="Calibri" w:hAnsi="Calibri" w:cs="宋体" w:hint="eastAsia"/>
          <w:color w:val="auto"/>
          <w:sz w:val="24"/>
        </w:rPr>
        <w:t>、表</w:t>
      </w:r>
      <w:r w:rsidR="003F1151" w:rsidRPr="008367BA">
        <w:rPr>
          <w:rFonts w:ascii="Calibri" w:hAnsi="Calibri" w:cs="宋体" w:hint="eastAsia"/>
          <w:color w:val="auto"/>
          <w:sz w:val="24"/>
        </w:rPr>
        <w:t>3</w:t>
      </w:r>
      <w:r w:rsidR="00A6079A" w:rsidRPr="008367BA">
        <w:rPr>
          <w:rFonts w:ascii="Calibri" w:hAnsi="Calibri" w:cs="宋体" w:hint="eastAsia"/>
          <w:color w:val="auto"/>
          <w:sz w:val="24"/>
        </w:rPr>
        <w:t>.3</w:t>
      </w:r>
      <w:r w:rsidR="003F1151" w:rsidRPr="008367BA">
        <w:rPr>
          <w:rFonts w:ascii="Calibri" w:hAnsi="Calibri" w:cs="宋体" w:hint="eastAsia"/>
          <w:color w:val="auto"/>
          <w:sz w:val="24"/>
        </w:rPr>
        <w:t>-</w:t>
      </w:r>
      <w:r w:rsidR="00AC555A" w:rsidRPr="008367BA">
        <w:rPr>
          <w:rFonts w:ascii="Calibri" w:hAnsi="Calibri" w:cs="宋体" w:hint="eastAsia"/>
          <w:color w:val="auto"/>
          <w:sz w:val="24"/>
        </w:rPr>
        <w:t>2</w:t>
      </w:r>
      <w:r w:rsidR="006B496C" w:rsidRPr="008367BA">
        <w:rPr>
          <w:rFonts w:ascii="Calibri" w:hAnsi="Calibri" w:cs="宋体"/>
          <w:color w:val="auto"/>
          <w:sz w:val="24"/>
        </w:rPr>
        <w:t>5</w:t>
      </w:r>
      <w:r w:rsidRPr="008367BA">
        <w:rPr>
          <w:rFonts w:ascii="Calibri" w:hAnsi="Calibri" w:cs="宋体" w:hint="eastAsia"/>
          <w:color w:val="auto"/>
          <w:sz w:val="24"/>
        </w:rPr>
        <w:t>。</w:t>
      </w:r>
    </w:p>
    <w:p w14:paraId="3D73D3E9" w14:textId="77777777" w:rsidR="004A3168" w:rsidRPr="00A964FF" w:rsidRDefault="004A3168" w:rsidP="008F5C92">
      <w:pPr>
        <w:spacing w:line="520" w:lineRule="exact"/>
        <w:ind w:firstLineChars="200" w:firstLine="480"/>
        <w:rPr>
          <w:rFonts w:ascii="Calibri" w:eastAsia="黑体" w:hAnsi="黑体"/>
          <w:color w:val="auto"/>
          <w:sz w:val="24"/>
        </w:rPr>
      </w:pPr>
      <w:r w:rsidRPr="00A964FF">
        <w:rPr>
          <w:rFonts w:ascii="Calibri" w:eastAsia="黑体" w:hAnsi="黑体"/>
          <w:color w:val="auto"/>
          <w:sz w:val="24"/>
        </w:rPr>
        <w:lastRenderedPageBreak/>
        <w:t>表</w:t>
      </w:r>
      <w:r w:rsidRPr="00A964FF">
        <w:rPr>
          <w:rFonts w:ascii="Calibri" w:eastAsia="黑体" w:hAnsi="黑体"/>
          <w:color w:val="auto"/>
          <w:sz w:val="24"/>
        </w:rPr>
        <w:t>3</w:t>
      </w:r>
      <w:r w:rsidR="00A6079A" w:rsidRPr="00A964FF">
        <w:rPr>
          <w:rFonts w:ascii="Calibri" w:eastAsia="黑体" w:hAnsi="黑体" w:hint="eastAsia"/>
          <w:color w:val="auto"/>
          <w:sz w:val="24"/>
        </w:rPr>
        <w:t>.3</w:t>
      </w:r>
      <w:r w:rsidRPr="00A964FF">
        <w:rPr>
          <w:rFonts w:ascii="Calibri" w:eastAsia="黑体" w:hAnsi="黑体"/>
          <w:color w:val="auto"/>
          <w:sz w:val="24"/>
        </w:rPr>
        <w:t>-</w:t>
      </w:r>
      <w:r w:rsidR="00A6079A" w:rsidRPr="00A964FF">
        <w:rPr>
          <w:rFonts w:ascii="Calibri" w:eastAsia="黑体" w:hAnsi="黑体" w:hint="eastAsia"/>
          <w:color w:val="auto"/>
          <w:sz w:val="24"/>
        </w:rPr>
        <w:t>2</w:t>
      </w:r>
      <w:r w:rsidR="008367BA">
        <w:rPr>
          <w:rFonts w:ascii="Calibri" w:eastAsia="黑体" w:hAnsi="黑体" w:hint="eastAsia"/>
          <w:color w:val="auto"/>
          <w:sz w:val="24"/>
        </w:rPr>
        <w:t>4</w:t>
      </w:r>
      <w:r w:rsidRPr="00A964FF">
        <w:rPr>
          <w:rFonts w:ascii="Calibri" w:eastAsia="黑体" w:hAnsi="黑体"/>
          <w:color w:val="auto"/>
          <w:sz w:val="24"/>
        </w:rPr>
        <w:t xml:space="preserve">    </w:t>
      </w:r>
      <w:r w:rsidR="002D481B" w:rsidRPr="00A964FF">
        <w:rPr>
          <w:rFonts w:ascii="Calibri" w:eastAsia="黑体" w:hAnsi="黑体" w:hint="eastAsia"/>
          <w:color w:val="auto"/>
          <w:sz w:val="24"/>
        </w:rPr>
        <w:t xml:space="preserve"> </w:t>
      </w:r>
      <w:r w:rsidR="008F5C92" w:rsidRPr="00A964FF">
        <w:rPr>
          <w:rFonts w:ascii="Calibri" w:eastAsia="黑体" w:hAnsi="黑体" w:hint="eastAsia"/>
          <w:color w:val="auto"/>
          <w:sz w:val="24"/>
        </w:rPr>
        <w:t xml:space="preserve"> </w:t>
      </w:r>
      <w:r w:rsidR="002D481B" w:rsidRPr="00A964FF">
        <w:rPr>
          <w:rFonts w:ascii="Calibri" w:eastAsia="黑体" w:hAnsi="黑体" w:hint="eastAsia"/>
          <w:color w:val="auto"/>
          <w:sz w:val="24"/>
        </w:rPr>
        <w:t xml:space="preserve">  </w:t>
      </w:r>
      <w:r w:rsidRPr="00A964FF">
        <w:rPr>
          <w:rFonts w:ascii="Calibri" w:eastAsia="黑体" w:hAnsi="黑体"/>
          <w:color w:val="auto"/>
          <w:sz w:val="24"/>
        </w:rPr>
        <w:t xml:space="preserve">      </w:t>
      </w:r>
      <w:r w:rsidR="002D481B" w:rsidRPr="00A964FF">
        <w:rPr>
          <w:rFonts w:ascii="Calibri" w:eastAsia="黑体" w:hAnsi="黑体" w:hint="eastAsia"/>
          <w:color w:val="auto"/>
          <w:sz w:val="24"/>
        </w:rPr>
        <w:t xml:space="preserve"> </w:t>
      </w:r>
      <w:r w:rsidR="002D481B" w:rsidRPr="00A964FF">
        <w:rPr>
          <w:rFonts w:ascii="Calibri" w:eastAsia="黑体" w:hAnsi="黑体" w:hint="eastAsia"/>
          <w:color w:val="auto"/>
          <w:sz w:val="24"/>
        </w:rPr>
        <w:t>厂区</w:t>
      </w:r>
      <w:r w:rsidR="00C563AD">
        <w:rPr>
          <w:rFonts w:ascii="Calibri" w:eastAsia="黑体" w:hAnsi="黑体" w:hint="eastAsia"/>
          <w:color w:val="auto"/>
          <w:sz w:val="24"/>
        </w:rPr>
        <w:t>原料仓库</w:t>
      </w:r>
      <w:r w:rsidRPr="00A964FF">
        <w:rPr>
          <w:rFonts w:ascii="Calibri" w:eastAsia="黑体" w:hAnsi="黑体"/>
          <w:color w:val="auto"/>
          <w:sz w:val="24"/>
        </w:rPr>
        <w:t>土壤检测点结果统计</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48"/>
        <w:gridCol w:w="1794"/>
        <w:gridCol w:w="1928"/>
        <w:gridCol w:w="1241"/>
        <w:gridCol w:w="1289"/>
      </w:tblGrid>
      <w:tr w:rsidR="004A3168" w:rsidRPr="00A964FF" w14:paraId="645A2F39" w14:textId="77777777" w:rsidTr="007B2E72">
        <w:trPr>
          <w:trHeight w:val="340"/>
        </w:trPr>
        <w:tc>
          <w:tcPr>
            <w:tcW w:w="1407" w:type="pct"/>
            <w:vAlign w:val="center"/>
          </w:tcPr>
          <w:p w14:paraId="1F957933" w14:textId="77777777" w:rsidR="004A3168" w:rsidRPr="00A964FF" w:rsidRDefault="004A3168" w:rsidP="002D481B">
            <w:pPr>
              <w:pStyle w:val="TableStyle12"/>
              <w:rPr>
                <w:rFonts w:ascii="Calibri" w:hAnsi="Calibri"/>
                <w:sz w:val="21"/>
                <w:szCs w:val="21"/>
              </w:rPr>
            </w:pPr>
            <w:r w:rsidRPr="00A964FF">
              <w:rPr>
                <w:rFonts w:ascii="Calibri" w:hAnsi="Calibri"/>
                <w:sz w:val="21"/>
                <w:szCs w:val="21"/>
              </w:rPr>
              <w:t>检测点位</w:t>
            </w:r>
          </w:p>
        </w:tc>
        <w:tc>
          <w:tcPr>
            <w:tcW w:w="3593" w:type="pct"/>
            <w:gridSpan w:val="4"/>
            <w:vAlign w:val="center"/>
          </w:tcPr>
          <w:p w14:paraId="44574E0D" w14:textId="77777777" w:rsidR="004A3168" w:rsidRPr="00A964FF" w:rsidRDefault="00C563AD" w:rsidP="001D636A">
            <w:pPr>
              <w:pStyle w:val="TableStyle12"/>
              <w:rPr>
                <w:rFonts w:ascii="Calibri" w:hAnsi="Calibri"/>
                <w:sz w:val="21"/>
                <w:szCs w:val="21"/>
              </w:rPr>
            </w:pPr>
            <w:r>
              <w:rPr>
                <w:rFonts w:ascii="Calibri" w:hAnsi="Calibri" w:hint="eastAsia"/>
                <w:sz w:val="21"/>
                <w:szCs w:val="21"/>
              </w:rPr>
              <w:t>原料</w:t>
            </w:r>
            <w:r>
              <w:rPr>
                <w:rFonts w:ascii="Calibri" w:hAnsi="Calibri"/>
                <w:sz w:val="21"/>
                <w:szCs w:val="21"/>
              </w:rPr>
              <w:t>仓库</w:t>
            </w:r>
          </w:p>
        </w:tc>
      </w:tr>
      <w:tr w:rsidR="004A3168" w:rsidRPr="00A964FF" w14:paraId="21015AD5" w14:textId="77777777" w:rsidTr="007B2E72">
        <w:trPr>
          <w:trHeight w:val="340"/>
        </w:trPr>
        <w:tc>
          <w:tcPr>
            <w:tcW w:w="1407" w:type="pct"/>
            <w:vAlign w:val="center"/>
          </w:tcPr>
          <w:p w14:paraId="72D28A20" w14:textId="77777777" w:rsidR="004A3168" w:rsidRPr="00A964FF" w:rsidRDefault="004A3168" w:rsidP="002D481B">
            <w:pPr>
              <w:pStyle w:val="TableStyle12"/>
              <w:rPr>
                <w:rFonts w:ascii="Calibri" w:hAnsi="Calibri"/>
                <w:sz w:val="21"/>
                <w:szCs w:val="21"/>
              </w:rPr>
            </w:pPr>
            <w:r w:rsidRPr="00A964FF">
              <w:rPr>
                <w:rFonts w:ascii="Calibri" w:hAnsi="Calibri"/>
                <w:sz w:val="21"/>
                <w:szCs w:val="21"/>
              </w:rPr>
              <w:t>采样深度</w:t>
            </w:r>
          </w:p>
        </w:tc>
        <w:tc>
          <w:tcPr>
            <w:tcW w:w="3593" w:type="pct"/>
            <w:gridSpan w:val="4"/>
            <w:vAlign w:val="center"/>
          </w:tcPr>
          <w:p w14:paraId="1209E776" w14:textId="77777777" w:rsidR="004A3168" w:rsidRPr="00A964FF" w:rsidRDefault="004A3168" w:rsidP="001D636A">
            <w:pPr>
              <w:pStyle w:val="TableStyle12"/>
              <w:rPr>
                <w:rFonts w:ascii="Calibri" w:hAnsi="Calibri"/>
                <w:sz w:val="21"/>
                <w:szCs w:val="21"/>
              </w:rPr>
            </w:pPr>
            <w:r w:rsidRPr="00A964FF">
              <w:rPr>
                <w:rFonts w:ascii="Calibri" w:hAnsi="Calibri" w:hint="eastAsia"/>
                <w:sz w:val="21"/>
                <w:szCs w:val="21"/>
              </w:rPr>
              <w:t>0</w:t>
            </w:r>
            <w:r w:rsidR="003F1151" w:rsidRPr="00A964FF">
              <w:rPr>
                <w:rFonts w:ascii="Calibri" w:hAnsi="Calibri" w:hint="eastAsia"/>
                <w:sz w:val="21"/>
                <w:szCs w:val="21"/>
              </w:rPr>
              <w:t>～</w:t>
            </w:r>
            <w:r w:rsidR="001D636A" w:rsidRPr="00A964FF">
              <w:rPr>
                <w:rFonts w:ascii="Calibri" w:hAnsi="Calibri" w:hint="eastAsia"/>
                <w:sz w:val="21"/>
                <w:szCs w:val="21"/>
              </w:rPr>
              <w:t>0.2</w:t>
            </w:r>
            <w:r w:rsidR="003F1151" w:rsidRPr="00A964FF">
              <w:rPr>
                <w:rFonts w:ascii="Calibri" w:hAnsi="Calibri"/>
                <w:sz w:val="21"/>
                <w:szCs w:val="21"/>
              </w:rPr>
              <w:t>m</w:t>
            </w:r>
            <w:r w:rsidR="002D481B" w:rsidRPr="00A964FF">
              <w:rPr>
                <w:rFonts w:ascii="Calibri" w:hAnsi="Calibri" w:hint="eastAsia"/>
                <w:sz w:val="21"/>
                <w:szCs w:val="21"/>
              </w:rPr>
              <w:t>（</w:t>
            </w:r>
            <w:r w:rsidR="003F1151" w:rsidRPr="00A964FF">
              <w:rPr>
                <w:rFonts w:ascii="Calibri" w:hAnsi="Calibri" w:hint="eastAsia"/>
                <w:sz w:val="21"/>
                <w:szCs w:val="21"/>
              </w:rPr>
              <w:t>表层样</w:t>
            </w:r>
            <w:r w:rsidR="00222DFB" w:rsidRPr="00A964FF">
              <w:rPr>
                <w:rFonts w:ascii="Calibri" w:hAnsi="Calibri"/>
                <w:sz w:val="21"/>
                <w:szCs w:val="21"/>
              </w:rPr>
              <w:t>）</w:t>
            </w:r>
          </w:p>
        </w:tc>
      </w:tr>
      <w:tr w:rsidR="004A3168" w:rsidRPr="00A964FF" w14:paraId="4D1A31A4" w14:textId="77777777" w:rsidTr="00A352CD">
        <w:trPr>
          <w:trHeight w:val="340"/>
        </w:trPr>
        <w:tc>
          <w:tcPr>
            <w:tcW w:w="1407" w:type="pct"/>
            <w:vAlign w:val="center"/>
          </w:tcPr>
          <w:p w14:paraId="4C06635D" w14:textId="77777777" w:rsidR="004A3168" w:rsidRPr="00A964FF" w:rsidRDefault="00A352CD" w:rsidP="004A3168">
            <w:pPr>
              <w:pStyle w:val="TableStyle12"/>
              <w:rPr>
                <w:rFonts w:ascii="Calibri" w:hAnsi="Calibri"/>
                <w:sz w:val="21"/>
                <w:szCs w:val="21"/>
              </w:rPr>
            </w:pPr>
            <w:r w:rsidRPr="00A964FF">
              <w:rPr>
                <w:rFonts w:ascii="Calibri" w:hAnsi="Calibri" w:hint="eastAsia"/>
                <w:sz w:val="21"/>
                <w:szCs w:val="21"/>
              </w:rPr>
              <w:t>检测因子</w:t>
            </w:r>
          </w:p>
        </w:tc>
        <w:tc>
          <w:tcPr>
            <w:tcW w:w="1031" w:type="pct"/>
            <w:vAlign w:val="center"/>
          </w:tcPr>
          <w:p w14:paraId="2C1EB34A" w14:textId="77777777" w:rsidR="004A3168" w:rsidRPr="00A964FF" w:rsidRDefault="004A3168" w:rsidP="007B2E72">
            <w:pPr>
              <w:pStyle w:val="TableStyle12"/>
              <w:rPr>
                <w:rFonts w:ascii="Calibri" w:hAnsi="Calibri"/>
                <w:sz w:val="21"/>
                <w:szCs w:val="21"/>
              </w:rPr>
            </w:pPr>
            <w:r w:rsidRPr="00A964FF">
              <w:rPr>
                <w:rFonts w:ascii="Calibri" w:hAnsi="Calibri"/>
                <w:sz w:val="21"/>
                <w:szCs w:val="21"/>
              </w:rPr>
              <w:t>检测结果</w:t>
            </w:r>
            <w:r w:rsidR="007B2E72" w:rsidRPr="00A964FF">
              <w:rPr>
                <w:rFonts w:ascii="Calibri" w:hAnsi="Calibri" w:hint="eastAsia"/>
                <w:sz w:val="21"/>
                <w:szCs w:val="21"/>
              </w:rPr>
              <w:t>（</w:t>
            </w:r>
            <w:r w:rsidR="007B2E72" w:rsidRPr="00A964FF">
              <w:rPr>
                <w:rFonts w:ascii="Calibri" w:hAnsi="Calibri" w:hint="eastAsia"/>
                <w:sz w:val="21"/>
                <w:szCs w:val="21"/>
              </w:rPr>
              <w:t>mg/kg</w:t>
            </w:r>
            <w:r w:rsidR="007B2E72" w:rsidRPr="00A964FF">
              <w:rPr>
                <w:rFonts w:ascii="Calibri" w:hAnsi="Calibri" w:hint="eastAsia"/>
                <w:sz w:val="21"/>
                <w:szCs w:val="21"/>
              </w:rPr>
              <w:t>）</w:t>
            </w:r>
          </w:p>
        </w:tc>
        <w:tc>
          <w:tcPr>
            <w:tcW w:w="1108" w:type="pct"/>
            <w:vAlign w:val="center"/>
          </w:tcPr>
          <w:p w14:paraId="30D0E2D1" w14:textId="77777777" w:rsidR="004A3168" w:rsidRPr="00A964FF" w:rsidRDefault="004A3168" w:rsidP="004A3168">
            <w:pPr>
              <w:pStyle w:val="TableStyle12"/>
              <w:rPr>
                <w:rFonts w:ascii="Calibri" w:hAnsi="Calibri"/>
                <w:sz w:val="21"/>
                <w:szCs w:val="21"/>
              </w:rPr>
            </w:pPr>
            <w:r w:rsidRPr="00A964FF">
              <w:rPr>
                <w:rFonts w:ascii="Calibri" w:hAnsi="Calibri"/>
                <w:sz w:val="21"/>
                <w:szCs w:val="21"/>
              </w:rPr>
              <w:t>评价标准</w:t>
            </w:r>
            <w:r w:rsidR="00A352CD" w:rsidRPr="00A964FF">
              <w:rPr>
                <w:rFonts w:ascii="Calibri" w:hAnsi="Calibri" w:hint="eastAsia"/>
                <w:sz w:val="21"/>
                <w:szCs w:val="21"/>
              </w:rPr>
              <w:t>（</w:t>
            </w:r>
            <w:r w:rsidR="00A352CD" w:rsidRPr="00A964FF">
              <w:rPr>
                <w:rFonts w:ascii="Calibri" w:hAnsi="Calibri" w:hint="eastAsia"/>
                <w:sz w:val="21"/>
                <w:szCs w:val="21"/>
              </w:rPr>
              <w:t>mg/kg</w:t>
            </w:r>
            <w:r w:rsidR="00A352CD" w:rsidRPr="00A964FF">
              <w:rPr>
                <w:rFonts w:ascii="Calibri" w:hAnsi="Calibri" w:hint="eastAsia"/>
                <w:sz w:val="21"/>
                <w:szCs w:val="21"/>
              </w:rPr>
              <w:t>）</w:t>
            </w:r>
          </w:p>
        </w:tc>
        <w:tc>
          <w:tcPr>
            <w:tcW w:w="713" w:type="pct"/>
            <w:vAlign w:val="center"/>
          </w:tcPr>
          <w:p w14:paraId="589A49F6" w14:textId="77777777" w:rsidR="004A3168" w:rsidRPr="00A964FF" w:rsidRDefault="004A3168" w:rsidP="004A3168">
            <w:pPr>
              <w:pStyle w:val="TableStyle12"/>
              <w:rPr>
                <w:rFonts w:ascii="Calibri" w:hAnsi="Calibri"/>
                <w:sz w:val="21"/>
                <w:szCs w:val="21"/>
              </w:rPr>
            </w:pPr>
            <w:r w:rsidRPr="00A964FF">
              <w:rPr>
                <w:rFonts w:ascii="Calibri" w:hAnsi="Calibri"/>
                <w:sz w:val="21"/>
                <w:szCs w:val="21"/>
              </w:rPr>
              <w:t>标准指数</w:t>
            </w:r>
          </w:p>
        </w:tc>
        <w:tc>
          <w:tcPr>
            <w:tcW w:w="741" w:type="pct"/>
            <w:vAlign w:val="center"/>
          </w:tcPr>
          <w:p w14:paraId="32143AA2" w14:textId="77777777" w:rsidR="004A3168" w:rsidRPr="00A964FF" w:rsidRDefault="004A3168" w:rsidP="004A3168">
            <w:pPr>
              <w:pStyle w:val="TableStyle12"/>
              <w:rPr>
                <w:rFonts w:ascii="Calibri" w:hAnsi="Calibri"/>
                <w:sz w:val="21"/>
                <w:szCs w:val="21"/>
              </w:rPr>
            </w:pPr>
            <w:r w:rsidRPr="00A964FF">
              <w:rPr>
                <w:rFonts w:ascii="Calibri" w:hAnsi="Calibri"/>
                <w:sz w:val="21"/>
                <w:szCs w:val="21"/>
              </w:rPr>
              <w:t>是否达标</w:t>
            </w:r>
          </w:p>
        </w:tc>
      </w:tr>
      <w:tr w:rsidR="007B2E72" w:rsidRPr="00A964FF" w14:paraId="79BFFC87" w14:textId="77777777" w:rsidTr="00A352CD">
        <w:trPr>
          <w:trHeight w:val="340"/>
        </w:trPr>
        <w:tc>
          <w:tcPr>
            <w:tcW w:w="1407" w:type="pct"/>
            <w:vAlign w:val="center"/>
          </w:tcPr>
          <w:p w14:paraId="00EF43CA" w14:textId="77777777" w:rsidR="007B2E72" w:rsidRPr="00A964FF" w:rsidRDefault="007B2E72" w:rsidP="007B2E72">
            <w:pPr>
              <w:jc w:val="center"/>
              <w:textAlignment w:val="center"/>
              <w:rPr>
                <w:color w:val="auto"/>
                <w:szCs w:val="21"/>
              </w:rPr>
            </w:pPr>
            <w:r w:rsidRPr="00A964FF">
              <w:rPr>
                <w:color w:val="auto"/>
                <w:szCs w:val="21"/>
              </w:rPr>
              <w:t>砷</w:t>
            </w:r>
          </w:p>
        </w:tc>
        <w:tc>
          <w:tcPr>
            <w:tcW w:w="1031" w:type="pct"/>
            <w:vAlign w:val="center"/>
          </w:tcPr>
          <w:p w14:paraId="76083C60" w14:textId="77777777" w:rsidR="007B2E72" w:rsidRPr="00A964FF" w:rsidRDefault="006B496C" w:rsidP="00DA2265">
            <w:pPr>
              <w:pStyle w:val="TableStyle12"/>
              <w:rPr>
                <w:rFonts w:ascii="Calibri" w:hAnsi="Calibri"/>
                <w:sz w:val="21"/>
                <w:szCs w:val="21"/>
              </w:rPr>
            </w:pPr>
            <w:r>
              <w:rPr>
                <w:rFonts w:ascii="Calibri" w:hAnsi="Calibri"/>
                <w:sz w:val="21"/>
                <w:szCs w:val="21"/>
              </w:rPr>
              <w:t>7.46</w:t>
            </w:r>
          </w:p>
        </w:tc>
        <w:tc>
          <w:tcPr>
            <w:tcW w:w="1108" w:type="pct"/>
            <w:vAlign w:val="center"/>
          </w:tcPr>
          <w:p w14:paraId="35011E38"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60</w:t>
            </w:r>
          </w:p>
        </w:tc>
        <w:tc>
          <w:tcPr>
            <w:tcW w:w="713" w:type="pct"/>
            <w:vAlign w:val="center"/>
          </w:tcPr>
          <w:p w14:paraId="06F12C94" w14:textId="77777777" w:rsidR="007B2E72" w:rsidRPr="00A964FF" w:rsidRDefault="008367BA" w:rsidP="004A3168">
            <w:pPr>
              <w:pStyle w:val="TableStyle12"/>
              <w:rPr>
                <w:rFonts w:ascii="Calibri" w:hAnsi="Calibri"/>
                <w:sz w:val="21"/>
                <w:szCs w:val="21"/>
              </w:rPr>
            </w:pPr>
            <w:r>
              <w:rPr>
                <w:rFonts w:ascii="Calibri" w:hAnsi="Calibri"/>
                <w:sz w:val="21"/>
                <w:szCs w:val="21"/>
              </w:rPr>
              <w:t>0.124</w:t>
            </w:r>
          </w:p>
        </w:tc>
        <w:tc>
          <w:tcPr>
            <w:tcW w:w="741" w:type="pct"/>
            <w:vAlign w:val="center"/>
          </w:tcPr>
          <w:p w14:paraId="6D47E242"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7F3CE89D" w14:textId="77777777" w:rsidTr="00A352CD">
        <w:trPr>
          <w:trHeight w:val="340"/>
        </w:trPr>
        <w:tc>
          <w:tcPr>
            <w:tcW w:w="1407" w:type="pct"/>
            <w:vAlign w:val="center"/>
          </w:tcPr>
          <w:p w14:paraId="5547BF4D" w14:textId="77777777" w:rsidR="007B2E72" w:rsidRPr="00A964FF" w:rsidRDefault="007B2E72" w:rsidP="007B2E72">
            <w:pPr>
              <w:jc w:val="center"/>
              <w:textAlignment w:val="center"/>
              <w:rPr>
                <w:bCs/>
                <w:color w:val="auto"/>
                <w:szCs w:val="21"/>
              </w:rPr>
            </w:pPr>
            <w:r w:rsidRPr="00A964FF">
              <w:rPr>
                <w:color w:val="auto"/>
                <w:szCs w:val="21"/>
              </w:rPr>
              <w:t>镉</w:t>
            </w:r>
          </w:p>
        </w:tc>
        <w:tc>
          <w:tcPr>
            <w:tcW w:w="1031" w:type="pct"/>
            <w:vAlign w:val="center"/>
          </w:tcPr>
          <w:p w14:paraId="3C82DB58" w14:textId="77777777" w:rsidR="007B2E72" w:rsidRPr="00A964FF" w:rsidRDefault="006B496C" w:rsidP="00DA2265">
            <w:pPr>
              <w:pStyle w:val="TableStyle12"/>
              <w:rPr>
                <w:rFonts w:ascii="Calibri" w:hAnsi="Calibri"/>
                <w:sz w:val="21"/>
                <w:szCs w:val="21"/>
              </w:rPr>
            </w:pPr>
            <w:r>
              <w:rPr>
                <w:rFonts w:ascii="Calibri" w:hAnsi="Calibri"/>
                <w:sz w:val="21"/>
                <w:szCs w:val="21"/>
              </w:rPr>
              <w:t>0.15</w:t>
            </w:r>
          </w:p>
        </w:tc>
        <w:tc>
          <w:tcPr>
            <w:tcW w:w="1108" w:type="pct"/>
            <w:vAlign w:val="center"/>
          </w:tcPr>
          <w:p w14:paraId="032587CE"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65</w:t>
            </w:r>
          </w:p>
        </w:tc>
        <w:tc>
          <w:tcPr>
            <w:tcW w:w="713" w:type="pct"/>
            <w:vAlign w:val="center"/>
          </w:tcPr>
          <w:p w14:paraId="51D78C3A" w14:textId="77777777" w:rsidR="007B2E72" w:rsidRPr="00A964FF" w:rsidRDefault="00582ECA" w:rsidP="008367BA">
            <w:pPr>
              <w:pStyle w:val="TableStyle12"/>
              <w:rPr>
                <w:rFonts w:ascii="Calibri" w:hAnsi="Calibri"/>
                <w:sz w:val="21"/>
                <w:szCs w:val="21"/>
              </w:rPr>
            </w:pPr>
            <w:r w:rsidRPr="00A964FF">
              <w:rPr>
                <w:rFonts w:ascii="Calibri" w:hAnsi="Calibri" w:hint="eastAsia"/>
                <w:sz w:val="21"/>
                <w:szCs w:val="21"/>
              </w:rPr>
              <w:t>0.00</w:t>
            </w:r>
            <w:r w:rsidR="008367BA">
              <w:rPr>
                <w:rFonts w:ascii="Calibri" w:hAnsi="Calibri"/>
                <w:sz w:val="21"/>
                <w:szCs w:val="21"/>
              </w:rPr>
              <w:t>23</w:t>
            </w:r>
          </w:p>
        </w:tc>
        <w:tc>
          <w:tcPr>
            <w:tcW w:w="741" w:type="pct"/>
            <w:vAlign w:val="center"/>
          </w:tcPr>
          <w:p w14:paraId="552B7539"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21F6D09F" w14:textId="77777777" w:rsidTr="00A352CD">
        <w:trPr>
          <w:trHeight w:val="340"/>
        </w:trPr>
        <w:tc>
          <w:tcPr>
            <w:tcW w:w="1407" w:type="pct"/>
            <w:vAlign w:val="center"/>
          </w:tcPr>
          <w:p w14:paraId="5EB4D83A" w14:textId="77777777" w:rsidR="007B2E72" w:rsidRPr="00A964FF" w:rsidRDefault="007B2E72" w:rsidP="007B2E72">
            <w:pPr>
              <w:jc w:val="center"/>
              <w:textAlignment w:val="center"/>
              <w:rPr>
                <w:bCs/>
                <w:color w:val="auto"/>
                <w:szCs w:val="21"/>
              </w:rPr>
            </w:pPr>
            <w:r w:rsidRPr="00A964FF">
              <w:rPr>
                <w:color w:val="auto"/>
                <w:szCs w:val="21"/>
              </w:rPr>
              <w:t>六价铬</w:t>
            </w:r>
          </w:p>
        </w:tc>
        <w:tc>
          <w:tcPr>
            <w:tcW w:w="1031" w:type="pct"/>
            <w:vAlign w:val="center"/>
          </w:tcPr>
          <w:p w14:paraId="5AD81963"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F52CF85"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5.7</w:t>
            </w:r>
          </w:p>
        </w:tc>
        <w:tc>
          <w:tcPr>
            <w:tcW w:w="713" w:type="pct"/>
            <w:vAlign w:val="center"/>
          </w:tcPr>
          <w:p w14:paraId="16EFF204"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0E244EFC"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6383F53E" w14:textId="77777777" w:rsidTr="00A352CD">
        <w:trPr>
          <w:trHeight w:val="340"/>
        </w:trPr>
        <w:tc>
          <w:tcPr>
            <w:tcW w:w="1407" w:type="pct"/>
            <w:vAlign w:val="center"/>
          </w:tcPr>
          <w:p w14:paraId="14AE2AA6" w14:textId="77777777" w:rsidR="007B2E72" w:rsidRPr="00A964FF" w:rsidRDefault="007B2E72" w:rsidP="007B2E72">
            <w:pPr>
              <w:jc w:val="center"/>
              <w:textAlignment w:val="center"/>
              <w:rPr>
                <w:bCs/>
                <w:color w:val="auto"/>
                <w:szCs w:val="21"/>
              </w:rPr>
            </w:pPr>
            <w:r w:rsidRPr="00A964FF">
              <w:rPr>
                <w:color w:val="auto"/>
                <w:szCs w:val="21"/>
              </w:rPr>
              <w:t>铜</w:t>
            </w:r>
          </w:p>
        </w:tc>
        <w:tc>
          <w:tcPr>
            <w:tcW w:w="1031" w:type="pct"/>
            <w:vAlign w:val="center"/>
          </w:tcPr>
          <w:p w14:paraId="78A6CF55" w14:textId="77777777" w:rsidR="007B2E72" w:rsidRPr="00A964FF" w:rsidRDefault="006B496C" w:rsidP="00DA2265">
            <w:pPr>
              <w:pStyle w:val="TableStyle12"/>
              <w:rPr>
                <w:rFonts w:ascii="Calibri" w:hAnsi="Calibri"/>
                <w:sz w:val="21"/>
                <w:szCs w:val="21"/>
              </w:rPr>
            </w:pPr>
            <w:r>
              <w:rPr>
                <w:rFonts w:ascii="Calibri" w:hAnsi="Calibri"/>
                <w:sz w:val="21"/>
                <w:szCs w:val="21"/>
              </w:rPr>
              <w:t>41</w:t>
            </w:r>
          </w:p>
        </w:tc>
        <w:tc>
          <w:tcPr>
            <w:tcW w:w="1108" w:type="pct"/>
            <w:vAlign w:val="center"/>
          </w:tcPr>
          <w:p w14:paraId="326CF674"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18000</w:t>
            </w:r>
          </w:p>
        </w:tc>
        <w:tc>
          <w:tcPr>
            <w:tcW w:w="713" w:type="pct"/>
            <w:vAlign w:val="center"/>
          </w:tcPr>
          <w:p w14:paraId="19377C50" w14:textId="77777777" w:rsidR="007B2E72" w:rsidRPr="00A964FF" w:rsidRDefault="00582ECA" w:rsidP="008367BA">
            <w:pPr>
              <w:pStyle w:val="TableStyle12"/>
              <w:rPr>
                <w:rFonts w:ascii="Calibri" w:hAnsi="Calibri"/>
                <w:sz w:val="21"/>
                <w:szCs w:val="21"/>
              </w:rPr>
            </w:pPr>
            <w:r w:rsidRPr="00A964FF">
              <w:rPr>
                <w:rFonts w:ascii="Calibri" w:hAnsi="Calibri" w:hint="eastAsia"/>
                <w:sz w:val="21"/>
                <w:szCs w:val="21"/>
              </w:rPr>
              <w:t>0.00</w:t>
            </w:r>
            <w:r w:rsidR="00C563AD">
              <w:rPr>
                <w:rFonts w:ascii="Calibri" w:hAnsi="Calibri"/>
                <w:sz w:val="21"/>
                <w:szCs w:val="21"/>
              </w:rPr>
              <w:t>2</w:t>
            </w:r>
            <w:r w:rsidR="008367BA">
              <w:rPr>
                <w:rFonts w:ascii="Calibri" w:hAnsi="Calibri"/>
                <w:sz w:val="21"/>
                <w:szCs w:val="21"/>
              </w:rPr>
              <w:t>3</w:t>
            </w:r>
          </w:p>
        </w:tc>
        <w:tc>
          <w:tcPr>
            <w:tcW w:w="741" w:type="pct"/>
            <w:vAlign w:val="center"/>
          </w:tcPr>
          <w:p w14:paraId="00A8B713"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67A46289" w14:textId="77777777" w:rsidTr="00A352CD">
        <w:trPr>
          <w:trHeight w:val="340"/>
        </w:trPr>
        <w:tc>
          <w:tcPr>
            <w:tcW w:w="1407" w:type="pct"/>
            <w:vAlign w:val="center"/>
          </w:tcPr>
          <w:p w14:paraId="58644535" w14:textId="77777777" w:rsidR="007B2E72" w:rsidRPr="00A964FF" w:rsidRDefault="007B2E72" w:rsidP="007B2E72">
            <w:pPr>
              <w:jc w:val="center"/>
              <w:textAlignment w:val="center"/>
              <w:rPr>
                <w:bCs/>
                <w:color w:val="auto"/>
                <w:szCs w:val="21"/>
              </w:rPr>
            </w:pPr>
            <w:r w:rsidRPr="00A964FF">
              <w:rPr>
                <w:color w:val="auto"/>
                <w:szCs w:val="21"/>
              </w:rPr>
              <w:t>铅</w:t>
            </w:r>
          </w:p>
        </w:tc>
        <w:tc>
          <w:tcPr>
            <w:tcW w:w="1031" w:type="pct"/>
            <w:vAlign w:val="center"/>
          </w:tcPr>
          <w:p w14:paraId="19BFE6F6" w14:textId="77777777" w:rsidR="007B2E72" w:rsidRPr="00A964FF" w:rsidRDefault="006B496C" w:rsidP="00DA2265">
            <w:pPr>
              <w:pStyle w:val="TableStyle12"/>
              <w:rPr>
                <w:rFonts w:ascii="Calibri" w:hAnsi="Calibri"/>
                <w:sz w:val="21"/>
                <w:szCs w:val="21"/>
              </w:rPr>
            </w:pPr>
            <w:r>
              <w:rPr>
                <w:rFonts w:ascii="Calibri" w:hAnsi="Calibri"/>
                <w:sz w:val="21"/>
                <w:szCs w:val="21"/>
              </w:rPr>
              <w:t>36</w:t>
            </w:r>
          </w:p>
        </w:tc>
        <w:tc>
          <w:tcPr>
            <w:tcW w:w="1108" w:type="pct"/>
            <w:vAlign w:val="center"/>
          </w:tcPr>
          <w:p w14:paraId="720C23A3"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800</w:t>
            </w:r>
          </w:p>
        </w:tc>
        <w:tc>
          <w:tcPr>
            <w:tcW w:w="713" w:type="pct"/>
            <w:vAlign w:val="center"/>
          </w:tcPr>
          <w:p w14:paraId="56C00DDD" w14:textId="77777777" w:rsidR="007B2E72" w:rsidRPr="00A964FF" w:rsidRDefault="008367BA" w:rsidP="00C563AD">
            <w:pPr>
              <w:pStyle w:val="TableStyle12"/>
              <w:rPr>
                <w:rFonts w:ascii="Calibri" w:hAnsi="Calibri"/>
                <w:sz w:val="21"/>
                <w:szCs w:val="21"/>
              </w:rPr>
            </w:pPr>
            <w:r>
              <w:rPr>
                <w:rFonts w:ascii="Calibri" w:hAnsi="Calibri"/>
                <w:sz w:val="21"/>
                <w:szCs w:val="21"/>
              </w:rPr>
              <w:t>0.045</w:t>
            </w:r>
          </w:p>
        </w:tc>
        <w:tc>
          <w:tcPr>
            <w:tcW w:w="741" w:type="pct"/>
            <w:vAlign w:val="center"/>
          </w:tcPr>
          <w:p w14:paraId="20E0B59F"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2AB41C6B" w14:textId="77777777" w:rsidTr="00A352CD">
        <w:trPr>
          <w:trHeight w:val="340"/>
        </w:trPr>
        <w:tc>
          <w:tcPr>
            <w:tcW w:w="1407" w:type="pct"/>
            <w:vAlign w:val="center"/>
          </w:tcPr>
          <w:p w14:paraId="28651071" w14:textId="77777777" w:rsidR="007B2E72" w:rsidRPr="00A964FF" w:rsidRDefault="007B2E72" w:rsidP="007B2E72">
            <w:pPr>
              <w:jc w:val="center"/>
              <w:textAlignment w:val="center"/>
              <w:rPr>
                <w:bCs/>
                <w:color w:val="auto"/>
                <w:szCs w:val="21"/>
              </w:rPr>
            </w:pPr>
            <w:r w:rsidRPr="00A964FF">
              <w:rPr>
                <w:color w:val="auto"/>
                <w:szCs w:val="21"/>
              </w:rPr>
              <w:t>汞</w:t>
            </w:r>
          </w:p>
        </w:tc>
        <w:tc>
          <w:tcPr>
            <w:tcW w:w="1031" w:type="pct"/>
            <w:vAlign w:val="center"/>
          </w:tcPr>
          <w:p w14:paraId="48347D64" w14:textId="77777777" w:rsidR="007B2E72" w:rsidRPr="00A964FF" w:rsidRDefault="006B496C" w:rsidP="00C563AD">
            <w:pPr>
              <w:pStyle w:val="TableStyle12"/>
              <w:rPr>
                <w:rFonts w:ascii="Calibri" w:hAnsi="Calibri"/>
                <w:sz w:val="21"/>
                <w:szCs w:val="21"/>
              </w:rPr>
            </w:pPr>
            <w:r>
              <w:rPr>
                <w:rFonts w:ascii="Calibri" w:hAnsi="Calibri"/>
                <w:sz w:val="21"/>
                <w:szCs w:val="21"/>
              </w:rPr>
              <w:t>0.085</w:t>
            </w:r>
          </w:p>
        </w:tc>
        <w:tc>
          <w:tcPr>
            <w:tcW w:w="1108" w:type="pct"/>
            <w:vAlign w:val="center"/>
          </w:tcPr>
          <w:p w14:paraId="20BB43F7"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38</w:t>
            </w:r>
          </w:p>
        </w:tc>
        <w:tc>
          <w:tcPr>
            <w:tcW w:w="713" w:type="pct"/>
            <w:vAlign w:val="center"/>
          </w:tcPr>
          <w:p w14:paraId="4B2B1E04" w14:textId="77777777" w:rsidR="007B2E72" w:rsidRPr="00A964FF" w:rsidRDefault="00582ECA" w:rsidP="008367BA">
            <w:pPr>
              <w:pStyle w:val="TableStyle12"/>
              <w:rPr>
                <w:rFonts w:ascii="Calibri" w:hAnsi="Calibri"/>
                <w:sz w:val="21"/>
                <w:szCs w:val="21"/>
              </w:rPr>
            </w:pPr>
            <w:r w:rsidRPr="00A964FF">
              <w:rPr>
                <w:rFonts w:ascii="Calibri" w:hAnsi="Calibri" w:hint="eastAsia"/>
                <w:sz w:val="21"/>
                <w:szCs w:val="21"/>
              </w:rPr>
              <w:t>0.00</w:t>
            </w:r>
            <w:r w:rsidR="008367BA">
              <w:rPr>
                <w:rFonts w:ascii="Calibri" w:hAnsi="Calibri"/>
                <w:sz w:val="21"/>
                <w:szCs w:val="21"/>
              </w:rPr>
              <w:t>22</w:t>
            </w:r>
          </w:p>
        </w:tc>
        <w:tc>
          <w:tcPr>
            <w:tcW w:w="741" w:type="pct"/>
            <w:vAlign w:val="center"/>
          </w:tcPr>
          <w:p w14:paraId="502B5DA3"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7819D318" w14:textId="77777777" w:rsidTr="00A352CD">
        <w:trPr>
          <w:trHeight w:val="340"/>
        </w:trPr>
        <w:tc>
          <w:tcPr>
            <w:tcW w:w="1407" w:type="pct"/>
            <w:vAlign w:val="center"/>
          </w:tcPr>
          <w:p w14:paraId="5AB3056B" w14:textId="77777777" w:rsidR="007B2E72" w:rsidRPr="00A964FF" w:rsidRDefault="007B2E72" w:rsidP="007B2E72">
            <w:pPr>
              <w:jc w:val="center"/>
              <w:textAlignment w:val="center"/>
              <w:rPr>
                <w:bCs/>
                <w:color w:val="auto"/>
                <w:szCs w:val="21"/>
              </w:rPr>
            </w:pPr>
            <w:r w:rsidRPr="00A964FF">
              <w:rPr>
                <w:color w:val="auto"/>
                <w:szCs w:val="21"/>
              </w:rPr>
              <w:t>镍</w:t>
            </w:r>
          </w:p>
        </w:tc>
        <w:tc>
          <w:tcPr>
            <w:tcW w:w="1031" w:type="pct"/>
            <w:vAlign w:val="center"/>
          </w:tcPr>
          <w:p w14:paraId="20E3BDD4" w14:textId="77777777" w:rsidR="007B2E72" w:rsidRPr="00A964FF" w:rsidRDefault="006B496C" w:rsidP="00DA2265">
            <w:pPr>
              <w:pStyle w:val="TableStyle12"/>
              <w:rPr>
                <w:rFonts w:ascii="Calibri" w:hAnsi="Calibri"/>
                <w:sz w:val="21"/>
                <w:szCs w:val="21"/>
              </w:rPr>
            </w:pPr>
            <w:r>
              <w:rPr>
                <w:rFonts w:ascii="Calibri" w:hAnsi="Calibri"/>
                <w:sz w:val="21"/>
                <w:szCs w:val="21"/>
              </w:rPr>
              <w:t>49</w:t>
            </w:r>
          </w:p>
        </w:tc>
        <w:tc>
          <w:tcPr>
            <w:tcW w:w="1108" w:type="pct"/>
            <w:vAlign w:val="center"/>
          </w:tcPr>
          <w:p w14:paraId="5BF62D54"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900</w:t>
            </w:r>
          </w:p>
        </w:tc>
        <w:tc>
          <w:tcPr>
            <w:tcW w:w="713" w:type="pct"/>
            <w:vAlign w:val="center"/>
          </w:tcPr>
          <w:p w14:paraId="0E35DC04" w14:textId="77777777" w:rsidR="007B2E72" w:rsidRPr="00A964FF" w:rsidRDefault="00582ECA" w:rsidP="008367BA">
            <w:pPr>
              <w:pStyle w:val="TableStyle12"/>
              <w:rPr>
                <w:rFonts w:ascii="Calibri" w:hAnsi="Calibri"/>
                <w:sz w:val="21"/>
                <w:szCs w:val="21"/>
              </w:rPr>
            </w:pPr>
            <w:r w:rsidRPr="00A964FF">
              <w:rPr>
                <w:rFonts w:ascii="Calibri" w:hAnsi="Calibri" w:hint="eastAsia"/>
                <w:sz w:val="21"/>
                <w:szCs w:val="21"/>
              </w:rPr>
              <w:t>0.0</w:t>
            </w:r>
            <w:r w:rsidR="008367BA">
              <w:rPr>
                <w:rFonts w:ascii="Calibri" w:hAnsi="Calibri"/>
                <w:sz w:val="21"/>
                <w:szCs w:val="21"/>
              </w:rPr>
              <w:t>54</w:t>
            </w:r>
          </w:p>
        </w:tc>
        <w:tc>
          <w:tcPr>
            <w:tcW w:w="741" w:type="pct"/>
            <w:vAlign w:val="center"/>
          </w:tcPr>
          <w:p w14:paraId="43463987"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7E6289AE" w14:textId="77777777" w:rsidTr="00A352CD">
        <w:trPr>
          <w:trHeight w:val="340"/>
        </w:trPr>
        <w:tc>
          <w:tcPr>
            <w:tcW w:w="1407" w:type="pct"/>
            <w:vAlign w:val="center"/>
          </w:tcPr>
          <w:p w14:paraId="11C444DF" w14:textId="77777777" w:rsidR="007B2E72" w:rsidRPr="00A964FF" w:rsidRDefault="007B2E72" w:rsidP="007B2E72">
            <w:pPr>
              <w:jc w:val="center"/>
              <w:textAlignment w:val="center"/>
              <w:rPr>
                <w:bCs/>
                <w:color w:val="auto"/>
                <w:szCs w:val="21"/>
              </w:rPr>
            </w:pPr>
            <w:r w:rsidRPr="00A964FF">
              <w:rPr>
                <w:color w:val="auto"/>
                <w:szCs w:val="21"/>
              </w:rPr>
              <w:t>四氯化碳</w:t>
            </w:r>
          </w:p>
        </w:tc>
        <w:tc>
          <w:tcPr>
            <w:tcW w:w="1031" w:type="pct"/>
            <w:vAlign w:val="center"/>
          </w:tcPr>
          <w:p w14:paraId="3192C9F2"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675A25D3"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c>
          <w:tcPr>
            <w:tcW w:w="713" w:type="pct"/>
            <w:vAlign w:val="center"/>
          </w:tcPr>
          <w:p w14:paraId="0869F27D"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638848ED"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C8F7856" w14:textId="77777777" w:rsidTr="00A352CD">
        <w:trPr>
          <w:trHeight w:val="340"/>
        </w:trPr>
        <w:tc>
          <w:tcPr>
            <w:tcW w:w="1407" w:type="pct"/>
            <w:vAlign w:val="center"/>
          </w:tcPr>
          <w:p w14:paraId="2548D365" w14:textId="77777777" w:rsidR="007B2E72" w:rsidRPr="00A964FF" w:rsidRDefault="007B2E72" w:rsidP="007B2E72">
            <w:pPr>
              <w:jc w:val="center"/>
              <w:textAlignment w:val="center"/>
              <w:rPr>
                <w:bCs/>
                <w:color w:val="auto"/>
                <w:szCs w:val="21"/>
              </w:rPr>
            </w:pPr>
            <w:r w:rsidRPr="00A964FF">
              <w:rPr>
                <w:color w:val="auto"/>
                <w:szCs w:val="21"/>
              </w:rPr>
              <w:t>氯仿</w:t>
            </w:r>
          </w:p>
        </w:tc>
        <w:tc>
          <w:tcPr>
            <w:tcW w:w="1031" w:type="pct"/>
            <w:vAlign w:val="center"/>
          </w:tcPr>
          <w:p w14:paraId="75E294D7"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1075036E"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0.9</w:t>
            </w:r>
          </w:p>
        </w:tc>
        <w:tc>
          <w:tcPr>
            <w:tcW w:w="713" w:type="pct"/>
            <w:vAlign w:val="center"/>
          </w:tcPr>
          <w:p w14:paraId="7411483B"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560D0541"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C259C78" w14:textId="77777777" w:rsidTr="00A352CD">
        <w:trPr>
          <w:trHeight w:val="340"/>
        </w:trPr>
        <w:tc>
          <w:tcPr>
            <w:tcW w:w="1407" w:type="pct"/>
            <w:vAlign w:val="center"/>
          </w:tcPr>
          <w:p w14:paraId="37086065" w14:textId="77777777" w:rsidR="007B2E72" w:rsidRPr="00A964FF" w:rsidRDefault="007B2E72" w:rsidP="007B2E72">
            <w:pPr>
              <w:jc w:val="center"/>
              <w:textAlignment w:val="center"/>
              <w:rPr>
                <w:bCs/>
                <w:color w:val="auto"/>
                <w:szCs w:val="21"/>
              </w:rPr>
            </w:pPr>
            <w:r w:rsidRPr="00A964FF">
              <w:rPr>
                <w:color w:val="auto"/>
                <w:szCs w:val="21"/>
              </w:rPr>
              <w:t>氯甲烷</w:t>
            </w:r>
          </w:p>
        </w:tc>
        <w:tc>
          <w:tcPr>
            <w:tcW w:w="1031" w:type="pct"/>
            <w:vAlign w:val="center"/>
          </w:tcPr>
          <w:p w14:paraId="5766E4C5"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16350DB"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37</w:t>
            </w:r>
          </w:p>
        </w:tc>
        <w:tc>
          <w:tcPr>
            <w:tcW w:w="713" w:type="pct"/>
            <w:vAlign w:val="center"/>
          </w:tcPr>
          <w:p w14:paraId="7A219BA0"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765C408F"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06CF4267" w14:textId="77777777" w:rsidTr="00A352CD">
        <w:trPr>
          <w:trHeight w:val="340"/>
        </w:trPr>
        <w:tc>
          <w:tcPr>
            <w:tcW w:w="1407" w:type="pct"/>
            <w:vAlign w:val="center"/>
          </w:tcPr>
          <w:p w14:paraId="59F07E6F" w14:textId="77777777" w:rsidR="007B2E72" w:rsidRPr="00A964FF" w:rsidRDefault="007B2E72" w:rsidP="007B2E72">
            <w:pPr>
              <w:jc w:val="center"/>
              <w:textAlignment w:val="center"/>
              <w:rPr>
                <w:bCs/>
                <w:color w:val="auto"/>
                <w:szCs w:val="21"/>
              </w:rPr>
            </w:pPr>
            <w:r w:rsidRPr="00A964FF">
              <w:rPr>
                <w:color w:val="auto"/>
                <w:szCs w:val="21"/>
              </w:rPr>
              <w:t>1,1-</w:t>
            </w:r>
            <w:r w:rsidRPr="00A964FF">
              <w:rPr>
                <w:color w:val="auto"/>
                <w:szCs w:val="21"/>
              </w:rPr>
              <w:t>二氯乙烷</w:t>
            </w:r>
          </w:p>
        </w:tc>
        <w:tc>
          <w:tcPr>
            <w:tcW w:w="1031" w:type="pct"/>
            <w:vAlign w:val="center"/>
          </w:tcPr>
          <w:p w14:paraId="7A2F562A"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5099467"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9</w:t>
            </w:r>
          </w:p>
        </w:tc>
        <w:tc>
          <w:tcPr>
            <w:tcW w:w="713" w:type="pct"/>
            <w:vAlign w:val="center"/>
          </w:tcPr>
          <w:p w14:paraId="5B8EF2BB"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1602DC6F"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1FAE0681" w14:textId="77777777" w:rsidTr="00A352CD">
        <w:trPr>
          <w:trHeight w:val="340"/>
        </w:trPr>
        <w:tc>
          <w:tcPr>
            <w:tcW w:w="1407" w:type="pct"/>
            <w:vAlign w:val="center"/>
          </w:tcPr>
          <w:p w14:paraId="5833261C" w14:textId="77777777" w:rsidR="007B2E72" w:rsidRPr="00A964FF" w:rsidRDefault="007B2E72" w:rsidP="007B2E72">
            <w:pPr>
              <w:jc w:val="center"/>
              <w:textAlignment w:val="center"/>
              <w:rPr>
                <w:bCs/>
                <w:color w:val="auto"/>
                <w:szCs w:val="21"/>
              </w:rPr>
            </w:pPr>
            <w:r w:rsidRPr="00A964FF">
              <w:rPr>
                <w:color w:val="auto"/>
                <w:szCs w:val="21"/>
              </w:rPr>
              <w:t>1,2-</w:t>
            </w:r>
            <w:r w:rsidRPr="00A964FF">
              <w:rPr>
                <w:color w:val="auto"/>
                <w:szCs w:val="21"/>
              </w:rPr>
              <w:t>二氯乙烷</w:t>
            </w:r>
          </w:p>
        </w:tc>
        <w:tc>
          <w:tcPr>
            <w:tcW w:w="1031" w:type="pct"/>
            <w:vAlign w:val="center"/>
          </w:tcPr>
          <w:p w14:paraId="3D49DEF5"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55FB2E3A"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w:t>
            </w:r>
          </w:p>
        </w:tc>
        <w:tc>
          <w:tcPr>
            <w:tcW w:w="713" w:type="pct"/>
            <w:vAlign w:val="center"/>
          </w:tcPr>
          <w:p w14:paraId="20293D04"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6916830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F2FE8AD" w14:textId="77777777" w:rsidTr="00A352CD">
        <w:trPr>
          <w:trHeight w:val="340"/>
        </w:trPr>
        <w:tc>
          <w:tcPr>
            <w:tcW w:w="1407" w:type="pct"/>
            <w:vAlign w:val="center"/>
          </w:tcPr>
          <w:p w14:paraId="723C3D9B" w14:textId="77777777" w:rsidR="007B2E72" w:rsidRPr="00A964FF" w:rsidRDefault="007B2E72" w:rsidP="007B2E72">
            <w:pPr>
              <w:jc w:val="center"/>
              <w:textAlignment w:val="center"/>
              <w:rPr>
                <w:bCs/>
                <w:color w:val="auto"/>
                <w:szCs w:val="21"/>
              </w:rPr>
            </w:pPr>
            <w:r w:rsidRPr="00A964FF">
              <w:rPr>
                <w:color w:val="auto"/>
                <w:szCs w:val="21"/>
              </w:rPr>
              <w:t>1,1-</w:t>
            </w:r>
            <w:r w:rsidRPr="00A964FF">
              <w:rPr>
                <w:color w:val="auto"/>
                <w:szCs w:val="21"/>
              </w:rPr>
              <w:t>二氯乙烯</w:t>
            </w:r>
          </w:p>
        </w:tc>
        <w:tc>
          <w:tcPr>
            <w:tcW w:w="1031" w:type="pct"/>
            <w:vAlign w:val="center"/>
          </w:tcPr>
          <w:p w14:paraId="0C144CBC"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1D091A8"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66</w:t>
            </w:r>
          </w:p>
        </w:tc>
        <w:tc>
          <w:tcPr>
            <w:tcW w:w="713" w:type="pct"/>
            <w:vAlign w:val="center"/>
          </w:tcPr>
          <w:p w14:paraId="397086D7"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2CF1B16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1A4E4ECD" w14:textId="77777777" w:rsidTr="00A352CD">
        <w:trPr>
          <w:trHeight w:val="340"/>
        </w:trPr>
        <w:tc>
          <w:tcPr>
            <w:tcW w:w="1407" w:type="pct"/>
            <w:vAlign w:val="center"/>
          </w:tcPr>
          <w:p w14:paraId="7BFE2563" w14:textId="77777777" w:rsidR="007B2E72" w:rsidRPr="00A964FF" w:rsidRDefault="007B2E72" w:rsidP="007B2E72">
            <w:pPr>
              <w:adjustRightInd w:val="0"/>
              <w:snapToGrid w:val="0"/>
              <w:jc w:val="center"/>
              <w:rPr>
                <w:bCs/>
                <w:color w:val="auto"/>
                <w:szCs w:val="21"/>
              </w:rPr>
            </w:pPr>
            <w:r w:rsidRPr="00A964FF">
              <w:rPr>
                <w:color w:val="auto"/>
                <w:szCs w:val="21"/>
              </w:rPr>
              <w:t>顺</w:t>
            </w:r>
            <w:r w:rsidRPr="00A964FF">
              <w:rPr>
                <w:color w:val="auto"/>
                <w:szCs w:val="21"/>
              </w:rPr>
              <w:t>-1,2-</w:t>
            </w:r>
            <w:r w:rsidRPr="00A964FF">
              <w:rPr>
                <w:color w:val="auto"/>
                <w:szCs w:val="21"/>
              </w:rPr>
              <w:t>二氯乙烯</w:t>
            </w:r>
          </w:p>
        </w:tc>
        <w:tc>
          <w:tcPr>
            <w:tcW w:w="1031" w:type="pct"/>
            <w:vAlign w:val="center"/>
          </w:tcPr>
          <w:p w14:paraId="5FED406C"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BCD5A02"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596</w:t>
            </w:r>
          </w:p>
        </w:tc>
        <w:tc>
          <w:tcPr>
            <w:tcW w:w="713" w:type="pct"/>
            <w:vAlign w:val="center"/>
          </w:tcPr>
          <w:p w14:paraId="0002D25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074C6F16"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3FC5B414" w14:textId="77777777" w:rsidTr="00A352CD">
        <w:trPr>
          <w:trHeight w:val="340"/>
        </w:trPr>
        <w:tc>
          <w:tcPr>
            <w:tcW w:w="1407" w:type="pct"/>
            <w:vAlign w:val="center"/>
          </w:tcPr>
          <w:p w14:paraId="4931CB70" w14:textId="77777777" w:rsidR="007B2E72" w:rsidRPr="00A964FF" w:rsidRDefault="007B2E72" w:rsidP="007B2E72">
            <w:pPr>
              <w:jc w:val="center"/>
              <w:textAlignment w:val="center"/>
              <w:rPr>
                <w:bCs/>
                <w:color w:val="auto"/>
                <w:szCs w:val="21"/>
              </w:rPr>
            </w:pPr>
            <w:r w:rsidRPr="00A964FF">
              <w:rPr>
                <w:color w:val="auto"/>
                <w:szCs w:val="21"/>
              </w:rPr>
              <w:t>反</w:t>
            </w:r>
            <w:r w:rsidRPr="00A964FF">
              <w:rPr>
                <w:color w:val="auto"/>
                <w:szCs w:val="21"/>
              </w:rPr>
              <w:t>-1,2-</w:t>
            </w:r>
            <w:r w:rsidRPr="00A964FF">
              <w:rPr>
                <w:color w:val="auto"/>
                <w:szCs w:val="21"/>
              </w:rPr>
              <w:t>二氯乙烯</w:t>
            </w:r>
          </w:p>
        </w:tc>
        <w:tc>
          <w:tcPr>
            <w:tcW w:w="1031" w:type="pct"/>
            <w:vAlign w:val="center"/>
          </w:tcPr>
          <w:p w14:paraId="16565491"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8F70018"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54</w:t>
            </w:r>
          </w:p>
        </w:tc>
        <w:tc>
          <w:tcPr>
            <w:tcW w:w="713" w:type="pct"/>
            <w:vAlign w:val="center"/>
          </w:tcPr>
          <w:p w14:paraId="06CB3BC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3DC16829"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701957C8" w14:textId="77777777" w:rsidTr="00A352CD">
        <w:trPr>
          <w:trHeight w:val="340"/>
        </w:trPr>
        <w:tc>
          <w:tcPr>
            <w:tcW w:w="1407" w:type="pct"/>
            <w:vAlign w:val="center"/>
          </w:tcPr>
          <w:p w14:paraId="1E9A2C2C" w14:textId="77777777" w:rsidR="007B2E72" w:rsidRPr="00A964FF" w:rsidRDefault="007B2E72" w:rsidP="007B2E72">
            <w:pPr>
              <w:jc w:val="center"/>
              <w:textAlignment w:val="center"/>
              <w:rPr>
                <w:bCs/>
                <w:color w:val="auto"/>
                <w:szCs w:val="21"/>
              </w:rPr>
            </w:pPr>
            <w:r w:rsidRPr="00A964FF">
              <w:rPr>
                <w:color w:val="auto"/>
                <w:szCs w:val="21"/>
              </w:rPr>
              <w:t>二氯甲烷</w:t>
            </w:r>
          </w:p>
        </w:tc>
        <w:tc>
          <w:tcPr>
            <w:tcW w:w="1031" w:type="pct"/>
            <w:vAlign w:val="center"/>
          </w:tcPr>
          <w:p w14:paraId="1B9D63B6"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006FACA"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616</w:t>
            </w:r>
          </w:p>
        </w:tc>
        <w:tc>
          <w:tcPr>
            <w:tcW w:w="713" w:type="pct"/>
            <w:vAlign w:val="center"/>
          </w:tcPr>
          <w:p w14:paraId="26CFB74E"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09B7ED5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050A2309" w14:textId="77777777" w:rsidTr="00A352CD">
        <w:trPr>
          <w:trHeight w:val="340"/>
        </w:trPr>
        <w:tc>
          <w:tcPr>
            <w:tcW w:w="1407" w:type="pct"/>
            <w:vAlign w:val="center"/>
          </w:tcPr>
          <w:p w14:paraId="17497571" w14:textId="77777777" w:rsidR="007B2E72" w:rsidRPr="00A964FF" w:rsidRDefault="007B2E72" w:rsidP="007B2E72">
            <w:pPr>
              <w:jc w:val="center"/>
              <w:textAlignment w:val="center"/>
              <w:rPr>
                <w:bCs/>
                <w:color w:val="auto"/>
                <w:szCs w:val="21"/>
              </w:rPr>
            </w:pPr>
            <w:r w:rsidRPr="00A964FF">
              <w:rPr>
                <w:color w:val="auto"/>
                <w:szCs w:val="21"/>
              </w:rPr>
              <w:t>1,2-</w:t>
            </w:r>
            <w:r w:rsidRPr="00A964FF">
              <w:rPr>
                <w:color w:val="auto"/>
                <w:szCs w:val="21"/>
              </w:rPr>
              <w:t>二氯丙烷</w:t>
            </w:r>
          </w:p>
        </w:tc>
        <w:tc>
          <w:tcPr>
            <w:tcW w:w="1031" w:type="pct"/>
            <w:vAlign w:val="center"/>
          </w:tcPr>
          <w:p w14:paraId="782B252C"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A3E00DF"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w:t>
            </w:r>
          </w:p>
        </w:tc>
        <w:tc>
          <w:tcPr>
            <w:tcW w:w="713" w:type="pct"/>
            <w:vAlign w:val="center"/>
          </w:tcPr>
          <w:p w14:paraId="27B43677"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479A49B3"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13EBF88C" w14:textId="77777777" w:rsidTr="00A352CD">
        <w:trPr>
          <w:trHeight w:val="340"/>
        </w:trPr>
        <w:tc>
          <w:tcPr>
            <w:tcW w:w="1407" w:type="pct"/>
            <w:vAlign w:val="center"/>
          </w:tcPr>
          <w:p w14:paraId="70EEBCED" w14:textId="77777777" w:rsidR="007B2E72" w:rsidRPr="00A964FF" w:rsidRDefault="007B2E72" w:rsidP="007B2E72">
            <w:pPr>
              <w:jc w:val="center"/>
              <w:textAlignment w:val="center"/>
              <w:rPr>
                <w:bCs/>
                <w:color w:val="auto"/>
                <w:szCs w:val="21"/>
              </w:rPr>
            </w:pPr>
            <w:r w:rsidRPr="00A964FF">
              <w:rPr>
                <w:color w:val="auto"/>
                <w:szCs w:val="21"/>
              </w:rPr>
              <w:t>1,1,1,2-</w:t>
            </w:r>
            <w:r w:rsidRPr="00A964FF">
              <w:rPr>
                <w:color w:val="auto"/>
                <w:szCs w:val="21"/>
              </w:rPr>
              <w:t>四氯乙烷</w:t>
            </w:r>
          </w:p>
        </w:tc>
        <w:tc>
          <w:tcPr>
            <w:tcW w:w="1031" w:type="pct"/>
            <w:vAlign w:val="center"/>
          </w:tcPr>
          <w:p w14:paraId="11D2B3D5"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5B499CDD"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10</w:t>
            </w:r>
          </w:p>
        </w:tc>
        <w:tc>
          <w:tcPr>
            <w:tcW w:w="713" w:type="pct"/>
            <w:vAlign w:val="center"/>
          </w:tcPr>
          <w:p w14:paraId="3213A3C0"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367DD1F2"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742F7F8F" w14:textId="77777777" w:rsidTr="00A352CD">
        <w:trPr>
          <w:trHeight w:val="340"/>
        </w:trPr>
        <w:tc>
          <w:tcPr>
            <w:tcW w:w="1407" w:type="pct"/>
            <w:vAlign w:val="center"/>
          </w:tcPr>
          <w:p w14:paraId="5EAADF36" w14:textId="77777777" w:rsidR="007B2E72" w:rsidRPr="00A964FF" w:rsidRDefault="007B2E72" w:rsidP="007B2E72">
            <w:pPr>
              <w:jc w:val="center"/>
              <w:textAlignment w:val="center"/>
              <w:rPr>
                <w:bCs/>
                <w:color w:val="auto"/>
                <w:szCs w:val="21"/>
              </w:rPr>
            </w:pPr>
            <w:r w:rsidRPr="00A964FF">
              <w:rPr>
                <w:color w:val="auto"/>
                <w:szCs w:val="21"/>
              </w:rPr>
              <w:t>1,1,2,2-</w:t>
            </w:r>
            <w:r w:rsidRPr="00A964FF">
              <w:rPr>
                <w:color w:val="auto"/>
                <w:szCs w:val="21"/>
              </w:rPr>
              <w:t>四氯乙烷</w:t>
            </w:r>
          </w:p>
        </w:tc>
        <w:tc>
          <w:tcPr>
            <w:tcW w:w="1031" w:type="pct"/>
            <w:vAlign w:val="center"/>
          </w:tcPr>
          <w:p w14:paraId="5C41F7FA"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69D31818"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6.8</w:t>
            </w:r>
          </w:p>
        </w:tc>
        <w:tc>
          <w:tcPr>
            <w:tcW w:w="713" w:type="pct"/>
            <w:vAlign w:val="center"/>
          </w:tcPr>
          <w:p w14:paraId="62504E99"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3DE4236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5041CC7B" w14:textId="77777777" w:rsidTr="00A352CD">
        <w:trPr>
          <w:trHeight w:val="340"/>
        </w:trPr>
        <w:tc>
          <w:tcPr>
            <w:tcW w:w="1407" w:type="pct"/>
            <w:vAlign w:val="center"/>
          </w:tcPr>
          <w:p w14:paraId="5D3D79EC" w14:textId="77777777" w:rsidR="007B2E72" w:rsidRPr="00A964FF" w:rsidRDefault="007B2E72" w:rsidP="007B2E72">
            <w:pPr>
              <w:jc w:val="center"/>
              <w:textAlignment w:val="center"/>
              <w:rPr>
                <w:bCs/>
                <w:color w:val="auto"/>
                <w:szCs w:val="21"/>
              </w:rPr>
            </w:pPr>
            <w:r w:rsidRPr="00A964FF">
              <w:rPr>
                <w:color w:val="auto"/>
                <w:szCs w:val="21"/>
              </w:rPr>
              <w:t>四氯乙烯</w:t>
            </w:r>
          </w:p>
        </w:tc>
        <w:tc>
          <w:tcPr>
            <w:tcW w:w="1031" w:type="pct"/>
            <w:vAlign w:val="center"/>
          </w:tcPr>
          <w:p w14:paraId="1A7B3F02"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52CF544"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53</w:t>
            </w:r>
          </w:p>
        </w:tc>
        <w:tc>
          <w:tcPr>
            <w:tcW w:w="713" w:type="pct"/>
            <w:vAlign w:val="center"/>
          </w:tcPr>
          <w:p w14:paraId="28C9D466"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61E6045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5C1A8382" w14:textId="77777777" w:rsidTr="00A352CD">
        <w:trPr>
          <w:trHeight w:val="340"/>
        </w:trPr>
        <w:tc>
          <w:tcPr>
            <w:tcW w:w="1407" w:type="pct"/>
            <w:vAlign w:val="center"/>
          </w:tcPr>
          <w:p w14:paraId="074E7815" w14:textId="77777777" w:rsidR="007B2E72" w:rsidRPr="00A964FF" w:rsidRDefault="007B2E72" w:rsidP="007B2E72">
            <w:pPr>
              <w:jc w:val="center"/>
              <w:textAlignment w:val="center"/>
              <w:rPr>
                <w:color w:val="auto"/>
                <w:szCs w:val="21"/>
              </w:rPr>
            </w:pPr>
            <w:r w:rsidRPr="00A964FF">
              <w:rPr>
                <w:color w:val="auto"/>
                <w:szCs w:val="21"/>
              </w:rPr>
              <w:t>1,1,1-</w:t>
            </w:r>
            <w:r w:rsidRPr="00A964FF">
              <w:rPr>
                <w:color w:val="auto"/>
                <w:szCs w:val="21"/>
              </w:rPr>
              <w:t>三氯乙烷</w:t>
            </w:r>
          </w:p>
        </w:tc>
        <w:tc>
          <w:tcPr>
            <w:tcW w:w="1031" w:type="pct"/>
            <w:vAlign w:val="center"/>
          </w:tcPr>
          <w:p w14:paraId="68617898"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7E5C5D8B"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840</w:t>
            </w:r>
          </w:p>
        </w:tc>
        <w:tc>
          <w:tcPr>
            <w:tcW w:w="713" w:type="pct"/>
            <w:vAlign w:val="center"/>
          </w:tcPr>
          <w:p w14:paraId="387DA724"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4781DD7B"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6FED2C74" w14:textId="77777777" w:rsidTr="00A352CD">
        <w:trPr>
          <w:trHeight w:val="340"/>
        </w:trPr>
        <w:tc>
          <w:tcPr>
            <w:tcW w:w="1407" w:type="pct"/>
            <w:vAlign w:val="center"/>
          </w:tcPr>
          <w:p w14:paraId="00340B8A" w14:textId="77777777" w:rsidR="007B2E72" w:rsidRPr="00A964FF" w:rsidRDefault="007B2E72" w:rsidP="007B2E72">
            <w:pPr>
              <w:jc w:val="center"/>
              <w:textAlignment w:val="center"/>
              <w:rPr>
                <w:color w:val="auto"/>
                <w:szCs w:val="21"/>
              </w:rPr>
            </w:pPr>
            <w:r w:rsidRPr="00A964FF">
              <w:rPr>
                <w:color w:val="auto"/>
                <w:szCs w:val="21"/>
              </w:rPr>
              <w:t>1,1,2-</w:t>
            </w:r>
            <w:r w:rsidRPr="00A964FF">
              <w:rPr>
                <w:color w:val="auto"/>
                <w:szCs w:val="21"/>
              </w:rPr>
              <w:t>三氯乙烷</w:t>
            </w:r>
          </w:p>
        </w:tc>
        <w:tc>
          <w:tcPr>
            <w:tcW w:w="1031" w:type="pct"/>
            <w:vAlign w:val="center"/>
          </w:tcPr>
          <w:p w14:paraId="67AB6387"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35162D4D"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c>
          <w:tcPr>
            <w:tcW w:w="713" w:type="pct"/>
            <w:vAlign w:val="center"/>
          </w:tcPr>
          <w:p w14:paraId="2ED4C37B"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335C1DB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37AE0ED1" w14:textId="77777777" w:rsidTr="00A352CD">
        <w:trPr>
          <w:trHeight w:val="340"/>
        </w:trPr>
        <w:tc>
          <w:tcPr>
            <w:tcW w:w="1407" w:type="pct"/>
            <w:vAlign w:val="center"/>
          </w:tcPr>
          <w:p w14:paraId="78CF4DB5" w14:textId="77777777" w:rsidR="007B2E72" w:rsidRPr="00A964FF" w:rsidRDefault="007B2E72" w:rsidP="007B2E72">
            <w:pPr>
              <w:jc w:val="center"/>
              <w:textAlignment w:val="center"/>
              <w:rPr>
                <w:color w:val="auto"/>
                <w:szCs w:val="21"/>
              </w:rPr>
            </w:pPr>
            <w:r w:rsidRPr="00A964FF">
              <w:rPr>
                <w:color w:val="auto"/>
                <w:szCs w:val="21"/>
              </w:rPr>
              <w:t>三氯乙烯</w:t>
            </w:r>
          </w:p>
        </w:tc>
        <w:tc>
          <w:tcPr>
            <w:tcW w:w="1031" w:type="pct"/>
            <w:vAlign w:val="center"/>
          </w:tcPr>
          <w:p w14:paraId="43E5046D"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43E7A430"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c>
          <w:tcPr>
            <w:tcW w:w="713" w:type="pct"/>
            <w:vAlign w:val="center"/>
          </w:tcPr>
          <w:p w14:paraId="28929011"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19ADB2B8"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FAF5EEF" w14:textId="77777777" w:rsidTr="00A352CD">
        <w:trPr>
          <w:trHeight w:val="340"/>
        </w:trPr>
        <w:tc>
          <w:tcPr>
            <w:tcW w:w="1407" w:type="pct"/>
            <w:vAlign w:val="center"/>
          </w:tcPr>
          <w:p w14:paraId="2B7B36D4" w14:textId="77777777" w:rsidR="007B2E72" w:rsidRPr="00A964FF" w:rsidRDefault="007B2E72" w:rsidP="007B2E72">
            <w:pPr>
              <w:jc w:val="center"/>
              <w:textAlignment w:val="center"/>
              <w:rPr>
                <w:bCs/>
                <w:color w:val="auto"/>
                <w:szCs w:val="21"/>
              </w:rPr>
            </w:pPr>
            <w:r w:rsidRPr="00A964FF">
              <w:rPr>
                <w:color w:val="auto"/>
                <w:szCs w:val="21"/>
              </w:rPr>
              <w:t>1,2,3-</w:t>
            </w:r>
            <w:r w:rsidRPr="00A964FF">
              <w:rPr>
                <w:color w:val="auto"/>
                <w:szCs w:val="21"/>
              </w:rPr>
              <w:t>三氯丙烷</w:t>
            </w:r>
          </w:p>
        </w:tc>
        <w:tc>
          <w:tcPr>
            <w:tcW w:w="1031" w:type="pct"/>
            <w:vAlign w:val="center"/>
          </w:tcPr>
          <w:p w14:paraId="30F320C2"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7A3C7FB9"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0.5</w:t>
            </w:r>
          </w:p>
        </w:tc>
        <w:tc>
          <w:tcPr>
            <w:tcW w:w="713" w:type="pct"/>
            <w:vAlign w:val="center"/>
          </w:tcPr>
          <w:p w14:paraId="7DFCE6D2"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6A3007FD"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272FDA5C" w14:textId="77777777" w:rsidTr="00A352CD">
        <w:trPr>
          <w:trHeight w:val="340"/>
        </w:trPr>
        <w:tc>
          <w:tcPr>
            <w:tcW w:w="1407" w:type="pct"/>
            <w:vAlign w:val="center"/>
          </w:tcPr>
          <w:p w14:paraId="15D9D17E" w14:textId="77777777" w:rsidR="007B2E72" w:rsidRPr="00A964FF" w:rsidRDefault="007B2E72" w:rsidP="007B2E72">
            <w:pPr>
              <w:jc w:val="center"/>
              <w:textAlignment w:val="center"/>
              <w:rPr>
                <w:bCs/>
                <w:color w:val="auto"/>
                <w:szCs w:val="21"/>
              </w:rPr>
            </w:pPr>
            <w:r w:rsidRPr="00A964FF">
              <w:rPr>
                <w:color w:val="auto"/>
                <w:szCs w:val="21"/>
              </w:rPr>
              <w:t>氯乙烯</w:t>
            </w:r>
          </w:p>
        </w:tc>
        <w:tc>
          <w:tcPr>
            <w:tcW w:w="1031" w:type="pct"/>
            <w:vAlign w:val="center"/>
          </w:tcPr>
          <w:p w14:paraId="60467A01"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AC37127"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0.43</w:t>
            </w:r>
          </w:p>
        </w:tc>
        <w:tc>
          <w:tcPr>
            <w:tcW w:w="713" w:type="pct"/>
            <w:vAlign w:val="center"/>
          </w:tcPr>
          <w:p w14:paraId="06D89128"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3D45508C"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086D889E" w14:textId="77777777" w:rsidTr="00A352CD">
        <w:trPr>
          <w:trHeight w:val="340"/>
        </w:trPr>
        <w:tc>
          <w:tcPr>
            <w:tcW w:w="1407" w:type="pct"/>
            <w:vAlign w:val="center"/>
          </w:tcPr>
          <w:p w14:paraId="71D8CA8B" w14:textId="77777777" w:rsidR="00582ECA" w:rsidRPr="00A964FF" w:rsidRDefault="00582ECA" w:rsidP="007B2E72">
            <w:pPr>
              <w:jc w:val="center"/>
              <w:textAlignment w:val="center"/>
              <w:rPr>
                <w:bCs/>
                <w:color w:val="auto"/>
                <w:szCs w:val="21"/>
              </w:rPr>
            </w:pPr>
            <w:r w:rsidRPr="00A964FF">
              <w:rPr>
                <w:color w:val="auto"/>
                <w:szCs w:val="21"/>
              </w:rPr>
              <w:t>苯</w:t>
            </w:r>
          </w:p>
        </w:tc>
        <w:tc>
          <w:tcPr>
            <w:tcW w:w="1031" w:type="pct"/>
            <w:vAlign w:val="center"/>
          </w:tcPr>
          <w:p w14:paraId="24DF2F82" w14:textId="77777777" w:rsidR="00582ECA" w:rsidRPr="00A964FF" w:rsidRDefault="00582ECA"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12E4F31"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4</w:t>
            </w:r>
          </w:p>
        </w:tc>
        <w:tc>
          <w:tcPr>
            <w:tcW w:w="713" w:type="pct"/>
            <w:vAlign w:val="center"/>
          </w:tcPr>
          <w:p w14:paraId="08A0D0CA"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1C767B86"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4397AF8C" w14:textId="77777777" w:rsidTr="00A352CD">
        <w:trPr>
          <w:trHeight w:val="340"/>
        </w:trPr>
        <w:tc>
          <w:tcPr>
            <w:tcW w:w="1407" w:type="pct"/>
            <w:vAlign w:val="center"/>
          </w:tcPr>
          <w:p w14:paraId="6D1ECD11" w14:textId="77777777" w:rsidR="00582ECA" w:rsidRPr="00A964FF" w:rsidRDefault="00582ECA" w:rsidP="007B2E72">
            <w:pPr>
              <w:jc w:val="center"/>
              <w:textAlignment w:val="center"/>
              <w:rPr>
                <w:bCs/>
                <w:color w:val="auto"/>
                <w:szCs w:val="21"/>
              </w:rPr>
            </w:pPr>
            <w:r w:rsidRPr="00A964FF">
              <w:rPr>
                <w:color w:val="auto"/>
                <w:szCs w:val="21"/>
              </w:rPr>
              <w:t>氯苯</w:t>
            </w:r>
          </w:p>
        </w:tc>
        <w:tc>
          <w:tcPr>
            <w:tcW w:w="1031" w:type="pct"/>
            <w:vAlign w:val="center"/>
          </w:tcPr>
          <w:p w14:paraId="51AE03CE" w14:textId="77777777" w:rsidR="00582ECA" w:rsidRPr="00A964FF" w:rsidRDefault="00582ECA"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1BD4CEC7"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270</w:t>
            </w:r>
          </w:p>
        </w:tc>
        <w:tc>
          <w:tcPr>
            <w:tcW w:w="713" w:type="pct"/>
            <w:vAlign w:val="center"/>
          </w:tcPr>
          <w:p w14:paraId="4E0D7312"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75045E04"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2537DE72" w14:textId="77777777" w:rsidTr="00A352CD">
        <w:trPr>
          <w:trHeight w:val="340"/>
        </w:trPr>
        <w:tc>
          <w:tcPr>
            <w:tcW w:w="1407" w:type="pct"/>
            <w:vAlign w:val="center"/>
          </w:tcPr>
          <w:p w14:paraId="2D365D82" w14:textId="77777777" w:rsidR="00582ECA" w:rsidRPr="00A964FF" w:rsidRDefault="00582ECA" w:rsidP="007B2E72">
            <w:pPr>
              <w:jc w:val="center"/>
              <w:textAlignment w:val="center"/>
              <w:rPr>
                <w:bCs/>
                <w:color w:val="auto"/>
                <w:szCs w:val="21"/>
              </w:rPr>
            </w:pPr>
            <w:r w:rsidRPr="00A964FF">
              <w:rPr>
                <w:color w:val="auto"/>
                <w:szCs w:val="21"/>
              </w:rPr>
              <w:t>1,2-</w:t>
            </w:r>
            <w:r w:rsidRPr="00A964FF">
              <w:rPr>
                <w:color w:val="auto"/>
                <w:szCs w:val="21"/>
              </w:rPr>
              <w:t>二氯苯</w:t>
            </w:r>
          </w:p>
        </w:tc>
        <w:tc>
          <w:tcPr>
            <w:tcW w:w="1031" w:type="pct"/>
            <w:vAlign w:val="center"/>
          </w:tcPr>
          <w:p w14:paraId="19AE214A" w14:textId="77777777" w:rsidR="00582ECA" w:rsidRPr="00A964FF" w:rsidRDefault="00582ECA"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483FDE49"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560</w:t>
            </w:r>
          </w:p>
        </w:tc>
        <w:tc>
          <w:tcPr>
            <w:tcW w:w="713" w:type="pct"/>
            <w:vAlign w:val="center"/>
          </w:tcPr>
          <w:p w14:paraId="553F7E85"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7FE592A6"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47FB462F" w14:textId="77777777" w:rsidTr="00A352CD">
        <w:trPr>
          <w:trHeight w:val="340"/>
        </w:trPr>
        <w:tc>
          <w:tcPr>
            <w:tcW w:w="1407" w:type="pct"/>
            <w:vAlign w:val="center"/>
          </w:tcPr>
          <w:p w14:paraId="6B5D83DE" w14:textId="77777777" w:rsidR="00582ECA" w:rsidRPr="00A964FF" w:rsidRDefault="00582ECA" w:rsidP="007B2E72">
            <w:pPr>
              <w:jc w:val="center"/>
              <w:textAlignment w:val="center"/>
              <w:rPr>
                <w:bCs/>
                <w:color w:val="auto"/>
                <w:szCs w:val="21"/>
              </w:rPr>
            </w:pPr>
            <w:r w:rsidRPr="00A964FF">
              <w:rPr>
                <w:color w:val="auto"/>
                <w:szCs w:val="21"/>
              </w:rPr>
              <w:t>1,4-</w:t>
            </w:r>
            <w:r w:rsidRPr="00A964FF">
              <w:rPr>
                <w:color w:val="auto"/>
                <w:szCs w:val="21"/>
              </w:rPr>
              <w:t>二氯苯</w:t>
            </w:r>
          </w:p>
        </w:tc>
        <w:tc>
          <w:tcPr>
            <w:tcW w:w="1031" w:type="pct"/>
            <w:vAlign w:val="center"/>
          </w:tcPr>
          <w:p w14:paraId="7D98CE49" w14:textId="77777777" w:rsidR="00582ECA" w:rsidRPr="00A964FF" w:rsidRDefault="00582ECA" w:rsidP="007B2E72">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6A2EC36C"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20</w:t>
            </w:r>
          </w:p>
        </w:tc>
        <w:tc>
          <w:tcPr>
            <w:tcW w:w="713" w:type="pct"/>
            <w:vAlign w:val="center"/>
          </w:tcPr>
          <w:p w14:paraId="1F0BFEA5"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2A34D5D0"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013BF5E4" w14:textId="77777777" w:rsidTr="00A352CD">
        <w:trPr>
          <w:trHeight w:val="340"/>
        </w:trPr>
        <w:tc>
          <w:tcPr>
            <w:tcW w:w="1407" w:type="pct"/>
            <w:vAlign w:val="center"/>
          </w:tcPr>
          <w:p w14:paraId="0DC046B4" w14:textId="77777777" w:rsidR="00582ECA" w:rsidRPr="00A964FF" w:rsidRDefault="00582ECA" w:rsidP="007B2E72">
            <w:pPr>
              <w:jc w:val="center"/>
              <w:textAlignment w:val="center"/>
              <w:rPr>
                <w:bCs/>
                <w:color w:val="auto"/>
                <w:szCs w:val="21"/>
              </w:rPr>
            </w:pPr>
            <w:r w:rsidRPr="00A964FF">
              <w:rPr>
                <w:color w:val="auto"/>
                <w:szCs w:val="21"/>
              </w:rPr>
              <w:t>乙苯</w:t>
            </w:r>
          </w:p>
        </w:tc>
        <w:tc>
          <w:tcPr>
            <w:tcW w:w="1031" w:type="pct"/>
            <w:vAlign w:val="center"/>
          </w:tcPr>
          <w:p w14:paraId="246521C3" w14:textId="77777777" w:rsidR="00582ECA" w:rsidRPr="00A964FF" w:rsidRDefault="00582ECA" w:rsidP="007B2E72">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56CCFC6C"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28</w:t>
            </w:r>
          </w:p>
        </w:tc>
        <w:tc>
          <w:tcPr>
            <w:tcW w:w="713" w:type="pct"/>
            <w:vAlign w:val="center"/>
          </w:tcPr>
          <w:p w14:paraId="10FC991F"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458B0497"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6C5B0E29" w14:textId="77777777" w:rsidTr="00A352CD">
        <w:trPr>
          <w:trHeight w:val="340"/>
        </w:trPr>
        <w:tc>
          <w:tcPr>
            <w:tcW w:w="1407" w:type="pct"/>
            <w:vAlign w:val="center"/>
          </w:tcPr>
          <w:p w14:paraId="7454E7EB" w14:textId="77777777" w:rsidR="00582ECA" w:rsidRPr="00A964FF" w:rsidRDefault="00582ECA" w:rsidP="007B2E72">
            <w:pPr>
              <w:jc w:val="center"/>
              <w:textAlignment w:val="center"/>
              <w:rPr>
                <w:bCs/>
                <w:color w:val="auto"/>
                <w:szCs w:val="21"/>
              </w:rPr>
            </w:pPr>
            <w:r w:rsidRPr="00A964FF">
              <w:rPr>
                <w:color w:val="auto"/>
                <w:szCs w:val="21"/>
              </w:rPr>
              <w:t>苯乙烯</w:t>
            </w:r>
          </w:p>
        </w:tc>
        <w:tc>
          <w:tcPr>
            <w:tcW w:w="1031" w:type="pct"/>
            <w:vAlign w:val="center"/>
          </w:tcPr>
          <w:p w14:paraId="78521622" w14:textId="77777777" w:rsidR="00582ECA" w:rsidRPr="00A964FF" w:rsidRDefault="00582ECA" w:rsidP="007B2E72">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0281429"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1290</w:t>
            </w:r>
          </w:p>
        </w:tc>
        <w:tc>
          <w:tcPr>
            <w:tcW w:w="713" w:type="pct"/>
            <w:vAlign w:val="center"/>
          </w:tcPr>
          <w:p w14:paraId="1C9A1B79"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5F1CBBBC"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7F6F77EA" w14:textId="77777777" w:rsidTr="00A352CD">
        <w:trPr>
          <w:trHeight w:val="340"/>
        </w:trPr>
        <w:tc>
          <w:tcPr>
            <w:tcW w:w="1407" w:type="pct"/>
            <w:vAlign w:val="center"/>
          </w:tcPr>
          <w:p w14:paraId="7C3B2630" w14:textId="77777777" w:rsidR="00582ECA" w:rsidRPr="00A964FF" w:rsidRDefault="00582ECA" w:rsidP="007B2E72">
            <w:pPr>
              <w:jc w:val="center"/>
              <w:textAlignment w:val="center"/>
              <w:rPr>
                <w:bCs/>
                <w:color w:val="auto"/>
                <w:szCs w:val="21"/>
              </w:rPr>
            </w:pPr>
            <w:r w:rsidRPr="00A964FF">
              <w:rPr>
                <w:color w:val="auto"/>
                <w:szCs w:val="21"/>
              </w:rPr>
              <w:t>甲苯</w:t>
            </w:r>
          </w:p>
        </w:tc>
        <w:tc>
          <w:tcPr>
            <w:tcW w:w="1031" w:type="pct"/>
            <w:vAlign w:val="center"/>
          </w:tcPr>
          <w:p w14:paraId="043503D7" w14:textId="77777777" w:rsidR="00582ECA" w:rsidRPr="00A964FF" w:rsidRDefault="00582ECA" w:rsidP="007B2E72">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0E10116"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1200</w:t>
            </w:r>
          </w:p>
        </w:tc>
        <w:tc>
          <w:tcPr>
            <w:tcW w:w="713" w:type="pct"/>
            <w:vAlign w:val="center"/>
          </w:tcPr>
          <w:p w14:paraId="52F36263"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5E124F0C"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343354C3" w14:textId="77777777" w:rsidTr="00A352CD">
        <w:trPr>
          <w:trHeight w:val="340"/>
        </w:trPr>
        <w:tc>
          <w:tcPr>
            <w:tcW w:w="1407" w:type="pct"/>
            <w:vAlign w:val="center"/>
          </w:tcPr>
          <w:p w14:paraId="7258562C" w14:textId="77777777" w:rsidR="00582ECA" w:rsidRPr="00A964FF" w:rsidRDefault="00582ECA" w:rsidP="007B2E72">
            <w:pPr>
              <w:jc w:val="center"/>
              <w:textAlignment w:val="center"/>
              <w:rPr>
                <w:bCs/>
                <w:color w:val="auto"/>
                <w:szCs w:val="21"/>
              </w:rPr>
            </w:pPr>
            <w:r w:rsidRPr="00A964FF">
              <w:rPr>
                <w:color w:val="auto"/>
                <w:szCs w:val="21"/>
              </w:rPr>
              <w:t>间二甲苯</w:t>
            </w:r>
            <w:r w:rsidRPr="00A964FF">
              <w:rPr>
                <w:color w:val="auto"/>
                <w:szCs w:val="21"/>
              </w:rPr>
              <w:t>+</w:t>
            </w:r>
            <w:r w:rsidRPr="00A964FF">
              <w:rPr>
                <w:color w:val="auto"/>
                <w:szCs w:val="21"/>
              </w:rPr>
              <w:t>对二甲苯</w:t>
            </w:r>
          </w:p>
        </w:tc>
        <w:tc>
          <w:tcPr>
            <w:tcW w:w="1031" w:type="pct"/>
            <w:vAlign w:val="center"/>
          </w:tcPr>
          <w:p w14:paraId="41EED417" w14:textId="77777777" w:rsidR="00582ECA" w:rsidRPr="00A964FF" w:rsidRDefault="00582ECA" w:rsidP="007B2E72">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24B44CF"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570</w:t>
            </w:r>
          </w:p>
        </w:tc>
        <w:tc>
          <w:tcPr>
            <w:tcW w:w="713" w:type="pct"/>
            <w:vAlign w:val="center"/>
          </w:tcPr>
          <w:p w14:paraId="1C9B737F"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12AA8EC2"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582ECA" w:rsidRPr="00A964FF" w14:paraId="0D8C141F" w14:textId="77777777" w:rsidTr="00A352CD">
        <w:trPr>
          <w:trHeight w:val="340"/>
        </w:trPr>
        <w:tc>
          <w:tcPr>
            <w:tcW w:w="1407" w:type="pct"/>
            <w:vAlign w:val="center"/>
          </w:tcPr>
          <w:p w14:paraId="30477DBB" w14:textId="77777777" w:rsidR="00582ECA" w:rsidRPr="00A964FF" w:rsidRDefault="00582ECA" w:rsidP="007B2E72">
            <w:pPr>
              <w:jc w:val="center"/>
              <w:textAlignment w:val="center"/>
              <w:rPr>
                <w:bCs/>
                <w:color w:val="auto"/>
                <w:szCs w:val="21"/>
              </w:rPr>
            </w:pPr>
            <w:r w:rsidRPr="00A964FF">
              <w:rPr>
                <w:color w:val="auto"/>
                <w:szCs w:val="21"/>
              </w:rPr>
              <w:t>邻二甲苯</w:t>
            </w:r>
          </w:p>
        </w:tc>
        <w:tc>
          <w:tcPr>
            <w:tcW w:w="1031" w:type="pct"/>
            <w:vAlign w:val="center"/>
          </w:tcPr>
          <w:p w14:paraId="41AF2DF3" w14:textId="77777777" w:rsidR="00582ECA" w:rsidRPr="00A964FF" w:rsidRDefault="00582ECA" w:rsidP="007B2E72">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788293E6" w14:textId="77777777" w:rsidR="00582ECA" w:rsidRPr="00A964FF" w:rsidRDefault="00582ECA"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640</w:t>
            </w:r>
          </w:p>
        </w:tc>
        <w:tc>
          <w:tcPr>
            <w:tcW w:w="713" w:type="pct"/>
            <w:vAlign w:val="center"/>
          </w:tcPr>
          <w:p w14:paraId="4470C97A" w14:textId="77777777" w:rsidR="00582ECA" w:rsidRPr="00A964FF" w:rsidRDefault="00582ECA" w:rsidP="00D067C7">
            <w:pPr>
              <w:pStyle w:val="TableStyle12"/>
              <w:rPr>
                <w:rFonts w:ascii="Calibri" w:hAnsi="Calibri"/>
                <w:sz w:val="21"/>
                <w:szCs w:val="21"/>
              </w:rPr>
            </w:pPr>
            <w:r w:rsidRPr="00A964FF">
              <w:rPr>
                <w:rFonts w:ascii="Calibri" w:hAnsi="Calibri"/>
                <w:sz w:val="21"/>
                <w:szCs w:val="21"/>
              </w:rPr>
              <w:t>/</w:t>
            </w:r>
          </w:p>
        </w:tc>
        <w:tc>
          <w:tcPr>
            <w:tcW w:w="741" w:type="pct"/>
            <w:vAlign w:val="center"/>
          </w:tcPr>
          <w:p w14:paraId="35EE2EF4" w14:textId="77777777" w:rsidR="00582ECA" w:rsidRPr="00A964FF" w:rsidRDefault="00582ECA"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56B69488" w14:textId="77777777" w:rsidTr="00A352CD">
        <w:trPr>
          <w:trHeight w:val="340"/>
        </w:trPr>
        <w:tc>
          <w:tcPr>
            <w:tcW w:w="1407" w:type="pct"/>
            <w:vAlign w:val="center"/>
          </w:tcPr>
          <w:p w14:paraId="51EC95B2" w14:textId="77777777" w:rsidR="007B2E72" w:rsidRPr="00A964FF" w:rsidRDefault="007B2E72" w:rsidP="007B2E72">
            <w:pPr>
              <w:jc w:val="center"/>
              <w:textAlignment w:val="center"/>
              <w:rPr>
                <w:bCs/>
                <w:color w:val="auto"/>
                <w:szCs w:val="21"/>
              </w:rPr>
            </w:pPr>
            <w:r w:rsidRPr="00A964FF">
              <w:rPr>
                <w:color w:val="auto"/>
                <w:szCs w:val="21"/>
              </w:rPr>
              <w:lastRenderedPageBreak/>
              <w:t>硝基苯</w:t>
            </w:r>
          </w:p>
        </w:tc>
        <w:tc>
          <w:tcPr>
            <w:tcW w:w="1031" w:type="pct"/>
            <w:vAlign w:val="center"/>
          </w:tcPr>
          <w:p w14:paraId="7C379C7C" w14:textId="77777777" w:rsidR="007B2E72" w:rsidRPr="00A964FF" w:rsidRDefault="007B2E72" w:rsidP="004A3168">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7C7B448B"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76</w:t>
            </w:r>
          </w:p>
        </w:tc>
        <w:tc>
          <w:tcPr>
            <w:tcW w:w="713" w:type="pct"/>
            <w:vAlign w:val="center"/>
          </w:tcPr>
          <w:p w14:paraId="2001804F"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74A41B41"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0CB6E61" w14:textId="77777777" w:rsidTr="00A352CD">
        <w:trPr>
          <w:trHeight w:val="340"/>
        </w:trPr>
        <w:tc>
          <w:tcPr>
            <w:tcW w:w="1407" w:type="pct"/>
            <w:vAlign w:val="center"/>
          </w:tcPr>
          <w:p w14:paraId="356D126E" w14:textId="77777777" w:rsidR="007B2E72" w:rsidRPr="00A964FF" w:rsidRDefault="007B2E72" w:rsidP="007B2E72">
            <w:pPr>
              <w:jc w:val="center"/>
              <w:textAlignment w:val="center"/>
              <w:rPr>
                <w:bCs/>
                <w:color w:val="auto"/>
                <w:szCs w:val="21"/>
              </w:rPr>
            </w:pPr>
            <w:r w:rsidRPr="00A964FF">
              <w:rPr>
                <w:color w:val="auto"/>
                <w:szCs w:val="21"/>
              </w:rPr>
              <w:t>苯胺</w:t>
            </w:r>
          </w:p>
        </w:tc>
        <w:tc>
          <w:tcPr>
            <w:tcW w:w="1031" w:type="pct"/>
            <w:vAlign w:val="center"/>
          </w:tcPr>
          <w:p w14:paraId="3468C474"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32455C59"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260</w:t>
            </w:r>
          </w:p>
        </w:tc>
        <w:tc>
          <w:tcPr>
            <w:tcW w:w="713" w:type="pct"/>
            <w:vAlign w:val="center"/>
          </w:tcPr>
          <w:p w14:paraId="29F4A3BE"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293A6899"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7098C5AD" w14:textId="77777777" w:rsidTr="00A352CD">
        <w:trPr>
          <w:trHeight w:val="340"/>
        </w:trPr>
        <w:tc>
          <w:tcPr>
            <w:tcW w:w="1407" w:type="pct"/>
            <w:vAlign w:val="center"/>
          </w:tcPr>
          <w:p w14:paraId="57564CF0" w14:textId="77777777" w:rsidR="007B2E72" w:rsidRPr="00A964FF" w:rsidRDefault="007B2E72" w:rsidP="007B2E72">
            <w:pPr>
              <w:jc w:val="center"/>
              <w:textAlignment w:val="center"/>
              <w:rPr>
                <w:bCs/>
                <w:color w:val="auto"/>
                <w:szCs w:val="21"/>
              </w:rPr>
            </w:pPr>
            <w:r w:rsidRPr="00A964FF">
              <w:rPr>
                <w:color w:val="auto"/>
                <w:szCs w:val="21"/>
              </w:rPr>
              <w:t>2-</w:t>
            </w:r>
            <w:r w:rsidRPr="00A964FF">
              <w:rPr>
                <w:color w:val="auto"/>
                <w:szCs w:val="21"/>
              </w:rPr>
              <w:t>氯酚</w:t>
            </w:r>
          </w:p>
        </w:tc>
        <w:tc>
          <w:tcPr>
            <w:tcW w:w="1031" w:type="pct"/>
            <w:vAlign w:val="center"/>
          </w:tcPr>
          <w:p w14:paraId="24D27AE4"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39C13F4A"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2256</w:t>
            </w:r>
          </w:p>
        </w:tc>
        <w:tc>
          <w:tcPr>
            <w:tcW w:w="713" w:type="pct"/>
            <w:vAlign w:val="center"/>
          </w:tcPr>
          <w:p w14:paraId="45A5D825"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0661CA41"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C53D136" w14:textId="77777777" w:rsidTr="00A352CD">
        <w:trPr>
          <w:trHeight w:val="340"/>
        </w:trPr>
        <w:tc>
          <w:tcPr>
            <w:tcW w:w="1407" w:type="pct"/>
            <w:vAlign w:val="center"/>
          </w:tcPr>
          <w:p w14:paraId="2FE4622E" w14:textId="77777777" w:rsidR="007B2E72" w:rsidRPr="00A964FF" w:rsidRDefault="007B2E72" w:rsidP="007B2E72">
            <w:pPr>
              <w:jc w:val="center"/>
              <w:textAlignment w:val="center"/>
              <w:rPr>
                <w:bCs/>
                <w:color w:val="auto"/>
                <w:szCs w:val="21"/>
              </w:rPr>
            </w:pPr>
            <w:r w:rsidRPr="00A964FF">
              <w:rPr>
                <w:color w:val="auto"/>
                <w:szCs w:val="21"/>
              </w:rPr>
              <w:t>苯并</w:t>
            </w:r>
            <w:r w:rsidRPr="00A964FF">
              <w:rPr>
                <w:color w:val="auto"/>
                <w:szCs w:val="21"/>
              </w:rPr>
              <w:t>[a]</w:t>
            </w:r>
            <w:r w:rsidRPr="00A964FF">
              <w:rPr>
                <w:color w:val="auto"/>
                <w:szCs w:val="21"/>
              </w:rPr>
              <w:t>蒽</w:t>
            </w:r>
          </w:p>
        </w:tc>
        <w:tc>
          <w:tcPr>
            <w:tcW w:w="1031" w:type="pct"/>
            <w:vAlign w:val="center"/>
          </w:tcPr>
          <w:p w14:paraId="67973A94"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FAF1EA0"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c>
          <w:tcPr>
            <w:tcW w:w="713" w:type="pct"/>
            <w:vAlign w:val="center"/>
          </w:tcPr>
          <w:p w14:paraId="6C36B850"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0A49CD40"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21416137" w14:textId="77777777" w:rsidTr="00A352CD">
        <w:trPr>
          <w:trHeight w:val="340"/>
        </w:trPr>
        <w:tc>
          <w:tcPr>
            <w:tcW w:w="1407" w:type="pct"/>
            <w:vAlign w:val="center"/>
          </w:tcPr>
          <w:p w14:paraId="468DF0F7" w14:textId="77777777" w:rsidR="007B2E72" w:rsidRPr="00A964FF" w:rsidRDefault="007B2E72" w:rsidP="007B2E72">
            <w:pPr>
              <w:jc w:val="center"/>
              <w:textAlignment w:val="center"/>
              <w:rPr>
                <w:bCs/>
                <w:color w:val="auto"/>
                <w:szCs w:val="21"/>
              </w:rPr>
            </w:pPr>
            <w:r w:rsidRPr="00A964FF">
              <w:rPr>
                <w:color w:val="auto"/>
                <w:szCs w:val="21"/>
              </w:rPr>
              <w:t>苯并</w:t>
            </w:r>
            <w:r w:rsidRPr="00A964FF">
              <w:rPr>
                <w:color w:val="auto"/>
                <w:szCs w:val="21"/>
              </w:rPr>
              <w:t>[a]</w:t>
            </w:r>
            <w:r w:rsidRPr="00A964FF">
              <w:rPr>
                <w:color w:val="auto"/>
                <w:szCs w:val="21"/>
              </w:rPr>
              <w:t>芘</w:t>
            </w:r>
          </w:p>
        </w:tc>
        <w:tc>
          <w:tcPr>
            <w:tcW w:w="1031" w:type="pct"/>
            <w:vAlign w:val="center"/>
          </w:tcPr>
          <w:p w14:paraId="4E62003B"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0AFC2BC"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c>
          <w:tcPr>
            <w:tcW w:w="713" w:type="pct"/>
            <w:vAlign w:val="center"/>
          </w:tcPr>
          <w:p w14:paraId="11CE5DF9"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34F7CB5C"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0B88EA0" w14:textId="77777777" w:rsidTr="00A352CD">
        <w:trPr>
          <w:trHeight w:val="340"/>
        </w:trPr>
        <w:tc>
          <w:tcPr>
            <w:tcW w:w="1407" w:type="pct"/>
            <w:vAlign w:val="center"/>
          </w:tcPr>
          <w:p w14:paraId="643B37D2" w14:textId="77777777" w:rsidR="007B2E72" w:rsidRPr="00A964FF" w:rsidRDefault="007B2E72" w:rsidP="007B2E72">
            <w:pPr>
              <w:jc w:val="center"/>
              <w:textAlignment w:val="center"/>
              <w:rPr>
                <w:bCs/>
                <w:color w:val="auto"/>
                <w:szCs w:val="21"/>
              </w:rPr>
            </w:pPr>
            <w:r w:rsidRPr="00A964FF">
              <w:rPr>
                <w:color w:val="auto"/>
                <w:szCs w:val="21"/>
              </w:rPr>
              <w:t>苯并</w:t>
            </w:r>
            <w:r w:rsidRPr="00A964FF">
              <w:rPr>
                <w:color w:val="auto"/>
                <w:szCs w:val="21"/>
              </w:rPr>
              <w:t>[b]</w:t>
            </w:r>
            <w:r w:rsidRPr="00A964FF">
              <w:rPr>
                <w:color w:val="auto"/>
                <w:szCs w:val="21"/>
              </w:rPr>
              <w:t>荧蒽</w:t>
            </w:r>
          </w:p>
        </w:tc>
        <w:tc>
          <w:tcPr>
            <w:tcW w:w="1031" w:type="pct"/>
            <w:vAlign w:val="center"/>
          </w:tcPr>
          <w:p w14:paraId="4ED96002"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4451C13"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c>
          <w:tcPr>
            <w:tcW w:w="713" w:type="pct"/>
            <w:vAlign w:val="center"/>
          </w:tcPr>
          <w:p w14:paraId="6A52B53B"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01FF7859"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227120A3" w14:textId="77777777" w:rsidTr="00A352CD">
        <w:trPr>
          <w:trHeight w:val="340"/>
        </w:trPr>
        <w:tc>
          <w:tcPr>
            <w:tcW w:w="1407" w:type="pct"/>
            <w:vAlign w:val="center"/>
          </w:tcPr>
          <w:p w14:paraId="034474FC" w14:textId="77777777" w:rsidR="007B2E72" w:rsidRPr="00A964FF" w:rsidRDefault="007B2E72" w:rsidP="007B2E72">
            <w:pPr>
              <w:jc w:val="center"/>
              <w:textAlignment w:val="center"/>
              <w:rPr>
                <w:bCs/>
                <w:color w:val="auto"/>
                <w:szCs w:val="21"/>
              </w:rPr>
            </w:pPr>
            <w:r w:rsidRPr="00A964FF">
              <w:rPr>
                <w:color w:val="auto"/>
                <w:szCs w:val="21"/>
              </w:rPr>
              <w:t>苯并</w:t>
            </w:r>
            <w:r w:rsidRPr="00A964FF">
              <w:rPr>
                <w:color w:val="auto"/>
                <w:szCs w:val="21"/>
              </w:rPr>
              <w:t>[k]</w:t>
            </w:r>
            <w:r w:rsidRPr="00A964FF">
              <w:rPr>
                <w:color w:val="auto"/>
                <w:szCs w:val="21"/>
              </w:rPr>
              <w:t>荧蒽</w:t>
            </w:r>
          </w:p>
        </w:tc>
        <w:tc>
          <w:tcPr>
            <w:tcW w:w="1031" w:type="pct"/>
            <w:vAlign w:val="center"/>
          </w:tcPr>
          <w:p w14:paraId="74489E64"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20F16109"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151</w:t>
            </w:r>
          </w:p>
        </w:tc>
        <w:tc>
          <w:tcPr>
            <w:tcW w:w="713" w:type="pct"/>
            <w:vAlign w:val="center"/>
          </w:tcPr>
          <w:p w14:paraId="672466A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7A838423"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213C784E" w14:textId="77777777" w:rsidTr="00A352CD">
        <w:trPr>
          <w:trHeight w:val="340"/>
        </w:trPr>
        <w:tc>
          <w:tcPr>
            <w:tcW w:w="1407" w:type="pct"/>
            <w:vAlign w:val="center"/>
          </w:tcPr>
          <w:p w14:paraId="68FDD2AC" w14:textId="77777777" w:rsidR="007B2E72" w:rsidRPr="00A964FF" w:rsidRDefault="007B2E72" w:rsidP="007B2E72">
            <w:pPr>
              <w:jc w:val="center"/>
              <w:textAlignment w:val="center"/>
              <w:rPr>
                <w:bCs/>
                <w:color w:val="auto"/>
                <w:szCs w:val="21"/>
              </w:rPr>
            </w:pPr>
            <w:r w:rsidRPr="00A964FF">
              <w:rPr>
                <w:color w:val="auto"/>
                <w:szCs w:val="21"/>
              </w:rPr>
              <w:t>䓛</w:t>
            </w:r>
          </w:p>
        </w:tc>
        <w:tc>
          <w:tcPr>
            <w:tcW w:w="1031" w:type="pct"/>
            <w:vAlign w:val="center"/>
          </w:tcPr>
          <w:p w14:paraId="6C87F8EF"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3765CA9B"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1293</w:t>
            </w:r>
          </w:p>
        </w:tc>
        <w:tc>
          <w:tcPr>
            <w:tcW w:w="713" w:type="pct"/>
            <w:vAlign w:val="center"/>
          </w:tcPr>
          <w:p w14:paraId="571A77CC"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2D729EA2"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4E90E206" w14:textId="77777777" w:rsidTr="00A352CD">
        <w:trPr>
          <w:trHeight w:val="340"/>
        </w:trPr>
        <w:tc>
          <w:tcPr>
            <w:tcW w:w="1407" w:type="pct"/>
            <w:vAlign w:val="center"/>
          </w:tcPr>
          <w:p w14:paraId="27E01ECE" w14:textId="77777777" w:rsidR="007B2E72" w:rsidRPr="00A964FF" w:rsidRDefault="007B2E72" w:rsidP="007B2E72">
            <w:pPr>
              <w:jc w:val="center"/>
              <w:textAlignment w:val="center"/>
              <w:rPr>
                <w:color w:val="auto"/>
                <w:szCs w:val="21"/>
              </w:rPr>
            </w:pPr>
            <w:r w:rsidRPr="00A964FF">
              <w:rPr>
                <w:color w:val="auto"/>
                <w:szCs w:val="21"/>
              </w:rPr>
              <w:t>二苯并</w:t>
            </w:r>
            <w:r w:rsidRPr="00A964FF">
              <w:rPr>
                <w:color w:val="auto"/>
                <w:szCs w:val="21"/>
              </w:rPr>
              <w:t>[a,h]</w:t>
            </w:r>
            <w:r w:rsidRPr="00A964FF">
              <w:rPr>
                <w:color w:val="auto"/>
                <w:szCs w:val="21"/>
              </w:rPr>
              <w:t>蒽</w:t>
            </w:r>
          </w:p>
        </w:tc>
        <w:tc>
          <w:tcPr>
            <w:tcW w:w="1031" w:type="pct"/>
            <w:vAlign w:val="center"/>
          </w:tcPr>
          <w:p w14:paraId="5C0A8FD6"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1C3CFE21"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c>
          <w:tcPr>
            <w:tcW w:w="713" w:type="pct"/>
            <w:vAlign w:val="center"/>
          </w:tcPr>
          <w:p w14:paraId="6AEDF55A"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45EA74D5"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37C73FE3" w14:textId="77777777" w:rsidTr="00A352CD">
        <w:trPr>
          <w:trHeight w:val="340"/>
        </w:trPr>
        <w:tc>
          <w:tcPr>
            <w:tcW w:w="1407" w:type="pct"/>
            <w:vAlign w:val="center"/>
          </w:tcPr>
          <w:p w14:paraId="273BE76F" w14:textId="77777777" w:rsidR="007B2E72" w:rsidRPr="00A964FF" w:rsidRDefault="007B2E72" w:rsidP="007B2E72">
            <w:pPr>
              <w:jc w:val="center"/>
              <w:textAlignment w:val="center"/>
              <w:rPr>
                <w:color w:val="auto"/>
                <w:szCs w:val="21"/>
              </w:rPr>
            </w:pPr>
            <w:r w:rsidRPr="00A964FF">
              <w:rPr>
                <w:color w:val="auto"/>
                <w:szCs w:val="21"/>
              </w:rPr>
              <w:t>茚并</w:t>
            </w:r>
            <w:r w:rsidRPr="00A964FF">
              <w:rPr>
                <w:color w:val="auto"/>
                <w:szCs w:val="21"/>
              </w:rPr>
              <w:t>[1,2,3-cd]</w:t>
            </w:r>
            <w:r w:rsidRPr="00A964FF">
              <w:rPr>
                <w:color w:val="auto"/>
                <w:szCs w:val="21"/>
              </w:rPr>
              <w:t>芘</w:t>
            </w:r>
          </w:p>
        </w:tc>
        <w:tc>
          <w:tcPr>
            <w:tcW w:w="1031" w:type="pct"/>
            <w:vAlign w:val="center"/>
          </w:tcPr>
          <w:p w14:paraId="402A4C57"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31BF763B"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15</w:t>
            </w:r>
          </w:p>
        </w:tc>
        <w:tc>
          <w:tcPr>
            <w:tcW w:w="713" w:type="pct"/>
            <w:vAlign w:val="center"/>
          </w:tcPr>
          <w:p w14:paraId="192779FF"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1A7FE6D5"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66625124" w14:textId="77777777" w:rsidTr="00A352CD">
        <w:trPr>
          <w:trHeight w:val="340"/>
        </w:trPr>
        <w:tc>
          <w:tcPr>
            <w:tcW w:w="1407" w:type="pct"/>
            <w:vAlign w:val="center"/>
          </w:tcPr>
          <w:p w14:paraId="71EABE61" w14:textId="77777777" w:rsidR="007B2E72" w:rsidRPr="00A964FF" w:rsidRDefault="007B2E72" w:rsidP="007B2E72">
            <w:pPr>
              <w:jc w:val="center"/>
              <w:textAlignment w:val="center"/>
              <w:rPr>
                <w:color w:val="auto"/>
                <w:szCs w:val="21"/>
              </w:rPr>
            </w:pPr>
            <w:r w:rsidRPr="00A964FF">
              <w:rPr>
                <w:color w:val="auto"/>
                <w:szCs w:val="21"/>
              </w:rPr>
              <w:t>萘</w:t>
            </w:r>
          </w:p>
        </w:tc>
        <w:tc>
          <w:tcPr>
            <w:tcW w:w="1031" w:type="pct"/>
            <w:vAlign w:val="center"/>
          </w:tcPr>
          <w:p w14:paraId="5596840D" w14:textId="77777777" w:rsidR="007B2E72" w:rsidRPr="00A964FF" w:rsidRDefault="007B2E72" w:rsidP="00DA2265">
            <w:pPr>
              <w:pStyle w:val="TableStyle12"/>
              <w:rPr>
                <w:rFonts w:ascii="Calibri" w:hAnsi="Calibri"/>
                <w:sz w:val="21"/>
                <w:szCs w:val="21"/>
              </w:rPr>
            </w:pPr>
            <w:r w:rsidRPr="00A964FF">
              <w:rPr>
                <w:rFonts w:ascii="Calibri" w:hAnsi="Calibri" w:hint="eastAsia"/>
                <w:sz w:val="21"/>
                <w:szCs w:val="21"/>
              </w:rPr>
              <w:t>未检出</w:t>
            </w:r>
          </w:p>
        </w:tc>
        <w:tc>
          <w:tcPr>
            <w:tcW w:w="1108" w:type="pct"/>
            <w:vAlign w:val="center"/>
          </w:tcPr>
          <w:p w14:paraId="0A54C775"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color w:val="auto"/>
                <w:kern w:val="2"/>
                <w:sz w:val="21"/>
                <w:szCs w:val="21"/>
              </w:rPr>
              <w:t>70</w:t>
            </w:r>
          </w:p>
        </w:tc>
        <w:tc>
          <w:tcPr>
            <w:tcW w:w="713" w:type="pct"/>
            <w:vAlign w:val="center"/>
          </w:tcPr>
          <w:p w14:paraId="71749A15"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w:t>
            </w:r>
          </w:p>
        </w:tc>
        <w:tc>
          <w:tcPr>
            <w:tcW w:w="741" w:type="pct"/>
            <w:vAlign w:val="center"/>
          </w:tcPr>
          <w:p w14:paraId="21481BE1" w14:textId="77777777" w:rsidR="007B2E72" w:rsidRPr="00A964FF" w:rsidRDefault="007B2E72" w:rsidP="004A3168">
            <w:pPr>
              <w:pStyle w:val="TableStyle12"/>
              <w:rPr>
                <w:rFonts w:ascii="Calibri" w:hAnsi="Calibri"/>
                <w:sz w:val="21"/>
                <w:szCs w:val="21"/>
              </w:rPr>
            </w:pPr>
            <w:r w:rsidRPr="00A964FF">
              <w:rPr>
                <w:rFonts w:ascii="Calibri" w:hAnsi="Calibri"/>
                <w:sz w:val="21"/>
                <w:szCs w:val="21"/>
              </w:rPr>
              <w:t>达标</w:t>
            </w:r>
          </w:p>
        </w:tc>
      </w:tr>
      <w:tr w:rsidR="007B2E72" w:rsidRPr="00A964FF" w14:paraId="2C1816E2" w14:textId="77777777" w:rsidTr="00A352CD">
        <w:trPr>
          <w:trHeight w:val="340"/>
        </w:trPr>
        <w:tc>
          <w:tcPr>
            <w:tcW w:w="1407" w:type="pct"/>
            <w:vAlign w:val="center"/>
          </w:tcPr>
          <w:p w14:paraId="64CFBA14" w14:textId="77777777" w:rsidR="007B2E72" w:rsidRPr="00A964FF" w:rsidRDefault="007B2E72" w:rsidP="007B2E72">
            <w:pPr>
              <w:jc w:val="center"/>
              <w:textAlignment w:val="center"/>
              <w:rPr>
                <w:color w:val="auto"/>
                <w:szCs w:val="21"/>
              </w:rPr>
            </w:pPr>
            <w:r w:rsidRPr="00A964FF">
              <w:rPr>
                <w:color w:val="auto"/>
                <w:szCs w:val="21"/>
              </w:rPr>
              <w:t>石油烃</w:t>
            </w:r>
          </w:p>
        </w:tc>
        <w:tc>
          <w:tcPr>
            <w:tcW w:w="1031" w:type="pct"/>
            <w:vAlign w:val="center"/>
          </w:tcPr>
          <w:p w14:paraId="10226F9B" w14:textId="77777777" w:rsidR="007B2E72" w:rsidRPr="00A964FF" w:rsidRDefault="006B496C" w:rsidP="004A3168">
            <w:pPr>
              <w:pStyle w:val="TableStyle12"/>
              <w:rPr>
                <w:rFonts w:ascii="Calibri" w:hAnsi="Calibri"/>
                <w:sz w:val="21"/>
                <w:szCs w:val="21"/>
              </w:rPr>
            </w:pPr>
            <w:r>
              <w:rPr>
                <w:rFonts w:ascii="Calibri" w:hAnsi="Calibri"/>
                <w:sz w:val="21"/>
                <w:szCs w:val="21"/>
              </w:rPr>
              <w:t>45</w:t>
            </w:r>
          </w:p>
        </w:tc>
        <w:tc>
          <w:tcPr>
            <w:tcW w:w="1108" w:type="pct"/>
            <w:vAlign w:val="center"/>
          </w:tcPr>
          <w:p w14:paraId="142034B9" w14:textId="77777777" w:rsidR="007B2E72" w:rsidRPr="00A964FF" w:rsidRDefault="007B2E72" w:rsidP="007B2E72">
            <w:pPr>
              <w:pStyle w:val="af1"/>
              <w:widowControl w:val="0"/>
              <w:jc w:val="center"/>
              <w:rPr>
                <w:rFonts w:ascii="Calibri" w:hAnsi="Calibri"/>
                <w:color w:val="auto"/>
                <w:kern w:val="2"/>
                <w:sz w:val="21"/>
                <w:szCs w:val="21"/>
              </w:rPr>
            </w:pPr>
            <w:r w:rsidRPr="00A964FF">
              <w:rPr>
                <w:rFonts w:ascii="Calibri" w:hAnsi="Calibri" w:hint="eastAsia"/>
                <w:color w:val="auto"/>
                <w:kern w:val="2"/>
                <w:sz w:val="21"/>
                <w:szCs w:val="21"/>
              </w:rPr>
              <w:t>4500</w:t>
            </w:r>
          </w:p>
        </w:tc>
        <w:tc>
          <w:tcPr>
            <w:tcW w:w="713" w:type="pct"/>
            <w:vAlign w:val="center"/>
          </w:tcPr>
          <w:p w14:paraId="32936584" w14:textId="77777777" w:rsidR="007B2E72" w:rsidRPr="00A964FF" w:rsidRDefault="008367BA" w:rsidP="004A3168">
            <w:pPr>
              <w:pStyle w:val="TableStyle12"/>
              <w:rPr>
                <w:rFonts w:ascii="Calibri" w:hAnsi="Calibri"/>
                <w:sz w:val="21"/>
                <w:szCs w:val="21"/>
              </w:rPr>
            </w:pPr>
            <w:r>
              <w:rPr>
                <w:rFonts w:ascii="Calibri" w:hAnsi="Calibri"/>
                <w:sz w:val="21"/>
                <w:szCs w:val="21"/>
              </w:rPr>
              <w:t>0.01</w:t>
            </w:r>
          </w:p>
        </w:tc>
        <w:tc>
          <w:tcPr>
            <w:tcW w:w="741" w:type="pct"/>
            <w:vAlign w:val="center"/>
          </w:tcPr>
          <w:p w14:paraId="5BAA374B" w14:textId="77777777" w:rsidR="007B2E72" w:rsidRPr="00A964FF" w:rsidRDefault="00933AD6" w:rsidP="004A3168">
            <w:pPr>
              <w:pStyle w:val="TableStyle12"/>
              <w:rPr>
                <w:rFonts w:ascii="Calibri" w:hAnsi="Calibri"/>
                <w:sz w:val="21"/>
                <w:szCs w:val="21"/>
              </w:rPr>
            </w:pPr>
            <w:r w:rsidRPr="00A964FF">
              <w:rPr>
                <w:rFonts w:ascii="Calibri" w:hAnsi="Calibri"/>
                <w:sz w:val="21"/>
                <w:szCs w:val="21"/>
              </w:rPr>
              <w:t>达标</w:t>
            </w:r>
          </w:p>
        </w:tc>
      </w:tr>
    </w:tbl>
    <w:p w14:paraId="33329F63" w14:textId="77777777" w:rsidR="001D636A" w:rsidRPr="00A964FF" w:rsidRDefault="004A3168" w:rsidP="001D636A">
      <w:pPr>
        <w:spacing w:line="520" w:lineRule="exact"/>
        <w:ind w:firstLineChars="200" w:firstLine="480"/>
        <w:rPr>
          <w:rFonts w:ascii="Calibri" w:eastAsia="黑体" w:hAnsi="黑体"/>
          <w:color w:val="auto"/>
          <w:sz w:val="24"/>
        </w:rPr>
      </w:pPr>
      <w:r w:rsidRPr="00A964FF">
        <w:rPr>
          <w:rFonts w:ascii="Calibri" w:eastAsia="黑体" w:hAnsi="黑体"/>
          <w:color w:val="auto"/>
          <w:sz w:val="24"/>
        </w:rPr>
        <w:t>表</w:t>
      </w:r>
      <w:r w:rsidRPr="00A964FF">
        <w:rPr>
          <w:rFonts w:ascii="Calibri" w:eastAsia="黑体" w:hAnsi="黑体"/>
          <w:color w:val="auto"/>
          <w:sz w:val="24"/>
        </w:rPr>
        <w:t>3</w:t>
      </w:r>
      <w:r w:rsidR="00A6079A" w:rsidRPr="00A964FF">
        <w:rPr>
          <w:rFonts w:ascii="Calibri" w:eastAsia="黑体" w:hAnsi="黑体" w:hint="eastAsia"/>
          <w:color w:val="auto"/>
          <w:sz w:val="24"/>
        </w:rPr>
        <w:t>.3</w:t>
      </w:r>
      <w:r w:rsidRPr="00A964FF">
        <w:rPr>
          <w:rFonts w:ascii="Calibri" w:eastAsia="黑体" w:hAnsi="黑体" w:hint="eastAsia"/>
          <w:color w:val="auto"/>
          <w:sz w:val="24"/>
        </w:rPr>
        <w:t>-</w:t>
      </w:r>
      <w:r w:rsidR="00A6079A" w:rsidRPr="00A964FF">
        <w:rPr>
          <w:rFonts w:ascii="Calibri" w:eastAsia="黑体" w:hAnsi="黑体" w:hint="eastAsia"/>
          <w:color w:val="auto"/>
          <w:sz w:val="24"/>
        </w:rPr>
        <w:t>2</w:t>
      </w:r>
      <w:r w:rsidR="008367BA">
        <w:rPr>
          <w:rFonts w:ascii="Calibri" w:eastAsia="黑体" w:hAnsi="黑体" w:hint="eastAsia"/>
          <w:color w:val="auto"/>
          <w:sz w:val="24"/>
        </w:rPr>
        <w:t>5</w:t>
      </w:r>
      <w:r w:rsidRPr="00A964FF">
        <w:rPr>
          <w:rFonts w:ascii="Calibri" w:eastAsia="黑体" w:hAnsi="黑体"/>
          <w:color w:val="auto"/>
          <w:sz w:val="24"/>
        </w:rPr>
        <w:t xml:space="preserve">  </w:t>
      </w:r>
      <w:r w:rsidR="003F1151" w:rsidRPr="00A964FF">
        <w:rPr>
          <w:rFonts w:ascii="Calibri" w:eastAsia="黑体" w:hAnsi="黑体" w:hint="eastAsia"/>
          <w:color w:val="auto"/>
          <w:sz w:val="24"/>
        </w:rPr>
        <w:t xml:space="preserve">   </w:t>
      </w:r>
      <w:r w:rsidR="00A96F42" w:rsidRPr="00A964FF">
        <w:rPr>
          <w:rFonts w:ascii="Calibri" w:eastAsia="黑体" w:hAnsi="黑体" w:hint="eastAsia"/>
          <w:color w:val="auto"/>
          <w:sz w:val="24"/>
        </w:rPr>
        <w:t xml:space="preserve"> </w:t>
      </w:r>
      <w:r w:rsidR="003F1151" w:rsidRPr="00A964FF">
        <w:rPr>
          <w:rFonts w:ascii="Calibri" w:eastAsia="黑体" w:hAnsi="黑体" w:hint="eastAsia"/>
          <w:color w:val="auto"/>
          <w:sz w:val="24"/>
        </w:rPr>
        <w:t xml:space="preserve"> </w:t>
      </w:r>
      <w:r w:rsidR="001D636A" w:rsidRPr="00A964FF">
        <w:rPr>
          <w:rFonts w:ascii="Calibri" w:eastAsia="黑体" w:hAnsi="黑体" w:hint="eastAsia"/>
          <w:color w:val="auto"/>
          <w:sz w:val="24"/>
        </w:rPr>
        <w:t xml:space="preserve"> </w:t>
      </w:r>
      <w:r w:rsidR="001D636A" w:rsidRPr="00A964FF">
        <w:rPr>
          <w:rFonts w:ascii="Calibri" w:eastAsia="黑体" w:hAnsi="黑体"/>
          <w:color w:val="auto"/>
          <w:sz w:val="24"/>
        </w:rPr>
        <w:t xml:space="preserve">  </w:t>
      </w:r>
      <w:r w:rsidRPr="00A964FF">
        <w:rPr>
          <w:rFonts w:ascii="Calibri" w:eastAsia="黑体" w:hAnsi="黑体"/>
          <w:color w:val="auto"/>
          <w:sz w:val="24"/>
        </w:rPr>
        <w:t xml:space="preserve"> </w:t>
      </w:r>
      <w:r w:rsidR="001D636A" w:rsidRPr="00A964FF">
        <w:rPr>
          <w:rFonts w:ascii="Calibri" w:eastAsia="黑体" w:hAnsi="黑体" w:hint="eastAsia"/>
          <w:color w:val="auto"/>
          <w:sz w:val="24"/>
        </w:rPr>
        <w:t xml:space="preserve"> </w:t>
      </w:r>
      <w:r w:rsidR="003F1151" w:rsidRPr="00A964FF">
        <w:rPr>
          <w:rFonts w:ascii="Calibri" w:eastAsia="黑体" w:hAnsi="黑体" w:hint="eastAsia"/>
          <w:color w:val="auto"/>
          <w:sz w:val="24"/>
        </w:rPr>
        <w:t>其他测点</w:t>
      </w:r>
      <w:r w:rsidRPr="00A964FF">
        <w:rPr>
          <w:rFonts w:ascii="Calibri" w:eastAsia="黑体" w:hAnsi="黑体"/>
          <w:color w:val="auto"/>
          <w:sz w:val="24"/>
        </w:rPr>
        <w:t>土壤检测结果一览表</w:t>
      </w:r>
      <w:r w:rsidRPr="00A964FF">
        <w:rPr>
          <w:rFonts w:ascii="Calibri" w:eastAsia="黑体" w:hAnsi="黑体"/>
          <w:color w:val="auto"/>
          <w:sz w:val="24"/>
        </w:rPr>
        <w:t xml:space="preserve"> </w:t>
      </w:r>
      <w:r w:rsidR="008367BA">
        <w:rPr>
          <w:rFonts w:ascii="Calibri" w:eastAsia="黑体" w:hAnsi="黑体" w:hint="eastAsia"/>
          <w:color w:val="auto"/>
          <w:sz w:val="24"/>
        </w:rPr>
        <w:t xml:space="preserve">   </w:t>
      </w:r>
      <w:r w:rsidR="001D636A" w:rsidRPr="00A964FF">
        <w:rPr>
          <w:rFonts w:ascii="Calibri" w:hAnsi="宋体"/>
          <w:color w:val="auto"/>
          <w:szCs w:val="21"/>
        </w:rPr>
        <w:t>单位：</w:t>
      </w:r>
      <w:r w:rsidR="001D636A" w:rsidRPr="00A964FF">
        <w:rPr>
          <w:rFonts w:ascii="Calibri" w:hAnsi="Calibri"/>
          <w:color w:val="auto"/>
          <w:szCs w:val="21"/>
        </w:rPr>
        <w:t>mg/kg</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07"/>
        <w:gridCol w:w="1103"/>
        <w:gridCol w:w="1380"/>
        <w:gridCol w:w="1434"/>
        <w:gridCol w:w="1192"/>
        <w:gridCol w:w="1192"/>
        <w:gridCol w:w="1192"/>
      </w:tblGrid>
      <w:tr w:rsidR="001D636A" w:rsidRPr="00A964FF" w14:paraId="350157D8" w14:textId="77777777" w:rsidTr="008367BA">
        <w:trPr>
          <w:trHeight w:val="340"/>
        </w:trPr>
        <w:tc>
          <w:tcPr>
            <w:tcW w:w="694" w:type="pct"/>
            <w:tcBorders>
              <w:right w:val="single" w:sz="2" w:space="0" w:color="auto"/>
            </w:tcBorders>
            <w:vAlign w:val="center"/>
          </w:tcPr>
          <w:p w14:paraId="38197727" w14:textId="77777777" w:rsidR="001D636A" w:rsidRPr="00A964FF" w:rsidRDefault="001D636A" w:rsidP="001D636A">
            <w:pPr>
              <w:pStyle w:val="TableStyle12"/>
              <w:rPr>
                <w:rFonts w:ascii="Calibri" w:hAnsi="Calibri"/>
                <w:sz w:val="21"/>
                <w:szCs w:val="21"/>
              </w:rPr>
            </w:pPr>
            <w:r w:rsidRPr="00A964FF">
              <w:rPr>
                <w:rFonts w:ascii="Calibri" w:hAnsi="Calibri"/>
                <w:sz w:val="21"/>
                <w:szCs w:val="21"/>
              </w:rPr>
              <w:t>检测点位</w:t>
            </w:r>
          </w:p>
        </w:tc>
        <w:tc>
          <w:tcPr>
            <w:tcW w:w="634" w:type="pct"/>
            <w:tcBorders>
              <w:left w:val="single" w:sz="2" w:space="0" w:color="auto"/>
              <w:right w:val="single" w:sz="2" w:space="0" w:color="auto"/>
            </w:tcBorders>
            <w:vAlign w:val="center"/>
          </w:tcPr>
          <w:p w14:paraId="43FCD302" w14:textId="77777777" w:rsidR="001D636A" w:rsidRPr="00A964FF" w:rsidRDefault="001D636A" w:rsidP="001D636A">
            <w:pPr>
              <w:pStyle w:val="TableStyle12"/>
              <w:rPr>
                <w:rFonts w:ascii="Calibri" w:hAnsi="Calibri"/>
                <w:sz w:val="21"/>
                <w:szCs w:val="21"/>
              </w:rPr>
            </w:pPr>
            <w:r w:rsidRPr="00A964FF">
              <w:rPr>
                <w:rFonts w:ascii="Calibri" w:hAnsi="Calibri"/>
                <w:sz w:val="21"/>
                <w:szCs w:val="21"/>
              </w:rPr>
              <w:t>采样深度</w:t>
            </w:r>
          </w:p>
        </w:tc>
        <w:tc>
          <w:tcPr>
            <w:tcW w:w="793" w:type="pct"/>
            <w:tcBorders>
              <w:left w:val="single" w:sz="2" w:space="0" w:color="auto"/>
            </w:tcBorders>
            <w:vAlign w:val="center"/>
          </w:tcPr>
          <w:p w14:paraId="5537C446" w14:textId="77777777" w:rsidR="001D636A" w:rsidRPr="00A964FF" w:rsidRDefault="00A352CD" w:rsidP="001D636A">
            <w:pPr>
              <w:pStyle w:val="TableStyle12"/>
              <w:rPr>
                <w:rFonts w:ascii="Calibri" w:hAnsi="Calibri"/>
                <w:sz w:val="21"/>
                <w:szCs w:val="21"/>
              </w:rPr>
            </w:pPr>
            <w:r w:rsidRPr="00A964FF">
              <w:rPr>
                <w:rFonts w:ascii="Calibri" w:hAnsi="Calibri" w:hint="eastAsia"/>
                <w:sz w:val="21"/>
                <w:szCs w:val="21"/>
              </w:rPr>
              <w:t>检测因子</w:t>
            </w:r>
          </w:p>
        </w:tc>
        <w:tc>
          <w:tcPr>
            <w:tcW w:w="824" w:type="pct"/>
            <w:vAlign w:val="center"/>
          </w:tcPr>
          <w:p w14:paraId="57719562" w14:textId="77777777" w:rsidR="001D636A" w:rsidRPr="00A964FF" w:rsidRDefault="001D636A" w:rsidP="001D636A">
            <w:pPr>
              <w:pStyle w:val="TableStyle12"/>
              <w:rPr>
                <w:rFonts w:ascii="Calibri" w:hAnsi="Calibri"/>
                <w:sz w:val="21"/>
                <w:szCs w:val="21"/>
              </w:rPr>
            </w:pPr>
            <w:r w:rsidRPr="00A964FF">
              <w:rPr>
                <w:rFonts w:ascii="Calibri" w:hAnsi="Calibri"/>
                <w:sz w:val="21"/>
                <w:szCs w:val="21"/>
              </w:rPr>
              <w:t>检测结果</w:t>
            </w:r>
          </w:p>
        </w:tc>
        <w:tc>
          <w:tcPr>
            <w:tcW w:w="685" w:type="pct"/>
            <w:vAlign w:val="center"/>
          </w:tcPr>
          <w:p w14:paraId="3B7CB648" w14:textId="77777777" w:rsidR="001D636A" w:rsidRPr="00A964FF" w:rsidRDefault="001D636A" w:rsidP="001D636A">
            <w:pPr>
              <w:pStyle w:val="TableStyle12"/>
              <w:rPr>
                <w:rFonts w:ascii="Calibri" w:hAnsi="Calibri"/>
                <w:sz w:val="21"/>
                <w:szCs w:val="21"/>
              </w:rPr>
            </w:pPr>
            <w:r w:rsidRPr="00A964FF">
              <w:rPr>
                <w:rFonts w:ascii="Calibri" w:hAnsi="Calibri"/>
                <w:sz w:val="21"/>
                <w:szCs w:val="21"/>
              </w:rPr>
              <w:t>评价标准</w:t>
            </w:r>
          </w:p>
        </w:tc>
        <w:tc>
          <w:tcPr>
            <w:tcW w:w="685" w:type="pct"/>
            <w:vAlign w:val="center"/>
          </w:tcPr>
          <w:p w14:paraId="3A69AE4A" w14:textId="77777777" w:rsidR="001D636A" w:rsidRPr="00A964FF" w:rsidRDefault="001D636A" w:rsidP="001D636A">
            <w:pPr>
              <w:pStyle w:val="TableStyle12"/>
              <w:rPr>
                <w:rFonts w:ascii="Calibri" w:hAnsi="Calibri"/>
                <w:sz w:val="21"/>
                <w:szCs w:val="21"/>
              </w:rPr>
            </w:pPr>
            <w:r w:rsidRPr="00A964FF">
              <w:rPr>
                <w:rFonts w:ascii="Calibri" w:hAnsi="Calibri"/>
                <w:sz w:val="21"/>
                <w:szCs w:val="21"/>
              </w:rPr>
              <w:t>标准指数</w:t>
            </w:r>
          </w:p>
        </w:tc>
        <w:tc>
          <w:tcPr>
            <w:tcW w:w="685" w:type="pct"/>
            <w:vAlign w:val="center"/>
          </w:tcPr>
          <w:p w14:paraId="03502753" w14:textId="77777777" w:rsidR="001D636A" w:rsidRPr="00A964FF" w:rsidRDefault="001D636A" w:rsidP="001D636A">
            <w:pPr>
              <w:pStyle w:val="TableStyle12"/>
              <w:rPr>
                <w:rFonts w:ascii="Calibri" w:hAnsi="Calibri"/>
                <w:sz w:val="21"/>
                <w:szCs w:val="21"/>
              </w:rPr>
            </w:pPr>
            <w:r w:rsidRPr="00A964FF">
              <w:rPr>
                <w:rFonts w:ascii="Calibri" w:hAnsi="Calibri"/>
                <w:sz w:val="21"/>
                <w:szCs w:val="21"/>
              </w:rPr>
              <w:t>是否达标</w:t>
            </w:r>
          </w:p>
        </w:tc>
      </w:tr>
      <w:tr w:rsidR="00F30877" w:rsidRPr="00A964FF" w14:paraId="01B5C81B" w14:textId="77777777" w:rsidTr="008367BA">
        <w:trPr>
          <w:trHeight w:val="340"/>
        </w:trPr>
        <w:tc>
          <w:tcPr>
            <w:tcW w:w="694" w:type="pct"/>
            <w:vMerge w:val="restart"/>
            <w:tcBorders>
              <w:right w:val="single" w:sz="2" w:space="0" w:color="auto"/>
            </w:tcBorders>
            <w:vAlign w:val="center"/>
          </w:tcPr>
          <w:p w14:paraId="0F93D842" w14:textId="77777777" w:rsidR="00F30877" w:rsidRPr="00A964FF" w:rsidRDefault="008367BA" w:rsidP="001D636A">
            <w:pPr>
              <w:pStyle w:val="TableStyle12"/>
              <w:rPr>
                <w:rFonts w:ascii="Calibri" w:hAnsi="Calibri"/>
                <w:sz w:val="21"/>
                <w:szCs w:val="21"/>
              </w:rPr>
            </w:pPr>
            <w:r>
              <w:rPr>
                <w:rFonts w:ascii="Calibri" w:hAnsi="Calibri" w:hint="eastAsia"/>
                <w:sz w:val="21"/>
                <w:szCs w:val="21"/>
              </w:rPr>
              <w:t>危废</w:t>
            </w:r>
            <w:r>
              <w:rPr>
                <w:rFonts w:ascii="Calibri" w:hAnsi="Calibri"/>
                <w:sz w:val="21"/>
                <w:szCs w:val="21"/>
              </w:rPr>
              <w:t>暂存间</w:t>
            </w:r>
          </w:p>
        </w:tc>
        <w:tc>
          <w:tcPr>
            <w:tcW w:w="634" w:type="pct"/>
            <w:vMerge w:val="restart"/>
            <w:tcBorders>
              <w:left w:val="single" w:sz="2" w:space="0" w:color="auto"/>
              <w:right w:val="single" w:sz="2" w:space="0" w:color="auto"/>
            </w:tcBorders>
            <w:vAlign w:val="center"/>
          </w:tcPr>
          <w:p w14:paraId="35DC1DD7" w14:textId="77777777" w:rsidR="00F30877" w:rsidRPr="00A964FF" w:rsidRDefault="00F30877" w:rsidP="00BE58BE">
            <w:pPr>
              <w:pStyle w:val="TableStyle12"/>
              <w:rPr>
                <w:rFonts w:ascii="Calibri" w:hAnsi="Calibri"/>
                <w:sz w:val="21"/>
                <w:szCs w:val="21"/>
              </w:rPr>
            </w:pPr>
            <w:r w:rsidRPr="00A964FF">
              <w:rPr>
                <w:rFonts w:ascii="Calibri" w:hAnsi="Calibri"/>
                <w:sz w:val="21"/>
                <w:szCs w:val="21"/>
              </w:rPr>
              <w:t>0</w:t>
            </w:r>
            <w:r w:rsidRPr="00A964FF">
              <w:rPr>
                <w:rFonts w:ascii="Calibri" w:hAnsi="Calibri"/>
                <w:sz w:val="21"/>
                <w:szCs w:val="21"/>
              </w:rPr>
              <w:t>～</w:t>
            </w:r>
            <w:r w:rsidRPr="00A964FF">
              <w:rPr>
                <w:rFonts w:ascii="Calibri" w:hAnsi="Calibri"/>
                <w:sz w:val="21"/>
                <w:szCs w:val="21"/>
              </w:rPr>
              <w:t>0.5m</w:t>
            </w:r>
          </w:p>
        </w:tc>
        <w:tc>
          <w:tcPr>
            <w:tcW w:w="793" w:type="pct"/>
            <w:tcBorders>
              <w:left w:val="single" w:sz="2" w:space="0" w:color="auto"/>
            </w:tcBorders>
            <w:vAlign w:val="center"/>
          </w:tcPr>
          <w:p w14:paraId="58718DFB" w14:textId="77777777" w:rsidR="00F30877" w:rsidRPr="00A964FF" w:rsidRDefault="00F30877" w:rsidP="00D067C7">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1760BDF6" w14:textId="77777777" w:rsidR="00F30877" w:rsidRPr="00A964FF" w:rsidRDefault="00DD0EEE" w:rsidP="008367BA">
            <w:pPr>
              <w:adjustRightInd w:val="0"/>
              <w:snapToGrid w:val="0"/>
              <w:jc w:val="center"/>
              <w:rPr>
                <w:rFonts w:ascii="Calibri" w:hAnsi="Calibri"/>
                <w:color w:val="auto"/>
                <w:szCs w:val="21"/>
              </w:rPr>
            </w:pPr>
            <w:r>
              <w:rPr>
                <w:rFonts w:ascii="Calibri" w:hAnsi="Calibri"/>
                <w:color w:val="auto"/>
                <w:szCs w:val="21"/>
              </w:rPr>
              <w:t>7.5</w:t>
            </w:r>
            <w:r w:rsidR="008367BA">
              <w:rPr>
                <w:rFonts w:ascii="Calibri" w:hAnsi="Calibri"/>
                <w:color w:val="auto"/>
                <w:szCs w:val="21"/>
              </w:rPr>
              <w:t>1</w:t>
            </w:r>
          </w:p>
        </w:tc>
        <w:tc>
          <w:tcPr>
            <w:tcW w:w="685" w:type="pct"/>
            <w:vAlign w:val="center"/>
          </w:tcPr>
          <w:p w14:paraId="75644FCB" w14:textId="77777777" w:rsidR="00F30877" w:rsidRPr="00A964FF" w:rsidRDefault="00F30877" w:rsidP="001D636A">
            <w:pPr>
              <w:pStyle w:val="TableStyle12"/>
              <w:rPr>
                <w:rFonts w:ascii="Calibri" w:hAnsi="Calibri"/>
                <w:sz w:val="21"/>
                <w:szCs w:val="21"/>
              </w:rPr>
            </w:pPr>
            <w:r w:rsidRPr="00A964FF">
              <w:rPr>
                <w:rFonts w:ascii="Calibri" w:hAnsi="Calibri"/>
                <w:sz w:val="21"/>
                <w:szCs w:val="21"/>
              </w:rPr>
              <w:t>/</w:t>
            </w:r>
          </w:p>
        </w:tc>
        <w:tc>
          <w:tcPr>
            <w:tcW w:w="685" w:type="pct"/>
            <w:vAlign w:val="center"/>
          </w:tcPr>
          <w:p w14:paraId="24561F40" w14:textId="77777777" w:rsidR="00F30877" w:rsidRPr="00A964FF" w:rsidRDefault="00F30877" w:rsidP="001D636A">
            <w:pPr>
              <w:pStyle w:val="TableStyle12"/>
              <w:rPr>
                <w:rFonts w:ascii="Calibri" w:hAnsi="Calibri"/>
                <w:sz w:val="21"/>
                <w:szCs w:val="21"/>
              </w:rPr>
            </w:pPr>
            <w:r w:rsidRPr="00A964FF">
              <w:rPr>
                <w:rFonts w:ascii="Calibri" w:hAnsi="Calibri"/>
                <w:sz w:val="21"/>
                <w:szCs w:val="21"/>
              </w:rPr>
              <w:t>/</w:t>
            </w:r>
          </w:p>
        </w:tc>
        <w:tc>
          <w:tcPr>
            <w:tcW w:w="685" w:type="pct"/>
            <w:vAlign w:val="center"/>
          </w:tcPr>
          <w:p w14:paraId="16F9A182" w14:textId="77777777" w:rsidR="00F30877" w:rsidRPr="00A964FF" w:rsidRDefault="00F30877" w:rsidP="001D636A">
            <w:pPr>
              <w:pStyle w:val="TableStyle12"/>
              <w:rPr>
                <w:rFonts w:ascii="Calibri" w:hAnsi="Calibri"/>
                <w:sz w:val="21"/>
                <w:szCs w:val="21"/>
              </w:rPr>
            </w:pPr>
            <w:r w:rsidRPr="00A964FF">
              <w:rPr>
                <w:rFonts w:ascii="Calibri" w:hAnsi="Calibri"/>
                <w:sz w:val="21"/>
                <w:szCs w:val="21"/>
              </w:rPr>
              <w:t>/</w:t>
            </w:r>
          </w:p>
        </w:tc>
      </w:tr>
      <w:tr w:rsidR="00F30877" w:rsidRPr="00A964FF" w14:paraId="2BEA1249" w14:textId="77777777" w:rsidTr="008367BA">
        <w:trPr>
          <w:trHeight w:val="340"/>
        </w:trPr>
        <w:tc>
          <w:tcPr>
            <w:tcW w:w="694" w:type="pct"/>
            <w:vMerge/>
            <w:tcBorders>
              <w:right w:val="single" w:sz="2" w:space="0" w:color="auto"/>
            </w:tcBorders>
            <w:vAlign w:val="center"/>
          </w:tcPr>
          <w:p w14:paraId="35CA590D" w14:textId="77777777" w:rsidR="00F30877" w:rsidRPr="00A964FF" w:rsidRDefault="00F30877" w:rsidP="001D636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2EC705C4" w14:textId="77777777" w:rsidR="00F30877" w:rsidRPr="00A964FF" w:rsidRDefault="00F30877" w:rsidP="001D636A">
            <w:pPr>
              <w:pStyle w:val="TableStyle12"/>
              <w:rPr>
                <w:rFonts w:ascii="Calibri" w:hAnsi="Calibri"/>
                <w:sz w:val="21"/>
                <w:szCs w:val="21"/>
              </w:rPr>
            </w:pPr>
          </w:p>
        </w:tc>
        <w:tc>
          <w:tcPr>
            <w:tcW w:w="793" w:type="pct"/>
            <w:tcBorders>
              <w:left w:val="single" w:sz="2" w:space="0" w:color="auto"/>
            </w:tcBorders>
            <w:vAlign w:val="center"/>
          </w:tcPr>
          <w:p w14:paraId="243509F8" w14:textId="77777777" w:rsidR="00F30877" w:rsidRPr="00A964FF" w:rsidRDefault="00F30877" w:rsidP="00D067C7">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21CC39CD" w14:textId="77777777" w:rsidR="00F30877" w:rsidRPr="00A964FF" w:rsidRDefault="008367BA" w:rsidP="00DD0EEE">
            <w:pPr>
              <w:adjustRightInd w:val="0"/>
              <w:snapToGrid w:val="0"/>
              <w:jc w:val="center"/>
              <w:rPr>
                <w:rFonts w:ascii="Calibri" w:hAnsi="Calibri"/>
                <w:color w:val="auto"/>
                <w:szCs w:val="21"/>
              </w:rPr>
            </w:pPr>
            <w:r>
              <w:rPr>
                <w:rFonts w:ascii="Calibri" w:hAnsi="Calibri"/>
                <w:color w:val="auto"/>
                <w:szCs w:val="21"/>
              </w:rPr>
              <w:t>65</w:t>
            </w:r>
          </w:p>
        </w:tc>
        <w:tc>
          <w:tcPr>
            <w:tcW w:w="685" w:type="pct"/>
            <w:vAlign w:val="center"/>
          </w:tcPr>
          <w:p w14:paraId="32D2249F"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42D3B59D" w14:textId="77777777" w:rsidR="00F30877" w:rsidRPr="00A964FF" w:rsidRDefault="008367BA" w:rsidP="001D636A">
            <w:pPr>
              <w:pStyle w:val="TableStyle12"/>
              <w:rPr>
                <w:rFonts w:ascii="Calibri" w:hAnsi="Calibri"/>
                <w:sz w:val="21"/>
                <w:szCs w:val="21"/>
              </w:rPr>
            </w:pPr>
            <w:r>
              <w:rPr>
                <w:rFonts w:ascii="Calibri" w:hAnsi="Calibri"/>
                <w:sz w:val="21"/>
                <w:szCs w:val="21"/>
              </w:rPr>
              <w:t>0.014</w:t>
            </w:r>
          </w:p>
        </w:tc>
        <w:tc>
          <w:tcPr>
            <w:tcW w:w="685" w:type="pct"/>
            <w:vAlign w:val="center"/>
          </w:tcPr>
          <w:p w14:paraId="4EEB174F" w14:textId="77777777" w:rsidR="00F30877" w:rsidRPr="00A964FF" w:rsidRDefault="00F30877" w:rsidP="00BE58BE">
            <w:pPr>
              <w:pStyle w:val="TableStyle12"/>
              <w:rPr>
                <w:rFonts w:ascii="Calibri" w:hAnsi="Calibri"/>
                <w:sz w:val="21"/>
                <w:szCs w:val="21"/>
              </w:rPr>
            </w:pPr>
            <w:r w:rsidRPr="00A964FF">
              <w:rPr>
                <w:rFonts w:ascii="Calibri" w:hAnsi="Calibri" w:hint="eastAsia"/>
                <w:sz w:val="21"/>
                <w:szCs w:val="21"/>
              </w:rPr>
              <w:t>达标</w:t>
            </w:r>
          </w:p>
        </w:tc>
      </w:tr>
      <w:tr w:rsidR="00F30877" w:rsidRPr="00A964FF" w14:paraId="4F9B4004" w14:textId="77777777" w:rsidTr="008367BA">
        <w:trPr>
          <w:trHeight w:val="340"/>
        </w:trPr>
        <w:tc>
          <w:tcPr>
            <w:tcW w:w="694" w:type="pct"/>
            <w:vMerge/>
            <w:tcBorders>
              <w:right w:val="single" w:sz="2" w:space="0" w:color="auto"/>
            </w:tcBorders>
            <w:vAlign w:val="center"/>
          </w:tcPr>
          <w:p w14:paraId="4DCC332A" w14:textId="77777777" w:rsidR="00F30877" w:rsidRPr="00A964FF" w:rsidRDefault="00F30877" w:rsidP="001D636A">
            <w:pPr>
              <w:pStyle w:val="TableStyle12"/>
              <w:rPr>
                <w:rFonts w:ascii="Calibri" w:hAnsi="Calibri"/>
                <w:sz w:val="21"/>
                <w:szCs w:val="21"/>
              </w:rPr>
            </w:pPr>
          </w:p>
        </w:tc>
        <w:tc>
          <w:tcPr>
            <w:tcW w:w="634" w:type="pct"/>
            <w:vMerge w:val="restart"/>
            <w:tcBorders>
              <w:left w:val="single" w:sz="2" w:space="0" w:color="auto"/>
              <w:right w:val="single" w:sz="2" w:space="0" w:color="auto"/>
            </w:tcBorders>
            <w:vAlign w:val="center"/>
          </w:tcPr>
          <w:p w14:paraId="2DD3B863" w14:textId="77777777" w:rsidR="00F30877" w:rsidRPr="00A964FF" w:rsidRDefault="00F30877" w:rsidP="00BE58BE">
            <w:pPr>
              <w:pStyle w:val="TableStyle12"/>
              <w:rPr>
                <w:rFonts w:ascii="Calibri" w:hAnsi="Calibri"/>
                <w:sz w:val="21"/>
                <w:szCs w:val="21"/>
              </w:rPr>
            </w:pPr>
            <w:r w:rsidRPr="00A964FF">
              <w:rPr>
                <w:rFonts w:ascii="Calibri" w:hAnsi="Calibri"/>
                <w:sz w:val="21"/>
                <w:szCs w:val="21"/>
              </w:rPr>
              <w:t>0.5</w:t>
            </w:r>
            <w:r w:rsidRPr="00A964FF">
              <w:rPr>
                <w:rFonts w:ascii="Calibri" w:hAnsi="Calibri"/>
                <w:sz w:val="21"/>
                <w:szCs w:val="21"/>
              </w:rPr>
              <w:t>～</w:t>
            </w:r>
            <w:r w:rsidRPr="00A964FF">
              <w:rPr>
                <w:rFonts w:ascii="Calibri" w:hAnsi="Calibri"/>
                <w:sz w:val="21"/>
                <w:szCs w:val="21"/>
              </w:rPr>
              <w:t>1.5m</w:t>
            </w:r>
          </w:p>
        </w:tc>
        <w:tc>
          <w:tcPr>
            <w:tcW w:w="793" w:type="pct"/>
            <w:tcBorders>
              <w:left w:val="single" w:sz="2" w:space="0" w:color="auto"/>
            </w:tcBorders>
            <w:vAlign w:val="center"/>
          </w:tcPr>
          <w:p w14:paraId="2E55778C" w14:textId="77777777" w:rsidR="00F30877" w:rsidRPr="00A964FF" w:rsidRDefault="00F30877" w:rsidP="00D067C7">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1FD7F793" w14:textId="77777777" w:rsidR="00F30877" w:rsidRPr="00A964FF" w:rsidRDefault="00DD0EEE" w:rsidP="00D067C7">
            <w:pPr>
              <w:adjustRightInd w:val="0"/>
              <w:snapToGrid w:val="0"/>
              <w:jc w:val="center"/>
              <w:rPr>
                <w:rFonts w:ascii="Calibri" w:hAnsi="Calibri"/>
                <w:color w:val="auto"/>
                <w:szCs w:val="21"/>
              </w:rPr>
            </w:pPr>
            <w:r>
              <w:rPr>
                <w:rFonts w:ascii="Calibri" w:hAnsi="Calibri"/>
                <w:color w:val="auto"/>
                <w:szCs w:val="21"/>
              </w:rPr>
              <w:t>7.50</w:t>
            </w:r>
          </w:p>
        </w:tc>
        <w:tc>
          <w:tcPr>
            <w:tcW w:w="685" w:type="pct"/>
            <w:vAlign w:val="center"/>
          </w:tcPr>
          <w:p w14:paraId="3B418158"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w:t>
            </w:r>
          </w:p>
        </w:tc>
        <w:tc>
          <w:tcPr>
            <w:tcW w:w="685" w:type="pct"/>
            <w:vAlign w:val="center"/>
          </w:tcPr>
          <w:p w14:paraId="5B0BD69F"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w:t>
            </w:r>
          </w:p>
        </w:tc>
        <w:tc>
          <w:tcPr>
            <w:tcW w:w="685" w:type="pct"/>
            <w:vAlign w:val="center"/>
          </w:tcPr>
          <w:p w14:paraId="703580CE"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w:t>
            </w:r>
          </w:p>
        </w:tc>
      </w:tr>
      <w:tr w:rsidR="00F30877" w:rsidRPr="00A964FF" w14:paraId="3C400656" w14:textId="77777777" w:rsidTr="008367BA">
        <w:trPr>
          <w:trHeight w:val="340"/>
        </w:trPr>
        <w:tc>
          <w:tcPr>
            <w:tcW w:w="694" w:type="pct"/>
            <w:vMerge/>
            <w:tcBorders>
              <w:right w:val="single" w:sz="2" w:space="0" w:color="auto"/>
            </w:tcBorders>
            <w:vAlign w:val="center"/>
          </w:tcPr>
          <w:p w14:paraId="11F3C9EC" w14:textId="77777777" w:rsidR="00F30877" w:rsidRPr="00A964FF" w:rsidRDefault="00F30877" w:rsidP="001D636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50962EDC" w14:textId="77777777" w:rsidR="00F30877" w:rsidRPr="00A964FF" w:rsidRDefault="00F30877" w:rsidP="001D636A">
            <w:pPr>
              <w:pStyle w:val="TableStyle12"/>
              <w:rPr>
                <w:rFonts w:ascii="Calibri" w:hAnsi="Calibri"/>
                <w:sz w:val="21"/>
                <w:szCs w:val="21"/>
              </w:rPr>
            </w:pPr>
          </w:p>
        </w:tc>
        <w:tc>
          <w:tcPr>
            <w:tcW w:w="793" w:type="pct"/>
            <w:tcBorders>
              <w:left w:val="single" w:sz="2" w:space="0" w:color="auto"/>
            </w:tcBorders>
            <w:vAlign w:val="center"/>
          </w:tcPr>
          <w:p w14:paraId="2C909CBE" w14:textId="77777777" w:rsidR="00F30877" w:rsidRPr="00A964FF" w:rsidRDefault="00F30877" w:rsidP="00D067C7">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42D9F14D" w14:textId="77777777" w:rsidR="00F30877" w:rsidRPr="00A964FF" w:rsidRDefault="008367BA" w:rsidP="00D067C7">
            <w:pPr>
              <w:adjustRightInd w:val="0"/>
              <w:snapToGrid w:val="0"/>
              <w:jc w:val="center"/>
              <w:rPr>
                <w:rFonts w:ascii="Calibri" w:hAnsi="Calibri"/>
                <w:color w:val="auto"/>
                <w:szCs w:val="21"/>
              </w:rPr>
            </w:pPr>
            <w:r>
              <w:rPr>
                <w:rFonts w:ascii="Calibri" w:hAnsi="Calibri"/>
                <w:color w:val="auto"/>
                <w:szCs w:val="21"/>
              </w:rPr>
              <w:t>41</w:t>
            </w:r>
          </w:p>
        </w:tc>
        <w:tc>
          <w:tcPr>
            <w:tcW w:w="685" w:type="pct"/>
            <w:vAlign w:val="center"/>
          </w:tcPr>
          <w:p w14:paraId="3E0AED5E"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4440F32F" w14:textId="77777777" w:rsidR="00F30877" w:rsidRPr="00A964FF" w:rsidRDefault="005A0896" w:rsidP="008367BA">
            <w:pPr>
              <w:pStyle w:val="TableStyle12"/>
              <w:rPr>
                <w:rFonts w:ascii="Calibri" w:hAnsi="Calibri"/>
                <w:sz w:val="21"/>
                <w:szCs w:val="21"/>
              </w:rPr>
            </w:pPr>
            <w:r>
              <w:rPr>
                <w:rFonts w:ascii="Calibri" w:hAnsi="Calibri"/>
                <w:sz w:val="21"/>
                <w:szCs w:val="21"/>
              </w:rPr>
              <w:t>0.00</w:t>
            </w:r>
            <w:r w:rsidR="008367BA">
              <w:rPr>
                <w:rFonts w:ascii="Calibri" w:hAnsi="Calibri"/>
                <w:sz w:val="21"/>
                <w:szCs w:val="21"/>
              </w:rPr>
              <w:t>91</w:t>
            </w:r>
          </w:p>
        </w:tc>
        <w:tc>
          <w:tcPr>
            <w:tcW w:w="685" w:type="pct"/>
            <w:vAlign w:val="center"/>
          </w:tcPr>
          <w:p w14:paraId="0ABE2938" w14:textId="77777777" w:rsidR="00F30877" w:rsidRPr="00A964FF" w:rsidRDefault="00F30877" w:rsidP="00D067C7">
            <w:pPr>
              <w:pStyle w:val="TableStyle12"/>
              <w:rPr>
                <w:rFonts w:ascii="Calibri" w:hAnsi="Calibri"/>
                <w:sz w:val="21"/>
                <w:szCs w:val="21"/>
              </w:rPr>
            </w:pPr>
            <w:r w:rsidRPr="00A964FF">
              <w:rPr>
                <w:rFonts w:ascii="Calibri" w:hAnsi="Calibri" w:hint="eastAsia"/>
                <w:sz w:val="21"/>
                <w:szCs w:val="21"/>
              </w:rPr>
              <w:t>达标</w:t>
            </w:r>
          </w:p>
        </w:tc>
      </w:tr>
      <w:tr w:rsidR="00F30877" w:rsidRPr="00A964FF" w14:paraId="38B1F4D2" w14:textId="77777777" w:rsidTr="008367BA">
        <w:trPr>
          <w:trHeight w:val="340"/>
        </w:trPr>
        <w:tc>
          <w:tcPr>
            <w:tcW w:w="694" w:type="pct"/>
            <w:vMerge/>
            <w:tcBorders>
              <w:right w:val="single" w:sz="2" w:space="0" w:color="auto"/>
            </w:tcBorders>
            <w:vAlign w:val="center"/>
          </w:tcPr>
          <w:p w14:paraId="7F3FE588" w14:textId="77777777" w:rsidR="00F30877" w:rsidRPr="00A964FF" w:rsidRDefault="00F30877" w:rsidP="001D636A">
            <w:pPr>
              <w:pStyle w:val="TableStyle12"/>
              <w:rPr>
                <w:rFonts w:ascii="Calibri" w:hAnsi="Calibri"/>
                <w:sz w:val="21"/>
                <w:szCs w:val="21"/>
              </w:rPr>
            </w:pPr>
          </w:p>
        </w:tc>
        <w:tc>
          <w:tcPr>
            <w:tcW w:w="634" w:type="pct"/>
            <w:vMerge w:val="restart"/>
            <w:tcBorders>
              <w:left w:val="single" w:sz="2" w:space="0" w:color="auto"/>
              <w:right w:val="single" w:sz="2" w:space="0" w:color="auto"/>
            </w:tcBorders>
            <w:vAlign w:val="center"/>
          </w:tcPr>
          <w:p w14:paraId="51559FDF" w14:textId="77777777" w:rsidR="00F30877" w:rsidRPr="00A964FF" w:rsidRDefault="00F30877" w:rsidP="00BE58BE">
            <w:pPr>
              <w:pStyle w:val="TableStyle12"/>
              <w:rPr>
                <w:rFonts w:ascii="Calibri" w:hAnsi="Calibri"/>
                <w:sz w:val="21"/>
                <w:szCs w:val="21"/>
              </w:rPr>
            </w:pPr>
            <w:r w:rsidRPr="00A964FF">
              <w:rPr>
                <w:rFonts w:ascii="Calibri" w:hAnsi="Calibri"/>
                <w:sz w:val="21"/>
                <w:szCs w:val="21"/>
              </w:rPr>
              <w:t>1.5</w:t>
            </w:r>
            <w:r w:rsidRPr="00A964FF">
              <w:rPr>
                <w:rFonts w:ascii="Calibri" w:hAnsi="Calibri"/>
                <w:sz w:val="21"/>
                <w:szCs w:val="21"/>
              </w:rPr>
              <w:t>～</w:t>
            </w:r>
            <w:r w:rsidRPr="00A964FF">
              <w:rPr>
                <w:rFonts w:ascii="Calibri" w:hAnsi="Calibri"/>
                <w:sz w:val="21"/>
                <w:szCs w:val="21"/>
              </w:rPr>
              <w:t>3m</w:t>
            </w:r>
          </w:p>
        </w:tc>
        <w:tc>
          <w:tcPr>
            <w:tcW w:w="793" w:type="pct"/>
            <w:tcBorders>
              <w:left w:val="single" w:sz="2" w:space="0" w:color="auto"/>
            </w:tcBorders>
            <w:vAlign w:val="center"/>
          </w:tcPr>
          <w:p w14:paraId="5CE30574" w14:textId="77777777" w:rsidR="00F30877" w:rsidRPr="00A964FF" w:rsidRDefault="00F30877" w:rsidP="00D067C7">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0C550C02" w14:textId="77777777" w:rsidR="00F30877" w:rsidRPr="00A964FF" w:rsidRDefault="00DD0EEE" w:rsidP="008367BA">
            <w:pPr>
              <w:adjustRightInd w:val="0"/>
              <w:snapToGrid w:val="0"/>
              <w:jc w:val="center"/>
              <w:rPr>
                <w:rFonts w:ascii="Calibri" w:hAnsi="Calibri"/>
                <w:color w:val="auto"/>
                <w:szCs w:val="21"/>
              </w:rPr>
            </w:pPr>
            <w:r>
              <w:rPr>
                <w:rFonts w:ascii="Calibri" w:hAnsi="Calibri"/>
                <w:color w:val="auto"/>
                <w:szCs w:val="21"/>
              </w:rPr>
              <w:t>7.</w:t>
            </w:r>
            <w:r w:rsidR="008367BA">
              <w:rPr>
                <w:rFonts w:ascii="Calibri" w:hAnsi="Calibri"/>
                <w:color w:val="auto"/>
                <w:szCs w:val="21"/>
              </w:rPr>
              <w:t>52</w:t>
            </w:r>
          </w:p>
        </w:tc>
        <w:tc>
          <w:tcPr>
            <w:tcW w:w="685" w:type="pct"/>
            <w:vAlign w:val="center"/>
          </w:tcPr>
          <w:p w14:paraId="35BA6C8A"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w:t>
            </w:r>
          </w:p>
        </w:tc>
        <w:tc>
          <w:tcPr>
            <w:tcW w:w="685" w:type="pct"/>
            <w:vAlign w:val="center"/>
          </w:tcPr>
          <w:p w14:paraId="4BE2AC5E" w14:textId="77777777" w:rsidR="00F30877" w:rsidRPr="00A964FF" w:rsidRDefault="00F30877" w:rsidP="001D636A">
            <w:pPr>
              <w:pStyle w:val="TableStyle12"/>
              <w:rPr>
                <w:rFonts w:ascii="Calibri" w:hAnsi="Calibri"/>
                <w:sz w:val="21"/>
                <w:szCs w:val="21"/>
              </w:rPr>
            </w:pPr>
            <w:r w:rsidRPr="00A964FF">
              <w:rPr>
                <w:rFonts w:ascii="Calibri" w:hAnsi="Calibri" w:hint="eastAsia"/>
                <w:sz w:val="21"/>
                <w:szCs w:val="21"/>
              </w:rPr>
              <w:t>/</w:t>
            </w:r>
          </w:p>
        </w:tc>
        <w:tc>
          <w:tcPr>
            <w:tcW w:w="685" w:type="pct"/>
            <w:vAlign w:val="center"/>
          </w:tcPr>
          <w:p w14:paraId="51FB81DE"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w:t>
            </w:r>
          </w:p>
        </w:tc>
      </w:tr>
      <w:tr w:rsidR="00F30877" w:rsidRPr="00A964FF" w14:paraId="6541A99A" w14:textId="77777777" w:rsidTr="008367BA">
        <w:trPr>
          <w:trHeight w:val="340"/>
        </w:trPr>
        <w:tc>
          <w:tcPr>
            <w:tcW w:w="694" w:type="pct"/>
            <w:vMerge/>
            <w:tcBorders>
              <w:right w:val="single" w:sz="2" w:space="0" w:color="auto"/>
            </w:tcBorders>
            <w:vAlign w:val="center"/>
          </w:tcPr>
          <w:p w14:paraId="1E09E798" w14:textId="77777777" w:rsidR="00F30877" w:rsidRPr="00A964FF" w:rsidRDefault="00F30877" w:rsidP="001D636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7D067ABF" w14:textId="77777777" w:rsidR="00F30877" w:rsidRPr="00A964FF" w:rsidRDefault="00F30877" w:rsidP="001D636A">
            <w:pPr>
              <w:pStyle w:val="TableStyle12"/>
              <w:rPr>
                <w:rFonts w:ascii="Calibri" w:hAnsi="Calibri"/>
                <w:sz w:val="21"/>
                <w:szCs w:val="21"/>
              </w:rPr>
            </w:pPr>
          </w:p>
        </w:tc>
        <w:tc>
          <w:tcPr>
            <w:tcW w:w="793" w:type="pct"/>
            <w:tcBorders>
              <w:left w:val="single" w:sz="2" w:space="0" w:color="auto"/>
            </w:tcBorders>
            <w:vAlign w:val="center"/>
          </w:tcPr>
          <w:p w14:paraId="7C9FEAFE" w14:textId="77777777" w:rsidR="00F30877" w:rsidRPr="00A964FF" w:rsidRDefault="00F30877" w:rsidP="00D067C7">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1E070AFC" w14:textId="77777777" w:rsidR="00F30877" w:rsidRPr="00A964FF" w:rsidRDefault="008367BA" w:rsidP="00D067C7">
            <w:pPr>
              <w:adjustRightInd w:val="0"/>
              <w:snapToGrid w:val="0"/>
              <w:jc w:val="center"/>
              <w:rPr>
                <w:rFonts w:ascii="Calibri" w:hAnsi="Calibri"/>
                <w:color w:val="auto"/>
                <w:szCs w:val="21"/>
              </w:rPr>
            </w:pPr>
            <w:r>
              <w:rPr>
                <w:rFonts w:ascii="Calibri" w:hAnsi="Calibri"/>
                <w:color w:val="auto"/>
                <w:szCs w:val="21"/>
              </w:rPr>
              <w:t>25</w:t>
            </w:r>
          </w:p>
        </w:tc>
        <w:tc>
          <w:tcPr>
            <w:tcW w:w="685" w:type="pct"/>
            <w:vAlign w:val="center"/>
          </w:tcPr>
          <w:p w14:paraId="0F3D3101" w14:textId="77777777" w:rsidR="00F30877" w:rsidRPr="00A964FF" w:rsidRDefault="00F30877" w:rsidP="00D067C7">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398DA378" w14:textId="77777777" w:rsidR="00F30877" w:rsidRPr="00A964FF" w:rsidRDefault="005A0896" w:rsidP="008367BA">
            <w:pPr>
              <w:pStyle w:val="TableStyle12"/>
              <w:rPr>
                <w:rFonts w:ascii="Calibri" w:hAnsi="Calibri"/>
                <w:sz w:val="21"/>
                <w:szCs w:val="21"/>
              </w:rPr>
            </w:pPr>
            <w:r>
              <w:rPr>
                <w:rFonts w:ascii="Calibri" w:hAnsi="Calibri"/>
                <w:sz w:val="21"/>
                <w:szCs w:val="21"/>
              </w:rPr>
              <w:t>0.00</w:t>
            </w:r>
            <w:r w:rsidR="008367BA">
              <w:rPr>
                <w:rFonts w:ascii="Calibri" w:hAnsi="Calibri"/>
                <w:sz w:val="21"/>
                <w:szCs w:val="21"/>
              </w:rPr>
              <w:t>56</w:t>
            </w:r>
          </w:p>
        </w:tc>
        <w:tc>
          <w:tcPr>
            <w:tcW w:w="685" w:type="pct"/>
            <w:vAlign w:val="center"/>
          </w:tcPr>
          <w:p w14:paraId="09C4FD9A" w14:textId="77777777" w:rsidR="00F30877" w:rsidRPr="00A964FF" w:rsidRDefault="00F30877" w:rsidP="00D067C7">
            <w:pPr>
              <w:pStyle w:val="TableStyle12"/>
              <w:rPr>
                <w:rFonts w:ascii="Calibri" w:hAnsi="Calibri"/>
                <w:sz w:val="21"/>
                <w:szCs w:val="21"/>
              </w:rPr>
            </w:pPr>
            <w:r w:rsidRPr="00A964FF">
              <w:rPr>
                <w:rFonts w:ascii="Calibri" w:hAnsi="Calibri" w:hint="eastAsia"/>
                <w:sz w:val="21"/>
                <w:szCs w:val="21"/>
              </w:rPr>
              <w:t>达标</w:t>
            </w:r>
          </w:p>
        </w:tc>
      </w:tr>
      <w:tr w:rsidR="00DD0EEE" w:rsidRPr="00A964FF" w14:paraId="49C1E87C" w14:textId="77777777" w:rsidTr="008367BA">
        <w:trPr>
          <w:trHeight w:val="340"/>
        </w:trPr>
        <w:tc>
          <w:tcPr>
            <w:tcW w:w="694" w:type="pct"/>
            <w:vMerge w:val="restart"/>
            <w:tcBorders>
              <w:right w:val="single" w:sz="2" w:space="0" w:color="auto"/>
            </w:tcBorders>
            <w:vAlign w:val="center"/>
          </w:tcPr>
          <w:p w14:paraId="23145CAD"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生产区</w:t>
            </w:r>
          </w:p>
        </w:tc>
        <w:tc>
          <w:tcPr>
            <w:tcW w:w="634" w:type="pct"/>
            <w:vMerge w:val="restart"/>
            <w:tcBorders>
              <w:left w:val="single" w:sz="2" w:space="0" w:color="auto"/>
              <w:right w:val="single" w:sz="2" w:space="0" w:color="auto"/>
            </w:tcBorders>
            <w:vAlign w:val="center"/>
          </w:tcPr>
          <w:p w14:paraId="5F34299E"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0</w:t>
            </w:r>
            <w:r w:rsidRPr="00A964FF">
              <w:rPr>
                <w:rFonts w:ascii="Calibri" w:hAnsi="Calibri"/>
                <w:sz w:val="21"/>
                <w:szCs w:val="21"/>
              </w:rPr>
              <w:t>～</w:t>
            </w:r>
            <w:r w:rsidRPr="00A964FF">
              <w:rPr>
                <w:rFonts w:ascii="Calibri" w:hAnsi="Calibri"/>
                <w:sz w:val="21"/>
                <w:szCs w:val="21"/>
              </w:rPr>
              <w:t>0.5m</w:t>
            </w:r>
          </w:p>
        </w:tc>
        <w:tc>
          <w:tcPr>
            <w:tcW w:w="793" w:type="pct"/>
            <w:tcBorders>
              <w:left w:val="single" w:sz="2" w:space="0" w:color="auto"/>
            </w:tcBorders>
            <w:vAlign w:val="center"/>
          </w:tcPr>
          <w:p w14:paraId="6F2D8B41" w14:textId="77777777" w:rsidR="00DD0EEE" w:rsidRPr="00A964FF" w:rsidRDefault="00DD0EEE" w:rsidP="00DD0EEE">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41443C4B" w14:textId="77777777" w:rsidR="00DD0EEE" w:rsidRPr="00A964FF" w:rsidRDefault="00DD0EEE" w:rsidP="008367BA">
            <w:pPr>
              <w:adjustRightInd w:val="0"/>
              <w:snapToGrid w:val="0"/>
              <w:jc w:val="center"/>
              <w:rPr>
                <w:rFonts w:ascii="Calibri" w:hAnsi="Calibri"/>
                <w:color w:val="auto"/>
                <w:szCs w:val="21"/>
              </w:rPr>
            </w:pPr>
            <w:r>
              <w:rPr>
                <w:rFonts w:ascii="Calibri" w:hAnsi="Calibri"/>
                <w:color w:val="auto"/>
                <w:szCs w:val="21"/>
              </w:rPr>
              <w:t>7.</w:t>
            </w:r>
            <w:r w:rsidR="008367BA">
              <w:rPr>
                <w:rFonts w:ascii="Calibri" w:hAnsi="Calibri"/>
                <w:color w:val="auto"/>
                <w:szCs w:val="21"/>
              </w:rPr>
              <w:t>58</w:t>
            </w:r>
          </w:p>
        </w:tc>
        <w:tc>
          <w:tcPr>
            <w:tcW w:w="685" w:type="pct"/>
            <w:vAlign w:val="center"/>
          </w:tcPr>
          <w:p w14:paraId="71C9D080"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c>
          <w:tcPr>
            <w:tcW w:w="685" w:type="pct"/>
            <w:vAlign w:val="center"/>
          </w:tcPr>
          <w:p w14:paraId="6650B4BC" w14:textId="77777777" w:rsidR="00DD0EEE" w:rsidRPr="00A964FF" w:rsidRDefault="005A0896" w:rsidP="00DD0EEE">
            <w:pPr>
              <w:jc w:val="center"/>
              <w:textAlignment w:val="center"/>
              <w:rPr>
                <w:rFonts w:ascii="Calibri" w:hAnsi="Calibri"/>
                <w:bCs/>
                <w:color w:val="auto"/>
                <w:szCs w:val="21"/>
              </w:rPr>
            </w:pPr>
            <w:r w:rsidRPr="00A964FF">
              <w:rPr>
                <w:rFonts w:ascii="Calibri" w:hAnsi="Calibri" w:hint="eastAsia"/>
                <w:szCs w:val="21"/>
              </w:rPr>
              <w:t>/</w:t>
            </w:r>
          </w:p>
        </w:tc>
        <w:tc>
          <w:tcPr>
            <w:tcW w:w="685" w:type="pct"/>
            <w:vAlign w:val="center"/>
          </w:tcPr>
          <w:p w14:paraId="4132826A" w14:textId="77777777" w:rsidR="00DD0EEE" w:rsidRPr="00A964FF" w:rsidRDefault="005A0896" w:rsidP="00DD0EEE">
            <w:pPr>
              <w:jc w:val="center"/>
              <w:textAlignment w:val="center"/>
              <w:rPr>
                <w:rFonts w:ascii="Calibri" w:hAnsi="Calibri"/>
                <w:color w:val="auto"/>
                <w:szCs w:val="21"/>
              </w:rPr>
            </w:pPr>
            <w:r w:rsidRPr="00A964FF">
              <w:rPr>
                <w:rFonts w:ascii="Calibri" w:hAnsi="Calibri" w:hint="eastAsia"/>
                <w:szCs w:val="21"/>
              </w:rPr>
              <w:t>/</w:t>
            </w:r>
          </w:p>
        </w:tc>
      </w:tr>
      <w:tr w:rsidR="00DD0EEE" w:rsidRPr="00A964FF" w14:paraId="49B0B9E0" w14:textId="77777777" w:rsidTr="008367BA">
        <w:trPr>
          <w:trHeight w:val="340"/>
        </w:trPr>
        <w:tc>
          <w:tcPr>
            <w:tcW w:w="694" w:type="pct"/>
            <w:vMerge/>
            <w:tcBorders>
              <w:right w:val="single" w:sz="2" w:space="0" w:color="auto"/>
            </w:tcBorders>
            <w:vAlign w:val="center"/>
          </w:tcPr>
          <w:p w14:paraId="2F00BDEE" w14:textId="77777777" w:rsidR="00DD0EEE" w:rsidRPr="00A964FF" w:rsidRDefault="00DD0EEE" w:rsidP="00DD0EEE">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4A8327FB" w14:textId="77777777" w:rsidR="00DD0EEE" w:rsidRPr="00A964FF" w:rsidRDefault="00DD0EEE" w:rsidP="00DD0EEE">
            <w:pPr>
              <w:pStyle w:val="TableStyle12"/>
              <w:rPr>
                <w:rFonts w:ascii="Calibri" w:hAnsi="Calibri"/>
                <w:sz w:val="21"/>
                <w:szCs w:val="21"/>
              </w:rPr>
            </w:pPr>
          </w:p>
        </w:tc>
        <w:tc>
          <w:tcPr>
            <w:tcW w:w="793" w:type="pct"/>
            <w:tcBorders>
              <w:left w:val="single" w:sz="2" w:space="0" w:color="auto"/>
            </w:tcBorders>
            <w:vAlign w:val="center"/>
          </w:tcPr>
          <w:p w14:paraId="24A19DD4" w14:textId="77777777" w:rsidR="00DD0EEE" w:rsidRPr="00A964FF" w:rsidRDefault="00DD0EEE" w:rsidP="00DD0EEE">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67309917" w14:textId="77777777" w:rsidR="00DD0EEE" w:rsidRPr="00A964FF" w:rsidRDefault="008367BA" w:rsidP="00DD0EEE">
            <w:pPr>
              <w:adjustRightInd w:val="0"/>
              <w:snapToGrid w:val="0"/>
              <w:jc w:val="center"/>
              <w:rPr>
                <w:rFonts w:ascii="Calibri" w:hAnsi="Calibri"/>
                <w:color w:val="auto"/>
                <w:szCs w:val="21"/>
              </w:rPr>
            </w:pPr>
            <w:r>
              <w:rPr>
                <w:rFonts w:ascii="Calibri" w:hAnsi="Calibri"/>
                <w:color w:val="auto"/>
                <w:szCs w:val="21"/>
              </w:rPr>
              <w:t>62</w:t>
            </w:r>
          </w:p>
        </w:tc>
        <w:tc>
          <w:tcPr>
            <w:tcW w:w="685" w:type="pct"/>
            <w:vAlign w:val="center"/>
          </w:tcPr>
          <w:p w14:paraId="4E6E07B5"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6E2A8A5C" w14:textId="77777777" w:rsidR="00DD0EEE" w:rsidRPr="00A964FF" w:rsidRDefault="008367BA" w:rsidP="00DD0EEE">
            <w:pPr>
              <w:pStyle w:val="TableStyle12"/>
              <w:rPr>
                <w:rFonts w:ascii="Calibri" w:hAnsi="Calibri"/>
                <w:sz w:val="21"/>
                <w:szCs w:val="21"/>
              </w:rPr>
            </w:pPr>
            <w:r>
              <w:rPr>
                <w:rFonts w:ascii="Calibri" w:hAnsi="Calibri"/>
                <w:sz w:val="21"/>
                <w:szCs w:val="21"/>
              </w:rPr>
              <w:t>0.014</w:t>
            </w:r>
          </w:p>
        </w:tc>
        <w:tc>
          <w:tcPr>
            <w:tcW w:w="685" w:type="pct"/>
            <w:vAlign w:val="center"/>
          </w:tcPr>
          <w:p w14:paraId="710AE2EE"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达标</w:t>
            </w:r>
          </w:p>
        </w:tc>
      </w:tr>
      <w:tr w:rsidR="00DD0EEE" w:rsidRPr="00A964FF" w14:paraId="780E4D5F" w14:textId="77777777" w:rsidTr="008367BA">
        <w:trPr>
          <w:trHeight w:val="340"/>
        </w:trPr>
        <w:tc>
          <w:tcPr>
            <w:tcW w:w="694" w:type="pct"/>
            <w:vMerge/>
            <w:tcBorders>
              <w:right w:val="single" w:sz="2" w:space="0" w:color="auto"/>
            </w:tcBorders>
            <w:vAlign w:val="center"/>
          </w:tcPr>
          <w:p w14:paraId="1BD79221" w14:textId="77777777" w:rsidR="00DD0EEE" w:rsidRPr="00A964FF" w:rsidRDefault="00DD0EEE" w:rsidP="00DD0EEE">
            <w:pPr>
              <w:pStyle w:val="TableStyle12"/>
              <w:rPr>
                <w:rFonts w:ascii="Calibri" w:hAnsi="Calibri"/>
                <w:sz w:val="21"/>
                <w:szCs w:val="21"/>
              </w:rPr>
            </w:pPr>
          </w:p>
        </w:tc>
        <w:tc>
          <w:tcPr>
            <w:tcW w:w="634" w:type="pct"/>
            <w:vMerge w:val="restart"/>
            <w:tcBorders>
              <w:left w:val="single" w:sz="2" w:space="0" w:color="auto"/>
              <w:right w:val="single" w:sz="2" w:space="0" w:color="auto"/>
            </w:tcBorders>
            <w:vAlign w:val="center"/>
          </w:tcPr>
          <w:p w14:paraId="380DC7F7"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0.5</w:t>
            </w:r>
            <w:r w:rsidRPr="00A964FF">
              <w:rPr>
                <w:rFonts w:ascii="Calibri" w:hAnsi="Calibri"/>
                <w:sz w:val="21"/>
                <w:szCs w:val="21"/>
              </w:rPr>
              <w:t>～</w:t>
            </w:r>
            <w:r w:rsidRPr="00A964FF">
              <w:rPr>
                <w:rFonts w:ascii="Calibri" w:hAnsi="Calibri"/>
                <w:sz w:val="21"/>
                <w:szCs w:val="21"/>
              </w:rPr>
              <w:t>1.5m</w:t>
            </w:r>
          </w:p>
        </w:tc>
        <w:tc>
          <w:tcPr>
            <w:tcW w:w="793" w:type="pct"/>
            <w:tcBorders>
              <w:left w:val="single" w:sz="2" w:space="0" w:color="auto"/>
            </w:tcBorders>
            <w:vAlign w:val="center"/>
          </w:tcPr>
          <w:p w14:paraId="03BD2F9E" w14:textId="77777777" w:rsidR="00DD0EEE" w:rsidRPr="00A964FF" w:rsidRDefault="00DD0EEE" w:rsidP="00DD0EEE">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0BD86E8F" w14:textId="77777777" w:rsidR="00DD0EEE" w:rsidRPr="00A964FF" w:rsidRDefault="00DD0EEE" w:rsidP="008367BA">
            <w:pPr>
              <w:adjustRightInd w:val="0"/>
              <w:snapToGrid w:val="0"/>
              <w:jc w:val="center"/>
              <w:rPr>
                <w:rFonts w:ascii="Calibri" w:hAnsi="Calibri"/>
                <w:color w:val="auto"/>
                <w:szCs w:val="21"/>
              </w:rPr>
            </w:pPr>
            <w:r>
              <w:rPr>
                <w:rFonts w:ascii="Calibri" w:hAnsi="Calibri"/>
                <w:color w:val="auto"/>
                <w:szCs w:val="21"/>
              </w:rPr>
              <w:t>7.</w:t>
            </w:r>
            <w:r w:rsidR="008367BA">
              <w:rPr>
                <w:rFonts w:ascii="Calibri" w:hAnsi="Calibri"/>
                <w:color w:val="auto"/>
                <w:szCs w:val="21"/>
              </w:rPr>
              <w:t>54</w:t>
            </w:r>
          </w:p>
        </w:tc>
        <w:tc>
          <w:tcPr>
            <w:tcW w:w="685" w:type="pct"/>
            <w:vAlign w:val="center"/>
          </w:tcPr>
          <w:p w14:paraId="0916133C"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c>
          <w:tcPr>
            <w:tcW w:w="685" w:type="pct"/>
            <w:vAlign w:val="center"/>
          </w:tcPr>
          <w:p w14:paraId="2EEC8983"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w:t>
            </w:r>
          </w:p>
        </w:tc>
        <w:tc>
          <w:tcPr>
            <w:tcW w:w="685" w:type="pct"/>
            <w:vAlign w:val="center"/>
          </w:tcPr>
          <w:p w14:paraId="43644094"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r>
      <w:tr w:rsidR="00DD0EEE" w:rsidRPr="00A964FF" w14:paraId="7459737D" w14:textId="77777777" w:rsidTr="008367BA">
        <w:trPr>
          <w:trHeight w:val="340"/>
        </w:trPr>
        <w:tc>
          <w:tcPr>
            <w:tcW w:w="694" w:type="pct"/>
            <w:vMerge/>
            <w:tcBorders>
              <w:right w:val="single" w:sz="2" w:space="0" w:color="auto"/>
            </w:tcBorders>
            <w:vAlign w:val="center"/>
          </w:tcPr>
          <w:p w14:paraId="57BB2D05" w14:textId="77777777" w:rsidR="00DD0EEE" w:rsidRPr="00A964FF" w:rsidRDefault="00DD0EEE" w:rsidP="00DD0EEE">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42BB0E3B" w14:textId="77777777" w:rsidR="00DD0EEE" w:rsidRPr="00A964FF" w:rsidRDefault="00DD0EEE" w:rsidP="00DD0EEE">
            <w:pPr>
              <w:pStyle w:val="TableStyle12"/>
              <w:rPr>
                <w:rFonts w:ascii="Calibri" w:hAnsi="Calibri"/>
                <w:sz w:val="21"/>
                <w:szCs w:val="21"/>
              </w:rPr>
            </w:pPr>
          </w:p>
        </w:tc>
        <w:tc>
          <w:tcPr>
            <w:tcW w:w="793" w:type="pct"/>
            <w:tcBorders>
              <w:left w:val="single" w:sz="2" w:space="0" w:color="auto"/>
            </w:tcBorders>
            <w:vAlign w:val="center"/>
          </w:tcPr>
          <w:p w14:paraId="1D1DB91D" w14:textId="77777777" w:rsidR="00DD0EEE" w:rsidRPr="00A964FF" w:rsidRDefault="00DD0EEE" w:rsidP="00DD0EEE">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1853528C" w14:textId="77777777" w:rsidR="00DD0EEE" w:rsidRPr="00A964FF" w:rsidRDefault="008367BA" w:rsidP="00DD0EEE">
            <w:pPr>
              <w:adjustRightInd w:val="0"/>
              <w:snapToGrid w:val="0"/>
              <w:jc w:val="center"/>
              <w:rPr>
                <w:rFonts w:ascii="Calibri" w:hAnsi="Calibri"/>
                <w:color w:val="auto"/>
                <w:szCs w:val="21"/>
              </w:rPr>
            </w:pPr>
            <w:r>
              <w:rPr>
                <w:rFonts w:ascii="Calibri" w:hAnsi="Calibri"/>
                <w:color w:val="auto"/>
                <w:szCs w:val="21"/>
              </w:rPr>
              <w:t>43</w:t>
            </w:r>
          </w:p>
        </w:tc>
        <w:tc>
          <w:tcPr>
            <w:tcW w:w="685" w:type="pct"/>
            <w:vAlign w:val="center"/>
          </w:tcPr>
          <w:p w14:paraId="4F928380"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42CB99A5" w14:textId="77777777" w:rsidR="00DD0EEE" w:rsidRPr="00A964FF" w:rsidRDefault="005A0896" w:rsidP="008367BA">
            <w:pPr>
              <w:pStyle w:val="TableStyle12"/>
              <w:rPr>
                <w:rFonts w:ascii="Calibri" w:hAnsi="Calibri"/>
                <w:sz w:val="21"/>
                <w:szCs w:val="21"/>
              </w:rPr>
            </w:pPr>
            <w:r>
              <w:rPr>
                <w:rFonts w:ascii="Calibri" w:hAnsi="Calibri"/>
                <w:sz w:val="21"/>
                <w:szCs w:val="21"/>
              </w:rPr>
              <w:t>0.00</w:t>
            </w:r>
            <w:r w:rsidR="008367BA">
              <w:rPr>
                <w:rFonts w:ascii="Calibri" w:hAnsi="Calibri"/>
                <w:sz w:val="21"/>
                <w:szCs w:val="21"/>
              </w:rPr>
              <w:t>96</w:t>
            </w:r>
          </w:p>
        </w:tc>
        <w:tc>
          <w:tcPr>
            <w:tcW w:w="685" w:type="pct"/>
            <w:vAlign w:val="center"/>
          </w:tcPr>
          <w:p w14:paraId="17D2281C"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达标</w:t>
            </w:r>
          </w:p>
        </w:tc>
      </w:tr>
      <w:tr w:rsidR="00DD0EEE" w:rsidRPr="00A964FF" w14:paraId="33D3AE00" w14:textId="77777777" w:rsidTr="008367BA">
        <w:trPr>
          <w:trHeight w:val="340"/>
        </w:trPr>
        <w:tc>
          <w:tcPr>
            <w:tcW w:w="694" w:type="pct"/>
            <w:vMerge/>
            <w:tcBorders>
              <w:right w:val="single" w:sz="2" w:space="0" w:color="auto"/>
            </w:tcBorders>
            <w:vAlign w:val="center"/>
          </w:tcPr>
          <w:p w14:paraId="26B080E4" w14:textId="77777777" w:rsidR="00DD0EEE" w:rsidRPr="00A964FF" w:rsidRDefault="00DD0EEE" w:rsidP="00DD0EEE">
            <w:pPr>
              <w:pStyle w:val="TableStyle12"/>
              <w:rPr>
                <w:rFonts w:ascii="Calibri" w:hAnsi="Calibri"/>
                <w:sz w:val="21"/>
                <w:szCs w:val="21"/>
              </w:rPr>
            </w:pPr>
          </w:p>
        </w:tc>
        <w:tc>
          <w:tcPr>
            <w:tcW w:w="634" w:type="pct"/>
            <w:vMerge w:val="restart"/>
            <w:tcBorders>
              <w:left w:val="single" w:sz="2" w:space="0" w:color="auto"/>
              <w:right w:val="single" w:sz="2" w:space="0" w:color="auto"/>
            </w:tcBorders>
            <w:vAlign w:val="center"/>
          </w:tcPr>
          <w:p w14:paraId="5C4D75AE"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1.5</w:t>
            </w:r>
            <w:r w:rsidRPr="00A964FF">
              <w:rPr>
                <w:rFonts w:ascii="Calibri" w:hAnsi="Calibri"/>
                <w:sz w:val="21"/>
                <w:szCs w:val="21"/>
              </w:rPr>
              <w:t>～</w:t>
            </w:r>
            <w:r w:rsidRPr="00A964FF">
              <w:rPr>
                <w:rFonts w:ascii="Calibri" w:hAnsi="Calibri"/>
                <w:sz w:val="21"/>
                <w:szCs w:val="21"/>
              </w:rPr>
              <w:t>3m</w:t>
            </w:r>
          </w:p>
        </w:tc>
        <w:tc>
          <w:tcPr>
            <w:tcW w:w="793" w:type="pct"/>
            <w:tcBorders>
              <w:left w:val="single" w:sz="2" w:space="0" w:color="auto"/>
            </w:tcBorders>
            <w:vAlign w:val="center"/>
          </w:tcPr>
          <w:p w14:paraId="22A87FA9" w14:textId="77777777" w:rsidR="00DD0EEE" w:rsidRPr="00A964FF" w:rsidRDefault="00DD0EEE" w:rsidP="00DD0EEE">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35363C01" w14:textId="77777777" w:rsidR="00DD0EEE" w:rsidRPr="00A964FF" w:rsidRDefault="00DD0EEE" w:rsidP="008367BA">
            <w:pPr>
              <w:adjustRightInd w:val="0"/>
              <w:snapToGrid w:val="0"/>
              <w:jc w:val="center"/>
              <w:rPr>
                <w:rFonts w:ascii="Calibri" w:hAnsi="Calibri"/>
                <w:color w:val="auto"/>
                <w:szCs w:val="21"/>
              </w:rPr>
            </w:pPr>
            <w:r>
              <w:rPr>
                <w:rFonts w:ascii="Calibri" w:hAnsi="Calibri"/>
                <w:color w:val="auto"/>
                <w:szCs w:val="21"/>
              </w:rPr>
              <w:t>7.</w:t>
            </w:r>
            <w:r w:rsidR="008367BA">
              <w:rPr>
                <w:rFonts w:ascii="Calibri" w:hAnsi="Calibri"/>
                <w:color w:val="auto"/>
                <w:szCs w:val="21"/>
              </w:rPr>
              <w:t>56</w:t>
            </w:r>
          </w:p>
        </w:tc>
        <w:tc>
          <w:tcPr>
            <w:tcW w:w="685" w:type="pct"/>
            <w:vAlign w:val="center"/>
          </w:tcPr>
          <w:p w14:paraId="7CA8C262"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c>
          <w:tcPr>
            <w:tcW w:w="685" w:type="pct"/>
            <w:vAlign w:val="center"/>
          </w:tcPr>
          <w:p w14:paraId="71362980"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w:t>
            </w:r>
          </w:p>
        </w:tc>
        <w:tc>
          <w:tcPr>
            <w:tcW w:w="685" w:type="pct"/>
            <w:vAlign w:val="center"/>
          </w:tcPr>
          <w:p w14:paraId="45E3161A"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r>
      <w:tr w:rsidR="00DD0EEE" w:rsidRPr="00A964FF" w14:paraId="45D11C5C" w14:textId="77777777" w:rsidTr="008367BA">
        <w:trPr>
          <w:trHeight w:val="340"/>
        </w:trPr>
        <w:tc>
          <w:tcPr>
            <w:tcW w:w="694" w:type="pct"/>
            <w:vMerge/>
            <w:tcBorders>
              <w:right w:val="single" w:sz="2" w:space="0" w:color="auto"/>
            </w:tcBorders>
            <w:vAlign w:val="center"/>
          </w:tcPr>
          <w:p w14:paraId="5AC70593" w14:textId="77777777" w:rsidR="00DD0EEE" w:rsidRPr="00A964FF" w:rsidRDefault="00DD0EEE" w:rsidP="00DD0EEE">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202DAE7F" w14:textId="77777777" w:rsidR="00DD0EEE" w:rsidRPr="00A964FF" w:rsidRDefault="00DD0EEE" w:rsidP="00DD0EEE">
            <w:pPr>
              <w:pStyle w:val="TableStyle12"/>
              <w:rPr>
                <w:rFonts w:ascii="Calibri" w:hAnsi="Calibri"/>
                <w:sz w:val="21"/>
                <w:szCs w:val="21"/>
              </w:rPr>
            </w:pPr>
          </w:p>
        </w:tc>
        <w:tc>
          <w:tcPr>
            <w:tcW w:w="793" w:type="pct"/>
            <w:tcBorders>
              <w:left w:val="single" w:sz="2" w:space="0" w:color="auto"/>
            </w:tcBorders>
            <w:vAlign w:val="center"/>
          </w:tcPr>
          <w:p w14:paraId="138C0CAA" w14:textId="77777777" w:rsidR="00DD0EEE" w:rsidRPr="00A964FF" w:rsidRDefault="00DD0EEE" w:rsidP="00DD0EEE">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7ECE9704" w14:textId="77777777" w:rsidR="00DD0EEE" w:rsidRPr="00A964FF" w:rsidRDefault="008367BA" w:rsidP="00DD0EEE">
            <w:pPr>
              <w:adjustRightInd w:val="0"/>
              <w:snapToGrid w:val="0"/>
              <w:jc w:val="center"/>
              <w:rPr>
                <w:rFonts w:ascii="Calibri" w:hAnsi="Calibri"/>
                <w:color w:val="auto"/>
                <w:szCs w:val="21"/>
              </w:rPr>
            </w:pPr>
            <w:r>
              <w:rPr>
                <w:rFonts w:ascii="Calibri" w:hAnsi="Calibri"/>
                <w:color w:val="auto"/>
                <w:szCs w:val="21"/>
              </w:rPr>
              <w:t>23</w:t>
            </w:r>
          </w:p>
        </w:tc>
        <w:tc>
          <w:tcPr>
            <w:tcW w:w="685" w:type="pct"/>
            <w:vAlign w:val="center"/>
          </w:tcPr>
          <w:p w14:paraId="56847CAC"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33AFB504" w14:textId="77777777" w:rsidR="00DD0EEE" w:rsidRPr="00A964FF" w:rsidRDefault="005A0896" w:rsidP="008367BA">
            <w:pPr>
              <w:pStyle w:val="TableStyle12"/>
              <w:rPr>
                <w:rFonts w:ascii="Calibri" w:hAnsi="Calibri"/>
                <w:sz w:val="21"/>
                <w:szCs w:val="21"/>
              </w:rPr>
            </w:pPr>
            <w:r>
              <w:rPr>
                <w:rFonts w:ascii="Calibri" w:hAnsi="Calibri"/>
                <w:sz w:val="21"/>
                <w:szCs w:val="21"/>
              </w:rPr>
              <w:t>0.00</w:t>
            </w:r>
            <w:r w:rsidR="008367BA">
              <w:rPr>
                <w:rFonts w:ascii="Calibri" w:hAnsi="Calibri"/>
                <w:sz w:val="21"/>
                <w:szCs w:val="21"/>
              </w:rPr>
              <w:t>51</w:t>
            </w:r>
          </w:p>
        </w:tc>
        <w:tc>
          <w:tcPr>
            <w:tcW w:w="685" w:type="pct"/>
            <w:vAlign w:val="center"/>
          </w:tcPr>
          <w:p w14:paraId="76C02ED2"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达标</w:t>
            </w:r>
          </w:p>
        </w:tc>
      </w:tr>
      <w:tr w:rsidR="00DD0EEE" w:rsidRPr="00A964FF" w14:paraId="77C209CB" w14:textId="77777777" w:rsidTr="008367BA">
        <w:trPr>
          <w:trHeight w:val="340"/>
        </w:trPr>
        <w:tc>
          <w:tcPr>
            <w:tcW w:w="694" w:type="pct"/>
            <w:vMerge w:val="restart"/>
            <w:tcBorders>
              <w:right w:val="single" w:sz="2" w:space="0" w:color="auto"/>
            </w:tcBorders>
            <w:vAlign w:val="center"/>
          </w:tcPr>
          <w:p w14:paraId="0239C8D2"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废水处理站</w:t>
            </w:r>
          </w:p>
        </w:tc>
        <w:tc>
          <w:tcPr>
            <w:tcW w:w="634" w:type="pct"/>
            <w:vMerge w:val="restart"/>
            <w:tcBorders>
              <w:left w:val="single" w:sz="2" w:space="0" w:color="auto"/>
              <w:right w:val="single" w:sz="2" w:space="0" w:color="auto"/>
            </w:tcBorders>
            <w:vAlign w:val="center"/>
          </w:tcPr>
          <w:p w14:paraId="7DD9DA21"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0</w:t>
            </w:r>
            <w:r w:rsidRPr="00A964FF">
              <w:rPr>
                <w:rFonts w:ascii="Calibri" w:hAnsi="Calibri"/>
                <w:sz w:val="21"/>
                <w:szCs w:val="21"/>
              </w:rPr>
              <w:t>～</w:t>
            </w:r>
            <w:r w:rsidRPr="00A964FF">
              <w:rPr>
                <w:rFonts w:ascii="Calibri" w:hAnsi="Calibri"/>
                <w:sz w:val="21"/>
                <w:szCs w:val="21"/>
              </w:rPr>
              <w:t>0.5m</w:t>
            </w:r>
          </w:p>
        </w:tc>
        <w:tc>
          <w:tcPr>
            <w:tcW w:w="793" w:type="pct"/>
            <w:tcBorders>
              <w:left w:val="single" w:sz="2" w:space="0" w:color="auto"/>
            </w:tcBorders>
            <w:vAlign w:val="center"/>
          </w:tcPr>
          <w:p w14:paraId="29922CE3" w14:textId="77777777" w:rsidR="00DD0EEE" w:rsidRPr="00A964FF" w:rsidRDefault="00DD0EEE" w:rsidP="00DD0EEE">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67D0C579" w14:textId="77777777" w:rsidR="00DD0EEE" w:rsidRPr="00A964FF" w:rsidRDefault="008367BA" w:rsidP="00DD0EEE">
            <w:pPr>
              <w:adjustRightInd w:val="0"/>
              <w:snapToGrid w:val="0"/>
              <w:jc w:val="center"/>
              <w:rPr>
                <w:rFonts w:ascii="Calibri" w:hAnsi="Calibri"/>
                <w:color w:val="auto"/>
                <w:szCs w:val="21"/>
              </w:rPr>
            </w:pPr>
            <w:r>
              <w:rPr>
                <w:rFonts w:ascii="Calibri" w:hAnsi="Calibri"/>
                <w:color w:val="auto"/>
                <w:szCs w:val="21"/>
              </w:rPr>
              <w:t>7.44</w:t>
            </w:r>
          </w:p>
        </w:tc>
        <w:tc>
          <w:tcPr>
            <w:tcW w:w="685" w:type="pct"/>
            <w:vAlign w:val="center"/>
          </w:tcPr>
          <w:p w14:paraId="4F3497F6"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c>
          <w:tcPr>
            <w:tcW w:w="685" w:type="pct"/>
            <w:vAlign w:val="center"/>
          </w:tcPr>
          <w:p w14:paraId="2FB68C83"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w:t>
            </w:r>
          </w:p>
        </w:tc>
        <w:tc>
          <w:tcPr>
            <w:tcW w:w="685" w:type="pct"/>
            <w:vAlign w:val="center"/>
          </w:tcPr>
          <w:p w14:paraId="093956C2"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r>
      <w:tr w:rsidR="00DD0EEE" w:rsidRPr="00A964FF" w14:paraId="4DD37563" w14:textId="77777777" w:rsidTr="008367BA">
        <w:trPr>
          <w:trHeight w:val="340"/>
        </w:trPr>
        <w:tc>
          <w:tcPr>
            <w:tcW w:w="694" w:type="pct"/>
            <w:vMerge/>
            <w:tcBorders>
              <w:right w:val="single" w:sz="2" w:space="0" w:color="auto"/>
            </w:tcBorders>
            <w:vAlign w:val="center"/>
          </w:tcPr>
          <w:p w14:paraId="69FEAF39" w14:textId="77777777" w:rsidR="00DD0EEE" w:rsidRPr="00A964FF" w:rsidRDefault="00DD0EEE" w:rsidP="00DD0EEE">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6A950EEC" w14:textId="77777777" w:rsidR="00DD0EEE" w:rsidRPr="00A964FF" w:rsidRDefault="00DD0EEE" w:rsidP="00DD0EEE">
            <w:pPr>
              <w:pStyle w:val="TableStyle12"/>
              <w:rPr>
                <w:rFonts w:ascii="Calibri" w:hAnsi="Calibri"/>
                <w:sz w:val="21"/>
                <w:szCs w:val="21"/>
              </w:rPr>
            </w:pPr>
          </w:p>
        </w:tc>
        <w:tc>
          <w:tcPr>
            <w:tcW w:w="793" w:type="pct"/>
            <w:tcBorders>
              <w:left w:val="single" w:sz="2" w:space="0" w:color="auto"/>
            </w:tcBorders>
            <w:vAlign w:val="center"/>
          </w:tcPr>
          <w:p w14:paraId="736A5F2E" w14:textId="77777777" w:rsidR="00DD0EEE" w:rsidRPr="00A964FF" w:rsidRDefault="00DD0EEE" w:rsidP="00DD0EEE">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52D253AF" w14:textId="77777777" w:rsidR="00DD0EEE" w:rsidRPr="00A964FF" w:rsidRDefault="008367BA" w:rsidP="00DD0EEE">
            <w:pPr>
              <w:adjustRightInd w:val="0"/>
              <w:snapToGrid w:val="0"/>
              <w:jc w:val="center"/>
              <w:rPr>
                <w:rFonts w:ascii="Calibri" w:hAnsi="Calibri"/>
                <w:color w:val="auto"/>
                <w:szCs w:val="21"/>
              </w:rPr>
            </w:pPr>
            <w:r>
              <w:rPr>
                <w:rFonts w:ascii="Calibri" w:hAnsi="Calibri"/>
                <w:color w:val="auto"/>
                <w:szCs w:val="21"/>
              </w:rPr>
              <w:t>60</w:t>
            </w:r>
          </w:p>
        </w:tc>
        <w:tc>
          <w:tcPr>
            <w:tcW w:w="685" w:type="pct"/>
            <w:vAlign w:val="center"/>
          </w:tcPr>
          <w:p w14:paraId="69E130AC"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7F1516FD" w14:textId="77777777" w:rsidR="00DD0EEE" w:rsidRPr="00A964FF" w:rsidRDefault="008367BA" w:rsidP="00DD0EEE">
            <w:pPr>
              <w:pStyle w:val="TableStyle12"/>
              <w:rPr>
                <w:rFonts w:ascii="Calibri" w:hAnsi="Calibri"/>
                <w:sz w:val="21"/>
                <w:szCs w:val="21"/>
              </w:rPr>
            </w:pPr>
            <w:r>
              <w:rPr>
                <w:rFonts w:ascii="Calibri" w:hAnsi="Calibri"/>
                <w:sz w:val="21"/>
                <w:szCs w:val="21"/>
              </w:rPr>
              <w:t>0.013</w:t>
            </w:r>
          </w:p>
        </w:tc>
        <w:tc>
          <w:tcPr>
            <w:tcW w:w="685" w:type="pct"/>
            <w:vAlign w:val="center"/>
          </w:tcPr>
          <w:p w14:paraId="671FE650"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达标</w:t>
            </w:r>
          </w:p>
        </w:tc>
      </w:tr>
      <w:tr w:rsidR="00DD0EEE" w:rsidRPr="00A964FF" w14:paraId="3A449D3A" w14:textId="77777777" w:rsidTr="008367BA">
        <w:trPr>
          <w:trHeight w:val="340"/>
        </w:trPr>
        <w:tc>
          <w:tcPr>
            <w:tcW w:w="694" w:type="pct"/>
            <w:vMerge/>
            <w:tcBorders>
              <w:right w:val="single" w:sz="2" w:space="0" w:color="auto"/>
            </w:tcBorders>
            <w:vAlign w:val="center"/>
          </w:tcPr>
          <w:p w14:paraId="444B2723" w14:textId="77777777" w:rsidR="00DD0EEE" w:rsidRPr="00A964FF" w:rsidRDefault="00DD0EEE" w:rsidP="00DD0EEE">
            <w:pPr>
              <w:pStyle w:val="TableStyle12"/>
              <w:rPr>
                <w:rFonts w:ascii="Calibri" w:hAnsi="Calibri"/>
                <w:sz w:val="21"/>
                <w:szCs w:val="21"/>
              </w:rPr>
            </w:pPr>
          </w:p>
        </w:tc>
        <w:tc>
          <w:tcPr>
            <w:tcW w:w="634" w:type="pct"/>
            <w:vMerge w:val="restart"/>
            <w:tcBorders>
              <w:left w:val="single" w:sz="2" w:space="0" w:color="auto"/>
              <w:right w:val="single" w:sz="2" w:space="0" w:color="auto"/>
            </w:tcBorders>
            <w:vAlign w:val="center"/>
          </w:tcPr>
          <w:p w14:paraId="12295132"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0.5</w:t>
            </w:r>
            <w:r w:rsidRPr="00A964FF">
              <w:rPr>
                <w:rFonts w:ascii="Calibri" w:hAnsi="Calibri"/>
                <w:sz w:val="21"/>
                <w:szCs w:val="21"/>
              </w:rPr>
              <w:t>～</w:t>
            </w:r>
            <w:r w:rsidRPr="00A964FF">
              <w:rPr>
                <w:rFonts w:ascii="Calibri" w:hAnsi="Calibri"/>
                <w:sz w:val="21"/>
                <w:szCs w:val="21"/>
              </w:rPr>
              <w:t>1.5m</w:t>
            </w:r>
          </w:p>
        </w:tc>
        <w:tc>
          <w:tcPr>
            <w:tcW w:w="793" w:type="pct"/>
            <w:tcBorders>
              <w:left w:val="single" w:sz="2" w:space="0" w:color="auto"/>
            </w:tcBorders>
            <w:vAlign w:val="center"/>
          </w:tcPr>
          <w:p w14:paraId="561C98B8" w14:textId="77777777" w:rsidR="00DD0EEE" w:rsidRPr="00A964FF" w:rsidRDefault="00DD0EEE" w:rsidP="00DD0EEE">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221BB578" w14:textId="77777777" w:rsidR="00DD0EEE" w:rsidRPr="00A964FF" w:rsidRDefault="00DD0EEE" w:rsidP="008367BA">
            <w:pPr>
              <w:adjustRightInd w:val="0"/>
              <w:snapToGrid w:val="0"/>
              <w:jc w:val="center"/>
              <w:rPr>
                <w:rFonts w:ascii="Calibri" w:hAnsi="Calibri"/>
                <w:color w:val="auto"/>
                <w:szCs w:val="21"/>
              </w:rPr>
            </w:pPr>
            <w:r>
              <w:rPr>
                <w:rFonts w:ascii="Calibri" w:hAnsi="Calibri"/>
                <w:color w:val="auto"/>
                <w:szCs w:val="21"/>
              </w:rPr>
              <w:t>7.4</w:t>
            </w:r>
            <w:r w:rsidR="008367BA">
              <w:rPr>
                <w:rFonts w:ascii="Calibri" w:hAnsi="Calibri"/>
                <w:color w:val="auto"/>
                <w:szCs w:val="21"/>
              </w:rPr>
              <w:t>6</w:t>
            </w:r>
          </w:p>
        </w:tc>
        <w:tc>
          <w:tcPr>
            <w:tcW w:w="685" w:type="pct"/>
            <w:vAlign w:val="center"/>
          </w:tcPr>
          <w:p w14:paraId="1C0D8248"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c>
          <w:tcPr>
            <w:tcW w:w="685" w:type="pct"/>
            <w:vAlign w:val="center"/>
          </w:tcPr>
          <w:p w14:paraId="4D4BB4C9"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w:t>
            </w:r>
          </w:p>
        </w:tc>
        <w:tc>
          <w:tcPr>
            <w:tcW w:w="685" w:type="pct"/>
            <w:vAlign w:val="center"/>
          </w:tcPr>
          <w:p w14:paraId="6C63586F"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r>
      <w:tr w:rsidR="00DD0EEE" w:rsidRPr="00A964FF" w14:paraId="3EB3C8AD" w14:textId="77777777" w:rsidTr="008367BA">
        <w:trPr>
          <w:trHeight w:val="340"/>
        </w:trPr>
        <w:tc>
          <w:tcPr>
            <w:tcW w:w="694" w:type="pct"/>
            <w:vMerge/>
            <w:tcBorders>
              <w:right w:val="single" w:sz="2" w:space="0" w:color="auto"/>
            </w:tcBorders>
            <w:vAlign w:val="center"/>
          </w:tcPr>
          <w:p w14:paraId="75507A22" w14:textId="77777777" w:rsidR="00DD0EEE" w:rsidRPr="00A964FF" w:rsidRDefault="00DD0EEE" w:rsidP="00DD0EEE">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2B6A4FCE" w14:textId="77777777" w:rsidR="00DD0EEE" w:rsidRPr="00A964FF" w:rsidRDefault="00DD0EEE" w:rsidP="00DD0EEE">
            <w:pPr>
              <w:pStyle w:val="TableStyle12"/>
              <w:rPr>
                <w:rFonts w:ascii="Calibri" w:hAnsi="Calibri"/>
                <w:sz w:val="21"/>
                <w:szCs w:val="21"/>
              </w:rPr>
            </w:pPr>
          </w:p>
        </w:tc>
        <w:tc>
          <w:tcPr>
            <w:tcW w:w="793" w:type="pct"/>
            <w:tcBorders>
              <w:left w:val="single" w:sz="2" w:space="0" w:color="auto"/>
            </w:tcBorders>
            <w:vAlign w:val="center"/>
          </w:tcPr>
          <w:p w14:paraId="28846994" w14:textId="77777777" w:rsidR="00DD0EEE" w:rsidRPr="00A964FF" w:rsidRDefault="00DD0EEE" w:rsidP="00DD0EEE">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7AD32123" w14:textId="77777777" w:rsidR="00DD0EEE" w:rsidRPr="00A964FF" w:rsidRDefault="008367BA" w:rsidP="00DD0EEE">
            <w:pPr>
              <w:adjustRightInd w:val="0"/>
              <w:snapToGrid w:val="0"/>
              <w:jc w:val="center"/>
              <w:rPr>
                <w:rFonts w:ascii="Calibri" w:hAnsi="Calibri"/>
                <w:color w:val="auto"/>
                <w:szCs w:val="21"/>
              </w:rPr>
            </w:pPr>
            <w:r>
              <w:rPr>
                <w:rFonts w:ascii="Calibri" w:hAnsi="Calibri"/>
                <w:color w:val="auto"/>
                <w:szCs w:val="21"/>
              </w:rPr>
              <w:t>46</w:t>
            </w:r>
          </w:p>
        </w:tc>
        <w:tc>
          <w:tcPr>
            <w:tcW w:w="685" w:type="pct"/>
            <w:vAlign w:val="center"/>
          </w:tcPr>
          <w:p w14:paraId="10AB3BC5"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1420B861" w14:textId="77777777" w:rsidR="00DD0EEE" w:rsidRPr="00A964FF" w:rsidRDefault="008367BA" w:rsidP="00DD0EEE">
            <w:pPr>
              <w:pStyle w:val="TableStyle12"/>
              <w:rPr>
                <w:rFonts w:ascii="Calibri" w:hAnsi="Calibri"/>
                <w:sz w:val="21"/>
                <w:szCs w:val="21"/>
              </w:rPr>
            </w:pPr>
            <w:r>
              <w:rPr>
                <w:rFonts w:ascii="Calibri" w:hAnsi="Calibri"/>
                <w:sz w:val="21"/>
                <w:szCs w:val="21"/>
              </w:rPr>
              <w:t>0.010</w:t>
            </w:r>
          </w:p>
        </w:tc>
        <w:tc>
          <w:tcPr>
            <w:tcW w:w="685" w:type="pct"/>
            <w:vAlign w:val="center"/>
          </w:tcPr>
          <w:p w14:paraId="464E237A"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达标</w:t>
            </w:r>
          </w:p>
        </w:tc>
      </w:tr>
      <w:tr w:rsidR="00DD0EEE" w:rsidRPr="00A964FF" w14:paraId="22CC73B0" w14:textId="77777777" w:rsidTr="008367BA">
        <w:trPr>
          <w:trHeight w:val="340"/>
        </w:trPr>
        <w:tc>
          <w:tcPr>
            <w:tcW w:w="694" w:type="pct"/>
            <w:vMerge/>
            <w:tcBorders>
              <w:right w:val="single" w:sz="2" w:space="0" w:color="auto"/>
            </w:tcBorders>
            <w:vAlign w:val="center"/>
          </w:tcPr>
          <w:p w14:paraId="12266805" w14:textId="77777777" w:rsidR="00DD0EEE" w:rsidRPr="00A964FF" w:rsidRDefault="00DD0EEE" w:rsidP="00DD0EEE">
            <w:pPr>
              <w:pStyle w:val="TableStyle12"/>
              <w:rPr>
                <w:rFonts w:ascii="Calibri" w:hAnsi="Calibri"/>
                <w:sz w:val="21"/>
                <w:szCs w:val="21"/>
              </w:rPr>
            </w:pPr>
          </w:p>
        </w:tc>
        <w:tc>
          <w:tcPr>
            <w:tcW w:w="634" w:type="pct"/>
            <w:vMerge w:val="restart"/>
            <w:tcBorders>
              <w:left w:val="single" w:sz="2" w:space="0" w:color="auto"/>
              <w:right w:val="single" w:sz="2" w:space="0" w:color="auto"/>
            </w:tcBorders>
            <w:vAlign w:val="center"/>
          </w:tcPr>
          <w:p w14:paraId="6671531E"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1.5</w:t>
            </w:r>
            <w:r w:rsidRPr="00A964FF">
              <w:rPr>
                <w:rFonts w:ascii="Calibri" w:hAnsi="Calibri"/>
                <w:sz w:val="21"/>
                <w:szCs w:val="21"/>
              </w:rPr>
              <w:t>～</w:t>
            </w:r>
            <w:r w:rsidRPr="00A964FF">
              <w:rPr>
                <w:rFonts w:ascii="Calibri" w:hAnsi="Calibri"/>
                <w:sz w:val="21"/>
                <w:szCs w:val="21"/>
              </w:rPr>
              <w:t>3m</w:t>
            </w:r>
          </w:p>
        </w:tc>
        <w:tc>
          <w:tcPr>
            <w:tcW w:w="793" w:type="pct"/>
            <w:tcBorders>
              <w:left w:val="single" w:sz="2" w:space="0" w:color="auto"/>
            </w:tcBorders>
            <w:vAlign w:val="center"/>
          </w:tcPr>
          <w:p w14:paraId="248E94CB" w14:textId="77777777" w:rsidR="00DD0EEE" w:rsidRPr="00A964FF" w:rsidRDefault="00DD0EEE" w:rsidP="00DD0EEE">
            <w:pPr>
              <w:jc w:val="center"/>
              <w:textAlignment w:val="center"/>
              <w:rPr>
                <w:rFonts w:ascii="Calibri" w:hAnsi="Calibri"/>
                <w:bCs/>
                <w:color w:val="auto"/>
                <w:szCs w:val="21"/>
              </w:rPr>
            </w:pPr>
            <w:r w:rsidRPr="00A964FF">
              <w:rPr>
                <w:rFonts w:ascii="Calibri" w:hAnsi="Calibri"/>
                <w:bCs/>
                <w:color w:val="auto"/>
                <w:szCs w:val="21"/>
              </w:rPr>
              <w:t>pH</w:t>
            </w:r>
            <w:r w:rsidRPr="00A964FF">
              <w:rPr>
                <w:rFonts w:ascii="Calibri"/>
                <w:bCs/>
                <w:color w:val="auto"/>
                <w:szCs w:val="21"/>
              </w:rPr>
              <w:t>值</w:t>
            </w:r>
          </w:p>
        </w:tc>
        <w:tc>
          <w:tcPr>
            <w:tcW w:w="824" w:type="pct"/>
            <w:vAlign w:val="center"/>
          </w:tcPr>
          <w:p w14:paraId="0CEF02FF" w14:textId="77777777" w:rsidR="00DD0EEE" w:rsidRPr="00A964FF" w:rsidRDefault="00DD0EEE" w:rsidP="008367BA">
            <w:pPr>
              <w:adjustRightInd w:val="0"/>
              <w:snapToGrid w:val="0"/>
              <w:jc w:val="center"/>
              <w:rPr>
                <w:rFonts w:ascii="Calibri" w:hAnsi="Calibri"/>
                <w:color w:val="auto"/>
                <w:szCs w:val="21"/>
              </w:rPr>
            </w:pPr>
            <w:r>
              <w:rPr>
                <w:rFonts w:ascii="Calibri" w:hAnsi="Calibri"/>
                <w:color w:val="auto"/>
                <w:szCs w:val="21"/>
              </w:rPr>
              <w:t>7.4</w:t>
            </w:r>
            <w:r w:rsidR="008367BA">
              <w:rPr>
                <w:rFonts w:ascii="Calibri" w:hAnsi="Calibri"/>
                <w:color w:val="auto"/>
                <w:szCs w:val="21"/>
              </w:rPr>
              <w:t>5</w:t>
            </w:r>
          </w:p>
        </w:tc>
        <w:tc>
          <w:tcPr>
            <w:tcW w:w="685" w:type="pct"/>
            <w:vAlign w:val="center"/>
          </w:tcPr>
          <w:p w14:paraId="48529C8B"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c>
          <w:tcPr>
            <w:tcW w:w="685" w:type="pct"/>
            <w:vAlign w:val="center"/>
          </w:tcPr>
          <w:p w14:paraId="244C6B45"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w:t>
            </w:r>
          </w:p>
        </w:tc>
        <w:tc>
          <w:tcPr>
            <w:tcW w:w="685" w:type="pct"/>
            <w:vAlign w:val="center"/>
          </w:tcPr>
          <w:p w14:paraId="22BC09B0"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w:t>
            </w:r>
          </w:p>
        </w:tc>
      </w:tr>
      <w:tr w:rsidR="00DD0EEE" w:rsidRPr="00A964FF" w14:paraId="72188D7F" w14:textId="77777777" w:rsidTr="008367BA">
        <w:trPr>
          <w:trHeight w:val="340"/>
        </w:trPr>
        <w:tc>
          <w:tcPr>
            <w:tcW w:w="694" w:type="pct"/>
            <w:vMerge/>
            <w:tcBorders>
              <w:right w:val="single" w:sz="2" w:space="0" w:color="auto"/>
            </w:tcBorders>
            <w:vAlign w:val="center"/>
          </w:tcPr>
          <w:p w14:paraId="187EFD1C" w14:textId="77777777" w:rsidR="00DD0EEE" w:rsidRPr="00A964FF" w:rsidRDefault="00DD0EEE" w:rsidP="00DD0EEE">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5AC0CA4D" w14:textId="77777777" w:rsidR="00DD0EEE" w:rsidRPr="00A964FF" w:rsidRDefault="00DD0EEE" w:rsidP="00DD0EEE">
            <w:pPr>
              <w:pStyle w:val="TableStyle12"/>
              <w:rPr>
                <w:rFonts w:ascii="Calibri" w:hAnsi="Calibri"/>
                <w:sz w:val="21"/>
                <w:szCs w:val="21"/>
              </w:rPr>
            </w:pPr>
          </w:p>
        </w:tc>
        <w:tc>
          <w:tcPr>
            <w:tcW w:w="793" w:type="pct"/>
            <w:tcBorders>
              <w:left w:val="single" w:sz="2" w:space="0" w:color="auto"/>
            </w:tcBorders>
            <w:vAlign w:val="center"/>
          </w:tcPr>
          <w:p w14:paraId="311DCF7B" w14:textId="77777777" w:rsidR="00DD0EEE" w:rsidRPr="00A964FF" w:rsidRDefault="00DD0EEE" w:rsidP="00DD0EEE">
            <w:pPr>
              <w:jc w:val="center"/>
              <w:textAlignment w:val="center"/>
              <w:rPr>
                <w:rFonts w:ascii="Calibri" w:hAnsi="Calibri"/>
                <w:bCs/>
                <w:color w:val="auto"/>
                <w:szCs w:val="21"/>
              </w:rPr>
            </w:pPr>
            <w:r w:rsidRPr="00A964FF">
              <w:rPr>
                <w:rFonts w:ascii="Calibri"/>
                <w:bCs/>
                <w:color w:val="auto"/>
                <w:szCs w:val="21"/>
              </w:rPr>
              <w:t>石油烃</w:t>
            </w:r>
          </w:p>
        </w:tc>
        <w:tc>
          <w:tcPr>
            <w:tcW w:w="824" w:type="pct"/>
            <w:vAlign w:val="center"/>
          </w:tcPr>
          <w:p w14:paraId="5FAD5D8D" w14:textId="77777777" w:rsidR="00DD0EEE" w:rsidRPr="00A964FF" w:rsidRDefault="008367BA" w:rsidP="00DD0EEE">
            <w:pPr>
              <w:adjustRightInd w:val="0"/>
              <w:snapToGrid w:val="0"/>
              <w:jc w:val="center"/>
              <w:rPr>
                <w:rFonts w:ascii="Calibri" w:hAnsi="Calibri"/>
                <w:color w:val="auto"/>
                <w:szCs w:val="21"/>
              </w:rPr>
            </w:pPr>
            <w:r>
              <w:rPr>
                <w:rFonts w:ascii="Calibri" w:hAnsi="Calibri"/>
                <w:color w:val="auto"/>
                <w:szCs w:val="21"/>
              </w:rPr>
              <w:t>26</w:t>
            </w:r>
          </w:p>
        </w:tc>
        <w:tc>
          <w:tcPr>
            <w:tcW w:w="685" w:type="pct"/>
            <w:vAlign w:val="center"/>
          </w:tcPr>
          <w:p w14:paraId="18EAC916" w14:textId="77777777" w:rsidR="00DD0EEE" w:rsidRPr="00A964FF" w:rsidRDefault="00DD0EEE" w:rsidP="00DD0EEE">
            <w:pPr>
              <w:pStyle w:val="TableStyle12"/>
              <w:rPr>
                <w:rFonts w:ascii="Calibri" w:hAnsi="Calibri"/>
                <w:sz w:val="21"/>
                <w:szCs w:val="21"/>
              </w:rPr>
            </w:pPr>
            <w:r w:rsidRPr="00A964FF">
              <w:rPr>
                <w:rFonts w:ascii="Calibri" w:hAnsi="Calibri"/>
                <w:sz w:val="21"/>
                <w:szCs w:val="21"/>
              </w:rPr>
              <w:t>4500</w:t>
            </w:r>
          </w:p>
        </w:tc>
        <w:tc>
          <w:tcPr>
            <w:tcW w:w="685" w:type="pct"/>
            <w:vAlign w:val="center"/>
          </w:tcPr>
          <w:p w14:paraId="023102D3" w14:textId="77777777" w:rsidR="00DD0EEE" w:rsidRPr="00A964FF" w:rsidRDefault="008367BA" w:rsidP="00DD0EEE">
            <w:pPr>
              <w:pStyle w:val="TableStyle12"/>
              <w:rPr>
                <w:rFonts w:ascii="Calibri" w:hAnsi="Calibri"/>
                <w:sz w:val="21"/>
                <w:szCs w:val="21"/>
              </w:rPr>
            </w:pPr>
            <w:r>
              <w:rPr>
                <w:rFonts w:ascii="Calibri" w:hAnsi="Calibri"/>
                <w:sz w:val="21"/>
                <w:szCs w:val="21"/>
              </w:rPr>
              <w:t>0.0058</w:t>
            </w:r>
          </w:p>
        </w:tc>
        <w:tc>
          <w:tcPr>
            <w:tcW w:w="685" w:type="pct"/>
            <w:vAlign w:val="center"/>
          </w:tcPr>
          <w:p w14:paraId="2D46041D" w14:textId="77777777" w:rsidR="00DD0EEE" w:rsidRPr="00A964FF" w:rsidRDefault="00DD0EEE" w:rsidP="00DD0EEE">
            <w:pPr>
              <w:pStyle w:val="TableStyle12"/>
              <w:rPr>
                <w:rFonts w:ascii="Calibri" w:hAnsi="Calibri"/>
                <w:sz w:val="21"/>
                <w:szCs w:val="21"/>
              </w:rPr>
            </w:pPr>
            <w:r w:rsidRPr="00A964FF">
              <w:rPr>
                <w:rFonts w:ascii="Calibri" w:hAnsi="Calibri" w:hint="eastAsia"/>
                <w:sz w:val="21"/>
                <w:szCs w:val="21"/>
              </w:rPr>
              <w:t>达标</w:t>
            </w:r>
          </w:p>
        </w:tc>
      </w:tr>
      <w:tr w:rsidR="008367BA" w:rsidRPr="00A964FF" w14:paraId="4B463B90" w14:textId="77777777" w:rsidTr="008367BA">
        <w:trPr>
          <w:trHeight w:val="340"/>
        </w:trPr>
        <w:tc>
          <w:tcPr>
            <w:tcW w:w="694" w:type="pct"/>
            <w:vMerge w:val="restart"/>
            <w:tcBorders>
              <w:right w:val="single" w:sz="2" w:space="0" w:color="auto"/>
            </w:tcBorders>
            <w:vAlign w:val="center"/>
          </w:tcPr>
          <w:p w14:paraId="32F9447D" w14:textId="77777777" w:rsidR="008367BA" w:rsidRPr="00A964FF" w:rsidRDefault="008367BA" w:rsidP="008367BA">
            <w:pPr>
              <w:pStyle w:val="TableStyle12"/>
              <w:rPr>
                <w:rFonts w:ascii="Calibri" w:hAnsi="Calibri"/>
                <w:sz w:val="21"/>
                <w:szCs w:val="21"/>
              </w:rPr>
            </w:pPr>
            <w:r w:rsidRPr="00DD0EEE">
              <w:rPr>
                <w:rFonts w:ascii="Calibri" w:hint="eastAsia"/>
                <w:sz w:val="21"/>
                <w:szCs w:val="21"/>
              </w:rPr>
              <w:t>厂区北侧</w:t>
            </w:r>
            <w:r>
              <w:rPr>
                <w:rFonts w:ascii="Calibri" w:hint="eastAsia"/>
                <w:sz w:val="21"/>
                <w:szCs w:val="21"/>
              </w:rPr>
              <w:t>现状</w:t>
            </w:r>
            <w:r>
              <w:rPr>
                <w:rFonts w:ascii="Calibri"/>
                <w:sz w:val="21"/>
                <w:szCs w:val="21"/>
              </w:rPr>
              <w:t>农田</w:t>
            </w:r>
          </w:p>
        </w:tc>
        <w:tc>
          <w:tcPr>
            <w:tcW w:w="634" w:type="pct"/>
            <w:vMerge w:val="restart"/>
            <w:tcBorders>
              <w:left w:val="single" w:sz="2" w:space="0" w:color="auto"/>
              <w:right w:val="single" w:sz="2" w:space="0" w:color="auto"/>
            </w:tcBorders>
            <w:vAlign w:val="center"/>
          </w:tcPr>
          <w:p w14:paraId="1FC532EC" w14:textId="77777777" w:rsidR="008367BA" w:rsidRPr="009A728F" w:rsidRDefault="008367BA" w:rsidP="008367BA">
            <w:pPr>
              <w:jc w:val="center"/>
              <w:textAlignment w:val="center"/>
              <w:rPr>
                <w:color w:val="auto"/>
                <w:szCs w:val="21"/>
              </w:rPr>
            </w:pPr>
            <w:r w:rsidRPr="00A964FF">
              <w:rPr>
                <w:rFonts w:ascii="Calibri" w:hAnsi="Calibri"/>
                <w:szCs w:val="21"/>
              </w:rPr>
              <w:t>0</w:t>
            </w:r>
            <w:r w:rsidRPr="00A964FF">
              <w:rPr>
                <w:rFonts w:ascii="Calibri" w:hAnsi="Calibri"/>
                <w:szCs w:val="21"/>
              </w:rPr>
              <w:t>～</w:t>
            </w:r>
            <w:r w:rsidRPr="00A964FF">
              <w:rPr>
                <w:rFonts w:ascii="Calibri" w:hAnsi="Calibri"/>
                <w:szCs w:val="21"/>
              </w:rPr>
              <w:t>0.</w:t>
            </w:r>
            <w:r>
              <w:rPr>
                <w:rFonts w:ascii="Calibri" w:hAnsi="Calibri"/>
                <w:szCs w:val="21"/>
              </w:rPr>
              <w:t>2</w:t>
            </w:r>
            <w:r w:rsidRPr="00A964FF">
              <w:rPr>
                <w:rFonts w:ascii="Calibri" w:hAnsi="Calibri"/>
                <w:szCs w:val="21"/>
              </w:rPr>
              <w:t>m</w:t>
            </w:r>
          </w:p>
        </w:tc>
        <w:tc>
          <w:tcPr>
            <w:tcW w:w="793" w:type="pct"/>
            <w:tcBorders>
              <w:left w:val="single" w:sz="2" w:space="0" w:color="auto"/>
            </w:tcBorders>
            <w:vAlign w:val="center"/>
          </w:tcPr>
          <w:p w14:paraId="6B3F5475"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pH</w:t>
            </w:r>
            <w:r w:rsidRPr="008367BA">
              <w:rPr>
                <w:rFonts w:ascii="Calibri" w:hAnsi="Calibri" w:hint="eastAsia"/>
                <w:bCs/>
                <w:color w:val="auto"/>
                <w:szCs w:val="21"/>
              </w:rPr>
              <w:t>值</w:t>
            </w:r>
          </w:p>
        </w:tc>
        <w:tc>
          <w:tcPr>
            <w:tcW w:w="824" w:type="pct"/>
            <w:vAlign w:val="center"/>
          </w:tcPr>
          <w:p w14:paraId="77980CB4" w14:textId="77777777" w:rsidR="008367BA" w:rsidRP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7.55</w:t>
            </w:r>
          </w:p>
        </w:tc>
        <w:tc>
          <w:tcPr>
            <w:tcW w:w="685" w:type="pct"/>
            <w:vAlign w:val="center"/>
          </w:tcPr>
          <w:p w14:paraId="1F2C4D81"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w:t>
            </w:r>
          </w:p>
        </w:tc>
        <w:tc>
          <w:tcPr>
            <w:tcW w:w="685" w:type="pct"/>
            <w:vAlign w:val="center"/>
          </w:tcPr>
          <w:p w14:paraId="01A607F0" w14:textId="77777777" w:rsidR="008367BA" w:rsidRDefault="008367BA" w:rsidP="008367BA">
            <w:pPr>
              <w:pStyle w:val="TableStyle12"/>
              <w:rPr>
                <w:rFonts w:ascii="Calibri" w:hAnsi="Calibri"/>
                <w:sz w:val="21"/>
                <w:szCs w:val="21"/>
              </w:rPr>
            </w:pPr>
            <w:r>
              <w:rPr>
                <w:rFonts w:ascii="Calibri" w:hAnsi="Calibri" w:hint="eastAsia"/>
                <w:sz w:val="21"/>
                <w:szCs w:val="21"/>
              </w:rPr>
              <w:t>/</w:t>
            </w:r>
          </w:p>
        </w:tc>
        <w:tc>
          <w:tcPr>
            <w:tcW w:w="685" w:type="pct"/>
            <w:vAlign w:val="center"/>
          </w:tcPr>
          <w:p w14:paraId="598B2CE5"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w:t>
            </w:r>
          </w:p>
        </w:tc>
      </w:tr>
      <w:tr w:rsidR="008367BA" w:rsidRPr="00A964FF" w14:paraId="6FAC5E4B" w14:textId="77777777" w:rsidTr="008367BA">
        <w:trPr>
          <w:trHeight w:val="340"/>
        </w:trPr>
        <w:tc>
          <w:tcPr>
            <w:tcW w:w="694" w:type="pct"/>
            <w:vMerge/>
            <w:tcBorders>
              <w:right w:val="single" w:sz="2" w:space="0" w:color="auto"/>
            </w:tcBorders>
            <w:vAlign w:val="center"/>
          </w:tcPr>
          <w:p w14:paraId="6067D79B"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0AC73C6A" w14:textId="77777777" w:rsidR="008367BA" w:rsidRPr="009A728F" w:rsidRDefault="008367BA" w:rsidP="008367BA">
            <w:pPr>
              <w:jc w:val="center"/>
              <w:textAlignment w:val="center"/>
              <w:rPr>
                <w:color w:val="auto"/>
                <w:szCs w:val="21"/>
              </w:rPr>
            </w:pPr>
          </w:p>
        </w:tc>
        <w:tc>
          <w:tcPr>
            <w:tcW w:w="793" w:type="pct"/>
            <w:tcBorders>
              <w:left w:val="single" w:sz="2" w:space="0" w:color="auto"/>
            </w:tcBorders>
            <w:vAlign w:val="center"/>
          </w:tcPr>
          <w:p w14:paraId="18655F97"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石油烃</w:t>
            </w:r>
          </w:p>
        </w:tc>
        <w:tc>
          <w:tcPr>
            <w:tcW w:w="824" w:type="pct"/>
            <w:vAlign w:val="center"/>
          </w:tcPr>
          <w:p w14:paraId="0410D65C" w14:textId="77777777" w:rsidR="008367BA" w:rsidRDefault="008367BA" w:rsidP="008367BA">
            <w:pPr>
              <w:adjustRightInd w:val="0"/>
              <w:snapToGrid w:val="0"/>
              <w:jc w:val="center"/>
              <w:rPr>
                <w:rFonts w:ascii="Calibri" w:hAnsi="Calibri"/>
                <w:color w:val="auto"/>
                <w:szCs w:val="21"/>
              </w:rPr>
            </w:pPr>
            <w:r>
              <w:rPr>
                <w:rFonts w:ascii="Calibri" w:hAnsi="Calibri" w:hint="eastAsia"/>
                <w:color w:val="auto"/>
                <w:szCs w:val="21"/>
              </w:rPr>
              <w:t>3</w:t>
            </w:r>
            <w:r>
              <w:rPr>
                <w:rFonts w:ascii="Calibri" w:hAnsi="Calibri"/>
                <w:color w:val="auto"/>
                <w:szCs w:val="21"/>
              </w:rPr>
              <w:t>0</w:t>
            </w:r>
          </w:p>
        </w:tc>
        <w:tc>
          <w:tcPr>
            <w:tcW w:w="685" w:type="pct"/>
            <w:vAlign w:val="center"/>
          </w:tcPr>
          <w:p w14:paraId="14FC4B3C"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4500</w:t>
            </w:r>
          </w:p>
        </w:tc>
        <w:tc>
          <w:tcPr>
            <w:tcW w:w="685" w:type="pct"/>
            <w:vAlign w:val="center"/>
          </w:tcPr>
          <w:p w14:paraId="2DDEFF09" w14:textId="77777777" w:rsidR="008367BA" w:rsidRDefault="008367BA" w:rsidP="008367BA">
            <w:pPr>
              <w:pStyle w:val="TableStyle12"/>
              <w:rPr>
                <w:rFonts w:ascii="Calibri" w:hAnsi="Calibri"/>
                <w:sz w:val="21"/>
                <w:szCs w:val="21"/>
              </w:rPr>
            </w:pPr>
            <w:r>
              <w:rPr>
                <w:rFonts w:ascii="Calibri" w:hAnsi="Calibri" w:hint="eastAsia"/>
                <w:sz w:val="21"/>
                <w:szCs w:val="21"/>
              </w:rPr>
              <w:t>0.0067</w:t>
            </w:r>
          </w:p>
        </w:tc>
        <w:tc>
          <w:tcPr>
            <w:tcW w:w="685" w:type="pct"/>
            <w:vAlign w:val="center"/>
          </w:tcPr>
          <w:p w14:paraId="5EEAC59F" w14:textId="77777777" w:rsidR="008367BA" w:rsidRDefault="008367BA" w:rsidP="008367BA">
            <w:pPr>
              <w:jc w:val="center"/>
            </w:pPr>
            <w:r w:rsidRPr="007B4B3E">
              <w:rPr>
                <w:rFonts w:ascii="Calibri" w:hAnsi="Calibri" w:hint="eastAsia"/>
                <w:szCs w:val="21"/>
              </w:rPr>
              <w:t>达标</w:t>
            </w:r>
          </w:p>
        </w:tc>
      </w:tr>
      <w:tr w:rsidR="008367BA" w:rsidRPr="00A964FF" w14:paraId="244E87EA" w14:textId="77777777" w:rsidTr="008367BA">
        <w:trPr>
          <w:trHeight w:val="340"/>
        </w:trPr>
        <w:tc>
          <w:tcPr>
            <w:tcW w:w="694" w:type="pct"/>
            <w:vMerge/>
            <w:tcBorders>
              <w:right w:val="single" w:sz="2" w:space="0" w:color="auto"/>
            </w:tcBorders>
            <w:vAlign w:val="center"/>
          </w:tcPr>
          <w:p w14:paraId="42AA54EA"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1B885D9E"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597C2A3F"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汞</w:t>
            </w:r>
          </w:p>
        </w:tc>
        <w:tc>
          <w:tcPr>
            <w:tcW w:w="824" w:type="pct"/>
            <w:vAlign w:val="center"/>
          </w:tcPr>
          <w:p w14:paraId="0B6DA767"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0.079</w:t>
            </w:r>
          </w:p>
        </w:tc>
        <w:tc>
          <w:tcPr>
            <w:tcW w:w="685" w:type="pct"/>
            <w:vAlign w:val="center"/>
          </w:tcPr>
          <w:p w14:paraId="08BBDF35"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3.4</w:t>
            </w:r>
          </w:p>
        </w:tc>
        <w:tc>
          <w:tcPr>
            <w:tcW w:w="685" w:type="pct"/>
            <w:vAlign w:val="center"/>
          </w:tcPr>
          <w:p w14:paraId="2A6E9DFE" w14:textId="77777777" w:rsidR="008367BA" w:rsidRDefault="008367BA" w:rsidP="008367BA">
            <w:pPr>
              <w:pStyle w:val="TableStyle12"/>
              <w:rPr>
                <w:rFonts w:ascii="Calibri" w:hAnsi="Calibri"/>
                <w:sz w:val="21"/>
                <w:szCs w:val="21"/>
              </w:rPr>
            </w:pPr>
            <w:r>
              <w:rPr>
                <w:rFonts w:ascii="Calibri" w:hAnsi="Calibri" w:hint="eastAsia"/>
                <w:sz w:val="21"/>
                <w:szCs w:val="21"/>
              </w:rPr>
              <w:t>0.021</w:t>
            </w:r>
          </w:p>
        </w:tc>
        <w:tc>
          <w:tcPr>
            <w:tcW w:w="685" w:type="pct"/>
            <w:vAlign w:val="center"/>
          </w:tcPr>
          <w:p w14:paraId="70AFD36A" w14:textId="77777777" w:rsidR="008367BA" w:rsidRDefault="008367BA" w:rsidP="008367BA">
            <w:pPr>
              <w:jc w:val="center"/>
            </w:pPr>
            <w:r w:rsidRPr="007B4B3E">
              <w:rPr>
                <w:rFonts w:ascii="Calibri" w:hAnsi="Calibri" w:hint="eastAsia"/>
                <w:szCs w:val="21"/>
              </w:rPr>
              <w:t>达标</w:t>
            </w:r>
          </w:p>
        </w:tc>
      </w:tr>
      <w:tr w:rsidR="008367BA" w:rsidRPr="00A964FF" w14:paraId="050D977A" w14:textId="77777777" w:rsidTr="008367BA">
        <w:trPr>
          <w:trHeight w:val="340"/>
        </w:trPr>
        <w:tc>
          <w:tcPr>
            <w:tcW w:w="694" w:type="pct"/>
            <w:vMerge/>
            <w:tcBorders>
              <w:right w:val="single" w:sz="2" w:space="0" w:color="auto"/>
            </w:tcBorders>
            <w:vAlign w:val="center"/>
          </w:tcPr>
          <w:p w14:paraId="73C0DFF7"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495CFD44"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0F6D0155"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镉</w:t>
            </w:r>
          </w:p>
        </w:tc>
        <w:tc>
          <w:tcPr>
            <w:tcW w:w="824" w:type="pct"/>
            <w:vAlign w:val="center"/>
          </w:tcPr>
          <w:p w14:paraId="63D8D55F"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0.13</w:t>
            </w:r>
          </w:p>
        </w:tc>
        <w:tc>
          <w:tcPr>
            <w:tcW w:w="685" w:type="pct"/>
            <w:vAlign w:val="center"/>
          </w:tcPr>
          <w:p w14:paraId="107E7FE5"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0.6</w:t>
            </w:r>
          </w:p>
        </w:tc>
        <w:tc>
          <w:tcPr>
            <w:tcW w:w="685" w:type="pct"/>
            <w:vAlign w:val="center"/>
          </w:tcPr>
          <w:p w14:paraId="5FFD3A9F" w14:textId="77777777" w:rsidR="008367BA" w:rsidRDefault="008367BA" w:rsidP="008367BA">
            <w:pPr>
              <w:pStyle w:val="TableStyle12"/>
              <w:rPr>
                <w:rFonts w:ascii="Calibri" w:hAnsi="Calibri"/>
                <w:sz w:val="21"/>
                <w:szCs w:val="21"/>
              </w:rPr>
            </w:pPr>
            <w:r>
              <w:rPr>
                <w:rFonts w:ascii="Calibri" w:hAnsi="Calibri" w:hint="eastAsia"/>
                <w:sz w:val="21"/>
                <w:szCs w:val="21"/>
              </w:rPr>
              <w:t>0.22</w:t>
            </w:r>
          </w:p>
        </w:tc>
        <w:tc>
          <w:tcPr>
            <w:tcW w:w="685" w:type="pct"/>
            <w:vAlign w:val="center"/>
          </w:tcPr>
          <w:p w14:paraId="10BEDC14" w14:textId="77777777" w:rsidR="008367BA" w:rsidRDefault="008367BA" w:rsidP="008367BA">
            <w:pPr>
              <w:jc w:val="center"/>
            </w:pPr>
            <w:r w:rsidRPr="007B4B3E">
              <w:rPr>
                <w:rFonts w:ascii="Calibri" w:hAnsi="Calibri" w:hint="eastAsia"/>
                <w:szCs w:val="21"/>
              </w:rPr>
              <w:t>达标</w:t>
            </w:r>
          </w:p>
        </w:tc>
      </w:tr>
      <w:tr w:rsidR="008367BA" w:rsidRPr="00A964FF" w14:paraId="1066D79B" w14:textId="77777777" w:rsidTr="008367BA">
        <w:trPr>
          <w:trHeight w:val="340"/>
        </w:trPr>
        <w:tc>
          <w:tcPr>
            <w:tcW w:w="694" w:type="pct"/>
            <w:vMerge/>
            <w:tcBorders>
              <w:right w:val="single" w:sz="2" w:space="0" w:color="auto"/>
            </w:tcBorders>
            <w:vAlign w:val="center"/>
          </w:tcPr>
          <w:p w14:paraId="7578DD3D"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38CC56A9"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122561A5"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铬</w:t>
            </w:r>
          </w:p>
        </w:tc>
        <w:tc>
          <w:tcPr>
            <w:tcW w:w="824" w:type="pct"/>
            <w:vAlign w:val="center"/>
          </w:tcPr>
          <w:p w14:paraId="3F1FBF06"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53</w:t>
            </w:r>
          </w:p>
        </w:tc>
        <w:tc>
          <w:tcPr>
            <w:tcW w:w="685" w:type="pct"/>
            <w:vAlign w:val="center"/>
          </w:tcPr>
          <w:p w14:paraId="3FF018FB"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170</w:t>
            </w:r>
          </w:p>
        </w:tc>
        <w:tc>
          <w:tcPr>
            <w:tcW w:w="685" w:type="pct"/>
            <w:vAlign w:val="center"/>
          </w:tcPr>
          <w:p w14:paraId="78FB19D1" w14:textId="77777777" w:rsidR="008367BA" w:rsidRDefault="008367BA" w:rsidP="008367BA">
            <w:pPr>
              <w:pStyle w:val="TableStyle12"/>
              <w:rPr>
                <w:rFonts w:ascii="Calibri" w:hAnsi="Calibri"/>
                <w:sz w:val="21"/>
                <w:szCs w:val="21"/>
              </w:rPr>
            </w:pPr>
            <w:r>
              <w:rPr>
                <w:rFonts w:ascii="Calibri" w:hAnsi="Calibri" w:hint="eastAsia"/>
                <w:sz w:val="21"/>
                <w:szCs w:val="21"/>
              </w:rPr>
              <w:t>0.31</w:t>
            </w:r>
          </w:p>
        </w:tc>
        <w:tc>
          <w:tcPr>
            <w:tcW w:w="685" w:type="pct"/>
            <w:vAlign w:val="center"/>
          </w:tcPr>
          <w:p w14:paraId="541A4F73" w14:textId="77777777" w:rsidR="008367BA" w:rsidRDefault="008367BA" w:rsidP="008367BA">
            <w:pPr>
              <w:jc w:val="center"/>
            </w:pPr>
            <w:r w:rsidRPr="007B4B3E">
              <w:rPr>
                <w:rFonts w:ascii="Calibri" w:hAnsi="Calibri" w:hint="eastAsia"/>
                <w:szCs w:val="21"/>
              </w:rPr>
              <w:t>达标</w:t>
            </w:r>
          </w:p>
        </w:tc>
      </w:tr>
      <w:tr w:rsidR="008367BA" w:rsidRPr="00A964FF" w14:paraId="6175C75B" w14:textId="77777777" w:rsidTr="008367BA">
        <w:trPr>
          <w:trHeight w:val="340"/>
        </w:trPr>
        <w:tc>
          <w:tcPr>
            <w:tcW w:w="694" w:type="pct"/>
            <w:vMerge/>
            <w:tcBorders>
              <w:right w:val="single" w:sz="2" w:space="0" w:color="auto"/>
            </w:tcBorders>
            <w:vAlign w:val="center"/>
          </w:tcPr>
          <w:p w14:paraId="546A0D34"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03897111"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4AC33F3D"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砷</w:t>
            </w:r>
          </w:p>
        </w:tc>
        <w:tc>
          <w:tcPr>
            <w:tcW w:w="824" w:type="pct"/>
            <w:vAlign w:val="center"/>
          </w:tcPr>
          <w:p w14:paraId="3F5DEB7D"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6.88</w:t>
            </w:r>
          </w:p>
        </w:tc>
        <w:tc>
          <w:tcPr>
            <w:tcW w:w="685" w:type="pct"/>
            <w:vAlign w:val="center"/>
          </w:tcPr>
          <w:p w14:paraId="111FFC92"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25</w:t>
            </w:r>
          </w:p>
        </w:tc>
        <w:tc>
          <w:tcPr>
            <w:tcW w:w="685" w:type="pct"/>
            <w:vAlign w:val="center"/>
          </w:tcPr>
          <w:p w14:paraId="13291E92" w14:textId="77777777" w:rsidR="008367BA" w:rsidRDefault="008367BA" w:rsidP="008367BA">
            <w:pPr>
              <w:pStyle w:val="TableStyle12"/>
              <w:rPr>
                <w:rFonts w:ascii="Calibri" w:hAnsi="Calibri"/>
                <w:sz w:val="21"/>
                <w:szCs w:val="21"/>
              </w:rPr>
            </w:pPr>
            <w:r>
              <w:rPr>
                <w:rFonts w:ascii="Calibri" w:hAnsi="Calibri" w:hint="eastAsia"/>
                <w:sz w:val="21"/>
                <w:szCs w:val="21"/>
              </w:rPr>
              <w:t>0.28</w:t>
            </w:r>
          </w:p>
        </w:tc>
        <w:tc>
          <w:tcPr>
            <w:tcW w:w="685" w:type="pct"/>
            <w:vAlign w:val="center"/>
          </w:tcPr>
          <w:p w14:paraId="2B867CFD" w14:textId="77777777" w:rsidR="008367BA" w:rsidRDefault="008367BA" w:rsidP="008367BA">
            <w:pPr>
              <w:jc w:val="center"/>
            </w:pPr>
            <w:r w:rsidRPr="007B4B3E">
              <w:rPr>
                <w:rFonts w:ascii="Calibri" w:hAnsi="Calibri" w:hint="eastAsia"/>
                <w:szCs w:val="21"/>
              </w:rPr>
              <w:t>达标</w:t>
            </w:r>
          </w:p>
        </w:tc>
      </w:tr>
      <w:tr w:rsidR="008367BA" w:rsidRPr="00A964FF" w14:paraId="39EE25BA" w14:textId="77777777" w:rsidTr="008367BA">
        <w:trPr>
          <w:trHeight w:val="340"/>
        </w:trPr>
        <w:tc>
          <w:tcPr>
            <w:tcW w:w="694" w:type="pct"/>
            <w:vMerge/>
            <w:tcBorders>
              <w:right w:val="single" w:sz="2" w:space="0" w:color="auto"/>
            </w:tcBorders>
            <w:vAlign w:val="center"/>
          </w:tcPr>
          <w:p w14:paraId="7E6DD8E7"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572716DE"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11A533B8"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铅</w:t>
            </w:r>
          </w:p>
        </w:tc>
        <w:tc>
          <w:tcPr>
            <w:tcW w:w="824" w:type="pct"/>
            <w:vAlign w:val="center"/>
          </w:tcPr>
          <w:p w14:paraId="09BDD0FF"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46</w:t>
            </w:r>
          </w:p>
        </w:tc>
        <w:tc>
          <w:tcPr>
            <w:tcW w:w="685" w:type="pct"/>
            <w:vAlign w:val="center"/>
          </w:tcPr>
          <w:p w14:paraId="52076E20"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170</w:t>
            </w:r>
          </w:p>
        </w:tc>
        <w:tc>
          <w:tcPr>
            <w:tcW w:w="685" w:type="pct"/>
            <w:vAlign w:val="center"/>
          </w:tcPr>
          <w:p w14:paraId="021890E7" w14:textId="77777777" w:rsidR="008367BA" w:rsidRDefault="008367BA" w:rsidP="008367BA">
            <w:pPr>
              <w:pStyle w:val="TableStyle12"/>
              <w:rPr>
                <w:rFonts w:ascii="Calibri" w:hAnsi="Calibri"/>
                <w:sz w:val="21"/>
                <w:szCs w:val="21"/>
              </w:rPr>
            </w:pPr>
            <w:r>
              <w:rPr>
                <w:rFonts w:ascii="Calibri" w:hAnsi="Calibri" w:hint="eastAsia"/>
                <w:sz w:val="21"/>
                <w:szCs w:val="21"/>
              </w:rPr>
              <w:t>0.27</w:t>
            </w:r>
          </w:p>
        </w:tc>
        <w:tc>
          <w:tcPr>
            <w:tcW w:w="685" w:type="pct"/>
            <w:vAlign w:val="center"/>
          </w:tcPr>
          <w:p w14:paraId="037BA824" w14:textId="77777777" w:rsidR="008367BA" w:rsidRDefault="008367BA" w:rsidP="008367BA">
            <w:pPr>
              <w:jc w:val="center"/>
            </w:pPr>
            <w:r w:rsidRPr="007B4B3E">
              <w:rPr>
                <w:rFonts w:ascii="Calibri" w:hAnsi="Calibri" w:hint="eastAsia"/>
                <w:szCs w:val="21"/>
              </w:rPr>
              <w:t>达标</w:t>
            </w:r>
          </w:p>
        </w:tc>
      </w:tr>
      <w:tr w:rsidR="008367BA" w:rsidRPr="00A964FF" w14:paraId="71912658" w14:textId="77777777" w:rsidTr="008367BA">
        <w:trPr>
          <w:trHeight w:val="340"/>
        </w:trPr>
        <w:tc>
          <w:tcPr>
            <w:tcW w:w="694" w:type="pct"/>
            <w:vMerge/>
            <w:tcBorders>
              <w:right w:val="single" w:sz="2" w:space="0" w:color="auto"/>
            </w:tcBorders>
            <w:vAlign w:val="center"/>
          </w:tcPr>
          <w:p w14:paraId="002A2755"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6C33991B"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1285879D"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铜</w:t>
            </w:r>
          </w:p>
        </w:tc>
        <w:tc>
          <w:tcPr>
            <w:tcW w:w="824" w:type="pct"/>
            <w:vAlign w:val="center"/>
          </w:tcPr>
          <w:p w14:paraId="27B05BFE"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39</w:t>
            </w:r>
          </w:p>
        </w:tc>
        <w:tc>
          <w:tcPr>
            <w:tcW w:w="685" w:type="pct"/>
            <w:vAlign w:val="center"/>
          </w:tcPr>
          <w:p w14:paraId="33C5DD77"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100</w:t>
            </w:r>
          </w:p>
        </w:tc>
        <w:tc>
          <w:tcPr>
            <w:tcW w:w="685" w:type="pct"/>
            <w:vAlign w:val="center"/>
          </w:tcPr>
          <w:p w14:paraId="48CDEEEE" w14:textId="77777777" w:rsidR="008367BA" w:rsidRDefault="008367BA" w:rsidP="008367BA">
            <w:pPr>
              <w:pStyle w:val="TableStyle12"/>
              <w:rPr>
                <w:rFonts w:ascii="Calibri" w:hAnsi="Calibri"/>
                <w:sz w:val="21"/>
                <w:szCs w:val="21"/>
              </w:rPr>
            </w:pPr>
            <w:r>
              <w:rPr>
                <w:rFonts w:ascii="Calibri" w:hAnsi="Calibri" w:hint="eastAsia"/>
                <w:sz w:val="21"/>
                <w:szCs w:val="21"/>
              </w:rPr>
              <w:t>0.39</w:t>
            </w:r>
          </w:p>
        </w:tc>
        <w:tc>
          <w:tcPr>
            <w:tcW w:w="685" w:type="pct"/>
            <w:vAlign w:val="center"/>
          </w:tcPr>
          <w:p w14:paraId="1F53EBFE" w14:textId="77777777" w:rsidR="008367BA" w:rsidRDefault="008367BA" w:rsidP="008367BA">
            <w:pPr>
              <w:jc w:val="center"/>
            </w:pPr>
            <w:r w:rsidRPr="00BB32A3">
              <w:rPr>
                <w:rFonts w:ascii="Calibri" w:hAnsi="Calibri" w:hint="eastAsia"/>
                <w:szCs w:val="21"/>
              </w:rPr>
              <w:t>达标</w:t>
            </w:r>
          </w:p>
        </w:tc>
      </w:tr>
      <w:tr w:rsidR="008367BA" w:rsidRPr="00A964FF" w14:paraId="207C6408" w14:textId="77777777" w:rsidTr="008367BA">
        <w:trPr>
          <w:trHeight w:val="340"/>
        </w:trPr>
        <w:tc>
          <w:tcPr>
            <w:tcW w:w="694" w:type="pct"/>
            <w:vMerge/>
            <w:tcBorders>
              <w:right w:val="single" w:sz="2" w:space="0" w:color="auto"/>
            </w:tcBorders>
            <w:vAlign w:val="center"/>
          </w:tcPr>
          <w:p w14:paraId="6878EB36"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01E47088"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33BDB2D3"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锌</w:t>
            </w:r>
          </w:p>
        </w:tc>
        <w:tc>
          <w:tcPr>
            <w:tcW w:w="824" w:type="pct"/>
            <w:vAlign w:val="center"/>
          </w:tcPr>
          <w:p w14:paraId="0F8222F2"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55</w:t>
            </w:r>
          </w:p>
        </w:tc>
        <w:tc>
          <w:tcPr>
            <w:tcW w:w="685" w:type="pct"/>
            <w:vAlign w:val="center"/>
          </w:tcPr>
          <w:p w14:paraId="0E8363AD"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300</w:t>
            </w:r>
          </w:p>
        </w:tc>
        <w:tc>
          <w:tcPr>
            <w:tcW w:w="685" w:type="pct"/>
            <w:vAlign w:val="center"/>
          </w:tcPr>
          <w:p w14:paraId="61939B71" w14:textId="77777777" w:rsidR="008367BA" w:rsidRDefault="008367BA" w:rsidP="008367BA">
            <w:pPr>
              <w:pStyle w:val="TableStyle12"/>
              <w:rPr>
                <w:rFonts w:ascii="Calibri" w:hAnsi="Calibri"/>
                <w:sz w:val="21"/>
                <w:szCs w:val="21"/>
              </w:rPr>
            </w:pPr>
            <w:r>
              <w:rPr>
                <w:rFonts w:ascii="Calibri" w:hAnsi="Calibri" w:hint="eastAsia"/>
                <w:sz w:val="21"/>
                <w:szCs w:val="21"/>
              </w:rPr>
              <w:t>0.18</w:t>
            </w:r>
          </w:p>
        </w:tc>
        <w:tc>
          <w:tcPr>
            <w:tcW w:w="685" w:type="pct"/>
            <w:vAlign w:val="center"/>
          </w:tcPr>
          <w:p w14:paraId="76BF35B5" w14:textId="77777777" w:rsidR="008367BA" w:rsidRDefault="008367BA" w:rsidP="008367BA">
            <w:pPr>
              <w:jc w:val="center"/>
            </w:pPr>
            <w:r w:rsidRPr="00BB32A3">
              <w:rPr>
                <w:rFonts w:ascii="Calibri" w:hAnsi="Calibri" w:hint="eastAsia"/>
                <w:szCs w:val="21"/>
              </w:rPr>
              <w:t>达标</w:t>
            </w:r>
          </w:p>
        </w:tc>
      </w:tr>
      <w:tr w:rsidR="008367BA" w:rsidRPr="00A964FF" w14:paraId="1BC3FB76" w14:textId="77777777" w:rsidTr="008367BA">
        <w:trPr>
          <w:trHeight w:val="340"/>
        </w:trPr>
        <w:tc>
          <w:tcPr>
            <w:tcW w:w="694" w:type="pct"/>
            <w:vMerge/>
            <w:tcBorders>
              <w:right w:val="single" w:sz="2" w:space="0" w:color="auto"/>
            </w:tcBorders>
            <w:vAlign w:val="center"/>
          </w:tcPr>
          <w:p w14:paraId="5F16435F"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742383C0"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118260B4" w14:textId="77777777" w:rsidR="008367BA" w:rsidRPr="008367BA" w:rsidRDefault="008367BA" w:rsidP="008367BA">
            <w:pPr>
              <w:jc w:val="center"/>
              <w:textAlignment w:val="center"/>
              <w:rPr>
                <w:rFonts w:ascii="Calibri" w:hAnsi="Calibri"/>
                <w:bCs/>
                <w:color w:val="auto"/>
                <w:szCs w:val="21"/>
              </w:rPr>
            </w:pPr>
            <w:r w:rsidRPr="008367BA">
              <w:rPr>
                <w:rFonts w:ascii="Calibri" w:hAnsi="Calibri" w:hint="eastAsia"/>
                <w:bCs/>
                <w:color w:val="auto"/>
                <w:szCs w:val="21"/>
              </w:rPr>
              <w:t>镍</w:t>
            </w:r>
          </w:p>
        </w:tc>
        <w:tc>
          <w:tcPr>
            <w:tcW w:w="824" w:type="pct"/>
            <w:vAlign w:val="center"/>
          </w:tcPr>
          <w:p w14:paraId="51C487EC"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50</w:t>
            </w:r>
          </w:p>
        </w:tc>
        <w:tc>
          <w:tcPr>
            <w:tcW w:w="685" w:type="pct"/>
            <w:vAlign w:val="center"/>
          </w:tcPr>
          <w:p w14:paraId="7B9F3ADA"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190</w:t>
            </w:r>
          </w:p>
        </w:tc>
        <w:tc>
          <w:tcPr>
            <w:tcW w:w="685" w:type="pct"/>
            <w:vAlign w:val="center"/>
          </w:tcPr>
          <w:p w14:paraId="26A1C066" w14:textId="77777777" w:rsidR="008367BA" w:rsidRDefault="008367BA" w:rsidP="008367BA">
            <w:pPr>
              <w:pStyle w:val="TableStyle12"/>
              <w:rPr>
                <w:rFonts w:ascii="Calibri" w:hAnsi="Calibri"/>
                <w:sz w:val="21"/>
                <w:szCs w:val="21"/>
              </w:rPr>
            </w:pPr>
            <w:r>
              <w:rPr>
                <w:rFonts w:ascii="Calibri" w:hAnsi="Calibri" w:hint="eastAsia"/>
                <w:sz w:val="21"/>
                <w:szCs w:val="21"/>
              </w:rPr>
              <w:t>0.26</w:t>
            </w:r>
          </w:p>
        </w:tc>
        <w:tc>
          <w:tcPr>
            <w:tcW w:w="685" w:type="pct"/>
            <w:vAlign w:val="center"/>
          </w:tcPr>
          <w:p w14:paraId="265EBEA1" w14:textId="77777777" w:rsidR="008367BA" w:rsidRDefault="008367BA" w:rsidP="008367BA">
            <w:pPr>
              <w:jc w:val="center"/>
            </w:pPr>
            <w:r w:rsidRPr="00BB32A3">
              <w:rPr>
                <w:rFonts w:ascii="Calibri" w:hAnsi="Calibri" w:hint="eastAsia"/>
                <w:szCs w:val="21"/>
              </w:rPr>
              <w:t>达标</w:t>
            </w:r>
          </w:p>
        </w:tc>
      </w:tr>
      <w:tr w:rsidR="008367BA" w:rsidRPr="00A964FF" w14:paraId="5E338078" w14:textId="77777777" w:rsidTr="008367BA">
        <w:trPr>
          <w:trHeight w:val="340"/>
        </w:trPr>
        <w:tc>
          <w:tcPr>
            <w:tcW w:w="694" w:type="pct"/>
            <w:vMerge w:val="restart"/>
            <w:tcBorders>
              <w:right w:val="single" w:sz="2" w:space="0" w:color="auto"/>
            </w:tcBorders>
            <w:vAlign w:val="center"/>
          </w:tcPr>
          <w:p w14:paraId="48929098" w14:textId="77777777" w:rsidR="008367BA" w:rsidRPr="00A964FF" w:rsidRDefault="008367BA" w:rsidP="008367BA">
            <w:pPr>
              <w:pStyle w:val="TableStyle12"/>
              <w:rPr>
                <w:rFonts w:ascii="Calibri" w:hAnsi="Calibri"/>
                <w:sz w:val="21"/>
                <w:szCs w:val="21"/>
              </w:rPr>
            </w:pPr>
            <w:r w:rsidRPr="00DD0EEE">
              <w:rPr>
                <w:rFonts w:ascii="Calibri" w:hint="eastAsia"/>
                <w:sz w:val="21"/>
                <w:szCs w:val="21"/>
              </w:rPr>
              <w:t>厂区</w:t>
            </w:r>
            <w:r>
              <w:rPr>
                <w:rFonts w:ascii="Calibri" w:hint="eastAsia"/>
                <w:sz w:val="21"/>
                <w:szCs w:val="21"/>
              </w:rPr>
              <w:t>西</w:t>
            </w:r>
            <w:r w:rsidRPr="00DD0EEE">
              <w:rPr>
                <w:rFonts w:ascii="Calibri" w:hint="eastAsia"/>
                <w:sz w:val="21"/>
                <w:szCs w:val="21"/>
              </w:rPr>
              <w:t>侧</w:t>
            </w:r>
            <w:r>
              <w:rPr>
                <w:rFonts w:ascii="Calibri" w:hint="eastAsia"/>
                <w:sz w:val="21"/>
                <w:szCs w:val="21"/>
              </w:rPr>
              <w:t>现状</w:t>
            </w:r>
            <w:r>
              <w:rPr>
                <w:rFonts w:ascii="Calibri"/>
                <w:sz w:val="21"/>
                <w:szCs w:val="21"/>
              </w:rPr>
              <w:t>农田</w:t>
            </w:r>
          </w:p>
        </w:tc>
        <w:tc>
          <w:tcPr>
            <w:tcW w:w="634" w:type="pct"/>
            <w:vMerge w:val="restart"/>
            <w:tcBorders>
              <w:left w:val="single" w:sz="2" w:space="0" w:color="auto"/>
              <w:right w:val="single" w:sz="2" w:space="0" w:color="auto"/>
            </w:tcBorders>
            <w:vAlign w:val="center"/>
          </w:tcPr>
          <w:p w14:paraId="39C1EFEF" w14:textId="77777777" w:rsidR="008367BA" w:rsidRPr="009A728F" w:rsidRDefault="008367BA" w:rsidP="008367BA">
            <w:pPr>
              <w:jc w:val="center"/>
              <w:textAlignment w:val="center"/>
              <w:rPr>
                <w:color w:val="auto"/>
                <w:szCs w:val="21"/>
              </w:rPr>
            </w:pPr>
            <w:r w:rsidRPr="00A964FF">
              <w:rPr>
                <w:rFonts w:ascii="Calibri" w:hAnsi="Calibri"/>
                <w:szCs w:val="21"/>
              </w:rPr>
              <w:t>0</w:t>
            </w:r>
            <w:r w:rsidRPr="00A964FF">
              <w:rPr>
                <w:rFonts w:ascii="Calibri" w:hAnsi="Calibri"/>
                <w:szCs w:val="21"/>
              </w:rPr>
              <w:t>～</w:t>
            </w:r>
            <w:r w:rsidRPr="00A964FF">
              <w:rPr>
                <w:rFonts w:ascii="Calibri" w:hAnsi="Calibri"/>
                <w:szCs w:val="21"/>
              </w:rPr>
              <w:t>0.</w:t>
            </w:r>
            <w:r>
              <w:rPr>
                <w:rFonts w:ascii="Calibri" w:hAnsi="Calibri"/>
                <w:szCs w:val="21"/>
              </w:rPr>
              <w:t>2</w:t>
            </w:r>
            <w:r w:rsidRPr="00A964FF">
              <w:rPr>
                <w:rFonts w:ascii="Calibri" w:hAnsi="Calibri"/>
                <w:szCs w:val="21"/>
              </w:rPr>
              <w:t>m</w:t>
            </w:r>
          </w:p>
        </w:tc>
        <w:tc>
          <w:tcPr>
            <w:tcW w:w="793" w:type="pct"/>
            <w:tcBorders>
              <w:left w:val="single" w:sz="2" w:space="0" w:color="auto"/>
            </w:tcBorders>
            <w:vAlign w:val="center"/>
          </w:tcPr>
          <w:p w14:paraId="601E800F" w14:textId="77777777" w:rsidR="008367BA" w:rsidRPr="009A728F" w:rsidRDefault="008367BA" w:rsidP="008367BA">
            <w:pPr>
              <w:jc w:val="center"/>
              <w:textAlignment w:val="center"/>
              <w:rPr>
                <w:color w:val="auto"/>
                <w:szCs w:val="21"/>
              </w:rPr>
            </w:pPr>
            <w:r w:rsidRPr="009A728F">
              <w:rPr>
                <w:rFonts w:ascii="Calibri" w:hAnsi="Calibri"/>
                <w:bCs/>
                <w:color w:val="auto"/>
                <w:szCs w:val="21"/>
              </w:rPr>
              <w:t>pH</w:t>
            </w:r>
            <w:r w:rsidRPr="009A728F">
              <w:rPr>
                <w:rFonts w:ascii="Calibri"/>
                <w:bCs/>
                <w:color w:val="auto"/>
                <w:szCs w:val="21"/>
              </w:rPr>
              <w:t>值</w:t>
            </w:r>
          </w:p>
        </w:tc>
        <w:tc>
          <w:tcPr>
            <w:tcW w:w="824" w:type="pct"/>
            <w:vAlign w:val="center"/>
          </w:tcPr>
          <w:p w14:paraId="0D23B04B" w14:textId="77777777" w:rsidR="008367BA" w:rsidRP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7.59</w:t>
            </w:r>
          </w:p>
        </w:tc>
        <w:tc>
          <w:tcPr>
            <w:tcW w:w="685" w:type="pct"/>
            <w:vAlign w:val="center"/>
          </w:tcPr>
          <w:p w14:paraId="2D2EF5DA"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w:t>
            </w:r>
          </w:p>
        </w:tc>
        <w:tc>
          <w:tcPr>
            <w:tcW w:w="685" w:type="pct"/>
            <w:vAlign w:val="center"/>
          </w:tcPr>
          <w:p w14:paraId="7D9A8668" w14:textId="77777777" w:rsidR="008367BA" w:rsidRDefault="008367BA" w:rsidP="008367BA">
            <w:pPr>
              <w:pStyle w:val="TableStyle12"/>
              <w:rPr>
                <w:rFonts w:ascii="Calibri" w:hAnsi="Calibri"/>
                <w:sz w:val="21"/>
                <w:szCs w:val="21"/>
              </w:rPr>
            </w:pPr>
            <w:r>
              <w:rPr>
                <w:rFonts w:ascii="Calibri" w:hAnsi="Calibri" w:hint="eastAsia"/>
                <w:sz w:val="21"/>
                <w:szCs w:val="21"/>
              </w:rPr>
              <w:t>/</w:t>
            </w:r>
          </w:p>
        </w:tc>
        <w:tc>
          <w:tcPr>
            <w:tcW w:w="685" w:type="pct"/>
            <w:vAlign w:val="center"/>
          </w:tcPr>
          <w:p w14:paraId="2C23384C"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w:t>
            </w:r>
          </w:p>
        </w:tc>
      </w:tr>
      <w:tr w:rsidR="008367BA" w:rsidRPr="00A964FF" w14:paraId="37607514" w14:textId="77777777" w:rsidTr="008367BA">
        <w:trPr>
          <w:trHeight w:val="340"/>
        </w:trPr>
        <w:tc>
          <w:tcPr>
            <w:tcW w:w="694" w:type="pct"/>
            <w:vMerge/>
            <w:tcBorders>
              <w:right w:val="single" w:sz="2" w:space="0" w:color="auto"/>
            </w:tcBorders>
            <w:vAlign w:val="center"/>
          </w:tcPr>
          <w:p w14:paraId="78D452A8"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0473F9C9" w14:textId="77777777" w:rsidR="008367BA" w:rsidRPr="009A728F" w:rsidRDefault="008367BA" w:rsidP="008367BA">
            <w:pPr>
              <w:jc w:val="center"/>
              <w:textAlignment w:val="center"/>
              <w:rPr>
                <w:color w:val="auto"/>
                <w:szCs w:val="21"/>
              </w:rPr>
            </w:pPr>
          </w:p>
        </w:tc>
        <w:tc>
          <w:tcPr>
            <w:tcW w:w="793" w:type="pct"/>
            <w:tcBorders>
              <w:left w:val="single" w:sz="2" w:space="0" w:color="auto"/>
            </w:tcBorders>
            <w:vAlign w:val="center"/>
          </w:tcPr>
          <w:p w14:paraId="70424625" w14:textId="77777777" w:rsidR="008367BA" w:rsidRPr="009A728F" w:rsidRDefault="008367BA" w:rsidP="008367BA">
            <w:pPr>
              <w:jc w:val="center"/>
              <w:textAlignment w:val="center"/>
              <w:rPr>
                <w:color w:val="auto"/>
                <w:szCs w:val="21"/>
              </w:rPr>
            </w:pPr>
            <w:r w:rsidRPr="009A728F">
              <w:rPr>
                <w:rFonts w:ascii="Calibri"/>
                <w:bCs/>
                <w:color w:val="auto"/>
                <w:szCs w:val="21"/>
              </w:rPr>
              <w:t>石油烃</w:t>
            </w:r>
          </w:p>
        </w:tc>
        <w:tc>
          <w:tcPr>
            <w:tcW w:w="824" w:type="pct"/>
            <w:vAlign w:val="center"/>
          </w:tcPr>
          <w:p w14:paraId="3989E723" w14:textId="77777777" w:rsidR="008367BA" w:rsidRDefault="008367BA" w:rsidP="008367BA">
            <w:pPr>
              <w:adjustRightInd w:val="0"/>
              <w:snapToGrid w:val="0"/>
              <w:jc w:val="center"/>
              <w:rPr>
                <w:rFonts w:ascii="Calibri" w:hAnsi="Calibri"/>
                <w:color w:val="auto"/>
                <w:szCs w:val="21"/>
              </w:rPr>
            </w:pPr>
            <w:r>
              <w:rPr>
                <w:rFonts w:ascii="Calibri" w:hAnsi="Calibri" w:hint="eastAsia"/>
                <w:color w:val="auto"/>
                <w:szCs w:val="21"/>
              </w:rPr>
              <w:t>31</w:t>
            </w:r>
          </w:p>
        </w:tc>
        <w:tc>
          <w:tcPr>
            <w:tcW w:w="685" w:type="pct"/>
            <w:vAlign w:val="center"/>
          </w:tcPr>
          <w:p w14:paraId="7A75008E"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4500</w:t>
            </w:r>
          </w:p>
        </w:tc>
        <w:tc>
          <w:tcPr>
            <w:tcW w:w="685" w:type="pct"/>
            <w:vAlign w:val="center"/>
          </w:tcPr>
          <w:p w14:paraId="75A3356E" w14:textId="77777777" w:rsidR="008367BA" w:rsidRDefault="008367BA" w:rsidP="008367BA">
            <w:pPr>
              <w:pStyle w:val="TableStyle12"/>
              <w:rPr>
                <w:rFonts w:ascii="Calibri" w:hAnsi="Calibri"/>
                <w:sz w:val="21"/>
                <w:szCs w:val="21"/>
              </w:rPr>
            </w:pPr>
            <w:r>
              <w:rPr>
                <w:rFonts w:ascii="Calibri" w:hAnsi="Calibri" w:hint="eastAsia"/>
                <w:sz w:val="21"/>
                <w:szCs w:val="21"/>
              </w:rPr>
              <w:t>0.0067</w:t>
            </w:r>
          </w:p>
        </w:tc>
        <w:tc>
          <w:tcPr>
            <w:tcW w:w="685" w:type="pct"/>
            <w:vAlign w:val="center"/>
          </w:tcPr>
          <w:p w14:paraId="1145A1E4" w14:textId="77777777" w:rsidR="008367BA" w:rsidRDefault="008367BA" w:rsidP="008367BA">
            <w:pPr>
              <w:jc w:val="center"/>
            </w:pPr>
            <w:r w:rsidRPr="00B5480F">
              <w:rPr>
                <w:rFonts w:ascii="Calibri" w:hAnsi="Calibri" w:hint="eastAsia"/>
                <w:szCs w:val="21"/>
              </w:rPr>
              <w:t>达标</w:t>
            </w:r>
          </w:p>
        </w:tc>
      </w:tr>
      <w:tr w:rsidR="008367BA" w:rsidRPr="00A964FF" w14:paraId="7BA0CAEE" w14:textId="77777777" w:rsidTr="008367BA">
        <w:trPr>
          <w:trHeight w:val="340"/>
        </w:trPr>
        <w:tc>
          <w:tcPr>
            <w:tcW w:w="694" w:type="pct"/>
            <w:vMerge/>
            <w:tcBorders>
              <w:right w:val="single" w:sz="2" w:space="0" w:color="auto"/>
            </w:tcBorders>
            <w:vAlign w:val="center"/>
          </w:tcPr>
          <w:p w14:paraId="0A786486"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47B51D81"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0A39B9E1"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汞</w:t>
            </w:r>
          </w:p>
        </w:tc>
        <w:tc>
          <w:tcPr>
            <w:tcW w:w="824" w:type="pct"/>
            <w:vAlign w:val="center"/>
          </w:tcPr>
          <w:p w14:paraId="639CA24F"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0.076</w:t>
            </w:r>
          </w:p>
        </w:tc>
        <w:tc>
          <w:tcPr>
            <w:tcW w:w="685" w:type="pct"/>
            <w:vAlign w:val="center"/>
          </w:tcPr>
          <w:p w14:paraId="0B0BAC09"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3.4</w:t>
            </w:r>
          </w:p>
        </w:tc>
        <w:tc>
          <w:tcPr>
            <w:tcW w:w="685" w:type="pct"/>
            <w:vAlign w:val="center"/>
          </w:tcPr>
          <w:p w14:paraId="59D387FF" w14:textId="77777777" w:rsidR="008367BA" w:rsidRDefault="008367BA" w:rsidP="008367BA">
            <w:pPr>
              <w:pStyle w:val="TableStyle12"/>
              <w:rPr>
                <w:rFonts w:ascii="Calibri" w:hAnsi="Calibri"/>
                <w:sz w:val="21"/>
                <w:szCs w:val="21"/>
              </w:rPr>
            </w:pPr>
            <w:r>
              <w:rPr>
                <w:rFonts w:ascii="Calibri" w:hAnsi="Calibri" w:hint="eastAsia"/>
                <w:sz w:val="21"/>
                <w:szCs w:val="21"/>
              </w:rPr>
              <w:t>0.022</w:t>
            </w:r>
          </w:p>
        </w:tc>
        <w:tc>
          <w:tcPr>
            <w:tcW w:w="685" w:type="pct"/>
            <w:vAlign w:val="center"/>
          </w:tcPr>
          <w:p w14:paraId="23151A5B" w14:textId="77777777" w:rsidR="008367BA" w:rsidRDefault="008367BA" w:rsidP="008367BA">
            <w:pPr>
              <w:jc w:val="center"/>
            </w:pPr>
            <w:r w:rsidRPr="00B5480F">
              <w:rPr>
                <w:rFonts w:ascii="Calibri" w:hAnsi="Calibri" w:hint="eastAsia"/>
                <w:szCs w:val="21"/>
              </w:rPr>
              <w:t>达标</w:t>
            </w:r>
          </w:p>
        </w:tc>
      </w:tr>
      <w:tr w:rsidR="008367BA" w:rsidRPr="00A964FF" w14:paraId="2B1004A1" w14:textId="77777777" w:rsidTr="008367BA">
        <w:trPr>
          <w:trHeight w:val="340"/>
        </w:trPr>
        <w:tc>
          <w:tcPr>
            <w:tcW w:w="694" w:type="pct"/>
            <w:vMerge/>
            <w:tcBorders>
              <w:right w:val="single" w:sz="2" w:space="0" w:color="auto"/>
            </w:tcBorders>
            <w:vAlign w:val="center"/>
          </w:tcPr>
          <w:p w14:paraId="6295FD4D"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2F236218"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7B76F481"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镉</w:t>
            </w:r>
          </w:p>
        </w:tc>
        <w:tc>
          <w:tcPr>
            <w:tcW w:w="824" w:type="pct"/>
            <w:vAlign w:val="center"/>
          </w:tcPr>
          <w:p w14:paraId="1D8EE523"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0.13</w:t>
            </w:r>
          </w:p>
        </w:tc>
        <w:tc>
          <w:tcPr>
            <w:tcW w:w="685" w:type="pct"/>
            <w:vAlign w:val="center"/>
          </w:tcPr>
          <w:p w14:paraId="0DF93554"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0.6</w:t>
            </w:r>
          </w:p>
        </w:tc>
        <w:tc>
          <w:tcPr>
            <w:tcW w:w="685" w:type="pct"/>
            <w:vAlign w:val="center"/>
          </w:tcPr>
          <w:p w14:paraId="2C7F812D" w14:textId="77777777" w:rsidR="008367BA" w:rsidRDefault="008367BA" w:rsidP="008367BA">
            <w:pPr>
              <w:pStyle w:val="TableStyle12"/>
              <w:rPr>
                <w:rFonts w:ascii="Calibri" w:hAnsi="Calibri"/>
                <w:sz w:val="21"/>
                <w:szCs w:val="21"/>
              </w:rPr>
            </w:pPr>
            <w:r>
              <w:rPr>
                <w:rFonts w:ascii="Calibri" w:hAnsi="Calibri" w:hint="eastAsia"/>
                <w:sz w:val="21"/>
                <w:szCs w:val="21"/>
              </w:rPr>
              <w:t>0.22</w:t>
            </w:r>
          </w:p>
        </w:tc>
        <w:tc>
          <w:tcPr>
            <w:tcW w:w="685" w:type="pct"/>
            <w:vAlign w:val="center"/>
          </w:tcPr>
          <w:p w14:paraId="328B74E3" w14:textId="77777777" w:rsidR="008367BA" w:rsidRDefault="008367BA" w:rsidP="008367BA">
            <w:pPr>
              <w:jc w:val="center"/>
            </w:pPr>
            <w:r w:rsidRPr="00B5480F">
              <w:rPr>
                <w:rFonts w:ascii="Calibri" w:hAnsi="Calibri" w:hint="eastAsia"/>
                <w:szCs w:val="21"/>
              </w:rPr>
              <w:t>达标</w:t>
            </w:r>
          </w:p>
        </w:tc>
      </w:tr>
      <w:tr w:rsidR="008367BA" w:rsidRPr="00A964FF" w14:paraId="376BDB36" w14:textId="77777777" w:rsidTr="008367BA">
        <w:trPr>
          <w:trHeight w:val="340"/>
        </w:trPr>
        <w:tc>
          <w:tcPr>
            <w:tcW w:w="694" w:type="pct"/>
            <w:vMerge/>
            <w:tcBorders>
              <w:right w:val="single" w:sz="2" w:space="0" w:color="auto"/>
            </w:tcBorders>
            <w:vAlign w:val="center"/>
          </w:tcPr>
          <w:p w14:paraId="208E5800"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0FD2C4BB"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23D1ED69"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铬</w:t>
            </w:r>
          </w:p>
        </w:tc>
        <w:tc>
          <w:tcPr>
            <w:tcW w:w="824" w:type="pct"/>
            <w:vAlign w:val="center"/>
          </w:tcPr>
          <w:p w14:paraId="478DA6D1"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56</w:t>
            </w:r>
          </w:p>
        </w:tc>
        <w:tc>
          <w:tcPr>
            <w:tcW w:w="685" w:type="pct"/>
            <w:vAlign w:val="center"/>
          </w:tcPr>
          <w:p w14:paraId="20457951"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170</w:t>
            </w:r>
          </w:p>
        </w:tc>
        <w:tc>
          <w:tcPr>
            <w:tcW w:w="685" w:type="pct"/>
            <w:vAlign w:val="center"/>
          </w:tcPr>
          <w:p w14:paraId="244BE6A7" w14:textId="77777777" w:rsidR="008367BA" w:rsidRDefault="008367BA" w:rsidP="008367BA">
            <w:pPr>
              <w:pStyle w:val="TableStyle12"/>
              <w:rPr>
                <w:rFonts w:ascii="Calibri" w:hAnsi="Calibri"/>
                <w:sz w:val="21"/>
                <w:szCs w:val="21"/>
              </w:rPr>
            </w:pPr>
            <w:r>
              <w:rPr>
                <w:rFonts w:ascii="Calibri" w:hAnsi="Calibri" w:hint="eastAsia"/>
                <w:sz w:val="21"/>
                <w:szCs w:val="21"/>
              </w:rPr>
              <w:t>0.33</w:t>
            </w:r>
          </w:p>
        </w:tc>
        <w:tc>
          <w:tcPr>
            <w:tcW w:w="685" w:type="pct"/>
            <w:vAlign w:val="center"/>
          </w:tcPr>
          <w:p w14:paraId="0EDC606C" w14:textId="77777777" w:rsidR="008367BA" w:rsidRDefault="008367BA" w:rsidP="008367BA">
            <w:pPr>
              <w:jc w:val="center"/>
            </w:pPr>
            <w:r w:rsidRPr="00B5480F">
              <w:rPr>
                <w:rFonts w:ascii="Calibri" w:hAnsi="Calibri" w:hint="eastAsia"/>
                <w:szCs w:val="21"/>
              </w:rPr>
              <w:t>达标</w:t>
            </w:r>
          </w:p>
        </w:tc>
      </w:tr>
      <w:tr w:rsidR="008367BA" w:rsidRPr="00A964FF" w14:paraId="7D4FBAAA" w14:textId="77777777" w:rsidTr="008367BA">
        <w:trPr>
          <w:trHeight w:val="340"/>
        </w:trPr>
        <w:tc>
          <w:tcPr>
            <w:tcW w:w="694" w:type="pct"/>
            <w:vMerge/>
            <w:tcBorders>
              <w:right w:val="single" w:sz="2" w:space="0" w:color="auto"/>
            </w:tcBorders>
            <w:vAlign w:val="center"/>
          </w:tcPr>
          <w:p w14:paraId="3FC58780"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17EC0E06"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55E2AB75"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砷</w:t>
            </w:r>
          </w:p>
        </w:tc>
        <w:tc>
          <w:tcPr>
            <w:tcW w:w="824" w:type="pct"/>
            <w:vAlign w:val="center"/>
          </w:tcPr>
          <w:p w14:paraId="73D898F1"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6.06</w:t>
            </w:r>
          </w:p>
        </w:tc>
        <w:tc>
          <w:tcPr>
            <w:tcW w:w="685" w:type="pct"/>
            <w:vAlign w:val="center"/>
          </w:tcPr>
          <w:p w14:paraId="577055E7"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25</w:t>
            </w:r>
          </w:p>
        </w:tc>
        <w:tc>
          <w:tcPr>
            <w:tcW w:w="685" w:type="pct"/>
            <w:vAlign w:val="center"/>
          </w:tcPr>
          <w:p w14:paraId="0B9C5E9B" w14:textId="77777777" w:rsidR="008367BA" w:rsidRDefault="008367BA" w:rsidP="008367BA">
            <w:pPr>
              <w:pStyle w:val="TableStyle12"/>
              <w:rPr>
                <w:rFonts w:ascii="Calibri" w:hAnsi="Calibri"/>
                <w:sz w:val="21"/>
                <w:szCs w:val="21"/>
              </w:rPr>
            </w:pPr>
            <w:r>
              <w:rPr>
                <w:rFonts w:ascii="Calibri" w:hAnsi="Calibri" w:hint="eastAsia"/>
                <w:sz w:val="21"/>
                <w:szCs w:val="21"/>
              </w:rPr>
              <w:t>0.24</w:t>
            </w:r>
          </w:p>
        </w:tc>
        <w:tc>
          <w:tcPr>
            <w:tcW w:w="685" w:type="pct"/>
            <w:vAlign w:val="center"/>
          </w:tcPr>
          <w:p w14:paraId="08E61211" w14:textId="77777777" w:rsidR="008367BA" w:rsidRDefault="008367BA" w:rsidP="008367BA">
            <w:pPr>
              <w:jc w:val="center"/>
            </w:pPr>
            <w:r w:rsidRPr="00B5480F">
              <w:rPr>
                <w:rFonts w:ascii="Calibri" w:hAnsi="Calibri" w:hint="eastAsia"/>
                <w:szCs w:val="21"/>
              </w:rPr>
              <w:t>达标</w:t>
            </w:r>
          </w:p>
        </w:tc>
      </w:tr>
      <w:tr w:rsidR="008367BA" w:rsidRPr="00A964FF" w14:paraId="1968BA2E" w14:textId="77777777" w:rsidTr="008367BA">
        <w:trPr>
          <w:trHeight w:val="340"/>
        </w:trPr>
        <w:tc>
          <w:tcPr>
            <w:tcW w:w="694" w:type="pct"/>
            <w:vMerge/>
            <w:tcBorders>
              <w:right w:val="single" w:sz="2" w:space="0" w:color="auto"/>
            </w:tcBorders>
            <w:vAlign w:val="center"/>
          </w:tcPr>
          <w:p w14:paraId="76B8F734"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30F07203"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1352BB21"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铅</w:t>
            </w:r>
          </w:p>
        </w:tc>
        <w:tc>
          <w:tcPr>
            <w:tcW w:w="824" w:type="pct"/>
            <w:vAlign w:val="center"/>
          </w:tcPr>
          <w:p w14:paraId="67E192E3"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36</w:t>
            </w:r>
          </w:p>
        </w:tc>
        <w:tc>
          <w:tcPr>
            <w:tcW w:w="685" w:type="pct"/>
            <w:vAlign w:val="center"/>
          </w:tcPr>
          <w:p w14:paraId="53CD0D9E"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170</w:t>
            </w:r>
          </w:p>
        </w:tc>
        <w:tc>
          <w:tcPr>
            <w:tcW w:w="685" w:type="pct"/>
            <w:vAlign w:val="center"/>
          </w:tcPr>
          <w:p w14:paraId="7C90499A" w14:textId="77777777" w:rsidR="008367BA" w:rsidRDefault="008367BA" w:rsidP="008367BA">
            <w:pPr>
              <w:pStyle w:val="TableStyle12"/>
              <w:rPr>
                <w:rFonts w:ascii="Calibri" w:hAnsi="Calibri"/>
                <w:sz w:val="21"/>
                <w:szCs w:val="21"/>
              </w:rPr>
            </w:pPr>
            <w:r>
              <w:rPr>
                <w:rFonts w:ascii="Calibri" w:hAnsi="Calibri" w:hint="eastAsia"/>
                <w:sz w:val="21"/>
                <w:szCs w:val="21"/>
              </w:rPr>
              <w:t>0.21</w:t>
            </w:r>
          </w:p>
        </w:tc>
        <w:tc>
          <w:tcPr>
            <w:tcW w:w="685" w:type="pct"/>
            <w:vAlign w:val="center"/>
          </w:tcPr>
          <w:p w14:paraId="466485AB" w14:textId="77777777" w:rsidR="008367BA" w:rsidRDefault="008367BA" w:rsidP="008367BA">
            <w:pPr>
              <w:jc w:val="center"/>
            </w:pPr>
            <w:r w:rsidRPr="00B5480F">
              <w:rPr>
                <w:rFonts w:ascii="Calibri" w:hAnsi="Calibri" w:hint="eastAsia"/>
                <w:szCs w:val="21"/>
              </w:rPr>
              <w:t>达标</w:t>
            </w:r>
          </w:p>
        </w:tc>
      </w:tr>
      <w:tr w:rsidR="008367BA" w:rsidRPr="00A964FF" w14:paraId="5C6EE66C" w14:textId="77777777" w:rsidTr="008367BA">
        <w:trPr>
          <w:trHeight w:val="340"/>
        </w:trPr>
        <w:tc>
          <w:tcPr>
            <w:tcW w:w="694" w:type="pct"/>
            <w:vMerge/>
            <w:tcBorders>
              <w:right w:val="single" w:sz="2" w:space="0" w:color="auto"/>
            </w:tcBorders>
            <w:vAlign w:val="center"/>
          </w:tcPr>
          <w:p w14:paraId="61BB2E02"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64E0DE83"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21C534FD"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铜</w:t>
            </w:r>
          </w:p>
        </w:tc>
        <w:tc>
          <w:tcPr>
            <w:tcW w:w="824" w:type="pct"/>
            <w:vAlign w:val="center"/>
          </w:tcPr>
          <w:p w14:paraId="258E88E1"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32</w:t>
            </w:r>
          </w:p>
        </w:tc>
        <w:tc>
          <w:tcPr>
            <w:tcW w:w="685" w:type="pct"/>
            <w:vAlign w:val="center"/>
          </w:tcPr>
          <w:p w14:paraId="6825F7B4"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100</w:t>
            </w:r>
          </w:p>
        </w:tc>
        <w:tc>
          <w:tcPr>
            <w:tcW w:w="685" w:type="pct"/>
            <w:vAlign w:val="center"/>
          </w:tcPr>
          <w:p w14:paraId="139C97AC" w14:textId="77777777" w:rsidR="008367BA" w:rsidRDefault="008367BA" w:rsidP="008367BA">
            <w:pPr>
              <w:pStyle w:val="TableStyle12"/>
              <w:rPr>
                <w:rFonts w:ascii="Calibri" w:hAnsi="Calibri"/>
                <w:sz w:val="21"/>
                <w:szCs w:val="21"/>
              </w:rPr>
            </w:pPr>
            <w:r>
              <w:rPr>
                <w:rFonts w:ascii="Calibri" w:hAnsi="Calibri" w:hint="eastAsia"/>
                <w:sz w:val="21"/>
                <w:szCs w:val="21"/>
              </w:rPr>
              <w:t>0.32</w:t>
            </w:r>
          </w:p>
        </w:tc>
        <w:tc>
          <w:tcPr>
            <w:tcW w:w="685" w:type="pct"/>
            <w:vAlign w:val="center"/>
          </w:tcPr>
          <w:p w14:paraId="79736ECF" w14:textId="77777777" w:rsidR="008367BA" w:rsidRDefault="008367BA" w:rsidP="008367BA">
            <w:pPr>
              <w:jc w:val="center"/>
            </w:pPr>
            <w:r w:rsidRPr="00B5480F">
              <w:rPr>
                <w:rFonts w:ascii="Calibri" w:hAnsi="Calibri" w:hint="eastAsia"/>
                <w:szCs w:val="21"/>
              </w:rPr>
              <w:t>达标</w:t>
            </w:r>
          </w:p>
        </w:tc>
      </w:tr>
      <w:tr w:rsidR="008367BA" w:rsidRPr="00A964FF" w14:paraId="39391DBC" w14:textId="77777777" w:rsidTr="008367BA">
        <w:trPr>
          <w:trHeight w:val="340"/>
        </w:trPr>
        <w:tc>
          <w:tcPr>
            <w:tcW w:w="694" w:type="pct"/>
            <w:vMerge/>
            <w:tcBorders>
              <w:right w:val="single" w:sz="2" w:space="0" w:color="auto"/>
            </w:tcBorders>
            <w:vAlign w:val="center"/>
          </w:tcPr>
          <w:p w14:paraId="258A9461"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506B0A3B"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35744DBB"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锌</w:t>
            </w:r>
          </w:p>
        </w:tc>
        <w:tc>
          <w:tcPr>
            <w:tcW w:w="824" w:type="pct"/>
            <w:vAlign w:val="center"/>
          </w:tcPr>
          <w:p w14:paraId="49D6BFAC" w14:textId="77777777" w:rsidR="008367BA" w:rsidRDefault="008367BA" w:rsidP="008367BA">
            <w:pPr>
              <w:adjustRightInd w:val="0"/>
              <w:snapToGrid w:val="0"/>
              <w:jc w:val="center"/>
              <w:rPr>
                <w:rFonts w:ascii="Calibri" w:hAnsi="Calibri"/>
                <w:color w:val="auto"/>
                <w:szCs w:val="21"/>
              </w:rPr>
            </w:pPr>
            <w:r>
              <w:rPr>
                <w:rFonts w:ascii="Calibri" w:hAnsi="Calibri" w:hint="eastAsia"/>
                <w:color w:val="auto"/>
                <w:szCs w:val="21"/>
              </w:rPr>
              <w:t>58</w:t>
            </w:r>
          </w:p>
        </w:tc>
        <w:tc>
          <w:tcPr>
            <w:tcW w:w="685" w:type="pct"/>
            <w:vAlign w:val="center"/>
          </w:tcPr>
          <w:p w14:paraId="4E8400ED"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300</w:t>
            </w:r>
          </w:p>
        </w:tc>
        <w:tc>
          <w:tcPr>
            <w:tcW w:w="685" w:type="pct"/>
            <w:vAlign w:val="center"/>
          </w:tcPr>
          <w:p w14:paraId="39245CF7" w14:textId="77777777" w:rsidR="008367BA" w:rsidRDefault="008367BA" w:rsidP="008367BA">
            <w:pPr>
              <w:pStyle w:val="TableStyle12"/>
              <w:rPr>
                <w:rFonts w:ascii="Calibri" w:hAnsi="Calibri"/>
                <w:sz w:val="21"/>
                <w:szCs w:val="21"/>
              </w:rPr>
            </w:pPr>
            <w:r>
              <w:rPr>
                <w:rFonts w:ascii="Calibri" w:hAnsi="Calibri" w:hint="eastAsia"/>
                <w:sz w:val="21"/>
                <w:szCs w:val="21"/>
              </w:rPr>
              <w:t>0.19</w:t>
            </w:r>
          </w:p>
        </w:tc>
        <w:tc>
          <w:tcPr>
            <w:tcW w:w="685" w:type="pct"/>
            <w:vAlign w:val="center"/>
          </w:tcPr>
          <w:p w14:paraId="430F338A" w14:textId="77777777" w:rsidR="008367BA" w:rsidRDefault="008367BA" w:rsidP="008367BA">
            <w:pPr>
              <w:jc w:val="center"/>
            </w:pPr>
            <w:r w:rsidRPr="00B5480F">
              <w:rPr>
                <w:rFonts w:ascii="Calibri" w:hAnsi="Calibri" w:hint="eastAsia"/>
                <w:szCs w:val="21"/>
              </w:rPr>
              <w:t>达标</w:t>
            </w:r>
          </w:p>
        </w:tc>
      </w:tr>
      <w:tr w:rsidR="008367BA" w:rsidRPr="00A964FF" w14:paraId="2A9D1D32" w14:textId="77777777" w:rsidTr="008367BA">
        <w:trPr>
          <w:trHeight w:val="340"/>
        </w:trPr>
        <w:tc>
          <w:tcPr>
            <w:tcW w:w="694" w:type="pct"/>
            <w:vMerge/>
            <w:tcBorders>
              <w:right w:val="single" w:sz="2" w:space="0" w:color="auto"/>
            </w:tcBorders>
            <w:vAlign w:val="center"/>
          </w:tcPr>
          <w:p w14:paraId="5F367EA6" w14:textId="77777777" w:rsidR="008367BA" w:rsidRPr="00A964FF" w:rsidRDefault="008367BA" w:rsidP="008367BA">
            <w:pPr>
              <w:pStyle w:val="TableStyle12"/>
              <w:rPr>
                <w:rFonts w:ascii="Calibri" w:hAnsi="Calibri"/>
                <w:sz w:val="21"/>
                <w:szCs w:val="21"/>
              </w:rPr>
            </w:pPr>
          </w:p>
        </w:tc>
        <w:tc>
          <w:tcPr>
            <w:tcW w:w="634" w:type="pct"/>
            <w:vMerge/>
            <w:tcBorders>
              <w:left w:val="single" w:sz="2" w:space="0" w:color="auto"/>
              <w:right w:val="single" w:sz="2" w:space="0" w:color="auto"/>
            </w:tcBorders>
            <w:vAlign w:val="center"/>
          </w:tcPr>
          <w:p w14:paraId="48A59FD7" w14:textId="77777777" w:rsidR="008367BA" w:rsidRPr="009A728F" w:rsidRDefault="008367BA" w:rsidP="008367BA">
            <w:pPr>
              <w:adjustRightInd w:val="0"/>
              <w:snapToGrid w:val="0"/>
              <w:jc w:val="center"/>
              <w:rPr>
                <w:rFonts w:ascii="Calibri"/>
                <w:color w:val="auto"/>
                <w:szCs w:val="21"/>
              </w:rPr>
            </w:pPr>
          </w:p>
        </w:tc>
        <w:tc>
          <w:tcPr>
            <w:tcW w:w="793" w:type="pct"/>
            <w:tcBorders>
              <w:left w:val="single" w:sz="2" w:space="0" w:color="auto"/>
            </w:tcBorders>
            <w:vAlign w:val="center"/>
          </w:tcPr>
          <w:p w14:paraId="14F1C669" w14:textId="77777777" w:rsidR="008367BA" w:rsidRPr="009A728F" w:rsidRDefault="008367BA" w:rsidP="008367BA">
            <w:pPr>
              <w:adjustRightInd w:val="0"/>
              <w:snapToGrid w:val="0"/>
              <w:jc w:val="center"/>
              <w:rPr>
                <w:rFonts w:ascii="Calibri"/>
                <w:color w:val="auto"/>
                <w:szCs w:val="21"/>
              </w:rPr>
            </w:pPr>
            <w:r w:rsidRPr="009A728F">
              <w:rPr>
                <w:rFonts w:ascii="Calibri"/>
                <w:color w:val="auto"/>
                <w:szCs w:val="21"/>
              </w:rPr>
              <w:t>镍</w:t>
            </w:r>
          </w:p>
        </w:tc>
        <w:tc>
          <w:tcPr>
            <w:tcW w:w="824" w:type="pct"/>
            <w:vAlign w:val="center"/>
          </w:tcPr>
          <w:p w14:paraId="1A5572AE" w14:textId="77777777" w:rsidR="008367BA" w:rsidRDefault="008367BA" w:rsidP="008367BA">
            <w:pPr>
              <w:adjustRightInd w:val="0"/>
              <w:snapToGrid w:val="0"/>
              <w:jc w:val="center"/>
              <w:rPr>
                <w:rFonts w:ascii="Calibri" w:hAnsi="Calibri"/>
                <w:color w:val="auto"/>
                <w:szCs w:val="21"/>
              </w:rPr>
            </w:pPr>
            <w:r w:rsidRPr="008367BA">
              <w:rPr>
                <w:rFonts w:ascii="Calibri" w:hAnsi="Calibri"/>
                <w:color w:val="auto"/>
                <w:szCs w:val="21"/>
              </w:rPr>
              <w:t>46</w:t>
            </w:r>
          </w:p>
        </w:tc>
        <w:tc>
          <w:tcPr>
            <w:tcW w:w="685" w:type="pct"/>
            <w:vAlign w:val="center"/>
          </w:tcPr>
          <w:p w14:paraId="5B1D2A17" w14:textId="77777777" w:rsidR="008367BA" w:rsidRPr="00A964FF" w:rsidRDefault="008367BA" w:rsidP="008367BA">
            <w:pPr>
              <w:pStyle w:val="TableStyle12"/>
              <w:rPr>
                <w:rFonts w:ascii="Calibri" w:hAnsi="Calibri"/>
                <w:sz w:val="21"/>
                <w:szCs w:val="21"/>
              </w:rPr>
            </w:pPr>
            <w:r>
              <w:rPr>
                <w:rFonts w:ascii="Calibri" w:hAnsi="Calibri" w:hint="eastAsia"/>
                <w:sz w:val="21"/>
                <w:szCs w:val="21"/>
              </w:rPr>
              <w:t>190</w:t>
            </w:r>
          </w:p>
        </w:tc>
        <w:tc>
          <w:tcPr>
            <w:tcW w:w="685" w:type="pct"/>
            <w:vAlign w:val="center"/>
          </w:tcPr>
          <w:p w14:paraId="08E4ACFE" w14:textId="77777777" w:rsidR="008367BA" w:rsidRDefault="008367BA" w:rsidP="008367BA">
            <w:pPr>
              <w:pStyle w:val="TableStyle12"/>
              <w:rPr>
                <w:rFonts w:ascii="Calibri" w:hAnsi="Calibri"/>
                <w:sz w:val="21"/>
                <w:szCs w:val="21"/>
              </w:rPr>
            </w:pPr>
            <w:r>
              <w:rPr>
                <w:rFonts w:ascii="Calibri" w:hAnsi="Calibri" w:hint="eastAsia"/>
                <w:sz w:val="21"/>
                <w:szCs w:val="21"/>
              </w:rPr>
              <w:t>0.24</w:t>
            </w:r>
          </w:p>
        </w:tc>
        <w:tc>
          <w:tcPr>
            <w:tcW w:w="685" w:type="pct"/>
            <w:vAlign w:val="center"/>
          </w:tcPr>
          <w:p w14:paraId="47CD50AF" w14:textId="77777777" w:rsidR="008367BA" w:rsidRDefault="008367BA" w:rsidP="008367BA">
            <w:pPr>
              <w:jc w:val="center"/>
            </w:pPr>
            <w:r w:rsidRPr="00B5480F">
              <w:rPr>
                <w:rFonts w:ascii="Calibri" w:hAnsi="Calibri" w:hint="eastAsia"/>
                <w:szCs w:val="21"/>
              </w:rPr>
              <w:t>达标</w:t>
            </w:r>
          </w:p>
        </w:tc>
      </w:tr>
    </w:tbl>
    <w:p w14:paraId="6875D5E9" w14:textId="77777777" w:rsidR="008367BA" w:rsidRPr="008367BA" w:rsidRDefault="008367BA" w:rsidP="008367BA">
      <w:pPr>
        <w:spacing w:line="520" w:lineRule="exact"/>
        <w:ind w:firstLineChars="200" w:firstLine="480"/>
        <w:rPr>
          <w:rFonts w:ascii="Calibri" w:hAnsi="Calibri" w:cs="Times New Roman"/>
          <w:color w:val="auto"/>
          <w:sz w:val="24"/>
        </w:rPr>
      </w:pPr>
      <w:r w:rsidRPr="009A728F">
        <w:rPr>
          <w:rFonts w:ascii="Calibri" w:hAnsi="Calibri" w:hint="eastAsia"/>
          <w:color w:val="auto"/>
          <w:sz w:val="24"/>
        </w:rPr>
        <w:t>由以上检测数据可知，检测点原料</w:t>
      </w:r>
      <w:r w:rsidRPr="009A728F">
        <w:rPr>
          <w:rFonts w:ascii="Calibri" w:hAnsi="Calibri"/>
          <w:color w:val="auto"/>
          <w:sz w:val="24"/>
        </w:rPr>
        <w:t>仓库</w:t>
      </w:r>
      <w:r w:rsidRPr="009A728F">
        <w:rPr>
          <w:rFonts w:ascii="Calibri" w:hAnsi="Calibri" w:hint="eastAsia"/>
          <w:color w:val="auto"/>
          <w:sz w:val="24"/>
        </w:rPr>
        <w:t>4</w:t>
      </w:r>
      <w:r w:rsidRPr="009A728F">
        <w:rPr>
          <w:rFonts w:ascii="Calibri" w:hAnsi="Calibri"/>
          <w:color w:val="auto"/>
          <w:sz w:val="24"/>
        </w:rPr>
        <w:t>6</w:t>
      </w:r>
      <w:r w:rsidRPr="009A728F">
        <w:rPr>
          <w:rFonts w:ascii="Calibri" w:hAnsi="Calibri" w:hint="eastAsia"/>
          <w:color w:val="auto"/>
          <w:sz w:val="24"/>
        </w:rPr>
        <w:t>项检测因子中仅有砷、镉、铜、铅、汞、镍、石油烃</w:t>
      </w:r>
      <w:r w:rsidRPr="009A728F">
        <w:rPr>
          <w:rFonts w:ascii="Calibri" w:hAnsi="Calibri"/>
          <w:color w:val="auto"/>
          <w:sz w:val="24"/>
        </w:rPr>
        <w:t>7</w:t>
      </w:r>
      <w:r w:rsidRPr="009A728F">
        <w:rPr>
          <w:rFonts w:ascii="Calibri" w:hAnsi="Calibri" w:hint="eastAsia"/>
          <w:color w:val="auto"/>
          <w:sz w:val="24"/>
        </w:rPr>
        <w:t>项因子有检出，其结果均满足且小于</w:t>
      </w:r>
      <w:r w:rsidRPr="009A728F">
        <w:rPr>
          <w:rFonts w:ascii="Calibri" w:hAnsi="Calibri" w:hint="eastAsia"/>
          <w:color w:val="auto"/>
          <w:sz w:val="24"/>
        </w:rPr>
        <w:t>GB36600-2018</w:t>
      </w:r>
      <w:r w:rsidRPr="009A728F">
        <w:rPr>
          <w:rFonts w:ascii="Calibri" w:hAnsi="Calibri" w:hint="eastAsia"/>
          <w:color w:val="auto"/>
          <w:sz w:val="24"/>
        </w:rPr>
        <w:t>第二类用地筛选值要求，其余因子均未检出。</w:t>
      </w:r>
      <w:r>
        <w:rPr>
          <w:rFonts w:ascii="Calibri" w:hAnsi="Calibri" w:hint="eastAsia"/>
          <w:color w:val="auto"/>
          <w:sz w:val="24"/>
        </w:rPr>
        <w:t>厂区内</w:t>
      </w:r>
      <w:r w:rsidRPr="009A728F">
        <w:rPr>
          <w:rFonts w:ascii="Calibri" w:hAnsi="Calibri" w:hint="eastAsia"/>
          <w:color w:val="auto"/>
          <w:sz w:val="24"/>
        </w:rPr>
        <w:t>其他检测点位石油烃检测结果满足且小于</w:t>
      </w:r>
      <w:r w:rsidRPr="009A728F">
        <w:rPr>
          <w:rFonts w:ascii="Calibri" w:hAnsi="Calibri" w:hint="eastAsia"/>
          <w:color w:val="auto"/>
          <w:sz w:val="24"/>
        </w:rPr>
        <w:t>GB36600-2018</w:t>
      </w:r>
      <w:r w:rsidRPr="009A728F">
        <w:rPr>
          <w:rFonts w:ascii="Calibri" w:hAnsi="Calibri" w:hint="eastAsia"/>
          <w:color w:val="auto"/>
          <w:sz w:val="24"/>
        </w:rPr>
        <w:t>第二类用地筛选值要求。</w:t>
      </w:r>
      <w:r w:rsidRPr="00A964FF">
        <w:rPr>
          <w:rFonts w:ascii="Calibri" w:hAnsi="Calibri" w:cs="Times New Roman" w:hint="eastAsia"/>
          <w:color w:val="auto"/>
          <w:sz w:val="24"/>
        </w:rPr>
        <w:t>厂区</w:t>
      </w:r>
      <w:r>
        <w:rPr>
          <w:rFonts w:ascii="Calibri" w:hAnsi="Calibri" w:cs="Times New Roman" w:hint="eastAsia"/>
          <w:color w:val="auto"/>
          <w:sz w:val="24"/>
        </w:rPr>
        <w:t>外北侧</w:t>
      </w:r>
      <w:r>
        <w:rPr>
          <w:rFonts w:ascii="Calibri" w:hAnsi="Calibri" w:cs="Times New Roman"/>
          <w:color w:val="auto"/>
          <w:sz w:val="24"/>
        </w:rPr>
        <w:t>、西侧</w:t>
      </w:r>
      <w:r>
        <w:rPr>
          <w:rFonts w:ascii="Calibri" w:hAnsi="Calibri" w:cs="Times New Roman" w:hint="eastAsia"/>
          <w:color w:val="auto"/>
          <w:sz w:val="24"/>
        </w:rPr>
        <w:t>现状</w:t>
      </w:r>
      <w:r w:rsidRPr="00A964FF">
        <w:rPr>
          <w:rFonts w:ascii="Calibri" w:hAnsi="Calibri" w:cs="Times New Roman" w:hint="eastAsia"/>
          <w:color w:val="auto"/>
          <w:sz w:val="24"/>
        </w:rPr>
        <w:t>农田</w:t>
      </w:r>
      <w:r>
        <w:rPr>
          <w:rFonts w:ascii="Calibri" w:hAnsi="Calibri" w:cs="Times New Roman" w:hint="eastAsia"/>
          <w:color w:val="auto"/>
          <w:sz w:val="24"/>
        </w:rPr>
        <w:t>各测点</w:t>
      </w:r>
      <w:r w:rsidRPr="00A964FF">
        <w:rPr>
          <w:rFonts w:ascii="Calibri" w:hAnsi="Calibri" w:cs="Times New Roman" w:hint="eastAsia"/>
          <w:color w:val="auto"/>
          <w:sz w:val="24"/>
        </w:rPr>
        <w:t>各检测因子均未超过《土壤环境质量</w:t>
      </w:r>
      <w:r w:rsidRPr="00A964FF">
        <w:rPr>
          <w:rFonts w:ascii="Calibri" w:hAnsi="Calibri" w:cs="Times New Roman" w:hint="eastAsia"/>
          <w:color w:val="auto"/>
          <w:sz w:val="24"/>
        </w:rPr>
        <w:t xml:space="preserve"> </w:t>
      </w:r>
      <w:r w:rsidRPr="00A964FF">
        <w:rPr>
          <w:rFonts w:ascii="Calibri" w:hAnsi="Calibri" w:cs="Times New Roman" w:hint="eastAsia"/>
          <w:color w:val="auto"/>
          <w:sz w:val="24"/>
        </w:rPr>
        <w:t>农用地土壤污染风险管控标准（试行）》（</w:t>
      </w:r>
      <w:r w:rsidRPr="00A964FF">
        <w:rPr>
          <w:rFonts w:ascii="Calibri" w:hAnsi="Calibri" w:cs="Times New Roman" w:hint="eastAsia"/>
          <w:color w:val="auto"/>
          <w:sz w:val="24"/>
        </w:rPr>
        <w:t>GB15618-2018</w:t>
      </w:r>
      <w:r w:rsidRPr="00A964FF">
        <w:rPr>
          <w:rFonts w:ascii="Calibri" w:hAnsi="Calibri" w:cs="Times New Roman" w:hint="eastAsia"/>
          <w:color w:val="auto"/>
          <w:sz w:val="24"/>
        </w:rPr>
        <w:t>）（试行）表</w:t>
      </w:r>
      <w:r w:rsidRPr="00A964FF">
        <w:rPr>
          <w:rFonts w:ascii="Calibri" w:hAnsi="Calibri" w:cs="Times New Roman" w:hint="eastAsia"/>
          <w:color w:val="auto"/>
          <w:sz w:val="24"/>
        </w:rPr>
        <w:t>1</w:t>
      </w:r>
      <w:r w:rsidRPr="00A964FF">
        <w:rPr>
          <w:rFonts w:ascii="Calibri" w:hAnsi="Calibri" w:cs="Times New Roman" w:hint="eastAsia"/>
          <w:color w:val="auto"/>
          <w:sz w:val="24"/>
        </w:rPr>
        <w:t>中风险</w:t>
      </w:r>
      <w:r>
        <w:rPr>
          <w:rFonts w:ascii="Calibri" w:hAnsi="Calibri" w:cs="Times New Roman" w:hint="eastAsia"/>
          <w:color w:val="auto"/>
          <w:sz w:val="24"/>
        </w:rPr>
        <w:t>筛选值，</w:t>
      </w:r>
      <w:r w:rsidRPr="00F06F4A">
        <w:rPr>
          <w:rFonts w:ascii="Calibri" w:hAnsi="Calibri" w:cs="Times New Roman" w:hint="eastAsia"/>
          <w:color w:val="auto"/>
          <w:sz w:val="24"/>
        </w:rPr>
        <w:t>特征因子</w:t>
      </w:r>
      <w:r>
        <w:rPr>
          <w:rFonts w:ascii="Calibri" w:hAnsi="Calibri" w:cs="Times New Roman" w:hint="eastAsia"/>
          <w:color w:val="auto"/>
          <w:sz w:val="24"/>
        </w:rPr>
        <w:t>石油烃</w:t>
      </w:r>
      <w:r w:rsidRPr="00F06F4A">
        <w:rPr>
          <w:rFonts w:ascii="Calibri" w:hAnsi="Calibri" w:cs="Times New Roman" w:hint="eastAsia"/>
          <w:color w:val="auto"/>
          <w:sz w:val="24"/>
        </w:rPr>
        <w:t>均未超过《土壤环境质量</w:t>
      </w:r>
      <w:r w:rsidRPr="00F06F4A">
        <w:rPr>
          <w:rFonts w:ascii="Calibri" w:hAnsi="Calibri" w:cs="Times New Roman" w:hint="eastAsia"/>
          <w:color w:val="auto"/>
          <w:sz w:val="24"/>
        </w:rPr>
        <w:t xml:space="preserve"> </w:t>
      </w:r>
      <w:r w:rsidRPr="00F06F4A">
        <w:rPr>
          <w:rFonts w:ascii="Calibri" w:hAnsi="Calibri" w:cs="Times New Roman" w:hint="eastAsia"/>
          <w:color w:val="auto"/>
          <w:sz w:val="24"/>
        </w:rPr>
        <w:t>建设用地土壤污染风险管控标准（试行）》（</w:t>
      </w:r>
      <w:r w:rsidRPr="00F06F4A">
        <w:rPr>
          <w:rFonts w:ascii="Calibri" w:hAnsi="Calibri" w:cs="Times New Roman" w:hint="eastAsia"/>
          <w:color w:val="auto"/>
          <w:sz w:val="24"/>
        </w:rPr>
        <w:t>GB36600-2018</w:t>
      </w:r>
      <w:r w:rsidRPr="00F06F4A">
        <w:rPr>
          <w:rFonts w:ascii="Calibri" w:hAnsi="Calibri" w:cs="Times New Roman" w:hint="eastAsia"/>
          <w:color w:val="auto"/>
          <w:sz w:val="24"/>
        </w:rPr>
        <w:t>）表</w:t>
      </w:r>
      <w:r w:rsidRPr="00F06F4A">
        <w:rPr>
          <w:rFonts w:ascii="Calibri" w:hAnsi="Calibri" w:cs="Times New Roman" w:hint="eastAsia"/>
          <w:color w:val="auto"/>
          <w:sz w:val="24"/>
        </w:rPr>
        <w:t>1</w:t>
      </w:r>
      <w:r w:rsidRPr="00F06F4A">
        <w:rPr>
          <w:rFonts w:ascii="Calibri" w:hAnsi="Calibri" w:cs="Times New Roman" w:hint="eastAsia"/>
          <w:color w:val="auto"/>
          <w:sz w:val="24"/>
        </w:rPr>
        <w:t>中第二类用地风险筛选值；</w:t>
      </w:r>
      <w:r w:rsidRPr="00F06F4A">
        <w:rPr>
          <w:rFonts w:ascii="Calibri" w:hAnsi="Calibri" w:cs="Times New Roman"/>
          <w:color w:val="auto"/>
          <w:sz w:val="24"/>
        </w:rPr>
        <w:t>说明项目区域土壤</w:t>
      </w:r>
      <w:r w:rsidRPr="00F06F4A">
        <w:rPr>
          <w:rFonts w:ascii="Calibri" w:hAnsi="Calibri" w:cs="Times New Roman" w:hint="eastAsia"/>
          <w:color w:val="auto"/>
          <w:sz w:val="24"/>
        </w:rPr>
        <w:t>质量</w:t>
      </w:r>
      <w:r w:rsidRPr="00F06F4A">
        <w:rPr>
          <w:rFonts w:ascii="Calibri" w:hAnsi="Calibri" w:cs="Times New Roman"/>
          <w:color w:val="auto"/>
          <w:sz w:val="24"/>
        </w:rPr>
        <w:t>现状较好。</w:t>
      </w:r>
    </w:p>
    <w:p w14:paraId="0B9C482E" w14:textId="77777777" w:rsidR="004A3168" w:rsidRPr="00A964FF" w:rsidRDefault="004A3168" w:rsidP="00C41ADF">
      <w:pPr>
        <w:pStyle w:val="ad"/>
        <w:rPr>
          <w:rFonts w:ascii="Calibri" w:hAnsi="Calibri"/>
          <w:color w:val="auto"/>
        </w:rPr>
      </w:pPr>
      <w:bookmarkStart w:id="56" w:name="_Toc38128802"/>
      <w:bookmarkStart w:id="57" w:name="_Toc47489874"/>
      <w:r w:rsidRPr="00A964FF">
        <w:rPr>
          <w:rFonts w:ascii="Calibri" w:hAnsi="Calibri" w:hint="eastAsia"/>
          <w:color w:val="auto"/>
        </w:rPr>
        <w:t>3.3</w:t>
      </w:r>
      <w:r w:rsidRPr="00A964FF">
        <w:rPr>
          <w:rFonts w:ascii="Calibri" w:hAnsi="Calibri"/>
          <w:color w:val="auto"/>
        </w:rPr>
        <w:t>.</w:t>
      </w:r>
      <w:r w:rsidRPr="00A964FF">
        <w:rPr>
          <w:rFonts w:ascii="Calibri" w:hAnsi="Calibri" w:hint="eastAsia"/>
          <w:color w:val="auto"/>
        </w:rPr>
        <w:t>6</w:t>
      </w:r>
      <w:r w:rsidRPr="00A964FF">
        <w:rPr>
          <w:rFonts w:ascii="Calibri" w:hAnsi="Calibri" w:hint="eastAsia"/>
          <w:color w:val="auto"/>
        </w:rPr>
        <w:t>环境质量现状评价结论</w:t>
      </w:r>
      <w:bookmarkEnd w:id="56"/>
      <w:bookmarkEnd w:id="57"/>
    </w:p>
    <w:p w14:paraId="0589BBD8" w14:textId="77777777" w:rsidR="004A3168" w:rsidRPr="00A964FF" w:rsidRDefault="004A3168" w:rsidP="003F0808">
      <w:pPr>
        <w:spacing w:line="520" w:lineRule="atLeas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1</w:t>
      </w:r>
      <w:r w:rsidRPr="00A964FF">
        <w:rPr>
          <w:rFonts w:ascii="Calibri" w:hAnsi="Calibri" w:hint="eastAsia"/>
          <w:color w:val="auto"/>
          <w:sz w:val="24"/>
        </w:rPr>
        <w:t>）环境空气</w:t>
      </w:r>
    </w:p>
    <w:p w14:paraId="0FF80A9D" w14:textId="77777777" w:rsidR="004A3168" w:rsidRPr="00A964FF" w:rsidRDefault="004A3168" w:rsidP="003F0808">
      <w:pPr>
        <w:spacing w:line="520" w:lineRule="atLeast"/>
        <w:ind w:firstLineChars="200" w:firstLine="480"/>
        <w:rPr>
          <w:rFonts w:ascii="Calibri" w:hAnsi="Calibri"/>
          <w:color w:val="auto"/>
          <w:sz w:val="24"/>
        </w:rPr>
      </w:pPr>
      <w:r w:rsidRPr="00A964FF">
        <w:rPr>
          <w:rFonts w:ascii="Calibri" w:hAnsi="Calibri" w:hint="eastAsia"/>
          <w:color w:val="auto"/>
          <w:sz w:val="24"/>
        </w:rPr>
        <w:t>本项目所在区域为环境空气质量二类区，根据</w:t>
      </w:r>
      <w:r w:rsidR="005A0896">
        <w:rPr>
          <w:rFonts w:ascii="Calibri" w:hAnsi="Calibri" w:hint="eastAsia"/>
          <w:color w:val="auto"/>
          <w:sz w:val="24"/>
        </w:rPr>
        <w:t>2020-</w:t>
      </w:r>
      <w:r w:rsidR="001A2EB7" w:rsidRPr="00A964FF">
        <w:rPr>
          <w:rFonts w:ascii="Calibri" w:hAnsi="Calibri" w:hint="eastAsia"/>
          <w:color w:val="auto"/>
          <w:sz w:val="24"/>
        </w:rPr>
        <w:t>202</w:t>
      </w:r>
      <w:r w:rsidR="0007472D">
        <w:rPr>
          <w:rFonts w:ascii="Calibri" w:hAnsi="Calibri" w:hint="eastAsia"/>
          <w:color w:val="auto"/>
          <w:sz w:val="24"/>
        </w:rPr>
        <w:t>1</w:t>
      </w:r>
      <w:r w:rsidR="00BE58BE" w:rsidRPr="00A964FF">
        <w:rPr>
          <w:rFonts w:ascii="Calibri" w:hAnsi="Calibri" w:hint="eastAsia"/>
          <w:color w:val="auto"/>
          <w:sz w:val="24"/>
        </w:rPr>
        <w:t>年度</w:t>
      </w:r>
      <w:r w:rsidR="001849B8" w:rsidRPr="00A964FF">
        <w:rPr>
          <w:rFonts w:ascii="Calibri" w:hAnsi="Calibri" w:hint="eastAsia"/>
          <w:color w:val="auto"/>
          <w:sz w:val="24"/>
        </w:rPr>
        <w:t>叶县</w:t>
      </w:r>
      <w:r w:rsidRPr="00A964FF">
        <w:rPr>
          <w:rFonts w:ascii="Calibri" w:hAnsi="Calibri" w:hint="eastAsia"/>
          <w:color w:val="auto"/>
          <w:sz w:val="24"/>
        </w:rPr>
        <w:t>环境空气质量监测网中评价基准年的监测数据，区域环境空气质量除</w:t>
      </w:r>
      <w:r w:rsidRPr="00A964FF">
        <w:rPr>
          <w:rFonts w:ascii="Calibri" w:hAnsi="Calibri"/>
          <w:color w:val="auto"/>
          <w:sz w:val="24"/>
        </w:rPr>
        <w:t>PM</w:t>
      </w:r>
      <w:r w:rsidRPr="00A964FF">
        <w:rPr>
          <w:rFonts w:ascii="Calibri" w:hAnsi="Calibri"/>
          <w:color w:val="auto"/>
          <w:sz w:val="24"/>
          <w:vertAlign w:val="subscript"/>
        </w:rPr>
        <w:t>10</w:t>
      </w:r>
      <w:r w:rsidRPr="00A964FF">
        <w:rPr>
          <w:rFonts w:ascii="Calibri" w:hAnsi="Calibri" w:hint="eastAsia"/>
          <w:color w:val="auto"/>
          <w:sz w:val="24"/>
        </w:rPr>
        <w:t>、</w:t>
      </w:r>
      <w:r w:rsidRPr="00A964FF">
        <w:rPr>
          <w:rFonts w:ascii="Calibri" w:hAnsi="Calibri"/>
          <w:color w:val="auto"/>
          <w:sz w:val="24"/>
        </w:rPr>
        <w:t>PM</w:t>
      </w:r>
      <w:r w:rsidRPr="00A964FF">
        <w:rPr>
          <w:rFonts w:ascii="Calibri" w:hAnsi="Calibri"/>
          <w:color w:val="auto"/>
          <w:sz w:val="24"/>
          <w:vertAlign w:val="subscript"/>
        </w:rPr>
        <w:t>2.5</w:t>
      </w:r>
      <w:r w:rsidRPr="00A964FF">
        <w:rPr>
          <w:rFonts w:ascii="Calibri" w:hAnsi="Calibri" w:hint="eastAsia"/>
          <w:color w:val="auto"/>
          <w:sz w:val="24"/>
        </w:rPr>
        <w:t>超标外，其余各监测因子均达标。由此可知</w:t>
      </w:r>
      <w:r w:rsidR="001849B8" w:rsidRPr="00A964FF">
        <w:rPr>
          <w:rFonts w:ascii="Calibri" w:hAnsi="Calibri" w:hint="eastAsia"/>
          <w:color w:val="auto"/>
          <w:sz w:val="24"/>
        </w:rPr>
        <w:t>，叶县</w:t>
      </w:r>
      <w:r w:rsidRPr="00A964FF">
        <w:rPr>
          <w:rFonts w:ascii="Calibri" w:hAnsi="Calibri" w:hint="eastAsia"/>
          <w:color w:val="auto"/>
          <w:sz w:val="24"/>
        </w:rPr>
        <w:t>区域属于不达标区域。</w:t>
      </w:r>
    </w:p>
    <w:p w14:paraId="39BBE4E7" w14:textId="77777777" w:rsidR="00040BEE" w:rsidRDefault="008F5C92" w:rsidP="00040BEE">
      <w:pPr>
        <w:pStyle w:val="00"/>
        <w:rPr>
          <w:rFonts w:ascii="Calibri" w:hAnsi="Calibri"/>
          <w:color w:val="auto"/>
        </w:rPr>
      </w:pPr>
      <w:r w:rsidRPr="005A0896">
        <w:rPr>
          <w:rFonts w:ascii="Calibri" w:hAnsi="Calibri" w:hint="eastAsia"/>
          <w:color w:val="auto"/>
        </w:rPr>
        <w:t>根据补充检测数据，</w:t>
      </w:r>
      <w:r w:rsidR="00040BEE">
        <w:rPr>
          <w:rFonts w:ascii="Calibri" w:hAnsi="Calibri" w:hint="eastAsia"/>
          <w:color w:val="auto"/>
        </w:rPr>
        <w:t>氨、硫化氢、非甲烷总烃</w:t>
      </w:r>
      <w:r w:rsidR="00040BEE" w:rsidRPr="003F72B9">
        <w:rPr>
          <w:rFonts w:ascii="Calibri" w:hAnsi="Calibri" w:hint="eastAsia"/>
          <w:color w:val="auto"/>
        </w:rPr>
        <w:t>小时浓度均值均满足相关质量标准限值。</w:t>
      </w:r>
    </w:p>
    <w:p w14:paraId="784950C6" w14:textId="77777777" w:rsidR="004A3168" w:rsidRPr="00A964FF" w:rsidRDefault="004A3168" w:rsidP="003F0808">
      <w:pPr>
        <w:spacing w:line="520" w:lineRule="atLeas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2</w:t>
      </w:r>
      <w:r w:rsidRPr="00A964FF">
        <w:rPr>
          <w:rFonts w:ascii="Calibri" w:hAnsi="Calibri" w:hint="eastAsia"/>
          <w:color w:val="auto"/>
          <w:sz w:val="24"/>
        </w:rPr>
        <w:t>）地表水</w:t>
      </w:r>
    </w:p>
    <w:p w14:paraId="2FACBA7C" w14:textId="77777777" w:rsidR="00040BEE" w:rsidRPr="00040BEE" w:rsidRDefault="00040BEE" w:rsidP="00040BEE">
      <w:pPr>
        <w:tabs>
          <w:tab w:val="left" w:pos="426"/>
        </w:tabs>
        <w:spacing w:line="520" w:lineRule="exact"/>
        <w:ind w:firstLineChars="200" w:firstLine="480"/>
        <w:jc w:val="left"/>
        <w:rPr>
          <w:rFonts w:ascii="Calibri" w:hAnsi="宋体"/>
          <w:color w:val="auto"/>
          <w:sz w:val="24"/>
        </w:rPr>
      </w:pPr>
      <w:r w:rsidRPr="00A964FF">
        <w:rPr>
          <w:rFonts w:ascii="Calibri" w:hAnsi="Calibri" w:hint="eastAsia"/>
          <w:color w:val="auto"/>
          <w:sz w:val="24"/>
        </w:rPr>
        <w:t>根据</w:t>
      </w:r>
      <w:r w:rsidRPr="00A964FF">
        <w:rPr>
          <w:rFonts w:ascii="Calibri" w:hAnsi="Calibri" w:hint="eastAsia"/>
          <w:color w:val="auto"/>
          <w:sz w:val="24"/>
        </w:rPr>
        <w:t>202</w:t>
      </w:r>
      <w:r>
        <w:rPr>
          <w:rFonts w:ascii="Calibri" w:hAnsi="Calibri"/>
          <w:color w:val="auto"/>
          <w:sz w:val="24"/>
        </w:rPr>
        <w:t>1</w:t>
      </w:r>
      <w:r w:rsidRPr="00A964FF">
        <w:rPr>
          <w:rFonts w:ascii="Calibri" w:hAnsi="Calibri" w:hint="eastAsia"/>
          <w:color w:val="auto"/>
          <w:sz w:val="24"/>
        </w:rPr>
        <w:t>年度</w:t>
      </w:r>
      <w:r w:rsidR="00431878" w:rsidRPr="00431878">
        <w:rPr>
          <w:rFonts w:ascii="Calibri" w:hAnsi="Calibri" w:hint="eastAsia"/>
          <w:color w:val="auto"/>
          <w:sz w:val="24"/>
        </w:rPr>
        <w:t>平顶山生态环保部门发布</w:t>
      </w:r>
      <w:r w:rsidR="00431878">
        <w:rPr>
          <w:rFonts w:ascii="Calibri" w:hAnsi="Calibri" w:hint="eastAsia"/>
          <w:color w:val="auto"/>
          <w:sz w:val="24"/>
        </w:rPr>
        <w:t>的</w:t>
      </w:r>
      <w:r>
        <w:rPr>
          <w:rFonts w:ascii="Calibri" w:hAnsi="Calibri" w:hint="eastAsia"/>
          <w:color w:val="auto"/>
          <w:sz w:val="24"/>
        </w:rPr>
        <w:t>叶县</w:t>
      </w:r>
      <w:r w:rsidRPr="00A964FF">
        <w:rPr>
          <w:rFonts w:ascii="Calibri" w:hAnsi="宋体"/>
          <w:color w:val="auto"/>
          <w:sz w:val="24"/>
        </w:rPr>
        <w:t>灰河叶县水寨屈庄断面</w:t>
      </w:r>
      <w:r w:rsidR="003C53E0">
        <w:rPr>
          <w:rFonts w:ascii="Calibri" w:hAnsi="宋体" w:hint="eastAsia"/>
          <w:color w:val="auto"/>
          <w:sz w:val="24"/>
        </w:rPr>
        <w:t>监测</w:t>
      </w:r>
      <w:r w:rsidR="003C53E0">
        <w:rPr>
          <w:rFonts w:ascii="Calibri" w:hAnsi="宋体"/>
          <w:color w:val="auto"/>
          <w:sz w:val="24"/>
        </w:rPr>
        <w:t>，</w:t>
      </w:r>
      <w:r w:rsidRPr="00A964FF">
        <w:rPr>
          <w:rFonts w:ascii="Calibri" w:hAnsi="宋体"/>
          <w:color w:val="auto"/>
          <w:sz w:val="24"/>
        </w:rPr>
        <w:lastRenderedPageBreak/>
        <w:t>各监测因子均满足《地表水环境质量标准》（</w:t>
      </w:r>
      <w:r>
        <w:rPr>
          <w:rFonts w:ascii="Calibri" w:hAnsi="Calibri"/>
          <w:color w:val="auto"/>
          <w:sz w:val="24"/>
        </w:rPr>
        <w:t>GB3838</w:t>
      </w:r>
      <w:r w:rsidRPr="00A964FF">
        <w:rPr>
          <w:rFonts w:ascii="Calibri" w:hAnsi="Calibri"/>
          <w:color w:val="auto"/>
          <w:sz w:val="24"/>
        </w:rPr>
        <w:t>2002</w:t>
      </w:r>
      <w:r w:rsidRPr="00A964FF">
        <w:rPr>
          <w:rFonts w:ascii="Calibri" w:hAnsi="宋体"/>
          <w:color w:val="auto"/>
          <w:sz w:val="24"/>
        </w:rPr>
        <w:t>）</w:t>
      </w:r>
      <w:r w:rsidRPr="00A964FF">
        <w:rPr>
          <w:rFonts w:ascii="Calibri" w:hAnsi="Calibri" w:hint="eastAsia"/>
          <w:color w:val="auto"/>
          <w:sz w:val="24"/>
        </w:rPr>
        <w:t>IV</w:t>
      </w:r>
      <w:r w:rsidRPr="00A964FF">
        <w:rPr>
          <w:rFonts w:ascii="Calibri" w:hAnsi="宋体"/>
          <w:color w:val="auto"/>
          <w:sz w:val="24"/>
        </w:rPr>
        <w:t>类标准。</w:t>
      </w:r>
    </w:p>
    <w:p w14:paraId="107AF8F2" w14:textId="77777777" w:rsidR="00040BEE" w:rsidRPr="003C53E0" w:rsidRDefault="00431878" w:rsidP="003C53E0">
      <w:pPr>
        <w:spacing w:line="520" w:lineRule="atLeast"/>
        <w:ind w:firstLineChars="200" w:firstLine="480"/>
        <w:rPr>
          <w:rFonts w:ascii="Calibri" w:hAnsi="宋体"/>
          <w:color w:val="auto"/>
          <w:sz w:val="24"/>
        </w:rPr>
      </w:pPr>
      <w:r w:rsidRPr="00431878">
        <w:rPr>
          <w:rFonts w:ascii="Calibri" w:hAnsi="Calibri" w:hint="eastAsia"/>
          <w:color w:val="auto"/>
          <w:sz w:val="24"/>
        </w:rPr>
        <w:t>根据</w:t>
      </w:r>
      <w:r w:rsidRPr="00431878">
        <w:rPr>
          <w:rFonts w:ascii="Calibri" w:hAnsi="Calibri" w:hint="eastAsia"/>
          <w:color w:val="auto"/>
          <w:sz w:val="24"/>
        </w:rPr>
        <w:t>2021</w:t>
      </w:r>
      <w:r w:rsidRPr="00431878">
        <w:rPr>
          <w:rFonts w:ascii="Calibri" w:hAnsi="Calibri" w:hint="eastAsia"/>
          <w:color w:val="auto"/>
          <w:sz w:val="24"/>
        </w:rPr>
        <w:t>年度平顶山生态环保部门发布的</w:t>
      </w:r>
      <w:r w:rsidR="00040BEE" w:rsidRPr="00A964FF">
        <w:rPr>
          <w:rFonts w:ascii="Calibri" w:hAnsi="宋体" w:hint="eastAsia"/>
          <w:color w:val="auto"/>
          <w:sz w:val="24"/>
        </w:rPr>
        <w:t>沙河马湾</w:t>
      </w:r>
      <w:r w:rsidR="00040BEE" w:rsidRPr="00A964FF">
        <w:rPr>
          <w:rFonts w:ascii="Calibri" w:hAnsi="宋体"/>
          <w:color w:val="auto"/>
          <w:sz w:val="24"/>
        </w:rPr>
        <w:t>断面各监测因子</w:t>
      </w:r>
      <w:r w:rsidR="003C53E0">
        <w:rPr>
          <w:rFonts w:ascii="Calibri" w:hAnsi="宋体" w:hint="eastAsia"/>
          <w:color w:val="auto"/>
          <w:sz w:val="24"/>
        </w:rPr>
        <w:t>监测</w:t>
      </w:r>
      <w:r w:rsidR="003C53E0">
        <w:rPr>
          <w:rFonts w:ascii="Calibri" w:hAnsi="宋体"/>
          <w:color w:val="auto"/>
          <w:sz w:val="24"/>
        </w:rPr>
        <w:t>，</w:t>
      </w:r>
      <w:r w:rsidR="003C53E0">
        <w:rPr>
          <w:rFonts w:ascii="Calibri" w:hAnsi="宋体" w:hint="eastAsia"/>
          <w:color w:val="auto"/>
          <w:sz w:val="24"/>
        </w:rPr>
        <w:t>各</w:t>
      </w:r>
      <w:r w:rsidR="003C53E0">
        <w:rPr>
          <w:rFonts w:ascii="Calibri" w:hAnsi="宋体"/>
          <w:color w:val="auto"/>
          <w:sz w:val="24"/>
        </w:rPr>
        <w:t>监测因子</w:t>
      </w:r>
      <w:r w:rsidR="00040BEE" w:rsidRPr="00A964FF">
        <w:rPr>
          <w:rFonts w:ascii="Calibri" w:hAnsi="宋体"/>
          <w:color w:val="auto"/>
          <w:sz w:val="24"/>
        </w:rPr>
        <w:t>均满足《地表水环境质量标准》（</w:t>
      </w:r>
      <w:r w:rsidR="00040BEE" w:rsidRPr="00A964FF">
        <w:rPr>
          <w:rFonts w:ascii="Calibri" w:hAnsi="Calibri"/>
          <w:color w:val="auto"/>
          <w:sz w:val="24"/>
        </w:rPr>
        <w:t>GB3838-2002</w:t>
      </w:r>
      <w:r w:rsidR="00040BEE" w:rsidRPr="00A964FF">
        <w:rPr>
          <w:rFonts w:ascii="Calibri" w:hAnsi="宋体"/>
          <w:color w:val="auto"/>
          <w:sz w:val="24"/>
        </w:rPr>
        <w:t>）</w:t>
      </w:r>
      <w:r w:rsidR="00040BEE" w:rsidRPr="00A964FF">
        <w:rPr>
          <w:rFonts w:ascii="Calibri" w:hAnsi="Calibri"/>
          <w:color w:val="auto"/>
          <w:sz w:val="24"/>
        </w:rPr>
        <w:t>III</w:t>
      </w:r>
      <w:r w:rsidR="00040BEE">
        <w:rPr>
          <w:rFonts w:ascii="Calibri" w:hAnsi="宋体"/>
          <w:color w:val="auto"/>
          <w:sz w:val="24"/>
        </w:rPr>
        <w:t>类标准</w:t>
      </w:r>
      <w:r w:rsidR="00040BEE">
        <w:rPr>
          <w:rFonts w:ascii="Calibri" w:hAnsi="宋体" w:hint="eastAsia"/>
          <w:color w:val="auto"/>
          <w:sz w:val="24"/>
        </w:rPr>
        <w:t>，说明</w:t>
      </w:r>
      <w:r w:rsidR="00040BEE">
        <w:rPr>
          <w:rFonts w:ascii="Calibri" w:hAnsi="宋体"/>
          <w:color w:val="auto"/>
          <w:sz w:val="24"/>
        </w:rPr>
        <w:t>沙河水质现状</w:t>
      </w:r>
      <w:r w:rsidR="00040BEE">
        <w:rPr>
          <w:rFonts w:ascii="Calibri" w:hAnsi="宋体" w:hint="eastAsia"/>
          <w:color w:val="auto"/>
          <w:sz w:val="24"/>
        </w:rPr>
        <w:t>较好。</w:t>
      </w:r>
    </w:p>
    <w:p w14:paraId="58AD23D8" w14:textId="77777777" w:rsidR="004A3168" w:rsidRPr="00A964FF" w:rsidRDefault="004A3168" w:rsidP="003F0808">
      <w:pPr>
        <w:spacing w:line="520" w:lineRule="atLeas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3</w:t>
      </w:r>
      <w:r w:rsidRPr="00A964FF">
        <w:rPr>
          <w:rFonts w:ascii="Calibri" w:hAnsi="Calibri" w:hint="eastAsia"/>
          <w:color w:val="auto"/>
          <w:sz w:val="24"/>
        </w:rPr>
        <w:t>）地下水</w:t>
      </w:r>
    </w:p>
    <w:p w14:paraId="0544FDB3" w14:textId="77777777" w:rsidR="00040BEE" w:rsidRPr="003F72B9" w:rsidRDefault="00040BEE" w:rsidP="00040BEE">
      <w:pPr>
        <w:spacing w:line="520" w:lineRule="atLeast"/>
        <w:ind w:firstLineChars="200" w:firstLine="480"/>
        <w:rPr>
          <w:rFonts w:ascii="Calibri" w:hAnsi="Calibri"/>
          <w:color w:val="auto"/>
          <w:sz w:val="24"/>
        </w:rPr>
      </w:pPr>
      <w:r w:rsidRPr="003F72B9">
        <w:rPr>
          <w:rFonts w:ascii="Calibri" w:hAnsi="Calibri"/>
          <w:color w:val="auto"/>
          <w:sz w:val="24"/>
        </w:rPr>
        <w:t>根据现状检测数据，各项检测因子</w:t>
      </w:r>
      <w:r>
        <w:rPr>
          <w:rFonts w:ascii="Calibri" w:hAnsi="Calibri" w:hint="eastAsia"/>
          <w:color w:val="auto"/>
          <w:sz w:val="24"/>
        </w:rPr>
        <w:t>除</w:t>
      </w:r>
      <w:r w:rsidR="00033968" w:rsidRPr="00033968">
        <w:rPr>
          <w:rFonts w:ascii="Calibri" w:hAnsi="Calibri" w:hint="eastAsia"/>
          <w:color w:val="auto"/>
          <w:sz w:val="24"/>
        </w:rPr>
        <w:t>坡宋村</w:t>
      </w:r>
      <w:r w:rsidR="00033968">
        <w:rPr>
          <w:rFonts w:ascii="Calibri" w:hAnsi="Calibri" w:hint="eastAsia"/>
          <w:color w:val="auto"/>
          <w:sz w:val="24"/>
        </w:rPr>
        <w:t>（遗留</w:t>
      </w:r>
      <w:r w:rsidR="00033968">
        <w:rPr>
          <w:rFonts w:ascii="Calibri" w:hAnsi="Calibri"/>
          <w:color w:val="auto"/>
          <w:sz w:val="24"/>
        </w:rPr>
        <w:t>水井</w:t>
      </w:r>
      <w:r w:rsidR="00033968">
        <w:rPr>
          <w:rFonts w:ascii="Calibri" w:hAnsi="Calibri" w:hint="eastAsia"/>
          <w:color w:val="auto"/>
          <w:sz w:val="24"/>
        </w:rPr>
        <w:t>）</w:t>
      </w:r>
      <w:r w:rsidRPr="003F72B9">
        <w:rPr>
          <w:rFonts w:ascii="Calibri" w:hAnsi="Calibri" w:hint="eastAsia"/>
          <w:color w:val="auto"/>
          <w:sz w:val="24"/>
        </w:rPr>
        <w:t>总硬度超标外，其余各检测因子</w:t>
      </w:r>
      <w:r w:rsidRPr="003F72B9">
        <w:rPr>
          <w:rFonts w:ascii="Calibri" w:hAnsi="Calibri"/>
          <w:color w:val="auto"/>
          <w:sz w:val="24"/>
        </w:rPr>
        <w:t>均满足《地下水质量标准》（</w:t>
      </w:r>
      <w:r w:rsidRPr="003F72B9">
        <w:rPr>
          <w:rFonts w:ascii="Calibri" w:hAnsi="Calibri"/>
          <w:color w:val="auto"/>
          <w:sz w:val="24"/>
        </w:rPr>
        <w:t>GB/T14848-2017</w:t>
      </w:r>
      <w:r w:rsidRPr="003F72B9">
        <w:rPr>
          <w:rFonts w:ascii="Calibri" w:hAnsi="Calibri"/>
          <w:color w:val="auto"/>
          <w:sz w:val="24"/>
        </w:rPr>
        <w:t>）</w:t>
      </w:r>
      <w:r w:rsidRPr="003F72B9">
        <w:rPr>
          <w:rFonts w:ascii="Calibri" w:hAnsi="Calibri"/>
          <w:color w:val="auto"/>
          <w:sz w:val="24"/>
        </w:rPr>
        <w:t>III</w:t>
      </w:r>
      <w:r w:rsidRPr="003F72B9">
        <w:rPr>
          <w:rFonts w:ascii="Calibri" w:hAnsi="Calibri"/>
          <w:color w:val="auto"/>
          <w:sz w:val="24"/>
        </w:rPr>
        <w:t>类标准</w:t>
      </w:r>
      <w:r w:rsidRPr="003F72B9">
        <w:rPr>
          <w:rFonts w:ascii="Calibri" w:hAnsi="Calibri" w:hint="eastAsia"/>
          <w:color w:val="auto"/>
          <w:sz w:val="24"/>
        </w:rPr>
        <w:t>。</w:t>
      </w:r>
    </w:p>
    <w:p w14:paraId="42C5628A" w14:textId="77777777" w:rsidR="004A3168" w:rsidRPr="00A964FF" w:rsidRDefault="004A3168" w:rsidP="003F0808">
      <w:pPr>
        <w:spacing w:line="520" w:lineRule="atLeas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4</w:t>
      </w:r>
      <w:r w:rsidRPr="00A964FF">
        <w:rPr>
          <w:rFonts w:ascii="Calibri" w:hAnsi="Calibri" w:hint="eastAsia"/>
          <w:color w:val="auto"/>
          <w:sz w:val="24"/>
        </w:rPr>
        <w:t>）声环境</w:t>
      </w:r>
    </w:p>
    <w:p w14:paraId="29622FE9" w14:textId="77777777" w:rsidR="00DC5649" w:rsidRPr="00A964FF" w:rsidRDefault="00DC5649" w:rsidP="003F0808">
      <w:pPr>
        <w:spacing w:line="520" w:lineRule="atLeast"/>
        <w:ind w:firstLineChars="200" w:firstLine="480"/>
        <w:rPr>
          <w:rFonts w:ascii="Calibri" w:hAnsi="Calibri"/>
          <w:color w:val="auto"/>
          <w:sz w:val="24"/>
        </w:rPr>
      </w:pPr>
      <w:r w:rsidRPr="00A964FF">
        <w:rPr>
          <w:rFonts w:ascii="Calibri" w:hAnsi="Calibri"/>
          <w:color w:val="auto"/>
          <w:sz w:val="24"/>
        </w:rPr>
        <w:t>根据现状检测数据，项目东、南、西、北厂界</w:t>
      </w:r>
      <w:r w:rsidR="008F5C92" w:rsidRPr="00A964FF">
        <w:rPr>
          <w:rFonts w:ascii="Calibri" w:hAnsi="Calibri" w:hint="eastAsia"/>
          <w:color w:val="auto"/>
          <w:sz w:val="24"/>
        </w:rPr>
        <w:t>昼</w:t>
      </w:r>
      <w:r w:rsidRPr="00A964FF">
        <w:rPr>
          <w:rFonts w:ascii="Calibri" w:hAnsi="Calibri"/>
          <w:color w:val="auto"/>
          <w:sz w:val="24"/>
        </w:rPr>
        <w:t>夜间噪声均可以满足《声环境质量标准》（</w:t>
      </w:r>
      <w:r w:rsidRPr="00A964FF">
        <w:rPr>
          <w:rFonts w:ascii="Calibri" w:hAnsi="Calibri"/>
          <w:color w:val="auto"/>
          <w:sz w:val="24"/>
        </w:rPr>
        <w:t>GB3096-2008</w:t>
      </w:r>
      <w:r w:rsidRPr="00A964FF">
        <w:rPr>
          <w:rFonts w:ascii="Calibri" w:hAnsi="Calibri"/>
          <w:color w:val="auto"/>
          <w:sz w:val="24"/>
        </w:rPr>
        <w:t>）中</w:t>
      </w:r>
      <w:r w:rsidR="0007472D">
        <w:rPr>
          <w:rFonts w:ascii="Calibri" w:hAnsi="Calibri" w:hint="eastAsia"/>
          <w:color w:val="auto"/>
          <w:sz w:val="24"/>
        </w:rPr>
        <w:t>3</w:t>
      </w:r>
      <w:r w:rsidRPr="00A964FF">
        <w:rPr>
          <w:rFonts w:ascii="Calibri" w:hAnsi="Calibri"/>
          <w:color w:val="auto"/>
          <w:sz w:val="24"/>
        </w:rPr>
        <w:t>类标准，说明项目区域声环境质量现状较好。</w:t>
      </w:r>
    </w:p>
    <w:p w14:paraId="36D4C713" w14:textId="77777777" w:rsidR="004A3168" w:rsidRPr="00A964FF" w:rsidRDefault="004A3168" w:rsidP="003F0808">
      <w:pPr>
        <w:spacing w:line="520" w:lineRule="atLeas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5</w:t>
      </w:r>
      <w:r w:rsidRPr="00A964FF">
        <w:rPr>
          <w:rFonts w:ascii="Calibri" w:hAnsi="Calibri" w:hint="eastAsia"/>
          <w:color w:val="auto"/>
          <w:sz w:val="24"/>
        </w:rPr>
        <w:t>）土壤</w:t>
      </w:r>
    </w:p>
    <w:p w14:paraId="1BE5FE0B" w14:textId="77777777" w:rsidR="008367BA" w:rsidRPr="008367BA" w:rsidRDefault="00DC5649" w:rsidP="008367BA">
      <w:pPr>
        <w:spacing w:line="520" w:lineRule="exact"/>
        <w:ind w:firstLineChars="200" w:firstLine="480"/>
        <w:rPr>
          <w:rFonts w:ascii="Calibri" w:hAnsi="Calibri" w:cs="Times New Roman"/>
          <w:color w:val="auto"/>
          <w:sz w:val="24"/>
        </w:rPr>
      </w:pPr>
      <w:r w:rsidRPr="008367BA">
        <w:rPr>
          <w:rFonts w:ascii="Calibri" w:hAnsi="Calibri" w:hint="eastAsia"/>
          <w:color w:val="auto"/>
          <w:sz w:val="24"/>
        </w:rPr>
        <w:t>根据现状检测数据，</w:t>
      </w:r>
      <w:r w:rsidR="008367BA" w:rsidRPr="009A728F">
        <w:rPr>
          <w:rFonts w:ascii="Calibri" w:hAnsi="Calibri" w:hint="eastAsia"/>
          <w:color w:val="auto"/>
          <w:sz w:val="24"/>
        </w:rPr>
        <w:t>检测点原料</w:t>
      </w:r>
      <w:r w:rsidR="008367BA" w:rsidRPr="009A728F">
        <w:rPr>
          <w:rFonts w:ascii="Calibri" w:hAnsi="Calibri"/>
          <w:color w:val="auto"/>
          <w:sz w:val="24"/>
        </w:rPr>
        <w:t>仓库</w:t>
      </w:r>
      <w:r w:rsidR="008367BA" w:rsidRPr="009A728F">
        <w:rPr>
          <w:rFonts w:ascii="Calibri" w:hAnsi="Calibri" w:hint="eastAsia"/>
          <w:color w:val="auto"/>
          <w:sz w:val="24"/>
        </w:rPr>
        <w:t>4</w:t>
      </w:r>
      <w:r w:rsidR="008367BA" w:rsidRPr="009A728F">
        <w:rPr>
          <w:rFonts w:ascii="Calibri" w:hAnsi="Calibri"/>
          <w:color w:val="auto"/>
          <w:sz w:val="24"/>
        </w:rPr>
        <w:t>6</w:t>
      </w:r>
      <w:r w:rsidR="008367BA" w:rsidRPr="009A728F">
        <w:rPr>
          <w:rFonts w:ascii="Calibri" w:hAnsi="Calibri" w:hint="eastAsia"/>
          <w:color w:val="auto"/>
          <w:sz w:val="24"/>
        </w:rPr>
        <w:t>项检测因子中仅有砷、镉、铜、铅、汞、镍、石油烃</w:t>
      </w:r>
      <w:r w:rsidR="008367BA" w:rsidRPr="009A728F">
        <w:rPr>
          <w:rFonts w:ascii="Calibri" w:hAnsi="Calibri"/>
          <w:color w:val="auto"/>
          <w:sz w:val="24"/>
        </w:rPr>
        <w:t>7</w:t>
      </w:r>
      <w:r w:rsidR="008367BA" w:rsidRPr="009A728F">
        <w:rPr>
          <w:rFonts w:ascii="Calibri" w:hAnsi="Calibri" w:hint="eastAsia"/>
          <w:color w:val="auto"/>
          <w:sz w:val="24"/>
        </w:rPr>
        <w:t>项因子有检出，其结果均满足且小于</w:t>
      </w:r>
      <w:r w:rsidR="008367BA" w:rsidRPr="009A728F">
        <w:rPr>
          <w:rFonts w:ascii="Calibri" w:hAnsi="Calibri" w:hint="eastAsia"/>
          <w:color w:val="auto"/>
          <w:sz w:val="24"/>
        </w:rPr>
        <w:t>GB36600-2018</w:t>
      </w:r>
      <w:r w:rsidR="008367BA" w:rsidRPr="009A728F">
        <w:rPr>
          <w:rFonts w:ascii="Calibri" w:hAnsi="Calibri" w:hint="eastAsia"/>
          <w:color w:val="auto"/>
          <w:sz w:val="24"/>
        </w:rPr>
        <w:t>第二类用地筛选值要求，其余因子均未检出。</w:t>
      </w:r>
      <w:r w:rsidR="008367BA">
        <w:rPr>
          <w:rFonts w:ascii="Calibri" w:hAnsi="Calibri" w:hint="eastAsia"/>
          <w:color w:val="auto"/>
          <w:sz w:val="24"/>
        </w:rPr>
        <w:t>厂区内</w:t>
      </w:r>
      <w:r w:rsidR="008367BA" w:rsidRPr="009A728F">
        <w:rPr>
          <w:rFonts w:ascii="Calibri" w:hAnsi="Calibri" w:hint="eastAsia"/>
          <w:color w:val="auto"/>
          <w:sz w:val="24"/>
        </w:rPr>
        <w:t>其他检测点位石油烃检测结果满足且小于</w:t>
      </w:r>
      <w:r w:rsidR="008367BA" w:rsidRPr="009A728F">
        <w:rPr>
          <w:rFonts w:ascii="Calibri" w:hAnsi="Calibri" w:hint="eastAsia"/>
          <w:color w:val="auto"/>
          <w:sz w:val="24"/>
        </w:rPr>
        <w:t>GB36600-2018</w:t>
      </w:r>
      <w:r w:rsidR="008367BA" w:rsidRPr="009A728F">
        <w:rPr>
          <w:rFonts w:ascii="Calibri" w:hAnsi="Calibri" w:hint="eastAsia"/>
          <w:color w:val="auto"/>
          <w:sz w:val="24"/>
        </w:rPr>
        <w:t>第二类用地筛选值要求。</w:t>
      </w:r>
      <w:r w:rsidR="008367BA" w:rsidRPr="00A964FF">
        <w:rPr>
          <w:rFonts w:ascii="Calibri" w:hAnsi="Calibri" w:cs="Times New Roman" w:hint="eastAsia"/>
          <w:color w:val="auto"/>
          <w:sz w:val="24"/>
        </w:rPr>
        <w:t>厂区</w:t>
      </w:r>
      <w:r w:rsidR="008367BA">
        <w:rPr>
          <w:rFonts w:ascii="Calibri" w:hAnsi="Calibri" w:cs="Times New Roman" w:hint="eastAsia"/>
          <w:color w:val="auto"/>
          <w:sz w:val="24"/>
        </w:rPr>
        <w:t>外北侧</w:t>
      </w:r>
      <w:r w:rsidR="008367BA">
        <w:rPr>
          <w:rFonts w:ascii="Calibri" w:hAnsi="Calibri" w:cs="Times New Roman"/>
          <w:color w:val="auto"/>
          <w:sz w:val="24"/>
        </w:rPr>
        <w:t>、西侧</w:t>
      </w:r>
      <w:r w:rsidR="008367BA">
        <w:rPr>
          <w:rFonts w:ascii="Calibri" w:hAnsi="Calibri" w:cs="Times New Roman" w:hint="eastAsia"/>
          <w:color w:val="auto"/>
          <w:sz w:val="24"/>
        </w:rPr>
        <w:t>现状</w:t>
      </w:r>
      <w:r w:rsidR="008367BA" w:rsidRPr="00A964FF">
        <w:rPr>
          <w:rFonts w:ascii="Calibri" w:hAnsi="Calibri" w:cs="Times New Roman" w:hint="eastAsia"/>
          <w:color w:val="auto"/>
          <w:sz w:val="24"/>
        </w:rPr>
        <w:t>农田</w:t>
      </w:r>
      <w:r w:rsidR="008367BA">
        <w:rPr>
          <w:rFonts w:ascii="Calibri" w:hAnsi="Calibri" w:cs="Times New Roman" w:hint="eastAsia"/>
          <w:color w:val="auto"/>
          <w:sz w:val="24"/>
        </w:rPr>
        <w:t>各测点</w:t>
      </w:r>
      <w:r w:rsidR="008367BA" w:rsidRPr="00A964FF">
        <w:rPr>
          <w:rFonts w:ascii="Calibri" w:hAnsi="Calibri" w:cs="Times New Roman" w:hint="eastAsia"/>
          <w:color w:val="auto"/>
          <w:sz w:val="24"/>
        </w:rPr>
        <w:t>各检测因子均未超过《土壤环境质量</w:t>
      </w:r>
      <w:r w:rsidR="008367BA" w:rsidRPr="00A964FF">
        <w:rPr>
          <w:rFonts w:ascii="Calibri" w:hAnsi="Calibri" w:cs="Times New Roman" w:hint="eastAsia"/>
          <w:color w:val="auto"/>
          <w:sz w:val="24"/>
        </w:rPr>
        <w:t xml:space="preserve"> </w:t>
      </w:r>
      <w:r w:rsidR="008367BA" w:rsidRPr="00A964FF">
        <w:rPr>
          <w:rFonts w:ascii="Calibri" w:hAnsi="Calibri" w:cs="Times New Roman" w:hint="eastAsia"/>
          <w:color w:val="auto"/>
          <w:sz w:val="24"/>
        </w:rPr>
        <w:t>农用地土壤污染风险管控标准（试行）》（</w:t>
      </w:r>
      <w:r w:rsidR="008367BA" w:rsidRPr="00A964FF">
        <w:rPr>
          <w:rFonts w:ascii="Calibri" w:hAnsi="Calibri" w:cs="Times New Roman" w:hint="eastAsia"/>
          <w:color w:val="auto"/>
          <w:sz w:val="24"/>
        </w:rPr>
        <w:t>GB15618-2018</w:t>
      </w:r>
      <w:r w:rsidR="008367BA" w:rsidRPr="00A964FF">
        <w:rPr>
          <w:rFonts w:ascii="Calibri" w:hAnsi="Calibri" w:cs="Times New Roman" w:hint="eastAsia"/>
          <w:color w:val="auto"/>
          <w:sz w:val="24"/>
        </w:rPr>
        <w:t>）（试行）表</w:t>
      </w:r>
      <w:r w:rsidR="008367BA" w:rsidRPr="00A964FF">
        <w:rPr>
          <w:rFonts w:ascii="Calibri" w:hAnsi="Calibri" w:cs="Times New Roman" w:hint="eastAsia"/>
          <w:color w:val="auto"/>
          <w:sz w:val="24"/>
        </w:rPr>
        <w:t>1</w:t>
      </w:r>
      <w:r w:rsidR="008367BA" w:rsidRPr="00A964FF">
        <w:rPr>
          <w:rFonts w:ascii="Calibri" w:hAnsi="Calibri" w:cs="Times New Roman" w:hint="eastAsia"/>
          <w:color w:val="auto"/>
          <w:sz w:val="24"/>
        </w:rPr>
        <w:t>中风险</w:t>
      </w:r>
      <w:r w:rsidR="008367BA">
        <w:rPr>
          <w:rFonts w:ascii="Calibri" w:hAnsi="Calibri" w:cs="Times New Roman" w:hint="eastAsia"/>
          <w:color w:val="auto"/>
          <w:sz w:val="24"/>
        </w:rPr>
        <w:t>筛选值，</w:t>
      </w:r>
      <w:r w:rsidR="008367BA" w:rsidRPr="00F06F4A">
        <w:rPr>
          <w:rFonts w:ascii="Calibri" w:hAnsi="Calibri" w:cs="Times New Roman" w:hint="eastAsia"/>
          <w:color w:val="auto"/>
          <w:sz w:val="24"/>
        </w:rPr>
        <w:t>特征因子</w:t>
      </w:r>
      <w:r w:rsidR="008367BA">
        <w:rPr>
          <w:rFonts w:ascii="Calibri" w:hAnsi="Calibri" w:cs="Times New Roman" w:hint="eastAsia"/>
          <w:color w:val="auto"/>
          <w:sz w:val="24"/>
        </w:rPr>
        <w:t>石油烃</w:t>
      </w:r>
      <w:r w:rsidR="008367BA" w:rsidRPr="00F06F4A">
        <w:rPr>
          <w:rFonts w:ascii="Calibri" w:hAnsi="Calibri" w:cs="Times New Roman" w:hint="eastAsia"/>
          <w:color w:val="auto"/>
          <w:sz w:val="24"/>
        </w:rPr>
        <w:t>均未超过《土壤环境质量</w:t>
      </w:r>
      <w:r w:rsidR="008367BA" w:rsidRPr="00F06F4A">
        <w:rPr>
          <w:rFonts w:ascii="Calibri" w:hAnsi="Calibri" w:cs="Times New Roman" w:hint="eastAsia"/>
          <w:color w:val="auto"/>
          <w:sz w:val="24"/>
        </w:rPr>
        <w:t xml:space="preserve"> </w:t>
      </w:r>
      <w:r w:rsidR="008367BA" w:rsidRPr="00F06F4A">
        <w:rPr>
          <w:rFonts w:ascii="Calibri" w:hAnsi="Calibri" w:cs="Times New Roman" w:hint="eastAsia"/>
          <w:color w:val="auto"/>
          <w:sz w:val="24"/>
        </w:rPr>
        <w:t>建设用地土壤污染风险管控标准（试行）》（</w:t>
      </w:r>
      <w:r w:rsidR="008367BA" w:rsidRPr="00F06F4A">
        <w:rPr>
          <w:rFonts w:ascii="Calibri" w:hAnsi="Calibri" w:cs="Times New Roman" w:hint="eastAsia"/>
          <w:color w:val="auto"/>
          <w:sz w:val="24"/>
        </w:rPr>
        <w:t>GB36600-2018</w:t>
      </w:r>
      <w:r w:rsidR="008367BA" w:rsidRPr="00F06F4A">
        <w:rPr>
          <w:rFonts w:ascii="Calibri" w:hAnsi="Calibri" w:cs="Times New Roman" w:hint="eastAsia"/>
          <w:color w:val="auto"/>
          <w:sz w:val="24"/>
        </w:rPr>
        <w:t>）表</w:t>
      </w:r>
      <w:r w:rsidR="008367BA" w:rsidRPr="00F06F4A">
        <w:rPr>
          <w:rFonts w:ascii="Calibri" w:hAnsi="Calibri" w:cs="Times New Roman" w:hint="eastAsia"/>
          <w:color w:val="auto"/>
          <w:sz w:val="24"/>
        </w:rPr>
        <w:t>1</w:t>
      </w:r>
      <w:r w:rsidR="008367BA" w:rsidRPr="00F06F4A">
        <w:rPr>
          <w:rFonts w:ascii="Calibri" w:hAnsi="Calibri" w:cs="Times New Roman" w:hint="eastAsia"/>
          <w:color w:val="auto"/>
          <w:sz w:val="24"/>
        </w:rPr>
        <w:t>中第二类用地风险筛选值；</w:t>
      </w:r>
      <w:r w:rsidR="008367BA" w:rsidRPr="00F06F4A">
        <w:rPr>
          <w:rFonts w:ascii="Calibri" w:hAnsi="Calibri" w:cs="Times New Roman"/>
          <w:color w:val="auto"/>
          <w:sz w:val="24"/>
        </w:rPr>
        <w:t>说明项目区域土壤</w:t>
      </w:r>
      <w:r w:rsidR="008367BA" w:rsidRPr="00F06F4A">
        <w:rPr>
          <w:rFonts w:ascii="Calibri" w:hAnsi="Calibri" w:cs="Times New Roman" w:hint="eastAsia"/>
          <w:color w:val="auto"/>
          <w:sz w:val="24"/>
        </w:rPr>
        <w:t>质量</w:t>
      </w:r>
      <w:r w:rsidR="008367BA" w:rsidRPr="00F06F4A">
        <w:rPr>
          <w:rFonts w:ascii="Calibri" w:hAnsi="Calibri" w:cs="Times New Roman"/>
          <w:color w:val="auto"/>
          <w:sz w:val="24"/>
        </w:rPr>
        <w:t>现状较好。</w:t>
      </w:r>
    </w:p>
    <w:p w14:paraId="614FB32D" w14:textId="77777777" w:rsidR="0055605A" w:rsidRPr="00A964FF" w:rsidRDefault="0055605A" w:rsidP="008367BA">
      <w:pPr>
        <w:pStyle w:val="1e"/>
        <w:rPr>
          <w:color w:val="auto"/>
        </w:rPr>
      </w:pPr>
      <w:r w:rsidRPr="00A964FF">
        <w:rPr>
          <w:color w:val="auto"/>
          <w:sz w:val="24"/>
        </w:rPr>
        <w:br w:type="page"/>
      </w:r>
      <w:bookmarkStart w:id="58" w:name="_Toc447804123"/>
      <w:bookmarkStart w:id="59" w:name="_Toc112999914"/>
      <w:r w:rsidRPr="00A964FF">
        <w:rPr>
          <w:color w:val="auto"/>
        </w:rPr>
        <w:lastRenderedPageBreak/>
        <w:t>第</w:t>
      </w:r>
      <w:r w:rsidRPr="00A964FF">
        <w:rPr>
          <w:rFonts w:hint="eastAsia"/>
          <w:color w:val="auto"/>
        </w:rPr>
        <w:t>四</w:t>
      </w:r>
      <w:r w:rsidRPr="00A964FF">
        <w:rPr>
          <w:color w:val="auto"/>
        </w:rPr>
        <w:t>章</w:t>
      </w:r>
      <w:r w:rsidRPr="00A964FF">
        <w:rPr>
          <w:color w:val="auto"/>
        </w:rPr>
        <w:t xml:space="preserve">    </w:t>
      </w:r>
      <w:bookmarkEnd w:id="58"/>
      <w:r w:rsidRPr="00A964FF">
        <w:rPr>
          <w:rFonts w:hint="eastAsia"/>
          <w:color w:val="auto"/>
        </w:rPr>
        <w:t>环境影响预测与评价</w:t>
      </w:r>
      <w:bookmarkEnd w:id="59"/>
    </w:p>
    <w:p w14:paraId="4999B49E" w14:textId="77777777" w:rsidR="0055605A" w:rsidRPr="00A964FF" w:rsidRDefault="0055605A" w:rsidP="0055605A">
      <w:pPr>
        <w:pStyle w:val="2"/>
        <w:spacing w:before="200" w:after="100"/>
        <w:rPr>
          <w:rFonts w:ascii="Calibri" w:hAnsi="Calibri"/>
          <w:bCs/>
          <w:color w:val="auto"/>
          <w:szCs w:val="28"/>
        </w:rPr>
      </w:pPr>
      <w:bookmarkStart w:id="60" w:name="_Toc19870"/>
      <w:bookmarkStart w:id="61" w:name="_Toc447804124"/>
      <w:bookmarkStart w:id="62" w:name="_Toc112999915"/>
      <w:r w:rsidRPr="0007472D">
        <w:rPr>
          <w:rFonts w:ascii="Calibri" w:hAnsi="Calibri" w:hint="eastAsia"/>
          <w:bCs/>
          <w:color w:val="auto"/>
          <w:szCs w:val="28"/>
        </w:rPr>
        <w:t>4</w:t>
      </w:r>
      <w:r w:rsidRPr="0007472D">
        <w:rPr>
          <w:rFonts w:ascii="Calibri" w:hAnsi="Calibri"/>
          <w:bCs/>
          <w:color w:val="auto"/>
          <w:szCs w:val="28"/>
        </w:rPr>
        <w:t>.1</w:t>
      </w:r>
      <w:bookmarkEnd w:id="60"/>
      <w:bookmarkEnd w:id="61"/>
      <w:r w:rsidRPr="0007472D">
        <w:rPr>
          <w:rFonts w:ascii="Calibri" w:hAnsi="Calibri" w:hint="eastAsia"/>
          <w:bCs/>
          <w:color w:val="auto"/>
          <w:szCs w:val="28"/>
        </w:rPr>
        <w:t>施工期环境影响分析</w:t>
      </w:r>
      <w:bookmarkEnd w:id="62"/>
    </w:p>
    <w:p w14:paraId="28B2E120" w14:textId="77777777" w:rsidR="0055605A" w:rsidRPr="00A964FF" w:rsidRDefault="0055605A" w:rsidP="0055605A">
      <w:pPr>
        <w:pStyle w:val="ad"/>
        <w:rPr>
          <w:rFonts w:ascii="Calibri" w:hAnsi="Calibri"/>
          <w:color w:val="auto"/>
        </w:rPr>
      </w:pPr>
      <w:r w:rsidRPr="00A964FF">
        <w:rPr>
          <w:rFonts w:ascii="Calibri" w:hAnsi="Calibri" w:hint="eastAsia"/>
          <w:color w:val="auto"/>
        </w:rPr>
        <w:t>4</w:t>
      </w:r>
      <w:r w:rsidRPr="00A964FF">
        <w:rPr>
          <w:rFonts w:ascii="Calibri" w:hAnsi="Calibri"/>
          <w:color w:val="auto"/>
        </w:rPr>
        <w:t>.1.1</w:t>
      </w:r>
      <w:r w:rsidRPr="00A964FF">
        <w:rPr>
          <w:rFonts w:ascii="Calibri" w:hAnsi="Calibri" w:hint="eastAsia"/>
          <w:color w:val="auto"/>
        </w:rPr>
        <w:t>大气环境影响分析</w:t>
      </w:r>
    </w:p>
    <w:p w14:paraId="7173464A" w14:textId="77777777" w:rsidR="00853399" w:rsidRPr="00A964FF" w:rsidRDefault="00853399" w:rsidP="00853399">
      <w:pPr>
        <w:pStyle w:val="00"/>
        <w:ind w:firstLineChars="200"/>
        <w:rPr>
          <w:rFonts w:hAnsi="Calibri"/>
          <w:color w:val="auto"/>
        </w:rPr>
      </w:pPr>
      <w:r w:rsidRPr="00A964FF">
        <w:rPr>
          <w:rFonts w:hAnsi="Calibri" w:hint="eastAsia"/>
          <w:color w:val="auto"/>
        </w:rPr>
        <w:t>一般来说，施工期所产生的各类扬尘源属于瞬时源，产生的浓度都比较低，粉尘颗粒也比较大，污染扩散的距离不会很远，而且主要对施工人员影响较大。</w:t>
      </w:r>
    </w:p>
    <w:p w14:paraId="6E5C7187" w14:textId="77777777" w:rsidR="00853399" w:rsidRPr="00A964FF" w:rsidRDefault="00853399" w:rsidP="00853399">
      <w:pPr>
        <w:pStyle w:val="00"/>
        <w:ind w:firstLineChars="200"/>
        <w:rPr>
          <w:rFonts w:hAnsi="Calibri"/>
          <w:color w:val="auto"/>
        </w:rPr>
      </w:pPr>
      <w:r w:rsidRPr="00A964FF">
        <w:rPr>
          <w:rFonts w:hAnsi="Calibri" w:hint="eastAsia"/>
          <w:color w:val="auto"/>
        </w:rPr>
        <w:t>本项目施工期的扬尘环节主要来源于场地土地平整、开挖、回填、物料露天堆放、装卸等过程，如遇干旱无雨季节，加上大风，施工扬尘则更为严重。</w:t>
      </w:r>
    </w:p>
    <w:p w14:paraId="6B7C3091" w14:textId="77777777" w:rsidR="00853399" w:rsidRPr="00A964FF" w:rsidRDefault="00853399" w:rsidP="00853399">
      <w:pPr>
        <w:pStyle w:val="00"/>
        <w:ind w:firstLineChars="200"/>
        <w:rPr>
          <w:rFonts w:ascii="Calibri" w:hAnsi="Calibri"/>
          <w:color w:val="auto"/>
        </w:rPr>
      </w:pPr>
      <w:r w:rsidRPr="00A964FF">
        <w:rPr>
          <w:rFonts w:ascii="Calibri" w:hAnsi="Calibri" w:hint="eastAsia"/>
          <w:color w:val="auto"/>
        </w:rPr>
        <w:t>（</w:t>
      </w:r>
      <w:r w:rsidRPr="00A964FF">
        <w:rPr>
          <w:rFonts w:ascii="Calibri" w:hAnsi="Calibri"/>
          <w:color w:val="auto"/>
        </w:rPr>
        <w:t>1</w:t>
      </w:r>
      <w:r w:rsidRPr="00A964FF">
        <w:rPr>
          <w:rFonts w:ascii="Calibri" w:hAnsi="Calibri" w:hint="eastAsia"/>
          <w:color w:val="auto"/>
        </w:rPr>
        <w:t>）风力扬尘</w:t>
      </w:r>
    </w:p>
    <w:p w14:paraId="16601381" w14:textId="77777777" w:rsidR="00853399" w:rsidRPr="00A964FF" w:rsidRDefault="00853399" w:rsidP="00853399">
      <w:pPr>
        <w:pStyle w:val="00"/>
        <w:rPr>
          <w:rFonts w:ascii="Calibri" w:hAnsi="Calibri"/>
          <w:color w:val="auto"/>
        </w:rPr>
      </w:pPr>
      <w:r w:rsidRPr="00A964FF">
        <w:rPr>
          <w:rFonts w:ascii="Calibri" w:hAnsi="Calibri" w:hint="eastAsia"/>
          <w:color w:val="auto"/>
        </w:rPr>
        <w:t>扬尘产生几率与土石方含水率、土壤粒度、风向、风速、湿度计土方回填时间等密切相关。</w:t>
      </w:r>
      <w:r w:rsidRPr="00A964FF">
        <w:rPr>
          <w:rFonts w:ascii="Calibri" w:hint="eastAsia"/>
          <w:bCs/>
          <w:color w:val="auto"/>
        </w:rPr>
        <w:t>据资料介绍，当灰尘含水率为</w:t>
      </w:r>
      <w:r w:rsidRPr="00A964FF">
        <w:rPr>
          <w:rFonts w:ascii="Calibri"/>
          <w:bCs/>
          <w:color w:val="auto"/>
        </w:rPr>
        <w:t>0.5%</w:t>
      </w:r>
      <w:r w:rsidRPr="00A964FF">
        <w:rPr>
          <w:rFonts w:ascii="Calibri" w:hint="eastAsia"/>
          <w:bCs/>
          <w:color w:val="auto"/>
        </w:rPr>
        <w:t>时，其启动风速约为</w:t>
      </w:r>
      <w:r w:rsidRPr="00A964FF">
        <w:rPr>
          <w:rFonts w:ascii="Calibri"/>
          <w:bCs/>
          <w:color w:val="auto"/>
        </w:rPr>
        <w:t>4.0m/s</w:t>
      </w:r>
      <w:r w:rsidRPr="00A964FF">
        <w:rPr>
          <w:rFonts w:ascii="Calibri" w:hint="eastAsia"/>
          <w:bCs/>
          <w:color w:val="auto"/>
        </w:rPr>
        <w:t>。</w:t>
      </w:r>
      <w:r w:rsidRPr="00A964FF">
        <w:rPr>
          <w:rFonts w:ascii="Calibri" w:hAnsi="Calibri" w:hint="eastAsia"/>
          <w:color w:val="auto"/>
        </w:rPr>
        <w:t>项目所在区域地下水位较高，施工土方含水率均大于</w:t>
      </w:r>
      <w:r w:rsidRPr="00A964FF">
        <w:rPr>
          <w:rFonts w:ascii="Calibri" w:hAnsi="Calibri"/>
          <w:color w:val="auto"/>
        </w:rPr>
        <w:t>0.5%</w:t>
      </w:r>
      <w:r w:rsidRPr="00A964FF">
        <w:rPr>
          <w:rFonts w:ascii="Calibri" w:hAnsi="Calibri" w:hint="eastAsia"/>
          <w:color w:val="auto"/>
        </w:rPr>
        <w:t>；该地区年平均风速</w:t>
      </w:r>
      <w:r w:rsidRPr="00A964FF">
        <w:rPr>
          <w:rFonts w:ascii="Calibri" w:hAnsi="Calibri"/>
          <w:color w:val="auto"/>
        </w:rPr>
        <w:t>2.35m/s</w:t>
      </w:r>
      <w:r w:rsidRPr="00A964FF">
        <w:rPr>
          <w:rFonts w:ascii="Calibri" w:hAnsi="Calibri" w:hint="eastAsia"/>
          <w:color w:val="auto"/>
        </w:rPr>
        <w:t>，故施工过程中土方的挖掘和回填不会形成大的扬尘。根据有关资料介绍，能产生扬尘的颗粒物粒径分布为：</w:t>
      </w:r>
      <w:r w:rsidRPr="00A964FF">
        <w:rPr>
          <w:rFonts w:ascii="Calibri" w:hAnsi="Calibri"/>
          <w:color w:val="auto"/>
        </w:rPr>
        <w:t>&lt;5μm</w:t>
      </w:r>
      <w:r w:rsidRPr="00A964FF">
        <w:rPr>
          <w:rFonts w:ascii="Calibri" w:hAnsi="Times New Roman" w:hint="eastAsia"/>
          <w:color w:val="auto"/>
        </w:rPr>
        <w:t>的占</w:t>
      </w:r>
      <w:r w:rsidRPr="00A964FF">
        <w:rPr>
          <w:rFonts w:ascii="Calibri" w:hAnsi="Calibri"/>
          <w:color w:val="auto"/>
        </w:rPr>
        <w:t>8%</w:t>
      </w:r>
      <w:r w:rsidRPr="00A964FF">
        <w:rPr>
          <w:rFonts w:ascii="Calibri" w:hAnsi="Times New Roman" w:hint="eastAsia"/>
          <w:color w:val="auto"/>
        </w:rPr>
        <w:t>，</w:t>
      </w:r>
      <w:r w:rsidRPr="00A964FF">
        <w:rPr>
          <w:rFonts w:ascii="Calibri" w:hAnsi="Calibri"/>
          <w:color w:val="auto"/>
        </w:rPr>
        <w:t>5</w:t>
      </w:r>
      <w:r w:rsidRPr="00A964FF">
        <w:rPr>
          <w:rFonts w:ascii="Calibri" w:hAnsi="Calibri" w:hint="eastAsia"/>
          <w:color w:val="auto"/>
        </w:rPr>
        <w:t>～</w:t>
      </w:r>
      <w:r w:rsidRPr="00A964FF">
        <w:rPr>
          <w:rFonts w:ascii="Calibri" w:hAnsi="Calibri"/>
          <w:color w:val="auto"/>
        </w:rPr>
        <w:t>20μm</w:t>
      </w:r>
      <w:r w:rsidRPr="00A964FF">
        <w:rPr>
          <w:rFonts w:ascii="Calibri" w:hAnsi="Times New Roman" w:hint="eastAsia"/>
          <w:color w:val="auto"/>
        </w:rPr>
        <w:t>的占</w:t>
      </w:r>
      <w:r w:rsidRPr="00A964FF">
        <w:rPr>
          <w:rFonts w:ascii="Calibri" w:hAnsi="Calibri"/>
          <w:color w:val="auto"/>
        </w:rPr>
        <w:t>24%</w:t>
      </w:r>
      <w:r w:rsidRPr="00A964FF">
        <w:rPr>
          <w:rFonts w:ascii="Calibri" w:hAnsi="Times New Roman" w:hint="eastAsia"/>
          <w:color w:val="auto"/>
        </w:rPr>
        <w:t>，＞</w:t>
      </w:r>
      <w:r w:rsidRPr="00A964FF">
        <w:rPr>
          <w:rFonts w:ascii="Calibri" w:hAnsi="Calibri"/>
          <w:color w:val="auto"/>
        </w:rPr>
        <w:t>20μm</w:t>
      </w:r>
      <w:r w:rsidRPr="00A964FF">
        <w:rPr>
          <w:rFonts w:ascii="Calibri" w:hAnsi="Calibri" w:hint="eastAsia"/>
          <w:color w:val="auto"/>
        </w:rPr>
        <w:t>的占</w:t>
      </w:r>
      <w:r w:rsidRPr="00A964FF">
        <w:rPr>
          <w:rFonts w:ascii="Calibri" w:hAnsi="Calibri"/>
          <w:color w:val="auto"/>
        </w:rPr>
        <w:t>68%</w:t>
      </w:r>
      <w:r w:rsidRPr="00A964FF">
        <w:rPr>
          <w:rFonts w:ascii="Calibri" w:hAnsi="Calibri" w:hint="eastAsia"/>
          <w:color w:val="auto"/>
        </w:rPr>
        <w:t>。据相似条件施工现场监测结果，施工产生扬尘的浓度与距离变化关系见表</w:t>
      </w:r>
      <w:r w:rsidRPr="00A964FF">
        <w:rPr>
          <w:rFonts w:ascii="Calibri" w:hAnsi="Calibri"/>
          <w:color w:val="auto"/>
        </w:rPr>
        <w:t>4</w:t>
      </w:r>
      <w:r w:rsidR="0097027F" w:rsidRPr="00A964FF">
        <w:rPr>
          <w:rFonts w:ascii="Calibri" w:hAnsi="Calibri" w:hint="eastAsia"/>
          <w:color w:val="auto"/>
        </w:rPr>
        <w:t>.1</w:t>
      </w:r>
      <w:r w:rsidRPr="00A964FF">
        <w:rPr>
          <w:rFonts w:ascii="Calibri" w:hAnsi="Calibri"/>
          <w:color w:val="auto"/>
        </w:rPr>
        <w:t>-1</w:t>
      </w:r>
      <w:r w:rsidRPr="00A964FF">
        <w:rPr>
          <w:rFonts w:ascii="Calibri" w:hAnsi="Calibri" w:hint="eastAsia"/>
          <w:color w:val="auto"/>
        </w:rPr>
        <w:t>。</w:t>
      </w:r>
    </w:p>
    <w:p w14:paraId="7ED8F3D5" w14:textId="77777777" w:rsidR="00853399" w:rsidRPr="00A964FF" w:rsidRDefault="00853399" w:rsidP="00853399">
      <w:pPr>
        <w:pStyle w:val="00"/>
        <w:rPr>
          <w:rFonts w:ascii="Calibri" w:hAnsi="Calibri"/>
          <w:color w:val="auto"/>
          <w:sz w:val="21"/>
          <w:szCs w:val="21"/>
        </w:rPr>
      </w:pPr>
      <w:r w:rsidRPr="00A964FF">
        <w:rPr>
          <w:rFonts w:ascii="Calibri" w:eastAsia="黑体" w:hAnsi="Calibri" w:hint="eastAsia"/>
          <w:color w:val="auto"/>
        </w:rPr>
        <w:t>表</w:t>
      </w:r>
      <w:r w:rsidRPr="00A964FF">
        <w:rPr>
          <w:rFonts w:ascii="Calibri" w:eastAsia="黑体" w:hAnsi="Calibri"/>
          <w:color w:val="auto"/>
        </w:rPr>
        <w:t>4</w:t>
      </w:r>
      <w:r w:rsidR="0097027F" w:rsidRPr="00A964FF">
        <w:rPr>
          <w:rFonts w:ascii="Calibri" w:eastAsia="黑体" w:hAnsi="Calibri" w:hint="eastAsia"/>
          <w:color w:val="auto"/>
        </w:rPr>
        <w:t>.1</w:t>
      </w:r>
      <w:r w:rsidRPr="00A964FF">
        <w:rPr>
          <w:rFonts w:ascii="Calibri" w:eastAsia="黑体" w:hAnsi="Calibri"/>
          <w:color w:val="auto"/>
        </w:rPr>
        <w:t xml:space="preserve">-1       </w:t>
      </w:r>
      <w:r w:rsidRPr="00A964FF">
        <w:rPr>
          <w:rFonts w:ascii="Calibri" w:eastAsia="黑体" w:hAnsi="Calibri" w:hint="eastAsia"/>
          <w:color w:val="auto"/>
        </w:rPr>
        <w:t>施工现场扬尘</w:t>
      </w:r>
      <w:r w:rsidRPr="00A964FF">
        <w:rPr>
          <w:rFonts w:ascii="Calibri" w:eastAsia="黑体" w:hAnsi="Calibri"/>
          <w:color w:val="auto"/>
        </w:rPr>
        <w:t>TSP</w:t>
      </w:r>
      <w:r w:rsidRPr="00A964FF">
        <w:rPr>
          <w:rFonts w:ascii="Calibri" w:eastAsia="黑体" w:hAnsi="Calibri" w:hint="eastAsia"/>
          <w:color w:val="auto"/>
        </w:rPr>
        <w:t>随距离变化的浓度分布</w:t>
      </w:r>
      <w:r w:rsidRPr="00A964FF">
        <w:rPr>
          <w:rFonts w:ascii="Calibri" w:eastAsia="黑体" w:hAnsi="Calibri"/>
          <w:color w:val="auto"/>
        </w:rPr>
        <w:t xml:space="preserve">       </w:t>
      </w:r>
      <w:r w:rsidRPr="00A964FF">
        <w:rPr>
          <w:rFonts w:ascii="Calibri" w:hAnsi="Calibri" w:hint="eastAsia"/>
          <w:color w:val="auto"/>
          <w:sz w:val="21"/>
          <w:szCs w:val="21"/>
        </w:rPr>
        <w:t>单位：</w:t>
      </w:r>
      <w:r w:rsidRPr="00A964FF">
        <w:rPr>
          <w:rFonts w:ascii="Calibri" w:hAnsi="Calibri"/>
          <w:color w:val="auto"/>
          <w:sz w:val="21"/>
          <w:szCs w:val="21"/>
        </w:rPr>
        <w:t>mg/m</w:t>
      </w:r>
      <w:r w:rsidRPr="00A964FF">
        <w:rPr>
          <w:rFonts w:ascii="Calibri" w:hAnsi="Calibri"/>
          <w:color w:val="auto"/>
          <w:sz w:val="21"/>
          <w:szCs w:val="21"/>
          <w:vertAlign w:val="superscript"/>
        </w:rPr>
        <w:t>3</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41"/>
        <w:gridCol w:w="1044"/>
        <w:gridCol w:w="1046"/>
        <w:gridCol w:w="1046"/>
        <w:gridCol w:w="1046"/>
        <w:gridCol w:w="1046"/>
        <w:gridCol w:w="1046"/>
        <w:gridCol w:w="1385"/>
      </w:tblGrid>
      <w:tr w:rsidR="00853399" w:rsidRPr="00A964FF" w14:paraId="205B03A6" w14:textId="77777777" w:rsidTr="00162031">
        <w:trPr>
          <w:trHeight w:val="340"/>
        </w:trPr>
        <w:tc>
          <w:tcPr>
            <w:tcW w:w="599" w:type="pct"/>
            <w:vMerge w:val="restart"/>
            <w:vAlign w:val="center"/>
          </w:tcPr>
          <w:p w14:paraId="640F2684"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防尘措施</w:t>
            </w:r>
          </w:p>
        </w:tc>
        <w:tc>
          <w:tcPr>
            <w:tcW w:w="3604" w:type="pct"/>
            <w:gridSpan w:val="6"/>
            <w:vAlign w:val="center"/>
          </w:tcPr>
          <w:p w14:paraId="344584C6"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工地下风向距离</w:t>
            </w:r>
          </w:p>
        </w:tc>
        <w:tc>
          <w:tcPr>
            <w:tcW w:w="797" w:type="pct"/>
            <w:vMerge w:val="restart"/>
            <w:vAlign w:val="center"/>
          </w:tcPr>
          <w:p w14:paraId="6A036C34"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工地上风向（对照点）</w:t>
            </w:r>
          </w:p>
        </w:tc>
      </w:tr>
      <w:tr w:rsidR="00853399" w:rsidRPr="00A964FF" w14:paraId="13F404D8" w14:textId="77777777" w:rsidTr="00162031">
        <w:trPr>
          <w:trHeight w:val="340"/>
        </w:trPr>
        <w:tc>
          <w:tcPr>
            <w:tcW w:w="599" w:type="pct"/>
            <w:vMerge/>
            <w:vAlign w:val="center"/>
          </w:tcPr>
          <w:p w14:paraId="5EA7BB57" w14:textId="77777777" w:rsidR="00853399" w:rsidRPr="00A964FF" w:rsidRDefault="00853399" w:rsidP="00162031">
            <w:pPr>
              <w:spacing w:line="240" w:lineRule="atLeast"/>
              <w:jc w:val="center"/>
              <w:rPr>
                <w:rFonts w:ascii="Calibri" w:hAnsi="Calibri"/>
                <w:color w:val="auto"/>
                <w:szCs w:val="21"/>
              </w:rPr>
            </w:pPr>
          </w:p>
        </w:tc>
        <w:tc>
          <w:tcPr>
            <w:tcW w:w="600" w:type="pct"/>
            <w:vAlign w:val="center"/>
          </w:tcPr>
          <w:p w14:paraId="63CACFBF"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20m</w:t>
            </w:r>
          </w:p>
        </w:tc>
        <w:tc>
          <w:tcPr>
            <w:tcW w:w="601" w:type="pct"/>
            <w:vAlign w:val="center"/>
          </w:tcPr>
          <w:p w14:paraId="7690B5BD"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50m</w:t>
            </w:r>
          </w:p>
        </w:tc>
        <w:tc>
          <w:tcPr>
            <w:tcW w:w="601" w:type="pct"/>
            <w:vAlign w:val="center"/>
          </w:tcPr>
          <w:p w14:paraId="28990E52"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100m</w:t>
            </w:r>
          </w:p>
        </w:tc>
        <w:tc>
          <w:tcPr>
            <w:tcW w:w="601" w:type="pct"/>
            <w:vAlign w:val="center"/>
          </w:tcPr>
          <w:p w14:paraId="12C7209B"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150m</w:t>
            </w:r>
          </w:p>
        </w:tc>
        <w:tc>
          <w:tcPr>
            <w:tcW w:w="601" w:type="pct"/>
            <w:vAlign w:val="center"/>
          </w:tcPr>
          <w:p w14:paraId="7C3A925A"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200m</w:t>
            </w:r>
          </w:p>
        </w:tc>
        <w:tc>
          <w:tcPr>
            <w:tcW w:w="601" w:type="pct"/>
            <w:vAlign w:val="center"/>
          </w:tcPr>
          <w:p w14:paraId="6E0D81CD"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250m</w:t>
            </w:r>
          </w:p>
        </w:tc>
        <w:tc>
          <w:tcPr>
            <w:tcW w:w="797" w:type="pct"/>
            <w:vMerge/>
            <w:vAlign w:val="center"/>
          </w:tcPr>
          <w:p w14:paraId="17398019" w14:textId="77777777" w:rsidR="00853399" w:rsidRPr="00A964FF" w:rsidRDefault="00853399" w:rsidP="00162031">
            <w:pPr>
              <w:spacing w:line="240" w:lineRule="atLeast"/>
              <w:jc w:val="center"/>
              <w:rPr>
                <w:rFonts w:ascii="Calibri" w:hAnsi="Calibri"/>
                <w:color w:val="auto"/>
                <w:szCs w:val="21"/>
              </w:rPr>
            </w:pPr>
          </w:p>
        </w:tc>
      </w:tr>
      <w:tr w:rsidR="00853399" w:rsidRPr="00A964FF" w14:paraId="20249094" w14:textId="77777777" w:rsidTr="00162031">
        <w:trPr>
          <w:trHeight w:val="340"/>
        </w:trPr>
        <w:tc>
          <w:tcPr>
            <w:tcW w:w="599" w:type="pct"/>
            <w:vAlign w:val="center"/>
          </w:tcPr>
          <w:p w14:paraId="136A8A12"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无</w:t>
            </w:r>
          </w:p>
        </w:tc>
        <w:tc>
          <w:tcPr>
            <w:tcW w:w="600" w:type="pct"/>
            <w:vAlign w:val="center"/>
          </w:tcPr>
          <w:p w14:paraId="793F7F78"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1.303</w:t>
            </w:r>
          </w:p>
        </w:tc>
        <w:tc>
          <w:tcPr>
            <w:tcW w:w="601" w:type="pct"/>
            <w:vAlign w:val="center"/>
          </w:tcPr>
          <w:p w14:paraId="140A21DF"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0.722</w:t>
            </w:r>
          </w:p>
        </w:tc>
        <w:tc>
          <w:tcPr>
            <w:tcW w:w="601" w:type="pct"/>
            <w:vAlign w:val="center"/>
          </w:tcPr>
          <w:p w14:paraId="63C2247A"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0.402</w:t>
            </w:r>
          </w:p>
        </w:tc>
        <w:tc>
          <w:tcPr>
            <w:tcW w:w="601" w:type="pct"/>
            <w:vAlign w:val="center"/>
          </w:tcPr>
          <w:p w14:paraId="29FE4C91"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0.311</w:t>
            </w:r>
          </w:p>
        </w:tc>
        <w:tc>
          <w:tcPr>
            <w:tcW w:w="601" w:type="pct"/>
            <w:vAlign w:val="center"/>
          </w:tcPr>
          <w:p w14:paraId="1BCC0DE7"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0.270</w:t>
            </w:r>
          </w:p>
        </w:tc>
        <w:tc>
          <w:tcPr>
            <w:tcW w:w="601" w:type="pct"/>
            <w:vAlign w:val="center"/>
          </w:tcPr>
          <w:p w14:paraId="7E3E055F"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0.210</w:t>
            </w:r>
          </w:p>
        </w:tc>
        <w:tc>
          <w:tcPr>
            <w:tcW w:w="797" w:type="pct"/>
            <w:vMerge w:val="restart"/>
            <w:vAlign w:val="center"/>
          </w:tcPr>
          <w:p w14:paraId="2C60FF08"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0.204</w:t>
            </w:r>
          </w:p>
        </w:tc>
      </w:tr>
      <w:tr w:rsidR="00853399" w:rsidRPr="00A964FF" w14:paraId="46AA472B" w14:textId="77777777" w:rsidTr="00162031">
        <w:trPr>
          <w:trHeight w:val="340"/>
        </w:trPr>
        <w:tc>
          <w:tcPr>
            <w:tcW w:w="599" w:type="pct"/>
            <w:vAlign w:val="center"/>
          </w:tcPr>
          <w:p w14:paraId="35CB39DC"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有围挡</w:t>
            </w:r>
          </w:p>
        </w:tc>
        <w:tc>
          <w:tcPr>
            <w:tcW w:w="600" w:type="pct"/>
            <w:vAlign w:val="center"/>
          </w:tcPr>
          <w:p w14:paraId="50777A52"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0.824</w:t>
            </w:r>
          </w:p>
        </w:tc>
        <w:tc>
          <w:tcPr>
            <w:tcW w:w="601" w:type="pct"/>
            <w:vAlign w:val="center"/>
          </w:tcPr>
          <w:p w14:paraId="129C8DFC"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0.426</w:t>
            </w:r>
          </w:p>
        </w:tc>
        <w:tc>
          <w:tcPr>
            <w:tcW w:w="601" w:type="pct"/>
            <w:vAlign w:val="center"/>
          </w:tcPr>
          <w:p w14:paraId="1AFFA922"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0.235</w:t>
            </w:r>
          </w:p>
        </w:tc>
        <w:tc>
          <w:tcPr>
            <w:tcW w:w="601" w:type="pct"/>
            <w:vAlign w:val="center"/>
          </w:tcPr>
          <w:p w14:paraId="5D0833C0"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0.221</w:t>
            </w:r>
          </w:p>
        </w:tc>
        <w:tc>
          <w:tcPr>
            <w:tcW w:w="601" w:type="pct"/>
            <w:vAlign w:val="center"/>
          </w:tcPr>
          <w:p w14:paraId="1EB621A5"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0.215</w:t>
            </w:r>
          </w:p>
        </w:tc>
        <w:tc>
          <w:tcPr>
            <w:tcW w:w="601" w:type="pct"/>
            <w:vAlign w:val="center"/>
          </w:tcPr>
          <w:p w14:paraId="4C358910"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0.206</w:t>
            </w:r>
          </w:p>
        </w:tc>
        <w:tc>
          <w:tcPr>
            <w:tcW w:w="797" w:type="pct"/>
            <w:vMerge/>
            <w:vAlign w:val="center"/>
          </w:tcPr>
          <w:p w14:paraId="3CD807A6" w14:textId="77777777" w:rsidR="00853399" w:rsidRPr="00A964FF" w:rsidRDefault="00853399" w:rsidP="00162031">
            <w:pPr>
              <w:pStyle w:val="00"/>
              <w:rPr>
                <w:rFonts w:ascii="Calibri" w:hAnsi="Calibri"/>
                <w:color w:val="auto"/>
              </w:rPr>
            </w:pPr>
          </w:p>
        </w:tc>
      </w:tr>
    </w:tbl>
    <w:p w14:paraId="0D790AA0" w14:textId="77777777" w:rsidR="00853399" w:rsidRPr="00A964FF" w:rsidRDefault="00853399" w:rsidP="00853399">
      <w:pPr>
        <w:pStyle w:val="00"/>
        <w:rPr>
          <w:rFonts w:ascii="Calibri" w:hAnsi="Calibri"/>
          <w:color w:val="auto"/>
        </w:rPr>
      </w:pPr>
      <w:r w:rsidRPr="00A964FF">
        <w:rPr>
          <w:rFonts w:ascii="Calibri" w:hAnsi="Calibri" w:hint="eastAsia"/>
          <w:color w:val="auto"/>
        </w:rPr>
        <w:t>由上表可知，扬尘点</w:t>
      </w:r>
      <w:r w:rsidRPr="00A964FF">
        <w:rPr>
          <w:rFonts w:ascii="Calibri" w:hAnsi="Calibri"/>
          <w:color w:val="auto"/>
        </w:rPr>
        <w:t>TSP</w:t>
      </w:r>
      <w:r w:rsidRPr="00A964FF">
        <w:rPr>
          <w:rFonts w:ascii="Calibri" w:hAnsi="Calibri" w:hint="eastAsia"/>
          <w:color w:val="auto"/>
        </w:rPr>
        <w:t>浓度随距离的增加而衰减，在无任何防尘措施的情况下，施工现场对周围环境的影响较严重，项目施工过程中施工场地产生的扬尘对主导风向下风向</w:t>
      </w:r>
      <w:r w:rsidRPr="00A964FF">
        <w:rPr>
          <w:rFonts w:ascii="Calibri" w:hAnsi="Calibri"/>
          <w:color w:val="auto"/>
        </w:rPr>
        <w:t>100</w:t>
      </w:r>
      <w:r w:rsidRPr="00A964FF">
        <w:rPr>
          <w:rFonts w:ascii="Calibri" w:hAnsi="Calibri" w:hint="eastAsia"/>
          <w:color w:val="auto"/>
        </w:rPr>
        <w:t>米范围内的区域影响较大。评价要求施工场地及时进行硬化，加强管理，覆盖裸露土地，使用商品混凝土，限制施工场地内车辆车速，并对场地道路进行洒水抑尘，安装运输车辆冲洗装置、用帆布覆盖易起尘的物料等措施，可大大减少工地扬尘对周围环境空气的影响。</w:t>
      </w:r>
    </w:p>
    <w:p w14:paraId="779952F8" w14:textId="77777777" w:rsidR="00853399" w:rsidRPr="00A964FF" w:rsidRDefault="00853399" w:rsidP="00853399">
      <w:pPr>
        <w:pStyle w:val="00"/>
        <w:rPr>
          <w:rFonts w:ascii="Calibri" w:hAnsi="Calibri"/>
          <w:color w:val="auto"/>
        </w:rPr>
      </w:pPr>
      <w:r w:rsidRPr="00A964FF">
        <w:rPr>
          <w:rFonts w:ascii="Calibri" w:hAnsi="Calibri" w:hint="eastAsia"/>
          <w:color w:val="auto"/>
        </w:rPr>
        <w:t>（</w:t>
      </w:r>
      <w:r w:rsidRPr="00A964FF">
        <w:rPr>
          <w:rFonts w:ascii="Calibri" w:hAnsi="Calibri"/>
          <w:color w:val="auto"/>
        </w:rPr>
        <w:t>2</w:t>
      </w:r>
      <w:r w:rsidRPr="00A964FF">
        <w:rPr>
          <w:rFonts w:ascii="Calibri" w:hAnsi="Calibri" w:hint="eastAsia"/>
          <w:color w:val="auto"/>
        </w:rPr>
        <w:t>）动力起尘</w:t>
      </w:r>
    </w:p>
    <w:p w14:paraId="5010F2CC" w14:textId="77777777" w:rsidR="00853399" w:rsidRPr="00A964FF" w:rsidRDefault="00853399" w:rsidP="00853399">
      <w:pPr>
        <w:spacing w:line="520" w:lineRule="exact"/>
        <w:ind w:firstLineChars="200" w:firstLine="480"/>
        <w:rPr>
          <w:rFonts w:ascii="Calibri"/>
          <w:bCs/>
          <w:color w:val="auto"/>
          <w:sz w:val="24"/>
        </w:rPr>
      </w:pPr>
      <w:r w:rsidRPr="00A964FF">
        <w:rPr>
          <w:rFonts w:ascii="Calibri" w:hint="eastAsia"/>
          <w:bCs/>
          <w:color w:val="auto"/>
          <w:sz w:val="24"/>
        </w:rPr>
        <w:t>动力汽车主要是由于施工车辆运输造成，根据资料，一辆载重</w:t>
      </w:r>
      <w:r w:rsidRPr="00A964FF">
        <w:rPr>
          <w:rFonts w:ascii="Calibri" w:hAnsi="Calibri"/>
          <w:bCs/>
          <w:color w:val="auto"/>
          <w:sz w:val="24"/>
        </w:rPr>
        <w:t>5</w:t>
      </w:r>
      <w:r w:rsidRPr="00A964FF">
        <w:rPr>
          <w:rFonts w:ascii="Calibri" w:hint="eastAsia"/>
          <w:bCs/>
          <w:color w:val="auto"/>
          <w:sz w:val="24"/>
        </w:rPr>
        <w:t>吨卡车在不同</w:t>
      </w:r>
      <w:r w:rsidRPr="00A964FF">
        <w:rPr>
          <w:rFonts w:ascii="Calibri" w:hint="eastAsia"/>
          <w:bCs/>
          <w:color w:val="auto"/>
          <w:sz w:val="24"/>
        </w:rPr>
        <w:lastRenderedPageBreak/>
        <w:t>车速和地面清洁程度的汽车扬尘量见表</w:t>
      </w:r>
      <w:r w:rsidRPr="00A964FF">
        <w:rPr>
          <w:rFonts w:ascii="Calibri"/>
          <w:bCs/>
          <w:color w:val="auto"/>
          <w:sz w:val="24"/>
        </w:rPr>
        <w:t>4</w:t>
      </w:r>
      <w:r w:rsidR="0097027F" w:rsidRPr="00A964FF">
        <w:rPr>
          <w:rFonts w:ascii="Calibri" w:hint="eastAsia"/>
          <w:bCs/>
          <w:color w:val="auto"/>
          <w:sz w:val="24"/>
        </w:rPr>
        <w:t>.1</w:t>
      </w:r>
      <w:r w:rsidRPr="00A964FF">
        <w:rPr>
          <w:rFonts w:ascii="Calibri"/>
          <w:bCs/>
          <w:color w:val="auto"/>
          <w:sz w:val="24"/>
        </w:rPr>
        <w:t>-2</w:t>
      </w:r>
      <w:r w:rsidRPr="00A964FF">
        <w:rPr>
          <w:rFonts w:ascii="Calibri" w:hint="eastAsia"/>
          <w:bCs/>
          <w:color w:val="auto"/>
          <w:sz w:val="24"/>
        </w:rPr>
        <w:t>。</w:t>
      </w:r>
    </w:p>
    <w:p w14:paraId="353F5BF2" w14:textId="77777777" w:rsidR="00853399" w:rsidRPr="00A964FF" w:rsidRDefault="00853399" w:rsidP="00853399">
      <w:pPr>
        <w:spacing w:line="520" w:lineRule="exact"/>
        <w:ind w:firstLineChars="200" w:firstLine="480"/>
        <w:rPr>
          <w:rFonts w:ascii="Calibri" w:eastAsia="黑体" w:hAnsi="Calibri"/>
          <w:bCs/>
          <w:color w:val="auto"/>
          <w:sz w:val="24"/>
        </w:rPr>
      </w:pPr>
      <w:r w:rsidRPr="00A964FF">
        <w:rPr>
          <w:rFonts w:ascii="Calibri" w:eastAsia="黑体" w:hint="eastAsia"/>
          <w:bCs/>
          <w:color w:val="auto"/>
          <w:sz w:val="24"/>
        </w:rPr>
        <w:t>表</w:t>
      </w:r>
      <w:r w:rsidRPr="00A964FF">
        <w:rPr>
          <w:rFonts w:ascii="Calibri" w:eastAsia="黑体" w:hAnsi="Calibri"/>
          <w:bCs/>
          <w:color w:val="auto"/>
          <w:sz w:val="24"/>
        </w:rPr>
        <w:t>4</w:t>
      </w:r>
      <w:r w:rsidR="0097027F" w:rsidRPr="00A964FF">
        <w:rPr>
          <w:rFonts w:ascii="Calibri" w:eastAsia="黑体" w:hAnsi="Calibri" w:hint="eastAsia"/>
          <w:bCs/>
          <w:color w:val="auto"/>
          <w:sz w:val="24"/>
        </w:rPr>
        <w:t>.1</w:t>
      </w:r>
      <w:r w:rsidRPr="00A964FF">
        <w:rPr>
          <w:rFonts w:ascii="Calibri" w:eastAsia="黑体" w:hAnsi="Calibri"/>
          <w:bCs/>
          <w:color w:val="auto"/>
          <w:sz w:val="24"/>
        </w:rPr>
        <w:t xml:space="preserve">-2        </w:t>
      </w:r>
      <w:r w:rsidRPr="00A964FF">
        <w:rPr>
          <w:rFonts w:ascii="Calibri" w:eastAsia="黑体" w:hint="eastAsia"/>
          <w:bCs/>
          <w:color w:val="auto"/>
          <w:sz w:val="24"/>
        </w:rPr>
        <w:t>在不同车速和地面清洁程度的汽车扬尘</w:t>
      </w:r>
      <w:r w:rsidRPr="00A964FF">
        <w:rPr>
          <w:rFonts w:ascii="Calibri" w:eastAsia="黑体"/>
          <w:bCs/>
          <w:color w:val="auto"/>
          <w:sz w:val="24"/>
        </w:rPr>
        <w:t xml:space="preserve">      </w:t>
      </w:r>
      <w:r w:rsidRPr="00A964FF">
        <w:rPr>
          <w:rFonts w:ascii="Calibri" w:hAnsi="宋体" w:hint="eastAsia"/>
          <w:bCs/>
          <w:color w:val="auto"/>
          <w:szCs w:val="21"/>
        </w:rPr>
        <w:t>单位：</w:t>
      </w:r>
      <w:r w:rsidRPr="00A964FF">
        <w:rPr>
          <w:rFonts w:ascii="Calibri" w:hAnsi="Calibri"/>
          <w:bCs/>
          <w:color w:val="auto"/>
          <w:szCs w:val="21"/>
        </w:rPr>
        <w:t>kg/</w:t>
      </w:r>
      <w:r w:rsidRPr="00A964FF">
        <w:rPr>
          <w:rFonts w:ascii="Calibri" w:hAnsi="宋体" w:hint="eastAsia"/>
          <w:bCs/>
          <w:color w:val="auto"/>
          <w:szCs w:val="21"/>
        </w:rPr>
        <w:t>辆</w:t>
      </w:r>
      <w:r w:rsidRPr="00A964FF">
        <w:rPr>
          <w:rFonts w:ascii="Calibri" w:hAnsi="Calibri"/>
          <w:bCs/>
          <w:color w:val="auto"/>
          <w:szCs w:val="21"/>
        </w:rPr>
        <w:t>·km</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76"/>
        <w:gridCol w:w="1220"/>
        <w:gridCol w:w="1221"/>
        <w:gridCol w:w="1221"/>
        <w:gridCol w:w="1220"/>
        <w:gridCol w:w="1221"/>
        <w:gridCol w:w="1221"/>
      </w:tblGrid>
      <w:tr w:rsidR="00853399" w:rsidRPr="00A964FF" w14:paraId="33D71A63" w14:textId="77777777" w:rsidTr="00162031">
        <w:trPr>
          <w:trHeight w:val="340"/>
          <w:jc w:val="center"/>
        </w:trPr>
        <w:tc>
          <w:tcPr>
            <w:tcW w:w="790" w:type="pct"/>
            <w:tcBorders>
              <w:top w:val="single" w:sz="12" w:space="0" w:color="auto"/>
              <w:left w:val="single" w:sz="12" w:space="0" w:color="auto"/>
              <w:bottom w:val="single" w:sz="6" w:space="0" w:color="auto"/>
              <w:tl2br w:val="single" w:sz="4" w:space="0" w:color="auto"/>
            </w:tcBorders>
            <w:vAlign w:val="center"/>
          </w:tcPr>
          <w:p w14:paraId="5AB7129A" w14:textId="77777777" w:rsidR="00853399" w:rsidRPr="00A964FF" w:rsidRDefault="00853399" w:rsidP="00162031">
            <w:pPr>
              <w:spacing w:line="240" w:lineRule="atLeast"/>
              <w:jc w:val="right"/>
              <w:rPr>
                <w:rFonts w:ascii="Calibri" w:hAnsi="Calibri"/>
                <w:color w:val="auto"/>
                <w:szCs w:val="21"/>
              </w:rPr>
            </w:pPr>
            <w:r w:rsidRPr="00A964FF">
              <w:rPr>
                <w:rFonts w:ascii="Calibri" w:hint="eastAsia"/>
                <w:color w:val="auto"/>
                <w:szCs w:val="21"/>
              </w:rPr>
              <w:t>粉尘量</w:t>
            </w:r>
          </w:p>
          <w:p w14:paraId="3C5186EC" w14:textId="77777777" w:rsidR="00853399" w:rsidRPr="00A964FF" w:rsidRDefault="00853399" w:rsidP="00162031">
            <w:pPr>
              <w:spacing w:line="240" w:lineRule="atLeast"/>
              <w:rPr>
                <w:rFonts w:ascii="Calibri" w:hAnsi="Calibri"/>
                <w:color w:val="auto"/>
                <w:szCs w:val="21"/>
              </w:rPr>
            </w:pPr>
            <w:r w:rsidRPr="00A964FF">
              <w:rPr>
                <w:rFonts w:ascii="Calibri" w:hint="eastAsia"/>
                <w:color w:val="auto"/>
                <w:szCs w:val="21"/>
              </w:rPr>
              <w:t>车速</w:t>
            </w:r>
          </w:p>
        </w:tc>
        <w:tc>
          <w:tcPr>
            <w:tcW w:w="701" w:type="pct"/>
            <w:tcBorders>
              <w:top w:val="single" w:sz="12" w:space="0" w:color="auto"/>
              <w:bottom w:val="single" w:sz="6" w:space="0" w:color="auto"/>
            </w:tcBorders>
            <w:vAlign w:val="center"/>
          </w:tcPr>
          <w:p w14:paraId="1EB1D192"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w:t>
            </w:r>
          </w:p>
          <w:p w14:paraId="26C18C9B"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w:t>
            </w:r>
            <w:r w:rsidRPr="00A964FF">
              <w:rPr>
                <w:rFonts w:ascii="Calibri" w:hAnsi="Calibri"/>
                <w:color w:val="auto"/>
                <w:szCs w:val="21"/>
              </w:rPr>
              <w:t>kg/m</w:t>
            </w:r>
            <w:r w:rsidRPr="00A964FF">
              <w:rPr>
                <w:rFonts w:ascii="Calibri" w:hAnsi="Calibri"/>
                <w:color w:val="auto"/>
                <w:szCs w:val="21"/>
                <w:vertAlign w:val="superscript"/>
              </w:rPr>
              <w:t>2</w:t>
            </w:r>
            <w:r w:rsidRPr="00A964FF">
              <w:rPr>
                <w:rFonts w:ascii="Calibri" w:hAnsi="Calibri" w:hint="eastAsia"/>
                <w:color w:val="auto"/>
                <w:szCs w:val="21"/>
              </w:rPr>
              <w:t>）</w:t>
            </w:r>
          </w:p>
        </w:tc>
        <w:tc>
          <w:tcPr>
            <w:tcW w:w="702" w:type="pct"/>
            <w:tcBorders>
              <w:top w:val="single" w:sz="12" w:space="0" w:color="auto"/>
              <w:bottom w:val="single" w:sz="6" w:space="0" w:color="auto"/>
            </w:tcBorders>
            <w:vAlign w:val="center"/>
          </w:tcPr>
          <w:p w14:paraId="6A3BE37C"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w:t>
            </w:r>
          </w:p>
          <w:p w14:paraId="1692E956"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w:t>
            </w:r>
            <w:r w:rsidRPr="00A964FF">
              <w:rPr>
                <w:rFonts w:ascii="Calibri" w:hAnsi="Calibri"/>
                <w:color w:val="auto"/>
                <w:szCs w:val="21"/>
              </w:rPr>
              <w:t>kg/m</w:t>
            </w:r>
            <w:r w:rsidRPr="00A964FF">
              <w:rPr>
                <w:rFonts w:ascii="Calibri" w:hAnsi="Calibri"/>
                <w:color w:val="auto"/>
                <w:szCs w:val="21"/>
                <w:vertAlign w:val="superscript"/>
              </w:rPr>
              <w:t>2</w:t>
            </w:r>
            <w:r w:rsidRPr="00A964FF">
              <w:rPr>
                <w:rFonts w:ascii="Calibri" w:hAnsi="Calibri" w:hint="eastAsia"/>
                <w:color w:val="auto"/>
                <w:szCs w:val="21"/>
              </w:rPr>
              <w:t>）</w:t>
            </w:r>
          </w:p>
        </w:tc>
        <w:tc>
          <w:tcPr>
            <w:tcW w:w="702" w:type="pct"/>
            <w:tcBorders>
              <w:top w:val="single" w:sz="12" w:space="0" w:color="auto"/>
              <w:bottom w:val="single" w:sz="6" w:space="0" w:color="auto"/>
            </w:tcBorders>
            <w:vAlign w:val="center"/>
          </w:tcPr>
          <w:p w14:paraId="1D0E4131"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0.3</w:t>
            </w:r>
          </w:p>
          <w:p w14:paraId="46E7AA13"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w:t>
            </w:r>
            <w:r w:rsidRPr="00A964FF">
              <w:rPr>
                <w:rFonts w:ascii="Calibri" w:hAnsi="Calibri"/>
                <w:color w:val="auto"/>
                <w:szCs w:val="21"/>
              </w:rPr>
              <w:t>kg/m</w:t>
            </w:r>
            <w:r w:rsidRPr="00A964FF">
              <w:rPr>
                <w:rFonts w:ascii="Calibri" w:hAnsi="Calibri"/>
                <w:color w:val="auto"/>
                <w:szCs w:val="21"/>
                <w:vertAlign w:val="superscript"/>
              </w:rPr>
              <w:t>2</w:t>
            </w:r>
            <w:r w:rsidRPr="00A964FF">
              <w:rPr>
                <w:rFonts w:ascii="Calibri" w:hAnsi="Calibri" w:hint="eastAsia"/>
                <w:color w:val="auto"/>
                <w:szCs w:val="21"/>
              </w:rPr>
              <w:t>）</w:t>
            </w:r>
          </w:p>
        </w:tc>
        <w:tc>
          <w:tcPr>
            <w:tcW w:w="701" w:type="pct"/>
            <w:tcBorders>
              <w:top w:val="single" w:sz="12" w:space="0" w:color="auto"/>
              <w:bottom w:val="single" w:sz="6" w:space="0" w:color="auto"/>
            </w:tcBorders>
            <w:vAlign w:val="center"/>
          </w:tcPr>
          <w:p w14:paraId="40747A5C"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0.4</w:t>
            </w:r>
          </w:p>
          <w:p w14:paraId="4F8704FF"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w:t>
            </w:r>
            <w:r w:rsidRPr="00A964FF">
              <w:rPr>
                <w:rFonts w:ascii="Calibri" w:hAnsi="Calibri"/>
                <w:color w:val="auto"/>
                <w:szCs w:val="21"/>
              </w:rPr>
              <w:t>kg/m</w:t>
            </w:r>
            <w:r w:rsidRPr="00A964FF">
              <w:rPr>
                <w:rFonts w:ascii="Calibri" w:hAnsi="Calibri"/>
                <w:color w:val="auto"/>
                <w:szCs w:val="21"/>
                <w:vertAlign w:val="superscript"/>
              </w:rPr>
              <w:t>2</w:t>
            </w:r>
            <w:r w:rsidRPr="00A964FF">
              <w:rPr>
                <w:rFonts w:ascii="Calibri" w:hAnsi="Calibri" w:hint="eastAsia"/>
                <w:color w:val="auto"/>
                <w:szCs w:val="21"/>
              </w:rPr>
              <w:t>）</w:t>
            </w:r>
          </w:p>
        </w:tc>
        <w:tc>
          <w:tcPr>
            <w:tcW w:w="702" w:type="pct"/>
            <w:tcBorders>
              <w:top w:val="single" w:sz="12" w:space="0" w:color="auto"/>
              <w:bottom w:val="single" w:sz="6" w:space="0" w:color="auto"/>
            </w:tcBorders>
            <w:vAlign w:val="center"/>
          </w:tcPr>
          <w:p w14:paraId="09D781DB"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0.5</w:t>
            </w:r>
          </w:p>
          <w:p w14:paraId="2B9D7285"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w:t>
            </w:r>
            <w:r w:rsidRPr="00A964FF">
              <w:rPr>
                <w:rFonts w:ascii="Calibri" w:hAnsi="Calibri"/>
                <w:color w:val="auto"/>
                <w:szCs w:val="21"/>
              </w:rPr>
              <w:t>kg/m</w:t>
            </w:r>
            <w:r w:rsidRPr="00A964FF">
              <w:rPr>
                <w:rFonts w:ascii="Calibri" w:hAnsi="Calibri"/>
                <w:color w:val="auto"/>
                <w:szCs w:val="21"/>
                <w:vertAlign w:val="superscript"/>
              </w:rPr>
              <w:t>2</w:t>
            </w:r>
            <w:r w:rsidRPr="00A964FF">
              <w:rPr>
                <w:rFonts w:ascii="Calibri" w:hAnsi="Calibri" w:hint="eastAsia"/>
                <w:color w:val="auto"/>
                <w:szCs w:val="21"/>
              </w:rPr>
              <w:t>）</w:t>
            </w:r>
          </w:p>
        </w:tc>
        <w:tc>
          <w:tcPr>
            <w:tcW w:w="702" w:type="pct"/>
            <w:tcBorders>
              <w:top w:val="single" w:sz="12" w:space="0" w:color="auto"/>
              <w:bottom w:val="single" w:sz="6" w:space="0" w:color="auto"/>
              <w:right w:val="single" w:sz="12" w:space="0" w:color="auto"/>
            </w:tcBorders>
            <w:vAlign w:val="center"/>
          </w:tcPr>
          <w:p w14:paraId="523F287D"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1.0</w:t>
            </w:r>
          </w:p>
          <w:p w14:paraId="5C012AE2"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hint="eastAsia"/>
                <w:color w:val="auto"/>
                <w:szCs w:val="21"/>
              </w:rPr>
              <w:t>（</w:t>
            </w:r>
            <w:r w:rsidRPr="00A964FF">
              <w:rPr>
                <w:rFonts w:ascii="Calibri" w:hAnsi="Calibri"/>
                <w:color w:val="auto"/>
                <w:szCs w:val="21"/>
              </w:rPr>
              <w:t>kg/m</w:t>
            </w:r>
            <w:r w:rsidRPr="00A964FF">
              <w:rPr>
                <w:rFonts w:ascii="Calibri" w:hAnsi="Calibri"/>
                <w:color w:val="auto"/>
                <w:szCs w:val="21"/>
                <w:vertAlign w:val="superscript"/>
              </w:rPr>
              <w:t>2</w:t>
            </w:r>
            <w:r w:rsidRPr="00A964FF">
              <w:rPr>
                <w:rFonts w:ascii="Calibri" w:hAnsi="Calibri" w:hint="eastAsia"/>
                <w:color w:val="auto"/>
                <w:szCs w:val="21"/>
              </w:rPr>
              <w:t>）</w:t>
            </w:r>
          </w:p>
        </w:tc>
      </w:tr>
      <w:tr w:rsidR="00853399" w:rsidRPr="00A964FF" w14:paraId="3AABD2D2" w14:textId="77777777" w:rsidTr="00162031">
        <w:trPr>
          <w:trHeight w:val="340"/>
          <w:jc w:val="center"/>
        </w:trPr>
        <w:tc>
          <w:tcPr>
            <w:tcW w:w="790" w:type="pct"/>
            <w:tcBorders>
              <w:top w:val="single" w:sz="6" w:space="0" w:color="auto"/>
              <w:left w:val="single" w:sz="12" w:space="0" w:color="auto"/>
              <w:bottom w:val="single" w:sz="6" w:space="0" w:color="auto"/>
            </w:tcBorders>
            <w:vAlign w:val="center"/>
          </w:tcPr>
          <w:p w14:paraId="5E1C0C39"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5</w:t>
            </w:r>
            <w:r w:rsidRPr="00A964FF">
              <w:rPr>
                <w:rFonts w:ascii="Calibri" w:hAnsi="Calibri" w:hint="eastAsia"/>
                <w:color w:val="auto"/>
                <w:szCs w:val="21"/>
              </w:rPr>
              <w:t>（</w:t>
            </w:r>
            <w:r w:rsidRPr="00A964FF">
              <w:rPr>
                <w:rFonts w:ascii="Calibri" w:hAnsi="Calibri"/>
                <w:color w:val="auto"/>
                <w:szCs w:val="21"/>
              </w:rPr>
              <w:t>km/h</w:t>
            </w:r>
            <w:r w:rsidRPr="00A964FF">
              <w:rPr>
                <w:rFonts w:ascii="Calibri" w:hAnsi="Calibri" w:hint="eastAsia"/>
                <w:color w:val="auto"/>
                <w:szCs w:val="21"/>
              </w:rPr>
              <w:t>）</w:t>
            </w:r>
          </w:p>
        </w:tc>
        <w:tc>
          <w:tcPr>
            <w:tcW w:w="701" w:type="pct"/>
            <w:tcBorders>
              <w:top w:val="single" w:sz="6" w:space="0" w:color="auto"/>
              <w:bottom w:val="single" w:sz="6" w:space="0" w:color="auto"/>
            </w:tcBorders>
            <w:vAlign w:val="center"/>
          </w:tcPr>
          <w:p w14:paraId="750DD2C0"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0.0283</w:t>
            </w:r>
          </w:p>
        </w:tc>
        <w:tc>
          <w:tcPr>
            <w:tcW w:w="702" w:type="pct"/>
            <w:tcBorders>
              <w:top w:val="single" w:sz="6" w:space="0" w:color="auto"/>
              <w:bottom w:val="single" w:sz="6" w:space="0" w:color="auto"/>
            </w:tcBorders>
            <w:vAlign w:val="center"/>
          </w:tcPr>
          <w:p w14:paraId="2E5B0D1B"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0.0476</w:t>
            </w:r>
          </w:p>
        </w:tc>
        <w:tc>
          <w:tcPr>
            <w:tcW w:w="702" w:type="pct"/>
            <w:tcBorders>
              <w:top w:val="single" w:sz="6" w:space="0" w:color="auto"/>
              <w:bottom w:val="single" w:sz="6" w:space="0" w:color="auto"/>
            </w:tcBorders>
            <w:vAlign w:val="center"/>
          </w:tcPr>
          <w:p w14:paraId="76129A4C"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0.0646</w:t>
            </w:r>
          </w:p>
        </w:tc>
        <w:tc>
          <w:tcPr>
            <w:tcW w:w="701" w:type="pct"/>
            <w:tcBorders>
              <w:top w:val="single" w:sz="6" w:space="0" w:color="auto"/>
              <w:bottom w:val="single" w:sz="6" w:space="0" w:color="auto"/>
            </w:tcBorders>
            <w:vAlign w:val="center"/>
          </w:tcPr>
          <w:p w14:paraId="42B65F7A"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0.0801</w:t>
            </w:r>
          </w:p>
        </w:tc>
        <w:tc>
          <w:tcPr>
            <w:tcW w:w="702" w:type="pct"/>
            <w:tcBorders>
              <w:top w:val="single" w:sz="6" w:space="0" w:color="auto"/>
              <w:bottom w:val="single" w:sz="6" w:space="0" w:color="auto"/>
            </w:tcBorders>
            <w:vAlign w:val="center"/>
          </w:tcPr>
          <w:p w14:paraId="6979AD8D"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0.0947</w:t>
            </w:r>
          </w:p>
        </w:tc>
        <w:tc>
          <w:tcPr>
            <w:tcW w:w="702" w:type="pct"/>
            <w:tcBorders>
              <w:top w:val="single" w:sz="6" w:space="0" w:color="auto"/>
              <w:bottom w:val="single" w:sz="6" w:space="0" w:color="auto"/>
              <w:right w:val="single" w:sz="12" w:space="0" w:color="auto"/>
            </w:tcBorders>
            <w:vAlign w:val="center"/>
          </w:tcPr>
          <w:p w14:paraId="7C03D914"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0.1593</w:t>
            </w:r>
          </w:p>
        </w:tc>
      </w:tr>
      <w:tr w:rsidR="00853399" w:rsidRPr="00A964FF" w14:paraId="682C9143" w14:textId="77777777" w:rsidTr="00162031">
        <w:trPr>
          <w:trHeight w:val="340"/>
          <w:jc w:val="center"/>
        </w:trPr>
        <w:tc>
          <w:tcPr>
            <w:tcW w:w="790" w:type="pct"/>
            <w:tcBorders>
              <w:top w:val="single" w:sz="6" w:space="0" w:color="auto"/>
              <w:left w:val="single" w:sz="12" w:space="0" w:color="auto"/>
              <w:bottom w:val="single" w:sz="6" w:space="0" w:color="auto"/>
            </w:tcBorders>
            <w:vAlign w:val="center"/>
          </w:tcPr>
          <w:p w14:paraId="6CC3942F"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10</w:t>
            </w:r>
            <w:r w:rsidRPr="00A964FF">
              <w:rPr>
                <w:rFonts w:ascii="Calibri" w:hAnsi="Calibri" w:hint="eastAsia"/>
                <w:color w:val="auto"/>
                <w:szCs w:val="21"/>
              </w:rPr>
              <w:t>（</w:t>
            </w:r>
            <w:r w:rsidRPr="00A964FF">
              <w:rPr>
                <w:rFonts w:ascii="Calibri" w:hAnsi="Calibri"/>
                <w:color w:val="auto"/>
                <w:szCs w:val="21"/>
              </w:rPr>
              <w:t>km/h</w:t>
            </w:r>
            <w:r w:rsidRPr="00A964FF">
              <w:rPr>
                <w:rFonts w:ascii="Calibri" w:hAnsi="Calibri" w:hint="eastAsia"/>
                <w:color w:val="auto"/>
                <w:szCs w:val="21"/>
              </w:rPr>
              <w:t>）</w:t>
            </w:r>
          </w:p>
        </w:tc>
        <w:tc>
          <w:tcPr>
            <w:tcW w:w="701" w:type="pct"/>
            <w:tcBorders>
              <w:top w:val="single" w:sz="6" w:space="0" w:color="auto"/>
              <w:bottom w:val="single" w:sz="6" w:space="0" w:color="auto"/>
            </w:tcBorders>
            <w:vAlign w:val="center"/>
          </w:tcPr>
          <w:p w14:paraId="2618BD5F"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0.0566</w:t>
            </w:r>
          </w:p>
        </w:tc>
        <w:tc>
          <w:tcPr>
            <w:tcW w:w="702" w:type="pct"/>
            <w:tcBorders>
              <w:top w:val="single" w:sz="6" w:space="0" w:color="auto"/>
              <w:bottom w:val="single" w:sz="6" w:space="0" w:color="auto"/>
            </w:tcBorders>
            <w:vAlign w:val="center"/>
          </w:tcPr>
          <w:p w14:paraId="1E25A760"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0.0953</w:t>
            </w:r>
          </w:p>
        </w:tc>
        <w:tc>
          <w:tcPr>
            <w:tcW w:w="702" w:type="pct"/>
            <w:tcBorders>
              <w:top w:val="single" w:sz="6" w:space="0" w:color="auto"/>
              <w:bottom w:val="single" w:sz="6" w:space="0" w:color="auto"/>
            </w:tcBorders>
            <w:vAlign w:val="center"/>
          </w:tcPr>
          <w:p w14:paraId="2592DAC1"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0.1291</w:t>
            </w:r>
          </w:p>
        </w:tc>
        <w:tc>
          <w:tcPr>
            <w:tcW w:w="701" w:type="pct"/>
            <w:tcBorders>
              <w:top w:val="single" w:sz="6" w:space="0" w:color="auto"/>
              <w:bottom w:val="single" w:sz="6" w:space="0" w:color="auto"/>
            </w:tcBorders>
            <w:vAlign w:val="center"/>
          </w:tcPr>
          <w:p w14:paraId="0DDEDF87"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0.1602</w:t>
            </w:r>
          </w:p>
        </w:tc>
        <w:tc>
          <w:tcPr>
            <w:tcW w:w="702" w:type="pct"/>
            <w:tcBorders>
              <w:top w:val="single" w:sz="6" w:space="0" w:color="auto"/>
              <w:bottom w:val="single" w:sz="6" w:space="0" w:color="auto"/>
            </w:tcBorders>
            <w:vAlign w:val="center"/>
          </w:tcPr>
          <w:p w14:paraId="3A320779"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0.1894</w:t>
            </w:r>
          </w:p>
        </w:tc>
        <w:tc>
          <w:tcPr>
            <w:tcW w:w="702" w:type="pct"/>
            <w:tcBorders>
              <w:top w:val="single" w:sz="6" w:space="0" w:color="auto"/>
              <w:bottom w:val="single" w:sz="6" w:space="0" w:color="auto"/>
              <w:right w:val="single" w:sz="12" w:space="0" w:color="auto"/>
            </w:tcBorders>
            <w:vAlign w:val="center"/>
          </w:tcPr>
          <w:p w14:paraId="2C558719"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0.3186</w:t>
            </w:r>
          </w:p>
        </w:tc>
      </w:tr>
      <w:tr w:rsidR="00853399" w:rsidRPr="00A964FF" w14:paraId="7B1D8F30" w14:textId="77777777" w:rsidTr="00162031">
        <w:trPr>
          <w:trHeight w:val="340"/>
          <w:jc w:val="center"/>
        </w:trPr>
        <w:tc>
          <w:tcPr>
            <w:tcW w:w="790" w:type="pct"/>
            <w:tcBorders>
              <w:top w:val="single" w:sz="6" w:space="0" w:color="auto"/>
              <w:left w:val="single" w:sz="12" w:space="0" w:color="auto"/>
              <w:bottom w:val="single" w:sz="6" w:space="0" w:color="auto"/>
            </w:tcBorders>
            <w:vAlign w:val="center"/>
          </w:tcPr>
          <w:p w14:paraId="10CDA69D"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15</w:t>
            </w:r>
            <w:r w:rsidRPr="00A964FF">
              <w:rPr>
                <w:rFonts w:ascii="Calibri" w:hAnsi="Calibri" w:hint="eastAsia"/>
                <w:color w:val="auto"/>
                <w:szCs w:val="21"/>
              </w:rPr>
              <w:t>（</w:t>
            </w:r>
            <w:r w:rsidRPr="00A964FF">
              <w:rPr>
                <w:rFonts w:ascii="Calibri" w:hAnsi="Calibri"/>
                <w:color w:val="auto"/>
                <w:szCs w:val="21"/>
              </w:rPr>
              <w:t>km/h</w:t>
            </w:r>
            <w:r w:rsidRPr="00A964FF">
              <w:rPr>
                <w:rFonts w:ascii="Calibri" w:hAnsi="Calibri" w:hint="eastAsia"/>
                <w:color w:val="auto"/>
                <w:szCs w:val="21"/>
              </w:rPr>
              <w:t>）</w:t>
            </w:r>
          </w:p>
        </w:tc>
        <w:tc>
          <w:tcPr>
            <w:tcW w:w="701" w:type="pct"/>
            <w:tcBorders>
              <w:top w:val="single" w:sz="6" w:space="0" w:color="auto"/>
              <w:bottom w:val="single" w:sz="6" w:space="0" w:color="auto"/>
            </w:tcBorders>
            <w:vAlign w:val="center"/>
          </w:tcPr>
          <w:p w14:paraId="3C7D7E65"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0.0850</w:t>
            </w:r>
          </w:p>
        </w:tc>
        <w:tc>
          <w:tcPr>
            <w:tcW w:w="702" w:type="pct"/>
            <w:tcBorders>
              <w:top w:val="single" w:sz="6" w:space="0" w:color="auto"/>
              <w:bottom w:val="single" w:sz="6" w:space="0" w:color="auto"/>
            </w:tcBorders>
            <w:vAlign w:val="center"/>
          </w:tcPr>
          <w:p w14:paraId="3566CCB9"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0.1429</w:t>
            </w:r>
          </w:p>
        </w:tc>
        <w:tc>
          <w:tcPr>
            <w:tcW w:w="702" w:type="pct"/>
            <w:tcBorders>
              <w:top w:val="single" w:sz="6" w:space="0" w:color="auto"/>
              <w:bottom w:val="single" w:sz="6" w:space="0" w:color="auto"/>
            </w:tcBorders>
            <w:vAlign w:val="center"/>
          </w:tcPr>
          <w:p w14:paraId="43C89B7D"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0.1937</w:t>
            </w:r>
          </w:p>
        </w:tc>
        <w:tc>
          <w:tcPr>
            <w:tcW w:w="701" w:type="pct"/>
            <w:tcBorders>
              <w:top w:val="single" w:sz="6" w:space="0" w:color="auto"/>
              <w:bottom w:val="single" w:sz="6" w:space="0" w:color="auto"/>
            </w:tcBorders>
            <w:vAlign w:val="center"/>
          </w:tcPr>
          <w:p w14:paraId="0201F2CA"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0.2403</w:t>
            </w:r>
          </w:p>
        </w:tc>
        <w:tc>
          <w:tcPr>
            <w:tcW w:w="702" w:type="pct"/>
            <w:tcBorders>
              <w:top w:val="single" w:sz="6" w:space="0" w:color="auto"/>
              <w:bottom w:val="single" w:sz="6" w:space="0" w:color="auto"/>
            </w:tcBorders>
            <w:vAlign w:val="center"/>
          </w:tcPr>
          <w:p w14:paraId="1FCBE3D6"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0.2841</w:t>
            </w:r>
          </w:p>
        </w:tc>
        <w:tc>
          <w:tcPr>
            <w:tcW w:w="702" w:type="pct"/>
            <w:tcBorders>
              <w:top w:val="single" w:sz="6" w:space="0" w:color="auto"/>
              <w:bottom w:val="single" w:sz="6" w:space="0" w:color="auto"/>
              <w:right w:val="single" w:sz="12" w:space="0" w:color="auto"/>
            </w:tcBorders>
            <w:vAlign w:val="center"/>
          </w:tcPr>
          <w:p w14:paraId="6BF041EA"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0.4778</w:t>
            </w:r>
          </w:p>
        </w:tc>
      </w:tr>
      <w:tr w:rsidR="00853399" w:rsidRPr="00A964FF" w14:paraId="6161B129" w14:textId="77777777" w:rsidTr="00162031">
        <w:trPr>
          <w:trHeight w:val="340"/>
          <w:jc w:val="center"/>
        </w:trPr>
        <w:tc>
          <w:tcPr>
            <w:tcW w:w="790" w:type="pct"/>
            <w:tcBorders>
              <w:top w:val="single" w:sz="6" w:space="0" w:color="auto"/>
              <w:left w:val="single" w:sz="12" w:space="0" w:color="auto"/>
              <w:bottom w:val="single" w:sz="12" w:space="0" w:color="auto"/>
            </w:tcBorders>
            <w:vAlign w:val="center"/>
          </w:tcPr>
          <w:p w14:paraId="380B14E8"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25</w:t>
            </w:r>
            <w:r w:rsidRPr="00A964FF">
              <w:rPr>
                <w:rFonts w:ascii="Calibri" w:hAnsi="Calibri" w:hint="eastAsia"/>
                <w:color w:val="auto"/>
                <w:szCs w:val="21"/>
              </w:rPr>
              <w:t>（</w:t>
            </w:r>
            <w:r w:rsidRPr="00A964FF">
              <w:rPr>
                <w:rFonts w:ascii="Calibri" w:hAnsi="Calibri"/>
                <w:color w:val="auto"/>
                <w:szCs w:val="21"/>
              </w:rPr>
              <w:t>km/h</w:t>
            </w:r>
            <w:r w:rsidRPr="00A964FF">
              <w:rPr>
                <w:rFonts w:ascii="Calibri" w:hAnsi="Calibri" w:hint="eastAsia"/>
                <w:color w:val="auto"/>
                <w:szCs w:val="21"/>
              </w:rPr>
              <w:t>）</w:t>
            </w:r>
          </w:p>
        </w:tc>
        <w:tc>
          <w:tcPr>
            <w:tcW w:w="701" w:type="pct"/>
            <w:tcBorders>
              <w:top w:val="single" w:sz="6" w:space="0" w:color="auto"/>
              <w:bottom w:val="single" w:sz="12" w:space="0" w:color="auto"/>
            </w:tcBorders>
            <w:vAlign w:val="center"/>
          </w:tcPr>
          <w:p w14:paraId="1C2DD47C"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0.1133</w:t>
            </w:r>
          </w:p>
        </w:tc>
        <w:tc>
          <w:tcPr>
            <w:tcW w:w="702" w:type="pct"/>
            <w:tcBorders>
              <w:top w:val="single" w:sz="6" w:space="0" w:color="auto"/>
              <w:bottom w:val="single" w:sz="12" w:space="0" w:color="auto"/>
            </w:tcBorders>
            <w:vAlign w:val="center"/>
          </w:tcPr>
          <w:p w14:paraId="253D6879"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0.1905</w:t>
            </w:r>
          </w:p>
        </w:tc>
        <w:tc>
          <w:tcPr>
            <w:tcW w:w="702" w:type="pct"/>
            <w:tcBorders>
              <w:top w:val="single" w:sz="6" w:space="0" w:color="auto"/>
              <w:bottom w:val="single" w:sz="12" w:space="0" w:color="auto"/>
            </w:tcBorders>
            <w:vAlign w:val="center"/>
          </w:tcPr>
          <w:p w14:paraId="3FDDB21D"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0.2583</w:t>
            </w:r>
          </w:p>
        </w:tc>
        <w:tc>
          <w:tcPr>
            <w:tcW w:w="701" w:type="pct"/>
            <w:tcBorders>
              <w:top w:val="single" w:sz="6" w:space="0" w:color="auto"/>
              <w:bottom w:val="single" w:sz="12" w:space="0" w:color="auto"/>
            </w:tcBorders>
            <w:vAlign w:val="center"/>
          </w:tcPr>
          <w:p w14:paraId="3706D94E"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0.3204</w:t>
            </w:r>
          </w:p>
        </w:tc>
        <w:tc>
          <w:tcPr>
            <w:tcW w:w="702" w:type="pct"/>
            <w:tcBorders>
              <w:top w:val="single" w:sz="6" w:space="0" w:color="auto"/>
              <w:bottom w:val="single" w:sz="12" w:space="0" w:color="auto"/>
            </w:tcBorders>
            <w:vAlign w:val="center"/>
          </w:tcPr>
          <w:p w14:paraId="1CCB45DA"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0.3788</w:t>
            </w:r>
          </w:p>
        </w:tc>
        <w:tc>
          <w:tcPr>
            <w:tcW w:w="702" w:type="pct"/>
            <w:tcBorders>
              <w:top w:val="single" w:sz="6" w:space="0" w:color="auto"/>
              <w:bottom w:val="single" w:sz="12" w:space="0" w:color="auto"/>
              <w:right w:val="single" w:sz="12" w:space="0" w:color="auto"/>
            </w:tcBorders>
            <w:vAlign w:val="center"/>
          </w:tcPr>
          <w:p w14:paraId="3D437EBB" w14:textId="77777777" w:rsidR="00853399" w:rsidRPr="00A964FF" w:rsidRDefault="00853399" w:rsidP="00162031">
            <w:pPr>
              <w:spacing w:line="240" w:lineRule="atLeast"/>
              <w:jc w:val="center"/>
              <w:rPr>
                <w:rFonts w:ascii="Calibri" w:hAnsi="Calibri"/>
                <w:color w:val="auto"/>
                <w:szCs w:val="21"/>
              </w:rPr>
            </w:pPr>
            <w:r w:rsidRPr="00A964FF">
              <w:rPr>
                <w:rFonts w:ascii="Calibri" w:hAnsi="Calibri"/>
                <w:color w:val="auto"/>
                <w:szCs w:val="21"/>
              </w:rPr>
              <w:t>0.6371</w:t>
            </w:r>
          </w:p>
        </w:tc>
      </w:tr>
    </w:tbl>
    <w:p w14:paraId="7BD65AF1" w14:textId="77777777" w:rsidR="00853399" w:rsidRPr="00A964FF" w:rsidRDefault="00853399" w:rsidP="00853399">
      <w:pPr>
        <w:spacing w:line="520" w:lineRule="exact"/>
        <w:ind w:firstLineChars="200" w:firstLine="480"/>
        <w:rPr>
          <w:rFonts w:ascii="Calibri" w:hAnsi="Calibri"/>
          <w:bCs/>
          <w:color w:val="auto"/>
          <w:sz w:val="24"/>
        </w:rPr>
      </w:pPr>
      <w:r w:rsidRPr="00A964FF">
        <w:rPr>
          <w:rFonts w:ascii="Calibri" w:hAnsi="Calibri" w:hint="eastAsia"/>
          <w:bCs/>
          <w:color w:val="auto"/>
          <w:sz w:val="24"/>
        </w:rPr>
        <w:t>由上表可知，一辆载重</w:t>
      </w:r>
      <w:r w:rsidRPr="00A964FF">
        <w:rPr>
          <w:rFonts w:ascii="Calibri" w:hAnsi="Calibri"/>
          <w:bCs/>
          <w:color w:val="auto"/>
          <w:sz w:val="24"/>
        </w:rPr>
        <w:t>5</w:t>
      </w:r>
      <w:r w:rsidRPr="00A964FF">
        <w:rPr>
          <w:rFonts w:ascii="Calibri" w:hAnsi="Calibri" w:hint="eastAsia"/>
          <w:bCs/>
          <w:color w:val="auto"/>
          <w:sz w:val="24"/>
        </w:rPr>
        <w:t>吨卡车，通过一段长度为</w:t>
      </w:r>
      <w:r w:rsidRPr="00A964FF">
        <w:rPr>
          <w:rFonts w:ascii="Calibri" w:hAnsi="Calibri"/>
          <w:bCs/>
          <w:color w:val="auto"/>
          <w:sz w:val="24"/>
        </w:rPr>
        <w:t>1000m</w:t>
      </w:r>
      <w:r w:rsidRPr="00A964FF">
        <w:rPr>
          <w:rFonts w:ascii="Calibri" w:hAnsi="Calibri" w:hint="eastAsia"/>
          <w:bCs/>
          <w:color w:val="auto"/>
          <w:sz w:val="24"/>
        </w:rPr>
        <w:t>的路面时，不同路面清洁程度（道路表面粉尘量），不同行驶速度情况下的扬尘量。由此可知，在同样路面清洁程度条件下，车速越快，扬尘量越大；而在同样车速情况下，路面越脏，则扬尘量越大。因此，通过限速行驶，及定时清扫路面，保持路面的清洁是减少汽车扬尘的有效手段。</w:t>
      </w:r>
    </w:p>
    <w:p w14:paraId="696BC2B7" w14:textId="77777777" w:rsidR="0055605A" w:rsidRPr="00A964FF" w:rsidRDefault="0055605A" w:rsidP="0055605A">
      <w:pPr>
        <w:pStyle w:val="ad"/>
        <w:rPr>
          <w:rFonts w:ascii="Calibri" w:hAnsi="Calibri"/>
          <w:color w:val="auto"/>
        </w:rPr>
      </w:pPr>
      <w:r w:rsidRPr="00A964FF">
        <w:rPr>
          <w:rFonts w:ascii="Calibri" w:hAnsi="Calibri" w:hint="eastAsia"/>
          <w:color w:val="auto"/>
        </w:rPr>
        <w:t>4</w:t>
      </w:r>
      <w:r w:rsidRPr="00A964FF">
        <w:rPr>
          <w:rFonts w:ascii="Calibri" w:hAnsi="Calibri"/>
          <w:color w:val="auto"/>
        </w:rPr>
        <w:t>.1.</w:t>
      </w:r>
      <w:r w:rsidRPr="00A964FF">
        <w:rPr>
          <w:rFonts w:ascii="Calibri" w:hAnsi="Calibri" w:hint="eastAsia"/>
          <w:color w:val="auto"/>
        </w:rPr>
        <w:t>2</w:t>
      </w:r>
      <w:r w:rsidRPr="00A964FF">
        <w:rPr>
          <w:rFonts w:ascii="Calibri" w:hAnsi="Calibri" w:hint="eastAsia"/>
          <w:color w:val="auto"/>
        </w:rPr>
        <w:t>地表水环境影响分析</w:t>
      </w:r>
    </w:p>
    <w:p w14:paraId="6619C75C" w14:textId="77777777" w:rsidR="00853399" w:rsidRPr="00A964FF" w:rsidRDefault="00853399" w:rsidP="000A2242">
      <w:pPr>
        <w:pStyle w:val="00"/>
        <w:ind w:leftChars="50" w:left="105" w:firstLineChars="200"/>
        <w:rPr>
          <w:rFonts w:ascii="Calibri" w:hAnsi="Calibri"/>
          <w:bCs/>
          <w:color w:val="auto"/>
        </w:rPr>
      </w:pPr>
      <w:r w:rsidRPr="00A964FF">
        <w:rPr>
          <w:rFonts w:ascii="Calibri" w:hAnsi="Calibri" w:hint="eastAsia"/>
          <w:bCs/>
          <w:color w:val="auto"/>
        </w:rPr>
        <w:t>（</w:t>
      </w:r>
      <w:r w:rsidRPr="00A964FF">
        <w:rPr>
          <w:rFonts w:ascii="Calibri" w:hAnsi="Calibri"/>
          <w:bCs/>
          <w:color w:val="auto"/>
        </w:rPr>
        <w:t>1</w:t>
      </w:r>
      <w:r w:rsidRPr="00A964FF">
        <w:rPr>
          <w:rFonts w:ascii="Calibri" w:hAnsi="Calibri" w:hint="eastAsia"/>
          <w:bCs/>
          <w:color w:val="auto"/>
        </w:rPr>
        <w:t>）生活污水</w:t>
      </w:r>
    </w:p>
    <w:p w14:paraId="06020F4F" w14:textId="77777777" w:rsidR="00853399" w:rsidRPr="00A964FF" w:rsidRDefault="00853399" w:rsidP="00853399">
      <w:pPr>
        <w:pStyle w:val="00"/>
        <w:rPr>
          <w:rFonts w:ascii="Calibri" w:hAnsi="Calibri"/>
          <w:color w:val="auto"/>
        </w:rPr>
      </w:pPr>
      <w:r w:rsidRPr="00A964FF">
        <w:rPr>
          <w:rFonts w:ascii="Calibri" w:hAnsi="Calibri" w:hint="eastAsia"/>
          <w:bCs/>
          <w:color w:val="auto"/>
        </w:rPr>
        <w:t>本项目</w:t>
      </w:r>
      <w:r w:rsidRPr="00A964FF">
        <w:rPr>
          <w:rFonts w:ascii="Calibri" w:hAnsi="Calibri" w:hint="eastAsia"/>
          <w:color w:val="auto"/>
        </w:rPr>
        <w:t>施工期生活污水产生量为</w:t>
      </w:r>
      <w:r w:rsidR="00E67FE3">
        <w:rPr>
          <w:rFonts w:ascii="Calibri" w:hAnsi="Calibri" w:hint="eastAsia"/>
          <w:color w:val="auto"/>
        </w:rPr>
        <w:t>3.2</w:t>
      </w:r>
      <w:r w:rsidRPr="00A964FF">
        <w:rPr>
          <w:rFonts w:ascii="Calibri" w:hAnsi="Calibri"/>
          <w:color w:val="auto"/>
        </w:rPr>
        <w:t>t/d</w:t>
      </w:r>
      <w:r w:rsidRPr="00A964FF">
        <w:rPr>
          <w:rFonts w:ascii="Calibri" w:hAnsi="Calibri" w:hint="eastAsia"/>
          <w:color w:val="auto"/>
        </w:rPr>
        <w:t>，其中施工人员的洗漱废水其污染因子主要为悬浮物等，无特殊污染因子，经沉淀池沉淀后用于场地洒水抑尘，综合利用，不外排。由于项目周围有农田分布，环评要求企业在施工场地设置化粪池，厕所污水经化粪池处理后定期由当地居民清掏，用于周边农田施肥。由于项目施工期生活污水产生量较少，全部进行资源化利用后对周围水环境影响不大。</w:t>
      </w:r>
    </w:p>
    <w:p w14:paraId="1811F8FB" w14:textId="77777777" w:rsidR="00853399" w:rsidRPr="00A964FF" w:rsidRDefault="00853399" w:rsidP="00853399">
      <w:pPr>
        <w:pStyle w:val="00"/>
        <w:rPr>
          <w:rFonts w:ascii="Calibri" w:hAnsi="Calibri"/>
          <w:color w:val="auto"/>
        </w:rPr>
      </w:pPr>
      <w:r w:rsidRPr="00A964FF">
        <w:rPr>
          <w:rFonts w:ascii="Calibri" w:hAnsi="Calibri" w:hint="eastAsia"/>
          <w:color w:val="auto"/>
        </w:rPr>
        <w:t>（</w:t>
      </w:r>
      <w:r w:rsidRPr="00A964FF">
        <w:rPr>
          <w:rFonts w:ascii="Calibri" w:hAnsi="Calibri"/>
          <w:color w:val="auto"/>
        </w:rPr>
        <w:t>2</w:t>
      </w:r>
      <w:r w:rsidRPr="00A964FF">
        <w:rPr>
          <w:rFonts w:ascii="Calibri" w:hAnsi="Calibri" w:hint="eastAsia"/>
          <w:color w:val="auto"/>
        </w:rPr>
        <w:t>）施工废水</w:t>
      </w:r>
    </w:p>
    <w:p w14:paraId="04898044" w14:textId="77777777" w:rsidR="00853399" w:rsidRPr="00A964FF" w:rsidRDefault="00853399" w:rsidP="00853399">
      <w:pPr>
        <w:pStyle w:val="00"/>
        <w:rPr>
          <w:color w:val="auto"/>
        </w:rPr>
      </w:pPr>
      <w:r w:rsidRPr="00A964FF">
        <w:rPr>
          <w:rFonts w:ascii="Calibri" w:hAnsi="Calibri" w:hint="eastAsia"/>
          <w:color w:val="auto"/>
        </w:rPr>
        <w:t>施工废水主要来源于冲洗骨料、灌浆、混凝土养护废水；施工材料被雨水冲刷形成的污水以及施工机械跑、冒、滴、漏的油污随地表径流形成的污水等环节。该部分废水中</w:t>
      </w:r>
      <w:r w:rsidRPr="00A964FF">
        <w:rPr>
          <w:rFonts w:ascii="Calibri" w:hAnsi="Calibri"/>
          <w:color w:val="auto"/>
        </w:rPr>
        <w:t>SS</w:t>
      </w:r>
      <w:r w:rsidRPr="00A964FF">
        <w:rPr>
          <w:rFonts w:ascii="Calibri" w:hAnsi="Calibri" w:hint="eastAsia"/>
          <w:color w:val="auto"/>
        </w:rPr>
        <w:t>浓度较高，建设单位严禁施工废水未经处理外排，以免影响周围地表水环境。本项目施工量不大，施工期相对较短，</w:t>
      </w:r>
      <w:r w:rsidRPr="00A964FF">
        <w:rPr>
          <w:rFonts w:ascii="Calibri" w:hAnsi="Calibri" w:hint="eastAsia"/>
          <w:bCs/>
          <w:color w:val="auto"/>
        </w:rPr>
        <w:t>施工废水通过场地内沉淀池沉淀后回用于施工现场，不外排</w:t>
      </w:r>
      <w:r w:rsidRPr="00A964FF">
        <w:rPr>
          <w:rFonts w:ascii="Calibri" w:hAnsi="Calibri" w:hint="eastAsia"/>
          <w:color w:val="auto"/>
        </w:rPr>
        <w:t>，对周围地表水环境影响不大。施工单位应同时</w:t>
      </w:r>
      <w:r w:rsidRPr="00A964FF">
        <w:rPr>
          <w:rFonts w:hint="eastAsia"/>
          <w:color w:val="auto"/>
        </w:rPr>
        <w:t>做好建筑材料和建筑废料的管理，避免地表水体二次污染。</w:t>
      </w:r>
    </w:p>
    <w:p w14:paraId="2A0A6455" w14:textId="77777777" w:rsidR="00853399" w:rsidRPr="00A964FF" w:rsidRDefault="00853399" w:rsidP="00853399">
      <w:pPr>
        <w:pStyle w:val="00"/>
        <w:rPr>
          <w:color w:val="auto"/>
        </w:rPr>
      </w:pPr>
      <w:r w:rsidRPr="00A964FF">
        <w:rPr>
          <w:rFonts w:ascii="Calibri" w:hAnsi="Calibri" w:hint="eastAsia"/>
          <w:color w:val="auto"/>
        </w:rPr>
        <w:t>在施工过程中应加强对机械设备的检修，以防止设备漏油现象的发生；施工机械</w:t>
      </w:r>
      <w:r w:rsidRPr="00A964FF">
        <w:rPr>
          <w:rFonts w:ascii="Calibri" w:hAnsi="Calibri" w:hint="eastAsia"/>
          <w:color w:val="auto"/>
        </w:rPr>
        <w:lastRenderedPageBreak/>
        <w:t>设备的维修应在专业厂家进行，防止施工现场地表油类污染，以减小初期雨水的油类污染物负荷。</w:t>
      </w:r>
    </w:p>
    <w:p w14:paraId="6BB7CA1F" w14:textId="77777777" w:rsidR="0055605A" w:rsidRPr="00A964FF" w:rsidRDefault="0055605A" w:rsidP="0055605A">
      <w:pPr>
        <w:pStyle w:val="ad"/>
        <w:rPr>
          <w:rFonts w:ascii="Calibri" w:hAnsi="Calibri"/>
          <w:color w:val="auto"/>
        </w:rPr>
      </w:pPr>
      <w:r w:rsidRPr="00A964FF">
        <w:rPr>
          <w:rFonts w:ascii="Calibri" w:hAnsi="Calibri" w:hint="eastAsia"/>
          <w:color w:val="auto"/>
        </w:rPr>
        <w:t>4</w:t>
      </w:r>
      <w:r w:rsidRPr="00A964FF">
        <w:rPr>
          <w:rFonts w:ascii="Calibri" w:hAnsi="Calibri"/>
          <w:color w:val="auto"/>
        </w:rPr>
        <w:t>.1.</w:t>
      </w:r>
      <w:r w:rsidRPr="00A964FF">
        <w:rPr>
          <w:rFonts w:ascii="Calibri" w:hAnsi="Calibri" w:hint="eastAsia"/>
          <w:color w:val="auto"/>
        </w:rPr>
        <w:t>3</w:t>
      </w:r>
      <w:r w:rsidRPr="00A964FF">
        <w:rPr>
          <w:rFonts w:ascii="Calibri" w:hAnsi="Calibri" w:hint="eastAsia"/>
          <w:color w:val="auto"/>
        </w:rPr>
        <w:t>噪声环境影响分析</w:t>
      </w:r>
    </w:p>
    <w:p w14:paraId="04D1FEC7" w14:textId="684E929A" w:rsidR="00853399" w:rsidRPr="00A964FF" w:rsidRDefault="00853399" w:rsidP="00E67FE3">
      <w:pPr>
        <w:pStyle w:val="00"/>
        <w:ind w:firstLineChars="200"/>
        <w:rPr>
          <w:rFonts w:ascii="Calibri" w:hAnsi="Calibri"/>
          <w:color w:val="auto"/>
        </w:rPr>
      </w:pPr>
      <w:r w:rsidRPr="00A964FF">
        <w:rPr>
          <w:rFonts w:ascii="Calibri" w:hAnsi="Calibri" w:hint="eastAsia"/>
          <w:color w:val="auto"/>
        </w:rPr>
        <w:t>本项目施工期使用大量的挖土机、打桩机、装载机、工程钻机、平地机、起重机、振捣棒、切割机等各种机械设备，不可避免地产生建筑施工噪声，该声源具有噪声高、无规则等特点，多为瞬时噪声。其各种机械设备的噪声值见表</w:t>
      </w:r>
      <w:r w:rsidRPr="00A964FF">
        <w:rPr>
          <w:rFonts w:ascii="Calibri" w:hAnsi="Calibri"/>
          <w:color w:val="auto"/>
        </w:rPr>
        <w:t>2</w:t>
      </w:r>
      <w:r w:rsidR="005354F0">
        <w:rPr>
          <w:rFonts w:ascii="Calibri" w:hAnsi="Calibri"/>
          <w:color w:val="auto"/>
        </w:rPr>
        <w:t>.6</w:t>
      </w:r>
      <w:r w:rsidRPr="00A964FF">
        <w:rPr>
          <w:rFonts w:ascii="Calibri" w:hAnsi="Calibri"/>
          <w:color w:val="auto"/>
        </w:rPr>
        <w:t>-</w:t>
      </w:r>
      <w:r w:rsidR="005354F0">
        <w:rPr>
          <w:rFonts w:ascii="Calibri" w:hAnsi="Calibri"/>
          <w:color w:val="auto"/>
        </w:rPr>
        <w:t>2</w:t>
      </w:r>
      <w:r w:rsidRPr="00A964FF">
        <w:rPr>
          <w:rFonts w:ascii="Calibri" w:hAnsi="Calibri" w:hint="eastAsia"/>
          <w:color w:val="auto"/>
        </w:rPr>
        <w:t>。</w:t>
      </w:r>
    </w:p>
    <w:p w14:paraId="0727C0FC" w14:textId="77777777" w:rsidR="00853399" w:rsidRPr="00A964FF" w:rsidRDefault="00853399" w:rsidP="00853399">
      <w:pPr>
        <w:snapToGrid w:val="0"/>
        <w:spacing w:line="520" w:lineRule="exact"/>
        <w:ind w:firstLineChars="200" w:firstLine="480"/>
        <w:rPr>
          <w:rFonts w:ascii="Calibri"/>
          <w:bCs/>
          <w:color w:val="auto"/>
          <w:sz w:val="24"/>
        </w:rPr>
      </w:pPr>
      <w:r w:rsidRPr="00A964FF">
        <w:rPr>
          <w:rFonts w:ascii="Calibri" w:hint="eastAsia"/>
          <w:bCs/>
          <w:color w:val="auto"/>
          <w:sz w:val="24"/>
        </w:rPr>
        <w:t>（</w:t>
      </w:r>
      <w:r w:rsidRPr="00A964FF">
        <w:rPr>
          <w:rFonts w:ascii="Calibri"/>
          <w:bCs/>
          <w:color w:val="auto"/>
          <w:sz w:val="24"/>
        </w:rPr>
        <w:t>1</w:t>
      </w:r>
      <w:r w:rsidRPr="00A964FF">
        <w:rPr>
          <w:rFonts w:ascii="Calibri" w:hint="eastAsia"/>
          <w:bCs/>
          <w:color w:val="auto"/>
          <w:sz w:val="24"/>
        </w:rPr>
        <w:t>）评价模式</w:t>
      </w:r>
    </w:p>
    <w:p w14:paraId="1B2328DD"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Ansi="Calibri" w:hint="eastAsia"/>
          <w:bCs/>
          <w:color w:val="auto"/>
          <w:sz w:val="24"/>
        </w:rPr>
        <w:t>施工机械噪声源基本是在半自由场中的点声源传播，且声源基本均为裸露声源，本评价采用距离衰减公式，预测施工场不同距离处的等效声级，即：</w:t>
      </w:r>
    </w:p>
    <w:p w14:paraId="2EE36B4C" w14:textId="77777777" w:rsidR="00853399" w:rsidRPr="00A964FF" w:rsidRDefault="00853399" w:rsidP="00853399">
      <w:pPr>
        <w:pStyle w:val="00"/>
        <w:spacing w:line="240" w:lineRule="auto"/>
        <w:ind w:firstLineChars="500" w:firstLine="1200"/>
        <w:rPr>
          <w:rFonts w:hAnsi="Calibri"/>
          <w:color w:val="auto"/>
        </w:rPr>
      </w:pPr>
      <w:r w:rsidRPr="00A964FF">
        <w:rPr>
          <w:rFonts w:hAnsi="Calibri"/>
          <w:color w:val="auto"/>
          <w:position w:val="-30"/>
        </w:rPr>
        <w:object w:dxaOrig="2460" w:dyaOrig="680" w14:anchorId="1E633798">
          <v:shape id="_x0000_i1050" type="#_x0000_t75" style="width:126pt;height:31.8pt;mso-position-horizontal-relative:page;mso-position-vertical-relative:page" o:ole="">
            <v:imagedata r:id="rId61" o:title=""/>
          </v:shape>
          <o:OLEObject Type="Embed" ProgID="Equation.DSMT4" ShapeID="_x0000_i1050" DrawAspect="Content" ObjectID="_1725951970" r:id="rId62"/>
        </w:object>
      </w:r>
    </w:p>
    <w:p w14:paraId="6598013F"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式中：</w:t>
      </w:r>
      <w:r w:rsidRPr="00A964FF">
        <w:rPr>
          <w:rFonts w:ascii="Calibri" w:hAnsi="Calibri"/>
          <w:bCs/>
          <w:color w:val="auto"/>
          <w:sz w:val="24"/>
        </w:rPr>
        <w:object w:dxaOrig="601" w:dyaOrig="381" w14:anchorId="5F588906">
          <v:shape id="_x0000_i1051" type="#_x0000_t75" style="width:30pt;height:18pt;mso-position-horizontal-relative:page;mso-position-vertical-relative:page" o:ole="">
            <v:imagedata r:id="rId63" o:title=""/>
          </v:shape>
          <o:OLEObject Type="Embed" ProgID="Equation.DSMT4" ShapeID="_x0000_i1051" DrawAspect="Content" ObjectID="_1725951971" r:id="rId64"/>
        </w:object>
      </w:r>
      <w:r w:rsidRPr="00A964FF">
        <w:rPr>
          <w:rFonts w:ascii="Calibri" w:hAnsi="Calibri"/>
          <w:bCs/>
          <w:color w:val="auto"/>
          <w:sz w:val="24"/>
        </w:rPr>
        <w:t>—</w:t>
      </w:r>
      <w:r w:rsidRPr="00A964FF">
        <w:rPr>
          <w:rFonts w:ascii="Calibri" w:hint="eastAsia"/>
          <w:bCs/>
          <w:color w:val="auto"/>
          <w:sz w:val="24"/>
        </w:rPr>
        <w:t>距声源距离为</w:t>
      </w:r>
      <w:r w:rsidRPr="00A964FF">
        <w:rPr>
          <w:rFonts w:ascii="Calibri" w:hAnsi="Calibri"/>
          <w:bCs/>
          <w:color w:val="auto"/>
          <w:sz w:val="24"/>
        </w:rPr>
        <w:t>r</w:t>
      </w:r>
      <w:r w:rsidRPr="00A964FF">
        <w:rPr>
          <w:rFonts w:ascii="Calibri" w:hint="eastAsia"/>
          <w:bCs/>
          <w:color w:val="auto"/>
          <w:sz w:val="24"/>
        </w:rPr>
        <w:t>处的等效</w:t>
      </w:r>
      <w:r w:rsidRPr="00A964FF">
        <w:rPr>
          <w:rFonts w:ascii="Calibri" w:hAnsi="Calibri"/>
          <w:bCs/>
          <w:color w:val="auto"/>
          <w:sz w:val="24"/>
        </w:rPr>
        <w:t>A</w:t>
      </w:r>
      <w:r w:rsidRPr="00A964FF">
        <w:rPr>
          <w:rFonts w:ascii="Calibri" w:hint="eastAsia"/>
          <w:bCs/>
          <w:color w:val="auto"/>
          <w:sz w:val="24"/>
        </w:rPr>
        <w:t>声级值，</w:t>
      </w:r>
      <w:r w:rsidRPr="00A964FF">
        <w:rPr>
          <w:rFonts w:ascii="Calibri" w:hAnsi="Calibri"/>
          <w:bCs/>
          <w:color w:val="auto"/>
          <w:sz w:val="24"/>
        </w:rPr>
        <w:t>dB</w:t>
      </w:r>
      <w:r w:rsidRPr="00A964FF">
        <w:rPr>
          <w:rFonts w:ascii="Calibri" w:hAnsi="Calibri" w:hint="eastAsia"/>
          <w:bCs/>
          <w:color w:val="auto"/>
          <w:sz w:val="24"/>
        </w:rPr>
        <w:t>（</w:t>
      </w:r>
      <w:r w:rsidRPr="00A964FF">
        <w:rPr>
          <w:rFonts w:ascii="Calibri" w:hAnsi="Calibri"/>
          <w:bCs/>
          <w:color w:val="auto"/>
          <w:sz w:val="24"/>
        </w:rPr>
        <w:t>A</w:t>
      </w:r>
      <w:r w:rsidRPr="00A964FF">
        <w:rPr>
          <w:rFonts w:ascii="Calibri" w:hAnsi="Calibri" w:hint="eastAsia"/>
          <w:bCs/>
          <w:color w:val="auto"/>
          <w:sz w:val="24"/>
        </w:rPr>
        <w:t>）</w:t>
      </w:r>
      <w:r w:rsidRPr="00A964FF">
        <w:rPr>
          <w:rFonts w:ascii="Calibri" w:hint="eastAsia"/>
          <w:bCs/>
          <w:color w:val="auto"/>
          <w:sz w:val="24"/>
        </w:rPr>
        <w:t>；</w:t>
      </w:r>
    </w:p>
    <w:p w14:paraId="1374C866" w14:textId="77777777" w:rsidR="00853399" w:rsidRPr="00A964FF" w:rsidRDefault="00853399" w:rsidP="00853399">
      <w:pPr>
        <w:snapToGrid w:val="0"/>
        <w:spacing w:line="520" w:lineRule="exact"/>
        <w:ind w:firstLineChars="500" w:firstLine="1200"/>
        <w:rPr>
          <w:rFonts w:ascii="Calibri" w:hAnsi="Calibri"/>
          <w:bCs/>
          <w:color w:val="auto"/>
          <w:sz w:val="24"/>
        </w:rPr>
      </w:pPr>
      <w:r w:rsidRPr="00A964FF">
        <w:rPr>
          <w:rFonts w:ascii="Calibri" w:hAnsi="Calibri"/>
          <w:bCs/>
          <w:color w:val="auto"/>
          <w:sz w:val="24"/>
        </w:rPr>
        <w:object w:dxaOrig="660" w:dyaOrig="380" w14:anchorId="628D9DF8">
          <v:shape id="_x0000_i1052" type="#_x0000_t75" style="width:31.8pt;height:17.4pt;mso-position-horizontal-relative:page;mso-position-vertical-relative:page" o:ole="">
            <v:imagedata r:id="rId65" o:title=""/>
          </v:shape>
          <o:OLEObject Type="Embed" ProgID="Equation.DSMT4" ShapeID="_x0000_i1052" DrawAspect="Content" ObjectID="_1725951972" r:id="rId66"/>
        </w:object>
      </w:r>
      <w:r w:rsidRPr="00A964FF">
        <w:rPr>
          <w:rFonts w:ascii="Calibri" w:hAnsi="Calibri"/>
          <w:bCs/>
          <w:color w:val="auto"/>
          <w:sz w:val="24"/>
        </w:rPr>
        <w:t>—</w:t>
      </w:r>
      <w:r w:rsidRPr="00A964FF">
        <w:rPr>
          <w:rFonts w:ascii="Calibri" w:hint="eastAsia"/>
          <w:bCs/>
          <w:color w:val="auto"/>
          <w:sz w:val="24"/>
        </w:rPr>
        <w:t>距声源距离为</w:t>
      </w:r>
      <w:r w:rsidRPr="00A964FF">
        <w:rPr>
          <w:rFonts w:ascii="Calibri" w:hAnsi="Calibri"/>
          <w:bCs/>
          <w:color w:val="auto"/>
          <w:sz w:val="24"/>
        </w:rPr>
        <w:t>r</w:t>
      </w:r>
      <w:r w:rsidRPr="00A964FF">
        <w:rPr>
          <w:rFonts w:ascii="Calibri" w:hAnsi="Calibri"/>
          <w:bCs/>
          <w:color w:val="auto"/>
          <w:sz w:val="24"/>
          <w:vertAlign w:val="subscript"/>
        </w:rPr>
        <w:t>0</w:t>
      </w:r>
      <w:r w:rsidRPr="00A964FF">
        <w:rPr>
          <w:rFonts w:ascii="Calibri" w:hint="eastAsia"/>
          <w:bCs/>
          <w:color w:val="auto"/>
          <w:sz w:val="24"/>
        </w:rPr>
        <w:t>处的等效</w:t>
      </w:r>
      <w:r w:rsidRPr="00A964FF">
        <w:rPr>
          <w:rFonts w:ascii="Calibri" w:hAnsi="Calibri"/>
          <w:bCs/>
          <w:color w:val="auto"/>
          <w:sz w:val="24"/>
        </w:rPr>
        <w:t>A</w:t>
      </w:r>
      <w:r w:rsidRPr="00A964FF">
        <w:rPr>
          <w:rFonts w:ascii="Calibri" w:hint="eastAsia"/>
          <w:bCs/>
          <w:color w:val="auto"/>
          <w:sz w:val="24"/>
        </w:rPr>
        <w:t>声级值，</w:t>
      </w:r>
      <w:r w:rsidRPr="00A964FF">
        <w:rPr>
          <w:rFonts w:ascii="Calibri" w:hAnsi="Calibri"/>
          <w:bCs/>
          <w:color w:val="auto"/>
          <w:sz w:val="24"/>
        </w:rPr>
        <w:t>dB</w:t>
      </w:r>
      <w:r w:rsidRPr="00A964FF">
        <w:rPr>
          <w:rFonts w:ascii="Calibri" w:hAnsi="Calibri" w:hint="eastAsia"/>
          <w:bCs/>
          <w:color w:val="auto"/>
          <w:sz w:val="24"/>
        </w:rPr>
        <w:t>（</w:t>
      </w:r>
      <w:r w:rsidRPr="00A964FF">
        <w:rPr>
          <w:rFonts w:ascii="Calibri" w:hAnsi="Calibri"/>
          <w:bCs/>
          <w:color w:val="auto"/>
          <w:sz w:val="24"/>
        </w:rPr>
        <w:t>A</w:t>
      </w:r>
      <w:r w:rsidRPr="00A964FF">
        <w:rPr>
          <w:rFonts w:ascii="Calibri" w:hAnsi="Calibri" w:hint="eastAsia"/>
          <w:bCs/>
          <w:color w:val="auto"/>
          <w:sz w:val="24"/>
        </w:rPr>
        <w:t>）</w:t>
      </w:r>
      <w:r w:rsidRPr="00A964FF">
        <w:rPr>
          <w:rFonts w:ascii="Calibri" w:hint="eastAsia"/>
          <w:bCs/>
          <w:color w:val="auto"/>
          <w:sz w:val="24"/>
        </w:rPr>
        <w:t>；</w:t>
      </w:r>
    </w:p>
    <w:p w14:paraId="0238A3DC" w14:textId="77777777" w:rsidR="00853399" w:rsidRPr="00A964FF" w:rsidRDefault="00853399" w:rsidP="00853399">
      <w:pPr>
        <w:snapToGrid w:val="0"/>
        <w:spacing w:line="520" w:lineRule="exact"/>
        <w:ind w:firstLineChars="500" w:firstLine="1200"/>
        <w:rPr>
          <w:rFonts w:ascii="Calibri" w:hAnsi="Calibri"/>
          <w:bCs/>
          <w:color w:val="auto"/>
          <w:sz w:val="24"/>
        </w:rPr>
      </w:pPr>
      <w:r w:rsidRPr="00A964FF">
        <w:rPr>
          <w:rFonts w:ascii="Calibri" w:hAnsi="Calibri"/>
          <w:bCs/>
          <w:color w:val="auto"/>
          <w:sz w:val="24"/>
        </w:rPr>
        <w:t>r —</w:t>
      </w:r>
      <w:r w:rsidRPr="00A964FF">
        <w:rPr>
          <w:rFonts w:ascii="Calibri" w:hint="eastAsia"/>
          <w:bCs/>
          <w:color w:val="auto"/>
          <w:sz w:val="24"/>
        </w:rPr>
        <w:t>关心点距离噪声源距离，</w:t>
      </w:r>
      <w:r w:rsidRPr="00A964FF">
        <w:rPr>
          <w:rFonts w:ascii="Calibri" w:hAnsi="Calibri"/>
          <w:bCs/>
          <w:color w:val="auto"/>
          <w:sz w:val="24"/>
        </w:rPr>
        <w:t>m</w:t>
      </w:r>
      <w:r w:rsidRPr="00A964FF">
        <w:rPr>
          <w:rFonts w:ascii="Calibri" w:hint="eastAsia"/>
          <w:bCs/>
          <w:color w:val="auto"/>
          <w:sz w:val="24"/>
        </w:rPr>
        <w:t>；</w:t>
      </w:r>
    </w:p>
    <w:p w14:paraId="51F2E83E" w14:textId="77777777" w:rsidR="00853399" w:rsidRPr="00A964FF" w:rsidRDefault="00853399" w:rsidP="00853399">
      <w:pPr>
        <w:snapToGrid w:val="0"/>
        <w:spacing w:line="520" w:lineRule="exact"/>
        <w:ind w:firstLineChars="500" w:firstLine="1200"/>
        <w:rPr>
          <w:rFonts w:ascii="Calibri" w:hAnsi="Calibri"/>
          <w:bCs/>
          <w:color w:val="auto"/>
          <w:sz w:val="24"/>
        </w:rPr>
      </w:pPr>
      <w:r w:rsidRPr="00A964FF">
        <w:rPr>
          <w:rFonts w:ascii="Calibri" w:hAnsi="Calibri"/>
          <w:bCs/>
          <w:color w:val="auto"/>
          <w:sz w:val="24"/>
        </w:rPr>
        <w:t>r</w:t>
      </w:r>
      <w:r w:rsidRPr="00A964FF">
        <w:rPr>
          <w:rFonts w:ascii="Calibri" w:hAnsi="Calibri"/>
          <w:bCs/>
          <w:color w:val="auto"/>
          <w:sz w:val="24"/>
          <w:vertAlign w:val="subscript"/>
        </w:rPr>
        <w:t>0</w:t>
      </w:r>
      <w:r w:rsidRPr="00A964FF">
        <w:rPr>
          <w:rFonts w:ascii="Calibri" w:hAnsi="Calibri"/>
          <w:bCs/>
          <w:color w:val="auto"/>
          <w:sz w:val="24"/>
        </w:rPr>
        <w:t xml:space="preserve"> —</w:t>
      </w:r>
      <w:r w:rsidRPr="00A964FF">
        <w:rPr>
          <w:rFonts w:ascii="Calibri" w:hint="eastAsia"/>
          <w:bCs/>
          <w:color w:val="auto"/>
          <w:sz w:val="24"/>
        </w:rPr>
        <w:t>声级为</w:t>
      </w:r>
      <w:r w:rsidRPr="00A964FF">
        <w:rPr>
          <w:rFonts w:ascii="Calibri" w:hAnsi="Calibri"/>
          <w:bCs/>
          <w:color w:val="auto"/>
          <w:sz w:val="24"/>
        </w:rPr>
        <w:t>L</w:t>
      </w:r>
      <w:r w:rsidRPr="00A964FF">
        <w:rPr>
          <w:rFonts w:ascii="Calibri" w:hAnsi="Calibri"/>
          <w:bCs/>
          <w:color w:val="auto"/>
          <w:sz w:val="24"/>
          <w:vertAlign w:val="subscript"/>
        </w:rPr>
        <w:t>0</w:t>
      </w:r>
      <w:r w:rsidRPr="00A964FF">
        <w:rPr>
          <w:rFonts w:ascii="Calibri" w:hint="eastAsia"/>
          <w:bCs/>
          <w:color w:val="auto"/>
          <w:sz w:val="24"/>
        </w:rPr>
        <w:t>点距声源距离，</w:t>
      </w:r>
      <w:r w:rsidRPr="00A964FF">
        <w:rPr>
          <w:rFonts w:ascii="Calibri" w:hAnsi="Calibri"/>
          <w:bCs/>
          <w:color w:val="auto"/>
          <w:sz w:val="24"/>
        </w:rPr>
        <w:t>r</w:t>
      </w:r>
      <w:r w:rsidRPr="00A964FF">
        <w:rPr>
          <w:rFonts w:ascii="Calibri" w:hAnsi="Calibri"/>
          <w:bCs/>
          <w:color w:val="auto"/>
          <w:sz w:val="24"/>
          <w:vertAlign w:val="subscript"/>
        </w:rPr>
        <w:t>0</w:t>
      </w:r>
      <w:r w:rsidRPr="00A964FF">
        <w:rPr>
          <w:rFonts w:ascii="Calibri" w:hint="eastAsia"/>
          <w:bCs/>
          <w:color w:val="auto"/>
          <w:sz w:val="24"/>
        </w:rPr>
        <w:t>＝</w:t>
      </w:r>
      <w:r w:rsidRPr="00A964FF">
        <w:rPr>
          <w:rFonts w:ascii="Calibri" w:hAnsi="Calibri"/>
          <w:bCs/>
          <w:color w:val="auto"/>
          <w:sz w:val="24"/>
        </w:rPr>
        <w:t>1m</w:t>
      </w:r>
    </w:p>
    <w:p w14:paraId="6EC46AA4"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w:t>
      </w:r>
      <w:r w:rsidRPr="00A964FF">
        <w:rPr>
          <w:rFonts w:ascii="Calibri" w:hAnsi="Calibri"/>
          <w:bCs/>
          <w:color w:val="auto"/>
          <w:sz w:val="24"/>
        </w:rPr>
        <w:t>2</w:t>
      </w:r>
      <w:r w:rsidRPr="00A964FF">
        <w:rPr>
          <w:rFonts w:ascii="Calibri" w:hint="eastAsia"/>
          <w:bCs/>
          <w:color w:val="auto"/>
          <w:sz w:val="24"/>
        </w:rPr>
        <w:t>）评价标准</w:t>
      </w:r>
    </w:p>
    <w:p w14:paraId="003BF770"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采用《建筑施工场界环境噪声排放标准》（</w:t>
      </w:r>
      <w:r w:rsidRPr="00A964FF">
        <w:rPr>
          <w:rFonts w:ascii="Calibri" w:hAnsi="Calibri"/>
          <w:bCs/>
          <w:color w:val="auto"/>
          <w:sz w:val="24"/>
        </w:rPr>
        <w:t>GB12523-2011</w:t>
      </w:r>
      <w:r w:rsidRPr="00A964FF">
        <w:rPr>
          <w:rFonts w:ascii="Calibri" w:hint="eastAsia"/>
          <w:bCs/>
          <w:color w:val="auto"/>
          <w:sz w:val="24"/>
        </w:rPr>
        <w:t>），见表</w:t>
      </w:r>
      <w:r w:rsidRPr="00A964FF">
        <w:rPr>
          <w:rFonts w:ascii="Calibri" w:hAnsi="Calibri"/>
          <w:bCs/>
          <w:color w:val="auto"/>
          <w:sz w:val="24"/>
        </w:rPr>
        <w:t>4</w:t>
      </w:r>
      <w:r w:rsidR="0097027F" w:rsidRPr="00A964FF">
        <w:rPr>
          <w:rFonts w:ascii="Calibri" w:hAnsi="Calibri" w:hint="eastAsia"/>
          <w:bCs/>
          <w:color w:val="auto"/>
          <w:sz w:val="24"/>
        </w:rPr>
        <w:t>.1</w:t>
      </w:r>
      <w:r w:rsidRPr="00A964FF">
        <w:rPr>
          <w:rFonts w:ascii="Calibri" w:hAnsi="Calibri"/>
          <w:bCs/>
          <w:color w:val="auto"/>
          <w:sz w:val="24"/>
        </w:rPr>
        <w:t>-3</w:t>
      </w:r>
      <w:r w:rsidRPr="00A964FF">
        <w:rPr>
          <w:rFonts w:ascii="Calibri" w:hint="eastAsia"/>
          <w:bCs/>
          <w:color w:val="auto"/>
          <w:sz w:val="24"/>
        </w:rPr>
        <w:t>。</w:t>
      </w:r>
    </w:p>
    <w:p w14:paraId="17903FDC" w14:textId="77777777" w:rsidR="00853399" w:rsidRPr="00A964FF" w:rsidRDefault="00853399" w:rsidP="00853399">
      <w:pPr>
        <w:spacing w:line="520" w:lineRule="exact"/>
        <w:ind w:firstLineChars="200" w:firstLine="480"/>
        <w:rPr>
          <w:rFonts w:ascii="Calibri" w:eastAsia="黑体" w:hAnsi="Calibri"/>
          <w:color w:val="auto"/>
          <w:sz w:val="24"/>
        </w:rPr>
      </w:pPr>
      <w:r w:rsidRPr="00A964FF">
        <w:rPr>
          <w:rFonts w:ascii="Calibri" w:eastAsia="黑体" w:hAnsi="Calibri" w:hint="eastAsia"/>
          <w:color w:val="auto"/>
          <w:sz w:val="24"/>
        </w:rPr>
        <w:t>表</w:t>
      </w:r>
      <w:r w:rsidRPr="00A964FF">
        <w:rPr>
          <w:rFonts w:ascii="Calibri" w:eastAsia="黑体" w:hAnsi="Calibri"/>
          <w:color w:val="auto"/>
          <w:sz w:val="24"/>
        </w:rPr>
        <w:t>4</w:t>
      </w:r>
      <w:r w:rsidR="0097027F" w:rsidRPr="00A964FF">
        <w:rPr>
          <w:rFonts w:ascii="Calibri" w:eastAsia="黑体" w:hAnsi="Calibri" w:hint="eastAsia"/>
          <w:color w:val="auto"/>
          <w:sz w:val="24"/>
        </w:rPr>
        <w:t>.1</w:t>
      </w:r>
      <w:r w:rsidRPr="00A964FF">
        <w:rPr>
          <w:rFonts w:ascii="Calibri" w:eastAsia="黑体" w:hAnsi="Calibri"/>
          <w:color w:val="auto"/>
          <w:sz w:val="24"/>
        </w:rPr>
        <w:t xml:space="preserve">-3          </w:t>
      </w:r>
      <w:r w:rsidRPr="00A964FF">
        <w:rPr>
          <w:rFonts w:ascii="Calibri" w:eastAsia="黑体" w:hAnsi="Calibri" w:hint="eastAsia"/>
          <w:color w:val="auto"/>
          <w:sz w:val="24"/>
        </w:rPr>
        <w:t>建筑施工场界环境噪声排放标准</w:t>
      </w:r>
      <w:r w:rsidRPr="00A964FF">
        <w:rPr>
          <w:rFonts w:ascii="Calibri" w:eastAsia="黑体" w:hAnsi="Calibri"/>
          <w:color w:val="auto"/>
          <w:sz w:val="24"/>
        </w:rPr>
        <w:t xml:space="preserve">   </w:t>
      </w:r>
      <w:r w:rsidRPr="00A964FF">
        <w:rPr>
          <w:rFonts w:ascii="Calibri" w:hAnsi="Calibri"/>
          <w:color w:val="auto"/>
          <w:sz w:val="24"/>
        </w:rPr>
        <w:t xml:space="preserve">       </w:t>
      </w:r>
      <w:r w:rsidRPr="00A964FF">
        <w:rPr>
          <w:rFonts w:ascii="Calibri" w:hAnsi="宋体" w:hint="eastAsia"/>
          <w:color w:val="auto"/>
          <w:szCs w:val="21"/>
        </w:rPr>
        <w:t>单位：</w:t>
      </w:r>
      <w:r w:rsidRPr="00A964FF">
        <w:rPr>
          <w:rFonts w:ascii="Calibri" w:hAnsi="Calibri"/>
          <w:color w:val="auto"/>
          <w:szCs w:val="21"/>
        </w:rPr>
        <w:t>dB</w:t>
      </w:r>
      <w:r w:rsidRPr="00A964FF">
        <w:rPr>
          <w:rFonts w:ascii="Calibri" w:hAnsi="宋体" w:hint="eastAsia"/>
          <w:color w:val="auto"/>
          <w:szCs w:val="21"/>
        </w:rPr>
        <w:t>（</w:t>
      </w:r>
      <w:r w:rsidRPr="00A964FF">
        <w:rPr>
          <w:rFonts w:ascii="Calibri" w:hAnsi="Calibri"/>
          <w:color w:val="auto"/>
          <w:szCs w:val="21"/>
        </w:rPr>
        <w:t>A</w:t>
      </w:r>
      <w:r w:rsidRPr="00A964FF">
        <w:rPr>
          <w:rFonts w:ascii="Calibri" w:hAnsi="宋体" w:hint="eastAsia"/>
          <w:color w:val="auto"/>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50"/>
        <w:gridCol w:w="4350"/>
      </w:tblGrid>
      <w:tr w:rsidR="00853399" w:rsidRPr="00A964FF" w14:paraId="6770A624" w14:textId="77777777" w:rsidTr="00162031">
        <w:trPr>
          <w:trHeight w:val="340"/>
          <w:jc w:val="center"/>
        </w:trPr>
        <w:tc>
          <w:tcPr>
            <w:tcW w:w="2500" w:type="pct"/>
            <w:vAlign w:val="center"/>
          </w:tcPr>
          <w:p w14:paraId="13EE88EF" w14:textId="77777777" w:rsidR="00853399" w:rsidRPr="00A964FF" w:rsidRDefault="00853399" w:rsidP="00162031">
            <w:pPr>
              <w:jc w:val="center"/>
              <w:textAlignment w:val="baseline"/>
              <w:rPr>
                <w:rFonts w:ascii="Calibri" w:hAnsi="Calibri"/>
                <w:color w:val="auto"/>
              </w:rPr>
            </w:pPr>
            <w:r w:rsidRPr="00A964FF">
              <w:rPr>
                <w:rFonts w:ascii="Calibri" w:hAnsi="宋体" w:hint="eastAsia"/>
                <w:color w:val="auto"/>
              </w:rPr>
              <w:t>昼间</w:t>
            </w:r>
          </w:p>
        </w:tc>
        <w:tc>
          <w:tcPr>
            <w:tcW w:w="2500" w:type="pct"/>
            <w:vAlign w:val="center"/>
          </w:tcPr>
          <w:p w14:paraId="4107E889" w14:textId="77777777" w:rsidR="00853399" w:rsidRPr="00A964FF" w:rsidRDefault="00853399" w:rsidP="00162031">
            <w:pPr>
              <w:jc w:val="center"/>
              <w:textAlignment w:val="baseline"/>
              <w:rPr>
                <w:rFonts w:ascii="Calibri" w:hAnsi="Calibri"/>
                <w:color w:val="auto"/>
              </w:rPr>
            </w:pPr>
            <w:r w:rsidRPr="00A964FF">
              <w:rPr>
                <w:rFonts w:ascii="Calibri" w:hAnsi="宋体" w:hint="eastAsia"/>
                <w:color w:val="auto"/>
              </w:rPr>
              <w:t>夜间</w:t>
            </w:r>
          </w:p>
        </w:tc>
      </w:tr>
      <w:tr w:rsidR="00853399" w:rsidRPr="00A964FF" w14:paraId="5E7E88BD" w14:textId="77777777" w:rsidTr="00162031">
        <w:trPr>
          <w:trHeight w:val="340"/>
          <w:jc w:val="center"/>
        </w:trPr>
        <w:tc>
          <w:tcPr>
            <w:tcW w:w="2500" w:type="pct"/>
            <w:vAlign w:val="center"/>
          </w:tcPr>
          <w:p w14:paraId="67A2A557" w14:textId="77777777" w:rsidR="00853399" w:rsidRPr="00A964FF" w:rsidRDefault="00853399" w:rsidP="00162031">
            <w:pPr>
              <w:jc w:val="center"/>
              <w:textAlignment w:val="baseline"/>
              <w:rPr>
                <w:rFonts w:ascii="Calibri" w:hAnsi="Calibri"/>
                <w:color w:val="auto"/>
              </w:rPr>
            </w:pPr>
            <w:r w:rsidRPr="00A964FF">
              <w:rPr>
                <w:rFonts w:ascii="Calibri" w:hAnsi="Calibri"/>
                <w:color w:val="auto"/>
              </w:rPr>
              <w:t>70</w:t>
            </w:r>
          </w:p>
        </w:tc>
        <w:tc>
          <w:tcPr>
            <w:tcW w:w="2500" w:type="pct"/>
            <w:vAlign w:val="center"/>
          </w:tcPr>
          <w:p w14:paraId="65ADFAE1" w14:textId="77777777" w:rsidR="00853399" w:rsidRPr="00A964FF" w:rsidRDefault="00853399" w:rsidP="00162031">
            <w:pPr>
              <w:jc w:val="center"/>
              <w:textAlignment w:val="baseline"/>
              <w:rPr>
                <w:rFonts w:ascii="Calibri" w:hAnsi="Calibri"/>
                <w:color w:val="auto"/>
              </w:rPr>
            </w:pPr>
            <w:r w:rsidRPr="00A964FF">
              <w:rPr>
                <w:rFonts w:ascii="Calibri" w:hAnsi="Calibri"/>
                <w:color w:val="auto"/>
              </w:rPr>
              <w:t>55</w:t>
            </w:r>
          </w:p>
        </w:tc>
      </w:tr>
    </w:tbl>
    <w:p w14:paraId="3750B64B" w14:textId="77777777" w:rsidR="00853399" w:rsidRPr="00A964FF" w:rsidRDefault="00853399" w:rsidP="00853399">
      <w:pPr>
        <w:pStyle w:val="00"/>
        <w:rPr>
          <w:rFonts w:ascii="Calibri" w:hAnsi="Calibri"/>
          <w:color w:val="auto"/>
        </w:rPr>
      </w:pPr>
      <w:r w:rsidRPr="00A964FF">
        <w:rPr>
          <w:rFonts w:ascii="Calibri" w:hAnsi="Calibri" w:hint="eastAsia"/>
          <w:color w:val="auto"/>
        </w:rPr>
        <w:t>（</w:t>
      </w:r>
      <w:r w:rsidRPr="00A964FF">
        <w:rPr>
          <w:rFonts w:ascii="Calibri" w:hAnsi="Calibri"/>
          <w:color w:val="auto"/>
        </w:rPr>
        <w:t>3</w:t>
      </w:r>
      <w:r w:rsidRPr="00A964FF">
        <w:rPr>
          <w:rFonts w:ascii="Calibri" w:hAnsi="Calibri" w:hint="eastAsia"/>
          <w:color w:val="auto"/>
        </w:rPr>
        <w:t>）预测结果及评价</w:t>
      </w:r>
    </w:p>
    <w:p w14:paraId="2E6E29D9" w14:textId="77777777" w:rsidR="00853399" w:rsidRPr="00A964FF" w:rsidRDefault="00853399" w:rsidP="00853399">
      <w:pPr>
        <w:pStyle w:val="00"/>
        <w:rPr>
          <w:rFonts w:ascii="Calibri" w:hAnsi="Calibri"/>
          <w:color w:val="auto"/>
        </w:rPr>
      </w:pPr>
      <w:r w:rsidRPr="00A964FF">
        <w:rPr>
          <w:rFonts w:ascii="Calibri" w:hAnsi="Calibri" w:hint="eastAsia"/>
          <w:color w:val="auto"/>
        </w:rPr>
        <w:t>各施工阶段主要噪声源在不同距离处的平均等效声级计算结果详见表</w:t>
      </w:r>
      <w:r w:rsidRPr="00A964FF">
        <w:rPr>
          <w:rFonts w:ascii="Calibri" w:hAnsi="Calibri"/>
          <w:color w:val="auto"/>
        </w:rPr>
        <w:t>4</w:t>
      </w:r>
      <w:r w:rsidR="0097027F" w:rsidRPr="00A964FF">
        <w:rPr>
          <w:rFonts w:ascii="Calibri" w:hAnsi="Calibri" w:hint="eastAsia"/>
          <w:color w:val="auto"/>
        </w:rPr>
        <w:t>.1</w:t>
      </w:r>
      <w:r w:rsidRPr="00A964FF">
        <w:rPr>
          <w:rFonts w:ascii="Calibri" w:hAnsi="Calibri"/>
          <w:color w:val="auto"/>
        </w:rPr>
        <w:t>-4</w:t>
      </w:r>
      <w:r w:rsidRPr="00A964FF">
        <w:rPr>
          <w:rFonts w:ascii="Calibri" w:hAnsi="Calibri" w:hint="eastAsia"/>
          <w:color w:val="auto"/>
        </w:rPr>
        <w:t>。</w:t>
      </w:r>
    </w:p>
    <w:p w14:paraId="53483210" w14:textId="77777777" w:rsidR="00853399" w:rsidRPr="00A964FF" w:rsidRDefault="00853399" w:rsidP="00853399">
      <w:pPr>
        <w:pStyle w:val="00"/>
        <w:rPr>
          <w:rFonts w:ascii="Calibri" w:hAnsi="Calibri"/>
          <w:color w:val="auto"/>
        </w:rPr>
      </w:pPr>
    </w:p>
    <w:p w14:paraId="13B56D8D" w14:textId="77777777" w:rsidR="00853399" w:rsidRPr="00A964FF" w:rsidRDefault="00853399" w:rsidP="00853399">
      <w:pPr>
        <w:pStyle w:val="00"/>
        <w:rPr>
          <w:rFonts w:ascii="Calibri" w:hAnsi="Calibri"/>
          <w:color w:val="auto"/>
        </w:rPr>
      </w:pPr>
    </w:p>
    <w:p w14:paraId="3238769E" w14:textId="77777777" w:rsidR="00853399" w:rsidRPr="00A964FF" w:rsidRDefault="00853399" w:rsidP="00853399">
      <w:pPr>
        <w:pStyle w:val="00"/>
        <w:rPr>
          <w:rFonts w:ascii="Calibri" w:hAnsi="Calibri"/>
          <w:color w:val="auto"/>
        </w:rPr>
      </w:pPr>
    </w:p>
    <w:p w14:paraId="3B2B4E4F" w14:textId="77777777" w:rsidR="00853399" w:rsidRPr="00A964FF" w:rsidRDefault="00853399" w:rsidP="00853399">
      <w:pPr>
        <w:pStyle w:val="00"/>
        <w:rPr>
          <w:rFonts w:ascii="Calibri" w:hAnsi="Calibri"/>
          <w:color w:val="auto"/>
        </w:rPr>
      </w:pPr>
    </w:p>
    <w:p w14:paraId="07680E69" w14:textId="77777777" w:rsidR="00853399" w:rsidRDefault="00853399" w:rsidP="00853399">
      <w:pPr>
        <w:pStyle w:val="00"/>
        <w:rPr>
          <w:rFonts w:ascii="Calibri" w:hAnsi="Calibri"/>
          <w:color w:val="auto"/>
        </w:rPr>
      </w:pPr>
    </w:p>
    <w:p w14:paraId="3DFD803A" w14:textId="77777777" w:rsidR="00040BEE" w:rsidRPr="00A964FF" w:rsidRDefault="00040BEE" w:rsidP="00853399">
      <w:pPr>
        <w:pStyle w:val="00"/>
        <w:rPr>
          <w:rFonts w:ascii="Calibri" w:hAnsi="Calibri"/>
          <w:color w:val="auto"/>
        </w:rPr>
      </w:pPr>
    </w:p>
    <w:p w14:paraId="412CFFBF" w14:textId="77777777" w:rsidR="00853399" w:rsidRPr="00A964FF" w:rsidRDefault="00853399" w:rsidP="00853399">
      <w:pPr>
        <w:pStyle w:val="00"/>
        <w:rPr>
          <w:rFonts w:ascii="Calibri" w:eastAsia="黑体" w:hAnsi="Calibri"/>
          <w:bCs/>
          <w:color w:val="auto"/>
          <w:sz w:val="21"/>
          <w:szCs w:val="21"/>
        </w:rPr>
      </w:pPr>
      <w:r w:rsidRPr="00A964FF">
        <w:rPr>
          <w:rFonts w:ascii="Calibri" w:eastAsia="黑体" w:hAnsi="Calibri" w:hint="eastAsia"/>
          <w:color w:val="auto"/>
        </w:rPr>
        <w:lastRenderedPageBreak/>
        <w:t>表</w:t>
      </w:r>
      <w:r w:rsidRPr="00A964FF">
        <w:rPr>
          <w:rFonts w:ascii="Calibri" w:eastAsia="黑体" w:hAnsi="Calibri"/>
          <w:color w:val="auto"/>
        </w:rPr>
        <w:t>4</w:t>
      </w:r>
      <w:r w:rsidR="0097027F" w:rsidRPr="00A964FF">
        <w:rPr>
          <w:rFonts w:ascii="Calibri" w:eastAsia="黑体" w:hAnsi="Calibri" w:hint="eastAsia"/>
          <w:color w:val="auto"/>
        </w:rPr>
        <w:t>.1</w:t>
      </w:r>
      <w:r w:rsidRPr="00A964FF">
        <w:rPr>
          <w:rFonts w:ascii="Calibri" w:eastAsia="黑体" w:hAnsi="Calibri"/>
          <w:color w:val="auto"/>
        </w:rPr>
        <w:t xml:space="preserve">-4       </w:t>
      </w:r>
      <w:r w:rsidRPr="00A964FF">
        <w:rPr>
          <w:rFonts w:ascii="Calibri" w:eastAsia="黑体" w:hAnsi="Calibri" w:hint="eastAsia"/>
          <w:color w:val="auto"/>
        </w:rPr>
        <w:t>施工期各阶段噪声在不同距离处的声级</w:t>
      </w:r>
      <w:r w:rsidRPr="00A964FF">
        <w:rPr>
          <w:rFonts w:ascii="Calibri" w:eastAsia="黑体" w:hAnsi="Calibri"/>
          <w:color w:val="auto"/>
        </w:rPr>
        <w:t xml:space="preserve">        </w:t>
      </w:r>
      <w:r w:rsidRPr="00A964FF">
        <w:rPr>
          <w:rFonts w:ascii="Calibri" w:hAnsi="Calibri" w:hint="eastAsia"/>
          <w:bCs/>
          <w:color w:val="auto"/>
          <w:sz w:val="21"/>
          <w:szCs w:val="21"/>
        </w:rPr>
        <w:t>单位：</w:t>
      </w:r>
      <w:r w:rsidRPr="00A964FF">
        <w:rPr>
          <w:rFonts w:ascii="Calibri" w:hAnsi="Calibri"/>
          <w:bCs/>
          <w:color w:val="auto"/>
          <w:sz w:val="21"/>
          <w:szCs w:val="21"/>
        </w:rPr>
        <w:t>dB</w:t>
      </w:r>
      <w:r w:rsidRPr="00A964FF">
        <w:rPr>
          <w:rFonts w:ascii="Calibri" w:hAnsi="Calibri" w:hint="eastAsia"/>
          <w:bCs/>
          <w:color w:val="auto"/>
          <w:sz w:val="21"/>
          <w:szCs w:val="21"/>
        </w:rPr>
        <w:t>（</w:t>
      </w:r>
      <w:r w:rsidRPr="00A964FF">
        <w:rPr>
          <w:rFonts w:ascii="Calibri" w:hAnsi="Calibri"/>
          <w:bCs/>
          <w:color w:val="auto"/>
          <w:sz w:val="21"/>
          <w:szCs w:val="21"/>
        </w:rPr>
        <w:t>A</w:t>
      </w:r>
      <w:r w:rsidRPr="00A964FF">
        <w:rPr>
          <w:rFonts w:ascii="Calibri" w:hAnsi="Calibri" w:hint="eastAsia"/>
          <w:bCs/>
          <w:color w:val="auto"/>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1141"/>
        <w:gridCol w:w="579"/>
        <w:gridCol w:w="574"/>
        <w:gridCol w:w="534"/>
        <w:gridCol w:w="534"/>
        <w:gridCol w:w="534"/>
        <w:gridCol w:w="534"/>
        <w:gridCol w:w="534"/>
        <w:gridCol w:w="534"/>
        <w:gridCol w:w="534"/>
        <w:gridCol w:w="534"/>
        <w:gridCol w:w="534"/>
        <w:gridCol w:w="534"/>
        <w:gridCol w:w="534"/>
        <w:gridCol w:w="532"/>
      </w:tblGrid>
      <w:tr w:rsidR="00853399" w:rsidRPr="00A964FF" w14:paraId="37EB39A7" w14:textId="77777777" w:rsidTr="00162031">
        <w:trPr>
          <w:trHeight w:val="340"/>
          <w:jc w:val="center"/>
        </w:trPr>
        <w:tc>
          <w:tcPr>
            <w:tcW w:w="655" w:type="pct"/>
            <w:vMerge w:val="restart"/>
            <w:tcMar>
              <w:top w:w="0" w:type="dxa"/>
              <w:bottom w:w="0" w:type="dxa"/>
            </w:tcMar>
            <w:vAlign w:val="center"/>
          </w:tcPr>
          <w:p w14:paraId="765C1195"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hint="eastAsia"/>
                <w:color w:val="auto"/>
                <w:sz w:val="21"/>
                <w:szCs w:val="21"/>
              </w:rPr>
              <w:t>施工机械</w:t>
            </w:r>
          </w:p>
          <w:p w14:paraId="451B811B"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hint="eastAsia"/>
                <w:color w:val="auto"/>
                <w:sz w:val="21"/>
                <w:szCs w:val="21"/>
              </w:rPr>
              <w:t>设备</w:t>
            </w:r>
          </w:p>
        </w:tc>
        <w:tc>
          <w:tcPr>
            <w:tcW w:w="661" w:type="pct"/>
            <w:gridSpan w:val="2"/>
            <w:tcMar>
              <w:top w:w="0" w:type="dxa"/>
              <w:bottom w:w="0" w:type="dxa"/>
            </w:tcMar>
            <w:vAlign w:val="center"/>
          </w:tcPr>
          <w:p w14:paraId="4B34CBF0"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hint="eastAsia"/>
                <w:color w:val="auto"/>
                <w:sz w:val="21"/>
                <w:szCs w:val="21"/>
              </w:rPr>
              <w:t>声压级</w:t>
            </w:r>
          </w:p>
        </w:tc>
        <w:tc>
          <w:tcPr>
            <w:tcW w:w="3684" w:type="pct"/>
            <w:gridSpan w:val="12"/>
            <w:tcMar>
              <w:top w:w="0" w:type="dxa"/>
              <w:bottom w:w="0" w:type="dxa"/>
            </w:tcMar>
            <w:vAlign w:val="center"/>
          </w:tcPr>
          <w:p w14:paraId="43809BF1"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hint="eastAsia"/>
                <w:color w:val="auto"/>
                <w:sz w:val="21"/>
                <w:szCs w:val="21"/>
              </w:rPr>
              <w:t>距离</w:t>
            </w:r>
            <w:r w:rsidRPr="00A964FF">
              <w:rPr>
                <w:rFonts w:ascii="Calibri" w:hAnsi="Calibri" w:cs="Calibri"/>
                <w:color w:val="auto"/>
                <w:sz w:val="21"/>
                <w:szCs w:val="21"/>
              </w:rPr>
              <w:t>m</w:t>
            </w:r>
          </w:p>
        </w:tc>
      </w:tr>
      <w:tr w:rsidR="00853399" w:rsidRPr="00A964FF" w14:paraId="2F411675" w14:textId="77777777" w:rsidTr="00162031">
        <w:trPr>
          <w:trHeight w:val="340"/>
          <w:jc w:val="center"/>
        </w:trPr>
        <w:tc>
          <w:tcPr>
            <w:tcW w:w="655" w:type="pct"/>
            <w:vMerge/>
            <w:tcMar>
              <w:top w:w="0" w:type="dxa"/>
              <w:bottom w:w="0" w:type="dxa"/>
            </w:tcMar>
            <w:vAlign w:val="center"/>
          </w:tcPr>
          <w:p w14:paraId="560F91FC"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p>
        </w:tc>
        <w:tc>
          <w:tcPr>
            <w:tcW w:w="332" w:type="pct"/>
            <w:tcMar>
              <w:top w:w="0" w:type="dxa"/>
              <w:bottom w:w="0" w:type="dxa"/>
            </w:tcMar>
            <w:vAlign w:val="center"/>
          </w:tcPr>
          <w:p w14:paraId="2E6053FA"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hint="eastAsia"/>
                <w:color w:val="auto"/>
                <w:sz w:val="21"/>
                <w:szCs w:val="21"/>
              </w:rPr>
              <w:t>距离</w:t>
            </w:r>
          </w:p>
          <w:p w14:paraId="40827915"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m</w:t>
            </w:r>
          </w:p>
        </w:tc>
        <w:tc>
          <w:tcPr>
            <w:tcW w:w="330" w:type="pct"/>
            <w:tcMar>
              <w:top w:w="0" w:type="dxa"/>
              <w:bottom w:w="0" w:type="dxa"/>
            </w:tcMar>
            <w:vAlign w:val="center"/>
          </w:tcPr>
          <w:p w14:paraId="686BFD9B"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dB</w:t>
            </w:r>
            <w:r w:rsidRPr="00A964FF">
              <w:rPr>
                <w:rFonts w:ascii="Calibri" w:hAnsi="Calibri" w:cs="Calibri" w:hint="eastAsia"/>
                <w:color w:val="auto"/>
                <w:sz w:val="21"/>
                <w:szCs w:val="21"/>
              </w:rPr>
              <w:t>（</w:t>
            </w:r>
            <w:r w:rsidRPr="00A964FF">
              <w:rPr>
                <w:rFonts w:ascii="Calibri" w:hAnsi="Calibri" w:cs="Calibri"/>
                <w:color w:val="auto"/>
                <w:sz w:val="21"/>
                <w:szCs w:val="21"/>
              </w:rPr>
              <w:t>A</w:t>
            </w:r>
            <w:r w:rsidRPr="00A964FF">
              <w:rPr>
                <w:rFonts w:ascii="Calibri" w:hAnsi="Calibri" w:cs="Calibri" w:hint="eastAsia"/>
                <w:color w:val="auto"/>
                <w:sz w:val="21"/>
                <w:szCs w:val="21"/>
              </w:rPr>
              <w:t>）</w:t>
            </w:r>
          </w:p>
        </w:tc>
        <w:tc>
          <w:tcPr>
            <w:tcW w:w="307" w:type="pct"/>
            <w:tcMar>
              <w:top w:w="0" w:type="dxa"/>
              <w:bottom w:w="0" w:type="dxa"/>
            </w:tcMar>
            <w:vAlign w:val="center"/>
          </w:tcPr>
          <w:p w14:paraId="11ED217E"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10</w:t>
            </w:r>
          </w:p>
        </w:tc>
        <w:tc>
          <w:tcPr>
            <w:tcW w:w="307" w:type="pct"/>
            <w:tcMar>
              <w:top w:w="0" w:type="dxa"/>
              <w:bottom w:w="0" w:type="dxa"/>
            </w:tcMar>
            <w:vAlign w:val="center"/>
          </w:tcPr>
          <w:p w14:paraId="512A8DC1"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20</w:t>
            </w:r>
          </w:p>
        </w:tc>
        <w:tc>
          <w:tcPr>
            <w:tcW w:w="307" w:type="pct"/>
            <w:tcMar>
              <w:top w:w="0" w:type="dxa"/>
              <w:bottom w:w="0" w:type="dxa"/>
            </w:tcMar>
            <w:vAlign w:val="center"/>
          </w:tcPr>
          <w:p w14:paraId="688CFAAE"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30</w:t>
            </w:r>
          </w:p>
        </w:tc>
        <w:tc>
          <w:tcPr>
            <w:tcW w:w="307" w:type="pct"/>
            <w:tcMar>
              <w:top w:w="0" w:type="dxa"/>
              <w:bottom w:w="0" w:type="dxa"/>
            </w:tcMar>
            <w:vAlign w:val="center"/>
          </w:tcPr>
          <w:p w14:paraId="0379CFB0"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40</w:t>
            </w:r>
          </w:p>
        </w:tc>
        <w:tc>
          <w:tcPr>
            <w:tcW w:w="307" w:type="pct"/>
            <w:tcMar>
              <w:top w:w="0" w:type="dxa"/>
              <w:bottom w:w="0" w:type="dxa"/>
            </w:tcMar>
            <w:vAlign w:val="center"/>
          </w:tcPr>
          <w:p w14:paraId="73214AAE"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50</w:t>
            </w:r>
          </w:p>
        </w:tc>
        <w:tc>
          <w:tcPr>
            <w:tcW w:w="307" w:type="pct"/>
            <w:tcMar>
              <w:top w:w="0" w:type="dxa"/>
              <w:bottom w:w="0" w:type="dxa"/>
            </w:tcMar>
            <w:vAlign w:val="center"/>
          </w:tcPr>
          <w:p w14:paraId="5F3AFACE"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60</w:t>
            </w:r>
          </w:p>
        </w:tc>
        <w:tc>
          <w:tcPr>
            <w:tcW w:w="307" w:type="pct"/>
            <w:tcMar>
              <w:top w:w="0" w:type="dxa"/>
              <w:bottom w:w="0" w:type="dxa"/>
            </w:tcMar>
            <w:vAlign w:val="center"/>
          </w:tcPr>
          <w:p w14:paraId="74B4ABF1"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70</w:t>
            </w:r>
          </w:p>
        </w:tc>
        <w:tc>
          <w:tcPr>
            <w:tcW w:w="307" w:type="pct"/>
            <w:tcMar>
              <w:top w:w="0" w:type="dxa"/>
              <w:bottom w:w="0" w:type="dxa"/>
            </w:tcMar>
            <w:vAlign w:val="center"/>
          </w:tcPr>
          <w:p w14:paraId="52352719"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80</w:t>
            </w:r>
          </w:p>
        </w:tc>
        <w:tc>
          <w:tcPr>
            <w:tcW w:w="307" w:type="pct"/>
            <w:tcMar>
              <w:top w:w="0" w:type="dxa"/>
              <w:bottom w:w="0" w:type="dxa"/>
            </w:tcMar>
            <w:vAlign w:val="center"/>
          </w:tcPr>
          <w:p w14:paraId="5C29CF4F"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100</w:t>
            </w:r>
          </w:p>
        </w:tc>
        <w:tc>
          <w:tcPr>
            <w:tcW w:w="307" w:type="pct"/>
            <w:tcMar>
              <w:top w:w="0" w:type="dxa"/>
              <w:bottom w:w="0" w:type="dxa"/>
            </w:tcMar>
            <w:vAlign w:val="center"/>
          </w:tcPr>
          <w:p w14:paraId="4B02F2C0"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120</w:t>
            </w:r>
          </w:p>
        </w:tc>
        <w:tc>
          <w:tcPr>
            <w:tcW w:w="307" w:type="pct"/>
            <w:tcMar>
              <w:top w:w="0" w:type="dxa"/>
              <w:bottom w:w="0" w:type="dxa"/>
            </w:tcMar>
            <w:vAlign w:val="center"/>
          </w:tcPr>
          <w:p w14:paraId="4B277C8D"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180</w:t>
            </w:r>
          </w:p>
        </w:tc>
        <w:tc>
          <w:tcPr>
            <w:tcW w:w="306" w:type="pct"/>
            <w:tcMar>
              <w:top w:w="0" w:type="dxa"/>
              <w:bottom w:w="0" w:type="dxa"/>
            </w:tcMar>
            <w:vAlign w:val="center"/>
          </w:tcPr>
          <w:p w14:paraId="44E20E08" w14:textId="77777777" w:rsidR="00853399" w:rsidRPr="00A964FF" w:rsidRDefault="00853399" w:rsidP="00162031">
            <w:pPr>
              <w:pStyle w:val="220"/>
              <w:snapToGrid w:val="0"/>
              <w:spacing w:line="240" w:lineRule="auto"/>
              <w:ind w:firstLineChars="0" w:firstLine="0"/>
              <w:jc w:val="center"/>
              <w:rPr>
                <w:rFonts w:ascii="Calibri" w:hAnsi="Calibri" w:cs="Calibri"/>
                <w:color w:val="auto"/>
                <w:sz w:val="21"/>
                <w:szCs w:val="21"/>
              </w:rPr>
            </w:pPr>
            <w:r w:rsidRPr="00A964FF">
              <w:rPr>
                <w:rFonts w:ascii="Calibri" w:hAnsi="Calibri" w:cs="Calibri"/>
                <w:color w:val="auto"/>
                <w:sz w:val="21"/>
                <w:szCs w:val="21"/>
              </w:rPr>
              <w:t>200</w:t>
            </w:r>
          </w:p>
        </w:tc>
      </w:tr>
      <w:tr w:rsidR="00853399" w:rsidRPr="00A964FF" w14:paraId="112E46C2" w14:textId="77777777" w:rsidTr="00162031">
        <w:trPr>
          <w:trHeight w:val="340"/>
          <w:jc w:val="center"/>
        </w:trPr>
        <w:tc>
          <w:tcPr>
            <w:tcW w:w="655" w:type="pct"/>
            <w:tcMar>
              <w:top w:w="0" w:type="dxa"/>
              <w:bottom w:w="0" w:type="dxa"/>
            </w:tcMar>
            <w:vAlign w:val="center"/>
          </w:tcPr>
          <w:p w14:paraId="6F076044"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推土机</w:t>
            </w:r>
          </w:p>
        </w:tc>
        <w:tc>
          <w:tcPr>
            <w:tcW w:w="332" w:type="pct"/>
            <w:tcMar>
              <w:top w:w="0" w:type="dxa"/>
              <w:bottom w:w="0" w:type="dxa"/>
            </w:tcMar>
            <w:vAlign w:val="center"/>
          </w:tcPr>
          <w:p w14:paraId="090501C6" w14:textId="77777777" w:rsidR="00853399" w:rsidRPr="00A964FF" w:rsidRDefault="00853399" w:rsidP="00162031">
            <w:pPr>
              <w:pStyle w:val="afd"/>
              <w:tabs>
                <w:tab w:val="clear" w:pos="958"/>
              </w:tabs>
              <w:adjustRightInd/>
              <w:snapToGrid w:val="0"/>
              <w:spacing w:line="240" w:lineRule="auto"/>
              <w:rPr>
                <w:rFonts w:ascii="Calibri" w:hAnsi="Calibri"/>
                <w:color w:val="auto"/>
                <w:spacing w:val="0"/>
                <w:kern w:val="2"/>
                <w:szCs w:val="21"/>
              </w:rPr>
            </w:pPr>
            <w:r w:rsidRPr="00A964FF">
              <w:rPr>
                <w:rFonts w:ascii="Calibri" w:hAnsi="Calibri"/>
                <w:color w:val="auto"/>
                <w:spacing w:val="0"/>
                <w:kern w:val="2"/>
                <w:szCs w:val="21"/>
              </w:rPr>
              <w:t>3</w:t>
            </w:r>
          </w:p>
        </w:tc>
        <w:tc>
          <w:tcPr>
            <w:tcW w:w="330" w:type="pct"/>
            <w:tcMar>
              <w:top w:w="0" w:type="dxa"/>
              <w:bottom w:w="0" w:type="dxa"/>
            </w:tcMar>
            <w:vAlign w:val="center"/>
          </w:tcPr>
          <w:p w14:paraId="2021C02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88</w:t>
            </w:r>
          </w:p>
        </w:tc>
        <w:tc>
          <w:tcPr>
            <w:tcW w:w="307" w:type="pct"/>
            <w:tcMar>
              <w:top w:w="0" w:type="dxa"/>
              <w:bottom w:w="0" w:type="dxa"/>
            </w:tcMar>
            <w:vAlign w:val="center"/>
          </w:tcPr>
          <w:p w14:paraId="49D56CF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78</w:t>
            </w:r>
          </w:p>
        </w:tc>
        <w:tc>
          <w:tcPr>
            <w:tcW w:w="307" w:type="pct"/>
            <w:tcMar>
              <w:top w:w="0" w:type="dxa"/>
              <w:bottom w:w="0" w:type="dxa"/>
            </w:tcMar>
            <w:vAlign w:val="center"/>
          </w:tcPr>
          <w:p w14:paraId="1BC2F11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72</w:t>
            </w:r>
          </w:p>
        </w:tc>
        <w:tc>
          <w:tcPr>
            <w:tcW w:w="307" w:type="pct"/>
            <w:tcMar>
              <w:top w:w="0" w:type="dxa"/>
              <w:bottom w:w="0" w:type="dxa"/>
            </w:tcMar>
            <w:vAlign w:val="center"/>
          </w:tcPr>
          <w:p w14:paraId="20A6D3C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3B17080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66</w:t>
            </w:r>
          </w:p>
        </w:tc>
        <w:tc>
          <w:tcPr>
            <w:tcW w:w="307" w:type="pct"/>
            <w:tcMar>
              <w:top w:w="0" w:type="dxa"/>
              <w:bottom w:w="0" w:type="dxa"/>
            </w:tcMar>
            <w:vAlign w:val="center"/>
          </w:tcPr>
          <w:p w14:paraId="7D9CD29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0448762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6AE8802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61</w:t>
            </w:r>
          </w:p>
        </w:tc>
        <w:tc>
          <w:tcPr>
            <w:tcW w:w="307" w:type="pct"/>
            <w:tcMar>
              <w:top w:w="0" w:type="dxa"/>
              <w:bottom w:w="0" w:type="dxa"/>
            </w:tcMar>
            <w:vAlign w:val="center"/>
          </w:tcPr>
          <w:p w14:paraId="7489C39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64216D44"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7169BBD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0057334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53</w:t>
            </w:r>
          </w:p>
        </w:tc>
        <w:tc>
          <w:tcPr>
            <w:tcW w:w="306" w:type="pct"/>
            <w:tcMar>
              <w:top w:w="0" w:type="dxa"/>
              <w:bottom w:w="0" w:type="dxa"/>
            </w:tcMar>
            <w:vAlign w:val="center"/>
          </w:tcPr>
          <w:p w14:paraId="2C5698B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r>
      <w:tr w:rsidR="00853399" w:rsidRPr="00A964FF" w14:paraId="10588C5B" w14:textId="77777777" w:rsidTr="00162031">
        <w:trPr>
          <w:trHeight w:val="340"/>
          <w:jc w:val="center"/>
        </w:trPr>
        <w:tc>
          <w:tcPr>
            <w:tcW w:w="655" w:type="pct"/>
            <w:tcMar>
              <w:top w:w="0" w:type="dxa"/>
              <w:bottom w:w="0" w:type="dxa"/>
            </w:tcMar>
            <w:vAlign w:val="center"/>
          </w:tcPr>
          <w:p w14:paraId="375D35E7"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挖掘机</w:t>
            </w:r>
          </w:p>
        </w:tc>
        <w:tc>
          <w:tcPr>
            <w:tcW w:w="332" w:type="pct"/>
            <w:tcMar>
              <w:top w:w="0" w:type="dxa"/>
              <w:bottom w:w="0" w:type="dxa"/>
            </w:tcMar>
            <w:vAlign w:val="center"/>
          </w:tcPr>
          <w:p w14:paraId="0DE9A5F4" w14:textId="77777777" w:rsidR="00853399" w:rsidRPr="00A964FF" w:rsidRDefault="00853399" w:rsidP="00162031">
            <w:pPr>
              <w:pStyle w:val="afd"/>
              <w:tabs>
                <w:tab w:val="clear" w:pos="958"/>
              </w:tabs>
              <w:adjustRightInd/>
              <w:snapToGrid w:val="0"/>
              <w:spacing w:line="240" w:lineRule="auto"/>
              <w:rPr>
                <w:rFonts w:ascii="Calibri" w:hAnsi="Calibri"/>
                <w:color w:val="auto"/>
                <w:spacing w:val="0"/>
                <w:kern w:val="2"/>
                <w:szCs w:val="21"/>
              </w:rPr>
            </w:pPr>
            <w:r w:rsidRPr="00A964FF">
              <w:rPr>
                <w:rFonts w:ascii="Calibri" w:hAnsi="Calibri"/>
                <w:color w:val="auto"/>
                <w:spacing w:val="0"/>
                <w:kern w:val="2"/>
                <w:szCs w:val="21"/>
              </w:rPr>
              <w:t>5</w:t>
            </w:r>
          </w:p>
        </w:tc>
        <w:tc>
          <w:tcPr>
            <w:tcW w:w="330" w:type="pct"/>
            <w:tcMar>
              <w:top w:w="0" w:type="dxa"/>
              <w:bottom w:w="0" w:type="dxa"/>
            </w:tcMar>
            <w:vAlign w:val="center"/>
          </w:tcPr>
          <w:p w14:paraId="57903C9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84</w:t>
            </w:r>
          </w:p>
        </w:tc>
        <w:tc>
          <w:tcPr>
            <w:tcW w:w="307" w:type="pct"/>
            <w:tcMar>
              <w:top w:w="0" w:type="dxa"/>
              <w:bottom w:w="0" w:type="dxa"/>
            </w:tcMar>
            <w:vAlign w:val="center"/>
          </w:tcPr>
          <w:p w14:paraId="537204A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78</w:t>
            </w:r>
          </w:p>
        </w:tc>
        <w:tc>
          <w:tcPr>
            <w:tcW w:w="307" w:type="pct"/>
            <w:tcMar>
              <w:top w:w="0" w:type="dxa"/>
              <w:bottom w:w="0" w:type="dxa"/>
            </w:tcMar>
            <w:vAlign w:val="center"/>
          </w:tcPr>
          <w:p w14:paraId="5828C47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72</w:t>
            </w:r>
          </w:p>
        </w:tc>
        <w:tc>
          <w:tcPr>
            <w:tcW w:w="307" w:type="pct"/>
            <w:tcMar>
              <w:top w:w="0" w:type="dxa"/>
              <w:bottom w:w="0" w:type="dxa"/>
            </w:tcMar>
            <w:vAlign w:val="center"/>
          </w:tcPr>
          <w:p w14:paraId="2F07097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3C02DF1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66</w:t>
            </w:r>
          </w:p>
        </w:tc>
        <w:tc>
          <w:tcPr>
            <w:tcW w:w="307" w:type="pct"/>
            <w:tcMar>
              <w:top w:w="0" w:type="dxa"/>
              <w:bottom w:w="0" w:type="dxa"/>
            </w:tcMar>
            <w:vAlign w:val="center"/>
          </w:tcPr>
          <w:p w14:paraId="55354C6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78C1A79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3848572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61</w:t>
            </w:r>
          </w:p>
        </w:tc>
        <w:tc>
          <w:tcPr>
            <w:tcW w:w="307" w:type="pct"/>
            <w:tcMar>
              <w:top w:w="0" w:type="dxa"/>
              <w:bottom w:w="0" w:type="dxa"/>
            </w:tcMar>
            <w:vAlign w:val="center"/>
          </w:tcPr>
          <w:p w14:paraId="4A45401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5DB7F3D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751352C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015A9E6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53</w:t>
            </w:r>
          </w:p>
        </w:tc>
        <w:tc>
          <w:tcPr>
            <w:tcW w:w="306" w:type="pct"/>
            <w:tcMar>
              <w:top w:w="0" w:type="dxa"/>
              <w:bottom w:w="0" w:type="dxa"/>
            </w:tcMar>
            <w:vAlign w:val="center"/>
          </w:tcPr>
          <w:p w14:paraId="0C7C1C5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r>
      <w:tr w:rsidR="00853399" w:rsidRPr="00A964FF" w14:paraId="03A1F150" w14:textId="77777777" w:rsidTr="00162031">
        <w:trPr>
          <w:trHeight w:val="340"/>
          <w:jc w:val="center"/>
        </w:trPr>
        <w:tc>
          <w:tcPr>
            <w:tcW w:w="655" w:type="pct"/>
            <w:tcMar>
              <w:top w:w="0" w:type="dxa"/>
              <w:bottom w:w="0" w:type="dxa"/>
            </w:tcMar>
            <w:vAlign w:val="center"/>
          </w:tcPr>
          <w:p w14:paraId="300D2E01"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装载机</w:t>
            </w:r>
          </w:p>
        </w:tc>
        <w:tc>
          <w:tcPr>
            <w:tcW w:w="332" w:type="pct"/>
            <w:tcMar>
              <w:top w:w="0" w:type="dxa"/>
              <w:bottom w:w="0" w:type="dxa"/>
            </w:tcMar>
            <w:vAlign w:val="center"/>
          </w:tcPr>
          <w:p w14:paraId="04AA9B45" w14:textId="77777777" w:rsidR="00853399" w:rsidRPr="00A964FF" w:rsidRDefault="00853399" w:rsidP="00162031">
            <w:pPr>
              <w:pStyle w:val="afd"/>
              <w:tabs>
                <w:tab w:val="clear" w:pos="958"/>
              </w:tabs>
              <w:adjustRightInd/>
              <w:snapToGrid w:val="0"/>
              <w:spacing w:line="240" w:lineRule="auto"/>
              <w:rPr>
                <w:rFonts w:ascii="Calibri" w:hAnsi="Calibri"/>
                <w:color w:val="auto"/>
                <w:spacing w:val="0"/>
                <w:kern w:val="2"/>
                <w:szCs w:val="21"/>
              </w:rPr>
            </w:pPr>
            <w:r w:rsidRPr="00A964FF">
              <w:rPr>
                <w:rFonts w:ascii="Calibri" w:hAnsi="Calibri"/>
                <w:color w:val="auto"/>
                <w:spacing w:val="0"/>
                <w:kern w:val="2"/>
                <w:szCs w:val="21"/>
              </w:rPr>
              <w:t>5</w:t>
            </w:r>
          </w:p>
        </w:tc>
        <w:tc>
          <w:tcPr>
            <w:tcW w:w="330" w:type="pct"/>
            <w:tcMar>
              <w:top w:w="0" w:type="dxa"/>
              <w:bottom w:w="0" w:type="dxa"/>
            </w:tcMar>
            <w:vAlign w:val="center"/>
          </w:tcPr>
          <w:p w14:paraId="2013590F"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86</w:t>
            </w:r>
          </w:p>
        </w:tc>
        <w:tc>
          <w:tcPr>
            <w:tcW w:w="307" w:type="pct"/>
            <w:tcMar>
              <w:top w:w="0" w:type="dxa"/>
              <w:bottom w:w="0" w:type="dxa"/>
            </w:tcMar>
            <w:vAlign w:val="center"/>
          </w:tcPr>
          <w:p w14:paraId="214C4C0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80</w:t>
            </w:r>
          </w:p>
        </w:tc>
        <w:tc>
          <w:tcPr>
            <w:tcW w:w="307" w:type="pct"/>
            <w:tcMar>
              <w:top w:w="0" w:type="dxa"/>
              <w:bottom w:w="0" w:type="dxa"/>
            </w:tcMar>
            <w:vAlign w:val="center"/>
          </w:tcPr>
          <w:p w14:paraId="070CC9B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74</w:t>
            </w:r>
          </w:p>
        </w:tc>
        <w:tc>
          <w:tcPr>
            <w:tcW w:w="307" w:type="pct"/>
            <w:tcMar>
              <w:top w:w="0" w:type="dxa"/>
              <w:bottom w:w="0" w:type="dxa"/>
            </w:tcMar>
            <w:vAlign w:val="center"/>
          </w:tcPr>
          <w:p w14:paraId="10A38A0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70</w:t>
            </w:r>
          </w:p>
        </w:tc>
        <w:tc>
          <w:tcPr>
            <w:tcW w:w="307" w:type="pct"/>
            <w:tcMar>
              <w:top w:w="0" w:type="dxa"/>
              <w:bottom w:w="0" w:type="dxa"/>
            </w:tcMar>
            <w:vAlign w:val="center"/>
          </w:tcPr>
          <w:p w14:paraId="6CF1DE4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15E93BC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66</w:t>
            </w:r>
          </w:p>
        </w:tc>
        <w:tc>
          <w:tcPr>
            <w:tcW w:w="307" w:type="pct"/>
            <w:tcMar>
              <w:top w:w="0" w:type="dxa"/>
              <w:bottom w:w="0" w:type="dxa"/>
            </w:tcMar>
            <w:vAlign w:val="center"/>
          </w:tcPr>
          <w:p w14:paraId="2FA7D5D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54C3F6B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63</w:t>
            </w:r>
          </w:p>
        </w:tc>
        <w:tc>
          <w:tcPr>
            <w:tcW w:w="307" w:type="pct"/>
            <w:tcMar>
              <w:top w:w="0" w:type="dxa"/>
              <w:bottom w:w="0" w:type="dxa"/>
            </w:tcMar>
            <w:vAlign w:val="center"/>
          </w:tcPr>
          <w:p w14:paraId="7CDDBC19"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61860C8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6E9C9EF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098C565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55</w:t>
            </w:r>
          </w:p>
        </w:tc>
        <w:tc>
          <w:tcPr>
            <w:tcW w:w="306" w:type="pct"/>
            <w:tcMar>
              <w:top w:w="0" w:type="dxa"/>
              <w:bottom w:w="0" w:type="dxa"/>
            </w:tcMar>
            <w:vAlign w:val="center"/>
          </w:tcPr>
          <w:p w14:paraId="67D8CF9F"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54</w:t>
            </w:r>
          </w:p>
        </w:tc>
      </w:tr>
      <w:tr w:rsidR="00853399" w:rsidRPr="00A964FF" w14:paraId="3E5C454A" w14:textId="77777777" w:rsidTr="00162031">
        <w:trPr>
          <w:trHeight w:val="340"/>
          <w:jc w:val="center"/>
        </w:trPr>
        <w:tc>
          <w:tcPr>
            <w:tcW w:w="655" w:type="pct"/>
            <w:tcMar>
              <w:top w:w="0" w:type="dxa"/>
              <w:bottom w:w="0" w:type="dxa"/>
            </w:tcMar>
            <w:vAlign w:val="center"/>
          </w:tcPr>
          <w:p w14:paraId="76B348C6"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打桩机</w:t>
            </w:r>
          </w:p>
        </w:tc>
        <w:tc>
          <w:tcPr>
            <w:tcW w:w="332" w:type="pct"/>
            <w:tcMar>
              <w:top w:w="0" w:type="dxa"/>
              <w:bottom w:w="0" w:type="dxa"/>
            </w:tcMar>
            <w:vAlign w:val="center"/>
          </w:tcPr>
          <w:p w14:paraId="56FBD568"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w:t>
            </w:r>
          </w:p>
        </w:tc>
        <w:tc>
          <w:tcPr>
            <w:tcW w:w="330" w:type="pct"/>
            <w:tcMar>
              <w:top w:w="0" w:type="dxa"/>
              <w:bottom w:w="0" w:type="dxa"/>
            </w:tcMar>
            <w:vAlign w:val="center"/>
          </w:tcPr>
          <w:p w14:paraId="1636CBD4"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80</w:t>
            </w:r>
          </w:p>
        </w:tc>
        <w:tc>
          <w:tcPr>
            <w:tcW w:w="307" w:type="pct"/>
            <w:tcMar>
              <w:top w:w="0" w:type="dxa"/>
              <w:bottom w:w="0" w:type="dxa"/>
            </w:tcMar>
            <w:vAlign w:val="center"/>
          </w:tcPr>
          <w:p w14:paraId="4F363DB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74</w:t>
            </w:r>
          </w:p>
        </w:tc>
        <w:tc>
          <w:tcPr>
            <w:tcW w:w="307" w:type="pct"/>
            <w:tcMar>
              <w:top w:w="0" w:type="dxa"/>
              <w:bottom w:w="0" w:type="dxa"/>
            </w:tcMar>
            <w:vAlign w:val="center"/>
          </w:tcPr>
          <w:p w14:paraId="6EEA43B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2C3479B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742EC1E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40D1223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32198E0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196AE01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57</w:t>
            </w:r>
          </w:p>
        </w:tc>
        <w:tc>
          <w:tcPr>
            <w:tcW w:w="307" w:type="pct"/>
            <w:tcMar>
              <w:top w:w="0" w:type="dxa"/>
              <w:bottom w:w="0" w:type="dxa"/>
            </w:tcMar>
            <w:vAlign w:val="center"/>
          </w:tcPr>
          <w:p w14:paraId="34248124"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777B1C4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54</w:t>
            </w:r>
          </w:p>
        </w:tc>
        <w:tc>
          <w:tcPr>
            <w:tcW w:w="307" w:type="pct"/>
            <w:tcMar>
              <w:top w:w="0" w:type="dxa"/>
              <w:bottom w:w="0" w:type="dxa"/>
            </w:tcMar>
            <w:vAlign w:val="center"/>
          </w:tcPr>
          <w:p w14:paraId="48F9376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c>
          <w:tcPr>
            <w:tcW w:w="307" w:type="pct"/>
            <w:tcMar>
              <w:top w:w="0" w:type="dxa"/>
              <w:bottom w:w="0" w:type="dxa"/>
            </w:tcMar>
            <w:vAlign w:val="center"/>
          </w:tcPr>
          <w:p w14:paraId="1BCF08E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49</w:t>
            </w:r>
          </w:p>
        </w:tc>
        <w:tc>
          <w:tcPr>
            <w:tcW w:w="306" w:type="pct"/>
            <w:tcMar>
              <w:top w:w="0" w:type="dxa"/>
              <w:bottom w:w="0" w:type="dxa"/>
            </w:tcMar>
            <w:vAlign w:val="center"/>
          </w:tcPr>
          <w:p w14:paraId="7095D01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48</w:t>
            </w:r>
          </w:p>
        </w:tc>
      </w:tr>
      <w:tr w:rsidR="00853399" w:rsidRPr="00A964FF" w14:paraId="03FDC4BF" w14:textId="77777777" w:rsidTr="00162031">
        <w:trPr>
          <w:trHeight w:val="340"/>
          <w:jc w:val="center"/>
        </w:trPr>
        <w:tc>
          <w:tcPr>
            <w:tcW w:w="655" w:type="pct"/>
            <w:tcMar>
              <w:top w:w="0" w:type="dxa"/>
              <w:bottom w:w="0" w:type="dxa"/>
            </w:tcMar>
            <w:vAlign w:val="center"/>
          </w:tcPr>
          <w:p w14:paraId="74DB005F"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工程钻机</w:t>
            </w:r>
          </w:p>
        </w:tc>
        <w:tc>
          <w:tcPr>
            <w:tcW w:w="332" w:type="pct"/>
            <w:tcMar>
              <w:top w:w="0" w:type="dxa"/>
              <w:bottom w:w="0" w:type="dxa"/>
            </w:tcMar>
            <w:vAlign w:val="center"/>
          </w:tcPr>
          <w:p w14:paraId="10AA2A3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3</w:t>
            </w:r>
          </w:p>
        </w:tc>
        <w:tc>
          <w:tcPr>
            <w:tcW w:w="330" w:type="pct"/>
            <w:tcMar>
              <w:top w:w="0" w:type="dxa"/>
              <w:bottom w:w="0" w:type="dxa"/>
            </w:tcMar>
            <w:vAlign w:val="center"/>
          </w:tcPr>
          <w:p w14:paraId="6B220A18"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84</w:t>
            </w:r>
          </w:p>
        </w:tc>
        <w:tc>
          <w:tcPr>
            <w:tcW w:w="307" w:type="pct"/>
            <w:tcMar>
              <w:top w:w="0" w:type="dxa"/>
              <w:bottom w:w="0" w:type="dxa"/>
            </w:tcMar>
            <w:vAlign w:val="center"/>
          </w:tcPr>
          <w:p w14:paraId="13EA289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74</w:t>
            </w:r>
          </w:p>
        </w:tc>
        <w:tc>
          <w:tcPr>
            <w:tcW w:w="307" w:type="pct"/>
            <w:tcMar>
              <w:top w:w="0" w:type="dxa"/>
              <w:bottom w:w="0" w:type="dxa"/>
            </w:tcMar>
            <w:vAlign w:val="center"/>
          </w:tcPr>
          <w:p w14:paraId="1923013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6EF374B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0CD0D45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426DE07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0C48580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4E65932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57</w:t>
            </w:r>
          </w:p>
        </w:tc>
        <w:tc>
          <w:tcPr>
            <w:tcW w:w="307" w:type="pct"/>
            <w:tcMar>
              <w:top w:w="0" w:type="dxa"/>
              <w:bottom w:w="0" w:type="dxa"/>
            </w:tcMar>
            <w:vAlign w:val="center"/>
          </w:tcPr>
          <w:p w14:paraId="29CB291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71F5379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54</w:t>
            </w:r>
          </w:p>
        </w:tc>
        <w:tc>
          <w:tcPr>
            <w:tcW w:w="307" w:type="pct"/>
            <w:tcMar>
              <w:top w:w="0" w:type="dxa"/>
              <w:bottom w:w="0" w:type="dxa"/>
            </w:tcMar>
            <w:vAlign w:val="center"/>
          </w:tcPr>
          <w:p w14:paraId="676297EF"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c>
          <w:tcPr>
            <w:tcW w:w="307" w:type="pct"/>
            <w:tcMar>
              <w:top w:w="0" w:type="dxa"/>
              <w:bottom w:w="0" w:type="dxa"/>
            </w:tcMar>
            <w:vAlign w:val="center"/>
          </w:tcPr>
          <w:p w14:paraId="4C6BA43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49</w:t>
            </w:r>
          </w:p>
        </w:tc>
        <w:tc>
          <w:tcPr>
            <w:tcW w:w="306" w:type="pct"/>
            <w:tcMar>
              <w:top w:w="0" w:type="dxa"/>
              <w:bottom w:w="0" w:type="dxa"/>
            </w:tcMar>
            <w:vAlign w:val="center"/>
          </w:tcPr>
          <w:p w14:paraId="588867A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48</w:t>
            </w:r>
          </w:p>
        </w:tc>
      </w:tr>
      <w:tr w:rsidR="00853399" w:rsidRPr="00A964FF" w14:paraId="4C9CAE84" w14:textId="77777777" w:rsidTr="00162031">
        <w:trPr>
          <w:trHeight w:val="340"/>
          <w:jc w:val="center"/>
        </w:trPr>
        <w:tc>
          <w:tcPr>
            <w:tcW w:w="655" w:type="pct"/>
            <w:tcMar>
              <w:top w:w="0" w:type="dxa"/>
              <w:bottom w:w="0" w:type="dxa"/>
            </w:tcMar>
            <w:vAlign w:val="center"/>
          </w:tcPr>
          <w:p w14:paraId="39717AA6"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平地机</w:t>
            </w:r>
          </w:p>
        </w:tc>
        <w:tc>
          <w:tcPr>
            <w:tcW w:w="332" w:type="pct"/>
            <w:tcMar>
              <w:top w:w="0" w:type="dxa"/>
              <w:bottom w:w="0" w:type="dxa"/>
            </w:tcMar>
            <w:vAlign w:val="center"/>
          </w:tcPr>
          <w:p w14:paraId="517B1309"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3</w:t>
            </w:r>
          </w:p>
        </w:tc>
        <w:tc>
          <w:tcPr>
            <w:tcW w:w="330" w:type="pct"/>
            <w:tcMar>
              <w:top w:w="0" w:type="dxa"/>
              <w:bottom w:w="0" w:type="dxa"/>
            </w:tcMar>
            <w:vAlign w:val="center"/>
          </w:tcPr>
          <w:p w14:paraId="79962D3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88</w:t>
            </w:r>
          </w:p>
        </w:tc>
        <w:tc>
          <w:tcPr>
            <w:tcW w:w="307" w:type="pct"/>
            <w:tcMar>
              <w:top w:w="0" w:type="dxa"/>
              <w:bottom w:w="0" w:type="dxa"/>
            </w:tcMar>
            <w:vAlign w:val="center"/>
          </w:tcPr>
          <w:p w14:paraId="115174D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78</w:t>
            </w:r>
          </w:p>
        </w:tc>
        <w:tc>
          <w:tcPr>
            <w:tcW w:w="307" w:type="pct"/>
            <w:tcMar>
              <w:top w:w="0" w:type="dxa"/>
              <w:bottom w:w="0" w:type="dxa"/>
            </w:tcMar>
            <w:vAlign w:val="center"/>
          </w:tcPr>
          <w:p w14:paraId="7CFD330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72</w:t>
            </w:r>
          </w:p>
        </w:tc>
        <w:tc>
          <w:tcPr>
            <w:tcW w:w="307" w:type="pct"/>
            <w:tcMar>
              <w:top w:w="0" w:type="dxa"/>
              <w:bottom w:w="0" w:type="dxa"/>
            </w:tcMar>
            <w:vAlign w:val="center"/>
          </w:tcPr>
          <w:p w14:paraId="189C61B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425DD48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66</w:t>
            </w:r>
          </w:p>
        </w:tc>
        <w:tc>
          <w:tcPr>
            <w:tcW w:w="307" w:type="pct"/>
            <w:tcMar>
              <w:top w:w="0" w:type="dxa"/>
              <w:bottom w:w="0" w:type="dxa"/>
            </w:tcMar>
            <w:vAlign w:val="center"/>
          </w:tcPr>
          <w:p w14:paraId="24AFA64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018A93B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3C52780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61</w:t>
            </w:r>
          </w:p>
        </w:tc>
        <w:tc>
          <w:tcPr>
            <w:tcW w:w="307" w:type="pct"/>
            <w:tcMar>
              <w:top w:w="0" w:type="dxa"/>
              <w:bottom w:w="0" w:type="dxa"/>
            </w:tcMar>
            <w:vAlign w:val="center"/>
          </w:tcPr>
          <w:p w14:paraId="42D276A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1F1E19F8"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60D6EEE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3097C30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53</w:t>
            </w:r>
          </w:p>
        </w:tc>
        <w:tc>
          <w:tcPr>
            <w:tcW w:w="306" w:type="pct"/>
            <w:tcMar>
              <w:top w:w="0" w:type="dxa"/>
              <w:bottom w:w="0" w:type="dxa"/>
            </w:tcMar>
            <w:vAlign w:val="center"/>
          </w:tcPr>
          <w:p w14:paraId="492286D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r>
      <w:tr w:rsidR="00853399" w:rsidRPr="00A964FF" w14:paraId="465FF85D" w14:textId="77777777" w:rsidTr="00162031">
        <w:trPr>
          <w:trHeight w:val="340"/>
          <w:jc w:val="center"/>
        </w:trPr>
        <w:tc>
          <w:tcPr>
            <w:tcW w:w="655" w:type="pct"/>
            <w:tcMar>
              <w:top w:w="0" w:type="dxa"/>
              <w:bottom w:w="0" w:type="dxa"/>
            </w:tcMar>
            <w:vAlign w:val="center"/>
          </w:tcPr>
          <w:p w14:paraId="31DFDCD0"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起重机</w:t>
            </w:r>
          </w:p>
        </w:tc>
        <w:tc>
          <w:tcPr>
            <w:tcW w:w="332" w:type="pct"/>
            <w:tcMar>
              <w:top w:w="0" w:type="dxa"/>
              <w:bottom w:w="0" w:type="dxa"/>
            </w:tcMar>
            <w:vAlign w:val="center"/>
          </w:tcPr>
          <w:p w14:paraId="7426EFC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w:t>
            </w:r>
          </w:p>
        </w:tc>
        <w:tc>
          <w:tcPr>
            <w:tcW w:w="330" w:type="pct"/>
            <w:tcMar>
              <w:top w:w="0" w:type="dxa"/>
              <w:bottom w:w="0" w:type="dxa"/>
            </w:tcMar>
            <w:vAlign w:val="center"/>
          </w:tcPr>
          <w:p w14:paraId="14C890F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76</w:t>
            </w:r>
          </w:p>
        </w:tc>
        <w:tc>
          <w:tcPr>
            <w:tcW w:w="307" w:type="pct"/>
            <w:tcMar>
              <w:top w:w="0" w:type="dxa"/>
              <w:bottom w:w="0" w:type="dxa"/>
            </w:tcMar>
            <w:vAlign w:val="center"/>
          </w:tcPr>
          <w:p w14:paraId="6D6D082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74</w:t>
            </w:r>
          </w:p>
        </w:tc>
        <w:tc>
          <w:tcPr>
            <w:tcW w:w="307" w:type="pct"/>
            <w:tcMar>
              <w:top w:w="0" w:type="dxa"/>
              <w:bottom w:w="0" w:type="dxa"/>
            </w:tcMar>
            <w:vAlign w:val="center"/>
          </w:tcPr>
          <w:p w14:paraId="0ADE8628"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15CD52D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00EF152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6F0B9BAF"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2B6087F4"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314C78E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57</w:t>
            </w:r>
          </w:p>
        </w:tc>
        <w:tc>
          <w:tcPr>
            <w:tcW w:w="307" w:type="pct"/>
            <w:tcMar>
              <w:top w:w="0" w:type="dxa"/>
              <w:bottom w:w="0" w:type="dxa"/>
            </w:tcMar>
            <w:vAlign w:val="center"/>
          </w:tcPr>
          <w:p w14:paraId="5DC7FB68"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5C04A06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54</w:t>
            </w:r>
          </w:p>
        </w:tc>
        <w:tc>
          <w:tcPr>
            <w:tcW w:w="307" w:type="pct"/>
            <w:tcMar>
              <w:top w:w="0" w:type="dxa"/>
              <w:bottom w:w="0" w:type="dxa"/>
            </w:tcMar>
            <w:vAlign w:val="center"/>
          </w:tcPr>
          <w:p w14:paraId="388B085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c>
          <w:tcPr>
            <w:tcW w:w="307" w:type="pct"/>
            <w:tcMar>
              <w:top w:w="0" w:type="dxa"/>
              <w:bottom w:w="0" w:type="dxa"/>
            </w:tcMar>
            <w:vAlign w:val="center"/>
          </w:tcPr>
          <w:p w14:paraId="48CB681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49</w:t>
            </w:r>
          </w:p>
        </w:tc>
        <w:tc>
          <w:tcPr>
            <w:tcW w:w="306" w:type="pct"/>
            <w:tcMar>
              <w:top w:w="0" w:type="dxa"/>
              <w:bottom w:w="0" w:type="dxa"/>
            </w:tcMar>
            <w:vAlign w:val="center"/>
          </w:tcPr>
          <w:p w14:paraId="3E65119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48</w:t>
            </w:r>
          </w:p>
        </w:tc>
      </w:tr>
      <w:tr w:rsidR="00853399" w:rsidRPr="00A964FF" w14:paraId="5D64A682" w14:textId="77777777" w:rsidTr="00162031">
        <w:trPr>
          <w:trHeight w:val="340"/>
          <w:jc w:val="center"/>
        </w:trPr>
        <w:tc>
          <w:tcPr>
            <w:tcW w:w="655" w:type="pct"/>
            <w:tcMar>
              <w:top w:w="0" w:type="dxa"/>
              <w:bottom w:w="0" w:type="dxa"/>
            </w:tcMar>
            <w:vAlign w:val="center"/>
          </w:tcPr>
          <w:p w14:paraId="6AC7D7F5"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振捣棒</w:t>
            </w:r>
          </w:p>
        </w:tc>
        <w:tc>
          <w:tcPr>
            <w:tcW w:w="332" w:type="pct"/>
            <w:tcMar>
              <w:top w:w="0" w:type="dxa"/>
              <w:bottom w:w="0" w:type="dxa"/>
            </w:tcMar>
            <w:vAlign w:val="center"/>
          </w:tcPr>
          <w:p w14:paraId="0FB4B97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15</w:t>
            </w:r>
          </w:p>
        </w:tc>
        <w:tc>
          <w:tcPr>
            <w:tcW w:w="330" w:type="pct"/>
            <w:tcMar>
              <w:top w:w="0" w:type="dxa"/>
              <w:bottom w:w="0" w:type="dxa"/>
            </w:tcMar>
            <w:vAlign w:val="center"/>
          </w:tcPr>
          <w:p w14:paraId="233C77A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74</w:t>
            </w:r>
          </w:p>
        </w:tc>
        <w:tc>
          <w:tcPr>
            <w:tcW w:w="307" w:type="pct"/>
            <w:tcMar>
              <w:top w:w="0" w:type="dxa"/>
              <w:bottom w:w="0" w:type="dxa"/>
            </w:tcMar>
            <w:vAlign w:val="center"/>
          </w:tcPr>
          <w:p w14:paraId="61C8197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w:t>
            </w:r>
          </w:p>
        </w:tc>
        <w:tc>
          <w:tcPr>
            <w:tcW w:w="307" w:type="pct"/>
            <w:tcMar>
              <w:top w:w="0" w:type="dxa"/>
              <w:bottom w:w="0" w:type="dxa"/>
            </w:tcMar>
            <w:vAlign w:val="center"/>
          </w:tcPr>
          <w:p w14:paraId="5484C59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72</w:t>
            </w:r>
          </w:p>
        </w:tc>
        <w:tc>
          <w:tcPr>
            <w:tcW w:w="307" w:type="pct"/>
            <w:tcMar>
              <w:top w:w="0" w:type="dxa"/>
              <w:bottom w:w="0" w:type="dxa"/>
            </w:tcMar>
            <w:vAlign w:val="center"/>
          </w:tcPr>
          <w:p w14:paraId="049DEF68"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39F6145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66</w:t>
            </w:r>
          </w:p>
        </w:tc>
        <w:tc>
          <w:tcPr>
            <w:tcW w:w="307" w:type="pct"/>
            <w:tcMar>
              <w:top w:w="0" w:type="dxa"/>
              <w:bottom w:w="0" w:type="dxa"/>
            </w:tcMar>
            <w:vAlign w:val="center"/>
          </w:tcPr>
          <w:p w14:paraId="30762F5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64</w:t>
            </w:r>
          </w:p>
        </w:tc>
        <w:tc>
          <w:tcPr>
            <w:tcW w:w="307" w:type="pct"/>
            <w:tcMar>
              <w:top w:w="0" w:type="dxa"/>
              <w:bottom w:w="0" w:type="dxa"/>
            </w:tcMar>
            <w:vAlign w:val="center"/>
          </w:tcPr>
          <w:p w14:paraId="41039E49"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42DC236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61</w:t>
            </w:r>
          </w:p>
        </w:tc>
        <w:tc>
          <w:tcPr>
            <w:tcW w:w="307" w:type="pct"/>
            <w:tcMar>
              <w:top w:w="0" w:type="dxa"/>
              <w:bottom w:w="0" w:type="dxa"/>
            </w:tcMar>
            <w:vAlign w:val="center"/>
          </w:tcPr>
          <w:p w14:paraId="1246C178"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60</w:t>
            </w:r>
          </w:p>
        </w:tc>
        <w:tc>
          <w:tcPr>
            <w:tcW w:w="307" w:type="pct"/>
            <w:tcMar>
              <w:top w:w="0" w:type="dxa"/>
              <w:bottom w:w="0" w:type="dxa"/>
            </w:tcMar>
            <w:vAlign w:val="center"/>
          </w:tcPr>
          <w:p w14:paraId="3F78E20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1B83DA5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2C5B42F9"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53</w:t>
            </w:r>
          </w:p>
        </w:tc>
        <w:tc>
          <w:tcPr>
            <w:tcW w:w="306" w:type="pct"/>
            <w:tcMar>
              <w:top w:w="0" w:type="dxa"/>
              <w:bottom w:w="0" w:type="dxa"/>
            </w:tcMar>
            <w:vAlign w:val="center"/>
          </w:tcPr>
          <w:p w14:paraId="4425135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r>
      <w:tr w:rsidR="00853399" w:rsidRPr="00A964FF" w14:paraId="576EA46D" w14:textId="77777777" w:rsidTr="00162031">
        <w:trPr>
          <w:trHeight w:val="340"/>
          <w:jc w:val="center"/>
        </w:trPr>
        <w:tc>
          <w:tcPr>
            <w:tcW w:w="655" w:type="pct"/>
            <w:tcMar>
              <w:top w:w="0" w:type="dxa"/>
              <w:bottom w:w="0" w:type="dxa"/>
            </w:tcMar>
            <w:vAlign w:val="center"/>
          </w:tcPr>
          <w:p w14:paraId="7954AD41"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切割机</w:t>
            </w:r>
          </w:p>
        </w:tc>
        <w:tc>
          <w:tcPr>
            <w:tcW w:w="332" w:type="pct"/>
            <w:tcMar>
              <w:top w:w="0" w:type="dxa"/>
              <w:bottom w:w="0" w:type="dxa"/>
            </w:tcMar>
            <w:vAlign w:val="center"/>
          </w:tcPr>
          <w:p w14:paraId="4087834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1</w:t>
            </w:r>
          </w:p>
        </w:tc>
        <w:tc>
          <w:tcPr>
            <w:tcW w:w="330" w:type="pct"/>
            <w:tcMar>
              <w:top w:w="0" w:type="dxa"/>
              <w:bottom w:w="0" w:type="dxa"/>
            </w:tcMar>
            <w:vAlign w:val="center"/>
          </w:tcPr>
          <w:p w14:paraId="29C36381"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83</w:t>
            </w:r>
          </w:p>
        </w:tc>
        <w:tc>
          <w:tcPr>
            <w:tcW w:w="307" w:type="pct"/>
            <w:tcMar>
              <w:top w:w="0" w:type="dxa"/>
              <w:bottom w:w="0" w:type="dxa"/>
            </w:tcMar>
            <w:vAlign w:val="center"/>
          </w:tcPr>
          <w:p w14:paraId="47CD0E4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63</w:t>
            </w:r>
          </w:p>
        </w:tc>
        <w:tc>
          <w:tcPr>
            <w:tcW w:w="307" w:type="pct"/>
            <w:tcMar>
              <w:top w:w="0" w:type="dxa"/>
              <w:bottom w:w="0" w:type="dxa"/>
            </w:tcMar>
            <w:vAlign w:val="center"/>
          </w:tcPr>
          <w:p w14:paraId="20A8848B"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57</w:t>
            </w:r>
          </w:p>
        </w:tc>
        <w:tc>
          <w:tcPr>
            <w:tcW w:w="307" w:type="pct"/>
            <w:tcMar>
              <w:top w:w="0" w:type="dxa"/>
              <w:bottom w:w="0" w:type="dxa"/>
            </w:tcMar>
            <w:vAlign w:val="center"/>
          </w:tcPr>
          <w:p w14:paraId="7BF1936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53</w:t>
            </w:r>
          </w:p>
        </w:tc>
        <w:tc>
          <w:tcPr>
            <w:tcW w:w="307" w:type="pct"/>
            <w:tcMar>
              <w:top w:w="0" w:type="dxa"/>
              <w:bottom w:w="0" w:type="dxa"/>
            </w:tcMar>
            <w:vAlign w:val="center"/>
          </w:tcPr>
          <w:p w14:paraId="7DB188A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51</w:t>
            </w:r>
          </w:p>
        </w:tc>
        <w:tc>
          <w:tcPr>
            <w:tcW w:w="307" w:type="pct"/>
            <w:tcMar>
              <w:top w:w="0" w:type="dxa"/>
              <w:bottom w:w="0" w:type="dxa"/>
            </w:tcMar>
            <w:vAlign w:val="center"/>
          </w:tcPr>
          <w:p w14:paraId="1ED4303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49</w:t>
            </w:r>
          </w:p>
        </w:tc>
        <w:tc>
          <w:tcPr>
            <w:tcW w:w="307" w:type="pct"/>
            <w:tcMar>
              <w:top w:w="0" w:type="dxa"/>
              <w:bottom w:w="0" w:type="dxa"/>
            </w:tcMar>
            <w:vAlign w:val="center"/>
          </w:tcPr>
          <w:p w14:paraId="4D4B1EE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47</w:t>
            </w:r>
          </w:p>
        </w:tc>
        <w:tc>
          <w:tcPr>
            <w:tcW w:w="307" w:type="pct"/>
            <w:tcMar>
              <w:top w:w="0" w:type="dxa"/>
              <w:bottom w:w="0" w:type="dxa"/>
            </w:tcMar>
            <w:vAlign w:val="center"/>
          </w:tcPr>
          <w:p w14:paraId="55EC503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46</w:t>
            </w:r>
          </w:p>
        </w:tc>
        <w:tc>
          <w:tcPr>
            <w:tcW w:w="307" w:type="pct"/>
            <w:tcMar>
              <w:top w:w="0" w:type="dxa"/>
              <w:bottom w:w="0" w:type="dxa"/>
            </w:tcMar>
            <w:vAlign w:val="center"/>
          </w:tcPr>
          <w:p w14:paraId="65CF1E55"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45</w:t>
            </w:r>
          </w:p>
        </w:tc>
        <w:tc>
          <w:tcPr>
            <w:tcW w:w="307" w:type="pct"/>
            <w:tcMar>
              <w:top w:w="0" w:type="dxa"/>
              <w:bottom w:w="0" w:type="dxa"/>
            </w:tcMar>
            <w:vAlign w:val="center"/>
          </w:tcPr>
          <w:p w14:paraId="55CB8B7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43</w:t>
            </w:r>
          </w:p>
        </w:tc>
        <w:tc>
          <w:tcPr>
            <w:tcW w:w="307" w:type="pct"/>
            <w:tcMar>
              <w:top w:w="0" w:type="dxa"/>
              <w:bottom w:w="0" w:type="dxa"/>
            </w:tcMar>
            <w:vAlign w:val="center"/>
          </w:tcPr>
          <w:p w14:paraId="7CB2B709"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41</w:t>
            </w:r>
          </w:p>
        </w:tc>
        <w:tc>
          <w:tcPr>
            <w:tcW w:w="307" w:type="pct"/>
            <w:tcMar>
              <w:top w:w="0" w:type="dxa"/>
              <w:bottom w:w="0" w:type="dxa"/>
            </w:tcMar>
            <w:vAlign w:val="center"/>
          </w:tcPr>
          <w:p w14:paraId="6F24CDC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38</w:t>
            </w:r>
          </w:p>
        </w:tc>
        <w:tc>
          <w:tcPr>
            <w:tcW w:w="306" w:type="pct"/>
            <w:tcMar>
              <w:top w:w="0" w:type="dxa"/>
              <w:bottom w:w="0" w:type="dxa"/>
            </w:tcMar>
            <w:vAlign w:val="center"/>
          </w:tcPr>
          <w:p w14:paraId="71F82349"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37</w:t>
            </w:r>
          </w:p>
        </w:tc>
      </w:tr>
      <w:tr w:rsidR="00853399" w:rsidRPr="00A964FF" w14:paraId="5F2B7CAA" w14:textId="77777777" w:rsidTr="00162031">
        <w:trPr>
          <w:trHeight w:val="340"/>
          <w:jc w:val="center"/>
        </w:trPr>
        <w:tc>
          <w:tcPr>
            <w:tcW w:w="655" w:type="pct"/>
            <w:tcMar>
              <w:top w:w="0" w:type="dxa"/>
              <w:bottom w:w="0" w:type="dxa"/>
            </w:tcMar>
            <w:vAlign w:val="center"/>
          </w:tcPr>
          <w:p w14:paraId="4AA6BBA5" w14:textId="77777777" w:rsidR="00853399" w:rsidRPr="00A964FF" w:rsidRDefault="00853399" w:rsidP="00162031">
            <w:pPr>
              <w:jc w:val="center"/>
              <w:rPr>
                <w:rFonts w:ascii="Calibri" w:hAnsi="Calibri"/>
                <w:color w:val="auto"/>
                <w:szCs w:val="21"/>
              </w:rPr>
            </w:pPr>
            <w:r w:rsidRPr="00A964FF">
              <w:rPr>
                <w:rFonts w:ascii="Calibri" w:hAnsi="Calibri" w:hint="eastAsia"/>
                <w:color w:val="auto"/>
                <w:szCs w:val="21"/>
              </w:rPr>
              <w:t>混凝土罐车</w:t>
            </w:r>
          </w:p>
        </w:tc>
        <w:tc>
          <w:tcPr>
            <w:tcW w:w="332" w:type="pct"/>
            <w:tcMar>
              <w:top w:w="0" w:type="dxa"/>
              <w:bottom w:w="0" w:type="dxa"/>
            </w:tcMar>
            <w:vAlign w:val="center"/>
          </w:tcPr>
          <w:p w14:paraId="79797ECE"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3</w:t>
            </w:r>
          </w:p>
        </w:tc>
        <w:tc>
          <w:tcPr>
            <w:tcW w:w="330" w:type="pct"/>
            <w:tcMar>
              <w:top w:w="0" w:type="dxa"/>
              <w:bottom w:w="0" w:type="dxa"/>
            </w:tcMar>
            <w:vAlign w:val="center"/>
          </w:tcPr>
          <w:p w14:paraId="4502AB2F"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78</w:t>
            </w:r>
          </w:p>
        </w:tc>
        <w:tc>
          <w:tcPr>
            <w:tcW w:w="307" w:type="pct"/>
            <w:tcMar>
              <w:top w:w="0" w:type="dxa"/>
              <w:bottom w:w="0" w:type="dxa"/>
            </w:tcMar>
            <w:vAlign w:val="center"/>
          </w:tcPr>
          <w:p w14:paraId="126DF7C7"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68</w:t>
            </w:r>
          </w:p>
        </w:tc>
        <w:tc>
          <w:tcPr>
            <w:tcW w:w="307" w:type="pct"/>
            <w:tcMar>
              <w:top w:w="0" w:type="dxa"/>
              <w:bottom w:w="0" w:type="dxa"/>
            </w:tcMar>
            <w:vAlign w:val="center"/>
          </w:tcPr>
          <w:p w14:paraId="1FC74EA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62</w:t>
            </w:r>
          </w:p>
        </w:tc>
        <w:tc>
          <w:tcPr>
            <w:tcW w:w="307" w:type="pct"/>
            <w:tcMar>
              <w:top w:w="0" w:type="dxa"/>
              <w:bottom w:w="0" w:type="dxa"/>
            </w:tcMar>
            <w:vAlign w:val="center"/>
          </w:tcPr>
          <w:p w14:paraId="3C205F50"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58</w:t>
            </w:r>
          </w:p>
        </w:tc>
        <w:tc>
          <w:tcPr>
            <w:tcW w:w="307" w:type="pct"/>
            <w:tcMar>
              <w:top w:w="0" w:type="dxa"/>
              <w:bottom w:w="0" w:type="dxa"/>
            </w:tcMar>
            <w:vAlign w:val="center"/>
          </w:tcPr>
          <w:p w14:paraId="40F55E53"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56</w:t>
            </w:r>
          </w:p>
        </w:tc>
        <w:tc>
          <w:tcPr>
            <w:tcW w:w="307" w:type="pct"/>
            <w:tcMar>
              <w:top w:w="0" w:type="dxa"/>
              <w:bottom w:w="0" w:type="dxa"/>
            </w:tcMar>
            <w:vAlign w:val="center"/>
          </w:tcPr>
          <w:p w14:paraId="20305CF6"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54</w:t>
            </w:r>
          </w:p>
        </w:tc>
        <w:tc>
          <w:tcPr>
            <w:tcW w:w="307" w:type="pct"/>
            <w:tcMar>
              <w:top w:w="0" w:type="dxa"/>
              <w:bottom w:w="0" w:type="dxa"/>
            </w:tcMar>
            <w:vAlign w:val="center"/>
          </w:tcPr>
          <w:p w14:paraId="7A6B15C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52</w:t>
            </w:r>
          </w:p>
        </w:tc>
        <w:tc>
          <w:tcPr>
            <w:tcW w:w="307" w:type="pct"/>
            <w:tcMar>
              <w:top w:w="0" w:type="dxa"/>
              <w:bottom w:w="0" w:type="dxa"/>
            </w:tcMar>
            <w:vAlign w:val="center"/>
          </w:tcPr>
          <w:p w14:paraId="792FF11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51</w:t>
            </w:r>
          </w:p>
        </w:tc>
        <w:tc>
          <w:tcPr>
            <w:tcW w:w="307" w:type="pct"/>
            <w:tcMar>
              <w:top w:w="0" w:type="dxa"/>
              <w:bottom w:w="0" w:type="dxa"/>
            </w:tcMar>
            <w:vAlign w:val="center"/>
          </w:tcPr>
          <w:p w14:paraId="3F404822"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50</w:t>
            </w:r>
          </w:p>
        </w:tc>
        <w:tc>
          <w:tcPr>
            <w:tcW w:w="307" w:type="pct"/>
            <w:tcMar>
              <w:top w:w="0" w:type="dxa"/>
              <w:bottom w:w="0" w:type="dxa"/>
            </w:tcMar>
            <w:vAlign w:val="center"/>
          </w:tcPr>
          <w:p w14:paraId="201C1F4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48</w:t>
            </w:r>
          </w:p>
        </w:tc>
        <w:tc>
          <w:tcPr>
            <w:tcW w:w="307" w:type="pct"/>
            <w:tcMar>
              <w:top w:w="0" w:type="dxa"/>
              <w:bottom w:w="0" w:type="dxa"/>
            </w:tcMar>
            <w:vAlign w:val="center"/>
          </w:tcPr>
          <w:p w14:paraId="71E912AD"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46</w:t>
            </w:r>
          </w:p>
        </w:tc>
        <w:tc>
          <w:tcPr>
            <w:tcW w:w="307" w:type="pct"/>
            <w:tcMar>
              <w:top w:w="0" w:type="dxa"/>
              <w:bottom w:w="0" w:type="dxa"/>
            </w:tcMar>
            <w:vAlign w:val="center"/>
          </w:tcPr>
          <w:p w14:paraId="157E6AEA"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43</w:t>
            </w:r>
          </w:p>
        </w:tc>
        <w:tc>
          <w:tcPr>
            <w:tcW w:w="306" w:type="pct"/>
            <w:tcMar>
              <w:top w:w="0" w:type="dxa"/>
              <w:bottom w:w="0" w:type="dxa"/>
            </w:tcMar>
            <w:vAlign w:val="center"/>
          </w:tcPr>
          <w:p w14:paraId="2DD8546C" w14:textId="77777777" w:rsidR="00853399" w:rsidRPr="00A964FF" w:rsidRDefault="00853399" w:rsidP="00162031">
            <w:pPr>
              <w:jc w:val="center"/>
              <w:rPr>
                <w:rFonts w:ascii="Calibri" w:hAnsi="Calibri"/>
                <w:color w:val="auto"/>
                <w:szCs w:val="21"/>
              </w:rPr>
            </w:pPr>
            <w:r w:rsidRPr="00A964FF">
              <w:rPr>
                <w:rFonts w:ascii="Calibri" w:hAnsi="Calibri"/>
                <w:color w:val="auto"/>
                <w:szCs w:val="21"/>
              </w:rPr>
              <w:t>42</w:t>
            </w:r>
          </w:p>
        </w:tc>
      </w:tr>
    </w:tbl>
    <w:p w14:paraId="225A5FE6" w14:textId="77777777" w:rsidR="00853399" w:rsidRPr="00A964FF" w:rsidRDefault="00853399" w:rsidP="00853399">
      <w:pPr>
        <w:spacing w:line="520" w:lineRule="exact"/>
        <w:ind w:firstLine="480"/>
        <w:rPr>
          <w:rFonts w:ascii="Calibri" w:hAnsi="Calibri"/>
          <w:bCs/>
          <w:color w:val="auto"/>
          <w:sz w:val="24"/>
        </w:rPr>
      </w:pPr>
      <w:r w:rsidRPr="00A964FF">
        <w:rPr>
          <w:rFonts w:ascii="Calibri" w:hAnsi="Calibri" w:hint="eastAsia"/>
          <w:bCs/>
          <w:color w:val="auto"/>
          <w:sz w:val="24"/>
        </w:rPr>
        <w:t>由上表预测结果可知，施工机械在未采取隔声、降噪措施情况下，其噪声值影响较大，在施工现场</w:t>
      </w:r>
      <w:r w:rsidRPr="00A964FF">
        <w:rPr>
          <w:rFonts w:ascii="Calibri" w:hAnsi="Calibri"/>
          <w:bCs/>
          <w:color w:val="auto"/>
          <w:sz w:val="24"/>
        </w:rPr>
        <w:t>30m</w:t>
      </w:r>
      <w:r w:rsidRPr="00A964FF">
        <w:rPr>
          <w:rFonts w:ascii="Calibri" w:hAnsi="Calibri" w:hint="eastAsia"/>
          <w:bCs/>
          <w:color w:val="auto"/>
          <w:sz w:val="24"/>
        </w:rPr>
        <w:t>左右，施工噪声基本可满足《建筑施工场界环境噪声排放标准》（</w:t>
      </w:r>
      <w:r w:rsidRPr="00A964FF">
        <w:rPr>
          <w:rFonts w:ascii="Calibri" w:hAnsi="Calibri"/>
          <w:bCs/>
          <w:color w:val="auto"/>
          <w:sz w:val="24"/>
        </w:rPr>
        <w:t>GB12523-2011</w:t>
      </w:r>
      <w:r w:rsidRPr="00A964FF">
        <w:rPr>
          <w:rFonts w:ascii="Calibri" w:hAnsi="Calibri" w:hint="eastAsia"/>
          <w:bCs/>
          <w:color w:val="auto"/>
          <w:sz w:val="24"/>
        </w:rPr>
        <w:t>）昼间限值的规定；在施工现场</w:t>
      </w:r>
      <w:r w:rsidRPr="00A964FF">
        <w:rPr>
          <w:rFonts w:ascii="Calibri" w:hAnsi="Calibri"/>
          <w:bCs/>
          <w:color w:val="auto"/>
          <w:sz w:val="24"/>
        </w:rPr>
        <w:t>180m</w:t>
      </w:r>
      <w:r w:rsidRPr="00A964FF">
        <w:rPr>
          <w:rFonts w:ascii="Calibri" w:hAnsi="Calibri" w:hint="eastAsia"/>
          <w:bCs/>
          <w:color w:val="auto"/>
          <w:sz w:val="24"/>
        </w:rPr>
        <w:t>左右，施工噪声基本可满足《建筑施工场界环境噪声排放标准》（</w:t>
      </w:r>
      <w:r w:rsidRPr="00A964FF">
        <w:rPr>
          <w:rFonts w:ascii="Calibri" w:hAnsi="Calibri"/>
          <w:bCs/>
          <w:color w:val="auto"/>
          <w:sz w:val="24"/>
        </w:rPr>
        <w:t>GB12523-2011</w:t>
      </w:r>
      <w:r w:rsidRPr="00A964FF">
        <w:rPr>
          <w:rFonts w:ascii="Calibri" w:hAnsi="Calibri" w:hint="eastAsia"/>
          <w:bCs/>
          <w:color w:val="auto"/>
          <w:sz w:val="24"/>
        </w:rPr>
        <w:t>）昼间和夜间噪声限值。</w:t>
      </w:r>
    </w:p>
    <w:p w14:paraId="459D2222" w14:textId="6FD137B9" w:rsidR="005354F0" w:rsidRDefault="00853399" w:rsidP="005354F0">
      <w:pPr>
        <w:snapToGrid w:val="0"/>
        <w:spacing w:line="520" w:lineRule="exact"/>
        <w:ind w:firstLineChars="200" w:firstLine="480"/>
        <w:rPr>
          <w:rFonts w:ascii="Calibri" w:hAnsi="Calibri" w:hint="eastAsia"/>
          <w:bCs/>
          <w:color w:val="auto"/>
          <w:sz w:val="24"/>
        </w:rPr>
      </w:pPr>
      <w:r w:rsidRPr="00040BEE">
        <w:rPr>
          <w:rFonts w:ascii="Calibri" w:hAnsi="Calibri" w:hint="eastAsia"/>
          <w:bCs/>
          <w:color w:val="auto"/>
          <w:sz w:val="24"/>
        </w:rPr>
        <w:t>根据现场踏勘，</w:t>
      </w:r>
      <w:r w:rsidR="009911F2" w:rsidRPr="00040BEE">
        <w:rPr>
          <w:rFonts w:ascii="Calibri" w:hAnsi="Calibri" w:hint="eastAsia"/>
          <w:bCs/>
          <w:color w:val="auto"/>
          <w:sz w:val="24"/>
        </w:rPr>
        <w:t>本项目</w:t>
      </w:r>
      <w:r w:rsidR="005354F0">
        <w:rPr>
          <w:rFonts w:ascii="Calibri" w:hAnsi="Calibri" w:hint="eastAsia"/>
          <w:bCs/>
          <w:color w:val="auto"/>
          <w:sz w:val="24"/>
        </w:rPr>
        <w:t>200</w:t>
      </w:r>
      <w:r w:rsidR="005354F0">
        <w:rPr>
          <w:rFonts w:ascii="Calibri" w:hAnsi="Calibri"/>
          <w:bCs/>
          <w:color w:val="auto"/>
          <w:sz w:val="24"/>
        </w:rPr>
        <w:t>m</w:t>
      </w:r>
      <w:r w:rsidR="005354F0">
        <w:rPr>
          <w:rFonts w:ascii="Calibri" w:hAnsi="Calibri" w:hint="eastAsia"/>
          <w:bCs/>
          <w:color w:val="auto"/>
          <w:sz w:val="24"/>
        </w:rPr>
        <w:t>范围</w:t>
      </w:r>
      <w:r w:rsidR="005354F0">
        <w:rPr>
          <w:rFonts w:ascii="Calibri" w:hAnsi="Calibri"/>
          <w:bCs/>
          <w:color w:val="auto"/>
          <w:sz w:val="24"/>
        </w:rPr>
        <w:t>内无声环境保护目标，</w:t>
      </w:r>
      <w:r w:rsidR="005354F0">
        <w:rPr>
          <w:rFonts w:ascii="Calibri" w:hAnsi="Calibri" w:hint="eastAsia"/>
          <w:bCs/>
          <w:color w:val="auto"/>
          <w:sz w:val="24"/>
        </w:rPr>
        <w:t>距离</w:t>
      </w:r>
      <w:r w:rsidR="005354F0">
        <w:rPr>
          <w:rFonts w:ascii="Calibri" w:hAnsi="Calibri"/>
          <w:bCs/>
          <w:color w:val="auto"/>
          <w:sz w:val="24"/>
        </w:rPr>
        <w:t>最近的保护目标为</w:t>
      </w:r>
    </w:p>
    <w:p w14:paraId="001DC1BE" w14:textId="3C27C252" w:rsidR="00853399" w:rsidRPr="00040BEE" w:rsidRDefault="00040BEE" w:rsidP="005354F0">
      <w:pPr>
        <w:snapToGrid w:val="0"/>
        <w:spacing w:line="520" w:lineRule="exact"/>
        <w:rPr>
          <w:rFonts w:ascii="Calibri" w:hAnsi="Calibri"/>
          <w:bCs/>
          <w:color w:val="auto"/>
          <w:sz w:val="24"/>
        </w:rPr>
      </w:pPr>
      <w:r w:rsidRPr="00040BEE">
        <w:rPr>
          <w:rFonts w:ascii="Calibri" w:hAnsi="Calibri" w:hint="eastAsia"/>
          <w:bCs/>
          <w:color w:val="auto"/>
          <w:sz w:val="24"/>
        </w:rPr>
        <w:t>东南侧</w:t>
      </w:r>
      <w:r w:rsidR="005354F0" w:rsidRPr="00040BEE">
        <w:rPr>
          <w:rFonts w:ascii="Calibri" w:hAnsi="Calibri" w:hint="eastAsia"/>
          <w:bCs/>
          <w:color w:val="auto"/>
          <w:sz w:val="24"/>
        </w:rPr>
        <w:t>550</w:t>
      </w:r>
      <w:r w:rsidR="005354F0" w:rsidRPr="00040BEE">
        <w:rPr>
          <w:rFonts w:ascii="Calibri" w:hAnsi="Calibri"/>
          <w:bCs/>
          <w:color w:val="auto"/>
          <w:sz w:val="24"/>
        </w:rPr>
        <w:t>m</w:t>
      </w:r>
      <w:r w:rsidR="005354F0">
        <w:rPr>
          <w:rFonts w:ascii="Calibri" w:hAnsi="Calibri" w:hint="eastAsia"/>
          <w:bCs/>
          <w:color w:val="auto"/>
          <w:sz w:val="24"/>
        </w:rPr>
        <w:t>处</w:t>
      </w:r>
      <w:r w:rsidRPr="00040BEE">
        <w:rPr>
          <w:rFonts w:ascii="Calibri" w:hAnsi="Calibri"/>
          <w:bCs/>
          <w:color w:val="auto"/>
          <w:sz w:val="24"/>
        </w:rPr>
        <w:t>的泥河张</w:t>
      </w:r>
      <w:r w:rsidR="00853399" w:rsidRPr="00040BEE">
        <w:rPr>
          <w:rFonts w:ascii="Calibri" w:hAnsi="Calibri" w:hint="eastAsia"/>
          <w:bCs/>
          <w:color w:val="auto"/>
          <w:sz w:val="24"/>
        </w:rPr>
        <w:t>。由于项目距离相对较远，施工噪声对周围敏感点影响不大。施工期噪声影响是短暂的，一旦施工活动结束，施工噪声也就随之结束。</w:t>
      </w:r>
    </w:p>
    <w:p w14:paraId="109E3892" w14:textId="77777777" w:rsidR="0055605A" w:rsidRPr="00A964FF" w:rsidRDefault="0055605A" w:rsidP="0055605A">
      <w:pPr>
        <w:pStyle w:val="ad"/>
        <w:rPr>
          <w:rFonts w:ascii="Calibri" w:hAnsi="Calibri"/>
          <w:color w:val="auto"/>
        </w:rPr>
      </w:pPr>
      <w:r w:rsidRPr="00A964FF">
        <w:rPr>
          <w:rFonts w:ascii="Calibri" w:hAnsi="Calibri" w:hint="eastAsia"/>
          <w:color w:val="auto"/>
        </w:rPr>
        <w:t>4</w:t>
      </w:r>
      <w:r w:rsidRPr="00A964FF">
        <w:rPr>
          <w:rFonts w:ascii="Calibri" w:hAnsi="Calibri"/>
          <w:color w:val="auto"/>
        </w:rPr>
        <w:t>.1.4</w:t>
      </w:r>
      <w:r w:rsidRPr="00A964FF">
        <w:rPr>
          <w:rFonts w:ascii="Calibri" w:hAnsi="Calibri"/>
          <w:color w:val="auto"/>
        </w:rPr>
        <w:t>固体废物影响分析</w:t>
      </w:r>
    </w:p>
    <w:p w14:paraId="20ECE267" w14:textId="77777777" w:rsidR="00853399" w:rsidRPr="00A964FF" w:rsidRDefault="00853399" w:rsidP="00853399">
      <w:pPr>
        <w:pStyle w:val="00"/>
        <w:rPr>
          <w:rFonts w:ascii="Calibri" w:hAnsi="Calibri"/>
          <w:b/>
          <w:color w:val="auto"/>
        </w:rPr>
      </w:pPr>
      <w:r w:rsidRPr="00A964FF">
        <w:rPr>
          <w:rFonts w:ascii="Calibri" w:hAnsi="Calibri"/>
          <w:b/>
          <w:color w:val="auto"/>
        </w:rPr>
        <w:t>1</w:t>
      </w:r>
      <w:r w:rsidRPr="00A964FF">
        <w:rPr>
          <w:rFonts w:ascii="Calibri" w:hAnsi="Calibri" w:hint="eastAsia"/>
          <w:b/>
          <w:color w:val="auto"/>
        </w:rPr>
        <w:t>、建筑垃圾</w:t>
      </w:r>
    </w:p>
    <w:p w14:paraId="3AB65574" w14:textId="77777777" w:rsidR="00853399" w:rsidRPr="00A964FF" w:rsidRDefault="00853399" w:rsidP="00853399">
      <w:pPr>
        <w:pStyle w:val="00"/>
        <w:rPr>
          <w:rFonts w:ascii="Calibri" w:hAnsi="Calibri"/>
          <w:color w:val="auto"/>
        </w:rPr>
      </w:pPr>
      <w:r w:rsidRPr="00A964FF">
        <w:rPr>
          <w:rFonts w:ascii="Calibri" w:hAnsi="Calibri" w:hint="eastAsia"/>
          <w:color w:val="auto"/>
        </w:rPr>
        <w:t>建筑垃圾的产生量与施工水平、建筑类型等多种因素有关，数据之间相差较大。建筑垃圾主要是无机类物质，有机成分含量较低。建筑垃圾中的主要成分为无机垃圾，因此燃烧热值小，适于填埋处理。</w:t>
      </w:r>
    </w:p>
    <w:p w14:paraId="7FF90C7E" w14:textId="77777777" w:rsidR="00853399" w:rsidRPr="00A964FF" w:rsidRDefault="00853399" w:rsidP="00853399">
      <w:pPr>
        <w:pStyle w:val="00"/>
        <w:rPr>
          <w:rFonts w:ascii="Calibri" w:hAnsi="Calibri"/>
          <w:color w:val="auto"/>
        </w:rPr>
      </w:pPr>
      <w:r w:rsidRPr="00A964FF">
        <w:rPr>
          <w:rFonts w:ascii="Calibri" w:hAnsi="Calibri" w:hint="eastAsia"/>
          <w:color w:val="auto"/>
        </w:rPr>
        <w:t>本项目施工过程中产生建筑垃圾</w:t>
      </w:r>
      <w:r w:rsidRPr="00A964FF">
        <w:rPr>
          <w:rFonts w:ascii="Calibri" w:hAnsi="Times New Roman" w:hint="eastAsia"/>
          <w:color w:val="auto"/>
        </w:rPr>
        <w:t>量为</w:t>
      </w:r>
      <w:r w:rsidR="00040BEE">
        <w:rPr>
          <w:rFonts w:ascii="Calibri" w:hAnsi="Times New Roman"/>
          <w:color w:val="auto"/>
        </w:rPr>
        <w:t>8</w:t>
      </w:r>
      <w:r w:rsidR="00CB7B91">
        <w:rPr>
          <w:rFonts w:ascii="Calibri" w:hAnsi="Times New Roman" w:hint="eastAsia"/>
          <w:color w:val="auto"/>
        </w:rPr>
        <w:t>00</w:t>
      </w:r>
      <w:r w:rsidRPr="00A964FF">
        <w:rPr>
          <w:rFonts w:ascii="Calibri" w:hAnsi="Calibri"/>
          <w:color w:val="auto"/>
        </w:rPr>
        <w:t>t</w:t>
      </w:r>
      <w:r w:rsidRPr="00A964FF">
        <w:rPr>
          <w:rFonts w:ascii="Calibri" w:hAnsi="Calibri" w:hint="eastAsia"/>
          <w:color w:val="auto"/>
        </w:rPr>
        <w:t>，施工单位应在施工场地内集中收集，可以回用的进行再次利用，其余应运送到叶县指定的建筑垃圾堆放点。</w:t>
      </w:r>
    </w:p>
    <w:p w14:paraId="1061374F" w14:textId="77777777" w:rsidR="00853399" w:rsidRPr="00A964FF" w:rsidRDefault="00853399" w:rsidP="00853399">
      <w:pPr>
        <w:pStyle w:val="00"/>
        <w:rPr>
          <w:rFonts w:ascii="Calibri" w:hAnsi="Calibri"/>
          <w:b/>
          <w:color w:val="auto"/>
        </w:rPr>
      </w:pPr>
      <w:r w:rsidRPr="00A964FF">
        <w:rPr>
          <w:rFonts w:ascii="Calibri" w:hAnsi="Calibri"/>
          <w:b/>
          <w:color w:val="auto"/>
        </w:rPr>
        <w:t>2</w:t>
      </w:r>
      <w:r w:rsidRPr="00A964FF">
        <w:rPr>
          <w:rFonts w:ascii="Calibri" w:hAnsi="Calibri" w:hint="eastAsia"/>
          <w:b/>
          <w:color w:val="auto"/>
        </w:rPr>
        <w:t>、弃土</w:t>
      </w:r>
    </w:p>
    <w:p w14:paraId="7C939D26" w14:textId="77777777" w:rsidR="00853399" w:rsidRPr="00A964FF" w:rsidRDefault="00853399" w:rsidP="00853399">
      <w:pPr>
        <w:pStyle w:val="00"/>
        <w:rPr>
          <w:rFonts w:ascii="Calibri" w:hAnsi="Calibri"/>
          <w:color w:val="auto"/>
        </w:rPr>
      </w:pPr>
      <w:r w:rsidRPr="00A964FF">
        <w:rPr>
          <w:rFonts w:ascii="Calibri" w:hAnsi="Calibri" w:hint="eastAsia"/>
          <w:color w:val="auto"/>
        </w:rPr>
        <w:t>本项目施工期间可以做到土石方平衡，施工过程中开挖的土方全部用于厂区土地的平整，整个施工期无弃土外运。</w:t>
      </w:r>
    </w:p>
    <w:p w14:paraId="4600B7A3" w14:textId="77777777" w:rsidR="00853399" w:rsidRPr="00A964FF" w:rsidRDefault="00853399" w:rsidP="00853399">
      <w:pPr>
        <w:pStyle w:val="00"/>
        <w:rPr>
          <w:rFonts w:ascii="Calibri" w:hAnsi="Calibri"/>
          <w:b/>
          <w:color w:val="auto"/>
        </w:rPr>
      </w:pPr>
      <w:r w:rsidRPr="00A964FF">
        <w:rPr>
          <w:rFonts w:ascii="Calibri" w:hAnsi="Calibri"/>
          <w:b/>
          <w:color w:val="auto"/>
        </w:rPr>
        <w:lastRenderedPageBreak/>
        <w:t>3</w:t>
      </w:r>
      <w:r w:rsidRPr="00A964FF">
        <w:rPr>
          <w:rFonts w:ascii="Calibri" w:hAnsi="Calibri" w:hint="eastAsia"/>
          <w:b/>
          <w:color w:val="auto"/>
        </w:rPr>
        <w:t>、生活垃圾</w:t>
      </w:r>
    </w:p>
    <w:p w14:paraId="2491B35F" w14:textId="77777777" w:rsidR="00853399" w:rsidRPr="00A964FF" w:rsidRDefault="00853399" w:rsidP="00853399">
      <w:pPr>
        <w:pStyle w:val="00"/>
        <w:rPr>
          <w:rFonts w:ascii="Calibri" w:hAnsi="Calibri"/>
          <w:color w:val="auto"/>
        </w:rPr>
      </w:pPr>
      <w:r w:rsidRPr="00A964FF">
        <w:rPr>
          <w:rFonts w:ascii="Calibri" w:hAnsi="Calibri" w:hint="eastAsia"/>
          <w:color w:val="auto"/>
        </w:rPr>
        <w:t>本项目整个施工过程中施工人员产生的生活垃圾量为</w:t>
      </w:r>
      <w:r w:rsidR="00CB7B91">
        <w:rPr>
          <w:rFonts w:ascii="Calibri" w:hAnsi="Calibri" w:hint="eastAsia"/>
          <w:color w:val="auto"/>
        </w:rPr>
        <w:t>15</w:t>
      </w:r>
      <w:r w:rsidRPr="00A964FF">
        <w:rPr>
          <w:rFonts w:ascii="Calibri" w:hAnsi="Calibri"/>
          <w:color w:val="auto"/>
        </w:rPr>
        <w:t>t</w:t>
      </w:r>
      <w:r w:rsidRPr="00A964FF">
        <w:rPr>
          <w:rFonts w:ascii="Calibri" w:hAnsi="Calibri" w:hint="eastAsia"/>
          <w:color w:val="auto"/>
        </w:rPr>
        <w:t>，建设单位应在场地内设置垃圾收集装置，集中收集后及时送集聚区垃圾中转站，</w:t>
      </w:r>
      <w:r w:rsidR="00E81A41" w:rsidRPr="00A964FF">
        <w:rPr>
          <w:rFonts w:ascii="Calibri" w:hAnsi="Calibri" w:hint="eastAsia"/>
          <w:color w:val="auto"/>
        </w:rPr>
        <w:t>由</w:t>
      </w:r>
      <w:r w:rsidR="00260CDA" w:rsidRPr="00A964FF">
        <w:rPr>
          <w:rFonts w:ascii="Calibri" w:hAnsi="Calibri" w:hint="eastAsia"/>
          <w:color w:val="auto"/>
        </w:rPr>
        <w:t>环卫部门集中清运并合理处置</w:t>
      </w:r>
      <w:r w:rsidRPr="00A964FF">
        <w:rPr>
          <w:rFonts w:ascii="Calibri" w:hAnsi="Calibri" w:hint="eastAsia"/>
          <w:color w:val="auto"/>
        </w:rPr>
        <w:t>。</w:t>
      </w:r>
    </w:p>
    <w:p w14:paraId="049AFE1C" w14:textId="77777777" w:rsidR="00853399" w:rsidRPr="00A964FF" w:rsidRDefault="00853399" w:rsidP="00853399">
      <w:pPr>
        <w:pStyle w:val="ad"/>
        <w:rPr>
          <w:rFonts w:ascii="Calibri" w:hAnsi="Calibri"/>
          <w:color w:val="auto"/>
        </w:rPr>
      </w:pPr>
      <w:r w:rsidRPr="00A964FF">
        <w:rPr>
          <w:rFonts w:ascii="Calibri" w:hAnsi="Calibri"/>
          <w:color w:val="auto"/>
        </w:rPr>
        <w:t>4.1.5</w:t>
      </w:r>
      <w:r w:rsidRPr="00A964FF">
        <w:rPr>
          <w:rFonts w:ascii="Calibri" w:hAnsi="Calibri" w:hint="eastAsia"/>
          <w:color w:val="auto"/>
        </w:rPr>
        <w:t>生态环境影响分析</w:t>
      </w:r>
    </w:p>
    <w:p w14:paraId="49132D4C" w14:textId="77777777" w:rsidR="00CB6720" w:rsidRPr="00A964FF" w:rsidRDefault="00CB6720" w:rsidP="00CB6720">
      <w:pPr>
        <w:snapToGrid w:val="0"/>
        <w:spacing w:line="520" w:lineRule="exact"/>
        <w:ind w:firstLineChars="200" w:firstLine="482"/>
        <w:rPr>
          <w:rFonts w:ascii="Calibri"/>
          <w:b/>
          <w:bCs/>
          <w:color w:val="auto"/>
          <w:sz w:val="24"/>
        </w:rPr>
      </w:pPr>
      <w:r w:rsidRPr="00A964FF">
        <w:rPr>
          <w:rFonts w:ascii="Calibri"/>
          <w:b/>
          <w:bCs/>
          <w:color w:val="auto"/>
          <w:sz w:val="24"/>
        </w:rPr>
        <w:t>1</w:t>
      </w:r>
      <w:r w:rsidRPr="00A964FF">
        <w:rPr>
          <w:rFonts w:ascii="Calibri" w:hint="eastAsia"/>
          <w:b/>
          <w:bCs/>
          <w:color w:val="auto"/>
          <w:sz w:val="24"/>
        </w:rPr>
        <w:t>、永久占地对土地利用类型的影响</w:t>
      </w:r>
    </w:p>
    <w:p w14:paraId="7FBD8E21" w14:textId="77777777" w:rsidR="00CB6720" w:rsidRPr="00A964FF" w:rsidRDefault="00CB6720" w:rsidP="00DD5AA5">
      <w:pPr>
        <w:snapToGrid w:val="0"/>
        <w:spacing w:line="520" w:lineRule="exact"/>
        <w:ind w:firstLineChars="200" w:firstLine="480"/>
        <w:rPr>
          <w:rFonts w:ascii="Calibri"/>
          <w:bCs/>
          <w:color w:val="auto"/>
          <w:sz w:val="24"/>
        </w:rPr>
      </w:pPr>
      <w:r w:rsidRPr="00A964FF">
        <w:rPr>
          <w:rFonts w:ascii="Calibri" w:hint="eastAsia"/>
          <w:bCs/>
          <w:color w:val="auto"/>
          <w:sz w:val="24"/>
        </w:rPr>
        <w:t>本项目占地面积</w:t>
      </w:r>
      <w:r w:rsidR="00DD5AA5">
        <w:rPr>
          <w:rFonts w:ascii="Calibri" w:hint="eastAsia"/>
          <w:bCs/>
          <w:color w:val="auto"/>
          <w:sz w:val="24"/>
        </w:rPr>
        <w:t>78033.8</w:t>
      </w:r>
      <w:r w:rsidR="00DD5AA5">
        <w:rPr>
          <w:rFonts w:ascii="Calibri"/>
          <w:bCs/>
          <w:color w:val="auto"/>
          <w:sz w:val="24"/>
        </w:rPr>
        <w:t>m</w:t>
      </w:r>
      <w:r w:rsidR="00DD5AA5" w:rsidRPr="00DD5AA5">
        <w:rPr>
          <w:rFonts w:ascii="Calibri"/>
          <w:bCs/>
          <w:color w:val="auto"/>
          <w:sz w:val="24"/>
          <w:vertAlign w:val="superscript"/>
        </w:rPr>
        <w:t>2</w:t>
      </w:r>
      <w:r w:rsidRPr="00A964FF">
        <w:rPr>
          <w:rFonts w:ascii="Calibri" w:hint="eastAsia"/>
          <w:bCs/>
          <w:color w:val="auto"/>
          <w:sz w:val="24"/>
        </w:rPr>
        <w:t>，占地类型为集聚区待建设用地，不占用农田和基本农田，地表植被主要为季节性草灌，项目建设对区域种植业和现有植被类型变化影响较小。</w:t>
      </w:r>
    </w:p>
    <w:p w14:paraId="260279CE" w14:textId="77777777" w:rsidR="00CB6720" w:rsidRPr="00A964FF" w:rsidRDefault="00CB6720" w:rsidP="00CB7B91">
      <w:pPr>
        <w:snapToGrid w:val="0"/>
        <w:spacing w:line="520" w:lineRule="exact"/>
        <w:ind w:firstLineChars="200" w:firstLine="480"/>
        <w:rPr>
          <w:rFonts w:ascii="Calibri"/>
          <w:bCs/>
          <w:color w:val="auto"/>
          <w:sz w:val="24"/>
        </w:rPr>
      </w:pPr>
      <w:r w:rsidRPr="00A964FF">
        <w:rPr>
          <w:rFonts w:ascii="Calibri" w:hint="eastAsia"/>
          <w:bCs/>
          <w:color w:val="auto"/>
          <w:sz w:val="24"/>
        </w:rPr>
        <w:t>永久性占地将在项目运营期无法改变土地利用方式，即项目征地范围内由原先的</w:t>
      </w:r>
      <w:r w:rsidR="00DD5AA5">
        <w:rPr>
          <w:rFonts w:ascii="Calibri" w:hint="eastAsia"/>
          <w:bCs/>
          <w:color w:val="auto"/>
          <w:sz w:val="24"/>
        </w:rPr>
        <w:t>农用地</w:t>
      </w:r>
      <w:r w:rsidRPr="00A964FF">
        <w:rPr>
          <w:rFonts w:ascii="Calibri" w:hint="eastAsia"/>
          <w:bCs/>
          <w:color w:val="auto"/>
          <w:sz w:val="24"/>
        </w:rPr>
        <w:t>等其它土地类型转变为</w:t>
      </w:r>
      <w:r w:rsidR="00CB7B91">
        <w:rPr>
          <w:rFonts w:ascii="Calibri" w:hint="eastAsia"/>
          <w:bCs/>
          <w:color w:val="auto"/>
          <w:sz w:val="24"/>
        </w:rPr>
        <w:t>建设用地</w:t>
      </w:r>
      <w:r w:rsidRPr="00A964FF">
        <w:rPr>
          <w:rFonts w:ascii="Calibri" w:hint="eastAsia"/>
          <w:bCs/>
          <w:color w:val="auto"/>
          <w:sz w:val="24"/>
        </w:rPr>
        <w:t>，其土地利用功能发生了永久的、不可逆转的变化。</w:t>
      </w:r>
    </w:p>
    <w:p w14:paraId="4807AA61" w14:textId="77777777" w:rsidR="00CB6720" w:rsidRPr="00A964FF" w:rsidRDefault="00CB6720" w:rsidP="00CB6720">
      <w:pPr>
        <w:snapToGrid w:val="0"/>
        <w:spacing w:line="520" w:lineRule="exact"/>
        <w:ind w:firstLineChars="200" w:firstLine="480"/>
        <w:rPr>
          <w:rFonts w:ascii="Calibri"/>
          <w:bCs/>
          <w:color w:val="auto"/>
          <w:sz w:val="24"/>
        </w:rPr>
      </w:pPr>
      <w:r w:rsidRPr="00A964FF">
        <w:rPr>
          <w:rFonts w:ascii="Calibri" w:hint="eastAsia"/>
          <w:bCs/>
          <w:color w:val="auto"/>
          <w:sz w:val="24"/>
        </w:rPr>
        <w:t>工程永久占地将使评价区内土地利用格局发生改变，但相对于整个区域来说，项目占地极小，其土地利用性质的改变不足以影响到所在地域的土地利用状况。并且工程征地范围外的土地类型基本不受项目运营的影响，可继续保持其土地利用功能，因此对区域土地利用格局不会产生明显影响。</w:t>
      </w:r>
    </w:p>
    <w:p w14:paraId="69201D35" w14:textId="77777777" w:rsidR="00853399" w:rsidRPr="00A964FF" w:rsidRDefault="00CB6720" w:rsidP="00853399">
      <w:pPr>
        <w:snapToGrid w:val="0"/>
        <w:spacing w:line="520" w:lineRule="exact"/>
        <w:ind w:firstLineChars="200" w:firstLine="482"/>
        <w:rPr>
          <w:rFonts w:ascii="Calibri"/>
          <w:b/>
          <w:bCs/>
          <w:color w:val="auto"/>
          <w:sz w:val="24"/>
        </w:rPr>
      </w:pPr>
      <w:r w:rsidRPr="00A964FF">
        <w:rPr>
          <w:rFonts w:ascii="Calibri" w:hint="eastAsia"/>
          <w:b/>
          <w:bCs/>
          <w:color w:val="auto"/>
          <w:sz w:val="24"/>
        </w:rPr>
        <w:t>2</w:t>
      </w:r>
      <w:r w:rsidR="00853399" w:rsidRPr="00A964FF">
        <w:rPr>
          <w:rFonts w:ascii="Calibri" w:hint="eastAsia"/>
          <w:b/>
          <w:bCs/>
          <w:color w:val="auto"/>
          <w:sz w:val="24"/>
        </w:rPr>
        <w:t>、施工活动对当地植被的影响</w:t>
      </w:r>
    </w:p>
    <w:p w14:paraId="100D6F85"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本项目在建设过程中由于场地开挖、填筑和平整，会铲除场区地表植被。项目用地范围内植被简单，主要为当地常见季节性草灌，无珍稀植被存在，植被破坏量不大。项目建成后将通过绿化手段建立新的人工绿地、培养起新的复合生态系统，以降低对周边生态环境的影响。</w:t>
      </w:r>
    </w:p>
    <w:p w14:paraId="6E7BFF0E"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施工期对生态的影响只是暂时性的，施工完成后，建设单位将进行大面积绿化美化。因此，尽管施工期对建设区域植被有一定的不利影响，但随着施工期的结束和绿化措施的完善，这种影响也将随之消失。</w:t>
      </w:r>
    </w:p>
    <w:p w14:paraId="25F4AFB4" w14:textId="77777777" w:rsidR="00853399" w:rsidRPr="00A964FF" w:rsidRDefault="00CB6720" w:rsidP="00853399">
      <w:pPr>
        <w:snapToGrid w:val="0"/>
        <w:spacing w:line="520" w:lineRule="exact"/>
        <w:ind w:firstLineChars="200" w:firstLine="482"/>
        <w:rPr>
          <w:rFonts w:ascii="Calibri" w:hAnsi="Calibri"/>
          <w:b/>
          <w:bCs/>
          <w:color w:val="auto"/>
          <w:sz w:val="24"/>
        </w:rPr>
      </w:pPr>
      <w:r w:rsidRPr="00A964FF">
        <w:rPr>
          <w:rFonts w:ascii="Calibri" w:hint="eastAsia"/>
          <w:b/>
          <w:bCs/>
          <w:color w:val="auto"/>
          <w:sz w:val="24"/>
        </w:rPr>
        <w:t>3</w:t>
      </w:r>
      <w:r w:rsidR="00853399" w:rsidRPr="00A964FF">
        <w:rPr>
          <w:rFonts w:ascii="Calibri" w:hint="eastAsia"/>
          <w:b/>
          <w:bCs/>
          <w:color w:val="auto"/>
          <w:sz w:val="24"/>
        </w:rPr>
        <w:t>、施工活动对野生动物的影响</w:t>
      </w:r>
    </w:p>
    <w:p w14:paraId="37054A5B"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因调查区内受人为活动的影响，区内大型野生动物已很少见，主要动物为当地常</w:t>
      </w:r>
      <w:r w:rsidRPr="00A964FF">
        <w:rPr>
          <w:rFonts w:ascii="Calibri" w:hint="eastAsia"/>
          <w:bCs/>
          <w:color w:val="auto"/>
          <w:sz w:val="24"/>
        </w:rPr>
        <w:lastRenderedPageBreak/>
        <w:t>见的鸟类、鼠类和昆虫等，未发现国家重点保护野生动物。由于项目区域内的动物类型为常见种类，在区域其它地方都普遍存在，本区域数量较少，施工区对于动物的逃生、迁徙等较为有利，不会影响整个动物区系的组成。</w:t>
      </w:r>
    </w:p>
    <w:p w14:paraId="61026737" w14:textId="77777777" w:rsidR="00853399" w:rsidRPr="00A964FF" w:rsidRDefault="00CB6720" w:rsidP="00853399">
      <w:pPr>
        <w:snapToGrid w:val="0"/>
        <w:spacing w:line="520" w:lineRule="exact"/>
        <w:ind w:firstLineChars="200" w:firstLine="482"/>
        <w:rPr>
          <w:rFonts w:ascii="Calibri"/>
          <w:b/>
          <w:bCs/>
          <w:color w:val="auto"/>
          <w:sz w:val="24"/>
        </w:rPr>
      </w:pPr>
      <w:r w:rsidRPr="00A964FF">
        <w:rPr>
          <w:rFonts w:ascii="Calibri" w:hint="eastAsia"/>
          <w:b/>
          <w:bCs/>
          <w:color w:val="auto"/>
          <w:sz w:val="24"/>
        </w:rPr>
        <w:t>4</w:t>
      </w:r>
      <w:r w:rsidR="00853399" w:rsidRPr="00A964FF">
        <w:rPr>
          <w:rFonts w:ascii="Calibri" w:hint="eastAsia"/>
          <w:b/>
          <w:bCs/>
          <w:color w:val="auto"/>
          <w:sz w:val="24"/>
        </w:rPr>
        <w:t>、施工活动对水土流失的影响</w:t>
      </w:r>
    </w:p>
    <w:p w14:paraId="343E80DF" w14:textId="77777777" w:rsidR="00853399" w:rsidRPr="00A964FF" w:rsidRDefault="00853399" w:rsidP="00853399">
      <w:pPr>
        <w:snapToGrid w:val="0"/>
        <w:spacing w:line="520" w:lineRule="exact"/>
        <w:ind w:firstLineChars="200" w:firstLine="480"/>
        <w:rPr>
          <w:rFonts w:ascii="Calibri"/>
          <w:bCs/>
          <w:color w:val="auto"/>
          <w:sz w:val="24"/>
        </w:rPr>
      </w:pPr>
      <w:r w:rsidRPr="00DD5AA5">
        <w:rPr>
          <w:rFonts w:ascii="Calibri" w:hint="eastAsia"/>
          <w:bCs/>
          <w:color w:val="auto"/>
          <w:sz w:val="24"/>
        </w:rPr>
        <w:t>本项目选址在平顶山尼龙新材料产业集聚区内，用地现状为空地，地表植被相对简单，施工活动对生态环境的影响主要表现为水土流失。施工过</w:t>
      </w:r>
      <w:r w:rsidRPr="00A964FF">
        <w:rPr>
          <w:rFonts w:ascii="Calibri" w:hint="eastAsia"/>
          <w:bCs/>
          <w:color w:val="auto"/>
          <w:sz w:val="24"/>
        </w:rPr>
        <w:t>程水土流失的成因主要有：</w:t>
      </w:r>
    </w:p>
    <w:p w14:paraId="5CE2C752"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w:t>
      </w:r>
      <w:r w:rsidRPr="00A964FF">
        <w:rPr>
          <w:rFonts w:ascii="Calibri" w:hAnsi="Calibri"/>
          <w:bCs/>
          <w:color w:val="auto"/>
          <w:sz w:val="24"/>
        </w:rPr>
        <w:t>1</w:t>
      </w:r>
      <w:r w:rsidRPr="00A964FF">
        <w:rPr>
          <w:rFonts w:ascii="Calibri" w:hint="eastAsia"/>
          <w:bCs/>
          <w:color w:val="auto"/>
          <w:sz w:val="24"/>
        </w:rPr>
        <w:t>）开挖地表，使原有土壤结构受到破坏，造成地表裸露，表层土抗蚀能力减弱，将加剧水土流失。</w:t>
      </w:r>
    </w:p>
    <w:p w14:paraId="03058C9A"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w:t>
      </w:r>
      <w:r w:rsidRPr="00A964FF">
        <w:rPr>
          <w:rFonts w:ascii="Calibri" w:hAnsi="Calibri"/>
          <w:bCs/>
          <w:color w:val="auto"/>
          <w:sz w:val="24"/>
        </w:rPr>
        <w:t>2</w:t>
      </w:r>
      <w:r w:rsidRPr="00A964FF">
        <w:rPr>
          <w:rFonts w:ascii="Calibri" w:hint="eastAsia"/>
          <w:bCs/>
          <w:color w:val="auto"/>
          <w:sz w:val="24"/>
        </w:rPr>
        <w:t>）建设过程中施工区的土石渣料，不可避免的产生部分水土流失。</w:t>
      </w:r>
    </w:p>
    <w:p w14:paraId="06EFB46F" w14:textId="77777777" w:rsidR="00853399" w:rsidRPr="00A964FF" w:rsidRDefault="00853399" w:rsidP="00853399">
      <w:pPr>
        <w:snapToGrid w:val="0"/>
        <w:spacing w:line="520" w:lineRule="exact"/>
        <w:ind w:firstLineChars="200" w:firstLine="480"/>
        <w:rPr>
          <w:rFonts w:ascii="Calibri" w:hAnsi="Calibri"/>
          <w:bCs/>
          <w:color w:val="auto"/>
          <w:sz w:val="24"/>
        </w:rPr>
      </w:pPr>
      <w:r w:rsidRPr="00A964FF">
        <w:rPr>
          <w:rFonts w:ascii="Calibri" w:hint="eastAsia"/>
          <w:bCs/>
          <w:color w:val="auto"/>
          <w:sz w:val="24"/>
        </w:rPr>
        <w:t>（</w:t>
      </w:r>
      <w:r w:rsidRPr="00A964FF">
        <w:rPr>
          <w:rFonts w:ascii="Calibri" w:hAnsi="Calibri"/>
          <w:bCs/>
          <w:color w:val="auto"/>
          <w:sz w:val="24"/>
        </w:rPr>
        <w:t>3</w:t>
      </w:r>
      <w:r w:rsidRPr="00A964FF">
        <w:rPr>
          <w:rFonts w:ascii="Calibri" w:hint="eastAsia"/>
          <w:bCs/>
          <w:color w:val="auto"/>
          <w:sz w:val="24"/>
        </w:rPr>
        <w:t>）土石方因受地形和运输条件限制，不便运走时，由于结构疏松，空隙度增大，易产生水土流失。</w:t>
      </w:r>
    </w:p>
    <w:p w14:paraId="34E9BA8D" w14:textId="77777777" w:rsidR="00853399" w:rsidRPr="00A964FF" w:rsidRDefault="00853399" w:rsidP="00853399">
      <w:pPr>
        <w:spacing w:line="500" w:lineRule="exact"/>
        <w:ind w:firstLineChars="200" w:firstLine="480"/>
        <w:rPr>
          <w:rFonts w:ascii="Calibri" w:hAnsi="Calibri"/>
          <w:bCs/>
          <w:color w:val="auto"/>
          <w:sz w:val="24"/>
        </w:rPr>
      </w:pPr>
      <w:r w:rsidRPr="00A964FF">
        <w:rPr>
          <w:rFonts w:ascii="Calibri" w:hint="eastAsia"/>
          <w:bCs/>
          <w:color w:val="auto"/>
          <w:sz w:val="24"/>
        </w:rPr>
        <w:t>（</w:t>
      </w:r>
      <w:r w:rsidRPr="00A964FF">
        <w:rPr>
          <w:rFonts w:ascii="Calibri" w:hAnsi="Calibri"/>
          <w:bCs/>
          <w:color w:val="auto"/>
          <w:sz w:val="24"/>
        </w:rPr>
        <w:t>4</w:t>
      </w:r>
      <w:r w:rsidRPr="00A964FF">
        <w:rPr>
          <w:rFonts w:ascii="Calibri" w:hint="eastAsia"/>
          <w:bCs/>
          <w:color w:val="auto"/>
          <w:sz w:val="24"/>
        </w:rPr>
        <w:t>）取土回填也易产生水土流失。</w:t>
      </w:r>
    </w:p>
    <w:p w14:paraId="05A694D9" w14:textId="77777777" w:rsidR="00853399" w:rsidRPr="00A964FF" w:rsidRDefault="00853399" w:rsidP="00853399">
      <w:pPr>
        <w:spacing w:line="500" w:lineRule="exact"/>
        <w:ind w:firstLineChars="200" w:firstLine="480"/>
        <w:rPr>
          <w:rFonts w:ascii="Calibri" w:hAnsi="Calibri"/>
          <w:bCs/>
          <w:color w:val="auto"/>
          <w:sz w:val="24"/>
        </w:rPr>
      </w:pPr>
      <w:r w:rsidRPr="00A964FF">
        <w:rPr>
          <w:rFonts w:ascii="Calibri" w:hint="eastAsia"/>
          <w:bCs/>
          <w:color w:val="auto"/>
          <w:sz w:val="24"/>
        </w:rPr>
        <w:t>为有效防止水土流失，建议采取以下防治措施：</w:t>
      </w:r>
    </w:p>
    <w:p w14:paraId="62A9070F" w14:textId="77777777" w:rsidR="00853399" w:rsidRPr="00A964FF" w:rsidRDefault="00853399" w:rsidP="00853399">
      <w:pPr>
        <w:spacing w:line="500" w:lineRule="exact"/>
        <w:ind w:firstLineChars="200" w:firstLine="480"/>
        <w:rPr>
          <w:rFonts w:ascii="Calibri" w:hAnsi="Calibri"/>
          <w:bCs/>
          <w:color w:val="auto"/>
          <w:sz w:val="24"/>
        </w:rPr>
      </w:pPr>
      <w:r w:rsidRPr="00A964FF">
        <w:rPr>
          <w:rFonts w:ascii="Calibri" w:hAnsi="Calibri" w:hint="eastAsia"/>
          <w:bCs/>
          <w:color w:val="auto"/>
          <w:sz w:val="24"/>
        </w:rPr>
        <w:t>①</w:t>
      </w:r>
      <w:r w:rsidRPr="00A964FF">
        <w:rPr>
          <w:rFonts w:ascii="Calibri" w:hAnsi="Calibri"/>
          <w:bCs/>
          <w:color w:val="auto"/>
          <w:sz w:val="24"/>
        </w:rPr>
        <w:t xml:space="preserve"> </w:t>
      </w:r>
      <w:r w:rsidRPr="00A964FF">
        <w:rPr>
          <w:rFonts w:ascii="Calibri" w:hint="eastAsia"/>
          <w:bCs/>
          <w:color w:val="auto"/>
          <w:sz w:val="24"/>
        </w:rPr>
        <w:t>根据需要增设必要的临时雨水排水沟道，夯实裸露地面，尽量减缓雨水对泥土的冲刷。</w:t>
      </w:r>
    </w:p>
    <w:p w14:paraId="0980B1D1" w14:textId="77777777" w:rsidR="00853399" w:rsidRPr="00A964FF" w:rsidRDefault="00853399" w:rsidP="00853399">
      <w:pPr>
        <w:spacing w:line="500" w:lineRule="exact"/>
        <w:ind w:firstLineChars="200" w:firstLine="480"/>
        <w:rPr>
          <w:rFonts w:ascii="Calibri" w:hAnsi="Calibri"/>
          <w:bCs/>
          <w:color w:val="auto"/>
          <w:sz w:val="24"/>
        </w:rPr>
      </w:pPr>
      <w:r w:rsidRPr="00A964FF">
        <w:rPr>
          <w:rFonts w:ascii="Calibri" w:hAnsi="Calibri" w:hint="eastAsia"/>
          <w:bCs/>
          <w:color w:val="auto"/>
          <w:sz w:val="24"/>
        </w:rPr>
        <w:t>②</w:t>
      </w:r>
      <w:r w:rsidRPr="00A964FF">
        <w:rPr>
          <w:rFonts w:ascii="Calibri" w:hAnsi="Calibri"/>
          <w:bCs/>
          <w:color w:val="auto"/>
          <w:sz w:val="24"/>
        </w:rPr>
        <w:t xml:space="preserve"> </w:t>
      </w:r>
      <w:r w:rsidRPr="00A964FF">
        <w:rPr>
          <w:rFonts w:ascii="Calibri" w:hint="eastAsia"/>
          <w:bCs/>
          <w:color w:val="auto"/>
          <w:sz w:val="24"/>
        </w:rPr>
        <w:t>弃土和施工废料及时清运。</w:t>
      </w:r>
    </w:p>
    <w:p w14:paraId="2932552D" w14:textId="77777777" w:rsidR="00853399" w:rsidRPr="00A964FF" w:rsidRDefault="00853399" w:rsidP="00853399">
      <w:pPr>
        <w:spacing w:line="500" w:lineRule="exact"/>
        <w:ind w:firstLineChars="200" w:firstLine="480"/>
        <w:rPr>
          <w:rFonts w:ascii="Calibri" w:hAnsi="Calibri"/>
          <w:bCs/>
          <w:color w:val="auto"/>
          <w:sz w:val="24"/>
        </w:rPr>
      </w:pPr>
      <w:r w:rsidRPr="00A964FF">
        <w:rPr>
          <w:rFonts w:ascii="Calibri" w:hAnsi="Calibri" w:hint="eastAsia"/>
          <w:bCs/>
          <w:color w:val="auto"/>
          <w:sz w:val="24"/>
        </w:rPr>
        <w:t>③</w:t>
      </w:r>
      <w:r w:rsidRPr="00A964FF">
        <w:rPr>
          <w:rFonts w:ascii="Calibri" w:hAnsi="Calibri"/>
          <w:bCs/>
          <w:color w:val="auto"/>
          <w:sz w:val="24"/>
        </w:rPr>
        <w:t xml:space="preserve"> </w:t>
      </w:r>
      <w:r w:rsidRPr="00A964FF">
        <w:rPr>
          <w:rFonts w:ascii="Calibri" w:hint="eastAsia"/>
          <w:bCs/>
          <w:color w:val="auto"/>
          <w:sz w:val="24"/>
        </w:rPr>
        <w:t>施工完成后及时进行路面硬化和绿化，搞好植被的恢复、再造，做到表土不裸露。</w:t>
      </w:r>
    </w:p>
    <w:p w14:paraId="0AFA664F" w14:textId="77777777" w:rsidR="00853399" w:rsidRPr="00A964FF" w:rsidRDefault="00853399" w:rsidP="00853399">
      <w:pPr>
        <w:spacing w:line="500" w:lineRule="exact"/>
        <w:ind w:firstLineChars="200" w:firstLine="480"/>
        <w:rPr>
          <w:rFonts w:ascii="Calibri" w:hAnsi="Calibri"/>
          <w:bCs/>
          <w:color w:val="auto"/>
          <w:sz w:val="24"/>
        </w:rPr>
      </w:pPr>
      <w:r w:rsidRPr="00A964FF">
        <w:rPr>
          <w:rFonts w:ascii="Calibri" w:hAnsi="Calibri" w:hint="eastAsia"/>
          <w:bCs/>
          <w:color w:val="auto"/>
          <w:sz w:val="24"/>
        </w:rPr>
        <w:t>④</w:t>
      </w:r>
      <w:r w:rsidRPr="00A964FF">
        <w:rPr>
          <w:rFonts w:ascii="Calibri" w:hAnsi="Calibri"/>
          <w:bCs/>
          <w:color w:val="auto"/>
          <w:sz w:val="24"/>
        </w:rPr>
        <w:t xml:space="preserve"> </w:t>
      </w:r>
      <w:r w:rsidRPr="00A964FF">
        <w:rPr>
          <w:rFonts w:ascii="Calibri" w:hint="eastAsia"/>
          <w:bCs/>
          <w:color w:val="auto"/>
          <w:sz w:val="24"/>
        </w:rPr>
        <w:t>控制施工作业时间，尽量避免在暴雨季节进行大规模的土石方开挖工作。</w:t>
      </w:r>
    </w:p>
    <w:p w14:paraId="433398B3" w14:textId="77777777" w:rsidR="00853399" w:rsidRPr="00A964FF" w:rsidRDefault="00853399" w:rsidP="00853399">
      <w:pPr>
        <w:spacing w:line="500" w:lineRule="exact"/>
        <w:ind w:firstLineChars="200" w:firstLine="480"/>
        <w:rPr>
          <w:rFonts w:ascii="Calibri" w:hAnsi="Calibri"/>
          <w:bCs/>
          <w:color w:val="auto"/>
          <w:sz w:val="24"/>
        </w:rPr>
      </w:pPr>
      <w:r w:rsidRPr="00A964FF">
        <w:rPr>
          <w:rFonts w:ascii="Calibri" w:hint="eastAsia"/>
          <w:bCs/>
          <w:color w:val="auto"/>
          <w:sz w:val="24"/>
        </w:rPr>
        <w:t>采取上述措施后可使水土流失降低到最小程度。</w:t>
      </w:r>
    </w:p>
    <w:p w14:paraId="2D75E71E" w14:textId="77777777" w:rsidR="0055605A" w:rsidRPr="00A964FF" w:rsidRDefault="0055605A" w:rsidP="0055605A">
      <w:pPr>
        <w:pStyle w:val="2"/>
        <w:spacing w:before="200" w:after="100"/>
        <w:rPr>
          <w:rFonts w:ascii="Calibri" w:hAnsi="Calibri"/>
          <w:bCs/>
          <w:color w:val="auto"/>
          <w:szCs w:val="28"/>
        </w:rPr>
      </w:pPr>
      <w:bookmarkStart w:id="63" w:name="_Toc112999916"/>
      <w:r w:rsidRPr="00A964FF">
        <w:rPr>
          <w:rFonts w:ascii="Calibri" w:hAnsi="Calibri" w:hint="eastAsia"/>
          <w:bCs/>
          <w:color w:val="auto"/>
          <w:szCs w:val="28"/>
        </w:rPr>
        <w:t>4</w:t>
      </w:r>
      <w:r w:rsidRPr="00A964FF">
        <w:rPr>
          <w:rFonts w:ascii="Calibri" w:hAnsi="Calibri"/>
          <w:bCs/>
          <w:color w:val="auto"/>
          <w:szCs w:val="28"/>
        </w:rPr>
        <w:t>.</w:t>
      </w:r>
      <w:r w:rsidRPr="00A964FF">
        <w:rPr>
          <w:rFonts w:ascii="Calibri" w:hAnsi="Calibri" w:hint="eastAsia"/>
          <w:bCs/>
          <w:color w:val="auto"/>
          <w:szCs w:val="28"/>
        </w:rPr>
        <w:t>2</w:t>
      </w:r>
      <w:r w:rsidRPr="00A964FF">
        <w:rPr>
          <w:rFonts w:ascii="Calibri" w:hAnsi="Calibri" w:hint="eastAsia"/>
          <w:bCs/>
          <w:color w:val="auto"/>
          <w:szCs w:val="28"/>
        </w:rPr>
        <w:t>营运期环境影响分析</w:t>
      </w:r>
      <w:bookmarkEnd w:id="63"/>
    </w:p>
    <w:p w14:paraId="1F302671" w14:textId="77777777" w:rsidR="0055605A" w:rsidRPr="00A964FF" w:rsidRDefault="0055605A" w:rsidP="0055605A">
      <w:pPr>
        <w:pStyle w:val="ad"/>
        <w:rPr>
          <w:rFonts w:ascii="Calibri" w:hAnsi="Calibri"/>
          <w:color w:val="auto"/>
        </w:rPr>
      </w:pPr>
      <w:r w:rsidRPr="00A964FF">
        <w:rPr>
          <w:rFonts w:ascii="Calibri" w:hAnsi="Calibri" w:hint="eastAsia"/>
          <w:color w:val="auto"/>
        </w:rPr>
        <w:t>4</w:t>
      </w:r>
      <w:r w:rsidRPr="00A964FF">
        <w:rPr>
          <w:rFonts w:ascii="Calibri" w:hAnsi="Calibri"/>
          <w:color w:val="auto"/>
        </w:rPr>
        <w:t>.</w:t>
      </w:r>
      <w:r w:rsidRPr="00A964FF">
        <w:rPr>
          <w:rFonts w:ascii="Calibri" w:hAnsi="Calibri" w:hint="eastAsia"/>
          <w:color w:val="auto"/>
        </w:rPr>
        <w:t>2</w:t>
      </w:r>
      <w:r w:rsidRPr="00A964FF">
        <w:rPr>
          <w:rFonts w:ascii="Calibri" w:hAnsi="Calibri"/>
          <w:color w:val="auto"/>
        </w:rPr>
        <w:t>.</w:t>
      </w:r>
      <w:r w:rsidRPr="00A964FF">
        <w:rPr>
          <w:rFonts w:ascii="Calibri" w:hAnsi="Calibri" w:hint="eastAsia"/>
          <w:color w:val="auto"/>
        </w:rPr>
        <w:t>1</w:t>
      </w:r>
      <w:r w:rsidRPr="00A964FF">
        <w:rPr>
          <w:rFonts w:ascii="Calibri" w:hAnsi="Calibri" w:hint="eastAsia"/>
          <w:color w:val="auto"/>
        </w:rPr>
        <w:t>大气环境影响预测与评价</w:t>
      </w:r>
    </w:p>
    <w:p w14:paraId="153F8DE7" w14:textId="77777777" w:rsidR="00A76071" w:rsidRPr="00A964FF" w:rsidRDefault="00C22B44" w:rsidP="00A76071">
      <w:pPr>
        <w:spacing w:line="520" w:lineRule="exact"/>
        <w:ind w:firstLineChars="200" w:firstLine="482"/>
        <w:jc w:val="left"/>
        <w:rPr>
          <w:rFonts w:ascii="Calibri" w:hAnsi="Calibri"/>
          <w:b/>
          <w:color w:val="auto"/>
          <w:sz w:val="24"/>
        </w:rPr>
      </w:pPr>
      <w:r w:rsidRPr="00A964FF">
        <w:rPr>
          <w:rFonts w:ascii="Calibri" w:hAnsi="Calibri" w:hint="eastAsia"/>
          <w:b/>
          <w:color w:val="auto"/>
          <w:sz w:val="24"/>
        </w:rPr>
        <w:t>一</w:t>
      </w:r>
      <w:r w:rsidR="00A76071" w:rsidRPr="00A964FF">
        <w:rPr>
          <w:rFonts w:ascii="Calibri" w:hAnsi="Calibri" w:hint="eastAsia"/>
          <w:b/>
          <w:color w:val="auto"/>
          <w:sz w:val="24"/>
        </w:rPr>
        <w:t>、气象资料统计</w:t>
      </w:r>
    </w:p>
    <w:p w14:paraId="42338A05" w14:textId="77777777" w:rsidR="0096136C" w:rsidRPr="00A964FF" w:rsidRDefault="0096136C" w:rsidP="0096136C">
      <w:pPr>
        <w:snapToGrid w:val="0"/>
        <w:spacing w:line="520" w:lineRule="exact"/>
        <w:ind w:firstLine="480"/>
        <w:rPr>
          <w:rFonts w:ascii="Calibri" w:hAnsi="Calibri"/>
          <w:color w:val="auto"/>
          <w:sz w:val="24"/>
        </w:rPr>
      </w:pPr>
      <w:r w:rsidRPr="00A964FF">
        <w:rPr>
          <w:rFonts w:ascii="Calibri" w:hAnsi="Calibri" w:hint="eastAsia"/>
          <w:color w:val="auto"/>
          <w:sz w:val="24"/>
        </w:rPr>
        <w:t>本项目位于平顶山尼龙新材料产业集聚区，在叶县境内，</w:t>
      </w:r>
      <w:r w:rsidRPr="00A964FF">
        <w:rPr>
          <w:rFonts w:ascii="Calibri" w:hAnsi="Calibri" w:hint="eastAsia"/>
          <w:bCs/>
          <w:color w:val="auto"/>
          <w:sz w:val="24"/>
        </w:rPr>
        <w:t>地面常规气象资料选用叶县气象观测站（</w:t>
      </w:r>
      <w:r w:rsidRPr="00A964FF">
        <w:rPr>
          <w:rFonts w:ascii="Calibri" w:hAnsi="Calibri" w:hint="eastAsia"/>
          <w:color w:val="auto"/>
          <w:sz w:val="24"/>
        </w:rPr>
        <w:t>一般气象站</w:t>
      </w:r>
      <w:r w:rsidRPr="00A964FF">
        <w:rPr>
          <w:rFonts w:ascii="Calibri" w:hAnsi="Calibri" w:hint="eastAsia"/>
          <w:bCs/>
          <w:color w:val="auto"/>
          <w:sz w:val="24"/>
        </w:rPr>
        <w:t>，编号：</w:t>
      </w:r>
      <w:r w:rsidRPr="00A964FF">
        <w:rPr>
          <w:rFonts w:ascii="Calibri" w:hAnsi="Calibri" w:hint="eastAsia"/>
          <w:bCs/>
          <w:color w:val="auto"/>
          <w:sz w:val="24"/>
        </w:rPr>
        <w:t>57184</w:t>
      </w:r>
      <w:r w:rsidRPr="00A964FF">
        <w:rPr>
          <w:rFonts w:ascii="Calibri" w:hAnsi="Calibri" w:hint="eastAsia"/>
          <w:bCs/>
          <w:color w:val="auto"/>
          <w:sz w:val="24"/>
        </w:rPr>
        <w:t>，站点位置：</w:t>
      </w:r>
      <w:r w:rsidRPr="00A964FF">
        <w:rPr>
          <w:rFonts w:ascii="Calibri" w:hAnsi="Calibri"/>
          <w:color w:val="auto"/>
          <w:sz w:val="24"/>
        </w:rPr>
        <w:t>E113.305628</w:t>
      </w:r>
      <w:r w:rsidRPr="00A964FF">
        <w:rPr>
          <w:rFonts w:ascii="Calibri" w:hAnsi="Calibri" w:hint="eastAsia"/>
          <w:color w:val="auto"/>
          <w:sz w:val="24"/>
        </w:rPr>
        <w:t>、</w:t>
      </w:r>
      <w:r w:rsidRPr="00A964FF">
        <w:rPr>
          <w:rFonts w:ascii="Calibri" w:hAnsi="Calibri"/>
          <w:color w:val="auto"/>
          <w:sz w:val="24"/>
        </w:rPr>
        <w:t>N33.626788</w:t>
      </w:r>
      <w:r w:rsidRPr="00A964FF">
        <w:rPr>
          <w:rFonts w:ascii="Calibri" w:hAnsi="Calibri" w:hint="eastAsia"/>
          <w:bCs/>
          <w:color w:val="auto"/>
          <w:sz w:val="24"/>
        </w:rPr>
        <w:t>，</w:t>
      </w:r>
      <w:r w:rsidRPr="00A964FF">
        <w:rPr>
          <w:rFonts w:ascii="Calibri" w:hAnsi="Calibri" w:hint="eastAsia"/>
          <w:bCs/>
          <w:color w:val="auto"/>
          <w:sz w:val="24"/>
        </w:rPr>
        <w:lastRenderedPageBreak/>
        <w:t>高度</w:t>
      </w:r>
      <w:r w:rsidR="007F2320" w:rsidRPr="00A964FF">
        <w:rPr>
          <w:rFonts w:ascii="Calibri" w:hAnsi="Calibri" w:hint="eastAsia"/>
          <w:bCs/>
          <w:color w:val="auto"/>
          <w:sz w:val="24"/>
        </w:rPr>
        <w:t>8</w:t>
      </w:r>
      <w:r w:rsidR="00A71D7A" w:rsidRPr="00A964FF">
        <w:rPr>
          <w:rFonts w:ascii="Calibri" w:hAnsi="Calibri" w:hint="eastAsia"/>
          <w:bCs/>
          <w:color w:val="auto"/>
          <w:sz w:val="24"/>
        </w:rPr>
        <w:t>7.00</w:t>
      </w:r>
      <w:r w:rsidRPr="00A964FF">
        <w:rPr>
          <w:rFonts w:ascii="Calibri" w:hAnsi="Calibri" w:hint="eastAsia"/>
          <w:bCs/>
          <w:color w:val="auto"/>
          <w:sz w:val="24"/>
        </w:rPr>
        <w:t>m</w:t>
      </w:r>
      <w:r w:rsidRPr="00A964FF">
        <w:rPr>
          <w:rFonts w:ascii="Calibri" w:hAnsi="Calibri" w:hint="eastAsia"/>
          <w:bCs/>
          <w:color w:val="auto"/>
          <w:sz w:val="24"/>
        </w:rPr>
        <w:t>）的观测结果</w:t>
      </w:r>
      <w:r w:rsidRPr="00A964FF">
        <w:rPr>
          <w:rFonts w:ascii="Calibri" w:hAnsi="Calibri" w:hint="eastAsia"/>
          <w:color w:val="auto"/>
          <w:sz w:val="24"/>
        </w:rPr>
        <w:t>。本次评价收集了叶县气象站近</w:t>
      </w:r>
      <w:r w:rsidRPr="00A964FF">
        <w:rPr>
          <w:rFonts w:ascii="Calibri" w:hAnsi="Calibri"/>
          <w:color w:val="auto"/>
          <w:sz w:val="24"/>
        </w:rPr>
        <w:t>20</w:t>
      </w:r>
      <w:r w:rsidRPr="00A964FF">
        <w:rPr>
          <w:rFonts w:ascii="Calibri" w:hAnsi="Calibri" w:hint="eastAsia"/>
          <w:color w:val="auto"/>
          <w:sz w:val="24"/>
        </w:rPr>
        <w:t>年的气象观测资料和</w:t>
      </w:r>
      <w:r w:rsidRPr="00A964FF">
        <w:rPr>
          <w:rFonts w:ascii="Calibri" w:hAnsi="Calibri" w:hint="eastAsia"/>
          <w:color w:val="auto"/>
          <w:sz w:val="24"/>
        </w:rPr>
        <w:t>20</w:t>
      </w:r>
      <w:r w:rsidR="00A71D7A" w:rsidRPr="00A964FF">
        <w:rPr>
          <w:rFonts w:ascii="Calibri" w:hAnsi="Calibri" w:hint="eastAsia"/>
          <w:color w:val="auto"/>
          <w:sz w:val="24"/>
        </w:rPr>
        <w:t>2</w:t>
      </w:r>
      <w:r w:rsidR="00DD5AA5">
        <w:rPr>
          <w:rFonts w:ascii="Calibri" w:hAnsi="Calibri"/>
          <w:color w:val="auto"/>
          <w:sz w:val="24"/>
        </w:rPr>
        <w:t>0</w:t>
      </w:r>
      <w:r w:rsidRPr="00A964FF">
        <w:rPr>
          <w:rFonts w:ascii="Calibri" w:hAnsi="Calibri" w:hint="eastAsia"/>
          <w:color w:val="auto"/>
          <w:sz w:val="24"/>
        </w:rPr>
        <w:t>年全年气象资料。</w:t>
      </w:r>
    </w:p>
    <w:p w14:paraId="4E42B702" w14:textId="77777777" w:rsidR="0096136C" w:rsidRPr="00A964FF" w:rsidRDefault="0096136C" w:rsidP="0096136C">
      <w:pPr>
        <w:spacing w:line="520" w:lineRule="exact"/>
        <w:ind w:firstLineChars="200" w:firstLine="482"/>
        <w:jc w:val="left"/>
        <w:rPr>
          <w:rFonts w:ascii="Calibri" w:hAnsi="Calibri"/>
          <w:b/>
          <w:color w:val="auto"/>
          <w:sz w:val="24"/>
        </w:rPr>
      </w:pPr>
      <w:r w:rsidRPr="00A964FF">
        <w:rPr>
          <w:rFonts w:ascii="Calibri" w:hAnsi="Calibri" w:hint="eastAsia"/>
          <w:b/>
          <w:color w:val="auto"/>
          <w:sz w:val="24"/>
        </w:rPr>
        <w:t>1</w:t>
      </w:r>
      <w:r w:rsidRPr="00A964FF">
        <w:rPr>
          <w:rFonts w:ascii="Calibri" w:hAnsi="Calibri" w:hint="eastAsia"/>
          <w:b/>
          <w:color w:val="auto"/>
          <w:sz w:val="24"/>
        </w:rPr>
        <w:t>、地面气候特征</w:t>
      </w:r>
    </w:p>
    <w:p w14:paraId="7073B5B8"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叶县属暖温带大陆性季风气候，四季分明，降雨量年际变率大，形成了以干旱为主的气候特点。夏季常处于太平洋副热带高压后部，多吹偏东北风，暖湿气流势力较强，容易产生阵性降水，为全年的主要降水季节；冬季常受西伯利亚冷空气团南下影响，多吹偏西风，气候寒冷，空气干燥，降水稀少。</w:t>
      </w:r>
    </w:p>
    <w:p w14:paraId="220F4690"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根据该地近</w:t>
      </w:r>
      <w:r w:rsidRPr="00A964FF">
        <w:rPr>
          <w:rFonts w:ascii="Calibri" w:hAnsi="Calibri" w:hint="eastAsia"/>
          <w:color w:val="auto"/>
          <w:sz w:val="24"/>
        </w:rPr>
        <w:t>20</w:t>
      </w:r>
      <w:r w:rsidRPr="00A964FF">
        <w:rPr>
          <w:rFonts w:ascii="Calibri" w:hAnsi="Calibri" w:hint="eastAsia"/>
          <w:color w:val="auto"/>
          <w:sz w:val="24"/>
        </w:rPr>
        <w:t>年气象资料统计结果表明，叶县的气象基本参数见表</w:t>
      </w:r>
      <w:r w:rsidRPr="00A964FF">
        <w:rPr>
          <w:rFonts w:ascii="Calibri" w:hAnsi="Calibri" w:hint="eastAsia"/>
          <w:color w:val="auto"/>
          <w:sz w:val="24"/>
        </w:rPr>
        <w:t>4.2-1</w:t>
      </w:r>
      <w:r w:rsidRPr="00A964FF">
        <w:rPr>
          <w:rFonts w:ascii="Calibri" w:hAnsi="Calibri" w:hint="eastAsia"/>
          <w:color w:val="auto"/>
          <w:sz w:val="24"/>
        </w:rPr>
        <w:t>。</w:t>
      </w:r>
    </w:p>
    <w:p w14:paraId="3F12B963" w14:textId="77777777" w:rsidR="0096136C" w:rsidRPr="00A964FF" w:rsidRDefault="0096136C" w:rsidP="00DD5AA5">
      <w:pPr>
        <w:pStyle w:val="00"/>
        <w:ind w:firstLineChars="400" w:firstLine="960"/>
        <w:rPr>
          <w:rFonts w:ascii="Calibri" w:eastAsia="黑体" w:hAnsi="Calibri"/>
          <w:color w:val="auto"/>
        </w:rPr>
      </w:pPr>
      <w:r w:rsidRPr="00A964FF">
        <w:rPr>
          <w:rFonts w:ascii="Calibri" w:eastAsia="黑体" w:hAnsi="Calibri"/>
          <w:color w:val="auto"/>
        </w:rPr>
        <w:t>表</w:t>
      </w:r>
      <w:r w:rsidRPr="00A964FF">
        <w:rPr>
          <w:rFonts w:ascii="Calibri" w:eastAsia="黑体" w:hAnsi="Calibri" w:hint="eastAsia"/>
          <w:color w:val="auto"/>
        </w:rPr>
        <w:t>4.2</w:t>
      </w:r>
      <w:r w:rsidRPr="00A964FF">
        <w:rPr>
          <w:rFonts w:ascii="Calibri" w:eastAsia="黑体" w:hAnsi="Calibri"/>
          <w:color w:val="auto"/>
        </w:rPr>
        <w:t>-</w:t>
      </w:r>
      <w:r w:rsidRPr="00A964FF">
        <w:rPr>
          <w:rFonts w:ascii="Calibri" w:eastAsia="黑体" w:hAnsi="Calibri" w:hint="eastAsia"/>
          <w:color w:val="auto"/>
        </w:rPr>
        <w:t>1</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叶县多年气象资料情况</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57" w:type="dxa"/>
        </w:tblCellMar>
        <w:tblLook w:val="0000" w:firstRow="0" w:lastRow="0" w:firstColumn="0" w:lastColumn="0" w:noHBand="0" w:noVBand="0"/>
      </w:tblPr>
      <w:tblGrid>
        <w:gridCol w:w="1895"/>
        <w:gridCol w:w="2681"/>
        <w:gridCol w:w="1770"/>
        <w:gridCol w:w="2354"/>
      </w:tblGrid>
      <w:tr w:rsidR="0096136C" w:rsidRPr="00A964FF" w14:paraId="6BA72485" w14:textId="77777777" w:rsidTr="00904978">
        <w:trPr>
          <w:cantSplit/>
          <w:trHeight w:val="340"/>
        </w:trPr>
        <w:tc>
          <w:tcPr>
            <w:tcW w:w="1089" w:type="pct"/>
            <w:tcMar>
              <w:top w:w="0" w:type="dxa"/>
            </w:tcMar>
            <w:vAlign w:val="center"/>
          </w:tcPr>
          <w:p w14:paraId="4C5ED1D9"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类别</w:t>
            </w:r>
          </w:p>
        </w:tc>
        <w:tc>
          <w:tcPr>
            <w:tcW w:w="1541" w:type="pct"/>
            <w:tcMar>
              <w:top w:w="0" w:type="dxa"/>
            </w:tcMar>
            <w:vAlign w:val="center"/>
          </w:tcPr>
          <w:p w14:paraId="6CA5453A"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参数</w:t>
            </w:r>
          </w:p>
        </w:tc>
        <w:tc>
          <w:tcPr>
            <w:tcW w:w="1017" w:type="pct"/>
            <w:tcMar>
              <w:top w:w="0" w:type="dxa"/>
            </w:tcMar>
            <w:vAlign w:val="center"/>
          </w:tcPr>
          <w:p w14:paraId="1B5DA248"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单位</w:t>
            </w:r>
          </w:p>
        </w:tc>
        <w:tc>
          <w:tcPr>
            <w:tcW w:w="1353" w:type="pct"/>
            <w:tcMar>
              <w:top w:w="0" w:type="dxa"/>
            </w:tcMar>
            <w:vAlign w:val="center"/>
          </w:tcPr>
          <w:p w14:paraId="72276052"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数值</w:t>
            </w:r>
          </w:p>
        </w:tc>
      </w:tr>
      <w:tr w:rsidR="0096136C" w:rsidRPr="00A964FF" w14:paraId="3DFD4800" w14:textId="77777777" w:rsidTr="00904978">
        <w:trPr>
          <w:cantSplit/>
          <w:trHeight w:val="340"/>
        </w:trPr>
        <w:tc>
          <w:tcPr>
            <w:tcW w:w="1089" w:type="pct"/>
            <w:vMerge w:val="restart"/>
            <w:tcMar>
              <w:top w:w="0" w:type="dxa"/>
            </w:tcMar>
            <w:vAlign w:val="center"/>
          </w:tcPr>
          <w:p w14:paraId="0630F08A"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气温</w:t>
            </w:r>
          </w:p>
        </w:tc>
        <w:tc>
          <w:tcPr>
            <w:tcW w:w="1541" w:type="pct"/>
            <w:tcMar>
              <w:top w:w="0" w:type="dxa"/>
            </w:tcMar>
            <w:vAlign w:val="center"/>
          </w:tcPr>
          <w:p w14:paraId="1E88991B"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年平均气温</w:t>
            </w:r>
          </w:p>
        </w:tc>
        <w:tc>
          <w:tcPr>
            <w:tcW w:w="1017" w:type="pct"/>
            <w:tcMar>
              <w:top w:w="0" w:type="dxa"/>
            </w:tcMar>
            <w:vAlign w:val="center"/>
          </w:tcPr>
          <w:p w14:paraId="79665268" w14:textId="77777777" w:rsidR="0096136C" w:rsidRPr="00A964FF" w:rsidRDefault="0096136C" w:rsidP="00904978">
            <w:pPr>
              <w:jc w:val="center"/>
              <w:rPr>
                <w:rFonts w:ascii="Calibri" w:hAnsi="Calibri"/>
                <w:color w:val="auto"/>
                <w:szCs w:val="21"/>
              </w:rPr>
            </w:pPr>
            <w:r w:rsidRPr="00A964FF">
              <w:rPr>
                <w:rFonts w:ascii="Calibri" w:hAnsi="Calibri" w:hint="eastAsia"/>
                <w:color w:val="auto"/>
                <w:szCs w:val="21"/>
              </w:rPr>
              <w:t>℃</w:t>
            </w:r>
          </w:p>
        </w:tc>
        <w:tc>
          <w:tcPr>
            <w:tcW w:w="1353" w:type="pct"/>
            <w:tcMar>
              <w:top w:w="0" w:type="dxa"/>
            </w:tcMar>
            <w:vAlign w:val="center"/>
          </w:tcPr>
          <w:p w14:paraId="6574696C"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14.</w:t>
            </w:r>
            <w:r w:rsidRPr="00A964FF">
              <w:rPr>
                <w:rFonts w:ascii="Calibri" w:hAnsi="Calibri" w:hint="eastAsia"/>
                <w:color w:val="auto"/>
                <w:szCs w:val="21"/>
              </w:rPr>
              <w:t>9</w:t>
            </w:r>
          </w:p>
        </w:tc>
      </w:tr>
      <w:tr w:rsidR="0096136C" w:rsidRPr="00A964FF" w14:paraId="2CB5FE39" w14:textId="77777777" w:rsidTr="00904978">
        <w:trPr>
          <w:cantSplit/>
          <w:trHeight w:val="340"/>
        </w:trPr>
        <w:tc>
          <w:tcPr>
            <w:tcW w:w="1089" w:type="pct"/>
            <w:vMerge/>
            <w:tcMar>
              <w:top w:w="0" w:type="dxa"/>
            </w:tcMar>
            <w:vAlign w:val="center"/>
          </w:tcPr>
          <w:p w14:paraId="38BFF3D4" w14:textId="77777777" w:rsidR="0096136C" w:rsidRPr="00A964FF" w:rsidRDefault="0096136C" w:rsidP="00904978">
            <w:pPr>
              <w:jc w:val="center"/>
              <w:rPr>
                <w:rFonts w:ascii="Calibri" w:hAnsi="Calibri"/>
                <w:color w:val="auto"/>
                <w:szCs w:val="21"/>
              </w:rPr>
            </w:pPr>
          </w:p>
        </w:tc>
        <w:tc>
          <w:tcPr>
            <w:tcW w:w="1541" w:type="pct"/>
            <w:tcMar>
              <w:top w:w="0" w:type="dxa"/>
            </w:tcMar>
            <w:vAlign w:val="center"/>
          </w:tcPr>
          <w:p w14:paraId="36F9DEF6"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极端最高气温</w:t>
            </w:r>
          </w:p>
        </w:tc>
        <w:tc>
          <w:tcPr>
            <w:tcW w:w="1017" w:type="pct"/>
            <w:tcMar>
              <w:top w:w="0" w:type="dxa"/>
            </w:tcMar>
            <w:vAlign w:val="center"/>
          </w:tcPr>
          <w:p w14:paraId="2AEB6021" w14:textId="77777777" w:rsidR="0096136C" w:rsidRPr="00A964FF" w:rsidRDefault="0096136C" w:rsidP="00904978">
            <w:pPr>
              <w:jc w:val="center"/>
              <w:rPr>
                <w:rFonts w:ascii="Calibri" w:hAnsi="Calibri"/>
                <w:color w:val="auto"/>
                <w:szCs w:val="21"/>
              </w:rPr>
            </w:pPr>
            <w:r w:rsidRPr="00A964FF">
              <w:rPr>
                <w:rFonts w:ascii="Calibri" w:hAnsi="Calibri" w:hint="eastAsia"/>
                <w:color w:val="auto"/>
                <w:szCs w:val="21"/>
              </w:rPr>
              <w:t>℃</w:t>
            </w:r>
          </w:p>
        </w:tc>
        <w:tc>
          <w:tcPr>
            <w:tcW w:w="1353" w:type="pct"/>
            <w:tcMar>
              <w:top w:w="0" w:type="dxa"/>
            </w:tcMar>
            <w:vAlign w:val="center"/>
          </w:tcPr>
          <w:p w14:paraId="22D3A6E2"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42.</w:t>
            </w:r>
            <w:r w:rsidRPr="00A964FF">
              <w:rPr>
                <w:rFonts w:ascii="Calibri" w:hAnsi="Calibri" w:hint="eastAsia"/>
                <w:color w:val="auto"/>
                <w:szCs w:val="21"/>
              </w:rPr>
              <w:t>6</w:t>
            </w:r>
          </w:p>
        </w:tc>
      </w:tr>
      <w:tr w:rsidR="0096136C" w:rsidRPr="00A964FF" w14:paraId="07E585C2" w14:textId="77777777" w:rsidTr="00904978">
        <w:trPr>
          <w:cantSplit/>
          <w:trHeight w:val="340"/>
        </w:trPr>
        <w:tc>
          <w:tcPr>
            <w:tcW w:w="1089" w:type="pct"/>
            <w:vMerge/>
            <w:tcMar>
              <w:top w:w="0" w:type="dxa"/>
            </w:tcMar>
            <w:vAlign w:val="center"/>
          </w:tcPr>
          <w:p w14:paraId="5CE6AD8B" w14:textId="77777777" w:rsidR="0096136C" w:rsidRPr="00A964FF" w:rsidRDefault="0096136C" w:rsidP="00904978">
            <w:pPr>
              <w:jc w:val="center"/>
              <w:rPr>
                <w:rFonts w:ascii="Calibri" w:hAnsi="Calibri"/>
                <w:color w:val="auto"/>
                <w:szCs w:val="21"/>
              </w:rPr>
            </w:pPr>
          </w:p>
        </w:tc>
        <w:tc>
          <w:tcPr>
            <w:tcW w:w="1541" w:type="pct"/>
            <w:tcMar>
              <w:top w:w="0" w:type="dxa"/>
            </w:tcMar>
            <w:vAlign w:val="center"/>
          </w:tcPr>
          <w:p w14:paraId="189C895C"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极端最低气温</w:t>
            </w:r>
          </w:p>
        </w:tc>
        <w:tc>
          <w:tcPr>
            <w:tcW w:w="1017" w:type="pct"/>
            <w:tcMar>
              <w:top w:w="0" w:type="dxa"/>
            </w:tcMar>
            <w:vAlign w:val="center"/>
          </w:tcPr>
          <w:p w14:paraId="484E5C6C" w14:textId="77777777" w:rsidR="0096136C" w:rsidRPr="00A964FF" w:rsidRDefault="0096136C" w:rsidP="00904978">
            <w:pPr>
              <w:jc w:val="center"/>
              <w:rPr>
                <w:rFonts w:ascii="Calibri" w:hAnsi="Calibri"/>
                <w:color w:val="auto"/>
                <w:szCs w:val="21"/>
              </w:rPr>
            </w:pPr>
            <w:r w:rsidRPr="00A964FF">
              <w:rPr>
                <w:rFonts w:ascii="Calibri" w:hAnsi="Calibri" w:hint="eastAsia"/>
                <w:color w:val="auto"/>
                <w:szCs w:val="21"/>
              </w:rPr>
              <w:t>℃</w:t>
            </w:r>
          </w:p>
        </w:tc>
        <w:tc>
          <w:tcPr>
            <w:tcW w:w="1353" w:type="pct"/>
            <w:tcMar>
              <w:top w:w="0" w:type="dxa"/>
            </w:tcMar>
            <w:vAlign w:val="center"/>
          </w:tcPr>
          <w:p w14:paraId="013C7873"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-1</w:t>
            </w:r>
            <w:r w:rsidRPr="00A964FF">
              <w:rPr>
                <w:rFonts w:ascii="Calibri" w:hAnsi="Calibri" w:hint="eastAsia"/>
                <w:color w:val="auto"/>
                <w:szCs w:val="21"/>
              </w:rPr>
              <w:t>8</w:t>
            </w:r>
            <w:r w:rsidRPr="00A964FF">
              <w:rPr>
                <w:rFonts w:ascii="Calibri" w:hAnsi="Calibri"/>
                <w:color w:val="auto"/>
                <w:szCs w:val="21"/>
              </w:rPr>
              <w:t>.8</w:t>
            </w:r>
          </w:p>
        </w:tc>
      </w:tr>
      <w:tr w:rsidR="0096136C" w:rsidRPr="00A964FF" w14:paraId="3DA0C52D" w14:textId="77777777" w:rsidTr="00904978">
        <w:trPr>
          <w:cantSplit/>
          <w:trHeight w:val="340"/>
        </w:trPr>
        <w:tc>
          <w:tcPr>
            <w:tcW w:w="1089" w:type="pct"/>
            <w:tcMar>
              <w:top w:w="0" w:type="dxa"/>
            </w:tcMar>
            <w:vAlign w:val="center"/>
          </w:tcPr>
          <w:p w14:paraId="0B491CE0"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气压</w:t>
            </w:r>
          </w:p>
        </w:tc>
        <w:tc>
          <w:tcPr>
            <w:tcW w:w="1541" w:type="pct"/>
            <w:tcMar>
              <w:top w:w="0" w:type="dxa"/>
            </w:tcMar>
            <w:vAlign w:val="center"/>
          </w:tcPr>
          <w:p w14:paraId="0EE5819A"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年平均气压</w:t>
            </w:r>
          </w:p>
        </w:tc>
        <w:tc>
          <w:tcPr>
            <w:tcW w:w="1017" w:type="pct"/>
            <w:tcMar>
              <w:top w:w="0" w:type="dxa"/>
            </w:tcMar>
            <w:vAlign w:val="center"/>
          </w:tcPr>
          <w:p w14:paraId="15A99FF7"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hPa</w:t>
            </w:r>
          </w:p>
        </w:tc>
        <w:tc>
          <w:tcPr>
            <w:tcW w:w="1353" w:type="pct"/>
            <w:tcMar>
              <w:top w:w="0" w:type="dxa"/>
            </w:tcMar>
            <w:vAlign w:val="center"/>
          </w:tcPr>
          <w:p w14:paraId="276A8C9A"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100</w:t>
            </w:r>
            <w:r w:rsidRPr="00A964FF">
              <w:rPr>
                <w:rFonts w:ascii="Calibri" w:hAnsi="Calibri" w:hint="eastAsia"/>
                <w:color w:val="auto"/>
                <w:szCs w:val="21"/>
              </w:rPr>
              <w:t>5.8</w:t>
            </w:r>
          </w:p>
        </w:tc>
      </w:tr>
      <w:tr w:rsidR="0096136C" w:rsidRPr="00A964FF" w14:paraId="0C197572" w14:textId="77777777" w:rsidTr="00904978">
        <w:trPr>
          <w:cantSplit/>
          <w:trHeight w:val="340"/>
        </w:trPr>
        <w:tc>
          <w:tcPr>
            <w:tcW w:w="1089" w:type="pct"/>
            <w:vMerge w:val="restart"/>
            <w:tcMar>
              <w:top w:w="0" w:type="dxa"/>
            </w:tcMar>
            <w:vAlign w:val="center"/>
          </w:tcPr>
          <w:p w14:paraId="5BB92DA5"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降水量</w:t>
            </w:r>
          </w:p>
        </w:tc>
        <w:tc>
          <w:tcPr>
            <w:tcW w:w="1541" w:type="pct"/>
            <w:tcMar>
              <w:top w:w="0" w:type="dxa"/>
            </w:tcMar>
            <w:vAlign w:val="center"/>
          </w:tcPr>
          <w:p w14:paraId="6A18F073"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年平均降水量</w:t>
            </w:r>
          </w:p>
        </w:tc>
        <w:tc>
          <w:tcPr>
            <w:tcW w:w="1017" w:type="pct"/>
            <w:tcMar>
              <w:top w:w="0" w:type="dxa"/>
            </w:tcMar>
            <w:vAlign w:val="center"/>
          </w:tcPr>
          <w:p w14:paraId="59CD5FFD"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mm</w:t>
            </w:r>
          </w:p>
        </w:tc>
        <w:tc>
          <w:tcPr>
            <w:tcW w:w="1353" w:type="pct"/>
            <w:tcMar>
              <w:top w:w="0" w:type="dxa"/>
            </w:tcMar>
            <w:vAlign w:val="center"/>
          </w:tcPr>
          <w:p w14:paraId="36E8628C"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800</w:t>
            </w:r>
          </w:p>
        </w:tc>
      </w:tr>
      <w:tr w:rsidR="0096136C" w:rsidRPr="00A964FF" w14:paraId="62D62A0A" w14:textId="77777777" w:rsidTr="00904978">
        <w:trPr>
          <w:cantSplit/>
          <w:trHeight w:val="340"/>
        </w:trPr>
        <w:tc>
          <w:tcPr>
            <w:tcW w:w="1089" w:type="pct"/>
            <w:vMerge/>
            <w:tcMar>
              <w:top w:w="0" w:type="dxa"/>
            </w:tcMar>
            <w:vAlign w:val="center"/>
          </w:tcPr>
          <w:p w14:paraId="47BB4F0F" w14:textId="77777777" w:rsidR="0096136C" w:rsidRPr="00A964FF" w:rsidRDefault="0096136C" w:rsidP="00904978">
            <w:pPr>
              <w:jc w:val="center"/>
              <w:rPr>
                <w:rFonts w:ascii="Calibri" w:hAnsi="Calibri"/>
                <w:color w:val="auto"/>
                <w:szCs w:val="21"/>
              </w:rPr>
            </w:pPr>
          </w:p>
        </w:tc>
        <w:tc>
          <w:tcPr>
            <w:tcW w:w="1541" w:type="pct"/>
            <w:tcMar>
              <w:top w:w="0" w:type="dxa"/>
            </w:tcMar>
            <w:vAlign w:val="center"/>
          </w:tcPr>
          <w:p w14:paraId="77D4D893"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年最大降水量</w:t>
            </w:r>
          </w:p>
        </w:tc>
        <w:tc>
          <w:tcPr>
            <w:tcW w:w="1017" w:type="pct"/>
            <w:tcMar>
              <w:top w:w="0" w:type="dxa"/>
            </w:tcMar>
            <w:vAlign w:val="center"/>
          </w:tcPr>
          <w:p w14:paraId="3B856F59"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mm</w:t>
            </w:r>
          </w:p>
        </w:tc>
        <w:tc>
          <w:tcPr>
            <w:tcW w:w="1353" w:type="pct"/>
            <w:tcMar>
              <w:top w:w="0" w:type="dxa"/>
            </w:tcMar>
            <w:vAlign w:val="center"/>
          </w:tcPr>
          <w:p w14:paraId="090D6B33"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1323.</w:t>
            </w:r>
            <w:r w:rsidRPr="00A964FF">
              <w:rPr>
                <w:rFonts w:ascii="Calibri" w:hAnsi="Calibri" w:hint="eastAsia"/>
                <w:color w:val="auto"/>
                <w:szCs w:val="21"/>
              </w:rPr>
              <w:t>3</w:t>
            </w:r>
          </w:p>
        </w:tc>
      </w:tr>
      <w:tr w:rsidR="0096136C" w:rsidRPr="00A964FF" w14:paraId="64A4661D" w14:textId="77777777" w:rsidTr="00904978">
        <w:trPr>
          <w:cantSplit/>
          <w:trHeight w:val="340"/>
        </w:trPr>
        <w:tc>
          <w:tcPr>
            <w:tcW w:w="1089" w:type="pct"/>
            <w:vMerge/>
            <w:tcMar>
              <w:top w:w="0" w:type="dxa"/>
            </w:tcMar>
            <w:vAlign w:val="center"/>
          </w:tcPr>
          <w:p w14:paraId="4D17A968" w14:textId="77777777" w:rsidR="0096136C" w:rsidRPr="00A964FF" w:rsidRDefault="0096136C" w:rsidP="00904978">
            <w:pPr>
              <w:jc w:val="center"/>
              <w:rPr>
                <w:rFonts w:ascii="Calibri" w:hAnsi="Calibri"/>
                <w:color w:val="auto"/>
                <w:szCs w:val="21"/>
              </w:rPr>
            </w:pPr>
          </w:p>
        </w:tc>
        <w:tc>
          <w:tcPr>
            <w:tcW w:w="1541" w:type="pct"/>
            <w:tcMar>
              <w:top w:w="0" w:type="dxa"/>
            </w:tcMar>
            <w:vAlign w:val="center"/>
          </w:tcPr>
          <w:p w14:paraId="1FCAEA94"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年最小降水量</w:t>
            </w:r>
          </w:p>
        </w:tc>
        <w:tc>
          <w:tcPr>
            <w:tcW w:w="1017" w:type="pct"/>
            <w:tcMar>
              <w:top w:w="0" w:type="dxa"/>
            </w:tcMar>
            <w:vAlign w:val="center"/>
          </w:tcPr>
          <w:p w14:paraId="4695E38A"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mm</w:t>
            </w:r>
          </w:p>
        </w:tc>
        <w:tc>
          <w:tcPr>
            <w:tcW w:w="1353" w:type="pct"/>
            <w:tcMar>
              <w:top w:w="0" w:type="dxa"/>
            </w:tcMar>
            <w:vAlign w:val="center"/>
          </w:tcPr>
          <w:p w14:paraId="7F4712AD"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373.9</w:t>
            </w:r>
          </w:p>
        </w:tc>
      </w:tr>
      <w:tr w:rsidR="0096136C" w:rsidRPr="00A964FF" w14:paraId="253B8CEF" w14:textId="77777777" w:rsidTr="00904978">
        <w:trPr>
          <w:cantSplit/>
          <w:trHeight w:val="340"/>
        </w:trPr>
        <w:tc>
          <w:tcPr>
            <w:tcW w:w="1089" w:type="pct"/>
            <w:tcMar>
              <w:top w:w="0" w:type="dxa"/>
            </w:tcMar>
            <w:vAlign w:val="center"/>
          </w:tcPr>
          <w:p w14:paraId="11EE5CB3"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蒸发量</w:t>
            </w:r>
          </w:p>
        </w:tc>
        <w:tc>
          <w:tcPr>
            <w:tcW w:w="1541" w:type="pct"/>
            <w:tcMar>
              <w:top w:w="0" w:type="dxa"/>
            </w:tcMar>
            <w:vAlign w:val="center"/>
          </w:tcPr>
          <w:p w14:paraId="006703AA"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年平均蒸发量</w:t>
            </w:r>
          </w:p>
        </w:tc>
        <w:tc>
          <w:tcPr>
            <w:tcW w:w="1017" w:type="pct"/>
            <w:tcMar>
              <w:top w:w="0" w:type="dxa"/>
            </w:tcMar>
            <w:vAlign w:val="center"/>
          </w:tcPr>
          <w:p w14:paraId="0B0452EC"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mm</w:t>
            </w:r>
          </w:p>
        </w:tc>
        <w:tc>
          <w:tcPr>
            <w:tcW w:w="1353" w:type="pct"/>
            <w:tcMar>
              <w:top w:w="0" w:type="dxa"/>
            </w:tcMar>
            <w:vAlign w:val="center"/>
          </w:tcPr>
          <w:p w14:paraId="3FEDEA1F"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2825</w:t>
            </w:r>
            <w:r w:rsidRPr="00A964FF">
              <w:rPr>
                <w:rFonts w:ascii="Calibri" w:hAnsi="Calibri" w:hint="eastAsia"/>
                <w:color w:val="auto"/>
                <w:szCs w:val="21"/>
              </w:rPr>
              <w:t>.0</w:t>
            </w:r>
          </w:p>
        </w:tc>
      </w:tr>
      <w:tr w:rsidR="0096136C" w:rsidRPr="00A964FF" w14:paraId="33C82E0F" w14:textId="77777777" w:rsidTr="00904978">
        <w:trPr>
          <w:cantSplit/>
          <w:trHeight w:val="340"/>
        </w:trPr>
        <w:tc>
          <w:tcPr>
            <w:tcW w:w="1089" w:type="pct"/>
            <w:tcMar>
              <w:top w:w="0" w:type="dxa"/>
            </w:tcMar>
            <w:vAlign w:val="center"/>
          </w:tcPr>
          <w:p w14:paraId="789A63AB"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湿度</w:t>
            </w:r>
          </w:p>
        </w:tc>
        <w:tc>
          <w:tcPr>
            <w:tcW w:w="1541" w:type="pct"/>
            <w:tcMar>
              <w:top w:w="0" w:type="dxa"/>
            </w:tcMar>
            <w:vAlign w:val="center"/>
          </w:tcPr>
          <w:p w14:paraId="55EE95D3"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年相对湿度</w:t>
            </w:r>
          </w:p>
        </w:tc>
        <w:tc>
          <w:tcPr>
            <w:tcW w:w="1017" w:type="pct"/>
            <w:tcMar>
              <w:top w:w="0" w:type="dxa"/>
            </w:tcMar>
            <w:vAlign w:val="center"/>
          </w:tcPr>
          <w:p w14:paraId="3CF69F7C"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w:t>
            </w:r>
          </w:p>
        </w:tc>
        <w:tc>
          <w:tcPr>
            <w:tcW w:w="1353" w:type="pct"/>
            <w:tcMar>
              <w:top w:w="0" w:type="dxa"/>
            </w:tcMar>
            <w:vAlign w:val="center"/>
          </w:tcPr>
          <w:p w14:paraId="5C513E19"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67</w:t>
            </w:r>
          </w:p>
        </w:tc>
      </w:tr>
      <w:tr w:rsidR="0096136C" w:rsidRPr="00A964FF" w14:paraId="55747055" w14:textId="77777777" w:rsidTr="00904978">
        <w:trPr>
          <w:cantSplit/>
          <w:trHeight w:val="340"/>
        </w:trPr>
        <w:tc>
          <w:tcPr>
            <w:tcW w:w="1089" w:type="pct"/>
            <w:tcMar>
              <w:top w:w="0" w:type="dxa"/>
            </w:tcMar>
            <w:vAlign w:val="center"/>
          </w:tcPr>
          <w:p w14:paraId="219BBB49"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日照</w:t>
            </w:r>
          </w:p>
        </w:tc>
        <w:tc>
          <w:tcPr>
            <w:tcW w:w="1541" w:type="pct"/>
            <w:tcMar>
              <w:top w:w="0" w:type="dxa"/>
            </w:tcMar>
            <w:vAlign w:val="center"/>
          </w:tcPr>
          <w:p w14:paraId="6E6C9E15"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年平均年日照时数</w:t>
            </w:r>
          </w:p>
        </w:tc>
        <w:tc>
          <w:tcPr>
            <w:tcW w:w="1017" w:type="pct"/>
            <w:tcMar>
              <w:top w:w="0" w:type="dxa"/>
            </w:tcMar>
            <w:vAlign w:val="center"/>
          </w:tcPr>
          <w:p w14:paraId="57F97F2B"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h</w:t>
            </w:r>
          </w:p>
        </w:tc>
        <w:tc>
          <w:tcPr>
            <w:tcW w:w="1353" w:type="pct"/>
            <w:tcMar>
              <w:top w:w="0" w:type="dxa"/>
            </w:tcMar>
            <w:vAlign w:val="center"/>
          </w:tcPr>
          <w:p w14:paraId="1990720F"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2145.9</w:t>
            </w:r>
          </w:p>
        </w:tc>
      </w:tr>
      <w:tr w:rsidR="0096136C" w:rsidRPr="00A964FF" w14:paraId="03DFB956" w14:textId="77777777" w:rsidTr="00904978">
        <w:trPr>
          <w:cantSplit/>
          <w:trHeight w:val="340"/>
        </w:trPr>
        <w:tc>
          <w:tcPr>
            <w:tcW w:w="1089" w:type="pct"/>
            <w:vMerge w:val="restart"/>
            <w:tcMar>
              <w:top w:w="0" w:type="dxa"/>
            </w:tcMar>
            <w:vAlign w:val="center"/>
          </w:tcPr>
          <w:p w14:paraId="6F064046"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风速</w:t>
            </w:r>
          </w:p>
        </w:tc>
        <w:tc>
          <w:tcPr>
            <w:tcW w:w="1541" w:type="pct"/>
            <w:tcMar>
              <w:top w:w="0" w:type="dxa"/>
            </w:tcMar>
            <w:vAlign w:val="center"/>
          </w:tcPr>
          <w:p w14:paraId="5DDC9DA3"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多年平均风速</w:t>
            </w:r>
          </w:p>
        </w:tc>
        <w:tc>
          <w:tcPr>
            <w:tcW w:w="1017" w:type="pct"/>
            <w:tcMar>
              <w:top w:w="0" w:type="dxa"/>
            </w:tcMar>
            <w:vAlign w:val="center"/>
          </w:tcPr>
          <w:p w14:paraId="739858BE"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m/s</w:t>
            </w:r>
          </w:p>
        </w:tc>
        <w:tc>
          <w:tcPr>
            <w:tcW w:w="1353" w:type="pct"/>
            <w:tcMar>
              <w:top w:w="0" w:type="dxa"/>
            </w:tcMar>
            <w:vAlign w:val="center"/>
          </w:tcPr>
          <w:p w14:paraId="36916BC2"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2.1</w:t>
            </w:r>
          </w:p>
        </w:tc>
      </w:tr>
      <w:tr w:rsidR="0096136C" w:rsidRPr="00A964FF" w14:paraId="2F09F173" w14:textId="77777777" w:rsidTr="00904978">
        <w:trPr>
          <w:cantSplit/>
          <w:trHeight w:val="340"/>
        </w:trPr>
        <w:tc>
          <w:tcPr>
            <w:tcW w:w="1089" w:type="pct"/>
            <w:vMerge/>
            <w:tcMar>
              <w:top w:w="0" w:type="dxa"/>
            </w:tcMar>
            <w:vAlign w:val="center"/>
          </w:tcPr>
          <w:p w14:paraId="38D5D323" w14:textId="77777777" w:rsidR="0096136C" w:rsidRPr="00A964FF" w:rsidRDefault="0096136C" w:rsidP="00904978">
            <w:pPr>
              <w:jc w:val="center"/>
              <w:rPr>
                <w:rFonts w:ascii="Calibri" w:hAnsi="Calibri"/>
                <w:color w:val="auto"/>
                <w:szCs w:val="21"/>
              </w:rPr>
            </w:pPr>
          </w:p>
        </w:tc>
        <w:tc>
          <w:tcPr>
            <w:tcW w:w="1541" w:type="pct"/>
            <w:tcMar>
              <w:top w:w="0" w:type="dxa"/>
            </w:tcMar>
            <w:vAlign w:val="center"/>
          </w:tcPr>
          <w:p w14:paraId="7E11B6B5"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年最大风速</w:t>
            </w:r>
          </w:p>
        </w:tc>
        <w:tc>
          <w:tcPr>
            <w:tcW w:w="1017" w:type="pct"/>
            <w:tcMar>
              <w:top w:w="0" w:type="dxa"/>
            </w:tcMar>
            <w:vAlign w:val="center"/>
          </w:tcPr>
          <w:p w14:paraId="089B4B86"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m/s</w:t>
            </w:r>
          </w:p>
        </w:tc>
        <w:tc>
          <w:tcPr>
            <w:tcW w:w="1353" w:type="pct"/>
            <w:tcMar>
              <w:top w:w="0" w:type="dxa"/>
            </w:tcMar>
            <w:vAlign w:val="center"/>
          </w:tcPr>
          <w:p w14:paraId="48ACFA44"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24.0</w:t>
            </w:r>
          </w:p>
        </w:tc>
      </w:tr>
      <w:tr w:rsidR="0096136C" w:rsidRPr="00A964FF" w14:paraId="40630075" w14:textId="77777777" w:rsidTr="00904978">
        <w:trPr>
          <w:cantSplit/>
          <w:trHeight w:val="340"/>
        </w:trPr>
        <w:tc>
          <w:tcPr>
            <w:tcW w:w="1089" w:type="pct"/>
            <w:tcMar>
              <w:top w:w="0" w:type="dxa"/>
            </w:tcMar>
            <w:vAlign w:val="center"/>
          </w:tcPr>
          <w:p w14:paraId="2B808E16"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风向</w:t>
            </w:r>
          </w:p>
        </w:tc>
        <w:tc>
          <w:tcPr>
            <w:tcW w:w="1541" w:type="pct"/>
            <w:tcMar>
              <w:top w:w="0" w:type="dxa"/>
            </w:tcMar>
            <w:vAlign w:val="center"/>
          </w:tcPr>
          <w:p w14:paraId="7DD7BC81"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年主导风向</w:t>
            </w:r>
          </w:p>
        </w:tc>
        <w:tc>
          <w:tcPr>
            <w:tcW w:w="1017" w:type="pct"/>
            <w:tcMar>
              <w:top w:w="0" w:type="dxa"/>
            </w:tcMar>
            <w:vAlign w:val="center"/>
          </w:tcPr>
          <w:p w14:paraId="58678AE3" w14:textId="77777777" w:rsidR="0096136C" w:rsidRPr="00A964FF" w:rsidRDefault="0096136C" w:rsidP="00904978">
            <w:pPr>
              <w:jc w:val="center"/>
              <w:rPr>
                <w:rFonts w:ascii="Calibri" w:hAnsi="Calibri"/>
                <w:color w:val="auto"/>
                <w:szCs w:val="21"/>
              </w:rPr>
            </w:pPr>
            <w:r w:rsidRPr="00A964FF">
              <w:rPr>
                <w:rFonts w:ascii="Calibri" w:hAnsi="Calibri" w:hint="eastAsia"/>
                <w:color w:val="auto"/>
                <w:szCs w:val="21"/>
              </w:rPr>
              <w:t>/</w:t>
            </w:r>
          </w:p>
        </w:tc>
        <w:tc>
          <w:tcPr>
            <w:tcW w:w="1353" w:type="pct"/>
            <w:tcMar>
              <w:top w:w="0" w:type="dxa"/>
            </w:tcMar>
            <w:vAlign w:val="center"/>
          </w:tcPr>
          <w:p w14:paraId="17480135"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NE</w:t>
            </w:r>
          </w:p>
        </w:tc>
      </w:tr>
      <w:tr w:rsidR="0096136C" w:rsidRPr="00A964FF" w14:paraId="079971B8" w14:textId="77777777" w:rsidTr="00904978">
        <w:trPr>
          <w:cantSplit/>
          <w:trHeight w:val="340"/>
        </w:trPr>
        <w:tc>
          <w:tcPr>
            <w:tcW w:w="1089" w:type="pct"/>
            <w:tcMar>
              <w:top w:w="0" w:type="dxa"/>
            </w:tcMar>
            <w:vAlign w:val="center"/>
          </w:tcPr>
          <w:p w14:paraId="311556CE"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无霜期</w:t>
            </w:r>
          </w:p>
        </w:tc>
        <w:tc>
          <w:tcPr>
            <w:tcW w:w="1541" w:type="pct"/>
            <w:tcMar>
              <w:top w:w="0" w:type="dxa"/>
            </w:tcMar>
            <w:vAlign w:val="center"/>
          </w:tcPr>
          <w:p w14:paraId="1AAFEF8F"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年平均无霜期</w:t>
            </w:r>
          </w:p>
        </w:tc>
        <w:tc>
          <w:tcPr>
            <w:tcW w:w="1017" w:type="pct"/>
            <w:tcMar>
              <w:top w:w="0" w:type="dxa"/>
            </w:tcMar>
            <w:vAlign w:val="center"/>
          </w:tcPr>
          <w:p w14:paraId="6A8608CE"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d</w:t>
            </w:r>
          </w:p>
        </w:tc>
        <w:tc>
          <w:tcPr>
            <w:tcW w:w="1353" w:type="pct"/>
            <w:tcMar>
              <w:top w:w="0" w:type="dxa"/>
            </w:tcMar>
            <w:vAlign w:val="center"/>
          </w:tcPr>
          <w:p w14:paraId="330CA818"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217</w:t>
            </w:r>
          </w:p>
        </w:tc>
      </w:tr>
      <w:tr w:rsidR="0096136C" w:rsidRPr="00A964FF" w14:paraId="5982986E" w14:textId="77777777" w:rsidTr="00904978">
        <w:trPr>
          <w:cantSplit/>
          <w:trHeight w:val="340"/>
        </w:trPr>
        <w:tc>
          <w:tcPr>
            <w:tcW w:w="1089" w:type="pct"/>
            <w:tcMar>
              <w:top w:w="0" w:type="dxa"/>
            </w:tcMar>
            <w:vAlign w:val="center"/>
          </w:tcPr>
          <w:p w14:paraId="24AC60E2"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冰冻期</w:t>
            </w:r>
          </w:p>
        </w:tc>
        <w:tc>
          <w:tcPr>
            <w:tcW w:w="1541" w:type="pct"/>
            <w:tcMar>
              <w:top w:w="0" w:type="dxa"/>
            </w:tcMar>
            <w:vAlign w:val="center"/>
          </w:tcPr>
          <w:p w14:paraId="040D8B0F"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年平均冰冻期</w:t>
            </w:r>
          </w:p>
        </w:tc>
        <w:tc>
          <w:tcPr>
            <w:tcW w:w="1017" w:type="pct"/>
            <w:tcMar>
              <w:top w:w="0" w:type="dxa"/>
            </w:tcMar>
            <w:vAlign w:val="center"/>
          </w:tcPr>
          <w:p w14:paraId="169C6078"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d</w:t>
            </w:r>
          </w:p>
        </w:tc>
        <w:tc>
          <w:tcPr>
            <w:tcW w:w="1353" w:type="pct"/>
            <w:tcMar>
              <w:top w:w="0" w:type="dxa"/>
            </w:tcMar>
            <w:vAlign w:val="center"/>
          </w:tcPr>
          <w:p w14:paraId="082DA0E8" w14:textId="77777777" w:rsidR="0096136C" w:rsidRPr="00A964FF" w:rsidRDefault="0096136C" w:rsidP="00904978">
            <w:pPr>
              <w:jc w:val="center"/>
              <w:rPr>
                <w:rFonts w:ascii="Calibri" w:hAnsi="Calibri"/>
                <w:color w:val="auto"/>
                <w:szCs w:val="21"/>
              </w:rPr>
            </w:pPr>
            <w:r w:rsidRPr="00A964FF">
              <w:rPr>
                <w:rFonts w:ascii="Calibri" w:hAnsi="Calibri"/>
                <w:color w:val="auto"/>
                <w:szCs w:val="21"/>
              </w:rPr>
              <w:t>70</w:t>
            </w:r>
          </w:p>
        </w:tc>
      </w:tr>
      <w:tr w:rsidR="0096136C" w:rsidRPr="00A964FF" w14:paraId="6B9FA735" w14:textId="77777777" w:rsidTr="00904978">
        <w:trPr>
          <w:cantSplit/>
          <w:trHeight w:val="340"/>
        </w:trPr>
        <w:tc>
          <w:tcPr>
            <w:tcW w:w="5000" w:type="pct"/>
            <w:gridSpan w:val="4"/>
            <w:tcMar>
              <w:top w:w="0" w:type="dxa"/>
            </w:tcMar>
            <w:vAlign w:val="center"/>
          </w:tcPr>
          <w:p w14:paraId="021E9DFD" w14:textId="77777777" w:rsidR="0096136C" w:rsidRPr="00A964FF" w:rsidRDefault="0096136C" w:rsidP="00904978">
            <w:pPr>
              <w:jc w:val="center"/>
              <w:rPr>
                <w:rFonts w:ascii="Calibri" w:hAnsi="Calibri"/>
                <w:color w:val="auto"/>
                <w:szCs w:val="21"/>
              </w:rPr>
            </w:pPr>
            <w:r w:rsidRPr="00A964FF">
              <w:rPr>
                <w:rFonts w:ascii="Calibri" w:hint="eastAsia"/>
                <w:color w:val="auto"/>
                <w:szCs w:val="21"/>
              </w:rPr>
              <w:t>备注：无大气稳定度观测资料。</w:t>
            </w:r>
          </w:p>
        </w:tc>
      </w:tr>
    </w:tbl>
    <w:p w14:paraId="66DE9437" w14:textId="77777777" w:rsidR="0096136C" w:rsidRPr="00A964FF" w:rsidRDefault="0096136C" w:rsidP="0096136C">
      <w:pPr>
        <w:pStyle w:val="00"/>
        <w:rPr>
          <w:rFonts w:ascii="Calibri" w:hAnsi="Calibri"/>
          <w:color w:val="auto"/>
        </w:rPr>
      </w:pPr>
      <w:r w:rsidRPr="00A964FF">
        <w:rPr>
          <w:rFonts w:ascii="Calibri" w:hAnsi="Calibri" w:hint="eastAsia"/>
          <w:color w:val="auto"/>
        </w:rPr>
        <w:t>叶县多年风玫瑰图见图</w:t>
      </w:r>
      <w:r w:rsidRPr="00A964FF">
        <w:rPr>
          <w:rFonts w:ascii="Calibri" w:hAnsi="Calibri" w:hint="eastAsia"/>
          <w:color w:val="auto"/>
        </w:rPr>
        <w:t>4.2-1</w:t>
      </w:r>
      <w:r w:rsidRPr="00A964FF">
        <w:rPr>
          <w:rFonts w:ascii="Calibri" w:hAnsi="Calibri" w:hint="eastAsia"/>
          <w:color w:val="auto"/>
        </w:rPr>
        <w:t>。</w:t>
      </w:r>
    </w:p>
    <w:p w14:paraId="03E8EB69" w14:textId="77777777" w:rsidR="0096136C" w:rsidRPr="00A964FF" w:rsidRDefault="0096136C" w:rsidP="0096136C">
      <w:pPr>
        <w:pStyle w:val="00"/>
        <w:rPr>
          <w:rFonts w:ascii="Calibri" w:hAnsi="Calibri"/>
          <w:color w:val="auto"/>
        </w:rPr>
      </w:pPr>
    </w:p>
    <w:p w14:paraId="199BBE10" w14:textId="77777777" w:rsidR="0096136C" w:rsidRPr="00A964FF" w:rsidRDefault="0096136C" w:rsidP="0096136C">
      <w:pPr>
        <w:pStyle w:val="00"/>
        <w:rPr>
          <w:rFonts w:ascii="Calibri" w:hAnsi="Calibri"/>
          <w:color w:val="auto"/>
        </w:rPr>
      </w:pPr>
    </w:p>
    <w:p w14:paraId="06D73805" w14:textId="77777777" w:rsidR="0096136C" w:rsidRPr="00A964FF" w:rsidRDefault="0096136C" w:rsidP="0096136C">
      <w:pPr>
        <w:pStyle w:val="00"/>
        <w:rPr>
          <w:rFonts w:ascii="Calibri" w:hAnsi="Calibri"/>
          <w:color w:val="auto"/>
        </w:rPr>
      </w:pPr>
    </w:p>
    <w:p w14:paraId="098CC0E1" w14:textId="77777777" w:rsidR="0096136C" w:rsidRPr="00A964FF" w:rsidRDefault="008B14EC" w:rsidP="0096136C">
      <w:pPr>
        <w:spacing w:line="520" w:lineRule="exact"/>
        <w:ind w:firstLineChars="200" w:firstLine="420"/>
        <w:jc w:val="left"/>
        <w:rPr>
          <w:rFonts w:ascii="Calibri" w:eastAsia="黑体" w:hAnsi="Calibri"/>
          <w:color w:val="auto"/>
          <w:sz w:val="24"/>
        </w:rPr>
      </w:pPr>
      <w:r w:rsidRPr="00A964FF">
        <w:rPr>
          <w:rFonts w:ascii="Calibri" w:eastAsia="黑体" w:hAnsi="Calibri"/>
          <w:noProof/>
          <w:color w:val="auto"/>
        </w:rPr>
        <w:lastRenderedPageBreak/>
        <w:drawing>
          <wp:anchor distT="0" distB="0" distL="114300" distR="114300" simplePos="0" relativeHeight="251532800" behindDoc="0" locked="0" layoutInCell="1" allowOverlap="1" wp14:anchorId="6DF2176C" wp14:editId="7B796C63">
            <wp:simplePos x="0" y="0"/>
            <wp:positionH relativeFrom="column">
              <wp:posOffset>1397635</wp:posOffset>
            </wp:positionH>
            <wp:positionV relativeFrom="paragraph">
              <wp:posOffset>104140</wp:posOffset>
            </wp:positionV>
            <wp:extent cx="2421890" cy="2042160"/>
            <wp:effectExtent l="19050" t="0" r="0" b="0"/>
            <wp:wrapTopAndBottom/>
            <wp:docPr id="26351" name="图片 1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27"/>
                    <pic:cNvPicPr>
                      <a:picLocks noChangeAspect="1" noChangeArrowheads="1"/>
                    </pic:cNvPicPr>
                  </pic:nvPicPr>
                  <pic:blipFill>
                    <a:blip r:embed="rId67"/>
                    <a:srcRect/>
                    <a:stretch>
                      <a:fillRect/>
                    </a:stretch>
                  </pic:blipFill>
                  <pic:spPr bwMode="auto">
                    <a:xfrm>
                      <a:off x="0" y="0"/>
                      <a:ext cx="2421890" cy="2042160"/>
                    </a:xfrm>
                    <a:prstGeom prst="rect">
                      <a:avLst/>
                    </a:prstGeom>
                    <a:noFill/>
                    <a:ln w="9525">
                      <a:noFill/>
                      <a:miter lim="800000"/>
                      <a:headEnd/>
                      <a:tailEnd/>
                    </a:ln>
                  </pic:spPr>
                </pic:pic>
              </a:graphicData>
            </a:graphic>
          </wp:anchor>
        </w:drawing>
      </w:r>
      <w:r w:rsidR="0096136C" w:rsidRPr="00A964FF">
        <w:rPr>
          <w:rFonts w:ascii="Calibri" w:eastAsia="黑体" w:hAnsi="黑体"/>
          <w:color w:val="auto"/>
          <w:sz w:val="24"/>
        </w:rPr>
        <w:t>图</w:t>
      </w:r>
      <w:r w:rsidR="0096136C" w:rsidRPr="00A964FF">
        <w:rPr>
          <w:rFonts w:ascii="Calibri" w:eastAsia="黑体" w:hAnsi="Calibri"/>
          <w:color w:val="auto"/>
          <w:sz w:val="24"/>
        </w:rPr>
        <w:t>4</w:t>
      </w:r>
      <w:r w:rsidR="0096136C" w:rsidRPr="00A964FF">
        <w:rPr>
          <w:rFonts w:ascii="Calibri" w:eastAsia="黑体" w:hAnsi="Calibri" w:hint="eastAsia"/>
          <w:color w:val="auto"/>
          <w:sz w:val="24"/>
        </w:rPr>
        <w:t>.2</w:t>
      </w:r>
      <w:r w:rsidR="0096136C" w:rsidRPr="00A964FF">
        <w:rPr>
          <w:rFonts w:ascii="Calibri" w:eastAsia="黑体" w:hAnsi="Calibri"/>
          <w:color w:val="auto"/>
          <w:sz w:val="24"/>
        </w:rPr>
        <w:t xml:space="preserve">-1               </w:t>
      </w:r>
      <w:r w:rsidR="0096136C" w:rsidRPr="00A964FF">
        <w:rPr>
          <w:rFonts w:ascii="Calibri" w:eastAsia="黑体" w:hAnsi="Calibri" w:hint="eastAsia"/>
          <w:color w:val="auto"/>
          <w:sz w:val="24"/>
        </w:rPr>
        <w:t xml:space="preserve"> </w:t>
      </w:r>
      <w:r w:rsidR="0096136C" w:rsidRPr="00A964FF">
        <w:rPr>
          <w:rFonts w:ascii="Calibri" w:eastAsia="黑体" w:hAnsi="Calibri"/>
          <w:color w:val="auto"/>
          <w:sz w:val="24"/>
        </w:rPr>
        <w:t xml:space="preserve">   </w:t>
      </w:r>
      <w:r w:rsidR="0096136C" w:rsidRPr="00A964FF">
        <w:rPr>
          <w:rFonts w:ascii="Calibri" w:eastAsia="黑体" w:hAnsi="黑体"/>
          <w:color w:val="auto"/>
          <w:sz w:val="24"/>
        </w:rPr>
        <w:t>叶县多年风玫瑰图</w:t>
      </w:r>
    </w:p>
    <w:p w14:paraId="77D03FE4" w14:textId="77777777" w:rsidR="0096136C" w:rsidRPr="00A964FF" w:rsidRDefault="0096136C" w:rsidP="0096136C">
      <w:pPr>
        <w:spacing w:line="520" w:lineRule="exact"/>
        <w:ind w:firstLineChars="200" w:firstLine="482"/>
        <w:jc w:val="left"/>
        <w:rPr>
          <w:rFonts w:ascii="Calibri" w:hAnsi="Calibri"/>
          <w:b/>
          <w:color w:val="auto"/>
          <w:sz w:val="24"/>
        </w:rPr>
      </w:pPr>
      <w:r w:rsidRPr="00A964FF">
        <w:rPr>
          <w:rFonts w:ascii="Calibri" w:hAnsi="Calibri" w:hint="eastAsia"/>
          <w:b/>
          <w:color w:val="auto"/>
          <w:sz w:val="24"/>
        </w:rPr>
        <w:t>2</w:t>
      </w:r>
      <w:r w:rsidRPr="00A964FF">
        <w:rPr>
          <w:rFonts w:ascii="Calibri" w:hAnsi="Calibri" w:hint="eastAsia"/>
          <w:b/>
          <w:color w:val="auto"/>
          <w:sz w:val="24"/>
        </w:rPr>
        <w:t>、基准年地面气象要素</w:t>
      </w:r>
    </w:p>
    <w:p w14:paraId="0B300AF6" w14:textId="77777777" w:rsidR="0096136C" w:rsidRPr="00A964FF" w:rsidRDefault="0096136C" w:rsidP="0096136C">
      <w:pPr>
        <w:spacing w:line="520" w:lineRule="exact"/>
        <w:ind w:firstLine="480"/>
        <w:rPr>
          <w:rFonts w:ascii="Calibri" w:hAnsi="Calibri"/>
          <w:bCs/>
          <w:color w:val="auto"/>
          <w:sz w:val="24"/>
        </w:rPr>
      </w:pPr>
      <w:r w:rsidRPr="00A964FF">
        <w:rPr>
          <w:rFonts w:ascii="Calibri" w:hAnsi="Calibri" w:hint="eastAsia"/>
          <w:bCs/>
          <w:color w:val="auto"/>
          <w:sz w:val="24"/>
        </w:rPr>
        <w:t>本次地面气象资料采用叶县气象站</w:t>
      </w:r>
      <w:r w:rsidRPr="00A964FF">
        <w:rPr>
          <w:rFonts w:ascii="Calibri" w:hAnsi="Calibri"/>
          <w:bCs/>
          <w:color w:val="auto"/>
          <w:sz w:val="24"/>
        </w:rPr>
        <w:t>20</w:t>
      </w:r>
      <w:r w:rsidR="00A922C9" w:rsidRPr="00A964FF">
        <w:rPr>
          <w:rFonts w:ascii="Calibri" w:hAnsi="Calibri" w:hint="eastAsia"/>
          <w:bCs/>
          <w:color w:val="auto"/>
          <w:sz w:val="24"/>
        </w:rPr>
        <w:t>20</w:t>
      </w:r>
      <w:r w:rsidRPr="00A964FF">
        <w:rPr>
          <w:rFonts w:ascii="Calibri" w:hAnsi="Calibri" w:hint="eastAsia"/>
          <w:bCs/>
          <w:color w:val="auto"/>
          <w:sz w:val="24"/>
        </w:rPr>
        <w:t>年</w:t>
      </w:r>
      <w:r w:rsidRPr="00A964FF">
        <w:rPr>
          <w:rFonts w:ascii="Calibri" w:hAnsi="Calibri"/>
          <w:bCs/>
          <w:color w:val="auto"/>
          <w:sz w:val="24"/>
        </w:rPr>
        <w:t>1</w:t>
      </w:r>
      <w:r w:rsidRPr="00A964FF">
        <w:rPr>
          <w:rFonts w:ascii="Calibri" w:hAnsi="Calibri" w:hint="eastAsia"/>
          <w:bCs/>
          <w:color w:val="auto"/>
          <w:sz w:val="24"/>
        </w:rPr>
        <w:t>月</w:t>
      </w:r>
      <w:r w:rsidRPr="00A964FF">
        <w:rPr>
          <w:rFonts w:ascii="Calibri" w:hAnsi="Calibri"/>
          <w:bCs/>
          <w:color w:val="auto"/>
          <w:sz w:val="24"/>
        </w:rPr>
        <w:t>1</w:t>
      </w:r>
      <w:r w:rsidRPr="00A964FF">
        <w:rPr>
          <w:rFonts w:ascii="Calibri" w:hAnsi="Calibri" w:hint="eastAsia"/>
          <w:bCs/>
          <w:color w:val="auto"/>
          <w:sz w:val="24"/>
        </w:rPr>
        <w:t>日至</w:t>
      </w:r>
      <w:r w:rsidRPr="00A964FF">
        <w:rPr>
          <w:rFonts w:ascii="Calibri" w:hAnsi="Calibri"/>
          <w:bCs/>
          <w:color w:val="auto"/>
          <w:sz w:val="24"/>
        </w:rPr>
        <w:t>20</w:t>
      </w:r>
      <w:r w:rsidR="00A922C9" w:rsidRPr="00A964FF">
        <w:rPr>
          <w:rFonts w:ascii="Calibri" w:hAnsi="Calibri" w:hint="eastAsia"/>
          <w:bCs/>
          <w:color w:val="auto"/>
          <w:sz w:val="24"/>
        </w:rPr>
        <w:t>20</w:t>
      </w:r>
      <w:r w:rsidRPr="00A964FF">
        <w:rPr>
          <w:rFonts w:ascii="Calibri" w:hAnsi="Calibri" w:hint="eastAsia"/>
          <w:bCs/>
          <w:color w:val="auto"/>
          <w:sz w:val="24"/>
        </w:rPr>
        <w:t>年</w:t>
      </w:r>
      <w:r w:rsidRPr="00A964FF">
        <w:rPr>
          <w:rFonts w:ascii="Calibri" w:hAnsi="Calibri"/>
          <w:bCs/>
          <w:color w:val="auto"/>
          <w:sz w:val="24"/>
        </w:rPr>
        <w:t>12</w:t>
      </w:r>
      <w:r w:rsidRPr="00A964FF">
        <w:rPr>
          <w:rFonts w:ascii="Calibri" w:hAnsi="Calibri" w:hint="eastAsia"/>
          <w:bCs/>
          <w:color w:val="auto"/>
          <w:sz w:val="24"/>
        </w:rPr>
        <w:t>月</w:t>
      </w:r>
      <w:r w:rsidRPr="00A964FF">
        <w:rPr>
          <w:rFonts w:ascii="Calibri" w:hAnsi="Calibri"/>
          <w:bCs/>
          <w:color w:val="auto"/>
          <w:sz w:val="24"/>
        </w:rPr>
        <w:t>31</w:t>
      </w:r>
      <w:r w:rsidRPr="00A964FF">
        <w:rPr>
          <w:rFonts w:ascii="Calibri" w:hAnsi="Calibri" w:hint="eastAsia"/>
          <w:bCs/>
          <w:color w:val="auto"/>
          <w:sz w:val="24"/>
        </w:rPr>
        <w:t>日的逐时常规气象观测资料，包括风向、风速、总云</w:t>
      </w:r>
      <w:r w:rsidR="00A922C9" w:rsidRPr="00A964FF">
        <w:rPr>
          <w:rFonts w:ascii="Calibri" w:hAnsi="Calibri" w:hint="eastAsia"/>
          <w:bCs/>
          <w:color w:val="auto"/>
          <w:sz w:val="24"/>
        </w:rPr>
        <w:t>量</w:t>
      </w:r>
      <w:r w:rsidRPr="00A964FF">
        <w:rPr>
          <w:rFonts w:ascii="Calibri" w:hAnsi="Calibri" w:hint="eastAsia"/>
          <w:bCs/>
          <w:color w:val="auto"/>
          <w:sz w:val="24"/>
        </w:rPr>
        <w:t>、低云</w:t>
      </w:r>
      <w:r w:rsidR="00A922C9" w:rsidRPr="00A964FF">
        <w:rPr>
          <w:rFonts w:ascii="Calibri" w:hAnsi="Calibri" w:hint="eastAsia"/>
          <w:bCs/>
          <w:color w:val="auto"/>
          <w:sz w:val="24"/>
        </w:rPr>
        <w:t>量</w:t>
      </w:r>
      <w:r w:rsidRPr="00A964FF">
        <w:rPr>
          <w:rFonts w:ascii="Calibri" w:hAnsi="Calibri" w:hint="eastAsia"/>
          <w:bCs/>
          <w:color w:val="auto"/>
          <w:sz w:val="24"/>
        </w:rPr>
        <w:t>、干球温度</w:t>
      </w:r>
      <w:r w:rsidRPr="00A964FF">
        <w:rPr>
          <w:rFonts w:ascii="Calibri" w:hAnsi="Calibri"/>
          <w:bCs/>
          <w:color w:val="auto"/>
          <w:sz w:val="24"/>
        </w:rPr>
        <w:t>5</w:t>
      </w:r>
      <w:r w:rsidRPr="00A964FF">
        <w:rPr>
          <w:rFonts w:ascii="Calibri" w:hAnsi="Calibri" w:hint="eastAsia"/>
          <w:bCs/>
          <w:color w:val="auto"/>
          <w:sz w:val="24"/>
        </w:rPr>
        <w:t>项，观测时间为</w:t>
      </w:r>
      <w:r w:rsidRPr="00A964FF">
        <w:rPr>
          <w:rFonts w:ascii="Calibri" w:hAnsi="Calibri"/>
          <w:bCs/>
          <w:color w:val="auto"/>
          <w:sz w:val="24"/>
        </w:rPr>
        <w:t>24</w:t>
      </w:r>
      <w:r w:rsidRPr="00A964FF">
        <w:rPr>
          <w:rFonts w:ascii="Calibri" w:hAnsi="Calibri" w:hint="eastAsia"/>
          <w:bCs/>
          <w:color w:val="auto"/>
          <w:sz w:val="24"/>
        </w:rPr>
        <w:t>小时。具体气象资料统计如下：</w:t>
      </w:r>
    </w:p>
    <w:p w14:paraId="4D214008"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1</w:t>
      </w:r>
      <w:r w:rsidRPr="00A964FF">
        <w:rPr>
          <w:rFonts w:ascii="Calibri" w:hAnsi="Calibri" w:hint="eastAsia"/>
          <w:color w:val="auto"/>
          <w:sz w:val="24"/>
        </w:rPr>
        <w:t>）温度</w:t>
      </w:r>
    </w:p>
    <w:p w14:paraId="0FA24362"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20</w:t>
      </w:r>
      <w:r w:rsidR="00A922C9" w:rsidRPr="00A964FF">
        <w:rPr>
          <w:rFonts w:ascii="Calibri" w:hAnsi="Calibri" w:hint="eastAsia"/>
          <w:color w:val="auto"/>
          <w:sz w:val="24"/>
        </w:rPr>
        <w:t>20</w:t>
      </w:r>
      <w:r w:rsidRPr="00A964FF">
        <w:rPr>
          <w:rFonts w:ascii="Calibri" w:hAnsi="Calibri" w:hint="eastAsia"/>
          <w:color w:val="auto"/>
          <w:sz w:val="24"/>
        </w:rPr>
        <w:t>年叶县平均气温</w:t>
      </w:r>
      <w:r w:rsidRPr="00A964FF">
        <w:rPr>
          <w:rFonts w:ascii="Calibri" w:hAnsi="Calibri" w:hint="eastAsia"/>
          <w:color w:val="auto"/>
          <w:sz w:val="24"/>
        </w:rPr>
        <w:t>15</w:t>
      </w:r>
      <w:r w:rsidR="00A922C9" w:rsidRPr="00A964FF">
        <w:rPr>
          <w:rFonts w:ascii="Calibri" w:hAnsi="Calibri" w:hint="eastAsia"/>
          <w:color w:val="auto"/>
          <w:sz w:val="24"/>
        </w:rPr>
        <w:t>.49</w:t>
      </w:r>
      <w:r w:rsidRPr="00A964FF">
        <w:rPr>
          <w:rFonts w:ascii="Calibri" w:hAnsi="Calibri" w:hint="eastAsia"/>
          <w:color w:val="auto"/>
          <w:sz w:val="24"/>
        </w:rPr>
        <w:t>℃，其中</w:t>
      </w:r>
      <w:r w:rsidR="00A922C9" w:rsidRPr="00A964FF">
        <w:rPr>
          <w:rFonts w:ascii="Calibri" w:hAnsi="Calibri" w:hint="eastAsia"/>
          <w:color w:val="auto"/>
          <w:sz w:val="24"/>
        </w:rPr>
        <w:t>1</w:t>
      </w:r>
      <w:r w:rsidR="00A922C9" w:rsidRPr="00A964FF">
        <w:rPr>
          <w:rFonts w:ascii="Calibri" w:hAnsi="Calibri" w:hint="eastAsia"/>
          <w:color w:val="auto"/>
          <w:sz w:val="24"/>
        </w:rPr>
        <w:t>月至</w:t>
      </w:r>
      <w:r w:rsidR="00A922C9" w:rsidRPr="00A964FF">
        <w:rPr>
          <w:rFonts w:ascii="Calibri" w:hAnsi="Calibri" w:hint="eastAsia"/>
          <w:color w:val="auto"/>
          <w:sz w:val="24"/>
        </w:rPr>
        <w:t>4</w:t>
      </w:r>
      <w:r w:rsidR="00A922C9" w:rsidRPr="00A964FF">
        <w:rPr>
          <w:rFonts w:ascii="Calibri" w:hAnsi="Calibri" w:hint="eastAsia"/>
          <w:color w:val="auto"/>
          <w:sz w:val="24"/>
        </w:rPr>
        <w:t>月、</w:t>
      </w:r>
      <w:r w:rsidR="00A922C9" w:rsidRPr="00A964FF">
        <w:rPr>
          <w:rFonts w:ascii="Calibri" w:hAnsi="Calibri" w:hint="eastAsia"/>
          <w:color w:val="auto"/>
          <w:sz w:val="24"/>
        </w:rPr>
        <w:t>10</w:t>
      </w:r>
      <w:r w:rsidR="00A922C9" w:rsidRPr="00A964FF">
        <w:rPr>
          <w:rFonts w:ascii="Calibri" w:hAnsi="Calibri" w:hint="eastAsia"/>
          <w:color w:val="auto"/>
          <w:sz w:val="24"/>
        </w:rPr>
        <w:t>月至</w:t>
      </w:r>
      <w:r w:rsidR="00A922C9" w:rsidRPr="00A964FF">
        <w:rPr>
          <w:rFonts w:ascii="Calibri" w:hAnsi="Calibri" w:hint="eastAsia"/>
          <w:color w:val="auto"/>
          <w:sz w:val="24"/>
        </w:rPr>
        <w:t>12</w:t>
      </w:r>
      <w:r w:rsidR="00A922C9" w:rsidRPr="00A964FF">
        <w:rPr>
          <w:rFonts w:ascii="Calibri" w:hAnsi="Calibri" w:hint="eastAsia"/>
          <w:color w:val="auto"/>
          <w:sz w:val="24"/>
        </w:rPr>
        <w:t>月</w:t>
      </w:r>
      <w:r w:rsidRPr="00A964FF">
        <w:rPr>
          <w:rFonts w:ascii="Calibri" w:hAnsi="Calibri" w:hint="eastAsia"/>
          <w:color w:val="auto"/>
          <w:sz w:val="24"/>
        </w:rPr>
        <w:t>的平均气温在平均值以下，以</w:t>
      </w:r>
      <w:r w:rsidRPr="00A964FF">
        <w:rPr>
          <w:rFonts w:ascii="Calibri" w:hAnsi="Calibri" w:hint="eastAsia"/>
          <w:color w:val="auto"/>
          <w:sz w:val="24"/>
        </w:rPr>
        <w:t>1</w:t>
      </w:r>
      <w:r w:rsidRPr="00A964FF">
        <w:rPr>
          <w:rFonts w:ascii="Calibri" w:hAnsi="Calibri" w:hint="eastAsia"/>
          <w:color w:val="auto"/>
          <w:sz w:val="24"/>
        </w:rPr>
        <w:t>月份最低，为</w:t>
      </w:r>
      <w:r w:rsidR="00A922C9" w:rsidRPr="00A964FF">
        <w:rPr>
          <w:rFonts w:ascii="Calibri" w:hAnsi="Calibri" w:hint="eastAsia"/>
          <w:color w:val="auto"/>
          <w:sz w:val="24"/>
        </w:rPr>
        <w:t>2.25</w:t>
      </w:r>
      <w:r w:rsidRPr="00A964FF">
        <w:rPr>
          <w:rFonts w:ascii="Calibri" w:hAnsi="Calibri" w:hint="eastAsia"/>
          <w:color w:val="auto"/>
          <w:sz w:val="24"/>
        </w:rPr>
        <w:t>℃，</w:t>
      </w:r>
      <w:r w:rsidR="00A922C9" w:rsidRPr="00A964FF">
        <w:rPr>
          <w:rFonts w:ascii="Calibri" w:hAnsi="Calibri" w:hint="eastAsia"/>
          <w:color w:val="auto"/>
          <w:sz w:val="24"/>
        </w:rPr>
        <w:t>5</w:t>
      </w:r>
      <w:r w:rsidRPr="00A964FF">
        <w:rPr>
          <w:rFonts w:ascii="Calibri" w:hAnsi="Calibri" w:hint="eastAsia"/>
          <w:color w:val="auto"/>
          <w:sz w:val="24"/>
        </w:rPr>
        <w:t>月至</w:t>
      </w:r>
      <w:r w:rsidR="00A922C9" w:rsidRPr="00A964FF">
        <w:rPr>
          <w:rFonts w:ascii="Calibri" w:hAnsi="Calibri" w:hint="eastAsia"/>
          <w:color w:val="auto"/>
          <w:sz w:val="24"/>
        </w:rPr>
        <w:t>9</w:t>
      </w:r>
      <w:r w:rsidRPr="00A964FF">
        <w:rPr>
          <w:rFonts w:ascii="Calibri" w:hAnsi="Calibri" w:hint="eastAsia"/>
          <w:color w:val="auto"/>
          <w:sz w:val="24"/>
        </w:rPr>
        <w:t>月份的平均气温在年均值以上，以</w:t>
      </w:r>
      <w:r w:rsidR="00A922C9" w:rsidRPr="00A964FF">
        <w:rPr>
          <w:rFonts w:ascii="Calibri" w:hAnsi="Calibri" w:hint="eastAsia"/>
          <w:color w:val="auto"/>
          <w:sz w:val="24"/>
        </w:rPr>
        <w:t>8</w:t>
      </w:r>
      <w:r w:rsidRPr="00A964FF">
        <w:rPr>
          <w:rFonts w:ascii="Calibri" w:hAnsi="Calibri" w:hint="eastAsia"/>
          <w:color w:val="auto"/>
          <w:sz w:val="24"/>
        </w:rPr>
        <w:t>月份最高，为</w:t>
      </w:r>
      <w:r w:rsidR="00A922C9" w:rsidRPr="00A964FF">
        <w:rPr>
          <w:rFonts w:ascii="Calibri" w:hAnsi="Calibri" w:hint="eastAsia"/>
          <w:color w:val="auto"/>
          <w:sz w:val="24"/>
        </w:rPr>
        <w:t>26.56</w:t>
      </w:r>
      <w:r w:rsidRPr="00A964FF">
        <w:rPr>
          <w:rFonts w:ascii="Calibri" w:hAnsi="Calibri" w:hint="eastAsia"/>
          <w:color w:val="auto"/>
          <w:sz w:val="24"/>
        </w:rPr>
        <w:t>℃。</w:t>
      </w:r>
    </w:p>
    <w:p w14:paraId="5EFFBD39" w14:textId="77777777" w:rsidR="0096136C" w:rsidRPr="00A964FF" w:rsidRDefault="0096136C" w:rsidP="0096136C">
      <w:pPr>
        <w:spacing w:line="520" w:lineRule="exact"/>
        <w:ind w:firstLineChars="200" w:firstLine="480"/>
        <w:jc w:val="left"/>
        <w:rPr>
          <w:rFonts w:ascii="Calibri" w:hAnsi="Calibri"/>
          <w:bCs/>
          <w:color w:val="auto"/>
          <w:sz w:val="24"/>
        </w:rPr>
      </w:pPr>
      <w:r w:rsidRPr="00A964FF">
        <w:rPr>
          <w:rFonts w:ascii="Calibri" w:hAnsi="Calibri" w:hint="eastAsia"/>
          <w:color w:val="auto"/>
          <w:sz w:val="24"/>
        </w:rPr>
        <w:t>20</w:t>
      </w:r>
      <w:r w:rsidR="00A71D7A" w:rsidRPr="00A964FF">
        <w:rPr>
          <w:rFonts w:ascii="Calibri" w:hAnsi="Calibri" w:hint="eastAsia"/>
          <w:color w:val="auto"/>
          <w:sz w:val="24"/>
        </w:rPr>
        <w:t>20</w:t>
      </w:r>
      <w:r w:rsidRPr="00A964FF">
        <w:rPr>
          <w:rFonts w:ascii="Calibri" w:hAnsi="Calibri" w:hint="eastAsia"/>
          <w:color w:val="auto"/>
          <w:sz w:val="24"/>
        </w:rPr>
        <w:t>年</w:t>
      </w:r>
      <w:r w:rsidRPr="00A964FF">
        <w:rPr>
          <w:rFonts w:ascii="Calibri" w:hAnsi="Calibri" w:hint="eastAsia"/>
          <w:bCs/>
          <w:color w:val="auto"/>
          <w:sz w:val="24"/>
        </w:rPr>
        <w:t>全年及各月平均气温统计结果见表</w:t>
      </w:r>
      <w:r w:rsidRPr="00A964FF">
        <w:rPr>
          <w:rFonts w:ascii="Calibri" w:hAnsi="Calibri" w:hint="eastAsia"/>
          <w:bCs/>
          <w:color w:val="auto"/>
          <w:sz w:val="24"/>
        </w:rPr>
        <w:t>4.2-2</w:t>
      </w:r>
      <w:r w:rsidRPr="00A964FF">
        <w:rPr>
          <w:rFonts w:ascii="Calibri" w:hAnsi="Calibri" w:hint="eastAsia"/>
          <w:bCs/>
          <w:color w:val="auto"/>
          <w:sz w:val="24"/>
        </w:rPr>
        <w:t>。</w:t>
      </w:r>
    </w:p>
    <w:p w14:paraId="140B1D82" w14:textId="77777777" w:rsidR="0096136C" w:rsidRPr="00A964FF" w:rsidRDefault="0096136C" w:rsidP="0096136C">
      <w:pPr>
        <w:spacing w:line="520" w:lineRule="exact"/>
        <w:ind w:firstLineChars="200" w:firstLine="480"/>
        <w:rPr>
          <w:rFonts w:ascii="宋体" w:eastAsia="黑体" w:hAnsi="宋体" w:cs="宋体"/>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4.2-2</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hint="eastAsia"/>
          <w:color w:val="auto"/>
          <w:sz w:val="24"/>
        </w:rPr>
        <w:t>年平均温度的月变化</w:t>
      </w:r>
      <w:r w:rsidRPr="00A964FF">
        <w:rPr>
          <w:rFonts w:ascii="Calibri" w:eastAsia="黑体" w:hAnsi="Calibri" w:hint="eastAsia"/>
          <w:color w:val="auto"/>
          <w:sz w:val="24"/>
        </w:rPr>
        <w:t xml:space="preserve">                  </w:t>
      </w:r>
      <w:r w:rsidRPr="00A964FF">
        <w:rPr>
          <w:rFonts w:ascii="Calibri" w:hAnsi="宋体"/>
          <w:color w:val="auto"/>
          <w:szCs w:val="21"/>
        </w:rPr>
        <w:t>单位：</w:t>
      </w:r>
      <w:r w:rsidRPr="00A964FF">
        <w:rPr>
          <w:rFonts w:ascii="宋体" w:hAnsi="宋体" w:cs="宋体" w:hint="eastAsia"/>
          <w:color w:val="auto"/>
          <w:szCs w:val="21"/>
        </w:rPr>
        <w:t>℃</w:t>
      </w:r>
    </w:p>
    <w:tbl>
      <w:tblPr>
        <w:tblW w:w="90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7"/>
        <w:gridCol w:w="624"/>
        <w:gridCol w:w="625"/>
        <w:gridCol w:w="625"/>
        <w:gridCol w:w="625"/>
        <w:gridCol w:w="625"/>
        <w:gridCol w:w="625"/>
        <w:gridCol w:w="625"/>
        <w:gridCol w:w="625"/>
        <w:gridCol w:w="625"/>
        <w:gridCol w:w="625"/>
        <w:gridCol w:w="625"/>
        <w:gridCol w:w="625"/>
        <w:gridCol w:w="625"/>
      </w:tblGrid>
      <w:tr w:rsidR="0096136C" w:rsidRPr="00A964FF" w14:paraId="77D31B94" w14:textId="77777777" w:rsidTr="00A922C9">
        <w:trPr>
          <w:trHeight w:val="397"/>
          <w:jc w:val="center"/>
        </w:trPr>
        <w:tc>
          <w:tcPr>
            <w:tcW w:w="877" w:type="dxa"/>
            <w:tcBorders>
              <w:right w:val="single" w:sz="4" w:space="0" w:color="auto"/>
            </w:tcBorders>
            <w:tcMar>
              <w:left w:w="0" w:type="dxa"/>
              <w:right w:w="0" w:type="dxa"/>
            </w:tcMar>
            <w:vAlign w:val="center"/>
          </w:tcPr>
          <w:p w14:paraId="0977C9FD" w14:textId="77777777" w:rsidR="0096136C" w:rsidRPr="00A964FF" w:rsidRDefault="0096136C" w:rsidP="00904978">
            <w:pPr>
              <w:jc w:val="center"/>
              <w:textAlignment w:val="baseline"/>
              <w:rPr>
                <w:rFonts w:ascii="Calibri" w:hAnsi="Calibri"/>
                <w:color w:val="auto"/>
              </w:rPr>
            </w:pPr>
            <w:r w:rsidRPr="00A964FF">
              <w:rPr>
                <w:rFonts w:ascii="Calibri" w:hAnsi="Calibri" w:hint="eastAsia"/>
                <w:color w:val="auto"/>
              </w:rPr>
              <w:t>月份</w:t>
            </w:r>
          </w:p>
        </w:tc>
        <w:tc>
          <w:tcPr>
            <w:tcW w:w="624" w:type="dxa"/>
            <w:tcBorders>
              <w:left w:val="single" w:sz="4" w:space="0" w:color="auto"/>
              <w:right w:val="single" w:sz="4" w:space="0" w:color="auto"/>
            </w:tcBorders>
            <w:tcMar>
              <w:left w:w="0" w:type="dxa"/>
              <w:right w:w="0" w:type="dxa"/>
            </w:tcMar>
            <w:vAlign w:val="center"/>
          </w:tcPr>
          <w:p w14:paraId="538CA682"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55DC9A86"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2</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0B20E398"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3</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07C7FAB1"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4</w:t>
            </w:r>
            <w:r w:rsidRPr="00A964FF">
              <w:rPr>
                <w:rFonts w:ascii="Calibri" w:hAnsi="Calibri"/>
                <w:color w:val="auto"/>
              </w:rPr>
              <w:t>月</w:t>
            </w:r>
          </w:p>
        </w:tc>
        <w:tc>
          <w:tcPr>
            <w:tcW w:w="625" w:type="dxa"/>
            <w:tcBorders>
              <w:left w:val="single" w:sz="4" w:space="0" w:color="auto"/>
            </w:tcBorders>
            <w:tcMar>
              <w:left w:w="0" w:type="dxa"/>
              <w:right w:w="0" w:type="dxa"/>
            </w:tcMar>
            <w:vAlign w:val="center"/>
          </w:tcPr>
          <w:p w14:paraId="1DE8FBD2"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5</w:t>
            </w:r>
            <w:r w:rsidRPr="00A964FF">
              <w:rPr>
                <w:rFonts w:ascii="Calibri" w:hAnsi="Calibri"/>
                <w:color w:val="auto"/>
              </w:rPr>
              <w:t>月</w:t>
            </w:r>
          </w:p>
        </w:tc>
        <w:tc>
          <w:tcPr>
            <w:tcW w:w="625" w:type="dxa"/>
            <w:tcBorders>
              <w:right w:val="single" w:sz="4" w:space="0" w:color="auto"/>
            </w:tcBorders>
            <w:tcMar>
              <w:left w:w="0" w:type="dxa"/>
              <w:right w:w="0" w:type="dxa"/>
            </w:tcMar>
            <w:vAlign w:val="center"/>
          </w:tcPr>
          <w:p w14:paraId="0E115E84"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6</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4B639C69"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7</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4774334C"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8</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4FE0CB91"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9</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7DEE5529"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10</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3B45FDC8"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11</w:t>
            </w:r>
            <w:r w:rsidRPr="00A964FF">
              <w:rPr>
                <w:rFonts w:ascii="Calibri" w:hAnsi="Calibri"/>
                <w:color w:val="auto"/>
              </w:rPr>
              <w:t>月</w:t>
            </w:r>
          </w:p>
        </w:tc>
        <w:tc>
          <w:tcPr>
            <w:tcW w:w="625" w:type="dxa"/>
            <w:tcBorders>
              <w:left w:val="single" w:sz="4" w:space="0" w:color="auto"/>
              <w:right w:val="single" w:sz="4" w:space="0" w:color="auto"/>
            </w:tcBorders>
            <w:tcMar>
              <w:left w:w="0" w:type="dxa"/>
              <w:right w:w="0" w:type="dxa"/>
            </w:tcMar>
            <w:vAlign w:val="center"/>
          </w:tcPr>
          <w:p w14:paraId="0725AD1D"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12</w:t>
            </w:r>
            <w:r w:rsidRPr="00A964FF">
              <w:rPr>
                <w:rFonts w:ascii="Calibri" w:hAnsi="Calibri"/>
                <w:color w:val="auto"/>
              </w:rPr>
              <w:t>月</w:t>
            </w:r>
          </w:p>
        </w:tc>
        <w:tc>
          <w:tcPr>
            <w:tcW w:w="625" w:type="dxa"/>
            <w:tcBorders>
              <w:left w:val="single" w:sz="4" w:space="0" w:color="auto"/>
            </w:tcBorders>
            <w:tcMar>
              <w:left w:w="0" w:type="dxa"/>
              <w:right w:w="0" w:type="dxa"/>
            </w:tcMar>
            <w:vAlign w:val="center"/>
          </w:tcPr>
          <w:p w14:paraId="4B6EE1A4"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全年</w:t>
            </w:r>
          </w:p>
        </w:tc>
      </w:tr>
      <w:tr w:rsidR="00A922C9" w:rsidRPr="00A964FF" w14:paraId="1FBD6E95" w14:textId="77777777" w:rsidTr="00A922C9">
        <w:trPr>
          <w:trHeight w:val="397"/>
          <w:jc w:val="center"/>
        </w:trPr>
        <w:tc>
          <w:tcPr>
            <w:tcW w:w="877" w:type="dxa"/>
            <w:tcBorders>
              <w:right w:val="single" w:sz="4" w:space="0" w:color="auto"/>
            </w:tcBorders>
            <w:tcMar>
              <w:left w:w="0" w:type="dxa"/>
              <w:right w:w="0" w:type="dxa"/>
            </w:tcMar>
            <w:vAlign w:val="center"/>
          </w:tcPr>
          <w:p w14:paraId="78D5F625" w14:textId="77777777" w:rsidR="00A922C9" w:rsidRPr="00A964FF" w:rsidRDefault="00A922C9" w:rsidP="00904978">
            <w:pPr>
              <w:jc w:val="center"/>
              <w:textAlignment w:val="baseline"/>
              <w:rPr>
                <w:rFonts w:ascii="Calibri" w:hAnsi="Calibri"/>
                <w:color w:val="auto"/>
              </w:rPr>
            </w:pPr>
            <w:r w:rsidRPr="00A964FF">
              <w:rPr>
                <w:rFonts w:ascii="Calibri" w:hAnsi="Calibri" w:hint="eastAsia"/>
                <w:color w:val="auto"/>
              </w:rPr>
              <w:t>温度</w:t>
            </w:r>
          </w:p>
        </w:tc>
        <w:tc>
          <w:tcPr>
            <w:tcW w:w="624" w:type="dxa"/>
            <w:tcBorders>
              <w:left w:val="single" w:sz="4" w:space="0" w:color="auto"/>
              <w:right w:val="single" w:sz="4" w:space="0" w:color="auto"/>
            </w:tcBorders>
            <w:tcMar>
              <w:left w:w="0" w:type="dxa"/>
              <w:right w:w="0" w:type="dxa"/>
            </w:tcMar>
            <w:vAlign w:val="center"/>
          </w:tcPr>
          <w:p w14:paraId="4350F389"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2.25</w:t>
            </w:r>
          </w:p>
        </w:tc>
        <w:tc>
          <w:tcPr>
            <w:tcW w:w="625" w:type="dxa"/>
            <w:tcBorders>
              <w:left w:val="single" w:sz="4" w:space="0" w:color="auto"/>
              <w:right w:val="single" w:sz="4" w:space="0" w:color="auto"/>
            </w:tcBorders>
            <w:tcMar>
              <w:left w:w="0" w:type="dxa"/>
              <w:right w:w="0" w:type="dxa"/>
            </w:tcMar>
            <w:vAlign w:val="center"/>
          </w:tcPr>
          <w:p w14:paraId="139B9F9F"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5.89</w:t>
            </w:r>
          </w:p>
        </w:tc>
        <w:tc>
          <w:tcPr>
            <w:tcW w:w="625" w:type="dxa"/>
            <w:tcBorders>
              <w:left w:val="single" w:sz="4" w:space="0" w:color="auto"/>
              <w:right w:val="single" w:sz="4" w:space="0" w:color="auto"/>
            </w:tcBorders>
            <w:tcMar>
              <w:left w:w="0" w:type="dxa"/>
              <w:right w:w="0" w:type="dxa"/>
            </w:tcMar>
            <w:vAlign w:val="center"/>
          </w:tcPr>
          <w:p w14:paraId="544749DD"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11.06</w:t>
            </w:r>
          </w:p>
        </w:tc>
        <w:tc>
          <w:tcPr>
            <w:tcW w:w="625" w:type="dxa"/>
            <w:tcBorders>
              <w:left w:val="single" w:sz="4" w:space="0" w:color="auto"/>
              <w:right w:val="single" w:sz="4" w:space="0" w:color="auto"/>
            </w:tcBorders>
            <w:tcMar>
              <w:left w:w="0" w:type="dxa"/>
              <w:right w:w="0" w:type="dxa"/>
            </w:tcMar>
            <w:vAlign w:val="center"/>
          </w:tcPr>
          <w:p w14:paraId="4DE9787A"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14.96</w:t>
            </w:r>
          </w:p>
        </w:tc>
        <w:tc>
          <w:tcPr>
            <w:tcW w:w="625" w:type="dxa"/>
            <w:tcBorders>
              <w:left w:val="single" w:sz="4" w:space="0" w:color="auto"/>
            </w:tcBorders>
            <w:tcMar>
              <w:left w:w="0" w:type="dxa"/>
              <w:right w:w="0" w:type="dxa"/>
            </w:tcMar>
            <w:vAlign w:val="center"/>
          </w:tcPr>
          <w:p w14:paraId="10BFCE51"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23.16</w:t>
            </w:r>
          </w:p>
        </w:tc>
        <w:tc>
          <w:tcPr>
            <w:tcW w:w="625" w:type="dxa"/>
            <w:tcBorders>
              <w:right w:val="single" w:sz="4" w:space="0" w:color="auto"/>
            </w:tcBorders>
            <w:tcMar>
              <w:left w:w="0" w:type="dxa"/>
              <w:right w:w="0" w:type="dxa"/>
            </w:tcMar>
            <w:vAlign w:val="center"/>
          </w:tcPr>
          <w:p w14:paraId="295AC5C8"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25.83</w:t>
            </w:r>
          </w:p>
        </w:tc>
        <w:tc>
          <w:tcPr>
            <w:tcW w:w="625" w:type="dxa"/>
            <w:tcBorders>
              <w:left w:val="single" w:sz="4" w:space="0" w:color="auto"/>
              <w:right w:val="single" w:sz="4" w:space="0" w:color="auto"/>
            </w:tcBorders>
            <w:tcMar>
              <w:left w:w="0" w:type="dxa"/>
              <w:right w:w="0" w:type="dxa"/>
            </w:tcMar>
            <w:vAlign w:val="center"/>
          </w:tcPr>
          <w:p w14:paraId="1A6240A8"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25.31</w:t>
            </w:r>
          </w:p>
        </w:tc>
        <w:tc>
          <w:tcPr>
            <w:tcW w:w="625" w:type="dxa"/>
            <w:tcBorders>
              <w:left w:val="single" w:sz="4" w:space="0" w:color="auto"/>
              <w:right w:val="single" w:sz="4" w:space="0" w:color="auto"/>
            </w:tcBorders>
            <w:tcMar>
              <w:left w:w="0" w:type="dxa"/>
              <w:right w:w="0" w:type="dxa"/>
            </w:tcMar>
            <w:vAlign w:val="center"/>
          </w:tcPr>
          <w:p w14:paraId="46572CF2"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26.56</w:t>
            </w:r>
          </w:p>
        </w:tc>
        <w:tc>
          <w:tcPr>
            <w:tcW w:w="625" w:type="dxa"/>
            <w:tcBorders>
              <w:left w:val="single" w:sz="4" w:space="0" w:color="auto"/>
              <w:right w:val="single" w:sz="4" w:space="0" w:color="auto"/>
            </w:tcBorders>
            <w:tcMar>
              <w:left w:w="0" w:type="dxa"/>
              <w:right w:w="0" w:type="dxa"/>
            </w:tcMar>
            <w:vAlign w:val="center"/>
          </w:tcPr>
          <w:p w14:paraId="1964176F"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22.15</w:t>
            </w:r>
          </w:p>
        </w:tc>
        <w:tc>
          <w:tcPr>
            <w:tcW w:w="625" w:type="dxa"/>
            <w:tcBorders>
              <w:left w:val="single" w:sz="4" w:space="0" w:color="auto"/>
              <w:right w:val="single" w:sz="4" w:space="0" w:color="auto"/>
            </w:tcBorders>
            <w:tcMar>
              <w:left w:w="0" w:type="dxa"/>
              <w:right w:w="0" w:type="dxa"/>
            </w:tcMar>
            <w:vAlign w:val="center"/>
          </w:tcPr>
          <w:p w14:paraId="2FE3B6CC"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15.03</w:t>
            </w:r>
          </w:p>
        </w:tc>
        <w:tc>
          <w:tcPr>
            <w:tcW w:w="625" w:type="dxa"/>
            <w:tcBorders>
              <w:left w:val="single" w:sz="4" w:space="0" w:color="auto"/>
              <w:right w:val="single" w:sz="4" w:space="0" w:color="auto"/>
            </w:tcBorders>
            <w:tcMar>
              <w:left w:w="0" w:type="dxa"/>
              <w:right w:w="0" w:type="dxa"/>
            </w:tcMar>
            <w:vAlign w:val="center"/>
          </w:tcPr>
          <w:p w14:paraId="4DE86FCC"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10.61</w:t>
            </w:r>
          </w:p>
        </w:tc>
        <w:tc>
          <w:tcPr>
            <w:tcW w:w="625" w:type="dxa"/>
            <w:tcBorders>
              <w:left w:val="single" w:sz="4" w:space="0" w:color="auto"/>
              <w:right w:val="single" w:sz="4" w:space="0" w:color="auto"/>
            </w:tcBorders>
            <w:tcMar>
              <w:left w:w="0" w:type="dxa"/>
              <w:right w:w="0" w:type="dxa"/>
            </w:tcMar>
            <w:vAlign w:val="center"/>
          </w:tcPr>
          <w:p w14:paraId="6915CE15"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2.81</w:t>
            </w:r>
          </w:p>
        </w:tc>
        <w:tc>
          <w:tcPr>
            <w:tcW w:w="625" w:type="dxa"/>
            <w:tcBorders>
              <w:left w:val="single" w:sz="4" w:space="0" w:color="auto"/>
            </w:tcBorders>
            <w:tcMar>
              <w:left w:w="0" w:type="dxa"/>
              <w:right w:w="0" w:type="dxa"/>
            </w:tcMar>
            <w:vAlign w:val="center"/>
          </w:tcPr>
          <w:p w14:paraId="048FE7D4" w14:textId="77777777" w:rsidR="00A922C9" w:rsidRPr="00A964FF" w:rsidRDefault="00A922C9" w:rsidP="00A922C9">
            <w:pPr>
              <w:jc w:val="center"/>
              <w:textAlignment w:val="baseline"/>
              <w:rPr>
                <w:rFonts w:ascii="Calibri" w:hAnsi="Calibri"/>
                <w:color w:val="auto"/>
              </w:rPr>
            </w:pPr>
            <w:r w:rsidRPr="00A964FF">
              <w:rPr>
                <w:rFonts w:ascii="Calibri" w:hAnsi="Calibri"/>
                <w:color w:val="auto"/>
              </w:rPr>
              <w:t>15.49</w:t>
            </w:r>
          </w:p>
        </w:tc>
      </w:tr>
    </w:tbl>
    <w:p w14:paraId="4148174E"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20</w:t>
      </w:r>
      <w:r w:rsidR="00A922C9" w:rsidRPr="00A964FF">
        <w:rPr>
          <w:rFonts w:ascii="Calibri" w:hAnsi="Calibri" w:hint="eastAsia"/>
          <w:color w:val="auto"/>
          <w:sz w:val="24"/>
        </w:rPr>
        <w:t>20</w:t>
      </w:r>
      <w:r w:rsidRPr="00A964FF">
        <w:rPr>
          <w:rFonts w:ascii="Calibri" w:hAnsi="Calibri" w:hint="eastAsia"/>
          <w:color w:val="auto"/>
          <w:sz w:val="24"/>
        </w:rPr>
        <w:t>年平均</w:t>
      </w:r>
      <w:r w:rsidR="00A922C9" w:rsidRPr="00A964FF">
        <w:rPr>
          <w:rFonts w:ascii="Calibri" w:hAnsi="Calibri" w:hint="eastAsia"/>
          <w:color w:val="auto"/>
          <w:sz w:val="24"/>
        </w:rPr>
        <w:t>温度</w:t>
      </w:r>
      <w:r w:rsidRPr="00A964FF">
        <w:rPr>
          <w:rFonts w:ascii="Calibri" w:hAnsi="Calibri" w:hint="eastAsia"/>
          <w:color w:val="auto"/>
          <w:sz w:val="24"/>
        </w:rPr>
        <w:t>月变化曲线见图</w:t>
      </w:r>
      <w:r w:rsidRPr="00A964FF">
        <w:rPr>
          <w:rFonts w:ascii="Calibri" w:hAnsi="Calibri" w:hint="eastAsia"/>
          <w:color w:val="auto"/>
          <w:sz w:val="24"/>
        </w:rPr>
        <w:t>4.2-2</w:t>
      </w:r>
      <w:r w:rsidRPr="00A964FF">
        <w:rPr>
          <w:rFonts w:ascii="Calibri" w:hAnsi="Calibri" w:hint="eastAsia"/>
          <w:color w:val="auto"/>
          <w:sz w:val="24"/>
        </w:rPr>
        <w:t>。</w:t>
      </w:r>
    </w:p>
    <w:p w14:paraId="05B2E8A0" w14:textId="77777777" w:rsidR="0096136C" w:rsidRPr="00A964FF" w:rsidRDefault="0096136C" w:rsidP="0096136C">
      <w:pPr>
        <w:spacing w:line="520" w:lineRule="exact"/>
        <w:ind w:firstLineChars="200" w:firstLine="480"/>
        <w:jc w:val="left"/>
        <w:rPr>
          <w:rFonts w:ascii="Calibri" w:hAnsi="Calibri"/>
          <w:color w:val="auto"/>
          <w:sz w:val="24"/>
        </w:rPr>
      </w:pPr>
    </w:p>
    <w:p w14:paraId="3B92FB12" w14:textId="77777777" w:rsidR="0096136C" w:rsidRPr="00A964FF" w:rsidRDefault="0096136C" w:rsidP="0096136C">
      <w:pPr>
        <w:spacing w:line="520" w:lineRule="exact"/>
        <w:ind w:firstLineChars="200" w:firstLine="480"/>
        <w:jc w:val="left"/>
        <w:rPr>
          <w:rFonts w:ascii="Calibri" w:hAnsi="Calibri"/>
          <w:color w:val="auto"/>
          <w:sz w:val="24"/>
        </w:rPr>
      </w:pPr>
    </w:p>
    <w:p w14:paraId="10B6BD2E" w14:textId="77777777" w:rsidR="0096136C" w:rsidRPr="00A964FF" w:rsidRDefault="0096136C" w:rsidP="0096136C">
      <w:pPr>
        <w:spacing w:line="520" w:lineRule="exact"/>
        <w:ind w:firstLineChars="200" w:firstLine="480"/>
        <w:jc w:val="left"/>
        <w:rPr>
          <w:rFonts w:ascii="Calibri" w:hAnsi="Calibri"/>
          <w:color w:val="auto"/>
          <w:sz w:val="24"/>
        </w:rPr>
      </w:pPr>
    </w:p>
    <w:p w14:paraId="4D8446CE" w14:textId="77777777" w:rsidR="0096136C" w:rsidRPr="00A964FF" w:rsidRDefault="0096136C" w:rsidP="0096136C">
      <w:pPr>
        <w:spacing w:line="520" w:lineRule="exact"/>
        <w:ind w:firstLineChars="200" w:firstLine="480"/>
        <w:jc w:val="left"/>
        <w:rPr>
          <w:rFonts w:ascii="Calibri" w:hAnsi="Calibri"/>
          <w:color w:val="auto"/>
          <w:sz w:val="24"/>
        </w:rPr>
      </w:pPr>
    </w:p>
    <w:p w14:paraId="669D3668" w14:textId="77777777" w:rsidR="0096136C" w:rsidRPr="00A964FF" w:rsidRDefault="0096136C" w:rsidP="0096136C">
      <w:pPr>
        <w:spacing w:line="520" w:lineRule="exact"/>
        <w:ind w:firstLineChars="200" w:firstLine="480"/>
        <w:jc w:val="left"/>
        <w:rPr>
          <w:rFonts w:ascii="Calibri" w:hAnsi="Calibri"/>
          <w:color w:val="auto"/>
          <w:sz w:val="24"/>
        </w:rPr>
      </w:pPr>
    </w:p>
    <w:p w14:paraId="383D315D" w14:textId="77777777" w:rsidR="0096136C" w:rsidRPr="00A964FF" w:rsidRDefault="0096136C" w:rsidP="0096136C">
      <w:pPr>
        <w:spacing w:line="520" w:lineRule="exact"/>
        <w:ind w:firstLineChars="200" w:firstLine="480"/>
        <w:jc w:val="left"/>
        <w:rPr>
          <w:rFonts w:ascii="Calibri" w:hAnsi="Calibri"/>
          <w:color w:val="auto"/>
          <w:sz w:val="24"/>
        </w:rPr>
      </w:pPr>
    </w:p>
    <w:p w14:paraId="1E9B80BF" w14:textId="77777777" w:rsidR="0096136C" w:rsidRPr="00A964FF" w:rsidRDefault="00A922C9" w:rsidP="00A922C9">
      <w:pPr>
        <w:spacing w:line="520" w:lineRule="exact"/>
        <w:ind w:firstLineChars="200" w:firstLine="480"/>
        <w:jc w:val="left"/>
        <w:rPr>
          <w:rFonts w:ascii="Calibri" w:eastAsia="黑体" w:hAnsi="Calibri"/>
          <w:color w:val="auto"/>
          <w:sz w:val="24"/>
        </w:rPr>
      </w:pPr>
      <w:r w:rsidRPr="00A964FF">
        <w:rPr>
          <w:rFonts w:ascii="Calibri" w:eastAsia="黑体" w:hAnsi="黑体"/>
          <w:noProof/>
          <w:color w:val="auto"/>
          <w:sz w:val="24"/>
        </w:rPr>
        <w:lastRenderedPageBreak/>
        <w:drawing>
          <wp:anchor distT="0" distB="0" distL="114300" distR="114300" simplePos="0" relativeHeight="251878912" behindDoc="0" locked="0" layoutInCell="1" allowOverlap="1" wp14:anchorId="7C40105E" wp14:editId="40C0D079">
            <wp:simplePos x="0" y="0"/>
            <wp:positionH relativeFrom="column">
              <wp:posOffset>-6350</wp:posOffset>
            </wp:positionH>
            <wp:positionV relativeFrom="paragraph">
              <wp:posOffset>34290</wp:posOffset>
            </wp:positionV>
            <wp:extent cx="5544820" cy="2975610"/>
            <wp:effectExtent l="19050" t="0" r="0" b="0"/>
            <wp:wrapTopAndBottom/>
            <wp:docPr id="2649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srcRect/>
                    <a:stretch>
                      <a:fillRect/>
                    </a:stretch>
                  </pic:blipFill>
                  <pic:spPr bwMode="auto">
                    <a:xfrm>
                      <a:off x="0" y="0"/>
                      <a:ext cx="5544820" cy="2975610"/>
                    </a:xfrm>
                    <a:prstGeom prst="rect">
                      <a:avLst/>
                    </a:prstGeom>
                    <a:noFill/>
                    <a:ln w="9525">
                      <a:noFill/>
                      <a:miter lim="800000"/>
                      <a:headEnd/>
                      <a:tailEnd/>
                    </a:ln>
                  </pic:spPr>
                </pic:pic>
              </a:graphicData>
            </a:graphic>
          </wp:anchor>
        </w:drawing>
      </w:r>
      <w:r w:rsidR="0096136C" w:rsidRPr="00A964FF">
        <w:rPr>
          <w:rFonts w:ascii="Calibri" w:eastAsia="黑体" w:hAnsi="黑体"/>
          <w:color w:val="auto"/>
          <w:sz w:val="24"/>
        </w:rPr>
        <w:t>图</w:t>
      </w:r>
      <w:r w:rsidR="0096136C" w:rsidRPr="00A964FF">
        <w:rPr>
          <w:rFonts w:ascii="Calibri" w:eastAsia="黑体" w:hAnsi="Calibri"/>
          <w:color w:val="auto"/>
          <w:sz w:val="24"/>
        </w:rPr>
        <w:t>4</w:t>
      </w:r>
      <w:r w:rsidR="0096136C" w:rsidRPr="00A964FF">
        <w:rPr>
          <w:rFonts w:ascii="Calibri" w:eastAsia="黑体" w:hAnsi="Calibri" w:hint="eastAsia"/>
          <w:color w:val="auto"/>
          <w:sz w:val="24"/>
        </w:rPr>
        <w:t>.2</w:t>
      </w:r>
      <w:r w:rsidR="0096136C" w:rsidRPr="00A964FF">
        <w:rPr>
          <w:rFonts w:ascii="Calibri" w:eastAsia="黑体" w:hAnsi="Calibri"/>
          <w:color w:val="auto"/>
          <w:sz w:val="24"/>
        </w:rPr>
        <w:t xml:space="preserve">-2                </w:t>
      </w:r>
      <w:r w:rsidR="0096136C" w:rsidRPr="00A964FF">
        <w:rPr>
          <w:rFonts w:ascii="Calibri" w:eastAsia="黑体" w:hAnsi="Calibri" w:hint="eastAsia"/>
          <w:color w:val="auto"/>
          <w:sz w:val="24"/>
        </w:rPr>
        <w:t xml:space="preserve">  </w:t>
      </w:r>
      <w:r w:rsidR="0096136C" w:rsidRPr="00A964FF">
        <w:rPr>
          <w:rFonts w:ascii="Calibri" w:eastAsia="黑体" w:hAnsi="Calibri"/>
          <w:color w:val="auto"/>
          <w:sz w:val="24"/>
        </w:rPr>
        <w:t xml:space="preserve"> </w:t>
      </w:r>
      <w:r w:rsidR="0096136C" w:rsidRPr="00A964FF">
        <w:rPr>
          <w:rFonts w:ascii="Calibri" w:eastAsia="黑体" w:hAnsi="Calibri" w:hint="eastAsia"/>
          <w:color w:val="auto"/>
          <w:sz w:val="24"/>
        </w:rPr>
        <w:t>年</w:t>
      </w:r>
      <w:r w:rsidR="0096136C" w:rsidRPr="00A964FF">
        <w:rPr>
          <w:rFonts w:ascii="Calibri" w:eastAsia="黑体" w:hAnsi="黑体"/>
          <w:color w:val="auto"/>
          <w:sz w:val="24"/>
        </w:rPr>
        <w:t>平均</w:t>
      </w:r>
      <w:r w:rsidRPr="00A964FF">
        <w:rPr>
          <w:rFonts w:ascii="Calibri" w:eastAsia="黑体" w:hAnsi="黑体" w:hint="eastAsia"/>
          <w:color w:val="auto"/>
          <w:sz w:val="24"/>
        </w:rPr>
        <w:t>温度</w:t>
      </w:r>
      <w:r w:rsidR="0096136C" w:rsidRPr="00A964FF">
        <w:rPr>
          <w:rFonts w:ascii="Calibri" w:eastAsia="黑体" w:hAnsi="黑体"/>
          <w:color w:val="auto"/>
          <w:sz w:val="24"/>
        </w:rPr>
        <w:t>月变化</w:t>
      </w:r>
      <w:r w:rsidRPr="00A964FF">
        <w:rPr>
          <w:rFonts w:ascii="Calibri" w:eastAsia="黑体" w:hAnsi="黑体" w:hint="eastAsia"/>
          <w:color w:val="auto"/>
          <w:sz w:val="24"/>
        </w:rPr>
        <w:t>曲线图</w:t>
      </w:r>
    </w:p>
    <w:p w14:paraId="4EA6EF8F"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2</w:t>
      </w:r>
      <w:r w:rsidRPr="00A964FF">
        <w:rPr>
          <w:rFonts w:ascii="Calibri" w:hAnsi="Calibri" w:hint="eastAsia"/>
          <w:color w:val="auto"/>
          <w:sz w:val="24"/>
        </w:rPr>
        <w:t>）风速</w:t>
      </w:r>
    </w:p>
    <w:p w14:paraId="7541286C"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①</w:t>
      </w:r>
      <w:r w:rsidRPr="00A964FF">
        <w:rPr>
          <w:rFonts w:ascii="Calibri" w:hAnsi="Calibri" w:hint="eastAsia"/>
          <w:color w:val="auto"/>
          <w:sz w:val="24"/>
        </w:rPr>
        <w:t xml:space="preserve"> </w:t>
      </w:r>
      <w:r w:rsidRPr="00A964FF">
        <w:rPr>
          <w:rFonts w:ascii="Calibri" w:hAnsi="Calibri" w:hint="eastAsia"/>
          <w:color w:val="auto"/>
          <w:sz w:val="24"/>
        </w:rPr>
        <w:t>年平均风速月变化</w:t>
      </w:r>
    </w:p>
    <w:p w14:paraId="5FB8B184"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根据叶县气象观测值</w:t>
      </w:r>
      <w:r w:rsidRPr="00A964FF">
        <w:rPr>
          <w:rFonts w:ascii="Calibri" w:hAnsi="Calibri" w:hint="eastAsia"/>
          <w:color w:val="auto"/>
          <w:sz w:val="24"/>
        </w:rPr>
        <w:t>20</w:t>
      </w:r>
      <w:r w:rsidR="00A922C9" w:rsidRPr="00A964FF">
        <w:rPr>
          <w:rFonts w:ascii="Calibri" w:hAnsi="Calibri" w:hint="eastAsia"/>
          <w:color w:val="auto"/>
          <w:sz w:val="24"/>
        </w:rPr>
        <w:t>20</w:t>
      </w:r>
      <w:r w:rsidRPr="00A964FF">
        <w:rPr>
          <w:rFonts w:ascii="Calibri" w:hAnsi="Calibri" w:hint="eastAsia"/>
          <w:color w:val="auto"/>
          <w:sz w:val="24"/>
        </w:rPr>
        <w:t>年全年</w:t>
      </w:r>
      <w:r w:rsidRPr="00A964FF">
        <w:rPr>
          <w:rFonts w:ascii="Calibri" w:hAnsi="Calibri" w:hint="eastAsia"/>
          <w:bCs/>
          <w:color w:val="auto"/>
          <w:sz w:val="24"/>
        </w:rPr>
        <w:t>逐日地面气象观测资料进行统计，年平均风速月变化见表</w:t>
      </w:r>
      <w:r w:rsidRPr="00A964FF">
        <w:rPr>
          <w:rFonts w:ascii="Calibri" w:hAnsi="Calibri" w:hint="eastAsia"/>
          <w:bCs/>
          <w:color w:val="auto"/>
          <w:sz w:val="24"/>
        </w:rPr>
        <w:t>4.2-3</w:t>
      </w:r>
      <w:r w:rsidRPr="00A964FF">
        <w:rPr>
          <w:rFonts w:ascii="Calibri" w:hAnsi="Calibri" w:hint="eastAsia"/>
          <w:color w:val="auto"/>
          <w:sz w:val="24"/>
        </w:rPr>
        <w:t>。</w:t>
      </w:r>
    </w:p>
    <w:p w14:paraId="4B7EFF93" w14:textId="77777777" w:rsidR="0096136C" w:rsidRPr="00A964FF" w:rsidRDefault="0096136C" w:rsidP="0096136C">
      <w:pPr>
        <w:spacing w:line="520" w:lineRule="exact"/>
        <w:ind w:firstLineChars="200" w:firstLine="480"/>
        <w:rPr>
          <w:rFonts w:ascii="宋体" w:eastAsia="黑体" w:hAnsi="宋体" w:cs="宋体"/>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4.2-3</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hint="eastAsia"/>
          <w:color w:val="auto"/>
          <w:sz w:val="24"/>
        </w:rPr>
        <w:t>年平均风速的月变化</w:t>
      </w:r>
      <w:r w:rsidRPr="00A964FF">
        <w:rPr>
          <w:rFonts w:ascii="Calibri" w:eastAsia="黑体" w:hAnsi="Calibri" w:hint="eastAsia"/>
          <w:color w:val="auto"/>
          <w:sz w:val="24"/>
        </w:rPr>
        <w:t xml:space="preserve">                   </w:t>
      </w:r>
      <w:r w:rsidRPr="00A964FF">
        <w:rPr>
          <w:rFonts w:ascii="Calibri" w:hAnsi="Calibri"/>
          <w:color w:val="auto"/>
          <w:szCs w:val="21"/>
        </w:rPr>
        <w:t>单位</w:t>
      </w:r>
      <w:r w:rsidR="00A922C9" w:rsidRPr="00A964FF">
        <w:rPr>
          <w:rFonts w:ascii="Calibri" w:hAnsi="Calibri" w:hint="eastAsia"/>
          <w:color w:val="auto"/>
          <w:szCs w:val="21"/>
        </w:rPr>
        <w:t>：</w:t>
      </w:r>
      <w:r w:rsidRPr="00A964FF">
        <w:rPr>
          <w:rFonts w:ascii="Calibri" w:hAnsi="Calibri" w:cs="宋体"/>
          <w:color w:val="auto"/>
          <w:szCs w:val="21"/>
        </w:rPr>
        <w:t>m/s</w:t>
      </w:r>
    </w:p>
    <w:tbl>
      <w:tblPr>
        <w:tblW w:w="88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7"/>
        <w:gridCol w:w="615"/>
        <w:gridCol w:w="616"/>
        <w:gridCol w:w="616"/>
        <w:gridCol w:w="616"/>
        <w:gridCol w:w="616"/>
        <w:gridCol w:w="616"/>
        <w:gridCol w:w="615"/>
        <w:gridCol w:w="616"/>
        <w:gridCol w:w="616"/>
        <w:gridCol w:w="616"/>
        <w:gridCol w:w="616"/>
        <w:gridCol w:w="616"/>
        <w:gridCol w:w="616"/>
      </w:tblGrid>
      <w:tr w:rsidR="0096136C" w:rsidRPr="00A964FF" w14:paraId="32BBB754" w14:textId="77777777" w:rsidTr="00904978">
        <w:trPr>
          <w:trHeight w:val="397"/>
          <w:jc w:val="center"/>
        </w:trPr>
        <w:tc>
          <w:tcPr>
            <w:tcW w:w="877" w:type="dxa"/>
            <w:tcBorders>
              <w:right w:val="single" w:sz="4" w:space="0" w:color="auto"/>
            </w:tcBorders>
            <w:tcMar>
              <w:left w:w="0" w:type="dxa"/>
              <w:right w:w="0" w:type="dxa"/>
            </w:tcMar>
            <w:vAlign w:val="center"/>
          </w:tcPr>
          <w:p w14:paraId="621F9672"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月份</w:t>
            </w:r>
          </w:p>
        </w:tc>
        <w:tc>
          <w:tcPr>
            <w:tcW w:w="615" w:type="dxa"/>
            <w:tcBorders>
              <w:left w:val="single" w:sz="4" w:space="0" w:color="auto"/>
              <w:right w:val="single" w:sz="4" w:space="0" w:color="auto"/>
            </w:tcBorders>
            <w:tcMar>
              <w:left w:w="0" w:type="dxa"/>
              <w:right w:w="0" w:type="dxa"/>
            </w:tcMar>
            <w:vAlign w:val="center"/>
          </w:tcPr>
          <w:p w14:paraId="70DB90C4"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324DAAFC"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2</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68A56215"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3</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2BB0A5FC"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4</w:t>
            </w:r>
            <w:r w:rsidRPr="00A964FF">
              <w:rPr>
                <w:rFonts w:ascii="Calibri" w:hAnsi="Calibri"/>
                <w:color w:val="auto"/>
              </w:rPr>
              <w:t>月</w:t>
            </w:r>
          </w:p>
        </w:tc>
        <w:tc>
          <w:tcPr>
            <w:tcW w:w="616" w:type="dxa"/>
            <w:tcBorders>
              <w:left w:val="single" w:sz="4" w:space="0" w:color="auto"/>
            </w:tcBorders>
            <w:tcMar>
              <w:left w:w="0" w:type="dxa"/>
              <w:right w:w="0" w:type="dxa"/>
            </w:tcMar>
            <w:vAlign w:val="center"/>
          </w:tcPr>
          <w:p w14:paraId="32DC6CAB"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5</w:t>
            </w:r>
            <w:r w:rsidRPr="00A964FF">
              <w:rPr>
                <w:rFonts w:ascii="Calibri" w:hAnsi="Calibri"/>
                <w:color w:val="auto"/>
              </w:rPr>
              <w:t>月</w:t>
            </w:r>
          </w:p>
        </w:tc>
        <w:tc>
          <w:tcPr>
            <w:tcW w:w="616" w:type="dxa"/>
            <w:tcBorders>
              <w:right w:val="single" w:sz="4" w:space="0" w:color="auto"/>
            </w:tcBorders>
            <w:tcMar>
              <w:left w:w="0" w:type="dxa"/>
              <w:right w:w="0" w:type="dxa"/>
            </w:tcMar>
            <w:vAlign w:val="center"/>
          </w:tcPr>
          <w:p w14:paraId="4D41B7D5"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6</w:t>
            </w:r>
            <w:r w:rsidRPr="00A964FF">
              <w:rPr>
                <w:rFonts w:ascii="Calibri" w:hAnsi="Calibri"/>
                <w:color w:val="auto"/>
              </w:rPr>
              <w:t>月</w:t>
            </w:r>
          </w:p>
        </w:tc>
        <w:tc>
          <w:tcPr>
            <w:tcW w:w="615" w:type="dxa"/>
            <w:tcBorders>
              <w:left w:val="single" w:sz="4" w:space="0" w:color="auto"/>
              <w:right w:val="single" w:sz="4" w:space="0" w:color="auto"/>
            </w:tcBorders>
            <w:tcMar>
              <w:left w:w="0" w:type="dxa"/>
              <w:right w:w="0" w:type="dxa"/>
            </w:tcMar>
            <w:vAlign w:val="center"/>
          </w:tcPr>
          <w:p w14:paraId="6D364CCE"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7</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572D604A"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8</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02D3CEA1"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9</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12AA9E81"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10</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368F6E31"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11</w:t>
            </w:r>
            <w:r w:rsidRPr="00A964FF">
              <w:rPr>
                <w:rFonts w:ascii="Calibri" w:hAnsi="Calibri"/>
                <w:color w:val="auto"/>
              </w:rPr>
              <w:t>月</w:t>
            </w:r>
          </w:p>
        </w:tc>
        <w:tc>
          <w:tcPr>
            <w:tcW w:w="616" w:type="dxa"/>
            <w:tcBorders>
              <w:left w:val="single" w:sz="4" w:space="0" w:color="auto"/>
              <w:right w:val="single" w:sz="4" w:space="0" w:color="auto"/>
            </w:tcBorders>
            <w:tcMar>
              <w:left w:w="0" w:type="dxa"/>
              <w:right w:w="0" w:type="dxa"/>
            </w:tcMar>
            <w:vAlign w:val="center"/>
          </w:tcPr>
          <w:p w14:paraId="3783288A"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12</w:t>
            </w:r>
            <w:r w:rsidRPr="00A964FF">
              <w:rPr>
                <w:rFonts w:ascii="Calibri" w:hAnsi="Calibri"/>
                <w:color w:val="auto"/>
              </w:rPr>
              <w:t>月</w:t>
            </w:r>
          </w:p>
        </w:tc>
        <w:tc>
          <w:tcPr>
            <w:tcW w:w="616" w:type="dxa"/>
            <w:tcBorders>
              <w:left w:val="single" w:sz="4" w:space="0" w:color="auto"/>
            </w:tcBorders>
            <w:tcMar>
              <w:left w:w="0" w:type="dxa"/>
              <w:right w:w="0" w:type="dxa"/>
            </w:tcMar>
            <w:vAlign w:val="center"/>
          </w:tcPr>
          <w:p w14:paraId="3DB70EB3" w14:textId="77777777" w:rsidR="0096136C" w:rsidRPr="00A964FF" w:rsidRDefault="0096136C" w:rsidP="00904978">
            <w:pPr>
              <w:jc w:val="center"/>
              <w:textAlignment w:val="baseline"/>
              <w:rPr>
                <w:rFonts w:ascii="Calibri" w:hAnsi="Calibri"/>
                <w:color w:val="auto"/>
              </w:rPr>
            </w:pPr>
            <w:r w:rsidRPr="00A964FF">
              <w:rPr>
                <w:rFonts w:ascii="Calibri" w:hAnsi="Calibri"/>
                <w:color w:val="auto"/>
              </w:rPr>
              <w:t>全年</w:t>
            </w:r>
          </w:p>
        </w:tc>
      </w:tr>
      <w:tr w:rsidR="00A922C9" w:rsidRPr="00A964FF" w14:paraId="5A41D51F" w14:textId="77777777" w:rsidTr="00904978">
        <w:trPr>
          <w:trHeight w:val="397"/>
          <w:jc w:val="center"/>
        </w:trPr>
        <w:tc>
          <w:tcPr>
            <w:tcW w:w="877" w:type="dxa"/>
            <w:tcBorders>
              <w:right w:val="single" w:sz="4" w:space="0" w:color="auto"/>
            </w:tcBorders>
            <w:tcMar>
              <w:left w:w="0" w:type="dxa"/>
              <w:right w:w="0" w:type="dxa"/>
            </w:tcMar>
            <w:vAlign w:val="center"/>
          </w:tcPr>
          <w:p w14:paraId="6674E43C" w14:textId="77777777" w:rsidR="00A922C9" w:rsidRPr="00A964FF" w:rsidRDefault="00A922C9" w:rsidP="00904978">
            <w:pPr>
              <w:jc w:val="center"/>
              <w:textAlignment w:val="baseline"/>
              <w:rPr>
                <w:rFonts w:ascii="Calibri" w:hAnsi="Calibri"/>
                <w:color w:val="auto"/>
              </w:rPr>
            </w:pPr>
            <w:r w:rsidRPr="00A964FF">
              <w:rPr>
                <w:rFonts w:ascii="Calibri" w:hAnsi="Calibri"/>
                <w:color w:val="auto"/>
              </w:rPr>
              <w:t>风速</w:t>
            </w:r>
          </w:p>
        </w:tc>
        <w:tc>
          <w:tcPr>
            <w:tcW w:w="615" w:type="dxa"/>
            <w:tcBorders>
              <w:left w:val="single" w:sz="4" w:space="0" w:color="auto"/>
              <w:right w:val="single" w:sz="4" w:space="0" w:color="auto"/>
            </w:tcBorders>
            <w:tcMar>
              <w:left w:w="0" w:type="dxa"/>
              <w:right w:w="0" w:type="dxa"/>
            </w:tcMar>
            <w:vAlign w:val="center"/>
          </w:tcPr>
          <w:p w14:paraId="2D64C005"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1.92</w:t>
            </w:r>
          </w:p>
        </w:tc>
        <w:tc>
          <w:tcPr>
            <w:tcW w:w="616" w:type="dxa"/>
            <w:tcBorders>
              <w:left w:val="single" w:sz="4" w:space="0" w:color="auto"/>
              <w:right w:val="single" w:sz="4" w:space="0" w:color="auto"/>
            </w:tcBorders>
            <w:tcMar>
              <w:left w:w="0" w:type="dxa"/>
              <w:right w:w="0" w:type="dxa"/>
            </w:tcMar>
            <w:vAlign w:val="center"/>
          </w:tcPr>
          <w:p w14:paraId="0D273AB7"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3.04</w:t>
            </w:r>
          </w:p>
        </w:tc>
        <w:tc>
          <w:tcPr>
            <w:tcW w:w="616" w:type="dxa"/>
            <w:tcBorders>
              <w:left w:val="single" w:sz="4" w:space="0" w:color="auto"/>
              <w:right w:val="single" w:sz="4" w:space="0" w:color="auto"/>
            </w:tcBorders>
            <w:tcMar>
              <w:left w:w="0" w:type="dxa"/>
              <w:right w:w="0" w:type="dxa"/>
            </w:tcMar>
            <w:vAlign w:val="center"/>
          </w:tcPr>
          <w:p w14:paraId="3504291E"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2.68</w:t>
            </w:r>
          </w:p>
        </w:tc>
        <w:tc>
          <w:tcPr>
            <w:tcW w:w="616" w:type="dxa"/>
            <w:tcBorders>
              <w:left w:val="single" w:sz="4" w:space="0" w:color="auto"/>
              <w:right w:val="single" w:sz="4" w:space="0" w:color="auto"/>
            </w:tcBorders>
            <w:tcMar>
              <w:left w:w="0" w:type="dxa"/>
              <w:right w:w="0" w:type="dxa"/>
            </w:tcMar>
            <w:vAlign w:val="center"/>
          </w:tcPr>
          <w:p w14:paraId="7BAA24EF"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2.53</w:t>
            </w:r>
          </w:p>
        </w:tc>
        <w:tc>
          <w:tcPr>
            <w:tcW w:w="616" w:type="dxa"/>
            <w:tcBorders>
              <w:left w:val="single" w:sz="4" w:space="0" w:color="auto"/>
            </w:tcBorders>
            <w:tcMar>
              <w:left w:w="0" w:type="dxa"/>
              <w:right w:w="0" w:type="dxa"/>
            </w:tcMar>
            <w:vAlign w:val="center"/>
          </w:tcPr>
          <w:p w14:paraId="4957D823"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2.73</w:t>
            </w:r>
          </w:p>
        </w:tc>
        <w:tc>
          <w:tcPr>
            <w:tcW w:w="616" w:type="dxa"/>
            <w:tcBorders>
              <w:right w:val="single" w:sz="4" w:space="0" w:color="auto"/>
            </w:tcBorders>
            <w:tcMar>
              <w:left w:w="0" w:type="dxa"/>
              <w:right w:w="0" w:type="dxa"/>
            </w:tcMar>
            <w:vAlign w:val="center"/>
          </w:tcPr>
          <w:p w14:paraId="4A0BA589"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2.48</w:t>
            </w:r>
          </w:p>
        </w:tc>
        <w:tc>
          <w:tcPr>
            <w:tcW w:w="615" w:type="dxa"/>
            <w:tcBorders>
              <w:left w:val="single" w:sz="4" w:space="0" w:color="auto"/>
              <w:right w:val="single" w:sz="4" w:space="0" w:color="auto"/>
            </w:tcBorders>
            <w:tcMar>
              <w:left w:w="0" w:type="dxa"/>
              <w:right w:w="0" w:type="dxa"/>
            </w:tcMar>
            <w:vAlign w:val="center"/>
          </w:tcPr>
          <w:p w14:paraId="3BDA450C"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1.75</w:t>
            </w:r>
          </w:p>
        </w:tc>
        <w:tc>
          <w:tcPr>
            <w:tcW w:w="616" w:type="dxa"/>
            <w:tcBorders>
              <w:left w:val="single" w:sz="4" w:space="0" w:color="auto"/>
              <w:right w:val="single" w:sz="4" w:space="0" w:color="auto"/>
            </w:tcBorders>
            <w:tcMar>
              <w:left w:w="0" w:type="dxa"/>
              <w:right w:w="0" w:type="dxa"/>
            </w:tcMar>
            <w:vAlign w:val="center"/>
          </w:tcPr>
          <w:p w14:paraId="3F97B3C1"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1.72</w:t>
            </w:r>
          </w:p>
        </w:tc>
        <w:tc>
          <w:tcPr>
            <w:tcW w:w="616" w:type="dxa"/>
            <w:tcBorders>
              <w:left w:val="single" w:sz="4" w:space="0" w:color="auto"/>
              <w:right w:val="single" w:sz="4" w:space="0" w:color="auto"/>
            </w:tcBorders>
            <w:tcMar>
              <w:left w:w="0" w:type="dxa"/>
              <w:right w:w="0" w:type="dxa"/>
            </w:tcMar>
            <w:vAlign w:val="center"/>
          </w:tcPr>
          <w:p w14:paraId="39D7B726"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1.61</w:t>
            </w:r>
          </w:p>
        </w:tc>
        <w:tc>
          <w:tcPr>
            <w:tcW w:w="616" w:type="dxa"/>
            <w:tcBorders>
              <w:left w:val="single" w:sz="4" w:space="0" w:color="auto"/>
              <w:right w:val="single" w:sz="4" w:space="0" w:color="auto"/>
            </w:tcBorders>
            <w:tcMar>
              <w:left w:w="0" w:type="dxa"/>
              <w:right w:w="0" w:type="dxa"/>
            </w:tcMar>
            <w:vAlign w:val="center"/>
          </w:tcPr>
          <w:p w14:paraId="239A03F3"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1.59</w:t>
            </w:r>
          </w:p>
        </w:tc>
        <w:tc>
          <w:tcPr>
            <w:tcW w:w="616" w:type="dxa"/>
            <w:tcBorders>
              <w:left w:val="single" w:sz="4" w:space="0" w:color="auto"/>
              <w:right w:val="single" w:sz="4" w:space="0" w:color="auto"/>
            </w:tcBorders>
            <w:tcMar>
              <w:left w:w="0" w:type="dxa"/>
              <w:right w:w="0" w:type="dxa"/>
            </w:tcMar>
            <w:vAlign w:val="center"/>
          </w:tcPr>
          <w:p w14:paraId="66963E44"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2.11</w:t>
            </w:r>
          </w:p>
        </w:tc>
        <w:tc>
          <w:tcPr>
            <w:tcW w:w="616" w:type="dxa"/>
            <w:tcBorders>
              <w:left w:val="single" w:sz="4" w:space="0" w:color="auto"/>
              <w:right w:val="single" w:sz="4" w:space="0" w:color="auto"/>
            </w:tcBorders>
            <w:tcMar>
              <w:left w:w="0" w:type="dxa"/>
              <w:right w:w="0" w:type="dxa"/>
            </w:tcMar>
            <w:vAlign w:val="center"/>
          </w:tcPr>
          <w:p w14:paraId="2CDFB15D"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2.33</w:t>
            </w:r>
          </w:p>
        </w:tc>
        <w:tc>
          <w:tcPr>
            <w:tcW w:w="616" w:type="dxa"/>
            <w:tcBorders>
              <w:left w:val="single" w:sz="4" w:space="0" w:color="auto"/>
            </w:tcBorders>
            <w:tcMar>
              <w:left w:w="0" w:type="dxa"/>
              <w:right w:w="0" w:type="dxa"/>
            </w:tcMar>
            <w:vAlign w:val="center"/>
          </w:tcPr>
          <w:p w14:paraId="1CA3FD87" w14:textId="77777777" w:rsidR="00A922C9" w:rsidRPr="00A964FF" w:rsidRDefault="00A922C9" w:rsidP="00A922C9">
            <w:pPr>
              <w:jc w:val="center"/>
              <w:rPr>
                <w:rFonts w:asciiTheme="minorHAnsi" w:hAnsiTheme="minorHAnsi" w:cs="宋体"/>
                <w:color w:val="auto"/>
                <w:sz w:val="24"/>
              </w:rPr>
            </w:pPr>
            <w:r w:rsidRPr="00A964FF">
              <w:rPr>
                <w:rFonts w:asciiTheme="minorHAnsi" w:hAnsiTheme="minorHAnsi"/>
                <w:color w:val="auto"/>
              </w:rPr>
              <w:t>2.2</w:t>
            </w:r>
            <w:r w:rsidR="00351DCE" w:rsidRPr="00A964FF">
              <w:rPr>
                <w:rFonts w:asciiTheme="minorHAnsi" w:hAnsiTheme="minorHAnsi" w:hint="eastAsia"/>
                <w:color w:val="auto"/>
              </w:rPr>
              <w:t>1</w:t>
            </w:r>
          </w:p>
        </w:tc>
      </w:tr>
    </w:tbl>
    <w:p w14:paraId="2A99DF21"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20</w:t>
      </w:r>
      <w:r w:rsidR="00A922C9" w:rsidRPr="00A964FF">
        <w:rPr>
          <w:rFonts w:ascii="Calibri" w:hAnsi="Calibri" w:hint="eastAsia"/>
          <w:color w:val="auto"/>
          <w:sz w:val="24"/>
        </w:rPr>
        <w:t>20</w:t>
      </w:r>
      <w:r w:rsidRPr="00A964FF">
        <w:rPr>
          <w:rFonts w:ascii="Calibri" w:hAnsi="Calibri" w:hint="eastAsia"/>
          <w:color w:val="auto"/>
          <w:sz w:val="24"/>
        </w:rPr>
        <w:t>年平均风速月变化曲线见图</w:t>
      </w:r>
      <w:r w:rsidRPr="00A964FF">
        <w:rPr>
          <w:rFonts w:ascii="Calibri" w:hAnsi="Calibri" w:hint="eastAsia"/>
          <w:color w:val="auto"/>
          <w:sz w:val="24"/>
        </w:rPr>
        <w:t>4.2-3</w:t>
      </w:r>
      <w:r w:rsidRPr="00A964FF">
        <w:rPr>
          <w:rFonts w:ascii="Calibri" w:hAnsi="Calibri" w:hint="eastAsia"/>
          <w:color w:val="auto"/>
          <w:sz w:val="24"/>
        </w:rPr>
        <w:t>。</w:t>
      </w:r>
    </w:p>
    <w:p w14:paraId="6C11B8CC" w14:textId="77777777" w:rsidR="0096136C" w:rsidRPr="00A964FF" w:rsidRDefault="0096136C" w:rsidP="0096136C">
      <w:pPr>
        <w:spacing w:line="520" w:lineRule="exact"/>
        <w:ind w:firstLineChars="200" w:firstLine="480"/>
        <w:jc w:val="left"/>
        <w:rPr>
          <w:rFonts w:ascii="Calibri" w:hAnsi="Calibri"/>
          <w:color w:val="auto"/>
          <w:sz w:val="24"/>
        </w:rPr>
      </w:pPr>
    </w:p>
    <w:p w14:paraId="7EEB52B5" w14:textId="77777777" w:rsidR="0096136C" w:rsidRPr="00A964FF" w:rsidRDefault="0096136C" w:rsidP="0096136C">
      <w:pPr>
        <w:spacing w:line="520" w:lineRule="exact"/>
        <w:ind w:firstLineChars="200" w:firstLine="480"/>
        <w:jc w:val="left"/>
        <w:rPr>
          <w:rFonts w:ascii="Calibri" w:hAnsi="Calibri"/>
          <w:color w:val="auto"/>
          <w:sz w:val="24"/>
        </w:rPr>
      </w:pPr>
    </w:p>
    <w:p w14:paraId="24D0D979" w14:textId="77777777" w:rsidR="0096136C" w:rsidRPr="00A964FF" w:rsidRDefault="0096136C" w:rsidP="0096136C">
      <w:pPr>
        <w:spacing w:line="520" w:lineRule="exact"/>
        <w:ind w:firstLineChars="200" w:firstLine="480"/>
        <w:jc w:val="left"/>
        <w:rPr>
          <w:rFonts w:ascii="Calibri" w:hAnsi="Calibri"/>
          <w:color w:val="auto"/>
          <w:sz w:val="24"/>
        </w:rPr>
      </w:pPr>
    </w:p>
    <w:p w14:paraId="7B33CA33" w14:textId="77777777" w:rsidR="0096136C" w:rsidRPr="00A964FF" w:rsidRDefault="0096136C" w:rsidP="0096136C">
      <w:pPr>
        <w:spacing w:line="520" w:lineRule="exact"/>
        <w:ind w:firstLineChars="200" w:firstLine="480"/>
        <w:jc w:val="left"/>
        <w:rPr>
          <w:rFonts w:ascii="Calibri" w:hAnsi="Calibri"/>
          <w:color w:val="auto"/>
          <w:sz w:val="24"/>
        </w:rPr>
      </w:pPr>
    </w:p>
    <w:p w14:paraId="0CE0FF2A" w14:textId="77777777" w:rsidR="0096136C" w:rsidRPr="00A964FF" w:rsidRDefault="0096136C" w:rsidP="0096136C">
      <w:pPr>
        <w:spacing w:line="520" w:lineRule="exact"/>
        <w:ind w:firstLineChars="200" w:firstLine="480"/>
        <w:jc w:val="left"/>
        <w:rPr>
          <w:rFonts w:ascii="Calibri" w:hAnsi="Calibri"/>
          <w:color w:val="auto"/>
          <w:sz w:val="24"/>
        </w:rPr>
      </w:pPr>
    </w:p>
    <w:p w14:paraId="2EA9B2D2" w14:textId="77777777" w:rsidR="00A922C9" w:rsidRPr="00A964FF" w:rsidRDefault="00A922C9" w:rsidP="0096136C">
      <w:pPr>
        <w:spacing w:line="520" w:lineRule="exact"/>
        <w:ind w:firstLineChars="200" w:firstLine="480"/>
        <w:jc w:val="left"/>
        <w:rPr>
          <w:rFonts w:ascii="Calibri" w:hAnsi="Calibri"/>
          <w:color w:val="auto"/>
          <w:sz w:val="24"/>
        </w:rPr>
      </w:pPr>
    </w:p>
    <w:p w14:paraId="3F3DDD7C" w14:textId="77777777" w:rsidR="00A922C9" w:rsidRPr="00A964FF" w:rsidRDefault="00A922C9" w:rsidP="0096136C">
      <w:pPr>
        <w:spacing w:line="520" w:lineRule="exact"/>
        <w:ind w:firstLineChars="200" w:firstLine="480"/>
        <w:jc w:val="left"/>
        <w:rPr>
          <w:rFonts w:ascii="Calibri" w:hAnsi="Calibri"/>
          <w:color w:val="auto"/>
          <w:sz w:val="24"/>
        </w:rPr>
      </w:pPr>
    </w:p>
    <w:p w14:paraId="4366A48E" w14:textId="77777777" w:rsidR="0096136C" w:rsidRPr="00A964FF" w:rsidRDefault="0096136C" w:rsidP="0096136C">
      <w:pPr>
        <w:spacing w:line="520" w:lineRule="exact"/>
        <w:ind w:firstLineChars="200" w:firstLine="480"/>
        <w:jc w:val="left"/>
        <w:rPr>
          <w:rFonts w:ascii="Calibri" w:hAnsi="Calibri"/>
          <w:color w:val="auto"/>
          <w:sz w:val="24"/>
        </w:rPr>
      </w:pPr>
    </w:p>
    <w:p w14:paraId="53C3B280" w14:textId="77777777" w:rsidR="0096136C" w:rsidRPr="00A964FF" w:rsidRDefault="0096136C" w:rsidP="0096136C">
      <w:pPr>
        <w:spacing w:line="520" w:lineRule="exact"/>
        <w:ind w:firstLineChars="200" w:firstLine="480"/>
        <w:jc w:val="left"/>
        <w:rPr>
          <w:rFonts w:ascii="Calibri" w:hAnsi="Calibri"/>
          <w:color w:val="auto"/>
          <w:sz w:val="24"/>
        </w:rPr>
      </w:pPr>
    </w:p>
    <w:p w14:paraId="15A3CD51" w14:textId="77777777" w:rsidR="0096136C" w:rsidRPr="00A964FF" w:rsidRDefault="00A922C9" w:rsidP="00A922C9">
      <w:pPr>
        <w:spacing w:line="520" w:lineRule="exact"/>
        <w:ind w:firstLineChars="200" w:firstLine="480"/>
        <w:jc w:val="left"/>
        <w:rPr>
          <w:rFonts w:ascii="Calibri" w:eastAsia="黑体" w:hAnsi="Calibri"/>
          <w:color w:val="auto"/>
          <w:sz w:val="24"/>
        </w:rPr>
      </w:pPr>
      <w:r w:rsidRPr="00A964FF">
        <w:rPr>
          <w:rFonts w:ascii="Calibri" w:eastAsia="黑体" w:hAnsi="黑体"/>
          <w:noProof/>
          <w:color w:val="auto"/>
          <w:sz w:val="24"/>
        </w:rPr>
        <w:lastRenderedPageBreak/>
        <w:drawing>
          <wp:anchor distT="0" distB="0" distL="114300" distR="114300" simplePos="0" relativeHeight="251879936" behindDoc="0" locked="0" layoutInCell="1" allowOverlap="1" wp14:anchorId="400A8235" wp14:editId="6E31F355">
            <wp:simplePos x="0" y="0"/>
            <wp:positionH relativeFrom="column">
              <wp:posOffset>-6350</wp:posOffset>
            </wp:positionH>
            <wp:positionV relativeFrom="paragraph">
              <wp:posOffset>77470</wp:posOffset>
            </wp:positionV>
            <wp:extent cx="5544820" cy="3027680"/>
            <wp:effectExtent l="19050" t="0" r="0" b="0"/>
            <wp:wrapTopAndBottom/>
            <wp:docPr id="2649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srcRect/>
                    <a:stretch>
                      <a:fillRect/>
                    </a:stretch>
                  </pic:blipFill>
                  <pic:spPr bwMode="auto">
                    <a:xfrm>
                      <a:off x="0" y="0"/>
                      <a:ext cx="5544820" cy="3027680"/>
                    </a:xfrm>
                    <a:prstGeom prst="rect">
                      <a:avLst/>
                    </a:prstGeom>
                    <a:noFill/>
                    <a:ln w="9525">
                      <a:noFill/>
                      <a:miter lim="800000"/>
                      <a:headEnd/>
                      <a:tailEnd/>
                    </a:ln>
                  </pic:spPr>
                </pic:pic>
              </a:graphicData>
            </a:graphic>
          </wp:anchor>
        </w:drawing>
      </w:r>
      <w:r w:rsidR="0096136C" w:rsidRPr="00A964FF">
        <w:rPr>
          <w:rFonts w:ascii="Calibri" w:eastAsia="黑体" w:hAnsi="黑体"/>
          <w:color w:val="auto"/>
          <w:sz w:val="24"/>
        </w:rPr>
        <w:t>图</w:t>
      </w:r>
      <w:r w:rsidR="0096136C" w:rsidRPr="00A964FF">
        <w:rPr>
          <w:rFonts w:ascii="Calibri" w:eastAsia="黑体" w:hAnsi="Calibri"/>
          <w:color w:val="auto"/>
          <w:sz w:val="24"/>
        </w:rPr>
        <w:t>4</w:t>
      </w:r>
      <w:r w:rsidR="0096136C" w:rsidRPr="00A964FF">
        <w:rPr>
          <w:rFonts w:ascii="Calibri" w:eastAsia="黑体" w:hAnsi="Calibri" w:hint="eastAsia"/>
          <w:color w:val="auto"/>
          <w:sz w:val="24"/>
        </w:rPr>
        <w:t>.2</w:t>
      </w:r>
      <w:r w:rsidR="0096136C" w:rsidRPr="00A964FF">
        <w:rPr>
          <w:rFonts w:ascii="Calibri" w:eastAsia="黑体" w:hAnsi="Calibri"/>
          <w:color w:val="auto"/>
          <w:sz w:val="24"/>
        </w:rPr>
        <w:t>-</w:t>
      </w:r>
      <w:r w:rsidR="0096136C" w:rsidRPr="00A964FF">
        <w:rPr>
          <w:rFonts w:ascii="Calibri" w:eastAsia="黑体" w:hAnsi="Calibri" w:hint="eastAsia"/>
          <w:color w:val="auto"/>
          <w:sz w:val="24"/>
        </w:rPr>
        <w:t>3</w:t>
      </w:r>
      <w:r w:rsidR="0096136C" w:rsidRPr="00A964FF">
        <w:rPr>
          <w:rFonts w:ascii="Calibri" w:eastAsia="黑体" w:hAnsi="Calibri"/>
          <w:color w:val="auto"/>
          <w:sz w:val="24"/>
        </w:rPr>
        <w:t xml:space="preserve">             </w:t>
      </w:r>
      <w:r w:rsidR="0096136C" w:rsidRPr="00A964FF">
        <w:rPr>
          <w:rFonts w:ascii="Calibri" w:eastAsia="黑体" w:hAnsi="Calibri" w:hint="eastAsia"/>
          <w:color w:val="auto"/>
          <w:sz w:val="24"/>
        </w:rPr>
        <w:t xml:space="preserve">    </w:t>
      </w:r>
      <w:r w:rsidR="0096136C" w:rsidRPr="00A964FF">
        <w:rPr>
          <w:rFonts w:ascii="Calibri" w:eastAsia="黑体" w:hAnsi="Calibri"/>
          <w:color w:val="auto"/>
          <w:sz w:val="24"/>
        </w:rPr>
        <w:t xml:space="preserve"> </w:t>
      </w:r>
      <w:r w:rsidR="0096136C" w:rsidRPr="00A964FF">
        <w:rPr>
          <w:rFonts w:ascii="Calibri" w:eastAsia="黑体" w:hAnsi="Calibri" w:hint="eastAsia"/>
          <w:color w:val="auto"/>
          <w:sz w:val="24"/>
        </w:rPr>
        <w:t>年</w:t>
      </w:r>
      <w:r w:rsidR="0096136C" w:rsidRPr="00A964FF">
        <w:rPr>
          <w:rFonts w:ascii="Calibri" w:eastAsia="黑体" w:hAnsi="黑体"/>
          <w:color w:val="auto"/>
          <w:sz w:val="24"/>
        </w:rPr>
        <w:t>平均风速的月变化曲线</w:t>
      </w:r>
      <w:r w:rsidRPr="00A964FF">
        <w:rPr>
          <w:rFonts w:ascii="Calibri" w:eastAsia="黑体" w:hAnsi="黑体" w:hint="eastAsia"/>
          <w:color w:val="auto"/>
          <w:sz w:val="24"/>
        </w:rPr>
        <w:t>图</w:t>
      </w:r>
    </w:p>
    <w:p w14:paraId="480856B8"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②</w:t>
      </w:r>
      <w:r w:rsidRPr="00A964FF">
        <w:rPr>
          <w:rFonts w:ascii="Calibri" w:hAnsi="Calibri" w:hint="eastAsia"/>
          <w:color w:val="auto"/>
          <w:sz w:val="24"/>
        </w:rPr>
        <w:t xml:space="preserve"> </w:t>
      </w:r>
      <w:r w:rsidRPr="00A964FF">
        <w:rPr>
          <w:rFonts w:ascii="Calibri" w:hAnsi="Calibri" w:hint="eastAsia"/>
          <w:color w:val="auto"/>
          <w:sz w:val="24"/>
        </w:rPr>
        <w:t>季小时平均风速日变化</w:t>
      </w:r>
    </w:p>
    <w:p w14:paraId="02F3B6D3"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根据叶县气象观测值</w:t>
      </w:r>
      <w:r w:rsidRPr="00A964FF">
        <w:rPr>
          <w:rFonts w:ascii="Calibri" w:hAnsi="Calibri" w:hint="eastAsia"/>
          <w:color w:val="auto"/>
          <w:sz w:val="24"/>
        </w:rPr>
        <w:t>20</w:t>
      </w:r>
      <w:r w:rsidR="00A922C9" w:rsidRPr="00A964FF">
        <w:rPr>
          <w:rFonts w:ascii="Calibri" w:hAnsi="Calibri" w:hint="eastAsia"/>
          <w:color w:val="auto"/>
          <w:sz w:val="24"/>
        </w:rPr>
        <w:t>20</w:t>
      </w:r>
      <w:r w:rsidRPr="00A964FF">
        <w:rPr>
          <w:rFonts w:ascii="Calibri" w:hAnsi="Calibri" w:hint="eastAsia"/>
          <w:color w:val="auto"/>
          <w:sz w:val="24"/>
        </w:rPr>
        <w:t>年全年</w:t>
      </w:r>
      <w:r w:rsidRPr="00A964FF">
        <w:rPr>
          <w:rFonts w:ascii="Calibri" w:hAnsi="Calibri" w:hint="eastAsia"/>
          <w:bCs/>
          <w:color w:val="auto"/>
          <w:sz w:val="24"/>
        </w:rPr>
        <w:t>逐日地面气象观测资料进行统计，</w:t>
      </w:r>
      <w:r w:rsidRPr="00A964FF">
        <w:rPr>
          <w:rFonts w:ascii="Calibri" w:hAnsi="Calibri" w:hint="eastAsia"/>
          <w:color w:val="auto"/>
          <w:sz w:val="24"/>
        </w:rPr>
        <w:t>季小时平均风速日变化</w:t>
      </w:r>
      <w:r w:rsidRPr="00A964FF">
        <w:rPr>
          <w:rFonts w:ascii="Calibri" w:hAnsi="Calibri" w:hint="eastAsia"/>
          <w:bCs/>
          <w:color w:val="auto"/>
          <w:sz w:val="24"/>
        </w:rPr>
        <w:t>见表</w:t>
      </w:r>
      <w:r w:rsidRPr="00A964FF">
        <w:rPr>
          <w:rFonts w:ascii="Calibri" w:hAnsi="Calibri" w:hint="eastAsia"/>
          <w:bCs/>
          <w:color w:val="auto"/>
          <w:sz w:val="24"/>
        </w:rPr>
        <w:t>4.2-4</w:t>
      </w:r>
      <w:r w:rsidRPr="00A964FF">
        <w:rPr>
          <w:rFonts w:ascii="Calibri" w:hAnsi="Calibri" w:hint="eastAsia"/>
          <w:color w:val="auto"/>
          <w:sz w:val="24"/>
        </w:rPr>
        <w:t>。</w:t>
      </w:r>
    </w:p>
    <w:p w14:paraId="5AB9784B" w14:textId="77777777" w:rsidR="0096136C" w:rsidRPr="00A964FF" w:rsidRDefault="0096136C" w:rsidP="0096136C">
      <w:pPr>
        <w:spacing w:line="520" w:lineRule="exact"/>
        <w:ind w:firstLineChars="200" w:firstLine="480"/>
        <w:rPr>
          <w:rFonts w:ascii="宋体" w:eastAsia="黑体" w:hAnsi="宋体" w:cs="宋体"/>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4.2-4</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hint="eastAsia"/>
          <w:color w:val="auto"/>
          <w:sz w:val="24"/>
        </w:rPr>
        <w:t>季小时平均风速的日变化</w:t>
      </w:r>
      <w:r w:rsidRPr="00A964FF">
        <w:rPr>
          <w:rFonts w:ascii="Calibri" w:eastAsia="黑体" w:hAnsi="Calibri" w:hint="eastAsia"/>
          <w:color w:val="auto"/>
          <w:sz w:val="24"/>
        </w:rPr>
        <w:t xml:space="preserve">                  </w:t>
      </w:r>
      <w:r w:rsidRPr="00A964FF">
        <w:rPr>
          <w:rFonts w:ascii="Calibri" w:hAnsi="Calibri"/>
          <w:color w:val="auto"/>
          <w:szCs w:val="21"/>
        </w:rPr>
        <w:t>单位：</w:t>
      </w:r>
      <w:r w:rsidRPr="00A964FF">
        <w:rPr>
          <w:rFonts w:ascii="Calibri" w:hAnsi="Calibri" w:cs="宋体"/>
          <w:color w:val="auto"/>
          <w:szCs w:val="21"/>
        </w:rPr>
        <w:t>m/s</w:t>
      </w:r>
    </w:p>
    <w:tbl>
      <w:tblPr>
        <w:tblW w:w="90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5"/>
        <w:gridCol w:w="679"/>
        <w:gridCol w:w="679"/>
        <w:gridCol w:w="679"/>
        <w:gridCol w:w="679"/>
        <w:gridCol w:w="679"/>
        <w:gridCol w:w="679"/>
        <w:gridCol w:w="679"/>
        <w:gridCol w:w="679"/>
        <w:gridCol w:w="679"/>
        <w:gridCol w:w="679"/>
        <w:gridCol w:w="679"/>
        <w:gridCol w:w="679"/>
      </w:tblGrid>
      <w:tr w:rsidR="00A922C9" w:rsidRPr="00A964FF" w14:paraId="54EA760A" w14:textId="77777777" w:rsidTr="00904978">
        <w:trPr>
          <w:trHeight w:val="397"/>
          <w:jc w:val="center"/>
        </w:trPr>
        <w:tc>
          <w:tcPr>
            <w:tcW w:w="935" w:type="dxa"/>
            <w:tcBorders>
              <w:right w:val="single" w:sz="4" w:space="0" w:color="auto"/>
              <w:tl2br w:val="single" w:sz="4" w:space="0" w:color="auto"/>
            </w:tcBorders>
            <w:tcMar>
              <w:left w:w="0" w:type="dxa"/>
              <w:right w:w="0" w:type="dxa"/>
            </w:tcMar>
            <w:vAlign w:val="center"/>
          </w:tcPr>
          <w:p w14:paraId="1848C592"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 xml:space="preserve">  </w:t>
            </w:r>
            <w:r w:rsidRPr="00A964FF">
              <w:rPr>
                <w:rFonts w:ascii="Calibri" w:hAnsi="宋体" w:hint="eastAsia"/>
                <w:color w:val="auto"/>
              </w:rPr>
              <w:t>小时</w:t>
            </w:r>
          </w:p>
          <w:p w14:paraId="3AD020DF" w14:textId="77777777" w:rsidR="00A922C9" w:rsidRPr="00A964FF" w:rsidRDefault="00A922C9" w:rsidP="00904978">
            <w:pPr>
              <w:textAlignment w:val="baseline"/>
              <w:rPr>
                <w:rFonts w:ascii="Calibri" w:hAnsi="宋体"/>
                <w:color w:val="auto"/>
              </w:rPr>
            </w:pPr>
            <w:r w:rsidRPr="00A964FF">
              <w:rPr>
                <w:rFonts w:ascii="Calibri" w:hAnsi="宋体" w:hint="eastAsia"/>
                <w:color w:val="auto"/>
              </w:rPr>
              <w:t>风速</w:t>
            </w:r>
          </w:p>
        </w:tc>
        <w:tc>
          <w:tcPr>
            <w:tcW w:w="679" w:type="dxa"/>
            <w:tcBorders>
              <w:left w:val="single" w:sz="4" w:space="0" w:color="auto"/>
              <w:right w:val="single" w:sz="4" w:space="0" w:color="auto"/>
            </w:tcBorders>
            <w:tcMar>
              <w:left w:w="0" w:type="dxa"/>
              <w:right w:w="0" w:type="dxa"/>
            </w:tcMar>
            <w:vAlign w:val="center"/>
          </w:tcPr>
          <w:p w14:paraId="5D89D2A4" w14:textId="77777777" w:rsidR="00A922C9" w:rsidRPr="00A964FF" w:rsidRDefault="00A922C9" w:rsidP="00904978">
            <w:pPr>
              <w:jc w:val="center"/>
              <w:textAlignment w:val="baseline"/>
              <w:rPr>
                <w:rFonts w:ascii="Calibri" w:hAnsi="Calibri"/>
                <w:color w:val="auto"/>
              </w:rPr>
            </w:pPr>
            <w:r w:rsidRPr="00A964FF">
              <w:rPr>
                <w:rFonts w:ascii="Calibri" w:hAnsi="Calibri" w:hint="eastAsia"/>
                <w:color w:val="auto"/>
              </w:rPr>
              <w:t>0h</w:t>
            </w:r>
          </w:p>
        </w:tc>
        <w:tc>
          <w:tcPr>
            <w:tcW w:w="679" w:type="dxa"/>
            <w:tcBorders>
              <w:left w:val="single" w:sz="4" w:space="0" w:color="auto"/>
              <w:right w:val="single" w:sz="4" w:space="0" w:color="auto"/>
            </w:tcBorders>
            <w:tcMar>
              <w:left w:w="0" w:type="dxa"/>
              <w:right w:w="0" w:type="dxa"/>
            </w:tcMar>
            <w:vAlign w:val="center"/>
          </w:tcPr>
          <w:p w14:paraId="0B62D04C"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1</w:t>
            </w:r>
            <w:r w:rsidRPr="00A964FF">
              <w:rPr>
                <w:rFonts w:ascii="Calibri" w:hAnsi="Calibri" w:hint="eastAsia"/>
                <w:color w:val="auto"/>
              </w:rPr>
              <w:t>h</w:t>
            </w:r>
          </w:p>
        </w:tc>
        <w:tc>
          <w:tcPr>
            <w:tcW w:w="679" w:type="dxa"/>
            <w:tcBorders>
              <w:left w:val="single" w:sz="4" w:space="0" w:color="auto"/>
              <w:right w:val="single" w:sz="4" w:space="0" w:color="auto"/>
            </w:tcBorders>
            <w:tcMar>
              <w:left w:w="0" w:type="dxa"/>
              <w:right w:w="0" w:type="dxa"/>
            </w:tcMar>
            <w:vAlign w:val="center"/>
          </w:tcPr>
          <w:p w14:paraId="68DDAA9B"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2</w:t>
            </w:r>
            <w:r w:rsidRPr="00A964FF">
              <w:rPr>
                <w:rFonts w:ascii="Calibri" w:hAnsi="Calibri" w:hint="eastAsia"/>
                <w:color w:val="auto"/>
              </w:rPr>
              <w:t>h</w:t>
            </w:r>
          </w:p>
        </w:tc>
        <w:tc>
          <w:tcPr>
            <w:tcW w:w="679" w:type="dxa"/>
            <w:tcBorders>
              <w:left w:val="single" w:sz="4" w:space="0" w:color="auto"/>
              <w:right w:val="single" w:sz="4" w:space="0" w:color="auto"/>
            </w:tcBorders>
            <w:tcMar>
              <w:left w:w="0" w:type="dxa"/>
              <w:right w:w="0" w:type="dxa"/>
            </w:tcMar>
            <w:vAlign w:val="center"/>
          </w:tcPr>
          <w:p w14:paraId="1AE6E297"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3</w:t>
            </w:r>
            <w:r w:rsidRPr="00A964FF">
              <w:rPr>
                <w:rFonts w:ascii="Calibri" w:hAnsi="Calibri" w:hint="eastAsia"/>
                <w:color w:val="auto"/>
              </w:rPr>
              <w:t>h</w:t>
            </w:r>
          </w:p>
        </w:tc>
        <w:tc>
          <w:tcPr>
            <w:tcW w:w="679" w:type="dxa"/>
            <w:tcBorders>
              <w:left w:val="single" w:sz="4" w:space="0" w:color="auto"/>
            </w:tcBorders>
            <w:tcMar>
              <w:left w:w="0" w:type="dxa"/>
              <w:right w:w="0" w:type="dxa"/>
            </w:tcMar>
            <w:vAlign w:val="center"/>
          </w:tcPr>
          <w:p w14:paraId="268F6C03"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4</w:t>
            </w:r>
            <w:r w:rsidRPr="00A964FF">
              <w:rPr>
                <w:rFonts w:ascii="Calibri" w:hAnsi="Calibri" w:hint="eastAsia"/>
                <w:color w:val="auto"/>
              </w:rPr>
              <w:t>h</w:t>
            </w:r>
          </w:p>
        </w:tc>
        <w:tc>
          <w:tcPr>
            <w:tcW w:w="679" w:type="dxa"/>
            <w:tcBorders>
              <w:right w:val="single" w:sz="4" w:space="0" w:color="auto"/>
            </w:tcBorders>
            <w:tcMar>
              <w:left w:w="0" w:type="dxa"/>
              <w:right w:w="0" w:type="dxa"/>
            </w:tcMar>
            <w:vAlign w:val="center"/>
          </w:tcPr>
          <w:p w14:paraId="672F688F" w14:textId="77777777" w:rsidR="00A922C9" w:rsidRPr="00A964FF" w:rsidRDefault="00A922C9" w:rsidP="00E16351">
            <w:pPr>
              <w:jc w:val="center"/>
              <w:textAlignment w:val="baseline"/>
              <w:rPr>
                <w:rFonts w:ascii="Calibri" w:hAnsi="Calibri"/>
                <w:color w:val="auto"/>
              </w:rPr>
            </w:pPr>
            <w:r w:rsidRPr="00A964FF">
              <w:rPr>
                <w:rFonts w:ascii="Calibri" w:hAnsi="宋体" w:hint="eastAsia"/>
                <w:color w:val="auto"/>
              </w:rPr>
              <w:t>5</w:t>
            </w:r>
            <w:r w:rsidRPr="00A964FF">
              <w:rPr>
                <w:rFonts w:ascii="Calibri" w:hAnsi="Calibri" w:hint="eastAsia"/>
                <w:color w:val="auto"/>
              </w:rPr>
              <w:t>h</w:t>
            </w:r>
          </w:p>
        </w:tc>
        <w:tc>
          <w:tcPr>
            <w:tcW w:w="679" w:type="dxa"/>
            <w:tcBorders>
              <w:left w:val="single" w:sz="4" w:space="0" w:color="auto"/>
              <w:right w:val="single" w:sz="4" w:space="0" w:color="auto"/>
            </w:tcBorders>
            <w:tcMar>
              <w:left w:w="0" w:type="dxa"/>
              <w:right w:w="0" w:type="dxa"/>
            </w:tcMar>
            <w:vAlign w:val="center"/>
          </w:tcPr>
          <w:p w14:paraId="20CB1C01"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6</w:t>
            </w:r>
            <w:r w:rsidRPr="00A964FF">
              <w:rPr>
                <w:rFonts w:ascii="Calibri" w:hAnsi="Calibri" w:hint="eastAsia"/>
                <w:color w:val="auto"/>
              </w:rPr>
              <w:t>h</w:t>
            </w:r>
          </w:p>
        </w:tc>
        <w:tc>
          <w:tcPr>
            <w:tcW w:w="679" w:type="dxa"/>
            <w:tcBorders>
              <w:left w:val="single" w:sz="4" w:space="0" w:color="auto"/>
              <w:right w:val="single" w:sz="4" w:space="0" w:color="auto"/>
            </w:tcBorders>
            <w:tcMar>
              <w:left w:w="0" w:type="dxa"/>
              <w:right w:w="0" w:type="dxa"/>
            </w:tcMar>
            <w:vAlign w:val="center"/>
          </w:tcPr>
          <w:p w14:paraId="2AFE14FA"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7</w:t>
            </w:r>
            <w:r w:rsidRPr="00A964FF">
              <w:rPr>
                <w:rFonts w:ascii="Calibri" w:hAnsi="Calibri" w:hint="eastAsia"/>
                <w:color w:val="auto"/>
              </w:rPr>
              <w:t>h</w:t>
            </w:r>
          </w:p>
        </w:tc>
        <w:tc>
          <w:tcPr>
            <w:tcW w:w="679" w:type="dxa"/>
            <w:tcBorders>
              <w:left w:val="single" w:sz="4" w:space="0" w:color="auto"/>
              <w:right w:val="single" w:sz="4" w:space="0" w:color="auto"/>
            </w:tcBorders>
            <w:tcMar>
              <w:left w:w="0" w:type="dxa"/>
              <w:right w:w="0" w:type="dxa"/>
            </w:tcMar>
            <w:vAlign w:val="center"/>
          </w:tcPr>
          <w:p w14:paraId="707780A7"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8</w:t>
            </w:r>
            <w:r w:rsidRPr="00A964FF">
              <w:rPr>
                <w:rFonts w:ascii="Calibri" w:hAnsi="Calibri" w:hint="eastAsia"/>
                <w:color w:val="auto"/>
              </w:rPr>
              <w:t>h</w:t>
            </w:r>
          </w:p>
        </w:tc>
        <w:tc>
          <w:tcPr>
            <w:tcW w:w="679" w:type="dxa"/>
            <w:tcBorders>
              <w:left w:val="single" w:sz="4" w:space="0" w:color="auto"/>
              <w:right w:val="single" w:sz="4" w:space="0" w:color="auto"/>
            </w:tcBorders>
            <w:tcMar>
              <w:left w:w="0" w:type="dxa"/>
              <w:right w:w="0" w:type="dxa"/>
            </w:tcMar>
            <w:vAlign w:val="center"/>
          </w:tcPr>
          <w:p w14:paraId="338F6B99"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9</w:t>
            </w:r>
            <w:r w:rsidRPr="00A964FF">
              <w:rPr>
                <w:rFonts w:ascii="Calibri" w:hAnsi="Calibri" w:hint="eastAsia"/>
                <w:color w:val="auto"/>
              </w:rPr>
              <w:t>h</w:t>
            </w:r>
          </w:p>
        </w:tc>
        <w:tc>
          <w:tcPr>
            <w:tcW w:w="679" w:type="dxa"/>
            <w:tcBorders>
              <w:left w:val="single" w:sz="4" w:space="0" w:color="auto"/>
              <w:right w:val="single" w:sz="4" w:space="0" w:color="auto"/>
            </w:tcBorders>
            <w:tcMar>
              <w:left w:w="0" w:type="dxa"/>
              <w:right w:w="0" w:type="dxa"/>
            </w:tcMar>
            <w:vAlign w:val="center"/>
          </w:tcPr>
          <w:p w14:paraId="201F99D6"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10</w:t>
            </w:r>
            <w:r w:rsidRPr="00A964FF">
              <w:rPr>
                <w:rFonts w:ascii="Calibri" w:hAnsi="Calibri" w:hint="eastAsia"/>
                <w:color w:val="auto"/>
              </w:rPr>
              <w:t>h</w:t>
            </w:r>
          </w:p>
        </w:tc>
        <w:tc>
          <w:tcPr>
            <w:tcW w:w="679" w:type="dxa"/>
            <w:tcBorders>
              <w:left w:val="single" w:sz="4" w:space="0" w:color="auto"/>
            </w:tcBorders>
            <w:tcMar>
              <w:left w:w="0" w:type="dxa"/>
              <w:right w:w="0" w:type="dxa"/>
            </w:tcMar>
            <w:vAlign w:val="center"/>
          </w:tcPr>
          <w:p w14:paraId="775D64A1" w14:textId="77777777" w:rsidR="00A922C9" w:rsidRPr="00A964FF" w:rsidRDefault="00A922C9" w:rsidP="00E16351">
            <w:pPr>
              <w:jc w:val="center"/>
              <w:textAlignment w:val="baseline"/>
              <w:rPr>
                <w:rFonts w:ascii="Calibri" w:hAnsi="Calibri"/>
                <w:color w:val="auto"/>
              </w:rPr>
            </w:pPr>
            <w:r w:rsidRPr="00A964FF">
              <w:rPr>
                <w:rFonts w:ascii="Calibri" w:hAnsi="Calibri"/>
                <w:color w:val="auto"/>
              </w:rPr>
              <w:t>11</w:t>
            </w:r>
            <w:r w:rsidRPr="00A964FF">
              <w:rPr>
                <w:rFonts w:ascii="Calibri" w:hAnsi="Calibri" w:hint="eastAsia"/>
                <w:color w:val="auto"/>
              </w:rPr>
              <w:t>h</w:t>
            </w:r>
          </w:p>
        </w:tc>
      </w:tr>
      <w:tr w:rsidR="00A922C9" w:rsidRPr="00A964FF" w14:paraId="75227EFE" w14:textId="77777777" w:rsidTr="00904978">
        <w:trPr>
          <w:trHeight w:val="397"/>
          <w:jc w:val="center"/>
        </w:trPr>
        <w:tc>
          <w:tcPr>
            <w:tcW w:w="935" w:type="dxa"/>
            <w:tcBorders>
              <w:right w:val="single" w:sz="4" w:space="0" w:color="auto"/>
            </w:tcBorders>
            <w:tcMar>
              <w:left w:w="0" w:type="dxa"/>
              <w:right w:w="0" w:type="dxa"/>
            </w:tcMar>
            <w:vAlign w:val="center"/>
          </w:tcPr>
          <w:p w14:paraId="41BF39B8" w14:textId="77777777" w:rsidR="00A922C9" w:rsidRPr="00A964FF" w:rsidRDefault="00A922C9" w:rsidP="00904978">
            <w:pPr>
              <w:jc w:val="center"/>
              <w:textAlignment w:val="baseline"/>
              <w:rPr>
                <w:rFonts w:ascii="Calibri" w:hAnsi="Calibri"/>
                <w:color w:val="auto"/>
              </w:rPr>
            </w:pPr>
            <w:r w:rsidRPr="00A964FF">
              <w:rPr>
                <w:rFonts w:ascii="Calibri" w:hAnsi="宋体" w:hint="eastAsia"/>
                <w:color w:val="auto"/>
              </w:rPr>
              <w:t>春季</w:t>
            </w:r>
          </w:p>
        </w:tc>
        <w:tc>
          <w:tcPr>
            <w:tcW w:w="679" w:type="dxa"/>
            <w:tcBorders>
              <w:left w:val="single" w:sz="4" w:space="0" w:color="auto"/>
              <w:right w:val="single" w:sz="4" w:space="0" w:color="auto"/>
            </w:tcBorders>
            <w:tcMar>
              <w:left w:w="0" w:type="dxa"/>
              <w:right w:w="0" w:type="dxa"/>
            </w:tcMar>
            <w:vAlign w:val="center"/>
          </w:tcPr>
          <w:p w14:paraId="60162ABF"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1.94</w:t>
            </w:r>
          </w:p>
        </w:tc>
        <w:tc>
          <w:tcPr>
            <w:tcW w:w="679" w:type="dxa"/>
            <w:tcBorders>
              <w:left w:val="single" w:sz="4" w:space="0" w:color="auto"/>
              <w:right w:val="single" w:sz="4" w:space="0" w:color="auto"/>
            </w:tcBorders>
            <w:tcMar>
              <w:left w:w="0" w:type="dxa"/>
              <w:right w:w="0" w:type="dxa"/>
            </w:tcMar>
            <w:vAlign w:val="center"/>
          </w:tcPr>
          <w:p w14:paraId="4D72D89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1.91</w:t>
            </w:r>
          </w:p>
        </w:tc>
        <w:tc>
          <w:tcPr>
            <w:tcW w:w="679" w:type="dxa"/>
            <w:tcBorders>
              <w:left w:val="single" w:sz="4" w:space="0" w:color="auto"/>
              <w:right w:val="single" w:sz="4" w:space="0" w:color="auto"/>
            </w:tcBorders>
            <w:tcMar>
              <w:left w:w="0" w:type="dxa"/>
              <w:right w:w="0" w:type="dxa"/>
            </w:tcMar>
            <w:vAlign w:val="center"/>
          </w:tcPr>
          <w:p w14:paraId="49EC3F0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1.62</w:t>
            </w:r>
          </w:p>
        </w:tc>
        <w:tc>
          <w:tcPr>
            <w:tcW w:w="679" w:type="dxa"/>
            <w:tcBorders>
              <w:left w:val="single" w:sz="4" w:space="0" w:color="auto"/>
              <w:right w:val="single" w:sz="4" w:space="0" w:color="auto"/>
            </w:tcBorders>
            <w:tcMar>
              <w:left w:w="0" w:type="dxa"/>
              <w:right w:w="0" w:type="dxa"/>
            </w:tcMar>
            <w:vAlign w:val="center"/>
          </w:tcPr>
          <w:p w14:paraId="073B848E"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1.61</w:t>
            </w:r>
          </w:p>
        </w:tc>
        <w:tc>
          <w:tcPr>
            <w:tcW w:w="679" w:type="dxa"/>
            <w:tcBorders>
              <w:left w:val="single" w:sz="4" w:space="0" w:color="auto"/>
            </w:tcBorders>
            <w:tcMar>
              <w:left w:w="0" w:type="dxa"/>
              <w:right w:w="0" w:type="dxa"/>
            </w:tcMar>
            <w:vAlign w:val="center"/>
          </w:tcPr>
          <w:p w14:paraId="11590338"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w:t>
            </w:r>
          </w:p>
        </w:tc>
        <w:tc>
          <w:tcPr>
            <w:tcW w:w="679" w:type="dxa"/>
            <w:tcBorders>
              <w:right w:val="single" w:sz="4" w:space="0" w:color="auto"/>
            </w:tcBorders>
            <w:tcMar>
              <w:left w:w="0" w:type="dxa"/>
              <w:right w:w="0" w:type="dxa"/>
            </w:tcMar>
            <w:vAlign w:val="center"/>
          </w:tcPr>
          <w:p w14:paraId="1EDD47B3"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1.69</w:t>
            </w:r>
          </w:p>
        </w:tc>
        <w:tc>
          <w:tcPr>
            <w:tcW w:w="679" w:type="dxa"/>
            <w:tcBorders>
              <w:left w:val="single" w:sz="4" w:space="0" w:color="auto"/>
              <w:right w:val="single" w:sz="4" w:space="0" w:color="auto"/>
            </w:tcBorders>
            <w:tcMar>
              <w:left w:w="0" w:type="dxa"/>
              <w:right w:w="0" w:type="dxa"/>
            </w:tcMar>
            <w:vAlign w:val="center"/>
          </w:tcPr>
          <w:p w14:paraId="2A145507"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1.78</w:t>
            </w:r>
          </w:p>
        </w:tc>
        <w:tc>
          <w:tcPr>
            <w:tcW w:w="679" w:type="dxa"/>
            <w:tcBorders>
              <w:left w:val="single" w:sz="4" w:space="0" w:color="auto"/>
              <w:right w:val="single" w:sz="4" w:space="0" w:color="auto"/>
            </w:tcBorders>
            <w:tcMar>
              <w:left w:w="0" w:type="dxa"/>
              <w:right w:w="0" w:type="dxa"/>
            </w:tcMar>
            <w:vAlign w:val="center"/>
          </w:tcPr>
          <w:p w14:paraId="690EAD7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2.01</w:t>
            </w:r>
          </w:p>
        </w:tc>
        <w:tc>
          <w:tcPr>
            <w:tcW w:w="679" w:type="dxa"/>
            <w:tcBorders>
              <w:left w:val="single" w:sz="4" w:space="0" w:color="auto"/>
              <w:right w:val="single" w:sz="4" w:space="0" w:color="auto"/>
            </w:tcBorders>
            <w:tcMar>
              <w:left w:w="0" w:type="dxa"/>
              <w:right w:w="0" w:type="dxa"/>
            </w:tcMar>
            <w:vAlign w:val="center"/>
          </w:tcPr>
          <w:p w14:paraId="7321390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2.27</w:t>
            </w:r>
          </w:p>
        </w:tc>
        <w:tc>
          <w:tcPr>
            <w:tcW w:w="679" w:type="dxa"/>
            <w:tcBorders>
              <w:left w:val="single" w:sz="4" w:space="0" w:color="auto"/>
              <w:right w:val="single" w:sz="4" w:space="0" w:color="auto"/>
            </w:tcBorders>
            <w:tcMar>
              <w:left w:w="0" w:type="dxa"/>
              <w:right w:w="0" w:type="dxa"/>
            </w:tcMar>
            <w:vAlign w:val="center"/>
          </w:tcPr>
          <w:p w14:paraId="5C9554A6"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2.79</w:t>
            </w:r>
          </w:p>
        </w:tc>
        <w:tc>
          <w:tcPr>
            <w:tcW w:w="679" w:type="dxa"/>
            <w:tcBorders>
              <w:left w:val="single" w:sz="4" w:space="0" w:color="auto"/>
              <w:right w:val="single" w:sz="4" w:space="0" w:color="auto"/>
            </w:tcBorders>
            <w:tcMar>
              <w:left w:w="0" w:type="dxa"/>
              <w:right w:w="0" w:type="dxa"/>
            </w:tcMar>
            <w:vAlign w:val="center"/>
          </w:tcPr>
          <w:p w14:paraId="67DD4A6E"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3.32</w:t>
            </w:r>
          </w:p>
        </w:tc>
        <w:tc>
          <w:tcPr>
            <w:tcW w:w="679" w:type="dxa"/>
            <w:tcBorders>
              <w:left w:val="single" w:sz="4" w:space="0" w:color="auto"/>
            </w:tcBorders>
            <w:tcMar>
              <w:left w:w="0" w:type="dxa"/>
              <w:right w:w="0" w:type="dxa"/>
            </w:tcMar>
            <w:vAlign w:val="center"/>
          </w:tcPr>
          <w:p w14:paraId="2F7D4DE8"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3.88</w:t>
            </w:r>
          </w:p>
        </w:tc>
      </w:tr>
      <w:tr w:rsidR="00A922C9" w:rsidRPr="00A964FF" w14:paraId="56DDEAB1" w14:textId="77777777" w:rsidTr="00904978">
        <w:trPr>
          <w:trHeight w:val="397"/>
          <w:jc w:val="center"/>
        </w:trPr>
        <w:tc>
          <w:tcPr>
            <w:tcW w:w="935" w:type="dxa"/>
            <w:tcBorders>
              <w:right w:val="single" w:sz="4" w:space="0" w:color="auto"/>
            </w:tcBorders>
            <w:tcMar>
              <w:left w:w="0" w:type="dxa"/>
              <w:right w:w="0" w:type="dxa"/>
            </w:tcMar>
            <w:vAlign w:val="center"/>
          </w:tcPr>
          <w:p w14:paraId="476EBB94"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夏季</w:t>
            </w:r>
          </w:p>
        </w:tc>
        <w:tc>
          <w:tcPr>
            <w:tcW w:w="679" w:type="dxa"/>
            <w:tcBorders>
              <w:left w:val="single" w:sz="4" w:space="0" w:color="auto"/>
              <w:right w:val="single" w:sz="4" w:space="0" w:color="auto"/>
            </w:tcBorders>
            <w:tcMar>
              <w:left w:w="0" w:type="dxa"/>
              <w:right w:w="0" w:type="dxa"/>
            </w:tcMar>
            <w:vAlign w:val="center"/>
          </w:tcPr>
          <w:p w14:paraId="7E1EE66B"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1.48</w:t>
            </w:r>
          </w:p>
        </w:tc>
        <w:tc>
          <w:tcPr>
            <w:tcW w:w="679" w:type="dxa"/>
            <w:tcBorders>
              <w:left w:val="single" w:sz="4" w:space="0" w:color="auto"/>
              <w:right w:val="single" w:sz="4" w:space="0" w:color="auto"/>
            </w:tcBorders>
            <w:tcMar>
              <w:left w:w="0" w:type="dxa"/>
              <w:right w:w="0" w:type="dxa"/>
            </w:tcMar>
            <w:vAlign w:val="center"/>
          </w:tcPr>
          <w:p w14:paraId="027A85EB"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1.38</w:t>
            </w:r>
          </w:p>
        </w:tc>
        <w:tc>
          <w:tcPr>
            <w:tcW w:w="679" w:type="dxa"/>
            <w:tcBorders>
              <w:left w:val="single" w:sz="4" w:space="0" w:color="auto"/>
              <w:right w:val="single" w:sz="4" w:space="0" w:color="auto"/>
            </w:tcBorders>
            <w:tcMar>
              <w:left w:w="0" w:type="dxa"/>
              <w:right w:w="0" w:type="dxa"/>
            </w:tcMar>
            <w:vAlign w:val="center"/>
          </w:tcPr>
          <w:p w14:paraId="31704357"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1.42</w:t>
            </w:r>
          </w:p>
        </w:tc>
        <w:tc>
          <w:tcPr>
            <w:tcW w:w="679" w:type="dxa"/>
            <w:tcBorders>
              <w:left w:val="single" w:sz="4" w:space="0" w:color="auto"/>
              <w:right w:val="single" w:sz="4" w:space="0" w:color="auto"/>
            </w:tcBorders>
            <w:tcMar>
              <w:left w:w="0" w:type="dxa"/>
              <w:right w:w="0" w:type="dxa"/>
            </w:tcMar>
            <w:vAlign w:val="center"/>
          </w:tcPr>
          <w:p w14:paraId="3AD43893"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1.28</w:t>
            </w:r>
          </w:p>
        </w:tc>
        <w:tc>
          <w:tcPr>
            <w:tcW w:w="679" w:type="dxa"/>
            <w:tcBorders>
              <w:left w:val="single" w:sz="4" w:space="0" w:color="auto"/>
            </w:tcBorders>
            <w:tcMar>
              <w:left w:w="0" w:type="dxa"/>
              <w:right w:w="0" w:type="dxa"/>
            </w:tcMar>
            <w:vAlign w:val="center"/>
          </w:tcPr>
          <w:p w14:paraId="7A8B3352"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1.48</w:t>
            </w:r>
          </w:p>
        </w:tc>
        <w:tc>
          <w:tcPr>
            <w:tcW w:w="679" w:type="dxa"/>
            <w:tcBorders>
              <w:right w:val="single" w:sz="4" w:space="0" w:color="auto"/>
            </w:tcBorders>
            <w:tcMar>
              <w:left w:w="0" w:type="dxa"/>
              <w:right w:w="0" w:type="dxa"/>
            </w:tcMar>
            <w:vAlign w:val="center"/>
          </w:tcPr>
          <w:p w14:paraId="493CBB6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1.36</w:t>
            </w:r>
          </w:p>
        </w:tc>
        <w:tc>
          <w:tcPr>
            <w:tcW w:w="679" w:type="dxa"/>
            <w:tcBorders>
              <w:left w:val="single" w:sz="4" w:space="0" w:color="auto"/>
              <w:right w:val="single" w:sz="4" w:space="0" w:color="auto"/>
            </w:tcBorders>
            <w:tcMar>
              <w:left w:w="0" w:type="dxa"/>
              <w:right w:w="0" w:type="dxa"/>
            </w:tcMar>
            <w:vAlign w:val="center"/>
          </w:tcPr>
          <w:p w14:paraId="39EE974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1.41</w:t>
            </w:r>
          </w:p>
        </w:tc>
        <w:tc>
          <w:tcPr>
            <w:tcW w:w="679" w:type="dxa"/>
            <w:tcBorders>
              <w:left w:val="single" w:sz="4" w:space="0" w:color="auto"/>
              <w:right w:val="single" w:sz="4" w:space="0" w:color="auto"/>
            </w:tcBorders>
            <w:tcMar>
              <w:left w:w="0" w:type="dxa"/>
              <w:right w:w="0" w:type="dxa"/>
            </w:tcMar>
            <w:vAlign w:val="center"/>
          </w:tcPr>
          <w:p w14:paraId="112DE9AB"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1.61</w:t>
            </w:r>
          </w:p>
        </w:tc>
        <w:tc>
          <w:tcPr>
            <w:tcW w:w="679" w:type="dxa"/>
            <w:tcBorders>
              <w:left w:val="single" w:sz="4" w:space="0" w:color="auto"/>
              <w:right w:val="single" w:sz="4" w:space="0" w:color="auto"/>
            </w:tcBorders>
            <w:tcMar>
              <w:left w:w="0" w:type="dxa"/>
              <w:right w:w="0" w:type="dxa"/>
            </w:tcMar>
            <w:vAlign w:val="center"/>
          </w:tcPr>
          <w:p w14:paraId="2969F00F"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1.95</w:t>
            </w:r>
          </w:p>
        </w:tc>
        <w:tc>
          <w:tcPr>
            <w:tcW w:w="679" w:type="dxa"/>
            <w:tcBorders>
              <w:left w:val="single" w:sz="4" w:space="0" w:color="auto"/>
              <w:right w:val="single" w:sz="4" w:space="0" w:color="auto"/>
            </w:tcBorders>
            <w:tcMar>
              <w:left w:w="0" w:type="dxa"/>
              <w:right w:w="0" w:type="dxa"/>
            </w:tcMar>
            <w:vAlign w:val="center"/>
          </w:tcPr>
          <w:p w14:paraId="602B25FF"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2.21</w:t>
            </w:r>
          </w:p>
        </w:tc>
        <w:tc>
          <w:tcPr>
            <w:tcW w:w="679" w:type="dxa"/>
            <w:tcBorders>
              <w:left w:val="single" w:sz="4" w:space="0" w:color="auto"/>
              <w:right w:val="single" w:sz="4" w:space="0" w:color="auto"/>
            </w:tcBorders>
            <w:tcMar>
              <w:left w:w="0" w:type="dxa"/>
              <w:right w:w="0" w:type="dxa"/>
            </w:tcMar>
            <w:vAlign w:val="center"/>
          </w:tcPr>
          <w:p w14:paraId="725D8A77"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2.41</w:t>
            </w:r>
          </w:p>
        </w:tc>
        <w:tc>
          <w:tcPr>
            <w:tcW w:w="679" w:type="dxa"/>
            <w:tcBorders>
              <w:left w:val="single" w:sz="4" w:space="0" w:color="auto"/>
            </w:tcBorders>
            <w:tcMar>
              <w:left w:w="0" w:type="dxa"/>
              <w:right w:w="0" w:type="dxa"/>
            </w:tcMar>
            <w:vAlign w:val="center"/>
          </w:tcPr>
          <w:p w14:paraId="0995E77A"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2.48</w:t>
            </w:r>
          </w:p>
        </w:tc>
      </w:tr>
      <w:tr w:rsidR="00A922C9" w:rsidRPr="00A964FF" w14:paraId="2D2E2059" w14:textId="77777777" w:rsidTr="00904978">
        <w:trPr>
          <w:trHeight w:val="397"/>
          <w:jc w:val="center"/>
        </w:trPr>
        <w:tc>
          <w:tcPr>
            <w:tcW w:w="935" w:type="dxa"/>
            <w:tcBorders>
              <w:right w:val="single" w:sz="4" w:space="0" w:color="auto"/>
            </w:tcBorders>
            <w:tcMar>
              <w:left w:w="0" w:type="dxa"/>
              <w:right w:w="0" w:type="dxa"/>
            </w:tcMar>
            <w:vAlign w:val="center"/>
          </w:tcPr>
          <w:p w14:paraId="1A816B0F"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秋季</w:t>
            </w:r>
          </w:p>
        </w:tc>
        <w:tc>
          <w:tcPr>
            <w:tcW w:w="679" w:type="dxa"/>
            <w:tcBorders>
              <w:left w:val="single" w:sz="4" w:space="0" w:color="auto"/>
              <w:right w:val="single" w:sz="4" w:space="0" w:color="auto"/>
            </w:tcBorders>
            <w:tcMar>
              <w:left w:w="0" w:type="dxa"/>
              <w:right w:w="0" w:type="dxa"/>
            </w:tcMar>
            <w:vAlign w:val="center"/>
          </w:tcPr>
          <w:p w14:paraId="71F4E15C"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1.37</w:t>
            </w:r>
          </w:p>
        </w:tc>
        <w:tc>
          <w:tcPr>
            <w:tcW w:w="679" w:type="dxa"/>
            <w:tcBorders>
              <w:left w:val="single" w:sz="4" w:space="0" w:color="auto"/>
              <w:right w:val="single" w:sz="4" w:space="0" w:color="auto"/>
            </w:tcBorders>
            <w:tcMar>
              <w:left w:w="0" w:type="dxa"/>
              <w:right w:w="0" w:type="dxa"/>
            </w:tcMar>
            <w:vAlign w:val="center"/>
          </w:tcPr>
          <w:p w14:paraId="5A766821"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1.46</w:t>
            </w:r>
          </w:p>
        </w:tc>
        <w:tc>
          <w:tcPr>
            <w:tcW w:w="679" w:type="dxa"/>
            <w:tcBorders>
              <w:left w:val="single" w:sz="4" w:space="0" w:color="auto"/>
              <w:right w:val="single" w:sz="4" w:space="0" w:color="auto"/>
            </w:tcBorders>
            <w:tcMar>
              <w:left w:w="0" w:type="dxa"/>
              <w:right w:w="0" w:type="dxa"/>
            </w:tcMar>
            <w:vAlign w:val="center"/>
          </w:tcPr>
          <w:p w14:paraId="0B858E70"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1.32</w:t>
            </w:r>
          </w:p>
        </w:tc>
        <w:tc>
          <w:tcPr>
            <w:tcW w:w="679" w:type="dxa"/>
            <w:tcBorders>
              <w:left w:val="single" w:sz="4" w:space="0" w:color="auto"/>
              <w:right w:val="single" w:sz="4" w:space="0" w:color="auto"/>
            </w:tcBorders>
            <w:tcMar>
              <w:left w:w="0" w:type="dxa"/>
              <w:right w:w="0" w:type="dxa"/>
            </w:tcMar>
            <w:vAlign w:val="center"/>
          </w:tcPr>
          <w:p w14:paraId="1DB60700"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1.49</w:t>
            </w:r>
          </w:p>
        </w:tc>
        <w:tc>
          <w:tcPr>
            <w:tcW w:w="679" w:type="dxa"/>
            <w:tcBorders>
              <w:left w:val="single" w:sz="4" w:space="0" w:color="auto"/>
            </w:tcBorders>
            <w:tcMar>
              <w:left w:w="0" w:type="dxa"/>
              <w:right w:w="0" w:type="dxa"/>
            </w:tcMar>
            <w:vAlign w:val="center"/>
          </w:tcPr>
          <w:p w14:paraId="6B375A32"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1.42</w:t>
            </w:r>
          </w:p>
        </w:tc>
        <w:tc>
          <w:tcPr>
            <w:tcW w:w="679" w:type="dxa"/>
            <w:tcBorders>
              <w:right w:val="single" w:sz="4" w:space="0" w:color="auto"/>
            </w:tcBorders>
            <w:tcMar>
              <w:left w:w="0" w:type="dxa"/>
              <w:right w:w="0" w:type="dxa"/>
            </w:tcMar>
            <w:vAlign w:val="center"/>
          </w:tcPr>
          <w:p w14:paraId="458C302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1.41</w:t>
            </w:r>
          </w:p>
        </w:tc>
        <w:tc>
          <w:tcPr>
            <w:tcW w:w="679" w:type="dxa"/>
            <w:tcBorders>
              <w:left w:val="single" w:sz="4" w:space="0" w:color="auto"/>
              <w:right w:val="single" w:sz="4" w:space="0" w:color="auto"/>
            </w:tcBorders>
            <w:tcMar>
              <w:left w:w="0" w:type="dxa"/>
              <w:right w:w="0" w:type="dxa"/>
            </w:tcMar>
            <w:vAlign w:val="center"/>
          </w:tcPr>
          <w:p w14:paraId="2E1FB836"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1.33</w:t>
            </w:r>
          </w:p>
        </w:tc>
        <w:tc>
          <w:tcPr>
            <w:tcW w:w="679" w:type="dxa"/>
            <w:tcBorders>
              <w:left w:val="single" w:sz="4" w:space="0" w:color="auto"/>
              <w:right w:val="single" w:sz="4" w:space="0" w:color="auto"/>
            </w:tcBorders>
            <w:tcMar>
              <w:left w:w="0" w:type="dxa"/>
              <w:right w:w="0" w:type="dxa"/>
            </w:tcMar>
            <w:vAlign w:val="center"/>
          </w:tcPr>
          <w:p w14:paraId="11EAAF02"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1.47</w:t>
            </w:r>
          </w:p>
        </w:tc>
        <w:tc>
          <w:tcPr>
            <w:tcW w:w="679" w:type="dxa"/>
            <w:tcBorders>
              <w:left w:val="single" w:sz="4" w:space="0" w:color="auto"/>
              <w:right w:val="single" w:sz="4" w:space="0" w:color="auto"/>
            </w:tcBorders>
            <w:tcMar>
              <w:left w:w="0" w:type="dxa"/>
              <w:right w:w="0" w:type="dxa"/>
            </w:tcMar>
            <w:vAlign w:val="center"/>
          </w:tcPr>
          <w:p w14:paraId="7348ACD3"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1.59</w:t>
            </w:r>
          </w:p>
        </w:tc>
        <w:tc>
          <w:tcPr>
            <w:tcW w:w="679" w:type="dxa"/>
            <w:tcBorders>
              <w:left w:val="single" w:sz="4" w:space="0" w:color="auto"/>
              <w:right w:val="single" w:sz="4" w:space="0" w:color="auto"/>
            </w:tcBorders>
            <w:tcMar>
              <w:left w:w="0" w:type="dxa"/>
              <w:right w:w="0" w:type="dxa"/>
            </w:tcMar>
            <w:vAlign w:val="center"/>
          </w:tcPr>
          <w:p w14:paraId="461B1755"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1.86</w:t>
            </w:r>
          </w:p>
        </w:tc>
        <w:tc>
          <w:tcPr>
            <w:tcW w:w="679" w:type="dxa"/>
            <w:tcBorders>
              <w:left w:val="single" w:sz="4" w:space="0" w:color="auto"/>
              <w:right w:val="single" w:sz="4" w:space="0" w:color="auto"/>
            </w:tcBorders>
            <w:tcMar>
              <w:left w:w="0" w:type="dxa"/>
              <w:right w:w="0" w:type="dxa"/>
            </w:tcMar>
            <w:vAlign w:val="center"/>
          </w:tcPr>
          <w:p w14:paraId="185AFB50"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2.19</w:t>
            </w:r>
          </w:p>
        </w:tc>
        <w:tc>
          <w:tcPr>
            <w:tcW w:w="679" w:type="dxa"/>
            <w:tcBorders>
              <w:left w:val="single" w:sz="4" w:space="0" w:color="auto"/>
            </w:tcBorders>
            <w:tcMar>
              <w:left w:w="0" w:type="dxa"/>
              <w:right w:w="0" w:type="dxa"/>
            </w:tcMar>
            <w:vAlign w:val="center"/>
          </w:tcPr>
          <w:p w14:paraId="7567E0F5"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2.52</w:t>
            </w:r>
          </w:p>
        </w:tc>
      </w:tr>
      <w:tr w:rsidR="00A922C9" w:rsidRPr="00A964FF" w14:paraId="68675A19" w14:textId="77777777" w:rsidTr="00904978">
        <w:trPr>
          <w:trHeight w:val="397"/>
          <w:jc w:val="center"/>
        </w:trPr>
        <w:tc>
          <w:tcPr>
            <w:tcW w:w="935" w:type="dxa"/>
            <w:tcBorders>
              <w:right w:val="single" w:sz="4" w:space="0" w:color="auto"/>
            </w:tcBorders>
            <w:tcMar>
              <w:left w:w="0" w:type="dxa"/>
              <w:right w:w="0" w:type="dxa"/>
            </w:tcMar>
            <w:vAlign w:val="center"/>
          </w:tcPr>
          <w:p w14:paraId="5D9BCE39"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冬季</w:t>
            </w:r>
          </w:p>
        </w:tc>
        <w:tc>
          <w:tcPr>
            <w:tcW w:w="679" w:type="dxa"/>
            <w:tcBorders>
              <w:left w:val="single" w:sz="4" w:space="0" w:color="auto"/>
              <w:right w:val="single" w:sz="4" w:space="0" w:color="auto"/>
            </w:tcBorders>
            <w:tcMar>
              <w:left w:w="0" w:type="dxa"/>
              <w:right w:w="0" w:type="dxa"/>
            </w:tcMar>
            <w:vAlign w:val="center"/>
          </w:tcPr>
          <w:p w14:paraId="3D433D05"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1.84</w:t>
            </w:r>
          </w:p>
        </w:tc>
        <w:tc>
          <w:tcPr>
            <w:tcW w:w="679" w:type="dxa"/>
            <w:tcBorders>
              <w:left w:val="single" w:sz="4" w:space="0" w:color="auto"/>
              <w:right w:val="single" w:sz="4" w:space="0" w:color="auto"/>
            </w:tcBorders>
            <w:tcMar>
              <w:left w:w="0" w:type="dxa"/>
              <w:right w:w="0" w:type="dxa"/>
            </w:tcMar>
            <w:vAlign w:val="center"/>
          </w:tcPr>
          <w:p w14:paraId="5788BA43"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1.92</w:t>
            </w:r>
          </w:p>
        </w:tc>
        <w:tc>
          <w:tcPr>
            <w:tcW w:w="679" w:type="dxa"/>
            <w:tcBorders>
              <w:left w:val="single" w:sz="4" w:space="0" w:color="auto"/>
              <w:right w:val="single" w:sz="4" w:space="0" w:color="auto"/>
            </w:tcBorders>
            <w:tcMar>
              <w:left w:w="0" w:type="dxa"/>
              <w:right w:w="0" w:type="dxa"/>
            </w:tcMar>
            <w:vAlign w:val="center"/>
          </w:tcPr>
          <w:p w14:paraId="335E8730"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1.97</w:t>
            </w:r>
          </w:p>
        </w:tc>
        <w:tc>
          <w:tcPr>
            <w:tcW w:w="679" w:type="dxa"/>
            <w:tcBorders>
              <w:left w:val="single" w:sz="4" w:space="0" w:color="auto"/>
              <w:right w:val="single" w:sz="4" w:space="0" w:color="auto"/>
            </w:tcBorders>
            <w:tcMar>
              <w:left w:w="0" w:type="dxa"/>
              <w:right w:w="0" w:type="dxa"/>
            </w:tcMar>
            <w:vAlign w:val="center"/>
          </w:tcPr>
          <w:p w14:paraId="4C751706"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1.86</w:t>
            </w:r>
          </w:p>
        </w:tc>
        <w:tc>
          <w:tcPr>
            <w:tcW w:w="679" w:type="dxa"/>
            <w:tcBorders>
              <w:left w:val="single" w:sz="4" w:space="0" w:color="auto"/>
            </w:tcBorders>
            <w:tcMar>
              <w:left w:w="0" w:type="dxa"/>
              <w:right w:w="0" w:type="dxa"/>
            </w:tcMar>
            <w:vAlign w:val="center"/>
          </w:tcPr>
          <w:p w14:paraId="4301322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1.95</w:t>
            </w:r>
          </w:p>
        </w:tc>
        <w:tc>
          <w:tcPr>
            <w:tcW w:w="679" w:type="dxa"/>
            <w:tcBorders>
              <w:right w:val="single" w:sz="4" w:space="0" w:color="auto"/>
            </w:tcBorders>
            <w:tcMar>
              <w:left w:w="0" w:type="dxa"/>
              <w:right w:w="0" w:type="dxa"/>
            </w:tcMar>
            <w:vAlign w:val="center"/>
          </w:tcPr>
          <w:p w14:paraId="1FEE9887"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2.01</w:t>
            </w:r>
          </w:p>
        </w:tc>
        <w:tc>
          <w:tcPr>
            <w:tcW w:w="679" w:type="dxa"/>
            <w:tcBorders>
              <w:left w:val="single" w:sz="4" w:space="0" w:color="auto"/>
              <w:right w:val="single" w:sz="4" w:space="0" w:color="auto"/>
            </w:tcBorders>
            <w:tcMar>
              <w:left w:w="0" w:type="dxa"/>
              <w:right w:w="0" w:type="dxa"/>
            </w:tcMar>
            <w:vAlign w:val="center"/>
          </w:tcPr>
          <w:p w14:paraId="1F5E450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1.96</w:t>
            </w:r>
          </w:p>
        </w:tc>
        <w:tc>
          <w:tcPr>
            <w:tcW w:w="679" w:type="dxa"/>
            <w:tcBorders>
              <w:left w:val="single" w:sz="4" w:space="0" w:color="auto"/>
              <w:right w:val="single" w:sz="4" w:space="0" w:color="auto"/>
            </w:tcBorders>
            <w:tcMar>
              <w:left w:w="0" w:type="dxa"/>
              <w:right w:w="0" w:type="dxa"/>
            </w:tcMar>
            <w:vAlign w:val="center"/>
          </w:tcPr>
          <w:p w14:paraId="7E8A795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1.97</w:t>
            </w:r>
          </w:p>
        </w:tc>
        <w:tc>
          <w:tcPr>
            <w:tcW w:w="679" w:type="dxa"/>
            <w:tcBorders>
              <w:left w:val="single" w:sz="4" w:space="0" w:color="auto"/>
              <w:right w:val="single" w:sz="4" w:space="0" w:color="auto"/>
            </w:tcBorders>
            <w:tcMar>
              <w:left w:w="0" w:type="dxa"/>
              <w:right w:w="0" w:type="dxa"/>
            </w:tcMar>
            <w:vAlign w:val="center"/>
          </w:tcPr>
          <w:p w14:paraId="215E55CD"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2.14</w:t>
            </w:r>
          </w:p>
        </w:tc>
        <w:tc>
          <w:tcPr>
            <w:tcW w:w="679" w:type="dxa"/>
            <w:tcBorders>
              <w:left w:val="single" w:sz="4" w:space="0" w:color="auto"/>
              <w:right w:val="single" w:sz="4" w:space="0" w:color="auto"/>
            </w:tcBorders>
            <w:tcMar>
              <w:left w:w="0" w:type="dxa"/>
              <w:right w:w="0" w:type="dxa"/>
            </w:tcMar>
            <w:vAlign w:val="center"/>
          </w:tcPr>
          <w:p w14:paraId="3B0E66B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2.33</w:t>
            </w:r>
          </w:p>
        </w:tc>
        <w:tc>
          <w:tcPr>
            <w:tcW w:w="679" w:type="dxa"/>
            <w:tcBorders>
              <w:left w:val="single" w:sz="4" w:space="0" w:color="auto"/>
              <w:right w:val="single" w:sz="4" w:space="0" w:color="auto"/>
            </w:tcBorders>
            <w:tcMar>
              <w:left w:w="0" w:type="dxa"/>
              <w:right w:w="0" w:type="dxa"/>
            </w:tcMar>
            <w:vAlign w:val="center"/>
          </w:tcPr>
          <w:p w14:paraId="3287AB76"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2.55</w:t>
            </w:r>
          </w:p>
        </w:tc>
        <w:tc>
          <w:tcPr>
            <w:tcW w:w="679" w:type="dxa"/>
            <w:tcBorders>
              <w:left w:val="single" w:sz="4" w:space="0" w:color="auto"/>
            </w:tcBorders>
            <w:tcMar>
              <w:left w:w="0" w:type="dxa"/>
              <w:right w:w="0" w:type="dxa"/>
            </w:tcMar>
            <w:vAlign w:val="center"/>
          </w:tcPr>
          <w:p w14:paraId="19C9A90F"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2.98</w:t>
            </w:r>
          </w:p>
        </w:tc>
      </w:tr>
      <w:tr w:rsidR="00A922C9" w:rsidRPr="00A964FF" w14:paraId="68B6B62C" w14:textId="77777777" w:rsidTr="00904978">
        <w:trPr>
          <w:trHeight w:val="397"/>
          <w:jc w:val="center"/>
        </w:trPr>
        <w:tc>
          <w:tcPr>
            <w:tcW w:w="935" w:type="dxa"/>
            <w:tcBorders>
              <w:right w:val="single" w:sz="4" w:space="0" w:color="auto"/>
              <w:tl2br w:val="single" w:sz="4" w:space="0" w:color="auto"/>
            </w:tcBorders>
            <w:tcMar>
              <w:left w:w="0" w:type="dxa"/>
              <w:right w:w="0" w:type="dxa"/>
            </w:tcMar>
            <w:vAlign w:val="center"/>
          </w:tcPr>
          <w:p w14:paraId="5FF84D04"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 xml:space="preserve">  </w:t>
            </w:r>
            <w:r w:rsidRPr="00A964FF">
              <w:rPr>
                <w:rFonts w:ascii="Calibri" w:hAnsi="宋体" w:hint="eastAsia"/>
                <w:color w:val="auto"/>
              </w:rPr>
              <w:t>小时</w:t>
            </w:r>
          </w:p>
          <w:p w14:paraId="53AF8DC9" w14:textId="77777777" w:rsidR="00A922C9" w:rsidRPr="00A964FF" w:rsidRDefault="00A922C9" w:rsidP="00904978">
            <w:pPr>
              <w:textAlignment w:val="baseline"/>
              <w:rPr>
                <w:rFonts w:ascii="Calibri" w:hAnsi="宋体"/>
                <w:color w:val="auto"/>
              </w:rPr>
            </w:pPr>
            <w:r w:rsidRPr="00A964FF">
              <w:rPr>
                <w:rFonts w:ascii="Calibri" w:hAnsi="宋体" w:hint="eastAsia"/>
                <w:color w:val="auto"/>
              </w:rPr>
              <w:t>风速</w:t>
            </w:r>
          </w:p>
        </w:tc>
        <w:tc>
          <w:tcPr>
            <w:tcW w:w="679" w:type="dxa"/>
            <w:tcBorders>
              <w:left w:val="single" w:sz="4" w:space="0" w:color="auto"/>
              <w:right w:val="single" w:sz="4" w:space="0" w:color="auto"/>
            </w:tcBorders>
            <w:tcMar>
              <w:left w:w="0" w:type="dxa"/>
              <w:right w:w="0" w:type="dxa"/>
            </w:tcMar>
            <w:vAlign w:val="center"/>
          </w:tcPr>
          <w:p w14:paraId="10DF311D"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12h</w:t>
            </w:r>
          </w:p>
        </w:tc>
        <w:tc>
          <w:tcPr>
            <w:tcW w:w="679" w:type="dxa"/>
            <w:tcBorders>
              <w:left w:val="single" w:sz="4" w:space="0" w:color="auto"/>
              <w:right w:val="single" w:sz="4" w:space="0" w:color="auto"/>
            </w:tcBorders>
            <w:tcMar>
              <w:left w:w="0" w:type="dxa"/>
              <w:right w:w="0" w:type="dxa"/>
            </w:tcMar>
            <w:vAlign w:val="center"/>
          </w:tcPr>
          <w:p w14:paraId="5D6BD7E3"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13h</w:t>
            </w:r>
          </w:p>
        </w:tc>
        <w:tc>
          <w:tcPr>
            <w:tcW w:w="679" w:type="dxa"/>
            <w:tcBorders>
              <w:left w:val="single" w:sz="4" w:space="0" w:color="auto"/>
              <w:right w:val="single" w:sz="4" w:space="0" w:color="auto"/>
            </w:tcBorders>
            <w:tcMar>
              <w:left w:w="0" w:type="dxa"/>
              <w:right w:w="0" w:type="dxa"/>
            </w:tcMar>
            <w:vAlign w:val="center"/>
          </w:tcPr>
          <w:p w14:paraId="0D45FBB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14h</w:t>
            </w:r>
          </w:p>
        </w:tc>
        <w:tc>
          <w:tcPr>
            <w:tcW w:w="679" w:type="dxa"/>
            <w:tcBorders>
              <w:left w:val="single" w:sz="4" w:space="0" w:color="auto"/>
              <w:right w:val="single" w:sz="4" w:space="0" w:color="auto"/>
            </w:tcBorders>
            <w:tcMar>
              <w:left w:w="0" w:type="dxa"/>
              <w:right w:w="0" w:type="dxa"/>
            </w:tcMar>
            <w:vAlign w:val="center"/>
          </w:tcPr>
          <w:p w14:paraId="50D5F2DE"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15h</w:t>
            </w:r>
          </w:p>
        </w:tc>
        <w:tc>
          <w:tcPr>
            <w:tcW w:w="679" w:type="dxa"/>
            <w:tcBorders>
              <w:left w:val="single" w:sz="4" w:space="0" w:color="auto"/>
            </w:tcBorders>
            <w:tcMar>
              <w:left w:w="0" w:type="dxa"/>
              <w:right w:w="0" w:type="dxa"/>
            </w:tcMar>
            <w:vAlign w:val="center"/>
          </w:tcPr>
          <w:p w14:paraId="3AD31D9E"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16h</w:t>
            </w:r>
          </w:p>
        </w:tc>
        <w:tc>
          <w:tcPr>
            <w:tcW w:w="679" w:type="dxa"/>
            <w:tcBorders>
              <w:right w:val="single" w:sz="4" w:space="0" w:color="auto"/>
            </w:tcBorders>
            <w:tcMar>
              <w:left w:w="0" w:type="dxa"/>
              <w:right w:w="0" w:type="dxa"/>
            </w:tcMar>
            <w:vAlign w:val="center"/>
          </w:tcPr>
          <w:p w14:paraId="5024109D"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17h</w:t>
            </w:r>
          </w:p>
        </w:tc>
        <w:tc>
          <w:tcPr>
            <w:tcW w:w="679" w:type="dxa"/>
            <w:tcBorders>
              <w:left w:val="single" w:sz="4" w:space="0" w:color="auto"/>
              <w:right w:val="single" w:sz="4" w:space="0" w:color="auto"/>
            </w:tcBorders>
            <w:tcMar>
              <w:left w:w="0" w:type="dxa"/>
              <w:right w:w="0" w:type="dxa"/>
            </w:tcMar>
            <w:vAlign w:val="center"/>
          </w:tcPr>
          <w:p w14:paraId="129E2530"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18h</w:t>
            </w:r>
          </w:p>
        </w:tc>
        <w:tc>
          <w:tcPr>
            <w:tcW w:w="679" w:type="dxa"/>
            <w:tcBorders>
              <w:left w:val="single" w:sz="4" w:space="0" w:color="auto"/>
              <w:right w:val="single" w:sz="4" w:space="0" w:color="auto"/>
            </w:tcBorders>
            <w:tcMar>
              <w:left w:w="0" w:type="dxa"/>
              <w:right w:w="0" w:type="dxa"/>
            </w:tcMar>
            <w:vAlign w:val="center"/>
          </w:tcPr>
          <w:p w14:paraId="58056738"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19h</w:t>
            </w:r>
          </w:p>
        </w:tc>
        <w:tc>
          <w:tcPr>
            <w:tcW w:w="679" w:type="dxa"/>
            <w:tcBorders>
              <w:left w:val="single" w:sz="4" w:space="0" w:color="auto"/>
              <w:right w:val="single" w:sz="4" w:space="0" w:color="auto"/>
            </w:tcBorders>
            <w:tcMar>
              <w:left w:w="0" w:type="dxa"/>
              <w:right w:w="0" w:type="dxa"/>
            </w:tcMar>
            <w:vAlign w:val="center"/>
          </w:tcPr>
          <w:p w14:paraId="6255C5CE"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20h</w:t>
            </w:r>
          </w:p>
        </w:tc>
        <w:tc>
          <w:tcPr>
            <w:tcW w:w="679" w:type="dxa"/>
            <w:tcBorders>
              <w:left w:val="single" w:sz="4" w:space="0" w:color="auto"/>
              <w:right w:val="single" w:sz="4" w:space="0" w:color="auto"/>
            </w:tcBorders>
            <w:tcMar>
              <w:left w:w="0" w:type="dxa"/>
              <w:right w:w="0" w:type="dxa"/>
            </w:tcMar>
            <w:vAlign w:val="center"/>
          </w:tcPr>
          <w:p w14:paraId="0F92505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21h</w:t>
            </w:r>
          </w:p>
        </w:tc>
        <w:tc>
          <w:tcPr>
            <w:tcW w:w="679" w:type="dxa"/>
            <w:tcBorders>
              <w:left w:val="single" w:sz="4" w:space="0" w:color="auto"/>
              <w:right w:val="single" w:sz="4" w:space="0" w:color="auto"/>
            </w:tcBorders>
            <w:tcMar>
              <w:left w:w="0" w:type="dxa"/>
              <w:right w:w="0" w:type="dxa"/>
            </w:tcMar>
            <w:vAlign w:val="center"/>
          </w:tcPr>
          <w:p w14:paraId="7B211802"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22h</w:t>
            </w:r>
          </w:p>
        </w:tc>
        <w:tc>
          <w:tcPr>
            <w:tcW w:w="679" w:type="dxa"/>
            <w:tcBorders>
              <w:left w:val="single" w:sz="4" w:space="0" w:color="auto"/>
            </w:tcBorders>
            <w:tcMar>
              <w:left w:w="0" w:type="dxa"/>
              <w:right w:w="0" w:type="dxa"/>
            </w:tcMar>
            <w:vAlign w:val="center"/>
          </w:tcPr>
          <w:p w14:paraId="3FA2EEFA"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23h</w:t>
            </w:r>
          </w:p>
        </w:tc>
      </w:tr>
      <w:tr w:rsidR="00A922C9" w:rsidRPr="00A964FF" w14:paraId="521A74D5" w14:textId="77777777" w:rsidTr="00904978">
        <w:trPr>
          <w:trHeight w:val="397"/>
          <w:jc w:val="center"/>
        </w:trPr>
        <w:tc>
          <w:tcPr>
            <w:tcW w:w="935" w:type="dxa"/>
            <w:tcBorders>
              <w:right w:val="single" w:sz="4" w:space="0" w:color="auto"/>
            </w:tcBorders>
            <w:tcMar>
              <w:left w:w="0" w:type="dxa"/>
              <w:right w:w="0" w:type="dxa"/>
            </w:tcMar>
            <w:vAlign w:val="center"/>
          </w:tcPr>
          <w:p w14:paraId="4477AF85" w14:textId="77777777" w:rsidR="00A922C9" w:rsidRPr="00A964FF" w:rsidRDefault="00A922C9" w:rsidP="00904978">
            <w:pPr>
              <w:jc w:val="center"/>
              <w:textAlignment w:val="baseline"/>
              <w:rPr>
                <w:rFonts w:ascii="Calibri" w:hAnsi="Calibri"/>
                <w:color w:val="auto"/>
              </w:rPr>
            </w:pPr>
            <w:r w:rsidRPr="00A964FF">
              <w:rPr>
                <w:rFonts w:ascii="Calibri" w:hAnsi="宋体" w:hint="eastAsia"/>
                <w:color w:val="auto"/>
              </w:rPr>
              <w:t>春季</w:t>
            </w:r>
          </w:p>
        </w:tc>
        <w:tc>
          <w:tcPr>
            <w:tcW w:w="679" w:type="dxa"/>
            <w:tcBorders>
              <w:left w:val="single" w:sz="4" w:space="0" w:color="auto"/>
              <w:right w:val="single" w:sz="4" w:space="0" w:color="auto"/>
            </w:tcBorders>
            <w:tcMar>
              <w:left w:w="0" w:type="dxa"/>
              <w:right w:w="0" w:type="dxa"/>
            </w:tcMar>
            <w:vAlign w:val="center"/>
          </w:tcPr>
          <w:p w14:paraId="3E954C9F"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3.89</w:t>
            </w:r>
          </w:p>
        </w:tc>
        <w:tc>
          <w:tcPr>
            <w:tcW w:w="679" w:type="dxa"/>
            <w:tcBorders>
              <w:left w:val="single" w:sz="4" w:space="0" w:color="auto"/>
              <w:right w:val="single" w:sz="4" w:space="0" w:color="auto"/>
            </w:tcBorders>
            <w:tcMar>
              <w:left w:w="0" w:type="dxa"/>
              <w:right w:w="0" w:type="dxa"/>
            </w:tcMar>
            <w:vAlign w:val="center"/>
          </w:tcPr>
          <w:p w14:paraId="00A9384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3.83</w:t>
            </w:r>
          </w:p>
        </w:tc>
        <w:tc>
          <w:tcPr>
            <w:tcW w:w="679" w:type="dxa"/>
            <w:tcBorders>
              <w:left w:val="single" w:sz="4" w:space="0" w:color="auto"/>
              <w:right w:val="single" w:sz="4" w:space="0" w:color="auto"/>
            </w:tcBorders>
            <w:tcMar>
              <w:left w:w="0" w:type="dxa"/>
              <w:right w:w="0" w:type="dxa"/>
            </w:tcMar>
            <w:vAlign w:val="center"/>
          </w:tcPr>
          <w:p w14:paraId="76E1687D"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3.86</w:t>
            </w:r>
          </w:p>
        </w:tc>
        <w:tc>
          <w:tcPr>
            <w:tcW w:w="679" w:type="dxa"/>
            <w:tcBorders>
              <w:left w:val="single" w:sz="4" w:space="0" w:color="auto"/>
              <w:right w:val="single" w:sz="4" w:space="0" w:color="auto"/>
            </w:tcBorders>
            <w:tcMar>
              <w:left w:w="0" w:type="dxa"/>
              <w:right w:w="0" w:type="dxa"/>
            </w:tcMar>
            <w:vAlign w:val="center"/>
          </w:tcPr>
          <w:p w14:paraId="40727C0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3.88</w:t>
            </w:r>
          </w:p>
        </w:tc>
        <w:tc>
          <w:tcPr>
            <w:tcW w:w="679" w:type="dxa"/>
            <w:tcBorders>
              <w:left w:val="single" w:sz="4" w:space="0" w:color="auto"/>
            </w:tcBorders>
            <w:tcMar>
              <w:left w:w="0" w:type="dxa"/>
              <w:right w:w="0" w:type="dxa"/>
            </w:tcMar>
            <w:vAlign w:val="center"/>
          </w:tcPr>
          <w:p w14:paraId="030DA850"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3.88</w:t>
            </w:r>
          </w:p>
        </w:tc>
        <w:tc>
          <w:tcPr>
            <w:tcW w:w="679" w:type="dxa"/>
            <w:tcBorders>
              <w:right w:val="single" w:sz="4" w:space="0" w:color="auto"/>
            </w:tcBorders>
            <w:tcMar>
              <w:left w:w="0" w:type="dxa"/>
              <w:right w:w="0" w:type="dxa"/>
            </w:tcMar>
            <w:vAlign w:val="center"/>
          </w:tcPr>
          <w:p w14:paraId="3DFEB145"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3.59</w:t>
            </w:r>
          </w:p>
        </w:tc>
        <w:tc>
          <w:tcPr>
            <w:tcW w:w="679" w:type="dxa"/>
            <w:tcBorders>
              <w:left w:val="single" w:sz="4" w:space="0" w:color="auto"/>
              <w:right w:val="single" w:sz="4" w:space="0" w:color="auto"/>
            </w:tcBorders>
            <w:tcMar>
              <w:left w:w="0" w:type="dxa"/>
              <w:right w:w="0" w:type="dxa"/>
            </w:tcMar>
            <w:vAlign w:val="center"/>
          </w:tcPr>
          <w:p w14:paraId="6EE3845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3.15</w:t>
            </w:r>
          </w:p>
        </w:tc>
        <w:tc>
          <w:tcPr>
            <w:tcW w:w="679" w:type="dxa"/>
            <w:tcBorders>
              <w:left w:val="single" w:sz="4" w:space="0" w:color="auto"/>
              <w:right w:val="single" w:sz="4" w:space="0" w:color="auto"/>
            </w:tcBorders>
            <w:tcMar>
              <w:left w:w="0" w:type="dxa"/>
              <w:right w:w="0" w:type="dxa"/>
            </w:tcMar>
            <w:vAlign w:val="center"/>
          </w:tcPr>
          <w:p w14:paraId="29594AD6"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2.58</w:t>
            </w:r>
          </w:p>
        </w:tc>
        <w:tc>
          <w:tcPr>
            <w:tcW w:w="679" w:type="dxa"/>
            <w:tcBorders>
              <w:left w:val="single" w:sz="4" w:space="0" w:color="auto"/>
              <w:right w:val="single" w:sz="4" w:space="0" w:color="auto"/>
            </w:tcBorders>
            <w:tcMar>
              <w:left w:w="0" w:type="dxa"/>
              <w:right w:w="0" w:type="dxa"/>
            </w:tcMar>
            <w:vAlign w:val="center"/>
          </w:tcPr>
          <w:p w14:paraId="6198BAFF"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2.34</w:t>
            </w:r>
          </w:p>
        </w:tc>
        <w:tc>
          <w:tcPr>
            <w:tcW w:w="679" w:type="dxa"/>
            <w:tcBorders>
              <w:left w:val="single" w:sz="4" w:space="0" w:color="auto"/>
              <w:right w:val="single" w:sz="4" w:space="0" w:color="auto"/>
            </w:tcBorders>
            <w:tcMar>
              <w:left w:w="0" w:type="dxa"/>
              <w:right w:w="0" w:type="dxa"/>
            </w:tcMar>
            <w:vAlign w:val="center"/>
          </w:tcPr>
          <w:p w14:paraId="3B4ABEE0"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2.04</w:t>
            </w:r>
          </w:p>
        </w:tc>
        <w:tc>
          <w:tcPr>
            <w:tcW w:w="679" w:type="dxa"/>
            <w:tcBorders>
              <w:left w:val="single" w:sz="4" w:space="0" w:color="auto"/>
              <w:right w:val="single" w:sz="4" w:space="0" w:color="auto"/>
            </w:tcBorders>
            <w:tcMar>
              <w:left w:w="0" w:type="dxa"/>
              <w:right w:w="0" w:type="dxa"/>
            </w:tcMar>
            <w:vAlign w:val="center"/>
          </w:tcPr>
          <w:p w14:paraId="3D8962FA"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2.06</w:t>
            </w:r>
          </w:p>
        </w:tc>
        <w:tc>
          <w:tcPr>
            <w:tcW w:w="679" w:type="dxa"/>
            <w:tcBorders>
              <w:left w:val="single" w:sz="4" w:space="0" w:color="auto"/>
            </w:tcBorders>
            <w:tcMar>
              <w:left w:w="0" w:type="dxa"/>
              <w:right w:w="0" w:type="dxa"/>
            </w:tcMar>
            <w:vAlign w:val="center"/>
          </w:tcPr>
          <w:p w14:paraId="5AA6F53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2.02</w:t>
            </w:r>
          </w:p>
        </w:tc>
      </w:tr>
      <w:tr w:rsidR="00A922C9" w:rsidRPr="00A964FF" w14:paraId="0E45F1F7" w14:textId="77777777" w:rsidTr="00904978">
        <w:trPr>
          <w:trHeight w:val="397"/>
          <w:jc w:val="center"/>
        </w:trPr>
        <w:tc>
          <w:tcPr>
            <w:tcW w:w="935" w:type="dxa"/>
            <w:tcBorders>
              <w:right w:val="single" w:sz="4" w:space="0" w:color="auto"/>
            </w:tcBorders>
            <w:tcMar>
              <w:left w:w="0" w:type="dxa"/>
              <w:right w:w="0" w:type="dxa"/>
            </w:tcMar>
            <w:vAlign w:val="center"/>
          </w:tcPr>
          <w:p w14:paraId="5C00E326"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夏季</w:t>
            </w:r>
          </w:p>
        </w:tc>
        <w:tc>
          <w:tcPr>
            <w:tcW w:w="679" w:type="dxa"/>
            <w:tcBorders>
              <w:left w:val="single" w:sz="4" w:space="0" w:color="auto"/>
              <w:right w:val="single" w:sz="4" w:space="0" w:color="auto"/>
            </w:tcBorders>
            <w:tcMar>
              <w:left w:w="0" w:type="dxa"/>
              <w:right w:w="0" w:type="dxa"/>
            </w:tcMar>
            <w:vAlign w:val="center"/>
          </w:tcPr>
          <w:p w14:paraId="2917057E"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2.66</w:t>
            </w:r>
          </w:p>
        </w:tc>
        <w:tc>
          <w:tcPr>
            <w:tcW w:w="679" w:type="dxa"/>
            <w:tcBorders>
              <w:left w:val="single" w:sz="4" w:space="0" w:color="auto"/>
              <w:right w:val="single" w:sz="4" w:space="0" w:color="auto"/>
            </w:tcBorders>
            <w:tcMar>
              <w:left w:w="0" w:type="dxa"/>
              <w:right w:w="0" w:type="dxa"/>
            </w:tcMar>
            <w:vAlign w:val="center"/>
          </w:tcPr>
          <w:p w14:paraId="733A80B2"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2.72</w:t>
            </w:r>
          </w:p>
        </w:tc>
        <w:tc>
          <w:tcPr>
            <w:tcW w:w="679" w:type="dxa"/>
            <w:tcBorders>
              <w:left w:val="single" w:sz="4" w:space="0" w:color="auto"/>
              <w:right w:val="single" w:sz="4" w:space="0" w:color="auto"/>
            </w:tcBorders>
            <w:tcMar>
              <w:left w:w="0" w:type="dxa"/>
              <w:right w:w="0" w:type="dxa"/>
            </w:tcMar>
            <w:vAlign w:val="center"/>
          </w:tcPr>
          <w:p w14:paraId="26682946"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2.77</w:t>
            </w:r>
          </w:p>
        </w:tc>
        <w:tc>
          <w:tcPr>
            <w:tcW w:w="679" w:type="dxa"/>
            <w:tcBorders>
              <w:left w:val="single" w:sz="4" w:space="0" w:color="auto"/>
              <w:right w:val="single" w:sz="4" w:space="0" w:color="auto"/>
            </w:tcBorders>
            <w:tcMar>
              <w:left w:w="0" w:type="dxa"/>
              <w:right w:w="0" w:type="dxa"/>
            </w:tcMar>
            <w:vAlign w:val="center"/>
          </w:tcPr>
          <w:p w14:paraId="0504189B"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2.66</w:t>
            </w:r>
          </w:p>
        </w:tc>
        <w:tc>
          <w:tcPr>
            <w:tcW w:w="679" w:type="dxa"/>
            <w:tcBorders>
              <w:left w:val="single" w:sz="4" w:space="0" w:color="auto"/>
            </w:tcBorders>
            <w:tcMar>
              <w:left w:w="0" w:type="dxa"/>
              <w:right w:w="0" w:type="dxa"/>
            </w:tcMar>
            <w:vAlign w:val="center"/>
          </w:tcPr>
          <w:p w14:paraId="0930B24D"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2.51</w:t>
            </w:r>
          </w:p>
        </w:tc>
        <w:tc>
          <w:tcPr>
            <w:tcW w:w="679" w:type="dxa"/>
            <w:tcBorders>
              <w:right w:val="single" w:sz="4" w:space="0" w:color="auto"/>
            </w:tcBorders>
            <w:tcMar>
              <w:left w:w="0" w:type="dxa"/>
              <w:right w:w="0" w:type="dxa"/>
            </w:tcMar>
            <w:vAlign w:val="center"/>
          </w:tcPr>
          <w:p w14:paraId="2C34EC18"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2.56</w:t>
            </w:r>
          </w:p>
        </w:tc>
        <w:tc>
          <w:tcPr>
            <w:tcW w:w="679" w:type="dxa"/>
            <w:tcBorders>
              <w:left w:val="single" w:sz="4" w:space="0" w:color="auto"/>
              <w:right w:val="single" w:sz="4" w:space="0" w:color="auto"/>
            </w:tcBorders>
            <w:tcMar>
              <w:left w:w="0" w:type="dxa"/>
              <w:right w:w="0" w:type="dxa"/>
            </w:tcMar>
            <w:vAlign w:val="center"/>
          </w:tcPr>
          <w:p w14:paraId="0552306F"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2.3</w:t>
            </w:r>
          </w:p>
        </w:tc>
        <w:tc>
          <w:tcPr>
            <w:tcW w:w="679" w:type="dxa"/>
            <w:tcBorders>
              <w:left w:val="single" w:sz="4" w:space="0" w:color="auto"/>
              <w:right w:val="single" w:sz="4" w:space="0" w:color="auto"/>
            </w:tcBorders>
            <w:tcMar>
              <w:left w:w="0" w:type="dxa"/>
              <w:right w:w="0" w:type="dxa"/>
            </w:tcMar>
            <w:vAlign w:val="center"/>
          </w:tcPr>
          <w:p w14:paraId="3D18D263"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2.04</w:t>
            </w:r>
          </w:p>
        </w:tc>
        <w:tc>
          <w:tcPr>
            <w:tcW w:w="679" w:type="dxa"/>
            <w:tcBorders>
              <w:left w:val="single" w:sz="4" w:space="0" w:color="auto"/>
              <w:right w:val="single" w:sz="4" w:space="0" w:color="auto"/>
            </w:tcBorders>
            <w:tcMar>
              <w:left w:w="0" w:type="dxa"/>
              <w:right w:w="0" w:type="dxa"/>
            </w:tcMar>
            <w:vAlign w:val="center"/>
          </w:tcPr>
          <w:p w14:paraId="7C4C056A"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1.77</w:t>
            </w:r>
          </w:p>
        </w:tc>
        <w:tc>
          <w:tcPr>
            <w:tcW w:w="679" w:type="dxa"/>
            <w:tcBorders>
              <w:left w:val="single" w:sz="4" w:space="0" w:color="auto"/>
              <w:right w:val="single" w:sz="4" w:space="0" w:color="auto"/>
            </w:tcBorders>
            <w:tcMar>
              <w:left w:w="0" w:type="dxa"/>
              <w:right w:w="0" w:type="dxa"/>
            </w:tcMar>
            <w:vAlign w:val="center"/>
          </w:tcPr>
          <w:p w14:paraId="0B78B177"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1.75</w:t>
            </w:r>
          </w:p>
        </w:tc>
        <w:tc>
          <w:tcPr>
            <w:tcW w:w="679" w:type="dxa"/>
            <w:tcBorders>
              <w:left w:val="single" w:sz="4" w:space="0" w:color="auto"/>
              <w:right w:val="single" w:sz="4" w:space="0" w:color="auto"/>
            </w:tcBorders>
            <w:tcMar>
              <w:left w:w="0" w:type="dxa"/>
              <w:right w:w="0" w:type="dxa"/>
            </w:tcMar>
            <w:vAlign w:val="center"/>
          </w:tcPr>
          <w:p w14:paraId="303CE2BF"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1.64</w:t>
            </w:r>
          </w:p>
        </w:tc>
        <w:tc>
          <w:tcPr>
            <w:tcW w:w="679" w:type="dxa"/>
            <w:tcBorders>
              <w:left w:val="single" w:sz="4" w:space="0" w:color="auto"/>
            </w:tcBorders>
            <w:tcMar>
              <w:left w:w="0" w:type="dxa"/>
              <w:right w:w="0" w:type="dxa"/>
            </w:tcMar>
            <w:vAlign w:val="center"/>
          </w:tcPr>
          <w:p w14:paraId="2AD37BED"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1.63</w:t>
            </w:r>
          </w:p>
        </w:tc>
      </w:tr>
      <w:tr w:rsidR="00A922C9" w:rsidRPr="00A964FF" w14:paraId="3F660BED" w14:textId="77777777" w:rsidTr="00904978">
        <w:trPr>
          <w:trHeight w:val="397"/>
          <w:jc w:val="center"/>
        </w:trPr>
        <w:tc>
          <w:tcPr>
            <w:tcW w:w="935" w:type="dxa"/>
            <w:tcBorders>
              <w:right w:val="single" w:sz="4" w:space="0" w:color="auto"/>
            </w:tcBorders>
            <w:tcMar>
              <w:left w:w="0" w:type="dxa"/>
              <w:right w:w="0" w:type="dxa"/>
            </w:tcMar>
            <w:vAlign w:val="center"/>
          </w:tcPr>
          <w:p w14:paraId="2C60536B"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秋季</w:t>
            </w:r>
          </w:p>
        </w:tc>
        <w:tc>
          <w:tcPr>
            <w:tcW w:w="679" w:type="dxa"/>
            <w:tcBorders>
              <w:left w:val="single" w:sz="4" w:space="0" w:color="auto"/>
              <w:right w:val="single" w:sz="4" w:space="0" w:color="auto"/>
            </w:tcBorders>
            <w:tcMar>
              <w:left w:w="0" w:type="dxa"/>
              <w:right w:w="0" w:type="dxa"/>
            </w:tcMar>
            <w:vAlign w:val="center"/>
          </w:tcPr>
          <w:p w14:paraId="066CFCAD"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2.61</w:t>
            </w:r>
          </w:p>
        </w:tc>
        <w:tc>
          <w:tcPr>
            <w:tcW w:w="679" w:type="dxa"/>
            <w:tcBorders>
              <w:left w:val="single" w:sz="4" w:space="0" w:color="auto"/>
              <w:right w:val="single" w:sz="4" w:space="0" w:color="auto"/>
            </w:tcBorders>
            <w:tcMar>
              <w:left w:w="0" w:type="dxa"/>
              <w:right w:w="0" w:type="dxa"/>
            </w:tcMar>
            <w:vAlign w:val="center"/>
          </w:tcPr>
          <w:p w14:paraId="1E26334B"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2.61</w:t>
            </w:r>
          </w:p>
        </w:tc>
        <w:tc>
          <w:tcPr>
            <w:tcW w:w="679" w:type="dxa"/>
            <w:tcBorders>
              <w:left w:val="single" w:sz="4" w:space="0" w:color="auto"/>
              <w:right w:val="single" w:sz="4" w:space="0" w:color="auto"/>
            </w:tcBorders>
            <w:tcMar>
              <w:left w:w="0" w:type="dxa"/>
              <w:right w:w="0" w:type="dxa"/>
            </w:tcMar>
            <w:vAlign w:val="center"/>
          </w:tcPr>
          <w:p w14:paraId="3A8A91C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2.67</w:t>
            </w:r>
          </w:p>
        </w:tc>
        <w:tc>
          <w:tcPr>
            <w:tcW w:w="679" w:type="dxa"/>
            <w:tcBorders>
              <w:left w:val="single" w:sz="4" w:space="0" w:color="auto"/>
              <w:right w:val="single" w:sz="4" w:space="0" w:color="auto"/>
            </w:tcBorders>
            <w:tcMar>
              <w:left w:w="0" w:type="dxa"/>
              <w:right w:w="0" w:type="dxa"/>
            </w:tcMar>
            <w:vAlign w:val="center"/>
          </w:tcPr>
          <w:p w14:paraId="710818DF"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2.69</w:t>
            </w:r>
          </w:p>
        </w:tc>
        <w:tc>
          <w:tcPr>
            <w:tcW w:w="679" w:type="dxa"/>
            <w:tcBorders>
              <w:left w:val="single" w:sz="4" w:space="0" w:color="auto"/>
            </w:tcBorders>
            <w:tcMar>
              <w:left w:w="0" w:type="dxa"/>
              <w:right w:w="0" w:type="dxa"/>
            </w:tcMar>
            <w:vAlign w:val="center"/>
          </w:tcPr>
          <w:p w14:paraId="5EAF141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2.45</w:t>
            </w:r>
          </w:p>
        </w:tc>
        <w:tc>
          <w:tcPr>
            <w:tcW w:w="679" w:type="dxa"/>
            <w:tcBorders>
              <w:right w:val="single" w:sz="4" w:space="0" w:color="auto"/>
            </w:tcBorders>
            <w:tcMar>
              <w:left w:w="0" w:type="dxa"/>
              <w:right w:w="0" w:type="dxa"/>
            </w:tcMar>
            <w:vAlign w:val="center"/>
          </w:tcPr>
          <w:p w14:paraId="7DA220D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1.96</w:t>
            </w:r>
          </w:p>
        </w:tc>
        <w:tc>
          <w:tcPr>
            <w:tcW w:w="679" w:type="dxa"/>
            <w:tcBorders>
              <w:left w:val="single" w:sz="4" w:space="0" w:color="auto"/>
              <w:right w:val="single" w:sz="4" w:space="0" w:color="auto"/>
            </w:tcBorders>
            <w:tcMar>
              <w:left w:w="0" w:type="dxa"/>
              <w:right w:w="0" w:type="dxa"/>
            </w:tcMar>
            <w:vAlign w:val="center"/>
          </w:tcPr>
          <w:p w14:paraId="4FD32003"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1.64</w:t>
            </w:r>
          </w:p>
        </w:tc>
        <w:tc>
          <w:tcPr>
            <w:tcW w:w="679" w:type="dxa"/>
            <w:tcBorders>
              <w:left w:val="single" w:sz="4" w:space="0" w:color="auto"/>
              <w:right w:val="single" w:sz="4" w:space="0" w:color="auto"/>
            </w:tcBorders>
            <w:tcMar>
              <w:left w:w="0" w:type="dxa"/>
              <w:right w:w="0" w:type="dxa"/>
            </w:tcMar>
            <w:vAlign w:val="center"/>
          </w:tcPr>
          <w:p w14:paraId="7180049A"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1.35</w:t>
            </w:r>
          </w:p>
        </w:tc>
        <w:tc>
          <w:tcPr>
            <w:tcW w:w="679" w:type="dxa"/>
            <w:tcBorders>
              <w:left w:val="single" w:sz="4" w:space="0" w:color="auto"/>
              <w:right w:val="single" w:sz="4" w:space="0" w:color="auto"/>
            </w:tcBorders>
            <w:tcMar>
              <w:left w:w="0" w:type="dxa"/>
              <w:right w:w="0" w:type="dxa"/>
            </w:tcMar>
            <w:vAlign w:val="center"/>
          </w:tcPr>
          <w:p w14:paraId="573D8F4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1.36</w:t>
            </w:r>
          </w:p>
        </w:tc>
        <w:tc>
          <w:tcPr>
            <w:tcW w:w="679" w:type="dxa"/>
            <w:tcBorders>
              <w:left w:val="single" w:sz="4" w:space="0" w:color="auto"/>
              <w:right w:val="single" w:sz="4" w:space="0" w:color="auto"/>
            </w:tcBorders>
            <w:tcMar>
              <w:left w:w="0" w:type="dxa"/>
              <w:right w:w="0" w:type="dxa"/>
            </w:tcMar>
            <w:vAlign w:val="center"/>
          </w:tcPr>
          <w:p w14:paraId="6FADFF56"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1.21</w:t>
            </w:r>
          </w:p>
        </w:tc>
        <w:tc>
          <w:tcPr>
            <w:tcW w:w="679" w:type="dxa"/>
            <w:tcBorders>
              <w:left w:val="single" w:sz="4" w:space="0" w:color="auto"/>
              <w:right w:val="single" w:sz="4" w:space="0" w:color="auto"/>
            </w:tcBorders>
            <w:tcMar>
              <w:left w:w="0" w:type="dxa"/>
              <w:right w:w="0" w:type="dxa"/>
            </w:tcMar>
            <w:vAlign w:val="center"/>
          </w:tcPr>
          <w:p w14:paraId="01298C11"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1.23</w:t>
            </w:r>
          </w:p>
        </w:tc>
        <w:tc>
          <w:tcPr>
            <w:tcW w:w="679" w:type="dxa"/>
            <w:tcBorders>
              <w:left w:val="single" w:sz="4" w:space="0" w:color="auto"/>
            </w:tcBorders>
            <w:tcMar>
              <w:left w:w="0" w:type="dxa"/>
              <w:right w:w="0" w:type="dxa"/>
            </w:tcMar>
            <w:vAlign w:val="center"/>
          </w:tcPr>
          <w:p w14:paraId="31EF2B8A"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1.24</w:t>
            </w:r>
          </w:p>
        </w:tc>
      </w:tr>
      <w:tr w:rsidR="00A922C9" w:rsidRPr="00A964FF" w14:paraId="5C5F366A" w14:textId="77777777" w:rsidTr="00904978">
        <w:trPr>
          <w:trHeight w:val="397"/>
          <w:jc w:val="center"/>
        </w:trPr>
        <w:tc>
          <w:tcPr>
            <w:tcW w:w="935" w:type="dxa"/>
            <w:tcBorders>
              <w:right w:val="single" w:sz="4" w:space="0" w:color="auto"/>
            </w:tcBorders>
            <w:tcMar>
              <w:left w:w="0" w:type="dxa"/>
              <w:right w:w="0" w:type="dxa"/>
            </w:tcMar>
            <w:vAlign w:val="center"/>
          </w:tcPr>
          <w:p w14:paraId="48E44A51" w14:textId="77777777" w:rsidR="00A922C9" w:rsidRPr="00A964FF" w:rsidRDefault="00A922C9" w:rsidP="00904978">
            <w:pPr>
              <w:jc w:val="center"/>
              <w:textAlignment w:val="baseline"/>
              <w:rPr>
                <w:rFonts w:ascii="Calibri" w:hAnsi="宋体"/>
                <w:color w:val="auto"/>
              </w:rPr>
            </w:pPr>
            <w:r w:rsidRPr="00A964FF">
              <w:rPr>
                <w:rFonts w:ascii="Calibri" w:hAnsi="宋体" w:hint="eastAsia"/>
                <w:color w:val="auto"/>
              </w:rPr>
              <w:t>冬季</w:t>
            </w:r>
          </w:p>
        </w:tc>
        <w:tc>
          <w:tcPr>
            <w:tcW w:w="679" w:type="dxa"/>
            <w:tcBorders>
              <w:left w:val="single" w:sz="4" w:space="0" w:color="auto"/>
              <w:right w:val="single" w:sz="4" w:space="0" w:color="auto"/>
            </w:tcBorders>
            <w:tcMar>
              <w:left w:w="0" w:type="dxa"/>
              <w:right w:w="0" w:type="dxa"/>
            </w:tcMar>
            <w:vAlign w:val="center"/>
          </w:tcPr>
          <w:p w14:paraId="7903E508" w14:textId="77777777" w:rsidR="00A922C9" w:rsidRPr="00A964FF" w:rsidRDefault="00A922C9" w:rsidP="00A922C9">
            <w:pPr>
              <w:jc w:val="center"/>
              <w:textAlignment w:val="baseline"/>
              <w:rPr>
                <w:rFonts w:ascii="Calibri" w:hAnsi="宋体"/>
                <w:color w:val="auto"/>
              </w:rPr>
            </w:pPr>
            <w:r w:rsidRPr="00A964FF">
              <w:rPr>
                <w:rFonts w:ascii="Calibri" w:hAnsi="宋体" w:hint="eastAsia"/>
                <w:color w:val="auto"/>
              </w:rPr>
              <w:t>3.25</w:t>
            </w:r>
          </w:p>
        </w:tc>
        <w:tc>
          <w:tcPr>
            <w:tcW w:w="679" w:type="dxa"/>
            <w:tcBorders>
              <w:left w:val="single" w:sz="4" w:space="0" w:color="auto"/>
              <w:right w:val="single" w:sz="4" w:space="0" w:color="auto"/>
            </w:tcBorders>
            <w:tcMar>
              <w:left w:w="0" w:type="dxa"/>
              <w:right w:w="0" w:type="dxa"/>
            </w:tcMar>
            <w:vAlign w:val="center"/>
          </w:tcPr>
          <w:p w14:paraId="25765B6B"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3.37</w:t>
            </w:r>
          </w:p>
        </w:tc>
        <w:tc>
          <w:tcPr>
            <w:tcW w:w="679" w:type="dxa"/>
            <w:tcBorders>
              <w:left w:val="single" w:sz="4" w:space="0" w:color="auto"/>
              <w:right w:val="single" w:sz="4" w:space="0" w:color="auto"/>
            </w:tcBorders>
            <w:tcMar>
              <w:left w:w="0" w:type="dxa"/>
              <w:right w:w="0" w:type="dxa"/>
            </w:tcMar>
            <w:vAlign w:val="center"/>
          </w:tcPr>
          <w:p w14:paraId="489DE6E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3.38</w:t>
            </w:r>
          </w:p>
        </w:tc>
        <w:tc>
          <w:tcPr>
            <w:tcW w:w="679" w:type="dxa"/>
            <w:tcBorders>
              <w:left w:val="single" w:sz="4" w:space="0" w:color="auto"/>
              <w:right w:val="single" w:sz="4" w:space="0" w:color="auto"/>
            </w:tcBorders>
            <w:tcMar>
              <w:left w:w="0" w:type="dxa"/>
              <w:right w:w="0" w:type="dxa"/>
            </w:tcMar>
            <w:vAlign w:val="center"/>
          </w:tcPr>
          <w:p w14:paraId="6CB0B76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3.53</w:t>
            </w:r>
          </w:p>
        </w:tc>
        <w:tc>
          <w:tcPr>
            <w:tcW w:w="679" w:type="dxa"/>
            <w:tcBorders>
              <w:left w:val="single" w:sz="4" w:space="0" w:color="auto"/>
            </w:tcBorders>
            <w:tcMar>
              <w:left w:w="0" w:type="dxa"/>
              <w:right w:w="0" w:type="dxa"/>
            </w:tcMar>
            <w:vAlign w:val="center"/>
          </w:tcPr>
          <w:p w14:paraId="52792284"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3.31</w:t>
            </w:r>
          </w:p>
        </w:tc>
        <w:tc>
          <w:tcPr>
            <w:tcW w:w="679" w:type="dxa"/>
            <w:tcBorders>
              <w:right w:val="single" w:sz="4" w:space="0" w:color="auto"/>
            </w:tcBorders>
            <w:tcMar>
              <w:left w:w="0" w:type="dxa"/>
              <w:right w:w="0" w:type="dxa"/>
            </w:tcMar>
            <w:vAlign w:val="center"/>
          </w:tcPr>
          <w:p w14:paraId="0C2E0709"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2.9</w:t>
            </w:r>
          </w:p>
        </w:tc>
        <w:tc>
          <w:tcPr>
            <w:tcW w:w="679" w:type="dxa"/>
            <w:tcBorders>
              <w:left w:val="single" w:sz="4" w:space="0" w:color="auto"/>
              <w:right w:val="single" w:sz="4" w:space="0" w:color="auto"/>
            </w:tcBorders>
            <w:tcMar>
              <w:left w:w="0" w:type="dxa"/>
              <w:right w:w="0" w:type="dxa"/>
            </w:tcMar>
            <w:vAlign w:val="center"/>
          </w:tcPr>
          <w:p w14:paraId="5CD09905"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2.55</w:t>
            </w:r>
          </w:p>
        </w:tc>
        <w:tc>
          <w:tcPr>
            <w:tcW w:w="679" w:type="dxa"/>
            <w:tcBorders>
              <w:left w:val="single" w:sz="4" w:space="0" w:color="auto"/>
              <w:right w:val="single" w:sz="4" w:space="0" w:color="auto"/>
            </w:tcBorders>
            <w:tcMar>
              <w:left w:w="0" w:type="dxa"/>
              <w:right w:w="0" w:type="dxa"/>
            </w:tcMar>
            <w:vAlign w:val="center"/>
          </w:tcPr>
          <w:p w14:paraId="498B29D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2.23</w:t>
            </w:r>
          </w:p>
        </w:tc>
        <w:tc>
          <w:tcPr>
            <w:tcW w:w="679" w:type="dxa"/>
            <w:tcBorders>
              <w:left w:val="single" w:sz="4" w:space="0" w:color="auto"/>
              <w:right w:val="single" w:sz="4" w:space="0" w:color="auto"/>
            </w:tcBorders>
            <w:tcMar>
              <w:left w:w="0" w:type="dxa"/>
              <w:right w:w="0" w:type="dxa"/>
            </w:tcMar>
            <w:vAlign w:val="center"/>
          </w:tcPr>
          <w:p w14:paraId="7AD1BCFA"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2.28</w:t>
            </w:r>
          </w:p>
        </w:tc>
        <w:tc>
          <w:tcPr>
            <w:tcW w:w="679" w:type="dxa"/>
            <w:tcBorders>
              <w:left w:val="single" w:sz="4" w:space="0" w:color="auto"/>
              <w:right w:val="single" w:sz="4" w:space="0" w:color="auto"/>
            </w:tcBorders>
            <w:tcMar>
              <w:left w:w="0" w:type="dxa"/>
              <w:right w:w="0" w:type="dxa"/>
            </w:tcMar>
            <w:vAlign w:val="center"/>
          </w:tcPr>
          <w:p w14:paraId="5B4BBDC7"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2.05</w:t>
            </w:r>
          </w:p>
        </w:tc>
        <w:tc>
          <w:tcPr>
            <w:tcW w:w="679" w:type="dxa"/>
            <w:tcBorders>
              <w:left w:val="single" w:sz="4" w:space="0" w:color="auto"/>
              <w:right w:val="single" w:sz="4" w:space="0" w:color="auto"/>
            </w:tcBorders>
            <w:tcMar>
              <w:left w:w="0" w:type="dxa"/>
              <w:right w:w="0" w:type="dxa"/>
            </w:tcMar>
            <w:vAlign w:val="center"/>
          </w:tcPr>
          <w:p w14:paraId="03BC57FC"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1.91</w:t>
            </w:r>
          </w:p>
        </w:tc>
        <w:tc>
          <w:tcPr>
            <w:tcW w:w="679" w:type="dxa"/>
            <w:tcBorders>
              <w:left w:val="single" w:sz="4" w:space="0" w:color="auto"/>
            </w:tcBorders>
            <w:tcMar>
              <w:left w:w="0" w:type="dxa"/>
              <w:right w:w="0" w:type="dxa"/>
            </w:tcMar>
            <w:vAlign w:val="center"/>
          </w:tcPr>
          <w:p w14:paraId="6B88061B" w14:textId="77777777" w:rsidR="00A922C9" w:rsidRPr="00A964FF" w:rsidRDefault="00A922C9" w:rsidP="00E16351">
            <w:pPr>
              <w:jc w:val="center"/>
              <w:textAlignment w:val="baseline"/>
              <w:rPr>
                <w:rFonts w:ascii="Calibri" w:hAnsi="宋体"/>
                <w:color w:val="auto"/>
              </w:rPr>
            </w:pPr>
            <w:r w:rsidRPr="00A964FF">
              <w:rPr>
                <w:rFonts w:ascii="Calibri" w:hAnsi="宋体" w:hint="eastAsia"/>
                <w:color w:val="auto"/>
              </w:rPr>
              <w:t>1.82</w:t>
            </w:r>
          </w:p>
        </w:tc>
      </w:tr>
    </w:tbl>
    <w:p w14:paraId="4BB75D0B"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20</w:t>
      </w:r>
      <w:r w:rsidR="00A922C9" w:rsidRPr="00A964FF">
        <w:rPr>
          <w:rFonts w:ascii="Calibri" w:hAnsi="Calibri" w:hint="eastAsia"/>
          <w:color w:val="auto"/>
          <w:sz w:val="24"/>
        </w:rPr>
        <w:t>20</w:t>
      </w:r>
      <w:r w:rsidRPr="00A964FF">
        <w:rPr>
          <w:rFonts w:ascii="Calibri" w:hAnsi="Calibri" w:hint="eastAsia"/>
          <w:color w:val="auto"/>
          <w:sz w:val="24"/>
        </w:rPr>
        <w:t>年季小时平均风速的日变化曲线见图</w:t>
      </w:r>
      <w:r w:rsidRPr="00A964FF">
        <w:rPr>
          <w:rFonts w:ascii="Calibri" w:hAnsi="Calibri" w:hint="eastAsia"/>
          <w:color w:val="auto"/>
          <w:sz w:val="24"/>
        </w:rPr>
        <w:t>4.2-4</w:t>
      </w:r>
      <w:r w:rsidRPr="00A964FF">
        <w:rPr>
          <w:rFonts w:ascii="Calibri" w:hAnsi="Calibri" w:hint="eastAsia"/>
          <w:color w:val="auto"/>
          <w:sz w:val="24"/>
        </w:rPr>
        <w:t>。</w:t>
      </w:r>
    </w:p>
    <w:p w14:paraId="54795559" w14:textId="77777777" w:rsidR="00A922C9" w:rsidRPr="00A964FF" w:rsidRDefault="00A922C9" w:rsidP="00A922C9">
      <w:pPr>
        <w:spacing w:line="520" w:lineRule="exact"/>
        <w:ind w:firstLineChars="200" w:firstLine="480"/>
        <w:jc w:val="left"/>
        <w:rPr>
          <w:rFonts w:ascii="Calibri" w:eastAsia="黑体" w:hAnsi="Calibri"/>
          <w:noProof/>
          <w:color w:val="auto"/>
          <w:sz w:val="24"/>
        </w:rPr>
      </w:pPr>
    </w:p>
    <w:p w14:paraId="4DCC15D1" w14:textId="77777777" w:rsidR="00A922C9" w:rsidRPr="00A964FF" w:rsidRDefault="00A922C9" w:rsidP="00A922C9">
      <w:pPr>
        <w:spacing w:line="520" w:lineRule="exact"/>
        <w:ind w:firstLineChars="200" w:firstLine="480"/>
        <w:jc w:val="left"/>
        <w:rPr>
          <w:rFonts w:ascii="Calibri" w:eastAsia="黑体" w:hAnsi="Calibri"/>
          <w:noProof/>
          <w:color w:val="auto"/>
          <w:sz w:val="24"/>
        </w:rPr>
      </w:pPr>
    </w:p>
    <w:p w14:paraId="296DCEA4" w14:textId="77777777" w:rsidR="00A922C9" w:rsidRPr="00A964FF" w:rsidRDefault="00A922C9" w:rsidP="00A922C9">
      <w:pPr>
        <w:spacing w:line="520" w:lineRule="exact"/>
        <w:ind w:firstLineChars="200" w:firstLine="480"/>
        <w:jc w:val="left"/>
        <w:rPr>
          <w:rFonts w:ascii="Calibri" w:eastAsia="黑体" w:hAnsi="Calibri"/>
          <w:color w:val="auto"/>
          <w:sz w:val="24"/>
        </w:rPr>
      </w:pPr>
      <w:r w:rsidRPr="00A964FF">
        <w:rPr>
          <w:rFonts w:ascii="Calibri" w:eastAsia="黑体" w:hAnsi="Calibri" w:hint="eastAsia"/>
          <w:noProof/>
          <w:color w:val="auto"/>
          <w:sz w:val="24"/>
        </w:rPr>
        <w:lastRenderedPageBreak/>
        <w:drawing>
          <wp:anchor distT="0" distB="0" distL="114300" distR="114300" simplePos="0" relativeHeight="251881984" behindDoc="0" locked="0" layoutInCell="1" allowOverlap="1" wp14:anchorId="0D50FA0B" wp14:editId="76953CB4">
            <wp:simplePos x="0" y="0"/>
            <wp:positionH relativeFrom="column">
              <wp:posOffset>19685</wp:posOffset>
            </wp:positionH>
            <wp:positionV relativeFrom="paragraph">
              <wp:posOffset>189230</wp:posOffset>
            </wp:positionV>
            <wp:extent cx="5544820" cy="2717165"/>
            <wp:effectExtent l="19050" t="0" r="0" b="0"/>
            <wp:wrapTopAndBottom/>
            <wp:docPr id="2757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srcRect/>
                    <a:stretch>
                      <a:fillRect/>
                    </a:stretch>
                  </pic:blipFill>
                  <pic:spPr bwMode="auto">
                    <a:xfrm>
                      <a:off x="0" y="0"/>
                      <a:ext cx="5544820" cy="2717165"/>
                    </a:xfrm>
                    <a:prstGeom prst="rect">
                      <a:avLst/>
                    </a:prstGeom>
                    <a:noFill/>
                    <a:ln w="9525">
                      <a:noFill/>
                      <a:miter lim="800000"/>
                      <a:headEnd/>
                      <a:tailEnd/>
                    </a:ln>
                  </pic:spPr>
                </pic:pic>
              </a:graphicData>
            </a:graphic>
          </wp:anchor>
        </w:drawing>
      </w:r>
      <w:r w:rsidRPr="00A964FF">
        <w:rPr>
          <w:rFonts w:ascii="Calibri" w:eastAsia="黑体" w:hAnsi="Calibri" w:hint="eastAsia"/>
          <w:color w:val="auto"/>
          <w:sz w:val="24"/>
        </w:rPr>
        <w:t>图</w:t>
      </w:r>
      <w:r w:rsidRPr="00A964FF">
        <w:rPr>
          <w:rFonts w:ascii="Calibri" w:eastAsia="黑体" w:hAnsi="Calibri"/>
          <w:color w:val="auto"/>
          <w:sz w:val="24"/>
        </w:rPr>
        <w:t>4</w:t>
      </w:r>
      <w:r w:rsidRPr="00A964FF">
        <w:rPr>
          <w:rFonts w:ascii="Calibri" w:eastAsia="黑体" w:hAnsi="Calibri" w:hint="eastAsia"/>
          <w:color w:val="auto"/>
          <w:sz w:val="24"/>
        </w:rPr>
        <w:t>.2</w:t>
      </w:r>
      <w:r w:rsidRPr="00A964FF">
        <w:rPr>
          <w:rFonts w:ascii="Calibri" w:eastAsia="黑体" w:hAnsi="Calibri"/>
          <w:color w:val="auto"/>
          <w:sz w:val="24"/>
        </w:rPr>
        <w:t>-</w:t>
      </w:r>
      <w:r w:rsidRPr="00A964FF">
        <w:rPr>
          <w:rFonts w:ascii="Calibri" w:eastAsia="黑体" w:hAnsi="Calibri" w:hint="eastAsia"/>
          <w:color w:val="auto"/>
          <w:sz w:val="24"/>
        </w:rPr>
        <w:t>4</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黑体"/>
          <w:bCs/>
          <w:color w:val="auto"/>
          <w:sz w:val="24"/>
        </w:rPr>
        <w:t>季小时平均风速的日变化图</w:t>
      </w:r>
    </w:p>
    <w:p w14:paraId="749D29A4" w14:textId="77777777" w:rsidR="0096136C" w:rsidRPr="00A964FF" w:rsidRDefault="0096136C" w:rsidP="0096136C">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由上表和上图可知，本项目区域内</w:t>
      </w:r>
      <w:r w:rsidRPr="00A964FF">
        <w:rPr>
          <w:rFonts w:ascii="Calibri" w:hAnsi="Calibri"/>
          <w:bCs/>
          <w:color w:val="auto"/>
          <w:sz w:val="24"/>
        </w:rPr>
        <w:t>20</w:t>
      </w:r>
      <w:r w:rsidR="00A922C9" w:rsidRPr="00A964FF">
        <w:rPr>
          <w:rFonts w:ascii="Calibri" w:hAnsi="Calibri" w:hint="eastAsia"/>
          <w:bCs/>
          <w:color w:val="auto"/>
          <w:sz w:val="24"/>
        </w:rPr>
        <w:t>20</w:t>
      </w:r>
      <w:r w:rsidRPr="00A964FF">
        <w:rPr>
          <w:rFonts w:ascii="Calibri" w:hAnsi="Calibri" w:hint="eastAsia"/>
          <w:bCs/>
          <w:color w:val="auto"/>
          <w:sz w:val="24"/>
        </w:rPr>
        <w:t>年各季节小时平均风速日变化曲线趋势基本一致。</w:t>
      </w:r>
    </w:p>
    <w:p w14:paraId="4C535E08"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③</w:t>
      </w:r>
      <w:r w:rsidRPr="00A964FF">
        <w:rPr>
          <w:rFonts w:ascii="Calibri" w:hAnsi="Calibri" w:hint="eastAsia"/>
          <w:color w:val="auto"/>
          <w:sz w:val="24"/>
        </w:rPr>
        <w:t xml:space="preserve"> </w:t>
      </w:r>
      <w:r w:rsidRPr="00A964FF">
        <w:rPr>
          <w:rFonts w:ascii="Calibri" w:hAnsi="Calibri" w:hint="eastAsia"/>
          <w:bCs/>
          <w:color w:val="auto"/>
          <w:sz w:val="24"/>
        </w:rPr>
        <w:t>风速玫瑰图</w:t>
      </w:r>
    </w:p>
    <w:p w14:paraId="354B30A6" w14:textId="77777777" w:rsidR="0096136C" w:rsidRPr="00A964FF" w:rsidRDefault="0096136C" w:rsidP="0096136C">
      <w:pPr>
        <w:spacing w:line="520" w:lineRule="exact"/>
        <w:ind w:firstLineChars="200" w:firstLine="480"/>
        <w:jc w:val="left"/>
        <w:rPr>
          <w:rFonts w:ascii="Calibri" w:hAnsi="Calibri"/>
          <w:bCs/>
          <w:color w:val="auto"/>
          <w:sz w:val="24"/>
        </w:rPr>
      </w:pPr>
      <w:r w:rsidRPr="00A964FF">
        <w:rPr>
          <w:rFonts w:ascii="Calibri" w:hAnsi="Calibri" w:hint="eastAsia"/>
          <w:bCs/>
          <w:color w:val="auto"/>
          <w:sz w:val="24"/>
        </w:rPr>
        <w:t>根据对叶县气象观测站</w:t>
      </w:r>
      <w:r w:rsidRPr="00A964FF">
        <w:rPr>
          <w:rFonts w:ascii="Calibri" w:hAnsi="Calibri"/>
          <w:bCs/>
          <w:color w:val="auto"/>
          <w:sz w:val="24"/>
        </w:rPr>
        <w:t>20</w:t>
      </w:r>
      <w:r w:rsidR="00A922C9" w:rsidRPr="00A964FF">
        <w:rPr>
          <w:rFonts w:ascii="Calibri" w:hAnsi="Calibri" w:hint="eastAsia"/>
          <w:bCs/>
          <w:color w:val="auto"/>
          <w:sz w:val="24"/>
        </w:rPr>
        <w:t>20</w:t>
      </w:r>
      <w:r w:rsidRPr="00A964FF">
        <w:rPr>
          <w:rFonts w:ascii="Calibri" w:hAnsi="Calibri" w:hint="eastAsia"/>
          <w:bCs/>
          <w:color w:val="auto"/>
          <w:sz w:val="24"/>
        </w:rPr>
        <w:t>年全年逐日地面气象观测资料进行统计，区域风速玫瑰图见图</w:t>
      </w:r>
      <w:r w:rsidRPr="00A964FF">
        <w:rPr>
          <w:rFonts w:ascii="Calibri" w:hAnsi="Calibri" w:hint="eastAsia"/>
          <w:bCs/>
          <w:color w:val="auto"/>
          <w:sz w:val="24"/>
        </w:rPr>
        <w:t>4.2</w:t>
      </w:r>
      <w:r w:rsidRPr="00A964FF">
        <w:rPr>
          <w:rFonts w:ascii="Calibri" w:hAnsi="Calibri"/>
          <w:bCs/>
          <w:color w:val="auto"/>
          <w:sz w:val="24"/>
        </w:rPr>
        <w:t>-</w:t>
      </w:r>
      <w:r w:rsidRPr="00A964FF">
        <w:rPr>
          <w:rFonts w:ascii="Calibri" w:hAnsi="Calibri" w:hint="eastAsia"/>
          <w:bCs/>
          <w:color w:val="auto"/>
          <w:sz w:val="24"/>
        </w:rPr>
        <w:t>5</w:t>
      </w:r>
      <w:r w:rsidRPr="00A964FF">
        <w:rPr>
          <w:rFonts w:ascii="Calibri" w:hAnsi="Calibri" w:hint="eastAsia"/>
          <w:bCs/>
          <w:color w:val="auto"/>
          <w:sz w:val="24"/>
        </w:rPr>
        <w:t>。</w:t>
      </w:r>
    </w:p>
    <w:p w14:paraId="20961EAF" w14:textId="77777777" w:rsidR="0096136C" w:rsidRPr="00A964FF" w:rsidRDefault="0096136C" w:rsidP="0096136C">
      <w:pPr>
        <w:spacing w:line="520" w:lineRule="exact"/>
        <w:ind w:firstLineChars="200" w:firstLine="480"/>
        <w:jc w:val="left"/>
        <w:rPr>
          <w:rFonts w:ascii="Calibri" w:hAnsi="Calibri"/>
          <w:bCs/>
          <w:color w:val="auto"/>
          <w:sz w:val="24"/>
        </w:rPr>
      </w:pPr>
    </w:p>
    <w:p w14:paraId="3A23D2E7" w14:textId="77777777" w:rsidR="0096136C" w:rsidRPr="00A964FF" w:rsidRDefault="0096136C" w:rsidP="0096136C">
      <w:pPr>
        <w:spacing w:line="520" w:lineRule="exact"/>
        <w:ind w:firstLineChars="200" w:firstLine="480"/>
        <w:jc w:val="left"/>
        <w:rPr>
          <w:rFonts w:ascii="Calibri" w:hAnsi="Calibri"/>
          <w:bCs/>
          <w:color w:val="auto"/>
          <w:sz w:val="24"/>
        </w:rPr>
      </w:pPr>
    </w:p>
    <w:p w14:paraId="0B5EABA8" w14:textId="77777777" w:rsidR="0096136C" w:rsidRPr="00A964FF" w:rsidRDefault="0096136C" w:rsidP="0096136C">
      <w:pPr>
        <w:spacing w:line="520" w:lineRule="exact"/>
        <w:ind w:firstLineChars="200" w:firstLine="480"/>
        <w:jc w:val="left"/>
        <w:rPr>
          <w:rFonts w:ascii="Calibri" w:hAnsi="Calibri"/>
          <w:bCs/>
          <w:color w:val="auto"/>
          <w:sz w:val="24"/>
        </w:rPr>
      </w:pPr>
    </w:p>
    <w:p w14:paraId="49EC074D" w14:textId="77777777" w:rsidR="0096136C" w:rsidRPr="00A964FF" w:rsidRDefault="0096136C" w:rsidP="0096136C">
      <w:pPr>
        <w:spacing w:line="520" w:lineRule="exact"/>
        <w:ind w:firstLineChars="200" w:firstLine="480"/>
        <w:jc w:val="left"/>
        <w:rPr>
          <w:rFonts w:ascii="Calibri" w:hAnsi="Calibri"/>
          <w:bCs/>
          <w:color w:val="auto"/>
          <w:sz w:val="24"/>
        </w:rPr>
      </w:pPr>
    </w:p>
    <w:p w14:paraId="7EE0E272" w14:textId="77777777" w:rsidR="0096136C" w:rsidRPr="00A964FF" w:rsidRDefault="0096136C" w:rsidP="0096136C">
      <w:pPr>
        <w:spacing w:line="520" w:lineRule="exact"/>
        <w:ind w:firstLineChars="200" w:firstLine="480"/>
        <w:jc w:val="left"/>
        <w:rPr>
          <w:rFonts w:ascii="Calibri" w:hAnsi="Calibri"/>
          <w:bCs/>
          <w:color w:val="auto"/>
          <w:sz w:val="24"/>
        </w:rPr>
      </w:pPr>
    </w:p>
    <w:p w14:paraId="145C2893" w14:textId="77777777" w:rsidR="0096136C" w:rsidRPr="00A964FF" w:rsidRDefault="0096136C" w:rsidP="0096136C">
      <w:pPr>
        <w:spacing w:line="520" w:lineRule="exact"/>
        <w:ind w:firstLineChars="200" w:firstLine="480"/>
        <w:jc w:val="left"/>
        <w:rPr>
          <w:rFonts w:ascii="Calibri" w:hAnsi="Calibri"/>
          <w:bCs/>
          <w:color w:val="auto"/>
          <w:sz w:val="24"/>
        </w:rPr>
      </w:pPr>
    </w:p>
    <w:p w14:paraId="2E8D5E4E" w14:textId="77777777" w:rsidR="002C047E" w:rsidRPr="00A964FF" w:rsidRDefault="002C047E" w:rsidP="0055712C">
      <w:pPr>
        <w:spacing w:line="520" w:lineRule="exact"/>
        <w:ind w:firstLineChars="200" w:firstLine="480"/>
        <w:jc w:val="left"/>
        <w:rPr>
          <w:rFonts w:ascii="Calibri" w:eastAsia="黑体" w:hAnsi="黑体"/>
          <w:bCs/>
          <w:noProof/>
          <w:color w:val="auto"/>
          <w:sz w:val="24"/>
        </w:rPr>
      </w:pPr>
    </w:p>
    <w:p w14:paraId="00679415" w14:textId="77777777" w:rsidR="002C047E" w:rsidRPr="00A964FF" w:rsidRDefault="002C047E" w:rsidP="0055712C">
      <w:pPr>
        <w:spacing w:line="520" w:lineRule="exact"/>
        <w:ind w:firstLineChars="200" w:firstLine="480"/>
        <w:jc w:val="left"/>
        <w:rPr>
          <w:rFonts w:ascii="Calibri" w:eastAsia="黑体" w:hAnsi="黑体"/>
          <w:bCs/>
          <w:noProof/>
          <w:color w:val="auto"/>
          <w:sz w:val="24"/>
        </w:rPr>
      </w:pPr>
    </w:p>
    <w:p w14:paraId="20A89085" w14:textId="77777777" w:rsidR="002C047E" w:rsidRPr="00A964FF" w:rsidRDefault="002C047E" w:rsidP="0055712C">
      <w:pPr>
        <w:spacing w:line="520" w:lineRule="exact"/>
        <w:ind w:firstLineChars="200" w:firstLine="480"/>
        <w:jc w:val="left"/>
        <w:rPr>
          <w:rFonts w:ascii="Calibri" w:eastAsia="黑体" w:hAnsi="黑体"/>
          <w:bCs/>
          <w:noProof/>
          <w:color w:val="auto"/>
          <w:sz w:val="24"/>
        </w:rPr>
      </w:pPr>
    </w:p>
    <w:p w14:paraId="7DBCFC35" w14:textId="77777777" w:rsidR="002C047E" w:rsidRPr="00A964FF" w:rsidRDefault="002C047E" w:rsidP="0055712C">
      <w:pPr>
        <w:spacing w:line="520" w:lineRule="exact"/>
        <w:ind w:firstLineChars="200" w:firstLine="480"/>
        <w:jc w:val="left"/>
        <w:rPr>
          <w:rFonts w:ascii="Calibri" w:eastAsia="黑体" w:hAnsi="黑体"/>
          <w:bCs/>
          <w:noProof/>
          <w:color w:val="auto"/>
          <w:sz w:val="24"/>
        </w:rPr>
      </w:pPr>
    </w:p>
    <w:p w14:paraId="562466D4" w14:textId="77777777" w:rsidR="002C047E" w:rsidRPr="00A964FF" w:rsidRDefault="002C047E" w:rsidP="0055712C">
      <w:pPr>
        <w:spacing w:line="520" w:lineRule="exact"/>
        <w:ind w:firstLineChars="200" w:firstLine="480"/>
        <w:jc w:val="left"/>
        <w:rPr>
          <w:rFonts w:ascii="Calibri" w:eastAsia="黑体" w:hAnsi="黑体"/>
          <w:bCs/>
          <w:noProof/>
          <w:color w:val="auto"/>
          <w:sz w:val="24"/>
        </w:rPr>
      </w:pPr>
    </w:p>
    <w:p w14:paraId="4D89AA4E" w14:textId="77777777" w:rsidR="002C047E" w:rsidRPr="00A964FF" w:rsidRDefault="002C047E" w:rsidP="0055712C">
      <w:pPr>
        <w:spacing w:line="520" w:lineRule="exact"/>
        <w:ind w:firstLineChars="200" w:firstLine="480"/>
        <w:jc w:val="left"/>
        <w:rPr>
          <w:rFonts w:ascii="Calibri" w:eastAsia="黑体" w:hAnsi="黑体"/>
          <w:bCs/>
          <w:noProof/>
          <w:color w:val="auto"/>
          <w:sz w:val="24"/>
        </w:rPr>
      </w:pPr>
    </w:p>
    <w:p w14:paraId="355763A1" w14:textId="77777777" w:rsidR="0096136C" w:rsidRPr="00A964FF" w:rsidRDefault="00351DCE" w:rsidP="0055712C">
      <w:pPr>
        <w:spacing w:line="520" w:lineRule="exact"/>
        <w:ind w:firstLineChars="200" w:firstLine="480"/>
        <w:jc w:val="left"/>
        <w:rPr>
          <w:rFonts w:ascii="黑体" w:eastAsia="黑体" w:hAnsi="黑体"/>
          <w:bCs/>
          <w:color w:val="auto"/>
          <w:sz w:val="24"/>
        </w:rPr>
      </w:pPr>
      <w:r w:rsidRPr="00A964FF">
        <w:rPr>
          <w:rFonts w:ascii="Calibri" w:eastAsia="黑体" w:hAnsi="黑体" w:hint="eastAsia"/>
          <w:bCs/>
          <w:noProof/>
          <w:color w:val="auto"/>
          <w:sz w:val="24"/>
        </w:rPr>
        <w:lastRenderedPageBreak/>
        <w:drawing>
          <wp:anchor distT="0" distB="0" distL="114300" distR="114300" simplePos="0" relativeHeight="251887104" behindDoc="0" locked="0" layoutInCell="1" allowOverlap="1" wp14:anchorId="5646B4E2" wp14:editId="719626BA">
            <wp:simplePos x="0" y="0"/>
            <wp:positionH relativeFrom="column">
              <wp:posOffset>20320</wp:posOffset>
            </wp:positionH>
            <wp:positionV relativeFrom="paragraph">
              <wp:posOffset>5730875</wp:posOffset>
            </wp:positionV>
            <wp:extent cx="1332865" cy="1371600"/>
            <wp:effectExtent l="19050" t="0" r="635" b="0"/>
            <wp:wrapTopAndBottom/>
            <wp:docPr id="2650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srcRect/>
                    <a:stretch>
                      <a:fillRect/>
                    </a:stretch>
                  </pic:blipFill>
                  <pic:spPr bwMode="auto">
                    <a:xfrm>
                      <a:off x="0" y="0"/>
                      <a:ext cx="1332865" cy="1371600"/>
                    </a:xfrm>
                    <a:prstGeom prst="rect">
                      <a:avLst/>
                    </a:prstGeom>
                    <a:noFill/>
                    <a:ln w="9525">
                      <a:noFill/>
                      <a:miter lim="800000"/>
                      <a:headEnd/>
                      <a:tailEnd/>
                    </a:ln>
                  </pic:spPr>
                </pic:pic>
              </a:graphicData>
            </a:graphic>
          </wp:anchor>
        </w:drawing>
      </w:r>
      <w:r w:rsidRPr="00A964FF">
        <w:rPr>
          <w:rFonts w:ascii="Calibri" w:eastAsia="黑体" w:hAnsi="黑体" w:hint="eastAsia"/>
          <w:bCs/>
          <w:noProof/>
          <w:color w:val="auto"/>
          <w:sz w:val="24"/>
        </w:rPr>
        <w:drawing>
          <wp:anchor distT="0" distB="0" distL="114300" distR="114300" simplePos="0" relativeHeight="251886080" behindDoc="0" locked="0" layoutInCell="1" allowOverlap="1" wp14:anchorId="2858AB9A" wp14:editId="6CBBFA80">
            <wp:simplePos x="0" y="0"/>
            <wp:positionH relativeFrom="column">
              <wp:posOffset>20320</wp:posOffset>
            </wp:positionH>
            <wp:positionV relativeFrom="paragraph">
              <wp:posOffset>41910</wp:posOffset>
            </wp:positionV>
            <wp:extent cx="5540375" cy="5688330"/>
            <wp:effectExtent l="19050" t="0" r="3175" b="0"/>
            <wp:wrapTopAndBottom/>
            <wp:docPr id="2650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srcRect/>
                    <a:stretch>
                      <a:fillRect/>
                    </a:stretch>
                  </pic:blipFill>
                  <pic:spPr bwMode="auto">
                    <a:xfrm>
                      <a:off x="0" y="0"/>
                      <a:ext cx="5540375" cy="5688330"/>
                    </a:xfrm>
                    <a:prstGeom prst="rect">
                      <a:avLst/>
                    </a:prstGeom>
                    <a:noFill/>
                    <a:ln w="9525">
                      <a:noFill/>
                      <a:miter lim="800000"/>
                      <a:headEnd/>
                      <a:tailEnd/>
                    </a:ln>
                  </pic:spPr>
                </pic:pic>
              </a:graphicData>
            </a:graphic>
          </wp:anchor>
        </w:drawing>
      </w:r>
      <w:r w:rsidR="0096136C" w:rsidRPr="00A964FF">
        <w:rPr>
          <w:rFonts w:ascii="Calibri" w:eastAsia="黑体" w:hAnsi="黑体" w:hint="eastAsia"/>
          <w:bCs/>
          <w:color w:val="auto"/>
          <w:sz w:val="24"/>
        </w:rPr>
        <w:t>图</w:t>
      </w:r>
      <w:r w:rsidR="0096136C" w:rsidRPr="00A964FF">
        <w:rPr>
          <w:rFonts w:ascii="Calibri" w:eastAsia="黑体" w:hAnsi="Calibri" w:hint="eastAsia"/>
          <w:bCs/>
          <w:color w:val="auto"/>
          <w:sz w:val="24"/>
        </w:rPr>
        <w:t>4.2</w:t>
      </w:r>
      <w:r w:rsidR="0096136C" w:rsidRPr="00A964FF">
        <w:rPr>
          <w:rFonts w:ascii="Calibri" w:eastAsia="黑体" w:hAnsi="Calibri"/>
          <w:bCs/>
          <w:color w:val="auto"/>
          <w:sz w:val="24"/>
        </w:rPr>
        <w:t>-</w:t>
      </w:r>
      <w:r w:rsidR="0096136C" w:rsidRPr="00A964FF">
        <w:rPr>
          <w:rFonts w:ascii="Calibri" w:eastAsia="黑体" w:hAnsi="Calibri" w:hint="eastAsia"/>
          <w:bCs/>
          <w:color w:val="auto"/>
          <w:sz w:val="24"/>
        </w:rPr>
        <w:t>5</w:t>
      </w:r>
      <w:r w:rsidR="0096136C" w:rsidRPr="00A964FF">
        <w:rPr>
          <w:rFonts w:ascii="Calibri" w:eastAsia="黑体" w:hAnsi="Calibri"/>
          <w:bCs/>
          <w:color w:val="auto"/>
          <w:sz w:val="24"/>
        </w:rPr>
        <w:t xml:space="preserve">   </w:t>
      </w:r>
      <w:r w:rsidR="0096136C" w:rsidRPr="00A964FF">
        <w:rPr>
          <w:rFonts w:ascii="黑体" w:eastAsia="黑体" w:hAnsi="黑体" w:hint="eastAsia"/>
          <w:bCs/>
          <w:color w:val="auto"/>
          <w:sz w:val="24"/>
        </w:rPr>
        <w:t xml:space="preserve">                     风速玫瑰图</w:t>
      </w:r>
    </w:p>
    <w:p w14:paraId="7495E38A"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3</w:t>
      </w:r>
      <w:r w:rsidRPr="00A964FF">
        <w:rPr>
          <w:rFonts w:ascii="Calibri" w:hAnsi="Calibri" w:hint="eastAsia"/>
          <w:color w:val="auto"/>
          <w:sz w:val="24"/>
        </w:rPr>
        <w:t>）风向、风频</w:t>
      </w:r>
    </w:p>
    <w:p w14:paraId="35470CFC" w14:textId="77777777" w:rsidR="0096136C" w:rsidRPr="00A964FF" w:rsidRDefault="0096136C" w:rsidP="0096136C">
      <w:pPr>
        <w:spacing w:line="520" w:lineRule="exact"/>
        <w:ind w:firstLineChars="200" w:firstLine="480"/>
        <w:jc w:val="left"/>
        <w:rPr>
          <w:rFonts w:ascii="Calibri" w:hAnsi="Calibri"/>
          <w:color w:val="auto"/>
          <w:sz w:val="24"/>
        </w:rPr>
      </w:pPr>
      <w:r w:rsidRPr="00A964FF">
        <w:rPr>
          <w:rFonts w:ascii="Calibri" w:hAnsi="Calibri" w:hint="eastAsia"/>
          <w:color w:val="auto"/>
          <w:sz w:val="24"/>
        </w:rPr>
        <w:t>根据叶县气象观测值</w:t>
      </w:r>
      <w:r w:rsidRPr="00A964FF">
        <w:rPr>
          <w:rFonts w:ascii="Calibri" w:hAnsi="Calibri" w:hint="eastAsia"/>
          <w:color w:val="auto"/>
          <w:sz w:val="24"/>
        </w:rPr>
        <w:t>20</w:t>
      </w:r>
      <w:r w:rsidR="002C047E" w:rsidRPr="00A964FF">
        <w:rPr>
          <w:rFonts w:ascii="Calibri" w:hAnsi="Calibri" w:hint="eastAsia"/>
          <w:color w:val="auto"/>
          <w:sz w:val="24"/>
        </w:rPr>
        <w:t>20</w:t>
      </w:r>
      <w:r w:rsidRPr="00A964FF">
        <w:rPr>
          <w:rFonts w:ascii="Calibri" w:hAnsi="Calibri" w:hint="eastAsia"/>
          <w:color w:val="auto"/>
          <w:sz w:val="24"/>
        </w:rPr>
        <w:t>年全年</w:t>
      </w:r>
      <w:r w:rsidRPr="00A964FF">
        <w:rPr>
          <w:rFonts w:ascii="Calibri" w:hAnsi="Calibri" w:hint="eastAsia"/>
          <w:bCs/>
          <w:color w:val="auto"/>
          <w:sz w:val="24"/>
        </w:rPr>
        <w:t>逐日地面气象观测资料进行统计，</w:t>
      </w:r>
      <w:r w:rsidRPr="00A964FF">
        <w:rPr>
          <w:rFonts w:ascii="Calibri" w:hAnsi="Calibri" w:hint="eastAsia"/>
          <w:color w:val="auto"/>
          <w:sz w:val="24"/>
        </w:rPr>
        <w:t>20</w:t>
      </w:r>
      <w:r w:rsidR="002C047E" w:rsidRPr="00A964FF">
        <w:rPr>
          <w:rFonts w:ascii="Calibri" w:hAnsi="Calibri" w:hint="eastAsia"/>
          <w:color w:val="auto"/>
          <w:sz w:val="24"/>
        </w:rPr>
        <w:t>20</w:t>
      </w:r>
      <w:r w:rsidRPr="00A964FF">
        <w:rPr>
          <w:rFonts w:ascii="Calibri" w:hAnsi="Calibri" w:hint="eastAsia"/>
          <w:color w:val="auto"/>
          <w:sz w:val="24"/>
        </w:rPr>
        <w:t>年各月各风向出现频率结果见表</w:t>
      </w:r>
      <w:r w:rsidRPr="00A964FF">
        <w:rPr>
          <w:rFonts w:ascii="Calibri" w:hAnsi="Calibri" w:hint="eastAsia"/>
          <w:color w:val="auto"/>
          <w:sz w:val="24"/>
        </w:rPr>
        <w:t>4.2-5</w:t>
      </w:r>
      <w:r w:rsidRPr="00A964FF">
        <w:rPr>
          <w:rFonts w:ascii="Calibri" w:hAnsi="Calibri" w:hint="eastAsia"/>
          <w:color w:val="auto"/>
          <w:sz w:val="24"/>
        </w:rPr>
        <w:t>，各季各风向频率统计结果见表</w:t>
      </w:r>
      <w:r w:rsidRPr="00A964FF">
        <w:rPr>
          <w:rFonts w:ascii="Calibri" w:hAnsi="Calibri" w:hint="eastAsia"/>
          <w:color w:val="auto"/>
          <w:sz w:val="24"/>
        </w:rPr>
        <w:t>4.2-6</w:t>
      </w:r>
      <w:r w:rsidRPr="00A964FF">
        <w:rPr>
          <w:rFonts w:ascii="Calibri" w:hAnsi="Calibri" w:hint="eastAsia"/>
          <w:color w:val="auto"/>
          <w:sz w:val="24"/>
        </w:rPr>
        <w:t>，各月、各季节的风频玫瑰图见图</w:t>
      </w:r>
      <w:r w:rsidRPr="00A964FF">
        <w:rPr>
          <w:rFonts w:ascii="Calibri" w:hAnsi="Calibri" w:hint="eastAsia"/>
          <w:color w:val="auto"/>
          <w:sz w:val="24"/>
        </w:rPr>
        <w:t>4.2-6</w:t>
      </w:r>
      <w:r w:rsidRPr="00A964FF">
        <w:rPr>
          <w:rFonts w:ascii="Calibri" w:hAnsi="Calibri" w:hint="eastAsia"/>
          <w:color w:val="auto"/>
          <w:sz w:val="24"/>
        </w:rPr>
        <w:t>，年风频玫瑰图见图</w:t>
      </w:r>
      <w:r w:rsidRPr="00A964FF">
        <w:rPr>
          <w:rFonts w:ascii="Calibri" w:hAnsi="Calibri" w:hint="eastAsia"/>
          <w:color w:val="auto"/>
          <w:sz w:val="24"/>
        </w:rPr>
        <w:t>4.2-7</w:t>
      </w:r>
      <w:r w:rsidRPr="00A964FF">
        <w:rPr>
          <w:rFonts w:ascii="Calibri" w:hAnsi="Calibri" w:hint="eastAsia"/>
          <w:color w:val="auto"/>
          <w:sz w:val="24"/>
        </w:rPr>
        <w:t>。</w:t>
      </w:r>
    </w:p>
    <w:p w14:paraId="01C9F019" w14:textId="77777777" w:rsidR="0096136C" w:rsidRPr="00A964FF" w:rsidRDefault="0096136C" w:rsidP="0096136C">
      <w:pPr>
        <w:spacing w:line="520" w:lineRule="exact"/>
        <w:ind w:firstLineChars="200" w:firstLine="480"/>
        <w:rPr>
          <w:rFonts w:ascii="Calibri" w:eastAsia="黑体" w:hAnsi="Calibri"/>
          <w:color w:val="auto"/>
          <w:sz w:val="24"/>
        </w:rPr>
        <w:sectPr w:rsidR="0096136C" w:rsidRPr="00A964FF" w:rsidSect="0055299D">
          <w:headerReference w:type="even" r:id="rId73"/>
          <w:headerReference w:type="default" r:id="rId74"/>
          <w:footerReference w:type="even" r:id="rId75"/>
          <w:footerReference w:type="default" r:id="rId76"/>
          <w:pgSz w:w="11906" w:h="16838" w:code="9"/>
          <w:pgMar w:top="1440" w:right="1588" w:bottom="1440" w:left="1588" w:header="851" w:footer="992" w:gutter="0"/>
          <w:cols w:space="720"/>
          <w:docGrid w:linePitch="312"/>
        </w:sectPr>
      </w:pPr>
    </w:p>
    <w:p w14:paraId="3B0CACAC" w14:textId="77777777" w:rsidR="0096136C" w:rsidRPr="00A964FF" w:rsidRDefault="0096136C" w:rsidP="0096136C">
      <w:pPr>
        <w:spacing w:line="520" w:lineRule="exact"/>
        <w:ind w:firstLineChars="200" w:firstLine="480"/>
        <w:rPr>
          <w:rFonts w:ascii="Calibri" w:eastAsia="黑体" w:hAnsi="Calibri"/>
          <w:color w:val="auto"/>
          <w:sz w:val="24"/>
        </w:rPr>
      </w:pPr>
      <w:r w:rsidRPr="00A964FF">
        <w:rPr>
          <w:rFonts w:ascii="Calibri" w:eastAsia="黑体" w:hAnsi="Calibri"/>
          <w:color w:val="auto"/>
          <w:sz w:val="24"/>
        </w:rPr>
        <w:lastRenderedPageBreak/>
        <w:t>表</w:t>
      </w:r>
      <w:r w:rsidRPr="00A964FF">
        <w:rPr>
          <w:rFonts w:ascii="Calibri" w:eastAsia="黑体" w:hAnsi="Calibri" w:hint="eastAsia"/>
          <w:color w:val="auto"/>
          <w:sz w:val="24"/>
        </w:rPr>
        <w:t>4.2-5</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hint="eastAsia"/>
          <w:color w:val="auto"/>
          <w:sz w:val="24"/>
        </w:rPr>
        <w:t>各月各风向出现频率（</w:t>
      </w:r>
      <w:r w:rsidRPr="00A964FF">
        <w:rPr>
          <w:rFonts w:ascii="Calibri" w:eastAsia="黑体" w:hAnsi="Calibri" w:hint="eastAsia"/>
          <w:color w:val="auto"/>
          <w:sz w:val="24"/>
        </w:rPr>
        <w:t>%</w:t>
      </w:r>
      <w:r w:rsidRPr="00A964FF">
        <w:rPr>
          <w:rFonts w:ascii="Calibri" w:eastAsia="黑体" w:hAnsi="Calibri" w:hint="eastAsia"/>
          <w:color w:val="auto"/>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63"/>
        <w:gridCol w:w="768"/>
        <w:gridCol w:w="768"/>
        <w:gridCol w:w="769"/>
        <w:gridCol w:w="769"/>
        <w:gridCol w:w="769"/>
        <w:gridCol w:w="769"/>
        <w:gridCol w:w="769"/>
        <w:gridCol w:w="769"/>
        <w:gridCol w:w="769"/>
        <w:gridCol w:w="769"/>
        <w:gridCol w:w="769"/>
        <w:gridCol w:w="769"/>
        <w:gridCol w:w="769"/>
        <w:gridCol w:w="769"/>
        <w:gridCol w:w="769"/>
        <w:gridCol w:w="769"/>
        <w:gridCol w:w="763"/>
      </w:tblGrid>
      <w:tr w:rsidR="0096136C" w:rsidRPr="00A964FF" w14:paraId="36AF6644" w14:textId="77777777" w:rsidTr="00E16351">
        <w:trPr>
          <w:trHeight w:val="369"/>
          <w:jc w:val="center"/>
        </w:trPr>
        <w:tc>
          <w:tcPr>
            <w:tcW w:w="310" w:type="pct"/>
            <w:tcBorders>
              <w:right w:val="single" w:sz="4" w:space="0" w:color="auto"/>
            </w:tcBorders>
            <w:tcMar>
              <w:left w:w="0" w:type="dxa"/>
              <w:right w:w="0" w:type="dxa"/>
            </w:tcMar>
            <w:vAlign w:val="center"/>
          </w:tcPr>
          <w:p w14:paraId="70492829" w14:textId="77777777" w:rsidR="0096136C" w:rsidRPr="00A964FF" w:rsidRDefault="0096136C" w:rsidP="00904978">
            <w:pPr>
              <w:jc w:val="center"/>
              <w:textAlignment w:val="baseline"/>
              <w:rPr>
                <w:rFonts w:ascii="Calibri" w:hAnsi="Calibri"/>
                <w:color w:val="auto"/>
              </w:rPr>
            </w:pPr>
            <w:r w:rsidRPr="00A964FF">
              <w:rPr>
                <w:rFonts w:ascii="Calibri" w:hAnsi="Calibri" w:hint="eastAsia"/>
                <w:color w:val="auto"/>
              </w:rPr>
              <w:t>风向时间</w:t>
            </w:r>
          </w:p>
        </w:tc>
        <w:tc>
          <w:tcPr>
            <w:tcW w:w="276" w:type="pct"/>
            <w:tcBorders>
              <w:left w:val="single" w:sz="4" w:space="0" w:color="auto"/>
              <w:right w:val="single" w:sz="4" w:space="0" w:color="auto"/>
            </w:tcBorders>
            <w:tcMar>
              <w:left w:w="0" w:type="dxa"/>
              <w:right w:w="0" w:type="dxa"/>
            </w:tcMar>
            <w:vAlign w:val="center"/>
          </w:tcPr>
          <w:p w14:paraId="4196B065"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w:t>
            </w:r>
          </w:p>
        </w:tc>
        <w:tc>
          <w:tcPr>
            <w:tcW w:w="276" w:type="pct"/>
            <w:tcBorders>
              <w:left w:val="single" w:sz="4" w:space="0" w:color="auto"/>
              <w:right w:val="single" w:sz="4" w:space="0" w:color="auto"/>
            </w:tcBorders>
            <w:tcMar>
              <w:left w:w="0" w:type="dxa"/>
              <w:right w:w="0" w:type="dxa"/>
            </w:tcMar>
            <w:vAlign w:val="center"/>
          </w:tcPr>
          <w:p w14:paraId="4CF9E423"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NNE</w:t>
            </w:r>
          </w:p>
        </w:tc>
        <w:tc>
          <w:tcPr>
            <w:tcW w:w="276" w:type="pct"/>
            <w:tcBorders>
              <w:left w:val="single" w:sz="4" w:space="0" w:color="auto"/>
              <w:right w:val="single" w:sz="4" w:space="0" w:color="auto"/>
            </w:tcBorders>
            <w:tcMar>
              <w:left w:w="0" w:type="dxa"/>
              <w:right w:w="0" w:type="dxa"/>
            </w:tcMar>
            <w:vAlign w:val="center"/>
          </w:tcPr>
          <w:p w14:paraId="29B1FD90"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NE</w:t>
            </w:r>
          </w:p>
        </w:tc>
        <w:tc>
          <w:tcPr>
            <w:tcW w:w="276" w:type="pct"/>
            <w:tcBorders>
              <w:left w:val="single" w:sz="4" w:space="0" w:color="auto"/>
              <w:right w:val="single" w:sz="4" w:space="0" w:color="auto"/>
            </w:tcBorders>
            <w:tcMar>
              <w:left w:w="0" w:type="dxa"/>
              <w:right w:w="0" w:type="dxa"/>
            </w:tcMar>
            <w:vAlign w:val="center"/>
          </w:tcPr>
          <w:p w14:paraId="2C5957E7"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ENE</w:t>
            </w:r>
          </w:p>
        </w:tc>
        <w:tc>
          <w:tcPr>
            <w:tcW w:w="276" w:type="pct"/>
            <w:tcBorders>
              <w:left w:val="single" w:sz="4" w:space="0" w:color="auto"/>
              <w:right w:val="single" w:sz="4" w:space="0" w:color="auto"/>
            </w:tcBorders>
            <w:tcMar>
              <w:left w:w="0" w:type="dxa"/>
              <w:right w:w="0" w:type="dxa"/>
            </w:tcMar>
            <w:vAlign w:val="center"/>
          </w:tcPr>
          <w:p w14:paraId="7A8E038B"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E</w:t>
            </w:r>
          </w:p>
        </w:tc>
        <w:tc>
          <w:tcPr>
            <w:tcW w:w="276" w:type="pct"/>
            <w:tcBorders>
              <w:left w:val="single" w:sz="4" w:space="0" w:color="auto"/>
              <w:right w:val="single" w:sz="4" w:space="0" w:color="auto"/>
            </w:tcBorders>
            <w:tcMar>
              <w:left w:w="0" w:type="dxa"/>
              <w:right w:w="0" w:type="dxa"/>
            </w:tcMar>
            <w:vAlign w:val="center"/>
          </w:tcPr>
          <w:p w14:paraId="352AE867"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ESE</w:t>
            </w:r>
          </w:p>
        </w:tc>
        <w:tc>
          <w:tcPr>
            <w:tcW w:w="276" w:type="pct"/>
            <w:tcBorders>
              <w:left w:val="single" w:sz="4" w:space="0" w:color="auto"/>
              <w:right w:val="single" w:sz="4" w:space="0" w:color="auto"/>
            </w:tcBorders>
            <w:tcMar>
              <w:left w:w="0" w:type="dxa"/>
              <w:right w:w="0" w:type="dxa"/>
            </w:tcMar>
            <w:vAlign w:val="center"/>
          </w:tcPr>
          <w:p w14:paraId="4A228977"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SE</w:t>
            </w:r>
          </w:p>
        </w:tc>
        <w:tc>
          <w:tcPr>
            <w:tcW w:w="276" w:type="pct"/>
            <w:tcBorders>
              <w:left w:val="single" w:sz="4" w:space="0" w:color="auto"/>
              <w:right w:val="single" w:sz="4" w:space="0" w:color="auto"/>
            </w:tcBorders>
            <w:tcMar>
              <w:left w:w="0" w:type="dxa"/>
              <w:right w:w="0" w:type="dxa"/>
            </w:tcMar>
            <w:vAlign w:val="center"/>
          </w:tcPr>
          <w:p w14:paraId="2A00701A"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SSE</w:t>
            </w:r>
          </w:p>
        </w:tc>
        <w:tc>
          <w:tcPr>
            <w:tcW w:w="276" w:type="pct"/>
            <w:tcBorders>
              <w:left w:val="single" w:sz="4" w:space="0" w:color="auto"/>
            </w:tcBorders>
            <w:tcMar>
              <w:left w:w="0" w:type="dxa"/>
              <w:right w:w="0" w:type="dxa"/>
            </w:tcMar>
            <w:vAlign w:val="center"/>
          </w:tcPr>
          <w:p w14:paraId="6DD94F10"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w:t>
            </w:r>
          </w:p>
        </w:tc>
        <w:tc>
          <w:tcPr>
            <w:tcW w:w="276" w:type="pct"/>
            <w:tcBorders>
              <w:right w:val="single" w:sz="4" w:space="0" w:color="auto"/>
            </w:tcBorders>
            <w:tcMar>
              <w:left w:w="0" w:type="dxa"/>
              <w:right w:w="0" w:type="dxa"/>
            </w:tcMar>
            <w:vAlign w:val="center"/>
          </w:tcPr>
          <w:p w14:paraId="44BB0CCD"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SSW</w:t>
            </w:r>
          </w:p>
        </w:tc>
        <w:tc>
          <w:tcPr>
            <w:tcW w:w="276" w:type="pct"/>
            <w:tcBorders>
              <w:left w:val="single" w:sz="4" w:space="0" w:color="auto"/>
              <w:right w:val="single" w:sz="4" w:space="0" w:color="auto"/>
            </w:tcBorders>
            <w:tcMar>
              <w:left w:w="0" w:type="dxa"/>
              <w:right w:w="0" w:type="dxa"/>
            </w:tcMar>
            <w:vAlign w:val="center"/>
          </w:tcPr>
          <w:p w14:paraId="56E6F534"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SW</w:t>
            </w:r>
          </w:p>
        </w:tc>
        <w:tc>
          <w:tcPr>
            <w:tcW w:w="276" w:type="pct"/>
            <w:tcBorders>
              <w:left w:val="single" w:sz="4" w:space="0" w:color="auto"/>
              <w:right w:val="single" w:sz="4" w:space="0" w:color="auto"/>
            </w:tcBorders>
            <w:tcMar>
              <w:left w:w="0" w:type="dxa"/>
              <w:right w:w="0" w:type="dxa"/>
            </w:tcMar>
            <w:vAlign w:val="center"/>
          </w:tcPr>
          <w:p w14:paraId="7559B8D5"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WSW</w:t>
            </w:r>
          </w:p>
        </w:tc>
        <w:tc>
          <w:tcPr>
            <w:tcW w:w="276" w:type="pct"/>
            <w:tcBorders>
              <w:left w:val="single" w:sz="4" w:space="0" w:color="auto"/>
              <w:right w:val="single" w:sz="4" w:space="0" w:color="auto"/>
            </w:tcBorders>
            <w:tcMar>
              <w:left w:w="0" w:type="dxa"/>
              <w:right w:w="0" w:type="dxa"/>
            </w:tcMar>
            <w:vAlign w:val="center"/>
          </w:tcPr>
          <w:p w14:paraId="0E14C7A1"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W</w:t>
            </w:r>
          </w:p>
        </w:tc>
        <w:tc>
          <w:tcPr>
            <w:tcW w:w="276" w:type="pct"/>
            <w:tcBorders>
              <w:left w:val="single" w:sz="4" w:space="0" w:color="auto"/>
              <w:right w:val="single" w:sz="4" w:space="0" w:color="auto"/>
            </w:tcBorders>
            <w:tcMar>
              <w:left w:w="0" w:type="dxa"/>
              <w:right w:w="0" w:type="dxa"/>
            </w:tcMar>
            <w:vAlign w:val="center"/>
          </w:tcPr>
          <w:p w14:paraId="4E3B35E4"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WNW</w:t>
            </w:r>
          </w:p>
        </w:tc>
        <w:tc>
          <w:tcPr>
            <w:tcW w:w="276" w:type="pct"/>
            <w:tcBorders>
              <w:left w:val="single" w:sz="4" w:space="0" w:color="auto"/>
              <w:right w:val="single" w:sz="4" w:space="0" w:color="auto"/>
            </w:tcBorders>
            <w:tcMar>
              <w:left w:w="0" w:type="dxa"/>
              <w:right w:w="0" w:type="dxa"/>
            </w:tcMar>
            <w:vAlign w:val="center"/>
          </w:tcPr>
          <w:p w14:paraId="508F53D4"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NW</w:t>
            </w:r>
          </w:p>
        </w:tc>
        <w:tc>
          <w:tcPr>
            <w:tcW w:w="276" w:type="pct"/>
            <w:tcBorders>
              <w:left w:val="single" w:sz="4" w:space="0" w:color="auto"/>
              <w:right w:val="single" w:sz="4" w:space="0" w:color="auto"/>
            </w:tcBorders>
            <w:tcMar>
              <w:left w:w="0" w:type="dxa"/>
              <w:right w:w="0" w:type="dxa"/>
            </w:tcMar>
            <w:vAlign w:val="center"/>
          </w:tcPr>
          <w:p w14:paraId="258FCA5A"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NNW</w:t>
            </w:r>
          </w:p>
        </w:tc>
        <w:tc>
          <w:tcPr>
            <w:tcW w:w="274" w:type="pct"/>
            <w:tcBorders>
              <w:left w:val="single" w:sz="4" w:space="0" w:color="auto"/>
            </w:tcBorders>
            <w:tcMar>
              <w:left w:w="0" w:type="dxa"/>
              <w:right w:w="0" w:type="dxa"/>
            </w:tcMar>
            <w:vAlign w:val="center"/>
          </w:tcPr>
          <w:p w14:paraId="1852AC79"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C</w:t>
            </w:r>
          </w:p>
        </w:tc>
      </w:tr>
      <w:tr w:rsidR="00E16351" w:rsidRPr="00A964FF" w14:paraId="51214C4E" w14:textId="77777777" w:rsidTr="00E16351">
        <w:trPr>
          <w:trHeight w:val="369"/>
          <w:jc w:val="center"/>
        </w:trPr>
        <w:tc>
          <w:tcPr>
            <w:tcW w:w="310" w:type="pct"/>
            <w:tcBorders>
              <w:right w:val="single" w:sz="4" w:space="0" w:color="auto"/>
            </w:tcBorders>
            <w:tcMar>
              <w:left w:w="0" w:type="dxa"/>
              <w:right w:w="0" w:type="dxa"/>
            </w:tcMar>
            <w:vAlign w:val="center"/>
          </w:tcPr>
          <w:p w14:paraId="01F2FD0C" w14:textId="77777777" w:rsidR="00E16351" w:rsidRPr="00A964FF" w:rsidRDefault="00E16351" w:rsidP="00904978">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61E26DA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8.06</w:t>
            </w:r>
          </w:p>
        </w:tc>
        <w:tc>
          <w:tcPr>
            <w:tcW w:w="276" w:type="pct"/>
            <w:tcBorders>
              <w:left w:val="single" w:sz="4" w:space="0" w:color="auto"/>
              <w:right w:val="single" w:sz="4" w:space="0" w:color="auto"/>
            </w:tcBorders>
            <w:tcMar>
              <w:left w:w="0" w:type="dxa"/>
              <w:right w:w="0" w:type="dxa"/>
            </w:tcMar>
            <w:vAlign w:val="center"/>
          </w:tcPr>
          <w:p w14:paraId="4694A32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8.47</w:t>
            </w:r>
          </w:p>
        </w:tc>
        <w:tc>
          <w:tcPr>
            <w:tcW w:w="276" w:type="pct"/>
            <w:tcBorders>
              <w:left w:val="single" w:sz="4" w:space="0" w:color="auto"/>
              <w:right w:val="single" w:sz="4" w:space="0" w:color="auto"/>
            </w:tcBorders>
            <w:tcMar>
              <w:left w:w="0" w:type="dxa"/>
              <w:right w:w="0" w:type="dxa"/>
            </w:tcMar>
            <w:vAlign w:val="center"/>
          </w:tcPr>
          <w:p w14:paraId="4F436AE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6.32</w:t>
            </w:r>
          </w:p>
        </w:tc>
        <w:tc>
          <w:tcPr>
            <w:tcW w:w="276" w:type="pct"/>
            <w:tcBorders>
              <w:left w:val="single" w:sz="4" w:space="0" w:color="auto"/>
              <w:right w:val="single" w:sz="4" w:space="0" w:color="auto"/>
            </w:tcBorders>
            <w:tcMar>
              <w:left w:w="0" w:type="dxa"/>
              <w:right w:w="0" w:type="dxa"/>
            </w:tcMar>
            <w:vAlign w:val="center"/>
          </w:tcPr>
          <w:p w14:paraId="6868FD0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5.91</w:t>
            </w:r>
          </w:p>
        </w:tc>
        <w:tc>
          <w:tcPr>
            <w:tcW w:w="276" w:type="pct"/>
            <w:tcBorders>
              <w:left w:val="single" w:sz="4" w:space="0" w:color="auto"/>
              <w:right w:val="single" w:sz="4" w:space="0" w:color="auto"/>
            </w:tcBorders>
            <w:tcMar>
              <w:left w:w="0" w:type="dxa"/>
              <w:right w:w="0" w:type="dxa"/>
            </w:tcMar>
            <w:vAlign w:val="center"/>
          </w:tcPr>
          <w:p w14:paraId="1EC0D37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8.06</w:t>
            </w:r>
          </w:p>
        </w:tc>
        <w:tc>
          <w:tcPr>
            <w:tcW w:w="276" w:type="pct"/>
            <w:tcBorders>
              <w:left w:val="single" w:sz="4" w:space="0" w:color="auto"/>
              <w:right w:val="single" w:sz="4" w:space="0" w:color="auto"/>
            </w:tcBorders>
            <w:tcMar>
              <w:left w:w="0" w:type="dxa"/>
              <w:right w:w="0" w:type="dxa"/>
            </w:tcMar>
            <w:vAlign w:val="center"/>
          </w:tcPr>
          <w:p w14:paraId="667D136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4.84</w:t>
            </w:r>
          </w:p>
        </w:tc>
        <w:tc>
          <w:tcPr>
            <w:tcW w:w="276" w:type="pct"/>
            <w:tcBorders>
              <w:left w:val="single" w:sz="4" w:space="0" w:color="auto"/>
              <w:right w:val="single" w:sz="4" w:space="0" w:color="auto"/>
            </w:tcBorders>
            <w:tcMar>
              <w:left w:w="0" w:type="dxa"/>
              <w:right w:w="0" w:type="dxa"/>
            </w:tcMar>
            <w:vAlign w:val="center"/>
          </w:tcPr>
          <w:p w14:paraId="675D754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4.84</w:t>
            </w:r>
          </w:p>
        </w:tc>
        <w:tc>
          <w:tcPr>
            <w:tcW w:w="276" w:type="pct"/>
            <w:tcBorders>
              <w:left w:val="single" w:sz="4" w:space="0" w:color="auto"/>
              <w:right w:val="single" w:sz="4" w:space="0" w:color="auto"/>
            </w:tcBorders>
            <w:tcMar>
              <w:left w:w="0" w:type="dxa"/>
              <w:right w:w="0" w:type="dxa"/>
            </w:tcMar>
            <w:vAlign w:val="center"/>
          </w:tcPr>
          <w:p w14:paraId="076A485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2.96</w:t>
            </w:r>
          </w:p>
        </w:tc>
        <w:tc>
          <w:tcPr>
            <w:tcW w:w="276" w:type="pct"/>
            <w:tcBorders>
              <w:left w:val="single" w:sz="4" w:space="0" w:color="auto"/>
            </w:tcBorders>
            <w:tcMar>
              <w:left w:w="0" w:type="dxa"/>
              <w:right w:w="0" w:type="dxa"/>
            </w:tcMar>
            <w:vAlign w:val="center"/>
          </w:tcPr>
          <w:p w14:paraId="1365257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5.65</w:t>
            </w:r>
          </w:p>
        </w:tc>
        <w:tc>
          <w:tcPr>
            <w:tcW w:w="276" w:type="pct"/>
            <w:tcBorders>
              <w:right w:val="single" w:sz="4" w:space="0" w:color="auto"/>
            </w:tcBorders>
            <w:tcMar>
              <w:left w:w="0" w:type="dxa"/>
              <w:right w:w="0" w:type="dxa"/>
            </w:tcMar>
            <w:vAlign w:val="center"/>
          </w:tcPr>
          <w:p w14:paraId="2A5C12F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2.96</w:t>
            </w:r>
          </w:p>
        </w:tc>
        <w:tc>
          <w:tcPr>
            <w:tcW w:w="276" w:type="pct"/>
            <w:tcBorders>
              <w:left w:val="single" w:sz="4" w:space="0" w:color="auto"/>
              <w:right w:val="single" w:sz="4" w:space="0" w:color="auto"/>
            </w:tcBorders>
            <w:tcMar>
              <w:left w:w="0" w:type="dxa"/>
              <w:right w:w="0" w:type="dxa"/>
            </w:tcMar>
            <w:vAlign w:val="center"/>
          </w:tcPr>
          <w:p w14:paraId="295140F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4.17</w:t>
            </w:r>
          </w:p>
        </w:tc>
        <w:tc>
          <w:tcPr>
            <w:tcW w:w="276" w:type="pct"/>
            <w:tcBorders>
              <w:left w:val="single" w:sz="4" w:space="0" w:color="auto"/>
              <w:right w:val="single" w:sz="4" w:space="0" w:color="auto"/>
            </w:tcBorders>
            <w:tcMar>
              <w:left w:w="0" w:type="dxa"/>
              <w:right w:w="0" w:type="dxa"/>
            </w:tcMar>
            <w:vAlign w:val="center"/>
          </w:tcPr>
          <w:p w14:paraId="2D35068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3.9</w:t>
            </w:r>
          </w:p>
        </w:tc>
        <w:tc>
          <w:tcPr>
            <w:tcW w:w="276" w:type="pct"/>
            <w:tcBorders>
              <w:left w:val="single" w:sz="4" w:space="0" w:color="auto"/>
              <w:right w:val="single" w:sz="4" w:space="0" w:color="auto"/>
            </w:tcBorders>
            <w:tcMar>
              <w:left w:w="0" w:type="dxa"/>
              <w:right w:w="0" w:type="dxa"/>
            </w:tcMar>
            <w:vAlign w:val="center"/>
          </w:tcPr>
          <w:p w14:paraId="66489D5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9.27</w:t>
            </w:r>
          </w:p>
        </w:tc>
        <w:tc>
          <w:tcPr>
            <w:tcW w:w="276" w:type="pct"/>
            <w:tcBorders>
              <w:left w:val="single" w:sz="4" w:space="0" w:color="auto"/>
              <w:right w:val="single" w:sz="4" w:space="0" w:color="auto"/>
            </w:tcBorders>
            <w:tcMar>
              <w:left w:w="0" w:type="dxa"/>
              <w:right w:w="0" w:type="dxa"/>
            </w:tcMar>
            <w:vAlign w:val="center"/>
          </w:tcPr>
          <w:p w14:paraId="0AC82DA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4.7</w:t>
            </w:r>
          </w:p>
        </w:tc>
        <w:tc>
          <w:tcPr>
            <w:tcW w:w="276" w:type="pct"/>
            <w:tcBorders>
              <w:left w:val="single" w:sz="4" w:space="0" w:color="auto"/>
              <w:right w:val="single" w:sz="4" w:space="0" w:color="auto"/>
            </w:tcBorders>
            <w:tcMar>
              <w:left w:w="0" w:type="dxa"/>
              <w:right w:w="0" w:type="dxa"/>
            </w:tcMar>
            <w:vAlign w:val="center"/>
          </w:tcPr>
          <w:p w14:paraId="3C8D2C5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7.12</w:t>
            </w:r>
          </w:p>
        </w:tc>
        <w:tc>
          <w:tcPr>
            <w:tcW w:w="276" w:type="pct"/>
            <w:tcBorders>
              <w:left w:val="single" w:sz="4" w:space="0" w:color="auto"/>
              <w:right w:val="single" w:sz="4" w:space="0" w:color="auto"/>
            </w:tcBorders>
            <w:tcMar>
              <w:left w:w="0" w:type="dxa"/>
              <w:right w:w="0" w:type="dxa"/>
            </w:tcMar>
            <w:vAlign w:val="center"/>
          </w:tcPr>
          <w:p w14:paraId="0EEB3EC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6.99</w:t>
            </w:r>
          </w:p>
        </w:tc>
        <w:tc>
          <w:tcPr>
            <w:tcW w:w="274" w:type="pct"/>
            <w:tcBorders>
              <w:left w:val="single" w:sz="4" w:space="0" w:color="auto"/>
            </w:tcBorders>
            <w:tcMar>
              <w:left w:w="0" w:type="dxa"/>
              <w:right w:w="0" w:type="dxa"/>
            </w:tcMar>
            <w:vAlign w:val="center"/>
          </w:tcPr>
          <w:p w14:paraId="71D3459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5.78</w:t>
            </w:r>
          </w:p>
        </w:tc>
      </w:tr>
      <w:tr w:rsidR="00E16351" w:rsidRPr="00A964FF" w14:paraId="31EB0E5D" w14:textId="77777777" w:rsidTr="00E16351">
        <w:trPr>
          <w:trHeight w:val="369"/>
          <w:jc w:val="center"/>
        </w:trPr>
        <w:tc>
          <w:tcPr>
            <w:tcW w:w="310" w:type="pct"/>
            <w:tcBorders>
              <w:right w:val="single" w:sz="4" w:space="0" w:color="auto"/>
            </w:tcBorders>
            <w:tcMar>
              <w:left w:w="0" w:type="dxa"/>
              <w:right w:w="0" w:type="dxa"/>
            </w:tcMar>
            <w:vAlign w:val="center"/>
          </w:tcPr>
          <w:p w14:paraId="05792AD3" w14:textId="77777777" w:rsidR="00E16351" w:rsidRPr="00A964FF" w:rsidRDefault="00E16351" w:rsidP="00904978">
            <w:pPr>
              <w:jc w:val="center"/>
              <w:rPr>
                <w:rFonts w:ascii="Calibri" w:hAnsi="Calibri"/>
                <w:color w:val="auto"/>
                <w:szCs w:val="21"/>
              </w:rPr>
            </w:pPr>
            <w:r w:rsidRPr="00A964FF">
              <w:rPr>
                <w:rFonts w:ascii="Calibri" w:hAnsi="Calibri"/>
                <w:color w:val="auto"/>
                <w:szCs w:val="21"/>
              </w:rPr>
              <w:t>2</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146C960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4.6</w:t>
            </w:r>
          </w:p>
        </w:tc>
        <w:tc>
          <w:tcPr>
            <w:tcW w:w="276" w:type="pct"/>
            <w:tcBorders>
              <w:left w:val="single" w:sz="4" w:space="0" w:color="auto"/>
              <w:right w:val="single" w:sz="4" w:space="0" w:color="auto"/>
            </w:tcBorders>
            <w:tcMar>
              <w:left w:w="0" w:type="dxa"/>
              <w:right w:w="0" w:type="dxa"/>
            </w:tcMar>
            <w:vAlign w:val="center"/>
          </w:tcPr>
          <w:p w14:paraId="24C3646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6.47</w:t>
            </w:r>
          </w:p>
        </w:tc>
        <w:tc>
          <w:tcPr>
            <w:tcW w:w="276" w:type="pct"/>
            <w:tcBorders>
              <w:left w:val="single" w:sz="4" w:space="0" w:color="auto"/>
              <w:right w:val="single" w:sz="4" w:space="0" w:color="auto"/>
            </w:tcBorders>
            <w:tcMar>
              <w:left w:w="0" w:type="dxa"/>
              <w:right w:w="0" w:type="dxa"/>
            </w:tcMar>
            <w:vAlign w:val="center"/>
          </w:tcPr>
          <w:p w14:paraId="76F08F0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10.63</w:t>
            </w:r>
          </w:p>
        </w:tc>
        <w:tc>
          <w:tcPr>
            <w:tcW w:w="276" w:type="pct"/>
            <w:tcBorders>
              <w:left w:val="single" w:sz="4" w:space="0" w:color="auto"/>
              <w:right w:val="single" w:sz="4" w:space="0" w:color="auto"/>
            </w:tcBorders>
            <w:tcMar>
              <w:left w:w="0" w:type="dxa"/>
              <w:right w:w="0" w:type="dxa"/>
            </w:tcMar>
            <w:vAlign w:val="center"/>
          </w:tcPr>
          <w:p w14:paraId="05ACBD5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6.03</w:t>
            </w:r>
          </w:p>
        </w:tc>
        <w:tc>
          <w:tcPr>
            <w:tcW w:w="276" w:type="pct"/>
            <w:tcBorders>
              <w:left w:val="single" w:sz="4" w:space="0" w:color="auto"/>
              <w:right w:val="single" w:sz="4" w:space="0" w:color="auto"/>
            </w:tcBorders>
            <w:tcMar>
              <w:left w:w="0" w:type="dxa"/>
              <w:right w:w="0" w:type="dxa"/>
            </w:tcMar>
            <w:vAlign w:val="center"/>
          </w:tcPr>
          <w:p w14:paraId="4EE78CF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2.87</w:t>
            </w:r>
          </w:p>
        </w:tc>
        <w:tc>
          <w:tcPr>
            <w:tcW w:w="276" w:type="pct"/>
            <w:tcBorders>
              <w:left w:val="single" w:sz="4" w:space="0" w:color="auto"/>
              <w:right w:val="single" w:sz="4" w:space="0" w:color="auto"/>
            </w:tcBorders>
            <w:tcMar>
              <w:left w:w="0" w:type="dxa"/>
              <w:right w:w="0" w:type="dxa"/>
            </w:tcMar>
            <w:vAlign w:val="center"/>
          </w:tcPr>
          <w:p w14:paraId="2416BC1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3.74</w:t>
            </w:r>
          </w:p>
        </w:tc>
        <w:tc>
          <w:tcPr>
            <w:tcW w:w="276" w:type="pct"/>
            <w:tcBorders>
              <w:left w:val="single" w:sz="4" w:space="0" w:color="auto"/>
              <w:right w:val="single" w:sz="4" w:space="0" w:color="auto"/>
            </w:tcBorders>
            <w:tcMar>
              <w:left w:w="0" w:type="dxa"/>
              <w:right w:w="0" w:type="dxa"/>
            </w:tcMar>
            <w:vAlign w:val="center"/>
          </w:tcPr>
          <w:p w14:paraId="173A7D3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3.3</w:t>
            </w:r>
          </w:p>
        </w:tc>
        <w:tc>
          <w:tcPr>
            <w:tcW w:w="276" w:type="pct"/>
            <w:tcBorders>
              <w:left w:val="single" w:sz="4" w:space="0" w:color="auto"/>
              <w:right w:val="single" w:sz="4" w:space="0" w:color="auto"/>
            </w:tcBorders>
            <w:tcMar>
              <w:left w:w="0" w:type="dxa"/>
              <w:right w:w="0" w:type="dxa"/>
            </w:tcMar>
            <w:vAlign w:val="center"/>
          </w:tcPr>
          <w:p w14:paraId="39E2B66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6.47</w:t>
            </w:r>
          </w:p>
        </w:tc>
        <w:tc>
          <w:tcPr>
            <w:tcW w:w="276" w:type="pct"/>
            <w:tcBorders>
              <w:left w:val="single" w:sz="4" w:space="0" w:color="auto"/>
            </w:tcBorders>
            <w:tcMar>
              <w:left w:w="0" w:type="dxa"/>
              <w:right w:w="0" w:type="dxa"/>
            </w:tcMar>
            <w:vAlign w:val="center"/>
          </w:tcPr>
          <w:p w14:paraId="497C0D7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10.92</w:t>
            </w:r>
          </w:p>
        </w:tc>
        <w:tc>
          <w:tcPr>
            <w:tcW w:w="276" w:type="pct"/>
            <w:tcBorders>
              <w:right w:val="single" w:sz="4" w:space="0" w:color="auto"/>
            </w:tcBorders>
            <w:tcMar>
              <w:left w:w="0" w:type="dxa"/>
              <w:right w:w="0" w:type="dxa"/>
            </w:tcMar>
            <w:vAlign w:val="center"/>
          </w:tcPr>
          <w:p w14:paraId="371E7B9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7.47</w:t>
            </w:r>
          </w:p>
        </w:tc>
        <w:tc>
          <w:tcPr>
            <w:tcW w:w="276" w:type="pct"/>
            <w:tcBorders>
              <w:left w:val="single" w:sz="4" w:space="0" w:color="auto"/>
              <w:right w:val="single" w:sz="4" w:space="0" w:color="auto"/>
            </w:tcBorders>
            <w:tcMar>
              <w:left w:w="0" w:type="dxa"/>
              <w:right w:w="0" w:type="dxa"/>
            </w:tcMar>
            <w:vAlign w:val="center"/>
          </w:tcPr>
          <w:p w14:paraId="2777D0A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4.31</w:t>
            </w:r>
          </w:p>
        </w:tc>
        <w:tc>
          <w:tcPr>
            <w:tcW w:w="276" w:type="pct"/>
            <w:tcBorders>
              <w:left w:val="single" w:sz="4" w:space="0" w:color="auto"/>
              <w:right w:val="single" w:sz="4" w:space="0" w:color="auto"/>
            </w:tcBorders>
            <w:tcMar>
              <w:left w:w="0" w:type="dxa"/>
              <w:right w:w="0" w:type="dxa"/>
            </w:tcMar>
            <w:vAlign w:val="center"/>
          </w:tcPr>
          <w:p w14:paraId="3A8D7CF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3.74</w:t>
            </w:r>
          </w:p>
        </w:tc>
        <w:tc>
          <w:tcPr>
            <w:tcW w:w="276" w:type="pct"/>
            <w:tcBorders>
              <w:left w:val="single" w:sz="4" w:space="0" w:color="auto"/>
              <w:right w:val="single" w:sz="4" w:space="0" w:color="auto"/>
            </w:tcBorders>
            <w:tcMar>
              <w:left w:w="0" w:type="dxa"/>
              <w:right w:w="0" w:type="dxa"/>
            </w:tcMar>
            <w:vAlign w:val="center"/>
          </w:tcPr>
          <w:p w14:paraId="61004D8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5.32</w:t>
            </w:r>
          </w:p>
        </w:tc>
        <w:tc>
          <w:tcPr>
            <w:tcW w:w="276" w:type="pct"/>
            <w:tcBorders>
              <w:left w:val="single" w:sz="4" w:space="0" w:color="auto"/>
              <w:right w:val="single" w:sz="4" w:space="0" w:color="auto"/>
            </w:tcBorders>
            <w:tcMar>
              <w:left w:w="0" w:type="dxa"/>
              <w:right w:w="0" w:type="dxa"/>
            </w:tcMar>
            <w:vAlign w:val="center"/>
          </w:tcPr>
          <w:p w14:paraId="63AAEB3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3.16</w:t>
            </w:r>
          </w:p>
        </w:tc>
        <w:tc>
          <w:tcPr>
            <w:tcW w:w="276" w:type="pct"/>
            <w:tcBorders>
              <w:left w:val="single" w:sz="4" w:space="0" w:color="auto"/>
              <w:right w:val="single" w:sz="4" w:space="0" w:color="auto"/>
            </w:tcBorders>
            <w:tcMar>
              <w:left w:w="0" w:type="dxa"/>
              <w:right w:w="0" w:type="dxa"/>
            </w:tcMar>
            <w:vAlign w:val="center"/>
          </w:tcPr>
          <w:p w14:paraId="2F0D84A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7.9</w:t>
            </w:r>
          </w:p>
        </w:tc>
        <w:tc>
          <w:tcPr>
            <w:tcW w:w="276" w:type="pct"/>
            <w:tcBorders>
              <w:left w:val="single" w:sz="4" w:space="0" w:color="auto"/>
              <w:right w:val="single" w:sz="4" w:space="0" w:color="auto"/>
            </w:tcBorders>
            <w:tcMar>
              <w:left w:w="0" w:type="dxa"/>
              <w:right w:w="0" w:type="dxa"/>
            </w:tcMar>
            <w:vAlign w:val="center"/>
          </w:tcPr>
          <w:p w14:paraId="34A6C9F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9.91</w:t>
            </w:r>
          </w:p>
        </w:tc>
        <w:tc>
          <w:tcPr>
            <w:tcW w:w="274" w:type="pct"/>
            <w:tcBorders>
              <w:left w:val="single" w:sz="4" w:space="0" w:color="auto"/>
            </w:tcBorders>
            <w:tcMar>
              <w:left w:w="0" w:type="dxa"/>
              <w:right w:w="0" w:type="dxa"/>
            </w:tcMar>
            <w:vAlign w:val="center"/>
          </w:tcPr>
          <w:p w14:paraId="7D9E032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3.16</w:t>
            </w:r>
          </w:p>
        </w:tc>
      </w:tr>
      <w:tr w:rsidR="00E16351" w:rsidRPr="00A964FF" w14:paraId="25D563B5" w14:textId="77777777" w:rsidTr="00E16351">
        <w:trPr>
          <w:trHeight w:val="369"/>
          <w:jc w:val="center"/>
        </w:trPr>
        <w:tc>
          <w:tcPr>
            <w:tcW w:w="310" w:type="pct"/>
            <w:tcBorders>
              <w:right w:val="single" w:sz="4" w:space="0" w:color="auto"/>
            </w:tcBorders>
            <w:tcMar>
              <w:left w:w="0" w:type="dxa"/>
              <w:right w:w="0" w:type="dxa"/>
            </w:tcMar>
            <w:vAlign w:val="center"/>
          </w:tcPr>
          <w:p w14:paraId="2192C58D"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3</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16B17BC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c>
          <w:tcPr>
            <w:tcW w:w="276" w:type="pct"/>
            <w:tcBorders>
              <w:left w:val="single" w:sz="4" w:space="0" w:color="auto"/>
              <w:right w:val="single" w:sz="4" w:space="0" w:color="auto"/>
            </w:tcBorders>
            <w:tcMar>
              <w:left w:w="0" w:type="dxa"/>
              <w:right w:w="0" w:type="dxa"/>
            </w:tcMar>
            <w:vAlign w:val="center"/>
          </w:tcPr>
          <w:p w14:paraId="31E74F8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8.2</w:t>
            </w:r>
          </w:p>
        </w:tc>
        <w:tc>
          <w:tcPr>
            <w:tcW w:w="276" w:type="pct"/>
            <w:tcBorders>
              <w:left w:val="single" w:sz="4" w:space="0" w:color="auto"/>
              <w:right w:val="single" w:sz="4" w:space="0" w:color="auto"/>
            </w:tcBorders>
            <w:tcMar>
              <w:left w:w="0" w:type="dxa"/>
              <w:right w:w="0" w:type="dxa"/>
            </w:tcMar>
            <w:vAlign w:val="center"/>
          </w:tcPr>
          <w:p w14:paraId="11E3932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5.78</w:t>
            </w:r>
          </w:p>
        </w:tc>
        <w:tc>
          <w:tcPr>
            <w:tcW w:w="276" w:type="pct"/>
            <w:tcBorders>
              <w:left w:val="single" w:sz="4" w:space="0" w:color="auto"/>
              <w:right w:val="single" w:sz="4" w:space="0" w:color="auto"/>
            </w:tcBorders>
            <w:tcMar>
              <w:left w:w="0" w:type="dxa"/>
              <w:right w:w="0" w:type="dxa"/>
            </w:tcMar>
            <w:vAlign w:val="center"/>
          </w:tcPr>
          <w:p w14:paraId="62917BE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8.47</w:t>
            </w:r>
          </w:p>
        </w:tc>
        <w:tc>
          <w:tcPr>
            <w:tcW w:w="276" w:type="pct"/>
            <w:tcBorders>
              <w:left w:val="single" w:sz="4" w:space="0" w:color="auto"/>
              <w:right w:val="single" w:sz="4" w:space="0" w:color="auto"/>
            </w:tcBorders>
            <w:tcMar>
              <w:left w:w="0" w:type="dxa"/>
              <w:right w:w="0" w:type="dxa"/>
            </w:tcMar>
            <w:vAlign w:val="center"/>
          </w:tcPr>
          <w:p w14:paraId="024B88B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9.81</w:t>
            </w:r>
          </w:p>
        </w:tc>
        <w:tc>
          <w:tcPr>
            <w:tcW w:w="276" w:type="pct"/>
            <w:tcBorders>
              <w:left w:val="single" w:sz="4" w:space="0" w:color="auto"/>
              <w:right w:val="single" w:sz="4" w:space="0" w:color="auto"/>
            </w:tcBorders>
            <w:tcMar>
              <w:left w:w="0" w:type="dxa"/>
              <w:right w:w="0" w:type="dxa"/>
            </w:tcMar>
            <w:vAlign w:val="center"/>
          </w:tcPr>
          <w:p w14:paraId="26C7A91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6.32</w:t>
            </w:r>
          </w:p>
        </w:tc>
        <w:tc>
          <w:tcPr>
            <w:tcW w:w="276" w:type="pct"/>
            <w:tcBorders>
              <w:left w:val="single" w:sz="4" w:space="0" w:color="auto"/>
              <w:right w:val="single" w:sz="4" w:space="0" w:color="auto"/>
            </w:tcBorders>
            <w:tcMar>
              <w:left w:w="0" w:type="dxa"/>
              <w:right w:w="0" w:type="dxa"/>
            </w:tcMar>
            <w:vAlign w:val="center"/>
          </w:tcPr>
          <w:p w14:paraId="54AFD44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11.69</w:t>
            </w:r>
          </w:p>
        </w:tc>
        <w:tc>
          <w:tcPr>
            <w:tcW w:w="276" w:type="pct"/>
            <w:tcBorders>
              <w:left w:val="single" w:sz="4" w:space="0" w:color="auto"/>
              <w:right w:val="single" w:sz="4" w:space="0" w:color="auto"/>
            </w:tcBorders>
            <w:tcMar>
              <w:left w:w="0" w:type="dxa"/>
              <w:right w:w="0" w:type="dxa"/>
            </w:tcMar>
            <w:vAlign w:val="center"/>
          </w:tcPr>
          <w:p w14:paraId="78701D6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6.85</w:t>
            </w:r>
          </w:p>
        </w:tc>
        <w:tc>
          <w:tcPr>
            <w:tcW w:w="276" w:type="pct"/>
            <w:tcBorders>
              <w:left w:val="single" w:sz="4" w:space="0" w:color="auto"/>
            </w:tcBorders>
            <w:tcMar>
              <w:left w:w="0" w:type="dxa"/>
              <w:right w:w="0" w:type="dxa"/>
            </w:tcMar>
            <w:vAlign w:val="center"/>
          </w:tcPr>
          <w:p w14:paraId="002508A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9.41</w:t>
            </w:r>
          </w:p>
        </w:tc>
        <w:tc>
          <w:tcPr>
            <w:tcW w:w="276" w:type="pct"/>
            <w:tcBorders>
              <w:right w:val="single" w:sz="4" w:space="0" w:color="auto"/>
            </w:tcBorders>
            <w:tcMar>
              <w:left w:w="0" w:type="dxa"/>
              <w:right w:w="0" w:type="dxa"/>
            </w:tcMar>
            <w:vAlign w:val="center"/>
          </w:tcPr>
          <w:p w14:paraId="27C9E1D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5.65</w:t>
            </w:r>
          </w:p>
        </w:tc>
        <w:tc>
          <w:tcPr>
            <w:tcW w:w="276" w:type="pct"/>
            <w:tcBorders>
              <w:left w:val="single" w:sz="4" w:space="0" w:color="auto"/>
              <w:right w:val="single" w:sz="4" w:space="0" w:color="auto"/>
            </w:tcBorders>
            <w:tcMar>
              <w:left w:w="0" w:type="dxa"/>
              <w:right w:w="0" w:type="dxa"/>
            </w:tcMar>
            <w:vAlign w:val="center"/>
          </w:tcPr>
          <w:p w14:paraId="06E9893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3.9</w:t>
            </w:r>
          </w:p>
        </w:tc>
        <w:tc>
          <w:tcPr>
            <w:tcW w:w="276" w:type="pct"/>
            <w:tcBorders>
              <w:left w:val="single" w:sz="4" w:space="0" w:color="auto"/>
              <w:right w:val="single" w:sz="4" w:space="0" w:color="auto"/>
            </w:tcBorders>
            <w:tcMar>
              <w:left w:w="0" w:type="dxa"/>
              <w:right w:w="0" w:type="dxa"/>
            </w:tcMar>
            <w:vAlign w:val="center"/>
          </w:tcPr>
          <w:p w14:paraId="4840D26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2.42</w:t>
            </w:r>
          </w:p>
        </w:tc>
        <w:tc>
          <w:tcPr>
            <w:tcW w:w="276" w:type="pct"/>
            <w:tcBorders>
              <w:left w:val="single" w:sz="4" w:space="0" w:color="auto"/>
              <w:right w:val="single" w:sz="4" w:space="0" w:color="auto"/>
            </w:tcBorders>
            <w:tcMar>
              <w:left w:w="0" w:type="dxa"/>
              <w:right w:w="0" w:type="dxa"/>
            </w:tcMar>
            <w:vAlign w:val="center"/>
          </w:tcPr>
          <w:p w14:paraId="79D381D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4.3</w:t>
            </w:r>
          </w:p>
        </w:tc>
        <w:tc>
          <w:tcPr>
            <w:tcW w:w="276" w:type="pct"/>
            <w:tcBorders>
              <w:left w:val="single" w:sz="4" w:space="0" w:color="auto"/>
              <w:right w:val="single" w:sz="4" w:space="0" w:color="auto"/>
            </w:tcBorders>
            <w:tcMar>
              <w:left w:w="0" w:type="dxa"/>
              <w:right w:w="0" w:type="dxa"/>
            </w:tcMar>
            <w:vAlign w:val="center"/>
          </w:tcPr>
          <w:p w14:paraId="4229148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2.69</w:t>
            </w:r>
          </w:p>
        </w:tc>
        <w:tc>
          <w:tcPr>
            <w:tcW w:w="276" w:type="pct"/>
            <w:tcBorders>
              <w:left w:val="single" w:sz="4" w:space="0" w:color="auto"/>
              <w:right w:val="single" w:sz="4" w:space="0" w:color="auto"/>
            </w:tcBorders>
            <w:tcMar>
              <w:left w:w="0" w:type="dxa"/>
              <w:right w:w="0" w:type="dxa"/>
            </w:tcMar>
            <w:vAlign w:val="center"/>
          </w:tcPr>
          <w:p w14:paraId="3D068AB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3.36</w:t>
            </w:r>
          </w:p>
        </w:tc>
        <w:tc>
          <w:tcPr>
            <w:tcW w:w="276" w:type="pct"/>
            <w:tcBorders>
              <w:left w:val="single" w:sz="4" w:space="0" w:color="auto"/>
              <w:right w:val="single" w:sz="4" w:space="0" w:color="auto"/>
            </w:tcBorders>
            <w:tcMar>
              <w:left w:w="0" w:type="dxa"/>
              <w:right w:w="0" w:type="dxa"/>
            </w:tcMar>
            <w:vAlign w:val="center"/>
          </w:tcPr>
          <w:p w14:paraId="3F0557D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4.7</w:t>
            </w:r>
          </w:p>
        </w:tc>
        <w:tc>
          <w:tcPr>
            <w:tcW w:w="274" w:type="pct"/>
            <w:tcBorders>
              <w:left w:val="single" w:sz="4" w:space="0" w:color="auto"/>
            </w:tcBorders>
            <w:tcMar>
              <w:left w:w="0" w:type="dxa"/>
              <w:right w:w="0" w:type="dxa"/>
            </w:tcMar>
            <w:vAlign w:val="center"/>
          </w:tcPr>
          <w:p w14:paraId="4B08A60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2.82</w:t>
            </w:r>
          </w:p>
        </w:tc>
      </w:tr>
      <w:tr w:rsidR="00E16351" w:rsidRPr="00A964FF" w14:paraId="1EE64AFA" w14:textId="77777777" w:rsidTr="00E16351">
        <w:trPr>
          <w:trHeight w:val="369"/>
          <w:jc w:val="center"/>
        </w:trPr>
        <w:tc>
          <w:tcPr>
            <w:tcW w:w="310" w:type="pct"/>
            <w:tcBorders>
              <w:right w:val="single" w:sz="4" w:space="0" w:color="auto"/>
            </w:tcBorders>
            <w:tcMar>
              <w:left w:w="0" w:type="dxa"/>
              <w:right w:w="0" w:type="dxa"/>
            </w:tcMar>
            <w:vAlign w:val="center"/>
          </w:tcPr>
          <w:p w14:paraId="065EED73"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4</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02C80E5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5.83</w:t>
            </w:r>
          </w:p>
        </w:tc>
        <w:tc>
          <w:tcPr>
            <w:tcW w:w="276" w:type="pct"/>
            <w:tcBorders>
              <w:left w:val="single" w:sz="4" w:space="0" w:color="auto"/>
              <w:right w:val="single" w:sz="4" w:space="0" w:color="auto"/>
            </w:tcBorders>
            <w:tcMar>
              <w:left w:w="0" w:type="dxa"/>
              <w:right w:w="0" w:type="dxa"/>
            </w:tcMar>
            <w:vAlign w:val="center"/>
          </w:tcPr>
          <w:p w14:paraId="4FDA4CC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4.17</w:t>
            </w:r>
          </w:p>
        </w:tc>
        <w:tc>
          <w:tcPr>
            <w:tcW w:w="276" w:type="pct"/>
            <w:tcBorders>
              <w:left w:val="single" w:sz="4" w:space="0" w:color="auto"/>
              <w:right w:val="single" w:sz="4" w:space="0" w:color="auto"/>
            </w:tcBorders>
            <w:tcMar>
              <w:left w:w="0" w:type="dxa"/>
              <w:right w:w="0" w:type="dxa"/>
            </w:tcMar>
            <w:vAlign w:val="center"/>
          </w:tcPr>
          <w:p w14:paraId="04C1860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8.47</w:t>
            </w:r>
          </w:p>
        </w:tc>
        <w:tc>
          <w:tcPr>
            <w:tcW w:w="276" w:type="pct"/>
            <w:tcBorders>
              <w:left w:val="single" w:sz="4" w:space="0" w:color="auto"/>
              <w:right w:val="single" w:sz="4" w:space="0" w:color="auto"/>
            </w:tcBorders>
            <w:tcMar>
              <w:left w:w="0" w:type="dxa"/>
              <w:right w:w="0" w:type="dxa"/>
            </w:tcMar>
            <w:vAlign w:val="center"/>
          </w:tcPr>
          <w:p w14:paraId="0F40A44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7.22</w:t>
            </w:r>
          </w:p>
        </w:tc>
        <w:tc>
          <w:tcPr>
            <w:tcW w:w="276" w:type="pct"/>
            <w:tcBorders>
              <w:left w:val="single" w:sz="4" w:space="0" w:color="auto"/>
              <w:right w:val="single" w:sz="4" w:space="0" w:color="auto"/>
            </w:tcBorders>
            <w:tcMar>
              <w:left w:w="0" w:type="dxa"/>
              <w:right w:w="0" w:type="dxa"/>
            </w:tcMar>
            <w:vAlign w:val="center"/>
          </w:tcPr>
          <w:p w14:paraId="3DEBCFF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6.94</w:t>
            </w:r>
          </w:p>
        </w:tc>
        <w:tc>
          <w:tcPr>
            <w:tcW w:w="276" w:type="pct"/>
            <w:tcBorders>
              <w:left w:val="single" w:sz="4" w:space="0" w:color="auto"/>
              <w:right w:val="single" w:sz="4" w:space="0" w:color="auto"/>
            </w:tcBorders>
            <w:tcMar>
              <w:left w:w="0" w:type="dxa"/>
              <w:right w:w="0" w:type="dxa"/>
            </w:tcMar>
            <w:vAlign w:val="center"/>
          </w:tcPr>
          <w:p w14:paraId="1A957D0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4.03</w:t>
            </w:r>
          </w:p>
        </w:tc>
        <w:tc>
          <w:tcPr>
            <w:tcW w:w="276" w:type="pct"/>
            <w:tcBorders>
              <w:left w:val="single" w:sz="4" w:space="0" w:color="auto"/>
              <w:right w:val="single" w:sz="4" w:space="0" w:color="auto"/>
            </w:tcBorders>
            <w:tcMar>
              <w:left w:w="0" w:type="dxa"/>
              <w:right w:w="0" w:type="dxa"/>
            </w:tcMar>
            <w:vAlign w:val="center"/>
          </w:tcPr>
          <w:p w14:paraId="73EAA15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w:t>
            </w:r>
          </w:p>
        </w:tc>
        <w:tc>
          <w:tcPr>
            <w:tcW w:w="276" w:type="pct"/>
            <w:tcBorders>
              <w:left w:val="single" w:sz="4" w:space="0" w:color="auto"/>
              <w:right w:val="single" w:sz="4" w:space="0" w:color="auto"/>
            </w:tcBorders>
            <w:tcMar>
              <w:left w:w="0" w:type="dxa"/>
              <w:right w:w="0" w:type="dxa"/>
            </w:tcMar>
            <w:vAlign w:val="center"/>
          </w:tcPr>
          <w:p w14:paraId="0B3CE6C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7.08</w:t>
            </w:r>
          </w:p>
        </w:tc>
        <w:tc>
          <w:tcPr>
            <w:tcW w:w="276" w:type="pct"/>
            <w:tcBorders>
              <w:left w:val="single" w:sz="4" w:space="0" w:color="auto"/>
            </w:tcBorders>
            <w:tcMar>
              <w:left w:w="0" w:type="dxa"/>
              <w:right w:w="0" w:type="dxa"/>
            </w:tcMar>
            <w:vAlign w:val="center"/>
          </w:tcPr>
          <w:p w14:paraId="3A6EBF3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12.36</w:t>
            </w:r>
          </w:p>
        </w:tc>
        <w:tc>
          <w:tcPr>
            <w:tcW w:w="276" w:type="pct"/>
            <w:tcBorders>
              <w:right w:val="single" w:sz="4" w:space="0" w:color="auto"/>
            </w:tcBorders>
            <w:tcMar>
              <w:left w:w="0" w:type="dxa"/>
              <w:right w:w="0" w:type="dxa"/>
            </w:tcMar>
            <w:vAlign w:val="center"/>
          </w:tcPr>
          <w:p w14:paraId="45AA165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5.69</w:t>
            </w:r>
          </w:p>
        </w:tc>
        <w:tc>
          <w:tcPr>
            <w:tcW w:w="276" w:type="pct"/>
            <w:tcBorders>
              <w:left w:val="single" w:sz="4" w:space="0" w:color="auto"/>
              <w:right w:val="single" w:sz="4" w:space="0" w:color="auto"/>
            </w:tcBorders>
            <w:tcMar>
              <w:left w:w="0" w:type="dxa"/>
              <w:right w:w="0" w:type="dxa"/>
            </w:tcMar>
            <w:vAlign w:val="center"/>
          </w:tcPr>
          <w:p w14:paraId="2927E96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5.14</w:t>
            </w:r>
          </w:p>
        </w:tc>
        <w:tc>
          <w:tcPr>
            <w:tcW w:w="276" w:type="pct"/>
            <w:tcBorders>
              <w:left w:val="single" w:sz="4" w:space="0" w:color="auto"/>
              <w:right w:val="single" w:sz="4" w:space="0" w:color="auto"/>
            </w:tcBorders>
            <w:tcMar>
              <w:left w:w="0" w:type="dxa"/>
              <w:right w:w="0" w:type="dxa"/>
            </w:tcMar>
            <w:vAlign w:val="center"/>
          </w:tcPr>
          <w:p w14:paraId="7B31566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3.61</w:t>
            </w:r>
          </w:p>
        </w:tc>
        <w:tc>
          <w:tcPr>
            <w:tcW w:w="276" w:type="pct"/>
            <w:tcBorders>
              <w:left w:val="single" w:sz="4" w:space="0" w:color="auto"/>
              <w:right w:val="single" w:sz="4" w:space="0" w:color="auto"/>
            </w:tcBorders>
            <w:tcMar>
              <w:left w:w="0" w:type="dxa"/>
              <w:right w:w="0" w:type="dxa"/>
            </w:tcMar>
            <w:vAlign w:val="center"/>
          </w:tcPr>
          <w:p w14:paraId="2ECB91C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6.94</w:t>
            </w:r>
          </w:p>
        </w:tc>
        <w:tc>
          <w:tcPr>
            <w:tcW w:w="276" w:type="pct"/>
            <w:tcBorders>
              <w:left w:val="single" w:sz="4" w:space="0" w:color="auto"/>
              <w:right w:val="single" w:sz="4" w:space="0" w:color="auto"/>
            </w:tcBorders>
            <w:tcMar>
              <w:left w:w="0" w:type="dxa"/>
              <w:right w:w="0" w:type="dxa"/>
            </w:tcMar>
            <w:vAlign w:val="center"/>
          </w:tcPr>
          <w:p w14:paraId="52A4E86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4.44</w:t>
            </w:r>
          </w:p>
        </w:tc>
        <w:tc>
          <w:tcPr>
            <w:tcW w:w="276" w:type="pct"/>
            <w:tcBorders>
              <w:left w:val="single" w:sz="4" w:space="0" w:color="auto"/>
              <w:right w:val="single" w:sz="4" w:space="0" w:color="auto"/>
            </w:tcBorders>
            <w:tcMar>
              <w:left w:w="0" w:type="dxa"/>
              <w:right w:w="0" w:type="dxa"/>
            </w:tcMar>
            <w:vAlign w:val="center"/>
          </w:tcPr>
          <w:p w14:paraId="1B7447C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4.58</w:t>
            </w:r>
          </w:p>
        </w:tc>
        <w:tc>
          <w:tcPr>
            <w:tcW w:w="276" w:type="pct"/>
            <w:tcBorders>
              <w:left w:val="single" w:sz="4" w:space="0" w:color="auto"/>
              <w:right w:val="single" w:sz="4" w:space="0" w:color="auto"/>
            </w:tcBorders>
            <w:tcMar>
              <w:left w:w="0" w:type="dxa"/>
              <w:right w:w="0" w:type="dxa"/>
            </w:tcMar>
            <w:vAlign w:val="center"/>
          </w:tcPr>
          <w:p w14:paraId="56F1818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5.28</w:t>
            </w:r>
          </w:p>
        </w:tc>
        <w:tc>
          <w:tcPr>
            <w:tcW w:w="274" w:type="pct"/>
            <w:tcBorders>
              <w:left w:val="single" w:sz="4" w:space="0" w:color="auto"/>
            </w:tcBorders>
            <w:tcMar>
              <w:left w:w="0" w:type="dxa"/>
              <w:right w:w="0" w:type="dxa"/>
            </w:tcMar>
            <w:vAlign w:val="center"/>
          </w:tcPr>
          <w:p w14:paraId="0A028CF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3.19</w:t>
            </w:r>
          </w:p>
        </w:tc>
      </w:tr>
      <w:tr w:rsidR="00E16351" w:rsidRPr="00A964FF" w14:paraId="0ACC75F1" w14:textId="77777777" w:rsidTr="00E16351">
        <w:trPr>
          <w:trHeight w:val="369"/>
          <w:jc w:val="center"/>
        </w:trPr>
        <w:tc>
          <w:tcPr>
            <w:tcW w:w="310" w:type="pct"/>
            <w:tcBorders>
              <w:right w:val="single" w:sz="4" w:space="0" w:color="auto"/>
            </w:tcBorders>
            <w:tcMar>
              <w:left w:w="0" w:type="dxa"/>
              <w:right w:w="0" w:type="dxa"/>
            </w:tcMar>
            <w:vAlign w:val="center"/>
          </w:tcPr>
          <w:p w14:paraId="03D7269A"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5</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6FF083E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4.44</w:t>
            </w:r>
          </w:p>
        </w:tc>
        <w:tc>
          <w:tcPr>
            <w:tcW w:w="276" w:type="pct"/>
            <w:tcBorders>
              <w:left w:val="single" w:sz="4" w:space="0" w:color="auto"/>
              <w:right w:val="single" w:sz="4" w:space="0" w:color="auto"/>
            </w:tcBorders>
            <w:tcMar>
              <w:left w:w="0" w:type="dxa"/>
              <w:right w:w="0" w:type="dxa"/>
            </w:tcMar>
            <w:vAlign w:val="center"/>
          </w:tcPr>
          <w:p w14:paraId="7900802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5.38</w:t>
            </w:r>
          </w:p>
        </w:tc>
        <w:tc>
          <w:tcPr>
            <w:tcW w:w="276" w:type="pct"/>
            <w:tcBorders>
              <w:left w:val="single" w:sz="4" w:space="0" w:color="auto"/>
              <w:right w:val="single" w:sz="4" w:space="0" w:color="auto"/>
            </w:tcBorders>
            <w:tcMar>
              <w:left w:w="0" w:type="dxa"/>
              <w:right w:w="0" w:type="dxa"/>
            </w:tcMar>
            <w:vAlign w:val="center"/>
          </w:tcPr>
          <w:p w14:paraId="2341D04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6.05</w:t>
            </w:r>
          </w:p>
        </w:tc>
        <w:tc>
          <w:tcPr>
            <w:tcW w:w="276" w:type="pct"/>
            <w:tcBorders>
              <w:left w:val="single" w:sz="4" w:space="0" w:color="auto"/>
              <w:right w:val="single" w:sz="4" w:space="0" w:color="auto"/>
            </w:tcBorders>
            <w:tcMar>
              <w:left w:w="0" w:type="dxa"/>
              <w:right w:w="0" w:type="dxa"/>
            </w:tcMar>
            <w:vAlign w:val="center"/>
          </w:tcPr>
          <w:p w14:paraId="2EDF375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6.32</w:t>
            </w:r>
          </w:p>
        </w:tc>
        <w:tc>
          <w:tcPr>
            <w:tcW w:w="276" w:type="pct"/>
            <w:tcBorders>
              <w:left w:val="single" w:sz="4" w:space="0" w:color="auto"/>
              <w:right w:val="single" w:sz="4" w:space="0" w:color="auto"/>
            </w:tcBorders>
            <w:tcMar>
              <w:left w:w="0" w:type="dxa"/>
              <w:right w:w="0" w:type="dxa"/>
            </w:tcMar>
            <w:vAlign w:val="center"/>
          </w:tcPr>
          <w:p w14:paraId="445AC36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3.76</w:t>
            </w:r>
          </w:p>
        </w:tc>
        <w:tc>
          <w:tcPr>
            <w:tcW w:w="276" w:type="pct"/>
            <w:tcBorders>
              <w:left w:val="single" w:sz="4" w:space="0" w:color="auto"/>
              <w:right w:val="single" w:sz="4" w:space="0" w:color="auto"/>
            </w:tcBorders>
            <w:tcMar>
              <w:left w:w="0" w:type="dxa"/>
              <w:right w:w="0" w:type="dxa"/>
            </w:tcMar>
            <w:vAlign w:val="center"/>
          </w:tcPr>
          <w:p w14:paraId="6906DBC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3.49</w:t>
            </w:r>
          </w:p>
        </w:tc>
        <w:tc>
          <w:tcPr>
            <w:tcW w:w="276" w:type="pct"/>
            <w:tcBorders>
              <w:left w:val="single" w:sz="4" w:space="0" w:color="auto"/>
              <w:right w:val="single" w:sz="4" w:space="0" w:color="auto"/>
            </w:tcBorders>
            <w:tcMar>
              <w:left w:w="0" w:type="dxa"/>
              <w:right w:w="0" w:type="dxa"/>
            </w:tcMar>
            <w:vAlign w:val="center"/>
          </w:tcPr>
          <w:p w14:paraId="472A0BD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2.82</w:t>
            </w:r>
          </w:p>
        </w:tc>
        <w:tc>
          <w:tcPr>
            <w:tcW w:w="276" w:type="pct"/>
            <w:tcBorders>
              <w:left w:val="single" w:sz="4" w:space="0" w:color="auto"/>
              <w:right w:val="single" w:sz="4" w:space="0" w:color="auto"/>
            </w:tcBorders>
            <w:tcMar>
              <w:left w:w="0" w:type="dxa"/>
              <w:right w:w="0" w:type="dxa"/>
            </w:tcMar>
            <w:vAlign w:val="center"/>
          </w:tcPr>
          <w:p w14:paraId="33158AA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2.96</w:t>
            </w:r>
          </w:p>
        </w:tc>
        <w:tc>
          <w:tcPr>
            <w:tcW w:w="276" w:type="pct"/>
            <w:tcBorders>
              <w:left w:val="single" w:sz="4" w:space="0" w:color="auto"/>
            </w:tcBorders>
            <w:tcMar>
              <w:left w:w="0" w:type="dxa"/>
              <w:right w:w="0" w:type="dxa"/>
            </w:tcMar>
            <w:vAlign w:val="center"/>
          </w:tcPr>
          <w:p w14:paraId="5C74138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11.69</w:t>
            </w:r>
          </w:p>
        </w:tc>
        <w:tc>
          <w:tcPr>
            <w:tcW w:w="276" w:type="pct"/>
            <w:tcBorders>
              <w:right w:val="single" w:sz="4" w:space="0" w:color="auto"/>
            </w:tcBorders>
            <w:tcMar>
              <w:left w:w="0" w:type="dxa"/>
              <w:right w:w="0" w:type="dxa"/>
            </w:tcMar>
            <w:vAlign w:val="center"/>
          </w:tcPr>
          <w:p w14:paraId="6C1F435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11.69</w:t>
            </w:r>
          </w:p>
        </w:tc>
        <w:tc>
          <w:tcPr>
            <w:tcW w:w="276" w:type="pct"/>
            <w:tcBorders>
              <w:left w:val="single" w:sz="4" w:space="0" w:color="auto"/>
              <w:right w:val="single" w:sz="4" w:space="0" w:color="auto"/>
            </w:tcBorders>
            <w:tcMar>
              <w:left w:w="0" w:type="dxa"/>
              <w:right w:w="0" w:type="dxa"/>
            </w:tcMar>
            <w:vAlign w:val="center"/>
          </w:tcPr>
          <w:p w14:paraId="066669A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7.66</w:t>
            </w:r>
          </w:p>
        </w:tc>
        <w:tc>
          <w:tcPr>
            <w:tcW w:w="276" w:type="pct"/>
            <w:tcBorders>
              <w:left w:val="single" w:sz="4" w:space="0" w:color="auto"/>
              <w:right w:val="single" w:sz="4" w:space="0" w:color="auto"/>
            </w:tcBorders>
            <w:tcMar>
              <w:left w:w="0" w:type="dxa"/>
              <w:right w:w="0" w:type="dxa"/>
            </w:tcMar>
            <w:vAlign w:val="center"/>
          </w:tcPr>
          <w:p w14:paraId="21EEC18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6.18</w:t>
            </w:r>
          </w:p>
        </w:tc>
        <w:tc>
          <w:tcPr>
            <w:tcW w:w="276" w:type="pct"/>
            <w:tcBorders>
              <w:left w:val="single" w:sz="4" w:space="0" w:color="auto"/>
              <w:right w:val="single" w:sz="4" w:space="0" w:color="auto"/>
            </w:tcBorders>
            <w:tcMar>
              <w:left w:w="0" w:type="dxa"/>
              <w:right w:w="0" w:type="dxa"/>
            </w:tcMar>
            <w:vAlign w:val="center"/>
          </w:tcPr>
          <w:p w14:paraId="5F82CD1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7.12</w:t>
            </w:r>
          </w:p>
        </w:tc>
        <w:tc>
          <w:tcPr>
            <w:tcW w:w="276" w:type="pct"/>
            <w:tcBorders>
              <w:left w:val="single" w:sz="4" w:space="0" w:color="auto"/>
              <w:right w:val="single" w:sz="4" w:space="0" w:color="auto"/>
            </w:tcBorders>
            <w:tcMar>
              <w:left w:w="0" w:type="dxa"/>
              <w:right w:w="0" w:type="dxa"/>
            </w:tcMar>
            <w:vAlign w:val="center"/>
          </w:tcPr>
          <w:p w14:paraId="38034AB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4.97</w:t>
            </w:r>
          </w:p>
        </w:tc>
        <w:tc>
          <w:tcPr>
            <w:tcW w:w="276" w:type="pct"/>
            <w:tcBorders>
              <w:left w:val="single" w:sz="4" w:space="0" w:color="auto"/>
              <w:right w:val="single" w:sz="4" w:space="0" w:color="auto"/>
            </w:tcBorders>
            <w:tcMar>
              <w:left w:w="0" w:type="dxa"/>
              <w:right w:w="0" w:type="dxa"/>
            </w:tcMar>
            <w:vAlign w:val="center"/>
          </w:tcPr>
          <w:p w14:paraId="71563A6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7.66</w:t>
            </w:r>
          </w:p>
        </w:tc>
        <w:tc>
          <w:tcPr>
            <w:tcW w:w="276" w:type="pct"/>
            <w:tcBorders>
              <w:left w:val="single" w:sz="4" w:space="0" w:color="auto"/>
              <w:right w:val="single" w:sz="4" w:space="0" w:color="auto"/>
            </w:tcBorders>
            <w:tcMar>
              <w:left w:w="0" w:type="dxa"/>
              <w:right w:w="0" w:type="dxa"/>
            </w:tcMar>
            <w:vAlign w:val="center"/>
          </w:tcPr>
          <w:p w14:paraId="140A644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4.17</w:t>
            </w:r>
          </w:p>
        </w:tc>
        <w:tc>
          <w:tcPr>
            <w:tcW w:w="274" w:type="pct"/>
            <w:tcBorders>
              <w:left w:val="single" w:sz="4" w:space="0" w:color="auto"/>
            </w:tcBorders>
            <w:tcMar>
              <w:left w:w="0" w:type="dxa"/>
              <w:right w:w="0" w:type="dxa"/>
            </w:tcMar>
            <w:vAlign w:val="center"/>
          </w:tcPr>
          <w:p w14:paraId="6DB66EF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r>
      <w:tr w:rsidR="00E16351" w:rsidRPr="00A964FF" w14:paraId="71E5CF64" w14:textId="77777777" w:rsidTr="00E16351">
        <w:trPr>
          <w:trHeight w:val="369"/>
          <w:jc w:val="center"/>
        </w:trPr>
        <w:tc>
          <w:tcPr>
            <w:tcW w:w="310" w:type="pct"/>
            <w:tcBorders>
              <w:right w:val="single" w:sz="4" w:space="0" w:color="auto"/>
            </w:tcBorders>
            <w:tcMar>
              <w:left w:w="0" w:type="dxa"/>
              <w:right w:w="0" w:type="dxa"/>
            </w:tcMar>
            <w:vAlign w:val="center"/>
          </w:tcPr>
          <w:p w14:paraId="60D5619C"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6</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750E8D5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6.53</w:t>
            </w:r>
          </w:p>
        </w:tc>
        <w:tc>
          <w:tcPr>
            <w:tcW w:w="276" w:type="pct"/>
            <w:tcBorders>
              <w:left w:val="single" w:sz="4" w:space="0" w:color="auto"/>
              <w:right w:val="single" w:sz="4" w:space="0" w:color="auto"/>
            </w:tcBorders>
            <w:tcMar>
              <w:left w:w="0" w:type="dxa"/>
              <w:right w:w="0" w:type="dxa"/>
            </w:tcMar>
            <w:vAlign w:val="center"/>
          </w:tcPr>
          <w:p w14:paraId="4A5028A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7.92</w:t>
            </w:r>
          </w:p>
        </w:tc>
        <w:tc>
          <w:tcPr>
            <w:tcW w:w="276" w:type="pct"/>
            <w:tcBorders>
              <w:left w:val="single" w:sz="4" w:space="0" w:color="auto"/>
              <w:right w:val="single" w:sz="4" w:space="0" w:color="auto"/>
            </w:tcBorders>
            <w:tcMar>
              <w:left w:w="0" w:type="dxa"/>
              <w:right w:w="0" w:type="dxa"/>
            </w:tcMar>
            <w:vAlign w:val="center"/>
          </w:tcPr>
          <w:p w14:paraId="003377F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9.58</w:t>
            </w:r>
          </w:p>
        </w:tc>
        <w:tc>
          <w:tcPr>
            <w:tcW w:w="276" w:type="pct"/>
            <w:tcBorders>
              <w:left w:val="single" w:sz="4" w:space="0" w:color="auto"/>
              <w:right w:val="single" w:sz="4" w:space="0" w:color="auto"/>
            </w:tcBorders>
            <w:tcMar>
              <w:left w:w="0" w:type="dxa"/>
              <w:right w:w="0" w:type="dxa"/>
            </w:tcMar>
            <w:vAlign w:val="center"/>
          </w:tcPr>
          <w:p w14:paraId="518EF40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6.67</w:t>
            </w:r>
          </w:p>
        </w:tc>
        <w:tc>
          <w:tcPr>
            <w:tcW w:w="276" w:type="pct"/>
            <w:tcBorders>
              <w:left w:val="single" w:sz="4" w:space="0" w:color="auto"/>
              <w:right w:val="single" w:sz="4" w:space="0" w:color="auto"/>
            </w:tcBorders>
            <w:tcMar>
              <w:left w:w="0" w:type="dxa"/>
              <w:right w:w="0" w:type="dxa"/>
            </w:tcMar>
            <w:vAlign w:val="center"/>
          </w:tcPr>
          <w:p w14:paraId="7434CFE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9.03</w:t>
            </w:r>
          </w:p>
        </w:tc>
        <w:tc>
          <w:tcPr>
            <w:tcW w:w="276" w:type="pct"/>
            <w:tcBorders>
              <w:left w:val="single" w:sz="4" w:space="0" w:color="auto"/>
              <w:right w:val="single" w:sz="4" w:space="0" w:color="auto"/>
            </w:tcBorders>
            <w:tcMar>
              <w:left w:w="0" w:type="dxa"/>
              <w:right w:w="0" w:type="dxa"/>
            </w:tcMar>
            <w:vAlign w:val="center"/>
          </w:tcPr>
          <w:p w14:paraId="291939A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5.56</w:t>
            </w:r>
          </w:p>
        </w:tc>
        <w:tc>
          <w:tcPr>
            <w:tcW w:w="276" w:type="pct"/>
            <w:tcBorders>
              <w:left w:val="single" w:sz="4" w:space="0" w:color="auto"/>
              <w:right w:val="single" w:sz="4" w:space="0" w:color="auto"/>
            </w:tcBorders>
            <w:tcMar>
              <w:left w:w="0" w:type="dxa"/>
              <w:right w:w="0" w:type="dxa"/>
            </w:tcMar>
            <w:vAlign w:val="center"/>
          </w:tcPr>
          <w:p w14:paraId="47C54FA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5.28</w:t>
            </w:r>
          </w:p>
        </w:tc>
        <w:tc>
          <w:tcPr>
            <w:tcW w:w="276" w:type="pct"/>
            <w:tcBorders>
              <w:left w:val="single" w:sz="4" w:space="0" w:color="auto"/>
              <w:right w:val="single" w:sz="4" w:space="0" w:color="auto"/>
            </w:tcBorders>
            <w:tcMar>
              <w:left w:w="0" w:type="dxa"/>
              <w:right w:w="0" w:type="dxa"/>
            </w:tcMar>
            <w:vAlign w:val="center"/>
          </w:tcPr>
          <w:p w14:paraId="778E666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5.56</w:t>
            </w:r>
          </w:p>
        </w:tc>
        <w:tc>
          <w:tcPr>
            <w:tcW w:w="276" w:type="pct"/>
            <w:tcBorders>
              <w:left w:val="single" w:sz="4" w:space="0" w:color="auto"/>
            </w:tcBorders>
            <w:tcMar>
              <w:left w:w="0" w:type="dxa"/>
              <w:right w:w="0" w:type="dxa"/>
            </w:tcMar>
            <w:vAlign w:val="center"/>
          </w:tcPr>
          <w:p w14:paraId="2CFC67D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9.03</w:t>
            </w:r>
          </w:p>
        </w:tc>
        <w:tc>
          <w:tcPr>
            <w:tcW w:w="276" w:type="pct"/>
            <w:tcBorders>
              <w:right w:val="single" w:sz="4" w:space="0" w:color="auto"/>
            </w:tcBorders>
            <w:tcMar>
              <w:left w:w="0" w:type="dxa"/>
              <w:right w:w="0" w:type="dxa"/>
            </w:tcMar>
            <w:vAlign w:val="center"/>
          </w:tcPr>
          <w:p w14:paraId="6A28BA3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5.56</w:t>
            </w:r>
          </w:p>
        </w:tc>
        <w:tc>
          <w:tcPr>
            <w:tcW w:w="276" w:type="pct"/>
            <w:tcBorders>
              <w:left w:val="single" w:sz="4" w:space="0" w:color="auto"/>
              <w:right w:val="single" w:sz="4" w:space="0" w:color="auto"/>
            </w:tcBorders>
            <w:tcMar>
              <w:left w:w="0" w:type="dxa"/>
              <w:right w:w="0" w:type="dxa"/>
            </w:tcMar>
            <w:vAlign w:val="center"/>
          </w:tcPr>
          <w:p w14:paraId="377D77C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3.19</w:t>
            </w:r>
          </w:p>
        </w:tc>
        <w:tc>
          <w:tcPr>
            <w:tcW w:w="276" w:type="pct"/>
            <w:tcBorders>
              <w:left w:val="single" w:sz="4" w:space="0" w:color="auto"/>
              <w:right w:val="single" w:sz="4" w:space="0" w:color="auto"/>
            </w:tcBorders>
            <w:tcMar>
              <w:left w:w="0" w:type="dxa"/>
              <w:right w:w="0" w:type="dxa"/>
            </w:tcMar>
            <w:vAlign w:val="center"/>
          </w:tcPr>
          <w:p w14:paraId="6369AB7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2.78</w:t>
            </w:r>
          </w:p>
        </w:tc>
        <w:tc>
          <w:tcPr>
            <w:tcW w:w="276" w:type="pct"/>
            <w:tcBorders>
              <w:left w:val="single" w:sz="4" w:space="0" w:color="auto"/>
              <w:right w:val="single" w:sz="4" w:space="0" w:color="auto"/>
            </w:tcBorders>
            <w:tcMar>
              <w:left w:w="0" w:type="dxa"/>
              <w:right w:w="0" w:type="dxa"/>
            </w:tcMar>
            <w:vAlign w:val="center"/>
          </w:tcPr>
          <w:p w14:paraId="67E3023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5.28</w:t>
            </w:r>
          </w:p>
        </w:tc>
        <w:tc>
          <w:tcPr>
            <w:tcW w:w="276" w:type="pct"/>
            <w:tcBorders>
              <w:left w:val="single" w:sz="4" w:space="0" w:color="auto"/>
              <w:right w:val="single" w:sz="4" w:space="0" w:color="auto"/>
            </w:tcBorders>
            <w:tcMar>
              <w:left w:w="0" w:type="dxa"/>
              <w:right w:w="0" w:type="dxa"/>
            </w:tcMar>
            <w:vAlign w:val="center"/>
          </w:tcPr>
          <w:p w14:paraId="0AD7DA1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3.47</w:t>
            </w:r>
          </w:p>
        </w:tc>
        <w:tc>
          <w:tcPr>
            <w:tcW w:w="276" w:type="pct"/>
            <w:tcBorders>
              <w:left w:val="single" w:sz="4" w:space="0" w:color="auto"/>
              <w:right w:val="single" w:sz="4" w:space="0" w:color="auto"/>
            </w:tcBorders>
            <w:tcMar>
              <w:left w:w="0" w:type="dxa"/>
              <w:right w:w="0" w:type="dxa"/>
            </w:tcMar>
            <w:vAlign w:val="center"/>
          </w:tcPr>
          <w:p w14:paraId="15D7228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5.56</w:t>
            </w:r>
          </w:p>
        </w:tc>
        <w:tc>
          <w:tcPr>
            <w:tcW w:w="276" w:type="pct"/>
            <w:tcBorders>
              <w:left w:val="single" w:sz="4" w:space="0" w:color="auto"/>
              <w:right w:val="single" w:sz="4" w:space="0" w:color="auto"/>
            </w:tcBorders>
            <w:tcMar>
              <w:left w:w="0" w:type="dxa"/>
              <w:right w:w="0" w:type="dxa"/>
            </w:tcMar>
            <w:vAlign w:val="center"/>
          </w:tcPr>
          <w:p w14:paraId="7953DA3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6.53</w:t>
            </w:r>
          </w:p>
        </w:tc>
        <w:tc>
          <w:tcPr>
            <w:tcW w:w="274" w:type="pct"/>
            <w:tcBorders>
              <w:left w:val="single" w:sz="4" w:space="0" w:color="auto"/>
            </w:tcBorders>
            <w:tcMar>
              <w:left w:w="0" w:type="dxa"/>
              <w:right w:w="0" w:type="dxa"/>
            </w:tcMar>
            <w:vAlign w:val="center"/>
          </w:tcPr>
          <w:p w14:paraId="20E7A65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2.5</w:t>
            </w:r>
          </w:p>
        </w:tc>
      </w:tr>
      <w:tr w:rsidR="00E16351" w:rsidRPr="00A964FF" w14:paraId="764CA436" w14:textId="77777777" w:rsidTr="00E16351">
        <w:trPr>
          <w:trHeight w:val="369"/>
          <w:jc w:val="center"/>
        </w:trPr>
        <w:tc>
          <w:tcPr>
            <w:tcW w:w="310" w:type="pct"/>
            <w:tcBorders>
              <w:right w:val="single" w:sz="4" w:space="0" w:color="auto"/>
            </w:tcBorders>
            <w:tcMar>
              <w:left w:w="0" w:type="dxa"/>
              <w:right w:w="0" w:type="dxa"/>
            </w:tcMar>
            <w:vAlign w:val="center"/>
          </w:tcPr>
          <w:p w14:paraId="18522378"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7</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22277B0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4.17</w:t>
            </w:r>
          </w:p>
        </w:tc>
        <w:tc>
          <w:tcPr>
            <w:tcW w:w="276" w:type="pct"/>
            <w:tcBorders>
              <w:left w:val="single" w:sz="4" w:space="0" w:color="auto"/>
              <w:right w:val="single" w:sz="4" w:space="0" w:color="auto"/>
            </w:tcBorders>
            <w:tcMar>
              <w:left w:w="0" w:type="dxa"/>
              <w:right w:w="0" w:type="dxa"/>
            </w:tcMar>
            <w:vAlign w:val="center"/>
          </w:tcPr>
          <w:p w14:paraId="5FA86E0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c>
          <w:tcPr>
            <w:tcW w:w="276" w:type="pct"/>
            <w:tcBorders>
              <w:left w:val="single" w:sz="4" w:space="0" w:color="auto"/>
              <w:right w:val="single" w:sz="4" w:space="0" w:color="auto"/>
            </w:tcBorders>
            <w:tcMar>
              <w:left w:w="0" w:type="dxa"/>
              <w:right w:w="0" w:type="dxa"/>
            </w:tcMar>
            <w:vAlign w:val="center"/>
          </w:tcPr>
          <w:p w14:paraId="5B90CC6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5.24</w:t>
            </w:r>
          </w:p>
        </w:tc>
        <w:tc>
          <w:tcPr>
            <w:tcW w:w="276" w:type="pct"/>
            <w:tcBorders>
              <w:left w:val="single" w:sz="4" w:space="0" w:color="auto"/>
              <w:right w:val="single" w:sz="4" w:space="0" w:color="auto"/>
            </w:tcBorders>
            <w:tcMar>
              <w:left w:w="0" w:type="dxa"/>
              <w:right w:w="0" w:type="dxa"/>
            </w:tcMar>
            <w:vAlign w:val="center"/>
          </w:tcPr>
          <w:p w14:paraId="5CFE02B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6.18</w:t>
            </w:r>
          </w:p>
        </w:tc>
        <w:tc>
          <w:tcPr>
            <w:tcW w:w="276" w:type="pct"/>
            <w:tcBorders>
              <w:left w:val="single" w:sz="4" w:space="0" w:color="auto"/>
              <w:right w:val="single" w:sz="4" w:space="0" w:color="auto"/>
            </w:tcBorders>
            <w:tcMar>
              <w:left w:w="0" w:type="dxa"/>
              <w:right w:w="0" w:type="dxa"/>
            </w:tcMar>
            <w:vAlign w:val="center"/>
          </w:tcPr>
          <w:p w14:paraId="17BB70B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13.58</w:t>
            </w:r>
          </w:p>
        </w:tc>
        <w:tc>
          <w:tcPr>
            <w:tcW w:w="276" w:type="pct"/>
            <w:tcBorders>
              <w:left w:val="single" w:sz="4" w:space="0" w:color="auto"/>
              <w:right w:val="single" w:sz="4" w:space="0" w:color="auto"/>
            </w:tcBorders>
            <w:tcMar>
              <w:left w:w="0" w:type="dxa"/>
              <w:right w:w="0" w:type="dxa"/>
            </w:tcMar>
            <w:vAlign w:val="center"/>
          </w:tcPr>
          <w:p w14:paraId="0CDFD97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6.99</w:t>
            </w:r>
          </w:p>
        </w:tc>
        <w:tc>
          <w:tcPr>
            <w:tcW w:w="276" w:type="pct"/>
            <w:tcBorders>
              <w:left w:val="single" w:sz="4" w:space="0" w:color="auto"/>
              <w:right w:val="single" w:sz="4" w:space="0" w:color="auto"/>
            </w:tcBorders>
            <w:tcMar>
              <w:left w:w="0" w:type="dxa"/>
              <w:right w:w="0" w:type="dxa"/>
            </w:tcMar>
            <w:vAlign w:val="center"/>
          </w:tcPr>
          <w:p w14:paraId="02A6CB4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9.95</w:t>
            </w:r>
          </w:p>
        </w:tc>
        <w:tc>
          <w:tcPr>
            <w:tcW w:w="276" w:type="pct"/>
            <w:tcBorders>
              <w:left w:val="single" w:sz="4" w:space="0" w:color="auto"/>
              <w:right w:val="single" w:sz="4" w:space="0" w:color="auto"/>
            </w:tcBorders>
            <w:tcMar>
              <w:left w:w="0" w:type="dxa"/>
              <w:right w:w="0" w:type="dxa"/>
            </w:tcMar>
            <w:vAlign w:val="center"/>
          </w:tcPr>
          <w:p w14:paraId="53D03D5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8.74</w:t>
            </w:r>
          </w:p>
        </w:tc>
        <w:tc>
          <w:tcPr>
            <w:tcW w:w="276" w:type="pct"/>
            <w:tcBorders>
              <w:left w:val="single" w:sz="4" w:space="0" w:color="auto"/>
            </w:tcBorders>
            <w:tcMar>
              <w:left w:w="0" w:type="dxa"/>
              <w:right w:w="0" w:type="dxa"/>
            </w:tcMar>
            <w:vAlign w:val="center"/>
          </w:tcPr>
          <w:p w14:paraId="76CE7D2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9.95</w:t>
            </w:r>
          </w:p>
        </w:tc>
        <w:tc>
          <w:tcPr>
            <w:tcW w:w="276" w:type="pct"/>
            <w:tcBorders>
              <w:right w:val="single" w:sz="4" w:space="0" w:color="auto"/>
            </w:tcBorders>
            <w:tcMar>
              <w:left w:w="0" w:type="dxa"/>
              <w:right w:w="0" w:type="dxa"/>
            </w:tcMar>
            <w:vAlign w:val="center"/>
          </w:tcPr>
          <w:p w14:paraId="6AA3979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c>
          <w:tcPr>
            <w:tcW w:w="276" w:type="pct"/>
            <w:tcBorders>
              <w:left w:val="single" w:sz="4" w:space="0" w:color="auto"/>
              <w:right w:val="single" w:sz="4" w:space="0" w:color="auto"/>
            </w:tcBorders>
            <w:tcMar>
              <w:left w:w="0" w:type="dxa"/>
              <w:right w:w="0" w:type="dxa"/>
            </w:tcMar>
            <w:vAlign w:val="center"/>
          </w:tcPr>
          <w:p w14:paraId="20FB105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2.55</w:t>
            </w:r>
          </w:p>
        </w:tc>
        <w:tc>
          <w:tcPr>
            <w:tcW w:w="276" w:type="pct"/>
            <w:tcBorders>
              <w:left w:val="single" w:sz="4" w:space="0" w:color="auto"/>
              <w:right w:val="single" w:sz="4" w:space="0" w:color="auto"/>
            </w:tcBorders>
            <w:tcMar>
              <w:left w:w="0" w:type="dxa"/>
              <w:right w:w="0" w:type="dxa"/>
            </w:tcMar>
            <w:vAlign w:val="center"/>
          </w:tcPr>
          <w:p w14:paraId="5AAD971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2.15</w:t>
            </w:r>
          </w:p>
        </w:tc>
        <w:tc>
          <w:tcPr>
            <w:tcW w:w="276" w:type="pct"/>
            <w:tcBorders>
              <w:left w:val="single" w:sz="4" w:space="0" w:color="auto"/>
              <w:right w:val="single" w:sz="4" w:space="0" w:color="auto"/>
            </w:tcBorders>
            <w:tcMar>
              <w:left w:w="0" w:type="dxa"/>
              <w:right w:w="0" w:type="dxa"/>
            </w:tcMar>
            <w:vAlign w:val="center"/>
          </w:tcPr>
          <w:p w14:paraId="508A38E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2.15</w:t>
            </w:r>
          </w:p>
        </w:tc>
        <w:tc>
          <w:tcPr>
            <w:tcW w:w="276" w:type="pct"/>
            <w:tcBorders>
              <w:left w:val="single" w:sz="4" w:space="0" w:color="auto"/>
              <w:right w:val="single" w:sz="4" w:space="0" w:color="auto"/>
            </w:tcBorders>
            <w:tcMar>
              <w:left w:w="0" w:type="dxa"/>
              <w:right w:w="0" w:type="dxa"/>
            </w:tcMar>
            <w:vAlign w:val="center"/>
          </w:tcPr>
          <w:p w14:paraId="61B4DC5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3.76</w:t>
            </w:r>
          </w:p>
        </w:tc>
        <w:tc>
          <w:tcPr>
            <w:tcW w:w="276" w:type="pct"/>
            <w:tcBorders>
              <w:left w:val="single" w:sz="4" w:space="0" w:color="auto"/>
              <w:right w:val="single" w:sz="4" w:space="0" w:color="auto"/>
            </w:tcBorders>
            <w:tcMar>
              <w:left w:w="0" w:type="dxa"/>
              <w:right w:w="0" w:type="dxa"/>
            </w:tcMar>
            <w:vAlign w:val="center"/>
          </w:tcPr>
          <w:p w14:paraId="7274DB5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3.9</w:t>
            </w:r>
          </w:p>
        </w:tc>
        <w:tc>
          <w:tcPr>
            <w:tcW w:w="276" w:type="pct"/>
            <w:tcBorders>
              <w:left w:val="single" w:sz="4" w:space="0" w:color="auto"/>
              <w:right w:val="single" w:sz="4" w:space="0" w:color="auto"/>
            </w:tcBorders>
            <w:tcMar>
              <w:left w:w="0" w:type="dxa"/>
              <w:right w:w="0" w:type="dxa"/>
            </w:tcMar>
            <w:vAlign w:val="center"/>
          </w:tcPr>
          <w:p w14:paraId="080EFF6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c>
          <w:tcPr>
            <w:tcW w:w="274" w:type="pct"/>
            <w:tcBorders>
              <w:left w:val="single" w:sz="4" w:space="0" w:color="auto"/>
            </w:tcBorders>
            <w:tcMar>
              <w:left w:w="0" w:type="dxa"/>
              <w:right w:w="0" w:type="dxa"/>
            </w:tcMar>
            <w:vAlign w:val="center"/>
          </w:tcPr>
          <w:p w14:paraId="4269F79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9.81</w:t>
            </w:r>
          </w:p>
        </w:tc>
      </w:tr>
      <w:tr w:rsidR="00E16351" w:rsidRPr="00A964FF" w14:paraId="18D730DD" w14:textId="77777777" w:rsidTr="00E16351">
        <w:trPr>
          <w:trHeight w:val="369"/>
          <w:jc w:val="center"/>
        </w:trPr>
        <w:tc>
          <w:tcPr>
            <w:tcW w:w="310" w:type="pct"/>
            <w:tcBorders>
              <w:right w:val="single" w:sz="4" w:space="0" w:color="auto"/>
            </w:tcBorders>
            <w:tcMar>
              <w:left w:w="0" w:type="dxa"/>
              <w:right w:w="0" w:type="dxa"/>
            </w:tcMar>
            <w:vAlign w:val="center"/>
          </w:tcPr>
          <w:p w14:paraId="7544A094"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8</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64D13C6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6.32</w:t>
            </w:r>
          </w:p>
        </w:tc>
        <w:tc>
          <w:tcPr>
            <w:tcW w:w="276" w:type="pct"/>
            <w:tcBorders>
              <w:left w:val="single" w:sz="4" w:space="0" w:color="auto"/>
              <w:right w:val="single" w:sz="4" w:space="0" w:color="auto"/>
            </w:tcBorders>
            <w:tcMar>
              <w:left w:w="0" w:type="dxa"/>
              <w:right w:w="0" w:type="dxa"/>
            </w:tcMar>
            <w:vAlign w:val="center"/>
          </w:tcPr>
          <w:p w14:paraId="4A08531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5.24</w:t>
            </w:r>
          </w:p>
        </w:tc>
        <w:tc>
          <w:tcPr>
            <w:tcW w:w="276" w:type="pct"/>
            <w:tcBorders>
              <w:left w:val="single" w:sz="4" w:space="0" w:color="auto"/>
              <w:right w:val="single" w:sz="4" w:space="0" w:color="auto"/>
            </w:tcBorders>
            <w:tcMar>
              <w:left w:w="0" w:type="dxa"/>
              <w:right w:w="0" w:type="dxa"/>
            </w:tcMar>
            <w:vAlign w:val="center"/>
          </w:tcPr>
          <w:p w14:paraId="3C68F20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4.84</w:t>
            </w:r>
          </w:p>
        </w:tc>
        <w:tc>
          <w:tcPr>
            <w:tcW w:w="276" w:type="pct"/>
            <w:tcBorders>
              <w:left w:val="single" w:sz="4" w:space="0" w:color="auto"/>
              <w:right w:val="single" w:sz="4" w:space="0" w:color="auto"/>
            </w:tcBorders>
            <w:tcMar>
              <w:left w:w="0" w:type="dxa"/>
              <w:right w:w="0" w:type="dxa"/>
            </w:tcMar>
            <w:vAlign w:val="center"/>
          </w:tcPr>
          <w:p w14:paraId="211A9BE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6.72</w:t>
            </w:r>
          </w:p>
        </w:tc>
        <w:tc>
          <w:tcPr>
            <w:tcW w:w="276" w:type="pct"/>
            <w:tcBorders>
              <w:left w:val="single" w:sz="4" w:space="0" w:color="auto"/>
              <w:right w:val="single" w:sz="4" w:space="0" w:color="auto"/>
            </w:tcBorders>
            <w:tcMar>
              <w:left w:w="0" w:type="dxa"/>
              <w:right w:w="0" w:type="dxa"/>
            </w:tcMar>
            <w:vAlign w:val="center"/>
          </w:tcPr>
          <w:p w14:paraId="14DB320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7.66</w:t>
            </w:r>
          </w:p>
        </w:tc>
        <w:tc>
          <w:tcPr>
            <w:tcW w:w="276" w:type="pct"/>
            <w:tcBorders>
              <w:left w:val="single" w:sz="4" w:space="0" w:color="auto"/>
              <w:right w:val="single" w:sz="4" w:space="0" w:color="auto"/>
            </w:tcBorders>
            <w:tcMar>
              <w:left w:w="0" w:type="dxa"/>
              <w:right w:w="0" w:type="dxa"/>
            </w:tcMar>
            <w:vAlign w:val="center"/>
          </w:tcPr>
          <w:p w14:paraId="381AF2D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2.82</w:t>
            </w:r>
          </w:p>
        </w:tc>
        <w:tc>
          <w:tcPr>
            <w:tcW w:w="276" w:type="pct"/>
            <w:tcBorders>
              <w:left w:val="single" w:sz="4" w:space="0" w:color="auto"/>
              <w:right w:val="single" w:sz="4" w:space="0" w:color="auto"/>
            </w:tcBorders>
            <w:tcMar>
              <w:left w:w="0" w:type="dxa"/>
              <w:right w:w="0" w:type="dxa"/>
            </w:tcMar>
            <w:vAlign w:val="center"/>
          </w:tcPr>
          <w:p w14:paraId="7CE3C43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5.11</w:t>
            </w:r>
          </w:p>
        </w:tc>
        <w:tc>
          <w:tcPr>
            <w:tcW w:w="276" w:type="pct"/>
            <w:tcBorders>
              <w:left w:val="single" w:sz="4" w:space="0" w:color="auto"/>
              <w:right w:val="single" w:sz="4" w:space="0" w:color="auto"/>
            </w:tcBorders>
            <w:tcMar>
              <w:left w:w="0" w:type="dxa"/>
              <w:right w:w="0" w:type="dxa"/>
            </w:tcMar>
            <w:vAlign w:val="center"/>
          </w:tcPr>
          <w:p w14:paraId="48EBCAE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4.17</w:t>
            </w:r>
          </w:p>
        </w:tc>
        <w:tc>
          <w:tcPr>
            <w:tcW w:w="276" w:type="pct"/>
            <w:tcBorders>
              <w:left w:val="single" w:sz="4" w:space="0" w:color="auto"/>
            </w:tcBorders>
            <w:tcMar>
              <w:left w:w="0" w:type="dxa"/>
              <w:right w:w="0" w:type="dxa"/>
            </w:tcMar>
            <w:vAlign w:val="center"/>
          </w:tcPr>
          <w:p w14:paraId="18D3ADB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9.95</w:t>
            </w:r>
          </w:p>
        </w:tc>
        <w:tc>
          <w:tcPr>
            <w:tcW w:w="276" w:type="pct"/>
            <w:tcBorders>
              <w:right w:val="single" w:sz="4" w:space="0" w:color="auto"/>
            </w:tcBorders>
            <w:tcMar>
              <w:left w:w="0" w:type="dxa"/>
              <w:right w:w="0" w:type="dxa"/>
            </w:tcMar>
            <w:vAlign w:val="center"/>
          </w:tcPr>
          <w:p w14:paraId="0BBB853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5.11</w:t>
            </w:r>
          </w:p>
        </w:tc>
        <w:tc>
          <w:tcPr>
            <w:tcW w:w="276" w:type="pct"/>
            <w:tcBorders>
              <w:left w:val="single" w:sz="4" w:space="0" w:color="auto"/>
              <w:right w:val="single" w:sz="4" w:space="0" w:color="auto"/>
            </w:tcBorders>
            <w:tcMar>
              <w:left w:w="0" w:type="dxa"/>
              <w:right w:w="0" w:type="dxa"/>
            </w:tcMar>
            <w:vAlign w:val="center"/>
          </w:tcPr>
          <w:p w14:paraId="33F1887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3.09</w:t>
            </w:r>
          </w:p>
        </w:tc>
        <w:tc>
          <w:tcPr>
            <w:tcW w:w="276" w:type="pct"/>
            <w:tcBorders>
              <w:left w:val="single" w:sz="4" w:space="0" w:color="auto"/>
              <w:right w:val="single" w:sz="4" w:space="0" w:color="auto"/>
            </w:tcBorders>
            <w:tcMar>
              <w:left w:w="0" w:type="dxa"/>
              <w:right w:w="0" w:type="dxa"/>
            </w:tcMar>
            <w:vAlign w:val="center"/>
          </w:tcPr>
          <w:p w14:paraId="540DD52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2.42</w:t>
            </w:r>
          </w:p>
        </w:tc>
        <w:tc>
          <w:tcPr>
            <w:tcW w:w="276" w:type="pct"/>
            <w:tcBorders>
              <w:left w:val="single" w:sz="4" w:space="0" w:color="auto"/>
              <w:right w:val="single" w:sz="4" w:space="0" w:color="auto"/>
            </w:tcBorders>
            <w:tcMar>
              <w:left w:w="0" w:type="dxa"/>
              <w:right w:w="0" w:type="dxa"/>
            </w:tcMar>
            <w:vAlign w:val="center"/>
          </w:tcPr>
          <w:p w14:paraId="31B7771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4.57</w:t>
            </w:r>
          </w:p>
        </w:tc>
        <w:tc>
          <w:tcPr>
            <w:tcW w:w="276" w:type="pct"/>
            <w:tcBorders>
              <w:left w:val="single" w:sz="4" w:space="0" w:color="auto"/>
              <w:right w:val="single" w:sz="4" w:space="0" w:color="auto"/>
            </w:tcBorders>
            <w:tcMar>
              <w:left w:w="0" w:type="dxa"/>
              <w:right w:w="0" w:type="dxa"/>
            </w:tcMar>
            <w:vAlign w:val="center"/>
          </w:tcPr>
          <w:p w14:paraId="6661589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4.97</w:t>
            </w:r>
          </w:p>
        </w:tc>
        <w:tc>
          <w:tcPr>
            <w:tcW w:w="276" w:type="pct"/>
            <w:tcBorders>
              <w:left w:val="single" w:sz="4" w:space="0" w:color="auto"/>
              <w:right w:val="single" w:sz="4" w:space="0" w:color="auto"/>
            </w:tcBorders>
            <w:tcMar>
              <w:left w:w="0" w:type="dxa"/>
              <w:right w:w="0" w:type="dxa"/>
            </w:tcMar>
            <w:vAlign w:val="center"/>
          </w:tcPr>
          <w:p w14:paraId="3F91915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7.66</w:t>
            </w:r>
          </w:p>
        </w:tc>
        <w:tc>
          <w:tcPr>
            <w:tcW w:w="276" w:type="pct"/>
            <w:tcBorders>
              <w:left w:val="single" w:sz="4" w:space="0" w:color="auto"/>
              <w:right w:val="single" w:sz="4" w:space="0" w:color="auto"/>
            </w:tcBorders>
            <w:tcMar>
              <w:left w:w="0" w:type="dxa"/>
              <w:right w:w="0" w:type="dxa"/>
            </w:tcMar>
            <w:vAlign w:val="center"/>
          </w:tcPr>
          <w:p w14:paraId="4E82B98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6.72</w:t>
            </w:r>
          </w:p>
        </w:tc>
        <w:tc>
          <w:tcPr>
            <w:tcW w:w="274" w:type="pct"/>
            <w:tcBorders>
              <w:left w:val="single" w:sz="4" w:space="0" w:color="auto"/>
            </w:tcBorders>
            <w:tcMar>
              <w:left w:w="0" w:type="dxa"/>
              <w:right w:w="0" w:type="dxa"/>
            </w:tcMar>
            <w:vAlign w:val="center"/>
          </w:tcPr>
          <w:p w14:paraId="0814965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12.63</w:t>
            </w:r>
          </w:p>
        </w:tc>
      </w:tr>
      <w:tr w:rsidR="00E16351" w:rsidRPr="00A964FF" w14:paraId="70D056B8" w14:textId="77777777" w:rsidTr="00E16351">
        <w:trPr>
          <w:trHeight w:val="369"/>
          <w:jc w:val="center"/>
        </w:trPr>
        <w:tc>
          <w:tcPr>
            <w:tcW w:w="310" w:type="pct"/>
            <w:tcBorders>
              <w:right w:val="single" w:sz="4" w:space="0" w:color="auto"/>
            </w:tcBorders>
            <w:tcMar>
              <w:left w:w="0" w:type="dxa"/>
              <w:right w:w="0" w:type="dxa"/>
            </w:tcMar>
            <w:vAlign w:val="center"/>
          </w:tcPr>
          <w:p w14:paraId="127A51CC"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9</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79A0CBD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2.92</w:t>
            </w:r>
          </w:p>
        </w:tc>
        <w:tc>
          <w:tcPr>
            <w:tcW w:w="276" w:type="pct"/>
            <w:tcBorders>
              <w:left w:val="single" w:sz="4" w:space="0" w:color="auto"/>
              <w:right w:val="single" w:sz="4" w:space="0" w:color="auto"/>
            </w:tcBorders>
            <w:tcMar>
              <w:left w:w="0" w:type="dxa"/>
              <w:right w:w="0" w:type="dxa"/>
            </w:tcMar>
            <w:vAlign w:val="center"/>
          </w:tcPr>
          <w:p w14:paraId="28B8AA9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4.31</w:t>
            </w:r>
          </w:p>
        </w:tc>
        <w:tc>
          <w:tcPr>
            <w:tcW w:w="276" w:type="pct"/>
            <w:tcBorders>
              <w:left w:val="single" w:sz="4" w:space="0" w:color="auto"/>
              <w:right w:val="single" w:sz="4" w:space="0" w:color="auto"/>
            </w:tcBorders>
            <w:tcMar>
              <w:left w:w="0" w:type="dxa"/>
              <w:right w:w="0" w:type="dxa"/>
            </w:tcMar>
            <w:vAlign w:val="center"/>
          </w:tcPr>
          <w:p w14:paraId="4F74E7E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5.97</w:t>
            </w:r>
          </w:p>
        </w:tc>
        <w:tc>
          <w:tcPr>
            <w:tcW w:w="276" w:type="pct"/>
            <w:tcBorders>
              <w:left w:val="single" w:sz="4" w:space="0" w:color="auto"/>
              <w:right w:val="single" w:sz="4" w:space="0" w:color="auto"/>
            </w:tcBorders>
            <w:tcMar>
              <w:left w:w="0" w:type="dxa"/>
              <w:right w:w="0" w:type="dxa"/>
            </w:tcMar>
            <w:vAlign w:val="center"/>
          </w:tcPr>
          <w:p w14:paraId="52F05CB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4.17</w:t>
            </w:r>
          </w:p>
        </w:tc>
        <w:tc>
          <w:tcPr>
            <w:tcW w:w="276" w:type="pct"/>
            <w:tcBorders>
              <w:left w:val="single" w:sz="4" w:space="0" w:color="auto"/>
              <w:right w:val="single" w:sz="4" w:space="0" w:color="auto"/>
            </w:tcBorders>
            <w:tcMar>
              <w:left w:w="0" w:type="dxa"/>
              <w:right w:w="0" w:type="dxa"/>
            </w:tcMar>
            <w:vAlign w:val="center"/>
          </w:tcPr>
          <w:p w14:paraId="6A22626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3.89</w:t>
            </w:r>
          </w:p>
        </w:tc>
        <w:tc>
          <w:tcPr>
            <w:tcW w:w="276" w:type="pct"/>
            <w:tcBorders>
              <w:left w:val="single" w:sz="4" w:space="0" w:color="auto"/>
              <w:right w:val="single" w:sz="4" w:space="0" w:color="auto"/>
            </w:tcBorders>
            <w:tcMar>
              <w:left w:w="0" w:type="dxa"/>
              <w:right w:w="0" w:type="dxa"/>
            </w:tcMar>
            <w:vAlign w:val="center"/>
          </w:tcPr>
          <w:p w14:paraId="4425D58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2.64</w:t>
            </w:r>
          </w:p>
        </w:tc>
        <w:tc>
          <w:tcPr>
            <w:tcW w:w="276" w:type="pct"/>
            <w:tcBorders>
              <w:left w:val="single" w:sz="4" w:space="0" w:color="auto"/>
              <w:right w:val="single" w:sz="4" w:space="0" w:color="auto"/>
            </w:tcBorders>
            <w:tcMar>
              <w:left w:w="0" w:type="dxa"/>
              <w:right w:w="0" w:type="dxa"/>
            </w:tcMar>
            <w:vAlign w:val="center"/>
          </w:tcPr>
          <w:p w14:paraId="7A7E245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3.61</w:t>
            </w:r>
          </w:p>
        </w:tc>
        <w:tc>
          <w:tcPr>
            <w:tcW w:w="276" w:type="pct"/>
            <w:tcBorders>
              <w:left w:val="single" w:sz="4" w:space="0" w:color="auto"/>
              <w:right w:val="single" w:sz="4" w:space="0" w:color="auto"/>
            </w:tcBorders>
            <w:tcMar>
              <w:left w:w="0" w:type="dxa"/>
              <w:right w:w="0" w:type="dxa"/>
            </w:tcMar>
            <w:vAlign w:val="center"/>
          </w:tcPr>
          <w:p w14:paraId="544403B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6.39</w:t>
            </w:r>
          </w:p>
        </w:tc>
        <w:tc>
          <w:tcPr>
            <w:tcW w:w="276" w:type="pct"/>
            <w:tcBorders>
              <w:left w:val="single" w:sz="4" w:space="0" w:color="auto"/>
            </w:tcBorders>
            <w:tcMar>
              <w:left w:w="0" w:type="dxa"/>
              <w:right w:w="0" w:type="dxa"/>
            </w:tcMar>
            <w:vAlign w:val="center"/>
          </w:tcPr>
          <w:p w14:paraId="504EE6E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10</w:t>
            </w:r>
          </w:p>
        </w:tc>
        <w:tc>
          <w:tcPr>
            <w:tcW w:w="276" w:type="pct"/>
            <w:tcBorders>
              <w:right w:val="single" w:sz="4" w:space="0" w:color="auto"/>
            </w:tcBorders>
            <w:tcMar>
              <w:left w:w="0" w:type="dxa"/>
              <w:right w:w="0" w:type="dxa"/>
            </w:tcMar>
            <w:vAlign w:val="center"/>
          </w:tcPr>
          <w:p w14:paraId="7DFE30C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3.75</w:t>
            </w:r>
          </w:p>
        </w:tc>
        <w:tc>
          <w:tcPr>
            <w:tcW w:w="276" w:type="pct"/>
            <w:tcBorders>
              <w:left w:val="single" w:sz="4" w:space="0" w:color="auto"/>
              <w:right w:val="single" w:sz="4" w:space="0" w:color="auto"/>
            </w:tcBorders>
            <w:tcMar>
              <w:left w:w="0" w:type="dxa"/>
              <w:right w:w="0" w:type="dxa"/>
            </w:tcMar>
            <w:vAlign w:val="center"/>
          </w:tcPr>
          <w:p w14:paraId="1BA2D10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4.03</w:t>
            </w:r>
          </w:p>
        </w:tc>
        <w:tc>
          <w:tcPr>
            <w:tcW w:w="276" w:type="pct"/>
            <w:tcBorders>
              <w:left w:val="single" w:sz="4" w:space="0" w:color="auto"/>
              <w:right w:val="single" w:sz="4" w:space="0" w:color="auto"/>
            </w:tcBorders>
            <w:tcMar>
              <w:left w:w="0" w:type="dxa"/>
              <w:right w:w="0" w:type="dxa"/>
            </w:tcMar>
            <w:vAlign w:val="center"/>
          </w:tcPr>
          <w:p w14:paraId="50391DE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5.42</w:t>
            </w:r>
          </w:p>
        </w:tc>
        <w:tc>
          <w:tcPr>
            <w:tcW w:w="276" w:type="pct"/>
            <w:tcBorders>
              <w:left w:val="single" w:sz="4" w:space="0" w:color="auto"/>
              <w:right w:val="single" w:sz="4" w:space="0" w:color="auto"/>
            </w:tcBorders>
            <w:tcMar>
              <w:left w:w="0" w:type="dxa"/>
              <w:right w:w="0" w:type="dxa"/>
            </w:tcMar>
            <w:vAlign w:val="center"/>
          </w:tcPr>
          <w:p w14:paraId="3A3D218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12.64</w:t>
            </w:r>
          </w:p>
        </w:tc>
        <w:tc>
          <w:tcPr>
            <w:tcW w:w="276" w:type="pct"/>
            <w:tcBorders>
              <w:left w:val="single" w:sz="4" w:space="0" w:color="auto"/>
              <w:right w:val="single" w:sz="4" w:space="0" w:color="auto"/>
            </w:tcBorders>
            <w:tcMar>
              <w:left w:w="0" w:type="dxa"/>
              <w:right w:w="0" w:type="dxa"/>
            </w:tcMar>
            <w:vAlign w:val="center"/>
          </w:tcPr>
          <w:p w14:paraId="563B0BA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9.03</w:t>
            </w:r>
          </w:p>
        </w:tc>
        <w:tc>
          <w:tcPr>
            <w:tcW w:w="276" w:type="pct"/>
            <w:tcBorders>
              <w:left w:val="single" w:sz="4" w:space="0" w:color="auto"/>
              <w:right w:val="single" w:sz="4" w:space="0" w:color="auto"/>
            </w:tcBorders>
            <w:tcMar>
              <w:left w:w="0" w:type="dxa"/>
              <w:right w:w="0" w:type="dxa"/>
            </w:tcMar>
            <w:vAlign w:val="center"/>
          </w:tcPr>
          <w:p w14:paraId="323A216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6.25</w:t>
            </w:r>
          </w:p>
        </w:tc>
        <w:tc>
          <w:tcPr>
            <w:tcW w:w="276" w:type="pct"/>
            <w:tcBorders>
              <w:left w:val="single" w:sz="4" w:space="0" w:color="auto"/>
              <w:right w:val="single" w:sz="4" w:space="0" w:color="auto"/>
            </w:tcBorders>
            <w:tcMar>
              <w:left w:w="0" w:type="dxa"/>
              <w:right w:w="0" w:type="dxa"/>
            </w:tcMar>
            <w:vAlign w:val="center"/>
          </w:tcPr>
          <w:p w14:paraId="7B20B7F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6.53</w:t>
            </w:r>
          </w:p>
        </w:tc>
        <w:tc>
          <w:tcPr>
            <w:tcW w:w="274" w:type="pct"/>
            <w:tcBorders>
              <w:left w:val="single" w:sz="4" w:space="0" w:color="auto"/>
            </w:tcBorders>
            <w:tcMar>
              <w:left w:w="0" w:type="dxa"/>
              <w:right w:w="0" w:type="dxa"/>
            </w:tcMar>
            <w:vAlign w:val="center"/>
          </w:tcPr>
          <w:p w14:paraId="313F9F5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8.47</w:t>
            </w:r>
          </w:p>
        </w:tc>
      </w:tr>
      <w:tr w:rsidR="00E16351" w:rsidRPr="00A964FF" w14:paraId="4DD88CC0" w14:textId="77777777" w:rsidTr="00E16351">
        <w:trPr>
          <w:trHeight w:val="369"/>
          <w:jc w:val="center"/>
        </w:trPr>
        <w:tc>
          <w:tcPr>
            <w:tcW w:w="310" w:type="pct"/>
            <w:tcBorders>
              <w:right w:val="single" w:sz="4" w:space="0" w:color="auto"/>
            </w:tcBorders>
            <w:tcMar>
              <w:left w:w="0" w:type="dxa"/>
              <w:right w:w="0" w:type="dxa"/>
            </w:tcMar>
            <w:vAlign w:val="center"/>
          </w:tcPr>
          <w:p w14:paraId="039BBEB1"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10</w:t>
            </w:r>
            <w:r w:rsidRPr="00A964FF">
              <w:rPr>
                <w:rFonts w:ascii="Calibri" w:hAnsi="Calibri"/>
                <w:color w:val="auto"/>
                <w:szCs w:val="21"/>
              </w:rPr>
              <w:t>月</w:t>
            </w:r>
          </w:p>
        </w:tc>
        <w:tc>
          <w:tcPr>
            <w:tcW w:w="276" w:type="pct"/>
            <w:tcBorders>
              <w:left w:val="single" w:sz="4" w:space="0" w:color="auto"/>
              <w:right w:val="single" w:sz="4" w:space="0" w:color="auto"/>
            </w:tcBorders>
            <w:tcMar>
              <w:left w:w="0" w:type="dxa"/>
              <w:right w:w="0" w:type="dxa"/>
            </w:tcMar>
            <w:vAlign w:val="center"/>
          </w:tcPr>
          <w:p w14:paraId="08EF4AD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8.6</w:t>
            </w:r>
          </w:p>
        </w:tc>
        <w:tc>
          <w:tcPr>
            <w:tcW w:w="276" w:type="pct"/>
            <w:tcBorders>
              <w:left w:val="single" w:sz="4" w:space="0" w:color="auto"/>
              <w:right w:val="single" w:sz="4" w:space="0" w:color="auto"/>
            </w:tcBorders>
            <w:tcMar>
              <w:left w:w="0" w:type="dxa"/>
              <w:right w:w="0" w:type="dxa"/>
            </w:tcMar>
            <w:vAlign w:val="center"/>
          </w:tcPr>
          <w:p w14:paraId="5F17F3D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6.05</w:t>
            </w:r>
          </w:p>
        </w:tc>
        <w:tc>
          <w:tcPr>
            <w:tcW w:w="276" w:type="pct"/>
            <w:tcBorders>
              <w:left w:val="single" w:sz="4" w:space="0" w:color="auto"/>
              <w:right w:val="single" w:sz="4" w:space="0" w:color="auto"/>
            </w:tcBorders>
            <w:tcMar>
              <w:left w:w="0" w:type="dxa"/>
              <w:right w:w="0" w:type="dxa"/>
            </w:tcMar>
            <w:vAlign w:val="center"/>
          </w:tcPr>
          <w:p w14:paraId="34F1C2F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3.23</w:t>
            </w:r>
          </w:p>
        </w:tc>
        <w:tc>
          <w:tcPr>
            <w:tcW w:w="276" w:type="pct"/>
            <w:tcBorders>
              <w:left w:val="single" w:sz="4" w:space="0" w:color="auto"/>
              <w:right w:val="single" w:sz="4" w:space="0" w:color="auto"/>
            </w:tcBorders>
            <w:tcMar>
              <w:left w:w="0" w:type="dxa"/>
              <w:right w:w="0" w:type="dxa"/>
            </w:tcMar>
            <w:vAlign w:val="center"/>
          </w:tcPr>
          <w:p w14:paraId="39D0507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2.42</w:t>
            </w:r>
          </w:p>
        </w:tc>
        <w:tc>
          <w:tcPr>
            <w:tcW w:w="276" w:type="pct"/>
            <w:tcBorders>
              <w:left w:val="single" w:sz="4" w:space="0" w:color="auto"/>
              <w:right w:val="single" w:sz="4" w:space="0" w:color="auto"/>
            </w:tcBorders>
            <w:tcMar>
              <w:left w:w="0" w:type="dxa"/>
              <w:right w:w="0" w:type="dxa"/>
            </w:tcMar>
            <w:vAlign w:val="center"/>
          </w:tcPr>
          <w:p w14:paraId="07ACF3C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3.09</w:t>
            </w:r>
          </w:p>
        </w:tc>
        <w:tc>
          <w:tcPr>
            <w:tcW w:w="276" w:type="pct"/>
            <w:tcBorders>
              <w:left w:val="single" w:sz="4" w:space="0" w:color="auto"/>
              <w:right w:val="single" w:sz="4" w:space="0" w:color="auto"/>
            </w:tcBorders>
            <w:tcMar>
              <w:left w:w="0" w:type="dxa"/>
              <w:right w:w="0" w:type="dxa"/>
            </w:tcMar>
            <w:vAlign w:val="center"/>
          </w:tcPr>
          <w:p w14:paraId="1110D26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3.49</w:t>
            </w:r>
          </w:p>
        </w:tc>
        <w:tc>
          <w:tcPr>
            <w:tcW w:w="276" w:type="pct"/>
            <w:tcBorders>
              <w:left w:val="single" w:sz="4" w:space="0" w:color="auto"/>
              <w:right w:val="single" w:sz="4" w:space="0" w:color="auto"/>
            </w:tcBorders>
            <w:tcMar>
              <w:left w:w="0" w:type="dxa"/>
              <w:right w:w="0" w:type="dxa"/>
            </w:tcMar>
            <w:vAlign w:val="center"/>
          </w:tcPr>
          <w:p w14:paraId="4D64098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3.36</w:t>
            </w:r>
          </w:p>
        </w:tc>
        <w:tc>
          <w:tcPr>
            <w:tcW w:w="276" w:type="pct"/>
            <w:tcBorders>
              <w:left w:val="single" w:sz="4" w:space="0" w:color="auto"/>
              <w:right w:val="single" w:sz="4" w:space="0" w:color="auto"/>
            </w:tcBorders>
            <w:tcMar>
              <w:left w:w="0" w:type="dxa"/>
              <w:right w:w="0" w:type="dxa"/>
            </w:tcMar>
            <w:vAlign w:val="center"/>
          </w:tcPr>
          <w:p w14:paraId="11CECA5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3.36</w:t>
            </w:r>
          </w:p>
        </w:tc>
        <w:tc>
          <w:tcPr>
            <w:tcW w:w="276" w:type="pct"/>
            <w:tcBorders>
              <w:left w:val="single" w:sz="4" w:space="0" w:color="auto"/>
            </w:tcBorders>
            <w:tcMar>
              <w:left w:w="0" w:type="dxa"/>
              <w:right w:w="0" w:type="dxa"/>
            </w:tcMar>
            <w:vAlign w:val="center"/>
          </w:tcPr>
          <w:p w14:paraId="4535A2A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4.84</w:t>
            </w:r>
          </w:p>
        </w:tc>
        <w:tc>
          <w:tcPr>
            <w:tcW w:w="276" w:type="pct"/>
            <w:tcBorders>
              <w:right w:val="single" w:sz="4" w:space="0" w:color="auto"/>
            </w:tcBorders>
            <w:tcMar>
              <w:left w:w="0" w:type="dxa"/>
              <w:right w:w="0" w:type="dxa"/>
            </w:tcMar>
            <w:vAlign w:val="center"/>
          </w:tcPr>
          <w:p w14:paraId="35ADD73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4.03</w:t>
            </w:r>
          </w:p>
        </w:tc>
        <w:tc>
          <w:tcPr>
            <w:tcW w:w="276" w:type="pct"/>
            <w:tcBorders>
              <w:left w:val="single" w:sz="4" w:space="0" w:color="auto"/>
              <w:right w:val="single" w:sz="4" w:space="0" w:color="auto"/>
            </w:tcBorders>
            <w:tcMar>
              <w:left w:w="0" w:type="dxa"/>
              <w:right w:w="0" w:type="dxa"/>
            </w:tcMar>
            <w:vAlign w:val="center"/>
          </w:tcPr>
          <w:p w14:paraId="6925CD5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c>
          <w:tcPr>
            <w:tcW w:w="276" w:type="pct"/>
            <w:tcBorders>
              <w:left w:val="single" w:sz="4" w:space="0" w:color="auto"/>
              <w:right w:val="single" w:sz="4" w:space="0" w:color="auto"/>
            </w:tcBorders>
            <w:tcMar>
              <w:left w:w="0" w:type="dxa"/>
              <w:right w:w="0" w:type="dxa"/>
            </w:tcMar>
            <w:vAlign w:val="center"/>
          </w:tcPr>
          <w:p w14:paraId="6A44631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4.97</w:t>
            </w:r>
          </w:p>
        </w:tc>
        <w:tc>
          <w:tcPr>
            <w:tcW w:w="276" w:type="pct"/>
            <w:tcBorders>
              <w:left w:val="single" w:sz="4" w:space="0" w:color="auto"/>
              <w:right w:val="single" w:sz="4" w:space="0" w:color="auto"/>
            </w:tcBorders>
            <w:tcMar>
              <w:left w:w="0" w:type="dxa"/>
              <w:right w:w="0" w:type="dxa"/>
            </w:tcMar>
            <w:vAlign w:val="center"/>
          </w:tcPr>
          <w:p w14:paraId="5C996DC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8.33</w:t>
            </w:r>
          </w:p>
        </w:tc>
        <w:tc>
          <w:tcPr>
            <w:tcW w:w="276" w:type="pct"/>
            <w:tcBorders>
              <w:left w:val="single" w:sz="4" w:space="0" w:color="auto"/>
              <w:right w:val="single" w:sz="4" w:space="0" w:color="auto"/>
            </w:tcBorders>
            <w:tcMar>
              <w:left w:w="0" w:type="dxa"/>
              <w:right w:w="0" w:type="dxa"/>
            </w:tcMar>
            <w:vAlign w:val="center"/>
          </w:tcPr>
          <w:p w14:paraId="0516172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6.72</w:t>
            </w:r>
          </w:p>
        </w:tc>
        <w:tc>
          <w:tcPr>
            <w:tcW w:w="276" w:type="pct"/>
            <w:tcBorders>
              <w:left w:val="single" w:sz="4" w:space="0" w:color="auto"/>
              <w:right w:val="single" w:sz="4" w:space="0" w:color="auto"/>
            </w:tcBorders>
            <w:tcMar>
              <w:left w:w="0" w:type="dxa"/>
              <w:right w:w="0" w:type="dxa"/>
            </w:tcMar>
            <w:vAlign w:val="center"/>
          </w:tcPr>
          <w:p w14:paraId="3B83308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8.47</w:t>
            </w:r>
          </w:p>
        </w:tc>
        <w:tc>
          <w:tcPr>
            <w:tcW w:w="276" w:type="pct"/>
            <w:tcBorders>
              <w:left w:val="single" w:sz="4" w:space="0" w:color="auto"/>
              <w:right w:val="single" w:sz="4" w:space="0" w:color="auto"/>
            </w:tcBorders>
            <w:tcMar>
              <w:left w:w="0" w:type="dxa"/>
              <w:right w:w="0" w:type="dxa"/>
            </w:tcMar>
            <w:vAlign w:val="center"/>
          </w:tcPr>
          <w:p w14:paraId="32E95A1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8.87</w:t>
            </w:r>
          </w:p>
        </w:tc>
        <w:tc>
          <w:tcPr>
            <w:tcW w:w="274" w:type="pct"/>
            <w:tcBorders>
              <w:left w:val="single" w:sz="4" w:space="0" w:color="auto"/>
            </w:tcBorders>
            <w:tcMar>
              <w:left w:w="0" w:type="dxa"/>
              <w:right w:w="0" w:type="dxa"/>
            </w:tcMar>
            <w:vAlign w:val="center"/>
          </w:tcPr>
          <w:p w14:paraId="3D324D9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16.53</w:t>
            </w:r>
          </w:p>
        </w:tc>
      </w:tr>
      <w:tr w:rsidR="00E16351" w:rsidRPr="00A964FF" w14:paraId="4DF737EF" w14:textId="77777777" w:rsidTr="00E16351">
        <w:trPr>
          <w:trHeight w:val="369"/>
          <w:jc w:val="center"/>
        </w:trPr>
        <w:tc>
          <w:tcPr>
            <w:tcW w:w="310" w:type="pct"/>
            <w:tcBorders>
              <w:right w:val="single" w:sz="4" w:space="0" w:color="auto"/>
            </w:tcBorders>
            <w:tcMar>
              <w:left w:w="0" w:type="dxa"/>
              <w:right w:w="0" w:type="dxa"/>
            </w:tcMar>
            <w:vAlign w:val="center"/>
          </w:tcPr>
          <w:p w14:paraId="079C803D"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11</w:t>
            </w:r>
            <w:r w:rsidRPr="00A964FF">
              <w:rPr>
                <w:rFonts w:ascii="Calibri" w:hAnsi="Calibri" w:hint="eastAsia"/>
                <w:color w:val="auto"/>
                <w:szCs w:val="21"/>
              </w:rPr>
              <w:t>月</w:t>
            </w:r>
          </w:p>
        </w:tc>
        <w:tc>
          <w:tcPr>
            <w:tcW w:w="276" w:type="pct"/>
            <w:tcBorders>
              <w:left w:val="single" w:sz="4" w:space="0" w:color="auto"/>
              <w:right w:val="single" w:sz="4" w:space="0" w:color="auto"/>
            </w:tcBorders>
            <w:tcMar>
              <w:left w:w="0" w:type="dxa"/>
              <w:right w:w="0" w:type="dxa"/>
            </w:tcMar>
            <w:vAlign w:val="center"/>
          </w:tcPr>
          <w:p w14:paraId="19F0598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9.17</w:t>
            </w:r>
          </w:p>
        </w:tc>
        <w:tc>
          <w:tcPr>
            <w:tcW w:w="276" w:type="pct"/>
            <w:tcBorders>
              <w:left w:val="single" w:sz="4" w:space="0" w:color="auto"/>
              <w:right w:val="single" w:sz="4" w:space="0" w:color="auto"/>
            </w:tcBorders>
            <w:tcMar>
              <w:left w:w="0" w:type="dxa"/>
              <w:right w:w="0" w:type="dxa"/>
            </w:tcMar>
            <w:vAlign w:val="center"/>
          </w:tcPr>
          <w:p w14:paraId="34A6B6A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6.25</w:t>
            </w:r>
          </w:p>
        </w:tc>
        <w:tc>
          <w:tcPr>
            <w:tcW w:w="276" w:type="pct"/>
            <w:tcBorders>
              <w:left w:val="single" w:sz="4" w:space="0" w:color="auto"/>
              <w:right w:val="single" w:sz="4" w:space="0" w:color="auto"/>
            </w:tcBorders>
            <w:tcMar>
              <w:left w:w="0" w:type="dxa"/>
              <w:right w:w="0" w:type="dxa"/>
            </w:tcMar>
            <w:vAlign w:val="center"/>
          </w:tcPr>
          <w:p w14:paraId="7ABA0A1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9.31</w:t>
            </w:r>
          </w:p>
        </w:tc>
        <w:tc>
          <w:tcPr>
            <w:tcW w:w="276" w:type="pct"/>
            <w:tcBorders>
              <w:left w:val="single" w:sz="4" w:space="0" w:color="auto"/>
              <w:right w:val="single" w:sz="4" w:space="0" w:color="auto"/>
            </w:tcBorders>
            <w:tcMar>
              <w:left w:w="0" w:type="dxa"/>
              <w:right w:w="0" w:type="dxa"/>
            </w:tcMar>
            <w:vAlign w:val="center"/>
          </w:tcPr>
          <w:p w14:paraId="4E231ED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9.72</w:t>
            </w:r>
          </w:p>
        </w:tc>
        <w:tc>
          <w:tcPr>
            <w:tcW w:w="276" w:type="pct"/>
            <w:tcBorders>
              <w:left w:val="single" w:sz="4" w:space="0" w:color="auto"/>
              <w:right w:val="single" w:sz="4" w:space="0" w:color="auto"/>
            </w:tcBorders>
            <w:tcMar>
              <w:left w:w="0" w:type="dxa"/>
              <w:right w:w="0" w:type="dxa"/>
            </w:tcMar>
            <w:vAlign w:val="center"/>
          </w:tcPr>
          <w:p w14:paraId="3463781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7.92</w:t>
            </w:r>
          </w:p>
        </w:tc>
        <w:tc>
          <w:tcPr>
            <w:tcW w:w="276" w:type="pct"/>
            <w:tcBorders>
              <w:left w:val="single" w:sz="4" w:space="0" w:color="auto"/>
              <w:right w:val="single" w:sz="4" w:space="0" w:color="auto"/>
            </w:tcBorders>
            <w:tcMar>
              <w:left w:w="0" w:type="dxa"/>
              <w:right w:w="0" w:type="dxa"/>
            </w:tcMar>
            <w:vAlign w:val="center"/>
          </w:tcPr>
          <w:p w14:paraId="6702337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4.86</w:t>
            </w:r>
          </w:p>
        </w:tc>
        <w:tc>
          <w:tcPr>
            <w:tcW w:w="276" w:type="pct"/>
            <w:tcBorders>
              <w:left w:val="single" w:sz="4" w:space="0" w:color="auto"/>
              <w:right w:val="single" w:sz="4" w:space="0" w:color="auto"/>
            </w:tcBorders>
            <w:tcMar>
              <w:left w:w="0" w:type="dxa"/>
              <w:right w:w="0" w:type="dxa"/>
            </w:tcMar>
            <w:vAlign w:val="center"/>
          </w:tcPr>
          <w:p w14:paraId="5A7C34E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5.56</w:t>
            </w:r>
          </w:p>
        </w:tc>
        <w:tc>
          <w:tcPr>
            <w:tcW w:w="276" w:type="pct"/>
            <w:tcBorders>
              <w:left w:val="single" w:sz="4" w:space="0" w:color="auto"/>
              <w:right w:val="single" w:sz="4" w:space="0" w:color="auto"/>
            </w:tcBorders>
            <w:tcMar>
              <w:left w:w="0" w:type="dxa"/>
              <w:right w:w="0" w:type="dxa"/>
            </w:tcMar>
            <w:vAlign w:val="center"/>
          </w:tcPr>
          <w:p w14:paraId="6A06DE0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3.33</w:t>
            </w:r>
          </w:p>
        </w:tc>
        <w:tc>
          <w:tcPr>
            <w:tcW w:w="276" w:type="pct"/>
            <w:tcBorders>
              <w:left w:val="single" w:sz="4" w:space="0" w:color="auto"/>
            </w:tcBorders>
            <w:tcMar>
              <w:left w:w="0" w:type="dxa"/>
              <w:right w:w="0" w:type="dxa"/>
            </w:tcMar>
            <w:vAlign w:val="center"/>
          </w:tcPr>
          <w:p w14:paraId="2481B24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1.94</w:t>
            </w:r>
          </w:p>
        </w:tc>
        <w:tc>
          <w:tcPr>
            <w:tcW w:w="276" w:type="pct"/>
            <w:tcBorders>
              <w:right w:val="single" w:sz="4" w:space="0" w:color="auto"/>
            </w:tcBorders>
            <w:tcMar>
              <w:left w:w="0" w:type="dxa"/>
              <w:right w:w="0" w:type="dxa"/>
            </w:tcMar>
            <w:vAlign w:val="center"/>
          </w:tcPr>
          <w:p w14:paraId="1EA0220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1.25</w:t>
            </w:r>
          </w:p>
        </w:tc>
        <w:tc>
          <w:tcPr>
            <w:tcW w:w="276" w:type="pct"/>
            <w:tcBorders>
              <w:left w:val="single" w:sz="4" w:space="0" w:color="auto"/>
              <w:right w:val="single" w:sz="4" w:space="0" w:color="auto"/>
            </w:tcBorders>
            <w:tcMar>
              <w:left w:w="0" w:type="dxa"/>
              <w:right w:w="0" w:type="dxa"/>
            </w:tcMar>
            <w:vAlign w:val="center"/>
          </w:tcPr>
          <w:p w14:paraId="0047670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1.39</w:t>
            </w:r>
          </w:p>
        </w:tc>
        <w:tc>
          <w:tcPr>
            <w:tcW w:w="276" w:type="pct"/>
            <w:tcBorders>
              <w:left w:val="single" w:sz="4" w:space="0" w:color="auto"/>
              <w:right w:val="single" w:sz="4" w:space="0" w:color="auto"/>
            </w:tcBorders>
            <w:tcMar>
              <w:left w:w="0" w:type="dxa"/>
              <w:right w:w="0" w:type="dxa"/>
            </w:tcMar>
            <w:vAlign w:val="center"/>
          </w:tcPr>
          <w:p w14:paraId="4E4744C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3.19</w:t>
            </w:r>
          </w:p>
        </w:tc>
        <w:tc>
          <w:tcPr>
            <w:tcW w:w="276" w:type="pct"/>
            <w:tcBorders>
              <w:left w:val="single" w:sz="4" w:space="0" w:color="auto"/>
              <w:right w:val="single" w:sz="4" w:space="0" w:color="auto"/>
            </w:tcBorders>
            <w:tcMar>
              <w:left w:w="0" w:type="dxa"/>
              <w:right w:w="0" w:type="dxa"/>
            </w:tcMar>
            <w:vAlign w:val="center"/>
          </w:tcPr>
          <w:p w14:paraId="1F25DDE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5.83</w:t>
            </w:r>
          </w:p>
        </w:tc>
        <w:tc>
          <w:tcPr>
            <w:tcW w:w="276" w:type="pct"/>
            <w:tcBorders>
              <w:left w:val="single" w:sz="4" w:space="0" w:color="auto"/>
              <w:right w:val="single" w:sz="4" w:space="0" w:color="auto"/>
            </w:tcBorders>
            <w:tcMar>
              <w:left w:w="0" w:type="dxa"/>
              <w:right w:w="0" w:type="dxa"/>
            </w:tcMar>
            <w:vAlign w:val="center"/>
          </w:tcPr>
          <w:p w14:paraId="0ABEF92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4.58</w:t>
            </w:r>
          </w:p>
        </w:tc>
        <w:tc>
          <w:tcPr>
            <w:tcW w:w="276" w:type="pct"/>
            <w:tcBorders>
              <w:left w:val="single" w:sz="4" w:space="0" w:color="auto"/>
              <w:right w:val="single" w:sz="4" w:space="0" w:color="auto"/>
            </w:tcBorders>
            <w:tcMar>
              <w:left w:w="0" w:type="dxa"/>
              <w:right w:w="0" w:type="dxa"/>
            </w:tcMar>
            <w:vAlign w:val="center"/>
          </w:tcPr>
          <w:p w14:paraId="5B6A22C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8.19</w:t>
            </w:r>
          </w:p>
        </w:tc>
        <w:tc>
          <w:tcPr>
            <w:tcW w:w="276" w:type="pct"/>
            <w:tcBorders>
              <w:left w:val="single" w:sz="4" w:space="0" w:color="auto"/>
              <w:right w:val="single" w:sz="4" w:space="0" w:color="auto"/>
            </w:tcBorders>
            <w:tcMar>
              <w:left w:w="0" w:type="dxa"/>
              <w:right w:w="0" w:type="dxa"/>
            </w:tcMar>
            <w:vAlign w:val="center"/>
          </w:tcPr>
          <w:p w14:paraId="11C496D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5.14</w:t>
            </w:r>
          </w:p>
        </w:tc>
        <w:tc>
          <w:tcPr>
            <w:tcW w:w="274" w:type="pct"/>
            <w:tcBorders>
              <w:left w:val="single" w:sz="4" w:space="0" w:color="auto"/>
            </w:tcBorders>
            <w:tcMar>
              <w:left w:w="0" w:type="dxa"/>
              <w:right w:w="0" w:type="dxa"/>
            </w:tcMar>
            <w:vAlign w:val="center"/>
          </w:tcPr>
          <w:p w14:paraId="3DDC781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12.36</w:t>
            </w:r>
          </w:p>
        </w:tc>
      </w:tr>
      <w:tr w:rsidR="00E16351" w:rsidRPr="00A964FF" w14:paraId="4F91D88B" w14:textId="77777777" w:rsidTr="00E16351">
        <w:trPr>
          <w:trHeight w:val="369"/>
          <w:jc w:val="center"/>
        </w:trPr>
        <w:tc>
          <w:tcPr>
            <w:tcW w:w="310" w:type="pct"/>
            <w:tcBorders>
              <w:right w:val="single" w:sz="4" w:space="0" w:color="auto"/>
            </w:tcBorders>
            <w:tcMar>
              <w:left w:w="0" w:type="dxa"/>
              <w:right w:w="0" w:type="dxa"/>
            </w:tcMar>
            <w:vAlign w:val="center"/>
          </w:tcPr>
          <w:p w14:paraId="2029AD29"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12</w:t>
            </w:r>
            <w:r w:rsidRPr="00A964FF">
              <w:rPr>
                <w:rFonts w:ascii="Calibri" w:hAnsi="Calibri" w:hint="eastAsia"/>
                <w:color w:val="auto"/>
                <w:szCs w:val="21"/>
              </w:rPr>
              <w:t>月</w:t>
            </w:r>
          </w:p>
        </w:tc>
        <w:tc>
          <w:tcPr>
            <w:tcW w:w="276" w:type="pct"/>
            <w:tcBorders>
              <w:left w:val="single" w:sz="4" w:space="0" w:color="auto"/>
              <w:right w:val="single" w:sz="4" w:space="0" w:color="auto"/>
            </w:tcBorders>
            <w:tcMar>
              <w:left w:w="0" w:type="dxa"/>
              <w:right w:w="0" w:type="dxa"/>
            </w:tcMar>
            <w:vAlign w:val="center"/>
          </w:tcPr>
          <w:p w14:paraId="79E4AF7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3.23</w:t>
            </w:r>
          </w:p>
        </w:tc>
        <w:tc>
          <w:tcPr>
            <w:tcW w:w="276" w:type="pct"/>
            <w:tcBorders>
              <w:left w:val="single" w:sz="4" w:space="0" w:color="auto"/>
              <w:right w:val="single" w:sz="4" w:space="0" w:color="auto"/>
            </w:tcBorders>
            <w:tcMar>
              <w:left w:w="0" w:type="dxa"/>
              <w:right w:w="0" w:type="dxa"/>
            </w:tcMar>
            <w:vAlign w:val="center"/>
          </w:tcPr>
          <w:p w14:paraId="552D7E6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6.32</w:t>
            </w:r>
          </w:p>
        </w:tc>
        <w:tc>
          <w:tcPr>
            <w:tcW w:w="276" w:type="pct"/>
            <w:tcBorders>
              <w:left w:val="single" w:sz="4" w:space="0" w:color="auto"/>
              <w:right w:val="single" w:sz="4" w:space="0" w:color="auto"/>
            </w:tcBorders>
            <w:tcMar>
              <w:left w:w="0" w:type="dxa"/>
              <w:right w:w="0" w:type="dxa"/>
            </w:tcMar>
            <w:vAlign w:val="center"/>
          </w:tcPr>
          <w:p w14:paraId="4D579C4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7.12</w:t>
            </w:r>
          </w:p>
        </w:tc>
        <w:tc>
          <w:tcPr>
            <w:tcW w:w="276" w:type="pct"/>
            <w:tcBorders>
              <w:left w:val="single" w:sz="4" w:space="0" w:color="auto"/>
              <w:right w:val="single" w:sz="4" w:space="0" w:color="auto"/>
            </w:tcBorders>
            <w:tcMar>
              <w:left w:w="0" w:type="dxa"/>
              <w:right w:w="0" w:type="dxa"/>
            </w:tcMar>
            <w:vAlign w:val="center"/>
          </w:tcPr>
          <w:p w14:paraId="3512F54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7.39</w:t>
            </w:r>
          </w:p>
        </w:tc>
        <w:tc>
          <w:tcPr>
            <w:tcW w:w="276" w:type="pct"/>
            <w:tcBorders>
              <w:left w:val="single" w:sz="4" w:space="0" w:color="auto"/>
              <w:right w:val="single" w:sz="4" w:space="0" w:color="auto"/>
            </w:tcBorders>
            <w:tcMar>
              <w:left w:w="0" w:type="dxa"/>
              <w:right w:w="0" w:type="dxa"/>
            </w:tcMar>
            <w:vAlign w:val="center"/>
          </w:tcPr>
          <w:p w14:paraId="3357B7E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4.7</w:t>
            </w:r>
          </w:p>
        </w:tc>
        <w:tc>
          <w:tcPr>
            <w:tcW w:w="276" w:type="pct"/>
            <w:tcBorders>
              <w:left w:val="single" w:sz="4" w:space="0" w:color="auto"/>
              <w:right w:val="single" w:sz="4" w:space="0" w:color="auto"/>
            </w:tcBorders>
            <w:tcMar>
              <w:left w:w="0" w:type="dxa"/>
              <w:right w:w="0" w:type="dxa"/>
            </w:tcMar>
            <w:vAlign w:val="center"/>
          </w:tcPr>
          <w:p w14:paraId="4737B57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c>
          <w:tcPr>
            <w:tcW w:w="276" w:type="pct"/>
            <w:tcBorders>
              <w:left w:val="single" w:sz="4" w:space="0" w:color="auto"/>
              <w:right w:val="single" w:sz="4" w:space="0" w:color="auto"/>
            </w:tcBorders>
            <w:tcMar>
              <w:left w:w="0" w:type="dxa"/>
              <w:right w:w="0" w:type="dxa"/>
            </w:tcMar>
            <w:vAlign w:val="center"/>
          </w:tcPr>
          <w:p w14:paraId="3F3A9E0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4.84</w:t>
            </w:r>
          </w:p>
        </w:tc>
        <w:tc>
          <w:tcPr>
            <w:tcW w:w="276" w:type="pct"/>
            <w:tcBorders>
              <w:left w:val="single" w:sz="4" w:space="0" w:color="auto"/>
              <w:right w:val="single" w:sz="4" w:space="0" w:color="auto"/>
            </w:tcBorders>
            <w:tcMar>
              <w:left w:w="0" w:type="dxa"/>
              <w:right w:w="0" w:type="dxa"/>
            </w:tcMar>
            <w:vAlign w:val="center"/>
          </w:tcPr>
          <w:p w14:paraId="46CD6B0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6.32</w:t>
            </w:r>
          </w:p>
        </w:tc>
        <w:tc>
          <w:tcPr>
            <w:tcW w:w="276" w:type="pct"/>
            <w:tcBorders>
              <w:left w:val="single" w:sz="4" w:space="0" w:color="auto"/>
            </w:tcBorders>
            <w:tcMar>
              <w:left w:w="0" w:type="dxa"/>
              <w:right w:w="0" w:type="dxa"/>
            </w:tcMar>
            <w:vAlign w:val="center"/>
          </w:tcPr>
          <w:p w14:paraId="518FC86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7.39</w:t>
            </w:r>
          </w:p>
        </w:tc>
        <w:tc>
          <w:tcPr>
            <w:tcW w:w="276" w:type="pct"/>
            <w:tcBorders>
              <w:right w:val="single" w:sz="4" w:space="0" w:color="auto"/>
            </w:tcBorders>
            <w:tcMar>
              <w:left w:w="0" w:type="dxa"/>
              <w:right w:w="0" w:type="dxa"/>
            </w:tcMar>
            <w:vAlign w:val="center"/>
          </w:tcPr>
          <w:p w14:paraId="14070D1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2.82</w:t>
            </w:r>
          </w:p>
        </w:tc>
        <w:tc>
          <w:tcPr>
            <w:tcW w:w="276" w:type="pct"/>
            <w:tcBorders>
              <w:left w:val="single" w:sz="4" w:space="0" w:color="auto"/>
              <w:right w:val="single" w:sz="4" w:space="0" w:color="auto"/>
            </w:tcBorders>
            <w:tcMar>
              <w:left w:w="0" w:type="dxa"/>
              <w:right w:w="0" w:type="dxa"/>
            </w:tcMar>
            <w:vAlign w:val="center"/>
          </w:tcPr>
          <w:p w14:paraId="6D8E6C7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4.97</w:t>
            </w:r>
          </w:p>
        </w:tc>
        <w:tc>
          <w:tcPr>
            <w:tcW w:w="276" w:type="pct"/>
            <w:tcBorders>
              <w:left w:val="single" w:sz="4" w:space="0" w:color="auto"/>
              <w:right w:val="single" w:sz="4" w:space="0" w:color="auto"/>
            </w:tcBorders>
            <w:tcMar>
              <w:left w:w="0" w:type="dxa"/>
              <w:right w:w="0" w:type="dxa"/>
            </w:tcMar>
            <w:vAlign w:val="center"/>
          </w:tcPr>
          <w:p w14:paraId="0BE32EA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6.05</w:t>
            </w:r>
          </w:p>
        </w:tc>
        <w:tc>
          <w:tcPr>
            <w:tcW w:w="276" w:type="pct"/>
            <w:tcBorders>
              <w:left w:val="single" w:sz="4" w:space="0" w:color="auto"/>
              <w:right w:val="single" w:sz="4" w:space="0" w:color="auto"/>
            </w:tcBorders>
            <w:tcMar>
              <w:left w:w="0" w:type="dxa"/>
              <w:right w:w="0" w:type="dxa"/>
            </w:tcMar>
            <w:vAlign w:val="center"/>
          </w:tcPr>
          <w:p w14:paraId="2580887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8.74</w:t>
            </w:r>
          </w:p>
        </w:tc>
        <w:tc>
          <w:tcPr>
            <w:tcW w:w="276" w:type="pct"/>
            <w:tcBorders>
              <w:left w:val="single" w:sz="4" w:space="0" w:color="auto"/>
              <w:right w:val="single" w:sz="4" w:space="0" w:color="auto"/>
            </w:tcBorders>
            <w:tcMar>
              <w:left w:w="0" w:type="dxa"/>
              <w:right w:w="0" w:type="dxa"/>
            </w:tcMar>
            <w:vAlign w:val="center"/>
          </w:tcPr>
          <w:p w14:paraId="4F001CF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3.63</w:t>
            </w:r>
          </w:p>
        </w:tc>
        <w:tc>
          <w:tcPr>
            <w:tcW w:w="276" w:type="pct"/>
            <w:tcBorders>
              <w:left w:val="single" w:sz="4" w:space="0" w:color="auto"/>
              <w:right w:val="single" w:sz="4" w:space="0" w:color="auto"/>
            </w:tcBorders>
            <w:tcMar>
              <w:left w:w="0" w:type="dxa"/>
              <w:right w:w="0" w:type="dxa"/>
            </w:tcMar>
            <w:vAlign w:val="center"/>
          </w:tcPr>
          <w:p w14:paraId="5264F4F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8.47</w:t>
            </w:r>
          </w:p>
        </w:tc>
        <w:tc>
          <w:tcPr>
            <w:tcW w:w="276" w:type="pct"/>
            <w:tcBorders>
              <w:left w:val="single" w:sz="4" w:space="0" w:color="auto"/>
              <w:right w:val="single" w:sz="4" w:space="0" w:color="auto"/>
            </w:tcBorders>
            <w:tcMar>
              <w:left w:w="0" w:type="dxa"/>
              <w:right w:w="0" w:type="dxa"/>
            </w:tcMar>
            <w:vAlign w:val="center"/>
          </w:tcPr>
          <w:p w14:paraId="0617A15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6.45</w:t>
            </w:r>
          </w:p>
        </w:tc>
        <w:tc>
          <w:tcPr>
            <w:tcW w:w="274" w:type="pct"/>
            <w:tcBorders>
              <w:left w:val="single" w:sz="4" w:space="0" w:color="auto"/>
            </w:tcBorders>
            <w:tcMar>
              <w:left w:w="0" w:type="dxa"/>
              <w:right w:w="0" w:type="dxa"/>
            </w:tcMar>
            <w:vAlign w:val="center"/>
          </w:tcPr>
          <w:p w14:paraId="53967EF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7.93</w:t>
            </w:r>
          </w:p>
        </w:tc>
      </w:tr>
    </w:tbl>
    <w:p w14:paraId="292D2E47" w14:textId="77777777" w:rsidR="0096136C" w:rsidRPr="00A964FF" w:rsidRDefault="0096136C" w:rsidP="0096136C">
      <w:pPr>
        <w:spacing w:line="520" w:lineRule="exact"/>
        <w:ind w:firstLineChars="200" w:firstLine="480"/>
        <w:rPr>
          <w:rFonts w:ascii="Calibri" w:eastAsia="黑体" w:hAnsi="Calibri"/>
          <w:color w:val="auto"/>
          <w:sz w:val="24"/>
        </w:rPr>
      </w:pPr>
      <w:r w:rsidRPr="00A964FF">
        <w:rPr>
          <w:rFonts w:ascii="Calibri" w:eastAsia="黑体" w:hAnsi="Calibri"/>
          <w:color w:val="auto"/>
          <w:sz w:val="24"/>
        </w:rPr>
        <w:t>表</w:t>
      </w:r>
      <w:r w:rsidRPr="00A964FF">
        <w:rPr>
          <w:rFonts w:ascii="Calibri" w:eastAsia="黑体" w:hAnsi="Calibri" w:hint="eastAsia"/>
          <w:color w:val="auto"/>
          <w:sz w:val="24"/>
        </w:rPr>
        <w:t>4.2-6</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hint="eastAsia"/>
          <w:color w:val="auto"/>
          <w:sz w:val="24"/>
        </w:rPr>
        <w:t>全年及各季风向频率（</w:t>
      </w:r>
      <w:r w:rsidRPr="00A964FF">
        <w:rPr>
          <w:rFonts w:ascii="Calibri" w:eastAsia="黑体" w:hAnsi="Calibri" w:hint="eastAsia"/>
          <w:color w:val="auto"/>
          <w:sz w:val="24"/>
        </w:rPr>
        <w:t>%</w:t>
      </w:r>
      <w:r w:rsidRPr="00A964FF">
        <w:rPr>
          <w:rFonts w:ascii="Calibri" w:eastAsia="黑体" w:hAnsi="Calibri" w:hint="eastAsia"/>
          <w:color w:val="auto"/>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63"/>
        <w:gridCol w:w="768"/>
        <w:gridCol w:w="768"/>
        <w:gridCol w:w="769"/>
        <w:gridCol w:w="769"/>
        <w:gridCol w:w="769"/>
        <w:gridCol w:w="769"/>
        <w:gridCol w:w="769"/>
        <w:gridCol w:w="769"/>
        <w:gridCol w:w="769"/>
        <w:gridCol w:w="769"/>
        <w:gridCol w:w="769"/>
        <w:gridCol w:w="769"/>
        <w:gridCol w:w="769"/>
        <w:gridCol w:w="769"/>
        <w:gridCol w:w="769"/>
        <w:gridCol w:w="769"/>
        <w:gridCol w:w="763"/>
      </w:tblGrid>
      <w:tr w:rsidR="0096136C" w:rsidRPr="00A964FF" w14:paraId="313D47F3" w14:textId="77777777" w:rsidTr="00E16351">
        <w:trPr>
          <w:trHeight w:val="369"/>
          <w:jc w:val="center"/>
        </w:trPr>
        <w:tc>
          <w:tcPr>
            <w:tcW w:w="310" w:type="pct"/>
            <w:tcBorders>
              <w:right w:val="single" w:sz="4" w:space="0" w:color="auto"/>
            </w:tcBorders>
            <w:tcMar>
              <w:left w:w="0" w:type="dxa"/>
              <w:right w:w="0" w:type="dxa"/>
            </w:tcMar>
            <w:vAlign w:val="center"/>
          </w:tcPr>
          <w:p w14:paraId="45553535" w14:textId="77777777" w:rsidR="0096136C" w:rsidRPr="00A964FF" w:rsidRDefault="0096136C" w:rsidP="00904978">
            <w:pPr>
              <w:jc w:val="center"/>
              <w:textAlignment w:val="baseline"/>
              <w:rPr>
                <w:rFonts w:ascii="Calibri" w:hAnsi="Calibri"/>
                <w:color w:val="auto"/>
              </w:rPr>
            </w:pPr>
            <w:r w:rsidRPr="00A964FF">
              <w:rPr>
                <w:rFonts w:ascii="Calibri" w:hAnsi="Calibri" w:hint="eastAsia"/>
                <w:color w:val="auto"/>
              </w:rPr>
              <w:t>风向时间</w:t>
            </w:r>
          </w:p>
        </w:tc>
        <w:tc>
          <w:tcPr>
            <w:tcW w:w="276" w:type="pct"/>
            <w:tcBorders>
              <w:left w:val="single" w:sz="4" w:space="0" w:color="auto"/>
              <w:right w:val="single" w:sz="4" w:space="0" w:color="auto"/>
            </w:tcBorders>
            <w:tcMar>
              <w:left w:w="0" w:type="dxa"/>
              <w:right w:w="0" w:type="dxa"/>
            </w:tcMar>
            <w:vAlign w:val="center"/>
          </w:tcPr>
          <w:p w14:paraId="70E6FCCE"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w:t>
            </w:r>
          </w:p>
        </w:tc>
        <w:tc>
          <w:tcPr>
            <w:tcW w:w="276" w:type="pct"/>
            <w:tcBorders>
              <w:left w:val="single" w:sz="4" w:space="0" w:color="auto"/>
              <w:right w:val="single" w:sz="4" w:space="0" w:color="auto"/>
            </w:tcBorders>
            <w:tcMar>
              <w:left w:w="0" w:type="dxa"/>
              <w:right w:w="0" w:type="dxa"/>
            </w:tcMar>
            <w:vAlign w:val="center"/>
          </w:tcPr>
          <w:p w14:paraId="687D60C5"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NNE</w:t>
            </w:r>
          </w:p>
        </w:tc>
        <w:tc>
          <w:tcPr>
            <w:tcW w:w="276" w:type="pct"/>
            <w:tcBorders>
              <w:left w:val="single" w:sz="4" w:space="0" w:color="auto"/>
              <w:right w:val="single" w:sz="4" w:space="0" w:color="auto"/>
            </w:tcBorders>
            <w:tcMar>
              <w:left w:w="0" w:type="dxa"/>
              <w:right w:w="0" w:type="dxa"/>
            </w:tcMar>
            <w:vAlign w:val="center"/>
          </w:tcPr>
          <w:p w14:paraId="2CF6622C"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NE</w:t>
            </w:r>
          </w:p>
        </w:tc>
        <w:tc>
          <w:tcPr>
            <w:tcW w:w="276" w:type="pct"/>
            <w:tcBorders>
              <w:left w:val="single" w:sz="4" w:space="0" w:color="auto"/>
              <w:right w:val="single" w:sz="4" w:space="0" w:color="auto"/>
            </w:tcBorders>
            <w:tcMar>
              <w:left w:w="0" w:type="dxa"/>
              <w:right w:w="0" w:type="dxa"/>
            </w:tcMar>
            <w:vAlign w:val="center"/>
          </w:tcPr>
          <w:p w14:paraId="03210E73"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ENE</w:t>
            </w:r>
          </w:p>
        </w:tc>
        <w:tc>
          <w:tcPr>
            <w:tcW w:w="276" w:type="pct"/>
            <w:tcBorders>
              <w:left w:val="single" w:sz="4" w:space="0" w:color="auto"/>
              <w:right w:val="single" w:sz="4" w:space="0" w:color="auto"/>
            </w:tcBorders>
            <w:tcMar>
              <w:left w:w="0" w:type="dxa"/>
              <w:right w:w="0" w:type="dxa"/>
            </w:tcMar>
            <w:vAlign w:val="center"/>
          </w:tcPr>
          <w:p w14:paraId="26340ACD"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E</w:t>
            </w:r>
          </w:p>
        </w:tc>
        <w:tc>
          <w:tcPr>
            <w:tcW w:w="276" w:type="pct"/>
            <w:tcBorders>
              <w:left w:val="single" w:sz="4" w:space="0" w:color="auto"/>
              <w:right w:val="single" w:sz="4" w:space="0" w:color="auto"/>
            </w:tcBorders>
            <w:tcMar>
              <w:left w:w="0" w:type="dxa"/>
              <w:right w:w="0" w:type="dxa"/>
            </w:tcMar>
            <w:vAlign w:val="center"/>
          </w:tcPr>
          <w:p w14:paraId="358F16B8"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ESE</w:t>
            </w:r>
          </w:p>
        </w:tc>
        <w:tc>
          <w:tcPr>
            <w:tcW w:w="276" w:type="pct"/>
            <w:tcBorders>
              <w:left w:val="single" w:sz="4" w:space="0" w:color="auto"/>
              <w:right w:val="single" w:sz="4" w:space="0" w:color="auto"/>
            </w:tcBorders>
            <w:tcMar>
              <w:left w:w="0" w:type="dxa"/>
              <w:right w:w="0" w:type="dxa"/>
            </w:tcMar>
            <w:vAlign w:val="center"/>
          </w:tcPr>
          <w:p w14:paraId="4D675CD2"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SE</w:t>
            </w:r>
          </w:p>
        </w:tc>
        <w:tc>
          <w:tcPr>
            <w:tcW w:w="276" w:type="pct"/>
            <w:tcBorders>
              <w:left w:val="single" w:sz="4" w:space="0" w:color="auto"/>
              <w:right w:val="single" w:sz="4" w:space="0" w:color="auto"/>
            </w:tcBorders>
            <w:tcMar>
              <w:left w:w="0" w:type="dxa"/>
              <w:right w:w="0" w:type="dxa"/>
            </w:tcMar>
            <w:vAlign w:val="center"/>
          </w:tcPr>
          <w:p w14:paraId="1160C52D"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SSE</w:t>
            </w:r>
          </w:p>
        </w:tc>
        <w:tc>
          <w:tcPr>
            <w:tcW w:w="276" w:type="pct"/>
            <w:tcBorders>
              <w:left w:val="single" w:sz="4" w:space="0" w:color="auto"/>
            </w:tcBorders>
            <w:tcMar>
              <w:left w:w="0" w:type="dxa"/>
              <w:right w:w="0" w:type="dxa"/>
            </w:tcMar>
            <w:vAlign w:val="center"/>
          </w:tcPr>
          <w:p w14:paraId="4878FD81"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w:t>
            </w:r>
          </w:p>
        </w:tc>
        <w:tc>
          <w:tcPr>
            <w:tcW w:w="276" w:type="pct"/>
            <w:tcBorders>
              <w:right w:val="single" w:sz="4" w:space="0" w:color="auto"/>
            </w:tcBorders>
            <w:tcMar>
              <w:left w:w="0" w:type="dxa"/>
              <w:right w:w="0" w:type="dxa"/>
            </w:tcMar>
            <w:vAlign w:val="center"/>
          </w:tcPr>
          <w:p w14:paraId="64A21381"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SSW</w:t>
            </w:r>
          </w:p>
        </w:tc>
        <w:tc>
          <w:tcPr>
            <w:tcW w:w="276" w:type="pct"/>
            <w:tcBorders>
              <w:left w:val="single" w:sz="4" w:space="0" w:color="auto"/>
              <w:right w:val="single" w:sz="4" w:space="0" w:color="auto"/>
            </w:tcBorders>
            <w:tcMar>
              <w:left w:w="0" w:type="dxa"/>
              <w:right w:w="0" w:type="dxa"/>
            </w:tcMar>
            <w:vAlign w:val="center"/>
          </w:tcPr>
          <w:p w14:paraId="38D32D4E"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SW</w:t>
            </w:r>
          </w:p>
        </w:tc>
        <w:tc>
          <w:tcPr>
            <w:tcW w:w="276" w:type="pct"/>
            <w:tcBorders>
              <w:left w:val="single" w:sz="4" w:space="0" w:color="auto"/>
              <w:right w:val="single" w:sz="4" w:space="0" w:color="auto"/>
            </w:tcBorders>
            <w:tcMar>
              <w:left w:w="0" w:type="dxa"/>
              <w:right w:w="0" w:type="dxa"/>
            </w:tcMar>
            <w:vAlign w:val="center"/>
          </w:tcPr>
          <w:p w14:paraId="187DE354"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WSW</w:t>
            </w:r>
          </w:p>
        </w:tc>
        <w:tc>
          <w:tcPr>
            <w:tcW w:w="276" w:type="pct"/>
            <w:tcBorders>
              <w:left w:val="single" w:sz="4" w:space="0" w:color="auto"/>
              <w:right w:val="single" w:sz="4" w:space="0" w:color="auto"/>
            </w:tcBorders>
            <w:tcMar>
              <w:left w:w="0" w:type="dxa"/>
              <w:right w:w="0" w:type="dxa"/>
            </w:tcMar>
            <w:vAlign w:val="center"/>
          </w:tcPr>
          <w:p w14:paraId="3086C6C3"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W</w:t>
            </w:r>
          </w:p>
        </w:tc>
        <w:tc>
          <w:tcPr>
            <w:tcW w:w="276" w:type="pct"/>
            <w:tcBorders>
              <w:left w:val="single" w:sz="4" w:space="0" w:color="auto"/>
              <w:right w:val="single" w:sz="4" w:space="0" w:color="auto"/>
            </w:tcBorders>
            <w:tcMar>
              <w:left w:w="0" w:type="dxa"/>
              <w:right w:w="0" w:type="dxa"/>
            </w:tcMar>
            <w:vAlign w:val="center"/>
          </w:tcPr>
          <w:p w14:paraId="3D83F7FD"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WNW</w:t>
            </w:r>
          </w:p>
        </w:tc>
        <w:tc>
          <w:tcPr>
            <w:tcW w:w="276" w:type="pct"/>
            <w:tcBorders>
              <w:left w:val="single" w:sz="4" w:space="0" w:color="auto"/>
              <w:right w:val="single" w:sz="4" w:space="0" w:color="auto"/>
            </w:tcBorders>
            <w:tcMar>
              <w:left w:w="0" w:type="dxa"/>
              <w:right w:w="0" w:type="dxa"/>
            </w:tcMar>
            <w:vAlign w:val="center"/>
          </w:tcPr>
          <w:p w14:paraId="0ACD73E3"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NW</w:t>
            </w:r>
          </w:p>
        </w:tc>
        <w:tc>
          <w:tcPr>
            <w:tcW w:w="276" w:type="pct"/>
            <w:tcBorders>
              <w:left w:val="single" w:sz="4" w:space="0" w:color="auto"/>
              <w:right w:val="single" w:sz="4" w:space="0" w:color="auto"/>
            </w:tcBorders>
            <w:tcMar>
              <w:left w:w="0" w:type="dxa"/>
              <w:right w:w="0" w:type="dxa"/>
            </w:tcMar>
            <w:vAlign w:val="center"/>
          </w:tcPr>
          <w:p w14:paraId="06E3902E"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NNW</w:t>
            </w:r>
          </w:p>
        </w:tc>
        <w:tc>
          <w:tcPr>
            <w:tcW w:w="274" w:type="pct"/>
            <w:tcBorders>
              <w:left w:val="single" w:sz="4" w:space="0" w:color="auto"/>
            </w:tcBorders>
            <w:tcMar>
              <w:left w:w="0" w:type="dxa"/>
              <w:right w:w="0" w:type="dxa"/>
            </w:tcMar>
            <w:vAlign w:val="center"/>
          </w:tcPr>
          <w:p w14:paraId="631ED77A" w14:textId="77777777" w:rsidR="0096136C" w:rsidRPr="00A964FF" w:rsidRDefault="0096136C" w:rsidP="00904978">
            <w:pPr>
              <w:jc w:val="center"/>
              <w:rPr>
                <w:rFonts w:ascii="Calibri" w:hAnsi="Calibri" w:cs="宋体"/>
                <w:color w:val="auto"/>
                <w:szCs w:val="21"/>
              </w:rPr>
            </w:pPr>
            <w:r w:rsidRPr="00A964FF">
              <w:rPr>
                <w:rFonts w:ascii="Calibri" w:hAnsi="Calibri"/>
                <w:color w:val="auto"/>
                <w:szCs w:val="21"/>
              </w:rPr>
              <w:t>C</w:t>
            </w:r>
          </w:p>
        </w:tc>
      </w:tr>
      <w:tr w:rsidR="00E16351" w:rsidRPr="00A964FF" w14:paraId="510AE105" w14:textId="77777777" w:rsidTr="00E16351">
        <w:trPr>
          <w:trHeight w:val="369"/>
          <w:jc w:val="center"/>
        </w:trPr>
        <w:tc>
          <w:tcPr>
            <w:tcW w:w="310" w:type="pct"/>
            <w:tcBorders>
              <w:right w:val="single" w:sz="4" w:space="0" w:color="auto"/>
            </w:tcBorders>
            <w:tcMar>
              <w:left w:w="0" w:type="dxa"/>
              <w:right w:w="0" w:type="dxa"/>
            </w:tcMar>
            <w:vAlign w:val="center"/>
          </w:tcPr>
          <w:p w14:paraId="16FE0CF2"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春季</w:t>
            </w:r>
          </w:p>
        </w:tc>
        <w:tc>
          <w:tcPr>
            <w:tcW w:w="276" w:type="pct"/>
            <w:tcBorders>
              <w:left w:val="single" w:sz="4" w:space="0" w:color="auto"/>
              <w:right w:val="single" w:sz="4" w:space="0" w:color="auto"/>
            </w:tcBorders>
            <w:tcMar>
              <w:left w:w="0" w:type="dxa"/>
              <w:right w:w="0" w:type="dxa"/>
            </w:tcMar>
            <w:vAlign w:val="center"/>
          </w:tcPr>
          <w:p w14:paraId="2B43675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4.62</w:t>
            </w:r>
          </w:p>
        </w:tc>
        <w:tc>
          <w:tcPr>
            <w:tcW w:w="276" w:type="pct"/>
            <w:tcBorders>
              <w:left w:val="single" w:sz="4" w:space="0" w:color="auto"/>
              <w:right w:val="single" w:sz="4" w:space="0" w:color="auto"/>
            </w:tcBorders>
            <w:tcMar>
              <w:left w:w="0" w:type="dxa"/>
              <w:right w:w="0" w:type="dxa"/>
            </w:tcMar>
            <w:vAlign w:val="center"/>
          </w:tcPr>
          <w:p w14:paraId="53DF929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5.93</w:t>
            </w:r>
          </w:p>
        </w:tc>
        <w:tc>
          <w:tcPr>
            <w:tcW w:w="276" w:type="pct"/>
            <w:tcBorders>
              <w:left w:val="single" w:sz="4" w:space="0" w:color="auto"/>
              <w:right w:val="single" w:sz="4" w:space="0" w:color="auto"/>
            </w:tcBorders>
            <w:tcMar>
              <w:left w:w="0" w:type="dxa"/>
              <w:right w:w="0" w:type="dxa"/>
            </w:tcMar>
            <w:vAlign w:val="center"/>
          </w:tcPr>
          <w:p w14:paraId="4307E14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6.75</w:t>
            </w:r>
          </w:p>
        </w:tc>
        <w:tc>
          <w:tcPr>
            <w:tcW w:w="276" w:type="pct"/>
            <w:tcBorders>
              <w:left w:val="single" w:sz="4" w:space="0" w:color="auto"/>
              <w:right w:val="single" w:sz="4" w:space="0" w:color="auto"/>
            </w:tcBorders>
            <w:tcMar>
              <w:left w:w="0" w:type="dxa"/>
              <w:right w:w="0" w:type="dxa"/>
            </w:tcMar>
            <w:vAlign w:val="center"/>
          </w:tcPr>
          <w:p w14:paraId="205B527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7.34</w:t>
            </w:r>
          </w:p>
        </w:tc>
        <w:tc>
          <w:tcPr>
            <w:tcW w:w="276" w:type="pct"/>
            <w:tcBorders>
              <w:left w:val="single" w:sz="4" w:space="0" w:color="auto"/>
              <w:right w:val="single" w:sz="4" w:space="0" w:color="auto"/>
            </w:tcBorders>
            <w:tcMar>
              <w:left w:w="0" w:type="dxa"/>
              <w:right w:w="0" w:type="dxa"/>
            </w:tcMar>
            <w:vAlign w:val="center"/>
          </w:tcPr>
          <w:p w14:paraId="6A78677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6.84</w:t>
            </w:r>
          </w:p>
        </w:tc>
        <w:tc>
          <w:tcPr>
            <w:tcW w:w="276" w:type="pct"/>
            <w:tcBorders>
              <w:left w:val="single" w:sz="4" w:space="0" w:color="auto"/>
              <w:right w:val="single" w:sz="4" w:space="0" w:color="auto"/>
            </w:tcBorders>
            <w:tcMar>
              <w:left w:w="0" w:type="dxa"/>
              <w:right w:w="0" w:type="dxa"/>
            </w:tcMar>
            <w:vAlign w:val="center"/>
          </w:tcPr>
          <w:p w14:paraId="28271DB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4.62</w:t>
            </w:r>
          </w:p>
        </w:tc>
        <w:tc>
          <w:tcPr>
            <w:tcW w:w="276" w:type="pct"/>
            <w:tcBorders>
              <w:left w:val="single" w:sz="4" w:space="0" w:color="auto"/>
              <w:right w:val="single" w:sz="4" w:space="0" w:color="auto"/>
            </w:tcBorders>
            <w:tcMar>
              <w:left w:w="0" w:type="dxa"/>
              <w:right w:w="0" w:type="dxa"/>
            </w:tcMar>
            <w:vAlign w:val="center"/>
          </w:tcPr>
          <w:p w14:paraId="7FAB161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6.52</w:t>
            </w:r>
          </w:p>
        </w:tc>
        <w:tc>
          <w:tcPr>
            <w:tcW w:w="276" w:type="pct"/>
            <w:tcBorders>
              <w:left w:val="single" w:sz="4" w:space="0" w:color="auto"/>
              <w:right w:val="single" w:sz="4" w:space="0" w:color="auto"/>
            </w:tcBorders>
            <w:tcMar>
              <w:left w:w="0" w:type="dxa"/>
              <w:right w:w="0" w:type="dxa"/>
            </w:tcMar>
            <w:vAlign w:val="center"/>
          </w:tcPr>
          <w:p w14:paraId="617B8E2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5.62</w:t>
            </w:r>
          </w:p>
        </w:tc>
        <w:tc>
          <w:tcPr>
            <w:tcW w:w="276" w:type="pct"/>
            <w:tcBorders>
              <w:left w:val="single" w:sz="4" w:space="0" w:color="auto"/>
            </w:tcBorders>
            <w:tcMar>
              <w:left w:w="0" w:type="dxa"/>
              <w:right w:w="0" w:type="dxa"/>
            </w:tcMar>
            <w:vAlign w:val="center"/>
          </w:tcPr>
          <w:p w14:paraId="5C095CB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11.14</w:t>
            </w:r>
          </w:p>
        </w:tc>
        <w:tc>
          <w:tcPr>
            <w:tcW w:w="276" w:type="pct"/>
            <w:tcBorders>
              <w:right w:val="single" w:sz="4" w:space="0" w:color="auto"/>
            </w:tcBorders>
            <w:tcMar>
              <w:left w:w="0" w:type="dxa"/>
              <w:right w:w="0" w:type="dxa"/>
            </w:tcMar>
            <w:vAlign w:val="center"/>
          </w:tcPr>
          <w:p w14:paraId="6E35A2B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7.7</w:t>
            </w:r>
          </w:p>
        </w:tc>
        <w:tc>
          <w:tcPr>
            <w:tcW w:w="276" w:type="pct"/>
            <w:tcBorders>
              <w:left w:val="single" w:sz="4" w:space="0" w:color="auto"/>
              <w:right w:val="single" w:sz="4" w:space="0" w:color="auto"/>
            </w:tcBorders>
            <w:tcMar>
              <w:left w:w="0" w:type="dxa"/>
              <w:right w:w="0" w:type="dxa"/>
            </w:tcMar>
            <w:vAlign w:val="center"/>
          </w:tcPr>
          <w:p w14:paraId="1AAFBA4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5.57</w:t>
            </w:r>
          </w:p>
        </w:tc>
        <w:tc>
          <w:tcPr>
            <w:tcW w:w="276" w:type="pct"/>
            <w:tcBorders>
              <w:left w:val="single" w:sz="4" w:space="0" w:color="auto"/>
              <w:right w:val="single" w:sz="4" w:space="0" w:color="auto"/>
            </w:tcBorders>
            <w:tcMar>
              <w:left w:w="0" w:type="dxa"/>
              <w:right w:w="0" w:type="dxa"/>
            </w:tcMar>
            <w:vAlign w:val="center"/>
          </w:tcPr>
          <w:p w14:paraId="6289ABA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4.08</w:t>
            </w:r>
          </w:p>
        </w:tc>
        <w:tc>
          <w:tcPr>
            <w:tcW w:w="276" w:type="pct"/>
            <w:tcBorders>
              <w:left w:val="single" w:sz="4" w:space="0" w:color="auto"/>
              <w:right w:val="single" w:sz="4" w:space="0" w:color="auto"/>
            </w:tcBorders>
            <w:tcMar>
              <w:left w:w="0" w:type="dxa"/>
              <w:right w:w="0" w:type="dxa"/>
            </w:tcMar>
            <w:vAlign w:val="center"/>
          </w:tcPr>
          <w:p w14:paraId="568BF80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6.11</w:t>
            </w:r>
          </w:p>
        </w:tc>
        <w:tc>
          <w:tcPr>
            <w:tcW w:w="276" w:type="pct"/>
            <w:tcBorders>
              <w:left w:val="single" w:sz="4" w:space="0" w:color="auto"/>
              <w:right w:val="single" w:sz="4" w:space="0" w:color="auto"/>
            </w:tcBorders>
            <w:tcMar>
              <w:left w:w="0" w:type="dxa"/>
              <w:right w:w="0" w:type="dxa"/>
            </w:tcMar>
            <w:vAlign w:val="center"/>
          </w:tcPr>
          <w:p w14:paraId="52B7A2E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4.03</w:t>
            </w:r>
          </w:p>
        </w:tc>
        <w:tc>
          <w:tcPr>
            <w:tcW w:w="276" w:type="pct"/>
            <w:tcBorders>
              <w:left w:val="single" w:sz="4" w:space="0" w:color="auto"/>
              <w:right w:val="single" w:sz="4" w:space="0" w:color="auto"/>
            </w:tcBorders>
            <w:tcMar>
              <w:left w:w="0" w:type="dxa"/>
              <w:right w:w="0" w:type="dxa"/>
            </w:tcMar>
            <w:vAlign w:val="center"/>
          </w:tcPr>
          <w:p w14:paraId="69F22B4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4.62</w:t>
            </w:r>
          </w:p>
        </w:tc>
        <w:tc>
          <w:tcPr>
            <w:tcW w:w="276" w:type="pct"/>
            <w:tcBorders>
              <w:left w:val="single" w:sz="4" w:space="0" w:color="auto"/>
              <w:right w:val="single" w:sz="4" w:space="0" w:color="auto"/>
            </w:tcBorders>
            <w:tcMar>
              <w:left w:w="0" w:type="dxa"/>
              <w:right w:w="0" w:type="dxa"/>
            </w:tcMar>
            <w:vAlign w:val="center"/>
          </w:tcPr>
          <w:p w14:paraId="0A72F9B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5.93</w:t>
            </w:r>
          </w:p>
        </w:tc>
        <w:tc>
          <w:tcPr>
            <w:tcW w:w="274" w:type="pct"/>
            <w:tcBorders>
              <w:left w:val="single" w:sz="4" w:space="0" w:color="auto"/>
            </w:tcBorders>
            <w:tcMar>
              <w:left w:w="0" w:type="dxa"/>
              <w:right w:w="0" w:type="dxa"/>
            </w:tcMar>
            <w:vAlign w:val="center"/>
          </w:tcPr>
          <w:p w14:paraId="77E2C0C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6.75</w:t>
            </w:r>
          </w:p>
        </w:tc>
      </w:tr>
      <w:tr w:rsidR="00E16351" w:rsidRPr="00A964FF" w14:paraId="4651ECC0" w14:textId="77777777" w:rsidTr="00E16351">
        <w:trPr>
          <w:trHeight w:val="369"/>
          <w:jc w:val="center"/>
        </w:trPr>
        <w:tc>
          <w:tcPr>
            <w:tcW w:w="310" w:type="pct"/>
            <w:tcBorders>
              <w:right w:val="single" w:sz="4" w:space="0" w:color="auto"/>
            </w:tcBorders>
            <w:tcMar>
              <w:left w:w="0" w:type="dxa"/>
              <w:right w:w="0" w:type="dxa"/>
            </w:tcMar>
            <w:vAlign w:val="center"/>
          </w:tcPr>
          <w:p w14:paraId="29675C5A"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夏季</w:t>
            </w:r>
          </w:p>
        </w:tc>
        <w:tc>
          <w:tcPr>
            <w:tcW w:w="276" w:type="pct"/>
            <w:tcBorders>
              <w:left w:val="single" w:sz="4" w:space="0" w:color="auto"/>
              <w:right w:val="single" w:sz="4" w:space="0" w:color="auto"/>
            </w:tcBorders>
            <w:tcMar>
              <w:left w:w="0" w:type="dxa"/>
              <w:right w:w="0" w:type="dxa"/>
            </w:tcMar>
            <w:vAlign w:val="center"/>
          </w:tcPr>
          <w:p w14:paraId="7D4EB2D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5.66</w:t>
            </w:r>
          </w:p>
        </w:tc>
        <w:tc>
          <w:tcPr>
            <w:tcW w:w="276" w:type="pct"/>
            <w:tcBorders>
              <w:left w:val="single" w:sz="4" w:space="0" w:color="auto"/>
              <w:right w:val="single" w:sz="4" w:space="0" w:color="auto"/>
            </w:tcBorders>
            <w:tcMar>
              <w:left w:w="0" w:type="dxa"/>
              <w:right w:w="0" w:type="dxa"/>
            </w:tcMar>
            <w:vAlign w:val="center"/>
          </w:tcPr>
          <w:p w14:paraId="4F310E7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5.57</w:t>
            </w:r>
          </w:p>
        </w:tc>
        <w:tc>
          <w:tcPr>
            <w:tcW w:w="276" w:type="pct"/>
            <w:tcBorders>
              <w:left w:val="single" w:sz="4" w:space="0" w:color="auto"/>
              <w:right w:val="single" w:sz="4" w:space="0" w:color="auto"/>
            </w:tcBorders>
            <w:tcMar>
              <w:left w:w="0" w:type="dxa"/>
              <w:right w:w="0" w:type="dxa"/>
            </w:tcMar>
            <w:vAlign w:val="center"/>
          </w:tcPr>
          <w:p w14:paraId="2804FC5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6.52</w:t>
            </w:r>
          </w:p>
        </w:tc>
        <w:tc>
          <w:tcPr>
            <w:tcW w:w="276" w:type="pct"/>
            <w:tcBorders>
              <w:left w:val="single" w:sz="4" w:space="0" w:color="auto"/>
              <w:right w:val="single" w:sz="4" w:space="0" w:color="auto"/>
            </w:tcBorders>
            <w:tcMar>
              <w:left w:w="0" w:type="dxa"/>
              <w:right w:w="0" w:type="dxa"/>
            </w:tcMar>
            <w:vAlign w:val="center"/>
          </w:tcPr>
          <w:p w14:paraId="625275C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6.52</w:t>
            </w:r>
          </w:p>
        </w:tc>
        <w:tc>
          <w:tcPr>
            <w:tcW w:w="276" w:type="pct"/>
            <w:tcBorders>
              <w:left w:val="single" w:sz="4" w:space="0" w:color="auto"/>
              <w:right w:val="single" w:sz="4" w:space="0" w:color="auto"/>
            </w:tcBorders>
            <w:tcMar>
              <w:left w:w="0" w:type="dxa"/>
              <w:right w:w="0" w:type="dxa"/>
            </w:tcMar>
            <w:vAlign w:val="center"/>
          </w:tcPr>
          <w:p w14:paraId="107CD55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10.1</w:t>
            </w:r>
          </w:p>
        </w:tc>
        <w:tc>
          <w:tcPr>
            <w:tcW w:w="276" w:type="pct"/>
            <w:tcBorders>
              <w:left w:val="single" w:sz="4" w:space="0" w:color="auto"/>
              <w:right w:val="single" w:sz="4" w:space="0" w:color="auto"/>
            </w:tcBorders>
            <w:tcMar>
              <w:left w:w="0" w:type="dxa"/>
              <w:right w:w="0" w:type="dxa"/>
            </w:tcMar>
            <w:vAlign w:val="center"/>
          </w:tcPr>
          <w:p w14:paraId="20105A9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5.12</w:t>
            </w:r>
          </w:p>
        </w:tc>
        <w:tc>
          <w:tcPr>
            <w:tcW w:w="276" w:type="pct"/>
            <w:tcBorders>
              <w:left w:val="single" w:sz="4" w:space="0" w:color="auto"/>
              <w:right w:val="single" w:sz="4" w:space="0" w:color="auto"/>
            </w:tcBorders>
            <w:tcMar>
              <w:left w:w="0" w:type="dxa"/>
              <w:right w:w="0" w:type="dxa"/>
            </w:tcMar>
            <w:vAlign w:val="center"/>
          </w:tcPr>
          <w:p w14:paraId="2E704EB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6.79</w:t>
            </w:r>
          </w:p>
        </w:tc>
        <w:tc>
          <w:tcPr>
            <w:tcW w:w="276" w:type="pct"/>
            <w:tcBorders>
              <w:left w:val="single" w:sz="4" w:space="0" w:color="auto"/>
              <w:right w:val="single" w:sz="4" w:space="0" w:color="auto"/>
            </w:tcBorders>
            <w:tcMar>
              <w:left w:w="0" w:type="dxa"/>
              <w:right w:w="0" w:type="dxa"/>
            </w:tcMar>
            <w:vAlign w:val="center"/>
          </w:tcPr>
          <w:p w14:paraId="25887FA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6.16</w:t>
            </w:r>
          </w:p>
        </w:tc>
        <w:tc>
          <w:tcPr>
            <w:tcW w:w="276" w:type="pct"/>
            <w:tcBorders>
              <w:left w:val="single" w:sz="4" w:space="0" w:color="auto"/>
            </w:tcBorders>
            <w:tcMar>
              <w:left w:w="0" w:type="dxa"/>
              <w:right w:w="0" w:type="dxa"/>
            </w:tcMar>
            <w:vAlign w:val="center"/>
          </w:tcPr>
          <w:p w14:paraId="0094D8F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9.65</w:t>
            </w:r>
          </w:p>
        </w:tc>
        <w:tc>
          <w:tcPr>
            <w:tcW w:w="276" w:type="pct"/>
            <w:tcBorders>
              <w:right w:val="single" w:sz="4" w:space="0" w:color="auto"/>
            </w:tcBorders>
            <w:tcMar>
              <w:left w:w="0" w:type="dxa"/>
              <w:right w:w="0" w:type="dxa"/>
            </w:tcMar>
            <w:vAlign w:val="center"/>
          </w:tcPr>
          <w:p w14:paraId="6955672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4.76</w:t>
            </w:r>
          </w:p>
        </w:tc>
        <w:tc>
          <w:tcPr>
            <w:tcW w:w="276" w:type="pct"/>
            <w:tcBorders>
              <w:left w:val="single" w:sz="4" w:space="0" w:color="auto"/>
              <w:right w:val="single" w:sz="4" w:space="0" w:color="auto"/>
            </w:tcBorders>
            <w:tcMar>
              <w:left w:w="0" w:type="dxa"/>
              <w:right w:w="0" w:type="dxa"/>
            </w:tcMar>
            <w:vAlign w:val="center"/>
          </w:tcPr>
          <w:p w14:paraId="0C625B8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2.94</w:t>
            </w:r>
          </w:p>
        </w:tc>
        <w:tc>
          <w:tcPr>
            <w:tcW w:w="276" w:type="pct"/>
            <w:tcBorders>
              <w:left w:val="single" w:sz="4" w:space="0" w:color="auto"/>
              <w:right w:val="single" w:sz="4" w:space="0" w:color="auto"/>
            </w:tcBorders>
            <w:tcMar>
              <w:left w:w="0" w:type="dxa"/>
              <w:right w:w="0" w:type="dxa"/>
            </w:tcMar>
            <w:vAlign w:val="center"/>
          </w:tcPr>
          <w:p w14:paraId="345EC0C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2.45</w:t>
            </w:r>
          </w:p>
        </w:tc>
        <w:tc>
          <w:tcPr>
            <w:tcW w:w="276" w:type="pct"/>
            <w:tcBorders>
              <w:left w:val="single" w:sz="4" w:space="0" w:color="auto"/>
              <w:right w:val="single" w:sz="4" w:space="0" w:color="auto"/>
            </w:tcBorders>
            <w:tcMar>
              <w:left w:w="0" w:type="dxa"/>
              <w:right w:w="0" w:type="dxa"/>
            </w:tcMar>
            <w:vAlign w:val="center"/>
          </w:tcPr>
          <w:p w14:paraId="321697F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3.99</w:t>
            </w:r>
          </w:p>
        </w:tc>
        <w:tc>
          <w:tcPr>
            <w:tcW w:w="276" w:type="pct"/>
            <w:tcBorders>
              <w:left w:val="single" w:sz="4" w:space="0" w:color="auto"/>
              <w:right w:val="single" w:sz="4" w:space="0" w:color="auto"/>
            </w:tcBorders>
            <w:tcMar>
              <w:left w:w="0" w:type="dxa"/>
              <w:right w:w="0" w:type="dxa"/>
            </w:tcMar>
            <w:vAlign w:val="center"/>
          </w:tcPr>
          <w:p w14:paraId="27D0BA5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4.08</w:t>
            </w:r>
          </w:p>
        </w:tc>
        <w:tc>
          <w:tcPr>
            <w:tcW w:w="276" w:type="pct"/>
            <w:tcBorders>
              <w:left w:val="single" w:sz="4" w:space="0" w:color="auto"/>
              <w:right w:val="single" w:sz="4" w:space="0" w:color="auto"/>
            </w:tcBorders>
            <w:tcMar>
              <w:left w:w="0" w:type="dxa"/>
              <w:right w:w="0" w:type="dxa"/>
            </w:tcMar>
            <w:vAlign w:val="center"/>
          </w:tcPr>
          <w:p w14:paraId="0D8A879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5.66</w:t>
            </w:r>
          </w:p>
        </w:tc>
        <w:tc>
          <w:tcPr>
            <w:tcW w:w="276" w:type="pct"/>
            <w:tcBorders>
              <w:left w:val="single" w:sz="4" w:space="0" w:color="auto"/>
              <w:right w:val="single" w:sz="4" w:space="0" w:color="auto"/>
            </w:tcBorders>
            <w:tcMar>
              <w:left w:w="0" w:type="dxa"/>
              <w:right w:w="0" w:type="dxa"/>
            </w:tcMar>
            <w:vAlign w:val="center"/>
          </w:tcPr>
          <w:p w14:paraId="16812EE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5.57</w:t>
            </w:r>
          </w:p>
        </w:tc>
        <w:tc>
          <w:tcPr>
            <w:tcW w:w="274" w:type="pct"/>
            <w:tcBorders>
              <w:left w:val="single" w:sz="4" w:space="0" w:color="auto"/>
            </w:tcBorders>
            <w:tcMar>
              <w:left w:w="0" w:type="dxa"/>
              <w:right w:w="0" w:type="dxa"/>
            </w:tcMar>
            <w:vAlign w:val="center"/>
          </w:tcPr>
          <w:p w14:paraId="74F06B5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6.52</w:t>
            </w:r>
          </w:p>
        </w:tc>
      </w:tr>
      <w:tr w:rsidR="00E16351" w:rsidRPr="00A964FF" w14:paraId="6BD84A61" w14:textId="77777777" w:rsidTr="00E16351">
        <w:trPr>
          <w:trHeight w:val="369"/>
          <w:jc w:val="center"/>
        </w:trPr>
        <w:tc>
          <w:tcPr>
            <w:tcW w:w="310" w:type="pct"/>
            <w:tcBorders>
              <w:right w:val="single" w:sz="4" w:space="0" w:color="auto"/>
            </w:tcBorders>
            <w:tcMar>
              <w:left w:w="0" w:type="dxa"/>
              <w:right w:w="0" w:type="dxa"/>
            </w:tcMar>
            <w:vAlign w:val="center"/>
          </w:tcPr>
          <w:p w14:paraId="4FF451FF"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秋季</w:t>
            </w:r>
          </w:p>
        </w:tc>
        <w:tc>
          <w:tcPr>
            <w:tcW w:w="276" w:type="pct"/>
            <w:tcBorders>
              <w:left w:val="single" w:sz="4" w:space="0" w:color="auto"/>
              <w:right w:val="single" w:sz="4" w:space="0" w:color="auto"/>
            </w:tcBorders>
            <w:tcMar>
              <w:left w:w="0" w:type="dxa"/>
              <w:right w:w="0" w:type="dxa"/>
            </w:tcMar>
            <w:vAlign w:val="center"/>
          </w:tcPr>
          <w:p w14:paraId="6AFA9214"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6.91</w:t>
            </w:r>
          </w:p>
        </w:tc>
        <w:tc>
          <w:tcPr>
            <w:tcW w:w="276" w:type="pct"/>
            <w:tcBorders>
              <w:left w:val="single" w:sz="4" w:space="0" w:color="auto"/>
              <w:right w:val="single" w:sz="4" w:space="0" w:color="auto"/>
            </w:tcBorders>
            <w:tcMar>
              <w:left w:w="0" w:type="dxa"/>
              <w:right w:w="0" w:type="dxa"/>
            </w:tcMar>
            <w:vAlign w:val="center"/>
          </w:tcPr>
          <w:p w14:paraId="29C2FF6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5.54</w:t>
            </w:r>
          </w:p>
        </w:tc>
        <w:tc>
          <w:tcPr>
            <w:tcW w:w="276" w:type="pct"/>
            <w:tcBorders>
              <w:left w:val="single" w:sz="4" w:space="0" w:color="auto"/>
              <w:right w:val="single" w:sz="4" w:space="0" w:color="auto"/>
            </w:tcBorders>
            <w:tcMar>
              <w:left w:w="0" w:type="dxa"/>
              <w:right w:w="0" w:type="dxa"/>
            </w:tcMar>
            <w:vAlign w:val="center"/>
          </w:tcPr>
          <w:p w14:paraId="38CDE3A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6.14</w:t>
            </w:r>
          </w:p>
        </w:tc>
        <w:tc>
          <w:tcPr>
            <w:tcW w:w="276" w:type="pct"/>
            <w:tcBorders>
              <w:left w:val="single" w:sz="4" w:space="0" w:color="auto"/>
              <w:right w:val="single" w:sz="4" w:space="0" w:color="auto"/>
            </w:tcBorders>
            <w:tcMar>
              <w:left w:w="0" w:type="dxa"/>
              <w:right w:w="0" w:type="dxa"/>
            </w:tcMar>
            <w:vAlign w:val="center"/>
          </w:tcPr>
          <w:p w14:paraId="4DA4069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5.4</w:t>
            </w:r>
          </w:p>
        </w:tc>
        <w:tc>
          <w:tcPr>
            <w:tcW w:w="276" w:type="pct"/>
            <w:tcBorders>
              <w:left w:val="single" w:sz="4" w:space="0" w:color="auto"/>
              <w:right w:val="single" w:sz="4" w:space="0" w:color="auto"/>
            </w:tcBorders>
            <w:tcMar>
              <w:left w:w="0" w:type="dxa"/>
              <w:right w:w="0" w:type="dxa"/>
            </w:tcMar>
            <w:vAlign w:val="center"/>
          </w:tcPr>
          <w:p w14:paraId="289E99A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4.95</w:t>
            </w:r>
          </w:p>
        </w:tc>
        <w:tc>
          <w:tcPr>
            <w:tcW w:w="276" w:type="pct"/>
            <w:tcBorders>
              <w:left w:val="single" w:sz="4" w:space="0" w:color="auto"/>
              <w:right w:val="single" w:sz="4" w:space="0" w:color="auto"/>
            </w:tcBorders>
            <w:tcMar>
              <w:left w:w="0" w:type="dxa"/>
              <w:right w:w="0" w:type="dxa"/>
            </w:tcMar>
            <w:vAlign w:val="center"/>
          </w:tcPr>
          <w:p w14:paraId="6779E66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3.66</w:t>
            </w:r>
          </w:p>
        </w:tc>
        <w:tc>
          <w:tcPr>
            <w:tcW w:w="276" w:type="pct"/>
            <w:tcBorders>
              <w:left w:val="single" w:sz="4" w:space="0" w:color="auto"/>
              <w:right w:val="single" w:sz="4" w:space="0" w:color="auto"/>
            </w:tcBorders>
            <w:tcMar>
              <w:left w:w="0" w:type="dxa"/>
              <w:right w:w="0" w:type="dxa"/>
            </w:tcMar>
            <w:vAlign w:val="center"/>
          </w:tcPr>
          <w:p w14:paraId="4A89AB0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4.17</w:t>
            </w:r>
          </w:p>
        </w:tc>
        <w:tc>
          <w:tcPr>
            <w:tcW w:w="276" w:type="pct"/>
            <w:tcBorders>
              <w:left w:val="single" w:sz="4" w:space="0" w:color="auto"/>
              <w:right w:val="single" w:sz="4" w:space="0" w:color="auto"/>
            </w:tcBorders>
            <w:tcMar>
              <w:left w:w="0" w:type="dxa"/>
              <w:right w:w="0" w:type="dxa"/>
            </w:tcMar>
            <w:vAlign w:val="center"/>
          </w:tcPr>
          <w:p w14:paraId="1E72232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4.35</w:t>
            </w:r>
          </w:p>
        </w:tc>
        <w:tc>
          <w:tcPr>
            <w:tcW w:w="276" w:type="pct"/>
            <w:tcBorders>
              <w:left w:val="single" w:sz="4" w:space="0" w:color="auto"/>
            </w:tcBorders>
            <w:tcMar>
              <w:left w:w="0" w:type="dxa"/>
              <w:right w:w="0" w:type="dxa"/>
            </w:tcMar>
            <w:vAlign w:val="center"/>
          </w:tcPr>
          <w:p w14:paraId="1BBC38B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5.59</w:t>
            </w:r>
          </w:p>
        </w:tc>
        <w:tc>
          <w:tcPr>
            <w:tcW w:w="276" w:type="pct"/>
            <w:tcBorders>
              <w:right w:val="single" w:sz="4" w:space="0" w:color="auto"/>
            </w:tcBorders>
            <w:tcMar>
              <w:left w:w="0" w:type="dxa"/>
              <w:right w:w="0" w:type="dxa"/>
            </w:tcMar>
            <w:vAlign w:val="center"/>
          </w:tcPr>
          <w:p w14:paraId="1ED85CE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3.02</w:t>
            </w:r>
          </w:p>
        </w:tc>
        <w:tc>
          <w:tcPr>
            <w:tcW w:w="276" w:type="pct"/>
            <w:tcBorders>
              <w:left w:val="single" w:sz="4" w:space="0" w:color="auto"/>
              <w:right w:val="single" w:sz="4" w:space="0" w:color="auto"/>
            </w:tcBorders>
            <w:tcMar>
              <w:left w:w="0" w:type="dxa"/>
              <w:right w:w="0" w:type="dxa"/>
            </w:tcMar>
            <w:vAlign w:val="center"/>
          </w:tcPr>
          <w:p w14:paraId="6D71125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3.02</w:t>
            </w:r>
          </w:p>
        </w:tc>
        <w:tc>
          <w:tcPr>
            <w:tcW w:w="276" w:type="pct"/>
            <w:tcBorders>
              <w:left w:val="single" w:sz="4" w:space="0" w:color="auto"/>
              <w:right w:val="single" w:sz="4" w:space="0" w:color="auto"/>
            </w:tcBorders>
            <w:tcMar>
              <w:left w:w="0" w:type="dxa"/>
              <w:right w:w="0" w:type="dxa"/>
            </w:tcMar>
            <w:vAlign w:val="center"/>
          </w:tcPr>
          <w:p w14:paraId="25DA4AB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4.53</w:t>
            </w:r>
          </w:p>
        </w:tc>
        <w:tc>
          <w:tcPr>
            <w:tcW w:w="276" w:type="pct"/>
            <w:tcBorders>
              <w:left w:val="single" w:sz="4" w:space="0" w:color="auto"/>
              <w:right w:val="single" w:sz="4" w:space="0" w:color="auto"/>
            </w:tcBorders>
            <w:tcMar>
              <w:left w:w="0" w:type="dxa"/>
              <w:right w:w="0" w:type="dxa"/>
            </w:tcMar>
            <w:vAlign w:val="center"/>
          </w:tcPr>
          <w:p w14:paraId="4270E23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8.93</w:t>
            </w:r>
          </w:p>
        </w:tc>
        <w:tc>
          <w:tcPr>
            <w:tcW w:w="276" w:type="pct"/>
            <w:tcBorders>
              <w:left w:val="single" w:sz="4" w:space="0" w:color="auto"/>
              <w:right w:val="single" w:sz="4" w:space="0" w:color="auto"/>
            </w:tcBorders>
            <w:tcMar>
              <w:left w:w="0" w:type="dxa"/>
              <w:right w:w="0" w:type="dxa"/>
            </w:tcMar>
            <w:vAlign w:val="center"/>
          </w:tcPr>
          <w:p w14:paraId="7FA21C8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6.78</w:t>
            </w:r>
          </w:p>
        </w:tc>
        <w:tc>
          <w:tcPr>
            <w:tcW w:w="276" w:type="pct"/>
            <w:tcBorders>
              <w:left w:val="single" w:sz="4" w:space="0" w:color="auto"/>
              <w:right w:val="single" w:sz="4" w:space="0" w:color="auto"/>
            </w:tcBorders>
            <w:tcMar>
              <w:left w:w="0" w:type="dxa"/>
              <w:right w:w="0" w:type="dxa"/>
            </w:tcMar>
            <w:vAlign w:val="center"/>
          </w:tcPr>
          <w:p w14:paraId="092C959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6.91</w:t>
            </w:r>
          </w:p>
        </w:tc>
        <w:tc>
          <w:tcPr>
            <w:tcW w:w="276" w:type="pct"/>
            <w:tcBorders>
              <w:left w:val="single" w:sz="4" w:space="0" w:color="auto"/>
              <w:right w:val="single" w:sz="4" w:space="0" w:color="auto"/>
            </w:tcBorders>
            <w:tcMar>
              <w:left w:w="0" w:type="dxa"/>
              <w:right w:w="0" w:type="dxa"/>
            </w:tcMar>
            <w:vAlign w:val="center"/>
          </w:tcPr>
          <w:p w14:paraId="0E73D77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5.54</w:t>
            </w:r>
          </w:p>
        </w:tc>
        <w:tc>
          <w:tcPr>
            <w:tcW w:w="274" w:type="pct"/>
            <w:tcBorders>
              <w:left w:val="single" w:sz="4" w:space="0" w:color="auto"/>
            </w:tcBorders>
            <w:tcMar>
              <w:left w:w="0" w:type="dxa"/>
              <w:right w:w="0" w:type="dxa"/>
            </w:tcMar>
            <w:vAlign w:val="center"/>
          </w:tcPr>
          <w:p w14:paraId="0D1EA62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6.14</w:t>
            </w:r>
          </w:p>
        </w:tc>
      </w:tr>
      <w:tr w:rsidR="00E16351" w:rsidRPr="00A964FF" w14:paraId="13F079CF" w14:textId="77777777" w:rsidTr="00E16351">
        <w:trPr>
          <w:trHeight w:val="369"/>
          <w:jc w:val="center"/>
        </w:trPr>
        <w:tc>
          <w:tcPr>
            <w:tcW w:w="310" w:type="pct"/>
            <w:tcBorders>
              <w:right w:val="single" w:sz="4" w:space="0" w:color="auto"/>
            </w:tcBorders>
            <w:tcMar>
              <w:left w:w="0" w:type="dxa"/>
              <w:right w:w="0" w:type="dxa"/>
            </w:tcMar>
            <w:vAlign w:val="center"/>
          </w:tcPr>
          <w:p w14:paraId="63AA57E2"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冬季</w:t>
            </w:r>
          </w:p>
        </w:tc>
        <w:tc>
          <w:tcPr>
            <w:tcW w:w="276" w:type="pct"/>
            <w:tcBorders>
              <w:left w:val="single" w:sz="4" w:space="0" w:color="auto"/>
              <w:right w:val="single" w:sz="4" w:space="0" w:color="auto"/>
            </w:tcBorders>
            <w:tcMar>
              <w:left w:w="0" w:type="dxa"/>
              <w:right w:w="0" w:type="dxa"/>
            </w:tcMar>
            <w:vAlign w:val="center"/>
          </w:tcPr>
          <w:p w14:paraId="18FA61A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5.31</w:t>
            </w:r>
          </w:p>
        </w:tc>
        <w:tc>
          <w:tcPr>
            <w:tcW w:w="276" w:type="pct"/>
            <w:tcBorders>
              <w:left w:val="single" w:sz="4" w:space="0" w:color="auto"/>
              <w:right w:val="single" w:sz="4" w:space="0" w:color="auto"/>
            </w:tcBorders>
            <w:tcMar>
              <w:left w:w="0" w:type="dxa"/>
              <w:right w:w="0" w:type="dxa"/>
            </w:tcMar>
            <w:vAlign w:val="center"/>
          </w:tcPr>
          <w:p w14:paraId="58801FE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7.1</w:t>
            </w:r>
          </w:p>
        </w:tc>
        <w:tc>
          <w:tcPr>
            <w:tcW w:w="276" w:type="pct"/>
            <w:tcBorders>
              <w:left w:val="single" w:sz="4" w:space="0" w:color="auto"/>
              <w:right w:val="single" w:sz="4" w:space="0" w:color="auto"/>
            </w:tcBorders>
            <w:tcMar>
              <w:left w:w="0" w:type="dxa"/>
              <w:right w:w="0" w:type="dxa"/>
            </w:tcMar>
            <w:vAlign w:val="center"/>
          </w:tcPr>
          <w:p w14:paraId="4653ABA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7.97</w:t>
            </w:r>
          </w:p>
        </w:tc>
        <w:tc>
          <w:tcPr>
            <w:tcW w:w="276" w:type="pct"/>
            <w:tcBorders>
              <w:left w:val="single" w:sz="4" w:space="0" w:color="auto"/>
              <w:right w:val="single" w:sz="4" w:space="0" w:color="auto"/>
            </w:tcBorders>
            <w:tcMar>
              <w:left w:w="0" w:type="dxa"/>
              <w:right w:w="0" w:type="dxa"/>
            </w:tcMar>
            <w:vAlign w:val="center"/>
          </w:tcPr>
          <w:p w14:paraId="12ED8A0D"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6.46</w:t>
            </w:r>
          </w:p>
        </w:tc>
        <w:tc>
          <w:tcPr>
            <w:tcW w:w="276" w:type="pct"/>
            <w:tcBorders>
              <w:left w:val="single" w:sz="4" w:space="0" w:color="auto"/>
              <w:right w:val="single" w:sz="4" w:space="0" w:color="auto"/>
            </w:tcBorders>
            <w:tcMar>
              <w:left w:w="0" w:type="dxa"/>
              <w:right w:w="0" w:type="dxa"/>
            </w:tcMar>
            <w:vAlign w:val="center"/>
          </w:tcPr>
          <w:p w14:paraId="3DD5E0C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5.27</w:t>
            </w:r>
          </w:p>
        </w:tc>
        <w:tc>
          <w:tcPr>
            <w:tcW w:w="276" w:type="pct"/>
            <w:tcBorders>
              <w:left w:val="single" w:sz="4" w:space="0" w:color="auto"/>
              <w:right w:val="single" w:sz="4" w:space="0" w:color="auto"/>
            </w:tcBorders>
            <w:tcMar>
              <w:left w:w="0" w:type="dxa"/>
              <w:right w:w="0" w:type="dxa"/>
            </w:tcMar>
            <w:vAlign w:val="center"/>
          </w:tcPr>
          <w:p w14:paraId="511CF3C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4.08</w:t>
            </w:r>
          </w:p>
        </w:tc>
        <w:tc>
          <w:tcPr>
            <w:tcW w:w="276" w:type="pct"/>
            <w:tcBorders>
              <w:left w:val="single" w:sz="4" w:space="0" w:color="auto"/>
              <w:right w:val="single" w:sz="4" w:space="0" w:color="auto"/>
            </w:tcBorders>
            <w:tcMar>
              <w:left w:w="0" w:type="dxa"/>
              <w:right w:w="0" w:type="dxa"/>
            </w:tcMar>
            <w:vAlign w:val="center"/>
          </w:tcPr>
          <w:p w14:paraId="5EC1100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4.35</w:t>
            </w:r>
          </w:p>
        </w:tc>
        <w:tc>
          <w:tcPr>
            <w:tcW w:w="276" w:type="pct"/>
            <w:tcBorders>
              <w:left w:val="single" w:sz="4" w:space="0" w:color="auto"/>
              <w:right w:val="single" w:sz="4" w:space="0" w:color="auto"/>
            </w:tcBorders>
            <w:tcMar>
              <w:left w:w="0" w:type="dxa"/>
              <w:right w:w="0" w:type="dxa"/>
            </w:tcMar>
            <w:vAlign w:val="center"/>
          </w:tcPr>
          <w:p w14:paraId="2F91BF1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5.22</w:t>
            </w:r>
          </w:p>
        </w:tc>
        <w:tc>
          <w:tcPr>
            <w:tcW w:w="276" w:type="pct"/>
            <w:tcBorders>
              <w:left w:val="single" w:sz="4" w:space="0" w:color="auto"/>
            </w:tcBorders>
            <w:tcMar>
              <w:left w:w="0" w:type="dxa"/>
              <w:right w:w="0" w:type="dxa"/>
            </w:tcMar>
            <w:vAlign w:val="center"/>
          </w:tcPr>
          <w:p w14:paraId="055D365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7.92</w:t>
            </w:r>
          </w:p>
        </w:tc>
        <w:tc>
          <w:tcPr>
            <w:tcW w:w="276" w:type="pct"/>
            <w:tcBorders>
              <w:right w:val="single" w:sz="4" w:space="0" w:color="auto"/>
            </w:tcBorders>
            <w:tcMar>
              <w:left w:w="0" w:type="dxa"/>
              <w:right w:w="0" w:type="dxa"/>
            </w:tcMar>
            <w:vAlign w:val="center"/>
          </w:tcPr>
          <w:p w14:paraId="63FB798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4.35</w:t>
            </w:r>
          </w:p>
        </w:tc>
        <w:tc>
          <w:tcPr>
            <w:tcW w:w="276" w:type="pct"/>
            <w:tcBorders>
              <w:left w:val="single" w:sz="4" w:space="0" w:color="auto"/>
              <w:right w:val="single" w:sz="4" w:space="0" w:color="auto"/>
            </w:tcBorders>
            <w:tcMar>
              <w:left w:w="0" w:type="dxa"/>
              <w:right w:w="0" w:type="dxa"/>
            </w:tcMar>
            <w:vAlign w:val="center"/>
          </w:tcPr>
          <w:p w14:paraId="417237E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4.49</w:t>
            </w:r>
          </w:p>
        </w:tc>
        <w:tc>
          <w:tcPr>
            <w:tcW w:w="276" w:type="pct"/>
            <w:tcBorders>
              <w:left w:val="single" w:sz="4" w:space="0" w:color="auto"/>
              <w:right w:val="single" w:sz="4" w:space="0" w:color="auto"/>
            </w:tcBorders>
            <w:tcMar>
              <w:left w:w="0" w:type="dxa"/>
              <w:right w:w="0" w:type="dxa"/>
            </w:tcMar>
            <w:vAlign w:val="center"/>
          </w:tcPr>
          <w:p w14:paraId="55D6E55E"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4.58</w:t>
            </w:r>
          </w:p>
        </w:tc>
        <w:tc>
          <w:tcPr>
            <w:tcW w:w="276" w:type="pct"/>
            <w:tcBorders>
              <w:left w:val="single" w:sz="4" w:space="0" w:color="auto"/>
              <w:right w:val="single" w:sz="4" w:space="0" w:color="auto"/>
            </w:tcBorders>
            <w:tcMar>
              <w:left w:w="0" w:type="dxa"/>
              <w:right w:w="0" w:type="dxa"/>
            </w:tcMar>
            <w:vAlign w:val="center"/>
          </w:tcPr>
          <w:p w14:paraId="302A2230"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7.83</w:t>
            </w:r>
          </w:p>
        </w:tc>
        <w:tc>
          <w:tcPr>
            <w:tcW w:w="276" w:type="pct"/>
            <w:tcBorders>
              <w:left w:val="single" w:sz="4" w:space="0" w:color="auto"/>
              <w:right w:val="single" w:sz="4" w:space="0" w:color="auto"/>
            </w:tcBorders>
            <w:tcMar>
              <w:left w:w="0" w:type="dxa"/>
              <w:right w:w="0" w:type="dxa"/>
            </w:tcMar>
            <w:vAlign w:val="center"/>
          </w:tcPr>
          <w:p w14:paraId="5B6E5983"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3.85</w:t>
            </w:r>
          </w:p>
        </w:tc>
        <w:tc>
          <w:tcPr>
            <w:tcW w:w="276" w:type="pct"/>
            <w:tcBorders>
              <w:left w:val="single" w:sz="4" w:space="0" w:color="auto"/>
              <w:right w:val="single" w:sz="4" w:space="0" w:color="auto"/>
            </w:tcBorders>
            <w:tcMar>
              <w:left w:w="0" w:type="dxa"/>
              <w:right w:w="0" w:type="dxa"/>
            </w:tcMar>
            <w:vAlign w:val="center"/>
          </w:tcPr>
          <w:p w14:paraId="336CDAC5"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5.31</w:t>
            </w:r>
          </w:p>
        </w:tc>
        <w:tc>
          <w:tcPr>
            <w:tcW w:w="276" w:type="pct"/>
            <w:tcBorders>
              <w:left w:val="single" w:sz="4" w:space="0" w:color="auto"/>
              <w:right w:val="single" w:sz="4" w:space="0" w:color="auto"/>
            </w:tcBorders>
            <w:tcMar>
              <w:left w:w="0" w:type="dxa"/>
              <w:right w:w="0" w:type="dxa"/>
            </w:tcMar>
            <w:vAlign w:val="center"/>
          </w:tcPr>
          <w:p w14:paraId="72118BC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7.1</w:t>
            </w:r>
          </w:p>
        </w:tc>
        <w:tc>
          <w:tcPr>
            <w:tcW w:w="274" w:type="pct"/>
            <w:tcBorders>
              <w:left w:val="single" w:sz="4" w:space="0" w:color="auto"/>
            </w:tcBorders>
            <w:tcMar>
              <w:left w:w="0" w:type="dxa"/>
              <w:right w:w="0" w:type="dxa"/>
            </w:tcMar>
            <w:vAlign w:val="center"/>
          </w:tcPr>
          <w:p w14:paraId="262C7E2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7.97</w:t>
            </w:r>
          </w:p>
        </w:tc>
      </w:tr>
      <w:tr w:rsidR="00E16351" w:rsidRPr="00A964FF" w14:paraId="5FDE51B4" w14:textId="77777777" w:rsidTr="00E16351">
        <w:trPr>
          <w:trHeight w:val="369"/>
          <w:jc w:val="center"/>
        </w:trPr>
        <w:tc>
          <w:tcPr>
            <w:tcW w:w="310" w:type="pct"/>
            <w:tcBorders>
              <w:right w:val="single" w:sz="4" w:space="0" w:color="auto"/>
            </w:tcBorders>
            <w:tcMar>
              <w:left w:w="0" w:type="dxa"/>
              <w:right w:w="0" w:type="dxa"/>
            </w:tcMar>
            <w:vAlign w:val="center"/>
          </w:tcPr>
          <w:p w14:paraId="0B7DB34C" w14:textId="77777777" w:rsidR="00E16351" w:rsidRPr="00A964FF" w:rsidRDefault="00E16351" w:rsidP="00904978">
            <w:pPr>
              <w:jc w:val="center"/>
              <w:rPr>
                <w:rFonts w:ascii="Calibri" w:hAnsi="Calibri"/>
                <w:color w:val="auto"/>
                <w:szCs w:val="21"/>
              </w:rPr>
            </w:pPr>
            <w:r w:rsidRPr="00A964FF">
              <w:rPr>
                <w:rFonts w:ascii="Calibri" w:hAnsi="Calibri" w:hint="eastAsia"/>
                <w:color w:val="auto"/>
                <w:szCs w:val="21"/>
              </w:rPr>
              <w:t>全年</w:t>
            </w:r>
          </w:p>
        </w:tc>
        <w:tc>
          <w:tcPr>
            <w:tcW w:w="276" w:type="pct"/>
            <w:tcBorders>
              <w:left w:val="single" w:sz="4" w:space="0" w:color="auto"/>
              <w:right w:val="single" w:sz="4" w:space="0" w:color="auto"/>
            </w:tcBorders>
            <w:tcMar>
              <w:left w:w="0" w:type="dxa"/>
              <w:right w:w="0" w:type="dxa"/>
            </w:tcMar>
            <w:vAlign w:val="center"/>
          </w:tcPr>
          <w:p w14:paraId="70542DD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5.62</w:t>
            </w:r>
          </w:p>
        </w:tc>
        <w:tc>
          <w:tcPr>
            <w:tcW w:w="276" w:type="pct"/>
            <w:tcBorders>
              <w:left w:val="single" w:sz="4" w:space="0" w:color="auto"/>
              <w:right w:val="single" w:sz="4" w:space="0" w:color="auto"/>
            </w:tcBorders>
            <w:tcMar>
              <w:left w:w="0" w:type="dxa"/>
              <w:right w:w="0" w:type="dxa"/>
            </w:tcMar>
            <w:vAlign w:val="center"/>
          </w:tcPr>
          <w:p w14:paraId="686EA881"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6.03</w:t>
            </w:r>
          </w:p>
        </w:tc>
        <w:tc>
          <w:tcPr>
            <w:tcW w:w="276" w:type="pct"/>
            <w:tcBorders>
              <w:left w:val="single" w:sz="4" w:space="0" w:color="auto"/>
              <w:right w:val="single" w:sz="4" w:space="0" w:color="auto"/>
            </w:tcBorders>
            <w:tcMar>
              <w:left w:w="0" w:type="dxa"/>
              <w:right w:w="0" w:type="dxa"/>
            </w:tcMar>
            <w:vAlign w:val="center"/>
          </w:tcPr>
          <w:p w14:paraId="7843472F"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6.84</w:t>
            </w:r>
          </w:p>
        </w:tc>
        <w:tc>
          <w:tcPr>
            <w:tcW w:w="276" w:type="pct"/>
            <w:tcBorders>
              <w:left w:val="single" w:sz="4" w:space="0" w:color="auto"/>
              <w:right w:val="single" w:sz="4" w:space="0" w:color="auto"/>
            </w:tcBorders>
            <w:tcMar>
              <w:left w:w="0" w:type="dxa"/>
              <w:right w:w="0" w:type="dxa"/>
            </w:tcMar>
            <w:vAlign w:val="center"/>
          </w:tcPr>
          <w:p w14:paraId="480ECC9C"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6.43</w:t>
            </w:r>
          </w:p>
        </w:tc>
        <w:tc>
          <w:tcPr>
            <w:tcW w:w="276" w:type="pct"/>
            <w:tcBorders>
              <w:left w:val="single" w:sz="4" w:space="0" w:color="auto"/>
              <w:right w:val="single" w:sz="4" w:space="0" w:color="auto"/>
            </w:tcBorders>
            <w:tcMar>
              <w:left w:w="0" w:type="dxa"/>
              <w:right w:w="0" w:type="dxa"/>
            </w:tcMar>
            <w:vAlign w:val="center"/>
          </w:tcPr>
          <w:p w14:paraId="7ACC644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6.8</w:t>
            </w:r>
          </w:p>
        </w:tc>
        <w:tc>
          <w:tcPr>
            <w:tcW w:w="276" w:type="pct"/>
            <w:tcBorders>
              <w:left w:val="single" w:sz="4" w:space="0" w:color="auto"/>
              <w:right w:val="single" w:sz="4" w:space="0" w:color="auto"/>
            </w:tcBorders>
            <w:tcMar>
              <w:left w:w="0" w:type="dxa"/>
              <w:right w:w="0" w:type="dxa"/>
            </w:tcMar>
            <w:vAlign w:val="center"/>
          </w:tcPr>
          <w:p w14:paraId="0E309978"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4.37</w:t>
            </w:r>
          </w:p>
        </w:tc>
        <w:tc>
          <w:tcPr>
            <w:tcW w:w="276" w:type="pct"/>
            <w:tcBorders>
              <w:left w:val="single" w:sz="4" w:space="0" w:color="auto"/>
              <w:right w:val="single" w:sz="4" w:space="0" w:color="auto"/>
            </w:tcBorders>
            <w:tcMar>
              <w:left w:w="0" w:type="dxa"/>
              <w:right w:w="0" w:type="dxa"/>
            </w:tcMar>
            <w:vAlign w:val="center"/>
          </w:tcPr>
          <w:p w14:paraId="797C4CC2"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5.46</w:t>
            </w:r>
          </w:p>
        </w:tc>
        <w:tc>
          <w:tcPr>
            <w:tcW w:w="276" w:type="pct"/>
            <w:tcBorders>
              <w:left w:val="single" w:sz="4" w:space="0" w:color="auto"/>
              <w:right w:val="single" w:sz="4" w:space="0" w:color="auto"/>
            </w:tcBorders>
            <w:tcMar>
              <w:left w:w="0" w:type="dxa"/>
              <w:right w:w="0" w:type="dxa"/>
            </w:tcMar>
            <w:vAlign w:val="center"/>
          </w:tcPr>
          <w:p w14:paraId="3099A93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5.34</w:t>
            </w:r>
          </w:p>
        </w:tc>
        <w:tc>
          <w:tcPr>
            <w:tcW w:w="276" w:type="pct"/>
            <w:tcBorders>
              <w:left w:val="single" w:sz="4" w:space="0" w:color="auto"/>
            </w:tcBorders>
            <w:tcMar>
              <w:left w:w="0" w:type="dxa"/>
              <w:right w:w="0" w:type="dxa"/>
            </w:tcMar>
            <w:vAlign w:val="center"/>
          </w:tcPr>
          <w:p w14:paraId="11FD447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8.58</w:t>
            </w:r>
          </w:p>
        </w:tc>
        <w:tc>
          <w:tcPr>
            <w:tcW w:w="276" w:type="pct"/>
            <w:tcBorders>
              <w:right w:val="single" w:sz="4" w:space="0" w:color="auto"/>
            </w:tcBorders>
            <w:tcMar>
              <w:left w:w="0" w:type="dxa"/>
              <w:right w:w="0" w:type="dxa"/>
            </w:tcMar>
            <w:vAlign w:val="center"/>
          </w:tcPr>
          <w:p w14:paraId="3C38B73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4.96</w:t>
            </w:r>
          </w:p>
        </w:tc>
        <w:tc>
          <w:tcPr>
            <w:tcW w:w="276" w:type="pct"/>
            <w:tcBorders>
              <w:left w:val="single" w:sz="4" w:space="0" w:color="auto"/>
              <w:right w:val="single" w:sz="4" w:space="0" w:color="auto"/>
            </w:tcBorders>
            <w:tcMar>
              <w:left w:w="0" w:type="dxa"/>
              <w:right w:w="0" w:type="dxa"/>
            </w:tcMar>
            <w:vAlign w:val="center"/>
          </w:tcPr>
          <w:p w14:paraId="66D989F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4.01</w:t>
            </w:r>
          </w:p>
        </w:tc>
        <w:tc>
          <w:tcPr>
            <w:tcW w:w="276" w:type="pct"/>
            <w:tcBorders>
              <w:left w:val="single" w:sz="4" w:space="0" w:color="auto"/>
              <w:right w:val="single" w:sz="4" w:space="0" w:color="auto"/>
            </w:tcBorders>
            <w:tcMar>
              <w:left w:w="0" w:type="dxa"/>
              <w:right w:w="0" w:type="dxa"/>
            </w:tcMar>
            <w:vAlign w:val="center"/>
          </w:tcPr>
          <w:p w14:paraId="428F2339"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3.9</w:t>
            </w:r>
          </w:p>
        </w:tc>
        <w:tc>
          <w:tcPr>
            <w:tcW w:w="276" w:type="pct"/>
            <w:tcBorders>
              <w:left w:val="single" w:sz="4" w:space="0" w:color="auto"/>
              <w:right w:val="single" w:sz="4" w:space="0" w:color="auto"/>
            </w:tcBorders>
            <w:tcMar>
              <w:left w:w="0" w:type="dxa"/>
              <w:right w:w="0" w:type="dxa"/>
            </w:tcMar>
            <w:vAlign w:val="center"/>
          </w:tcPr>
          <w:p w14:paraId="08470EAA"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6.71</w:t>
            </w:r>
          </w:p>
        </w:tc>
        <w:tc>
          <w:tcPr>
            <w:tcW w:w="276" w:type="pct"/>
            <w:tcBorders>
              <w:left w:val="single" w:sz="4" w:space="0" w:color="auto"/>
              <w:right w:val="single" w:sz="4" w:space="0" w:color="auto"/>
            </w:tcBorders>
            <w:tcMar>
              <w:left w:w="0" w:type="dxa"/>
              <w:right w:w="0" w:type="dxa"/>
            </w:tcMar>
            <w:vAlign w:val="center"/>
          </w:tcPr>
          <w:p w14:paraId="290A31C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4.68</w:t>
            </w:r>
          </w:p>
        </w:tc>
        <w:tc>
          <w:tcPr>
            <w:tcW w:w="276" w:type="pct"/>
            <w:tcBorders>
              <w:left w:val="single" w:sz="4" w:space="0" w:color="auto"/>
              <w:right w:val="single" w:sz="4" w:space="0" w:color="auto"/>
            </w:tcBorders>
            <w:tcMar>
              <w:left w:w="0" w:type="dxa"/>
              <w:right w:w="0" w:type="dxa"/>
            </w:tcMar>
            <w:vAlign w:val="center"/>
          </w:tcPr>
          <w:p w14:paraId="0724649B"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5.62</w:t>
            </w:r>
          </w:p>
        </w:tc>
        <w:tc>
          <w:tcPr>
            <w:tcW w:w="276" w:type="pct"/>
            <w:tcBorders>
              <w:left w:val="single" w:sz="4" w:space="0" w:color="auto"/>
              <w:right w:val="single" w:sz="4" w:space="0" w:color="auto"/>
            </w:tcBorders>
            <w:tcMar>
              <w:left w:w="0" w:type="dxa"/>
              <w:right w:w="0" w:type="dxa"/>
            </w:tcMar>
            <w:vAlign w:val="center"/>
          </w:tcPr>
          <w:p w14:paraId="1A344276"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6.03</w:t>
            </w:r>
          </w:p>
        </w:tc>
        <w:tc>
          <w:tcPr>
            <w:tcW w:w="274" w:type="pct"/>
            <w:tcBorders>
              <w:left w:val="single" w:sz="4" w:space="0" w:color="auto"/>
            </w:tcBorders>
            <w:tcMar>
              <w:left w:w="0" w:type="dxa"/>
              <w:right w:w="0" w:type="dxa"/>
            </w:tcMar>
            <w:vAlign w:val="center"/>
          </w:tcPr>
          <w:p w14:paraId="61E66C87" w14:textId="77777777" w:rsidR="00E16351" w:rsidRPr="00A964FF" w:rsidRDefault="00E16351" w:rsidP="00E16351">
            <w:pPr>
              <w:jc w:val="center"/>
              <w:rPr>
                <w:rFonts w:asciiTheme="minorHAnsi" w:hAnsiTheme="minorHAnsi" w:cs="宋体"/>
                <w:color w:val="auto"/>
                <w:sz w:val="24"/>
              </w:rPr>
            </w:pPr>
            <w:r w:rsidRPr="00A964FF">
              <w:rPr>
                <w:rFonts w:asciiTheme="minorHAnsi" w:hAnsiTheme="minorHAnsi"/>
                <w:color w:val="auto"/>
              </w:rPr>
              <w:t>6.84</w:t>
            </w:r>
          </w:p>
        </w:tc>
      </w:tr>
    </w:tbl>
    <w:p w14:paraId="6EF15E59" w14:textId="77777777" w:rsidR="0096136C" w:rsidRPr="00A964FF" w:rsidRDefault="0096136C" w:rsidP="0096136C">
      <w:pPr>
        <w:spacing w:line="240" w:lineRule="exact"/>
        <w:ind w:firstLineChars="200" w:firstLine="480"/>
        <w:rPr>
          <w:rFonts w:ascii="Calibri" w:eastAsia="黑体" w:hAnsi="Calibri"/>
          <w:color w:val="auto"/>
          <w:sz w:val="24"/>
        </w:rPr>
        <w:sectPr w:rsidR="0096136C" w:rsidRPr="00A964FF" w:rsidSect="000F03B9">
          <w:pgSz w:w="16838" w:h="11906" w:orient="landscape" w:code="9"/>
          <w:pgMar w:top="1588" w:right="1440" w:bottom="1588" w:left="1440" w:header="851" w:footer="992" w:gutter="0"/>
          <w:cols w:space="720"/>
          <w:docGrid w:linePitch="312"/>
        </w:sectPr>
      </w:pPr>
    </w:p>
    <w:p w14:paraId="3CBD751E" w14:textId="77777777" w:rsidR="0096136C" w:rsidRPr="00A964FF" w:rsidRDefault="00351DCE" w:rsidP="0096136C">
      <w:pPr>
        <w:spacing w:line="520" w:lineRule="exact"/>
        <w:ind w:firstLine="480"/>
        <w:rPr>
          <w:rFonts w:ascii="Calibri" w:eastAsia="黑体" w:hAnsi="Calibri"/>
          <w:bCs/>
          <w:color w:val="auto"/>
          <w:sz w:val="24"/>
        </w:rPr>
      </w:pPr>
      <w:r w:rsidRPr="00A964FF">
        <w:rPr>
          <w:rFonts w:ascii="Calibri" w:eastAsia="黑体" w:hAnsi="黑体"/>
          <w:bCs/>
          <w:noProof/>
          <w:color w:val="auto"/>
          <w:sz w:val="24"/>
        </w:rPr>
        <w:lastRenderedPageBreak/>
        <w:drawing>
          <wp:anchor distT="0" distB="0" distL="114300" distR="114300" simplePos="0" relativeHeight="251885056" behindDoc="0" locked="0" layoutInCell="1" allowOverlap="1" wp14:anchorId="0285EC40" wp14:editId="66C50E84">
            <wp:simplePos x="0" y="0"/>
            <wp:positionH relativeFrom="column">
              <wp:posOffset>1859915</wp:posOffset>
            </wp:positionH>
            <wp:positionV relativeFrom="paragraph">
              <wp:posOffset>5985510</wp:posOffset>
            </wp:positionV>
            <wp:extent cx="1651000" cy="1647825"/>
            <wp:effectExtent l="19050" t="0" r="6350" b="0"/>
            <wp:wrapTopAndBottom/>
            <wp:docPr id="2650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srcRect/>
                    <a:stretch>
                      <a:fillRect/>
                    </a:stretch>
                  </pic:blipFill>
                  <pic:spPr bwMode="auto">
                    <a:xfrm>
                      <a:off x="0" y="0"/>
                      <a:ext cx="1651000" cy="1647825"/>
                    </a:xfrm>
                    <a:prstGeom prst="rect">
                      <a:avLst/>
                    </a:prstGeom>
                    <a:noFill/>
                    <a:ln w="9525">
                      <a:noFill/>
                      <a:miter lim="800000"/>
                      <a:headEnd/>
                      <a:tailEnd/>
                    </a:ln>
                  </pic:spPr>
                </pic:pic>
              </a:graphicData>
            </a:graphic>
          </wp:anchor>
        </w:drawing>
      </w:r>
      <w:r w:rsidRPr="00A964FF">
        <w:rPr>
          <w:rFonts w:ascii="Calibri" w:eastAsia="黑体" w:hAnsi="黑体"/>
          <w:bCs/>
          <w:noProof/>
          <w:color w:val="auto"/>
          <w:sz w:val="24"/>
        </w:rPr>
        <w:drawing>
          <wp:anchor distT="0" distB="0" distL="114300" distR="114300" simplePos="0" relativeHeight="251884032" behindDoc="0" locked="0" layoutInCell="1" allowOverlap="1" wp14:anchorId="30CAD1CC" wp14:editId="6FDF428B">
            <wp:simplePos x="0" y="0"/>
            <wp:positionH relativeFrom="column">
              <wp:posOffset>31115</wp:posOffset>
            </wp:positionH>
            <wp:positionV relativeFrom="paragraph">
              <wp:posOffset>74295</wp:posOffset>
            </wp:positionV>
            <wp:extent cx="5538470" cy="5496560"/>
            <wp:effectExtent l="19050" t="0" r="5080" b="0"/>
            <wp:wrapTopAndBottom/>
            <wp:docPr id="2650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srcRect/>
                    <a:stretch>
                      <a:fillRect/>
                    </a:stretch>
                  </pic:blipFill>
                  <pic:spPr bwMode="auto">
                    <a:xfrm>
                      <a:off x="0" y="0"/>
                      <a:ext cx="5538470" cy="5496560"/>
                    </a:xfrm>
                    <a:prstGeom prst="rect">
                      <a:avLst/>
                    </a:prstGeom>
                    <a:noFill/>
                    <a:ln w="9525">
                      <a:noFill/>
                      <a:miter lim="800000"/>
                      <a:headEnd/>
                      <a:tailEnd/>
                    </a:ln>
                  </pic:spPr>
                </pic:pic>
              </a:graphicData>
            </a:graphic>
          </wp:anchor>
        </w:drawing>
      </w:r>
      <w:r w:rsidR="0096136C" w:rsidRPr="00A964FF">
        <w:rPr>
          <w:rFonts w:ascii="Calibri" w:eastAsia="黑体" w:hAnsi="黑体"/>
          <w:bCs/>
          <w:color w:val="auto"/>
          <w:sz w:val="24"/>
        </w:rPr>
        <w:t>图</w:t>
      </w:r>
      <w:r w:rsidR="0096136C" w:rsidRPr="00A964FF">
        <w:rPr>
          <w:rFonts w:ascii="Calibri" w:eastAsia="黑体" w:hAnsi="Calibri"/>
          <w:bCs/>
          <w:color w:val="auto"/>
          <w:sz w:val="24"/>
        </w:rPr>
        <w:t>4</w:t>
      </w:r>
      <w:r w:rsidR="0096136C" w:rsidRPr="00A964FF">
        <w:rPr>
          <w:rFonts w:ascii="Calibri" w:eastAsia="黑体" w:hAnsi="Calibri" w:hint="eastAsia"/>
          <w:bCs/>
          <w:color w:val="auto"/>
          <w:sz w:val="24"/>
        </w:rPr>
        <w:t>.2</w:t>
      </w:r>
      <w:r w:rsidR="0096136C" w:rsidRPr="00A964FF">
        <w:rPr>
          <w:rFonts w:ascii="Calibri" w:eastAsia="黑体" w:hAnsi="Calibri"/>
          <w:bCs/>
          <w:color w:val="auto"/>
          <w:sz w:val="24"/>
        </w:rPr>
        <w:t>-</w:t>
      </w:r>
      <w:r w:rsidR="0096136C" w:rsidRPr="00A964FF">
        <w:rPr>
          <w:rFonts w:ascii="Calibri" w:eastAsia="黑体" w:hAnsi="Calibri" w:hint="eastAsia"/>
          <w:bCs/>
          <w:color w:val="auto"/>
          <w:sz w:val="24"/>
        </w:rPr>
        <w:t>6</w:t>
      </w:r>
      <w:r w:rsidR="0096136C" w:rsidRPr="00A964FF">
        <w:rPr>
          <w:rFonts w:ascii="Calibri" w:eastAsia="黑体" w:hAnsi="Calibri"/>
          <w:bCs/>
          <w:color w:val="auto"/>
          <w:sz w:val="24"/>
        </w:rPr>
        <w:t xml:space="preserve">        </w:t>
      </w:r>
      <w:r w:rsidR="0096136C" w:rsidRPr="00A964FF">
        <w:rPr>
          <w:rFonts w:ascii="Calibri" w:eastAsia="黑体" w:hAnsi="Calibri" w:hint="eastAsia"/>
          <w:bCs/>
          <w:color w:val="auto"/>
          <w:sz w:val="24"/>
        </w:rPr>
        <w:t xml:space="preserve">         </w:t>
      </w:r>
      <w:r w:rsidR="0096136C" w:rsidRPr="00A964FF">
        <w:rPr>
          <w:rFonts w:ascii="Calibri" w:eastAsia="黑体" w:hAnsi="Calibri"/>
          <w:bCs/>
          <w:color w:val="auto"/>
          <w:sz w:val="24"/>
        </w:rPr>
        <w:t xml:space="preserve">  </w:t>
      </w:r>
      <w:r w:rsidR="0096136C" w:rsidRPr="00A964FF">
        <w:rPr>
          <w:rFonts w:ascii="Calibri" w:eastAsia="黑体" w:hAnsi="黑体" w:hint="eastAsia"/>
          <w:color w:val="auto"/>
          <w:sz w:val="24"/>
        </w:rPr>
        <w:t>各月、</w:t>
      </w:r>
      <w:r w:rsidR="0096136C" w:rsidRPr="00A964FF">
        <w:rPr>
          <w:rFonts w:ascii="Calibri" w:eastAsia="黑体" w:hAnsi="黑体"/>
          <w:color w:val="auto"/>
          <w:sz w:val="24"/>
        </w:rPr>
        <w:t>各季节的风频玫瑰图</w:t>
      </w:r>
    </w:p>
    <w:p w14:paraId="4B42D23F" w14:textId="77777777" w:rsidR="0096136C" w:rsidRPr="00A964FF" w:rsidRDefault="0096136C" w:rsidP="0096136C">
      <w:pPr>
        <w:spacing w:line="520" w:lineRule="exact"/>
        <w:ind w:firstLine="480"/>
        <w:rPr>
          <w:rFonts w:ascii="Calibri" w:eastAsia="黑体" w:hAnsi="Calibri"/>
          <w:bCs/>
          <w:color w:val="auto"/>
          <w:sz w:val="24"/>
        </w:rPr>
      </w:pPr>
      <w:r w:rsidRPr="00A964FF">
        <w:rPr>
          <w:rFonts w:ascii="Calibri" w:eastAsia="黑体" w:hAnsi="Calibri" w:hint="eastAsia"/>
          <w:bCs/>
          <w:color w:val="auto"/>
          <w:sz w:val="24"/>
        </w:rPr>
        <w:t>图</w:t>
      </w:r>
      <w:r w:rsidRPr="00A964FF">
        <w:rPr>
          <w:rFonts w:ascii="Calibri" w:eastAsia="黑体" w:hAnsi="Calibri"/>
          <w:bCs/>
          <w:color w:val="auto"/>
          <w:sz w:val="24"/>
        </w:rPr>
        <w:t>4</w:t>
      </w:r>
      <w:r w:rsidRPr="00A964FF">
        <w:rPr>
          <w:rFonts w:ascii="Calibri" w:eastAsia="黑体" w:hAnsi="Calibri" w:hint="eastAsia"/>
          <w:bCs/>
          <w:color w:val="auto"/>
          <w:sz w:val="24"/>
        </w:rPr>
        <w:t>.2</w:t>
      </w:r>
      <w:r w:rsidRPr="00A964FF">
        <w:rPr>
          <w:rFonts w:ascii="Calibri" w:eastAsia="黑体" w:hAnsi="Calibri"/>
          <w:bCs/>
          <w:color w:val="auto"/>
          <w:sz w:val="24"/>
        </w:rPr>
        <w:t>-</w:t>
      </w:r>
      <w:r w:rsidRPr="00A964FF">
        <w:rPr>
          <w:rFonts w:ascii="Calibri" w:eastAsia="黑体" w:hAnsi="Calibri" w:hint="eastAsia"/>
          <w:bCs/>
          <w:color w:val="auto"/>
          <w:sz w:val="24"/>
        </w:rPr>
        <w:t>7</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黑体" w:hint="eastAsia"/>
          <w:color w:val="auto"/>
          <w:sz w:val="24"/>
        </w:rPr>
        <w:t>年</w:t>
      </w:r>
      <w:r w:rsidRPr="00A964FF">
        <w:rPr>
          <w:rFonts w:ascii="Calibri" w:eastAsia="黑体" w:hAnsi="黑体"/>
          <w:color w:val="auto"/>
          <w:sz w:val="24"/>
        </w:rPr>
        <w:t>风频玫瑰图</w:t>
      </w:r>
    </w:p>
    <w:p w14:paraId="5D888643" w14:textId="77777777" w:rsidR="0096136C" w:rsidRPr="00A964FF" w:rsidRDefault="0096136C" w:rsidP="0096136C">
      <w:pPr>
        <w:spacing w:line="520" w:lineRule="exact"/>
        <w:ind w:firstLine="480"/>
        <w:rPr>
          <w:rFonts w:ascii="Calibri" w:hAnsi="Calibri"/>
          <w:bCs/>
          <w:color w:val="auto"/>
          <w:sz w:val="24"/>
        </w:rPr>
      </w:pPr>
      <w:r w:rsidRPr="00A964FF">
        <w:rPr>
          <w:rFonts w:ascii="Calibri" w:hAnsi="Calibri" w:hint="eastAsia"/>
          <w:bCs/>
          <w:color w:val="auto"/>
          <w:sz w:val="24"/>
        </w:rPr>
        <w:t>根据统计结果可知，该地近年全年最多风向为</w:t>
      </w:r>
      <w:r w:rsidRPr="00A964FF">
        <w:rPr>
          <w:rFonts w:ascii="Calibri" w:hAnsi="Calibri" w:hint="eastAsia"/>
          <w:bCs/>
          <w:color w:val="auto"/>
          <w:sz w:val="24"/>
        </w:rPr>
        <w:t>S</w:t>
      </w:r>
      <w:r w:rsidRPr="00A964FF">
        <w:rPr>
          <w:rFonts w:ascii="Calibri" w:hAnsi="Calibri" w:hint="eastAsia"/>
          <w:bCs/>
          <w:color w:val="auto"/>
          <w:sz w:val="24"/>
        </w:rPr>
        <w:t>风，频率为</w:t>
      </w:r>
      <w:r w:rsidR="00441E91" w:rsidRPr="00A964FF">
        <w:rPr>
          <w:rFonts w:ascii="Calibri" w:hAnsi="Calibri" w:hint="eastAsia"/>
          <w:bCs/>
          <w:color w:val="auto"/>
          <w:sz w:val="24"/>
        </w:rPr>
        <w:t>8.59</w:t>
      </w:r>
      <w:r w:rsidRPr="00A964FF">
        <w:rPr>
          <w:rFonts w:ascii="Calibri" w:hAnsi="Calibri" w:hint="eastAsia"/>
          <w:bCs/>
          <w:color w:val="auto"/>
          <w:sz w:val="24"/>
        </w:rPr>
        <w:t>%</w:t>
      </w:r>
      <w:r w:rsidRPr="00A964FF">
        <w:rPr>
          <w:rFonts w:ascii="Calibri" w:hAnsi="Calibri" w:hint="eastAsia"/>
          <w:bCs/>
          <w:color w:val="auto"/>
          <w:sz w:val="24"/>
        </w:rPr>
        <w:t>；次多风向为</w:t>
      </w:r>
      <w:r w:rsidRPr="00A964FF">
        <w:rPr>
          <w:rFonts w:ascii="Calibri" w:hAnsi="Calibri" w:hint="eastAsia"/>
          <w:bCs/>
          <w:color w:val="auto"/>
          <w:sz w:val="24"/>
        </w:rPr>
        <w:t>NE</w:t>
      </w:r>
      <w:r w:rsidRPr="00A964FF">
        <w:rPr>
          <w:rFonts w:ascii="Calibri" w:hAnsi="Calibri" w:hint="eastAsia"/>
          <w:bCs/>
          <w:color w:val="auto"/>
          <w:sz w:val="24"/>
        </w:rPr>
        <w:t>风，频率为</w:t>
      </w:r>
      <w:r w:rsidR="00441E91" w:rsidRPr="00A964FF">
        <w:rPr>
          <w:rFonts w:ascii="Calibri" w:hAnsi="Calibri" w:hint="eastAsia"/>
          <w:bCs/>
          <w:color w:val="auto"/>
          <w:sz w:val="24"/>
        </w:rPr>
        <w:t>6.84</w:t>
      </w:r>
      <w:r w:rsidRPr="00A964FF">
        <w:rPr>
          <w:rFonts w:ascii="Calibri" w:hAnsi="Calibri" w:hint="eastAsia"/>
          <w:bCs/>
          <w:color w:val="auto"/>
          <w:sz w:val="24"/>
        </w:rPr>
        <w:t>%</w:t>
      </w:r>
      <w:r w:rsidRPr="00A964FF">
        <w:rPr>
          <w:rFonts w:ascii="Calibri" w:hAnsi="Calibri" w:hint="eastAsia"/>
          <w:bCs/>
          <w:color w:val="auto"/>
          <w:sz w:val="24"/>
        </w:rPr>
        <w:t>。就各季节而言，春季最多风向为</w:t>
      </w:r>
      <w:r w:rsidRPr="00A964FF">
        <w:rPr>
          <w:rFonts w:ascii="Calibri" w:hAnsi="Calibri" w:hint="eastAsia"/>
          <w:bCs/>
          <w:color w:val="auto"/>
          <w:sz w:val="24"/>
        </w:rPr>
        <w:t>S</w:t>
      </w:r>
      <w:r w:rsidRPr="00A964FF">
        <w:rPr>
          <w:rFonts w:ascii="Calibri" w:hAnsi="Calibri" w:hint="eastAsia"/>
          <w:bCs/>
          <w:color w:val="auto"/>
          <w:sz w:val="24"/>
        </w:rPr>
        <w:t>风，频率为</w:t>
      </w:r>
      <w:r w:rsidR="00441E91" w:rsidRPr="00A964FF">
        <w:rPr>
          <w:rFonts w:ascii="Calibri" w:hAnsi="Calibri" w:hint="eastAsia"/>
          <w:bCs/>
          <w:color w:val="auto"/>
          <w:sz w:val="24"/>
        </w:rPr>
        <w:t>11.14</w:t>
      </w:r>
      <w:r w:rsidRPr="00A964FF">
        <w:rPr>
          <w:rFonts w:ascii="Calibri" w:hAnsi="Calibri" w:hint="eastAsia"/>
          <w:bCs/>
          <w:color w:val="auto"/>
          <w:sz w:val="24"/>
        </w:rPr>
        <w:t>%</w:t>
      </w:r>
      <w:r w:rsidRPr="00A964FF">
        <w:rPr>
          <w:rFonts w:ascii="Calibri" w:hAnsi="Calibri" w:hint="eastAsia"/>
          <w:bCs/>
          <w:color w:val="auto"/>
          <w:sz w:val="24"/>
        </w:rPr>
        <w:t>，次多</w:t>
      </w:r>
      <w:r w:rsidRPr="00A964FF">
        <w:rPr>
          <w:rFonts w:ascii="Calibri" w:hAnsi="Calibri" w:hint="eastAsia"/>
          <w:bCs/>
          <w:color w:val="auto"/>
          <w:sz w:val="24"/>
        </w:rPr>
        <w:lastRenderedPageBreak/>
        <w:t>风向为</w:t>
      </w:r>
      <w:r w:rsidR="00441E91" w:rsidRPr="00A964FF">
        <w:rPr>
          <w:rFonts w:ascii="Calibri" w:hAnsi="Calibri" w:hint="eastAsia"/>
          <w:bCs/>
          <w:color w:val="auto"/>
          <w:sz w:val="24"/>
        </w:rPr>
        <w:t>SS</w:t>
      </w:r>
      <w:r w:rsidRPr="00A964FF">
        <w:rPr>
          <w:rFonts w:ascii="Calibri" w:hAnsi="Calibri" w:hint="eastAsia"/>
          <w:bCs/>
          <w:color w:val="auto"/>
          <w:sz w:val="24"/>
        </w:rPr>
        <w:t>E</w:t>
      </w:r>
      <w:r w:rsidRPr="00A964FF">
        <w:rPr>
          <w:rFonts w:ascii="Calibri" w:hAnsi="Calibri" w:hint="eastAsia"/>
          <w:bCs/>
          <w:color w:val="auto"/>
          <w:sz w:val="24"/>
        </w:rPr>
        <w:t>风，频率为</w:t>
      </w:r>
      <w:r w:rsidR="00441E91" w:rsidRPr="00A964FF">
        <w:rPr>
          <w:rFonts w:ascii="Calibri" w:hAnsi="Calibri" w:hint="eastAsia"/>
          <w:bCs/>
          <w:color w:val="auto"/>
          <w:sz w:val="24"/>
        </w:rPr>
        <w:t>7.70</w:t>
      </w:r>
      <w:r w:rsidRPr="00A964FF">
        <w:rPr>
          <w:rFonts w:ascii="Calibri" w:hAnsi="Calibri" w:hint="eastAsia"/>
          <w:bCs/>
          <w:color w:val="auto"/>
          <w:sz w:val="24"/>
        </w:rPr>
        <w:t>%</w:t>
      </w:r>
      <w:r w:rsidRPr="00A964FF">
        <w:rPr>
          <w:rFonts w:ascii="Calibri" w:hAnsi="Calibri" w:hint="eastAsia"/>
          <w:bCs/>
          <w:color w:val="auto"/>
          <w:sz w:val="24"/>
        </w:rPr>
        <w:t>；夏季最多风向为</w:t>
      </w:r>
      <w:r w:rsidR="00441E91" w:rsidRPr="00A964FF">
        <w:rPr>
          <w:rFonts w:ascii="Calibri" w:hAnsi="Calibri" w:hint="eastAsia"/>
          <w:bCs/>
          <w:color w:val="auto"/>
          <w:sz w:val="24"/>
        </w:rPr>
        <w:t>E</w:t>
      </w:r>
      <w:r w:rsidRPr="00A964FF">
        <w:rPr>
          <w:rFonts w:ascii="Calibri" w:hAnsi="Calibri" w:hint="eastAsia"/>
          <w:bCs/>
          <w:color w:val="auto"/>
          <w:sz w:val="24"/>
        </w:rPr>
        <w:t>风，频率为</w:t>
      </w:r>
      <w:r w:rsidR="00441E91" w:rsidRPr="00A964FF">
        <w:rPr>
          <w:rFonts w:ascii="Calibri" w:hAnsi="Calibri" w:hint="eastAsia"/>
          <w:bCs/>
          <w:color w:val="auto"/>
          <w:sz w:val="24"/>
        </w:rPr>
        <w:t>10.1</w:t>
      </w:r>
      <w:r w:rsidRPr="00A964FF">
        <w:rPr>
          <w:rFonts w:ascii="Calibri" w:hAnsi="Calibri" w:hint="eastAsia"/>
          <w:bCs/>
          <w:color w:val="auto"/>
          <w:sz w:val="24"/>
        </w:rPr>
        <w:t>%</w:t>
      </w:r>
      <w:r w:rsidRPr="00A964FF">
        <w:rPr>
          <w:rFonts w:ascii="Calibri" w:hAnsi="Calibri" w:hint="eastAsia"/>
          <w:bCs/>
          <w:color w:val="auto"/>
          <w:sz w:val="24"/>
        </w:rPr>
        <w:t>，次多风向为</w:t>
      </w:r>
      <w:r w:rsidR="00441E91" w:rsidRPr="00A964FF">
        <w:rPr>
          <w:rFonts w:ascii="Calibri" w:hAnsi="Calibri" w:hint="eastAsia"/>
          <w:bCs/>
          <w:color w:val="auto"/>
          <w:sz w:val="24"/>
        </w:rPr>
        <w:t>S</w:t>
      </w:r>
      <w:r w:rsidRPr="00A964FF">
        <w:rPr>
          <w:rFonts w:ascii="Calibri" w:hAnsi="Calibri" w:hint="eastAsia"/>
          <w:bCs/>
          <w:color w:val="auto"/>
          <w:sz w:val="24"/>
        </w:rPr>
        <w:t>风，频率为</w:t>
      </w:r>
      <w:r w:rsidR="00441E91" w:rsidRPr="00A964FF">
        <w:rPr>
          <w:rFonts w:ascii="Calibri" w:hAnsi="Calibri" w:hint="eastAsia"/>
          <w:bCs/>
          <w:color w:val="auto"/>
          <w:sz w:val="24"/>
        </w:rPr>
        <w:t>9.65</w:t>
      </w:r>
      <w:r w:rsidRPr="00A964FF">
        <w:rPr>
          <w:rFonts w:ascii="Calibri" w:hAnsi="Calibri" w:hint="eastAsia"/>
          <w:bCs/>
          <w:color w:val="auto"/>
          <w:sz w:val="24"/>
        </w:rPr>
        <w:t>%</w:t>
      </w:r>
      <w:r w:rsidRPr="00A964FF">
        <w:rPr>
          <w:rFonts w:ascii="Calibri" w:hAnsi="Calibri" w:hint="eastAsia"/>
          <w:bCs/>
          <w:color w:val="auto"/>
          <w:sz w:val="24"/>
        </w:rPr>
        <w:t>；秋季最多风向为</w:t>
      </w:r>
      <w:r w:rsidRPr="00A964FF">
        <w:rPr>
          <w:rFonts w:ascii="Calibri" w:hAnsi="Calibri" w:hint="eastAsia"/>
          <w:bCs/>
          <w:color w:val="auto"/>
          <w:sz w:val="24"/>
        </w:rPr>
        <w:t>W</w:t>
      </w:r>
      <w:r w:rsidRPr="00A964FF">
        <w:rPr>
          <w:rFonts w:ascii="Calibri" w:hAnsi="Calibri" w:hint="eastAsia"/>
          <w:bCs/>
          <w:color w:val="auto"/>
          <w:sz w:val="24"/>
        </w:rPr>
        <w:t>风，频率为</w:t>
      </w:r>
      <w:r w:rsidR="00441E91" w:rsidRPr="00A964FF">
        <w:rPr>
          <w:rFonts w:ascii="Calibri" w:hAnsi="Calibri" w:hint="eastAsia"/>
          <w:bCs/>
          <w:color w:val="auto"/>
          <w:sz w:val="24"/>
        </w:rPr>
        <w:t>8.93</w:t>
      </w:r>
      <w:r w:rsidRPr="00A964FF">
        <w:rPr>
          <w:rFonts w:ascii="Calibri" w:hAnsi="Calibri" w:hint="eastAsia"/>
          <w:bCs/>
          <w:color w:val="auto"/>
          <w:sz w:val="24"/>
        </w:rPr>
        <w:t>%</w:t>
      </w:r>
      <w:r w:rsidRPr="00A964FF">
        <w:rPr>
          <w:rFonts w:ascii="Calibri" w:hAnsi="Calibri" w:hint="eastAsia"/>
          <w:bCs/>
          <w:color w:val="auto"/>
          <w:sz w:val="24"/>
        </w:rPr>
        <w:t>，次多风向为</w:t>
      </w:r>
      <w:r w:rsidR="00441E91" w:rsidRPr="00A964FF">
        <w:rPr>
          <w:rFonts w:ascii="Calibri" w:hAnsi="Calibri" w:hint="eastAsia"/>
          <w:bCs/>
          <w:color w:val="auto"/>
          <w:sz w:val="24"/>
        </w:rPr>
        <w:t>N</w:t>
      </w:r>
      <w:r w:rsidRPr="00A964FF">
        <w:rPr>
          <w:rFonts w:ascii="Calibri" w:hAnsi="Calibri" w:hint="eastAsia"/>
          <w:bCs/>
          <w:color w:val="auto"/>
          <w:sz w:val="24"/>
        </w:rPr>
        <w:t>W</w:t>
      </w:r>
      <w:r w:rsidRPr="00A964FF">
        <w:rPr>
          <w:rFonts w:ascii="Calibri" w:hAnsi="Calibri" w:hint="eastAsia"/>
          <w:bCs/>
          <w:color w:val="auto"/>
          <w:sz w:val="24"/>
        </w:rPr>
        <w:t>风，频率为</w:t>
      </w:r>
      <w:r w:rsidR="00441E91" w:rsidRPr="00A964FF">
        <w:rPr>
          <w:rFonts w:ascii="Calibri" w:hAnsi="Calibri" w:hint="eastAsia"/>
          <w:bCs/>
          <w:color w:val="auto"/>
          <w:sz w:val="24"/>
        </w:rPr>
        <w:t>7.65</w:t>
      </w:r>
      <w:r w:rsidRPr="00A964FF">
        <w:rPr>
          <w:rFonts w:ascii="Calibri" w:hAnsi="Calibri" w:hint="eastAsia"/>
          <w:bCs/>
          <w:color w:val="auto"/>
          <w:sz w:val="24"/>
        </w:rPr>
        <w:t>%</w:t>
      </w:r>
      <w:r w:rsidRPr="00A964FF">
        <w:rPr>
          <w:rFonts w:ascii="Calibri" w:hAnsi="Calibri" w:hint="eastAsia"/>
          <w:bCs/>
          <w:color w:val="auto"/>
          <w:sz w:val="24"/>
        </w:rPr>
        <w:t>；冬季最多风向均为</w:t>
      </w:r>
      <w:r w:rsidRPr="00A964FF">
        <w:rPr>
          <w:rFonts w:ascii="Calibri" w:hAnsi="Calibri" w:hint="eastAsia"/>
          <w:bCs/>
          <w:color w:val="auto"/>
          <w:sz w:val="24"/>
        </w:rPr>
        <w:t>NE</w:t>
      </w:r>
      <w:r w:rsidRPr="00A964FF">
        <w:rPr>
          <w:rFonts w:ascii="Calibri" w:hAnsi="Calibri" w:hint="eastAsia"/>
          <w:bCs/>
          <w:color w:val="auto"/>
          <w:sz w:val="24"/>
        </w:rPr>
        <w:t>风，频率为</w:t>
      </w:r>
      <w:r w:rsidR="00441E91" w:rsidRPr="00A964FF">
        <w:rPr>
          <w:rFonts w:ascii="Calibri" w:hAnsi="Calibri" w:hint="eastAsia"/>
          <w:bCs/>
          <w:color w:val="auto"/>
          <w:sz w:val="24"/>
        </w:rPr>
        <w:t>7.97</w:t>
      </w:r>
      <w:r w:rsidRPr="00A964FF">
        <w:rPr>
          <w:rFonts w:ascii="Calibri" w:hAnsi="Calibri" w:hint="eastAsia"/>
          <w:bCs/>
          <w:color w:val="auto"/>
          <w:sz w:val="24"/>
        </w:rPr>
        <w:t>%</w:t>
      </w:r>
      <w:r w:rsidRPr="00A964FF">
        <w:rPr>
          <w:rFonts w:ascii="Calibri" w:hAnsi="Calibri" w:hint="eastAsia"/>
          <w:bCs/>
          <w:color w:val="auto"/>
          <w:sz w:val="24"/>
        </w:rPr>
        <w:t>，次多风向为</w:t>
      </w:r>
      <w:r w:rsidR="00441E91" w:rsidRPr="00A964FF">
        <w:rPr>
          <w:rFonts w:ascii="Calibri" w:hAnsi="Calibri" w:hint="eastAsia"/>
          <w:bCs/>
          <w:color w:val="auto"/>
          <w:sz w:val="24"/>
        </w:rPr>
        <w:t>S</w:t>
      </w:r>
      <w:r w:rsidRPr="00A964FF">
        <w:rPr>
          <w:rFonts w:ascii="Calibri" w:hAnsi="Calibri" w:hint="eastAsia"/>
          <w:bCs/>
          <w:color w:val="auto"/>
          <w:sz w:val="24"/>
        </w:rPr>
        <w:t>风，频率为</w:t>
      </w:r>
      <w:r w:rsidR="00441E91" w:rsidRPr="00A964FF">
        <w:rPr>
          <w:rFonts w:ascii="Calibri" w:hAnsi="Calibri" w:hint="eastAsia"/>
          <w:bCs/>
          <w:color w:val="auto"/>
          <w:sz w:val="24"/>
        </w:rPr>
        <w:t>7.92</w:t>
      </w:r>
      <w:r w:rsidRPr="00A964FF">
        <w:rPr>
          <w:rFonts w:ascii="Calibri" w:hAnsi="Calibri" w:hint="eastAsia"/>
          <w:bCs/>
          <w:color w:val="auto"/>
          <w:sz w:val="24"/>
        </w:rPr>
        <w:t>%</w:t>
      </w:r>
      <w:r w:rsidRPr="00A964FF">
        <w:rPr>
          <w:rFonts w:ascii="Calibri" w:hAnsi="Calibri" w:hint="eastAsia"/>
          <w:bCs/>
          <w:color w:val="auto"/>
          <w:sz w:val="24"/>
        </w:rPr>
        <w:t>。该地区全年静风频率为</w:t>
      </w:r>
      <w:r w:rsidR="00441E91" w:rsidRPr="00A964FF">
        <w:rPr>
          <w:rFonts w:ascii="Calibri" w:hAnsi="Calibri" w:hint="eastAsia"/>
          <w:bCs/>
          <w:color w:val="auto"/>
          <w:sz w:val="24"/>
        </w:rPr>
        <w:t>7.43</w:t>
      </w:r>
      <w:r w:rsidRPr="00A964FF">
        <w:rPr>
          <w:rFonts w:ascii="Calibri" w:hAnsi="Calibri" w:hint="eastAsia"/>
          <w:bCs/>
          <w:color w:val="auto"/>
          <w:sz w:val="24"/>
        </w:rPr>
        <w:t>%</w:t>
      </w:r>
      <w:r w:rsidRPr="00A964FF">
        <w:rPr>
          <w:rFonts w:ascii="Calibri" w:hAnsi="Calibri" w:hint="eastAsia"/>
          <w:bCs/>
          <w:color w:val="auto"/>
          <w:sz w:val="24"/>
        </w:rPr>
        <w:t>，以夏季、秋季较多，</w:t>
      </w:r>
      <w:r w:rsidR="00441E91" w:rsidRPr="00A964FF">
        <w:rPr>
          <w:rFonts w:ascii="Calibri" w:hAnsi="Calibri" w:hint="eastAsia"/>
          <w:bCs/>
          <w:color w:val="auto"/>
          <w:sz w:val="24"/>
        </w:rPr>
        <w:t>春季</w:t>
      </w:r>
      <w:r w:rsidRPr="00A964FF">
        <w:rPr>
          <w:rFonts w:ascii="Calibri" w:hAnsi="Calibri" w:hint="eastAsia"/>
          <w:bCs/>
          <w:color w:val="auto"/>
          <w:sz w:val="24"/>
        </w:rPr>
        <w:t>最少。综上所述，全年主导风向不明显。</w:t>
      </w:r>
    </w:p>
    <w:p w14:paraId="5993AE33" w14:textId="77777777" w:rsidR="0055605A" w:rsidRPr="00A964FF" w:rsidRDefault="000F03B9" w:rsidP="0055605A">
      <w:pPr>
        <w:spacing w:line="520" w:lineRule="exact"/>
        <w:ind w:firstLine="480"/>
        <w:rPr>
          <w:rFonts w:ascii="Calibri" w:hAnsi="Calibri"/>
          <w:b/>
          <w:bCs/>
          <w:color w:val="auto"/>
          <w:sz w:val="24"/>
        </w:rPr>
      </w:pPr>
      <w:r w:rsidRPr="00A964FF">
        <w:rPr>
          <w:rFonts w:ascii="Calibri" w:hAnsi="Calibri" w:hint="eastAsia"/>
          <w:b/>
          <w:bCs/>
          <w:color w:val="auto"/>
          <w:sz w:val="24"/>
        </w:rPr>
        <w:t>二</w:t>
      </w:r>
      <w:r w:rsidR="0055605A" w:rsidRPr="00A964FF">
        <w:rPr>
          <w:rFonts w:ascii="Calibri" w:hAnsi="Calibri" w:hint="eastAsia"/>
          <w:b/>
          <w:bCs/>
          <w:color w:val="auto"/>
          <w:sz w:val="24"/>
        </w:rPr>
        <w:t>、评级工作等级与评价范围的确定</w:t>
      </w:r>
    </w:p>
    <w:p w14:paraId="118ED005" w14:textId="77777777" w:rsidR="0055605A" w:rsidRPr="00A964FF" w:rsidRDefault="0029372A" w:rsidP="0055605A">
      <w:pPr>
        <w:spacing w:line="520" w:lineRule="exact"/>
        <w:ind w:firstLine="480"/>
        <w:rPr>
          <w:rFonts w:ascii="Calibri" w:hAnsi="Calibri"/>
          <w:b/>
          <w:bCs/>
          <w:color w:val="auto"/>
          <w:sz w:val="24"/>
        </w:rPr>
      </w:pPr>
      <w:r w:rsidRPr="00A964FF">
        <w:rPr>
          <w:rFonts w:ascii="Calibri" w:hAnsi="Calibri" w:hint="eastAsia"/>
          <w:b/>
          <w:bCs/>
          <w:color w:val="auto"/>
          <w:sz w:val="24"/>
        </w:rPr>
        <w:t>1</w:t>
      </w:r>
      <w:r w:rsidRPr="00A964FF">
        <w:rPr>
          <w:rFonts w:ascii="Calibri" w:hAnsi="Calibri" w:hint="eastAsia"/>
          <w:b/>
          <w:bCs/>
          <w:color w:val="auto"/>
          <w:sz w:val="24"/>
        </w:rPr>
        <w:t>、</w:t>
      </w:r>
      <w:r w:rsidR="0055605A" w:rsidRPr="00A964FF">
        <w:rPr>
          <w:rFonts w:ascii="Calibri" w:hAnsi="Calibri" w:hint="eastAsia"/>
          <w:b/>
          <w:bCs/>
          <w:color w:val="auto"/>
          <w:sz w:val="24"/>
        </w:rPr>
        <w:t>评价因子筛选</w:t>
      </w:r>
    </w:p>
    <w:p w14:paraId="2ECEFC1A" w14:textId="77777777" w:rsidR="00FE4478" w:rsidRPr="0050299D" w:rsidRDefault="0029372A" w:rsidP="0050299D">
      <w:pPr>
        <w:widowControl/>
        <w:spacing w:line="520" w:lineRule="exact"/>
        <w:ind w:firstLine="480"/>
        <w:rPr>
          <w:rFonts w:ascii="Calibri" w:hAnsi="Calibri"/>
          <w:b/>
          <w:color w:val="auto"/>
          <w:sz w:val="24"/>
          <w:u w:val="single"/>
        </w:rPr>
      </w:pPr>
      <w:r w:rsidRPr="0050299D">
        <w:rPr>
          <w:rFonts w:ascii="Calibri" w:hAnsi="Calibri" w:hint="eastAsia"/>
          <w:b/>
          <w:color w:val="auto"/>
          <w:sz w:val="24"/>
          <w:u w:val="single"/>
        </w:rPr>
        <w:t>根据工程分析，</w:t>
      </w:r>
      <w:r w:rsidR="0050299D" w:rsidRPr="0050299D">
        <w:rPr>
          <w:rFonts w:ascii="Calibri" w:hAnsi="Calibri" w:hint="eastAsia"/>
          <w:b/>
          <w:color w:val="auto"/>
          <w:sz w:val="24"/>
          <w:u w:val="single"/>
        </w:rPr>
        <w:t>本项目</w:t>
      </w:r>
      <w:r w:rsidR="0050299D" w:rsidRPr="0050299D">
        <w:rPr>
          <w:rFonts w:ascii="Calibri" w:hAnsi="Calibri"/>
          <w:b/>
          <w:color w:val="auto"/>
          <w:sz w:val="24"/>
          <w:u w:val="single"/>
        </w:rPr>
        <w:t>选取有环境质量标准的评价因子作为预测因子，</w:t>
      </w:r>
      <w:r w:rsidR="008F39A8" w:rsidRPr="0050299D">
        <w:rPr>
          <w:rFonts w:ascii="Calibri" w:hAnsi="Calibri" w:hint="eastAsia"/>
          <w:b/>
          <w:color w:val="auto"/>
          <w:sz w:val="24"/>
          <w:u w:val="single"/>
        </w:rPr>
        <w:t>确定本次预测因子如下：</w:t>
      </w:r>
    </w:p>
    <w:p w14:paraId="55AA3255" w14:textId="77777777" w:rsidR="008F39A8" w:rsidRPr="0050299D" w:rsidRDefault="00790CFB" w:rsidP="003C53E0">
      <w:pPr>
        <w:widowControl/>
        <w:spacing w:line="520" w:lineRule="exact"/>
        <w:ind w:firstLine="480"/>
        <w:rPr>
          <w:rFonts w:ascii="Calibri" w:hAnsi="Calibri"/>
          <w:b/>
          <w:color w:val="auto"/>
          <w:sz w:val="24"/>
          <w:u w:val="single"/>
        </w:rPr>
      </w:pPr>
      <w:r w:rsidRPr="0050299D">
        <w:rPr>
          <w:rFonts w:ascii="Calibri" w:hAnsi="Calibri" w:hint="eastAsia"/>
          <w:b/>
          <w:color w:val="auto"/>
          <w:sz w:val="24"/>
          <w:u w:val="single"/>
        </w:rPr>
        <w:t>（</w:t>
      </w:r>
      <w:r w:rsidRPr="0050299D">
        <w:rPr>
          <w:rFonts w:ascii="Calibri" w:hAnsi="Calibri" w:hint="eastAsia"/>
          <w:b/>
          <w:color w:val="auto"/>
          <w:sz w:val="24"/>
          <w:u w:val="single"/>
        </w:rPr>
        <w:t>1</w:t>
      </w:r>
      <w:r w:rsidRPr="0050299D">
        <w:rPr>
          <w:rFonts w:ascii="Calibri" w:hAnsi="Calibri" w:hint="eastAsia"/>
          <w:b/>
          <w:color w:val="auto"/>
          <w:sz w:val="24"/>
          <w:u w:val="single"/>
        </w:rPr>
        <w:t>）</w:t>
      </w:r>
      <w:r w:rsidR="008F39A8" w:rsidRPr="0050299D">
        <w:rPr>
          <w:rFonts w:ascii="Calibri" w:hAnsi="Calibri" w:hint="eastAsia"/>
          <w:b/>
          <w:color w:val="auto"/>
          <w:sz w:val="24"/>
          <w:u w:val="single"/>
        </w:rPr>
        <w:t>有组织预测因子：</w:t>
      </w:r>
      <w:r w:rsidR="00E6064F" w:rsidRPr="0050299D">
        <w:rPr>
          <w:rFonts w:ascii="Calibri" w:hAnsi="Calibri" w:hint="eastAsia"/>
          <w:b/>
          <w:color w:val="auto"/>
          <w:sz w:val="24"/>
          <w:u w:val="single"/>
        </w:rPr>
        <w:t>颗粒物（</w:t>
      </w:r>
      <w:r w:rsidR="008F39A8" w:rsidRPr="0050299D">
        <w:rPr>
          <w:rFonts w:ascii="Calibri" w:hAnsi="Calibri" w:hint="eastAsia"/>
          <w:b/>
          <w:color w:val="auto"/>
          <w:sz w:val="24"/>
          <w:u w:val="single"/>
        </w:rPr>
        <w:t>PM</w:t>
      </w:r>
      <w:r w:rsidR="008F39A8" w:rsidRPr="0050299D">
        <w:rPr>
          <w:rFonts w:ascii="Calibri" w:hAnsi="Calibri" w:hint="eastAsia"/>
          <w:b/>
          <w:color w:val="auto"/>
          <w:sz w:val="24"/>
          <w:u w:val="single"/>
          <w:vertAlign w:val="subscript"/>
        </w:rPr>
        <w:t>10</w:t>
      </w:r>
      <w:r w:rsidR="008F39A8" w:rsidRPr="0050299D">
        <w:rPr>
          <w:rFonts w:ascii="Calibri" w:hAnsi="Calibri" w:hint="eastAsia"/>
          <w:b/>
          <w:color w:val="auto"/>
          <w:sz w:val="24"/>
          <w:u w:val="single"/>
        </w:rPr>
        <w:t>、</w:t>
      </w:r>
      <w:r w:rsidR="00A102A2" w:rsidRPr="0050299D">
        <w:rPr>
          <w:rFonts w:ascii="Calibri" w:hAnsi="Calibri" w:hint="eastAsia"/>
          <w:b/>
          <w:color w:val="auto"/>
          <w:sz w:val="24"/>
          <w:u w:val="single"/>
        </w:rPr>
        <w:t>PM</w:t>
      </w:r>
      <w:r w:rsidR="00A102A2" w:rsidRPr="0050299D">
        <w:rPr>
          <w:rFonts w:ascii="Calibri" w:hAnsi="Calibri" w:hint="eastAsia"/>
          <w:b/>
          <w:color w:val="auto"/>
          <w:sz w:val="24"/>
          <w:u w:val="single"/>
          <w:vertAlign w:val="subscript"/>
        </w:rPr>
        <w:t>2.5</w:t>
      </w:r>
      <w:r w:rsidR="00E6064F" w:rsidRPr="0050299D">
        <w:rPr>
          <w:rFonts w:ascii="Calibri" w:hAnsi="Calibri" w:hint="eastAsia"/>
          <w:b/>
          <w:color w:val="auto"/>
          <w:sz w:val="24"/>
          <w:u w:val="single"/>
        </w:rPr>
        <w:t>）</w:t>
      </w:r>
      <w:r w:rsidR="00DD5AA5" w:rsidRPr="0050299D">
        <w:rPr>
          <w:rFonts w:ascii="Calibri" w:hAnsi="Calibri" w:hint="eastAsia"/>
          <w:b/>
          <w:color w:val="auto"/>
          <w:sz w:val="24"/>
          <w:u w:val="single"/>
        </w:rPr>
        <w:t>、</w:t>
      </w:r>
      <w:r w:rsidRPr="0050299D">
        <w:rPr>
          <w:rFonts w:ascii="Calibri" w:hAnsi="Calibri" w:hint="eastAsia"/>
          <w:b/>
          <w:color w:val="auto"/>
          <w:sz w:val="24"/>
          <w:u w:val="single"/>
        </w:rPr>
        <w:t>SO</w:t>
      </w:r>
      <w:r w:rsidRPr="0050299D">
        <w:rPr>
          <w:rFonts w:ascii="Calibri" w:hAnsi="Calibri" w:hint="eastAsia"/>
          <w:b/>
          <w:color w:val="auto"/>
          <w:sz w:val="24"/>
          <w:u w:val="single"/>
          <w:vertAlign w:val="subscript"/>
        </w:rPr>
        <w:t>2</w:t>
      </w:r>
      <w:r w:rsidRPr="0050299D">
        <w:rPr>
          <w:rFonts w:ascii="Calibri" w:hAnsi="Calibri" w:hint="eastAsia"/>
          <w:b/>
          <w:color w:val="auto"/>
          <w:sz w:val="24"/>
          <w:u w:val="single"/>
        </w:rPr>
        <w:t>、</w:t>
      </w:r>
      <w:r w:rsidRPr="0050299D">
        <w:rPr>
          <w:rFonts w:ascii="Calibri" w:hAnsi="Calibri" w:hint="eastAsia"/>
          <w:b/>
          <w:color w:val="auto"/>
          <w:sz w:val="24"/>
          <w:u w:val="single"/>
        </w:rPr>
        <w:t>NOx</w:t>
      </w:r>
      <w:r w:rsidRPr="0050299D">
        <w:rPr>
          <w:rFonts w:ascii="Calibri" w:hAnsi="Calibri" w:hint="eastAsia"/>
          <w:b/>
          <w:color w:val="auto"/>
          <w:sz w:val="24"/>
          <w:u w:val="single"/>
        </w:rPr>
        <w:t>、</w:t>
      </w:r>
      <w:r w:rsidR="00BD4720" w:rsidRPr="0050299D">
        <w:rPr>
          <w:rFonts w:ascii="Calibri" w:hAnsi="Calibri" w:hint="eastAsia"/>
          <w:b/>
          <w:color w:val="auto"/>
          <w:sz w:val="24"/>
          <w:u w:val="single"/>
        </w:rPr>
        <w:t>非甲烷总烃</w:t>
      </w:r>
      <w:r w:rsidR="0050299D" w:rsidRPr="0050299D">
        <w:rPr>
          <w:rFonts w:ascii="Calibri" w:hAnsi="Calibri" w:hint="eastAsia"/>
          <w:b/>
          <w:color w:val="auto"/>
          <w:sz w:val="24"/>
          <w:u w:val="single"/>
        </w:rPr>
        <w:t>（包含己二胺、己二酸、环戊酮、环己亚胺、癸二酸、癸二胺、十二内酰胺）</w:t>
      </w:r>
      <w:r w:rsidR="00BD4720" w:rsidRPr="0050299D">
        <w:rPr>
          <w:rFonts w:ascii="Calibri" w:hAnsi="Calibri" w:hint="eastAsia"/>
          <w:b/>
          <w:color w:val="auto"/>
          <w:sz w:val="24"/>
          <w:u w:val="single"/>
        </w:rPr>
        <w:t>、氨、</w:t>
      </w:r>
      <w:r w:rsidR="00BD4720" w:rsidRPr="0050299D">
        <w:rPr>
          <w:rFonts w:ascii="Calibri" w:hAnsi="Calibri"/>
          <w:b/>
          <w:color w:val="auto"/>
          <w:sz w:val="24"/>
          <w:u w:val="single"/>
        </w:rPr>
        <w:t>H</w:t>
      </w:r>
      <w:r w:rsidR="00BD4720" w:rsidRPr="0050299D">
        <w:rPr>
          <w:rFonts w:ascii="Calibri" w:hAnsi="Calibri"/>
          <w:b/>
          <w:color w:val="auto"/>
          <w:sz w:val="24"/>
          <w:u w:val="single"/>
          <w:vertAlign w:val="subscript"/>
        </w:rPr>
        <w:t>2</w:t>
      </w:r>
      <w:r w:rsidR="00BD4720" w:rsidRPr="0050299D">
        <w:rPr>
          <w:rFonts w:ascii="Calibri" w:hAnsi="Calibri"/>
          <w:b/>
          <w:color w:val="auto"/>
          <w:sz w:val="24"/>
          <w:u w:val="single"/>
        </w:rPr>
        <w:t>S</w:t>
      </w:r>
      <w:r w:rsidR="006E4191" w:rsidRPr="0050299D">
        <w:rPr>
          <w:rFonts w:ascii="Calibri" w:hAnsi="Calibri" w:hint="eastAsia"/>
          <w:b/>
          <w:color w:val="auto"/>
          <w:sz w:val="24"/>
          <w:u w:val="single"/>
        </w:rPr>
        <w:t>，共计</w:t>
      </w:r>
      <w:r w:rsidR="0050299D" w:rsidRPr="0050299D">
        <w:rPr>
          <w:rFonts w:ascii="Calibri" w:hAnsi="Calibri"/>
          <w:b/>
          <w:color w:val="auto"/>
          <w:sz w:val="24"/>
          <w:u w:val="single"/>
        </w:rPr>
        <w:t>7</w:t>
      </w:r>
      <w:r w:rsidR="006E4191" w:rsidRPr="0050299D">
        <w:rPr>
          <w:rFonts w:ascii="Calibri" w:hAnsi="Calibri" w:hint="eastAsia"/>
          <w:b/>
          <w:color w:val="auto"/>
          <w:sz w:val="24"/>
          <w:u w:val="single"/>
        </w:rPr>
        <w:t>项。</w:t>
      </w:r>
    </w:p>
    <w:p w14:paraId="7D59CC41" w14:textId="77777777" w:rsidR="00E37BB6" w:rsidRPr="0050299D" w:rsidRDefault="006E4191" w:rsidP="003C53E0">
      <w:pPr>
        <w:widowControl/>
        <w:spacing w:line="520" w:lineRule="exact"/>
        <w:ind w:firstLine="480"/>
        <w:rPr>
          <w:rFonts w:ascii="Calibri" w:hAnsi="Calibri"/>
          <w:b/>
          <w:color w:val="auto"/>
          <w:sz w:val="24"/>
          <w:u w:val="single"/>
        </w:rPr>
      </w:pPr>
      <w:r w:rsidRPr="0050299D">
        <w:rPr>
          <w:rFonts w:ascii="Calibri" w:hAnsi="Calibri" w:hint="eastAsia"/>
          <w:b/>
          <w:color w:val="auto"/>
          <w:sz w:val="24"/>
          <w:u w:val="single"/>
        </w:rPr>
        <w:t>（</w:t>
      </w:r>
      <w:r w:rsidRPr="0050299D">
        <w:rPr>
          <w:rFonts w:ascii="Calibri" w:hAnsi="Calibri" w:hint="eastAsia"/>
          <w:b/>
          <w:color w:val="auto"/>
          <w:sz w:val="24"/>
          <w:u w:val="single"/>
        </w:rPr>
        <w:t>2</w:t>
      </w:r>
      <w:r w:rsidRPr="0050299D">
        <w:rPr>
          <w:rFonts w:ascii="Calibri" w:hAnsi="Calibri" w:hint="eastAsia"/>
          <w:b/>
          <w:color w:val="auto"/>
          <w:sz w:val="24"/>
          <w:u w:val="single"/>
        </w:rPr>
        <w:t>）无组织预测因子：</w:t>
      </w:r>
      <w:r w:rsidR="00BD4720" w:rsidRPr="0050299D">
        <w:rPr>
          <w:rFonts w:ascii="Calibri" w:hAnsi="Calibri" w:hint="eastAsia"/>
          <w:b/>
          <w:color w:val="auto"/>
          <w:sz w:val="24"/>
          <w:u w:val="single"/>
        </w:rPr>
        <w:t>PM</w:t>
      </w:r>
      <w:r w:rsidR="00BD4720" w:rsidRPr="0050299D">
        <w:rPr>
          <w:rFonts w:ascii="Calibri" w:hAnsi="Calibri" w:hint="eastAsia"/>
          <w:b/>
          <w:color w:val="auto"/>
          <w:sz w:val="24"/>
          <w:u w:val="single"/>
          <w:vertAlign w:val="subscript"/>
        </w:rPr>
        <w:t>10</w:t>
      </w:r>
      <w:r w:rsidR="00BD4720" w:rsidRPr="0050299D">
        <w:rPr>
          <w:rFonts w:ascii="Calibri" w:hAnsi="Calibri" w:hint="eastAsia"/>
          <w:b/>
          <w:color w:val="auto"/>
          <w:sz w:val="24"/>
          <w:u w:val="single"/>
        </w:rPr>
        <w:t>、</w:t>
      </w:r>
      <w:r w:rsidR="00BD4720" w:rsidRPr="0050299D">
        <w:rPr>
          <w:rFonts w:ascii="Calibri" w:hAnsi="Calibri" w:hint="eastAsia"/>
          <w:b/>
          <w:color w:val="auto"/>
          <w:sz w:val="24"/>
          <w:u w:val="single"/>
        </w:rPr>
        <w:t>PM</w:t>
      </w:r>
      <w:r w:rsidR="00BD4720" w:rsidRPr="0050299D">
        <w:rPr>
          <w:rFonts w:ascii="Calibri" w:hAnsi="Calibri" w:hint="eastAsia"/>
          <w:b/>
          <w:color w:val="auto"/>
          <w:sz w:val="24"/>
          <w:u w:val="single"/>
          <w:vertAlign w:val="subscript"/>
        </w:rPr>
        <w:t>2.5</w:t>
      </w:r>
      <w:r w:rsidR="00BD4720" w:rsidRPr="0050299D">
        <w:rPr>
          <w:rFonts w:ascii="Calibri" w:hAnsi="Calibri" w:hint="eastAsia"/>
          <w:b/>
          <w:color w:val="auto"/>
          <w:sz w:val="24"/>
          <w:u w:val="single"/>
        </w:rPr>
        <w:t>、</w:t>
      </w:r>
      <w:r w:rsidR="00E37BB6" w:rsidRPr="0050299D">
        <w:rPr>
          <w:rFonts w:ascii="Calibri" w:hAnsi="Calibri" w:hint="eastAsia"/>
          <w:b/>
          <w:color w:val="auto"/>
          <w:sz w:val="24"/>
          <w:u w:val="single"/>
        </w:rPr>
        <w:t>非甲烷总烃、氨、</w:t>
      </w:r>
      <w:r w:rsidR="00E37BB6" w:rsidRPr="0050299D">
        <w:rPr>
          <w:rFonts w:ascii="Calibri" w:hAnsi="Calibri"/>
          <w:b/>
          <w:color w:val="auto"/>
          <w:sz w:val="24"/>
          <w:u w:val="single"/>
        </w:rPr>
        <w:t>H</w:t>
      </w:r>
      <w:r w:rsidR="00E37BB6" w:rsidRPr="0050299D">
        <w:rPr>
          <w:rFonts w:ascii="Calibri" w:hAnsi="Calibri"/>
          <w:b/>
          <w:color w:val="auto"/>
          <w:sz w:val="24"/>
          <w:u w:val="single"/>
          <w:vertAlign w:val="subscript"/>
        </w:rPr>
        <w:t>2</w:t>
      </w:r>
      <w:r w:rsidR="00E37BB6" w:rsidRPr="0050299D">
        <w:rPr>
          <w:rFonts w:ascii="Calibri" w:hAnsi="Calibri"/>
          <w:b/>
          <w:color w:val="auto"/>
          <w:sz w:val="24"/>
          <w:u w:val="single"/>
        </w:rPr>
        <w:t>S</w:t>
      </w:r>
      <w:r w:rsidR="00E37BB6" w:rsidRPr="0050299D">
        <w:rPr>
          <w:rFonts w:ascii="Calibri" w:hAnsi="Calibri" w:hint="eastAsia"/>
          <w:b/>
          <w:color w:val="auto"/>
          <w:sz w:val="24"/>
          <w:u w:val="single"/>
        </w:rPr>
        <w:t>，共计</w:t>
      </w:r>
      <w:r w:rsidR="0050299D" w:rsidRPr="0050299D">
        <w:rPr>
          <w:rFonts w:ascii="Calibri" w:hAnsi="Calibri"/>
          <w:b/>
          <w:color w:val="auto"/>
          <w:sz w:val="24"/>
          <w:u w:val="single"/>
        </w:rPr>
        <w:t>5</w:t>
      </w:r>
      <w:r w:rsidR="00E37BB6" w:rsidRPr="0050299D">
        <w:rPr>
          <w:rFonts w:ascii="Calibri" w:hAnsi="Calibri" w:hint="eastAsia"/>
          <w:b/>
          <w:color w:val="auto"/>
          <w:sz w:val="24"/>
          <w:u w:val="single"/>
        </w:rPr>
        <w:t>项。</w:t>
      </w:r>
    </w:p>
    <w:p w14:paraId="78FDD099" w14:textId="77777777" w:rsidR="006E4191" w:rsidRPr="00A964FF" w:rsidRDefault="006E4191" w:rsidP="0055605A">
      <w:pPr>
        <w:widowControl/>
        <w:spacing w:line="520" w:lineRule="exact"/>
        <w:ind w:firstLine="480"/>
        <w:rPr>
          <w:rFonts w:ascii="Calibri" w:hAnsi="Calibri"/>
          <w:b/>
          <w:color w:val="auto"/>
          <w:sz w:val="24"/>
        </w:rPr>
      </w:pPr>
      <w:r w:rsidRPr="00A964FF">
        <w:rPr>
          <w:rFonts w:ascii="Calibri" w:hAnsi="Calibri" w:hint="eastAsia"/>
          <w:b/>
          <w:color w:val="auto"/>
          <w:sz w:val="24"/>
        </w:rPr>
        <w:t>2</w:t>
      </w:r>
      <w:r w:rsidRPr="00A964FF">
        <w:rPr>
          <w:rFonts w:ascii="Calibri" w:hAnsi="Calibri" w:hint="eastAsia"/>
          <w:b/>
          <w:color w:val="auto"/>
          <w:sz w:val="24"/>
        </w:rPr>
        <w:t>、评价标准</w:t>
      </w:r>
    </w:p>
    <w:p w14:paraId="3C386881" w14:textId="77777777" w:rsidR="006E4191" w:rsidRPr="00A964FF" w:rsidRDefault="006E4191" w:rsidP="006E4191">
      <w:pPr>
        <w:pStyle w:val="00"/>
        <w:rPr>
          <w:rFonts w:ascii="Calibri" w:hAnsi="Calibri"/>
          <w:noProof/>
          <w:color w:val="auto"/>
        </w:rPr>
      </w:pPr>
      <w:r w:rsidRPr="00A964FF">
        <w:rPr>
          <w:rFonts w:ascii="Calibri" w:hAnsi="Calibri" w:hint="eastAsia"/>
          <w:noProof/>
          <w:color w:val="auto"/>
        </w:rPr>
        <w:t>评价因子执行的环境质量标准见表</w:t>
      </w:r>
      <w:r w:rsidRPr="00A964FF">
        <w:rPr>
          <w:rFonts w:ascii="Calibri" w:hAnsi="Calibri" w:hint="eastAsia"/>
          <w:noProof/>
          <w:color w:val="auto"/>
        </w:rPr>
        <w:t>4</w:t>
      </w:r>
      <w:r w:rsidR="00910CEA" w:rsidRPr="00A964FF">
        <w:rPr>
          <w:rFonts w:ascii="Calibri" w:hAnsi="Calibri" w:hint="eastAsia"/>
          <w:noProof/>
          <w:color w:val="auto"/>
        </w:rPr>
        <w:t>.2</w:t>
      </w:r>
      <w:r w:rsidRPr="00A964FF">
        <w:rPr>
          <w:rFonts w:ascii="Calibri" w:hAnsi="Calibri" w:hint="eastAsia"/>
          <w:noProof/>
          <w:color w:val="auto"/>
        </w:rPr>
        <w:t>-</w:t>
      </w:r>
      <w:r w:rsidR="0097027F" w:rsidRPr="00A964FF">
        <w:rPr>
          <w:rFonts w:ascii="Calibri" w:hAnsi="Calibri" w:hint="eastAsia"/>
          <w:noProof/>
          <w:color w:val="auto"/>
        </w:rPr>
        <w:t>7</w:t>
      </w:r>
      <w:r w:rsidRPr="00A964FF">
        <w:rPr>
          <w:rFonts w:ascii="Calibri" w:hAnsi="Calibri" w:hint="eastAsia"/>
          <w:noProof/>
          <w:color w:val="auto"/>
        </w:rPr>
        <w:t>。</w:t>
      </w:r>
    </w:p>
    <w:p w14:paraId="5B0DFE7E" w14:textId="77777777" w:rsidR="006E4191" w:rsidRDefault="006E4191" w:rsidP="006E4191">
      <w:pPr>
        <w:pStyle w:val="00"/>
        <w:rPr>
          <w:rFonts w:ascii="Calibri" w:eastAsia="黑体" w:hAnsi="Calibri"/>
          <w:color w:val="auto"/>
        </w:rPr>
      </w:pPr>
      <w:r w:rsidRPr="00A964FF">
        <w:rPr>
          <w:rFonts w:ascii="Calibri" w:eastAsia="黑体" w:hAnsi="Calibri"/>
          <w:color w:val="auto"/>
        </w:rPr>
        <w:t>表</w:t>
      </w:r>
      <w:r w:rsidRPr="00A964FF">
        <w:rPr>
          <w:rFonts w:ascii="Calibri" w:eastAsia="黑体" w:hAnsi="Calibri" w:hint="eastAsia"/>
          <w:color w:val="auto"/>
        </w:rPr>
        <w:t>4</w:t>
      </w:r>
      <w:r w:rsidR="00910CEA" w:rsidRPr="00A964FF">
        <w:rPr>
          <w:rFonts w:ascii="Calibri" w:eastAsia="黑体" w:hAnsi="Calibri" w:hint="eastAsia"/>
          <w:color w:val="auto"/>
        </w:rPr>
        <w:t>.2</w:t>
      </w:r>
      <w:r w:rsidRPr="00A964FF">
        <w:rPr>
          <w:rFonts w:ascii="Calibri" w:eastAsia="黑体" w:hAnsi="Calibri"/>
          <w:color w:val="auto"/>
        </w:rPr>
        <w:t>-</w:t>
      </w:r>
      <w:r w:rsidR="0097027F" w:rsidRPr="00A964FF">
        <w:rPr>
          <w:rFonts w:ascii="Calibri" w:eastAsia="黑体" w:hAnsi="Calibri" w:hint="eastAsia"/>
          <w:color w:val="auto"/>
        </w:rPr>
        <w:t>7</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环境空气影响评价执行标准</w:t>
      </w:r>
    </w:p>
    <w:tbl>
      <w:tblPr>
        <w:tblW w:w="889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526"/>
        <w:gridCol w:w="1559"/>
        <w:gridCol w:w="1276"/>
        <w:gridCol w:w="992"/>
        <w:gridCol w:w="3544"/>
      </w:tblGrid>
      <w:tr w:rsidR="00E37BB6" w:rsidRPr="00A964FF" w14:paraId="04946FE4" w14:textId="77777777" w:rsidTr="00ED72C1">
        <w:trPr>
          <w:trHeight w:val="340"/>
        </w:trPr>
        <w:tc>
          <w:tcPr>
            <w:tcW w:w="1526" w:type="dxa"/>
            <w:vAlign w:val="center"/>
          </w:tcPr>
          <w:p w14:paraId="42E91B9D" w14:textId="77777777" w:rsidR="00E37BB6" w:rsidRPr="00A964FF" w:rsidRDefault="00E37BB6" w:rsidP="00ED72C1">
            <w:pPr>
              <w:jc w:val="center"/>
              <w:rPr>
                <w:rFonts w:ascii="Calibri" w:hAnsi="Calibri"/>
                <w:color w:val="auto"/>
                <w:szCs w:val="21"/>
              </w:rPr>
            </w:pPr>
            <w:r w:rsidRPr="00A964FF">
              <w:rPr>
                <w:rFonts w:ascii="Calibri"/>
                <w:color w:val="auto"/>
                <w:szCs w:val="21"/>
              </w:rPr>
              <w:t>污染物名称</w:t>
            </w:r>
          </w:p>
        </w:tc>
        <w:tc>
          <w:tcPr>
            <w:tcW w:w="1559" w:type="dxa"/>
            <w:vAlign w:val="center"/>
          </w:tcPr>
          <w:p w14:paraId="03D528D6" w14:textId="77777777" w:rsidR="00E37BB6" w:rsidRPr="00A964FF" w:rsidRDefault="00E37BB6" w:rsidP="00ED72C1">
            <w:pPr>
              <w:jc w:val="center"/>
              <w:rPr>
                <w:rFonts w:ascii="Calibri" w:hAnsi="Calibri"/>
                <w:color w:val="auto"/>
                <w:szCs w:val="21"/>
              </w:rPr>
            </w:pPr>
            <w:r w:rsidRPr="00A964FF">
              <w:rPr>
                <w:rFonts w:ascii="Calibri"/>
                <w:color w:val="auto"/>
                <w:szCs w:val="21"/>
              </w:rPr>
              <w:t>取值时间</w:t>
            </w:r>
          </w:p>
        </w:tc>
        <w:tc>
          <w:tcPr>
            <w:tcW w:w="1276" w:type="dxa"/>
            <w:vAlign w:val="center"/>
          </w:tcPr>
          <w:p w14:paraId="238C4235" w14:textId="77777777" w:rsidR="00E37BB6" w:rsidRPr="00A964FF" w:rsidRDefault="00E37BB6" w:rsidP="00ED72C1">
            <w:pPr>
              <w:jc w:val="center"/>
              <w:rPr>
                <w:rFonts w:ascii="Calibri" w:hAnsi="Calibri"/>
                <w:color w:val="auto"/>
                <w:szCs w:val="21"/>
              </w:rPr>
            </w:pPr>
            <w:r w:rsidRPr="00A964FF">
              <w:rPr>
                <w:rFonts w:ascii="Calibri"/>
                <w:color w:val="auto"/>
                <w:szCs w:val="21"/>
              </w:rPr>
              <w:t>标准限值</w:t>
            </w:r>
          </w:p>
        </w:tc>
        <w:tc>
          <w:tcPr>
            <w:tcW w:w="992" w:type="dxa"/>
            <w:vAlign w:val="center"/>
          </w:tcPr>
          <w:p w14:paraId="56D4A207" w14:textId="77777777" w:rsidR="00E37BB6" w:rsidRPr="00A964FF" w:rsidRDefault="00E37BB6" w:rsidP="00ED72C1">
            <w:pPr>
              <w:jc w:val="center"/>
              <w:rPr>
                <w:rFonts w:ascii="Calibri" w:hAnsi="Calibri"/>
                <w:color w:val="auto"/>
                <w:szCs w:val="21"/>
              </w:rPr>
            </w:pPr>
            <w:r w:rsidRPr="00A964FF">
              <w:rPr>
                <w:rFonts w:ascii="Calibri"/>
                <w:color w:val="auto"/>
                <w:szCs w:val="21"/>
              </w:rPr>
              <w:t>单位</w:t>
            </w:r>
          </w:p>
        </w:tc>
        <w:tc>
          <w:tcPr>
            <w:tcW w:w="3544" w:type="dxa"/>
            <w:vAlign w:val="center"/>
          </w:tcPr>
          <w:p w14:paraId="3658B7EA" w14:textId="77777777" w:rsidR="00E37BB6" w:rsidRPr="00A964FF" w:rsidRDefault="00E37BB6" w:rsidP="00ED72C1">
            <w:pPr>
              <w:jc w:val="center"/>
              <w:rPr>
                <w:rFonts w:ascii="Calibri" w:hAnsi="Calibri"/>
                <w:color w:val="auto"/>
                <w:szCs w:val="21"/>
              </w:rPr>
            </w:pPr>
            <w:r w:rsidRPr="00A964FF">
              <w:rPr>
                <w:rFonts w:ascii="Calibri"/>
                <w:color w:val="auto"/>
                <w:szCs w:val="21"/>
              </w:rPr>
              <w:t>标准来源</w:t>
            </w:r>
          </w:p>
        </w:tc>
      </w:tr>
      <w:tr w:rsidR="00E37BB6" w:rsidRPr="00A964FF" w14:paraId="5037B2EA" w14:textId="77777777" w:rsidTr="00ED72C1">
        <w:trPr>
          <w:trHeight w:val="340"/>
        </w:trPr>
        <w:tc>
          <w:tcPr>
            <w:tcW w:w="1526" w:type="dxa"/>
            <w:vMerge w:val="restart"/>
            <w:vAlign w:val="center"/>
          </w:tcPr>
          <w:p w14:paraId="4D95362C"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PM</w:t>
            </w:r>
            <w:r w:rsidRPr="00A964FF">
              <w:rPr>
                <w:rFonts w:ascii="Calibri" w:hAnsi="Calibri"/>
                <w:color w:val="auto"/>
                <w:szCs w:val="21"/>
                <w:vertAlign w:val="subscript"/>
              </w:rPr>
              <w:t>10</w:t>
            </w:r>
          </w:p>
        </w:tc>
        <w:tc>
          <w:tcPr>
            <w:tcW w:w="1559" w:type="dxa"/>
            <w:vAlign w:val="center"/>
          </w:tcPr>
          <w:p w14:paraId="704C2699"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3471BC03"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150</w:t>
            </w:r>
          </w:p>
        </w:tc>
        <w:tc>
          <w:tcPr>
            <w:tcW w:w="992" w:type="dxa"/>
            <w:vMerge w:val="restart"/>
            <w:vAlign w:val="center"/>
          </w:tcPr>
          <w:p w14:paraId="0A467F75"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μg/m³</w:t>
            </w:r>
          </w:p>
        </w:tc>
        <w:tc>
          <w:tcPr>
            <w:tcW w:w="3544" w:type="dxa"/>
            <w:vMerge w:val="restart"/>
            <w:vAlign w:val="center"/>
          </w:tcPr>
          <w:p w14:paraId="4D94601A" w14:textId="77777777" w:rsidR="00E37BB6" w:rsidRPr="00A964FF" w:rsidRDefault="00E37BB6" w:rsidP="00ED72C1">
            <w:pPr>
              <w:spacing w:line="240" w:lineRule="atLeast"/>
              <w:jc w:val="center"/>
              <w:rPr>
                <w:rFonts w:ascii="Calibri" w:hAnsi="Calibri"/>
                <w:color w:val="auto"/>
                <w:szCs w:val="21"/>
              </w:rPr>
            </w:pPr>
            <w:r w:rsidRPr="00A964FF">
              <w:rPr>
                <w:rFonts w:ascii="Calibri" w:hAnsi="Calibri"/>
                <w:color w:val="auto"/>
              </w:rPr>
              <w:t>《环境空气质量标准》（</w:t>
            </w:r>
            <w:r w:rsidRPr="00A964FF">
              <w:rPr>
                <w:rFonts w:ascii="Calibri" w:hAnsi="Calibri"/>
                <w:color w:val="auto"/>
              </w:rPr>
              <w:t>GB3095-2012</w:t>
            </w:r>
            <w:r w:rsidRPr="00A964FF">
              <w:rPr>
                <w:rFonts w:ascii="Calibri" w:hAnsi="Calibri"/>
                <w:color w:val="auto"/>
              </w:rPr>
              <w:t>）二级标准</w:t>
            </w:r>
            <w:r w:rsidRPr="00A964FF">
              <w:rPr>
                <w:rFonts w:ascii="Calibri" w:hAnsi="Calibri" w:hint="eastAsia"/>
                <w:color w:val="auto"/>
              </w:rPr>
              <w:t>及修改单</w:t>
            </w:r>
          </w:p>
        </w:tc>
      </w:tr>
      <w:tr w:rsidR="00E37BB6" w:rsidRPr="00A964FF" w14:paraId="1A490724" w14:textId="77777777" w:rsidTr="00ED72C1">
        <w:trPr>
          <w:trHeight w:val="340"/>
        </w:trPr>
        <w:tc>
          <w:tcPr>
            <w:tcW w:w="1526" w:type="dxa"/>
            <w:vMerge/>
            <w:vAlign w:val="center"/>
          </w:tcPr>
          <w:p w14:paraId="03D7A350" w14:textId="77777777" w:rsidR="00E37BB6" w:rsidRPr="00A964FF" w:rsidRDefault="00E37BB6" w:rsidP="00ED72C1">
            <w:pPr>
              <w:jc w:val="center"/>
              <w:rPr>
                <w:rFonts w:ascii="Calibri" w:hAnsi="Calibri"/>
                <w:color w:val="auto"/>
                <w:szCs w:val="21"/>
              </w:rPr>
            </w:pPr>
          </w:p>
        </w:tc>
        <w:tc>
          <w:tcPr>
            <w:tcW w:w="1559" w:type="dxa"/>
            <w:vAlign w:val="center"/>
          </w:tcPr>
          <w:p w14:paraId="02A0E18C"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70F97526"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70</w:t>
            </w:r>
          </w:p>
        </w:tc>
        <w:tc>
          <w:tcPr>
            <w:tcW w:w="992" w:type="dxa"/>
            <w:vMerge/>
            <w:vAlign w:val="center"/>
          </w:tcPr>
          <w:p w14:paraId="2D1022FA" w14:textId="77777777" w:rsidR="00E37BB6" w:rsidRPr="00A964FF" w:rsidRDefault="00E37BB6" w:rsidP="00ED72C1">
            <w:pPr>
              <w:jc w:val="center"/>
              <w:rPr>
                <w:rFonts w:ascii="Calibri" w:hAnsi="Calibri"/>
                <w:color w:val="auto"/>
                <w:szCs w:val="21"/>
              </w:rPr>
            </w:pPr>
          </w:p>
        </w:tc>
        <w:tc>
          <w:tcPr>
            <w:tcW w:w="3544" w:type="dxa"/>
            <w:vMerge/>
            <w:vAlign w:val="center"/>
          </w:tcPr>
          <w:p w14:paraId="5F1A9813" w14:textId="77777777" w:rsidR="00E37BB6" w:rsidRPr="00A964FF" w:rsidRDefault="00E37BB6" w:rsidP="00ED72C1">
            <w:pPr>
              <w:spacing w:line="240" w:lineRule="atLeast"/>
              <w:jc w:val="center"/>
              <w:rPr>
                <w:rFonts w:ascii="Calibri" w:hAnsi="Calibri"/>
                <w:color w:val="auto"/>
              </w:rPr>
            </w:pPr>
          </w:p>
        </w:tc>
      </w:tr>
      <w:tr w:rsidR="00E37BB6" w:rsidRPr="00A964FF" w14:paraId="101ACF58" w14:textId="77777777" w:rsidTr="00ED72C1">
        <w:trPr>
          <w:trHeight w:val="340"/>
        </w:trPr>
        <w:tc>
          <w:tcPr>
            <w:tcW w:w="1526" w:type="dxa"/>
            <w:vMerge w:val="restart"/>
            <w:vAlign w:val="center"/>
          </w:tcPr>
          <w:p w14:paraId="7EA3BBAD"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PM</w:t>
            </w:r>
            <w:r w:rsidRPr="00A964FF">
              <w:rPr>
                <w:rFonts w:ascii="Calibri" w:hAnsi="Calibri" w:hint="eastAsia"/>
                <w:color w:val="auto"/>
                <w:szCs w:val="21"/>
                <w:vertAlign w:val="subscript"/>
              </w:rPr>
              <w:t>2.5</w:t>
            </w:r>
          </w:p>
        </w:tc>
        <w:tc>
          <w:tcPr>
            <w:tcW w:w="1559" w:type="dxa"/>
            <w:vAlign w:val="center"/>
          </w:tcPr>
          <w:p w14:paraId="6A63E69D"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1592FE2A"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75</w:t>
            </w:r>
          </w:p>
        </w:tc>
        <w:tc>
          <w:tcPr>
            <w:tcW w:w="992" w:type="dxa"/>
            <w:vMerge w:val="restart"/>
            <w:vAlign w:val="center"/>
          </w:tcPr>
          <w:p w14:paraId="432D3EAA"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μg/m³</w:t>
            </w:r>
          </w:p>
        </w:tc>
        <w:tc>
          <w:tcPr>
            <w:tcW w:w="3544" w:type="dxa"/>
            <w:vMerge/>
            <w:vAlign w:val="center"/>
          </w:tcPr>
          <w:p w14:paraId="39C9DC72" w14:textId="77777777" w:rsidR="00E37BB6" w:rsidRPr="00A964FF" w:rsidRDefault="00E37BB6" w:rsidP="00ED72C1">
            <w:pPr>
              <w:spacing w:line="240" w:lineRule="atLeast"/>
              <w:jc w:val="center"/>
              <w:rPr>
                <w:rFonts w:ascii="Calibri" w:hAnsi="Calibri"/>
                <w:color w:val="auto"/>
              </w:rPr>
            </w:pPr>
          </w:p>
        </w:tc>
      </w:tr>
      <w:tr w:rsidR="00E37BB6" w:rsidRPr="00A964FF" w14:paraId="5A118970" w14:textId="77777777" w:rsidTr="00ED72C1">
        <w:trPr>
          <w:trHeight w:val="340"/>
        </w:trPr>
        <w:tc>
          <w:tcPr>
            <w:tcW w:w="1526" w:type="dxa"/>
            <w:vMerge/>
            <w:vAlign w:val="center"/>
          </w:tcPr>
          <w:p w14:paraId="6F9112D8" w14:textId="77777777" w:rsidR="00E37BB6" w:rsidRPr="00A964FF" w:rsidRDefault="00E37BB6" w:rsidP="00ED72C1">
            <w:pPr>
              <w:jc w:val="center"/>
              <w:rPr>
                <w:rFonts w:ascii="Calibri" w:hAnsi="Calibri"/>
                <w:color w:val="auto"/>
                <w:szCs w:val="21"/>
              </w:rPr>
            </w:pPr>
          </w:p>
        </w:tc>
        <w:tc>
          <w:tcPr>
            <w:tcW w:w="1559" w:type="dxa"/>
            <w:vAlign w:val="center"/>
          </w:tcPr>
          <w:p w14:paraId="2B8CEB4C"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582B7BC7"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35</w:t>
            </w:r>
          </w:p>
        </w:tc>
        <w:tc>
          <w:tcPr>
            <w:tcW w:w="992" w:type="dxa"/>
            <w:vMerge/>
            <w:vAlign w:val="center"/>
          </w:tcPr>
          <w:p w14:paraId="173871D7" w14:textId="77777777" w:rsidR="00E37BB6" w:rsidRPr="00A964FF" w:rsidRDefault="00E37BB6" w:rsidP="00ED72C1">
            <w:pPr>
              <w:jc w:val="center"/>
              <w:rPr>
                <w:rFonts w:ascii="Calibri" w:hAnsi="Calibri"/>
                <w:color w:val="auto"/>
                <w:szCs w:val="21"/>
              </w:rPr>
            </w:pPr>
          </w:p>
        </w:tc>
        <w:tc>
          <w:tcPr>
            <w:tcW w:w="3544" w:type="dxa"/>
            <w:vMerge/>
            <w:vAlign w:val="center"/>
          </w:tcPr>
          <w:p w14:paraId="6B73F1D6" w14:textId="77777777" w:rsidR="00E37BB6" w:rsidRPr="00A964FF" w:rsidRDefault="00E37BB6" w:rsidP="00ED72C1">
            <w:pPr>
              <w:spacing w:line="240" w:lineRule="atLeast"/>
              <w:jc w:val="center"/>
              <w:rPr>
                <w:rFonts w:ascii="Calibri" w:hAnsi="Calibri"/>
                <w:color w:val="auto"/>
              </w:rPr>
            </w:pPr>
          </w:p>
        </w:tc>
      </w:tr>
      <w:tr w:rsidR="00E37BB6" w:rsidRPr="00A964FF" w14:paraId="3EBF61F5" w14:textId="77777777" w:rsidTr="00ED72C1">
        <w:trPr>
          <w:trHeight w:val="340"/>
        </w:trPr>
        <w:tc>
          <w:tcPr>
            <w:tcW w:w="1526" w:type="dxa"/>
            <w:vMerge w:val="restart"/>
            <w:vAlign w:val="center"/>
          </w:tcPr>
          <w:p w14:paraId="6DD280B3"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SO</w:t>
            </w:r>
            <w:r w:rsidRPr="00A964FF">
              <w:rPr>
                <w:rFonts w:ascii="Calibri" w:hAnsi="Calibri"/>
                <w:color w:val="auto"/>
                <w:szCs w:val="21"/>
                <w:vertAlign w:val="subscript"/>
              </w:rPr>
              <w:t>2</w:t>
            </w:r>
          </w:p>
        </w:tc>
        <w:tc>
          <w:tcPr>
            <w:tcW w:w="1559" w:type="dxa"/>
            <w:vAlign w:val="center"/>
          </w:tcPr>
          <w:p w14:paraId="3FA04C43"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039A7C49"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500</w:t>
            </w:r>
          </w:p>
        </w:tc>
        <w:tc>
          <w:tcPr>
            <w:tcW w:w="992" w:type="dxa"/>
            <w:vMerge w:val="restart"/>
            <w:vAlign w:val="center"/>
          </w:tcPr>
          <w:p w14:paraId="589EBD1B" w14:textId="77777777" w:rsidR="00E37BB6" w:rsidRPr="00A964FF" w:rsidRDefault="00E37BB6" w:rsidP="00ED72C1">
            <w:pPr>
              <w:spacing w:line="240" w:lineRule="atLeast"/>
              <w:jc w:val="center"/>
              <w:rPr>
                <w:rFonts w:ascii="Calibri" w:hAnsi="Calibri"/>
                <w:color w:val="auto"/>
                <w:szCs w:val="21"/>
              </w:rPr>
            </w:pPr>
            <w:r w:rsidRPr="00A964FF">
              <w:rPr>
                <w:rFonts w:ascii="Calibri" w:hAnsi="Calibri"/>
                <w:color w:val="auto"/>
                <w:szCs w:val="21"/>
              </w:rPr>
              <w:t>μg/m³</w:t>
            </w:r>
          </w:p>
        </w:tc>
        <w:tc>
          <w:tcPr>
            <w:tcW w:w="3544" w:type="dxa"/>
            <w:vMerge/>
            <w:vAlign w:val="center"/>
          </w:tcPr>
          <w:p w14:paraId="5CC9A4AD" w14:textId="77777777" w:rsidR="00E37BB6" w:rsidRPr="00A964FF" w:rsidRDefault="00E37BB6" w:rsidP="00ED72C1">
            <w:pPr>
              <w:spacing w:line="240" w:lineRule="atLeast"/>
              <w:jc w:val="center"/>
              <w:rPr>
                <w:rFonts w:ascii="Calibri" w:hAnsi="Calibri"/>
                <w:color w:val="auto"/>
                <w:szCs w:val="21"/>
              </w:rPr>
            </w:pPr>
          </w:p>
        </w:tc>
      </w:tr>
      <w:tr w:rsidR="00E37BB6" w:rsidRPr="00A964FF" w14:paraId="467EB26A" w14:textId="77777777" w:rsidTr="00ED72C1">
        <w:trPr>
          <w:trHeight w:val="340"/>
        </w:trPr>
        <w:tc>
          <w:tcPr>
            <w:tcW w:w="1526" w:type="dxa"/>
            <w:vMerge/>
            <w:vAlign w:val="center"/>
          </w:tcPr>
          <w:p w14:paraId="4F1DB710" w14:textId="77777777" w:rsidR="00E37BB6" w:rsidRPr="00A964FF" w:rsidRDefault="00E37BB6" w:rsidP="00ED72C1">
            <w:pPr>
              <w:jc w:val="center"/>
              <w:rPr>
                <w:rFonts w:ascii="Calibri" w:hAnsi="Calibri"/>
                <w:color w:val="auto"/>
                <w:szCs w:val="21"/>
              </w:rPr>
            </w:pPr>
          </w:p>
        </w:tc>
        <w:tc>
          <w:tcPr>
            <w:tcW w:w="1559" w:type="dxa"/>
            <w:vAlign w:val="center"/>
          </w:tcPr>
          <w:p w14:paraId="4204D075"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4DBDE4B5"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150</w:t>
            </w:r>
          </w:p>
        </w:tc>
        <w:tc>
          <w:tcPr>
            <w:tcW w:w="992" w:type="dxa"/>
            <w:vMerge/>
            <w:vAlign w:val="center"/>
          </w:tcPr>
          <w:p w14:paraId="08FBC32E" w14:textId="77777777" w:rsidR="00E37BB6" w:rsidRPr="00A964FF" w:rsidRDefault="00E37BB6" w:rsidP="00ED72C1">
            <w:pPr>
              <w:spacing w:line="240" w:lineRule="atLeast"/>
              <w:jc w:val="center"/>
              <w:rPr>
                <w:rFonts w:ascii="Calibri" w:hAnsi="Calibri"/>
                <w:color w:val="auto"/>
                <w:szCs w:val="21"/>
              </w:rPr>
            </w:pPr>
          </w:p>
        </w:tc>
        <w:tc>
          <w:tcPr>
            <w:tcW w:w="3544" w:type="dxa"/>
            <w:vMerge/>
            <w:vAlign w:val="center"/>
          </w:tcPr>
          <w:p w14:paraId="3D7B83DE" w14:textId="77777777" w:rsidR="00E37BB6" w:rsidRPr="00A964FF" w:rsidRDefault="00E37BB6" w:rsidP="00ED72C1">
            <w:pPr>
              <w:spacing w:line="240" w:lineRule="atLeast"/>
              <w:jc w:val="center"/>
              <w:rPr>
                <w:rFonts w:ascii="Calibri" w:hAnsi="Calibri"/>
                <w:color w:val="auto"/>
                <w:szCs w:val="21"/>
              </w:rPr>
            </w:pPr>
          </w:p>
        </w:tc>
      </w:tr>
      <w:tr w:rsidR="00E37BB6" w:rsidRPr="00A964FF" w14:paraId="1F8CF503" w14:textId="77777777" w:rsidTr="00ED72C1">
        <w:trPr>
          <w:trHeight w:val="340"/>
        </w:trPr>
        <w:tc>
          <w:tcPr>
            <w:tcW w:w="1526" w:type="dxa"/>
            <w:vMerge/>
            <w:vAlign w:val="center"/>
          </w:tcPr>
          <w:p w14:paraId="058F7363" w14:textId="77777777" w:rsidR="00E37BB6" w:rsidRPr="00A964FF" w:rsidRDefault="00E37BB6" w:rsidP="00ED72C1">
            <w:pPr>
              <w:jc w:val="center"/>
              <w:rPr>
                <w:rFonts w:ascii="Calibri" w:hAnsi="Calibri"/>
                <w:color w:val="auto"/>
                <w:szCs w:val="21"/>
              </w:rPr>
            </w:pPr>
          </w:p>
        </w:tc>
        <w:tc>
          <w:tcPr>
            <w:tcW w:w="1559" w:type="dxa"/>
            <w:vAlign w:val="center"/>
          </w:tcPr>
          <w:p w14:paraId="6B4A5F80"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1F3E96BB"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60</w:t>
            </w:r>
          </w:p>
        </w:tc>
        <w:tc>
          <w:tcPr>
            <w:tcW w:w="992" w:type="dxa"/>
            <w:vMerge/>
            <w:vAlign w:val="center"/>
          </w:tcPr>
          <w:p w14:paraId="3F2946B2" w14:textId="77777777" w:rsidR="00E37BB6" w:rsidRPr="00A964FF" w:rsidRDefault="00E37BB6" w:rsidP="00ED72C1">
            <w:pPr>
              <w:spacing w:line="240" w:lineRule="atLeast"/>
              <w:jc w:val="center"/>
              <w:rPr>
                <w:rFonts w:ascii="Calibri" w:hAnsi="Calibri"/>
                <w:color w:val="auto"/>
                <w:szCs w:val="21"/>
              </w:rPr>
            </w:pPr>
          </w:p>
        </w:tc>
        <w:tc>
          <w:tcPr>
            <w:tcW w:w="3544" w:type="dxa"/>
            <w:vMerge/>
            <w:vAlign w:val="center"/>
          </w:tcPr>
          <w:p w14:paraId="2D89EE6F" w14:textId="77777777" w:rsidR="00E37BB6" w:rsidRPr="00A964FF" w:rsidRDefault="00E37BB6" w:rsidP="00ED72C1">
            <w:pPr>
              <w:spacing w:line="240" w:lineRule="atLeast"/>
              <w:jc w:val="center"/>
              <w:rPr>
                <w:rFonts w:ascii="Calibri" w:hAnsi="Calibri"/>
                <w:color w:val="auto"/>
                <w:szCs w:val="21"/>
              </w:rPr>
            </w:pPr>
          </w:p>
        </w:tc>
      </w:tr>
      <w:tr w:rsidR="00E37BB6" w:rsidRPr="00A964FF" w14:paraId="558BA46B" w14:textId="77777777" w:rsidTr="00ED72C1">
        <w:trPr>
          <w:trHeight w:val="340"/>
        </w:trPr>
        <w:tc>
          <w:tcPr>
            <w:tcW w:w="1526" w:type="dxa"/>
            <w:vMerge w:val="restart"/>
            <w:vAlign w:val="center"/>
          </w:tcPr>
          <w:p w14:paraId="7DA04203" w14:textId="77777777" w:rsidR="00E37BB6" w:rsidRPr="00A964FF" w:rsidRDefault="00E37BB6" w:rsidP="00ED72C1">
            <w:pPr>
              <w:jc w:val="center"/>
              <w:rPr>
                <w:rFonts w:ascii="Calibri" w:hAnsi="Calibri"/>
                <w:color w:val="auto"/>
                <w:szCs w:val="21"/>
              </w:rPr>
            </w:pPr>
            <w:r w:rsidRPr="00A964FF">
              <w:rPr>
                <w:rFonts w:ascii="Calibri" w:hint="eastAsia"/>
                <w:color w:val="auto"/>
                <w:sz w:val="24"/>
              </w:rPr>
              <w:t>NO</w:t>
            </w:r>
            <w:r w:rsidRPr="00A964FF">
              <w:rPr>
                <w:rFonts w:ascii="Calibri" w:hint="eastAsia"/>
                <w:color w:val="auto"/>
                <w:sz w:val="24"/>
                <w:vertAlign w:val="subscript"/>
              </w:rPr>
              <w:t>2</w:t>
            </w:r>
          </w:p>
        </w:tc>
        <w:tc>
          <w:tcPr>
            <w:tcW w:w="1559" w:type="dxa"/>
            <w:vAlign w:val="center"/>
          </w:tcPr>
          <w:p w14:paraId="081169B3"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1F10AE34"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200</w:t>
            </w:r>
          </w:p>
        </w:tc>
        <w:tc>
          <w:tcPr>
            <w:tcW w:w="992" w:type="dxa"/>
            <w:vMerge w:val="restart"/>
            <w:vAlign w:val="center"/>
          </w:tcPr>
          <w:p w14:paraId="5DF7C0E1" w14:textId="77777777" w:rsidR="00E37BB6" w:rsidRPr="00A964FF" w:rsidRDefault="00E37BB6" w:rsidP="00ED72C1">
            <w:pPr>
              <w:spacing w:line="240" w:lineRule="atLeast"/>
              <w:jc w:val="center"/>
              <w:rPr>
                <w:rFonts w:ascii="Calibri" w:hAnsi="Calibri"/>
                <w:color w:val="auto"/>
                <w:szCs w:val="21"/>
              </w:rPr>
            </w:pPr>
            <w:r w:rsidRPr="00A964FF">
              <w:rPr>
                <w:rFonts w:ascii="Calibri" w:hAnsi="Calibri"/>
                <w:color w:val="auto"/>
                <w:szCs w:val="21"/>
              </w:rPr>
              <w:t>μg/m³</w:t>
            </w:r>
          </w:p>
        </w:tc>
        <w:tc>
          <w:tcPr>
            <w:tcW w:w="3544" w:type="dxa"/>
            <w:vMerge/>
            <w:vAlign w:val="center"/>
          </w:tcPr>
          <w:p w14:paraId="04AF563A" w14:textId="77777777" w:rsidR="00E37BB6" w:rsidRPr="00A964FF" w:rsidRDefault="00E37BB6" w:rsidP="00ED72C1">
            <w:pPr>
              <w:spacing w:line="240" w:lineRule="atLeast"/>
              <w:jc w:val="center"/>
              <w:rPr>
                <w:rFonts w:ascii="Calibri" w:hAnsi="Calibri"/>
                <w:color w:val="auto"/>
                <w:szCs w:val="21"/>
              </w:rPr>
            </w:pPr>
          </w:p>
        </w:tc>
      </w:tr>
      <w:tr w:rsidR="00E37BB6" w:rsidRPr="00A964FF" w14:paraId="024A6BC9" w14:textId="77777777" w:rsidTr="00ED72C1">
        <w:trPr>
          <w:trHeight w:val="340"/>
        </w:trPr>
        <w:tc>
          <w:tcPr>
            <w:tcW w:w="1526" w:type="dxa"/>
            <w:vMerge/>
            <w:vAlign w:val="center"/>
          </w:tcPr>
          <w:p w14:paraId="692F834C" w14:textId="77777777" w:rsidR="00E37BB6" w:rsidRPr="00A964FF" w:rsidRDefault="00E37BB6" w:rsidP="00ED72C1">
            <w:pPr>
              <w:jc w:val="center"/>
              <w:rPr>
                <w:rFonts w:ascii="Calibri" w:hAnsi="Calibri"/>
                <w:color w:val="auto"/>
                <w:szCs w:val="21"/>
              </w:rPr>
            </w:pPr>
          </w:p>
        </w:tc>
        <w:tc>
          <w:tcPr>
            <w:tcW w:w="1559" w:type="dxa"/>
            <w:vAlign w:val="center"/>
          </w:tcPr>
          <w:p w14:paraId="5ECCE010"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74BC9D67"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80</w:t>
            </w:r>
          </w:p>
        </w:tc>
        <w:tc>
          <w:tcPr>
            <w:tcW w:w="992" w:type="dxa"/>
            <w:vMerge/>
            <w:vAlign w:val="center"/>
          </w:tcPr>
          <w:p w14:paraId="02EF5F39" w14:textId="77777777" w:rsidR="00E37BB6" w:rsidRPr="00A964FF" w:rsidRDefault="00E37BB6" w:rsidP="00ED72C1">
            <w:pPr>
              <w:spacing w:line="240" w:lineRule="atLeast"/>
              <w:jc w:val="center"/>
              <w:rPr>
                <w:rFonts w:ascii="Calibri" w:hAnsi="Calibri"/>
                <w:color w:val="auto"/>
                <w:szCs w:val="21"/>
              </w:rPr>
            </w:pPr>
          </w:p>
        </w:tc>
        <w:tc>
          <w:tcPr>
            <w:tcW w:w="3544" w:type="dxa"/>
            <w:vMerge/>
            <w:vAlign w:val="center"/>
          </w:tcPr>
          <w:p w14:paraId="3424C947" w14:textId="77777777" w:rsidR="00E37BB6" w:rsidRPr="00A964FF" w:rsidRDefault="00E37BB6" w:rsidP="00ED72C1">
            <w:pPr>
              <w:spacing w:line="240" w:lineRule="atLeast"/>
              <w:jc w:val="center"/>
              <w:rPr>
                <w:rFonts w:ascii="Calibri" w:hAnsi="Calibri"/>
                <w:color w:val="auto"/>
                <w:szCs w:val="21"/>
              </w:rPr>
            </w:pPr>
          </w:p>
        </w:tc>
      </w:tr>
      <w:tr w:rsidR="00E37BB6" w:rsidRPr="00A964FF" w14:paraId="08D4E57D" w14:textId="77777777" w:rsidTr="00ED72C1">
        <w:trPr>
          <w:trHeight w:val="340"/>
        </w:trPr>
        <w:tc>
          <w:tcPr>
            <w:tcW w:w="1526" w:type="dxa"/>
            <w:vMerge/>
            <w:vAlign w:val="center"/>
          </w:tcPr>
          <w:p w14:paraId="7C15B0F8" w14:textId="77777777" w:rsidR="00E37BB6" w:rsidRPr="00A964FF" w:rsidRDefault="00E37BB6" w:rsidP="00ED72C1">
            <w:pPr>
              <w:jc w:val="center"/>
              <w:rPr>
                <w:rFonts w:ascii="Calibri" w:hAnsi="Calibri"/>
                <w:color w:val="auto"/>
                <w:szCs w:val="21"/>
              </w:rPr>
            </w:pPr>
          </w:p>
        </w:tc>
        <w:tc>
          <w:tcPr>
            <w:tcW w:w="1559" w:type="dxa"/>
            <w:vAlign w:val="center"/>
          </w:tcPr>
          <w:p w14:paraId="673307B7"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2BBBDE5C"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40</w:t>
            </w:r>
          </w:p>
        </w:tc>
        <w:tc>
          <w:tcPr>
            <w:tcW w:w="992" w:type="dxa"/>
            <w:vMerge/>
            <w:vAlign w:val="center"/>
          </w:tcPr>
          <w:p w14:paraId="614E31F5" w14:textId="77777777" w:rsidR="00E37BB6" w:rsidRPr="00A964FF" w:rsidRDefault="00E37BB6" w:rsidP="00ED72C1">
            <w:pPr>
              <w:spacing w:line="240" w:lineRule="atLeast"/>
              <w:jc w:val="center"/>
              <w:rPr>
                <w:rFonts w:ascii="Calibri" w:hAnsi="Calibri"/>
                <w:color w:val="auto"/>
                <w:szCs w:val="21"/>
              </w:rPr>
            </w:pPr>
          </w:p>
        </w:tc>
        <w:tc>
          <w:tcPr>
            <w:tcW w:w="3544" w:type="dxa"/>
            <w:vMerge/>
            <w:vAlign w:val="center"/>
          </w:tcPr>
          <w:p w14:paraId="0FDF693C" w14:textId="77777777" w:rsidR="00E37BB6" w:rsidRPr="00A964FF" w:rsidRDefault="00E37BB6" w:rsidP="00ED72C1">
            <w:pPr>
              <w:spacing w:line="240" w:lineRule="atLeast"/>
              <w:jc w:val="center"/>
              <w:rPr>
                <w:rFonts w:ascii="Calibri" w:hAnsi="Calibri"/>
                <w:color w:val="auto"/>
                <w:szCs w:val="21"/>
              </w:rPr>
            </w:pPr>
          </w:p>
        </w:tc>
      </w:tr>
      <w:tr w:rsidR="00E37BB6" w:rsidRPr="00A964FF" w14:paraId="2A873470" w14:textId="77777777" w:rsidTr="00ED72C1">
        <w:trPr>
          <w:trHeight w:val="340"/>
        </w:trPr>
        <w:tc>
          <w:tcPr>
            <w:tcW w:w="1526" w:type="dxa"/>
            <w:vMerge w:val="restart"/>
            <w:vAlign w:val="center"/>
          </w:tcPr>
          <w:p w14:paraId="6A7492D9"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NO</w:t>
            </w:r>
            <w:r w:rsidRPr="00A964FF">
              <w:rPr>
                <w:rFonts w:ascii="Calibri" w:hAnsi="Calibri" w:hint="eastAsia"/>
                <w:color w:val="auto"/>
                <w:szCs w:val="21"/>
              </w:rPr>
              <w:t>x</w:t>
            </w:r>
          </w:p>
        </w:tc>
        <w:tc>
          <w:tcPr>
            <w:tcW w:w="1559" w:type="dxa"/>
            <w:vAlign w:val="center"/>
          </w:tcPr>
          <w:p w14:paraId="15326FA4"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4AF1B421"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250</w:t>
            </w:r>
          </w:p>
        </w:tc>
        <w:tc>
          <w:tcPr>
            <w:tcW w:w="992" w:type="dxa"/>
            <w:vMerge w:val="restart"/>
            <w:vAlign w:val="center"/>
          </w:tcPr>
          <w:p w14:paraId="35982FC1"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μg/m³</w:t>
            </w:r>
          </w:p>
        </w:tc>
        <w:tc>
          <w:tcPr>
            <w:tcW w:w="3544" w:type="dxa"/>
            <w:vMerge/>
            <w:vAlign w:val="center"/>
          </w:tcPr>
          <w:p w14:paraId="2A6CC9D2" w14:textId="77777777" w:rsidR="00E37BB6" w:rsidRPr="00A964FF" w:rsidRDefault="00E37BB6" w:rsidP="00ED72C1">
            <w:pPr>
              <w:spacing w:line="240" w:lineRule="atLeast"/>
              <w:jc w:val="center"/>
              <w:rPr>
                <w:rFonts w:ascii="Calibri" w:hAnsi="Calibri"/>
                <w:color w:val="auto"/>
                <w:szCs w:val="21"/>
              </w:rPr>
            </w:pPr>
          </w:p>
        </w:tc>
      </w:tr>
      <w:tr w:rsidR="00E37BB6" w:rsidRPr="00A964FF" w14:paraId="3F72D2F4" w14:textId="77777777" w:rsidTr="00ED72C1">
        <w:trPr>
          <w:trHeight w:val="340"/>
        </w:trPr>
        <w:tc>
          <w:tcPr>
            <w:tcW w:w="1526" w:type="dxa"/>
            <w:vMerge/>
            <w:vAlign w:val="center"/>
          </w:tcPr>
          <w:p w14:paraId="1FF37A8A" w14:textId="77777777" w:rsidR="00E37BB6" w:rsidRPr="00A964FF" w:rsidRDefault="00E37BB6" w:rsidP="00ED72C1">
            <w:pPr>
              <w:jc w:val="center"/>
              <w:rPr>
                <w:rFonts w:ascii="Calibri" w:hAnsi="Calibri"/>
                <w:color w:val="auto"/>
                <w:szCs w:val="21"/>
              </w:rPr>
            </w:pPr>
          </w:p>
        </w:tc>
        <w:tc>
          <w:tcPr>
            <w:tcW w:w="1559" w:type="dxa"/>
            <w:vAlign w:val="center"/>
          </w:tcPr>
          <w:p w14:paraId="5AB0CF68"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4C11A95D"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100</w:t>
            </w:r>
          </w:p>
        </w:tc>
        <w:tc>
          <w:tcPr>
            <w:tcW w:w="992" w:type="dxa"/>
            <w:vMerge/>
            <w:vAlign w:val="center"/>
          </w:tcPr>
          <w:p w14:paraId="5C9B33CB" w14:textId="77777777" w:rsidR="00E37BB6" w:rsidRPr="00A964FF" w:rsidRDefault="00E37BB6" w:rsidP="00ED72C1">
            <w:pPr>
              <w:jc w:val="center"/>
              <w:rPr>
                <w:rFonts w:ascii="Calibri" w:hAnsi="Calibri"/>
                <w:color w:val="auto"/>
                <w:szCs w:val="21"/>
              </w:rPr>
            </w:pPr>
          </w:p>
        </w:tc>
        <w:tc>
          <w:tcPr>
            <w:tcW w:w="3544" w:type="dxa"/>
            <w:vMerge/>
            <w:vAlign w:val="center"/>
          </w:tcPr>
          <w:p w14:paraId="491ED8E0" w14:textId="77777777" w:rsidR="00E37BB6" w:rsidRPr="00A964FF" w:rsidRDefault="00E37BB6" w:rsidP="00ED72C1">
            <w:pPr>
              <w:spacing w:line="240" w:lineRule="atLeast"/>
              <w:jc w:val="center"/>
              <w:rPr>
                <w:rFonts w:ascii="Calibri" w:hAnsi="Calibri"/>
                <w:color w:val="auto"/>
                <w:szCs w:val="21"/>
              </w:rPr>
            </w:pPr>
          </w:p>
        </w:tc>
      </w:tr>
      <w:tr w:rsidR="00E37BB6" w:rsidRPr="00A964FF" w14:paraId="41A4071A" w14:textId="77777777" w:rsidTr="00ED72C1">
        <w:trPr>
          <w:trHeight w:val="340"/>
        </w:trPr>
        <w:tc>
          <w:tcPr>
            <w:tcW w:w="1526" w:type="dxa"/>
            <w:vMerge/>
            <w:vAlign w:val="center"/>
          </w:tcPr>
          <w:p w14:paraId="3313C2B8" w14:textId="77777777" w:rsidR="00E37BB6" w:rsidRPr="00A964FF" w:rsidRDefault="00E37BB6" w:rsidP="00ED72C1">
            <w:pPr>
              <w:jc w:val="center"/>
              <w:rPr>
                <w:rFonts w:ascii="Calibri" w:hAnsi="Calibri"/>
                <w:color w:val="auto"/>
                <w:szCs w:val="21"/>
              </w:rPr>
            </w:pPr>
          </w:p>
        </w:tc>
        <w:tc>
          <w:tcPr>
            <w:tcW w:w="1559" w:type="dxa"/>
            <w:vAlign w:val="center"/>
          </w:tcPr>
          <w:p w14:paraId="1821CBC9"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年平均</w:t>
            </w:r>
          </w:p>
        </w:tc>
        <w:tc>
          <w:tcPr>
            <w:tcW w:w="1276" w:type="dxa"/>
            <w:vAlign w:val="center"/>
          </w:tcPr>
          <w:p w14:paraId="6393A7AC"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50</w:t>
            </w:r>
          </w:p>
        </w:tc>
        <w:tc>
          <w:tcPr>
            <w:tcW w:w="992" w:type="dxa"/>
            <w:vMerge/>
            <w:vAlign w:val="center"/>
          </w:tcPr>
          <w:p w14:paraId="32946087" w14:textId="77777777" w:rsidR="00E37BB6" w:rsidRPr="00A964FF" w:rsidRDefault="00E37BB6" w:rsidP="00ED72C1">
            <w:pPr>
              <w:jc w:val="center"/>
              <w:rPr>
                <w:rFonts w:ascii="Calibri" w:hAnsi="Calibri"/>
                <w:color w:val="auto"/>
                <w:szCs w:val="21"/>
              </w:rPr>
            </w:pPr>
          </w:p>
        </w:tc>
        <w:tc>
          <w:tcPr>
            <w:tcW w:w="3544" w:type="dxa"/>
            <w:vMerge/>
            <w:vAlign w:val="center"/>
          </w:tcPr>
          <w:p w14:paraId="0147FC3B" w14:textId="77777777" w:rsidR="00E37BB6" w:rsidRPr="00A964FF" w:rsidRDefault="00E37BB6" w:rsidP="00ED72C1">
            <w:pPr>
              <w:spacing w:line="240" w:lineRule="atLeast"/>
              <w:jc w:val="center"/>
              <w:rPr>
                <w:rFonts w:ascii="Calibri" w:hAnsi="Calibri"/>
                <w:color w:val="auto"/>
                <w:szCs w:val="21"/>
              </w:rPr>
            </w:pPr>
          </w:p>
        </w:tc>
      </w:tr>
      <w:tr w:rsidR="00E37BB6" w:rsidRPr="00A964FF" w14:paraId="7E89EBDD" w14:textId="77777777" w:rsidTr="00ED72C1">
        <w:trPr>
          <w:trHeight w:val="340"/>
        </w:trPr>
        <w:tc>
          <w:tcPr>
            <w:tcW w:w="1526" w:type="dxa"/>
            <w:vMerge w:val="restart"/>
            <w:vAlign w:val="center"/>
          </w:tcPr>
          <w:p w14:paraId="4CB1359B" w14:textId="77777777" w:rsidR="00E37BB6" w:rsidRPr="00A964FF" w:rsidRDefault="00E37BB6" w:rsidP="00ED72C1">
            <w:pPr>
              <w:jc w:val="center"/>
              <w:rPr>
                <w:rFonts w:ascii="Calibri" w:hAnsi="Calibri"/>
                <w:caps/>
                <w:color w:val="auto"/>
                <w:szCs w:val="21"/>
              </w:rPr>
            </w:pPr>
            <w:r>
              <w:rPr>
                <w:rFonts w:ascii="Calibri" w:hAnsi="Calibri" w:hint="eastAsia"/>
                <w:caps/>
                <w:color w:val="auto"/>
                <w:szCs w:val="21"/>
              </w:rPr>
              <w:t>O</w:t>
            </w:r>
            <w:r w:rsidRPr="004534B0">
              <w:rPr>
                <w:rFonts w:ascii="Calibri" w:hAnsi="Calibri" w:hint="eastAsia"/>
                <w:caps/>
                <w:color w:val="auto"/>
                <w:szCs w:val="21"/>
                <w:vertAlign w:val="subscript"/>
              </w:rPr>
              <w:t>3</w:t>
            </w:r>
          </w:p>
        </w:tc>
        <w:tc>
          <w:tcPr>
            <w:tcW w:w="1559" w:type="dxa"/>
            <w:vAlign w:val="center"/>
          </w:tcPr>
          <w:p w14:paraId="45625359"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68246794" w14:textId="77777777" w:rsidR="00E37BB6" w:rsidRPr="00A964FF" w:rsidRDefault="00E37BB6" w:rsidP="00ED72C1">
            <w:pPr>
              <w:jc w:val="center"/>
              <w:rPr>
                <w:rFonts w:ascii="Calibri" w:hAnsi="Calibri"/>
                <w:color w:val="auto"/>
                <w:szCs w:val="21"/>
              </w:rPr>
            </w:pPr>
            <w:r>
              <w:rPr>
                <w:rFonts w:ascii="Calibri" w:hAnsi="Calibri" w:hint="eastAsia"/>
                <w:color w:val="auto"/>
                <w:szCs w:val="21"/>
              </w:rPr>
              <w:t>200</w:t>
            </w:r>
          </w:p>
        </w:tc>
        <w:tc>
          <w:tcPr>
            <w:tcW w:w="992" w:type="dxa"/>
            <w:vMerge w:val="restart"/>
            <w:vAlign w:val="center"/>
          </w:tcPr>
          <w:p w14:paraId="57A68855"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μg/m³</w:t>
            </w:r>
          </w:p>
        </w:tc>
        <w:tc>
          <w:tcPr>
            <w:tcW w:w="3544" w:type="dxa"/>
            <w:vMerge/>
            <w:vAlign w:val="center"/>
          </w:tcPr>
          <w:p w14:paraId="2AC9107A" w14:textId="77777777" w:rsidR="00E37BB6" w:rsidRPr="00A964FF" w:rsidRDefault="00E37BB6" w:rsidP="00ED72C1">
            <w:pPr>
              <w:spacing w:line="240" w:lineRule="atLeast"/>
              <w:jc w:val="center"/>
              <w:rPr>
                <w:rFonts w:ascii="Calibri" w:hAnsi="Calibri"/>
                <w:color w:val="auto"/>
                <w:szCs w:val="21"/>
              </w:rPr>
            </w:pPr>
          </w:p>
        </w:tc>
      </w:tr>
      <w:tr w:rsidR="00E37BB6" w:rsidRPr="00A964FF" w14:paraId="41CCB704" w14:textId="77777777" w:rsidTr="00ED72C1">
        <w:trPr>
          <w:trHeight w:val="340"/>
        </w:trPr>
        <w:tc>
          <w:tcPr>
            <w:tcW w:w="1526" w:type="dxa"/>
            <w:vMerge/>
            <w:vAlign w:val="center"/>
          </w:tcPr>
          <w:p w14:paraId="0C2A6B6F" w14:textId="77777777" w:rsidR="00E37BB6" w:rsidRPr="00A964FF" w:rsidRDefault="00E37BB6" w:rsidP="00ED72C1">
            <w:pPr>
              <w:jc w:val="center"/>
              <w:rPr>
                <w:rFonts w:ascii="Calibri" w:hAnsi="Calibri"/>
                <w:caps/>
                <w:color w:val="auto"/>
                <w:szCs w:val="21"/>
              </w:rPr>
            </w:pPr>
          </w:p>
        </w:tc>
        <w:tc>
          <w:tcPr>
            <w:tcW w:w="1559" w:type="dxa"/>
            <w:vAlign w:val="center"/>
          </w:tcPr>
          <w:p w14:paraId="52683566" w14:textId="77777777" w:rsidR="00E37BB6" w:rsidRPr="00A964FF" w:rsidRDefault="00E37BB6" w:rsidP="00ED72C1">
            <w:pPr>
              <w:jc w:val="center"/>
              <w:rPr>
                <w:rFonts w:ascii="Calibri" w:hAnsi="Calibri"/>
                <w:color w:val="auto"/>
                <w:szCs w:val="21"/>
              </w:rPr>
            </w:pPr>
            <w:r>
              <w:rPr>
                <w:rFonts w:ascii="Calibri" w:hAnsi="Calibri" w:hint="eastAsia"/>
                <w:color w:val="auto"/>
                <w:szCs w:val="21"/>
              </w:rPr>
              <w:t>日最大</w:t>
            </w:r>
            <w:r>
              <w:rPr>
                <w:rFonts w:ascii="Calibri" w:hAnsi="Calibri" w:hint="eastAsia"/>
                <w:color w:val="auto"/>
                <w:szCs w:val="21"/>
              </w:rPr>
              <w:t>8</w:t>
            </w:r>
            <w:r>
              <w:rPr>
                <w:rFonts w:ascii="Calibri" w:hAnsi="Calibri" w:hint="eastAsia"/>
                <w:color w:val="auto"/>
                <w:szCs w:val="21"/>
              </w:rPr>
              <w:t>小时</w:t>
            </w:r>
          </w:p>
        </w:tc>
        <w:tc>
          <w:tcPr>
            <w:tcW w:w="1276" w:type="dxa"/>
            <w:vAlign w:val="center"/>
          </w:tcPr>
          <w:p w14:paraId="02D56D1D" w14:textId="77777777" w:rsidR="00E37BB6" w:rsidRPr="00A964FF" w:rsidRDefault="00E37BB6" w:rsidP="00ED72C1">
            <w:pPr>
              <w:jc w:val="center"/>
              <w:rPr>
                <w:rFonts w:ascii="Calibri" w:hAnsi="Calibri"/>
                <w:color w:val="auto"/>
                <w:szCs w:val="21"/>
              </w:rPr>
            </w:pPr>
            <w:r>
              <w:rPr>
                <w:rFonts w:ascii="Calibri" w:hAnsi="Calibri" w:hint="eastAsia"/>
                <w:color w:val="auto"/>
                <w:szCs w:val="21"/>
              </w:rPr>
              <w:t>160</w:t>
            </w:r>
          </w:p>
        </w:tc>
        <w:tc>
          <w:tcPr>
            <w:tcW w:w="992" w:type="dxa"/>
            <w:vMerge/>
            <w:vAlign w:val="center"/>
          </w:tcPr>
          <w:p w14:paraId="50C7A9F5" w14:textId="77777777" w:rsidR="00E37BB6" w:rsidRPr="00A964FF" w:rsidRDefault="00E37BB6" w:rsidP="00ED72C1">
            <w:pPr>
              <w:jc w:val="center"/>
              <w:rPr>
                <w:rFonts w:ascii="Calibri" w:hAnsi="Calibri"/>
                <w:color w:val="auto"/>
                <w:szCs w:val="21"/>
              </w:rPr>
            </w:pPr>
          </w:p>
        </w:tc>
        <w:tc>
          <w:tcPr>
            <w:tcW w:w="3544" w:type="dxa"/>
            <w:vMerge/>
            <w:vAlign w:val="center"/>
          </w:tcPr>
          <w:p w14:paraId="16CFED3B" w14:textId="77777777" w:rsidR="00E37BB6" w:rsidRPr="00A964FF" w:rsidRDefault="00E37BB6" w:rsidP="00ED72C1">
            <w:pPr>
              <w:spacing w:line="240" w:lineRule="atLeast"/>
              <w:jc w:val="center"/>
              <w:rPr>
                <w:rFonts w:ascii="Calibri" w:hAnsi="Calibri"/>
                <w:color w:val="auto"/>
                <w:szCs w:val="21"/>
              </w:rPr>
            </w:pPr>
          </w:p>
        </w:tc>
      </w:tr>
      <w:tr w:rsidR="00E37BB6" w:rsidRPr="00A964FF" w14:paraId="4BB4C163" w14:textId="77777777" w:rsidTr="00ED72C1">
        <w:trPr>
          <w:trHeight w:val="340"/>
        </w:trPr>
        <w:tc>
          <w:tcPr>
            <w:tcW w:w="1526" w:type="dxa"/>
            <w:vMerge w:val="restart"/>
            <w:vAlign w:val="center"/>
          </w:tcPr>
          <w:p w14:paraId="6595F256" w14:textId="77777777" w:rsidR="00E37BB6" w:rsidRPr="00A964FF" w:rsidRDefault="00E37BB6" w:rsidP="00ED72C1">
            <w:pPr>
              <w:jc w:val="center"/>
              <w:rPr>
                <w:rFonts w:ascii="Calibri" w:hAnsi="Calibri"/>
                <w:caps/>
                <w:color w:val="auto"/>
                <w:szCs w:val="21"/>
              </w:rPr>
            </w:pPr>
            <w:r w:rsidRPr="00A964FF">
              <w:rPr>
                <w:rFonts w:ascii="Calibri" w:hAnsi="Calibri" w:hint="eastAsia"/>
                <w:caps/>
                <w:color w:val="auto"/>
                <w:szCs w:val="21"/>
              </w:rPr>
              <w:lastRenderedPageBreak/>
              <w:t>CO</w:t>
            </w:r>
          </w:p>
        </w:tc>
        <w:tc>
          <w:tcPr>
            <w:tcW w:w="1559" w:type="dxa"/>
            <w:vAlign w:val="center"/>
          </w:tcPr>
          <w:p w14:paraId="447EBDEF"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4D495ADB"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10</w:t>
            </w:r>
          </w:p>
        </w:tc>
        <w:tc>
          <w:tcPr>
            <w:tcW w:w="992" w:type="dxa"/>
            <w:vMerge w:val="restart"/>
            <w:vAlign w:val="center"/>
          </w:tcPr>
          <w:p w14:paraId="122F6604"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m</w:t>
            </w:r>
            <w:r w:rsidRPr="00A964FF">
              <w:rPr>
                <w:rFonts w:ascii="Calibri" w:hAnsi="Calibri"/>
                <w:color w:val="auto"/>
                <w:szCs w:val="21"/>
              </w:rPr>
              <w:t>g/m³</w:t>
            </w:r>
          </w:p>
        </w:tc>
        <w:tc>
          <w:tcPr>
            <w:tcW w:w="3544" w:type="dxa"/>
            <w:vMerge/>
            <w:vAlign w:val="center"/>
          </w:tcPr>
          <w:p w14:paraId="3F6974DB" w14:textId="77777777" w:rsidR="00E37BB6" w:rsidRPr="00A964FF" w:rsidRDefault="00E37BB6" w:rsidP="00ED72C1">
            <w:pPr>
              <w:spacing w:line="240" w:lineRule="atLeast"/>
              <w:jc w:val="center"/>
              <w:rPr>
                <w:rFonts w:ascii="Calibri" w:hAnsi="Calibri"/>
                <w:color w:val="auto"/>
                <w:szCs w:val="21"/>
              </w:rPr>
            </w:pPr>
          </w:p>
        </w:tc>
      </w:tr>
      <w:tr w:rsidR="00E37BB6" w:rsidRPr="00A964FF" w14:paraId="0DB2D69F" w14:textId="77777777" w:rsidTr="00ED72C1">
        <w:trPr>
          <w:trHeight w:val="340"/>
        </w:trPr>
        <w:tc>
          <w:tcPr>
            <w:tcW w:w="1526" w:type="dxa"/>
            <w:vMerge/>
            <w:vAlign w:val="center"/>
          </w:tcPr>
          <w:p w14:paraId="706BC5E8" w14:textId="77777777" w:rsidR="00E37BB6" w:rsidRPr="00A964FF" w:rsidRDefault="00E37BB6" w:rsidP="00ED72C1">
            <w:pPr>
              <w:jc w:val="center"/>
              <w:rPr>
                <w:rFonts w:ascii="Calibri" w:hAnsi="Calibri"/>
                <w:color w:val="auto"/>
                <w:szCs w:val="21"/>
              </w:rPr>
            </w:pPr>
          </w:p>
        </w:tc>
        <w:tc>
          <w:tcPr>
            <w:tcW w:w="1559" w:type="dxa"/>
            <w:vAlign w:val="center"/>
          </w:tcPr>
          <w:p w14:paraId="71945867"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24</w:t>
            </w:r>
            <w:r w:rsidRPr="00A964FF">
              <w:rPr>
                <w:rFonts w:ascii="Calibri" w:hAnsi="Calibri"/>
                <w:color w:val="auto"/>
                <w:szCs w:val="21"/>
              </w:rPr>
              <w:t>小时平均</w:t>
            </w:r>
          </w:p>
        </w:tc>
        <w:tc>
          <w:tcPr>
            <w:tcW w:w="1276" w:type="dxa"/>
            <w:vAlign w:val="center"/>
          </w:tcPr>
          <w:p w14:paraId="631062D3"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4</w:t>
            </w:r>
          </w:p>
        </w:tc>
        <w:tc>
          <w:tcPr>
            <w:tcW w:w="992" w:type="dxa"/>
            <w:vMerge/>
            <w:vAlign w:val="center"/>
          </w:tcPr>
          <w:p w14:paraId="06AC18CA" w14:textId="77777777" w:rsidR="00E37BB6" w:rsidRPr="00A964FF" w:rsidRDefault="00E37BB6" w:rsidP="00ED72C1">
            <w:pPr>
              <w:jc w:val="center"/>
              <w:rPr>
                <w:rFonts w:ascii="Calibri" w:hAnsi="Calibri"/>
                <w:color w:val="auto"/>
                <w:szCs w:val="21"/>
              </w:rPr>
            </w:pPr>
          </w:p>
        </w:tc>
        <w:tc>
          <w:tcPr>
            <w:tcW w:w="3544" w:type="dxa"/>
            <w:vMerge/>
            <w:vAlign w:val="center"/>
          </w:tcPr>
          <w:p w14:paraId="133FB296" w14:textId="77777777" w:rsidR="00E37BB6" w:rsidRPr="00A964FF" w:rsidRDefault="00E37BB6" w:rsidP="00ED72C1">
            <w:pPr>
              <w:spacing w:line="240" w:lineRule="atLeast"/>
              <w:jc w:val="center"/>
              <w:rPr>
                <w:rFonts w:ascii="Calibri" w:hAnsi="Calibri"/>
                <w:color w:val="auto"/>
                <w:szCs w:val="21"/>
              </w:rPr>
            </w:pPr>
          </w:p>
        </w:tc>
      </w:tr>
      <w:tr w:rsidR="00E37BB6" w:rsidRPr="00A964FF" w14:paraId="7E261CAE" w14:textId="77777777" w:rsidTr="00ED72C1">
        <w:trPr>
          <w:trHeight w:val="340"/>
        </w:trPr>
        <w:tc>
          <w:tcPr>
            <w:tcW w:w="1526" w:type="dxa"/>
            <w:vAlign w:val="center"/>
          </w:tcPr>
          <w:p w14:paraId="20E05918" w14:textId="77777777" w:rsidR="00E37BB6" w:rsidRPr="00A71F50" w:rsidRDefault="00E37BB6" w:rsidP="00ED72C1">
            <w:pPr>
              <w:jc w:val="center"/>
              <w:rPr>
                <w:rFonts w:ascii="Calibri" w:hAnsi="Calibri"/>
                <w:caps/>
                <w:color w:val="auto"/>
                <w:szCs w:val="21"/>
              </w:rPr>
            </w:pPr>
            <w:r w:rsidRPr="00A71F50">
              <w:rPr>
                <w:rFonts w:ascii="Calibri" w:hAnsi="Calibri" w:hint="eastAsia"/>
                <w:caps/>
                <w:color w:val="auto"/>
                <w:szCs w:val="21"/>
              </w:rPr>
              <w:t>氨</w:t>
            </w:r>
          </w:p>
        </w:tc>
        <w:tc>
          <w:tcPr>
            <w:tcW w:w="1559" w:type="dxa"/>
            <w:vAlign w:val="center"/>
          </w:tcPr>
          <w:p w14:paraId="59C6C48F" w14:textId="77777777" w:rsidR="00E37BB6" w:rsidRPr="00A71F50" w:rsidRDefault="00E37BB6" w:rsidP="00ED72C1">
            <w:pPr>
              <w:jc w:val="center"/>
              <w:rPr>
                <w:rFonts w:ascii="Calibri" w:hAnsi="Calibri"/>
                <w:color w:val="auto"/>
                <w:szCs w:val="21"/>
              </w:rPr>
            </w:pPr>
            <w:r w:rsidRPr="00A71F50">
              <w:rPr>
                <w:rFonts w:ascii="Calibri" w:hAnsi="Calibri"/>
                <w:color w:val="auto"/>
                <w:szCs w:val="21"/>
              </w:rPr>
              <w:t>1</w:t>
            </w:r>
            <w:r w:rsidRPr="00A71F50">
              <w:rPr>
                <w:rFonts w:ascii="Calibri" w:hAnsi="Calibri"/>
                <w:color w:val="auto"/>
                <w:szCs w:val="21"/>
              </w:rPr>
              <w:t>小时平均</w:t>
            </w:r>
          </w:p>
        </w:tc>
        <w:tc>
          <w:tcPr>
            <w:tcW w:w="1276" w:type="dxa"/>
            <w:vAlign w:val="center"/>
          </w:tcPr>
          <w:p w14:paraId="396F8FCB" w14:textId="77777777" w:rsidR="00E37BB6" w:rsidRPr="00A71F50" w:rsidRDefault="00E37BB6" w:rsidP="00ED72C1">
            <w:pPr>
              <w:jc w:val="center"/>
              <w:rPr>
                <w:rFonts w:ascii="Calibri" w:hAnsi="Calibri"/>
                <w:color w:val="auto"/>
                <w:szCs w:val="21"/>
              </w:rPr>
            </w:pPr>
            <w:r w:rsidRPr="00A71F50">
              <w:rPr>
                <w:rFonts w:ascii="Calibri" w:hAnsi="Calibri" w:hint="eastAsia"/>
                <w:color w:val="auto"/>
                <w:szCs w:val="21"/>
              </w:rPr>
              <w:t>200</w:t>
            </w:r>
          </w:p>
        </w:tc>
        <w:tc>
          <w:tcPr>
            <w:tcW w:w="992" w:type="dxa"/>
            <w:vAlign w:val="center"/>
          </w:tcPr>
          <w:p w14:paraId="07EC4387" w14:textId="77777777" w:rsidR="00E37BB6" w:rsidRPr="00A71F50" w:rsidRDefault="00E37BB6" w:rsidP="00ED72C1">
            <w:pPr>
              <w:spacing w:line="240" w:lineRule="atLeast"/>
              <w:jc w:val="center"/>
              <w:rPr>
                <w:rFonts w:ascii="Calibri" w:hAnsi="Calibri"/>
                <w:color w:val="auto"/>
                <w:szCs w:val="21"/>
              </w:rPr>
            </w:pPr>
            <w:r w:rsidRPr="00A71F50">
              <w:rPr>
                <w:rFonts w:ascii="Calibri" w:hAnsi="Calibri"/>
                <w:color w:val="auto"/>
                <w:szCs w:val="21"/>
              </w:rPr>
              <w:t>μg/m³</w:t>
            </w:r>
          </w:p>
        </w:tc>
        <w:tc>
          <w:tcPr>
            <w:tcW w:w="3544" w:type="dxa"/>
            <w:vMerge w:val="restart"/>
            <w:vAlign w:val="center"/>
          </w:tcPr>
          <w:p w14:paraId="0DE75149" w14:textId="77777777" w:rsidR="00E37BB6" w:rsidRPr="00225E52" w:rsidRDefault="00E37BB6" w:rsidP="00ED72C1">
            <w:pPr>
              <w:spacing w:line="240" w:lineRule="atLeast"/>
              <w:jc w:val="center"/>
              <w:rPr>
                <w:rFonts w:ascii="Calibri"/>
                <w:color w:val="auto"/>
              </w:rPr>
            </w:pPr>
            <w:r w:rsidRPr="001824DE">
              <w:rPr>
                <w:rFonts w:ascii="Calibri" w:hint="eastAsia"/>
                <w:color w:val="auto"/>
              </w:rPr>
              <w:t>参考《环境影响评价技术导则</w:t>
            </w:r>
            <w:r w:rsidRPr="001824DE">
              <w:rPr>
                <w:rFonts w:ascii="Calibri" w:hint="eastAsia"/>
                <w:color w:val="auto"/>
              </w:rPr>
              <w:t xml:space="preserve"> </w:t>
            </w:r>
            <w:r w:rsidRPr="001824DE">
              <w:rPr>
                <w:rFonts w:ascii="Calibri" w:hint="eastAsia"/>
                <w:color w:val="auto"/>
              </w:rPr>
              <w:t>大气环境》（</w:t>
            </w:r>
            <w:r w:rsidRPr="001824DE">
              <w:rPr>
                <w:rFonts w:ascii="Calibri" w:hint="eastAsia"/>
                <w:color w:val="auto"/>
              </w:rPr>
              <w:t>HJ2.2-2018</w:t>
            </w:r>
            <w:r w:rsidRPr="001824DE">
              <w:rPr>
                <w:rFonts w:ascii="Calibri" w:hint="eastAsia"/>
                <w:color w:val="auto"/>
              </w:rPr>
              <w:t>）附录</w:t>
            </w:r>
            <w:r w:rsidRPr="001824DE">
              <w:rPr>
                <w:rFonts w:ascii="Calibri" w:hint="eastAsia"/>
                <w:color w:val="auto"/>
              </w:rPr>
              <w:t>D</w:t>
            </w:r>
          </w:p>
        </w:tc>
      </w:tr>
      <w:tr w:rsidR="00E37BB6" w:rsidRPr="00A964FF" w14:paraId="01BBBEFD" w14:textId="77777777" w:rsidTr="00ED72C1">
        <w:trPr>
          <w:trHeight w:val="340"/>
        </w:trPr>
        <w:tc>
          <w:tcPr>
            <w:tcW w:w="1526" w:type="dxa"/>
            <w:vAlign w:val="center"/>
          </w:tcPr>
          <w:p w14:paraId="17274423" w14:textId="77777777" w:rsidR="00E37BB6" w:rsidRPr="00A71F50" w:rsidRDefault="00E37BB6" w:rsidP="00ED72C1">
            <w:pPr>
              <w:jc w:val="center"/>
              <w:rPr>
                <w:rFonts w:ascii="Calibri" w:hAnsi="Calibri"/>
                <w:color w:val="auto"/>
                <w:szCs w:val="21"/>
              </w:rPr>
            </w:pPr>
            <w:r w:rsidRPr="00A71F50">
              <w:rPr>
                <w:rFonts w:ascii="Calibri"/>
                <w:color w:val="auto"/>
                <w:szCs w:val="21"/>
              </w:rPr>
              <w:t>硫化氢</w:t>
            </w:r>
          </w:p>
        </w:tc>
        <w:tc>
          <w:tcPr>
            <w:tcW w:w="1559" w:type="dxa"/>
            <w:vAlign w:val="center"/>
          </w:tcPr>
          <w:p w14:paraId="586DAF2E" w14:textId="77777777" w:rsidR="00E37BB6" w:rsidRPr="00A71F50" w:rsidRDefault="00E37BB6" w:rsidP="00ED72C1">
            <w:pPr>
              <w:jc w:val="center"/>
              <w:rPr>
                <w:rFonts w:ascii="Calibri" w:hAnsi="Calibri"/>
                <w:color w:val="auto"/>
                <w:szCs w:val="21"/>
              </w:rPr>
            </w:pPr>
            <w:r w:rsidRPr="00A71F50">
              <w:rPr>
                <w:rFonts w:ascii="Calibri" w:hAnsi="Calibri"/>
                <w:color w:val="auto"/>
                <w:szCs w:val="21"/>
              </w:rPr>
              <w:t>1</w:t>
            </w:r>
            <w:r w:rsidRPr="00A71F50">
              <w:rPr>
                <w:rFonts w:ascii="Calibri" w:hAnsi="Calibri"/>
                <w:color w:val="auto"/>
                <w:szCs w:val="21"/>
              </w:rPr>
              <w:t>小时平均</w:t>
            </w:r>
          </w:p>
        </w:tc>
        <w:tc>
          <w:tcPr>
            <w:tcW w:w="1276" w:type="dxa"/>
            <w:vAlign w:val="center"/>
          </w:tcPr>
          <w:p w14:paraId="02E667F5" w14:textId="77777777" w:rsidR="00E37BB6" w:rsidRPr="00A71F50" w:rsidRDefault="00E37BB6" w:rsidP="00ED72C1">
            <w:pPr>
              <w:jc w:val="center"/>
              <w:rPr>
                <w:rFonts w:ascii="Calibri" w:hAnsi="Calibri"/>
                <w:color w:val="auto"/>
                <w:szCs w:val="21"/>
              </w:rPr>
            </w:pPr>
            <w:r w:rsidRPr="00A71F50">
              <w:rPr>
                <w:rFonts w:ascii="Calibri" w:hAnsi="Calibri" w:hint="eastAsia"/>
                <w:color w:val="auto"/>
                <w:szCs w:val="21"/>
              </w:rPr>
              <w:t>10</w:t>
            </w:r>
          </w:p>
        </w:tc>
        <w:tc>
          <w:tcPr>
            <w:tcW w:w="992" w:type="dxa"/>
            <w:vAlign w:val="center"/>
          </w:tcPr>
          <w:p w14:paraId="5C2ED93A" w14:textId="77777777" w:rsidR="00E37BB6" w:rsidRPr="00A71F50" w:rsidRDefault="00E37BB6" w:rsidP="00ED72C1">
            <w:pPr>
              <w:jc w:val="center"/>
              <w:rPr>
                <w:rFonts w:ascii="Calibri" w:hAnsi="Calibri"/>
                <w:color w:val="auto"/>
                <w:szCs w:val="21"/>
              </w:rPr>
            </w:pPr>
            <w:r w:rsidRPr="00A71F50">
              <w:rPr>
                <w:rFonts w:ascii="Calibri" w:hAnsi="Calibri"/>
                <w:color w:val="auto"/>
                <w:szCs w:val="21"/>
              </w:rPr>
              <w:t>μg/m³</w:t>
            </w:r>
          </w:p>
        </w:tc>
        <w:tc>
          <w:tcPr>
            <w:tcW w:w="3544" w:type="dxa"/>
            <w:vMerge/>
            <w:vAlign w:val="center"/>
          </w:tcPr>
          <w:p w14:paraId="0C505AE5" w14:textId="77777777" w:rsidR="00E37BB6" w:rsidRPr="00225E52" w:rsidRDefault="00E37BB6" w:rsidP="00ED72C1">
            <w:pPr>
              <w:spacing w:line="240" w:lineRule="atLeast"/>
              <w:jc w:val="center"/>
              <w:rPr>
                <w:rFonts w:ascii="Calibri"/>
                <w:color w:val="auto"/>
              </w:rPr>
            </w:pPr>
          </w:p>
        </w:tc>
      </w:tr>
      <w:tr w:rsidR="00E37BB6" w:rsidRPr="00A964FF" w14:paraId="58ED4E56" w14:textId="77777777" w:rsidTr="00ED72C1">
        <w:trPr>
          <w:trHeight w:val="340"/>
        </w:trPr>
        <w:tc>
          <w:tcPr>
            <w:tcW w:w="1526" w:type="dxa"/>
            <w:vAlign w:val="center"/>
          </w:tcPr>
          <w:p w14:paraId="1A9AA171" w14:textId="77777777" w:rsidR="00E37BB6" w:rsidRPr="00237271" w:rsidRDefault="00E37BB6" w:rsidP="00ED72C1">
            <w:pPr>
              <w:jc w:val="center"/>
              <w:rPr>
                <w:rFonts w:ascii="Calibri"/>
                <w:color w:val="auto"/>
                <w:szCs w:val="21"/>
              </w:rPr>
            </w:pPr>
            <w:r w:rsidRPr="00A964FF">
              <w:rPr>
                <w:rFonts w:ascii="Calibri"/>
                <w:color w:val="auto"/>
                <w:szCs w:val="21"/>
              </w:rPr>
              <w:t>非甲烷总烃</w:t>
            </w:r>
          </w:p>
        </w:tc>
        <w:tc>
          <w:tcPr>
            <w:tcW w:w="1559" w:type="dxa"/>
            <w:vAlign w:val="center"/>
          </w:tcPr>
          <w:p w14:paraId="39302201" w14:textId="77777777" w:rsidR="00E37BB6" w:rsidRPr="00A964FF" w:rsidRDefault="00E37BB6" w:rsidP="00ED72C1">
            <w:pPr>
              <w:jc w:val="center"/>
              <w:rPr>
                <w:rFonts w:ascii="Calibri" w:hAnsi="Calibri"/>
                <w:color w:val="auto"/>
                <w:szCs w:val="21"/>
              </w:rPr>
            </w:pPr>
            <w:r w:rsidRPr="00A964FF">
              <w:rPr>
                <w:rFonts w:ascii="Calibri" w:hAnsi="Calibri"/>
                <w:color w:val="auto"/>
                <w:szCs w:val="21"/>
              </w:rPr>
              <w:t>1</w:t>
            </w:r>
            <w:r w:rsidRPr="00A964FF">
              <w:rPr>
                <w:rFonts w:ascii="Calibri" w:hAnsi="Calibri"/>
                <w:color w:val="auto"/>
                <w:szCs w:val="21"/>
              </w:rPr>
              <w:t>小时平均</w:t>
            </w:r>
          </w:p>
        </w:tc>
        <w:tc>
          <w:tcPr>
            <w:tcW w:w="1276" w:type="dxa"/>
            <w:vAlign w:val="center"/>
          </w:tcPr>
          <w:p w14:paraId="06954274" w14:textId="77777777" w:rsidR="00E37BB6" w:rsidRPr="00A964FF" w:rsidRDefault="00E37BB6" w:rsidP="00ED72C1">
            <w:pPr>
              <w:jc w:val="center"/>
              <w:rPr>
                <w:rFonts w:ascii="Calibri" w:hAnsi="Calibri"/>
                <w:color w:val="auto"/>
                <w:szCs w:val="21"/>
              </w:rPr>
            </w:pPr>
            <w:r w:rsidRPr="00A964FF">
              <w:rPr>
                <w:rFonts w:ascii="Calibri" w:hAnsi="Calibri" w:hint="eastAsia"/>
                <w:color w:val="auto"/>
                <w:szCs w:val="21"/>
              </w:rPr>
              <w:t>2000</w:t>
            </w:r>
          </w:p>
        </w:tc>
        <w:tc>
          <w:tcPr>
            <w:tcW w:w="992" w:type="dxa"/>
            <w:vAlign w:val="center"/>
          </w:tcPr>
          <w:p w14:paraId="27231790" w14:textId="77777777" w:rsidR="00E37BB6" w:rsidRPr="00A964FF" w:rsidRDefault="00E37BB6" w:rsidP="00ED72C1">
            <w:pPr>
              <w:spacing w:line="240" w:lineRule="atLeast"/>
              <w:jc w:val="center"/>
              <w:rPr>
                <w:rFonts w:ascii="Calibri" w:hAnsi="Calibri"/>
                <w:color w:val="auto"/>
                <w:szCs w:val="21"/>
              </w:rPr>
            </w:pPr>
            <w:r w:rsidRPr="00A964FF">
              <w:rPr>
                <w:rFonts w:ascii="Calibri" w:hAnsi="Calibri"/>
                <w:color w:val="auto"/>
                <w:szCs w:val="21"/>
              </w:rPr>
              <w:t>μg/m³</w:t>
            </w:r>
          </w:p>
        </w:tc>
        <w:tc>
          <w:tcPr>
            <w:tcW w:w="3544" w:type="dxa"/>
            <w:vAlign w:val="center"/>
          </w:tcPr>
          <w:p w14:paraId="084BA45E" w14:textId="77777777" w:rsidR="00E37BB6" w:rsidRPr="00A964FF" w:rsidRDefault="00E37BB6" w:rsidP="00ED72C1">
            <w:pPr>
              <w:spacing w:line="240" w:lineRule="atLeast"/>
              <w:jc w:val="center"/>
              <w:rPr>
                <w:rFonts w:ascii="Calibri" w:hAnsi="Calibri"/>
                <w:color w:val="auto"/>
              </w:rPr>
            </w:pPr>
            <w:r w:rsidRPr="00A964FF">
              <w:rPr>
                <w:rFonts w:ascii="Calibri"/>
                <w:color w:val="auto"/>
              </w:rPr>
              <w:t>参考《大气污染物综合排放标准详解》</w:t>
            </w:r>
          </w:p>
        </w:tc>
      </w:tr>
    </w:tbl>
    <w:p w14:paraId="22E32F2E" w14:textId="77777777" w:rsidR="006E4191" w:rsidRPr="00A964FF" w:rsidRDefault="00FC2400" w:rsidP="00D3335E">
      <w:pPr>
        <w:widowControl/>
        <w:spacing w:line="520" w:lineRule="exact"/>
        <w:ind w:firstLineChars="200" w:firstLine="482"/>
        <w:rPr>
          <w:rFonts w:ascii="Calibri" w:hAnsi="Calibri"/>
          <w:b/>
          <w:color w:val="auto"/>
          <w:sz w:val="24"/>
        </w:rPr>
      </w:pPr>
      <w:r w:rsidRPr="00A964FF">
        <w:rPr>
          <w:rFonts w:ascii="Calibri" w:hAnsi="Calibri" w:hint="eastAsia"/>
          <w:b/>
          <w:color w:val="auto"/>
          <w:sz w:val="24"/>
        </w:rPr>
        <w:t>3</w:t>
      </w:r>
      <w:r w:rsidRPr="00A964FF">
        <w:rPr>
          <w:rFonts w:ascii="Calibri" w:hAnsi="Calibri" w:hint="eastAsia"/>
          <w:b/>
          <w:color w:val="auto"/>
          <w:sz w:val="24"/>
        </w:rPr>
        <w:t>、污染物排放源强</w:t>
      </w:r>
    </w:p>
    <w:p w14:paraId="0095CDCF" w14:textId="77777777" w:rsidR="00E37BB6" w:rsidRDefault="00FC2400" w:rsidP="00790CFB">
      <w:pPr>
        <w:spacing w:line="520" w:lineRule="exact"/>
        <w:ind w:firstLine="482"/>
        <w:rPr>
          <w:rFonts w:ascii="Calibri" w:hAnsi="Calibri"/>
          <w:color w:val="auto"/>
          <w:sz w:val="24"/>
        </w:rPr>
      </w:pPr>
      <w:r w:rsidRPr="00BD4720">
        <w:rPr>
          <w:rFonts w:ascii="Calibri" w:hAnsi="Calibri" w:hint="eastAsia"/>
          <w:color w:val="auto"/>
          <w:sz w:val="24"/>
        </w:rPr>
        <w:t>本项目营运后厂区共设置</w:t>
      </w:r>
      <w:r w:rsidR="003C53E0">
        <w:rPr>
          <w:rFonts w:ascii="Calibri" w:hAnsi="Calibri"/>
          <w:color w:val="auto"/>
          <w:sz w:val="24"/>
        </w:rPr>
        <w:t>3</w:t>
      </w:r>
      <w:r w:rsidRPr="00BD4720">
        <w:rPr>
          <w:rFonts w:ascii="Calibri" w:hAnsi="Calibri" w:hint="eastAsia"/>
          <w:color w:val="auto"/>
          <w:sz w:val="24"/>
        </w:rPr>
        <w:t>根排气筒，其中</w:t>
      </w:r>
      <w:r w:rsidR="00A06A90">
        <w:rPr>
          <w:rFonts w:ascii="Calibri" w:hAnsi="Calibri" w:hint="eastAsia"/>
          <w:color w:val="auto"/>
          <w:sz w:val="24"/>
        </w:rPr>
        <w:t>聚合及聚合釜下料</w:t>
      </w:r>
      <w:r w:rsidR="00E37BB6">
        <w:rPr>
          <w:rFonts w:ascii="Calibri" w:hAnsi="Calibri"/>
          <w:color w:val="auto"/>
          <w:sz w:val="24"/>
        </w:rPr>
        <w:t>废气</w:t>
      </w:r>
      <w:r w:rsidR="00E37BB6">
        <w:rPr>
          <w:rFonts w:ascii="Calibri" w:hAnsi="Calibri" w:hint="eastAsia"/>
          <w:color w:val="auto"/>
          <w:sz w:val="24"/>
        </w:rPr>
        <w:t>引至</w:t>
      </w:r>
      <w:r w:rsidR="00792857" w:rsidRPr="00BD4720">
        <w:rPr>
          <w:rFonts w:ascii="Calibri" w:hAnsi="Calibri" w:hint="eastAsia"/>
          <w:color w:val="auto"/>
          <w:sz w:val="24"/>
        </w:rPr>
        <w:t>1</w:t>
      </w:r>
      <w:r w:rsidR="00792857" w:rsidRPr="00BD4720">
        <w:rPr>
          <w:rFonts w:ascii="Calibri" w:hAnsi="Calibri" w:hint="eastAsia"/>
          <w:color w:val="auto"/>
          <w:sz w:val="24"/>
        </w:rPr>
        <w:t>根</w:t>
      </w:r>
      <w:r w:rsidR="00BD4720" w:rsidRPr="00BD4720">
        <w:rPr>
          <w:rFonts w:ascii="Calibri" w:hAnsi="Calibri" w:hint="eastAsia"/>
          <w:color w:val="auto"/>
          <w:sz w:val="24"/>
        </w:rPr>
        <w:t>2</w:t>
      </w:r>
      <w:r w:rsidR="0002727D" w:rsidRPr="00BD4720">
        <w:rPr>
          <w:rFonts w:ascii="Calibri" w:hAnsi="Calibri" w:hint="eastAsia"/>
          <w:color w:val="auto"/>
          <w:sz w:val="24"/>
        </w:rPr>
        <w:t>5</w:t>
      </w:r>
      <w:r w:rsidR="00792857" w:rsidRPr="00BD4720">
        <w:rPr>
          <w:rFonts w:ascii="Calibri" w:hAnsi="Calibri" w:hint="eastAsia"/>
          <w:color w:val="auto"/>
          <w:sz w:val="24"/>
        </w:rPr>
        <w:t>m</w:t>
      </w:r>
      <w:r w:rsidR="00792857" w:rsidRPr="00BD4720">
        <w:rPr>
          <w:rFonts w:ascii="Calibri" w:hAnsi="Calibri" w:hint="eastAsia"/>
          <w:color w:val="auto"/>
          <w:sz w:val="24"/>
        </w:rPr>
        <w:t>排气筒；</w:t>
      </w:r>
      <w:r w:rsidR="00790CFB">
        <w:rPr>
          <w:rFonts w:ascii="Calibri" w:hAnsi="Calibri" w:hint="eastAsia"/>
          <w:color w:val="auto"/>
          <w:sz w:val="24"/>
        </w:rPr>
        <w:t>公用工程导热油炉</w:t>
      </w:r>
      <w:r w:rsidR="00790CFB">
        <w:rPr>
          <w:rFonts w:ascii="Calibri" w:hAnsi="Calibri"/>
          <w:color w:val="auto"/>
          <w:sz w:val="24"/>
        </w:rPr>
        <w:t>废气治理</w:t>
      </w:r>
      <w:r w:rsidR="00790CFB">
        <w:rPr>
          <w:rFonts w:ascii="Calibri" w:hAnsi="Calibri" w:hint="eastAsia"/>
          <w:color w:val="auto"/>
          <w:sz w:val="24"/>
        </w:rPr>
        <w:t>设施</w:t>
      </w:r>
      <w:r w:rsidR="00790CFB">
        <w:rPr>
          <w:rFonts w:ascii="Calibri" w:hAnsi="Calibri"/>
          <w:color w:val="auto"/>
          <w:sz w:val="24"/>
        </w:rPr>
        <w:t>设置</w:t>
      </w:r>
      <w:r w:rsidR="00790CFB">
        <w:rPr>
          <w:rFonts w:ascii="Calibri" w:hAnsi="Calibri" w:hint="eastAsia"/>
          <w:color w:val="auto"/>
          <w:sz w:val="24"/>
        </w:rPr>
        <w:t>1</w:t>
      </w:r>
      <w:r w:rsidR="00790CFB">
        <w:rPr>
          <w:rFonts w:ascii="Calibri" w:hAnsi="Calibri" w:hint="eastAsia"/>
          <w:color w:val="auto"/>
          <w:sz w:val="24"/>
        </w:rPr>
        <w:t>根</w:t>
      </w:r>
      <w:r w:rsidR="003C53E0">
        <w:rPr>
          <w:rFonts w:ascii="Calibri" w:hAnsi="Calibri"/>
          <w:color w:val="auto"/>
          <w:sz w:val="24"/>
        </w:rPr>
        <w:t>15</w:t>
      </w:r>
      <w:r w:rsidR="00790CFB">
        <w:rPr>
          <w:rFonts w:ascii="Calibri" w:hAnsi="Calibri"/>
          <w:color w:val="auto"/>
          <w:sz w:val="24"/>
        </w:rPr>
        <w:t>m</w:t>
      </w:r>
      <w:r w:rsidR="00790CFB">
        <w:rPr>
          <w:rFonts w:ascii="Calibri" w:hAnsi="Calibri" w:hint="eastAsia"/>
          <w:color w:val="auto"/>
          <w:sz w:val="24"/>
        </w:rPr>
        <w:t>排气筒</w:t>
      </w:r>
      <w:r w:rsidR="00790CFB">
        <w:rPr>
          <w:rFonts w:ascii="Calibri" w:hAnsi="Calibri"/>
          <w:color w:val="auto"/>
          <w:sz w:val="24"/>
        </w:rPr>
        <w:t>设置</w:t>
      </w:r>
      <w:r w:rsidR="00790CFB">
        <w:rPr>
          <w:rFonts w:ascii="Calibri" w:hAnsi="Calibri" w:hint="eastAsia"/>
          <w:color w:val="auto"/>
          <w:sz w:val="24"/>
        </w:rPr>
        <w:t>，废水</w:t>
      </w:r>
      <w:r w:rsidR="00790CFB">
        <w:rPr>
          <w:rFonts w:ascii="Calibri" w:hAnsi="Calibri"/>
          <w:color w:val="auto"/>
          <w:sz w:val="24"/>
        </w:rPr>
        <w:t>处理站废气治理设施设置</w:t>
      </w:r>
      <w:r w:rsidR="00790CFB">
        <w:rPr>
          <w:rFonts w:ascii="Calibri" w:hAnsi="Calibri" w:hint="eastAsia"/>
          <w:color w:val="auto"/>
          <w:sz w:val="24"/>
        </w:rPr>
        <w:t>1</w:t>
      </w:r>
      <w:r w:rsidR="00790CFB">
        <w:rPr>
          <w:rFonts w:ascii="Calibri" w:hAnsi="Calibri" w:hint="eastAsia"/>
          <w:color w:val="auto"/>
          <w:sz w:val="24"/>
        </w:rPr>
        <w:t>根</w:t>
      </w:r>
      <w:r w:rsidR="00790CFB">
        <w:rPr>
          <w:rFonts w:ascii="Calibri" w:hAnsi="Calibri" w:hint="eastAsia"/>
          <w:color w:val="auto"/>
          <w:sz w:val="24"/>
        </w:rPr>
        <w:t>1</w:t>
      </w:r>
      <w:r w:rsidR="00790CFB">
        <w:rPr>
          <w:rFonts w:ascii="Calibri" w:hAnsi="Calibri"/>
          <w:color w:val="auto"/>
          <w:sz w:val="24"/>
        </w:rPr>
        <w:t>5m</w:t>
      </w:r>
      <w:r w:rsidR="00790CFB">
        <w:rPr>
          <w:rFonts w:ascii="Calibri" w:hAnsi="Calibri" w:hint="eastAsia"/>
          <w:color w:val="auto"/>
          <w:sz w:val="24"/>
        </w:rPr>
        <w:t>排气筒</w:t>
      </w:r>
      <w:r w:rsidR="00790CFB">
        <w:rPr>
          <w:rFonts w:ascii="Calibri" w:hAnsi="Calibri"/>
          <w:color w:val="auto"/>
          <w:sz w:val="24"/>
        </w:rPr>
        <w:t>设置</w:t>
      </w:r>
      <w:r w:rsidR="00790CFB">
        <w:rPr>
          <w:rFonts w:ascii="Calibri" w:hAnsi="Calibri" w:hint="eastAsia"/>
          <w:color w:val="auto"/>
          <w:sz w:val="24"/>
        </w:rPr>
        <w:t>。</w:t>
      </w:r>
    </w:p>
    <w:p w14:paraId="0E05265D" w14:textId="77777777" w:rsidR="00FC2400" w:rsidRPr="00A964FF" w:rsidRDefault="00044637" w:rsidP="0055605A">
      <w:pPr>
        <w:widowControl/>
        <w:spacing w:line="520" w:lineRule="exact"/>
        <w:ind w:firstLine="480"/>
        <w:rPr>
          <w:rFonts w:ascii="Calibri" w:hAnsi="Calibri"/>
          <w:color w:val="auto"/>
          <w:sz w:val="24"/>
        </w:rPr>
      </w:pPr>
      <w:r w:rsidRPr="00A964FF">
        <w:rPr>
          <w:rFonts w:ascii="Calibri" w:hAnsi="Calibri" w:hint="eastAsia"/>
          <w:color w:val="auto"/>
          <w:sz w:val="24"/>
        </w:rPr>
        <w:t>根据工程</w:t>
      </w:r>
      <w:r w:rsidR="003D71BA" w:rsidRPr="00A964FF">
        <w:rPr>
          <w:rFonts w:ascii="Calibri" w:hAnsi="Calibri" w:hint="eastAsia"/>
          <w:color w:val="auto"/>
          <w:sz w:val="24"/>
        </w:rPr>
        <w:t>分析</w:t>
      </w:r>
      <w:r w:rsidRPr="00A964FF">
        <w:rPr>
          <w:rFonts w:ascii="Calibri" w:hAnsi="Calibri" w:hint="eastAsia"/>
          <w:color w:val="auto"/>
          <w:sz w:val="24"/>
        </w:rPr>
        <w:t>，本项目正常</w:t>
      </w:r>
      <w:r w:rsidR="003D71BA" w:rsidRPr="00A964FF">
        <w:rPr>
          <w:rFonts w:ascii="Calibri" w:hAnsi="Calibri" w:hint="eastAsia"/>
          <w:color w:val="auto"/>
          <w:sz w:val="24"/>
        </w:rPr>
        <w:t>工况</w:t>
      </w:r>
      <w:r w:rsidRPr="00A964FF">
        <w:rPr>
          <w:rFonts w:ascii="Calibri" w:hAnsi="Calibri" w:hint="eastAsia"/>
          <w:color w:val="auto"/>
          <w:sz w:val="24"/>
        </w:rPr>
        <w:t>下各污染源排放参数详见表</w:t>
      </w:r>
      <w:r w:rsidR="003D71BA" w:rsidRPr="00A964FF">
        <w:rPr>
          <w:rFonts w:ascii="Calibri" w:hAnsi="Calibri" w:hint="eastAsia"/>
          <w:color w:val="auto"/>
          <w:sz w:val="24"/>
        </w:rPr>
        <w:t>4</w:t>
      </w:r>
      <w:r w:rsidR="00910CEA" w:rsidRPr="00A964FF">
        <w:rPr>
          <w:rFonts w:ascii="Calibri" w:hAnsi="Calibri" w:hint="eastAsia"/>
          <w:color w:val="auto"/>
          <w:sz w:val="24"/>
        </w:rPr>
        <w:t>.2</w:t>
      </w:r>
      <w:r w:rsidR="003D71BA" w:rsidRPr="00A964FF">
        <w:rPr>
          <w:rFonts w:ascii="Calibri" w:hAnsi="Calibri" w:hint="eastAsia"/>
          <w:color w:val="auto"/>
          <w:sz w:val="24"/>
        </w:rPr>
        <w:t>-</w:t>
      </w:r>
      <w:r w:rsidR="0097027F" w:rsidRPr="00A964FF">
        <w:rPr>
          <w:rFonts w:ascii="Calibri" w:hAnsi="Calibri" w:hint="eastAsia"/>
          <w:color w:val="auto"/>
          <w:sz w:val="24"/>
        </w:rPr>
        <w:t>8</w:t>
      </w:r>
      <w:r w:rsidRPr="00A964FF">
        <w:rPr>
          <w:rFonts w:ascii="Calibri" w:hAnsi="Calibri" w:hint="eastAsia"/>
          <w:color w:val="auto"/>
          <w:sz w:val="24"/>
        </w:rPr>
        <w:t>、表</w:t>
      </w:r>
      <w:r w:rsidR="003D71BA" w:rsidRPr="00A964FF">
        <w:rPr>
          <w:rFonts w:ascii="Calibri" w:hAnsi="Calibri" w:hint="eastAsia"/>
          <w:color w:val="auto"/>
          <w:sz w:val="24"/>
        </w:rPr>
        <w:t>4</w:t>
      </w:r>
      <w:r w:rsidR="00910CEA" w:rsidRPr="00A964FF">
        <w:rPr>
          <w:rFonts w:ascii="Calibri" w:hAnsi="Calibri" w:hint="eastAsia"/>
          <w:color w:val="auto"/>
          <w:sz w:val="24"/>
        </w:rPr>
        <w:t>.2</w:t>
      </w:r>
      <w:r w:rsidR="003D71BA" w:rsidRPr="00A964FF">
        <w:rPr>
          <w:rFonts w:ascii="Calibri" w:hAnsi="Calibri" w:hint="eastAsia"/>
          <w:color w:val="auto"/>
          <w:sz w:val="24"/>
        </w:rPr>
        <w:t>-</w:t>
      </w:r>
      <w:r w:rsidR="0097027F" w:rsidRPr="00A964FF">
        <w:rPr>
          <w:rFonts w:ascii="Calibri" w:hAnsi="Calibri" w:hint="eastAsia"/>
          <w:color w:val="auto"/>
          <w:sz w:val="24"/>
        </w:rPr>
        <w:t>9</w:t>
      </w:r>
      <w:r w:rsidR="003D71BA" w:rsidRPr="00A964FF">
        <w:rPr>
          <w:rFonts w:ascii="Calibri" w:hAnsi="Calibri" w:hint="eastAsia"/>
          <w:color w:val="auto"/>
          <w:sz w:val="24"/>
        </w:rPr>
        <w:t>。</w:t>
      </w:r>
    </w:p>
    <w:p w14:paraId="769D7F0C" w14:textId="77777777" w:rsidR="003D71BA" w:rsidRPr="00D3335E" w:rsidRDefault="003D71BA" w:rsidP="0055605A">
      <w:pPr>
        <w:widowControl/>
        <w:spacing w:line="520" w:lineRule="exact"/>
        <w:ind w:firstLine="480"/>
        <w:rPr>
          <w:rFonts w:ascii="Calibri" w:hAnsi="Calibri"/>
          <w:color w:val="auto"/>
          <w:sz w:val="24"/>
        </w:rPr>
      </w:pPr>
    </w:p>
    <w:p w14:paraId="131FDCB8" w14:textId="77777777" w:rsidR="00792857" w:rsidRPr="00A964FF" w:rsidRDefault="00792857" w:rsidP="0055605A">
      <w:pPr>
        <w:widowControl/>
        <w:spacing w:line="520" w:lineRule="exact"/>
        <w:ind w:firstLine="480"/>
        <w:rPr>
          <w:rFonts w:ascii="Calibri" w:hAnsi="Calibri"/>
          <w:color w:val="auto"/>
          <w:sz w:val="24"/>
        </w:rPr>
      </w:pPr>
    </w:p>
    <w:p w14:paraId="4863498C" w14:textId="77777777" w:rsidR="00792857" w:rsidRPr="00A964FF" w:rsidRDefault="00792857" w:rsidP="0055605A">
      <w:pPr>
        <w:widowControl/>
        <w:spacing w:line="520" w:lineRule="exact"/>
        <w:ind w:firstLine="480"/>
        <w:rPr>
          <w:rFonts w:ascii="Calibri" w:hAnsi="Calibri"/>
          <w:color w:val="auto"/>
          <w:sz w:val="24"/>
        </w:rPr>
      </w:pPr>
    </w:p>
    <w:p w14:paraId="24095D5F" w14:textId="77777777" w:rsidR="00792857" w:rsidRPr="00A964FF" w:rsidRDefault="00792857" w:rsidP="0055605A">
      <w:pPr>
        <w:widowControl/>
        <w:spacing w:line="520" w:lineRule="exact"/>
        <w:ind w:firstLine="480"/>
        <w:rPr>
          <w:rFonts w:ascii="Calibri" w:hAnsi="Calibri"/>
          <w:color w:val="auto"/>
          <w:sz w:val="24"/>
        </w:rPr>
        <w:sectPr w:rsidR="00792857" w:rsidRPr="00A964FF" w:rsidSect="0055299D">
          <w:pgSz w:w="11906" w:h="16838" w:code="9"/>
          <w:pgMar w:top="1440" w:right="1588" w:bottom="1440" w:left="1588" w:header="851" w:footer="992" w:gutter="0"/>
          <w:cols w:space="720"/>
          <w:docGrid w:linePitch="312"/>
        </w:sectPr>
      </w:pPr>
    </w:p>
    <w:p w14:paraId="164FD35D" w14:textId="77777777" w:rsidR="003D71BA" w:rsidRPr="00A964FF" w:rsidRDefault="003D71BA" w:rsidP="005354F0">
      <w:pPr>
        <w:pStyle w:val="affff"/>
        <w:spacing w:line="520" w:lineRule="exact"/>
        <w:ind w:left="0" w:firstLineChars="415" w:firstLine="996"/>
        <w:rPr>
          <w:rFonts w:ascii="黑体" w:eastAsia="黑体" w:hAnsi="黑体" w:cs="黑体"/>
          <w:color w:val="auto"/>
          <w:szCs w:val="22"/>
          <w:lang w:bidi="zh-CN"/>
        </w:rPr>
      </w:pPr>
      <w:r w:rsidRPr="00A964FF">
        <w:rPr>
          <w:rFonts w:ascii="Calibri" w:eastAsia="黑体" w:hAnsi="黑体"/>
          <w:color w:val="auto"/>
          <w:szCs w:val="22"/>
          <w:lang w:bidi="zh-CN"/>
        </w:rPr>
        <w:lastRenderedPageBreak/>
        <w:t>表</w:t>
      </w:r>
      <w:r w:rsidRPr="00A964FF">
        <w:rPr>
          <w:rFonts w:ascii="Calibri" w:eastAsia="黑体" w:hAnsi="Calibri"/>
          <w:color w:val="auto"/>
          <w:szCs w:val="22"/>
          <w:lang w:bidi="zh-CN"/>
        </w:rPr>
        <w:t>4</w:t>
      </w:r>
      <w:r w:rsidR="00910CEA" w:rsidRPr="00A964FF">
        <w:rPr>
          <w:rFonts w:ascii="Calibri" w:eastAsia="黑体" w:hAnsi="Calibri" w:hint="eastAsia"/>
          <w:color w:val="auto"/>
          <w:szCs w:val="22"/>
          <w:lang w:bidi="zh-CN"/>
        </w:rPr>
        <w:t>.2</w:t>
      </w:r>
      <w:r w:rsidRPr="00A964FF">
        <w:rPr>
          <w:rFonts w:ascii="Calibri" w:eastAsia="黑体" w:hAnsi="Calibri"/>
          <w:color w:val="auto"/>
          <w:szCs w:val="22"/>
          <w:lang w:bidi="zh-CN"/>
        </w:rPr>
        <w:t>-</w:t>
      </w:r>
      <w:r w:rsidR="0097027F" w:rsidRPr="00A964FF">
        <w:rPr>
          <w:rFonts w:ascii="Calibri" w:eastAsia="黑体" w:hAnsi="Calibri" w:hint="eastAsia"/>
          <w:color w:val="auto"/>
          <w:szCs w:val="22"/>
          <w:lang w:bidi="zh-CN"/>
        </w:rPr>
        <w:t>8</w:t>
      </w:r>
      <w:r w:rsidRPr="00A964FF">
        <w:rPr>
          <w:rFonts w:ascii="Calibri" w:eastAsia="黑体" w:hAnsi="Calibri"/>
          <w:color w:val="auto"/>
          <w:szCs w:val="22"/>
          <w:lang w:bidi="zh-CN"/>
        </w:rPr>
        <w:t xml:space="preserve">   </w:t>
      </w:r>
      <w:r w:rsidRPr="00A964FF">
        <w:rPr>
          <w:rFonts w:ascii="黑体" w:eastAsia="黑体" w:hAnsi="黑体" w:cs="黑体" w:hint="eastAsia"/>
          <w:color w:val="auto"/>
          <w:szCs w:val="22"/>
          <w:lang w:bidi="zh-CN"/>
        </w:rPr>
        <w:t xml:space="preserve">                               </w:t>
      </w:r>
      <w:r w:rsidR="00735C3D" w:rsidRPr="00A964FF">
        <w:rPr>
          <w:rFonts w:ascii="黑体" w:eastAsia="黑体" w:hAnsi="黑体" w:cs="黑体" w:hint="eastAsia"/>
          <w:color w:val="auto"/>
          <w:szCs w:val="22"/>
          <w:lang w:bidi="zh-CN"/>
        </w:rPr>
        <w:t xml:space="preserve">  </w:t>
      </w:r>
      <w:r w:rsidRPr="00A964FF">
        <w:rPr>
          <w:rFonts w:ascii="黑体" w:eastAsia="黑体" w:hAnsi="黑体" w:cs="黑体" w:hint="eastAsia"/>
          <w:color w:val="auto"/>
          <w:szCs w:val="22"/>
          <w:lang w:bidi="zh-CN"/>
        </w:rPr>
        <w:t xml:space="preserve">    本项目点源参数调查清单</w:t>
      </w:r>
    </w:p>
    <w:tbl>
      <w:tblPr>
        <w:tblW w:w="462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
        <w:gridCol w:w="1383"/>
        <w:gridCol w:w="933"/>
        <w:gridCol w:w="930"/>
        <w:gridCol w:w="793"/>
        <w:gridCol w:w="739"/>
        <w:gridCol w:w="744"/>
        <w:gridCol w:w="728"/>
        <w:gridCol w:w="512"/>
        <w:gridCol w:w="780"/>
        <w:gridCol w:w="623"/>
        <w:gridCol w:w="759"/>
        <w:gridCol w:w="610"/>
        <w:gridCol w:w="610"/>
        <w:gridCol w:w="672"/>
        <w:gridCol w:w="610"/>
        <w:gridCol w:w="932"/>
      </w:tblGrid>
      <w:tr w:rsidR="006E3216" w:rsidRPr="00181939" w14:paraId="06CA97C2" w14:textId="7A91916B" w:rsidTr="006E3216">
        <w:trPr>
          <w:trHeight w:val="335"/>
          <w:jc w:val="center"/>
        </w:trPr>
        <w:tc>
          <w:tcPr>
            <w:tcW w:w="198" w:type="pct"/>
            <w:vMerge w:val="restart"/>
            <w:noWrap/>
            <w:tcMar>
              <w:left w:w="28" w:type="dxa"/>
              <w:right w:w="28" w:type="dxa"/>
            </w:tcMar>
            <w:vAlign w:val="center"/>
          </w:tcPr>
          <w:p w14:paraId="0F6C6610" w14:textId="77777777" w:rsidR="006E3216" w:rsidRPr="00181939" w:rsidRDefault="006E3216" w:rsidP="003D71BA">
            <w:pPr>
              <w:pStyle w:val="afffff"/>
              <w:widowControl w:val="0"/>
              <w:spacing w:line="300" w:lineRule="exact"/>
              <w:rPr>
                <w:rFonts w:ascii="Calibri" w:hAnsi="Calibri"/>
                <w:b/>
                <w:kern w:val="0"/>
                <w:u w:val="single"/>
              </w:rPr>
            </w:pPr>
            <w:r w:rsidRPr="00181939">
              <w:rPr>
                <w:rFonts w:ascii="Calibri" w:hAnsi="Calibri" w:hint="eastAsia"/>
                <w:b/>
                <w:kern w:val="0"/>
                <w:u w:val="single"/>
              </w:rPr>
              <w:t>序号</w:t>
            </w:r>
          </w:p>
        </w:tc>
        <w:tc>
          <w:tcPr>
            <w:tcW w:w="537" w:type="pct"/>
            <w:vMerge w:val="restart"/>
            <w:noWrap/>
            <w:tcMar>
              <w:left w:w="28" w:type="dxa"/>
              <w:right w:w="28" w:type="dxa"/>
            </w:tcMar>
            <w:vAlign w:val="center"/>
          </w:tcPr>
          <w:p w14:paraId="4C942E08" w14:textId="77777777" w:rsidR="006E3216" w:rsidRPr="00181939" w:rsidRDefault="006E3216" w:rsidP="003D71BA">
            <w:pPr>
              <w:pStyle w:val="afffff"/>
              <w:widowControl w:val="0"/>
              <w:spacing w:line="300" w:lineRule="exact"/>
              <w:rPr>
                <w:rFonts w:ascii="Calibri" w:hAnsi="Calibri"/>
                <w:b/>
                <w:kern w:val="0"/>
                <w:u w:val="single"/>
              </w:rPr>
            </w:pPr>
            <w:r w:rsidRPr="00181939">
              <w:rPr>
                <w:rFonts w:ascii="Calibri" w:hAnsi="Calibri" w:hint="eastAsia"/>
                <w:b/>
                <w:kern w:val="0"/>
                <w:u w:val="single"/>
              </w:rPr>
              <w:t>点源</w:t>
            </w:r>
          </w:p>
          <w:p w14:paraId="6BB6C7EA" w14:textId="77777777" w:rsidR="006E3216" w:rsidRPr="00181939" w:rsidRDefault="006E3216" w:rsidP="003D71BA">
            <w:pPr>
              <w:pStyle w:val="afffff"/>
              <w:widowControl w:val="0"/>
              <w:spacing w:line="300" w:lineRule="exact"/>
              <w:rPr>
                <w:rFonts w:ascii="Calibri" w:hAnsi="Calibri"/>
                <w:b/>
                <w:kern w:val="0"/>
                <w:u w:val="single"/>
              </w:rPr>
            </w:pPr>
            <w:r w:rsidRPr="00181939">
              <w:rPr>
                <w:rFonts w:ascii="Calibri" w:hAnsi="Calibri" w:hint="eastAsia"/>
                <w:b/>
                <w:kern w:val="0"/>
                <w:u w:val="single"/>
              </w:rPr>
              <w:t>名称</w:t>
            </w:r>
          </w:p>
        </w:tc>
        <w:tc>
          <w:tcPr>
            <w:tcW w:w="723" w:type="pct"/>
            <w:gridSpan w:val="2"/>
            <w:noWrap/>
            <w:tcMar>
              <w:left w:w="28" w:type="dxa"/>
              <w:right w:w="28" w:type="dxa"/>
            </w:tcMar>
            <w:vAlign w:val="center"/>
          </w:tcPr>
          <w:p w14:paraId="5E204222" w14:textId="77777777" w:rsidR="006E3216" w:rsidRPr="00181939" w:rsidRDefault="006E3216" w:rsidP="00E6064F">
            <w:pPr>
              <w:pStyle w:val="afffff"/>
              <w:widowControl w:val="0"/>
              <w:spacing w:line="240" w:lineRule="auto"/>
              <w:rPr>
                <w:rFonts w:ascii="Calibri" w:hAnsi="Calibri"/>
                <w:b/>
                <w:u w:val="single"/>
                <w:lang w:bidi="zh-CN"/>
              </w:rPr>
            </w:pPr>
            <w:r w:rsidRPr="00181939">
              <w:rPr>
                <w:rFonts w:ascii="Calibri" w:hAnsi="Calibri"/>
                <w:b/>
                <w:u w:val="single"/>
                <w:lang w:bidi="zh-CN"/>
              </w:rPr>
              <w:t>排气筒底部中心坐标</w:t>
            </w:r>
            <w:r w:rsidRPr="00181939">
              <w:rPr>
                <w:rFonts w:ascii="Calibri" w:hAnsi="Calibri" w:hint="eastAsia"/>
                <w:b/>
                <w:u w:val="single"/>
                <w:lang w:bidi="zh-CN"/>
              </w:rPr>
              <w:t>（°）</w:t>
            </w:r>
          </w:p>
        </w:tc>
        <w:tc>
          <w:tcPr>
            <w:tcW w:w="308" w:type="pct"/>
            <w:vMerge w:val="restart"/>
            <w:noWrap/>
            <w:tcMar>
              <w:left w:w="28" w:type="dxa"/>
              <w:right w:w="28" w:type="dxa"/>
            </w:tcMar>
            <w:vAlign w:val="center"/>
          </w:tcPr>
          <w:p w14:paraId="1696025F" w14:textId="77777777" w:rsidR="006E3216" w:rsidRPr="00181939" w:rsidRDefault="006E3216" w:rsidP="00594438">
            <w:pPr>
              <w:jc w:val="center"/>
              <w:rPr>
                <w:rFonts w:ascii="Calibri" w:hAnsi="Calibri"/>
                <w:b/>
                <w:bCs/>
                <w:color w:val="auto"/>
                <w:szCs w:val="21"/>
                <w:u w:val="single"/>
              </w:rPr>
            </w:pPr>
            <w:r w:rsidRPr="00181939">
              <w:rPr>
                <w:rFonts w:ascii="Calibri" w:hAnsi="Calibri"/>
                <w:b/>
                <w:bCs/>
                <w:color w:val="auto"/>
                <w:szCs w:val="21"/>
                <w:u w:val="single"/>
              </w:rPr>
              <w:t>排气筒底部海拔高度</w:t>
            </w:r>
            <w:r w:rsidRPr="00181939">
              <w:rPr>
                <w:rFonts w:ascii="Calibri" w:hAnsi="Calibri" w:hint="eastAsia"/>
                <w:b/>
                <w:bCs/>
                <w:color w:val="auto"/>
                <w:szCs w:val="21"/>
                <w:u w:val="single"/>
              </w:rPr>
              <w:t>（</w:t>
            </w:r>
            <w:r w:rsidRPr="00181939">
              <w:rPr>
                <w:rFonts w:ascii="Calibri" w:hAnsi="Calibri" w:hint="eastAsia"/>
                <w:b/>
                <w:bCs/>
                <w:color w:val="auto"/>
                <w:szCs w:val="21"/>
                <w:u w:val="single"/>
              </w:rPr>
              <w:t>m</w:t>
            </w:r>
            <w:r w:rsidRPr="00181939">
              <w:rPr>
                <w:rFonts w:ascii="Calibri" w:hAnsi="Calibri" w:hint="eastAsia"/>
                <w:b/>
                <w:bCs/>
                <w:color w:val="auto"/>
                <w:szCs w:val="21"/>
                <w:u w:val="single"/>
              </w:rPr>
              <w:t>）</w:t>
            </w:r>
          </w:p>
        </w:tc>
        <w:tc>
          <w:tcPr>
            <w:tcW w:w="287" w:type="pct"/>
            <w:vMerge w:val="restart"/>
            <w:tcMar>
              <w:left w:w="28" w:type="dxa"/>
              <w:right w:w="28" w:type="dxa"/>
            </w:tcMar>
            <w:vAlign w:val="center"/>
          </w:tcPr>
          <w:p w14:paraId="13E5BF32" w14:textId="77777777" w:rsidR="006E3216" w:rsidRPr="00181939" w:rsidRDefault="006E3216" w:rsidP="00594438">
            <w:pPr>
              <w:jc w:val="center"/>
              <w:rPr>
                <w:rFonts w:ascii="Calibri" w:hAnsi="Calibri"/>
                <w:b/>
                <w:bCs/>
                <w:color w:val="auto"/>
                <w:szCs w:val="21"/>
                <w:u w:val="single"/>
              </w:rPr>
            </w:pPr>
            <w:r w:rsidRPr="00181939">
              <w:rPr>
                <w:rFonts w:ascii="Calibri" w:hAnsi="Calibri"/>
                <w:b/>
                <w:bCs/>
                <w:color w:val="auto"/>
                <w:szCs w:val="21"/>
                <w:u w:val="single"/>
              </w:rPr>
              <w:t>排气筒高度</w:t>
            </w:r>
            <w:r w:rsidRPr="00181939">
              <w:rPr>
                <w:rFonts w:ascii="Calibri" w:hAnsi="Calibri" w:hint="eastAsia"/>
                <w:b/>
                <w:bCs/>
                <w:color w:val="auto"/>
                <w:szCs w:val="21"/>
                <w:u w:val="single"/>
              </w:rPr>
              <w:t>（</w:t>
            </w:r>
            <w:r w:rsidRPr="00181939">
              <w:rPr>
                <w:rFonts w:ascii="Calibri" w:hAnsi="Calibri" w:hint="eastAsia"/>
                <w:b/>
                <w:bCs/>
                <w:color w:val="auto"/>
                <w:szCs w:val="21"/>
                <w:u w:val="single"/>
              </w:rPr>
              <w:t>m</w:t>
            </w:r>
            <w:r w:rsidRPr="00181939">
              <w:rPr>
                <w:rFonts w:ascii="Calibri" w:hAnsi="Calibri" w:hint="eastAsia"/>
                <w:b/>
                <w:bCs/>
                <w:color w:val="auto"/>
                <w:szCs w:val="21"/>
                <w:u w:val="single"/>
              </w:rPr>
              <w:t>）</w:t>
            </w:r>
          </w:p>
        </w:tc>
        <w:tc>
          <w:tcPr>
            <w:tcW w:w="289" w:type="pct"/>
            <w:vMerge w:val="restart"/>
            <w:noWrap/>
            <w:tcMar>
              <w:left w:w="28" w:type="dxa"/>
              <w:right w:w="28" w:type="dxa"/>
            </w:tcMar>
            <w:vAlign w:val="center"/>
          </w:tcPr>
          <w:p w14:paraId="6FE49BFB" w14:textId="77777777" w:rsidR="006E3216" w:rsidRPr="00181939" w:rsidRDefault="006E3216" w:rsidP="00594438">
            <w:pPr>
              <w:jc w:val="center"/>
              <w:rPr>
                <w:rFonts w:ascii="Calibri" w:hAnsi="Calibri"/>
                <w:b/>
                <w:bCs/>
                <w:color w:val="auto"/>
                <w:szCs w:val="21"/>
                <w:u w:val="single"/>
              </w:rPr>
            </w:pPr>
            <w:r w:rsidRPr="00181939">
              <w:rPr>
                <w:rFonts w:ascii="Calibri" w:hAnsi="Calibri"/>
                <w:b/>
                <w:bCs/>
                <w:color w:val="auto"/>
                <w:szCs w:val="21"/>
                <w:u w:val="single"/>
              </w:rPr>
              <w:t>排气筒内径</w:t>
            </w:r>
            <w:r w:rsidRPr="00181939">
              <w:rPr>
                <w:rFonts w:ascii="Calibri" w:hAnsi="Calibri" w:hint="eastAsia"/>
                <w:b/>
                <w:bCs/>
                <w:color w:val="auto"/>
                <w:szCs w:val="21"/>
                <w:u w:val="single"/>
              </w:rPr>
              <w:t>（</w:t>
            </w:r>
            <w:r w:rsidRPr="00181939">
              <w:rPr>
                <w:rFonts w:ascii="Calibri" w:hAnsi="Calibri" w:hint="eastAsia"/>
                <w:b/>
                <w:bCs/>
                <w:color w:val="auto"/>
                <w:szCs w:val="21"/>
                <w:u w:val="single"/>
              </w:rPr>
              <w:t>m</w:t>
            </w:r>
            <w:r w:rsidRPr="00181939">
              <w:rPr>
                <w:rFonts w:ascii="Calibri" w:hAnsi="Calibri" w:hint="eastAsia"/>
                <w:b/>
                <w:bCs/>
                <w:color w:val="auto"/>
                <w:szCs w:val="21"/>
                <w:u w:val="single"/>
              </w:rPr>
              <w:t>）</w:t>
            </w:r>
          </w:p>
        </w:tc>
        <w:tc>
          <w:tcPr>
            <w:tcW w:w="283" w:type="pct"/>
            <w:vMerge w:val="restart"/>
            <w:noWrap/>
            <w:tcMar>
              <w:left w:w="28" w:type="dxa"/>
              <w:right w:w="28" w:type="dxa"/>
            </w:tcMar>
            <w:vAlign w:val="center"/>
          </w:tcPr>
          <w:p w14:paraId="3040DC94" w14:textId="77777777" w:rsidR="006E3216" w:rsidRPr="00181939" w:rsidRDefault="006E3216" w:rsidP="003D71BA">
            <w:pPr>
              <w:jc w:val="center"/>
              <w:rPr>
                <w:rFonts w:ascii="Calibri" w:hAnsi="Calibri"/>
                <w:b/>
                <w:bCs/>
                <w:color w:val="auto"/>
                <w:szCs w:val="21"/>
                <w:u w:val="single"/>
              </w:rPr>
            </w:pPr>
            <w:r w:rsidRPr="00181939">
              <w:rPr>
                <w:rFonts w:ascii="Calibri" w:hAnsi="Calibri"/>
                <w:b/>
                <w:bCs/>
                <w:color w:val="auto"/>
                <w:szCs w:val="21"/>
                <w:u w:val="single"/>
              </w:rPr>
              <w:t>烟气</w:t>
            </w:r>
          </w:p>
          <w:p w14:paraId="435ADEED" w14:textId="77777777" w:rsidR="006E3216" w:rsidRPr="00181939" w:rsidRDefault="006E3216" w:rsidP="00594438">
            <w:pPr>
              <w:jc w:val="center"/>
              <w:rPr>
                <w:rFonts w:ascii="Calibri" w:hAnsi="Calibri"/>
                <w:b/>
                <w:bCs/>
                <w:color w:val="auto"/>
                <w:szCs w:val="21"/>
                <w:u w:val="single"/>
              </w:rPr>
            </w:pPr>
            <w:r w:rsidRPr="00181939">
              <w:rPr>
                <w:rFonts w:ascii="Calibri" w:hAnsi="Calibri"/>
                <w:b/>
                <w:bCs/>
                <w:color w:val="auto"/>
                <w:szCs w:val="21"/>
                <w:u w:val="single"/>
              </w:rPr>
              <w:t>流速（</w:t>
            </w:r>
            <w:r w:rsidRPr="00181939">
              <w:rPr>
                <w:rFonts w:ascii="Calibri" w:hAnsi="Calibri"/>
                <w:b/>
                <w:bCs/>
                <w:color w:val="auto"/>
                <w:szCs w:val="21"/>
                <w:u w:val="single"/>
              </w:rPr>
              <w:t>m/s</w:t>
            </w:r>
            <w:r w:rsidRPr="00181939">
              <w:rPr>
                <w:rFonts w:ascii="Calibri" w:hAnsi="Calibri"/>
                <w:b/>
                <w:bCs/>
                <w:color w:val="auto"/>
                <w:szCs w:val="21"/>
                <w:u w:val="single"/>
              </w:rPr>
              <w:t>）</w:t>
            </w:r>
          </w:p>
        </w:tc>
        <w:tc>
          <w:tcPr>
            <w:tcW w:w="199" w:type="pct"/>
            <w:vMerge w:val="restart"/>
            <w:tcMar>
              <w:left w:w="28" w:type="dxa"/>
              <w:right w:w="28" w:type="dxa"/>
            </w:tcMar>
            <w:vAlign w:val="center"/>
          </w:tcPr>
          <w:p w14:paraId="1026F6AD" w14:textId="77777777" w:rsidR="006E3216" w:rsidRPr="00181939" w:rsidRDefault="006E3216" w:rsidP="00594438">
            <w:pPr>
              <w:jc w:val="center"/>
              <w:rPr>
                <w:rFonts w:ascii="Calibri" w:hAnsi="Calibri"/>
                <w:b/>
                <w:bCs/>
                <w:color w:val="auto"/>
                <w:szCs w:val="21"/>
                <w:u w:val="single"/>
              </w:rPr>
            </w:pPr>
            <w:r w:rsidRPr="00181939">
              <w:rPr>
                <w:rFonts w:ascii="Calibri" w:hAnsi="Calibri"/>
                <w:b/>
                <w:bCs/>
                <w:color w:val="auto"/>
                <w:szCs w:val="21"/>
                <w:u w:val="single"/>
              </w:rPr>
              <w:t>烟气</w:t>
            </w:r>
          </w:p>
          <w:p w14:paraId="41D216C0" w14:textId="77777777" w:rsidR="006E3216" w:rsidRPr="00181939" w:rsidRDefault="006E3216" w:rsidP="00594438">
            <w:pPr>
              <w:jc w:val="center"/>
              <w:rPr>
                <w:rFonts w:ascii="Calibri" w:hAnsi="Calibri"/>
                <w:b/>
                <w:bCs/>
                <w:color w:val="auto"/>
                <w:szCs w:val="21"/>
                <w:u w:val="single"/>
              </w:rPr>
            </w:pPr>
            <w:r w:rsidRPr="00181939">
              <w:rPr>
                <w:rFonts w:ascii="Calibri" w:hAnsi="Calibri"/>
                <w:b/>
                <w:bCs/>
                <w:color w:val="auto"/>
                <w:szCs w:val="21"/>
                <w:u w:val="single"/>
              </w:rPr>
              <w:t>温度</w:t>
            </w:r>
            <w:r w:rsidRPr="00181939">
              <w:rPr>
                <w:rFonts w:ascii="Calibri" w:hAnsi="Calibri" w:hint="eastAsia"/>
                <w:b/>
                <w:bCs/>
                <w:color w:val="auto"/>
                <w:szCs w:val="21"/>
                <w:u w:val="single"/>
              </w:rPr>
              <w:t>（</w:t>
            </w:r>
            <w:r w:rsidRPr="00181939">
              <w:rPr>
                <w:rFonts w:ascii="宋体" w:hAnsi="宋体" w:cs="宋体" w:hint="eastAsia"/>
                <w:b/>
                <w:bCs/>
                <w:color w:val="auto"/>
                <w:szCs w:val="21"/>
                <w:u w:val="single"/>
              </w:rPr>
              <w:t>℃</w:t>
            </w:r>
            <w:r w:rsidRPr="00181939">
              <w:rPr>
                <w:rFonts w:ascii="Calibri" w:hAnsi="Calibri" w:hint="eastAsia"/>
                <w:b/>
                <w:bCs/>
                <w:color w:val="auto"/>
                <w:szCs w:val="21"/>
                <w:u w:val="single"/>
              </w:rPr>
              <w:t>）</w:t>
            </w:r>
          </w:p>
        </w:tc>
        <w:tc>
          <w:tcPr>
            <w:tcW w:w="303" w:type="pct"/>
            <w:vMerge w:val="restart"/>
            <w:tcMar>
              <w:left w:w="28" w:type="dxa"/>
              <w:right w:w="28" w:type="dxa"/>
            </w:tcMar>
            <w:vAlign w:val="center"/>
          </w:tcPr>
          <w:p w14:paraId="33BF9DAA" w14:textId="77777777" w:rsidR="006E3216" w:rsidRPr="00181939" w:rsidRDefault="006E3216" w:rsidP="003D71BA">
            <w:pPr>
              <w:jc w:val="center"/>
              <w:rPr>
                <w:rFonts w:ascii="Calibri" w:hAnsi="Calibri"/>
                <w:b/>
                <w:bCs/>
                <w:color w:val="auto"/>
                <w:szCs w:val="21"/>
                <w:u w:val="single"/>
              </w:rPr>
            </w:pPr>
            <w:r w:rsidRPr="00181939">
              <w:rPr>
                <w:rFonts w:ascii="Calibri" w:hAnsi="Calibri"/>
                <w:b/>
                <w:bCs/>
                <w:color w:val="auto"/>
                <w:szCs w:val="21"/>
                <w:u w:val="single"/>
              </w:rPr>
              <w:t>排放</w:t>
            </w:r>
          </w:p>
          <w:p w14:paraId="59105B66" w14:textId="77777777" w:rsidR="006E3216" w:rsidRPr="00181939" w:rsidRDefault="006E3216" w:rsidP="003D71BA">
            <w:pPr>
              <w:jc w:val="center"/>
              <w:rPr>
                <w:rFonts w:ascii="Calibri" w:hAnsi="Calibri"/>
                <w:b/>
                <w:bCs/>
                <w:color w:val="auto"/>
                <w:szCs w:val="21"/>
                <w:u w:val="single"/>
              </w:rPr>
            </w:pPr>
            <w:r w:rsidRPr="00181939">
              <w:rPr>
                <w:rFonts w:ascii="Calibri" w:hAnsi="Calibri"/>
                <w:b/>
                <w:bCs/>
                <w:color w:val="auto"/>
                <w:szCs w:val="21"/>
                <w:u w:val="single"/>
              </w:rPr>
              <w:t>工况</w:t>
            </w:r>
          </w:p>
        </w:tc>
        <w:tc>
          <w:tcPr>
            <w:tcW w:w="1871" w:type="pct"/>
            <w:gridSpan w:val="7"/>
            <w:vAlign w:val="center"/>
          </w:tcPr>
          <w:p w14:paraId="638F2D52" w14:textId="77777777" w:rsidR="006E3216" w:rsidRPr="00181939" w:rsidRDefault="006E3216" w:rsidP="003D71BA">
            <w:pPr>
              <w:pStyle w:val="afffff"/>
              <w:widowControl w:val="0"/>
              <w:spacing w:line="300" w:lineRule="exact"/>
              <w:rPr>
                <w:rFonts w:ascii="Calibri" w:hAnsi="Calibri"/>
                <w:b/>
                <w:kern w:val="0"/>
                <w:u w:val="single"/>
              </w:rPr>
            </w:pPr>
            <w:r w:rsidRPr="00181939">
              <w:rPr>
                <w:rFonts w:ascii="Calibri" w:hAnsi="Calibri" w:hint="eastAsia"/>
                <w:b/>
                <w:kern w:val="0"/>
                <w:u w:val="single"/>
              </w:rPr>
              <w:t>评价因子源强（</w:t>
            </w:r>
            <w:r w:rsidRPr="00181939">
              <w:rPr>
                <w:rFonts w:ascii="Calibri" w:hAnsi="Calibri" w:hint="eastAsia"/>
                <w:b/>
                <w:kern w:val="0"/>
                <w:u w:val="single"/>
              </w:rPr>
              <w:t>kg/h</w:t>
            </w:r>
            <w:r w:rsidRPr="00181939">
              <w:rPr>
                <w:rFonts w:ascii="Calibri" w:hAnsi="Calibri" w:hint="eastAsia"/>
                <w:b/>
                <w:kern w:val="0"/>
                <w:u w:val="single"/>
              </w:rPr>
              <w:t>）</w:t>
            </w:r>
          </w:p>
        </w:tc>
      </w:tr>
      <w:tr w:rsidR="006E3216" w:rsidRPr="00181939" w14:paraId="761C9DD1" w14:textId="77777777" w:rsidTr="006E3216">
        <w:trPr>
          <w:trHeight w:val="335"/>
          <w:jc w:val="center"/>
        </w:trPr>
        <w:tc>
          <w:tcPr>
            <w:tcW w:w="198" w:type="pct"/>
            <w:vMerge/>
            <w:noWrap/>
            <w:tcMar>
              <w:left w:w="28" w:type="dxa"/>
              <w:right w:w="28" w:type="dxa"/>
            </w:tcMar>
            <w:vAlign w:val="center"/>
          </w:tcPr>
          <w:p w14:paraId="252C8F59" w14:textId="77777777" w:rsidR="006E3216" w:rsidRPr="00181939" w:rsidRDefault="006E3216" w:rsidP="006E3216">
            <w:pPr>
              <w:pStyle w:val="afffff"/>
              <w:widowControl w:val="0"/>
              <w:spacing w:line="300" w:lineRule="exact"/>
              <w:rPr>
                <w:rFonts w:ascii="Calibri" w:hAnsi="Calibri"/>
                <w:b/>
                <w:kern w:val="0"/>
                <w:u w:val="single"/>
              </w:rPr>
            </w:pPr>
          </w:p>
        </w:tc>
        <w:tc>
          <w:tcPr>
            <w:tcW w:w="537" w:type="pct"/>
            <w:vMerge/>
            <w:noWrap/>
            <w:tcMar>
              <w:left w:w="28" w:type="dxa"/>
              <w:right w:w="28" w:type="dxa"/>
            </w:tcMar>
            <w:vAlign w:val="center"/>
          </w:tcPr>
          <w:p w14:paraId="398400B4" w14:textId="77777777" w:rsidR="006E3216" w:rsidRPr="00181939" w:rsidRDefault="006E3216" w:rsidP="006E3216">
            <w:pPr>
              <w:pStyle w:val="afffff"/>
              <w:widowControl w:val="0"/>
              <w:spacing w:line="300" w:lineRule="exact"/>
              <w:rPr>
                <w:rFonts w:ascii="Calibri" w:hAnsi="Calibri"/>
                <w:b/>
                <w:kern w:val="0"/>
                <w:u w:val="single"/>
              </w:rPr>
            </w:pPr>
          </w:p>
        </w:tc>
        <w:tc>
          <w:tcPr>
            <w:tcW w:w="362" w:type="pct"/>
            <w:noWrap/>
            <w:tcMar>
              <w:left w:w="28" w:type="dxa"/>
              <w:right w:w="28" w:type="dxa"/>
            </w:tcMar>
            <w:vAlign w:val="center"/>
          </w:tcPr>
          <w:p w14:paraId="181BDC26"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X</w:t>
            </w:r>
          </w:p>
        </w:tc>
        <w:tc>
          <w:tcPr>
            <w:tcW w:w="360" w:type="pct"/>
            <w:noWrap/>
            <w:tcMar>
              <w:left w:w="28" w:type="dxa"/>
              <w:right w:w="28" w:type="dxa"/>
            </w:tcMar>
            <w:vAlign w:val="center"/>
          </w:tcPr>
          <w:p w14:paraId="7FD960B6"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hint="eastAsia"/>
                <w:b/>
                <w:color w:val="auto"/>
                <w:szCs w:val="21"/>
                <w:u w:val="single"/>
                <w:lang w:val="zh-CN" w:bidi="zh-CN"/>
              </w:rPr>
              <w:t>Y</w:t>
            </w:r>
          </w:p>
        </w:tc>
        <w:tc>
          <w:tcPr>
            <w:tcW w:w="308" w:type="pct"/>
            <w:vMerge/>
            <w:noWrap/>
            <w:tcMar>
              <w:left w:w="28" w:type="dxa"/>
              <w:right w:w="28" w:type="dxa"/>
            </w:tcMar>
            <w:vAlign w:val="center"/>
          </w:tcPr>
          <w:p w14:paraId="51602E30" w14:textId="77777777" w:rsidR="006E3216" w:rsidRPr="00181939" w:rsidRDefault="006E3216" w:rsidP="006E3216">
            <w:pPr>
              <w:autoSpaceDE w:val="0"/>
              <w:autoSpaceDN w:val="0"/>
              <w:jc w:val="center"/>
              <w:rPr>
                <w:rFonts w:ascii="Calibri" w:hAnsi="Calibri"/>
                <w:b/>
                <w:color w:val="auto"/>
                <w:szCs w:val="21"/>
                <w:u w:val="single"/>
                <w:lang w:val="zh-CN" w:bidi="zh-CN"/>
              </w:rPr>
            </w:pPr>
          </w:p>
        </w:tc>
        <w:tc>
          <w:tcPr>
            <w:tcW w:w="287" w:type="pct"/>
            <w:vMerge/>
            <w:tcMar>
              <w:left w:w="28" w:type="dxa"/>
              <w:right w:w="28" w:type="dxa"/>
            </w:tcMar>
            <w:vAlign w:val="center"/>
          </w:tcPr>
          <w:p w14:paraId="71D8BBE1" w14:textId="77777777" w:rsidR="006E3216" w:rsidRPr="00181939" w:rsidRDefault="006E3216" w:rsidP="006E3216">
            <w:pPr>
              <w:autoSpaceDE w:val="0"/>
              <w:autoSpaceDN w:val="0"/>
              <w:jc w:val="center"/>
              <w:rPr>
                <w:rFonts w:ascii="Calibri" w:hAnsi="Calibri"/>
                <w:b/>
                <w:color w:val="auto"/>
                <w:szCs w:val="21"/>
                <w:u w:val="single"/>
                <w:lang w:val="zh-CN" w:bidi="zh-CN"/>
              </w:rPr>
            </w:pPr>
          </w:p>
        </w:tc>
        <w:tc>
          <w:tcPr>
            <w:tcW w:w="289" w:type="pct"/>
            <w:vMerge/>
            <w:noWrap/>
            <w:tcMar>
              <w:left w:w="28" w:type="dxa"/>
              <w:right w:w="28" w:type="dxa"/>
            </w:tcMar>
            <w:vAlign w:val="center"/>
          </w:tcPr>
          <w:p w14:paraId="22AC9BC7" w14:textId="77777777" w:rsidR="006E3216" w:rsidRPr="00181939" w:rsidRDefault="006E3216" w:rsidP="006E3216">
            <w:pPr>
              <w:autoSpaceDE w:val="0"/>
              <w:autoSpaceDN w:val="0"/>
              <w:jc w:val="center"/>
              <w:rPr>
                <w:rFonts w:ascii="Calibri" w:hAnsi="Calibri"/>
                <w:b/>
                <w:color w:val="auto"/>
                <w:szCs w:val="21"/>
                <w:u w:val="single"/>
                <w:lang w:val="zh-CN" w:bidi="zh-CN"/>
              </w:rPr>
            </w:pPr>
          </w:p>
        </w:tc>
        <w:tc>
          <w:tcPr>
            <w:tcW w:w="283" w:type="pct"/>
            <w:vMerge/>
            <w:noWrap/>
            <w:tcMar>
              <w:left w:w="28" w:type="dxa"/>
              <w:right w:w="28" w:type="dxa"/>
            </w:tcMar>
            <w:vAlign w:val="center"/>
          </w:tcPr>
          <w:p w14:paraId="52E0F0A4" w14:textId="77777777" w:rsidR="006E3216" w:rsidRPr="00181939" w:rsidRDefault="006E3216" w:rsidP="006E3216">
            <w:pPr>
              <w:autoSpaceDE w:val="0"/>
              <w:autoSpaceDN w:val="0"/>
              <w:jc w:val="center"/>
              <w:rPr>
                <w:rFonts w:ascii="Calibri" w:hAnsi="Calibri"/>
                <w:b/>
                <w:color w:val="auto"/>
                <w:szCs w:val="21"/>
                <w:u w:val="single"/>
                <w:lang w:val="zh-CN" w:bidi="zh-CN"/>
              </w:rPr>
            </w:pPr>
          </w:p>
        </w:tc>
        <w:tc>
          <w:tcPr>
            <w:tcW w:w="199" w:type="pct"/>
            <w:vMerge/>
            <w:tcMar>
              <w:left w:w="28" w:type="dxa"/>
              <w:right w:w="28" w:type="dxa"/>
            </w:tcMar>
            <w:vAlign w:val="center"/>
          </w:tcPr>
          <w:p w14:paraId="1A7CAB22" w14:textId="77777777" w:rsidR="006E3216" w:rsidRPr="00181939" w:rsidRDefault="006E3216" w:rsidP="006E3216">
            <w:pPr>
              <w:autoSpaceDE w:val="0"/>
              <w:autoSpaceDN w:val="0"/>
              <w:jc w:val="center"/>
              <w:rPr>
                <w:rFonts w:ascii="Calibri" w:hAnsi="Calibri"/>
                <w:b/>
                <w:color w:val="auto"/>
                <w:szCs w:val="21"/>
                <w:u w:val="single"/>
                <w:lang w:val="zh-CN" w:bidi="zh-CN"/>
              </w:rPr>
            </w:pPr>
          </w:p>
        </w:tc>
        <w:tc>
          <w:tcPr>
            <w:tcW w:w="303" w:type="pct"/>
            <w:vMerge/>
            <w:tcMar>
              <w:left w:w="28" w:type="dxa"/>
              <w:right w:w="28" w:type="dxa"/>
            </w:tcMar>
            <w:vAlign w:val="center"/>
          </w:tcPr>
          <w:p w14:paraId="3BBDEBE0" w14:textId="77777777" w:rsidR="006E3216" w:rsidRPr="00181939" w:rsidRDefault="006E3216" w:rsidP="006E3216">
            <w:pPr>
              <w:pStyle w:val="afffff"/>
              <w:widowControl w:val="0"/>
              <w:spacing w:line="240" w:lineRule="auto"/>
              <w:rPr>
                <w:rFonts w:ascii="Calibri" w:hAnsi="Calibri"/>
                <w:b/>
                <w:kern w:val="0"/>
                <w:u w:val="single"/>
              </w:rPr>
            </w:pPr>
          </w:p>
        </w:tc>
        <w:tc>
          <w:tcPr>
            <w:tcW w:w="242" w:type="pct"/>
            <w:noWrap/>
            <w:tcMar>
              <w:left w:w="28" w:type="dxa"/>
              <w:right w:w="28" w:type="dxa"/>
            </w:tcMar>
            <w:vAlign w:val="center"/>
          </w:tcPr>
          <w:p w14:paraId="000ED6E2"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PM</w:t>
            </w:r>
            <w:r w:rsidRPr="00181939">
              <w:rPr>
                <w:rFonts w:ascii="Calibri" w:hAnsi="Calibri" w:hint="eastAsia"/>
                <w:b/>
                <w:kern w:val="0"/>
                <w:u w:val="single"/>
                <w:vertAlign w:val="subscript"/>
              </w:rPr>
              <w:t>10</w:t>
            </w:r>
          </w:p>
        </w:tc>
        <w:tc>
          <w:tcPr>
            <w:tcW w:w="295" w:type="pct"/>
            <w:tcMar>
              <w:left w:w="28" w:type="dxa"/>
              <w:right w:w="28" w:type="dxa"/>
            </w:tcMar>
            <w:vAlign w:val="center"/>
          </w:tcPr>
          <w:p w14:paraId="54563BCC"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PM</w:t>
            </w:r>
            <w:r w:rsidRPr="00181939">
              <w:rPr>
                <w:rFonts w:ascii="Calibri" w:hAnsi="Calibri" w:hint="eastAsia"/>
                <w:b/>
                <w:kern w:val="0"/>
                <w:u w:val="single"/>
                <w:vertAlign w:val="subscript"/>
              </w:rPr>
              <w:t>2.5</w:t>
            </w:r>
          </w:p>
        </w:tc>
        <w:tc>
          <w:tcPr>
            <w:tcW w:w="237" w:type="pct"/>
            <w:tcMar>
              <w:left w:w="28" w:type="dxa"/>
              <w:right w:w="28" w:type="dxa"/>
            </w:tcMar>
            <w:vAlign w:val="center"/>
          </w:tcPr>
          <w:p w14:paraId="0B40D496"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SO</w:t>
            </w:r>
            <w:r w:rsidRPr="00181939">
              <w:rPr>
                <w:rFonts w:ascii="Calibri" w:hAnsi="Calibri" w:hint="eastAsia"/>
                <w:b/>
                <w:kern w:val="0"/>
                <w:u w:val="single"/>
                <w:vertAlign w:val="subscript"/>
              </w:rPr>
              <w:t>2</w:t>
            </w:r>
          </w:p>
        </w:tc>
        <w:tc>
          <w:tcPr>
            <w:tcW w:w="237" w:type="pct"/>
            <w:tcMar>
              <w:left w:w="28" w:type="dxa"/>
              <w:right w:w="28" w:type="dxa"/>
            </w:tcMar>
            <w:vAlign w:val="center"/>
          </w:tcPr>
          <w:p w14:paraId="51282694"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NOx</w:t>
            </w:r>
          </w:p>
        </w:tc>
        <w:tc>
          <w:tcPr>
            <w:tcW w:w="261" w:type="pct"/>
            <w:vAlign w:val="center"/>
          </w:tcPr>
          <w:p w14:paraId="0C5CDC6D"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氨</w:t>
            </w:r>
          </w:p>
        </w:tc>
        <w:tc>
          <w:tcPr>
            <w:tcW w:w="237" w:type="pct"/>
            <w:vAlign w:val="center"/>
          </w:tcPr>
          <w:p w14:paraId="61810136"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H</w:t>
            </w:r>
            <w:r w:rsidRPr="00181939">
              <w:rPr>
                <w:rFonts w:ascii="Calibri" w:hAnsi="Calibri" w:hint="eastAsia"/>
                <w:b/>
                <w:kern w:val="0"/>
                <w:u w:val="single"/>
                <w:vertAlign w:val="subscript"/>
              </w:rPr>
              <w:t>2</w:t>
            </w:r>
            <w:r w:rsidRPr="00181939">
              <w:rPr>
                <w:rFonts w:ascii="Calibri" w:hAnsi="Calibri" w:hint="eastAsia"/>
                <w:b/>
                <w:kern w:val="0"/>
                <w:u w:val="single"/>
              </w:rPr>
              <w:t>S</w:t>
            </w:r>
          </w:p>
        </w:tc>
        <w:tc>
          <w:tcPr>
            <w:tcW w:w="362" w:type="pct"/>
            <w:vAlign w:val="center"/>
          </w:tcPr>
          <w:p w14:paraId="2D1856A0" w14:textId="17012B56"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非甲烷总烃</w:t>
            </w:r>
          </w:p>
        </w:tc>
      </w:tr>
      <w:tr w:rsidR="006E3216" w:rsidRPr="00181939" w14:paraId="3D048B07" w14:textId="77777777" w:rsidTr="006E3216">
        <w:trPr>
          <w:trHeight w:val="335"/>
          <w:jc w:val="center"/>
        </w:trPr>
        <w:tc>
          <w:tcPr>
            <w:tcW w:w="198" w:type="pct"/>
            <w:noWrap/>
            <w:tcMar>
              <w:left w:w="28" w:type="dxa"/>
              <w:right w:w="28" w:type="dxa"/>
            </w:tcMar>
            <w:vAlign w:val="center"/>
          </w:tcPr>
          <w:p w14:paraId="42DF51FD" w14:textId="77777777" w:rsidR="006E3216" w:rsidRPr="00181939" w:rsidRDefault="006E3216" w:rsidP="006E3216">
            <w:pPr>
              <w:pStyle w:val="afffff"/>
              <w:widowControl w:val="0"/>
              <w:spacing w:line="300" w:lineRule="exact"/>
              <w:rPr>
                <w:rFonts w:ascii="Calibri" w:hAnsi="Calibri"/>
                <w:b/>
                <w:kern w:val="0"/>
                <w:u w:val="single"/>
              </w:rPr>
            </w:pPr>
            <w:r w:rsidRPr="00181939">
              <w:rPr>
                <w:rFonts w:ascii="Calibri" w:hAnsi="Calibri" w:hint="eastAsia"/>
                <w:b/>
                <w:kern w:val="0"/>
                <w:u w:val="single"/>
              </w:rPr>
              <w:t>1</w:t>
            </w:r>
          </w:p>
        </w:tc>
        <w:tc>
          <w:tcPr>
            <w:tcW w:w="537" w:type="pct"/>
            <w:noWrap/>
            <w:tcMar>
              <w:left w:w="28" w:type="dxa"/>
              <w:right w:w="28" w:type="dxa"/>
            </w:tcMar>
            <w:vAlign w:val="center"/>
          </w:tcPr>
          <w:p w14:paraId="0C592284" w14:textId="77777777" w:rsidR="006E3216" w:rsidRPr="00181939" w:rsidRDefault="006E3216" w:rsidP="006E3216">
            <w:pPr>
              <w:pStyle w:val="afffff"/>
              <w:widowControl w:val="0"/>
              <w:spacing w:line="300" w:lineRule="exact"/>
              <w:rPr>
                <w:rFonts w:ascii="Calibri" w:hAnsi="Calibri"/>
                <w:b/>
                <w:kern w:val="0"/>
                <w:u w:val="single"/>
              </w:rPr>
            </w:pPr>
            <w:r w:rsidRPr="00181939">
              <w:rPr>
                <w:rFonts w:ascii="Calibri" w:hAnsi="Calibri" w:hint="eastAsia"/>
                <w:b/>
                <w:kern w:val="0"/>
                <w:u w:val="single"/>
              </w:rPr>
              <w:t>聚合</w:t>
            </w:r>
            <w:r w:rsidRPr="00181939">
              <w:rPr>
                <w:rFonts w:ascii="Calibri" w:hAnsi="Calibri" w:hint="eastAsia"/>
                <w:b/>
                <w:u w:val="single"/>
              </w:rPr>
              <w:t>及聚合釜下料</w:t>
            </w:r>
            <w:r w:rsidRPr="00181939">
              <w:rPr>
                <w:rFonts w:ascii="Calibri" w:hAnsi="Calibri"/>
                <w:b/>
                <w:u w:val="single"/>
              </w:rPr>
              <w:t>废气</w:t>
            </w:r>
          </w:p>
        </w:tc>
        <w:tc>
          <w:tcPr>
            <w:tcW w:w="362" w:type="pct"/>
            <w:noWrap/>
            <w:tcMar>
              <w:left w:w="28" w:type="dxa"/>
              <w:right w:w="28" w:type="dxa"/>
            </w:tcMar>
            <w:vAlign w:val="center"/>
          </w:tcPr>
          <w:p w14:paraId="528DDFFE"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113.444239</w:t>
            </w:r>
          </w:p>
        </w:tc>
        <w:tc>
          <w:tcPr>
            <w:tcW w:w="360" w:type="pct"/>
            <w:noWrap/>
            <w:tcMar>
              <w:left w:w="28" w:type="dxa"/>
              <w:right w:w="28" w:type="dxa"/>
            </w:tcMar>
            <w:vAlign w:val="center"/>
          </w:tcPr>
          <w:p w14:paraId="27D6FC66"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33.681633</w:t>
            </w:r>
          </w:p>
        </w:tc>
        <w:tc>
          <w:tcPr>
            <w:tcW w:w="308" w:type="pct"/>
            <w:noWrap/>
            <w:tcMar>
              <w:left w:w="28" w:type="dxa"/>
              <w:right w:w="28" w:type="dxa"/>
            </w:tcMar>
            <w:vAlign w:val="center"/>
          </w:tcPr>
          <w:p w14:paraId="7D9DA8D2"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79</w:t>
            </w:r>
          </w:p>
        </w:tc>
        <w:tc>
          <w:tcPr>
            <w:tcW w:w="287" w:type="pct"/>
            <w:tcMar>
              <w:left w:w="28" w:type="dxa"/>
              <w:right w:w="28" w:type="dxa"/>
            </w:tcMar>
            <w:vAlign w:val="center"/>
          </w:tcPr>
          <w:p w14:paraId="24628357"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hint="eastAsia"/>
                <w:b/>
                <w:color w:val="auto"/>
                <w:szCs w:val="21"/>
                <w:u w:val="single"/>
                <w:lang w:val="zh-CN" w:bidi="zh-CN"/>
              </w:rPr>
              <w:t>25</w:t>
            </w:r>
          </w:p>
        </w:tc>
        <w:tc>
          <w:tcPr>
            <w:tcW w:w="289" w:type="pct"/>
            <w:noWrap/>
            <w:tcMar>
              <w:left w:w="28" w:type="dxa"/>
              <w:right w:w="28" w:type="dxa"/>
            </w:tcMar>
            <w:vAlign w:val="center"/>
          </w:tcPr>
          <w:p w14:paraId="72556E9A"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0.35</w:t>
            </w:r>
          </w:p>
        </w:tc>
        <w:tc>
          <w:tcPr>
            <w:tcW w:w="283" w:type="pct"/>
            <w:noWrap/>
            <w:tcMar>
              <w:left w:w="28" w:type="dxa"/>
              <w:right w:w="28" w:type="dxa"/>
            </w:tcMar>
            <w:vAlign w:val="center"/>
          </w:tcPr>
          <w:p w14:paraId="52810D85"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15.49</w:t>
            </w:r>
          </w:p>
        </w:tc>
        <w:tc>
          <w:tcPr>
            <w:tcW w:w="199" w:type="pct"/>
            <w:tcMar>
              <w:left w:w="28" w:type="dxa"/>
              <w:right w:w="28" w:type="dxa"/>
            </w:tcMar>
            <w:vAlign w:val="center"/>
          </w:tcPr>
          <w:p w14:paraId="3BF07FA8"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hint="eastAsia"/>
                <w:b/>
                <w:color w:val="auto"/>
                <w:szCs w:val="21"/>
                <w:u w:val="single"/>
                <w:lang w:val="zh-CN" w:bidi="zh-CN"/>
              </w:rPr>
              <w:t>20</w:t>
            </w:r>
          </w:p>
        </w:tc>
        <w:tc>
          <w:tcPr>
            <w:tcW w:w="303" w:type="pct"/>
            <w:tcMar>
              <w:left w:w="28" w:type="dxa"/>
              <w:right w:w="28" w:type="dxa"/>
            </w:tcMar>
            <w:vAlign w:val="center"/>
          </w:tcPr>
          <w:p w14:paraId="145E2FCB"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正常</w:t>
            </w:r>
          </w:p>
        </w:tc>
        <w:tc>
          <w:tcPr>
            <w:tcW w:w="242" w:type="pct"/>
            <w:noWrap/>
            <w:tcMar>
              <w:left w:w="0" w:type="dxa"/>
              <w:right w:w="0" w:type="dxa"/>
            </w:tcMar>
            <w:vAlign w:val="center"/>
          </w:tcPr>
          <w:p w14:paraId="7C5C3777"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95" w:type="pct"/>
            <w:tcMar>
              <w:left w:w="28" w:type="dxa"/>
              <w:right w:w="28" w:type="dxa"/>
            </w:tcMar>
            <w:vAlign w:val="center"/>
          </w:tcPr>
          <w:p w14:paraId="78C8BD53"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37" w:type="pct"/>
            <w:tcMar>
              <w:left w:w="28" w:type="dxa"/>
              <w:right w:w="28" w:type="dxa"/>
            </w:tcMar>
            <w:vAlign w:val="center"/>
          </w:tcPr>
          <w:p w14:paraId="481404F9"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37" w:type="pct"/>
            <w:tcMar>
              <w:left w:w="28" w:type="dxa"/>
              <w:right w:w="28" w:type="dxa"/>
            </w:tcMar>
            <w:vAlign w:val="center"/>
          </w:tcPr>
          <w:p w14:paraId="430FACFB"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61" w:type="pct"/>
            <w:vAlign w:val="center"/>
          </w:tcPr>
          <w:p w14:paraId="4B6C01EF"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0.00067</w:t>
            </w:r>
          </w:p>
        </w:tc>
        <w:tc>
          <w:tcPr>
            <w:tcW w:w="237" w:type="pct"/>
            <w:vAlign w:val="center"/>
          </w:tcPr>
          <w:p w14:paraId="0993051F"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362" w:type="pct"/>
            <w:vAlign w:val="center"/>
          </w:tcPr>
          <w:p w14:paraId="68381AD3" w14:textId="26265C4F" w:rsidR="006E3216" w:rsidRPr="00181939" w:rsidRDefault="00181939" w:rsidP="006E3216">
            <w:pPr>
              <w:pStyle w:val="afffff"/>
              <w:widowControl w:val="0"/>
              <w:spacing w:line="240" w:lineRule="auto"/>
              <w:rPr>
                <w:rFonts w:ascii="Calibri" w:hAnsi="Calibri"/>
                <w:b/>
                <w:kern w:val="0"/>
                <w:u w:val="single"/>
              </w:rPr>
            </w:pPr>
            <w:r w:rsidRPr="00181939">
              <w:rPr>
                <w:rFonts w:ascii="Calibri" w:hAnsi="Calibri"/>
                <w:b/>
                <w:kern w:val="0"/>
                <w:u w:val="single"/>
              </w:rPr>
              <w:t>0.074</w:t>
            </w:r>
          </w:p>
        </w:tc>
      </w:tr>
      <w:tr w:rsidR="006E3216" w:rsidRPr="00181939" w14:paraId="451065A3" w14:textId="77777777" w:rsidTr="006E3216">
        <w:trPr>
          <w:trHeight w:val="335"/>
          <w:jc w:val="center"/>
        </w:trPr>
        <w:tc>
          <w:tcPr>
            <w:tcW w:w="198" w:type="pct"/>
            <w:noWrap/>
            <w:tcMar>
              <w:left w:w="28" w:type="dxa"/>
              <w:right w:w="28" w:type="dxa"/>
            </w:tcMar>
            <w:vAlign w:val="center"/>
          </w:tcPr>
          <w:p w14:paraId="72565BF0" w14:textId="77777777" w:rsidR="006E3216" w:rsidRPr="00181939" w:rsidRDefault="006E3216" w:rsidP="006E3216">
            <w:pPr>
              <w:pStyle w:val="afffff"/>
              <w:widowControl w:val="0"/>
              <w:spacing w:line="300" w:lineRule="exact"/>
              <w:rPr>
                <w:rFonts w:ascii="Calibri" w:hAnsi="Calibri"/>
                <w:b/>
                <w:kern w:val="0"/>
                <w:u w:val="single"/>
              </w:rPr>
            </w:pPr>
            <w:r w:rsidRPr="00181939">
              <w:rPr>
                <w:rFonts w:ascii="Calibri" w:hAnsi="Calibri"/>
                <w:b/>
                <w:kern w:val="0"/>
                <w:u w:val="single"/>
              </w:rPr>
              <w:t>2</w:t>
            </w:r>
          </w:p>
        </w:tc>
        <w:tc>
          <w:tcPr>
            <w:tcW w:w="537" w:type="pct"/>
            <w:noWrap/>
            <w:tcMar>
              <w:left w:w="28" w:type="dxa"/>
              <w:right w:w="28" w:type="dxa"/>
            </w:tcMar>
            <w:vAlign w:val="center"/>
          </w:tcPr>
          <w:p w14:paraId="76120291" w14:textId="77777777" w:rsidR="006E3216" w:rsidRPr="00181939" w:rsidRDefault="006E3216" w:rsidP="006E3216">
            <w:pPr>
              <w:pStyle w:val="afffff"/>
              <w:widowControl w:val="0"/>
              <w:spacing w:line="300" w:lineRule="exact"/>
              <w:rPr>
                <w:rFonts w:ascii="Calibri" w:hAnsi="Calibri"/>
                <w:b/>
                <w:kern w:val="0"/>
                <w:u w:val="single"/>
              </w:rPr>
            </w:pPr>
            <w:r w:rsidRPr="00181939">
              <w:rPr>
                <w:rFonts w:ascii="Calibri" w:hAnsi="Calibri" w:hint="eastAsia"/>
                <w:b/>
                <w:kern w:val="0"/>
                <w:u w:val="single"/>
              </w:rPr>
              <w:t>热油炉</w:t>
            </w:r>
            <w:r w:rsidRPr="00181939">
              <w:rPr>
                <w:rFonts w:ascii="Calibri" w:hAnsi="Calibri"/>
                <w:b/>
                <w:kern w:val="0"/>
                <w:u w:val="single"/>
              </w:rPr>
              <w:t>废气</w:t>
            </w:r>
          </w:p>
        </w:tc>
        <w:tc>
          <w:tcPr>
            <w:tcW w:w="362" w:type="pct"/>
            <w:noWrap/>
            <w:tcMar>
              <w:left w:w="28" w:type="dxa"/>
              <w:right w:w="28" w:type="dxa"/>
            </w:tcMar>
            <w:vAlign w:val="center"/>
          </w:tcPr>
          <w:p w14:paraId="2BF96299"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113.444735</w:t>
            </w:r>
          </w:p>
        </w:tc>
        <w:tc>
          <w:tcPr>
            <w:tcW w:w="360" w:type="pct"/>
            <w:noWrap/>
            <w:tcMar>
              <w:left w:w="28" w:type="dxa"/>
              <w:right w:w="28" w:type="dxa"/>
            </w:tcMar>
            <w:vAlign w:val="center"/>
          </w:tcPr>
          <w:p w14:paraId="19484D0B"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33.680987</w:t>
            </w:r>
          </w:p>
        </w:tc>
        <w:tc>
          <w:tcPr>
            <w:tcW w:w="308" w:type="pct"/>
            <w:noWrap/>
            <w:tcMar>
              <w:left w:w="28" w:type="dxa"/>
              <w:right w:w="28" w:type="dxa"/>
            </w:tcMar>
            <w:vAlign w:val="center"/>
          </w:tcPr>
          <w:p w14:paraId="05C06116"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79</w:t>
            </w:r>
          </w:p>
        </w:tc>
        <w:tc>
          <w:tcPr>
            <w:tcW w:w="287" w:type="pct"/>
            <w:tcMar>
              <w:left w:w="28" w:type="dxa"/>
              <w:right w:w="28" w:type="dxa"/>
            </w:tcMar>
            <w:vAlign w:val="center"/>
          </w:tcPr>
          <w:p w14:paraId="40594469"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15</w:t>
            </w:r>
          </w:p>
        </w:tc>
        <w:tc>
          <w:tcPr>
            <w:tcW w:w="289" w:type="pct"/>
            <w:noWrap/>
            <w:tcMar>
              <w:left w:w="28" w:type="dxa"/>
              <w:right w:w="28" w:type="dxa"/>
            </w:tcMar>
            <w:vAlign w:val="center"/>
          </w:tcPr>
          <w:p w14:paraId="3BA24B8F"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0.3</w:t>
            </w:r>
          </w:p>
        </w:tc>
        <w:tc>
          <w:tcPr>
            <w:tcW w:w="283" w:type="pct"/>
            <w:noWrap/>
            <w:tcMar>
              <w:left w:w="28" w:type="dxa"/>
              <w:right w:w="28" w:type="dxa"/>
            </w:tcMar>
            <w:vAlign w:val="center"/>
          </w:tcPr>
          <w:p w14:paraId="5C397780"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14.14</w:t>
            </w:r>
          </w:p>
        </w:tc>
        <w:tc>
          <w:tcPr>
            <w:tcW w:w="199" w:type="pct"/>
            <w:tcMar>
              <w:left w:w="28" w:type="dxa"/>
              <w:right w:w="28" w:type="dxa"/>
            </w:tcMar>
            <w:vAlign w:val="center"/>
          </w:tcPr>
          <w:p w14:paraId="23AA5F70"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w:t>
            </w:r>
            <w:r w:rsidRPr="00181939">
              <w:rPr>
                <w:rFonts w:ascii="Calibri" w:hAnsi="Calibri" w:hint="eastAsia"/>
                <w:b/>
                <w:color w:val="auto"/>
                <w:szCs w:val="21"/>
                <w:u w:val="single"/>
                <w:lang w:val="zh-CN" w:bidi="zh-CN"/>
              </w:rPr>
              <w:t>20</w:t>
            </w:r>
          </w:p>
        </w:tc>
        <w:tc>
          <w:tcPr>
            <w:tcW w:w="303" w:type="pct"/>
            <w:tcMar>
              <w:left w:w="28" w:type="dxa"/>
              <w:right w:w="28" w:type="dxa"/>
            </w:tcMar>
            <w:vAlign w:val="center"/>
          </w:tcPr>
          <w:p w14:paraId="5A1C21C7"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正常</w:t>
            </w:r>
          </w:p>
        </w:tc>
        <w:tc>
          <w:tcPr>
            <w:tcW w:w="242" w:type="pct"/>
            <w:noWrap/>
            <w:tcMar>
              <w:left w:w="28" w:type="dxa"/>
              <w:right w:w="28" w:type="dxa"/>
            </w:tcMar>
            <w:vAlign w:val="center"/>
          </w:tcPr>
          <w:p w14:paraId="0448C42F"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0.009</w:t>
            </w:r>
            <w:r w:rsidRPr="00181939">
              <w:rPr>
                <w:rFonts w:ascii="Calibri" w:hAnsi="Calibri"/>
                <w:b/>
                <w:kern w:val="0"/>
                <w:u w:val="single"/>
              </w:rPr>
              <w:t>5</w:t>
            </w:r>
          </w:p>
        </w:tc>
        <w:tc>
          <w:tcPr>
            <w:tcW w:w="295" w:type="pct"/>
            <w:tcMar>
              <w:left w:w="28" w:type="dxa"/>
              <w:right w:w="28" w:type="dxa"/>
            </w:tcMar>
            <w:vAlign w:val="center"/>
          </w:tcPr>
          <w:p w14:paraId="769B0055"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0.0029</w:t>
            </w:r>
          </w:p>
        </w:tc>
        <w:tc>
          <w:tcPr>
            <w:tcW w:w="237" w:type="pct"/>
            <w:tcMar>
              <w:left w:w="28" w:type="dxa"/>
              <w:right w:w="28" w:type="dxa"/>
            </w:tcMar>
            <w:vAlign w:val="center"/>
          </w:tcPr>
          <w:p w14:paraId="3368C51A"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0.0093</w:t>
            </w:r>
          </w:p>
        </w:tc>
        <w:tc>
          <w:tcPr>
            <w:tcW w:w="237" w:type="pct"/>
            <w:tcMar>
              <w:left w:w="28" w:type="dxa"/>
              <w:right w:w="28" w:type="dxa"/>
            </w:tcMar>
            <w:vAlign w:val="center"/>
          </w:tcPr>
          <w:p w14:paraId="555E329D"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0.071</w:t>
            </w:r>
          </w:p>
        </w:tc>
        <w:tc>
          <w:tcPr>
            <w:tcW w:w="261" w:type="pct"/>
            <w:tcMar>
              <w:left w:w="28" w:type="dxa"/>
              <w:right w:w="28" w:type="dxa"/>
            </w:tcMar>
            <w:vAlign w:val="center"/>
          </w:tcPr>
          <w:p w14:paraId="19C88568"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37" w:type="pct"/>
            <w:tcMar>
              <w:left w:w="28" w:type="dxa"/>
              <w:right w:w="28" w:type="dxa"/>
            </w:tcMar>
            <w:vAlign w:val="center"/>
          </w:tcPr>
          <w:p w14:paraId="3CB2AE7D"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362" w:type="pct"/>
            <w:vAlign w:val="center"/>
          </w:tcPr>
          <w:p w14:paraId="2DDCC4BB" w14:textId="4255FA86"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r>
      <w:tr w:rsidR="006E3216" w:rsidRPr="00181939" w14:paraId="4340AB78" w14:textId="77777777" w:rsidTr="006E3216">
        <w:trPr>
          <w:trHeight w:val="335"/>
          <w:jc w:val="center"/>
        </w:trPr>
        <w:tc>
          <w:tcPr>
            <w:tcW w:w="198" w:type="pct"/>
            <w:noWrap/>
            <w:tcMar>
              <w:left w:w="28" w:type="dxa"/>
              <w:right w:w="28" w:type="dxa"/>
            </w:tcMar>
            <w:vAlign w:val="center"/>
          </w:tcPr>
          <w:p w14:paraId="2117F236" w14:textId="77777777" w:rsidR="006E3216" w:rsidRPr="00181939" w:rsidRDefault="006E3216" w:rsidP="006E3216">
            <w:pPr>
              <w:pStyle w:val="afffff"/>
              <w:widowControl w:val="0"/>
              <w:spacing w:line="300" w:lineRule="exact"/>
              <w:rPr>
                <w:rFonts w:ascii="Calibri" w:hAnsi="Calibri"/>
                <w:b/>
                <w:kern w:val="0"/>
                <w:u w:val="single"/>
              </w:rPr>
            </w:pPr>
            <w:r w:rsidRPr="00181939">
              <w:rPr>
                <w:rFonts w:ascii="Calibri" w:hAnsi="Calibri"/>
                <w:b/>
                <w:kern w:val="0"/>
                <w:u w:val="single"/>
              </w:rPr>
              <w:t>3</w:t>
            </w:r>
          </w:p>
        </w:tc>
        <w:tc>
          <w:tcPr>
            <w:tcW w:w="537" w:type="pct"/>
            <w:noWrap/>
            <w:tcMar>
              <w:left w:w="28" w:type="dxa"/>
              <w:right w:w="28" w:type="dxa"/>
            </w:tcMar>
            <w:vAlign w:val="center"/>
          </w:tcPr>
          <w:p w14:paraId="2EB3CCD9" w14:textId="77777777" w:rsidR="006E3216" w:rsidRPr="00181939" w:rsidRDefault="006E3216" w:rsidP="006E3216">
            <w:pPr>
              <w:pStyle w:val="afffff"/>
              <w:widowControl w:val="0"/>
              <w:spacing w:line="300" w:lineRule="exact"/>
              <w:rPr>
                <w:rFonts w:ascii="Calibri" w:hAnsi="Calibri"/>
                <w:b/>
                <w:kern w:val="0"/>
                <w:u w:val="single"/>
              </w:rPr>
            </w:pPr>
            <w:r w:rsidRPr="00181939">
              <w:rPr>
                <w:rFonts w:ascii="Calibri" w:hAnsi="Calibri" w:hint="eastAsia"/>
                <w:b/>
                <w:kern w:val="0"/>
                <w:u w:val="single"/>
              </w:rPr>
              <w:t>废水处理站废气</w:t>
            </w:r>
          </w:p>
        </w:tc>
        <w:tc>
          <w:tcPr>
            <w:tcW w:w="362" w:type="pct"/>
            <w:noWrap/>
            <w:tcMar>
              <w:left w:w="28" w:type="dxa"/>
              <w:right w:w="28" w:type="dxa"/>
            </w:tcMar>
            <w:vAlign w:val="center"/>
          </w:tcPr>
          <w:p w14:paraId="42C66265"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113.446260</w:t>
            </w:r>
          </w:p>
        </w:tc>
        <w:tc>
          <w:tcPr>
            <w:tcW w:w="360" w:type="pct"/>
            <w:noWrap/>
            <w:tcMar>
              <w:left w:w="28" w:type="dxa"/>
              <w:right w:w="28" w:type="dxa"/>
            </w:tcMar>
            <w:vAlign w:val="center"/>
          </w:tcPr>
          <w:p w14:paraId="4FB9940F"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33.678770</w:t>
            </w:r>
          </w:p>
        </w:tc>
        <w:tc>
          <w:tcPr>
            <w:tcW w:w="308" w:type="pct"/>
            <w:noWrap/>
            <w:tcMar>
              <w:left w:w="28" w:type="dxa"/>
              <w:right w:w="28" w:type="dxa"/>
            </w:tcMar>
            <w:vAlign w:val="center"/>
          </w:tcPr>
          <w:p w14:paraId="1D71D559"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79</w:t>
            </w:r>
          </w:p>
        </w:tc>
        <w:tc>
          <w:tcPr>
            <w:tcW w:w="287" w:type="pct"/>
            <w:tcMar>
              <w:left w:w="28" w:type="dxa"/>
              <w:right w:w="28" w:type="dxa"/>
            </w:tcMar>
            <w:vAlign w:val="center"/>
          </w:tcPr>
          <w:p w14:paraId="33127F44"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hint="eastAsia"/>
                <w:b/>
                <w:color w:val="auto"/>
                <w:szCs w:val="21"/>
                <w:u w:val="single"/>
                <w:lang w:val="zh-CN" w:bidi="zh-CN"/>
              </w:rPr>
              <w:t>15</w:t>
            </w:r>
          </w:p>
        </w:tc>
        <w:tc>
          <w:tcPr>
            <w:tcW w:w="289" w:type="pct"/>
            <w:noWrap/>
            <w:tcMar>
              <w:left w:w="28" w:type="dxa"/>
              <w:right w:w="28" w:type="dxa"/>
            </w:tcMar>
            <w:vAlign w:val="center"/>
          </w:tcPr>
          <w:p w14:paraId="67A91590"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hint="eastAsia"/>
                <w:b/>
                <w:color w:val="auto"/>
                <w:szCs w:val="21"/>
                <w:u w:val="single"/>
                <w:lang w:val="zh-CN" w:bidi="zh-CN"/>
              </w:rPr>
              <w:t>0.3</w:t>
            </w:r>
          </w:p>
        </w:tc>
        <w:tc>
          <w:tcPr>
            <w:tcW w:w="283" w:type="pct"/>
            <w:noWrap/>
            <w:tcMar>
              <w:left w:w="28" w:type="dxa"/>
              <w:right w:w="28" w:type="dxa"/>
            </w:tcMar>
            <w:vAlign w:val="center"/>
          </w:tcPr>
          <w:p w14:paraId="5CAD288D"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b/>
                <w:color w:val="auto"/>
                <w:szCs w:val="21"/>
                <w:u w:val="single"/>
                <w:lang w:val="zh-CN" w:bidi="zh-CN"/>
              </w:rPr>
              <w:t>12.15</w:t>
            </w:r>
          </w:p>
        </w:tc>
        <w:tc>
          <w:tcPr>
            <w:tcW w:w="199" w:type="pct"/>
            <w:tcMar>
              <w:left w:w="28" w:type="dxa"/>
              <w:right w:w="28" w:type="dxa"/>
            </w:tcMar>
            <w:vAlign w:val="center"/>
          </w:tcPr>
          <w:p w14:paraId="79F990FF" w14:textId="77777777" w:rsidR="006E3216" w:rsidRPr="00181939" w:rsidRDefault="006E3216" w:rsidP="006E3216">
            <w:pPr>
              <w:autoSpaceDE w:val="0"/>
              <w:autoSpaceDN w:val="0"/>
              <w:jc w:val="center"/>
              <w:rPr>
                <w:rFonts w:ascii="Calibri" w:hAnsi="Calibri"/>
                <w:b/>
                <w:color w:val="auto"/>
                <w:szCs w:val="21"/>
                <w:u w:val="single"/>
                <w:lang w:val="zh-CN" w:bidi="zh-CN"/>
              </w:rPr>
            </w:pPr>
            <w:r w:rsidRPr="00181939">
              <w:rPr>
                <w:rFonts w:ascii="Calibri" w:hAnsi="Calibri" w:hint="eastAsia"/>
                <w:b/>
                <w:color w:val="auto"/>
                <w:szCs w:val="21"/>
                <w:u w:val="single"/>
                <w:lang w:val="zh-CN" w:bidi="zh-CN"/>
              </w:rPr>
              <w:t>20</w:t>
            </w:r>
          </w:p>
        </w:tc>
        <w:tc>
          <w:tcPr>
            <w:tcW w:w="303" w:type="pct"/>
            <w:tcMar>
              <w:left w:w="28" w:type="dxa"/>
              <w:right w:w="28" w:type="dxa"/>
            </w:tcMar>
            <w:vAlign w:val="center"/>
          </w:tcPr>
          <w:p w14:paraId="763C766D"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正常</w:t>
            </w:r>
          </w:p>
        </w:tc>
        <w:tc>
          <w:tcPr>
            <w:tcW w:w="242" w:type="pct"/>
            <w:noWrap/>
            <w:tcMar>
              <w:left w:w="28" w:type="dxa"/>
              <w:right w:w="28" w:type="dxa"/>
            </w:tcMar>
            <w:vAlign w:val="center"/>
          </w:tcPr>
          <w:p w14:paraId="0898341A"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95" w:type="pct"/>
            <w:tcMar>
              <w:left w:w="28" w:type="dxa"/>
              <w:right w:w="28" w:type="dxa"/>
            </w:tcMar>
            <w:vAlign w:val="center"/>
          </w:tcPr>
          <w:p w14:paraId="521390B4"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37" w:type="pct"/>
            <w:tcMar>
              <w:left w:w="28" w:type="dxa"/>
              <w:right w:w="28" w:type="dxa"/>
            </w:tcMar>
            <w:vAlign w:val="center"/>
          </w:tcPr>
          <w:p w14:paraId="53A31943"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37" w:type="pct"/>
            <w:tcMar>
              <w:left w:w="28" w:type="dxa"/>
              <w:right w:w="28" w:type="dxa"/>
            </w:tcMar>
            <w:vAlign w:val="center"/>
          </w:tcPr>
          <w:p w14:paraId="330D114F" w14:textId="77777777" w:rsidR="006E3216" w:rsidRPr="00181939" w:rsidRDefault="006E3216" w:rsidP="006E3216">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261" w:type="pct"/>
            <w:tcMar>
              <w:left w:w="28" w:type="dxa"/>
              <w:right w:w="28" w:type="dxa"/>
            </w:tcMar>
            <w:vAlign w:val="center"/>
          </w:tcPr>
          <w:p w14:paraId="175DC1BE" w14:textId="5B7EDF75" w:rsidR="006E3216" w:rsidRPr="00181939" w:rsidRDefault="006E3216" w:rsidP="00181939">
            <w:pPr>
              <w:pStyle w:val="afffff"/>
              <w:widowControl w:val="0"/>
              <w:spacing w:line="240" w:lineRule="auto"/>
              <w:rPr>
                <w:rFonts w:ascii="Calibri" w:hAnsi="Calibri"/>
                <w:b/>
                <w:kern w:val="0"/>
                <w:u w:val="single"/>
              </w:rPr>
            </w:pPr>
            <w:r w:rsidRPr="00181939">
              <w:rPr>
                <w:rFonts w:ascii="Calibri" w:hAnsi="Calibri" w:hint="eastAsia"/>
                <w:b/>
                <w:kern w:val="0"/>
                <w:u w:val="single"/>
              </w:rPr>
              <w:t>0.00</w:t>
            </w:r>
            <w:r w:rsidR="00181939" w:rsidRPr="00181939">
              <w:rPr>
                <w:rFonts w:ascii="Calibri" w:hAnsi="Calibri"/>
                <w:b/>
                <w:kern w:val="0"/>
                <w:u w:val="single"/>
              </w:rPr>
              <w:t>12</w:t>
            </w:r>
          </w:p>
        </w:tc>
        <w:tc>
          <w:tcPr>
            <w:tcW w:w="237" w:type="pct"/>
            <w:tcMar>
              <w:left w:w="28" w:type="dxa"/>
              <w:right w:w="28" w:type="dxa"/>
            </w:tcMar>
            <w:vAlign w:val="center"/>
          </w:tcPr>
          <w:p w14:paraId="02DE58CA" w14:textId="234905A0" w:rsidR="006E3216" w:rsidRPr="00181939" w:rsidRDefault="00181939" w:rsidP="006E3216">
            <w:pPr>
              <w:pStyle w:val="afffff"/>
              <w:widowControl w:val="0"/>
              <w:spacing w:line="240" w:lineRule="auto"/>
              <w:rPr>
                <w:rFonts w:ascii="Calibri" w:hAnsi="Calibri"/>
                <w:b/>
                <w:kern w:val="0"/>
                <w:u w:val="single"/>
              </w:rPr>
            </w:pPr>
            <w:r w:rsidRPr="00181939">
              <w:rPr>
                <w:rFonts w:ascii="Calibri" w:hAnsi="Calibri"/>
                <w:b/>
                <w:kern w:val="0"/>
                <w:u w:val="single"/>
              </w:rPr>
              <w:t>0.000044</w:t>
            </w:r>
          </w:p>
        </w:tc>
        <w:tc>
          <w:tcPr>
            <w:tcW w:w="362" w:type="pct"/>
            <w:vAlign w:val="center"/>
          </w:tcPr>
          <w:p w14:paraId="2700EACB" w14:textId="3A1FEA44" w:rsidR="006E3216" w:rsidRPr="00181939" w:rsidRDefault="006E3216" w:rsidP="00181939">
            <w:pPr>
              <w:pStyle w:val="afffff"/>
              <w:widowControl w:val="0"/>
              <w:spacing w:line="240" w:lineRule="auto"/>
              <w:rPr>
                <w:rFonts w:ascii="Calibri" w:hAnsi="Calibri"/>
                <w:b/>
                <w:kern w:val="0"/>
                <w:u w:val="single"/>
              </w:rPr>
            </w:pPr>
            <w:r w:rsidRPr="00181939">
              <w:rPr>
                <w:rFonts w:ascii="Calibri" w:hAnsi="Calibri" w:hint="eastAsia"/>
                <w:b/>
                <w:kern w:val="0"/>
                <w:u w:val="single"/>
              </w:rPr>
              <w:t>0</w:t>
            </w:r>
            <w:r w:rsidRPr="00181939">
              <w:rPr>
                <w:rFonts w:ascii="Calibri" w:hAnsi="Calibri"/>
                <w:b/>
                <w:kern w:val="0"/>
                <w:u w:val="single"/>
              </w:rPr>
              <w:t>.00</w:t>
            </w:r>
            <w:r w:rsidR="00181939" w:rsidRPr="00181939">
              <w:rPr>
                <w:rFonts w:ascii="Calibri" w:hAnsi="Calibri"/>
                <w:b/>
                <w:kern w:val="0"/>
                <w:u w:val="single"/>
              </w:rPr>
              <w:t>14</w:t>
            </w:r>
          </w:p>
        </w:tc>
      </w:tr>
    </w:tbl>
    <w:p w14:paraId="22FEE7C6" w14:textId="77777777" w:rsidR="00E6064F" w:rsidRPr="00A964FF" w:rsidRDefault="00E6064F" w:rsidP="00E6064F">
      <w:pPr>
        <w:widowControl/>
        <w:spacing w:line="520" w:lineRule="exact"/>
        <w:ind w:firstLine="480"/>
        <w:rPr>
          <w:rFonts w:ascii="Calibri" w:hAnsi="Calibri"/>
          <w:color w:val="auto"/>
          <w:szCs w:val="21"/>
        </w:rPr>
      </w:pPr>
      <w:r w:rsidRPr="00A964FF">
        <w:rPr>
          <w:rFonts w:ascii="Calibri" w:hAnsi="Calibri" w:hint="eastAsia"/>
          <w:color w:val="auto"/>
          <w:szCs w:val="21"/>
        </w:rPr>
        <w:t>注：有组织颗粒物</w:t>
      </w:r>
      <w:r w:rsidRPr="00A964FF">
        <w:rPr>
          <w:rFonts w:ascii="Calibri" w:hAnsi="Calibri" w:hint="eastAsia"/>
          <w:color w:val="auto"/>
          <w:szCs w:val="21"/>
        </w:rPr>
        <w:t>PM</w:t>
      </w:r>
      <w:r w:rsidRPr="00A964FF">
        <w:rPr>
          <w:rFonts w:ascii="Calibri" w:hAnsi="Calibri" w:hint="eastAsia"/>
          <w:color w:val="auto"/>
          <w:szCs w:val="21"/>
          <w:vertAlign w:val="subscript"/>
        </w:rPr>
        <w:t>10</w:t>
      </w:r>
      <w:r w:rsidRPr="00A964FF">
        <w:rPr>
          <w:rFonts w:ascii="Calibri" w:hAnsi="Calibri" w:hint="eastAsia"/>
          <w:color w:val="auto"/>
          <w:szCs w:val="21"/>
        </w:rPr>
        <w:t>中</w:t>
      </w:r>
      <w:r w:rsidRPr="00A964FF">
        <w:rPr>
          <w:rFonts w:ascii="Calibri" w:hAnsi="Calibri" w:hint="eastAsia"/>
          <w:color w:val="auto"/>
          <w:szCs w:val="21"/>
        </w:rPr>
        <w:t>PM</w:t>
      </w:r>
      <w:r w:rsidRPr="00A964FF">
        <w:rPr>
          <w:rFonts w:ascii="Calibri" w:hAnsi="Calibri" w:hint="eastAsia"/>
          <w:color w:val="auto"/>
          <w:szCs w:val="21"/>
          <w:vertAlign w:val="subscript"/>
        </w:rPr>
        <w:t>2.5</w:t>
      </w:r>
      <w:r w:rsidRPr="00A964FF">
        <w:rPr>
          <w:rFonts w:ascii="Calibri" w:hAnsi="Calibri" w:hint="eastAsia"/>
          <w:color w:val="auto"/>
          <w:szCs w:val="21"/>
        </w:rPr>
        <w:t>占比约为</w:t>
      </w:r>
      <w:r w:rsidRPr="00A964FF">
        <w:rPr>
          <w:rFonts w:ascii="Calibri" w:hAnsi="Calibri" w:hint="eastAsia"/>
          <w:color w:val="auto"/>
          <w:szCs w:val="21"/>
        </w:rPr>
        <w:t>30%</w:t>
      </w:r>
      <w:r w:rsidRPr="00A964FF">
        <w:rPr>
          <w:rFonts w:ascii="Calibri" w:hAnsi="Calibri" w:hint="eastAsia"/>
          <w:color w:val="auto"/>
          <w:szCs w:val="21"/>
        </w:rPr>
        <w:t>。</w:t>
      </w:r>
    </w:p>
    <w:p w14:paraId="280E4DDB" w14:textId="77777777" w:rsidR="00910CEA" w:rsidRDefault="00910CEA" w:rsidP="008343D8">
      <w:pPr>
        <w:pStyle w:val="affff"/>
        <w:spacing w:line="520" w:lineRule="exact"/>
        <w:ind w:left="0" w:firstLineChars="265" w:firstLine="636"/>
        <w:rPr>
          <w:rFonts w:ascii="黑体" w:eastAsia="黑体" w:hAnsi="黑体" w:cs="黑体"/>
          <w:color w:val="auto"/>
          <w:szCs w:val="22"/>
          <w:lang w:bidi="zh-CN"/>
        </w:rPr>
      </w:pPr>
      <w:r w:rsidRPr="00A964FF">
        <w:rPr>
          <w:rFonts w:ascii="Calibri" w:eastAsia="黑体" w:hAnsi="黑体"/>
          <w:color w:val="auto"/>
          <w:szCs w:val="22"/>
          <w:lang w:bidi="zh-CN"/>
        </w:rPr>
        <w:t>表</w:t>
      </w:r>
      <w:r w:rsidRPr="00A964FF">
        <w:rPr>
          <w:rFonts w:ascii="Calibri" w:eastAsia="黑体" w:hAnsi="Calibri"/>
          <w:color w:val="auto"/>
          <w:szCs w:val="22"/>
          <w:lang w:bidi="zh-CN"/>
        </w:rPr>
        <w:t>4</w:t>
      </w:r>
      <w:r w:rsidRPr="00A964FF">
        <w:rPr>
          <w:rFonts w:ascii="Calibri" w:eastAsia="黑体" w:hAnsi="Calibri" w:hint="eastAsia"/>
          <w:color w:val="auto"/>
          <w:szCs w:val="22"/>
          <w:lang w:bidi="zh-CN"/>
        </w:rPr>
        <w:t>.2</w:t>
      </w:r>
      <w:r w:rsidRPr="00A964FF">
        <w:rPr>
          <w:rFonts w:ascii="Calibri" w:eastAsia="黑体" w:hAnsi="Calibri"/>
          <w:color w:val="auto"/>
          <w:szCs w:val="22"/>
          <w:lang w:bidi="zh-CN"/>
        </w:rPr>
        <w:t>-</w:t>
      </w:r>
      <w:r w:rsidR="0097027F" w:rsidRPr="00A964FF">
        <w:rPr>
          <w:rFonts w:ascii="Calibri" w:eastAsia="黑体" w:hAnsi="Calibri" w:hint="eastAsia"/>
          <w:color w:val="auto"/>
          <w:szCs w:val="22"/>
          <w:lang w:bidi="zh-CN"/>
        </w:rPr>
        <w:t>9</w:t>
      </w:r>
      <w:r w:rsidRPr="00A964FF">
        <w:rPr>
          <w:rFonts w:ascii="Calibri" w:eastAsia="黑体" w:hAnsi="Calibri"/>
          <w:color w:val="auto"/>
          <w:szCs w:val="22"/>
          <w:lang w:bidi="zh-CN"/>
        </w:rPr>
        <w:t xml:space="preserve">                 </w:t>
      </w:r>
      <w:r w:rsidRPr="00A964FF">
        <w:rPr>
          <w:rFonts w:ascii="黑体" w:eastAsia="黑体" w:hAnsi="黑体" w:cs="黑体" w:hint="eastAsia"/>
          <w:color w:val="auto"/>
          <w:szCs w:val="22"/>
          <w:lang w:bidi="zh-CN"/>
        </w:rPr>
        <w:t xml:space="preserve">                       本项目面源参数调查清单</w:t>
      </w:r>
    </w:p>
    <w:tbl>
      <w:tblPr>
        <w:tblW w:w="481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2"/>
        <w:gridCol w:w="927"/>
        <w:gridCol w:w="839"/>
        <w:gridCol w:w="1059"/>
        <w:gridCol w:w="761"/>
        <w:gridCol w:w="842"/>
        <w:gridCol w:w="796"/>
        <w:gridCol w:w="997"/>
        <w:gridCol w:w="876"/>
        <w:gridCol w:w="665"/>
        <w:gridCol w:w="968"/>
        <w:gridCol w:w="740"/>
        <w:gridCol w:w="1171"/>
        <w:gridCol w:w="708"/>
        <w:gridCol w:w="801"/>
      </w:tblGrid>
      <w:tr w:rsidR="00326EC9" w:rsidRPr="00181939" w14:paraId="0628641C" w14:textId="77777777" w:rsidTr="000657DF">
        <w:trPr>
          <w:trHeight w:val="345"/>
          <w:jc w:val="center"/>
        </w:trPr>
        <w:tc>
          <w:tcPr>
            <w:tcW w:w="467" w:type="pct"/>
            <w:vMerge w:val="restart"/>
            <w:noWrap/>
            <w:vAlign w:val="center"/>
          </w:tcPr>
          <w:p w14:paraId="47CD8381" w14:textId="77777777" w:rsidR="00326EC9" w:rsidRPr="00181939" w:rsidRDefault="00326EC9" w:rsidP="00326EC9">
            <w:pPr>
              <w:pStyle w:val="afffff"/>
              <w:widowControl w:val="0"/>
              <w:spacing w:line="300" w:lineRule="exact"/>
              <w:ind w:firstLineChars="100" w:firstLine="211"/>
              <w:jc w:val="both"/>
              <w:rPr>
                <w:rFonts w:ascii="Calibri" w:hAnsi="Calibri"/>
                <w:b/>
                <w:kern w:val="0"/>
                <w:u w:val="single"/>
              </w:rPr>
            </w:pPr>
            <w:r w:rsidRPr="00181939">
              <w:rPr>
                <w:rFonts w:ascii="Calibri" w:hAnsi="Calibri"/>
                <w:b/>
                <w:kern w:val="0"/>
                <w:u w:val="single"/>
              </w:rPr>
              <w:t>面源</w:t>
            </w:r>
            <w:r w:rsidRPr="00181939">
              <w:rPr>
                <w:rFonts w:ascii="Calibri" w:hAnsi="Calibri" w:hint="eastAsia"/>
                <w:b/>
                <w:kern w:val="0"/>
                <w:u w:val="single"/>
              </w:rPr>
              <w:t>名称</w:t>
            </w:r>
          </w:p>
        </w:tc>
        <w:tc>
          <w:tcPr>
            <w:tcW w:w="659" w:type="pct"/>
            <w:gridSpan w:val="2"/>
            <w:noWrap/>
            <w:vAlign w:val="center"/>
          </w:tcPr>
          <w:p w14:paraId="323AC780" w14:textId="77777777" w:rsidR="00326EC9" w:rsidRPr="00181939" w:rsidRDefault="00326EC9" w:rsidP="00244598">
            <w:pPr>
              <w:pStyle w:val="afffff"/>
              <w:widowControl w:val="0"/>
              <w:spacing w:line="300" w:lineRule="exact"/>
              <w:rPr>
                <w:rFonts w:ascii="Calibri" w:hAnsi="Calibri"/>
                <w:b/>
                <w:kern w:val="0"/>
                <w:u w:val="single"/>
              </w:rPr>
            </w:pPr>
            <w:r w:rsidRPr="00181939">
              <w:rPr>
                <w:rFonts w:ascii="Calibri" w:hAnsi="Calibri"/>
                <w:b/>
                <w:kern w:val="0"/>
                <w:u w:val="single"/>
              </w:rPr>
              <w:t>面源起点坐标</w:t>
            </w:r>
          </w:p>
          <w:p w14:paraId="140458F6" w14:textId="77777777" w:rsidR="00326EC9" w:rsidRPr="00181939" w:rsidRDefault="00326EC9" w:rsidP="00244598">
            <w:pPr>
              <w:pStyle w:val="afffff"/>
              <w:widowControl w:val="0"/>
              <w:spacing w:line="300" w:lineRule="exact"/>
              <w:rPr>
                <w:rFonts w:ascii="Calibri" w:hAnsi="Calibri"/>
                <w:b/>
                <w:kern w:val="0"/>
                <w:u w:val="single"/>
              </w:rPr>
            </w:pPr>
            <w:r w:rsidRPr="00181939">
              <w:rPr>
                <w:rFonts w:ascii="Calibri" w:hAnsi="Calibri" w:hint="eastAsia"/>
                <w:b/>
                <w:u w:val="single"/>
                <w:lang w:bidi="zh-CN"/>
              </w:rPr>
              <w:t>（°）</w:t>
            </w:r>
          </w:p>
        </w:tc>
        <w:tc>
          <w:tcPr>
            <w:tcW w:w="395" w:type="pct"/>
            <w:vMerge w:val="restart"/>
            <w:noWrap/>
            <w:vAlign w:val="center"/>
          </w:tcPr>
          <w:p w14:paraId="05D59895"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面源</w:t>
            </w:r>
          </w:p>
          <w:p w14:paraId="6E4B3CFB"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海拔</w:t>
            </w:r>
          </w:p>
          <w:p w14:paraId="576F5381"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高度</w:t>
            </w:r>
          </w:p>
          <w:p w14:paraId="64E37279"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hint="eastAsia"/>
                <w:b/>
                <w:kern w:val="0"/>
                <w:u w:val="single"/>
              </w:rPr>
              <w:t>（</w:t>
            </w:r>
            <w:r w:rsidRPr="00181939">
              <w:rPr>
                <w:rFonts w:ascii="Calibri" w:hAnsi="Calibri" w:hint="eastAsia"/>
                <w:b/>
                <w:kern w:val="0"/>
                <w:u w:val="single"/>
              </w:rPr>
              <w:t>m</w:t>
            </w:r>
            <w:r w:rsidRPr="00181939">
              <w:rPr>
                <w:rFonts w:ascii="Calibri" w:hAnsi="Calibri" w:hint="eastAsia"/>
                <w:b/>
                <w:kern w:val="0"/>
                <w:u w:val="single"/>
              </w:rPr>
              <w:t>）</w:t>
            </w:r>
          </w:p>
        </w:tc>
        <w:tc>
          <w:tcPr>
            <w:tcW w:w="284" w:type="pct"/>
            <w:vMerge w:val="restart"/>
            <w:noWrap/>
            <w:vAlign w:val="center"/>
          </w:tcPr>
          <w:p w14:paraId="04AB7A68"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面源</w:t>
            </w:r>
          </w:p>
          <w:p w14:paraId="41839138"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长度</w:t>
            </w:r>
          </w:p>
          <w:p w14:paraId="6F66D5FA"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hint="eastAsia"/>
                <w:b/>
                <w:kern w:val="0"/>
                <w:u w:val="single"/>
              </w:rPr>
              <w:t>（</w:t>
            </w:r>
            <w:r w:rsidRPr="00181939">
              <w:rPr>
                <w:rFonts w:ascii="Calibri" w:hAnsi="Calibri" w:hint="eastAsia"/>
                <w:b/>
                <w:kern w:val="0"/>
                <w:u w:val="single"/>
              </w:rPr>
              <w:t>m</w:t>
            </w:r>
            <w:r w:rsidRPr="00181939">
              <w:rPr>
                <w:rFonts w:ascii="Calibri" w:hAnsi="Calibri" w:hint="eastAsia"/>
                <w:b/>
                <w:kern w:val="0"/>
                <w:u w:val="single"/>
              </w:rPr>
              <w:t>）</w:t>
            </w:r>
          </w:p>
        </w:tc>
        <w:tc>
          <w:tcPr>
            <w:tcW w:w="314" w:type="pct"/>
            <w:vMerge w:val="restart"/>
            <w:noWrap/>
            <w:vAlign w:val="center"/>
          </w:tcPr>
          <w:p w14:paraId="572BC058"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面源</w:t>
            </w:r>
          </w:p>
          <w:p w14:paraId="447ED8CB"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宽度</w:t>
            </w:r>
          </w:p>
          <w:p w14:paraId="514FC201"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hint="eastAsia"/>
                <w:b/>
                <w:kern w:val="0"/>
                <w:u w:val="single"/>
              </w:rPr>
              <w:t>（</w:t>
            </w:r>
            <w:r w:rsidRPr="00181939">
              <w:rPr>
                <w:rFonts w:ascii="Calibri" w:hAnsi="Calibri" w:hint="eastAsia"/>
                <w:b/>
                <w:kern w:val="0"/>
                <w:u w:val="single"/>
              </w:rPr>
              <w:t>m</w:t>
            </w:r>
            <w:r w:rsidRPr="00181939">
              <w:rPr>
                <w:rFonts w:ascii="Calibri" w:hAnsi="Calibri" w:hint="eastAsia"/>
                <w:b/>
                <w:kern w:val="0"/>
                <w:u w:val="single"/>
              </w:rPr>
              <w:t>）</w:t>
            </w:r>
          </w:p>
        </w:tc>
        <w:tc>
          <w:tcPr>
            <w:tcW w:w="297" w:type="pct"/>
            <w:vMerge w:val="restart"/>
            <w:noWrap/>
            <w:vAlign w:val="center"/>
          </w:tcPr>
          <w:p w14:paraId="7BD28D88"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与正</w:t>
            </w:r>
          </w:p>
          <w:p w14:paraId="578C8D32"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北夹角</w:t>
            </w:r>
          </w:p>
          <w:p w14:paraId="46119B7E"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hint="eastAsia"/>
                <w:b/>
                <w:kern w:val="0"/>
                <w:u w:val="single"/>
              </w:rPr>
              <w:t>（℃）</w:t>
            </w:r>
          </w:p>
        </w:tc>
        <w:tc>
          <w:tcPr>
            <w:tcW w:w="372" w:type="pct"/>
            <w:vMerge w:val="restart"/>
            <w:noWrap/>
            <w:vAlign w:val="center"/>
          </w:tcPr>
          <w:p w14:paraId="2C8712EE"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面源有效</w:t>
            </w:r>
          </w:p>
          <w:p w14:paraId="54EE0C5A"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排放高度</w:t>
            </w:r>
          </w:p>
          <w:p w14:paraId="4B5CB502"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hint="eastAsia"/>
                <w:b/>
                <w:kern w:val="0"/>
                <w:u w:val="single"/>
              </w:rPr>
              <w:t>（</w:t>
            </w:r>
            <w:r w:rsidRPr="00181939">
              <w:rPr>
                <w:rFonts w:ascii="Calibri" w:hAnsi="Calibri" w:hint="eastAsia"/>
                <w:b/>
                <w:kern w:val="0"/>
                <w:u w:val="single"/>
              </w:rPr>
              <w:t>m</w:t>
            </w:r>
            <w:r w:rsidRPr="00181939">
              <w:rPr>
                <w:rFonts w:ascii="Calibri" w:hAnsi="Calibri" w:hint="eastAsia"/>
                <w:b/>
                <w:kern w:val="0"/>
                <w:u w:val="single"/>
              </w:rPr>
              <w:t>）</w:t>
            </w:r>
          </w:p>
        </w:tc>
        <w:tc>
          <w:tcPr>
            <w:tcW w:w="327" w:type="pct"/>
            <w:vMerge w:val="restart"/>
            <w:noWrap/>
            <w:vAlign w:val="center"/>
          </w:tcPr>
          <w:p w14:paraId="3E98DF2D"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年排放小</w:t>
            </w:r>
          </w:p>
          <w:p w14:paraId="09B685D6"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时数</w:t>
            </w:r>
          </w:p>
          <w:p w14:paraId="3A3916F8"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hint="eastAsia"/>
                <w:b/>
                <w:kern w:val="0"/>
                <w:u w:val="single"/>
              </w:rPr>
              <w:t>（</w:t>
            </w:r>
            <w:r w:rsidRPr="00181939">
              <w:rPr>
                <w:rFonts w:ascii="Calibri" w:hAnsi="Calibri" w:hint="eastAsia"/>
                <w:b/>
                <w:kern w:val="0"/>
                <w:u w:val="single"/>
              </w:rPr>
              <w:t>m</w:t>
            </w:r>
            <w:r w:rsidRPr="00181939">
              <w:rPr>
                <w:rFonts w:ascii="Calibri" w:hAnsi="Calibri" w:hint="eastAsia"/>
                <w:b/>
                <w:kern w:val="0"/>
                <w:u w:val="single"/>
              </w:rPr>
              <w:t>）</w:t>
            </w:r>
          </w:p>
        </w:tc>
        <w:tc>
          <w:tcPr>
            <w:tcW w:w="248" w:type="pct"/>
            <w:vMerge w:val="restart"/>
            <w:noWrap/>
            <w:vAlign w:val="center"/>
          </w:tcPr>
          <w:p w14:paraId="3B32F2B9"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排放</w:t>
            </w:r>
          </w:p>
          <w:p w14:paraId="2C9679C0" w14:textId="77777777" w:rsidR="00326EC9" w:rsidRPr="00181939" w:rsidRDefault="00326EC9" w:rsidP="00244598">
            <w:pPr>
              <w:pStyle w:val="afffff"/>
              <w:widowControl w:val="0"/>
              <w:spacing w:line="240" w:lineRule="auto"/>
              <w:rPr>
                <w:rFonts w:ascii="Calibri" w:hAnsi="Calibri"/>
                <w:b/>
                <w:kern w:val="0"/>
                <w:u w:val="single"/>
              </w:rPr>
            </w:pPr>
            <w:r w:rsidRPr="00181939">
              <w:rPr>
                <w:rFonts w:ascii="Calibri" w:hAnsi="Calibri"/>
                <w:b/>
                <w:kern w:val="0"/>
                <w:u w:val="single"/>
              </w:rPr>
              <w:t>工况</w:t>
            </w:r>
          </w:p>
        </w:tc>
        <w:tc>
          <w:tcPr>
            <w:tcW w:w="1637" w:type="pct"/>
            <w:gridSpan w:val="5"/>
            <w:noWrap/>
            <w:vAlign w:val="center"/>
          </w:tcPr>
          <w:p w14:paraId="23C98CB9" w14:textId="77777777" w:rsidR="00326EC9" w:rsidRPr="00181939" w:rsidRDefault="00326EC9" w:rsidP="00326EC9">
            <w:pPr>
              <w:pStyle w:val="afffff"/>
              <w:widowControl w:val="0"/>
              <w:spacing w:line="300" w:lineRule="exact"/>
              <w:ind w:firstLineChars="500" w:firstLine="1054"/>
              <w:jc w:val="both"/>
              <w:rPr>
                <w:rFonts w:ascii="Calibri" w:hAnsi="Calibri"/>
                <w:b/>
                <w:kern w:val="0"/>
                <w:u w:val="single"/>
              </w:rPr>
            </w:pPr>
            <w:r w:rsidRPr="00181939">
              <w:rPr>
                <w:rFonts w:ascii="Calibri" w:hAnsi="Calibri"/>
                <w:b/>
                <w:kern w:val="0"/>
                <w:u w:val="single"/>
              </w:rPr>
              <w:t>评价因子源强</w:t>
            </w:r>
            <w:r w:rsidRPr="00181939">
              <w:rPr>
                <w:rFonts w:ascii="Calibri" w:hAnsi="Calibri"/>
                <w:b/>
                <w:kern w:val="0"/>
                <w:u w:val="single"/>
              </w:rPr>
              <w:t>/</w:t>
            </w:r>
            <w:r w:rsidRPr="00181939">
              <w:rPr>
                <w:rFonts w:ascii="Calibri" w:hAnsi="Calibri"/>
                <w:b/>
                <w:kern w:val="0"/>
                <w:u w:val="single"/>
              </w:rPr>
              <w:t>（</w:t>
            </w:r>
            <w:r w:rsidRPr="00181939">
              <w:rPr>
                <w:rFonts w:ascii="Calibri" w:hAnsi="Calibri"/>
                <w:b/>
                <w:kern w:val="0"/>
                <w:u w:val="single"/>
              </w:rPr>
              <w:t>kg/h</w:t>
            </w:r>
            <w:r w:rsidRPr="00181939">
              <w:rPr>
                <w:rFonts w:ascii="Calibri" w:hAnsi="Calibri" w:hint="eastAsia"/>
                <w:b/>
                <w:kern w:val="0"/>
                <w:u w:val="single"/>
              </w:rPr>
              <w:t>）</w:t>
            </w:r>
          </w:p>
        </w:tc>
      </w:tr>
      <w:tr w:rsidR="00326EC9" w:rsidRPr="00181939" w14:paraId="210E3381" w14:textId="77777777" w:rsidTr="000657DF">
        <w:trPr>
          <w:trHeight w:val="345"/>
          <w:jc w:val="center"/>
        </w:trPr>
        <w:tc>
          <w:tcPr>
            <w:tcW w:w="467" w:type="pct"/>
            <w:vMerge/>
            <w:noWrap/>
            <w:vAlign w:val="center"/>
          </w:tcPr>
          <w:p w14:paraId="569543E9" w14:textId="77777777" w:rsidR="00326EC9" w:rsidRPr="00181939" w:rsidRDefault="00326EC9" w:rsidP="00DF1C95">
            <w:pPr>
              <w:pStyle w:val="afffff"/>
              <w:widowControl w:val="0"/>
              <w:spacing w:line="300" w:lineRule="exact"/>
              <w:rPr>
                <w:rFonts w:ascii="Calibri" w:hAnsi="Calibri"/>
                <w:b/>
                <w:kern w:val="0"/>
                <w:u w:val="single"/>
              </w:rPr>
            </w:pPr>
          </w:p>
        </w:tc>
        <w:tc>
          <w:tcPr>
            <w:tcW w:w="346" w:type="pct"/>
            <w:noWrap/>
            <w:vAlign w:val="center"/>
          </w:tcPr>
          <w:p w14:paraId="375B3542" w14:textId="77777777" w:rsidR="00326EC9" w:rsidRPr="00181939" w:rsidRDefault="00326EC9" w:rsidP="00DF1C95">
            <w:pPr>
              <w:pStyle w:val="afffff"/>
              <w:widowControl w:val="0"/>
              <w:spacing w:line="300" w:lineRule="exact"/>
              <w:rPr>
                <w:rFonts w:ascii="Calibri" w:hAnsi="Calibri"/>
                <w:b/>
                <w:kern w:val="0"/>
                <w:u w:val="single"/>
              </w:rPr>
            </w:pPr>
            <w:r w:rsidRPr="00181939">
              <w:rPr>
                <w:rFonts w:ascii="Calibri" w:hAnsi="Calibri"/>
                <w:b/>
                <w:kern w:val="0"/>
                <w:u w:val="single"/>
              </w:rPr>
              <w:t>X</w:t>
            </w:r>
          </w:p>
        </w:tc>
        <w:tc>
          <w:tcPr>
            <w:tcW w:w="313" w:type="pct"/>
            <w:noWrap/>
            <w:vAlign w:val="center"/>
          </w:tcPr>
          <w:p w14:paraId="4117093B" w14:textId="77777777" w:rsidR="00326EC9" w:rsidRPr="00181939" w:rsidRDefault="00326EC9" w:rsidP="00DF1C95">
            <w:pPr>
              <w:pStyle w:val="afffff"/>
              <w:widowControl w:val="0"/>
              <w:spacing w:line="300" w:lineRule="exact"/>
              <w:rPr>
                <w:rFonts w:ascii="Calibri" w:hAnsi="Calibri"/>
                <w:b/>
                <w:kern w:val="0"/>
                <w:u w:val="single"/>
              </w:rPr>
            </w:pPr>
            <w:r w:rsidRPr="00181939">
              <w:rPr>
                <w:rFonts w:ascii="Calibri" w:hAnsi="Calibri"/>
                <w:b/>
                <w:kern w:val="0"/>
                <w:u w:val="single"/>
              </w:rPr>
              <w:t>Y</w:t>
            </w:r>
          </w:p>
        </w:tc>
        <w:tc>
          <w:tcPr>
            <w:tcW w:w="395" w:type="pct"/>
            <w:vMerge/>
            <w:noWrap/>
            <w:vAlign w:val="center"/>
          </w:tcPr>
          <w:p w14:paraId="2BC9F79F" w14:textId="77777777" w:rsidR="00326EC9" w:rsidRPr="00181939" w:rsidRDefault="00326EC9" w:rsidP="00DF1C95">
            <w:pPr>
              <w:pStyle w:val="afffff"/>
              <w:widowControl w:val="0"/>
              <w:spacing w:line="300" w:lineRule="exact"/>
              <w:rPr>
                <w:rFonts w:ascii="Calibri" w:hAnsi="Calibri"/>
                <w:b/>
                <w:kern w:val="0"/>
                <w:u w:val="single"/>
              </w:rPr>
            </w:pPr>
          </w:p>
        </w:tc>
        <w:tc>
          <w:tcPr>
            <w:tcW w:w="284" w:type="pct"/>
            <w:vMerge/>
            <w:noWrap/>
            <w:vAlign w:val="center"/>
          </w:tcPr>
          <w:p w14:paraId="7E2D6AC5" w14:textId="77777777" w:rsidR="00326EC9" w:rsidRPr="00181939" w:rsidRDefault="00326EC9" w:rsidP="00DF1C95">
            <w:pPr>
              <w:pStyle w:val="afffff"/>
              <w:widowControl w:val="0"/>
              <w:spacing w:line="300" w:lineRule="exact"/>
              <w:rPr>
                <w:rFonts w:ascii="Calibri" w:hAnsi="Calibri"/>
                <w:b/>
                <w:kern w:val="0"/>
                <w:u w:val="single"/>
              </w:rPr>
            </w:pPr>
          </w:p>
        </w:tc>
        <w:tc>
          <w:tcPr>
            <w:tcW w:w="314" w:type="pct"/>
            <w:vMerge/>
            <w:noWrap/>
            <w:vAlign w:val="center"/>
          </w:tcPr>
          <w:p w14:paraId="2F6609DE" w14:textId="77777777" w:rsidR="00326EC9" w:rsidRPr="00181939" w:rsidRDefault="00326EC9" w:rsidP="00DF1C95">
            <w:pPr>
              <w:pStyle w:val="afffff"/>
              <w:widowControl w:val="0"/>
              <w:spacing w:line="300" w:lineRule="exact"/>
              <w:rPr>
                <w:rFonts w:ascii="Calibri" w:hAnsi="Calibri"/>
                <w:b/>
                <w:kern w:val="0"/>
                <w:u w:val="single"/>
              </w:rPr>
            </w:pPr>
          </w:p>
        </w:tc>
        <w:tc>
          <w:tcPr>
            <w:tcW w:w="297" w:type="pct"/>
            <w:vMerge/>
            <w:noWrap/>
            <w:vAlign w:val="center"/>
          </w:tcPr>
          <w:p w14:paraId="78955EB0" w14:textId="77777777" w:rsidR="00326EC9" w:rsidRPr="00181939" w:rsidRDefault="00326EC9" w:rsidP="00DF1C95">
            <w:pPr>
              <w:pStyle w:val="afffff"/>
              <w:widowControl w:val="0"/>
              <w:spacing w:line="300" w:lineRule="exact"/>
              <w:rPr>
                <w:rFonts w:ascii="Calibri" w:hAnsi="Calibri"/>
                <w:b/>
                <w:kern w:val="0"/>
                <w:u w:val="single"/>
              </w:rPr>
            </w:pPr>
          </w:p>
        </w:tc>
        <w:tc>
          <w:tcPr>
            <w:tcW w:w="372" w:type="pct"/>
            <w:vMerge/>
            <w:noWrap/>
            <w:vAlign w:val="center"/>
          </w:tcPr>
          <w:p w14:paraId="155E8C5D" w14:textId="77777777" w:rsidR="00326EC9" w:rsidRPr="00181939" w:rsidRDefault="00326EC9" w:rsidP="00DF1C95">
            <w:pPr>
              <w:pStyle w:val="afffff"/>
              <w:widowControl w:val="0"/>
              <w:spacing w:line="300" w:lineRule="exact"/>
              <w:rPr>
                <w:rFonts w:ascii="Calibri" w:hAnsi="Calibri"/>
                <w:b/>
                <w:kern w:val="0"/>
                <w:u w:val="single"/>
              </w:rPr>
            </w:pPr>
          </w:p>
        </w:tc>
        <w:tc>
          <w:tcPr>
            <w:tcW w:w="327" w:type="pct"/>
            <w:vMerge/>
            <w:noWrap/>
            <w:vAlign w:val="center"/>
          </w:tcPr>
          <w:p w14:paraId="673B7A2A" w14:textId="77777777" w:rsidR="00326EC9" w:rsidRPr="00181939" w:rsidRDefault="00326EC9" w:rsidP="00DF1C95">
            <w:pPr>
              <w:pStyle w:val="afffff"/>
              <w:widowControl w:val="0"/>
              <w:spacing w:line="300" w:lineRule="exact"/>
              <w:rPr>
                <w:rFonts w:ascii="Calibri" w:hAnsi="Calibri"/>
                <w:b/>
                <w:kern w:val="0"/>
                <w:u w:val="single"/>
              </w:rPr>
            </w:pPr>
          </w:p>
        </w:tc>
        <w:tc>
          <w:tcPr>
            <w:tcW w:w="248" w:type="pct"/>
            <w:vMerge/>
            <w:noWrap/>
            <w:vAlign w:val="center"/>
          </w:tcPr>
          <w:p w14:paraId="6FCA87CE" w14:textId="77777777" w:rsidR="00326EC9" w:rsidRPr="00181939" w:rsidRDefault="00326EC9" w:rsidP="00DF1C95">
            <w:pPr>
              <w:pStyle w:val="afffff"/>
              <w:widowControl w:val="0"/>
              <w:spacing w:line="300" w:lineRule="exact"/>
              <w:rPr>
                <w:rFonts w:ascii="Calibri" w:hAnsi="Calibri"/>
                <w:b/>
                <w:kern w:val="0"/>
                <w:u w:val="single"/>
              </w:rPr>
            </w:pPr>
          </w:p>
        </w:tc>
        <w:tc>
          <w:tcPr>
            <w:tcW w:w="361" w:type="pct"/>
            <w:noWrap/>
            <w:vAlign w:val="center"/>
          </w:tcPr>
          <w:p w14:paraId="47C8CEEA" w14:textId="77777777" w:rsidR="00326EC9" w:rsidRPr="00181939" w:rsidRDefault="00326EC9" w:rsidP="00DF1C95">
            <w:pPr>
              <w:pStyle w:val="afffff"/>
              <w:widowControl w:val="0"/>
              <w:spacing w:line="240" w:lineRule="auto"/>
              <w:rPr>
                <w:rFonts w:ascii="Calibri" w:hAnsi="Calibri"/>
                <w:b/>
                <w:kern w:val="0"/>
                <w:u w:val="single"/>
              </w:rPr>
            </w:pPr>
            <w:r w:rsidRPr="00181939">
              <w:rPr>
                <w:rFonts w:ascii="Calibri" w:hAnsi="Calibri" w:hint="eastAsia"/>
                <w:b/>
                <w:kern w:val="0"/>
                <w:u w:val="single"/>
              </w:rPr>
              <w:t>PM</w:t>
            </w:r>
            <w:r w:rsidRPr="00181939">
              <w:rPr>
                <w:rFonts w:ascii="Calibri" w:hAnsi="Calibri" w:hint="eastAsia"/>
                <w:b/>
                <w:kern w:val="0"/>
                <w:u w:val="single"/>
                <w:vertAlign w:val="subscript"/>
              </w:rPr>
              <w:t>10</w:t>
            </w:r>
          </w:p>
        </w:tc>
        <w:tc>
          <w:tcPr>
            <w:tcW w:w="276" w:type="pct"/>
            <w:vAlign w:val="center"/>
          </w:tcPr>
          <w:p w14:paraId="7DB6C231" w14:textId="77777777" w:rsidR="00326EC9" w:rsidRPr="00181939" w:rsidRDefault="00326EC9" w:rsidP="00DF1C95">
            <w:pPr>
              <w:pStyle w:val="afffff"/>
              <w:widowControl w:val="0"/>
              <w:spacing w:line="240" w:lineRule="auto"/>
              <w:rPr>
                <w:rFonts w:ascii="Calibri" w:hAnsi="Calibri"/>
                <w:b/>
                <w:kern w:val="0"/>
                <w:u w:val="single"/>
              </w:rPr>
            </w:pPr>
            <w:r w:rsidRPr="00181939">
              <w:rPr>
                <w:rFonts w:ascii="Calibri" w:hAnsi="Calibri" w:hint="eastAsia"/>
                <w:b/>
                <w:kern w:val="0"/>
                <w:u w:val="single"/>
              </w:rPr>
              <w:t>PM</w:t>
            </w:r>
            <w:r w:rsidRPr="00181939">
              <w:rPr>
                <w:rFonts w:ascii="Calibri" w:hAnsi="Calibri" w:hint="eastAsia"/>
                <w:b/>
                <w:kern w:val="0"/>
                <w:u w:val="single"/>
                <w:vertAlign w:val="subscript"/>
              </w:rPr>
              <w:t>2.5</w:t>
            </w:r>
          </w:p>
        </w:tc>
        <w:tc>
          <w:tcPr>
            <w:tcW w:w="437" w:type="pct"/>
            <w:tcBorders>
              <w:left w:val="single" w:sz="2" w:space="0" w:color="auto"/>
            </w:tcBorders>
            <w:vAlign w:val="center"/>
          </w:tcPr>
          <w:p w14:paraId="6744D42D" w14:textId="77777777" w:rsidR="00326EC9" w:rsidRPr="00181939" w:rsidRDefault="00326EC9" w:rsidP="00DF1C95">
            <w:pPr>
              <w:pStyle w:val="afffff"/>
              <w:widowControl w:val="0"/>
              <w:spacing w:line="240" w:lineRule="auto"/>
              <w:rPr>
                <w:rFonts w:ascii="Calibri" w:hAnsi="Calibri"/>
                <w:b/>
                <w:kern w:val="0"/>
                <w:u w:val="single"/>
              </w:rPr>
            </w:pPr>
            <w:r w:rsidRPr="00181939">
              <w:rPr>
                <w:rFonts w:ascii="Calibri" w:hAnsi="Calibri" w:hint="eastAsia"/>
                <w:b/>
                <w:kern w:val="0"/>
                <w:u w:val="single"/>
              </w:rPr>
              <w:t>非甲烷总烃</w:t>
            </w:r>
          </w:p>
        </w:tc>
        <w:tc>
          <w:tcPr>
            <w:tcW w:w="264" w:type="pct"/>
            <w:tcBorders>
              <w:right w:val="single" w:sz="2" w:space="0" w:color="auto"/>
            </w:tcBorders>
            <w:vAlign w:val="center"/>
          </w:tcPr>
          <w:p w14:paraId="568C9E49" w14:textId="77777777" w:rsidR="00326EC9" w:rsidRPr="00181939" w:rsidRDefault="00326EC9" w:rsidP="00DF1C95">
            <w:pPr>
              <w:spacing w:line="240" w:lineRule="exact"/>
              <w:jc w:val="center"/>
              <w:rPr>
                <w:rFonts w:ascii="Calibri" w:hAnsi="Calibri"/>
                <w:b/>
                <w:szCs w:val="21"/>
                <w:u w:val="single"/>
              </w:rPr>
            </w:pPr>
            <w:r w:rsidRPr="00181939">
              <w:rPr>
                <w:rFonts w:ascii="Calibri" w:hAnsi="Calibri" w:hint="eastAsia"/>
                <w:b/>
                <w:szCs w:val="21"/>
                <w:u w:val="single"/>
              </w:rPr>
              <w:t>氨</w:t>
            </w:r>
          </w:p>
        </w:tc>
        <w:tc>
          <w:tcPr>
            <w:tcW w:w="299" w:type="pct"/>
            <w:tcBorders>
              <w:left w:val="single" w:sz="2" w:space="0" w:color="auto"/>
            </w:tcBorders>
            <w:vAlign w:val="center"/>
          </w:tcPr>
          <w:p w14:paraId="6BA12B7C" w14:textId="77777777" w:rsidR="00326EC9" w:rsidRPr="00181939" w:rsidRDefault="00326EC9" w:rsidP="00DF1C95">
            <w:pPr>
              <w:spacing w:line="240" w:lineRule="exact"/>
              <w:jc w:val="center"/>
              <w:rPr>
                <w:rFonts w:ascii="Calibri" w:hAnsi="Calibri"/>
                <w:b/>
                <w:szCs w:val="21"/>
                <w:u w:val="single"/>
              </w:rPr>
            </w:pPr>
            <w:r w:rsidRPr="00181939">
              <w:rPr>
                <w:rFonts w:ascii="Calibri" w:hAnsi="Calibri"/>
                <w:b/>
                <w:bCs/>
                <w:u w:val="single"/>
              </w:rPr>
              <w:t>H</w:t>
            </w:r>
            <w:r w:rsidRPr="00181939">
              <w:rPr>
                <w:rFonts w:ascii="Calibri" w:hAnsi="Calibri"/>
                <w:b/>
                <w:bCs/>
                <w:u w:val="single"/>
                <w:vertAlign w:val="subscript"/>
              </w:rPr>
              <w:t>2</w:t>
            </w:r>
            <w:r w:rsidRPr="00181939">
              <w:rPr>
                <w:rFonts w:ascii="Calibri" w:hAnsi="Calibri"/>
                <w:b/>
                <w:bCs/>
                <w:u w:val="single"/>
              </w:rPr>
              <w:t>S</w:t>
            </w:r>
          </w:p>
        </w:tc>
      </w:tr>
      <w:tr w:rsidR="00326EC9" w:rsidRPr="00181939" w14:paraId="3D040D20" w14:textId="77777777" w:rsidTr="000657DF">
        <w:trPr>
          <w:trHeight w:val="345"/>
          <w:jc w:val="center"/>
        </w:trPr>
        <w:tc>
          <w:tcPr>
            <w:tcW w:w="467" w:type="pct"/>
            <w:noWrap/>
            <w:vAlign w:val="center"/>
          </w:tcPr>
          <w:p w14:paraId="38DA8E4A" w14:textId="77777777" w:rsidR="00326EC9" w:rsidRPr="00181939" w:rsidRDefault="00326EC9" w:rsidP="00244598">
            <w:pPr>
              <w:widowControl/>
              <w:jc w:val="center"/>
              <w:textAlignment w:val="center"/>
              <w:rPr>
                <w:rFonts w:ascii="Calibri" w:hAnsi="Calibri"/>
                <w:b/>
                <w:szCs w:val="21"/>
                <w:u w:val="single"/>
              </w:rPr>
            </w:pPr>
            <w:r w:rsidRPr="00181939">
              <w:rPr>
                <w:rFonts w:ascii="Calibri" w:hAnsi="Calibri" w:hint="eastAsia"/>
                <w:b/>
                <w:szCs w:val="21"/>
                <w:u w:val="single"/>
              </w:rPr>
              <w:t>生产区</w:t>
            </w:r>
          </w:p>
        </w:tc>
        <w:tc>
          <w:tcPr>
            <w:tcW w:w="346" w:type="pct"/>
            <w:noWrap/>
            <w:vAlign w:val="center"/>
          </w:tcPr>
          <w:p w14:paraId="33919017" w14:textId="77777777" w:rsidR="00326EC9" w:rsidRPr="00181939" w:rsidRDefault="004E3A5C" w:rsidP="00DF1C95">
            <w:pPr>
              <w:widowControl/>
              <w:jc w:val="center"/>
              <w:textAlignment w:val="center"/>
              <w:rPr>
                <w:rFonts w:ascii="Calibri" w:hAnsi="Calibri"/>
                <w:b/>
                <w:szCs w:val="21"/>
                <w:u w:val="single"/>
              </w:rPr>
            </w:pPr>
            <w:r w:rsidRPr="00181939">
              <w:rPr>
                <w:rFonts w:ascii="Calibri" w:hAnsi="Calibri"/>
                <w:b/>
                <w:szCs w:val="21"/>
                <w:u w:val="single"/>
              </w:rPr>
              <w:t>113.444364</w:t>
            </w:r>
          </w:p>
        </w:tc>
        <w:tc>
          <w:tcPr>
            <w:tcW w:w="313" w:type="pct"/>
            <w:noWrap/>
            <w:vAlign w:val="center"/>
          </w:tcPr>
          <w:p w14:paraId="725188B6" w14:textId="77777777" w:rsidR="00326EC9" w:rsidRPr="00181939" w:rsidRDefault="004E3A5C" w:rsidP="00DF1C95">
            <w:pPr>
              <w:widowControl/>
              <w:jc w:val="center"/>
              <w:textAlignment w:val="center"/>
              <w:rPr>
                <w:rFonts w:ascii="Calibri" w:hAnsi="Calibri"/>
                <w:b/>
                <w:szCs w:val="21"/>
                <w:u w:val="single"/>
              </w:rPr>
            </w:pPr>
            <w:r w:rsidRPr="00181939">
              <w:rPr>
                <w:rFonts w:ascii="Calibri" w:hAnsi="Calibri"/>
                <w:b/>
                <w:szCs w:val="21"/>
                <w:u w:val="single"/>
              </w:rPr>
              <w:t>33.682033</w:t>
            </w:r>
          </w:p>
        </w:tc>
        <w:tc>
          <w:tcPr>
            <w:tcW w:w="395" w:type="pct"/>
            <w:noWrap/>
            <w:vAlign w:val="center"/>
          </w:tcPr>
          <w:p w14:paraId="3CF69D76" w14:textId="77777777" w:rsidR="00326EC9" w:rsidRPr="00181939" w:rsidRDefault="00326EC9" w:rsidP="00DF1C95">
            <w:pPr>
              <w:widowControl/>
              <w:jc w:val="center"/>
              <w:textAlignment w:val="center"/>
              <w:rPr>
                <w:rFonts w:ascii="Calibri" w:hAnsi="Calibri"/>
                <w:b/>
                <w:szCs w:val="21"/>
                <w:u w:val="single"/>
              </w:rPr>
            </w:pPr>
            <w:r w:rsidRPr="00181939">
              <w:rPr>
                <w:rFonts w:ascii="Calibri" w:hAnsi="Calibri"/>
                <w:b/>
                <w:szCs w:val="21"/>
                <w:u w:val="single"/>
              </w:rPr>
              <w:t>80</w:t>
            </w:r>
          </w:p>
        </w:tc>
        <w:tc>
          <w:tcPr>
            <w:tcW w:w="284" w:type="pct"/>
            <w:noWrap/>
            <w:vAlign w:val="center"/>
          </w:tcPr>
          <w:p w14:paraId="5C038EB5"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b/>
                <w:szCs w:val="21"/>
                <w:u w:val="single"/>
              </w:rPr>
              <w:t>120</w:t>
            </w:r>
          </w:p>
        </w:tc>
        <w:tc>
          <w:tcPr>
            <w:tcW w:w="314" w:type="pct"/>
            <w:noWrap/>
            <w:vAlign w:val="center"/>
          </w:tcPr>
          <w:p w14:paraId="0F86A39A"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b/>
                <w:szCs w:val="21"/>
                <w:u w:val="single"/>
              </w:rPr>
              <w:t>96</w:t>
            </w:r>
          </w:p>
        </w:tc>
        <w:tc>
          <w:tcPr>
            <w:tcW w:w="297" w:type="pct"/>
            <w:noWrap/>
            <w:vAlign w:val="center"/>
          </w:tcPr>
          <w:p w14:paraId="3B3F095C"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b/>
                <w:szCs w:val="21"/>
                <w:u w:val="single"/>
              </w:rPr>
              <w:t>0</w:t>
            </w:r>
          </w:p>
        </w:tc>
        <w:tc>
          <w:tcPr>
            <w:tcW w:w="372" w:type="pct"/>
            <w:noWrap/>
            <w:vAlign w:val="center"/>
          </w:tcPr>
          <w:p w14:paraId="7C56F405"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b/>
                <w:szCs w:val="21"/>
                <w:u w:val="single"/>
              </w:rPr>
              <w:t>20</w:t>
            </w:r>
          </w:p>
        </w:tc>
        <w:tc>
          <w:tcPr>
            <w:tcW w:w="327" w:type="pct"/>
            <w:noWrap/>
            <w:vAlign w:val="center"/>
          </w:tcPr>
          <w:p w14:paraId="2EDC6FB5" w14:textId="77777777" w:rsidR="00326EC9" w:rsidRPr="00181939" w:rsidRDefault="00326EC9" w:rsidP="00244598">
            <w:pPr>
              <w:jc w:val="center"/>
              <w:rPr>
                <w:rFonts w:ascii="Calibri" w:hAnsi="Calibri"/>
                <w:b/>
                <w:szCs w:val="21"/>
                <w:u w:val="single"/>
              </w:rPr>
            </w:pPr>
            <w:r w:rsidRPr="00181939">
              <w:rPr>
                <w:rFonts w:ascii="Calibri" w:hAnsi="Calibri" w:hint="eastAsia"/>
                <w:b/>
                <w:szCs w:val="21"/>
                <w:u w:val="single"/>
              </w:rPr>
              <w:t>7200</w:t>
            </w:r>
          </w:p>
        </w:tc>
        <w:tc>
          <w:tcPr>
            <w:tcW w:w="248" w:type="pct"/>
            <w:noWrap/>
            <w:vAlign w:val="center"/>
          </w:tcPr>
          <w:p w14:paraId="59B65163" w14:textId="77777777" w:rsidR="00326EC9" w:rsidRPr="00181939" w:rsidRDefault="00326EC9" w:rsidP="00244598">
            <w:pPr>
              <w:jc w:val="center"/>
              <w:rPr>
                <w:rFonts w:ascii="Calibri" w:hAnsi="Calibri"/>
                <w:b/>
                <w:szCs w:val="21"/>
                <w:u w:val="single"/>
              </w:rPr>
            </w:pPr>
            <w:r w:rsidRPr="00181939">
              <w:rPr>
                <w:rFonts w:ascii="Calibri" w:hAnsi="Calibri"/>
                <w:b/>
                <w:szCs w:val="21"/>
                <w:u w:val="single"/>
              </w:rPr>
              <w:t>正常</w:t>
            </w:r>
          </w:p>
        </w:tc>
        <w:tc>
          <w:tcPr>
            <w:tcW w:w="361" w:type="pct"/>
            <w:noWrap/>
            <w:vAlign w:val="center"/>
          </w:tcPr>
          <w:p w14:paraId="425D2C9D" w14:textId="77777777" w:rsidR="00326EC9" w:rsidRPr="00181939" w:rsidRDefault="003C53E0" w:rsidP="00244598">
            <w:pPr>
              <w:spacing w:line="240" w:lineRule="exact"/>
              <w:jc w:val="center"/>
              <w:rPr>
                <w:rFonts w:ascii="Calibri" w:hAnsi="Calibri"/>
                <w:b/>
                <w:szCs w:val="21"/>
                <w:u w:val="single"/>
              </w:rPr>
            </w:pPr>
            <w:r w:rsidRPr="00181939">
              <w:rPr>
                <w:rFonts w:ascii="Calibri" w:hAnsi="Calibri"/>
                <w:b/>
                <w:szCs w:val="21"/>
                <w:u w:val="single"/>
              </w:rPr>
              <w:t>0.00026</w:t>
            </w:r>
          </w:p>
        </w:tc>
        <w:tc>
          <w:tcPr>
            <w:tcW w:w="276" w:type="pct"/>
            <w:vAlign w:val="center"/>
          </w:tcPr>
          <w:p w14:paraId="0B856139" w14:textId="77777777" w:rsidR="00326EC9" w:rsidRPr="00181939" w:rsidRDefault="003C53E0" w:rsidP="003805F3">
            <w:pPr>
              <w:spacing w:line="240" w:lineRule="exact"/>
              <w:jc w:val="center"/>
              <w:rPr>
                <w:rFonts w:ascii="Calibri" w:hAnsi="Calibri"/>
                <w:b/>
                <w:szCs w:val="21"/>
                <w:u w:val="single"/>
              </w:rPr>
            </w:pPr>
            <w:r w:rsidRPr="00181939">
              <w:rPr>
                <w:rFonts w:ascii="Calibri" w:hAnsi="Calibri"/>
                <w:b/>
                <w:szCs w:val="21"/>
                <w:u w:val="single"/>
              </w:rPr>
              <w:t>0.000078</w:t>
            </w:r>
          </w:p>
        </w:tc>
        <w:tc>
          <w:tcPr>
            <w:tcW w:w="437" w:type="pct"/>
            <w:tcBorders>
              <w:left w:val="single" w:sz="2" w:space="0" w:color="auto"/>
            </w:tcBorders>
            <w:vAlign w:val="center"/>
          </w:tcPr>
          <w:p w14:paraId="16EF878C" w14:textId="77777777" w:rsidR="00326EC9" w:rsidRPr="00181939" w:rsidRDefault="00326EC9" w:rsidP="00244598">
            <w:pPr>
              <w:spacing w:line="240" w:lineRule="exact"/>
              <w:jc w:val="center"/>
              <w:rPr>
                <w:rFonts w:ascii="Calibri" w:hAnsi="Calibri"/>
                <w:b/>
                <w:szCs w:val="21"/>
                <w:u w:val="single"/>
              </w:rPr>
            </w:pPr>
            <w:r w:rsidRPr="00181939">
              <w:rPr>
                <w:rFonts w:ascii="Calibri" w:hAnsi="Calibri" w:hint="eastAsia"/>
                <w:b/>
                <w:szCs w:val="21"/>
                <w:u w:val="single"/>
              </w:rPr>
              <w:t>0.0595</w:t>
            </w:r>
          </w:p>
        </w:tc>
        <w:tc>
          <w:tcPr>
            <w:tcW w:w="264" w:type="pct"/>
            <w:tcBorders>
              <w:right w:val="single" w:sz="2" w:space="0" w:color="auto"/>
            </w:tcBorders>
            <w:vAlign w:val="center"/>
          </w:tcPr>
          <w:p w14:paraId="7E2FD667" w14:textId="0841A6B0" w:rsidR="00326EC9" w:rsidRPr="00181939" w:rsidRDefault="00181939" w:rsidP="00244598">
            <w:pPr>
              <w:spacing w:line="240" w:lineRule="exact"/>
              <w:jc w:val="center"/>
              <w:rPr>
                <w:rFonts w:ascii="Calibri" w:hAnsi="Calibri"/>
                <w:b/>
                <w:szCs w:val="21"/>
                <w:u w:val="single"/>
              </w:rPr>
            </w:pPr>
            <w:r w:rsidRPr="00181939">
              <w:rPr>
                <w:rFonts w:ascii="Calibri" w:hAnsi="Calibri" w:hint="eastAsia"/>
                <w:b/>
                <w:szCs w:val="21"/>
                <w:u w:val="single"/>
              </w:rPr>
              <w:t>/</w:t>
            </w:r>
          </w:p>
        </w:tc>
        <w:tc>
          <w:tcPr>
            <w:tcW w:w="299" w:type="pct"/>
            <w:tcBorders>
              <w:left w:val="single" w:sz="2" w:space="0" w:color="auto"/>
            </w:tcBorders>
            <w:vAlign w:val="center"/>
          </w:tcPr>
          <w:p w14:paraId="0C4137BD" w14:textId="709D7632" w:rsidR="00326EC9" w:rsidRPr="00181939" w:rsidRDefault="00181939" w:rsidP="00244598">
            <w:pPr>
              <w:spacing w:line="240" w:lineRule="exact"/>
              <w:jc w:val="center"/>
              <w:rPr>
                <w:rFonts w:ascii="Calibri" w:hAnsi="Calibri"/>
                <w:b/>
                <w:szCs w:val="21"/>
                <w:u w:val="single"/>
              </w:rPr>
            </w:pPr>
            <w:r w:rsidRPr="00181939">
              <w:rPr>
                <w:rFonts w:ascii="Calibri" w:hAnsi="Calibri" w:hint="eastAsia"/>
                <w:b/>
                <w:szCs w:val="21"/>
                <w:u w:val="single"/>
              </w:rPr>
              <w:t>/</w:t>
            </w:r>
          </w:p>
        </w:tc>
      </w:tr>
      <w:tr w:rsidR="00326EC9" w:rsidRPr="00181939" w14:paraId="3B232D1A" w14:textId="77777777" w:rsidTr="000657DF">
        <w:trPr>
          <w:trHeight w:val="345"/>
          <w:jc w:val="center"/>
        </w:trPr>
        <w:tc>
          <w:tcPr>
            <w:tcW w:w="467" w:type="pct"/>
            <w:noWrap/>
            <w:vAlign w:val="center"/>
          </w:tcPr>
          <w:p w14:paraId="5F7858B1" w14:textId="77777777" w:rsidR="00326EC9" w:rsidRPr="00181939" w:rsidRDefault="00326EC9" w:rsidP="00244598">
            <w:pPr>
              <w:widowControl/>
              <w:jc w:val="center"/>
              <w:textAlignment w:val="center"/>
              <w:rPr>
                <w:rFonts w:ascii="Calibri" w:hAnsi="Calibri"/>
                <w:b/>
                <w:szCs w:val="21"/>
                <w:u w:val="single"/>
              </w:rPr>
            </w:pPr>
            <w:r w:rsidRPr="00181939">
              <w:rPr>
                <w:rFonts w:ascii="Calibri" w:hAnsi="Calibri" w:hint="eastAsia"/>
                <w:b/>
                <w:szCs w:val="21"/>
                <w:u w:val="single"/>
              </w:rPr>
              <w:t>污水</w:t>
            </w:r>
            <w:r w:rsidRPr="00181939">
              <w:rPr>
                <w:rFonts w:ascii="Calibri" w:hAnsi="Calibri"/>
                <w:b/>
                <w:szCs w:val="21"/>
                <w:u w:val="single"/>
              </w:rPr>
              <w:t>处理站</w:t>
            </w:r>
          </w:p>
        </w:tc>
        <w:tc>
          <w:tcPr>
            <w:tcW w:w="346" w:type="pct"/>
            <w:noWrap/>
            <w:vAlign w:val="center"/>
          </w:tcPr>
          <w:p w14:paraId="26EF76DD" w14:textId="77777777" w:rsidR="00326EC9" w:rsidRPr="00181939" w:rsidRDefault="004E3A5C" w:rsidP="00DF1C95">
            <w:pPr>
              <w:widowControl/>
              <w:jc w:val="center"/>
              <w:textAlignment w:val="center"/>
              <w:rPr>
                <w:rFonts w:ascii="Calibri" w:hAnsi="Calibri"/>
                <w:b/>
                <w:szCs w:val="21"/>
                <w:u w:val="single"/>
              </w:rPr>
            </w:pPr>
            <w:r w:rsidRPr="00181939">
              <w:rPr>
                <w:rFonts w:ascii="Calibri" w:hAnsi="Calibri"/>
                <w:b/>
                <w:szCs w:val="21"/>
                <w:u w:val="single"/>
              </w:rPr>
              <w:t>113.445602</w:t>
            </w:r>
          </w:p>
        </w:tc>
        <w:tc>
          <w:tcPr>
            <w:tcW w:w="313" w:type="pct"/>
            <w:noWrap/>
            <w:vAlign w:val="center"/>
          </w:tcPr>
          <w:p w14:paraId="4BAFB9BA" w14:textId="77777777" w:rsidR="00326EC9" w:rsidRPr="00181939" w:rsidRDefault="004E3A5C" w:rsidP="00DF1C95">
            <w:pPr>
              <w:widowControl/>
              <w:textAlignment w:val="center"/>
              <w:rPr>
                <w:rFonts w:ascii="Calibri" w:hAnsi="Calibri"/>
                <w:b/>
                <w:szCs w:val="21"/>
                <w:u w:val="single"/>
              </w:rPr>
            </w:pPr>
            <w:r w:rsidRPr="00181939">
              <w:rPr>
                <w:rFonts w:ascii="Calibri" w:hAnsi="Calibri"/>
                <w:b/>
                <w:szCs w:val="21"/>
                <w:u w:val="single"/>
              </w:rPr>
              <w:t>33.678767</w:t>
            </w:r>
          </w:p>
        </w:tc>
        <w:tc>
          <w:tcPr>
            <w:tcW w:w="395" w:type="pct"/>
            <w:noWrap/>
            <w:vAlign w:val="center"/>
          </w:tcPr>
          <w:p w14:paraId="2F74EC50" w14:textId="77777777" w:rsidR="00326EC9" w:rsidRPr="00181939" w:rsidRDefault="000657DF" w:rsidP="00DF1C95">
            <w:pPr>
              <w:widowControl/>
              <w:jc w:val="center"/>
              <w:textAlignment w:val="center"/>
              <w:rPr>
                <w:rFonts w:ascii="Calibri" w:hAnsi="Calibri"/>
                <w:b/>
                <w:szCs w:val="21"/>
                <w:u w:val="single"/>
              </w:rPr>
            </w:pPr>
            <w:r w:rsidRPr="00181939">
              <w:rPr>
                <w:rFonts w:ascii="Calibri" w:hAnsi="Calibri"/>
                <w:b/>
                <w:szCs w:val="21"/>
                <w:u w:val="single"/>
              </w:rPr>
              <w:t>79</w:t>
            </w:r>
          </w:p>
        </w:tc>
        <w:tc>
          <w:tcPr>
            <w:tcW w:w="284" w:type="pct"/>
            <w:noWrap/>
            <w:vAlign w:val="center"/>
          </w:tcPr>
          <w:p w14:paraId="339A8770"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hint="eastAsia"/>
                <w:b/>
                <w:szCs w:val="21"/>
                <w:u w:val="single"/>
              </w:rPr>
              <w:t>30</w:t>
            </w:r>
          </w:p>
        </w:tc>
        <w:tc>
          <w:tcPr>
            <w:tcW w:w="314" w:type="pct"/>
            <w:noWrap/>
            <w:vAlign w:val="center"/>
          </w:tcPr>
          <w:p w14:paraId="4A4AAD60"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hint="eastAsia"/>
                <w:b/>
                <w:szCs w:val="21"/>
                <w:u w:val="single"/>
              </w:rPr>
              <w:t>5</w:t>
            </w:r>
          </w:p>
        </w:tc>
        <w:tc>
          <w:tcPr>
            <w:tcW w:w="297" w:type="pct"/>
            <w:noWrap/>
            <w:vAlign w:val="center"/>
          </w:tcPr>
          <w:p w14:paraId="2DEA25FA"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hint="eastAsia"/>
                <w:b/>
                <w:szCs w:val="21"/>
                <w:u w:val="single"/>
              </w:rPr>
              <w:t>0</w:t>
            </w:r>
          </w:p>
        </w:tc>
        <w:tc>
          <w:tcPr>
            <w:tcW w:w="372" w:type="pct"/>
            <w:noWrap/>
            <w:vAlign w:val="center"/>
          </w:tcPr>
          <w:p w14:paraId="0ABFA318" w14:textId="77777777" w:rsidR="00326EC9" w:rsidRPr="00181939" w:rsidRDefault="00326EC9" w:rsidP="00244598">
            <w:pPr>
              <w:spacing w:line="300" w:lineRule="exact"/>
              <w:jc w:val="center"/>
              <w:rPr>
                <w:rFonts w:ascii="Calibri" w:hAnsi="Calibri"/>
                <w:b/>
                <w:szCs w:val="21"/>
                <w:u w:val="single"/>
              </w:rPr>
            </w:pPr>
            <w:r w:rsidRPr="00181939">
              <w:rPr>
                <w:rFonts w:ascii="Calibri" w:hAnsi="Calibri" w:hint="eastAsia"/>
                <w:b/>
                <w:szCs w:val="21"/>
                <w:u w:val="single"/>
              </w:rPr>
              <w:t>5</w:t>
            </w:r>
          </w:p>
        </w:tc>
        <w:tc>
          <w:tcPr>
            <w:tcW w:w="327" w:type="pct"/>
            <w:noWrap/>
            <w:vAlign w:val="center"/>
          </w:tcPr>
          <w:p w14:paraId="74E076D4" w14:textId="77777777" w:rsidR="00326EC9" w:rsidRPr="00181939" w:rsidRDefault="00326EC9" w:rsidP="00244598">
            <w:pPr>
              <w:jc w:val="center"/>
              <w:rPr>
                <w:rFonts w:ascii="Calibri" w:hAnsi="Calibri"/>
                <w:b/>
                <w:szCs w:val="21"/>
                <w:u w:val="single"/>
              </w:rPr>
            </w:pPr>
            <w:r w:rsidRPr="00181939">
              <w:rPr>
                <w:rFonts w:ascii="Calibri" w:hAnsi="Calibri" w:hint="eastAsia"/>
                <w:b/>
                <w:szCs w:val="21"/>
                <w:u w:val="single"/>
              </w:rPr>
              <w:t>7200</w:t>
            </w:r>
          </w:p>
        </w:tc>
        <w:tc>
          <w:tcPr>
            <w:tcW w:w="248" w:type="pct"/>
            <w:noWrap/>
            <w:vAlign w:val="center"/>
          </w:tcPr>
          <w:p w14:paraId="623B9C2C" w14:textId="77777777" w:rsidR="00326EC9" w:rsidRPr="00181939" w:rsidRDefault="00326EC9" w:rsidP="00244598">
            <w:pPr>
              <w:jc w:val="center"/>
              <w:rPr>
                <w:rFonts w:ascii="Calibri" w:hAnsi="Calibri"/>
                <w:b/>
                <w:szCs w:val="21"/>
                <w:u w:val="single"/>
              </w:rPr>
            </w:pPr>
            <w:r w:rsidRPr="00181939">
              <w:rPr>
                <w:rFonts w:ascii="Calibri" w:hAnsi="Calibri"/>
                <w:b/>
                <w:szCs w:val="21"/>
                <w:u w:val="single"/>
              </w:rPr>
              <w:t>正常</w:t>
            </w:r>
          </w:p>
        </w:tc>
        <w:tc>
          <w:tcPr>
            <w:tcW w:w="361" w:type="pct"/>
            <w:noWrap/>
            <w:vAlign w:val="center"/>
          </w:tcPr>
          <w:p w14:paraId="23E33940" w14:textId="121327B8" w:rsidR="00326EC9" w:rsidRPr="00181939" w:rsidRDefault="00181939" w:rsidP="00244598">
            <w:pPr>
              <w:spacing w:line="240" w:lineRule="exact"/>
              <w:jc w:val="center"/>
              <w:rPr>
                <w:rFonts w:ascii="Calibri" w:hAnsi="Calibri"/>
                <w:b/>
                <w:szCs w:val="21"/>
                <w:u w:val="single"/>
              </w:rPr>
            </w:pPr>
            <w:r w:rsidRPr="00181939">
              <w:rPr>
                <w:rFonts w:ascii="Calibri" w:hAnsi="Calibri" w:hint="eastAsia"/>
                <w:b/>
                <w:szCs w:val="21"/>
                <w:u w:val="single"/>
              </w:rPr>
              <w:t>/</w:t>
            </w:r>
          </w:p>
        </w:tc>
        <w:tc>
          <w:tcPr>
            <w:tcW w:w="276" w:type="pct"/>
            <w:vAlign w:val="center"/>
          </w:tcPr>
          <w:p w14:paraId="5F1809FD" w14:textId="56A93448" w:rsidR="00326EC9" w:rsidRPr="00181939" w:rsidRDefault="00181939" w:rsidP="00244598">
            <w:pPr>
              <w:spacing w:line="240" w:lineRule="exact"/>
              <w:jc w:val="center"/>
              <w:rPr>
                <w:rFonts w:ascii="Calibri" w:hAnsi="Calibri"/>
                <w:b/>
                <w:szCs w:val="21"/>
                <w:u w:val="single"/>
              </w:rPr>
            </w:pPr>
            <w:r w:rsidRPr="00181939">
              <w:rPr>
                <w:rFonts w:ascii="Calibri" w:hAnsi="Calibri" w:hint="eastAsia"/>
                <w:b/>
                <w:szCs w:val="21"/>
                <w:u w:val="single"/>
              </w:rPr>
              <w:t>/</w:t>
            </w:r>
          </w:p>
        </w:tc>
        <w:tc>
          <w:tcPr>
            <w:tcW w:w="437" w:type="pct"/>
            <w:tcBorders>
              <w:left w:val="single" w:sz="2" w:space="0" w:color="auto"/>
            </w:tcBorders>
            <w:vAlign w:val="center"/>
          </w:tcPr>
          <w:p w14:paraId="38442286" w14:textId="4877425A" w:rsidR="00326EC9" w:rsidRPr="00181939" w:rsidRDefault="00181939" w:rsidP="00244598">
            <w:pPr>
              <w:spacing w:line="240" w:lineRule="exact"/>
              <w:jc w:val="center"/>
              <w:rPr>
                <w:rFonts w:ascii="Calibri" w:hAnsi="Calibri"/>
                <w:b/>
                <w:szCs w:val="21"/>
                <w:u w:val="single"/>
              </w:rPr>
            </w:pPr>
            <w:r w:rsidRPr="00181939">
              <w:rPr>
                <w:rFonts w:ascii="Calibri" w:hAnsi="Calibri"/>
                <w:b/>
                <w:szCs w:val="21"/>
                <w:u w:val="single"/>
              </w:rPr>
              <w:t>0.00056</w:t>
            </w:r>
          </w:p>
        </w:tc>
        <w:tc>
          <w:tcPr>
            <w:tcW w:w="264" w:type="pct"/>
            <w:tcBorders>
              <w:right w:val="single" w:sz="2" w:space="0" w:color="auto"/>
            </w:tcBorders>
            <w:vAlign w:val="center"/>
          </w:tcPr>
          <w:p w14:paraId="28ED52EF" w14:textId="2F647A9F" w:rsidR="00326EC9" w:rsidRPr="00181939" w:rsidRDefault="00181939" w:rsidP="00244598">
            <w:pPr>
              <w:spacing w:line="240" w:lineRule="exact"/>
              <w:jc w:val="center"/>
              <w:rPr>
                <w:rFonts w:ascii="Calibri" w:hAnsi="Calibri"/>
                <w:b/>
                <w:szCs w:val="21"/>
                <w:u w:val="single"/>
              </w:rPr>
            </w:pPr>
            <w:r w:rsidRPr="00181939">
              <w:rPr>
                <w:rFonts w:ascii="Calibri" w:hAnsi="Calibri"/>
                <w:b/>
                <w:szCs w:val="21"/>
                <w:u w:val="single"/>
              </w:rPr>
              <w:t>0.00028</w:t>
            </w:r>
          </w:p>
        </w:tc>
        <w:tc>
          <w:tcPr>
            <w:tcW w:w="299" w:type="pct"/>
            <w:tcBorders>
              <w:left w:val="single" w:sz="2" w:space="0" w:color="auto"/>
            </w:tcBorders>
            <w:vAlign w:val="center"/>
          </w:tcPr>
          <w:p w14:paraId="33937603" w14:textId="544CB0DB" w:rsidR="00326EC9" w:rsidRPr="00181939" w:rsidRDefault="00181939" w:rsidP="00244598">
            <w:pPr>
              <w:spacing w:line="240" w:lineRule="exact"/>
              <w:jc w:val="center"/>
              <w:rPr>
                <w:rFonts w:ascii="Calibri" w:hAnsi="Calibri"/>
                <w:b/>
                <w:szCs w:val="21"/>
                <w:u w:val="single"/>
              </w:rPr>
            </w:pPr>
            <w:r w:rsidRPr="00181939">
              <w:rPr>
                <w:rFonts w:ascii="Calibri" w:hAnsi="Calibri"/>
                <w:b/>
                <w:szCs w:val="21"/>
                <w:u w:val="single"/>
              </w:rPr>
              <w:t>0.000014</w:t>
            </w:r>
          </w:p>
        </w:tc>
      </w:tr>
    </w:tbl>
    <w:p w14:paraId="4F861A62" w14:textId="77777777" w:rsidR="00910CEA" w:rsidRPr="00A964FF" w:rsidRDefault="00910CEA" w:rsidP="00A92D6C">
      <w:pPr>
        <w:widowControl/>
        <w:spacing w:line="520" w:lineRule="exact"/>
        <w:rPr>
          <w:rFonts w:ascii="Calibri" w:hAnsi="Calibri"/>
          <w:color w:val="auto"/>
          <w:sz w:val="24"/>
        </w:rPr>
        <w:sectPr w:rsidR="00910CEA" w:rsidRPr="00A964FF" w:rsidSect="00D96ED3">
          <w:pgSz w:w="16838" w:h="11906" w:orient="landscape" w:code="9"/>
          <w:pgMar w:top="1134" w:right="1440" w:bottom="1134" w:left="1440" w:header="851" w:footer="992" w:gutter="0"/>
          <w:cols w:space="720"/>
          <w:docGrid w:linePitch="312"/>
        </w:sectPr>
      </w:pPr>
    </w:p>
    <w:p w14:paraId="66AEF691" w14:textId="77777777" w:rsidR="00261948" w:rsidRPr="00A964FF" w:rsidRDefault="00261948" w:rsidP="0055605A">
      <w:pPr>
        <w:widowControl/>
        <w:spacing w:line="520" w:lineRule="exact"/>
        <w:ind w:firstLine="480"/>
        <w:rPr>
          <w:rFonts w:ascii="Calibri" w:hAnsi="Calibri"/>
          <w:b/>
          <w:color w:val="auto"/>
          <w:sz w:val="24"/>
        </w:rPr>
      </w:pPr>
      <w:r w:rsidRPr="00A964FF">
        <w:rPr>
          <w:rFonts w:ascii="Calibri" w:hAnsi="Calibri" w:hint="eastAsia"/>
          <w:b/>
          <w:color w:val="auto"/>
          <w:sz w:val="24"/>
        </w:rPr>
        <w:lastRenderedPageBreak/>
        <w:t>4</w:t>
      </w:r>
      <w:r w:rsidRPr="00A964FF">
        <w:rPr>
          <w:rFonts w:ascii="Calibri" w:hAnsi="Calibri" w:hint="eastAsia"/>
          <w:b/>
          <w:color w:val="auto"/>
          <w:sz w:val="24"/>
        </w:rPr>
        <w:t>、估算模型参数</w:t>
      </w:r>
    </w:p>
    <w:p w14:paraId="61361821" w14:textId="77777777" w:rsidR="00261948" w:rsidRPr="00A964FF" w:rsidRDefault="00261948" w:rsidP="00261948">
      <w:pPr>
        <w:widowControl/>
        <w:spacing w:line="520" w:lineRule="exact"/>
        <w:ind w:firstLine="480"/>
        <w:rPr>
          <w:rFonts w:ascii="Calibri" w:hAnsi="Calibri"/>
          <w:color w:val="auto"/>
          <w:sz w:val="24"/>
        </w:rPr>
      </w:pPr>
      <w:r w:rsidRPr="00A964FF">
        <w:rPr>
          <w:rFonts w:ascii="Calibri" w:hAnsi="Calibri" w:hint="eastAsia"/>
          <w:color w:val="auto"/>
          <w:sz w:val="24"/>
        </w:rPr>
        <w:t>估算模型参数见表</w:t>
      </w:r>
      <w:r w:rsidRPr="00A964FF">
        <w:rPr>
          <w:rFonts w:ascii="Calibri" w:hAnsi="Calibri" w:hint="eastAsia"/>
          <w:color w:val="auto"/>
          <w:sz w:val="24"/>
        </w:rPr>
        <w:t>4</w:t>
      </w:r>
      <w:r w:rsidR="0097027F" w:rsidRPr="00A964FF">
        <w:rPr>
          <w:rFonts w:ascii="Calibri" w:hAnsi="Calibri" w:hint="eastAsia"/>
          <w:color w:val="auto"/>
          <w:sz w:val="24"/>
        </w:rPr>
        <w:t>.2</w:t>
      </w:r>
      <w:r w:rsidRPr="00A964FF">
        <w:rPr>
          <w:rFonts w:ascii="Calibri" w:hAnsi="Calibri" w:hint="eastAsia"/>
          <w:color w:val="auto"/>
          <w:sz w:val="24"/>
        </w:rPr>
        <w:t>-1</w:t>
      </w:r>
      <w:r w:rsidR="000657DF">
        <w:rPr>
          <w:rFonts w:ascii="Calibri" w:hAnsi="Calibri" w:hint="eastAsia"/>
          <w:color w:val="auto"/>
          <w:sz w:val="24"/>
        </w:rPr>
        <w:t>0</w:t>
      </w:r>
      <w:r w:rsidRPr="00A964FF">
        <w:rPr>
          <w:rFonts w:ascii="Calibri" w:hAnsi="Calibri" w:hint="eastAsia"/>
          <w:color w:val="auto"/>
          <w:sz w:val="24"/>
        </w:rPr>
        <w:t>。</w:t>
      </w:r>
    </w:p>
    <w:p w14:paraId="734882B3" w14:textId="77777777" w:rsidR="00261948" w:rsidRPr="00A964FF" w:rsidRDefault="00261948" w:rsidP="00261948">
      <w:pPr>
        <w:pStyle w:val="00"/>
        <w:rPr>
          <w:rFonts w:ascii="Calibri" w:hAnsi="Calibri"/>
          <w:color w:val="auto"/>
          <w:sz w:val="21"/>
          <w:szCs w:val="21"/>
        </w:rPr>
      </w:pPr>
      <w:r w:rsidRPr="00A964FF">
        <w:rPr>
          <w:rFonts w:ascii="Calibri" w:eastAsia="黑体" w:hAnsi="Calibri"/>
          <w:color w:val="auto"/>
        </w:rPr>
        <w:t>表</w:t>
      </w:r>
      <w:r w:rsidRPr="00A964FF">
        <w:rPr>
          <w:rFonts w:ascii="Calibri" w:eastAsia="黑体" w:hAnsi="Calibri" w:hint="eastAsia"/>
          <w:color w:val="auto"/>
        </w:rPr>
        <w:t>4</w:t>
      </w:r>
      <w:r w:rsidR="0097027F" w:rsidRPr="00A964FF">
        <w:rPr>
          <w:rFonts w:ascii="Calibri" w:eastAsia="黑体" w:hAnsi="Calibri" w:hint="eastAsia"/>
          <w:color w:val="auto"/>
        </w:rPr>
        <w:t>.2</w:t>
      </w:r>
      <w:r w:rsidRPr="00A964FF">
        <w:rPr>
          <w:rFonts w:ascii="Calibri" w:eastAsia="黑体" w:hAnsi="Calibri"/>
          <w:color w:val="auto"/>
        </w:rPr>
        <w:t>-</w:t>
      </w:r>
      <w:r w:rsidRPr="00A964FF">
        <w:rPr>
          <w:rFonts w:ascii="Calibri" w:eastAsia="黑体" w:hAnsi="Calibri" w:hint="eastAsia"/>
          <w:color w:val="auto"/>
        </w:rPr>
        <w:t>1</w:t>
      </w:r>
      <w:r w:rsidR="000657DF">
        <w:rPr>
          <w:rFonts w:ascii="Calibri" w:eastAsia="黑体" w:hAnsi="Calibri"/>
          <w:color w:val="auto"/>
        </w:rPr>
        <w:t>0</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估算模型参数表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35"/>
        <w:gridCol w:w="3402"/>
        <w:gridCol w:w="3260"/>
      </w:tblGrid>
      <w:tr w:rsidR="00261948" w:rsidRPr="00A964FF" w14:paraId="23DB9B92" w14:textId="77777777" w:rsidTr="00261948">
        <w:trPr>
          <w:trHeight w:val="340"/>
        </w:trPr>
        <w:tc>
          <w:tcPr>
            <w:tcW w:w="5637" w:type="dxa"/>
            <w:gridSpan w:val="2"/>
            <w:vAlign w:val="center"/>
          </w:tcPr>
          <w:p w14:paraId="3FCB0FA1" w14:textId="77777777" w:rsidR="00261948" w:rsidRPr="00A964FF" w:rsidRDefault="00261948" w:rsidP="00261948">
            <w:pPr>
              <w:jc w:val="center"/>
              <w:rPr>
                <w:rFonts w:ascii="Calibri" w:hAnsi="Calibri"/>
                <w:color w:val="auto"/>
                <w:szCs w:val="21"/>
              </w:rPr>
            </w:pPr>
            <w:r w:rsidRPr="00A964FF">
              <w:rPr>
                <w:rFonts w:ascii="Calibri" w:hAnsi="Calibri"/>
                <w:color w:val="auto"/>
                <w:szCs w:val="21"/>
              </w:rPr>
              <w:t>参数</w:t>
            </w:r>
          </w:p>
        </w:tc>
        <w:tc>
          <w:tcPr>
            <w:tcW w:w="3260" w:type="dxa"/>
            <w:vAlign w:val="center"/>
          </w:tcPr>
          <w:p w14:paraId="6C235E0A" w14:textId="77777777" w:rsidR="00261948" w:rsidRPr="00A964FF" w:rsidRDefault="00261948" w:rsidP="00261948">
            <w:pPr>
              <w:jc w:val="center"/>
              <w:rPr>
                <w:rFonts w:ascii="Calibri" w:hAnsi="Calibri"/>
                <w:color w:val="auto"/>
                <w:szCs w:val="21"/>
              </w:rPr>
            </w:pPr>
            <w:r w:rsidRPr="00A964FF">
              <w:rPr>
                <w:rFonts w:ascii="Calibri"/>
                <w:color w:val="auto"/>
                <w:szCs w:val="21"/>
              </w:rPr>
              <w:t>取值</w:t>
            </w:r>
          </w:p>
        </w:tc>
      </w:tr>
      <w:tr w:rsidR="00261948" w:rsidRPr="00A964FF" w14:paraId="76A52B42" w14:textId="77777777" w:rsidTr="00261948">
        <w:trPr>
          <w:trHeight w:val="340"/>
        </w:trPr>
        <w:tc>
          <w:tcPr>
            <w:tcW w:w="2235" w:type="dxa"/>
            <w:vMerge w:val="restart"/>
            <w:tcBorders>
              <w:right w:val="single" w:sz="4" w:space="0" w:color="auto"/>
            </w:tcBorders>
            <w:vAlign w:val="center"/>
          </w:tcPr>
          <w:p w14:paraId="3AEC0648"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color w:val="auto"/>
                <w:szCs w:val="21"/>
              </w:rPr>
              <w:t>城市</w:t>
            </w:r>
            <w:r w:rsidRPr="00A964FF">
              <w:rPr>
                <w:rFonts w:ascii="Calibri" w:hAnsi="Calibri"/>
                <w:color w:val="auto"/>
                <w:szCs w:val="21"/>
              </w:rPr>
              <w:t>/</w:t>
            </w:r>
            <w:r w:rsidRPr="00A964FF">
              <w:rPr>
                <w:rFonts w:ascii="Calibri" w:hAnsi="Calibri"/>
                <w:color w:val="auto"/>
                <w:szCs w:val="21"/>
              </w:rPr>
              <w:t>农村</w:t>
            </w:r>
          </w:p>
        </w:tc>
        <w:tc>
          <w:tcPr>
            <w:tcW w:w="3402" w:type="dxa"/>
            <w:tcBorders>
              <w:left w:val="single" w:sz="4" w:space="0" w:color="auto"/>
            </w:tcBorders>
            <w:vAlign w:val="center"/>
          </w:tcPr>
          <w:p w14:paraId="0BB9D49F"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城市</w:t>
            </w:r>
            <w:r w:rsidRPr="00A964FF">
              <w:rPr>
                <w:rFonts w:ascii="Calibri" w:hAnsi="Calibri"/>
                <w:color w:val="auto"/>
                <w:szCs w:val="21"/>
              </w:rPr>
              <w:t>/</w:t>
            </w:r>
            <w:r w:rsidRPr="00A964FF">
              <w:rPr>
                <w:rFonts w:ascii="Calibri" w:hAnsi="Calibri"/>
                <w:color w:val="auto"/>
                <w:szCs w:val="21"/>
              </w:rPr>
              <w:t>农村</w:t>
            </w:r>
          </w:p>
        </w:tc>
        <w:tc>
          <w:tcPr>
            <w:tcW w:w="3260" w:type="dxa"/>
            <w:vAlign w:val="center"/>
          </w:tcPr>
          <w:p w14:paraId="731E90C8" w14:textId="77777777" w:rsidR="00261948" w:rsidRPr="00A964FF" w:rsidRDefault="00261948" w:rsidP="00261948">
            <w:pPr>
              <w:adjustRightInd w:val="0"/>
              <w:snapToGrid w:val="0"/>
              <w:jc w:val="center"/>
              <w:rPr>
                <w:rFonts w:ascii="Calibri" w:hAnsi="Calibri"/>
                <w:color w:val="auto"/>
                <w:szCs w:val="21"/>
              </w:rPr>
            </w:pPr>
            <w:r w:rsidRPr="00A964FF">
              <w:rPr>
                <w:rFonts w:ascii="Calibri" w:hint="eastAsia"/>
                <w:color w:val="auto"/>
                <w:szCs w:val="21"/>
              </w:rPr>
              <w:t>农村</w:t>
            </w:r>
          </w:p>
        </w:tc>
      </w:tr>
      <w:tr w:rsidR="00261948" w:rsidRPr="00A964FF" w14:paraId="5B2F6971" w14:textId="77777777" w:rsidTr="00261948">
        <w:trPr>
          <w:trHeight w:val="340"/>
        </w:trPr>
        <w:tc>
          <w:tcPr>
            <w:tcW w:w="2235" w:type="dxa"/>
            <w:vMerge/>
            <w:tcBorders>
              <w:right w:val="single" w:sz="4" w:space="0" w:color="auto"/>
            </w:tcBorders>
            <w:vAlign w:val="center"/>
          </w:tcPr>
          <w:p w14:paraId="397984AE" w14:textId="77777777" w:rsidR="00261948" w:rsidRPr="00A964FF" w:rsidRDefault="00261948" w:rsidP="00261948">
            <w:pPr>
              <w:adjustRightInd w:val="0"/>
              <w:snapToGrid w:val="0"/>
              <w:jc w:val="center"/>
              <w:rPr>
                <w:rFonts w:ascii="Calibri" w:hAnsi="Calibri"/>
                <w:color w:val="auto"/>
                <w:szCs w:val="21"/>
              </w:rPr>
            </w:pPr>
          </w:p>
        </w:tc>
        <w:tc>
          <w:tcPr>
            <w:tcW w:w="3402" w:type="dxa"/>
            <w:tcBorders>
              <w:left w:val="single" w:sz="4" w:space="0" w:color="auto"/>
            </w:tcBorders>
            <w:vAlign w:val="center"/>
          </w:tcPr>
          <w:p w14:paraId="05E3CAE0"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人口数（城市选项时）</w:t>
            </w:r>
          </w:p>
        </w:tc>
        <w:tc>
          <w:tcPr>
            <w:tcW w:w="3260" w:type="dxa"/>
            <w:vAlign w:val="center"/>
          </w:tcPr>
          <w:p w14:paraId="0EEAA7AE"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hint="eastAsia"/>
                <w:color w:val="auto"/>
                <w:szCs w:val="21"/>
              </w:rPr>
              <w:t>/</w:t>
            </w:r>
          </w:p>
        </w:tc>
      </w:tr>
      <w:tr w:rsidR="00261948" w:rsidRPr="00A964FF" w14:paraId="38317DBC" w14:textId="77777777" w:rsidTr="00261948">
        <w:trPr>
          <w:trHeight w:val="340"/>
        </w:trPr>
        <w:tc>
          <w:tcPr>
            <w:tcW w:w="5637" w:type="dxa"/>
            <w:gridSpan w:val="2"/>
            <w:vAlign w:val="center"/>
          </w:tcPr>
          <w:p w14:paraId="44ED0CD6"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最高环境温度</w:t>
            </w:r>
            <w:r w:rsidRPr="00A964FF">
              <w:rPr>
                <w:rFonts w:ascii="Calibri" w:hAnsi="Calibri"/>
                <w:color w:val="auto"/>
                <w:szCs w:val="21"/>
              </w:rPr>
              <w:t>/</w:t>
            </w:r>
            <w:r w:rsidRPr="00A964FF">
              <w:rPr>
                <w:rFonts w:ascii="宋体" w:hAnsi="宋体" w:cs="宋体" w:hint="eastAsia"/>
                <w:color w:val="auto"/>
                <w:szCs w:val="21"/>
              </w:rPr>
              <w:t>℃</w:t>
            </w:r>
          </w:p>
        </w:tc>
        <w:tc>
          <w:tcPr>
            <w:tcW w:w="3260" w:type="dxa"/>
            <w:vAlign w:val="center"/>
          </w:tcPr>
          <w:p w14:paraId="55124016"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hint="eastAsia"/>
                <w:color w:val="auto"/>
                <w:szCs w:val="21"/>
              </w:rPr>
              <w:t>42.6</w:t>
            </w:r>
          </w:p>
        </w:tc>
      </w:tr>
      <w:tr w:rsidR="00261948" w:rsidRPr="00A964FF" w14:paraId="0D599172" w14:textId="77777777" w:rsidTr="00261948">
        <w:trPr>
          <w:trHeight w:val="340"/>
        </w:trPr>
        <w:tc>
          <w:tcPr>
            <w:tcW w:w="5637" w:type="dxa"/>
            <w:gridSpan w:val="2"/>
            <w:vAlign w:val="center"/>
          </w:tcPr>
          <w:p w14:paraId="5DB164CB"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最低环境温度</w:t>
            </w:r>
            <w:r w:rsidRPr="00A964FF">
              <w:rPr>
                <w:rFonts w:ascii="Calibri" w:hAnsi="Calibri"/>
                <w:color w:val="auto"/>
                <w:szCs w:val="21"/>
              </w:rPr>
              <w:t>/</w:t>
            </w:r>
            <w:r w:rsidRPr="00A964FF">
              <w:rPr>
                <w:rFonts w:ascii="宋体" w:hAnsi="宋体" w:cs="宋体" w:hint="eastAsia"/>
                <w:color w:val="auto"/>
                <w:szCs w:val="21"/>
              </w:rPr>
              <w:t>℃</w:t>
            </w:r>
          </w:p>
        </w:tc>
        <w:tc>
          <w:tcPr>
            <w:tcW w:w="3260" w:type="dxa"/>
            <w:vAlign w:val="center"/>
          </w:tcPr>
          <w:p w14:paraId="7974B53B"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hint="eastAsia"/>
                <w:color w:val="auto"/>
                <w:szCs w:val="21"/>
              </w:rPr>
              <w:t>-18.8</w:t>
            </w:r>
          </w:p>
        </w:tc>
      </w:tr>
      <w:tr w:rsidR="00261948" w:rsidRPr="00A964FF" w14:paraId="3C2DE536" w14:textId="77777777" w:rsidTr="00261948">
        <w:trPr>
          <w:trHeight w:val="340"/>
        </w:trPr>
        <w:tc>
          <w:tcPr>
            <w:tcW w:w="5637" w:type="dxa"/>
            <w:gridSpan w:val="2"/>
            <w:vAlign w:val="center"/>
          </w:tcPr>
          <w:p w14:paraId="402D8361"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土地利用类型</w:t>
            </w:r>
          </w:p>
        </w:tc>
        <w:tc>
          <w:tcPr>
            <w:tcW w:w="3260" w:type="dxa"/>
            <w:vAlign w:val="center"/>
          </w:tcPr>
          <w:p w14:paraId="2D15E639" w14:textId="77777777" w:rsidR="00261948" w:rsidRPr="00A964FF" w:rsidRDefault="00261948" w:rsidP="00261948">
            <w:pPr>
              <w:adjustRightInd w:val="0"/>
              <w:snapToGrid w:val="0"/>
              <w:jc w:val="center"/>
              <w:rPr>
                <w:rFonts w:ascii="Calibri" w:hAnsi="Calibri"/>
                <w:color w:val="auto"/>
                <w:szCs w:val="21"/>
              </w:rPr>
            </w:pPr>
            <w:r w:rsidRPr="00A964FF">
              <w:rPr>
                <w:rFonts w:ascii="Calibri" w:hint="eastAsia"/>
                <w:color w:val="auto"/>
                <w:szCs w:val="21"/>
              </w:rPr>
              <w:t>农田</w:t>
            </w:r>
          </w:p>
        </w:tc>
      </w:tr>
      <w:tr w:rsidR="00261948" w:rsidRPr="00A964FF" w14:paraId="16E4943F" w14:textId="77777777" w:rsidTr="00261948">
        <w:trPr>
          <w:trHeight w:val="340"/>
        </w:trPr>
        <w:tc>
          <w:tcPr>
            <w:tcW w:w="5637" w:type="dxa"/>
            <w:gridSpan w:val="2"/>
            <w:vAlign w:val="center"/>
          </w:tcPr>
          <w:p w14:paraId="47BF0D8D"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区域湿度条件</w:t>
            </w:r>
          </w:p>
        </w:tc>
        <w:tc>
          <w:tcPr>
            <w:tcW w:w="3260" w:type="dxa"/>
            <w:vAlign w:val="center"/>
          </w:tcPr>
          <w:p w14:paraId="0777B843" w14:textId="77777777" w:rsidR="00261948" w:rsidRPr="00A964FF" w:rsidRDefault="00261948" w:rsidP="00261948">
            <w:pPr>
              <w:adjustRightInd w:val="0"/>
              <w:snapToGrid w:val="0"/>
              <w:jc w:val="center"/>
              <w:rPr>
                <w:rFonts w:ascii="Calibri" w:hAnsi="Calibri"/>
                <w:color w:val="auto"/>
                <w:szCs w:val="21"/>
              </w:rPr>
            </w:pPr>
            <w:r w:rsidRPr="00A964FF">
              <w:rPr>
                <w:rFonts w:ascii="Calibri"/>
                <w:color w:val="auto"/>
                <w:szCs w:val="21"/>
              </w:rPr>
              <w:t>中等湿度</w:t>
            </w:r>
          </w:p>
        </w:tc>
      </w:tr>
      <w:tr w:rsidR="00261948" w:rsidRPr="00A964FF" w14:paraId="78A80A93" w14:textId="77777777" w:rsidTr="00261948">
        <w:trPr>
          <w:trHeight w:val="340"/>
        </w:trPr>
        <w:tc>
          <w:tcPr>
            <w:tcW w:w="2235" w:type="dxa"/>
            <w:vMerge w:val="restart"/>
            <w:tcBorders>
              <w:right w:val="single" w:sz="4" w:space="0" w:color="auto"/>
            </w:tcBorders>
            <w:vAlign w:val="center"/>
          </w:tcPr>
          <w:p w14:paraId="5A17E750"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color w:val="auto"/>
                <w:szCs w:val="21"/>
              </w:rPr>
              <w:t>是否考虑地形</w:t>
            </w:r>
          </w:p>
        </w:tc>
        <w:tc>
          <w:tcPr>
            <w:tcW w:w="3402" w:type="dxa"/>
            <w:tcBorders>
              <w:left w:val="single" w:sz="4" w:space="0" w:color="auto"/>
            </w:tcBorders>
            <w:vAlign w:val="center"/>
          </w:tcPr>
          <w:p w14:paraId="6211CB44"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考虑地形</w:t>
            </w:r>
          </w:p>
        </w:tc>
        <w:tc>
          <w:tcPr>
            <w:tcW w:w="3260" w:type="dxa"/>
            <w:vAlign w:val="center"/>
          </w:tcPr>
          <w:p w14:paraId="5FAFDC6C" w14:textId="77777777" w:rsidR="00261948" w:rsidRPr="00A964FF" w:rsidRDefault="002766DF" w:rsidP="00261948">
            <w:pPr>
              <w:adjustRightInd w:val="0"/>
              <w:snapToGrid w:val="0"/>
              <w:jc w:val="center"/>
              <w:rPr>
                <w:rFonts w:ascii="Calibri" w:hAnsi="Calibri"/>
                <w:color w:val="auto"/>
                <w:szCs w:val="21"/>
              </w:rPr>
            </w:pPr>
            <w:r w:rsidRPr="00A964FF">
              <w:rPr>
                <w:rFonts w:ascii="宋体" w:hAnsi="宋体"/>
                <w:color w:val="auto"/>
                <w:szCs w:val="21"/>
              </w:rPr>
              <w:fldChar w:fldCharType="begin"/>
            </w:r>
            <w:r w:rsidR="00261948" w:rsidRPr="00A964FF">
              <w:rPr>
                <w:rFonts w:ascii="宋体" w:hAnsi="宋体"/>
                <w:color w:val="auto"/>
                <w:szCs w:val="21"/>
              </w:rPr>
              <w:instrText xml:space="preserve"> eq \o\ac(□,√)</w:instrText>
            </w:r>
            <w:r w:rsidRPr="00A964FF">
              <w:rPr>
                <w:rFonts w:ascii="宋体" w:hAnsi="宋体"/>
                <w:color w:val="auto"/>
                <w:szCs w:val="21"/>
              </w:rPr>
              <w:fldChar w:fldCharType="end"/>
            </w:r>
            <w:r w:rsidR="00261948" w:rsidRPr="00A964FF">
              <w:rPr>
                <w:rFonts w:ascii="宋体" w:hAnsi="宋体"/>
                <w:color w:val="auto"/>
                <w:szCs w:val="21"/>
              </w:rPr>
              <w:t>是  □否</w:t>
            </w:r>
          </w:p>
        </w:tc>
      </w:tr>
      <w:tr w:rsidR="00261948" w:rsidRPr="00A964FF" w14:paraId="0585E501" w14:textId="77777777" w:rsidTr="00261948">
        <w:trPr>
          <w:trHeight w:val="340"/>
        </w:trPr>
        <w:tc>
          <w:tcPr>
            <w:tcW w:w="2235" w:type="dxa"/>
            <w:vMerge/>
            <w:tcBorders>
              <w:right w:val="single" w:sz="4" w:space="0" w:color="auto"/>
            </w:tcBorders>
            <w:vAlign w:val="center"/>
          </w:tcPr>
          <w:p w14:paraId="61AAA675" w14:textId="77777777" w:rsidR="00261948" w:rsidRPr="00A964FF" w:rsidRDefault="00261948" w:rsidP="00261948">
            <w:pPr>
              <w:adjustRightInd w:val="0"/>
              <w:snapToGrid w:val="0"/>
              <w:jc w:val="center"/>
              <w:rPr>
                <w:rFonts w:ascii="Calibri" w:hAnsi="Calibri"/>
                <w:color w:val="auto"/>
                <w:szCs w:val="21"/>
              </w:rPr>
            </w:pPr>
          </w:p>
        </w:tc>
        <w:tc>
          <w:tcPr>
            <w:tcW w:w="3402" w:type="dxa"/>
            <w:tcBorders>
              <w:left w:val="single" w:sz="4" w:space="0" w:color="auto"/>
            </w:tcBorders>
            <w:vAlign w:val="center"/>
          </w:tcPr>
          <w:p w14:paraId="6AC0B67C"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地形数据分辨率</w:t>
            </w:r>
            <w:r w:rsidRPr="00A964FF">
              <w:rPr>
                <w:rFonts w:ascii="Calibri" w:hAnsi="Calibri"/>
                <w:color w:val="auto"/>
                <w:szCs w:val="21"/>
              </w:rPr>
              <w:t>/m</w:t>
            </w:r>
          </w:p>
        </w:tc>
        <w:tc>
          <w:tcPr>
            <w:tcW w:w="3260" w:type="dxa"/>
            <w:vAlign w:val="center"/>
          </w:tcPr>
          <w:p w14:paraId="7E25A708"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hint="eastAsia"/>
                <w:color w:val="auto"/>
                <w:szCs w:val="21"/>
              </w:rPr>
              <w:t>90</w:t>
            </w:r>
          </w:p>
        </w:tc>
      </w:tr>
      <w:tr w:rsidR="00261948" w:rsidRPr="00A964FF" w14:paraId="559B5D73" w14:textId="77777777" w:rsidTr="00261948">
        <w:trPr>
          <w:trHeight w:val="340"/>
        </w:trPr>
        <w:tc>
          <w:tcPr>
            <w:tcW w:w="2235" w:type="dxa"/>
            <w:vMerge w:val="restart"/>
            <w:tcBorders>
              <w:right w:val="single" w:sz="4" w:space="0" w:color="auto"/>
            </w:tcBorders>
            <w:vAlign w:val="center"/>
          </w:tcPr>
          <w:p w14:paraId="7CAF1E04"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color w:val="auto"/>
                <w:szCs w:val="21"/>
              </w:rPr>
              <w:t>是否考虑岸线熏烟</w:t>
            </w:r>
          </w:p>
        </w:tc>
        <w:tc>
          <w:tcPr>
            <w:tcW w:w="3402" w:type="dxa"/>
            <w:tcBorders>
              <w:left w:val="single" w:sz="4" w:space="0" w:color="auto"/>
            </w:tcBorders>
            <w:vAlign w:val="center"/>
          </w:tcPr>
          <w:p w14:paraId="651F8AAB"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考虑岸线熏烟</w:t>
            </w:r>
          </w:p>
        </w:tc>
        <w:tc>
          <w:tcPr>
            <w:tcW w:w="3260" w:type="dxa"/>
            <w:vAlign w:val="center"/>
          </w:tcPr>
          <w:p w14:paraId="0617AED9" w14:textId="77777777" w:rsidR="00261948" w:rsidRPr="00A964FF" w:rsidRDefault="00261948" w:rsidP="00261948">
            <w:pPr>
              <w:adjustRightInd w:val="0"/>
              <w:snapToGrid w:val="0"/>
              <w:jc w:val="center"/>
              <w:rPr>
                <w:rFonts w:ascii="Calibri" w:hAnsi="Calibri"/>
                <w:color w:val="auto"/>
                <w:szCs w:val="21"/>
              </w:rPr>
            </w:pPr>
            <w:r w:rsidRPr="00A964FF">
              <w:rPr>
                <w:rFonts w:ascii="宋体" w:hAnsi="宋体"/>
                <w:color w:val="auto"/>
                <w:szCs w:val="21"/>
              </w:rPr>
              <w:t>□是</w:t>
            </w:r>
            <w:r w:rsidRPr="00A964FF">
              <w:rPr>
                <w:rFonts w:ascii="Calibri" w:hAnsi="Calibri"/>
                <w:color w:val="auto"/>
                <w:szCs w:val="21"/>
              </w:rPr>
              <w:t xml:space="preserve"> </w:t>
            </w:r>
            <w:r w:rsidRPr="00A964FF">
              <w:rPr>
                <w:rFonts w:ascii="宋体" w:hAnsi="宋体"/>
                <w:color w:val="auto"/>
                <w:szCs w:val="21"/>
              </w:rPr>
              <w:t xml:space="preserve"> </w:t>
            </w:r>
            <w:r w:rsidR="002766DF" w:rsidRPr="00A964FF">
              <w:rPr>
                <w:rFonts w:ascii="宋体" w:hAnsi="宋体"/>
                <w:color w:val="auto"/>
                <w:szCs w:val="21"/>
              </w:rPr>
              <w:fldChar w:fldCharType="begin"/>
            </w:r>
            <w:r w:rsidRPr="00A964FF">
              <w:rPr>
                <w:rFonts w:ascii="宋体" w:hAnsi="宋体"/>
                <w:color w:val="auto"/>
                <w:szCs w:val="21"/>
              </w:rPr>
              <w:instrText xml:space="preserve"> eq \o\ac(□,√)</w:instrText>
            </w:r>
            <w:r w:rsidR="002766DF" w:rsidRPr="00A964FF">
              <w:rPr>
                <w:rFonts w:ascii="宋体" w:hAnsi="宋体"/>
                <w:color w:val="auto"/>
                <w:szCs w:val="21"/>
              </w:rPr>
              <w:fldChar w:fldCharType="end"/>
            </w:r>
            <w:r w:rsidRPr="00A964FF">
              <w:rPr>
                <w:rFonts w:ascii="宋体" w:hAnsi="宋体"/>
                <w:color w:val="auto"/>
                <w:szCs w:val="21"/>
              </w:rPr>
              <w:t>否</w:t>
            </w:r>
          </w:p>
        </w:tc>
      </w:tr>
      <w:tr w:rsidR="00261948" w:rsidRPr="00A964FF" w14:paraId="139DDC2C" w14:textId="77777777" w:rsidTr="00261948">
        <w:trPr>
          <w:trHeight w:val="340"/>
        </w:trPr>
        <w:tc>
          <w:tcPr>
            <w:tcW w:w="2235" w:type="dxa"/>
            <w:vMerge/>
            <w:tcBorders>
              <w:right w:val="single" w:sz="4" w:space="0" w:color="auto"/>
            </w:tcBorders>
            <w:vAlign w:val="center"/>
          </w:tcPr>
          <w:p w14:paraId="445CDB78" w14:textId="77777777" w:rsidR="00261948" w:rsidRPr="00A964FF" w:rsidRDefault="00261948" w:rsidP="00261948">
            <w:pPr>
              <w:adjustRightInd w:val="0"/>
              <w:snapToGrid w:val="0"/>
              <w:jc w:val="center"/>
              <w:rPr>
                <w:rFonts w:ascii="Calibri" w:hAnsi="Calibri"/>
                <w:color w:val="auto"/>
                <w:szCs w:val="21"/>
              </w:rPr>
            </w:pPr>
          </w:p>
        </w:tc>
        <w:tc>
          <w:tcPr>
            <w:tcW w:w="3402" w:type="dxa"/>
            <w:tcBorders>
              <w:left w:val="single" w:sz="4" w:space="0" w:color="auto"/>
            </w:tcBorders>
            <w:vAlign w:val="center"/>
          </w:tcPr>
          <w:p w14:paraId="395C6A81"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岸线距离</w:t>
            </w:r>
            <w:r w:rsidRPr="00A964FF">
              <w:rPr>
                <w:rFonts w:ascii="Calibri" w:hAnsi="Calibri"/>
                <w:color w:val="auto"/>
                <w:szCs w:val="21"/>
              </w:rPr>
              <w:t>/km</w:t>
            </w:r>
          </w:p>
        </w:tc>
        <w:tc>
          <w:tcPr>
            <w:tcW w:w="3260" w:type="dxa"/>
            <w:vAlign w:val="center"/>
          </w:tcPr>
          <w:p w14:paraId="296E9D86"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hint="eastAsia"/>
                <w:color w:val="auto"/>
                <w:szCs w:val="21"/>
              </w:rPr>
              <w:t>/</w:t>
            </w:r>
          </w:p>
        </w:tc>
      </w:tr>
      <w:tr w:rsidR="00261948" w:rsidRPr="00A964FF" w14:paraId="6AAED398" w14:textId="77777777" w:rsidTr="00261948">
        <w:trPr>
          <w:trHeight w:val="340"/>
        </w:trPr>
        <w:tc>
          <w:tcPr>
            <w:tcW w:w="2235" w:type="dxa"/>
            <w:vMerge/>
            <w:tcBorders>
              <w:right w:val="single" w:sz="4" w:space="0" w:color="auto"/>
            </w:tcBorders>
            <w:vAlign w:val="center"/>
          </w:tcPr>
          <w:p w14:paraId="2A144A32" w14:textId="77777777" w:rsidR="00261948" w:rsidRPr="00A964FF" w:rsidRDefault="00261948" w:rsidP="00261948">
            <w:pPr>
              <w:adjustRightInd w:val="0"/>
              <w:snapToGrid w:val="0"/>
              <w:jc w:val="center"/>
              <w:rPr>
                <w:rFonts w:ascii="Calibri" w:hAnsi="Calibri"/>
                <w:color w:val="auto"/>
                <w:szCs w:val="21"/>
              </w:rPr>
            </w:pPr>
          </w:p>
        </w:tc>
        <w:tc>
          <w:tcPr>
            <w:tcW w:w="3402" w:type="dxa"/>
            <w:tcBorders>
              <w:left w:val="single" w:sz="4" w:space="0" w:color="auto"/>
            </w:tcBorders>
            <w:vAlign w:val="center"/>
          </w:tcPr>
          <w:p w14:paraId="676F1B35" w14:textId="77777777" w:rsidR="00261948" w:rsidRPr="00A964FF" w:rsidRDefault="00261948" w:rsidP="00261948">
            <w:pPr>
              <w:spacing w:line="240" w:lineRule="atLeast"/>
              <w:jc w:val="center"/>
              <w:rPr>
                <w:rFonts w:ascii="Calibri" w:hAnsi="Calibri"/>
                <w:color w:val="auto"/>
                <w:szCs w:val="21"/>
              </w:rPr>
            </w:pPr>
            <w:r w:rsidRPr="00A964FF">
              <w:rPr>
                <w:rFonts w:ascii="Calibri" w:hAnsi="Calibri"/>
                <w:color w:val="auto"/>
                <w:szCs w:val="21"/>
              </w:rPr>
              <w:t>岸线方向</w:t>
            </w:r>
            <w:r w:rsidRPr="00A964FF">
              <w:rPr>
                <w:rFonts w:ascii="Calibri" w:hAnsi="Calibri"/>
                <w:color w:val="auto"/>
                <w:szCs w:val="21"/>
              </w:rPr>
              <w:t>/°</w:t>
            </w:r>
          </w:p>
        </w:tc>
        <w:tc>
          <w:tcPr>
            <w:tcW w:w="3260" w:type="dxa"/>
            <w:vAlign w:val="center"/>
          </w:tcPr>
          <w:p w14:paraId="2C739F31" w14:textId="77777777" w:rsidR="00261948" w:rsidRPr="00A964FF" w:rsidRDefault="00261948" w:rsidP="00261948">
            <w:pPr>
              <w:adjustRightInd w:val="0"/>
              <w:snapToGrid w:val="0"/>
              <w:jc w:val="center"/>
              <w:rPr>
                <w:rFonts w:ascii="Calibri" w:hAnsi="Calibri"/>
                <w:color w:val="auto"/>
                <w:szCs w:val="21"/>
              </w:rPr>
            </w:pPr>
            <w:r w:rsidRPr="00A964FF">
              <w:rPr>
                <w:rFonts w:ascii="Calibri" w:hAnsi="Calibri" w:hint="eastAsia"/>
                <w:color w:val="auto"/>
                <w:szCs w:val="21"/>
              </w:rPr>
              <w:t>/</w:t>
            </w:r>
          </w:p>
        </w:tc>
      </w:tr>
    </w:tbl>
    <w:p w14:paraId="4FF86248" w14:textId="77777777" w:rsidR="00261948" w:rsidRPr="00A964FF" w:rsidRDefault="00DC06C8" w:rsidP="0055605A">
      <w:pPr>
        <w:widowControl/>
        <w:spacing w:line="520" w:lineRule="exact"/>
        <w:ind w:firstLine="480"/>
        <w:rPr>
          <w:rFonts w:ascii="Calibri" w:hAnsi="Calibri"/>
          <w:b/>
          <w:color w:val="auto"/>
          <w:sz w:val="24"/>
        </w:rPr>
      </w:pPr>
      <w:r w:rsidRPr="00A964FF">
        <w:rPr>
          <w:rFonts w:ascii="Calibri" w:hAnsi="Calibri" w:hint="eastAsia"/>
          <w:b/>
          <w:color w:val="auto"/>
          <w:sz w:val="24"/>
        </w:rPr>
        <w:t>5</w:t>
      </w:r>
      <w:r w:rsidRPr="00A964FF">
        <w:rPr>
          <w:rFonts w:ascii="Calibri" w:hAnsi="Calibri" w:hint="eastAsia"/>
          <w:b/>
          <w:color w:val="auto"/>
          <w:sz w:val="24"/>
        </w:rPr>
        <w:t>、主要污染物估算模型计算结果</w:t>
      </w:r>
    </w:p>
    <w:p w14:paraId="06DF4BDC" w14:textId="77777777" w:rsidR="00DC06C8" w:rsidRDefault="00DC06C8" w:rsidP="00DC06C8">
      <w:pPr>
        <w:spacing w:line="520" w:lineRule="exact"/>
        <w:ind w:firstLineChars="200" w:firstLine="480"/>
        <w:jc w:val="left"/>
        <w:rPr>
          <w:rFonts w:ascii="Calibri" w:hAnsi="Calibri"/>
          <w:color w:val="auto"/>
          <w:sz w:val="24"/>
        </w:rPr>
      </w:pPr>
      <w:r w:rsidRPr="00A964FF">
        <w:rPr>
          <w:rFonts w:ascii="Calibri" w:hAnsi="Calibri" w:hint="eastAsia"/>
          <w:color w:val="auto"/>
          <w:sz w:val="24"/>
        </w:rPr>
        <w:t>根据</w:t>
      </w:r>
      <w:r w:rsidRPr="00A964FF">
        <w:rPr>
          <w:rFonts w:ascii="Calibri" w:hAnsi="Calibri" w:hint="eastAsia"/>
          <w:color w:val="auto"/>
          <w:sz w:val="24"/>
        </w:rPr>
        <w:t>AERSCREEN</w:t>
      </w:r>
      <w:r w:rsidRPr="00A964FF">
        <w:rPr>
          <w:rFonts w:ascii="Calibri" w:hAnsi="Calibri" w:hint="eastAsia"/>
          <w:color w:val="auto"/>
          <w:sz w:val="24"/>
        </w:rPr>
        <w:t>估算结果，各主要污染物对环境影响情况见表</w:t>
      </w:r>
      <w:r w:rsidRPr="00A964FF">
        <w:rPr>
          <w:rFonts w:ascii="Calibri" w:hAnsi="Calibri" w:hint="eastAsia"/>
          <w:color w:val="auto"/>
          <w:sz w:val="24"/>
        </w:rPr>
        <w:t>4</w:t>
      </w:r>
      <w:r w:rsidR="0097027F" w:rsidRPr="00A964FF">
        <w:rPr>
          <w:rFonts w:ascii="Calibri" w:hAnsi="Calibri" w:hint="eastAsia"/>
          <w:color w:val="auto"/>
          <w:sz w:val="24"/>
        </w:rPr>
        <w:t>.2</w:t>
      </w:r>
      <w:r w:rsidRPr="00A964FF">
        <w:rPr>
          <w:rFonts w:ascii="Calibri" w:hAnsi="Calibri" w:hint="eastAsia"/>
          <w:color w:val="auto"/>
          <w:sz w:val="24"/>
        </w:rPr>
        <w:t>-1</w:t>
      </w:r>
      <w:r w:rsidR="000657DF">
        <w:rPr>
          <w:rFonts w:ascii="Calibri" w:hAnsi="Calibri" w:hint="eastAsia"/>
          <w:color w:val="auto"/>
          <w:sz w:val="24"/>
        </w:rPr>
        <w:t>1</w:t>
      </w:r>
      <w:r w:rsidRPr="00A964FF">
        <w:rPr>
          <w:rFonts w:ascii="Calibri" w:hAnsi="Calibri" w:hint="eastAsia"/>
          <w:color w:val="auto"/>
          <w:sz w:val="24"/>
        </w:rPr>
        <w:t>。</w:t>
      </w:r>
    </w:p>
    <w:p w14:paraId="3F6DF962" w14:textId="77777777" w:rsidR="008948ED" w:rsidRDefault="008948ED" w:rsidP="00DC06C8">
      <w:pPr>
        <w:spacing w:line="520" w:lineRule="exact"/>
        <w:ind w:firstLineChars="200" w:firstLine="480"/>
        <w:jc w:val="left"/>
        <w:rPr>
          <w:rFonts w:ascii="Calibri" w:hAnsi="Calibri"/>
          <w:color w:val="auto"/>
          <w:sz w:val="24"/>
        </w:rPr>
      </w:pPr>
      <w:r>
        <w:rPr>
          <w:rFonts w:ascii="Calibri" w:hAnsi="Calibri"/>
          <w:color w:val="auto"/>
          <w:sz w:val="24"/>
        </w:rPr>
        <w:t>（</w:t>
      </w:r>
      <w:r>
        <w:rPr>
          <w:rFonts w:ascii="Calibri" w:hAnsi="Calibri" w:hint="eastAsia"/>
          <w:color w:val="auto"/>
          <w:sz w:val="24"/>
        </w:rPr>
        <w:t>1</w:t>
      </w:r>
      <w:r>
        <w:rPr>
          <w:rFonts w:ascii="Calibri" w:hAnsi="Calibri"/>
          <w:color w:val="auto"/>
          <w:sz w:val="24"/>
        </w:rPr>
        <w:t>）</w:t>
      </w:r>
      <w:r w:rsidR="00A06A90" w:rsidRPr="00A06A90">
        <w:rPr>
          <w:rFonts w:ascii="Calibri" w:hAnsi="Calibri" w:hint="eastAsia"/>
          <w:color w:val="auto"/>
          <w:sz w:val="24"/>
        </w:rPr>
        <w:t>聚合及聚合釜下料废气</w:t>
      </w:r>
    </w:p>
    <w:p w14:paraId="790502DC" w14:textId="77777777" w:rsidR="00931547" w:rsidRPr="00931547" w:rsidRDefault="008948ED" w:rsidP="00931547">
      <w:pPr>
        <w:pStyle w:val="00"/>
        <w:rPr>
          <w:rFonts w:ascii="Calibri" w:eastAsia="黑体" w:hAnsi="Calibri"/>
          <w:color w:val="auto"/>
        </w:rPr>
      </w:pPr>
      <w:r w:rsidRPr="008948ED">
        <w:rPr>
          <w:rFonts w:ascii="Calibri" w:eastAsia="黑体" w:hAnsi="Calibri" w:hint="eastAsia"/>
          <w:color w:val="auto"/>
        </w:rPr>
        <w:t>表</w:t>
      </w:r>
      <w:r w:rsidRPr="008948ED">
        <w:rPr>
          <w:rFonts w:ascii="Calibri" w:eastAsia="黑体" w:hAnsi="Calibri" w:hint="eastAsia"/>
          <w:color w:val="auto"/>
        </w:rPr>
        <w:t xml:space="preserve">4.2-11   </w:t>
      </w:r>
      <w:r>
        <w:rPr>
          <w:rFonts w:ascii="Calibri" w:eastAsia="黑体" w:hAnsi="Calibri"/>
          <w:color w:val="auto"/>
        </w:rPr>
        <w:t xml:space="preserve">      </w:t>
      </w:r>
      <w:r w:rsidR="00A06A90">
        <w:rPr>
          <w:rFonts w:ascii="Calibri" w:eastAsia="黑体" w:hAnsi="Calibri" w:hint="eastAsia"/>
          <w:color w:val="auto"/>
        </w:rPr>
        <w:t>聚合及聚合釜下料</w:t>
      </w:r>
      <w:r w:rsidRPr="008948ED">
        <w:rPr>
          <w:rFonts w:ascii="Calibri" w:eastAsia="黑体" w:hAnsi="Calibri" w:hint="eastAsia"/>
          <w:color w:val="auto"/>
        </w:rPr>
        <w:t>工序污染物排放预测结果</w:t>
      </w:r>
      <w:r w:rsidRPr="008948ED">
        <w:rPr>
          <w:rFonts w:ascii="Calibri" w:eastAsia="黑体" w:hAnsi="Calibri" w:hint="eastAsia"/>
          <w:color w:val="auto"/>
        </w:rPr>
        <w:t xml:space="preserve">  </w:t>
      </w: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ook w:val="04A0" w:firstRow="1" w:lastRow="0" w:firstColumn="1" w:lastColumn="0" w:noHBand="0" w:noVBand="1"/>
      </w:tblPr>
      <w:tblGrid>
        <w:gridCol w:w="1775"/>
        <w:gridCol w:w="1566"/>
        <w:gridCol w:w="1606"/>
        <w:gridCol w:w="2046"/>
        <w:gridCol w:w="1691"/>
        <w:gridCol w:w="16"/>
      </w:tblGrid>
      <w:tr w:rsidR="00181939" w:rsidRPr="00484A17" w14:paraId="5FCAD7A4" w14:textId="3FA2C54C" w:rsidTr="008F5F67">
        <w:trPr>
          <w:gridAfter w:val="1"/>
          <w:wAfter w:w="9" w:type="pct"/>
          <w:trHeight w:val="340"/>
        </w:trPr>
        <w:tc>
          <w:tcPr>
            <w:tcW w:w="1020" w:type="pct"/>
            <w:vMerge w:val="restart"/>
            <w:shd w:val="clear" w:color="auto" w:fill="FFFFFF"/>
            <w:vAlign w:val="center"/>
          </w:tcPr>
          <w:p w14:paraId="504B9F17" w14:textId="77777777" w:rsidR="00181939" w:rsidRPr="00484A17" w:rsidRDefault="00181939" w:rsidP="008948ED">
            <w:pPr>
              <w:jc w:val="center"/>
              <w:rPr>
                <w:rFonts w:asciiTheme="minorHAnsi" w:hAnsiTheme="minorHAnsi"/>
                <w:b/>
                <w:szCs w:val="21"/>
                <w:u w:val="single"/>
              </w:rPr>
            </w:pPr>
            <w:r w:rsidRPr="00484A17">
              <w:rPr>
                <w:rFonts w:asciiTheme="minorHAnsi" w:hAnsiTheme="minorHAnsi"/>
                <w:b/>
                <w:szCs w:val="21"/>
                <w:u w:val="single"/>
              </w:rPr>
              <w:t>下风向距离</w:t>
            </w:r>
          </w:p>
        </w:tc>
        <w:tc>
          <w:tcPr>
            <w:tcW w:w="3971" w:type="pct"/>
            <w:gridSpan w:val="4"/>
            <w:shd w:val="clear" w:color="auto" w:fill="FFFFFF"/>
            <w:vAlign w:val="center"/>
          </w:tcPr>
          <w:p w14:paraId="0023283A" w14:textId="77777777" w:rsidR="00181939" w:rsidRPr="00484A17" w:rsidRDefault="00181939" w:rsidP="008948ED">
            <w:pPr>
              <w:jc w:val="center"/>
              <w:rPr>
                <w:rFonts w:asciiTheme="minorHAnsi" w:hAnsiTheme="minorHAnsi"/>
                <w:b/>
                <w:color w:val="auto"/>
                <w:szCs w:val="21"/>
                <w:u w:val="single"/>
              </w:rPr>
            </w:pPr>
            <w:r w:rsidRPr="00484A17">
              <w:rPr>
                <w:rFonts w:asciiTheme="minorHAnsi" w:hAnsiTheme="minorHAnsi"/>
                <w:b/>
                <w:color w:val="auto"/>
                <w:szCs w:val="21"/>
                <w:u w:val="single"/>
              </w:rPr>
              <w:t>聚合</w:t>
            </w:r>
            <w:r w:rsidRPr="00484A17">
              <w:rPr>
                <w:rFonts w:asciiTheme="minorHAnsi" w:hAnsiTheme="minorHAnsi"/>
                <w:b/>
                <w:szCs w:val="21"/>
                <w:u w:val="single"/>
              </w:rPr>
              <w:t>及</w:t>
            </w:r>
            <w:r w:rsidRPr="00484A17">
              <w:rPr>
                <w:rFonts w:asciiTheme="minorHAnsi" w:hAnsiTheme="minorHAnsi"/>
                <w:b/>
                <w:color w:val="auto"/>
                <w:szCs w:val="21"/>
                <w:u w:val="single"/>
              </w:rPr>
              <w:t>聚合釜下料废气</w:t>
            </w:r>
          </w:p>
        </w:tc>
      </w:tr>
      <w:tr w:rsidR="00181939" w:rsidRPr="00484A17" w14:paraId="45869E4B" w14:textId="77777777" w:rsidTr="008F5F67">
        <w:trPr>
          <w:trHeight w:val="340"/>
        </w:trPr>
        <w:tc>
          <w:tcPr>
            <w:tcW w:w="1020" w:type="pct"/>
            <w:vMerge/>
            <w:shd w:val="clear" w:color="auto" w:fill="FFFFFF"/>
            <w:vAlign w:val="center"/>
          </w:tcPr>
          <w:p w14:paraId="03BF8C9E" w14:textId="77777777" w:rsidR="00181939" w:rsidRPr="00484A17" w:rsidRDefault="00181939" w:rsidP="00931547">
            <w:pPr>
              <w:jc w:val="center"/>
              <w:rPr>
                <w:rFonts w:asciiTheme="minorHAnsi" w:hAnsiTheme="minorHAnsi"/>
                <w:b/>
                <w:szCs w:val="21"/>
                <w:u w:val="single"/>
              </w:rPr>
            </w:pPr>
          </w:p>
        </w:tc>
        <w:tc>
          <w:tcPr>
            <w:tcW w:w="900" w:type="pct"/>
            <w:shd w:val="clear" w:color="auto" w:fill="FFFFFF"/>
            <w:vAlign w:val="center"/>
          </w:tcPr>
          <w:p w14:paraId="668249AF" w14:textId="77777777" w:rsidR="00181939" w:rsidRPr="00484A17" w:rsidRDefault="00181939" w:rsidP="00931547">
            <w:pPr>
              <w:rPr>
                <w:rFonts w:asciiTheme="minorHAnsi" w:hAnsiTheme="minorHAnsi"/>
                <w:b/>
                <w:szCs w:val="21"/>
                <w:u w:val="single"/>
              </w:rPr>
            </w:pPr>
            <w:r w:rsidRPr="00484A17">
              <w:rPr>
                <w:rFonts w:asciiTheme="minorHAnsi" w:hAnsiTheme="minorHAnsi"/>
                <w:b/>
                <w:szCs w:val="21"/>
                <w:u w:val="single"/>
              </w:rPr>
              <w:t>NH</w:t>
            </w:r>
            <w:r w:rsidRPr="00484A17">
              <w:rPr>
                <w:rFonts w:asciiTheme="minorHAnsi" w:hAnsiTheme="minorHAnsi"/>
                <w:b/>
                <w:szCs w:val="21"/>
                <w:u w:val="single"/>
                <w:vertAlign w:val="subscript"/>
              </w:rPr>
              <w:t>3</w:t>
            </w:r>
            <w:r w:rsidRPr="00484A17">
              <w:rPr>
                <w:rFonts w:asciiTheme="minorHAnsi" w:hAnsiTheme="minorHAnsi"/>
                <w:b/>
                <w:szCs w:val="21"/>
                <w:u w:val="single"/>
              </w:rPr>
              <w:t>浓度（</w:t>
            </w:r>
            <w:r w:rsidRPr="00484A17">
              <w:rPr>
                <w:rFonts w:asciiTheme="minorHAnsi" w:hAnsiTheme="minorHAnsi"/>
                <w:b/>
                <w:szCs w:val="21"/>
                <w:u w:val="single"/>
              </w:rPr>
              <w:t>μg/m³</w:t>
            </w:r>
            <w:r w:rsidRPr="00484A17">
              <w:rPr>
                <w:rFonts w:asciiTheme="minorHAnsi" w:hAnsiTheme="minorHAnsi"/>
                <w:b/>
                <w:szCs w:val="21"/>
                <w:u w:val="single"/>
              </w:rPr>
              <w:t>）</w:t>
            </w:r>
          </w:p>
        </w:tc>
        <w:tc>
          <w:tcPr>
            <w:tcW w:w="923" w:type="pct"/>
            <w:shd w:val="clear" w:color="auto" w:fill="FFFFFF"/>
            <w:vAlign w:val="center"/>
          </w:tcPr>
          <w:p w14:paraId="2F51B8EF" w14:textId="77777777" w:rsidR="00181939" w:rsidRPr="00484A17" w:rsidRDefault="00181939" w:rsidP="00931547">
            <w:pPr>
              <w:rPr>
                <w:rFonts w:asciiTheme="minorHAnsi" w:hAnsiTheme="minorHAnsi"/>
                <w:b/>
                <w:szCs w:val="21"/>
                <w:u w:val="single"/>
              </w:rPr>
            </w:pPr>
            <w:r w:rsidRPr="00484A17">
              <w:rPr>
                <w:rFonts w:asciiTheme="minorHAnsi" w:hAnsiTheme="minorHAnsi"/>
                <w:b/>
                <w:szCs w:val="21"/>
                <w:u w:val="single"/>
              </w:rPr>
              <w:t>NH</w:t>
            </w:r>
            <w:r w:rsidRPr="00484A17">
              <w:rPr>
                <w:rFonts w:asciiTheme="minorHAnsi" w:hAnsiTheme="minorHAnsi"/>
                <w:b/>
                <w:szCs w:val="21"/>
                <w:u w:val="single"/>
                <w:vertAlign w:val="subscript"/>
              </w:rPr>
              <w:t>3</w:t>
            </w:r>
            <w:r w:rsidRPr="00484A17">
              <w:rPr>
                <w:rFonts w:asciiTheme="minorHAnsi" w:hAnsiTheme="minorHAnsi"/>
                <w:b/>
                <w:szCs w:val="21"/>
                <w:u w:val="single"/>
              </w:rPr>
              <w:t>占标率（</w:t>
            </w:r>
            <w:r w:rsidRPr="00484A17">
              <w:rPr>
                <w:rFonts w:asciiTheme="minorHAnsi" w:hAnsiTheme="minorHAnsi"/>
                <w:b/>
                <w:szCs w:val="21"/>
                <w:u w:val="single"/>
              </w:rPr>
              <w:t>%</w:t>
            </w:r>
            <w:r w:rsidRPr="00484A17">
              <w:rPr>
                <w:rFonts w:asciiTheme="minorHAnsi" w:hAnsiTheme="minorHAnsi"/>
                <w:b/>
                <w:szCs w:val="21"/>
                <w:u w:val="single"/>
              </w:rPr>
              <w:t>）</w:t>
            </w:r>
          </w:p>
        </w:tc>
        <w:tc>
          <w:tcPr>
            <w:tcW w:w="1176" w:type="pct"/>
            <w:shd w:val="clear" w:color="auto" w:fill="FFFFFF"/>
            <w:vAlign w:val="center"/>
          </w:tcPr>
          <w:p w14:paraId="6D30740D" w14:textId="77777777" w:rsidR="00181939" w:rsidRPr="00484A17" w:rsidRDefault="00181939" w:rsidP="00931547">
            <w:pPr>
              <w:rPr>
                <w:rFonts w:asciiTheme="minorHAnsi" w:hAnsiTheme="minorHAnsi"/>
                <w:b/>
                <w:szCs w:val="21"/>
                <w:u w:val="single"/>
              </w:rPr>
            </w:pPr>
            <w:r w:rsidRPr="00484A17">
              <w:rPr>
                <w:rFonts w:asciiTheme="minorHAnsi" w:hAnsiTheme="minorHAnsi"/>
                <w:b/>
                <w:szCs w:val="21"/>
                <w:u w:val="single"/>
              </w:rPr>
              <w:t>NMHC</w:t>
            </w:r>
            <w:r w:rsidRPr="00484A17">
              <w:rPr>
                <w:rFonts w:asciiTheme="minorHAnsi" w:hAnsiTheme="minorHAnsi"/>
                <w:b/>
                <w:szCs w:val="21"/>
                <w:u w:val="single"/>
              </w:rPr>
              <w:t>浓度（</w:t>
            </w:r>
            <w:r w:rsidRPr="00484A17">
              <w:rPr>
                <w:rFonts w:asciiTheme="minorHAnsi" w:hAnsiTheme="minorHAnsi"/>
                <w:b/>
                <w:szCs w:val="21"/>
                <w:u w:val="single"/>
              </w:rPr>
              <w:t>μg/m³</w:t>
            </w:r>
            <w:r w:rsidRPr="00484A17">
              <w:rPr>
                <w:rFonts w:asciiTheme="minorHAnsi" w:hAnsiTheme="minorHAnsi"/>
                <w:b/>
                <w:szCs w:val="21"/>
                <w:u w:val="single"/>
              </w:rPr>
              <w:t>）</w:t>
            </w:r>
          </w:p>
        </w:tc>
        <w:tc>
          <w:tcPr>
            <w:tcW w:w="981" w:type="pct"/>
            <w:gridSpan w:val="2"/>
            <w:shd w:val="clear" w:color="auto" w:fill="FFFFFF"/>
            <w:vAlign w:val="center"/>
          </w:tcPr>
          <w:p w14:paraId="76E0FEA5" w14:textId="77777777" w:rsidR="00181939" w:rsidRPr="00484A17" w:rsidRDefault="00181939" w:rsidP="00931547">
            <w:pPr>
              <w:rPr>
                <w:rFonts w:asciiTheme="minorHAnsi" w:hAnsiTheme="minorHAnsi"/>
                <w:b/>
                <w:szCs w:val="21"/>
                <w:u w:val="single"/>
              </w:rPr>
            </w:pPr>
            <w:r w:rsidRPr="00484A17">
              <w:rPr>
                <w:rFonts w:asciiTheme="minorHAnsi" w:hAnsiTheme="minorHAnsi"/>
                <w:b/>
                <w:szCs w:val="21"/>
                <w:u w:val="single"/>
              </w:rPr>
              <w:t>NMHC</w:t>
            </w:r>
            <w:r w:rsidRPr="00484A17">
              <w:rPr>
                <w:rFonts w:asciiTheme="minorHAnsi" w:hAnsiTheme="minorHAnsi"/>
                <w:b/>
                <w:szCs w:val="21"/>
                <w:u w:val="single"/>
              </w:rPr>
              <w:t>占标率（</w:t>
            </w:r>
            <w:r w:rsidRPr="00484A17">
              <w:rPr>
                <w:rFonts w:asciiTheme="minorHAnsi" w:hAnsiTheme="minorHAnsi"/>
                <w:b/>
                <w:szCs w:val="21"/>
                <w:u w:val="single"/>
              </w:rPr>
              <w:t>%</w:t>
            </w:r>
            <w:r w:rsidRPr="00484A17">
              <w:rPr>
                <w:rFonts w:asciiTheme="minorHAnsi" w:hAnsiTheme="minorHAnsi"/>
                <w:b/>
                <w:szCs w:val="21"/>
                <w:u w:val="single"/>
              </w:rPr>
              <w:t>）</w:t>
            </w:r>
          </w:p>
        </w:tc>
      </w:tr>
      <w:tr w:rsidR="00181939" w:rsidRPr="00484A17" w14:paraId="794DC5B2" w14:textId="77777777" w:rsidTr="008F5F67">
        <w:trPr>
          <w:trHeight w:val="340"/>
        </w:trPr>
        <w:tc>
          <w:tcPr>
            <w:tcW w:w="1020" w:type="pct"/>
            <w:shd w:val="clear" w:color="auto" w:fill="FFFFFF"/>
            <w:vAlign w:val="center"/>
          </w:tcPr>
          <w:p w14:paraId="587387B9"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1.0</w:t>
            </w:r>
          </w:p>
        </w:tc>
        <w:tc>
          <w:tcPr>
            <w:tcW w:w="900" w:type="pct"/>
            <w:shd w:val="clear" w:color="auto" w:fill="FFFFFF"/>
            <w:vAlign w:val="center"/>
          </w:tcPr>
          <w:p w14:paraId="632AB44C"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0.0000</w:t>
            </w:r>
          </w:p>
        </w:tc>
        <w:tc>
          <w:tcPr>
            <w:tcW w:w="923" w:type="pct"/>
            <w:shd w:val="clear" w:color="auto" w:fill="FFFFFF"/>
            <w:vAlign w:val="center"/>
          </w:tcPr>
          <w:p w14:paraId="7853BD9E"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0.0000</w:t>
            </w:r>
          </w:p>
        </w:tc>
        <w:tc>
          <w:tcPr>
            <w:tcW w:w="1176" w:type="pct"/>
            <w:shd w:val="clear" w:color="auto" w:fill="FFFFFF"/>
            <w:vAlign w:val="center"/>
          </w:tcPr>
          <w:p w14:paraId="3F9E59D3"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0.0000</w:t>
            </w:r>
          </w:p>
        </w:tc>
        <w:tc>
          <w:tcPr>
            <w:tcW w:w="981" w:type="pct"/>
            <w:gridSpan w:val="2"/>
            <w:shd w:val="clear" w:color="auto" w:fill="FFFFFF"/>
            <w:vAlign w:val="center"/>
          </w:tcPr>
          <w:p w14:paraId="38E8BE35"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0.0000</w:t>
            </w:r>
          </w:p>
        </w:tc>
      </w:tr>
      <w:tr w:rsidR="008F5F67" w:rsidRPr="00484A17" w14:paraId="143DB2AE" w14:textId="77777777" w:rsidTr="008F5F67">
        <w:trPr>
          <w:trHeight w:val="340"/>
        </w:trPr>
        <w:tc>
          <w:tcPr>
            <w:tcW w:w="1020" w:type="pct"/>
            <w:shd w:val="clear" w:color="auto" w:fill="FFFFFF"/>
            <w:vAlign w:val="center"/>
          </w:tcPr>
          <w:p w14:paraId="37A6254A"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25.0</w:t>
            </w:r>
          </w:p>
        </w:tc>
        <w:tc>
          <w:tcPr>
            <w:tcW w:w="900" w:type="pct"/>
            <w:shd w:val="clear" w:color="auto" w:fill="FFFFFF"/>
            <w:vAlign w:val="center"/>
          </w:tcPr>
          <w:p w14:paraId="7BF169D0" w14:textId="5B7527D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0.0084</w:t>
            </w:r>
          </w:p>
        </w:tc>
        <w:tc>
          <w:tcPr>
            <w:tcW w:w="923" w:type="pct"/>
            <w:shd w:val="clear" w:color="auto" w:fill="FFFFFF"/>
            <w:vAlign w:val="center"/>
          </w:tcPr>
          <w:p w14:paraId="777539E9" w14:textId="765A32E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0.0042</w:t>
            </w:r>
          </w:p>
        </w:tc>
        <w:tc>
          <w:tcPr>
            <w:tcW w:w="1176" w:type="pct"/>
            <w:shd w:val="clear" w:color="auto" w:fill="FFFFFF"/>
            <w:vAlign w:val="center"/>
          </w:tcPr>
          <w:p w14:paraId="673B8878" w14:textId="790FCD9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0.9327</w:t>
            </w:r>
          </w:p>
        </w:tc>
        <w:tc>
          <w:tcPr>
            <w:tcW w:w="981" w:type="pct"/>
            <w:gridSpan w:val="2"/>
            <w:shd w:val="clear" w:color="auto" w:fill="FFFFFF"/>
            <w:vAlign w:val="center"/>
          </w:tcPr>
          <w:p w14:paraId="71EF41ED" w14:textId="6DC3EAE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0.0466</w:t>
            </w:r>
          </w:p>
        </w:tc>
      </w:tr>
      <w:tr w:rsidR="008F5F67" w:rsidRPr="00484A17" w14:paraId="52A8B783" w14:textId="77777777" w:rsidTr="008F5F67">
        <w:trPr>
          <w:trHeight w:val="340"/>
        </w:trPr>
        <w:tc>
          <w:tcPr>
            <w:tcW w:w="1020" w:type="pct"/>
            <w:shd w:val="clear" w:color="auto" w:fill="FFFFFF"/>
            <w:vAlign w:val="center"/>
          </w:tcPr>
          <w:p w14:paraId="1DFC843F"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50.0</w:t>
            </w:r>
          </w:p>
        </w:tc>
        <w:tc>
          <w:tcPr>
            <w:tcW w:w="900" w:type="pct"/>
            <w:shd w:val="clear" w:color="auto" w:fill="FFFFFF"/>
            <w:vAlign w:val="center"/>
          </w:tcPr>
          <w:p w14:paraId="7B6A1FDA" w14:textId="52C5A5D9"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0.0172</w:t>
            </w:r>
          </w:p>
        </w:tc>
        <w:tc>
          <w:tcPr>
            <w:tcW w:w="923" w:type="pct"/>
            <w:shd w:val="clear" w:color="auto" w:fill="FFFFFF"/>
            <w:vAlign w:val="center"/>
          </w:tcPr>
          <w:p w14:paraId="3154EC87" w14:textId="3C38CCC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0.0086</w:t>
            </w:r>
          </w:p>
        </w:tc>
        <w:tc>
          <w:tcPr>
            <w:tcW w:w="1176" w:type="pct"/>
            <w:shd w:val="clear" w:color="auto" w:fill="FFFFFF"/>
            <w:vAlign w:val="center"/>
          </w:tcPr>
          <w:p w14:paraId="2202B41D" w14:textId="2796C99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1.9042</w:t>
            </w:r>
          </w:p>
        </w:tc>
        <w:tc>
          <w:tcPr>
            <w:tcW w:w="981" w:type="pct"/>
            <w:gridSpan w:val="2"/>
            <w:shd w:val="clear" w:color="auto" w:fill="FFFFFF"/>
            <w:vAlign w:val="center"/>
          </w:tcPr>
          <w:p w14:paraId="5CC4716F" w14:textId="3707724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0.0952</w:t>
            </w:r>
          </w:p>
        </w:tc>
      </w:tr>
      <w:tr w:rsidR="008F5F67" w:rsidRPr="00484A17" w14:paraId="4799453B" w14:textId="77777777" w:rsidTr="008F5F67">
        <w:trPr>
          <w:trHeight w:val="340"/>
        </w:trPr>
        <w:tc>
          <w:tcPr>
            <w:tcW w:w="1020" w:type="pct"/>
            <w:shd w:val="clear" w:color="auto" w:fill="FFFFFF"/>
            <w:vAlign w:val="center"/>
          </w:tcPr>
          <w:p w14:paraId="2D94F229"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75.0</w:t>
            </w:r>
          </w:p>
        </w:tc>
        <w:tc>
          <w:tcPr>
            <w:tcW w:w="900" w:type="pct"/>
            <w:shd w:val="clear" w:color="auto" w:fill="FFFFFF"/>
            <w:vAlign w:val="center"/>
          </w:tcPr>
          <w:p w14:paraId="461AEA02" w14:textId="0CC8877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0.0403</w:t>
            </w:r>
          </w:p>
        </w:tc>
        <w:tc>
          <w:tcPr>
            <w:tcW w:w="923" w:type="pct"/>
            <w:shd w:val="clear" w:color="auto" w:fill="FFFFFF"/>
            <w:vAlign w:val="center"/>
          </w:tcPr>
          <w:p w14:paraId="119023C6" w14:textId="33540F6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0.0202</w:t>
            </w:r>
          </w:p>
        </w:tc>
        <w:tc>
          <w:tcPr>
            <w:tcW w:w="1176" w:type="pct"/>
            <w:shd w:val="clear" w:color="auto" w:fill="FFFFFF"/>
            <w:vAlign w:val="center"/>
          </w:tcPr>
          <w:p w14:paraId="61B91C9F" w14:textId="15C9C0C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4.4538</w:t>
            </w:r>
          </w:p>
        </w:tc>
        <w:tc>
          <w:tcPr>
            <w:tcW w:w="981" w:type="pct"/>
            <w:gridSpan w:val="2"/>
            <w:shd w:val="clear" w:color="auto" w:fill="FFFFFF"/>
            <w:vAlign w:val="center"/>
          </w:tcPr>
          <w:p w14:paraId="158BFAB9" w14:textId="0FAEE26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0.2227</w:t>
            </w:r>
          </w:p>
        </w:tc>
      </w:tr>
      <w:tr w:rsidR="008F5F67" w:rsidRPr="00484A17" w14:paraId="3FDEFAEB" w14:textId="77777777" w:rsidTr="008F5F67">
        <w:trPr>
          <w:trHeight w:val="340"/>
        </w:trPr>
        <w:tc>
          <w:tcPr>
            <w:tcW w:w="1020" w:type="pct"/>
            <w:shd w:val="clear" w:color="auto" w:fill="FFFFFF"/>
            <w:vAlign w:val="center"/>
          </w:tcPr>
          <w:p w14:paraId="5E01C485"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100.0</w:t>
            </w:r>
          </w:p>
        </w:tc>
        <w:tc>
          <w:tcPr>
            <w:tcW w:w="900" w:type="pct"/>
            <w:shd w:val="clear" w:color="auto" w:fill="FFFFFF"/>
            <w:vAlign w:val="center"/>
          </w:tcPr>
          <w:p w14:paraId="04DD053A" w14:textId="0F1502F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0.0466</w:t>
            </w:r>
          </w:p>
        </w:tc>
        <w:tc>
          <w:tcPr>
            <w:tcW w:w="923" w:type="pct"/>
            <w:shd w:val="clear" w:color="auto" w:fill="FFFFFF"/>
            <w:vAlign w:val="center"/>
          </w:tcPr>
          <w:p w14:paraId="2E1E2C8E" w14:textId="60705EC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0.0233</w:t>
            </w:r>
          </w:p>
        </w:tc>
        <w:tc>
          <w:tcPr>
            <w:tcW w:w="1176" w:type="pct"/>
            <w:shd w:val="clear" w:color="auto" w:fill="FFFFFF"/>
            <w:vAlign w:val="center"/>
          </w:tcPr>
          <w:p w14:paraId="56A01D0D" w14:textId="3BCF251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5.1439</w:t>
            </w:r>
          </w:p>
        </w:tc>
        <w:tc>
          <w:tcPr>
            <w:tcW w:w="981" w:type="pct"/>
            <w:gridSpan w:val="2"/>
            <w:shd w:val="clear" w:color="auto" w:fill="FFFFFF"/>
            <w:vAlign w:val="center"/>
          </w:tcPr>
          <w:p w14:paraId="578750EA" w14:textId="3C25536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0.2572</w:t>
            </w:r>
          </w:p>
        </w:tc>
      </w:tr>
      <w:tr w:rsidR="008F5F67" w:rsidRPr="00484A17" w14:paraId="116B693A" w14:textId="77777777" w:rsidTr="008F5F67">
        <w:trPr>
          <w:trHeight w:val="340"/>
        </w:trPr>
        <w:tc>
          <w:tcPr>
            <w:tcW w:w="1020" w:type="pct"/>
            <w:shd w:val="clear" w:color="auto" w:fill="FFFFFF"/>
            <w:vAlign w:val="center"/>
          </w:tcPr>
          <w:p w14:paraId="684CD040"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105.0</w:t>
            </w:r>
          </w:p>
        </w:tc>
        <w:tc>
          <w:tcPr>
            <w:tcW w:w="900" w:type="pct"/>
            <w:shd w:val="clear" w:color="auto" w:fill="FFFFFF"/>
            <w:vAlign w:val="center"/>
          </w:tcPr>
          <w:p w14:paraId="65DE2102" w14:textId="03545E2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0.0467</w:t>
            </w:r>
          </w:p>
        </w:tc>
        <w:tc>
          <w:tcPr>
            <w:tcW w:w="923" w:type="pct"/>
            <w:shd w:val="clear" w:color="auto" w:fill="FFFFFF"/>
            <w:vAlign w:val="center"/>
          </w:tcPr>
          <w:p w14:paraId="15A529F0" w14:textId="4F216709"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0.0233</w:t>
            </w:r>
          </w:p>
        </w:tc>
        <w:tc>
          <w:tcPr>
            <w:tcW w:w="1176" w:type="pct"/>
            <w:shd w:val="clear" w:color="auto" w:fill="FFFFFF"/>
            <w:vAlign w:val="center"/>
          </w:tcPr>
          <w:p w14:paraId="7C46985A" w14:textId="2DA04EE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5.1555</w:t>
            </w:r>
          </w:p>
        </w:tc>
        <w:tc>
          <w:tcPr>
            <w:tcW w:w="981" w:type="pct"/>
            <w:gridSpan w:val="2"/>
            <w:shd w:val="clear" w:color="auto" w:fill="FFFFFF"/>
            <w:vAlign w:val="center"/>
          </w:tcPr>
          <w:p w14:paraId="3B4FAF6E" w14:textId="4F8BFA3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0.2578</w:t>
            </w:r>
          </w:p>
        </w:tc>
      </w:tr>
      <w:tr w:rsidR="008F5F67" w:rsidRPr="00484A17" w14:paraId="744EC7FB" w14:textId="77777777" w:rsidTr="008F5F67">
        <w:trPr>
          <w:trHeight w:val="340"/>
        </w:trPr>
        <w:tc>
          <w:tcPr>
            <w:tcW w:w="1020" w:type="pct"/>
            <w:shd w:val="clear" w:color="auto" w:fill="FFFFFF"/>
            <w:vAlign w:val="center"/>
          </w:tcPr>
          <w:p w14:paraId="60B07EAE"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200.0</w:t>
            </w:r>
          </w:p>
        </w:tc>
        <w:tc>
          <w:tcPr>
            <w:tcW w:w="900" w:type="pct"/>
            <w:shd w:val="clear" w:color="auto" w:fill="FFFFFF"/>
            <w:vAlign w:val="center"/>
          </w:tcPr>
          <w:p w14:paraId="6DF8C448" w14:textId="7B8DCA6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0.0343</w:t>
            </w:r>
          </w:p>
        </w:tc>
        <w:tc>
          <w:tcPr>
            <w:tcW w:w="923" w:type="pct"/>
            <w:shd w:val="clear" w:color="auto" w:fill="FFFFFF"/>
            <w:vAlign w:val="center"/>
          </w:tcPr>
          <w:p w14:paraId="7B8EEDA5" w14:textId="6E54FD8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0.0171</w:t>
            </w:r>
          </w:p>
        </w:tc>
        <w:tc>
          <w:tcPr>
            <w:tcW w:w="1176" w:type="pct"/>
            <w:shd w:val="clear" w:color="auto" w:fill="FFFFFF"/>
            <w:vAlign w:val="center"/>
          </w:tcPr>
          <w:p w14:paraId="353FDDEF" w14:textId="17F8781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3.7834</w:t>
            </w:r>
          </w:p>
        </w:tc>
        <w:tc>
          <w:tcPr>
            <w:tcW w:w="981" w:type="pct"/>
            <w:gridSpan w:val="2"/>
            <w:shd w:val="clear" w:color="auto" w:fill="FFFFFF"/>
            <w:vAlign w:val="center"/>
          </w:tcPr>
          <w:p w14:paraId="6E31F190" w14:textId="7C50A38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0.1892</w:t>
            </w:r>
          </w:p>
        </w:tc>
      </w:tr>
      <w:tr w:rsidR="008F5F67" w:rsidRPr="00484A17" w14:paraId="45555D03" w14:textId="77777777" w:rsidTr="008F5F67">
        <w:trPr>
          <w:trHeight w:val="340"/>
        </w:trPr>
        <w:tc>
          <w:tcPr>
            <w:tcW w:w="1020" w:type="pct"/>
            <w:shd w:val="clear" w:color="auto" w:fill="FFFFFF"/>
            <w:vAlign w:val="center"/>
          </w:tcPr>
          <w:p w14:paraId="0D5AE7F1"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300.0</w:t>
            </w:r>
          </w:p>
        </w:tc>
        <w:tc>
          <w:tcPr>
            <w:tcW w:w="900" w:type="pct"/>
            <w:shd w:val="clear" w:color="auto" w:fill="FFFFFF"/>
            <w:vAlign w:val="center"/>
          </w:tcPr>
          <w:p w14:paraId="7380B07C" w14:textId="49042A3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0.0251</w:t>
            </w:r>
          </w:p>
        </w:tc>
        <w:tc>
          <w:tcPr>
            <w:tcW w:w="923" w:type="pct"/>
            <w:shd w:val="clear" w:color="auto" w:fill="FFFFFF"/>
            <w:vAlign w:val="center"/>
          </w:tcPr>
          <w:p w14:paraId="2AFF7E22" w14:textId="53A2DB2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0.0126</w:t>
            </w:r>
          </w:p>
        </w:tc>
        <w:tc>
          <w:tcPr>
            <w:tcW w:w="1176" w:type="pct"/>
            <w:shd w:val="clear" w:color="auto" w:fill="FFFFFF"/>
            <w:vAlign w:val="center"/>
          </w:tcPr>
          <w:p w14:paraId="2696A636" w14:textId="6D27D4D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2.7760</w:t>
            </w:r>
          </w:p>
        </w:tc>
        <w:tc>
          <w:tcPr>
            <w:tcW w:w="981" w:type="pct"/>
            <w:gridSpan w:val="2"/>
            <w:shd w:val="clear" w:color="auto" w:fill="FFFFFF"/>
            <w:vAlign w:val="center"/>
          </w:tcPr>
          <w:p w14:paraId="7C732082" w14:textId="1C4BB98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0.1388</w:t>
            </w:r>
          </w:p>
        </w:tc>
      </w:tr>
      <w:tr w:rsidR="008F5F67" w:rsidRPr="00484A17" w14:paraId="76704084" w14:textId="77777777" w:rsidTr="008F5F67">
        <w:trPr>
          <w:trHeight w:val="340"/>
        </w:trPr>
        <w:tc>
          <w:tcPr>
            <w:tcW w:w="1020" w:type="pct"/>
            <w:shd w:val="clear" w:color="auto" w:fill="FFFFFF"/>
            <w:vAlign w:val="center"/>
          </w:tcPr>
          <w:p w14:paraId="76DE26B6"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400.0</w:t>
            </w:r>
          </w:p>
        </w:tc>
        <w:tc>
          <w:tcPr>
            <w:tcW w:w="900" w:type="pct"/>
            <w:shd w:val="clear" w:color="auto" w:fill="FFFFFF"/>
            <w:vAlign w:val="center"/>
          </w:tcPr>
          <w:p w14:paraId="4380002A" w14:textId="032D57C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0.0202</w:t>
            </w:r>
          </w:p>
        </w:tc>
        <w:tc>
          <w:tcPr>
            <w:tcW w:w="923" w:type="pct"/>
            <w:shd w:val="clear" w:color="auto" w:fill="FFFFFF"/>
            <w:vAlign w:val="center"/>
          </w:tcPr>
          <w:p w14:paraId="20932267" w14:textId="1FFFCC8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0.0101</w:t>
            </w:r>
          </w:p>
        </w:tc>
        <w:tc>
          <w:tcPr>
            <w:tcW w:w="1176" w:type="pct"/>
            <w:shd w:val="clear" w:color="auto" w:fill="FFFFFF"/>
            <w:vAlign w:val="center"/>
          </w:tcPr>
          <w:p w14:paraId="479B8669" w14:textId="1DFA17D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2.2340</w:t>
            </w:r>
          </w:p>
        </w:tc>
        <w:tc>
          <w:tcPr>
            <w:tcW w:w="981" w:type="pct"/>
            <w:gridSpan w:val="2"/>
            <w:shd w:val="clear" w:color="auto" w:fill="FFFFFF"/>
            <w:vAlign w:val="center"/>
          </w:tcPr>
          <w:p w14:paraId="34803E71" w14:textId="7A2F197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0.1117</w:t>
            </w:r>
          </w:p>
        </w:tc>
      </w:tr>
      <w:tr w:rsidR="008F5F67" w:rsidRPr="00484A17" w14:paraId="67115972" w14:textId="77777777" w:rsidTr="008F5F67">
        <w:trPr>
          <w:trHeight w:val="340"/>
        </w:trPr>
        <w:tc>
          <w:tcPr>
            <w:tcW w:w="1020" w:type="pct"/>
            <w:shd w:val="clear" w:color="auto" w:fill="FFFFFF"/>
            <w:vAlign w:val="center"/>
          </w:tcPr>
          <w:p w14:paraId="4B67F220"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500.0</w:t>
            </w:r>
          </w:p>
        </w:tc>
        <w:tc>
          <w:tcPr>
            <w:tcW w:w="900" w:type="pct"/>
            <w:shd w:val="clear" w:color="auto" w:fill="FFFFFF"/>
            <w:vAlign w:val="center"/>
          </w:tcPr>
          <w:p w14:paraId="6DC09E4C" w14:textId="315AFA5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0.0170</w:t>
            </w:r>
          </w:p>
        </w:tc>
        <w:tc>
          <w:tcPr>
            <w:tcW w:w="923" w:type="pct"/>
            <w:shd w:val="clear" w:color="auto" w:fill="FFFFFF"/>
            <w:vAlign w:val="center"/>
          </w:tcPr>
          <w:p w14:paraId="1185C04D" w14:textId="6096253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0.0085</w:t>
            </w:r>
          </w:p>
        </w:tc>
        <w:tc>
          <w:tcPr>
            <w:tcW w:w="1176" w:type="pct"/>
            <w:shd w:val="clear" w:color="auto" w:fill="FFFFFF"/>
            <w:vAlign w:val="center"/>
          </w:tcPr>
          <w:p w14:paraId="532EF2A8" w14:textId="46BC9796"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1.8831</w:t>
            </w:r>
          </w:p>
        </w:tc>
        <w:tc>
          <w:tcPr>
            <w:tcW w:w="981" w:type="pct"/>
            <w:gridSpan w:val="2"/>
            <w:shd w:val="clear" w:color="auto" w:fill="FFFFFF"/>
            <w:vAlign w:val="center"/>
          </w:tcPr>
          <w:p w14:paraId="4B200912" w14:textId="25B50D6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0.0942</w:t>
            </w:r>
          </w:p>
        </w:tc>
      </w:tr>
      <w:tr w:rsidR="008F5F67" w:rsidRPr="00484A17" w14:paraId="3B879A0F" w14:textId="77777777" w:rsidTr="008F5F67">
        <w:trPr>
          <w:trHeight w:val="340"/>
        </w:trPr>
        <w:tc>
          <w:tcPr>
            <w:tcW w:w="1020" w:type="pct"/>
            <w:shd w:val="clear" w:color="auto" w:fill="FFFFFF"/>
            <w:vAlign w:val="center"/>
          </w:tcPr>
          <w:p w14:paraId="1FA169F2"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600.0</w:t>
            </w:r>
          </w:p>
        </w:tc>
        <w:tc>
          <w:tcPr>
            <w:tcW w:w="900" w:type="pct"/>
            <w:shd w:val="clear" w:color="auto" w:fill="FFFFFF"/>
            <w:vAlign w:val="center"/>
          </w:tcPr>
          <w:p w14:paraId="0E6A223D" w14:textId="210ABC4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0.0149</w:t>
            </w:r>
          </w:p>
        </w:tc>
        <w:tc>
          <w:tcPr>
            <w:tcW w:w="923" w:type="pct"/>
            <w:shd w:val="clear" w:color="auto" w:fill="FFFFFF"/>
            <w:vAlign w:val="center"/>
          </w:tcPr>
          <w:p w14:paraId="18B02FEA" w14:textId="678D802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0.0074</w:t>
            </w:r>
          </w:p>
        </w:tc>
        <w:tc>
          <w:tcPr>
            <w:tcW w:w="1176" w:type="pct"/>
            <w:shd w:val="clear" w:color="auto" w:fill="FFFFFF"/>
            <w:vAlign w:val="center"/>
          </w:tcPr>
          <w:p w14:paraId="3A2AEEDD" w14:textId="1335870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1.6426</w:t>
            </w:r>
          </w:p>
        </w:tc>
        <w:tc>
          <w:tcPr>
            <w:tcW w:w="981" w:type="pct"/>
            <w:gridSpan w:val="2"/>
            <w:shd w:val="clear" w:color="auto" w:fill="FFFFFF"/>
            <w:vAlign w:val="center"/>
          </w:tcPr>
          <w:p w14:paraId="1C1A595F" w14:textId="647F392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0.0821</w:t>
            </w:r>
          </w:p>
        </w:tc>
      </w:tr>
      <w:tr w:rsidR="008F5F67" w:rsidRPr="00484A17" w14:paraId="3865314C" w14:textId="77777777" w:rsidTr="008F5F67">
        <w:trPr>
          <w:trHeight w:val="340"/>
        </w:trPr>
        <w:tc>
          <w:tcPr>
            <w:tcW w:w="1020" w:type="pct"/>
            <w:shd w:val="clear" w:color="auto" w:fill="FFFFFF"/>
            <w:vAlign w:val="center"/>
          </w:tcPr>
          <w:p w14:paraId="5C2E0D9C"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700.0</w:t>
            </w:r>
          </w:p>
        </w:tc>
        <w:tc>
          <w:tcPr>
            <w:tcW w:w="900" w:type="pct"/>
            <w:shd w:val="clear" w:color="auto" w:fill="FFFFFF"/>
            <w:vAlign w:val="center"/>
          </w:tcPr>
          <w:p w14:paraId="6DCD038B" w14:textId="3EB712F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0.0138</w:t>
            </w:r>
          </w:p>
        </w:tc>
        <w:tc>
          <w:tcPr>
            <w:tcW w:w="923" w:type="pct"/>
            <w:shd w:val="clear" w:color="auto" w:fill="FFFFFF"/>
            <w:vAlign w:val="center"/>
          </w:tcPr>
          <w:p w14:paraId="6D0DDE95" w14:textId="50F6D39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0.0069</w:t>
            </w:r>
          </w:p>
        </w:tc>
        <w:tc>
          <w:tcPr>
            <w:tcW w:w="1176" w:type="pct"/>
            <w:shd w:val="clear" w:color="auto" w:fill="FFFFFF"/>
            <w:vAlign w:val="center"/>
          </w:tcPr>
          <w:p w14:paraId="4820FA55" w14:textId="186874D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1.5187</w:t>
            </w:r>
          </w:p>
        </w:tc>
        <w:tc>
          <w:tcPr>
            <w:tcW w:w="981" w:type="pct"/>
            <w:gridSpan w:val="2"/>
            <w:shd w:val="clear" w:color="auto" w:fill="FFFFFF"/>
            <w:vAlign w:val="center"/>
          </w:tcPr>
          <w:p w14:paraId="343060A0" w14:textId="6DBA7A8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0.0759</w:t>
            </w:r>
          </w:p>
        </w:tc>
      </w:tr>
      <w:tr w:rsidR="008F5F67" w:rsidRPr="00484A17" w14:paraId="0E2ADB26" w14:textId="77777777" w:rsidTr="008F5F67">
        <w:trPr>
          <w:trHeight w:val="340"/>
        </w:trPr>
        <w:tc>
          <w:tcPr>
            <w:tcW w:w="1020" w:type="pct"/>
            <w:shd w:val="clear" w:color="auto" w:fill="FFFFFF"/>
            <w:vAlign w:val="center"/>
          </w:tcPr>
          <w:p w14:paraId="1D20F911"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800.0</w:t>
            </w:r>
          </w:p>
        </w:tc>
        <w:tc>
          <w:tcPr>
            <w:tcW w:w="900" w:type="pct"/>
            <w:shd w:val="clear" w:color="auto" w:fill="FFFFFF"/>
            <w:vAlign w:val="center"/>
          </w:tcPr>
          <w:p w14:paraId="14FFCD75" w14:textId="714DF049"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0.0129</w:t>
            </w:r>
          </w:p>
        </w:tc>
        <w:tc>
          <w:tcPr>
            <w:tcW w:w="923" w:type="pct"/>
            <w:shd w:val="clear" w:color="auto" w:fill="FFFFFF"/>
            <w:vAlign w:val="center"/>
          </w:tcPr>
          <w:p w14:paraId="3479B189" w14:textId="0FCB172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0.0065</w:t>
            </w:r>
          </w:p>
        </w:tc>
        <w:tc>
          <w:tcPr>
            <w:tcW w:w="1176" w:type="pct"/>
            <w:shd w:val="clear" w:color="auto" w:fill="FFFFFF"/>
            <w:vAlign w:val="center"/>
          </w:tcPr>
          <w:p w14:paraId="3B9C98CE" w14:textId="490FA3F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1.4279</w:t>
            </w:r>
          </w:p>
        </w:tc>
        <w:tc>
          <w:tcPr>
            <w:tcW w:w="981" w:type="pct"/>
            <w:gridSpan w:val="2"/>
            <w:shd w:val="clear" w:color="auto" w:fill="FFFFFF"/>
            <w:vAlign w:val="center"/>
          </w:tcPr>
          <w:p w14:paraId="019EEDFB" w14:textId="53B8280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0.0714</w:t>
            </w:r>
          </w:p>
        </w:tc>
      </w:tr>
      <w:tr w:rsidR="008F5F67" w:rsidRPr="00484A17" w14:paraId="5EEC8B00" w14:textId="77777777" w:rsidTr="008F5F67">
        <w:trPr>
          <w:trHeight w:val="340"/>
        </w:trPr>
        <w:tc>
          <w:tcPr>
            <w:tcW w:w="1020" w:type="pct"/>
            <w:shd w:val="clear" w:color="auto" w:fill="FFFFFF"/>
            <w:vAlign w:val="center"/>
          </w:tcPr>
          <w:p w14:paraId="1D25E9DE"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lastRenderedPageBreak/>
              <w:t>900.0</w:t>
            </w:r>
          </w:p>
        </w:tc>
        <w:tc>
          <w:tcPr>
            <w:tcW w:w="900" w:type="pct"/>
            <w:shd w:val="clear" w:color="auto" w:fill="FFFFFF"/>
            <w:vAlign w:val="center"/>
          </w:tcPr>
          <w:p w14:paraId="5289B1CE" w14:textId="45088DD6"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0.0120</w:t>
            </w:r>
          </w:p>
        </w:tc>
        <w:tc>
          <w:tcPr>
            <w:tcW w:w="923" w:type="pct"/>
            <w:shd w:val="clear" w:color="auto" w:fill="FFFFFF"/>
            <w:vAlign w:val="center"/>
          </w:tcPr>
          <w:p w14:paraId="0777029B" w14:textId="5CE6D12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0.0060</w:t>
            </w:r>
          </w:p>
        </w:tc>
        <w:tc>
          <w:tcPr>
            <w:tcW w:w="1176" w:type="pct"/>
            <w:shd w:val="clear" w:color="auto" w:fill="FFFFFF"/>
            <w:vAlign w:val="center"/>
          </w:tcPr>
          <w:p w14:paraId="7BABB4D2" w14:textId="679B37F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1.3303</w:t>
            </w:r>
          </w:p>
        </w:tc>
        <w:tc>
          <w:tcPr>
            <w:tcW w:w="981" w:type="pct"/>
            <w:gridSpan w:val="2"/>
            <w:shd w:val="clear" w:color="auto" w:fill="FFFFFF"/>
            <w:vAlign w:val="center"/>
          </w:tcPr>
          <w:p w14:paraId="0544C531" w14:textId="5EAF11E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0.0665</w:t>
            </w:r>
          </w:p>
        </w:tc>
      </w:tr>
      <w:tr w:rsidR="008F5F67" w:rsidRPr="00484A17" w14:paraId="4374A20B" w14:textId="77777777" w:rsidTr="008F5F67">
        <w:trPr>
          <w:trHeight w:val="340"/>
        </w:trPr>
        <w:tc>
          <w:tcPr>
            <w:tcW w:w="1020" w:type="pct"/>
            <w:shd w:val="clear" w:color="auto" w:fill="FFFFFF"/>
            <w:vAlign w:val="center"/>
          </w:tcPr>
          <w:p w14:paraId="339D5FCF"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1000.0</w:t>
            </w:r>
          </w:p>
        </w:tc>
        <w:tc>
          <w:tcPr>
            <w:tcW w:w="900" w:type="pct"/>
            <w:shd w:val="clear" w:color="auto" w:fill="FFFFFF"/>
            <w:vAlign w:val="center"/>
          </w:tcPr>
          <w:p w14:paraId="377155C0" w14:textId="2182EC0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0.0112</w:t>
            </w:r>
          </w:p>
        </w:tc>
        <w:tc>
          <w:tcPr>
            <w:tcW w:w="923" w:type="pct"/>
            <w:shd w:val="clear" w:color="auto" w:fill="FFFFFF"/>
            <w:vAlign w:val="center"/>
          </w:tcPr>
          <w:p w14:paraId="11F38084" w14:textId="64799AB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0.0056</w:t>
            </w:r>
          </w:p>
        </w:tc>
        <w:tc>
          <w:tcPr>
            <w:tcW w:w="1176" w:type="pct"/>
            <w:shd w:val="clear" w:color="auto" w:fill="FFFFFF"/>
            <w:vAlign w:val="center"/>
          </w:tcPr>
          <w:p w14:paraId="459612A8" w14:textId="299FF9F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1.2350</w:t>
            </w:r>
          </w:p>
        </w:tc>
        <w:tc>
          <w:tcPr>
            <w:tcW w:w="981" w:type="pct"/>
            <w:gridSpan w:val="2"/>
            <w:shd w:val="clear" w:color="auto" w:fill="FFFFFF"/>
            <w:vAlign w:val="center"/>
          </w:tcPr>
          <w:p w14:paraId="2956948B" w14:textId="526EF97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0.0618</w:t>
            </w:r>
          </w:p>
        </w:tc>
      </w:tr>
      <w:tr w:rsidR="008F5F67" w:rsidRPr="00484A17" w14:paraId="514CFF5F" w14:textId="77777777" w:rsidTr="008F5F67">
        <w:trPr>
          <w:trHeight w:val="340"/>
        </w:trPr>
        <w:tc>
          <w:tcPr>
            <w:tcW w:w="1020" w:type="pct"/>
            <w:shd w:val="clear" w:color="auto" w:fill="FFFFFF"/>
            <w:vAlign w:val="center"/>
          </w:tcPr>
          <w:p w14:paraId="6C794693"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1500.0</w:t>
            </w:r>
          </w:p>
        </w:tc>
        <w:tc>
          <w:tcPr>
            <w:tcW w:w="900" w:type="pct"/>
            <w:shd w:val="clear" w:color="auto" w:fill="FFFFFF"/>
            <w:vAlign w:val="center"/>
          </w:tcPr>
          <w:p w14:paraId="039579A8" w14:textId="666EBAE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0.0079</w:t>
            </w:r>
          </w:p>
        </w:tc>
        <w:tc>
          <w:tcPr>
            <w:tcW w:w="923" w:type="pct"/>
            <w:shd w:val="clear" w:color="auto" w:fill="FFFFFF"/>
            <w:vAlign w:val="center"/>
          </w:tcPr>
          <w:p w14:paraId="1868C613" w14:textId="0E0B9A8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0.0039</w:t>
            </w:r>
          </w:p>
        </w:tc>
        <w:tc>
          <w:tcPr>
            <w:tcW w:w="1176" w:type="pct"/>
            <w:shd w:val="clear" w:color="auto" w:fill="FFFFFF"/>
            <w:vAlign w:val="center"/>
          </w:tcPr>
          <w:p w14:paraId="0683888B" w14:textId="72CA027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0.8708</w:t>
            </w:r>
          </w:p>
        </w:tc>
        <w:tc>
          <w:tcPr>
            <w:tcW w:w="981" w:type="pct"/>
            <w:gridSpan w:val="2"/>
            <w:shd w:val="clear" w:color="auto" w:fill="FFFFFF"/>
            <w:vAlign w:val="center"/>
          </w:tcPr>
          <w:p w14:paraId="7F19F477" w14:textId="6F0F87E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0.0435</w:t>
            </w:r>
          </w:p>
        </w:tc>
      </w:tr>
      <w:tr w:rsidR="008F5F67" w:rsidRPr="00484A17" w14:paraId="48D223B6" w14:textId="77777777" w:rsidTr="008F5F67">
        <w:trPr>
          <w:trHeight w:val="340"/>
        </w:trPr>
        <w:tc>
          <w:tcPr>
            <w:tcW w:w="1020" w:type="pct"/>
            <w:shd w:val="clear" w:color="auto" w:fill="FFFFFF"/>
            <w:vAlign w:val="center"/>
          </w:tcPr>
          <w:p w14:paraId="11EDB5E8"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2000.0</w:t>
            </w:r>
          </w:p>
        </w:tc>
        <w:tc>
          <w:tcPr>
            <w:tcW w:w="900" w:type="pct"/>
            <w:shd w:val="clear" w:color="auto" w:fill="FFFFFF"/>
            <w:vAlign w:val="center"/>
          </w:tcPr>
          <w:p w14:paraId="67684950" w14:textId="0C01FA7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0.0065</w:t>
            </w:r>
          </w:p>
        </w:tc>
        <w:tc>
          <w:tcPr>
            <w:tcW w:w="923" w:type="pct"/>
            <w:shd w:val="clear" w:color="auto" w:fill="FFFFFF"/>
            <w:vAlign w:val="center"/>
          </w:tcPr>
          <w:p w14:paraId="26D17F92" w14:textId="44946AC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0.0032</w:t>
            </w:r>
          </w:p>
        </w:tc>
        <w:tc>
          <w:tcPr>
            <w:tcW w:w="1176" w:type="pct"/>
            <w:shd w:val="clear" w:color="auto" w:fill="FFFFFF"/>
            <w:vAlign w:val="center"/>
          </w:tcPr>
          <w:p w14:paraId="4E17C108" w14:textId="3EE9639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0.7153</w:t>
            </w:r>
          </w:p>
        </w:tc>
        <w:tc>
          <w:tcPr>
            <w:tcW w:w="981" w:type="pct"/>
            <w:gridSpan w:val="2"/>
            <w:shd w:val="clear" w:color="auto" w:fill="FFFFFF"/>
            <w:vAlign w:val="center"/>
          </w:tcPr>
          <w:p w14:paraId="00552434" w14:textId="2599FFA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0.0358</w:t>
            </w:r>
          </w:p>
        </w:tc>
      </w:tr>
      <w:tr w:rsidR="008F5F67" w:rsidRPr="00484A17" w14:paraId="1E1E1445" w14:textId="77777777" w:rsidTr="008F5F67">
        <w:trPr>
          <w:trHeight w:val="340"/>
        </w:trPr>
        <w:tc>
          <w:tcPr>
            <w:tcW w:w="1020" w:type="pct"/>
            <w:shd w:val="clear" w:color="auto" w:fill="FFFFFF"/>
            <w:vAlign w:val="center"/>
          </w:tcPr>
          <w:p w14:paraId="40B0E2A5"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2500.0</w:t>
            </w:r>
          </w:p>
        </w:tc>
        <w:tc>
          <w:tcPr>
            <w:tcW w:w="900" w:type="pct"/>
            <w:shd w:val="clear" w:color="auto" w:fill="FFFFFF"/>
            <w:vAlign w:val="center"/>
          </w:tcPr>
          <w:p w14:paraId="5CF3B280" w14:textId="18A2727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0.0061</w:t>
            </w:r>
          </w:p>
        </w:tc>
        <w:tc>
          <w:tcPr>
            <w:tcW w:w="923" w:type="pct"/>
            <w:shd w:val="clear" w:color="auto" w:fill="FFFFFF"/>
            <w:vAlign w:val="center"/>
          </w:tcPr>
          <w:p w14:paraId="0C13BB2F" w14:textId="7E0ED61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0.0030</w:t>
            </w:r>
          </w:p>
        </w:tc>
        <w:tc>
          <w:tcPr>
            <w:tcW w:w="1176" w:type="pct"/>
            <w:shd w:val="clear" w:color="auto" w:fill="FFFFFF"/>
            <w:vAlign w:val="center"/>
          </w:tcPr>
          <w:p w14:paraId="6C00B604" w14:textId="22A48C4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0.6731</w:t>
            </w:r>
          </w:p>
        </w:tc>
        <w:tc>
          <w:tcPr>
            <w:tcW w:w="981" w:type="pct"/>
            <w:gridSpan w:val="2"/>
            <w:shd w:val="clear" w:color="auto" w:fill="FFFFFF"/>
            <w:vAlign w:val="center"/>
          </w:tcPr>
          <w:p w14:paraId="72539D47" w14:textId="0FA4663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0.0337</w:t>
            </w:r>
          </w:p>
        </w:tc>
      </w:tr>
      <w:tr w:rsidR="008F5F67" w:rsidRPr="00484A17" w14:paraId="30D7D297" w14:textId="77777777" w:rsidTr="008F5F67">
        <w:trPr>
          <w:trHeight w:val="340"/>
        </w:trPr>
        <w:tc>
          <w:tcPr>
            <w:tcW w:w="1020" w:type="pct"/>
            <w:shd w:val="clear" w:color="auto" w:fill="FFFFFF"/>
            <w:vAlign w:val="center"/>
          </w:tcPr>
          <w:p w14:paraId="02FC6F11"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下风向最大浓度</w:t>
            </w:r>
          </w:p>
        </w:tc>
        <w:tc>
          <w:tcPr>
            <w:tcW w:w="900" w:type="pct"/>
            <w:shd w:val="clear" w:color="auto" w:fill="FFFFFF"/>
            <w:vAlign w:val="center"/>
          </w:tcPr>
          <w:p w14:paraId="293D840B" w14:textId="35424AA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0.0467</w:t>
            </w:r>
          </w:p>
        </w:tc>
        <w:tc>
          <w:tcPr>
            <w:tcW w:w="923" w:type="pct"/>
            <w:shd w:val="clear" w:color="auto" w:fill="FFFFFF"/>
            <w:vAlign w:val="center"/>
          </w:tcPr>
          <w:p w14:paraId="37FF5B90" w14:textId="6EE7767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0.0233</w:t>
            </w:r>
          </w:p>
        </w:tc>
        <w:tc>
          <w:tcPr>
            <w:tcW w:w="1176" w:type="pct"/>
            <w:shd w:val="clear" w:color="auto" w:fill="FFFFFF"/>
            <w:vAlign w:val="center"/>
          </w:tcPr>
          <w:p w14:paraId="5A686B51" w14:textId="622837F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5.1555</w:t>
            </w:r>
          </w:p>
        </w:tc>
        <w:tc>
          <w:tcPr>
            <w:tcW w:w="981" w:type="pct"/>
            <w:gridSpan w:val="2"/>
            <w:shd w:val="clear" w:color="auto" w:fill="FFFFFF"/>
            <w:vAlign w:val="center"/>
          </w:tcPr>
          <w:p w14:paraId="72E9F19E" w14:textId="1B45252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0.2578</w:t>
            </w:r>
          </w:p>
        </w:tc>
      </w:tr>
      <w:tr w:rsidR="00181939" w:rsidRPr="00484A17" w14:paraId="1EAB0914" w14:textId="77777777" w:rsidTr="008F5F67">
        <w:trPr>
          <w:trHeight w:val="340"/>
        </w:trPr>
        <w:tc>
          <w:tcPr>
            <w:tcW w:w="1020" w:type="pct"/>
            <w:shd w:val="clear" w:color="auto" w:fill="FFFFFF"/>
            <w:vAlign w:val="center"/>
          </w:tcPr>
          <w:p w14:paraId="62B6AC44"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下风向最大浓度出现距离</w:t>
            </w:r>
          </w:p>
        </w:tc>
        <w:tc>
          <w:tcPr>
            <w:tcW w:w="900" w:type="pct"/>
            <w:shd w:val="clear" w:color="auto" w:fill="FFFFFF"/>
            <w:vAlign w:val="center"/>
          </w:tcPr>
          <w:p w14:paraId="14FB9C80"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105.0</w:t>
            </w:r>
          </w:p>
        </w:tc>
        <w:tc>
          <w:tcPr>
            <w:tcW w:w="923" w:type="pct"/>
            <w:shd w:val="clear" w:color="auto" w:fill="FFFFFF"/>
            <w:vAlign w:val="center"/>
          </w:tcPr>
          <w:p w14:paraId="13AF8E47"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105.0</w:t>
            </w:r>
          </w:p>
        </w:tc>
        <w:tc>
          <w:tcPr>
            <w:tcW w:w="1176" w:type="pct"/>
            <w:shd w:val="clear" w:color="auto" w:fill="FFFFFF"/>
            <w:vAlign w:val="center"/>
          </w:tcPr>
          <w:p w14:paraId="50F200F9"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105.0</w:t>
            </w:r>
          </w:p>
        </w:tc>
        <w:tc>
          <w:tcPr>
            <w:tcW w:w="981" w:type="pct"/>
            <w:gridSpan w:val="2"/>
            <w:shd w:val="clear" w:color="auto" w:fill="FFFFFF"/>
            <w:vAlign w:val="center"/>
          </w:tcPr>
          <w:p w14:paraId="6F1C3FB9"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105.0</w:t>
            </w:r>
          </w:p>
        </w:tc>
      </w:tr>
      <w:tr w:rsidR="00181939" w:rsidRPr="00484A17" w14:paraId="5A04CD7A" w14:textId="77777777" w:rsidTr="008F5F67">
        <w:trPr>
          <w:trHeight w:val="340"/>
        </w:trPr>
        <w:tc>
          <w:tcPr>
            <w:tcW w:w="1020" w:type="pct"/>
            <w:shd w:val="clear" w:color="auto" w:fill="FFFFFF"/>
            <w:vAlign w:val="center"/>
          </w:tcPr>
          <w:p w14:paraId="22880648"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D10%</w:t>
            </w:r>
            <w:r w:rsidRPr="00484A17">
              <w:rPr>
                <w:rFonts w:asciiTheme="minorHAnsi" w:hAnsiTheme="minorHAnsi"/>
                <w:b/>
                <w:szCs w:val="21"/>
                <w:u w:val="single"/>
              </w:rPr>
              <w:t>最远距离</w:t>
            </w:r>
          </w:p>
        </w:tc>
        <w:tc>
          <w:tcPr>
            <w:tcW w:w="900" w:type="pct"/>
            <w:shd w:val="clear" w:color="auto" w:fill="FFFFFF"/>
            <w:vAlign w:val="center"/>
          </w:tcPr>
          <w:p w14:paraId="5765AC9B"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w:t>
            </w:r>
          </w:p>
        </w:tc>
        <w:tc>
          <w:tcPr>
            <w:tcW w:w="923" w:type="pct"/>
            <w:shd w:val="clear" w:color="auto" w:fill="FFFFFF"/>
            <w:vAlign w:val="center"/>
          </w:tcPr>
          <w:p w14:paraId="729B95D7"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w:t>
            </w:r>
          </w:p>
        </w:tc>
        <w:tc>
          <w:tcPr>
            <w:tcW w:w="1176" w:type="pct"/>
            <w:shd w:val="clear" w:color="auto" w:fill="FFFFFF"/>
            <w:vAlign w:val="center"/>
          </w:tcPr>
          <w:p w14:paraId="55D049A6"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w:t>
            </w:r>
          </w:p>
        </w:tc>
        <w:tc>
          <w:tcPr>
            <w:tcW w:w="981" w:type="pct"/>
            <w:gridSpan w:val="2"/>
            <w:shd w:val="clear" w:color="auto" w:fill="FFFFFF"/>
            <w:vAlign w:val="center"/>
          </w:tcPr>
          <w:p w14:paraId="32A6388D" w14:textId="77777777" w:rsidR="00181939" w:rsidRPr="00484A17" w:rsidRDefault="00181939" w:rsidP="00931547">
            <w:pPr>
              <w:jc w:val="center"/>
              <w:rPr>
                <w:rFonts w:asciiTheme="minorHAnsi" w:hAnsiTheme="minorHAnsi"/>
                <w:b/>
                <w:szCs w:val="21"/>
                <w:u w:val="single"/>
              </w:rPr>
            </w:pPr>
            <w:r w:rsidRPr="00484A17">
              <w:rPr>
                <w:rFonts w:asciiTheme="minorHAnsi" w:hAnsiTheme="minorHAnsi"/>
                <w:b/>
                <w:szCs w:val="21"/>
                <w:u w:val="single"/>
              </w:rPr>
              <w:t>/</w:t>
            </w:r>
          </w:p>
        </w:tc>
      </w:tr>
    </w:tbl>
    <w:p w14:paraId="054BB670" w14:textId="77777777" w:rsidR="008948ED" w:rsidRDefault="008948ED" w:rsidP="008948ED">
      <w:pPr>
        <w:spacing w:line="520" w:lineRule="exact"/>
        <w:ind w:firstLineChars="200" w:firstLine="480"/>
        <w:jc w:val="left"/>
        <w:rPr>
          <w:rFonts w:ascii="Calibri" w:hAnsi="Calibri"/>
          <w:color w:val="auto"/>
          <w:sz w:val="24"/>
        </w:rPr>
      </w:pPr>
      <w:r>
        <w:rPr>
          <w:rFonts w:ascii="Calibri" w:hAnsi="Calibri"/>
          <w:color w:val="auto"/>
          <w:sz w:val="24"/>
        </w:rPr>
        <w:t>（</w:t>
      </w:r>
      <w:r w:rsidR="00160029">
        <w:rPr>
          <w:rFonts w:ascii="Calibri" w:hAnsi="Calibri"/>
          <w:color w:val="auto"/>
          <w:sz w:val="24"/>
        </w:rPr>
        <w:t>2</w:t>
      </w:r>
      <w:r>
        <w:rPr>
          <w:rFonts w:ascii="Calibri" w:hAnsi="Calibri"/>
          <w:color w:val="auto"/>
          <w:sz w:val="24"/>
        </w:rPr>
        <w:t>）</w:t>
      </w:r>
      <w:r>
        <w:rPr>
          <w:rFonts w:ascii="Calibri" w:hAnsi="Calibri" w:hint="eastAsia"/>
          <w:color w:val="auto"/>
          <w:sz w:val="24"/>
        </w:rPr>
        <w:t>导热油炉</w:t>
      </w:r>
      <w:r>
        <w:rPr>
          <w:rFonts w:ascii="Calibri" w:hAnsi="Calibri"/>
          <w:color w:val="auto"/>
          <w:sz w:val="24"/>
        </w:rPr>
        <w:t>废气</w:t>
      </w:r>
    </w:p>
    <w:p w14:paraId="44A2967E" w14:textId="77777777" w:rsidR="008948ED" w:rsidRPr="008948ED" w:rsidRDefault="008948ED" w:rsidP="008948ED">
      <w:pPr>
        <w:spacing w:line="520" w:lineRule="exact"/>
        <w:ind w:firstLineChars="200" w:firstLine="480"/>
        <w:jc w:val="left"/>
        <w:rPr>
          <w:rFonts w:ascii="Calibri" w:hAnsi="Calibri"/>
          <w:color w:val="auto"/>
          <w:sz w:val="24"/>
        </w:rPr>
      </w:pPr>
      <w:r w:rsidRPr="008948ED">
        <w:rPr>
          <w:rFonts w:ascii="Calibri" w:eastAsia="黑体" w:hAnsi="Calibri" w:hint="eastAsia"/>
          <w:color w:val="auto"/>
          <w:sz w:val="24"/>
        </w:rPr>
        <w:t>表</w:t>
      </w:r>
      <w:r>
        <w:rPr>
          <w:rFonts w:ascii="Calibri" w:eastAsia="黑体" w:hAnsi="Calibri" w:hint="eastAsia"/>
          <w:color w:val="auto"/>
          <w:sz w:val="24"/>
        </w:rPr>
        <w:t>4.2-1</w:t>
      </w:r>
      <w:r w:rsidR="00160029">
        <w:rPr>
          <w:rFonts w:ascii="Calibri" w:eastAsia="黑体" w:hAnsi="Calibri"/>
          <w:color w:val="auto"/>
          <w:sz w:val="24"/>
        </w:rPr>
        <w:t>2</w:t>
      </w:r>
      <w:r w:rsidRPr="008948ED">
        <w:rPr>
          <w:rFonts w:ascii="Calibri" w:eastAsia="黑体" w:hAnsi="Calibri" w:hint="eastAsia"/>
          <w:color w:val="auto"/>
          <w:sz w:val="24"/>
        </w:rPr>
        <w:t xml:space="preserve">  </w:t>
      </w:r>
      <w:r>
        <w:rPr>
          <w:rFonts w:ascii="Calibri" w:eastAsia="黑体" w:hAnsi="Calibri"/>
          <w:color w:val="auto"/>
        </w:rPr>
        <w:t xml:space="preserve">   </w:t>
      </w:r>
      <w:r w:rsidRPr="008948ED">
        <w:rPr>
          <w:rFonts w:ascii="Calibri" w:eastAsia="黑体" w:hAnsi="Calibri"/>
          <w:color w:val="auto"/>
          <w:sz w:val="24"/>
        </w:rPr>
        <w:t xml:space="preserve">   </w:t>
      </w:r>
      <w:r>
        <w:rPr>
          <w:rFonts w:ascii="Calibri" w:eastAsia="黑体" w:hAnsi="Calibri"/>
          <w:color w:val="auto"/>
          <w:sz w:val="24"/>
        </w:rPr>
        <w:t xml:space="preserve">     </w:t>
      </w:r>
      <w:r>
        <w:rPr>
          <w:rFonts w:ascii="Calibri" w:eastAsia="黑体" w:hAnsi="Calibri" w:hint="eastAsia"/>
          <w:color w:val="auto"/>
          <w:sz w:val="24"/>
        </w:rPr>
        <w:t>导热油炉</w:t>
      </w:r>
      <w:r w:rsidRPr="008948ED">
        <w:rPr>
          <w:rFonts w:ascii="Calibri" w:eastAsia="黑体" w:hAnsi="Calibri" w:hint="eastAsia"/>
          <w:color w:val="auto"/>
          <w:sz w:val="24"/>
        </w:rPr>
        <w:t>污染物排放预测结果</w:t>
      </w:r>
    </w:p>
    <w:tbl>
      <w:tblPr>
        <w:tblW w:w="8527" w:type="dxa"/>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ook w:val="04A0" w:firstRow="1" w:lastRow="0" w:firstColumn="1" w:lastColumn="0" w:noHBand="0" w:noVBand="1"/>
      </w:tblPr>
      <w:tblGrid>
        <w:gridCol w:w="1925"/>
        <w:gridCol w:w="1462"/>
        <w:gridCol w:w="1372"/>
        <w:gridCol w:w="1942"/>
        <w:gridCol w:w="1826"/>
      </w:tblGrid>
      <w:tr w:rsidR="00AF13C4" w14:paraId="1CCDB47D" w14:textId="77777777" w:rsidTr="005249C0">
        <w:trPr>
          <w:trHeight w:val="340"/>
        </w:trPr>
        <w:tc>
          <w:tcPr>
            <w:tcW w:w="1925" w:type="dxa"/>
            <w:vMerge w:val="restart"/>
            <w:shd w:val="clear" w:color="auto" w:fill="FFFFFF"/>
            <w:vAlign w:val="center"/>
          </w:tcPr>
          <w:p w14:paraId="2C743545" w14:textId="77777777" w:rsidR="008948ED" w:rsidRPr="008948ED" w:rsidRDefault="008948ED" w:rsidP="008948ED">
            <w:pPr>
              <w:jc w:val="center"/>
              <w:rPr>
                <w:rFonts w:asciiTheme="minorHAnsi" w:hAnsiTheme="minorHAnsi"/>
                <w:szCs w:val="21"/>
              </w:rPr>
            </w:pPr>
            <w:r w:rsidRPr="008948ED">
              <w:rPr>
                <w:rFonts w:asciiTheme="minorHAnsi" w:hAnsiTheme="minorHAnsi"/>
                <w:szCs w:val="21"/>
              </w:rPr>
              <w:t>下风向距离</w:t>
            </w:r>
          </w:p>
        </w:tc>
        <w:tc>
          <w:tcPr>
            <w:tcW w:w="6602" w:type="dxa"/>
            <w:gridSpan w:val="4"/>
            <w:shd w:val="clear" w:color="auto" w:fill="FFFFFF"/>
            <w:vAlign w:val="center"/>
          </w:tcPr>
          <w:p w14:paraId="012C5536" w14:textId="77777777" w:rsidR="008948ED" w:rsidRPr="008948ED" w:rsidRDefault="0076366E" w:rsidP="008948ED">
            <w:pPr>
              <w:jc w:val="center"/>
              <w:rPr>
                <w:rFonts w:asciiTheme="minorHAnsi" w:hAnsiTheme="minorHAnsi"/>
                <w:szCs w:val="21"/>
              </w:rPr>
            </w:pPr>
            <w:r w:rsidRPr="0076366E">
              <w:rPr>
                <w:rFonts w:asciiTheme="minorHAnsi" w:hAnsiTheme="minorHAnsi" w:hint="eastAsia"/>
                <w:szCs w:val="21"/>
              </w:rPr>
              <w:t>导热油炉</w:t>
            </w:r>
          </w:p>
        </w:tc>
      </w:tr>
      <w:tr w:rsidR="00AF13C4" w14:paraId="3B965616" w14:textId="77777777" w:rsidTr="005249C0">
        <w:trPr>
          <w:trHeight w:val="340"/>
        </w:trPr>
        <w:tc>
          <w:tcPr>
            <w:tcW w:w="1925" w:type="dxa"/>
            <w:vMerge/>
            <w:shd w:val="clear" w:color="auto" w:fill="FFFFFF"/>
            <w:vAlign w:val="center"/>
          </w:tcPr>
          <w:p w14:paraId="1A91D7E9" w14:textId="77777777" w:rsidR="008948ED" w:rsidRPr="008948ED" w:rsidRDefault="008948ED" w:rsidP="008948ED">
            <w:pPr>
              <w:jc w:val="center"/>
              <w:rPr>
                <w:rFonts w:asciiTheme="minorHAnsi" w:hAnsiTheme="minorHAnsi"/>
                <w:szCs w:val="21"/>
              </w:rPr>
            </w:pPr>
          </w:p>
        </w:tc>
        <w:tc>
          <w:tcPr>
            <w:tcW w:w="1462" w:type="dxa"/>
            <w:shd w:val="clear" w:color="auto" w:fill="FFFFFF"/>
            <w:vAlign w:val="center"/>
          </w:tcPr>
          <w:p w14:paraId="6814C2F9" w14:textId="77777777" w:rsidR="008948ED" w:rsidRDefault="008948ED" w:rsidP="008948ED">
            <w:pPr>
              <w:jc w:val="center"/>
              <w:rPr>
                <w:rFonts w:ascii="Calibri" w:hAnsi="Calibri"/>
              </w:rPr>
            </w:pPr>
            <w:r>
              <w:rPr>
                <w:rFonts w:ascii="Calibri" w:hAnsi="Calibri"/>
                <w:sz w:val="23"/>
                <w:szCs w:val="23"/>
              </w:rPr>
              <w:t>PM</w:t>
            </w:r>
            <w:r>
              <w:rPr>
                <w:rFonts w:ascii="Calibri" w:hAnsi="Calibri"/>
                <w:sz w:val="23"/>
                <w:szCs w:val="23"/>
                <w:vertAlign w:val="subscript"/>
              </w:rPr>
              <w:t>10</w:t>
            </w:r>
            <w:r>
              <w:rPr>
                <w:rFonts w:ascii="Calibri" w:hAnsi="Calibri"/>
                <w:sz w:val="23"/>
                <w:szCs w:val="23"/>
              </w:rPr>
              <w:t>浓度</w:t>
            </w:r>
            <w:r>
              <w:rPr>
                <w:rFonts w:asciiTheme="minorHAnsi" w:hAnsiTheme="minorHAnsi" w:hint="eastAsia"/>
                <w:szCs w:val="21"/>
              </w:rPr>
              <w:t>（</w:t>
            </w:r>
            <w:r w:rsidRPr="008948ED">
              <w:rPr>
                <w:rFonts w:asciiTheme="minorHAnsi" w:hAnsiTheme="minorHAnsi"/>
                <w:szCs w:val="21"/>
              </w:rPr>
              <w:t>μg/m³</w:t>
            </w:r>
            <w:r>
              <w:rPr>
                <w:rFonts w:asciiTheme="minorHAnsi" w:hAnsiTheme="minorHAnsi" w:hint="eastAsia"/>
                <w:szCs w:val="21"/>
              </w:rPr>
              <w:t>）</w:t>
            </w:r>
          </w:p>
        </w:tc>
        <w:tc>
          <w:tcPr>
            <w:tcW w:w="1372" w:type="dxa"/>
            <w:shd w:val="clear" w:color="auto" w:fill="FFFFFF"/>
            <w:vAlign w:val="center"/>
          </w:tcPr>
          <w:p w14:paraId="7F88AAEC" w14:textId="77777777" w:rsidR="008948ED" w:rsidRDefault="008948ED" w:rsidP="008948ED">
            <w:pPr>
              <w:jc w:val="center"/>
              <w:rPr>
                <w:rFonts w:ascii="Calibri" w:hAnsi="Calibri"/>
              </w:rPr>
            </w:pPr>
            <w:r>
              <w:rPr>
                <w:rFonts w:ascii="Calibri" w:hAnsi="Calibri"/>
                <w:sz w:val="23"/>
                <w:szCs w:val="23"/>
              </w:rPr>
              <w:t>PM</w:t>
            </w:r>
            <w:r>
              <w:rPr>
                <w:rFonts w:ascii="Calibri" w:hAnsi="Calibri"/>
                <w:sz w:val="23"/>
                <w:szCs w:val="23"/>
                <w:vertAlign w:val="subscript"/>
              </w:rPr>
              <w:t>10</w:t>
            </w:r>
            <w:r>
              <w:rPr>
                <w:rFonts w:ascii="Calibri" w:hAnsi="Calibri"/>
                <w:sz w:val="23"/>
                <w:szCs w:val="23"/>
              </w:rPr>
              <w:t>占标率</w:t>
            </w:r>
            <w:r>
              <w:rPr>
                <w:rFonts w:asciiTheme="minorHAnsi" w:hAnsiTheme="minorHAnsi" w:hint="eastAsia"/>
                <w:szCs w:val="21"/>
              </w:rPr>
              <w:t>（</w:t>
            </w:r>
            <w:r w:rsidRPr="008948ED">
              <w:rPr>
                <w:rFonts w:asciiTheme="minorHAnsi" w:hAnsiTheme="minorHAnsi"/>
                <w:szCs w:val="21"/>
              </w:rPr>
              <w:t>%</w:t>
            </w:r>
            <w:r>
              <w:rPr>
                <w:rFonts w:asciiTheme="minorHAnsi" w:hAnsiTheme="minorHAnsi" w:hint="eastAsia"/>
                <w:szCs w:val="21"/>
              </w:rPr>
              <w:t>）</w:t>
            </w:r>
          </w:p>
        </w:tc>
        <w:tc>
          <w:tcPr>
            <w:tcW w:w="1942" w:type="dxa"/>
            <w:shd w:val="clear" w:color="auto" w:fill="FFFFFF"/>
            <w:vAlign w:val="center"/>
          </w:tcPr>
          <w:p w14:paraId="39122DCD" w14:textId="77777777" w:rsidR="008948ED" w:rsidRDefault="008948ED" w:rsidP="008948ED">
            <w:pPr>
              <w:jc w:val="center"/>
              <w:rPr>
                <w:rFonts w:ascii="Calibri" w:hAnsi="Calibri"/>
              </w:rPr>
            </w:pPr>
            <w:r>
              <w:rPr>
                <w:rFonts w:ascii="Calibri" w:hAnsi="Calibri"/>
                <w:sz w:val="23"/>
                <w:szCs w:val="23"/>
              </w:rPr>
              <w:t>PM</w:t>
            </w:r>
            <w:r>
              <w:rPr>
                <w:rFonts w:ascii="Calibri" w:hAnsi="Calibri"/>
                <w:sz w:val="23"/>
                <w:szCs w:val="23"/>
                <w:vertAlign w:val="subscript"/>
              </w:rPr>
              <w:t>2.5</w:t>
            </w:r>
            <w:r>
              <w:rPr>
                <w:rFonts w:ascii="Calibri" w:hAnsi="Calibri"/>
                <w:sz w:val="23"/>
                <w:szCs w:val="23"/>
              </w:rPr>
              <w:t>浓度</w:t>
            </w:r>
            <w:r>
              <w:rPr>
                <w:rFonts w:asciiTheme="minorHAnsi" w:hAnsiTheme="minorHAnsi" w:hint="eastAsia"/>
                <w:szCs w:val="21"/>
              </w:rPr>
              <w:t>（</w:t>
            </w:r>
            <w:r w:rsidRPr="008948ED">
              <w:rPr>
                <w:rFonts w:asciiTheme="minorHAnsi" w:hAnsiTheme="minorHAnsi"/>
                <w:szCs w:val="21"/>
              </w:rPr>
              <w:t>μg/m³</w:t>
            </w:r>
            <w:r>
              <w:rPr>
                <w:rFonts w:asciiTheme="minorHAnsi" w:hAnsiTheme="minorHAnsi" w:hint="eastAsia"/>
                <w:szCs w:val="21"/>
              </w:rPr>
              <w:t>）</w:t>
            </w:r>
          </w:p>
        </w:tc>
        <w:tc>
          <w:tcPr>
            <w:tcW w:w="1826" w:type="dxa"/>
            <w:shd w:val="clear" w:color="auto" w:fill="FFFFFF"/>
            <w:vAlign w:val="center"/>
          </w:tcPr>
          <w:p w14:paraId="0973D3F0" w14:textId="77777777" w:rsidR="008948ED" w:rsidRDefault="008948ED" w:rsidP="008948ED">
            <w:pPr>
              <w:jc w:val="center"/>
              <w:rPr>
                <w:rFonts w:ascii="Calibri" w:hAnsi="Calibri"/>
              </w:rPr>
            </w:pPr>
            <w:r>
              <w:rPr>
                <w:rFonts w:ascii="Calibri" w:hAnsi="Calibri"/>
                <w:sz w:val="23"/>
                <w:szCs w:val="23"/>
              </w:rPr>
              <w:t>PM</w:t>
            </w:r>
            <w:r>
              <w:rPr>
                <w:rFonts w:ascii="Calibri" w:hAnsi="Calibri"/>
                <w:sz w:val="23"/>
                <w:szCs w:val="23"/>
                <w:vertAlign w:val="subscript"/>
              </w:rPr>
              <w:t>2.5</w:t>
            </w:r>
            <w:r>
              <w:rPr>
                <w:rFonts w:ascii="Calibri" w:hAnsi="Calibri"/>
                <w:sz w:val="23"/>
                <w:szCs w:val="23"/>
              </w:rPr>
              <w:t>占标率</w:t>
            </w:r>
            <w:r>
              <w:rPr>
                <w:rFonts w:asciiTheme="minorHAnsi" w:hAnsiTheme="minorHAnsi" w:hint="eastAsia"/>
                <w:szCs w:val="21"/>
              </w:rPr>
              <w:t>（</w:t>
            </w:r>
            <w:r w:rsidRPr="008948ED">
              <w:rPr>
                <w:rFonts w:asciiTheme="minorHAnsi" w:hAnsiTheme="minorHAnsi"/>
                <w:szCs w:val="21"/>
              </w:rPr>
              <w:t>%</w:t>
            </w:r>
            <w:r>
              <w:rPr>
                <w:rFonts w:asciiTheme="minorHAnsi" w:hAnsiTheme="minorHAnsi" w:hint="eastAsia"/>
                <w:szCs w:val="21"/>
              </w:rPr>
              <w:t>）</w:t>
            </w:r>
          </w:p>
        </w:tc>
      </w:tr>
      <w:tr w:rsidR="00AF13C4" w14:paraId="62FB2AB3" w14:textId="77777777" w:rsidTr="005249C0">
        <w:trPr>
          <w:trHeight w:val="340"/>
        </w:trPr>
        <w:tc>
          <w:tcPr>
            <w:tcW w:w="1925" w:type="dxa"/>
            <w:shd w:val="clear" w:color="auto" w:fill="FFFFFF"/>
            <w:vAlign w:val="center"/>
          </w:tcPr>
          <w:p w14:paraId="117150CD" w14:textId="77777777" w:rsidR="008948ED" w:rsidRPr="00DE0DFA" w:rsidRDefault="008948ED" w:rsidP="008948ED">
            <w:pPr>
              <w:jc w:val="center"/>
              <w:rPr>
                <w:rFonts w:ascii="Calibri" w:hAnsi="Calibri"/>
                <w:szCs w:val="21"/>
              </w:rPr>
            </w:pPr>
            <w:r w:rsidRPr="00DE0DFA">
              <w:rPr>
                <w:rFonts w:ascii="Calibri" w:hAnsi="Calibri"/>
                <w:szCs w:val="21"/>
              </w:rPr>
              <w:t>1.0</w:t>
            </w:r>
          </w:p>
        </w:tc>
        <w:tc>
          <w:tcPr>
            <w:tcW w:w="1462" w:type="dxa"/>
            <w:shd w:val="clear" w:color="auto" w:fill="FFFFFF"/>
            <w:vAlign w:val="center"/>
          </w:tcPr>
          <w:p w14:paraId="433594E6" w14:textId="77777777" w:rsidR="008948ED" w:rsidRPr="00DE0DFA" w:rsidRDefault="008948ED" w:rsidP="008948ED">
            <w:pPr>
              <w:jc w:val="center"/>
              <w:rPr>
                <w:rFonts w:ascii="Calibri" w:hAnsi="Calibri"/>
                <w:szCs w:val="21"/>
              </w:rPr>
            </w:pPr>
            <w:r w:rsidRPr="00DE0DFA">
              <w:rPr>
                <w:rFonts w:ascii="Calibri" w:hAnsi="Calibri"/>
                <w:szCs w:val="21"/>
              </w:rPr>
              <w:t>0.0000</w:t>
            </w:r>
          </w:p>
        </w:tc>
        <w:tc>
          <w:tcPr>
            <w:tcW w:w="1372" w:type="dxa"/>
            <w:shd w:val="clear" w:color="auto" w:fill="FFFFFF"/>
            <w:vAlign w:val="center"/>
          </w:tcPr>
          <w:p w14:paraId="799E1FE1" w14:textId="77777777" w:rsidR="008948ED" w:rsidRPr="00DE0DFA" w:rsidRDefault="008948ED" w:rsidP="008948ED">
            <w:pPr>
              <w:jc w:val="center"/>
              <w:rPr>
                <w:rFonts w:ascii="Calibri" w:hAnsi="Calibri"/>
                <w:szCs w:val="21"/>
              </w:rPr>
            </w:pPr>
            <w:r w:rsidRPr="00DE0DFA">
              <w:rPr>
                <w:rFonts w:ascii="Calibri" w:hAnsi="Calibri"/>
                <w:szCs w:val="21"/>
              </w:rPr>
              <w:t>0.0000</w:t>
            </w:r>
          </w:p>
        </w:tc>
        <w:tc>
          <w:tcPr>
            <w:tcW w:w="1942" w:type="dxa"/>
            <w:shd w:val="clear" w:color="auto" w:fill="FFFFFF"/>
            <w:vAlign w:val="center"/>
          </w:tcPr>
          <w:p w14:paraId="423A0342" w14:textId="77777777" w:rsidR="008948ED" w:rsidRPr="00DE0DFA" w:rsidRDefault="008948ED" w:rsidP="008948ED">
            <w:pPr>
              <w:jc w:val="center"/>
              <w:rPr>
                <w:rFonts w:ascii="Calibri" w:hAnsi="Calibri"/>
                <w:szCs w:val="21"/>
              </w:rPr>
            </w:pPr>
            <w:r w:rsidRPr="00DE0DFA">
              <w:rPr>
                <w:rFonts w:ascii="Calibri" w:hAnsi="Calibri"/>
                <w:szCs w:val="21"/>
              </w:rPr>
              <w:t>0.0000</w:t>
            </w:r>
          </w:p>
        </w:tc>
        <w:tc>
          <w:tcPr>
            <w:tcW w:w="1826" w:type="dxa"/>
            <w:shd w:val="clear" w:color="auto" w:fill="FFFFFF"/>
            <w:vAlign w:val="center"/>
          </w:tcPr>
          <w:p w14:paraId="469BD304" w14:textId="77777777" w:rsidR="008948ED" w:rsidRPr="00DE0DFA" w:rsidRDefault="008948ED" w:rsidP="008948ED">
            <w:pPr>
              <w:jc w:val="center"/>
              <w:rPr>
                <w:rFonts w:ascii="Calibri" w:hAnsi="Calibri"/>
                <w:szCs w:val="21"/>
              </w:rPr>
            </w:pPr>
            <w:r w:rsidRPr="00DE0DFA">
              <w:rPr>
                <w:rFonts w:ascii="Calibri" w:hAnsi="Calibri"/>
                <w:szCs w:val="21"/>
              </w:rPr>
              <w:t>0.0000</w:t>
            </w:r>
          </w:p>
        </w:tc>
      </w:tr>
      <w:tr w:rsidR="00AF13C4" w14:paraId="1372AB24" w14:textId="77777777" w:rsidTr="005249C0">
        <w:trPr>
          <w:trHeight w:val="340"/>
        </w:trPr>
        <w:tc>
          <w:tcPr>
            <w:tcW w:w="1925" w:type="dxa"/>
            <w:shd w:val="clear" w:color="auto" w:fill="FFFFFF"/>
            <w:vAlign w:val="center"/>
          </w:tcPr>
          <w:p w14:paraId="58A20498" w14:textId="77777777" w:rsidR="0076366E" w:rsidRPr="00DE0DFA" w:rsidRDefault="0076366E" w:rsidP="0076366E">
            <w:pPr>
              <w:jc w:val="center"/>
              <w:rPr>
                <w:rFonts w:ascii="Calibri" w:hAnsi="Calibri"/>
                <w:szCs w:val="21"/>
              </w:rPr>
            </w:pPr>
            <w:r w:rsidRPr="00DE0DFA">
              <w:rPr>
                <w:rFonts w:ascii="Calibri" w:hAnsi="Calibri"/>
                <w:szCs w:val="21"/>
              </w:rPr>
              <w:t>25.0</w:t>
            </w:r>
          </w:p>
        </w:tc>
        <w:tc>
          <w:tcPr>
            <w:tcW w:w="1462" w:type="dxa"/>
            <w:shd w:val="clear" w:color="auto" w:fill="FFFFFF"/>
            <w:vAlign w:val="center"/>
          </w:tcPr>
          <w:p w14:paraId="5A9726D1" w14:textId="77777777" w:rsidR="0076366E" w:rsidRPr="00DE0DFA" w:rsidRDefault="0076366E" w:rsidP="0076366E">
            <w:pPr>
              <w:jc w:val="center"/>
              <w:rPr>
                <w:rFonts w:ascii="Calibri" w:hAnsi="Calibri"/>
                <w:szCs w:val="21"/>
              </w:rPr>
            </w:pPr>
            <w:r w:rsidRPr="00DE0DFA">
              <w:rPr>
                <w:rFonts w:ascii="Calibri" w:hAnsi="Calibri"/>
                <w:szCs w:val="21"/>
              </w:rPr>
              <w:t>0.2098</w:t>
            </w:r>
          </w:p>
        </w:tc>
        <w:tc>
          <w:tcPr>
            <w:tcW w:w="1372" w:type="dxa"/>
            <w:shd w:val="clear" w:color="auto" w:fill="FFFFFF"/>
            <w:vAlign w:val="center"/>
          </w:tcPr>
          <w:p w14:paraId="73B8F378" w14:textId="77777777" w:rsidR="0076366E" w:rsidRPr="00DE0DFA" w:rsidRDefault="0076366E" w:rsidP="0076366E">
            <w:pPr>
              <w:jc w:val="center"/>
              <w:rPr>
                <w:rFonts w:ascii="Calibri" w:hAnsi="Calibri"/>
                <w:szCs w:val="21"/>
              </w:rPr>
            </w:pPr>
            <w:r w:rsidRPr="00DE0DFA">
              <w:rPr>
                <w:rFonts w:ascii="Calibri" w:hAnsi="Calibri"/>
                <w:szCs w:val="21"/>
              </w:rPr>
              <w:t>0.0466</w:t>
            </w:r>
          </w:p>
        </w:tc>
        <w:tc>
          <w:tcPr>
            <w:tcW w:w="1942" w:type="dxa"/>
            <w:shd w:val="clear" w:color="auto" w:fill="FFFFFF"/>
            <w:vAlign w:val="center"/>
          </w:tcPr>
          <w:p w14:paraId="196130BE" w14:textId="77777777" w:rsidR="0076366E" w:rsidRPr="00DE0DFA" w:rsidRDefault="0076366E" w:rsidP="0076366E">
            <w:pPr>
              <w:jc w:val="center"/>
              <w:rPr>
                <w:rFonts w:ascii="Calibri" w:hAnsi="Calibri"/>
                <w:szCs w:val="21"/>
              </w:rPr>
            </w:pPr>
            <w:r w:rsidRPr="00DE0DFA">
              <w:rPr>
                <w:rFonts w:ascii="Calibri" w:hAnsi="Calibri"/>
                <w:szCs w:val="21"/>
              </w:rPr>
              <w:t>0.0640</w:t>
            </w:r>
          </w:p>
        </w:tc>
        <w:tc>
          <w:tcPr>
            <w:tcW w:w="1826" w:type="dxa"/>
            <w:shd w:val="clear" w:color="auto" w:fill="FFFFFF"/>
            <w:vAlign w:val="center"/>
          </w:tcPr>
          <w:p w14:paraId="40979D19" w14:textId="77777777" w:rsidR="0076366E" w:rsidRPr="00DE0DFA" w:rsidRDefault="0076366E" w:rsidP="0076366E">
            <w:pPr>
              <w:jc w:val="center"/>
              <w:rPr>
                <w:rFonts w:ascii="Calibri" w:hAnsi="Calibri"/>
                <w:szCs w:val="21"/>
              </w:rPr>
            </w:pPr>
            <w:r w:rsidRPr="00DE0DFA">
              <w:rPr>
                <w:rFonts w:ascii="Calibri" w:hAnsi="Calibri"/>
                <w:szCs w:val="21"/>
              </w:rPr>
              <w:t>0.0285</w:t>
            </w:r>
          </w:p>
        </w:tc>
      </w:tr>
      <w:tr w:rsidR="00AF13C4" w14:paraId="0828EB4B" w14:textId="77777777" w:rsidTr="005249C0">
        <w:trPr>
          <w:trHeight w:val="340"/>
        </w:trPr>
        <w:tc>
          <w:tcPr>
            <w:tcW w:w="1925" w:type="dxa"/>
            <w:shd w:val="clear" w:color="auto" w:fill="FFFFFF"/>
            <w:vAlign w:val="center"/>
          </w:tcPr>
          <w:p w14:paraId="311C3C80" w14:textId="77777777" w:rsidR="0076366E" w:rsidRPr="00DE0DFA" w:rsidRDefault="0076366E" w:rsidP="0076366E">
            <w:pPr>
              <w:jc w:val="center"/>
              <w:rPr>
                <w:rFonts w:ascii="Calibri" w:hAnsi="Calibri"/>
                <w:szCs w:val="21"/>
              </w:rPr>
            </w:pPr>
            <w:r w:rsidRPr="00DE0DFA">
              <w:rPr>
                <w:rFonts w:ascii="Calibri" w:hAnsi="Calibri"/>
                <w:szCs w:val="21"/>
              </w:rPr>
              <w:t>50.0</w:t>
            </w:r>
          </w:p>
        </w:tc>
        <w:tc>
          <w:tcPr>
            <w:tcW w:w="1462" w:type="dxa"/>
            <w:shd w:val="clear" w:color="auto" w:fill="FFFFFF"/>
            <w:vAlign w:val="center"/>
          </w:tcPr>
          <w:p w14:paraId="2349CBB9" w14:textId="77777777" w:rsidR="0076366E" w:rsidRPr="00DE0DFA" w:rsidRDefault="0076366E" w:rsidP="0076366E">
            <w:pPr>
              <w:jc w:val="center"/>
              <w:rPr>
                <w:rFonts w:ascii="Calibri" w:hAnsi="Calibri"/>
                <w:szCs w:val="21"/>
              </w:rPr>
            </w:pPr>
            <w:r w:rsidRPr="00DE0DFA">
              <w:rPr>
                <w:rFonts w:ascii="Calibri" w:hAnsi="Calibri"/>
                <w:szCs w:val="21"/>
              </w:rPr>
              <w:t>0.2186</w:t>
            </w:r>
          </w:p>
        </w:tc>
        <w:tc>
          <w:tcPr>
            <w:tcW w:w="1372" w:type="dxa"/>
            <w:shd w:val="clear" w:color="auto" w:fill="FFFFFF"/>
            <w:vAlign w:val="center"/>
          </w:tcPr>
          <w:p w14:paraId="61194E26" w14:textId="77777777" w:rsidR="0076366E" w:rsidRPr="00DE0DFA" w:rsidRDefault="0076366E" w:rsidP="0076366E">
            <w:pPr>
              <w:jc w:val="center"/>
              <w:rPr>
                <w:rFonts w:ascii="Calibri" w:hAnsi="Calibri"/>
                <w:szCs w:val="21"/>
              </w:rPr>
            </w:pPr>
            <w:r w:rsidRPr="00DE0DFA">
              <w:rPr>
                <w:rFonts w:ascii="Calibri" w:hAnsi="Calibri"/>
                <w:szCs w:val="21"/>
              </w:rPr>
              <w:t>0.0486</w:t>
            </w:r>
          </w:p>
        </w:tc>
        <w:tc>
          <w:tcPr>
            <w:tcW w:w="1942" w:type="dxa"/>
            <w:shd w:val="clear" w:color="auto" w:fill="FFFFFF"/>
            <w:vAlign w:val="center"/>
          </w:tcPr>
          <w:p w14:paraId="22D7EEC2" w14:textId="77777777" w:rsidR="0076366E" w:rsidRPr="00DE0DFA" w:rsidRDefault="0076366E" w:rsidP="0076366E">
            <w:pPr>
              <w:jc w:val="center"/>
              <w:rPr>
                <w:rFonts w:ascii="Calibri" w:hAnsi="Calibri"/>
                <w:szCs w:val="21"/>
              </w:rPr>
            </w:pPr>
            <w:r w:rsidRPr="00DE0DFA">
              <w:rPr>
                <w:rFonts w:ascii="Calibri" w:hAnsi="Calibri"/>
                <w:szCs w:val="21"/>
              </w:rPr>
              <w:t>0.0667</w:t>
            </w:r>
          </w:p>
        </w:tc>
        <w:tc>
          <w:tcPr>
            <w:tcW w:w="1826" w:type="dxa"/>
            <w:shd w:val="clear" w:color="auto" w:fill="FFFFFF"/>
            <w:vAlign w:val="center"/>
          </w:tcPr>
          <w:p w14:paraId="50EF51FB" w14:textId="77777777" w:rsidR="0076366E" w:rsidRPr="00DE0DFA" w:rsidRDefault="0076366E" w:rsidP="0076366E">
            <w:pPr>
              <w:jc w:val="center"/>
              <w:rPr>
                <w:rFonts w:ascii="Calibri" w:hAnsi="Calibri"/>
                <w:szCs w:val="21"/>
              </w:rPr>
            </w:pPr>
            <w:r w:rsidRPr="00DE0DFA">
              <w:rPr>
                <w:rFonts w:ascii="Calibri" w:hAnsi="Calibri"/>
                <w:szCs w:val="21"/>
              </w:rPr>
              <w:t>0.0297</w:t>
            </w:r>
          </w:p>
        </w:tc>
      </w:tr>
      <w:tr w:rsidR="00AF13C4" w14:paraId="015765B5" w14:textId="77777777" w:rsidTr="005249C0">
        <w:trPr>
          <w:trHeight w:val="340"/>
        </w:trPr>
        <w:tc>
          <w:tcPr>
            <w:tcW w:w="1925" w:type="dxa"/>
            <w:shd w:val="clear" w:color="auto" w:fill="FFFFFF"/>
            <w:vAlign w:val="center"/>
          </w:tcPr>
          <w:p w14:paraId="24D75F4F" w14:textId="77777777" w:rsidR="0076366E" w:rsidRPr="00DE0DFA" w:rsidRDefault="0076366E" w:rsidP="0076366E">
            <w:pPr>
              <w:jc w:val="center"/>
              <w:rPr>
                <w:rFonts w:ascii="Calibri" w:hAnsi="Calibri"/>
                <w:szCs w:val="21"/>
              </w:rPr>
            </w:pPr>
            <w:r w:rsidRPr="00DE0DFA">
              <w:rPr>
                <w:rFonts w:ascii="Calibri" w:hAnsi="Calibri"/>
                <w:szCs w:val="21"/>
              </w:rPr>
              <w:t>75.0</w:t>
            </w:r>
          </w:p>
        </w:tc>
        <w:tc>
          <w:tcPr>
            <w:tcW w:w="1462" w:type="dxa"/>
            <w:shd w:val="clear" w:color="auto" w:fill="FFFFFF"/>
            <w:vAlign w:val="center"/>
          </w:tcPr>
          <w:p w14:paraId="757022FA" w14:textId="77777777" w:rsidR="0076366E" w:rsidRPr="00DE0DFA" w:rsidRDefault="0076366E" w:rsidP="0076366E">
            <w:pPr>
              <w:jc w:val="center"/>
              <w:rPr>
                <w:rFonts w:ascii="Calibri" w:hAnsi="Calibri"/>
                <w:szCs w:val="21"/>
              </w:rPr>
            </w:pPr>
            <w:r w:rsidRPr="00DE0DFA">
              <w:rPr>
                <w:rFonts w:ascii="Calibri" w:hAnsi="Calibri"/>
                <w:szCs w:val="21"/>
              </w:rPr>
              <w:t>0.2686</w:t>
            </w:r>
          </w:p>
        </w:tc>
        <w:tc>
          <w:tcPr>
            <w:tcW w:w="1372" w:type="dxa"/>
            <w:shd w:val="clear" w:color="auto" w:fill="FFFFFF"/>
            <w:vAlign w:val="center"/>
          </w:tcPr>
          <w:p w14:paraId="69FAC362" w14:textId="77777777" w:rsidR="0076366E" w:rsidRPr="00DE0DFA" w:rsidRDefault="0076366E" w:rsidP="0076366E">
            <w:pPr>
              <w:jc w:val="center"/>
              <w:rPr>
                <w:rFonts w:ascii="Calibri" w:hAnsi="Calibri"/>
                <w:szCs w:val="21"/>
              </w:rPr>
            </w:pPr>
            <w:r w:rsidRPr="00DE0DFA">
              <w:rPr>
                <w:rFonts w:ascii="Calibri" w:hAnsi="Calibri"/>
                <w:szCs w:val="21"/>
              </w:rPr>
              <w:t>0.0597</w:t>
            </w:r>
          </w:p>
        </w:tc>
        <w:tc>
          <w:tcPr>
            <w:tcW w:w="1942" w:type="dxa"/>
            <w:shd w:val="clear" w:color="auto" w:fill="FFFFFF"/>
            <w:vAlign w:val="center"/>
          </w:tcPr>
          <w:p w14:paraId="54267C76" w14:textId="77777777" w:rsidR="0076366E" w:rsidRPr="00DE0DFA" w:rsidRDefault="0076366E" w:rsidP="0076366E">
            <w:pPr>
              <w:jc w:val="center"/>
              <w:rPr>
                <w:rFonts w:ascii="Calibri" w:hAnsi="Calibri"/>
                <w:szCs w:val="21"/>
              </w:rPr>
            </w:pPr>
            <w:r w:rsidRPr="00DE0DFA">
              <w:rPr>
                <w:rFonts w:ascii="Calibri" w:hAnsi="Calibri"/>
                <w:szCs w:val="21"/>
              </w:rPr>
              <w:t>0.0820</w:t>
            </w:r>
          </w:p>
        </w:tc>
        <w:tc>
          <w:tcPr>
            <w:tcW w:w="1826" w:type="dxa"/>
            <w:shd w:val="clear" w:color="auto" w:fill="FFFFFF"/>
            <w:vAlign w:val="center"/>
          </w:tcPr>
          <w:p w14:paraId="6381B05A" w14:textId="77777777" w:rsidR="0076366E" w:rsidRPr="00DE0DFA" w:rsidRDefault="0076366E" w:rsidP="0076366E">
            <w:pPr>
              <w:jc w:val="center"/>
              <w:rPr>
                <w:rFonts w:ascii="Calibri" w:hAnsi="Calibri"/>
                <w:szCs w:val="21"/>
              </w:rPr>
            </w:pPr>
            <w:r w:rsidRPr="00DE0DFA">
              <w:rPr>
                <w:rFonts w:ascii="Calibri" w:hAnsi="Calibri"/>
                <w:szCs w:val="21"/>
              </w:rPr>
              <w:t>0.0364</w:t>
            </w:r>
          </w:p>
        </w:tc>
      </w:tr>
      <w:tr w:rsidR="00AF13C4" w14:paraId="0CB21DCE" w14:textId="77777777" w:rsidTr="005249C0">
        <w:trPr>
          <w:trHeight w:val="340"/>
        </w:trPr>
        <w:tc>
          <w:tcPr>
            <w:tcW w:w="1925" w:type="dxa"/>
            <w:shd w:val="clear" w:color="auto" w:fill="FFFFFF"/>
            <w:vAlign w:val="center"/>
          </w:tcPr>
          <w:p w14:paraId="10E591A5" w14:textId="77777777" w:rsidR="0076366E" w:rsidRPr="00DE0DFA" w:rsidRDefault="0076366E" w:rsidP="0076366E">
            <w:pPr>
              <w:jc w:val="center"/>
              <w:rPr>
                <w:rFonts w:ascii="Calibri" w:hAnsi="Calibri"/>
                <w:szCs w:val="21"/>
              </w:rPr>
            </w:pPr>
            <w:r w:rsidRPr="00DE0DFA">
              <w:rPr>
                <w:rFonts w:ascii="Calibri" w:hAnsi="Calibri" w:hint="eastAsia"/>
                <w:szCs w:val="21"/>
              </w:rPr>
              <w:t>76.0</w:t>
            </w:r>
          </w:p>
        </w:tc>
        <w:tc>
          <w:tcPr>
            <w:tcW w:w="1462" w:type="dxa"/>
            <w:shd w:val="clear" w:color="auto" w:fill="FFFFFF"/>
            <w:vAlign w:val="center"/>
          </w:tcPr>
          <w:p w14:paraId="521125F5" w14:textId="77777777" w:rsidR="0076366E" w:rsidRPr="00DE0DFA" w:rsidRDefault="0076366E" w:rsidP="0076366E">
            <w:pPr>
              <w:jc w:val="center"/>
              <w:rPr>
                <w:rFonts w:ascii="Calibri" w:hAnsi="Calibri"/>
                <w:szCs w:val="21"/>
              </w:rPr>
            </w:pPr>
            <w:r w:rsidRPr="00DE0DFA">
              <w:rPr>
                <w:rFonts w:ascii="Calibri" w:hAnsi="Calibri"/>
                <w:szCs w:val="21"/>
              </w:rPr>
              <w:t>0.2687</w:t>
            </w:r>
          </w:p>
        </w:tc>
        <w:tc>
          <w:tcPr>
            <w:tcW w:w="1372" w:type="dxa"/>
            <w:shd w:val="clear" w:color="auto" w:fill="FFFFFF"/>
            <w:vAlign w:val="center"/>
          </w:tcPr>
          <w:p w14:paraId="76EA0420" w14:textId="77777777" w:rsidR="0076366E" w:rsidRPr="00DE0DFA" w:rsidRDefault="0076366E" w:rsidP="0076366E">
            <w:pPr>
              <w:jc w:val="center"/>
              <w:rPr>
                <w:rFonts w:ascii="Calibri" w:hAnsi="Calibri"/>
                <w:szCs w:val="21"/>
              </w:rPr>
            </w:pPr>
            <w:r w:rsidRPr="00DE0DFA">
              <w:rPr>
                <w:rFonts w:ascii="Calibri" w:hAnsi="Calibri"/>
                <w:szCs w:val="21"/>
              </w:rPr>
              <w:t>0.0597</w:t>
            </w:r>
          </w:p>
        </w:tc>
        <w:tc>
          <w:tcPr>
            <w:tcW w:w="1942" w:type="dxa"/>
            <w:shd w:val="clear" w:color="auto" w:fill="FFFFFF"/>
            <w:vAlign w:val="center"/>
          </w:tcPr>
          <w:p w14:paraId="0AAD392A" w14:textId="77777777" w:rsidR="0076366E" w:rsidRPr="00DE0DFA" w:rsidRDefault="0076366E" w:rsidP="0076366E">
            <w:pPr>
              <w:jc w:val="center"/>
              <w:rPr>
                <w:rFonts w:ascii="Calibri" w:hAnsi="Calibri"/>
                <w:szCs w:val="21"/>
              </w:rPr>
            </w:pPr>
            <w:r w:rsidRPr="00DE0DFA">
              <w:rPr>
                <w:rFonts w:ascii="Calibri" w:hAnsi="Calibri"/>
                <w:szCs w:val="21"/>
              </w:rPr>
              <w:t>0.0820</w:t>
            </w:r>
          </w:p>
        </w:tc>
        <w:tc>
          <w:tcPr>
            <w:tcW w:w="1826" w:type="dxa"/>
            <w:shd w:val="clear" w:color="auto" w:fill="FFFFFF"/>
            <w:vAlign w:val="center"/>
          </w:tcPr>
          <w:p w14:paraId="3276A559" w14:textId="77777777" w:rsidR="0076366E" w:rsidRPr="00DE0DFA" w:rsidRDefault="0076366E" w:rsidP="0076366E">
            <w:pPr>
              <w:jc w:val="center"/>
              <w:rPr>
                <w:rFonts w:ascii="Calibri" w:hAnsi="Calibri"/>
                <w:szCs w:val="21"/>
              </w:rPr>
            </w:pPr>
            <w:r w:rsidRPr="00DE0DFA">
              <w:rPr>
                <w:rFonts w:ascii="Calibri" w:hAnsi="Calibri"/>
                <w:szCs w:val="21"/>
              </w:rPr>
              <w:t>0.0365</w:t>
            </w:r>
          </w:p>
        </w:tc>
      </w:tr>
      <w:tr w:rsidR="00AF13C4" w14:paraId="4D623E97" w14:textId="77777777" w:rsidTr="005249C0">
        <w:trPr>
          <w:trHeight w:val="340"/>
        </w:trPr>
        <w:tc>
          <w:tcPr>
            <w:tcW w:w="1925" w:type="dxa"/>
            <w:shd w:val="clear" w:color="auto" w:fill="FFFFFF"/>
            <w:vAlign w:val="center"/>
          </w:tcPr>
          <w:p w14:paraId="282E0C7A" w14:textId="77777777" w:rsidR="0076366E" w:rsidRPr="00DE0DFA" w:rsidRDefault="0076366E" w:rsidP="0076366E">
            <w:pPr>
              <w:jc w:val="center"/>
              <w:rPr>
                <w:rFonts w:ascii="Calibri" w:hAnsi="Calibri"/>
                <w:szCs w:val="21"/>
              </w:rPr>
            </w:pPr>
            <w:r w:rsidRPr="00DE0DFA">
              <w:rPr>
                <w:rFonts w:ascii="Calibri" w:hAnsi="Calibri"/>
                <w:szCs w:val="21"/>
              </w:rPr>
              <w:t>100.0</w:t>
            </w:r>
          </w:p>
        </w:tc>
        <w:tc>
          <w:tcPr>
            <w:tcW w:w="1462" w:type="dxa"/>
            <w:shd w:val="clear" w:color="auto" w:fill="FFFFFF"/>
            <w:vAlign w:val="center"/>
          </w:tcPr>
          <w:p w14:paraId="09A17758" w14:textId="77777777" w:rsidR="0076366E" w:rsidRPr="00DE0DFA" w:rsidRDefault="0076366E" w:rsidP="0076366E">
            <w:pPr>
              <w:jc w:val="center"/>
              <w:rPr>
                <w:rFonts w:ascii="Calibri" w:hAnsi="Calibri"/>
                <w:szCs w:val="21"/>
              </w:rPr>
            </w:pPr>
            <w:r w:rsidRPr="00DE0DFA">
              <w:rPr>
                <w:rFonts w:ascii="Calibri" w:hAnsi="Calibri"/>
                <w:szCs w:val="21"/>
              </w:rPr>
              <w:t>0.2557</w:t>
            </w:r>
          </w:p>
        </w:tc>
        <w:tc>
          <w:tcPr>
            <w:tcW w:w="1372" w:type="dxa"/>
            <w:shd w:val="clear" w:color="auto" w:fill="FFFFFF"/>
            <w:vAlign w:val="center"/>
          </w:tcPr>
          <w:p w14:paraId="126C2857" w14:textId="77777777" w:rsidR="0076366E" w:rsidRPr="00DE0DFA" w:rsidRDefault="0076366E" w:rsidP="0076366E">
            <w:pPr>
              <w:jc w:val="center"/>
              <w:rPr>
                <w:rFonts w:ascii="Calibri" w:hAnsi="Calibri"/>
                <w:szCs w:val="21"/>
              </w:rPr>
            </w:pPr>
            <w:r w:rsidRPr="00DE0DFA">
              <w:rPr>
                <w:rFonts w:ascii="Calibri" w:hAnsi="Calibri"/>
                <w:szCs w:val="21"/>
              </w:rPr>
              <w:t>0.0568</w:t>
            </w:r>
          </w:p>
        </w:tc>
        <w:tc>
          <w:tcPr>
            <w:tcW w:w="1942" w:type="dxa"/>
            <w:shd w:val="clear" w:color="auto" w:fill="FFFFFF"/>
            <w:vAlign w:val="center"/>
          </w:tcPr>
          <w:p w14:paraId="5A543C03" w14:textId="77777777" w:rsidR="0076366E" w:rsidRPr="00DE0DFA" w:rsidRDefault="0076366E" w:rsidP="0076366E">
            <w:pPr>
              <w:jc w:val="center"/>
              <w:rPr>
                <w:rFonts w:ascii="Calibri" w:hAnsi="Calibri"/>
                <w:szCs w:val="21"/>
              </w:rPr>
            </w:pPr>
            <w:r w:rsidRPr="00DE0DFA">
              <w:rPr>
                <w:rFonts w:ascii="Calibri" w:hAnsi="Calibri"/>
                <w:szCs w:val="21"/>
              </w:rPr>
              <w:t>0.0781</w:t>
            </w:r>
          </w:p>
        </w:tc>
        <w:tc>
          <w:tcPr>
            <w:tcW w:w="1826" w:type="dxa"/>
            <w:shd w:val="clear" w:color="auto" w:fill="FFFFFF"/>
            <w:vAlign w:val="center"/>
          </w:tcPr>
          <w:p w14:paraId="6C8F37F2" w14:textId="77777777" w:rsidR="0076366E" w:rsidRPr="00DE0DFA" w:rsidRDefault="0076366E" w:rsidP="0076366E">
            <w:pPr>
              <w:jc w:val="center"/>
              <w:rPr>
                <w:rFonts w:ascii="Calibri" w:hAnsi="Calibri"/>
                <w:szCs w:val="21"/>
              </w:rPr>
            </w:pPr>
            <w:r w:rsidRPr="00DE0DFA">
              <w:rPr>
                <w:rFonts w:ascii="Calibri" w:hAnsi="Calibri"/>
                <w:szCs w:val="21"/>
              </w:rPr>
              <w:t>0.0347</w:t>
            </w:r>
          </w:p>
        </w:tc>
      </w:tr>
      <w:tr w:rsidR="00AF13C4" w14:paraId="62B85118" w14:textId="77777777" w:rsidTr="005249C0">
        <w:trPr>
          <w:trHeight w:val="340"/>
        </w:trPr>
        <w:tc>
          <w:tcPr>
            <w:tcW w:w="1925" w:type="dxa"/>
            <w:shd w:val="clear" w:color="auto" w:fill="FFFFFF"/>
            <w:vAlign w:val="center"/>
          </w:tcPr>
          <w:p w14:paraId="4D08147A" w14:textId="77777777" w:rsidR="0076366E" w:rsidRPr="00DE0DFA" w:rsidRDefault="0076366E" w:rsidP="0076366E">
            <w:pPr>
              <w:jc w:val="center"/>
              <w:rPr>
                <w:rFonts w:ascii="Calibri" w:hAnsi="Calibri"/>
                <w:szCs w:val="21"/>
              </w:rPr>
            </w:pPr>
            <w:r w:rsidRPr="00DE0DFA">
              <w:rPr>
                <w:rFonts w:ascii="Calibri" w:hAnsi="Calibri"/>
                <w:szCs w:val="21"/>
              </w:rPr>
              <w:t>200.0</w:t>
            </w:r>
          </w:p>
        </w:tc>
        <w:tc>
          <w:tcPr>
            <w:tcW w:w="1462" w:type="dxa"/>
            <w:shd w:val="clear" w:color="auto" w:fill="FFFFFF"/>
            <w:vAlign w:val="center"/>
          </w:tcPr>
          <w:p w14:paraId="4A065C32" w14:textId="77777777" w:rsidR="0076366E" w:rsidRPr="00DE0DFA" w:rsidRDefault="0076366E" w:rsidP="0076366E">
            <w:pPr>
              <w:jc w:val="center"/>
              <w:rPr>
                <w:rFonts w:ascii="Calibri" w:hAnsi="Calibri"/>
                <w:szCs w:val="21"/>
              </w:rPr>
            </w:pPr>
            <w:r w:rsidRPr="00DE0DFA">
              <w:rPr>
                <w:rFonts w:ascii="Calibri" w:hAnsi="Calibri"/>
                <w:szCs w:val="21"/>
              </w:rPr>
              <w:t>0.2214</w:t>
            </w:r>
          </w:p>
        </w:tc>
        <w:tc>
          <w:tcPr>
            <w:tcW w:w="1372" w:type="dxa"/>
            <w:shd w:val="clear" w:color="auto" w:fill="FFFFFF"/>
            <w:vAlign w:val="center"/>
          </w:tcPr>
          <w:p w14:paraId="710BB5C4" w14:textId="77777777" w:rsidR="0076366E" w:rsidRPr="00DE0DFA" w:rsidRDefault="0076366E" w:rsidP="0076366E">
            <w:pPr>
              <w:jc w:val="center"/>
              <w:rPr>
                <w:rFonts w:ascii="Calibri" w:hAnsi="Calibri"/>
                <w:szCs w:val="21"/>
              </w:rPr>
            </w:pPr>
            <w:r w:rsidRPr="00DE0DFA">
              <w:rPr>
                <w:rFonts w:ascii="Calibri" w:hAnsi="Calibri"/>
                <w:szCs w:val="21"/>
              </w:rPr>
              <w:t>0.0492</w:t>
            </w:r>
          </w:p>
        </w:tc>
        <w:tc>
          <w:tcPr>
            <w:tcW w:w="1942" w:type="dxa"/>
            <w:shd w:val="clear" w:color="auto" w:fill="FFFFFF"/>
            <w:vAlign w:val="center"/>
          </w:tcPr>
          <w:p w14:paraId="6949049B" w14:textId="77777777" w:rsidR="0076366E" w:rsidRPr="00DE0DFA" w:rsidRDefault="0076366E" w:rsidP="0076366E">
            <w:pPr>
              <w:jc w:val="center"/>
              <w:rPr>
                <w:rFonts w:ascii="Calibri" w:hAnsi="Calibri"/>
                <w:szCs w:val="21"/>
              </w:rPr>
            </w:pPr>
            <w:r w:rsidRPr="00DE0DFA">
              <w:rPr>
                <w:rFonts w:ascii="Calibri" w:hAnsi="Calibri"/>
                <w:szCs w:val="21"/>
              </w:rPr>
              <w:t>0.0676</w:t>
            </w:r>
          </w:p>
        </w:tc>
        <w:tc>
          <w:tcPr>
            <w:tcW w:w="1826" w:type="dxa"/>
            <w:shd w:val="clear" w:color="auto" w:fill="FFFFFF"/>
            <w:vAlign w:val="center"/>
          </w:tcPr>
          <w:p w14:paraId="3142976F" w14:textId="77777777" w:rsidR="0076366E" w:rsidRPr="00DE0DFA" w:rsidRDefault="0076366E" w:rsidP="0076366E">
            <w:pPr>
              <w:jc w:val="center"/>
              <w:rPr>
                <w:rFonts w:ascii="Calibri" w:hAnsi="Calibri"/>
                <w:szCs w:val="21"/>
              </w:rPr>
            </w:pPr>
            <w:r w:rsidRPr="00DE0DFA">
              <w:rPr>
                <w:rFonts w:ascii="Calibri" w:hAnsi="Calibri"/>
                <w:szCs w:val="21"/>
              </w:rPr>
              <w:t>0.0300</w:t>
            </w:r>
          </w:p>
        </w:tc>
      </w:tr>
      <w:tr w:rsidR="00AF13C4" w14:paraId="65E6DED6" w14:textId="77777777" w:rsidTr="005249C0">
        <w:trPr>
          <w:trHeight w:val="340"/>
        </w:trPr>
        <w:tc>
          <w:tcPr>
            <w:tcW w:w="1925" w:type="dxa"/>
            <w:shd w:val="clear" w:color="auto" w:fill="FFFFFF"/>
            <w:vAlign w:val="center"/>
          </w:tcPr>
          <w:p w14:paraId="540BE267" w14:textId="77777777" w:rsidR="0076366E" w:rsidRPr="00DE0DFA" w:rsidRDefault="0076366E" w:rsidP="0076366E">
            <w:pPr>
              <w:jc w:val="center"/>
              <w:rPr>
                <w:rFonts w:ascii="Calibri" w:hAnsi="Calibri"/>
                <w:szCs w:val="21"/>
              </w:rPr>
            </w:pPr>
            <w:r w:rsidRPr="00DE0DFA">
              <w:rPr>
                <w:rFonts w:ascii="Calibri" w:hAnsi="Calibri"/>
                <w:szCs w:val="21"/>
              </w:rPr>
              <w:t>300.0</w:t>
            </w:r>
          </w:p>
        </w:tc>
        <w:tc>
          <w:tcPr>
            <w:tcW w:w="1462" w:type="dxa"/>
            <w:shd w:val="clear" w:color="auto" w:fill="FFFFFF"/>
            <w:vAlign w:val="center"/>
          </w:tcPr>
          <w:p w14:paraId="66F97DB4" w14:textId="77777777" w:rsidR="0076366E" w:rsidRPr="00DE0DFA" w:rsidRDefault="0076366E" w:rsidP="0076366E">
            <w:pPr>
              <w:jc w:val="center"/>
              <w:rPr>
                <w:rFonts w:ascii="Calibri" w:hAnsi="Calibri"/>
                <w:szCs w:val="21"/>
              </w:rPr>
            </w:pPr>
            <w:r w:rsidRPr="00DE0DFA">
              <w:rPr>
                <w:rFonts w:ascii="Calibri" w:hAnsi="Calibri"/>
                <w:szCs w:val="21"/>
              </w:rPr>
              <w:t>0.2264</w:t>
            </w:r>
          </w:p>
        </w:tc>
        <w:tc>
          <w:tcPr>
            <w:tcW w:w="1372" w:type="dxa"/>
            <w:shd w:val="clear" w:color="auto" w:fill="FFFFFF"/>
            <w:vAlign w:val="center"/>
          </w:tcPr>
          <w:p w14:paraId="0C585F00" w14:textId="77777777" w:rsidR="0076366E" w:rsidRPr="00DE0DFA" w:rsidRDefault="0076366E" w:rsidP="0076366E">
            <w:pPr>
              <w:jc w:val="center"/>
              <w:rPr>
                <w:rFonts w:ascii="Calibri" w:hAnsi="Calibri"/>
                <w:szCs w:val="21"/>
              </w:rPr>
            </w:pPr>
            <w:r w:rsidRPr="00DE0DFA">
              <w:rPr>
                <w:rFonts w:ascii="Calibri" w:hAnsi="Calibri"/>
                <w:szCs w:val="21"/>
              </w:rPr>
              <w:t>0.0503</w:t>
            </w:r>
          </w:p>
        </w:tc>
        <w:tc>
          <w:tcPr>
            <w:tcW w:w="1942" w:type="dxa"/>
            <w:shd w:val="clear" w:color="auto" w:fill="FFFFFF"/>
            <w:vAlign w:val="center"/>
          </w:tcPr>
          <w:p w14:paraId="35413919" w14:textId="77777777" w:rsidR="0076366E" w:rsidRPr="00DE0DFA" w:rsidRDefault="0076366E" w:rsidP="0076366E">
            <w:pPr>
              <w:jc w:val="center"/>
              <w:rPr>
                <w:rFonts w:ascii="Calibri" w:hAnsi="Calibri"/>
                <w:szCs w:val="21"/>
              </w:rPr>
            </w:pPr>
            <w:r w:rsidRPr="00DE0DFA">
              <w:rPr>
                <w:rFonts w:ascii="Calibri" w:hAnsi="Calibri"/>
                <w:szCs w:val="21"/>
              </w:rPr>
              <w:t>0.0691</w:t>
            </w:r>
          </w:p>
        </w:tc>
        <w:tc>
          <w:tcPr>
            <w:tcW w:w="1826" w:type="dxa"/>
            <w:shd w:val="clear" w:color="auto" w:fill="FFFFFF"/>
            <w:vAlign w:val="center"/>
          </w:tcPr>
          <w:p w14:paraId="22385378" w14:textId="77777777" w:rsidR="0076366E" w:rsidRPr="00DE0DFA" w:rsidRDefault="0076366E" w:rsidP="0076366E">
            <w:pPr>
              <w:jc w:val="center"/>
              <w:rPr>
                <w:rFonts w:ascii="Calibri" w:hAnsi="Calibri"/>
                <w:szCs w:val="21"/>
              </w:rPr>
            </w:pPr>
            <w:r w:rsidRPr="00DE0DFA">
              <w:rPr>
                <w:rFonts w:ascii="Calibri" w:hAnsi="Calibri"/>
                <w:szCs w:val="21"/>
              </w:rPr>
              <w:t>0.0307</w:t>
            </w:r>
          </w:p>
        </w:tc>
      </w:tr>
      <w:tr w:rsidR="00AF13C4" w14:paraId="7D226212" w14:textId="77777777" w:rsidTr="005249C0">
        <w:trPr>
          <w:trHeight w:val="340"/>
        </w:trPr>
        <w:tc>
          <w:tcPr>
            <w:tcW w:w="1925" w:type="dxa"/>
            <w:shd w:val="clear" w:color="auto" w:fill="FFFFFF"/>
            <w:vAlign w:val="center"/>
          </w:tcPr>
          <w:p w14:paraId="64FF9314" w14:textId="77777777" w:rsidR="0076366E" w:rsidRPr="00DE0DFA" w:rsidRDefault="0076366E" w:rsidP="0076366E">
            <w:pPr>
              <w:jc w:val="center"/>
              <w:rPr>
                <w:rFonts w:ascii="Calibri" w:hAnsi="Calibri"/>
                <w:szCs w:val="21"/>
              </w:rPr>
            </w:pPr>
            <w:r w:rsidRPr="00DE0DFA">
              <w:rPr>
                <w:rFonts w:ascii="Calibri" w:hAnsi="Calibri"/>
                <w:szCs w:val="21"/>
              </w:rPr>
              <w:t>400.0</w:t>
            </w:r>
          </w:p>
        </w:tc>
        <w:tc>
          <w:tcPr>
            <w:tcW w:w="1462" w:type="dxa"/>
            <w:shd w:val="clear" w:color="auto" w:fill="FFFFFF"/>
            <w:vAlign w:val="center"/>
          </w:tcPr>
          <w:p w14:paraId="3BBA5037" w14:textId="77777777" w:rsidR="0076366E" w:rsidRPr="00DE0DFA" w:rsidRDefault="0076366E" w:rsidP="0076366E">
            <w:pPr>
              <w:jc w:val="center"/>
              <w:rPr>
                <w:rFonts w:ascii="Calibri" w:hAnsi="Calibri"/>
                <w:szCs w:val="21"/>
              </w:rPr>
            </w:pPr>
            <w:r w:rsidRPr="00DE0DFA">
              <w:rPr>
                <w:rFonts w:ascii="Calibri" w:hAnsi="Calibri"/>
                <w:szCs w:val="21"/>
              </w:rPr>
              <w:t>0.2050</w:t>
            </w:r>
          </w:p>
        </w:tc>
        <w:tc>
          <w:tcPr>
            <w:tcW w:w="1372" w:type="dxa"/>
            <w:shd w:val="clear" w:color="auto" w:fill="FFFFFF"/>
            <w:vAlign w:val="center"/>
          </w:tcPr>
          <w:p w14:paraId="75A421AC" w14:textId="77777777" w:rsidR="0076366E" w:rsidRPr="00DE0DFA" w:rsidRDefault="0076366E" w:rsidP="0076366E">
            <w:pPr>
              <w:jc w:val="center"/>
              <w:rPr>
                <w:rFonts w:ascii="Calibri" w:hAnsi="Calibri"/>
                <w:szCs w:val="21"/>
              </w:rPr>
            </w:pPr>
            <w:r w:rsidRPr="00DE0DFA">
              <w:rPr>
                <w:rFonts w:ascii="Calibri" w:hAnsi="Calibri"/>
                <w:szCs w:val="21"/>
              </w:rPr>
              <w:t>0.0456</w:t>
            </w:r>
          </w:p>
        </w:tc>
        <w:tc>
          <w:tcPr>
            <w:tcW w:w="1942" w:type="dxa"/>
            <w:shd w:val="clear" w:color="auto" w:fill="FFFFFF"/>
            <w:vAlign w:val="center"/>
          </w:tcPr>
          <w:p w14:paraId="34ACBF91" w14:textId="77777777" w:rsidR="0076366E" w:rsidRPr="00DE0DFA" w:rsidRDefault="0076366E" w:rsidP="0076366E">
            <w:pPr>
              <w:jc w:val="center"/>
              <w:rPr>
                <w:rFonts w:ascii="Calibri" w:hAnsi="Calibri"/>
                <w:szCs w:val="21"/>
              </w:rPr>
            </w:pPr>
            <w:r w:rsidRPr="00DE0DFA">
              <w:rPr>
                <w:rFonts w:ascii="Calibri" w:hAnsi="Calibri"/>
                <w:szCs w:val="21"/>
              </w:rPr>
              <w:t>0.0626</w:t>
            </w:r>
          </w:p>
        </w:tc>
        <w:tc>
          <w:tcPr>
            <w:tcW w:w="1826" w:type="dxa"/>
            <w:shd w:val="clear" w:color="auto" w:fill="FFFFFF"/>
            <w:vAlign w:val="center"/>
          </w:tcPr>
          <w:p w14:paraId="623DEFB8" w14:textId="77777777" w:rsidR="0076366E" w:rsidRPr="00DE0DFA" w:rsidRDefault="0076366E" w:rsidP="0076366E">
            <w:pPr>
              <w:jc w:val="center"/>
              <w:rPr>
                <w:rFonts w:ascii="Calibri" w:hAnsi="Calibri"/>
                <w:szCs w:val="21"/>
              </w:rPr>
            </w:pPr>
            <w:r w:rsidRPr="00DE0DFA">
              <w:rPr>
                <w:rFonts w:ascii="Calibri" w:hAnsi="Calibri"/>
                <w:szCs w:val="21"/>
              </w:rPr>
              <w:t>0.0278</w:t>
            </w:r>
          </w:p>
        </w:tc>
      </w:tr>
      <w:tr w:rsidR="00AF13C4" w14:paraId="76A9CE99" w14:textId="77777777" w:rsidTr="005249C0">
        <w:trPr>
          <w:trHeight w:val="340"/>
        </w:trPr>
        <w:tc>
          <w:tcPr>
            <w:tcW w:w="1925" w:type="dxa"/>
            <w:shd w:val="clear" w:color="auto" w:fill="FFFFFF"/>
            <w:vAlign w:val="center"/>
          </w:tcPr>
          <w:p w14:paraId="2B1952E3" w14:textId="77777777" w:rsidR="0076366E" w:rsidRPr="00DE0DFA" w:rsidRDefault="0076366E" w:rsidP="0076366E">
            <w:pPr>
              <w:jc w:val="center"/>
              <w:rPr>
                <w:rFonts w:ascii="Calibri" w:hAnsi="Calibri"/>
                <w:szCs w:val="21"/>
              </w:rPr>
            </w:pPr>
            <w:r w:rsidRPr="00DE0DFA">
              <w:rPr>
                <w:rFonts w:ascii="Calibri" w:hAnsi="Calibri"/>
                <w:szCs w:val="21"/>
              </w:rPr>
              <w:t>500.0</w:t>
            </w:r>
          </w:p>
        </w:tc>
        <w:tc>
          <w:tcPr>
            <w:tcW w:w="1462" w:type="dxa"/>
            <w:shd w:val="clear" w:color="auto" w:fill="FFFFFF"/>
            <w:vAlign w:val="center"/>
          </w:tcPr>
          <w:p w14:paraId="058D9C2B" w14:textId="77777777" w:rsidR="0076366E" w:rsidRPr="00DE0DFA" w:rsidRDefault="0076366E" w:rsidP="0076366E">
            <w:pPr>
              <w:jc w:val="center"/>
              <w:rPr>
                <w:rFonts w:ascii="Calibri" w:hAnsi="Calibri"/>
                <w:szCs w:val="21"/>
              </w:rPr>
            </w:pPr>
            <w:r w:rsidRPr="00DE0DFA">
              <w:rPr>
                <w:rFonts w:ascii="Calibri" w:hAnsi="Calibri"/>
                <w:szCs w:val="21"/>
              </w:rPr>
              <w:t>0.1874</w:t>
            </w:r>
          </w:p>
        </w:tc>
        <w:tc>
          <w:tcPr>
            <w:tcW w:w="1372" w:type="dxa"/>
            <w:shd w:val="clear" w:color="auto" w:fill="FFFFFF"/>
            <w:vAlign w:val="center"/>
          </w:tcPr>
          <w:p w14:paraId="24ACDEF6" w14:textId="77777777" w:rsidR="0076366E" w:rsidRPr="00DE0DFA" w:rsidRDefault="0076366E" w:rsidP="0076366E">
            <w:pPr>
              <w:jc w:val="center"/>
              <w:rPr>
                <w:rFonts w:ascii="Calibri" w:hAnsi="Calibri"/>
                <w:szCs w:val="21"/>
              </w:rPr>
            </w:pPr>
            <w:r w:rsidRPr="00DE0DFA">
              <w:rPr>
                <w:rFonts w:ascii="Calibri" w:hAnsi="Calibri"/>
                <w:szCs w:val="21"/>
              </w:rPr>
              <w:t>0.0416</w:t>
            </w:r>
          </w:p>
        </w:tc>
        <w:tc>
          <w:tcPr>
            <w:tcW w:w="1942" w:type="dxa"/>
            <w:shd w:val="clear" w:color="auto" w:fill="FFFFFF"/>
            <w:vAlign w:val="center"/>
          </w:tcPr>
          <w:p w14:paraId="16F245D5" w14:textId="77777777" w:rsidR="0076366E" w:rsidRPr="00DE0DFA" w:rsidRDefault="0076366E" w:rsidP="0076366E">
            <w:pPr>
              <w:jc w:val="center"/>
              <w:rPr>
                <w:rFonts w:ascii="Calibri" w:hAnsi="Calibri"/>
                <w:szCs w:val="21"/>
              </w:rPr>
            </w:pPr>
            <w:r w:rsidRPr="00DE0DFA">
              <w:rPr>
                <w:rFonts w:ascii="Calibri" w:hAnsi="Calibri"/>
                <w:szCs w:val="21"/>
              </w:rPr>
              <w:t>0.0572</w:t>
            </w:r>
          </w:p>
        </w:tc>
        <w:tc>
          <w:tcPr>
            <w:tcW w:w="1826" w:type="dxa"/>
            <w:shd w:val="clear" w:color="auto" w:fill="FFFFFF"/>
            <w:vAlign w:val="center"/>
          </w:tcPr>
          <w:p w14:paraId="676DB446" w14:textId="77777777" w:rsidR="0076366E" w:rsidRPr="00DE0DFA" w:rsidRDefault="0076366E" w:rsidP="0076366E">
            <w:pPr>
              <w:jc w:val="center"/>
              <w:rPr>
                <w:rFonts w:ascii="Calibri" w:hAnsi="Calibri"/>
                <w:szCs w:val="21"/>
              </w:rPr>
            </w:pPr>
            <w:r w:rsidRPr="00DE0DFA">
              <w:rPr>
                <w:rFonts w:ascii="Calibri" w:hAnsi="Calibri"/>
                <w:szCs w:val="21"/>
              </w:rPr>
              <w:t>0.0254</w:t>
            </w:r>
          </w:p>
        </w:tc>
      </w:tr>
      <w:tr w:rsidR="00AF13C4" w14:paraId="7F9D5A1C" w14:textId="77777777" w:rsidTr="005249C0">
        <w:trPr>
          <w:trHeight w:val="340"/>
        </w:trPr>
        <w:tc>
          <w:tcPr>
            <w:tcW w:w="1925" w:type="dxa"/>
            <w:shd w:val="clear" w:color="auto" w:fill="FFFFFF"/>
            <w:vAlign w:val="center"/>
          </w:tcPr>
          <w:p w14:paraId="6B67B65F" w14:textId="77777777" w:rsidR="0076366E" w:rsidRPr="00DE0DFA" w:rsidRDefault="0076366E" w:rsidP="0076366E">
            <w:pPr>
              <w:jc w:val="center"/>
              <w:rPr>
                <w:rFonts w:ascii="Calibri" w:hAnsi="Calibri"/>
                <w:szCs w:val="21"/>
              </w:rPr>
            </w:pPr>
            <w:r w:rsidRPr="00DE0DFA">
              <w:rPr>
                <w:rFonts w:ascii="Calibri" w:hAnsi="Calibri"/>
                <w:szCs w:val="21"/>
              </w:rPr>
              <w:t>600.0</w:t>
            </w:r>
          </w:p>
        </w:tc>
        <w:tc>
          <w:tcPr>
            <w:tcW w:w="1462" w:type="dxa"/>
            <w:shd w:val="clear" w:color="auto" w:fill="FFFFFF"/>
            <w:vAlign w:val="center"/>
          </w:tcPr>
          <w:p w14:paraId="04CC3ED8" w14:textId="77777777" w:rsidR="0076366E" w:rsidRPr="00DE0DFA" w:rsidRDefault="0076366E" w:rsidP="0076366E">
            <w:pPr>
              <w:jc w:val="center"/>
              <w:rPr>
                <w:rFonts w:ascii="Calibri" w:hAnsi="Calibri"/>
                <w:szCs w:val="21"/>
              </w:rPr>
            </w:pPr>
            <w:r w:rsidRPr="00DE0DFA">
              <w:rPr>
                <w:rFonts w:ascii="Calibri" w:hAnsi="Calibri"/>
                <w:szCs w:val="21"/>
              </w:rPr>
              <w:t>0.1797</w:t>
            </w:r>
          </w:p>
        </w:tc>
        <w:tc>
          <w:tcPr>
            <w:tcW w:w="1372" w:type="dxa"/>
            <w:shd w:val="clear" w:color="auto" w:fill="FFFFFF"/>
            <w:vAlign w:val="center"/>
          </w:tcPr>
          <w:p w14:paraId="2A93A057" w14:textId="77777777" w:rsidR="0076366E" w:rsidRPr="00DE0DFA" w:rsidRDefault="0076366E" w:rsidP="0076366E">
            <w:pPr>
              <w:jc w:val="center"/>
              <w:rPr>
                <w:rFonts w:ascii="Calibri" w:hAnsi="Calibri"/>
                <w:szCs w:val="21"/>
              </w:rPr>
            </w:pPr>
            <w:r w:rsidRPr="00DE0DFA">
              <w:rPr>
                <w:rFonts w:ascii="Calibri" w:hAnsi="Calibri"/>
                <w:szCs w:val="21"/>
              </w:rPr>
              <w:t>0.0399</w:t>
            </w:r>
          </w:p>
        </w:tc>
        <w:tc>
          <w:tcPr>
            <w:tcW w:w="1942" w:type="dxa"/>
            <w:shd w:val="clear" w:color="auto" w:fill="FFFFFF"/>
            <w:vAlign w:val="center"/>
          </w:tcPr>
          <w:p w14:paraId="7C7AE219" w14:textId="77777777" w:rsidR="0076366E" w:rsidRPr="00DE0DFA" w:rsidRDefault="0076366E" w:rsidP="0076366E">
            <w:pPr>
              <w:jc w:val="center"/>
              <w:rPr>
                <w:rFonts w:ascii="Calibri" w:hAnsi="Calibri"/>
                <w:szCs w:val="21"/>
              </w:rPr>
            </w:pPr>
            <w:r w:rsidRPr="00DE0DFA">
              <w:rPr>
                <w:rFonts w:ascii="Calibri" w:hAnsi="Calibri"/>
                <w:szCs w:val="21"/>
              </w:rPr>
              <w:t>0.0548</w:t>
            </w:r>
          </w:p>
        </w:tc>
        <w:tc>
          <w:tcPr>
            <w:tcW w:w="1826" w:type="dxa"/>
            <w:shd w:val="clear" w:color="auto" w:fill="FFFFFF"/>
            <w:vAlign w:val="center"/>
          </w:tcPr>
          <w:p w14:paraId="1140D7A4" w14:textId="77777777" w:rsidR="0076366E" w:rsidRPr="00DE0DFA" w:rsidRDefault="0076366E" w:rsidP="0076366E">
            <w:pPr>
              <w:jc w:val="center"/>
              <w:rPr>
                <w:rFonts w:ascii="Calibri" w:hAnsi="Calibri"/>
                <w:szCs w:val="21"/>
              </w:rPr>
            </w:pPr>
            <w:r w:rsidRPr="00DE0DFA">
              <w:rPr>
                <w:rFonts w:ascii="Calibri" w:hAnsi="Calibri"/>
                <w:szCs w:val="21"/>
              </w:rPr>
              <w:t>0.0244</w:t>
            </w:r>
          </w:p>
        </w:tc>
      </w:tr>
      <w:tr w:rsidR="00AF13C4" w14:paraId="01183F2D" w14:textId="77777777" w:rsidTr="005249C0">
        <w:trPr>
          <w:trHeight w:val="340"/>
        </w:trPr>
        <w:tc>
          <w:tcPr>
            <w:tcW w:w="1925" w:type="dxa"/>
            <w:shd w:val="clear" w:color="auto" w:fill="FFFFFF"/>
            <w:vAlign w:val="center"/>
          </w:tcPr>
          <w:p w14:paraId="5296D277" w14:textId="77777777" w:rsidR="0076366E" w:rsidRPr="00DE0DFA" w:rsidRDefault="0076366E" w:rsidP="0076366E">
            <w:pPr>
              <w:jc w:val="center"/>
              <w:rPr>
                <w:rFonts w:ascii="Calibri" w:hAnsi="Calibri"/>
                <w:szCs w:val="21"/>
              </w:rPr>
            </w:pPr>
            <w:r w:rsidRPr="00DE0DFA">
              <w:rPr>
                <w:rFonts w:ascii="Calibri" w:hAnsi="Calibri"/>
                <w:szCs w:val="21"/>
              </w:rPr>
              <w:t>700.0</w:t>
            </w:r>
          </w:p>
        </w:tc>
        <w:tc>
          <w:tcPr>
            <w:tcW w:w="1462" w:type="dxa"/>
            <w:shd w:val="clear" w:color="auto" w:fill="FFFFFF"/>
            <w:vAlign w:val="center"/>
          </w:tcPr>
          <w:p w14:paraId="7F150774" w14:textId="77777777" w:rsidR="0076366E" w:rsidRPr="00DE0DFA" w:rsidRDefault="0076366E" w:rsidP="0076366E">
            <w:pPr>
              <w:jc w:val="center"/>
              <w:rPr>
                <w:rFonts w:ascii="Calibri" w:hAnsi="Calibri"/>
                <w:szCs w:val="21"/>
              </w:rPr>
            </w:pPr>
            <w:r w:rsidRPr="00DE0DFA">
              <w:rPr>
                <w:rFonts w:ascii="Calibri" w:hAnsi="Calibri"/>
                <w:szCs w:val="21"/>
              </w:rPr>
              <w:t>0.1734</w:t>
            </w:r>
          </w:p>
        </w:tc>
        <w:tc>
          <w:tcPr>
            <w:tcW w:w="1372" w:type="dxa"/>
            <w:shd w:val="clear" w:color="auto" w:fill="FFFFFF"/>
            <w:vAlign w:val="center"/>
          </w:tcPr>
          <w:p w14:paraId="64CBE061" w14:textId="77777777" w:rsidR="0076366E" w:rsidRPr="00DE0DFA" w:rsidRDefault="0076366E" w:rsidP="0076366E">
            <w:pPr>
              <w:jc w:val="center"/>
              <w:rPr>
                <w:rFonts w:ascii="Calibri" w:hAnsi="Calibri"/>
                <w:szCs w:val="21"/>
              </w:rPr>
            </w:pPr>
            <w:r w:rsidRPr="00DE0DFA">
              <w:rPr>
                <w:rFonts w:ascii="Calibri" w:hAnsi="Calibri"/>
                <w:szCs w:val="21"/>
              </w:rPr>
              <w:t>0.0385</w:t>
            </w:r>
          </w:p>
        </w:tc>
        <w:tc>
          <w:tcPr>
            <w:tcW w:w="1942" w:type="dxa"/>
            <w:shd w:val="clear" w:color="auto" w:fill="FFFFFF"/>
            <w:vAlign w:val="center"/>
          </w:tcPr>
          <w:p w14:paraId="7C6BD129" w14:textId="77777777" w:rsidR="0076366E" w:rsidRPr="00DE0DFA" w:rsidRDefault="0076366E" w:rsidP="0076366E">
            <w:pPr>
              <w:jc w:val="center"/>
              <w:rPr>
                <w:rFonts w:ascii="Calibri" w:hAnsi="Calibri"/>
                <w:szCs w:val="21"/>
              </w:rPr>
            </w:pPr>
            <w:r w:rsidRPr="00DE0DFA">
              <w:rPr>
                <w:rFonts w:ascii="Calibri" w:hAnsi="Calibri"/>
                <w:szCs w:val="21"/>
              </w:rPr>
              <w:t>0.0529</w:t>
            </w:r>
          </w:p>
        </w:tc>
        <w:tc>
          <w:tcPr>
            <w:tcW w:w="1826" w:type="dxa"/>
            <w:shd w:val="clear" w:color="auto" w:fill="FFFFFF"/>
            <w:vAlign w:val="center"/>
          </w:tcPr>
          <w:p w14:paraId="4F440FA0" w14:textId="77777777" w:rsidR="0076366E" w:rsidRPr="00DE0DFA" w:rsidRDefault="0076366E" w:rsidP="0076366E">
            <w:pPr>
              <w:jc w:val="center"/>
              <w:rPr>
                <w:rFonts w:ascii="Calibri" w:hAnsi="Calibri"/>
                <w:szCs w:val="21"/>
              </w:rPr>
            </w:pPr>
            <w:r w:rsidRPr="00DE0DFA">
              <w:rPr>
                <w:rFonts w:ascii="Calibri" w:hAnsi="Calibri"/>
                <w:szCs w:val="21"/>
              </w:rPr>
              <w:t>0.0235</w:t>
            </w:r>
          </w:p>
        </w:tc>
      </w:tr>
      <w:tr w:rsidR="00AF13C4" w14:paraId="6D01AD6D" w14:textId="77777777" w:rsidTr="005249C0">
        <w:trPr>
          <w:trHeight w:val="340"/>
        </w:trPr>
        <w:tc>
          <w:tcPr>
            <w:tcW w:w="1925" w:type="dxa"/>
            <w:shd w:val="clear" w:color="auto" w:fill="FFFFFF"/>
            <w:vAlign w:val="center"/>
          </w:tcPr>
          <w:p w14:paraId="1A3C50DB" w14:textId="77777777" w:rsidR="0076366E" w:rsidRPr="00DE0DFA" w:rsidRDefault="0076366E" w:rsidP="0076366E">
            <w:pPr>
              <w:jc w:val="center"/>
              <w:rPr>
                <w:rFonts w:ascii="Calibri" w:hAnsi="Calibri"/>
                <w:szCs w:val="21"/>
              </w:rPr>
            </w:pPr>
            <w:r w:rsidRPr="00DE0DFA">
              <w:rPr>
                <w:rFonts w:ascii="Calibri" w:hAnsi="Calibri"/>
                <w:szCs w:val="21"/>
              </w:rPr>
              <w:t>800.0</w:t>
            </w:r>
          </w:p>
        </w:tc>
        <w:tc>
          <w:tcPr>
            <w:tcW w:w="1462" w:type="dxa"/>
            <w:shd w:val="clear" w:color="auto" w:fill="FFFFFF"/>
            <w:vAlign w:val="center"/>
          </w:tcPr>
          <w:p w14:paraId="16F69B2F" w14:textId="77777777" w:rsidR="0076366E" w:rsidRPr="00DE0DFA" w:rsidRDefault="0076366E" w:rsidP="0076366E">
            <w:pPr>
              <w:jc w:val="center"/>
              <w:rPr>
                <w:rFonts w:ascii="Calibri" w:hAnsi="Calibri"/>
                <w:szCs w:val="21"/>
              </w:rPr>
            </w:pPr>
            <w:r w:rsidRPr="00DE0DFA">
              <w:rPr>
                <w:rFonts w:ascii="Calibri" w:hAnsi="Calibri"/>
                <w:szCs w:val="21"/>
              </w:rPr>
              <w:t>0.1636</w:t>
            </w:r>
          </w:p>
        </w:tc>
        <w:tc>
          <w:tcPr>
            <w:tcW w:w="1372" w:type="dxa"/>
            <w:shd w:val="clear" w:color="auto" w:fill="FFFFFF"/>
            <w:vAlign w:val="center"/>
          </w:tcPr>
          <w:p w14:paraId="0DAC0CD7" w14:textId="77777777" w:rsidR="0076366E" w:rsidRPr="00DE0DFA" w:rsidRDefault="0076366E" w:rsidP="0076366E">
            <w:pPr>
              <w:jc w:val="center"/>
              <w:rPr>
                <w:rFonts w:ascii="Calibri" w:hAnsi="Calibri"/>
                <w:szCs w:val="21"/>
              </w:rPr>
            </w:pPr>
            <w:r w:rsidRPr="00DE0DFA">
              <w:rPr>
                <w:rFonts w:ascii="Calibri" w:hAnsi="Calibri"/>
                <w:szCs w:val="21"/>
              </w:rPr>
              <w:t>0.0364</w:t>
            </w:r>
          </w:p>
        </w:tc>
        <w:tc>
          <w:tcPr>
            <w:tcW w:w="1942" w:type="dxa"/>
            <w:shd w:val="clear" w:color="auto" w:fill="FFFFFF"/>
            <w:vAlign w:val="center"/>
          </w:tcPr>
          <w:p w14:paraId="1C755D20" w14:textId="77777777" w:rsidR="0076366E" w:rsidRPr="00DE0DFA" w:rsidRDefault="0076366E" w:rsidP="0076366E">
            <w:pPr>
              <w:jc w:val="center"/>
              <w:rPr>
                <w:rFonts w:ascii="Calibri" w:hAnsi="Calibri"/>
                <w:szCs w:val="21"/>
              </w:rPr>
            </w:pPr>
            <w:r w:rsidRPr="00DE0DFA">
              <w:rPr>
                <w:rFonts w:ascii="Calibri" w:hAnsi="Calibri"/>
                <w:szCs w:val="21"/>
              </w:rPr>
              <w:t>0.0499</w:t>
            </w:r>
          </w:p>
        </w:tc>
        <w:tc>
          <w:tcPr>
            <w:tcW w:w="1826" w:type="dxa"/>
            <w:shd w:val="clear" w:color="auto" w:fill="FFFFFF"/>
            <w:vAlign w:val="center"/>
          </w:tcPr>
          <w:p w14:paraId="5D825B9E" w14:textId="77777777" w:rsidR="0076366E" w:rsidRPr="00DE0DFA" w:rsidRDefault="0076366E" w:rsidP="0076366E">
            <w:pPr>
              <w:jc w:val="center"/>
              <w:rPr>
                <w:rFonts w:ascii="Calibri" w:hAnsi="Calibri"/>
                <w:szCs w:val="21"/>
              </w:rPr>
            </w:pPr>
            <w:r w:rsidRPr="00DE0DFA">
              <w:rPr>
                <w:rFonts w:ascii="Calibri" w:hAnsi="Calibri"/>
                <w:szCs w:val="21"/>
              </w:rPr>
              <w:t>0.0222</w:t>
            </w:r>
          </w:p>
        </w:tc>
      </w:tr>
      <w:tr w:rsidR="00AF13C4" w14:paraId="4714B467" w14:textId="77777777" w:rsidTr="005249C0">
        <w:trPr>
          <w:trHeight w:val="340"/>
        </w:trPr>
        <w:tc>
          <w:tcPr>
            <w:tcW w:w="1925" w:type="dxa"/>
            <w:shd w:val="clear" w:color="auto" w:fill="FFFFFF"/>
            <w:vAlign w:val="center"/>
          </w:tcPr>
          <w:p w14:paraId="74671BD7" w14:textId="77777777" w:rsidR="0076366E" w:rsidRPr="00DE0DFA" w:rsidRDefault="0076366E" w:rsidP="0076366E">
            <w:pPr>
              <w:jc w:val="center"/>
              <w:rPr>
                <w:rFonts w:ascii="Calibri" w:hAnsi="Calibri"/>
                <w:szCs w:val="21"/>
              </w:rPr>
            </w:pPr>
            <w:r w:rsidRPr="00DE0DFA">
              <w:rPr>
                <w:rFonts w:ascii="Calibri" w:hAnsi="Calibri"/>
                <w:szCs w:val="21"/>
              </w:rPr>
              <w:t>900.0</w:t>
            </w:r>
          </w:p>
        </w:tc>
        <w:tc>
          <w:tcPr>
            <w:tcW w:w="1462" w:type="dxa"/>
            <w:shd w:val="clear" w:color="auto" w:fill="FFFFFF"/>
            <w:vAlign w:val="center"/>
          </w:tcPr>
          <w:p w14:paraId="32A40104" w14:textId="77777777" w:rsidR="0076366E" w:rsidRPr="00DE0DFA" w:rsidRDefault="0076366E" w:rsidP="0076366E">
            <w:pPr>
              <w:jc w:val="center"/>
              <w:rPr>
                <w:rFonts w:ascii="Calibri" w:hAnsi="Calibri"/>
                <w:szCs w:val="21"/>
              </w:rPr>
            </w:pPr>
            <w:r w:rsidRPr="00DE0DFA">
              <w:rPr>
                <w:rFonts w:ascii="Calibri" w:hAnsi="Calibri"/>
                <w:szCs w:val="21"/>
              </w:rPr>
              <w:t>0.1527</w:t>
            </w:r>
          </w:p>
        </w:tc>
        <w:tc>
          <w:tcPr>
            <w:tcW w:w="1372" w:type="dxa"/>
            <w:shd w:val="clear" w:color="auto" w:fill="FFFFFF"/>
            <w:vAlign w:val="center"/>
          </w:tcPr>
          <w:p w14:paraId="58C7BE4F" w14:textId="77777777" w:rsidR="0076366E" w:rsidRPr="00DE0DFA" w:rsidRDefault="0076366E" w:rsidP="0076366E">
            <w:pPr>
              <w:jc w:val="center"/>
              <w:rPr>
                <w:rFonts w:ascii="Calibri" w:hAnsi="Calibri"/>
                <w:szCs w:val="21"/>
              </w:rPr>
            </w:pPr>
            <w:r w:rsidRPr="00DE0DFA">
              <w:rPr>
                <w:rFonts w:ascii="Calibri" w:hAnsi="Calibri"/>
                <w:szCs w:val="21"/>
              </w:rPr>
              <w:t>0.0339</w:t>
            </w:r>
          </w:p>
        </w:tc>
        <w:tc>
          <w:tcPr>
            <w:tcW w:w="1942" w:type="dxa"/>
            <w:shd w:val="clear" w:color="auto" w:fill="FFFFFF"/>
            <w:vAlign w:val="center"/>
          </w:tcPr>
          <w:p w14:paraId="01DCBDF6" w14:textId="77777777" w:rsidR="0076366E" w:rsidRPr="00DE0DFA" w:rsidRDefault="0076366E" w:rsidP="0076366E">
            <w:pPr>
              <w:jc w:val="center"/>
              <w:rPr>
                <w:rFonts w:ascii="Calibri" w:hAnsi="Calibri"/>
                <w:szCs w:val="21"/>
              </w:rPr>
            </w:pPr>
            <w:r w:rsidRPr="00DE0DFA">
              <w:rPr>
                <w:rFonts w:ascii="Calibri" w:hAnsi="Calibri"/>
                <w:szCs w:val="21"/>
              </w:rPr>
              <w:t>0.0466</w:t>
            </w:r>
          </w:p>
        </w:tc>
        <w:tc>
          <w:tcPr>
            <w:tcW w:w="1826" w:type="dxa"/>
            <w:shd w:val="clear" w:color="auto" w:fill="FFFFFF"/>
            <w:vAlign w:val="center"/>
          </w:tcPr>
          <w:p w14:paraId="0C703101" w14:textId="77777777" w:rsidR="0076366E" w:rsidRPr="00DE0DFA" w:rsidRDefault="0076366E" w:rsidP="0076366E">
            <w:pPr>
              <w:jc w:val="center"/>
              <w:rPr>
                <w:rFonts w:ascii="Calibri" w:hAnsi="Calibri"/>
                <w:szCs w:val="21"/>
              </w:rPr>
            </w:pPr>
            <w:r w:rsidRPr="00DE0DFA">
              <w:rPr>
                <w:rFonts w:ascii="Calibri" w:hAnsi="Calibri"/>
                <w:szCs w:val="21"/>
              </w:rPr>
              <w:t>0.0207</w:t>
            </w:r>
          </w:p>
        </w:tc>
      </w:tr>
      <w:tr w:rsidR="00AF13C4" w14:paraId="19E66C0B" w14:textId="77777777" w:rsidTr="005249C0">
        <w:trPr>
          <w:trHeight w:val="340"/>
        </w:trPr>
        <w:tc>
          <w:tcPr>
            <w:tcW w:w="1925" w:type="dxa"/>
            <w:shd w:val="clear" w:color="auto" w:fill="FFFFFF"/>
            <w:vAlign w:val="center"/>
          </w:tcPr>
          <w:p w14:paraId="0059B75E" w14:textId="77777777" w:rsidR="0076366E" w:rsidRPr="00DE0DFA" w:rsidRDefault="0076366E" w:rsidP="0076366E">
            <w:pPr>
              <w:jc w:val="center"/>
              <w:rPr>
                <w:rFonts w:ascii="Calibri" w:hAnsi="Calibri"/>
                <w:szCs w:val="21"/>
              </w:rPr>
            </w:pPr>
            <w:r w:rsidRPr="00DE0DFA">
              <w:rPr>
                <w:rFonts w:ascii="Calibri" w:hAnsi="Calibri"/>
                <w:szCs w:val="21"/>
              </w:rPr>
              <w:t>1000.0</w:t>
            </w:r>
          </w:p>
        </w:tc>
        <w:tc>
          <w:tcPr>
            <w:tcW w:w="1462" w:type="dxa"/>
            <w:shd w:val="clear" w:color="auto" w:fill="FFFFFF"/>
            <w:vAlign w:val="center"/>
          </w:tcPr>
          <w:p w14:paraId="0CDC412E" w14:textId="77777777" w:rsidR="0076366E" w:rsidRPr="00DE0DFA" w:rsidRDefault="0076366E" w:rsidP="0076366E">
            <w:pPr>
              <w:jc w:val="center"/>
              <w:rPr>
                <w:rFonts w:ascii="Calibri" w:hAnsi="Calibri"/>
                <w:szCs w:val="21"/>
              </w:rPr>
            </w:pPr>
            <w:r w:rsidRPr="00DE0DFA">
              <w:rPr>
                <w:rFonts w:ascii="Calibri" w:hAnsi="Calibri"/>
                <w:szCs w:val="21"/>
              </w:rPr>
              <w:t>0.1426</w:t>
            </w:r>
          </w:p>
        </w:tc>
        <w:tc>
          <w:tcPr>
            <w:tcW w:w="1372" w:type="dxa"/>
            <w:shd w:val="clear" w:color="auto" w:fill="FFFFFF"/>
            <w:vAlign w:val="center"/>
          </w:tcPr>
          <w:p w14:paraId="78BD45BF" w14:textId="77777777" w:rsidR="0076366E" w:rsidRPr="00DE0DFA" w:rsidRDefault="0076366E" w:rsidP="0076366E">
            <w:pPr>
              <w:jc w:val="center"/>
              <w:rPr>
                <w:rFonts w:ascii="Calibri" w:hAnsi="Calibri"/>
                <w:szCs w:val="21"/>
              </w:rPr>
            </w:pPr>
            <w:r w:rsidRPr="00DE0DFA">
              <w:rPr>
                <w:rFonts w:ascii="Calibri" w:hAnsi="Calibri"/>
                <w:szCs w:val="21"/>
              </w:rPr>
              <w:t>0.0317</w:t>
            </w:r>
          </w:p>
        </w:tc>
        <w:tc>
          <w:tcPr>
            <w:tcW w:w="1942" w:type="dxa"/>
            <w:shd w:val="clear" w:color="auto" w:fill="FFFFFF"/>
            <w:vAlign w:val="center"/>
          </w:tcPr>
          <w:p w14:paraId="102995E9" w14:textId="77777777" w:rsidR="0076366E" w:rsidRPr="00DE0DFA" w:rsidRDefault="0076366E" w:rsidP="0076366E">
            <w:pPr>
              <w:jc w:val="center"/>
              <w:rPr>
                <w:rFonts w:ascii="Calibri" w:hAnsi="Calibri"/>
                <w:szCs w:val="21"/>
              </w:rPr>
            </w:pPr>
            <w:r w:rsidRPr="00DE0DFA">
              <w:rPr>
                <w:rFonts w:ascii="Calibri" w:hAnsi="Calibri"/>
                <w:szCs w:val="21"/>
              </w:rPr>
              <w:t>0.0435</w:t>
            </w:r>
          </w:p>
        </w:tc>
        <w:tc>
          <w:tcPr>
            <w:tcW w:w="1826" w:type="dxa"/>
            <w:shd w:val="clear" w:color="auto" w:fill="FFFFFF"/>
            <w:vAlign w:val="center"/>
          </w:tcPr>
          <w:p w14:paraId="2668B4A2" w14:textId="77777777" w:rsidR="0076366E" w:rsidRPr="00DE0DFA" w:rsidRDefault="0076366E" w:rsidP="0076366E">
            <w:pPr>
              <w:jc w:val="center"/>
              <w:rPr>
                <w:rFonts w:ascii="Calibri" w:hAnsi="Calibri"/>
                <w:szCs w:val="21"/>
              </w:rPr>
            </w:pPr>
            <w:r w:rsidRPr="00DE0DFA">
              <w:rPr>
                <w:rFonts w:ascii="Calibri" w:hAnsi="Calibri"/>
                <w:szCs w:val="21"/>
              </w:rPr>
              <w:t>0.0193</w:t>
            </w:r>
          </w:p>
        </w:tc>
      </w:tr>
      <w:tr w:rsidR="00AF13C4" w14:paraId="4D6FDAB7" w14:textId="77777777" w:rsidTr="005249C0">
        <w:trPr>
          <w:trHeight w:val="340"/>
        </w:trPr>
        <w:tc>
          <w:tcPr>
            <w:tcW w:w="1925" w:type="dxa"/>
            <w:shd w:val="clear" w:color="auto" w:fill="FFFFFF"/>
            <w:vAlign w:val="center"/>
          </w:tcPr>
          <w:p w14:paraId="37CB9686" w14:textId="77777777" w:rsidR="0076366E" w:rsidRPr="00DE0DFA" w:rsidRDefault="0076366E" w:rsidP="0076366E">
            <w:pPr>
              <w:jc w:val="center"/>
              <w:rPr>
                <w:rFonts w:ascii="Calibri" w:hAnsi="Calibri"/>
                <w:szCs w:val="21"/>
              </w:rPr>
            </w:pPr>
            <w:r w:rsidRPr="00DE0DFA">
              <w:rPr>
                <w:rFonts w:ascii="Calibri" w:hAnsi="Calibri"/>
                <w:szCs w:val="21"/>
              </w:rPr>
              <w:t>1500.0</w:t>
            </w:r>
          </w:p>
        </w:tc>
        <w:tc>
          <w:tcPr>
            <w:tcW w:w="1462" w:type="dxa"/>
            <w:shd w:val="clear" w:color="auto" w:fill="FFFFFF"/>
            <w:vAlign w:val="center"/>
          </w:tcPr>
          <w:p w14:paraId="185A52D2" w14:textId="77777777" w:rsidR="0076366E" w:rsidRPr="00DE0DFA" w:rsidRDefault="0076366E" w:rsidP="0076366E">
            <w:pPr>
              <w:jc w:val="center"/>
              <w:rPr>
                <w:rFonts w:ascii="Calibri" w:hAnsi="Calibri"/>
                <w:szCs w:val="21"/>
              </w:rPr>
            </w:pPr>
            <w:r w:rsidRPr="00DE0DFA">
              <w:rPr>
                <w:rFonts w:ascii="Calibri" w:hAnsi="Calibri"/>
                <w:szCs w:val="21"/>
              </w:rPr>
              <w:t>0.1064</w:t>
            </w:r>
          </w:p>
        </w:tc>
        <w:tc>
          <w:tcPr>
            <w:tcW w:w="1372" w:type="dxa"/>
            <w:shd w:val="clear" w:color="auto" w:fill="FFFFFF"/>
            <w:vAlign w:val="center"/>
          </w:tcPr>
          <w:p w14:paraId="5C280858" w14:textId="77777777" w:rsidR="0076366E" w:rsidRPr="00DE0DFA" w:rsidRDefault="0076366E" w:rsidP="0076366E">
            <w:pPr>
              <w:jc w:val="center"/>
              <w:rPr>
                <w:rFonts w:ascii="Calibri" w:hAnsi="Calibri"/>
                <w:szCs w:val="21"/>
              </w:rPr>
            </w:pPr>
            <w:r w:rsidRPr="00DE0DFA">
              <w:rPr>
                <w:rFonts w:ascii="Calibri" w:hAnsi="Calibri"/>
                <w:szCs w:val="21"/>
              </w:rPr>
              <w:t>0.0236</w:t>
            </w:r>
          </w:p>
        </w:tc>
        <w:tc>
          <w:tcPr>
            <w:tcW w:w="1942" w:type="dxa"/>
            <w:shd w:val="clear" w:color="auto" w:fill="FFFFFF"/>
            <w:vAlign w:val="center"/>
          </w:tcPr>
          <w:p w14:paraId="06D511CE" w14:textId="77777777" w:rsidR="0076366E" w:rsidRPr="00DE0DFA" w:rsidRDefault="0076366E" w:rsidP="0076366E">
            <w:pPr>
              <w:jc w:val="center"/>
              <w:rPr>
                <w:rFonts w:ascii="Calibri" w:hAnsi="Calibri"/>
                <w:szCs w:val="21"/>
              </w:rPr>
            </w:pPr>
            <w:r w:rsidRPr="00DE0DFA">
              <w:rPr>
                <w:rFonts w:ascii="Calibri" w:hAnsi="Calibri"/>
                <w:szCs w:val="21"/>
              </w:rPr>
              <w:t>0.0325</w:t>
            </w:r>
          </w:p>
        </w:tc>
        <w:tc>
          <w:tcPr>
            <w:tcW w:w="1826" w:type="dxa"/>
            <w:shd w:val="clear" w:color="auto" w:fill="FFFFFF"/>
            <w:vAlign w:val="center"/>
          </w:tcPr>
          <w:p w14:paraId="3718CCA6" w14:textId="77777777" w:rsidR="0076366E" w:rsidRPr="00DE0DFA" w:rsidRDefault="0076366E" w:rsidP="0076366E">
            <w:pPr>
              <w:jc w:val="center"/>
              <w:rPr>
                <w:rFonts w:ascii="Calibri" w:hAnsi="Calibri"/>
                <w:szCs w:val="21"/>
              </w:rPr>
            </w:pPr>
            <w:r w:rsidRPr="00DE0DFA">
              <w:rPr>
                <w:rFonts w:ascii="Calibri" w:hAnsi="Calibri"/>
                <w:szCs w:val="21"/>
              </w:rPr>
              <w:t>0.0144</w:t>
            </w:r>
          </w:p>
        </w:tc>
      </w:tr>
      <w:tr w:rsidR="00AF13C4" w14:paraId="192E352D" w14:textId="77777777" w:rsidTr="005249C0">
        <w:trPr>
          <w:trHeight w:val="340"/>
        </w:trPr>
        <w:tc>
          <w:tcPr>
            <w:tcW w:w="1925" w:type="dxa"/>
            <w:shd w:val="clear" w:color="auto" w:fill="FFFFFF"/>
            <w:vAlign w:val="center"/>
          </w:tcPr>
          <w:p w14:paraId="57267339" w14:textId="77777777" w:rsidR="0076366E" w:rsidRPr="00DE0DFA" w:rsidRDefault="0076366E" w:rsidP="0076366E">
            <w:pPr>
              <w:jc w:val="center"/>
              <w:rPr>
                <w:rFonts w:ascii="Calibri" w:hAnsi="Calibri"/>
                <w:szCs w:val="21"/>
              </w:rPr>
            </w:pPr>
            <w:r w:rsidRPr="00DE0DFA">
              <w:rPr>
                <w:rFonts w:ascii="Calibri" w:hAnsi="Calibri"/>
                <w:szCs w:val="21"/>
              </w:rPr>
              <w:t>2000.0</w:t>
            </w:r>
          </w:p>
        </w:tc>
        <w:tc>
          <w:tcPr>
            <w:tcW w:w="1462" w:type="dxa"/>
            <w:shd w:val="clear" w:color="auto" w:fill="FFFFFF"/>
            <w:vAlign w:val="center"/>
          </w:tcPr>
          <w:p w14:paraId="791F3C40" w14:textId="77777777" w:rsidR="0076366E" w:rsidRPr="00DE0DFA" w:rsidRDefault="0076366E" w:rsidP="0076366E">
            <w:pPr>
              <w:jc w:val="center"/>
              <w:rPr>
                <w:rFonts w:ascii="Calibri" w:hAnsi="Calibri"/>
                <w:szCs w:val="21"/>
              </w:rPr>
            </w:pPr>
            <w:r w:rsidRPr="00DE0DFA">
              <w:rPr>
                <w:rFonts w:ascii="Calibri" w:hAnsi="Calibri"/>
                <w:szCs w:val="21"/>
              </w:rPr>
              <w:t>0.0914</w:t>
            </w:r>
          </w:p>
        </w:tc>
        <w:tc>
          <w:tcPr>
            <w:tcW w:w="1372" w:type="dxa"/>
            <w:shd w:val="clear" w:color="auto" w:fill="FFFFFF"/>
            <w:vAlign w:val="center"/>
          </w:tcPr>
          <w:p w14:paraId="3E576EB1" w14:textId="77777777" w:rsidR="0076366E" w:rsidRPr="00DE0DFA" w:rsidRDefault="0076366E" w:rsidP="0076366E">
            <w:pPr>
              <w:jc w:val="center"/>
              <w:rPr>
                <w:rFonts w:ascii="Calibri" w:hAnsi="Calibri"/>
                <w:szCs w:val="21"/>
              </w:rPr>
            </w:pPr>
            <w:r w:rsidRPr="00DE0DFA">
              <w:rPr>
                <w:rFonts w:ascii="Calibri" w:hAnsi="Calibri"/>
                <w:szCs w:val="21"/>
              </w:rPr>
              <w:t>0.0203</w:t>
            </w:r>
          </w:p>
        </w:tc>
        <w:tc>
          <w:tcPr>
            <w:tcW w:w="1942" w:type="dxa"/>
            <w:shd w:val="clear" w:color="auto" w:fill="FFFFFF"/>
            <w:vAlign w:val="center"/>
          </w:tcPr>
          <w:p w14:paraId="3B3E577D" w14:textId="77777777" w:rsidR="0076366E" w:rsidRPr="00DE0DFA" w:rsidRDefault="0076366E" w:rsidP="0076366E">
            <w:pPr>
              <w:jc w:val="center"/>
              <w:rPr>
                <w:rFonts w:ascii="Calibri" w:hAnsi="Calibri"/>
                <w:szCs w:val="21"/>
              </w:rPr>
            </w:pPr>
            <w:r w:rsidRPr="00DE0DFA">
              <w:rPr>
                <w:rFonts w:ascii="Calibri" w:hAnsi="Calibri"/>
                <w:szCs w:val="21"/>
              </w:rPr>
              <w:t>0.0279</w:t>
            </w:r>
          </w:p>
        </w:tc>
        <w:tc>
          <w:tcPr>
            <w:tcW w:w="1826" w:type="dxa"/>
            <w:shd w:val="clear" w:color="auto" w:fill="FFFFFF"/>
            <w:vAlign w:val="center"/>
          </w:tcPr>
          <w:p w14:paraId="61AF326C" w14:textId="77777777" w:rsidR="0076366E" w:rsidRPr="00DE0DFA" w:rsidRDefault="0076366E" w:rsidP="0076366E">
            <w:pPr>
              <w:jc w:val="center"/>
              <w:rPr>
                <w:rFonts w:ascii="Calibri" w:hAnsi="Calibri"/>
                <w:szCs w:val="21"/>
              </w:rPr>
            </w:pPr>
            <w:r w:rsidRPr="00DE0DFA">
              <w:rPr>
                <w:rFonts w:ascii="Calibri" w:hAnsi="Calibri"/>
                <w:szCs w:val="21"/>
              </w:rPr>
              <w:t>0.0124</w:t>
            </w:r>
          </w:p>
        </w:tc>
      </w:tr>
      <w:tr w:rsidR="00AF13C4" w14:paraId="4DF9796D" w14:textId="77777777" w:rsidTr="005249C0">
        <w:trPr>
          <w:trHeight w:val="340"/>
        </w:trPr>
        <w:tc>
          <w:tcPr>
            <w:tcW w:w="1925" w:type="dxa"/>
            <w:shd w:val="clear" w:color="auto" w:fill="FFFFFF"/>
            <w:vAlign w:val="center"/>
          </w:tcPr>
          <w:p w14:paraId="1CBAADF5" w14:textId="77777777" w:rsidR="0076366E" w:rsidRPr="00DE0DFA" w:rsidRDefault="0076366E" w:rsidP="0076366E">
            <w:pPr>
              <w:jc w:val="center"/>
              <w:rPr>
                <w:rFonts w:ascii="Calibri" w:hAnsi="Calibri"/>
                <w:szCs w:val="21"/>
              </w:rPr>
            </w:pPr>
            <w:r w:rsidRPr="00DE0DFA">
              <w:rPr>
                <w:rFonts w:ascii="Calibri" w:hAnsi="Calibri"/>
                <w:szCs w:val="21"/>
              </w:rPr>
              <w:t>2500.0</w:t>
            </w:r>
          </w:p>
        </w:tc>
        <w:tc>
          <w:tcPr>
            <w:tcW w:w="1462" w:type="dxa"/>
            <w:shd w:val="clear" w:color="auto" w:fill="FFFFFF"/>
            <w:vAlign w:val="center"/>
          </w:tcPr>
          <w:p w14:paraId="40B042BB" w14:textId="77777777" w:rsidR="0076366E" w:rsidRPr="00DE0DFA" w:rsidRDefault="0076366E" w:rsidP="0076366E">
            <w:pPr>
              <w:jc w:val="center"/>
              <w:rPr>
                <w:rFonts w:ascii="Calibri" w:hAnsi="Calibri"/>
                <w:szCs w:val="21"/>
              </w:rPr>
            </w:pPr>
            <w:r w:rsidRPr="00DE0DFA">
              <w:rPr>
                <w:rFonts w:ascii="Calibri" w:hAnsi="Calibri"/>
                <w:szCs w:val="21"/>
              </w:rPr>
              <w:t>0.0781</w:t>
            </w:r>
          </w:p>
        </w:tc>
        <w:tc>
          <w:tcPr>
            <w:tcW w:w="1372" w:type="dxa"/>
            <w:shd w:val="clear" w:color="auto" w:fill="FFFFFF"/>
            <w:vAlign w:val="center"/>
          </w:tcPr>
          <w:p w14:paraId="44FCD8A6" w14:textId="77777777" w:rsidR="0076366E" w:rsidRPr="00DE0DFA" w:rsidRDefault="0076366E" w:rsidP="0076366E">
            <w:pPr>
              <w:jc w:val="center"/>
              <w:rPr>
                <w:rFonts w:ascii="Calibri" w:hAnsi="Calibri"/>
                <w:szCs w:val="21"/>
              </w:rPr>
            </w:pPr>
            <w:r w:rsidRPr="00DE0DFA">
              <w:rPr>
                <w:rFonts w:ascii="Calibri" w:hAnsi="Calibri"/>
                <w:szCs w:val="21"/>
              </w:rPr>
              <w:t>0.0174</w:t>
            </w:r>
          </w:p>
        </w:tc>
        <w:tc>
          <w:tcPr>
            <w:tcW w:w="1942" w:type="dxa"/>
            <w:shd w:val="clear" w:color="auto" w:fill="FFFFFF"/>
            <w:vAlign w:val="center"/>
          </w:tcPr>
          <w:p w14:paraId="3310348B" w14:textId="77777777" w:rsidR="0076366E" w:rsidRPr="00DE0DFA" w:rsidRDefault="0076366E" w:rsidP="0076366E">
            <w:pPr>
              <w:jc w:val="center"/>
              <w:rPr>
                <w:rFonts w:ascii="Calibri" w:hAnsi="Calibri"/>
                <w:szCs w:val="21"/>
              </w:rPr>
            </w:pPr>
            <w:r w:rsidRPr="00DE0DFA">
              <w:rPr>
                <w:rFonts w:ascii="Calibri" w:hAnsi="Calibri"/>
                <w:szCs w:val="21"/>
              </w:rPr>
              <w:t>0.0239</w:t>
            </w:r>
          </w:p>
        </w:tc>
        <w:tc>
          <w:tcPr>
            <w:tcW w:w="1826" w:type="dxa"/>
            <w:shd w:val="clear" w:color="auto" w:fill="FFFFFF"/>
            <w:vAlign w:val="center"/>
          </w:tcPr>
          <w:p w14:paraId="0FBC82FA" w14:textId="77777777" w:rsidR="0076366E" w:rsidRPr="00DE0DFA" w:rsidRDefault="0076366E" w:rsidP="0076366E">
            <w:pPr>
              <w:jc w:val="center"/>
              <w:rPr>
                <w:rFonts w:ascii="Calibri" w:hAnsi="Calibri"/>
                <w:szCs w:val="21"/>
              </w:rPr>
            </w:pPr>
            <w:r w:rsidRPr="00DE0DFA">
              <w:rPr>
                <w:rFonts w:ascii="Calibri" w:hAnsi="Calibri"/>
                <w:szCs w:val="21"/>
              </w:rPr>
              <w:t>0.0106</w:t>
            </w:r>
          </w:p>
        </w:tc>
      </w:tr>
      <w:tr w:rsidR="00AF13C4" w14:paraId="1C95F952" w14:textId="77777777" w:rsidTr="005249C0">
        <w:trPr>
          <w:trHeight w:val="340"/>
        </w:trPr>
        <w:tc>
          <w:tcPr>
            <w:tcW w:w="1925" w:type="dxa"/>
            <w:shd w:val="clear" w:color="auto" w:fill="FFFFFF"/>
            <w:vAlign w:val="center"/>
          </w:tcPr>
          <w:p w14:paraId="76B424CF" w14:textId="77777777" w:rsidR="008948ED" w:rsidRPr="00DE0DFA" w:rsidRDefault="008948ED" w:rsidP="00DE0DFA">
            <w:pPr>
              <w:jc w:val="center"/>
              <w:rPr>
                <w:rFonts w:ascii="Calibri" w:hAnsi="Calibri"/>
                <w:szCs w:val="21"/>
              </w:rPr>
            </w:pPr>
            <w:r w:rsidRPr="00DE0DFA">
              <w:rPr>
                <w:rFonts w:ascii="Calibri" w:hAnsi="Calibri"/>
                <w:szCs w:val="21"/>
              </w:rPr>
              <w:t>下风向最大浓度</w:t>
            </w:r>
          </w:p>
        </w:tc>
        <w:tc>
          <w:tcPr>
            <w:tcW w:w="1462" w:type="dxa"/>
            <w:shd w:val="clear" w:color="auto" w:fill="FFFFFF"/>
            <w:vAlign w:val="center"/>
          </w:tcPr>
          <w:p w14:paraId="77F50DB6" w14:textId="77777777" w:rsidR="008948ED" w:rsidRPr="00DE0DFA" w:rsidRDefault="008948ED" w:rsidP="00DE0DFA">
            <w:pPr>
              <w:jc w:val="center"/>
              <w:rPr>
                <w:rFonts w:ascii="Calibri" w:hAnsi="Calibri"/>
                <w:szCs w:val="21"/>
              </w:rPr>
            </w:pPr>
            <w:r w:rsidRPr="00DE0DFA">
              <w:rPr>
                <w:rFonts w:ascii="Calibri" w:hAnsi="Calibri"/>
                <w:szCs w:val="21"/>
              </w:rPr>
              <w:t>0.2687</w:t>
            </w:r>
          </w:p>
        </w:tc>
        <w:tc>
          <w:tcPr>
            <w:tcW w:w="1372" w:type="dxa"/>
            <w:shd w:val="clear" w:color="auto" w:fill="FFFFFF"/>
            <w:vAlign w:val="center"/>
          </w:tcPr>
          <w:p w14:paraId="0F1BEA58" w14:textId="77777777" w:rsidR="008948ED" w:rsidRPr="00DE0DFA" w:rsidRDefault="008948ED" w:rsidP="00DE0DFA">
            <w:pPr>
              <w:jc w:val="center"/>
              <w:rPr>
                <w:rFonts w:ascii="Calibri" w:hAnsi="Calibri"/>
                <w:szCs w:val="21"/>
              </w:rPr>
            </w:pPr>
            <w:r w:rsidRPr="00DE0DFA">
              <w:rPr>
                <w:rFonts w:ascii="Calibri" w:hAnsi="Calibri"/>
                <w:szCs w:val="21"/>
              </w:rPr>
              <w:t>0.0597</w:t>
            </w:r>
          </w:p>
        </w:tc>
        <w:tc>
          <w:tcPr>
            <w:tcW w:w="1942" w:type="dxa"/>
            <w:shd w:val="clear" w:color="auto" w:fill="FFFFFF"/>
            <w:vAlign w:val="center"/>
          </w:tcPr>
          <w:p w14:paraId="3CF9E2BF" w14:textId="77777777" w:rsidR="008948ED" w:rsidRPr="00DE0DFA" w:rsidRDefault="008948ED" w:rsidP="00DE0DFA">
            <w:pPr>
              <w:jc w:val="center"/>
              <w:rPr>
                <w:rFonts w:ascii="Calibri" w:hAnsi="Calibri"/>
                <w:szCs w:val="21"/>
              </w:rPr>
            </w:pPr>
            <w:r w:rsidRPr="00DE0DFA">
              <w:rPr>
                <w:rFonts w:ascii="Calibri" w:hAnsi="Calibri"/>
                <w:szCs w:val="21"/>
              </w:rPr>
              <w:t>0.0820</w:t>
            </w:r>
          </w:p>
        </w:tc>
        <w:tc>
          <w:tcPr>
            <w:tcW w:w="1826" w:type="dxa"/>
            <w:shd w:val="clear" w:color="auto" w:fill="FFFFFF"/>
            <w:vAlign w:val="center"/>
          </w:tcPr>
          <w:p w14:paraId="597C9CBE" w14:textId="77777777" w:rsidR="008948ED" w:rsidRPr="00DE0DFA" w:rsidRDefault="008948ED" w:rsidP="00DE0DFA">
            <w:pPr>
              <w:jc w:val="center"/>
              <w:rPr>
                <w:rFonts w:ascii="Calibri" w:hAnsi="Calibri"/>
                <w:szCs w:val="21"/>
              </w:rPr>
            </w:pPr>
            <w:r w:rsidRPr="00DE0DFA">
              <w:rPr>
                <w:rFonts w:ascii="Calibri" w:hAnsi="Calibri"/>
                <w:szCs w:val="21"/>
              </w:rPr>
              <w:t>0.0365</w:t>
            </w:r>
          </w:p>
        </w:tc>
      </w:tr>
      <w:tr w:rsidR="00AF13C4" w14:paraId="465DF066" w14:textId="77777777" w:rsidTr="005249C0">
        <w:trPr>
          <w:trHeight w:val="340"/>
        </w:trPr>
        <w:tc>
          <w:tcPr>
            <w:tcW w:w="1925" w:type="dxa"/>
            <w:shd w:val="clear" w:color="auto" w:fill="FFFFFF"/>
            <w:vAlign w:val="center"/>
          </w:tcPr>
          <w:p w14:paraId="408A7F87" w14:textId="77777777" w:rsidR="008948ED" w:rsidRPr="00DE0DFA" w:rsidRDefault="008948ED" w:rsidP="008948ED">
            <w:pPr>
              <w:jc w:val="center"/>
              <w:rPr>
                <w:rFonts w:ascii="Calibri" w:hAnsi="Calibri"/>
                <w:szCs w:val="21"/>
              </w:rPr>
            </w:pPr>
            <w:r w:rsidRPr="00DE0DFA">
              <w:rPr>
                <w:rFonts w:ascii="Calibri" w:hAnsi="Calibri"/>
                <w:szCs w:val="21"/>
              </w:rPr>
              <w:t>下风向最大浓度出现距离</w:t>
            </w:r>
          </w:p>
        </w:tc>
        <w:tc>
          <w:tcPr>
            <w:tcW w:w="1462" w:type="dxa"/>
            <w:shd w:val="clear" w:color="auto" w:fill="FFFFFF"/>
            <w:vAlign w:val="center"/>
          </w:tcPr>
          <w:p w14:paraId="1C4B357D" w14:textId="77777777" w:rsidR="008948ED" w:rsidRPr="00DE0DFA" w:rsidRDefault="008948ED" w:rsidP="008948ED">
            <w:pPr>
              <w:jc w:val="center"/>
              <w:rPr>
                <w:rFonts w:ascii="Calibri" w:hAnsi="Calibri"/>
                <w:szCs w:val="21"/>
              </w:rPr>
            </w:pPr>
            <w:r w:rsidRPr="00DE0DFA">
              <w:rPr>
                <w:rFonts w:ascii="Calibri" w:hAnsi="Calibri"/>
                <w:szCs w:val="21"/>
              </w:rPr>
              <w:t>76.0</w:t>
            </w:r>
          </w:p>
        </w:tc>
        <w:tc>
          <w:tcPr>
            <w:tcW w:w="1372" w:type="dxa"/>
            <w:shd w:val="clear" w:color="auto" w:fill="FFFFFF"/>
            <w:vAlign w:val="center"/>
          </w:tcPr>
          <w:p w14:paraId="0C4FAEEA" w14:textId="77777777" w:rsidR="008948ED" w:rsidRPr="00DE0DFA" w:rsidRDefault="008948ED" w:rsidP="008948ED">
            <w:pPr>
              <w:jc w:val="center"/>
              <w:rPr>
                <w:rFonts w:ascii="Calibri" w:hAnsi="Calibri"/>
                <w:szCs w:val="21"/>
              </w:rPr>
            </w:pPr>
            <w:r w:rsidRPr="00DE0DFA">
              <w:rPr>
                <w:rFonts w:ascii="Calibri" w:hAnsi="Calibri"/>
                <w:szCs w:val="21"/>
              </w:rPr>
              <w:t>76.0</w:t>
            </w:r>
          </w:p>
        </w:tc>
        <w:tc>
          <w:tcPr>
            <w:tcW w:w="1942" w:type="dxa"/>
            <w:shd w:val="clear" w:color="auto" w:fill="FFFFFF"/>
            <w:vAlign w:val="center"/>
          </w:tcPr>
          <w:p w14:paraId="67F60AD1" w14:textId="77777777" w:rsidR="008948ED" w:rsidRPr="00DE0DFA" w:rsidRDefault="008948ED" w:rsidP="008948ED">
            <w:pPr>
              <w:jc w:val="center"/>
              <w:rPr>
                <w:rFonts w:ascii="Calibri" w:hAnsi="Calibri"/>
                <w:szCs w:val="21"/>
              </w:rPr>
            </w:pPr>
            <w:r w:rsidRPr="00DE0DFA">
              <w:rPr>
                <w:rFonts w:ascii="Calibri" w:hAnsi="Calibri"/>
                <w:szCs w:val="21"/>
              </w:rPr>
              <w:t>76.0</w:t>
            </w:r>
          </w:p>
        </w:tc>
        <w:tc>
          <w:tcPr>
            <w:tcW w:w="1826" w:type="dxa"/>
            <w:shd w:val="clear" w:color="auto" w:fill="FFFFFF"/>
            <w:vAlign w:val="center"/>
          </w:tcPr>
          <w:p w14:paraId="6509DC86" w14:textId="77777777" w:rsidR="008948ED" w:rsidRPr="00DE0DFA" w:rsidRDefault="008948ED" w:rsidP="008948ED">
            <w:pPr>
              <w:jc w:val="center"/>
              <w:rPr>
                <w:rFonts w:ascii="Calibri" w:hAnsi="Calibri"/>
                <w:szCs w:val="21"/>
              </w:rPr>
            </w:pPr>
            <w:r w:rsidRPr="00DE0DFA">
              <w:rPr>
                <w:rFonts w:ascii="Calibri" w:hAnsi="Calibri"/>
                <w:szCs w:val="21"/>
              </w:rPr>
              <w:t>76.0</w:t>
            </w:r>
          </w:p>
        </w:tc>
      </w:tr>
      <w:tr w:rsidR="00AF13C4" w14:paraId="334D9C7C" w14:textId="77777777" w:rsidTr="005249C0">
        <w:trPr>
          <w:trHeight w:val="340"/>
        </w:trPr>
        <w:tc>
          <w:tcPr>
            <w:tcW w:w="1925" w:type="dxa"/>
            <w:shd w:val="clear" w:color="auto" w:fill="FFFFFF"/>
            <w:vAlign w:val="center"/>
          </w:tcPr>
          <w:p w14:paraId="1CDC4C3A" w14:textId="77777777" w:rsidR="008948ED" w:rsidRPr="00DE0DFA" w:rsidRDefault="008948ED" w:rsidP="008948ED">
            <w:pPr>
              <w:jc w:val="center"/>
              <w:rPr>
                <w:rFonts w:ascii="Calibri" w:hAnsi="Calibri"/>
                <w:szCs w:val="21"/>
              </w:rPr>
            </w:pPr>
            <w:r w:rsidRPr="00DE0DFA">
              <w:rPr>
                <w:rFonts w:ascii="Calibri" w:hAnsi="Calibri"/>
                <w:szCs w:val="21"/>
              </w:rPr>
              <w:t>D10%</w:t>
            </w:r>
            <w:r w:rsidRPr="00DE0DFA">
              <w:rPr>
                <w:rFonts w:ascii="Calibri" w:hAnsi="Calibri"/>
                <w:szCs w:val="21"/>
              </w:rPr>
              <w:t>最远距离</w:t>
            </w:r>
          </w:p>
        </w:tc>
        <w:tc>
          <w:tcPr>
            <w:tcW w:w="1462" w:type="dxa"/>
            <w:shd w:val="clear" w:color="auto" w:fill="FFFFFF"/>
            <w:vAlign w:val="center"/>
          </w:tcPr>
          <w:p w14:paraId="4A65185F" w14:textId="77777777" w:rsidR="008948ED" w:rsidRPr="00DE0DFA" w:rsidRDefault="008948ED" w:rsidP="008948ED">
            <w:pPr>
              <w:jc w:val="center"/>
              <w:rPr>
                <w:rFonts w:ascii="Calibri" w:hAnsi="Calibri"/>
                <w:szCs w:val="21"/>
              </w:rPr>
            </w:pPr>
            <w:r w:rsidRPr="00DE0DFA">
              <w:rPr>
                <w:rFonts w:ascii="Calibri" w:hAnsi="Calibri"/>
                <w:szCs w:val="21"/>
              </w:rPr>
              <w:t>/</w:t>
            </w:r>
          </w:p>
        </w:tc>
        <w:tc>
          <w:tcPr>
            <w:tcW w:w="1372" w:type="dxa"/>
            <w:shd w:val="clear" w:color="auto" w:fill="FFFFFF"/>
            <w:vAlign w:val="center"/>
          </w:tcPr>
          <w:p w14:paraId="2364E368" w14:textId="77777777" w:rsidR="008948ED" w:rsidRPr="00DE0DFA" w:rsidRDefault="008948ED" w:rsidP="008948ED">
            <w:pPr>
              <w:jc w:val="center"/>
              <w:rPr>
                <w:rFonts w:ascii="Calibri" w:hAnsi="Calibri"/>
                <w:szCs w:val="21"/>
              </w:rPr>
            </w:pPr>
            <w:r w:rsidRPr="00DE0DFA">
              <w:rPr>
                <w:rFonts w:ascii="Calibri" w:hAnsi="Calibri"/>
                <w:szCs w:val="21"/>
              </w:rPr>
              <w:t>/</w:t>
            </w:r>
          </w:p>
        </w:tc>
        <w:tc>
          <w:tcPr>
            <w:tcW w:w="1942" w:type="dxa"/>
            <w:shd w:val="clear" w:color="auto" w:fill="FFFFFF"/>
            <w:vAlign w:val="center"/>
          </w:tcPr>
          <w:p w14:paraId="7074E006" w14:textId="77777777" w:rsidR="008948ED" w:rsidRPr="00DE0DFA" w:rsidRDefault="008948ED" w:rsidP="008948ED">
            <w:pPr>
              <w:jc w:val="center"/>
              <w:rPr>
                <w:rFonts w:ascii="Calibri" w:hAnsi="Calibri"/>
                <w:szCs w:val="21"/>
              </w:rPr>
            </w:pPr>
            <w:r w:rsidRPr="00DE0DFA">
              <w:rPr>
                <w:rFonts w:ascii="Calibri" w:hAnsi="Calibri"/>
                <w:szCs w:val="21"/>
              </w:rPr>
              <w:t>/</w:t>
            </w:r>
          </w:p>
        </w:tc>
        <w:tc>
          <w:tcPr>
            <w:tcW w:w="1826" w:type="dxa"/>
            <w:shd w:val="clear" w:color="auto" w:fill="FFFFFF"/>
            <w:vAlign w:val="center"/>
          </w:tcPr>
          <w:p w14:paraId="4EC33ED0" w14:textId="77777777" w:rsidR="008948ED" w:rsidRPr="00DE0DFA" w:rsidRDefault="008948ED" w:rsidP="008948ED">
            <w:pPr>
              <w:jc w:val="center"/>
              <w:rPr>
                <w:rFonts w:ascii="Calibri" w:hAnsi="Calibri"/>
                <w:szCs w:val="21"/>
              </w:rPr>
            </w:pPr>
            <w:r w:rsidRPr="00DE0DFA">
              <w:rPr>
                <w:rFonts w:ascii="Calibri" w:hAnsi="Calibri"/>
                <w:szCs w:val="21"/>
              </w:rPr>
              <w:t>/</w:t>
            </w:r>
          </w:p>
        </w:tc>
      </w:tr>
    </w:tbl>
    <w:p w14:paraId="749A2225" w14:textId="77777777" w:rsidR="00181939" w:rsidRDefault="00181939" w:rsidP="0076366E">
      <w:pPr>
        <w:spacing w:line="520" w:lineRule="exact"/>
        <w:ind w:firstLineChars="450" w:firstLine="1080"/>
        <w:jc w:val="left"/>
        <w:rPr>
          <w:rFonts w:ascii="Calibri" w:eastAsia="黑体" w:hAnsi="Calibri"/>
          <w:color w:val="auto"/>
          <w:sz w:val="24"/>
        </w:rPr>
      </w:pPr>
    </w:p>
    <w:p w14:paraId="4379229B" w14:textId="7952B296" w:rsidR="0076366E" w:rsidRPr="008948ED" w:rsidRDefault="0076366E" w:rsidP="0076366E">
      <w:pPr>
        <w:spacing w:line="520" w:lineRule="exact"/>
        <w:ind w:firstLineChars="450" w:firstLine="1080"/>
        <w:jc w:val="left"/>
        <w:rPr>
          <w:rFonts w:ascii="Calibri" w:hAnsi="Calibri"/>
          <w:color w:val="auto"/>
          <w:sz w:val="24"/>
        </w:rPr>
      </w:pPr>
      <w:r w:rsidRPr="008948ED">
        <w:rPr>
          <w:rFonts w:ascii="Calibri" w:eastAsia="黑体" w:hAnsi="Calibri" w:hint="eastAsia"/>
          <w:color w:val="auto"/>
          <w:sz w:val="24"/>
        </w:rPr>
        <w:lastRenderedPageBreak/>
        <w:t>表</w:t>
      </w:r>
      <w:r>
        <w:rPr>
          <w:rFonts w:ascii="Calibri" w:eastAsia="黑体" w:hAnsi="Calibri" w:hint="eastAsia"/>
          <w:color w:val="auto"/>
          <w:sz w:val="24"/>
        </w:rPr>
        <w:t>4.2-1</w:t>
      </w:r>
      <w:r w:rsidR="00160029">
        <w:rPr>
          <w:rFonts w:ascii="Calibri" w:eastAsia="黑体" w:hAnsi="Calibri"/>
          <w:color w:val="auto"/>
          <w:sz w:val="24"/>
        </w:rPr>
        <w:t>3</w:t>
      </w:r>
      <w:r>
        <w:rPr>
          <w:rFonts w:ascii="Calibri" w:eastAsia="黑体" w:hAnsi="Calibri"/>
          <w:color w:val="auto"/>
        </w:rPr>
        <w:t xml:space="preserve">   </w:t>
      </w:r>
      <w:r w:rsidRPr="008948ED">
        <w:rPr>
          <w:rFonts w:ascii="Calibri" w:eastAsia="黑体" w:hAnsi="Calibri"/>
          <w:color w:val="auto"/>
          <w:sz w:val="24"/>
        </w:rPr>
        <w:t xml:space="preserve">   </w:t>
      </w:r>
      <w:r>
        <w:rPr>
          <w:rFonts w:ascii="Calibri" w:eastAsia="黑体" w:hAnsi="Calibri"/>
          <w:color w:val="auto"/>
          <w:sz w:val="24"/>
        </w:rPr>
        <w:t xml:space="preserve">     </w:t>
      </w:r>
      <w:r>
        <w:rPr>
          <w:rFonts w:ascii="Calibri" w:eastAsia="黑体" w:hAnsi="Calibri" w:hint="eastAsia"/>
          <w:color w:val="auto"/>
          <w:sz w:val="24"/>
        </w:rPr>
        <w:t>导热油炉</w:t>
      </w:r>
      <w:r w:rsidRPr="008948ED">
        <w:rPr>
          <w:rFonts w:ascii="Calibri" w:eastAsia="黑体" w:hAnsi="Calibri" w:hint="eastAsia"/>
          <w:color w:val="auto"/>
          <w:sz w:val="24"/>
        </w:rPr>
        <w:t>污染物排放预测结果</w:t>
      </w:r>
    </w:p>
    <w:tbl>
      <w:tblPr>
        <w:tblW w:w="8527" w:type="dxa"/>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ook w:val="04A0" w:firstRow="1" w:lastRow="0" w:firstColumn="1" w:lastColumn="0" w:noHBand="0" w:noVBand="1"/>
      </w:tblPr>
      <w:tblGrid>
        <w:gridCol w:w="1925"/>
        <w:gridCol w:w="1462"/>
        <w:gridCol w:w="1372"/>
        <w:gridCol w:w="1942"/>
        <w:gridCol w:w="1826"/>
      </w:tblGrid>
      <w:tr w:rsidR="00AF13C4" w:rsidRPr="00682A7C" w14:paraId="65595EEB" w14:textId="77777777" w:rsidTr="005249C0">
        <w:trPr>
          <w:trHeight w:val="340"/>
        </w:trPr>
        <w:tc>
          <w:tcPr>
            <w:tcW w:w="1925" w:type="dxa"/>
            <w:vMerge w:val="restart"/>
            <w:shd w:val="clear" w:color="auto" w:fill="FFFFFF"/>
            <w:vAlign w:val="center"/>
          </w:tcPr>
          <w:p w14:paraId="19315AD2" w14:textId="77777777" w:rsidR="0076366E" w:rsidRPr="00682A7C" w:rsidRDefault="0076366E" w:rsidP="00A500F1">
            <w:pPr>
              <w:jc w:val="center"/>
              <w:rPr>
                <w:rFonts w:asciiTheme="minorHAnsi" w:hAnsiTheme="minorHAnsi"/>
                <w:szCs w:val="21"/>
              </w:rPr>
            </w:pPr>
            <w:r w:rsidRPr="00682A7C">
              <w:rPr>
                <w:rFonts w:asciiTheme="minorHAnsi" w:hAnsiTheme="minorHAnsi"/>
                <w:szCs w:val="21"/>
              </w:rPr>
              <w:t>下风向距离</w:t>
            </w:r>
          </w:p>
        </w:tc>
        <w:tc>
          <w:tcPr>
            <w:tcW w:w="6602" w:type="dxa"/>
            <w:gridSpan w:val="4"/>
            <w:shd w:val="clear" w:color="auto" w:fill="FFFFFF"/>
            <w:vAlign w:val="center"/>
          </w:tcPr>
          <w:p w14:paraId="1575DAD8" w14:textId="77777777" w:rsidR="0076366E" w:rsidRPr="00682A7C" w:rsidRDefault="0076366E" w:rsidP="00A500F1">
            <w:pPr>
              <w:jc w:val="center"/>
              <w:rPr>
                <w:rFonts w:asciiTheme="minorHAnsi" w:hAnsiTheme="minorHAnsi"/>
                <w:szCs w:val="21"/>
              </w:rPr>
            </w:pPr>
            <w:r w:rsidRPr="00682A7C">
              <w:rPr>
                <w:rFonts w:asciiTheme="minorHAnsi" w:hAnsiTheme="minorHAnsi" w:hint="eastAsia"/>
                <w:szCs w:val="21"/>
              </w:rPr>
              <w:t>导热油炉</w:t>
            </w:r>
          </w:p>
        </w:tc>
      </w:tr>
      <w:tr w:rsidR="00AF13C4" w:rsidRPr="00682A7C" w14:paraId="52A7827B" w14:textId="77777777" w:rsidTr="005249C0">
        <w:trPr>
          <w:trHeight w:val="340"/>
        </w:trPr>
        <w:tc>
          <w:tcPr>
            <w:tcW w:w="1925" w:type="dxa"/>
            <w:vMerge/>
            <w:shd w:val="clear" w:color="auto" w:fill="FFFFFF"/>
            <w:vAlign w:val="center"/>
          </w:tcPr>
          <w:p w14:paraId="309B3E08" w14:textId="77777777" w:rsidR="0076366E" w:rsidRPr="00682A7C" w:rsidRDefault="0076366E" w:rsidP="00A500F1">
            <w:pPr>
              <w:jc w:val="center"/>
              <w:rPr>
                <w:rFonts w:asciiTheme="minorHAnsi" w:hAnsiTheme="minorHAnsi"/>
                <w:szCs w:val="21"/>
              </w:rPr>
            </w:pPr>
          </w:p>
        </w:tc>
        <w:tc>
          <w:tcPr>
            <w:tcW w:w="1462" w:type="dxa"/>
            <w:shd w:val="clear" w:color="auto" w:fill="FFFFFF"/>
            <w:vAlign w:val="center"/>
          </w:tcPr>
          <w:p w14:paraId="4EA77885" w14:textId="77777777" w:rsidR="0076366E" w:rsidRPr="00682A7C" w:rsidRDefault="0076366E" w:rsidP="00A500F1">
            <w:pPr>
              <w:jc w:val="center"/>
              <w:rPr>
                <w:rFonts w:ascii="Calibri" w:hAnsi="Calibri"/>
                <w:szCs w:val="21"/>
              </w:rPr>
            </w:pPr>
            <w:r w:rsidRPr="00682A7C">
              <w:rPr>
                <w:rFonts w:ascii="Calibri" w:hAnsi="Calibri"/>
                <w:szCs w:val="21"/>
              </w:rPr>
              <w:t>SO</w:t>
            </w:r>
            <w:r w:rsidRPr="00682A7C">
              <w:rPr>
                <w:rFonts w:ascii="Calibri" w:hAnsi="Calibri"/>
                <w:szCs w:val="21"/>
                <w:vertAlign w:val="subscript"/>
              </w:rPr>
              <w:t>2</w:t>
            </w:r>
            <w:r w:rsidRPr="00682A7C">
              <w:rPr>
                <w:rFonts w:ascii="Calibri" w:hAnsi="Calibri"/>
                <w:szCs w:val="21"/>
              </w:rPr>
              <w:t>浓度</w:t>
            </w:r>
            <w:r w:rsidRPr="00682A7C">
              <w:rPr>
                <w:rFonts w:asciiTheme="minorHAnsi" w:hAnsiTheme="minorHAnsi" w:hint="eastAsia"/>
                <w:szCs w:val="21"/>
              </w:rPr>
              <w:t>（</w:t>
            </w:r>
            <w:r w:rsidRPr="00682A7C">
              <w:rPr>
                <w:rFonts w:asciiTheme="minorHAnsi" w:hAnsiTheme="minorHAnsi"/>
                <w:szCs w:val="21"/>
              </w:rPr>
              <w:t>μg/m³</w:t>
            </w:r>
            <w:r w:rsidRPr="00682A7C">
              <w:rPr>
                <w:rFonts w:asciiTheme="minorHAnsi" w:hAnsiTheme="minorHAnsi" w:hint="eastAsia"/>
                <w:szCs w:val="21"/>
              </w:rPr>
              <w:t>）</w:t>
            </w:r>
          </w:p>
        </w:tc>
        <w:tc>
          <w:tcPr>
            <w:tcW w:w="1372" w:type="dxa"/>
            <w:shd w:val="clear" w:color="auto" w:fill="FFFFFF"/>
            <w:vAlign w:val="center"/>
          </w:tcPr>
          <w:p w14:paraId="09C76854" w14:textId="77777777" w:rsidR="0076366E" w:rsidRPr="00682A7C" w:rsidRDefault="00160029" w:rsidP="00A500F1">
            <w:pPr>
              <w:jc w:val="center"/>
              <w:rPr>
                <w:rFonts w:ascii="Calibri" w:hAnsi="Calibri"/>
                <w:szCs w:val="21"/>
              </w:rPr>
            </w:pPr>
            <w:r w:rsidRPr="00682A7C">
              <w:rPr>
                <w:rFonts w:ascii="Calibri" w:hAnsi="Calibri"/>
                <w:szCs w:val="21"/>
              </w:rPr>
              <w:t>SO</w:t>
            </w:r>
            <w:r w:rsidRPr="00682A7C">
              <w:rPr>
                <w:rFonts w:ascii="Calibri" w:hAnsi="Calibri"/>
                <w:szCs w:val="21"/>
                <w:vertAlign w:val="subscript"/>
              </w:rPr>
              <w:t>2</w:t>
            </w:r>
            <w:r w:rsidR="0076366E" w:rsidRPr="00682A7C">
              <w:rPr>
                <w:rFonts w:ascii="Calibri" w:hAnsi="Calibri"/>
                <w:szCs w:val="21"/>
              </w:rPr>
              <w:t>占标率</w:t>
            </w:r>
            <w:r w:rsidR="0076366E" w:rsidRPr="00682A7C">
              <w:rPr>
                <w:rFonts w:asciiTheme="minorHAnsi" w:hAnsiTheme="minorHAnsi" w:hint="eastAsia"/>
                <w:szCs w:val="21"/>
              </w:rPr>
              <w:t>（</w:t>
            </w:r>
            <w:r w:rsidR="0076366E" w:rsidRPr="00682A7C">
              <w:rPr>
                <w:rFonts w:asciiTheme="minorHAnsi" w:hAnsiTheme="minorHAnsi"/>
                <w:szCs w:val="21"/>
              </w:rPr>
              <w:t>%</w:t>
            </w:r>
            <w:r w:rsidR="0076366E" w:rsidRPr="00682A7C">
              <w:rPr>
                <w:rFonts w:asciiTheme="minorHAnsi" w:hAnsiTheme="minorHAnsi" w:hint="eastAsia"/>
                <w:szCs w:val="21"/>
              </w:rPr>
              <w:t>）</w:t>
            </w:r>
          </w:p>
        </w:tc>
        <w:tc>
          <w:tcPr>
            <w:tcW w:w="1942" w:type="dxa"/>
            <w:shd w:val="clear" w:color="auto" w:fill="FFFFFF"/>
            <w:vAlign w:val="center"/>
          </w:tcPr>
          <w:p w14:paraId="41FA021B" w14:textId="77777777" w:rsidR="0076366E" w:rsidRPr="00682A7C" w:rsidRDefault="0076366E" w:rsidP="00A500F1">
            <w:pPr>
              <w:jc w:val="center"/>
              <w:rPr>
                <w:rFonts w:ascii="Calibri" w:hAnsi="Calibri"/>
                <w:szCs w:val="21"/>
              </w:rPr>
            </w:pPr>
            <w:r w:rsidRPr="00682A7C">
              <w:rPr>
                <w:rFonts w:ascii="Calibri" w:hAnsi="Calibri"/>
                <w:szCs w:val="21"/>
              </w:rPr>
              <w:t>NO</w:t>
            </w:r>
            <w:r w:rsidRPr="00682A7C">
              <w:rPr>
                <w:rFonts w:ascii="Calibri" w:hAnsi="Calibri"/>
                <w:szCs w:val="21"/>
                <w:vertAlign w:val="subscript"/>
              </w:rPr>
              <w:t>X</w:t>
            </w:r>
            <w:r w:rsidRPr="00682A7C">
              <w:rPr>
                <w:rFonts w:ascii="Calibri" w:hAnsi="Calibri"/>
                <w:szCs w:val="21"/>
              </w:rPr>
              <w:t>浓度</w:t>
            </w:r>
            <w:r w:rsidRPr="00682A7C">
              <w:rPr>
                <w:rFonts w:asciiTheme="minorHAnsi" w:hAnsiTheme="minorHAnsi" w:hint="eastAsia"/>
                <w:szCs w:val="21"/>
              </w:rPr>
              <w:t>（</w:t>
            </w:r>
            <w:r w:rsidRPr="00682A7C">
              <w:rPr>
                <w:rFonts w:asciiTheme="minorHAnsi" w:hAnsiTheme="minorHAnsi"/>
                <w:szCs w:val="21"/>
              </w:rPr>
              <w:t>μg/m³</w:t>
            </w:r>
            <w:r w:rsidRPr="00682A7C">
              <w:rPr>
                <w:rFonts w:asciiTheme="minorHAnsi" w:hAnsiTheme="minorHAnsi" w:hint="eastAsia"/>
                <w:szCs w:val="21"/>
              </w:rPr>
              <w:t>）</w:t>
            </w:r>
          </w:p>
        </w:tc>
        <w:tc>
          <w:tcPr>
            <w:tcW w:w="1826" w:type="dxa"/>
            <w:shd w:val="clear" w:color="auto" w:fill="FFFFFF"/>
            <w:vAlign w:val="center"/>
          </w:tcPr>
          <w:p w14:paraId="2F2FAA5D" w14:textId="77777777" w:rsidR="0076366E" w:rsidRPr="00682A7C" w:rsidRDefault="0076366E" w:rsidP="00A500F1">
            <w:pPr>
              <w:jc w:val="center"/>
              <w:rPr>
                <w:rFonts w:ascii="Calibri" w:hAnsi="Calibri"/>
                <w:szCs w:val="21"/>
              </w:rPr>
            </w:pPr>
            <w:r w:rsidRPr="00682A7C">
              <w:rPr>
                <w:rFonts w:ascii="Calibri" w:hAnsi="Calibri"/>
                <w:szCs w:val="21"/>
              </w:rPr>
              <w:t>NO</w:t>
            </w:r>
            <w:r w:rsidRPr="00682A7C">
              <w:rPr>
                <w:rFonts w:ascii="Calibri" w:hAnsi="Calibri"/>
                <w:szCs w:val="21"/>
                <w:vertAlign w:val="subscript"/>
              </w:rPr>
              <w:t>X</w:t>
            </w:r>
            <w:r w:rsidRPr="00682A7C">
              <w:rPr>
                <w:rFonts w:ascii="Calibri" w:hAnsi="Calibri"/>
                <w:szCs w:val="21"/>
              </w:rPr>
              <w:t>占标率</w:t>
            </w:r>
            <w:r w:rsidRPr="00682A7C">
              <w:rPr>
                <w:rFonts w:asciiTheme="minorHAnsi" w:hAnsiTheme="minorHAnsi" w:hint="eastAsia"/>
                <w:szCs w:val="21"/>
              </w:rPr>
              <w:t>（</w:t>
            </w:r>
            <w:r w:rsidRPr="00682A7C">
              <w:rPr>
                <w:rFonts w:asciiTheme="minorHAnsi" w:hAnsiTheme="minorHAnsi"/>
                <w:szCs w:val="21"/>
              </w:rPr>
              <w:t>%</w:t>
            </w:r>
            <w:r w:rsidRPr="00682A7C">
              <w:rPr>
                <w:rFonts w:asciiTheme="minorHAnsi" w:hAnsiTheme="minorHAnsi" w:hint="eastAsia"/>
                <w:szCs w:val="21"/>
              </w:rPr>
              <w:t>）</w:t>
            </w:r>
          </w:p>
        </w:tc>
      </w:tr>
      <w:tr w:rsidR="00AF13C4" w:rsidRPr="00682A7C" w14:paraId="452A683B" w14:textId="77777777" w:rsidTr="005249C0">
        <w:trPr>
          <w:trHeight w:val="340"/>
        </w:trPr>
        <w:tc>
          <w:tcPr>
            <w:tcW w:w="1925" w:type="dxa"/>
            <w:shd w:val="clear" w:color="auto" w:fill="FFFFFF"/>
            <w:vAlign w:val="center"/>
          </w:tcPr>
          <w:p w14:paraId="7F459A92" w14:textId="77777777" w:rsidR="0076366E" w:rsidRPr="00682A7C" w:rsidRDefault="0076366E" w:rsidP="0076366E">
            <w:pPr>
              <w:jc w:val="center"/>
              <w:rPr>
                <w:rFonts w:ascii="Calibri" w:hAnsi="Calibri"/>
                <w:szCs w:val="21"/>
              </w:rPr>
            </w:pPr>
            <w:r w:rsidRPr="00682A7C">
              <w:rPr>
                <w:rFonts w:ascii="Calibri" w:hAnsi="Calibri"/>
                <w:szCs w:val="21"/>
              </w:rPr>
              <w:t>1.0</w:t>
            </w:r>
          </w:p>
        </w:tc>
        <w:tc>
          <w:tcPr>
            <w:tcW w:w="1462" w:type="dxa"/>
            <w:shd w:val="clear" w:color="auto" w:fill="FFFFFF"/>
            <w:vAlign w:val="center"/>
          </w:tcPr>
          <w:p w14:paraId="2C47D6D7" w14:textId="77777777" w:rsidR="0076366E" w:rsidRPr="00682A7C" w:rsidRDefault="0076366E" w:rsidP="0076366E">
            <w:pPr>
              <w:jc w:val="center"/>
              <w:rPr>
                <w:rFonts w:ascii="Calibri" w:hAnsi="Calibri"/>
                <w:szCs w:val="21"/>
              </w:rPr>
            </w:pPr>
            <w:r w:rsidRPr="00682A7C">
              <w:rPr>
                <w:rFonts w:ascii="Calibri" w:hAnsi="Calibri"/>
                <w:szCs w:val="21"/>
              </w:rPr>
              <w:t>0.0000</w:t>
            </w:r>
          </w:p>
        </w:tc>
        <w:tc>
          <w:tcPr>
            <w:tcW w:w="1372" w:type="dxa"/>
            <w:shd w:val="clear" w:color="auto" w:fill="FFFFFF"/>
            <w:vAlign w:val="center"/>
          </w:tcPr>
          <w:p w14:paraId="5B09BD10" w14:textId="77777777" w:rsidR="0076366E" w:rsidRPr="00682A7C" w:rsidRDefault="0076366E" w:rsidP="0076366E">
            <w:pPr>
              <w:jc w:val="center"/>
              <w:rPr>
                <w:rFonts w:ascii="Calibri" w:hAnsi="Calibri"/>
                <w:szCs w:val="21"/>
              </w:rPr>
            </w:pPr>
            <w:r w:rsidRPr="00682A7C">
              <w:rPr>
                <w:rFonts w:ascii="Calibri" w:hAnsi="Calibri"/>
                <w:szCs w:val="21"/>
              </w:rPr>
              <w:t>0.0000</w:t>
            </w:r>
          </w:p>
        </w:tc>
        <w:tc>
          <w:tcPr>
            <w:tcW w:w="1942" w:type="dxa"/>
            <w:shd w:val="clear" w:color="auto" w:fill="FFFFFF"/>
            <w:vAlign w:val="center"/>
          </w:tcPr>
          <w:p w14:paraId="1FA6E92E" w14:textId="77777777" w:rsidR="0076366E" w:rsidRPr="00682A7C" w:rsidRDefault="0076366E" w:rsidP="0076366E">
            <w:pPr>
              <w:jc w:val="center"/>
              <w:rPr>
                <w:rFonts w:ascii="Calibri" w:hAnsi="Calibri"/>
                <w:szCs w:val="21"/>
              </w:rPr>
            </w:pPr>
            <w:r w:rsidRPr="00682A7C">
              <w:rPr>
                <w:rFonts w:ascii="Calibri" w:hAnsi="Calibri"/>
                <w:szCs w:val="21"/>
              </w:rPr>
              <w:t>0.0009</w:t>
            </w:r>
          </w:p>
        </w:tc>
        <w:tc>
          <w:tcPr>
            <w:tcW w:w="1826" w:type="dxa"/>
            <w:shd w:val="clear" w:color="auto" w:fill="FFFFFF"/>
            <w:vAlign w:val="center"/>
          </w:tcPr>
          <w:p w14:paraId="614C3F6F" w14:textId="77777777" w:rsidR="0076366E" w:rsidRPr="00682A7C" w:rsidRDefault="0076366E" w:rsidP="0076366E">
            <w:pPr>
              <w:jc w:val="center"/>
              <w:rPr>
                <w:rFonts w:ascii="Calibri" w:hAnsi="Calibri"/>
                <w:szCs w:val="21"/>
              </w:rPr>
            </w:pPr>
            <w:r w:rsidRPr="00682A7C">
              <w:rPr>
                <w:rFonts w:ascii="Calibri" w:hAnsi="Calibri"/>
                <w:szCs w:val="21"/>
              </w:rPr>
              <w:t>0.0004</w:t>
            </w:r>
          </w:p>
        </w:tc>
      </w:tr>
      <w:tr w:rsidR="00AF13C4" w:rsidRPr="00682A7C" w14:paraId="6FE94609" w14:textId="77777777" w:rsidTr="005249C0">
        <w:trPr>
          <w:trHeight w:val="340"/>
        </w:trPr>
        <w:tc>
          <w:tcPr>
            <w:tcW w:w="1925" w:type="dxa"/>
            <w:shd w:val="clear" w:color="auto" w:fill="FFFFFF"/>
            <w:vAlign w:val="center"/>
          </w:tcPr>
          <w:p w14:paraId="06ED7049" w14:textId="77777777" w:rsidR="0076366E" w:rsidRPr="00682A7C" w:rsidRDefault="0076366E" w:rsidP="0076366E">
            <w:pPr>
              <w:jc w:val="center"/>
              <w:rPr>
                <w:rFonts w:ascii="Calibri" w:hAnsi="Calibri"/>
                <w:szCs w:val="21"/>
              </w:rPr>
            </w:pPr>
            <w:r w:rsidRPr="00682A7C">
              <w:rPr>
                <w:rFonts w:ascii="Calibri" w:hAnsi="Calibri"/>
                <w:szCs w:val="21"/>
              </w:rPr>
              <w:t>25.0</w:t>
            </w:r>
          </w:p>
        </w:tc>
        <w:tc>
          <w:tcPr>
            <w:tcW w:w="1462" w:type="dxa"/>
            <w:shd w:val="clear" w:color="auto" w:fill="FFFFFF"/>
            <w:vAlign w:val="center"/>
          </w:tcPr>
          <w:p w14:paraId="5DF9539E" w14:textId="77777777" w:rsidR="0076366E" w:rsidRPr="00682A7C" w:rsidRDefault="0076366E" w:rsidP="0076366E">
            <w:pPr>
              <w:jc w:val="center"/>
              <w:rPr>
                <w:rFonts w:ascii="Calibri" w:hAnsi="Calibri"/>
                <w:szCs w:val="21"/>
              </w:rPr>
            </w:pPr>
            <w:r w:rsidRPr="00682A7C">
              <w:rPr>
                <w:rFonts w:ascii="Calibri" w:hAnsi="Calibri"/>
                <w:szCs w:val="21"/>
              </w:rPr>
              <w:t>0.2053</w:t>
            </w:r>
          </w:p>
        </w:tc>
        <w:tc>
          <w:tcPr>
            <w:tcW w:w="1372" w:type="dxa"/>
            <w:shd w:val="clear" w:color="auto" w:fill="FFFFFF"/>
            <w:vAlign w:val="center"/>
          </w:tcPr>
          <w:p w14:paraId="4109CFF5" w14:textId="77777777" w:rsidR="0076366E" w:rsidRPr="00682A7C" w:rsidRDefault="0076366E" w:rsidP="0076366E">
            <w:pPr>
              <w:jc w:val="center"/>
              <w:rPr>
                <w:rFonts w:ascii="Calibri" w:hAnsi="Calibri"/>
                <w:szCs w:val="21"/>
              </w:rPr>
            </w:pPr>
            <w:r w:rsidRPr="00682A7C">
              <w:rPr>
                <w:rFonts w:ascii="Calibri" w:hAnsi="Calibri"/>
                <w:szCs w:val="21"/>
              </w:rPr>
              <w:t>0.0411</w:t>
            </w:r>
          </w:p>
        </w:tc>
        <w:tc>
          <w:tcPr>
            <w:tcW w:w="1942" w:type="dxa"/>
            <w:shd w:val="clear" w:color="auto" w:fill="FFFFFF"/>
            <w:vAlign w:val="center"/>
          </w:tcPr>
          <w:p w14:paraId="307BB1A3" w14:textId="77777777" w:rsidR="0076366E" w:rsidRPr="00682A7C" w:rsidRDefault="0076366E" w:rsidP="0076366E">
            <w:pPr>
              <w:jc w:val="center"/>
              <w:rPr>
                <w:rFonts w:ascii="Calibri" w:hAnsi="Calibri"/>
                <w:szCs w:val="21"/>
              </w:rPr>
            </w:pPr>
            <w:r w:rsidRPr="00682A7C">
              <w:rPr>
                <w:rFonts w:ascii="Calibri" w:hAnsi="Calibri"/>
                <w:szCs w:val="21"/>
              </w:rPr>
              <w:t>1.5677</w:t>
            </w:r>
          </w:p>
        </w:tc>
        <w:tc>
          <w:tcPr>
            <w:tcW w:w="1826" w:type="dxa"/>
            <w:shd w:val="clear" w:color="auto" w:fill="FFFFFF"/>
            <w:vAlign w:val="center"/>
          </w:tcPr>
          <w:p w14:paraId="145A8692" w14:textId="77777777" w:rsidR="0076366E" w:rsidRPr="00682A7C" w:rsidRDefault="0076366E" w:rsidP="0076366E">
            <w:pPr>
              <w:jc w:val="center"/>
              <w:rPr>
                <w:rFonts w:ascii="Calibri" w:hAnsi="Calibri"/>
                <w:szCs w:val="21"/>
              </w:rPr>
            </w:pPr>
            <w:r w:rsidRPr="00682A7C">
              <w:rPr>
                <w:rFonts w:ascii="Calibri" w:hAnsi="Calibri"/>
                <w:szCs w:val="21"/>
              </w:rPr>
              <w:t>0.6271</w:t>
            </w:r>
          </w:p>
        </w:tc>
      </w:tr>
      <w:tr w:rsidR="00AF13C4" w:rsidRPr="00682A7C" w14:paraId="7DA9E5E9" w14:textId="77777777" w:rsidTr="005249C0">
        <w:trPr>
          <w:trHeight w:val="340"/>
        </w:trPr>
        <w:tc>
          <w:tcPr>
            <w:tcW w:w="1925" w:type="dxa"/>
            <w:shd w:val="clear" w:color="auto" w:fill="FFFFFF"/>
            <w:vAlign w:val="center"/>
          </w:tcPr>
          <w:p w14:paraId="6330AD8B" w14:textId="77777777" w:rsidR="0076366E" w:rsidRPr="00682A7C" w:rsidRDefault="0076366E" w:rsidP="0076366E">
            <w:pPr>
              <w:jc w:val="center"/>
              <w:rPr>
                <w:rFonts w:ascii="Calibri" w:hAnsi="Calibri"/>
                <w:szCs w:val="21"/>
              </w:rPr>
            </w:pPr>
            <w:r w:rsidRPr="00682A7C">
              <w:rPr>
                <w:rFonts w:ascii="Calibri" w:hAnsi="Calibri"/>
                <w:szCs w:val="21"/>
              </w:rPr>
              <w:t>50.0</w:t>
            </w:r>
          </w:p>
        </w:tc>
        <w:tc>
          <w:tcPr>
            <w:tcW w:w="1462" w:type="dxa"/>
            <w:shd w:val="clear" w:color="auto" w:fill="FFFFFF"/>
            <w:vAlign w:val="center"/>
          </w:tcPr>
          <w:p w14:paraId="5D7EAB73" w14:textId="77777777" w:rsidR="0076366E" w:rsidRPr="00682A7C" w:rsidRDefault="0076366E" w:rsidP="0076366E">
            <w:pPr>
              <w:jc w:val="center"/>
              <w:rPr>
                <w:rFonts w:ascii="Calibri" w:hAnsi="Calibri"/>
                <w:szCs w:val="21"/>
              </w:rPr>
            </w:pPr>
            <w:r w:rsidRPr="00682A7C">
              <w:rPr>
                <w:rFonts w:ascii="Calibri" w:hAnsi="Calibri"/>
                <w:szCs w:val="21"/>
              </w:rPr>
              <w:t>0.2140</w:t>
            </w:r>
          </w:p>
        </w:tc>
        <w:tc>
          <w:tcPr>
            <w:tcW w:w="1372" w:type="dxa"/>
            <w:shd w:val="clear" w:color="auto" w:fill="FFFFFF"/>
            <w:vAlign w:val="center"/>
          </w:tcPr>
          <w:p w14:paraId="5F844194" w14:textId="77777777" w:rsidR="0076366E" w:rsidRPr="00682A7C" w:rsidRDefault="0076366E" w:rsidP="0076366E">
            <w:pPr>
              <w:jc w:val="center"/>
              <w:rPr>
                <w:rFonts w:ascii="Calibri" w:hAnsi="Calibri"/>
                <w:szCs w:val="21"/>
              </w:rPr>
            </w:pPr>
            <w:r w:rsidRPr="00682A7C">
              <w:rPr>
                <w:rFonts w:ascii="Calibri" w:hAnsi="Calibri"/>
                <w:szCs w:val="21"/>
              </w:rPr>
              <w:t>0.0428</w:t>
            </w:r>
          </w:p>
        </w:tc>
        <w:tc>
          <w:tcPr>
            <w:tcW w:w="1942" w:type="dxa"/>
            <w:shd w:val="clear" w:color="auto" w:fill="FFFFFF"/>
            <w:vAlign w:val="center"/>
          </w:tcPr>
          <w:p w14:paraId="6FD4ACB2" w14:textId="77777777" w:rsidR="0076366E" w:rsidRPr="00682A7C" w:rsidRDefault="0076366E" w:rsidP="0076366E">
            <w:pPr>
              <w:jc w:val="center"/>
              <w:rPr>
                <w:rFonts w:ascii="Calibri" w:hAnsi="Calibri"/>
                <w:szCs w:val="21"/>
              </w:rPr>
            </w:pPr>
            <w:r w:rsidRPr="00682A7C">
              <w:rPr>
                <w:rFonts w:ascii="Calibri" w:hAnsi="Calibri"/>
                <w:szCs w:val="21"/>
              </w:rPr>
              <w:t>1.6339</w:t>
            </w:r>
          </w:p>
        </w:tc>
        <w:tc>
          <w:tcPr>
            <w:tcW w:w="1826" w:type="dxa"/>
            <w:shd w:val="clear" w:color="auto" w:fill="FFFFFF"/>
            <w:vAlign w:val="center"/>
          </w:tcPr>
          <w:p w14:paraId="4CF21203" w14:textId="77777777" w:rsidR="0076366E" w:rsidRPr="00682A7C" w:rsidRDefault="0076366E" w:rsidP="0076366E">
            <w:pPr>
              <w:jc w:val="center"/>
              <w:rPr>
                <w:rFonts w:ascii="Calibri" w:hAnsi="Calibri"/>
                <w:szCs w:val="21"/>
              </w:rPr>
            </w:pPr>
            <w:r w:rsidRPr="00682A7C">
              <w:rPr>
                <w:rFonts w:ascii="Calibri" w:hAnsi="Calibri"/>
                <w:szCs w:val="21"/>
              </w:rPr>
              <w:t>0.6536</w:t>
            </w:r>
          </w:p>
        </w:tc>
      </w:tr>
      <w:tr w:rsidR="00AF13C4" w:rsidRPr="00682A7C" w14:paraId="7A748351" w14:textId="77777777" w:rsidTr="005249C0">
        <w:trPr>
          <w:trHeight w:val="340"/>
        </w:trPr>
        <w:tc>
          <w:tcPr>
            <w:tcW w:w="1925" w:type="dxa"/>
            <w:shd w:val="clear" w:color="auto" w:fill="FFFFFF"/>
            <w:vAlign w:val="center"/>
          </w:tcPr>
          <w:p w14:paraId="79E62044" w14:textId="77777777" w:rsidR="0076366E" w:rsidRPr="00682A7C" w:rsidRDefault="0076366E" w:rsidP="0076366E">
            <w:pPr>
              <w:jc w:val="center"/>
              <w:rPr>
                <w:rFonts w:ascii="Calibri" w:hAnsi="Calibri"/>
                <w:szCs w:val="21"/>
              </w:rPr>
            </w:pPr>
            <w:r w:rsidRPr="00682A7C">
              <w:rPr>
                <w:rFonts w:ascii="Calibri" w:hAnsi="Calibri"/>
                <w:szCs w:val="21"/>
              </w:rPr>
              <w:t>75.0</w:t>
            </w:r>
          </w:p>
        </w:tc>
        <w:tc>
          <w:tcPr>
            <w:tcW w:w="1462" w:type="dxa"/>
            <w:shd w:val="clear" w:color="auto" w:fill="FFFFFF"/>
            <w:vAlign w:val="center"/>
          </w:tcPr>
          <w:p w14:paraId="0C70BE07" w14:textId="77777777" w:rsidR="0076366E" w:rsidRPr="00682A7C" w:rsidRDefault="0076366E" w:rsidP="0076366E">
            <w:pPr>
              <w:jc w:val="center"/>
              <w:rPr>
                <w:rFonts w:ascii="Calibri" w:hAnsi="Calibri"/>
                <w:szCs w:val="21"/>
              </w:rPr>
            </w:pPr>
            <w:r w:rsidRPr="00682A7C">
              <w:rPr>
                <w:rFonts w:ascii="Calibri" w:hAnsi="Calibri"/>
                <w:szCs w:val="21"/>
              </w:rPr>
              <w:t>0.2629</w:t>
            </w:r>
          </w:p>
        </w:tc>
        <w:tc>
          <w:tcPr>
            <w:tcW w:w="1372" w:type="dxa"/>
            <w:shd w:val="clear" w:color="auto" w:fill="FFFFFF"/>
            <w:vAlign w:val="center"/>
          </w:tcPr>
          <w:p w14:paraId="5C36C69E" w14:textId="77777777" w:rsidR="0076366E" w:rsidRPr="00682A7C" w:rsidRDefault="0076366E" w:rsidP="0076366E">
            <w:pPr>
              <w:jc w:val="center"/>
              <w:rPr>
                <w:rFonts w:ascii="Calibri" w:hAnsi="Calibri"/>
                <w:szCs w:val="21"/>
              </w:rPr>
            </w:pPr>
            <w:r w:rsidRPr="00682A7C">
              <w:rPr>
                <w:rFonts w:ascii="Calibri" w:hAnsi="Calibri"/>
                <w:szCs w:val="21"/>
              </w:rPr>
              <w:t>0.0526</w:t>
            </w:r>
          </w:p>
        </w:tc>
        <w:tc>
          <w:tcPr>
            <w:tcW w:w="1942" w:type="dxa"/>
            <w:shd w:val="clear" w:color="auto" w:fill="FFFFFF"/>
            <w:vAlign w:val="center"/>
          </w:tcPr>
          <w:p w14:paraId="3C6E7E74" w14:textId="77777777" w:rsidR="0076366E" w:rsidRPr="00682A7C" w:rsidRDefault="0076366E" w:rsidP="0076366E">
            <w:pPr>
              <w:jc w:val="center"/>
              <w:rPr>
                <w:rFonts w:ascii="Calibri" w:hAnsi="Calibri"/>
                <w:szCs w:val="21"/>
              </w:rPr>
            </w:pPr>
            <w:r w:rsidRPr="00682A7C">
              <w:rPr>
                <w:rFonts w:ascii="Calibri" w:hAnsi="Calibri"/>
                <w:szCs w:val="21"/>
              </w:rPr>
              <w:t>2.0074</w:t>
            </w:r>
          </w:p>
        </w:tc>
        <w:tc>
          <w:tcPr>
            <w:tcW w:w="1826" w:type="dxa"/>
            <w:shd w:val="clear" w:color="auto" w:fill="FFFFFF"/>
            <w:vAlign w:val="center"/>
          </w:tcPr>
          <w:p w14:paraId="75F606EC" w14:textId="77777777" w:rsidR="0076366E" w:rsidRPr="00682A7C" w:rsidRDefault="0076366E" w:rsidP="0076366E">
            <w:pPr>
              <w:jc w:val="center"/>
              <w:rPr>
                <w:rFonts w:ascii="Calibri" w:hAnsi="Calibri"/>
                <w:szCs w:val="21"/>
              </w:rPr>
            </w:pPr>
            <w:r w:rsidRPr="00682A7C">
              <w:rPr>
                <w:rFonts w:ascii="Calibri" w:hAnsi="Calibri"/>
                <w:szCs w:val="21"/>
              </w:rPr>
              <w:t>0.8029</w:t>
            </w:r>
          </w:p>
        </w:tc>
      </w:tr>
      <w:tr w:rsidR="00AF13C4" w:rsidRPr="00682A7C" w14:paraId="02E6384B" w14:textId="77777777" w:rsidTr="005249C0">
        <w:trPr>
          <w:trHeight w:val="340"/>
        </w:trPr>
        <w:tc>
          <w:tcPr>
            <w:tcW w:w="1925" w:type="dxa"/>
            <w:shd w:val="clear" w:color="auto" w:fill="FFFFFF"/>
            <w:vAlign w:val="center"/>
          </w:tcPr>
          <w:p w14:paraId="62DEB6BB" w14:textId="77777777" w:rsidR="0076366E" w:rsidRPr="00682A7C" w:rsidRDefault="0076366E" w:rsidP="0076366E">
            <w:pPr>
              <w:jc w:val="center"/>
              <w:rPr>
                <w:rFonts w:ascii="Calibri" w:hAnsi="Calibri"/>
                <w:szCs w:val="21"/>
              </w:rPr>
            </w:pPr>
            <w:r w:rsidRPr="00682A7C">
              <w:rPr>
                <w:rFonts w:ascii="Calibri" w:hAnsi="Calibri" w:hint="eastAsia"/>
                <w:szCs w:val="21"/>
              </w:rPr>
              <w:t>76.0</w:t>
            </w:r>
          </w:p>
        </w:tc>
        <w:tc>
          <w:tcPr>
            <w:tcW w:w="1462" w:type="dxa"/>
            <w:shd w:val="clear" w:color="auto" w:fill="FFFFFF"/>
            <w:vAlign w:val="center"/>
          </w:tcPr>
          <w:p w14:paraId="15150AF7" w14:textId="77777777" w:rsidR="0076366E" w:rsidRPr="00682A7C" w:rsidRDefault="0076366E" w:rsidP="0076366E">
            <w:pPr>
              <w:jc w:val="center"/>
              <w:rPr>
                <w:rFonts w:ascii="Calibri" w:hAnsi="Calibri"/>
                <w:szCs w:val="21"/>
              </w:rPr>
            </w:pPr>
            <w:r w:rsidRPr="00682A7C">
              <w:rPr>
                <w:rFonts w:ascii="Calibri" w:hAnsi="Calibri"/>
                <w:szCs w:val="21"/>
              </w:rPr>
              <w:t>0.2630</w:t>
            </w:r>
          </w:p>
        </w:tc>
        <w:tc>
          <w:tcPr>
            <w:tcW w:w="1372" w:type="dxa"/>
            <w:shd w:val="clear" w:color="auto" w:fill="FFFFFF"/>
            <w:vAlign w:val="center"/>
          </w:tcPr>
          <w:p w14:paraId="63524FD7" w14:textId="77777777" w:rsidR="0076366E" w:rsidRPr="00682A7C" w:rsidRDefault="0076366E" w:rsidP="0076366E">
            <w:pPr>
              <w:jc w:val="center"/>
              <w:rPr>
                <w:rFonts w:ascii="Calibri" w:hAnsi="Calibri"/>
                <w:szCs w:val="21"/>
              </w:rPr>
            </w:pPr>
            <w:r w:rsidRPr="00682A7C">
              <w:rPr>
                <w:rFonts w:ascii="Calibri" w:hAnsi="Calibri"/>
                <w:szCs w:val="21"/>
              </w:rPr>
              <w:t>0.0526</w:t>
            </w:r>
          </w:p>
        </w:tc>
        <w:tc>
          <w:tcPr>
            <w:tcW w:w="1942" w:type="dxa"/>
            <w:shd w:val="clear" w:color="auto" w:fill="FFFFFF"/>
            <w:vAlign w:val="center"/>
          </w:tcPr>
          <w:p w14:paraId="67CDC817" w14:textId="77777777" w:rsidR="0076366E" w:rsidRPr="00682A7C" w:rsidRDefault="0076366E" w:rsidP="0076366E">
            <w:pPr>
              <w:jc w:val="center"/>
              <w:rPr>
                <w:rFonts w:ascii="Calibri" w:hAnsi="Calibri"/>
                <w:szCs w:val="21"/>
              </w:rPr>
            </w:pPr>
            <w:r w:rsidRPr="00682A7C">
              <w:rPr>
                <w:rFonts w:ascii="Calibri" w:hAnsi="Calibri"/>
                <w:szCs w:val="21"/>
              </w:rPr>
              <w:t>2.0080</w:t>
            </w:r>
          </w:p>
        </w:tc>
        <w:tc>
          <w:tcPr>
            <w:tcW w:w="1826" w:type="dxa"/>
            <w:shd w:val="clear" w:color="auto" w:fill="FFFFFF"/>
            <w:vAlign w:val="center"/>
          </w:tcPr>
          <w:p w14:paraId="5C820427" w14:textId="77777777" w:rsidR="0076366E" w:rsidRPr="00682A7C" w:rsidRDefault="0076366E" w:rsidP="0076366E">
            <w:pPr>
              <w:jc w:val="center"/>
              <w:rPr>
                <w:rFonts w:ascii="Calibri" w:hAnsi="Calibri"/>
                <w:szCs w:val="21"/>
              </w:rPr>
            </w:pPr>
            <w:r w:rsidRPr="00682A7C">
              <w:rPr>
                <w:rFonts w:ascii="Calibri" w:hAnsi="Calibri"/>
                <w:szCs w:val="21"/>
              </w:rPr>
              <w:t>0.8032</w:t>
            </w:r>
          </w:p>
        </w:tc>
      </w:tr>
      <w:tr w:rsidR="00AF13C4" w:rsidRPr="00682A7C" w14:paraId="0E83B262" w14:textId="77777777" w:rsidTr="005249C0">
        <w:trPr>
          <w:trHeight w:val="340"/>
        </w:trPr>
        <w:tc>
          <w:tcPr>
            <w:tcW w:w="1925" w:type="dxa"/>
            <w:shd w:val="clear" w:color="auto" w:fill="FFFFFF"/>
            <w:vAlign w:val="center"/>
          </w:tcPr>
          <w:p w14:paraId="550A4CD8" w14:textId="77777777" w:rsidR="0076366E" w:rsidRPr="00682A7C" w:rsidRDefault="0076366E" w:rsidP="0076366E">
            <w:pPr>
              <w:jc w:val="center"/>
              <w:rPr>
                <w:rFonts w:ascii="Calibri" w:hAnsi="Calibri"/>
                <w:szCs w:val="21"/>
              </w:rPr>
            </w:pPr>
            <w:r w:rsidRPr="00682A7C">
              <w:rPr>
                <w:rFonts w:ascii="Calibri" w:hAnsi="Calibri"/>
                <w:szCs w:val="21"/>
              </w:rPr>
              <w:t>100.0</w:t>
            </w:r>
          </w:p>
        </w:tc>
        <w:tc>
          <w:tcPr>
            <w:tcW w:w="1462" w:type="dxa"/>
            <w:shd w:val="clear" w:color="auto" w:fill="FFFFFF"/>
            <w:vAlign w:val="center"/>
          </w:tcPr>
          <w:p w14:paraId="0732CBC6" w14:textId="77777777" w:rsidR="0076366E" w:rsidRPr="00682A7C" w:rsidRDefault="0076366E" w:rsidP="0076366E">
            <w:pPr>
              <w:jc w:val="center"/>
              <w:rPr>
                <w:rFonts w:ascii="Calibri" w:hAnsi="Calibri"/>
                <w:szCs w:val="21"/>
              </w:rPr>
            </w:pPr>
            <w:r w:rsidRPr="00682A7C">
              <w:rPr>
                <w:rFonts w:ascii="Calibri" w:hAnsi="Calibri"/>
                <w:szCs w:val="21"/>
              </w:rPr>
              <w:t>0.2503</w:t>
            </w:r>
          </w:p>
        </w:tc>
        <w:tc>
          <w:tcPr>
            <w:tcW w:w="1372" w:type="dxa"/>
            <w:shd w:val="clear" w:color="auto" w:fill="FFFFFF"/>
            <w:vAlign w:val="center"/>
          </w:tcPr>
          <w:p w14:paraId="42C0121E" w14:textId="77777777" w:rsidR="0076366E" w:rsidRPr="00682A7C" w:rsidRDefault="0076366E" w:rsidP="0076366E">
            <w:pPr>
              <w:jc w:val="center"/>
              <w:rPr>
                <w:rFonts w:ascii="Calibri" w:hAnsi="Calibri"/>
                <w:szCs w:val="21"/>
              </w:rPr>
            </w:pPr>
            <w:r w:rsidRPr="00682A7C">
              <w:rPr>
                <w:rFonts w:ascii="Calibri" w:hAnsi="Calibri"/>
                <w:szCs w:val="21"/>
              </w:rPr>
              <w:t>0.0501</w:t>
            </w:r>
          </w:p>
        </w:tc>
        <w:tc>
          <w:tcPr>
            <w:tcW w:w="1942" w:type="dxa"/>
            <w:shd w:val="clear" w:color="auto" w:fill="FFFFFF"/>
            <w:vAlign w:val="center"/>
          </w:tcPr>
          <w:p w14:paraId="5D83E2A9" w14:textId="77777777" w:rsidR="0076366E" w:rsidRPr="00682A7C" w:rsidRDefault="0076366E" w:rsidP="0076366E">
            <w:pPr>
              <w:jc w:val="center"/>
              <w:rPr>
                <w:rFonts w:ascii="Calibri" w:hAnsi="Calibri"/>
                <w:szCs w:val="21"/>
              </w:rPr>
            </w:pPr>
            <w:r w:rsidRPr="00682A7C">
              <w:rPr>
                <w:rFonts w:ascii="Calibri" w:hAnsi="Calibri"/>
                <w:szCs w:val="21"/>
              </w:rPr>
              <w:t>1.9112</w:t>
            </w:r>
          </w:p>
        </w:tc>
        <w:tc>
          <w:tcPr>
            <w:tcW w:w="1826" w:type="dxa"/>
            <w:shd w:val="clear" w:color="auto" w:fill="FFFFFF"/>
            <w:vAlign w:val="center"/>
          </w:tcPr>
          <w:p w14:paraId="279B5E77" w14:textId="77777777" w:rsidR="0076366E" w:rsidRPr="00682A7C" w:rsidRDefault="0076366E" w:rsidP="0076366E">
            <w:pPr>
              <w:jc w:val="center"/>
              <w:rPr>
                <w:rFonts w:ascii="Calibri" w:hAnsi="Calibri"/>
                <w:szCs w:val="21"/>
              </w:rPr>
            </w:pPr>
            <w:r w:rsidRPr="00682A7C">
              <w:rPr>
                <w:rFonts w:ascii="Calibri" w:hAnsi="Calibri"/>
                <w:szCs w:val="21"/>
              </w:rPr>
              <w:t>0.7645</w:t>
            </w:r>
          </w:p>
        </w:tc>
      </w:tr>
      <w:tr w:rsidR="00AF13C4" w:rsidRPr="00682A7C" w14:paraId="1882F9CA" w14:textId="77777777" w:rsidTr="005249C0">
        <w:trPr>
          <w:trHeight w:val="340"/>
        </w:trPr>
        <w:tc>
          <w:tcPr>
            <w:tcW w:w="1925" w:type="dxa"/>
            <w:shd w:val="clear" w:color="auto" w:fill="FFFFFF"/>
            <w:vAlign w:val="center"/>
          </w:tcPr>
          <w:p w14:paraId="6D5F0116" w14:textId="77777777" w:rsidR="0076366E" w:rsidRPr="00682A7C" w:rsidRDefault="0076366E" w:rsidP="0076366E">
            <w:pPr>
              <w:jc w:val="center"/>
              <w:rPr>
                <w:rFonts w:ascii="Calibri" w:hAnsi="Calibri"/>
                <w:szCs w:val="21"/>
              </w:rPr>
            </w:pPr>
            <w:r w:rsidRPr="00682A7C">
              <w:rPr>
                <w:rFonts w:ascii="Calibri" w:hAnsi="Calibri"/>
                <w:szCs w:val="21"/>
              </w:rPr>
              <w:t>200.0</w:t>
            </w:r>
          </w:p>
        </w:tc>
        <w:tc>
          <w:tcPr>
            <w:tcW w:w="1462" w:type="dxa"/>
            <w:shd w:val="clear" w:color="auto" w:fill="FFFFFF"/>
            <w:vAlign w:val="center"/>
          </w:tcPr>
          <w:p w14:paraId="70B99EA1" w14:textId="77777777" w:rsidR="0076366E" w:rsidRPr="00682A7C" w:rsidRDefault="0076366E" w:rsidP="0076366E">
            <w:pPr>
              <w:jc w:val="center"/>
              <w:rPr>
                <w:rFonts w:ascii="Calibri" w:hAnsi="Calibri"/>
                <w:szCs w:val="21"/>
              </w:rPr>
            </w:pPr>
            <w:r w:rsidRPr="00682A7C">
              <w:rPr>
                <w:rFonts w:ascii="Calibri" w:hAnsi="Calibri"/>
                <w:szCs w:val="21"/>
              </w:rPr>
              <w:t>0.2167</w:t>
            </w:r>
          </w:p>
        </w:tc>
        <w:tc>
          <w:tcPr>
            <w:tcW w:w="1372" w:type="dxa"/>
            <w:shd w:val="clear" w:color="auto" w:fill="FFFFFF"/>
            <w:vAlign w:val="center"/>
          </w:tcPr>
          <w:p w14:paraId="1C076739" w14:textId="77777777" w:rsidR="0076366E" w:rsidRPr="00682A7C" w:rsidRDefault="0076366E" w:rsidP="0076366E">
            <w:pPr>
              <w:jc w:val="center"/>
              <w:rPr>
                <w:rFonts w:ascii="Calibri" w:hAnsi="Calibri"/>
                <w:szCs w:val="21"/>
              </w:rPr>
            </w:pPr>
            <w:r w:rsidRPr="00682A7C">
              <w:rPr>
                <w:rFonts w:ascii="Calibri" w:hAnsi="Calibri"/>
                <w:szCs w:val="21"/>
              </w:rPr>
              <w:t>0.0433</w:t>
            </w:r>
          </w:p>
        </w:tc>
        <w:tc>
          <w:tcPr>
            <w:tcW w:w="1942" w:type="dxa"/>
            <w:shd w:val="clear" w:color="auto" w:fill="FFFFFF"/>
            <w:vAlign w:val="center"/>
          </w:tcPr>
          <w:p w14:paraId="630FBC5D" w14:textId="77777777" w:rsidR="0076366E" w:rsidRPr="00682A7C" w:rsidRDefault="0076366E" w:rsidP="0076366E">
            <w:pPr>
              <w:jc w:val="center"/>
              <w:rPr>
                <w:rFonts w:ascii="Calibri" w:hAnsi="Calibri"/>
                <w:szCs w:val="21"/>
              </w:rPr>
            </w:pPr>
            <w:r w:rsidRPr="00682A7C">
              <w:rPr>
                <w:rFonts w:ascii="Calibri" w:hAnsi="Calibri"/>
                <w:szCs w:val="21"/>
              </w:rPr>
              <w:t>1.6547</w:t>
            </w:r>
          </w:p>
        </w:tc>
        <w:tc>
          <w:tcPr>
            <w:tcW w:w="1826" w:type="dxa"/>
            <w:shd w:val="clear" w:color="auto" w:fill="FFFFFF"/>
            <w:vAlign w:val="center"/>
          </w:tcPr>
          <w:p w14:paraId="6DBA20A3" w14:textId="77777777" w:rsidR="0076366E" w:rsidRPr="00682A7C" w:rsidRDefault="0076366E" w:rsidP="0076366E">
            <w:pPr>
              <w:jc w:val="center"/>
              <w:rPr>
                <w:rFonts w:ascii="Calibri" w:hAnsi="Calibri"/>
                <w:szCs w:val="21"/>
              </w:rPr>
            </w:pPr>
            <w:r w:rsidRPr="00682A7C">
              <w:rPr>
                <w:rFonts w:ascii="Calibri" w:hAnsi="Calibri"/>
                <w:szCs w:val="21"/>
              </w:rPr>
              <w:t>0.6619</w:t>
            </w:r>
          </w:p>
        </w:tc>
      </w:tr>
      <w:tr w:rsidR="00AF13C4" w:rsidRPr="00682A7C" w14:paraId="1946E223" w14:textId="77777777" w:rsidTr="005249C0">
        <w:trPr>
          <w:trHeight w:val="340"/>
        </w:trPr>
        <w:tc>
          <w:tcPr>
            <w:tcW w:w="1925" w:type="dxa"/>
            <w:shd w:val="clear" w:color="auto" w:fill="FFFFFF"/>
            <w:vAlign w:val="center"/>
          </w:tcPr>
          <w:p w14:paraId="73B57580" w14:textId="77777777" w:rsidR="0076366E" w:rsidRPr="00682A7C" w:rsidRDefault="0076366E" w:rsidP="0076366E">
            <w:pPr>
              <w:jc w:val="center"/>
              <w:rPr>
                <w:rFonts w:ascii="Calibri" w:hAnsi="Calibri"/>
                <w:szCs w:val="21"/>
              </w:rPr>
            </w:pPr>
            <w:r w:rsidRPr="00682A7C">
              <w:rPr>
                <w:rFonts w:ascii="Calibri" w:hAnsi="Calibri"/>
                <w:szCs w:val="21"/>
              </w:rPr>
              <w:t>300.0</w:t>
            </w:r>
          </w:p>
        </w:tc>
        <w:tc>
          <w:tcPr>
            <w:tcW w:w="1462" w:type="dxa"/>
            <w:shd w:val="clear" w:color="auto" w:fill="FFFFFF"/>
            <w:vAlign w:val="center"/>
          </w:tcPr>
          <w:p w14:paraId="13699568" w14:textId="77777777" w:rsidR="0076366E" w:rsidRPr="00682A7C" w:rsidRDefault="0076366E" w:rsidP="0076366E">
            <w:pPr>
              <w:jc w:val="center"/>
              <w:rPr>
                <w:rFonts w:ascii="Calibri" w:hAnsi="Calibri"/>
                <w:szCs w:val="21"/>
              </w:rPr>
            </w:pPr>
            <w:r w:rsidRPr="00682A7C">
              <w:rPr>
                <w:rFonts w:ascii="Calibri" w:hAnsi="Calibri"/>
                <w:szCs w:val="21"/>
              </w:rPr>
              <w:t>0.2216</w:t>
            </w:r>
          </w:p>
        </w:tc>
        <w:tc>
          <w:tcPr>
            <w:tcW w:w="1372" w:type="dxa"/>
            <w:shd w:val="clear" w:color="auto" w:fill="FFFFFF"/>
            <w:vAlign w:val="center"/>
          </w:tcPr>
          <w:p w14:paraId="54956B74" w14:textId="77777777" w:rsidR="0076366E" w:rsidRPr="00682A7C" w:rsidRDefault="0076366E" w:rsidP="0076366E">
            <w:pPr>
              <w:jc w:val="center"/>
              <w:rPr>
                <w:rFonts w:ascii="Calibri" w:hAnsi="Calibri"/>
                <w:szCs w:val="21"/>
              </w:rPr>
            </w:pPr>
            <w:r w:rsidRPr="00682A7C">
              <w:rPr>
                <w:rFonts w:ascii="Calibri" w:hAnsi="Calibri"/>
                <w:szCs w:val="21"/>
              </w:rPr>
              <w:t>0.0443</w:t>
            </w:r>
          </w:p>
        </w:tc>
        <w:tc>
          <w:tcPr>
            <w:tcW w:w="1942" w:type="dxa"/>
            <w:shd w:val="clear" w:color="auto" w:fill="FFFFFF"/>
            <w:vAlign w:val="center"/>
          </w:tcPr>
          <w:p w14:paraId="03483595" w14:textId="77777777" w:rsidR="0076366E" w:rsidRPr="00682A7C" w:rsidRDefault="0076366E" w:rsidP="0076366E">
            <w:pPr>
              <w:jc w:val="center"/>
              <w:rPr>
                <w:rFonts w:ascii="Calibri" w:hAnsi="Calibri"/>
                <w:szCs w:val="21"/>
              </w:rPr>
            </w:pPr>
            <w:r w:rsidRPr="00682A7C">
              <w:rPr>
                <w:rFonts w:ascii="Calibri" w:hAnsi="Calibri"/>
                <w:szCs w:val="21"/>
              </w:rPr>
              <w:t>1.6920</w:t>
            </w:r>
          </w:p>
        </w:tc>
        <w:tc>
          <w:tcPr>
            <w:tcW w:w="1826" w:type="dxa"/>
            <w:shd w:val="clear" w:color="auto" w:fill="FFFFFF"/>
            <w:vAlign w:val="center"/>
          </w:tcPr>
          <w:p w14:paraId="043C52F3" w14:textId="77777777" w:rsidR="0076366E" w:rsidRPr="00682A7C" w:rsidRDefault="0076366E" w:rsidP="0076366E">
            <w:pPr>
              <w:jc w:val="center"/>
              <w:rPr>
                <w:rFonts w:ascii="Calibri" w:hAnsi="Calibri"/>
                <w:szCs w:val="21"/>
              </w:rPr>
            </w:pPr>
            <w:r w:rsidRPr="00682A7C">
              <w:rPr>
                <w:rFonts w:ascii="Calibri" w:hAnsi="Calibri"/>
                <w:szCs w:val="21"/>
              </w:rPr>
              <w:t>0.6768</w:t>
            </w:r>
          </w:p>
        </w:tc>
      </w:tr>
      <w:tr w:rsidR="00AF13C4" w:rsidRPr="00682A7C" w14:paraId="2D00AC52" w14:textId="77777777" w:rsidTr="005249C0">
        <w:trPr>
          <w:trHeight w:val="340"/>
        </w:trPr>
        <w:tc>
          <w:tcPr>
            <w:tcW w:w="1925" w:type="dxa"/>
            <w:shd w:val="clear" w:color="auto" w:fill="FFFFFF"/>
            <w:vAlign w:val="center"/>
          </w:tcPr>
          <w:p w14:paraId="4F5E297A" w14:textId="77777777" w:rsidR="0076366E" w:rsidRPr="00682A7C" w:rsidRDefault="0076366E" w:rsidP="0076366E">
            <w:pPr>
              <w:jc w:val="center"/>
              <w:rPr>
                <w:rFonts w:ascii="Calibri" w:hAnsi="Calibri"/>
                <w:szCs w:val="21"/>
              </w:rPr>
            </w:pPr>
            <w:r w:rsidRPr="00682A7C">
              <w:rPr>
                <w:rFonts w:ascii="Calibri" w:hAnsi="Calibri"/>
                <w:szCs w:val="21"/>
              </w:rPr>
              <w:t>400.0</w:t>
            </w:r>
          </w:p>
        </w:tc>
        <w:tc>
          <w:tcPr>
            <w:tcW w:w="1462" w:type="dxa"/>
            <w:shd w:val="clear" w:color="auto" w:fill="FFFFFF"/>
            <w:vAlign w:val="center"/>
          </w:tcPr>
          <w:p w14:paraId="6A6A16EE" w14:textId="77777777" w:rsidR="0076366E" w:rsidRPr="00682A7C" w:rsidRDefault="0076366E" w:rsidP="0076366E">
            <w:pPr>
              <w:jc w:val="center"/>
              <w:rPr>
                <w:rFonts w:ascii="Calibri" w:hAnsi="Calibri"/>
                <w:szCs w:val="21"/>
              </w:rPr>
            </w:pPr>
            <w:r w:rsidRPr="00682A7C">
              <w:rPr>
                <w:rFonts w:ascii="Calibri" w:hAnsi="Calibri"/>
                <w:szCs w:val="21"/>
              </w:rPr>
              <w:t>0.2007</w:t>
            </w:r>
          </w:p>
        </w:tc>
        <w:tc>
          <w:tcPr>
            <w:tcW w:w="1372" w:type="dxa"/>
            <w:shd w:val="clear" w:color="auto" w:fill="FFFFFF"/>
            <w:vAlign w:val="center"/>
          </w:tcPr>
          <w:p w14:paraId="02FE964F" w14:textId="77777777" w:rsidR="0076366E" w:rsidRPr="00682A7C" w:rsidRDefault="0076366E" w:rsidP="0076366E">
            <w:pPr>
              <w:jc w:val="center"/>
              <w:rPr>
                <w:rFonts w:ascii="Calibri" w:hAnsi="Calibri"/>
                <w:szCs w:val="21"/>
              </w:rPr>
            </w:pPr>
            <w:r w:rsidRPr="00682A7C">
              <w:rPr>
                <w:rFonts w:ascii="Calibri" w:hAnsi="Calibri"/>
                <w:szCs w:val="21"/>
              </w:rPr>
              <w:t>0.0401</w:t>
            </w:r>
          </w:p>
        </w:tc>
        <w:tc>
          <w:tcPr>
            <w:tcW w:w="1942" w:type="dxa"/>
            <w:shd w:val="clear" w:color="auto" w:fill="FFFFFF"/>
            <w:vAlign w:val="center"/>
          </w:tcPr>
          <w:p w14:paraId="7BD9131C" w14:textId="77777777" w:rsidR="0076366E" w:rsidRPr="00682A7C" w:rsidRDefault="0076366E" w:rsidP="0076366E">
            <w:pPr>
              <w:jc w:val="center"/>
              <w:rPr>
                <w:rFonts w:ascii="Calibri" w:hAnsi="Calibri"/>
                <w:szCs w:val="21"/>
              </w:rPr>
            </w:pPr>
            <w:r w:rsidRPr="00682A7C">
              <w:rPr>
                <w:rFonts w:ascii="Calibri" w:hAnsi="Calibri"/>
                <w:szCs w:val="21"/>
              </w:rPr>
              <w:t>1.5321</w:t>
            </w:r>
          </w:p>
        </w:tc>
        <w:tc>
          <w:tcPr>
            <w:tcW w:w="1826" w:type="dxa"/>
            <w:shd w:val="clear" w:color="auto" w:fill="FFFFFF"/>
            <w:vAlign w:val="center"/>
          </w:tcPr>
          <w:p w14:paraId="51BF2524" w14:textId="77777777" w:rsidR="0076366E" w:rsidRPr="00682A7C" w:rsidRDefault="0076366E" w:rsidP="0076366E">
            <w:pPr>
              <w:jc w:val="center"/>
              <w:rPr>
                <w:rFonts w:ascii="Calibri" w:hAnsi="Calibri"/>
                <w:szCs w:val="21"/>
              </w:rPr>
            </w:pPr>
            <w:r w:rsidRPr="00682A7C">
              <w:rPr>
                <w:rFonts w:ascii="Calibri" w:hAnsi="Calibri"/>
                <w:szCs w:val="21"/>
              </w:rPr>
              <w:t>0.6128</w:t>
            </w:r>
          </w:p>
        </w:tc>
      </w:tr>
      <w:tr w:rsidR="00AF13C4" w:rsidRPr="00682A7C" w14:paraId="35061EC8" w14:textId="77777777" w:rsidTr="005249C0">
        <w:trPr>
          <w:trHeight w:val="340"/>
        </w:trPr>
        <w:tc>
          <w:tcPr>
            <w:tcW w:w="1925" w:type="dxa"/>
            <w:shd w:val="clear" w:color="auto" w:fill="FFFFFF"/>
            <w:vAlign w:val="center"/>
          </w:tcPr>
          <w:p w14:paraId="0DDFA241" w14:textId="77777777" w:rsidR="0076366E" w:rsidRPr="00682A7C" w:rsidRDefault="0076366E" w:rsidP="0076366E">
            <w:pPr>
              <w:jc w:val="center"/>
              <w:rPr>
                <w:rFonts w:ascii="Calibri" w:hAnsi="Calibri"/>
                <w:szCs w:val="21"/>
              </w:rPr>
            </w:pPr>
            <w:r w:rsidRPr="00682A7C">
              <w:rPr>
                <w:rFonts w:ascii="Calibri" w:hAnsi="Calibri"/>
                <w:szCs w:val="21"/>
              </w:rPr>
              <w:t>500.0</w:t>
            </w:r>
          </w:p>
        </w:tc>
        <w:tc>
          <w:tcPr>
            <w:tcW w:w="1462" w:type="dxa"/>
            <w:shd w:val="clear" w:color="auto" w:fill="FFFFFF"/>
            <w:vAlign w:val="center"/>
          </w:tcPr>
          <w:p w14:paraId="576050A2" w14:textId="77777777" w:rsidR="0076366E" w:rsidRPr="00682A7C" w:rsidRDefault="0076366E" w:rsidP="0076366E">
            <w:pPr>
              <w:jc w:val="center"/>
              <w:rPr>
                <w:rFonts w:ascii="Calibri" w:hAnsi="Calibri"/>
                <w:szCs w:val="21"/>
              </w:rPr>
            </w:pPr>
            <w:r w:rsidRPr="00682A7C">
              <w:rPr>
                <w:rFonts w:ascii="Calibri" w:hAnsi="Calibri"/>
                <w:szCs w:val="21"/>
              </w:rPr>
              <w:t>0.1834</w:t>
            </w:r>
          </w:p>
        </w:tc>
        <w:tc>
          <w:tcPr>
            <w:tcW w:w="1372" w:type="dxa"/>
            <w:shd w:val="clear" w:color="auto" w:fill="FFFFFF"/>
            <w:vAlign w:val="center"/>
          </w:tcPr>
          <w:p w14:paraId="25023976" w14:textId="77777777" w:rsidR="0076366E" w:rsidRPr="00682A7C" w:rsidRDefault="0076366E" w:rsidP="0076366E">
            <w:pPr>
              <w:jc w:val="center"/>
              <w:rPr>
                <w:rFonts w:ascii="Calibri" w:hAnsi="Calibri"/>
                <w:szCs w:val="21"/>
              </w:rPr>
            </w:pPr>
            <w:r w:rsidRPr="00682A7C">
              <w:rPr>
                <w:rFonts w:ascii="Calibri" w:hAnsi="Calibri"/>
                <w:szCs w:val="21"/>
              </w:rPr>
              <w:t>0.0367</w:t>
            </w:r>
          </w:p>
        </w:tc>
        <w:tc>
          <w:tcPr>
            <w:tcW w:w="1942" w:type="dxa"/>
            <w:shd w:val="clear" w:color="auto" w:fill="FFFFFF"/>
            <w:vAlign w:val="center"/>
          </w:tcPr>
          <w:p w14:paraId="616318D7" w14:textId="77777777" w:rsidR="0076366E" w:rsidRPr="00682A7C" w:rsidRDefault="0076366E" w:rsidP="0076366E">
            <w:pPr>
              <w:jc w:val="center"/>
              <w:rPr>
                <w:rFonts w:ascii="Calibri" w:hAnsi="Calibri"/>
                <w:szCs w:val="21"/>
              </w:rPr>
            </w:pPr>
            <w:r w:rsidRPr="00682A7C">
              <w:rPr>
                <w:rFonts w:ascii="Calibri" w:hAnsi="Calibri"/>
                <w:szCs w:val="21"/>
              </w:rPr>
              <w:t>1.4003</w:t>
            </w:r>
          </w:p>
        </w:tc>
        <w:tc>
          <w:tcPr>
            <w:tcW w:w="1826" w:type="dxa"/>
            <w:shd w:val="clear" w:color="auto" w:fill="FFFFFF"/>
            <w:vAlign w:val="center"/>
          </w:tcPr>
          <w:p w14:paraId="31BCDA0E" w14:textId="77777777" w:rsidR="0076366E" w:rsidRPr="00682A7C" w:rsidRDefault="0076366E" w:rsidP="0076366E">
            <w:pPr>
              <w:jc w:val="center"/>
              <w:rPr>
                <w:rFonts w:ascii="Calibri" w:hAnsi="Calibri"/>
                <w:szCs w:val="21"/>
              </w:rPr>
            </w:pPr>
            <w:r w:rsidRPr="00682A7C">
              <w:rPr>
                <w:rFonts w:ascii="Calibri" w:hAnsi="Calibri"/>
                <w:szCs w:val="21"/>
              </w:rPr>
              <w:t>0.5601</w:t>
            </w:r>
          </w:p>
        </w:tc>
      </w:tr>
      <w:tr w:rsidR="00AF13C4" w:rsidRPr="00682A7C" w14:paraId="75E8A6B9" w14:textId="77777777" w:rsidTr="005249C0">
        <w:trPr>
          <w:trHeight w:val="340"/>
        </w:trPr>
        <w:tc>
          <w:tcPr>
            <w:tcW w:w="1925" w:type="dxa"/>
            <w:shd w:val="clear" w:color="auto" w:fill="FFFFFF"/>
            <w:vAlign w:val="center"/>
          </w:tcPr>
          <w:p w14:paraId="46D7B460" w14:textId="77777777" w:rsidR="0076366E" w:rsidRPr="00682A7C" w:rsidRDefault="0076366E" w:rsidP="0076366E">
            <w:pPr>
              <w:jc w:val="center"/>
              <w:rPr>
                <w:rFonts w:ascii="Calibri" w:hAnsi="Calibri"/>
                <w:szCs w:val="21"/>
              </w:rPr>
            </w:pPr>
            <w:r w:rsidRPr="00682A7C">
              <w:rPr>
                <w:rFonts w:ascii="Calibri" w:hAnsi="Calibri"/>
                <w:szCs w:val="21"/>
              </w:rPr>
              <w:t>600.0</w:t>
            </w:r>
          </w:p>
        </w:tc>
        <w:tc>
          <w:tcPr>
            <w:tcW w:w="1462" w:type="dxa"/>
            <w:shd w:val="clear" w:color="auto" w:fill="FFFFFF"/>
            <w:vAlign w:val="center"/>
          </w:tcPr>
          <w:p w14:paraId="5C2F98EC" w14:textId="77777777" w:rsidR="0076366E" w:rsidRPr="00682A7C" w:rsidRDefault="0076366E" w:rsidP="0076366E">
            <w:pPr>
              <w:jc w:val="center"/>
              <w:rPr>
                <w:rFonts w:ascii="Calibri" w:hAnsi="Calibri"/>
                <w:szCs w:val="21"/>
              </w:rPr>
            </w:pPr>
            <w:r w:rsidRPr="00682A7C">
              <w:rPr>
                <w:rFonts w:ascii="Calibri" w:hAnsi="Calibri"/>
                <w:szCs w:val="21"/>
              </w:rPr>
              <w:t>0.1759</w:t>
            </w:r>
          </w:p>
        </w:tc>
        <w:tc>
          <w:tcPr>
            <w:tcW w:w="1372" w:type="dxa"/>
            <w:shd w:val="clear" w:color="auto" w:fill="FFFFFF"/>
            <w:vAlign w:val="center"/>
          </w:tcPr>
          <w:p w14:paraId="290A6B9B" w14:textId="77777777" w:rsidR="0076366E" w:rsidRPr="00682A7C" w:rsidRDefault="0076366E" w:rsidP="0076366E">
            <w:pPr>
              <w:jc w:val="center"/>
              <w:rPr>
                <w:rFonts w:ascii="Calibri" w:hAnsi="Calibri"/>
                <w:szCs w:val="21"/>
              </w:rPr>
            </w:pPr>
            <w:r w:rsidRPr="00682A7C">
              <w:rPr>
                <w:rFonts w:ascii="Calibri" w:hAnsi="Calibri"/>
                <w:szCs w:val="21"/>
              </w:rPr>
              <w:t>0.0352</w:t>
            </w:r>
          </w:p>
        </w:tc>
        <w:tc>
          <w:tcPr>
            <w:tcW w:w="1942" w:type="dxa"/>
            <w:shd w:val="clear" w:color="auto" w:fill="FFFFFF"/>
            <w:vAlign w:val="center"/>
          </w:tcPr>
          <w:p w14:paraId="0FCED2EF" w14:textId="77777777" w:rsidR="0076366E" w:rsidRPr="00682A7C" w:rsidRDefault="0076366E" w:rsidP="0076366E">
            <w:pPr>
              <w:jc w:val="center"/>
              <w:rPr>
                <w:rFonts w:ascii="Calibri" w:hAnsi="Calibri"/>
                <w:szCs w:val="21"/>
              </w:rPr>
            </w:pPr>
            <w:r w:rsidRPr="00682A7C">
              <w:rPr>
                <w:rFonts w:ascii="Calibri" w:hAnsi="Calibri"/>
                <w:szCs w:val="21"/>
              </w:rPr>
              <w:t>1.3427</w:t>
            </w:r>
          </w:p>
        </w:tc>
        <w:tc>
          <w:tcPr>
            <w:tcW w:w="1826" w:type="dxa"/>
            <w:shd w:val="clear" w:color="auto" w:fill="FFFFFF"/>
            <w:vAlign w:val="center"/>
          </w:tcPr>
          <w:p w14:paraId="0C7EC217" w14:textId="77777777" w:rsidR="0076366E" w:rsidRPr="00682A7C" w:rsidRDefault="0076366E" w:rsidP="0076366E">
            <w:pPr>
              <w:jc w:val="center"/>
              <w:rPr>
                <w:rFonts w:ascii="Calibri" w:hAnsi="Calibri"/>
                <w:szCs w:val="21"/>
              </w:rPr>
            </w:pPr>
            <w:r w:rsidRPr="00682A7C">
              <w:rPr>
                <w:rFonts w:ascii="Calibri" w:hAnsi="Calibri"/>
                <w:szCs w:val="21"/>
              </w:rPr>
              <w:t>0.5371</w:t>
            </w:r>
          </w:p>
        </w:tc>
      </w:tr>
      <w:tr w:rsidR="00AF13C4" w:rsidRPr="00682A7C" w14:paraId="4313C133" w14:textId="77777777" w:rsidTr="005249C0">
        <w:trPr>
          <w:trHeight w:val="340"/>
        </w:trPr>
        <w:tc>
          <w:tcPr>
            <w:tcW w:w="1925" w:type="dxa"/>
            <w:shd w:val="clear" w:color="auto" w:fill="FFFFFF"/>
            <w:vAlign w:val="center"/>
          </w:tcPr>
          <w:p w14:paraId="7950F426" w14:textId="77777777" w:rsidR="0076366E" w:rsidRPr="00682A7C" w:rsidRDefault="0076366E" w:rsidP="0076366E">
            <w:pPr>
              <w:jc w:val="center"/>
              <w:rPr>
                <w:rFonts w:ascii="Calibri" w:hAnsi="Calibri"/>
                <w:szCs w:val="21"/>
              </w:rPr>
            </w:pPr>
            <w:r w:rsidRPr="00682A7C">
              <w:rPr>
                <w:rFonts w:ascii="Calibri" w:hAnsi="Calibri"/>
                <w:szCs w:val="21"/>
              </w:rPr>
              <w:t>700.0</w:t>
            </w:r>
          </w:p>
        </w:tc>
        <w:tc>
          <w:tcPr>
            <w:tcW w:w="1462" w:type="dxa"/>
            <w:shd w:val="clear" w:color="auto" w:fill="FFFFFF"/>
            <w:vAlign w:val="center"/>
          </w:tcPr>
          <w:p w14:paraId="31B35A34" w14:textId="77777777" w:rsidR="0076366E" w:rsidRPr="00682A7C" w:rsidRDefault="0076366E" w:rsidP="0076366E">
            <w:pPr>
              <w:jc w:val="center"/>
              <w:rPr>
                <w:rFonts w:ascii="Calibri" w:hAnsi="Calibri"/>
                <w:szCs w:val="21"/>
              </w:rPr>
            </w:pPr>
            <w:r w:rsidRPr="00682A7C">
              <w:rPr>
                <w:rFonts w:ascii="Calibri" w:hAnsi="Calibri"/>
                <w:szCs w:val="21"/>
              </w:rPr>
              <w:t>0.1698</w:t>
            </w:r>
          </w:p>
        </w:tc>
        <w:tc>
          <w:tcPr>
            <w:tcW w:w="1372" w:type="dxa"/>
            <w:shd w:val="clear" w:color="auto" w:fill="FFFFFF"/>
            <w:vAlign w:val="center"/>
          </w:tcPr>
          <w:p w14:paraId="4898553B" w14:textId="77777777" w:rsidR="0076366E" w:rsidRPr="00682A7C" w:rsidRDefault="0076366E" w:rsidP="0076366E">
            <w:pPr>
              <w:jc w:val="center"/>
              <w:rPr>
                <w:rFonts w:ascii="Calibri" w:hAnsi="Calibri"/>
                <w:szCs w:val="21"/>
              </w:rPr>
            </w:pPr>
            <w:r w:rsidRPr="00682A7C">
              <w:rPr>
                <w:rFonts w:ascii="Calibri" w:hAnsi="Calibri"/>
                <w:szCs w:val="21"/>
              </w:rPr>
              <w:t>0.0340</w:t>
            </w:r>
          </w:p>
        </w:tc>
        <w:tc>
          <w:tcPr>
            <w:tcW w:w="1942" w:type="dxa"/>
            <w:shd w:val="clear" w:color="auto" w:fill="FFFFFF"/>
            <w:vAlign w:val="center"/>
          </w:tcPr>
          <w:p w14:paraId="170A9832" w14:textId="77777777" w:rsidR="0076366E" w:rsidRPr="00682A7C" w:rsidRDefault="0076366E" w:rsidP="0076366E">
            <w:pPr>
              <w:jc w:val="center"/>
              <w:rPr>
                <w:rFonts w:ascii="Calibri" w:hAnsi="Calibri"/>
                <w:szCs w:val="21"/>
              </w:rPr>
            </w:pPr>
            <w:r w:rsidRPr="00682A7C">
              <w:rPr>
                <w:rFonts w:ascii="Calibri" w:hAnsi="Calibri"/>
                <w:szCs w:val="21"/>
              </w:rPr>
              <w:t>1.2962</w:t>
            </w:r>
          </w:p>
        </w:tc>
        <w:tc>
          <w:tcPr>
            <w:tcW w:w="1826" w:type="dxa"/>
            <w:shd w:val="clear" w:color="auto" w:fill="FFFFFF"/>
            <w:vAlign w:val="center"/>
          </w:tcPr>
          <w:p w14:paraId="0C7D6EE3" w14:textId="77777777" w:rsidR="0076366E" w:rsidRPr="00682A7C" w:rsidRDefault="0076366E" w:rsidP="0076366E">
            <w:pPr>
              <w:jc w:val="center"/>
              <w:rPr>
                <w:rFonts w:ascii="Calibri" w:hAnsi="Calibri"/>
                <w:szCs w:val="21"/>
              </w:rPr>
            </w:pPr>
            <w:r w:rsidRPr="00682A7C">
              <w:rPr>
                <w:rFonts w:ascii="Calibri" w:hAnsi="Calibri"/>
                <w:szCs w:val="21"/>
              </w:rPr>
              <w:t>0.5185</w:t>
            </w:r>
          </w:p>
        </w:tc>
      </w:tr>
      <w:tr w:rsidR="00AF13C4" w:rsidRPr="00682A7C" w14:paraId="301CBC7A" w14:textId="77777777" w:rsidTr="005249C0">
        <w:trPr>
          <w:trHeight w:val="340"/>
        </w:trPr>
        <w:tc>
          <w:tcPr>
            <w:tcW w:w="1925" w:type="dxa"/>
            <w:shd w:val="clear" w:color="auto" w:fill="FFFFFF"/>
            <w:vAlign w:val="center"/>
          </w:tcPr>
          <w:p w14:paraId="67E786FC" w14:textId="77777777" w:rsidR="0076366E" w:rsidRPr="00682A7C" w:rsidRDefault="0076366E" w:rsidP="0076366E">
            <w:pPr>
              <w:jc w:val="center"/>
              <w:rPr>
                <w:rFonts w:ascii="Calibri" w:hAnsi="Calibri"/>
                <w:szCs w:val="21"/>
              </w:rPr>
            </w:pPr>
            <w:r w:rsidRPr="00682A7C">
              <w:rPr>
                <w:rFonts w:ascii="Calibri" w:hAnsi="Calibri"/>
                <w:szCs w:val="21"/>
              </w:rPr>
              <w:t>800.0</w:t>
            </w:r>
          </w:p>
        </w:tc>
        <w:tc>
          <w:tcPr>
            <w:tcW w:w="1462" w:type="dxa"/>
            <w:shd w:val="clear" w:color="auto" w:fill="FFFFFF"/>
            <w:vAlign w:val="center"/>
          </w:tcPr>
          <w:p w14:paraId="383259FF" w14:textId="77777777" w:rsidR="0076366E" w:rsidRPr="00682A7C" w:rsidRDefault="0076366E" w:rsidP="0076366E">
            <w:pPr>
              <w:jc w:val="center"/>
              <w:rPr>
                <w:rFonts w:ascii="Calibri" w:hAnsi="Calibri"/>
                <w:szCs w:val="21"/>
              </w:rPr>
            </w:pPr>
            <w:r w:rsidRPr="00682A7C">
              <w:rPr>
                <w:rFonts w:ascii="Calibri" w:hAnsi="Calibri"/>
                <w:szCs w:val="21"/>
              </w:rPr>
              <w:t>0.1602</w:t>
            </w:r>
          </w:p>
        </w:tc>
        <w:tc>
          <w:tcPr>
            <w:tcW w:w="1372" w:type="dxa"/>
            <w:shd w:val="clear" w:color="auto" w:fill="FFFFFF"/>
            <w:vAlign w:val="center"/>
          </w:tcPr>
          <w:p w14:paraId="7EB36D6A" w14:textId="77777777" w:rsidR="0076366E" w:rsidRPr="00682A7C" w:rsidRDefault="0076366E" w:rsidP="0076366E">
            <w:pPr>
              <w:jc w:val="center"/>
              <w:rPr>
                <w:rFonts w:ascii="Calibri" w:hAnsi="Calibri"/>
                <w:szCs w:val="21"/>
              </w:rPr>
            </w:pPr>
            <w:r w:rsidRPr="00682A7C">
              <w:rPr>
                <w:rFonts w:ascii="Calibri" w:hAnsi="Calibri"/>
                <w:szCs w:val="21"/>
              </w:rPr>
              <w:t>0.0320</w:t>
            </w:r>
          </w:p>
        </w:tc>
        <w:tc>
          <w:tcPr>
            <w:tcW w:w="1942" w:type="dxa"/>
            <w:shd w:val="clear" w:color="auto" w:fill="FFFFFF"/>
            <w:vAlign w:val="center"/>
          </w:tcPr>
          <w:p w14:paraId="44797D49" w14:textId="77777777" w:rsidR="0076366E" w:rsidRPr="00682A7C" w:rsidRDefault="0076366E" w:rsidP="0076366E">
            <w:pPr>
              <w:jc w:val="center"/>
              <w:rPr>
                <w:rFonts w:ascii="Calibri" w:hAnsi="Calibri"/>
                <w:szCs w:val="21"/>
              </w:rPr>
            </w:pPr>
            <w:r w:rsidRPr="00682A7C">
              <w:rPr>
                <w:rFonts w:ascii="Calibri" w:hAnsi="Calibri"/>
                <w:szCs w:val="21"/>
              </w:rPr>
              <w:t>1.2228</w:t>
            </w:r>
          </w:p>
        </w:tc>
        <w:tc>
          <w:tcPr>
            <w:tcW w:w="1826" w:type="dxa"/>
            <w:shd w:val="clear" w:color="auto" w:fill="FFFFFF"/>
            <w:vAlign w:val="center"/>
          </w:tcPr>
          <w:p w14:paraId="03C82414" w14:textId="77777777" w:rsidR="0076366E" w:rsidRPr="00682A7C" w:rsidRDefault="0076366E" w:rsidP="0076366E">
            <w:pPr>
              <w:jc w:val="center"/>
              <w:rPr>
                <w:rFonts w:ascii="Calibri" w:hAnsi="Calibri"/>
                <w:szCs w:val="21"/>
              </w:rPr>
            </w:pPr>
            <w:r w:rsidRPr="00682A7C">
              <w:rPr>
                <w:rFonts w:ascii="Calibri" w:hAnsi="Calibri"/>
                <w:szCs w:val="21"/>
              </w:rPr>
              <w:t>0.4891</w:t>
            </w:r>
          </w:p>
        </w:tc>
      </w:tr>
      <w:tr w:rsidR="00AF13C4" w:rsidRPr="00682A7C" w14:paraId="0AB7FBB8" w14:textId="77777777" w:rsidTr="005249C0">
        <w:trPr>
          <w:trHeight w:val="340"/>
        </w:trPr>
        <w:tc>
          <w:tcPr>
            <w:tcW w:w="1925" w:type="dxa"/>
            <w:shd w:val="clear" w:color="auto" w:fill="FFFFFF"/>
            <w:vAlign w:val="center"/>
          </w:tcPr>
          <w:p w14:paraId="59776A69" w14:textId="77777777" w:rsidR="0076366E" w:rsidRPr="00682A7C" w:rsidRDefault="0076366E" w:rsidP="0076366E">
            <w:pPr>
              <w:jc w:val="center"/>
              <w:rPr>
                <w:rFonts w:ascii="Calibri" w:hAnsi="Calibri"/>
                <w:szCs w:val="21"/>
              </w:rPr>
            </w:pPr>
            <w:r w:rsidRPr="00682A7C">
              <w:rPr>
                <w:rFonts w:ascii="Calibri" w:hAnsi="Calibri"/>
                <w:szCs w:val="21"/>
              </w:rPr>
              <w:t>900.0</w:t>
            </w:r>
          </w:p>
        </w:tc>
        <w:tc>
          <w:tcPr>
            <w:tcW w:w="1462" w:type="dxa"/>
            <w:shd w:val="clear" w:color="auto" w:fill="FFFFFF"/>
            <w:vAlign w:val="center"/>
          </w:tcPr>
          <w:p w14:paraId="553A3308" w14:textId="77777777" w:rsidR="0076366E" w:rsidRPr="00682A7C" w:rsidRDefault="0076366E" w:rsidP="0076366E">
            <w:pPr>
              <w:jc w:val="center"/>
              <w:rPr>
                <w:rFonts w:ascii="Calibri" w:hAnsi="Calibri"/>
                <w:szCs w:val="21"/>
              </w:rPr>
            </w:pPr>
            <w:r w:rsidRPr="00682A7C">
              <w:rPr>
                <w:rFonts w:ascii="Calibri" w:hAnsi="Calibri"/>
                <w:szCs w:val="21"/>
              </w:rPr>
              <w:t>0.1495</w:t>
            </w:r>
          </w:p>
        </w:tc>
        <w:tc>
          <w:tcPr>
            <w:tcW w:w="1372" w:type="dxa"/>
            <w:shd w:val="clear" w:color="auto" w:fill="FFFFFF"/>
            <w:vAlign w:val="center"/>
          </w:tcPr>
          <w:p w14:paraId="34C4A188" w14:textId="77777777" w:rsidR="0076366E" w:rsidRPr="00682A7C" w:rsidRDefault="0076366E" w:rsidP="0076366E">
            <w:pPr>
              <w:jc w:val="center"/>
              <w:rPr>
                <w:rFonts w:ascii="Calibri" w:hAnsi="Calibri"/>
                <w:szCs w:val="21"/>
              </w:rPr>
            </w:pPr>
            <w:r w:rsidRPr="00682A7C">
              <w:rPr>
                <w:rFonts w:ascii="Calibri" w:hAnsi="Calibri"/>
                <w:szCs w:val="21"/>
              </w:rPr>
              <w:t>0.0299</w:t>
            </w:r>
          </w:p>
        </w:tc>
        <w:tc>
          <w:tcPr>
            <w:tcW w:w="1942" w:type="dxa"/>
            <w:shd w:val="clear" w:color="auto" w:fill="FFFFFF"/>
            <w:vAlign w:val="center"/>
          </w:tcPr>
          <w:p w14:paraId="7675C042" w14:textId="77777777" w:rsidR="0076366E" w:rsidRPr="00682A7C" w:rsidRDefault="0076366E" w:rsidP="0076366E">
            <w:pPr>
              <w:jc w:val="center"/>
              <w:rPr>
                <w:rFonts w:ascii="Calibri" w:hAnsi="Calibri"/>
                <w:szCs w:val="21"/>
              </w:rPr>
            </w:pPr>
            <w:r w:rsidRPr="00682A7C">
              <w:rPr>
                <w:rFonts w:ascii="Calibri" w:hAnsi="Calibri"/>
                <w:szCs w:val="21"/>
              </w:rPr>
              <w:t>1.1411</w:t>
            </w:r>
          </w:p>
        </w:tc>
        <w:tc>
          <w:tcPr>
            <w:tcW w:w="1826" w:type="dxa"/>
            <w:shd w:val="clear" w:color="auto" w:fill="FFFFFF"/>
            <w:vAlign w:val="center"/>
          </w:tcPr>
          <w:p w14:paraId="1E5DACB9" w14:textId="77777777" w:rsidR="0076366E" w:rsidRPr="00682A7C" w:rsidRDefault="0076366E" w:rsidP="0076366E">
            <w:pPr>
              <w:jc w:val="center"/>
              <w:rPr>
                <w:rFonts w:ascii="Calibri" w:hAnsi="Calibri"/>
                <w:szCs w:val="21"/>
              </w:rPr>
            </w:pPr>
            <w:r w:rsidRPr="00682A7C">
              <w:rPr>
                <w:rFonts w:ascii="Calibri" w:hAnsi="Calibri"/>
                <w:szCs w:val="21"/>
              </w:rPr>
              <w:t>0.4564</w:t>
            </w:r>
          </w:p>
        </w:tc>
      </w:tr>
      <w:tr w:rsidR="00AF13C4" w:rsidRPr="00682A7C" w14:paraId="76E84C37" w14:textId="77777777" w:rsidTr="005249C0">
        <w:trPr>
          <w:trHeight w:val="340"/>
        </w:trPr>
        <w:tc>
          <w:tcPr>
            <w:tcW w:w="1925" w:type="dxa"/>
            <w:shd w:val="clear" w:color="auto" w:fill="FFFFFF"/>
            <w:vAlign w:val="center"/>
          </w:tcPr>
          <w:p w14:paraId="4F407266" w14:textId="77777777" w:rsidR="0076366E" w:rsidRPr="00682A7C" w:rsidRDefault="0076366E" w:rsidP="0076366E">
            <w:pPr>
              <w:jc w:val="center"/>
              <w:rPr>
                <w:rFonts w:ascii="Calibri" w:hAnsi="Calibri"/>
                <w:szCs w:val="21"/>
              </w:rPr>
            </w:pPr>
            <w:r w:rsidRPr="00682A7C">
              <w:rPr>
                <w:rFonts w:ascii="Calibri" w:hAnsi="Calibri"/>
                <w:szCs w:val="21"/>
              </w:rPr>
              <w:t>1000.0</w:t>
            </w:r>
          </w:p>
        </w:tc>
        <w:tc>
          <w:tcPr>
            <w:tcW w:w="1462" w:type="dxa"/>
            <w:shd w:val="clear" w:color="auto" w:fill="FFFFFF"/>
            <w:vAlign w:val="center"/>
          </w:tcPr>
          <w:p w14:paraId="76718180" w14:textId="77777777" w:rsidR="0076366E" w:rsidRPr="00682A7C" w:rsidRDefault="0076366E" w:rsidP="0076366E">
            <w:pPr>
              <w:jc w:val="center"/>
              <w:rPr>
                <w:rFonts w:ascii="Calibri" w:hAnsi="Calibri"/>
                <w:szCs w:val="21"/>
              </w:rPr>
            </w:pPr>
            <w:r w:rsidRPr="00682A7C">
              <w:rPr>
                <w:rFonts w:ascii="Calibri" w:hAnsi="Calibri"/>
                <w:szCs w:val="21"/>
              </w:rPr>
              <w:t>0.1396</w:t>
            </w:r>
          </w:p>
        </w:tc>
        <w:tc>
          <w:tcPr>
            <w:tcW w:w="1372" w:type="dxa"/>
            <w:shd w:val="clear" w:color="auto" w:fill="FFFFFF"/>
            <w:vAlign w:val="center"/>
          </w:tcPr>
          <w:p w14:paraId="7B821284" w14:textId="77777777" w:rsidR="0076366E" w:rsidRPr="00682A7C" w:rsidRDefault="0076366E" w:rsidP="0076366E">
            <w:pPr>
              <w:jc w:val="center"/>
              <w:rPr>
                <w:rFonts w:ascii="Calibri" w:hAnsi="Calibri"/>
                <w:szCs w:val="21"/>
              </w:rPr>
            </w:pPr>
            <w:r w:rsidRPr="00682A7C">
              <w:rPr>
                <w:rFonts w:ascii="Calibri" w:hAnsi="Calibri"/>
                <w:szCs w:val="21"/>
              </w:rPr>
              <w:t>0.0279</w:t>
            </w:r>
          </w:p>
        </w:tc>
        <w:tc>
          <w:tcPr>
            <w:tcW w:w="1942" w:type="dxa"/>
            <w:shd w:val="clear" w:color="auto" w:fill="FFFFFF"/>
            <w:vAlign w:val="center"/>
          </w:tcPr>
          <w:p w14:paraId="480D5E72" w14:textId="77777777" w:rsidR="0076366E" w:rsidRPr="00682A7C" w:rsidRDefault="0076366E" w:rsidP="0076366E">
            <w:pPr>
              <w:jc w:val="center"/>
              <w:rPr>
                <w:rFonts w:ascii="Calibri" w:hAnsi="Calibri"/>
                <w:szCs w:val="21"/>
              </w:rPr>
            </w:pPr>
            <w:r w:rsidRPr="00682A7C">
              <w:rPr>
                <w:rFonts w:ascii="Calibri" w:hAnsi="Calibri"/>
                <w:szCs w:val="21"/>
              </w:rPr>
              <w:t>1.0656</w:t>
            </w:r>
          </w:p>
        </w:tc>
        <w:tc>
          <w:tcPr>
            <w:tcW w:w="1826" w:type="dxa"/>
            <w:shd w:val="clear" w:color="auto" w:fill="FFFFFF"/>
            <w:vAlign w:val="center"/>
          </w:tcPr>
          <w:p w14:paraId="43ED0512" w14:textId="77777777" w:rsidR="0076366E" w:rsidRPr="00682A7C" w:rsidRDefault="0076366E" w:rsidP="0076366E">
            <w:pPr>
              <w:jc w:val="center"/>
              <w:rPr>
                <w:rFonts w:ascii="Calibri" w:hAnsi="Calibri"/>
                <w:szCs w:val="21"/>
              </w:rPr>
            </w:pPr>
            <w:r w:rsidRPr="00682A7C">
              <w:rPr>
                <w:rFonts w:ascii="Calibri" w:hAnsi="Calibri"/>
                <w:szCs w:val="21"/>
              </w:rPr>
              <w:t>0.4262</w:t>
            </w:r>
          </w:p>
        </w:tc>
      </w:tr>
      <w:tr w:rsidR="00AF13C4" w:rsidRPr="00682A7C" w14:paraId="50D8EAB7" w14:textId="77777777" w:rsidTr="005249C0">
        <w:trPr>
          <w:trHeight w:val="340"/>
        </w:trPr>
        <w:tc>
          <w:tcPr>
            <w:tcW w:w="1925" w:type="dxa"/>
            <w:shd w:val="clear" w:color="auto" w:fill="FFFFFF"/>
            <w:vAlign w:val="center"/>
          </w:tcPr>
          <w:p w14:paraId="48C0E187" w14:textId="77777777" w:rsidR="0076366E" w:rsidRPr="00682A7C" w:rsidRDefault="0076366E" w:rsidP="0076366E">
            <w:pPr>
              <w:jc w:val="center"/>
              <w:rPr>
                <w:rFonts w:ascii="Calibri" w:hAnsi="Calibri"/>
                <w:szCs w:val="21"/>
              </w:rPr>
            </w:pPr>
            <w:r w:rsidRPr="00682A7C">
              <w:rPr>
                <w:rFonts w:ascii="Calibri" w:hAnsi="Calibri"/>
                <w:szCs w:val="21"/>
              </w:rPr>
              <w:t>1500.0</w:t>
            </w:r>
          </w:p>
        </w:tc>
        <w:tc>
          <w:tcPr>
            <w:tcW w:w="1462" w:type="dxa"/>
            <w:shd w:val="clear" w:color="auto" w:fill="FFFFFF"/>
            <w:vAlign w:val="center"/>
          </w:tcPr>
          <w:p w14:paraId="2A98C226" w14:textId="77777777" w:rsidR="0076366E" w:rsidRPr="00682A7C" w:rsidRDefault="0076366E" w:rsidP="0076366E">
            <w:pPr>
              <w:jc w:val="center"/>
              <w:rPr>
                <w:rFonts w:ascii="Calibri" w:hAnsi="Calibri"/>
                <w:szCs w:val="21"/>
              </w:rPr>
            </w:pPr>
            <w:r w:rsidRPr="00682A7C">
              <w:rPr>
                <w:rFonts w:ascii="Calibri" w:hAnsi="Calibri"/>
                <w:szCs w:val="21"/>
              </w:rPr>
              <w:t>0.1042</w:t>
            </w:r>
          </w:p>
        </w:tc>
        <w:tc>
          <w:tcPr>
            <w:tcW w:w="1372" w:type="dxa"/>
            <w:shd w:val="clear" w:color="auto" w:fill="FFFFFF"/>
            <w:vAlign w:val="center"/>
          </w:tcPr>
          <w:p w14:paraId="415CF7EF" w14:textId="77777777" w:rsidR="0076366E" w:rsidRPr="00682A7C" w:rsidRDefault="0076366E" w:rsidP="0076366E">
            <w:pPr>
              <w:jc w:val="center"/>
              <w:rPr>
                <w:rFonts w:ascii="Calibri" w:hAnsi="Calibri"/>
                <w:szCs w:val="21"/>
              </w:rPr>
            </w:pPr>
            <w:r w:rsidRPr="00682A7C">
              <w:rPr>
                <w:rFonts w:ascii="Calibri" w:hAnsi="Calibri"/>
                <w:szCs w:val="21"/>
              </w:rPr>
              <w:t>0.0208</w:t>
            </w:r>
          </w:p>
        </w:tc>
        <w:tc>
          <w:tcPr>
            <w:tcW w:w="1942" w:type="dxa"/>
            <w:shd w:val="clear" w:color="auto" w:fill="FFFFFF"/>
            <w:vAlign w:val="center"/>
          </w:tcPr>
          <w:p w14:paraId="26A05448" w14:textId="77777777" w:rsidR="0076366E" w:rsidRPr="00682A7C" w:rsidRDefault="0076366E" w:rsidP="0076366E">
            <w:pPr>
              <w:jc w:val="center"/>
              <w:rPr>
                <w:rFonts w:ascii="Calibri" w:hAnsi="Calibri"/>
                <w:szCs w:val="21"/>
              </w:rPr>
            </w:pPr>
            <w:r w:rsidRPr="00682A7C">
              <w:rPr>
                <w:rFonts w:ascii="Calibri" w:hAnsi="Calibri"/>
                <w:szCs w:val="21"/>
              </w:rPr>
              <w:t>0.7953</w:t>
            </w:r>
          </w:p>
        </w:tc>
        <w:tc>
          <w:tcPr>
            <w:tcW w:w="1826" w:type="dxa"/>
            <w:shd w:val="clear" w:color="auto" w:fill="FFFFFF"/>
            <w:vAlign w:val="center"/>
          </w:tcPr>
          <w:p w14:paraId="6FCE1A6E" w14:textId="77777777" w:rsidR="0076366E" w:rsidRPr="00682A7C" w:rsidRDefault="0076366E" w:rsidP="0076366E">
            <w:pPr>
              <w:jc w:val="center"/>
              <w:rPr>
                <w:rFonts w:ascii="Calibri" w:hAnsi="Calibri"/>
                <w:szCs w:val="21"/>
              </w:rPr>
            </w:pPr>
            <w:r w:rsidRPr="00682A7C">
              <w:rPr>
                <w:rFonts w:ascii="Calibri" w:hAnsi="Calibri"/>
                <w:szCs w:val="21"/>
              </w:rPr>
              <w:t>0.3181</w:t>
            </w:r>
          </w:p>
        </w:tc>
      </w:tr>
      <w:tr w:rsidR="00AF13C4" w:rsidRPr="00682A7C" w14:paraId="3107E5E4" w14:textId="77777777" w:rsidTr="005249C0">
        <w:trPr>
          <w:trHeight w:val="340"/>
        </w:trPr>
        <w:tc>
          <w:tcPr>
            <w:tcW w:w="1925" w:type="dxa"/>
            <w:shd w:val="clear" w:color="auto" w:fill="FFFFFF"/>
            <w:vAlign w:val="center"/>
          </w:tcPr>
          <w:p w14:paraId="2CB158F4" w14:textId="77777777" w:rsidR="0076366E" w:rsidRPr="00682A7C" w:rsidRDefault="0076366E" w:rsidP="0076366E">
            <w:pPr>
              <w:jc w:val="center"/>
              <w:rPr>
                <w:rFonts w:ascii="Calibri" w:hAnsi="Calibri"/>
                <w:szCs w:val="21"/>
              </w:rPr>
            </w:pPr>
            <w:r w:rsidRPr="00682A7C">
              <w:rPr>
                <w:rFonts w:ascii="Calibri" w:hAnsi="Calibri"/>
                <w:szCs w:val="21"/>
              </w:rPr>
              <w:t>2000.0</w:t>
            </w:r>
          </w:p>
        </w:tc>
        <w:tc>
          <w:tcPr>
            <w:tcW w:w="1462" w:type="dxa"/>
            <w:shd w:val="clear" w:color="auto" w:fill="FFFFFF"/>
            <w:vAlign w:val="center"/>
          </w:tcPr>
          <w:p w14:paraId="2AAE66C1" w14:textId="77777777" w:rsidR="0076366E" w:rsidRPr="00682A7C" w:rsidRDefault="0076366E" w:rsidP="0076366E">
            <w:pPr>
              <w:jc w:val="center"/>
              <w:rPr>
                <w:rFonts w:ascii="Calibri" w:hAnsi="Calibri"/>
                <w:szCs w:val="21"/>
              </w:rPr>
            </w:pPr>
            <w:r w:rsidRPr="00682A7C">
              <w:rPr>
                <w:rFonts w:ascii="Calibri" w:hAnsi="Calibri"/>
                <w:szCs w:val="21"/>
              </w:rPr>
              <w:t>0.0895</w:t>
            </w:r>
          </w:p>
        </w:tc>
        <w:tc>
          <w:tcPr>
            <w:tcW w:w="1372" w:type="dxa"/>
            <w:shd w:val="clear" w:color="auto" w:fill="FFFFFF"/>
            <w:vAlign w:val="center"/>
          </w:tcPr>
          <w:p w14:paraId="7FA8B2FB" w14:textId="77777777" w:rsidR="0076366E" w:rsidRPr="00682A7C" w:rsidRDefault="0076366E" w:rsidP="0076366E">
            <w:pPr>
              <w:jc w:val="center"/>
              <w:rPr>
                <w:rFonts w:ascii="Calibri" w:hAnsi="Calibri"/>
                <w:szCs w:val="21"/>
              </w:rPr>
            </w:pPr>
            <w:r w:rsidRPr="00682A7C">
              <w:rPr>
                <w:rFonts w:ascii="Calibri" w:hAnsi="Calibri"/>
                <w:szCs w:val="21"/>
              </w:rPr>
              <w:t>0.0179</w:t>
            </w:r>
          </w:p>
        </w:tc>
        <w:tc>
          <w:tcPr>
            <w:tcW w:w="1942" w:type="dxa"/>
            <w:shd w:val="clear" w:color="auto" w:fill="FFFFFF"/>
            <w:vAlign w:val="center"/>
          </w:tcPr>
          <w:p w14:paraId="05E74238" w14:textId="77777777" w:rsidR="0076366E" w:rsidRPr="00682A7C" w:rsidRDefault="0076366E" w:rsidP="0076366E">
            <w:pPr>
              <w:jc w:val="center"/>
              <w:rPr>
                <w:rFonts w:ascii="Calibri" w:hAnsi="Calibri"/>
                <w:szCs w:val="21"/>
              </w:rPr>
            </w:pPr>
            <w:r w:rsidRPr="00682A7C">
              <w:rPr>
                <w:rFonts w:ascii="Calibri" w:hAnsi="Calibri"/>
                <w:szCs w:val="21"/>
              </w:rPr>
              <w:t>0.6832</w:t>
            </w:r>
          </w:p>
        </w:tc>
        <w:tc>
          <w:tcPr>
            <w:tcW w:w="1826" w:type="dxa"/>
            <w:shd w:val="clear" w:color="auto" w:fill="FFFFFF"/>
            <w:vAlign w:val="center"/>
          </w:tcPr>
          <w:p w14:paraId="13E41BB7" w14:textId="77777777" w:rsidR="0076366E" w:rsidRPr="00682A7C" w:rsidRDefault="0076366E" w:rsidP="0076366E">
            <w:pPr>
              <w:jc w:val="center"/>
              <w:rPr>
                <w:rFonts w:ascii="Calibri" w:hAnsi="Calibri"/>
                <w:szCs w:val="21"/>
              </w:rPr>
            </w:pPr>
            <w:r w:rsidRPr="00682A7C">
              <w:rPr>
                <w:rFonts w:ascii="Calibri" w:hAnsi="Calibri"/>
                <w:szCs w:val="21"/>
              </w:rPr>
              <w:t>0.2733</w:t>
            </w:r>
          </w:p>
        </w:tc>
      </w:tr>
      <w:tr w:rsidR="00AF13C4" w:rsidRPr="00682A7C" w14:paraId="1C3A9B7C" w14:textId="77777777" w:rsidTr="005249C0">
        <w:trPr>
          <w:trHeight w:val="340"/>
        </w:trPr>
        <w:tc>
          <w:tcPr>
            <w:tcW w:w="1925" w:type="dxa"/>
            <w:shd w:val="clear" w:color="auto" w:fill="FFFFFF"/>
            <w:vAlign w:val="center"/>
          </w:tcPr>
          <w:p w14:paraId="170B2E54" w14:textId="77777777" w:rsidR="0076366E" w:rsidRPr="00682A7C" w:rsidRDefault="0076366E" w:rsidP="0076366E">
            <w:pPr>
              <w:jc w:val="center"/>
              <w:rPr>
                <w:rFonts w:ascii="Calibri" w:hAnsi="Calibri"/>
                <w:szCs w:val="21"/>
              </w:rPr>
            </w:pPr>
            <w:r w:rsidRPr="00682A7C">
              <w:rPr>
                <w:rFonts w:ascii="Calibri" w:hAnsi="Calibri"/>
                <w:szCs w:val="21"/>
              </w:rPr>
              <w:t>2500.0</w:t>
            </w:r>
          </w:p>
        </w:tc>
        <w:tc>
          <w:tcPr>
            <w:tcW w:w="1462" w:type="dxa"/>
            <w:shd w:val="clear" w:color="auto" w:fill="FFFFFF"/>
            <w:vAlign w:val="center"/>
          </w:tcPr>
          <w:p w14:paraId="22FCFF78" w14:textId="77777777" w:rsidR="0076366E" w:rsidRPr="00682A7C" w:rsidRDefault="0076366E" w:rsidP="0076366E">
            <w:pPr>
              <w:jc w:val="center"/>
              <w:rPr>
                <w:rFonts w:ascii="Calibri" w:hAnsi="Calibri"/>
                <w:szCs w:val="21"/>
              </w:rPr>
            </w:pPr>
            <w:r w:rsidRPr="00682A7C">
              <w:rPr>
                <w:rFonts w:ascii="Calibri" w:hAnsi="Calibri"/>
                <w:szCs w:val="21"/>
              </w:rPr>
              <w:t>0.0765</w:t>
            </w:r>
          </w:p>
        </w:tc>
        <w:tc>
          <w:tcPr>
            <w:tcW w:w="1372" w:type="dxa"/>
            <w:shd w:val="clear" w:color="auto" w:fill="FFFFFF"/>
            <w:vAlign w:val="center"/>
          </w:tcPr>
          <w:p w14:paraId="5EE165D9" w14:textId="77777777" w:rsidR="0076366E" w:rsidRPr="00682A7C" w:rsidRDefault="0076366E" w:rsidP="0076366E">
            <w:pPr>
              <w:jc w:val="center"/>
              <w:rPr>
                <w:rFonts w:ascii="Calibri" w:hAnsi="Calibri"/>
                <w:szCs w:val="21"/>
              </w:rPr>
            </w:pPr>
            <w:r w:rsidRPr="00682A7C">
              <w:rPr>
                <w:rFonts w:ascii="Calibri" w:hAnsi="Calibri"/>
                <w:szCs w:val="21"/>
              </w:rPr>
              <w:t>0.0153</w:t>
            </w:r>
          </w:p>
        </w:tc>
        <w:tc>
          <w:tcPr>
            <w:tcW w:w="1942" w:type="dxa"/>
            <w:shd w:val="clear" w:color="auto" w:fill="FFFFFF"/>
            <w:vAlign w:val="center"/>
          </w:tcPr>
          <w:p w14:paraId="080D2C13" w14:textId="77777777" w:rsidR="0076366E" w:rsidRPr="00682A7C" w:rsidRDefault="0076366E" w:rsidP="0076366E">
            <w:pPr>
              <w:jc w:val="center"/>
              <w:rPr>
                <w:rFonts w:ascii="Calibri" w:hAnsi="Calibri"/>
                <w:szCs w:val="21"/>
              </w:rPr>
            </w:pPr>
            <w:r w:rsidRPr="00682A7C">
              <w:rPr>
                <w:rFonts w:ascii="Calibri" w:hAnsi="Calibri"/>
                <w:szCs w:val="21"/>
              </w:rPr>
              <w:t>0.5839</w:t>
            </w:r>
          </w:p>
        </w:tc>
        <w:tc>
          <w:tcPr>
            <w:tcW w:w="1826" w:type="dxa"/>
            <w:shd w:val="clear" w:color="auto" w:fill="FFFFFF"/>
            <w:vAlign w:val="center"/>
          </w:tcPr>
          <w:p w14:paraId="7C607A23" w14:textId="77777777" w:rsidR="0076366E" w:rsidRPr="00682A7C" w:rsidRDefault="0076366E" w:rsidP="0076366E">
            <w:pPr>
              <w:jc w:val="center"/>
              <w:rPr>
                <w:rFonts w:ascii="Calibri" w:hAnsi="Calibri"/>
                <w:szCs w:val="21"/>
              </w:rPr>
            </w:pPr>
            <w:r w:rsidRPr="00682A7C">
              <w:rPr>
                <w:rFonts w:ascii="Calibri" w:hAnsi="Calibri"/>
                <w:szCs w:val="21"/>
              </w:rPr>
              <w:t>0.2336</w:t>
            </w:r>
          </w:p>
        </w:tc>
      </w:tr>
      <w:tr w:rsidR="00AF13C4" w:rsidRPr="00682A7C" w14:paraId="5BCEF50C" w14:textId="77777777" w:rsidTr="005249C0">
        <w:trPr>
          <w:trHeight w:val="340"/>
        </w:trPr>
        <w:tc>
          <w:tcPr>
            <w:tcW w:w="1925" w:type="dxa"/>
            <w:shd w:val="clear" w:color="auto" w:fill="FFFFFF"/>
            <w:vAlign w:val="center"/>
          </w:tcPr>
          <w:p w14:paraId="0F6BA6D0" w14:textId="77777777" w:rsidR="0076366E" w:rsidRPr="00682A7C" w:rsidRDefault="0076366E" w:rsidP="00DE0DFA">
            <w:pPr>
              <w:jc w:val="center"/>
              <w:rPr>
                <w:rFonts w:ascii="Calibri" w:hAnsi="Calibri"/>
                <w:szCs w:val="21"/>
              </w:rPr>
            </w:pPr>
            <w:r w:rsidRPr="00682A7C">
              <w:rPr>
                <w:rFonts w:ascii="Calibri" w:hAnsi="Calibri"/>
                <w:szCs w:val="21"/>
              </w:rPr>
              <w:t>下风向最大浓度</w:t>
            </w:r>
          </w:p>
        </w:tc>
        <w:tc>
          <w:tcPr>
            <w:tcW w:w="1462" w:type="dxa"/>
            <w:shd w:val="clear" w:color="auto" w:fill="FFFFFF"/>
            <w:vAlign w:val="center"/>
          </w:tcPr>
          <w:p w14:paraId="2FEB26F8" w14:textId="77777777" w:rsidR="0076366E" w:rsidRPr="00682A7C" w:rsidRDefault="0076366E" w:rsidP="00DE0DFA">
            <w:pPr>
              <w:jc w:val="center"/>
              <w:rPr>
                <w:rFonts w:ascii="Calibri" w:hAnsi="Calibri"/>
                <w:szCs w:val="21"/>
              </w:rPr>
            </w:pPr>
            <w:r w:rsidRPr="00682A7C">
              <w:rPr>
                <w:rFonts w:ascii="Calibri" w:hAnsi="Calibri"/>
                <w:szCs w:val="21"/>
              </w:rPr>
              <w:t>0.2630</w:t>
            </w:r>
          </w:p>
        </w:tc>
        <w:tc>
          <w:tcPr>
            <w:tcW w:w="1372" w:type="dxa"/>
            <w:shd w:val="clear" w:color="auto" w:fill="FFFFFF"/>
            <w:vAlign w:val="center"/>
          </w:tcPr>
          <w:p w14:paraId="6B42D4C7" w14:textId="77777777" w:rsidR="0076366E" w:rsidRPr="00682A7C" w:rsidRDefault="0076366E" w:rsidP="00DE0DFA">
            <w:pPr>
              <w:jc w:val="center"/>
              <w:rPr>
                <w:rFonts w:ascii="Calibri" w:hAnsi="Calibri"/>
                <w:szCs w:val="21"/>
              </w:rPr>
            </w:pPr>
            <w:r w:rsidRPr="00682A7C">
              <w:rPr>
                <w:rFonts w:ascii="Calibri" w:hAnsi="Calibri"/>
                <w:szCs w:val="21"/>
              </w:rPr>
              <w:t>0.0526</w:t>
            </w:r>
          </w:p>
        </w:tc>
        <w:tc>
          <w:tcPr>
            <w:tcW w:w="1942" w:type="dxa"/>
            <w:shd w:val="clear" w:color="auto" w:fill="FFFFFF"/>
            <w:vAlign w:val="center"/>
          </w:tcPr>
          <w:p w14:paraId="7DE9CA94" w14:textId="77777777" w:rsidR="0076366E" w:rsidRPr="00682A7C" w:rsidRDefault="0076366E" w:rsidP="00DE0DFA">
            <w:pPr>
              <w:jc w:val="center"/>
              <w:rPr>
                <w:rFonts w:ascii="Calibri" w:hAnsi="Calibri"/>
                <w:szCs w:val="21"/>
              </w:rPr>
            </w:pPr>
            <w:r w:rsidRPr="00682A7C">
              <w:rPr>
                <w:rFonts w:ascii="Calibri" w:hAnsi="Calibri"/>
                <w:szCs w:val="21"/>
              </w:rPr>
              <w:t>2.0080</w:t>
            </w:r>
          </w:p>
        </w:tc>
        <w:tc>
          <w:tcPr>
            <w:tcW w:w="1826" w:type="dxa"/>
            <w:shd w:val="clear" w:color="auto" w:fill="FFFFFF"/>
            <w:vAlign w:val="center"/>
          </w:tcPr>
          <w:p w14:paraId="0D0D8C60" w14:textId="77777777" w:rsidR="0076366E" w:rsidRPr="00682A7C" w:rsidRDefault="0076366E" w:rsidP="00DE0DFA">
            <w:pPr>
              <w:jc w:val="center"/>
              <w:rPr>
                <w:rFonts w:ascii="Calibri" w:hAnsi="Calibri"/>
                <w:szCs w:val="21"/>
              </w:rPr>
            </w:pPr>
            <w:r w:rsidRPr="00682A7C">
              <w:rPr>
                <w:rFonts w:ascii="Calibri" w:hAnsi="Calibri"/>
                <w:szCs w:val="21"/>
              </w:rPr>
              <w:t>0.8032</w:t>
            </w:r>
          </w:p>
        </w:tc>
      </w:tr>
      <w:tr w:rsidR="00AF13C4" w:rsidRPr="00682A7C" w14:paraId="379ED899" w14:textId="77777777" w:rsidTr="005249C0">
        <w:trPr>
          <w:trHeight w:val="340"/>
        </w:trPr>
        <w:tc>
          <w:tcPr>
            <w:tcW w:w="1925" w:type="dxa"/>
            <w:shd w:val="clear" w:color="auto" w:fill="FFFFFF"/>
            <w:vAlign w:val="center"/>
          </w:tcPr>
          <w:p w14:paraId="2D9BB3B6" w14:textId="77777777" w:rsidR="0076366E" w:rsidRPr="00682A7C" w:rsidRDefault="0076366E" w:rsidP="0076366E">
            <w:pPr>
              <w:jc w:val="center"/>
              <w:rPr>
                <w:rFonts w:ascii="Calibri" w:hAnsi="Calibri"/>
                <w:szCs w:val="21"/>
              </w:rPr>
            </w:pPr>
            <w:r w:rsidRPr="00682A7C">
              <w:rPr>
                <w:rFonts w:ascii="Calibri" w:hAnsi="Calibri"/>
                <w:szCs w:val="21"/>
              </w:rPr>
              <w:t>下风向最大浓度出现距离</w:t>
            </w:r>
          </w:p>
        </w:tc>
        <w:tc>
          <w:tcPr>
            <w:tcW w:w="1462" w:type="dxa"/>
            <w:shd w:val="clear" w:color="auto" w:fill="FFFFFF"/>
            <w:vAlign w:val="center"/>
          </w:tcPr>
          <w:p w14:paraId="494A2B9A" w14:textId="77777777" w:rsidR="0076366E" w:rsidRPr="00682A7C" w:rsidRDefault="0076366E" w:rsidP="0076366E">
            <w:pPr>
              <w:jc w:val="center"/>
              <w:rPr>
                <w:rFonts w:ascii="Calibri" w:hAnsi="Calibri"/>
                <w:szCs w:val="21"/>
              </w:rPr>
            </w:pPr>
            <w:r w:rsidRPr="00682A7C">
              <w:rPr>
                <w:rFonts w:ascii="Calibri" w:hAnsi="Calibri"/>
                <w:szCs w:val="21"/>
              </w:rPr>
              <w:t>76.0</w:t>
            </w:r>
          </w:p>
        </w:tc>
        <w:tc>
          <w:tcPr>
            <w:tcW w:w="1372" w:type="dxa"/>
            <w:shd w:val="clear" w:color="auto" w:fill="FFFFFF"/>
            <w:vAlign w:val="center"/>
          </w:tcPr>
          <w:p w14:paraId="3D778EA8" w14:textId="77777777" w:rsidR="0076366E" w:rsidRPr="00682A7C" w:rsidRDefault="0076366E" w:rsidP="0076366E">
            <w:pPr>
              <w:jc w:val="center"/>
              <w:rPr>
                <w:rFonts w:ascii="Calibri" w:hAnsi="Calibri"/>
                <w:szCs w:val="21"/>
              </w:rPr>
            </w:pPr>
            <w:r w:rsidRPr="00682A7C">
              <w:rPr>
                <w:rFonts w:ascii="Calibri" w:hAnsi="Calibri"/>
                <w:szCs w:val="21"/>
              </w:rPr>
              <w:t>76.0</w:t>
            </w:r>
          </w:p>
        </w:tc>
        <w:tc>
          <w:tcPr>
            <w:tcW w:w="1942" w:type="dxa"/>
            <w:shd w:val="clear" w:color="auto" w:fill="FFFFFF"/>
            <w:vAlign w:val="center"/>
          </w:tcPr>
          <w:p w14:paraId="2EA8A976" w14:textId="77777777" w:rsidR="0076366E" w:rsidRPr="00682A7C" w:rsidRDefault="0076366E" w:rsidP="0076366E">
            <w:pPr>
              <w:jc w:val="center"/>
              <w:rPr>
                <w:rFonts w:ascii="Calibri" w:hAnsi="Calibri"/>
                <w:szCs w:val="21"/>
              </w:rPr>
            </w:pPr>
            <w:r w:rsidRPr="00682A7C">
              <w:rPr>
                <w:rFonts w:ascii="Calibri" w:hAnsi="Calibri"/>
                <w:szCs w:val="21"/>
              </w:rPr>
              <w:t>76.0</w:t>
            </w:r>
          </w:p>
        </w:tc>
        <w:tc>
          <w:tcPr>
            <w:tcW w:w="1826" w:type="dxa"/>
            <w:shd w:val="clear" w:color="auto" w:fill="FFFFFF"/>
            <w:vAlign w:val="center"/>
          </w:tcPr>
          <w:p w14:paraId="1779D2F6" w14:textId="77777777" w:rsidR="0076366E" w:rsidRPr="00682A7C" w:rsidRDefault="0076366E" w:rsidP="0076366E">
            <w:pPr>
              <w:jc w:val="center"/>
              <w:rPr>
                <w:rFonts w:ascii="Calibri" w:hAnsi="Calibri"/>
                <w:szCs w:val="21"/>
              </w:rPr>
            </w:pPr>
            <w:r w:rsidRPr="00682A7C">
              <w:rPr>
                <w:rFonts w:ascii="Calibri" w:hAnsi="Calibri"/>
                <w:szCs w:val="21"/>
              </w:rPr>
              <w:t>76.0</w:t>
            </w:r>
          </w:p>
        </w:tc>
      </w:tr>
      <w:tr w:rsidR="00AF13C4" w:rsidRPr="00682A7C" w14:paraId="11EF62B5" w14:textId="77777777" w:rsidTr="005249C0">
        <w:trPr>
          <w:trHeight w:val="340"/>
        </w:trPr>
        <w:tc>
          <w:tcPr>
            <w:tcW w:w="1925" w:type="dxa"/>
            <w:shd w:val="clear" w:color="auto" w:fill="FFFFFF"/>
            <w:vAlign w:val="center"/>
          </w:tcPr>
          <w:p w14:paraId="63E82605" w14:textId="77777777" w:rsidR="0076366E" w:rsidRPr="00682A7C" w:rsidRDefault="0076366E" w:rsidP="00A500F1">
            <w:pPr>
              <w:jc w:val="center"/>
              <w:rPr>
                <w:rFonts w:ascii="Calibri" w:hAnsi="Calibri"/>
                <w:szCs w:val="21"/>
              </w:rPr>
            </w:pPr>
            <w:r w:rsidRPr="00682A7C">
              <w:rPr>
                <w:rFonts w:ascii="Calibri" w:hAnsi="Calibri"/>
                <w:szCs w:val="21"/>
              </w:rPr>
              <w:t>D10%</w:t>
            </w:r>
            <w:r w:rsidRPr="00682A7C">
              <w:rPr>
                <w:rFonts w:ascii="Calibri" w:hAnsi="Calibri"/>
                <w:szCs w:val="21"/>
              </w:rPr>
              <w:t>最远距离</w:t>
            </w:r>
          </w:p>
        </w:tc>
        <w:tc>
          <w:tcPr>
            <w:tcW w:w="1462" w:type="dxa"/>
            <w:shd w:val="clear" w:color="auto" w:fill="FFFFFF"/>
            <w:vAlign w:val="center"/>
          </w:tcPr>
          <w:p w14:paraId="5C076FBF" w14:textId="77777777" w:rsidR="0076366E" w:rsidRPr="00682A7C" w:rsidRDefault="0076366E" w:rsidP="00A500F1">
            <w:pPr>
              <w:jc w:val="center"/>
              <w:rPr>
                <w:rFonts w:ascii="Calibri" w:hAnsi="Calibri"/>
                <w:szCs w:val="21"/>
              </w:rPr>
            </w:pPr>
            <w:r w:rsidRPr="00682A7C">
              <w:rPr>
                <w:rFonts w:ascii="Calibri" w:hAnsi="Calibri"/>
                <w:szCs w:val="21"/>
              </w:rPr>
              <w:t>/</w:t>
            </w:r>
          </w:p>
        </w:tc>
        <w:tc>
          <w:tcPr>
            <w:tcW w:w="1372" w:type="dxa"/>
            <w:shd w:val="clear" w:color="auto" w:fill="FFFFFF"/>
            <w:vAlign w:val="center"/>
          </w:tcPr>
          <w:p w14:paraId="2456DBBD" w14:textId="77777777" w:rsidR="0076366E" w:rsidRPr="00682A7C" w:rsidRDefault="0076366E" w:rsidP="00A500F1">
            <w:pPr>
              <w:jc w:val="center"/>
              <w:rPr>
                <w:rFonts w:ascii="Calibri" w:hAnsi="Calibri"/>
                <w:szCs w:val="21"/>
              </w:rPr>
            </w:pPr>
            <w:r w:rsidRPr="00682A7C">
              <w:rPr>
                <w:rFonts w:ascii="Calibri" w:hAnsi="Calibri"/>
                <w:szCs w:val="21"/>
              </w:rPr>
              <w:t>/</w:t>
            </w:r>
          </w:p>
        </w:tc>
        <w:tc>
          <w:tcPr>
            <w:tcW w:w="1942" w:type="dxa"/>
            <w:shd w:val="clear" w:color="auto" w:fill="FFFFFF"/>
            <w:vAlign w:val="center"/>
          </w:tcPr>
          <w:p w14:paraId="3338A3F9" w14:textId="77777777" w:rsidR="0076366E" w:rsidRPr="00682A7C" w:rsidRDefault="0076366E" w:rsidP="00A500F1">
            <w:pPr>
              <w:jc w:val="center"/>
              <w:rPr>
                <w:rFonts w:ascii="Calibri" w:hAnsi="Calibri"/>
                <w:szCs w:val="21"/>
              </w:rPr>
            </w:pPr>
            <w:r w:rsidRPr="00682A7C">
              <w:rPr>
                <w:rFonts w:ascii="Calibri" w:hAnsi="Calibri"/>
                <w:szCs w:val="21"/>
              </w:rPr>
              <w:t>/</w:t>
            </w:r>
          </w:p>
        </w:tc>
        <w:tc>
          <w:tcPr>
            <w:tcW w:w="1826" w:type="dxa"/>
            <w:shd w:val="clear" w:color="auto" w:fill="FFFFFF"/>
            <w:vAlign w:val="center"/>
          </w:tcPr>
          <w:p w14:paraId="1EF757C8" w14:textId="77777777" w:rsidR="0076366E" w:rsidRPr="00682A7C" w:rsidRDefault="0076366E" w:rsidP="00A500F1">
            <w:pPr>
              <w:jc w:val="center"/>
              <w:rPr>
                <w:rFonts w:ascii="Calibri" w:hAnsi="Calibri"/>
                <w:szCs w:val="21"/>
              </w:rPr>
            </w:pPr>
            <w:r w:rsidRPr="00682A7C">
              <w:rPr>
                <w:rFonts w:ascii="Calibri" w:hAnsi="Calibri"/>
                <w:szCs w:val="21"/>
              </w:rPr>
              <w:t>/</w:t>
            </w:r>
          </w:p>
        </w:tc>
      </w:tr>
    </w:tbl>
    <w:p w14:paraId="27AA856F" w14:textId="77777777" w:rsidR="008948ED" w:rsidRPr="0076366E" w:rsidRDefault="008948ED" w:rsidP="00DC06C8">
      <w:pPr>
        <w:spacing w:line="520" w:lineRule="exact"/>
        <w:ind w:firstLineChars="200" w:firstLine="480"/>
        <w:jc w:val="left"/>
        <w:rPr>
          <w:rFonts w:ascii="Calibri" w:hAnsi="Calibri"/>
          <w:color w:val="auto"/>
          <w:sz w:val="24"/>
        </w:rPr>
      </w:pPr>
    </w:p>
    <w:p w14:paraId="53CDB855" w14:textId="77777777" w:rsidR="008948ED" w:rsidRPr="008948ED" w:rsidRDefault="008948ED" w:rsidP="00DC06C8">
      <w:pPr>
        <w:spacing w:line="520" w:lineRule="exact"/>
        <w:ind w:firstLineChars="200" w:firstLine="480"/>
        <w:jc w:val="left"/>
        <w:rPr>
          <w:rFonts w:ascii="Calibri" w:hAnsi="Calibri"/>
          <w:color w:val="auto"/>
          <w:sz w:val="24"/>
        </w:rPr>
      </w:pPr>
    </w:p>
    <w:p w14:paraId="162579E3" w14:textId="77777777" w:rsidR="008948ED" w:rsidRDefault="008948ED" w:rsidP="00DC06C8">
      <w:pPr>
        <w:spacing w:line="520" w:lineRule="exact"/>
        <w:ind w:firstLineChars="200" w:firstLine="480"/>
        <w:jc w:val="left"/>
        <w:rPr>
          <w:rFonts w:ascii="Calibri" w:hAnsi="Calibri"/>
          <w:color w:val="auto"/>
          <w:sz w:val="24"/>
        </w:rPr>
      </w:pPr>
    </w:p>
    <w:p w14:paraId="36C1A73F" w14:textId="77777777" w:rsidR="008948ED" w:rsidRDefault="008948ED" w:rsidP="00DC06C8">
      <w:pPr>
        <w:spacing w:line="520" w:lineRule="exact"/>
        <w:ind w:firstLineChars="200" w:firstLine="480"/>
        <w:jc w:val="left"/>
        <w:rPr>
          <w:rFonts w:ascii="Calibri" w:hAnsi="Calibri"/>
          <w:color w:val="auto"/>
          <w:sz w:val="24"/>
        </w:rPr>
      </w:pPr>
    </w:p>
    <w:p w14:paraId="3E39F50D" w14:textId="77777777" w:rsidR="008948ED" w:rsidRDefault="008948ED" w:rsidP="00DC06C8">
      <w:pPr>
        <w:spacing w:line="520" w:lineRule="exact"/>
        <w:ind w:firstLineChars="200" w:firstLine="480"/>
        <w:jc w:val="left"/>
        <w:rPr>
          <w:rFonts w:ascii="Calibri" w:hAnsi="Calibri"/>
          <w:color w:val="auto"/>
          <w:sz w:val="24"/>
        </w:rPr>
      </w:pPr>
    </w:p>
    <w:p w14:paraId="507AD368" w14:textId="77777777" w:rsidR="008948ED" w:rsidRDefault="008948ED" w:rsidP="00DC06C8">
      <w:pPr>
        <w:spacing w:line="520" w:lineRule="exact"/>
        <w:ind w:firstLineChars="200" w:firstLine="480"/>
        <w:jc w:val="left"/>
        <w:rPr>
          <w:rFonts w:ascii="Calibri" w:hAnsi="Calibri"/>
          <w:color w:val="auto"/>
          <w:sz w:val="24"/>
        </w:rPr>
      </w:pPr>
    </w:p>
    <w:p w14:paraId="130D14E6" w14:textId="77777777" w:rsidR="008948ED" w:rsidRDefault="008948ED" w:rsidP="00DC06C8">
      <w:pPr>
        <w:spacing w:line="520" w:lineRule="exact"/>
        <w:ind w:firstLineChars="200" w:firstLine="480"/>
        <w:jc w:val="left"/>
        <w:rPr>
          <w:rFonts w:ascii="Calibri" w:hAnsi="Calibri"/>
          <w:color w:val="auto"/>
          <w:sz w:val="24"/>
        </w:rPr>
      </w:pPr>
    </w:p>
    <w:p w14:paraId="77E78668" w14:textId="77777777" w:rsidR="008948ED" w:rsidRDefault="008948ED" w:rsidP="00DC06C8">
      <w:pPr>
        <w:spacing w:line="520" w:lineRule="exact"/>
        <w:ind w:firstLineChars="200" w:firstLine="480"/>
        <w:jc w:val="left"/>
        <w:rPr>
          <w:rFonts w:ascii="Calibri" w:hAnsi="Calibri"/>
          <w:color w:val="auto"/>
          <w:sz w:val="24"/>
        </w:rPr>
      </w:pPr>
    </w:p>
    <w:p w14:paraId="081C2F3B" w14:textId="77777777" w:rsidR="00682A7C" w:rsidRDefault="00682A7C" w:rsidP="00DC06C8">
      <w:pPr>
        <w:spacing w:line="520" w:lineRule="exact"/>
        <w:ind w:firstLineChars="200" w:firstLine="480"/>
        <w:jc w:val="left"/>
        <w:rPr>
          <w:rFonts w:ascii="Calibri" w:hAnsi="Calibri"/>
          <w:color w:val="auto"/>
          <w:sz w:val="24"/>
        </w:rPr>
      </w:pPr>
    </w:p>
    <w:p w14:paraId="3C4CB031" w14:textId="77777777" w:rsidR="0076366E" w:rsidRDefault="0076366E" w:rsidP="0076366E">
      <w:pPr>
        <w:spacing w:line="520" w:lineRule="exact"/>
        <w:ind w:firstLineChars="200" w:firstLine="480"/>
        <w:jc w:val="left"/>
        <w:rPr>
          <w:rFonts w:ascii="Calibri" w:hAnsi="Calibri"/>
          <w:color w:val="auto"/>
          <w:sz w:val="24"/>
        </w:rPr>
      </w:pPr>
      <w:r>
        <w:rPr>
          <w:rFonts w:ascii="Calibri" w:hAnsi="Calibri"/>
          <w:color w:val="auto"/>
          <w:sz w:val="24"/>
        </w:rPr>
        <w:lastRenderedPageBreak/>
        <w:t>（</w:t>
      </w:r>
      <w:r w:rsidR="00160029">
        <w:rPr>
          <w:rFonts w:ascii="Calibri" w:hAnsi="Calibri"/>
          <w:color w:val="auto"/>
          <w:sz w:val="24"/>
        </w:rPr>
        <w:t>3</w:t>
      </w:r>
      <w:r>
        <w:rPr>
          <w:rFonts w:ascii="Calibri" w:hAnsi="Calibri"/>
          <w:color w:val="auto"/>
          <w:sz w:val="24"/>
        </w:rPr>
        <w:t>）</w:t>
      </w:r>
      <w:r>
        <w:rPr>
          <w:rFonts w:ascii="Calibri" w:hAnsi="Calibri" w:hint="eastAsia"/>
          <w:color w:val="auto"/>
          <w:sz w:val="24"/>
        </w:rPr>
        <w:t>污水</w:t>
      </w:r>
      <w:r>
        <w:rPr>
          <w:rFonts w:ascii="Calibri" w:hAnsi="Calibri"/>
          <w:color w:val="auto"/>
          <w:sz w:val="24"/>
        </w:rPr>
        <w:t>处理站废气</w:t>
      </w:r>
    </w:p>
    <w:p w14:paraId="651025C2" w14:textId="77777777" w:rsidR="0076366E" w:rsidRPr="008948ED" w:rsidRDefault="0076366E" w:rsidP="0076366E">
      <w:pPr>
        <w:spacing w:line="520" w:lineRule="exact"/>
        <w:ind w:firstLineChars="350" w:firstLine="840"/>
        <w:jc w:val="left"/>
        <w:rPr>
          <w:rFonts w:ascii="Calibri" w:hAnsi="Calibri"/>
          <w:color w:val="auto"/>
          <w:sz w:val="24"/>
        </w:rPr>
      </w:pPr>
      <w:r w:rsidRPr="008948ED">
        <w:rPr>
          <w:rFonts w:ascii="Calibri" w:eastAsia="黑体" w:hAnsi="Calibri" w:hint="eastAsia"/>
          <w:color w:val="auto"/>
          <w:sz w:val="24"/>
        </w:rPr>
        <w:t>表</w:t>
      </w:r>
      <w:r>
        <w:rPr>
          <w:rFonts w:ascii="Calibri" w:eastAsia="黑体" w:hAnsi="Calibri" w:hint="eastAsia"/>
          <w:color w:val="auto"/>
          <w:sz w:val="24"/>
        </w:rPr>
        <w:t>4.2-1</w:t>
      </w:r>
      <w:r w:rsidR="00160029">
        <w:rPr>
          <w:rFonts w:ascii="Calibri" w:eastAsia="黑体" w:hAnsi="Calibri"/>
          <w:color w:val="auto"/>
          <w:sz w:val="24"/>
        </w:rPr>
        <w:t>4</w:t>
      </w:r>
      <w:r w:rsidRPr="008948ED">
        <w:rPr>
          <w:rFonts w:ascii="Calibri" w:eastAsia="黑体" w:hAnsi="Calibri" w:hint="eastAsia"/>
          <w:color w:val="auto"/>
          <w:sz w:val="24"/>
        </w:rPr>
        <w:t xml:space="preserve"> </w:t>
      </w:r>
      <w:r>
        <w:rPr>
          <w:rFonts w:ascii="Calibri" w:eastAsia="黑体" w:hAnsi="Calibri"/>
          <w:color w:val="auto"/>
        </w:rPr>
        <w:t xml:space="preserve">   </w:t>
      </w:r>
      <w:r w:rsidRPr="008948ED">
        <w:rPr>
          <w:rFonts w:ascii="Calibri" w:eastAsia="黑体" w:hAnsi="Calibri"/>
          <w:color w:val="auto"/>
          <w:sz w:val="24"/>
        </w:rPr>
        <w:t xml:space="preserve">   </w:t>
      </w:r>
      <w:r>
        <w:rPr>
          <w:rFonts w:ascii="Calibri" w:eastAsia="黑体" w:hAnsi="Calibri"/>
          <w:color w:val="auto"/>
          <w:sz w:val="24"/>
        </w:rPr>
        <w:t xml:space="preserve">    </w:t>
      </w:r>
      <w:r>
        <w:rPr>
          <w:rFonts w:ascii="Calibri" w:eastAsia="黑体" w:hAnsi="Calibri" w:hint="eastAsia"/>
          <w:color w:val="auto"/>
          <w:sz w:val="24"/>
        </w:rPr>
        <w:t>污水处理站</w:t>
      </w:r>
      <w:r w:rsidRPr="008948ED">
        <w:rPr>
          <w:rFonts w:ascii="Calibri" w:eastAsia="黑体" w:hAnsi="Calibri" w:hint="eastAsia"/>
          <w:color w:val="auto"/>
          <w:sz w:val="24"/>
        </w:rPr>
        <w:t>污染物排放预测结果</w:t>
      </w:r>
    </w:p>
    <w:tbl>
      <w:tblPr>
        <w:tblW w:w="85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18"/>
        <w:gridCol w:w="1355"/>
        <w:gridCol w:w="1081"/>
        <w:gridCol w:w="1355"/>
        <w:gridCol w:w="1081"/>
        <w:gridCol w:w="1355"/>
        <w:gridCol w:w="1082"/>
      </w:tblGrid>
      <w:tr w:rsidR="00AF13C4" w14:paraId="09573EF6" w14:textId="77777777" w:rsidTr="005249C0">
        <w:trPr>
          <w:trHeight w:val="340"/>
        </w:trPr>
        <w:tc>
          <w:tcPr>
            <w:tcW w:w="1218" w:type="dxa"/>
            <w:vMerge w:val="restart"/>
            <w:vAlign w:val="center"/>
          </w:tcPr>
          <w:p w14:paraId="37857B23" w14:textId="77777777" w:rsidR="0076366E" w:rsidRDefault="0076366E" w:rsidP="00A500F1">
            <w:pPr>
              <w:jc w:val="center"/>
              <w:rPr>
                <w:rFonts w:ascii="Calibri" w:hAnsi="Calibri"/>
              </w:rPr>
            </w:pPr>
            <w:r>
              <w:rPr>
                <w:rFonts w:ascii="Calibri" w:hAnsi="Calibri"/>
                <w:sz w:val="23"/>
                <w:szCs w:val="23"/>
              </w:rPr>
              <w:t>下风向距离</w:t>
            </w:r>
          </w:p>
        </w:tc>
        <w:tc>
          <w:tcPr>
            <w:tcW w:w="7309" w:type="dxa"/>
            <w:gridSpan w:val="6"/>
            <w:vAlign w:val="center"/>
          </w:tcPr>
          <w:p w14:paraId="16D1CAA1" w14:textId="77777777" w:rsidR="0076366E" w:rsidRDefault="0076366E" w:rsidP="00A500F1">
            <w:pPr>
              <w:jc w:val="center"/>
              <w:rPr>
                <w:rFonts w:ascii="Calibri" w:hAnsi="Calibri"/>
              </w:rPr>
            </w:pPr>
            <w:r>
              <w:rPr>
                <w:rFonts w:ascii="Calibri" w:hAnsi="Calibri" w:hint="eastAsia"/>
                <w:sz w:val="23"/>
                <w:szCs w:val="23"/>
              </w:rPr>
              <w:t>污水</w:t>
            </w:r>
            <w:r>
              <w:rPr>
                <w:rFonts w:ascii="Calibri" w:hAnsi="Calibri"/>
                <w:sz w:val="23"/>
                <w:szCs w:val="23"/>
              </w:rPr>
              <w:t>处理站</w:t>
            </w:r>
          </w:p>
        </w:tc>
      </w:tr>
      <w:tr w:rsidR="00AF13C4" w14:paraId="433D1769" w14:textId="77777777" w:rsidTr="005249C0">
        <w:trPr>
          <w:trHeight w:val="340"/>
        </w:trPr>
        <w:tc>
          <w:tcPr>
            <w:tcW w:w="1218" w:type="dxa"/>
            <w:vMerge/>
            <w:vAlign w:val="center"/>
          </w:tcPr>
          <w:p w14:paraId="731706E1" w14:textId="77777777" w:rsidR="0076366E" w:rsidRDefault="0076366E" w:rsidP="0076366E">
            <w:pPr>
              <w:jc w:val="center"/>
              <w:rPr>
                <w:rFonts w:ascii="Calibri" w:hAnsi="Calibri"/>
              </w:rPr>
            </w:pPr>
          </w:p>
        </w:tc>
        <w:tc>
          <w:tcPr>
            <w:tcW w:w="1355" w:type="dxa"/>
            <w:vAlign w:val="center"/>
          </w:tcPr>
          <w:p w14:paraId="556FE9B0" w14:textId="77777777" w:rsidR="0076366E" w:rsidRPr="008948ED" w:rsidRDefault="0076366E" w:rsidP="0076366E">
            <w:pPr>
              <w:rPr>
                <w:rFonts w:asciiTheme="minorHAnsi" w:hAnsiTheme="minorHAnsi"/>
                <w:szCs w:val="21"/>
              </w:rPr>
            </w:pPr>
            <w:r w:rsidRPr="008948ED">
              <w:rPr>
                <w:rFonts w:asciiTheme="minorHAnsi" w:hAnsiTheme="minorHAnsi"/>
                <w:szCs w:val="21"/>
              </w:rPr>
              <w:t>NH</w:t>
            </w:r>
            <w:r w:rsidRPr="008948ED">
              <w:rPr>
                <w:rFonts w:asciiTheme="minorHAnsi" w:hAnsiTheme="minorHAnsi"/>
                <w:szCs w:val="21"/>
                <w:vertAlign w:val="subscript"/>
              </w:rPr>
              <w:t>3</w:t>
            </w:r>
            <w:r w:rsidRPr="008948ED">
              <w:rPr>
                <w:rFonts w:asciiTheme="minorHAnsi" w:hAnsiTheme="minorHAnsi"/>
                <w:szCs w:val="21"/>
              </w:rPr>
              <w:t>浓度</w:t>
            </w:r>
            <w:r>
              <w:rPr>
                <w:rFonts w:asciiTheme="minorHAnsi" w:hAnsiTheme="minorHAnsi" w:hint="eastAsia"/>
                <w:szCs w:val="21"/>
              </w:rPr>
              <w:t>（</w:t>
            </w:r>
            <w:r w:rsidRPr="008948ED">
              <w:rPr>
                <w:rFonts w:asciiTheme="minorHAnsi" w:hAnsiTheme="minorHAnsi"/>
                <w:szCs w:val="21"/>
              </w:rPr>
              <w:t>μg/m³</w:t>
            </w:r>
            <w:r>
              <w:rPr>
                <w:rFonts w:asciiTheme="minorHAnsi" w:hAnsiTheme="minorHAnsi" w:hint="eastAsia"/>
                <w:szCs w:val="21"/>
              </w:rPr>
              <w:t>）</w:t>
            </w:r>
          </w:p>
        </w:tc>
        <w:tc>
          <w:tcPr>
            <w:tcW w:w="1081" w:type="dxa"/>
            <w:vAlign w:val="center"/>
          </w:tcPr>
          <w:p w14:paraId="4164D9D5" w14:textId="77777777" w:rsidR="0076366E" w:rsidRPr="008948ED" w:rsidRDefault="0076366E" w:rsidP="0076366E">
            <w:pPr>
              <w:rPr>
                <w:rFonts w:asciiTheme="minorHAnsi" w:hAnsiTheme="minorHAnsi"/>
                <w:szCs w:val="21"/>
              </w:rPr>
            </w:pPr>
            <w:r w:rsidRPr="008948ED">
              <w:rPr>
                <w:rFonts w:asciiTheme="minorHAnsi" w:hAnsiTheme="minorHAnsi"/>
                <w:szCs w:val="21"/>
              </w:rPr>
              <w:t>NH</w:t>
            </w:r>
            <w:r w:rsidRPr="008948ED">
              <w:rPr>
                <w:rFonts w:asciiTheme="minorHAnsi" w:hAnsiTheme="minorHAnsi"/>
                <w:szCs w:val="21"/>
                <w:vertAlign w:val="subscript"/>
              </w:rPr>
              <w:t>3</w:t>
            </w:r>
            <w:r w:rsidRPr="008948ED">
              <w:rPr>
                <w:rFonts w:asciiTheme="minorHAnsi" w:hAnsiTheme="minorHAnsi"/>
                <w:szCs w:val="21"/>
              </w:rPr>
              <w:t>占标率</w:t>
            </w:r>
            <w:r>
              <w:rPr>
                <w:rFonts w:asciiTheme="minorHAnsi" w:hAnsiTheme="minorHAnsi" w:hint="eastAsia"/>
                <w:szCs w:val="21"/>
              </w:rPr>
              <w:t>（</w:t>
            </w:r>
            <w:r w:rsidRPr="008948ED">
              <w:rPr>
                <w:rFonts w:asciiTheme="minorHAnsi" w:hAnsiTheme="minorHAnsi"/>
                <w:szCs w:val="21"/>
              </w:rPr>
              <w:t>%</w:t>
            </w:r>
            <w:r>
              <w:rPr>
                <w:rFonts w:asciiTheme="minorHAnsi" w:hAnsiTheme="minorHAnsi" w:hint="eastAsia"/>
                <w:szCs w:val="21"/>
              </w:rPr>
              <w:t>）</w:t>
            </w:r>
          </w:p>
        </w:tc>
        <w:tc>
          <w:tcPr>
            <w:tcW w:w="1355" w:type="dxa"/>
            <w:vAlign w:val="center"/>
          </w:tcPr>
          <w:p w14:paraId="55059280" w14:textId="77777777" w:rsidR="0076366E" w:rsidRPr="008948ED" w:rsidRDefault="0076366E" w:rsidP="0076366E">
            <w:pPr>
              <w:rPr>
                <w:rFonts w:asciiTheme="minorHAnsi" w:hAnsiTheme="minorHAnsi"/>
                <w:szCs w:val="21"/>
              </w:rPr>
            </w:pPr>
            <w:r w:rsidRPr="008948ED">
              <w:rPr>
                <w:rFonts w:asciiTheme="minorHAnsi" w:hAnsiTheme="minorHAnsi"/>
                <w:szCs w:val="21"/>
              </w:rPr>
              <w:t>NMHC</w:t>
            </w:r>
            <w:r w:rsidRPr="008948ED">
              <w:rPr>
                <w:rFonts w:asciiTheme="minorHAnsi" w:hAnsiTheme="minorHAnsi"/>
                <w:szCs w:val="21"/>
              </w:rPr>
              <w:t>浓度</w:t>
            </w:r>
            <w:r>
              <w:rPr>
                <w:rFonts w:asciiTheme="minorHAnsi" w:hAnsiTheme="minorHAnsi" w:hint="eastAsia"/>
                <w:szCs w:val="21"/>
              </w:rPr>
              <w:t>（</w:t>
            </w:r>
            <w:r w:rsidRPr="008948ED">
              <w:rPr>
                <w:rFonts w:asciiTheme="minorHAnsi" w:hAnsiTheme="minorHAnsi"/>
                <w:szCs w:val="21"/>
              </w:rPr>
              <w:t>μg/m³</w:t>
            </w:r>
            <w:r>
              <w:rPr>
                <w:rFonts w:asciiTheme="minorHAnsi" w:hAnsiTheme="minorHAnsi" w:hint="eastAsia"/>
                <w:szCs w:val="21"/>
              </w:rPr>
              <w:t>）</w:t>
            </w:r>
          </w:p>
        </w:tc>
        <w:tc>
          <w:tcPr>
            <w:tcW w:w="1081" w:type="dxa"/>
            <w:vAlign w:val="center"/>
          </w:tcPr>
          <w:p w14:paraId="51D21556" w14:textId="77777777" w:rsidR="0076366E" w:rsidRPr="008948ED" w:rsidRDefault="0076366E" w:rsidP="0076366E">
            <w:pPr>
              <w:rPr>
                <w:rFonts w:asciiTheme="minorHAnsi" w:hAnsiTheme="minorHAnsi"/>
                <w:szCs w:val="21"/>
              </w:rPr>
            </w:pPr>
            <w:r w:rsidRPr="008948ED">
              <w:rPr>
                <w:rFonts w:asciiTheme="minorHAnsi" w:hAnsiTheme="minorHAnsi"/>
                <w:szCs w:val="21"/>
              </w:rPr>
              <w:t>NMHC</w:t>
            </w:r>
            <w:r w:rsidRPr="008948ED">
              <w:rPr>
                <w:rFonts w:asciiTheme="minorHAnsi" w:hAnsiTheme="minorHAnsi"/>
                <w:szCs w:val="21"/>
              </w:rPr>
              <w:t>占标率</w:t>
            </w:r>
            <w:r>
              <w:rPr>
                <w:rFonts w:asciiTheme="minorHAnsi" w:hAnsiTheme="minorHAnsi" w:hint="eastAsia"/>
                <w:szCs w:val="21"/>
              </w:rPr>
              <w:t>（</w:t>
            </w:r>
            <w:r w:rsidRPr="008948ED">
              <w:rPr>
                <w:rFonts w:asciiTheme="minorHAnsi" w:hAnsiTheme="minorHAnsi"/>
                <w:szCs w:val="21"/>
              </w:rPr>
              <w:t>%</w:t>
            </w:r>
            <w:r>
              <w:rPr>
                <w:rFonts w:asciiTheme="minorHAnsi" w:hAnsiTheme="minorHAnsi" w:hint="eastAsia"/>
                <w:szCs w:val="21"/>
              </w:rPr>
              <w:t>）</w:t>
            </w:r>
          </w:p>
        </w:tc>
        <w:tc>
          <w:tcPr>
            <w:tcW w:w="1355" w:type="dxa"/>
            <w:vAlign w:val="center"/>
          </w:tcPr>
          <w:p w14:paraId="0389601C" w14:textId="77777777" w:rsidR="0076366E" w:rsidRPr="0076366E" w:rsidRDefault="0076366E" w:rsidP="0076366E">
            <w:pPr>
              <w:rPr>
                <w:rFonts w:asciiTheme="minorHAnsi" w:hAnsiTheme="minorHAnsi"/>
                <w:szCs w:val="21"/>
              </w:rPr>
            </w:pPr>
            <w:r w:rsidRPr="0076366E">
              <w:rPr>
                <w:rFonts w:asciiTheme="minorHAnsi" w:hAnsiTheme="minorHAnsi"/>
                <w:szCs w:val="21"/>
              </w:rPr>
              <w:t>H</w:t>
            </w:r>
            <w:r w:rsidRPr="0076366E">
              <w:rPr>
                <w:rFonts w:asciiTheme="minorHAnsi" w:hAnsiTheme="minorHAnsi"/>
                <w:szCs w:val="21"/>
                <w:vertAlign w:val="subscript"/>
              </w:rPr>
              <w:t>2</w:t>
            </w:r>
            <w:r w:rsidRPr="0076366E">
              <w:rPr>
                <w:rFonts w:asciiTheme="minorHAnsi" w:hAnsiTheme="minorHAnsi"/>
                <w:szCs w:val="21"/>
              </w:rPr>
              <w:t>S</w:t>
            </w:r>
            <w:r w:rsidRPr="0076366E">
              <w:rPr>
                <w:rFonts w:asciiTheme="minorHAnsi" w:hAnsiTheme="minorHAnsi"/>
                <w:szCs w:val="21"/>
              </w:rPr>
              <w:t>浓度</w:t>
            </w:r>
            <w:r>
              <w:rPr>
                <w:rFonts w:asciiTheme="minorHAnsi" w:hAnsiTheme="minorHAnsi" w:hint="eastAsia"/>
                <w:szCs w:val="21"/>
              </w:rPr>
              <w:t>（</w:t>
            </w:r>
            <w:r w:rsidRPr="008948ED">
              <w:rPr>
                <w:rFonts w:asciiTheme="minorHAnsi" w:hAnsiTheme="minorHAnsi"/>
                <w:szCs w:val="21"/>
              </w:rPr>
              <w:t>μg/m³</w:t>
            </w:r>
            <w:r>
              <w:rPr>
                <w:rFonts w:asciiTheme="minorHAnsi" w:hAnsiTheme="minorHAnsi" w:hint="eastAsia"/>
                <w:szCs w:val="21"/>
              </w:rPr>
              <w:t>）</w:t>
            </w:r>
          </w:p>
        </w:tc>
        <w:tc>
          <w:tcPr>
            <w:tcW w:w="1082" w:type="dxa"/>
            <w:vAlign w:val="center"/>
          </w:tcPr>
          <w:p w14:paraId="4838B9CF" w14:textId="77777777" w:rsidR="0076366E" w:rsidRPr="0076366E" w:rsidRDefault="0076366E" w:rsidP="0076366E">
            <w:pPr>
              <w:rPr>
                <w:rFonts w:asciiTheme="minorHAnsi" w:hAnsiTheme="minorHAnsi"/>
                <w:szCs w:val="21"/>
              </w:rPr>
            </w:pPr>
            <w:r w:rsidRPr="0076366E">
              <w:rPr>
                <w:rFonts w:asciiTheme="minorHAnsi" w:hAnsiTheme="minorHAnsi"/>
                <w:szCs w:val="21"/>
              </w:rPr>
              <w:t>H</w:t>
            </w:r>
            <w:r w:rsidRPr="0076366E">
              <w:rPr>
                <w:rFonts w:asciiTheme="minorHAnsi" w:hAnsiTheme="minorHAnsi"/>
                <w:szCs w:val="21"/>
                <w:vertAlign w:val="subscript"/>
              </w:rPr>
              <w:t>2</w:t>
            </w:r>
            <w:r w:rsidRPr="0076366E">
              <w:rPr>
                <w:rFonts w:asciiTheme="minorHAnsi" w:hAnsiTheme="minorHAnsi"/>
                <w:szCs w:val="21"/>
              </w:rPr>
              <w:t>S</w:t>
            </w:r>
            <w:r w:rsidRPr="0076366E">
              <w:rPr>
                <w:rFonts w:asciiTheme="minorHAnsi" w:hAnsiTheme="minorHAnsi"/>
                <w:szCs w:val="21"/>
              </w:rPr>
              <w:t>占标率</w:t>
            </w:r>
            <w:r>
              <w:rPr>
                <w:rFonts w:asciiTheme="minorHAnsi" w:hAnsiTheme="minorHAnsi" w:hint="eastAsia"/>
                <w:szCs w:val="21"/>
              </w:rPr>
              <w:t>（</w:t>
            </w:r>
            <w:r w:rsidRPr="008948ED">
              <w:rPr>
                <w:rFonts w:asciiTheme="minorHAnsi" w:hAnsiTheme="minorHAnsi"/>
                <w:szCs w:val="21"/>
              </w:rPr>
              <w:t>%</w:t>
            </w:r>
            <w:r>
              <w:rPr>
                <w:rFonts w:asciiTheme="minorHAnsi" w:hAnsiTheme="minorHAnsi" w:hint="eastAsia"/>
                <w:szCs w:val="21"/>
              </w:rPr>
              <w:t>）</w:t>
            </w:r>
          </w:p>
        </w:tc>
      </w:tr>
      <w:tr w:rsidR="00AF13C4" w14:paraId="362B339E" w14:textId="77777777" w:rsidTr="005249C0">
        <w:trPr>
          <w:trHeight w:val="340"/>
        </w:trPr>
        <w:tc>
          <w:tcPr>
            <w:tcW w:w="1218" w:type="dxa"/>
            <w:vAlign w:val="center"/>
          </w:tcPr>
          <w:p w14:paraId="19B7EF7D" w14:textId="77777777" w:rsidR="0076366E" w:rsidRPr="00DE0DFA" w:rsidRDefault="0076366E" w:rsidP="0076366E">
            <w:pPr>
              <w:jc w:val="center"/>
              <w:rPr>
                <w:rFonts w:ascii="Calibri" w:hAnsi="Calibri"/>
                <w:szCs w:val="21"/>
              </w:rPr>
            </w:pPr>
            <w:r w:rsidRPr="00DE0DFA">
              <w:rPr>
                <w:rFonts w:ascii="Calibri" w:hAnsi="Calibri"/>
                <w:szCs w:val="21"/>
              </w:rPr>
              <w:t>1.0</w:t>
            </w:r>
          </w:p>
        </w:tc>
        <w:tc>
          <w:tcPr>
            <w:tcW w:w="1355" w:type="dxa"/>
            <w:vAlign w:val="center"/>
          </w:tcPr>
          <w:p w14:paraId="406B47CE" w14:textId="77777777" w:rsidR="0076366E" w:rsidRPr="00DE0DFA" w:rsidRDefault="0076366E" w:rsidP="0076366E">
            <w:pPr>
              <w:jc w:val="center"/>
              <w:rPr>
                <w:rFonts w:ascii="Calibri" w:hAnsi="Calibri"/>
                <w:szCs w:val="21"/>
              </w:rPr>
            </w:pPr>
            <w:r w:rsidRPr="00DE0DFA">
              <w:rPr>
                <w:rFonts w:ascii="Calibri" w:hAnsi="Calibri"/>
                <w:szCs w:val="21"/>
              </w:rPr>
              <w:t>0.0000</w:t>
            </w:r>
          </w:p>
        </w:tc>
        <w:tc>
          <w:tcPr>
            <w:tcW w:w="1081" w:type="dxa"/>
            <w:vAlign w:val="center"/>
          </w:tcPr>
          <w:p w14:paraId="6EAE88EB" w14:textId="77777777" w:rsidR="0076366E" w:rsidRPr="00DE0DFA" w:rsidRDefault="0076366E" w:rsidP="0076366E">
            <w:pPr>
              <w:jc w:val="center"/>
              <w:rPr>
                <w:rFonts w:ascii="Calibri" w:hAnsi="Calibri"/>
                <w:szCs w:val="21"/>
              </w:rPr>
            </w:pPr>
            <w:r w:rsidRPr="00DE0DFA">
              <w:rPr>
                <w:rFonts w:ascii="Calibri" w:hAnsi="Calibri"/>
                <w:szCs w:val="21"/>
              </w:rPr>
              <w:t>0.0000</w:t>
            </w:r>
          </w:p>
        </w:tc>
        <w:tc>
          <w:tcPr>
            <w:tcW w:w="1355" w:type="dxa"/>
            <w:vAlign w:val="center"/>
          </w:tcPr>
          <w:p w14:paraId="38C78C78" w14:textId="77777777" w:rsidR="0076366E" w:rsidRPr="00DE0DFA" w:rsidRDefault="0076366E" w:rsidP="0076366E">
            <w:pPr>
              <w:jc w:val="center"/>
              <w:rPr>
                <w:rFonts w:ascii="Calibri" w:hAnsi="Calibri"/>
                <w:szCs w:val="21"/>
              </w:rPr>
            </w:pPr>
            <w:r w:rsidRPr="00DE0DFA">
              <w:rPr>
                <w:rFonts w:ascii="Calibri" w:hAnsi="Calibri"/>
                <w:szCs w:val="21"/>
              </w:rPr>
              <w:t>0.0000</w:t>
            </w:r>
          </w:p>
        </w:tc>
        <w:tc>
          <w:tcPr>
            <w:tcW w:w="1081" w:type="dxa"/>
            <w:vAlign w:val="center"/>
          </w:tcPr>
          <w:p w14:paraId="5A649D0D" w14:textId="77777777" w:rsidR="0076366E" w:rsidRPr="00DE0DFA" w:rsidRDefault="0076366E" w:rsidP="0076366E">
            <w:pPr>
              <w:jc w:val="center"/>
              <w:rPr>
                <w:rFonts w:ascii="Calibri" w:hAnsi="Calibri"/>
                <w:szCs w:val="21"/>
              </w:rPr>
            </w:pPr>
            <w:r w:rsidRPr="00DE0DFA">
              <w:rPr>
                <w:rFonts w:ascii="Calibri" w:hAnsi="Calibri"/>
                <w:szCs w:val="21"/>
              </w:rPr>
              <w:t>0.0000</w:t>
            </w:r>
          </w:p>
        </w:tc>
        <w:tc>
          <w:tcPr>
            <w:tcW w:w="1355" w:type="dxa"/>
            <w:vAlign w:val="center"/>
          </w:tcPr>
          <w:p w14:paraId="60E9E42C" w14:textId="77777777" w:rsidR="0076366E" w:rsidRPr="00DE0DFA" w:rsidRDefault="0076366E" w:rsidP="0076366E">
            <w:pPr>
              <w:jc w:val="center"/>
              <w:rPr>
                <w:rFonts w:ascii="Calibri" w:hAnsi="Calibri"/>
                <w:szCs w:val="21"/>
              </w:rPr>
            </w:pPr>
            <w:r w:rsidRPr="00DE0DFA">
              <w:rPr>
                <w:rFonts w:ascii="Calibri" w:hAnsi="Calibri"/>
                <w:szCs w:val="21"/>
              </w:rPr>
              <w:t>0.0000</w:t>
            </w:r>
          </w:p>
        </w:tc>
        <w:tc>
          <w:tcPr>
            <w:tcW w:w="1082" w:type="dxa"/>
            <w:vAlign w:val="center"/>
          </w:tcPr>
          <w:p w14:paraId="07E34DC5" w14:textId="77777777" w:rsidR="0076366E" w:rsidRPr="00DE0DFA" w:rsidRDefault="0076366E" w:rsidP="0076366E">
            <w:pPr>
              <w:jc w:val="center"/>
              <w:rPr>
                <w:rFonts w:ascii="Calibri" w:hAnsi="Calibri"/>
                <w:szCs w:val="21"/>
              </w:rPr>
            </w:pPr>
            <w:r w:rsidRPr="00DE0DFA">
              <w:rPr>
                <w:rFonts w:ascii="Calibri" w:hAnsi="Calibri"/>
                <w:szCs w:val="21"/>
              </w:rPr>
              <w:t>0.0000</w:t>
            </w:r>
          </w:p>
        </w:tc>
      </w:tr>
      <w:tr w:rsidR="00AF13C4" w14:paraId="2BE61EEA" w14:textId="77777777" w:rsidTr="005249C0">
        <w:trPr>
          <w:trHeight w:val="340"/>
        </w:trPr>
        <w:tc>
          <w:tcPr>
            <w:tcW w:w="1218" w:type="dxa"/>
            <w:vAlign w:val="center"/>
          </w:tcPr>
          <w:p w14:paraId="3267FEF4" w14:textId="77777777" w:rsidR="0076366E" w:rsidRPr="00DE0DFA" w:rsidRDefault="0076366E" w:rsidP="0076366E">
            <w:pPr>
              <w:jc w:val="center"/>
              <w:rPr>
                <w:rFonts w:ascii="Calibri" w:hAnsi="Calibri"/>
                <w:szCs w:val="21"/>
              </w:rPr>
            </w:pPr>
            <w:r w:rsidRPr="00DE0DFA">
              <w:rPr>
                <w:rFonts w:ascii="Calibri" w:hAnsi="Calibri"/>
                <w:szCs w:val="21"/>
              </w:rPr>
              <w:t>25.0</w:t>
            </w:r>
          </w:p>
        </w:tc>
        <w:tc>
          <w:tcPr>
            <w:tcW w:w="1355" w:type="dxa"/>
            <w:vAlign w:val="center"/>
          </w:tcPr>
          <w:p w14:paraId="5AACA637" w14:textId="77777777" w:rsidR="0076366E" w:rsidRPr="00DE0DFA" w:rsidRDefault="0076366E" w:rsidP="0076366E">
            <w:pPr>
              <w:jc w:val="center"/>
              <w:rPr>
                <w:rFonts w:ascii="Calibri" w:hAnsi="Calibri"/>
                <w:szCs w:val="21"/>
              </w:rPr>
            </w:pPr>
            <w:r w:rsidRPr="00DE0DFA">
              <w:rPr>
                <w:rFonts w:ascii="Calibri" w:hAnsi="Calibri"/>
                <w:szCs w:val="21"/>
              </w:rPr>
              <w:t>0.0022</w:t>
            </w:r>
          </w:p>
        </w:tc>
        <w:tc>
          <w:tcPr>
            <w:tcW w:w="1081" w:type="dxa"/>
            <w:vAlign w:val="center"/>
          </w:tcPr>
          <w:p w14:paraId="2C716213" w14:textId="77777777" w:rsidR="0076366E" w:rsidRPr="00DE0DFA" w:rsidRDefault="0076366E" w:rsidP="0076366E">
            <w:pPr>
              <w:jc w:val="center"/>
              <w:rPr>
                <w:rFonts w:ascii="Calibri" w:hAnsi="Calibri"/>
                <w:szCs w:val="21"/>
              </w:rPr>
            </w:pPr>
            <w:r w:rsidRPr="00DE0DFA">
              <w:rPr>
                <w:rFonts w:ascii="Calibri" w:hAnsi="Calibri"/>
                <w:szCs w:val="21"/>
              </w:rPr>
              <w:t>0.0011</w:t>
            </w:r>
          </w:p>
        </w:tc>
        <w:tc>
          <w:tcPr>
            <w:tcW w:w="1355" w:type="dxa"/>
            <w:vAlign w:val="center"/>
          </w:tcPr>
          <w:p w14:paraId="14CC416E" w14:textId="77777777" w:rsidR="0076366E" w:rsidRPr="00DE0DFA" w:rsidRDefault="0076366E" w:rsidP="0076366E">
            <w:pPr>
              <w:jc w:val="center"/>
              <w:rPr>
                <w:rFonts w:ascii="Calibri" w:hAnsi="Calibri"/>
                <w:szCs w:val="21"/>
              </w:rPr>
            </w:pPr>
            <w:r w:rsidRPr="00DE0DFA">
              <w:rPr>
                <w:rFonts w:ascii="Calibri" w:hAnsi="Calibri"/>
                <w:szCs w:val="21"/>
              </w:rPr>
              <w:t>0.0268</w:t>
            </w:r>
          </w:p>
        </w:tc>
        <w:tc>
          <w:tcPr>
            <w:tcW w:w="1081" w:type="dxa"/>
            <w:vAlign w:val="center"/>
          </w:tcPr>
          <w:p w14:paraId="7AF6DA38" w14:textId="77777777" w:rsidR="0076366E" w:rsidRPr="00DE0DFA" w:rsidRDefault="0076366E" w:rsidP="0076366E">
            <w:pPr>
              <w:jc w:val="center"/>
              <w:rPr>
                <w:rFonts w:ascii="Calibri" w:hAnsi="Calibri"/>
                <w:szCs w:val="21"/>
              </w:rPr>
            </w:pPr>
            <w:r w:rsidRPr="00DE0DFA">
              <w:rPr>
                <w:rFonts w:ascii="Calibri" w:hAnsi="Calibri"/>
                <w:szCs w:val="21"/>
              </w:rPr>
              <w:t>0.0013</w:t>
            </w:r>
          </w:p>
        </w:tc>
        <w:tc>
          <w:tcPr>
            <w:tcW w:w="1355" w:type="dxa"/>
            <w:vAlign w:val="center"/>
          </w:tcPr>
          <w:p w14:paraId="6B1E9E90" w14:textId="77777777" w:rsidR="0076366E" w:rsidRPr="00DE0DFA" w:rsidRDefault="0076366E" w:rsidP="0076366E">
            <w:pPr>
              <w:jc w:val="center"/>
              <w:rPr>
                <w:rFonts w:ascii="Calibri" w:hAnsi="Calibri"/>
                <w:szCs w:val="21"/>
              </w:rPr>
            </w:pPr>
            <w:r w:rsidRPr="00DE0DFA">
              <w:rPr>
                <w:rFonts w:ascii="Calibri" w:hAnsi="Calibri"/>
                <w:szCs w:val="21"/>
              </w:rPr>
              <w:t>0.0001</w:t>
            </w:r>
          </w:p>
        </w:tc>
        <w:tc>
          <w:tcPr>
            <w:tcW w:w="1082" w:type="dxa"/>
            <w:vAlign w:val="center"/>
          </w:tcPr>
          <w:p w14:paraId="10B5DCD9" w14:textId="77777777" w:rsidR="0076366E" w:rsidRPr="00DE0DFA" w:rsidRDefault="0076366E" w:rsidP="0076366E">
            <w:pPr>
              <w:jc w:val="center"/>
              <w:rPr>
                <w:rFonts w:ascii="Calibri" w:hAnsi="Calibri"/>
                <w:szCs w:val="21"/>
              </w:rPr>
            </w:pPr>
            <w:r w:rsidRPr="00DE0DFA">
              <w:rPr>
                <w:rFonts w:ascii="Calibri" w:hAnsi="Calibri"/>
                <w:szCs w:val="21"/>
              </w:rPr>
              <w:t>0.0009</w:t>
            </w:r>
          </w:p>
        </w:tc>
      </w:tr>
      <w:tr w:rsidR="00AF13C4" w14:paraId="0EC0A0AB" w14:textId="77777777" w:rsidTr="005249C0">
        <w:trPr>
          <w:trHeight w:val="340"/>
        </w:trPr>
        <w:tc>
          <w:tcPr>
            <w:tcW w:w="1218" w:type="dxa"/>
            <w:vAlign w:val="center"/>
          </w:tcPr>
          <w:p w14:paraId="363CC5AF" w14:textId="77777777" w:rsidR="0076366E" w:rsidRPr="00DE0DFA" w:rsidRDefault="0076366E" w:rsidP="0076366E">
            <w:pPr>
              <w:jc w:val="center"/>
              <w:rPr>
                <w:rFonts w:ascii="Calibri" w:hAnsi="Calibri"/>
                <w:szCs w:val="21"/>
              </w:rPr>
            </w:pPr>
            <w:r w:rsidRPr="00DE0DFA">
              <w:rPr>
                <w:rFonts w:ascii="Calibri" w:hAnsi="Calibri"/>
                <w:szCs w:val="21"/>
              </w:rPr>
              <w:t>50.0</w:t>
            </w:r>
          </w:p>
        </w:tc>
        <w:tc>
          <w:tcPr>
            <w:tcW w:w="1355" w:type="dxa"/>
            <w:vAlign w:val="center"/>
          </w:tcPr>
          <w:p w14:paraId="547899C6" w14:textId="77777777" w:rsidR="0076366E" w:rsidRPr="00DE0DFA" w:rsidRDefault="0076366E" w:rsidP="0076366E">
            <w:pPr>
              <w:jc w:val="center"/>
              <w:rPr>
                <w:rFonts w:ascii="Calibri" w:hAnsi="Calibri"/>
                <w:szCs w:val="21"/>
              </w:rPr>
            </w:pPr>
            <w:r w:rsidRPr="00DE0DFA">
              <w:rPr>
                <w:rFonts w:ascii="Calibri" w:hAnsi="Calibri"/>
                <w:szCs w:val="21"/>
              </w:rPr>
              <w:t>0.0030</w:t>
            </w:r>
          </w:p>
        </w:tc>
        <w:tc>
          <w:tcPr>
            <w:tcW w:w="1081" w:type="dxa"/>
            <w:vAlign w:val="center"/>
          </w:tcPr>
          <w:p w14:paraId="31B01A8C" w14:textId="77777777" w:rsidR="0076366E" w:rsidRPr="00DE0DFA" w:rsidRDefault="0076366E" w:rsidP="0076366E">
            <w:pPr>
              <w:jc w:val="center"/>
              <w:rPr>
                <w:rFonts w:ascii="Calibri" w:hAnsi="Calibri"/>
                <w:szCs w:val="21"/>
              </w:rPr>
            </w:pPr>
            <w:r w:rsidRPr="00DE0DFA">
              <w:rPr>
                <w:rFonts w:ascii="Calibri" w:hAnsi="Calibri"/>
                <w:szCs w:val="21"/>
              </w:rPr>
              <w:t>0.0015</w:t>
            </w:r>
          </w:p>
        </w:tc>
        <w:tc>
          <w:tcPr>
            <w:tcW w:w="1355" w:type="dxa"/>
            <w:vAlign w:val="center"/>
          </w:tcPr>
          <w:p w14:paraId="4BF729A0" w14:textId="77777777" w:rsidR="0076366E" w:rsidRPr="00DE0DFA" w:rsidRDefault="0076366E" w:rsidP="0076366E">
            <w:pPr>
              <w:jc w:val="center"/>
              <w:rPr>
                <w:rFonts w:ascii="Calibri" w:hAnsi="Calibri"/>
                <w:szCs w:val="21"/>
              </w:rPr>
            </w:pPr>
            <w:r w:rsidRPr="00DE0DFA">
              <w:rPr>
                <w:rFonts w:ascii="Calibri" w:hAnsi="Calibri"/>
                <w:szCs w:val="21"/>
              </w:rPr>
              <w:t>0.0364</w:t>
            </w:r>
          </w:p>
        </w:tc>
        <w:tc>
          <w:tcPr>
            <w:tcW w:w="1081" w:type="dxa"/>
            <w:vAlign w:val="center"/>
          </w:tcPr>
          <w:p w14:paraId="6404C4E0" w14:textId="77777777" w:rsidR="0076366E" w:rsidRPr="00DE0DFA" w:rsidRDefault="0076366E" w:rsidP="0076366E">
            <w:pPr>
              <w:jc w:val="center"/>
              <w:rPr>
                <w:rFonts w:ascii="Calibri" w:hAnsi="Calibri"/>
                <w:szCs w:val="21"/>
              </w:rPr>
            </w:pPr>
            <w:r w:rsidRPr="00DE0DFA">
              <w:rPr>
                <w:rFonts w:ascii="Calibri" w:hAnsi="Calibri"/>
                <w:szCs w:val="21"/>
              </w:rPr>
              <w:t>0.0018</w:t>
            </w:r>
          </w:p>
        </w:tc>
        <w:tc>
          <w:tcPr>
            <w:tcW w:w="1355" w:type="dxa"/>
            <w:vAlign w:val="center"/>
          </w:tcPr>
          <w:p w14:paraId="2601B8D7" w14:textId="77777777" w:rsidR="0076366E" w:rsidRPr="00DE0DFA" w:rsidRDefault="0076366E" w:rsidP="0076366E">
            <w:pPr>
              <w:jc w:val="center"/>
              <w:rPr>
                <w:rFonts w:ascii="Calibri" w:hAnsi="Calibri"/>
                <w:szCs w:val="21"/>
              </w:rPr>
            </w:pPr>
            <w:r w:rsidRPr="00DE0DFA">
              <w:rPr>
                <w:rFonts w:ascii="Calibri" w:hAnsi="Calibri"/>
                <w:szCs w:val="21"/>
              </w:rPr>
              <w:t>0.0001</w:t>
            </w:r>
          </w:p>
        </w:tc>
        <w:tc>
          <w:tcPr>
            <w:tcW w:w="1082" w:type="dxa"/>
            <w:vAlign w:val="center"/>
          </w:tcPr>
          <w:p w14:paraId="2B1CE66D" w14:textId="77777777" w:rsidR="0076366E" w:rsidRPr="00DE0DFA" w:rsidRDefault="0076366E" w:rsidP="0076366E">
            <w:pPr>
              <w:jc w:val="center"/>
              <w:rPr>
                <w:rFonts w:ascii="Calibri" w:hAnsi="Calibri"/>
                <w:szCs w:val="21"/>
              </w:rPr>
            </w:pPr>
            <w:r w:rsidRPr="00DE0DFA">
              <w:rPr>
                <w:rFonts w:ascii="Calibri" w:hAnsi="Calibri"/>
                <w:szCs w:val="21"/>
              </w:rPr>
              <w:t>0.0012</w:t>
            </w:r>
          </w:p>
        </w:tc>
      </w:tr>
      <w:tr w:rsidR="00AF13C4" w14:paraId="35AFB57F" w14:textId="77777777" w:rsidTr="005249C0">
        <w:trPr>
          <w:trHeight w:val="340"/>
        </w:trPr>
        <w:tc>
          <w:tcPr>
            <w:tcW w:w="1218" w:type="dxa"/>
            <w:vAlign w:val="center"/>
          </w:tcPr>
          <w:p w14:paraId="0EE07506" w14:textId="77777777" w:rsidR="0076366E" w:rsidRPr="00DE0DFA" w:rsidRDefault="0076366E" w:rsidP="0076366E">
            <w:pPr>
              <w:jc w:val="center"/>
              <w:rPr>
                <w:rFonts w:ascii="Calibri" w:hAnsi="Calibri"/>
                <w:szCs w:val="21"/>
              </w:rPr>
            </w:pPr>
            <w:r w:rsidRPr="00DE0DFA">
              <w:rPr>
                <w:rFonts w:ascii="Calibri" w:hAnsi="Calibri"/>
                <w:szCs w:val="21"/>
              </w:rPr>
              <w:t>75.0</w:t>
            </w:r>
          </w:p>
        </w:tc>
        <w:tc>
          <w:tcPr>
            <w:tcW w:w="1355" w:type="dxa"/>
            <w:vAlign w:val="center"/>
          </w:tcPr>
          <w:p w14:paraId="53F623CC" w14:textId="77777777" w:rsidR="0076366E" w:rsidRPr="00DE0DFA" w:rsidRDefault="0076366E" w:rsidP="0076366E">
            <w:pPr>
              <w:jc w:val="center"/>
              <w:rPr>
                <w:rFonts w:ascii="Calibri" w:hAnsi="Calibri"/>
                <w:szCs w:val="21"/>
              </w:rPr>
            </w:pPr>
            <w:r w:rsidRPr="00DE0DFA">
              <w:rPr>
                <w:rFonts w:ascii="Calibri" w:hAnsi="Calibri"/>
                <w:szCs w:val="21"/>
              </w:rPr>
              <w:t>0.0041</w:t>
            </w:r>
          </w:p>
        </w:tc>
        <w:tc>
          <w:tcPr>
            <w:tcW w:w="1081" w:type="dxa"/>
            <w:vAlign w:val="center"/>
          </w:tcPr>
          <w:p w14:paraId="24C820ED" w14:textId="77777777" w:rsidR="0076366E" w:rsidRPr="00DE0DFA" w:rsidRDefault="0076366E" w:rsidP="0076366E">
            <w:pPr>
              <w:jc w:val="center"/>
              <w:rPr>
                <w:rFonts w:ascii="Calibri" w:hAnsi="Calibri"/>
                <w:szCs w:val="21"/>
              </w:rPr>
            </w:pPr>
            <w:r w:rsidRPr="00DE0DFA">
              <w:rPr>
                <w:rFonts w:ascii="Calibri" w:hAnsi="Calibri"/>
                <w:szCs w:val="21"/>
              </w:rPr>
              <w:t>0.0020</w:t>
            </w:r>
          </w:p>
        </w:tc>
        <w:tc>
          <w:tcPr>
            <w:tcW w:w="1355" w:type="dxa"/>
            <w:vAlign w:val="center"/>
          </w:tcPr>
          <w:p w14:paraId="2CA3F971" w14:textId="77777777" w:rsidR="0076366E" w:rsidRPr="00DE0DFA" w:rsidRDefault="0076366E" w:rsidP="0076366E">
            <w:pPr>
              <w:jc w:val="center"/>
              <w:rPr>
                <w:rFonts w:ascii="Calibri" w:hAnsi="Calibri"/>
                <w:szCs w:val="21"/>
              </w:rPr>
            </w:pPr>
            <w:r w:rsidRPr="00DE0DFA">
              <w:rPr>
                <w:rFonts w:ascii="Calibri" w:hAnsi="Calibri"/>
                <w:szCs w:val="21"/>
              </w:rPr>
              <w:t>0.0493</w:t>
            </w:r>
          </w:p>
        </w:tc>
        <w:tc>
          <w:tcPr>
            <w:tcW w:w="1081" w:type="dxa"/>
            <w:vAlign w:val="center"/>
          </w:tcPr>
          <w:p w14:paraId="29A5399F" w14:textId="77777777" w:rsidR="0076366E" w:rsidRPr="00DE0DFA" w:rsidRDefault="0076366E" w:rsidP="0076366E">
            <w:pPr>
              <w:jc w:val="center"/>
              <w:rPr>
                <w:rFonts w:ascii="Calibri" w:hAnsi="Calibri"/>
                <w:szCs w:val="21"/>
              </w:rPr>
            </w:pPr>
            <w:r w:rsidRPr="00DE0DFA">
              <w:rPr>
                <w:rFonts w:ascii="Calibri" w:hAnsi="Calibri"/>
                <w:szCs w:val="21"/>
              </w:rPr>
              <w:t>0.0025</w:t>
            </w:r>
          </w:p>
        </w:tc>
        <w:tc>
          <w:tcPr>
            <w:tcW w:w="1355" w:type="dxa"/>
            <w:vAlign w:val="center"/>
          </w:tcPr>
          <w:p w14:paraId="42A04CDF" w14:textId="77777777" w:rsidR="0076366E" w:rsidRPr="00DE0DFA" w:rsidRDefault="0076366E" w:rsidP="0076366E">
            <w:pPr>
              <w:jc w:val="center"/>
              <w:rPr>
                <w:rFonts w:ascii="Calibri" w:hAnsi="Calibri"/>
                <w:szCs w:val="21"/>
              </w:rPr>
            </w:pPr>
            <w:r w:rsidRPr="00DE0DFA">
              <w:rPr>
                <w:rFonts w:ascii="Calibri" w:hAnsi="Calibri"/>
                <w:szCs w:val="21"/>
              </w:rPr>
              <w:t>0.0002</w:t>
            </w:r>
          </w:p>
        </w:tc>
        <w:tc>
          <w:tcPr>
            <w:tcW w:w="1082" w:type="dxa"/>
            <w:vAlign w:val="center"/>
          </w:tcPr>
          <w:p w14:paraId="1AB1E520" w14:textId="77777777" w:rsidR="0076366E" w:rsidRPr="00DE0DFA" w:rsidRDefault="0076366E" w:rsidP="0076366E">
            <w:pPr>
              <w:jc w:val="center"/>
              <w:rPr>
                <w:rFonts w:ascii="Calibri" w:hAnsi="Calibri"/>
                <w:szCs w:val="21"/>
              </w:rPr>
            </w:pPr>
            <w:r w:rsidRPr="00DE0DFA">
              <w:rPr>
                <w:rFonts w:ascii="Calibri" w:hAnsi="Calibri"/>
                <w:szCs w:val="21"/>
              </w:rPr>
              <w:t>0.0016</w:t>
            </w:r>
          </w:p>
        </w:tc>
      </w:tr>
      <w:tr w:rsidR="00AF13C4" w14:paraId="2E07DEB8" w14:textId="77777777" w:rsidTr="005249C0">
        <w:trPr>
          <w:trHeight w:val="340"/>
        </w:trPr>
        <w:tc>
          <w:tcPr>
            <w:tcW w:w="1218" w:type="dxa"/>
            <w:vAlign w:val="center"/>
          </w:tcPr>
          <w:p w14:paraId="30D29DCF" w14:textId="77777777" w:rsidR="00A500F1" w:rsidRPr="00DE0DFA" w:rsidRDefault="00A500F1" w:rsidP="00A500F1">
            <w:pPr>
              <w:jc w:val="center"/>
              <w:rPr>
                <w:rFonts w:ascii="Calibri" w:hAnsi="Calibri"/>
                <w:szCs w:val="21"/>
              </w:rPr>
            </w:pPr>
            <w:r w:rsidRPr="00DE0DFA">
              <w:rPr>
                <w:rFonts w:ascii="Calibri" w:hAnsi="Calibri"/>
                <w:szCs w:val="21"/>
              </w:rPr>
              <w:t>78.0</w:t>
            </w:r>
          </w:p>
        </w:tc>
        <w:tc>
          <w:tcPr>
            <w:tcW w:w="1355" w:type="dxa"/>
            <w:vAlign w:val="center"/>
          </w:tcPr>
          <w:p w14:paraId="1AFCCB6B" w14:textId="77777777" w:rsidR="00A500F1" w:rsidRPr="00DE0DFA" w:rsidRDefault="00A500F1" w:rsidP="00A500F1">
            <w:pPr>
              <w:jc w:val="center"/>
              <w:rPr>
                <w:rFonts w:ascii="Calibri" w:hAnsi="Calibri"/>
                <w:szCs w:val="21"/>
              </w:rPr>
            </w:pPr>
            <w:r w:rsidRPr="00DE0DFA">
              <w:rPr>
                <w:rFonts w:ascii="Calibri" w:hAnsi="Calibri"/>
                <w:szCs w:val="21"/>
              </w:rPr>
              <w:t>0.0041</w:t>
            </w:r>
          </w:p>
        </w:tc>
        <w:tc>
          <w:tcPr>
            <w:tcW w:w="1081" w:type="dxa"/>
            <w:vAlign w:val="center"/>
          </w:tcPr>
          <w:p w14:paraId="6F148AB4" w14:textId="77777777" w:rsidR="00A500F1" w:rsidRPr="00DE0DFA" w:rsidRDefault="00A500F1" w:rsidP="00A500F1">
            <w:pPr>
              <w:jc w:val="center"/>
              <w:rPr>
                <w:rFonts w:ascii="Calibri" w:hAnsi="Calibri"/>
                <w:szCs w:val="21"/>
              </w:rPr>
            </w:pPr>
            <w:r w:rsidRPr="00DE0DFA">
              <w:rPr>
                <w:rFonts w:ascii="Calibri" w:hAnsi="Calibri"/>
                <w:szCs w:val="21"/>
              </w:rPr>
              <w:t>0.0021</w:t>
            </w:r>
          </w:p>
        </w:tc>
        <w:tc>
          <w:tcPr>
            <w:tcW w:w="1355" w:type="dxa"/>
            <w:vAlign w:val="center"/>
          </w:tcPr>
          <w:p w14:paraId="021A1C7F" w14:textId="77777777" w:rsidR="00A500F1" w:rsidRPr="00DE0DFA" w:rsidRDefault="00A500F1" w:rsidP="00A500F1">
            <w:pPr>
              <w:jc w:val="center"/>
              <w:rPr>
                <w:rFonts w:ascii="Calibri" w:hAnsi="Calibri"/>
                <w:szCs w:val="21"/>
              </w:rPr>
            </w:pPr>
            <w:r w:rsidRPr="00DE0DFA">
              <w:rPr>
                <w:rFonts w:ascii="Calibri" w:hAnsi="Calibri"/>
                <w:szCs w:val="21"/>
              </w:rPr>
              <w:t>0.0495</w:t>
            </w:r>
          </w:p>
        </w:tc>
        <w:tc>
          <w:tcPr>
            <w:tcW w:w="1081" w:type="dxa"/>
            <w:vAlign w:val="center"/>
          </w:tcPr>
          <w:p w14:paraId="3EC3E66A" w14:textId="77777777" w:rsidR="00A500F1" w:rsidRPr="00DE0DFA" w:rsidRDefault="00A500F1" w:rsidP="00A500F1">
            <w:pPr>
              <w:jc w:val="center"/>
              <w:rPr>
                <w:rFonts w:ascii="Calibri" w:hAnsi="Calibri"/>
                <w:szCs w:val="21"/>
              </w:rPr>
            </w:pPr>
            <w:r w:rsidRPr="00DE0DFA">
              <w:rPr>
                <w:rFonts w:ascii="Calibri" w:hAnsi="Calibri"/>
                <w:szCs w:val="21"/>
              </w:rPr>
              <w:t>0.0025</w:t>
            </w:r>
          </w:p>
        </w:tc>
        <w:tc>
          <w:tcPr>
            <w:tcW w:w="1355" w:type="dxa"/>
            <w:vAlign w:val="center"/>
          </w:tcPr>
          <w:p w14:paraId="7C6B45C6" w14:textId="77777777" w:rsidR="00A500F1" w:rsidRPr="00DE0DFA" w:rsidRDefault="00A500F1" w:rsidP="00A500F1">
            <w:pPr>
              <w:jc w:val="center"/>
              <w:rPr>
                <w:rFonts w:ascii="Calibri" w:hAnsi="Calibri"/>
                <w:szCs w:val="21"/>
              </w:rPr>
            </w:pPr>
            <w:r w:rsidRPr="00DE0DFA">
              <w:rPr>
                <w:rFonts w:ascii="Calibri" w:hAnsi="Calibri"/>
                <w:szCs w:val="21"/>
              </w:rPr>
              <w:t>0.0002</w:t>
            </w:r>
          </w:p>
        </w:tc>
        <w:tc>
          <w:tcPr>
            <w:tcW w:w="1082" w:type="dxa"/>
            <w:vAlign w:val="center"/>
          </w:tcPr>
          <w:p w14:paraId="3A60C8E5" w14:textId="77777777" w:rsidR="00A500F1" w:rsidRPr="00DE0DFA" w:rsidRDefault="00A500F1" w:rsidP="00A500F1">
            <w:pPr>
              <w:jc w:val="center"/>
              <w:rPr>
                <w:rFonts w:ascii="Calibri" w:hAnsi="Calibri"/>
                <w:szCs w:val="21"/>
              </w:rPr>
            </w:pPr>
            <w:r w:rsidRPr="00DE0DFA">
              <w:rPr>
                <w:rFonts w:ascii="Calibri" w:hAnsi="Calibri"/>
                <w:szCs w:val="21"/>
              </w:rPr>
              <w:t>0.0016</w:t>
            </w:r>
          </w:p>
        </w:tc>
      </w:tr>
      <w:tr w:rsidR="00AF13C4" w14:paraId="71CF87D2" w14:textId="77777777" w:rsidTr="005249C0">
        <w:trPr>
          <w:trHeight w:val="340"/>
        </w:trPr>
        <w:tc>
          <w:tcPr>
            <w:tcW w:w="1218" w:type="dxa"/>
            <w:vAlign w:val="center"/>
          </w:tcPr>
          <w:p w14:paraId="7EF81766" w14:textId="77777777" w:rsidR="00A500F1" w:rsidRPr="00DE0DFA" w:rsidRDefault="00A500F1" w:rsidP="00A500F1">
            <w:pPr>
              <w:jc w:val="center"/>
              <w:rPr>
                <w:rFonts w:ascii="Calibri" w:hAnsi="Calibri"/>
                <w:szCs w:val="21"/>
              </w:rPr>
            </w:pPr>
            <w:r w:rsidRPr="00DE0DFA">
              <w:rPr>
                <w:rFonts w:ascii="Calibri" w:hAnsi="Calibri"/>
                <w:szCs w:val="21"/>
              </w:rPr>
              <w:t>100.0</w:t>
            </w:r>
          </w:p>
        </w:tc>
        <w:tc>
          <w:tcPr>
            <w:tcW w:w="1355" w:type="dxa"/>
            <w:vAlign w:val="center"/>
          </w:tcPr>
          <w:p w14:paraId="0EA6AD1A" w14:textId="77777777" w:rsidR="00A500F1" w:rsidRPr="00DE0DFA" w:rsidRDefault="00A500F1" w:rsidP="00A500F1">
            <w:pPr>
              <w:jc w:val="center"/>
              <w:rPr>
                <w:rFonts w:ascii="Calibri" w:hAnsi="Calibri"/>
                <w:szCs w:val="21"/>
              </w:rPr>
            </w:pPr>
            <w:r w:rsidRPr="00DE0DFA">
              <w:rPr>
                <w:rFonts w:ascii="Calibri" w:hAnsi="Calibri"/>
                <w:szCs w:val="21"/>
              </w:rPr>
              <w:t>0.0038</w:t>
            </w:r>
          </w:p>
        </w:tc>
        <w:tc>
          <w:tcPr>
            <w:tcW w:w="1081" w:type="dxa"/>
            <w:vAlign w:val="center"/>
          </w:tcPr>
          <w:p w14:paraId="2B4B7A77" w14:textId="77777777" w:rsidR="00A500F1" w:rsidRPr="00DE0DFA" w:rsidRDefault="00A500F1" w:rsidP="00A500F1">
            <w:pPr>
              <w:jc w:val="center"/>
              <w:rPr>
                <w:rFonts w:ascii="Calibri" w:hAnsi="Calibri"/>
                <w:szCs w:val="21"/>
              </w:rPr>
            </w:pPr>
            <w:r w:rsidRPr="00DE0DFA">
              <w:rPr>
                <w:rFonts w:ascii="Calibri" w:hAnsi="Calibri"/>
                <w:szCs w:val="21"/>
              </w:rPr>
              <w:t>0.0019</w:t>
            </w:r>
          </w:p>
        </w:tc>
        <w:tc>
          <w:tcPr>
            <w:tcW w:w="1355" w:type="dxa"/>
            <w:vAlign w:val="center"/>
          </w:tcPr>
          <w:p w14:paraId="09A5EDAB" w14:textId="77777777" w:rsidR="00A500F1" w:rsidRPr="00DE0DFA" w:rsidRDefault="00A500F1" w:rsidP="00A500F1">
            <w:pPr>
              <w:jc w:val="center"/>
              <w:rPr>
                <w:rFonts w:ascii="Calibri" w:hAnsi="Calibri"/>
                <w:szCs w:val="21"/>
              </w:rPr>
            </w:pPr>
            <w:r w:rsidRPr="00DE0DFA">
              <w:rPr>
                <w:rFonts w:ascii="Calibri" w:hAnsi="Calibri"/>
                <w:szCs w:val="21"/>
              </w:rPr>
              <w:t>0.0460</w:t>
            </w:r>
          </w:p>
        </w:tc>
        <w:tc>
          <w:tcPr>
            <w:tcW w:w="1081" w:type="dxa"/>
            <w:vAlign w:val="center"/>
          </w:tcPr>
          <w:p w14:paraId="3D9B62B5" w14:textId="77777777" w:rsidR="00A500F1" w:rsidRPr="00DE0DFA" w:rsidRDefault="00A500F1" w:rsidP="00A500F1">
            <w:pPr>
              <w:jc w:val="center"/>
              <w:rPr>
                <w:rFonts w:ascii="Calibri" w:hAnsi="Calibri"/>
                <w:szCs w:val="21"/>
              </w:rPr>
            </w:pPr>
            <w:r w:rsidRPr="00DE0DFA">
              <w:rPr>
                <w:rFonts w:ascii="Calibri" w:hAnsi="Calibri"/>
                <w:szCs w:val="21"/>
              </w:rPr>
              <w:t>0.0023</w:t>
            </w:r>
          </w:p>
        </w:tc>
        <w:tc>
          <w:tcPr>
            <w:tcW w:w="1355" w:type="dxa"/>
            <w:vAlign w:val="center"/>
          </w:tcPr>
          <w:p w14:paraId="0D268C54"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1AE22C70" w14:textId="77777777" w:rsidR="00A500F1" w:rsidRPr="00DE0DFA" w:rsidRDefault="00A500F1" w:rsidP="00A500F1">
            <w:pPr>
              <w:jc w:val="center"/>
              <w:rPr>
                <w:rFonts w:ascii="Calibri" w:hAnsi="Calibri"/>
                <w:szCs w:val="21"/>
              </w:rPr>
            </w:pPr>
            <w:r w:rsidRPr="00DE0DFA">
              <w:rPr>
                <w:rFonts w:ascii="Calibri" w:hAnsi="Calibri"/>
                <w:szCs w:val="21"/>
              </w:rPr>
              <w:t>0.0015</w:t>
            </w:r>
          </w:p>
        </w:tc>
      </w:tr>
      <w:tr w:rsidR="00AF13C4" w14:paraId="4A6F22BD" w14:textId="77777777" w:rsidTr="005249C0">
        <w:trPr>
          <w:trHeight w:val="340"/>
        </w:trPr>
        <w:tc>
          <w:tcPr>
            <w:tcW w:w="1218" w:type="dxa"/>
            <w:vAlign w:val="center"/>
          </w:tcPr>
          <w:p w14:paraId="419A79E7" w14:textId="77777777" w:rsidR="00A500F1" w:rsidRPr="00DE0DFA" w:rsidRDefault="00A500F1" w:rsidP="00A500F1">
            <w:pPr>
              <w:jc w:val="center"/>
              <w:rPr>
                <w:rFonts w:ascii="Calibri" w:hAnsi="Calibri"/>
                <w:szCs w:val="21"/>
              </w:rPr>
            </w:pPr>
            <w:r w:rsidRPr="00DE0DFA">
              <w:rPr>
                <w:rFonts w:ascii="Calibri" w:hAnsi="Calibri"/>
                <w:szCs w:val="21"/>
              </w:rPr>
              <w:t>200.0</w:t>
            </w:r>
          </w:p>
        </w:tc>
        <w:tc>
          <w:tcPr>
            <w:tcW w:w="1355" w:type="dxa"/>
            <w:vAlign w:val="center"/>
          </w:tcPr>
          <w:p w14:paraId="5E435B13" w14:textId="77777777" w:rsidR="00A500F1" w:rsidRPr="00DE0DFA" w:rsidRDefault="00A500F1" w:rsidP="00A500F1">
            <w:pPr>
              <w:jc w:val="center"/>
              <w:rPr>
                <w:rFonts w:ascii="Calibri" w:hAnsi="Calibri"/>
                <w:szCs w:val="21"/>
              </w:rPr>
            </w:pPr>
            <w:r w:rsidRPr="00DE0DFA">
              <w:rPr>
                <w:rFonts w:ascii="Calibri" w:hAnsi="Calibri"/>
                <w:szCs w:val="21"/>
              </w:rPr>
              <w:t>0.0036</w:t>
            </w:r>
          </w:p>
        </w:tc>
        <w:tc>
          <w:tcPr>
            <w:tcW w:w="1081" w:type="dxa"/>
            <w:vAlign w:val="center"/>
          </w:tcPr>
          <w:p w14:paraId="5909BEAB" w14:textId="77777777" w:rsidR="00A500F1" w:rsidRPr="00DE0DFA" w:rsidRDefault="00A500F1" w:rsidP="00A500F1">
            <w:pPr>
              <w:jc w:val="center"/>
              <w:rPr>
                <w:rFonts w:ascii="Calibri" w:hAnsi="Calibri"/>
                <w:szCs w:val="21"/>
              </w:rPr>
            </w:pPr>
            <w:r w:rsidRPr="00DE0DFA">
              <w:rPr>
                <w:rFonts w:ascii="Calibri" w:hAnsi="Calibri"/>
                <w:szCs w:val="21"/>
              </w:rPr>
              <w:t>0.0018</w:t>
            </w:r>
          </w:p>
        </w:tc>
        <w:tc>
          <w:tcPr>
            <w:tcW w:w="1355" w:type="dxa"/>
            <w:vAlign w:val="center"/>
          </w:tcPr>
          <w:p w14:paraId="65E48CFF" w14:textId="77777777" w:rsidR="00A500F1" w:rsidRPr="00DE0DFA" w:rsidRDefault="00A500F1" w:rsidP="00A500F1">
            <w:pPr>
              <w:jc w:val="center"/>
              <w:rPr>
                <w:rFonts w:ascii="Calibri" w:hAnsi="Calibri"/>
                <w:szCs w:val="21"/>
              </w:rPr>
            </w:pPr>
            <w:r w:rsidRPr="00DE0DFA">
              <w:rPr>
                <w:rFonts w:ascii="Calibri" w:hAnsi="Calibri"/>
                <w:szCs w:val="21"/>
              </w:rPr>
              <w:t>0.0433</w:t>
            </w:r>
          </w:p>
        </w:tc>
        <w:tc>
          <w:tcPr>
            <w:tcW w:w="1081" w:type="dxa"/>
            <w:vAlign w:val="center"/>
          </w:tcPr>
          <w:p w14:paraId="0C01FB8A" w14:textId="77777777" w:rsidR="00A500F1" w:rsidRPr="00DE0DFA" w:rsidRDefault="00A500F1" w:rsidP="00A500F1">
            <w:pPr>
              <w:jc w:val="center"/>
              <w:rPr>
                <w:rFonts w:ascii="Calibri" w:hAnsi="Calibri"/>
                <w:szCs w:val="21"/>
              </w:rPr>
            </w:pPr>
            <w:r w:rsidRPr="00DE0DFA">
              <w:rPr>
                <w:rFonts w:ascii="Calibri" w:hAnsi="Calibri"/>
                <w:szCs w:val="21"/>
              </w:rPr>
              <w:t>0.0022</w:t>
            </w:r>
          </w:p>
        </w:tc>
        <w:tc>
          <w:tcPr>
            <w:tcW w:w="1355" w:type="dxa"/>
            <w:vAlign w:val="center"/>
          </w:tcPr>
          <w:p w14:paraId="431B9BFF"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153C6EB0" w14:textId="77777777" w:rsidR="00A500F1" w:rsidRPr="00DE0DFA" w:rsidRDefault="00A500F1" w:rsidP="00A500F1">
            <w:pPr>
              <w:jc w:val="center"/>
              <w:rPr>
                <w:rFonts w:ascii="Calibri" w:hAnsi="Calibri"/>
                <w:szCs w:val="21"/>
              </w:rPr>
            </w:pPr>
            <w:r w:rsidRPr="00DE0DFA">
              <w:rPr>
                <w:rFonts w:ascii="Calibri" w:hAnsi="Calibri"/>
                <w:szCs w:val="21"/>
              </w:rPr>
              <w:t>0.0014</w:t>
            </w:r>
          </w:p>
        </w:tc>
      </w:tr>
      <w:tr w:rsidR="00AF13C4" w14:paraId="4194367E" w14:textId="77777777" w:rsidTr="005249C0">
        <w:trPr>
          <w:trHeight w:val="340"/>
        </w:trPr>
        <w:tc>
          <w:tcPr>
            <w:tcW w:w="1218" w:type="dxa"/>
            <w:vAlign w:val="center"/>
          </w:tcPr>
          <w:p w14:paraId="24948D78" w14:textId="77777777" w:rsidR="00A500F1" w:rsidRPr="00DE0DFA" w:rsidRDefault="00A500F1" w:rsidP="00A500F1">
            <w:pPr>
              <w:jc w:val="center"/>
              <w:rPr>
                <w:rFonts w:ascii="Calibri" w:hAnsi="Calibri"/>
                <w:szCs w:val="21"/>
              </w:rPr>
            </w:pPr>
            <w:r w:rsidRPr="00DE0DFA">
              <w:rPr>
                <w:rFonts w:ascii="Calibri" w:hAnsi="Calibri"/>
                <w:szCs w:val="21"/>
              </w:rPr>
              <w:t>300.0</w:t>
            </w:r>
          </w:p>
        </w:tc>
        <w:tc>
          <w:tcPr>
            <w:tcW w:w="1355" w:type="dxa"/>
            <w:vAlign w:val="center"/>
          </w:tcPr>
          <w:p w14:paraId="72040224" w14:textId="77777777" w:rsidR="00A500F1" w:rsidRPr="00DE0DFA" w:rsidRDefault="00A500F1" w:rsidP="00A500F1">
            <w:pPr>
              <w:jc w:val="center"/>
              <w:rPr>
                <w:rFonts w:ascii="Calibri" w:hAnsi="Calibri"/>
                <w:szCs w:val="21"/>
              </w:rPr>
            </w:pPr>
            <w:r w:rsidRPr="00DE0DFA">
              <w:rPr>
                <w:rFonts w:ascii="Calibri" w:hAnsi="Calibri"/>
                <w:szCs w:val="21"/>
              </w:rPr>
              <w:t>0.0031</w:t>
            </w:r>
          </w:p>
        </w:tc>
        <w:tc>
          <w:tcPr>
            <w:tcW w:w="1081" w:type="dxa"/>
            <w:vAlign w:val="center"/>
          </w:tcPr>
          <w:p w14:paraId="1ED31F35" w14:textId="77777777" w:rsidR="00A500F1" w:rsidRPr="00DE0DFA" w:rsidRDefault="00A500F1" w:rsidP="00A500F1">
            <w:pPr>
              <w:jc w:val="center"/>
              <w:rPr>
                <w:rFonts w:ascii="Calibri" w:hAnsi="Calibri"/>
                <w:szCs w:val="21"/>
              </w:rPr>
            </w:pPr>
            <w:r w:rsidRPr="00DE0DFA">
              <w:rPr>
                <w:rFonts w:ascii="Calibri" w:hAnsi="Calibri"/>
                <w:szCs w:val="21"/>
              </w:rPr>
              <w:t>0.0016</w:t>
            </w:r>
          </w:p>
        </w:tc>
        <w:tc>
          <w:tcPr>
            <w:tcW w:w="1355" w:type="dxa"/>
            <w:vAlign w:val="center"/>
          </w:tcPr>
          <w:p w14:paraId="2460FF1C" w14:textId="77777777" w:rsidR="00A500F1" w:rsidRPr="00DE0DFA" w:rsidRDefault="00A500F1" w:rsidP="00A500F1">
            <w:pPr>
              <w:jc w:val="center"/>
              <w:rPr>
                <w:rFonts w:ascii="Calibri" w:hAnsi="Calibri"/>
                <w:szCs w:val="21"/>
              </w:rPr>
            </w:pPr>
            <w:r w:rsidRPr="00DE0DFA">
              <w:rPr>
                <w:rFonts w:ascii="Calibri" w:hAnsi="Calibri"/>
                <w:szCs w:val="21"/>
              </w:rPr>
              <w:t>0.0374</w:t>
            </w:r>
          </w:p>
        </w:tc>
        <w:tc>
          <w:tcPr>
            <w:tcW w:w="1081" w:type="dxa"/>
            <w:vAlign w:val="center"/>
          </w:tcPr>
          <w:p w14:paraId="38279A42" w14:textId="77777777" w:rsidR="00A500F1" w:rsidRPr="00DE0DFA" w:rsidRDefault="00A500F1" w:rsidP="00A500F1">
            <w:pPr>
              <w:jc w:val="center"/>
              <w:rPr>
                <w:rFonts w:ascii="Calibri" w:hAnsi="Calibri"/>
                <w:szCs w:val="21"/>
              </w:rPr>
            </w:pPr>
            <w:r w:rsidRPr="00DE0DFA">
              <w:rPr>
                <w:rFonts w:ascii="Calibri" w:hAnsi="Calibri"/>
                <w:szCs w:val="21"/>
              </w:rPr>
              <w:t>0.0019</w:t>
            </w:r>
          </w:p>
        </w:tc>
        <w:tc>
          <w:tcPr>
            <w:tcW w:w="1355" w:type="dxa"/>
            <w:vAlign w:val="center"/>
          </w:tcPr>
          <w:p w14:paraId="62559B95"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093E9985" w14:textId="77777777" w:rsidR="00A500F1" w:rsidRPr="00DE0DFA" w:rsidRDefault="00A500F1" w:rsidP="00A500F1">
            <w:pPr>
              <w:jc w:val="center"/>
              <w:rPr>
                <w:rFonts w:ascii="Calibri" w:hAnsi="Calibri"/>
                <w:szCs w:val="21"/>
              </w:rPr>
            </w:pPr>
            <w:r w:rsidRPr="00DE0DFA">
              <w:rPr>
                <w:rFonts w:ascii="Calibri" w:hAnsi="Calibri"/>
                <w:szCs w:val="21"/>
              </w:rPr>
              <w:t>0.0012</w:t>
            </w:r>
          </w:p>
        </w:tc>
      </w:tr>
      <w:tr w:rsidR="00AF13C4" w14:paraId="3148A32A" w14:textId="77777777" w:rsidTr="005249C0">
        <w:trPr>
          <w:trHeight w:val="340"/>
        </w:trPr>
        <w:tc>
          <w:tcPr>
            <w:tcW w:w="1218" w:type="dxa"/>
            <w:vAlign w:val="center"/>
          </w:tcPr>
          <w:p w14:paraId="6DFB5BEF" w14:textId="77777777" w:rsidR="00A500F1" w:rsidRPr="00DE0DFA" w:rsidRDefault="00A500F1" w:rsidP="00A500F1">
            <w:pPr>
              <w:jc w:val="center"/>
              <w:rPr>
                <w:rFonts w:ascii="Calibri" w:hAnsi="Calibri"/>
                <w:szCs w:val="21"/>
              </w:rPr>
            </w:pPr>
            <w:r w:rsidRPr="00DE0DFA">
              <w:rPr>
                <w:rFonts w:ascii="Calibri" w:hAnsi="Calibri"/>
                <w:szCs w:val="21"/>
              </w:rPr>
              <w:t>400.0</w:t>
            </w:r>
          </w:p>
        </w:tc>
        <w:tc>
          <w:tcPr>
            <w:tcW w:w="1355" w:type="dxa"/>
            <w:vAlign w:val="center"/>
          </w:tcPr>
          <w:p w14:paraId="5F02C9B2" w14:textId="77777777" w:rsidR="00A500F1" w:rsidRPr="00DE0DFA" w:rsidRDefault="00A500F1" w:rsidP="00A500F1">
            <w:pPr>
              <w:jc w:val="center"/>
              <w:rPr>
                <w:rFonts w:ascii="Calibri" w:hAnsi="Calibri"/>
                <w:szCs w:val="21"/>
              </w:rPr>
            </w:pPr>
            <w:r w:rsidRPr="00DE0DFA">
              <w:rPr>
                <w:rFonts w:ascii="Calibri" w:hAnsi="Calibri"/>
                <w:szCs w:val="21"/>
              </w:rPr>
              <w:t>0.0025</w:t>
            </w:r>
          </w:p>
        </w:tc>
        <w:tc>
          <w:tcPr>
            <w:tcW w:w="1081" w:type="dxa"/>
            <w:vAlign w:val="center"/>
          </w:tcPr>
          <w:p w14:paraId="0900A4D5" w14:textId="77777777" w:rsidR="00A500F1" w:rsidRPr="00DE0DFA" w:rsidRDefault="00A500F1" w:rsidP="00A500F1">
            <w:pPr>
              <w:jc w:val="center"/>
              <w:rPr>
                <w:rFonts w:ascii="Calibri" w:hAnsi="Calibri"/>
                <w:szCs w:val="21"/>
              </w:rPr>
            </w:pPr>
            <w:r w:rsidRPr="00DE0DFA">
              <w:rPr>
                <w:rFonts w:ascii="Calibri" w:hAnsi="Calibri"/>
                <w:szCs w:val="21"/>
              </w:rPr>
              <w:t>0.0012</w:t>
            </w:r>
          </w:p>
        </w:tc>
        <w:tc>
          <w:tcPr>
            <w:tcW w:w="1355" w:type="dxa"/>
            <w:vAlign w:val="center"/>
          </w:tcPr>
          <w:p w14:paraId="78C039D2" w14:textId="77777777" w:rsidR="00A500F1" w:rsidRPr="00DE0DFA" w:rsidRDefault="00A500F1" w:rsidP="00A500F1">
            <w:pPr>
              <w:jc w:val="center"/>
              <w:rPr>
                <w:rFonts w:ascii="Calibri" w:hAnsi="Calibri"/>
                <w:szCs w:val="21"/>
              </w:rPr>
            </w:pPr>
            <w:r w:rsidRPr="00DE0DFA">
              <w:rPr>
                <w:rFonts w:ascii="Calibri" w:hAnsi="Calibri"/>
                <w:szCs w:val="21"/>
              </w:rPr>
              <w:t>0.0299</w:t>
            </w:r>
          </w:p>
        </w:tc>
        <w:tc>
          <w:tcPr>
            <w:tcW w:w="1081" w:type="dxa"/>
            <w:vAlign w:val="center"/>
          </w:tcPr>
          <w:p w14:paraId="01772135" w14:textId="77777777" w:rsidR="00A500F1" w:rsidRPr="00DE0DFA" w:rsidRDefault="00A500F1" w:rsidP="00A500F1">
            <w:pPr>
              <w:jc w:val="center"/>
              <w:rPr>
                <w:rFonts w:ascii="Calibri" w:hAnsi="Calibri"/>
                <w:szCs w:val="21"/>
              </w:rPr>
            </w:pPr>
            <w:r w:rsidRPr="00DE0DFA">
              <w:rPr>
                <w:rFonts w:ascii="Calibri" w:hAnsi="Calibri"/>
                <w:szCs w:val="21"/>
              </w:rPr>
              <w:t>0.0015</w:t>
            </w:r>
          </w:p>
        </w:tc>
        <w:tc>
          <w:tcPr>
            <w:tcW w:w="1355" w:type="dxa"/>
            <w:vAlign w:val="center"/>
          </w:tcPr>
          <w:p w14:paraId="5241A1BB"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3AE6549B" w14:textId="77777777" w:rsidR="00A500F1" w:rsidRPr="00DE0DFA" w:rsidRDefault="00A500F1" w:rsidP="00A500F1">
            <w:pPr>
              <w:jc w:val="center"/>
              <w:rPr>
                <w:rFonts w:ascii="Calibri" w:hAnsi="Calibri"/>
                <w:szCs w:val="21"/>
              </w:rPr>
            </w:pPr>
            <w:r w:rsidRPr="00DE0DFA">
              <w:rPr>
                <w:rFonts w:ascii="Calibri" w:hAnsi="Calibri"/>
                <w:szCs w:val="21"/>
              </w:rPr>
              <w:t>0.0010</w:t>
            </w:r>
          </w:p>
        </w:tc>
      </w:tr>
      <w:tr w:rsidR="00AF13C4" w14:paraId="29A078AE" w14:textId="77777777" w:rsidTr="005249C0">
        <w:trPr>
          <w:trHeight w:val="340"/>
        </w:trPr>
        <w:tc>
          <w:tcPr>
            <w:tcW w:w="1218" w:type="dxa"/>
            <w:vAlign w:val="center"/>
          </w:tcPr>
          <w:p w14:paraId="4AA84877" w14:textId="77777777" w:rsidR="00A500F1" w:rsidRPr="00DE0DFA" w:rsidRDefault="00A500F1" w:rsidP="00A500F1">
            <w:pPr>
              <w:jc w:val="center"/>
              <w:rPr>
                <w:rFonts w:ascii="Calibri" w:hAnsi="Calibri"/>
                <w:szCs w:val="21"/>
              </w:rPr>
            </w:pPr>
            <w:r w:rsidRPr="00DE0DFA">
              <w:rPr>
                <w:rFonts w:ascii="Calibri" w:hAnsi="Calibri"/>
                <w:szCs w:val="21"/>
              </w:rPr>
              <w:t>500.0</w:t>
            </w:r>
          </w:p>
        </w:tc>
        <w:tc>
          <w:tcPr>
            <w:tcW w:w="1355" w:type="dxa"/>
            <w:vAlign w:val="center"/>
          </w:tcPr>
          <w:p w14:paraId="34F0DEA3" w14:textId="77777777" w:rsidR="00A500F1" w:rsidRPr="00DE0DFA" w:rsidRDefault="00A500F1" w:rsidP="00A500F1">
            <w:pPr>
              <w:jc w:val="center"/>
              <w:rPr>
                <w:rFonts w:ascii="Calibri" w:hAnsi="Calibri"/>
                <w:szCs w:val="21"/>
              </w:rPr>
            </w:pPr>
            <w:r w:rsidRPr="00DE0DFA">
              <w:rPr>
                <w:rFonts w:ascii="Calibri" w:hAnsi="Calibri"/>
                <w:szCs w:val="21"/>
              </w:rPr>
              <w:t>0.0020</w:t>
            </w:r>
          </w:p>
        </w:tc>
        <w:tc>
          <w:tcPr>
            <w:tcW w:w="1081" w:type="dxa"/>
            <w:vAlign w:val="center"/>
          </w:tcPr>
          <w:p w14:paraId="1799F227" w14:textId="77777777" w:rsidR="00A500F1" w:rsidRPr="00DE0DFA" w:rsidRDefault="00A500F1" w:rsidP="00A500F1">
            <w:pPr>
              <w:jc w:val="center"/>
              <w:rPr>
                <w:rFonts w:ascii="Calibri" w:hAnsi="Calibri"/>
                <w:szCs w:val="21"/>
              </w:rPr>
            </w:pPr>
            <w:r w:rsidRPr="00DE0DFA">
              <w:rPr>
                <w:rFonts w:ascii="Calibri" w:hAnsi="Calibri"/>
                <w:szCs w:val="21"/>
              </w:rPr>
              <w:t>0.0010</w:t>
            </w:r>
          </w:p>
        </w:tc>
        <w:tc>
          <w:tcPr>
            <w:tcW w:w="1355" w:type="dxa"/>
            <w:vAlign w:val="center"/>
          </w:tcPr>
          <w:p w14:paraId="07EB7AF8" w14:textId="77777777" w:rsidR="00A500F1" w:rsidRPr="00DE0DFA" w:rsidRDefault="00A500F1" w:rsidP="00A500F1">
            <w:pPr>
              <w:jc w:val="center"/>
              <w:rPr>
                <w:rFonts w:ascii="Calibri" w:hAnsi="Calibri"/>
                <w:szCs w:val="21"/>
              </w:rPr>
            </w:pPr>
            <w:r w:rsidRPr="00DE0DFA">
              <w:rPr>
                <w:rFonts w:ascii="Calibri" w:hAnsi="Calibri"/>
                <w:szCs w:val="21"/>
              </w:rPr>
              <w:t>0.0245</w:t>
            </w:r>
          </w:p>
        </w:tc>
        <w:tc>
          <w:tcPr>
            <w:tcW w:w="1081" w:type="dxa"/>
            <w:vAlign w:val="center"/>
          </w:tcPr>
          <w:p w14:paraId="6FD9236E" w14:textId="77777777" w:rsidR="00A500F1" w:rsidRPr="00DE0DFA" w:rsidRDefault="00A500F1" w:rsidP="00A500F1">
            <w:pPr>
              <w:jc w:val="center"/>
              <w:rPr>
                <w:rFonts w:ascii="Calibri" w:hAnsi="Calibri"/>
                <w:szCs w:val="21"/>
              </w:rPr>
            </w:pPr>
            <w:r w:rsidRPr="00DE0DFA">
              <w:rPr>
                <w:rFonts w:ascii="Calibri" w:hAnsi="Calibri"/>
                <w:szCs w:val="21"/>
              </w:rPr>
              <w:t>0.0012</w:t>
            </w:r>
          </w:p>
        </w:tc>
        <w:tc>
          <w:tcPr>
            <w:tcW w:w="1355" w:type="dxa"/>
            <w:vAlign w:val="center"/>
          </w:tcPr>
          <w:p w14:paraId="78311AA9"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0ED8AE39" w14:textId="77777777" w:rsidR="00A500F1" w:rsidRPr="00DE0DFA" w:rsidRDefault="00A500F1" w:rsidP="00A500F1">
            <w:pPr>
              <w:jc w:val="center"/>
              <w:rPr>
                <w:rFonts w:ascii="Calibri" w:hAnsi="Calibri"/>
                <w:szCs w:val="21"/>
              </w:rPr>
            </w:pPr>
            <w:r w:rsidRPr="00DE0DFA">
              <w:rPr>
                <w:rFonts w:ascii="Calibri" w:hAnsi="Calibri"/>
                <w:szCs w:val="21"/>
              </w:rPr>
              <w:t>0.0008</w:t>
            </w:r>
          </w:p>
        </w:tc>
      </w:tr>
      <w:tr w:rsidR="00AF13C4" w14:paraId="491859DA" w14:textId="77777777" w:rsidTr="005249C0">
        <w:trPr>
          <w:trHeight w:val="340"/>
        </w:trPr>
        <w:tc>
          <w:tcPr>
            <w:tcW w:w="1218" w:type="dxa"/>
            <w:vAlign w:val="center"/>
          </w:tcPr>
          <w:p w14:paraId="0C4278FD" w14:textId="77777777" w:rsidR="00A500F1" w:rsidRPr="00DE0DFA" w:rsidRDefault="00A500F1" w:rsidP="00A500F1">
            <w:pPr>
              <w:jc w:val="center"/>
              <w:rPr>
                <w:rFonts w:ascii="Calibri" w:hAnsi="Calibri"/>
                <w:szCs w:val="21"/>
              </w:rPr>
            </w:pPr>
            <w:r w:rsidRPr="00DE0DFA">
              <w:rPr>
                <w:rFonts w:ascii="Calibri" w:hAnsi="Calibri"/>
                <w:szCs w:val="21"/>
              </w:rPr>
              <w:t>600.0</w:t>
            </w:r>
          </w:p>
        </w:tc>
        <w:tc>
          <w:tcPr>
            <w:tcW w:w="1355" w:type="dxa"/>
            <w:vAlign w:val="center"/>
          </w:tcPr>
          <w:p w14:paraId="6D284A37" w14:textId="77777777" w:rsidR="00A500F1" w:rsidRPr="00DE0DFA" w:rsidRDefault="00A500F1" w:rsidP="00A500F1">
            <w:pPr>
              <w:jc w:val="center"/>
              <w:rPr>
                <w:rFonts w:ascii="Calibri" w:hAnsi="Calibri"/>
                <w:szCs w:val="21"/>
              </w:rPr>
            </w:pPr>
            <w:r w:rsidRPr="00DE0DFA">
              <w:rPr>
                <w:rFonts w:ascii="Calibri" w:hAnsi="Calibri"/>
                <w:szCs w:val="21"/>
              </w:rPr>
              <w:t>0.0019</w:t>
            </w:r>
          </w:p>
        </w:tc>
        <w:tc>
          <w:tcPr>
            <w:tcW w:w="1081" w:type="dxa"/>
            <w:vAlign w:val="center"/>
          </w:tcPr>
          <w:p w14:paraId="3DB404AF" w14:textId="77777777" w:rsidR="00A500F1" w:rsidRPr="00DE0DFA" w:rsidRDefault="00A500F1" w:rsidP="00A500F1">
            <w:pPr>
              <w:jc w:val="center"/>
              <w:rPr>
                <w:rFonts w:ascii="Calibri" w:hAnsi="Calibri"/>
                <w:szCs w:val="21"/>
              </w:rPr>
            </w:pPr>
            <w:r w:rsidRPr="00DE0DFA">
              <w:rPr>
                <w:rFonts w:ascii="Calibri" w:hAnsi="Calibri"/>
                <w:szCs w:val="21"/>
              </w:rPr>
              <w:t>0.0010</w:t>
            </w:r>
          </w:p>
        </w:tc>
        <w:tc>
          <w:tcPr>
            <w:tcW w:w="1355" w:type="dxa"/>
            <w:vAlign w:val="center"/>
          </w:tcPr>
          <w:p w14:paraId="3E248C36" w14:textId="77777777" w:rsidR="00A500F1" w:rsidRPr="00DE0DFA" w:rsidRDefault="00A500F1" w:rsidP="00A500F1">
            <w:pPr>
              <w:jc w:val="center"/>
              <w:rPr>
                <w:rFonts w:ascii="Calibri" w:hAnsi="Calibri"/>
                <w:szCs w:val="21"/>
              </w:rPr>
            </w:pPr>
            <w:r w:rsidRPr="00DE0DFA">
              <w:rPr>
                <w:rFonts w:ascii="Calibri" w:hAnsi="Calibri"/>
                <w:szCs w:val="21"/>
              </w:rPr>
              <w:t>0.0232</w:t>
            </w:r>
          </w:p>
        </w:tc>
        <w:tc>
          <w:tcPr>
            <w:tcW w:w="1081" w:type="dxa"/>
            <w:vAlign w:val="center"/>
          </w:tcPr>
          <w:p w14:paraId="1B23B6E8" w14:textId="77777777" w:rsidR="00A500F1" w:rsidRPr="00DE0DFA" w:rsidRDefault="00A500F1" w:rsidP="00A500F1">
            <w:pPr>
              <w:jc w:val="center"/>
              <w:rPr>
                <w:rFonts w:ascii="Calibri" w:hAnsi="Calibri"/>
                <w:szCs w:val="21"/>
              </w:rPr>
            </w:pPr>
            <w:r w:rsidRPr="00DE0DFA">
              <w:rPr>
                <w:rFonts w:ascii="Calibri" w:hAnsi="Calibri"/>
                <w:szCs w:val="21"/>
              </w:rPr>
              <w:t>0.0012</w:t>
            </w:r>
          </w:p>
        </w:tc>
        <w:tc>
          <w:tcPr>
            <w:tcW w:w="1355" w:type="dxa"/>
            <w:vAlign w:val="center"/>
          </w:tcPr>
          <w:p w14:paraId="442C9A1A"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7E20BDA5" w14:textId="77777777" w:rsidR="00A500F1" w:rsidRPr="00DE0DFA" w:rsidRDefault="00A500F1" w:rsidP="00A500F1">
            <w:pPr>
              <w:jc w:val="center"/>
              <w:rPr>
                <w:rFonts w:ascii="Calibri" w:hAnsi="Calibri"/>
                <w:szCs w:val="21"/>
              </w:rPr>
            </w:pPr>
            <w:r w:rsidRPr="00DE0DFA">
              <w:rPr>
                <w:rFonts w:ascii="Calibri" w:hAnsi="Calibri"/>
                <w:szCs w:val="21"/>
              </w:rPr>
              <w:t>0.0007</w:t>
            </w:r>
          </w:p>
        </w:tc>
      </w:tr>
      <w:tr w:rsidR="00AF13C4" w14:paraId="5F79E2EF" w14:textId="77777777" w:rsidTr="005249C0">
        <w:trPr>
          <w:trHeight w:val="340"/>
        </w:trPr>
        <w:tc>
          <w:tcPr>
            <w:tcW w:w="1218" w:type="dxa"/>
            <w:vAlign w:val="center"/>
          </w:tcPr>
          <w:p w14:paraId="463BE439" w14:textId="77777777" w:rsidR="00A500F1" w:rsidRPr="00DE0DFA" w:rsidRDefault="00A500F1" w:rsidP="00A500F1">
            <w:pPr>
              <w:jc w:val="center"/>
              <w:rPr>
                <w:rFonts w:ascii="Calibri" w:hAnsi="Calibri"/>
                <w:szCs w:val="21"/>
              </w:rPr>
            </w:pPr>
            <w:r w:rsidRPr="00DE0DFA">
              <w:rPr>
                <w:rFonts w:ascii="Calibri" w:hAnsi="Calibri"/>
                <w:szCs w:val="21"/>
              </w:rPr>
              <w:t>700.0</w:t>
            </w:r>
          </w:p>
        </w:tc>
        <w:tc>
          <w:tcPr>
            <w:tcW w:w="1355" w:type="dxa"/>
            <w:vAlign w:val="center"/>
          </w:tcPr>
          <w:p w14:paraId="02AF4B5B" w14:textId="77777777" w:rsidR="00A500F1" w:rsidRPr="00DE0DFA" w:rsidRDefault="00A500F1" w:rsidP="00A500F1">
            <w:pPr>
              <w:jc w:val="center"/>
              <w:rPr>
                <w:rFonts w:ascii="Calibri" w:hAnsi="Calibri"/>
                <w:szCs w:val="21"/>
              </w:rPr>
            </w:pPr>
            <w:r w:rsidRPr="00DE0DFA">
              <w:rPr>
                <w:rFonts w:ascii="Calibri" w:hAnsi="Calibri"/>
                <w:szCs w:val="21"/>
              </w:rPr>
              <w:t>0.0018</w:t>
            </w:r>
          </w:p>
        </w:tc>
        <w:tc>
          <w:tcPr>
            <w:tcW w:w="1081" w:type="dxa"/>
            <w:vAlign w:val="center"/>
          </w:tcPr>
          <w:p w14:paraId="19EAA413" w14:textId="77777777" w:rsidR="00A500F1" w:rsidRPr="00DE0DFA" w:rsidRDefault="00A500F1" w:rsidP="00A500F1">
            <w:pPr>
              <w:jc w:val="center"/>
              <w:rPr>
                <w:rFonts w:ascii="Calibri" w:hAnsi="Calibri"/>
                <w:szCs w:val="21"/>
              </w:rPr>
            </w:pPr>
            <w:r w:rsidRPr="00DE0DFA">
              <w:rPr>
                <w:rFonts w:ascii="Calibri" w:hAnsi="Calibri"/>
                <w:szCs w:val="21"/>
              </w:rPr>
              <w:t>0.0009</w:t>
            </w:r>
          </w:p>
        </w:tc>
        <w:tc>
          <w:tcPr>
            <w:tcW w:w="1355" w:type="dxa"/>
            <w:vAlign w:val="center"/>
          </w:tcPr>
          <w:p w14:paraId="59A5215A" w14:textId="77777777" w:rsidR="00A500F1" w:rsidRPr="00DE0DFA" w:rsidRDefault="00A500F1" w:rsidP="00A500F1">
            <w:pPr>
              <w:jc w:val="center"/>
              <w:rPr>
                <w:rFonts w:ascii="Calibri" w:hAnsi="Calibri"/>
                <w:szCs w:val="21"/>
              </w:rPr>
            </w:pPr>
            <w:r w:rsidRPr="00DE0DFA">
              <w:rPr>
                <w:rFonts w:ascii="Calibri" w:hAnsi="Calibri"/>
                <w:szCs w:val="21"/>
              </w:rPr>
              <w:t>0.0220</w:t>
            </w:r>
          </w:p>
        </w:tc>
        <w:tc>
          <w:tcPr>
            <w:tcW w:w="1081" w:type="dxa"/>
            <w:vAlign w:val="center"/>
          </w:tcPr>
          <w:p w14:paraId="2EFD703C" w14:textId="77777777" w:rsidR="00A500F1" w:rsidRPr="00DE0DFA" w:rsidRDefault="00A500F1" w:rsidP="00A500F1">
            <w:pPr>
              <w:jc w:val="center"/>
              <w:rPr>
                <w:rFonts w:ascii="Calibri" w:hAnsi="Calibri"/>
                <w:szCs w:val="21"/>
              </w:rPr>
            </w:pPr>
            <w:r w:rsidRPr="00DE0DFA">
              <w:rPr>
                <w:rFonts w:ascii="Calibri" w:hAnsi="Calibri"/>
                <w:szCs w:val="21"/>
              </w:rPr>
              <w:t>0.0011</w:t>
            </w:r>
          </w:p>
        </w:tc>
        <w:tc>
          <w:tcPr>
            <w:tcW w:w="1355" w:type="dxa"/>
            <w:vAlign w:val="center"/>
          </w:tcPr>
          <w:p w14:paraId="4BC76EE9"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3CF6B491" w14:textId="77777777" w:rsidR="00A500F1" w:rsidRPr="00DE0DFA" w:rsidRDefault="00A500F1" w:rsidP="00A500F1">
            <w:pPr>
              <w:jc w:val="center"/>
              <w:rPr>
                <w:rFonts w:ascii="Calibri" w:hAnsi="Calibri"/>
                <w:szCs w:val="21"/>
              </w:rPr>
            </w:pPr>
            <w:r w:rsidRPr="00DE0DFA">
              <w:rPr>
                <w:rFonts w:ascii="Calibri" w:hAnsi="Calibri"/>
                <w:szCs w:val="21"/>
              </w:rPr>
              <w:t>0.0007</w:t>
            </w:r>
          </w:p>
        </w:tc>
      </w:tr>
      <w:tr w:rsidR="00AF13C4" w14:paraId="5CD0E9AA" w14:textId="77777777" w:rsidTr="005249C0">
        <w:trPr>
          <w:trHeight w:val="340"/>
        </w:trPr>
        <w:tc>
          <w:tcPr>
            <w:tcW w:w="1218" w:type="dxa"/>
            <w:vAlign w:val="center"/>
          </w:tcPr>
          <w:p w14:paraId="6203D6DE" w14:textId="77777777" w:rsidR="00A500F1" w:rsidRPr="00DE0DFA" w:rsidRDefault="00A500F1" w:rsidP="00A500F1">
            <w:pPr>
              <w:jc w:val="center"/>
              <w:rPr>
                <w:rFonts w:ascii="Calibri" w:hAnsi="Calibri"/>
                <w:szCs w:val="21"/>
              </w:rPr>
            </w:pPr>
            <w:r w:rsidRPr="00DE0DFA">
              <w:rPr>
                <w:rFonts w:ascii="Calibri" w:hAnsi="Calibri"/>
                <w:szCs w:val="21"/>
              </w:rPr>
              <w:t>800.0</w:t>
            </w:r>
          </w:p>
        </w:tc>
        <w:tc>
          <w:tcPr>
            <w:tcW w:w="1355" w:type="dxa"/>
            <w:vAlign w:val="center"/>
          </w:tcPr>
          <w:p w14:paraId="48570001" w14:textId="77777777" w:rsidR="00A500F1" w:rsidRPr="00DE0DFA" w:rsidRDefault="00A500F1" w:rsidP="00A500F1">
            <w:pPr>
              <w:jc w:val="center"/>
              <w:rPr>
                <w:rFonts w:ascii="Calibri" w:hAnsi="Calibri"/>
                <w:szCs w:val="21"/>
              </w:rPr>
            </w:pPr>
            <w:r w:rsidRPr="00DE0DFA">
              <w:rPr>
                <w:rFonts w:ascii="Calibri" w:hAnsi="Calibri"/>
                <w:szCs w:val="21"/>
              </w:rPr>
              <w:t>0.0017</w:t>
            </w:r>
          </w:p>
        </w:tc>
        <w:tc>
          <w:tcPr>
            <w:tcW w:w="1081" w:type="dxa"/>
            <w:vAlign w:val="center"/>
          </w:tcPr>
          <w:p w14:paraId="4CA7FBC8" w14:textId="77777777" w:rsidR="00A500F1" w:rsidRPr="00DE0DFA" w:rsidRDefault="00A500F1" w:rsidP="00A500F1">
            <w:pPr>
              <w:jc w:val="center"/>
              <w:rPr>
                <w:rFonts w:ascii="Calibri" w:hAnsi="Calibri"/>
                <w:szCs w:val="21"/>
              </w:rPr>
            </w:pPr>
            <w:r w:rsidRPr="00DE0DFA">
              <w:rPr>
                <w:rFonts w:ascii="Calibri" w:hAnsi="Calibri"/>
                <w:szCs w:val="21"/>
              </w:rPr>
              <w:t>0.0009</w:t>
            </w:r>
          </w:p>
        </w:tc>
        <w:tc>
          <w:tcPr>
            <w:tcW w:w="1355" w:type="dxa"/>
            <w:vAlign w:val="center"/>
          </w:tcPr>
          <w:p w14:paraId="63730431" w14:textId="77777777" w:rsidR="00A500F1" w:rsidRPr="00DE0DFA" w:rsidRDefault="00A500F1" w:rsidP="00A500F1">
            <w:pPr>
              <w:jc w:val="center"/>
              <w:rPr>
                <w:rFonts w:ascii="Calibri" w:hAnsi="Calibri"/>
                <w:szCs w:val="21"/>
              </w:rPr>
            </w:pPr>
            <w:r w:rsidRPr="00DE0DFA">
              <w:rPr>
                <w:rFonts w:ascii="Calibri" w:hAnsi="Calibri"/>
                <w:szCs w:val="21"/>
              </w:rPr>
              <w:t>0.0206</w:t>
            </w:r>
          </w:p>
        </w:tc>
        <w:tc>
          <w:tcPr>
            <w:tcW w:w="1081" w:type="dxa"/>
            <w:vAlign w:val="center"/>
          </w:tcPr>
          <w:p w14:paraId="4E74B227" w14:textId="77777777" w:rsidR="00A500F1" w:rsidRPr="00DE0DFA" w:rsidRDefault="00A500F1" w:rsidP="00A500F1">
            <w:pPr>
              <w:jc w:val="center"/>
              <w:rPr>
                <w:rFonts w:ascii="Calibri" w:hAnsi="Calibri"/>
                <w:szCs w:val="21"/>
              </w:rPr>
            </w:pPr>
            <w:r w:rsidRPr="00DE0DFA">
              <w:rPr>
                <w:rFonts w:ascii="Calibri" w:hAnsi="Calibri"/>
                <w:szCs w:val="21"/>
              </w:rPr>
              <w:t>0.0010</w:t>
            </w:r>
          </w:p>
        </w:tc>
        <w:tc>
          <w:tcPr>
            <w:tcW w:w="1355" w:type="dxa"/>
            <w:vAlign w:val="center"/>
          </w:tcPr>
          <w:p w14:paraId="6DE360A6"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46FFC261" w14:textId="77777777" w:rsidR="00A500F1" w:rsidRPr="00DE0DFA" w:rsidRDefault="00A500F1" w:rsidP="00A500F1">
            <w:pPr>
              <w:jc w:val="center"/>
              <w:rPr>
                <w:rFonts w:ascii="Calibri" w:hAnsi="Calibri"/>
                <w:szCs w:val="21"/>
              </w:rPr>
            </w:pPr>
            <w:r w:rsidRPr="00DE0DFA">
              <w:rPr>
                <w:rFonts w:ascii="Calibri" w:hAnsi="Calibri"/>
                <w:szCs w:val="21"/>
              </w:rPr>
              <w:t>0.0007</w:t>
            </w:r>
          </w:p>
        </w:tc>
      </w:tr>
      <w:tr w:rsidR="00AF13C4" w14:paraId="4CD97C0A" w14:textId="77777777" w:rsidTr="005249C0">
        <w:trPr>
          <w:trHeight w:val="340"/>
        </w:trPr>
        <w:tc>
          <w:tcPr>
            <w:tcW w:w="1218" w:type="dxa"/>
            <w:vAlign w:val="center"/>
          </w:tcPr>
          <w:p w14:paraId="55A10436" w14:textId="77777777" w:rsidR="00A500F1" w:rsidRPr="00DE0DFA" w:rsidRDefault="00A500F1" w:rsidP="00A500F1">
            <w:pPr>
              <w:jc w:val="center"/>
              <w:rPr>
                <w:rFonts w:ascii="Calibri" w:hAnsi="Calibri"/>
                <w:szCs w:val="21"/>
              </w:rPr>
            </w:pPr>
            <w:r w:rsidRPr="00DE0DFA">
              <w:rPr>
                <w:rFonts w:ascii="Calibri" w:hAnsi="Calibri"/>
                <w:szCs w:val="21"/>
              </w:rPr>
              <w:t>900.0</w:t>
            </w:r>
          </w:p>
        </w:tc>
        <w:tc>
          <w:tcPr>
            <w:tcW w:w="1355" w:type="dxa"/>
            <w:vAlign w:val="center"/>
          </w:tcPr>
          <w:p w14:paraId="1D2B6336" w14:textId="77777777" w:rsidR="00A500F1" w:rsidRPr="00DE0DFA" w:rsidRDefault="00A500F1" w:rsidP="00A500F1">
            <w:pPr>
              <w:jc w:val="center"/>
              <w:rPr>
                <w:rFonts w:ascii="Calibri" w:hAnsi="Calibri"/>
                <w:szCs w:val="21"/>
              </w:rPr>
            </w:pPr>
            <w:r w:rsidRPr="00DE0DFA">
              <w:rPr>
                <w:rFonts w:ascii="Calibri" w:hAnsi="Calibri"/>
                <w:szCs w:val="21"/>
              </w:rPr>
              <w:t>0.0016</w:t>
            </w:r>
          </w:p>
        </w:tc>
        <w:tc>
          <w:tcPr>
            <w:tcW w:w="1081" w:type="dxa"/>
            <w:vAlign w:val="center"/>
          </w:tcPr>
          <w:p w14:paraId="2489CF0F" w14:textId="77777777" w:rsidR="00A500F1" w:rsidRPr="00DE0DFA" w:rsidRDefault="00A500F1" w:rsidP="00A500F1">
            <w:pPr>
              <w:jc w:val="center"/>
              <w:rPr>
                <w:rFonts w:ascii="Calibri" w:hAnsi="Calibri"/>
                <w:szCs w:val="21"/>
              </w:rPr>
            </w:pPr>
            <w:r w:rsidRPr="00DE0DFA">
              <w:rPr>
                <w:rFonts w:ascii="Calibri" w:hAnsi="Calibri"/>
                <w:szCs w:val="21"/>
              </w:rPr>
              <w:t>0.0008</w:t>
            </w:r>
          </w:p>
        </w:tc>
        <w:tc>
          <w:tcPr>
            <w:tcW w:w="1355" w:type="dxa"/>
            <w:vAlign w:val="center"/>
          </w:tcPr>
          <w:p w14:paraId="55D92E04" w14:textId="77777777" w:rsidR="00A500F1" w:rsidRPr="00DE0DFA" w:rsidRDefault="00A500F1" w:rsidP="00A500F1">
            <w:pPr>
              <w:jc w:val="center"/>
              <w:rPr>
                <w:rFonts w:ascii="Calibri" w:hAnsi="Calibri"/>
                <w:szCs w:val="21"/>
              </w:rPr>
            </w:pPr>
            <w:r w:rsidRPr="00DE0DFA">
              <w:rPr>
                <w:rFonts w:ascii="Calibri" w:hAnsi="Calibri"/>
                <w:szCs w:val="21"/>
              </w:rPr>
              <w:t>0.0192</w:t>
            </w:r>
          </w:p>
        </w:tc>
        <w:tc>
          <w:tcPr>
            <w:tcW w:w="1081" w:type="dxa"/>
            <w:vAlign w:val="center"/>
          </w:tcPr>
          <w:p w14:paraId="07C738CE" w14:textId="77777777" w:rsidR="00A500F1" w:rsidRPr="00DE0DFA" w:rsidRDefault="00A500F1" w:rsidP="00A500F1">
            <w:pPr>
              <w:jc w:val="center"/>
              <w:rPr>
                <w:rFonts w:ascii="Calibri" w:hAnsi="Calibri"/>
                <w:szCs w:val="21"/>
              </w:rPr>
            </w:pPr>
            <w:r w:rsidRPr="00DE0DFA">
              <w:rPr>
                <w:rFonts w:ascii="Calibri" w:hAnsi="Calibri"/>
                <w:szCs w:val="21"/>
              </w:rPr>
              <w:t>0.0010</w:t>
            </w:r>
          </w:p>
        </w:tc>
        <w:tc>
          <w:tcPr>
            <w:tcW w:w="1355" w:type="dxa"/>
            <w:vAlign w:val="center"/>
          </w:tcPr>
          <w:p w14:paraId="00DAF927"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6B94F720" w14:textId="77777777" w:rsidR="00A500F1" w:rsidRPr="00DE0DFA" w:rsidRDefault="00A500F1" w:rsidP="00A500F1">
            <w:pPr>
              <w:jc w:val="center"/>
              <w:rPr>
                <w:rFonts w:ascii="Calibri" w:hAnsi="Calibri"/>
                <w:szCs w:val="21"/>
              </w:rPr>
            </w:pPr>
            <w:r w:rsidRPr="00DE0DFA">
              <w:rPr>
                <w:rFonts w:ascii="Calibri" w:hAnsi="Calibri"/>
                <w:szCs w:val="21"/>
              </w:rPr>
              <w:t>0.0006</w:t>
            </w:r>
          </w:p>
        </w:tc>
      </w:tr>
      <w:tr w:rsidR="00AF13C4" w14:paraId="1D2CB751" w14:textId="77777777" w:rsidTr="005249C0">
        <w:trPr>
          <w:trHeight w:val="340"/>
        </w:trPr>
        <w:tc>
          <w:tcPr>
            <w:tcW w:w="1218" w:type="dxa"/>
            <w:vAlign w:val="center"/>
          </w:tcPr>
          <w:p w14:paraId="4E7862EC" w14:textId="77777777" w:rsidR="00A500F1" w:rsidRPr="00DE0DFA" w:rsidRDefault="00A500F1" w:rsidP="00A500F1">
            <w:pPr>
              <w:jc w:val="center"/>
              <w:rPr>
                <w:rFonts w:ascii="Calibri" w:hAnsi="Calibri"/>
                <w:szCs w:val="21"/>
              </w:rPr>
            </w:pPr>
            <w:r w:rsidRPr="00DE0DFA">
              <w:rPr>
                <w:rFonts w:ascii="Calibri" w:hAnsi="Calibri"/>
                <w:szCs w:val="21"/>
              </w:rPr>
              <w:t>1000.0</w:t>
            </w:r>
          </w:p>
        </w:tc>
        <w:tc>
          <w:tcPr>
            <w:tcW w:w="1355" w:type="dxa"/>
            <w:vAlign w:val="center"/>
          </w:tcPr>
          <w:p w14:paraId="7B77E906" w14:textId="77777777" w:rsidR="00A500F1" w:rsidRPr="00DE0DFA" w:rsidRDefault="00A500F1" w:rsidP="00A500F1">
            <w:pPr>
              <w:jc w:val="center"/>
              <w:rPr>
                <w:rFonts w:ascii="Calibri" w:hAnsi="Calibri"/>
                <w:szCs w:val="21"/>
              </w:rPr>
            </w:pPr>
            <w:r w:rsidRPr="00DE0DFA">
              <w:rPr>
                <w:rFonts w:ascii="Calibri" w:hAnsi="Calibri"/>
                <w:szCs w:val="21"/>
              </w:rPr>
              <w:t>0.0015</w:t>
            </w:r>
          </w:p>
        </w:tc>
        <w:tc>
          <w:tcPr>
            <w:tcW w:w="1081" w:type="dxa"/>
            <w:vAlign w:val="center"/>
          </w:tcPr>
          <w:p w14:paraId="42337D98" w14:textId="77777777" w:rsidR="00A500F1" w:rsidRPr="00DE0DFA" w:rsidRDefault="00A500F1" w:rsidP="00A500F1">
            <w:pPr>
              <w:jc w:val="center"/>
              <w:rPr>
                <w:rFonts w:ascii="Calibri" w:hAnsi="Calibri"/>
                <w:szCs w:val="21"/>
              </w:rPr>
            </w:pPr>
            <w:r w:rsidRPr="00DE0DFA">
              <w:rPr>
                <w:rFonts w:ascii="Calibri" w:hAnsi="Calibri"/>
                <w:szCs w:val="21"/>
              </w:rPr>
              <w:t>0.0007</w:t>
            </w:r>
          </w:p>
        </w:tc>
        <w:tc>
          <w:tcPr>
            <w:tcW w:w="1355" w:type="dxa"/>
            <w:vAlign w:val="center"/>
          </w:tcPr>
          <w:p w14:paraId="4C661825" w14:textId="77777777" w:rsidR="00A500F1" w:rsidRPr="00DE0DFA" w:rsidRDefault="00A500F1" w:rsidP="00A500F1">
            <w:pPr>
              <w:jc w:val="center"/>
              <w:rPr>
                <w:rFonts w:ascii="Calibri" w:hAnsi="Calibri"/>
                <w:szCs w:val="21"/>
              </w:rPr>
            </w:pPr>
            <w:r w:rsidRPr="00DE0DFA">
              <w:rPr>
                <w:rFonts w:ascii="Calibri" w:hAnsi="Calibri"/>
                <w:szCs w:val="21"/>
              </w:rPr>
              <w:t>0.0178</w:t>
            </w:r>
          </w:p>
        </w:tc>
        <w:tc>
          <w:tcPr>
            <w:tcW w:w="1081" w:type="dxa"/>
            <w:vAlign w:val="center"/>
          </w:tcPr>
          <w:p w14:paraId="03B91AD0" w14:textId="77777777" w:rsidR="00A500F1" w:rsidRPr="00DE0DFA" w:rsidRDefault="00A500F1" w:rsidP="00A500F1">
            <w:pPr>
              <w:jc w:val="center"/>
              <w:rPr>
                <w:rFonts w:ascii="Calibri" w:hAnsi="Calibri"/>
                <w:szCs w:val="21"/>
              </w:rPr>
            </w:pPr>
            <w:r w:rsidRPr="00DE0DFA">
              <w:rPr>
                <w:rFonts w:ascii="Calibri" w:hAnsi="Calibri"/>
                <w:szCs w:val="21"/>
              </w:rPr>
              <w:t>0.0009</w:t>
            </w:r>
          </w:p>
        </w:tc>
        <w:tc>
          <w:tcPr>
            <w:tcW w:w="1355" w:type="dxa"/>
            <w:vAlign w:val="center"/>
          </w:tcPr>
          <w:p w14:paraId="6F464918" w14:textId="77777777" w:rsidR="00A500F1" w:rsidRPr="00DE0DFA" w:rsidRDefault="00A500F1" w:rsidP="00A500F1">
            <w:pPr>
              <w:jc w:val="center"/>
              <w:rPr>
                <w:rFonts w:ascii="Calibri" w:hAnsi="Calibri"/>
                <w:szCs w:val="21"/>
              </w:rPr>
            </w:pPr>
            <w:r w:rsidRPr="00DE0DFA">
              <w:rPr>
                <w:rFonts w:ascii="Calibri" w:hAnsi="Calibri"/>
                <w:szCs w:val="21"/>
              </w:rPr>
              <w:t>0.0001</w:t>
            </w:r>
          </w:p>
        </w:tc>
        <w:tc>
          <w:tcPr>
            <w:tcW w:w="1082" w:type="dxa"/>
            <w:vAlign w:val="center"/>
          </w:tcPr>
          <w:p w14:paraId="766F0C03" w14:textId="77777777" w:rsidR="00A500F1" w:rsidRPr="00DE0DFA" w:rsidRDefault="00A500F1" w:rsidP="00A500F1">
            <w:pPr>
              <w:jc w:val="center"/>
              <w:rPr>
                <w:rFonts w:ascii="Calibri" w:hAnsi="Calibri"/>
                <w:szCs w:val="21"/>
              </w:rPr>
            </w:pPr>
            <w:r w:rsidRPr="00DE0DFA">
              <w:rPr>
                <w:rFonts w:ascii="Calibri" w:hAnsi="Calibri"/>
                <w:szCs w:val="21"/>
              </w:rPr>
              <w:t>0.0006</w:t>
            </w:r>
          </w:p>
        </w:tc>
      </w:tr>
      <w:tr w:rsidR="00AF13C4" w14:paraId="1323D837" w14:textId="77777777" w:rsidTr="005249C0">
        <w:trPr>
          <w:trHeight w:val="340"/>
        </w:trPr>
        <w:tc>
          <w:tcPr>
            <w:tcW w:w="1218" w:type="dxa"/>
            <w:vAlign w:val="center"/>
          </w:tcPr>
          <w:p w14:paraId="57816B60" w14:textId="77777777" w:rsidR="00A500F1" w:rsidRPr="00DE0DFA" w:rsidRDefault="00A500F1" w:rsidP="00A500F1">
            <w:pPr>
              <w:jc w:val="center"/>
              <w:rPr>
                <w:rFonts w:ascii="Calibri" w:hAnsi="Calibri"/>
                <w:szCs w:val="21"/>
              </w:rPr>
            </w:pPr>
            <w:r w:rsidRPr="00DE0DFA">
              <w:rPr>
                <w:rFonts w:ascii="Calibri" w:hAnsi="Calibri"/>
                <w:szCs w:val="21"/>
              </w:rPr>
              <w:t>1500.0</w:t>
            </w:r>
          </w:p>
        </w:tc>
        <w:tc>
          <w:tcPr>
            <w:tcW w:w="1355" w:type="dxa"/>
            <w:vAlign w:val="center"/>
          </w:tcPr>
          <w:p w14:paraId="1B01309F" w14:textId="77777777" w:rsidR="00A500F1" w:rsidRPr="00DE0DFA" w:rsidRDefault="00A500F1" w:rsidP="00A500F1">
            <w:pPr>
              <w:jc w:val="center"/>
              <w:rPr>
                <w:rFonts w:ascii="Calibri" w:hAnsi="Calibri"/>
                <w:szCs w:val="21"/>
              </w:rPr>
            </w:pPr>
            <w:r w:rsidRPr="00DE0DFA">
              <w:rPr>
                <w:rFonts w:ascii="Calibri" w:hAnsi="Calibri"/>
                <w:szCs w:val="21"/>
              </w:rPr>
              <w:t>0.0012</w:t>
            </w:r>
          </w:p>
        </w:tc>
        <w:tc>
          <w:tcPr>
            <w:tcW w:w="1081" w:type="dxa"/>
            <w:vAlign w:val="center"/>
          </w:tcPr>
          <w:p w14:paraId="17B30913" w14:textId="77777777" w:rsidR="00A500F1" w:rsidRPr="00DE0DFA" w:rsidRDefault="00A500F1" w:rsidP="00A500F1">
            <w:pPr>
              <w:jc w:val="center"/>
              <w:rPr>
                <w:rFonts w:ascii="Calibri" w:hAnsi="Calibri"/>
                <w:szCs w:val="21"/>
              </w:rPr>
            </w:pPr>
            <w:r w:rsidRPr="00DE0DFA">
              <w:rPr>
                <w:rFonts w:ascii="Calibri" w:hAnsi="Calibri"/>
                <w:szCs w:val="21"/>
              </w:rPr>
              <w:t>0.0006</w:t>
            </w:r>
          </w:p>
        </w:tc>
        <w:tc>
          <w:tcPr>
            <w:tcW w:w="1355" w:type="dxa"/>
            <w:vAlign w:val="center"/>
          </w:tcPr>
          <w:p w14:paraId="4A6FD20D" w14:textId="77777777" w:rsidR="00A500F1" w:rsidRPr="00DE0DFA" w:rsidRDefault="00A500F1" w:rsidP="00A500F1">
            <w:pPr>
              <w:jc w:val="center"/>
              <w:rPr>
                <w:rFonts w:ascii="Calibri" w:hAnsi="Calibri"/>
                <w:szCs w:val="21"/>
              </w:rPr>
            </w:pPr>
            <w:r w:rsidRPr="00DE0DFA">
              <w:rPr>
                <w:rFonts w:ascii="Calibri" w:hAnsi="Calibri"/>
                <w:szCs w:val="21"/>
              </w:rPr>
              <w:t>0.0140</w:t>
            </w:r>
          </w:p>
        </w:tc>
        <w:tc>
          <w:tcPr>
            <w:tcW w:w="1081" w:type="dxa"/>
            <w:vAlign w:val="center"/>
          </w:tcPr>
          <w:p w14:paraId="3EDA26BF" w14:textId="77777777" w:rsidR="00A500F1" w:rsidRPr="00DE0DFA" w:rsidRDefault="00A500F1" w:rsidP="00A500F1">
            <w:pPr>
              <w:jc w:val="center"/>
              <w:rPr>
                <w:rFonts w:ascii="Calibri" w:hAnsi="Calibri"/>
                <w:szCs w:val="21"/>
              </w:rPr>
            </w:pPr>
            <w:r w:rsidRPr="00DE0DFA">
              <w:rPr>
                <w:rFonts w:ascii="Calibri" w:hAnsi="Calibri"/>
                <w:szCs w:val="21"/>
              </w:rPr>
              <w:t>0.0007</w:t>
            </w:r>
          </w:p>
        </w:tc>
        <w:tc>
          <w:tcPr>
            <w:tcW w:w="1355" w:type="dxa"/>
            <w:vAlign w:val="center"/>
          </w:tcPr>
          <w:p w14:paraId="520D480D" w14:textId="77777777" w:rsidR="00A500F1" w:rsidRPr="00DE0DFA" w:rsidRDefault="00A500F1" w:rsidP="00A500F1">
            <w:pPr>
              <w:jc w:val="center"/>
              <w:rPr>
                <w:rFonts w:ascii="Calibri" w:hAnsi="Calibri"/>
                <w:szCs w:val="21"/>
              </w:rPr>
            </w:pPr>
            <w:r w:rsidRPr="00DE0DFA">
              <w:rPr>
                <w:rFonts w:ascii="Calibri" w:hAnsi="Calibri"/>
                <w:szCs w:val="21"/>
              </w:rPr>
              <w:t>0.0000</w:t>
            </w:r>
          </w:p>
        </w:tc>
        <w:tc>
          <w:tcPr>
            <w:tcW w:w="1082" w:type="dxa"/>
            <w:vAlign w:val="center"/>
          </w:tcPr>
          <w:p w14:paraId="6291EC51" w14:textId="77777777" w:rsidR="00A500F1" w:rsidRPr="00DE0DFA" w:rsidRDefault="00A500F1" w:rsidP="00A500F1">
            <w:pPr>
              <w:jc w:val="center"/>
              <w:rPr>
                <w:rFonts w:ascii="Calibri" w:hAnsi="Calibri"/>
                <w:szCs w:val="21"/>
              </w:rPr>
            </w:pPr>
            <w:r w:rsidRPr="00DE0DFA">
              <w:rPr>
                <w:rFonts w:ascii="Calibri" w:hAnsi="Calibri"/>
                <w:szCs w:val="21"/>
              </w:rPr>
              <w:t>0.0004</w:t>
            </w:r>
          </w:p>
        </w:tc>
      </w:tr>
      <w:tr w:rsidR="00AF13C4" w14:paraId="7C9CCC95" w14:textId="77777777" w:rsidTr="005249C0">
        <w:trPr>
          <w:trHeight w:val="340"/>
        </w:trPr>
        <w:tc>
          <w:tcPr>
            <w:tcW w:w="1218" w:type="dxa"/>
            <w:vAlign w:val="center"/>
          </w:tcPr>
          <w:p w14:paraId="612A61F6" w14:textId="77777777" w:rsidR="00A500F1" w:rsidRPr="00DE0DFA" w:rsidRDefault="00A500F1" w:rsidP="00A500F1">
            <w:pPr>
              <w:jc w:val="center"/>
              <w:rPr>
                <w:rFonts w:ascii="Calibri" w:hAnsi="Calibri"/>
                <w:szCs w:val="21"/>
              </w:rPr>
            </w:pPr>
            <w:r w:rsidRPr="00DE0DFA">
              <w:rPr>
                <w:rFonts w:ascii="Calibri" w:hAnsi="Calibri"/>
                <w:szCs w:val="21"/>
              </w:rPr>
              <w:t>2000.0</w:t>
            </w:r>
          </w:p>
        </w:tc>
        <w:tc>
          <w:tcPr>
            <w:tcW w:w="1355" w:type="dxa"/>
            <w:vAlign w:val="center"/>
          </w:tcPr>
          <w:p w14:paraId="31FD0C1C" w14:textId="77777777" w:rsidR="00A500F1" w:rsidRPr="00DE0DFA" w:rsidRDefault="00A500F1" w:rsidP="00A500F1">
            <w:pPr>
              <w:jc w:val="center"/>
              <w:rPr>
                <w:rFonts w:ascii="Calibri" w:hAnsi="Calibri"/>
                <w:szCs w:val="21"/>
              </w:rPr>
            </w:pPr>
            <w:r w:rsidRPr="00DE0DFA">
              <w:rPr>
                <w:rFonts w:ascii="Calibri" w:hAnsi="Calibri"/>
                <w:szCs w:val="21"/>
              </w:rPr>
              <w:t>0.0009</w:t>
            </w:r>
          </w:p>
        </w:tc>
        <w:tc>
          <w:tcPr>
            <w:tcW w:w="1081" w:type="dxa"/>
            <w:vAlign w:val="center"/>
          </w:tcPr>
          <w:p w14:paraId="53C65DAB" w14:textId="77777777" w:rsidR="00A500F1" w:rsidRPr="00DE0DFA" w:rsidRDefault="00A500F1" w:rsidP="00A500F1">
            <w:pPr>
              <w:jc w:val="center"/>
              <w:rPr>
                <w:rFonts w:ascii="Calibri" w:hAnsi="Calibri"/>
                <w:szCs w:val="21"/>
              </w:rPr>
            </w:pPr>
            <w:r w:rsidRPr="00DE0DFA">
              <w:rPr>
                <w:rFonts w:ascii="Calibri" w:hAnsi="Calibri"/>
                <w:szCs w:val="21"/>
              </w:rPr>
              <w:t>0.0005</w:t>
            </w:r>
          </w:p>
        </w:tc>
        <w:tc>
          <w:tcPr>
            <w:tcW w:w="1355" w:type="dxa"/>
            <w:vAlign w:val="center"/>
          </w:tcPr>
          <w:p w14:paraId="7C045E9B" w14:textId="77777777" w:rsidR="00A500F1" w:rsidRPr="00DE0DFA" w:rsidRDefault="00A500F1" w:rsidP="00A500F1">
            <w:pPr>
              <w:jc w:val="center"/>
              <w:rPr>
                <w:rFonts w:ascii="Calibri" w:hAnsi="Calibri"/>
                <w:szCs w:val="21"/>
              </w:rPr>
            </w:pPr>
            <w:r w:rsidRPr="00DE0DFA">
              <w:rPr>
                <w:rFonts w:ascii="Calibri" w:hAnsi="Calibri"/>
                <w:szCs w:val="21"/>
              </w:rPr>
              <w:t>0.0112</w:t>
            </w:r>
          </w:p>
        </w:tc>
        <w:tc>
          <w:tcPr>
            <w:tcW w:w="1081" w:type="dxa"/>
            <w:vAlign w:val="center"/>
          </w:tcPr>
          <w:p w14:paraId="4EAE5951" w14:textId="77777777" w:rsidR="00A500F1" w:rsidRPr="00DE0DFA" w:rsidRDefault="00A500F1" w:rsidP="00A500F1">
            <w:pPr>
              <w:jc w:val="center"/>
              <w:rPr>
                <w:rFonts w:ascii="Calibri" w:hAnsi="Calibri"/>
                <w:szCs w:val="21"/>
              </w:rPr>
            </w:pPr>
            <w:r w:rsidRPr="00DE0DFA">
              <w:rPr>
                <w:rFonts w:ascii="Calibri" w:hAnsi="Calibri"/>
                <w:szCs w:val="21"/>
              </w:rPr>
              <w:t>0.0006</w:t>
            </w:r>
          </w:p>
        </w:tc>
        <w:tc>
          <w:tcPr>
            <w:tcW w:w="1355" w:type="dxa"/>
            <w:vAlign w:val="center"/>
          </w:tcPr>
          <w:p w14:paraId="11A55FC1" w14:textId="77777777" w:rsidR="00A500F1" w:rsidRPr="00DE0DFA" w:rsidRDefault="00A500F1" w:rsidP="00A500F1">
            <w:pPr>
              <w:jc w:val="center"/>
              <w:rPr>
                <w:rFonts w:ascii="Calibri" w:hAnsi="Calibri"/>
                <w:szCs w:val="21"/>
              </w:rPr>
            </w:pPr>
            <w:r w:rsidRPr="00DE0DFA">
              <w:rPr>
                <w:rFonts w:ascii="Calibri" w:hAnsi="Calibri"/>
                <w:szCs w:val="21"/>
              </w:rPr>
              <w:t>0.0000</w:t>
            </w:r>
          </w:p>
        </w:tc>
        <w:tc>
          <w:tcPr>
            <w:tcW w:w="1082" w:type="dxa"/>
            <w:vAlign w:val="center"/>
          </w:tcPr>
          <w:p w14:paraId="10573519" w14:textId="77777777" w:rsidR="00A500F1" w:rsidRPr="00DE0DFA" w:rsidRDefault="00A500F1" w:rsidP="00A500F1">
            <w:pPr>
              <w:jc w:val="center"/>
              <w:rPr>
                <w:rFonts w:ascii="Calibri" w:hAnsi="Calibri"/>
                <w:szCs w:val="21"/>
              </w:rPr>
            </w:pPr>
            <w:r w:rsidRPr="00DE0DFA">
              <w:rPr>
                <w:rFonts w:ascii="Calibri" w:hAnsi="Calibri"/>
                <w:szCs w:val="21"/>
              </w:rPr>
              <w:t>0.0004</w:t>
            </w:r>
          </w:p>
        </w:tc>
      </w:tr>
      <w:tr w:rsidR="00AF13C4" w14:paraId="1844D893" w14:textId="77777777" w:rsidTr="005249C0">
        <w:trPr>
          <w:trHeight w:val="340"/>
        </w:trPr>
        <w:tc>
          <w:tcPr>
            <w:tcW w:w="1218" w:type="dxa"/>
            <w:vAlign w:val="center"/>
          </w:tcPr>
          <w:p w14:paraId="26615B6E" w14:textId="77777777" w:rsidR="00A500F1" w:rsidRPr="00DE0DFA" w:rsidRDefault="00A500F1" w:rsidP="00A500F1">
            <w:pPr>
              <w:jc w:val="center"/>
              <w:rPr>
                <w:rFonts w:ascii="Calibri" w:hAnsi="Calibri"/>
                <w:szCs w:val="21"/>
              </w:rPr>
            </w:pPr>
            <w:r w:rsidRPr="00DE0DFA">
              <w:rPr>
                <w:rFonts w:ascii="Calibri" w:hAnsi="Calibri"/>
                <w:szCs w:val="21"/>
              </w:rPr>
              <w:t>2500.0</w:t>
            </w:r>
          </w:p>
        </w:tc>
        <w:tc>
          <w:tcPr>
            <w:tcW w:w="1355" w:type="dxa"/>
            <w:vAlign w:val="center"/>
          </w:tcPr>
          <w:p w14:paraId="7FFD42A1" w14:textId="77777777" w:rsidR="00A500F1" w:rsidRPr="00DE0DFA" w:rsidRDefault="00A500F1" w:rsidP="00A500F1">
            <w:pPr>
              <w:jc w:val="center"/>
              <w:rPr>
                <w:rFonts w:ascii="Calibri" w:hAnsi="Calibri"/>
                <w:szCs w:val="21"/>
              </w:rPr>
            </w:pPr>
            <w:r w:rsidRPr="00DE0DFA">
              <w:rPr>
                <w:rFonts w:ascii="Calibri" w:hAnsi="Calibri"/>
                <w:szCs w:val="21"/>
              </w:rPr>
              <w:t>0.0008</w:t>
            </w:r>
          </w:p>
        </w:tc>
        <w:tc>
          <w:tcPr>
            <w:tcW w:w="1081" w:type="dxa"/>
            <w:vAlign w:val="center"/>
          </w:tcPr>
          <w:p w14:paraId="31F2191E" w14:textId="77777777" w:rsidR="00A500F1" w:rsidRPr="00DE0DFA" w:rsidRDefault="00A500F1" w:rsidP="00A500F1">
            <w:pPr>
              <w:jc w:val="center"/>
              <w:rPr>
                <w:rFonts w:ascii="Calibri" w:hAnsi="Calibri"/>
                <w:szCs w:val="21"/>
              </w:rPr>
            </w:pPr>
            <w:r w:rsidRPr="00DE0DFA">
              <w:rPr>
                <w:rFonts w:ascii="Calibri" w:hAnsi="Calibri"/>
                <w:szCs w:val="21"/>
              </w:rPr>
              <w:t>0.0004</w:t>
            </w:r>
          </w:p>
        </w:tc>
        <w:tc>
          <w:tcPr>
            <w:tcW w:w="1355" w:type="dxa"/>
            <w:vAlign w:val="center"/>
          </w:tcPr>
          <w:p w14:paraId="2FBA6CD7" w14:textId="77777777" w:rsidR="00A500F1" w:rsidRPr="00DE0DFA" w:rsidRDefault="00A500F1" w:rsidP="00A500F1">
            <w:pPr>
              <w:jc w:val="center"/>
              <w:rPr>
                <w:rFonts w:ascii="Calibri" w:hAnsi="Calibri"/>
                <w:szCs w:val="21"/>
              </w:rPr>
            </w:pPr>
            <w:r w:rsidRPr="00DE0DFA">
              <w:rPr>
                <w:rFonts w:ascii="Calibri" w:hAnsi="Calibri"/>
                <w:szCs w:val="21"/>
              </w:rPr>
              <w:t>0.0096</w:t>
            </w:r>
          </w:p>
        </w:tc>
        <w:tc>
          <w:tcPr>
            <w:tcW w:w="1081" w:type="dxa"/>
            <w:vAlign w:val="center"/>
          </w:tcPr>
          <w:p w14:paraId="1DEE3EE3" w14:textId="77777777" w:rsidR="00A500F1" w:rsidRPr="00DE0DFA" w:rsidRDefault="00A500F1" w:rsidP="00A500F1">
            <w:pPr>
              <w:jc w:val="center"/>
              <w:rPr>
                <w:rFonts w:ascii="Calibri" w:hAnsi="Calibri"/>
                <w:szCs w:val="21"/>
              </w:rPr>
            </w:pPr>
            <w:r w:rsidRPr="00DE0DFA">
              <w:rPr>
                <w:rFonts w:ascii="Calibri" w:hAnsi="Calibri"/>
                <w:szCs w:val="21"/>
              </w:rPr>
              <w:t>0.0005</w:t>
            </w:r>
          </w:p>
        </w:tc>
        <w:tc>
          <w:tcPr>
            <w:tcW w:w="1355" w:type="dxa"/>
            <w:vAlign w:val="center"/>
          </w:tcPr>
          <w:p w14:paraId="57EF4894" w14:textId="77777777" w:rsidR="00A500F1" w:rsidRPr="00DE0DFA" w:rsidRDefault="00A500F1" w:rsidP="00A500F1">
            <w:pPr>
              <w:jc w:val="center"/>
              <w:rPr>
                <w:rFonts w:ascii="Calibri" w:hAnsi="Calibri"/>
                <w:szCs w:val="21"/>
              </w:rPr>
            </w:pPr>
            <w:r w:rsidRPr="00DE0DFA">
              <w:rPr>
                <w:rFonts w:ascii="Calibri" w:hAnsi="Calibri"/>
                <w:szCs w:val="21"/>
              </w:rPr>
              <w:t>0.0000</w:t>
            </w:r>
          </w:p>
        </w:tc>
        <w:tc>
          <w:tcPr>
            <w:tcW w:w="1082" w:type="dxa"/>
            <w:vAlign w:val="center"/>
          </w:tcPr>
          <w:p w14:paraId="11C045DD" w14:textId="77777777" w:rsidR="00A500F1" w:rsidRPr="00DE0DFA" w:rsidRDefault="00A500F1" w:rsidP="00A500F1">
            <w:pPr>
              <w:jc w:val="center"/>
              <w:rPr>
                <w:rFonts w:ascii="Calibri" w:hAnsi="Calibri"/>
                <w:szCs w:val="21"/>
              </w:rPr>
            </w:pPr>
            <w:r w:rsidRPr="00DE0DFA">
              <w:rPr>
                <w:rFonts w:ascii="Calibri" w:hAnsi="Calibri"/>
                <w:szCs w:val="21"/>
              </w:rPr>
              <w:t>0.0003</w:t>
            </w:r>
          </w:p>
        </w:tc>
      </w:tr>
      <w:tr w:rsidR="00AF13C4" w14:paraId="556F24C2" w14:textId="77777777" w:rsidTr="005249C0">
        <w:trPr>
          <w:trHeight w:val="340"/>
        </w:trPr>
        <w:tc>
          <w:tcPr>
            <w:tcW w:w="1218" w:type="dxa"/>
            <w:vAlign w:val="center"/>
          </w:tcPr>
          <w:p w14:paraId="2435361A" w14:textId="77777777" w:rsidR="00A500F1" w:rsidRPr="00DE0DFA" w:rsidRDefault="00A500F1" w:rsidP="00A500F1">
            <w:pPr>
              <w:jc w:val="center"/>
              <w:rPr>
                <w:rFonts w:ascii="Calibri" w:hAnsi="Calibri"/>
                <w:szCs w:val="21"/>
              </w:rPr>
            </w:pPr>
            <w:r w:rsidRPr="00DE0DFA">
              <w:rPr>
                <w:rFonts w:ascii="Calibri" w:hAnsi="Calibri"/>
                <w:szCs w:val="21"/>
              </w:rPr>
              <w:t>下风向最大浓度</w:t>
            </w:r>
          </w:p>
        </w:tc>
        <w:tc>
          <w:tcPr>
            <w:tcW w:w="1355" w:type="dxa"/>
            <w:vAlign w:val="center"/>
          </w:tcPr>
          <w:p w14:paraId="28694DDA" w14:textId="77777777" w:rsidR="00A500F1" w:rsidRPr="00DE0DFA" w:rsidRDefault="00A500F1" w:rsidP="00A500F1">
            <w:pPr>
              <w:jc w:val="center"/>
              <w:rPr>
                <w:rFonts w:ascii="Calibri" w:hAnsi="Calibri"/>
                <w:szCs w:val="21"/>
              </w:rPr>
            </w:pPr>
            <w:r w:rsidRPr="00DE0DFA">
              <w:rPr>
                <w:rFonts w:ascii="Calibri" w:hAnsi="Calibri"/>
                <w:szCs w:val="21"/>
              </w:rPr>
              <w:t>0.0041</w:t>
            </w:r>
          </w:p>
        </w:tc>
        <w:tc>
          <w:tcPr>
            <w:tcW w:w="1081" w:type="dxa"/>
            <w:vAlign w:val="center"/>
          </w:tcPr>
          <w:p w14:paraId="6ADC65D5" w14:textId="77777777" w:rsidR="00A500F1" w:rsidRPr="00DE0DFA" w:rsidRDefault="00A500F1" w:rsidP="00A500F1">
            <w:pPr>
              <w:jc w:val="center"/>
              <w:rPr>
                <w:rFonts w:ascii="Calibri" w:hAnsi="Calibri"/>
                <w:szCs w:val="21"/>
              </w:rPr>
            </w:pPr>
            <w:r w:rsidRPr="00DE0DFA">
              <w:rPr>
                <w:rFonts w:ascii="Calibri" w:hAnsi="Calibri"/>
                <w:szCs w:val="21"/>
              </w:rPr>
              <w:t>0.0021</w:t>
            </w:r>
          </w:p>
        </w:tc>
        <w:tc>
          <w:tcPr>
            <w:tcW w:w="1355" w:type="dxa"/>
            <w:vAlign w:val="center"/>
          </w:tcPr>
          <w:p w14:paraId="243B7AB7" w14:textId="77777777" w:rsidR="00A500F1" w:rsidRPr="00DE0DFA" w:rsidRDefault="00A500F1" w:rsidP="00A500F1">
            <w:pPr>
              <w:jc w:val="center"/>
              <w:rPr>
                <w:rFonts w:ascii="Calibri" w:hAnsi="Calibri"/>
                <w:szCs w:val="21"/>
              </w:rPr>
            </w:pPr>
            <w:r w:rsidRPr="00DE0DFA">
              <w:rPr>
                <w:rFonts w:ascii="Calibri" w:hAnsi="Calibri"/>
                <w:szCs w:val="21"/>
              </w:rPr>
              <w:t>0.0495</w:t>
            </w:r>
          </w:p>
        </w:tc>
        <w:tc>
          <w:tcPr>
            <w:tcW w:w="1081" w:type="dxa"/>
            <w:vAlign w:val="center"/>
          </w:tcPr>
          <w:p w14:paraId="18DF8C55" w14:textId="77777777" w:rsidR="00A500F1" w:rsidRPr="00DE0DFA" w:rsidRDefault="00A500F1" w:rsidP="00A500F1">
            <w:pPr>
              <w:jc w:val="center"/>
              <w:rPr>
                <w:rFonts w:ascii="Calibri" w:hAnsi="Calibri"/>
                <w:szCs w:val="21"/>
              </w:rPr>
            </w:pPr>
            <w:r w:rsidRPr="00DE0DFA">
              <w:rPr>
                <w:rFonts w:ascii="Calibri" w:hAnsi="Calibri"/>
                <w:szCs w:val="21"/>
              </w:rPr>
              <w:t>0.0025</w:t>
            </w:r>
          </w:p>
        </w:tc>
        <w:tc>
          <w:tcPr>
            <w:tcW w:w="1355" w:type="dxa"/>
            <w:vAlign w:val="center"/>
          </w:tcPr>
          <w:p w14:paraId="53176827" w14:textId="77777777" w:rsidR="00A500F1" w:rsidRPr="00DE0DFA" w:rsidRDefault="00A500F1" w:rsidP="00A500F1">
            <w:pPr>
              <w:jc w:val="center"/>
              <w:rPr>
                <w:rFonts w:ascii="Calibri" w:hAnsi="Calibri"/>
                <w:szCs w:val="21"/>
              </w:rPr>
            </w:pPr>
            <w:r w:rsidRPr="00DE0DFA">
              <w:rPr>
                <w:rFonts w:ascii="Calibri" w:hAnsi="Calibri"/>
                <w:szCs w:val="21"/>
              </w:rPr>
              <w:t>0.0002</w:t>
            </w:r>
          </w:p>
        </w:tc>
        <w:tc>
          <w:tcPr>
            <w:tcW w:w="1082" w:type="dxa"/>
            <w:vAlign w:val="center"/>
          </w:tcPr>
          <w:p w14:paraId="440380C0" w14:textId="77777777" w:rsidR="00A500F1" w:rsidRPr="00DE0DFA" w:rsidRDefault="00A500F1" w:rsidP="00A500F1">
            <w:pPr>
              <w:jc w:val="center"/>
              <w:rPr>
                <w:rFonts w:ascii="Calibri" w:hAnsi="Calibri"/>
                <w:szCs w:val="21"/>
              </w:rPr>
            </w:pPr>
            <w:r w:rsidRPr="00DE0DFA">
              <w:rPr>
                <w:rFonts w:ascii="Calibri" w:hAnsi="Calibri"/>
                <w:szCs w:val="21"/>
              </w:rPr>
              <w:t>0.0016</w:t>
            </w:r>
          </w:p>
        </w:tc>
      </w:tr>
      <w:tr w:rsidR="00AF13C4" w14:paraId="411DFA71" w14:textId="77777777" w:rsidTr="005249C0">
        <w:trPr>
          <w:trHeight w:val="340"/>
        </w:trPr>
        <w:tc>
          <w:tcPr>
            <w:tcW w:w="1218" w:type="dxa"/>
            <w:vAlign w:val="center"/>
          </w:tcPr>
          <w:p w14:paraId="23E20C9B" w14:textId="77777777" w:rsidR="00A500F1" w:rsidRPr="00DE0DFA" w:rsidRDefault="00A500F1" w:rsidP="00A500F1">
            <w:pPr>
              <w:jc w:val="center"/>
              <w:rPr>
                <w:rFonts w:ascii="Calibri" w:hAnsi="Calibri"/>
                <w:szCs w:val="21"/>
              </w:rPr>
            </w:pPr>
            <w:r w:rsidRPr="00DE0DFA">
              <w:rPr>
                <w:rFonts w:ascii="Calibri" w:hAnsi="Calibri"/>
                <w:szCs w:val="21"/>
              </w:rPr>
              <w:t>下风向最大浓度出现距离</w:t>
            </w:r>
          </w:p>
        </w:tc>
        <w:tc>
          <w:tcPr>
            <w:tcW w:w="1355" w:type="dxa"/>
            <w:vAlign w:val="center"/>
          </w:tcPr>
          <w:p w14:paraId="320A5FE4" w14:textId="77777777" w:rsidR="00A500F1" w:rsidRPr="00DE0DFA" w:rsidRDefault="00A500F1" w:rsidP="00A500F1">
            <w:pPr>
              <w:jc w:val="center"/>
              <w:rPr>
                <w:rFonts w:ascii="Calibri" w:hAnsi="Calibri"/>
                <w:szCs w:val="21"/>
              </w:rPr>
            </w:pPr>
            <w:r w:rsidRPr="00DE0DFA">
              <w:rPr>
                <w:rFonts w:ascii="Calibri" w:hAnsi="Calibri"/>
                <w:szCs w:val="21"/>
              </w:rPr>
              <w:t>78.0</w:t>
            </w:r>
          </w:p>
        </w:tc>
        <w:tc>
          <w:tcPr>
            <w:tcW w:w="1081" w:type="dxa"/>
            <w:vAlign w:val="center"/>
          </w:tcPr>
          <w:p w14:paraId="530D6F8A" w14:textId="77777777" w:rsidR="00A500F1" w:rsidRPr="00DE0DFA" w:rsidRDefault="00A500F1" w:rsidP="00A500F1">
            <w:pPr>
              <w:jc w:val="center"/>
              <w:rPr>
                <w:rFonts w:ascii="Calibri" w:hAnsi="Calibri"/>
                <w:szCs w:val="21"/>
              </w:rPr>
            </w:pPr>
            <w:r w:rsidRPr="00DE0DFA">
              <w:rPr>
                <w:rFonts w:ascii="Calibri" w:hAnsi="Calibri"/>
                <w:szCs w:val="21"/>
              </w:rPr>
              <w:t>78.0</w:t>
            </w:r>
          </w:p>
        </w:tc>
        <w:tc>
          <w:tcPr>
            <w:tcW w:w="1355" w:type="dxa"/>
            <w:vAlign w:val="center"/>
          </w:tcPr>
          <w:p w14:paraId="457CE670" w14:textId="77777777" w:rsidR="00A500F1" w:rsidRPr="00DE0DFA" w:rsidRDefault="00A500F1" w:rsidP="00A500F1">
            <w:pPr>
              <w:jc w:val="center"/>
              <w:rPr>
                <w:rFonts w:ascii="Calibri" w:hAnsi="Calibri"/>
                <w:szCs w:val="21"/>
              </w:rPr>
            </w:pPr>
            <w:r w:rsidRPr="00DE0DFA">
              <w:rPr>
                <w:rFonts w:ascii="Calibri" w:hAnsi="Calibri"/>
                <w:szCs w:val="21"/>
              </w:rPr>
              <w:t>78.0</w:t>
            </w:r>
          </w:p>
        </w:tc>
        <w:tc>
          <w:tcPr>
            <w:tcW w:w="1081" w:type="dxa"/>
            <w:vAlign w:val="center"/>
          </w:tcPr>
          <w:p w14:paraId="63A12057" w14:textId="77777777" w:rsidR="00A500F1" w:rsidRPr="00DE0DFA" w:rsidRDefault="00A500F1" w:rsidP="00A500F1">
            <w:pPr>
              <w:jc w:val="center"/>
              <w:rPr>
                <w:rFonts w:ascii="Calibri" w:hAnsi="Calibri"/>
                <w:szCs w:val="21"/>
              </w:rPr>
            </w:pPr>
            <w:r w:rsidRPr="00DE0DFA">
              <w:rPr>
                <w:rFonts w:ascii="Calibri" w:hAnsi="Calibri"/>
                <w:szCs w:val="21"/>
              </w:rPr>
              <w:t>78.0</w:t>
            </w:r>
          </w:p>
        </w:tc>
        <w:tc>
          <w:tcPr>
            <w:tcW w:w="1355" w:type="dxa"/>
            <w:vAlign w:val="center"/>
          </w:tcPr>
          <w:p w14:paraId="376298A6" w14:textId="77777777" w:rsidR="00A500F1" w:rsidRPr="00DE0DFA" w:rsidRDefault="00A500F1" w:rsidP="00A500F1">
            <w:pPr>
              <w:jc w:val="center"/>
              <w:rPr>
                <w:rFonts w:ascii="Calibri" w:hAnsi="Calibri"/>
                <w:szCs w:val="21"/>
              </w:rPr>
            </w:pPr>
            <w:r w:rsidRPr="00DE0DFA">
              <w:rPr>
                <w:rFonts w:ascii="Calibri" w:hAnsi="Calibri"/>
                <w:szCs w:val="21"/>
              </w:rPr>
              <w:t>78.0</w:t>
            </w:r>
          </w:p>
        </w:tc>
        <w:tc>
          <w:tcPr>
            <w:tcW w:w="1082" w:type="dxa"/>
            <w:vAlign w:val="center"/>
          </w:tcPr>
          <w:p w14:paraId="5C86F97C" w14:textId="77777777" w:rsidR="00A500F1" w:rsidRPr="00DE0DFA" w:rsidRDefault="00A500F1" w:rsidP="00A500F1">
            <w:pPr>
              <w:jc w:val="center"/>
              <w:rPr>
                <w:rFonts w:ascii="Calibri" w:hAnsi="Calibri"/>
                <w:szCs w:val="21"/>
              </w:rPr>
            </w:pPr>
            <w:r w:rsidRPr="00DE0DFA">
              <w:rPr>
                <w:rFonts w:ascii="Calibri" w:hAnsi="Calibri"/>
                <w:szCs w:val="21"/>
              </w:rPr>
              <w:t>78.0</w:t>
            </w:r>
          </w:p>
        </w:tc>
      </w:tr>
      <w:tr w:rsidR="00AF13C4" w14:paraId="7643CF54" w14:textId="77777777" w:rsidTr="005249C0">
        <w:trPr>
          <w:trHeight w:val="340"/>
        </w:trPr>
        <w:tc>
          <w:tcPr>
            <w:tcW w:w="1218" w:type="dxa"/>
            <w:vAlign w:val="center"/>
          </w:tcPr>
          <w:p w14:paraId="361D8636" w14:textId="77777777" w:rsidR="0076366E" w:rsidRPr="00DE0DFA" w:rsidRDefault="0076366E" w:rsidP="00A500F1">
            <w:pPr>
              <w:jc w:val="center"/>
              <w:rPr>
                <w:rFonts w:ascii="Calibri" w:hAnsi="Calibri"/>
                <w:szCs w:val="21"/>
              </w:rPr>
            </w:pPr>
            <w:r w:rsidRPr="00DE0DFA">
              <w:rPr>
                <w:rFonts w:ascii="Calibri" w:hAnsi="Calibri"/>
                <w:szCs w:val="21"/>
              </w:rPr>
              <w:t>D10%</w:t>
            </w:r>
            <w:r w:rsidRPr="00DE0DFA">
              <w:rPr>
                <w:rFonts w:ascii="Calibri" w:hAnsi="Calibri"/>
                <w:szCs w:val="21"/>
              </w:rPr>
              <w:t>最远距离</w:t>
            </w:r>
          </w:p>
        </w:tc>
        <w:tc>
          <w:tcPr>
            <w:tcW w:w="1355" w:type="dxa"/>
            <w:vAlign w:val="center"/>
          </w:tcPr>
          <w:p w14:paraId="25B29232" w14:textId="77777777" w:rsidR="0076366E" w:rsidRPr="00DE0DFA" w:rsidRDefault="0076366E" w:rsidP="00A500F1">
            <w:pPr>
              <w:jc w:val="center"/>
              <w:rPr>
                <w:rFonts w:ascii="Calibri" w:hAnsi="Calibri"/>
                <w:szCs w:val="21"/>
              </w:rPr>
            </w:pPr>
            <w:r w:rsidRPr="00DE0DFA">
              <w:rPr>
                <w:rFonts w:ascii="Calibri" w:hAnsi="Calibri"/>
                <w:szCs w:val="21"/>
              </w:rPr>
              <w:t>/</w:t>
            </w:r>
          </w:p>
        </w:tc>
        <w:tc>
          <w:tcPr>
            <w:tcW w:w="1081" w:type="dxa"/>
            <w:vAlign w:val="center"/>
          </w:tcPr>
          <w:p w14:paraId="4E9F5411" w14:textId="77777777" w:rsidR="0076366E" w:rsidRPr="00DE0DFA" w:rsidRDefault="0076366E" w:rsidP="00A500F1">
            <w:pPr>
              <w:jc w:val="center"/>
              <w:rPr>
                <w:rFonts w:ascii="Calibri" w:hAnsi="Calibri"/>
                <w:szCs w:val="21"/>
              </w:rPr>
            </w:pPr>
            <w:r w:rsidRPr="00DE0DFA">
              <w:rPr>
                <w:rFonts w:ascii="Calibri" w:hAnsi="Calibri"/>
                <w:szCs w:val="21"/>
              </w:rPr>
              <w:t>/</w:t>
            </w:r>
          </w:p>
        </w:tc>
        <w:tc>
          <w:tcPr>
            <w:tcW w:w="1355" w:type="dxa"/>
            <w:vAlign w:val="center"/>
          </w:tcPr>
          <w:p w14:paraId="5168EA17" w14:textId="77777777" w:rsidR="0076366E" w:rsidRPr="00DE0DFA" w:rsidRDefault="0076366E" w:rsidP="00A500F1">
            <w:pPr>
              <w:jc w:val="center"/>
              <w:rPr>
                <w:rFonts w:ascii="Calibri" w:hAnsi="Calibri"/>
                <w:szCs w:val="21"/>
              </w:rPr>
            </w:pPr>
            <w:r w:rsidRPr="00DE0DFA">
              <w:rPr>
                <w:rFonts w:ascii="Calibri" w:hAnsi="Calibri"/>
                <w:szCs w:val="21"/>
              </w:rPr>
              <w:t>/</w:t>
            </w:r>
          </w:p>
        </w:tc>
        <w:tc>
          <w:tcPr>
            <w:tcW w:w="1081" w:type="dxa"/>
            <w:vAlign w:val="center"/>
          </w:tcPr>
          <w:p w14:paraId="40E94CFF" w14:textId="77777777" w:rsidR="0076366E" w:rsidRPr="00DE0DFA" w:rsidRDefault="0076366E" w:rsidP="00A500F1">
            <w:pPr>
              <w:jc w:val="center"/>
              <w:rPr>
                <w:rFonts w:ascii="Calibri" w:hAnsi="Calibri"/>
                <w:szCs w:val="21"/>
              </w:rPr>
            </w:pPr>
            <w:r w:rsidRPr="00DE0DFA">
              <w:rPr>
                <w:rFonts w:ascii="Calibri" w:hAnsi="Calibri"/>
                <w:szCs w:val="21"/>
              </w:rPr>
              <w:t>/</w:t>
            </w:r>
          </w:p>
        </w:tc>
        <w:tc>
          <w:tcPr>
            <w:tcW w:w="1355" w:type="dxa"/>
            <w:vAlign w:val="center"/>
          </w:tcPr>
          <w:p w14:paraId="513BA7E8" w14:textId="77777777" w:rsidR="0076366E" w:rsidRPr="00DE0DFA" w:rsidRDefault="0076366E" w:rsidP="00A500F1">
            <w:pPr>
              <w:jc w:val="center"/>
              <w:rPr>
                <w:rFonts w:ascii="Calibri" w:hAnsi="Calibri"/>
                <w:szCs w:val="21"/>
              </w:rPr>
            </w:pPr>
            <w:r w:rsidRPr="00DE0DFA">
              <w:rPr>
                <w:rFonts w:ascii="Calibri" w:hAnsi="Calibri"/>
                <w:szCs w:val="21"/>
              </w:rPr>
              <w:t>/</w:t>
            </w:r>
          </w:p>
        </w:tc>
        <w:tc>
          <w:tcPr>
            <w:tcW w:w="1082" w:type="dxa"/>
            <w:vAlign w:val="center"/>
          </w:tcPr>
          <w:p w14:paraId="78A53DE1" w14:textId="77777777" w:rsidR="0076366E" w:rsidRPr="00DE0DFA" w:rsidRDefault="0076366E" w:rsidP="00A500F1">
            <w:pPr>
              <w:jc w:val="center"/>
              <w:rPr>
                <w:rFonts w:ascii="Calibri" w:hAnsi="Calibri"/>
                <w:szCs w:val="21"/>
              </w:rPr>
            </w:pPr>
            <w:r w:rsidRPr="00DE0DFA">
              <w:rPr>
                <w:rFonts w:ascii="Calibri" w:hAnsi="Calibri"/>
                <w:szCs w:val="21"/>
              </w:rPr>
              <w:t>/</w:t>
            </w:r>
          </w:p>
        </w:tc>
      </w:tr>
    </w:tbl>
    <w:p w14:paraId="2275CD9E" w14:textId="77777777" w:rsidR="00A500F1" w:rsidRPr="00DE0DFA" w:rsidRDefault="00A500F1" w:rsidP="00DE0DFA">
      <w:pPr>
        <w:jc w:val="center"/>
        <w:rPr>
          <w:rFonts w:ascii="Calibri" w:hAnsi="Calibri"/>
          <w:szCs w:val="21"/>
        </w:rPr>
      </w:pPr>
    </w:p>
    <w:p w14:paraId="1C5DE2DE" w14:textId="77777777" w:rsidR="00A500F1" w:rsidRDefault="00A500F1" w:rsidP="00DC06C8">
      <w:pPr>
        <w:spacing w:line="520" w:lineRule="exact"/>
        <w:ind w:firstLineChars="200" w:firstLine="480"/>
        <w:jc w:val="left"/>
        <w:rPr>
          <w:rFonts w:ascii="Calibri" w:hAnsi="Calibri"/>
          <w:color w:val="auto"/>
          <w:sz w:val="24"/>
        </w:rPr>
      </w:pPr>
    </w:p>
    <w:p w14:paraId="58D52887" w14:textId="77777777" w:rsidR="00A500F1" w:rsidRDefault="00A500F1" w:rsidP="00DC06C8">
      <w:pPr>
        <w:spacing w:line="520" w:lineRule="exact"/>
        <w:ind w:firstLineChars="200" w:firstLine="480"/>
        <w:jc w:val="left"/>
        <w:rPr>
          <w:rFonts w:ascii="Calibri" w:hAnsi="Calibri"/>
          <w:color w:val="auto"/>
          <w:sz w:val="24"/>
        </w:rPr>
      </w:pPr>
    </w:p>
    <w:p w14:paraId="0480A0A2" w14:textId="77777777" w:rsidR="00A500F1" w:rsidRDefault="00A500F1" w:rsidP="00DC06C8">
      <w:pPr>
        <w:spacing w:line="520" w:lineRule="exact"/>
        <w:ind w:firstLineChars="200" w:firstLine="480"/>
        <w:jc w:val="left"/>
        <w:rPr>
          <w:rFonts w:ascii="Calibri" w:hAnsi="Calibri"/>
          <w:color w:val="auto"/>
          <w:sz w:val="24"/>
        </w:rPr>
      </w:pPr>
    </w:p>
    <w:p w14:paraId="559F154E" w14:textId="77777777" w:rsidR="00A500F1" w:rsidRDefault="00A500F1" w:rsidP="00DC06C8">
      <w:pPr>
        <w:spacing w:line="520" w:lineRule="exact"/>
        <w:ind w:firstLineChars="200" w:firstLine="480"/>
        <w:jc w:val="left"/>
        <w:rPr>
          <w:rFonts w:ascii="Calibri" w:hAnsi="Calibri"/>
          <w:color w:val="auto"/>
          <w:sz w:val="24"/>
        </w:rPr>
      </w:pPr>
    </w:p>
    <w:p w14:paraId="530142DA" w14:textId="77777777" w:rsidR="00A500F1" w:rsidRDefault="00A500F1" w:rsidP="00DC06C8">
      <w:pPr>
        <w:spacing w:line="520" w:lineRule="exact"/>
        <w:ind w:firstLineChars="200" w:firstLine="480"/>
        <w:jc w:val="left"/>
        <w:rPr>
          <w:rFonts w:ascii="Calibri" w:hAnsi="Calibri"/>
          <w:color w:val="auto"/>
          <w:sz w:val="24"/>
        </w:rPr>
      </w:pPr>
    </w:p>
    <w:p w14:paraId="726E8626" w14:textId="77777777" w:rsidR="00A500F1" w:rsidRDefault="00A500F1" w:rsidP="00DC06C8">
      <w:pPr>
        <w:spacing w:line="520" w:lineRule="exact"/>
        <w:ind w:firstLineChars="200" w:firstLine="480"/>
        <w:jc w:val="left"/>
        <w:rPr>
          <w:rFonts w:ascii="Calibri" w:hAnsi="Calibri"/>
          <w:color w:val="auto"/>
          <w:sz w:val="24"/>
        </w:rPr>
      </w:pPr>
    </w:p>
    <w:p w14:paraId="151D61A9" w14:textId="77777777" w:rsidR="008948ED" w:rsidRPr="0076366E" w:rsidRDefault="00A500F1" w:rsidP="00DC06C8">
      <w:pPr>
        <w:spacing w:line="520" w:lineRule="exact"/>
        <w:ind w:firstLineChars="200" w:firstLine="480"/>
        <w:jc w:val="left"/>
        <w:rPr>
          <w:rFonts w:ascii="Calibri" w:hAnsi="Calibri"/>
          <w:color w:val="auto"/>
          <w:sz w:val="24"/>
        </w:rPr>
      </w:pPr>
      <w:r>
        <w:rPr>
          <w:rFonts w:ascii="Calibri" w:hAnsi="Calibri" w:hint="eastAsia"/>
          <w:color w:val="auto"/>
          <w:sz w:val="24"/>
        </w:rPr>
        <w:lastRenderedPageBreak/>
        <w:t>（</w:t>
      </w:r>
      <w:r w:rsidR="00160029">
        <w:rPr>
          <w:rFonts w:ascii="Calibri" w:hAnsi="Calibri"/>
          <w:color w:val="auto"/>
          <w:sz w:val="24"/>
        </w:rPr>
        <w:t>4</w:t>
      </w:r>
      <w:r>
        <w:rPr>
          <w:rFonts w:ascii="Calibri" w:hAnsi="Calibri" w:hint="eastAsia"/>
          <w:color w:val="auto"/>
          <w:sz w:val="24"/>
        </w:rPr>
        <w:t>）生产</w:t>
      </w:r>
      <w:r>
        <w:rPr>
          <w:rFonts w:ascii="Calibri" w:hAnsi="Calibri"/>
          <w:color w:val="auto"/>
          <w:sz w:val="24"/>
        </w:rPr>
        <w:t>车间</w:t>
      </w:r>
      <w:r>
        <w:rPr>
          <w:rFonts w:ascii="Calibri" w:hAnsi="Calibri" w:hint="eastAsia"/>
          <w:color w:val="auto"/>
          <w:sz w:val="24"/>
        </w:rPr>
        <w:t>有机</w:t>
      </w:r>
      <w:r>
        <w:rPr>
          <w:rFonts w:ascii="Calibri" w:hAnsi="Calibri"/>
          <w:color w:val="auto"/>
          <w:sz w:val="24"/>
        </w:rPr>
        <w:t>废气</w:t>
      </w:r>
    </w:p>
    <w:p w14:paraId="23383BA1" w14:textId="77777777" w:rsidR="00A500F1" w:rsidRDefault="00A500F1" w:rsidP="00A500F1">
      <w:pPr>
        <w:spacing w:line="520" w:lineRule="exact"/>
        <w:ind w:firstLineChars="350" w:firstLine="840"/>
        <w:jc w:val="left"/>
        <w:rPr>
          <w:rFonts w:ascii="Calibri" w:eastAsia="黑体" w:hAnsi="Calibri"/>
          <w:color w:val="auto"/>
          <w:sz w:val="24"/>
        </w:rPr>
      </w:pPr>
      <w:r w:rsidRPr="008948ED">
        <w:rPr>
          <w:rFonts w:ascii="Calibri" w:eastAsia="黑体" w:hAnsi="Calibri" w:hint="eastAsia"/>
          <w:color w:val="auto"/>
          <w:sz w:val="24"/>
        </w:rPr>
        <w:t>表</w:t>
      </w:r>
      <w:r>
        <w:rPr>
          <w:rFonts w:ascii="Calibri" w:eastAsia="黑体" w:hAnsi="Calibri" w:hint="eastAsia"/>
          <w:color w:val="auto"/>
          <w:sz w:val="24"/>
        </w:rPr>
        <w:t>4.2-1</w:t>
      </w:r>
      <w:r w:rsidR="00160029">
        <w:rPr>
          <w:rFonts w:ascii="Calibri" w:eastAsia="黑体" w:hAnsi="Calibri"/>
          <w:color w:val="auto"/>
          <w:sz w:val="24"/>
        </w:rPr>
        <w:t>5</w:t>
      </w:r>
      <w:r w:rsidRPr="008948ED">
        <w:rPr>
          <w:rFonts w:ascii="Calibri" w:eastAsia="黑体" w:hAnsi="Calibri" w:hint="eastAsia"/>
          <w:color w:val="auto"/>
          <w:sz w:val="24"/>
        </w:rPr>
        <w:t xml:space="preserve"> </w:t>
      </w:r>
      <w:r>
        <w:rPr>
          <w:rFonts w:ascii="Calibri" w:eastAsia="黑体" w:hAnsi="Calibri"/>
          <w:color w:val="auto"/>
        </w:rPr>
        <w:t xml:space="preserve">   </w:t>
      </w:r>
      <w:r w:rsidRPr="008948ED">
        <w:rPr>
          <w:rFonts w:ascii="Calibri" w:eastAsia="黑体" w:hAnsi="Calibri"/>
          <w:color w:val="auto"/>
          <w:sz w:val="24"/>
        </w:rPr>
        <w:t xml:space="preserve">   </w:t>
      </w:r>
      <w:r>
        <w:rPr>
          <w:rFonts w:ascii="Calibri" w:eastAsia="黑体" w:hAnsi="Calibri"/>
          <w:color w:val="auto"/>
          <w:sz w:val="24"/>
        </w:rPr>
        <w:t xml:space="preserve">    </w:t>
      </w:r>
      <w:r>
        <w:rPr>
          <w:rFonts w:ascii="Calibri" w:eastAsia="黑体" w:hAnsi="Calibri" w:hint="eastAsia"/>
          <w:color w:val="auto"/>
          <w:sz w:val="24"/>
        </w:rPr>
        <w:t>生产</w:t>
      </w:r>
      <w:r>
        <w:rPr>
          <w:rFonts w:ascii="Calibri" w:eastAsia="黑体" w:hAnsi="Calibri"/>
          <w:color w:val="auto"/>
          <w:sz w:val="24"/>
        </w:rPr>
        <w:t>车间面源</w:t>
      </w:r>
      <w:r>
        <w:rPr>
          <w:rFonts w:ascii="Calibri" w:eastAsia="黑体" w:hAnsi="Calibri" w:hint="eastAsia"/>
          <w:color w:val="auto"/>
          <w:sz w:val="24"/>
        </w:rPr>
        <w:t>无组织</w:t>
      </w:r>
      <w:r w:rsidRPr="008948ED">
        <w:rPr>
          <w:rFonts w:ascii="Calibri" w:eastAsia="黑体" w:hAnsi="Calibri" w:hint="eastAsia"/>
          <w:color w:val="auto"/>
          <w:sz w:val="24"/>
        </w:rPr>
        <w:t>排放预测结果</w:t>
      </w:r>
    </w:p>
    <w:tbl>
      <w:tblPr>
        <w:tblW w:w="85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18"/>
        <w:gridCol w:w="1355"/>
        <w:gridCol w:w="1081"/>
        <w:gridCol w:w="1355"/>
        <w:gridCol w:w="1081"/>
        <w:gridCol w:w="1355"/>
        <w:gridCol w:w="1082"/>
      </w:tblGrid>
      <w:tr w:rsidR="00AF13C4" w:rsidRPr="00160029" w14:paraId="754F50A6" w14:textId="77777777" w:rsidTr="005249C0">
        <w:trPr>
          <w:trHeight w:val="340"/>
        </w:trPr>
        <w:tc>
          <w:tcPr>
            <w:tcW w:w="1218" w:type="dxa"/>
            <w:vMerge w:val="restart"/>
            <w:vAlign w:val="center"/>
          </w:tcPr>
          <w:p w14:paraId="3F5461E9"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下风向距离</w:t>
            </w:r>
          </w:p>
        </w:tc>
        <w:tc>
          <w:tcPr>
            <w:tcW w:w="7309" w:type="dxa"/>
            <w:gridSpan w:val="6"/>
            <w:vAlign w:val="center"/>
          </w:tcPr>
          <w:p w14:paraId="233CF9FE"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生产车间</w:t>
            </w:r>
          </w:p>
        </w:tc>
      </w:tr>
      <w:tr w:rsidR="00AF13C4" w:rsidRPr="00160029" w14:paraId="2D5DA91D" w14:textId="77777777" w:rsidTr="005249C0">
        <w:trPr>
          <w:trHeight w:val="340"/>
        </w:trPr>
        <w:tc>
          <w:tcPr>
            <w:tcW w:w="1218" w:type="dxa"/>
            <w:vMerge/>
            <w:vAlign w:val="center"/>
          </w:tcPr>
          <w:p w14:paraId="7ED5E62A" w14:textId="77777777" w:rsidR="003805F3" w:rsidRPr="00160029" w:rsidRDefault="003805F3" w:rsidP="003805F3">
            <w:pPr>
              <w:jc w:val="center"/>
              <w:rPr>
                <w:rFonts w:asciiTheme="minorHAnsi" w:hAnsiTheme="minorHAnsi"/>
                <w:szCs w:val="21"/>
              </w:rPr>
            </w:pPr>
          </w:p>
        </w:tc>
        <w:tc>
          <w:tcPr>
            <w:tcW w:w="1355" w:type="dxa"/>
            <w:vAlign w:val="center"/>
          </w:tcPr>
          <w:p w14:paraId="6EEBCED1"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NMHC</w:t>
            </w:r>
            <w:r w:rsidRPr="00160029">
              <w:rPr>
                <w:rFonts w:asciiTheme="minorHAnsi" w:hAnsiTheme="minorHAnsi"/>
                <w:szCs w:val="21"/>
              </w:rPr>
              <w:t>浓度（</w:t>
            </w:r>
            <w:r w:rsidRPr="00160029">
              <w:rPr>
                <w:rFonts w:asciiTheme="minorHAnsi" w:hAnsiTheme="minorHAnsi"/>
                <w:szCs w:val="21"/>
              </w:rPr>
              <w:t>μg/m³</w:t>
            </w:r>
            <w:r w:rsidRPr="00160029">
              <w:rPr>
                <w:rFonts w:asciiTheme="minorHAnsi" w:hAnsiTheme="minorHAnsi"/>
                <w:szCs w:val="21"/>
              </w:rPr>
              <w:t>）</w:t>
            </w:r>
          </w:p>
        </w:tc>
        <w:tc>
          <w:tcPr>
            <w:tcW w:w="1081" w:type="dxa"/>
            <w:vAlign w:val="center"/>
          </w:tcPr>
          <w:p w14:paraId="676A27FA"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NMHC</w:t>
            </w:r>
            <w:r w:rsidRPr="00160029">
              <w:rPr>
                <w:rFonts w:asciiTheme="minorHAnsi" w:hAnsiTheme="minorHAnsi"/>
                <w:szCs w:val="21"/>
              </w:rPr>
              <w:t>占标率（</w:t>
            </w:r>
            <w:r w:rsidRPr="00160029">
              <w:rPr>
                <w:rFonts w:asciiTheme="minorHAnsi" w:hAnsiTheme="minorHAnsi"/>
                <w:szCs w:val="21"/>
              </w:rPr>
              <w:t>%</w:t>
            </w:r>
            <w:r w:rsidRPr="00160029">
              <w:rPr>
                <w:rFonts w:asciiTheme="minorHAnsi" w:hAnsiTheme="minorHAnsi"/>
                <w:szCs w:val="21"/>
              </w:rPr>
              <w:t>）</w:t>
            </w:r>
          </w:p>
        </w:tc>
        <w:tc>
          <w:tcPr>
            <w:tcW w:w="1355" w:type="dxa"/>
            <w:vAlign w:val="center"/>
          </w:tcPr>
          <w:p w14:paraId="6E8C8BFE"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PM</w:t>
            </w:r>
            <w:r w:rsidRPr="00160029">
              <w:rPr>
                <w:rFonts w:asciiTheme="minorHAnsi" w:hAnsiTheme="minorHAnsi"/>
                <w:szCs w:val="21"/>
                <w:vertAlign w:val="subscript"/>
              </w:rPr>
              <w:t>10</w:t>
            </w:r>
            <w:r w:rsidRPr="00160029">
              <w:rPr>
                <w:rFonts w:asciiTheme="minorHAnsi" w:hAnsiTheme="minorHAnsi"/>
                <w:szCs w:val="21"/>
              </w:rPr>
              <w:t>浓度（</w:t>
            </w:r>
            <w:r w:rsidRPr="00160029">
              <w:rPr>
                <w:rFonts w:asciiTheme="minorHAnsi" w:hAnsiTheme="minorHAnsi"/>
                <w:szCs w:val="21"/>
              </w:rPr>
              <w:t>μg/m³</w:t>
            </w:r>
            <w:r w:rsidRPr="00160029">
              <w:rPr>
                <w:rFonts w:asciiTheme="minorHAnsi" w:hAnsiTheme="minorHAnsi"/>
                <w:szCs w:val="21"/>
              </w:rPr>
              <w:t>）</w:t>
            </w:r>
          </w:p>
        </w:tc>
        <w:tc>
          <w:tcPr>
            <w:tcW w:w="1081" w:type="dxa"/>
            <w:vAlign w:val="center"/>
          </w:tcPr>
          <w:p w14:paraId="20E377E0"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PM</w:t>
            </w:r>
            <w:r w:rsidRPr="00160029">
              <w:rPr>
                <w:rFonts w:asciiTheme="minorHAnsi" w:hAnsiTheme="minorHAnsi"/>
                <w:szCs w:val="21"/>
                <w:vertAlign w:val="subscript"/>
              </w:rPr>
              <w:t>10</w:t>
            </w:r>
            <w:r w:rsidRPr="00160029">
              <w:rPr>
                <w:rFonts w:asciiTheme="minorHAnsi" w:hAnsiTheme="minorHAnsi"/>
                <w:szCs w:val="21"/>
              </w:rPr>
              <w:t>占标率（</w:t>
            </w:r>
            <w:r w:rsidRPr="00160029">
              <w:rPr>
                <w:rFonts w:asciiTheme="minorHAnsi" w:hAnsiTheme="minorHAnsi"/>
                <w:szCs w:val="21"/>
              </w:rPr>
              <w:t>%</w:t>
            </w:r>
            <w:r w:rsidRPr="00160029">
              <w:rPr>
                <w:rFonts w:asciiTheme="minorHAnsi" w:hAnsiTheme="minorHAnsi"/>
                <w:szCs w:val="21"/>
              </w:rPr>
              <w:t>）</w:t>
            </w:r>
          </w:p>
        </w:tc>
        <w:tc>
          <w:tcPr>
            <w:tcW w:w="1355" w:type="dxa"/>
            <w:vAlign w:val="center"/>
          </w:tcPr>
          <w:p w14:paraId="517A95BB"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PM</w:t>
            </w:r>
            <w:r w:rsidRPr="00160029">
              <w:rPr>
                <w:rFonts w:asciiTheme="minorHAnsi" w:hAnsiTheme="minorHAnsi"/>
                <w:szCs w:val="21"/>
                <w:vertAlign w:val="subscript"/>
              </w:rPr>
              <w:t>2.5</w:t>
            </w:r>
            <w:r w:rsidRPr="00160029">
              <w:rPr>
                <w:rFonts w:asciiTheme="minorHAnsi" w:hAnsiTheme="minorHAnsi"/>
                <w:szCs w:val="21"/>
              </w:rPr>
              <w:t>浓度（</w:t>
            </w:r>
            <w:r w:rsidRPr="00160029">
              <w:rPr>
                <w:rFonts w:asciiTheme="minorHAnsi" w:hAnsiTheme="minorHAnsi"/>
                <w:szCs w:val="21"/>
              </w:rPr>
              <w:t>μg/m³</w:t>
            </w:r>
            <w:r w:rsidRPr="00160029">
              <w:rPr>
                <w:rFonts w:asciiTheme="minorHAnsi" w:hAnsiTheme="minorHAnsi"/>
                <w:szCs w:val="21"/>
              </w:rPr>
              <w:t>）</w:t>
            </w:r>
          </w:p>
        </w:tc>
        <w:tc>
          <w:tcPr>
            <w:tcW w:w="1082" w:type="dxa"/>
            <w:vAlign w:val="center"/>
          </w:tcPr>
          <w:p w14:paraId="66CEFA1A"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PM</w:t>
            </w:r>
            <w:r w:rsidRPr="00160029">
              <w:rPr>
                <w:rFonts w:asciiTheme="minorHAnsi" w:hAnsiTheme="minorHAnsi"/>
                <w:szCs w:val="21"/>
                <w:vertAlign w:val="subscript"/>
              </w:rPr>
              <w:t>2.5</w:t>
            </w:r>
            <w:r w:rsidRPr="00160029">
              <w:rPr>
                <w:rFonts w:asciiTheme="minorHAnsi" w:hAnsiTheme="minorHAnsi"/>
                <w:szCs w:val="21"/>
              </w:rPr>
              <w:t>占标率（</w:t>
            </w:r>
            <w:r w:rsidRPr="00160029">
              <w:rPr>
                <w:rFonts w:asciiTheme="minorHAnsi" w:hAnsiTheme="minorHAnsi"/>
                <w:szCs w:val="21"/>
              </w:rPr>
              <w:t>%</w:t>
            </w:r>
            <w:r w:rsidRPr="00160029">
              <w:rPr>
                <w:rFonts w:asciiTheme="minorHAnsi" w:hAnsiTheme="minorHAnsi"/>
                <w:szCs w:val="21"/>
              </w:rPr>
              <w:t>）</w:t>
            </w:r>
          </w:p>
        </w:tc>
      </w:tr>
      <w:tr w:rsidR="00160029" w:rsidRPr="00160029" w14:paraId="4DA571F3" w14:textId="77777777" w:rsidTr="005249C0">
        <w:trPr>
          <w:trHeight w:val="340"/>
        </w:trPr>
        <w:tc>
          <w:tcPr>
            <w:tcW w:w="1218" w:type="dxa"/>
            <w:vAlign w:val="center"/>
          </w:tcPr>
          <w:p w14:paraId="7D2D861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1.0</w:t>
            </w:r>
          </w:p>
        </w:tc>
        <w:tc>
          <w:tcPr>
            <w:tcW w:w="1355" w:type="dxa"/>
            <w:vAlign w:val="center"/>
          </w:tcPr>
          <w:p w14:paraId="567D0D6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3.7480</w:t>
            </w:r>
          </w:p>
        </w:tc>
        <w:tc>
          <w:tcPr>
            <w:tcW w:w="1081" w:type="dxa"/>
            <w:vAlign w:val="center"/>
          </w:tcPr>
          <w:p w14:paraId="1678BA95"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0.1874</w:t>
            </w:r>
          </w:p>
        </w:tc>
        <w:tc>
          <w:tcPr>
            <w:tcW w:w="1355" w:type="dxa"/>
            <w:vAlign w:val="center"/>
          </w:tcPr>
          <w:p w14:paraId="309AB182"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0.0164</w:t>
            </w:r>
          </w:p>
        </w:tc>
        <w:tc>
          <w:tcPr>
            <w:tcW w:w="1081" w:type="dxa"/>
            <w:vAlign w:val="center"/>
          </w:tcPr>
          <w:p w14:paraId="399897B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0.0036</w:t>
            </w:r>
          </w:p>
        </w:tc>
        <w:tc>
          <w:tcPr>
            <w:tcW w:w="1355" w:type="dxa"/>
            <w:vAlign w:val="center"/>
          </w:tcPr>
          <w:p w14:paraId="2E0189B2"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0.0049</w:t>
            </w:r>
          </w:p>
        </w:tc>
        <w:tc>
          <w:tcPr>
            <w:tcW w:w="1082" w:type="dxa"/>
            <w:vAlign w:val="center"/>
          </w:tcPr>
          <w:p w14:paraId="0C0C445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0.0022</w:t>
            </w:r>
          </w:p>
        </w:tc>
      </w:tr>
      <w:tr w:rsidR="00160029" w:rsidRPr="00160029" w14:paraId="711886EA" w14:textId="77777777" w:rsidTr="005249C0">
        <w:trPr>
          <w:trHeight w:val="340"/>
        </w:trPr>
        <w:tc>
          <w:tcPr>
            <w:tcW w:w="1218" w:type="dxa"/>
            <w:vAlign w:val="center"/>
          </w:tcPr>
          <w:p w14:paraId="5F115CA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25.0</w:t>
            </w:r>
          </w:p>
        </w:tc>
        <w:tc>
          <w:tcPr>
            <w:tcW w:w="1355" w:type="dxa"/>
            <w:vAlign w:val="center"/>
          </w:tcPr>
          <w:p w14:paraId="381C69A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5.5044</w:t>
            </w:r>
          </w:p>
        </w:tc>
        <w:tc>
          <w:tcPr>
            <w:tcW w:w="1081" w:type="dxa"/>
            <w:vAlign w:val="center"/>
          </w:tcPr>
          <w:p w14:paraId="350E169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0.2752</w:t>
            </w:r>
          </w:p>
        </w:tc>
        <w:tc>
          <w:tcPr>
            <w:tcW w:w="1355" w:type="dxa"/>
            <w:vAlign w:val="center"/>
          </w:tcPr>
          <w:p w14:paraId="78858069"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0.0241</w:t>
            </w:r>
          </w:p>
        </w:tc>
        <w:tc>
          <w:tcPr>
            <w:tcW w:w="1081" w:type="dxa"/>
            <w:vAlign w:val="center"/>
          </w:tcPr>
          <w:p w14:paraId="349C2904"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0.0053</w:t>
            </w:r>
          </w:p>
        </w:tc>
        <w:tc>
          <w:tcPr>
            <w:tcW w:w="1355" w:type="dxa"/>
            <w:vAlign w:val="center"/>
          </w:tcPr>
          <w:p w14:paraId="65DE557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0.0072</w:t>
            </w:r>
          </w:p>
        </w:tc>
        <w:tc>
          <w:tcPr>
            <w:tcW w:w="1082" w:type="dxa"/>
            <w:vAlign w:val="center"/>
          </w:tcPr>
          <w:p w14:paraId="1D80CBD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0.0032</w:t>
            </w:r>
          </w:p>
        </w:tc>
      </w:tr>
      <w:tr w:rsidR="00160029" w:rsidRPr="00160029" w14:paraId="6FB0779F" w14:textId="77777777" w:rsidTr="005249C0">
        <w:trPr>
          <w:trHeight w:val="340"/>
        </w:trPr>
        <w:tc>
          <w:tcPr>
            <w:tcW w:w="1218" w:type="dxa"/>
            <w:vAlign w:val="center"/>
          </w:tcPr>
          <w:p w14:paraId="54FCA55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50.0</w:t>
            </w:r>
          </w:p>
        </w:tc>
        <w:tc>
          <w:tcPr>
            <w:tcW w:w="1355" w:type="dxa"/>
            <w:vAlign w:val="center"/>
          </w:tcPr>
          <w:p w14:paraId="7B60990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8.3228</w:t>
            </w:r>
          </w:p>
        </w:tc>
        <w:tc>
          <w:tcPr>
            <w:tcW w:w="1081" w:type="dxa"/>
            <w:vAlign w:val="center"/>
          </w:tcPr>
          <w:p w14:paraId="43DC97B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0.4161</w:t>
            </w:r>
          </w:p>
        </w:tc>
        <w:tc>
          <w:tcPr>
            <w:tcW w:w="1355" w:type="dxa"/>
            <w:vAlign w:val="center"/>
          </w:tcPr>
          <w:p w14:paraId="00B5E5A3"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0.0364</w:t>
            </w:r>
          </w:p>
        </w:tc>
        <w:tc>
          <w:tcPr>
            <w:tcW w:w="1081" w:type="dxa"/>
            <w:vAlign w:val="center"/>
          </w:tcPr>
          <w:p w14:paraId="5D3745A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0.0081</w:t>
            </w:r>
          </w:p>
        </w:tc>
        <w:tc>
          <w:tcPr>
            <w:tcW w:w="1355" w:type="dxa"/>
            <w:vAlign w:val="center"/>
          </w:tcPr>
          <w:p w14:paraId="2C76F9C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0.0109</w:t>
            </w:r>
          </w:p>
        </w:tc>
        <w:tc>
          <w:tcPr>
            <w:tcW w:w="1082" w:type="dxa"/>
            <w:vAlign w:val="center"/>
          </w:tcPr>
          <w:p w14:paraId="6B59D0E9"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0.0048</w:t>
            </w:r>
          </w:p>
        </w:tc>
      </w:tr>
      <w:tr w:rsidR="00160029" w:rsidRPr="00160029" w14:paraId="739A45BE" w14:textId="77777777" w:rsidTr="005249C0">
        <w:trPr>
          <w:trHeight w:val="340"/>
        </w:trPr>
        <w:tc>
          <w:tcPr>
            <w:tcW w:w="1218" w:type="dxa"/>
            <w:vAlign w:val="center"/>
          </w:tcPr>
          <w:p w14:paraId="5FEA0E1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75.0</w:t>
            </w:r>
          </w:p>
        </w:tc>
        <w:tc>
          <w:tcPr>
            <w:tcW w:w="1355" w:type="dxa"/>
            <w:vAlign w:val="center"/>
          </w:tcPr>
          <w:p w14:paraId="312A6D0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10.8420</w:t>
            </w:r>
          </w:p>
        </w:tc>
        <w:tc>
          <w:tcPr>
            <w:tcW w:w="1081" w:type="dxa"/>
            <w:vAlign w:val="center"/>
          </w:tcPr>
          <w:p w14:paraId="43A590F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0.5421</w:t>
            </w:r>
          </w:p>
        </w:tc>
        <w:tc>
          <w:tcPr>
            <w:tcW w:w="1355" w:type="dxa"/>
            <w:vAlign w:val="center"/>
          </w:tcPr>
          <w:p w14:paraId="41B825E2"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0.0474</w:t>
            </w:r>
          </w:p>
        </w:tc>
        <w:tc>
          <w:tcPr>
            <w:tcW w:w="1081" w:type="dxa"/>
            <w:vAlign w:val="center"/>
          </w:tcPr>
          <w:p w14:paraId="50921F2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0.0105</w:t>
            </w:r>
          </w:p>
        </w:tc>
        <w:tc>
          <w:tcPr>
            <w:tcW w:w="1355" w:type="dxa"/>
            <w:vAlign w:val="center"/>
          </w:tcPr>
          <w:p w14:paraId="10C0E82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0.0142</w:t>
            </w:r>
          </w:p>
        </w:tc>
        <w:tc>
          <w:tcPr>
            <w:tcW w:w="1082" w:type="dxa"/>
            <w:vAlign w:val="center"/>
          </w:tcPr>
          <w:p w14:paraId="53976F6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0.0063</w:t>
            </w:r>
          </w:p>
        </w:tc>
      </w:tr>
      <w:tr w:rsidR="00160029" w:rsidRPr="00160029" w14:paraId="4966EC27" w14:textId="77777777" w:rsidTr="005249C0">
        <w:trPr>
          <w:trHeight w:val="340"/>
        </w:trPr>
        <w:tc>
          <w:tcPr>
            <w:tcW w:w="1218" w:type="dxa"/>
            <w:vAlign w:val="center"/>
          </w:tcPr>
          <w:p w14:paraId="00727D1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100.0</w:t>
            </w:r>
          </w:p>
        </w:tc>
        <w:tc>
          <w:tcPr>
            <w:tcW w:w="1355" w:type="dxa"/>
            <w:vAlign w:val="center"/>
          </w:tcPr>
          <w:p w14:paraId="43369B6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12.5450</w:t>
            </w:r>
          </w:p>
        </w:tc>
        <w:tc>
          <w:tcPr>
            <w:tcW w:w="1081" w:type="dxa"/>
            <w:vAlign w:val="center"/>
          </w:tcPr>
          <w:p w14:paraId="20F3838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0.6273</w:t>
            </w:r>
          </w:p>
        </w:tc>
        <w:tc>
          <w:tcPr>
            <w:tcW w:w="1355" w:type="dxa"/>
            <w:vAlign w:val="center"/>
          </w:tcPr>
          <w:p w14:paraId="390A76B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0.0548</w:t>
            </w:r>
          </w:p>
        </w:tc>
        <w:tc>
          <w:tcPr>
            <w:tcW w:w="1081" w:type="dxa"/>
            <w:vAlign w:val="center"/>
          </w:tcPr>
          <w:p w14:paraId="617910B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0.0122</w:t>
            </w:r>
          </w:p>
        </w:tc>
        <w:tc>
          <w:tcPr>
            <w:tcW w:w="1355" w:type="dxa"/>
            <w:vAlign w:val="center"/>
          </w:tcPr>
          <w:p w14:paraId="7C82115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0.0164</w:t>
            </w:r>
          </w:p>
        </w:tc>
        <w:tc>
          <w:tcPr>
            <w:tcW w:w="1082" w:type="dxa"/>
            <w:vAlign w:val="center"/>
          </w:tcPr>
          <w:p w14:paraId="24E03BE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0.0073</w:t>
            </w:r>
          </w:p>
        </w:tc>
      </w:tr>
      <w:tr w:rsidR="00160029" w:rsidRPr="00160029" w14:paraId="7C0835DF" w14:textId="77777777" w:rsidTr="005249C0">
        <w:trPr>
          <w:trHeight w:val="340"/>
        </w:trPr>
        <w:tc>
          <w:tcPr>
            <w:tcW w:w="1218" w:type="dxa"/>
            <w:vAlign w:val="center"/>
          </w:tcPr>
          <w:p w14:paraId="0C7E68D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130.0</w:t>
            </w:r>
          </w:p>
        </w:tc>
        <w:tc>
          <w:tcPr>
            <w:tcW w:w="1355" w:type="dxa"/>
            <w:vAlign w:val="center"/>
          </w:tcPr>
          <w:p w14:paraId="6888BD52"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13.1260</w:t>
            </w:r>
          </w:p>
        </w:tc>
        <w:tc>
          <w:tcPr>
            <w:tcW w:w="1081" w:type="dxa"/>
            <w:vAlign w:val="center"/>
          </w:tcPr>
          <w:p w14:paraId="60D3DBF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0.6563</w:t>
            </w:r>
          </w:p>
        </w:tc>
        <w:tc>
          <w:tcPr>
            <w:tcW w:w="1355" w:type="dxa"/>
            <w:vAlign w:val="center"/>
          </w:tcPr>
          <w:p w14:paraId="3AAB53A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0.0574</w:t>
            </w:r>
          </w:p>
        </w:tc>
        <w:tc>
          <w:tcPr>
            <w:tcW w:w="1081" w:type="dxa"/>
            <w:vAlign w:val="center"/>
          </w:tcPr>
          <w:p w14:paraId="59B4DFD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0.0127</w:t>
            </w:r>
          </w:p>
        </w:tc>
        <w:tc>
          <w:tcPr>
            <w:tcW w:w="1355" w:type="dxa"/>
            <w:vAlign w:val="center"/>
          </w:tcPr>
          <w:p w14:paraId="0AFD3C5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0.0172</w:t>
            </w:r>
          </w:p>
        </w:tc>
        <w:tc>
          <w:tcPr>
            <w:tcW w:w="1082" w:type="dxa"/>
            <w:vAlign w:val="center"/>
          </w:tcPr>
          <w:p w14:paraId="2FFF9BC9"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0.0076</w:t>
            </w:r>
          </w:p>
        </w:tc>
      </w:tr>
      <w:tr w:rsidR="00160029" w:rsidRPr="00160029" w14:paraId="2A6FA69E" w14:textId="77777777" w:rsidTr="005249C0">
        <w:trPr>
          <w:trHeight w:val="340"/>
        </w:trPr>
        <w:tc>
          <w:tcPr>
            <w:tcW w:w="1218" w:type="dxa"/>
            <w:vAlign w:val="center"/>
          </w:tcPr>
          <w:p w14:paraId="6207B3A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200.0</w:t>
            </w:r>
          </w:p>
        </w:tc>
        <w:tc>
          <w:tcPr>
            <w:tcW w:w="1355" w:type="dxa"/>
            <w:vAlign w:val="center"/>
          </w:tcPr>
          <w:p w14:paraId="5C831EFF"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12.4230</w:t>
            </w:r>
          </w:p>
        </w:tc>
        <w:tc>
          <w:tcPr>
            <w:tcW w:w="1081" w:type="dxa"/>
            <w:vAlign w:val="center"/>
          </w:tcPr>
          <w:p w14:paraId="2D4911F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0.6211</w:t>
            </w:r>
          </w:p>
        </w:tc>
        <w:tc>
          <w:tcPr>
            <w:tcW w:w="1355" w:type="dxa"/>
            <w:vAlign w:val="center"/>
          </w:tcPr>
          <w:p w14:paraId="6743688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0.0543</w:t>
            </w:r>
          </w:p>
        </w:tc>
        <w:tc>
          <w:tcPr>
            <w:tcW w:w="1081" w:type="dxa"/>
            <w:vAlign w:val="center"/>
          </w:tcPr>
          <w:p w14:paraId="200DF28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0.0121</w:t>
            </w:r>
          </w:p>
        </w:tc>
        <w:tc>
          <w:tcPr>
            <w:tcW w:w="1355" w:type="dxa"/>
            <w:vAlign w:val="center"/>
          </w:tcPr>
          <w:p w14:paraId="521E566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0.0163</w:t>
            </w:r>
          </w:p>
        </w:tc>
        <w:tc>
          <w:tcPr>
            <w:tcW w:w="1082" w:type="dxa"/>
            <w:vAlign w:val="center"/>
          </w:tcPr>
          <w:p w14:paraId="70E55EB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0.0072</w:t>
            </w:r>
          </w:p>
        </w:tc>
      </w:tr>
      <w:tr w:rsidR="00160029" w:rsidRPr="00160029" w14:paraId="140AD6DF" w14:textId="77777777" w:rsidTr="005249C0">
        <w:trPr>
          <w:trHeight w:val="340"/>
        </w:trPr>
        <w:tc>
          <w:tcPr>
            <w:tcW w:w="1218" w:type="dxa"/>
            <w:vAlign w:val="center"/>
          </w:tcPr>
          <w:p w14:paraId="1857B2E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300.0</w:t>
            </w:r>
          </w:p>
        </w:tc>
        <w:tc>
          <w:tcPr>
            <w:tcW w:w="1355" w:type="dxa"/>
            <w:vAlign w:val="center"/>
          </w:tcPr>
          <w:p w14:paraId="7777D20F"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10.0320</w:t>
            </w:r>
          </w:p>
        </w:tc>
        <w:tc>
          <w:tcPr>
            <w:tcW w:w="1081" w:type="dxa"/>
            <w:vAlign w:val="center"/>
          </w:tcPr>
          <w:p w14:paraId="4AC290D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0.5016</w:t>
            </w:r>
          </w:p>
        </w:tc>
        <w:tc>
          <w:tcPr>
            <w:tcW w:w="1355" w:type="dxa"/>
            <w:vAlign w:val="center"/>
          </w:tcPr>
          <w:p w14:paraId="253B910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0.0438</w:t>
            </w:r>
          </w:p>
        </w:tc>
        <w:tc>
          <w:tcPr>
            <w:tcW w:w="1081" w:type="dxa"/>
            <w:vAlign w:val="center"/>
          </w:tcPr>
          <w:p w14:paraId="7936815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0.0097</w:t>
            </w:r>
          </w:p>
        </w:tc>
        <w:tc>
          <w:tcPr>
            <w:tcW w:w="1355" w:type="dxa"/>
            <w:vAlign w:val="center"/>
          </w:tcPr>
          <w:p w14:paraId="3B0DE13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0.0132</w:t>
            </w:r>
          </w:p>
        </w:tc>
        <w:tc>
          <w:tcPr>
            <w:tcW w:w="1082" w:type="dxa"/>
            <w:vAlign w:val="center"/>
          </w:tcPr>
          <w:p w14:paraId="1E85F4B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0.0058</w:t>
            </w:r>
          </w:p>
        </w:tc>
      </w:tr>
      <w:tr w:rsidR="00160029" w:rsidRPr="00160029" w14:paraId="4CE8B78D" w14:textId="77777777" w:rsidTr="005249C0">
        <w:trPr>
          <w:trHeight w:val="340"/>
        </w:trPr>
        <w:tc>
          <w:tcPr>
            <w:tcW w:w="1218" w:type="dxa"/>
            <w:vAlign w:val="center"/>
          </w:tcPr>
          <w:p w14:paraId="7EE1E52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400.0</w:t>
            </w:r>
          </w:p>
        </w:tc>
        <w:tc>
          <w:tcPr>
            <w:tcW w:w="1355" w:type="dxa"/>
            <w:vAlign w:val="center"/>
          </w:tcPr>
          <w:p w14:paraId="3B21EA15"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8.4111</w:t>
            </w:r>
          </w:p>
        </w:tc>
        <w:tc>
          <w:tcPr>
            <w:tcW w:w="1081" w:type="dxa"/>
            <w:vAlign w:val="center"/>
          </w:tcPr>
          <w:p w14:paraId="1F1DEF7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0.4206</w:t>
            </w:r>
          </w:p>
        </w:tc>
        <w:tc>
          <w:tcPr>
            <w:tcW w:w="1355" w:type="dxa"/>
            <w:vAlign w:val="center"/>
          </w:tcPr>
          <w:p w14:paraId="5A79494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0.0368</w:t>
            </w:r>
          </w:p>
        </w:tc>
        <w:tc>
          <w:tcPr>
            <w:tcW w:w="1081" w:type="dxa"/>
            <w:vAlign w:val="center"/>
          </w:tcPr>
          <w:p w14:paraId="79FE0655"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0.0082</w:t>
            </w:r>
          </w:p>
        </w:tc>
        <w:tc>
          <w:tcPr>
            <w:tcW w:w="1355" w:type="dxa"/>
            <w:vAlign w:val="center"/>
          </w:tcPr>
          <w:p w14:paraId="2145D24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0.0110</w:t>
            </w:r>
          </w:p>
        </w:tc>
        <w:tc>
          <w:tcPr>
            <w:tcW w:w="1082" w:type="dxa"/>
            <w:vAlign w:val="center"/>
          </w:tcPr>
          <w:p w14:paraId="0EA0E11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0.0049</w:t>
            </w:r>
          </w:p>
        </w:tc>
      </w:tr>
      <w:tr w:rsidR="00160029" w:rsidRPr="00160029" w14:paraId="36D01150" w14:textId="77777777" w:rsidTr="005249C0">
        <w:trPr>
          <w:trHeight w:val="340"/>
        </w:trPr>
        <w:tc>
          <w:tcPr>
            <w:tcW w:w="1218" w:type="dxa"/>
            <w:vAlign w:val="center"/>
          </w:tcPr>
          <w:p w14:paraId="16D687E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500.0</w:t>
            </w:r>
          </w:p>
        </w:tc>
        <w:tc>
          <w:tcPr>
            <w:tcW w:w="1355" w:type="dxa"/>
            <w:vAlign w:val="center"/>
          </w:tcPr>
          <w:p w14:paraId="3F2836B5"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7.2859</w:t>
            </w:r>
          </w:p>
        </w:tc>
        <w:tc>
          <w:tcPr>
            <w:tcW w:w="1081" w:type="dxa"/>
            <w:vAlign w:val="center"/>
          </w:tcPr>
          <w:p w14:paraId="04C7816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0.3643</w:t>
            </w:r>
          </w:p>
        </w:tc>
        <w:tc>
          <w:tcPr>
            <w:tcW w:w="1355" w:type="dxa"/>
            <w:vAlign w:val="center"/>
          </w:tcPr>
          <w:p w14:paraId="74BC9A2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0.0318</w:t>
            </w:r>
          </w:p>
        </w:tc>
        <w:tc>
          <w:tcPr>
            <w:tcW w:w="1081" w:type="dxa"/>
            <w:vAlign w:val="center"/>
          </w:tcPr>
          <w:p w14:paraId="02735B9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0.0071</w:t>
            </w:r>
          </w:p>
        </w:tc>
        <w:tc>
          <w:tcPr>
            <w:tcW w:w="1355" w:type="dxa"/>
            <w:vAlign w:val="center"/>
          </w:tcPr>
          <w:p w14:paraId="1E8D35A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0.0096</w:t>
            </w:r>
          </w:p>
        </w:tc>
        <w:tc>
          <w:tcPr>
            <w:tcW w:w="1082" w:type="dxa"/>
            <w:vAlign w:val="center"/>
          </w:tcPr>
          <w:p w14:paraId="2A4F1472"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0.0042</w:t>
            </w:r>
          </w:p>
        </w:tc>
      </w:tr>
      <w:tr w:rsidR="00160029" w:rsidRPr="00160029" w14:paraId="2D110D42" w14:textId="77777777" w:rsidTr="005249C0">
        <w:trPr>
          <w:trHeight w:val="340"/>
        </w:trPr>
        <w:tc>
          <w:tcPr>
            <w:tcW w:w="1218" w:type="dxa"/>
            <w:vAlign w:val="center"/>
          </w:tcPr>
          <w:p w14:paraId="6734F0D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600.0</w:t>
            </w:r>
          </w:p>
        </w:tc>
        <w:tc>
          <w:tcPr>
            <w:tcW w:w="1355" w:type="dxa"/>
            <w:vAlign w:val="center"/>
          </w:tcPr>
          <w:p w14:paraId="7509677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6.7016</w:t>
            </w:r>
          </w:p>
        </w:tc>
        <w:tc>
          <w:tcPr>
            <w:tcW w:w="1081" w:type="dxa"/>
            <w:vAlign w:val="center"/>
          </w:tcPr>
          <w:p w14:paraId="04D21805"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0.3351</w:t>
            </w:r>
          </w:p>
        </w:tc>
        <w:tc>
          <w:tcPr>
            <w:tcW w:w="1355" w:type="dxa"/>
            <w:vAlign w:val="center"/>
          </w:tcPr>
          <w:p w14:paraId="0AF033B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0.0293</w:t>
            </w:r>
          </w:p>
        </w:tc>
        <w:tc>
          <w:tcPr>
            <w:tcW w:w="1081" w:type="dxa"/>
            <w:vAlign w:val="center"/>
          </w:tcPr>
          <w:p w14:paraId="3BFB9F6F"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0.0065</w:t>
            </w:r>
          </w:p>
        </w:tc>
        <w:tc>
          <w:tcPr>
            <w:tcW w:w="1355" w:type="dxa"/>
            <w:vAlign w:val="center"/>
          </w:tcPr>
          <w:p w14:paraId="3F203D84"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0.0088</w:t>
            </w:r>
          </w:p>
        </w:tc>
        <w:tc>
          <w:tcPr>
            <w:tcW w:w="1082" w:type="dxa"/>
            <w:vAlign w:val="center"/>
          </w:tcPr>
          <w:p w14:paraId="52E4C2C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0.0039</w:t>
            </w:r>
          </w:p>
        </w:tc>
      </w:tr>
      <w:tr w:rsidR="00160029" w:rsidRPr="00160029" w14:paraId="7EDB8893" w14:textId="77777777" w:rsidTr="005249C0">
        <w:trPr>
          <w:trHeight w:val="340"/>
        </w:trPr>
        <w:tc>
          <w:tcPr>
            <w:tcW w:w="1218" w:type="dxa"/>
            <w:vAlign w:val="center"/>
          </w:tcPr>
          <w:p w14:paraId="023662F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700.0</w:t>
            </w:r>
          </w:p>
        </w:tc>
        <w:tc>
          <w:tcPr>
            <w:tcW w:w="1355" w:type="dxa"/>
            <w:vAlign w:val="center"/>
          </w:tcPr>
          <w:p w14:paraId="7B7F43D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6.0049</w:t>
            </w:r>
          </w:p>
        </w:tc>
        <w:tc>
          <w:tcPr>
            <w:tcW w:w="1081" w:type="dxa"/>
            <w:vAlign w:val="center"/>
          </w:tcPr>
          <w:p w14:paraId="5C5B86F2"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0.3002</w:t>
            </w:r>
          </w:p>
        </w:tc>
        <w:tc>
          <w:tcPr>
            <w:tcW w:w="1355" w:type="dxa"/>
            <w:vAlign w:val="center"/>
          </w:tcPr>
          <w:p w14:paraId="3E54E707"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0.0262</w:t>
            </w:r>
          </w:p>
        </w:tc>
        <w:tc>
          <w:tcPr>
            <w:tcW w:w="1081" w:type="dxa"/>
            <w:vAlign w:val="center"/>
          </w:tcPr>
          <w:p w14:paraId="5A2FCDB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0.0058</w:t>
            </w:r>
          </w:p>
        </w:tc>
        <w:tc>
          <w:tcPr>
            <w:tcW w:w="1355" w:type="dxa"/>
            <w:vAlign w:val="center"/>
          </w:tcPr>
          <w:p w14:paraId="76F3949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0.0079</w:t>
            </w:r>
          </w:p>
        </w:tc>
        <w:tc>
          <w:tcPr>
            <w:tcW w:w="1082" w:type="dxa"/>
            <w:vAlign w:val="center"/>
          </w:tcPr>
          <w:p w14:paraId="7999082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0.0035</w:t>
            </w:r>
          </w:p>
        </w:tc>
      </w:tr>
      <w:tr w:rsidR="00160029" w:rsidRPr="00160029" w14:paraId="39B7D90C" w14:textId="77777777" w:rsidTr="005249C0">
        <w:trPr>
          <w:trHeight w:val="340"/>
        </w:trPr>
        <w:tc>
          <w:tcPr>
            <w:tcW w:w="1218" w:type="dxa"/>
            <w:vAlign w:val="center"/>
          </w:tcPr>
          <w:p w14:paraId="471374B3"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800.0</w:t>
            </w:r>
          </w:p>
        </w:tc>
        <w:tc>
          <w:tcPr>
            <w:tcW w:w="1355" w:type="dxa"/>
            <w:vAlign w:val="center"/>
          </w:tcPr>
          <w:p w14:paraId="5070D643"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5.4613</w:t>
            </w:r>
          </w:p>
        </w:tc>
        <w:tc>
          <w:tcPr>
            <w:tcW w:w="1081" w:type="dxa"/>
            <w:vAlign w:val="center"/>
          </w:tcPr>
          <w:p w14:paraId="13D89D03"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0.2731</w:t>
            </w:r>
          </w:p>
        </w:tc>
        <w:tc>
          <w:tcPr>
            <w:tcW w:w="1355" w:type="dxa"/>
            <w:vAlign w:val="center"/>
          </w:tcPr>
          <w:p w14:paraId="780C394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0.0239</w:t>
            </w:r>
          </w:p>
        </w:tc>
        <w:tc>
          <w:tcPr>
            <w:tcW w:w="1081" w:type="dxa"/>
            <w:vAlign w:val="center"/>
          </w:tcPr>
          <w:p w14:paraId="07FF4E8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0.0053</w:t>
            </w:r>
          </w:p>
        </w:tc>
        <w:tc>
          <w:tcPr>
            <w:tcW w:w="1355" w:type="dxa"/>
            <w:vAlign w:val="center"/>
          </w:tcPr>
          <w:p w14:paraId="6874B88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0.0072</w:t>
            </w:r>
          </w:p>
        </w:tc>
        <w:tc>
          <w:tcPr>
            <w:tcW w:w="1082" w:type="dxa"/>
            <w:vAlign w:val="center"/>
          </w:tcPr>
          <w:p w14:paraId="60D72BC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0.0032</w:t>
            </w:r>
          </w:p>
        </w:tc>
      </w:tr>
      <w:tr w:rsidR="00160029" w:rsidRPr="00160029" w14:paraId="5DD3DA0B" w14:textId="77777777" w:rsidTr="005249C0">
        <w:trPr>
          <w:trHeight w:val="340"/>
        </w:trPr>
        <w:tc>
          <w:tcPr>
            <w:tcW w:w="1218" w:type="dxa"/>
            <w:vAlign w:val="center"/>
          </w:tcPr>
          <w:p w14:paraId="5D0E7414"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900.0</w:t>
            </w:r>
          </w:p>
        </w:tc>
        <w:tc>
          <w:tcPr>
            <w:tcW w:w="1355" w:type="dxa"/>
            <w:vAlign w:val="center"/>
          </w:tcPr>
          <w:p w14:paraId="0E88117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5.0236</w:t>
            </w:r>
          </w:p>
        </w:tc>
        <w:tc>
          <w:tcPr>
            <w:tcW w:w="1081" w:type="dxa"/>
            <w:vAlign w:val="center"/>
          </w:tcPr>
          <w:p w14:paraId="1513A34F"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0.2512</w:t>
            </w:r>
          </w:p>
        </w:tc>
        <w:tc>
          <w:tcPr>
            <w:tcW w:w="1355" w:type="dxa"/>
            <w:vAlign w:val="center"/>
          </w:tcPr>
          <w:p w14:paraId="2D6CB85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0.0220</w:t>
            </w:r>
          </w:p>
        </w:tc>
        <w:tc>
          <w:tcPr>
            <w:tcW w:w="1081" w:type="dxa"/>
            <w:vAlign w:val="center"/>
          </w:tcPr>
          <w:p w14:paraId="3EE87C4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0.0049</w:t>
            </w:r>
          </w:p>
        </w:tc>
        <w:tc>
          <w:tcPr>
            <w:tcW w:w="1355" w:type="dxa"/>
            <w:vAlign w:val="center"/>
          </w:tcPr>
          <w:p w14:paraId="77F4A31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0.0066</w:t>
            </w:r>
          </w:p>
        </w:tc>
        <w:tc>
          <w:tcPr>
            <w:tcW w:w="1082" w:type="dxa"/>
            <w:vAlign w:val="center"/>
          </w:tcPr>
          <w:p w14:paraId="7F22318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0.0029</w:t>
            </w:r>
          </w:p>
        </w:tc>
      </w:tr>
      <w:tr w:rsidR="00160029" w:rsidRPr="00160029" w14:paraId="40C032E4" w14:textId="77777777" w:rsidTr="005249C0">
        <w:trPr>
          <w:trHeight w:val="340"/>
        </w:trPr>
        <w:tc>
          <w:tcPr>
            <w:tcW w:w="1218" w:type="dxa"/>
            <w:vAlign w:val="center"/>
          </w:tcPr>
          <w:p w14:paraId="2360C08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1000.0</w:t>
            </w:r>
          </w:p>
        </w:tc>
        <w:tc>
          <w:tcPr>
            <w:tcW w:w="1355" w:type="dxa"/>
            <w:vAlign w:val="center"/>
          </w:tcPr>
          <w:p w14:paraId="51C6971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4.6623</w:t>
            </w:r>
          </w:p>
        </w:tc>
        <w:tc>
          <w:tcPr>
            <w:tcW w:w="1081" w:type="dxa"/>
            <w:vAlign w:val="center"/>
          </w:tcPr>
          <w:p w14:paraId="4A9E3E7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0.2331</w:t>
            </w:r>
          </w:p>
        </w:tc>
        <w:tc>
          <w:tcPr>
            <w:tcW w:w="1355" w:type="dxa"/>
            <w:vAlign w:val="center"/>
          </w:tcPr>
          <w:p w14:paraId="33CF4C8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0.0204</w:t>
            </w:r>
          </w:p>
        </w:tc>
        <w:tc>
          <w:tcPr>
            <w:tcW w:w="1081" w:type="dxa"/>
            <w:vAlign w:val="center"/>
          </w:tcPr>
          <w:p w14:paraId="32B77CB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0.0045</w:t>
            </w:r>
          </w:p>
        </w:tc>
        <w:tc>
          <w:tcPr>
            <w:tcW w:w="1355" w:type="dxa"/>
            <w:vAlign w:val="center"/>
          </w:tcPr>
          <w:p w14:paraId="4438F9C9"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0.0061</w:t>
            </w:r>
          </w:p>
        </w:tc>
        <w:tc>
          <w:tcPr>
            <w:tcW w:w="1082" w:type="dxa"/>
            <w:vAlign w:val="center"/>
          </w:tcPr>
          <w:p w14:paraId="58D3646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0.0027</w:t>
            </w:r>
          </w:p>
        </w:tc>
      </w:tr>
      <w:tr w:rsidR="00160029" w:rsidRPr="00160029" w14:paraId="107EAC70" w14:textId="77777777" w:rsidTr="005249C0">
        <w:trPr>
          <w:trHeight w:val="340"/>
        </w:trPr>
        <w:tc>
          <w:tcPr>
            <w:tcW w:w="1218" w:type="dxa"/>
            <w:vAlign w:val="center"/>
          </w:tcPr>
          <w:p w14:paraId="286D1C63"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1500.0</w:t>
            </w:r>
          </w:p>
        </w:tc>
        <w:tc>
          <w:tcPr>
            <w:tcW w:w="1355" w:type="dxa"/>
            <w:vAlign w:val="center"/>
          </w:tcPr>
          <w:p w14:paraId="7CE6C75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3.5008</w:t>
            </w:r>
          </w:p>
        </w:tc>
        <w:tc>
          <w:tcPr>
            <w:tcW w:w="1081" w:type="dxa"/>
            <w:vAlign w:val="center"/>
          </w:tcPr>
          <w:p w14:paraId="3C7A82D0"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0.1750</w:t>
            </w:r>
          </w:p>
        </w:tc>
        <w:tc>
          <w:tcPr>
            <w:tcW w:w="1355" w:type="dxa"/>
            <w:vAlign w:val="center"/>
          </w:tcPr>
          <w:p w14:paraId="42F94B8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0.0153</w:t>
            </w:r>
          </w:p>
        </w:tc>
        <w:tc>
          <w:tcPr>
            <w:tcW w:w="1081" w:type="dxa"/>
            <w:vAlign w:val="center"/>
          </w:tcPr>
          <w:p w14:paraId="70D3CF23"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0.0034</w:t>
            </w:r>
          </w:p>
        </w:tc>
        <w:tc>
          <w:tcPr>
            <w:tcW w:w="1355" w:type="dxa"/>
            <w:vAlign w:val="center"/>
          </w:tcPr>
          <w:p w14:paraId="08BE6209"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0.0046</w:t>
            </w:r>
          </w:p>
        </w:tc>
        <w:tc>
          <w:tcPr>
            <w:tcW w:w="1082" w:type="dxa"/>
            <w:vAlign w:val="center"/>
          </w:tcPr>
          <w:p w14:paraId="0AC3B18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0.0020</w:t>
            </w:r>
          </w:p>
        </w:tc>
      </w:tr>
      <w:tr w:rsidR="00160029" w:rsidRPr="00160029" w14:paraId="0D58CCCE" w14:textId="77777777" w:rsidTr="005249C0">
        <w:trPr>
          <w:trHeight w:val="340"/>
        </w:trPr>
        <w:tc>
          <w:tcPr>
            <w:tcW w:w="1218" w:type="dxa"/>
            <w:vAlign w:val="center"/>
          </w:tcPr>
          <w:p w14:paraId="66AA0C1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2000.0</w:t>
            </w:r>
          </w:p>
        </w:tc>
        <w:tc>
          <w:tcPr>
            <w:tcW w:w="1355" w:type="dxa"/>
            <w:vAlign w:val="center"/>
          </w:tcPr>
          <w:p w14:paraId="249ED28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2.8585</w:t>
            </w:r>
          </w:p>
        </w:tc>
        <w:tc>
          <w:tcPr>
            <w:tcW w:w="1081" w:type="dxa"/>
            <w:vAlign w:val="center"/>
          </w:tcPr>
          <w:p w14:paraId="7BFF6EC3"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0.1429</w:t>
            </w:r>
          </w:p>
        </w:tc>
        <w:tc>
          <w:tcPr>
            <w:tcW w:w="1355" w:type="dxa"/>
            <w:vAlign w:val="center"/>
          </w:tcPr>
          <w:p w14:paraId="11493A5C"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0.0125</w:t>
            </w:r>
          </w:p>
        </w:tc>
        <w:tc>
          <w:tcPr>
            <w:tcW w:w="1081" w:type="dxa"/>
            <w:vAlign w:val="center"/>
          </w:tcPr>
          <w:p w14:paraId="4150974A"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0.0028</w:t>
            </w:r>
          </w:p>
        </w:tc>
        <w:tc>
          <w:tcPr>
            <w:tcW w:w="1355" w:type="dxa"/>
            <w:vAlign w:val="center"/>
          </w:tcPr>
          <w:p w14:paraId="4BC8D0B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0.0037</w:t>
            </w:r>
          </w:p>
        </w:tc>
        <w:tc>
          <w:tcPr>
            <w:tcW w:w="1082" w:type="dxa"/>
            <w:vAlign w:val="center"/>
          </w:tcPr>
          <w:p w14:paraId="71FCE136"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0.0017</w:t>
            </w:r>
          </w:p>
        </w:tc>
      </w:tr>
      <w:tr w:rsidR="00160029" w:rsidRPr="00160029" w14:paraId="02A7C022" w14:textId="77777777" w:rsidTr="005249C0">
        <w:trPr>
          <w:trHeight w:val="340"/>
        </w:trPr>
        <w:tc>
          <w:tcPr>
            <w:tcW w:w="1218" w:type="dxa"/>
            <w:vAlign w:val="center"/>
          </w:tcPr>
          <w:p w14:paraId="22B5BBC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2500.0</w:t>
            </w:r>
          </w:p>
        </w:tc>
        <w:tc>
          <w:tcPr>
            <w:tcW w:w="1355" w:type="dxa"/>
            <w:vAlign w:val="center"/>
          </w:tcPr>
          <w:p w14:paraId="30F26D75"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2.4431</w:t>
            </w:r>
          </w:p>
        </w:tc>
        <w:tc>
          <w:tcPr>
            <w:tcW w:w="1081" w:type="dxa"/>
            <w:vAlign w:val="center"/>
          </w:tcPr>
          <w:p w14:paraId="5F5DEE0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0.1222</w:t>
            </w:r>
          </w:p>
        </w:tc>
        <w:tc>
          <w:tcPr>
            <w:tcW w:w="1355" w:type="dxa"/>
            <w:vAlign w:val="center"/>
          </w:tcPr>
          <w:p w14:paraId="318087A9"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0.0107</w:t>
            </w:r>
          </w:p>
        </w:tc>
        <w:tc>
          <w:tcPr>
            <w:tcW w:w="1081" w:type="dxa"/>
            <w:vAlign w:val="center"/>
          </w:tcPr>
          <w:p w14:paraId="2AE13C6E"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0.0024</w:t>
            </w:r>
          </w:p>
        </w:tc>
        <w:tc>
          <w:tcPr>
            <w:tcW w:w="1355" w:type="dxa"/>
            <w:vAlign w:val="center"/>
          </w:tcPr>
          <w:p w14:paraId="1DD8203B"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0.0032</w:t>
            </w:r>
          </w:p>
        </w:tc>
        <w:tc>
          <w:tcPr>
            <w:tcW w:w="1082" w:type="dxa"/>
            <w:vAlign w:val="center"/>
          </w:tcPr>
          <w:p w14:paraId="075929D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0.0014</w:t>
            </w:r>
          </w:p>
        </w:tc>
      </w:tr>
      <w:tr w:rsidR="00160029" w:rsidRPr="00160029" w14:paraId="42E8F0F9" w14:textId="77777777" w:rsidTr="005249C0">
        <w:trPr>
          <w:trHeight w:val="340"/>
        </w:trPr>
        <w:tc>
          <w:tcPr>
            <w:tcW w:w="1218" w:type="dxa"/>
            <w:vAlign w:val="center"/>
          </w:tcPr>
          <w:p w14:paraId="78827858"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下风向最大浓度</w:t>
            </w:r>
          </w:p>
        </w:tc>
        <w:tc>
          <w:tcPr>
            <w:tcW w:w="1355" w:type="dxa"/>
            <w:vAlign w:val="center"/>
          </w:tcPr>
          <w:p w14:paraId="404FB75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13.1260</w:t>
            </w:r>
          </w:p>
        </w:tc>
        <w:tc>
          <w:tcPr>
            <w:tcW w:w="1081" w:type="dxa"/>
            <w:vAlign w:val="center"/>
          </w:tcPr>
          <w:p w14:paraId="4D3865D5"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0.6563</w:t>
            </w:r>
          </w:p>
        </w:tc>
        <w:tc>
          <w:tcPr>
            <w:tcW w:w="1355" w:type="dxa"/>
            <w:vAlign w:val="center"/>
          </w:tcPr>
          <w:p w14:paraId="07A77A31"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0.0574</w:t>
            </w:r>
          </w:p>
        </w:tc>
        <w:tc>
          <w:tcPr>
            <w:tcW w:w="1081" w:type="dxa"/>
            <w:vAlign w:val="center"/>
          </w:tcPr>
          <w:p w14:paraId="3F076D29"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0.0127</w:t>
            </w:r>
          </w:p>
        </w:tc>
        <w:tc>
          <w:tcPr>
            <w:tcW w:w="1355" w:type="dxa"/>
            <w:vAlign w:val="center"/>
          </w:tcPr>
          <w:p w14:paraId="1AF3A30D"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0.0172</w:t>
            </w:r>
          </w:p>
        </w:tc>
        <w:tc>
          <w:tcPr>
            <w:tcW w:w="1082" w:type="dxa"/>
            <w:vAlign w:val="center"/>
          </w:tcPr>
          <w:p w14:paraId="0FC2E572" w14:textId="77777777" w:rsidR="00160029" w:rsidRPr="00160029" w:rsidRDefault="00160029" w:rsidP="00160029">
            <w:pPr>
              <w:jc w:val="center"/>
              <w:rPr>
                <w:rFonts w:asciiTheme="minorHAnsi" w:hAnsiTheme="minorHAnsi"/>
                <w:szCs w:val="21"/>
              </w:rPr>
            </w:pPr>
            <w:r w:rsidRPr="00160029">
              <w:rPr>
                <w:rFonts w:asciiTheme="minorHAnsi" w:hAnsiTheme="minorHAnsi"/>
                <w:szCs w:val="21"/>
              </w:rPr>
              <w:t>0.0076</w:t>
            </w:r>
          </w:p>
        </w:tc>
      </w:tr>
      <w:tr w:rsidR="00AF13C4" w:rsidRPr="00160029" w14:paraId="2472C37E" w14:textId="77777777" w:rsidTr="005249C0">
        <w:trPr>
          <w:trHeight w:val="340"/>
        </w:trPr>
        <w:tc>
          <w:tcPr>
            <w:tcW w:w="1218" w:type="dxa"/>
            <w:vAlign w:val="center"/>
          </w:tcPr>
          <w:p w14:paraId="7D7160E3"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下风向最大浓度出现距离</w:t>
            </w:r>
          </w:p>
        </w:tc>
        <w:tc>
          <w:tcPr>
            <w:tcW w:w="1355" w:type="dxa"/>
            <w:vAlign w:val="center"/>
          </w:tcPr>
          <w:p w14:paraId="019EDBE8"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130.0</w:t>
            </w:r>
          </w:p>
        </w:tc>
        <w:tc>
          <w:tcPr>
            <w:tcW w:w="1081" w:type="dxa"/>
            <w:vAlign w:val="center"/>
          </w:tcPr>
          <w:p w14:paraId="4666F513"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130.0</w:t>
            </w:r>
          </w:p>
        </w:tc>
        <w:tc>
          <w:tcPr>
            <w:tcW w:w="1355" w:type="dxa"/>
            <w:vAlign w:val="center"/>
          </w:tcPr>
          <w:p w14:paraId="76D4B0AB"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130.0</w:t>
            </w:r>
          </w:p>
        </w:tc>
        <w:tc>
          <w:tcPr>
            <w:tcW w:w="1081" w:type="dxa"/>
            <w:vAlign w:val="center"/>
          </w:tcPr>
          <w:p w14:paraId="588A8276"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130.0</w:t>
            </w:r>
          </w:p>
        </w:tc>
        <w:tc>
          <w:tcPr>
            <w:tcW w:w="1355" w:type="dxa"/>
            <w:vAlign w:val="center"/>
          </w:tcPr>
          <w:p w14:paraId="54BBC9E6"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130.0</w:t>
            </w:r>
          </w:p>
        </w:tc>
        <w:tc>
          <w:tcPr>
            <w:tcW w:w="1082" w:type="dxa"/>
            <w:vAlign w:val="center"/>
          </w:tcPr>
          <w:p w14:paraId="433D5F03" w14:textId="77777777" w:rsidR="003805F3" w:rsidRPr="00160029" w:rsidRDefault="003805F3" w:rsidP="003805F3">
            <w:pPr>
              <w:jc w:val="center"/>
              <w:rPr>
                <w:rFonts w:asciiTheme="minorHAnsi" w:hAnsiTheme="minorHAnsi"/>
                <w:szCs w:val="21"/>
              </w:rPr>
            </w:pPr>
            <w:r w:rsidRPr="00160029">
              <w:rPr>
                <w:rFonts w:asciiTheme="minorHAnsi" w:hAnsiTheme="minorHAnsi"/>
                <w:szCs w:val="21"/>
              </w:rPr>
              <w:t>130.0</w:t>
            </w:r>
          </w:p>
        </w:tc>
      </w:tr>
      <w:tr w:rsidR="00AF13C4" w:rsidRPr="00160029" w14:paraId="16730568" w14:textId="77777777" w:rsidTr="005249C0">
        <w:trPr>
          <w:trHeight w:val="340"/>
        </w:trPr>
        <w:tc>
          <w:tcPr>
            <w:tcW w:w="1218" w:type="dxa"/>
            <w:vAlign w:val="center"/>
          </w:tcPr>
          <w:p w14:paraId="61C28499"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D10%</w:t>
            </w:r>
            <w:r w:rsidRPr="00160029">
              <w:rPr>
                <w:rFonts w:asciiTheme="minorHAnsi" w:hAnsiTheme="minorHAnsi"/>
                <w:szCs w:val="21"/>
              </w:rPr>
              <w:t>最远距离</w:t>
            </w:r>
          </w:p>
        </w:tc>
        <w:tc>
          <w:tcPr>
            <w:tcW w:w="1355" w:type="dxa"/>
            <w:vAlign w:val="center"/>
          </w:tcPr>
          <w:p w14:paraId="7E65DAE3"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w:t>
            </w:r>
          </w:p>
        </w:tc>
        <w:tc>
          <w:tcPr>
            <w:tcW w:w="1081" w:type="dxa"/>
            <w:vAlign w:val="center"/>
          </w:tcPr>
          <w:p w14:paraId="248B3997"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w:t>
            </w:r>
          </w:p>
        </w:tc>
        <w:tc>
          <w:tcPr>
            <w:tcW w:w="1355" w:type="dxa"/>
            <w:vAlign w:val="center"/>
          </w:tcPr>
          <w:p w14:paraId="0C2D2AE7"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w:t>
            </w:r>
          </w:p>
        </w:tc>
        <w:tc>
          <w:tcPr>
            <w:tcW w:w="1081" w:type="dxa"/>
            <w:vAlign w:val="center"/>
          </w:tcPr>
          <w:p w14:paraId="3BD3999D"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w:t>
            </w:r>
          </w:p>
        </w:tc>
        <w:tc>
          <w:tcPr>
            <w:tcW w:w="1355" w:type="dxa"/>
            <w:vAlign w:val="center"/>
          </w:tcPr>
          <w:p w14:paraId="3FB8F0A1"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w:t>
            </w:r>
          </w:p>
        </w:tc>
        <w:tc>
          <w:tcPr>
            <w:tcW w:w="1082" w:type="dxa"/>
            <w:vAlign w:val="center"/>
          </w:tcPr>
          <w:p w14:paraId="34F42D1A" w14:textId="77777777" w:rsidR="000C5806" w:rsidRPr="00160029" w:rsidRDefault="000C5806" w:rsidP="00D3335E">
            <w:pPr>
              <w:jc w:val="center"/>
              <w:rPr>
                <w:rFonts w:asciiTheme="minorHAnsi" w:hAnsiTheme="minorHAnsi"/>
                <w:szCs w:val="21"/>
              </w:rPr>
            </w:pPr>
            <w:r w:rsidRPr="00160029">
              <w:rPr>
                <w:rFonts w:asciiTheme="minorHAnsi" w:hAnsiTheme="minorHAnsi"/>
                <w:szCs w:val="21"/>
              </w:rPr>
              <w:t>/</w:t>
            </w:r>
          </w:p>
        </w:tc>
      </w:tr>
    </w:tbl>
    <w:p w14:paraId="55A31AC8" w14:textId="77777777" w:rsidR="000C5806" w:rsidRDefault="000C5806" w:rsidP="00A500F1">
      <w:pPr>
        <w:spacing w:line="520" w:lineRule="exact"/>
        <w:ind w:firstLineChars="350" w:firstLine="840"/>
        <w:jc w:val="left"/>
        <w:rPr>
          <w:rFonts w:ascii="Calibri" w:eastAsia="黑体" w:hAnsi="Calibri"/>
          <w:color w:val="auto"/>
          <w:sz w:val="24"/>
        </w:rPr>
      </w:pPr>
    </w:p>
    <w:p w14:paraId="6D4746BE" w14:textId="77777777" w:rsidR="000C5806" w:rsidRDefault="000C5806" w:rsidP="00A500F1">
      <w:pPr>
        <w:spacing w:line="520" w:lineRule="exact"/>
        <w:ind w:firstLineChars="350" w:firstLine="840"/>
        <w:jc w:val="left"/>
        <w:rPr>
          <w:rFonts w:ascii="Calibri" w:eastAsia="黑体" w:hAnsi="Calibri"/>
          <w:color w:val="auto"/>
          <w:sz w:val="24"/>
        </w:rPr>
      </w:pPr>
    </w:p>
    <w:p w14:paraId="6271C9ED" w14:textId="77777777" w:rsidR="000C5806" w:rsidRDefault="000C5806" w:rsidP="00A500F1">
      <w:pPr>
        <w:spacing w:line="520" w:lineRule="exact"/>
        <w:ind w:firstLineChars="350" w:firstLine="840"/>
        <w:jc w:val="left"/>
        <w:rPr>
          <w:rFonts w:ascii="Calibri" w:eastAsia="黑体" w:hAnsi="Calibri"/>
          <w:color w:val="auto"/>
          <w:sz w:val="24"/>
        </w:rPr>
      </w:pPr>
    </w:p>
    <w:p w14:paraId="425C804F" w14:textId="77777777" w:rsidR="000C5806" w:rsidRDefault="000C5806" w:rsidP="00A500F1">
      <w:pPr>
        <w:spacing w:line="520" w:lineRule="exact"/>
        <w:ind w:firstLineChars="350" w:firstLine="840"/>
        <w:jc w:val="left"/>
        <w:rPr>
          <w:rFonts w:ascii="Calibri" w:eastAsia="黑体" w:hAnsi="Calibri"/>
          <w:color w:val="auto"/>
          <w:sz w:val="24"/>
        </w:rPr>
      </w:pPr>
    </w:p>
    <w:p w14:paraId="71B33029" w14:textId="77777777" w:rsidR="000C5806" w:rsidRDefault="000C5806" w:rsidP="00A500F1">
      <w:pPr>
        <w:spacing w:line="520" w:lineRule="exact"/>
        <w:ind w:firstLineChars="350" w:firstLine="840"/>
        <w:jc w:val="left"/>
        <w:rPr>
          <w:rFonts w:ascii="Calibri" w:eastAsia="黑体" w:hAnsi="Calibri"/>
          <w:color w:val="auto"/>
          <w:sz w:val="24"/>
        </w:rPr>
      </w:pPr>
    </w:p>
    <w:p w14:paraId="024B9075" w14:textId="77777777" w:rsidR="00682A7C" w:rsidRDefault="00682A7C" w:rsidP="00DC06C8">
      <w:pPr>
        <w:spacing w:line="520" w:lineRule="exact"/>
        <w:ind w:firstLineChars="200" w:firstLine="480"/>
        <w:jc w:val="left"/>
        <w:rPr>
          <w:rFonts w:ascii="Calibri" w:eastAsia="黑体" w:hAnsi="Calibri"/>
          <w:color w:val="auto"/>
          <w:sz w:val="24"/>
        </w:rPr>
      </w:pPr>
    </w:p>
    <w:p w14:paraId="27F179D9" w14:textId="77777777" w:rsidR="008948ED" w:rsidRDefault="00A500F1" w:rsidP="00682A7C">
      <w:pPr>
        <w:spacing w:line="520" w:lineRule="exact"/>
        <w:ind w:firstLineChars="200" w:firstLine="480"/>
        <w:rPr>
          <w:rFonts w:ascii="Calibri" w:hAnsi="Calibri"/>
          <w:color w:val="auto"/>
          <w:sz w:val="24"/>
        </w:rPr>
      </w:pPr>
      <w:r>
        <w:rPr>
          <w:rFonts w:ascii="Calibri" w:hAnsi="Calibri" w:hint="eastAsia"/>
          <w:color w:val="auto"/>
          <w:sz w:val="24"/>
        </w:rPr>
        <w:lastRenderedPageBreak/>
        <w:t>（</w:t>
      </w:r>
      <w:r w:rsidR="00160029">
        <w:rPr>
          <w:rFonts w:ascii="Calibri" w:hAnsi="Calibri"/>
          <w:color w:val="auto"/>
          <w:sz w:val="24"/>
        </w:rPr>
        <w:t>5</w:t>
      </w:r>
      <w:r>
        <w:rPr>
          <w:rFonts w:ascii="Calibri" w:hAnsi="Calibri" w:hint="eastAsia"/>
          <w:color w:val="auto"/>
          <w:sz w:val="24"/>
        </w:rPr>
        <w:t>）污水</w:t>
      </w:r>
      <w:r>
        <w:rPr>
          <w:rFonts w:ascii="Calibri" w:hAnsi="Calibri"/>
          <w:color w:val="auto"/>
          <w:sz w:val="24"/>
        </w:rPr>
        <w:t>处理站</w:t>
      </w:r>
      <w:r>
        <w:rPr>
          <w:rFonts w:ascii="Calibri" w:hAnsi="Calibri" w:hint="eastAsia"/>
          <w:color w:val="auto"/>
          <w:sz w:val="24"/>
        </w:rPr>
        <w:t>无组织</w:t>
      </w:r>
      <w:r>
        <w:rPr>
          <w:rFonts w:ascii="Calibri" w:hAnsi="Calibri"/>
          <w:color w:val="auto"/>
          <w:sz w:val="24"/>
        </w:rPr>
        <w:t>废气</w:t>
      </w:r>
    </w:p>
    <w:p w14:paraId="75DC4D27" w14:textId="77777777" w:rsidR="00A500F1" w:rsidRPr="008948ED" w:rsidRDefault="00A500F1" w:rsidP="00A500F1">
      <w:pPr>
        <w:spacing w:line="520" w:lineRule="exact"/>
        <w:ind w:firstLineChars="350" w:firstLine="840"/>
        <w:jc w:val="left"/>
        <w:rPr>
          <w:rFonts w:ascii="Calibri" w:hAnsi="Calibri"/>
          <w:color w:val="auto"/>
          <w:sz w:val="24"/>
        </w:rPr>
      </w:pPr>
      <w:r w:rsidRPr="008948ED">
        <w:rPr>
          <w:rFonts w:ascii="Calibri" w:eastAsia="黑体" w:hAnsi="Calibri" w:hint="eastAsia"/>
          <w:color w:val="auto"/>
          <w:sz w:val="24"/>
        </w:rPr>
        <w:t>表</w:t>
      </w:r>
      <w:r>
        <w:rPr>
          <w:rFonts w:ascii="Calibri" w:eastAsia="黑体" w:hAnsi="Calibri" w:hint="eastAsia"/>
          <w:color w:val="auto"/>
          <w:sz w:val="24"/>
        </w:rPr>
        <w:t>4.2-1</w:t>
      </w:r>
      <w:r w:rsidR="00160029">
        <w:rPr>
          <w:rFonts w:ascii="Calibri" w:eastAsia="黑体" w:hAnsi="Calibri"/>
          <w:color w:val="auto"/>
          <w:sz w:val="24"/>
        </w:rPr>
        <w:t>6</w:t>
      </w:r>
      <w:r w:rsidRPr="008948ED">
        <w:rPr>
          <w:rFonts w:ascii="Calibri" w:eastAsia="黑体" w:hAnsi="Calibri" w:hint="eastAsia"/>
          <w:color w:val="auto"/>
          <w:sz w:val="24"/>
        </w:rPr>
        <w:t xml:space="preserve"> </w:t>
      </w:r>
      <w:r>
        <w:rPr>
          <w:rFonts w:ascii="Calibri" w:eastAsia="黑体" w:hAnsi="Calibri"/>
          <w:color w:val="auto"/>
        </w:rPr>
        <w:t xml:space="preserve">   </w:t>
      </w:r>
      <w:r w:rsidRPr="008948ED">
        <w:rPr>
          <w:rFonts w:ascii="Calibri" w:eastAsia="黑体" w:hAnsi="Calibri"/>
          <w:color w:val="auto"/>
          <w:sz w:val="24"/>
        </w:rPr>
        <w:t xml:space="preserve">   </w:t>
      </w:r>
      <w:r>
        <w:rPr>
          <w:rFonts w:ascii="Calibri" w:eastAsia="黑体" w:hAnsi="Calibri"/>
          <w:color w:val="auto"/>
          <w:sz w:val="24"/>
        </w:rPr>
        <w:t xml:space="preserve">    </w:t>
      </w:r>
      <w:r>
        <w:rPr>
          <w:rFonts w:ascii="Calibri" w:eastAsia="黑体" w:hAnsi="Calibri" w:hint="eastAsia"/>
          <w:color w:val="auto"/>
          <w:sz w:val="24"/>
        </w:rPr>
        <w:t>污水</w:t>
      </w:r>
      <w:r>
        <w:rPr>
          <w:rFonts w:ascii="Calibri" w:eastAsia="黑体" w:hAnsi="Calibri"/>
          <w:color w:val="auto"/>
          <w:sz w:val="24"/>
        </w:rPr>
        <w:t>处理站面源</w:t>
      </w:r>
      <w:r>
        <w:rPr>
          <w:rFonts w:ascii="Calibri" w:eastAsia="黑体" w:hAnsi="Calibri" w:hint="eastAsia"/>
          <w:color w:val="auto"/>
          <w:sz w:val="24"/>
        </w:rPr>
        <w:t>无组织</w:t>
      </w:r>
      <w:r w:rsidRPr="008948ED">
        <w:rPr>
          <w:rFonts w:ascii="Calibri" w:eastAsia="黑体" w:hAnsi="Calibri" w:hint="eastAsia"/>
          <w:color w:val="auto"/>
          <w:sz w:val="24"/>
        </w:rPr>
        <w:t>排放预测结果</w:t>
      </w:r>
    </w:p>
    <w:tbl>
      <w:tblPr>
        <w:tblW w:w="85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219"/>
        <w:gridCol w:w="1355"/>
        <w:gridCol w:w="1081"/>
        <w:gridCol w:w="1355"/>
        <w:gridCol w:w="1081"/>
        <w:gridCol w:w="1355"/>
        <w:gridCol w:w="1081"/>
      </w:tblGrid>
      <w:tr w:rsidR="00654992" w:rsidRPr="00484A17" w14:paraId="6B24B87E" w14:textId="77777777" w:rsidTr="00654992">
        <w:trPr>
          <w:trHeight w:val="340"/>
        </w:trPr>
        <w:tc>
          <w:tcPr>
            <w:tcW w:w="1219" w:type="dxa"/>
            <w:vMerge w:val="restart"/>
            <w:vAlign w:val="center"/>
          </w:tcPr>
          <w:p w14:paraId="1F88C16A"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下风向距离</w:t>
            </w:r>
          </w:p>
        </w:tc>
        <w:tc>
          <w:tcPr>
            <w:tcW w:w="7308" w:type="dxa"/>
            <w:gridSpan w:val="6"/>
            <w:vAlign w:val="center"/>
          </w:tcPr>
          <w:p w14:paraId="5C70B6E1"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污水区面源</w:t>
            </w:r>
          </w:p>
        </w:tc>
      </w:tr>
      <w:tr w:rsidR="00654992" w:rsidRPr="00484A17" w14:paraId="3FA66666" w14:textId="77777777" w:rsidTr="00654992">
        <w:trPr>
          <w:trHeight w:val="340"/>
        </w:trPr>
        <w:tc>
          <w:tcPr>
            <w:tcW w:w="1219" w:type="dxa"/>
            <w:vMerge/>
            <w:vAlign w:val="center"/>
          </w:tcPr>
          <w:p w14:paraId="7AC6A30B" w14:textId="77777777" w:rsidR="00654992" w:rsidRPr="00484A17" w:rsidRDefault="00654992" w:rsidP="00D3335E">
            <w:pPr>
              <w:jc w:val="center"/>
              <w:rPr>
                <w:rFonts w:asciiTheme="minorHAnsi" w:hAnsiTheme="minorHAnsi"/>
                <w:b/>
                <w:szCs w:val="21"/>
                <w:u w:val="single"/>
              </w:rPr>
            </w:pPr>
          </w:p>
        </w:tc>
        <w:tc>
          <w:tcPr>
            <w:tcW w:w="1355" w:type="dxa"/>
            <w:vAlign w:val="center"/>
          </w:tcPr>
          <w:p w14:paraId="3169E524"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NH</w:t>
            </w:r>
            <w:r w:rsidRPr="00484A17">
              <w:rPr>
                <w:rFonts w:asciiTheme="minorHAnsi" w:hAnsiTheme="minorHAnsi"/>
                <w:b/>
                <w:szCs w:val="21"/>
                <w:u w:val="single"/>
                <w:vertAlign w:val="subscript"/>
              </w:rPr>
              <w:t>3</w:t>
            </w:r>
            <w:r w:rsidRPr="00484A17">
              <w:rPr>
                <w:rFonts w:asciiTheme="minorHAnsi" w:hAnsiTheme="minorHAnsi"/>
                <w:b/>
                <w:szCs w:val="21"/>
                <w:u w:val="single"/>
              </w:rPr>
              <w:t>浓度（</w:t>
            </w:r>
            <w:r w:rsidRPr="00484A17">
              <w:rPr>
                <w:rFonts w:asciiTheme="minorHAnsi" w:hAnsiTheme="minorHAnsi"/>
                <w:b/>
                <w:szCs w:val="21"/>
                <w:u w:val="single"/>
              </w:rPr>
              <w:t>μg/m³</w:t>
            </w:r>
            <w:r w:rsidRPr="00484A17">
              <w:rPr>
                <w:rFonts w:asciiTheme="minorHAnsi" w:hAnsiTheme="minorHAnsi"/>
                <w:b/>
                <w:szCs w:val="21"/>
                <w:u w:val="single"/>
              </w:rPr>
              <w:t>）</w:t>
            </w:r>
          </w:p>
        </w:tc>
        <w:tc>
          <w:tcPr>
            <w:tcW w:w="1081" w:type="dxa"/>
            <w:vAlign w:val="center"/>
          </w:tcPr>
          <w:p w14:paraId="46887191"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NH</w:t>
            </w:r>
            <w:r w:rsidRPr="00484A17">
              <w:rPr>
                <w:rFonts w:asciiTheme="minorHAnsi" w:hAnsiTheme="minorHAnsi"/>
                <w:b/>
                <w:szCs w:val="21"/>
                <w:u w:val="single"/>
                <w:vertAlign w:val="subscript"/>
              </w:rPr>
              <w:t>3</w:t>
            </w:r>
            <w:r w:rsidRPr="00484A17">
              <w:rPr>
                <w:rFonts w:asciiTheme="minorHAnsi" w:hAnsiTheme="minorHAnsi"/>
                <w:b/>
                <w:szCs w:val="21"/>
                <w:u w:val="single"/>
              </w:rPr>
              <w:t>占标率</w:t>
            </w:r>
            <w:r w:rsidRPr="00484A17">
              <w:rPr>
                <w:rFonts w:ascii="Calibri" w:hAnsi="Calibri" w:hint="eastAsia"/>
                <w:b/>
                <w:sz w:val="23"/>
                <w:szCs w:val="23"/>
                <w:u w:val="single"/>
              </w:rPr>
              <w:t>（</w:t>
            </w:r>
            <w:r w:rsidRPr="00484A17">
              <w:rPr>
                <w:rFonts w:ascii="Calibri" w:hAnsi="Calibri" w:hint="eastAsia"/>
                <w:b/>
                <w:sz w:val="23"/>
                <w:szCs w:val="23"/>
                <w:u w:val="single"/>
              </w:rPr>
              <w:t>%</w:t>
            </w:r>
            <w:r w:rsidRPr="00484A17">
              <w:rPr>
                <w:rFonts w:ascii="Calibri" w:hAnsi="Calibri" w:hint="eastAsia"/>
                <w:b/>
                <w:sz w:val="23"/>
                <w:szCs w:val="23"/>
                <w:u w:val="single"/>
              </w:rPr>
              <w:t>）</w:t>
            </w:r>
          </w:p>
        </w:tc>
        <w:tc>
          <w:tcPr>
            <w:tcW w:w="1355" w:type="dxa"/>
            <w:vAlign w:val="center"/>
          </w:tcPr>
          <w:p w14:paraId="7B799932"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NMHC</w:t>
            </w:r>
            <w:r w:rsidRPr="00484A17">
              <w:rPr>
                <w:rFonts w:asciiTheme="minorHAnsi" w:hAnsiTheme="minorHAnsi"/>
                <w:b/>
                <w:szCs w:val="21"/>
                <w:u w:val="single"/>
              </w:rPr>
              <w:t>浓度（</w:t>
            </w:r>
            <w:r w:rsidRPr="00484A17">
              <w:rPr>
                <w:rFonts w:asciiTheme="minorHAnsi" w:hAnsiTheme="minorHAnsi"/>
                <w:b/>
                <w:szCs w:val="21"/>
                <w:u w:val="single"/>
              </w:rPr>
              <w:t>μg/m³</w:t>
            </w:r>
            <w:r w:rsidRPr="00484A17">
              <w:rPr>
                <w:rFonts w:asciiTheme="minorHAnsi" w:hAnsiTheme="minorHAnsi"/>
                <w:b/>
                <w:szCs w:val="21"/>
                <w:u w:val="single"/>
              </w:rPr>
              <w:t>）</w:t>
            </w:r>
          </w:p>
        </w:tc>
        <w:tc>
          <w:tcPr>
            <w:tcW w:w="1081" w:type="dxa"/>
            <w:vAlign w:val="center"/>
          </w:tcPr>
          <w:p w14:paraId="02F704FC"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NMHC</w:t>
            </w:r>
            <w:r w:rsidRPr="00484A17">
              <w:rPr>
                <w:rFonts w:asciiTheme="minorHAnsi" w:hAnsiTheme="minorHAnsi"/>
                <w:b/>
                <w:szCs w:val="21"/>
                <w:u w:val="single"/>
              </w:rPr>
              <w:t>占标率</w:t>
            </w:r>
            <w:r w:rsidRPr="00484A17">
              <w:rPr>
                <w:rFonts w:ascii="Calibri" w:hAnsi="Calibri" w:hint="eastAsia"/>
                <w:b/>
                <w:sz w:val="23"/>
                <w:szCs w:val="23"/>
                <w:u w:val="single"/>
              </w:rPr>
              <w:t>（</w:t>
            </w:r>
            <w:r w:rsidRPr="00484A17">
              <w:rPr>
                <w:rFonts w:ascii="Calibri" w:hAnsi="Calibri" w:hint="eastAsia"/>
                <w:b/>
                <w:sz w:val="23"/>
                <w:szCs w:val="23"/>
                <w:u w:val="single"/>
              </w:rPr>
              <w:t>%</w:t>
            </w:r>
            <w:r w:rsidRPr="00484A17">
              <w:rPr>
                <w:rFonts w:ascii="Calibri" w:hAnsi="Calibri" w:hint="eastAsia"/>
                <w:b/>
                <w:sz w:val="23"/>
                <w:szCs w:val="23"/>
                <w:u w:val="single"/>
              </w:rPr>
              <w:t>）</w:t>
            </w:r>
          </w:p>
        </w:tc>
        <w:tc>
          <w:tcPr>
            <w:tcW w:w="1355" w:type="dxa"/>
            <w:vAlign w:val="center"/>
          </w:tcPr>
          <w:p w14:paraId="5986E7B9"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H</w:t>
            </w:r>
            <w:r w:rsidRPr="00484A17">
              <w:rPr>
                <w:rFonts w:asciiTheme="minorHAnsi" w:hAnsiTheme="minorHAnsi"/>
                <w:b/>
                <w:szCs w:val="21"/>
                <w:u w:val="single"/>
                <w:vertAlign w:val="subscript"/>
              </w:rPr>
              <w:t>2</w:t>
            </w:r>
            <w:r w:rsidRPr="00484A17">
              <w:rPr>
                <w:rFonts w:asciiTheme="minorHAnsi" w:hAnsiTheme="minorHAnsi"/>
                <w:b/>
                <w:szCs w:val="21"/>
                <w:u w:val="single"/>
              </w:rPr>
              <w:t>S</w:t>
            </w:r>
            <w:r w:rsidRPr="00484A17">
              <w:rPr>
                <w:rFonts w:asciiTheme="minorHAnsi" w:hAnsiTheme="minorHAnsi"/>
                <w:b/>
                <w:szCs w:val="21"/>
                <w:u w:val="single"/>
              </w:rPr>
              <w:t>浓度（</w:t>
            </w:r>
            <w:r w:rsidRPr="00484A17">
              <w:rPr>
                <w:rFonts w:asciiTheme="minorHAnsi" w:hAnsiTheme="minorHAnsi"/>
                <w:b/>
                <w:szCs w:val="21"/>
                <w:u w:val="single"/>
              </w:rPr>
              <w:t>μg/m³</w:t>
            </w:r>
            <w:r w:rsidRPr="00484A17">
              <w:rPr>
                <w:rFonts w:asciiTheme="minorHAnsi" w:hAnsiTheme="minorHAnsi"/>
                <w:b/>
                <w:szCs w:val="21"/>
                <w:u w:val="single"/>
              </w:rPr>
              <w:t>）</w:t>
            </w:r>
          </w:p>
        </w:tc>
        <w:tc>
          <w:tcPr>
            <w:tcW w:w="1081" w:type="dxa"/>
            <w:vAlign w:val="center"/>
          </w:tcPr>
          <w:p w14:paraId="27749C8C"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H</w:t>
            </w:r>
            <w:r w:rsidRPr="00484A17">
              <w:rPr>
                <w:rFonts w:asciiTheme="minorHAnsi" w:hAnsiTheme="minorHAnsi"/>
                <w:b/>
                <w:szCs w:val="21"/>
                <w:u w:val="single"/>
                <w:vertAlign w:val="subscript"/>
              </w:rPr>
              <w:t>2</w:t>
            </w:r>
            <w:r w:rsidRPr="00484A17">
              <w:rPr>
                <w:rFonts w:asciiTheme="minorHAnsi" w:hAnsiTheme="minorHAnsi"/>
                <w:b/>
                <w:szCs w:val="21"/>
                <w:u w:val="single"/>
              </w:rPr>
              <w:t>S</w:t>
            </w:r>
            <w:r w:rsidRPr="00484A17">
              <w:rPr>
                <w:rFonts w:asciiTheme="minorHAnsi" w:hAnsiTheme="minorHAnsi"/>
                <w:b/>
                <w:szCs w:val="21"/>
                <w:u w:val="single"/>
              </w:rPr>
              <w:t>占标率</w:t>
            </w:r>
            <w:r w:rsidRPr="00484A17">
              <w:rPr>
                <w:rFonts w:ascii="Calibri" w:hAnsi="Calibri" w:hint="eastAsia"/>
                <w:b/>
                <w:sz w:val="23"/>
                <w:szCs w:val="23"/>
                <w:u w:val="single"/>
              </w:rPr>
              <w:t>（</w:t>
            </w:r>
            <w:r w:rsidRPr="00484A17">
              <w:rPr>
                <w:rFonts w:ascii="Calibri" w:hAnsi="Calibri" w:hint="eastAsia"/>
                <w:b/>
                <w:sz w:val="23"/>
                <w:szCs w:val="23"/>
                <w:u w:val="single"/>
              </w:rPr>
              <w:t>%</w:t>
            </w:r>
            <w:r w:rsidRPr="00484A17">
              <w:rPr>
                <w:rFonts w:ascii="Calibri" w:hAnsi="Calibri" w:hint="eastAsia"/>
                <w:b/>
                <w:sz w:val="23"/>
                <w:szCs w:val="23"/>
                <w:u w:val="single"/>
              </w:rPr>
              <w:t>）</w:t>
            </w:r>
          </w:p>
        </w:tc>
      </w:tr>
      <w:tr w:rsidR="008F5F67" w:rsidRPr="00484A17" w14:paraId="07012FDA" w14:textId="77777777" w:rsidTr="00654992">
        <w:trPr>
          <w:trHeight w:val="340"/>
        </w:trPr>
        <w:tc>
          <w:tcPr>
            <w:tcW w:w="1219" w:type="dxa"/>
            <w:vAlign w:val="center"/>
          </w:tcPr>
          <w:p w14:paraId="6DB33217"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w:t>
            </w:r>
          </w:p>
        </w:tc>
        <w:tc>
          <w:tcPr>
            <w:tcW w:w="1355" w:type="dxa"/>
            <w:vAlign w:val="center"/>
          </w:tcPr>
          <w:p w14:paraId="0E9590CC" w14:textId="237E47E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0.8270</w:t>
            </w:r>
          </w:p>
        </w:tc>
        <w:tc>
          <w:tcPr>
            <w:tcW w:w="1081" w:type="dxa"/>
            <w:vAlign w:val="center"/>
          </w:tcPr>
          <w:p w14:paraId="1AE0A014" w14:textId="14B4CB6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0.4135</w:t>
            </w:r>
          </w:p>
        </w:tc>
        <w:tc>
          <w:tcPr>
            <w:tcW w:w="1355" w:type="dxa"/>
            <w:vAlign w:val="center"/>
          </w:tcPr>
          <w:p w14:paraId="3669DB0F" w14:textId="66E3726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1.6540</w:t>
            </w:r>
          </w:p>
        </w:tc>
        <w:tc>
          <w:tcPr>
            <w:tcW w:w="1081" w:type="dxa"/>
            <w:vAlign w:val="center"/>
          </w:tcPr>
          <w:p w14:paraId="1605A658" w14:textId="04578119"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0.0827</w:t>
            </w:r>
          </w:p>
        </w:tc>
        <w:tc>
          <w:tcPr>
            <w:tcW w:w="1355" w:type="dxa"/>
            <w:vAlign w:val="center"/>
          </w:tcPr>
          <w:p w14:paraId="71CB33EA" w14:textId="2246BAA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0.0413</w:t>
            </w:r>
          </w:p>
        </w:tc>
        <w:tc>
          <w:tcPr>
            <w:tcW w:w="1081" w:type="dxa"/>
            <w:vAlign w:val="center"/>
          </w:tcPr>
          <w:p w14:paraId="1B938FD2" w14:textId="6AB814D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0.4135</w:t>
            </w:r>
          </w:p>
        </w:tc>
      </w:tr>
      <w:tr w:rsidR="008F5F67" w:rsidRPr="00484A17" w14:paraId="68952798" w14:textId="77777777" w:rsidTr="00654992">
        <w:trPr>
          <w:trHeight w:val="340"/>
        </w:trPr>
        <w:tc>
          <w:tcPr>
            <w:tcW w:w="1219" w:type="dxa"/>
            <w:vAlign w:val="center"/>
          </w:tcPr>
          <w:p w14:paraId="53957963"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16.0</w:t>
            </w:r>
          </w:p>
        </w:tc>
        <w:tc>
          <w:tcPr>
            <w:tcW w:w="1355" w:type="dxa"/>
            <w:vAlign w:val="center"/>
          </w:tcPr>
          <w:p w14:paraId="285EB7D6" w14:textId="2D806C3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1.1388</w:t>
            </w:r>
          </w:p>
        </w:tc>
        <w:tc>
          <w:tcPr>
            <w:tcW w:w="1081" w:type="dxa"/>
            <w:vAlign w:val="center"/>
          </w:tcPr>
          <w:p w14:paraId="54BF63A8" w14:textId="0F37F3E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0.5694</w:t>
            </w:r>
          </w:p>
        </w:tc>
        <w:tc>
          <w:tcPr>
            <w:tcW w:w="1355" w:type="dxa"/>
            <w:vAlign w:val="center"/>
          </w:tcPr>
          <w:p w14:paraId="4D5F18D8" w14:textId="17AB900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2.2776</w:t>
            </w:r>
          </w:p>
        </w:tc>
        <w:tc>
          <w:tcPr>
            <w:tcW w:w="1081" w:type="dxa"/>
            <w:vAlign w:val="center"/>
          </w:tcPr>
          <w:p w14:paraId="5448F720" w14:textId="2A39CE5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0.1139</w:t>
            </w:r>
          </w:p>
        </w:tc>
        <w:tc>
          <w:tcPr>
            <w:tcW w:w="1355" w:type="dxa"/>
            <w:vAlign w:val="center"/>
          </w:tcPr>
          <w:p w14:paraId="0E3D6C9B" w14:textId="5DB3D1B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0.0569</w:t>
            </w:r>
          </w:p>
        </w:tc>
        <w:tc>
          <w:tcPr>
            <w:tcW w:w="1081" w:type="dxa"/>
            <w:vAlign w:val="center"/>
          </w:tcPr>
          <w:p w14:paraId="657C31F3" w14:textId="2A6023C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0.5694</w:t>
            </w:r>
          </w:p>
        </w:tc>
      </w:tr>
      <w:tr w:rsidR="008F5F67" w:rsidRPr="00484A17" w14:paraId="1C8723A4" w14:textId="77777777" w:rsidTr="00654992">
        <w:trPr>
          <w:trHeight w:val="340"/>
        </w:trPr>
        <w:tc>
          <w:tcPr>
            <w:tcW w:w="1219" w:type="dxa"/>
            <w:vAlign w:val="center"/>
          </w:tcPr>
          <w:p w14:paraId="3D1CD6C6"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25.0</w:t>
            </w:r>
          </w:p>
        </w:tc>
        <w:tc>
          <w:tcPr>
            <w:tcW w:w="1355" w:type="dxa"/>
            <w:vAlign w:val="center"/>
          </w:tcPr>
          <w:p w14:paraId="16683AA1" w14:textId="3948017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1.0152</w:t>
            </w:r>
          </w:p>
        </w:tc>
        <w:tc>
          <w:tcPr>
            <w:tcW w:w="1081" w:type="dxa"/>
            <w:vAlign w:val="center"/>
          </w:tcPr>
          <w:p w14:paraId="379DFE04" w14:textId="38EF557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0.5076</w:t>
            </w:r>
          </w:p>
        </w:tc>
        <w:tc>
          <w:tcPr>
            <w:tcW w:w="1355" w:type="dxa"/>
            <w:vAlign w:val="center"/>
          </w:tcPr>
          <w:p w14:paraId="4326BCE4" w14:textId="6724360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2.0304</w:t>
            </w:r>
          </w:p>
        </w:tc>
        <w:tc>
          <w:tcPr>
            <w:tcW w:w="1081" w:type="dxa"/>
            <w:vAlign w:val="center"/>
          </w:tcPr>
          <w:p w14:paraId="40293DB6" w14:textId="031C584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0.1015</w:t>
            </w:r>
          </w:p>
        </w:tc>
        <w:tc>
          <w:tcPr>
            <w:tcW w:w="1355" w:type="dxa"/>
            <w:vAlign w:val="center"/>
          </w:tcPr>
          <w:p w14:paraId="09314284" w14:textId="1D4B4EA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0.0508</w:t>
            </w:r>
          </w:p>
        </w:tc>
        <w:tc>
          <w:tcPr>
            <w:tcW w:w="1081" w:type="dxa"/>
            <w:vAlign w:val="center"/>
          </w:tcPr>
          <w:p w14:paraId="41D17BCC" w14:textId="06F7FF5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0.5076</w:t>
            </w:r>
          </w:p>
        </w:tc>
      </w:tr>
      <w:tr w:rsidR="008F5F67" w:rsidRPr="00484A17" w14:paraId="3352DFCC" w14:textId="77777777" w:rsidTr="00654992">
        <w:trPr>
          <w:trHeight w:val="340"/>
        </w:trPr>
        <w:tc>
          <w:tcPr>
            <w:tcW w:w="1219" w:type="dxa"/>
            <w:vAlign w:val="center"/>
          </w:tcPr>
          <w:p w14:paraId="076F1EF3"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50.0</w:t>
            </w:r>
          </w:p>
        </w:tc>
        <w:tc>
          <w:tcPr>
            <w:tcW w:w="1355" w:type="dxa"/>
            <w:vAlign w:val="center"/>
          </w:tcPr>
          <w:p w14:paraId="4D0317FC" w14:textId="26D69A7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0.5826</w:t>
            </w:r>
          </w:p>
        </w:tc>
        <w:tc>
          <w:tcPr>
            <w:tcW w:w="1081" w:type="dxa"/>
            <w:vAlign w:val="center"/>
          </w:tcPr>
          <w:p w14:paraId="0ABBF1DF" w14:textId="7504ABC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0.2913</w:t>
            </w:r>
          </w:p>
        </w:tc>
        <w:tc>
          <w:tcPr>
            <w:tcW w:w="1355" w:type="dxa"/>
            <w:vAlign w:val="center"/>
          </w:tcPr>
          <w:p w14:paraId="673AAAE3" w14:textId="4A87885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1.1651</w:t>
            </w:r>
          </w:p>
        </w:tc>
        <w:tc>
          <w:tcPr>
            <w:tcW w:w="1081" w:type="dxa"/>
            <w:vAlign w:val="center"/>
          </w:tcPr>
          <w:p w14:paraId="50BAAD1E" w14:textId="487EAD9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0.0583</w:t>
            </w:r>
          </w:p>
        </w:tc>
        <w:tc>
          <w:tcPr>
            <w:tcW w:w="1355" w:type="dxa"/>
            <w:vAlign w:val="center"/>
          </w:tcPr>
          <w:p w14:paraId="24902BE5" w14:textId="17AA0E3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0.0291</w:t>
            </w:r>
          </w:p>
        </w:tc>
        <w:tc>
          <w:tcPr>
            <w:tcW w:w="1081" w:type="dxa"/>
            <w:vAlign w:val="center"/>
          </w:tcPr>
          <w:p w14:paraId="49F0BB6B" w14:textId="514711B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0.2913</w:t>
            </w:r>
          </w:p>
        </w:tc>
      </w:tr>
      <w:tr w:rsidR="008F5F67" w:rsidRPr="00484A17" w14:paraId="6C90F9E0" w14:textId="77777777" w:rsidTr="00654992">
        <w:trPr>
          <w:trHeight w:val="340"/>
        </w:trPr>
        <w:tc>
          <w:tcPr>
            <w:tcW w:w="1219" w:type="dxa"/>
            <w:vAlign w:val="center"/>
          </w:tcPr>
          <w:p w14:paraId="0D606C7B"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75.0</w:t>
            </w:r>
          </w:p>
        </w:tc>
        <w:tc>
          <w:tcPr>
            <w:tcW w:w="1355" w:type="dxa"/>
            <w:vAlign w:val="center"/>
          </w:tcPr>
          <w:p w14:paraId="472E5638" w14:textId="58F3AC3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0.5196</w:t>
            </w:r>
          </w:p>
        </w:tc>
        <w:tc>
          <w:tcPr>
            <w:tcW w:w="1081" w:type="dxa"/>
            <w:vAlign w:val="center"/>
          </w:tcPr>
          <w:p w14:paraId="57AE6A46" w14:textId="1C4FCFE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0.2598</w:t>
            </w:r>
          </w:p>
        </w:tc>
        <w:tc>
          <w:tcPr>
            <w:tcW w:w="1355" w:type="dxa"/>
            <w:vAlign w:val="center"/>
          </w:tcPr>
          <w:p w14:paraId="592FE7A7" w14:textId="069E39E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1.0391</w:t>
            </w:r>
          </w:p>
        </w:tc>
        <w:tc>
          <w:tcPr>
            <w:tcW w:w="1081" w:type="dxa"/>
            <w:vAlign w:val="center"/>
          </w:tcPr>
          <w:p w14:paraId="1DD6E4E9" w14:textId="6275311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0.0520</w:t>
            </w:r>
          </w:p>
        </w:tc>
        <w:tc>
          <w:tcPr>
            <w:tcW w:w="1355" w:type="dxa"/>
            <w:vAlign w:val="center"/>
          </w:tcPr>
          <w:p w14:paraId="5818800E" w14:textId="3F724E1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0.0260</w:t>
            </w:r>
          </w:p>
        </w:tc>
        <w:tc>
          <w:tcPr>
            <w:tcW w:w="1081" w:type="dxa"/>
            <w:vAlign w:val="center"/>
          </w:tcPr>
          <w:p w14:paraId="3EF588E1" w14:textId="2B16ED4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0.2598</w:t>
            </w:r>
          </w:p>
        </w:tc>
      </w:tr>
      <w:tr w:rsidR="008F5F67" w:rsidRPr="00484A17" w14:paraId="1D1F60BF" w14:textId="77777777" w:rsidTr="00654992">
        <w:trPr>
          <w:trHeight w:val="340"/>
        </w:trPr>
        <w:tc>
          <w:tcPr>
            <w:tcW w:w="1219" w:type="dxa"/>
            <w:vAlign w:val="center"/>
          </w:tcPr>
          <w:p w14:paraId="10CEF3EC"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100.0</w:t>
            </w:r>
          </w:p>
        </w:tc>
        <w:tc>
          <w:tcPr>
            <w:tcW w:w="1355" w:type="dxa"/>
            <w:vAlign w:val="center"/>
          </w:tcPr>
          <w:p w14:paraId="6E706DC9" w14:textId="27F5004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0.4663</w:t>
            </w:r>
          </w:p>
        </w:tc>
        <w:tc>
          <w:tcPr>
            <w:tcW w:w="1081" w:type="dxa"/>
            <w:vAlign w:val="center"/>
          </w:tcPr>
          <w:p w14:paraId="6A30BC0A" w14:textId="23B18A9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0.2332</w:t>
            </w:r>
          </w:p>
        </w:tc>
        <w:tc>
          <w:tcPr>
            <w:tcW w:w="1355" w:type="dxa"/>
            <w:vAlign w:val="center"/>
          </w:tcPr>
          <w:p w14:paraId="6AAACDEE" w14:textId="665DE89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0.9326</w:t>
            </w:r>
          </w:p>
        </w:tc>
        <w:tc>
          <w:tcPr>
            <w:tcW w:w="1081" w:type="dxa"/>
            <w:vAlign w:val="center"/>
          </w:tcPr>
          <w:p w14:paraId="35AB1ECB" w14:textId="6E98934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0.0466</w:t>
            </w:r>
          </w:p>
        </w:tc>
        <w:tc>
          <w:tcPr>
            <w:tcW w:w="1355" w:type="dxa"/>
            <w:vAlign w:val="center"/>
          </w:tcPr>
          <w:p w14:paraId="00C92AD7" w14:textId="39349D8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0.0233</w:t>
            </w:r>
          </w:p>
        </w:tc>
        <w:tc>
          <w:tcPr>
            <w:tcW w:w="1081" w:type="dxa"/>
            <w:vAlign w:val="center"/>
          </w:tcPr>
          <w:p w14:paraId="407D2C75" w14:textId="1A3C5E4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0.2332</w:t>
            </w:r>
          </w:p>
        </w:tc>
      </w:tr>
      <w:tr w:rsidR="008F5F67" w:rsidRPr="00484A17" w14:paraId="12F26C89" w14:textId="77777777" w:rsidTr="00654992">
        <w:trPr>
          <w:trHeight w:val="340"/>
        </w:trPr>
        <w:tc>
          <w:tcPr>
            <w:tcW w:w="1219" w:type="dxa"/>
            <w:vAlign w:val="center"/>
          </w:tcPr>
          <w:p w14:paraId="57CF2EF7"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200.0</w:t>
            </w:r>
          </w:p>
        </w:tc>
        <w:tc>
          <w:tcPr>
            <w:tcW w:w="1355" w:type="dxa"/>
            <w:vAlign w:val="center"/>
          </w:tcPr>
          <w:p w14:paraId="4249A0AF" w14:textId="2D81F7D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0.3314</w:t>
            </w:r>
          </w:p>
        </w:tc>
        <w:tc>
          <w:tcPr>
            <w:tcW w:w="1081" w:type="dxa"/>
            <w:vAlign w:val="center"/>
          </w:tcPr>
          <w:p w14:paraId="1DA62315" w14:textId="388F735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0.1657</w:t>
            </w:r>
          </w:p>
        </w:tc>
        <w:tc>
          <w:tcPr>
            <w:tcW w:w="1355" w:type="dxa"/>
            <w:vAlign w:val="center"/>
          </w:tcPr>
          <w:p w14:paraId="099C9760" w14:textId="5C153AF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0.6628</w:t>
            </w:r>
          </w:p>
        </w:tc>
        <w:tc>
          <w:tcPr>
            <w:tcW w:w="1081" w:type="dxa"/>
            <w:vAlign w:val="center"/>
          </w:tcPr>
          <w:p w14:paraId="576800EF" w14:textId="227BFAD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0.0331</w:t>
            </w:r>
          </w:p>
        </w:tc>
        <w:tc>
          <w:tcPr>
            <w:tcW w:w="1355" w:type="dxa"/>
            <w:vAlign w:val="center"/>
          </w:tcPr>
          <w:p w14:paraId="4BF8C078" w14:textId="574B4A7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0.0166</w:t>
            </w:r>
          </w:p>
        </w:tc>
        <w:tc>
          <w:tcPr>
            <w:tcW w:w="1081" w:type="dxa"/>
            <w:vAlign w:val="center"/>
          </w:tcPr>
          <w:p w14:paraId="20FC87CC" w14:textId="7539EB4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0.1657</w:t>
            </w:r>
          </w:p>
        </w:tc>
      </w:tr>
      <w:tr w:rsidR="008F5F67" w:rsidRPr="00484A17" w14:paraId="0ABB5B2B" w14:textId="77777777" w:rsidTr="00654992">
        <w:trPr>
          <w:trHeight w:val="340"/>
        </w:trPr>
        <w:tc>
          <w:tcPr>
            <w:tcW w:w="1219" w:type="dxa"/>
            <w:vAlign w:val="center"/>
          </w:tcPr>
          <w:p w14:paraId="793A8BEC"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300.0</w:t>
            </w:r>
          </w:p>
        </w:tc>
        <w:tc>
          <w:tcPr>
            <w:tcW w:w="1355" w:type="dxa"/>
            <w:vAlign w:val="center"/>
          </w:tcPr>
          <w:p w14:paraId="5616D9DD" w14:textId="6A7D245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0.2773</w:t>
            </w:r>
          </w:p>
        </w:tc>
        <w:tc>
          <w:tcPr>
            <w:tcW w:w="1081" w:type="dxa"/>
            <w:vAlign w:val="center"/>
          </w:tcPr>
          <w:p w14:paraId="45B0DA50" w14:textId="2138C53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0.1386</w:t>
            </w:r>
          </w:p>
        </w:tc>
        <w:tc>
          <w:tcPr>
            <w:tcW w:w="1355" w:type="dxa"/>
            <w:vAlign w:val="center"/>
          </w:tcPr>
          <w:p w14:paraId="2CB3FF89" w14:textId="0045879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0.5546</w:t>
            </w:r>
          </w:p>
        </w:tc>
        <w:tc>
          <w:tcPr>
            <w:tcW w:w="1081" w:type="dxa"/>
            <w:vAlign w:val="center"/>
          </w:tcPr>
          <w:p w14:paraId="105F07C2" w14:textId="00FE1D1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0.0277</w:t>
            </w:r>
          </w:p>
        </w:tc>
        <w:tc>
          <w:tcPr>
            <w:tcW w:w="1355" w:type="dxa"/>
            <w:vAlign w:val="center"/>
          </w:tcPr>
          <w:p w14:paraId="28B960EA" w14:textId="73B371D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0.0139</w:t>
            </w:r>
          </w:p>
        </w:tc>
        <w:tc>
          <w:tcPr>
            <w:tcW w:w="1081" w:type="dxa"/>
            <w:vAlign w:val="center"/>
          </w:tcPr>
          <w:p w14:paraId="6AC7B6C4" w14:textId="6C6FEA9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0.1386</w:t>
            </w:r>
          </w:p>
        </w:tc>
      </w:tr>
      <w:tr w:rsidR="008F5F67" w:rsidRPr="00484A17" w14:paraId="2FD93A4F" w14:textId="77777777" w:rsidTr="00654992">
        <w:trPr>
          <w:trHeight w:val="340"/>
        </w:trPr>
        <w:tc>
          <w:tcPr>
            <w:tcW w:w="1219" w:type="dxa"/>
            <w:vAlign w:val="center"/>
          </w:tcPr>
          <w:p w14:paraId="50A52BB4"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400.0</w:t>
            </w:r>
          </w:p>
        </w:tc>
        <w:tc>
          <w:tcPr>
            <w:tcW w:w="1355" w:type="dxa"/>
            <w:vAlign w:val="center"/>
          </w:tcPr>
          <w:p w14:paraId="6B8A833C" w14:textId="713B32D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0.2378</w:t>
            </w:r>
          </w:p>
        </w:tc>
        <w:tc>
          <w:tcPr>
            <w:tcW w:w="1081" w:type="dxa"/>
            <w:vAlign w:val="center"/>
          </w:tcPr>
          <w:p w14:paraId="3BD995C0" w14:textId="1B4B563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0.1189</w:t>
            </w:r>
          </w:p>
        </w:tc>
        <w:tc>
          <w:tcPr>
            <w:tcW w:w="1355" w:type="dxa"/>
            <w:vAlign w:val="center"/>
          </w:tcPr>
          <w:p w14:paraId="2552B175" w14:textId="677A762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0.4755</w:t>
            </w:r>
          </w:p>
        </w:tc>
        <w:tc>
          <w:tcPr>
            <w:tcW w:w="1081" w:type="dxa"/>
            <w:vAlign w:val="center"/>
          </w:tcPr>
          <w:p w14:paraId="706E8CA6" w14:textId="1CE17EF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0.0238</w:t>
            </w:r>
          </w:p>
        </w:tc>
        <w:tc>
          <w:tcPr>
            <w:tcW w:w="1355" w:type="dxa"/>
            <w:vAlign w:val="center"/>
          </w:tcPr>
          <w:p w14:paraId="5C16B084" w14:textId="32EB4AE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0.0119</w:t>
            </w:r>
          </w:p>
        </w:tc>
        <w:tc>
          <w:tcPr>
            <w:tcW w:w="1081" w:type="dxa"/>
            <w:vAlign w:val="center"/>
          </w:tcPr>
          <w:p w14:paraId="6D7EADAA" w14:textId="5B4EEA0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0.1189</w:t>
            </w:r>
          </w:p>
        </w:tc>
      </w:tr>
      <w:tr w:rsidR="008F5F67" w:rsidRPr="00484A17" w14:paraId="4BF98792" w14:textId="77777777" w:rsidTr="00654992">
        <w:trPr>
          <w:trHeight w:val="340"/>
        </w:trPr>
        <w:tc>
          <w:tcPr>
            <w:tcW w:w="1219" w:type="dxa"/>
            <w:vAlign w:val="center"/>
          </w:tcPr>
          <w:p w14:paraId="3B9EC3BD"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500.0</w:t>
            </w:r>
          </w:p>
        </w:tc>
        <w:tc>
          <w:tcPr>
            <w:tcW w:w="1355" w:type="dxa"/>
            <w:vAlign w:val="center"/>
          </w:tcPr>
          <w:p w14:paraId="54C7F7BC" w14:textId="64A3720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0.2073</w:t>
            </w:r>
          </w:p>
        </w:tc>
        <w:tc>
          <w:tcPr>
            <w:tcW w:w="1081" w:type="dxa"/>
            <w:vAlign w:val="center"/>
          </w:tcPr>
          <w:p w14:paraId="1677CB7B" w14:textId="3ECD1A2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0.1037</w:t>
            </w:r>
          </w:p>
        </w:tc>
        <w:tc>
          <w:tcPr>
            <w:tcW w:w="1355" w:type="dxa"/>
            <w:vAlign w:val="center"/>
          </w:tcPr>
          <w:p w14:paraId="0CC5DB8B" w14:textId="2EE251A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0.4147</w:t>
            </w:r>
          </w:p>
        </w:tc>
        <w:tc>
          <w:tcPr>
            <w:tcW w:w="1081" w:type="dxa"/>
            <w:vAlign w:val="center"/>
          </w:tcPr>
          <w:p w14:paraId="1D841D45" w14:textId="1469703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0.0207</w:t>
            </w:r>
          </w:p>
        </w:tc>
        <w:tc>
          <w:tcPr>
            <w:tcW w:w="1355" w:type="dxa"/>
            <w:vAlign w:val="center"/>
          </w:tcPr>
          <w:p w14:paraId="70639543" w14:textId="58832F96"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0.0104</w:t>
            </w:r>
          </w:p>
        </w:tc>
        <w:tc>
          <w:tcPr>
            <w:tcW w:w="1081" w:type="dxa"/>
            <w:vAlign w:val="center"/>
          </w:tcPr>
          <w:p w14:paraId="37622A32" w14:textId="20676A8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0.1037</w:t>
            </w:r>
          </w:p>
        </w:tc>
      </w:tr>
      <w:tr w:rsidR="008F5F67" w:rsidRPr="00484A17" w14:paraId="1009A4F1" w14:textId="77777777" w:rsidTr="00654992">
        <w:trPr>
          <w:trHeight w:val="340"/>
        </w:trPr>
        <w:tc>
          <w:tcPr>
            <w:tcW w:w="1219" w:type="dxa"/>
            <w:vAlign w:val="center"/>
          </w:tcPr>
          <w:p w14:paraId="3ED2C9DA"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600.0</w:t>
            </w:r>
          </w:p>
        </w:tc>
        <w:tc>
          <w:tcPr>
            <w:tcW w:w="1355" w:type="dxa"/>
            <w:vAlign w:val="center"/>
          </w:tcPr>
          <w:p w14:paraId="3796738F" w14:textId="4C06EFA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0.1832</w:t>
            </w:r>
          </w:p>
        </w:tc>
        <w:tc>
          <w:tcPr>
            <w:tcW w:w="1081" w:type="dxa"/>
            <w:vAlign w:val="center"/>
          </w:tcPr>
          <w:p w14:paraId="21DBF3BE" w14:textId="4E87D0B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0.0916</w:t>
            </w:r>
          </w:p>
        </w:tc>
        <w:tc>
          <w:tcPr>
            <w:tcW w:w="1355" w:type="dxa"/>
            <w:vAlign w:val="center"/>
          </w:tcPr>
          <w:p w14:paraId="0E227BBF" w14:textId="25AC237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0.3665</w:t>
            </w:r>
          </w:p>
        </w:tc>
        <w:tc>
          <w:tcPr>
            <w:tcW w:w="1081" w:type="dxa"/>
            <w:vAlign w:val="center"/>
          </w:tcPr>
          <w:p w14:paraId="5BF1F8F2" w14:textId="65095CDD"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0.0183</w:t>
            </w:r>
          </w:p>
        </w:tc>
        <w:tc>
          <w:tcPr>
            <w:tcW w:w="1355" w:type="dxa"/>
            <w:vAlign w:val="center"/>
          </w:tcPr>
          <w:p w14:paraId="6CE83C58" w14:textId="2F0DAEF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0.0092</w:t>
            </w:r>
          </w:p>
        </w:tc>
        <w:tc>
          <w:tcPr>
            <w:tcW w:w="1081" w:type="dxa"/>
            <w:vAlign w:val="center"/>
          </w:tcPr>
          <w:p w14:paraId="245FF368" w14:textId="4651D3E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0.0916</w:t>
            </w:r>
          </w:p>
        </w:tc>
      </w:tr>
      <w:tr w:rsidR="008F5F67" w:rsidRPr="00484A17" w14:paraId="7EDFEE21" w14:textId="77777777" w:rsidTr="00654992">
        <w:trPr>
          <w:trHeight w:val="340"/>
        </w:trPr>
        <w:tc>
          <w:tcPr>
            <w:tcW w:w="1219" w:type="dxa"/>
            <w:vAlign w:val="center"/>
          </w:tcPr>
          <w:p w14:paraId="5D0961F4"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700.0</w:t>
            </w:r>
          </w:p>
        </w:tc>
        <w:tc>
          <w:tcPr>
            <w:tcW w:w="1355" w:type="dxa"/>
            <w:vAlign w:val="center"/>
          </w:tcPr>
          <w:p w14:paraId="4BFFB484" w14:textId="2E7E4FA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0.1645</w:t>
            </w:r>
          </w:p>
        </w:tc>
        <w:tc>
          <w:tcPr>
            <w:tcW w:w="1081" w:type="dxa"/>
            <w:vAlign w:val="center"/>
          </w:tcPr>
          <w:p w14:paraId="2BBD14DB" w14:textId="34C4E43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0.0822</w:t>
            </w:r>
          </w:p>
        </w:tc>
        <w:tc>
          <w:tcPr>
            <w:tcW w:w="1355" w:type="dxa"/>
            <w:vAlign w:val="center"/>
          </w:tcPr>
          <w:p w14:paraId="0FD5D46D" w14:textId="4F7F9466"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0.3290</w:t>
            </w:r>
          </w:p>
        </w:tc>
        <w:tc>
          <w:tcPr>
            <w:tcW w:w="1081" w:type="dxa"/>
            <w:vAlign w:val="center"/>
          </w:tcPr>
          <w:p w14:paraId="19431C49" w14:textId="29FC6FA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0.0164</w:t>
            </w:r>
          </w:p>
        </w:tc>
        <w:tc>
          <w:tcPr>
            <w:tcW w:w="1355" w:type="dxa"/>
            <w:vAlign w:val="center"/>
          </w:tcPr>
          <w:p w14:paraId="3EA0E952" w14:textId="3EBE8316"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0.0082</w:t>
            </w:r>
          </w:p>
        </w:tc>
        <w:tc>
          <w:tcPr>
            <w:tcW w:w="1081" w:type="dxa"/>
            <w:vAlign w:val="center"/>
          </w:tcPr>
          <w:p w14:paraId="3E23CF99" w14:textId="7CF6877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0.0822</w:t>
            </w:r>
          </w:p>
        </w:tc>
      </w:tr>
      <w:tr w:rsidR="008F5F67" w:rsidRPr="00484A17" w14:paraId="7ACAEECA" w14:textId="77777777" w:rsidTr="00654992">
        <w:trPr>
          <w:trHeight w:val="340"/>
        </w:trPr>
        <w:tc>
          <w:tcPr>
            <w:tcW w:w="1219" w:type="dxa"/>
            <w:vAlign w:val="center"/>
          </w:tcPr>
          <w:p w14:paraId="6FBF681D"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800.0</w:t>
            </w:r>
          </w:p>
        </w:tc>
        <w:tc>
          <w:tcPr>
            <w:tcW w:w="1355" w:type="dxa"/>
            <w:vAlign w:val="center"/>
          </w:tcPr>
          <w:p w14:paraId="1D0A11C1" w14:textId="5D030F1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0.1495</w:t>
            </w:r>
          </w:p>
        </w:tc>
        <w:tc>
          <w:tcPr>
            <w:tcW w:w="1081" w:type="dxa"/>
            <w:vAlign w:val="center"/>
          </w:tcPr>
          <w:p w14:paraId="2657DE46" w14:textId="498A3F8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0.0747</w:t>
            </w:r>
          </w:p>
        </w:tc>
        <w:tc>
          <w:tcPr>
            <w:tcW w:w="1355" w:type="dxa"/>
            <w:vAlign w:val="center"/>
          </w:tcPr>
          <w:p w14:paraId="13F6F002" w14:textId="446F2AF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0.2989</w:t>
            </w:r>
          </w:p>
        </w:tc>
        <w:tc>
          <w:tcPr>
            <w:tcW w:w="1081" w:type="dxa"/>
            <w:vAlign w:val="center"/>
          </w:tcPr>
          <w:p w14:paraId="036248A2" w14:textId="0943541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0.0149</w:t>
            </w:r>
          </w:p>
        </w:tc>
        <w:tc>
          <w:tcPr>
            <w:tcW w:w="1355" w:type="dxa"/>
            <w:vAlign w:val="center"/>
          </w:tcPr>
          <w:p w14:paraId="6C892266" w14:textId="7CC51DE9"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0.0075</w:t>
            </w:r>
          </w:p>
        </w:tc>
        <w:tc>
          <w:tcPr>
            <w:tcW w:w="1081" w:type="dxa"/>
            <w:vAlign w:val="center"/>
          </w:tcPr>
          <w:p w14:paraId="63F9A20E" w14:textId="35EEBB1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0.0747</w:t>
            </w:r>
          </w:p>
        </w:tc>
      </w:tr>
      <w:tr w:rsidR="008F5F67" w:rsidRPr="00484A17" w14:paraId="6E82D6D5" w14:textId="77777777" w:rsidTr="00654992">
        <w:trPr>
          <w:trHeight w:val="340"/>
        </w:trPr>
        <w:tc>
          <w:tcPr>
            <w:tcW w:w="1219" w:type="dxa"/>
            <w:vAlign w:val="center"/>
          </w:tcPr>
          <w:p w14:paraId="5637B750"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900.0</w:t>
            </w:r>
          </w:p>
        </w:tc>
        <w:tc>
          <w:tcPr>
            <w:tcW w:w="1355" w:type="dxa"/>
            <w:vAlign w:val="center"/>
          </w:tcPr>
          <w:p w14:paraId="328062B0" w14:textId="3D2754F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0.1371</w:t>
            </w:r>
          </w:p>
        </w:tc>
        <w:tc>
          <w:tcPr>
            <w:tcW w:w="1081" w:type="dxa"/>
            <w:vAlign w:val="center"/>
          </w:tcPr>
          <w:p w14:paraId="0256BFA0" w14:textId="4556530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0.0685</w:t>
            </w:r>
          </w:p>
        </w:tc>
        <w:tc>
          <w:tcPr>
            <w:tcW w:w="1355" w:type="dxa"/>
            <w:vAlign w:val="center"/>
          </w:tcPr>
          <w:p w14:paraId="55020DC1" w14:textId="0748FED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0.2741</w:t>
            </w:r>
          </w:p>
        </w:tc>
        <w:tc>
          <w:tcPr>
            <w:tcW w:w="1081" w:type="dxa"/>
            <w:vAlign w:val="center"/>
          </w:tcPr>
          <w:p w14:paraId="4AD67A89" w14:textId="55F7DA4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0.0137</w:t>
            </w:r>
          </w:p>
        </w:tc>
        <w:tc>
          <w:tcPr>
            <w:tcW w:w="1355" w:type="dxa"/>
            <w:vAlign w:val="center"/>
          </w:tcPr>
          <w:p w14:paraId="2127A6F3" w14:textId="3FB70EF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0.0069</w:t>
            </w:r>
          </w:p>
        </w:tc>
        <w:tc>
          <w:tcPr>
            <w:tcW w:w="1081" w:type="dxa"/>
            <w:vAlign w:val="center"/>
          </w:tcPr>
          <w:p w14:paraId="093C6F34" w14:textId="5E6BC954"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0.0685</w:t>
            </w:r>
          </w:p>
        </w:tc>
      </w:tr>
      <w:tr w:rsidR="008F5F67" w:rsidRPr="00484A17" w14:paraId="683807EF" w14:textId="77777777" w:rsidTr="00654992">
        <w:trPr>
          <w:trHeight w:val="340"/>
        </w:trPr>
        <w:tc>
          <w:tcPr>
            <w:tcW w:w="1219" w:type="dxa"/>
            <w:vAlign w:val="center"/>
          </w:tcPr>
          <w:p w14:paraId="2C78AB62"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1000.0</w:t>
            </w:r>
          </w:p>
        </w:tc>
        <w:tc>
          <w:tcPr>
            <w:tcW w:w="1355" w:type="dxa"/>
            <w:vAlign w:val="center"/>
          </w:tcPr>
          <w:p w14:paraId="2C5387C6" w14:textId="044FEF4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0.1264</w:t>
            </w:r>
          </w:p>
        </w:tc>
        <w:tc>
          <w:tcPr>
            <w:tcW w:w="1081" w:type="dxa"/>
            <w:vAlign w:val="center"/>
          </w:tcPr>
          <w:p w14:paraId="1B8C811C" w14:textId="24632031"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0.0632</w:t>
            </w:r>
          </w:p>
        </w:tc>
        <w:tc>
          <w:tcPr>
            <w:tcW w:w="1355" w:type="dxa"/>
            <w:vAlign w:val="center"/>
          </w:tcPr>
          <w:p w14:paraId="7841E244" w14:textId="0F2D09A9"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0.2528</w:t>
            </w:r>
          </w:p>
        </w:tc>
        <w:tc>
          <w:tcPr>
            <w:tcW w:w="1081" w:type="dxa"/>
            <w:vAlign w:val="center"/>
          </w:tcPr>
          <w:p w14:paraId="12923567" w14:textId="005EBF1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0.0126</w:t>
            </w:r>
          </w:p>
        </w:tc>
        <w:tc>
          <w:tcPr>
            <w:tcW w:w="1355" w:type="dxa"/>
            <w:vAlign w:val="center"/>
          </w:tcPr>
          <w:p w14:paraId="0E177D13" w14:textId="2C5B2BC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0.0063</w:t>
            </w:r>
          </w:p>
        </w:tc>
        <w:tc>
          <w:tcPr>
            <w:tcW w:w="1081" w:type="dxa"/>
            <w:vAlign w:val="center"/>
          </w:tcPr>
          <w:p w14:paraId="3625EE69" w14:textId="79539FF2"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0.0632</w:t>
            </w:r>
          </w:p>
        </w:tc>
      </w:tr>
      <w:tr w:rsidR="008F5F67" w:rsidRPr="00484A17" w14:paraId="4E6A74FA" w14:textId="77777777" w:rsidTr="00654992">
        <w:trPr>
          <w:trHeight w:val="340"/>
        </w:trPr>
        <w:tc>
          <w:tcPr>
            <w:tcW w:w="1219" w:type="dxa"/>
            <w:vAlign w:val="center"/>
          </w:tcPr>
          <w:p w14:paraId="48955B34"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1500.0</w:t>
            </w:r>
          </w:p>
        </w:tc>
        <w:tc>
          <w:tcPr>
            <w:tcW w:w="1355" w:type="dxa"/>
            <w:vAlign w:val="center"/>
          </w:tcPr>
          <w:p w14:paraId="24D8ABA4" w14:textId="50240BF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0.0899</w:t>
            </w:r>
          </w:p>
        </w:tc>
        <w:tc>
          <w:tcPr>
            <w:tcW w:w="1081" w:type="dxa"/>
            <w:vAlign w:val="center"/>
          </w:tcPr>
          <w:p w14:paraId="273D6C93" w14:textId="1F404CC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0.0449</w:t>
            </w:r>
          </w:p>
        </w:tc>
        <w:tc>
          <w:tcPr>
            <w:tcW w:w="1355" w:type="dxa"/>
            <w:vAlign w:val="center"/>
          </w:tcPr>
          <w:p w14:paraId="7A7B0D81" w14:textId="30F2745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0.1798</w:t>
            </w:r>
          </w:p>
        </w:tc>
        <w:tc>
          <w:tcPr>
            <w:tcW w:w="1081" w:type="dxa"/>
            <w:vAlign w:val="center"/>
          </w:tcPr>
          <w:p w14:paraId="5DC2005A" w14:textId="5463EED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0.0090</w:t>
            </w:r>
          </w:p>
        </w:tc>
        <w:tc>
          <w:tcPr>
            <w:tcW w:w="1355" w:type="dxa"/>
            <w:vAlign w:val="center"/>
          </w:tcPr>
          <w:p w14:paraId="76946B83" w14:textId="6FE7A0E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0.0045</w:t>
            </w:r>
          </w:p>
        </w:tc>
        <w:tc>
          <w:tcPr>
            <w:tcW w:w="1081" w:type="dxa"/>
            <w:vAlign w:val="center"/>
          </w:tcPr>
          <w:p w14:paraId="36ED733B" w14:textId="5986F389"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0.0449</w:t>
            </w:r>
          </w:p>
        </w:tc>
      </w:tr>
      <w:tr w:rsidR="008F5F67" w:rsidRPr="00484A17" w14:paraId="2ED9F958" w14:textId="77777777" w:rsidTr="00654992">
        <w:trPr>
          <w:trHeight w:val="340"/>
        </w:trPr>
        <w:tc>
          <w:tcPr>
            <w:tcW w:w="1219" w:type="dxa"/>
            <w:vAlign w:val="center"/>
          </w:tcPr>
          <w:p w14:paraId="65166CCA"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2000.0</w:t>
            </w:r>
          </w:p>
        </w:tc>
        <w:tc>
          <w:tcPr>
            <w:tcW w:w="1355" w:type="dxa"/>
            <w:vAlign w:val="center"/>
          </w:tcPr>
          <w:p w14:paraId="285876A6" w14:textId="0A909186"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0.0725</w:t>
            </w:r>
          </w:p>
        </w:tc>
        <w:tc>
          <w:tcPr>
            <w:tcW w:w="1081" w:type="dxa"/>
            <w:vAlign w:val="center"/>
          </w:tcPr>
          <w:p w14:paraId="64CC7C0B" w14:textId="09628F6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0.0363</w:t>
            </w:r>
          </w:p>
        </w:tc>
        <w:tc>
          <w:tcPr>
            <w:tcW w:w="1355" w:type="dxa"/>
            <w:vAlign w:val="center"/>
          </w:tcPr>
          <w:p w14:paraId="13BFA59D" w14:textId="6BB2283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0.1451</w:t>
            </w:r>
          </w:p>
        </w:tc>
        <w:tc>
          <w:tcPr>
            <w:tcW w:w="1081" w:type="dxa"/>
            <w:vAlign w:val="center"/>
          </w:tcPr>
          <w:p w14:paraId="3A4135ED" w14:textId="096873CE"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0.0073</w:t>
            </w:r>
          </w:p>
        </w:tc>
        <w:tc>
          <w:tcPr>
            <w:tcW w:w="1355" w:type="dxa"/>
            <w:vAlign w:val="center"/>
          </w:tcPr>
          <w:p w14:paraId="72BEA048" w14:textId="3ECA008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0.0036</w:t>
            </w:r>
          </w:p>
        </w:tc>
        <w:tc>
          <w:tcPr>
            <w:tcW w:w="1081" w:type="dxa"/>
            <w:vAlign w:val="center"/>
          </w:tcPr>
          <w:p w14:paraId="1617EC89" w14:textId="27444F3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0.0363</w:t>
            </w:r>
          </w:p>
        </w:tc>
      </w:tr>
      <w:tr w:rsidR="008F5F67" w:rsidRPr="00484A17" w14:paraId="5632D05D" w14:textId="77777777" w:rsidTr="00654992">
        <w:trPr>
          <w:trHeight w:val="340"/>
        </w:trPr>
        <w:tc>
          <w:tcPr>
            <w:tcW w:w="1219" w:type="dxa"/>
            <w:vAlign w:val="center"/>
          </w:tcPr>
          <w:p w14:paraId="7B3F79EF"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2500.0</w:t>
            </w:r>
          </w:p>
        </w:tc>
        <w:tc>
          <w:tcPr>
            <w:tcW w:w="1355" w:type="dxa"/>
            <w:vAlign w:val="center"/>
          </w:tcPr>
          <w:p w14:paraId="4D35C547" w14:textId="3682B42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0.0613</w:t>
            </w:r>
          </w:p>
        </w:tc>
        <w:tc>
          <w:tcPr>
            <w:tcW w:w="1081" w:type="dxa"/>
            <w:vAlign w:val="center"/>
          </w:tcPr>
          <w:p w14:paraId="22DE0D96" w14:textId="698BE81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0.0306</w:t>
            </w:r>
          </w:p>
        </w:tc>
        <w:tc>
          <w:tcPr>
            <w:tcW w:w="1355" w:type="dxa"/>
            <w:vAlign w:val="center"/>
          </w:tcPr>
          <w:p w14:paraId="3BBBF056" w14:textId="160E1D0A"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0.1226</w:t>
            </w:r>
          </w:p>
        </w:tc>
        <w:tc>
          <w:tcPr>
            <w:tcW w:w="1081" w:type="dxa"/>
            <w:vAlign w:val="center"/>
          </w:tcPr>
          <w:p w14:paraId="33FFD99A" w14:textId="6912DDC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0.0061</w:t>
            </w:r>
          </w:p>
        </w:tc>
        <w:tc>
          <w:tcPr>
            <w:tcW w:w="1355" w:type="dxa"/>
            <w:vAlign w:val="center"/>
          </w:tcPr>
          <w:p w14:paraId="794BB1EC" w14:textId="5074F23F"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0.0031</w:t>
            </w:r>
          </w:p>
        </w:tc>
        <w:tc>
          <w:tcPr>
            <w:tcW w:w="1081" w:type="dxa"/>
            <w:vAlign w:val="center"/>
          </w:tcPr>
          <w:p w14:paraId="67F5A7CA" w14:textId="54DE7108"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0.0306</w:t>
            </w:r>
          </w:p>
        </w:tc>
      </w:tr>
      <w:tr w:rsidR="008F5F67" w:rsidRPr="00484A17" w14:paraId="4994F410" w14:textId="77777777" w:rsidTr="00654992">
        <w:trPr>
          <w:trHeight w:val="340"/>
        </w:trPr>
        <w:tc>
          <w:tcPr>
            <w:tcW w:w="1219" w:type="dxa"/>
            <w:vAlign w:val="center"/>
          </w:tcPr>
          <w:p w14:paraId="767073C5" w14:textId="7777777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下风向最大浓度</w:t>
            </w:r>
          </w:p>
        </w:tc>
        <w:tc>
          <w:tcPr>
            <w:tcW w:w="1355" w:type="dxa"/>
            <w:vAlign w:val="center"/>
          </w:tcPr>
          <w:p w14:paraId="531653A9" w14:textId="277A2CDC"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1.1388</w:t>
            </w:r>
          </w:p>
        </w:tc>
        <w:tc>
          <w:tcPr>
            <w:tcW w:w="1081" w:type="dxa"/>
            <w:vAlign w:val="center"/>
          </w:tcPr>
          <w:p w14:paraId="1A94676B" w14:textId="4AED5E27"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0.5694</w:t>
            </w:r>
          </w:p>
        </w:tc>
        <w:tc>
          <w:tcPr>
            <w:tcW w:w="1355" w:type="dxa"/>
            <w:vAlign w:val="center"/>
          </w:tcPr>
          <w:p w14:paraId="4A50325C" w14:textId="6CB50EA3"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2.2776</w:t>
            </w:r>
          </w:p>
        </w:tc>
        <w:tc>
          <w:tcPr>
            <w:tcW w:w="1081" w:type="dxa"/>
            <w:vAlign w:val="center"/>
          </w:tcPr>
          <w:p w14:paraId="01A8DFFF" w14:textId="7AC0CFE0"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0.1139</w:t>
            </w:r>
          </w:p>
        </w:tc>
        <w:tc>
          <w:tcPr>
            <w:tcW w:w="1355" w:type="dxa"/>
            <w:vAlign w:val="center"/>
          </w:tcPr>
          <w:p w14:paraId="46A5F4AE" w14:textId="118F5F15"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0.0569</w:t>
            </w:r>
          </w:p>
        </w:tc>
        <w:tc>
          <w:tcPr>
            <w:tcW w:w="1081" w:type="dxa"/>
            <w:vAlign w:val="center"/>
          </w:tcPr>
          <w:p w14:paraId="67A89625" w14:textId="4EDF9C6B" w:rsidR="008F5F67" w:rsidRPr="00484A17" w:rsidRDefault="008F5F67" w:rsidP="008F5F67">
            <w:pPr>
              <w:jc w:val="center"/>
              <w:rPr>
                <w:rFonts w:asciiTheme="minorHAnsi" w:hAnsiTheme="minorHAnsi"/>
                <w:b/>
                <w:szCs w:val="21"/>
                <w:u w:val="single"/>
              </w:rPr>
            </w:pPr>
            <w:r w:rsidRPr="00484A17">
              <w:rPr>
                <w:rFonts w:asciiTheme="minorHAnsi" w:hAnsiTheme="minorHAnsi"/>
                <w:b/>
                <w:szCs w:val="21"/>
                <w:u w:val="single"/>
              </w:rPr>
              <w:t>0.5694</w:t>
            </w:r>
          </w:p>
        </w:tc>
      </w:tr>
      <w:tr w:rsidR="00654992" w:rsidRPr="00484A17" w14:paraId="30CAA1D9" w14:textId="77777777" w:rsidTr="00654992">
        <w:trPr>
          <w:trHeight w:val="340"/>
        </w:trPr>
        <w:tc>
          <w:tcPr>
            <w:tcW w:w="1219" w:type="dxa"/>
            <w:vAlign w:val="center"/>
          </w:tcPr>
          <w:p w14:paraId="7263F5DB"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下风向最大浓度出现距离</w:t>
            </w:r>
          </w:p>
        </w:tc>
        <w:tc>
          <w:tcPr>
            <w:tcW w:w="1355" w:type="dxa"/>
            <w:vAlign w:val="center"/>
          </w:tcPr>
          <w:p w14:paraId="7FDBCFE9"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16.0</w:t>
            </w:r>
          </w:p>
        </w:tc>
        <w:tc>
          <w:tcPr>
            <w:tcW w:w="1081" w:type="dxa"/>
            <w:vAlign w:val="center"/>
          </w:tcPr>
          <w:p w14:paraId="2EC41981"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16.0</w:t>
            </w:r>
          </w:p>
        </w:tc>
        <w:tc>
          <w:tcPr>
            <w:tcW w:w="1355" w:type="dxa"/>
            <w:vAlign w:val="center"/>
          </w:tcPr>
          <w:p w14:paraId="34132715"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16.0</w:t>
            </w:r>
          </w:p>
        </w:tc>
        <w:tc>
          <w:tcPr>
            <w:tcW w:w="1081" w:type="dxa"/>
            <w:vAlign w:val="center"/>
          </w:tcPr>
          <w:p w14:paraId="5DCF1377"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16.0</w:t>
            </w:r>
          </w:p>
        </w:tc>
        <w:tc>
          <w:tcPr>
            <w:tcW w:w="1355" w:type="dxa"/>
            <w:vAlign w:val="center"/>
          </w:tcPr>
          <w:p w14:paraId="6C2A96F7"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16.0</w:t>
            </w:r>
          </w:p>
        </w:tc>
        <w:tc>
          <w:tcPr>
            <w:tcW w:w="1081" w:type="dxa"/>
            <w:vAlign w:val="center"/>
          </w:tcPr>
          <w:p w14:paraId="38EE80A9"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16.0</w:t>
            </w:r>
          </w:p>
        </w:tc>
      </w:tr>
      <w:tr w:rsidR="00654992" w:rsidRPr="00484A17" w14:paraId="02ECB9AD" w14:textId="77777777" w:rsidTr="00654992">
        <w:trPr>
          <w:trHeight w:val="340"/>
        </w:trPr>
        <w:tc>
          <w:tcPr>
            <w:tcW w:w="1219" w:type="dxa"/>
            <w:vAlign w:val="center"/>
          </w:tcPr>
          <w:p w14:paraId="68AFBC20"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D10%</w:t>
            </w:r>
            <w:r w:rsidRPr="00484A17">
              <w:rPr>
                <w:rFonts w:asciiTheme="minorHAnsi" w:hAnsiTheme="minorHAnsi"/>
                <w:b/>
                <w:szCs w:val="21"/>
                <w:u w:val="single"/>
              </w:rPr>
              <w:t>最远距离</w:t>
            </w:r>
          </w:p>
        </w:tc>
        <w:tc>
          <w:tcPr>
            <w:tcW w:w="1355" w:type="dxa"/>
            <w:vAlign w:val="center"/>
          </w:tcPr>
          <w:p w14:paraId="38D0FD9A"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w:t>
            </w:r>
          </w:p>
        </w:tc>
        <w:tc>
          <w:tcPr>
            <w:tcW w:w="1081" w:type="dxa"/>
            <w:vAlign w:val="center"/>
          </w:tcPr>
          <w:p w14:paraId="449DDEF4"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w:t>
            </w:r>
          </w:p>
        </w:tc>
        <w:tc>
          <w:tcPr>
            <w:tcW w:w="1355" w:type="dxa"/>
            <w:vAlign w:val="center"/>
          </w:tcPr>
          <w:p w14:paraId="777F0097"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w:t>
            </w:r>
          </w:p>
        </w:tc>
        <w:tc>
          <w:tcPr>
            <w:tcW w:w="1081" w:type="dxa"/>
            <w:vAlign w:val="center"/>
          </w:tcPr>
          <w:p w14:paraId="5E46ABC5"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w:t>
            </w:r>
          </w:p>
        </w:tc>
        <w:tc>
          <w:tcPr>
            <w:tcW w:w="1355" w:type="dxa"/>
            <w:vAlign w:val="center"/>
          </w:tcPr>
          <w:p w14:paraId="58389BC7"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w:t>
            </w:r>
          </w:p>
        </w:tc>
        <w:tc>
          <w:tcPr>
            <w:tcW w:w="1081" w:type="dxa"/>
            <w:vAlign w:val="center"/>
          </w:tcPr>
          <w:p w14:paraId="0EBCFAC3" w14:textId="77777777" w:rsidR="00654992" w:rsidRPr="00484A17" w:rsidRDefault="00654992" w:rsidP="00D3335E">
            <w:pPr>
              <w:jc w:val="center"/>
              <w:rPr>
                <w:rFonts w:asciiTheme="minorHAnsi" w:hAnsiTheme="minorHAnsi"/>
                <w:b/>
                <w:szCs w:val="21"/>
                <w:u w:val="single"/>
              </w:rPr>
            </w:pPr>
            <w:r w:rsidRPr="00484A17">
              <w:rPr>
                <w:rFonts w:asciiTheme="minorHAnsi" w:hAnsiTheme="minorHAnsi"/>
                <w:b/>
                <w:szCs w:val="21"/>
                <w:u w:val="single"/>
              </w:rPr>
              <w:t>/</w:t>
            </w:r>
          </w:p>
        </w:tc>
      </w:tr>
    </w:tbl>
    <w:p w14:paraId="4E9BC31E" w14:textId="77777777" w:rsidR="00654992" w:rsidRPr="00A964FF" w:rsidRDefault="00654992" w:rsidP="00654992">
      <w:pPr>
        <w:widowControl/>
        <w:spacing w:line="520" w:lineRule="exact"/>
        <w:ind w:firstLine="480"/>
        <w:rPr>
          <w:rFonts w:ascii="Calibri" w:hAnsi="Calibri"/>
          <w:b/>
          <w:color w:val="auto"/>
          <w:sz w:val="24"/>
        </w:rPr>
      </w:pPr>
      <w:r>
        <w:rPr>
          <w:rFonts w:ascii="Calibri" w:hAnsi="Calibri"/>
          <w:b/>
          <w:color w:val="auto"/>
          <w:sz w:val="24"/>
        </w:rPr>
        <w:t>6</w:t>
      </w:r>
      <w:r w:rsidRPr="00A964FF">
        <w:rPr>
          <w:rFonts w:ascii="Calibri" w:hAnsi="Calibri" w:hint="eastAsia"/>
          <w:b/>
          <w:color w:val="auto"/>
          <w:sz w:val="24"/>
        </w:rPr>
        <w:t>、</w:t>
      </w:r>
      <w:r>
        <w:rPr>
          <w:rFonts w:ascii="Calibri" w:hAnsi="Calibri" w:hint="eastAsia"/>
          <w:b/>
          <w:color w:val="auto"/>
          <w:sz w:val="24"/>
        </w:rPr>
        <w:t>预测等级判定</w:t>
      </w:r>
    </w:p>
    <w:p w14:paraId="48992241" w14:textId="77777777" w:rsidR="00654992" w:rsidRDefault="00654992" w:rsidP="00654992">
      <w:pPr>
        <w:spacing w:line="520" w:lineRule="exact"/>
        <w:ind w:firstLineChars="200" w:firstLine="480"/>
        <w:jc w:val="left"/>
        <w:rPr>
          <w:rFonts w:ascii="Calibri" w:hAnsi="Calibri"/>
          <w:sz w:val="24"/>
        </w:rPr>
      </w:pPr>
      <w:r>
        <w:rPr>
          <w:rFonts w:ascii="Calibri" w:hAnsi="Calibri"/>
          <w:sz w:val="24"/>
        </w:rPr>
        <w:t>依据《环境影响评价技术导则</w:t>
      </w:r>
      <w:r>
        <w:rPr>
          <w:rFonts w:ascii="Calibri" w:hAnsi="Calibri"/>
          <w:sz w:val="24"/>
        </w:rPr>
        <w:t xml:space="preserve"> </w:t>
      </w:r>
      <w:r>
        <w:rPr>
          <w:rFonts w:ascii="Calibri" w:hAnsi="Calibri"/>
          <w:sz w:val="24"/>
        </w:rPr>
        <w:t>大气环境》（</w:t>
      </w:r>
      <w:r>
        <w:rPr>
          <w:rFonts w:ascii="Calibri" w:hAnsi="Calibri"/>
          <w:sz w:val="24"/>
        </w:rPr>
        <w:t>HJ2.2-2018</w:t>
      </w:r>
      <w:r>
        <w:rPr>
          <w:rFonts w:ascii="Calibri" w:hAnsi="Calibri"/>
          <w:sz w:val="24"/>
        </w:rPr>
        <w:t>）评价工作等级的划分原则和方法，对项目选取的预测因子，利用推荐模式中的估算模式对项目的大气环境环境评价工作进行分级，根据项目污染源初步调查结果，分别计算项目排放主要污染物的最大地面空气质量浓度占标率</w:t>
      </w:r>
      <w:r>
        <w:rPr>
          <w:rFonts w:ascii="Calibri" w:hAnsi="Calibri"/>
          <w:sz w:val="24"/>
        </w:rPr>
        <w:t>P</w:t>
      </w:r>
      <w:r>
        <w:rPr>
          <w:rFonts w:ascii="Calibri" w:hAnsi="Calibri"/>
          <w:sz w:val="24"/>
          <w:vertAlign w:val="subscript"/>
        </w:rPr>
        <w:t>i</w:t>
      </w:r>
      <w:r>
        <w:rPr>
          <w:rFonts w:ascii="Calibri" w:hAnsi="Calibri"/>
          <w:sz w:val="24"/>
        </w:rPr>
        <w:t>（第</w:t>
      </w:r>
      <w:r>
        <w:rPr>
          <w:rFonts w:ascii="Calibri" w:hAnsi="Calibri"/>
          <w:sz w:val="24"/>
        </w:rPr>
        <w:t>i</w:t>
      </w:r>
      <w:r>
        <w:rPr>
          <w:rFonts w:ascii="Calibri" w:hAnsi="Calibri"/>
          <w:sz w:val="24"/>
        </w:rPr>
        <w:t>个污染物，简称</w:t>
      </w:r>
      <w:r>
        <w:rPr>
          <w:rFonts w:ascii="Calibri" w:hAnsi="Calibri" w:hint="eastAsia"/>
          <w:sz w:val="24"/>
        </w:rPr>
        <w:t>“</w:t>
      </w:r>
      <w:r>
        <w:rPr>
          <w:rFonts w:ascii="Calibri" w:hAnsi="Calibri"/>
          <w:sz w:val="24"/>
        </w:rPr>
        <w:t>最大浓度占标率</w:t>
      </w:r>
      <w:r>
        <w:rPr>
          <w:rFonts w:ascii="Calibri" w:hAnsi="Calibri" w:hint="eastAsia"/>
          <w:sz w:val="24"/>
        </w:rPr>
        <w:t>”</w:t>
      </w:r>
      <w:r>
        <w:rPr>
          <w:rFonts w:ascii="Calibri" w:hAnsi="Calibri"/>
          <w:sz w:val="24"/>
        </w:rPr>
        <w:t>），及第</w:t>
      </w:r>
      <w:r>
        <w:rPr>
          <w:rFonts w:ascii="Calibri" w:hAnsi="Calibri"/>
          <w:sz w:val="24"/>
        </w:rPr>
        <w:t>i</w:t>
      </w:r>
      <w:r>
        <w:rPr>
          <w:rFonts w:ascii="Calibri" w:hAnsi="Calibri"/>
          <w:sz w:val="24"/>
        </w:rPr>
        <w:t>个污染物的地面空气质量浓度达标准限值</w:t>
      </w:r>
      <w:r>
        <w:rPr>
          <w:rFonts w:ascii="Calibri" w:hAnsi="Calibri"/>
          <w:sz w:val="24"/>
        </w:rPr>
        <w:t>10%</w:t>
      </w:r>
      <w:r>
        <w:rPr>
          <w:rFonts w:ascii="Calibri" w:hAnsi="Calibri"/>
          <w:sz w:val="24"/>
        </w:rPr>
        <w:t>时所对应的最远距离</w:t>
      </w:r>
      <w:r>
        <w:rPr>
          <w:rFonts w:ascii="Calibri" w:hAnsi="Calibri"/>
          <w:sz w:val="24"/>
        </w:rPr>
        <w:lastRenderedPageBreak/>
        <w:t>D10%</w:t>
      </w:r>
      <w:r>
        <w:rPr>
          <w:rFonts w:ascii="Calibri" w:hAnsi="Calibri"/>
          <w:sz w:val="24"/>
        </w:rPr>
        <w:t>。其中</w:t>
      </w:r>
      <w:r>
        <w:rPr>
          <w:rFonts w:ascii="Calibri" w:hAnsi="Calibri"/>
          <w:sz w:val="24"/>
        </w:rPr>
        <w:t>P</w:t>
      </w:r>
      <w:r>
        <w:rPr>
          <w:rFonts w:ascii="Calibri" w:hAnsi="Calibri"/>
          <w:sz w:val="24"/>
          <w:vertAlign w:val="subscript"/>
        </w:rPr>
        <w:t>i</w:t>
      </w:r>
      <w:r>
        <w:rPr>
          <w:rFonts w:ascii="Calibri" w:hAnsi="Calibri"/>
          <w:sz w:val="24"/>
        </w:rPr>
        <w:t>定义见公示（</w:t>
      </w:r>
      <w:r>
        <w:rPr>
          <w:rFonts w:ascii="Calibri" w:hAnsi="Calibri"/>
          <w:sz w:val="24"/>
        </w:rPr>
        <w:t>1</w:t>
      </w:r>
      <w:r>
        <w:rPr>
          <w:rFonts w:ascii="Calibri" w:hAnsi="Calibri"/>
          <w:sz w:val="24"/>
        </w:rPr>
        <w:t>）</w:t>
      </w:r>
    </w:p>
    <w:p w14:paraId="35C3E59D" w14:textId="77777777" w:rsidR="00654992" w:rsidRDefault="00654992" w:rsidP="00654992">
      <w:pPr>
        <w:spacing w:line="520" w:lineRule="exact"/>
        <w:ind w:firstLineChars="200" w:firstLine="480"/>
        <w:rPr>
          <w:rFonts w:ascii="Calibri" w:hAnsi="Calibri"/>
          <w:sz w:val="24"/>
        </w:rPr>
      </w:pPr>
      <w:r>
        <w:rPr>
          <w:rFonts w:ascii="Calibri" w:hAnsi="Calibri"/>
          <w:sz w:val="24"/>
        </w:rPr>
        <w:t>P</w:t>
      </w:r>
      <w:r>
        <w:rPr>
          <w:rFonts w:ascii="Calibri" w:hAnsi="Calibri"/>
          <w:sz w:val="24"/>
          <w:vertAlign w:val="subscript"/>
        </w:rPr>
        <w:t>i</w:t>
      </w:r>
      <w:r>
        <w:rPr>
          <w:rFonts w:ascii="Calibri" w:hAnsi="Calibri"/>
          <w:sz w:val="24"/>
        </w:rPr>
        <w:t xml:space="preserve"> =</w:t>
      </w:r>
      <w:r>
        <w:rPr>
          <w:rFonts w:ascii="Calibri" w:hAnsi="Calibri"/>
          <w:sz w:val="24"/>
        </w:rPr>
        <w:t>（</w:t>
      </w:r>
      <w:r>
        <w:rPr>
          <w:rFonts w:ascii="Calibri" w:hAnsi="Calibri"/>
          <w:sz w:val="24"/>
        </w:rPr>
        <w:t>C</w:t>
      </w:r>
      <w:r>
        <w:rPr>
          <w:rFonts w:ascii="Calibri" w:hAnsi="Calibri"/>
          <w:sz w:val="24"/>
          <w:vertAlign w:val="subscript"/>
        </w:rPr>
        <w:t>i</w:t>
      </w:r>
      <w:r>
        <w:rPr>
          <w:rFonts w:ascii="Calibri" w:hAnsi="Calibri"/>
          <w:sz w:val="24"/>
        </w:rPr>
        <w:t>/C</w:t>
      </w:r>
      <w:r>
        <w:rPr>
          <w:rFonts w:ascii="Calibri" w:hAnsi="Calibri"/>
          <w:sz w:val="24"/>
          <w:vertAlign w:val="subscript"/>
        </w:rPr>
        <w:t>0i</w:t>
      </w:r>
      <w:r>
        <w:rPr>
          <w:rFonts w:ascii="Calibri" w:hAnsi="Calibri"/>
          <w:sz w:val="24"/>
        </w:rPr>
        <w:t>）</w:t>
      </w:r>
      <w:r>
        <w:rPr>
          <w:rFonts w:ascii="Calibri" w:hAnsi="Calibri"/>
          <w:sz w:val="24"/>
        </w:rPr>
        <w:t xml:space="preserve">×100% </w:t>
      </w:r>
      <w:r>
        <w:rPr>
          <w:rFonts w:ascii="Calibri" w:hAnsi="Calibri"/>
          <w:sz w:val="24"/>
        </w:rPr>
        <w:t>（</w:t>
      </w:r>
      <w:r>
        <w:rPr>
          <w:rFonts w:ascii="Calibri" w:hAnsi="Calibri"/>
          <w:sz w:val="24"/>
        </w:rPr>
        <w:t>1</w:t>
      </w:r>
      <w:r>
        <w:rPr>
          <w:rFonts w:ascii="Calibri" w:hAnsi="Calibri"/>
          <w:sz w:val="24"/>
        </w:rPr>
        <w:t>）</w:t>
      </w:r>
    </w:p>
    <w:p w14:paraId="374C953F" w14:textId="77777777" w:rsidR="00654992" w:rsidRDefault="00654992" w:rsidP="00654992">
      <w:pPr>
        <w:spacing w:line="520" w:lineRule="exact"/>
        <w:ind w:firstLine="480"/>
        <w:rPr>
          <w:rFonts w:ascii="Calibri" w:hAnsi="Calibri"/>
          <w:sz w:val="24"/>
        </w:rPr>
      </w:pPr>
      <w:r>
        <w:rPr>
          <w:rFonts w:ascii="Calibri" w:hAnsi="Calibri"/>
          <w:sz w:val="24"/>
        </w:rPr>
        <w:t>式中：</w:t>
      </w:r>
      <w:r>
        <w:rPr>
          <w:rFonts w:ascii="Calibri" w:hAnsi="Calibri"/>
          <w:sz w:val="24"/>
        </w:rPr>
        <w:t>P</w:t>
      </w:r>
      <w:r>
        <w:rPr>
          <w:rFonts w:ascii="Calibri" w:hAnsi="Calibri"/>
          <w:sz w:val="24"/>
          <w:vertAlign w:val="subscript"/>
        </w:rPr>
        <w:t>i</w:t>
      </w:r>
      <w:r>
        <w:rPr>
          <w:rFonts w:ascii="Calibri" w:hAnsi="Calibri"/>
          <w:sz w:val="24"/>
        </w:rPr>
        <w:t>——</w:t>
      </w:r>
      <w:r>
        <w:rPr>
          <w:rFonts w:ascii="Calibri" w:hAnsi="Calibri"/>
          <w:sz w:val="24"/>
        </w:rPr>
        <w:t>第</w:t>
      </w:r>
      <w:r>
        <w:rPr>
          <w:rFonts w:ascii="Calibri" w:hAnsi="Calibri"/>
          <w:sz w:val="24"/>
        </w:rPr>
        <w:t>i</w:t>
      </w:r>
      <w:r>
        <w:rPr>
          <w:rFonts w:ascii="Calibri" w:hAnsi="Calibri"/>
          <w:sz w:val="24"/>
        </w:rPr>
        <w:t>个污染物的最大地面空气质量浓度占标率，</w:t>
      </w:r>
      <w:r>
        <w:rPr>
          <w:rFonts w:ascii="Calibri" w:hAnsi="Calibri"/>
          <w:sz w:val="24"/>
        </w:rPr>
        <w:t>%</w:t>
      </w:r>
      <w:r>
        <w:rPr>
          <w:rFonts w:ascii="Calibri" w:hAnsi="Calibri"/>
          <w:sz w:val="24"/>
        </w:rPr>
        <w:t>；</w:t>
      </w:r>
    </w:p>
    <w:p w14:paraId="10066A3B" w14:textId="77777777" w:rsidR="00654992" w:rsidRDefault="00654992" w:rsidP="00654992">
      <w:pPr>
        <w:spacing w:line="520" w:lineRule="exact"/>
        <w:ind w:firstLineChars="500" w:firstLine="1200"/>
        <w:rPr>
          <w:rFonts w:ascii="Calibri" w:hAnsi="Calibri"/>
          <w:sz w:val="24"/>
        </w:rPr>
      </w:pPr>
      <w:r>
        <w:rPr>
          <w:rFonts w:ascii="Calibri" w:hAnsi="Calibri"/>
          <w:sz w:val="24"/>
        </w:rPr>
        <w:t>C</w:t>
      </w:r>
      <w:r>
        <w:rPr>
          <w:rFonts w:ascii="Calibri" w:hAnsi="Calibri"/>
          <w:sz w:val="24"/>
          <w:vertAlign w:val="subscript"/>
        </w:rPr>
        <w:t>i</w:t>
      </w:r>
      <w:r>
        <w:rPr>
          <w:rFonts w:ascii="Calibri" w:hAnsi="Calibri"/>
          <w:sz w:val="24"/>
        </w:rPr>
        <w:t>——</w:t>
      </w:r>
      <w:r>
        <w:rPr>
          <w:rFonts w:ascii="Calibri" w:hAnsi="Calibri"/>
          <w:sz w:val="24"/>
        </w:rPr>
        <w:t>采用估算模式计算出的第</w:t>
      </w:r>
      <w:r>
        <w:rPr>
          <w:rFonts w:ascii="Calibri" w:hAnsi="Calibri"/>
          <w:sz w:val="24"/>
        </w:rPr>
        <w:t>i</w:t>
      </w:r>
      <w:r>
        <w:rPr>
          <w:rFonts w:ascii="Calibri" w:hAnsi="Calibri"/>
          <w:sz w:val="24"/>
        </w:rPr>
        <w:t>个污染物的最大</w:t>
      </w:r>
      <w:r>
        <w:rPr>
          <w:rFonts w:ascii="Calibri" w:hAnsi="Calibri"/>
          <w:sz w:val="24"/>
        </w:rPr>
        <w:t>1h</w:t>
      </w:r>
      <w:r>
        <w:rPr>
          <w:rFonts w:ascii="Calibri" w:hAnsi="Calibri"/>
          <w:sz w:val="24"/>
        </w:rPr>
        <w:t>地面空气质量浓度，</w:t>
      </w:r>
      <w:r>
        <w:rPr>
          <w:rFonts w:ascii="Calibri" w:hAnsi="Calibri"/>
          <w:sz w:val="24"/>
        </w:rPr>
        <w:t>μg/m³</w:t>
      </w:r>
      <w:r>
        <w:rPr>
          <w:rFonts w:ascii="Calibri" w:hAnsi="Calibri"/>
          <w:sz w:val="24"/>
        </w:rPr>
        <w:t>；</w:t>
      </w:r>
    </w:p>
    <w:p w14:paraId="612612D4" w14:textId="77777777" w:rsidR="00654992" w:rsidRDefault="00654992" w:rsidP="00654992">
      <w:pPr>
        <w:spacing w:line="520" w:lineRule="exact"/>
        <w:ind w:firstLineChars="500" w:firstLine="1200"/>
        <w:rPr>
          <w:rFonts w:ascii="Calibri" w:hAnsi="Calibri"/>
          <w:sz w:val="24"/>
        </w:rPr>
      </w:pPr>
      <w:r>
        <w:rPr>
          <w:rFonts w:ascii="Calibri" w:hAnsi="Calibri"/>
          <w:sz w:val="24"/>
        </w:rPr>
        <w:t>C</w:t>
      </w:r>
      <w:r>
        <w:rPr>
          <w:rFonts w:ascii="Calibri" w:hAnsi="Calibri"/>
          <w:sz w:val="24"/>
          <w:vertAlign w:val="subscript"/>
        </w:rPr>
        <w:t>0i</w:t>
      </w:r>
      <w:r>
        <w:rPr>
          <w:rFonts w:ascii="Calibri" w:hAnsi="Calibri"/>
          <w:sz w:val="24"/>
        </w:rPr>
        <w:t>——</w:t>
      </w:r>
      <w:r>
        <w:rPr>
          <w:rFonts w:ascii="Calibri" w:hAnsi="Calibri"/>
          <w:sz w:val="24"/>
        </w:rPr>
        <w:t>第</w:t>
      </w:r>
      <w:r>
        <w:rPr>
          <w:rFonts w:ascii="Calibri" w:hAnsi="Calibri"/>
          <w:sz w:val="24"/>
        </w:rPr>
        <w:t>i</w:t>
      </w:r>
      <w:r>
        <w:rPr>
          <w:rFonts w:ascii="Calibri" w:hAnsi="Calibri"/>
          <w:sz w:val="24"/>
        </w:rPr>
        <w:t>个污染物的环境空气质量标准，</w:t>
      </w:r>
      <w:r>
        <w:rPr>
          <w:rFonts w:ascii="Calibri" w:hAnsi="Calibri"/>
          <w:sz w:val="24"/>
        </w:rPr>
        <w:t>μg/m³</w:t>
      </w:r>
      <w:r>
        <w:rPr>
          <w:rFonts w:ascii="Calibri" w:hAnsi="Calibri"/>
          <w:sz w:val="24"/>
        </w:rPr>
        <w:t>。一般选用</w:t>
      </w:r>
      <w:r>
        <w:rPr>
          <w:rFonts w:ascii="Calibri" w:hAnsi="Calibri"/>
          <w:sz w:val="24"/>
        </w:rPr>
        <w:t>GB3095</w:t>
      </w:r>
      <w:r>
        <w:rPr>
          <w:rFonts w:ascii="Calibri" w:hAnsi="Calibri"/>
          <w:sz w:val="24"/>
        </w:rPr>
        <w:t>中</w:t>
      </w:r>
      <w:r>
        <w:rPr>
          <w:rFonts w:ascii="Calibri" w:hAnsi="Calibri"/>
          <w:sz w:val="24"/>
        </w:rPr>
        <w:t>1h</w:t>
      </w:r>
      <w:r>
        <w:rPr>
          <w:rFonts w:ascii="Calibri" w:hAnsi="Calibri"/>
          <w:sz w:val="24"/>
        </w:rPr>
        <w:t>平均质量浓度中的二级浓度限值；对于该标准中未包含的污染物，使用</w:t>
      </w:r>
      <w:r>
        <w:rPr>
          <w:rFonts w:ascii="Calibri" w:hAnsi="Calibri"/>
          <w:sz w:val="24"/>
        </w:rPr>
        <w:t>5.2</w:t>
      </w:r>
      <w:r>
        <w:rPr>
          <w:rFonts w:ascii="Calibri" w:hAnsi="Calibri"/>
          <w:sz w:val="24"/>
        </w:rPr>
        <w:t>（评价标准确定）确定的各评价因子</w:t>
      </w:r>
      <w:r>
        <w:rPr>
          <w:rFonts w:ascii="Calibri" w:hAnsi="Calibri"/>
          <w:sz w:val="24"/>
        </w:rPr>
        <w:t>1h</w:t>
      </w:r>
      <w:r>
        <w:rPr>
          <w:rFonts w:ascii="Calibri" w:hAnsi="Calibri"/>
          <w:sz w:val="24"/>
        </w:rPr>
        <w:t>平均质量浓度限值。对仅有</w:t>
      </w:r>
      <w:r>
        <w:rPr>
          <w:rFonts w:ascii="Calibri" w:hAnsi="Calibri"/>
          <w:sz w:val="24"/>
        </w:rPr>
        <w:t>8h</w:t>
      </w:r>
      <w:r>
        <w:rPr>
          <w:rFonts w:ascii="Calibri" w:hAnsi="Calibri"/>
          <w:sz w:val="24"/>
        </w:rPr>
        <w:t>平均质量浓度限值、日平均质量浓度限值或年平均质量浓度限值的，可分别按</w:t>
      </w:r>
      <w:r>
        <w:rPr>
          <w:rFonts w:ascii="Calibri" w:hAnsi="Calibri"/>
          <w:sz w:val="24"/>
        </w:rPr>
        <w:t>2</w:t>
      </w:r>
      <w:r>
        <w:rPr>
          <w:rFonts w:ascii="Calibri" w:hAnsi="Calibri"/>
          <w:sz w:val="24"/>
        </w:rPr>
        <w:t>倍、</w:t>
      </w:r>
      <w:r>
        <w:rPr>
          <w:rFonts w:ascii="Calibri" w:hAnsi="Calibri"/>
          <w:sz w:val="24"/>
        </w:rPr>
        <w:t>3</w:t>
      </w:r>
      <w:r>
        <w:rPr>
          <w:rFonts w:ascii="Calibri" w:hAnsi="Calibri"/>
          <w:sz w:val="24"/>
        </w:rPr>
        <w:t>倍、</w:t>
      </w:r>
      <w:r>
        <w:rPr>
          <w:rFonts w:ascii="Calibri" w:hAnsi="Calibri"/>
          <w:sz w:val="24"/>
        </w:rPr>
        <w:t>6</w:t>
      </w:r>
      <w:r>
        <w:rPr>
          <w:rFonts w:ascii="Calibri" w:hAnsi="Calibri"/>
          <w:sz w:val="24"/>
        </w:rPr>
        <w:t>倍折算为</w:t>
      </w:r>
      <w:r>
        <w:rPr>
          <w:rFonts w:ascii="Calibri" w:hAnsi="Calibri"/>
          <w:sz w:val="24"/>
        </w:rPr>
        <w:t>1h</w:t>
      </w:r>
      <w:r>
        <w:rPr>
          <w:rFonts w:ascii="Calibri" w:hAnsi="Calibri"/>
          <w:sz w:val="24"/>
        </w:rPr>
        <w:t>平均质量浓度限值。</w:t>
      </w:r>
    </w:p>
    <w:p w14:paraId="0CAD2E1A" w14:textId="77777777" w:rsidR="008948ED" w:rsidRPr="00654992" w:rsidRDefault="00654992" w:rsidP="00654992">
      <w:pPr>
        <w:spacing w:line="520" w:lineRule="exact"/>
        <w:ind w:firstLineChars="200" w:firstLine="480"/>
        <w:jc w:val="left"/>
        <w:rPr>
          <w:rFonts w:ascii="Calibri" w:hAnsi="Calibri"/>
          <w:sz w:val="24"/>
        </w:rPr>
      </w:pPr>
      <w:r>
        <w:rPr>
          <w:rFonts w:ascii="Calibri" w:hAnsi="Calibri"/>
          <w:sz w:val="24"/>
        </w:rPr>
        <w:t>根据以上原则，采用估算模式计算工程各废气污染源的最大影响程度和最远影响范围，从而确定评价等级。项目主要污染物估算模型估算结果汇总见下表</w:t>
      </w:r>
      <w:r>
        <w:rPr>
          <w:rFonts w:ascii="Calibri" w:hAnsi="Calibri" w:hint="eastAsia"/>
          <w:sz w:val="24"/>
        </w:rPr>
        <w:t>：</w:t>
      </w:r>
    </w:p>
    <w:p w14:paraId="6ACE622D" w14:textId="77777777" w:rsidR="00DC354C" w:rsidRDefault="000F570A" w:rsidP="00DC354C">
      <w:pPr>
        <w:pStyle w:val="00"/>
        <w:rPr>
          <w:rFonts w:ascii="Calibri" w:eastAsia="黑体" w:hAnsi="Calibri"/>
          <w:color w:val="auto"/>
        </w:rPr>
      </w:pPr>
      <w:r w:rsidRPr="00A964FF">
        <w:rPr>
          <w:rFonts w:ascii="Calibri" w:eastAsia="黑体" w:hAnsi="Calibri"/>
          <w:color w:val="auto"/>
        </w:rPr>
        <w:t>表</w:t>
      </w:r>
      <w:r w:rsidRPr="00A964FF">
        <w:rPr>
          <w:rFonts w:ascii="Calibri" w:eastAsia="黑体" w:hAnsi="Calibri" w:hint="eastAsia"/>
          <w:color w:val="auto"/>
        </w:rPr>
        <w:t>4</w:t>
      </w:r>
      <w:r w:rsidR="0097027F" w:rsidRPr="00A964FF">
        <w:rPr>
          <w:rFonts w:ascii="Calibri" w:eastAsia="黑体" w:hAnsi="Calibri" w:hint="eastAsia"/>
          <w:color w:val="auto"/>
        </w:rPr>
        <w:t>.2</w:t>
      </w:r>
      <w:r w:rsidRPr="00A964FF">
        <w:rPr>
          <w:rFonts w:ascii="Calibri" w:eastAsia="黑体" w:hAnsi="Calibri"/>
          <w:color w:val="auto"/>
        </w:rPr>
        <w:t>-</w:t>
      </w:r>
      <w:r w:rsidRPr="00A964FF">
        <w:rPr>
          <w:rFonts w:ascii="Calibri" w:eastAsia="黑体" w:hAnsi="Calibri" w:hint="eastAsia"/>
          <w:color w:val="auto"/>
        </w:rPr>
        <w:t>1</w:t>
      </w:r>
      <w:r w:rsidR="00E756E9">
        <w:rPr>
          <w:rFonts w:ascii="Calibri" w:eastAsia="黑体" w:hAnsi="Calibri"/>
          <w:color w:val="auto"/>
        </w:rPr>
        <w:t>7</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环境空气评价等级判别结果</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96"/>
        <w:gridCol w:w="995"/>
        <w:gridCol w:w="995"/>
        <w:gridCol w:w="1133"/>
        <w:gridCol w:w="1590"/>
        <w:gridCol w:w="1018"/>
        <w:gridCol w:w="1018"/>
        <w:gridCol w:w="955"/>
      </w:tblGrid>
      <w:tr w:rsidR="004E3A5C" w:rsidRPr="008F5F67" w14:paraId="41A5EA72" w14:textId="77777777" w:rsidTr="004E3A5C">
        <w:trPr>
          <w:trHeight w:val="369"/>
        </w:trPr>
        <w:tc>
          <w:tcPr>
            <w:tcW w:w="572" w:type="pct"/>
            <w:vAlign w:val="center"/>
          </w:tcPr>
          <w:p w14:paraId="0A99442C" w14:textId="77777777" w:rsidR="004E3A5C" w:rsidRPr="008F5F67" w:rsidRDefault="004E3A5C" w:rsidP="008948ED">
            <w:pPr>
              <w:jc w:val="center"/>
              <w:rPr>
                <w:rFonts w:asciiTheme="minorHAnsi" w:hAnsiTheme="minorHAnsi"/>
                <w:szCs w:val="21"/>
              </w:rPr>
            </w:pPr>
            <w:r w:rsidRPr="008F5F67">
              <w:rPr>
                <w:rFonts w:asciiTheme="minorHAnsi" w:hAnsiTheme="minorHAnsi"/>
                <w:szCs w:val="21"/>
              </w:rPr>
              <w:t>序号</w:t>
            </w:r>
          </w:p>
        </w:tc>
        <w:tc>
          <w:tcPr>
            <w:tcW w:w="572" w:type="pct"/>
            <w:vAlign w:val="center"/>
          </w:tcPr>
          <w:p w14:paraId="34D90E26" w14:textId="77777777" w:rsidR="004E3A5C" w:rsidRPr="008F5F67" w:rsidRDefault="004E3A5C" w:rsidP="008948ED">
            <w:pPr>
              <w:jc w:val="center"/>
              <w:rPr>
                <w:rFonts w:asciiTheme="minorHAnsi" w:hAnsiTheme="minorHAnsi"/>
                <w:szCs w:val="21"/>
              </w:rPr>
            </w:pPr>
            <w:r w:rsidRPr="008F5F67">
              <w:rPr>
                <w:rFonts w:asciiTheme="minorHAnsi" w:hAnsiTheme="minorHAnsi"/>
                <w:szCs w:val="21"/>
              </w:rPr>
              <w:t>污染源名称</w:t>
            </w:r>
          </w:p>
        </w:tc>
        <w:tc>
          <w:tcPr>
            <w:tcW w:w="572" w:type="pct"/>
            <w:vAlign w:val="center"/>
          </w:tcPr>
          <w:p w14:paraId="06008A32" w14:textId="77777777" w:rsidR="004E3A5C" w:rsidRPr="008F5F67" w:rsidRDefault="004E3A5C" w:rsidP="008948ED">
            <w:pPr>
              <w:jc w:val="center"/>
              <w:rPr>
                <w:rFonts w:asciiTheme="minorHAnsi" w:hAnsiTheme="minorHAnsi"/>
                <w:szCs w:val="21"/>
              </w:rPr>
            </w:pPr>
            <w:r w:rsidRPr="008F5F67">
              <w:rPr>
                <w:rFonts w:asciiTheme="minorHAnsi" w:hAnsiTheme="minorHAnsi"/>
                <w:szCs w:val="21"/>
              </w:rPr>
              <w:t>评价因子</w:t>
            </w:r>
          </w:p>
        </w:tc>
        <w:tc>
          <w:tcPr>
            <w:tcW w:w="651" w:type="pct"/>
            <w:vAlign w:val="center"/>
          </w:tcPr>
          <w:p w14:paraId="5DC25117" w14:textId="77777777" w:rsidR="004E3A5C" w:rsidRPr="008F5F67" w:rsidRDefault="004E3A5C" w:rsidP="008948ED">
            <w:pPr>
              <w:jc w:val="center"/>
              <w:rPr>
                <w:rFonts w:asciiTheme="minorHAnsi" w:hAnsiTheme="minorHAnsi"/>
                <w:szCs w:val="21"/>
              </w:rPr>
            </w:pPr>
            <w:r w:rsidRPr="008F5F67">
              <w:rPr>
                <w:rFonts w:asciiTheme="minorHAnsi" w:hAnsiTheme="minorHAnsi"/>
                <w:szCs w:val="21"/>
              </w:rPr>
              <w:t>评价标准</w:t>
            </w:r>
            <w:r w:rsidRPr="008F5F67">
              <w:rPr>
                <w:rFonts w:asciiTheme="minorHAnsi" w:hAnsiTheme="minorHAnsi"/>
                <w:szCs w:val="21"/>
              </w:rPr>
              <w:t>(μg/m³)</w:t>
            </w:r>
          </w:p>
        </w:tc>
        <w:tc>
          <w:tcPr>
            <w:tcW w:w="914" w:type="pct"/>
            <w:vAlign w:val="center"/>
          </w:tcPr>
          <w:p w14:paraId="02ADD0A7" w14:textId="77777777" w:rsidR="004E3A5C" w:rsidRPr="008F5F67" w:rsidRDefault="004E3A5C" w:rsidP="008948ED">
            <w:pPr>
              <w:jc w:val="center"/>
              <w:rPr>
                <w:rFonts w:asciiTheme="minorHAnsi" w:hAnsiTheme="minorHAnsi"/>
                <w:szCs w:val="21"/>
              </w:rPr>
            </w:pPr>
            <w:r w:rsidRPr="008F5F67">
              <w:rPr>
                <w:rFonts w:asciiTheme="minorHAnsi" w:hAnsiTheme="minorHAnsi"/>
                <w:szCs w:val="21"/>
              </w:rPr>
              <w:t>Cmax(μg/m³)</w:t>
            </w:r>
          </w:p>
        </w:tc>
        <w:tc>
          <w:tcPr>
            <w:tcW w:w="585" w:type="pct"/>
            <w:vAlign w:val="center"/>
          </w:tcPr>
          <w:p w14:paraId="612A3C5B" w14:textId="77777777" w:rsidR="004E3A5C" w:rsidRPr="008F5F67" w:rsidRDefault="004E3A5C" w:rsidP="008948ED">
            <w:pPr>
              <w:jc w:val="center"/>
              <w:rPr>
                <w:rFonts w:asciiTheme="minorHAnsi" w:hAnsiTheme="minorHAnsi"/>
                <w:szCs w:val="21"/>
              </w:rPr>
            </w:pPr>
            <w:r w:rsidRPr="008F5F67">
              <w:rPr>
                <w:rFonts w:asciiTheme="minorHAnsi" w:hAnsiTheme="minorHAnsi"/>
                <w:szCs w:val="21"/>
              </w:rPr>
              <w:t>Pmax(%)</w:t>
            </w:r>
          </w:p>
        </w:tc>
        <w:tc>
          <w:tcPr>
            <w:tcW w:w="585" w:type="pct"/>
            <w:vAlign w:val="center"/>
          </w:tcPr>
          <w:p w14:paraId="2C5A56EA" w14:textId="77777777" w:rsidR="004E3A5C" w:rsidRPr="008F5F67" w:rsidRDefault="004E3A5C" w:rsidP="008948ED">
            <w:pPr>
              <w:jc w:val="center"/>
              <w:rPr>
                <w:rFonts w:asciiTheme="minorHAnsi" w:hAnsiTheme="minorHAnsi"/>
                <w:szCs w:val="21"/>
              </w:rPr>
            </w:pPr>
            <w:r w:rsidRPr="008F5F67">
              <w:rPr>
                <w:rFonts w:asciiTheme="minorHAnsi" w:hAnsiTheme="minorHAnsi"/>
                <w:szCs w:val="21"/>
              </w:rPr>
              <w:t>D10%(m)</w:t>
            </w:r>
          </w:p>
        </w:tc>
        <w:tc>
          <w:tcPr>
            <w:tcW w:w="549" w:type="pct"/>
            <w:vAlign w:val="center"/>
          </w:tcPr>
          <w:p w14:paraId="20C5100C" w14:textId="77777777" w:rsidR="004E3A5C" w:rsidRPr="008F5F67" w:rsidRDefault="004E3A5C" w:rsidP="004E3A5C">
            <w:pPr>
              <w:pStyle w:val="af6"/>
              <w:rPr>
                <w:rFonts w:asciiTheme="minorHAnsi" w:hAnsiTheme="minorHAnsi"/>
                <w:color w:val="auto"/>
                <w:szCs w:val="21"/>
              </w:rPr>
            </w:pPr>
            <w:r w:rsidRPr="008F5F67">
              <w:rPr>
                <w:rFonts w:asciiTheme="minorHAnsi" w:hAnsiTheme="minorHAnsi"/>
                <w:color w:val="auto"/>
                <w:szCs w:val="21"/>
              </w:rPr>
              <w:t>评价</w:t>
            </w:r>
          </w:p>
          <w:p w14:paraId="43056950" w14:textId="77777777" w:rsidR="004E3A5C" w:rsidRPr="008F5F67" w:rsidRDefault="004E3A5C" w:rsidP="004E3A5C">
            <w:pPr>
              <w:jc w:val="center"/>
              <w:rPr>
                <w:rFonts w:asciiTheme="minorHAnsi" w:hAnsiTheme="minorHAnsi"/>
                <w:szCs w:val="21"/>
              </w:rPr>
            </w:pPr>
            <w:r w:rsidRPr="008F5F67">
              <w:rPr>
                <w:rFonts w:asciiTheme="minorHAnsi" w:hAnsiTheme="minorHAnsi"/>
                <w:color w:val="auto"/>
                <w:szCs w:val="21"/>
              </w:rPr>
              <w:t>等级</w:t>
            </w:r>
          </w:p>
        </w:tc>
      </w:tr>
      <w:tr w:rsidR="00160029" w:rsidRPr="008F5F67" w14:paraId="4C302047" w14:textId="77777777" w:rsidTr="004E3A5C">
        <w:trPr>
          <w:trHeight w:val="369"/>
        </w:trPr>
        <w:tc>
          <w:tcPr>
            <w:tcW w:w="572" w:type="pct"/>
            <w:vMerge w:val="restart"/>
            <w:vAlign w:val="center"/>
          </w:tcPr>
          <w:p w14:paraId="151FDCBA"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1</w:t>
            </w:r>
          </w:p>
        </w:tc>
        <w:tc>
          <w:tcPr>
            <w:tcW w:w="572" w:type="pct"/>
            <w:vMerge w:val="restart"/>
            <w:vAlign w:val="center"/>
          </w:tcPr>
          <w:p w14:paraId="02637FB9"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聚合及聚合釜下料废气</w:t>
            </w:r>
          </w:p>
        </w:tc>
        <w:tc>
          <w:tcPr>
            <w:tcW w:w="572" w:type="pct"/>
            <w:vAlign w:val="center"/>
          </w:tcPr>
          <w:p w14:paraId="3E279FDE"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NH</w:t>
            </w:r>
            <w:r w:rsidRPr="008F5F67">
              <w:rPr>
                <w:rFonts w:asciiTheme="minorHAnsi" w:hAnsiTheme="minorHAnsi"/>
                <w:szCs w:val="21"/>
                <w:vertAlign w:val="subscript"/>
              </w:rPr>
              <w:t>3</w:t>
            </w:r>
          </w:p>
        </w:tc>
        <w:tc>
          <w:tcPr>
            <w:tcW w:w="651" w:type="pct"/>
            <w:vAlign w:val="center"/>
          </w:tcPr>
          <w:p w14:paraId="112CE251"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200.0</w:t>
            </w:r>
          </w:p>
        </w:tc>
        <w:tc>
          <w:tcPr>
            <w:tcW w:w="914" w:type="pct"/>
            <w:vAlign w:val="center"/>
          </w:tcPr>
          <w:p w14:paraId="01F2FFAB" w14:textId="77777777" w:rsidR="00160029" w:rsidRPr="008F5F67" w:rsidRDefault="00160029" w:rsidP="00160029">
            <w:pPr>
              <w:jc w:val="center"/>
              <w:rPr>
                <w:rFonts w:asciiTheme="minorHAnsi" w:hAnsiTheme="minorHAnsi"/>
              </w:rPr>
            </w:pPr>
            <w:r w:rsidRPr="008F5F67">
              <w:rPr>
                <w:rFonts w:asciiTheme="minorHAnsi" w:hAnsiTheme="minorHAnsi"/>
                <w:sz w:val="23"/>
                <w:szCs w:val="23"/>
              </w:rPr>
              <w:t>0.0467</w:t>
            </w:r>
          </w:p>
        </w:tc>
        <w:tc>
          <w:tcPr>
            <w:tcW w:w="585" w:type="pct"/>
            <w:vAlign w:val="center"/>
          </w:tcPr>
          <w:p w14:paraId="6246E61C" w14:textId="77777777" w:rsidR="00160029" w:rsidRPr="008F5F67" w:rsidRDefault="00160029" w:rsidP="00160029">
            <w:pPr>
              <w:jc w:val="center"/>
              <w:rPr>
                <w:rFonts w:asciiTheme="minorHAnsi" w:hAnsiTheme="minorHAnsi"/>
              </w:rPr>
            </w:pPr>
            <w:r w:rsidRPr="008F5F67">
              <w:rPr>
                <w:rFonts w:asciiTheme="minorHAnsi" w:hAnsiTheme="minorHAnsi"/>
                <w:sz w:val="23"/>
                <w:szCs w:val="23"/>
              </w:rPr>
              <w:t>0.0233</w:t>
            </w:r>
          </w:p>
        </w:tc>
        <w:tc>
          <w:tcPr>
            <w:tcW w:w="585" w:type="pct"/>
            <w:vAlign w:val="center"/>
          </w:tcPr>
          <w:p w14:paraId="54F6B9B5"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w:t>
            </w:r>
          </w:p>
        </w:tc>
        <w:tc>
          <w:tcPr>
            <w:tcW w:w="549" w:type="pct"/>
            <w:vAlign w:val="center"/>
          </w:tcPr>
          <w:p w14:paraId="183F3710"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三级</w:t>
            </w:r>
          </w:p>
        </w:tc>
      </w:tr>
      <w:tr w:rsidR="008F5F67" w:rsidRPr="008F5F67" w14:paraId="5459731F" w14:textId="77777777" w:rsidTr="004E3A5C">
        <w:trPr>
          <w:trHeight w:val="369"/>
        </w:trPr>
        <w:tc>
          <w:tcPr>
            <w:tcW w:w="572" w:type="pct"/>
            <w:vMerge/>
            <w:vAlign w:val="center"/>
          </w:tcPr>
          <w:p w14:paraId="6D5317DC" w14:textId="77777777" w:rsidR="008F5F67" w:rsidRPr="008F5F67" w:rsidRDefault="008F5F67" w:rsidP="008F5F67">
            <w:pPr>
              <w:jc w:val="center"/>
              <w:rPr>
                <w:rFonts w:asciiTheme="minorHAnsi" w:hAnsiTheme="minorHAnsi"/>
                <w:szCs w:val="21"/>
              </w:rPr>
            </w:pPr>
          </w:p>
        </w:tc>
        <w:tc>
          <w:tcPr>
            <w:tcW w:w="572" w:type="pct"/>
            <w:vMerge/>
            <w:vAlign w:val="center"/>
          </w:tcPr>
          <w:p w14:paraId="27C74B7C" w14:textId="77777777" w:rsidR="008F5F67" w:rsidRPr="008F5F67" w:rsidRDefault="008F5F67" w:rsidP="008F5F67">
            <w:pPr>
              <w:jc w:val="center"/>
              <w:rPr>
                <w:rFonts w:asciiTheme="minorHAnsi" w:hAnsiTheme="minorHAnsi"/>
                <w:szCs w:val="21"/>
              </w:rPr>
            </w:pPr>
          </w:p>
        </w:tc>
        <w:tc>
          <w:tcPr>
            <w:tcW w:w="572" w:type="pct"/>
            <w:vAlign w:val="center"/>
          </w:tcPr>
          <w:p w14:paraId="23A79191"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6E882005"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7741506E" w14:textId="031F1218" w:rsidR="008F5F67" w:rsidRPr="008F5F67" w:rsidRDefault="008F5F67" w:rsidP="008F5F67">
            <w:pPr>
              <w:jc w:val="center"/>
              <w:rPr>
                <w:rFonts w:asciiTheme="minorHAnsi" w:hAnsiTheme="minorHAnsi"/>
              </w:rPr>
            </w:pPr>
            <w:r w:rsidRPr="008F5F67">
              <w:rPr>
                <w:rFonts w:asciiTheme="minorHAnsi" w:hAnsiTheme="minorHAnsi"/>
                <w:sz w:val="23"/>
                <w:szCs w:val="23"/>
              </w:rPr>
              <w:t>5.1555</w:t>
            </w:r>
          </w:p>
        </w:tc>
        <w:tc>
          <w:tcPr>
            <w:tcW w:w="585" w:type="pct"/>
            <w:vAlign w:val="center"/>
          </w:tcPr>
          <w:p w14:paraId="1FB78C77" w14:textId="2B6D3F8F" w:rsidR="008F5F67" w:rsidRPr="008F5F67" w:rsidRDefault="008F5F67" w:rsidP="008F5F67">
            <w:pPr>
              <w:jc w:val="center"/>
              <w:rPr>
                <w:rFonts w:asciiTheme="minorHAnsi" w:hAnsiTheme="minorHAnsi"/>
              </w:rPr>
            </w:pPr>
            <w:r w:rsidRPr="008F5F67">
              <w:rPr>
                <w:rFonts w:asciiTheme="minorHAnsi" w:hAnsiTheme="minorHAnsi"/>
                <w:sz w:val="23"/>
                <w:szCs w:val="23"/>
              </w:rPr>
              <w:t>0.2578</w:t>
            </w:r>
          </w:p>
        </w:tc>
        <w:tc>
          <w:tcPr>
            <w:tcW w:w="585" w:type="pct"/>
            <w:vAlign w:val="center"/>
          </w:tcPr>
          <w:p w14:paraId="5F94787C"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w:t>
            </w:r>
          </w:p>
        </w:tc>
        <w:tc>
          <w:tcPr>
            <w:tcW w:w="549" w:type="pct"/>
            <w:vAlign w:val="center"/>
          </w:tcPr>
          <w:p w14:paraId="5DDF2348"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三级</w:t>
            </w:r>
          </w:p>
        </w:tc>
      </w:tr>
      <w:tr w:rsidR="004E3A5C" w:rsidRPr="008F5F67" w14:paraId="1FD1D336" w14:textId="77777777" w:rsidTr="004E3A5C">
        <w:trPr>
          <w:trHeight w:val="369"/>
        </w:trPr>
        <w:tc>
          <w:tcPr>
            <w:tcW w:w="572" w:type="pct"/>
            <w:vMerge w:val="restart"/>
            <w:vAlign w:val="center"/>
          </w:tcPr>
          <w:p w14:paraId="65A79E67" w14:textId="77777777" w:rsidR="004E3A5C" w:rsidRPr="008F5F67" w:rsidRDefault="00160029" w:rsidP="004E3A5C">
            <w:pPr>
              <w:jc w:val="center"/>
              <w:rPr>
                <w:rFonts w:asciiTheme="minorHAnsi" w:hAnsiTheme="minorHAnsi"/>
                <w:szCs w:val="21"/>
              </w:rPr>
            </w:pPr>
            <w:r w:rsidRPr="008F5F67">
              <w:rPr>
                <w:rFonts w:asciiTheme="minorHAnsi" w:hAnsiTheme="minorHAnsi"/>
                <w:szCs w:val="21"/>
              </w:rPr>
              <w:t>2</w:t>
            </w:r>
          </w:p>
        </w:tc>
        <w:tc>
          <w:tcPr>
            <w:tcW w:w="572" w:type="pct"/>
            <w:vMerge w:val="restart"/>
            <w:vAlign w:val="center"/>
          </w:tcPr>
          <w:p w14:paraId="6A74BF70"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导热油炉</w:t>
            </w:r>
          </w:p>
        </w:tc>
        <w:tc>
          <w:tcPr>
            <w:tcW w:w="572" w:type="pct"/>
            <w:vAlign w:val="center"/>
          </w:tcPr>
          <w:p w14:paraId="1BE12CB7"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10</w:t>
            </w:r>
          </w:p>
        </w:tc>
        <w:tc>
          <w:tcPr>
            <w:tcW w:w="651" w:type="pct"/>
            <w:vAlign w:val="center"/>
          </w:tcPr>
          <w:p w14:paraId="287D3A14"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450.0</w:t>
            </w:r>
          </w:p>
        </w:tc>
        <w:tc>
          <w:tcPr>
            <w:tcW w:w="914" w:type="pct"/>
            <w:vAlign w:val="center"/>
          </w:tcPr>
          <w:p w14:paraId="6729E3AF"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0.2687</w:t>
            </w:r>
          </w:p>
        </w:tc>
        <w:tc>
          <w:tcPr>
            <w:tcW w:w="585" w:type="pct"/>
            <w:vAlign w:val="center"/>
          </w:tcPr>
          <w:p w14:paraId="4D10A949"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0.0597</w:t>
            </w:r>
          </w:p>
        </w:tc>
        <w:tc>
          <w:tcPr>
            <w:tcW w:w="585" w:type="pct"/>
            <w:vAlign w:val="center"/>
          </w:tcPr>
          <w:p w14:paraId="133B20E7"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w:t>
            </w:r>
          </w:p>
        </w:tc>
        <w:tc>
          <w:tcPr>
            <w:tcW w:w="549" w:type="pct"/>
            <w:vAlign w:val="center"/>
          </w:tcPr>
          <w:p w14:paraId="5E69E70D"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三级</w:t>
            </w:r>
          </w:p>
        </w:tc>
      </w:tr>
      <w:tr w:rsidR="004E3A5C" w:rsidRPr="008F5F67" w14:paraId="0B84316B" w14:textId="77777777" w:rsidTr="004E3A5C">
        <w:trPr>
          <w:trHeight w:val="369"/>
        </w:trPr>
        <w:tc>
          <w:tcPr>
            <w:tcW w:w="572" w:type="pct"/>
            <w:vMerge/>
            <w:vAlign w:val="center"/>
          </w:tcPr>
          <w:p w14:paraId="4FA09143" w14:textId="77777777" w:rsidR="004E3A5C" w:rsidRPr="008F5F67" w:rsidRDefault="004E3A5C" w:rsidP="004E3A5C">
            <w:pPr>
              <w:jc w:val="center"/>
              <w:rPr>
                <w:rFonts w:asciiTheme="minorHAnsi" w:hAnsiTheme="minorHAnsi"/>
                <w:szCs w:val="21"/>
              </w:rPr>
            </w:pPr>
          </w:p>
        </w:tc>
        <w:tc>
          <w:tcPr>
            <w:tcW w:w="572" w:type="pct"/>
            <w:vMerge/>
            <w:vAlign w:val="center"/>
          </w:tcPr>
          <w:p w14:paraId="5DF19E97" w14:textId="77777777" w:rsidR="004E3A5C" w:rsidRPr="008F5F67" w:rsidRDefault="004E3A5C" w:rsidP="004E3A5C">
            <w:pPr>
              <w:jc w:val="center"/>
              <w:rPr>
                <w:rFonts w:asciiTheme="minorHAnsi" w:hAnsiTheme="minorHAnsi"/>
                <w:szCs w:val="21"/>
              </w:rPr>
            </w:pPr>
          </w:p>
        </w:tc>
        <w:tc>
          <w:tcPr>
            <w:tcW w:w="572" w:type="pct"/>
            <w:vAlign w:val="center"/>
          </w:tcPr>
          <w:p w14:paraId="195DEC3C"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2.5</w:t>
            </w:r>
          </w:p>
        </w:tc>
        <w:tc>
          <w:tcPr>
            <w:tcW w:w="651" w:type="pct"/>
            <w:vAlign w:val="center"/>
          </w:tcPr>
          <w:p w14:paraId="433C8A6B"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225.0</w:t>
            </w:r>
          </w:p>
        </w:tc>
        <w:tc>
          <w:tcPr>
            <w:tcW w:w="914" w:type="pct"/>
            <w:vAlign w:val="center"/>
          </w:tcPr>
          <w:p w14:paraId="049715CC"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0.0820</w:t>
            </w:r>
          </w:p>
        </w:tc>
        <w:tc>
          <w:tcPr>
            <w:tcW w:w="585" w:type="pct"/>
            <w:vAlign w:val="center"/>
          </w:tcPr>
          <w:p w14:paraId="332BEE4E"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0.0365</w:t>
            </w:r>
          </w:p>
        </w:tc>
        <w:tc>
          <w:tcPr>
            <w:tcW w:w="585" w:type="pct"/>
            <w:vAlign w:val="center"/>
          </w:tcPr>
          <w:p w14:paraId="3761ECD8"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w:t>
            </w:r>
          </w:p>
        </w:tc>
        <w:tc>
          <w:tcPr>
            <w:tcW w:w="549" w:type="pct"/>
            <w:vAlign w:val="center"/>
          </w:tcPr>
          <w:p w14:paraId="42C7F163"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三级</w:t>
            </w:r>
          </w:p>
        </w:tc>
      </w:tr>
      <w:tr w:rsidR="004E3A5C" w:rsidRPr="008F5F67" w14:paraId="1CA2ED14" w14:textId="77777777" w:rsidTr="004E3A5C">
        <w:trPr>
          <w:trHeight w:val="369"/>
        </w:trPr>
        <w:tc>
          <w:tcPr>
            <w:tcW w:w="572" w:type="pct"/>
            <w:vMerge/>
            <w:vAlign w:val="center"/>
          </w:tcPr>
          <w:p w14:paraId="6968902A" w14:textId="77777777" w:rsidR="004E3A5C" w:rsidRPr="008F5F67" w:rsidRDefault="004E3A5C" w:rsidP="004E3A5C">
            <w:pPr>
              <w:jc w:val="center"/>
              <w:rPr>
                <w:rFonts w:asciiTheme="minorHAnsi" w:hAnsiTheme="minorHAnsi"/>
                <w:szCs w:val="21"/>
              </w:rPr>
            </w:pPr>
          </w:p>
        </w:tc>
        <w:tc>
          <w:tcPr>
            <w:tcW w:w="572" w:type="pct"/>
            <w:vMerge/>
            <w:vAlign w:val="center"/>
          </w:tcPr>
          <w:p w14:paraId="6B6F813C" w14:textId="77777777" w:rsidR="004E3A5C" w:rsidRPr="008F5F67" w:rsidRDefault="004E3A5C" w:rsidP="004E3A5C">
            <w:pPr>
              <w:jc w:val="center"/>
              <w:rPr>
                <w:rFonts w:asciiTheme="minorHAnsi" w:hAnsiTheme="minorHAnsi"/>
                <w:szCs w:val="21"/>
              </w:rPr>
            </w:pPr>
          </w:p>
        </w:tc>
        <w:tc>
          <w:tcPr>
            <w:tcW w:w="572" w:type="pct"/>
            <w:vAlign w:val="center"/>
          </w:tcPr>
          <w:p w14:paraId="2FBDBCCE"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SO</w:t>
            </w:r>
            <w:r w:rsidRPr="008F5F67">
              <w:rPr>
                <w:rFonts w:asciiTheme="minorHAnsi" w:hAnsiTheme="minorHAnsi"/>
                <w:szCs w:val="21"/>
                <w:vertAlign w:val="subscript"/>
              </w:rPr>
              <w:t>2</w:t>
            </w:r>
          </w:p>
        </w:tc>
        <w:tc>
          <w:tcPr>
            <w:tcW w:w="651" w:type="pct"/>
            <w:vAlign w:val="center"/>
          </w:tcPr>
          <w:p w14:paraId="1D00F4CB"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500.0</w:t>
            </w:r>
          </w:p>
        </w:tc>
        <w:tc>
          <w:tcPr>
            <w:tcW w:w="914" w:type="pct"/>
            <w:vAlign w:val="center"/>
          </w:tcPr>
          <w:p w14:paraId="48BBCDF0"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0.2630</w:t>
            </w:r>
          </w:p>
        </w:tc>
        <w:tc>
          <w:tcPr>
            <w:tcW w:w="585" w:type="pct"/>
            <w:vAlign w:val="center"/>
          </w:tcPr>
          <w:p w14:paraId="67D840E2"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0.0526</w:t>
            </w:r>
          </w:p>
        </w:tc>
        <w:tc>
          <w:tcPr>
            <w:tcW w:w="585" w:type="pct"/>
            <w:vAlign w:val="center"/>
          </w:tcPr>
          <w:p w14:paraId="6E3E0FFD"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w:t>
            </w:r>
          </w:p>
        </w:tc>
        <w:tc>
          <w:tcPr>
            <w:tcW w:w="549" w:type="pct"/>
            <w:vAlign w:val="center"/>
          </w:tcPr>
          <w:p w14:paraId="5DF860B5"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三级</w:t>
            </w:r>
          </w:p>
        </w:tc>
      </w:tr>
      <w:tr w:rsidR="004E3A5C" w:rsidRPr="008F5F67" w14:paraId="0697E9E8" w14:textId="77777777" w:rsidTr="004E3A5C">
        <w:trPr>
          <w:trHeight w:val="369"/>
        </w:trPr>
        <w:tc>
          <w:tcPr>
            <w:tcW w:w="572" w:type="pct"/>
            <w:vMerge/>
            <w:vAlign w:val="center"/>
          </w:tcPr>
          <w:p w14:paraId="316DCC44" w14:textId="77777777" w:rsidR="004E3A5C" w:rsidRPr="008F5F67" w:rsidRDefault="004E3A5C" w:rsidP="004E3A5C">
            <w:pPr>
              <w:jc w:val="center"/>
              <w:rPr>
                <w:rFonts w:asciiTheme="minorHAnsi" w:hAnsiTheme="minorHAnsi"/>
                <w:szCs w:val="21"/>
              </w:rPr>
            </w:pPr>
          </w:p>
        </w:tc>
        <w:tc>
          <w:tcPr>
            <w:tcW w:w="572" w:type="pct"/>
            <w:vMerge/>
            <w:vAlign w:val="center"/>
          </w:tcPr>
          <w:p w14:paraId="5C4228CA" w14:textId="77777777" w:rsidR="004E3A5C" w:rsidRPr="008F5F67" w:rsidRDefault="004E3A5C" w:rsidP="004E3A5C">
            <w:pPr>
              <w:jc w:val="center"/>
              <w:rPr>
                <w:rFonts w:asciiTheme="minorHAnsi" w:hAnsiTheme="minorHAnsi"/>
                <w:szCs w:val="21"/>
              </w:rPr>
            </w:pPr>
          </w:p>
        </w:tc>
        <w:tc>
          <w:tcPr>
            <w:tcW w:w="572" w:type="pct"/>
            <w:vAlign w:val="center"/>
          </w:tcPr>
          <w:p w14:paraId="7123B049"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NOx</w:t>
            </w:r>
          </w:p>
        </w:tc>
        <w:tc>
          <w:tcPr>
            <w:tcW w:w="651" w:type="pct"/>
            <w:vAlign w:val="center"/>
          </w:tcPr>
          <w:p w14:paraId="012ED7BC"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250.0</w:t>
            </w:r>
          </w:p>
        </w:tc>
        <w:tc>
          <w:tcPr>
            <w:tcW w:w="914" w:type="pct"/>
            <w:vAlign w:val="center"/>
          </w:tcPr>
          <w:p w14:paraId="7D16FA78"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2.0080</w:t>
            </w:r>
          </w:p>
        </w:tc>
        <w:tc>
          <w:tcPr>
            <w:tcW w:w="585" w:type="pct"/>
            <w:vAlign w:val="center"/>
          </w:tcPr>
          <w:p w14:paraId="7593D01E"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0.8032</w:t>
            </w:r>
          </w:p>
        </w:tc>
        <w:tc>
          <w:tcPr>
            <w:tcW w:w="585" w:type="pct"/>
            <w:vAlign w:val="center"/>
          </w:tcPr>
          <w:p w14:paraId="42A40450"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w:t>
            </w:r>
          </w:p>
        </w:tc>
        <w:tc>
          <w:tcPr>
            <w:tcW w:w="549" w:type="pct"/>
            <w:vAlign w:val="center"/>
          </w:tcPr>
          <w:p w14:paraId="29463CD1" w14:textId="77777777" w:rsidR="004E3A5C" w:rsidRPr="008F5F67" w:rsidRDefault="004E3A5C" w:rsidP="004E3A5C">
            <w:pPr>
              <w:jc w:val="center"/>
              <w:rPr>
                <w:rFonts w:asciiTheme="minorHAnsi" w:hAnsiTheme="minorHAnsi"/>
                <w:szCs w:val="21"/>
              </w:rPr>
            </w:pPr>
            <w:r w:rsidRPr="008F5F67">
              <w:rPr>
                <w:rFonts w:asciiTheme="minorHAnsi" w:hAnsiTheme="minorHAnsi"/>
                <w:szCs w:val="21"/>
              </w:rPr>
              <w:t>三级</w:t>
            </w:r>
          </w:p>
        </w:tc>
      </w:tr>
      <w:tr w:rsidR="008F5F67" w:rsidRPr="008F5F67" w14:paraId="5403EB6D" w14:textId="77777777" w:rsidTr="004E3A5C">
        <w:trPr>
          <w:trHeight w:val="369"/>
        </w:trPr>
        <w:tc>
          <w:tcPr>
            <w:tcW w:w="572" w:type="pct"/>
            <w:vMerge w:val="restart"/>
            <w:vAlign w:val="center"/>
          </w:tcPr>
          <w:p w14:paraId="0CF523CE"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3</w:t>
            </w:r>
          </w:p>
        </w:tc>
        <w:tc>
          <w:tcPr>
            <w:tcW w:w="572" w:type="pct"/>
            <w:vMerge w:val="restart"/>
            <w:vAlign w:val="center"/>
          </w:tcPr>
          <w:p w14:paraId="336B43FE"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污水处理站</w:t>
            </w:r>
          </w:p>
        </w:tc>
        <w:tc>
          <w:tcPr>
            <w:tcW w:w="572" w:type="pct"/>
            <w:vAlign w:val="center"/>
          </w:tcPr>
          <w:p w14:paraId="351C3CEB"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NH</w:t>
            </w:r>
            <w:r w:rsidRPr="008F5F67">
              <w:rPr>
                <w:rFonts w:asciiTheme="minorHAnsi" w:hAnsiTheme="minorHAnsi"/>
                <w:szCs w:val="21"/>
                <w:vertAlign w:val="subscript"/>
              </w:rPr>
              <w:t>3</w:t>
            </w:r>
          </w:p>
        </w:tc>
        <w:tc>
          <w:tcPr>
            <w:tcW w:w="651" w:type="pct"/>
            <w:vAlign w:val="center"/>
          </w:tcPr>
          <w:p w14:paraId="1759CE74"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200.0</w:t>
            </w:r>
          </w:p>
        </w:tc>
        <w:tc>
          <w:tcPr>
            <w:tcW w:w="914" w:type="pct"/>
            <w:vAlign w:val="center"/>
          </w:tcPr>
          <w:p w14:paraId="6B51EBC4" w14:textId="1F40F78C" w:rsidR="008F5F67" w:rsidRPr="008F5F67" w:rsidRDefault="008F5F67" w:rsidP="008F5F67">
            <w:pPr>
              <w:jc w:val="center"/>
              <w:rPr>
                <w:rFonts w:asciiTheme="minorHAnsi" w:hAnsiTheme="minorHAnsi"/>
                <w:szCs w:val="21"/>
              </w:rPr>
            </w:pPr>
            <w:r w:rsidRPr="008F5F67">
              <w:rPr>
                <w:rFonts w:asciiTheme="minorHAnsi" w:hAnsiTheme="minorHAnsi"/>
                <w:sz w:val="23"/>
                <w:szCs w:val="23"/>
              </w:rPr>
              <w:t>0.1263</w:t>
            </w:r>
          </w:p>
        </w:tc>
        <w:tc>
          <w:tcPr>
            <w:tcW w:w="585" w:type="pct"/>
            <w:vAlign w:val="center"/>
          </w:tcPr>
          <w:p w14:paraId="40CE9DD0" w14:textId="41360684" w:rsidR="008F5F67" w:rsidRPr="008F5F67" w:rsidRDefault="008F5F67" w:rsidP="008F5F67">
            <w:pPr>
              <w:jc w:val="center"/>
              <w:rPr>
                <w:rFonts w:asciiTheme="minorHAnsi" w:hAnsiTheme="minorHAnsi"/>
                <w:szCs w:val="21"/>
              </w:rPr>
            </w:pPr>
            <w:r w:rsidRPr="008F5F67">
              <w:rPr>
                <w:rFonts w:asciiTheme="minorHAnsi" w:hAnsiTheme="minorHAnsi"/>
                <w:sz w:val="23"/>
                <w:szCs w:val="23"/>
              </w:rPr>
              <w:t>0.0631</w:t>
            </w:r>
          </w:p>
        </w:tc>
        <w:tc>
          <w:tcPr>
            <w:tcW w:w="585" w:type="pct"/>
            <w:vAlign w:val="center"/>
          </w:tcPr>
          <w:p w14:paraId="518905B6"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w:t>
            </w:r>
          </w:p>
        </w:tc>
        <w:tc>
          <w:tcPr>
            <w:tcW w:w="549" w:type="pct"/>
            <w:vAlign w:val="center"/>
          </w:tcPr>
          <w:p w14:paraId="10ACE618"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三级</w:t>
            </w:r>
          </w:p>
        </w:tc>
      </w:tr>
      <w:tr w:rsidR="008F5F67" w:rsidRPr="008F5F67" w14:paraId="6D79CA3F" w14:textId="77777777" w:rsidTr="004E3A5C">
        <w:trPr>
          <w:trHeight w:val="369"/>
        </w:trPr>
        <w:tc>
          <w:tcPr>
            <w:tcW w:w="572" w:type="pct"/>
            <w:vMerge/>
            <w:vAlign w:val="center"/>
          </w:tcPr>
          <w:p w14:paraId="356BA418" w14:textId="77777777" w:rsidR="008F5F67" w:rsidRPr="008F5F67" w:rsidRDefault="008F5F67" w:rsidP="008F5F67">
            <w:pPr>
              <w:jc w:val="center"/>
              <w:rPr>
                <w:rFonts w:asciiTheme="minorHAnsi" w:hAnsiTheme="minorHAnsi"/>
                <w:szCs w:val="21"/>
              </w:rPr>
            </w:pPr>
          </w:p>
        </w:tc>
        <w:tc>
          <w:tcPr>
            <w:tcW w:w="572" w:type="pct"/>
            <w:vMerge/>
            <w:vAlign w:val="center"/>
          </w:tcPr>
          <w:p w14:paraId="7D82EAFB" w14:textId="77777777" w:rsidR="008F5F67" w:rsidRPr="008F5F67" w:rsidRDefault="008F5F67" w:rsidP="008F5F67">
            <w:pPr>
              <w:jc w:val="center"/>
              <w:rPr>
                <w:rFonts w:asciiTheme="minorHAnsi" w:hAnsiTheme="minorHAnsi"/>
                <w:szCs w:val="21"/>
              </w:rPr>
            </w:pPr>
          </w:p>
        </w:tc>
        <w:tc>
          <w:tcPr>
            <w:tcW w:w="572" w:type="pct"/>
            <w:vAlign w:val="center"/>
          </w:tcPr>
          <w:p w14:paraId="227D9D37"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48050E89"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050B8985" w14:textId="5D0C78B1" w:rsidR="008F5F67" w:rsidRPr="008F5F67" w:rsidRDefault="008F5F67" w:rsidP="008F5F67">
            <w:pPr>
              <w:jc w:val="center"/>
              <w:rPr>
                <w:rFonts w:asciiTheme="minorHAnsi" w:hAnsiTheme="minorHAnsi"/>
                <w:szCs w:val="21"/>
              </w:rPr>
            </w:pPr>
            <w:r w:rsidRPr="008F5F67">
              <w:rPr>
                <w:rFonts w:asciiTheme="minorHAnsi" w:hAnsiTheme="minorHAnsi"/>
                <w:sz w:val="23"/>
                <w:szCs w:val="23"/>
              </w:rPr>
              <w:t>0.1474</w:t>
            </w:r>
          </w:p>
        </w:tc>
        <w:tc>
          <w:tcPr>
            <w:tcW w:w="585" w:type="pct"/>
            <w:vAlign w:val="center"/>
          </w:tcPr>
          <w:p w14:paraId="26A76E70" w14:textId="20F8D597" w:rsidR="008F5F67" w:rsidRPr="008F5F67" w:rsidRDefault="008F5F67" w:rsidP="008F5F67">
            <w:pPr>
              <w:jc w:val="center"/>
              <w:rPr>
                <w:rFonts w:asciiTheme="minorHAnsi" w:hAnsiTheme="minorHAnsi"/>
                <w:szCs w:val="21"/>
              </w:rPr>
            </w:pPr>
            <w:r w:rsidRPr="008F5F67">
              <w:rPr>
                <w:rFonts w:asciiTheme="minorHAnsi" w:hAnsiTheme="minorHAnsi"/>
                <w:sz w:val="23"/>
                <w:szCs w:val="23"/>
              </w:rPr>
              <w:t>0.0074</w:t>
            </w:r>
          </w:p>
        </w:tc>
        <w:tc>
          <w:tcPr>
            <w:tcW w:w="585" w:type="pct"/>
            <w:vAlign w:val="center"/>
          </w:tcPr>
          <w:p w14:paraId="00447E3B"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w:t>
            </w:r>
          </w:p>
        </w:tc>
        <w:tc>
          <w:tcPr>
            <w:tcW w:w="549" w:type="pct"/>
            <w:vAlign w:val="center"/>
          </w:tcPr>
          <w:p w14:paraId="5EAB521B"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三级</w:t>
            </w:r>
          </w:p>
        </w:tc>
      </w:tr>
      <w:tr w:rsidR="008F5F67" w:rsidRPr="008F5F67" w14:paraId="439FCF8B" w14:textId="77777777" w:rsidTr="004E3A5C">
        <w:trPr>
          <w:trHeight w:val="369"/>
        </w:trPr>
        <w:tc>
          <w:tcPr>
            <w:tcW w:w="572" w:type="pct"/>
            <w:vMerge/>
            <w:vAlign w:val="center"/>
          </w:tcPr>
          <w:p w14:paraId="7450C573" w14:textId="77777777" w:rsidR="008F5F67" w:rsidRPr="008F5F67" w:rsidRDefault="008F5F67" w:rsidP="008F5F67">
            <w:pPr>
              <w:jc w:val="center"/>
              <w:rPr>
                <w:rFonts w:asciiTheme="minorHAnsi" w:hAnsiTheme="minorHAnsi"/>
                <w:szCs w:val="21"/>
              </w:rPr>
            </w:pPr>
          </w:p>
        </w:tc>
        <w:tc>
          <w:tcPr>
            <w:tcW w:w="572" w:type="pct"/>
            <w:vMerge/>
            <w:vAlign w:val="center"/>
          </w:tcPr>
          <w:p w14:paraId="59B3C2A3" w14:textId="77777777" w:rsidR="008F5F67" w:rsidRPr="008F5F67" w:rsidRDefault="008F5F67" w:rsidP="008F5F67">
            <w:pPr>
              <w:jc w:val="center"/>
              <w:rPr>
                <w:rFonts w:asciiTheme="minorHAnsi" w:hAnsiTheme="minorHAnsi"/>
                <w:szCs w:val="21"/>
              </w:rPr>
            </w:pPr>
          </w:p>
        </w:tc>
        <w:tc>
          <w:tcPr>
            <w:tcW w:w="572" w:type="pct"/>
            <w:vAlign w:val="center"/>
          </w:tcPr>
          <w:p w14:paraId="603EDCC7"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H</w:t>
            </w:r>
            <w:r w:rsidRPr="008F5F67">
              <w:rPr>
                <w:rFonts w:asciiTheme="minorHAnsi" w:hAnsiTheme="minorHAnsi"/>
                <w:szCs w:val="21"/>
                <w:vertAlign w:val="subscript"/>
              </w:rPr>
              <w:t>2</w:t>
            </w:r>
            <w:r w:rsidRPr="008F5F67">
              <w:rPr>
                <w:rFonts w:asciiTheme="minorHAnsi" w:hAnsiTheme="minorHAnsi"/>
                <w:szCs w:val="21"/>
              </w:rPr>
              <w:t>S</w:t>
            </w:r>
          </w:p>
        </w:tc>
        <w:tc>
          <w:tcPr>
            <w:tcW w:w="651" w:type="pct"/>
            <w:vAlign w:val="center"/>
          </w:tcPr>
          <w:p w14:paraId="66A897E8"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10.0</w:t>
            </w:r>
          </w:p>
        </w:tc>
        <w:tc>
          <w:tcPr>
            <w:tcW w:w="914" w:type="pct"/>
            <w:vAlign w:val="center"/>
          </w:tcPr>
          <w:p w14:paraId="6CD88269" w14:textId="3BF2ADED" w:rsidR="008F5F67" w:rsidRPr="008F5F67" w:rsidRDefault="008F5F67" w:rsidP="008F5F67">
            <w:pPr>
              <w:jc w:val="center"/>
              <w:rPr>
                <w:rFonts w:asciiTheme="minorHAnsi" w:hAnsiTheme="minorHAnsi"/>
                <w:szCs w:val="21"/>
              </w:rPr>
            </w:pPr>
            <w:r w:rsidRPr="008F5F67">
              <w:rPr>
                <w:rFonts w:asciiTheme="minorHAnsi" w:hAnsiTheme="minorHAnsi"/>
                <w:sz w:val="23"/>
                <w:szCs w:val="23"/>
              </w:rPr>
              <w:t>0.0046</w:t>
            </w:r>
          </w:p>
        </w:tc>
        <w:tc>
          <w:tcPr>
            <w:tcW w:w="585" w:type="pct"/>
            <w:vAlign w:val="center"/>
          </w:tcPr>
          <w:p w14:paraId="490FDBE6" w14:textId="7829A2FA" w:rsidR="008F5F67" w:rsidRPr="008F5F67" w:rsidRDefault="008F5F67" w:rsidP="008F5F67">
            <w:pPr>
              <w:jc w:val="center"/>
              <w:rPr>
                <w:rFonts w:asciiTheme="minorHAnsi" w:hAnsiTheme="minorHAnsi"/>
                <w:szCs w:val="21"/>
              </w:rPr>
            </w:pPr>
            <w:r w:rsidRPr="008F5F67">
              <w:rPr>
                <w:rFonts w:asciiTheme="minorHAnsi" w:hAnsiTheme="minorHAnsi"/>
                <w:sz w:val="23"/>
                <w:szCs w:val="23"/>
              </w:rPr>
              <w:t>0.0463</w:t>
            </w:r>
          </w:p>
        </w:tc>
        <w:tc>
          <w:tcPr>
            <w:tcW w:w="585" w:type="pct"/>
            <w:vAlign w:val="center"/>
          </w:tcPr>
          <w:p w14:paraId="0073D3CF"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w:t>
            </w:r>
          </w:p>
        </w:tc>
        <w:tc>
          <w:tcPr>
            <w:tcW w:w="549" w:type="pct"/>
            <w:vAlign w:val="center"/>
          </w:tcPr>
          <w:p w14:paraId="76916A16"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三级</w:t>
            </w:r>
          </w:p>
        </w:tc>
      </w:tr>
      <w:tr w:rsidR="000C5806" w:rsidRPr="008F5F67" w14:paraId="475384B8" w14:textId="77777777" w:rsidTr="004E3A5C">
        <w:trPr>
          <w:trHeight w:val="369"/>
        </w:trPr>
        <w:tc>
          <w:tcPr>
            <w:tcW w:w="572" w:type="pct"/>
            <w:vMerge w:val="restart"/>
            <w:vAlign w:val="center"/>
          </w:tcPr>
          <w:p w14:paraId="64E9EF1F" w14:textId="77777777" w:rsidR="000C5806" w:rsidRPr="008F5F67" w:rsidRDefault="00160029" w:rsidP="004E3A5C">
            <w:pPr>
              <w:jc w:val="center"/>
              <w:rPr>
                <w:rFonts w:asciiTheme="minorHAnsi" w:hAnsiTheme="minorHAnsi"/>
                <w:szCs w:val="21"/>
              </w:rPr>
            </w:pPr>
            <w:r w:rsidRPr="008F5F67">
              <w:rPr>
                <w:rFonts w:asciiTheme="minorHAnsi" w:hAnsiTheme="minorHAnsi"/>
                <w:szCs w:val="21"/>
              </w:rPr>
              <w:t>4</w:t>
            </w:r>
          </w:p>
        </w:tc>
        <w:tc>
          <w:tcPr>
            <w:tcW w:w="572" w:type="pct"/>
            <w:vMerge w:val="restart"/>
            <w:vAlign w:val="center"/>
          </w:tcPr>
          <w:p w14:paraId="7D875A1D" w14:textId="77777777" w:rsidR="000C5806" w:rsidRPr="008F5F67" w:rsidRDefault="000C5806" w:rsidP="004E3A5C">
            <w:pPr>
              <w:jc w:val="center"/>
              <w:rPr>
                <w:rFonts w:asciiTheme="minorHAnsi" w:hAnsiTheme="minorHAnsi"/>
                <w:szCs w:val="21"/>
              </w:rPr>
            </w:pPr>
            <w:r w:rsidRPr="008F5F67">
              <w:rPr>
                <w:rFonts w:asciiTheme="minorHAnsi" w:hAnsiTheme="minorHAnsi"/>
                <w:szCs w:val="21"/>
              </w:rPr>
              <w:t>生产车间无组织</w:t>
            </w:r>
          </w:p>
        </w:tc>
        <w:tc>
          <w:tcPr>
            <w:tcW w:w="572" w:type="pct"/>
            <w:vAlign w:val="center"/>
          </w:tcPr>
          <w:p w14:paraId="4C991347" w14:textId="77777777" w:rsidR="000C5806" w:rsidRPr="008F5F67" w:rsidRDefault="000C5806" w:rsidP="004E3A5C">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278577AA" w14:textId="77777777" w:rsidR="000C5806" w:rsidRPr="008F5F67" w:rsidRDefault="000C5806" w:rsidP="004E3A5C">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464C8BAD" w14:textId="77777777" w:rsidR="000C5806" w:rsidRPr="008F5F67" w:rsidRDefault="000C5806" w:rsidP="004E3A5C">
            <w:pPr>
              <w:jc w:val="center"/>
              <w:rPr>
                <w:rFonts w:asciiTheme="minorHAnsi" w:hAnsiTheme="minorHAnsi"/>
                <w:szCs w:val="21"/>
              </w:rPr>
            </w:pPr>
            <w:r w:rsidRPr="008F5F67">
              <w:rPr>
                <w:rFonts w:asciiTheme="minorHAnsi" w:hAnsiTheme="minorHAnsi"/>
                <w:szCs w:val="21"/>
              </w:rPr>
              <w:t>13.1260</w:t>
            </w:r>
          </w:p>
        </w:tc>
        <w:tc>
          <w:tcPr>
            <w:tcW w:w="585" w:type="pct"/>
            <w:vAlign w:val="center"/>
          </w:tcPr>
          <w:p w14:paraId="01973A4D" w14:textId="77777777" w:rsidR="000C5806" w:rsidRPr="008F5F67" w:rsidRDefault="000C5806" w:rsidP="004E3A5C">
            <w:pPr>
              <w:jc w:val="center"/>
              <w:rPr>
                <w:rFonts w:asciiTheme="minorHAnsi" w:hAnsiTheme="minorHAnsi"/>
                <w:szCs w:val="21"/>
              </w:rPr>
            </w:pPr>
            <w:r w:rsidRPr="008F5F67">
              <w:rPr>
                <w:rFonts w:asciiTheme="minorHAnsi" w:hAnsiTheme="minorHAnsi"/>
                <w:szCs w:val="21"/>
              </w:rPr>
              <w:t>0.6563</w:t>
            </w:r>
          </w:p>
        </w:tc>
        <w:tc>
          <w:tcPr>
            <w:tcW w:w="585" w:type="pct"/>
            <w:vAlign w:val="center"/>
          </w:tcPr>
          <w:p w14:paraId="21A45645" w14:textId="77777777" w:rsidR="000C5806" w:rsidRPr="008F5F67" w:rsidRDefault="000C5806" w:rsidP="004E3A5C">
            <w:pPr>
              <w:jc w:val="center"/>
              <w:rPr>
                <w:rFonts w:asciiTheme="minorHAnsi" w:hAnsiTheme="minorHAnsi"/>
                <w:szCs w:val="21"/>
              </w:rPr>
            </w:pPr>
            <w:r w:rsidRPr="008F5F67">
              <w:rPr>
                <w:rFonts w:asciiTheme="minorHAnsi" w:hAnsiTheme="minorHAnsi"/>
                <w:szCs w:val="21"/>
              </w:rPr>
              <w:t>/</w:t>
            </w:r>
          </w:p>
        </w:tc>
        <w:tc>
          <w:tcPr>
            <w:tcW w:w="549" w:type="pct"/>
            <w:vAlign w:val="center"/>
          </w:tcPr>
          <w:p w14:paraId="388E54AF" w14:textId="77777777" w:rsidR="000C5806" w:rsidRPr="008F5F67" w:rsidRDefault="000C5806" w:rsidP="004E3A5C">
            <w:pPr>
              <w:jc w:val="center"/>
              <w:rPr>
                <w:rFonts w:asciiTheme="minorHAnsi" w:hAnsiTheme="minorHAnsi"/>
                <w:szCs w:val="21"/>
              </w:rPr>
            </w:pPr>
            <w:r w:rsidRPr="008F5F67">
              <w:rPr>
                <w:rFonts w:asciiTheme="minorHAnsi" w:hAnsiTheme="minorHAnsi"/>
                <w:szCs w:val="21"/>
              </w:rPr>
              <w:t>三级</w:t>
            </w:r>
          </w:p>
        </w:tc>
      </w:tr>
      <w:tr w:rsidR="00160029" w:rsidRPr="008F5F67" w14:paraId="0FFDF7EC" w14:textId="77777777" w:rsidTr="004E3A5C">
        <w:trPr>
          <w:trHeight w:val="369"/>
        </w:trPr>
        <w:tc>
          <w:tcPr>
            <w:tcW w:w="572" w:type="pct"/>
            <w:vMerge/>
            <w:vAlign w:val="center"/>
          </w:tcPr>
          <w:p w14:paraId="6A175F68" w14:textId="77777777" w:rsidR="00160029" w:rsidRPr="008F5F67" w:rsidRDefault="00160029" w:rsidP="00160029">
            <w:pPr>
              <w:jc w:val="center"/>
              <w:rPr>
                <w:rFonts w:asciiTheme="minorHAnsi" w:hAnsiTheme="minorHAnsi"/>
                <w:szCs w:val="21"/>
              </w:rPr>
            </w:pPr>
          </w:p>
        </w:tc>
        <w:tc>
          <w:tcPr>
            <w:tcW w:w="572" w:type="pct"/>
            <w:vMerge/>
            <w:vAlign w:val="center"/>
          </w:tcPr>
          <w:p w14:paraId="1DB40D72" w14:textId="77777777" w:rsidR="00160029" w:rsidRPr="008F5F67" w:rsidRDefault="00160029" w:rsidP="00160029">
            <w:pPr>
              <w:jc w:val="center"/>
              <w:rPr>
                <w:rFonts w:asciiTheme="minorHAnsi" w:hAnsiTheme="minorHAnsi"/>
                <w:szCs w:val="21"/>
              </w:rPr>
            </w:pPr>
          </w:p>
        </w:tc>
        <w:tc>
          <w:tcPr>
            <w:tcW w:w="572" w:type="pct"/>
            <w:vAlign w:val="center"/>
          </w:tcPr>
          <w:p w14:paraId="1F74A123"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10</w:t>
            </w:r>
          </w:p>
        </w:tc>
        <w:tc>
          <w:tcPr>
            <w:tcW w:w="651" w:type="pct"/>
            <w:vAlign w:val="center"/>
          </w:tcPr>
          <w:p w14:paraId="58568392"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450.0</w:t>
            </w:r>
          </w:p>
        </w:tc>
        <w:tc>
          <w:tcPr>
            <w:tcW w:w="914" w:type="pct"/>
            <w:vAlign w:val="center"/>
          </w:tcPr>
          <w:p w14:paraId="0A02594D" w14:textId="77777777" w:rsidR="00160029" w:rsidRPr="008F5F67" w:rsidRDefault="00160029" w:rsidP="00160029">
            <w:pPr>
              <w:jc w:val="center"/>
              <w:rPr>
                <w:rFonts w:asciiTheme="minorHAnsi" w:hAnsiTheme="minorHAnsi"/>
              </w:rPr>
            </w:pPr>
            <w:r w:rsidRPr="008F5F67">
              <w:rPr>
                <w:rFonts w:asciiTheme="minorHAnsi" w:hAnsiTheme="minorHAnsi"/>
                <w:sz w:val="23"/>
                <w:szCs w:val="23"/>
              </w:rPr>
              <w:t>0.0574</w:t>
            </w:r>
          </w:p>
        </w:tc>
        <w:tc>
          <w:tcPr>
            <w:tcW w:w="585" w:type="pct"/>
            <w:vAlign w:val="center"/>
          </w:tcPr>
          <w:p w14:paraId="1728899C" w14:textId="77777777" w:rsidR="00160029" w:rsidRPr="008F5F67" w:rsidRDefault="00160029" w:rsidP="00160029">
            <w:pPr>
              <w:jc w:val="center"/>
              <w:rPr>
                <w:rFonts w:asciiTheme="minorHAnsi" w:hAnsiTheme="minorHAnsi"/>
              </w:rPr>
            </w:pPr>
            <w:r w:rsidRPr="008F5F67">
              <w:rPr>
                <w:rFonts w:asciiTheme="minorHAnsi" w:hAnsiTheme="minorHAnsi"/>
                <w:sz w:val="23"/>
                <w:szCs w:val="23"/>
              </w:rPr>
              <w:t>0.0127</w:t>
            </w:r>
          </w:p>
        </w:tc>
        <w:tc>
          <w:tcPr>
            <w:tcW w:w="585" w:type="pct"/>
            <w:vAlign w:val="center"/>
          </w:tcPr>
          <w:p w14:paraId="0933E6B7"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w:t>
            </w:r>
          </w:p>
        </w:tc>
        <w:tc>
          <w:tcPr>
            <w:tcW w:w="549" w:type="pct"/>
            <w:vAlign w:val="center"/>
          </w:tcPr>
          <w:p w14:paraId="2726A112"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三级</w:t>
            </w:r>
          </w:p>
        </w:tc>
      </w:tr>
      <w:tr w:rsidR="00160029" w:rsidRPr="008F5F67" w14:paraId="00FEA941" w14:textId="77777777" w:rsidTr="004E3A5C">
        <w:trPr>
          <w:trHeight w:val="369"/>
        </w:trPr>
        <w:tc>
          <w:tcPr>
            <w:tcW w:w="572" w:type="pct"/>
            <w:vMerge/>
            <w:vAlign w:val="center"/>
          </w:tcPr>
          <w:p w14:paraId="1D1CDE0C" w14:textId="77777777" w:rsidR="00160029" w:rsidRPr="008F5F67" w:rsidRDefault="00160029" w:rsidP="00160029">
            <w:pPr>
              <w:jc w:val="center"/>
              <w:rPr>
                <w:rFonts w:asciiTheme="minorHAnsi" w:hAnsiTheme="minorHAnsi"/>
                <w:szCs w:val="21"/>
              </w:rPr>
            </w:pPr>
          </w:p>
        </w:tc>
        <w:tc>
          <w:tcPr>
            <w:tcW w:w="572" w:type="pct"/>
            <w:vMerge/>
            <w:vAlign w:val="center"/>
          </w:tcPr>
          <w:p w14:paraId="777F2682" w14:textId="77777777" w:rsidR="00160029" w:rsidRPr="008F5F67" w:rsidRDefault="00160029" w:rsidP="00160029">
            <w:pPr>
              <w:jc w:val="center"/>
              <w:rPr>
                <w:rFonts w:asciiTheme="minorHAnsi" w:hAnsiTheme="minorHAnsi"/>
                <w:szCs w:val="21"/>
              </w:rPr>
            </w:pPr>
          </w:p>
        </w:tc>
        <w:tc>
          <w:tcPr>
            <w:tcW w:w="572" w:type="pct"/>
            <w:vAlign w:val="center"/>
          </w:tcPr>
          <w:p w14:paraId="63F53340"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PM</w:t>
            </w:r>
            <w:r w:rsidRPr="008F5F67">
              <w:rPr>
                <w:rFonts w:asciiTheme="minorHAnsi" w:hAnsiTheme="minorHAnsi"/>
                <w:szCs w:val="21"/>
                <w:vertAlign w:val="subscript"/>
              </w:rPr>
              <w:t>2.5</w:t>
            </w:r>
          </w:p>
        </w:tc>
        <w:tc>
          <w:tcPr>
            <w:tcW w:w="651" w:type="pct"/>
            <w:vAlign w:val="center"/>
          </w:tcPr>
          <w:p w14:paraId="50BBF8FD"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225.0</w:t>
            </w:r>
          </w:p>
        </w:tc>
        <w:tc>
          <w:tcPr>
            <w:tcW w:w="914" w:type="pct"/>
            <w:vAlign w:val="center"/>
          </w:tcPr>
          <w:p w14:paraId="564BDA79" w14:textId="77777777" w:rsidR="00160029" w:rsidRPr="008F5F67" w:rsidRDefault="00160029" w:rsidP="00160029">
            <w:pPr>
              <w:jc w:val="center"/>
              <w:rPr>
                <w:rFonts w:asciiTheme="minorHAnsi" w:hAnsiTheme="minorHAnsi"/>
              </w:rPr>
            </w:pPr>
            <w:r w:rsidRPr="008F5F67">
              <w:rPr>
                <w:rFonts w:asciiTheme="minorHAnsi" w:hAnsiTheme="minorHAnsi"/>
                <w:sz w:val="23"/>
                <w:szCs w:val="23"/>
              </w:rPr>
              <w:t>0.0172</w:t>
            </w:r>
          </w:p>
        </w:tc>
        <w:tc>
          <w:tcPr>
            <w:tcW w:w="585" w:type="pct"/>
            <w:vAlign w:val="center"/>
          </w:tcPr>
          <w:p w14:paraId="3709489F" w14:textId="77777777" w:rsidR="00160029" w:rsidRPr="008F5F67" w:rsidRDefault="00160029" w:rsidP="00160029">
            <w:pPr>
              <w:jc w:val="center"/>
              <w:rPr>
                <w:rFonts w:asciiTheme="minorHAnsi" w:hAnsiTheme="minorHAnsi"/>
              </w:rPr>
            </w:pPr>
            <w:r w:rsidRPr="008F5F67">
              <w:rPr>
                <w:rFonts w:asciiTheme="minorHAnsi" w:hAnsiTheme="minorHAnsi"/>
                <w:sz w:val="23"/>
                <w:szCs w:val="23"/>
              </w:rPr>
              <w:t>0.0076</w:t>
            </w:r>
          </w:p>
        </w:tc>
        <w:tc>
          <w:tcPr>
            <w:tcW w:w="585" w:type="pct"/>
            <w:vAlign w:val="center"/>
          </w:tcPr>
          <w:p w14:paraId="7A33CE7B"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w:t>
            </w:r>
          </w:p>
        </w:tc>
        <w:tc>
          <w:tcPr>
            <w:tcW w:w="549" w:type="pct"/>
            <w:vAlign w:val="center"/>
          </w:tcPr>
          <w:p w14:paraId="308532E8" w14:textId="77777777" w:rsidR="00160029" w:rsidRPr="008F5F67" w:rsidRDefault="00160029" w:rsidP="00160029">
            <w:pPr>
              <w:jc w:val="center"/>
              <w:rPr>
                <w:rFonts w:asciiTheme="minorHAnsi" w:hAnsiTheme="minorHAnsi"/>
                <w:szCs w:val="21"/>
              </w:rPr>
            </w:pPr>
            <w:r w:rsidRPr="008F5F67">
              <w:rPr>
                <w:rFonts w:asciiTheme="minorHAnsi" w:hAnsiTheme="minorHAnsi"/>
                <w:szCs w:val="21"/>
              </w:rPr>
              <w:t>三级</w:t>
            </w:r>
          </w:p>
        </w:tc>
      </w:tr>
      <w:tr w:rsidR="008F5F67" w:rsidRPr="008F5F67" w14:paraId="62973793" w14:textId="77777777" w:rsidTr="004E3A5C">
        <w:trPr>
          <w:trHeight w:val="369"/>
        </w:trPr>
        <w:tc>
          <w:tcPr>
            <w:tcW w:w="572" w:type="pct"/>
            <w:vMerge w:val="restart"/>
            <w:vAlign w:val="center"/>
          </w:tcPr>
          <w:p w14:paraId="44AFD437"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5</w:t>
            </w:r>
          </w:p>
        </w:tc>
        <w:tc>
          <w:tcPr>
            <w:tcW w:w="572" w:type="pct"/>
            <w:vMerge w:val="restart"/>
            <w:vAlign w:val="center"/>
          </w:tcPr>
          <w:p w14:paraId="286D2543"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污水区无组织</w:t>
            </w:r>
          </w:p>
        </w:tc>
        <w:tc>
          <w:tcPr>
            <w:tcW w:w="572" w:type="pct"/>
            <w:vAlign w:val="center"/>
          </w:tcPr>
          <w:p w14:paraId="7E3B5420"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NH</w:t>
            </w:r>
            <w:r w:rsidRPr="008F5F67">
              <w:rPr>
                <w:rFonts w:asciiTheme="minorHAnsi" w:hAnsiTheme="minorHAnsi"/>
                <w:szCs w:val="21"/>
                <w:vertAlign w:val="subscript"/>
              </w:rPr>
              <w:t>3</w:t>
            </w:r>
          </w:p>
        </w:tc>
        <w:tc>
          <w:tcPr>
            <w:tcW w:w="651" w:type="pct"/>
            <w:vAlign w:val="center"/>
          </w:tcPr>
          <w:p w14:paraId="45175931"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200.0</w:t>
            </w:r>
          </w:p>
        </w:tc>
        <w:tc>
          <w:tcPr>
            <w:tcW w:w="914" w:type="pct"/>
            <w:vAlign w:val="center"/>
          </w:tcPr>
          <w:p w14:paraId="2BC59986" w14:textId="5CBC5783" w:rsidR="008F5F67" w:rsidRPr="008F5F67" w:rsidRDefault="008F5F67" w:rsidP="008F5F67">
            <w:pPr>
              <w:jc w:val="center"/>
              <w:rPr>
                <w:rFonts w:asciiTheme="minorHAnsi" w:hAnsiTheme="minorHAnsi"/>
                <w:szCs w:val="21"/>
              </w:rPr>
            </w:pPr>
            <w:r w:rsidRPr="008F5F67">
              <w:rPr>
                <w:rFonts w:asciiTheme="minorHAnsi" w:hAnsiTheme="minorHAnsi"/>
                <w:sz w:val="23"/>
                <w:szCs w:val="23"/>
              </w:rPr>
              <w:t>1.1388</w:t>
            </w:r>
          </w:p>
        </w:tc>
        <w:tc>
          <w:tcPr>
            <w:tcW w:w="585" w:type="pct"/>
            <w:vAlign w:val="center"/>
          </w:tcPr>
          <w:p w14:paraId="569F72A9" w14:textId="0FC84ECC" w:rsidR="008F5F67" w:rsidRPr="008F5F67" w:rsidRDefault="008F5F67" w:rsidP="008F5F67">
            <w:pPr>
              <w:jc w:val="center"/>
              <w:rPr>
                <w:rFonts w:asciiTheme="minorHAnsi" w:hAnsiTheme="minorHAnsi"/>
                <w:szCs w:val="21"/>
              </w:rPr>
            </w:pPr>
            <w:r w:rsidRPr="008F5F67">
              <w:rPr>
                <w:rFonts w:asciiTheme="minorHAnsi" w:hAnsiTheme="minorHAnsi"/>
                <w:sz w:val="23"/>
                <w:szCs w:val="23"/>
              </w:rPr>
              <w:t>0.5694</w:t>
            </w:r>
          </w:p>
        </w:tc>
        <w:tc>
          <w:tcPr>
            <w:tcW w:w="585" w:type="pct"/>
            <w:vAlign w:val="center"/>
          </w:tcPr>
          <w:p w14:paraId="3DFE9416"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w:t>
            </w:r>
          </w:p>
        </w:tc>
        <w:tc>
          <w:tcPr>
            <w:tcW w:w="549" w:type="pct"/>
            <w:vAlign w:val="center"/>
          </w:tcPr>
          <w:p w14:paraId="6A83EFE6"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三级</w:t>
            </w:r>
          </w:p>
        </w:tc>
      </w:tr>
      <w:tr w:rsidR="008F5F67" w:rsidRPr="008F5F67" w14:paraId="446A8BB3" w14:textId="77777777" w:rsidTr="004E3A5C">
        <w:trPr>
          <w:trHeight w:val="369"/>
        </w:trPr>
        <w:tc>
          <w:tcPr>
            <w:tcW w:w="572" w:type="pct"/>
            <w:vMerge/>
            <w:vAlign w:val="center"/>
          </w:tcPr>
          <w:p w14:paraId="5E3BE741" w14:textId="77777777" w:rsidR="008F5F67" w:rsidRPr="008F5F67" w:rsidRDefault="008F5F67" w:rsidP="008F5F67">
            <w:pPr>
              <w:jc w:val="center"/>
              <w:rPr>
                <w:rFonts w:asciiTheme="minorHAnsi" w:hAnsiTheme="minorHAnsi"/>
                <w:szCs w:val="21"/>
              </w:rPr>
            </w:pPr>
          </w:p>
        </w:tc>
        <w:tc>
          <w:tcPr>
            <w:tcW w:w="572" w:type="pct"/>
            <w:vMerge/>
            <w:vAlign w:val="center"/>
          </w:tcPr>
          <w:p w14:paraId="3B23952F" w14:textId="77777777" w:rsidR="008F5F67" w:rsidRPr="008F5F67" w:rsidRDefault="008F5F67" w:rsidP="008F5F67">
            <w:pPr>
              <w:jc w:val="center"/>
              <w:rPr>
                <w:rFonts w:asciiTheme="minorHAnsi" w:hAnsiTheme="minorHAnsi"/>
                <w:szCs w:val="21"/>
              </w:rPr>
            </w:pPr>
          </w:p>
        </w:tc>
        <w:tc>
          <w:tcPr>
            <w:tcW w:w="572" w:type="pct"/>
            <w:vAlign w:val="center"/>
          </w:tcPr>
          <w:p w14:paraId="5F1F0D7B"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NMHC</w:t>
            </w:r>
          </w:p>
        </w:tc>
        <w:tc>
          <w:tcPr>
            <w:tcW w:w="651" w:type="pct"/>
            <w:vAlign w:val="center"/>
          </w:tcPr>
          <w:p w14:paraId="4555069E"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2000.0</w:t>
            </w:r>
          </w:p>
        </w:tc>
        <w:tc>
          <w:tcPr>
            <w:tcW w:w="914" w:type="pct"/>
            <w:vAlign w:val="center"/>
          </w:tcPr>
          <w:p w14:paraId="69EBBA8E" w14:textId="5E2578F7" w:rsidR="008F5F67" w:rsidRPr="008F5F67" w:rsidRDefault="008F5F67" w:rsidP="008F5F67">
            <w:pPr>
              <w:jc w:val="center"/>
              <w:rPr>
                <w:rFonts w:asciiTheme="minorHAnsi" w:hAnsiTheme="minorHAnsi"/>
                <w:szCs w:val="21"/>
              </w:rPr>
            </w:pPr>
            <w:r w:rsidRPr="008F5F67">
              <w:rPr>
                <w:rFonts w:asciiTheme="minorHAnsi" w:hAnsiTheme="minorHAnsi"/>
                <w:sz w:val="23"/>
                <w:szCs w:val="23"/>
              </w:rPr>
              <w:t>2.2776</w:t>
            </w:r>
          </w:p>
        </w:tc>
        <w:tc>
          <w:tcPr>
            <w:tcW w:w="585" w:type="pct"/>
            <w:vAlign w:val="center"/>
          </w:tcPr>
          <w:p w14:paraId="1360CDA7" w14:textId="00FFC8FB" w:rsidR="008F5F67" w:rsidRPr="008F5F67" w:rsidRDefault="008F5F67" w:rsidP="008F5F67">
            <w:pPr>
              <w:jc w:val="center"/>
              <w:rPr>
                <w:rFonts w:asciiTheme="minorHAnsi" w:hAnsiTheme="minorHAnsi"/>
                <w:szCs w:val="21"/>
              </w:rPr>
            </w:pPr>
            <w:r w:rsidRPr="008F5F67">
              <w:rPr>
                <w:rFonts w:asciiTheme="minorHAnsi" w:hAnsiTheme="minorHAnsi"/>
                <w:sz w:val="23"/>
                <w:szCs w:val="23"/>
              </w:rPr>
              <w:t>0.1139</w:t>
            </w:r>
          </w:p>
        </w:tc>
        <w:tc>
          <w:tcPr>
            <w:tcW w:w="585" w:type="pct"/>
            <w:vAlign w:val="center"/>
          </w:tcPr>
          <w:p w14:paraId="03BE4102"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w:t>
            </w:r>
          </w:p>
        </w:tc>
        <w:tc>
          <w:tcPr>
            <w:tcW w:w="549" w:type="pct"/>
            <w:vAlign w:val="center"/>
          </w:tcPr>
          <w:p w14:paraId="34D0AC30"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三级</w:t>
            </w:r>
          </w:p>
        </w:tc>
      </w:tr>
      <w:tr w:rsidR="008F5F67" w:rsidRPr="008F5F67" w14:paraId="7D70C4AA" w14:textId="77777777" w:rsidTr="004E3A5C">
        <w:trPr>
          <w:trHeight w:val="369"/>
        </w:trPr>
        <w:tc>
          <w:tcPr>
            <w:tcW w:w="572" w:type="pct"/>
            <w:vMerge/>
            <w:vAlign w:val="center"/>
          </w:tcPr>
          <w:p w14:paraId="467E18D6" w14:textId="77777777" w:rsidR="008F5F67" w:rsidRPr="008F5F67" w:rsidRDefault="008F5F67" w:rsidP="008F5F67">
            <w:pPr>
              <w:jc w:val="center"/>
              <w:rPr>
                <w:rFonts w:asciiTheme="minorHAnsi" w:hAnsiTheme="minorHAnsi"/>
                <w:szCs w:val="21"/>
              </w:rPr>
            </w:pPr>
          </w:p>
        </w:tc>
        <w:tc>
          <w:tcPr>
            <w:tcW w:w="572" w:type="pct"/>
            <w:vMerge/>
            <w:vAlign w:val="center"/>
          </w:tcPr>
          <w:p w14:paraId="6E8B962B" w14:textId="77777777" w:rsidR="008F5F67" w:rsidRPr="008F5F67" w:rsidRDefault="008F5F67" w:rsidP="008F5F67">
            <w:pPr>
              <w:jc w:val="center"/>
              <w:rPr>
                <w:rFonts w:asciiTheme="minorHAnsi" w:hAnsiTheme="minorHAnsi"/>
                <w:szCs w:val="21"/>
              </w:rPr>
            </w:pPr>
          </w:p>
        </w:tc>
        <w:tc>
          <w:tcPr>
            <w:tcW w:w="572" w:type="pct"/>
            <w:vAlign w:val="center"/>
          </w:tcPr>
          <w:p w14:paraId="7C0CD3F2"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H</w:t>
            </w:r>
            <w:r w:rsidRPr="008F5F67">
              <w:rPr>
                <w:rFonts w:asciiTheme="minorHAnsi" w:hAnsiTheme="minorHAnsi"/>
                <w:szCs w:val="21"/>
                <w:vertAlign w:val="subscript"/>
              </w:rPr>
              <w:t>2</w:t>
            </w:r>
            <w:r w:rsidRPr="008F5F67">
              <w:rPr>
                <w:rFonts w:asciiTheme="minorHAnsi" w:hAnsiTheme="minorHAnsi"/>
                <w:szCs w:val="21"/>
              </w:rPr>
              <w:t>S</w:t>
            </w:r>
          </w:p>
        </w:tc>
        <w:tc>
          <w:tcPr>
            <w:tcW w:w="651" w:type="pct"/>
            <w:vAlign w:val="center"/>
          </w:tcPr>
          <w:p w14:paraId="132BF383"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10.0</w:t>
            </w:r>
          </w:p>
        </w:tc>
        <w:tc>
          <w:tcPr>
            <w:tcW w:w="914" w:type="pct"/>
            <w:vAlign w:val="center"/>
          </w:tcPr>
          <w:p w14:paraId="1829A12A" w14:textId="4C339848" w:rsidR="008F5F67" w:rsidRPr="008F5F67" w:rsidRDefault="008F5F67" w:rsidP="008F5F67">
            <w:pPr>
              <w:jc w:val="center"/>
              <w:rPr>
                <w:rFonts w:asciiTheme="minorHAnsi" w:hAnsiTheme="minorHAnsi"/>
                <w:szCs w:val="21"/>
              </w:rPr>
            </w:pPr>
            <w:r w:rsidRPr="008F5F67">
              <w:rPr>
                <w:rFonts w:asciiTheme="minorHAnsi" w:hAnsiTheme="minorHAnsi"/>
                <w:sz w:val="23"/>
                <w:szCs w:val="23"/>
              </w:rPr>
              <w:t>0.0569</w:t>
            </w:r>
          </w:p>
        </w:tc>
        <w:tc>
          <w:tcPr>
            <w:tcW w:w="585" w:type="pct"/>
            <w:vAlign w:val="center"/>
          </w:tcPr>
          <w:p w14:paraId="1018810F" w14:textId="4A87425C" w:rsidR="008F5F67" w:rsidRPr="008F5F67" w:rsidRDefault="008F5F67" w:rsidP="008F5F67">
            <w:pPr>
              <w:jc w:val="center"/>
              <w:rPr>
                <w:rFonts w:asciiTheme="minorHAnsi" w:hAnsiTheme="minorHAnsi"/>
                <w:szCs w:val="21"/>
              </w:rPr>
            </w:pPr>
            <w:r w:rsidRPr="008F5F67">
              <w:rPr>
                <w:rFonts w:asciiTheme="minorHAnsi" w:hAnsiTheme="minorHAnsi"/>
                <w:sz w:val="23"/>
                <w:szCs w:val="23"/>
              </w:rPr>
              <w:t>0.5694</w:t>
            </w:r>
          </w:p>
        </w:tc>
        <w:tc>
          <w:tcPr>
            <w:tcW w:w="585" w:type="pct"/>
            <w:vAlign w:val="center"/>
          </w:tcPr>
          <w:p w14:paraId="171BC3CA"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w:t>
            </w:r>
          </w:p>
        </w:tc>
        <w:tc>
          <w:tcPr>
            <w:tcW w:w="549" w:type="pct"/>
            <w:vAlign w:val="center"/>
          </w:tcPr>
          <w:p w14:paraId="1F32DDB9" w14:textId="77777777" w:rsidR="008F5F67" w:rsidRPr="008F5F67" w:rsidRDefault="008F5F67" w:rsidP="008F5F67">
            <w:pPr>
              <w:jc w:val="center"/>
              <w:rPr>
                <w:rFonts w:asciiTheme="minorHAnsi" w:hAnsiTheme="minorHAnsi"/>
                <w:szCs w:val="21"/>
              </w:rPr>
            </w:pPr>
            <w:r w:rsidRPr="008F5F67">
              <w:rPr>
                <w:rFonts w:asciiTheme="minorHAnsi" w:hAnsiTheme="minorHAnsi"/>
                <w:szCs w:val="21"/>
              </w:rPr>
              <w:t>三级</w:t>
            </w:r>
          </w:p>
        </w:tc>
      </w:tr>
    </w:tbl>
    <w:p w14:paraId="6A35B261" w14:textId="77777777" w:rsidR="007A31F6" w:rsidRPr="001A04B6" w:rsidRDefault="007A31F6" w:rsidP="001A04B6">
      <w:pPr>
        <w:spacing w:line="520" w:lineRule="exact"/>
        <w:ind w:firstLineChars="200" w:firstLine="480"/>
        <w:rPr>
          <w:rFonts w:ascii="Calibri" w:hAnsi="Calibri"/>
          <w:color w:val="auto"/>
          <w:sz w:val="24"/>
        </w:rPr>
      </w:pPr>
      <w:r w:rsidRPr="007A31F6">
        <w:rPr>
          <w:rFonts w:ascii="Calibri" w:hAnsi="Calibri"/>
          <w:color w:val="auto"/>
          <w:sz w:val="24"/>
        </w:rPr>
        <w:t>本项目</w:t>
      </w:r>
      <w:r w:rsidRPr="007A31F6">
        <w:rPr>
          <w:rFonts w:ascii="Calibri" w:hAnsi="Calibri"/>
          <w:color w:val="auto"/>
          <w:sz w:val="24"/>
        </w:rPr>
        <w:t>Pmax</w:t>
      </w:r>
      <w:r w:rsidRPr="007A31F6">
        <w:rPr>
          <w:rFonts w:ascii="Calibri" w:hAnsi="Calibri"/>
          <w:color w:val="auto"/>
          <w:sz w:val="24"/>
        </w:rPr>
        <w:t>最大值出现为导热油炉排放的</w:t>
      </w:r>
      <w:r w:rsidRPr="007A31F6">
        <w:rPr>
          <w:rFonts w:ascii="Calibri" w:hAnsi="Calibri"/>
          <w:color w:val="auto"/>
          <w:sz w:val="24"/>
        </w:rPr>
        <w:t>NOxPmax</w:t>
      </w:r>
      <w:r w:rsidRPr="007A31F6">
        <w:rPr>
          <w:rFonts w:ascii="Calibri" w:hAnsi="Calibri"/>
          <w:color w:val="auto"/>
          <w:sz w:val="24"/>
        </w:rPr>
        <w:t>值为</w:t>
      </w:r>
      <w:r w:rsidRPr="007A31F6">
        <w:rPr>
          <w:rFonts w:ascii="Calibri" w:hAnsi="Calibri"/>
          <w:color w:val="auto"/>
          <w:sz w:val="24"/>
        </w:rPr>
        <w:t>0.8032%</w:t>
      </w:r>
      <w:r w:rsidRPr="007A31F6">
        <w:rPr>
          <w:rFonts w:ascii="Calibri" w:hAnsi="Calibri"/>
          <w:color w:val="auto"/>
          <w:sz w:val="24"/>
        </w:rPr>
        <w:t>，</w:t>
      </w:r>
      <w:r w:rsidRPr="007A31F6">
        <w:rPr>
          <w:rFonts w:ascii="Calibri" w:hAnsi="Calibri"/>
          <w:color w:val="auto"/>
          <w:sz w:val="24"/>
        </w:rPr>
        <w:t>Cmax</w:t>
      </w:r>
      <w:r w:rsidRPr="007A31F6">
        <w:rPr>
          <w:rFonts w:ascii="Calibri" w:hAnsi="Calibri"/>
          <w:color w:val="auto"/>
          <w:sz w:val="24"/>
        </w:rPr>
        <w:t>为</w:t>
      </w:r>
      <w:r w:rsidRPr="007A31F6">
        <w:rPr>
          <w:rFonts w:ascii="Calibri" w:hAnsi="Calibri"/>
          <w:color w:val="auto"/>
          <w:sz w:val="24"/>
        </w:rPr>
        <w:lastRenderedPageBreak/>
        <w:t>2.008μg/m³</w:t>
      </w:r>
      <w:r w:rsidRPr="007A31F6">
        <w:rPr>
          <w:rFonts w:ascii="Calibri" w:hAnsi="Calibri"/>
          <w:color w:val="auto"/>
          <w:sz w:val="24"/>
        </w:rPr>
        <w:t>。根据《环境影响评价技术导则</w:t>
      </w:r>
      <w:r w:rsidRPr="007A31F6">
        <w:rPr>
          <w:rFonts w:ascii="Calibri" w:hAnsi="Calibri"/>
          <w:color w:val="auto"/>
          <w:sz w:val="24"/>
        </w:rPr>
        <w:t xml:space="preserve"> </w:t>
      </w:r>
      <w:r w:rsidRPr="007A31F6">
        <w:rPr>
          <w:rFonts w:ascii="Calibri" w:hAnsi="Calibri"/>
          <w:color w:val="auto"/>
          <w:sz w:val="24"/>
        </w:rPr>
        <w:t>大气环境》（</w:t>
      </w:r>
      <w:r w:rsidRPr="007A31F6">
        <w:rPr>
          <w:rFonts w:ascii="Calibri" w:hAnsi="Calibri"/>
          <w:color w:val="auto"/>
          <w:sz w:val="24"/>
        </w:rPr>
        <w:t>HJ2.2-2018</w:t>
      </w:r>
      <w:r w:rsidRPr="007A31F6">
        <w:rPr>
          <w:rFonts w:ascii="Calibri" w:hAnsi="Calibri"/>
          <w:color w:val="auto"/>
          <w:sz w:val="24"/>
        </w:rPr>
        <w:t>）分级判据，本项目大气环境影响评价工作等级为三级</w:t>
      </w:r>
      <w:r w:rsidR="001A04B6">
        <w:rPr>
          <w:rFonts w:ascii="Calibri" w:hAnsi="Calibri" w:hint="eastAsia"/>
          <w:color w:val="auto"/>
          <w:sz w:val="24"/>
        </w:rPr>
        <w:t>，</w:t>
      </w:r>
      <w:r w:rsidR="001A04B6" w:rsidRPr="001A04B6">
        <w:rPr>
          <w:rFonts w:ascii="Calibri" w:hAnsi="Calibri" w:hint="eastAsia"/>
          <w:color w:val="auto"/>
          <w:sz w:val="24"/>
        </w:rPr>
        <w:t>根据《环境影响评价技术导则</w:t>
      </w:r>
      <w:r w:rsidR="001A04B6" w:rsidRPr="001A04B6">
        <w:rPr>
          <w:rFonts w:ascii="Calibri" w:hAnsi="Calibri" w:hint="eastAsia"/>
          <w:color w:val="auto"/>
          <w:sz w:val="24"/>
        </w:rPr>
        <w:t xml:space="preserve"> </w:t>
      </w:r>
      <w:r w:rsidR="001A04B6" w:rsidRPr="001A04B6">
        <w:rPr>
          <w:rFonts w:ascii="Calibri" w:hAnsi="Calibri" w:hint="eastAsia"/>
          <w:color w:val="auto"/>
          <w:sz w:val="24"/>
        </w:rPr>
        <w:t>大气环境》（</w:t>
      </w:r>
      <w:r w:rsidR="001A04B6" w:rsidRPr="001A04B6">
        <w:rPr>
          <w:rFonts w:ascii="Calibri" w:hAnsi="Calibri" w:hint="eastAsia"/>
          <w:color w:val="auto"/>
          <w:sz w:val="24"/>
        </w:rPr>
        <w:t>HJ2.2-2018</w:t>
      </w:r>
      <w:r w:rsidR="001A04B6" w:rsidRPr="001A04B6">
        <w:rPr>
          <w:rFonts w:ascii="Calibri" w:hAnsi="Calibri" w:hint="eastAsia"/>
          <w:color w:val="auto"/>
          <w:sz w:val="24"/>
        </w:rPr>
        <w:t>）</w:t>
      </w:r>
      <w:r w:rsidR="001A04B6">
        <w:rPr>
          <w:rFonts w:ascii="Calibri" w:hAnsi="Calibri" w:hint="eastAsia"/>
          <w:color w:val="auto"/>
          <w:sz w:val="24"/>
        </w:rPr>
        <w:t>5.3.3.2</w:t>
      </w:r>
      <w:r w:rsidR="001A04B6" w:rsidRPr="001A04B6">
        <w:rPr>
          <w:rFonts w:ascii="Calibri" w:hAnsi="Calibri" w:hint="eastAsia"/>
          <w:color w:val="auto"/>
          <w:sz w:val="24"/>
        </w:rPr>
        <w:t>对电力、钢铁、水泥、石化、化工、平板玻璃、有色等高耗能行业的多源项目或以使用高污染燃料为主的多源项目，并且编制环境影响报告书的项目评价等级提高一级。</w:t>
      </w:r>
      <w:r>
        <w:rPr>
          <w:rFonts w:ascii="Calibri" w:hAnsi="Calibri"/>
          <w:color w:val="auto"/>
          <w:sz w:val="24"/>
        </w:rPr>
        <w:t>则</w:t>
      </w:r>
      <w:r w:rsidRPr="007A31F6">
        <w:rPr>
          <w:rFonts w:ascii="Calibri" w:hAnsi="Calibri"/>
          <w:color w:val="auto"/>
          <w:sz w:val="24"/>
        </w:rPr>
        <w:t>确定</w:t>
      </w:r>
      <w:r w:rsidRPr="00F9700F">
        <w:rPr>
          <w:rFonts w:ascii="Calibri" w:hAnsi="Calibri"/>
          <w:color w:val="auto"/>
          <w:sz w:val="24"/>
        </w:rPr>
        <w:t>本项目大气环境影响评价工作等级为</w:t>
      </w:r>
      <w:r>
        <w:rPr>
          <w:rFonts w:ascii="Calibri" w:hAnsi="Calibri" w:hint="eastAsia"/>
          <w:color w:val="auto"/>
          <w:sz w:val="24"/>
        </w:rPr>
        <w:t>二</w:t>
      </w:r>
      <w:r w:rsidRPr="00F9700F">
        <w:rPr>
          <w:rFonts w:ascii="Calibri" w:hAnsi="Calibri"/>
          <w:color w:val="auto"/>
          <w:sz w:val="24"/>
        </w:rPr>
        <w:t>级</w:t>
      </w:r>
      <w:r w:rsidR="00654992">
        <w:rPr>
          <w:rFonts w:ascii="Calibri" w:hAnsi="Calibri" w:hint="eastAsia"/>
          <w:color w:val="auto"/>
          <w:sz w:val="24"/>
        </w:rPr>
        <w:t>，</w:t>
      </w:r>
      <w:r w:rsidR="00654992">
        <w:rPr>
          <w:rFonts w:ascii="Calibri" w:hAnsi="Calibri" w:hint="eastAsia"/>
          <w:sz w:val="24"/>
        </w:rPr>
        <w:t>可不进行进一步的预测与评价。</w:t>
      </w:r>
    </w:p>
    <w:p w14:paraId="2909208F" w14:textId="77777777" w:rsidR="00154297" w:rsidRPr="00654992" w:rsidRDefault="00154297" w:rsidP="00654992">
      <w:pPr>
        <w:spacing w:line="520" w:lineRule="exact"/>
        <w:ind w:firstLineChars="200" w:firstLine="480"/>
        <w:rPr>
          <w:rFonts w:asciiTheme="minorHAnsi" w:hAnsiTheme="minorHAnsi"/>
          <w:b/>
          <w:color w:val="000000" w:themeColor="text1"/>
          <w:sz w:val="24"/>
        </w:rPr>
      </w:pPr>
      <w:r>
        <w:rPr>
          <w:rFonts w:ascii="Calibri" w:hAnsi="Calibri" w:hint="eastAsia"/>
          <w:sz w:val="24"/>
        </w:rPr>
        <w:t>本项目大气</w:t>
      </w:r>
      <w:r>
        <w:rPr>
          <w:rFonts w:ascii="Calibri" w:hAnsi="Calibri"/>
          <w:sz w:val="24"/>
        </w:rPr>
        <w:t>环境影响评价范围边长取</w:t>
      </w:r>
      <w:r>
        <w:rPr>
          <w:rFonts w:ascii="Calibri" w:hAnsi="Calibri" w:hint="eastAsia"/>
          <w:sz w:val="24"/>
        </w:rPr>
        <w:t>5</w:t>
      </w:r>
      <w:r>
        <w:rPr>
          <w:rFonts w:ascii="Calibri" w:hAnsi="Calibri"/>
          <w:sz w:val="24"/>
        </w:rPr>
        <w:t>km</w:t>
      </w:r>
      <w:r>
        <w:rPr>
          <w:rFonts w:ascii="Calibri" w:hAnsi="Calibri" w:hint="eastAsia"/>
          <w:sz w:val="24"/>
        </w:rPr>
        <w:t>。</w:t>
      </w:r>
    </w:p>
    <w:p w14:paraId="5E32E850" w14:textId="77777777" w:rsidR="00654992" w:rsidRDefault="00654992" w:rsidP="0055605A">
      <w:pPr>
        <w:widowControl/>
        <w:spacing w:line="520" w:lineRule="exact"/>
        <w:ind w:firstLine="480"/>
        <w:rPr>
          <w:rFonts w:ascii="Calibri" w:hAnsi="Calibri"/>
          <w:b/>
          <w:color w:val="auto"/>
          <w:sz w:val="24"/>
        </w:rPr>
      </w:pPr>
      <w:r>
        <w:rPr>
          <w:rFonts w:ascii="Calibri" w:hAnsi="Calibri"/>
          <w:b/>
          <w:color w:val="auto"/>
          <w:sz w:val="24"/>
        </w:rPr>
        <w:t>7</w:t>
      </w:r>
      <w:r w:rsidR="00073061" w:rsidRPr="00A964FF">
        <w:rPr>
          <w:rFonts w:ascii="Calibri" w:hAnsi="Calibri" w:hint="eastAsia"/>
          <w:b/>
          <w:color w:val="auto"/>
          <w:sz w:val="24"/>
        </w:rPr>
        <w:t>、</w:t>
      </w:r>
      <w:r>
        <w:rPr>
          <w:rFonts w:ascii="Calibri" w:hAnsi="Calibri" w:hint="eastAsia"/>
          <w:b/>
          <w:color w:val="auto"/>
          <w:sz w:val="24"/>
        </w:rPr>
        <w:t>污染物</w:t>
      </w:r>
      <w:r>
        <w:rPr>
          <w:rFonts w:ascii="Calibri" w:hAnsi="Calibri"/>
          <w:b/>
          <w:color w:val="auto"/>
          <w:sz w:val="24"/>
        </w:rPr>
        <w:t>对</w:t>
      </w:r>
      <w:r>
        <w:rPr>
          <w:rFonts w:ascii="Calibri" w:hAnsi="Calibri" w:hint="eastAsia"/>
          <w:b/>
          <w:color w:val="auto"/>
          <w:sz w:val="24"/>
        </w:rPr>
        <w:t>厂界</w:t>
      </w:r>
      <w:r>
        <w:rPr>
          <w:rFonts w:ascii="Calibri" w:hAnsi="Calibri"/>
          <w:b/>
          <w:color w:val="auto"/>
          <w:sz w:val="24"/>
        </w:rPr>
        <w:t>的影响</w:t>
      </w:r>
    </w:p>
    <w:p w14:paraId="62072126" w14:textId="77777777" w:rsidR="000C5806" w:rsidRDefault="000C5806" w:rsidP="000C5806">
      <w:pPr>
        <w:spacing w:line="520" w:lineRule="exact"/>
        <w:ind w:firstLineChars="200" w:firstLine="480"/>
        <w:rPr>
          <w:rFonts w:asciiTheme="minorHAnsi" w:hAnsiTheme="minorHAnsi"/>
          <w:bCs/>
          <w:color w:val="000000" w:themeColor="text1"/>
          <w:sz w:val="24"/>
        </w:rPr>
      </w:pPr>
      <w:r>
        <w:rPr>
          <w:rFonts w:asciiTheme="minorHAnsi" w:hAnsiTheme="minorHAnsi"/>
          <w:bCs/>
          <w:color w:val="000000" w:themeColor="text1"/>
          <w:sz w:val="24"/>
        </w:rPr>
        <w:t>根据污染物的性质及其排放浓度限值要求，本次厂界浓度评价选取</w:t>
      </w:r>
      <w:r>
        <w:rPr>
          <w:rFonts w:asciiTheme="minorHAnsi" w:hAnsiTheme="minorHAnsi" w:hint="eastAsia"/>
          <w:bCs/>
          <w:color w:val="000000" w:themeColor="text1"/>
          <w:sz w:val="24"/>
        </w:rPr>
        <w:t>生产</w:t>
      </w:r>
      <w:r w:rsidR="00154297">
        <w:rPr>
          <w:rFonts w:asciiTheme="minorHAnsi" w:hAnsiTheme="minorHAnsi" w:hint="eastAsia"/>
          <w:bCs/>
          <w:color w:val="000000" w:themeColor="text1"/>
          <w:sz w:val="24"/>
        </w:rPr>
        <w:t>车间</w:t>
      </w:r>
      <w:r w:rsidR="00154297">
        <w:rPr>
          <w:rFonts w:asciiTheme="minorHAnsi" w:hAnsiTheme="minorHAnsi"/>
          <w:bCs/>
          <w:color w:val="000000" w:themeColor="text1"/>
          <w:sz w:val="24"/>
        </w:rPr>
        <w:t>及</w:t>
      </w:r>
      <w:r w:rsidR="00154297">
        <w:rPr>
          <w:rFonts w:asciiTheme="minorHAnsi" w:hAnsiTheme="minorHAnsi" w:hint="eastAsia"/>
          <w:bCs/>
          <w:color w:val="000000" w:themeColor="text1"/>
          <w:sz w:val="24"/>
        </w:rPr>
        <w:t>污水</w:t>
      </w:r>
      <w:r w:rsidR="00154297">
        <w:rPr>
          <w:rFonts w:asciiTheme="minorHAnsi" w:hAnsiTheme="minorHAnsi"/>
          <w:bCs/>
          <w:color w:val="000000" w:themeColor="text1"/>
          <w:sz w:val="24"/>
        </w:rPr>
        <w:t>处理站</w:t>
      </w:r>
      <w:r>
        <w:rPr>
          <w:rFonts w:asciiTheme="minorHAnsi" w:hAnsiTheme="minorHAnsi"/>
          <w:bCs/>
          <w:color w:val="000000" w:themeColor="text1"/>
          <w:sz w:val="24"/>
        </w:rPr>
        <w:t>无组织污染物</w:t>
      </w:r>
      <w:r>
        <w:rPr>
          <w:rFonts w:asciiTheme="minorHAnsi" w:hAnsiTheme="minorHAnsi" w:hint="eastAsia"/>
          <w:bCs/>
          <w:color w:val="000000" w:themeColor="text1"/>
          <w:sz w:val="24"/>
        </w:rPr>
        <w:t>颗粒物、非甲烷总烃、</w:t>
      </w:r>
      <w:r>
        <w:rPr>
          <w:rFonts w:asciiTheme="minorHAnsi" w:hAnsiTheme="minorHAnsi" w:hint="eastAsia"/>
          <w:bCs/>
          <w:color w:val="000000" w:themeColor="text1"/>
          <w:sz w:val="24"/>
        </w:rPr>
        <w:t>NH</w:t>
      </w:r>
      <w:r w:rsidRPr="000C5806">
        <w:rPr>
          <w:rFonts w:asciiTheme="minorHAnsi" w:hAnsiTheme="minorHAnsi" w:hint="eastAsia"/>
          <w:bCs/>
          <w:color w:val="000000" w:themeColor="text1"/>
          <w:sz w:val="24"/>
          <w:vertAlign w:val="subscript"/>
        </w:rPr>
        <w:t>3</w:t>
      </w:r>
      <w:r>
        <w:rPr>
          <w:rFonts w:asciiTheme="minorHAnsi" w:hAnsiTheme="minorHAnsi" w:hint="eastAsia"/>
          <w:bCs/>
          <w:color w:val="000000" w:themeColor="text1"/>
          <w:sz w:val="24"/>
        </w:rPr>
        <w:t>、</w:t>
      </w:r>
      <w:r w:rsidRPr="000C5806">
        <w:rPr>
          <w:rFonts w:asciiTheme="minorHAnsi" w:hAnsiTheme="minorHAnsi"/>
          <w:bCs/>
          <w:color w:val="000000" w:themeColor="text1"/>
          <w:sz w:val="24"/>
        </w:rPr>
        <w:t>H</w:t>
      </w:r>
      <w:r w:rsidRPr="000C5806">
        <w:rPr>
          <w:rFonts w:asciiTheme="minorHAnsi" w:hAnsiTheme="minorHAnsi"/>
          <w:bCs/>
          <w:color w:val="000000" w:themeColor="text1"/>
          <w:sz w:val="24"/>
          <w:vertAlign w:val="subscript"/>
        </w:rPr>
        <w:t>2</w:t>
      </w:r>
      <w:r w:rsidRPr="000C5806">
        <w:rPr>
          <w:rFonts w:asciiTheme="minorHAnsi" w:hAnsiTheme="minorHAnsi"/>
          <w:bCs/>
          <w:color w:val="000000" w:themeColor="text1"/>
          <w:sz w:val="24"/>
        </w:rPr>
        <w:t>S</w:t>
      </w:r>
      <w:r>
        <w:rPr>
          <w:rFonts w:asciiTheme="minorHAnsi" w:hAnsiTheme="minorHAnsi"/>
          <w:bCs/>
          <w:color w:val="000000" w:themeColor="text1"/>
          <w:sz w:val="24"/>
        </w:rPr>
        <w:t>为预测因子，并根据排放源距离四周厂界的距离计算其排放对厂界的影响</w:t>
      </w:r>
      <w:r>
        <w:rPr>
          <w:rFonts w:asciiTheme="minorHAnsi" w:hAnsiTheme="minorHAnsi" w:hint="eastAsia"/>
          <w:bCs/>
          <w:color w:val="000000" w:themeColor="text1"/>
          <w:sz w:val="24"/>
        </w:rPr>
        <w:t>。</w:t>
      </w:r>
      <w:r>
        <w:rPr>
          <w:rFonts w:asciiTheme="minorHAnsi" w:hAnsiTheme="minorHAnsi"/>
          <w:bCs/>
          <w:color w:val="000000" w:themeColor="text1"/>
          <w:sz w:val="24"/>
        </w:rPr>
        <w:t>详见表</w:t>
      </w:r>
      <w:r>
        <w:rPr>
          <w:rFonts w:asciiTheme="minorHAnsi" w:hAnsiTheme="minorHAnsi"/>
          <w:bCs/>
          <w:color w:val="000000" w:themeColor="text1"/>
          <w:sz w:val="24"/>
        </w:rPr>
        <w:t>4.2-</w:t>
      </w:r>
      <w:r>
        <w:rPr>
          <w:rFonts w:asciiTheme="minorHAnsi" w:hAnsiTheme="minorHAnsi" w:hint="eastAsia"/>
          <w:bCs/>
          <w:color w:val="000000" w:themeColor="text1"/>
          <w:sz w:val="24"/>
        </w:rPr>
        <w:t>1</w:t>
      </w:r>
      <w:r w:rsidR="00E756E9">
        <w:rPr>
          <w:rFonts w:asciiTheme="minorHAnsi" w:hAnsiTheme="minorHAnsi"/>
          <w:bCs/>
          <w:color w:val="000000" w:themeColor="text1"/>
          <w:sz w:val="24"/>
        </w:rPr>
        <w:t>8</w:t>
      </w:r>
      <w:r>
        <w:rPr>
          <w:rFonts w:asciiTheme="minorHAnsi" w:hAnsiTheme="minorHAnsi"/>
          <w:bCs/>
          <w:color w:val="000000" w:themeColor="text1"/>
          <w:sz w:val="24"/>
        </w:rPr>
        <w:t>。</w:t>
      </w:r>
    </w:p>
    <w:p w14:paraId="468F91B6" w14:textId="77777777" w:rsidR="00D3335E" w:rsidRDefault="00D3335E" w:rsidP="00D3335E">
      <w:pPr>
        <w:pStyle w:val="00"/>
        <w:ind w:firstLineChars="250" w:firstLine="600"/>
        <w:rPr>
          <w:rFonts w:asciiTheme="minorHAnsi" w:eastAsia="黑体" w:hAnsiTheme="minorHAnsi" w:cs="黑体"/>
          <w:color w:val="000000" w:themeColor="text1"/>
        </w:rPr>
      </w:pPr>
      <w:r>
        <w:rPr>
          <w:rFonts w:asciiTheme="minorHAnsi" w:eastAsia="黑体" w:hAnsiTheme="minorHAnsi"/>
          <w:color w:val="000000" w:themeColor="text1"/>
        </w:rPr>
        <w:t>表</w:t>
      </w:r>
      <w:r>
        <w:rPr>
          <w:rFonts w:asciiTheme="minorHAnsi" w:eastAsia="黑体" w:hAnsiTheme="minorHAnsi"/>
          <w:color w:val="000000" w:themeColor="text1"/>
        </w:rPr>
        <w:t>4.2-</w:t>
      </w:r>
      <w:r w:rsidR="00E756E9">
        <w:rPr>
          <w:rFonts w:asciiTheme="minorHAnsi" w:eastAsia="黑体" w:hAnsiTheme="minorHAnsi" w:hint="eastAsia"/>
          <w:color w:val="000000" w:themeColor="text1"/>
        </w:rPr>
        <w:t>18</w:t>
      </w:r>
      <w:r>
        <w:rPr>
          <w:rFonts w:asciiTheme="minorHAnsi" w:eastAsia="黑体" w:hAnsiTheme="minorHAnsi" w:cs="黑体"/>
          <w:color w:val="000000" w:themeColor="text1"/>
        </w:rPr>
        <w:t xml:space="preserve">   </w:t>
      </w:r>
      <w:r w:rsidR="00160029">
        <w:rPr>
          <w:rFonts w:asciiTheme="minorHAnsi" w:eastAsia="黑体" w:hAnsiTheme="minorHAnsi" w:cs="黑体"/>
          <w:color w:val="000000" w:themeColor="text1"/>
        </w:rPr>
        <w:t xml:space="preserve">   </w:t>
      </w:r>
      <w:r>
        <w:rPr>
          <w:rFonts w:asciiTheme="minorHAnsi" w:eastAsia="黑体" w:hAnsiTheme="minorHAnsi" w:cs="黑体"/>
          <w:color w:val="000000" w:themeColor="text1"/>
        </w:rPr>
        <w:t>废气无组织排放对厂界监控点影响预测结果</w:t>
      </w:r>
      <w:r>
        <w:rPr>
          <w:rFonts w:asciiTheme="minorHAnsi" w:eastAsia="黑体" w:hAnsiTheme="minorHAnsi" w:cs="黑体"/>
          <w:color w:val="000000" w:themeColor="text1"/>
        </w:rPr>
        <w:t xml:space="preserve">   </w:t>
      </w:r>
      <w:r>
        <w:rPr>
          <w:rFonts w:asciiTheme="minorHAnsi" w:hAnsiTheme="minorHAnsi"/>
          <w:color w:val="000000" w:themeColor="text1"/>
          <w:sz w:val="21"/>
          <w:szCs w:val="21"/>
        </w:rPr>
        <w:t>单位：</w:t>
      </w:r>
      <w:r>
        <w:rPr>
          <w:rFonts w:asciiTheme="minorHAnsi" w:hAnsiTheme="minorHAnsi"/>
          <w:color w:val="000000" w:themeColor="text1"/>
          <w:sz w:val="21"/>
          <w:szCs w:val="21"/>
        </w:rPr>
        <w:t>μg/m</w:t>
      </w:r>
      <w:r>
        <w:rPr>
          <w:rFonts w:asciiTheme="minorHAnsi" w:hAnsiTheme="minorHAnsi"/>
          <w:color w:val="000000" w:themeColor="text1"/>
          <w:sz w:val="21"/>
          <w:szCs w:val="21"/>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88"/>
        <w:gridCol w:w="1628"/>
        <w:gridCol w:w="1422"/>
        <w:gridCol w:w="1422"/>
        <w:gridCol w:w="1422"/>
        <w:gridCol w:w="1418"/>
      </w:tblGrid>
      <w:tr w:rsidR="00D3335E" w:rsidRPr="00484A17" w14:paraId="43ABACF0" w14:textId="77777777" w:rsidTr="00FC4B9E">
        <w:trPr>
          <w:trHeight w:val="369"/>
          <w:jc w:val="center"/>
        </w:trPr>
        <w:tc>
          <w:tcPr>
            <w:tcW w:w="1733" w:type="pct"/>
            <w:gridSpan w:val="2"/>
            <w:noWrap/>
            <w:vAlign w:val="center"/>
          </w:tcPr>
          <w:p w14:paraId="0CD5C3F8"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污染物类型</w:t>
            </w:r>
          </w:p>
        </w:tc>
        <w:tc>
          <w:tcPr>
            <w:tcW w:w="817" w:type="pct"/>
            <w:noWrap/>
            <w:vAlign w:val="center"/>
          </w:tcPr>
          <w:p w14:paraId="7FCBB431"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东厂界</w:t>
            </w:r>
          </w:p>
        </w:tc>
        <w:tc>
          <w:tcPr>
            <w:tcW w:w="817" w:type="pct"/>
            <w:noWrap/>
            <w:vAlign w:val="center"/>
          </w:tcPr>
          <w:p w14:paraId="44CCB75C"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南厂界</w:t>
            </w:r>
          </w:p>
        </w:tc>
        <w:tc>
          <w:tcPr>
            <w:tcW w:w="817" w:type="pct"/>
            <w:noWrap/>
            <w:vAlign w:val="center"/>
          </w:tcPr>
          <w:p w14:paraId="7CA30C20"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西厂界</w:t>
            </w:r>
          </w:p>
        </w:tc>
        <w:tc>
          <w:tcPr>
            <w:tcW w:w="815" w:type="pct"/>
            <w:vAlign w:val="center"/>
          </w:tcPr>
          <w:p w14:paraId="16152150"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北厂界</w:t>
            </w:r>
          </w:p>
        </w:tc>
      </w:tr>
      <w:tr w:rsidR="00D3335E" w:rsidRPr="00484A17" w14:paraId="0CA3197D" w14:textId="77777777" w:rsidTr="00FC4B9E">
        <w:trPr>
          <w:trHeight w:val="369"/>
          <w:jc w:val="center"/>
        </w:trPr>
        <w:tc>
          <w:tcPr>
            <w:tcW w:w="1733" w:type="pct"/>
            <w:gridSpan w:val="2"/>
            <w:noWrap/>
            <w:vAlign w:val="center"/>
          </w:tcPr>
          <w:p w14:paraId="2C1659D7"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车间与厂界距离</w:t>
            </w:r>
          </w:p>
        </w:tc>
        <w:tc>
          <w:tcPr>
            <w:tcW w:w="817" w:type="pct"/>
            <w:noWrap/>
            <w:vAlign w:val="center"/>
          </w:tcPr>
          <w:p w14:paraId="70816119" w14:textId="77777777" w:rsidR="00D3335E" w:rsidRPr="00484A17" w:rsidRDefault="00D3335E" w:rsidP="00D3335E">
            <w:pPr>
              <w:jc w:val="center"/>
              <w:rPr>
                <w:rFonts w:ascii="Calibri" w:hAnsi="Calibri"/>
                <w:b/>
                <w:color w:val="000000" w:themeColor="text1"/>
                <w:sz w:val="22"/>
                <w:szCs w:val="21"/>
                <w:u w:val="single"/>
              </w:rPr>
            </w:pPr>
            <w:r w:rsidRPr="00484A17">
              <w:rPr>
                <w:rFonts w:ascii="Calibri" w:hAnsi="Calibri"/>
                <w:b/>
                <w:color w:val="000000" w:themeColor="text1"/>
                <w:sz w:val="22"/>
                <w:szCs w:val="21"/>
                <w:u w:val="single"/>
              </w:rPr>
              <w:t>85</w:t>
            </w:r>
          </w:p>
        </w:tc>
        <w:tc>
          <w:tcPr>
            <w:tcW w:w="817" w:type="pct"/>
            <w:noWrap/>
            <w:vAlign w:val="center"/>
          </w:tcPr>
          <w:p w14:paraId="2E76EDAD" w14:textId="77777777" w:rsidR="00D3335E" w:rsidRPr="00484A17" w:rsidRDefault="00D3335E" w:rsidP="00D3335E">
            <w:pPr>
              <w:jc w:val="center"/>
              <w:rPr>
                <w:rFonts w:ascii="Calibri" w:hAnsi="Calibri"/>
                <w:b/>
                <w:color w:val="000000" w:themeColor="text1"/>
                <w:sz w:val="22"/>
                <w:szCs w:val="21"/>
                <w:u w:val="single"/>
              </w:rPr>
            </w:pPr>
            <w:r w:rsidRPr="00484A17">
              <w:rPr>
                <w:rFonts w:ascii="Calibri" w:hAnsi="Calibri"/>
                <w:b/>
                <w:color w:val="000000" w:themeColor="text1"/>
                <w:sz w:val="22"/>
                <w:szCs w:val="21"/>
                <w:u w:val="single"/>
              </w:rPr>
              <w:t>360</w:t>
            </w:r>
          </w:p>
        </w:tc>
        <w:tc>
          <w:tcPr>
            <w:tcW w:w="817" w:type="pct"/>
            <w:noWrap/>
            <w:vAlign w:val="center"/>
          </w:tcPr>
          <w:p w14:paraId="2388C769" w14:textId="77777777" w:rsidR="00D3335E" w:rsidRPr="00484A17" w:rsidRDefault="00D3335E" w:rsidP="00D3335E">
            <w:pPr>
              <w:jc w:val="center"/>
              <w:rPr>
                <w:rFonts w:ascii="Calibri" w:hAnsi="Calibri"/>
                <w:b/>
                <w:color w:val="000000" w:themeColor="text1"/>
                <w:sz w:val="22"/>
                <w:szCs w:val="21"/>
                <w:u w:val="single"/>
              </w:rPr>
            </w:pPr>
            <w:r w:rsidRPr="00484A17">
              <w:rPr>
                <w:rFonts w:ascii="Calibri" w:hAnsi="Calibri"/>
                <w:b/>
                <w:color w:val="000000" w:themeColor="text1"/>
                <w:sz w:val="22"/>
                <w:szCs w:val="21"/>
                <w:u w:val="single"/>
              </w:rPr>
              <w:t>20</w:t>
            </w:r>
          </w:p>
        </w:tc>
        <w:tc>
          <w:tcPr>
            <w:tcW w:w="815" w:type="pct"/>
            <w:vAlign w:val="center"/>
          </w:tcPr>
          <w:p w14:paraId="5156DE83" w14:textId="77777777" w:rsidR="00D3335E" w:rsidRPr="00484A17" w:rsidRDefault="00D3335E" w:rsidP="00D3335E">
            <w:pPr>
              <w:jc w:val="center"/>
              <w:rPr>
                <w:rFonts w:ascii="Calibri" w:hAnsi="Calibri"/>
                <w:b/>
                <w:color w:val="000000" w:themeColor="text1"/>
                <w:sz w:val="22"/>
                <w:szCs w:val="21"/>
                <w:u w:val="single"/>
              </w:rPr>
            </w:pPr>
            <w:r w:rsidRPr="00484A17">
              <w:rPr>
                <w:rFonts w:ascii="Calibri" w:hAnsi="Calibri"/>
                <w:b/>
                <w:color w:val="000000" w:themeColor="text1"/>
                <w:sz w:val="22"/>
                <w:szCs w:val="21"/>
                <w:u w:val="single"/>
              </w:rPr>
              <w:t>20</w:t>
            </w:r>
          </w:p>
        </w:tc>
      </w:tr>
      <w:tr w:rsidR="00D3335E" w:rsidRPr="00484A17" w14:paraId="7B254394" w14:textId="77777777" w:rsidTr="00FC4B9E">
        <w:trPr>
          <w:trHeight w:val="371"/>
          <w:jc w:val="center"/>
        </w:trPr>
        <w:tc>
          <w:tcPr>
            <w:tcW w:w="798" w:type="pct"/>
            <w:vMerge w:val="restart"/>
            <w:noWrap/>
            <w:vAlign w:val="center"/>
          </w:tcPr>
          <w:p w14:paraId="68159857"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颗粒物</w:t>
            </w:r>
          </w:p>
        </w:tc>
        <w:tc>
          <w:tcPr>
            <w:tcW w:w="936" w:type="pct"/>
            <w:vAlign w:val="center"/>
          </w:tcPr>
          <w:p w14:paraId="1F8229D5"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预测结果</w:t>
            </w:r>
          </w:p>
        </w:tc>
        <w:tc>
          <w:tcPr>
            <w:tcW w:w="817" w:type="pct"/>
            <w:noWrap/>
            <w:vAlign w:val="center"/>
          </w:tcPr>
          <w:p w14:paraId="5F8B9D41" w14:textId="77777777" w:rsidR="00D3335E" w:rsidRPr="00484A17" w:rsidRDefault="00E756E9" w:rsidP="00D3335E">
            <w:pPr>
              <w:jc w:val="center"/>
              <w:rPr>
                <w:rFonts w:asciiTheme="minorHAnsi" w:hAnsiTheme="minorHAnsi"/>
                <w:b/>
                <w:color w:val="000000" w:themeColor="text1"/>
                <w:szCs w:val="21"/>
                <w:u w:val="single"/>
              </w:rPr>
            </w:pPr>
            <w:r w:rsidRPr="00484A17">
              <w:rPr>
                <w:rFonts w:asciiTheme="minorHAnsi" w:hAnsiTheme="minorHAnsi"/>
                <w:b/>
                <w:szCs w:val="21"/>
                <w:u w:val="single"/>
              </w:rPr>
              <w:t>0.0474</w:t>
            </w:r>
          </w:p>
        </w:tc>
        <w:tc>
          <w:tcPr>
            <w:tcW w:w="817" w:type="pct"/>
            <w:noWrap/>
            <w:vAlign w:val="center"/>
          </w:tcPr>
          <w:p w14:paraId="0A1CAE65" w14:textId="77777777" w:rsidR="00D3335E" w:rsidRPr="00484A17" w:rsidRDefault="00E756E9" w:rsidP="00D3335E">
            <w:pPr>
              <w:jc w:val="center"/>
              <w:rPr>
                <w:rFonts w:asciiTheme="minorHAnsi" w:hAnsiTheme="minorHAnsi"/>
                <w:b/>
                <w:color w:val="000000" w:themeColor="text1"/>
                <w:szCs w:val="21"/>
                <w:u w:val="single"/>
              </w:rPr>
            </w:pPr>
            <w:r w:rsidRPr="00484A17">
              <w:rPr>
                <w:rFonts w:asciiTheme="minorHAnsi" w:hAnsiTheme="minorHAnsi"/>
                <w:b/>
                <w:szCs w:val="21"/>
                <w:u w:val="single"/>
              </w:rPr>
              <w:t>0.0399</w:t>
            </w:r>
          </w:p>
        </w:tc>
        <w:tc>
          <w:tcPr>
            <w:tcW w:w="817" w:type="pct"/>
            <w:noWrap/>
            <w:vAlign w:val="center"/>
          </w:tcPr>
          <w:p w14:paraId="095AFBC3" w14:textId="77777777" w:rsidR="00D3335E" w:rsidRPr="00484A17" w:rsidRDefault="00E756E9" w:rsidP="00D3335E">
            <w:pPr>
              <w:jc w:val="center"/>
              <w:rPr>
                <w:rFonts w:asciiTheme="minorHAnsi" w:hAnsiTheme="minorHAnsi"/>
                <w:b/>
                <w:color w:val="000000" w:themeColor="text1"/>
                <w:szCs w:val="21"/>
                <w:u w:val="single"/>
              </w:rPr>
            </w:pPr>
            <w:r w:rsidRPr="00484A17">
              <w:rPr>
                <w:rFonts w:asciiTheme="minorHAnsi" w:hAnsiTheme="minorHAnsi"/>
                <w:b/>
                <w:szCs w:val="21"/>
                <w:u w:val="single"/>
              </w:rPr>
              <w:t>0.0241</w:t>
            </w:r>
          </w:p>
        </w:tc>
        <w:tc>
          <w:tcPr>
            <w:tcW w:w="815" w:type="pct"/>
            <w:vAlign w:val="center"/>
          </w:tcPr>
          <w:p w14:paraId="02791B9F" w14:textId="77777777" w:rsidR="00D3335E" w:rsidRPr="00484A17" w:rsidRDefault="00E756E9" w:rsidP="00D3335E">
            <w:pPr>
              <w:jc w:val="center"/>
              <w:rPr>
                <w:rFonts w:asciiTheme="minorHAnsi" w:hAnsiTheme="minorHAnsi"/>
                <w:b/>
                <w:color w:val="000000" w:themeColor="text1"/>
                <w:szCs w:val="21"/>
                <w:u w:val="single"/>
              </w:rPr>
            </w:pPr>
            <w:r w:rsidRPr="00484A17">
              <w:rPr>
                <w:rFonts w:asciiTheme="minorHAnsi" w:hAnsiTheme="minorHAnsi"/>
                <w:b/>
                <w:szCs w:val="21"/>
                <w:u w:val="single"/>
              </w:rPr>
              <w:t>0.0241</w:t>
            </w:r>
          </w:p>
        </w:tc>
      </w:tr>
      <w:tr w:rsidR="00D3335E" w:rsidRPr="00484A17" w14:paraId="2D801DE9" w14:textId="77777777" w:rsidTr="00FC4B9E">
        <w:trPr>
          <w:trHeight w:val="369"/>
          <w:jc w:val="center"/>
        </w:trPr>
        <w:tc>
          <w:tcPr>
            <w:tcW w:w="798" w:type="pct"/>
            <w:vMerge/>
            <w:noWrap/>
            <w:vAlign w:val="center"/>
          </w:tcPr>
          <w:p w14:paraId="5F9E7409" w14:textId="77777777" w:rsidR="00D3335E" w:rsidRPr="00484A17" w:rsidRDefault="00D3335E" w:rsidP="00D3335E">
            <w:pPr>
              <w:jc w:val="center"/>
              <w:rPr>
                <w:rFonts w:ascii="Calibri" w:hAnsi="Calibri"/>
                <w:b/>
                <w:color w:val="000000" w:themeColor="text1"/>
                <w:szCs w:val="21"/>
                <w:u w:val="single"/>
              </w:rPr>
            </w:pPr>
          </w:p>
        </w:tc>
        <w:tc>
          <w:tcPr>
            <w:tcW w:w="936" w:type="pct"/>
            <w:vAlign w:val="center"/>
          </w:tcPr>
          <w:p w14:paraId="5CD663FF"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排放限值</w:t>
            </w:r>
          </w:p>
        </w:tc>
        <w:tc>
          <w:tcPr>
            <w:tcW w:w="817" w:type="pct"/>
            <w:noWrap/>
            <w:vAlign w:val="center"/>
          </w:tcPr>
          <w:p w14:paraId="27C7089A"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1000</w:t>
            </w:r>
          </w:p>
        </w:tc>
        <w:tc>
          <w:tcPr>
            <w:tcW w:w="817" w:type="pct"/>
            <w:noWrap/>
            <w:vAlign w:val="center"/>
          </w:tcPr>
          <w:p w14:paraId="19A1C30E"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1000</w:t>
            </w:r>
          </w:p>
        </w:tc>
        <w:tc>
          <w:tcPr>
            <w:tcW w:w="817" w:type="pct"/>
            <w:noWrap/>
            <w:vAlign w:val="center"/>
          </w:tcPr>
          <w:p w14:paraId="6DC4B205"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1000</w:t>
            </w:r>
          </w:p>
        </w:tc>
        <w:tc>
          <w:tcPr>
            <w:tcW w:w="815" w:type="pct"/>
            <w:vAlign w:val="center"/>
          </w:tcPr>
          <w:p w14:paraId="2DEE6407"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1000</w:t>
            </w:r>
          </w:p>
        </w:tc>
      </w:tr>
      <w:tr w:rsidR="00D3335E" w:rsidRPr="00484A17" w14:paraId="5DA58319" w14:textId="77777777" w:rsidTr="00FC4B9E">
        <w:trPr>
          <w:trHeight w:val="369"/>
          <w:jc w:val="center"/>
        </w:trPr>
        <w:tc>
          <w:tcPr>
            <w:tcW w:w="798" w:type="pct"/>
            <w:vMerge/>
            <w:noWrap/>
            <w:vAlign w:val="center"/>
          </w:tcPr>
          <w:p w14:paraId="2708446B" w14:textId="77777777" w:rsidR="00D3335E" w:rsidRPr="00484A17" w:rsidRDefault="00D3335E" w:rsidP="00D3335E">
            <w:pPr>
              <w:jc w:val="center"/>
              <w:rPr>
                <w:rFonts w:ascii="Calibri" w:hAnsi="Calibri"/>
                <w:b/>
                <w:color w:val="000000" w:themeColor="text1"/>
                <w:szCs w:val="21"/>
                <w:u w:val="single"/>
              </w:rPr>
            </w:pPr>
          </w:p>
        </w:tc>
        <w:tc>
          <w:tcPr>
            <w:tcW w:w="936" w:type="pct"/>
            <w:vAlign w:val="center"/>
          </w:tcPr>
          <w:p w14:paraId="03358F5F"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是否达标</w:t>
            </w:r>
          </w:p>
        </w:tc>
        <w:tc>
          <w:tcPr>
            <w:tcW w:w="817" w:type="pct"/>
            <w:noWrap/>
            <w:vAlign w:val="center"/>
          </w:tcPr>
          <w:p w14:paraId="38C9E277"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c>
          <w:tcPr>
            <w:tcW w:w="817" w:type="pct"/>
            <w:noWrap/>
            <w:vAlign w:val="center"/>
          </w:tcPr>
          <w:p w14:paraId="3401B67E"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c>
          <w:tcPr>
            <w:tcW w:w="817" w:type="pct"/>
            <w:noWrap/>
            <w:vAlign w:val="center"/>
          </w:tcPr>
          <w:p w14:paraId="40C2C049"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c>
          <w:tcPr>
            <w:tcW w:w="815" w:type="pct"/>
            <w:vAlign w:val="center"/>
          </w:tcPr>
          <w:p w14:paraId="0A57996C" w14:textId="77777777" w:rsidR="00D3335E" w:rsidRPr="00484A17" w:rsidRDefault="00D3335E" w:rsidP="00D3335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r>
      <w:tr w:rsidR="00FC4B9E" w:rsidRPr="00484A17" w14:paraId="2AC89564" w14:textId="77777777" w:rsidTr="00FC4B9E">
        <w:trPr>
          <w:trHeight w:val="369"/>
          <w:jc w:val="center"/>
        </w:trPr>
        <w:tc>
          <w:tcPr>
            <w:tcW w:w="798" w:type="pct"/>
            <w:vMerge w:val="restart"/>
            <w:noWrap/>
            <w:vAlign w:val="center"/>
          </w:tcPr>
          <w:p w14:paraId="31A33F22"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非甲烷总烃</w:t>
            </w:r>
          </w:p>
        </w:tc>
        <w:tc>
          <w:tcPr>
            <w:tcW w:w="936" w:type="pct"/>
            <w:vAlign w:val="center"/>
          </w:tcPr>
          <w:p w14:paraId="5EB9C827"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预测结果</w:t>
            </w:r>
          </w:p>
        </w:tc>
        <w:tc>
          <w:tcPr>
            <w:tcW w:w="817" w:type="pct"/>
            <w:noWrap/>
            <w:vAlign w:val="center"/>
          </w:tcPr>
          <w:p w14:paraId="184060FA"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12.5450</w:t>
            </w:r>
          </w:p>
        </w:tc>
        <w:tc>
          <w:tcPr>
            <w:tcW w:w="817" w:type="pct"/>
            <w:noWrap/>
            <w:vAlign w:val="center"/>
          </w:tcPr>
          <w:p w14:paraId="78D5245E"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9.1397</w:t>
            </w:r>
          </w:p>
        </w:tc>
        <w:tc>
          <w:tcPr>
            <w:tcW w:w="817" w:type="pct"/>
            <w:noWrap/>
            <w:vAlign w:val="center"/>
          </w:tcPr>
          <w:p w14:paraId="23E12A47"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5.5044</w:t>
            </w:r>
          </w:p>
        </w:tc>
        <w:tc>
          <w:tcPr>
            <w:tcW w:w="815" w:type="pct"/>
            <w:vAlign w:val="center"/>
          </w:tcPr>
          <w:p w14:paraId="101FB0A6"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5.5044</w:t>
            </w:r>
          </w:p>
        </w:tc>
      </w:tr>
      <w:tr w:rsidR="00FC4B9E" w:rsidRPr="00484A17" w14:paraId="13C381B0" w14:textId="77777777" w:rsidTr="00FC4B9E">
        <w:trPr>
          <w:trHeight w:val="369"/>
          <w:jc w:val="center"/>
        </w:trPr>
        <w:tc>
          <w:tcPr>
            <w:tcW w:w="798" w:type="pct"/>
            <w:vMerge/>
            <w:noWrap/>
            <w:vAlign w:val="center"/>
          </w:tcPr>
          <w:p w14:paraId="6C17E2EF" w14:textId="77777777" w:rsidR="00FC4B9E" w:rsidRPr="00484A17" w:rsidRDefault="00FC4B9E" w:rsidP="00FC4B9E">
            <w:pPr>
              <w:jc w:val="center"/>
              <w:rPr>
                <w:rFonts w:ascii="Calibri" w:hAnsi="Calibri"/>
                <w:b/>
                <w:color w:val="000000" w:themeColor="text1"/>
                <w:szCs w:val="21"/>
                <w:u w:val="single"/>
              </w:rPr>
            </w:pPr>
          </w:p>
        </w:tc>
        <w:tc>
          <w:tcPr>
            <w:tcW w:w="936" w:type="pct"/>
            <w:vAlign w:val="center"/>
          </w:tcPr>
          <w:p w14:paraId="6B69E135"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标准限值</w:t>
            </w:r>
          </w:p>
        </w:tc>
        <w:tc>
          <w:tcPr>
            <w:tcW w:w="817" w:type="pct"/>
            <w:noWrap/>
            <w:vAlign w:val="center"/>
          </w:tcPr>
          <w:p w14:paraId="57F1AE28"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2000</w:t>
            </w:r>
          </w:p>
        </w:tc>
        <w:tc>
          <w:tcPr>
            <w:tcW w:w="817" w:type="pct"/>
            <w:noWrap/>
            <w:vAlign w:val="center"/>
          </w:tcPr>
          <w:p w14:paraId="6DB310C4"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2000</w:t>
            </w:r>
          </w:p>
        </w:tc>
        <w:tc>
          <w:tcPr>
            <w:tcW w:w="817" w:type="pct"/>
            <w:noWrap/>
            <w:vAlign w:val="center"/>
          </w:tcPr>
          <w:p w14:paraId="0997200C"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2000</w:t>
            </w:r>
          </w:p>
        </w:tc>
        <w:tc>
          <w:tcPr>
            <w:tcW w:w="815" w:type="pct"/>
            <w:vAlign w:val="center"/>
          </w:tcPr>
          <w:p w14:paraId="05B5351E"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2000</w:t>
            </w:r>
          </w:p>
        </w:tc>
      </w:tr>
      <w:tr w:rsidR="00FC4B9E" w:rsidRPr="00484A17" w14:paraId="36D4FC3F" w14:textId="77777777" w:rsidTr="00FC4B9E">
        <w:trPr>
          <w:trHeight w:val="369"/>
          <w:jc w:val="center"/>
        </w:trPr>
        <w:tc>
          <w:tcPr>
            <w:tcW w:w="798" w:type="pct"/>
            <w:vMerge/>
            <w:noWrap/>
            <w:vAlign w:val="center"/>
          </w:tcPr>
          <w:p w14:paraId="4E5302D8" w14:textId="77777777" w:rsidR="00FC4B9E" w:rsidRPr="00484A17" w:rsidRDefault="00FC4B9E" w:rsidP="00FC4B9E">
            <w:pPr>
              <w:jc w:val="center"/>
              <w:rPr>
                <w:rFonts w:ascii="Calibri" w:hAnsi="Calibri"/>
                <w:b/>
                <w:color w:val="000000" w:themeColor="text1"/>
                <w:szCs w:val="21"/>
                <w:u w:val="single"/>
              </w:rPr>
            </w:pPr>
          </w:p>
        </w:tc>
        <w:tc>
          <w:tcPr>
            <w:tcW w:w="936" w:type="pct"/>
            <w:vAlign w:val="center"/>
          </w:tcPr>
          <w:p w14:paraId="61A1045D"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是否达标</w:t>
            </w:r>
          </w:p>
        </w:tc>
        <w:tc>
          <w:tcPr>
            <w:tcW w:w="817" w:type="pct"/>
            <w:noWrap/>
            <w:vAlign w:val="center"/>
          </w:tcPr>
          <w:p w14:paraId="79315333"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c>
          <w:tcPr>
            <w:tcW w:w="817" w:type="pct"/>
            <w:noWrap/>
            <w:vAlign w:val="center"/>
          </w:tcPr>
          <w:p w14:paraId="7451CF8C"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c>
          <w:tcPr>
            <w:tcW w:w="817" w:type="pct"/>
            <w:noWrap/>
            <w:vAlign w:val="center"/>
          </w:tcPr>
          <w:p w14:paraId="0194302A"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c>
          <w:tcPr>
            <w:tcW w:w="815" w:type="pct"/>
            <w:vAlign w:val="center"/>
          </w:tcPr>
          <w:p w14:paraId="2D0869F1"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达标</w:t>
            </w:r>
          </w:p>
        </w:tc>
      </w:tr>
      <w:tr w:rsidR="00FC4B9E" w:rsidRPr="00484A17" w14:paraId="48839592" w14:textId="77777777" w:rsidTr="00FC4B9E">
        <w:trPr>
          <w:trHeight w:val="369"/>
          <w:jc w:val="center"/>
        </w:trPr>
        <w:tc>
          <w:tcPr>
            <w:tcW w:w="1733" w:type="pct"/>
            <w:gridSpan w:val="2"/>
            <w:noWrap/>
            <w:vAlign w:val="center"/>
          </w:tcPr>
          <w:p w14:paraId="23DDDCFC"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hint="eastAsia"/>
                <w:b/>
                <w:color w:val="000000" w:themeColor="text1"/>
                <w:szCs w:val="21"/>
                <w:u w:val="single"/>
              </w:rPr>
              <w:t>污水</w:t>
            </w:r>
            <w:r w:rsidRPr="00484A17">
              <w:rPr>
                <w:rFonts w:ascii="Calibri" w:hAnsi="Calibri"/>
                <w:b/>
                <w:color w:val="000000" w:themeColor="text1"/>
                <w:szCs w:val="21"/>
                <w:u w:val="single"/>
              </w:rPr>
              <w:t>处理站与厂界距离</w:t>
            </w:r>
          </w:p>
        </w:tc>
        <w:tc>
          <w:tcPr>
            <w:tcW w:w="817" w:type="pct"/>
            <w:noWrap/>
            <w:vAlign w:val="center"/>
          </w:tcPr>
          <w:p w14:paraId="1173747C"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16</w:t>
            </w:r>
          </w:p>
        </w:tc>
        <w:tc>
          <w:tcPr>
            <w:tcW w:w="817" w:type="pct"/>
            <w:noWrap/>
            <w:vAlign w:val="center"/>
          </w:tcPr>
          <w:p w14:paraId="154870B9"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16</w:t>
            </w:r>
          </w:p>
        </w:tc>
        <w:tc>
          <w:tcPr>
            <w:tcW w:w="817" w:type="pct"/>
            <w:noWrap/>
            <w:vAlign w:val="center"/>
          </w:tcPr>
          <w:p w14:paraId="17191B1D"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hint="eastAsia"/>
                <w:b/>
                <w:color w:val="000000" w:themeColor="text1"/>
                <w:szCs w:val="21"/>
                <w:u w:val="single"/>
              </w:rPr>
              <w:t>190</w:t>
            </w:r>
          </w:p>
        </w:tc>
        <w:tc>
          <w:tcPr>
            <w:tcW w:w="815" w:type="pct"/>
            <w:vAlign w:val="center"/>
          </w:tcPr>
          <w:p w14:paraId="3931D9F6"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hint="eastAsia"/>
                <w:b/>
                <w:color w:val="000000" w:themeColor="text1"/>
                <w:szCs w:val="21"/>
                <w:u w:val="single"/>
              </w:rPr>
              <w:t>360</w:t>
            </w:r>
          </w:p>
        </w:tc>
      </w:tr>
      <w:tr w:rsidR="00FC4B9E" w:rsidRPr="00484A17" w14:paraId="306826E1" w14:textId="77777777" w:rsidTr="00FC4B9E">
        <w:trPr>
          <w:trHeight w:val="369"/>
          <w:jc w:val="center"/>
        </w:trPr>
        <w:tc>
          <w:tcPr>
            <w:tcW w:w="798" w:type="pct"/>
            <w:vMerge w:val="restart"/>
            <w:noWrap/>
            <w:vAlign w:val="center"/>
          </w:tcPr>
          <w:p w14:paraId="7B0DEEC2" w14:textId="77777777" w:rsidR="00FC4B9E" w:rsidRPr="00484A17" w:rsidRDefault="00FC4B9E" w:rsidP="00FC4B9E">
            <w:pPr>
              <w:jc w:val="center"/>
              <w:rPr>
                <w:rFonts w:ascii="Calibri" w:hAnsi="Calibri"/>
                <w:b/>
                <w:color w:val="000000" w:themeColor="text1"/>
                <w:szCs w:val="21"/>
                <w:u w:val="single"/>
              </w:rPr>
            </w:pPr>
            <w:r w:rsidRPr="00484A17">
              <w:rPr>
                <w:rFonts w:asciiTheme="minorHAnsi" w:hAnsiTheme="minorHAnsi" w:hint="eastAsia"/>
                <w:b/>
                <w:bCs/>
                <w:color w:val="000000" w:themeColor="text1"/>
                <w:szCs w:val="21"/>
                <w:u w:val="single"/>
              </w:rPr>
              <w:t>NH</w:t>
            </w:r>
            <w:r w:rsidRPr="00484A17">
              <w:rPr>
                <w:rFonts w:asciiTheme="minorHAnsi" w:hAnsiTheme="minorHAnsi" w:hint="eastAsia"/>
                <w:b/>
                <w:bCs/>
                <w:color w:val="000000" w:themeColor="text1"/>
                <w:szCs w:val="21"/>
                <w:u w:val="single"/>
                <w:vertAlign w:val="subscript"/>
              </w:rPr>
              <w:t>3</w:t>
            </w:r>
          </w:p>
        </w:tc>
        <w:tc>
          <w:tcPr>
            <w:tcW w:w="936" w:type="pct"/>
            <w:vAlign w:val="center"/>
          </w:tcPr>
          <w:p w14:paraId="608D77D1"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预测结果</w:t>
            </w:r>
          </w:p>
        </w:tc>
        <w:tc>
          <w:tcPr>
            <w:tcW w:w="817" w:type="pct"/>
            <w:noWrap/>
            <w:vAlign w:val="center"/>
          </w:tcPr>
          <w:p w14:paraId="2E3A8A22" w14:textId="7D3097FA"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1.1388</w:t>
            </w:r>
          </w:p>
        </w:tc>
        <w:tc>
          <w:tcPr>
            <w:tcW w:w="817" w:type="pct"/>
            <w:noWrap/>
            <w:vAlign w:val="center"/>
          </w:tcPr>
          <w:p w14:paraId="16D201D6" w14:textId="5028AB70"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1.1388</w:t>
            </w:r>
          </w:p>
        </w:tc>
        <w:tc>
          <w:tcPr>
            <w:tcW w:w="817" w:type="pct"/>
            <w:noWrap/>
            <w:vAlign w:val="center"/>
          </w:tcPr>
          <w:p w14:paraId="119D2D29" w14:textId="669FCC70"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0.3487</w:t>
            </w:r>
          </w:p>
        </w:tc>
        <w:tc>
          <w:tcPr>
            <w:tcW w:w="815" w:type="pct"/>
            <w:vAlign w:val="center"/>
          </w:tcPr>
          <w:p w14:paraId="55DA3D22" w14:textId="1358FADC"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0.2561</w:t>
            </w:r>
          </w:p>
        </w:tc>
      </w:tr>
      <w:tr w:rsidR="00FC4B9E" w:rsidRPr="00484A17" w14:paraId="21EBE76F" w14:textId="77777777" w:rsidTr="00FC4B9E">
        <w:trPr>
          <w:trHeight w:val="369"/>
          <w:jc w:val="center"/>
        </w:trPr>
        <w:tc>
          <w:tcPr>
            <w:tcW w:w="798" w:type="pct"/>
            <w:vMerge/>
            <w:noWrap/>
            <w:vAlign w:val="center"/>
          </w:tcPr>
          <w:p w14:paraId="26A8644D" w14:textId="77777777" w:rsidR="00FC4B9E" w:rsidRPr="00484A17" w:rsidRDefault="00FC4B9E" w:rsidP="00FC4B9E">
            <w:pPr>
              <w:jc w:val="center"/>
              <w:rPr>
                <w:rFonts w:asciiTheme="minorHAnsi" w:hAnsiTheme="minorHAnsi"/>
                <w:b/>
                <w:bCs/>
                <w:color w:val="000000" w:themeColor="text1"/>
                <w:szCs w:val="21"/>
                <w:u w:val="single"/>
              </w:rPr>
            </w:pPr>
          </w:p>
        </w:tc>
        <w:tc>
          <w:tcPr>
            <w:tcW w:w="936" w:type="pct"/>
            <w:vAlign w:val="center"/>
          </w:tcPr>
          <w:p w14:paraId="251C9A4B"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排放限值</w:t>
            </w:r>
          </w:p>
        </w:tc>
        <w:tc>
          <w:tcPr>
            <w:tcW w:w="817" w:type="pct"/>
            <w:noWrap/>
            <w:vAlign w:val="center"/>
          </w:tcPr>
          <w:p w14:paraId="5557EB30"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1500</w:t>
            </w:r>
          </w:p>
        </w:tc>
        <w:tc>
          <w:tcPr>
            <w:tcW w:w="817" w:type="pct"/>
            <w:noWrap/>
            <w:vAlign w:val="center"/>
          </w:tcPr>
          <w:p w14:paraId="28E67644"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1500</w:t>
            </w:r>
          </w:p>
        </w:tc>
        <w:tc>
          <w:tcPr>
            <w:tcW w:w="817" w:type="pct"/>
            <w:noWrap/>
            <w:vAlign w:val="center"/>
          </w:tcPr>
          <w:p w14:paraId="2C53E2C6"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1500</w:t>
            </w:r>
          </w:p>
        </w:tc>
        <w:tc>
          <w:tcPr>
            <w:tcW w:w="815" w:type="pct"/>
            <w:vAlign w:val="center"/>
          </w:tcPr>
          <w:p w14:paraId="292F9821"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1500</w:t>
            </w:r>
          </w:p>
        </w:tc>
      </w:tr>
      <w:tr w:rsidR="00FC4B9E" w:rsidRPr="00484A17" w14:paraId="45D3E6E2" w14:textId="77777777" w:rsidTr="00FC4B9E">
        <w:trPr>
          <w:trHeight w:val="369"/>
          <w:jc w:val="center"/>
        </w:trPr>
        <w:tc>
          <w:tcPr>
            <w:tcW w:w="798" w:type="pct"/>
            <w:vMerge/>
            <w:noWrap/>
            <w:vAlign w:val="center"/>
          </w:tcPr>
          <w:p w14:paraId="721A3EB3" w14:textId="77777777" w:rsidR="00FC4B9E" w:rsidRPr="00484A17" w:rsidRDefault="00FC4B9E" w:rsidP="00FC4B9E">
            <w:pPr>
              <w:jc w:val="center"/>
              <w:rPr>
                <w:rFonts w:asciiTheme="minorHAnsi" w:hAnsiTheme="minorHAnsi"/>
                <w:b/>
                <w:bCs/>
                <w:color w:val="000000" w:themeColor="text1"/>
                <w:szCs w:val="21"/>
                <w:u w:val="single"/>
              </w:rPr>
            </w:pPr>
          </w:p>
        </w:tc>
        <w:tc>
          <w:tcPr>
            <w:tcW w:w="936" w:type="pct"/>
            <w:vAlign w:val="center"/>
          </w:tcPr>
          <w:p w14:paraId="73E44DC3"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是否达标</w:t>
            </w:r>
          </w:p>
        </w:tc>
        <w:tc>
          <w:tcPr>
            <w:tcW w:w="817" w:type="pct"/>
            <w:noWrap/>
            <w:vAlign w:val="center"/>
          </w:tcPr>
          <w:p w14:paraId="1888320B"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7" w:type="pct"/>
            <w:noWrap/>
            <w:vAlign w:val="center"/>
          </w:tcPr>
          <w:p w14:paraId="3BF4A1BE"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7" w:type="pct"/>
            <w:noWrap/>
            <w:vAlign w:val="center"/>
          </w:tcPr>
          <w:p w14:paraId="32EDD662"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5" w:type="pct"/>
            <w:vAlign w:val="center"/>
          </w:tcPr>
          <w:p w14:paraId="694637B4"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r>
      <w:tr w:rsidR="00FC4B9E" w:rsidRPr="00484A17" w14:paraId="05DB37B0" w14:textId="77777777" w:rsidTr="00FC4B9E">
        <w:trPr>
          <w:trHeight w:val="369"/>
          <w:jc w:val="center"/>
        </w:trPr>
        <w:tc>
          <w:tcPr>
            <w:tcW w:w="798" w:type="pct"/>
            <w:vMerge w:val="restart"/>
            <w:noWrap/>
            <w:vAlign w:val="center"/>
          </w:tcPr>
          <w:p w14:paraId="6D4D348E" w14:textId="77777777" w:rsidR="00FC4B9E" w:rsidRPr="00484A17" w:rsidRDefault="00FC4B9E" w:rsidP="00FC4B9E">
            <w:pPr>
              <w:jc w:val="center"/>
              <w:rPr>
                <w:rFonts w:ascii="Calibri" w:hAnsi="Calibri"/>
                <w:b/>
                <w:color w:val="000000" w:themeColor="text1"/>
                <w:szCs w:val="21"/>
                <w:u w:val="single"/>
              </w:rPr>
            </w:pPr>
            <w:r w:rsidRPr="00484A17">
              <w:rPr>
                <w:rFonts w:asciiTheme="minorHAnsi" w:hAnsiTheme="minorHAnsi"/>
                <w:b/>
                <w:bCs/>
                <w:color w:val="000000" w:themeColor="text1"/>
                <w:szCs w:val="21"/>
                <w:u w:val="single"/>
              </w:rPr>
              <w:t>H</w:t>
            </w:r>
            <w:r w:rsidRPr="00484A17">
              <w:rPr>
                <w:rFonts w:asciiTheme="minorHAnsi" w:hAnsiTheme="minorHAnsi"/>
                <w:b/>
                <w:bCs/>
                <w:color w:val="000000" w:themeColor="text1"/>
                <w:szCs w:val="21"/>
                <w:u w:val="single"/>
                <w:vertAlign w:val="subscript"/>
              </w:rPr>
              <w:t>2</w:t>
            </w:r>
            <w:r w:rsidRPr="00484A17">
              <w:rPr>
                <w:rFonts w:asciiTheme="minorHAnsi" w:hAnsiTheme="minorHAnsi"/>
                <w:b/>
                <w:bCs/>
                <w:color w:val="000000" w:themeColor="text1"/>
                <w:szCs w:val="21"/>
                <w:u w:val="single"/>
              </w:rPr>
              <w:t>S</w:t>
            </w:r>
          </w:p>
        </w:tc>
        <w:tc>
          <w:tcPr>
            <w:tcW w:w="936" w:type="pct"/>
            <w:vAlign w:val="center"/>
          </w:tcPr>
          <w:p w14:paraId="45E61E3A"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预测结果</w:t>
            </w:r>
          </w:p>
        </w:tc>
        <w:tc>
          <w:tcPr>
            <w:tcW w:w="817" w:type="pct"/>
            <w:noWrap/>
            <w:vAlign w:val="center"/>
          </w:tcPr>
          <w:p w14:paraId="28226D9D" w14:textId="524DC797"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0.0569</w:t>
            </w:r>
          </w:p>
        </w:tc>
        <w:tc>
          <w:tcPr>
            <w:tcW w:w="817" w:type="pct"/>
            <w:noWrap/>
            <w:vAlign w:val="center"/>
          </w:tcPr>
          <w:p w14:paraId="4BD3F202" w14:textId="34661C42"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0.0569</w:t>
            </w:r>
          </w:p>
        </w:tc>
        <w:tc>
          <w:tcPr>
            <w:tcW w:w="817" w:type="pct"/>
            <w:noWrap/>
            <w:vAlign w:val="center"/>
          </w:tcPr>
          <w:p w14:paraId="1CF805A1" w14:textId="78D92E93"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0.0174</w:t>
            </w:r>
          </w:p>
        </w:tc>
        <w:tc>
          <w:tcPr>
            <w:tcW w:w="815" w:type="pct"/>
            <w:vAlign w:val="center"/>
          </w:tcPr>
          <w:p w14:paraId="71FCAF3A" w14:textId="3C707AAC"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0.0128</w:t>
            </w:r>
          </w:p>
        </w:tc>
      </w:tr>
      <w:tr w:rsidR="00FC4B9E" w:rsidRPr="00484A17" w14:paraId="10C9A63A" w14:textId="77777777" w:rsidTr="00FC4B9E">
        <w:trPr>
          <w:trHeight w:val="369"/>
          <w:jc w:val="center"/>
        </w:trPr>
        <w:tc>
          <w:tcPr>
            <w:tcW w:w="798" w:type="pct"/>
            <w:vMerge/>
            <w:noWrap/>
            <w:vAlign w:val="center"/>
          </w:tcPr>
          <w:p w14:paraId="45F418E7" w14:textId="77777777" w:rsidR="00FC4B9E" w:rsidRPr="00484A17" w:rsidRDefault="00FC4B9E" w:rsidP="00FC4B9E">
            <w:pPr>
              <w:jc w:val="center"/>
              <w:rPr>
                <w:rFonts w:asciiTheme="minorHAnsi" w:hAnsiTheme="minorHAnsi"/>
                <w:b/>
                <w:bCs/>
                <w:color w:val="000000" w:themeColor="text1"/>
                <w:sz w:val="24"/>
                <w:u w:val="single"/>
              </w:rPr>
            </w:pPr>
          </w:p>
        </w:tc>
        <w:tc>
          <w:tcPr>
            <w:tcW w:w="936" w:type="pct"/>
            <w:vAlign w:val="center"/>
          </w:tcPr>
          <w:p w14:paraId="406C3813"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排放限值</w:t>
            </w:r>
          </w:p>
        </w:tc>
        <w:tc>
          <w:tcPr>
            <w:tcW w:w="817" w:type="pct"/>
            <w:noWrap/>
            <w:vAlign w:val="center"/>
          </w:tcPr>
          <w:p w14:paraId="12B008CC"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60</w:t>
            </w:r>
          </w:p>
        </w:tc>
        <w:tc>
          <w:tcPr>
            <w:tcW w:w="817" w:type="pct"/>
            <w:noWrap/>
            <w:vAlign w:val="center"/>
          </w:tcPr>
          <w:p w14:paraId="064E3010"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60</w:t>
            </w:r>
          </w:p>
        </w:tc>
        <w:tc>
          <w:tcPr>
            <w:tcW w:w="817" w:type="pct"/>
            <w:noWrap/>
            <w:vAlign w:val="center"/>
          </w:tcPr>
          <w:p w14:paraId="009680E7"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60</w:t>
            </w:r>
          </w:p>
        </w:tc>
        <w:tc>
          <w:tcPr>
            <w:tcW w:w="815" w:type="pct"/>
            <w:vAlign w:val="center"/>
          </w:tcPr>
          <w:p w14:paraId="28DBBC0A"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60</w:t>
            </w:r>
          </w:p>
        </w:tc>
      </w:tr>
      <w:tr w:rsidR="00FC4B9E" w:rsidRPr="00484A17" w14:paraId="510A18B5" w14:textId="77777777" w:rsidTr="00FC4B9E">
        <w:trPr>
          <w:trHeight w:val="369"/>
          <w:jc w:val="center"/>
        </w:trPr>
        <w:tc>
          <w:tcPr>
            <w:tcW w:w="798" w:type="pct"/>
            <w:vMerge/>
            <w:noWrap/>
            <w:vAlign w:val="center"/>
          </w:tcPr>
          <w:p w14:paraId="22FAAED7" w14:textId="77777777" w:rsidR="00FC4B9E" w:rsidRPr="00484A17" w:rsidRDefault="00FC4B9E" w:rsidP="00FC4B9E">
            <w:pPr>
              <w:jc w:val="center"/>
              <w:rPr>
                <w:rFonts w:asciiTheme="minorHAnsi" w:hAnsiTheme="minorHAnsi"/>
                <w:b/>
                <w:bCs/>
                <w:color w:val="000000" w:themeColor="text1"/>
                <w:sz w:val="24"/>
                <w:u w:val="single"/>
              </w:rPr>
            </w:pPr>
          </w:p>
        </w:tc>
        <w:tc>
          <w:tcPr>
            <w:tcW w:w="936" w:type="pct"/>
            <w:vAlign w:val="center"/>
          </w:tcPr>
          <w:p w14:paraId="06122CF0"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是否达标</w:t>
            </w:r>
          </w:p>
        </w:tc>
        <w:tc>
          <w:tcPr>
            <w:tcW w:w="817" w:type="pct"/>
            <w:noWrap/>
            <w:vAlign w:val="center"/>
          </w:tcPr>
          <w:p w14:paraId="02529F36"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7" w:type="pct"/>
            <w:noWrap/>
            <w:vAlign w:val="center"/>
          </w:tcPr>
          <w:p w14:paraId="36B2964C"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7" w:type="pct"/>
            <w:noWrap/>
            <w:vAlign w:val="center"/>
          </w:tcPr>
          <w:p w14:paraId="7C3CC23A"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5" w:type="pct"/>
            <w:vAlign w:val="center"/>
          </w:tcPr>
          <w:p w14:paraId="41F437B6"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r>
      <w:tr w:rsidR="00FC4B9E" w:rsidRPr="00484A17" w14:paraId="09BFBAD0" w14:textId="77777777" w:rsidTr="00FC4B9E">
        <w:trPr>
          <w:trHeight w:val="369"/>
          <w:jc w:val="center"/>
        </w:trPr>
        <w:tc>
          <w:tcPr>
            <w:tcW w:w="798" w:type="pct"/>
            <w:vMerge w:val="restart"/>
            <w:noWrap/>
            <w:vAlign w:val="center"/>
          </w:tcPr>
          <w:p w14:paraId="0B62BE8F" w14:textId="77777777" w:rsidR="00FC4B9E" w:rsidRPr="00484A17" w:rsidRDefault="00FC4B9E" w:rsidP="00FC4B9E">
            <w:pPr>
              <w:jc w:val="center"/>
              <w:rPr>
                <w:rFonts w:asciiTheme="minorHAnsi" w:hAnsiTheme="minorHAnsi"/>
                <w:b/>
                <w:bCs/>
                <w:color w:val="000000" w:themeColor="text1"/>
                <w:sz w:val="24"/>
                <w:u w:val="single"/>
              </w:rPr>
            </w:pPr>
            <w:r w:rsidRPr="00484A17">
              <w:rPr>
                <w:rFonts w:ascii="Calibri" w:hAnsi="Calibri"/>
                <w:b/>
                <w:color w:val="000000" w:themeColor="text1"/>
                <w:szCs w:val="21"/>
                <w:u w:val="single"/>
              </w:rPr>
              <w:t>非甲烷总烃</w:t>
            </w:r>
          </w:p>
        </w:tc>
        <w:tc>
          <w:tcPr>
            <w:tcW w:w="936" w:type="pct"/>
            <w:vAlign w:val="center"/>
          </w:tcPr>
          <w:p w14:paraId="66352F84"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预测结果</w:t>
            </w:r>
          </w:p>
        </w:tc>
        <w:tc>
          <w:tcPr>
            <w:tcW w:w="817" w:type="pct"/>
            <w:noWrap/>
            <w:vAlign w:val="center"/>
          </w:tcPr>
          <w:p w14:paraId="216CC44E" w14:textId="3EE43D44"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2.2776</w:t>
            </w:r>
          </w:p>
        </w:tc>
        <w:tc>
          <w:tcPr>
            <w:tcW w:w="817" w:type="pct"/>
            <w:noWrap/>
            <w:vAlign w:val="center"/>
          </w:tcPr>
          <w:p w14:paraId="64B3A6A5" w14:textId="51D1DFAD"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2.2776</w:t>
            </w:r>
          </w:p>
        </w:tc>
        <w:tc>
          <w:tcPr>
            <w:tcW w:w="817" w:type="pct"/>
            <w:noWrap/>
            <w:vAlign w:val="center"/>
          </w:tcPr>
          <w:p w14:paraId="5B0CFEA0" w14:textId="040856A1"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0.6974</w:t>
            </w:r>
          </w:p>
        </w:tc>
        <w:tc>
          <w:tcPr>
            <w:tcW w:w="815" w:type="pct"/>
            <w:vAlign w:val="center"/>
          </w:tcPr>
          <w:p w14:paraId="1C91358A" w14:textId="0C2496A6" w:rsidR="00FC4B9E" w:rsidRPr="00484A17" w:rsidRDefault="00484A17" w:rsidP="00FC4B9E">
            <w:pPr>
              <w:jc w:val="center"/>
              <w:rPr>
                <w:rFonts w:asciiTheme="minorHAnsi" w:hAnsiTheme="minorHAnsi"/>
                <w:b/>
                <w:color w:val="000000" w:themeColor="text1"/>
                <w:szCs w:val="21"/>
                <w:u w:val="single"/>
              </w:rPr>
            </w:pPr>
            <w:r w:rsidRPr="00484A17">
              <w:rPr>
                <w:rFonts w:asciiTheme="minorHAnsi" w:hAnsiTheme="minorHAnsi"/>
                <w:b/>
                <w:szCs w:val="21"/>
                <w:u w:val="single"/>
              </w:rPr>
              <w:t>0.5123</w:t>
            </w:r>
          </w:p>
        </w:tc>
      </w:tr>
      <w:tr w:rsidR="00FC4B9E" w:rsidRPr="00484A17" w14:paraId="4BEA2691" w14:textId="77777777" w:rsidTr="00FC4B9E">
        <w:trPr>
          <w:trHeight w:val="369"/>
          <w:jc w:val="center"/>
        </w:trPr>
        <w:tc>
          <w:tcPr>
            <w:tcW w:w="798" w:type="pct"/>
            <w:vMerge/>
            <w:noWrap/>
            <w:vAlign w:val="center"/>
          </w:tcPr>
          <w:p w14:paraId="1B6E8293" w14:textId="77777777" w:rsidR="00FC4B9E" w:rsidRPr="00484A17" w:rsidRDefault="00FC4B9E" w:rsidP="00FC4B9E">
            <w:pPr>
              <w:jc w:val="center"/>
              <w:rPr>
                <w:rFonts w:ascii="Calibri" w:hAnsi="Calibri"/>
                <w:b/>
                <w:color w:val="000000" w:themeColor="text1"/>
                <w:szCs w:val="21"/>
                <w:u w:val="single"/>
              </w:rPr>
            </w:pPr>
          </w:p>
        </w:tc>
        <w:tc>
          <w:tcPr>
            <w:tcW w:w="936" w:type="pct"/>
            <w:vAlign w:val="center"/>
          </w:tcPr>
          <w:p w14:paraId="7994000A"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排放限值</w:t>
            </w:r>
          </w:p>
        </w:tc>
        <w:tc>
          <w:tcPr>
            <w:tcW w:w="817" w:type="pct"/>
            <w:noWrap/>
            <w:vAlign w:val="center"/>
          </w:tcPr>
          <w:p w14:paraId="3DD27A24"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2000</w:t>
            </w:r>
          </w:p>
        </w:tc>
        <w:tc>
          <w:tcPr>
            <w:tcW w:w="817" w:type="pct"/>
            <w:noWrap/>
            <w:vAlign w:val="center"/>
          </w:tcPr>
          <w:p w14:paraId="4EA49051"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2000</w:t>
            </w:r>
          </w:p>
        </w:tc>
        <w:tc>
          <w:tcPr>
            <w:tcW w:w="817" w:type="pct"/>
            <w:noWrap/>
            <w:vAlign w:val="center"/>
          </w:tcPr>
          <w:p w14:paraId="1A415A15"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2000</w:t>
            </w:r>
          </w:p>
        </w:tc>
        <w:tc>
          <w:tcPr>
            <w:tcW w:w="815" w:type="pct"/>
            <w:vAlign w:val="center"/>
          </w:tcPr>
          <w:p w14:paraId="58298542"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2000</w:t>
            </w:r>
          </w:p>
        </w:tc>
      </w:tr>
      <w:tr w:rsidR="00FC4B9E" w:rsidRPr="00484A17" w14:paraId="332D031E" w14:textId="77777777" w:rsidTr="00FC4B9E">
        <w:trPr>
          <w:trHeight w:val="369"/>
          <w:jc w:val="center"/>
        </w:trPr>
        <w:tc>
          <w:tcPr>
            <w:tcW w:w="798" w:type="pct"/>
            <w:vMerge/>
            <w:noWrap/>
            <w:vAlign w:val="center"/>
          </w:tcPr>
          <w:p w14:paraId="70D67099" w14:textId="77777777" w:rsidR="00FC4B9E" w:rsidRPr="00484A17" w:rsidRDefault="00FC4B9E" w:rsidP="00FC4B9E">
            <w:pPr>
              <w:jc w:val="center"/>
              <w:rPr>
                <w:rFonts w:ascii="Calibri" w:hAnsi="Calibri"/>
                <w:b/>
                <w:color w:val="000000" w:themeColor="text1"/>
                <w:szCs w:val="21"/>
                <w:u w:val="single"/>
              </w:rPr>
            </w:pPr>
          </w:p>
        </w:tc>
        <w:tc>
          <w:tcPr>
            <w:tcW w:w="936" w:type="pct"/>
            <w:vAlign w:val="center"/>
          </w:tcPr>
          <w:p w14:paraId="6DAA9B4F" w14:textId="77777777" w:rsidR="00FC4B9E" w:rsidRPr="00484A17" w:rsidRDefault="00FC4B9E" w:rsidP="00FC4B9E">
            <w:pPr>
              <w:jc w:val="center"/>
              <w:rPr>
                <w:rFonts w:ascii="Calibri" w:hAnsi="Calibri"/>
                <w:b/>
                <w:color w:val="000000" w:themeColor="text1"/>
                <w:szCs w:val="21"/>
                <w:u w:val="single"/>
              </w:rPr>
            </w:pPr>
            <w:r w:rsidRPr="00484A17">
              <w:rPr>
                <w:rFonts w:ascii="Calibri" w:hAnsi="Calibri"/>
                <w:b/>
                <w:color w:val="000000" w:themeColor="text1"/>
                <w:szCs w:val="21"/>
                <w:u w:val="single"/>
              </w:rPr>
              <w:t>是否达标</w:t>
            </w:r>
          </w:p>
        </w:tc>
        <w:tc>
          <w:tcPr>
            <w:tcW w:w="817" w:type="pct"/>
            <w:noWrap/>
            <w:vAlign w:val="center"/>
          </w:tcPr>
          <w:p w14:paraId="45151E1C"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7" w:type="pct"/>
            <w:noWrap/>
            <w:vAlign w:val="center"/>
          </w:tcPr>
          <w:p w14:paraId="5630EE1D"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7" w:type="pct"/>
            <w:noWrap/>
            <w:vAlign w:val="center"/>
          </w:tcPr>
          <w:p w14:paraId="2E2BB57D"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c>
          <w:tcPr>
            <w:tcW w:w="815" w:type="pct"/>
            <w:vAlign w:val="center"/>
          </w:tcPr>
          <w:p w14:paraId="5DDE45EA" w14:textId="77777777" w:rsidR="00FC4B9E" w:rsidRPr="00484A17" w:rsidRDefault="00FC4B9E" w:rsidP="00FC4B9E">
            <w:pPr>
              <w:jc w:val="center"/>
              <w:rPr>
                <w:rFonts w:asciiTheme="minorHAnsi" w:hAnsiTheme="minorHAnsi"/>
                <w:b/>
                <w:color w:val="000000" w:themeColor="text1"/>
                <w:szCs w:val="21"/>
                <w:u w:val="single"/>
              </w:rPr>
            </w:pPr>
            <w:r w:rsidRPr="00484A17">
              <w:rPr>
                <w:rFonts w:asciiTheme="minorHAnsi" w:hAnsiTheme="minorHAnsi"/>
                <w:b/>
                <w:color w:val="000000" w:themeColor="text1"/>
                <w:szCs w:val="21"/>
                <w:u w:val="single"/>
              </w:rPr>
              <w:t>达标</w:t>
            </w:r>
          </w:p>
        </w:tc>
      </w:tr>
    </w:tbl>
    <w:p w14:paraId="60DD58F5" w14:textId="77777777" w:rsidR="00E756E9" w:rsidRPr="001A04B6" w:rsidRDefault="00154297" w:rsidP="001A04B6">
      <w:pPr>
        <w:pStyle w:val="00"/>
        <w:rPr>
          <w:rFonts w:asciiTheme="minorHAnsi" w:hAnsiTheme="minorHAnsi"/>
          <w:bCs/>
          <w:color w:val="000000" w:themeColor="text1"/>
        </w:rPr>
      </w:pPr>
      <w:r>
        <w:rPr>
          <w:rFonts w:asciiTheme="minorHAnsi" w:hAnsiTheme="minorHAnsi"/>
          <w:bCs/>
          <w:color w:val="000000" w:themeColor="text1"/>
        </w:rPr>
        <w:t>由此可见，本项目无组织废气</w:t>
      </w:r>
      <w:r>
        <w:rPr>
          <w:rFonts w:asciiTheme="minorHAnsi" w:hAnsiTheme="minorHAnsi" w:hint="eastAsia"/>
          <w:bCs/>
          <w:color w:val="000000" w:themeColor="text1"/>
        </w:rPr>
        <w:t>颗粒物、非甲烷总烃、</w:t>
      </w:r>
      <w:r>
        <w:rPr>
          <w:rFonts w:asciiTheme="minorHAnsi" w:hAnsiTheme="minorHAnsi" w:hint="eastAsia"/>
          <w:bCs/>
          <w:color w:val="000000" w:themeColor="text1"/>
        </w:rPr>
        <w:t>NH</w:t>
      </w:r>
      <w:r w:rsidRPr="000C5806">
        <w:rPr>
          <w:rFonts w:asciiTheme="minorHAnsi" w:hAnsiTheme="minorHAnsi" w:hint="eastAsia"/>
          <w:bCs/>
          <w:color w:val="000000" w:themeColor="text1"/>
          <w:vertAlign w:val="subscript"/>
        </w:rPr>
        <w:t>3</w:t>
      </w:r>
      <w:r>
        <w:rPr>
          <w:rFonts w:asciiTheme="minorHAnsi" w:hAnsiTheme="minorHAnsi" w:hint="eastAsia"/>
          <w:bCs/>
          <w:color w:val="000000" w:themeColor="text1"/>
        </w:rPr>
        <w:t>、</w:t>
      </w:r>
      <w:r w:rsidRPr="000C5806">
        <w:rPr>
          <w:rFonts w:asciiTheme="minorHAnsi" w:hAnsiTheme="minorHAnsi"/>
          <w:bCs/>
          <w:color w:val="000000" w:themeColor="text1"/>
        </w:rPr>
        <w:t>H</w:t>
      </w:r>
      <w:r w:rsidRPr="000C5806">
        <w:rPr>
          <w:rFonts w:asciiTheme="minorHAnsi" w:hAnsiTheme="minorHAnsi"/>
          <w:bCs/>
          <w:color w:val="000000" w:themeColor="text1"/>
          <w:vertAlign w:val="subscript"/>
        </w:rPr>
        <w:t>2</w:t>
      </w:r>
      <w:r w:rsidRPr="000C5806">
        <w:rPr>
          <w:rFonts w:asciiTheme="minorHAnsi" w:hAnsiTheme="minorHAnsi"/>
          <w:bCs/>
          <w:color w:val="000000" w:themeColor="text1"/>
        </w:rPr>
        <w:t>S</w:t>
      </w:r>
      <w:r>
        <w:rPr>
          <w:rFonts w:asciiTheme="minorHAnsi" w:hAnsiTheme="minorHAnsi"/>
          <w:bCs/>
          <w:color w:val="000000" w:themeColor="text1"/>
        </w:rPr>
        <w:t>在厂界监控点的</w:t>
      </w:r>
      <w:r>
        <w:rPr>
          <w:rFonts w:asciiTheme="minorHAnsi" w:hAnsiTheme="minorHAnsi"/>
          <w:bCs/>
          <w:color w:val="000000" w:themeColor="text1"/>
        </w:rPr>
        <w:lastRenderedPageBreak/>
        <w:t>预测浓度值均能满足相应标准要求，故本项目无组织排放对四周厂界影响较小。</w:t>
      </w:r>
    </w:p>
    <w:p w14:paraId="26AA9EA6" w14:textId="77777777" w:rsidR="00154297" w:rsidRDefault="00154297" w:rsidP="00154297">
      <w:pPr>
        <w:widowControl/>
        <w:spacing w:line="520" w:lineRule="exact"/>
        <w:ind w:firstLine="480"/>
        <w:rPr>
          <w:rFonts w:ascii="Calibri" w:hAnsi="Calibri"/>
          <w:b/>
          <w:color w:val="auto"/>
          <w:sz w:val="24"/>
        </w:rPr>
      </w:pPr>
      <w:r>
        <w:rPr>
          <w:rFonts w:ascii="Calibri" w:hAnsi="Calibri"/>
          <w:b/>
          <w:color w:val="auto"/>
          <w:sz w:val="24"/>
        </w:rPr>
        <w:t>8</w:t>
      </w:r>
      <w:r w:rsidRPr="00A964FF">
        <w:rPr>
          <w:rFonts w:ascii="Calibri" w:hAnsi="Calibri" w:hint="eastAsia"/>
          <w:b/>
          <w:color w:val="auto"/>
          <w:sz w:val="24"/>
        </w:rPr>
        <w:t>、</w:t>
      </w:r>
      <w:r>
        <w:rPr>
          <w:rFonts w:ascii="Calibri" w:hAnsi="Calibri" w:hint="eastAsia"/>
          <w:b/>
          <w:color w:val="auto"/>
          <w:sz w:val="24"/>
        </w:rPr>
        <w:t>大气环境</w:t>
      </w:r>
      <w:r>
        <w:rPr>
          <w:rFonts w:ascii="Calibri" w:hAnsi="Calibri"/>
          <w:b/>
          <w:color w:val="auto"/>
          <w:sz w:val="24"/>
        </w:rPr>
        <w:t>防护距离</w:t>
      </w:r>
    </w:p>
    <w:p w14:paraId="7A951281" w14:textId="2E5E2F62" w:rsidR="00154297" w:rsidRPr="005354F0" w:rsidRDefault="005354F0" w:rsidP="005354F0">
      <w:pPr>
        <w:spacing w:line="520" w:lineRule="exact"/>
        <w:ind w:firstLineChars="200" w:firstLine="480"/>
        <w:rPr>
          <w:rFonts w:ascii="Calibri" w:hAnsi="Calibri"/>
          <w:color w:val="auto"/>
          <w:sz w:val="24"/>
        </w:rPr>
      </w:pPr>
      <w:r>
        <w:rPr>
          <w:rFonts w:ascii="Calibri" w:hAnsi="Calibri" w:hint="eastAsia"/>
          <w:color w:val="auto"/>
          <w:sz w:val="24"/>
        </w:rPr>
        <w:t>本项目</w:t>
      </w:r>
      <w:r>
        <w:rPr>
          <w:rFonts w:ascii="Calibri" w:hAnsi="Calibri"/>
          <w:color w:val="auto"/>
          <w:sz w:val="24"/>
        </w:rPr>
        <w:t>厂界浓度满足厂界浓度限值，</w:t>
      </w:r>
      <w:r>
        <w:rPr>
          <w:rFonts w:ascii="Calibri" w:hAnsi="Calibri" w:hint="eastAsia"/>
          <w:color w:val="auto"/>
          <w:sz w:val="24"/>
        </w:rPr>
        <w:t>厂界</w:t>
      </w:r>
      <w:r>
        <w:rPr>
          <w:rFonts w:ascii="Calibri" w:hAnsi="Calibri"/>
          <w:color w:val="auto"/>
          <w:sz w:val="24"/>
        </w:rPr>
        <w:t>外污染物排放</w:t>
      </w:r>
      <w:r>
        <w:rPr>
          <w:rFonts w:ascii="Calibri" w:hAnsi="Calibri" w:hint="eastAsia"/>
          <w:color w:val="auto"/>
          <w:sz w:val="24"/>
        </w:rPr>
        <w:t>浓度</w:t>
      </w:r>
      <w:r>
        <w:rPr>
          <w:rFonts w:ascii="Calibri" w:hAnsi="Calibri"/>
          <w:color w:val="auto"/>
          <w:sz w:val="24"/>
        </w:rPr>
        <w:t>不超过环境质量浓度限值</w:t>
      </w:r>
      <w:r>
        <w:rPr>
          <w:rFonts w:ascii="Calibri" w:hAnsi="Calibri" w:hint="eastAsia"/>
          <w:color w:val="auto"/>
          <w:sz w:val="24"/>
        </w:rPr>
        <w:t>，</w:t>
      </w:r>
      <w:r w:rsidR="00154297">
        <w:rPr>
          <w:rFonts w:asciiTheme="minorHAnsi" w:hAnsiTheme="minorHAnsi"/>
          <w:bCs/>
          <w:color w:val="000000" w:themeColor="text1"/>
          <w:sz w:val="24"/>
        </w:rPr>
        <w:t>因此，本项目不再设置大气环境防护距离。</w:t>
      </w:r>
    </w:p>
    <w:p w14:paraId="43F3D4A7" w14:textId="77777777" w:rsidR="0055605A" w:rsidRPr="00A964FF" w:rsidRDefault="0055605A" w:rsidP="0055605A">
      <w:pPr>
        <w:pStyle w:val="ad"/>
        <w:rPr>
          <w:rFonts w:ascii="Calibri" w:hAnsi="Calibri"/>
          <w:color w:val="auto"/>
        </w:rPr>
      </w:pPr>
      <w:r w:rsidRPr="00A964FF">
        <w:rPr>
          <w:rFonts w:ascii="Calibri" w:hAnsi="Calibri" w:hint="eastAsia"/>
          <w:color w:val="auto"/>
        </w:rPr>
        <w:t>4</w:t>
      </w:r>
      <w:r w:rsidRPr="00A964FF">
        <w:rPr>
          <w:rFonts w:ascii="Calibri" w:hAnsi="Calibri"/>
          <w:color w:val="auto"/>
        </w:rPr>
        <w:t>.</w:t>
      </w:r>
      <w:r w:rsidRPr="00A964FF">
        <w:rPr>
          <w:rFonts w:ascii="Calibri" w:hAnsi="Calibri" w:hint="eastAsia"/>
          <w:color w:val="auto"/>
        </w:rPr>
        <w:t>2</w:t>
      </w:r>
      <w:r w:rsidRPr="00A964FF">
        <w:rPr>
          <w:rFonts w:ascii="Calibri" w:hAnsi="Calibri"/>
          <w:color w:val="auto"/>
        </w:rPr>
        <w:t>.</w:t>
      </w:r>
      <w:r w:rsidRPr="00A964FF">
        <w:rPr>
          <w:rFonts w:ascii="Calibri" w:hAnsi="Calibri" w:hint="eastAsia"/>
          <w:color w:val="auto"/>
        </w:rPr>
        <w:t>2</w:t>
      </w:r>
      <w:r w:rsidRPr="00A964FF">
        <w:rPr>
          <w:rFonts w:ascii="Calibri" w:hAnsi="Calibri" w:hint="eastAsia"/>
          <w:color w:val="auto"/>
        </w:rPr>
        <w:t>地表水环境影响预测与评价</w:t>
      </w:r>
    </w:p>
    <w:p w14:paraId="7C31D2D2" w14:textId="77777777" w:rsidR="00F2599F" w:rsidRDefault="00F2599F" w:rsidP="00F2599F">
      <w:pPr>
        <w:pStyle w:val="00"/>
        <w:rPr>
          <w:rFonts w:ascii="Calibri" w:hAnsi="Calibri"/>
        </w:rPr>
      </w:pPr>
      <w:r w:rsidRPr="00F2599F">
        <w:rPr>
          <w:rFonts w:ascii="Calibri" w:hAnsi="Calibri"/>
          <w:color w:val="auto"/>
          <w:szCs w:val="21"/>
        </w:rPr>
        <w:t>根据平顶山尼龙新材料产业集聚区规划，集聚区入驻企业排水经管网收集后通</w:t>
      </w:r>
      <w:r>
        <w:rPr>
          <w:rFonts w:ascii="Calibri" w:hAnsi="Calibri"/>
        </w:rPr>
        <w:t>过</w:t>
      </w:r>
      <w:r w:rsidR="00401F85" w:rsidRPr="00A964FF">
        <w:rPr>
          <w:rFonts w:ascii="Calibri" w:hAnsi="Calibri" w:hint="eastAsia"/>
          <w:color w:val="auto"/>
        </w:rPr>
        <w:t>平顶山第三污水处理厂</w:t>
      </w:r>
      <w:r>
        <w:rPr>
          <w:rFonts w:ascii="Calibri" w:hAnsi="Calibri"/>
        </w:rPr>
        <w:t>集中处理。因此，本次地表水影响分析主要论证排水方案可行性。</w:t>
      </w:r>
    </w:p>
    <w:p w14:paraId="1E71BF6C" w14:textId="77777777" w:rsidR="00F2599F" w:rsidRDefault="00F2599F" w:rsidP="00F2599F">
      <w:pPr>
        <w:spacing w:line="520" w:lineRule="exact"/>
        <w:ind w:firstLine="482"/>
        <w:rPr>
          <w:rFonts w:ascii="Calibri" w:hAnsi="Calibri"/>
          <w:b/>
          <w:bCs/>
          <w:color w:val="auto"/>
          <w:sz w:val="24"/>
        </w:rPr>
      </w:pPr>
      <w:r>
        <w:rPr>
          <w:rFonts w:ascii="Calibri" w:hAnsi="Calibri"/>
          <w:b/>
          <w:bCs/>
          <w:color w:val="auto"/>
          <w:sz w:val="24"/>
        </w:rPr>
        <w:t>1</w:t>
      </w:r>
      <w:r>
        <w:rPr>
          <w:rFonts w:ascii="Calibri" w:hAnsi="Calibri"/>
          <w:b/>
          <w:bCs/>
          <w:color w:val="auto"/>
          <w:sz w:val="24"/>
        </w:rPr>
        <w:t>、废水产生情况</w:t>
      </w:r>
    </w:p>
    <w:p w14:paraId="0CC952E7" w14:textId="29F48072" w:rsidR="00F2599F" w:rsidRPr="00154297" w:rsidRDefault="00F2599F" w:rsidP="00154297">
      <w:pPr>
        <w:pStyle w:val="00"/>
        <w:ind w:firstLineChars="200"/>
        <w:rPr>
          <w:rFonts w:asciiTheme="minorHAnsi" w:hAnsiTheme="minorHAnsi"/>
          <w:color w:val="auto"/>
        </w:rPr>
      </w:pPr>
      <w:r w:rsidRPr="00154297">
        <w:rPr>
          <w:rFonts w:asciiTheme="minorHAnsi" w:hAnsiTheme="minorHAnsi"/>
          <w:color w:val="auto"/>
        </w:rPr>
        <w:t>本项目废水主要包括</w:t>
      </w:r>
      <w:r w:rsidR="00154297" w:rsidRPr="00154297">
        <w:rPr>
          <w:rFonts w:asciiTheme="minorHAnsi" w:hAnsiTheme="minorHAnsi"/>
          <w:color w:val="auto"/>
        </w:rPr>
        <w:t>聚合工序冷凝液，</w:t>
      </w:r>
      <w:r w:rsidR="00AB0983">
        <w:rPr>
          <w:rFonts w:asciiTheme="minorHAnsi" w:hAnsiTheme="minorHAnsi" w:hint="eastAsia"/>
          <w:color w:val="auto"/>
        </w:rPr>
        <w:t>喷淋塔</w:t>
      </w:r>
      <w:r w:rsidR="00154297" w:rsidRPr="00154297">
        <w:rPr>
          <w:rFonts w:asciiTheme="minorHAnsi" w:hAnsiTheme="minorHAnsi"/>
          <w:color w:val="auto"/>
        </w:rPr>
        <w:t>废水，制粒废水，真空系统废水，循环冷却水系统废水，</w:t>
      </w:r>
      <w:r w:rsidR="009305BC">
        <w:rPr>
          <w:rFonts w:asciiTheme="minorHAnsi" w:hAnsiTheme="minorHAnsi" w:hint="eastAsia"/>
          <w:color w:val="auto"/>
        </w:rPr>
        <w:t>纯</w:t>
      </w:r>
      <w:r w:rsidR="00154297" w:rsidRPr="00154297">
        <w:rPr>
          <w:rFonts w:asciiTheme="minorHAnsi" w:hAnsiTheme="minorHAnsi"/>
          <w:color w:val="auto"/>
        </w:rPr>
        <w:t>水制备废水，车间地面冲洗废水及生活污水。</w:t>
      </w:r>
      <w:r w:rsidRPr="00154297">
        <w:rPr>
          <w:rFonts w:asciiTheme="minorHAnsi" w:hAnsiTheme="minorHAnsi"/>
          <w:color w:val="auto"/>
        </w:rPr>
        <w:t>主要含有有机物</w:t>
      </w:r>
      <w:r w:rsidR="00154297" w:rsidRPr="00154297">
        <w:rPr>
          <w:rFonts w:asciiTheme="minorHAnsi" w:hAnsiTheme="minorHAnsi"/>
          <w:color w:val="auto"/>
        </w:rPr>
        <w:t>，</w:t>
      </w:r>
      <w:r w:rsidRPr="00154297">
        <w:rPr>
          <w:rFonts w:asciiTheme="minorHAnsi" w:hAnsiTheme="minorHAnsi"/>
          <w:color w:val="auto"/>
        </w:rPr>
        <w:t>无重金属。</w:t>
      </w:r>
      <w:r w:rsidRPr="00154297">
        <w:rPr>
          <w:rFonts w:asciiTheme="minorHAnsi" w:hAnsiTheme="minorHAnsi"/>
        </w:rPr>
        <w:t>废水中主要污染物为</w:t>
      </w:r>
      <w:r w:rsidR="00936B19" w:rsidRPr="00154297">
        <w:rPr>
          <w:rFonts w:asciiTheme="minorHAnsi" w:hAnsiTheme="minorHAnsi"/>
        </w:rPr>
        <w:t>pH</w:t>
      </w:r>
      <w:r w:rsidR="00936B19" w:rsidRPr="00154297">
        <w:rPr>
          <w:rFonts w:asciiTheme="minorHAnsi" w:hAnsiTheme="minorHAnsi"/>
        </w:rPr>
        <w:t>、</w:t>
      </w:r>
      <w:r w:rsidR="00936B19" w:rsidRPr="00154297">
        <w:rPr>
          <w:rFonts w:asciiTheme="minorHAnsi" w:hAnsiTheme="minorHAnsi"/>
        </w:rPr>
        <w:t>SS</w:t>
      </w:r>
      <w:r w:rsidR="00936B19" w:rsidRPr="00154297">
        <w:rPr>
          <w:rFonts w:asciiTheme="minorHAnsi" w:hAnsiTheme="minorHAnsi"/>
        </w:rPr>
        <w:t>、</w:t>
      </w:r>
      <w:r w:rsidR="00936B19" w:rsidRPr="00154297">
        <w:rPr>
          <w:rFonts w:asciiTheme="minorHAnsi" w:hAnsiTheme="minorHAnsi"/>
        </w:rPr>
        <w:t>CODcr</w:t>
      </w:r>
      <w:r w:rsidR="00936B19" w:rsidRPr="00154297">
        <w:rPr>
          <w:rFonts w:asciiTheme="minorHAnsi" w:hAnsiTheme="minorHAnsi"/>
        </w:rPr>
        <w:t>、</w:t>
      </w:r>
      <w:r w:rsidR="00936B19" w:rsidRPr="00154297">
        <w:rPr>
          <w:rFonts w:asciiTheme="minorHAnsi" w:hAnsiTheme="minorHAnsi"/>
        </w:rPr>
        <w:t>BOD</w:t>
      </w:r>
      <w:r w:rsidR="00936B19" w:rsidRPr="00154297">
        <w:rPr>
          <w:rFonts w:asciiTheme="minorHAnsi" w:hAnsiTheme="minorHAnsi"/>
          <w:vertAlign w:val="subscript"/>
        </w:rPr>
        <w:t>5</w:t>
      </w:r>
      <w:r w:rsidR="00154297" w:rsidRPr="00154297">
        <w:rPr>
          <w:rFonts w:asciiTheme="minorHAnsi" w:hAnsiTheme="minorHAnsi"/>
        </w:rPr>
        <w:t>、氨氮</w:t>
      </w:r>
      <w:r w:rsidR="00E01926">
        <w:rPr>
          <w:rFonts w:asciiTheme="minorHAnsi" w:hAnsiTheme="minorHAnsi" w:hint="eastAsia"/>
        </w:rPr>
        <w:t>、</w:t>
      </w:r>
      <w:r w:rsidR="00E01926">
        <w:rPr>
          <w:rFonts w:asciiTheme="minorHAnsi" w:hAnsiTheme="minorHAnsi"/>
        </w:rPr>
        <w:t>总氮</w:t>
      </w:r>
      <w:r w:rsidR="00936B19" w:rsidRPr="00154297">
        <w:rPr>
          <w:rFonts w:asciiTheme="minorHAnsi" w:hAnsiTheme="minorHAnsi"/>
        </w:rPr>
        <w:t>。</w:t>
      </w:r>
    </w:p>
    <w:p w14:paraId="227E1208" w14:textId="5749BB88" w:rsidR="00154297" w:rsidRPr="00154297" w:rsidRDefault="00154297" w:rsidP="00936B19">
      <w:pPr>
        <w:pStyle w:val="affff"/>
        <w:spacing w:line="520" w:lineRule="exact"/>
        <w:ind w:left="0" w:right="0"/>
        <w:rPr>
          <w:rFonts w:asciiTheme="minorHAnsi" w:hAnsiTheme="minorHAnsi"/>
          <w:color w:val="auto"/>
        </w:rPr>
      </w:pPr>
      <w:r w:rsidRPr="00154297">
        <w:rPr>
          <w:rFonts w:asciiTheme="minorHAnsi" w:hAnsiTheme="minorHAnsi"/>
          <w:color w:val="auto"/>
        </w:rPr>
        <w:t>本项目</w:t>
      </w:r>
      <w:r w:rsidRPr="00154297">
        <w:rPr>
          <w:rFonts w:asciiTheme="minorHAnsi" w:hAnsiTheme="minorHAnsi"/>
        </w:rPr>
        <w:t>厂区实施雨污分流、污污分流、清污分流排水制。生产废水和</w:t>
      </w:r>
      <w:r w:rsidR="00E01926">
        <w:rPr>
          <w:rFonts w:asciiTheme="minorHAnsi" w:hAnsiTheme="minorHAnsi"/>
        </w:rPr>
        <w:t>职工生活污水经厂区污水处理站处理后通过集聚区污水管网进入平顶山</w:t>
      </w:r>
      <w:r w:rsidRPr="00154297">
        <w:rPr>
          <w:rFonts w:asciiTheme="minorHAnsi" w:hAnsiTheme="minorHAnsi"/>
        </w:rPr>
        <w:t>第三污水处理厂再次处理达标后排放；</w:t>
      </w:r>
      <w:r w:rsidR="009305BC">
        <w:rPr>
          <w:rFonts w:asciiTheme="minorHAnsi" w:hAnsiTheme="minorHAnsi" w:hint="eastAsia"/>
        </w:rPr>
        <w:t>纯</w:t>
      </w:r>
      <w:r w:rsidR="00E01926">
        <w:rPr>
          <w:rFonts w:asciiTheme="minorHAnsi" w:hAnsiTheme="minorHAnsi"/>
        </w:rPr>
        <w:t>水制备废水及循环水站废水于厂区总排口</w:t>
      </w:r>
      <w:r w:rsidR="00E01926">
        <w:rPr>
          <w:rFonts w:asciiTheme="minorHAnsi" w:hAnsiTheme="minorHAnsi" w:hint="eastAsia"/>
        </w:rPr>
        <w:t>进入</w:t>
      </w:r>
      <w:r w:rsidR="00E01926">
        <w:rPr>
          <w:rFonts w:asciiTheme="minorHAnsi" w:hAnsiTheme="minorHAnsi"/>
        </w:rPr>
        <w:t>平顶山</w:t>
      </w:r>
      <w:r w:rsidR="00E01926" w:rsidRPr="00154297">
        <w:rPr>
          <w:rFonts w:asciiTheme="minorHAnsi" w:hAnsiTheme="minorHAnsi"/>
        </w:rPr>
        <w:t>第三污水处理厂</w:t>
      </w:r>
      <w:r w:rsidRPr="00154297">
        <w:rPr>
          <w:rFonts w:asciiTheme="minorHAnsi" w:hAnsiTheme="minorHAnsi"/>
        </w:rPr>
        <w:t>。</w:t>
      </w:r>
    </w:p>
    <w:p w14:paraId="7F87D6BD" w14:textId="4F96B757" w:rsidR="00E01926" w:rsidRPr="00F958D0" w:rsidRDefault="00154297" w:rsidP="00F958D0">
      <w:pPr>
        <w:pStyle w:val="affff"/>
        <w:spacing w:line="520" w:lineRule="exact"/>
        <w:ind w:left="0" w:right="0"/>
        <w:rPr>
          <w:rFonts w:asciiTheme="minorHAnsi" w:hAnsiTheme="minorHAnsi"/>
          <w:color w:val="auto"/>
        </w:rPr>
      </w:pPr>
      <w:r w:rsidRPr="00154297">
        <w:rPr>
          <w:rFonts w:asciiTheme="minorHAnsi" w:hAnsiTheme="minorHAnsi"/>
        </w:rPr>
        <w:t>根据《环境影响评价技术导则（地表水环境）》（</w:t>
      </w:r>
      <w:r w:rsidRPr="00154297">
        <w:rPr>
          <w:rFonts w:asciiTheme="minorHAnsi" w:hAnsiTheme="minorHAnsi"/>
        </w:rPr>
        <w:t>HJ2.3-2018</w:t>
      </w:r>
      <w:r w:rsidRPr="00154297">
        <w:rPr>
          <w:rFonts w:asciiTheme="minorHAnsi" w:hAnsiTheme="minorHAnsi"/>
        </w:rPr>
        <w:t>），水污染影响型建设项目评价等级判定，本次项目废水经处理达标后排入集聚区污水处理厂，属间接排放，地表水环境影响评价等级确定为三级</w:t>
      </w:r>
      <w:r w:rsidRPr="00154297">
        <w:rPr>
          <w:rFonts w:asciiTheme="minorHAnsi" w:hAnsiTheme="minorHAnsi"/>
        </w:rPr>
        <w:t>B</w:t>
      </w:r>
      <w:r w:rsidRPr="00154297">
        <w:rPr>
          <w:rFonts w:asciiTheme="minorHAnsi" w:hAnsiTheme="minorHAnsi"/>
        </w:rPr>
        <w:t>。</w:t>
      </w:r>
      <w:r w:rsidR="00F2599F">
        <w:rPr>
          <w:rFonts w:ascii="Calibri" w:hAnsi="Calibri"/>
        </w:rPr>
        <w:t>由工程分析可知，项目</w:t>
      </w:r>
      <w:r w:rsidR="00B74390">
        <w:rPr>
          <w:rFonts w:ascii="Calibri" w:hAnsi="Calibri" w:hint="eastAsia"/>
        </w:rPr>
        <w:t>废水</w:t>
      </w:r>
      <w:r w:rsidR="00B74390">
        <w:rPr>
          <w:rFonts w:ascii="Calibri" w:hAnsi="Calibri"/>
        </w:rPr>
        <w:t>排放</w:t>
      </w:r>
      <w:r w:rsidR="00F2599F">
        <w:rPr>
          <w:rFonts w:ascii="Calibri" w:hAnsi="Calibri"/>
        </w:rPr>
        <w:t>可以达到</w:t>
      </w:r>
      <w:r w:rsidR="00B74390" w:rsidRPr="00CA798E">
        <w:rPr>
          <w:rFonts w:ascii="Calibri" w:hAnsi="Calibri" w:hint="eastAsia"/>
          <w:color w:val="auto"/>
        </w:rPr>
        <w:t>《合成树脂工业污染物排放标准》（</w:t>
      </w:r>
      <w:r w:rsidR="00B74390" w:rsidRPr="00CA798E">
        <w:rPr>
          <w:rFonts w:ascii="Calibri" w:hAnsi="Calibri" w:hint="eastAsia"/>
          <w:color w:val="auto"/>
        </w:rPr>
        <w:t>GB31572-2015</w:t>
      </w:r>
      <w:r w:rsidR="00B74390" w:rsidRPr="00CA798E">
        <w:rPr>
          <w:rFonts w:ascii="Calibri" w:hAnsi="Calibri" w:hint="eastAsia"/>
          <w:color w:val="auto"/>
        </w:rPr>
        <w:t>）间接排放限值</w:t>
      </w:r>
      <w:r w:rsidR="00E01926">
        <w:rPr>
          <w:rFonts w:ascii="Calibri" w:hAnsi="Calibri" w:hint="eastAsia"/>
          <w:color w:val="auto"/>
        </w:rPr>
        <w:t>、</w:t>
      </w:r>
      <w:r w:rsidR="00E01926" w:rsidRPr="00A57984">
        <w:rPr>
          <w:rFonts w:hint="eastAsia"/>
          <w:szCs w:val="21"/>
        </w:rPr>
        <w:t>《</w:t>
      </w:r>
      <w:r w:rsidR="00E01926" w:rsidRPr="00A57984">
        <w:rPr>
          <w:rFonts w:ascii="Calibri" w:hAnsi="Calibri" w:hint="eastAsia"/>
          <w:snapToGrid w:val="0"/>
          <w:szCs w:val="21"/>
        </w:rPr>
        <w:t>化工行业水污染物间接排放标准》（</w:t>
      </w:r>
      <w:r w:rsidR="00E01926" w:rsidRPr="00A57984">
        <w:rPr>
          <w:rFonts w:ascii="Calibri" w:hAnsi="Calibri" w:hint="eastAsia"/>
          <w:snapToGrid w:val="0"/>
          <w:szCs w:val="21"/>
        </w:rPr>
        <w:t>DB41/1135-2016</w:t>
      </w:r>
      <w:r w:rsidR="00E01926" w:rsidRPr="00A57984">
        <w:rPr>
          <w:rFonts w:ascii="Calibri" w:hAnsi="Calibri" w:hint="eastAsia"/>
          <w:snapToGrid w:val="0"/>
          <w:szCs w:val="21"/>
        </w:rPr>
        <w:t>）</w:t>
      </w:r>
      <w:r w:rsidR="00E01926">
        <w:rPr>
          <w:rFonts w:ascii="Calibri" w:hAnsi="Calibri" w:hint="eastAsia"/>
          <w:snapToGrid w:val="0"/>
          <w:szCs w:val="21"/>
        </w:rPr>
        <w:t>及</w:t>
      </w:r>
      <w:r w:rsidR="00E01926">
        <w:rPr>
          <w:rFonts w:ascii="Calibri" w:hAnsi="Calibri" w:hint="eastAsia"/>
          <w:color w:val="auto"/>
        </w:rPr>
        <w:t>平顶山</w:t>
      </w:r>
      <w:r w:rsidR="00E01926" w:rsidRPr="00CA798E">
        <w:rPr>
          <w:rFonts w:ascii="Calibri" w:hAnsi="Calibri" w:hint="eastAsia"/>
          <w:color w:val="auto"/>
        </w:rPr>
        <w:t>第三污水处理厂进水</w:t>
      </w:r>
      <w:r w:rsidR="00E01926" w:rsidRPr="00A964FF">
        <w:rPr>
          <w:rFonts w:ascii="Calibri" w:hAnsi="Calibri" w:hint="eastAsia"/>
          <w:color w:val="auto"/>
        </w:rPr>
        <w:t>指标</w:t>
      </w:r>
      <w:r w:rsidR="00E01926">
        <w:rPr>
          <w:rFonts w:ascii="Calibri" w:hAnsi="Calibri" w:hint="eastAsia"/>
          <w:color w:val="auto"/>
        </w:rPr>
        <w:t>。</w:t>
      </w:r>
    </w:p>
    <w:p w14:paraId="3C06833A" w14:textId="77777777" w:rsidR="00C75B6E" w:rsidRPr="00936B19" w:rsidRDefault="00936B19" w:rsidP="00936B19">
      <w:pPr>
        <w:spacing w:line="520" w:lineRule="exact"/>
        <w:ind w:firstLine="482"/>
        <w:rPr>
          <w:rFonts w:ascii="Calibri" w:hAnsi="Calibri"/>
          <w:b/>
          <w:bCs/>
          <w:color w:val="auto"/>
          <w:sz w:val="24"/>
        </w:rPr>
      </w:pPr>
      <w:r>
        <w:rPr>
          <w:rFonts w:ascii="Calibri" w:hAnsi="Calibri"/>
          <w:b/>
          <w:bCs/>
          <w:color w:val="auto"/>
          <w:sz w:val="24"/>
        </w:rPr>
        <w:t>2</w:t>
      </w:r>
      <w:r>
        <w:rPr>
          <w:rFonts w:ascii="Calibri" w:hAnsi="Calibri"/>
          <w:b/>
          <w:bCs/>
          <w:color w:val="auto"/>
          <w:sz w:val="24"/>
        </w:rPr>
        <w:t>、平顶山第三污水处理厂接受能力分析</w:t>
      </w:r>
    </w:p>
    <w:p w14:paraId="60E52607" w14:textId="77777777" w:rsidR="001D33DE" w:rsidRPr="00A964FF" w:rsidRDefault="002555AB" w:rsidP="001D33DE">
      <w:pPr>
        <w:spacing w:line="500" w:lineRule="exact"/>
        <w:ind w:firstLineChars="200" w:firstLine="480"/>
        <w:rPr>
          <w:rFonts w:ascii="Calibri" w:hAnsi="Calibri"/>
          <w:color w:val="auto"/>
          <w:sz w:val="24"/>
        </w:rPr>
      </w:pPr>
      <w:r w:rsidRPr="00A964FF">
        <w:rPr>
          <w:rFonts w:ascii="Calibri" w:hAnsi="Calibri" w:hint="eastAsia"/>
          <w:color w:val="auto"/>
          <w:sz w:val="24"/>
        </w:rPr>
        <w:t>经调查，</w:t>
      </w:r>
      <w:r w:rsidRPr="00A964FF">
        <w:rPr>
          <w:rFonts w:ascii="Calibri" w:hAnsi="Calibri"/>
          <w:color w:val="auto"/>
          <w:sz w:val="24"/>
        </w:rPr>
        <w:t>平顶山第三污水处理厂</w:t>
      </w:r>
      <w:r w:rsidR="001D33DE" w:rsidRPr="00A964FF">
        <w:rPr>
          <w:rFonts w:ascii="Calibri" w:hAnsi="Calibri"/>
          <w:color w:val="auto"/>
          <w:sz w:val="24"/>
        </w:rPr>
        <w:t>为</w:t>
      </w:r>
      <w:r w:rsidR="001D33DE" w:rsidRPr="00A964FF">
        <w:rPr>
          <w:rFonts w:ascii="Calibri" w:hAnsi="Calibri" w:hint="eastAsia"/>
          <w:color w:val="auto"/>
          <w:sz w:val="24"/>
        </w:rPr>
        <w:t>平顶山尼龙新材料产业集聚区</w:t>
      </w:r>
      <w:r w:rsidR="001D33DE" w:rsidRPr="00A964FF">
        <w:rPr>
          <w:rFonts w:ascii="Calibri" w:hAnsi="Calibri"/>
          <w:color w:val="auto"/>
          <w:sz w:val="24"/>
        </w:rPr>
        <w:t>配套的园区污水处理厂，建设地点位于</w:t>
      </w:r>
      <w:r w:rsidR="001D33DE" w:rsidRPr="00A964FF">
        <w:rPr>
          <w:rFonts w:ascii="Calibri" w:hAnsi="Calibri" w:hint="eastAsia"/>
          <w:color w:val="auto"/>
          <w:sz w:val="24"/>
        </w:rPr>
        <w:t>平顶山尼龙新材料产业集聚区</w:t>
      </w:r>
      <w:r w:rsidR="001D33DE" w:rsidRPr="00A964FF">
        <w:rPr>
          <w:rFonts w:ascii="Calibri" w:hAnsi="Calibri"/>
          <w:color w:val="auto"/>
          <w:sz w:val="24"/>
        </w:rPr>
        <w:t>的东南角，主要接纳处理该产业集聚区内企业废水。污水管网布置根据园区的地形条件为沿沙河二路、沙河四路、沙河五路、沙河六路东西向布置，污水主干管沿竹园五路南北向布置。一期设计处理规模</w:t>
      </w:r>
      <w:r w:rsidR="001D33DE" w:rsidRPr="00A964FF">
        <w:rPr>
          <w:rFonts w:ascii="Calibri" w:hAnsi="Calibri"/>
          <w:color w:val="auto"/>
          <w:sz w:val="24"/>
        </w:rPr>
        <w:t>3.0</w:t>
      </w:r>
      <w:r w:rsidR="001D33DE" w:rsidRPr="00A964FF">
        <w:rPr>
          <w:rFonts w:ascii="Calibri" w:hAnsi="Calibri"/>
          <w:color w:val="auto"/>
          <w:sz w:val="24"/>
        </w:rPr>
        <w:t>万</w:t>
      </w:r>
      <w:r w:rsidR="001D33DE" w:rsidRPr="00A964FF">
        <w:rPr>
          <w:rFonts w:ascii="Calibri" w:hAnsi="Calibri"/>
          <w:color w:val="auto"/>
          <w:sz w:val="24"/>
        </w:rPr>
        <w:t>m</w:t>
      </w:r>
      <w:r w:rsidR="001D33DE" w:rsidRPr="00A964FF">
        <w:rPr>
          <w:rFonts w:ascii="Calibri" w:hAnsi="Calibri"/>
          <w:color w:val="auto"/>
          <w:sz w:val="24"/>
          <w:vertAlign w:val="superscript"/>
        </w:rPr>
        <w:t>3</w:t>
      </w:r>
      <w:r w:rsidR="001D33DE" w:rsidRPr="00A964FF">
        <w:rPr>
          <w:rFonts w:ascii="Calibri" w:hAnsi="Calibri"/>
          <w:color w:val="auto"/>
          <w:sz w:val="24"/>
        </w:rPr>
        <w:t>/d</w:t>
      </w:r>
      <w:r w:rsidR="001D33DE" w:rsidRPr="00A964FF">
        <w:rPr>
          <w:rFonts w:ascii="Calibri" w:hAnsi="Calibri"/>
          <w:color w:val="auto"/>
          <w:sz w:val="24"/>
        </w:rPr>
        <w:t>，服务范围为竹园五路以西的产业集聚区范围，面积为</w:t>
      </w:r>
      <w:r w:rsidR="001D33DE" w:rsidRPr="00A964FF">
        <w:rPr>
          <w:rFonts w:ascii="Calibri" w:hAnsi="Calibri"/>
          <w:color w:val="auto"/>
          <w:sz w:val="24"/>
        </w:rPr>
        <w:t>8.01km</w:t>
      </w:r>
      <w:r w:rsidR="001D33DE" w:rsidRPr="00A964FF">
        <w:rPr>
          <w:rFonts w:ascii="Calibri" w:hAnsi="Calibri"/>
          <w:color w:val="auto"/>
          <w:sz w:val="24"/>
          <w:vertAlign w:val="superscript"/>
        </w:rPr>
        <w:t>2</w:t>
      </w:r>
      <w:r w:rsidR="001D33DE" w:rsidRPr="00A964FF">
        <w:rPr>
          <w:rFonts w:ascii="Calibri" w:hAnsi="Calibri"/>
          <w:color w:val="auto"/>
          <w:sz w:val="24"/>
        </w:rPr>
        <w:t>。采</w:t>
      </w:r>
      <w:r w:rsidR="001D33DE" w:rsidRPr="00A964FF">
        <w:rPr>
          <w:rFonts w:ascii="Calibri" w:hAnsi="Calibri"/>
          <w:color w:val="auto"/>
          <w:sz w:val="24"/>
        </w:rPr>
        <w:lastRenderedPageBreak/>
        <w:t>用</w:t>
      </w:r>
      <w:r w:rsidR="001D33DE" w:rsidRPr="00A964FF">
        <w:rPr>
          <w:rFonts w:ascii="Calibri" w:hAnsi="Calibri" w:hint="eastAsia"/>
          <w:color w:val="auto"/>
          <w:sz w:val="24"/>
        </w:rPr>
        <w:t>“水解酸化</w:t>
      </w:r>
      <w:r w:rsidR="001D33DE" w:rsidRPr="00A964FF">
        <w:rPr>
          <w:rFonts w:ascii="Calibri" w:hAnsi="Calibri" w:hint="eastAsia"/>
          <w:color w:val="auto"/>
          <w:sz w:val="24"/>
        </w:rPr>
        <w:t>+</w:t>
      </w:r>
      <w:r w:rsidR="001D33DE" w:rsidRPr="00A964FF">
        <w:rPr>
          <w:rFonts w:ascii="Calibri" w:hAnsi="Calibri" w:hint="eastAsia"/>
          <w:color w:val="auto"/>
          <w:sz w:val="24"/>
        </w:rPr>
        <w:t>选择厌氧</w:t>
      </w:r>
      <w:r w:rsidR="001D33DE" w:rsidRPr="00A964FF">
        <w:rPr>
          <w:rFonts w:ascii="Calibri" w:hAnsi="Calibri" w:hint="eastAsia"/>
          <w:color w:val="auto"/>
          <w:sz w:val="24"/>
        </w:rPr>
        <w:t>+</w:t>
      </w:r>
      <w:r w:rsidR="001D33DE" w:rsidRPr="00A964FF">
        <w:rPr>
          <w:rFonts w:ascii="Calibri" w:hAnsi="Calibri" w:hint="eastAsia"/>
          <w:color w:val="auto"/>
          <w:sz w:val="24"/>
        </w:rPr>
        <w:t>改良型卡鲁赛尔氧化沟</w:t>
      </w:r>
      <w:r w:rsidR="001D33DE" w:rsidRPr="00A964FF">
        <w:rPr>
          <w:rFonts w:ascii="Calibri" w:hAnsi="Calibri" w:hint="eastAsia"/>
          <w:color w:val="auto"/>
          <w:sz w:val="24"/>
        </w:rPr>
        <w:t>+</w:t>
      </w:r>
      <w:r w:rsidR="001D33DE" w:rsidRPr="00A964FF">
        <w:rPr>
          <w:rFonts w:ascii="Calibri" w:hAnsi="Calibri" w:hint="eastAsia"/>
          <w:color w:val="auto"/>
          <w:sz w:val="24"/>
        </w:rPr>
        <w:t>深度处理</w:t>
      </w:r>
      <w:r w:rsidR="001D33DE" w:rsidRPr="00A964FF">
        <w:rPr>
          <w:rFonts w:ascii="Calibri" w:hAnsi="Calibri" w:hint="eastAsia"/>
          <w:color w:val="auto"/>
          <w:sz w:val="24"/>
        </w:rPr>
        <w:t>+</w:t>
      </w:r>
      <w:r w:rsidR="001D33DE" w:rsidRPr="00A964FF">
        <w:rPr>
          <w:rFonts w:ascii="Calibri" w:hAnsi="Calibri" w:hint="eastAsia"/>
          <w:color w:val="auto"/>
          <w:sz w:val="24"/>
        </w:rPr>
        <w:t>二氧化氯消毒”工艺，</w:t>
      </w:r>
      <w:r w:rsidR="001D33DE" w:rsidRPr="00A964FF">
        <w:rPr>
          <w:rFonts w:ascii="Calibri" w:hAnsi="Calibri" w:hint="eastAsia"/>
          <w:color w:val="auto"/>
          <w:sz w:val="24"/>
        </w:rPr>
        <w:t>2016</w:t>
      </w:r>
      <w:r w:rsidR="001D33DE" w:rsidRPr="00A964FF">
        <w:rPr>
          <w:rFonts w:ascii="Calibri" w:hAnsi="Calibri" w:hint="eastAsia"/>
          <w:color w:val="auto"/>
          <w:sz w:val="24"/>
        </w:rPr>
        <w:t>年</w:t>
      </w:r>
      <w:r w:rsidR="001D33DE" w:rsidRPr="00A964FF">
        <w:rPr>
          <w:rFonts w:ascii="Calibri" w:hAnsi="Calibri" w:hint="eastAsia"/>
          <w:color w:val="auto"/>
          <w:sz w:val="24"/>
        </w:rPr>
        <w:t>11</w:t>
      </w:r>
      <w:r w:rsidR="001D33DE" w:rsidRPr="00A964FF">
        <w:rPr>
          <w:rFonts w:ascii="Calibri" w:hAnsi="Calibri" w:hint="eastAsia"/>
          <w:color w:val="auto"/>
          <w:sz w:val="24"/>
        </w:rPr>
        <w:t>月经平顶山市环境监测中心站对该项目进行环保竣工验收监测，尾水排放符合《城镇污水处理厂污染物排放标准》（</w:t>
      </w:r>
      <w:r w:rsidR="001D33DE" w:rsidRPr="00A964FF">
        <w:rPr>
          <w:rFonts w:ascii="Calibri" w:hAnsi="Calibri" w:hint="eastAsia"/>
          <w:color w:val="auto"/>
          <w:sz w:val="24"/>
        </w:rPr>
        <w:t>GB18918-2002</w:t>
      </w:r>
      <w:r w:rsidR="001D33DE" w:rsidRPr="00A964FF">
        <w:rPr>
          <w:rFonts w:ascii="Calibri" w:hAnsi="Calibri" w:hint="eastAsia"/>
          <w:color w:val="auto"/>
          <w:sz w:val="24"/>
        </w:rPr>
        <w:t>）表</w:t>
      </w:r>
      <w:r w:rsidR="001D33DE" w:rsidRPr="00A964FF">
        <w:rPr>
          <w:rFonts w:ascii="Calibri" w:hAnsi="Calibri" w:hint="eastAsia"/>
          <w:color w:val="auto"/>
          <w:sz w:val="24"/>
        </w:rPr>
        <w:t>1</w:t>
      </w:r>
      <w:r w:rsidR="001D33DE" w:rsidRPr="00A964FF">
        <w:rPr>
          <w:rFonts w:ascii="Calibri" w:hAnsi="Calibri" w:hint="eastAsia"/>
          <w:color w:val="auto"/>
          <w:sz w:val="24"/>
        </w:rPr>
        <w:t>中一级</w:t>
      </w:r>
      <w:r w:rsidR="001D33DE" w:rsidRPr="00A964FF">
        <w:rPr>
          <w:rFonts w:ascii="Calibri" w:hAnsi="Calibri" w:hint="eastAsia"/>
          <w:color w:val="auto"/>
          <w:sz w:val="24"/>
        </w:rPr>
        <w:t>A</w:t>
      </w:r>
      <w:r w:rsidR="001D33DE" w:rsidRPr="00A964FF">
        <w:rPr>
          <w:rFonts w:ascii="Calibri" w:hAnsi="Calibri" w:hint="eastAsia"/>
          <w:color w:val="auto"/>
          <w:sz w:val="24"/>
        </w:rPr>
        <w:t>标准，排入关庙沟，经灰河排入沙河。</w:t>
      </w:r>
    </w:p>
    <w:p w14:paraId="51F0D234" w14:textId="77777777" w:rsidR="002555AB" w:rsidRPr="00A964FF" w:rsidRDefault="001D33DE" w:rsidP="001F2802">
      <w:pPr>
        <w:spacing w:line="500" w:lineRule="exact"/>
        <w:ind w:firstLineChars="200" w:firstLine="480"/>
        <w:rPr>
          <w:rFonts w:ascii="Calibri" w:hAnsi="Calibri"/>
          <w:color w:val="auto"/>
          <w:sz w:val="24"/>
        </w:rPr>
      </w:pPr>
      <w:r w:rsidRPr="00A964FF">
        <w:rPr>
          <w:rFonts w:ascii="Calibri" w:hAnsi="Calibri" w:hint="eastAsia"/>
          <w:color w:val="auto"/>
          <w:sz w:val="24"/>
        </w:rPr>
        <w:t>根据调查，</w:t>
      </w:r>
      <w:r w:rsidR="00D066C2" w:rsidRPr="00A964FF">
        <w:rPr>
          <w:rFonts w:ascii="Calibri" w:hAnsi="Calibri" w:hint="eastAsia"/>
          <w:color w:val="auto"/>
          <w:sz w:val="24"/>
        </w:rPr>
        <w:t>平顶山第三污水处理厂</w:t>
      </w:r>
      <w:r w:rsidRPr="00A964FF">
        <w:rPr>
          <w:rFonts w:ascii="Calibri" w:hAnsi="Calibri" w:hint="eastAsia"/>
          <w:color w:val="auto"/>
          <w:sz w:val="24"/>
        </w:rPr>
        <w:t>实际处理废水量</w:t>
      </w:r>
      <w:r w:rsidRPr="00A964FF">
        <w:rPr>
          <w:rFonts w:ascii="Calibri" w:hAnsi="Calibri" w:hint="eastAsia"/>
          <w:color w:val="auto"/>
          <w:sz w:val="24"/>
        </w:rPr>
        <w:t>2</w:t>
      </w:r>
      <w:r w:rsidRPr="00A964FF">
        <w:rPr>
          <w:rFonts w:ascii="Calibri" w:hAnsi="Calibri"/>
          <w:color w:val="auto"/>
          <w:sz w:val="24"/>
        </w:rPr>
        <w:t>.</w:t>
      </w:r>
      <w:r w:rsidR="002555AB" w:rsidRPr="00A964FF">
        <w:rPr>
          <w:rFonts w:ascii="Calibri" w:hAnsi="Calibri" w:hint="eastAsia"/>
          <w:color w:val="auto"/>
          <w:sz w:val="24"/>
        </w:rPr>
        <w:t>7</w:t>
      </w:r>
      <w:r w:rsidRPr="00A964FF">
        <w:rPr>
          <w:rFonts w:ascii="Calibri" w:hAnsi="Calibri"/>
          <w:color w:val="auto"/>
          <w:sz w:val="24"/>
        </w:rPr>
        <w:t>万</w:t>
      </w:r>
      <w:r w:rsidRPr="00A964FF">
        <w:rPr>
          <w:rFonts w:ascii="Calibri" w:hAnsi="Calibri"/>
          <w:color w:val="auto"/>
          <w:sz w:val="24"/>
        </w:rPr>
        <w:t>m</w:t>
      </w:r>
      <w:r w:rsidRPr="00A964FF">
        <w:rPr>
          <w:rFonts w:ascii="Calibri" w:hAnsi="Calibri"/>
          <w:color w:val="auto"/>
          <w:sz w:val="24"/>
          <w:vertAlign w:val="superscript"/>
        </w:rPr>
        <w:t>3</w:t>
      </w:r>
      <w:r w:rsidRPr="00A964FF">
        <w:rPr>
          <w:rFonts w:ascii="Calibri" w:hAnsi="Calibri"/>
          <w:color w:val="auto"/>
          <w:sz w:val="24"/>
        </w:rPr>
        <w:t>/d</w:t>
      </w:r>
      <w:r w:rsidRPr="00A964FF">
        <w:rPr>
          <w:rFonts w:ascii="Calibri" w:hAnsi="Calibri" w:hint="eastAsia"/>
          <w:color w:val="auto"/>
          <w:sz w:val="24"/>
        </w:rPr>
        <w:t>，</w:t>
      </w:r>
      <w:r w:rsidR="002555AB" w:rsidRPr="00A964FF">
        <w:rPr>
          <w:rFonts w:ascii="Calibri" w:hAnsi="Calibri" w:hint="eastAsia"/>
          <w:color w:val="auto"/>
          <w:sz w:val="24"/>
        </w:rPr>
        <w:t>目前，平顶山第三污水处理厂扩建工程和提标改造工程已经开工建设，预计</w:t>
      </w:r>
      <w:r w:rsidR="002555AB" w:rsidRPr="00A964FF">
        <w:rPr>
          <w:rFonts w:ascii="Calibri" w:hAnsi="Calibri" w:hint="eastAsia"/>
          <w:color w:val="auto"/>
          <w:sz w:val="24"/>
        </w:rPr>
        <w:t>2022</w:t>
      </w:r>
      <w:r w:rsidR="002555AB" w:rsidRPr="00A964FF">
        <w:rPr>
          <w:rFonts w:ascii="Calibri" w:hAnsi="Calibri" w:hint="eastAsia"/>
          <w:color w:val="auto"/>
          <w:sz w:val="24"/>
        </w:rPr>
        <w:t>年</w:t>
      </w:r>
      <w:r w:rsidR="002555AB" w:rsidRPr="00A964FF">
        <w:rPr>
          <w:rFonts w:ascii="Calibri" w:hAnsi="Calibri" w:hint="eastAsia"/>
          <w:color w:val="auto"/>
          <w:sz w:val="24"/>
        </w:rPr>
        <w:t>10</w:t>
      </w:r>
      <w:r w:rsidR="002555AB" w:rsidRPr="00A964FF">
        <w:rPr>
          <w:rFonts w:ascii="Calibri" w:hAnsi="Calibri" w:hint="eastAsia"/>
          <w:color w:val="auto"/>
          <w:sz w:val="24"/>
        </w:rPr>
        <w:t>月投入运行。扩建工程建设规模为</w:t>
      </w:r>
      <w:r w:rsidR="002555AB" w:rsidRPr="00A964FF">
        <w:rPr>
          <w:rFonts w:ascii="Calibri" w:hAnsi="Calibri" w:hint="eastAsia"/>
          <w:color w:val="auto"/>
          <w:sz w:val="24"/>
        </w:rPr>
        <w:t>5</w:t>
      </w:r>
      <w:r w:rsidR="002555AB" w:rsidRPr="00A964FF">
        <w:rPr>
          <w:rFonts w:ascii="Calibri" w:hAnsi="Calibri" w:hint="eastAsia"/>
          <w:color w:val="auto"/>
          <w:sz w:val="24"/>
        </w:rPr>
        <w:t>万</w:t>
      </w:r>
      <w:r w:rsidR="002555AB" w:rsidRPr="00A964FF">
        <w:rPr>
          <w:rFonts w:ascii="Calibri" w:hAnsi="Calibri"/>
          <w:color w:val="auto"/>
          <w:sz w:val="24"/>
        </w:rPr>
        <w:t>m</w:t>
      </w:r>
      <w:r w:rsidR="002555AB" w:rsidRPr="00A964FF">
        <w:rPr>
          <w:rFonts w:ascii="Calibri" w:hAnsi="Calibri"/>
          <w:color w:val="auto"/>
          <w:sz w:val="24"/>
          <w:vertAlign w:val="superscript"/>
        </w:rPr>
        <w:t>3</w:t>
      </w:r>
      <w:r w:rsidR="002555AB" w:rsidRPr="00A964FF">
        <w:rPr>
          <w:rFonts w:ascii="Calibri" w:hAnsi="Calibri"/>
          <w:color w:val="auto"/>
          <w:sz w:val="24"/>
        </w:rPr>
        <w:t>/d</w:t>
      </w:r>
      <w:r w:rsidR="002555AB" w:rsidRPr="00A964FF">
        <w:rPr>
          <w:rFonts w:ascii="Calibri" w:hAnsi="Calibri" w:hint="eastAsia"/>
          <w:color w:val="auto"/>
          <w:sz w:val="24"/>
        </w:rPr>
        <w:t>，采用</w:t>
      </w:r>
      <w:r w:rsidR="002555AB" w:rsidRPr="00A964FF">
        <w:rPr>
          <w:rFonts w:hint="eastAsia"/>
          <w:color w:val="auto"/>
          <w:sz w:val="24"/>
        </w:rPr>
        <w:t>二级生物处理（改良</w:t>
      </w:r>
      <w:r w:rsidR="002555AB" w:rsidRPr="00A964FF">
        <w:rPr>
          <w:rFonts w:hint="eastAsia"/>
          <w:color w:val="auto"/>
          <w:sz w:val="24"/>
        </w:rPr>
        <w:t>AAO</w:t>
      </w:r>
      <w:r w:rsidR="002555AB" w:rsidRPr="00A964FF">
        <w:rPr>
          <w:rFonts w:hint="eastAsia"/>
          <w:color w:val="auto"/>
          <w:sz w:val="24"/>
        </w:rPr>
        <w:t>）</w:t>
      </w:r>
      <w:r w:rsidR="002555AB" w:rsidRPr="00A964FF">
        <w:rPr>
          <w:rFonts w:hint="eastAsia"/>
          <w:color w:val="auto"/>
          <w:sz w:val="24"/>
        </w:rPr>
        <w:t>+</w:t>
      </w:r>
      <w:r w:rsidR="002555AB" w:rsidRPr="00A964FF">
        <w:rPr>
          <w:rFonts w:hint="eastAsia"/>
          <w:color w:val="auto"/>
          <w:sz w:val="24"/>
        </w:rPr>
        <w:t>三级深度处理（混合反应沉淀</w:t>
      </w:r>
      <w:r w:rsidR="002555AB" w:rsidRPr="00A964FF">
        <w:rPr>
          <w:rFonts w:hint="eastAsia"/>
          <w:color w:val="auto"/>
          <w:sz w:val="24"/>
        </w:rPr>
        <w:t>+</w:t>
      </w:r>
      <w:r w:rsidR="002555AB" w:rsidRPr="00A964FF">
        <w:rPr>
          <w:rFonts w:hint="eastAsia"/>
          <w:color w:val="auto"/>
          <w:sz w:val="24"/>
        </w:rPr>
        <w:t>反硝化深床滤池</w:t>
      </w:r>
      <w:r w:rsidR="002555AB" w:rsidRPr="00A964FF">
        <w:rPr>
          <w:rFonts w:hint="eastAsia"/>
          <w:color w:val="auto"/>
          <w:sz w:val="24"/>
        </w:rPr>
        <w:t>+</w:t>
      </w:r>
      <w:r w:rsidR="002555AB" w:rsidRPr="00A964FF">
        <w:rPr>
          <w:rFonts w:hint="eastAsia"/>
          <w:color w:val="auto"/>
          <w:sz w:val="24"/>
        </w:rPr>
        <w:t>臭氧高级催化氧化）工艺，</w:t>
      </w:r>
      <w:r w:rsidR="002555AB" w:rsidRPr="00A964FF">
        <w:rPr>
          <w:rFonts w:ascii="Calibri" w:hAnsi="Calibri" w:hint="eastAsia"/>
          <w:color w:val="auto"/>
          <w:sz w:val="24"/>
        </w:rPr>
        <w:t>扩建后和提标改造后，</w:t>
      </w:r>
      <w:r w:rsidR="001F2802">
        <w:rPr>
          <w:rFonts w:ascii="Calibri" w:hAnsi="Calibri" w:hint="eastAsia"/>
          <w:color w:val="auto"/>
          <w:sz w:val="24"/>
        </w:rPr>
        <w:t>外排地表水水质中</w:t>
      </w:r>
      <w:r w:rsidR="001F2802" w:rsidRPr="00A964FF">
        <w:rPr>
          <w:rFonts w:ascii="Calibri" w:hAnsi="Calibri" w:hint="eastAsia"/>
          <w:color w:val="auto"/>
          <w:sz w:val="24"/>
        </w:rPr>
        <w:t>COD</w:t>
      </w:r>
      <w:r w:rsidR="001F2802" w:rsidRPr="00A964FF">
        <w:rPr>
          <w:rFonts w:ascii="Calibri" w:hAnsi="Calibri" w:hint="eastAsia"/>
          <w:color w:val="auto"/>
          <w:sz w:val="24"/>
        </w:rPr>
        <w:t>≤</w:t>
      </w:r>
      <w:r w:rsidR="001F2802">
        <w:rPr>
          <w:rFonts w:ascii="Calibri" w:hAnsi="Calibri" w:hint="eastAsia"/>
          <w:color w:val="auto"/>
          <w:sz w:val="24"/>
        </w:rPr>
        <w:t>30</w:t>
      </w:r>
      <w:r w:rsidR="001F2802" w:rsidRPr="00A964FF">
        <w:rPr>
          <w:rFonts w:ascii="Calibri" w:hAnsi="Calibri" w:hint="eastAsia"/>
          <w:color w:val="auto"/>
          <w:sz w:val="24"/>
        </w:rPr>
        <w:t>mg/L</w:t>
      </w:r>
      <w:r w:rsidR="001F2802" w:rsidRPr="00A964FF">
        <w:rPr>
          <w:rFonts w:ascii="Calibri" w:hAnsi="Calibri" w:hint="eastAsia"/>
          <w:color w:val="auto"/>
          <w:sz w:val="24"/>
        </w:rPr>
        <w:t>，氨氮≤</w:t>
      </w:r>
      <w:r w:rsidR="001F2802" w:rsidRPr="00A964FF">
        <w:rPr>
          <w:rFonts w:ascii="Calibri" w:hAnsi="Calibri" w:hint="eastAsia"/>
          <w:color w:val="auto"/>
          <w:sz w:val="24"/>
        </w:rPr>
        <w:t>1</w:t>
      </w:r>
      <w:r w:rsidR="001F2802">
        <w:rPr>
          <w:rFonts w:ascii="Calibri" w:hAnsi="Calibri" w:hint="eastAsia"/>
          <w:color w:val="auto"/>
          <w:sz w:val="24"/>
        </w:rPr>
        <w:t>.5</w:t>
      </w:r>
      <w:r w:rsidR="001F2802" w:rsidRPr="00A964FF">
        <w:rPr>
          <w:rFonts w:ascii="Calibri" w:hAnsi="Calibri" w:hint="eastAsia"/>
          <w:color w:val="auto"/>
          <w:sz w:val="24"/>
        </w:rPr>
        <w:t>mg/L</w:t>
      </w:r>
      <w:r w:rsidR="001F2802" w:rsidRPr="00A964FF">
        <w:rPr>
          <w:rFonts w:ascii="Calibri" w:hAnsi="Calibri" w:hint="eastAsia"/>
          <w:color w:val="auto"/>
          <w:sz w:val="24"/>
        </w:rPr>
        <w:t>，总磷≤</w:t>
      </w:r>
      <w:r w:rsidR="001F2802" w:rsidRPr="00A964FF">
        <w:rPr>
          <w:rFonts w:ascii="Calibri" w:hAnsi="Calibri" w:hint="eastAsia"/>
          <w:color w:val="auto"/>
          <w:sz w:val="24"/>
        </w:rPr>
        <w:t>0.</w:t>
      </w:r>
      <w:r w:rsidR="001F2802">
        <w:rPr>
          <w:rFonts w:ascii="Calibri" w:hAnsi="Calibri" w:hint="eastAsia"/>
          <w:color w:val="auto"/>
          <w:sz w:val="24"/>
        </w:rPr>
        <w:t>3</w:t>
      </w:r>
      <w:r w:rsidR="001F2802" w:rsidRPr="00A964FF">
        <w:rPr>
          <w:rFonts w:ascii="Calibri" w:hAnsi="Calibri" w:hint="eastAsia"/>
          <w:color w:val="auto"/>
          <w:sz w:val="24"/>
        </w:rPr>
        <w:t>mg/L</w:t>
      </w:r>
      <w:r w:rsidR="001F2802">
        <w:rPr>
          <w:rFonts w:ascii="Calibri" w:hAnsi="Calibri" w:hint="eastAsia"/>
          <w:color w:val="auto"/>
          <w:sz w:val="24"/>
        </w:rPr>
        <w:t>，其他污染物满足</w:t>
      </w:r>
      <w:r w:rsidR="002555AB" w:rsidRPr="00A964FF">
        <w:rPr>
          <w:rFonts w:ascii="Calibri" w:hAnsi="Calibri" w:hint="eastAsia"/>
          <w:color w:val="auto"/>
          <w:sz w:val="24"/>
        </w:rPr>
        <w:t>《城镇污水处理厂污染物排放标准》（</w:t>
      </w:r>
      <w:r w:rsidR="002555AB" w:rsidRPr="00A964FF">
        <w:rPr>
          <w:rFonts w:ascii="Calibri" w:hAnsi="Calibri" w:hint="eastAsia"/>
          <w:color w:val="auto"/>
          <w:sz w:val="24"/>
        </w:rPr>
        <w:t>GB18918-2002</w:t>
      </w:r>
      <w:r w:rsidR="002555AB" w:rsidRPr="00A964FF">
        <w:rPr>
          <w:rFonts w:ascii="Calibri" w:hAnsi="Calibri" w:hint="eastAsia"/>
          <w:color w:val="auto"/>
          <w:sz w:val="24"/>
        </w:rPr>
        <w:t>）表</w:t>
      </w:r>
      <w:r w:rsidR="002555AB" w:rsidRPr="00A964FF">
        <w:rPr>
          <w:rFonts w:ascii="Calibri" w:hAnsi="Calibri" w:hint="eastAsia"/>
          <w:color w:val="auto"/>
          <w:sz w:val="24"/>
        </w:rPr>
        <w:t>1</w:t>
      </w:r>
      <w:r w:rsidR="002555AB" w:rsidRPr="00A964FF">
        <w:rPr>
          <w:rFonts w:ascii="Calibri" w:hAnsi="Calibri" w:hint="eastAsia"/>
          <w:color w:val="auto"/>
          <w:sz w:val="24"/>
        </w:rPr>
        <w:t>中一级</w:t>
      </w:r>
      <w:r w:rsidR="002555AB" w:rsidRPr="00A964FF">
        <w:rPr>
          <w:rFonts w:ascii="Calibri" w:hAnsi="Calibri" w:hint="eastAsia"/>
          <w:color w:val="auto"/>
          <w:sz w:val="24"/>
        </w:rPr>
        <w:t>A</w:t>
      </w:r>
      <w:r w:rsidR="002555AB" w:rsidRPr="00A964FF">
        <w:rPr>
          <w:rFonts w:ascii="Calibri" w:hAnsi="Calibri" w:hint="eastAsia"/>
          <w:color w:val="auto"/>
          <w:sz w:val="24"/>
        </w:rPr>
        <w:t>标准。</w:t>
      </w:r>
    </w:p>
    <w:p w14:paraId="1EBCF1CE" w14:textId="3E9BB64A" w:rsidR="002555AB" w:rsidRPr="009043DC" w:rsidRDefault="002555AB" w:rsidP="00E01926">
      <w:pPr>
        <w:spacing w:line="500" w:lineRule="exact"/>
        <w:ind w:firstLineChars="200" w:firstLine="482"/>
        <w:rPr>
          <w:rFonts w:ascii="Calibri" w:hAnsi="Calibri"/>
          <w:b/>
          <w:color w:val="auto"/>
          <w:sz w:val="24"/>
          <w:u w:val="single"/>
        </w:rPr>
      </w:pPr>
      <w:r w:rsidRPr="009043DC">
        <w:rPr>
          <w:rFonts w:ascii="Calibri" w:hAnsi="Calibri" w:hint="eastAsia"/>
          <w:b/>
          <w:color w:val="auto"/>
          <w:sz w:val="24"/>
          <w:u w:val="single"/>
        </w:rPr>
        <w:t>本项目选址位于平顶山尼龙新材料产业集聚区，在第三污水处理厂的收水范围内，其营运后废水产生总量为</w:t>
      </w:r>
      <w:r w:rsidR="00E01926" w:rsidRPr="009043DC">
        <w:rPr>
          <w:rFonts w:ascii="Calibri"/>
          <w:b/>
          <w:color w:val="auto"/>
          <w:sz w:val="24"/>
          <w:u w:val="single"/>
        </w:rPr>
        <w:t>51.30</w:t>
      </w:r>
      <w:r w:rsidR="00E01926" w:rsidRPr="009043DC">
        <w:rPr>
          <w:rFonts w:ascii="Calibri" w:hint="eastAsia"/>
          <w:b/>
          <w:color w:val="auto"/>
          <w:sz w:val="24"/>
          <w:u w:val="single"/>
        </w:rPr>
        <w:t>t/d</w:t>
      </w:r>
      <w:r w:rsidR="00E01926" w:rsidRPr="009043DC">
        <w:rPr>
          <w:rFonts w:ascii="Calibri" w:hint="eastAsia"/>
          <w:b/>
          <w:color w:val="auto"/>
          <w:sz w:val="24"/>
          <w:u w:val="single"/>
        </w:rPr>
        <w:t>，</w:t>
      </w:r>
      <w:r w:rsidR="00E01926" w:rsidRPr="009043DC">
        <w:rPr>
          <w:rFonts w:ascii="Calibri"/>
          <w:b/>
          <w:color w:val="auto"/>
          <w:sz w:val="24"/>
          <w:u w:val="single"/>
        </w:rPr>
        <w:t>15394.855</w:t>
      </w:r>
      <w:r w:rsidR="00E01926" w:rsidRPr="009043DC">
        <w:rPr>
          <w:rFonts w:ascii="Calibri" w:hint="eastAsia"/>
          <w:b/>
          <w:color w:val="auto"/>
          <w:sz w:val="24"/>
          <w:u w:val="single"/>
        </w:rPr>
        <w:t>t/a</w:t>
      </w:r>
      <w:r w:rsidRPr="009043DC">
        <w:rPr>
          <w:rFonts w:ascii="Calibri" w:hint="eastAsia"/>
          <w:b/>
          <w:color w:val="auto"/>
          <w:sz w:val="24"/>
          <w:u w:val="single"/>
        </w:rPr>
        <w:t>，</w:t>
      </w:r>
      <w:r w:rsidR="003F004C" w:rsidRPr="009043DC">
        <w:rPr>
          <w:rFonts w:ascii="Calibri" w:hint="eastAsia"/>
          <w:b/>
          <w:color w:val="auto"/>
          <w:sz w:val="24"/>
          <w:u w:val="single"/>
        </w:rPr>
        <w:t>占</w:t>
      </w:r>
      <w:r w:rsidRPr="009043DC">
        <w:rPr>
          <w:rFonts w:ascii="Calibri" w:hint="eastAsia"/>
          <w:b/>
          <w:color w:val="auto"/>
          <w:sz w:val="24"/>
          <w:u w:val="single"/>
        </w:rPr>
        <w:t>污水处理厂扩建工程设计进水量的</w:t>
      </w:r>
      <w:r w:rsidR="00B74390" w:rsidRPr="009043DC">
        <w:rPr>
          <w:rFonts w:ascii="Calibri"/>
          <w:b/>
          <w:color w:val="auto"/>
          <w:sz w:val="24"/>
          <w:u w:val="single"/>
        </w:rPr>
        <w:t>0.0</w:t>
      </w:r>
      <w:r w:rsidR="009043DC" w:rsidRPr="009043DC">
        <w:rPr>
          <w:rFonts w:ascii="Calibri"/>
          <w:b/>
          <w:color w:val="auto"/>
          <w:sz w:val="24"/>
          <w:u w:val="single"/>
        </w:rPr>
        <w:t>97</w:t>
      </w:r>
      <w:r w:rsidRPr="009043DC">
        <w:rPr>
          <w:rFonts w:ascii="Calibri" w:hint="eastAsia"/>
          <w:b/>
          <w:color w:val="auto"/>
          <w:sz w:val="24"/>
          <w:u w:val="single"/>
        </w:rPr>
        <w:t>%</w:t>
      </w:r>
      <w:r w:rsidRPr="009043DC">
        <w:rPr>
          <w:rFonts w:ascii="Calibri" w:hint="eastAsia"/>
          <w:b/>
          <w:color w:val="auto"/>
          <w:sz w:val="24"/>
          <w:u w:val="single"/>
        </w:rPr>
        <w:t>，预计</w:t>
      </w:r>
      <w:r w:rsidRPr="009043DC">
        <w:rPr>
          <w:rFonts w:ascii="Calibri" w:hAnsi="宋体" w:hint="eastAsia"/>
          <w:b/>
          <w:color w:val="auto"/>
          <w:sz w:val="24"/>
          <w:u w:val="single"/>
        </w:rPr>
        <w:t>202</w:t>
      </w:r>
      <w:r w:rsidR="00936B19" w:rsidRPr="009043DC">
        <w:rPr>
          <w:rFonts w:ascii="Calibri" w:hAnsi="宋体" w:hint="eastAsia"/>
          <w:b/>
          <w:color w:val="auto"/>
          <w:sz w:val="24"/>
          <w:u w:val="single"/>
        </w:rPr>
        <w:t>3</w:t>
      </w:r>
      <w:r w:rsidRPr="009043DC">
        <w:rPr>
          <w:rFonts w:ascii="Calibri" w:hAnsi="宋体" w:hint="eastAsia"/>
          <w:b/>
          <w:color w:val="auto"/>
          <w:sz w:val="24"/>
          <w:u w:val="single"/>
        </w:rPr>
        <w:t>年</w:t>
      </w:r>
      <w:r w:rsidR="00B74390" w:rsidRPr="009043DC">
        <w:rPr>
          <w:rFonts w:ascii="Calibri" w:hAnsi="宋体"/>
          <w:b/>
          <w:color w:val="auto"/>
          <w:sz w:val="24"/>
          <w:u w:val="single"/>
        </w:rPr>
        <w:t>8</w:t>
      </w:r>
      <w:r w:rsidRPr="009043DC">
        <w:rPr>
          <w:rFonts w:ascii="Calibri" w:hAnsi="宋体" w:hint="eastAsia"/>
          <w:b/>
          <w:color w:val="auto"/>
          <w:sz w:val="24"/>
          <w:u w:val="single"/>
        </w:rPr>
        <w:t>月建成并投入使用，届时平顶山第三污水处理厂扩建工程已经投入运行，</w:t>
      </w:r>
      <w:r w:rsidRPr="009043DC">
        <w:rPr>
          <w:rFonts w:ascii="Calibri" w:hAnsi="Calibri" w:hint="eastAsia"/>
          <w:b/>
          <w:color w:val="auto"/>
          <w:sz w:val="24"/>
          <w:u w:val="single"/>
        </w:rPr>
        <w:t>从平顶山第三污水处理厂服务功能及工程废水量上分析，接纳本项目污水可行。</w:t>
      </w:r>
    </w:p>
    <w:p w14:paraId="5195284D" w14:textId="433C6964" w:rsidR="00B74390" w:rsidRPr="00C27DB8" w:rsidRDefault="003A7C82" w:rsidP="00C27DB8">
      <w:pPr>
        <w:pStyle w:val="00"/>
        <w:rPr>
          <w:rFonts w:ascii="Calibri" w:hAnsi="Calibri"/>
          <w:b/>
          <w:color w:val="auto"/>
          <w:u w:val="single"/>
        </w:rPr>
      </w:pPr>
      <w:r w:rsidRPr="009043DC">
        <w:rPr>
          <w:rFonts w:ascii="Calibri" w:hAnsi="Calibri" w:hint="eastAsia"/>
          <w:b/>
          <w:color w:val="auto"/>
          <w:u w:val="single"/>
        </w:rPr>
        <w:t>本项目</w:t>
      </w:r>
      <w:r w:rsidR="002555AB" w:rsidRPr="009043DC">
        <w:rPr>
          <w:rFonts w:ascii="Calibri" w:hAnsi="Calibri" w:hint="eastAsia"/>
          <w:b/>
          <w:color w:val="auto"/>
          <w:u w:val="single"/>
        </w:rPr>
        <w:t>营运后厂区废水经自建</w:t>
      </w:r>
      <w:r w:rsidRPr="009043DC">
        <w:rPr>
          <w:rFonts w:ascii="Calibri" w:hAnsi="Calibri" w:hint="eastAsia"/>
          <w:b/>
          <w:color w:val="auto"/>
          <w:u w:val="single"/>
        </w:rPr>
        <w:t>废水处理站处理后</w:t>
      </w:r>
      <w:r w:rsidR="00C27DB8">
        <w:rPr>
          <w:rFonts w:ascii="Calibri" w:hAnsi="Calibri" w:hint="eastAsia"/>
          <w:b/>
          <w:color w:val="auto"/>
          <w:u w:val="single"/>
        </w:rPr>
        <w:t>与</w:t>
      </w:r>
      <w:r w:rsidR="00C27DB8" w:rsidRPr="00C27DB8">
        <w:rPr>
          <w:rFonts w:ascii="Calibri" w:hAnsi="Calibri" w:hint="eastAsia"/>
          <w:b/>
          <w:color w:val="auto"/>
          <w:u w:val="single"/>
        </w:rPr>
        <w:t>纯水制备废水</w:t>
      </w:r>
      <w:r w:rsidR="00C27DB8">
        <w:rPr>
          <w:rFonts w:ascii="Calibri" w:hAnsi="Calibri" w:hint="eastAsia"/>
          <w:b/>
          <w:color w:val="auto"/>
          <w:u w:val="single"/>
        </w:rPr>
        <w:t>、循环水站废水于厂区总排口进入平顶山第三污水处理厂</w:t>
      </w:r>
      <w:r w:rsidRPr="009043DC">
        <w:rPr>
          <w:rFonts w:ascii="Calibri" w:hAnsi="Calibri" w:hint="eastAsia"/>
          <w:b/>
          <w:color w:val="auto"/>
          <w:u w:val="single"/>
        </w:rPr>
        <w:t>，厂区总排放口各污染物排放浓度为</w:t>
      </w:r>
      <w:r w:rsidR="005B3422" w:rsidRPr="009043DC">
        <w:rPr>
          <w:rFonts w:ascii="Calibri" w:hAnsi="Calibri" w:hint="eastAsia"/>
          <w:b/>
          <w:color w:val="auto"/>
          <w:u w:val="single"/>
        </w:rPr>
        <w:t>COD</w:t>
      </w:r>
      <w:r w:rsidR="005B3422" w:rsidRPr="009043DC">
        <w:rPr>
          <w:rFonts w:ascii="Calibri" w:hAnsi="Calibri" w:hint="eastAsia"/>
          <w:b/>
          <w:color w:val="auto"/>
          <w:u w:val="single"/>
        </w:rPr>
        <w:t>：</w:t>
      </w:r>
      <w:r w:rsidR="009043DC" w:rsidRPr="009043DC">
        <w:rPr>
          <w:rFonts w:ascii="Calibri" w:hAnsi="Calibri"/>
          <w:b/>
          <w:color w:val="auto"/>
          <w:u w:val="single"/>
        </w:rPr>
        <w:t>191.72</w:t>
      </w:r>
      <w:r w:rsidR="00CC55BB" w:rsidRPr="009043DC">
        <w:rPr>
          <w:rFonts w:ascii="Calibri" w:hAnsi="Calibri" w:hint="eastAsia"/>
          <w:b/>
          <w:color w:val="auto"/>
          <w:u w:val="single"/>
        </w:rPr>
        <w:t>mg/L</w:t>
      </w:r>
      <w:r w:rsidR="005B3422" w:rsidRPr="009043DC">
        <w:rPr>
          <w:rFonts w:ascii="Calibri" w:hAnsi="Calibri" w:hint="eastAsia"/>
          <w:b/>
          <w:color w:val="auto"/>
          <w:u w:val="single"/>
        </w:rPr>
        <w:t>，</w:t>
      </w:r>
      <w:r w:rsidR="005B3422" w:rsidRPr="009043DC">
        <w:rPr>
          <w:rFonts w:ascii="Calibri" w:hAnsi="Calibri" w:hint="eastAsia"/>
          <w:b/>
          <w:color w:val="auto"/>
          <w:u w:val="single"/>
        </w:rPr>
        <w:t>BOD</w:t>
      </w:r>
      <w:r w:rsidR="005B3422" w:rsidRPr="009043DC">
        <w:rPr>
          <w:rFonts w:ascii="Calibri" w:hAnsi="Calibri" w:hint="eastAsia"/>
          <w:b/>
          <w:color w:val="auto"/>
          <w:u w:val="single"/>
          <w:vertAlign w:val="subscript"/>
        </w:rPr>
        <w:t>5</w:t>
      </w:r>
      <w:r w:rsidR="005B3422" w:rsidRPr="009043DC">
        <w:rPr>
          <w:rFonts w:ascii="Calibri" w:hAnsi="Calibri" w:hint="eastAsia"/>
          <w:b/>
          <w:color w:val="auto"/>
          <w:u w:val="single"/>
        </w:rPr>
        <w:t>：</w:t>
      </w:r>
      <w:r w:rsidR="009043DC" w:rsidRPr="009043DC">
        <w:rPr>
          <w:rFonts w:ascii="Calibri" w:hAnsi="Calibri"/>
          <w:b/>
          <w:color w:val="auto"/>
          <w:u w:val="single"/>
        </w:rPr>
        <w:t>102.95</w:t>
      </w:r>
      <w:r w:rsidR="00CC55BB" w:rsidRPr="009043DC">
        <w:rPr>
          <w:rFonts w:ascii="Calibri" w:hAnsi="Calibri" w:hint="eastAsia"/>
          <w:b/>
          <w:color w:val="auto"/>
          <w:u w:val="single"/>
        </w:rPr>
        <w:t>mg/L</w:t>
      </w:r>
      <w:r w:rsidR="005B3422" w:rsidRPr="009043DC">
        <w:rPr>
          <w:rFonts w:ascii="Calibri" w:hAnsi="Calibri" w:hint="eastAsia"/>
          <w:b/>
          <w:color w:val="auto"/>
          <w:u w:val="single"/>
        </w:rPr>
        <w:t>，氨氮：</w:t>
      </w:r>
      <w:r w:rsidR="009043DC" w:rsidRPr="009043DC">
        <w:rPr>
          <w:rFonts w:ascii="Calibri" w:hAnsi="Calibri"/>
          <w:b/>
          <w:snapToGrid w:val="0"/>
          <w:szCs w:val="21"/>
          <w:u w:val="single"/>
        </w:rPr>
        <w:t>23.63</w:t>
      </w:r>
      <w:r w:rsidR="00CC55BB" w:rsidRPr="009043DC">
        <w:rPr>
          <w:rFonts w:ascii="Calibri" w:hAnsi="Calibri" w:hint="eastAsia"/>
          <w:b/>
          <w:color w:val="auto"/>
          <w:u w:val="single"/>
        </w:rPr>
        <w:t>mg/L</w:t>
      </w:r>
      <w:r w:rsidR="005B3422" w:rsidRPr="009043DC">
        <w:rPr>
          <w:rFonts w:ascii="Calibri" w:hAnsi="Calibri" w:hint="eastAsia"/>
          <w:b/>
          <w:color w:val="auto"/>
          <w:u w:val="single"/>
        </w:rPr>
        <w:t>，</w:t>
      </w:r>
      <w:r w:rsidR="009043DC" w:rsidRPr="009043DC">
        <w:rPr>
          <w:rFonts w:ascii="Calibri" w:hAnsi="Calibri" w:hint="eastAsia"/>
          <w:b/>
          <w:color w:val="auto"/>
          <w:u w:val="single"/>
        </w:rPr>
        <w:t>总氮</w:t>
      </w:r>
      <w:r w:rsidR="009043DC" w:rsidRPr="009043DC">
        <w:rPr>
          <w:rFonts w:ascii="Calibri" w:hAnsi="Calibri"/>
          <w:b/>
          <w:color w:val="auto"/>
          <w:u w:val="single"/>
        </w:rPr>
        <w:t>：</w:t>
      </w:r>
      <w:r w:rsidR="009043DC" w:rsidRPr="009043DC">
        <w:rPr>
          <w:rFonts w:asciiTheme="minorHAnsi" w:hAnsiTheme="minorHAnsi" w:cs="宋体" w:hint="eastAsia"/>
          <w:b/>
          <w:kern w:val="0"/>
          <w:szCs w:val="21"/>
          <w:u w:val="single"/>
        </w:rPr>
        <w:t>21.33</w:t>
      </w:r>
      <w:r w:rsidR="009043DC" w:rsidRPr="009043DC">
        <w:rPr>
          <w:rFonts w:ascii="Calibri" w:hAnsi="Calibri" w:hint="eastAsia"/>
          <w:b/>
          <w:color w:val="auto"/>
          <w:u w:val="single"/>
        </w:rPr>
        <w:t xml:space="preserve"> mg/L</w:t>
      </w:r>
      <w:r w:rsidR="009043DC" w:rsidRPr="009043DC">
        <w:rPr>
          <w:rFonts w:ascii="Calibri" w:hAnsi="Calibri" w:hint="eastAsia"/>
          <w:b/>
          <w:color w:val="auto"/>
          <w:u w:val="single"/>
        </w:rPr>
        <w:t>，</w:t>
      </w:r>
      <w:r w:rsidR="005B3422" w:rsidRPr="009043DC">
        <w:rPr>
          <w:rFonts w:ascii="Calibri" w:hAnsi="Calibri" w:hint="eastAsia"/>
          <w:b/>
          <w:color w:val="auto"/>
          <w:u w:val="single"/>
        </w:rPr>
        <w:t>SS</w:t>
      </w:r>
      <w:r w:rsidR="005B3422" w:rsidRPr="009043DC">
        <w:rPr>
          <w:rFonts w:ascii="Calibri" w:hAnsi="Calibri" w:hint="eastAsia"/>
          <w:b/>
          <w:color w:val="auto"/>
          <w:u w:val="single"/>
        </w:rPr>
        <w:t>：</w:t>
      </w:r>
      <w:r w:rsidR="009043DC" w:rsidRPr="009043DC">
        <w:rPr>
          <w:rFonts w:ascii="Calibri" w:hAnsi="Calibri"/>
          <w:b/>
          <w:color w:val="auto"/>
          <w:u w:val="single"/>
        </w:rPr>
        <w:t>25.82</w:t>
      </w:r>
      <w:r w:rsidR="00CC55BB" w:rsidRPr="009043DC">
        <w:rPr>
          <w:rFonts w:ascii="Calibri" w:hAnsi="Calibri" w:hint="eastAsia"/>
          <w:b/>
          <w:color w:val="auto"/>
          <w:u w:val="single"/>
        </w:rPr>
        <w:t>mg/L</w:t>
      </w:r>
      <w:r w:rsidR="000B2275" w:rsidRPr="009043DC">
        <w:rPr>
          <w:rFonts w:ascii="Calibri" w:hAnsi="Calibri" w:hint="eastAsia"/>
          <w:b/>
          <w:color w:val="auto"/>
          <w:u w:val="single"/>
        </w:rPr>
        <w:t>，</w:t>
      </w:r>
      <w:r w:rsidRPr="009043DC">
        <w:rPr>
          <w:rFonts w:ascii="Calibri" w:hAnsi="Calibri" w:hint="eastAsia"/>
          <w:b/>
          <w:color w:val="auto"/>
          <w:u w:val="single"/>
        </w:rPr>
        <w:t>与污水处理厂进水指标进行对比，外排废水满足顶山市第三污水处理厂设计进水指标，同时满足</w:t>
      </w:r>
      <w:r w:rsidR="000B2275" w:rsidRPr="009043DC">
        <w:rPr>
          <w:rFonts w:ascii="Calibri" w:hAnsi="Calibri" w:hint="eastAsia"/>
          <w:b/>
          <w:color w:val="auto"/>
          <w:u w:val="single"/>
        </w:rPr>
        <w:t>《合成树脂工业污染物排放标准》（</w:t>
      </w:r>
      <w:r w:rsidR="000B2275" w:rsidRPr="009043DC">
        <w:rPr>
          <w:rFonts w:ascii="Calibri" w:hAnsi="Calibri" w:hint="eastAsia"/>
          <w:b/>
          <w:color w:val="auto"/>
          <w:u w:val="single"/>
        </w:rPr>
        <w:t>GB31572-2015</w:t>
      </w:r>
      <w:r w:rsidR="000B2275" w:rsidRPr="009043DC">
        <w:rPr>
          <w:rFonts w:ascii="Calibri" w:hAnsi="Calibri" w:hint="eastAsia"/>
          <w:b/>
          <w:color w:val="auto"/>
          <w:u w:val="single"/>
        </w:rPr>
        <w:t>）间接排放限值</w:t>
      </w:r>
      <w:r w:rsidR="009043DC" w:rsidRPr="009043DC">
        <w:rPr>
          <w:rFonts w:ascii="Calibri" w:hAnsi="Calibri" w:hint="eastAsia"/>
          <w:b/>
          <w:color w:val="auto"/>
          <w:u w:val="single"/>
        </w:rPr>
        <w:t>及《化工行业水污染物间接排放标准》（</w:t>
      </w:r>
      <w:r w:rsidR="009043DC" w:rsidRPr="009043DC">
        <w:rPr>
          <w:rFonts w:ascii="Calibri" w:hAnsi="Calibri" w:hint="eastAsia"/>
          <w:b/>
          <w:color w:val="auto"/>
          <w:u w:val="single"/>
        </w:rPr>
        <w:t>DB41/1135-2016</w:t>
      </w:r>
      <w:r w:rsidR="009043DC" w:rsidRPr="009043DC">
        <w:rPr>
          <w:rFonts w:ascii="Calibri" w:hAnsi="Calibri" w:hint="eastAsia"/>
          <w:b/>
          <w:color w:val="auto"/>
          <w:u w:val="single"/>
        </w:rPr>
        <w:t>）</w:t>
      </w:r>
      <w:r w:rsidRPr="009043DC">
        <w:rPr>
          <w:rFonts w:ascii="Calibri" w:hAnsi="Calibri" w:hint="eastAsia"/>
          <w:b/>
          <w:color w:val="auto"/>
          <w:u w:val="single"/>
        </w:rPr>
        <w:t>，从水质上分析，本项目废水排入第三污水处理厂可行</w:t>
      </w:r>
      <w:r w:rsidR="006B5BF9" w:rsidRPr="009043DC">
        <w:rPr>
          <w:rFonts w:ascii="Calibri" w:hAnsi="Calibri" w:hint="eastAsia"/>
          <w:b/>
          <w:color w:val="auto"/>
          <w:u w:val="single"/>
        </w:rPr>
        <w:t>，</w:t>
      </w:r>
      <w:r w:rsidR="006B5BF9" w:rsidRPr="00A964FF">
        <w:rPr>
          <w:rFonts w:ascii="Calibri" w:hAnsi="Calibri" w:hint="eastAsia"/>
          <w:color w:val="auto"/>
        </w:rPr>
        <w:t>详见表</w:t>
      </w:r>
      <w:r w:rsidR="006B5BF9" w:rsidRPr="00A964FF">
        <w:rPr>
          <w:rFonts w:ascii="Calibri" w:hAnsi="Calibri" w:hint="eastAsia"/>
          <w:color w:val="auto"/>
        </w:rPr>
        <w:t>4</w:t>
      </w:r>
      <w:r w:rsidR="002555AB" w:rsidRPr="00A964FF">
        <w:rPr>
          <w:rFonts w:ascii="Calibri" w:hAnsi="Calibri" w:hint="eastAsia"/>
          <w:color w:val="auto"/>
        </w:rPr>
        <w:t>.2</w:t>
      </w:r>
      <w:r w:rsidR="006B5BF9" w:rsidRPr="00A964FF">
        <w:rPr>
          <w:rFonts w:ascii="Calibri" w:hAnsi="Calibri" w:hint="eastAsia"/>
          <w:color w:val="auto"/>
        </w:rPr>
        <w:t>-</w:t>
      </w:r>
      <w:r w:rsidR="00E756E9">
        <w:rPr>
          <w:rFonts w:ascii="Calibri" w:hAnsi="Calibri" w:hint="eastAsia"/>
          <w:color w:val="auto"/>
        </w:rPr>
        <w:t>19</w:t>
      </w:r>
      <w:r w:rsidR="006B5BF9" w:rsidRPr="00A964FF">
        <w:rPr>
          <w:rFonts w:ascii="Calibri" w:hAnsi="Calibri" w:hint="eastAsia"/>
          <w:color w:val="auto"/>
        </w:rPr>
        <w:t>。</w:t>
      </w:r>
    </w:p>
    <w:p w14:paraId="62380237" w14:textId="77777777" w:rsidR="00E756E9" w:rsidRDefault="00E756E9" w:rsidP="00325052">
      <w:pPr>
        <w:spacing w:line="500" w:lineRule="exact"/>
        <w:ind w:firstLineChars="196" w:firstLine="470"/>
        <w:rPr>
          <w:rFonts w:ascii="Calibri" w:eastAsia="黑体"/>
          <w:bCs/>
          <w:color w:val="auto"/>
          <w:sz w:val="24"/>
        </w:rPr>
      </w:pPr>
    </w:p>
    <w:p w14:paraId="19B9D592" w14:textId="77777777" w:rsidR="00E756E9" w:rsidRDefault="00E756E9" w:rsidP="00325052">
      <w:pPr>
        <w:spacing w:line="500" w:lineRule="exact"/>
        <w:ind w:firstLineChars="196" w:firstLine="470"/>
        <w:rPr>
          <w:rFonts w:ascii="Calibri" w:eastAsia="黑体"/>
          <w:bCs/>
          <w:color w:val="auto"/>
          <w:sz w:val="24"/>
        </w:rPr>
      </w:pPr>
    </w:p>
    <w:p w14:paraId="0942F080" w14:textId="48004740" w:rsidR="00E756E9" w:rsidRDefault="00E756E9" w:rsidP="00325052">
      <w:pPr>
        <w:spacing w:line="500" w:lineRule="exact"/>
        <w:ind w:firstLineChars="196" w:firstLine="470"/>
        <w:rPr>
          <w:rFonts w:ascii="Calibri" w:eastAsia="黑体"/>
          <w:bCs/>
          <w:color w:val="auto"/>
          <w:sz w:val="24"/>
        </w:rPr>
      </w:pPr>
    </w:p>
    <w:p w14:paraId="4DBA472E" w14:textId="4BC531A3" w:rsidR="00F958D0" w:rsidRDefault="00F958D0" w:rsidP="00325052">
      <w:pPr>
        <w:spacing w:line="500" w:lineRule="exact"/>
        <w:ind w:firstLineChars="196" w:firstLine="470"/>
        <w:rPr>
          <w:rFonts w:ascii="Calibri" w:eastAsia="黑体"/>
          <w:bCs/>
          <w:color w:val="auto"/>
          <w:sz w:val="24"/>
        </w:rPr>
      </w:pPr>
    </w:p>
    <w:p w14:paraId="670E15B3" w14:textId="77777777" w:rsidR="00F958D0" w:rsidRDefault="00F958D0" w:rsidP="00325052">
      <w:pPr>
        <w:spacing w:line="500" w:lineRule="exact"/>
        <w:ind w:firstLineChars="196" w:firstLine="470"/>
        <w:rPr>
          <w:rFonts w:ascii="Calibri" w:eastAsia="黑体" w:hint="eastAsia"/>
          <w:bCs/>
          <w:color w:val="auto"/>
          <w:sz w:val="24"/>
        </w:rPr>
      </w:pPr>
    </w:p>
    <w:p w14:paraId="704478AE" w14:textId="677911BE" w:rsidR="00325052" w:rsidRPr="00A964FF" w:rsidRDefault="00325052" w:rsidP="00325052">
      <w:pPr>
        <w:spacing w:line="500" w:lineRule="exact"/>
        <w:ind w:firstLineChars="196" w:firstLine="470"/>
        <w:rPr>
          <w:rFonts w:ascii="Calibri" w:eastAsia="黑体" w:hAnsi="Calibri"/>
          <w:bCs/>
          <w:color w:val="auto"/>
          <w:sz w:val="24"/>
        </w:rPr>
      </w:pPr>
      <w:r w:rsidRPr="00A964FF">
        <w:rPr>
          <w:rFonts w:ascii="Calibri" w:eastAsia="黑体"/>
          <w:bCs/>
          <w:color w:val="auto"/>
          <w:sz w:val="24"/>
        </w:rPr>
        <w:lastRenderedPageBreak/>
        <w:t>表</w:t>
      </w:r>
      <w:r w:rsidRPr="00A964FF">
        <w:rPr>
          <w:rFonts w:ascii="Calibri" w:eastAsia="黑体" w:hAnsi="Calibri" w:hint="eastAsia"/>
          <w:bCs/>
          <w:color w:val="auto"/>
          <w:sz w:val="24"/>
        </w:rPr>
        <w:t>4</w:t>
      </w:r>
      <w:r w:rsidR="002555AB" w:rsidRPr="00A964FF">
        <w:rPr>
          <w:rFonts w:ascii="Calibri" w:eastAsia="黑体" w:hAnsi="Calibri" w:hint="eastAsia"/>
          <w:bCs/>
          <w:color w:val="auto"/>
          <w:sz w:val="24"/>
        </w:rPr>
        <w:t>.2</w:t>
      </w:r>
      <w:r w:rsidRPr="00A964FF">
        <w:rPr>
          <w:rFonts w:ascii="Calibri" w:eastAsia="黑体" w:hAnsi="Calibri" w:hint="eastAsia"/>
          <w:bCs/>
          <w:color w:val="auto"/>
          <w:sz w:val="24"/>
        </w:rPr>
        <w:t>-</w:t>
      </w:r>
      <w:r w:rsidR="00E756E9">
        <w:rPr>
          <w:rFonts w:ascii="Calibri" w:eastAsia="黑体" w:hAnsi="Calibri" w:hint="eastAsia"/>
          <w:bCs/>
          <w:color w:val="auto"/>
          <w:sz w:val="24"/>
        </w:rPr>
        <w:t>19</w:t>
      </w:r>
      <w:r w:rsidRPr="00A964FF">
        <w:rPr>
          <w:rFonts w:ascii="Calibri" w:eastAsia="黑体" w:hAnsi="Calibri" w:hint="eastAsia"/>
          <w:bCs/>
          <w:color w:val="auto"/>
          <w:sz w:val="24"/>
        </w:rPr>
        <w:t xml:space="preserve">       </w:t>
      </w:r>
      <w:r w:rsidR="006B5BF9" w:rsidRPr="00A964FF">
        <w:rPr>
          <w:rFonts w:ascii="Calibri" w:eastAsia="黑体" w:hAnsi="Calibri" w:hint="eastAsia"/>
          <w:bCs/>
          <w:color w:val="auto"/>
          <w:sz w:val="24"/>
        </w:rPr>
        <w:t xml:space="preserve"> </w:t>
      </w:r>
      <w:r w:rsidR="002555AB" w:rsidRPr="00A964FF">
        <w:rPr>
          <w:rFonts w:ascii="Calibri" w:eastAsia="黑体" w:hAnsi="Calibri" w:hint="eastAsia"/>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hint="eastAsia"/>
          <w:bCs/>
          <w:color w:val="auto"/>
          <w:sz w:val="24"/>
        </w:rPr>
        <w:t>平顶山第三污水处理厂</w:t>
      </w:r>
      <w:r w:rsidR="002555AB" w:rsidRPr="00A964FF">
        <w:rPr>
          <w:rFonts w:ascii="Calibri" w:eastAsia="黑体" w:hAnsi="Calibri" w:hint="eastAsia"/>
          <w:bCs/>
          <w:color w:val="auto"/>
          <w:sz w:val="24"/>
        </w:rPr>
        <w:t>扩建工程</w:t>
      </w:r>
      <w:r w:rsidRPr="00A964FF">
        <w:rPr>
          <w:rFonts w:ascii="Calibri" w:eastAsia="黑体" w:hAnsi="Calibri" w:hint="eastAsia"/>
          <w:bCs/>
          <w:color w:val="auto"/>
          <w:sz w:val="24"/>
        </w:rPr>
        <w:t>设计进水指标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49"/>
        <w:gridCol w:w="1119"/>
        <w:gridCol w:w="870"/>
        <w:gridCol w:w="995"/>
        <w:gridCol w:w="733"/>
        <w:gridCol w:w="1067"/>
        <w:gridCol w:w="1067"/>
      </w:tblGrid>
      <w:tr w:rsidR="009043DC" w:rsidRPr="009043DC" w14:paraId="30D96D55" w14:textId="3C07F5FD" w:rsidTr="009043DC">
        <w:trPr>
          <w:trHeight w:val="397"/>
          <w:jc w:val="center"/>
        </w:trPr>
        <w:tc>
          <w:tcPr>
            <w:tcW w:w="1637" w:type="pct"/>
            <w:tcBorders>
              <w:top w:val="single" w:sz="12" w:space="0" w:color="auto"/>
              <w:bottom w:val="single" w:sz="6" w:space="0" w:color="auto"/>
            </w:tcBorders>
            <w:vAlign w:val="center"/>
          </w:tcPr>
          <w:p w14:paraId="0DD693E4" w14:textId="77777777" w:rsidR="009043DC" w:rsidRPr="009043DC" w:rsidRDefault="009043DC" w:rsidP="00936B19">
            <w:pPr>
              <w:jc w:val="center"/>
              <w:rPr>
                <w:rFonts w:ascii="Calibri" w:hAnsi="Calibri"/>
                <w:b/>
                <w:bCs/>
                <w:color w:val="auto"/>
                <w:szCs w:val="21"/>
                <w:u w:val="single"/>
              </w:rPr>
            </w:pPr>
            <w:r w:rsidRPr="009043DC">
              <w:rPr>
                <w:rFonts w:ascii="Calibri" w:hAnsi="Calibri"/>
                <w:b/>
                <w:bCs/>
                <w:color w:val="auto"/>
                <w:szCs w:val="21"/>
                <w:u w:val="single"/>
              </w:rPr>
              <w:t>项目</w:t>
            </w:r>
          </w:p>
        </w:tc>
        <w:tc>
          <w:tcPr>
            <w:tcW w:w="643" w:type="pct"/>
            <w:tcBorders>
              <w:top w:val="single" w:sz="12" w:space="0" w:color="auto"/>
              <w:bottom w:val="single" w:sz="6" w:space="0" w:color="auto"/>
            </w:tcBorders>
            <w:vAlign w:val="center"/>
          </w:tcPr>
          <w:p w14:paraId="7BF43BDC" w14:textId="77777777" w:rsidR="009043DC" w:rsidRPr="009043DC" w:rsidRDefault="009043DC" w:rsidP="00936B19">
            <w:pPr>
              <w:jc w:val="center"/>
              <w:rPr>
                <w:rFonts w:ascii="Calibri" w:hAnsi="Calibri"/>
                <w:b/>
                <w:bCs/>
                <w:color w:val="auto"/>
                <w:szCs w:val="21"/>
                <w:u w:val="single"/>
              </w:rPr>
            </w:pPr>
            <w:r w:rsidRPr="009043DC">
              <w:rPr>
                <w:rFonts w:ascii="Calibri" w:hAnsi="Calibri"/>
                <w:b/>
                <w:bCs/>
                <w:color w:val="auto"/>
                <w:szCs w:val="21"/>
                <w:u w:val="single"/>
              </w:rPr>
              <w:t>pH</w:t>
            </w:r>
          </w:p>
          <w:p w14:paraId="63A9634D" w14:textId="77777777" w:rsidR="009043DC" w:rsidRPr="009043DC" w:rsidRDefault="009043DC" w:rsidP="00936B19">
            <w:pPr>
              <w:jc w:val="center"/>
              <w:rPr>
                <w:rFonts w:ascii="Calibri" w:hAnsi="Calibri"/>
                <w:b/>
                <w:bCs/>
                <w:color w:val="auto"/>
                <w:szCs w:val="21"/>
                <w:u w:val="single"/>
              </w:rPr>
            </w:pPr>
            <w:r w:rsidRPr="009043DC">
              <w:rPr>
                <w:rFonts w:ascii="Calibri" w:hAnsi="Calibri"/>
                <w:b/>
                <w:bCs/>
                <w:color w:val="auto"/>
                <w:szCs w:val="21"/>
                <w:u w:val="single"/>
              </w:rPr>
              <w:t>（无量纲）</w:t>
            </w:r>
          </w:p>
        </w:tc>
        <w:tc>
          <w:tcPr>
            <w:tcW w:w="500" w:type="pct"/>
            <w:tcBorders>
              <w:top w:val="single" w:sz="12" w:space="0" w:color="auto"/>
              <w:bottom w:val="single" w:sz="6" w:space="0" w:color="auto"/>
            </w:tcBorders>
            <w:vAlign w:val="center"/>
          </w:tcPr>
          <w:p w14:paraId="74536EE4" w14:textId="77777777" w:rsidR="009043DC" w:rsidRPr="009043DC" w:rsidRDefault="009043DC" w:rsidP="00936B19">
            <w:pPr>
              <w:jc w:val="center"/>
              <w:rPr>
                <w:rFonts w:ascii="Calibri" w:hAnsi="Calibri"/>
                <w:b/>
                <w:color w:val="auto"/>
                <w:szCs w:val="21"/>
                <w:u w:val="single"/>
              </w:rPr>
            </w:pPr>
            <w:r w:rsidRPr="009043DC">
              <w:rPr>
                <w:rFonts w:ascii="Calibri" w:hAnsi="Calibri" w:hint="eastAsia"/>
                <w:b/>
                <w:color w:val="auto"/>
                <w:szCs w:val="21"/>
                <w:u w:val="single"/>
              </w:rPr>
              <w:t>COD</w:t>
            </w:r>
          </w:p>
        </w:tc>
        <w:tc>
          <w:tcPr>
            <w:tcW w:w="572" w:type="pct"/>
            <w:tcBorders>
              <w:top w:val="single" w:sz="12" w:space="0" w:color="auto"/>
              <w:bottom w:val="single" w:sz="6" w:space="0" w:color="auto"/>
              <w:right w:val="single" w:sz="2" w:space="0" w:color="auto"/>
            </w:tcBorders>
            <w:vAlign w:val="center"/>
          </w:tcPr>
          <w:p w14:paraId="3FD20C93" w14:textId="77777777" w:rsidR="009043DC" w:rsidRPr="009043DC" w:rsidRDefault="009043DC" w:rsidP="00936B19">
            <w:pPr>
              <w:jc w:val="center"/>
              <w:rPr>
                <w:rFonts w:ascii="Calibri" w:hAnsi="Calibri"/>
                <w:b/>
                <w:color w:val="auto"/>
                <w:szCs w:val="21"/>
                <w:u w:val="single"/>
              </w:rPr>
            </w:pPr>
            <w:r w:rsidRPr="009043DC">
              <w:rPr>
                <w:rFonts w:ascii="Calibri" w:hAnsi="Calibri" w:hint="eastAsia"/>
                <w:b/>
                <w:color w:val="auto"/>
                <w:szCs w:val="21"/>
                <w:u w:val="single"/>
              </w:rPr>
              <w:t>BOD</w:t>
            </w:r>
            <w:r w:rsidRPr="009043DC">
              <w:rPr>
                <w:rFonts w:ascii="Calibri" w:hAnsi="Calibri" w:hint="eastAsia"/>
                <w:b/>
                <w:color w:val="auto"/>
                <w:szCs w:val="21"/>
                <w:u w:val="single"/>
                <w:vertAlign w:val="subscript"/>
              </w:rPr>
              <w:t>5</w:t>
            </w:r>
          </w:p>
        </w:tc>
        <w:tc>
          <w:tcPr>
            <w:tcW w:w="421" w:type="pct"/>
            <w:tcBorders>
              <w:top w:val="single" w:sz="12" w:space="0" w:color="auto"/>
              <w:left w:val="single" w:sz="2" w:space="0" w:color="auto"/>
              <w:bottom w:val="single" w:sz="6" w:space="0" w:color="auto"/>
            </w:tcBorders>
            <w:vAlign w:val="center"/>
          </w:tcPr>
          <w:p w14:paraId="78394508" w14:textId="77777777" w:rsidR="009043DC" w:rsidRPr="009043DC" w:rsidRDefault="009043DC" w:rsidP="00936B19">
            <w:pPr>
              <w:jc w:val="center"/>
              <w:rPr>
                <w:rFonts w:ascii="Calibri" w:hAnsi="Calibri"/>
                <w:b/>
                <w:color w:val="auto"/>
                <w:szCs w:val="21"/>
                <w:u w:val="single"/>
              </w:rPr>
            </w:pPr>
            <w:r w:rsidRPr="009043DC">
              <w:rPr>
                <w:rFonts w:ascii="Calibri" w:hAnsi="Calibri" w:hint="eastAsia"/>
                <w:b/>
                <w:color w:val="auto"/>
                <w:szCs w:val="21"/>
                <w:u w:val="single"/>
              </w:rPr>
              <w:t>SS</w:t>
            </w:r>
          </w:p>
        </w:tc>
        <w:tc>
          <w:tcPr>
            <w:tcW w:w="613" w:type="pct"/>
            <w:tcBorders>
              <w:top w:val="single" w:sz="12" w:space="0" w:color="auto"/>
              <w:bottom w:val="single" w:sz="6" w:space="0" w:color="auto"/>
              <w:right w:val="single" w:sz="4" w:space="0" w:color="auto"/>
            </w:tcBorders>
            <w:vAlign w:val="center"/>
          </w:tcPr>
          <w:p w14:paraId="481A37BF" w14:textId="77777777" w:rsidR="009043DC" w:rsidRPr="009043DC" w:rsidRDefault="009043DC" w:rsidP="00936B19">
            <w:pPr>
              <w:jc w:val="center"/>
              <w:rPr>
                <w:rFonts w:ascii="Calibri" w:hAnsi="Calibri"/>
                <w:b/>
                <w:color w:val="auto"/>
                <w:szCs w:val="21"/>
                <w:u w:val="single"/>
              </w:rPr>
            </w:pPr>
            <w:r w:rsidRPr="009043DC">
              <w:rPr>
                <w:rFonts w:ascii="Calibri" w:hAnsi="Calibri" w:hint="eastAsia"/>
                <w:b/>
                <w:color w:val="auto"/>
                <w:szCs w:val="21"/>
                <w:u w:val="single"/>
              </w:rPr>
              <w:t>NH</w:t>
            </w:r>
            <w:r w:rsidRPr="009043DC">
              <w:rPr>
                <w:rFonts w:ascii="Calibri" w:hAnsi="Calibri" w:hint="eastAsia"/>
                <w:b/>
                <w:color w:val="auto"/>
                <w:szCs w:val="21"/>
                <w:u w:val="single"/>
                <w:vertAlign w:val="subscript"/>
              </w:rPr>
              <w:t>3</w:t>
            </w:r>
            <w:r w:rsidRPr="009043DC">
              <w:rPr>
                <w:rFonts w:ascii="Calibri" w:hAnsi="Calibri" w:hint="eastAsia"/>
                <w:b/>
                <w:color w:val="auto"/>
                <w:szCs w:val="21"/>
                <w:u w:val="single"/>
              </w:rPr>
              <w:t>-N</w:t>
            </w:r>
          </w:p>
        </w:tc>
        <w:tc>
          <w:tcPr>
            <w:tcW w:w="613" w:type="pct"/>
            <w:tcBorders>
              <w:top w:val="single" w:sz="12" w:space="0" w:color="auto"/>
              <w:left w:val="single" w:sz="4" w:space="0" w:color="auto"/>
              <w:bottom w:val="single" w:sz="6" w:space="0" w:color="auto"/>
              <w:right w:val="single" w:sz="12" w:space="0" w:color="auto"/>
            </w:tcBorders>
            <w:vAlign w:val="center"/>
          </w:tcPr>
          <w:p w14:paraId="1874C3A1" w14:textId="64ADD77B" w:rsidR="009043DC" w:rsidRPr="009043DC" w:rsidRDefault="009043DC" w:rsidP="00936B19">
            <w:pPr>
              <w:jc w:val="center"/>
              <w:rPr>
                <w:rFonts w:ascii="Calibri" w:hAnsi="Calibri"/>
                <w:b/>
                <w:color w:val="auto"/>
                <w:szCs w:val="21"/>
                <w:u w:val="single"/>
              </w:rPr>
            </w:pPr>
            <w:r w:rsidRPr="009043DC">
              <w:rPr>
                <w:rFonts w:ascii="Calibri" w:hAnsi="Calibri" w:hint="eastAsia"/>
                <w:b/>
                <w:color w:val="auto"/>
                <w:szCs w:val="21"/>
                <w:u w:val="single"/>
              </w:rPr>
              <w:t>TN</w:t>
            </w:r>
          </w:p>
        </w:tc>
      </w:tr>
      <w:tr w:rsidR="009043DC" w:rsidRPr="009043DC" w14:paraId="65BBB37F" w14:textId="5281AD5C" w:rsidTr="009043DC">
        <w:trPr>
          <w:trHeight w:val="397"/>
          <w:jc w:val="center"/>
        </w:trPr>
        <w:tc>
          <w:tcPr>
            <w:tcW w:w="1637" w:type="pct"/>
            <w:tcBorders>
              <w:top w:val="single" w:sz="6" w:space="0" w:color="auto"/>
              <w:bottom w:val="single" w:sz="6" w:space="0" w:color="auto"/>
            </w:tcBorders>
            <w:vAlign w:val="center"/>
          </w:tcPr>
          <w:p w14:paraId="204432A4" w14:textId="77777777" w:rsidR="009043DC" w:rsidRPr="009043DC" w:rsidRDefault="009043DC" w:rsidP="009043DC">
            <w:pPr>
              <w:jc w:val="center"/>
              <w:rPr>
                <w:rFonts w:ascii="Calibri" w:hAnsi="Calibri"/>
                <w:b/>
                <w:bCs/>
                <w:color w:val="auto"/>
                <w:szCs w:val="21"/>
                <w:u w:val="single"/>
              </w:rPr>
            </w:pPr>
            <w:r w:rsidRPr="009043DC">
              <w:rPr>
                <w:rFonts w:ascii="Calibri" w:hAnsi="Calibri" w:hint="eastAsia"/>
                <w:b/>
                <w:bCs/>
                <w:color w:val="auto"/>
                <w:szCs w:val="21"/>
                <w:u w:val="single"/>
              </w:rPr>
              <w:t>本项目总排口污染物</w:t>
            </w:r>
            <w:r w:rsidRPr="009043DC">
              <w:rPr>
                <w:rFonts w:ascii="Calibri" w:hAnsi="Calibri"/>
                <w:b/>
                <w:bCs/>
                <w:color w:val="auto"/>
                <w:szCs w:val="21"/>
                <w:u w:val="single"/>
              </w:rPr>
              <w:t>排放浓度</w:t>
            </w:r>
            <w:r w:rsidRPr="009043DC">
              <w:rPr>
                <w:rFonts w:ascii="Calibri" w:hAnsi="Calibri" w:hint="eastAsia"/>
                <w:b/>
                <w:bCs/>
                <w:color w:val="auto"/>
                <w:szCs w:val="21"/>
                <w:u w:val="single"/>
              </w:rPr>
              <w:t>（</w:t>
            </w:r>
            <w:r w:rsidRPr="009043DC">
              <w:rPr>
                <w:rFonts w:ascii="Calibri" w:hAnsi="Calibri"/>
                <w:b/>
                <w:bCs/>
                <w:color w:val="auto"/>
                <w:szCs w:val="21"/>
                <w:u w:val="single"/>
              </w:rPr>
              <w:t>mg/L</w:t>
            </w:r>
            <w:r w:rsidRPr="009043DC">
              <w:rPr>
                <w:rFonts w:ascii="Calibri" w:hAnsi="Calibri" w:hint="eastAsia"/>
                <w:b/>
                <w:bCs/>
                <w:color w:val="auto"/>
                <w:szCs w:val="21"/>
                <w:u w:val="single"/>
              </w:rPr>
              <w:t>）</w:t>
            </w:r>
          </w:p>
        </w:tc>
        <w:tc>
          <w:tcPr>
            <w:tcW w:w="643" w:type="pct"/>
            <w:tcBorders>
              <w:top w:val="single" w:sz="6" w:space="0" w:color="auto"/>
              <w:bottom w:val="single" w:sz="6" w:space="0" w:color="auto"/>
            </w:tcBorders>
            <w:vAlign w:val="center"/>
          </w:tcPr>
          <w:p w14:paraId="73579278" w14:textId="77777777" w:rsidR="009043DC" w:rsidRPr="009043DC" w:rsidRDefault="009043DC" w:rsidP="009043DC">
            <w:pPr>
              <w:jc w:val="center"/>
              <w:rPr>
                <w:rFonts w:ascii="Calibri" w:hAnsi="Calibri"/>
                <w:b/>
                <w:bCs/>
                <w:color w:val="auto"/>
                <w:szCs w:val="21"/>
                <w:u w:val="single"/>
              </w:rPr>
            </w:pPr>
            <w:r w:rsidRPr="009043DC">
              <w:rPr>
                <w:rFonts w:ascii="Calibri" w:hAnsi="Calibri"/>
                <w:b/>
                <w:color w:val="auto"/>
                <w:szCs w:val="21"/>
                <w:u w:val="single"/>
              </w:rPr>
              <w:t>6</w:t>
            </w:r>
            <w:r w:rsidRPr="009043DC">
              <w:rPr>
                <w:rFonts w:ascii="Calibri"/>
                <w:b/>
                <w:color w:val="auto"/>
                <w:szCs w:val="21"/>
                <w:u w:val="single"/>
              </w:rPr>
              <w:t>～</w:t>
            </w:r>
            <w:r w:rsidRPr="009043DC">
              <w:rPr>
                <w:rFonts w:ascii="Calibri" w:hAnsi="Calibri"/>
                <w:b/>
                <w:color w:val="auto"/>
                <w:szCs w:val="21"/>
                <w:u w:val="single"/>
              </w:rPr>
              <w:t>9</w:t>
            </w:r>
          </w:p>
        </w:tc>
        <w:tc>
          <w:tcPr>
            <w:tcW w:w="500" w:type="pct"/>
            <w:tcBorders>
              <w:top w:val="single" w:sz="6" w:space="0" w:color="auto"/>
              <w:bottom w:val="single" w:sz="6" w:space="0" w:color="auto"/>
            </w:tcBorders>
            <w:vAlign w:val="center"/>
          </w:tcPr>
          <w:p w14:paraId="019AFE15" w14:textId="58DD53BD" w:rsidR="009043DC" w:rsidRPr="009043DC" w:rsidRDefault="009043DC" w:rsidP="009043DC">
            <w:pPr>
              <w:jc w:val="center"/>
              <w:rPr>
                <w:rFonts w:ascii="Calibri" w:hAnsi="Calibri"/>
                <w:b/>
                <w:bCs/>
                <w:color w:val="auto"/>
                <w:szCs w:val="21"/>
                <w:u w:val="single"/>
              </w:rPr>
            </w:pPr>
            <w:r w:rsidRPr="009043DC">
              <w:rPr>
                <w:rFonts w:asciiTheme="minorHAnsi" w:hAnsiTheme="minorHAnsi"/>
                <w:b/>
                <w:kern w:val="0"/>
                <w:szCs w:val="21"/>
                <w:u w:val="single"/>
              </w:rPr>
              <w:t>191.72</w:t>
            </w:r>
          </w:p>
        </w:tc>
        <w:tc>
          <w:tcPr>
            <w:tcW w:w="572" w:type="pct"/>
            <w:tcBorders>
              <w:top w:val="single" w:sz="6" w:space="0" w:color="auto"/>
              <w:bottom w:val="single" w:sz="6" w:space="0" w:color="auto"/>
              <w:right w:val="single" w:sz="2" w:space="0" w:color="auto"/>
            </w:tcBorders>
            <w:vAlign w:val="center"/>
          </w:tcPr>
          <w:p w14:paraId="3212221A" w14:textId="2FD519B9" w:rsidR="009043DC" w:rsidRPr="009043DC" w:rsidRDefault="009043DC" w:rsidP="009043DC">
            <w:pPr>
              <w:jc w:val="center"/>
              <w:rPr>
                <w:rFonts w:ascii="Calibri" w:hAnsi="Calibri"/>
                <w:b/>
                <w:bCs/>
                <w:color w:val="auto"/>
                <w:szCs w:val="21"/>
                <w:u w:val="single"/>
              </w:rPr>
            </w:pPr>
            <w:r w:rsidRPr="009043DC">
              <w:rPr>
                <w:rFonts w:ascii="Calibri" w:hAnsi="Calibri"/>
                <w:b/>
                <w:snapToGrid w:val="0"/>
                <w:szCs w:val="21"/>
                <w:u w:val="single"/>
              </w:rPr>
              <w:t>102.95</w:t>
            </w:r>
          </w:p>
        </w:tc>
        <w:tc>
          <w:tcPr>
            <w:tcW w:w="421" w:type="pct"/>
            <w:tcBorders>
              <w:top w:val="single" w:sz="6" w:space="0" w:color="auto"/>
              <w:left w:val="single" w:sz="2" w:space="0" w:color="auto"/>
              <w:bottom w:val="single" w:sz="6" w:space="0" w:color="auto"/>
            </w:tcBorders>
            <w:vAlign w:val="center"/>
          </w:tcPr>
          <w:p w14:paraId="7CB31B4E" w14:textId="06557231" w:rsidR="009043DC" w:rsidRPr="009043DC" w:rsidRDefault="009043DC" w:rsidP="009043DC">
            <w:pPr>
              <w:jc w:val="center"/>
              <w:rPr>
                <w:rFonts w:ascii="Calibri" w:hAnsi="Calibri"/>
                <w:b/>
                <w:bCs/>
                <w:color w:val="auto"/>
                <w:szCs w:val="21"/>
                <w:u w:val="single"/>
              </w:rPr>
            </w:pPr>
            <w:r w:rsidRPr="009043DC">
              <w:rPr>
                <w:rFonts w:ascii="Calibri" w:hAnsi="Calibri"/>
                <w:b/>
                <w:snapToGrid w:val="0"/>
                <w:szCs w:val="21"/>
                <w:u w:val="single"/>
              </w:rPr>
              <w:t>25.82</w:t>
            </w:r>
          </w:p>
        </w:tc>
        <w:tc>
          <w:tcPr>
            <w:tcW w:w="613" w:type="pct"/>
            <w:tcBorders>
              <w:top w:val="single" w:sz="6" w:space="0" w:color="auto"/>
              <w:bottom w:val="single" w:sz="6" w:space="0" w:color="auto"/>
              <w:right w:val="single" w:sz="4" w:space="0" w:color="auto"/>
            </w:tcBorders>
            <w:vAlign w:val="center"/>
          </w:tcPr>
          <w:p w14:paraId="7E2B7F33" w14:textId="07C070C7" w:rsidR="009043DC" w:rsidRPr="009043DC" w:rsidRDefault="009043DC" w:rsidP="009043DC">
            <w:pPr>
              <w:jc w:val="center"/>
              <w:rPr>
                <w:rFonts w:ascii="Calibri" w:hAnsi="Calibri"/>
                <w:b/>
                <w:bCs/>
                <w:color w:val="auto"/>
                <w:szCs w:val="21"/>
                <w:u w:val="single"/>
              </w:rPr>
            </w:pPr>
            <w:r w:rsidRPr="009043DC">
              <w:rPr>
                <w:rFonts w:ascii="Calibri" w:hAnsi="Calibri"/>
                <w:b/>
                <w:snapToGrid w:val="0"/>
                <w:szCs w:val="21"/>
                <w:u w:val="single"/>
              </w:rPr>
              <w:t>23.63</w:t>
            </w:r>
          </w:p>
        </w:tc>
        <w:tc>
          <w:tcPr>
            <w:tcW w:w="613" w:type="pct"/>
            <w:tcBorders>
              <w:top w:val="single" w:sz="6" w:space="0" w:color="auto"/>
              <w:left w:val="single" w:sz="4" w:space="0" w:color="auto"/>
              <w:bottom w:val="single" w:sz="6" w:space="0" w:color="auto"/>
              <w:right w:val="single" w:sz="12" w:space="0" w:color="auto"/>
            </w:tcBorders>
            <w:vAlign w:val="center"/>
          </w:tcPr>
          <w:p w14:paraId="53E49343" w14:textId="7CB33FCE" w:rsidR="009043DC" w:rsidRPr="009043DC" w:rsidRDefault="009043DC" w:rsidP="009043DC">
            <w:pPr>
              <w:jc w:val="center"/>
              <w:rPr>
                <w:rFonts w:ascii="Calibri" w:hAnsi="Calibri"/>
                <w:b/>
                <w:bCs/>
                <w:color w:val="auto"/>
                <w:szCs w:val="21"/>
                <w:u w:val="single"/>
              </w:rPr>
            </w:pPr>
            <w:r w:rsidRPr="009043DC">
              <w:rPr>
                <w:rFonts w:asciiTheme="minorHAnsi" w:hAnsiTheme="minorHAnsi" w:cs="宋体" w:hint="eastAsia"/>
                <w:b/>
                <w:kern w:val="0"/>
                <w:szCs w:val="21"/>
                <w:u w:val="single"/>
              </w:rPr>
              <w:t>21.33</w:t>
            </w:r>
          </w:p>
        </w:tc>
      </w:tr>
      <w:tr w:rsidR="009043DC" w:rsidRPr="009043DC" w14:paraId="4606A3AA" w14:textId="02F26050" w:rsidTr="009043DC">
        <w:trPr>
          <w:trHeight w:val="397"/>
          <w:jc w:val="center"/>
        </w:trPr>
        <w:tc>
          <w:tcPr>
            <w:tcW w:w="1637" w:type="pct"/>
            <w:tcBorders>
              <w:top w:val="single" w:sz="6" w:space="0" w:color="auto"/>
              <w:bottom w:val="single" w:sz="6" w:space="0" w:color="auto"/>
            </w:tcBorders>
            <w:vAlign w:val="center"/>
          </w:tcPr>
          <w:p w14:paraId="6CE20599"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caps/>
                <w:color w:val="auto"/>
                <w:u w:val="single"/>
              </w:rPr>
              <w:t>《合成树脂工业污染物排放标准》（</w:t>
            </w:r>
            <w:r w:rsidRPr="009043DC">
              <w:rPr>
                <w:rFonts w:ascii="Calibri" w:hAnsi="Calibri" w:hint="eastAsia"/>
                <w:b/>
                <w:caps/>
                <w:color w:val="auto"/>
                <w:u w:val="single"/>
              </w:rPr>
              <w:t>GB31572-2015</w:t>
            </w:r>
            <w:r w:rsidRPr="009043DC">
              <w:rPr>
                <w:rFonts w:ascii="Calibri" w:hAnsi="Calibri" w:hint="eastAsia"/>
                <w:b/>
                <w:caps/>
                <w:color w:val="auto"/>
                <w:u w:val="single"/>
              </w:rPr>
              <w:t>）间接排放限值</w:t>
            </w:r>
          </w:p>
        </w:tc>
        <w:tc>
          <w:tcPr>
            <w:tcW w:w="643" w:type="pct"/>
            <w:tcBorders>
              <w:top w:val="single" w:sz="6" w:space="0" w:color="auto"/>
              <w:bottom w:val="single" w:sz="6" w:space="0" w:color="auto"/>
            </w:tcBorders>
            <w:vAlign w:val="center"/>
          </w:tcPr>
          <w:p w14:paraId="35FD9F17" w14:textId="77777777" w:rsidR="009043DC" w:rsidRPr="009043DC" w:rsidRDefault="009043DC" w:rsidP="00936B19">
            <w:pPr>
              <w:jc w:val="center"/>
              <w:rPr>
                <w:rFonts w:ascii="Calibri" w:hAnsi="Calibri"/>
                <w:b/>
                <w:bCs/>
                <w:color w:val="auto"/>
                <w:szCs w:val="21"/>
                <w:u w:val="single"/>
              </w:rPr>
            </w:pPr>
            <w:r w:rsidRPr="009043DC">
              <w:rPr>
                <w:rFonts w:ascii="Calibri" w:hAnsi="Calibri"/>
                <w:b/>
                <w:color w:val="auto"/>
                <w:szCs w:val="21"/>
                <w:u w:val="single"/>
              </w:rPr>
              <w:t>/</w:t>
            </w:r>
          </w:p>
        </w:tc>
        <w:tc>
          <w:tcPr>
            <w:tcW w:w="500" w:type="pct"/>
            <w:tcBorders>
              <w:top w:val="single" w:sz="6" w:space="0" w:color="auto"/>
              <w:bottom w:val="single" w:sz="6" w:space="0" w:color="auto"/>
            </w:tcBorders>
            <w:vAlign w:val="center"/>
          </w:tcPr>
          <w:p w14:paraId="5DCD0D65" w14:textId="77777777" w:rsidR="009043DC" w:rsidRPr="009043DC" w:rsidRDefault="009043DC" w:rsidP="00936B19">
            <w:pPr>
              <w:jc w:val="center"/>
              <w:rPr>
                <w:rFonts w:ascii="Calibri" w:hAnsi="Calibri"/>
                <w:b/>
                <w:color w:val="auto"/>
                <w:szCs w:val="21"/>
                <w:u w:val="single"/>
              </w:rPr>
            </w:pPr>
            <w:r w:rsidRPr="009043DC">
              <w:rPr>
                <w:rFonts w:ascii="Calibri" w:hAnsi="Calibri"/>
                <w:b/>
                <w:color w:val="auto"/>
                <w:szCs w:val="21"/>
                <w:u w:val="single"/>
              </w:rPr>
              <w:t>/</w:t>
            </w:r>
          </w:p>
        </w:tc>
        <w:tc>
          <w:tcPr>
            <w:tcW w:w="572" w:type="pct"/>
            <w:tcBorders>
              <w:top w:val="single" w:sz="6" w:space="0" w:color="auto"/>
              <w:bottom w:val="single" w:sz="6" w:space="0" w:color="auto"/>
              <w:right w:val="single" w:sz="2" w:space="0" w:color="auto"/>
            </w:tcBorders>
            <w:vAlign w:val="center"/>
          </w:tcPr>
          <w:p w14:paraId="1E87C5F1" w14:textId="77777777" w:rsidR="009043DC" w:rsidRPr="009043DC" w:rsidRDefault="009043DC" w:rsidP="00936B19">
            <w:pPr>
              <w:jc w:val="center"/>
              <w:rPr>
                <w:rFonts w:ascii="Calibri" w:hAnsi="Calibri"/>
                <w:b/>
                <w:color w:val="auto"/>
                <w:szCs w:val="21"/>
                <w:u w:val="single"/>
              </w:rPr>
            </w:pPr>
            <w:r w:rsidRPr="009043DC">
              <w:rPr>
                <w:rFonts w:ascii="Calibri" w:hAnsi="Calibri"/>
                <w:b/>
                <w:color w:val="auto"/>
                <w:szCs w:val="21"/>
                <w:u w:val="single"/>
              </w:rPr>
              <w:t>/</w:t>
            </w:r>
          </w:p>
        </w:tc>
        <w:tc>
          <w:tcPr>
            <w:tcW w:w="421" w:type="pct"/>
            <w:tcBorders>
              <w:top w:val="single" w:sz="6" w:space="0" w:color="auto"/>
              <w:left w:val="single" w:sz="2" w:space="0" w:color="auto"/>
              <w:bottom w:val="single" w:sz="6" w:space="0" w:color="auto"/>
            </w:tcBorders>
            <w:vAlign w:val="center"/>
          </w:tcPr>
          <w:p w14:paraId="59C177C1" w14:textId="77777777" w:rsidR="009043DC" w:rsidRPr="009043DC" w:rsidRDefault="009043DC" w:rsidP="00936B19">
            <w:pPr>
              <w:jc w:val="center"/>
              <w:rPr>
                <w:rFonts w:ascii="Calibri" w:hAnsi="Calibri"/>
                <w:b/>
                <w:color w:val="auto"/>
                <w:szCs w:val="21"/>
                <w:u w:val="single"/>
              </w:rPr>
            </w:pPr>
            <w:r w:rsidRPr="009043DC">
              <w:rPr>
                <w:rFonts w:ascii="Calibri" w:hAnsi="Calibri"/>
                <w:b/>
                <w:color w:val="auto"/>
                <w:szCs w:val="21"/>
                <w:u w:val="single"/>
              </w:rPr>
              <w:t>/</w:t>
            </w:r>
          </w:p>
        </w:tc>
        <w:tc>
          <w:tcPr>
            <w:tcW w:w="613" w:type="pct"/>
            <w:tcBorders>
              <w:top w:val="single" w:sz="6" w:space="0" w:color="auto"/>
              <w:bottom w:val="single" w:sz="6" w:space="0" w:color="auto"/>
              <w:right w:val="single" w:sz="4" w:space="0" w:color="auto"/>
            </w:tcBorders>
            <w:vAlign w:val="center"/>
          </w:tcPr>
          <w:p w14:paraId="6E1C12B5" w14:textId="77777777" w:rsidR="009043DC" w:rsidRPr="009043DC" w:rsidRDefault="009043DC" w:rsidP="00936B19">
            <w:pPr>
              <w:jc w:val="center"/>
              <w:rPr>
                <w:rFonts w:ascii="Calibri" w:hAnsi="Calibri"/>
                <w:b/>
                <w:color w:val="auto"/>
                <w:szCs w:val="21"/>
                <w:u w:val="single"/>
              </w:rPr>
            </w:pPr>
            <w:r w:rsidRPr="009043DC">
              <w:rPr>
                <w:rFonts w:ascii="Calibri" w:hAnsi="Calibri"/>
                <w:b/>
                <w:color w:val="auto"/>
                <w:szCs w:val="21"/>
                <w:u w:val="single"/>
              </w:rPr>
              <w:t>/</w:t>
            </w:r>
          </w:p>
        </w:tc>
        <w:tc>
          <w:tcPr>
            <w:tcW w:w="613" w:type="pct"/>
            <w:tcBorders>
              <w:top w:val="single" w:sz="6" w:space="0" w:color="auto"/>
              <w:left w:val="single" w:sz="4" w:space="0" w:color="auto"/>
              <w:bottom w:val="single" w:sz="6" w:space="0" w:color="auto"/>
              <w:right w:val="single" w:sz="12" w:space="0" w:color="auto"/>
            </w:tcBorders>
            <w:vAlign w:val="center"/>
          </w:tcPr>
          <w:p w14:paraId="276590EA" w14:textId="6CA1E26B" w:rsidR="009043DC" w:rsidRPr="009043DC" w:rsidRDefault="009043DC" w:rsidP="00936B19">
            <w:pPr>
              <w:jc w:val="center"/>
              <w:rPr>
                <w:rFonts w:ascii="Calibri" w:hAnsi="Calibri"/>
                <w:b/>
                <w:color w:val="auto"/>
                <w:szCs w:val="21"/>
                <w:u w:val="single"/>
              </w:rPr>
            </w:pPr>
            <w:r w:rsidRPr="009043DC">
              <w:rPr>
                <w:rFonts w:ascii="Calibri" w:hAnsi="Calibri"/>
                <w:b/>
                <w:color w:val="auto"/>
                <w:szCs w:val="21"/>
                <w:u w:val="single"/>
              </w:rPr>
              <w:t>/</w:t>
            </w:r>
          </w:p>
        </w:tc>
      </w:tr>
      <w:tr w:rsidR="009043DC" w:rsidRPr="009043DC" w14:paraId="385ED31F" w14:textId="7E752F28" w:rsidTr="009043DC">
        <w:trPr>
          <w:trHeight w:val="397"/>
          <w:jc w:val="center"/>
        </w:trPr>
        <w:tc>
          <w:tcPr>
            <w:tcW w:w="1637" w:type="pct"/>
            <w:tcBorders>
              <w:top w:val="single" w:sz="6" w:space="0" w:color="auto"/>
              <w:bottom w:val="single" w:sz="6" w:space="0" w:color="auto"/>
            </w:tcBorders>
            <w:vAlign w:val="center"/>
          </w:tcPr>
          <w:p w14:paraId="07C1789E"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是否满足</w:t>
            </w:r>
          </w:p>
        </w:tc>
        <w:tc>
          <w:tcPr>
            <w:tcW w:w="643" w:type="pct"/>
            <w:tcBorders>
              <w:top w:val="single" w:sz="6" w:space="0" w:color="auto"/>
              <w:bottom w:val="single" w:sz="6" w:space="0" w:color="auto"/>
            </w:tcBorders>
            <w:vAlign w:val="center"/>
          </w:tcPr>
          <w:p w14:paraId="243D004B"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500" w:type="pct"/>
            <w:tcBorders>
              <w:top w:val="single" w:sz="6" w:space="0" w:color="auto"/>
              <w:bottom w:val="single" w:sz="6" w:space="0" w:color="auto"/>
            </w:tcBorders>
            <w:vAlign w:val="center"/>
          </w:tcPr>
          <w:p w14:paraId="53410E3E"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572" w:type="pct"/>
            <w:tcBorders>
              <w:top w:val="single" w:sz="6" w:space="0" w:color="auto"/>
              <w:bottom w:val="single" w:sz="6" w:space="0" w:color="auto"/>
              <w:right w:val="single" w:sz="2" w:space="0" w:color="auto"/>
            </w:tcBorders>
            <w:vAlign w:val="center"/>
          </w:tcPr>
          <w:p w14:paraId="01CC47EE"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421" w:type="pct"/>
            <w:tcBorders>
              <w:top w:val="single" w:sz="6" w:space="0" w:color="auto"/>
              <w:left w:val="single" w:sz="2" w:space="0" w:color="auto"/>
              <w:bottom w:val="single" w:sz="6" w:space="0" w:color="auto"/>
            </w:tcBorders>
            <w:vAlign w:val="center"/>
          </w:tcPr>
          <w:p w14:paraId="14F01C0D"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613" w:type="pct"/>
            <w:tcBorders>
              <w:top w:val="single" w:sz="6" w:space="0" w:color="auto"/>
              <w:bottom w:val="single" w:sz="6" w:space="0" w:color="auto"/>
              <w:right w:val="single" w:sz="4" w:space="0" w:color="auto"/>
            </w:tcBorders>
            <w:vAlign w:val="center"/>
          </w:tcPr>
          <w:p w14:paraId="5A70E71B"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613" w:type="pct"/>
            <w:tcBorders>
              <w:top w:val="single" w:sz="6" w:space="0" w:color="auto"/>
              <w:left w:val="single" w:sz="4" w:space="0" w:color="auto"/>
              <w:bottom w:val="single" w:sz="6" w:space="0" w:color="auto"/>
              <w:right w:val="single" w:sz="12" w:space="0" w:color="auto"/>
            </w:tcBorders>
            <w:vAlign w:val="center"/>
          </w:tcPr>
          <w:p w14:paraId="709F13AE" w14:textId="77DF5BA1"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r>
      <w:tr w:rsidR="009043DC" w:rsidRPr="009043DC" w14:paraId="521FCFA2" w14:textId="21C2E7AF" w:rsidTr="009043DC">
        <w:trPr>
          <w:trHeight w:val="397"/>
          <w:jc w:val="center"/>
        </w:trPr>
        <w:tc>
          <w:tcPr>
            <w:tcW w:w="1637" w:type="pct"/>
            <w:tcBorders>
              <w:top w:val="single" w:sz="6" w:space="0" w:color="auto"/>
              <w:bottom w:val="single" w:sz="6" w:space="0" w:color="auto"/>
            </w:tcBorders>
            <w:vAlign w:val="center"/>
          </w:tcPr>
          <w:p w14:paraId="28D61DB6" w14:textId="77777777" w:rsidR="009043DC" w:rsidRPr="009043DC" w:rsidRDefault="009043DC" w:rsidP="00936B19">
            <w:pPr>
              <w:jc w:val="center"/>
              <w:rPr>
                <w:rFonts w:ascii="Calibri" w:hAnsi="Calibri"/>
                <w:b/>
                <w:bCs/>
                <w:color w:val="auto"/>
                <w:szCs w:val="21"/>
                <w:u w:val="single"/>
              </w:rPr>
            </w:pPr>
            <w:r w:rsidRPr="009043DC">
              <w:rPr>
                <w:rFonts w:hint="eastAsia"/>
                <w:b/>
                <w:szCs w:val="21"/>
                <w:u w:val="single"/>
              </w:rPr>
              <w:t>《</w:t>
            </w:r>
            <w:r w:rsidRPr="009043DC">
              <w:rPr>
                <w:rFonts w:ascii="Calibri" w:hAnsi="Calibri" w:hint="eastAsia"/>
                <w:b/>
                <w:snapToGrid w:val="0"/>
                <w:szCs w:val="21"/>
                <w:u w:val="single"/>
              </w:rPr>
              <w:t>化工行业水污染物间接排放标准》（</w:t>
            </w:r>
            <w:r w:rsidRPr="009043DC">
              <w:rPr>
                <w:rFonts w:ascii="Calibri" w:hAnsi="Calibri" w:hint="eastAsia"/>
                <w:b/>
                <w:snapToGrid w:val="0"/>
                <w:szCs w:val="21"/>
                <w:u w:val="single"/>
              </w:rPr>
              <w:t>DB41/1135-2016</w:t>
            </w:r>
            <w:r w:rsidRPr="009043DC">
              <w:rPr>
                <w:rFonts w:ascii="Calibri" w:hAnsi="Calibri" w:hint="eastAsia"/>
                <w:b/>
                <w:snapToGrid w:val="0"/>
                <w:szCs w:val="21"/>
                <w:u w:val="single"/>
              </w:rPr>
              <w:t>）</w:t>
            </w:r>
          </w:p>
        </w:tc>
        <w:tc>
          <w:tcPr>
            <w:tcW w:w="643" w:type="pct"/>
            <w:tcBorders>
              <w:top w:val="single" w:sz="6" w:space="0" w:color="auto"/>
              <w:bottom w:val="single" w:sz="6" w:space="0" w:color="auto"/>
            </w:tcBorders>
            <w:vAlign w:val="center"/>
          </w:tcPr>
          <w:p w14:paraId="393E939A" w14:textId="77777777" w:rsidR="009043DC" w:rsidRPr="009043DC" w:rsidRDefault="009043DC" w:rsidP="00936B19">
            <w:pPr>
              <w:jc w:val="center"/>
              <w:rPr>
                <w:rFonts w:ascii="Calibri" w:hAnsi="Calibri"/>
                <w:b/>
                <w:bCs/>
                <w:color w:val="auto"/>
                <w:szCs w:val="21"/>
                <w:u w:val="single"/>
              </w:rPr>
            </w:pPr>
            <w:r w:rsidRPr="009043DC">
              <w:rPr>
                <w:rFonts w:ascii="Calibri" w:hAnsi="Calibri"/>
                <w:b/>
                <w:color w:val="auto"/>
                <w:szCs w:val="21"/>
                <w:u w:val="single"/>
              </w:rPr>
              <w:t>6</w:t>
            </w:r>
            <w:r w:rsidRPr="009043DC">
              <w:rPr>
                <w:rFonts w:ascii="Calibri"/>
                <w:b/>
                <w:color w:val="auto"/>
                <w:szCs w:val="21"/>
                <w:u w:val="single"/>
              </w:rPr>
              <w:t>～</w:t>
            </w:r>
            <w:r w:rsidRPr="009043DC">
              <w:rPr>
                <w:rFonts w:ascii="Calibri" w:hAnsi="Calibri"/>
                <w:b/>
                <w:color w:val="auto"/>
                <w:szCs w:val="21"/>
                <w:u w:val="single"/>
              </w:rPr>
              <w:t>9</w:t>
            </w:r>
          </w:p>
        </w:tc>
        <w:tc>
          <w:tcPr>
            <w:tcW w:w="500" w:type="pct"/>
            <w:tcBorders>
              <w:top w:val="single" w:sz="6" w:space="0" w:color="auto"/>
              <w:bottom w:val="single" w:sz="6" w:space="0" w:color="auto"/>
            </w:tcBorders>
            <w:vAlign w:val="center"/>
          </w:tcPr>
          <w:p w14:paraId="30B15589"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300</w:t>
            </w:r>
          </w:p>
        </w:tc>
        <w:tc>
          <w:tcPr>
            <w:tcW w:w="572" w:type="pct"/>
            <w:tcBorders>
              <w:top w:val="single" w:sz="6" w:space="0" w:color="auto"/>
              <w:bottom w:val="single" w:sz="6" w:space="0" w:color="auto"/>
              <w:right w:val="single" w:sz="2" w:space="0" w:color="auto"/>
            </w:tcBorders>
            <w:vAlign w:val="center"/>
          </w:tcPr>
          <w:p w14:paraId="1E2B3367"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150</w:t>
            </w:r>
          </w:p>
        </w:tc>
        <w:tc>
          <w:tcPr>
            <w:tcW w:w="421" w:type="pct"/>
            <w:tcBorders>
              <w:top w:val="single" w:sz="6" w:space="0" w:color="auto"/>
              <w:left w:val="single" w:sz="2" w:space="0" w:color="auto"/>
              <w:bottom w:val="single" w:sz="6" w:space="0" w:color="auto"/>
            </w:tcBorders>
            <w:vAlign w:val="center"/>
          </w:tcPr>
          <w:p w14:paraId="7A5FA698"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150</w:t>
            </w:r>
          </w:p>
        </w:tc>
        <w:tc>
          <w:tcPr>
            <w:tcW w:w="613" w:type="pct"/>
            <w:tcBorders>
              <w:top w:val="single" w:sz="6" w:space="0" w:color="auto"/>
              <w:bottom w:val="single" w:sz="6" w:space="0" w:color="auto"/>
              <w:right w:val="single" w:sz="4" w:space="0" w:color="auto"/>
            </w:tcBorders>
            <w:vAlign w:val="center"/>
          </w:tcPr>
          <w:p w14:paraId="42870D8E"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30</w:t>
            </w:r>
          </w:p>
        </w:tc>
        <w:tc>
          <w:tcPr>
            <w:tcW w:w="613" w:type="pct"/>
            <w:tcBorders>
              <w:top w:val="single" w:sz="6" w:space="0" w:color="auto"/>
              <w:left w:val="single" w:sz="4" w:space="0" w:color="auto"/>
              <w:bottom w:val="single" w:sz="6" w:space="0" w:color="auto"/>
              <w:right w:val="single" w:sz="12" w:space="0" w:color="auto"/>
            </w:tcBorders>
            <w:vAlign w:val="center"/>
          </w:tcPr>
          <w:p w14:paraId="4D3EE696" w14:textId="471F9214"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50</w:t>
            </w:r>
          </w:p>
        </w:tc>
      </w:tr>
      <w:tr w:rsidR="009043DC" w:rsidRPr="009043DC" w14:paraId="5DA93629" w14:textId="0120E34F" w:rsidTr="009043DC">
        <w:trPr>
          <w:trHeight w:val="397"/>
          <w:jc w:val="center"/>
        </w:trPr>
        <w:tc>
          <w:tcPr>
            <w:tcW w:w="1637" w:type="pct"/>
            <w:tcBorders>
              <w:top w:val="single" w:sz="6" w:space="0" w:color="auto"/>
              <w:bottom w:val="single" w:sz="6" w:space="0" w:color="auto"/>
            </w:tcBorders>
            <w:vAlign w:val="center"/>
          </w:tcPr>
          <w:p w14:paraId="296D6BE5" w14:textId="77777777" w:rsidR="009043DC" w:rsidRPr="009043DC" w:rsidRDefault="009043DC" w:rsidP="00401F85">
            <w:pPr>
              <w:jc w:val="center"/>
              <w:rPr>
                <w:rFonts w:ascii="Calibri" w:hAnsi="Calibri"/>
                <w:b/>
                <w:bCs/>
                <w:color w:val="auto"/>
                <w:szCs w:val="21"/>
                <w:u w:val="single"/>
              </w:rPr>
            </w:pPr>
            <w:r w:rsidRPr="009043DC">
              <w:rPr>
                <w:rFonts w:ascii="Calibri" w:hAnsi="Calibri" w:hint="eastAsia"/>
                <w:b/>
                <w:bCs/>
                <w:color w:val="auto"/>
                <w:szCs w:val="21"/>
                <w:u w:val="single"/>
              </w:rPr>
              <w:t>是否满足</w:t>
            </w:r>
          </w:p>
        </w:tc>
        <w:tc>
          <w:tcPr>
            <w:tcW w:w="643" w:type="pct"/>
            <w:tcBorders>
              <w:top w:val="single" w:sz="6" w:space="0" w:color="auto"/>
              <w:bottom w:val="single" w:sz="6" w:space="0" w:color="auto"/>
            </w:tcBorders>
            <w:vAlign w:val="center"/>
          </w:tcPr>
          <w:p w14:paraId="65D0F533" w14:textId="77777777" w:rsidR="009043DC" w:rsidRPr="009043DC" w:rsidRDefault="009043DC" w:rsidP="00401F85">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500" w:type="pct"/>
            <w:tcBorders>
              <w:top w:val="single" w:sz="6" w:space="0" w:color="auto"/>
              <w:bottom w:val="single" w:sz="6" w:space="0" w:color="auto"/>
            </w:tcBorders>
            <w:vAlign w:val="center"/>
          </w:tcPr>
          <w:p w14:paraId="1C5B8A88" w14:textId="77777777" w:rsidR="009043DC" w:rsidRPr="009043DC" w:rsidRDefault="009043DC" w:rsidP="00401F85">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572" w:type="pct"/>
            <w:tcBorders>
              <w:top w:val="single" w:sz="6" w:space="0" w:color="auto"/>
              <w:bottom w:val="single" w:sz="6" w:space="0" w:color="auto"/>
              <w:right w:val="single" w:sz="2" w:space="0" w:color="auto"/>
            </w:tcBorders>
            <w:vAlign w:val="center"/>
          </w:tcPr>
          <w:p w14:paraId="7EDE578C" w14:textId="77777777" w:rsidR="009043DC" w:rsidRPr="009043DC" w:rsidRDefault="009043DC" w:rsidP="00401F85">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421" w:type="pct"/>
            <w:tcBorders>
              <w:top w:val="single" w:sz="6" w:space="0" w:color="auto"/>
              <w:left w:val="single" w:sz="2" w:space="0" w:color="auto"/>
              <w:bottom w:val="single" w:sz="6" w:space="0" w:color="auto"/>
            </w:tcBorders>
            <w:vAlign w:val="center"/>
          </w:tcPr>
          <w:p w14:paraId="32D19563" w14:textId="77777777" w:rsidR="009043DC" w:rsidRPr="009043DC" w:rsidRDefault="009043DC" w:rsidP="00401F85">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613" w:type="pct"/>
            <w:tcBorders>
              <w:top w:val="single" w:sz="6" w:space="0" w:color="auto"/>
              <w:bottom w:val="single" w:sz="6" w:space="0" w:color="auto"/>
              <w:right w:val="single" w:sz="4" w:space="0" w:color="auto"/>
            </w:tcBorders>
            <w:vAlign w:val="center"/>
          </w:tcPr>
          <w:p w14:paraId="2D5CD6CD" w14:textId="77777777" w:rsidR="009043DC" w:rsidRPr="009043DC" w:rsidRDefault="009043DC" w:rsidP="00401F85">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613" w:type="pct"/>
            <w:tcBorders>
              <w:top w:val="single" w:sz="6" w:space="0" w:color="auto"/>
              <w:left w:val="single" w:sz="4" w:space="0" w:color="auto"/>
              <w:bottom w:val="single" w:sz="6" w:space="0" w:color="auto"/>
              <w:right w:val="single" w:sz="12" w:space="0" w:color="auto"/>
            </w:tcBorders>
            <w:vAlign w:val="center"/>
          </w:tcPr>
          <w:p w14:paraId="65BD06DE" w14:textId="1FF17B17" w:rsidR="009043DC" w:rsidRPr="009043DC" w:rsidRDefault="009043DC" w:rsidP="00401F85">
            <w:pPr>
              <w:jc w:val="center"/>
              <w:rPr>
                <w:rFonts w:ascii="Calibri" w:hAnsi="Calibri"/>
                <w:b/>
                <w:bCs/>
                <w:color w:val="auto"/>
                <w:szCs w:val="21"/>
                <w:u w:val="single"/>
              </w:rPr>
            </w:pPr>
            <w:r w:rsidRPr="009043DC">
              <w:rPr>
                <w:rFonts w:ascii="Calibri" w:hAnsi="Calibri" w:hint="eastAsia"/>
                <w:b/>
                <w:bCs/>
                <w:color w:val="auto"/>
                <w:szCs w:val="21"/>
                <w:u w:val="single"/>
              </w:rPr>
              <w:t>满足</w:t>
            </w:r>
          </w:p>
        </w:tc>
      </w:tr>
      <w:tr w:rsidR="009043DC" w:rsidRPr="009043DC" w14:paraId="6C3DB5CE" w14:textId="1FBD6332" w:rsidTr="009043DC">
        <w:trPr>
          <w:trHeight w:val="397"/>
          <w:jc w:val="center"/>
        </w:trPr>
        <w:tc>
          <w:tcPr>
            <w:tcW w:w="1637" w:type="pct"/>
            <w:tcBorders>
              <w:top w:val="single" w:sz="6" w:space="0" w:color="auto"/>
              <w:bottom w:val="single" w:sz="6" w:space="0" w:color="auto"/>
            </w:tcBorders>
            <w:vAlign w:val="center"/>
          </w:tcPr>
          <w:p w14:paraId="3F8FABDF"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污水处理厂</w:t>
            </w:r>
            <w:r w:rsidRPr="009043DC">
              <w:rPr>
                <w:rFonts w:ascii="Calibri" w:hAnsi="Calibri"/>
                <w:b/>
                <w:bCs/>
                <w:color w:val="auto"/>
                <w:szCs w:val="21"/>
                <w:u w:val="single"/>
              </w:rPr>
              <w:t>设计进水水质（</w:t>
            </w:r>
            <w:r w:rsidRPr="009043DC">
              <w:rPr>
                <w:rFonts w:ascii="Calibri" w:hAnsi="Calibri"/>
                <w:b/>
                <w:bCs/>
                <w:color w:val="auto"/>
                <w:szCs w:val="21"/>
                <w:u w:val="single"/>
              </w:rPr>
              <w:t>mg/L</w:t>
            </w:r>
            <w:r w:rsidRPr="009043DC">
              <w:rPr>
                <w:rFonts w:ascii="Calibri" w:hAnsi="Calibri"/>
                <w:b/>
                <w:bCs/>
                <w:color w:val="auto"/>
                <w:szCs w:val="21"/>
                <w:u w:val="single"/>
              </w:rPr>
              <w:t>）</w:t>
            </w:r>
          </w:p>
        </w:tc>
        <w:tc>
          <w:tcPr>
            <w:tcW w:w="643" w:type="pct"/>
            <w:tcBorders>
              <w:top w:val="single" w:sz="6" w:space="0" w:color="auto"/>
              <w:bottom w:val="single" w:sz="6" w:space="0" w:color="auto"/>
            </w:tcBorders>
            <w:vAlign w:val="center"/>
          </w:tcPr>
          <w:p w14:paraId="05C14FD9" w14:textId="77777777" w:rsidR="009043DC" w:rsidRPr="009043DC" w:rsidRDefault="009043DC" w:rsidP="00936B19">
            <w:pPr>
              <w:jc w:val="center"/>
              <w:rPr>
                <w:rFonts w:ascii="Calibri" w:hAnsi="Calibri"/>
                <w:b/>
                <w:bCs/>
                <w:color w:val="auto"/>
                <w:szCs w:val="21"/>
                <w:u w:val="single"/>
              </w:rPr>
            </w:pPr>
            <w:r w:rsidRPr="009043DC">
              <w:rPr>
                <w:rFonts w:ascii="Calibri" w:hAnsi="Calibri"/>
                <w:b/>
                <w:color w:val="auto"/>
                <w:szCs w:val="21"/>
                <w:u w:val="single"/>
              </w:rPr>
              <w:t>6</w:t>
            </w:r>
            <w:r w:rsidRPr="009043DC">
              <w:rPr>
                <w:rFonts w:ascii="Calibri"/>
                <w:b/>
                <w:color w:val="auto"/>
                <w:szCs w:val="21"/>
                <w:u w:val="single"/>
              </w:rPr>
              <w:t>～</w:t>
            </w:r>
            <w:r w:rsidRPr="009043DC">
              <w:rPr>
                <w:rFonts w:ascii="Calibri" w:hAnsi="Calibri"/>
                <w:b/>
                <w:color w:val="auto"/>
                <w:szCs w:val="21"/>
                <w:u w:val="single"/>
              </w:rPr>
              <w:t>9</w:t>
            </w:r>
          </w:p>
        </w:tc>
        <w:tc>
          <w:tcPr>
            <w:tcW w:w="500" w:type="pct"/>
            <w:tcBorders>
              <w:top w:val="single" w:sz="6" w:space="0" w:color="auto"/>
              <w:bottom w:val="single" w:sz="6" w:space="0" w:color="auto"/>
            </w:tcBorders>
            <w:vAlign w:val="center"/>
          </w:tcPr>
          <w:p w14:paraId="6420F665"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400</w:t>
            </w:r>
          </w:p>
        </w:tc>
        <w:tc>
          <w:tcPr>
            <w:tcW w:w="572" w:type="pct"/>
            <w:tcBorders>
              <w:top w:val="single" w:sz="6" w:space="0" w:color="auto"/>
              <w:bottom w:val="single" w:sz="6" w:space="0" w:color="auto"/>
              <w:right w:val="single" w:sz="2" w:space="0" w:color="auto"/>
            </w:tcBorders>
            <w:vAlign w:val="center"/>
          </w:tcPr>
          <w:p w14:paraId="5F99743B"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150</w:t>
            </w:r>
          </w:p>
        </w:tc>
        <w:tc>
          <w:tcPr>
            <w:tcW w:w="421" w:type="pct"/>
            <w:tcBorders>
              <w:top w:val="single" w:sz="6" w:space="0" w:color="auto"/>
              <w:left w:val="single" w:sz="2" w:space="0" w:color="auto"/>
              <w:bottom w:val="single" w:sz="6" w:space="0" w:color="auto"/>
            </w:tcBorders>
            <w:vAlign w:val="center"/>
          </w:tcPr>
          <w:p w14:paraId="1D0CD8B9"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300</w:t>
            </w:r>
          </w:p>
        </w:tc>
        <w:tc>
          <w:tcPr>
            <w:tcW w:w="613" w:type="pct"/>
            <w:tcBorders>
              <w:top w:val="single" w:sz="6" w:space="0" w:color="auto"/>
              <w:bottom w:val="single" w:sz="6" w:space="0" w:color="auto"/>
              <w:right w:val="single" w:sz="4" w:space="0" w:color="auto"/>
            </w:tcBorders>
            <w:vAlign w:val="center"/>
          </w:tcPr>
          <w:p w14:paraId="10E2EA28"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35</w:t>
            </w:r>
          </w:p>
        </w:tc>
        <w:tc>
          <w:tcPr>
            <w:tcW w:w="613" w:type="pct"/>
            <w:tcBorders>
              <w:top w:val="single" w:sz="6" w:space="0" w:color="auto"/>
              <w:left w:val="single" w:sz="4" w:space="0" w:color="auto"/>
              <w:bottom w:val="single" w:sz="6" w:space="0" w:color="auto"/>
              <w:right w:val="single" w:sz="12" w:space="0" w:color="auto"/>
            </w:tcBorders>
            <w:vAlign w:val="center"/>
          </w:tcPr>
          <w:p w14:paraId="3F932D5C" w14:textId="75ABF66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50</w:t>
            </w:r>
          </w:p>
        </w:tc>
      </w:tr>
      <w:tr w:rsidR="009043DC" w:rsidRPr="009043DC" w14:paraId="211A954D" w14:textId="0C40051B" w:rsidTr="009043DC">
        <w:trPr>
          <w:trHeight w:val="397"/>
          <w:jc w:val="center"/>
        </w:trPr>
        <w:tc>
          <w:tcPr>
            <w:tcW w:w="1637" w:type="pct"/>
            <w:tcBorders>
              <w:top w:val="single" w:sz="6" w:space="0" w:color="auto"/>
              <w:bottom w:val="single" w:sz="12" w:space="0" w:color="auto"/>
            </w:tcBorders>
            <w:vAlign w:val="center"/>
          </w:tcPr>
          <w:p w14:paraId="16747F4C" w14:textId="77777777" w:rsidR="009043DC" w:rsidRPr="009043DC" w:rsidRDefault="009043DC" w:rsidP="00FA7727">
            <w:pPr>
              <w:jc w:val="center"/>
              <w:rPr>
                <w:rFonts w:ascii="Calibri" w:hAnsi="Calibri"/>
                <w:b/>
                <w:bCs/>
                <w:color w:val="auto"/>
                <w:szCs w:val="21"/>
                <w:u w:val="single"/>
              </w:rPr>
            </w:pPr>
            <w:r w:rsidRPr="009043DC">
              <w:rPr>
                <w:rFonts w:ascii="Calibri" w:hAnsi="Calibri" w:hint="eastAsia"/>
                <w:b/>
                <w:bCs/>
                <w:color w:val="auto"/>
                <w:szCs w:val="21"/>
                <w:u w:val="single"/>
              </w:rPr>
              <w:t>是否满足</w:t>
            </w:r>
          </w:p>
        </w:tc>
        <w:tc>
          <w:tcPr>
            <w:tcW w:w="643" w:type="pct"/>
            <w:tcBorders>
              <w:top w:val="single" w:sz="6" w:space="0" w:color="auto"/>
              <w:bottom w:val="single" w:sz="12" w:space="0" w:color="auto"/>
            </w:tcBorders>
            <w:vAlign w:val="center"/>
          </w:tcPr>
          <w:p w14:paraId="0E4449F9"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500" w:type="pct"/>
            <w:tcBorders>
              <w:top w:val="single" w:sz="6" w:space="0" w:color="auto"/>
              <w:bottom w:val="single" w:sz="12" w:space="0" w:color="auto"/>
            </w:tcBorders>
            <w:vAlign w:val="center"/>
          </w:tcPr>
          <w:p w14:paraId="6CD6943F"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572" w:type="pct"/>
            <w:tcBorders>
              <w:top w:val="single" w:sz="6" w:space="0" w:color="auto"/>
              <w:bottom w:val="single" w:sz="12" w:space="0" w:color="auto"/>
              <w:right w:val="single" w:sz="2" w:space="0" w:color="auto"/>
            </w:tcBorders>
            <w:vAlign w:val="center"/>
          </w:tcPr>
          <w:p w14:paraId="7F0216F7"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421" w:type="pct"/>
            <w:tcBorders>
              <w:top w:val="single" w:sz="6" w:space="0" w:color="auto"/>
              <w:left w:val="single" w:sz="2" w:space="0" w:color="auto"/>
              <w:bottom w:val="single" w:sz="12" w:space="0" w:color="auto"/>
            </w:tcBorders>
            <w:vAlign w:val="center"/>
          </w:tcPr>
          <w:p w14:paraId="0E37F918"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613" w:type="pct"/>
            <w:tcBorders>
              <w:top w:val="single" w:sz="6" w:space="0" w:color="auto"/>
              <w:bottom w:val="single" w:sz="12" w:space="0" w:color="auto"/>
              <w:right w:val="single" w:sz="4" w:space="0" w:color="auto"/>
            </w:tcBorders>
            <w:vAlign w:val="center"/>
          </w:tcPr>
          <w:p w14:paraId="145BCED6" w14:textId="77777777"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c>
          <w:tcPr>
            <w:tcW w:w="613" w:type="pct"/>
            <w:tcBorders>
              <w:top w:val="single" w:sz="6" w:space="0" w:color="auto"/>
              <w:left w:val="single" w:sz="4" w:space="0" w:color="auto"/>
              <w:bottom w:val="single" w:sz="12" w:space="0" w:color="auto"/>
              <w:right w:val="single" w:sz="12" w:space="0" w:color="auto"/>
            </w:tcBorders>
            <w:vAlign w:val="center"/>
          </w:tcPr>
          <w:p w14:paraId="0F1098C1" w14:textId="67409C55" w:rsidR="009043DC" w:rsidRPr="009043DC" w:rsidRDefault="009043DC" w:rsidP="00936B19">
            <w:pPr>
              <w:jc w:val="center"/>
              <w:rPr>
                <w:rFonts w:ascii="Calibri" w:hAnsi="Calibri"/>
                <w:b/>
                <w:bCs/>
                <w:color w:val="auto"/>
                <w:szCs w:val="21"/>
                <w:u w:val="single"/>
              </w:rPr>
            </w:pPr>
            <w:r w:rsidRPr="009043DC">
              <w:rPr>
                <w:rFonts w:ascii="Calibri" w:hAnsi="Calibri" w:hint="eastAsia"/>
                <w:b/>
                <w:bCs/>
                <w:color w:val="auto"/>
                <w:szCs w:val="21"/>
                <w:u w:val="single"/>
              </w:rPr>
              <w:t>满足</w:t>
            </w:r>
          </w:p>
        </w:tc>
      </w:tr>
    </w:tbl>
    <w:p w14:paraId="13DE6F3C" w14:textId="503D9FD4" w:rsidR="003A7C82" w:rsidRPr="009043DC" w:rsidRDefault="003A7C82" w:rsidP="003A7C82">
      <w:pPr>
        <w:pStyle w:val="00"/>
        <w:rPr>
          <w:rFonts w:ascii="Calibri" w:hAnsi="Calibri"/>
          <w:b/>
          <w:color w:val="auto"/>
          <w:u w:val="single"/>
        </w:rPr>
      </w:pPr>
      <w:r w:rsidRPr="009043DC">
        <w:rPr>
          <w:rFonts w:ascii="Calibri" w:hAnsi="Calibri" w:hint="eastAsia"/>
          <w:b/>
          <w:color w:val="auto"/>
          <w:u w:val="single"/>
        </w:rPr>
        <w:t>综上所述，本项目</w:t>
      </w:r>
      <w:r w:rsidR="002555AB" w:rsidRPr="009043DC">
        <w:rPr>
          <w:rFonts w:ascii="Calibri" w:hAnsi="Calibri" w:hint="eastAsia"/>
          <w:b/>
          <w:color w:val="auto"/>
          <w:u w:val="single"/>
        </w:rPr>
        <w:t>选址</w:t>
      </w:r>
      <w:r w:rsidR="008C7A91" w:rsidRPr="009043DC">
        <w:rPr>
          <w:rFonts w:ascii="Calibri" w:hAnsi="Calibri" w:hint="eastAsia"/>
          <w:b/>
          <w:color w:val="auto"/>
          <w:u w:val="single"/>
        </w:rPr>
        <w:t>位于平顶山尼龙新材料产业集聚区</w:t>
      </w:r>
      <w:r w:rsidRPr="009043DC">
        <w:rPr>
          <w:rFonts w:ascii="Calibri" w:hAnsi="Calibri" w:hint="eastAsia"/>
          <w:b/>
          <w:color w:val="auto"/>
          <w:u w:val="single"/>
        </w:rPr>
        <w:t>，</w:t>
      </w:r>
      <w:r w:rsidRPr="009043DC">
        <w:rPr>
          <w:rFonts w:ascii="Calibri" w:hAnsi="Calibri"/>
          <w:b/>
          <w:color w:val="auto"/>
          <w:u w:val="single"/>
        </w:rPr>
        <w:t>在</w:t>
      </w:r>
      <w:r w:rsidR="002555AB" w:rsidRPr="009043DC">
        <w:rPr>
          <w:rFonts w:ascii="Calibri" w:hAnsi="Calibri" w:hint="eastAsia"/>
          <w:b/>
          <w:color w:val="auto"/>
          <w:u w:val="single"/>
        </w:rPr>
        <w:t>平顶山第三</w:t>
      </w:r>
      <w:r w:rsidRPr="009043DC">
        <w:rPr>
          <w:rFonts w:ascii="Calibri" w:hAnsi="Calibri"/>
          <w:b/>
          <w:color w:val="auto"/>
          <w:u w:val="single"/>
        </w:rPr>
        <w:t>污水处理厂的收水范围之内，从排水路径上项目排入该污水处理厂是可行的。</w:t>
      </w:r>
      <w:r w:rsidRPr="009043DC">
        <w:rPr>
          <w:rFonts w:ascii="Calibri" w:hAnsi="Calibri" w:hint="eastAsia"/>
          <w:b/>
          <w:color w:val="auto"/>
          <w:u w:val="single"/>
        </w:rPr>
        <w:t>本项目废水外排废水量占</w:t>
      </w:r>
      <w:r w:rsidR="002555AB" w:rsidRPr="009043DC">
        <w:rPr>
          <w:rFonts w:ascii="Calibri" w:hAnsi="Calibri" w:hint="eastAsia"/>
          <w:b/>
          <w:color w:val="auto"/>
          <w:u w:val="single"/>
        </w:rPr>
        <w:t>平顶山第三污水处理厂扩建工程</w:t>
      </w:r>
      <w:r w:rsidRPr="009043DC">
        <w:rPr>
          <w:rFonts w:ascii="Calibri" w:hAnsi="Calibri" w:hint="eastAsia"/>
          <w:b/>
          <w:color w:val="auto"/>
          <w:u w:val="single"/>
        </w:rPr>
        <w:t>设计进水量的</w:t>
      </w:r>
      <w:r w:rsidR="009043DC" w:rsidRPr="009043DC">
        <w:rPr>
          <w:rFonts w:ascii="Calibri" w:hAnsi="Calibri"/>
          <w:b/>
          <w:color w:val="auto"/>
          <w:u w:val="single"/>
        </w:rPr>
        <w:t>0.097%</w:t>
      </w:r>
      <w:r w:rsidRPr="009043DC">
        <w:rPr>
          <w:rFonts w:ascii="Calibri" w:hAnsi="Calibri" w:hint="eastAsia"/>
          <w:b/>
          <w:color w:val="auto"/>
          <w:u w:val="single"/>
        </w:rPr>
        <w:t>，</w:t>
      </w:r>
      <w:r w:rsidR="005B3422" w:rsidRPr="009043DC">
        <w:rPr>
          <w:rFonts w:ascii="Calibri" w:hAnsi="Calibri" w:hint="eastAsia"/>
          <w:b/>
          <w:color w:val="auto"/>
          <w:u w:val="single"/>
        </w:rPr>
        <w:t>外排废水</w:t>
      </w:r>
      <w:r w:rsidRPr="009043DC">
        <w:rPr>
          <w:rFonts w:ascii="Calibri" w:hAnsi="Calibri" w:hint="eastAsia"/>
          <w:b/>
          <w:color w:val="auto"/>
          <w:u w:val="single"/>
        </w:rPr>
        <w:t>水质满足污水处理厂进水设计指标要求，不会对污水处理厂造成冲击，也不会影响其处理效率。因此评价认为，本项目废水经集聚区市政污水管网进入平顶山第三污水处理厂集中处理是可行的。</w:t>
      </w:r>
    </w:p>
    <w:p w14:paraId="575E167B" w14:textId="77777777" w:rsidR="000B2275" w:rsidRPr="00936B19" w:rsidRDefault="000B2275" w:rsidP="000B2275">
      <w:pPr>
        <w:spacing w:line="520" w:lineRule="exact"/>
        <w:ind w:firstLine="482"/>
        <w:rPr>
          <w:rFonts w:ascii="Calibri" w:hAnsi="Calibri"/>
          <w:b/>
          <w:bCs/>
          <w:color w:val="auto"/>
          <w:sz w:val="24"/>
        </w:rPr>
      </w:pPr>
      <w:r>
        <w:rPr>
          <w:rFonts w:ascii="Calibri" w:hAnsi="Calibri"/>
          <w:b/>
          <w:bCs/>
          <w:color w:val="auto"/>
          <w:sz w:val="24"/>
        </w:rPr>
        <w:t>3</w:t>
      </w:r>
      <w:r>
        <w:rPr>
          <w:rFonts w:ascii="Calibri" w:hAnsi="Calibri"/>
          <w:b/>
          <w:bCs/>
          <w:color w:val="auto"/>
          <w:sz w:val="24"/>
        </w:rPr>
        <w:t>、</w:t>
      </w:r>
      <w:r>
        <w:rPr>
          <w:rFonts w:ascii="Calibri" w:hAnsi="Calibri" w:hint="eastAsia"/>
          <w:b/>
          <w:bCs/>
          <w:color w:val="auto"/>
          <w:sz w:val="24"/>
        </w:rPr>
        <w:t>区域</w:t>
      </w:r>
      <w:r>
        <w:rPr>
          <w:rFonts w:ascii="Calibri" w:hAnsi="Calibri"/>
          <w:b/>
          <w:bCs/>
          <w:color w:val="auto"/>
          <w:sz w:val="24"/>
        </w:rPr>
        <w:t>地表水污染</w:t>
      </w:r>
      <w:r>
        <w:rPr>
          <w:rFonts w:ascii="Calibri" w:hAnsi="Calibri" w:hint="eastAsia"/>
          <w:b/>
          <w:bCs/>
          <w:color w:val="auto"/>
          <w:sz w:val="24"/>
        </w:rPr>
        <w:t>减缓</w:t>
      </w:r>
      <w:r>
        <w:rPr>
          <w:rFonts w:ascii="Calibri" w:hAnsi="Calibri"/>
          <w:b/>
          <w:bCs/>
          <w:color w:val="auto"/>
          <w:sz w:val="24"/>
        </w:rPr>
        <w:t>措施分析</w:t>
      </w:r>
    </w:p>
    <w:p w14:paraId="4F9143AD" w14:textId="77777777" w:rsidR="000B2275" w:rsidRPr="000B2275" w:rsidRDefault="000B2275" w:rsidP="000B2275">
      <w:pPr>
        <w:spacing w:line="500" w:lineRule="exact"/>
        <w:ind w:firstLineChars="200" w:firstLine="480"/>
        <w:rPr>
          <w:rFonts w:asciiTheme="minorHAnsi" w:hAnsiTheme="minorHAnsi"/>
          <w:sz w:val="24"/>
        </w:rPr>
      </w:pPr>
      <w:r w:rsidRPr="000B2275">
        <w:rPr>
          <w:rFonts w:asciiTheme="minorHAnsi" w:hAnsiTheme="minorHAnsi"/>
          <w:sz w:val="24"/>
        </w:rPr>
        <w:t>平顶山尼龙新材料产业集聚区正积极加强污水管网建设、确保集聚区内企业废水全部进入纳污管网排放，除第三污水处理厂外不得设置污水排放口；第三污水处理厂应配套建设规模适宜的中水回用设施，中水回用率不低于</w:t>
      </w:r>
      <w:r w:rsidRPr="000B2275">
        <w:rPr>
          <w:rFonts w:asciiTheme="minorHAnsi" w:hAnsiTheme="minorHAnsi"/>
          <w:sz w:val="24"/>
        </w:rPr>
        <w:t>80%</w:t>
      </w:r>
      <w:r w:rsidRPr="000B2275">
        <w:rPr>
          <w:rFonts w:asciiTheme="minorHAnsi" w:hAnsiTheme="minorHAnsi"/>
          <w:sz w:val="24"/>
        </w:rPr>
        <w:t>。中水回用设施的建设是保证中水回用率的重要保障，因此建议分批次、分企业、分时间进行建设，保证已建、在建企业能够使中水回用，减少外排水体量，减少新水耗量。</w:t>
      </w:r>
    </w:p>
    <w:p w14:paraId="12DE1945" w14:textId="77777777" w:rsidR="000B2275" w:rsidRPr="000B2275" w:rsidRDefault="000B2275" w:rsidP="000B2275">
      <w:pPr>
        <w:spacing w:line="500" w:lineRule="exact"/>
        <w:ind w:firstLineChars="200" w:firstLine="480"/>
        <w:rPr>
          <w:rFonts w:asciiTheme="minorHAnsi" w:hAnsiTheme="minorHAnsi"/>
          <w:sz w:val="24"/>
        </w:rPr>
      </w:pPr>
      <w:r w:rsidRPr="000B2275">
        <w:rPr>
          <w:rFonts w:asciiTheme="minorHAnsi" w:hAnsiTheme="minorHAnsi"/>
          <w:sz w:val="24"/>
        </w:rPr>
        <w:t>针对区域地表水环境现状，将采取生态修复的技术手段。同时完善河道两岸生态廊道，改善生态环境与生态景观；配合河道疏浚，提高河槽库容量，提高活水率，进而提高水环境自净能力。通过开展灰河综合整治，以及对叶县污水处理厂的尾水进行深度处理等手段，提高灰河的水环境质量，随着关庙沟、灰河的河道整治工程的开展，区域地表水环境将持续改善。</w:t>
      </w:r>
    </w:p>
    <w:p w14:paraId="6D7C223D" w14:textId="77777777" w:rsidR="00A110EC" w:rsidRPr="004E6B0E" w:rsidRDefault="000B2275" w:rsidP="004E6B0E">
      <w:pPr>
        <w:spacing w:line="500" w:lineRule="exact"/>
        <w:ind w:firstLineChars="200" w:firstLine="480"/>
        <w:rPr>
          <w:rFonts w:asciiTheme="minorHAnsi" w:hAnsiTheme="minorHAnsi"/>
          <w:sz w:val="24"/>
        </w:rPr>
      </w:pPr>
      <w:r w:rsidRPr="000B2275">
        <w:rPr>
          <w:rFonts w:asciiTheme="minorHAnsi" w:hAnsiTheme="minorHAnsi"/>
          <w:sz w:val="24"/>
        </w:rPr>
        <w:lastRenderedPageBreak/>
        <w:t>叶县灰河水生态治理工程是系统性综合工程，主要建设内容为两个人工湿地工程。近悦湿地工程位于灰河焦赞桥至兰南高速段，包括引水管道、功能型人工湿地、液压升降坝及堤防工程，设计采用</w:t>
      </w:r>
      <w:r w:rsidRPr="000B2275">
        <w:rPr>
          <w:rFonts w:asciiTheme="minorHAnsi" w:hAnsiTheme="minorHAnsi"/>
          <w:sz w:val="24"/>
        </w:rPr>
        <w:t>“</w:t>
      </w:r>
      <w:r w:rsidRPr="000B2275">
        <w:rPr>
          <w:rFonts w:asciiTheme="minorHAnsi" w:hAnsiTheme="minorHAnsi"/>
          <w:sz w:val="24"/>
        </w:rPr>
        <w:t>潜流湿地</w:t>
      </w:r>
      <w:r w:rsidRPr="000B2275">
        <w:rPr>
          <w:rFonts w:asciiTheme="minorHAnsi" w:hAnsiTheme="minorHAnsi"/>
          <w:sz w:val="24"/>
        </w:rPr>
        <w:t>+</w:t>
      </w:r>
      <w:r w:rsidRPr="000B2275">
        <w:rPr>
          <w:rFonts w:asciiTheme="minorHAnsi" w:hAnsiTheme="minorHAnsi"/>
          <w:sz w:val="24"/>
        </w:rPr>
        <w:t>表流湿地</w:t>
      </w:r>
      <w:r w:rsidRPr="000B2275">
        <w:rPr>
          <w:rFonts w:asciiTheme="minorHAnsi" w:hAnsiTheme="minorHAnsi"/>
          <w:sz w:val="24"/>
        </w:rPr>
        <w:t>”</w:t>
      </w:r>
      <w:r w:rsidRPr="000B2275">
        <w:rPr>
          <w:rFonts w:asciiTheme="minorHAnsi" w:hAnsiTheme="minorHAnsi"/>
          <w:sz w:val="24"/>
        </w:rPr>
        <w:t>工艺对叶县污水处理厂尾水进行深度处理，提高非汛期灰河主要入汇径流的水质，改善河道水环境质量。远来湿地工程位于叶县水寨乡石潭河入汇口下游</w:t>
      </w:r>
      <w:r w:rsidR="00401F85">
        <w:rPr>
          <w:rFonts w:asciiTheme="minorHAnsi" w:hAnsiTheme="minorHAnsi"/>
          <w:sz w:val="24"/>
        </w:rPr>
        <w:t>1.5km</w:t>
      </w:r>
      <w:r w:rsidRPr="000B2275">
        <w:rPr>
          <w:rFonts w:asciiTheme="minorHAnsi" w:hAnsiTheme="minorHAnsi"/>
          <w:sz w:val="24"/>
        </w:rPr>
        <w:t>处，离灰河出境断面约</w:t>
      </w:r>
      <w:r w:rsidRPr="000B2275">
        <w:rPr>
          <w:rFonts w:asciiTheme="minorHAnsi" w:hAnsiTheme="minorHAnsi"/>
          <w:sz w:val="24"/>
        </w:rPr>
        <w:t>4km</w:t>
      </w:r>
      <w:r w:rsidRPr="000B2275">
        <w:rPr>
          <w:rFonts w:asciiTheme="minorHAnsi" w:hAnsiTheme="minorHAnsi"/>
          <w:sz w:val="24"/>
        </w:rPr>
        <w:t>，是灰河出境水质达标的最后一道保障。工程由两道生态溢流堰及表流型湿地组成，控制上游干支流径流，减缓水体流速，构建清水型湿地生态系统使上游水体达到地表水</w:t>
      </w:r>
      <w:r w:rsidRPr="000B2275">
        <w:rPr>
          <w:rFonts w:ascii="微软雅黑" w:eastAsia="微软雅黑" w:hAnsi="微软雅黑" w:cs="微软雅黑" w:hint="eastAsia"/>
          <w:sz w:val="24"/>
        </w:rPr>
        <w:t>Ⅳ</w:t>
      </w:r>
      <w:r w:rsidRPr="000B2275">
        <w:rPr>
          <w:rFonts w:asciiTheme="minorHAnsi" w:hAnsiTheme="minorHAnsi"/>
          <w:sz w:val="24"/>
        </w:rPr>
        <w:t>类水质后达标出境。</w:t>
      </w:r>
    </w:p>
    <w:p w14:paraId="4E3A6483" w14:textId="77777777" w:rsidR="0055605A" w:rsidRPr="00A964FF" w:rsidRDefault="0055605A" w:rsidP="0055605A">
      <w:pPr>
        <w:pStyle w:val="ad"/>
        <w:rPr>
          <w:rFonts w:ascii="Calibri" w:hAnsi="Calibri"/>
          <w:color w:val="auto"/>
        </w:rPr>
      </w:pPr>
      <w:r w:rsidRPr="008D706F">
        <w:rPr>
          <w:rFonts w:ascii="Calibri" w:hAnsi="Calibri" w:hint="eastAsia"/>
          <w:color w:val="auto"/>
        </w:rPr>
        <w:t>4</w:t>
      </w:r>
      <w:r w:rsidRPr="008D706F">
        <w:rPr>
          <w:rFonts w:ascii="Calibri" w:hAnsi="Calibri"/>
          <w:color w:val="auto"/>
        </w:rPr>
        <w:t>.</w:t>
      </w:r>
      <w:r w:rsidRPr="008D706F">
        <w:rPr>
          <w:rFonts w:ascii="Calibri" w:hAnsi="Calibri" w:hint="eastAsia"/>
          <w:color w:val="auto"/>
        </w:rPr>
        <w:t>2</w:t>
      </w:r>
      <w:r w:rsidRPr="008D706F">
        <w:rPr>
          <w:rFonts w:ascii="Calibri" w:hAnsi="Calibri"/>
          <w:color w:val="auto"/>
        </w:rPr>
        <w:t>.</w:t>
      </w:r>
      <w:r w:rsidRPr="008D706F">
        <w:rPr>
          <w:rFonts w:ascii="Calibri" w:hAnsi="Calibri" w:hint="eastAsia"/>
          <w:color w:val="auto"/>
        </w:rPr>
        <w:t>3</w:t>
      </w:r>
      <w:r w:rsidRPr="008D706F">
        <w:rPr>
          <w:rFonts w:ascii="Calibri" w:hAnsi="Calibri" w:hint="eastAsia"/>
          <w:color w:val="auto"/>
        </w:rPr>
        <w:t>地下水影响预测与评价</w:t>
      </w:r>
    </w:p>
    <w:p w14:paraId="312ED43A" w14:textId="77777777" w:rsidR="0055605A" w:rsidRPr="00A964FF" w:rsidRDefault="0055605A" w:rsidP="0055605A">
      <w:pPr>
        <w:spacing w:line="520" w:lineRule="exact"/>
        <w:ind w:firstLine="482"/>
        <w:rPr>
          <w:rFonts w:ascii="Calibri" w:hAnsi="宋体"/>
          <w:b/>
          <w:color w:val="auto"/>
          <w:sz w:val="24"/>
        </w:rPr>
      </w:pPr>
      <w:r w:rsidRPr="00A964FF">
        <w:rPr>
          <w:rFonts w:ascii="Calibri" w:hAnsi="宋体" w:hint="eastAsia"/>
          <w:b/>
          <w:color w:val="auto"/>
          <w:sz w:val="24"/>
        </w:rPr>
        <w:t>1</w:t>
      </w:r>
      <w:r w:rsidRPr="00A964FF">
        <w:rPr>
          <w:rFonts w:ascii="Calibri" w:hAnsi="宋体" w:hint="eastAsia"/>
          <w:b/>
          <w:color w:val="auto"/>
          <w:sz w:val="24"/>
        </w:rPr>
        <w:t>、评价等级与评价范围</w:t>
      </w:r>
    </w:p>
    <w:p w14:paraId="6C90785B" w14:textId="77777777" w:rsidR="004E6B0E" w:rsidRPr="004E6B0E" w:rsidRDefault="004E6B0E" w:rsidP="004E6B0E">
      <w:pPr>
        <w:spacing w:line="520" w:lineRule="exact"/>
        <w:ind w:firstLineChars="200" w:firstLine="480"/>
        <w:jc w:val="left"/>
        <w:rPr>
          <w:rStyle w:val="00Char"/>
          <w:rFonts w:ascii="Calibri" w:hAnsi="Times New Roman"/>
          <w:color w:val="auto"/>
        </w:rPr>
      </w:pPr>
      <w:r w:rsidRPr="00A964FF">
        <w:rPr>
          <w:rFonts w:ascii="Calibri"/>
          <w:color w:val="auto"/>
          <w:sz w:val="24"/>
        </w:rPr>
        <w:t>根据《环境影响评价技术导则</w:t>
      </w:r>
      <w:r w:rsidRPr="00A964FF">
        <w:rPr>
          <w:rFonts w:ascii="Calibri" w:hAnsi="Calibri"/>
          <w:color w:val="auto"/>
          <w:sz w:val="24"/>
        </w:rPr>
        <w:t xml:space="preserve">  </w:t>
      </w:r>
      <w:r w:rsidRPr="00A964FF">
        <w:rPr>
          <w:rFonts w:ascii="Calibri"/>
          <w:color w:val="auto"/>
          <w:sz w:val="24"/>
        </w:rPr>
        <w:t>地</w:t>
      </w:r>
      <w:r w:rsidRPr="00A964FF">
        <w:rPr>
          <w:rFonts w:ascii="Calibri" w:hint="eastAsia"/>
          <w:color w:val="auto"/>
          <w:sz w:val="24"/>
        </w:rPr>
        <w:t>下水</w:t>
      </w:r>
      <w:r w:rsidRPr="00A964FF">
        <w:rPr>
          <w:rFonts w:ascii="Calibri"/>
          <w:color w:val="auto"/>
          <w:sz w:val="24"/>
        </w:rPr>
        <w:t>环境》（</w:t>
      </w:r>
      <w:r w:rsidRPr="00A964FF">
        <w:rPr>
          <w:rFonts w:ascii="Calibri" w:hAnsi="Calibri"/>
          <w:color w:val="auto"/>
          <w:sz w:val="24"/>
        </w:rPr>
        <w:t>HJ610-2016</w:t>
      </w:r>
      <w:r w:rsidRPr="00A964FF">
        <w:rPr>
          <w:rFonts w:ascii="Calibri"/>
          <w:color w:val="auto"/>
          <w:sz w:val="24"/>
        </w:rPr>
        <w:t>）</w:t>
      </w:r>
      <w:r w:rsidRPr="00A964FF">
        <w:rPr>
          <w:rFonts w:ascii="Calibri" w:hint="eastAsia"/>
          <w:color w:val="auto"/>
          <w:sz w:val="24"/>
        </w:rPr>
        <w:t>中附录</w:t>
      </w:r>
      <w:r w:rsidRPr="00A964FF">
        <w:rPr>
          <w:rFonts w:ascii="Calibri" w:hint="eastAsia"/>
          <w:color w:val="auto"/>
          <w:sz w:val="24"/>
        </w:rPr>
        <w:t>A</w:t>
      </w:r>
      <w:r w:rsidRPr="00A964FF">
        <w:rPr>
          <w:rFonts w:ascii="Calibri" w:hint="eastAsia"/>
          <w:color w:val="auto"/>
          <w:sz w:val="24"/>
        </w:rPr>
        <w:t>相关内容，本项目属于</w:t>
      </w:r>
      <w:r w:rsidRPr="00A964FF">
        <w:rPr>
          <w:rFonts w:ascii="Calibri" w:hint="eastAsia"/>
          <w:color w:val="auto"/>
          <w:sz w:val="24"/>
        </w:rPr>
        <w:t>L</w:t>
      </w:r>
      <w:r w:rsidRPr="00A964FF">
        <w:rPr>
          <w:rFonts w:ascii="Calibri" w:hint="eastAsia"/>
          <w:color w:val="auto"/>
          <w:sz w:val="24"/>
        </w:rPr>
        <w:t>项“石化、化工”中第</w:t>
      </w:r>
      <w:r w:rsidRPr="00A964FF">
        <w:rPr>
          <w:rFonts w:ascii="Calibri" w:hint="eastAsia"/>
          <w:color w:val="auto"/>
          <w:sz w:val="24"/>
        </w:rPr>
        <w:t>85</w:t>
      </w:r>
      <w:r w:rsidRPr="00A964FF">
        <w:rPr>
          <w:rFonts w:ascii="Calibri" w:hint="eastAsia"/>
          <w:color w:val="auto"/>
          <w:sz w:val="24"/>
        </w:rPr>
        <w:t>小项“基本化学原料制造；化学肥料制造；农药制造；涂料、染料、颜料、油墨及其类似产品制造；合成材料制造；专用化学品制造；炸药、火工及焰火产品制造；饲料添加剂、食品添加剂及水处理剂等制造”，该类别报告书项目为</w:t>
      </w:r>
      <w:r w:rsidRPr="00A964FF">
        <w:rPr>
          <w:rFonts w:ascii="Calibri" w:hint="eastAsia"/>
          <w:color w:val="auto"/>
          <w:sz w:val="24"/>
        </w:rPr>
        <w:t>I</w:t>
      </w:r>
      <w:r w:rsidRPr="00A964FF">
        <w:rPr>
          <w:rFonts w:ascii="Calibri" w:hint="eastAsia"/>
          <w:color w:val="auto"/>
          <w:sz w:val="24"/>
        </w:rPr>
        <w:t>类，报告表为</w:t>
      </w:r>
      <w:r w:rsidRPr="00A964FF">
        <w:rPr>
          <w:rFonts w:ascii="Calibri" w:hint="eastAsia"/>
          <w:color w:val="auto"/>
          <w:sz w:val="24"/>
        </w:rPr>
        <w:t>III</w:t>
      </w:r>
      <w:r w:rsidRPr="00A964FF">
        <w:rPr>
          <w:rFonts w:ascii="Calibri" w:hint="eastAsia"/>
          <w:color w:val="auto"/>
          <w:sz w:val="24"/>
        </w:rPr>
        <w:t>类</w:t>
      </w:r>
      <w:r>
        <w:rPr>
          <w:rFonts w:ascii="Calibri" w:hint="eastAsia"/>
          <w:color w:val="auto"/>
          <w:sz w:val="24"/>
        </w:rPr>
        <w:t>。</w:t>
      </w:r>
      <w:r w:rsidRPr="00A964FF">
        <w:rPr>
          <w:rFonts w:ascii="Calibri" w:hint="eastAsia"/>
          <w:color w:val="auto"/>
          <w:sz w:val="24"/>
        </w:rPr>
        <w:t>本项目</w:t>
      </w:r>
      <w:r w:rsidRPr="00A964FF">
        <w:rPr>
          <w:rFonts w:ascii="Calibri"/>
          <w:color w:val="auto"/>
          <w:sz w:val="24"/>
        </w:rPr>
        <w:t>属于</w:t>
      </w:r>
      <w:r w:rsidRPr="00A964FF">
        <w:rPr>
          <w:rFonts w:ascii="Calibri" w:hint="eastAsia"/>
          <w:color w:val="auto"/>
          <w:sz w:val="24"/>
        </w:rPr>
        <w:t>合成材料制造</w:t>
      </w:r>
      <w:r>
        <w:rPr>
          <w:rFonts w:ascii="Calibri" w:hint="eastAsia"/>
          <w:color w:val="auto"/>
          <w:sz w:val="24"/>
        </w:rPr>
        <w:t>项目，涉及</w:t>
      </w:r>
      <w:r>
        <w:rPr>
          <w:rFonts w:ascii="Calibri"/>
          <w:color w:val="auto"/>
          <w:sz w:val="24"/>
        </w:rPr>
        <w:t>聚合反应，</w:t>
      </w:r>
      <w:r w:rsidRPr="00A964FF">
        <w:rPr>
          <w:rFonts w:ascii="Calibri" w:hint="eastAsia"/>
          <w:color w:val="auto"/>
          <w:sz w:val="24"/>
        </w:rPr>
        <w:t>应</w:t>
      </w:r>
      <w:r w:rsidRPr="00A964FF">
        <w:rPr>
          <w:rFonts w:ascii="Calibri"/>
          <w:color w:val="auto"/>
          <w:sz w:val="24"/>
        </w:rPr>
        <w:t>编制报告书，由此确定，本项目为</w:t>
      </w:r>
      <w:r w:rsidRPr="00A964FF">
        <w:rPr>
          <w:rFonts w:ascii="Calibri" w:hAnsi="Calibri"/>
          <w:color w:val="auto"/>
          <w:sz w:val="24"/>
        </w:rPr>
        <w:t>I</w:t>
      </w:r>
      <w:r>
        <w:rPr>
          <w:rFonts w:ascii="Calibri"/>
          <w:color w:val="auto"/>
          <w:sz w:val="24"/>
        </w:rPr>
        <w:t>类建设项目</w:t>
      </w:r>
    </w:p>
    <w:p w14:paraId="7D66193D" w14:textId="77777777" w:rsidR="00CB52EA" w:rsidRPr="00AF3CF3" w:rsidRDefault="00CB52EA" w:rsidP="00CB52EA">
      <w:pPr>
        <w:pStyle w:val="ad"/>
        <w:ind w:firstLineChars="200" w:firstLine="482"/>
        <w:rPr>
          <w:rFonts w:asciiTheme="minorHAnsi" w:eastAsiaTheme="minorEastAsia" w:hAnsiTheme="minorEastAsia"/>
          <w:color w:val="000000" w:themeColor="text1"/>
          <w:sz w:val="24"/>
          <w:u w:val="single"/>
        </w:rPr>
      </w:pPr>
      <w:r w:rsidRPr="00AF3CF3">
        <w:rPr>
          <w:rFonts w:asciiTheme="minorHAnsi" w:eastAsiaTheme="minorEastAsia" w:hAnsiTheme="minorEastAsia"/>
          <w:color w:val="000000" w:themeColor="text1"/>
          <w:sz w:val="24"/>
          <w:u w:val="single"/>
        </w:rPr>
        <w:t>根据现场调查资料，评价范围内无地下水集中式饮用水源地，浅层地下水多作为灌溉用水、分散式居民备用水井等用水。评价区内的地下水流场连续，地下水顺地势缓慢流动，形成较为统一完整的地下水流系统，无地下水集中式饮用水水源</w:t>
      </w:r>
      <w:r w:rsidRPr="00AF3CF3">
        <w:rPr>
          <w:rFonts w:asciiTheme="minorHAnsi" w:eastAsiaTheme="minorEastAsia" w:hAnsiTheme="minorEastAsia" w:hint="eastAsia"/>
          <w:color w:val="000000" w:themeColor="text1"/>
          <w:sz w:val="24"/>
          <w:u w:val="single"/>
        </w:rPr>
        <w:t>及</w:t>
      </w:r>
      <w:r w:rsidRPr="00AF3CF3">
        <w:rPr>
          <w:rFonts w:asciiTheme="minorHAnsi" w:eastAsiaTheme="minorEastAsia" w:hAnsiTheme="minorEastAsia"/>
          <w:color w:val="000000" w:themeColor="text1"/>
          <w:sz w:val="24"/>
          <w:u w:val="single"/>
        </w:rPr>
        <w:t>分散式供水井。依据《环境影响评价技术导则</w:t>
      </w:r>
      <w:r w:rsidRPr="00AF3CF3">
        <w:rPr>
          <w:rFonts w:asciiTheme="minorHAnsi" w:eastAsiaTheme="minorEastAsia" w:hAnsiTheme="minorEastAsia" w:hint="eastAsia"/>
          <w:color w:val="000000" w:themeColor="text1"/>
          <w:sz w:val="24"/>
          <w:u w:val="single"/>
        </w:rPr>
        <w:t xml:space="preserve">  </w:t>
      </w:r>
      <w:r w:rsidRPr="00AF3CF3">
        <w:rPr>
          <w:rFonts w:asciiTheme="minorHAnsi" w:eastAsiaTheme="minorEastAsia" w:hAnsiTheme="minorEastAsia"/>
          <w:color w:val="000000" w:themeColor="text1"/>
          <w:sz w:val="24"/>
          <w:u w:val="single"/>
        </w:rPr>
        <w:t>地下水环境》（</w:t>
      </w:r>
      <w:r w:rsidRPr="00AF3CF3">
        <w:rPr>
          <w:rFonts w:asciiTheme="minorHAnsi" w:eastAsiaTheme="minorEastAsia" w:hAnsiTheme="minorHAnsi"/>
          <w:color w:val="000000" w:themeColor="text1"/>
          <w:sz w:val="24"/>
          <w:u w:val="single"/>
        </w:rPr>
        <w:t>HJ610-2016</w:t>
      </w:r>
      <w:r w:rsidRPr="00AF3CF3">
        <w:rPr>
          <w:rFonts w:asciiTheme="minorHAnsi" w:eastAsiaTheme="minorEastAsia" w:hAnsiTheme="minorEastAsia"/>
          <w:color w:val="000000" w:themeColor="text1"/>
          <w:sz w:val="24"/>
          <w:u w:val="single"/>
        </w:rPr>
        <w:t>），综合判断项目场地地下水环境敏感程度为</w:t>
      </w:r>
      <w:r w:rsidRPr="00AF3CF3">
        <w:rPr>
          <w:rFonts w:asciiTheme="minorHAnsi" w:eastAsiaTheme="minorEastAsia" w:hAnsiTheme="minorEastAsia" w:hint="eastAsia"/>
          <w:color w:val="000000" w:themeColor="text1"/>
          <w:sz w:val="24"/>
          <w:u w:val="single"/>
        </w:rPr>
        <w:t>“不敏感”</w:t>
      </w:r>
      <w:r w:rsidRPr="00AF3CF3">
        <w:rPr>
          <w:rFonts w:asciiTheme="minorHAnsi" w:eastAsiaTheme="minorEastAsia" w:hAnsiTheme="minorEastAsia"/>
          <w:color w:val="000000" w:themeColor="text1"/>
          <w:sz w:val="24"/>
          <w:u w:val="single"/>
        </w:rPr>
        <w:t>。</w:t>
      </w:r>
    </w:p>
    <w:p w14:paraId="50E345CD" w14:textId="77777777" w:rsidR="00CB52EA" w:rsidRPr="00BB5174" w:rsidRDefault="00CB52EA" w:rsidP="00CB52EA">
      <w:pPr>
        <w:pStyle w:val="ad"/>
        <w:ind w:firstLineChars="200" w:firstLine="482"/>
        <w:rPr>
          <w:rFonts w:asciiTheme="minorHAnsi" w:eastAsiaTheme="minorEastAsia" w:hAnsiTheme="minorHAnsi"/>
          <w:b w:val="0"/>
          <w:color w:val="000000" w:themeColor="text1"/>
          <w:sz w:val="24"/>
        </w:rPr>
      </w:pPr>
      <w:r w:rsidRPr="00AF3CF3">
        <w:rPr>
          <w:rFonts w:asciiTheme="minorHAnsi" w:eastAsiaTheme="minorEastAsia" w:hAnsiTheme="minorEastAsia"/>
          <w:color w:val="000000" w:themeColor="text1"/>
          <w:sz w:val="24"/>
          <w:u w:val="single"/>
        </w:rPr>
        <w:t>根据《环境影响评价技术导则</w:t>
      </w:r>
      <w:r w:rsidRPr="00AF3CF3">
        <w:rPr>
          <w:rFonts w:asciiTheme="minorHAnsi" w:eastAsiaTheme="minorEastAsia" w:hAnsiTheme="minorEastAsia" w:hint="eastAsia"/>
          <w:color w:val="000000" w:themeColor="text1"/>
          <w:sz w:val="24"/>
          <w:u w:val="single"/>
        </w:rPr>
        <w:t xml:space="preserve">  </w:t>
      </w:r>
      <w:r w:rsidRPr="00AF3CF3">
        <w:rPr>
          <w:rFonts w:asciiTheme="minorHAnsi" w:eastAsiaTheme="minorEastAsia" w:hAnsiTheme="minorEastAsia"/>
          <w:color w:val="000000" w:themeColor="text1"/>
          <w:sz w:val="24"/>
          <w:u w:val="single"/>
        </w:rPr>
        <w:t>地下水环境》（</w:t>
      </w:r>
      <w:r w:rsidRPr="00AF3CF3">
        <w:rPr>
          <w:rFonts w:asciiTheme="minorHAnsi" w:eastAsiaTheme="minorEastAsia" w:hAnsiTheme="minorHAnsi"/>
          <w:color w:val="000000" w:themeColor="text1"/>
          <w:sz w:val="24"/>
          <w:u w:val="single"/>
        </w:rPr>
        <w:t>HJ610-2016</w:t>
      </w:r>
      <w:r w:rsidRPr="00AF3CF3">
        <w:rPr>
          <w:rFonts w:asciiTheme="minorHAnsi" w:eastAsiaTheme="minorEastAsia" w:hAnsiTheme="minorEastAsia"/>
          <w:color w:val="000000" w:themeColor="text1"/>
          <w:sz w:val="24"/>
          <w:u w:val="single"/>
        </w:rPr>
        <w:t>），项目类别为</w:t>
      </w:r>
      <w:r w:rsidRPr="00AF3CF3">
        <w:rPr>
          <w:rFonts w:asciiTheme="minorHAnsi" w:eastAsiaTheme="minorEastAsia" w:hAnsiTheme="minorHAnsi"/>
          <w:color w:val="000000" w:themeColor="text1"/>
          <w:sz w:val="24"/>
          <w:u w:val="single"/>
        </w:rPr>
        <w:t>I</w:t>
      </w:r>
      <w:r w:rsidRPr="00AF3CF3">
        <w:rPr>
          <w:rFonts w:asciiTheme="minorHAnsi" w:eastAsiaTheme="minorEastAsia" w:hAnsiTheme="minorEastAsia"/>
          <w:color w:val="000000" w:themeColor="text1"/>
          <w:sz w:val="24"/>
          <w:u w:val="single"/>
        </w:rPr>
        <w:t>类项目，地下水环境敏感程度为</w:t>
      </w:r>
      <w:r w:rsidR="00AF3CF3" w:rsidRPr="00AF3CF3">
        <w:rPr>
          <w:rFonts w:asciiTheme="minorHAnsi" w:eastAsiaTheme="minorEastAsia" w:hAnsiTheme="minorEastAsia" w:hint="eastAsia"/>
          <w:color w:val="000000" w:themeColor="text1"/>
          <w:sz w:val="24"/>
          <w:u w:val="single"/>
        </w:rPr>
        <w:t>不</w:t>
      </w:r>
      <w:r w:rsidRPr="00AF3CF3">
        <w:rPr>
          <w:rFonts w:asciiTheme="minorHAnsi" w:eastAsiaTheme="minorEastAsia" w:hAnsiTheme="minorEastAsia"/>
          <w:color w:val="000000" w:themeColor="text1"/>
          <w:sz w:val="24"/>
          <w:u w:val="single"/>
        </w:rPr>
        <w:t>敏感，由此判定，本项目评价等级为</w:t>
      </w:r>
      <w:r w:rsidRPr="00AF3CF3">
        <w:rPr>
          <w:rFonts w:asciiTheme="minorHAnsi" w:eastAsiaTheme="minorEastAsia" w:hAnsiTheme="minorEastAsia" w:hint="eastAsia"/>
          <w:color w:val="000000" w:themeColor="text1"/>
          <w:sz w:val="24"/>
          <w:u w:val="single"/>
        </w:rPr>
        <w:t>二</w:t>
      </w:r>
      <w:r w:rsidRPr="00AF3CF3">
        <w:rPr>
          <w:rFonts w:asciiTheme="minorHAnsi" w:eastAsiaTheme="minorEastAsia" w:hAnsiTheme="minorEastAsia"/>
          <w:color w:val="000000" w:themeColor="text1"/>
          <w:sz w:val="24"/>
          <w:u w:val="single"/>
        </w:rPr>
        <w:t>级，见表</w:t>
      </w:r>
      <w:r w:rsidRPr="00AF3CF3">
        <w:rPr>
          <w:rFonts w:asciiTheme="minorHAnsi" w:eastAsiaTheme="minorEastAsia" w:hAnsiTheme="minorHAnsi"/>
          <w:color w:val="000000" w:themeColor="text1"/>
          <w:sz w:val="24"/>
          <w:u w:val="single"/>
        </w:rPr>
        <w:t>4</w:t>
      </w:r>
      <w:r w:rsidRPr="00AF3CF3">
        <w:rPr>
          <w:rFonts w:asciiTheme="minorHAnsi" w:eastAsiaTheme="minorEastAsia" w:hAnsiTheme="minorHAnsi" w:hint="eastAsia"/>
          <w:color w:val="000000" w:themeColor="text1"/>
          <w:sz w:val="24"/>
          <w:u w:val="single"/>
        </w:rPr>
        <w:t>.2</w:t>
      </w:r>
      <w:r w:rsidRPr="00AF3CF3">
        <w:rPr>
          <w:rFonts w:asciiTheme="minorHAnsi" w:eastAsiaTheme="minorEastAsia" w:hAnsiTheme="minorHAnsi"/>
          <w:color w:val="000000" w:themeColor="text1"/>
          <w:sz w:val="24"/>
          <w:u w:val="single"/>
        </w:rPr>
        <w:t>-2</w:t>
      </w:r>
      <w:r w:rsidR="00E756E9" w:rsidRPr="00AF3CF3">
        <w:rPr>
          <w:rFonts w:asciiTheme="minorHAnsi" w:eastAsiaTheme="minorEastAsia" w:hAnsiTheme="minorHAnsi" w:hint="eastAsia"/>
          <w:color w:val="000000" w:themeColor="text1"/>
          <w:sz w:val="24"/>
          <w:u w:val="single"/>
        </w:rPr>
        <w:t>0</w:t>
      </w:r>
      <w:r w:rsidRPr="00AF3CF3">
        <w:rPr>
          <w:rFonts w:asciiTheme="minorHAnsi" w:eastAsiaTheme="minorEastAsia" w:hAnsiTheme="minorEastAsia"/>
          <w:color w:val="000000" w:themeColor="text1"/>
          <w:sz w:val="24"/>
          <w:u w:val="single"/>
        </w:rPr>
        <w:t>。</w:t>
      </w:r>
    </w:p>
    <w:p w14:paraId="39F9A111" w14:textId="77777777" w:rsidR="00401F85" w:rsidRDefault="00401F85" w:rsidP="00CB52EA">
      <w:pPr>
        <w:spacing w:line="500" w:lineRule="exact"/>
        <w:ind w:firstLineChars="196" w:firstLine="470"/>
        <w:rPr>
          <w:rFonts w:asciiTheme="minorHAnsi" w:eastAsia="黑体" w:hAnsi="黑体"/>
          <w:bCs/>
          <w:color w:val="000000" w:themeColor="text1"/>
          <w:sz w:val="24"/>
        </w:rPr>
      </w:pPr>
    </w:p>
    <w:p w14:paraId="38A4C99D" w14:textId="77777777" w:rsidR="00401F85" w:rsidRDefault="00401F85" w:rsidP="00CB52EA">
      <w:pPr>
        <w:spacing w:line="500" w:lineRule="exact"/>
        <w:ind w:firstLineChars="196" w:firstLine="470"/>
        <w:rPr>
          <w:rFonts w:asciiTheme="minorHAnsi" w:eastAsia="黑体" w:hAnsi="黑体"/>
          <w:bCs/>
          <w:color w:val="000000" w:themeColor="text1"/>
          <w:sz w:val="24"/>
        </w:rPr>
      </w:pPr>
    </w:p>
    <w:p w14:paraId="24D76DF8" w14:textId="77777777" w:rsidR="00401F85" w:rsidRDefault="00401F85" w:rsidP="00CB52EA">
      <w:pPr>
        <w:spacing w:line="500" w:lineRule="exact"/>
        <w:ind w:firstLineChars="196" w:firstLine="470"/>
        <w:rPr>
          <w:rFonts w:asciiTheme="minorHAnsi" w:eastAsia="黑体" w:hAnsi="黑体"/>
          <w:bCs/>
          <w:color w:val="000000" w:themeColor="text1"/>
          <w:sz w:val="24"/>
        </w:rPr>
      </w:pPr>
    </w:p>
    <w:p w14:paraId="30FE95F1" w14:textId="5E29855F" w:rsidR="007430A4" w:rsidRDefault="007430A4" w:rsidP="00BB28C5">
      <w:pPr>
        <w:spacing w:line="500" w:lineRule="exact"/>
        <w:rPr>
          <w:rFonts w:asciiTheme="minorHAnsi" w:eastAsia="黑体" w:hAnsi="黑体"/>
          <w:bCs/>
          <w:color w:val="000000" w:themeColor="text1"/>
          <w:sz w:val="24"/>
        </w:rPr>
      </w:pPr>
    </w:p>
    <w:p w14:paraId="31CB0EF3" w14:textId="77777777" w:rsidR="00CB52EA" w:rsidRPr="00BB5174" w:rsidRDefault="00CB52EA" w:rsidP="00285DB0">
      <w:pPr>
        <w:spacing w:line="500" w:lineRule="exact"/>
        <w:ind w:firstLineChars="346" w:firstLine="830"/>
        <w:rPr>
          <w:rFonts w:asciiTheme="minorHAnsi" w:eastAsia="黑体" w:hAnsiTheme="minorHAnsi"/>
          <w:bCs/>
          <w:color w:val="000000" w:themeColor="text1"/>
          <w:sz w:val="24"/>
        </w:rPr>
      </w:pPr>
      <w:r w:rsidRPr="00BB5174">
        <w:rPr>
          <w:rFonts w:asciiTheme="minorHAnsi" w:eastAsia="黑体" w:hAnsi="黑体"/>
          <w:bCs/>
          <w:color w:val="000000" w:themeColor="text1"/>
          <w:sz w:val="24"/>
        </w:rPr>
        <w:lastRenderedPageBreak/>
        <w:t>表</w:t>
      </w:r>
      <w:r w:rsidRPr="00BB5174">
        <w:rPr>
          <w:rFonts w:asciiTheme="minorHAnsi" w:eastAsia="黑体" w:hAnsiTheme="minorHAnsi"/>
          <w:bCs/>
          <w:color w:val="000000" w:themeColor="text1"/>
          <w:sz w:val="24"/>
        </w:rPr>
        <w:t>4</w:t>
      </w:r>
      <w:r w:rsidRPr="00BB5174">
        <w:rPr>
          <w:rFonts w:asciiTheme="minorHAnsi" w:eastAsia="黑体" w:hAnsiTheme="minorHAnsi" w:hint="eastAsia"/>
          <w:bCs/>
          <w:color w:val="000000" w:themeColor="text1"/>
          <w:sz w:val="24"/>
        </w:rPr>
        <w:t>.</w:t>
      </w:r>
      <w:r>
        <w:rPr>
          <w:rFonts w:asciiTheme="minorHAnsi" w:eastAsia="黑体" w:hAnsiTheme="minorHAnsi"/>
          <w:bCs/>
          <w:color w:val="000000" w:themeColor="text1"/>
          <w:sz w:val="24"/>
        </w:rPr>
        <w:t>2</w:t>
      </w:r>
      <w:r w:rsidRPr="00BB5174">
        <w:rPr>
          <w:rFonts w:asciiTheme="minorHAnsi" w:eastAsia="黑体" w:hAnsiTheme="minorHAnsi"/>
          <w:bCs/>
          <w:color w:val="000000" w:themeColor="text1"/>
          <w:sz w:val="24"/>
        </w:rPr>
        <w:t>-</w:t>
      </w:r>
      <w:r>
        <w:rPr>
          <w:rFonts w:asciiTheme="minorHAnsi" w:eastAsia="黑体" w:hAnsiTheme="minorHAnsi"/>
          <w:bCs/>
          <w:color w:val="000000" w:themeColor="text1"/>
          <w:sz w:val="24"/>
        </w:rPr>
        <w:t>2</w:t>
      </w:r>
      <w:r w:rsidR="00E756E9">
        <w:rPr>
          <w:rFonts w:asciiTheme="minorHAnsi" w:eastAsia="黑体" w:hAnsiTheme="minorHAnsi"/>
          <w:bCs/>
          <w:color w:val="000000" w:themeColor="text1"/>
          <w:sz w:val="24"/>
        </w:rPr>
        <w:t>0</w:t>
      </w:r>
      <w:r w:rsidRPr="00BB5174">
        <w:rPr>
          <w:rFonts w:asciiTheme="minorHAnsi" w:eastAsia="黑体" w:hAnsiTheme="minorHAnsi"/>
          <w:bCs/>
          <w:color w:val="000000" w:themeColor="text1"/>
          <w:sz w:val="24"/>
        </w:rPr>
        <w:t xml:space="preserve">           </w:t>
      </w:r>
      <w:r w:rsidRPr="00BB5174">
        <w:rPr>
          <w:rFonts w:asciiTheme="minorHAnsi" w:eastAsia="黑体" w:hAnsiTheme="minorHAnsi" w:hint="eastAsia"/>
          <w:bCs/>
          <w:color w:val="000000" w:themeColor="text1"/>
          <w:sz w:val="24"/>
        </w:rPr>
        <w:t xml:space="preserve"> </w:t>
      </w:r>
      <w:r w:rsidRPr="00BB5174">
        <w:rPr>
          <w:rFonts w:asciiTheme="minorHAnsi" w:eastAsia="黑体" w:hAnsiTheme="minorHAnsi"/>
          <w:bCs/>
          <w:color w:val="000000" w:themeColor="text1"/>
          <w:sz w:val="24"/>
        </w:rPr>
        <w:t xml:space="preserve">   </w:t>
      </w:r>
      <w:r w:rsidRPr="00BB5174">
        <w:rPr>
          <w:rFonts w:asciiTheme="minorHAnsi" w:eastAsia="黑体" w:hAnsi="黑体"/>
          <w:bCs/>
          <w:color w:val="000000" w:themeColor="text1"/>
          <w:sz w:val="24"/>
        </w:rPr>
        <w:t>地下水环境影响评价等级</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73"/>
        <w:gridCol w:w="2173"/>
        <w:gridCol w:w="2177"/>
        <w:gridCol w:w="2177"/>
      </w:tblGrid>
      <w:tr w:rsidR="00CB52EA" w:rsidRPr="00AF3CF3" w14:paraId="5437168C" w14:textId="77777777" w:rsidTr="00696E6B">
        <w:trPr>
          <w:trHeight w:val="340"/>
        </w:trPr>
        <w:tc>
          <w:tcPr>
            <w:tcW w:w="1249" w:type="pct"/>
            <w:tcBorders>
              <w:tl2br w:val="single" w:sz="4" w:space="0" w:color="auto"/>
            </w:tcBorders>
            <w:vAlign w:val="center"/>
          </w:tcPr>
          <w:p w14:paraId="5609564B"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HAnsi"/>
                <w:b/>
                <w:color w:val="000000" w:themeColor="text1"/>
                <w:szCs w:val="21"/>
                <w:u w:val="single"/>
              </w:rPr>
              <w:t xml:space="preserve">   </w:t>
            </w:r>
            <w:r w:rsidRPr="00AF3CF3">
              <w:rPr>
                <w:rFonts w:asciiTheme="minorHAnsi" w:eastAsiaTheme="minorEastAsia" w:hAnsiTheme="minorEastAsia"/>
                <w:b/>
                <w:color w:val="000000" w:themeColor="text1"/>
                <w:szCs w:val="21"/>
                <w:u w:val="single"/>
              </w:rPr>
              <w:t>项目类别</w:t>
            </w:r>
          </w:p>
          <w:p w14:paraId="3F40692B" w14:textId="77777777" w:rsidR="00CB52EA" w:rsidRPr="00AF3CF3" w:rsidRDefault="00CB52EA" w:rsidP="00696E6B">
            <w:pPr>
              <w:ind w:left="211" w:hangingChars="100" w:hanging="211"/>
              <w:rPr>
                <w:rFonts w:asciiTheme="minorHAnsi" w:eastAsiaTheme="minorEastAsia" w:hAnsiTheme="minorHAnsi"/>
                <w:b/>
                <w:color w:val="000000" w:themeColor="text1"/>
                <w:szCs w:val="21"/>
                <w:u w:val="single"/>
              </w:rPr>
            </w:pPr>
            <w:r w:rsidRPr="00AF3CF3">
              <w:rPr>
                <w:rFonts w:asciiTheme="minorHAnsi" w:eastAsiaTheme="minorEastAsia" w:hAnsiTheme="minorHAnsi"/>
                <w:b/>
                <w:color w:val="000000" w:themeColor="text1"/>
                <w:szCs w:val="21"/>
                <w:u w:val="single"/>
              </w:rPr>
              <w:t xml:space="preserve"> </w:t>
            </w:r>
            <w:r w:rsidRPr="00AF3CF3">
              <w:rPr>
                <w:rFonts w:asciiTheme="minorHAnsi" w:eastAsiaTheme="minorEastAsia" w:hAnsiTheme="minorEastAsia"/>
                <w:b/>
                <w:color w:val="000000" w:themeColor="text1"/>
                <w:szCs w:val="21"/>
                <w:u w:val="single"/>
              </w:rPr>
              <w:t>环境敏感程度</w:t>
            </w:r>
          </w:p>
        </w:tc>
        <w:tc>
          <w:tcPr>
            <w:tcW w:w="1249" w:type="pct"/>
            <w:vAlign w:val="center"/>
          </w:tcPr>
          <w:p w14:paraId="250F5C02"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HAnsi"/>
                <w:b/>
                <w:color w:val="000000" w:themeColor="text1"/>
                <w:szCs w:val="21"/>
                <w:u w:val="single"/>
              </w:rPr>
              <w:t>I</w:t>
            </w:r>
            <w:r w:rsidRPr="00AF3CF3">
              <w:rPr>
                <w:rFonts w:asciiTheme="minorHAnsi" w:eastAsiaTheme="minorEastAsia" w:hAnsiTheme="minorEastAsia"/>
                <w:b/>
                <w:color w:val="000000" w:themeColor="text1"/>
                <w:szCs w:val="21"/>
                <w:u w:val="single"/>
              </w:rPr>
              <w:t>类项目</w:t>
            </w:r>
          </w:p>
        </w:tc>
        <w:tc>
          <w:tcPr>
            <w:tcW w:w="1251" w:type="pct"/>
            <w:vAlign w:val="center"/>
          </w:tcPr>
          <w:p w14:paraId="594973D8"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HAnsi"/>
                <w:b/>
                <w:color w:val="000000" w:themeColor="text1"/>
                <w:szCs w:val="21"/>
                <w:u w:val="single"/>
              </w:rPr>
              <w:t>II</w:t>
            </w:r>
            <w:r w:rsidRPr="00AF3CF3">
              <w:rPr>
                <w:rFonts w:asciiTheme="minorHAnsi" w:eastAsiaTheme="minorEastAsia" w:hAnsiTheme="minorEastAsia"/>
                <w:b/>
                <w:color w:val="000000" w:themeColor="text1"/>
                <w:szCs w:val="21"/>
                <w:u w:val="single"/>
              </w:rPr>
              <w:t>类项目</w:t>
            </w:r>
          </w:p>
        </w:tc>
        <w:tc>
          <w:tcPr>
            <w:tcW w:w="1251" w:type="pct"/>
            <w:vAlign w:val="center"/>
          </w:tcPr>
          <w:p w14:paraId="71EE0B5E"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HAnsi"/>
                <w:b/>
                <w:color w:val="000000" w:themeColor="text1"/>
                <w:szCs w:val="21"/>
                <w:u w:val="single"/>
              </w:rPr>
              <w:t>III</w:t>
            </w:r>
            <w:r w:rsidRPr="00AF3CF3">
              <w:rPr>
                <w:rFonts w:asciiTheme="minorHAnsi" w:eastAsiaTheme="minorEastAsia" w:hAnsiTheme="minorEastAsia"/>
                <w:b/>
                <w:color w:val="000000" w:themeColor="text1"/>
                <w:szCs w:val="21"/>
                <w:u w:val="single"/>
              </w:rPr>
              <w:t>类项目</w:t>
            </w:r>
          </w:p>
        </w:tc>
      </w:tr>
      <w:tr w:rsidR="00CB52EA" w:rsidRPr="00AF3CF3" w14:paraId="3239D733" w14:textId="77777777" w:rsidTr="00696E6B">
        <w:trPr>
          <w:trHeight w:val="340"/>
        </w:trPr>
        <w:tc>
          <w:tcPr>
            <w:tcW w:w="1249" w:type="pct"/>
            <w:vAlign w:val="center"/>
          </w:tcPr>
          <w:p w14:paraId="6068ED5F"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敏感</w:t>
            </w:r>
          </w:p>
        </w:tc>
        <w:tc>
          <w:tcPr>
            <w:tcW w:w="1249" w:type="pct"/>
            <w:vAlign w:val="center"/>
          </w:tcPr>
          <w:p w14:paraId="346740A9"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一</w:t>
            </w:r>
          </w:p>
        </w:tc>
        <w:tc>
          <w:tcPr>
            <w:tcW w:w="1251" w:type="pct"/>
            <w:vAlign w:val="center"/>
          </w:tcPr>
          <w:p w14:paraId="7828637D"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一</w:t>
            </w:r>
          </w:p>
        </w:tc>
        <w:tc>
          <w:tcPr>
            <w:tcW w:w="1251" w:type="pct"/>
            <w:vAlign w:val="center"/>
          </w:tcPr>
          <w:p w14:paraId="407DB948"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二</w:t>
            </w:r>
          </w:p>
        </w:tc>
      </w:tr>
      <w:tr w:rsidR="00CB52EA" w:rsidRPr="00AF3CF3" w14:paraId="39474138" w14:textId="77777777" w:rsidTr="00696E6B">
        <w:trPr>
          <w:trHeight w:val="340"/>
        </w:trPr>
        <w:tc>
          <w:tcPr>
            <w:tcW w:w="1249" w:type="pct"/>
            <w:vAlign w:val="center"/>
          </w:tcPr>
          <w:p w14:paraId="70018369"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较敏感</w:t>
            </w:r>
          </w:p>
        </w:tc>
        <w:tc>
          <w:tcPr>
            <w:tcW w:w="1249" w:type="pct"/>
            <w:vAlign w:val="center"/>
          </w:tcPr>
          <w:p w14:paraId="051B42B7" w14:textId="77777777" w:rsidR="00CB52EA" w:rsidRPr="00AF3CF3" w:rsidRDefault="00CB52EA" w:rsidP="00CB52EA">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一</w:t>
            </w:r>
          </w:p>
        </w:tc>
        <w:tc>
          <w:tcPr>
            <w:tcW w:w="1251" w:type="pct"/>
            <w:vAlign w:val="center"/>
          </w:tcPr>
          <w:p w14:paraId="01DB2BCB"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二</w:t>
            </w:r>
          </w:p>
        </w:tc>
        <w:tc>
          <w:tcPr>
            <w:tcW w:w="1251" w:type="pct"/>
            <w:vAlign w:val="center"/>
          </w:tcPr>
          <w:p w14:paraId="502BBEE5"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三</w:t>
            </w:r>
          </w:p>
        </w:tc>
      </w:tr>
      <w:tr w:rsidR="00CB52EA" w:rsidRPr="00AF3CF3" w14:paraId="10E0F37D" w14:textId="77777777" w:rsidTr="00696E6B">
        <w:trPr>
          <w:trHeight w:val="340"/>
        </w:trPr>
        <w:tc>
          <w:tcPr>
            <w:tcW w:w="1249" w:type="pct"/>
            <w:vAlign w:val="center"/>
          </w:tcPr>
          <w:p w14:paraId="7D9DCCA5"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不敏感</w:t>
            </w:r>
          </w:p>
        </w:tc>
        <w:tc>
          <w:tcPr>
            <w:tcW w:w="1249" w:type="pct"/>
            <w:vAlign w:val="center"/>
          </w:tcPr>
          <w:p w14:paraId="29C0C4D6"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二（本项目）</w:t>
            </w:r>
          </w:p>
        </w:tc>
        <w:tc>
          <w:tcPr>
            <w:tcW w:w="1251" w:type="pct"/>
            <w:vAlign w:val="center"/>
          </w:tcPr>
          <w:p w14:paraId="634C18FC"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三</w:t>
            </w:r>
          </w:p>
        </w:tc>
        <w:tc>
          <w:tcPr>
            <w:tcW w:w="1251" w:type="pct"/>
            <w:vAlign w:val="center"/>
          </w:tcPr>
          <w:p w14:paraId="7967742E" w14:textId="77777777" w:rsidR="00CB52EA" w:rsidRPr="00AF3CF3" w:rsidRDefault="00CB52EA" w:rsidP="00696E6B">
            <w:pPr>
              <w:ind w:left="211" w:hangingChars="100" w:hanging="211"/>
              <w:jc w:val="center"/>
              <w:rPr>
                <w:rFonts w:asciiTheme="minorHAnsi" w:eastAsiaTheme="minorEastAsia" w:hAnsiTheme="minorHAnsi"/>
                <w:b/>
                <w:color w:val="000000" w:themeColor="text1"/>
                <w:szCs w:val="21"/>
                <w:u w:val="single"/>
              </w:rPr>
            </w:pPr>
            <w:r w:rsidRPr="00AF3CF3">
              <w:rPr>
                <w:rFonts w:asciiTheme="minorHAnsi" w:eastAsiaTheme="minorEastAsia" w:hAnsiTheme="minorEastAsia"/>
                <w:b/>
                <w:color w:val="000000" w:themeColor="text1"/>
                <w:szCs w:val="21"/>
                <w:u w:val="single"/>
              </w:rPr>
              <w:t>三</w:t>
            </w:r>
          </w:p>
        </w:tc>
      </w:tr>
    </w:tbl>
    <w:p w14:paraId="20E9AFBE" w14:textId="77777777" w:rsidR="00500AE3" w:rsidRPr="00E56FCA" w:rsidRDefault="00F406F8" w:rsidP="00E56FCA">
      <w:pPr>
        <w:spacing w:line="520" w:lineRule="exact"/>
        <w:ind w:firstLineChars="200" w:firstLine="480"/>
        <w:textAlignment w:val="baseline"/>
        <w:rPr>
          <w:rFonts w:asciiTheme="minorHAnsi" w:eastAsia="黑体" w:hAnsiTheme="minorHAnsi" w:cstheme="minorHAnsi"/>
          <w:color w:val="auto"/>
          <w:sz w:val="24"/>
        </w:rPr>
      </w:pPr>
      <w:r w:rsidRPr="00347D6E">
        <w:rPr>
          <w:rStyle w:val="00Char"/>
          <w:rFonts w:ascii="Calibri" w:hAnsi="Calibri" w:hint="eastAsia"/>
        </w:rPr>
        <w:t>根据本项目所在区域的地下水含水组的岩性特征与埋藏规律可知，地下水整体流向为由</w:t>
      </w:r>
      <w:r w:rsidR="00861416">
        <w:rPr>
          <w:rStyle w:val="00Char"/>
          <w:rFonts w:ascii="Calibri" w:hAnsi="Calibri" w:hint="eastAsia"/>
        </w:rPr>
        <w:t>西南</w:t>
      </w:r>
      <w:r w:rsidRPr="00347D6E">
        <w:rPr>
          <w:rStyle w:val="00Char"/>
          <w:rFonts w:ascii="Calibri" w:hAnsi="Calibri" w:hint="eastAsia"/>
        </w:rPr>
        <w:t>向</w:t>
      </w:r>
      <w:r w:rsidR="00861416">
        <w:rPr>
          <w:rStyle w:val="00Char"/>
          <w:rFonts w:ascii="Calibri" w:hAnsi="Calibri" w:hint="eastAsia"/>
        </w:rPr>
        <w:t>东</w:t>
      </w:r>
      <w:r w:rsidRPr="00347D6E">
        <w:rPr>
          <w:rStyle w:val="00Char"/>
          <w:rFonts w:ascii="Calibri" w:hAnsi="Calibri" w:hint="eastAsia"/>
        </w:rPr>
        <w:t>北方向。</w:t>
      </w:r>
      <w:r w:rsidR="00500AE3" w:rsidRPr="004E6B0E">
        <w:rPr>
          <w:rFonts w:asciiTheme="minorHAnsi" w:eastAsiaTheme="minorEastAsia" w:hAnsiTheme="minorEastAsia" w:cstheme="minorHAnsi" w:hint="eastAsia"/>
          <w:color w:val="auto"/>
          <w:sz w:val="24"/>
        </w:rPr>
        <w:t>本项目地下水环境影响现状调查评价范围采用公式计算法：</w:t>
      </w:r>
      <w:r w:rsidR="00E56FCA">
        <w:rPr>
          <w:rFonts w:asciiTheme="minorHAnsi" w:eastAsiaTheme="minorEastAsia" w:hAnsiTheme="minorEastAsia" w:cstheme="minorHAnsi" w:hint="eastAsia"/>
          <w:color w:val="auto"/>
          <w:sz w:val="24"/>
        </w:rPr>
        <w:t xml:space="preserve">      </w:t>
      </w:r>
      <w:r w:rsidR="00500AE3" w:rsidRPr="00347D6E">
        <w:rPr>
          <w:rFonts w:asciiTheme="minorHAnsi" w:eastAsiaTheme="minorEastAsia" w:hAnsiTheme="minorHAnsi" w:cstheme="minorHAnsi"/>
          <w:color w:val="auto"/>
          <w:sz w:val="24"/>
        </w:rPr>
        <w:t>L=α×K×I×T/ne</w:t>
      </w:r>
    </w:p>
    <w:p w14:paraId="4007E1BE" w14:textId="77777777" w:rsidR="00500AE3" w:rsidRPr="00347D6E" w:rsidRDefault="00500AE3" w:rsidP="00347D6E">
      <w:pPr>
        <w:pStyle w:val="ad"/>
        <w:ind w:firstLineChars="200" w:firstLine="480"/>
        <w:rPr>
          <w:rFonts w:asciiTheme="minorHAnsi" w:eastAsiaTheme="minorEastAsia" w:hAnsiTheme="minorHAnsi" w:cstheme="minorHAnsi"/>
          <w:b w:val="0"/>
          <w:color w:val="auto"/>
          <w:sz w:val="24"/>
        </w:rPr>
      </w:pPr>
      <w:r w:rsidRPr="00347D6E">
        <w:rPr>
          <w:rFonts w:asciiTheme="minorHAnsi" w:eastAsiaTheme="minorEastAsia" w:hAnsiTheme="minorEastAsia" w:cstheme="minorHAnsi"/>
          <w:b w:val="0"/>
          <w:color w:val="auto"/>
          <w:sz w:val="24"/>
        </w:rPr>
        <w:t>式中：</w:t>
      </w:r>
      <w:r w:rsidRPr="00347D6E">
        <w:rPr>
          <w:rFonts w:asciiTheme="minorHAnsi" w:eastAsiaTheme="minorEastAsia" w:hAnsiTheme="minorHAnsi" w:cstheme="minorHAnsi"/>
          <w:b w:val="0"/>
          <w:color w:val="auto"/>
          <w:sz w:val="24"/>
        </w:rPr>
        <w:t>L——</w:t>
      </w:r>
      <w:r w:rsidRPr="00347D6E">
        <w:rPr>
          <w:rFonts w:asciiTheme="minorHAnsi" w:eastAsiaTheme="minorEastAsia" w:hAnsiTheme="minorEastAsia" w:cstheme="minorHAnsi"/>
          <w:b w:val="0"/>
          <w:color w:val="auto"/>
          <w:sz w:val="24"/>
        </w:rPr>
        <w:t>下游迁移距离，</w:t>
      </w:r>
      <w:r w:rsidRPr="00347D6E">
        <w:rPr>
          <w:rFonts w:asciiTheme="minorHAnsi" w:eastAsiaTheme="minorEastAsia" w:hAnsiTheme="minorHAnsi" w:cstheme="minorHAnsi"/>
          <w:b w:val="0"/>
          <w:color w:val="auto"/>
          <w:sz w:val="24"/>
        </w:rPr>
        <w:t>m</w:t>
      </w:r>
      <w:r w:rsidRPr="00347D6E">
        <w:rPr>
          <w:rFonts w:asciiTheme="minorHAnsi" w:eastAsiaTheme="minorEastAsia" w:hAnsiTheme="minorEastAsia" w:cstheme="minorHAnsi"/>
          <w:b w:val="0"/>
          <w:color w:val="auto"/>
          <w:sz w:val="24"/>
        </w:rPr>
        <w:t>；</w:t>
      </w:r>
    </w:p>
    <w:p w14:paraId="096C0813" w14:textId="77777777" w:rsidR="00500AE3" w:rsidRPr="00347D6E" w:rsidRDefault="0084437F" w:rsidP="00347D6E">
      <w:pPr>
        <w:pStyle w:val="ad"/>
        <w:ind w:firstLineChars="500" w:firstLine="1200"/>
        <w:rPr>
          <w:rFonts w:asciiTheme="minorHAnsi" w:eastAsiaTheme="minorEastAsia" w:hAnsiTheme="minorHAnsi" w:cstheme="minorHAnsi"/>
          <w:b w:val="0"/>
          <w:color w:val="auto"/>
          <w:sz w:val="24"/>
        </w:rPr>
      </w:pPr>
      <w:r w:rsidRPr="00347D6E">
        <w:rPr>
          <w:rFonts w:asciiTheme="minorHAnsi" w:eastAsiaTheme="minorEastAsia" w:hAnsiTheme="minorHAnsi" w:cstheme="minorHAnsi"/>
          <w:b w:val="0"/>
          <w:color w:val="auto"/>
          <w:sz w:val="24"/>
        </w:rPr>
        <w:t>α</w:t>
      </w:r>
      <w:r w:rsidR="00500AE3" w:rsidRPr="00347D6E">
        <w:rPr>
          <w:rFonts w:asciiTheme="minorHAnsi" w:eastAsiaTheme="minorEastAsia" w:hAnsiTheme="minorHAnsi" w:cstheme="minorHAnsi"/>
          <w:b w:val="0"/>
          <w:color w:val="auto"/>
          <w:sz w:val="24"/>
        </w:rPr>
        <w:t>——</w:t>
      </w:r>
      <w:r w:rsidR="00500AE3" w:rsidRPr="00347D6E">
        <w:rPr>
          <w:rFonts w:asciiTheme="minorHAnsi" w:eastAsiaTheme="minorEastAsia" w:hAnsiTheme="minorEastAsia" w:cstheme="minorHAnsi"/>
          <w:b w:val="0"/>
          <w:color w:val="auto"/>
          <w:sz w:val="24"/>
        </w:rPr>
        <w:t>变化系数，</w:t>
      </w:r>
      <w:r w:rsidR="00500AE3" w:rsidRPr="00347D6E">
        <w:rPr>
          <w:rFonts w:asciiTheme="minorHAnsi" w:eastAsiaTheme="minorEastAsia" w:hAnsiTheme="minorHAnsi" w:cstheme="minorHAnsi"/>
          <w:b w:val="0"/>
          <w:color w:val="auto"/>
          <w:sz w:val="24"/>
        </w:rPr>
        <w:t>α≥1</w:t>
      </w:r>
      <w:r w:rsidR="00500AE3" w:rsidRPr="00347D6E">
        <w:rPr>
          <w:rFonts w:asciiTheme="minorHAnsi" w:eastAsiaTheme="minorEastAsia" w:hAnsiTheme="minorEastAsia" w:cstheme="minorHAnsi"/>
          <w:b w:val="0"/>
          <w:color w:val="auto"/>
          <w:sz w:val="24"/>
        </w:rPr>
        <w:t>，一般取</w:t>
      </w:r>
      <w:r w:rsidR="00500AE3" w:rsidRPr="00347D6E">
        <w:rPr>
          <w:rFonts w:asciiTheme="minorHAnsi" w:eastAsiaTheme="minorEastAsia" w:hAnsiTheme="minorHAnsi" w:cstheme="minorHAnsi"/>
          <w:b w:val="0"/>
          <w:color w:val="auto"/>
          <w:sz w:val="24"/>
        </w:rPr>
        <w:t>2</w:t>
      </w:r>
      <w:r w:rsidR="00500AE3" w:rsidRPr="00347D6E">
        <w:rPr>
          <w:rFonts w:asciiTheme="minorHAnsi" w:eastAsiaTheme="minorEastAsia" w:hAnsiTheme="minorEastAsia" w:cstheme="minorHAnsi"/>
          <w:b w:val="0"/>
          <w:color w:val="auto"/>
          <w:sz w:val="24"/>
        </w:rPr>
        <w:t>；</w:t>
      </w:r>
    </w:p>
    <w:p w14:paraId="107E7069" w14:textId="77777777" w:rsidR="00500AE3" w:rsidRPr="00347D6E" w:rsidRDefault="00500AE3" w:rsidP="00347D6E">
      <w:pPr>
        <w:pStyle w:val="ad"/>
        <w:ind w:firstLineChars="500" w:firstLine="1200"/>
        <w:rPr>
          <w:rFonts w:asciiTheme="minorHAnsi" w:eastAsiaTheme="minorEastAsia" w:hAnsiTheme="minorHAnsi" w:cstheme="minorHAnsi"/>
          <w:b w:val="0"/>
          <w:color w:val="auto"/>
          <w:sz w:val="24"/>
        </w:rPr>
      </w:pPr>
      <w:r w:rsidRPr="00347D6E">
        <w:rPr>
          <w:rFonts w:asciiTheme="minorHAnsi" w:eastAsiaTheme="minorEastAsia" w:hAnsiTheme="minorHAnsi" w:cstheme="minorHAnsi"/>
          <w:b w:val="0"/>
          <w:color w:val="auto"/>
          <w:sz w:val="24"/>
        </w:rPr>
        <w:t>K——</w:t>
      </w:r>
      <w:r w:rsidRPr="00347D6E">
        <w:rPr>
          <w:rFonts w:asciiTheme="minorHAnsi" w:eastAsiaTheme="minorEastAsia" w:hAnsiTheme="minorEastAsia" w:cstheme="minorHAnsi"/>
          <w:b w:val="0"/>
          <w:color w:val="auto"/>
          <w:sz w:val="24"/>
        </w:rPr>
        <w:t>渗透系数，</w:t>
      </w:r>
      <w:r w:rsidRPr="00347D6E">
        <w:rPr>
          <w:rFonts w:asciiTheme="minorHAnsi" w:eastAsiaTheme="minorEastAsia" w:hAnsiTheme="minorHAnsi" w:cstheme="minorHAnsi"/>
          <w:b w:val="0"/>
          <w:color w:val="auto"/>
          <w:sz w:val="24"/>
        </w:rPr>
        <w:t>m/d</w:t>
      </w:r>
      <w:r w:rsidR="00D765FF" w:rsidRPr="00347D6E">
        <w:rPr>
          <w:rFonts w:asciiTheme="minorHAnsi" w:eastAsiaTheme="minorEastAsia" w:hAnsiTheme="minorEastAsia" w:cstheme="minorHAnsi"/>
          <w:b w:val="0"/>
          <w:color w:val="auto"/>
          <w:sz w:val="24"/>
        </w:rPr>
        <w:t>；</w:t>
      </w:r>
    </w:p>
    <w:p w14:paraId="5DAB25C3" w14:textId="77777777" w:rsidR="00500AE3" w:rsidRPr="00347D6E" w:rsidRDefault="00500AE3" w:rsidP="00347D6E">
      <w:pPr>
        <w:pStyle w:val="ad"/>
        <w:ind w:firstLineChars="500" w:firstLine="1200"/>
        <w:rPr>
          <w:rFonts w:asciiTheme="minorHAnsi" w:eastAsiaTheme="minorEastAsia" w:hAnsiTheme="minorHAnsi" w:cstheme="minorHAnsi"/>
          <w:b w:val="0"/>
          <w:color w:val="auto"/>
          <w:sz w:val="24"/>
        </w:rPr>
      </w:pPr>
      <w:r w:rsidRPr="00347D6E">
        <w:rPr>
          <w:rFonts w:asciiTheme="minorHAnsi" w:eastAsiaTheme="minorEastAsia" w:hAnsiTheme="minorHAnsi" w:cstheme="minorHAnsi"/>
          <w:b w:val="0"/>
          <w:color w:val="auto"/>
          <w:sz w:val="24"/>
        </w:rPr>
        <w:t>I——</w:t>
      </w:r>
      <w:r w:rsidRPr="00347D6E">
        <w:rPr>
          <w:rFonts w:asciiTheme="minorHAnsi" w:eastAsiaTheme="minorEastAsia" w:hAnsiTheme="minorEastAsia" w:cstheme="minorHAnsi"/>
          <w:b w:val="0"/>
          <w:color w:val="auto"/>
          <w:sz w:val="24"/>
        </w:rPr>
        <w:t>水力坡度，</w:t>
      </w:r>
      <w:r w:rsidR="00BB320A" w:rsidRPr="00347D6E">
        <w:rPr>
          <w:rFonts w:asciiTheme="minorHAnsi" w:eastAsiaTheme="minorEastAsia" w:hAnsiTheme="minorEastAsia" w:cstheme="minorHAnsi"/>
          <w:b w:val="0"/>
          <w:color w:val="auto"/>
          <w:sz w:val="24"/>
        </w:rPr>
        <w:t>量纲为</w:t>
      </w:r>
      <w:r w:rsidR="00BB320A" w:rsidRPr="00347D6E">
        <w:rPr>
          <w:rFonts w:asciiTheme="minorHAnsi" w:eastAsiaTheme="minorEastAsia" w:hAnsiTheme="minorHAnsi" w:cstheme="minorHAnsi"/>
          <w:b w:val="0"/>
          <w:color w:val="auto"/>
          <w:sz w:val="24"/>
        </w:rPr>
        <w:t>1</w:t>
      </w:r>
      <w:r w:rsidRPr="00347D6E">
        <w:rPr>
          <w:rFonts w:asciiTheme="minorHAnsi" w:eastAsiaTheme="minorEastAsia" w:hAnsiTheme="minorEastAsia" w:cstheme="minorHAnsi"/>
          <w:b w:val="0"/>
          <w:color w:val="auto"/>
          <w:sz w:val="24"/>
        </w:rPr>
        <w:t>；</w:t>
      </w:r>
    </w:p>
    <w:p w14:paraId="09D49DD5" w14:textId="77777777" w:rsidR="00500AE3" w:rsidRPr="00347D6E" w:rsidRDefault="00500AE3" w:rsidP="00347D6E">
      <w:pPr>
        <w:pStyle w:val="ad"/>
        <w:ind w:firstLineChars="500" w:firstLine="1200"/>
        <w:rPr>
          <w:rFonts w:asciiTheme="minorHAnsi" w:eastAsiaTheme="minorEastAsia" w:hAnsiTheme="minorHAnsi" w:cstheme="minorHAnsi"/>
          <w:b w:val="0"/>
          <w:color w:val="auto"/>
          <w:sz w:val="24"/>
        </w:rPr>
      </w:pPr>
      <w:r w:rsidRPr="00347D6E">
        <w:rPr>
          <w:rFonts w:asciiTheme="minorHAnsi" w:eastAsiaTheme="minorEastAsia" w:hAnsiTheme="minorHAnsi" w:cstheme="minorHAnsi"/>
          <w:b w:val="0"/>
          <w:color w:val="auto"/>
          <w:sz w:val="24"/>
        </w:rPr>
        <w:t>T——</w:t>
      </w:r>
      <w:r w:rsidRPr="00347D6E">
        <w:rPr>
          <w:rFonts w:asciiTheme="minorHAnsi" w:eastAsiaTheme="minorEastAsia" w:hAnsiTheme="minorEastAsia" w:cstheme="minorHAnsi"/>
          <w:b w:val="0"/>
          <w:color w:val="auto"/>
          <w:sz w:val="24"/>
        </w:rPr>
        <w:t>质点迁移天数，取值不小于</w:t>
      </w:r>
      <w:r w:rsidRPr="00347D6E">
        <w:rPr>
          <w:rFonts w:asciiTheme="minorHAnsi" w:eastAsiaTheme="minorEastAsia" w:hAnsiTheme="minorHAnsi" w:cstheme="minorHAnsi"/>
          <w:b w:val="0"/>
          <w:color w:val="auto"/>
          <w:sz w:val="24"/>
        </w:rPr>
        <w:t>5000d</w:t>
      </w:r>
      <w:r w:rsidRPr="00347D6E">
        <w:rPr>
          <w:rFonts w:asciiTheme="minorHAnsi" w:eastAsiaTheme="minorEastAsia" w:hAnsiTheme="minorEastAsia" w:cstheme="minorHAnsi"/>
          <w:b w:val="0"/>
          <w:color w:val="auto"/>
          <w:sz w:val="24"/>
        </w:rPr>
        <w:t>；</w:t>
      </w:r>
    </w:p>
    <w:p w14:paraId="3CB7AEC0" w14:textId="77777777" w:rsidR="00500AE3" w:rsidRPr="00347D6E" w:rsidRDefault="00500AE3" w:rsidP="00347D6E">
      <w:pPr>
        <w:pStyle w:val="ad"/>
        <w:ind w:firstLineChars="500" w:firstLine="1200"/>
        <w:rPr>
          <w:rFonts w:asciiTheme="minorHAnsi" w:eastAsiaTheme="minorEastAsia" w:hAnsiTheme="minorHAnsi" w:cstheme="minorHAnsi"/>
          <w:b w:val="0"/>
          <w:color w:val="auto"/>
          <w:sz w:val="24"/>
        </w:rPr>
      </w:pPr>
      <w:r w:rsidRPr="00347D6E">
        <w:rPr>
          <w:rFonts w:asciiTheme="minorHAnsi" w:eastAsiaTheme="minorEastAsia" w:hAnsiTheme="minorHAnsi" w:cstheme="minorHAnsi"/>
          <w:b w:val="0"/>
          <w:color w:val="auto"/>
          <w:sz w:val="24"/>
        </w:rPr>
        <w:t>n</w:t>
      </w:r>
      <w:r w:rsidRPr="00347D6E">
        <w:rPr>
          <w:rFonts w:asciiTheme="minorHAnsi" w:eastAsiaTheme="minorEastAsia" w:hAnsiTheme="minorHAnsi" w:cstheme="minorHAnsi"/>
          <w:b w:val="0"/>
          <w:color w:val="auto"/>
          <w:sz w:val="24"/>
          <w:vertAlign w:val="subscript"/>
        </w:rPr>
        <w:t>e</w:t>
      </w:r>
      <w:r w:rsidRPr="00347D6E">
        <w:rPr>
          <w:rFonts w:asciiTheme="minorHAnsi" w:eastAsiaTheme="minorEastAsia" w:hAnsiTheme="minorHAnsi" w:cstheme="minorHAnsi"/>
          <w:b w:val="0"/>
          <w:color w:val="auto"/>
          <w:sz w:val="24"/>
        </w:rPr>
        <w:t>——</w:t>
      </w:r>
      <w:r w:rsidRPr="00347D6E">
        <w:rPr>
          <w:rFonts w:asciiTheme="minorHAnsi" w:eastAsiaTheme="minorEastAsia" w:hAnsiTheme="minorEastAsia" w:cstheme="minorHAnsi"/>
          <w:b w:val="0"/>
          <w:color w:val="auto"/>
          <w:sz w:val="24"/>
        </w:rPr>
        <w:t>有效孔隙度，</w:t>
      </w:r>
      <w:r w:rsidR="00BB320A" w:rsidRPr="00347D6E">
        <w:rPr>
          <w:rFonts w:asciiTheme="minorHAnsi" w:eastAsiaTheme="minorEastAsia" w:hAnsiTheme="minorEastAsia" w:cstheme="minorHAnsi"/>
          <w:b w:val="0"/>
          <w:color w:val="auto"/>
          <w:sz w:val="24"/>
        </w:rPr>
        <w:t>量纲为</w:t>
      </w:r>
      <w:r w:rsidR="00BB320A" w:rsidRPr="00347D6E">
        <w:rPr>
          <w:rFonts w:asciiTheme="minorHAnsi" w:eastAsiaTheme="minorEastAsia" w:hAnsiTheme="minorHAnsi" w:cstheme="minorHAnsi"/>
          <w:b w:val="0"/>
          <w:color w:val="auto"/>
          <w:sz w:val="24"/>
        </w:rPr>
        <w:t>1</w:t>
      </w:r>
      <w:r w:rsidRPr="00347D6E">
        <w:rPr>
          <w:rFonts w:asciiTheme="minorHAnsi" w:eastAsiaTheme="minorEastAsia" w:hAnsiTheme="minorEastAsia" w:cstheme="minorHAnsi"/>
          <w:b w:val="0"/>
          <w:color w:val="auto"/>
          <w:sz w:val="24"/>
        </w:rPr>
        <w:t>。</w:t>
      </w:r>
    </w:p>
    <w:p w14:paraId="6DB7C254" w14:textId="77777777" w:rsidR="00BB320A" w:rsidRPr="00347D6E" w:rsidRDefault="00BB320A" w:rsidP="00401F85">
      <w:pPr>
        <w:spacing w:line="520" w:lineRule="exact"/>
        <w:ind w:firstLineChars="200" w:firstLine="480"/>
        <w:textAlignment w:val="baseline"/>
        <w:rPr>
          <w:rStyle w:val="00Char"/>
          <w:rFonts w:ascii="Calibri" w:hAnsi="Calibri"/>
        </w:rPr>
      </w:pPr>
      <w:r w:rsidRPr="00347D6E">
        <w:rPr>
          <w:rStyle w:val="00Char"/>
          <w:rFonts w:ascii="Calibri" w:hAnsi="Calibri" w:hint="eastAsia"/>
        </w:rPr>
        <w:t>根据</w:t>
      </w:r>
      <w:r w:rsidR="00401F85">
        <w:rPr>
          <w:rStyle w:val="00Char"/>
          <w:rFonts w:ascii="Calibri" w:hAnsi="Calibri" w:hint="eastAsia"/>
        </w:rPr>
        <w:t>《</w:t>
      </w:r>
      <w:r w:rsidR="00401F85" w:rsidRPr="00401F85">
        <w:rPr>
          <w:rStyle w:val="00Char"/>
          <w:rFonts w:ascii="Calibri" w:hAnsi="Calibri" w:hint="eastAsia"/>
        </w:rPr>
        <w:t>平顶山尼龙新材料产业集聚区总体发展规划（</w:t>
      </w:r>
      <w:r w:rsidR="00401F85" w:rsidRPr="00401F85">
        <w:rPr>
          <w:rStyle w:val="00Char"/>
          <w:rFonts w:ascii="Calibri" w:hAnsi="Calibri" w:hint="eastAsia"/>
        </w:rPr>
        <w:t>2021-2030</w:t>
      </w:r>
      <w:r w:rsidR="00401F85" w:rsidRPr="00401F85">
        <w:rPr>
          <w:rStyle w:val="00Char"/>
          <w:rFonts w:ascii="Calibri" w:hAnsi="Calibri" w:hint="eastAsia"/>
        </w:rPr>
        <w:t>）环境影响报告书</w:t>
      </w:r>
      <w:r w:rsidR="00401F85">
        <w:rPr>
          <w:rStyle w:val="00Char"/>
          <w:rFonts w:ascii="Calibri" w:hAnsi="Calibri" w:hint="eastAsia"/>
        </w:rPr>
        <w:t>》</w:t>
      </w:r>
      <w:r w:rsidRPr="00347D6E">
        <w:rPr>
          <w:rStyle w:val="00Char"/>
          <w:rFonts w:ascii="Calibri" w:hAnsi="Calibri" w:hint="eastAsia"/>
        </w:rPr>
        <w:t>中相关资料，该区域水力坡度为</w:t>
      </w:r>
      <w:r w:rsidRPr="00E02111">
        <w:rPr>
          <w:rStyle w:val="00Char"/>
          <w:rFonts w:asciiTheme="minorHAnsi" w:hAnsiTheme="minorHAnsi" w:cstheme="minorHAnsi"/>
        </w:rPr>
        <w:t>1.4‰</w:t>
      </w:r>
      <w:r w:rsidRPr="00E02111">
        <w:rPr>
          <w:rStyle w:val="00Char"/>
          <w:rFonts w:asciiTheme="minorHAnsi" w:hAnsi="Calibri" w:cstheme="minorHAnsi"/>
        </w:rPr>
        <w:t>，</w:t>
      </w:r>
      <w:r w:rsidRPr="00347D6E">
        <w:rPr>
          <w:rStyle w:val="00Char"/>
          <w:rFonts w:ascii="Calibri" w:hAnsi="Calibri" w:hint="eastAsia"/>
        </w:rPr>
        <w:t>水流速度为</w:t>
      </w:r>
      <w:r w:rsidRPr="00347D6E">
        <w:rPr>
          <w:rStyle w:val="00Char"/>
          <w:rFonts w:ascii="Calibri" w:hAnsi="Calibri" w:hint="eastAsia"/>
        </w:rPr>
        <w:t>0.00</w:t>
      </w:r>
      <w:r w:rsidR="00401F85">
        <w:rPr>
          <w:rStyle w:val="00Char"/>
          <w:rFonts w:ascii="Calibri" w:hAnsi="Calibri"/>
        </w:rPr>
        <w:t>3</w:t>
      </w:r>
      <w:r w:rsidRPr="00347D6E">
        <w:rPr>
          <w:rStyle w:val="00Char"/>
          <w:rFonts w:ascii="Calibri" w:hAnsi="Calibri" w:hint="eastAsia"/>
        </w:rPr>
        <w:t>m/d</w:t>
      </w:r>
      <w:r w:rsidRPr="00347D6E">
        <w:rPr>
          <w:rStyle w:val="00Char"/>
          <w:rFonts w:ascii="Calibri" w:hAnsi="Calibri" w:hint="eastAsia"/>
        </w:rPr>
        <w:t>，有效孔隙度为</w:t>
      </w:r>
      <w:r w:rsidR="00401F85">
        <w:rPr>
          <w:rStyle w:val="00Char"/>
          <w:rFonts w:ascii="Calibri" w:hAnsi="Calibri"/>
        </w:rPr>
        <w:t>0.3</w:t>
      </w:r>
      <w:r w:rsidRPr="00347D6E">
        <w:rPr>
          <w:rStyle w:val="00Char"/>
          <w:rFonts w:ascii="Calibri" w:hAnsi="Calibri" w:hint="eastAsia"/>
        </w:rPr>
        <w:t>，纵向弥散系数为</w:t>
      </w:r>
      <w:r w:rsidR="00401F85">
        <w:rPr>
          <w:rStyle w:val="00Char"/>
          <w:rFonts w:ascii="Calibri" w:hAnsi="Calibri"/>
        </w:rPr>
        <w:t>0.5</w:t>
      </w:r>
      <w:r w:rsidRPr="00347D6E">
        <w:rPr>
          <w:rStyle w:val="00Char"/>
          <w:rFonts w:ascii="Calibri" w:hAnsi="Calibri" w:hint="eastAsia"/>
        </w:rPr>
        <w:t>m</w:t>
      </w:r>
      <w:r w:rsidRPr="00401F85">
        <w:rPr>
          <w:rStyle w:val="00Char"/>
          <w:rFonts w:ascii="Calibri" w:hAnsi="Calibri" w:hint="eastAsia"/>
          <w:vertAlign w:val="superscript"/>
        </w:rPr>
        <w:t>2</w:t>
      </w:r>
      <w:r w:rsidRPr="00347D6E">
        <w:rPr>
          <w:rStyle w:val="00Char"/>
          <w:rFonts w:ascii="Calibri" w:hAnsi="Calibri" w:hint="eastAsia"/>
        </w:rPr>
        <w:t>/d</w:t>
      </w:r>
      <w:r w:rsidRPr="00347D6E">
        <w:rPr>
          <w:rStyle w:val="00Char"/>
          <w:rFonts w:ascii="Calibri" w:hAnsi="Calibri" w:hint="eastAsia"/>
        </w:rPr>
        <w:t>。该区域含水层介质为细砂，渗透系数取</w:t>
      </w:r>
      <w:r w:rsidRPr="00347D6E">
        <w:rPr>
          <w:rStyle w:val="00Char"/>
          <w:rFonts w:ascii="Calibri" w:hAnsi="Calibri" w:hint="eastAsia"/>
        </w:rPr>
        <w:t>8m/d</w:t>
      </w:r>
      <w:r w:rsidRPr="00347D6E">
        <w:rPr>
          <w:rStyle w:val="00Char"/>
          <w:rFonts w:ascii="Calibri" w:hAnsi="Calibri" w:hint="eastAsia"/>
        </w:rPr>
        <w:t>。</w:t>
      </w:r>
    </w:p>
    <w:p w14:paraId="3DA714C4" w14:textId="77777777" w:rsidR="00D765FF" w:rsidRPr="00DB3E34" w:rsidRDefault="00BB320A" w:rsidP="00DB3E34">
      <w:pPr>
        <w:pStyle w:val="ad"/>
        <w:ind w:firstLineChars="200" w:firstLine="480"/>
        <w:rPr>
          <w:rStyle w:val="00Char"/>
          <w:rFonts w:ascii="Calibri" w:hAnsi="Calibri"/>
          <w:b w:val="0"/>
        </w:rPr>
      </w:pPr>
      <w:r w:rsidRPr="004E6B0E">
        <w:rPr>
          <w:rStyle w:val="00Char"/>
          <w:rFonts w:ascii="Calibri" w:hAnsi="Calibri" w:hint="eastAsia"/>
          <w:b w:val="0"/>
        </w:rPr>
        <w:t>本次评价质点迁移天数取</w:t>
      </w:r>
      <w:r w:rsidRPr="004E6B0E">
        <w:rPr>
          <w:rStyle w:val="00Char"/>
          <w:rFonts w:ascii="Calibri" w:hAnsi="Calibri" w:hint="eastAsia"/>
          <w:b w:val="0"/>
        </w:rPr>
        <w:t>5000d</w:t>
      </w:r>
      <w:r w:rsidRPr="004E6B0E">
        <w:rPr>
          <w:rStyle w:val="00Char"/>
          <w:rFonts w:ascii="Calibri" w:hAnsi="Calibri" w:hint="eastAsia"/>
          <w:b w:val="0"/>
        </w:rPr>
        <w:t>，经核算，</w:t>
      </w:r>
      <w:r w:rsidRPr="004E6B0E">
        <w:rPr>
          <w:rStyle w:val="00Char"/>
          <w:rFonts w:ascii="Calibri" w:hAnsi="Calibri" w:hint="eastAsia"/>
          <w:b w:val="0"/>
        </w:rPr>
        <w:t>L=</w:t>
      </w:r>
      <w:r w:rsidR="00931547">
        <w:rPr>
          <w:rStyle w:val="00Char"/>
          <w:rFonts w:ascii="Calibri" w:hAnsi="Calibri"/>
          <w:b w:val="0"/>
        </w:rPr>
        <w:t>373.3</w:t>
      </w:r>
      <w:r w:rsidRPr="004E6B0E">
        <w:rPr>
          <w:rStyle w:val="00Char"/>
          <w:rFonts w:ascii="Calibri" w:hAnsi="Calibri" w:hint="eastAsia"/>
          <w:b w:val="0"/>
        </w:rPr>
        <w:t>m</w:t>
      </w:r>
      <w:r w:rsidRPr="004E6B0E">
        <w:rPr>
          <w:rStyle w:val="00Char"/>
          <w:rFonts w:ascii="Calibri" w:hAnsi="Calibri" w:hint="eastAsia"/>
          <w:b w:val="0"/>
        </w:rPr>
        <w:t>。根据当地地下水流向自</w:t>
      </w:r>
      <w:r w:rsidR="004E6B0E" w:rsidRPr="004E6B0E">
        <w:rPr>
          <w:rStyle w:val="00Char"/>
          <w:rFonts w:ascii="Calibri" w:hAnsi="Calibri" w:hint="eastAsia"/>
          <w:b w:val="0"/>
        </w:rPr>
        <w:t>西南</w:t>
      </w:r>
      <w:r w:rsidR="00347D6E" w:rsidRPr="004E6B0E">
        <w:rPr>
          <w:rStyle w:val="00Char"/>
          <w:rFonts w:ascii="Calibri" w:hAnsi="Calibri" w:hint="eastAsia"/>
          <w:b w:val="0"/>
        </w:rPr>
        <w:t>向</w:t>
      </w:r>
      <w:r w:rsidR="004E6B0E" w:rsidRPr="004E6B0E">
        <w:rPr>
          <w:rStyle w:val="00Char"/>
          <w:rFonts w:ascii="Calibri" w:hAnsi="Calibri" w:hint="eastAsia"/>
          <w:b w:val="0"/>
        </w:rPr>
        <w:t>东北</w:t>
      </w:r>
      <w:r w:rsidRPr="004E6B0E">
        <w:rPr>
          <w:rStyle w:val="00Char"/>
          <w:rFonts w:ascii="Calibri" w:hAnsi="Calibri" w:hint="eastAsia"/>
          <w:b w:val="0"/>
        </w:rPr>
        <w:t>，</w:t>
      </w:r>
      <w:r w:rsidR="004E6B0E" w:rsidRPr="00623F1E">
        <w:rPr>
          <w:rFonts w:ascii="Calibri" w:eastAsia="宋体" w:hAnsi="Calibri" w:hint="eastAsia"/>
          <w:b w:val="0"/>
          <w:sz w:val="24"/>
        </w:rPr>
        <w:t>并结合本项目周围环境现状，确定评价范围为</w:t>
      </w:r>
      <w:r w:rsidR="004E6B0E" w:rsidRPr="00623F1E">
        <w:rPr>
          <w:rFonts w:ascii="Calibri" w:eastAsia="宋体" w:hAnsi="Calibri" w:hint="eastAsia"/>
          <w:b w:val="0"/>
          <w:sz w:val="24"/>
        </w:rPr>
        <w:t>6.</w:t>
      </w:r>
      <w:r w:rsidR="00DB3E34">
        <w:rPr>
          <w:rFonts w:ascii="Calibri" w:eastAsia="宋体" w:hAnsi="Calibri"/>
          <w:b w:val="0"/>
          <w:sz w:val="24"/>
        </w:rPr>
        <w:t>18</w:t>
      </w:r>
      <w:r w:rsidR="004E6B0E" w:rsidRPr="00623F1E">
        <w:rPr>
          <w:rFonts w:ascii="Calibri" w:eastAsia="宋体" w:hAnsi="Calibri" w:hint="eastAsia"/>
          <w:b w:val="0"/>
          <w:sz w:val="24"/>
        </w:rPr>
        <w:t>km</w:t>
      </w:r>
      <w:r w:rsidR="004E6B0E" w:rsidRPr="00623F1E">
        <w:rPr>
          <w:rFonts w:ascii="Calibri" w:eastAsia="宋体" w:hAnsi="Calibri" w:hint="eastAsia"/>
          <w:b w:val="0"/>
          <w:sz w:val="24"/>
          <w:vertAlign w:val="superscript"/>
        </w:rPr>
        <w:t>2</w:t>
      </w:r>
      <w:r w:rsidR="004E6B0E" w:rsidRPr="00623F1E">
        <w:rPr>
          <w:rFonts w:ascii="Calibri" w:eastAsia="宋体" w:hAnsi="Calibri" w:hint="eastAsia"/>
          <w:b w:val="0"/>
          <w:sz w:val="24"/>
        </w:rPr>
        <w:t>，具体范围为：</w:t>
      </w:r>
      <w:r w:rsidR="00DB3E34">
        <w:rPr>
          <w:rFonts w:ascii="Calibri" w:eastAsia="宋体" w:hAnsi="Calibri" w:hint="eastAsia"/>
          <w:b w:val="0"/>
          <w:sz w:val="24"/>
        </w:rPr>
        <w:t>东至兰南</w:t>
      </w:r>
      <w:r w:rsidR="00DB3E34">
        <w:rPr>
          <w:rFonts w:ascii="Calibri" w:eastAsia="宋体" w:hAnsi="Calibri"/>
          <w:b w:val="0"/>
          <w:sz w:val="24"/>
        </w:rPr>
        <w:t>告诉，西</w:t>
      </w:r>
      <w:r w:rsidR="00DB3E34" w:rsidRPr="00623F1E">
        <w:rPr>
          <w:rFonts w:ascii="Calibri" w:eastAsia="宋体" w:hAnsi="Calibri" w:hint="eastAsia"/>
          <w:b w:val="0"/>
          <w:sz w:val="24"/>
        </w:rPr>
        <w:t>至规划化工一路</w:t>
      </w:r>
      <w:r w:rsidR="00DB3E34">
        <w:rPr>
          <w:rFonts w:ascii="Calibri" w:eastAsia="宋体" w:hAnsi="Calibri" w:hint="eastAsia"/>
          <w:b w:val="0"/>
          <w:sz w:val="24"/>
        </w:rPr>
        <w:t>，北至平孟</w:t>
      </w:r>
      <w:r w:rsidR="00DB3E34">
        <w:rPr>
          <w:rFonts w:ascii="Calibri" w:eastAsia="宋体" w:hAnsi="Calibri"/>
          <w:b w:val="0"/>
          <w:sz w:val="24"/>
        </w:rPr>
        <w:t>铁路线</w:t>
      </w:r>
      <w:r w:rsidR="00DB3E34">
        <w:rPr>
          <w:rFonts w:ascii="Calibri" w:eastAsia="宋体" w:hAnsi="Calibri" w:hint="eastAsia"/>
          <w:b w:val="0"/>
          <w:sz w:val="24"/>
        </w:rPr>
        <w:t>，项目</w:t>
      </w:r>
      <w:r w:rsidR="00DB3E34">
        <w:rPr>
          <w:rFonts w:ascii="Calibri" w:eastAsia="宋体" w:hAnsi="Calibri"/>
          <w:b w:val="0"/>
          <w:sz w:val="24"/>
        </w:rPr>
        <w:t>侧游向南迁移</w:t>
      </w:r>
      <w:r w:rsidR="00DB3E34">
        <w:rPr>
          <w:rFonts w:ascii="Calibri" w:eastAsia="宋体" w:hAnsi="Calibri" w:hint="eastAsia"/>
          <w:b w:val="0"/>
          <w:sz w:val="24"/>
        </w:rPr>
        <w:t>440</w:t>
      </w:r>
      <w:r w:rsidR="00DB3E34">
        <w:rPr>
          <w:rFonts w:ascii="Calibri" w:eastAsia="宋体" w:hAnsi="Calibri"/>
          <w:b w:val="0"/>
          <w:sz w:val="24"/>
        </w:rPr>
        <w:t>m</w:t>
      </w:r>
      <w:r w:rsidR="00DB3E34">
        <w:rPr>
          <w:rFonts w:ascii="Calibri" w:eastAsia="宋体" w:hAnsi="Calibri" w:hint="eastAsia"/>
          <w:b w:val="0"/>
          <w:sz w:val="24"/>
        </w:rPr>
        <w:t>。</w:t>
      </w:r>
      <w:r w:rsidR="004E6B0E" w:rsidRPr="00DB3E34">
        <w:rPr>
          <w:rStyle w:val="00Char"/>
          <w:rFonts w:ascii="Calibri" w:hAnsi="Calibri" w:hint="eastAsia"/>
          <w:b w:val="0"/>
        </w:rPr>
        <w:t>评价范围内</w:t>
      </w:r>
      <w:r w:rsidR="004E6B0E" w:rsidRPr="00DB3E34">
        <w:rPr>
          <w:rStyle w:val="00Char"/>
          <w:rFonts w:ascii="Calibri" w:hAnsi="Calibri"/>
          <w:b w:val="0"/>
        </w:rPr>
        <w:t>无分散式</w:t>
      </w:r>
      <w:r w:rsidR="004E6B0E" w:rsidRPr="00DB3E34">
        <w:rPr>
          <w:rStyle w:val="00Char"/>
          <w:rFonts w:ascii="Calibri" w:hAnsi="Calibri" w:hint="eastAsia"/>
          <w:b w:val="0"/>
        </w:rPr>
        <w:t>饮用</w:t>
      </w:r>
      <w:r w:rsidR="004E6B0E" w:rsidRPr="00DB3E34">
        <w:rPr>
          <w:rStyle w:val="00Char"/>
          <w:rFonts w:ascii="Calibri" w:hAnsi="Calibri"/>
          <w:b w:val="0"/>
        </w:rPr>
        <w:t>水源，</w:t>
      </w:r>
      <w:r w:rsidR="00FA0C0F" w:rsidRPr="00DB3E34">
        <w:rPr>
          <w:rStyle w:val="00Char"/>
          <w:rFonts w:ascii="Calibri" w:hAnsi="Calibri" w:hint="eastAsia"/>
          <w:b w:val="0"/>
        </w:rPr>
        <w:t>无集中式饮用水水源准保护区、补给径流区、分散式饮用水源地、特殊地下水资源（如矿泉水、温泉等）保护区及保护区以外的分布区。</w:t>
      </w:r>
    </w:p>
    <w:p w14:paraId="4DD46D9B" w14:textId="77777777" w:rsidR="0055605A" w:rsidRPr="00A964FF" w:rsidRDefault="0055605A" w:rsidP="0055605A">
      <w:pPr>
        <w:spacing w:line="520" w:lineRule="exact"/>
        <w:ind w:firstLineChars="200" w:firstLine="482"/>
        <w:rPr>
          <w:rFonts w:ascii="Calibri" w:hAnsi="Calibri"/>
          <w:b/>
          <w:color w:val="auto"/>
          <w:sz w:val="24"/>
        </w:rPr>
      </w:pPr>
      <w:r w:rsidRPr="00A964FF">
        <w:rPr>
          <w:rFonts w:ascii="Calibri" w:hAnsi="Calibri" w:hint="eastAsia"/>
          <w:b/>
          <w:color w:val="auto"/>
          <w:sz w:val="24"/>
        </w:rPr>
        <w:t>2</w:t>
      </w:r>
      <w:r w:rsidRPr="00A964FF">
        <w:rPr>
          <w:rFonts w:ascii="Calibri" w:hAnsi="Calibri" w:hint="eastAsia"/>
          <w:b/>
          <w:color w:val="auto"/>
          <w:sz w:val="24"/>
        </w:rPr>
        <w:t>、区域水文地质</w:t>
      </w:r>
      <w:r w:rsidR="00BC4412">
        <w:rPr>
          <w:rFonts w:ascii="Calibri" w:hAnsi="Calibri" w:hint="eastAsia"/>
          <w:b/>
          <w:color w:val="auto"/>
          <w:sz w:val="24"/>
        </w:rPr>
        <w:t>特征</w:t>
      </w:r>
    </w:p>
    <w:p w14:paraId="697DBB4F" w14:textId="77777777" w:rsidR="00BC4412" w:rsidRPr="00BB5174" w:rsidRDefault="00BC4412" w:rsidP="00BC4412">
      <w:pPr>
        <w:spacing w:line="520" w:lineRule="exact"/>
        <w:ind w:firstLineChars="200" w:firstLine="482"/>
        <w:textAlignment w:val="baseline"/>
        <w:rPr>
          <w:rStyle w:val="00Char"/>
          <w:rFonts w:ascii="Calibri" w:hAnsi="Calibri"/>
          <w:b/>
          <w:color w:val="000000" w:themeColor="text1"/>
        </w:rPr>
      </w:pPr>
      <w:r>
        <w:rPr>
          <w:rStyle w:val="00Char"/>
          <w:rFonts w:ascii="Calibri" w:hAnsi="Calibri" w:hint="eastAsia"/>
          <w:b/>
          <w:color w:val="000000" w:themeColor="text1"/>
        </w:rPr>
        <w:t>A</w:t>
      </w:r>
      <w:r>
        <w:rPr>
          <w:rStyle w:val="00Char"/>
          <w:rFonts w:ascii="Calibri" w:hAnsi="Calibri" w:hint="eastAsia"/>
          <w:b/>
          <w:color w:val="000000" w:themeColor="text1"/>
        </w:rPr>
        <w:t>、</w:t>
      </w:r>
      <w:r w:rsidRPr="00BB5174">
        <w:rPr>
          <w:rStyle w:val="00Char"/>
          <w:rFonts w:ascii="Calibri" w:hAnsi="Calibri" w:hint="eastAsia"/>
          <w:b/>
          <w:color w:val="000000" w:themeColor="text1"/>
        </w:rPr>
        <w:t>地形地貌</w:t>
      </w:r>
    </w:p>
    <w:p w14:paraId="1787A409"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平顶山市地处华北地台南部边缘区，处于豫西山地和淮河平原的过渡地带，西依蜿蜒起伏的伏牛山脉，东接宽阔平坦的黄淮平原，南临南北要冲的宛襄盆地，北连逶迤磅礴的嵩箕山系。西部以山地为主，最高山峰为位于鲁山县西部边界的尧山，海拔</w:t>
      </w:r>
      <w:r w:rsidRPr="00BB5174">
        <w:rPr>
          <w:rStyle w:val="00Char"/>
          <w:rFonts w:ascii="Calibri" w:hAnsi="Calibri" w:hint="eastAsia"/>
          <w:color w:val="000000" w:themeColor="text1"/>
        </w:rPr>
        <w:lastRenderedPageBreak/>
        <w:t>2153.10m</w:t>
      </w:r>
      <w:r w:rsidRPr="00BB5174">
        <w:rPr>
          <w:rStyle w:val="00Char"/>
          <w:rFonts w:ascii="Calibri" w:hAnsi="Calibri" w:hint="eastAsia"/>
          <w:color w:val="000000" w:themeColor="text1"/>
        </w:rPr>
        <w:t>；东部以平原为主。在低山与平原之间，分布着高低起伏的丘陵。从北往南看，大体有三列山地夹两组河谷平原。北部是箕山，中部是外方山的东段及平顶山市区以北的落凫山等低山，南部则是伏牛山东段及其余脉。北部夹北汝河冲积平原，南部夹沙河、澧河等冲积平原。根据地貌形态特征、成因类型及现代物理地质作用等，将区域划分为山地、岗地和平原等三大地貌类型。具体又分为侵蚀剥蚀中山、侵蚀剥蚀低山、侵蚀剥蚀丘陵、冲洪积倾斜平原、冲积平缓平原和谷地、冲湖积低平缓平原等六种地貌类型。现将主要地貌形态分布情况分述如下：</w:t>
      </w:r>
    </w:p>
    <w:p w14:paraId="49ACBB0B"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）山地（Ⅰ）</w:t>
      </w:r>
    </w:p>
    <w:p w14:paraId="029083AB"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侵蚀剥蚀中山（Ⅰ</w:t>
      </w: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）：主要分布在鲁山县西南部紧邻市界一带，面积约</w:t>
      </w:r>
      <w:r w:rsidRPr="00BB5174">
        <w:rPr>
          <w:rStyle w:val="00Char"/>
          <w:rFonts w:ascii="Calibri" w:hAnsi="Calibri" w:hint="eastAsia"/>
          <w:color w:val="000000" w:themeColor="text1"/>
        </w:rPr>
        <w:t>208km</w:t>
      </w:r>
      <w:r w:rsidRPr="00BB5174">
        <w:rPr>
          <w:rStyle w:val="00Char"/>
          <w:rFonts w:ascii="Calibri" w:hAnsi="Calibri" w:hint="eastAsia"/>
          <w:color w:val="000000" w:themeColor="text1"/>
          <w:vertAlign w:val="superscript"/>
        </w:rPr>
        <w:t>2</w:t>
      </w:r>
      <w:r w:rsidRPr="00BB5174">
        <w:rPr>
          <w:rStyle w:val="00Char"/>
          <w:rFonts w:ascii="Calibri" w:hAnsi="Calibri" w:hint="eastAsia"/>
          <w:color w:val="000000" w:themeColor="text1"/>
        </w:rPr>
        <w:t>，占全市总面积的</w:t>
      </w:r>
      <w:r w:rsidRPr="00BB5174">
        <w:rPr>
          <w:rStyle w:val="00Char"/>
          <w:rFonts w:ascii="Calibri" w:hAnsi="Calibri" w:hint="eastAsia"/>
          <w:color w:val="000000" w:themeColor="text1"/>
        </w:rPr>
        <w:t>2.64%</w:t>
      </w:r>
      <w:r w:rsidRPr="00BB5174">
        <w:rPr>
          <w:rStyle w:val="00Char"/>
          <w:rFonts w:ascii="Calibri" w:hAnsi="Calibri" w:hint="eastAsia"/>
          <w:color w:val="000000" w:themeColor="text1"/>
        </w:rPr>
        <w:t>。最高峰尧山海拔高度为</w:t>
      </w:r>
      <w:r w:rsidRPr="00BB5174">
        <w:rPr>
          <w:rStyle w:val="00Char"/>
          <w:rFonts w:ascii="Calibri" w:hAnsi="Calibri" w:hint="eastAsia"/>
          <w:color w:val="000000" w:themeColor="text1"/>
        </w:rPr>
        <w:t>2153.10m</w:t>
      </w:r>
      <w:r w:rsidRPr="00BB5174">
        <w:rPr>
          <w:rStyle w:val="00Char"/>
          <w:rFonts w:ascii="Calibri" w:hAnsi="Calibri" w:hint="eastAsia"/>
          <w:color w:val="000000" w:themeColor="text1"/>
        </w:rPr>
        <w:t>，组成岩性主要为花岗岩。</w:t>
      </w:r>
    </w:p>
    <w:p w14:paraId="7D17F575"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侵蚀剥蚀低山（Ⅰ</w:t>
      </w: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）：主要分布在汝州市北部、宝丰县西北部，石龙区中部，鲁山县西部，舞钢市南部紧邻市界一带，面积约</w:t>
      </w:r>
      <w:r w:rsidRPr="00BB5174">
        <w:rPr>
          <w:rStyle w:val="00Char"/>
          <w:rFonts w:ascii="Calibri" w:hAnsi="Calibri" w:hint="eastAsia"/>
          <w:color w:val="000000" w:themeColor="text1"/>
        </w:rPr>
        <w:t>1414km</w:t>
      </w:r>
      <w:r w:rsidRPr="00BB5174">
        <w:rPr>
          <w:rStyle w:val="00Char"/>
          <w:rFonts w:ascii="Calibri" w:hAnsi="Calibri" w:hint="eastAsia"/>
          <w:color w:val="000000" w:themeColor="text1"/>
          <w:vertAlign w:val="superscript"/>
        </w:rPr>
        <w:t>2</w:t>
      </w:r>
      <w:r w:rsidRPr="00BB5174">
        <w:rPr>
          <w:rStyle w:val="00Char"/>
          <w:rFonts w:ascii="Calibri" w:hAnsi="Calibri" w:hint="eastAsia"/>
          <w:color w:val="000000" w:themeColor="text1"/>
        </w:rPr>
        <w:t>，占全市总面积的</w:t>
      </w:r>
      <w:r w:rsidRPr="00BB5174">
        <w:rPr>
          <w:rStyle w:val="00Char"/>
          <w:rFonts w:ascii="Calibri" w:hAnsi="Calibri" w:hint="eastAsia"/>
          <w:color w:val="000000" w:themeColor="text1"/>
        </w:rPr>
        <w:t>17.94%</w:t>
      </w:r>
      <w:r w:rsidRPr="00BB5174">
        <w:rPr>
          <w:rStyle w:val="00Char"/>
          <w:rFonts w:ascii="Calibri" w:hAnsi="Calibri" w:hint="eastAsia"/>
          <w:color w:val="000000" w:themeColor="text1"/>
        </w:rPr>
        <w:t>。山地坡度较陡，一般在</w:t>
      </w:r>
      <w:r w:rsidRPr="00BB5174">
        <w:rPr>
          <w:rStyle w:val="00Char"/>
          <w:rFonts w:ascii="Calibri" w:hAnsi="Calibri" w:hint="eastAsia"/>
          <w:color w:val="000000" w:themeColor="text1"/>
        </w:rPr>
        <w:t>30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70</w:t>
      </w:r>
      <w:r w:rsidRPr="00BB5174">
        <w:rPr>
          <w:rStyle w:val="00Char"/>
          <w:rFonts w:ascii="Calibri" w:hAnsi="Calibri" w:hint="eastAsia"/>
          <w:color w:val="000000" w:themeColor="text1"/>
        </w:rPr>
        <w:t>°之间，冲沟发育、水土流失较严重。组成岩性为花岗岩、变质岩、喷出岩、灰岩、石英砂岩等。</w:t>
      </w:r>
    </w:p>
    <w:p w14:paraId="1B308E82"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）侵蚀剥蚀岗地（Ⅱ）</w:t>
      </w:r>
    </w:p>
    <w:p w14:paraId="30D7C527"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主要分布在宝丰县中西部，石龙区，鲁山县北部和东南部，叶县东南部，舞钢市西北部和东南部，在市区和郏县零星分布，面积约</w:t>
      </w:r>
      <w:r w:rsidRPr="00BB5174">
        <w:rPr>
          <w:rStyle w:val="00Char"/>
          <w:rFonts w:ascii="Calibri" w:hAnsi="Calibri" w:hint="eastAsia"/>
          <w:color w:val="000000" w:themeColor="text1"/>
        </w:rPr>
        <w:t>1643km</w:t>
      </w:r>
      <w:r w:rsidRPr="00BB5174">
        <w:rPr>
          <w:rStyle w:val="00Char"/>
          <w:rFonts w:ascii="Calibri" w:hAnsi="Calibri" w:hint="eastAsia"/>
          <w:color w:val="000000" w:themeColor="text1"/>
          <w:vertAlign w:val="superscript"/>
        </w:rPr>
        <w:t>2</w:t>
      </w:r>
      <w:r w:rsidRPr="00BB5174">
        <w:rPr>
          <w:rStyle w:val="00Char"/>
          <w:rFonts w:ascii="Calibri" w:hAnsi="Calibri" w:hint="eastAsia"/>
          <w:color w:val="000000" w:themeColor="text1"/>
        </w:rPr>
        <w:t>，占全市总面积的</w:t>
      </w:r>
      <w:r w:rsidRPr="00BB5174">
        <w:rPr>
          <w:rStyle w:val="00Char"/>
          <w:rFonts w:ascii="Calibri" w:hAnsi="Calibri" w:hint="eastAsia"/>
          <w:color w:val="000000" w:themeColor="text1"/>
        </w:rPr>
        <w:t>20.85%</w:t>
      </w:r>
      <w:r w:rsidRPr="00BB5174">
        <w:rPr>
          <w:rStyle w:val="00Char"/>
          <w:rFonts w:ascii="Calibri" w:hAnsi="Calibri" w:hint="eastAsia"/>
          <w:color w:val="000000" w:themeColor="text1"/>
        </w:rPr>
        <w:t>。山坡坡度较小，一般小于</w:t>
      </w:r>
      <w:r w:rsidRPr="00BB5174">
        <w:rPr>
          <w:rStyle w:val="00Char"/>
          <w:rFonts w:ascii="Calibri" w:hAnsi="Calibri" w:hint="eastAsia"/>
          <w:color w:val="000000" w:themeColor="text1"/>
        </w:rPr>
        <w:t>30</w:t>
      </w:r>
      <w:r w:rsidRPr="00BB5174">
        <w:rPr>
          <w:rStyle w:val="00Char"/>
          <w:rFonts w:ascii="Calibri" w:hAnsi="Calibri" w:hint="eastAsia"/>
          <w:color w:val="000000" w:themeColor="text1"/>
        </w:rPr>
        <w:t>°；冲沟发育，切割深度一般在</w:t>
      </w:r>
      <w:r w:rsidRPr="00BB5174">
        <w:rPr>
          <w:rStyle w:val="00Char"/>
          <w:rFonts w:ascii="Calibri" w:hAnsi="Calibri" w:hint="eastAsia"/>
          <w:color w:val="000000" w:themeColor="text1"/>
        </w:rPr>
        <w:t>10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20m</w:t>
      </w:r>
      <w:r w:rsidRPr="00BB5174">
        <w:rPr>
          <w:rStyle w:val="00Char"/>
          <w:rFonts w:ascii="Calibri" w:hAnsi="Calibri" w:hint="eastAsia"/>
          <w:color w:val="000000" w:themeColor="text1"/>
        </w:rPr>
        <w:t>，局部达</w:t>
      </w:r>
      <w:r w:rsidRPr="00BB5174">
        <w:rPr>
          <w:rStyle w:val="00Char"/>
          <w:rFonts w:ascii="Calibri" w:hAnsi="Calibri" w:hint="eastAsia"/>
          <w:color w:val="000000" w:themeColor="text1"/>
        </w:rPr>
        <w:t>30m</w:t>
      </w:r>
      <w:r w:rsidRPr="00BB5174">
        <w:rPr>
          <w:rStyle w:val="00Char"/>
          <w:rFonts w:ascii="Calibri" w:hAnsi="Calibri" w:hint="eastAsia"/>
          <w:color w:val="000000" w:themeColor="text1"/>
        </w:rPr>
        <w:t>。组成岩性为变质岩、灰岩、少数喷出岩，以及砾石、亚粘土、亚砂土。</w:t>
      </w:r>
    </w:p>
    <w:p w14:paraId="60B33E49"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3</w:t>
      </w:r>
      <w:r w:rsidRPr="00BB5174">
        <w:rPr>
          <w:rStyle w:val="00Char"/>
          <w:rFonts w:ascii="Calibri" w:hAnsi="Calibri" w:hint="eastAsia"/>
          <w:color w:val="000000" w:themeColor="text1"/>
        </w:rPr>
        <w:t>）平原（Ⅲ）</w:t>
      </w:r>
    </w:p>
    <w:p w14:paraId="57695D8B"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冲洪积倾斜平原（Ⅲ</w:t>
      </w: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）：主要分布在汝州市中部、郏县西北部、宝丰县中部、鲁山县东南部、叶县南部、舞钢市中部的山前地带，面积约</w:t>
      </w:r>
      <w:r w:rsidRPr="00BB5174">
        <w:rPr>
          <w:rStyle w:val="00Char"/>
          <w:rFonts w:ascii="Calibri" w:hAnsi="Calibri" w:hint="eastAsia"/>
          <w:color w:val="000000" w:themeColor="text1"/>
        </w:rPr>
        <w:t>1545km</w:t>
      </w:r>
      <w:r w:rsidRPr="00BB5174">
        <w:rPr>
          <w:rStyle w:val="00Char"/>
          <w:rFonts w:ascii="Calibri" w:hAnsi="Calibri" w:hint="eastAsia"/>
          <w:color w:val="000000" w:themeColor="text1"/>
          <w:vertAlign w:val="superscript"/>
        </w:rPr>
        <w:t>2</w:t>
      </w:r>
      <w:r w:rsidRPr="00BB5174">
        <w:rPr>
          <w:rStyle w:val="00Char"/>
          <w:rFonts w:ascii="Calibri" w:hAnsi="Calibri" w:hint="eastAsia"/>
          <w:color w:val="000000" w:themeColor="text1"/>
        </w:rPr>
        <w:t>，占全市总面积的</w:t>
      </w:r>
      <w:r w:rsidRPr="00BB5174">
        <w:rPr>
          <w:rStyle w:val="00Char"/>
          <w:rFonts w:ascii="Calibri" w:hAnsi="Calibri" w:hint="eastAsia"/>
          <w:color w:val="000000" w:themeColor="text1"/>
        </w:rPr>
        <w:t>19.60%</w:t>
      </w:r>
      <w:r w:rsidRPr="00BB5174">
        <w:rPr>
          <w:rStyle w:val="00Char"/>
          <w:rFonts w:ascii="Calibri" w:hAnsi="Calibri" w:hint="eastAsia"/>
          <w:color w:val="000000" w:themeColor="text1"/>
        </w:rPr>
        <w:t>。以向南、向东倾斜为主，地势略有起伏，地面高程</w:t>
      </w:r>
      <w:r w:rsidRPr="00BB5174">
        <w:rPr>
          <w:rStyle w:val="00Char"/>
          <w:rFonts w:ascii="Calibri" w:hAnsi="Calibri" w:hint="eastAsia"/>
          <w:color w:val="000000" w:themeColor="text1"/>
        </w:rPr>
        <w:t>100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200m</w:t>
      </w:r>
      <w:r w:rsidRPr="00BB5174">
        <w:rPr>
          <w:rStyle w:val="00Char"/>
          <w:rFonts w:ascii="Calibri" w:hAnsi="Calibri" w:hint="eastAsia"/>
          <w:color w:val="000000" w:themeColor="text1"/>
        </w:rPr>
        <w:t>。组成岩性主要为棕红色、杂色粘土及泥砾，局部有冲洪积粘土和黄土覆盖。</w:t>
      </w:r>
    </w:p>
    <w:p w14:paraId="00369456"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冲积平缓平原和谷地（Ⅲ</w:t>
      </w: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）：主要由北部的汝河冲积平原和南部的沙河、澧河冲积平原组成，分布在汝州市中部、郏县南部，宝丰县东部、鲁山县东部、市区、</w:t>
      </w:r>
      <w:r w:rsidRPr="00BB5174">
        <w:rPr>
          <w:rStyle w:val="00Char"/>
          <w:rFonts w:ascii="Calibri" w:hAnsi="Calibri" w:hint="eastAsia"/>
          <w:color w:val="000000" w:themeColor="text1"/>
        </w:rPr>
        <w:lastRenderedPageBreak/>
        <w:t>叶县中东部、舞钢市东北部，面积约</w:t>
      </w:r>
      <w:r w:rsidRPr="00BB5174">
        <w:rPr>
          <w:rStyle w:val="00Char"/>
          <w:rFonts w:ascii="Calibri" w:hAnsi="Calibri" w:hint="eastAsia"/>
          <w:color w:val="000000" w:themeColor="text1"/>
        </w:rPr>
        <w:t>2837km</w:t>
      </w:r>
      <w:r w:rsidRPr="00BB5174">
        <w:rPr>
          <w:rStyle w:val="00Char"/>
          <w:rFonts w:ascii="Calibri" w:hAnsi="Calibri" w:hint="eastAsia"/>
          <w:color w:val="000000" w:themeColor="text1"/>
          <w:vertAlign w:val="superscript"/>
        </w:rPr>
        <w:t>2</w:t>
      </w:r>
      <w:r w:rsidRPr="00BB5174">
        <w:rPr>
          <w:rStyle w:val="00Char"/>
          <w:rFonts w:ascii="Calibri" w:hAnsi="Calibri" w:hint="eastAsia"/>
          <w:color w:val="000000" w:themeColor="text1"/>
        </w:rPr>
        <w:t>，占全市总面积的</w:t>
      </w:r>
      <w:r w:rsidRPr="00BB5174">
        <w:rPr>
          <w:rStyle w:val="00Char"/>
          <w:rFonts w:ascii="Calibri" w:hAnsi="Calibri" w:hint="eastAsia"/>
          <w:color w:val="000000" w:themeColor="text1"/>
        </w:rPr>
        <w:t>35.99%</w:t>
      </w:r>
      <w:r w:rsidRPr="00BB5174">
        <w:rPr>
          <w:rStyle w:val="00Char"/>
          <w:rFonts w:ascii="Calibri" w:hAnsi="Calibri" w:hint="eastAsia"/>
          <w:color w:val="000000" w:themeColor="text1"/>
        </w:rPr>
        <w:t>。地势较为平坦，微向东南倾斜，地面高程</w:t>
      </w:r>
      <w:r w:rsidRPr="00BB5174">
        <w:rPr>
          <w:rStyle w:val="00Char"/>
          <w:rFonts w:ascii="Calibri" w:hAnsi="Calibri" w:hint="eastAsia"/>
          <w:color w:val="000000" w:themeColor="text1"/>
        </w:rPr>
        <w:t>50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120m</w:t>
      </w:r>
      <w:r w:rsidRPr="00BB5174">
        <w:rPr>
          <w:rStyle w:val="00Char"/>
          <w:rFonts w:ascii="Calibri" w:hAnsi="Calibri" w:hint="eastAsia"/>
          <w:color w:val="000000" w:themeColor="text1"/>
        </w:rPr>
        <w:t>。组成岩性主要为棕黄色黄土状粉土、粉质粘土和砂、砂砾石等。</w:t>
      </w:r>
    </w:p>
    <w:p w14:paraId="48E55DDD"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冲湖积低平缓平原（Ⅲ</w:t>
      </w:r>
      <w:r w:rsidRPr="00BB5174">
        <w:rPr>
          <w:rStyle w:val="00Char"/>
          <w:rFonts w:ascii="Calibri" w:hAnsi="Calibri" w:hint="eastAsia"/>
          <w:color w:val="000000" w:themeColor="text1"/>
        </w:rPr>
        <w:t>3</w:t>
      </w:r>
      <w:r w:rsidRPr="00BB5174">
        <w:rPr>
          <w:rStyle w:val="00Char"/>
          <w:rFonts w:ascii="Calibri" w:hAnsi="Calibri" w:hint="eastAsia"/>
          <w:color w:val="000000" w:themeColor="text1"/>
        </w:rPr>
        <w:t>）：零星分布于宝丰县中部和叶县东北部，面积约</w:t>
      </w:r>
      <w:r w:rsidRPr="00BB5174">
        <w:rPr>
          <w:rStyle w:val="00Char"/>
          <w:rFonts w:ascii="Calibri" w:hAnsi="Calibri" w:hint="eastAsia"/>
          <w:color w:val="000000" w:themeColor="text1"/>
        </w:rPr>
        <w:t>235km</w:t>
      </w:r>
      <w:r w:rsidRPr="00BB5174">
        <w:rPr>
          <w:rStyle w:val="00Char"/>
          <w:rFonts w:ascii="Calibri" w:hAnsi="Calibri" w:hint="eastAsia"/>
          <w:color w:val="000000" w:themeColor="text1"/>
          <w:vertAlign w:val="superscript"/>
        </w:rPr>
        <w:t>2</w:t>
      </w:r>
      <w:r w:rsidRPr="00BB5174">
        <w:rPr>
          <w:rStyle w:val="00Char"/>
          <w:rFonts w:ascii="Calibri" w:hAnsi="Calibri" w:hint="eastAsia"/>
          <w:color w:val="000000" w:themeColor="text1"/>
        </w:rPr>
        <w:t>，占全市总面积的</w:t>
      </w:r>
      <w:r w:rsidRPr="00BB5174">
        <w:rPr>
          <w:rStyle w:val="00Char"/>
          <w:rFonts w:ascii="Calibri" w:hAnsi="Calibri" w:hint="eastAsia"/>
          <w:color w:val="000000" w:themeColor="text1"/>
        </w:rPr>
        <w:t>2.98%</w:t>
      </w:r>
      <w:r w:rsidRPr="00BB5174">
        <w:rPr>
          <w:rStyle w:val="00Char"/>
          <w:rFonts w:ascii="Calibri" w:hAnsi="Calibri" w:hint="eastAsia"/>
          <w:color w:val="000000" w:themeColor="text1"/>
        </w:rPr>
        <w:t>。地势略有起伏，地面高程</w:t>
      </w:r>
      <w:r w:rsidRPr="00BB5174">
        <w:rPr>
          <w:rStyle w:val="00Char"/>
          <w:rFonts w:ascii="Calibri" w:hAnsi="Calibri" w:hint="eastAsia"/>
          <w:color w:val="000000" w:themeColor="text1"/>
        </w:rPr>
        <w:t>20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70m</w:t>
      </w:r>
      <w:r w:rsidRPr="00BB5174">
        <w:rPr>
          <w:rStyle w:val="00Char"/>
          <w:rFonts w:ascii="Calibri" w:hAnsi="Calibri" w:hint="eastAsia"/>
          <w:color w:val="000000" w:themeColor="text1"/>
        </w:rPr>
        <w:t>。组成岩性主要为黄褐色粉土、粉质粘土和砂、砂砾石等。</w:t>
      </w:r>
    </w:p>
    <w:p w14:paraId="224ED116" w14:textId="77777777" w:rsidR="00BC4412" w:rsidRPr="00BB5174" w:rsidRDefault="00BC4412" w:rsidP="00BC4412">
      <w:pPr>
        <w:spacing w:line="520" w:lineRule="exact"/>
        <w:ind w:firstLineChars="200" w:firstLine="482"/>
        <w:textAlignment w:val="baseline"/>
        <w:rPr>
          <w:rStyle w:val="00Char"/>
          <w:rFonts w:ascii="Calibri" w:hAnsi="Calibri"/>
          <w:b/>
          <w:color w:val="000000" w:themeColor="text1"/>
        </w:rPr>
      </w:pPr>
      <w:r>
        <w:rPr>
          <w:rStyle w:val="00Char"/>
          <w:rFonts w:ascii="Calibri" w:hAnsi="Calibri" w:hint="eastAsia"/>
          <w:b/>
          <w:color w:val="000000" w:themeColor="text1"/>
        </w:rPr>
        <w:t>B</w:t>
      </w:r>
      <w:r>
        <w:rPr>
          <w:rStyle w:val="00Char"/>
          <w:rFonts w:ascii="Calibri" w:hAnsi="Calibri" w:hint="eastAsia"/>
          <w:b/>
          <w:color w:val="000000" w:themeColor="text1"/>
        </w:rPr>
        <w:t>、地</w:t>
      </w:r>
      <w:r w:rsidRPr="00BB5174">
        <w:rPr>
          <w:rStyle w:val="00Char"/>
          <w:rFonts w:ascii="Calibri" w:hAnsi="Calibri" w:hint="eastAsia"/>
          <w:b/>
          <w:color w:val="000000" w:themeColor="text1"/>
        </w:rPr>
        <w:t>层岩性与构造</w:t>
      </w:r>
    </w:p>
    <w:p w14:paraId="44B80D23"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（一）地层岩性</w:t>
      </w:r>
    </w:p>
    <w:p w14:paraId="63DCD0E1"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在河南省地层区划中，评价区属华北地层区豫西—豫东南分区。评价区内的主要地层由老到新分述如下：</w:t>
      </w:r>
    </w:p>
    <w:p w14:paraId="2946276C"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）上元古界震旦系（</w:t>
      </w:r>
      <w:r w:rsidRPr="00BB5174">
        <w:rPr>
          <w:rStyle w:val="00Char"/>
          <w:rFonts w:ascii="Calibri" w:hAnsi="Calibri" w:hint="eastAsia"/>
          <w:color w:val="000000" w:themeColor="text1"/>
        </w:rPr>
        <w:t>Z</w:t>
      </w:r>
      <w:r w:rsidRPr="00BB5174">
        <w:rPr>
          <w:rStyle w:val="00Char"/>
          <w:rFonts w:ascii="Calibri" w:hAnsi="Calibri" w:hint="eastAsia"/>
          <w:color w:val="000000" w:themeColor="text1"/>
        </w:rPr>
        <w:t>）</w:t>
      </w:r>
    </w:p>
    <w:p w14:paraId="0363325B"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分布于汝州市蟒川镇南部，宝丰县西部和南部，鲁山县瓦屋乡岳村北部、梁洼镇西部和下汤镇北部，平顶山矿区西南部，郏县北部地区，叶县常村，舞钢市柏庄寨、上曹和尹集一带。自下而上分为罗圈组、东坡组、黄连垛组和董家组。与下伏洛峪群崔庄组呈平行不整合接触。</w:t>
      </w:r>
    </w:p>
    <w:p w14:paraId="0F8F718D"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罗圈组（</w:t>
      </w:r>
      <w:r w:rsidRPr="00BB5174">
        <w:rPr>
          <w:rStyle w:val="00Char"/>
          <w:rFonts w:ascii="Calibri" w:hAnsi="Calibri" w:hint="eastAsia"/>
          <w:color w:val="000000" w:themeColor="text1"/>
        </w:rPr>
        <w:t>Zl</w:t>
      </w:r>
      <w:r w:rsidRPr="00BB5174">
        <w:rPr>
          <w:rStyle w:val="00Char"/>
          <w:rFonts w:ascii="Calibri" w:hAnsi="Calibri" w:hint="eastAsia"/>
          <w:color w:val="000000" w:themeColor="text1"/>
        </w:rPr>
        <w:t>）：岩性为砖红—灰绿色含砾砂泥岩、紫红色块状钙质泥砾岩等。属冰川成因。厚</w:t>
      </w:r>
      <w:r w:rsidRPr="00BB5174">
        <w:rPr>
          <w:rStyle w:val="00Char"/>
          <w:rFonts w:ascii="Calibri" w:hAnsi="Calibri" w:hint="eastAsia"/>
          <w:color w:val="000000" w:themeColor="text1"/>
        </w:rPr>
        <w:t>91</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202m</w:t>
      </w:r>
      <w:r w:rsidRPr="00BB5174">
        <w:rPr>
          <w:rStyle w:val="00Char"/>
          <w:rFonts w:ascii="Calibri" w:hAnsi="Calibri" w:hint="eastAsia"/>
          <w:color w:val="000000" w:themeColor="text1"/>
        </w:rPr>
        <w:t>。</w:t>
      </w:r>
    </w:p>
    <w:p w14:paraId="0D03F34F"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东坡组（</w:t>
      </w:r>
      <w:r w:rsidRPr="00BB5174">
        <w:rPr>
          <w:rStyle w:val="00Char"/>
          <w:rFonts w:ascii="Calibri" w:hAnsi="Calibri" w:hint="eastAsia"/>
          <w:color w:val="000000" w:themeColor="text1"/>
        </w:rPr>
        <w:t>Zd</w:t>
      </w:r>
      <w:r w:rsidRPr="00BB5174">
        <w:rPr>
          <w:rStyle w:val="00Char"/>
          <w:rFonts w:ascii="Calibri" w:hAnsi="Calibri" w:hint="eastAsia"/>
          <w:color w:val="000000" w:themeColor="text1"/>
        </w:rPr>
        <w:t>）：岩性主要为红褐粉砂质页岩、灰绿色页岩，上部夹海绿石粉砂岩。属浅海沉积。厚约</w:t>
      </w:r>
      <w:r w:rsidRPr="00BB5174">
        <w:rPr>
          <w:rStyle w:val="00Char"/>
          <w:rFonts w:ascii="Calibri" w:hAnsi="Calibri" w:hint="eastAsia"/>
          <w:color w:val="000000" w:themeColor="text1"/>
        </w:rPr>
        <w:t>94m</w:t>
      </w:r>
      <w:r w:rsidRPr="00BB5174">
        <w:rPr>
          <w:rStyle w:val="00Char"/>
          <w:rFonts w:ascii="Calibri" w:hAnsi="Calibri" w:hint="eastAsia"/>
          <w:color w:val="000000" w:themeColor="text1"/>
        </w:rPr>
        <w:t>。该组是伊利石矿的含矿层位。</w:t>
      </w:r>
    </w:p>
    <w:p w14:paraId="6B99E34E"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黄连垛组（</w:t>
      </w:r>
      <w:r w:rsidRPr="00BB5174">
        <w:rPr>
          <w:rStyle w:val="00Char"/>
          <w:rFonts w:ascii="Calibri" w:hAnsi="Calibri" w:hint="eastAsia"/>
          <w:color w:val="000000" w:themeColor="text1"/>
        </w:rPr>
        <w:t>Zh</w:t>
      </w:r>
      <w:r w:rsidRPr="00BB5174">
        <w:rPr>
          <w:rStyle w:val="00Char"/>
          <w:rFonts w:ascii="Calibri" w:hAnsi="Calibri" w:hint="eastAsia"/>
          <w:color w:val="000000" w:themeColor="text1"/>
        </w:rPr>
        <w:t>）：岩性主要为硅质条带白云岩、白云岩，夹砂砾岩及石英砂岩，底为砾岩，顶为燧石岩。厚</w:t>
      </w:r>
      <w:r w:rsidRPr="00BB5174">
        <w:rPr>
          <w:rStyle w:val="00Char"/>
          <w:rFonts w:ascii="Calibri" w:hAnsi="Calibri" w:hint="eastAsia"/>
          <w:color w:val="000000" w:themeColor="text1"/>
        </w:rPr>
        <w:t>133</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445m</w:t>
      </w:r>
      <w:r w:rsidRPr="00BB5174">
        <w:rPr>
          <w:rStyle w:val="00Char"/>
          <w:rFonts w:ascii="Calibri" w:hAnsi="Calibri" w:hint="eastAsia"/>
          <w:color w:val="000000" w:themeColor="text1"/>
        </w:rPr>
        <w:t>。</w:t>
      </w:r>
    </w:p>
    <w:p w14:paraId="09B21DBA"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④</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董家组（</w:t>
      </w:r>
      <w:r w:rsidRPr="00BB5174">
        <w:rPr>
          <w:rStyle w:val="00Char"/>
          <w:rFonts w:ascii="Calibri" w:hAnsi="Calibri" w:hint="eastAsia"/>
          <w:color w:val="000000" w:themeColor="text1"/>
        </w:rPr>
        <w:t>Zdj</w:t>
      </w:r>
      <w:r w:rsidRPr="00BB5174">
        <w:rPr>
          <w:rStyle w:val="00Char"/>
          <w:rFonts w:ascii="Calibri" w:hAnsi="Calibri" w:hint="eastAsia"/>
          <w:color w:val="000000" w:themeColor="text1"/>
        </w:rPr>
        <w:t>）：以灰白色厚层—中厚层砂砾岩与下伏黄连垛组呈假整合接触。上部以黄色、淡红色厚层状泥质白云质灰岩与上覆罗圈组假整合接触。岩性主要由砂砾岩、碎屑岩、泥质碳酸盐岩组成。厚</w:t>
      </w:r>
      <w:r w:rsidRPr="00BB5174">
        <w:rPr>
          <w:rStyle w:val="00Char"/>
          <w:rFonts w:ascii="Calibri" w:hAnsi="Calibri" w:hint="eastAsia"/>
          <w:color w:val="000000" w:themeColor="text1"/>
        </w:rPr>
        <w:t>100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260m</w:t>
      </w:r>
      <w:r w:rsidRPr="00BB5174">
        <w:rPr>
          <w:rStyle w:val="00Char"/>
          <w:rFonts w:ascii="Calibri" w:hAnsi="Calibri" w:hint="eastAsia"/>
          <w:color w:val="000000" w:themeColor="text1"/>
        </w:rPr>
        <w:t>。</w:t>
      </w:r>
    </w:p>
    <w:p w14:paraId="112B1BC0"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）下古生界寒武系（∈）</w:t>
      </w:r>
    </w:p>
    <w:p w14:paraId="3DD44A8D"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广泛出露于汝州市北部和西南部，宝丰县南部，鲁山县梁洼镇段店、瓦屋乡岳村</w:t>
      </w:r>
      <w:r w:rsidRPr="00BB5174">
        <w:rPr>
          <w:rStyle w:val="00Char"/>
          <w:rFonts w:ascii="Calibri" w:hAnsi="Calibri" w:hint="eastAsia"/>
          <w:color w:val="000000" w:themeColor="text1"/>
        </w:rPr>
        <w:lastRenderedPageBreak/>
        <w:t>北部、下汤镇北部，郏县北部，石龙区，叶县保安东部一带。舞钢市柏庄寨、尹集有零星出露。平行不整合于震旦系东坡组之上。自下而上分为下统辛集组、朱砂硐组、馒头组，中统毛庄组、徐庄组和张夏组，上统崮山组和长山组，各组之间为整合接触。</w:t>
      </w:r>
    </w:p>
    <w:p w14:paraId="143CC6BC"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辛集组（∈</w:t>
      </w:r>
      <w:r w:rsidRPr="00BB5174">
        <w:rPr>
          <w:rStyle w:val="00Char"/>
          <w:rFonts w:ascii="Calibri" w:hAnsi="Calibri" w:hint="eastAsia"/>
          <w:color w:val="000000" w:themeColor="text1"/>
        </w:rPr>
        <w:t>1x</w:t>
      </w:r>
      <w:r w:rsidRPr="00BB5174">
        <w:rPr>
          <w:rStyle w:val="00Char"/>
          <w:rFonts w:ascii="Calibri" w:hAnsi="Calibri" w:hint="eastAsia"/>
          <w:color w:val="000000" w:themeColor="text1"/>
        </w:rPr>
        <w:t>）：下部为含磷砂砾岩夹含海绿石砂岩，中部为生物碎屑灰岩夹含海绿石砂岩，上部为含鲕粒粉晶灰岩。厚</w:t>
      </w:r>
      <w:r w:rsidRPr="00BB5174">
        <w:rPr>
          <w:rStyle w:val="00Char"/>
          <w:rFonts w:ascii="Calibri" w:hAnsi="Calibri" w:hint="eastAsia"/>
          <w:color w:val="000000" w:themeColor="text1"/>
        </w:rPr>
        <w:t>15</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86m</w:t>
      </w:r>
      <w:r w:rsidRPr="00BB5174">
        <w:rPr>
          <w:rStyle w:val="00Char"/>
          <w:rFonts w:ascii="Calibri" w:hAnsi="Calibri" w:hint="eastAsia"/>
          <w:color w:val="000000" w:themeColor="text1"/>
        </w:rPr>
        <w:t>。该组是重要含磷层位。</w:t>
      </w:r>
    </w:p>
    <w:p w14:paraId="7AA0E705"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朱砂硐组（∈</w:t>
      </w:r>
      <w:r w:rsidRPr="00BB5174">
        <w:rPr>
          <w:rStyle w:val="00Char"/>
          <w:rFonts w:ascii="Calibri" w:hAnsi="Calibri" w:hint="eastAsia"/>
          <w:color w:val="000000" w:themeColor="text1"/>
        </w:rPr>
        <w:t>1z</w:t>
      </w:r>
      <w:r w:rsidRPr="00BB5174">
        <w:rPr>
          <w:rStyle w:val="00Char"/>
          <w:rFonts w:ascii="Calibri" w:hAnsi="Calibri" w:hint="eastAsia"/>
          <w:color w:val="000000" w:themeColor="text1"/>
        </w:rPr>
        <w:t>）：主要为灰色厚层状白云质灰岩、含燧石白云质灰岩、豹皮状灰岩等。厚</w:t>
      </w:r>
      <w:r w:rsidRPr="00BB5174">
        <w:rPr>
          <w:rStyle w:val="00Char"/>
          <w:rFonts w:ascii="Calibri" w:hAnsi="Calibri" w:hint="eastAsia"/>
          <w:color w:val="000000" w:themeColor="text1"/>
        </w:rPr>
        <w:t>42</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101m</w:t>
      </w:r>
      <w:r w:rsidRPr="00BB5174">
        <w:rPr>
          <w:rStyle w:val="00Char"/>
          <w:rFonts w:ascii="Calibri" w:hAnsi="Calibri" w:hint="eastAsia"/>
          <w:color w:val="000000" w:themeColor="text1"/>
        </w:rPr>
        <w:t>。区域上该组是重要的含石膏层位。</w:t>
      </w:r>
    </w:p>
    <w:p w14:paraId="09CBAB06"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馒头组（∈</w:t>
      </w:r>
      <w:r w:rsidRPr="00BB5174">
        <w:rPr>
          <w:rStyle w:val="00Char"/>
          <w:rFonts w:ascii="Calibri" w:hAnsi="Calibri" w:hint="eastAsia"/>
          <w:color w:val="000000" w:themeColor="text1"/>
        </w:rPr>
        <w:t>1m</w:t>
      </w:r>
      <w:r w:rsidRPr="00BB5174">
        <w:rPr>
          <w:rStyle w:val="00Char"/>
          <w:rFonts w:ascii="Calibri" w:hAnsi="Calibri" w:hint="eastAsia"/>
          <w:color w:val="000000" w:themeColor="text1"/>
        </w:rPr>
        <w:t>）：下部为细砂屑石灰岩、含粉晶白云岩、白云质灰岩；中部为泥晶—细粉晶灰岩、白云岩，上部为泥质粉砂岩夹页岩等。厚</w:t>
      </w:r>
      <w:r w:rsidRPr="00BB5174">
        <w:rPr>
          <w:rStyle w:val="00Char"/>
          <w:rFonts w:ascii="Calibri" w:hAnsi="Calibri" w:hint="eastAsia"/>
          <w:color w:val="000000" w:themeColor="text1"/>
        </w:rPr>
        <w:t>84</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180m</w:t>
      </w:r>
      <w:r w:rsidRPr="00BB5174">
        <w:rPr>
          <w:rStyle w:val="00Char"/>
          <w:rFonts w:ascii="Calibri" w:hAnsi="Calibri" w:hint="eastAsia"/>
          <w:color w:val="000000" w:themeColor="text1"/>
        </w:rPr>
        <w:t>。</w:t>
      </w:r>
    </w:p>
    <w:p w14:paraId="656CB090"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④</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毛庄组（∈</w:t>
      </w:r>
      <w:r w:rsidRPr="00BB5174">
        <w:rPr>
          <w:rStyle w:val="00Char"/>
          <w:rFonts w:ascii="Calibri" w:hAnsi="Calibri" w:hint="eastAsia"/>
          <w:color w:val="000000" w:themeColor="text1"/>
        </w:rPr>
        <w:t>2mz</w:t>
      </w:r>
      <w:r w:rsidRPr="00BB5174">
        <w:rPr>
          <w:rStyle w:val="00Char"/>
          <w:rFonts w:ascii="Calibri" w:hAnsi="Calibri" w:hint="eastAsia"/>
          <w:color w:val="000000" w:themeColor="text1"/>
        </w:rPr>
        <w:t>）：主要为暗紫红色泥质粉砂岩、粉砂岩夹紫红色泥岩，藻屑灰岩、鲕粒灰岩和泥晶灰岩等。厚</w:t>
      </w:r>
      <w:r w:rsidRPr="00BB5174">
        <w:rPr>
          <w:rStyle w:val="00Char"/>
          <w:rFonts w:ascii="Calibri" w:hAnsi="Calibri" w:hint="eastAsia"/>
          <w:color w:val="000000" w:themeColor="text1"/>
        </w:rPr>
        <w:t>65</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138m</w:t>
      </w:r>
      <w:r w:rsidRPr="00BB5174">
        <w:rPr>
          <w:rStyle w:val="00Char"/>
          <w:rFonts w:ascii="Calibri" w:hAnsi="Calibri" w:hint="eastAsia"/>
          <w:color w:val="000000" w:themeColor="text1"/>
        </w:rPr>
        <w:t>。该组是紫砂陶陶瓷土含矿层位之一。</w:t>
      </w:r>
    </w:p>
    <w:p w14:paraId="15BE64AC"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⑤</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徐庄组（∈</w:t>
      </w:r>
      <w:r w:rsidRPr="00BB5174">
        <w:rPr>
          <w:rStyle w:val="00Char"/>
          <w:rFonts w:ascii="Calibri" w:hAnsi="Calibri" w:hint="eastAsia"/>
          <w:color w:val="000000" w:themeColor="text1"/>
        </w:rPr>
        <w:t>2x</w:t>
      </w:r>
      <w:r w:rsidRPr="00BB5174">
        <w:rPr>
          <w:rStyle w:val="00Char"/>
          <w:rFonts w:ascii="Calibri" w:hAnsi="Calibri" w:hint="eastAsia"/>
          <w:color w:val="000000" w:themeColor="text1"/>
        </w:rPr>
        <w:t>）：下部为泥质粉砂岩、粉砂质页岩夹薄层藻屑灰岩、泥晶灰岩。上部为中薄层鲕粒灰岩、砾屑灰岩、生物碎屑灰岩夹细砂岩、粉砂岩。厚</w:t>
      </w:r>
      <w:r w:rsidRPr="00BB5174">
        <w:rPr>
          <w:rStyle w:val="00Char"/>
          <w:rFonts w:ascii="Calibri" w:hAnsi="Calibri" w:hint="eastAsia"/>
          <w:color w:val="000000" w:themeColor="text1"/>
        </w:rPr>
        <w:t>42</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343m</w:t>
      </w:r>
      <w:r w:rsidRPr="00BB5174">
        <w:rPr>
          <w:rStyle w:val="00Char"/>
          <w:rFonts w:ascii="Calibri" w:hAnsi="Calibri" w:hint="eastAsia"/>
          <w:color w:val="000000" w:themeColor="text1"/>
        </w:rPr>
        <w:t>。该组是水泥灰岩重要含矿层位。</w:t>
      </w:r>
    </w:p>
    <w:p w14:paraId="4428E497"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⑥</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张夏组（∈</w:t>
      </w:r>
      <w:r w:rsidRPr="00BB5174">
        <w:rPr>
          <w:rStyle w:val="00Char"/>
          <w:rFonts w:ascii="Calibri" w:hAnsi="Calibri" w:hint="eastAsia"/>
          <w:color w:val="000000" w:themeColor="text1"/>
        </w:rPr>
        <w:t>2zh</w:t>
      </w:r>
      <w:r w:rsidRPr="00BB5174">
        <w:rPr>
          <w:rStyle w:val="00Char"/>
          <w:rFonts w:ascii="Calibri" w:hAnsi="Calibri" w:hint="eastAsia"/>
          <w:color w:val="000000" w:themeColor="text1"/>
        </w:rPr>
        <w:t>）：下部以鲕粒灰岩为主，夹生物碎屑灰岩、泥晶灰岩等。上部为细晶白云岩、泥砂质白云岩及白云质灰岩等。厚</w:t>
      </w:r>
      <w:r w:rsidRPr="00BB5174">
        <w:rPr>
          <w:rStyle w:val="00Char"/>
          <w:rFonts w:ascii="Calibri" w:hAnsi="Calibri" w:hint="eastAsia"/>
          <w:color w:val="000000" w:themeColor="text1"/>
        </w:rPr>
        <w:t>58</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141m</w:t>
      </w:r>
      <w:r w:rsidRPr="00BB5174">
        <w:rPr>
          <w:rStyle w:val="00Char"/>
          <w:rFonts w:ascii="Calibri" w:hAnsi="Calibri" w:hint="eastAsia"/>
          <w:color w:val="000000" w:themeColor="text1"/>
        </w:rPr>
        <w:t>。该组是水泥灰岩、白云岩的重要含矿层位。</w:t>
      </w:r>
    </w:p>
    <w:p w14:paraId="6FD640FB" w14:textId="77777777" w:rsidR="00BC4412" w:rsidRPr="00BB5174" w:rsidRDefault="00BC4412" w:rsidP="00682A7C">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⑦</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崮山组（∈</w:t>
      </w:r>
      <w:r w:rsidRPr="00BB5174">
        <w:rPr>
          <w:rStyle w:val="00Char"/>
          <w:rFonts w:ascii="Calibri" w:hAnsi="Calibri" w:hint="eastAsia"/>
          <w:color w:val="000000" w:themeColor="text1"/>
        </w:rPr>
        <w:t>3g</w:t>
      </w:r>
      <w:r w:rsidRPr="00BB5174">
        <w:rPr>
          <w:rStyle w:val="00Char"/>
          <w:rFonts w:ascii="Calibri" w:hAnsi="Calibri" w:hint="eastAsia"/>
          <w:color w:val="000000" w:themeColor="text1"/>
        </w:rPr>
        <w:t>）：上部为黄色薄板状含泥质条带白云质灰岩，下部为深灰色、灰色厚层鲕状白云质灰岩。厚</w:t>
      </w:r>
      <w:r w:rsidRPr="00BB5174">
        <w:rPr>
          <w:rStyle w:val="00Char"/>
          <w:rFonts w:ascii="Calibri" w:hAnsi="Calibri" w:hint="eastAsia"/>
          <w:color w:val="000000" w:themeColor="text1"/>
        </w:rPr>
        <w:t>4</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189m</w:t>
      </w:r>
      <w:r w:rsidRPr="00BB5174">
        <w:rPr>
          <w:rStyle w:val="00Char"/>
          <w:rFonts w:ascii="Calibri" w:hAnsi="Calibri" w:hint="eastAsia"/>
          <w:color w:val="000000" w:themeColor="text1"/>
        </w:rPr>
        <w:t>。</w:t>
      </w:r>
    </w:p>
    <w:p w14:paraId="0987CC02" w14:textId="77777777" w:rsidR="00BC4412" w:rsidRPr="00BB5174" w:rsidRDefault="00BC4412" w:rsidP="00682A7C">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⑧</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长山组（∈</w:t>
      </w:r>
      <w:r w:rsidRPr="00BB5174">
        <w:rPr>
          <w:rStyle w:val="00Char"/>
          <w:rFonts w:ascii="Calibri" w:hAnsi="Calibri" w:hint="eastAsia"/>
          <w:color w:val="000000" w:themeColor="text1"/>
        </w:rPr>
        <w:t>3c</w:t>
      </w:r>
      <w:r w:rsidRPr="00BB5174">
        <w:rPr>
          <w:rStyle w:val="00Char"/>
          <w:rFonts w:ascii="Calibri" w:hAnsi="Calibri" w:hint="eastAsia"/>
          <w:color w:val="000000" w:themeColor="text1"/>
        </w:rPr>
        <w:t>）：上部为淡黄色泥质白云质灰岩，下部为灰色厚层状白云质灰岩。厚</w:t>
      </w:r>
      <w:r w:rsidRPr="00BB5174">
        <w:rPr>
          <w:rStyle w:val="00Char"/>
          <w:rFonts w:ascii="Calibri" w:hAnsi="Calibri" w:hint="eastAsia"/>
          <w:color w:val="000000" w:themeColor="text1"/>
        </w:rPr>
        <w:t>52</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120m</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 xml:space="preserve"> </w:t>
      </w:r>
    </w:p>
    <w:p w14:paraId="39AA0EB7"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3</w:t>
      </w:r>
      <w:r w:rsidRPr="00BB5174">
        <w:rPr>
          <w:rStyle w:val="00Char"/>
          <w:rFonts w:ascii="Calibri" w:hAnsi="Calibri" w:hint="eastAsia"/>
          <w:color w:val="000000" w:themeColor="text1"/>
        </w:rPr>
        <w:t>）上古生界</w:t>
      </w:r>
    </w:p>
    <w:p w14:paraId="4C035FD7"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Pr>
          <w:rStyle w:val="00Char"/>
          <w:rFonts w:ascii="Calibri" w:hAnsi="Calibri"/>
          <w:color w:val="000000" w:themeColor="text1"/>
        </w:rPr>
        <w:t>a</w:t>
      </w:r>
      <w:r>
        <w:rPr>
          <w:rStyle w:val="00Char"/>
          <w:rFonts w:ascii="Calibri" w:hAnsi="Calibri" w:hint="eastAsia"/>
          <w:color w:val="000000" w:themeColor="text1"/>
        </w:rPr>
        <w:t>、</w:t>
      </w:r>
      <w:r w:rsidRPr="00BB5174">
        <w:rPr>
          <w:rStyle w:val="00Char"/>
          <w:rFonts w:ascii="Calibri" w:hAnsi="Calibri" w:hint="eastAsia"/>
          <w:color w:val="000000" w:themeColor="text1"/>
        </w:rPr>
        <w:t>石炭系（</w:t>
      </w:r>
      <w:r w:rsidRPr="00BB5174">
        <w:rPr>
          <w:rStyle w:val="00Char"/>
          <w:rFonts w:ascii="Calibri" w:hAnsi="Calibri" w:hint="eastAsia"/>
          <w:color w:val="000000" w:themeColor="text1"/>
        </w:rPr>
        <w:t>C</w:t>
      </w:r>
      <w:r w:rsidRPr="00BB5174">
        <w:rPr>
          <w:rStyle w:val="00Char"/>
          <w:rFonts w:ascii="Calibri" w:hAnsi="Calibri" w:hint="eastAsia"/>
          <w:color w:val="000000" w:themeColor="text1"/>
        </w:rPr>
        <w:t>）</w:t>
      </w:r>
    </w:p>
    <w:p w14:paraId="3880A162"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分布于汝州市寄料镇和蟒川镇，宝丰县，郏县北部，市区仅零星出露。自下而上分为本溪组和太原组。</w:t>
      </w:r>
    </w:p>
    <w:p w14:paraId="39BC041E"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本溪组（</w:t>
      </w:r>
      <w:r w:rsidRPr="00BB5174">
        <w:rPr>
          <w:rStyle w:val="00Char"/>
          <w:rFonts w:ascii="Calibri" w:hAnsi="Calibri" w:hint="eastAsia"/>
          <w:color w:val="000000" w:themeColor="text1"/>
        </w:rPr>
        <w:t>C2b</w:t>
      </w:r>
      <w:r w:rsidRPr="00BB5174">
        <w:rPr>
          <w:rStyle w:val="00Char"/>
          <w:rFonts w:ascii="Calibri" w:hAnsi="Calibri" w:hint="eastAsia"/>
          <w:color w:val="000000" w:themeColor="text1"/>
        </w:rPr>
        <w:t>）：主要由铝土矿、铝土质页岩、赤铁矿、铁铝质粘土岩组成。</w:t>
      </w:r>
      <w:r w:rsidRPr="00BB5174">
        <w:rPr>
          <w:rStyle w:val="00Char"/>
          <w:rFonts w:ascii="Calibri" w:hAnsi="Calibri" w:hint="eastAsia"/>
          <w:color w:val="000000" w:themeColor="text1"/>
        </w:rPr>
        <w:lastRenderedPageBreak/>
        <w:t>厚</w:t>
      </w: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16m</w:t>
      </w:r>
      <w:r w:rsidRPr="00BB5174">
        <w:rPr>
          <w:rStyle w:val="00Char"/>
          <w:rFonts w:ascii="Calibri" w:hAnsi="Calibri" w:hint="eastAsia"/>
          <w:color w:val="000000" w:themeColor="text1"/>
        </w:rPr>
        <w:t>。该组是铁矿、铝土矿、耐火粘土矿及陶瓷粘土的重要含矿层位。</w:t>
      </w:r>
    </w:p>
    <w:p w14:paraId="7CF6D2BA"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太原组（</w:t>
      </w:r>
      <w:r w:rsidRPr="00BB5174">
        <w:rPr>
          <w:rStyle w:val="00Char"/>
          <w:rFonts w:ascii="Calibri" w:hAnsi="Calibri" w:hint="eastAsia"/>
          <w:color w:val="000000" w:themeColor="text1"/>
        </w:rPr>
        <w:t>C3t</w:t>
      </w:r>
      <w:r w:rsidRPr="00BB5174">
        <w:rPr>
          <w:rStyle w:val="00Char"/>
          <w:rFonts w:ascii="Calibri" w:hAnsi="Calibri" w:hint="eastAsia"/>
          <w:color w:val="000000" w:themeColor="text1"/>
        </w:rPr>
        <w:t>）：下部为灰岩夹薄层煤（线），中部为泥岩夹薄层粉砂岩，上部为燧石团块灰岩、灰岩夹灰色砂岩。厚</w:t>
      </w:r>
      <w:r w:rsidRPr="00BB5174">
        <w:rPr>
          <w:rStyle w:val="00Char"/>
          <w:rFonts w:ascii="Calibri" w:hAnsi="Calibri" w:hint="eastAsia"/>
          <w:color w:val="000000" w:themeColor="text1"/>
        </w:rPr>
        <w:t>7.5</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105m</w:t>
      </w:r>
      <w:r w:rsidRPr="00BB5174">
        <w:rPr>
          <w:rStyle w:val="00Char"/>
          <w:rFonts w:ascii="Calibri" w:hAnsi="Calibri" w:hint="eastAsia"/>
          <w:color w:val="000000" w:themeColor="text1"/>
        </w:rPr>
        <w:t>。是煤、熔剂灰岩的重要含矿层。</w:t>
      </w:r>
    </w:p>
    <w:p w14:paraId="23FF35FD"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Pr>
          <w:rStyle w:val="00Char"/>
          <w:rFonts w:ascii="Calibri" w:hAnsi="Calibri"/>
          <w:color w:val="000000" w:themeColor="text1"/>
        </w:rPr>
        <w:t>b</w:t>
      </w:r>
      <w:r>
        <w:rPr>
          <w:rStyle w:val="00Char"/>
          <w:rFonts w:ascii="Calibri" w:hAnsi="Calibri" w:hint="eastAsia"/>
          <w:color w:val="000000" w:themeColor="text1"/>
        </w:rPr>
        <w:t>、</w:t>
      </w:r>
      <w:r w:rsidRPr="00BB5174">
        <w:rPr>
          <w:rStyle w:val="00Char"/>
          <w:rFonts w:ascii="Calibri" w:hAnsi="Calibri" w:hint="eastAsia"/>
          <w:color w:val="000000" w:themeColor="text1"/>
        </w:rPr>
        <w:t>二叠系（</w:t>
      </w:r>
      <w:r w:rsidRPr="00BB5174">
        <w:rPr>
          <w:rStyle w:val="00Char"/>
          <w:rFonts w:ascii="Calibri" w:hAnsi="Calibri" w:hint="eastAsia"/>
          <w:color w:val="000000" w:themeColor="text1"/>
        </w:rPr>
        <w:t>P</w:t>
      </w:r>
      <w:r w:rsidRPr="00BB5174">
        <w:rPr>
          <w:rStyle w:val="00Char"/>
          <w:rFonts w:ascii="Calibri" w:hAnsi="Calibri" w:hint="eastAsia"/>
          <w:color w:val="000000" w:themeColor="text1"/>
        </w:rPr>
        <w:t>）</w:t>
      </w:r>
    </w:p>
    <w:p w14:paraId="10C6EDAD"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分布于汝州市小屯乡的朝川、临汝镇北部的暴雨山、寄料镇、焦古山周围，宝丰县，鲁山县梁洼镇，市区平顶山和韩梁矿区，郏县北部和东南部，是主要的含煤岩系。整合于石炭系太原组之上。自下而上分为山西组、石盒子组（</w:t>
      </w:r>
      <w:r w:rsidRPr="00BB5174">
        <w:rPr>
          <w:rStyle w:val="00Char"/>
          <w:rFonts w:ascii="Calibri" w:hAnsi="Calibri" w:hint="eastAsia"/>
          <w:color w:val="000000" w:themeColor="text1"/>
        </w:rPr>
        <w:t>P1-2s</w:t>
      </w:r>
      <w:r w:rsidRPr="00BB5174">
        <w:rPr>
          <w:rStyle w:val="00Char"/>
          <w:rFonts w:ascii="Calibri" w:hAnsi="Calibri" w:hint="eastAsia"/>
          <w:color w:val="000000" w:themeColor="text1"/>
        </w:rPr>
        <w:t>）。</w:t>
      </w:r>
    </w:p>
    <w:p w14:paraId="3A98B341"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山西组（</w:t>
      </w:r>
      <w:r w:rsidRPr="00BB5174">
        <w:rPr>
          <w:rStyle w:val="00Char"/>
          <w:rFonts w:ascii="Calibri" w:hAnsi="Calibri" w:hint="eastAsia"/>
          <w:color w:val="000000" w:themeColor="text1"/>
        </w:rPr>
        <w:t>P1s</w:t>
      </w:r>
      <w:r w:rsidRPr="00BB5174">
        <w:rPr>
          <w:rStyle w:val="00Char"/>
          <w:rFonts w:ascii="Calibri" w:hAnsi="Calibri" w:hint="eastAsia"/>
          <w:color w:val="000000" w:themeColor="text1"/>
        </w:rPr>
        <w:t>）：岩性主要为灰白色中细粒长石石英砂岩、泥岩、深灰色细粒长石石英砂岩，夹二</w:t>
      </w: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煤，上部为灰色杂斑含铝土泥岩。厚约</w:t>
      </w:r>
      <w:r w:rsidRPr="00BB5174">
        <w:rPr>
          <w:rStyle w:val="00Char"/>
          <w:rFonts w:ascii="Calibri" w:hAnsi="Calibri" w:hint="eastAsia"/>
          <w:color w:val="000000" w:themeColor="text1"/>
        </w:rPr>
        <w:t>87.5m</w:t>
      </w:r>
      <w:r w:rsidRPr="00BB5174">
        <w:rPr>
          <w:rStyle w:val="00Char"/>
          <w:rFonts w:ascii="Calibri" w:hAnsi="Calibri" w:hint="eastAsia"/>
          <w:color w:val="000000" w:themeColor="text1"/>
        </w:rPr>
        <w:t>。</w:t>
      </w:r>
    </w:p>
    <w:p w14:paraId="0F21A14E"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石盒子组（</w:t>
      </w:r>
      <w:r w:rsidRPr="00BB5174">
        <w:rPr>
          <w:rStyle w:val="00Char"/>
          <w:rFonts w:ascii="Calibri" w:hAnsi="Calibri" w:hint="eastAsia"/>
          <w:color w:val="000000" w:themeColor="text1"/>
        </w:rPr>
        <w:t>P2s</w:t>
      </w:r>
      <w:r w:rsidRPr="00BB5174">
        <w:rPr>
          <w:rStyle w:val="00Char"/>
          <w:rFonts w:ascii="Calibri" w:hAnsi="Calibri" w:hint="eastAsia"/>
          <w:color w:val="000000" w:themeColor="text1"/>
        </w:rPr>
        <w:t>）：为一套黄绿、灰紫红色页岩、泥岩、粉砂岩、长石石英砂岩等组成的河湖相沉积组成，局部夹薄煤层。</w:t>
      </w:r>
    </w:p>
    <w:p w14:paraId="1835D4E7"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Pr>
          <w:rStyle w:val="00Char"/>
          <w:rFonts w:ascii="Calibri" w:hAnsi="Calibri"/>
          <w:color w:val="000000" w:themeColor="text1"/>
        </w:rPr>
        <w:t>c</w:t>
      </w:r>
      <w:r>
        <w:rPr>
          <w:rStyle w:val="00Char"/>
          <w:rFonts w:ascii="Calibri" w:hAnsi="Calibri" w:hint="eastAsia"/>
          <w:color w:val="000000" w:themeColor="text1"/>
        </w:rPr>
        <w:t>、</w:t>
      </w:r>
      <w:r w:rsidRPr="00BB5174">
        <w:rPr>
          <w:rStyle w:val="00Char"/>
          <w:rFonts w:ascii="Calibri" w:hAnsi="Calibri" w:hint="eastAsia"/>
          <w:color w:val="000000" w:themeColor="text1"/>
        </w:rPr>
        <w:t>二叠系—三叠系下统石千峰群（</w:t>
      </w:r>
      <w:r w:rsidRPr="00BB5174">
        <w:rPr>
          <w:rStyle w:val="00Char"/>
          <w:rFonts w:ascii="Calibri" w:hAnsi="Calibri" w:hint="eastAsia"/>
          <w:color w:val="000000" w:themeColor="text1"/>
        </w:rPr>
        <w:t>P2sh</w:t>
      </w:r>
      <w:r w:rsidRPr="00BB5174">
        <w:rPr>
          <w:rStyle w:val="00Char"/>
          <w:rFonts w:ascii="Calibri" w:hAnsi="Calibri" w:hint="eastAsia"/>
          <w:color w:val="000000" w:themeColor="text1"/>
        </w:rPr>
        <w:t>）</w:t>
      </w:r>
    </w:p>
    <w:p w14:paraId="643551CC"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分布于宝丰县，鲁山县梁洼镇，郏县北部、市区平顶山和韩梁矿区。自下而上划分为孙家沟组、刘家沟组、和尚沟组。</w:t>
      </w:r>
    </w:p>
    <w:p w14:paraId="6C8FDB92"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①孙家沟组：由一套砖红、紫红色粘土岩夹紫红、灰绿色长石砂岩、长石石英砂岩及灰绿、灰白色页岩和泥灰岩透镜体等湖相沉积组成。局部含石膏。</w:t>
      </w:r>
    </w:p>
    <w:p w14:paraId="65E74F6C"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②刘家沟组：主要岩性为灰紫、紫红色细砂岩、长石砂岩、石英砂岩、钙质粉砂岩，夹砂质粘土岩。</w:t>
      </w:r>
    </w:p>
    <w:p w14:paraId="75DEC4E9"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③和尚沟组：主要岩性为鲜红、暗紫红色钙质、砂质粘土岩、粉砂岩，夹暗紫、灰白色长石石英砂岩、含钙质结核。</w:t>
      </w:r>
    </w:p>
    <w:p w14:paraId="7E35274F"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4</w:t>
      </w:r>
      <w:r w:rsidRPr="00BB5174">
        <w:rPr>
          <w:rStyle w:val="00Char"/>
          <w:rFonts w:ascii="Calibri" w:hAnsi="Calibri" w:hint="eastAsia"/>
          <w:color w:val="000000" w:themeColor="text1"/>
        </w:rPr>
        <w:t>）中生界白垩系（</w:t>
      </w:r>
      <w:r w:rsidRPr="00BB5174">
        <w:rPr>
          <w:rStyle w:val="00Char"/>
          <w:rFonts w:ascii="Calibri" w:hAnsi="Calibri" w:hint="eastAsia"/>
          <w:color w:val="000000" w:themeColor="text1"/>
        </w:rPr>
        <w:t>K</w:t>
      </w:r>
      <w:r w:rsidRPr="00BB5174">
        <w:rPr>
          <w:rStyle w:val="00Char"/>
          <w:rFonts w:ascii="Calibri" w:hAnsi="Calibri" w:hint="eastAsia"/>
          <w:color w:val="000000" w:themeColor="text1"/>
        </w:rPr>
        <w:t>）</w:t>
      </w:r>
    </w:p>
    <w:p w14:paraId="58320DE4"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分布于宝丰县大营镇、鲁山县梁洼镇一带。为一套河湖相火山喷发岩系，与下伏二叠系石千峰群呈角度不整合接触。下部为紫红、灰绿、深灰色泥质粉砂岩、粘土岩夹砾岩、泥灰岩；中、上部为玄武岩、安山玢岩、火山角砾岩夹紫红色粉砂质粘土岩。厚</w:t>
      </w:r>
      <w:r w:rsidRPr="00BB5174">
        <w:rPr>
          <w:rStyle w:val="00Char"/>
          <w:rFonts w:ascii="Calibri" w:hAnsi="Calibri" w:hint="eastAsia"/>
          <w:color w:val="000000" w:themeColor="text1"/>
        </w:rPr>
        <w:t>64</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163m</w:t>
      </w:r>
      <w:r w:rsidRPr="00BB5174">
        <w:rPr>
          <w:rStyle w:val="00Char"/>
          <w:rFonts w:ascii="Calibri" w:hAnsi="Calibri" w:hint="eastAsia"/>
          <w:color w:val="000000" w:themeColor="text1"/>
        </w:rPr>
        <w:t>。</w:t>
      </w:r>
    </w:p>
    <w:p w14:paraId="134BB7FA"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5</w:t>
      </w:r>
      <w:r w:rsidRPr="00BB5174">
        <w:rPr>
          <w:rStyle w:val="00Char"/>
          <w:rFonts w:ascii="Calibri" w:hAnsi="Calibri" w:hint="eastAsia"/>
          <w:color w:val="000000" w:themeColor="text1"/>
        </w:rPr>
        <w:t>）新生界</w:t>
      </w:r>
    </w:p>
    <w:p w14:paraId="5ADDA49F"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Pr>
          <w:rStyle w:val="00Char"/>
          <w:rFonts w:ascii="Calibri" w:hAnsi="Calibri"/>
          <w:color w:val="000000" w:themeColor="text1"/>
        </w:rPr>
        <w:lastRenderedPageBreak/>
        <w:t>a</w:t>
      </w:r>
      <w:r>
        <w:rPr>
          <w:rStyle w:val="00Char"/>
          <w:rFonts w:ascii="Calibri" w:hAnsi="Calibri" w:hint="eastAsia"/>
          <w:color w:val="000000" w:themeColor="text1"/>
        </w:rPr>
        <w:t>、</w:t>
      </w:r>
      <w:r w:rsidRPr="00BB5174">
        <w:rPr>
          <w:rStyle w:val="00Char"/>
          <w:rFonts w:ascii="Calibri" w:hAnsi="Calibri" w:hint="eastAsia"/>
          <w:color w:val="000000" w:themeColor="text1"/>
        </w:rPr>
        <w:t>古近系（</w:t>
      </w:r>
      <w:r w:rsidRPr="00BB5174">
        <w:rPr>
          <w:rStyle w:val="00Char"/>
          <w:rFonts w:ascii="Calibri" w:hAnsi="Calibri" w:hint="eastAsia"/>
          <w:color w:val="000000" w:themeColor="text1"/>
        </w:rPr>
        <w:t>E</w:t>
      </w:r>
      <w:r w:rsidRPr="00BB5174">
        <w:rPr>
          <w:rStyle w:val="00Char"/>
          <w:rFonts w:ascii="Calibri" w:hAnsi="Calibri" w:hint="eastAsia"/>
          <w:color w:val="000000" w:themeColor="text1"/>
        </w:rPr>
        <w:t>）</w:t>
      </w:r>
    </w:p>
    <w:p w14:paraId="04014773"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汝州市寄料镇东北部出露陈宅沟组，岩性为紫红色钙质、铁质、泥质砂砾岩夹沙质泥岩。厚约</w:t>
      </w:r>
      <w:r w:rsidRPr="00BB5174">
        <w:rPr>
          <w:rStyle w:val="00Char"/>
          <w:rFonts w:ascii="Calibri" w:hAnsi="Calibri" w:hint="eastAsia"/>
          <w:color w:val="000000" w:themeColor="text1"/>
        </w:rPr>
        <w:t>410m</w:t>
      </w:r>
      <w:r w:rsidRPr="00BB5174">
        <w:rPr>
          <w:rStyle w:val="00Char"/>
          <w:rFonts w:ascii="Calibri" w:hAnsi="Calibri" w:hint="eastAsia"/>
          <w:color w:val="000000" w:themeColor="text1"/>
        </w:rPr>
        <w:t>。汝州市寄料镇西北和蟒川镇、宝丰县和市区内仅零星出露始新统蟒川组，主要由红色砾岩、砂砾岩、含砾钙质砂岩夹泥质粉砂岩、泥灰岩等组成。厚</w:t>
      </w:r>
      <w:r w:rsidRPr="00BB5174">
        <w:rPr>
          <w:rStyle w:val="00Char"/>
          <w:rFonts w:ascii="Calibri" w:hAnsi="Calibri" w:hint="eastAsia"/>
          <w:color w:val="000000" w:themeColor="text1"/>
        </w:rPr>
        <w:t>50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640m</w:t>
      </w:r>
      <w:r w:rsidRPr="00BB5174">
        <w:rPr>
          <w:rStyle w:val="00Char"/>
          <w:rFonts w:ascii="Calibri" w:hAnsi="Calibri" w:hint="eastAsia"/>
          <w:color w:val="000000" w:themeColor="text1"/>
        </w:rPr>
        <w:t>。汝州市杨楼乡南部的石台和寄料北部的高沟一带出露石台街组，岩性为红色砂质页岩与砂质泥岩互层夹红色钙质、铁质胶结物的砾岩。厚约</w:t>
      </w:r>
      <w:r w:rsidRPr="00BB5174">
        <w:rPr>
          <w:rStyle w:val="00Char"/>
          <w:rFonts w:ascii="Calibri" w:hAnsi="Calibri" w:hint="eastAsia"/>
          <w:color w:val="000000" w:themeColor="text1"/>
        </w:rPr>
        <w:t>834m</w:t>
      </w:r>
      <w:r w:rsidRPr="00BB5174">
        <w:rPr>
          <w:rStyle w:val="00Char"/>
          <w:rFonts w:ascii="Calibri" w:hAnsi="Calibri" w:hint="eastAsia"/>
          <w:color w:val="000000" w:themeColor="text1"/>
        </w:rPr>
        <w:t>。</w:t>
      </w:r>
    </w:p>
    <w:p w14:paraId="401EB888"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Pr>
          <w:rStyle w:val="00Char"/>
          <w:rFonts w:ascii="Calibri" w:hAnsi="Calibri" w:hint="eastAsia"/>
          <w:color w:val="000000" w:themeColor="text1"/>
        </w:rPr>
        <w:t>b</w:t>
      </w:r>
      <w:r>
        <w:rPr>
          <w:rStyle w:val="00Char"/>
          <w:rFonts w:ascii="Calibri" w:hAnsi="Calibri" w:hint="eastAsia"/>
          <w:color w:val="000000" w:themeColor="text1"/>
        </w:rPr>
        <w:t>、</w:t>
      </w:r>
      <w:r w:rsidRPr="00BB5174">
        <w:rPr>
          <w:rStyle w:val="00Char"/>
          <w:rFonts w:ascii="Calibri" w:hAnsi="Calibri" w:hint="eastAsia"/>
          <w:color w:val="000000" w:themeColor="text1"/>
        </w:rPr>
        <w:t>新近系（</w:t>
      </w:r>
      <w:r w:rsidRPr="00BB5174">
        <w:rPr>
          <w:rStyle w:val="00Char"/>
          <w:rFonts w:ascii="Calibri" w:hAnsi="Calibri" w:hint="eastAsia"/>
          <w:color w:val="000000" w:themeColor="text1"/>
        </w:rPr>
        <w:t>N</w:t>
      </w:r>
      <w:r w:rsidRPr="00BB5174">
        <w:rPr>
          <w:rStyle w:val="00Char"/>
          <w:rFonts w:ascii="Calibri" w:hAnsi="Calibri" w:hint="eastAsia"/>
          <w:color w:val="000000" w:themeColor="text1"/>
        </w:rPr>
        <w:t>）</w:t>
      </w:r>
    </w:p>
    <w:p w14:paraId="759A0442"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汝州市临汝镇西部、庙下乡东部及寄料镇北部，宝丰县，鲁山县董周、张飞沟一带，市区、郏县北部北竹园沟出露中新统洛阳组（</w:t>
      </w:r>
      <w:r w:rsidRPr="00BB5174">
        <w:rPr>
          <w:rStyle w:val="00Char"/>
          <w:rFonts w:ascii="Calibri" w:hAnsi="Calibri" w:hint="eastAsia"/>
          <w:color w:val="000000" w:themeColor="text1"/>
        </w:rPr>
        <w:t>N1ly</w:t>
      </w:r>
      <w:r w:rsidRPr="00BB5174">
        <w:rPr>
          <w:rStyle w:val="00Char"/>
          <w:rFonts w:ascii="Calibri" w:hAnsi="Calibri" w:hint="eastAsia"/>
          <w:color w:val="000000" w:themeColor="text1"/>
        </w:rPr>
        <w:t>）、大安组（</w:t>
      </w:r>
      <w:r w:rsidRPr="00BB5174">
        <w:rPr>
          <w:rStyle w:val="00Char"/>
          <w:rFonts w:ascii="Calibri" w:hAnsi="Calibri" w:hint="eastAsia"/>
          <w:color w:val="000000" w:themeColor="text1"/>
        </w:rPr>
        <w:t>N1da</w:t>
      </w:r>
      <w:r w:rsidRPr="00BB5174">
        <w:rPr>
          <w:rStyle w:val="00Char"/>
          <w:rFonts w:ascii="Calibri" w:hAnsi="Calibri" w:hint="eastAsia"/>
          <w:color w:val="000000" w:themeColor="text1"/>
        </w:rPr>
        <w:t>）和上新统潞王坟组（</w:t>
      </w:r>
      <w:r w:rsidRPr="00BB5174">
        <w:rPr>
          <w:rStyle w:val="00Char"/>
          <w:rFonts w:ascii="Calibri" w:hAnsi="Calibri" w:hint="eastAsia"/>
          <w:color w:val="000000" w:themeColor="text1"/>
        </w:rPr>
        <w:t>N2lw</w:t>
      </w:r>
      <w:r w:rsidRPr="00BB5174">
        <w:rPr>
          <w:rStyle w:val="00Char"/>
          <w:rFonts w:ascii="Calibri" w:hAnsi="Calibri" w:hint="eastAsia"/>
          <w:color w:val="000000" w:themeColor="text1"/>
        </w:rPr>
        <w:t>）。</w:t>
      </w:r>
    </w:p>
    <w:p w14:paraId="30A2436D"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洛阳组（</w:t>
      </w:r>
      <w:r w:rsidRPr="00BB5174">
        <w:rPr>
          <w:rStyle w:val="00Char"/>
          <w:rFonts w:ascii="Calibri" w:hAnsi="Calibri" w:hint="eastAsia"/>
          <w:color w:val="000000" w:themeColor="text1"/>
        </w:rPr>
        <w:t>N1ly</w:t>
      </w:r>
      <w:r w:rsidRPr="00BB5174">
        <w:rPr>
          <w:rStyle w:val="00Char"/>
          <w:rFonts w:ascii="Calibri" w:hAnsi="Calibri" w:hint="eastAsia"/>
          <w:color w:val="000000" w:themeColor="text1"/>
        </w:rPr>
        <w:t>）：岩性变化较大，下部主要为杂色钙质或泥砂质胶结砾岩；中部为褐黄、褐红色砂质泥岩与砂、粉砂质泥岩互层；上部褐黄色、灰白色砂质泥灰岩与砂质泥灰岩互层夹砂砾岩。厚</w:t>
      </w:r>
      <w:r w:rsidRPr="00BB5174">
        <w:rPr>
          <w:rStyle w:val="00Char"/>
          <w:rFonts w:ascii="Calibri" w:hAnsi="Calibri" w:hint="eastAsia"/>
          <w:color w:val="000000" w:themeColor="text1"/>
        </w:rPr>
        <w:t>24</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42m</w:t>
      </w:r>
      <w:r w:rsidRPr="00BB5174">
        <w:rPr>
          <w:rStyle w:val="00Char"/>
          <w:rFonts w:ascii="Calibri" w:hAnsi="Calibri" w:hint="eastAsia"/>
          <w:color w:val="000000" w:themeColor="text1"/>
        </w:rPr>
        <w:t>。</w:t>
      </w:r>
    </w:p>
    <w:p w14:paraId="5C01725B"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大安组（</w:t>
      </w:r>
      <w:r w:rsidRPr="00BB5174">
        <w:rPr>
          <w:rStyle w:val="00Char"/>
          <w:rFonts w:ascii="Calibri" w:hAnsi="Calibri" w:hint="eastAsia"/>
          <w:color w:val="000000" w:themeColor="text1"/>
        </w:rPr>
        <w:t>N1da</w:t>
      </w:r>
      <w:r w:rsidRPr="00BB5174">
        <w:rPr>
          <w:rStyle w:val="00Char"/>
          <w:rFonts w:ascii="Calibri" w:hAnsi="Calibri" w:hint="eastAsia"/>
          <w:color w:val="000000" w:themeColor="text1"/>
        </w:rPr>
        <w:t>）：岩性主要为橄榄玄武岩、辉石橄榄玄武岩、橄榄玻璃玄武岩。厚</w:t>
      </w:r>
      <w:r w:rsidRPr="00BB5174">
        <w:rPr>
          <w:rStyle w:val="00Char"/>
          <w:rFonts w:ascii="Calibri" w:hAnsi="Calibri" w:hint="eastAsia"/>
          <w:color w:val="000000" w:themeColor="text1"/>
        </w:rPr>
        <w:t>4</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118m</w:t>
      </w:r>
      <w:r w:rsidRPr="00BB5174">
        <w:rPr>
          <w:rStyle w:val="00Char"/>
          <w:rFonts w:ascii="Calibri" w:hAnsi="Calibri" w:hint="eastAsia"/>
          <w:color w:val="000000" w:themeColor="text1"/>
        </w:rPr>
        <w:t>。</w:t>
      </w:r>
    </w:p>
    <w:p w14:paraId="3E8CEB05"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潞王坟组（</w:t>
      </w:r>
      <w:r w:rsidRPr="00BB5174">
        <w:rPr>
          <w:rStyle w:val="00Char"/>
          <w:rFonts w:ascii="Calibri" w:hAnsi="Calibri" w:hint="eastAsia"/>
          <w:color w:val="000000" w:themeColor="text1"/>
        </w:rPr>
        <w:t>N2lw</w:t>
      </w:r>
      <w:r w:rsidRPr="00BB5174">
        <w:rPr>
          <w:rStyle w:val="00Char"/>
          <w:rFonts w:ascii="Calibri" w:hAnsi="Calibri" w:hint="eastAsia"/>
          <w:color w:val="000000" w:themeColor="text1"/>
        </w:rPr>
        <w:t>）：岩性主要为灰白色泥晶灰岩、粘土岩等。厚约</w:t>
      </w:r>
      <w:r w:rsidRPr="00BB5174">
        <w:rPr>
          <w:rStyle w:val="00Char"/>
          <w:rFonts w:ascii="Calibri" w:hAnsi="Calibri" w:hint="eastAsia"/>
          <w:color w:val="000000" w:themeColor="text1"/>
        </w:rPr>
        <w:t>35m</w:t>
      </w:r>
      <w:r w:rsidRPr="00BB5174">
        <w:rPr>
          <w:rStyle w:val="00Char"/>
          <w:rFonts w:ascii="Calibri" w:hAnsi="Calibri" w:hint="eastAsia"/>
          <w:color w:val="000000" w:themeColor="text1"/>
        </w:rPr>
        <w:t>。</w:t>
      </w:r>
    </w:p>
    <w:p w14:paraId="3F20F01D"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C4412">
        <w:rPr>
          <w:rStyle w:val="00Char"/>
          <w:rFonts w:ascii="Calibri" w:hAnsi="Calibri" w:hint="eastAsia"/>
          <w:color w:val="000000" w:themeColor="text1"/>
        </w:rPr>
        <w:t>c</w:t>
      </w:r>
      <w:r w:rsidRPr="00BC4412">
        <w:rPr>
          <w:rStyle w:val="00Char"/>
          <w:rFonts w:ascii="Calibri" w:hAnsi="Calibri" w:hint="eastAsia"/>
          <w:color w:val="000000" w:themeColor="text1"/>
        </w:rPr>
        <w:t>、第四系（</w:t>
      </w:r>
      <w:r w:rsidRPr="00BB5174">
        <w:rPr>
          <w:rStyle w:val="00Char"/>
          <w:rFonts w:ascii="Calibri" w:hAnsi="Calibri" w:hint="eastAsia"/>
          <w:color w:val="000000" w:themeColor="text1"/>
        </w:rPr>
        <w:t>Q</w:t>
      </w:r>
      <w:r w:rsidRPr="00BB5174">
        <w:rPr>
          <w:rStyle w:val="00Char"/>
          <w:rFonts w:ascii="Calibri" w:hAnsi="Calibri" w:hint="eastAsia"/>
          <w:color w:val="000000" w:themeColor="text1"/>
        </w:rPr>
        <w:t>）</w:t>
      </w:r>
    </w:p>
    <w:p w14:paraId="6DA86572"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工作区内第四系十分发育，广泛分布于平原、山间盆地和山前岗丘地带，成因类型复杂，出露厚度</w:t>
      </w:r>
      <w:r w:rsidRPr="00BB5174">
        <w:rPr>
          <w:rStyle w:val="00Char"/>
          <w:rFonts w:ascii="Calibri" w:hAnsi="Calibri" w:hint="eastAsia"/>
          <w:color w:val="000000" w:themeColor="text1"/>
        </w:rPr>
        <w:t>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20m</w:t>
      </w:r>
      <w:r w:rsidRPr="00BB5174">
        <w:rPr>
          <w:rStyle w:val="00Char"/>
          <w:rFonts w:ascii="Calibri" w:hAnsi="Calibri" w:hint="eastAsia"/>
          <w:color w:val="000000" w:themeColor="text1"/>
        </w:rPr>
        <w:t>，钻孔揭露厚度多在</w:t>
      </w:r>
      <w:r w:rsidRPr="00BB5174">
        <w:rPr>
          <w:rStyle w:val="00Char"/>
          <w:rFonts w:ascii="Calibri" w:hAnsi="Calibri" w:hint="eastAsia"/>
          <w:color w:val="000000" w:themeColor="text1"/>
        </w:rPr>
        <w:t>100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200m</w:t>
      </w:r>
      <w:r w:rsidRPr="00BB5174">
        <w:rPr>
          <w:rStyle w:val="00Char"/>
          <w:rFonts w:ascii="Calibri" w:hAnsi="Calibri" w:hint="eastAsia"/>
          <w:color w:val="000000" w:themeColor="text1"/>
        </w:rPr>
        <w:t>之间，与下伏新近系及其以前的老地层皆为角度不整合接触。根据岩性特征、古生物资料、接触关系、同位素年龄等，将区内第四系按其相对时代及成因类型自下而上划分为下更新统、中更新统、上更新统和全新统。</w:t>
      </w:r>
    </w:p>
    <w:p w14:paraId="7048A93E"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下更新统（</w:t>
      </w:r>
      <w:r w:rsidRPr="00BB5174">
        <w:rPr>
          <w:rStyle w:val="00Char"/>
          <w:rFonts w:ascii="Calibri" w:hAnsi="Calibri" w:hint="eastAsia"/>
          <w:color w:val="000000" w:themeColor="text1"/>
        </w:rPr>
        <w:t>Qp1</w:t>
      </w:r>
      <w:r w:rsidRPr="00BB5174">
        <w:rPr>
          <w:rStyle w:val="00Char"/>
          <w:rFonts w:ascii="Calibri" w:hAnsi="Calibri" w:hint="eastAsia"/>
          <w:color w:val="000000" w:themeColor="text1"/>
        </w:rPr>
        <w:t>）：主要分布于鲁山县昭平台水库两侧及宝丰县、郏县、市区、叶县、舞钢等地的山前岗坡地带，与新近系及其以前的老地层呈角度不整合接触，其上被中更新统和上更新统地层覆盖，主体岩性为岗地砾石层夹黏土层，出露厚度大于</w:t>
      </w:r>
      <w:r w:rsidRPr="00BB5174">
        <w:rPr>
          <w:rStyle w:val="00Char"/>
          <w:rFonts w:ascii="Calibri" w:hAnsi="Calibri" w:hint="eastAsia"/>
          <w:color w:val="000000" w:themeColor="text1"/>
        </w:rPr>
        <w:t>15m</w:t>
      </w:r>
      <w:r w:rsidRPr="00BB5174">
        <w:rPr>
          <w:rStyle w:val="00Char"/>
          <w:rFonts w:ascii="Calibri" w:hAnsi="Calibri" w:hint="eastAsia"/>
          <w:color w:val="000000" w:themeColor="text1"/>
        </w:rPr>
        <w:t>，地貌上构成Ⅳ级阶地。</w:t>
      </w:r>
    </w:p>
    <w:p w14:paraId="2E919FD8"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lastRenderedPageBreak/>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中更新统（</w:t>
      </w:r>
      <w:r w:rsidRPr="00BB5174">
        <w:rPr>
          <w:rStyle w:val="00Char"/>
          <w:rFonts w:ascii="Calibri" w:hAnsi="Calibri" w:hint="eastAsia"/>
          <w:color w:val="000000" w:themeColor="text1"/>
        </w:rPr>
        <w:t>Qp2</w:t>
      </w:r>
      <w:r w:rsidRPr="00BB5174">
        <w:rPr>
          <w:rStyle w:val="00Char"/>
          <w:rFonts w:ascii="Calibri" w:hAnsi="Calibri" w:hint="eastAsia"/>
          <w:color w:val="000000" w:themeColor="text1"/>
        </w:rPr>
        <w:t>）：多分布于汝州、宝丰、郏县等山前冲洪积倾斜平原地带，成因类型为冲洪积复合型。岩性下部为红色含砾石粘土层、砂砾石、亚砂土，夹有粘土及亚粘土层；中部为红、灰绿色粘土、砂质粘土层；上部为红褐色粘土夹灰绿色粘土，含大量棱角状岩屑及砂粒，偶见钙质结核，直径可达</w:t>
      </w:r>
      <w:r w:rsidRPr="00BB5174">
        <w:rPr>
          <w:rStyle w:val="00Char"/>
          <w:rFonts w:ascii="Calibri" w:hAnsi="Calibri" w:hint="eastAsia"/>
          <w:color w:val="000000" w:themeColor="text1"/>
        </w:rPr>
        <w:t>30cm</w:t>
      </w:r>
      <w:r w:rsidRPr="00BB5174">
        <w:rPr>
          <w:rStyle w:val="00Char"/>
          <w:rFonts w:ascii="Calibri" w:hAnsi="Calibri" w:hint="eastAsia"/>
          <w:color w:val="000000" w:themeColor="text1"/>
        </w:rPr>
        <w:t>，并含不成形的铁锰结核；顶部为黄褐色含砾砂质粘土。厚</w:t>
      </w:r>
      <w:r w:rsidRPr="00BB5174">
        <w:rPr>
          <w:rStyle w:val="00Char"/>
          <w:rFonts w:ascii="Calibri" w:hAnsi="Calibri" w:hint="eastAsia"/>
          <w:color w:val="000000" w:themeColor="text1"/>
        </w:rPr>
        <w:t>4</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35m</w:t>
      </w:r>
      <w:r w:rsidRPr="00BB5174">
        <w:rPr>
          <w:rStyle w:val="00Char"/>
          <w:rFonts w:ascii="Calibri" w:hAnsi="Calibri" w:hint="eastAsia"/>
          <w:color w:val="000000" w:themeColor="text1"/>
        </w:rPr>
        <w:t>。地貌上多呈舒缓起伏状，构成Ⅲ级阶地。</w:t>
      </w:r>
    </w:p>
    <w:p w14:paraId="23ADDFBC"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上更新统（</w:t>
      </w:r>
      <w:r w:rsidRPr="00BB5174">
        <w:rPr>
          <w:rStyle w:val="00Char"/>
          <w:rFonts w:ascii="Calibri" w:hAnsi="Calibri" w:hint="eastAsia"/>
          <w:color w:val="000000" w:themeColor="text1"/>
        </w:rPr>
        <w:t>Qp3</w:t>
      </w:r>
      <w:r w:rsidRPr="00BB5174">
        <w:rPr>
          <w:rStyle w:val="00Char"/>
          <w:rFonts w:ascii="Calibri" w:hAnsi="Calibri" w:hint="eastAsia"/>
          <w:color w:val="000000" w:themeColor="text1"/>
        </w:rPr>
        <w:t>）：分布于山前倾斜平原及汝河、沙河等河流的两岸，地貌上构成Ⅱ级阶地，与Ⅰ级和Ⅲ级阶地呈截切关系，岩性主要为泥质中（细）砂、粉土、褐黄色粉质粘土、粘土，含有砂砾。垂直节理发育，含有不规则状结核。厚</w:t>
      </w:r>
      <w:r w:rsidRPr="00BB5174">
        <w:rPr>
          <w:rStyle w:val="00Char"/>
          <w:rFonts w:ascii="Calibri" w:hAnsi="Calibri" w:hint="eastAsia"/>
          <w:color w:val="000000" w:themeColor="text1"/>
        </w:rPr>
        <w:t>4</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30m</w:t>
      </w:r>
      <w:r w:rsidRPr="00BB5174">
        <w:rPr>
          <w:rStyle w:val="00Char"/>
          <w:rFonts w:ascii="Calibri" w:hAnsi="Calibri" w:hint="eastAsia"/>
          <w:color w:val="000000" w:themeColor="text1"/>
        </w:rPr>
        <w:t>。</w:t>
      </w:r>
    </w:p>
    <w:p w14:paraId="606D06F6"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④</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全新统（</w:t>
      </w:r>
      <w:r w:rsidRPr="00BB5174">
        <w:rPr>
          <w:rStyle w:val="00Char"/>
          <w:rFonts w:ascii="Calibri" w:hAnsi="Calibri" w:hint="eastAsia"/>
          <w:color w:val="000000" w:themeColor="text1"/>
        </w:rPr>
        <w:t>Qh</w:t>
      </w:r>
      <w:r w:rsidRPr="00BB5174">
        <w:rPr>
          <w:rStyle w:val="00Char"/>
          <w:rFonts w:ascii="Calibri" w:hAnsi="Calibri" w:hint="eastAsia"/>
          <w:color w:val="000000" w:themeColor="text1"/>
        </w:rPr>
        <w:t>）：主要分布于区内大小河流两岸及河谷中，按岩性、地貌特征分为下部冲积层和上部冲积层。下部冲积层主要分布于区内各大河流及其支流两岸，形成河流Ⅰ级阶地，由粉质粘土、砂土及砾石层组成，厚</w:t>
      </w: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9m</w:t>
      </w:r>
      <w:r w:rsidRPr="00BB5174">
        <w:rPr>
          <w:rStyle w:val="00Char"/>
          <w:rFonts w:ascii="Calibri" w:hAnsi="Calibri" w:hint="eastAsia"/>
          <w:color w:val="000000" w:themeColor="text1"/>
        </w:rPr>
        <w:t>，与Ⅱ级阶地及上部冲积层呈斜截关系。上部冲积层主要分布在区内大小河流的河床、河漫滩上，为河流冲积、洪积堆积物，岩性随地而异，在沙河、汝河等河流上游山区为砾石层夹粗砂层，中下游平原区多为砂层、粉土、粉质粘土，其间局部夹淤泥层和砂砾石层，粗大砾石极少，分选性良好，厚</w:t>
      </w: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5m</w:t>
      </w:r>
      <w:r w:rsidRPr="00BB5174">
        <w:rPr>
          <w:rStyle w:val="00Char"/>
          <w:rFonts w:ascii="Calibri" w:hAnsi="Calibri" w:hint="eastAsia"/>
          <w:color w:val="000000" w:themeColor="text1"/>
        </w:rPr>
        <w:t>。</w:t>
      </w:r>
    </w:p>
    <w:p w14:paraId="51B0F923"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（二）区域构造</w:t>
      </w:r>
    </w:p>
    <w:p w14:paraId="0D529187"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评价区大地构造位置处于华北陆块南缘，渑池—确山陷褶断束中段。境内地质构造较为复杂，以压扭性断裂为主，褶皱构造次之，新构造运动活跃。主要表现为差异性升降。评价区附近主要断层特征简述如下：</w:t>
      </w:r>
    </w:p>
    <w:p w14:paraId="33A5AB68"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鲁山—漯河大断层：经鲁山、叶县南部穿过。为隐伏正断层，走向西段</w:t>
      </w:r>
      <w:r w:rsidRPr="00BB5174">
        <w:rPr>
          <w:rStyle w:val="00Char"/>
          <w:rFonts w:ascii="Calibri" w:hAnsi="Calibri" w:hint="eastAsia"/>
          <w:color w:val="000000" w:themeColor="text1"/>
        </w:rPr>
        <w:t>290</w:t>
      </w:r>
      <w:r w:rsidRPr="00BB5174">
        <w:rPr>
          <w:rStyle w:val="00Char"/>
          <w:rFonts w:ascii="Calibri" w:hAnsi="Calibri" w:hint="eastAsia"/>
          <w:color w:val="000000" w:themeColor="text1"/>
        </w:rPr>
        <w:t>°、东段近东西，倾向南，倾角约</w:t>
      </w:r>
      <w:r w:rsidRPr="00BB5174">
        <w:rPr>
          <w:rStyle w:val="00Char"/>
          <w:rFonts w:ascii="Calibri" w:hAnsi="Calibri" w:hint="eastAsia"/>
          <w:color w:val="000000" w:themeColor="text1"/>
        </w:rPr>
        <w:t>60</w:t>
      </w:r>
      <w:r w:rsidRPr="00BB5174">
        <w:rPr>
          <w:rStyle w:val="00Char"/>
          <w:rFonts w:ascii="Calibri" w:hAnsi="Calibri" w:hint="eastAsia"/>
          <w:color w:val="000000" w:themeColor="text1"/>
        </w:rPr>
        <w:t>°。断距</w:t>
      </w:r>
      <w:r w:rsidRPr="00BB5174">
        <w:rPr>
          <w:rStyle w:val="00Char"/>
          <w:rFonts w:ascii="Calibri" w:hAnsi="Calibri" w:hint="eastAsia"/>
          <w:color w:val="000000" w:themeColor="text1"/>
        </w:rPr>
        <w:t>1000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2000m</w:t>
      </w:r>
      <w:r w:rsidRPr="00BB5174">
        <w:rPr>
          <w:rStyle w:val="00Char"/>
          <w:rFonts w:ascii="Calibri" w:hAnsi="Calibri" w:hint="eastAsia"/>
          <w:color w:val="000000" w:themeColor="text1"/>
        </w:rPr>
        <w:t>。</w:t>
      </w:r>
    </w:p>
    <w:p w14:paraId="75AD7391" w14:textId="77777777" w:rsidR="00BC4412" w:rsidRPr="00BB5174" w:rsidRDefault="00BC4412" w:rsidP="00BC4412">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枣庄—龙泉断层：展布于龙泉至枣庄一线。以水平位移为主，走向</w:t>
      </w:r>
      <w:r w:rsidRPr="00BB5174">
        <w:rPr>
          <w:rStyle w:val="00Char"/>
          <w:rFonts w:ascii="Calibri" w:hAnsi="Calibri" w:hint="eastAsia"/>
          <w:color w:val="000000" w:themeColor="text1"/>
        </w:rPr>
        <w:t>37</w:t>
      </w:r>
      <w:r w:rsidRPr="00BB5174">
        <w:rPr>
          <w:rStyle w:val="00Char"/>
          <w:rFonts w:ascii="Calibri" w:hAnsi="Calibri" w:hint="eastAsia"/>
          <w:color w:val="000000" w:themeColor="text1"/>
        </w:rPr>
        <w:t>°，倾向北西，水平位移约</w:t>
      </w:r>
      <w:r w:rsidRPr="00BB5174">
        <w:rPr>
          <w:rStyle w:val="00Char"/>
          <w:rFonts w:ascii="Calibri" w:hAnsi="Calibri" w:hint="eastAsia"/>
          <w:color w:val="000000" w:themeColor="text1"/>
        </w:rPr>
        <w:t>3000m</w:t>
      </w:r>
      <w:r w:rsidRPr="00BB5174">
        <w:rPr>
          <w:rStyle w:val="00Char"/>
          <w:rFonts w:ascii="Calibri" w:hAnsi="Calibri" w:hint="eastAsia"/>
          <w:color w:val="000000" w:themeColor="text1"/>
        </w:rPr>
        <w:t>。</w:t>
      </w:r>
    </w:p>
    <w:p w14:paraId="1A378A1F" w14:textId="77777777" w:rsidR="0037442E" w:rsidRPr="00BB5174" w:rsidRDefault="0037442E" w:rsidP="0037442E">
      <w:pPr>
        <w:spacing w:line="520" w:lineRule="exact"/>
        <w:ind w:firstLineChars="200" w:firstLine="482"/>
        <w:textAlignment w:val="baseline"/>
        <w:rPr>
          <w:rStyle w:val="00Char"/>
          <w:rFonts w:ascii="Calibri" w:hAnsi="Calibri"/>
          <w:b/>
          <w:color w:val="000000" w:themeColor="text1"/>
        </w:rPr>
      </w:pPr>
      <w:r>
        <w:rPr>
          <w:rStyle w:val="00Char"/>
          <w:rFonts w:ascii="Calibri" w:hAnsi="Calibri"/>
          <w:b/>
          <w:color w:val="auto"/>
        </w:rPr>
        <w:t>C</w:t>
      </w:r>
      <w:r w:rsidR="00BC4412" w:rsidRPr="00BC4412">
        <w:rPr>
          <w:rStyle w:val="00Char"/>
          <w:rFonts w:ascii="Calibri" w:hAnsi="Calibri" w:hint="eastAsia"/>
          <w:b/>
          <w:color w:val="auto"/>
        </w:rPr>
        <w:t>、</w:t>
      </w:r>
      <w:r w:rsidRPr="00BB5174">
        <w:rPr>
          <w:rStyle w:val="00Char"/>
          <w:rFonts w:ascii="Calibri" w:hAnsi="Calibri" w:hint="eastAsia"/>
          <w:b/>
          <w:color w:val="000000" w:themeColor="text1"/>
        </w:rPr>
        <w:t>区域水文地质条件</w:t>
      </w:r>
    </w:p>
    <w:p w14:paraId="5FBA9842"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）含水层及其富水性</w:t>
      </w:r>
    </w:p>
    <w:p w14:paraId="14700361"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lastRenderedPageBreak/>
        <w:t>区域含水层为浅层</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中深层松散岩类孔隙含水层，叶县城区以南浅层及中深层含水层单位涌水量皆为</w:t>
      </w:r>
      <w:r w:rsidRPr="00BB5174">
        <w:rPr>
          <w:rStyle w:val="00Char"/>
          <w:rFonts w:ascii="Calibri" w:hAnsi="Calibri" w:hint="eastAsia"/>
          <w:color w:val="000000" w:themeColor="text1"/>
        </w:rPr>
        <w:t>500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1000m</w:t>
      </w:r>
      <w:r w:rsidRPr="00BB5174">
        <w:rPr>
          <w:rStyle w:val="00Char"/>
          <w:rFonts w:ascii="Calibri" w:hAnsi="Calibri" w:hint="eastAsia"/>
          <w:color w:val="000000" w:themeColor="text1"/>
        </w:rPr>
        <w:t>³</w:t>
      </w:r>
      <w:r w:rsidRPr="00BB5174">
        <w:rPr>
          <w:rStyle w:val="00Char"/>
          <w:rFonts w:ascii="Calibri" w:hAnsi="Calibri" w:hint="eastAsia"/>
          <w:color w:val="000000" w:themeColor="text1"/>
        </w:rPr>
        <w:t>/d</w:t>
      </w:r>
      <w:r w:rsidRPr="00BB5174">
        <w:rPr>
          <w:rStyle w:val="00Char"/>
          <w:rFonts w:ascii="Calibri" w:hAnsi="Calibri" w:hint="eastAsia"/>
          <w:color w:val="000000" w:themeColor="text1"/>
        </w:rPr>
        <w:t>，叶县城区以北浅层含水层单位涌水量</w:t>
      </w:r>
      <w:r w:rsidRPr="00BB5174">
        <w:rPr>
          <w:rStyle w:val="00Char"/>
          <w:rFonts w:ascii="Calibri" w:hAnsi="Calibri" w:hint="eastAsia"/>
          <w:color w:val="000000" w:themeColor="text1"/>
        </w:rPr>
        <w:t>1000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5000m</w:t>
      </w:r>
      <w:r w:rsidRPr="00BB5174">
        <w:rPr>
          <w:rStyle w:val="00Char"/>
          <w:rFonts w:ascii="Calibri" w:hAnsi="Calibri" w:hint="eastAsia"/>
          <w:color w:val="000000" w:themeColor="text1"/>
        </w:rPr>
        <w:t>³</w:t>
      </w:r>
      <w:r w:rsidRPr="00BB5174">
        <w:rPr>
          <w:rStyle w:val="00Char"/>
          <w:rFonts w:ascii="Calibri" w:hAnsi="Calibri" w:hint="eastAsia"/>
          <w:color w:val="000000" w:themeColor="text1"/>
        </w:rPr>
        <w:t>/d</w:t>
      </w:r>
      <w:r w:rsidRPr="00BB5174">
        <w:rPr>
          <w:rStyle w:val="00Char"/>
          <w:rFonts w:ascii="Calibri" w:hAnsi="Calibri" w:hint="eastAsia"/>
          <w:color w:val="000000" w:themeColor="text1"/>
        </w:rPr>
        <w:t>，中深层含水层单位涌水量</w:t>
      </w:r>
      <w:r w:rsidRPr="00BB5174">
        <w:rPr>
          <w:rStyle w:val="00Char"/>
          <w:rFonts w:ascii="Calibri" w:hAnsi="Calibri" w:hint="eastAsia"/>
          <w:color w:val="000000" w:themeColor="text1"/>
        </w:rPr>
        <w:t>1000</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3000m</w:t>
      </w:r>
      <w:r w:rsidRPr="00BB5174">
        <w:rPr>
          <w:rStyle w:val="00Char"/>
          <w:rFonts w:ascii="Calibri" w:hAnsi="Calibri" w:hint="eastAsia"/>
          <w:color w:val="000000" w:themeColor="text1"/>
        </w:rPr>
        <w:t>³</w:t>
      </w:r>
      <w:r w:rsidRPr="00BB5174">
        <w:rPr>
          <w:rStyle w:val="00Char"/>
          <w:rFonts w:ascii="Calibri" w:hAnsi="Calibri" w:hint="eastAsia"/>
          <w:color w:val="000000" w:themeColor="text1"/>
        </w:rPr>
        <w:t>/d</w:t>
      </w:r>
      <w:r w:rsidRPr="00BB5174">
        <w:rPr>
          <w:rStyle w:val="00Char"/>
          <w:rFonts w:ascii="Calibri" w:hAnsi="Calibri" w:hint="eastAsia"/>
          <w:color w:val="000000" w:themeColor="text1"/>
        </w:rPr>
        <w:t>。</w:t>
      </w:r>
    </w:p>
    <w:p w14:paraId="283E6D31"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）地下水补给、径流和排泄</w:t>
      </w:r>
    </w:p>
    <w:p w14:paraId="7DEFB92E"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）浅层地下水的补给、径流、排泄条件</w:t>
      </w:r>
    </w:p>
    <w:p w14:paraId="70A00561"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补给条件</w:t>
      </w:r>
    </w:p>
    <w:p w14:paraId="45FB5B31"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浅层地下水的补给，主要以大气降水入渗补给为主，其次为灌溉回渗补给、河渠侧渗补给和侧向径流补给，水位变化幅度受季节变化影响较大。</w:t>
      </w:r>
    </w:p>
    <w:p w14:paraId="56E63181"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径流条件</w:t>
      </w:r>
    </w:p>
    <w:p w14:paraId="5805FF5F"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浅层地下水的径流随地形和岩性结构的不同而有差异，在河谷平原、山前冲洪积倾斜平原，地形坡降大，组成岩性颗粒粗，结构松散，导水性良好，径流条件好，径流总是向河床及其下游方向运移；而在平原区地形平坦，水力坡度在</w:t>
      </w: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浅层含水层颗粒细，导水性能较差，径流条件亦较差，径流缓慢。在天然条件下，沙河南岸平原区浅层地下水总的径流方向从西南向东北运移。在山前岗地区，由于地势较高，其水位高于周边平原区水位，浅层地下水由岗地向周边径流。</w:t>
      </w:r>
    </w:p>
    <w:p w14:paraId="7922D3B9"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排泄条件</w:t>
      </w:r>
    </w:p>
    <w:p w14:paraId="482155D8"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浅层地下水的排泄，主要以开采排泄为主，其次为蒸发排泄、地下径流排泄、越流排泄、河流排泄。</w:t>
      </w:r>
    </w:p>
    <w:p w14:paraId="41E72034"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）中深层地下水的补给、径流与排泄条件</w:t>
      </w:r>
    </w:p>
    <w:p w14:paraId="5ACB3179"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①</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补给条件</w:t>
      </w:r>
    </w:p>
    <w:p w14:paraId="4035CCD8"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中深层地下水在平原区不能直接得到大气降水的入渗补给，其补给来源主要为上游地下水的径流补给和浅层地下水的越流补给；在山前地带可以间接得到大气降水的入渗补给。</w:t>
      </w:r>
    </w:p>
    <w:p w14:paraId="6B0044CC"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②</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径流条件</w:t>
      </w:r>
    </w:p>
    <w:p w14:paraId="045C2725"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天然条件下，中深层地下水自西向东径流，与地形坡降一致，水力坡度</w:t>
      </w: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2.4</w:t>
      </w:r>
      <w:r w:rsidRPr="00BB5174">
        <w:rPr>
          <w:rStyle w:val="00Char"/>
          <w:rFonts w:ascii="Calibri" w:hAnsi="Calibri" w:hint="eastAsia"/>
          <w:color w:val="000000" w:themeColor="text1"/>
        </w:rPr>
        <w:t>‰。山前含水层颗粒较粗，地下水径流条件较好，平原区含水层颗粒较细，地下</w:t>
      </w:r>
      <w:r w:rsidRPr="00BB5174">
        <w:rPr>
          <w:rStyle w:val="00Char"/>
          <w:rFonts w:ascii="Calibri" w:hAnsi="Calibri" w:hint="eastAsia"/>
          <w:color w:val="000000" w:themeColor="text1"/>
        </w:rPr>
        <w:lastRenderedPageBreak/>
        <w:t>水径流条件相对较差。</w:t>
      </w:r>
    </w:p>
    <w:p w14:paraId="5E56729B"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③</w:t>
      </w:r>
      <w:r w:rsidRPr="00BB5174">
        <w:rPr>
          <w:rStyle w:val="00Char"/>
          <w:rFonts w:ascii="Calibri" w:hAnsi="Calibri" w:hint="eastAsia"/>
          <w:color w:val="000000" w:themeColor="text1"/>
        </w:rPr>
        <w:t xml:space="preserve"> </w:t>
      </w:r>
      <w:r w:rsidRPr="00BB5174">
        <w:rPr>
          <w:rStyle w:val="00Char"/>
          <w:rFonts w:ascii="Calibri" w:hAnsi="Calibri" w:hint="eastAsia"/>
          <w:color w:val="000000" w:themeColor="text1"/>
        </w:rPr>
        <w:t>排泄条件</w:t>
      </w:r>
    </w:p>
    <w:p w14:paraId="35779F0B"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人工开采和侧向径流是中深层地下水的主要排泄方式。</w:t>
      </w:r>
    </w:p>
    <w:p w14:paraId="491D30B4"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3</w:t>
      </w:r>
      <w:r w:rsidRPr="00BB5174">
        <w:rPr>
          <w:rStyle w:val="00Char"/>
          <w:rFonts w:ascii="Calibri" w:hAnsi="Calibri" w:hint="eastAsia"/>
          <w:color w:val="000000" w:themeColor="text1"/>
        </w:rPr>
        <w:t>）地下水动态特征</w:t>
      </w:r>
    </w:p>
    <w:p w14:paraId="7FE23CB5"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1</w:t>
      </w:r>
      <w:r w:rsidRPr="00BB5174">
        <w:rPr>
          <w:rStyle w:val="00Char"/>
          <w:rFonts w:ascii="Calibri" w:hAnsi="Calibri" w:hint="eastAsia"/>
          <w:color w:val="000000" w:themeColor="text1"/>
        </w:rPr>
        <w:t>）浅层地下水的动态特征</w:t>
      </w:r>
    </w:p>
    <w:p w14:paraId="253FEB5C"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区域上内浅层地下水水位多年变幅整体处于稳定状态。叶县—平顶山水位持续下降区中心水位埋深</w:t>
      </w:r>
      <w:r w:rsidRPr="00BB5174">
        <w:rPr>
          <w:rStyle w:val="00Char"/>
          <w:rFonts w:ascii="Calibri" w:hAnsi="Calibri" w:hint="eastAsia"/>
          <w:color w:val="000000" w:themeColor="text1"/>
        </w:rPr>
        <w:t>9.93m</w:t>
      </w:r>
      <w:r w:rsidRPr="00BB5174">
        <w:rPr>
          <w:rStyle w:val="00Char"/>
          <w:rFonts w:ascii="Calibri" w:hAnsi="Calibri" w:hint="eastAsia"/>
          <w:color w:val="000000" w:themeColor="text1"/>
        </w:rPr>
        <w:t>。与上世纪九十年代的浅层地下水水位动态情况进行对比，水位持续下降区面积的扩展速率为</w:t>
      </w:r>
      <w:r w:rsidRPr="00BB5174">
        <w:rPr>
          <w:rStyle w:val="00Char"/>
          <w:rFonts w:ascii="Calibri" w:hAnsi="Calibri" w:hint="eastAsia"/>
          <w:color w:val="000000" w:themeColor="text1"/>
        </w:rPr>
        <w:t>6.72km</w:t>
      </w:r>
      <w:r w:rsidRPr="00BB5174">
        <w:rPr>
          <w:rStyle w:val="00Char"/>
          <w:rFonts w:ascii="Calibri" w:hAnsi="Calibri" w:hint="eastAsia"/>
          <w:color w:val="000000" w:themeColor="text1"/>
          <w:vertAlign w:val="superscript"/>
        </w:rPr>
        <w:t>2</w:t>
      </w:r>
      <w:r w:rsidRPr="00BB5174">
        <w:rPr>
          <w:rStyle w:val="00Char"/>
          <w:rFonts w:ascii="Calibri" w:hAnsi="Calibri" w:hint="eastAsia"/>
          <w:color w:val="000000" w:themeColor="text1"/>
        </w:rPr>
        <w:t>/a</w:t>
      </w:r>
      <w:r w:rsidRPr="00BB5174">
        <w:rPr>
          <w:rStyle w:val="00Char"/>
          <w:rFonts w:ascii="Calibri" w:hAnsi="Calibri" w:hint="eastAsia"/>
          <w:color w:val="000000" w:themeColor="text1"/>
        </w:rPr>
        <w:t>，水位下降速率为</w:t>
      </w:r>
      <w:r w:rsidRPr="00BB5174">
        <w:rPr>
          <w:rStyle w:val="00Char"/>
          <w:rFonts w:ascii="Calibri" w:hAnsi="Calibri" w:hint="eastAsia"/>
          <w:color w:val="000000" w:themeColor="text1"/>
        </w:rPr>
        <w:t>0.26m/a</w:t>
      </w:r>
      <w:r w:rsidRPr="00BB5174">
        <w:rPr>
          <w:rStyle w:val="00Char"/>
          <w:rFonts w:ascii="Calibri" w:hAnsi="Calibri" w:hint="eastAsia"/>
          <w:color w:val="000000" w:themeColor="text1"/>
        </w:rPr>
        <w:t>。根据本次调查成果，汝河河谷浅层地下水位年变幅维持在±</w:t>
      </w:r>
      <w:r w:rsidRPr="00BB5174">
        <w:rPr>
          <w:rStyle w:val="00Char"/>
          <w:rFonts w:ascii="Calibri" w:hAnsi="Calibri" w:hint="eastAsia"/>
          <w:color w:val="000000" w:themeColor="text1"/>
        </w:rPr>
        <w:t>0.28m/a</w:t>
      </w:r>
      <w:r w:rsidRPr="00BB5174">
        <w:rPr>
          <w:rStyle w:val="00Char"/>
          <w:rFonts w:ascii="Calibri" w:hAnsi="Calibri" w:hint="eastAsia"/>
          <w:color w:val="000000" w:themeColor="text1"/>
        </w:rPr>
        <w:t>，整体处于稳定状态；沙澧河冲积平原浅层地下水年变幅维持在±</w:t>
      </w:r>
      <w:r w:rsidRPr="00BB5174">
        <w:rPr>
          <w:rStyle w:val="00Char"/>
          <w:rFonts w:ascii="Calibri" w:hAnsi="Calibri" w:hint="eastAsia"/>
          <w:color w:val="000000" w:themeColor="text1"/>
        </w:rPr>
        <w:t>0.36m/a</w:t>
      </w:r>
      <w:r w:rsidRPr="00BB5174">
        <w:rPr>
          <w:rStyle w:val="00Char"/>
          <w:rFonts w:ascii="Calibri" w:hAnsi="Calibri" w:hint="eastAsia"/>
          <w:color w:val="000000" w:themeColor="text1"/>
        </w:rPr>
        <w:t>，整体来看区内浅层地下水多年动态基本稳定。</w:t>
      </w:r>
    </w:p>
    <w:p w14:paraId="2034E8CA"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2</w:t>
      </w:r>
      <w:r w:rsidRPr="00BB5174">
        <w:rPr>
          <w:rStyle w:val="00Char"/>
          <w:rFonts w:ascii="Calibri" w:hAnsi="Calibri" w:hint="eastAsia"/>
          <w:color w:val="000000" w:themeColor="text1"/>
        </w:rPr>
        <w:t>）中深层地下水的动态特征</w:t>
      </w:r>
    </w:p>
    <w:p w14:paraId="28D341FC" w14:textId="77777777" w:rsidR="0037442E" w:rsidRPr="00BB5174" w:rsidRDefault="0037442E" w:rsidP="0037442E">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由于经济社会的持续发展，全市对中深层地下水开采的强度逐步增大，区内的两个自流区已不存在。现状年，区内中深层地下水水位整体上呈下降趋势，根据本次调查成果，结合以往研究资料，综合分析区内中深层地下水水位年变幅为±</w:t>
      </w:r>
      <w:r w:rsidRPr="00BB5174">
        <w:rPr>
          <w:rStyle w:val="00Char"/>
          <w:rFonts w:ascii="Calibri" w:hAnsi="Calibri" w:hint="eastAsia"/>
          <w:color w:val="000000" w:themeColor="text1"/>
        </w:rPr>
        <w:t>0.63m/a</w:t>
      </w:r>
      <w:r w:rsidRPr="00BB5174">
        <w:rPr>
          <w:rStyle w:val="00Char"/>
          <w:rFonts w:ascii="Calibri" w:hAnsi="Calibri" w:hint="eastAsia"/>
          <w:color w:val="000000" w:themeColor="text1"/>
        </w:rPr>
        <w:t>，整体处于稳定状态。</w:t>
      </w:r>
    </w:p>
    <w:p w14:paraId="4B9727A7" w14:textId="77777777" w:rsidR="0037442E" w:rsidRPr="00153EE6" w:rsidRDefault="006B32DB" w:rsidP="0037442E">
      <w:pPr>
        <w:spacing w:line="520" w:lineRule="exact"/>
        <w:ind w:firstLineChars="200" w:firstLine="482"/>
        <w:rPr>
          <w:rFonts w:ascii="Calibri" w:hAnsi="Calibri"/>
          <w:b/>
          <w:color w:val="auto"/>
          <w:sz w:val="24"/>
          <w:u w:val="single"/>
        </w:rPr>
      </w:pPr>
      <w:r w:rsidRPr="00153EE6">
        <w:rPr>
          <w:rFonts w:ascii="Calibri" w:hAnsi="Calibri" w:hint="eastAsia"/>
          <w:b/>
          <w:color w:val="auto"/>
          <w:sz w:val="24"/>
          <w:u w:val="single"/>
        </w:rPr>
        <w:t>3</w:t>
      </w:r>
      <w:r w:rsidRPr="00153EE6">
        <w:rPr>
          <w:rFonts w:ascii="Calibri" w:hAnsi="Calibri" w:hint="eastAsia"/>
          <w:b/>
          <w:color w:val="auto"/>
          <w:sz w:val="24"/>
          <w:u w:val="single"/>
        </w:rPr>
        <w:t>、</w:t>
      </w:r>
      <w:r w:rsidR="00CF7B80" w:rsidRPr="00153EE6">
        <w:rPr>
          <w:rFonts w:ascii="Calibri" w:hAnsi="Calibri" w:hint="eastAsia"/>
          <w:b/>
          <w:color w:val="auto"/>
          <w:sz w:val="24"/>
          <w:u w:val="single"/>
        </w:rPr>
        <w:t>评价区</w:t>
      </w:r>
      <w:r w:rsidR="00CF7B80" w:rsidRPr="00153EE6">
        <w:rPr>
          <w:rFonts w:ascii="Calibri" w:hAnsi="Calibri"/>
          <w:b/>
          <w:color w:val="auto"/>
          <w:sz w:val="24"/>
          <w:u w:val="single"/>
        </w:rPr>
        <w:t>水文</w:t>
      </w:r>
      <w:r w:rsidR="00CF7B80" w:rsidRPr="00153EE6">
        <w:rPr>
          <w:rFonts w:ascii="Calibri" w:hAnsi="Calibri" w:hint="eastAsia"/>
          <w:b/>
          <w:color w:val="auto"/>
          <w:sz w:val="24"/>
          <w:u w:val="single"/>
        </w:rPr>
        <w:t>地质</w:t>
      </w:r>
      <w:r w:rsidR="00CF7B80" w:rsidRPr="00153EE6">
        <w:rPr>
          <w:rFonts w:ascii="Calibri" w:hAnsi="Calibri"/>
          <w:b/>
          <w:color w:val="auto"/>
          <w:sz w:val="24"/>
          <w:u w:val="single"/>
        </w:rPr>
        <w:t>特征</w:t>
      </w:r>
    </w:p>
    <w:p w14:paraId="00D919F9"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1</w:t>
      </w:r>
      <w:r w:rsidRPr="00153EE6">
        <w:rPr>
          <w:rStyle w:val="00Char"/>
          <w:rFonts w:ascii="Calibri" w:hAnsi="Calibri" w:hint="eastAsia"/>
          <w:b/>
          <w:color w:val="000000" w:themeColor="text1"/>
          <w:u w:val="single"/>
        </w:rPr>
        <w:t>）评价</w:t>
      </w:r>
      <w:r w:rsidRPr="00153EE6">
        <w:rPr>
          <w:rStyle w:val="00Char"/>
          <w:rFonts w:ascii="Calibri" w:hAnsi="Calibri"/>
          <w:b/>
          <w:color w:val="000000" w:themeColor="text1"/>
          <w:u w:val="single"/>
        </w:rPr>
        <w:t>区水文地质条件</w:t>
      </w:r>
    </w:p>
    <w:p w14:paraId="23C612F1" w14:textId="77777777" w:rsidR="00E56FCA" w:rsidRPr="00153EE6" w:rsidRDefault="00E56FCA" w:rsidP="00E56FCA">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根据平顶山市东南区水文地质调查资料显示，集聚区所在区域覆盖地表的均为第四系全新统冲洪积成因的粘性土、粉土、砂土。地层为第四系松散堆积物，集聚区北边沙河附近主要覆盖层以浅黄色粉土、砂土为主，集聚区内大部分覆盖层以褐黄色粉质黏土、粘土为主。集聚区内浅层地下水的水位标高在</w:t>
      </w:r>
      <w:r w:rsidRPr="00153EE6">
        <w:rPr>
          <w:rStyle w:val="00Char"/>
          <w:rFonts w:ascii="Calibri" w:hAnsi="Calibri" w:hint="eastAsia"/>
          <w:b/>
          <w:color w:val="000000" w:themeColor="text1"/>
          <w:u w:val="single"/>
        </w:rPr>
        <w:t>73-77m</w:t>
      </w:r>
      <w:r w:rsidRPr="00153EE6">
        <w:rPr>
          <w:rStyle w:val="00Char"/>
          <w:rFonts w:ascii="Calibri" w:hAnsi="Calibri" w:hint="eastAsia"/>
          <w:b/>
          <w:color w:val="000000" w:themeColor="text1"/>
          <w:u w:val="single"/>
        </w:rPr>
        <w:t>左右。</w:t>
      </w:r>
      <w:r w:rsidRPr="00153EE6">
        <w:rPr>
          <w:rStyle w:val="00Char"/>
          <w:rFonts w:ascii="Calibri" w:hAnsi="Calibri"/>
          <w:b/>
          <w:color w:val="000000" w:themeColor="text1"/>
          <w:u w:val="single"/>
        </w:rPr>
        <w:t>平顶山尼龙新材料集聚区水文地质图</w:t>
      </w:r>
      <w:r w:rsidRPr="00153EE6">
        <w:rPr>
          <w:rStyle w:val="00Char"/>
          <w:rFonts w:ascii="Calibri" w:hAnsi="Calibri" w:hint="eastAsia"/>
          <w:b/>
          <w:u w:val="single"/>
        </w:rPr>
        <w:t>见图</w:t>
      </w:r>
      <w:r w:rsidRPr="00153EE6">
        <w:rPr>
          <w:rStyle w:val="00Char"/>
          <w:rFonts w:ascii="Calibri" w:hAnsi="Calibri" w:hint="eastAsia"/>
          <w:b/>
          <w:u w:val="single"/>
        </w:rPr>
        <w:t>4.2-8</w:t>
      </w:r>
      <w:r w:rsidRPr="00153EE6">
        <w:rPr>
          <w:rStyle w:val="00Char"/>
          <w:rFonts w:ascii="Calibri" w:hAnsi="Calibri" w:hint="eastAsia"/>
          <w:b/>
          <w:u w:val="single"/>
        </w:rPr>
        <w:t>。</w:t>
      </w:r>
    </w:p>
    <w:p w14:paraId="00D164D9" w14:textId="77777777" w:rsidR="00E56FCA" w:rsidRPr="00153EE6" w:rsidRDefault="00E56FCA" w:rsidP="00E56FCA">
      <w:pPr>
        <w:spacing w:line="520" w:lineRule="exact"/>
        <w:ind w:firstLineChars="200" w:firstLine="482"/>
        <w:textAlignment w:val="baseline"/>
        <w:rPr>
          <w:rStyle w:val="00Char"/>
          <w:rFonts w:ascii="Calibri" w:hAnsi="Calibri"/>
          <w:b/>
          <w:u w:val="single"/>
        </w:rPr>
      </w:pPr>
    </w:p>
    <w:p w14:paraId="7C1687C5" w14:textId="77777777" w:rsidR="00E56FCA" w:rsidRPr="00153EE6" w:rsidRDefault="00E56FCA" w:rsidP="00E56FCA">
      <w:pPr>
        <w:spacing w:line="520" w:lineRule="exact"/>
        <w:ind w:firstLineChars="200" w:firstLine="480"/>
        <w:textAlignment w:val="baseline"/>
        <w:rPr>
          <w:rStyle w:val="00Char"/>
          <w:rFonts w:ascii="Calibri" w:hAnsi="Calibri"/>
          <w:u w:val="single"/>
        </w:rPr>
      </w:pPr>
    </w:p>
    <w:p w14:paraId="07639C33" w14:textId="77777777" w:rsidR="00E56FCA" w:rsidRPr="00153EE6" w:rsidRDefault="00E56FCA" w:rsidP="00E56FCA">
      <w:pPr>
        <w:spacing w:line="520" w:lineRule="exact"/>
        <w:ind w:firstLineChars="200" w:firstLine="480"/>
        <w:textAlignment w:val="baseline"/>
        <w:rPr>
          <w:rStyle w:val="00Char"/>
          <w:rFonts w:ascii="Calibri" w:hAnsi="Calibri"/>
          <w:u w:val="single"/>
        </w:rPr>
      </w:pPr>
    </w:p>
    <w:p w14:paraId="136C0F18" w14:textId="77777777" w:rsidR="00E56FCA" w:rsidRPr="00153EE6" w:rsidRDefault="00E56FCA" w:rsidP="006B32DB">
      <w:pPr>
        <w:rPr>
          <w:rFonts w:asciiTheme="minorHAnsi" w:eastAsia="黑体" w:hAnsi="黑体" w:cstheme="minorHAnsi"/>
          <w:color w:val="auto"/>
          <w:sz w:val="24"/>
          <w:u w:val="single"/>
        </w:rPr>
      </w:pPr>
    </w:p>
    <w:p w14:paraId="338BD8E5" w14:textId="77777777" w:rsidR="00E56FCA" w:rsidRPr="00153EE6" w:rsidRDefault="00E56FCA" w:rsidP="00E56FCA">
      <w:pPr>
        <w:ind w:firstLineChars="200" w:firstLine="420"/>
        <w:rPr>
          <w:rFonts w:asciiTheme="minorHAnsi" w:eastAsia="黑体" w:hAnsi="黑体" w:cstheme="minorHAnsi"/>
          <w:color w:val="auto"/>
          <w:sz w:val="24"/>
          <w:u w:val="single"/>
        </w:rPr>
      </w:pPr>
      <w:r w:rsidRPr="00153EE6">
        <w:rPr>
          <w:noProof/>
          <w:u w:val="single"/>
        </w:rPr>
        <w:lastRenderedPageBreak/>
        <w:drawing>
          <wp:anchor distT="0" distB="0" distL="114300" distR="114300" simplePos="0" relativeHeight="253697536" behindDoc="0" locked="0" layoutInCell="1" allowOverlap="1" wp14:anchorId="6308BA9E" wp14:editId="60EC1D6F">
            <wp:simplePos x="0" y="0"/>
            <wp:positionH relativeFrom="margin">
              <wp:align>right</wp:align>
            </wp:positionH>
            <wp:positionV relativeFrom="paragraph">
              <wp:posOffset>5715</wp:posOffset>
            </wp:positionV>
            <wp:extent cx="5543550" cy="4278630"/>
            <wp:effectExtent l="0" t="0" r="0" b="762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543550" cy="4278630"/>
                    </a:xfrm>
                    <a:prstGeom prst="rect">
                      <a:avLst/>
                    </a:prstGeom>
                  </pic:spPr>
                </pic:pic>
              </a:graphicData>
            </a:graphic>
            <wp14:sizeRelH relativeFrom="page">
              <wp14:pctWidth>0</wp14:pctWidth>
            </wp14:sizeRelH>
            <wp14:sizeRelV relativeFrom="page">
              <wp14:pctHeight>0</wp14:pctHeight>
            </wp14:sizeRelV>
          </wp:anchor>
        </w:drawing>
      </w:r>
    </w:p>
    <w:p w14:paraId="170CA67B"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5B5B75A1"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5EBC7D20"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00191416"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5D245334"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5598C91C"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616808C4"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6F253FFC"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03149F43"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492E726E"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15E8BC6F"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1C91A9F8" w14:textId="77777777" w:rsidR="00E56FCA" w:rsidRPr="00153EE6" w:rsidRDefault="00E56FCA" w:rsidP="00E56FCA">
      <w:pPr>
        <w:spacing w:line="520" w:lineRule="exact"/>
        <w:ind w:firstLineChars="200" w:firstLine="480"/>
        <w:rPr>
          <w:rFonts w:asciiTheme="minorHAnsi" w:eastAsia="黑体" w:hAnsi="黑体" w:cstheme="minorHAnsi"/>
          <w:color w:val="auto"/>
          <w:sz w:val="24"/>
          <w:u w:val="single"/>
        </w:rPr>
      </w:pPr>
    </w:p>
    <w:p w14:paraId="1B32590D" w14:textId="77777777" w:rsidR="00E56FCA" w:rsidRPr="00153EE6" w:rsidRDefault="00E56FCA" w:rsidP="000A5F98">
      <w:pPr>
        <w:spacing w:line="520" w:lineRule="exact"/>
        <w:ind w:firstLineChars="450" w:firstLine="1080"/>
        <w:rPr>
          <w:rStyle w:val="00Char"/>
          <w:rFonts w:asciiTheme="minorHAnsi" w:eastAsia="黑体" w:hAnsiTheme="minorHAnsi" w:cstheme="minorHAnsi"/>
          <w:color w:val="auto"/>
          <w:u w:val="single"/>
        </w:rPr>
      </w:pPr>
      <w:r w:rsidRPr="00153EE6">
        <w:rPr>
          <w:rStyle w:val="00Char"/>
          <w:rFonts w:ascii="Calibri" w:hAnsi="Calibri" w:hint="eastAsia"/>
          <w:u w:val="single"/>
        </w:rPr>
        <w:t>图</w:t>
      </w:r>
      <w:r w:rsidRPr="00153EE6">
        <w:rPr>
          <w:rStyle w:val="00Char"/>
          <w:rFonts w:ascii="Calibri" w:hAnsi="Calibri" w:hint="eastAsia"/>
          <w:u w:val="single"/>
        </w:rPr>
        <w:t>4.2-8</w:t>
      </w:r>
      <w:r w:rsidRPr="00153EE6">
        <w:rPr>
          <w:rFonts w:asciiTheme="minorHAnsi" w:eastAsia="黑体" w:hAnsiTheme="minorHAnsi" w:cstheme="minorHAnsi"/>
          <w:color w:val="auto"/>
          <w:sz w:val="24"/>
          <w:u w:val="single"/>
        </w:rPr>
        <w:t xml:space="preserve">        </w:t>
      </w:r>
      <w:r w:rsidRPr="00153EE6">
        <w:rPr>
          <w:rFonts w:asciiTheme="minorHAnsi" w:eastAsia="黑体" w:hAnsi="黑体" w:cstheme="minorHAnsi" w:hint="eastAsia"/>
          <w:color w:val="auto"/>
          <w:sz w:val="24"/>
          <w:u w:val="single"/>
        </w:rPr>
        <w:t>平顶山尼龙</w:t>
      </w:r>
      <w:r w:rsidRPr="00153EE6">
        <w:rPr>
          <w:rFonts w:asciiTheme="minorHAnsi" w:eastAsia="黑体" w:hAnsi="黑体" w:cstheme="minorHAnsi"/>
          <w:color w:val="auto"/>
          <w:sz w:val="24"/>
          <w:u w:val="single"/>
        </w:rPr>
        <w:t>新材料产业集聚区水文地质图</w:t>
      </w:r>
    </w:p>
    <w:p w14:paraId="758F05E9"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区域地下水勘察资料引用平顶山市城市生活垃圾焚烧发电项目现场勘查资料（该项目拟于集聚区内建设，已取得环评批复），根据调查区域地下水类型属松散岩类孔隙水，划分为浅层水和中深层地下水。浅层地下水开发利用方式主要为农业灌溉用水和部分村庄居民生活饮用开采，井深为</w:t>
      </w:r>
      <w:r w:rsidRPr="00153EE6">
        <w:rPr>
          <w:rStyle w:val="00Char"/>
          <w:rFonts w:ascii="Calibri" w:hAnsi="Calibri" w:hint="eastAsia"/>
          <w:b/>
          <w:color w:val="000000" w:themeColor="text1"/>
          <w:u w:val="single"/>
        </w:rPr>
        <w:t>20</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50m</w:t>
      </w:r>
      <w:r w:rsidRPr="00153EE6">
        <w:rPr>
          <w:rStyle w:val="00Char"/>
          <w:rFonts w:ascii="Calibri" w:hAnsi="Calibri" w:hint="eastAsia"/>
          <w:b/>
          <w:color w:val="000000" w:themeColor="text1"/>
          <w:u w:val="single"/>
        </w:rPr>
        <w:t>。中深层地下水开发利用方式主要为居民生活饮用水开采，井深多为</w:t>
      </w:r>
      <w:r w:rsidRPr="00153EE6">
        <w:rPr>
          <w:rStyle w:val="00Char"/>
          <w:rFonts w:ascii="Calibri" w:hAnsi="Calibri" w:hint="eastAsia"/>
          <w:b/>
          <w:color w:val="000000" w:themeColor="text1"/>
          <w:u w:val="single"/>
        </w:rPr>
        <w:t>120m</w:t>
      </w:r>
      <w:r w:rsidRPr="00153EE6">
        <w:rPr>
          <w:rStyle w:val="00Char"/>
          <w:rFonts w:ascii="Calibri" w:hAnsi="Calibri" w:hint="eastAsia"/>
          <w:b/>
          <w:color w:val="000000" w:themeColor="text1"/>
          <w:u w:val="single"/>
        </w:rPr>
        <w:t>左右。</w:t>
      </w:r>
    </w:p>
    <w:p w14:paraId="0AE2B2B6"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根据平顶山市城市生活垃圾焚烧发电项目水文地质勘察成果绘制的浅层水文地质剖面（图</w:t>
      </w:r>
      <w:r w:rsidRPr="00153EE6">
        <w:rPr>
          <w:rStyle w:val="00Char"/>
          <w:rFonts w:ascii="Calibri" w:hAnsi="Calibri" w:hint="eastAsia"/>
          <w:b/>
          <w:color w:val="000000" w:themeColor="text1"/>
          <w:u w:val="single"/>
        </w:rPr>
        <w:t>4.2-</w:t>
      </w:r>
      <w:r w:rsidRPr="00153EE6">
        <w:rPr>
          <w:rStyle w:val="00Char"/>
          <w:rFonts w:ascii="Calibri" w:hAnsi="Calibri"/>
          <w:b/>
          <w:color w:val="000000" w:themeColor="text1"/>
          <w:u w:val="single"/>
        </w:rPr>
        <w:t>9</w:t>
      </w:r>
      <w:r w:rsidRPr="00153EE6">
        <w:rPr>
          <w:rStyle w:val="00Char"/>
          <w:rFonts w:ascii="Calibri" w:hAnsi="Calibri" w:hint="eastAsia"/>
          <w:b/>
          <w:color w:val="000000" w:themeColor="text1"/>
          <w:u w:val="single"/>
        </w:rPr>
        <w:t>）可知，包气带厚度在</w:t>
      </w:r>
      <w:r w:rsidRPr="00153EE6">
        <w:rPr>
          <w:rStyle w:val="00Char"/>
          <w:rFonts w:ascii="Calibri" w:hAnsi="Calibri" w:hint="eastAsia"/>
          <w:b/>
          <w:color w:val="000000" w:themeColor="text1"/>
          <w:u w:val="single"/>
        </w:rPr>
        <w:t>0.3-5.2m</w:t>
      </w:r>
      <w:r w:rsidRPr="00153EE6">
        <w:rPr>
          <w:rStyle w:val="00Char"/>
          <w:rFonts w:ascii="Calibri" w:hAnsi="Calibri" w:hint="eastAsia"/>
          <w:b/>
          <w:color w:val="000000" w:themeColor="text1"/>
          <w:u w:val="single"/>
        </w:rPr>
        <w:t>之间，浅层地下水含水层为水面以下的粉质粘土层和细砂层。各层岩性特征分述如下：</w:t>
      </w:r>
    </w:p>
    <w:p w14:paraId="35EE955C"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1CE4A877"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0B1F9FFF"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5749A70B"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3F9A2DAF"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18D76081" w14:textId="77777777" w:rsidR="006B32DB" w:rsidRPr="00153EE6" w:rsidRDefault="006B32DB" w:rsidP="006B32DB">
      <w:pPr>
        <w:ind w:firstLineChars="200" w:firstLine="422"/>
        <w:textAlignment w:val="baseline"/>
        <w:rPr>
          <w:rStyle w:val="00Char"/>
          <w:rFonts w:ascii="Calibri" w:hAnsi="Calibri"/>
          <w:b/>
          <w:color w:val="000000" w:themeColor="text1"/>
          <w:u w:val="single"/>
        </w:rPr>
      </w:pPr>
      <w:r w:rsidRPr="00153EE6">
        <w:rPr>
          <w:b/>
          <w:noProof/>
          <w:u w:val="single"/>
        </w:rPr>
        <w:lastRenderedPageBreak/>
        <w:drawing>
          <wp:inline distT="0" distB="0" distL="0" distR="0" wp14:anchorId="5D320397" wp14:editId="62C090A5">
            <wp:extent cx="5036820" cy="4452364"/>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41517" cy="4456516"/>
                    </a:xfrm>
                    <a:prstGeom prst="rect">
                      <a:avLst/>
                    </a:prstGeom>
                  </pic:spPr>
                </pic:pic>
              </a:graphicData>
            </a:graphic>
          </wp:inline>
        </w:drawing>
      </w:r>
    </w:p>
    <w:p w14:paraId="199DE4BF" w14:textId="77777777" w:rsidR="006B32DB" w:rsidRPr="00153EE6" w:rsidRDefault="006B32DB" w:rsidP="006B32DB">
      <w:pPr>
        <w:spacing w:line="520" w:lineRule="exact"/>
        <w:ind w:firstLineChars="450" w:firstLine="1084"/>
        <w:rPr>
          <w:rStyle w:val="00Char"/>
          <w:rFonts w:asciiTheme="minorHAnsi" w:eastAsia="黑体" w:hAnsiTheme="minorHAnsi" w:cstheme="minorHAnsi"/>
          <w:b/>
          <w:color w:val="auto"/>
          <w:u w:val="single"/>
        </w:rPr>
      </w:pPr>
      <w:r w:rsidRPr="00153EE6">
        <w:rPr>
          <w:rStyle w:val="00Char"/>
          <w:rFonts w:ascii="Calibri" w:hAnsi="Calibri" w:hint="eastAsia"/>
          <w:b/>
          <w:u w:val="single"/>
        </w:rPr>
        <w:t>图</w:t>
      </w:r>
      <w:r w:rsidRPr="00153EE6">
        <w:rPr>
          <w:rStyle w:val="00Char"/>
          <w:rFonts w:ascii="Calibri" w:hAnsi="Calibri" w:hint="eastAsia"/>
          <w:b/>
          <w:u w:val="single"/>
        </w:rPr>
        <w:t>4.2-</w:t>
      </w:r>
      <w:r w:rsidRPr="00153EE6">
        <w:rPr>
          <w:rStyle w:val="00Char"/>
          <w:rFonts w:ascii="Calibri" w:hAnsi="Calibri"/>
          <w:b/>
          <w:u w:val="single"/>
        </w:rPr>
        <w:t>9</w:t>
      </w:r>
      <w:r w:rsidRPr="00153EE6">
        <w:rPr>
          <w:rFonts w:asciiTheme="minorHAnsi" w:eastAsia="黑体" w:hAnsiTheme="minorHAnsi" w:cstheme="minorHAnsi"/>
          <w:b/>
          <w:color w:val="auto"/>
          <w:sz w:val="24"/>
          <w:u w:val="single"/>
        </w:rPr>
        <w:t xml:space="preserve">    </w:t>
      </w:r>
      <w:r w:rsidRPr="00153EE6">
        <w:rPr>
          <w:rFonts w:asciiTheme="minorHAnsi" w:eastAsia="黑体" w:hAnsi="黑体" w:cstheme="minorHAnsi" w:hint="eastAsia"/>
          <w:b/>
          <w:color w:val="auto"/>
          <w:sz w:val="24"/>
          <w:u w:val="single"/>
        </w:rPr>
        <w:t>平顶山尼龙</w:t>
      </w:r>
      <w:r w:rsidRPr="00153EE6">
        <w:rPr>
          <w:rFonts w:asciiTheme="minorHAnsi" w:eastAsia="黑体" w:hAnsi="黑体" w:cstheme="minorHAnsi"/>
          <w:b/>
          <w:color w:val="auto"/>
          <w:sz w:val="24"/>
          <w:u w:val="single"/>
        </w:rPr>
        <w:t>新材料产业集聚区</w:t>
      </w:r>
      <w:r w:rsidRPr="00153EE6">
        <w:rPr>
          <w:rFonts w:asciiTheme="minorHAnsi" w:eastAsia="黑体" w:hAnsi="黑体" w:cstheme="minorHAnsi" w:hint="eastAsia"/>
          <w:b/>
          <w:color w:val="auto"/>
          <w:sz w:val="24"/>
          <w:u w:val="single"/>
        </w:rPr>
        <w:t>浅层水文</w:t>
      </w:r>
      <w:r w:rsidRPr="00153EE6">
        <w:rPr>
          <w:rFonts w:asciiTheme="minorHAnsi" w:eastAsia="黑体" w:hAnsi="黑体" w:cstheme="minorHAnsi"/>
          <w:b/>
          <w:color w:val="auto"/>
          <w:sz w:val="24"/>
          <w:u w:val="single"/>
        </w:rPr>
        <w:t>地质剖面图</w:t>
      </w:r>
    </w:p>
    <w:p w14:paraId="595D297C"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1</w:t>
      </w:r>
      <w:r w:rsidRPr="00153EE6">
        <w:rPr>
          <w:rStyle w:val="00Char"/>
          <w:rFonts w:ascii="Calibri" w:hAnsi="Calibri" w:hint="eastAsia"/>
          <w:b/>
          <w:color w:val="000000" w:themeColor="text1"/>
          <w:u w:val="single"/>
        </w:rPr>
        <w:t>）粉质粘土（</w:t>
      </w:r>
      <w:r w:rsidRPr="00153EE6">
        <w:rPr>
          <w:rStyle w:val="00Char"/>
          <w:rFonts w:ascii="Calibri" w:hAnsi="Calibri" w:hint="eastAsia"/>
          <w:b/>
          <w:color w:val="000000" w:themeColor="text1"/>
          <w:u w:val="single"/>
        </w:rPr>
        <w:t>Q4al</w:t>
      </w:r>
      <w:r w:rsidRPr="00153EE6">
        <w:rPr>
          <w:rStyle w:val="00Char"/>
          <w:rFonts w:ascii="Calibri" w:hAnsi="Calibri" w:hint="eastAsia"/>
          <w:b/>
          <w:color w:val="000000" w:themeColor="text1"/>
          <w:u w:val="single"/>
        </w:rPr>
        <w:t>），灰黄－褐黄色，往下渐变为灰褐色，光泽。下部含锈黄色斑点及少量铁锰质，层底埋深</w:t>
      </w:r>
      <w:r w:rsidRPr="00153EE6">
        <w:rPr>
          <w:rStyle w:val="00Char"/>
          <w:rFonts w:ascii="Calibri" w:hAnsi="Calibri" w:hint="eastAsia"/>
          <w:b/>
          <w:color w:val="000000" w:themeColor="text1"/>
          <w:u w:val="single"/>
        </w:rPr>
        <w:t>13.70m</w:t>
      </w:r>
      <w:r w:rsidRPr="00153EE6">
        <w:rPr>
          <w:rStyle w:val="00Char"/>
          <w:rFonts w:ascii="Calibri" w:hAnsi="Calibri" w:hint="eastAsia"/>
          <w:b/>
          <w:color w:val="000000" w:themeColor="text1"/>
          <w:u w:val="single"/>
        </w:rPr>
        <w:t>，层厚</w:t>
      </w:r>
      <w:r w:rsidRPr="00153EE6">
        <w:rPr>
          <w:rStyle w:val="00Char"/>
          <w:rFonts w:ascii="Calibri" w:hAnsi="Calibri" w:hint="eastAsia"/>
          <w:b/>
          <w:color w:val="000000" w:themeColor="text1"/>
          <w:u w:val="single"/>
        </w:rPr>
        <w:t>8.18m</w:t>
      </w:r>
      <w:r w:rsidRPr="00153EE6">
        <w:rPr>
          <w:rStyle w:val="00Char"/>
          <w:rFonts w:ascii="Calibri" w:hAnsi="Calibri" w:hint="eastAsia"/>
          <w:b/>
          <w:color w:val="000000" w:themeColor="text1"/>
          <w:u w:val="single"/>
        </w:rPr>
        <w:t>。</w:t>
      </w:r>
    </w:p>
    <w:p w14:paraId="660D596E"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2</w:t>
      </w:r>
      <w:r w:rsidRPr="00153EE6">
        <w:rPr>
          <w:rStyle w:val="00Char"/>
          <w:rFonts w:ascii="Calibri" w:hAnsi="Calibri" w:hint="eastAsia"/>
          <w:b/>
          <w:color w:val="000000" w:themeColor="text1"/>
          <w:u w:val="single"/>
        </w:rPr>
        <w:t>）细砂（</w:t>
      </w:r>
      <w:r w:rsidRPr="00153EE6">
        <w:rPr>
          <w:rStyle w:val="00Char"/>
          <w:rFonts w:ascii="Calibri" w:hAnsi="Calibri" w:hint="eastAsia"/>
          <w:b/>
          <w:color w:val="000000" w:themeColor="text1"/>
          <w:u w:val="single"/>
        </w:rPr>
        <w:t>Q4al</w:t>
      </w:r>
      <w:r w:rsidRPr="00153EE6">
        <w:rPr>
          <w:rStyle w:val="00Char"/>
          <w:rFonts w:ascii="Calibri" w:hAnsi="Calibri" w:hint="eastAsia"/>
          <w:b/>
          <w:color w:val="000000" w:themeColor="text1"/>
          <w:u w:val="single"/>
        </w:rPr>
        <w:t>），灰黄色，稍密状态，分选性好，级配差，颗粒均匀。主要矿物成分为石英、长石及少量暗色矿物。层底埋深</w:t>
      </w:r>
      <w:r w:rsidRPr="00153EE6">
        <w:rPr>
          <w:rStyle w:val="00Char"/>
          <w:rFonts w:ascii="Calibri" w:hAnsi="Calibri" w:hint="eastAsia"/>
          <w:b/>
          <w:color w:val="000000" w:themeColor="text1"/>
          <w:u w:val="single"/>
        </w:rPr>
        <w:t>15.07m</w:t>
      </w:r>
      <w:r w:rsidRPr="00153EE6">
        <w:rPr>
          <w:rStyle w:val="00Char"/>
          <w:rFonts w:ascii="Calibri" w:hAnsi="Calibri" w:hint="eastAsia"/>
          <w:b/>
          <w:color w:val="000000" w:themeColor="text1"/>
          <w:u w:val="single"/>
        </w:rPr>
        <w:t>，层厚</w:t>
      </w:r>
      <w:r w:rsidRPr="00153EE6">
        <w:rPr>
          <w:rStyle w:val="00Char"/>
          <w:rFonts w:ascii="Calibri" w:hAnsi="Calibri" w:hint="eastAsia"/>
          <w:b/>
          <w:color w:val="000000" w:themeColor="text1"/>
          <w:u w:val="single"/>
        </w:rPr>
        <w:t>1.37m</w:t>
      </w:r>
      <w:r w:rsidRPr="00153EE6">
        <w:rPr>
          <w:rStyle w:val="00Char"/>
          <w:rFonts w:ascii="Calibri" w:hAnsi="Calibri" w:hint="eastAsia"/>
          <w:b/>
          <w:color w:val="000000" w:themeColor="text1"/>
          <w:u w:val="single"/>
        </w:rPr>
        <w:t>。</w:t>
      </w:r>
    </w:p>
    <w:p w14:paraId="292CB391"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w:t>
      </w:r>
      <w:r w:rsidRPr="00153EE6">
        <w:rPr>
          <w:rStyle w:val="00Char"/>
          <w:rFonts w:ascii="Calibri" w:hAnsi="Calibri"/>
          <w:b/>
          <w:color w:val="000000" w:themeColor="text1"/>
          <w:u w:val="single"/>
        </w:rPr>
        <w:t>2</w:t>
      </w:r>
      <w:r w:rsidRPr="00153EE6">
        <w:rPr>
          <w:rStyle w:val="00Char"/>
          <w:rFonts w:ascii="Calibri" w:hAnsi="Calibri" w:hint="eastAsia"/>
          <w:b/>
          <w:color w:val="000000" w:themeColor="text1"/>
          <w:u w:val="single"/>
        </w:rPr>
        <w:t>）评价</w:t>
      </w:r>
      <w:r w:rsidRPr="00153EE6">
        <w:rPr>
          <w:rStyle w:val="00Char"/>
          <w:rFonts w:ascii="Calibri" w:hAnsi="Calibri"/>
          <w:b/>
          <w:color w:val="000000" w:themeColor="text1"/>
          <w:u w:val="single"/>
        </w:rPr>
        <w:t>区</w:t>
      </w:r>
      <w:r w:rsidRPr="00153EE6">
        <w:rPr>
          <w:rStyle w:val="00Char"/>
          <w:rFonts w:ascii="Calibri" w:hAnsi="Calibri" w:hint="eastAsia"/>
          <w:b/>
          <w:color w:val="000000" w:themeColor="text1"/>
          <w:u w:val="single"/>
        </w:rPr>
        <w:t>地下水</w:t>
      </w:r>
      <w:r w:rsidRPr="00153EE6">
        <w:rPr>
          <w:rStyle w:val="00Char"/>
          <w:rFonts w:ascii="Calibri" w:hAnsi="Calibri"/>
          <w:b/>
          <w:color w:val="000000" w:themeColor="text1"/>
          <w:u w:val="single"/>
        </w:rPr>
        <w:t>类型及</w:t>
      </w:r>
      <w:r w:rsidRPr="00153EE6">
        <w:rPr>
          <w:rStyle w:val="00Char"/>
          <w:rFonts w:ascii="Calibri" w:hAnsi="Calibri" w:hint="eastAsia"/>
          <w:b/>
          <w:color w:val="000000" w:themeColor="text1"/>
          <w:u w:val="single"/>
        </w:rPr>
        <w:t>特征</w:t>
      </w:r>
    </w:p>
    <w:p w14:paraId="32F19D04"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根据地下水赋存介质和赋存介质的空间分布，区内（叶县境内）地下水可分为松散岩类孔隙水、碎屑岩类裂隙水、碳酸盐岩类裂隙岩溶水和基岩裂隙水。松散岩类孔隙水含水岩组水是集聚区内的主要的地下水含水岩组，依据地下水埋藏条件和水力联系特征，划分为浅层含水岩组和中深层含水岩组。</w:t>
      </w:r>
    </w:p>
    <w:p w14:paraId="7A216609"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1</w:t>
      </w:r>
      <w:r w:rsidRPr="00153EE6">
        <w:rPr>
          <w:rStyle w:val="00Char"/>
          <w:rFonts w:ascii="Calibri" w:hAnsi="Calibri" w:hint="eastAsia"/>
          <w:b/>
          <w:color w:val="000000" w:themeColor="text1"/>
          <w:u w:val="single"/>
        </w:rPr>
        <w:t>）浅层含水岩组的岩性为以细砂、砂砾石、粉质黏土为主，呈松散状、颗粒较粗，泥质含量稍高，孔隙发育，是集聚区内地下水主要含水层，其水流向总体上与地形倾向一致，即由西南向东北方向径流，径流速度缓慢，水力坡度介于</w:t>
      </w:r>
      <w:r w:rsidRPr="00153EE6">
        <w:rPr>
          <w:rStyle w:val="00Char"/>
          <w:rFonts w:ascii="Calibri" w:hAnsi="Calibri" w:hint="eastAsia"/>
          <w:b/>
          <w:color w:val="000000" w:themeColor="text1"/>
          <w:u w:val="single"/>
        </w:rPr>
        <w:t>0.1</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-1.4</w:t>
      </w:r>
      <w:r w:rsidRPr="00153EE6">
        <w:rPr>
          <w:rStyle w:val="00Char"/>
          <w:rFonts w:ascii="Calibri" w:hAnsi="Calibri" w:hint="eastAsia"/>
          <w:b/>
          <w:color w:val="000000" w:themeColor="text1"/>
          <w:u w:val="single"/>
        </w:rPr>
        <w:t>‰。</w:t>
      </w:r>
    </w:p>
    <w:p w14:paraId="6E546153" w14:textId="77777777" w:rsidR="006B32DB" w:rsidRPr="00153EE6" w:rsidRDefault="006B32DB" w:rsidP="006B32DB">
      <w:pPr>
        <w:ind w:firstLineChars="200" w:firstLine="422"/>
        <w:textAlignment w:val="baseline"/>
        <w:rPr>
          <w:rStyle w:val="00Char"/>
          <w:rFonts w:ascii="Calibri" w:hAnsi="Calibri"/>
          <w:b/>
          <w:color w:val="000000" w:themeColor="text1"/>
          <w:u w:val="single"/>
        </w:rPr>
      </w:pPr>
      <w:r w:rsidRPr="00153EE6">
        <w:rPr>
          <w:b/>
          <w:noProof/>
          <w:u w:val="single"/>
        </w:rPr>
        <w:lastRenderedPageBreak/>
        <w:drawing>
          <wp:inline distT="0" distB="0" distL="0" distR="0" wp14:anchorId="1079ED26" wp14:editId="308B912A">
            <wp:extent cx="4518660" cy="461333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23026" cy="4617794"/>
                    </a:xfrm>
                    <a:prstGeom prst="rect">
                      <a:avLst/>
                    </a:prstGeom>
                  </pic:spPr>
                </pic:pic>
              </a:graphicData>
            </a:graphic>
          </wp:inline>
        </w:drawing>
      </w:r>
    </w:p>
    <w:p w14:paraId="3626A94F" w14:textId="77777777" w:rsidR="006B32DB" w:rsidRPr="00153EE6" w:rsidRDefault="006B32DB" w:rsidP="006B32DB">
      <w:pPr>
        <w:spacing w:line="520" w:lineRule="exact"/>
        <w:ind w:firstLineChars="450" w:firstLine="1084"/>
        <w:rPr>
          <w:rStyle w:val="00Char"/>
          <w:rFonts w:asciiTheme="minorHAnsi" w:eastAsia="黑体" w:hAnsiTheme="minorHAnsi" w:cstheme="minorHAnsi"/>
          <w:b/>
          <w:color w:val="auto"/>
          <w:u w:val="single"/>
        </w:rPr>
      </w:pPr>
      <w:r w:rsidRPr="00153EE6">
        <w:rPr>
          <w:rStyle w:val="00Char"/>
          <w:rFonts w:ascii="Calibri" w:hAnsi="Calibri" w:hint="eastAsia"/>
          <w:b/>
          <w:u w:val="single"/>
        </w:rPr>
        <w:t>图</w:t>
      </w:r>
      <w:r w:rsidRPr="00153EE6">
        <w:rPr>
          <w:rStyle w:val="00Char"/>
          <w:rFonts w:ascii="Calibri" w:hAnsi="Calibri" w:hint="eastAsia"/>
          <w:b/>
          <w:u w:val="single"/>
        </w:rPr>
        <w:t>4.2-</w:t>
      </w:r>
      <w:r w:rsidRPr="00153EE6">
        <w:rPr>
          <w:rStyle w:val="00Char"/>
          <w:rFonts w:ascii="Calibri" w:hAnsi="Calibri"/>
          <w:b/>
          <w:u w:val="single"/>
        </w:rPr>
        <w:t>10</w:t>
      </w:r>
      <w:r w:rsidRPr="00153EE6">
        <w:rPr>
          <w:rFonts w:asciiTheme="minorHAnsi" w:eastAsia="黑体" w:hAnsiTheme="minorHAnsi" w:cstheme="minorHAnsi"/>
          <w:b/>
          <w:color w:val="auto"/>
          <w:sz w:val="24"/>
          <w:u w:val="single"/>
        </w:rPr>
        <w:t xml:space="preserve">    </w:t>
      </w:r>
      <w:r w:rsidRPr="00153EE6">
        <w:rPr>
          <w:rFonts w:asciiTheme="minorHAnsi" w:eastAsia="黑体" w:hAnsi="黑体" w:cstheme="minorHAnsi" w:hint="eastAsia"/>
          <w:b/>
          <w:color w:val="auto"/>
          <w:sz w:val="24"/>
          <w:u w:val="single"/>
        </w:rPr>
        <w:t>区域浅层</w:t>
      </w:r>
      <w:r w:rsidRPr="00153EE6">
        <w:rPr>
          <w:rFonts w:asciiTheme="minorHAnsi" w:eastAsia="黑体" w:hAnsi="黑体" w:cstheme="minorHAnsi"/>
          <w:b/>
          <w:color w:val="auto"/>
          <w:sz w:val="24"/>
          <w:u w:val="single"/>
        </w:rPr>
        <w:t>含水岩组厚度及底板埋深</w:t>
      </w:r>
      <w:r w:rsidRPr="00153EE6">
        <w:rPr>
          <w:rFonts w:asciiTheme="minorHAnsi" w:eastAsia="黑体" w:hAnsi="黑体" w:cstheme="minorHAnsi" w:hint="eastAsia"/>
          <w:b/>
          <w:color w:val="auto"/>
          <w:sz w:val="24"/>
          <w:u w:val="single"/>
        </w:rPr>
        <w:t>分布图</w:t>
      </w:r>
    </w:p>
    <w:p w14:paraId="043A14CB"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区域浅层含水岩组厚度及底板埋深分布见图</w:t>
      </w:r>
      <w:r w:rsidRPr="00153EE6">
        <w:rPr>
          <w:rStyle w:val="00Char"/>
          <w:rFonts w:ascii="Calibri" w:hAnsi="Calibri" w:hint="eastAsia"/>
          <w:b/>
          <w:color w:val="000000" w:themeColor="text1"/>
          <w:u w:val="single"/>
        </w:rPr>
        <w:t>4.2-10</w:t>
      </w:r>
      <w:r w:rsidRPr="00153EE6">
        <w:rPr>
          <w:rStyle w:val="00Char"/>
          <w:rFonts w:ascii="Calibri" w:hAnsi="Calibri" w:hint="eastAsia"/>
          <w:b/>
          <w:color w:val="000000" w:themeColor="text1"/>
          <w:u w:val="single"/>
        </w:rPr>
        <w:t>，从图可知集聚区内浅水含水层埋深</w:t>
      </w:r>
      <w:r w:rsidRPr="00153EE6">
        <w:rPr>
          <w:rStyle w:val="00Char"/>
          <w:rFonts w:ascii="Calibri" w:hAnsi="Calibri" w:hint="eastAsia"/>
          <w:b/>
          <w:color w:val="000000" w:themeColor="text1"/>
          <w:u w:val="single"/>
        </w:rPr>
        <w:t xml:space="preserve">20m-50m </w:t>
      </w:r>
      <w:r w:rsidRPr="00153EE6">
        <w:rPr>
          <w:rStyle w:val="00Char"/>
          <w:rFonts w:ascii="Calibri" w:hAnsi="Calibri" w:hint="eastAsia"/>
          <w:b/>
          <w:color w:val="000000" w:themeColor="text1"/>
          <w:u w:val="single"/>
        </w:rPr>
        <w:t>左右。区域浅水含水层底板埋深变化较大，含水砂层的空间分布不均。地下水浅水含水层在沙河及其北部以上更新统为主，中部的广大平原地区以中更新统为主，中南部为中更新统和少量下更新统，山前岗地则以下更新统为主。</w:t>
      </w:r>
    </w:p>
    <w:p w14:paraId="433C6219" w14:textId="77777777" w:rsidR="006B32DB" w:rsidRPr="00153EE6" w:rsidRDefault="006B32DB" w:rsidP="006B32DB">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浅水含水层厚度，以中更新统时期沙河沉积中心的寺庄－叶县县城附近－廉村一带为最大，一般厚度在</w:t>
      </w:r>
      <w:r w:rsidRPr="00153EE6">
        <w:rPr>
          <w:rStyle w:val="00Char"/>
          <w:rFonts w:ascii="Calibri" w:hAnsi="Calibri" w:hint="eastAsia"/>
          <w:b/>
          <w:color w:val="000000" w:themeColor="text1"/>
          <w:u w:val="single"/>
        </w:rPr>
        <w:t>40-50m</w:t>
      </w:r>
      <w:r w:rsidRPr="00153EE6">
        <w:rPr>
          <w:rStyle w:val="00Char"/>
          <w:rFonts w:ascii="Calibri" w:hAnsi="Calibri" w:hint="eastAsia"/>
          <w:b/>
          <w:color w:val="000000" w:themeColor="text1"/>
          <w:u w:val="single"/>
        </w:rPr>
        <w:t>，最大厚度达</w:t>
      </w:r>
      <w:r w:rsidRPr="00153EE6">
        <w:rPr>
          <w:rStyle w:val="00Char"/>
          <w:rFonts w:ascii="Calibri" w:hAnsi="Calibri" w:hint="eastAsia"/>
          <w:b/>
          <w:color w:val="000000" w:themeColor="text1"/>
          <w:u w:val="single"/>
        </w:rPr>
        <w:t>60.2m</w:t>
      </w:r>
      <w:r w:rsidRPr="00153EE6">
        <w:rPr>
          <w:rStyle w:val="00Char"/>
          <w:rFonts w:ascii="Calibri" w:hAnsi="Calibri" w:hint="eastAsia"/>
          <w:b/>
          <w:color w:val="000000" w:themeColor="text1"/>
          <w:u w:val="single"/>
        </w:rPr>
        <w:t>，呈二元结构。东北的遵化－洪庄杨－邓李－水寨东一带厚度小于</w:t>
      </w:r>
      <w:r w:rsidRPr="00153EE6">
        <w:rPr>
          <w:rStyle w:val="00Char"/>
          <w:rFonts w:ascii="Calibri" w:hAnsi="Calibri" w:hint="eastAsia"/>
          <w:b/>
          <w:color w:val="000000" w:themeColor="text1"/>
          <w:u w:val="single"/>
        </w:rPr>
        <w:t>10m</w:t>
      </w:r>
      <w:r w:rsidRPr="00153EE6">
        <w:rPr>
          <w:rStyle w:val="00Char"/>
          <w:rFonts w:ascii="Calibri" w:hAnsi="Calibri" w:hint="eastAsia"/>
          <w:b/>
          <w:color w:val="000000" w:themeColor="text1"/>
          <w:u w:val="single"/>
        </w:rPr>
        <w:t>。</w:t>
      </w:r>
    </w:p>
    <w:p w14:paraId="7E8C3551" w14:textId="77777777" w:rsidR="006B32DB" w:rsidRPr="00153EE6" w:rsidRDefault="006B32DB"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根据区域浅层地下水富水性分布图（图</w:t>
      </w:r>
      <w:r w:rsidR="00120A5C" w:rsidRPr="00153EE6">
        <w:rPr>
          <w:rStyle w:val="00Char"/>
          <w:rFonts w:ascii="Calibri" w:hAnsi="Calibri" w:hint="eastAsia"/>
          <w:b/>
          <w:color w:val="000000" w:themeColor="text1"/>
          <w:u w:val="single"/>
        </w:rPr>
        <w:t>4.2-11</w:t>
      </w:r>
      <w:r w:rsidRPr="00153EE6">
        <w:rPr>
          <w:rStyle w:val="00Char"/>
          <w:rFonts w:ascii="Calibri" w:hAnsi="Calibri" w:hint="eastAsia"/>
          <w:b/>
          <w:color w:val="000000" w:themeColor="text1"/>
          <w:u w:val="single"/>
        </w:rPr>
        <w:t>）显示，集聚区单井出水量</w:t>
      </w:r>
      <w:r w:rsidRPr="00153EE6">
        <w:rPr>
          <w:rStyle w:val="00Char"/>
          <w:rFonts w:ascii="Calibri" w:hAnsi="Calibri" w:hint="eastAsia"/>
          <w:b/>
          <w:color w:val="000000" w:themeColor="text1"/>
          <w:u w:val="single"/>
        </w:rPr>
        <w:t>500-1000m</w:t>
      </w:r>
      <w:r w:rsidRPr="00153EE6">
        <w:rPr>
          <w:rStyle w:val="00Char"/>
          <w:rFonts w:ascii="Calibri" w:hAnsi="Calibri" w:hint="eastAsia"/>
          <w:b/>
          <w:color w:val="000000" w:themeColor="text1"/>
          <w:u w:val="single"/>
          <w:vertAlign w:val="superscript"/>
        </w:rPr>
        <w:t>3</w:t>
      </w:r>
      <w:r w:rsidRPr="00153EE6">
        <w:rPr>
          <w:rStyle w:val="00Char"/>
          <w:rFonts w:ascii="Calibri" w:hAnsi="Calibri" w:hint="eastAsia"/>
          <w:b/>
          <w:color w:val="000000" w:themeColor="text1"/>
          <w:u w:val="single"/>
        </w:rPr>
        <w:t>/d</w:t>
      </w:r>
      <w:r w:rsidRPr="00153EE6">
        <w:rPr>
          <w:rStyle w:val="00Char"/>
          <w:rFonts w:ascii="Calibri" w:hAnsi="Calibri" w:hint="eastAsia"/>
          <w:b/>
          <w:color w:val="000000" w:themeColor="text1"/>
          <w:u w:val="single"/>
        </w:rPr>
        <w:t>，属于弱富水区</w:t>
      </w:r>
      <w:r w:rsidR="00120A5C" w:rsidRPr="00153EE6">
        <w:rPr>
          <w:rStyle w:val="00Char"/>
          <w:rFonts w:ascii="Calibri" w:hAnsi="Calibri" w:hint="eastAsia"/>
          <w:b/>
          <w:color w:val="000000" w:themeColor="text1"/>
          <w:u w:val="single"/>
        </w:rPr>
        <w:t>。</w:t>
      </w:r>
    </w:p>
    <w:p w14:paraId="63E65544"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p>
    <w:p w14:paraId="166200D3" w14:textId="77777777" w:rsidR="00120A5C" w:rsidRPr="00153EE6" w:rsidRDefault="00120A5C" w:rsidP="00120A5C">
      <w:pPr>
        <w:spacing w:line="520" w:lineRule="exact"/>
        <w:textAlignment w:val="baseline"/>
        <w:rPr>
          <w:rStyle w:val="00Char"/>
          <w:rFonts w:ascii="Calibri" w:hAnsi="Calibri"/>
          <w:b/>
          <w:color w:val="000000" w:themeColor="text1"/>
          <w:u w:val="single"/>
        </w:rPr>
      </w:pPr>
    </w:p>
    <w:p w14:paraId="48C66070" w14:textId="77777777" w:rsidR="006B32DB" w:rsidRPr="00153EE6" w:rsidRDefault="00120A5C" w:rsidP="00120A5C">
      <w:pPr>
        <w:ind w:firstLineChars="200" w:firstLine="422"/>
        <w:textAlignment w:val="baseline"/>
        <w:rPr>
          <w:rStyle w:val="00Char"/>
          <w:rFonts w:ascii="Calibri" w:hAnsi="Calibri"/>
          <w:b/>
          <w:color w:val="000000" w:themeColor="text1"/>
          <w:u w:val="single"/>
        </w:rPr>
      </w:pPr>
      <w:r w:rsidRPr="00153EE6">
        <w:rPr>
          <w:b/>
          <w:noProof/>
          <w:u w:val="single"/>
        </w:rPr>
        <w:lastRenderedPageBreak/>
        <w:drawing>
          <wp:inline distT="0" distB="0" distL="0" distR="0" wp14:anchorId="754CC13C" wp14:editId="1C9E17DB">
            <wp:extent cx="4924425" cy="66103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24425" cy="6610350"/>
                    </a:xfrm>
                    <a:prstGeom prst="rect">
                      <a:avLst/>
                    </a:prstGeom>
                  </pic:spPr>
                </pic:pic>
              </a:graphicData>
            </a:graphic>
          </wp:inline>
        </w:drawing>
      </w:r>
    </w:p>
    <w:p w14:paraId="7D6E94F5" w14:textId="77777777" w:rsidR="00120A5C" w:rsidRPr="00153EE6" w:rsidRDefault="00120A5C" w:rsidP="00120A5C">
      <w:pPr>
        <w:spacing w:line="520" w:lineRule="exact"/>
        <w:ind w:firstLineChars="450" w:firstLine="1084"/>
        <w:rPr>
          <w:rStyle w:val="00Char"/>
          <w:rFonts w:asciiTheme="minorHAnsi" w:eastAsia="黑体" w:hAnsiTheme="minorHAnsi" w:cstheme="minorHAnsi"/>
          <w:b/>
          <w:color w:val="auto"/>
          <w:u w:val="single"/>
        </w:rPr>
      </w:pPr>
      <w:r w:rsidRPr="00153EE6">
        <w:rPr>
          <w:rStyle w:val="00Char"/>
          <w:rFonts w:ascii="Calibri" w:hAnsi="Calibri" w:hint="eastAsia"/>
          <w:b/>
          <w:u w:val="single"/>
        </w:rPr>
        <w:t>图</w:t>
      </w:r>
      <w:r w:rsidRPr="00153EE6">
        <w:rPr>
          <w:rStyle w:val="00Char"/>
          <w:rFonts w:ascii="Calibri" w:hAnsi="Calibri" w:hint="eastAsia"/>
          <w:b/>
          <w:u w:val="single"/>
        </w:rPr>
        <w:t>4.2-</w:t>
      </w:r>
      <w:r w:rsidRPr="00153EE6">
        <w:rPr>
          <w:rStyle w:val="00Char"/>
          <w:rFonts w:ascii="Calibri" w:hAnsi="Calibri"/>
          <w:b/>
          <w:u w:val="single"/>
        </w:rPr>
        <w:t>11</w:t>
      </w:r>
      <w:r w:rsidRPr="00153EE6">
        <w:rPr>
          <w:rFonts w:asciiTheme="minorHAnsi" w:eastAsia="黑体" w:hAnsiTheme="minorHAnsi" w:cstheme="minorHAnsi"/>
          <w:b/>
          <w:color w:val="auto"/>
          <w:sz w:val="24"/>
          <w:u w:val="single"/>
        </w:rPr>
        <w:t xml:space="preserve">       </w:t>
      </w:r>
      <w:r w:rsidRPr="00153EE6">
        <w:rPr>
          <w:rFonts w:asciiTheme="minorHAnsi" w:eastAsia="黑体" w:hAnsi="黑体" w:cstheme="minorHAnsi" w:hint="eastAsia"/>
          <w:b/>
          <w:color w:val="auto"/>
          <w:sz w:val="24"/>
          <w:u w:val="single"/>
        </w:rPr>
        <w:t>区域浅层</w:t>
      </w:r>
      <w:r w:rsidRPr="00153EE6">
        <w:rPr>
          <w:rFonts w:asciiTheme="minorHAnsi" w:eastAsia="黑体" w:hAnsi="黑体" w:cstheme="minorHAnsi"/>
          <w:b/>
          <w:color w:val="auto"/>
          <w:sz w:val="24"/>
          <w:u w:val="single"/>
        </w:rPr>
        <w:t>地下水富水性分布图</w:t>
      </w:r>
    </w:p>
    <w:p w14:paraId="165566E7"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2</w:t>
      </w:r>
      <w:r w:rsidRPr="00153EE6">
        <w:rPr>
          <w:rStyle w:val="00Char"/>
          <w:rFonts w:ascii="Calibri" w:hAnsi="Calibri" w:hint="eastAsia"/>
          <w:b/>
          <w:color w:val="000000" w:themeColor="text1"/>
          <w:u w:val="single"/>
        </w:rPr>
        <w:t>）中深层含水层岩组均为下更新统的泥质砂层、泥质砂砾卵石层。顶板埋深</w:t>
      </w:r>
      <w:r w:rsidRPr="00153EE6">
        <w:rPr>
          <w:rStyle w:val="00Char"/>
          <w:rFonts w:ascii="Calibri" w:hAnsi="Calibri" w:hint="eastAsia"/>
          <w:b/>
          <w:color w:val="000000" w:themeColor="text1"/>
          <w:u w:val="single"/>
        </w:rPr>
        <w:t xml:space="preserve"> 33.2-87.3m</w:t>
      </w:r>
      <w:r w:rsidRPr="00153EE6">
        <w:rPr>
          <w:rStyle w:val="00Char"/>
          <w:rFonts w:ascii="Calibri" w:hAnsi="Calibri" w:hint="eastAsia"/>
          <w:b/>
          <w:color w:val="000000" w:themeColor="text1"/>
          <w:u w:val="single"/>
        </w:rPr>
        <w:t>，在寺庄－堤郑和县城以东广大地区顶板埋深大于</w:t>
      </w:r>
      <w:r w:rsidRPr="00153EE6">
        <w:rPr>
          <w:rStyle w:val="00Char"/>
          <w:rFonts w:ascii="Calibri" w:hAnsi="Calibri" w:hint="eastAsia"/>
          <w:b/>
          <w:color w:val="000000" w:themeColor="text1"/>
          <w:u w:val="single"/>
        </w:rPr>
        <w:t>60m</w:t>
      </w:r>
      <w:r w:rsidRPr="00153EE6">
        <w:rPr>
          <w:rStyle w:val="00Char"/>
          <w:rFonts w:ascii="Calibri" w:hAnsi="Calibri" w:hint="eastAsia"/>
          <w:b/>
          <w:color w:val="000000" w:themeColor="text1"/>
          <w:u w:val="single"/>
        </w:rPr>
        <w:t>，其它地带多为</w:t>
      </w:r>
      <w:r w:rsidRPr="00153EE6">
        <w:rPr>
          <w:rStyle w:val="00Char"/>
          <w:rFonts w:ascii="Calibri" w:hAnsi="Calibri" w:hint="eastAsia"/>
          <w:b/>
          <w:color w:val="000000" w:themeColor="text1"/>
          <w:u w:val="single"/>
        </w:rPr>
        <w:t xml:space="preserve"> 40-50m</w:t>
      </w:r>
      <w:r w:rsidRPr="00153EE6">
        <w:rPr>
          <w:rStyle w:val="00Char"/>
          <w:rFonts w:ascii="Calibri" w:hAnsi="Calibri" w:hint="eastAsia"/>
          <w:b/>
          <w:color w:val="000000" w:themeColor="text1"/>
          <w:u w:val="single"/>
        </w:rPr>
        <w:t>。含水岩组为多层结构、总厚度变化较大，从几米到数十米，一般在</w:t>
      </w:r>
      <w:r w:rsidRPr="00153EE6">
        <w:rPr>
          <w:rStyle w:val="00Char"/>
          <w:rFonts w:ascii="Calibri" w:hAnsi="Calibri" w:hint="eastAsia"/>
          <w:b/>
          <w:color w:val="000000" w:themeColor="text1"/>
          <w:u w:val="single"/>
        </w:rPr>
        <w:t>20-40m</w:t>
      </w:r>
      <w:r w:rsidRPr="00153EE6">
        <w:rPr>
          <w:rStyle w:val="00Char"/>
          <w:rFonts w:ascii="Calibri" w:hAnsi="Calibri" w:hint="eastAsia"/>
          <w:b/>
          <w:color w:val="000000" w:themeColor="text1"/>
          <w:u w:val="single"/>
        </w:rPr>
        <w:t>，最大达</w:t>
      </w:r>
      <w:r w:rsidRPr="00153EE6">
        <w:rPr>
          <w:rStyle w:val="00Char"/>
          <w:rFonts w:ascii="Calibri" w:hAnsi="Calibri" w:hint="eastAsia"/>
          <w:b/>
          <w:color w:val="000000" w:themeColor="text1"/>
          <w:u w:val="single"/>
        </w:rPr>
        <w:t>70.9m</w:t>
      </w:r>
      <w:r w:rsidRPr="00153EE6">
        <w:rPr>
          <w:rStyle w:val="00Char"/>
          <w:rFonts w:ascii="Calibri" w:hAnsi="Calibri" w:hint="eastAsia"/>
          <w:b/>
          <w:color w:val="000000" w:themeColor="text1"/>
          <w:u w:val="single"/>
        </w:rPr>
        <w:t>。区域上的分布大体与浅层含水岩组一致。区域中深层含水岩组顶板埋深及含水砂层厚度等值线图具体见图</w:t>
      </w:r>
      <w:r w:rsidRPr="00153EE6">
        <w:rPr>
          <w:rStyle w:val="00Char"/>
          <w:rFonts w:ascii="Calibri" w:hAnsi="Calibri" w:hint="eastAsia"/>
          <w:b/>
          <w:color w:val="000000" w:themeColor="text1"/>
          <w:u w:val="single"/>
        </w:rPr>
        <w:t>4.2-12</w:t>
      </w:r>
      <w:r w:rsidRPr="00153EE6">
        <w:rPr>
          <w:rStyle w:val="00Char"/>
          <w:rFonts w:ascii="Calibri" w:hAnsi="Calibri" w:hint="eastAsia"/>
          <w:b/>
          <w:color w:val="000000" w:themeColor="text1"/>
          <w:u w:val="single"/>
        </w:rPr>
        <w:t>，从图可知集聚区内中深层含水层埋</w:t>
      </w:r>
      <w:r w:rsidRPr="00153EE6">
        <w:rPr>
          <w:rStyle w:val="00Char"/>
          <w:rFonts w:ascii="Calibri" w:hAnsi="Calibri" w:hint="eastAsia"/>
          <w:b/>
          <w:color w:val="000000" w:themeColor="text1"/>
          <w:u w:val="single"/>
        </w:rPr>
        <w:lastRenderedPageBreak/>
        <w:t>深大于</w:t>
      </w:r>
      <w:r w:rsidRPr="00153EE6">
        <w:rPr>
          <w:rStyle w:val="00Char"/>
          <w:rFonts w:ascii="Calibri" w:hAnsi="Calibri" w:hint="eastAsia"/>
          <w:b/>
          <w:color w:val="000000" w:themeColor="text1"/>
          <w:u w:val="single"/>
        </w:rPr>
        <w:t>60m</w:t>
      </w:r>
      <w:r w:rsidRPr="00153EE6">
        <w:rPr>
          <w:rStyle w:val="00Char"/>
          <w:rFonts w:ascii="Calibri" w:hAnsi="Calibri" w:hint="eastAsia"/>
          <w:b/>
          <w:color w:val="000000" w:themeColor="text1"/>
          <w:u w:val="single"/>
        </w:rPr>
        <w:t>。</w:t>
      </w:r>
    </w:p>
    <w:p w14:paraId="655974F9" w14:textId="77777777" w:rsidR="006B32DB"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根据区域中深层地下水富水性分布图（图</w:t>
      </w:r>
      <w:r w:rsidRPr="00153EE6">
        <w:rPr>
          <w:rStyle w:val="00Char"/>
          <w:rFonts w:ascii="Calibri" w:hAnsi="Calibri"/>
          <w:b/>
          <w:color w:val="000000" w:themeColor="text1"/>
          <w:u w:val="single"/>
        </w:rPr>
        <w:t>4</w:t>
      </w:r>
      <w:r w:rsidRPr="00153EE6">
        <w:rPr>
          <w:rStyle w:val="00Char"/>
          <w:rFonts w:ascii="Calibri" w:hAnsi="Calibri" w:hint="eastAsia"/>
          <w:b/>
          <w:color w:val="000000" w:themeColor="text1"/>
          <w:u w:val="single"/>
        </w:rPr>
        <w:t>.2-13</w:t>
      </w:r>
      <w:r w:rsidRPr="00153EE6">
        <w:rPr>
          <w:rStyle w:val="00Char"/>
          <w:rFonts w:ascii="Calibri" w:hAnsi="Calibri" w:hint="eastAsia"/>
          <w:b/>
          <w:color w:val="000000" w:themeColor="text1"/>
          <w:u w:val="single"/>
        </w:rPr>
        <w:t>）显示，集聚区单井出水量大于</w:t>
      </w:r>
      <w:r w:rsidRPr="00153EE6">
        <w:rPr>
          <w:rStyle w:val="00Char"/>
          <w:rFonts w:ascii="Calibri" w:hAnsi="Calibri" w:hint="eastAsia"/>
          <w:b/>
          <w:color w:val="000000" w:themeColor="text1"/>
          <w:u w:val="single"/>
        </w:rPr>
        <w:t xml:space="preserve"> 3000m</w:t>
      </w:r>
      <w:r w:rsidRPr="00153EE6">
        <w:rPr>
          <w:rStyle w:val="00Char"/>
          <w:rFonts w:ascii="Calibri" w:hAnsi="Calibri" w:hint="eastAsia"/>
          <w:b/>
          <w:color w:val="000000" w:themeColor="text1"/>
          <w:u w:val="single"/>
          <w:vertAlign w:val="superscript"/>
        </w:rPr>
        <w:t>3</w:t>
      </w:r>
      <w:r w:rsidRPr="00153EE6">
        <w:rPr>
          <w:rStyle w:val="00Char"/>
          <w:rFonts w:ascii="Calibri" w:hAnsi="Calibri" w:hint="eastAsia"/>
          <w:b/>
          <w:color w:val="000000" w:themeColor="text1"/>
          <w:u w:val="single"/>
        </w:rPr>
        <w:t>/d</w:t>
      </w:r>
      <w:r w:rsidRPr="00153EE6">
        <w:rPr>
          <w:rStyle w:val="00Char"/>
          <w:rFonts w:ascii="Calibri" w:hAnsi="Calibri" w:hint="eastAsia"/>
          <w:b/>
          <w:color w:val="000000" w:themeColor="text1"/>
          <w:u w:val="single"/>
        </w:rPr>
        <w:t>，属于极富水区。区域的浅层地下水和中深层地下水之间有渗透性较弱的粘土层隔开，隔水层分布稳定，厚度较大，地层连续性较好，对垂直渗透的污染物阻隔作用明显，因此中深层含水层与浅层含水层之间水力联系较弱。</w:t>
      </w:r>
    </w:p>
    <w:p w14:paraId="33E9521E" w14:textId="77777777" w:rsidR="006B32DB" w:rsidRPr="00153EE6" w:rsidRDefault="00120A5C" w:rsidP="00120A5C">
      <w:pPr>
        <w:ind w:firstLineChars="200" w:firstLine="422"/>
        <w:textAlignment w:val="baseline"/>
        <w:rPr>
          <w:rStyle w:val="00Char"/>
          <w:rFonts w:ascii="Calibri" w:hAnsi="Calibri"/>
          <w:b/>
          <w:color w:val="000000" w:themeColor="text1"/>
          <w:u w:val="single"/>
        </w:rPr>
      </w:pPr>
      <w:r w:rsidRPr="00153EE6">
        <w:rPr>
          <w:b/>
          <w:noProof/>
          <w:u w:val="single"/>
        </w:rPr>
        <w:drawing>
          <wp:inline distT="0" distB="0" distL="0" distR="0" wp14:anchorId="7805E62D" wp14:editId="155C4057">
            <wp:extent cx="4747260" cy="524214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49329" cy="5244432"/>
                    </a:xfrm>
                    <a:prstGeom prst="rect">
                      <a:avLst/>
                    </a:prstGeom>
                  </pic:spPr>
                </pic:pic>
              </a:graphicData>
            </a:graphic>
          </wp:inline>
        </w:drawing>
      </w:r>
    </w:p>
    <w:p w14:paraId="190024B0" w14:textId="77777777" w:rsidR="00120A5C" w:rsidRPr="00153EE6" w:rsidRDefault="00120A5C" w:rsidP="00120A5C">
      <w:pPr>
        <w:spacing w:line="520" w:lineRule="exact"/>
        <w:ind w:firstLineChars="200" w:firstLine="482"/>
        <w:rPr>
          <w:rStyle w:val="00Char"/>
          <w:rFonts w:asciiTheme="minorHAnsi" w:eastAsia="黑体" w:hAnsiTheme="minorHAnsi" w:cstheme="minorHAnsi"/>
          <w:b/>
          <w:color w:val="auto"/>
          <w:u w:val="single"/>
        </w:rPr>
      </w:pPr>
      <w:r w:rsidRPr="00153EE6">
        <w:rPr>
          <w:rStyle w:val="00Char"/>
          <w:rFonts w:ascii="Calibri" w:hAnsi="Calibri" w:hint="eastAsia"/>
          <w:b/>
          <w:u w:val="single"/>
        </w:rPr>
        <w:t>图</w:t>
      </w:r>
      <w:r w:rsidRPr="00153EE6">
        <w:rPr>
          <w:rStyle w:val="00Char"/>
          <w:rFonts w:ascii="Calibri" w:hAnsi="Calibri" w:hint="eastAsia"/>
          <w:b/>
          <w:u w:val="single"/>
        </w:rPr>
        <w:t>4.2-</w:t>
      </w:r>
      <w:r w:rsidRPr="00153EE6">
        <w:rPr>
          <w:rStyle w:val="00Char"/>
          <w:rFonts w:ascii="Calibri" w:hAnsi="Calibri"/>
          <w:b/>
          <w:u w:val="single"/>
        </w:rPr>
        <w:t>12</w:t>
      </w:r>
      <w:r w:rsidRPr="00153EE6">
        <w:rPr>
          <w:rFonts w:asciiTheme="minorHAnsi" w:eastAsia="黑体" w:hAnsiTheme="minorHAnsi" w:cstheme="minorHAnsi"/>
          <w:b/>
          <w:color w:val="auto"/>
          <w:sz w:val="24"/>
          <w:u w:val="single"/>
        </w:rPr>
        <w:t xml:space="preserve">   </w:t>
      </w:r>
      <w:r w:rsidRPr="00153EE6">
        <w:rPr>
          <w:rFonts w:asciiTheme="minorHAnsi" w:eastAsia="黑体" w:hAnsiTheme="minorHAnsi" w:cstheme="minorHAnsi" w:hint="eastAsia"/>
          <w:b/>
          <w:color w:val="auto"/>
          <w:sz w:val="24"/>
          <w:u w:val="single"/>
        </w:rPr>
        <w:t>区域中深层含水岩组顶板埋深及含水砂层厚度等值线图</w:t>
      </w:r>
    </w:p>
    <w:p w14:paraId="358C3AF8"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5FBF1D6D"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41D8B690"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31E09598" w14:textId="77777777" w:rsidR="006B32DB" w:rsidRPr="00153EE6" w:rsidRDefault="006B32DB" w:rsidP="00CF7B80">
      <w:pPr>
        <w:spacing w:line="520" w:lineRule="exact"/>
        <w:ind w:firstLineChars="200" w:firstLine="482"/>
        <w:textAlignment w:val="baseline"/>
        <w:rPr>
          <w:rStyle w:val="00Char"/>
          <w:rFonts w:ascii="Calibri" w:hAnsi="Calibri"/>
          <w:b/>
          <w:color w:val="000000" w:themeColor="text1"/>
          <w:u w:val="single"/>
        </w:rPr>
      </w:pPr>
    </w:p>
    <w:p w14:paraId="0FD7B58C" w14:textId="77777777" w:rsidR="006B32DB" w:rsidRPr="00153EE6" w:rsidRDefault="00120A5C" w:rsidP="00120A5C">
      <w:pPr>
        <w:ind w:firstLineChars="200" w:firstLine="422"/>
        <w:textAlignment w:val="baseline"/>
        <w:rPr>
          <w:rStyle w:val="00Char"/>
          <w:rFonts w:ascii="Calibri" w:hAnsi="Calibri"/>
          <w:b/>
          <w:color w:val="000000" w:themeColor="text1"/>
          <w:u w:val="single"/>
        </w:rPr>
      </w:pPr>
      <w:r w:rsidRPr="00153EE6">
        <w:rPr>
          <w:b/>
          <w:noProof/>
          <w:u w:val="single"/>
        </w:rPr>
        <w:lastRenderedPageBreak/>
        <w:drawing>
          <wp:inline distT="0" distB="0" distL="0" distR="0" wp14:anchorId="0F1D03FA" wp14:editId="672E5467">
            <wp:extent cx="4943475" cy="63246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43475" cy="6324600"/>
                    </a:xfrm>
                    <a:prstGeom prst="rect">
                      <a:avLst/>
                    </a:prstGeom>
                  </pic:spPr>
                </pic:pic>
              </a:graphicData>
            </a:graphic>
          </wp:inline>
        </w:drawing>
      </w:r>
    </w:p>
    <w:p w14:paraId="615C80B7" w14:textId="77777777" w:rsidR="006B32DB" w:rsidRPr="00153EE6" w:rsidRDefault="00120A5C" w:rsidP="00120A5C">
      <w:pPr>
        <w:spacing w:line="520" w:lineRule="exact"/>
        <w:ind w:firstLineChars="450" w:firstLine="1084"/>
        <w:rPr>
          <w:rStyle w:val="00Char"/>
          <w:rFonts w:ascii="Calibri" w:hAnsi="Calibri"/>
          <w:b/>
          <w:color w:val="000000" w:themeColor="text1"/>
          <w:u w:val="single"/>
        </w:rPr>
      </w:pPr>
      <w:r w:rsidRPr="00153EE6">
        <w:rPr>
          <w:rStyle w:val="00Char"/>
          <w:rFonts w:ascii="Calibri" w:hAnsi="Calibri" w:hint="eastAsia"/>
          <w:b/>
          <w:u w:val="single"/>
        </w:rPr>
        <w:t>图</w:t>
      </w:r>
      <w:r w:rsidRPr="00153EE6">
        <w:rPr>
          <w:rStyle w:val="00Char"/>
          <w:rFonts w:ascii="Calibri" w:hAnsi="Calibri" w:hint="eastAsia"/>
          <w:b/>
          <w:u w:val="single"/>
        </w:rPr>
        <w:t>4.2-</w:t>
      </w:r>
      <w:r w:rsidRPr="00153EE6">
        <w:rPr>
          <w:rStyle w:val="00Char"/>
          <w:rFonts w:ascii="Calibri" w:hAnsi="Calibri"/>
          <w:b/>
          <w:u w:val="single"/>
        </w:rPr>
        <w:t>13</w:t>
      </w:r>
      <w:r w:rsidRPr="00153EE6">
        <w:rPr>
          <w:rFonts w:asciiTheme="minorHAnsi" w:eastAsia="黑体" w:hAnsiTheme="minorHAnsi" w:cstheme="minorHAnsi"/>
          <w:b/>
          <w:color w:val="auto"/>
          <w:sz w:val="24"/>
          <w:u w:val="single"/>
        </w:rPr>
        <w:t xml:space="preserve">       </w:t>
      </w:r>
      <w:r w:rsidRPr="00153EE6">
        <w:rPr>
          <w:rFonts w:asciiTheme="minorHAnsi" w:eastAsia="黑体" w:hAnsiTheme="minorHAnsi" w:cstheme="minorHAnsi" w:hint="eastAsia"/>
          <w:b/>
          <w:color w:val="auto"/>
          <w:sz w:val="24"/>
          <w:u w:val="single"/>
        </w:rPr>
        <w:t>区域中深层地下水富水性分布图</w:t>
      </w:r>
    </w:p>
    <w:p w14:paraId="34C2E9E9"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w:t>
      </w:r>
      <w:r w:rsidRPr="00153EE6">
        <w:rPr>
          <w:rStyle w:val="00Char"/>
          <w:rFonts w:ascii="Calibri" w:hAnsi="Calibri"/>
          <w:b/>
          <w:color w:val="000000" w:themeColor="text1"/>
          <w:u w:val="single"/>
        </w:rPr>
        <w:t>3</w:t>
      </w:r>
      <w:r w:rsidRPr="00153EE6">
        <w:rPr>
          <w:rStyle w:val="00Char"/>
          <w:rFonts w:ascii="Calibri" w:hAnsi="Calibri" w:hint="eastAsia"/>
          <w:b/>
          <w:color w:val="000000" w:themeColor="text1"/>
          <w:u w:val="single"/>
        </w:rPr>
        <w:t>）浅层地下水</w:t>
      </w:r>
      <w:r w:rsidRPr="00153EE6">
        <w:rPr>
          <w:rStyle w:val="00Char"/>
          <w:rFonts w:ascii="Calibri" w:hAnsi="Calibri"/>
          <w:b/>
          <w:color w:val="000000" w:themeColor="text1"/>
          <w:u w:val="single"/>
        </w:rPr>
        <w:t>补给、径流及排泄特征</w:t>
      </w:r>
    </w:p>
    <w:p w14:paraId="34946C08"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1</w:t>
      </w:r>
      <w:r w:rsidRPr="00153EE6">
        <w:rPr>
          <w:rStyle w:val="00Char"/>
          <w:rFonts w:ascii="Calibri" w:hAnsi="Calibri" w:hint="eastAsia"/>
          <w:b/>
          <w:color w:val="000000" w:themeColor="text1"/>
          <w:u w:val="single"/>
        </w:rPr>
        <w:t>）补给调查区的地下水的补给来源有：降水入渗补给、地下水侧向径流补给及灌溉渗漏补给。</w:t>
      </w:r>
    </w:p>
    <w:p w14:paraId="3D014752"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①降水入渗补给</w:t>
      </w:r>
    </w:p>
    <w:p w14:paraId="7519FB83"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调查区地形平坦，自沙河岸边至叶廉路，包气带岩性由细砂渐变为粉土、粉质粘土，局部为粘土，渗透性差，降水入渗逐渐减弱。降雨入渗的多少与降雨历时、强</w:t>
      </w:r>
      <w:r w:rsidRPr="00153EE6">
        <w:rPr>
          <w:rStyle w:val="00Char"/>
          <w:rFonts w:ascii="Calibri" w:hAnsi="Calibri" w:hint="eastAsia"/>
          <w:b/>
          <w:color w:val="000000" w:themeColor="text1"/>
          <w:u w:val="single"/>
        </w:rPr>
        <w:lastRenderedPageBreak/>
        <w:t>度、包气带厚度、渗透性息息相关。雨量大、历时长、包气带渗透性强、地表径流条件差有利于降雨入渗，入渗补给量大，表现在地下水位上升明显。该区降水主要集中在</w:t>
      </w:r>
      <w:r w:rsidRPr="00153EE6">
        <w:rPr>
          <w:rStyle w:val="00Char"/>
          <w:rFonts w:ascii="Calibri" w:hAnsi="Calibri" w:hint="eastAsia"/>
          <w:b/>
          <w:color w:val="000000" w:themeColor="text1"/>
          <w:u w:val="single"/>
        </w:rPr>
        <w:t>7-9</w:t>
      </w:r>
      <w:r w:rsidRPr="00153EE6">
        <w:rPr>
          <w:rStyle w:val="00Char"/>
          <w:rFonts w:ascii="Calibri" w:hAnsi="Calibri" w:hint="eastAsia"/>
          <w:b/>
          <w:color w:val="000000" w:themeColor="text1"/>
          <w:u w:val="single"/>
        </w:rPr>
        <w:t>月份，因而降水入渗补给具有明显的季节性，反映在地下水位动态上，补给期地下水位呈上升趋势。</w:t>
      </w:r>
    </w:p>
    <w:p w14:paraId="00D2D1EC"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②地下水侧向径流补给</w:t>
      </w:r>
    </w:p>
    <w:p w14:paraId="32CBEBA1"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调查区地下水西南向东北方向径流，区内地形平坦，地下水径流缓慢，土层渗透系数小于</w:t>
      </w:r>
      <w:r w:rsidRPr="00153EE6">
        <w:rPr>
          <w:rStyle w:val="00Char"/>
          <w:rFonts w:ascii="Calibri" w:hAnsi="Calibri" w:hint="eastAsia"/>
          <w:b/>
          <w:color w:val="000000" w:themeColor="text1"/>
          <w:u w:val="single"/>
        </w:rPr>
        <w:t>0.5m/d</w:t>
      </w:r>
      <w:r w:rsidRPr="00153EE6">
        <w:rPr>
          <w:rStyle w:val="00Char"/>
          <w:rFonts w:ascii="Calibri" w:hAnsi="Calibri" w:hint="eastAsia"/>
          <w:b/>
          <w:color w:val="000000" w:themeColor="text1"/>
          <w:u w:val="single"/>
        </w:rPr>
        <w:t>，水力坡度一般在</w:t>
      </w:r>
      <w:r w:rsidRPr="00153EE6">
        <w:rPr>
          <w:rStyle w:val="00Char"/>
          <w:rFonts w:asciiTheme="minorHAnsi" w:hAnsiTheme="minorHAnsi"/>
          <w:b/>
          <w:color w:val="000000" w:themeColor="text1"/>
          <w:u w:val="single"/>
        </w:rPr>
        <w:t>0.3‰-2.0‰</w:t>
      </w:r>
      <w:r w:rsidRPr="00153EE6">
        <w:rPr>
          <w:rStyle w:val="00Char"/>
          <w:rFonts w:asciiTheme="minorHAnsi" w:hAnsiTheme="minorHAnsi"/>
          <w:b/>
          <w:color w:val="000000" w:themeColor="text1"/>
          <w:u w:val="single"/>
        </w:rPr>
        <w:t>。</w:t>
      </w:r>
    </w:p>
    <w:p w14:paraId="541B4F5D"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③灌溉渗漏补给</w:t>
      </w:r>
    </w:p>
    <w:p w14:paraId="36C079E4"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调查区大量分布灌渠，区内地表岩性大部分为细砂、粉土，南部为粉质粘土。旱季农田灌溉时地表水下渗补给地下水，具有明显的季节性。</w:t>
      </w:r>
    </w:p>
    <w:p w14:paraId="1110EC8F"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2</w:t>
      </w:r>
      <w:r w:rsidRPr="00153EE6">
        <w:rPr>
          <w:rStyle w:val="00Char"/>
          <w:rFonts w:ascii="Calibri" w:hAnsi="Calibri" w:hint="eastAsia"/>
          <w:b/>
          <w:color w:val="000000" w:themeColor="text1"/>
          <w:u w:val="single"/>
        </w:rPr>
        <w:t>）径流</w:t>
      </w:r>
    </w:p>
    <w:p w14:paraId="514FDD6D"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受地貌及地层条件控制，地下水径流缓慢，本区地下水的径流方向与地形倾向基本一致。地下水由西南向东北方向径流，水力坡度一般在</w:t>
      </w:r>
      <w:r w:rsidRPr="00153EE6">
        <w:rPr>
          <w:rStyle w:val="00Char"/>
          <w:rFonts w:ascii="Calibri" w:hAnsi="Calibri" w:hint="eastAsia"/>
          <w:b/>
          <w:color w:val="000000" w:themeColor="text1"/>
          <w:u w:val="single"/>
        </w:rPr>
        <w:t>0.5</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-1.0</w:t>
      </w:r>
      <w:r w:rsidRPr="00153EE6">
        <w:rPr>
          <w:rStyle w:val="00Char"/>
          <w:rFonts w:ascii="Calibri" w:hAnsi="Calibri" w:hint="eastAsia"/>
          <w:b/>
          <w:color w:val="000000" w:themeColor="text1"/>
          <w:u w:val="single"/>
        </w:rPr>
        <w:t>‰；在北部沿沙河地区，地下水向北径流，地下水补给河水，水力坡度一般在</w:t>
      </w:r>
      <w:r w:rsidRPr="00153EE6">
        <w:rPr>
          <w:rStyle w:val="00Char"/>
          <w:rFonts w:ascii="Calibri" w:hAnsi="Calibri" w:hint="eastAsia"/>
          <w:b/>
          <w:color w:val="000000" w:themeColor="text1"/>
          <w:u w:val="single"/>
        </w:rPr>
        <w:t>1</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-2</w:t>
      </w:r>
      <w:r w:rsidRPr="00153EE6">
        <w:rPr>
          <w:rStyle w:val="00Char"/>
          <w:rFonts w:ascii="Calibri" w:hAnsi="Calibri" w:hint="eastAsia"/>
          <w:b/>
          <w:color w:val="000000" w:themeColor="text1"/>
          <w:u w:val="single"/>
        </w:rPr>
        <w:t>‰左右。</w:t>
      </w:r>
    </w:p>
    <w:p w14:paraId="7FEE7044"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3</w:t>
      </w:r>
      <w:r w:rsidRPr="00153EE6">
        <w:rPr>
          <w:rStyle w:val="00Char"/>
          <w:rFonts w:ascii="Calibri" w:hAnsi="Calibri" w:hint="eastAsia"/>
          <w:b/>
          <w:color w:val="000000" w:themeColor="text1"/>
          <w:u w:val="single"/>
        </w:rPr>
        <w:t>）排泄</w:t>
      </w:r>
    </w:p>
    <w:p w14:paraId="7955E074" w14:textId="77777777" w:rsidR="00120A5C"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本区地下水排泄方式为人工开采和侧向径流排泄。人工开采排泄形式主要有农业灌溉、居民生活用水等。</w:t>
      </w:r>
    </w:p>
    <w:p w14:paraId="6E90B6CD" w14:textId="77777777" w:rsidR="006B32DB" w:rsidRPr="00153EE6" w:rsidRDefault="00120A5C" w:rsidP="00120A5C">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根据现场调查，调查区沙河水位略低于岸边地下水水位，地下水排泄至沙河。</w:t>
      </w:r>
    </w:p>
    <w:p w14:paraId="40C1CFA2" w14:textId="77777777" w:rsidR="00285DB0" w:rsidRPr="00153EE6" w:rsidRDefault="00285DB0" w:rsidP="00285DB0">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w:t>
      </w:r>
      <w:r w:rsidRPr="00153EE6">
        <w:rPr>
          <w:rStyle w:val="00Char"/>
          <w:rFonts w:ascii="Calibri" w:hAnsi="Calibri"/>
          <w:b/>
          <w:color w:val="000000" w:themeColor="text1"/>
          <w:u w:val="single"/>
        </w:rPr>
        <w:t>4</w:t>
      </w:r>
      <w:r w:rsidRPr="00153EE6">
        <w:rPr>
          <w:rStyle w:val="00Char"/>
          <w:rFonts w:ascii="Calibri" w:hAnsi="Calibri" w:hint="eastAsia"/>
          <w:b/>
          <w:color w:val="000000" w:themeColor="text1"/>
          <w:u w:val="single"/>
        </w:rPr>
        <w:t>）地下水</w:t>
      </w:r>
      <w:r w:rsidRPr="00153EE6">
        <w:rPr>
          <w:rStyle w:val="00Char"/>
          <w:rFonts w:ascii="Calibri" w:hAnsi="Calibri"/>
          <w:b/>
          <w:color w:val="000000" w:themeColor="text1"/>
          <w:u w:val="single"/>
        </w:rPr>
        <w:t>水位动态特征</w:t>
      </w:r>
    </w:p>
    <w:p w14:paraId="664748C0" w14:textId="77777777" w:rsidR="006B32DB" w:rsidRPr="00153EE6" w:rsidRDefault="00285DB0" w:rsidP="00285DB0">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浅层地下水动态变化主要受大气降水和农业开采影响。年内水位动态表现出：丰水期（</w:t>
      </w:r>
      <w:r w:rsidRPr="00153EE6">
        <w:rPr>
          <w:rStyle w:val="00Char"/>
          <w:rFonts w:ascii="Calibri" w:hAnsi="Calibri" w:hint="eastAsia"/>
          <w:b/>
          <w:color w:val="000000" w:themeColor="text1"/>
          <w:u w:val="single"/>
        </w:rPr>
        <w:t>7</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8</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9</w:t>
      </w:r>
      <w:r w:rsidRPr="00153EE6">
        <w:rPr>
          <w:rStyle w:val="00Char"/>
          <w:rFonts w:ascii="Calibri" w:hAnsi="Calibri" w:hint="eastAsia"/>
          <w:b/>
          <w:color w:val="000000" w:themeColor="text1"/>
          <w:u w:val="single"/>
        </w:rPr>
        <w:t>月）降雨入渗补给大，同时农业开采相对减少，使得地下水位上升；枯水期（</w:t>
      </w:r>
      <w:r w:rsidRPr="00153EE6">
        <w:rPr>
          <w:rStyle w:val="00Char"/>
          <w:rFonts w:ascii="Calibri" w:hAnsi="Calibri" w:hint="eastAsia"/>
          <w:b/>
          <w:color w:val="000000" w:themeColor="text1"/>
          <w:u w:val="single"/>
        </w:rPr>
        <w:t>4</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5</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6</w:t>
      </w:r>
      <w:r w:rsidRPr="00153EE6">
        <w:rPr>
          <w:rStyle w:val="00Char"/>
          <w:rFonts w:ascii="Calibri" w:hAnsi="Calibri" w:hint="eastAsia"/>
          <w:b/>
          <w:color w:val="000000" w:themeColor="text1"/>
          <w:u w:val="single"/>
        </w:rPr>
        <w:t>月）降水量小，农业灌溉开采量大，使得地下水位下降。年内地下水高水位出现在</w:t>
      </w:r>
      <w:r w:rsidRPr="00153EE6">
        <w:rPr>
          <w:rStyle w:val="00Char"/>
          <w:rFonts w:ascii="Calibri" w:hAnsi="Calibri" w:hint="eastAsia"/>
          <w:b/>
          <w:color w:val="000000" w:themeColor="text1"/>
          <w:u w:val="single"/>
        </w:rPr>
        <w:t>8</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9</w:t>
      </w:r>
      <w:r w:rsidRPr="00153EE6">
        <w:rPr>
          <w:rStyle w:val="00Char"/>
          <w:rFonts w:ascii="Calibri" w:hAnsi="Calibri" w:hint="eastAsia"/>
          <w:b/>
          <w:color w:val="000000" w:themeColor="text1"/>
          <w:u w:val="single"/>
        </w:rPr>
        <w:t>月份，低水位出现在</w:t>
      </w:r>
      <w:r w:rsidRPr="00153EE6">
        <w:rPr>
          <w:rStyle w:val="00Char"/>
          <w:rFonts w:ascii="Calibri" w:hAnsi="Calibri" w:hint="eastAsia"/>
          <w:b/>
          <w:color w:val="000000" w:themeColor="text1"/>
          <w:u w:val="single"/>
        </w:rPr>
        <w:t>5</w:t>
      </w:r>
      <w:r w:rsidRPr="00153EE6">
        <w:rPr>
          <w:rStyle w:val="00Char"/>
          <w:rFonts w:ascii="Calibri" w:hAnsi="Calibri" w:hint="eastAsia"/>
          <w:b/>
          <w:color w:val="000000" w:themeColor="text1"/>
          <w:u w:val="single"/>
        </w:rPr>
        <w:t>、</w:t>
      </w:r>
      <w:r w:rsidRPr="00153EE6">
        <w:rPr>
          <w:rStyle w:val="00Char"/>
          <w:rFonts w:ascii="Calibri" w:hAnsi="Calibri" w:hint="eastAsia"/>
          <w:b/>
          <w:color w:val="000000" w:themeColor="text1"/>
          <w:u w:val="single"/>
        </w:rPr>
        <w:t xml:space="preserve">6 </w:t>
      </w:r>
      <w:r w:rsidRPr="00153EE6">
        <w:rPr>
          <w:rStyle w:val="00Char"/>
          <w:rFonts w:ascii="Calibri" w:hAnsi="Calibri" w:hint="eastAsia"/>
          <w:b/>
          <w:color w:val="000000" w:themeColor="text1"/>
          <w:u w:val="single"/>
        </w:rPr>
        <w:t>月份，根据区域水位动态资料，年水位变幅一般在</w:t>
      </w:r>
      <w:r w:rsidRPr="00153EE6">
        <w:rPr>
          <w:rStyle w:val="00Char"/>
          <w:rFonts w:ascii="Calibri" w:hAnsi="Calibri" w:hint="eastAsia"/>
          <w:b/>
          <w:color w:val="000000" w:themeColor="text1"/>
          <w:u w:val="single"/>
        </w:rPr>
        <w:t>1.0m-2.5m</w:t>
      </w:r>
      <w:r w:rsidRPr="00153EE6">
        <w:rPr>
          <w:rStyle w:val="00Char"/>
          <w:rFonts w:ascii="Calibri" w:hAnsi="Calibri" w:hint="eastAsia"/>
          <w:b/>
          <w:color w:val="000000" w:themeColor="text1"/>
          <w:u w:val="single"/>
        </w:rPr>
        <w:t>。</w:t>
      </w:r>
    </w:p>
    <w:p w14:paraId="57BED1DA" w14:textId="77777777" w:rsidR="00285DB0" w:rsidRPr="00153EE6" w:rsidRDefault="00285DB0" w:rsidP="00285DB0">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w:t>
      </w:r>
      <w:r w:rsidRPr="00153EE6">
        <w:rPr>
          <w:rStyle w:val="00Char"/>
          <w:rFonts w:ascii="Calibri" w:hAnsi="Calibri"/>
          <w:b/>
          <w:color w:val="000000" w:themeColor="text1"/>
          <w:u w:val="single"/>
        </w:rPr>
        <w:t>5</w:t>
      </w:r>
      <w:r w:rsidRPr="00153EE6">
        <w:rPr>
          <w:rStyle w:val="00Char"/>
          <w:rFonts w:ascii="Calibri" w:hAnsi="Calibri" w:hint="eastAsia"/>
          <w:b/>
          <w:color w:val="000000" w:themeColor="text1"/>
          <w:u w:val="single"/>
        </w:rPr>
        <w:t>）地下水开发</w:t>
      </w:r>
      <w:r w:rsidRPr="00153EE6">
        <w:rPr>
          <w:rStyle w:val="00Char"/>
          <w:rFonts w:ascii="Calibri" w:hAnsi="Calibri"/>
          <w:b/>
          <w:color w:val="000000" w:themeColor="text1"/>
          <w:u w:val="single"/>
        </w:rPr>
        <w:t>利用现状</w:t>
      </w:r>
    </w:p>
    <w:p w14:paraId="4E858BCF" w14:textId="77777777" w:rsidR="00270301" w:rsidRPr="00153EE6" w:rsidRDefault="00285DB0" w:rsidP="00285DB0">
      <w:pPr>
        <w:spacing w:line="520" w:lineRule="exact"/>
        <w:ind w:firstLineChars="200" w:firstLine="482"/>
        <w:textAlignment w:val="baseline"/>
        <w:rPr>
          <w:rStyle w:val="00Char"/>
          <w:rFonts w:ascii="Calibri" w:hAnsi="Calibri"/>
          <w:b/>
          <w:color w:val="000000" w:themeColor="text1"/>
          <w:u w:val="single"/>
        </w:rPr>
      </w:pPr>
      <w:r w:rsidRPr="00153EE6">
        <w:rPr>
          <w:rStyle w:val="00Char"/>
          <w:rFonts w:ascii="Calibri" w:hAnsi="Calibri" w:hint="eastAsia"/>
          <w:b/>
          <w:color w:val="000000" w:themeColor="text1"/>
          <w:u w:val="single"/>
        </w:rPr>
        <w:t>评价区位于平顶山市规划区边缘东南</w:t>
      </w:r>
      <w:r w:rsidRPr="00153EE6">
        <w:rPr>
          <w:rStyle w:val="00Char"/>
          <w:rFonts w:ascii="Calibri" w:hAnsi="Calibri" w:hint="eastAsia"/>
          <w:b/>
          <w:color w:val="000000" w:themeColor="text1"/>
          <w:u w:val="single"/>
        </w:rPr>
        <w:t>5</w:t>
      </w:r>
      <w:r w:rsidRPr="00153EE6">
        <w:rPr>
          <w:rStyle w:val="00Char"/>
          <w:rFonts w:ascii="Calibri" w:hAnsi="Calibri" w:hint="eastAsia"/>
          <w:b/>
          <w:color w:val="000000" w:themeColor="text1"/>
          <w:u w:val="single"/>
        </w:rPr>
        <w:t>公里处的叶县境内。根据现场调查，评</w:t>
      </w:r>
      <w:r w:rsidRPr="00153EE6">
        <w:rPr>
          <w:rStyle w:val="00Char"/>
          <w:rFonts w:ascii="Calibri" w:hAnsi="Calibri" w:hint="eastAsia"/>
          <w:b/>
          <w:color w:val="000000" w:themeColor="text1"/>
          <w:u w:val="single"/>
        </w:rPr>
        <w:lastRenderedPageBreak/>
        <w:t>价区内现在农业灌溉用水、工业用水、居民生活用水均开采浅层地下水，井深</w:t>
      </w:r>
      <w:r w:rsidRPr="00153EE6">
        <w:rPr>
          <w:rStyle w:val="00Char"/>
          <w:rFonts w:ascii="Calibri" w:hAnsi="Calibri" w:hint="eastAsia"/>
          <w:b/>
          <w:color w:val="000000" w:themeColor="text1"/>
          <w:u w:val="single"/>
        </w:rPr>
        <w:t>50m</w:t>
      </w:r>
      <w:r w:rsidRPr="00153EE6">
        <w:rPr>
          <w:rStyle w:val="00Char"/>
          <w:rFonts w:ascii="Calibri" w:hAnsi="Calibri" w:hint="eastAsia"/>
          <w:b/>
          <w:color w:val="000000" w:themeColor="text1"/>
          <w:u w:val="single"/>
        </w:rPr>
        <w:t>以内，季节性较强。</w:t>
      </w:r>
    </w:p>
    <w:p w14:paraId="74516873" w14:textId="77777777" w:rsidR="00E87C23" w:rsidRPr="00E87C23" w:rsidRDefault="00285DB0" w:rsidP="00E87C23">
      <w:pPr>
        <w:spacing w:line="520" w:lineRule="exact"/>
        <w:ind w:firstLineChars="200" w:firstLine="482"/>
        <w:textAlignment w:val="baseline"/>
        <w:rPr>
          <w:rStyle w:val="00Char"/>
          <w:rFonts w:ascii="Calibri" w:hAnsi="Calibri"/>
          <w:b/>
          <w:color w:val="auto"/>
        </w:rPr>
      </w:pPr>
      <w:r>
        <w:rPr>
          <w:rStyle w:val="00Char"/>
          <w:rFonts w:ascii="Calibri" w:hAnsi="Calibri"/>
          <w:b/>
          <w:color w:val="auto"/>
        </w:rPr>
        <w:t>4</w:t>
      </w:r>
      <w:r w:rsidR="00E87C23" w:rsidRPr="00E87C23">
        <w:rPr>
          <w:rStyle w:val="00Char"/>
          <w:rFonts w:ascii="Calibri" w:hAnsi="Calibri" w:hint="eastAsia"/>
          <w:b/>
          <w:color w:val="auto"/>
        </w:rPr>
        <w:t>、项目区水文地质条件</w:t>
      </w:r>
    </w:p>
    <w:p w14:paraId="72210553" w14:textId="77777777" w:rsidR="00E87C23" w:rsidRPr="00BB5174" w:rsidRDefault="00E87C23" w:rsidP="00E87C23">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根据本次评价工作中地质、水文地质调查结果，对评价区地形地貌、地层构造、水文地质条件以及包气带岩性特征等进行详细的分析，旨在为建立适用于本评价区的地下水环境影响评价预测模型奠定基础。</w:t>
      </w:r>
    </w:p>
    <w:p w14:paraId="77D64399" w14:textId="77777777" w:rsidR="00E87C23" w:rsidRPr="00E87C23" w:rsidRDefault="00E87C23" w:rsidP="00E87C23">
      <w:pPr>
        <w:spacing w:line="520" w:lineRule="exact"/>
        <w:ind w:firstLineChars="200" w:firstLine="480"/>
        <w:textAlignment w:val="baseline"/>
        <w:rPr>
          <w:rStyle w:val="00Char"/>
          <w:rFonts w:ascii="Calibri" w:hAnsi="Calibri"/>
          <w:color w:val="000000" w:themeColor="text1"/>
        </w:rPr>
      </w:pPr>
      <w:r w:rsidRPr="00E87C23">
        <w:rPr>
          <w:rStyle w:val="00Char"/>
          <w:rFonts w:ascii="Calibri" w:hAnsi="Calibri" w:hint="eastAsia"/>
          <w:color w:val="000000" w:themeColor="text1"/>
        </w:rPr>
        <w:t>（</w:t>
      </w:r>
      <w:r w:rsidRPr="00E87C23">
        <w:rPr>
          <w:rStyle w:val="00Char"/>
          <w:rFonts w:ascii="Calibri" w:hAnsi="Calibri" w:hint="eastAsia"/>
          <w:color w:val="000000" w:themeColor="text1"/>
        </w:rPr>
        <w:t>1</w:t>
      </w:r>
      <w:r w:rsidRPr="00E87C23">
        <w:rPr>
          <w:rStyle w:val="00Char"/>
          <w:rFonts w:ascii="Calibri" w:hAnsi="Calibri" w:hint="eastAsia"/>
          <w:color w:val="000000" w:themeColor="text1"/>
        </w:rPr>
        <w:t>）项目区地形地貌特征</w:t>
      </w:r>
    </w:p>
    <w:p w14:paraId="71EC4DEC" w14:textId="77777777" w:rsidR="00E87C23" w:rsidRPr="00BB5174" w:rsidRDefault="00E87C23" w:rsidP="00E87C23">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拟建项目所在地地貌上处于淮河冲洪积平原地带，地貌较为单一，地形较为平坦，地势开阔，自然地面标高在</w:t>
      </w:r>
      <w:r w:rsidRPr="00BB5174">
        <w:rPr>
          <w:rStyle w:val="00Char"/>
          <w:rFonts w:ascii="Calibri" w:hAnsi="Calibri" w:hint="eastAsia"/>
          <w:color w:val="000000" w:themeColor="text1"/>
        </w:rPr>
        <w:t>76</w:t>
      </w:r>
      <w:r w:rsidRPr="00BB5174">
        <w:rPr>
          <w:rStyle w:val="00Char"/>
          <w:rFonts w:ascii="Calibri" w:hAnsi="Calibri" w:hint="eastAsia"/>
          <w:color w:val="000000" w:themeColor="text1"/>
        </w:rPr>
        <w:t>～</w:t>
      </w:r>
      <w:r w:rsidRPr="00BB5174">
        <w:rPr>
          <w:rStyle w:val="00Char"/>
          <w:rFonts w:ascii="Calibri" w:hAnsi="Calibri" w:hint="eastAsia"/>
          <w:color w:val="000000" w:themeColor="text1"/>
        </w:rPr>
        <w:t>81m</w:t>
      </w:r>
      <w:r w:rsidRPr="00BB5174">
        <w:rPr>
          <w:rStyle w:val="00Char"/>
          <w:rFonts w:ascii="Calibri" w:hAnsi="Calibri" w:hint="eastAsia"/>
          <w:color w:val="000000" w:themeColor="text1"/>
        </w:rPr>
        <w:t>之间。</w:t>
      </w:r>
    </w:p>
    <w:p w14:paraId="117654FE" w14:textId="77777777" w:rsidR="00E87C23" w:rsidRPr="00E87C23" w:rsidRDefault="00E87C23" w:rsidP="00E87C23">
      <w:pPr>
        <w:spacing w:line="520" w:lineRule="exact"/>
        <w:ind w:firstLineChars="200" w:firstLine="480"/>
        <w:textAlignment w:val="baseline"/>
        <w:rPr>
          <w:rStyle w:val="00Char"/>
          <w:rFonts w:ascii="Calibri" w:hAnsi="Calibri"/>
          <w:color w:val="000000" w:themeColor="text1"/>
        </w:rPr>
      </w:pPr>
      <w:r w:rsidRPr="00E87C23">
        <w:rPr>
          <w:rStyle w:val="00Char"/>
          <w:rFonts w:ascii="Calibri" w:hAnsi="Calibri" w:hint="eastAsia"/>
          <w:color w:val="000000" w:themeColor="text1"/>
        </w:rPr>
        <w:t>（</w:t>
      </w:r>
      <w:r w:rsidRPr="00E87C23">
        <w:rPr>
          <w:rStyle w:val="00Char"/>
          <w:rFonts w:ascii="Calibri" w:hAnsi="Calibri" w:hint="eastAsia"/>
          <w:color w:val="000000" w:themeColor="text1"/>
        </w:rPr>
        <w:t>2</w:t>
      </w:r>
      <w:r w:rsidRPr="00E87C23">
        <w:rPr>
          <w:rStyle w:val="00Char"/>
          <w:rFonts w:ascii="Calibri" w:hAnsi="Calibri" w:hint="eastAsia"/>
          <w:color w:val="000000" w:themeColor="text1"/>
        </w:rPr>
        <w:t>）项目区地层岩性结构特征</w:t>
      </w:r>
    </w:p>
    <w:p w14:paraId="03A74A4D" w14:textId="77777777" w:rsidR="00E87C23" w:rsidRPr="00BB5174" w:rsidRDefault="00E87C23" w:rsidP="00E87C23">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拟建厂区场地质构造相对较为简单，未有断层通过。根据本次调查所搜集勘探成果表明，拟建厂区的场地工程地质条件一般，勘探深度内揭露的岩土地层均由第四系冲洪积的粘性土与粉土地层组成；就地层分布而言，上部变化较大，分布有较多夹层、透镜体，工程特性上、下部差异较大，上部较差，下部相对较好。</w:t>
      </w:r>
    </w:p>
    <w:p w14:paraId="43DA1E06" w14:textId="77777777" w:rsidR="00E87C23" w:rsidRPr="00BB5174" w:rsidRDefault="00E87C23" w:rsidP="00E87C23">
      <w:pPr>
        <w:spacing w:line="520" w:lineRule="exact"/>
        <w:ind w:firstLineChars="200" w:firstLine="480"/>
        <w:textAlignment w:val="baseline"/>
        <w:rPr>
          <w:rStyle w:val="00Char"/>
          <w:rFonts w:ascii="Calibri" w:hAnsi="Calibri"/>
          <w:color w:val="000000" w:themeColor="text1"/>
        </w:rPr>
      </w:pPr>
      <w:r w:rsidRPr="00BB5174">
        <w:rPr>
          <w:rStyle w:val="00Char"/>
          <w:rFonts w:ascii="Calibri" w:hAnsi="Calibri" w:hint="eastAsia"/>
          <w:color w:val="000000" w:themeColor="text1"/>
        </w:rPr>
        <w:t>根据相邻厂区进行的水文地质钻孔资料，项目区</w:t>
      </w:r>
      <w:r w:rsidRPr="00BB5174">
        <w:rPr>
          <w:rStyle w:val="00Char"/>
          <w:rFonts w:ascii="Calibri" w:hAnsi="Calibri" w:hint="eastAsia"/>
          <w:color w:val="000000" w:themeColor="text1"/>
        </w:rPr>
        <w:t>20m</w:t>
      </w:r>
      <w:r w:rsidRPr="00BB5174">
        <w:rPr>
          <w:rStyle w:val="00Char"/>
          <w:rFonts w:ascii="Calibri" w:hAnsi="Calibri" w:hint="eastAsia"/>
          <w:color w:val="000000" w:themeColor="text1"/>
        </w:rPr>
        <w:t>勘探深度内主要由第四系填土、粉质粘土、中细砂、粉质粘土、中细砂夹砂卵石等组成。根据地基土物理性质和工程特性差异，在</w:t>
      </w:r>
      <w:r w:rsidRPr="00BB5174">
        <w:rPr>
          <w:rStyle w:val="00Char"/>
          <w:rFonts w:ascii="Calibri" w:hAnsi="Calibri" w:hint="eastAsia"/>
          <w:color w:val="000000" w:themeColor="text1"/>
        </w:rPr>
        <w:t>20m</w:t>
      </w:r>
      <w:r w:rsidRPr="00BB5174">
        <w:rPr>
          <w:rStyle w:val="00Char"/>
          <w:rFonts w:ascii="Calibri" w:hAnsi="Calibri" w:hint="eastAsia"/>
          <w:color w:val="000000" w:themeColor="text1"/>
        </w:rPr>
        <w:t>勘探范围内，自上而下分为</w:t>
      </w:r>
      <w:r w:rsidRPr="00BB5174">
        <w:rPr>
          <w:rStyle w:val="00Char"/>
          <w:rFonts w:ascii="Calibri" w:hAnsi="Calibri" w:hint="eastAsia"/>
          <w:color w:val="000000" w:themeColor="text1"/>
        </w:rPr>
        <w:t>5</w:t>
      </w:r>
      <w:r w:rsidRPr="00BB5174">
        <w:rPr>
          <w:rStyle w:val="00Char"/>
          <w:rFonts w:ascii="Calibri" w:hAnsi="Calibri" w:hint="eastAsia"/>
          <w:color w:val="000000" w:themeColor="text1"/>
        </w:rPr>
        <w:t>层，详见表</w:t>
      </w:r>
      <w:r w:rsidRPr="00BB5174">
        <w:rPr>
          <w:rStyle w:val="00Char"/>
          <w:rFonts w:ascii="Calibri" w:hAnsi="Calibri" w:hint="eastAsia"/>
          <w:color w:val="000000" w:themeColor="text1"/>
        </w:rPr>
        <w:t>4.</w:t>
      </w:r>
      <w:r>
        <w:rPr>
          <w:rStyle w:val="00Char"/>
          <w:rFonts w:ascii="Calibri" w:hAnsi="Calibri"/>
          <w:color w:val="000000" w:themeColor="text1"/>
        </w:rPr>
        <w:t>2</w:t>
      </w:r>
      <w:r w:rsidRPr="00BB5174">
        <w:rPr>
          <w:rStyle w:val="00Char"/>
          <w:rFonts w:ascii="Calibri" w:hAnsi="Calibri" w:hint="eastAsia"/>
          <w:color w:val="000000" w:themeColor="text1"/>
        </w:rPr>
        <w:t>-</w:t>
      </w:r>
      <w:r w:rsidR="00285DB0">
        <w:rPr>
          <w:rStyle w:val="00Char"/>
          <w:rFonts w:ascii="Calibri" w:hAnsi="Calibri"/>
          <w:color w:val="000000" w:themeColor="text1"/>
        </w:rPr>
        <w:t>21</w:t>
      </w:r>
      <w:r w:rsidRPr="00BB5174">
        <w:rPr>
          <w:rStyle w:val="00Char"/>
          <w:rFonts w:ascii="Calibri" w:hAnsi="Calibri" w:hint="eastAsia"/>
          <w:color w:val="000000" w:themeColor="text1"/>
        </w:rPr>
        <w:t>。</w:t>
      </w:r>
    </w:p>
    <w:p w14:paraId="21BEB2E9" w14:textId="77777777" w:rsidR="00E87C23" w:rsidRPr="00BB5174" w:rsidRDefault="00E87C23" w:rsidP="00E87C23">
      <w:pPr>
        <w:pStyle w:val="ad"/>
        <w:ind w:firstLineChars="250" w:firstLine="600"/>
        <w:rPr>
          <w:rFonts w:ascii="Calibri" w:eastAsia="黑体" w:hAnsi="Calibri"/>
          <w:b w:val="0"/>
          <w:color w:val="000000" w:themeColor="text1"/>
          <w:sz w:val="24"/>
        </w:rPr>
      </w:pPr>
      <w:r w:rsidRPr="00BB5174">
        <w:rPr>
          <w:rFonts w:ascii="Calibri" w:eastAsia="黑体" w:hAnsi="黑体"/>
          <w:b w:val="0"/>
          <w:color w:val="000000" w:themeColor="text1"/>
          <w:sz w:val="24"/>
        </w:rPr>
        <w:t>表</w:t>
      </w:r>
      <w:r w:rsidRPr="00BB5174">
        <w:rPr>
          <w:rFonts w:ascii="Calibri" w:eastAsia="黑体" w:hAnsi="Calibri"/>
          <w:b w:val="0"/>
          <w:color w:val="000000" w:themeColor="text1"/>
          <w:sz w:val="24"/>
        </w:rPr>
        <w:t>4</w:t>
      </w:r>
      <w:r w:rsidRPr="00BB5174">
        <w:rPr>
          <w:rFonts w:ascii="Calibri" w:eastAsia="黑体" w:hAnsi="Calibri" w:hint="eastAsia"/>
          <w:b w:val="0"/>
          <w:color w:val="000000" w:themeColor="text1"/>
          <w:sz w:val="24"/>
        </w:rPr>
        <w:t>.</w:t>
      </w:r>
      <w:r>
        <w:rPr>
          <w:rFonts w:ascii="Calibri" w:eastAsia="黑体" w:hAnsi="Calibri"/>
          <w:b w:val="0"/>
          <w:color w:val="000000" w:themeColor="text1"/>
          <w:sz w:val="24"/>
        </w:rPr>
        <w:t>2</w:t>
      </w:r>
      <w:r w:rsidRPr="00BB5174">
        <w:rPr>
          <w:rFonts w:ascii="Calibri" w:eastAsia="黑体" w:hAnsi="Calibri"/>
          <w:b w:val="0"/>
          <w:color w:val="000000" w:themeColor="text1"/>
          <w:sz w:val="24"/>
        </w:rPr>
        <w:t>-</w:t>
      </w:r>
      <w:r w:rsidR="00285DB0">
        <w:rPr>
          <w:rFonts w:ascii="Calibri" w:eastAsia="黑体" w:hAnsi="Calibri"/>
          <w:b w:val="0"/>
          <w:color w:val="000000" w:themeColor="text1"/>
          <w:sz w:val="24"/>
        </w:rPr>
        <w:t>21</w:t>
      </w:r>
      <w:r w:rsidRPr="00BB5174">
        <w:rPr>
          <w:rFonts w:ascii="Calibri" w:eastAsia="黑体" w:hAnsi="Calibri"/>
          <w:b w:val="0"/>
          <w:color w:val="000000" w:themeColor="text1"/>
          <w:sz w:val="24"/>
        </w:rPr>
        <w:t xml:space="preserve"> </w:t>
      </w:r>
      <w:r w:rsidRPr="00BB5174">
        <w:rPr>
          <w:rFonts w:ascii="Calibri" w:eastAsia="黑体" w:hAnsi="Calibri" w:hint="eastAsia"/>
          <w:b w:val="0"/>
          <w:color w:val="000000" w:themeColor="text1"/>
          <w:sz w:val="24"/>
        </w:rPr>
        <w:t xml:space="preserve">  </w:t>
      </w:r>
      <w:r w:rsidRPr="00BB5174">
        <w:rPr>
          <w:rFonts w:ascii="Calibri" w:eastAsia="黑体" w:hAnsi="Calibri"/>
          <w:b w:val="0"/>
          <w:color w:val="000000" w:themeColor="text1"/>
          <w:sz w:val="24"/>
        </w:rPr>
        <w:t xml:space="preserve">   </w:t>
      </w:r>
      <w:r w:rsidRPr="00BB5174">
        <w:rPr>
          <w:rFonts w:ascii="Calibri" w:eastAsia="黑体" w:hAnsi="Calibri" w:hint="eastAsia"/>
          <w:b w:val="0"/>
          <w:color w:val="000000" w:themeColor="text1"/>
          <w:sz w:val="24"/>
        </w:rPr>
        <w:t xml:space="preserve">   </w:t>
      </w:r>
      <w:r w:rsidRPr="00BB5174">
        <w:rPr>
          <w:rFonts w:ascii="Calibri" w:eastAsia="黑体" w:hAnsi="Calibri"/>
          <w:b w:val="0"/>
          <w:color w:val="000000" w:themeColor="text1"/>
          <w:sz w:val="24"/>
        </w:rPr>
        <w:t xml:space="preserve"> </w:t>
      </w:r>
      <w:r w:rsidRPr="00BB5174">
        <w:rPr>
          <w:rFonts w:ascii="Calibri" w:eastAsia="黑体" w:hAnsi="Calibri" w:hint="eastAsia"/>
          <w:b w:val="0"/>
          <w:color w:val="000000" w:themeColor="text1"/>
          <w:sz w:val="24"/>
        </w:rPr>
        <w:t>场地地层岩性结构特征一览表</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72"/>
        <w:gridCol w:w="980"/>
        <w:gridCol w:w="701"/>
        <w:gridCol w:w="844"/>
        <w:gridCol w:w="983"/>
        <w:gridCol w:w="1122"/>
        <w:gridCol w:w="3198"/>
      </w:tblGrid>
      <w:tr w:rsidR="00E87C23" w:rsidRPr="00BB5174" w14:paraId="342CCACC" w14:textId="77777777" w:rsidTr="007F37A0">
        <w:trPr>
          <w:trHeight w:val="340"/>
        </w:trPr>
        <w:tc>
          <w:tcPr>
            <w:tcW w:w="501" w:type="pct"/>
            <w:tcMar>
              <w:left w:w="28" w:type="dxa"/>
              <w:right w:w="28" w:type="dxa"/>
            </w:tcMar>
            <w:vAlign w:val="center"/>
          </w:tcPr>
          <w:p w14:paraId="2BE2493F"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层号及名称</w:t>
            </w:r>
          </w:p>
        </w:tc>
        <w:tc>
          <w:tcPr>
            <w:tcW w:w="563" w:type="pct"/>
            <w:tcMar>
              <w:left w:w="28" w:type="dxa"/>
              <w:right w:w="28" w:type="dxa"/>
            </w:tcMar>
            <w:vAlign w:val="center"/>
          </w:tcPr>
          <w:p w14:paraId="2320BCFF"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地层年代及成因</w:t>
            </w:r>
          </w:p>
        </w:tc>
        <w:tc>
          <w:tcPr>
            <w:tcW w:w="403" w:type="pct"/>
            <w:tcMar>
              <w:left w:w="28" w:type="dxa"/>
              <w:right w:w="28" w:type="dxa"/>
            </w:tcMar>
            <w:vAlign w:val="center"/>
          </w:tcPr>
          <w:p w14:paraId="39FF4493"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分布范围</w:t>
            </w:r>
          </w:p>
        </w:tc>
        <w:tc>
          <w:tcPr>
            <w:tcW w:w="485" w:type="pct"/>
            <w:tcMar>
              <w:left w:w="28" w:type="dxa"/>
              <w:right w:w="28" w:type="dxa"/>
            </w:tcMar>
            <w:vAlign w:val="center"/>
          </w:tcPr>
          <w:p w14:paraId="10F68F40"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层面标高</w:t>
            </w:r>
            <w:r w:rsidRPr="00BB5174">
              <w:rPr>
                <w:rFonts w:asciiTheme="minorHAnsi" w:hAnsiTheme="minorHAnsi" w:hint="eastAsia"/>
                <w:color w:val="000000" w:themeColor="text1"/>
                <w:szCs w:val="21"/>
              </w:rPr>
              <w:t>（</w:t>
            </w:r>
            <w:r w:rsidRPr="00BB5174">
              <w:rPr>
                <w:rFonts w:asciiTheme="minorHAnsi" w:hAnsiTheme="minorHAnsi" w:hint="eastAsia"/>
                <w:color w:val="000000" w:themeColor="text1"/>
                <w:szCs w:val="21"/>
              </w:rPr>
              <w:t>m</w:t>
            </w:r>
            <w:r w:rsidRPr="00BB5174">
              <w:rPr>
                <w:rFonts w:asciiTheme="minorHAnsi" w:hAnsiTheme="minorHAnsi" w:hint="eastAsia"/>
                <w:color w:val="000000" w:themeColor="text1"/>
                <w:szCs w:val="21"/>
              </w:rPr>
              <w:t>）</w:t>
            </w:r>
          </w:p>
        </w:tc>
        <w:tc>
          <w:tcPr>
            <w:tcW w:w="565" w:type="pct"/>
            <w:tcMar>
              <w:left w:w="28" w:type="dxa"/>
              <w:right w:w="28" w:type="dxa"/>
            </w:tcMar>
            <w:vAlign w:val="center"/>
          </w:tcPr>
          <w:p w14:paraId="5DE2478A"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地层一般厚度</w:t>
            </w:r>
            <w:r w:rsidRPr="00BB5174">
              <w:rPr>
                <w:rFonts w:asciiTheme="minorHAnsi" w:hAnsiTheme="minorHAnsi" w:hint="eastAsia"/>
                <w:color w:val="000000" w:themeColor="text1"/>
                <w:szCs w:val="21"/>
              </w:rPr>
              <w:t>（</w:t>
            </w:r>
            <w:r w:rsidRPr="00BB5174">
              <w:rPr>
                <w:rFonts w:asciiTheme="minorHAnsi" w:hAnsiTheme="minorHAnsi" w:hint="eastAsia"/>
                <w:color w:val="000000" w:themeColor="text1"/>
                <w:szCs w:val="21"/>
              </w:rPr>
              <w:t>m</w:t>
            </w:r>
            <w:r w:rsidRPr="00BB5174">
              <w:rPr>
                <w:rFonts w:asciiTheme="minorHAnsi" w:hAnsiTheme="minorHAnsi" w:hint="eastAsia"/>
                <w:color w:val="000000" w:themeColor="text1"/>
                <w:szCs w:val="21"/>
              </w:rPr>
              <w:t>）</w:t>
            </w:r>
          </w:p>
        </w:tc>
        <w:tc>
          <w:tcPr>
            <w:tcW w:w="645" w:type="pct"/>
            <w:tcMar>
              <w:left w:w="28" w:type="dxa"/>
              <w:right w:w="28" w:type="dxa"/>
            </w:tcMar>
            <w:vAlign w:val="center"/>
          </w:tcPr>
          <w:p w14:paraId="4CDF694D"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颜色</w:t>
            </w:r>
          </w:p>
        </w:tc>
        <w:tc>
          <w:tcPr>
            <w:tcW w:w="1838" w:type="pct"/>
            <w:tcMar>
              <w:left w:w="28" w:type="dxa"/>
              <w:right w:w="28" w:type="dxa"/>
            </w:tcMar>
            <w:vAlign w:val="center"/>
          </w:tcPr>
          <w:p w14:paraId="31D78597"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包含物及其它特征</w:t>
            </w:r>
          </w:p>
        </w:tc>
      </w:tr>
      <w:tr w:rsidR="00E87C23" w:rsidRPr="00BB5174" w14:paraId="362F03E4" w14:textId="77777777" w:rsidTr="007F37A0">
        <w:trPr>
          <w:trHeight w:val="340"/>
        </w:trPr>
        <w:tc>
          <w:tcPr>
            <w:tcW w:w="501" w:type="pct"/>
            <w:tcMar>
              <w:left w:w="28" w:type="dxa"/>
              <w:right w:w="28" w:type="dxa"/>
            </w:tcMar>
            <w:vAlign w:val="center"/>
          </w:tcPr>
          <w:p w14:paraId="356CBEE4"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s="宋体"/>
                <w:color w:val="000000" w:themeColor="text1"/>
                <w:szCs w:val="21"/>
              </w:rPr>
              <w:t>⑴</w:t>
            </w:r>
            <w:r w:rsidRPr="00BB5174">
              <w:rPr>
                <w:rFonts w:asciiTheme="minorHAnsi" w:hAnsi="宋体"/>
                <w:color w:val="000000" w:themeColor="text1"/>
                <w:szCs w:val="21"/>
              </w:rPr>
              <w:t>素填土</w:t>
            </w:r>
          </w:p>
        </w:tc>
        <w:tc>
          <w:tcPr>
            <w:tcW w:w="563" w:type="pct"/>
            <w:tcMar>
              <w:left w:w="28" w:type="dxa"/>
              <w:right w:w="28" w:type="dxa"/>
            </w:tcMar>
            <w:vAlign w:val="center"/>
          </w:tcPr>
          <w:p w14:paraId="27E3EEF2"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Q</w:t>
            </w:r>
            <w:r w:rsidRPr="00BB5174">
              <w:rPr>
                <w:rFonts w:asciiTheme="minorHAnsi" w:hAnsiTheme="minorHAnsi"/>
                <w:color w:val="000000" w:themeColor="text1"/>
                <w:szCs w:val="21"/>
                <w:vertAlign w:val="superscript"/>
              </w:rPr>
              <w:t>ml</w:t>
            </w:r>
          </w:p>
        </w:tc>
        <w:tc>
          <w:tcPr>
            <w:tcW w:w="403" w:type="pct"/>
            <w:tcMar>
              <w:left w:w="28" w:type="dxa"/>
              <w:right w:w="28" w:type="dxa"/>
            </w:tcMar>
            <w:vAlign w:val="center"/>
          </w:tcPr>
          <w:p w14:paraId="6E5283A4"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全场地</w:t>
            </w:r>
          </w:p>
        </w:tc>
        <w:tc>
          <w:tcPr>
            <w:tcW w:w="485" w:type="pct"/>
            <w:tcMar>
              <w:left w:w="28" w:type="dxa"/>
              <w:right w:w="28" w:type="dxa"/>
            </w:tcMar>
            <w:vAlign w:val="center"/>
          </w:tcPr>
          <w:p w14:paraId="6E912096"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0</w:t>
            </w:r>
          </w:p>
        </w:tc>
        <w:tc>
          <w:tcPr>
            <w:tcW w:w="565" w:type="pct"/>
            <w:tcMar>
              <w:left w:w="28" w:type="dxa"/>
              <w:right w:w="28" w:type="dxa"/>
            </w:tcMar>
            <w:vAlign w:val="center"/>
          </w:tcPr>
          <w:p w14:paraId="509C1DFE"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0.3</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0.5</w:t>
            </w:r>
          </w:p>
        </w:tc>
        <w:tc>
          <w:tcPr>
            <w:tcW w:w="645" w:type="pct"/>
            <w:tcMar>
              <w:left w:w="28" w:type="dxa"/>
              <w:right w:w="28" w:type="dxa"/>
            </w:tcMar>
            <w:vAlign w:val="center"/>
          </w:tcPr>
          <w:p w14:paraId="10376AB9"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黄褐色</w:t>
            </w:r>
          </w:p>
        </w:tc>
        <w:tc>
          <w:tcPr>
            <w:tcW w:w="1838" w:type="pct"/>
            <w:tcMar>
              <w:left w:w="28" w:type="dxa"/>
              <w:right w:w="28" w:type="dxa"/>
            </w:tcMar>
            <w:vAlign w:val="center"/>
          </w:tcPr>
          <w:p w14:paraId="3905FFB1"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主要由粘性土夹少量植物根系组成，含少量有机质，结构松散，土质不均</w:t>
            </w:r>
            <w:r w:rsidRPr="00BB5174">
              <w:rPr>
                <w:rFonts w:asciiTheme="minorHAnsi" w:hAnsiTheme="minorHAnsi" w:hint="eastAsia"/>
                <w:color w:val="000000" w:themeColor="text1"/>
                <w:szCs w:val="21"/>
              </w:rPr>
              <w:t>。</w:t>
            </w:r>
          </w:p>
        </w:tc>
      </w:tr>
      <w:tr w:rsidR="00E87C23" w:rsidRPr="00BB5174" w14:paraId="20A8C6C9" w14:textId="77777777" w:rsidTr="007F37A0">
        <w:trPr>
          <w:trHeight w:val="340"/>
        </w:trPr>
        <w:tc>
          <w:tcPr>
            <w:tcW w:w="501" w:type="pct"/>
            <w:tcMar>
              <w:left w:w="28" w:type="dxa"/>
              <w:right w:w="28" w:type="dxa"/>
            </w:tcMar>
            <w:vAlign w:val="center"/>
          </w:tcPr>
          <w:p w14:paraId="44B50C75"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s="宋体"/>
                <w:color w:val="000000" w:themeColor="text1"/>
                <w:szCs w:val="21"/>
              </w:rPr>
              <w:fldChar w:fldCharType="begin"/>
            </w:r>
            <w:r w:rsidRPr="00BB5174">
              <w:rPr>
                <w:rFonts w:asciiTheme="minorHAnsi" w:hAnsi="宋体" w:cs="宋体"/>
                <w:color w:val="000000" w:themeColor="text1"/>
                <w:szCs w:val="21"/>
              </w:rPr>
              <w:instrText xml:space="preserve"> </w:instrText>
            </w:r>
            <w:r w:rsidRPr="00BB5174">
              <w:rPr>
                <w:rFonts w:asciiTheme="minorHAnsi" w:hAnsi="宋体" w:cs="宋体" w:hint="eastAsia"/>
                <w:color w:val="000000" w:themeColor="text1"/>
                <w:szCs w:val="21"/>
              </w:rPr>
              <w:instrText>= 2 \* GB2</w:instrText>
            </w:r>
            <w:r w:rsidRPr="00BB5174">
              <w:rPr>
                <w:rFonts w:asciiTheme="minorHAnsi" w:hAnsi="宋体" w:cs="宋体"/>
                <w:color w:val="000000" w:themeColor="text1"/>
                <w:szCs w:val="21"/>
              </w:rPr>
              <w:instrText xml:space="preserve"> </w:instrText>
            </w:r>
            <w:r w:rsidRPr="00BB5174">
              <w:rPr>
                <w:rFonts w:asciiTheme="minorHAnsi" w:hAnsi="宋体" w:cs="宋体"/>
                <w:color w:val="000000" w:themeColor="text1"/>
                <w:szCs w:val="21"/>
              </w:rPr>
              <w:fldChar w:fldCharType="separate"/>
            </w:r>
            <w:r w:rsidRPr="00BB5174">
              <w:rPr>
                <w:rFonts w:asciiTheme="minorHAnsi" w:hAnsi="宋体" w:cs="宋体" w:hint="eastAsia"/>
                <w:noProof/>
                <w:color w:val="000000" w:themeColor="text1"/>
                <w:szCs w:val="21"/>
              </w:rPr>
              <w:t>⑵</w:t>
            </w:r>
            <w:r w:rsidRPr="00BB5174">
              <w:rPr>
                <w:rFonts w:asciiTheme="minorHAnsi" w:hAnsi="宋体" w:cs="宋体"/>
                <w:color w:val="000000" w:themeColor="text1"/>
                <w:szCs w:val="21"/>
              </w:rPr>
              <w:fldChar w:fldCharType="end"/>
            </w:r>
            <w:r w:rsidRPr="00BB5174">
              <w:rPr>
                <w:rFonts w:asciiTheme="minorHAnsi" w:hAnsi="宋体"/>
                <w:color w:val="000000" w:themeColor="text1"/>
                <w:szCs w:val="21"/>
              </w:rPr>
              <w:t>粉质粘土</w:t>
            </w:r>
          </w:p>
        </w:tc>
        <w:tc>
          <w:tcPr>
            <w:tcW w:w="563" w:type="pct"/>
            <w:tcMar>
              <w:left w:w="28" w:type="dxa"/>
              <w:right w:w="28" w:type="dxa"/>
            </w:tcMar>
            <w:vAlign w:val="center"/>
          </w:tcPr>
          <w:p w14:paraId="70ABBB0B"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Q</w:t>
            </w:r>
            <w:r w:rsidRPr="00BB5174">
              <w:rPr>
                <w:rFonts w:asciiTheme="minorHAnsi" w:hAnsiTheme="minorHAnsi"/>
                <w:color w:val="000000" w:themeColor="text1"/>
                <w:szCs w:val="21"/>
                <w:vertAlign w:val="subscript"/>
              </w:rPr>
              <w:t>4</w:t>
            </w:r>
            <w:r w:rsidRPr="00BB5174">
              <w:rPr>
                <w:rFonts w:asciiTheme="minorHAnsi" w:hAnsiTheme="minorHAnsi"/>
                <w:color w:val="000000" w:themeColor="text1"/>
                <w:szCs w:val="21"/>
                <w:vertAlign w:val="superscript"/>
              </w:rPr>
              <w:t>al</w:t>
            </w:r>
          </w:p>
        </w:tc>
        <w:tc>
          <w:tcPr>
            <w:tcW w:w="403" w:type="pct"/>
            <w:tcMar>
              <w:left w:w="28" w:type="dxa"/>
              <w:right w:w="28" w:type="dxa"/>
            </w:tcMar>
            <w:vAlign w:val="center"/>
          </w:tcPr>
          <w:p w14:paraId="07338D56"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全场地</w:t>
            </w:r>
          </w:p>
        </w:tc>
        <w:tc>
          <w:tcPr>
            <w:tcW w:w="485" w:type="pct"/>
            <w:tcMar>
              <w:left w:w="28" w:type="dxa"/>
              <w:right w:w="28" w:type="dxa"/>
            </w:tcMar>
            <w:vAlign w:val="center"/>
          </w:tcPr>
          <w:p w14:paraId="5FC1C4ED"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0.3</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0.5</w:t>
            </w:r>
          </w:p>
        </w:tc>
        <w:tc>
          <w:tcPr>
            <w:tcW w:w="565" w:type="pct"/>
            <w:tcMar>
              <w:left w:w="28" w:type="dxa"/>
              <w:right w:w="28" w:type="dxa"/>
            </w:tcMar>
            <w:vAlign w:val="center"/>
          </w:tcPr>
          <w:p w14:paraId="27ACAA24"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7.6</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10.9</w:t>
            </w:r>
          </w:p>
        </w:tc>
        <w:tc>
          <w:tcPr>
            <w:tcW w:w="645" w:type="pct"/>
            <w:tcMar>
              <w:left w:w="28" w:type="dxa"/>
              <w:right w:w="28" w:type="dxa"/>
            </w:tcMar>
            <w:vAlign w:val="center"/>
          </w:tcPr>
          <w:p w14:paraId="2607EC17"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黄褐</w:t>
            </w:r>
            <w:r w:rsidRPr="00BB5174">
              <w:rPr>
                <w:rFonts w:asciiTheme="minorHAnsi" w:hAnsiTheme="minorHAnsi" w:hint="eastAsia"/>
                <w:color w:val="000000" w:themeColor="text1"/>
                <w:szCs w:val="21"/>
              </w:rPr>
              <w:t>～</w:t>
            </w:r>
            <w:r w:rsidRPr="00BB5174">
              <w:rPr>
                <w:rFonts w:asciiTheme="minorHAnsi" w:hAnsi="宋体"/>
                <w:color w:val="000000" w:themeColor="text1"/>
                <w:szCs w:val="21"/>
              </w:rPr>
              <w:t>灰褐色</w:t>
            </w:r>
          </w:p>
        </w:tc>
        <w:tc>
          <w:tcPr>
            <w:tcW w:w="1838" w:type="pct"/>
            <w:tcMar>
              <w:left w:w="28" w:type="dxa"/>
              <w:right w:w="28" w:type="dxa"/>
            </w:tcMar>
            <w:vAlign w:val="center"/>
          </w:tcPr>
          <w:p w14:paraId="18F8ED00"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含少量铁锭质结核及少量钙核，干强度一般，韧性一般</w:t>
            </w:r>
            <w:r w:rsidRPr="00BB5174">
              <w:rPr>
                <w:rFonts w:asciiTheme="minorHAnsi" w:hAnsiTheme="minorHAnsi" w:hint="eastAsia"/>
                <w:color w:val="000000" w:themeColor="text1"/>
                <w:szCs w:val="21"/>
              </w:rPr>
              <w:t>。</w:t>
            </w:r>
          </w:p>
        </w:tc>
      </w:tr>
      <w:tr w:rsidR="00E87C23" w:rsidRPr="00BB5174" w14:paraId="621CE872" w14:textId="77777777" w:rsidTr="007F37A0">
        <w:trPr>
          <w:trHeight w:val="340"/>
        </w:trPr>
        <w:tc>
          <w:tcPr>
            <w:tcW w:w="501" w:type="pct"/>
            <w:tcMar>
              <w:left w:w="28" w:type="dxa"/>
              <w:right w:w="28" w:type="dxa"/>
            </w:tcMar>
            <w:vAlign w:val="center"/>
          </w:tcPr>
          <w:p w14:paraId="05DEBFD3"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fldChar w:fldCharType="begin"/>
            </w:r>
            <w:r w:rsidRPr="00BB5174">
              <w:rPr>
                <w:rFonts w:asciiTheme="minorHAnsi" w:hAnsiTheme="minorHAnsi"/>
                <w:color w:val="000000" w:themeColor="text1"/>
                <w:szCs w:val="21"/>
              </w:rPr>
              <w:instrText xml:space="preserve"> </w:instrText>
            </w:r>
            <w:r w:rsidRPr="00BB5174">
              <w:rPr>
                <w:rFonts w:asciiTheme="minorHAnsi" w:hAnsiTheme="minorHAnsi" w:hint="eastAsia"/>
                <w:color w:val="000000" w:themeColor="text1"/>
                <w:szCs w:val="21"/>
              </w:rPr>
              <w:instrText>= 3 \* GB2</w:instrText>
            </w:r>
            <w:r w:rsidRPr="00BB5174">
              <w:rPr>
                <w:rFonts w:asciiTheme="minorHAnsi" w:hAnsiTheme="minorHAnsi"/>
                <w:color w:val="000000" w:themeColor="text1"/>
                <w:szCs w:val="21"/>
              </w:rPr>
              <w:instrText xml:space="preserve"> </w:instrText>
            </w:r>
            <w:r w:rsidRPr="00BB5174">
              <w:rPr>
                <w:rFonts w:asciiTheme="minorHAnsi" w:hAnsiTheme="minorHAnsi"/>
                <w:color w:val="000000" w:themeColor="text1"/>
                <w:szCs w:val="21"/>
              </w:rPr>
              <w:fldChar w:fldCharType="separate"/>
            </w:r>
            <w:r w:rsidRPr="00BB5174">
              <w:rPr>
                <w:rFonts w:asciiTheme="minorHAnsi" w:hAnsiTheme="minorHAnsi" w:hint="eastAsia"/>
                <w:noProof/>
                <w:color w:val="000000" w:themeColor="text1"/>
                <w:szCs w:val="21"/>
              </w:rPr>
              <w:t>⑶</w:t>
            </w:r>
            <w:r w:rsidRPr="00BB5174">
              <w:rPr>
                <w:rFonts w:asciiTheme="minorHAnsi" w:hAnsiTheme="minorHAnsi"/>
                <w:color w:val="000000" w:themeColor="text1"/>
                <w:szCs w:val="21"/>
              </w:rPr>
              <w:fldChar w:fldCharType="end"/>
            </w:r>
            <w:r w:rsidRPr="00BB5174">
              <w:rPr>
                <w:rFonts w:asciiTheme="minorHAnsi" w:hAnsi="宋体"/>
                <w:color w:val="000000" w:themeColor="text1"/>
                <w:szCs w:val="21"/>
              </w:rPr>
              <w:t>中细砂</w:t>
            </w:r>
          </w:p>
        </w:tc>
        <w:tc>
          <w:tcPr>
            <w:tcW w:w="563" w:type="pct"/>
            <w:tcMar>
              <w:left w:w="28" w:type="dxa"/>
              <w:right w:w="28" w:type="dxa"/>
            </w:tcMar>
            <w:vAlign w:val="center"/>
          </w:tcPr>
          <w:p w14:paraId="4D71BAF9"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Q</w:t>
            </w:r>
            <w:r w:rsidRPr="00BB5174">
              <w:rPr>
                <w:rFonts w:asciiTheme="minorHAnsi" w:hAnsiTheme="minorHAnsi"/>
                <w:color w:val="000000" w:themeColor="text1"/>
                <w:szCs w:val="21"/>
                <w:vertAlign w:val="subscript"/>
              </w:rPr>
              <w:t>4</w:t>
            </w:r>
            <w:r w:rsidRPr="00BB5174">
              <w:rPr>
                <w:rFonts w:asciiTheme="minorHAnsi" w:hAnsiTheme="minorHAnsi"/>
                <w:color w:val="000000" w:themeColor="text1"/>
                <w:szCs w:val="21"/>
                <w:vertAlign w:val="superscript"/>
              </w:rPr>
              <w:t>al</w:t>
            </w:r>
          </w:p>
        </w:tc>
        <w:tc>
          <w:tcPr>
            <w:tcW w:w="403" w:type="pct"/>
            <w:tcMar>
              <w:left w:w="28" w:type="dxa"/>
              <w:right w:w="28" w:type="dxa"/>
            </w:tcMar>
            <w:vAlign w:val="center"/>
          </w:tcPr>
          <w:p w14:paraId="1F1EBA93"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全场地</w:t>
            </w:r>
          </w:p>
        </w:tc>
        <w:tc>
          <w:tcPr>
            <w:tcW w:w="485" w:type="pct"/>
            <w:tcMar>
              <w:left w:w="28" w:type="dxa"/>
              <w:right w:w="28" w:type="dxa"/>
            </w:tcMar>
            <w:vAlign w:val="center"/>
          </w:tcPr>
          <w:p w14:paraId="78E86441"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7.9</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11.2</w:t>
            </w:r>
          </w:p>
        </w:tc>
        <w:tc>
          <w:tcPr>
            <w:tcW w:w="565" w:type="pct"/>
            <w:tcMar>
              <w:left w:w="28" w:type="dxa"/>
              <w:right w:w="28" w:type="dxa"/>
            </w:tcMar>
            <w:vAlign w:val="center"/>
          </w:tcPr>
          <w:p w14:paraId="065AFD10"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1.7</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4.7</w:t>
            </w:r>
          </w:p>
        </w:tc>
        <w:tc>
          <w:tcPr>
            <w:tcW w:w="645" w:type="pct"/>
            <w:tcMar>
              <w:left w:w="28" w:type="dxa"/>
              <w:right w:w="28" w:type="dxa"/>
            </w:tcMar>
            <w:vAlign w:val="center"/>
          </w:tcPr>
          <w:p w14:paraId="6BAB1492"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灰白～褐黄色</w:t>
            </w:r>
          </w:p>
        </w:tc>
        <w:tc>
          <w:tcPr>
            <w:tcW w:w="1838" w:type="pct"/>
            <w:tcMar>
              <w:left w:w="28" w:type="dxa"/>
              <w:right w:w="28" w:type="dxa"/>
            </w:tcMar>
            <w:vAlign w:val="center"/>
          </w:tcPr>
          <w:p w14:paraId="1D410300"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以石英、长石为主，有少量暗色矿物，局部含少量粘性土及</w:t>
            </w:r>
            <w:r w:rsidRPr="00BB5174">
              <w:rPr>
                <w:rFonts w:asciiTheme="minorHAnsi" w:hAnsi="宋体" w:hint="eastAsia"/>
                <w:color w:val="000000" w:themeColor="text1"/>
                <w:szCs w:val="21"/>
              </w:rPr>
              <w:t>贝壳</w:t>
            </w:r>
            <w:r w:rsidRPr="00BB5174">
              <w:rPr>
                <w:rFonts w:asciiTheme="minorHAnsi" w:hAnsiTheme="minorHAnsi" w:hint="eastAsia"/>
                <w:color w:val="000000" w:themeColor="text1"/>
                <w:szCs w:val="21"/>
              </w:rPr>
              <w:t>。</w:t>
            </w:r>
          </w:p>
        </w:tc>
      </w:tr>
      <w:tr w:rsidR="00E87C23" w:rsidRPr="00BB5174" w14:paraId="47C69876" w14:textId="77777777" w:rsidTr="007F37A0">
        <w:trPr>
          <w:trHeight w:val="340"/>
        </w:trPr>
        <w:tc>
          <w:tcPr>
            <w:tcW w:w="501" w:type="pct"/>
            <w:tcMar>
              <w:left w:w="28" w:type="dxa"/>
              <w:right w:w="28" w:type="dxa"/>
            </w:tcMar>
            <w:vAlign w:val="center"/>
          </w:tcPr>
          <w:p w14:paraId="0A0E4844"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fldChar w:fldCharType="begin"/>
            </w:r>
            <w:r w:rsidRPr="00BB5174">
              <w:rPr>
                <w:rFonts w:asciiTheme="minorHAnsi" w:hAnsiTheme="minorHAnsi"/>
                <w:color w:val="000000" w:themeColor="text1"/>
                <w:szCs w:val="21"/>
              </w:rPr>
              <w:instrText xml:space="preserve"> </w:instrText>
            </w:r>
            <w:r w:rsidRPr="00BB5174">
              <w:rPr>
                <w:rFonts w:asciiTheme="minorHAnsi" w:hAnsiTheme="minorHAnsi" w:hint="eastAsia"/>
                <w:color w:val="000000" w:themeColor="text1"/>
                <w:szCs w:val="21"/>
              </w:rPr>
              <w:instrText>= 4 \* GB2</w:instrText>
            </w:r>
            <w:r w:rsidRPr="00BB5174">
              <w:rPr>
                <w:rFonts w:asciiTheme="minorHAnsi" w:hAnsiTheme="minorHAnsi"/>
                <w:color w:val="000000" w:themeColor="text1"/>
                <w:szCs w:val="21"/>
              </w:rPr>
              <w:instrText xml:space="preserve"> </w:instrText>
            </w:r>
            <w:r w:rsidRPr="00BB5174">
              <w:rPr>
                <w:rFonts w:asciiTheme="minorHAnsi" w:hAnsiTheme="minorHAnsi"/>
                <w:color w:val="000000" w:themeColor="text1"/>
                <w:szCs w:val="21"/>
              </w:rPr>
              <w:fldChar w:fldCharType="separate"/>
            </w:r>
            <w:r w:rsidRPr="00BB5174">
              <w:rPr>
                <w:rFonts w:asciiTheme="minorHAnsi" w:hAnsiTheme="minorHAnsi" w:hint="eastAsia"/>
                <w:noProof/>
                <w:color w:val="000000" w:themeColor="text1"/>
                <w:szCs w:val="21"/>
              </w:rPr>
              <w:t>⑷</w:t>
            </w:r>
            <w:r w:rsidRPr="00BB5174">
              <w:rPr>
                <w:rFonts w:asciiTheme="minorHAnsi" w:hAnsiTheme="minorHAnsi"/>
                <w:color w:val="000000" w:themeColor="text1"/>
                <w:szCs w:val="21"/>
              </w:rPr>
              <w:fldChar w:fldCharType="end"/>
            </w:r>
            <w:r w:rsidRPr="00BB5174">
              <w:rPr>
                <w:rFonts w:asciiTheme="minorHAnsi" w:hAnsi="宋体"/>
                <w:color w:val="000000" w:themeColor="text1"/>
                <w:szCs w:val="21"/>
              </w:rPr>
              <w:t>粉质粘土</w:t>
            </w:r>
          </w:p>
        </w:tc>
        <w:tc>
          <w:tcPr>
            <w:tcW w:w="563" w:type="pct"/>
            <w:tcMar>
              <w:left w:w="28" w:type="dxa"/>
              <w:right w:w="28" w:type="dxa"/>
            </w:tcMar>
            <w:vAlign w:val="center"/>
          </w:tcPr>
          <w:p w14:paraId="60F70CED"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Q</w:t>
            </w:r>
            <w:r w:rsidRPr="00BB5174">
              <w:rPr>
                <w:rFonts w:asciiTheme="minorHAnsi" w:hAnsiTheme="minorHAnsi"/>
                <w:color w:val="000000" w:themeColor="text1"/>
                <w:szCs w:val="21"/>
                <w:vertAlign w:val="subscript"/>
              </w:rPr>
              <w:t>3</w:t>
            </w:r>
            <w:r w:rsidRPr="00BB5174">
              <w:rPr>
                <w:rFonts w:asciiTheme="minorHAnsi" w:hAnsiTheme="minorHAnsi"/>
                <w:color w:val="000000" w:themeColor="text1"/>
                <w:szCs w:val="21"/>
                <w:vertAlign w:val="superscript"/>
              </w:rPr>
              <w:t>al</w:t>
            </w:r>
          </w:p>
        </w:tc>
        <w:tc>
          <w:tcPr>
            <w:tcW w:w="403" w:type="pct"/>
            <w:tcMar>
              <w:left w:w="28" w:type="dxa"/>
              <w:right w:w="28" w:type="dxa"/>
            </w:tcMar>
            <w:vAlign w:val="center"/>
          </w:tcPr>
          <w:p w14:paraId="00B7D118"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全场地</w:t>
            </w:r>
          </w:p>
        </w:tc>
        <w:tc>
          <w:tcPr>
            <w:tcW w:w="485" w:type="pct"/>
            <w:tcMar>
              <w:left w:w="28" w:type="dxa"/>
              <w:right w:w="28" w:type="dxa"/>
            </w:tcMar>
            <w:vAlign w:val="center"/>
          </w:tcPr>
          <w:p w14:paraId="26DD35E6"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10.5</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14.6</w:t>
            </w:r>
          </w:p>
        </w:tc>
        <w:tc>
          <w:tcPr>
            <w:tcW w:w="565" w:type="pct"/>
            <w:tcMar>
              <w:left w:w="28" w:type="dxa"/>
              <w:right w:w="28" w:type="dxa"/>
            </w:tcMar>
            <w:vAlign w:val="center"/>
          </w:tcPr>
          <w:p w14:paraId="0F698A88"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最大揭露厚度</w:t>
            </w:r>
            <w:r w:rsidRPr="00BB5174">
              <w:rPr>
                <w:rFonts w:asciiTheme="minorHAnsi" w:hAnsiTheme="minorHAnsi"/>
                <w:color w:val="000000" w:themeColor="text1"/>
                <w:szCs w:val="21"/>
              </w:rPr>
              <w:t>28.0</w:t>
            </w:r>
          </w:p>
        </w:tc>
        <w:tc>
          <w:tcPr>
            <w:tcW w:w="645" w:type="pct"/>
            <w:tcMar>
              <w:left w:w="28" w:type="dxa"/>
              <w:right w:w="28" w:type="dxa"/>
            </w:tcMar>
            <w:vAlign w:val="center"/>
          </w:tcPr>
          <w:p w14:paraId="5EF43771"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灰黄～黄褐色</w:t>
            </w:r>
          </w:p>
        </w:tc>
        <w:tc>
          <w:tcPr>
            <w:tcW w:w="1838" w:type="pct"/>
            <w:tcMar>
              <w:left w:w="28" w:type="dxa"/>
              <w:right w:w="28" w:type="dxa"/>
            </w:tcMar>
            <w:vAlign w:val="center"/>
          </w:tcPr>
          <w:p w14:paraId="59FFDCCD"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含少量钙质结核，局部稍高，干强度一般，韧性一般，局部夹少量中细砂</w:t>
            </w:r>
            <w:r w:rsidRPr="00BB5174">
              <w:rPr>
                <w:rFonts w:asciiTheme="minorHAnsi" w:hAnsiTheme="minorHAnsi" w:hint="eastAsia"/>
                <w:color w:val="000000" w:themeColor="text1"/>
                <w:szCs w:val="21"/>
              </w:rPr>
              <w:t>。</w:t>
            </w:r>
          </w:p>
        </w:tc>
      </w:tr>
      <w:tr w:rsidR="00E87C23" w:rsidRPr="00BB5174" w14:paraId="4DAC1770" w14:textId="77777777" w:rsidTr="007F37A0">
        <w:trPr>
          <w:trHeight w:val="340"/>
        </w:trPr>
        <w:tc>
          <w:tcPr>
            <w:tcW w:w="501" w:type="pct"/>
            <w:tcMar>
              <w:left w:w="28" w:type="dxa"/>
              <w:right w:w="28" w:type="dxa"/>
            </w:tcMar>
            <w:vAlign w:val="center"/>
          </w:tcPr>
          <w:p w14:paraId="28D3C79A"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lastRenderedPageBreak/>
              <w:fldChar w:fldCharType="begin"/>
            </w:r>
            <w:r w:rsidRPr="00BB5174">
              <w:rPr>
                <w:rFonts w:asciiTheme="minorHAnsi" w:hAnsiTheme="minorHAnsi"/>
                <w:color w:val="000000" w:themeColor="text1"/>
                <w:szCs w:val="21"/>
              </w:rPr>
              <w:instrText xml:space="preserve"> </w:instrText>
            </w:r>
            <w:r w:rsidRPr="00BB5174">
              <w:rPr>
                <w:rFonts w:asciiTheme="minorHAnsi" w:hAnsiTheme="minorHAnsi" w:hint="eastAsia"/>
                <w:color w:val="000000" w:themeColor="text1"/>
                <w:szCs w:val="21"/>
              </w:rPr>
              <w:instrText>= 5 \* GB2</w:instrText>
            </w:r>
            <w:r w:rsidRPr="00BB5174">
              <w:rPr>
                <w:rFonts w:asciiTheme="minorHAnsi" w:hAnsiTheme="minorHAnsi"/>
                <w:color w:val="000000" w:themeColor="text1"/>
                <w:szCs w:val="21"/>
              </w:rPr>
              <w:instrText xml:space="preserve"> </w:instrText>
            </w:r>
            <w:r w:rsidRPr="00BB5174">
              <w:rPr>
                <w:rFonts w:asciiTheme="minorHAnsi" w:hAnsiTheme="minorHAnsi"/>
                <w:color w:val="000000" w:themeColor="text1"/>
                <w:szCs w:val="21"/>
              </w:rPr>
              <w:fldChar w:fldCharType="separate"/>
            </w:r>
            <w:r w:rsidRPr="00BB5174">
              <w:rPr>
                <w:rFonts w:asciiTheme="minorHAnsi" w:hAnsiTheme="minorHAnsi" w:hint="eastAsia"/>
                <w:noProof/>
                <w:color w:val="000000" w:themeColor="text1"/>
                <w:szCs w:val="21"/>
              </w:rPr>
              <w:t>⑸</w:t>
            </w:r>
            <w:r w:rsidRPr="00BB5174">
              <w:rPr>
                <w:rFonts w:asciiTheme="minorHAnsi" w:hAnsiTheme="minorHAnsi"/>
                <w:color w:val="000000" w:themeColor="text1"/>
                <w:szCs w:val="21"/>
              </w:rPr>
              <w:fldChar w:fldCharType="end"/>
            </w:r>
            <w:r w:rsidRPr="00BB5174">
              <w:rPr>
                <w:rFonts w:asciiTheme="minorHAnsi" w:hAnsi="宋体"/>
                <w:color w:val="000000" w:themeColor="text1"/>
                <w:szCs w:val="21"/>
              </w:rPr>
              <w:t>中细砂</w:t>
            </w:r>
          </w:p>
        </w:tc>
        <w:tc>
          <w:tcPr>
            <w:tcW w:w="563" w:type="pct"/>
            <w:tcMar>
              <w:left w:w="28" w:type="dxa"/>
              <w:right w:w="28" w:type="dxa"/>
            </w:tcMar>
            <w:vAlign w:val="center"/>
          </w:tcPr>
          <w:p w14:paraId="5F9D2587"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Q</w:t>
            </w:r>
            <w:r w:rsidRPr="00BB5174">
              <w:rPr>
                <w:rFonts w:asciiTheme="minorHAnsi" w:hAnsiTheme="minorHAnsi"/>
                <w:color w:val="000000" w:themeColor="text1"/>
                <w:szCs w:val="21"/>
                <w:vertAlign w:val="subscript"/>
              </w:rPr>
              <w:t>3</w:t>
            </w:r>
            <w:r w:rsidRPr="00BB5174">
              <w:rPr>
                <w:rFonts w:asciiTheme="minorHAnsi" w:hAnsiTheme="minorHAnsi"/>
                <w:color w:val="000000" w:themeColor="text1"/>
                <w:szCs w:val="21"/>
                <w:vertAlign w:val="superscript"/>
              </w:rPr>
              <w:t>a1</w:t>
            </w:r>
          </w:p>
        </w:tc>
        <w:tc>
          <w:tcPr>
            <w:tcW w:w="403" w:type="pct"/>
            <w:tcMar>
              <w:left w:w="28" w:type="dxa"/>
              <w:right w:w="28" w:type="dxa"/>
            </w:tcMar>
            <w:vAlign w:val="center"/>
          </w:tcPr>
          <w:p w14:paraId="2AB589EE"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部分</w:t>
            </w:r>
          </w:p>
          <w:p w14:paraId="117939CB"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地段</w:t>
            </w:r>
          </w:p>
        </w:tc>
        <w:tc>
          <w:tcPr>
            <w:tcW w:w="485" w:type="pct"/>
            <w:tcMar>
              <w:left w:w="28" w:type="dxa"/>
              <w:right w:w="28" w:type="dxa"/>
            </w:tcMar>
            <w:vAlign w:val="center"/>
          </w:tcPr>
          <w:p w14:paraId="72AADB6A"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17.8</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20.2</w:t>
            </w:r>
          </w:p>
        </w:tc>
        <w:tc>
          <w:tcPr>
            <w:tcW w:w="565" w:type="pct"/>
            <w:tcMar>
              <w:left w:w="28" w:type="dxa"/>
              <w:right w:w="28" w:type="dxa"/>
            </w:tcMar>
            <w:vAlign w:val="center"/>
          </w:tcPr>
          <w:p w14:paraId="1FB053F7"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Theme="minorHAnsi"/>
                <w:color w:val="000000" w:themeColor="text1"/>
                <w:szCs w:val="21"/>
              </w:rPr>
              <w:t>4.2</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7.4</w:t>
            </w:r>
          </w:p>
        </w:tc>
        <w:tc>
          <w:tcPr>
            <w:tcW w:w="645" w:type="pct"/>
            <w:tcMar>
              <w:left w:w="28" w:type="dxa"/>
              <w:right w:w="28" w:type="dxa"/>
            </w:tcMar>
            <w:vAlign w:val="center"/>
          </w:tcPr>
          <w:p w14:paraId="4A91F848"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褐黄～褐灰色</w:t>
            </w:r>
          </w:p>
        </w:tc>
        <w:tc>
          <w:tcPr>
            <w:tcW w:w="1838" w:type="pct"/>
            <w:tcMar>
              <w:left w:w="28" w:type="dxa"/>
              <w:right w:w="28" w:type="dxa"/>
            </w:tcMar>
            <w:vAlign w:val="center"/>
          </w:tcPr>
          <w:p w14:paraId="5CEEBBEB" w14:textId="77777777" w:rsidR="00E87C23" w:rsidRPr="00BB5174" w:rsidRDefault="00E87C23" w:rsidP="007F37A0">
            <w:pPr>
              <w:spacing w:line="300" w:lineRule="exact"/>
              <w:jc w:val="center"/>
              <w:rPr>
                <w:rFonts w:asciiTheme="minorHAnsi" w:hAnsiTheme="minorHAnsi"/>
                <w:color w:val="000000" w:themeColor="text1"/>
                <w:szCs w:val="21"/>
              </w:rPr>
            </w:pPr>
            <w:r w:rsidRPr="00BB5174">
              <w:rPr>
                <w:rFonts w:asciiTheme="minorHAnsi" w:hAnsi="宋体"/>
                <w:color w:val="000000" w:themeColor="text1"/>
                <w:szCs w:val="21"/>
              </w:rPr>
              <w:t>砾卵石含量约</w:t>
            </w:r>
            <w:r w:rsidRPr="00BB5174">
              <w:rPr>
                <w:rFonts w:asciiTheme="minorHAnsi" w:hAnsiTheme="minorHAnsi"/>
                <w:color w:val="000000" w:themeColor="text1"/>
                <w:szCs w:val="21"/>
              </w:rPr>
              <w:t>20</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40%</w:t>
            </w:r>
            <w:r w:rsidRPr="00BB5174">
              <w:rPr>
                <w:rFonts w:asciiTheme="minorHAnsi" w:hAnsiTheme="minorHAnsi" w:hint="eastAsia"/>
                <w:color w:val="000000" w:themeColor="text1"/>
                <w:szCs w:val="21"/>
              </w:rPr>
              <w:t>，</w:t>
            </w:r>
            <w:r w:rsidRPr="00BB5174">
              <w:rPr>
                <w:rFonts w:asciiTheme="minorHAnsi" w:hAnsi="宋体"/>
                <w:color w:val="000000" w:themeColor="text1"/>
                <w:szCs w:val="21"/>
              </w:rPr>
              <w:t>局部稍高，粒径</w:t>
            </w:r>
            <w:r w:rsidRPr="00BB5174">
              <w:rPr>
                <w:rFonts w:asciiTheme="minorHAnsi" w:hAnsiTheme="minorHAnsi"/>
                <w:color w:val="000000" w:themeColor="text1"/>
                <w:szCs w:val="21"/>
              </w:rPr>
              <w:t>1</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4cm</w:t>
            </w:r>
            <w:r w:rsidRPr="00BB5174">
              <w:rPr>
                <w:rFonts w:asciiTheme="minorHAnsi" w:hAnsiTheme="minorHAnsi" w:hint="eastAsia"/>
                <w:color w:val="000000" w:themeColor="text1"/>
                <w:szCs w:val="21"/>
              </w:rPr>
              <w:t>，</w:t>
            </w:r>
            <w:r w:rsidRPr="00BB5174">
              <w:rPr>
                <w:rFonts w:asciiTheme="minorHAnsi" w:hAnsi="宋体"/>
                <w:color w:val="000000" w:themeColor="text1"/>
                <w:szCs w:val="21"/>
              </w:rPr>
              <w:t>部分达</w:t>
            </w:r>
            <w:r w:rsidRPr="00BB5174">
              <w:rPr>
                <w:rFonts w:asciiTheme="minorHAnsi" w:hAnsiTheme="minorHAnsi"/>
                <w:color w:val="000000" w:themeColor="text1"/>
                <w:szCs w:val="21"/>
              </w:rPr>
              <w:t>5</w:t>
            </w:r>
            <w:r w:rsidRPr="00BB5174">
              <w:rPr>
                <w:rFonts w:asciiTheme="minorHAnsi" w:hAnsiTheme="minorHAnsi" w:hint="eastAsia"/>
                <w:color w:val="000000" w:themeColor="text1"/>
                <w:szCs w:val="21"/>
              </w:rPr>
              <w:t>～</w:t>
            </w:r>
            <w:r w:rsidRPr="00BB5174">
              <w:rPr>
                <w:rFonts w:asciiTheme="minorHAnsi" w:hAnsiTheme="minorHAnsi"/>
                <w:color w:val="000000" w:themeColor="text1"/>
                <w:szCs w:val="21"/>
              </w:rPr>
              <w:t>10cm</w:t>
            </w:r>
            <w:r w:rsidRPr="00BB5174">
              <w:rPr>
                <w:rFonts w:asciiTheme="minorHAnsi" w:hAnsiTheme="minorHAnsi" w:hint="eastAsia"/>
                <w:color w:val="000000" w:themeColor="text1"/>
                <w:szCs w:val="21"/>
              </w:rPr>
              <w:t>，</w:t>
            </w:r>
            <w:r w:rsidRPr="00BB5174">
              <w:rPr>
                <w:rFonts w:asciiTheme="minorHAnsi" w:hAnsi="宋体"/>
                <w:color w:val="000000" w:themeColor="text1"/>
                <w:szCs w:val="21"/>
              </w:rPr>
              <w:t>磨圆较好，局部夹少量粘性土，为</w:t>
            </w:r>
            <w:r w:rsidRPr="00BB5174">
              <w:rPr>
                <w:rFonts w:asciiTheme="minorHAnsi" w:hAnsiTheme="minorHAnsi"/>
                <w:color w:val="000000" w:themeColor="text1"/>
                <w:szCs w:val="21"/>
              </w:rPr>
              <w:t>(3)</w:t>
            </w:r>
            <w:r w:rsidRPr="00BB5174">
              <w:rPr>
                <w:rFonts w:asciiTheme="minorHAnsi" w:hAnsi="宋体"/>
                <w:color w:val="000000" w:themeColor="text1"/>
                <w:szCs w:val="21"/>
              </w:rPr>
              <w:t>层的透镜体</w:t>
            </w:r>
            <w:r w:rsidRPr="00BB5174">
              <w:rPr>
                <w:rFonts w:asciiTheme="minorHAnsi" w:hAnsiTheme="minorHAnsi" w:hint="eastAsia"/>
                <w:color w:val="000000" w:themeColor="text1"/>
                <w:szCs w:val="21"/>
              </w:rPr>
              <w:t>。</w:t>
            </w:r>
          </w:p>
        </w:tc>
      </w:tr>
    </w:tbl>
    <w:p w14:paraId="5E0C0132" w14:textId="77777777" w:rsidR="00E87C23" w:rsidRPr="00E87C23" w:rsidRDefault="00E87C23" w:rsidP="00E87C23">
      <w:pPr>
        <w:spacing w:line="520" w:lineRule="exact"/>
        <w:ind w:firstLineChars="200" w:firstLine="480"/>
        <w:textAlignment w:val="baseline"/>
        <w:rPr>
          <w:rStyle w:val="00Char"/>
          <w:rFonts w:ascii="Calibri" w:hAnsi="Calibri"/>
          <w:color w:val="000000" w:themeColor="text1"/>
        </w:rPr>
      </w:pPr>
      <w:r w:rsidRPr="00E87C23">
        <w:rPr>
          <w:rStyle w:val="00Char"/>
          <w:rFonts w:ascii="Calibri" w:hAnsi="Calibri" w:hint="eastAsia"/>
          <w:color w:val="000000" w:themeColor="text1"/>
        </w:rPr>
        <w:t>（</w:t>
      </w:r>
      <w:r w:rsidRPr="00E87C23">
        <w:rPr>
          <w:rStyle w:val="00Char"/>
          <w:rFonts w:ascii="Calibri" w:hAnsi="Calibri" w:hint="eastAsia"/>
          <w:color w:val="000000" w:themeColor="text1"/>
        </w:rPr>
        <w:t>3</w:t>
      </w:r>
      <w:r w:rsidRPr="00E87C23">
        <w:rPr>
          <w:rStyle w:val="00Char"/>
          <w:rFonts w:ascii="Calibri" w:hAnsi="Calibri" w:hint="eastAsia"/>
          <w:color w:val="000000" w:themeColor="text1"/>
        </w:rPr>
        <w:t>）项目区水文地质特征</w:t>
      </w:r>
    </w:p>
    <w:p w14:paraId="0D96CF62" w14:textId="77777777" w:rsidR="00E87C23" w:rsidRPr="006A642B" w:rsidRDefault="00E87C23" w:rsidP="006A642B">
      <w:pPr>
        <w:spacing w:line="520" w:lineRule="exact"/>
        <w:ind w:firstLineChars="200" w:firstLine="480"/>
        <w:textAlignment w:val="baseline"/>
        <w:rPr>
          <w:rFonts w:ascii="Calibri" w:hAnsi="Calibri"/>
          <w:color w:val="000000" w:themeColor="text1"/>
          <w:sz w:val="24"/>
        </w:rPr>
      </w:pPr>
      <w:r w:rsidRPr="00E87C23">
        <w:rPr>
          <w:rStyle w:val="00Char"/>
          <w:rFonts w:ascii="Calibri" w:hAnsi="Calibri" w:hint="eastAsia"/>
          <w:color w:val="000000" w:themeColor="text1"/>
        </w:rPr>
        <w:t>厂址区浅层地下水属松散岩类孔隙水，浅层地下水主要赋存于第三层中细砂及第五层中细砂夹砾卵石中的弱承压水。勘察期间该层位地下水水位埋深为</w:t>
      </w:r>
      <w:r w:rsidRPr="00E87C23">
        <w:rPr>
          <w:rStyle w:val="00Char"/>
          <w:rFonts w:ascii="Calibri" w:hAnsi="Calibri" w:hint="eastAsia"/>
          <w:color w:val="000000" w:themeColor="text1"/>
        </w:rPr>
        <w:t>8.9</w:t>
      </w:r>
      <w:r w:rsidRPr="00E87C23">
        <w:rPr>
          <w:rStyle w:val="00Char"/>
          <w:rFonts w:ascii="Calibri" w:hAnsi="Calibri" w:hint="eastAsia"/>
          <w:color w:val="000000" w:themeColor="text1"/>
        </w:rPr>
        <w:t>米，对应的高程为</w:t>
      </w:r>
      <w:r w:rsidRPr="00E87C23">
        <w:rPr>
          <w:rStyle w:val="00Char"/>
          <w:rFonts w:ascii="Calibri" w:hAnsi="Calibri" w:hint="eastAsia"/>
          <w:color w:val="000000" w:themeColor="text1"/>
        </w:rPr>
        <w:t>70.50</w:t>
      </w:r>
      <w:r w:rsidRPr="00E87C23">
        <w:rPr>
          <w:rStyle w:val="00Char"/>
          <w:rFonts w:ascii="Calibri" w:hAnsi="Calibri" w:hint="eastAsia"/>
          <w:color w:val="000000" w:themeColor="text1"/>
        </w:rPr>
        <w:t>米。厂址区浅层地下水按富水程度分为中等富水区（单井涌水量</w:t>
      </w:r>
      <w:r w:rsidRPr="00E87C23">
        <w:rPr>
          <w:rStyle w:val="00Char"/>
          <w:rFonts w:ascii="Calibri" w:hAnsi="Calibri" w:hint="eastAsia"/>
          <w:color w:val="000000" w:themeColor="text1"/>
        </w:rPr>
        <w:t>2000</w:t>
      </w:r>
      <w:r w:rsidRPr="00E87C23">
        <w:rPr>
          <w:rStyle w:val="00Char"/>
          <w:rFonts w:ascii="Calibri" w:hAnsi="Calibri" w:hint="eastAsia"/>
          <w:color w:val="000000" w:themeColor="text1"/>
        </w:rPr>
        <w:t>～</w:t>
      </w:r>
      <w:r w:rsidRPr="00E87C23">
        <w:rPr>
          <w:rStyle w:val="00Char"/>
          <w:rFonts w:ascii="Calibri" w:hAnsi="Calibri" w:hint="eastAsia"/>
          <w:color w:val="000000" w:themeColor="text1"/>
        </w:rPr>
        <w:t>5000m</w:t>
      </w:r>
      <w:r w:rsidRPr="00E87C23">
        <w:rPr>
          <w:rStyle w:val="00Char"/>
          <w:rFonts w:ascii="Calibri" w:hAnsi="Calibri" w:hint="eastAsia"/>
          <w:color w:val="000000" w:themeColor="text1"/>
        </w:rPr>
        <w:t>³</w:t>
      </w:r>
      <w:r w:rsidRPr="00E87C23">
        <w:rPr>
          <w:rStyle w:val="00Char"/>
          <w:rFonts w:ascii="Calibri" w:hAnsi="Calibri" w:hint="eastAsia"/>
          <w:color w:val="000000" w:themeColor="text1"/>
        </w:rPr>
        <w:t>/d</w:t>
      </w:r>
      <w:r w:rsidRPr="00E87C23">
        <w:rPr>
          <w:rStyle w:val="00Char"/>
          <w:rFonts w:ascii="Calibri" w:hAnsi="Calibri" w:hint="eastAsia"/>
          <w:color w:val="000000" w:themeColor="text1"/>
        </w:rPr>
        <w:t>）。拟建厂址区浅层地下水类型为松散岩类孔隙水，其补给来源主要为大气降水入渗。地下水排泄主要为人工开采和侧向径流排泄。本区地下水总体</w:t>
      </w:r>
      <w:r w:rsidR="00D50D02">
        <w:rPr>
          <w:rStyle w:val="00Char"/>
          <w:rFonts w:ascii="Calibri" w:hAnsi="Calibri" w:hint="eastAsia"/>
        </w:rPr>
        <w:t>西南</w:t>
      </w:r>
      <w:r w:rsidR="00D50D02" w:rsidRPr="00347D6E">
        <w:rPr>
          <w:rStyle w:val="00Char"/>
          <w:rFonts w:ascii="Calibri" w:hAnsi="Calibri" w:hint="eastAsia"/>
        </w:rPr>
        <w:t>向</w:t>
      </w:r>
      <w:r w:rsidR="00D50D02">
        <w:rPr>
          <w:rStyle w:val="00Char"/>
          <w:rFonts w:ascii="Calibri" w:hAnsi="Calibri" w:hint="eastAsia"/>
        </w:rPr>
        <w:t>东</w:t>
      </w:r>
      <w:r w:rsidR="00D50D02" w:rsidRPr="00347D6E">
        <w:rPr>
          <w:rStyle w:val="00Char"/>
          <w:rFonts w:ascii="Calibri" w:hAnsi="Calibri" w:hint="eastAsia"/>
        </w:rPr>
        <w:t>北方向</w:t>
      </w:r>
      <w:r w:rsidRPr="00E87C23">
        <w:rPr>
          <w:rStyle w:val="00Char"/>
          <w:rFonts w:ascii="Calibri" w:hAnsi="Calibri" w:hint="eastAsia"/>
          <w:color w:val="000000" w:themeColor="text1"/>
        </w:rPr>
        <w:t>径流。</w:t>
      </w:r>
      <w:r w:rsidRPr="00BB5174">
        <w:rPr>
          <w:rStyle w:val="00Char"/>
          <w:rFonts w:ascii="Calibri" w:hAnsi="Calibri" w:hint="eastAsia"/>
          <w:color w:val="000000" w:themeColor="text1"/>
        </w:rPr>
        <w:t>本项目区水文地质图见图</w:t>
      </w:r>
      <w:r w:rsidRPr="00BB5174">
        <w:rPr>
          <w:rStyle w:val="00Char"/>
          <w:rFonts w:ascii="Calibri" w:hAnsi="Calibri" w:hint="eastAsia"/>
          <w:color w:val="000000" w:themeColor="text1"/>
        </w:rPr>
        <w:t>4</w:t>
      </w:r>
      <w:r>
        <w:rPr>
          <w:rStyle w:val="00Char"/>
          <w:rFonts w:ascii="Calibri" w:hAnsi="Calibri"/>
          <w:color w:val="000000" w:themeColor="text1"/>
        </w:rPr>
        <w:t>.2</w:t>
      </w:r>
      <w:r w:rsidRPr="00BB5174">
        <w:rPr>
          <w:rStyle w:val="00Char"/>
          <w:rFonts w:ascii="Calibri" w:hAnsi="Calibri" w:hint="eastAsia"/>
          <w:color w:val="000000" w:themeColor="text1"/>
        </w:rPr>
        <w:t>-</w:t>
      </w:r>
      <w:r w:rsidR="00D50D02">
        <w:rPr>
          <w:rStyle w:val="00Char"/>
          <w:rFonts w:ascii="Calibri" w:hAnsi="Calibri"/>
          <w:color w:val="000000" w:themeColor="text1"/>
        </w:rPr>
        <w:t>8</w:t>
      </w:r>
      <w:r w:rsidRPr="00BB5174">
        <w:rPr>
          <w:rStyle w:val="00Char"/>
          <w:rFonts w:ascii="Calibri" w:hAnsi="Calibri" w:hint="eastAsia"/>
          <w:color w:val="000000" w:themeColor="text1"/>
        </w:rPr>
        <w:t>。</w:t>
      </w:r>
    </w:p>
    <w:p w14:paraId="6D9E8B83" w14:textId="77777777" w:rsidR="00F82663" w:rsidRPr="00A964FF" w:rsidRDefault="00285DB0" w:rsidP="0076070C">
      <w:pPr>
        <w:spacing w:line="520" w:lineRule="exact"/>
        <w:ind w:firstLineChars="200" w:firstLine="482"/>
        <w:textAlignment w:val="baseline"/>
        <w:rPr>
          <w:rStyle w:val="00Char"/>
          <w:rFonts w:ascii="Calibri" w:hAnsi="Calibri"/>
          <w:b/>
          <w:color w:val="auto"/>
        </w:rPr>
      </w:pPr>
      <w:r>
        <w:rPr>
          <w:rStyle w:val="00Char"/>
          <w:rFonts w:ascii="Calibri" w:hAnsi="Calibri"/>
          <w:b/>
          <w:color w:val="auto"/>
        </w:rPr>
        <w:t>5</w:t>
      </w:r>
      <w:r w:rsidR="00F82663" w:rsidRPr="00A964FF">
        <w:rPr>
          <w:rStyle w:val="00Char"/>
          <w:rFonts w:ascii="Calibri" w:hAnsi="Calibri" w:hint="eastAsia"/>
          <w:b/>
          <w:color w:val="auto"/>
        </w:rPr>
        <w:t>、地下水现状调查情况</w:t>
      </w:r>
    </w:p>
    <w:p w14:paraId="765B012B" w14:textId="77777777" w:rsidR="00F82663" w:rsidRPr="00A964FF" w:rsidRDefault="00F82663" w:rsidP="00F82663">
      <w:pPr>
        <w:spacing w:line="520" w:lineRule="exact"/>
        <w:ind w:firstLineChars="200" w:firstLine="480"/>
        <w:rPr>
          <w:rFonts w:ascii="Calibri" w:hAnsi="Calibri"/>
          <w:color w:val="auto"/>
          <w:sz w:val="24"/>
        </w:rPr>
      </w:pPr>
      <w:r w:rsidRPr="00A964FF">
        <w:rPr>
          <w:rFonts w:ascii="Calibri" w:hAnsi="Calibri" w:hint="eastAsia"/>
          <w:color w:val="auto"/>
          <w:sz w:val="24"/>
        </w:rPr>
        <w:t>本次评价对区域地下水进行了现状检测，检测结果显示</w:t>
      </w:r>
      <w:r w:rsidRPr="00A5232B">
        <w:rPr>
          <w:rFonts w:ascii="Calibri" w:hAnsi="Calibri" w:hint="eastAsia"/>
          <w:color w:val="auto"/>
          <w:sz w:val="24"/>
        </w:rPr>
        <w:t>：</w:t>
      </w:r>
      <w:r w:rsidR="00E87C23">
        <w:rPr>
          <w:rFonts w:ascii="Calibri" w:hAnsi="Calibri" w:hint="eastAsia"/>
          <w:color w:val="auto"/>
          <w:sz w:val="24"/>
        </w:rPr>
        <w:t>除</w:t>
      </w:r>
      <w:r w:rsidR="00E87C23">
        <w:rPr>
          <w:rFonts w:ascii="Calibri" w:hAnsi="Calibri"/>
          <w:color w:val="auto"/>
          <w:sz w:val="24"/>
        </w:rPr>
        <w:t>硬度超标外，其余</w:t>
      </w:r>
      <w:r w:rsidRPr="00A964FF">
        <w:rPr>
          <w:rFonts w:ascii="Calibri" w:hAnsi="Calibri" w:hint="eastAsia"/>
          <w:color w:val="auto"/>
          <w:sz w:val="24"/>
        </w:rPr>
        <w:t>各检测因子均满足《地下水质量标准》（</w:t>
      </w:r>
      <w:r w:rsidRPr="00A964FF">
        <w:rPr>
          <w:rFonts w:ascii="Calibri" w:hAnsi="Calibri" w:hint="eastAsia"/>
          <w:color w:val="auto"/>
          <w:sz w:val="24"/>
        </w:rPr>
        <w:t>GB/T14848-2017</w:t>
      </w:r>
      <w:r w:rsidRPr="00A964FF">
        <w:rPr>
          <w:rFonts w:ascii="Calibri" w:hAnsi="Calibri" w:hint="eastAsia"/>
          <w:color w:val="auto"/>
          <w:sz w:val="24"/>
        </w:rPr>
        <w:t>）</w:t>
      </w:r>
      <w:r w:rsidR="002766DF" w:rsidRPr="00A964FF">
        <w:rPr>
          <w:rFonts w:ascii="Calibri" w:hAnsi="Calibri"/>
          <w:color w:val="auto"/>
          <w:sz w:val="24"/>
        </w:rPr>
        <w:fldChar w:fldCharType="begin"/>
      </w:r>
      <w:r w:rsidRPr="00A964FF">
        <w:rPr>
          <w:rFonts w:ascii="Calibri" w:hAnsi="Calibri"/>
          <w:color w:val="auto"/>
          <w:sz w:val="24"/>
        </w:rPr>
        <w:instrText xml:space="preserve"> </w:instrText>
      </w:r>
      <w:r w:rsidRPr="00A964FF">
        <w:rPr>
          <w:rFonts w:ascii="Calibri" w:hAnsi="Calibri" w:hint="eastAsia"/>
          <w:color w:val="auto"/>
          <w:sz w:val="24"/>
        </w:rPr>
        <w:instrText>= 3 \* ROMAN</w:instrText>
      </w:r>
      <w:r w:rsidRPr="00A964FF">
        <w:rPr>
          <w:rFonts w:ascii="Calibri" w:hAnsi="Calibri"/>
          <w:color w:val="auto"/>
          <w:sz w:val="24"/>
        </w:rPr>
        <w:instrText xml:space="preserve"> </w:instrText>
      </w:r>
      <w:r w:rsidR="002766DF" w:rsidRPr="00A964FF">
        <w:rPr>
          <w:rFonts w:ascii="Calibri" w:hAnsi="Calibri"/>
          <w:color w:val="auto"/>
          <w:sz w:val="24"/>
        </w:rPr>
        <w:fldChar w:fldCharType="separate"/>
      </w:r>
      <w:r w:rsidRPr="00A964FF">
        <w:rPr>
          <w:rFonts w:ascii="Calibri" w:hAnsi="Calibri"/>
          <w:color w:val="auto"/>
          <w:sz w:val="24"/>
        </w:rPr>
        <w:t>III</w:t>
      </w:r>
      <w:r w:rsidR="002766DF" w:rsidRPr="00A964FF">
        <w:rPr>
          <w:rFonts w:ascii="Calibri" w:hAnsi="Calibri"/>
          <w:color w:val="auto"/>
          <w:sz w:val="24"/>
        </w:rPr>
        <w:fldChar w:fldCharType="end"/>
      </w:r>
      <w:r w:rsidRPr="00A964FF">
        <w:rPr>
          <w:rFonts w:ascii="Calibri" w:hAnsi="Calibri" w:hint="eastAsia"/>
          <w:color w:val="auto"/>
          <w:sz w:val="24"/>
        </w:rPr>
        <w:t>类标准要求，说明项目所在区域的地下水现状目前良好。总硬度超标与地质构造有关。</w:t>
      </w:r>
    </w:p>
    <w:p w14:paraId="1C48D412" w14:textId="77777777" w:rsidR="00E87C23" w:rsidRPr="0049015A" w:rsidRDefault="00285DB0" w:rsidP="0049015A">
      <w:pPr>
        <w:spacing w:line="520" w:lineRule="exact"/>
        <w:ind w:firstLineChars="200" w:firstLine="482"/>
        <w:textAlignment w:val="baseline"/>
        <w:rPr>
          <w:rStyle w:val="00Char"/>
          <w:rFonts w:ascii="Calibri" w:hAnsi="Calibri"/>
          <w:b/>
          <w:color w:val="auto"/>
        </w:rPr>
      </w:pPr>
      <w:r>
        <w:rPr>
          <w:rStyle w:val="00Char"/>
          <w:rFonts w:ascii="Calibri" w:hAnsi="Calibri"/>
          <w:b/>
          <w:color w:val="auto"/>
        </w:rPr>
        <w:t>6</w:t>
      </w:r>
      <w:r w:rsidR="0076070C" w:rsidRPr="005258F3">
        <w:rPr>
          <w:rStyle w:val="00Char"/>
          <w:rFonts w:ascii="Calibri" w:hAnsi="Calibri" w:hint="eastAsia"/>
          <w:b/>
          <w:color w:val="auto"/>
        </w:rPr>
        <w:t>、地下水污染源与污染途径分析</w:t>
      </w:r>
    </w:p>
    <w:p w14:paraId="30FC7D59" w14:textId="77777777" w:rsidR="0076070C" w:rsidRPr="00A964FF" w:rsidRDefault="0076070C" w:rsidP="000208C9">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w:t>
      </w:r>
      <w:r w:rsidRPr="00A964FF">
        <w:rPr>
          <w:rStyle w:val="00Char"/>
          <w:rFonts w:ascii="Calibri" w:hAnsi="Calibri" w:hint="eastAsia"/>
          <w:color w:val="auto"/>
        </w:rPr>
        <w:t>1</w:t>
      </w:r>
      <w:r w:rsidRPr="00A964FF">
        <w:rPr>
          <w:rStyle w:val="00Char"/>
          <w:rFonts w:ascii="Calibri" w:hAnsi="Calibri" w:hint="eastAsia"/>
          <w:color w:val="auto"/>
        </w:rPr>
        <w:t>）污染源分析</w:t>
      </w:r>
    </w:p>
    <w:p w14:paraId="61618BC2" w14:textId="77777777" w:rsidR="002C5DEA" w:rsidRDefault="002C5DEA" w:rsidP="005258F3">
      <w:pPr>
        <w:spacing w:line="520" w:lineRule="exact"/>
        <w:ind w:firstLine="480"/>
        <w:jc w:val="left"/>
        <w:rPr>
          <w:rStyle w:val="00Char"/>
          <w:rFonts w:ascii="Calibri" w:hAnsi="Calibri"/>
          <w:color w:val="auto"/>
        </w:rPr>
      </w:pPr>
      <w:r w:rsidRPr="002C5DEA">
        <w:rPr>
          <w:rFonts w:ascii="Calibri" w:hAnsi="Calibri"/>
          <w:color w:val="auto"/>
          <w:sz w:val="24"/>
        </w:rPr>
        <w:t>根据项目工程特征，建设期污水主要是施工废水和施工人员生活污水，对施工期产生的工业和生活废物、废水进行统一处理，对地下水造成的影响很小。</w:t>
      </w:r>
    </w:p>
    <w:p w14:paraId="763B75CD" w14:textId="77777777" w:rsidR="0076070C" w:rsidRPr="00A964FF" w:rsidRDefault="0076070C" w:rsidP="005258F3">
      <w:pPr>
        <w:spacing w:line="520" w:lineRule="exact"/>
        <w:ind w:firstLineChars="200" w:firstLine="480"/>
        <w:textAlignment w:val="baseline"/>
        <w:rPr>
          <w:rStyle w:val="00Char"/>
          <w:rFonts w:ascii="Calibri" w:hAnsi="Calibri"/>
          <w:color w:val="auto"/>
        </w:rPr>
      </w:pPr>
      <w:r w:rsidRPr="00A964FF">
        <w:rPr>
          <w:rStyle w:val="00Char"/>
          <w:rFonts w:ascii="Calibri" w:hAnsi="Calibri" w:hint="eastAsia"/>
          <w:color w:val="auto"/>
        </w:rPr>
        <w:t>本项目</w:t>
      </w:r>
      <w:r w:rsidR="005258F3">
        <w:rPr>
          <w:rStyle w:val="00Char"/>
          <w:rFonts w:ascii="Calibri" w:hAnsi="Calibri" w:hint="eastAsia"/>
          <w:color w:val="auto"/>
        </w:rPr>
        <w:t>运营后</w:t>
      </w:r>
      <w:r w:rsidRPr="00A964FF">
        <w:rPr>
          <w:rStyle w:val="00Char"/>
          <w:rFonts w:ascii="Calibri" w:hAnsi="Calibri" w:hint="eastAsia"/>
          <w:color w:val="auto"/>
        </w:rPr>
        <w:t>生产装置包括</w:t>
      </w:r>
      <w:r w:rsidR="00007BA8" w:rsidRPr="00A964FF">
        <w:rPr>
          <w:rStyle w:val="00Char"/>
          <w:rFonts w:ascii="Calibri" w:hAnsi="Calibri" w:hint="eastAsia"/>
          <w:color w:val="auto"/>
        </w:rPr>
        <w:t>各产品生产装置</w:t>
      </w:r>
      <w:r w:rsidR="00595DE1" w:rsidRPr="00A964FF">
        <w:rPr>
          <w:rStyle w:val="00Char"/>
          <w:rFonts w:ascii="Calibri" w:hAnsi="Calibri" w:hint="eastAsia"/>
          <w:color w:val="auto"/>
        </w:rPr>
        <w:t>均为地上式框架结构，</w:t>
      </w:r>
      <w:r w:rsidR="005258F3">
        <w:rPr>
          <w:rStyle w:val="00Char"/>
          <w:rFonts w:ascii="Calibri" w:hAnsi="Calibri" w:hint="eastAsia"/>
          <w:color w:val="auto"/>
        </w:rPr>
        <w:t>涉及</w:t>
      </w:r>
      <w:r w:rsidR="005258F3">
        <w:rPr>
          <w:rStyle w:val="00Char"/>
          <w:rFonts w:ascii="Calibri" w:hAnsi="Calibri"/>
          <w:color w:val="auto"/>
        </w:rPr>
        <w:t>液态反应</w:t>
      </w:r>
      <w:r w:rsidR="005258F3">
        <w:rPr>
          <w:rStyle w:val="00Char"/>
          <w:rFonts w:ascii="Calibri" w:hAnsi="Calibri" w:hint="eastAsia"/>
          <w:color w:val="auto"/>
        </w:rPr>
        <w:t>釜</w:t>
      </w:r>
      <w:r w:rsidR="005258F3">
        <w:rPr>
          <w:rStyle w:val="00Char"/>
          <w:rFonts w:ascii="Calibri" w:hAnsi="Calibri"/>
          <w:color w:val="auto"/>
        </w:rPr>
        <w:t>的</w:t>
      </w:r>
      <w:r w:rsidR="005258F3">
        <w:rPr>
          <w:rStyle w:val="00Char"/>
          <w:rFonts w:ascii="Calibri" w:hAnsi="Calibri" w:hint="eastAsia"/>
          <w:color w:val="auto"/>
        </w:rPr>
        <w:t>装置</w:t>
      </w:r>
      <w:r w:rsidR="005258F3">
        <w:rPr>
          <w:rStyle w:val="00Char"/>
          <w:rFonts w:ascii="Calibri" w:hAnsi="Calibri"/>
          <w:color w:val="auto"/>
        </w:rPr>
        <w:t>在</w:t>
      </w:r>
      <w:r w:rsidR="005258F3">
        <w:rPr>
          <w:rStyle w:val="00Char"/>
          <w:rFonts w:ascii="Calibri" w:hAnsi="Calibri" w:hint="eastAsia"/>
          <w:color w:val="auto"/>
        </w:rPr>
        <w:t>2</w:t>
      </w:r>
      <w:r w:rsidR="005258F3">
        <w:rPr>
          <w:rStyle w:val="00Char"/>
          <w:rFonts w:ascii="Calibri" w:hAnsi="Calibri" w:hint="eastAsia"/>
          <w:color w:val="auto"/>
        </w:rPr>
        <w:t>层</w:t>
      </w:r>
      <w:r w:rsidR="005258F3">
        <w:rPr>
          <w:rStyle w:val="00Char"/>
          <w:rFonts w:ascii="Calibri" w:hAnsi="Calibri" w:hint="eastAsia"/>
          <w:color w:val="auto"/>
        </w:rPr>
        <w:t>-4</w:t>
      </w:r>
      <w:r w:rsidR="005258F3">
        <w:rPr>
          <w:rStyle w:val="00Char"/>
          <w:rFonts w:ascii="Calibri" w:hAnsi="Calibri" w:hint="eastAsia"/>
          <w:color w:val="auto"/>
        </w:rPr>
        <w:t>层</w:t>
      </w:r>
      <w:r w:rsidR="005258F3">
        <w:rPr>
          <w:rStyle w:val="00Char"/>
          <w:rFonts w:ascii="Calibri" w:hAnsi="Calibri"/>
          <w:color w:val="auto"/>
        </w:rPr>
        <w:t>存放，不直接和地面接触，</w:t>
      </w:r>
      <w:r w:rsidR="00595DE1" w:rsidRPr="00A964FF">
        <w:rPr>
          <w:rStyle w:val="00Char"/>
          <w:rFonts w:ascii="Calibri" w:hAnsi="Calibri" w:hint="eastAsia"/>
          <w:color w:val="auto"/>
        </w:rPr>
        <w:t>主要反应原料均采用密闭管道输送，在密闭的反应釜内进行，</w:t>
      </w:r>
      <w:r w:rsidR="005258F3">
        <w:rPr>
          <w:rStyle w:val="00Char"/>
          <w:rFonts w:ascii="Calibri" w:hAnsi="Calibri" w:hint="eastAsia"/>
          <w:color w:val="auto"/>
        </w:rPr>
        <w:t>正</w:t>
      </w:r>
      <w:r w:rsidR="00595DE1" w:rsidRPr="00A964FF">
        <w:rPr>
          <w:rStyle w:val="00Char"/>
          <w:rFonts w:ascii="Calibri" w:hAnsi="Calibri" w:hint="eastAsia"/>
          <w:color w:val="auto"/>
        </w:rPr>
        <w:t>常工况下不会有污染物的泄漏。</w:t>
      </w:r>
    </w:p>
    <w:p w14:paraId="622341FE" w14:textId="77777777" w:rsidR="009C080A" w:rsidRPr="00A964FF" w:rsidRDefault="002C5DEA" w:rsidP="002C5DEA">
      <w:pPr>
        <w:spacing w:line="520" w:lineRule="exact"/>
        <w:ind w:firstLineChars="200" w:firstLine="480"/>
        <w:textAlignment w:val="baseline"/>
        <w:rPr>
          <w:rStyle w:val="00Char"/>
          <w:rFonts w:ascii="Calibri" w:hAnsi="Calibri"/>
          <w:color w:val="auto"/>
        </w:rPr>
      </w:pPr>
      <w:r>
        <w:rPr>
          <w:rStyle w:val="00Char"/>
          <w:rFonts w:ascii="Calibri" w:hAnsi="Calibri" w:hint="eastAsia"/>
          <w:color w:val="auto"/>
        </w:rPr>
        <w:t>本项目</w:t>
      </w:r>
      <w:r>
        <w:rPr>
          <w:rStyle w:val="00Char"/>
          <w:rFonts w:ascii="Calibri" w:hAnsi="Calibri"/>
          <w:color w:val="auto"/>
        </w:rPr>
        <w:t>生产</w:t>
      </w:r>
      <w:r>
        <w:rPr>
          <w:rStyle w:val="00Char"/>
          <w:rFonts w:ascii="Calibri" w:hAnsi="Calibri" w:hint="eastAsia"/>
          <w:color w:val="auto"/>
        </w:rPr>
        <w:t>工艺</w:t>
      </w:r>
      <w:r>
        <w:rPr>
          <w:rStyle w:val="00Char"/>
          <w:rFonts w:ascii="Calibri" w:hAnsi="Calibri"/>
          <w:color w:val="auto"/>
        </w:rPr>
        <w:t>无固废产生，</w:t>
      </w:r>
      <w:r w:rsidR="00007BA8" w:rsidRPr="00A964FF">
        <w:rPr>
          <w:rStyle w:val="00Char"/>
          <w:rFonts w:ascii="Calibri" w:hAnsi="Calibri" w:hint="eastAsia"/>
          <w:color w:val="auto"/>
        </w:rPr>
        <w:t>产生</w:t>
      </w:r>
      <w:r>
        <w:rPr>
          <w:rFonts w:hint="eastAsia"/>
          <w:sz w:val="24"/>
        </w:rPr>
        <w:t>聚合</w:t>
      </w:r>
      <w:r>
        <w:rPr>
          <w:sz w:val="24"/>
        </w:rPr>
        <w:t>冷凝液</w:t>
      </w:r>
      <w:r w:rsidRPr="00957DC6">
        <w:rPr>
          <w:rFonts w:hint="eastAsia"/>
          <w:sz w:val="24"/>
        </w:rPr>
        <w:t>、废气喷淋系统废水、</w:t>
      </w:r>
      <w:r>
        <w:rPr>
          <w:rFonts w:hint="eastAsia"/>
          <w:sz w:val="24"/>
        </w:rPr>
        <w:t>制粒系统冷却废水、</w:t>
      </w:r>
      <w:r w:rsidRPr="00957DC6">
        <w:rPr>
          <w:rFonts w:hint="eastAsia"/>
          <w:sz w:val="24"/>
        </w:rPr>
        <w:t>聚合真空系统废水、地面冲洗废水废水、生产区初期雨水及生活污水</w:t>
      </w:r>
      <w:r w:rsidR="00007BA8" w:rsidRPr="00A964FF">
        <w:rPr>
          <w:rStyle w:val="00Char"/>
          <w:rFonts w:ascii="Calibri" w:hAnsi="Calibri" w:hint="eastAsia"/>
          <w:color w:val="auto"/>
        </w:rPr>
        <w:t>进入废水处理站进行生化</w:t>
      </w:r>
      <w:r w:rsidR="009C080A" w:rsidRPr="00A964FF">
        <w:rPr>
          <w:rStyle w:val="00Char"/>
          <w:rFonts w:ascii="Calibri" w:hAnsi="Calibri" w:hint="eastAsia"/>
          <w:color w:val="auto"/>
        </w:rPr>
        <w:t>处理，经处理后达标后通过厂区总排放口排入</w:t>
      </w:r>
      <w:r w:rsidR="00007BA8" w:rsidRPr="00A964FF">
        <w:rPr>
          <w:rStyle w:val="00Char"/>
          <w:rFonts w:ascii="Calibri" w:hAnsi="Calibri" w:hint="eastAsia"/>
          <w:color w:val="auto"/>
        </w:rPr>
        <w:t>集聚区</w:t>
      </w:r>
      <w:r w:rsidR="00D066C2" w:rsidRPr="00A964FF">
        <w:rPr>
          <w:rStyle w:val="00Char"/>
          <w:rFonts w:ascii="Calibri" w:hAnsi="Calibri" w:hint="eastAsia"/>
          <w:color w:val="auto"/>
        </w:rPr>
        <w:t>污水处理厂</w:t>
      </w:r>
      <w:r w:rsidR="009C080A" w:rsidRPr="00A964FF">
        <w:rPr>
          <w:rStyle w:val="00Char"/>
          <w:rFonts w:ascii="Calibri" w:hAnsi="Calibri" w:hint="eastAsia"/>
          <w:color w:val="auto"/>
        </w:rPr>
        <w:t>集中处理。废水处理站各构筑物均采取严格的防渗漏措施，正常工况下不会发生废水</w:t>
      </w:r>
      <w:r w:rsidR="00007BA8" w:rsidRPr="00A964FF">
        <w:rPr>
          <w:rStyle w:val="00Char"/>
          <w:rFonts w:ascii="Calibri" w:hAnsi="Calibri" w:hint="eastAsia"/>
          <w:color w:val="auto"/>
        </w:rPr>
        <w:t>污染物</w:t>
      </w:r>
      <w:r w:rsidR="00E27464" w:rsidRPr="00A964FF">
        <w:rPr>
          <w:rStyle w:val="00Char"/>
          <w:rFonts w:ascii="Calibri" w:hAnsi="Calibri" w:hint="eastAsia"/>
          <w:color w:val="auto"/>
        </w:rPr>
        <w:t>的</w:t>
      </w:r>
      <w:r w:rsidR="009C080A" w:rsidRPr="00A964FF">
        <w:rPr>
          <w:rStyle w:val="00Char"/>
          <w:rFonts w:ascii="Calibri" w:hAnsi="Calibri" w:hint="eastAsia"/>
          <w:color w:val="auto"/>
        </w:rPr>
        <w:t>泄漏。</w:t>
      </w:r>
    </w:p>
    <w:p w14:paraId="7DA78550" w14:textId="77777777" w:rsidR="009C080A" w:rsidRPr="00A964FF" w:rsidRDefault="009C080A" w:rsidP="002C5DEA">
      <w:pPr>
        <w:spacing w:line="520" w:lineRule="exact"/>
        <w:ind w:right="62" w:firstLineChars="200" w:firstLine="480"/>
        <w:rPr>
          <w:rFonts w:ascii="Calibri" w:hAnsi="Calibri"/>
          <w:color w:val="auto"/>
          <w:sz w:val="24"/>
        </w:rPr>
      </w:pPr>
      <w:r w:rsidRPr="00A964FF">
        <w:rPr>
          <w:rFonts w:ascii="Calibri" w:hAnsi="Calibri" w:hint="eastAsia"/>
          <w:color w:val="auto"/>
          <w:sz w:val="24"/>
        </w:rPr>
        <w:t>本项目厂区</w:t>
      </w:r>
      <w:r w:rsidR="002C5DEA">
        <w:rPr>
          <w:rFonts w:ascii="Calibri" w:hAnsi="Calibri" w:hint="eastAsia"/>
          <w:color w:val="auto"/>
          <w:sz w:val="24"/>
        </w:rPr>
        <w:t>原料</w:t>
      </w:r>
      <w:r w:rsidR="002C5DEA">
        <w:rPr>
          <w:rFonts w:ascii="Calibri" w:hAnsi="Calibri"/>
          <w:color w:val="auto"/>
          <w:sz w:val="24"/>
        </w:rPr>
        <w:t>采用桶</w:t>
      </w:r>
      <w:r w:rsidR="002C5DEA">
        <w:rPr>
          <w:rFonts w:ascii="Calibri" w:hAnsi="Calibri" w:hint="eastAsia"/>
          <w:color w:val="auto"/>
          <w:sz w:val="24"/>
        </w:rPr>
        <w:t>装</w:t>
      </w:r>
      <w:r w:rsidR="002C5DEA">
        <w:rPr>
          <w:rFonts w:ascii="Calibri" w:hAnsi="Calibri"/>
          <w:color w:val="auto"/>
          <w:sz w:val="24"/>
        </w:rPr>
        <w:t>和袋装，不设置罐区。</w:t>
      </w:r>
      <w:r w:rsidR="002C5DEA">
        <w:rPr>
          <w:rFonts w:ascii="Calibri" w:hAnsi="Calibri" w:hint="eastAsia"/>
          <w:color w:val="auto"/>
          <w:sz w:val="24"/>
        </w:rPr>
        <w:t>桶装液态</w:t>
      </w:r>
      <w:r w:rsidR="002C5DEA">
        <w:rPr>
          <w:rFonts w:ascii="Calibri" w:hAnsi="Calibri"/>
          <w:color w:val="auto"/>
          <w:sz w:val="24"/>
        </w:rPr>
        <w:t>原料储存区</w:t>
      </w:r>
      <w:r w:rsidRPr="00A964FF">
        <w:rPr>
          <w:rFonts w:ascii="Calibri" w:hAnsi="Calibri" w:hint="eastAsia"/>
          <w:color w:val="auto"/>
          <w:sz w:val="24"/>
        </w:rPr>
        <w:t>设置有围</w:t>
      </w:r>
      <w:r w:rsidRPr="00A964FF">
        <w:rPr>
          <w:rFonts w:ascii="Calibri" w:hAnsi="Calibri" w:hint="eastAsia"/>
          <w:color w:val="auto"/>
          <w:sz w:val="24"/>
        </w:rPr>
        <w:lastRenderedPageBreak/>
        <w:t>堰，正常情况下</w:t>
      </w:r>
      <w:r w:rsidRPr="00A964FF">
        <w:rPr>
          <w:rStyle w:val="00Char"/>
          <w:rFonts w:ascii="Calibri" w:hAnsi="Calibri" w:hint="eastAsia"/>
          <w:color w:val="auto"/>
        </w:rPr>
        <w:t>不会发生污染物的泄漏。</w:t>
      </w:r>
      <w:r w:rsidR="000101B0" w:rsidRPr="00A964FF">
        <w:rPr>
          <w:rFonts w:ascii="Calibri" w:hAnsi="Calibri" w:hint="eastAsia"/>
          <w:color w:val="auto"/>
          <w:sz w:val="24"/>
        </w:rPr>
        <w:t>厂区设置有事故池</w:t>
      </w:r>
      <w:r w:rsidRPr="00A964FF">
        <w:rPr>
          <w:rFonts w:ascii="Calibri" w:hAnsi="Calibri" w:hint="eastAsia"/>
          <w:color w:val="auto"/>
          <w:sz w:val="24"/>
        </w:rPr>
        <w:t>和初期雨水收集池，</w:t>
      </w:r>
      <w:r w:rsidR="00E27464" w:rsidRPr="00A964FF">
        <w:rPr>
          <w:rFonts w:ascii="Calibri" w:hAnsi="Calibri" w:hint="eastAsia"/>
          <w:color w:val="auto"/>
          <w:sz w:val="24"/>
        </w:rPr>
        <w:t>池底、池壁均采取防渗措施</w:t>
      </w:r>
      <w:r w:rsidR="000101B0" w:rsidRPr="00A964FF">
        <w:rPr>
          <w:rFonts w:ascii="Calibri" w:hAnsi="Calibri" w:hint="eastAsia"/>
          <w:color w:val="auto"/>
          <w:sz w:val="24"/>
        </w:rPr>
        <w:t>。正常情况下，事故</w:t>
      </w:r>
      <w:r w:rsidRPr="00A964FF">
        <w:rPr>
          <w:rFonts w:ascii="Calibri" w:hAnsi="Calibri" w:hint="eastAsia"/>
          <w:color w:val="auto"/>
          <w:sz w:val="24"/>
        </w:rPr>
        <w:t>池和初期雨水收集池为空置状态，不会发生污染物的泄漏。</w:t>
      </w:r>
    </w:p>
    <w:p w14:paraId="1EB23850" w14:textId="77777777" w:rsidR="009C080A" w:rsidRPr="00A964FF" w:rsidRDefault="009C080A" w:rsidP="009C080A">
      <w:pPr>
        <w:spacing w:line="520" w:lineRule="exact"/>
        <w:ind w:right="62" w:firstLineChars="200" w:firstLine="480"/>
        <w:rPr>
          <w:rStyle w:val="00Char"/>
          <w:rFonts w:ascii="Calibri" w:hAnsi="Calibri"/>
          <w:color w:val="auto"/>
        </w:rPr>
      </w:pPr>
      <w:r w:rsidRPr="00A964FF">
        <w:rPr>
          <w:rFonts w:ascii="Calibri" w:hAnsi="Calibri" w:hint="eastAsia"/>
          <w:color w:val="auto"/>
          <w:sz w:val="24"/>
        </w:rPr>
        <w:t>本项目在正常情况下，危险废物按液态或固态进行分类收集</w:t>
      </w:r>
      <w:r w:rsidR="00E27464" w:rsidRPr="00A964FF">
        <w:rPr>
          <w:rFonts w:ascii="Calibri" w:hAnsi="Calibri" w:hint="eastAsia"/>
          <w:color w:val="auto"/>
          <w:sz w:val="24"/>
        </w:rPr>
        <w:t>后暂存于危废</w:t>
      </w:r>
      <w:r w:rsidRPr="00A964FF">
        <w:rPr>
          <w:rStyle w:val="00Char"/>
          <w:rFonts w:ascii="Calibri" w:hAnsi="Calibri" w:hint="eastAsia"/>
          <w:color w:val="auto"/>
        </w:rPr>
        <w:t>暂存间</w:t>
      </w:r>
      <w:r w:rsidR="00E27464" w:rsidRPr="00A964FF">
        <w:rPr>
          <w:rStyle w:val="00Char"/>
          <w:rFonts w:ascii="Calibri" w:hAnsi="Calibri" w:hint="eastAsia"/>
          <w:color w:val="auto"/>
        </w:rPr>
        <w:t>，并</w:t>
      </w:r>
      <w:r w:rsidRPr="00A964FF">
        <w:rPr>
          <w:rStyle w:val="00Char"/>
          <w:rFonts w:ascii="Calibri" w:hAnsi="Calibri" w:hint="eastAsia"/>
          <w:color w:val="auto"/>
        </w:rPr>
        <w:t>委托资质单位进行安全处置。全厂的地面</w:t>
      </w:r>
      <w:r w:rsidR="00E27464" w:rsidRPr="00A964FF">
        <w:rPr>
          <w:rStyle w:val="00Char"/>
          <w:rFonts w:ascii="Calibri" w:hAnsi="Calibri" w:hint="eastAsia"/>
          <w:color w:val="auto"/>
        </w:rPr>
        <w:t>和废水处理站构筑物</w:t>
      </w:r>
      <w:r w:rsidRPr="00A964FF">
        <w:rPr>
          <w:rStyle w:val="00Char"/>
          <w:rFonts w:ascii="Calibri" w:hAnsi="Calibri" w:hint="eastAsia"/>
          <w:color w:val="auto"/>
        </w:rPr>
        <w:t>防渗严格按照《石油化工工程防渗技术规范》（</w:t>
      </w:r>
      <w:r w:rsidRPr="00A964FF">
        <w:rPr>
          <w:rStyle w:val="00Char"/>
          <w:rFonts w:ascii="Calibri" w:hAnsi="Calibri" w:hint="eastAsia"/>
          <w:color w:val="auto"/>
        </w:rPr>
        <w:t>GB/T50934-2013</w:t>
      </w:r>
      <w:r w:rsidRPr="00A964FF">
        <w:rPr>
          <w:rStyle w:val="00Char"/>
          <w:rFonts w:ascii="Calibri" w:hAnsi="Calibri" w:hint="eastAsia"/>
          <w:color w:val="auto"/>
        </w:rPr>
        <w:t>）进行设计。因此</w:t>
      </w:r>
      <w:r w:rsidR="00A44D0C" w:rsidRPr="00A964FF">
        <w:rPr>
          <w:rStyle w:val="00Char"/>
          <w:rFonts w:ascii="Calibri" w:hAnsi="Calibri" w:hint="eastAsia"/>
          <w:color w:val="auto"/>
        </w:rPr>
        <w:t>，在</w:t>
      </w:r>
      <w:r w:rsidRPr="00A964FF">
        <w:rPr>
          <w:rStyle w:val="00Char"/>
          <w:rFonts w:ascii="Calibri" w:hAnsi="Calibri" w:hint="eastAsia"/>
          <w:color w:val="auto"/>
        </w:rPr>
        <w:t>正常</w:t>
      </w:r>
      <w:r w:rsidR="00A44D0C" w:rsidRPr="00A964FF">
        <w:rPr>
          <w:rStyle w:val="00Char"/>
          <w:rFonts w:ascii="Calibri" w:hAnsi="Calibri" w:hint="eastAsia"/>
          <w:color w:val="auto"/>
        </w:rPr>
        <w:t>情况</w:t>
      </w:r>
      <w:r w:rsidRPr="00A964FF">
        <w:rPr>
          <w:rStyle w:val="00Char"/>
          <w:rFonts w:ascii="Calibri" w:hAnsi="Calibri" w:hint="eastAsia"/>
          <w:color w:val="auto"/>
        </w:rPr>
        <w:t>下</w:t>
      </w:r>
      <w:r w:rsidR="00E27464" w:rsidRPr="00A964FF">
        <w:rPr>
          <w:rStyle w:val="00Char"/>
          <w:rFonts w:ascii="Calibri" w:hAnsi="Calibri" w:hint="eastAsia"/>
          <w:color w:val="auto"/>
        </w:rPr>
        <w:t>，</w:t>
      </w:r>
      <w:r w:rsidRPr="00A964FF">
        <w:rPr>
          <w:rStyle w:val="00Char"/>
          <w:rFonts w:ascii="Calibri" w:hAnsi="Calibri" w:hint="eastAsia"/>
          <w:color w:val="auto"/>
        </w:rPr>
        <w:t>本项目</w:t>
      </w:r>
      <w:r w:rsidR="00A44D0C" w:rsidRPr="00A964FF">
        <w:rPr>
          <w:rStyle w:val="00Char"/>
          <w:rFonts w:ascii="Calibri" w:hAnsi="Calibri" w:hint="eastAsia"/>
          <w:color w:val="auto"/>
        </w:rPr>
        <w:t>生产不会造成地下水污染。而在非正常情况</w:t>
      </w:r>
      <w:r w:rsidRPr="00A964FF">
        <w:rPr>
          <w:rStyle w:val="00Char"/>
          <w:rFonts w:ascii="Calibri" w:hAnsi="Calibri" w:hint="eastAsia"/>
          <w:color w:val="auto"/>
        </w:rPr>
        <w:t>下，</w:t>
      </w:r>
      <w:r w:rsidR="00A44D0C" w:rsidRPr="00A964FF">
        <w:rPr>
          <w:rStyle w:val="00Char"/>
          <w:rFonts w:ascii="Calibri" w:hAnsi="Calibri" w:hint="eastAsia"/>
          <w:color w:val="auto"/>
        </w:rPr>
        <w:t>本项目</w:t>
      </w:r>
      <w:r w:rsidRPr="00A964FF">
        <w:rPr>
          <w:rStyle w:val="00Char"/>
          <w:rFonts w:ascii="Calibri" w:hAnsi="Calibri" w:hint="eastAsia"/>
          <w:color w:val="auto"/>
        </w:rPr>
        <w:t>厂区发生物料、废水、废液等泄露，且防渗层有破损的情况下，则可能发生地下水污染。</w:t>
      </w:r>
    </w:p>
    <w:p w14:paraId="36271E6B" w14:textId="77777777" w:rsidR="009C080A" w:rsidRPr="00A964FF" w:rsidRDefault="009C080A" w:rsidP="009C080A">
      <w:pPr>
        <w:spacing w:line="520" w:lineRule="exact"/>
        <w:ind w:right="62" w:firstLineChars="200" w:firstLine="480"/>
        <w:rPr>
          <w:rStyle w:val="00Char"/>
          <w:rFonts w:ascii="Calibri" w:hAnsi="Calibri"/>
          <w:color w:val="auto"/>
        </w:rPr>
      </w:pPr>
      <w:r w:rsidRPr="00A964FF">
        <w:rPr>
          <w:rStyle w:val="00Char"/>
          <w:rFonts w:ascii="Calibri" w:hAnsi="Calibri" w:hint="eastAsia"/>
          <w:color w:val="auto"/>
        </w:rPr>
        <w:t>因此，本项目地下水污染源主要包括以下几个部分：</w:t>
      </w:r>
    </w:p>
    <w:p w14:paraId="15C6C20B" w14:textId="77777777" w:rsidR="009C080A" w:rsidRPr="005258F3" w:rsidRDefault="005258F3" w:rsidP="005258F3">
      <w:pPr>
        <w:spacing w:line="520" w:lineRule="exact"/>
        <w:ind w:right="62" w:firstLine="480"/>
        <w:rPr>
          <w:color w:val="auto"/>
          <w:sz w:val="24"/>
        </w:rPr>
      </w:pPr>
      <w:r w:rsidRPr="005258F3">
        <w:rPr>
          <w:rStyle w:val="00Char"/>
          <w:rFonts w:ascii="Calibri" w:hAnsi="Calibri" w:hint="eastAsia"/>
          <w:color w:val="auto"/>
        </w:rPr>
        <w:t>①</w:t>
      </w:r>
      <w:r w:rsidR="009C080A" w:rsidRPr="005258F3">
        <w:rPr>
          <w:rFonts w:ascii="Calibri" w:hAnsi="Calibri" w:hint="eastAsia"/>
          <w:color w:val="auto"/>
          <w:sz w:val="24"/>
        </w:rPr>
        <w:t>废</w:t>
      </w:r>
      <w:r w:rsidR="009C080A" w:rsidRPr="005258F3">
        <w:rPr>
          <w:rFonts w:hint="eastAsia"/>
          <w:color w:val="auto"/>
          <w:sz w:val="24"/>
        </w:rPr>
        <w:t>水处理站预处理系统</w:t>
      </w:r>
      <w:r w:rsidR="00A44D0C" w:rsidRPr="005258F3">
        <w:rPr>
          <w:rFonts w:hint="eastAsia"/>
          <w:color w:val="auto"/>
          <w:sz w:val="24"/>
        </w:rPr>
        <w:t>废水</w:t>
      </w:r>
      <w:r w:rsidR="009C080A" w:rsidRPr="005258F3">
        <w:rPr>
          <w:rFonts w:hint="eastAsia"/>
          <w:color w:val="auto"/>
          <w:sz w:val="24"/>
        </w:rPr>
        <w:t>的事故性泄漏。</w:t>
      </w:r>
    </w:p>
    <w:p w14:paraId="050EEB4E" w14:textId="77777777" w:rsidR="005258F3" w:rsidRPr="005258F3" w:rsidRDefault="005258F3" w:rsidP="005258F3">
      <w:pPr>
        <w:spacing w:line="520" w:lineRule="exact"/>
        <w:ind w:right="62" w:firstLineChars="200" w:firstLine="480"/>
        <w:rPr>
          <w:rStyle w:val="00Char"/>
          <w:rFonts w:ascii="Calibri" w:hAnsi="Calibri"/>
          <w:color w:val="auto"/>
        </w:rPr>
      </w:pPr>
      <w:r w:rsidRPr="00A964FF">
        <w:rPr>
          <w:rFonts w:ascii="Calibri" w:hAnsi="Calibri" w:hint="eastAsia"/>
          <w:color w:val="auto"/>
          <w:sz w:val="24"/>
        </w:rPr>
        <w:t>②</w:t>
      </w:r>
      <w:r>
        <w:rPr>
          <w:rStyle w:val="00Char"/>
          <w:rFonts w:ascii="Calibri" w:hAnsi="Calibri" w:hint="eastAsia"/>
          <w:color w:val="auto"/>
        </w:rPr>
        <w:t>原料</w:t>
      </w:r>
      <w:r>
        <w:rPr>
          <w:rStyle w:val="00Char"/>
          <w:rFonts w:ascii="Calibri" w:hAnsi="Calibri"/>
          <w:color w:val="auto"/>
        </w:rPr>
        <w:t>仓库及</w:t>
      </w:r>
      <w:r w:rsidRPr="00A964FF">
        <w:rPr>
          <w:rFonts w:ascii="Calibri" w:hAnsi="Calibri" w:hint="eastAsia"/>
          <w:color w:val="auto"/>
          <w:sz w:val="24"/>
        </w:rPr>
        <w:t>危废暂存间液态危险废物的事故性泄漏。</w:t>
      </w:r>
    </w:p>
    <w:p w14:paraId="2865B181" w14:textId="77777777" w:rsidR="0076070C" w:rsidRPr="00A964FF" w:rsidRDefault="009C080A" w:rsidP="009C080A">
      <w:pPr>
        <w:spacing w:line="520" w:lineRule="exact"/>
        <w:ind w:right="62" w:firstLineChars="200" w:firstLine="480"/>
        <w:rPr>
          <w:rStyle w:val="00Char"/>
          <w:rFonts w:ascii="Calibri" w:hAnsi="Calibri"/>
          <w:color w:val="auto"/>
        </w:rPr>
      </w:pPr>
      <w:r w:rsidRPr="00A964FF">
        <w:rPr>
          <w:rStyle w:val="00Char"/>
          <w:rFonts w:ascii="Calibri" w:hAnsi="Calibri" w:hint="eastAsia"/>
          <w:color w:val="auto"/>
        </w:rPr>
        <w:t>（</w:t>
      </w:r>
      <w:r w:rsidRPr="00A964FF">
        <w:rPr>
          <w:rStyle w:val="00Char"/>
          <w:rFonts w:ascii="Calibri" w:hAnsi="Calibri" w:hint="eastAsia"/>
          <w:color w:val="auto"/>
        </w:rPr>
        <w:t>2</w:t>
      </w:r>
      <w:r w:rsidRPr="00A964FF">
        <w:rPr>
          <w:rStyle w:val="00Char"/>
          <w:rFonts w:ascii="Calibri" w:hAnsi="Calibri" w:hint="eastAsia"/>
          <w:color w:val="auto"/>
        </w:rPr>
        <w:t>）污染途径分析</w:t>
      </w:r>
    </w:p>
    <w:p w14:paraId="6057751B" w14:textId="77777777" w:rsidR="0076070C" w:rsidRPr="00A964FF" w:rsidRDefault="00895D72" w:rsidP="00895D72">
      <w:pPr>
        <w:spacing w:line="520" w:lineRule="exact"/>
        <w:ind w:right="62" w:firstLineChars="200" w:firstLine="480"/>
        <w:rPr>
          <w:rStyle w:val="00Char"/>
          <w:rFonts w:ascii="Calibri" w:hAnsi="Calibri"/>
          <w:color w:val="auto"/>
        </w:rPr>
      </w:pPr>
      <w:r w:rsidRPr="00A964FF">
        <w:rPr>
          <w:rStyle w:val="00Char"/>
          <w:rFonts w:ascii="Calibri" w:hAnsi="Calibri" w:hint="eastAsia"/>
          <w:color w:val="auto"/>
        </w:rPr>
        <w:t>本项目</w:t>
      </w:r>
      <w:r w:rsidR="005258F3">
        <w:rPr>
          <w:rStyle w:val="00Char"/>
          <w:rFonts w:ascii="Calibri" w:hAnsi="Calibri" w:hint="eastAsia"/>
          <w:color w:val="auto"/>
        </w:rPr>
        <w:t>原料</w:t>
      </w:r>
      <w:r w:rsidR="00A44D0C" w:rsidRPr="00A964FF">
        <w:rPr>
          <w:rStyle w:val="00Char"/>
          <w:rFonts w:ascii="Calibri" w:hAnsi="Calibri" w:hint="eastAsia"/>
          <w:color w:val="auto"/>
        </w:rPr>
        <w:t>仓库、危废暂存间</w:t>
      </w:r>
      <w:r w:rsidRPr="00A964FF">
        <w:rPr>
          <w:rStyle w:val="00Char"/>
          <w:rFonts w:ascii="Calibri" w:hAnsi="Calibri" w:hint="eastAsia"/>
          <w:color w:val="auto"/>
        </w:rPr>
        <w:t>以及物料地上输送管道在生产运行过程中可能会发生物料的跑冒滴漏现象，事故状态下也可能出现大规模泄漏。泄漏的污染物首先到达地面，如果地面防渗措施不到位，污染物会因垂直渗透作用进入包气带。如果泄漏的污染物量有限，则大部分污染物会暂时被包气带的土壤截流，然后随着雨水的下渗补给通过雨水慢慢进入地下水潜水层；如果泄漏的污染物量较大，则这些物质将会穿透包气带直接到达地下水潜水面。埋地设施（废水处理站构筑物）若发生池壁和底部破损，且池内有污染物存在时，污染物将直接进入地下水</w:t>
      </w:r>
      <w:r w:rsidR="00A44D0C" w:rsidRPr="00A964FF">
        <w:rPr>
          <w:rStyle w:val="00Char"/>
          <w:rFonts w:ascii="Calibri" w:hAnsi="Calibri" w:hint="eastAsia"/>
          <w:color w:val="auto"/>
        </w:rPr>
        <w:t>，</w:t>
      </w:r>
      <w:r w:rsidRPr="00A964FF">
        <w:rPr>
          <w:rStyle w:val="00Char"/>
          <w:rFonts w:ascii="Calibri" w:hAnsi="Calibri" w:hint="eastAsia"/>
          <w:color w:val="auto"/>
        </w:rPr>
        <w:t>达到地下水潜水层的污染物会随着地下水流的运动而迁移扩散。</w:t>
      </w:r>
    </w:p>
    <w:p w14:paraId="16348572" w14:textId="77777777" w:rsidR="0055605A" w:rsidRPr="00A964FF" w:rsidRDefault="00285DB0" w:rsidP="0055605A">
      <w:pPr>
        <w:spacing w:line="520" w:lineRule="exact"/>
        <w:ind w:firstLineChars="200" w:firstLine="482"/>
        <w:rPr>
          <w:rFonts w:ascii="Calibri" w:hAnsi="Calibri"/>
          <w:b/>
          <w:color w:val="auto"/>
          <w:sz w:val="24"/>
        </w:rPr>
      </w:pPr>
      <w:r>
        <w:rPr>
          <w:rFonts w:ascii="Calibri" w:hAnsi="Calibri"/>
          <w:b/>
          <w:color w:val="auto"/>
          <w:sz w:val="24"/>
        </w:rPr>
        <w:t>7</w:t>
      </w:r>
      <w:r w:rsidR="0055605A" w:rsidRPr="00A964FF">
        <w:rPr>
          <w:rFonts w:ascii="Calibri" w:hAnsi="Calibri" w:hint="eastAsia"/>
          <w:b/>
          <w:color w:val="auto"/>
          <w:sz w:val="24"/>
        </w:rPr>
        <w:t>、预测情景设置</w:t>
      </w:r>
    </w:p>
    <w:p w14:paraId="77F02AD2" w14:textId="77777777" w:rsidR="00C94C38" w:rsidRPr="00A964FF" w:rsidRDefault="00C94C38" w:rsidP="00C94C38">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）正常状况</w:t>
      </w:r>
    </w:p>
    <w:p w14:paraId="53A7B445" w14:textId="77777777" w:rsidR="00C94C38" w:rsidRPr="00A964FF" w:rsidRDefault="00A44D0C" w:rsidP="005258F3">
      <w:pPr>
        <w:spacing w:line="520" w:lineRule="exact"/>
        <w:ind w:right="62" w:firstLineChars="200" w:firstLine="480"/>
        <w:rPr>
          <w:rFonts w:ascii="Calibri" w:hAnsi="Calibri"/>
          <w:color w:val="auto"/>
          <w:sz w:val="24"/>
        </w:rPr>
      </w:pPr>
      <w:r w:rsidRPr="00A964FF">
        <w:rPr>
          <w:rFonts w:ascii="Calibri" w:hAnsi="Calibri" w:hint="eastAsia"/>
          <w:color w:val="auto"/>
          <w:sz w:val="24"/>
        </w:rPr>
        <w:t>根据</w:t>
      </w:r>
      <w:r w:rsidR="00C94C38" w:rsidRPr="00A964FF">
        <w:rPr>
          <w:rFonts w:ascii="Calibri" w:hAnsi="Calibri" w:hint="eastAsia"/>
          <w:color w:val="auto"/>
          <w:sz w:val="24"/>
        </w:rPr>
        <w:t>项目</w:t>
      </w:r>
      <w:r w:rsidR="004C6437" w:rsidRPr="00A964FF">
        <w:rPr>
          <w:rFonts w:ascii="Calibri" w:hAnsi="Calibri" w:hint="eastAsia"/>
          <w:color w:val="auto"/>
          <w:sz w:val="24"/>
        </w:rPr>
        <w:t>设计方案，</w:t>
      </w:r>
      <w:r w:rsidR="00713892" w:rsidRPr="00A964FF">
        <w:rPr>
          <w:rFonts w:ascii="Calibri" w:hAnsi="Calibri" w:hint="eastAsia"/>
          <w:color w:val="auto"/>
          <w:sz w:val="24"/>
        </w:rPr>
        <w:t>本项目厂区设计有原料</w:t>
      </w:r>
      <w:r w:rsidR="00A21911">
        <w:rPr>
          <w:rFonts w:ascii="Calibri" w:hAnsi="Calibri" w:hint="eastAsia"/>
          <w:color w:val="auto"/>
          <w:sz w:val="24"/>
        </w:rPr>
        <w:t>仓库</w:t>
      </w:r>
      <w:r w:rsidRPr="00A964FF">
        <w:rPr>
          <w:rFonts w:ascii="Calibri" w:hAnsi="Calibri" w:hint="eastAsia"/>
          <w:color w:val="auto"/>
          <w:sz w:val="24"/>
        </w:rPr>
        <w:t>，</w:t>
      </w:r>
      <w:r w:rsidR="00895D72" w:rsidRPr="00A964FF">
        <w:rPr>
          <w:rFonts w:ascii="Calibri" w:hAnsi="Calibri" w:hint="eastAsia"/>
          <w:color w:val="auto"/>
          <w:sz w:val="24"/>
        </w:rPr>
        <w:t>对生产过程中涉及的各类液态物料进行罐装</w:t>
      </w:r>
      <w:r w:rsidR="005258F3">
        <w:rPr>
          <w:rFonts w:ascii="Calibri" w:hAnsi="Calibri" w:hint="eastAsia"/>
          <w:color w:val="auto"/>
          <w:sz w:val="24"/>
        </w:rPr>
        <w:t>或者</w:t>
      </w:r>
      <w:r w:rsidR="005258F3">
        <w:rPr>
          <w:rFonts w:ascii="Calibri" w:hAnsi="Calibri"/>
          <w:color w:val="auto"/>
          <w:sz w:val="24"/>
        </w:rPr>
        <w:t>桶装</w:t>
      </w:r>
      <w:r w:rsidR="00895D72" w:rsidRPr="00A964FF">
        <w:rPr>
          <w:rFonts w:ascii="Calibri" w:hAnsi="Calibri" w:hint="eastAsia"/>
          <w:color w:val="auto"/>
          <w:sz w:val="24"/>
        </w:rPr>
        <w:t>储存。</w:t>
      </w:r>
      <w:r w:rsidR="00C94C38" w:rsidRPr="00A964FF">
        <w:rPr>
          <w:rFonts w:ascii="Calibri" w:hAnsi="Calibri" w:hint="eastAsia"/>
          <w:color w:val="auto"/>
          <w:sz w:val="24"/>
        </w:rPr>
        <w:t>生产过程中产生的危险废物</w:t>
      </w:r>
      <w:r w:rsidR="00895D72" w:rsidRPr="00A964FF">
        <w:rPr>
          <w:rFonts w:ascii="Calibri" w:hAnsi="Calibri" w:hint="eastAsia"/>
          <w:color w:val="auto"/>
          <w:sz w:val="24"/>
        </w:rPr>
        <w:t>按液态和固态进行分类收集，液态</w:t>
      </w:r>
      <w:r w:rsidRPr="00A964FF">
        <w:rPr>
          <w:rFonts w:ascii="Calibri" w:hAnsi="Calibri" w:hint="eastAsia"/>
          <w:color w:val="auto"/>
          <w:sz w:val="24"/>
        </w:rPr>
        <w:t>危险废物采用密闭废液罐储存</w:t>
      </w:r>
      <w:r w:rsidR="00895D72" w:rsidRPr="00A964FF">
        <w:rPr>
          <w:rStyle w:val="00Char"/>
          <w:rFonts w:ascii="Calibri" w:hAnsi="Calibri" w:hint="eastAsia"/>
          <w:color w:val="auto"/>
        </w:rPr>
        <w:t>，</w:t>
      </w:r>
      <w:r w:rsidRPr="00A964FF">
        <w:rPr>
          <w:rStyle w:val="00Char"/>
          <w:rFonts w:ascii="Calibri" w:hAnsi="Calibri" w:hint="eastAsia"/>
          <w:color w:val="auto"/>
        </w:rPr>
        <w:t>各类危险固废均储存在</w:t>
      </w:r>
      <w:r w:rsidR="00895D72" w:rsidRPr="00A964FF">
        <w:rPr>
          <w:rStyle w:val="00Char"/>
          <w:rFonts w:ascii="Calibri" w:hAnsi="Calibri" w:hint="eastAsia"/>
          <w:color w:val="auto"/>
        </w:rPr>
        <w:t>危废暂存间并委托资质单位进行安全处置。</w:t>
      </w:r>
      <w:r w:rsidR="00895D72" w:rsidRPr="00A964FF">
        <w:rPr>
          <w:rFonts w:ascii="Calibri" w:hAnsi="Calibri" w:hint="eastAsia"/>
          <w:color w:val="auto"/>
          <w:sz w:val="24"/>
        </w:rPr>
        <w:t>本项目</w:t>
      </w:r>
      <w:r w:rsidR="005258F3">
        <w:rPr>
          <w:rFonts w:ascii="Calibri" w:hAnsi="Calibri" w:hint="eastAsia"/>
          <w:color w:val="auto"/>
          <w:sz w:val="24"/>
        </w:rPr>
        <w:t>原料</w:t>
      </w:r>
      <w:r w:rsidRPr="00A964FF">
        <w:rPr>
          <w:rFonts w:ascii="Calibri" w:hAnsi="Calibri" w:hint="eastAsia"/>
          <w:color w:val="auto"/>
          <w:sz w:val="24"/>
        </w:rPr>
        <w:t>仓库、危废暂存间及</w:t>
      </w:r>
      <w:r w:rsidR="00895D72" w:rsidRPr="00A964FF">
        <w:rPr>
          <w:rFonts w:ascii="Calibri" w:hAnsi="Calibri" w:hint="eastAsia"/>
          <w:color w:val="auto"/>
          <w:sz w:val="24"/>
        </w:rPr>
        <w:t>废水处理</w:t>
      </w:r>
      <w:r w:rsidRPr="00A964FF">
        <w:rPr>
          <w:rFonts w:ascii="Calibri" w:hAnsi="Calibri" w:hint="eastAsia"/>
          <w:color w:val="auto"/>
          <w:sz w:val="24"/>
        </w:rPr>
        <w:t>站</w:t>
      </w:r>
      <w:r w:rsidR="00895D72" w:rsidRPr="00A964FF">
        <w:rPr>
          <w:rFonts w:ascii="Calibri" w:hAnsi="Calibri" w:hint="eastAsia"/>
          <w:color w:val="auto"/>
          <w:sz w:val="24"/>
        </w:rPr>
        <w:t>均</w:t>
      </w:r>
      <w:r w:rsidR="00C94C38" w:rsidRPr="00A964FF">
        <w:rPr>
          <w:rFonts w:ascii="Calibri" w:hAnsi="Calibri" w:hint="eastAsia"/>
          <w:color w:val="auto"/>
          <w:sz w:val="24"/>
        </w:rPr>
        <w:t>按照《石</w:t>
      </w:r>
      <w:r w:rsidR="00C94C38" w:rsidRPr="00A964FF">
        <w:rPr>
          <w:rFonts w:ascii="Calibri" w:hAnsi="Calibri" w:hint="eastAsia"/>
          <w:color w:val="auto"/>
          <w:sz w:val="24"/>
        </w:rPr>
        <w:lastRenderedPageBreak/>
        <w:t>油化工工程防渗技术规范》（</w:t>
      </w:r>
      <w:r w:rsidR="00C94C38" w:rsidRPr="00A964FF">
        <w:rPr>
          <w:rFonts w:ascii="Calibri" w:hAnsi="Calibri"/>
          <w:color w:val="auto"/>
          <w:sz w:val="24"/>
        </w:rPr>
        <w:t>GB/T50934</w:t>
      </w:r>
      <w:r w:rsidR="00C94C38" w:rsidRPr="00A964FF">
        <w:rPr>
          <w:rFonts w:ascii="Calibri" w:hAnsi="Calibri" w:hint="eastAsia"/>
          <w:color w:val="auto"/>
          <w:sz w:val="24"/>
        </w:rPr>
        <w:t>）、《危险废物贮存污染控制标准》（</w:t>
      </w:r>
      <w:r w:rsidR="005F262E" w:rsidRPr="00A964FF">
        <w:rPr>
          <w:rFonts w:ascii="Calibri" w:hAnsi="Calibri"/>
          <w:color w:val="auto"/>
          <w:sz w:val="24"/>
        </w:rPr>
        <w:t>GB</w:t>
      </w:r>
      <w:r w:rsidR="00C94C38" w:rsidRPr="00A964FF">
        <w:rPr>
          <w:rFonts w:ascii="Calibri" w:hAnsi="Calibri"/>
          <w:color w:val="auto"/>
          <w:sz w:val="24"/>
        </w:rPr>
        <w:t>18597</w:t>
      </w:r>
      <w:r w:rsidR="00C94C38" w:rsidRPr="00A964FF">
        <w:rPr>
          <w:rFonts w:ascii="Calibri" w:hAnsi="Calibri" w:hint="eastAsia"/>
          <w:color w:val="auto"/>
          <w:sz w:val="24"/>
        </w:rPr>
        <w:t>）、《</w:t>
      </w:r>
      <w:r w:rsidR="00333928" w:rsidRPr="00A964FF">
        <w:rPr>
          <w:rFonts w:ascii="Calibri" w:hint="eastAsia"/>
          <w:bCs/>
          <w:color w:val="auto"/>
          <w:sz w:val="24"/>
        </w:rPr>
        <w:t>一般工业固体废物贮存和填埋污染控制标准</w:t>
      </w:r>
      <w:r w:rsidR="00C94C38" w:rsidRPr="00A964FF">
        <w:rPr>
          <w:rFonts w:ascii="Calibri" w:hAnsi="Calibri" w:hint="eastAsia"/>
          <w:color w:val="auto"/>
          <w:sz w:val="24"/>
        </w:rPr>
        <w:t>》（</w:t>
      </w:r>
      <w:r w:rsidR="00C94C38" w:rsidRPr="00A964FF">
        <w:rPr>
          <w:rFonts w:ascii="Calibri" w:hAnsi="Calibri"/>
          <w:color w:val="auto"/>
          <w:sz w:val="24"/>
        </w:rPr>
        <w:t>GB18599</w:t>
      </w:r>
      <w:r w:rsidR="00C94C38" w:rsidRPr="00A964FF">
        <w:rPr>
          <w:rFonts w:ascii="Calibri" w:hAnsi="Calibri" w:hint="eastAsia"/>
          <w:color w:val="auto"/>
          <w:sz w:val="24"/>
        </w:rPr>
        <w:t>）等相关规范设计地下水污染防渗措施，</w:t>
      </w:r>
      <w:r w:rsidR="00565A42" w:rsidRPr="00A964FF">
        <w:rPr>
          <w:rFonts w:ascii="Calibri" w:hAnsi="Calibri" w:hint="eastAsia"/>
          <w:color w:val="auto"/>
          <w:sz w:val="24"/>
        </w:rPr>
        <w:t>正常状况下厂区防渗达到相关规定要求，不</w:t>
      </w:r>
      <w:r w:rsidR="009B2CC4" w:rsidRPr="00A964FF">
        <w:rPr>
          <w:rFonts w:ascii="Calibri" w:hAnsi="Calibri" w:hint="eastAsia"/>
          <w:color w:val="auto"/>
          <w:sz w:val="24"/>
        </w:rPr>
        <w:t>会因</w:t>
      </w:r>
      <w:r w:rsidR="00895D72" w:rsidRPr="00A964FF">
        <w:rPr>
          <w:rFonts w:ascii="Calibri" w:hAnsi="Calibri" w:hint="eastAsia"/>
          <w:color w:val="auto"/>
          <w:sz w:val="24"/>
        </w:rPr>
        <w:t>生产</w:t>
      </w:r>
      <w:r w:rsidR="00565A42" w:rsidRPr="00A964FF">
        <w:rPr>
          <w:rFonts w:ascii="Calibri" w:hAnsi="Calibri" w:hint="eastAsia"/>
          <w:color w:val="auto"/>
          <w:sz w:val="24"/>
        </w:rPr>
        <w:t>装置或其它物料暴露而发生渗漏至地下水的情景发生。因此，</w:t>
      </w:r>
      <w:r w:rsidR="00C94C38" w:rsidRPr="00A964FF">
        <w:rPr>
          <w:rFonts w:ascii="Calibri" w:hAnsi="Calibri" w:hint="eastAsia"/>
          <w:color w:val="auto"/>
          <w:sz w:val="24"/>
        </w:rPr>
        <w:t>预计正常</w:t>
      </w:r>
      <w:r w:rsidR="009B2CC4" w:rsidRPr="00A964FF">
        <w:rPr>
          <w:rFonts w:ascii="Calibri" w:hAnsi="Calibri" w:hint="eastAsia"/>
          <w:color w:val="auto"/>
          <w:sz w:val="24"/>
        </w:rPr>
        <w:t>情况</w:t>
      </w:r>
      <w:r w:rsidR="00C94C38" w:rsidRPr="00A964FF">
        <w:rPr>
          <w:rFonts w:ascii="Calibri" w:hAnsi="Calibri" w:hint="eastAsia"/>
          <w:color w:val="auto"/>
          <w:sz w:val="24"/>
        </w:rPr>
        <w:t>下本项目不会</w:t>
      </w:r>
      <w:r w:rsidR="00895D72" w:rsidRPr="00A964FF">
        <w:rPr>
          <w:rFonts w:ascii="Calibri" w:hAnsi="Calibri" w:hint="eastAsia"/>
          <w:color w:val="auto"/>
          <w:sz w:val="24"/>
        </w:rPr>
        <w:t>造成</w:t>
      </w:r>
      <w:r w:rsidR="00C94C38" w:rsidRPr="00A964FF">
        <w:rPr>
          <w:rFonts w:ascii="Calibri" w:hAnsi="Calibri" w:hint="eastAsia"/>
          <w:color w:val="auto"/>
          <w:sz w:val="24"/>
        </w:rPr>
        <w:t>地下水</w:t>
      </w:r>
      <w:r w:rsidR="00895D72" w:rsidRPr="00A964FF">
        <w:rPr>
          <w:rFonts w:ascii="Calibri" w:hAnsi="Calibri" w:hint="eastAsia"/>
          <w:color w:val="auto"/>
          <w:sz w:val="24"/>
        </w:rPr>
        <w:t>污染</w:t>
      </w:r>
      <w:r w:rsidR="00C94C38" w:rsidRPr="00A964FF">
        <w:rPr>
          <w:rFonts w:ascii="Calibri" w:hAnsi="Calibri" w:hint="eastAsia"/>
          <w:color w:val="auto"/>
          <w:sz w:val="24"/>
        </w:rPr>
        <w:t>。</w:t>
      </w:r>
    </w:p>
    <w:p w14:paraId="63BBB02D" w14:textId="77777777" w:rsidR="005258F3" w:rsidRDefault="005F262E" w:rsidP="005258F3">
      <w:pPr>
        <w:spacing w:line="520" w:lineRule="exact"/>
        <w:ind w:right="62"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2</w:t>
      </w:r>
      <w:r w:rsidRPr="00A964FF">
        <w:rPr>
          <w:rFonts w:ascii="Calibri" w:hAnsi="Calibri" w:hint="eastAsia"/>
          <w:color w:val="auto"/>
          <w:sz w:val="24"/>
        </w:rPr>
        <w:t>）非正常状况</w:t>
      </w:r>
    </w:p>
    <w:p w14:paraId="3262AAE1" w14:textId="77777777" w:rsidR="005F262E" w:rsidRPr="00A964FF" w:rsidRDefault="005F262E" w:rsidP="005258F3">
      <w:pPr>
        <w:spacing w:line="520" w:lineRule="exact"/>
        <w:ind w:right="62" w:firstLineChars="200" w:firstLine="480"/>
        <w:rPr>
          <w:rFonts w:ascii="Calibri" w:hAnsi="Calibri"/>
          <w:color w:val="auto"/>
          <w:sz w:val="24"/>
        </w:rPr>
      </w:pPr>
      <w:r w:rsidRPr="00A964FF">
        <w:rPr>
          <w:rFonts w:ascii="Calibri" w:hAnsi="Calibri" w:hint="eastAsia"/>
          <w:color w:val="auto"/>
          <w:sz w:val="24"/>
        </w:rPr>
        <w:t>本项目在生产</w:t>
      </w:r>
      <w:r w:rsidR="009B2CC4" w:rsidRPr="00A964FF">
        <w:rPr>
          <w:rFonts w:ascii="Calibri" w:hAnsi="Calibri" w:hint="eastAsia"/>
          <w:color w:val="auto"/>
          <w:sz w:val="24"/>
        </w:rPr>
        <w:t>运营</w:t>
      </w:r>
      <w:r w:rsidRPr="00A964FF">
        <w:rPr>
          <w:rFonts w:ascii="Calibri" w:hAnsi="Calibri" w:hint="eastAsia"/>
          <w:color w:val="auto"/>
          <w:sz w:val="24"/>
        </w:rPr>
        <w:t>一段时间后，</w:t>
      </w:r>
      <w:r w:rsidR="005258F3">
        <w:rPr>
          <w:rFonts w:ascii="Calibri" w:hAnsi="Calibri" w:hint="eastAsia"/>
          <w:color w:val="auto"/>
          <w:sz w:val="24"/>
        </w:rPr>
        <w:t>原料</w:t>
      </w:r>
      <w:r w:rsidR="00D0550A" w:rsidRPr="00A964FF">
        <w:rPr>
          <w:rFonts w:ascii="Calibri" w:hAnsi="Calibri" w:hint="eastAsia"/>
          <w:color w:val="auto"/>
          <w:sz w:val="24"/>
        </w:rPr>
        <w:t>仓库、危废暂存间、</w:t>
      </w:r>
      <w:r w:rsidRPr="00A964FF">
        <w:rPr>
          <w:rFonts w:ascii="Calibri" w:hAnsi="Calibri" w:hint="eastAsia"/>
          <w:color w:val="auto"/>
          <w:sz w:val="24"/>
        </w:rPr>
        <w:t>废水处理站</w:t>
      </w:r>
      <w:r w:rsidR="00895D72" w:rsidRPr="00A964FF">
        <w:rPr>
          <w:rFonts w:ascii="Calibri" w:hAnsi="Calibri" w:hint="eastAsia"/>
          <w:color w:val="auto"/>
          <w:sz w:val="24"/>
        </w:rPr>
        <w:t>构筑物</w:t>
      </w:r>
      <w:r w:rsidRPr="00A964FF">
        <w:rPr>
          <w:rFonts w:ascii="Calibri" w:hAnsi="Calibri" w:hint="eastAsia"/>
          <w:color w:val="auto"/>
          <w:sz w:val="24"/>
        </w:rPr>
        <w:t>等防渗设施可能有少量因老化、腐蚀而发生破损，在</w:t>
      </w:r>
      <w:r w:rsidR="00147519" w:rsidRPr="00A964FF">
        <w:rPr>
          <w:rFonts w:ascii="Calibri" w:hAnsi="Calibri" w:hint="eastAsia"/>
          <w:color w:val="auto"/>
          <w:sz w:val="24"/>
        </w:rPr>
        <w:t>容器</w:t>
      </w:r>
      <w:r w:rsidRPr="00A964FF">
        <w:rPr>
          <w:rFonts w:ascii="Calibri" w:hAnsi="Calibri" w:hint="eastAsia"/>
          <w:color w:val="auto"/>
          <w:sz w:val="24"/>
        </w:rPr>
        <w:t>或管道内物料发生跑、冒、滴、漏的非正常状况下，如处理不当，污染物可能下渗影响地下水。故本次评价仅预测非正常</w:t>
      </w:r>
      <w:r w:rsidR="009B2CC4" w:rsidRPr="00A964FF">
        <w:rPr>
          <w:rFonts w:ascii="Calibri" w:hAnsi="Calibri" w:hint="eastAsia"/>
          <w:color w:val="auto"/>
          <w:sz w:val="24"/>
        </w:rPr>
        <w:t>情况</w:t>
      </w:r>
      <w:r w:rsidRPr="00A964FF">
        <w:rPr>
          <w:rFonts w:ascii="Calibri" w:hAnsi="Calibri" w:hint="eastAsia"/>
          <w:color w:val="auto"/>
          <w:sz w:val="24"/>
        </w:rPr>
        <w:t>下的影响结果。</w:t>
      </w:r>
    </w:p>
    <w:p w14:paraId="0E424F3C" w14:textId="77777777" w:rsidR="006A642B" w:rsidRPr="00285DB0" w:rsidRDefault="005F262E" w:rsidP="00285DB0">
      <w:pPr>
        <w:spacing w:line="520" w:lineRule="exact"/>
        <w:ind w:right="62" w:firstLineChars="200" w:firstLine="480"/>
        <w:rPr>
          <w:rFonts w:ascii="Calibri" w:hAnsi="Calibri"/>
          <w:color w:val="auto"/>
          <w:sz w:val="24"/>
        </w:rPr>
      </w:pPr>
      <w:r w:rsidRPr="00A964FF">
        <w:rPr>
          <w:rFonts w:ascii="Calibri" w:hAnsi="Calibri" w:hint="eastAsia"/>
          <w:color w:val="auto"/>
          <w:sz w:val="24"/>
        </w:rPr>
        <w:t>由于固态物质发生泄漏可能性低，包装物破损泄漏极易被发现，经清扫后可及时进行回收，因此本次评价主要考虑可能对地下水造成影响的液体物料。综合考虑项目物</w:t>
      </w:r>
      <w:r w:rsidR="00FA0C0F" w:rsidRPr="00A964FF">
        <w:rPr>
          <w:rFonts w:ascii="Calibri" w:hAnsi="Calibri" w:hint="eastAsia"/>
          <w:color w:val="auto"/>
          <w:sz w:val="24"/>
        </w:rPr>
        <w:t>料情况和生产</w:t>
      </w:r>
      <w:r w:rsidR="00951E73" w:rsidRPr="00A964FF">
        <w:rPr>
          <w:rFonts w:ascii="Calibri" w:hAnsi="Calibri" w:hint="eastAsia"/>
          <w:color w:val="auto"/>
          <w:sz w:val="24"/>
        </w:rPr>
        <w:t>特点</w:t>
      </w:r>
      <w:r w:rsidR="00FA0C0F" w:rsidRPr="00A964FF">
        <w:rPr>
          <w:rFonts w:ascii="Calibri" w:hAnsi="Calibri" w:hint="eastAsia"/>
          <w:color w:val="auto"/>
          <w:sz w:val="24"/>
        </w:rPr>
        <w:t>，本次评价选取有评价标准的因子进行评价，其可能产生影响的物质情况见表</w:t>
      </w:r>
      <w:r w:rsidR="00FA0C0F" w:rsidRPr="00A964FF">
        <w:rPr>
          <w:rFonts w:ascii="Calibri" w:hAnsi="Calibri" w:hint="eastAsia"/>
          <w:color w:val="auto"/>
          <w:sz w:val="24"/>
        </w:rPr>
        <w:t>4</w:t>
      </w:r>
      <w:r w:rsidR="005F71E5" w:rsidRPr="00A964FF">
        <w:rPr>
          <w:rFonts w:ascii="Calibri" w:hAnsi="Calibri" w:hint="eastAsia"/>
          <w:color w:val="auto"/>
          <w:sz w:val="24"/>
        </w:rPr>
        <w:t>.2</w:t>
      </w:r>
      <w:r w:rsidR="00FA0C0F" w:rsidRPr="00A964FF">
        <w:rPr>
          <w:rFonts w:ascii="Calibri" w:hAnsi="Calibri" w:hint="eastAsia"/>
          <w:color w:val="auto"/>
          <w:sz w:val="24"/>
        </w:rPr>
        <w:t>-</w:t>
      </w:r>
      <w:r w:rsidR="00285DB0">
        <w:rPr>
          <w:rFonts w:ascii="Calibri" w:hAnsi="Calibri" w:hint="eastAsia"/>
          <w:color w:val="auto"/>
          <w:sz w:val="24"/>
        </w:rPr>
        <w:t>22</w:t>
      </w:r>
      <w:r w:rsidR="00FA0C0F" w:rsidRPr="00A964FF">
        <w:rPr>
          <w:rFonts w:ascii="Calibri" w:hAnsi="Calibri" w:hint="eastAsia"/>
          <w:color w:val="auto"/>
          <w:sz w:val="24"/>
        </w:rPr>
        <w:t>。</w:t>
      </w:r>
    </w:p>
    <w:p w14:paraId="20E66DF1" w14:textId="77777777" w:rsidR="00E716B7" w:rsidRPr="009704BE" w:rsidRDefault="00E716B7" w:rsidP="009704BE">
      <w:pPr>
        <w:pStyle w:val="00"/>
        <w:ind w:firstLineChars="300" w:firstLine="720"/>
        <w:rPr>
          <w:rFonts w:asciiTheme="minorHAnsi" w:eastAsia="黑体" w:hAnsiTheme="minorHAnsi" w:cstheme="minorHAnsi"/>
          <w:color w:val="auto"/>
        </w:rPr>
      </w:pPr>
      <w:r w:rsidRPr="009704BE">
        <w:rPr>
          <w:rFonts w:asciiTheme="minorHAnsi" w:eastAsia="黑体" w:hAnsi="黑体" w:cstheme="minorHAnsi"/>
          <w:color w:val="auto"/>
        </w:rPr>
        <w:t>表</w:t>
      </w:r>
      <w:r w:rsidRPr="009704BE">
        <w:rPr>
          <w:rFonts w:asciiTheme="minorHAnsi" w:eastAsia="黑体" w:hAnsiTheme="minorHAnsi" w:cstheme="minorHAnsi"/>
          <w:color w:val="auto"/>
        </w:rPr>
        <w:t>4</w:t>
      </w:r>
      <w:r w:rsidR="005F71E5" w:rsidRPr="009704BE">
        <w:rPr>
          <w:rFonts w:asciiTheme="minorHAnsi" w:eastAsia="黑体" w:hAnsiTheme="minorHAnsi" w:cstheme="minorHAnsi"/>
          <w:color w:val="auto"/>
        </w:rPr>
        <w:t>.2</w:t>
      </w:r>
      <w:r w:rsidRPr="009704BE">
        <w:rPr>
          <w:rFonts w:asciiTheme="minorHAnsi" w:eastAsia="黑体" w:hAnsiTheme="minorHAnsi" w:cstheme="minorHAnsi"/>
          <w:color w:val="auto"/>
        </w:rPr>
        <w:t>-</w:t>
      </w:r>
      <w:r w:rsidR="00285DB0">
        <w:rPr>
          <w:rFonts w:asciiTheme="minorHAnsi" w:eastAsia="黑体" w:hAnsiTheme="minorHAnsi" w:cstheme="minorHAnsi"/>
          <w:color w:val="auto"/>
        </w:rPr>
        <w:t>22</w:t>
      </w:r>
      <w:r w:rsidRPr="009704BE">
        <w:rPr>
          <w:rFonts w:asciiTheme="minorHAnsi" w:eastAsia="黑体" w:hAnsiTheme="minorHAnsi" w:cstheme="minorHAnsi"/>
          <w:color w:val="auto"/>
        </w:rPr>
        <w:t xml:space="preserve"> </w:t>
      </w:r>
      <w:r w:rsidR="00FA0C0F" w:rsidRPr="009704BE">
        <w:rPr>
          <w:rFonts w:asciiTheme="minorHAnsi" w:eastAsia="黑体" w:hAnsiTheme="minorHAnsi" w:cstheme="minorHAnsi"/>
          <w:color w:val="auto"/>
        </w:rPr>
        <w:t xml:space="preserve">       </w:t>
      </w:r>
      <w:r w:rsidR="005F71E5" w:rsidRPr="009704BE">
        <w:rPr>
          <w:rFonts w:asciiTheme="minorHAnsi" w:eastAsia="黑体" w:hAnsiTheme="minorHAnsi" w:cstheme="minorHAnsi"/>
          <w:color w:val="auto"/>
        </w:rPr>
        <w:t xml:space="preserve">     </w:t>
      </w:r>
      <w:r w:rsidRPr="009704BE">
        <w:rPr>
          <w:rFonts w:asciiTheme="minorHAnsi" w:eastAsia="黑体" w:hAnsiTheme="minorHAnsi" w:cstheme="minorHAnsi"/>
          <w:color w:val="auto"/>
        </w:rPr>
        <w:t xml:space="preserve">  </w:t>
      </w:r>
      <w:r w:rsidRPr="009704BE">
        <w:rPr>
          <w:rFonts w:asciiTheme="minorHAnsi" w:eastAsia="黑体" w:hAnsi="黑体" w:cstheme="minorHAnsi"/>
          <w:color w:val="auto"/>
        </w:rPr>
        <w:t>地下水环境影响情况识别表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347"/>
        <w:gridCol w:w="1900"/>
        <w:gridCol w:w="1270"/>
        <w:gridCol w:w="1378"/>
        <w:gridCol w:w="1547"/>
        <w:gridCol w:w="1258"/>
      </w:tblGrid>
      <w:tr w:rsidR="00F30785" w:rsidRPr="00A964FF" w14:paraId="101F20BD" w14:textId="77777777" w:rsidTr="00A814F7">
        <w:trPr>
          <w:trHeight w:val="369"/>
        </w:trPr>
        <w:tc>
          <w:tcPr>
            <w:tcW w:w="774" w:type="pct"/>
            <w:vAlign w:val="center"/>
          </w:tcPr>
          <w:p w14:paraId="4314726B" w14:textId="77777777" w:rsidR="00E716B7" w:rsidRPr="009704BE" w:rsidRDefault="00E716B7"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渗漏位置</w:t>
            </w:r>
          </w:p>
        </w:tc>
        <w:tc>
          <w:tcPr>
            <w:tcW w:w="1092" w:type="pct"/>
            <w:vAlign w:val="center"/>
          </w:tcPr>
          <w:p w14:paraId="027651BC" w14:textId="77777777" w:rsidR="00E716B7" w:rsidRPr="009704BE" w:rsidRDefault="00E716B7"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渗漏点</w:t>
            </w:r>
          </w:p>
        </w:tc>
        <w:tc>
          <w:tcPr>
            <w:tcW w:w="730" w:type="pct"/>
            <w:vAlign w:val="center"/>
          </w:tcPr>
          <w:p w14:paraId="102A4B21" w14:textId="77777777" w:rsidR="00E716B7" w:rsidRPr="009704BE" w:rsidRDefault="00E716B7"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污染物</w:t>
            </w:r>
          </w:p>
        </w:tc>
        <w:tc>
          <w:tcPr>
            <w:tcW w:w="792" w:type="pct"/>
            <w:vAlign w:val="center"/>
          </w:tcPr>
          <w:p w14:paraId="4190DC73" w14:textId="77777777" w:rsidR="00E716B7" w:rsidRPr="009704BE" w:rsidRDefault="00E716B7"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污染物类型</w:t>
            </w:r>
          </w:p>
        </w:tc>
        <w:tc>
          <w:tcPr>
            <w:tcW w:w="889" w:type="pct"/>
            <w:vAlign w:val="center"/>
          </w:tcPr>
          <w:p w14:paraId="6D65FFBE" w14:textId="77777777" w:rsidR="00E716B7" w:rsidRPr="009704BE" w:rsidRDefault="00E716B7"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发现难易程度</w:t>
            </w:r>
          </w:p>
        </w:tc>
        <w:tc>
          <w:tcPr>
            <w:tcW w:w="723" w:type="pct"/>
            <w:vAlign w:val="center"/>
          </w:tcPr>
          <w:p w14:paraId="7D10FF4D" w14:textId="77777777" w:rsidR="00E716B7" w:rsidRPr="009704BE" w:rsidRDefault="00E716B7"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是否可降解</w:t>
            </w:r>
          </w:p>
        </w:tc>
      </w:tr>
      <w:tr w:rsidR="005B73E8" w:rsidRPr="00A964FF" w14:paraId="65DA71A7" w14:textId="77777777" w:rsidTr="00A814F7">
        <w:trPr>
          <w:trHeight w:val="369"/>
        </w:trPr>
        <w:tc>
          <w:tcPr>
            <w:tcW w:w="774" w:type="pct"/>
            <w:vAlign w:val="center"/>
          </w:tcPr>
          <w:p w14:paraId="1537BE91"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废水处理站</w:t>
            </w:r>
          </w:p>
        </w:tc>
        <w:tc>
          <w:tcPr>
            <w:tcW w:w="1092" w:type="pct"/>
            <w:vAlign w:val="center"/>
          </w:tcPr>
          <w:p w14:paraId="1696743B"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各类埋地构筑物</w:t>
            </w:r>
          </w:p>
        </w:tc>
        <w:tc>
          <w:tcPr>
            <w:tcW w:w="730" w:type="pct"/>
            <w:vAlign w:val="center"/>
          </w:tcPr>
          <w:p w14:paraId="24F5ADB6" w14:textId="77777777" w:rsidR="005B73E8" w:rsidRPr="009704BE" w:rsidRDefault="005B73E8" w:rsidP="005258F3">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氨氮、</w:t>
            </w:r>
            <w:r w:rsidRPr="009704BE">
              <w:rPr>
                <w:rFonts w:asciiTheme="minorHAnsi" w:eastAsiaTheme="minorEastAsia" w:hAnsiTheme="minorHAnsi" w:cstheme="minorHAnsi"/>
                <w:color w:val="auto"/>
                <w:sz w:val="21"/>
                <w:szCs w:val="21"/>
              </w:rPr>
              <w:t>COD</w:t>
            </w:r>
            <w:r w:rsidRPr="009704BE">
              <w:rPr>
                <w:rFonts w:asciiTheme="minorHAnsi" w:eastAsiaTheme="minorEastAsia" w:hAnsiTheme="minorEastAsia" w:cstheme="minorHAnsi"/>
                <w:color w:val="auto"/>
                <w:sz w:val="21"/>
                <w:szCs w:val="21"/>
              </w:rPr>
              <w:t>等</w:t>
            </w:r>
          </w:p>
        </w:tc>
        <w:tc>
          <w:tcPr>
            <w:tcW w:w="792" w:type="pct"/>
            <w:vAlign w:val="center"/>
          </w:tcPr>
          <w:p w14:paraId="0015F464"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有机物</w:t>
            </w:r>
          </w:p>
        </w:tc>
        <w:tc>
          <w:tcPr>
            <w:tcW w:w="889" w:type="pct"/>
            <w:vAlign w:val="center"/>
          </w:tcPr>
          <w:p w14:paraId="654D4890"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地下，难</w:t>
            </w:r>
          </w:p>
        </w:tc>
        <w:tc>
          <w:tcPr>
            <w:tcW w:w="723" w:type="pct"/>
            <w:vAlign w:val="center"/>
          </w:tcPr>
          <w:p w14:paraId="60E5AAE8"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可降解</w:t>
            </w:r>
          </w:p>
        </w:tc>
      </w:tr>
      <w:tr w:rsidR="005B73E8" w:rsidRPr="00A964FF" w14:paraId="3B57B0F5" w14:textId="77777777" w:rsidTr="00A814F7">
        <w:trPr>
          <w:trHeight w:val="369"/>
        </w:trPr>
        <w:tc>
          <w:tcPr>
            <w:tcW w:w="774" w:type="pct"/>
            <w:vAlign w:val="center"/>
          </w:tcPr>
          <w:p w14:paraId="0846F8AD" w14:textId="77777777" w:rsidR="005B73E8" w:rsidRPr="009704BE" w:rsidRDefault="005258F3" w:rsidP="001826AA">
            <w:pPr>
              <w:pStyle w:val="00"/>
              <w:spacing w:line="240" w:lineRule="auto"/>
              <w:ind w:firstLine="0"/>
              <w:jc w:val="center"/>
              <w:rPr>
                <w:rFonts w:asciiTheme="minorHAnsi" w:eastAsiaTheme="minorEastAsia" w:hAnsiTheme="minorHAnsi" w:cstheme="minorHAnsi"/>
                <w:color w:val="auto"/>
                <w:sz w:val="21"/>
                <w:szCs w:val="21"/>
              </w:rPr>
            </w:pPr>
            <w:r>
              <w:rPr>
                <w:rFonts w:asciiTheme="minorHAnsi" w:eastAsiaTheme="minorEastAsia" w:hAnsiTheme="minorEastAsia" w:cstheme="minorHAnsi"/>
                <w:color w:val="auto"/>
                <w:sz w:val="21"/>
                <w:szCs w:val="21"/>
              </w:rPr>
              <w:t>原料</w:t>
            </w:r>
            <w:r w:rsidR="005B73E8" w:rsidRPr="009704BE">
              <w:rPr>
                <w:rFonts w:asciiTheme="minorHAnsi" w:eastAsiaTheme="minorEastAsia" w:hAnsiTheme="minorEastAsia" w:cstheme="minorHAnsi"/>
                <w:color w:val="auto"/>
                <w:sz w:val="21"/>
                <w:szCs w:val="21"/>
              </w:rPr>
              <w:t>仓库</w:t>
            </w:r>
          </w:p>
        </w:tc>
        <w:tc>
          <w:tcPr>
            <w:tcW w:w="1092" w:type="pct"/>
            <w:vAlign w:val="center"/>
          </w:tcPr>
          <w:p w14:paraId="25BEB2A1"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液体物料储存区</w:t>
            </w:r>
          </w:p>
        </w:tc>
        <w:tc>
          <w:tcPr>
            <w:tcW w:w="730" w:type="pct"/>
            <w:vAlign w:val="center"/>
          </w:tcPr>
          <w:p w14:paraId="1FD7A3A8" w14:textId="77777777" w:rsidR="005B73E8" w:rsidRPr="00153EE6" w:rsidRDefault="00153EE6" w:rsidP="00153EE6">
            <w:pPr>
              <w:pStyle w:val="00"/>
              <w:spacing w:line="240" w:lineRule="auto"/>
              <w:ind w:firstLine="0"/>
              <w:jc w:val="center"/>
              <w:rPr>
                <w:rFonts w:asciiTheme="minorHAnsi" w:eastAsiaTheme="minorEastAsia" w:hAnsiTheme="minorEastAsia" w:cstheme="minorHAnsi"/>
                <w:color w:val="auto"/>
                <w:sz w:val="21"/>
                <w:szCs w:val="21"/>
              </w:rPr>
            </w:pPr>
            <w:r>
              <w:rPr>
                <w:rFonts w:asciiTheme="minorHAnsi" w:eastAsiaTheme="minorEastAsia" w:hAnsiTheme="minorEastAsia" w:cstheme="minorHAnsi" w:hint="eastAsia"/>
                <w:color w:val="auto"/>
                <w:sz w:val="21"/>
                <w:szCs w:val="21"/>
              </w:rPr>
              <w:t>尼龙</w:t>
            </w:r>
            <w:r>
              <w:rPr>
                <w:rFonts w:asciiTheme="minorHAnsi" w:eastAsiaTheme="minorEastAsia" w:hAnsiTheme="minorEastAsia" w:cstheme="minorHAnsi" w:hint="eastAsia"/>
                <w:color w:val="auto"/>
                <w:sz w:val="21"/>
                <w:szCs w:val="21"/>
              </w:rPr>
              <w:t>66</w:t>
            </w:r>
            <w:r>
              <w:rPr>
                <w:rFonts w:asciiTheme="minorHAnsi" w:eastAsiaTheme="minorEastAsia" w:hAnsiTheme="minorEastAsia" w:cstheme="minorHAnsi" w:hint="eastAsia"/>
                <w:color w:val="auto"/>
                <w:sz w:val="21"/>
                <w:szCs w:val="21"/>
              </w:rPr>
              <w:t>盐</w:t>
            </w:r>
            <w:r>
              <w:rPr>
                <w:rFonts w:asciiTheme="minorHAnsi" w:eastAsiaTheme="minorEastAsia" w:hAnsiTheme="minorEastAsia" w:cstheme="minorHAnsi"/>
                <w:color w:val="auto"/>
                <w:sz w:val="21"/>
                <w:szCs w:val="21"/>
              </w:rPr>
              <w:t>溶液、</w:t>
            </w:r>
            <w:r w:rsidR="00E756E9">
              <w:rPr>
                <w:rFonts w:asciiTheme="minorHAnsi" w:eastAsiaTheme="minorEastAsia" w:hAnsiTheme="minorEastAsia" w:cstheme="minorHAnsi" w:hint="eastAsia"/>
                <w:color w:val="auto"/>
                <w:sz w:val="21"/>
                <w:szCs w:val="21"/>
              </w:rPr>
              <w:t>己</w:t>
            </w:r>
            <w:r w:rsidR="0049015A">
              <w:rPr>
                <w:rFonts w:asciiTheme="minorHAnsi" w:eastAsiaTheme="minorEastAsia" w:hAnsiTheme="minorEastAsia" w:cstheme="minorHAnsi" w:hint="eastAsia"/>
                <w:color w:val="auto"/>
                <w:sz w:val="21"/>
                <w:szCs w:val="21"/>
              </w:rPr>
              <w:t>二胺</w:t>
            </w:r>
            <w:r w:rsidR="005258F3" w:rsidRPr="009704BE">
              <w:rPr>
                <w:rFonts w:asciiTheme="minorHAnsi" w:eastAsiaTheme="minorEastAsia" w:hAnsiTheme="minorEastAsia" w:cstheme="minorHAnsi"/>
                <w:color w:val="auto"/>
                <w:sz w:val="21"/>
                <w:szCs w:val="21"/>
              </w:rPr>
              <w:t>、</w:t>
            </w:r>
            <w:r w:rsidR="0049015A">
              <w:rPr>
                <w:rFonts w:asciiTheme="minorHAnsi" w:eastAsiaTheme="minorEastAsia" w:hAnsiTheme="minorHAnsi" w:cstheme="minorHAnsi" w:hint="eastAsia"/>
                <w:color w:val="auto"/>
                <w:sz w:val="21"/>
                <w:szCs w:val="21"/>
              </w:rPr>
              <w:t>己二酸</w:t>
            </w:r>
            <w:r w:rsidR="005258F3" w:rsidRPr="009704BE">
              <w:rPr>
                <w:rFonts w:asciiTheme="minorHAnsi" w:eastAsiaTheme="minorEastAsia" w:hAnsiTheme="minorEastAsia" w:cstheme="minorHAnsi"/>
                <w:color w:val="auto"/>
                <w:sz w:val="21"/>
                <w:szCs w:val="21"/>
              </w:rPr>
              <w:t>等</w:t>
            </w:r>
          </w:p>
        </w:tc>
        <w:tc>
          <w:tcPr>
            <w:tcW w:w="792" w:type="pct"/>
            <w:vAlign w:val="center"/>
          </w:tcPr>
          <w:p w14:paraId="2EAE1D5A" w14:textId="77777777" w:rsidR="005B73E8" w:rsidRPr="009704BE" w:rsidRDefault="005B73E8" w:rsidP="005258F3">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有机物</w:t>
            </w:r>
          </w:p>
        </w:tc>
        <w:tc>
          <w:tcPr>
            <w:tcW w:w="889" w:type="pct"/>
            <w:vAlign w:val="center"/>
          </w:tcPr>
          <w:p w14:paraId="68A8DDCF"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地上，易</w:t>
            </w:r>
          </w:p>
        </w:tc>
        <w:tc>
          <w:tcPr>
            <w:tcW w:w="723" w:type="pct"/>
            <w:vAlign w:val="center"/>
          </w:tcPr>
          <w:p w14:paraId="31523F6B"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可降解</w:t>
            </w:r>
          </w:p>
        </w:tc>
      </w:tr>
      <w:tr w:rsidR="005B73E8" w:rsidRPr="00A964FF" w14:paraId="08C32DBC" w14:textId="77777777" w:rsidTr="00A814F7">
        <w:trPr>
          <w:trHeight w:val="369"/>
        </w:trPr>
        <w:tc>
          <w:tcPr>
            <w:tcW w:w="774" w:type="pct"/>
            <w:vAlign w:val="center"/>
          </w:tcPr>
          <w:p w14:paraId="2E2C6C9D" w14:textId="77777777" w:rsidR="005B73E8" w:rsidRPr="009704BE" w:rsidRDefault="005B73E8"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危废暂存间</w:t>
            </w:r>
          </w:p>
        </w:tc>
        <w:tc>
          <w:tcPr>
            <w:tcW w:w="1092" w:type="pct"/>
            <w:vAlign w:val="center"/>
          </w:tcPr>
          <w:p w14:paraId="794F930E" w14:textId="77777777" w:rsidR="005B73E8" w:rsidRPr="009704BE" w:rsidRDefault="005B73E8" w:rsidP="000156E0">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废液存放区和废机油存放区</w:t>
            </w:r>
          </w:p>
        </w:tc>
        <w:tc>
          <w:tcPr>
            <w:tcW w:w="730" w:type="pct"/>
            <w:vAlign w:val="center"/>
          </w:tcPr>
          <w:p w14:paraId="7CC97FFC" w14:textId="77777777" w:rsidR="005B73E8" w:rsidRPr="009704BE" w:rsidRDefault="005258F3" w:rsidP="009704BE">
            <w:pPr>
              <w:pStyle w:val="00"/>
              <w:spacing w:line="240" w:lineRule="auto"/>
              <w:ind w:firstLine="0"/>
              <w:jc w:val="center"/>
              <w:rPr>
                <w:rFonts w:asciiTheme="minorHAnsi" w:eastAsiaTheme="minorEastAsia" w:hAnsiTheme="minorHAnsi" w:cstheme="minorHAnsi"/>
                <w:color w:val="auto"/>
                <w:sz w:val="21"/>
                <w:szCs w:val="21"/>
              </w:rPr>
            </w:pPr>
            <w:r>
              <w:rPr>
                <w:rFonts w:asciiTheme="minorHAnsi" w:eastAsiaTheme="minorEastAsia" w:hAnsiTheme="minorEastAsia" w:cstheme="minorHAnsi"/>
                <w:color w:val="auto"/>
                <w:sz w:val="21"/>
                <w:szCs w:val="21"/>
              </w:rPr>
              <w:t>酸碱</w:t>
            </w:r>
            <w:r w:rsidR="005B73E8" w:rsidRPr="009704BE">
              <w:rPr>
                <w:rFonts w:asciiTheme="minorHAnsi" w:eastAsiaTheme="minorEastAsia" w:hAnsiTheme="minorEastAsia" w:cstheme="minorHAnsi"/>
                <w:color w:val="auto"/>
                <w:sz w:val="21"/>
                <w:szCs w:val="21"/>
              </w:rPr>
              <w:t>、</w:t>
            </w:r>
            <w:r w:rsidR="0019156F" w:rsidRPr="009704BE">
              <w:rPr>
                <w:rFonts w:asciiTheme="minorHAnsi" w:eastAsiaTheme="minorEastAsia" w:hAnsiTheme="minorEastAsia" w:cstheme="minorHAnsi"/>
                <w:color w:val="auto"/>
                <w:sz w:val="21"/>
                <w:szCs w:val="21"/>
              </w:rPr>
              <w:t>石油类</w:t>
            </w:r>
            <w:r w:rsidR="005B73E8" w:rsidRPr="009704BE">
              <w:rPr>
                <w:rFonts w:asciiTheme="minorHAnsi" w:eastAsiaTheme="minorEastAsia" w:hAnsiTheme="minorEastAsia" w:cstheme="minorHAnsi"/>
                <w:color w:val="auto"/>
                <w:sz w:val="21"/>
                <w:szCs w:val="21"/>
              </w:rPr>
              <w:t>等</w:t>
            </w:r>
          </w:p>
        </w:tc>
        <w:tc>
          <w:tcPr>
            <w:tcW w:w="792" w:type="pct"/>
            <w:vAlign w:val="center"/>
          </w:tcPr>
          <w:p w14:paraId="593FE925" w14:textId="77777777" w:rsidR="005B73E8" w:rsidRPr="009704BE" w:rsidRDefault="005B73E8" w:rsidP="009704BE">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有机物</w:t>
            </w:r>
          </w:p>
        </w:tc>
        <w:tc>
          <w:tcPr>
            <w:tcW w:w="889" w:type="pct"/>
            <w:vAlign w:val="center"/>
          </w:tcPr>
          <w:p w14:paraId="03E0215D"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地上，易</w:t>
            </w:r>
          </w:p>
        </w:tc>
        <w:tc>
          <w:tcPr>
            <w:tcW w:w="723" w:type="pct"/>
            <w:vAlign w:val="center"/>
          </w:tcPr>
          <w:p w14:paraId="486C95FF" w14:textId="77777777" w:rsidR="005B73E8" w:rsidRPr="009704BE" w:rsidRDefault="005B73E8" w:rsidP="001826AA">
            <w:pPr>
              <w:pStyle w:val="00"/>
              <w:spacing w:line="240" w:lineRule="auto"/>
              <w:ind w:firstLine="0"/>
              <w:jc w:val="center"/>
              <w:rPr>
                <w:rFonts w:asciiTheme="minorHAnsi" w:eastAsiaTheme="minorEastAsia" w:hAnsiTheme="minorHAnsi" w:cstheme="minorHAnsi"/>
                <w:color w:val="auto"/>
                <w:sz w:val="21"/>
                <w:szCs w:val="21"/>
              </w:rPr>
            </w:pPr>
            <w:r w:rsidRPr="009704BE">
              <w:rPr>
                <w:rFonts w:asciiTheme="minorHAnsi" w:eastAsiaTheme="minorEastAsia" w:hAnsiTheme="minorEastAsia" w:cstheme="minorHAnsi"/>
                <w:color w:val="auto"/>
                <w:sz w:val="21"/>
                <w:szCs w:val="21"/>
              </w:rPr>
              <w:t>可降解</w:t>
            </w:r>
          </w:p>
        </w:tc>
      </w:tr>
    </w:tbl>
    <w:p w14:paraId="42BE2D75" w14:textId="77777777" w:rsidR="00E756E9" w:rsidRPr="00E756E9" w:rsidRDefault="00153EE6" w:rsidP="00E756E9">
      <w:pPr>
        <w:pStyle w:val="00"/>
        <w:rPr>
          <w:rFonts w:ascii="Calibri" w:hAnsi="Calibri"/>
          <w:b/>
          <w:color w:val="auto"/>
        </w:rPr>
      </w:pPr>
      <w:r>
        <w:rPr>
          <w:rFonts w:ascii="Calibri" w:hAnsi="Calibri"/>
          <w:b/>
          <w:color w:val="auto"/>
        </w:rPr>
        <w:t>8</w:t>
      </w:r>
      <w:r w:rsidR="005258F3">
        <w:rPr>
          <w:rFonts w:ascii="Calibri" w:hAnsi="Calibri" w:hint="eastAsia"/>
          <w:b/>
          <w:color w:val="auto"/>
        </w:rPr>
        <w:t>、</w:t>
      </w:r>
      <w:r w:rsidR="00D77F9C" w:rsidRPr="00A964FF">
        <w:rPr>
          <w:rFonts w:ascii="Calibri" w:hAnsi="Calibri" w:hint="eastAsia"/>
          <w:b/>
          <w:color w:val="auto"/>
        </w:rPr>
        <w:t>预测因子</w:t>
      </w:r>
    </w:p>
    <w:p w14:paraId="14E2C922" w14:textId="77777777" w:rsidR="00F30785" w:rsidRPr="00AB0983" w:rsidRDefault="00F30785" w:rsidP="00153EE6">
      <w:pPr>
        <w:pStyle w:val="00"/>
        <w:rPr>
          <w:rFonts w:ascii="Calibri" w:hAnsi="Calibri"/>
        </w:rPr>
      </w:pPr>
      <w:r w:rsidRPr="00A964FF">
        <w:rPr>
          <w:rFonts w:ascii="Calibri" w:hAnsi="Calibri" w:hint="eastAsia"/>
          <w:color w:val="auto"/>
        </w:rPr>
        <w:t>根据本项目原辅材料使用情况和生产工艺特点，</w:t>
      </w:r>
      <w:r w:rsidR="00153EE6">
        <w:rPr>
          <w:rFonts w:ascii="Calibri" w:hAnsi="Calibri" w:hint="eastAsia"/>
          <w:color w:val="auto"/>
        </w:rPr>
        <w:t>项目</w:t>
      </w:r>
      <w:r w:rsidR="00153EE6">
        <w:rPr>
          <w:rFonts w:ascii="Calibri" w:hAnsi="Calibri"/>
          <w:color w:val="auto"/>
        </w:rPr>
        <w:t>废气</w:t>
      </w:r>
      <w:r w:rsidR="00153EE6">
        <w:rPr>
          <w:rFonts w:ascii="Calibri" w:hAnsi="Calibri" w:hint="eastAsia"/>
          <w:color w:val="auto"/>
        </w:rPr>
        <w:t>、</w:t>
      </w:r>
      <w:r w:rsidR="00153EE6">
        <w:rPr>
          <w:rFonts w:ascii="Calibri" w:hAnsi="Calibri"/>
          <w:color w:val="auto"/>
        </w:rPr>
        <w:t>废水</w:t>
      </w:r>
      <w:r w:rsidR="00E756E9" w:rsidRPr="000D75EA">
        <w:rPr>
          <w:rFonts w:ascii="Calibri" w:hAnsi="Calibri" w:hint="eastAsia"/>
        </w:rPr>
        <w:t>主要</w:t>
      </w:r>
      <w:r w:rsidR="00E756E9" w:rsidRPr="000D75EA">
        <w:rPr>
          <w:rFonts w:ascii="Calibri" w:hAnsi="Calibri"/>
        </w:rPr>
        <w:t>特征污染因子</w:t>
      </w:r>
      <w:r w:rsidR="00AB0983" w:rsidRPr="00AB0983">
        <w:rPr>
          <w:rFonts w:ascii="Calibri" w:hAnsi="Calibri" w:hint="eastAsia"/>
        </w:rPr>
        <w:t>己二胺、己二酸</w:t>
      </w:r>
      <w:r w:rsidR="00AB0983">
        <w:rPr>
          <w:rFonts w:ascii="Calibri" w:hAnsi="Calibri" w:hint="eastAsia"/>
        </w:rPr>
        <w:t>、</w:t>
      </w:r>
      <w:r w:rsidR="00AB0983">
        <w:rPr>
          <w:rFonts w:ascii="Calibri" w:hAnsi="Calibri"/>
        </w:rPr>
        <w:t>环戊酮、环己亚胺</w:t>
      </w:r>
      <w:r w:rsidR="00153EE6">
        <w:rPr>
          <w:rFonts w:ascii="Calibri" w:hAnsi="Calibri" w:hint="eastAsia"/>
        </w:rPr>
        <w:t>，</w:t>
      </w:r>
      <w:r w:rsidR="00153EE6">
        <w:rPr>
          <w:rFonts w:ascii="Calibri" w:hAnsi="Calibri"/>
        </w:rPr>
        <w:t>但</w:t>
      </w:r>
      <w:r w:rsidR="00E756E9" w:rsidRPr="000D75EA">
        <w:rPr>
          <w:rFonts w:ascii="Calibri" w:hAnsi="Calibri" w:hint="eastAsia"/>
        </w:rPr>
        <w:t>在《地下水质量标准》（</w:t>
      </w:r>
      <w:r w:rsidR="00E756E9" w:rsidRPr="000D75EA">
        <w:rPr>
          <w:rFonts w:ascii="Calibri" w:hAnsi="Calibri" w:hint="eastAsia"/>
        </w:rPr>
        <w:t>GB/T14848-93</w:t>
      </w:r>
      <w:r w:rsidR="00E756E9" w:rsidRPr="000D75EA">
        <w:rPr>
          <w:rFonts w:ascii="Calibri" w:hAnsi="Calibri" w:hint="eastAsia"/>
        </w:rPr>
        <w:t>）及参考标准《地表水环境质量标准》（</w:t>
      </w:r>
      <w:r w:rsidR="00E756E9" w:rsidRPr="000D75EA">
        <w:rPr>
          <w:rFonts w:ascii="Calibri" w:hAnsi="Calibri" w:hint="eastAsia"/>
        </w:rPr>
        <w:t>GB3838-2002</w:t>
      </w:r>
      <w:r w:rsidR="00E756E9" w:rsidRPr="000D75EA">
        <w:rPr>
          <w:rFonts w:ascii="Calibri" w:hAnsi="Calibri" w:hint="eastAsia"/>
        </w:rPr>
        <w:t>）、《生活饮用水卫生标准》（</w:t>
      </w:r>
      <w:r w:rsidR="00E756E9" w:rsidRPr="000D75EA">
        <w:rPr>
          <w:rFonts w:ascii="Calibri" w:hAnsi="Calibri" w:hint="eastAsia"/>
        </w:rPr>
        <w:t>GB5749-2006</w:t>
      </w:r>
      <w:r w:rsidR="00E756E9" w:rsidRPr="000D75EA">
        <w:rPr>
          <w:rFonts w:ascii="Calibri" w:hAnsi="Calibri" w:hint="eastAsia"/>
        </w:rPr>
        <w:t>）、《地下水水质标准》（</w:t>
      </w:r>
      <w:r w:rsidR="00E756E9" w:rsidRPr="000D75EA">
        <w:rPr>
          <w:rFonts w:ascii="Calibri" w:hAnsi="Calibri" w:hint="eastAsia"/>
        </w:rPr>
        <w:t>DZ/T0290-2015</w:t>
      </w:r>
      <w:r w:rsidR="00E756E9" w:rsidRPr="000D75EA">
        <w:rPr>
          <w:rFonts w:ascii="Calibri" w:hAnsi="Calibri" w:hint="eastAsia"/>
        </w:rPr>
        <w:t>）中均无规定其浓度限值，因此</w:t>
      </w:r>
      <w:r w:rsidR="00E756E9" w:rsidRPr="000D75EA">
        <w:rPr>
          <w:rFonts w:ascii="Calibri" w:hAnsi="Calibri"/>
        </w:rPr>
        <w:t>本次预测因子选取</w:t>
      </w:r>
      <w:r w:rsidR="00E756E9" w:rsidRPr="000D75EA">
        <w:rPr>
          <w:rFonts w:ascii="Calibri" w:hAnsi="Calibri" w:hint="eastAsia"/>
        </w:rPr>
        <w:t>为</w:t>
      </w:r>
      <w:r w:rsidRPr="00A964FF">
        <w:rPr>
          <w:rFonts w:ascii="Calibri" w:hAnsi="Calibri" w:hint="eastAsia"/>
          <w:color w:val="auto"/>
        </w:rPr>
        <w:t>：</w:t>
      </w:r>
      <w:r w:rsidR="005B73E8" w:rsidRPr="00A964FF">
        <w:rPr>
          <w:rFonts w:ascii="Calibri" w:hAnsi="Calibri" w:hint="eastAsia"/>
          <w:color w:val="auto"/>
        </w:rPr>
        <w:t>COD</w:t>
      </w:r>
      <w:r w:rsidR="0019156F" w:rsidRPr="00A964FF">
        <w:rPr>
          <w:rFonts w:ascii="Calibri" w:hAnsi="Calibri" w:hint="eastAsia"/>
          <w:color w:val="auto"/>
        </w:rPr>
        <w:t>、氨氮、石油类</w:t>
      </w:r>
      <w:r w:rsidRPr="00A964FF">
        <w:rPr>
          <w:rFonts w:ascii="Calibri" w:hAnsi="Calibri" w:hint="eastAsia"/>
          <w:color w:val="auto"/>
        </w:rPr>
        <w:t>。</w:t>
      </w:r>
    </w:p>
    <w:p w14:paraId="5B4AD8D8" w14:textId="77777777" w:rsidR="0055605A" w:rsidRPr="00A964FF" w:rsidRDefault="00153EE6" w:rsidP="0055605A">
      <w:pPr>
        <w:spacing w:line="520" w:lineRule="exact"/>
        <w:ind w:firstLineChars="200" w:firstLine="482"/>
        <w:rPr>
          <w:rFonts w:ascii="Calibri" w:hAnsi="Calibri"/>
          <w:b/>
          <w:color w:val="auto"/>
          <w:sz w:val="24"/>
        </w:rPr>
      </w:pPr>
      <w:r>
        <w:rPr>
          <w:rFonts w:ascii="Calibri" w:hAnsi="Calibri"/>
          <w:b/>
          <w:color w:val="auto"/>
          <w:sz w:val="24"/>
        </w:rPr>
        <w:lastRenderedPageBreak/>
        <w:t>9</w:t>
      </w:r>
      <w:r w:rsidR="0055605A" w:rsidRPr="00A964FF">
        <w:rPr>
          <w:rFonts w:ascii="Calibri" w:hAnsi="Calibri" w:hint="eastAsia"/>
          <w:b/>
          <w:color w:val="auto"/>
          <w:sz w:val="24"/>
        </w:rPr>
        <w:t>、预测模式</w:t>
      </w:r>
    </w:p>
    <w:p w14:paraId="616DB8D9"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根据项目所处的水文地质特征，本次溶质运移模型概化为一维连续点源模型。一维半无限长多孔介质模型，假设泄漏点浓度为定浓度边界，污染物向地下水下游方向扩散运移。其公式为：</w:t>
      </w:r>
    </w:p>
    <w:p w14:paraId="495949A1" w14:textId="77777777" w:rsidR="0055605A" w:rsidRPr="00A964FF" w:rsidRDefault="0055605A" w:rsidP="0055605A">
      <w:pPr>
        <w:pStyle w:val="ad"/>
        <w:spacing w:line="240" w:lineRule="auto"/>
        <w:ind w:firstLineChars="200" w:firstLine="480"/>
        <w:rPr>
          <w:rFonts w:ascii="Calibri" w:eastAsia="宋体" w:hAnsi="Calibri"/>
          <w:b w:val="0"/>
          <w:color w:val="auto"/>
          <w:sz w:val="24"/>
        </w:rPr>
      </w:pPr>
    </w:p>
    <w:p w14:paraId="016A7571" w14:textId="77777777" w:rsidR="0055605A" w:rsidRPr="00A964FF" w:rsidRDefault="0055605A" w:rsidP="004C15F6">
      <w:pPr>
        <w:pStyle w:val="ad"/>
        <w:spacing w:line="360" w:lineRule="auto"/>
        <w:ind w:firstLineChars="200" w:firstLine="480"/>
        <w:rPr>
          <w:rFonts w:ascii="Calibri" w:eastAsia="宋体" w:hAnsi="Calibri"/>
          <w:b w:val="0"/>
          <w:color w:val="auto"/>
          <w:sz w:val="24"/>
        </w:rPr>
      </w:pPr>
      <w:r w:rsidRPr="00A964FF">
        <w:rPr>
          <w:rFonts w:ascii="Calibri" w:eastAsia="宋体" w:hAnsi="Calibri" w:hint="eastAsia"/>
          <w:b w:val="0"/>
          <w:color w:val="auto"/>
          <w:sz w:val="24"/>
        </w:rPr>
        <w:t xml:space="preserve">       </w:t>
      </w:r>
      <w:r w:rsidRPr="00A964FF">
        <w:rPr>
          <w:rFonts w:ascii="Calibri" w:hAnsi="Calibri"/>
          <w:b w:val="0"/>
          <w:color w:val="auto"/>
          <w:position w:val="-34"/>
        </w:rPr>
        <w:object w:dxaOrig="3980" w:dyaOrig="800" w14:anchorId="7768D14D">
          <v:shape id="_x0000_i1053" type="#_x0000_t75" style="width:199.2pt;height:40.2pt" o:ole="">
            <v:imagedata r:id="rId85" o:title=""/>
          </v:shape>
          <o:OLEObject Type="Embed" ProgID="Equation.DSMT4" ShapeID="_x0000_i1053" DrawAspect="Content" ObjectID="_1725951973" r:id="rId86"/>
        </w:object>
      </w:r>
    </w:p>
    <w:p w14:paraId="6C281C42"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式中：</w:t>
      </w:r>
      <w:r w:rsidRPr="00A964FF">
        <w:rPr>
          <w:rFonts w:ascii="Calibri" w:eastAsia="宋体" w:hAnsi="Calibri" w:hint="eastAsia"/>
          <w:b w:val="0"/>
          <w:color w:val="auto"/>
          <w:sz w:val="24"/>
        </w:rPr>
        <w:t>x</w:t>
      </w:r>
      <w:r w:rsidRPr="00A964FF">
        <w:rPr>
          <w:rFonts w:ascii="Calibri" w:eastAsia="宋体" w:hAnsi="Calibri" w:hint="eastAsia"/>
          <w:b w:val="0"/>
          <w:color w:val="auto"/>
          <w:sz w:val="24"/>
        </w:rPr>
        <w:t>——为距注入点的距离，报告中指距离污水处理站的距离（</w:t>
      </w:r>
      <w:r w:rsidRPr="00A964FF">
        <w:rPr>
          <w:rFonts w:ascii="Calibri" w:eastAsia="宋体" w:hAnsi="Calibri" w:hint="eastAsia"/>
          <w:b w:val="0"/>
          <w:color w:val="auto"/>
          <w:sz w:val="24"/>
        </w:rPr>
        <w:t>L</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m</w:t>
      </w:r>
      <w:r w:rsidRPr="00A964FF">
        <w:rPr>
          <w:rFonts w:ascii="Calibri" w:eastAsia="宋体" w:hAnsi="Calibri" w:hint="eastAsia"/>
          <w:b w:val="0"/>
          <w:color w:val="auto"/>
          <w:sz w:val="24"/>
        </w:rPr>
        <w:t>；</w:t>
      </w:r>
    </w:p>
    <w:p w14:paraId="59D0F042" w14:textId="77777777" w:rsidR="0055605A" w:rsidRPr="00A964FF" w:rsidRDefault="0055605A" w:rsidP="0055605A">
      <w:pPr>
        <w:pStyle w:val="ad"/>
        <w:ind w:firstLineChars="500" w:firstLine="1200"/>
        <w:rPr>
          <w:rFonts w:ascii="Calibri" w:eastAsia="宋体" w:hAnsi="Calibri"/>
          <w:b w:val="0"/>
          <w:color w:val="auto"/>
          <w:sz w:val="24"/>
        </w:rPr>
      </w:pPr>
      <w:r w:rsidRPr="00A964FF">
        <w:rPr>
          <w:rFonts w:ascii="Calibri" w:eastAsia="宋体" w:hAnsi="Calibri"/>
          <w:b w:val="0"/>
          <w:color w:val="auto"/>
          <w:sz w:val="24"/>
        </w:rPr>
        <w:t>t</w:t>
      </w:r>
      <w:r w:rsidRPr="00A964FF">
        <w:rPr>
          <w:rFonts w:ascii="Calibri" w:eastAsia="宋体" w:hAnsi="Calibri" w:hint="eastAsia"/>
          <w:b w:val="0"/>
          <w:color w:val="auto"/>
          <w:sz w:val="24"/>
        </w:rPr>
        <w:t>——时间，</w:t>
      </w:r>
      <w:r w:rsidRPr="00A964FF">
        <w:rPr>
          <w:rFonts w:ascii="Calibri" w:eastAsia="宋体" w:hAnsi="Calibri" w:hint="eastAsia"/>
          <w:b w:val="0"/>
          <w:color w:val="auto"/>
          <w:sz w:val="24"/>
        </w:rPr>
        <w:t>d</w:t>
      </w:r>
      <w:r w:rsidRPr="00A964FF">
        <w:rPr>
          <w:rFonts w:ascii="Calibri" w:eastAsia="宋体" w:hAnsi="Calibri" w:hint="eastAsia"/>
          <w:b w:val="0"/>
          <w:color w:val="auto"/>
          <w:sz w:val="24"/>
        </w:rPr>
        <w:t>；</w:t>
      </w:r>
    </w:p>
    <w:p w14:paraId="3F9E0917" w14:textId="77777777" w:rsidR="0055605A" w:rsidRPr="00A964FF" w:rsidRDefault="0055605A" w:rsidP="0055605A">
      <w:pPr>
        <w:pStyle w:val="ad"/>
        <w:ind w:firstLineChars="500" w:firstLine="1200"/>
        <w:rPr>
          <w:rFonts w:ascii="Calibri" w:eastAsia="宋体" w:hAnsi="Calibri"/>
          <w:b w:val="0"/>
          <w:color w:val="auto"/>
          <w:sz w:val="24"/>
        </w:rPr>
      </w:pPr>
      <w:r w:rsidRPr="00A964FF">
        <w:rPr>
          <w:rFonts w:ascii="Calibri" w:eastAsia="宋体" w:hAnsi="Calibri" w:hint="eastAsia"/>
          <w:b w:val="0"/>
          <w:color w:val="auto"/>
          <w:sz w:val="24"/>
        </w:rPr>
        <w:t>C</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x</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t</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t</w:t>
      </w:r>
      <w:r w:rsidRPr="00A964FF">
        <w:rPr>
          <w:rFonts w:ascii="Calibri" w:eastAsia="宋体" w:hAnsi="Calibri" w:hint="eastAsia"/>
          <w:b w:val="0"/>
          <w:color w:val="auto"/>
          <w:sz w:val="24"/>
        </w:rPr>
        <w:t>时刻</w:t>
      </w:r>
      <w:r w:rsidRPr="00A964FF">
        <w:rPr>
          <w:rFonts w:ascii="Calibri" w:eastAsia="宋体" w:hAnsi="Calibri" w:hint="eastAsia"/>
          <w:b w:val="0"/>
          <w:color w:val="auto"/>
          <w:sz w:val="24"/>
        </w:rPr>
        <w:t>x</w:t>
      </w:r>
      <w:r w:rsidRPr="00A964FF">
        <w:rPr>
          <w:rFonts w:ascii="Calibri" w:eastAsia="宋体" w:hAnsi="Calibri" w:hint="eastAsia"/>
          <w:b w:val="0"/>
          <w:color w:val="auto"/>
          <w:sz w:val="24"/>
        </w:rPr>
        <w:t>处的示踪剂浓度，</w:t>
      </w:r>
      <w:r w:rsidRPr="00A964FF">
        <w:rPr>
          <w:rFonts w:ascii="Calibri" w:eastAsia="宋体" w:hAnsi="Calibri" w:hint="eastAsia"/>
          <w:b w:val="0"/>
          <w:color w:val="auto"/>
          <w:sz w:val="24"/>
        </w:rPr>
        <w:t>g/L</w:t>
      </w:r>
      <w:r w:rsidRPr="00A964FF">
        <w:rPr>
          <w:rFonts w:ascii="Calibri" w:eastAsia="宋体" w:hAnsi="Calibri" w:hint="eastAsia"/>
          <w:b w:val="0"/>
          <w:color w:val="auto"/>
          <w:sz w:val="24"/>
        </w:rPr>
        <w:t>；</w:t>
      </w:r>
    </w:p>
    <w:p w14:paraId="2CCF8D86" w14:textId="77777777" w:rsidR="0055605A" w:rsidRPr="00A964FF" w:rsidRDefault="0055605A" w:rsidP="0055605A">
      <w:pPr>
        <w:pStyle w:val="ad"/>
        <w:ind w:firstLineChars="500" w:firstLine="1200"/>
        <w:rPr>
          <w:rFonts w:ascii="Calibri" w:eastAsia="宋体" w:hAnsi="Calibri"/>
          <w:b w:val="0"/>
          <w:color w:val="auto"/>
          <w:sz w:val="24"/>
        </w:rPr>
      </w:pPr>
      <w:r w:rsidRPr="00A964FF">
        <w:rPr>
          <w:rFonts w:ascii="Calibri" w:eastAsia="宋体" w:hAnsi="Calibri" w:hint="eastAsia"/>
          <w:b w:val="0"/>
          <w:color w:val="auto"/>
          <w:sz w:val="24"/>
        </w:rPr>
        <w:t>C</w:t>
      </w:r>
      <w:r w:rsidRPr="00A964FF">
        <w:rPr>
          <w:rFonts w:ascii="Calibri" w:eastAsia="宋体" w:hAnsi="Calibri" w:hint="eastAsia"/>
          <w:b w:val="0"/>
          <w:color w:val="auto"/>
          <w:sz w:val="24"/>
          <w:vertAlign w:val="subscript"/>
        </w:rPr>
        <w:t>0</w:t>
      </w:r>
      <w:r w:rsidRPr="00A964FF">
        <w:rPr>
          <w:rFonts w:ascii="Calibri" w:eastAsia="宋体" w:hAnsi="Calibri" w:hint="eastAsia"/>
          <w:b w:val="0"/>
          <w:color w:val="auto"/>
          <w:sz w:val="24"/>
        </w:rPr>
        <w:t>——注入的示踪剂浓度，</w:t>
      </w:r>
      <w:r w:rsidRPr="00A964FF">
        <w:rPr>
          <w:rFonts w:ascii="Calibri" w:eastAsia="宋体" w:hAnsi="Calibri" w:hint="eastAsia"/>
          <w:b w:val="0"/>
          <w:color w:val="auto"/>
          <w:sz w:val="24"/>
        </w:rPr>
        <w:t>g/L</w:t>
      </w:r>
      <w:r w:rsidRPr="00A964FF">
        <w:rPr>
          <w:rFonts w:ascii="Calibri" w:eastAsia="宋体" w:hAnsi="Calibri" w:hint="eastAsia"/>
          <w:b w:val="0"/>
          <w:color w:val="auto"/>
          <w:sz w:val="24"/>
        </w:rPr>
        <w:t>；</w:t>
      </w:r>
    </w:p>
    <w:p w14:paraId="3175232D" w14:textId="77777777" w:rsidR="0055605A" w:rsidRPr="00A964FF" w:rsidRDefault="0055605A" w:rsidP="0055605A">
      <w:pPr>
        <w:pStyle w:val="ad"/>
        <w:ind w:firstLineChars="500" w:firstLine="1200"/>
        <w:rPr>
          <w:rFonts w:ascii="Calibri" w:eastAsia="宋体" w:hAnsi="Calibri"/>
          <w:b w:val="0"/>
          <w:color w:val="auto"/>
          <w:sz w:val="24"/>
        </w:rPr>
      </w:pPr>
      <w:r w:rsidRPr="00A964FF">
        <w:rPr>
          <w:rFonts w:ascii="Calibri" w:eastAsia="宋体" w:hAnsi="Calibri" w:hint="eastAsia"/>
          <w:b w:val="0"/>
          <w:color w:val="auto"/>
          <w:sz w:val="24"/>
        </w:rPr>
        <w:t>u</w:t>
      </w:r>
      <w:r w:rsidRPr="00A964FF">
        <w:rPr>
          <w:rFonts w:ascii="Calibri" w:eastAsia="宋体" w:hAnsi="Calibri" w:hint="eastAsia"/>
          <w:b w:val="0"/>
          <w:color w:val="auto"/>
          <w:sz w:val="24"/>
        </w:rPr>
        <w:t>——水流速度，</w:t>
      </w:r>
      <w:r w:rsidRPr="00A964FF">
        <w:rPr>
          <w:rFonts w:ascii="Calibri" w:eastAsia="宋体" w:hAnsi="Calibri" w:hint="eastAsia"/>
          <w:b w:val="0"/>
          <w:color w:val="auto"/>
          <w:sz w:val="24"/>
        </w:rPr>
        <w:t>m/d</w:t>
      </w:r>
      <w:r w:rsidRPr="00A964FF">
        <w:rPr>
          <w:rFonts w:ascii="Calibri" w:eastAsia="宋体" w:hAnsi="Calibri" w:hint="eastAsia"/>
          <w:b w:val="0"/>
          <w:color w:val="auto"/>
          <w:sz w:val="24"/>
        </w:rPr>
        <w:t>；</w:t>
      </w:r>
    </w:p>
    <w:p w14:paraId="75D3327C" w14:textId="77777777" w:rsidR="0055605A" w:rsidRPr="00A964FF" w:rsidRDefault="0055605A" w:rsidP="0055605A">
      <w:pPr>
        <w:pStyle w:val="ad"/>
        <w:ind w:firstLineChars="500" w:firstLine="1200"/>
        <w:rPr>
          <w:rFonts w:ascii="Calibri" w:eastAsia="宋体" w:hAnsi="Calibri"/>
          <w:b w:val="0"/>
          <w:color w:val="auto"/>
          <w:sz w:val="24"/>
        </w:rPr>
      </w:pPr>
      <w:r w:rsidRPr="00A964FF">
        <w:rPr>
          <w:rFonts w:ascii="Calibri" w:eastAsia="宋体" w:hAnsi="Calibri" w:hint="eastAsia"/>
          <w:b w:val="0"/>
          <w:color w:val="auto"/>
          <w:sz w:val="24"/>
        </w:rPr>
        <w:t>D</w:t>
      </w:r>
      <w:r w:rsidRPr="00A964FF">
        <w:rPr>
          <w:rFonts w:ascii="Calibri" w:eastAsia="宋体" w:hAnsi="Calibri" w:hint="eastAsia"/>
          <w:b w:val="0"/>
          <w:color w:val="auto"/>
          <w:sz w:val="24"/>
          <w:vertAlign w:val="subscript"/>
        </w:rPr>
        <w:t>L</w:t>
      </w:r>
      <w:r w:rsidRPr="00A964FF">
        <w:rPr>
          <w:rFonts w:ascii="Calibri" w:eastAsia="宋体" w:hAnsi="Calibri" w:hint="eastAsia"/>
          <w:b w:val="0"/>
          <w:color w:val="auto"/>
          <w:sz w:val="24"/>
        </w:rPr>
        <w:t>——纵向弥散系数（</w:t>
      </w:r>
      <w:r w:rsidRPr="00A964FF">
        <w:rPr>
          <w:rFonts w:ascii="Calibri" w:eastAsia="宋体" w:hAnsi="Calibri" w:hint="eastAsia"/>
          <w:b w:val="0"/>
          <w:color w:val="auto"/>
          <w:sz w:val="24"/>
        </w:rPr>
        <w:t>L</w:t>
      </w:r>
      <w:r w:rsidRPr="00A964FF">
        <w:rPr>
          <w:rFonts w:ascii="Calibri" w:eastAsia="宋体" w:hAnsi="Calibri" w:hint="eastAsia"/>
          <w:b w:val="0"/>
          <w:color w:val="auto"/>
          <w:sz w:val="24"/>
          <w:vertAlign w:val="superscript"/>
        </w:rPr>
        <w:t>2</w:t>
      </w:r>
      <w:r w:rsidRPr="00A964FF">
        <w:rPr>
          <w:rFonts w:ascii="Calibri" w:eastAsia="宋体" w:hAnsi="Calibri" w:hint="eastAsia"/>
          <w:b w:val="0"/>
          <w:color w:val="auto"/>
          <w:sz w:val="24"/>
        </w:rPr>
        <w:t>/T</w:t>
      </w:r>
      <w:r w:rsidRPr="00A964FF">
        <w:rPr>
          <w:rFonts w:ascii="Calibri" w:eastAsia="宋体" w:hAnsi="Calibri" w:hint="eastAsia"/>
          <w:b w:val="0"/>
          <w:color w:val="auto"/>
          <w:sz w:val="24"/>
        </w:rPr>
        <w:t>），相应于模型中的</w:t>
      </w:r>
      <w:r w:rsidRPr="00A964FF">
        <w:rPr>
          <w:rFonts w:ascii="Calibri" w:eastAsia="宋体" w:hAnsi="Calibri" w:hint="eastAsia"/>
          <w:b w:val="0"/>
          <w:color w:val="auto"/>
          <w:sz w:val="24"/>
        </w:rPr>
        <w:t>Dxx</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m</w:t>
      </w:r>
      <w:r w:rsidRPr="00A964FF">
        <w:rPr>
          <w:rFonts w:ascii="Calibri" w:eastAsia="宋体" w:hAnsi="Calibri" w:hint="eastAsia"/>
          <w:b w:val="0"/>
          <w:color w:val="auto"/>
          <w:sz w:val="24"/>
          <w:vertAlign w:val="superscript"/>
        </w:rPr>
        <w:t>2</w:t>
      </w:r>
      <w:r w:rsidRPr="00A964FF">
        <w:rPr>
          <w:rFonts w:ascii="Calibri" w:eastAsia="宋体" w:hAnsi="Calibri" w:hint="eastAsia"/>
          <w:b w:val="0"/>
          <w:color w:val="auto"/>
          <w:sz w:val="24"/>
        </w:rPr>
        <w:t>/d</w:t>
      </w:r>
      <w:r w:rsidRPr="00A964FF">
        <w:rPr>
          <w:rFonts w:ascii="Calibri" w:eastAsia="宋体" w:hAnsi="Calibri" w:hint="eastAsia"/>
          <w:b w:val="0"/>
          <w:color w:val="auto"/>
          <w:sz w:val="24"/>
        </w:rPr>
        <w:t>；</w:t>
      </w:r>
    </w:p>
    <w:p w14:paraId="4244C7A4" w14:textId="77777777" w:rsidR="0055605A" w:rsidRPr="00A964FF" w:rsidRDefault="0055605A" w:rsidP="0055605A">
      <w:pPr>
        <w:pStyle w:val="ad"/>
        <w:spacing w:line="360" w:lineRule="auto"/>
        <w:ind w:firstLineChars="500" w:firstLine="1200"/>
        <w:rPr>
          <w:rFonts w:ascii="Calibri" w:eastAsia="宋体" w:hAnsi="Calibri"/>
          <w:b w:val="0"/>
          <w:color w:val="auto"/>
          <w:sz w:val="24"/>
        </w:rPr>
      </w:pPr>
      <w:r w:rsidRPr="00A964FF">
        <w:rPr>
          <w:rFonts w:ascii="Calibri" w:eastAsia="宋体" w:hAnsi="Calibri"/>
          <w:b w:val="0"/>
          <w:color w:val="auto"/>
          <w:sz w:val="24"/>
        </w:rPr>
        <w:t>erfc</w:t>
      </w:r>
      <w:r w:rsidRPr="00A964FF">
        <w:rPr>
          <w:rFonts w:ascii="Calibri" w:eastAsia="宋体" w:hAnsi="Calibri" w:hint="eastAsia"/>
          <w:b w:val="0"/>
          <w:color w:val="auto"/>
          <w:sz w:val="24"/>
        </w:rPr>
        <w:t>（）——余误差函数，</w:t>
      </w:r>
      <w:r w:rsidRPr="00A964FF">
        <w:rPr>
          <w:rFonts w:ascii="Calibri" w:hAnsi="Calibri"/>
          <w:b w:val="0"/>
          <w:color w:val="auto"/>
          <w:position w:val="-32"/>
        </w:rPr>
        <w:object w:dxaOrig="2680" w:dyaOrig="760" w14:anchorId="0B3267AB">
          <v:shape id="_x0000_i1054" type="#_x0000_t75" style="width:133.2pt;height:40.2pt" o:ole="">
            <v:imagedata r:id="rId87" o:title=""/>
          </v:shape>
          <o:OLEObject Type="Embed" ProgID="Equation.DSMT4" ShapeID="_x0000_i1054" DrawAspect="Content" ObjectID="_1725951974" r:id="rId88"/>
        </w:object>
      </w:r>
      <w:r w:rsidRPr="00A964FF">
        <w:rPr>
          <w:rFonts w:ascii="Calibri" w:hAnsi="Calibri" w:hint="eastAsia"/>
          <w:b w:val="0"/>
          <w:color w:val="auto"/>
          <w:position w:val="-30"/>
        </w:rPr>
        <w:t>。</w:t>
      </w:r>
    </w:p>
    <w:p w14:paraId="63ABBD83" w14:textId="77777777" w:rsidR="0055605A" w:rsidRPr="00A964FF" w:rsidRDefault="00153EE6" w:rsidP="0049015A">
      <w:pPr>
        <w:spacing w:line="520" w:lineRule="exact"/>
        <w:ind w:firstLineChars="200" w:firstLine="482"/>
        <w:rPr>
          <w:rFonts w:ascii="Calibri" w:hAnsi="Calibri"/>
          <w:b/>
          <w:bCs/>
          <w:color w:val="auto"/>
          <w:sz w:val="24"/>
        </w:rPr>
      </w:pPr>
      <w:r>
        <w:rPr>
          <w:rFonts w:ascii="Calibri" w:hAnsi="Calibri"/>
          <w:b/>
          <w:bCs/>
          <w:color w:val="auto"/>
          <w:sz w:val="24"/>
        </w:rPr>
        <w:t>10</w:t>
      </w:r>
      <w:r w:rsidR="0055605A" w:rsidRPr="00A964FF">
        <w:rPr>
          <w:rFonts w:ascii="Calibri" w:hAnsi="Calibri" w:hint="eastAsia"/>
          <w:b/>
          <w:bCs/>
          <w:color w:val="auto"/>
          <w:sz w:val="24"/>
        </w:rPr>
        <w:t>、预测相关参数选取</w:t>
      </w:r>
    </w:p>
    <w:p w14:paraId="4E9229C0"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1</w:t>
      </w:r>
      <w:r w:rsidRPr="00A964FF">
        <w:rPr>
          <w:rFonts w:ascii="Calibri" w:eastAsia="宋体" w:hAnsi="Calibri" w:hint="eastAsia"/>
          <w:b w:val="0"/>
          <w:color w:val="auto"/>
          <w:sz w:val="24"/>
        </w:rPr>
        <w:t>）污染物泄漏源强</w:t>
      </w:r>
    </w:p>
    <w:p w14:paraId="58587873" w14:textId="77777777" w:rsidR="00DD1BE8" w:rsidRPr="00A964FF" w:rsidRDefault="005258F3" w:rsidP="00DD1BE8">
      <w:pPr>
        <w:spacing w:line="520" w:lineRule="exact"/>
        <w:ind w:firstLineChars="200" w:firstLine="480"/>
        <w:rPr>
          <w:rFonts w:ascii="Calibri" w:hAnsi="Calibri"/>
          <w:color w:val="auto"/>
          <w:sz w:val="24"/>
        </w:rPr>
      </w:pPr>
      <w:r w:rsidRPr="005258F3">
        <w:rPr>
          <w:rFonts w:ascii="Calibri" w:hAnsi="Calibri" w:hint="eastAsia"/>
          <w:color w:val="auto"/>
          <w:sz w:val="24"/>
        </w:rPr>
        <w:t>①</w:t>
      </w:r>
      <w:r w:rsidR="00DD1BE8" w:rsidRPr="00A964FF">
        <w:rPr>
          <w:rFonts w:ascii="Calibri" w:hAnsi="Calibri" w:hint="eastAsia"/>
          <w:color w:val="auto"/>
          <w:sz w:val="24"/>
        </w:rPr>
        <w:t>废水处理站污染物泄漏源强</w:t>
      </w:r>
    </w:p>
    <w:p w14:paraId="5511BB7A" w14:textId="77777777" w:rsidR="00DD1BE8" w:rsidRPr="00A964FF" w:rsidRDefault="00DD1BE8" w:rsidP="000D696A">
      <w:pPr>
        <w:spacing w:line="520" w:lineRule="exact"/>
        <w:ind w:firstLineChars="200" w:firstLine="480"/>
        <w:rPr>
          <w:rFonts w:ascii="Calibri" w:hAnsi="Calibri"/>
          <w:color w:val="auto"/>
          <w:sz w:val="24"/>
        </w:rPr>
      </w:pPr>
      <w:r w:rsidRPr="00A964FF">
        <w:rPr>
          <w:rFonts w:ascii="Calibri" w:hAnsi="Calibri" w:hint="eastAsia"/>
          <w:color w:val="auto"/>
          <w:sz w:val="24"/>
        </w:rPr>
        <w:t>本项目废水处理站构筑物为半地下式，出现因腐蚀、老化出现防渗材料破损最不易发现。因</w:t>
      </w:r>
      <w:r w:rsidR="006E5C8A" w:rsidRPr="00A964FF">
        <w:rPr>
          <w:rFonts w:ascii="Calibri" w:hAnsi="Calibri" w:hint="eastAsia"/>
          <w:color w:val="auto"/>
          <w:sz w:val="24"/>
        </w:rPr>
        <w:t>废水处理站</w:t>
      </w:r>
      <w:r w:rsidRPr="00A964FF">
        <w:rPr>
          <w:rFonts w:ascii="Calibri" w:hAnsi="Calibri" w:hint="eastAsia"/>
          <w:color w:val="auto"/>
          <w:sz w:val="24"/>
        </w:rPr>
        <w:t>预处理系统调节池中污染物</w:t>
      </w:r>
      <w:r w:rsidRPr="00A964FF">
        <w:rPr>
          <w:rFonts w:ascii="Calibri" w:hAnsi="Calibri" w:hint="eastAsia"/>
          <w:color w:val="auto"/>
          <w:sz w:val="24"/>
        </w:rPr>
        <w:t>COD</w:t>
      </w:r>
      <w:r w:rsidRPr="00A964FF">
        <w:rPr>
          <w:rFonts w:ascii="Calibri" w:hAnsi="Calibri" w:hint="eastAsia"/>
          <w:color w:val="auto"/>
          <w:sz w:val="24"/>
        </w:rPr>
        <w:t>、</w:t>
      </w:r>
      <w:r w:rsidRPr="00A964FF">
        <w:rPr>
          <w:rFonts w:ascii="Calibri" w:hAnsi="Calibri" w:hint="eastAsia"/>
          <w:color w:val="auto"/>
          <w:sz w:val="24"/>
        </w:rPr>
        <w:t>NH</w:t>
      </w:r>
      <w:r w:rsidRPr="00A964FF">
        <w:rPr>
          <w:rFonts w:ascii="Calibri" w:hAnsi="Calibri" w:hint="eastAsia"/>
          <w:color w:val="auto"/>
          <w:sz w:val="24"/>
          <w:vertAlign w:val="subscript"/>
        </w:rPr>
        <w:t>3</w:t>
      </w:r>
      <w:r w:rsidRPr="00A964FF">
        <w:rPr>
          <w:rFonts w:ascii="Calibri" w:hAnsi="Calibri" w:hint="eastAsia"/>
          <w:color w:val="auto"/>
          <w:sz w:val="24"/>
        </w:rPr>
        <w:t>-N</w:t>
      </w:r>
      <w:r w:rsidRPr="00A964FF">
        <w:rPr>
          <w:rFonts w:ascii="Calibri" w:hAnsi="Calibri" w:hint="eastAsia"/>
          <w:color w:val="auto"/>
          <w:sz w:val="24"/>
        </w:rPr>
        <w:t>浓度较高，因此本次预测选取</w:t>
      </w:r>
      <w:r w:rsidR="00FE74FE" w:rsidRPr="00A964FF">
        <w:rPr>
          <w:rFonts w:ascii="Calibri" w:hAnsi="Calibri" w:hint="eastAsia"/>
          <w:color w:val="auto"/>
          <w:sz w:val="24"/>
        </w:rPr>
        <w:t>废水处理站</w:t>
      </w:r>
      <w:r w:rsidR="000D696A">
        <w:rPr>
          <w:rFonts w:ascii="Calibri" w:hAnsi="Calibri" w:hint="eastAsia"/>
          <w:color w:val="auto"/>
          <w:sz w:val="24"/>
        </w:rPr>
        <w:t>预处理系统调节池作为非正常状况预测源，持续</w:t>
      </w:r>
      <w:r w:rsidR="000D696A">
        <w:rPr>
          <w:rFonts w:ascii="Calibri" w:hAnsi="Calibri"/>
          <w:color w:val="auto"/>
          <w:sz w:val="24"/>
        </w:rPr>
        <w:t>泄露及</w:t>
      </w:r>
      <w:r w:rsidR="000D696A">
        <w:rPr>
          <w:rFonts w:ascii="Calibri" w:hAnsi="Calibri" w:hint="eastAsia"/>
          <w:color w:val="auto"/>
          <w:sz w:val="24"/>
        </w:rPr>
        <w:t>泄露</w:t>
      </w:r>
      <w:r w:rsidR="000D696A">
        <w:rPr>
          <w:rFonts w:ascii="Calibri" w:hAnsi="Calibri"/>
          <w:color w:val="auto"/>
          <w:sz w:val="24"/>
        </w:rPr>
        <w:t>直至</w:t>
      </w:r>
      <w:r w:rsidRPr="00A964FF">
        <w:rPr>
          <w:rFonts w:ascii="Calibri" w:hAnsi="Calibri" w:hint="eastAsia"/>
          <w:color w:val="auto"/>
          <w:sz w:val="24"/>
        </w:rPr>
        <w:t>被发现持续时间为</w:t>
      </w:r>
      <w:r w:rsidRPr="00A964FF">
        <w:rPr>
          <w:rFonts w:ascii="Calibri" w:hAnsi="Calibri" w:hint="eastAsia"/>
          <w:color w:val="auto"/>
          <w:sz w:val="24"/>
        </w:rPr>
        <w:t>30</w:t>
      </w:r>
      <w:r w:rsidRPr="00A964FF">
        <w:rPr>
          <w:rFonts w:ascii="Calibri" w:hAnsi="Calibri" w:hint="eastAsia"/>
          <w:color w:val="auto"/>
          <w:sz w:val="24"/>
        </w:rPr>
        <w:t>天，出现破损的面积为防渗面积的</w:t>
      </w:r>
      <w:r w:rsidRPr="00A964FF">
        <w:rPr>
          <w:rFonts w:ascii="Calibri" w:hAnsi="Calibri" w:hint="eastAsia"/>
          <w:color w:val="auto"/>
          <w:sz w:val="24"/>
        </w:rPr>
        <w:t>5%</w:t>
      </w:r>
      <w:r w:rsidRPr="00A964FF">
        <w:rPr>
          <w:rFonts w:ascii="Calibri" w:hAnsi="Calibri" w:hint="eastAsia"/>
          <w:color w:val="auto"/>
          <w:sz w:val="24"/>
        </w:rPr>
        <w:t>。</w:t>
      </w:r>
    </w:p>
    <w:p w14:paraId="24522026" w14:textId="77777777" w:rsidR="00DD1BE8" w:rsidRPr="00A964FF" w:rsidRDefault="00DD1BE8" w:rsidP="00DE3F0E">
      <w:pPr>
        <w:spacing w:line="520" w:lineRule="exact"/>
        <w:ind w:firstLineChars="200" w:firstLine="480"/>
        <w:rPr>
          <w:rFonts w:ascii="Calibri" w:hAnsi="Calibri"/>
          <w:color w:val="auto"/>
          <w:sz w:val="24"/>
        </w:rPr>
      </w:pPr>
      <w:r w:rsidRPr="00A964FF">
        <w:rPr>
          <w:rFonts w:ascii="Calibri" w:hAnsi="Calibri" w:hint="eastAsia"/>
          <w:color w:val="auto"/>
          <w:sz w:val="24"/>
        </w:rPr>
        <w:t>根据相关资料，</w:t>
      </w:r>
      <w:r w:rsidRPr="00A964FF">
        <w:rPr>
          <w:rFonts w:ascii="Calibri" w:hAnsi="Calibri" w:hint="eastAsia"/>
          <w:color w:val="auto"/>
          <w:sz w:val="24"/>
        </w:rPr>
        <w:t>CODcr</w:t>
      </w:r>
      <w:r w:rsidRPr="00A964FF">
        <w:rPr>
          <w:rFonts w:ascii="Calibri" w:hAnsi="Calibri" w:hint="eastAsia"/>
          <w:color w:val="auto"/>
          <w:sz w:val="24"/>
        </w:rPr>
        <w:t>是高锰酸盐指数的</w:t>
      </w:r>
      <w:r w:rsidRPr="00A964FF">
        <w:rPr>
          <w:rFonts w:ascii="Calibri" w:hAnsi="Calibri" w:hint="eastAsia"/>
          <w:color w:val="auto"/>
          <w:sz w:val="24"/>
        </w:rPr>
        <w:t>2.75</w:t>
      </w:r>
      <w:r w:rsidRPr="00A964FF">
        <w:rPr>
          <w:rFonts w:ascii="Calibri" w:hAnsi="Calibri" w:hint="eastAsia"/>
          <w:color w:val="auto"/>
          <w:sz w:val="24"/>
        </w:rPr>
        <w:t>倍，本项目工艺废水调节池中</w:t>
      </w:r>
      <w:r w:rsidRPr="00A964FF">
        <w:rPr>
          <w:rFonts w:ascii="Calibri" w:hAnsi="Calibri" w:hint="eastAsia"/>
          <w:color w:val="auto"/>
          <w:sz w:val="24"/>
        </w:rPr>
        <w:t>CODcr</w:t>
      </w:r>
      <w:r w:rsidRPr="00A964FF">
        <w:rPr>
          <w:rFonts w:ascii="Calibri" w:hAnsi="Calibri" w:hint="eastAsia"/>
          <w:color w:val="auto"/>
          <w:sz w:val="24"/>
        </w:rPr>
        <w:t>浓度为</w:t>
      </w:r>
      <w:r w:rsidR="0049015A">
        <w:rPr>
          <w:rFonts w:ascii="Calibri" w:hAnsi="Calibri"/>
          <w:color w:val="auto"/>
          <w:sz w:val="24"/>
        </w:rPr>
        <w:t>841.69</w:t>
      </w:r>
      <w:r w:rsidR="00CC55BB" w:rsidRPr="00A964FF">
        <w:rPr>
          <w:rFonts w:ascii="Calibri" w:hAnsi="Calibri" w:hint="eastAsia"/>
          <w:color w:val="auto"/>
          <w:sz w:val="24"/>
        </w:rPr>
        <w:t>mg/L</w:t>
      </w:r>
      <w:r w:rsidRPr="00A964FF">
        <w:rPr>
          <w:rFonts w:ascii="Calibri" w:hAnsi="Calibri" w:hint="eastAsia"/>
          <w:color w:val="auto"/>
          <w:sz w:val="24"/>
        </w:rPr>
        <w:t>，则耗氧量的预测浓度为</w:t>
      </w:r>
      <w:r w:rsidR="0049015A">
        <w:rPr>
          <w:rFonts w:ascii="Calibri" w:hAnsi="Calibri"/>
          <w:color w:val="auto"/>
          <w:sz w:val="24"/>
        </w:rPr>
        <w:t>306.07</w:t>
      </w:r>
      <w:r w:rsidR="00CC55BB" w:rsidRPr="00A964FF">
        <w:rPr>
          <w:rFonts w:ascii="Calibri" w:hAnsi="Calibri" w:hint="eastAsia"/>
          <w:color w:val="auto"/>
          <w:sz w:val="24"/>
        </w:rPr>
        <w:t>mg/L</w:t>
      </w:r>
      <w:r w:rsidRPr="00A964FF">
        <w:rPr>
          <w:rFonts w:ascii="Calibri" w:hAnsi="Calibri" w:hint="eastAsia"/>
          <w:color w:val="auto"/>
          <w:sz w:val="24"/>
        </w:rPr>
        <w:t>；</w:t>
      </w:r>
      <w:r w:rsidRPr="00A964FF">
        <w:rPr>
          <w:rFonts w:ascii="Calibri" w:hAnsi="Calibri" w:hint="eastAsia"/>
          <w:color w:val="auto"/>
          <w:sz w:val="24"/>
        </w:rPr>
        <w:t>NH</w:t>
      </w:r>
      <w:r w:rsidRPr="00A964FF">
        <w:rPr>
          <w:rFonts w:ascii="Calibri" w:hAnsi="Calibri" w:hint="eastAsia"/>
          <w:color w:val="auto"/>
          <w:sz w:val="24"/>
          <w:vertAlign w:val="subscript"/>
        </w:rPr>
        <w:t>3</w:t>
      </w:r>
      <w:r w:rsidRPr="00A964FF">
        <w:rPr>
          <w:rFonts w:ascii="Calibri" w:hAnsi="Calibri" w:hint="eastAsia"/>
          <w:color w:val="auto"/>
          <w:sz w:val="24"/>
        </w:rPr>
        <w:t>-N</w:t>
      </w:r>
      <w:r w:rsidRPr="00A964FF">
        <w:rPr>
          <w:rFonts w:ascii="Calibri" w:hAnsi="Calibri" w:hint="eastAsia"/>
          <w:color w:val="auto"/>
          <w:sz w:val="24"/>
        </w:rPr>
        <w:t>的预测浓度为</w:t>
      </w:r>
      <w:r w:rsidR="0049015A">
        <w:rPr>
          <w:rFonts w:ascii="Calibri" w:hAnsi="Calibri"/>
          <w:color w:val="auto"/>
          <w:sz w:val="24"/>
        </w:rPr>
        <w:t>68.0</w:t>
      </w:r>
      <w:r w:rsidR="00CC55BB" w:rsidRPr="00A964FF">
        <w:rPr>
          <w:rFonts w:ascii="Calibri" w:hAnsi="Calibri" w:hint="eastAsia"/>
          <w:color w:val="auto"/>
          <w:sz w:val="24"/>
        </w:rPr>
        <w:t>mg/L</w:t>
      </w:r>
      <w:r w:rsidRPr="00A964FF">
        <w:rPr>
          <w:rFonts w:ascii="Calibri" w:hAnsi="Calibri" w:hint="eastAsia"/>
          <w:color w:val="auto"/>
          <w:sz w:val="24"/>
        </w:rPr>
        <w:t>。</w:t>
      </w:r>
    </w:p>
    <w:p w14:paraId="7DA809B3" w14:textId="77777777" w:rsidR="00D0550A" w:rsidRPr="00A964FF" w:rsidRDefault="0049015A" w:rsidP="00D0550A">
      <w:pPr>
        <w:spacing w:line="520" w:lineRule="exact"/>
        <w:ind w:firstLineChars="200" w:firstLine="480"/>
        <w:rPr>
          <w:rFonts w:ascii="Calibri" w:hAnsi="Calibri"/>
          <w:color w:val="auto"/>
          <w:sz w:val="24"/>
        </w:rPr>
      </w:pPr>
      <w:r w:rsidRPr="00A964FF">
        <w:rPr>
          <w:rFonts w:ascii="Calibri" w:hAnsi="Calibri" w:hint="eastAsia"/>
          <w:color w:val="auto"/>
          <w:sz w:val="24"/>
        </w:rPr>
        <w:t>②</w:t>
      </w:r>
      <w:r w:rsidR="000E33B8" w:rsidRPr="00A964FF">
        <w:rPr>
          <w:rFonts w:ascii="Calibri" w:hAnsi="Calibri" w:hint="eastAsia"/>
          <w:color w:val="auto"/>
          <w:sz w:val="24"/>
        </w:rPr>
        <w:t>危废</w:t>
      </w:r>
      <w:r w:rsidR="00D0550A" w:rsidRPr="00A964FF">
        <w:rPr>
          <w:rFonts w:ascii="Calibri" w:hAnsi="Calibri" w:hint="eastAsia"/>
          <w:color w:val="auto"/>
          <w:sz w:val="24"/>
        </w:rPr>
        <w:t>暂存间污染物泄漏源强</w:t>
      </w:r>
    </w:p>
    <w:p w14:paraId="32890533" w14:textId="77777777" w:rsidR="00C26D83" w:rsidRPr="00A964FF" w:rsidRDefault="00D0550A" w:rsidP="00DF599E">
      <w:pPr>
        <w:spacing w:line="520" w:lineRule="exact"/>
        <w:ind w:firstLineChars="200" w:firstLine="480"/>
        <w:rPr>
          <w:rFonts w:ascii="Calibri" w:hAnsi="Calibri"/>
          <w:color w:val="auto"/>
          <w:sz w:val="24"/>
        </w:rPr>
      </w:pPr>
      <w:r w:rsidRPr="00A964FF">
        <w:rPr>
          <w:rFonts w:ascii="Calibri" w:hAnsi="Calibri" w:hint="eastAsia"/>
          <w:color w:val="auto"/>
          <w:sz w:val="24"/>
        </w:rPr>
        <w:t>本项目</w:t>
      </w:r>
      <w:r w:rsidR="00CF667E" w:rsidRPr="00A964FF">
        <w:rPr>
          <w:rFonts w:ascii="Calibri" w:hAnsi="Calibri" w:hint="eastAsia"/>
          <w:color w:val="auto"/>
          <w:sz w:val="24"/>
        </w:rPr>
        <w:t>工艺过程中产生的</w:t>
      </w:r>
      <w:r w:rsidRPr="00A964FF">
        <w:rPr>
          <w:rFonts w:ascii="Calibri" w:hAnsi="Calibri" w:hint="eastAsia"/>
          <w:color w:val="auto"/>
          <w:sz w:val="24"/>
        </w:rPr>
        <w:t>液态危险废物储存在</w:t>
      </w:r>
      <w:r w:rsidR="00C26D83" w:rsidRPr="00A964FF">
        <w:rPr>
          <w:rFonts w:ascii="Calibri" w:hAnsi="Calibri" w:hint="eastAsia"/>
          <w:color w:val="auto"/>
          <w:sz w:val="24"/>
        </w:rPr>
        <w:t>危</w:t>
      </w:r>
      <w:r w:rsidRPr="00A964FF">
        <w:rPr>
          <w:rFonts w:ascii="Calibri" w:hAnsi="Calibri" w:hint="eastAsia"/>
          <w:color w:val="auto"/>
          <w:sz w:val="24"/>
        </w:rPr>
        <w:t>废暂存间</w:t>
      </w:r>
      <w:r w:rsidR="00C26D83" w:rsidRPr="00A964FF">
        <w:rPr>
          <w:rFonts w:ascii="Calibri" w:hAnsi="Calibri" w:hint="eastAsia"/>
          <w:color w:val="auto"/>
          <w:sz w:val="24"/>
        </w:rPr>
        <w:t>专用密闭储罐内</w:t>
      </w:r>
      <w:r w:rsidRPr="00A964FF">
        <w:rPr>
          <w:rFonts w:ascii="Calibri" w:hAnsi="Calibri" w:hint="eastAsia"/>
          <w:color w:val="auto"/>
          <w:sz w:val="24"/>
        </w:rPr>
        <w:t>，</w:t>
      </w:r>
      <w:r w:rsidR="001826AA" w:rsidRPr="00A964FF">
        <w:rPr>
          <w:rFonts w:ascii="Calibri" w:hAnsi="Calibri" w:hint="eastAsia"/>
          <w:color w:val="auto"/>
          <w:sz w:val="24"/>
        </w:rPr>
        <w:t>危</w:t>
      </w:r>
      <w:r w:rsidR="001826AA" w:rsidRPr="00A964FF">
        <w:rPr>
          <w:rFonts w:ascii="Calibri" w:hAnsi="Calibri" w:hint="eastAsia"/>
          <w:color w:val="auto"/>
          <w:sz w:val="24"/>
        </w:rPr>
        <w:lastRenderedPageBreak/>
        <w:t>废暂存间占地面积</w:t>
      </w:r>
      <w:r w:rsidR="0049015A">
        <w:rPr>
          <w:rFonts w:ascii="Calibri" w:hAnsi="Calibri"/>
          <w:color w:val="auto"/>
          <w:sz w:val="24"/>
        </w:rPr>
        <w:t>15</w:t>
      </w:r>
      <w:r w:rsidR="001826AA" w:rsidRPr="00A964FF">
        <w:rPr>
          <w:rFonts w:ascii="Calibri" w:hAnsi="Calibri" w:hint="eastAsia"/>
          <w:color w:val="auto"/>
          <w:sz w:val="24"/>
        </w:rPr>
        <w:t>m</w:t>
      </w:r>
      <w:r w:rsidR="001826AA" w:rsidRPr="00A964FF">
        <w:rPr>
          <w:rFonts w:ascii="Calibri" w:hAnsi="Calibri" w:hint="eastAsia"/>
          <w:color w:val="auto"/>
          <w:sz w:val="24"/>
          <w:vertAlign w:val="superscript"/>
        </w:rPr>
        <w:t>2</w:t>
      </w:r>
      <w:r w:rsidR="001826AA" w:rsidRPr="00A964FF">
        <w:rPr>
          <w:rFonts w:ascii="Calibri" w:hAnsi="Calibri" w:hint="eastAsia"/>
          <w:color w:val="auto"/>
          <w:sz w:val="24"/>
        </w:rPr>
        <w:t>，其中废机油</w:t>
      </w:r>
      <w:r w:rsidR="0049015A">
        <w:rPr>
          <w:rFonts w:ascii="Calibri" w:hAnsi="Calibri" w:hint="eastAsia"/>
          <w:color w:val="auto"/>
          <w:sz w:val="24"/>
        </w:rPr>
        <w:t>及</w:t>
      </w:r>
      <w:r w:rsidR="0049015A">
        <w:rPr>
          <w:rFonts w:ascii="Calibri" w:hAnsi="Calibri"/>
          <w:color w:val="auto"/>
          <w:sz w:val="24"/>
        </w:rPr>
        <w:t>导热油</w:t>
      </w:r>
      <w:r w:rsidR="001826AA" w:rsidRPr="00A964FF">
        <w:rPr>
          <w:rFonts w:ascii="Calibri" w:hAnsi="Calibri" w:hint="eastAsia"/>
          <w:color w:val="auto"/>
          <w:sz w:val="24"/>
        </w:rPr>
        <w:t>存放区占地面积</w:t>
      </w:r>
      <w:r w:rsidR="00C55DBA">
        <w:rPr>
          <w:rFonts w:ascii="Calibri" w:hAnsi="Calibri"/>
          <w:color w:val="auto"/>
          <w:sz w:val="24"/>
        </w:rPr>
        <w:t>6</w:t>
      </w:r>
      <w:r w:rsidR="001826AA" w:rsidRPr="00A964FF">
        <w:rPr>
          <w:rFonts w:ascii="Calibri" w:hAnsi="Calibri" w:hint="eastAsia"/>
          <w:color w:val="auto"/>
          <w:sz w:val="24"/>
        </w:rPr>
        <w:t>m</w:t>
      </w:r>
      <w:r w:rsidR="001826AA" w:rsidRPr="00A964FF">
        <w:rPr>
          <w:rFonts w:ascii="Calibri" w:hAnsi="Calibri" w:hint="eastAsia"/>
          <w:color w:val="auto"/>
          <w:sz w:val="24"/>
          <w:vertAlign w:val="superscript"/>
        </w:rPr>
        <w:t>2</w:t>
      </w:r>
      <w:r w:rsidR="00C26D83" w:rsidRPr="00A964FF">
        <w:rPr>
          <w:rFonts w:ascii="Calibri" w:hAnsi="Calibri" w:hint="eastAsia"/>
          <w:color w:val="auto"/>
          <w:sz w:val="24"/>
        </w:rPr>
        <w:t>，</w:t>
      </w:r>
      <w:r w:rsidR="001826AA" w:rsidRPr="00A964FF">
        <w:rPr>
          <w:rFonts w:ascii="Calibri" w:hAnsi="Calibri" w:hint="eastAsia"/>
          <w:color w:val="auto"/>
          <w:sz w:val="24"/>
        </w:rPr>
        <w:t>防渗层损坏的面积约占总面积的</w:t>
      </w:r>
      <w:r w:rsidR="001826AA" w:rsidRPr="00A964FF">
        <w:rPr>
          <w:rFonts w:ascii="Calibri" w:hAnsi="Calibri" w:hint="eastAsia"/>
          <w:color w:val="auto"/>
          <w:sz w:val="24"/>
        </w:rPr>
        <w:t>5</w:t>
      </w:r>
      <w:r w:rsidR="001826AA" w:rsidRPr="00A964FF">
        <w:rPr>
          <w:rFonts w:ascii="Calibri" w:hAnsi="Calibri"/>
          <w:color w:val="auto"/>
          <w:sz w:val="24"/>
        </w:rPr>
        <w:t>%</w:t>
      </w:r>
      <w:r w:rsidR="001826AA" w:rsidRPr="00A964FF">
        <w:rPr>
          <w:rFonts w:ascii="Calibri" w:hAnsi="Calibri" w:hint="eastAsia"/>
          <w:color w:val="auto"/>
          <w:sz w:val="24"/>
        </w:rPr>
        <w:t>。根据达西定律公式核算，</w:t>
      </w:r>
      <w:r w:rsidR="008D6365" w:rsidRPr="00A964FF">
        <w:rPr>
          <w:rFonts w:ascii="Calibri" w:hAnsi="Calibri" w:hint="eastAsia"/>
          <w:color w:val="auto"/>
          <w:sz w:val="24"/>
        </w:rPr>
        <w:t>危废暂存间</w:t>
      </w:r>
      <w:r w:rsidR="00C55DBA">
        <w:rPr>
          <w:rFonts w:ascii="Calibri" w:hAnsi="Calibri" w:hint="eastAsia"/>
          <w:color w:val="auto"/>
          <w:sz w:val="24"/>
        </w:rPr>
        <w:t>油类</w:t>
      </w:r>
      <w:r w:rsidR="00C26D83" w:rsidRPr="00A964FF">
        <w:rPr>
          <w:rFonts w:ascii="Calibri" w:hAnsi="Calibri" w:hint="eastAsia"/>
          <w:color w:val="auto"/>
          <w:sz w:val="24"/>
        </w:rPr>
        <w:t>渗透量</w:t>
      </w:r>
      <w:r w:rsidR="00C26D83" w:rsidRPr="00A964FF">
        <w:rPr>
          <w:rFonts w:ascii="Calibri" w:hAnsi="Calibri"/>
          <w:color w:val="auto"/>
          <w:sz w:val="24"/>
        </w:rPr>
        <w:t>为</w:t>
      </w:r>
      <w:r w:rsidR="00C55DBA">
        <w:rPr>
          <w:rFonts w:ascii="Calibri" w:hAnsi="Calibri"/>
          <w:color w:val="auto"/>
          <w:sz w:val="24"/>
        </w:rPr>
        <w:t>0.00336</w:t>
      </w:r>
      <w:r w:rsidR="00C26D83" w:rsidRPr="00A964FF">
        <w:rPr>
          <w:rFonts w:ascii="Calibri" w:hAnsi="Calibri" w:hint="eastAsia"/>
          <w:color w:val="auto"/>
          <w:sz w:val="24"/>
        </w:rPr>
        <w:t>m</w:t>
      </w:r>
      <w:r w:rsidR="00C26D83" w:rsidRPr="00A964FF">
        <w:rPr>
          <w:rFonts w:ascii="Calibri" w:hAnsi="Calibri" w:hint="eastAsia"/>
          <w:color w:val="auto"/>
          <w:sz w:val="24"/>
          <w:vertAlign w:val="superscript"/>
        </w:rPr>
        <w:t>3</w:t>
      </w:r>
      <w:r w:rsidR="00C26D83" w:rsidRPr="00A964FF">
        <w:rPr>
          <w:rFonts w:ascii="Calibri" w:hAnsi="Calibri" w:hint="eastAsia"/>
          <w:color w:val="auto"/>
          <w:sz w:val="24"/>
        </w:rPr>
        <w:t>/d</w:t>
      </w:r>
      <w:r w:rsidR="00C26D83" w:rsidRPr="00A964FF">
        <w:rPr>
          <w:rFonts w:ascii="Calibri" w:hAnsi="Calibri" w:hint="eastAsia"/>
          <w:color w:val="auto"/>
          <w:sz w:val="24"/>
        </w:rPr>
        <w:t>，废机油的密度以</w:t>
      </w:r>
      <w:r w:rsidR="00C26D83" w:rsidRPr="00A964FF">
        <w:rPr>
          <w:rFonts w:ascii="Calibri" w:hAnsi="Calibri" w:hint="eastAsia"/>
          <w:color w:val="auto"/>
          <w:sz w:val="24"/>
        </w:rPr>
        <w:t>910kg</w:t>
      </w:r>
      <w:r w:rsidR="00C26D83" w:rsidRPr="00A964FF">
        <w:rPr>
          <w:rFonts w:ascii="Calibri" w:hAnsi="Calibri"/>
          <w:color w:val="auto"/>
          <w:sz w:val="24"/>
        </w:rPr>
        <w:t>/m</w:t>
      </w:r>
      <w:r w:rsidR="00C26D83" w:rsidRPr="00A964FF">
        <w:rPr>
          <w:rFonts w:ascii="Calibri" w:hAnsi="Calibri"/>
          <w:color w:val="auto"/>
          <w:sz w:val="24"/>
          <w:vertAlign w:val="superscript"/>
        </w:rPr>
        <w:t>3</w:t>
      </w:r>
      <w:r w:rsidR="00C26D83" w:rsidRPr="00A964FF">
        <w:rPr>
          <w:rFonts w:ascii="Calibri" w:hAnsi="Calibri" w:hint="eastAsia"/>
          <w:color w:val="auto"/>
          <w:sz w:val="24"/>
        </w:rPr>
        <w:t>计，</w:t>
      </w:r>
      <w:r w:rsidR="00C26D83" w:rsidRPr="00A964FF">
        <w:rPr>
          <w:rFonts w:ascii="Calibri" w:hAnsi="Calibri"/>
          <w:color w:val="auto"/>
          <w:sz w:val="24"/>
        </w:rPr>
        <w:t>则</w:t>
      </w:r>
      <w:r w:rsidR="00C26D83" w:rsidRPr="00A964FF">
        <w:rPr>
          <w:rFonts w:ascii="Calibri" w:hAnsi="Calibri" w:hint="eastAsia"/>
          <w:color w:val="auto"/>
          <w:sz w:val="24"/>
        </w:rPr>
        <w:t>石油</w:t>
      </w:r>
      <w:r w:rsidR="0019156F" w:rsidRPr="00A964FF">
        <w:rPr>
          <w:rFonts w:ascii="Calibri" w:hAnsi="Calibri" w:hint="eastAsia"/>
          <w:color w:val="auto"/>
          <w:sz w:val="24"/>
        </w:rPr>
        <w:t>类</w:t>
      </w:r>
      <w:r w:rsidR="00C26D83" w:rsidRPr="00A964FF">
        <w:rPr>
          <w:rFonts w:ascii="Calibri" w:hAnsi="Calibri" w:hint="eastAsia"/>
          <w:color w:val="auto"/>
          <w:sz w:val="24"/>
        </w:rPr>
        <w:t>渗透质量</w:t>
      </w:r>
      <w:r w:rsidR="00C26D83" w:rsidRPr="00A964FF">
        <w:rPr>
          <w:rFonts w:ascii="Calibri" w:hAnsi="Calibri"/>
          <w:color w:val="auto"/>
          <w:sz w:val="24"/>
        </w:rPr>
        <w:t>为</w:t>
      </w:r>
      <w:r w:rsidR="00C55DBA">
        <w:rPr>
          <w:rFonts w:ascii="Calibri" w:hAnsi="Calibri"/>
          <w:color w:val="auto"/>
          <w:sz w:val="24"/>
        </w:rPr>
        <w:t>3.06</w:t>
      </w:r>
      <w:r w:rsidR="00C26D83" w:rsidRPr="00A964FF">
        <w:rPr>
          <w:rFonts w:ascii="Calibri" w:hAnsi="Calibri" w:hint="eastAsia"/>
          <w:color w:val="auto"/>
          <w:sz w:val="24"/>
        </w:rPr>
        <w:t>kg/d</w:t>
      </w:r>
      <w:r w:rsidR="00C26D83" w:rsidRPr="00A964FF">
        <w:rPr>
          <w:rFonts w:ascii="Calibri" w:hAnsi="Calibri" w:hint="eastAsia"/>
          <w:color w:val="auto"/>
          <w:sz w:val="24"/>
        </w:rPr>
        <w:t>。</w:t>
      </w:r>
    </w:p>
    <w:p w14:paraId="4D994207" w14:textId="77777777" w:rsidR="00002B3B" w:rsidRPr="00DF599E" w:rsidRDefault="00DD1BE8" w:rsidP="00DF599E">
      <w:pPr>
        <w:pStyle w:val="ad"/>
        <w:ind w:firstLineChars="250" w:firstLine="600"/>
        <w:rPr>
          <w:rFonts w:ascii="Calibri" w:eastAsia="宋体" w:hAnsi="Calibri"/>
          <w:b w:val="0"/>
          <w:color w:val="auto"/>
          <w:sz w:val="24"/>
        </w:rPr>
      </w:pPr>
      <w:r w:rsidRPr="00A964FF">
        <w:rPr>
          <w:rFonts w:ascii="Calibri" w:eastAsia="宋体" w:hAnsi="Calibri" w:hint="eastAsia"/>
          <w:b w:val="0"/>
          <w:color w:val="auto"/>
          <w:sz w:val="24"/>
        </w:rPr>
        <w:t>综上所述，本项目地下水各预测因子的浓度见表</w:t>
      </w:r>
      <w:r w:rsidRPr="00A964FF">
        <w:rPr>
          <w:rFonts w:ascii="Calibri" w:eastAsia="宋体" w:hAnsi="Calibri" w:hint="eastAsia"/>
          <w:b w:val="0"/>
          <w:color w:val="auto"/>
          <w:sz w:val="24"/>
        </w:rPr>
        <w:t>4</w:t>
      </w:r>
      <w:r w:rsidR="009E7601" w:rsidRPr="00A964FF">
        <w:rPr>
          <w:rFonts w:ascii="Calibri" w:eastAsia="宋体" w:hAnsi="Calibri" w:hint="eastAsia"/>
          <w:b w:val="0"/>
          <w:color w:val="auto"/>
          <w:sz w:val="24"/>
        </w:rPr>
        <w:t>.2</w:t>
      </w:r>
      <w:r w:rsidRPr="00A964FF">
        <w:rPr>
          <w:rFonts w:ascii="Calibri" w:eastAsia="宋体" w:hAnsi="Calibri" w:hint="eastAsia"/>
          <w:b w:val="0"/>
          <w:color w:val="auto"/>
          <w:sz w:val="24"/>
        </w:rPr>
        <w:t>-</w:t>
      </w:r>
      <w:r w:rsidR="00153EE6">
        <w:rPr>
          <w:rFonts w:ascii="Calibri" w:eastAsia="宋体" w:hAnsi="Calibri" w:hint="eastAsia"/>
          <w:b w:val="0"/>
          <w:color w:val="auto"/>
          <w:sz w:val="24"/>
        </w:rPr>
        <w:t>23</w:t>
      </w:r>
      <w:r w:rsidRPr="00A964FF">
        <w:rPr>
          <w:rFonts w:ascii="Calibri" w:eastAsia="宋体" w:hAnsi="Calibri" w:hint="eastAsia"/>
          <w:b w:val="0"/>
          <w:color w:val="auto"/>
          <w:sz w:val="24"/>
        </w:rPr>
        <w:t>。</w:t>
      </w:r>
    </w:p>
    <w:p w14:paraId="0B86F1D8" w14:textId="77777777" w:rsidR="00DD1BE8" w:rsidRPr="00DF599E" w:rsidRDefault="00DD1BE8" w:rsidP="00DF599E">
      <w:pPr>
        <w:pStyle w:val="ad"/>
        <w:ind w:firstLineChars="450" w:firstLine="1080"/>
        <w:rPr>
          <w:rFonts w:ascii="黑体" w:eastAsia="黑体" w:hAnsi="黑体"/>
          <w:b w:val="0"/>
          <w:color w:val="auto"/>
          <w:sz w:val="24"/>
        </w:rPr>
      </w:pPr>
      <w:r w:rsidRPr="00DF599E">
        <w:rPr>
          <w:rFonts w:ascii="黑体" w:eastAsia="黑体" w:hAnsi="黑体"/>
          <w:b w:val="0"/>
          <w:color w:val="auto"/>
          <w:sz w:val="24"/>
        </w:rPr>
        <w:t>表</w:t>
      </w:r>
      <w:r w:rsidRPr="00DF599E">
        <w:rPr>
          <w:rFonts w:asciiTheme="minorHAnsi" w:eastAsia="黑体" w:hAnsiTheme="minorHAnsi" w:cstheme="minorHAnsi"/>
          <w:b w:val="0"/>
          <w:color w:val="auto"/>
          <w:sz w:val="24"/>
        </w:rPr>
        <w:t>4</w:t>
      </w:r>
      <w:r w:rsidR="009E7601" w:rsidRPr="00DF599E">
        <w:rPr>
          <w:rFonts w:asciiTheme="minorHAnsi" w:eastAsia="黑体" w:hAnsiTheme="minorHAnsi" w:cstheme="minorHAnsi"/>
          <w:b w:val="0"/>
          <w:color w:val="auto"/>
          <w:sz w:val="24"/>
        </w:rPr>
        <w:t>.2</w:t>
      </w:r>
      <w:r w:rsidRPr="00DF599E">
        <w:rPr>
          <w:rFonts w:asciiTheme="minorHAnsi" w:eastAsia="黑体" w:hAnsiTheme="minorHAnsi" w:cstheme="minorHAnsi"/>
          <w:b w:val="0"/>
          <w:color w:val="auto"/>
          <w:sz w:val="24"/>
        </w:rPr>
        <w:t>-</w:t>
      </w:r>
      <w:r w:rsidR="00C55DBA">
        <w:rPr>
          <w:rFonts w:asciiTheme="minorHAnsi" w:eastAsia="黑体" w:hAnsiTheme="minorHAnsi" w:cstheme="minorHAnsi"/>
          <w:b w:val="0"/>
          <w:color w:val="auto"/>
          <w:sz w:val="24"/>
        </w:rPr>
        <w:t>2</w:t>
      </w:r>
      <w:r w:rsidR="00153EE6">
        <w:rPr>
          <w:rFonts w:asciiTheme="minorHAnsi" w:eastAsia="黑体" w:hAnsiTheme="minorHAnsi" w:cstheme="minorHAnsi"/>
          <w:b w:val="0"/>
          <w:color w:val="auto"/>
          <w:sz w:val="24"/>
        </w:rPr>
        <w:t>3</w:t>
      </w:r>
      <w:r w:rsidRPr="00DF599E">
        <w:rPr>
          <w:rFonts w:ascii="黑体" w:eastAsia="黑体" w:hAnsi="黑体"/>
          <w:b w:val="0"/>
          <w:color w:val="auto"/>
          <w:sz w:val="24"/>
        </w:rPr>
        <w:t xml:space="preserve">          地下水预测污染物源强参数</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2"/>
        <w:gridCol w:w="992"/>
        <w:gridCol w:w="995"/>
        <w:gridCol w:w="849"/>
        <w:gridCol w:w="853"/>
        <w:gridCol w:w="1241"/>
        <w:gridCol w:w="827"/>
        <w:gridCol w:w="1244"/>
        <w:gridCol w:w="1007"/>
      </w:tblGrid>
      <w:tr w:rsidR="00DD1BE8" w:rsidRPr="00AF3CF3" w14:paraId="7FF9B3A6" w14:textId="77777777" w:rsidTr="00AF3CF3">
        <w:trPr>
          <w:trHeight w:val="397"/>
        </w:trPr>
        <w:tc>
          <w:tcPr>
            <w:tcW w:w="398" w:type="pct"/>
            <w:vAlign w:val="center"/>
          </w:tcPr>
          <w:p w14:paraId="52F8A324"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预测</w:t>
            </w:r>
          </w:p>
          <w:p w14:paraId="27977458"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状态</w:t>
            </w:r>
          </w:p>
        </w:tc>
        <w:tc>
          <w:tcPr>
            <w:tcW w:w="1142" w:type="pct"/>
            <w:gridSpan w:val="2"/>
            <w:vAlign w:val="center"/>
          </w:tcPr>
          <w:p w14:paraId="78572CC1"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污染源</w:t>
            </w:r>
          </w:p>
        </w:tc>
        <w:tc>
          <w:tcPr>
            <w:tcW w:w="488" w:type="pct"/>
            <w:vAlign w:val="center"/>
          </w:tcPr>
          <w:p w14:paraId="435CF1AF"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预测因子</w:t>
            </w:r>
          </w:p>
        </w:tc>
        <w:tc>
          <w:tcPr>
            <w:tcW w:w="490" w:type="pct"/>
            <w:tcBorders>
              <w:right w:val="single" w:sz="4" w:space="0" w:color="auto"/>
            </w:tcBorders>
            <w:vAlign w:val="center"/>
          </w:tcPr>
          <w:p w14:paraId="5FB08CEE" w14:textId="77777777" w:rsidR="00DD1BE8" w:rsidRPr="00AF3CF3" w:rsidRDefault="00DD1BE8" w:rsidP="00C26D83">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污染物源强（</w:t>
            </w:r>
            <w:r w:rsidRPr="00AF3CF3">
              <w:rPr>
                <w:rFonts w:asciiTheme="minorHAnsi" w:eastAsiaTheme="minorEastAsia" w:hAnsiTheme="minorHAnsi" w:cstheme="minorHAnsi"/>
                <w:color w:val="auto"/>
                <w:sz w:val="21"/>
                <w:szCs w:val="21"/>
                <w:u w:val="single"/>
              </w:rPr>
              <w:t>kg</w:t>
            </w:r>
            <w:r w:rsidRPr="00AF3CF3">
              <w:rPr>
                <w:rFonts w:asciiTheme="minorHAnsi" w:eastAsiaTheme="minorEastAsia" w:hAnsiTheme="minorEastAsia" w:cstheme="minorHAnsi"/>
                <w:color w:val="auto"/>
                <w:sz w:val="21"/>
                <w:szCs w:val="21"/>
                <w:u w:val="single"/>
              </w:rPr>
              <w:t>）</w:t>
            </w:r>
          </w:p>
        </w:tc>
        <w:tc>
          <w:tcPr>
            <w:tcW w:w="713" w:type="pct"/>
            <w:tcBorders>
              <w:left w:val="single" w:sz="4" w:space="0" w:color="auto"/>
            </w:tcBorders>
            <w:vAlign w:val="center"/>
          </w:tcPr>
          <w:p w14:paraId="131B75CF" w14:textId="77777777" w:rsidR="00DD1BE8" w:rsidRPr="00AF3CF3" w:rsidRDefault="00DD1BE8" w:rsidP="00DD1BE8">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污染物源强</w:t>
            </w:r>
          </w:p>
          <w:p w14:paraId="1F833688" w14:textId="77777777" w:rsidR="00DD1BE8" w:rsidRPr="00AF3CF3" w:rsidRDefault="00DD1BE8" w:rsidP="00DD1BE8">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w:t>
            </w:r>
            <w:r w:rsidR="00CC55BB" w:rsidRPr="00AF3CF3">
              <w:rPr>
                <w:rFonts w:asciiTheme="minorHAnsi" w:eastAsiaTheme="minorEastAsia" w:hAnsiTheme="minorHAnsi" w:cstheme="minorHAnsi"/>
                <w:color w:val="auto"/>
                <w:sz w:val="21"/>
                <w:szCs w:val="21"/>
                <w:u w:val="single"/>
              </w:rPr>
              <w:t>mg/L</w:t>
            </w:r>
            <w:r w:rsidRPr="00AF3CF3">
              <w:rPr>
                <w:rFonts w:asciiTheme="minorHAnsi" w:eastAsiaTheme="minorEastAsia" w:hAnsiTheme="minorEastAsia" w:cstheme="minorHAnsi"/>
                <w:color w:val="auto"/>
                <w:sz w:val="21"/>
                <w:szCs w:val="21"/>
                <w:u w:val="single"/>
              </w:rPr>
              <w:t>）</w:t>
            </w:r>
          </w:p>
        </w:tc>
        <w:tc>
          <w:tcPr>
            <w:tcW w:w="475" w:type="pct"/>
            <w:vAlign w:val="center"/>
          </w:tcPr>
          <w:p w14:paraId="07CFB8F4"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泄漏</w:t>
            </w:r>
          </w:p>
          <w:p w14:paraId="46F72F4C"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时间</w:t>
            </w:r>
          </w:p>
        </w:tc>
        <w:tc>
          <w:tcPr>
            <w:tcW w:w="715" w:type="pct"/>
            <w:vAlign w:val="center"/>
          </w:tcPr>
          <w:p w14:paraId="13DE5B77"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环境质量标准（</w:t>
            </w:r>
            <w:r w:rsidR="00CC55BB" w:rsidRPr="00AF3CF3">
              <w:rPr>
                <w:rFonts w:asciiTheme="minorHAnsi" w:eastAsiaTheme="minorEastAsia" w:hAnsiTheme="minorHAnsi" w:cstheme="minorHAnsi"/>
                <w:color w:val="auto"/>
                <w:sz w:val="21"/>
                <w:szCs w:val="21"/>
                <w:u w:val="single"/>
              </w:rPr>
              <w:t>mg/L</w:t>
            </w:r>
            <w:r w:rsidRPr="00AF3CF3">
              <w:rPr>
                <w:rFonts w:asciiTheme="minorHAnsi" w:eastAsiaTheme="minorEastAsia" w:hAnsiTheme="minorEastAsia" w:cstheme="minorHAnsi"/>
                <w:color w:val="auto"/>
                <w:sz w:val="21"/>
                <w:szCs w:val="21"/>
                <w:u w:val="single"/>
              </w:rPr>
              <w:t>）</w:t>
            </w:r>
          </w:p>
        </w:tc>
        <w:tc>
          <w:tcPr>
            <w:tcW w:w="579" w:type="pct"/>
            <w:vAlign w:val="center"/>
          </w:tcPr>
          <w:p w14:paraId="5467AA70"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检出限</w:t>
            </w:r>
          </w:p>
          <w:p w14:paraId="28026C19" w14:textId="77777777" w:rsidR="00DD1BE8" w:rsidRPr="00AF3CF3" w:rsidRDefault="00DD1BE8"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w:t>
            </w:r>
            <w:r w:rsidR="00CC55BB" w:rsidRPr="00AF3CF3">
              <w:rPr>
                <w:rFonts w:asciiTheme="minorHAnsi" w:eastAsiaTheme="minorEastAsia" w:hAnsiTheme="minorHAnsi" w:cstheme="minorHAnsi"/>
                <w:color w:val="auto"/>
                <w:sz w:val="21"/>
                <w:szCs w:val="21"/>
                <w:u w:val="single"/>
              </w:rPr>
              <w:t>mg/L</w:t>
            </w:r>
            <w:r w:rsidRPr="00AF3CF3">
              <w:rPr>
                <w:rFonts w:asciiTheme="minorHAnsi" w:eastAsiaTheme="minorEastAsia" w:hAnsiTheme="minorEastAsia" w:cstheme="minorHAnsi"/>
                <w:color w:val="auto"/>
                <w:sz w:val="21"/>
                <w:szCs w:val="21"/>
                <w:u w:val="single"/>
              </w:rPr>
              <w:t>）</w:t>
            </w:r>
          </w:p>
        </w:tc>
      </w:tr>
      <w:tr w:rsidR="00DF599E" w:rsidRPr="00AF3CF3" w14:paraId="492C90D0" w14:textId="77777777" w:rsidTr="00AF3CF3">
        <w:trPr>
          <w:trHeight w:val="397"/>
        </w:trPr>
        <w:tc>
          <w:tcPr>
            <w:tcW w:w="398" w:type="pct"/>
            <w:vMerge w:val="restart"/>
            <w:vAlign w:val="center"/>
          </w:tcPr>
          <w:p w14:paraId="296DECD4" w14:textId="77777777" w:rsidR="00DF599E" w:rsidRPr="00AF3CF3" w:rsidRDefault="00C55DBA"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hint="eastAsia"/>
                <w:color w:val="auto"/>
                <w:sz w:val="21"/>
                <w:szCs w:val="21"/>
                <w:u w:val="single"/>
              </w:rPr>
              <w:t>非正常状况</w:t>
            </w:r>
          </w:p>
        </w:tc>
        <w:tc>
          <w:tcPr>
            <w:tcW w:w="570" w:type="pct"/>
            <w:vMerge w:val="restart"/>
            <w:tcBorders>
              <w:right w:val="single" w:sz="4" w:space="0" w:color="auto"/>
            </w:tcBorders>
            <w:vAlign w:val="center"/>
          </w:tcPr>
          <w:p w14:paraId="79234EDD"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废水处理站</w:t>
            </w:r>
          </w:p>
        </w:tc>
        <w:tc>
          <w:tcPr>
            <w:tcW w:w="572" w:type="pct"/>
            <w:vMerge w:val="restart"/>
            <w:tcBorders>
              <w:left w:val="single" w:sz="4" w:space="0" w:color="auto"/>
            </w:tcBorders>
            <w:vAlign w:val="center"/>
          </w:tcPr>
          <w:p w14:paraId="5A9569EC"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短时泄漏</w:t>
            </w:r>
          </w:p>
        </w:tc>
        <w:tc>
          <w:tcPr>
            <w:tcW w:w="488" w:type="pct"/>
            <w:vAlign w:val="center"/>
          </w:tcPr>
          <w:p w14:paraId="310D6378"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COD</w:t>
            </w:r>
            <w:r w:rsidRPr="00AF3CF3">
              <w:rPr>
                <w:rFonts w:asciiTheme="minorHAnsi" w:eastAsiaTheme="minorEastAsia" w:hAnsiTheme="minorHAnsi" w:cstheme="minorHAnsi"/>
                <w:color w:val="auto"/>
                <w:sz w:val="21"/>
                <w:szCs w:val="21"/>
                <w:u w:val="single"/>
                <w:vertAlign w:val="subscript"/>
              </w:rPr>
              <w:t>Mn</w:t>
            </w:r>
          </w:p>
        </w:tc>
        <w:tc>
          <w:tcPr>
            <w:tcW w:w="490" w:type="pct"/>
            <w:tcBorders>
              <w:right w:val="single" w:sz="4" w:space="0" w:color="auto"/>
            </w:tcBorders>
            <w:vAlign w:val="center"/>
          </w:tcPr>
          <w:p w14:paraId="69ADB92D"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w:t>
            </w:r>
          </w:p>
        </w:tc>
        <w:tc>
          <w:tcPr>
            <w:tcW w:w="713" w:type="pct"/>
            <w:tcBorders>
              <w:left w:val="single" w:sz="4" w:space="0" w:color="auto"/>
            </w:tcBorders>
            <w:vAlign w:val="center"/>
          </w:tcPr>
          <w:p w14:paraId="48A5D13C" w14:textId="77777777" w:rsidR="00DF599E" w:rsidRPr="00AF3CF3" w:rsidRDefault="00C55DBA"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306.07</w:t>
            </w:r>
          </w:p>
        </w:tc>
        <w:tc>
          <w:tcPr>
            <w:tcW w:w="475" w:type="pct"/>
            <w:vAlign w:val="center"/>
          </w:tcPr>
          <w:p w14:paraId="1C58B521"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30d</w:t>
            </w:r>
          </w:p>
        </w:tc>
        <w:tc>
          <w:tcPr>
            <w:tcW w:w="715" w:type="pct"/>
            <w:vAlign w:val="center"/>
          </w:tcPr>
          <w:p w14:paraId="12296DA9"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3.0</w:t>
            </w:r>
          </w:p>
        </w:tc>
        <w:tc>
          <w:tcPr>
            <w:tcW w:w="579" w:type="pct"/>
            <w:vAlign w:val="center"/>
          </w:tcPr>
          <w:p w14:paraId="5A60A87C"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0.05</w:t>
            </w:r>
          </w:p>
        </w:tc>
      </w:tr>
      <w:tr w:rsidR="00DF599E" w:rsidRPr="00AF3CF3" w14:paraId="4874A6D9" w14:textId="77777777" w:rsidTr="00AF3CF3">
        <w:trPr>
          <w:trHeight w:val="397"/>
        </w:trPr>
        <w:tc>
          <w:tcPr>
            <w:tcW w:w="398" w:type="pct"/>
            <w:vMerge/>
            <w:vAlign w:val="center"/>
          </w:tcPr>
          <w:p w14:paraId="4DBC4764"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p>
        </w:tc>
        <w:tc>
          <w:tcPr>
            <w:tcW w:w="570" w:type="pct"/>
            <w:vMerge/>
            <w:tcBorders>
              <w:right w:val="single" w:sz="4" w:space="0" w:color="auto"/>
            </w:tcBorders>
            <w:vAlign w:val="center"/>
          </w:tcPr>
          <w:p w14:paraId="4B0B9A46"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p>
        </w:tc>
        <w:tc>
          <w:tcPr>
            <w:tcW w:w="572" w:type="pct"/>
            <w:vMerge/>
            <w:tcBorders>
              <w:left w:val="single" w:sz="4" w:space="0" w:color="auto"/>
            </w:tcBorders>
            <w:vAlign w:val="center"/>
          </w:tcPr>
          <w:p w14:paraId="172A4C32"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p>
        </w:tc>
        <w:tc>
          <w:tcPr>
            <w:tcW w:w="488" w:type="pct"/>
            <w:vAlign w:val="center"/>
          </w:tcPr>
          <w:p w14:paraId="4CB9C8B2"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NH</w:t>
            </w:r>
            <w:r w:rsidRPr="00AF3CF3">
              <w:rPr>
                <w:rFonts w:asciiTheme="minorHAnsi" w:eastAsiaTheme="minorEastAsia" w:hAnsiTheme="minorHAnsi" w:cstheme="minorHAnsi"/>
                <w:color w:val="auto"/>
                <w:sz w:val="21"/>
                <w:szCs w:val="21"/>
                <w:u w:val="single"/>
                <w:vertAlign w:val="subscript"/>
              </w:rPr>
              <w:t>3</w:t>
            </w:r>
            <w:r w:rsidRPr="00AF3CF3">
              <w:rPr>
                <w:rFonts w:asciiTheme="minorHAnsi" w:eastAsiaTheme="minorEastAsia" w:hAnsiTheme="minorHAnsi" w:cstheme="minorHAnsi"/>
                <w:color w:val="auto"/>
                <w:sz w:val="21"/>
                <w:szCs w:val="21"/>
                <w:u w:val="single"/>
              </w:rPr>
              <w:t>-N</w:t>
            </w:r>
          </w:p>
        </w:tc>
        <w:tc>
          <w:tcPr>
            <w:tcW w:w="490" w:type="pct"/>
            <w:tcBorders>
              <w:right w:val="single" w:sz="4" w:space="0" w:color="auto"/>
            </w:tcBorders>
            <w:vAlign w:val="center"/>
          </w:tcPr>
          <w:p w14:paraId="0E5526CA"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w:t>
            </w:r>
          </w:p>
        </w:tc>
        <w:tc>
          <w:tcPr>
            <w:tcW w:w="713" w:type="pct"/>
            <w:tcBorders>
              <w:left w:val="single" w:sz="4" w:space="0" w:color="auto"/>
            </w:tcBorders>
            <w:vAlign w:val="center"/>
          </w:tcPr>
          <w:p w14:paraId="73BDC9DA" w14:textId="77777777" w:rsidR="00DF599E" w:rsidRPr="00AF3CF3" w:rsidRDefault="00C55DBA"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68.0</w:t>
            </w:r>
          </w:p>
        </w:tc>
        <w:tc>
          <w:tcPr>
            <w:tcW w:w="475" w:type="pct"/>
            <w:vAlign w:val="center"/>
          </w:tcPr>
          <w:p w14:paraId="52F5B26B"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30d</w:t>
            </w:r>
          </w:p>
        </w:tc>
        <w:tc>
          <w:tcPr>
            <w:tcW w:w="715" w:type="pct"/>
            <w:vAlign w:val="center"/>
          </w:tcPr>
          <w:p w14:paraId="36CAA763" w14:textId="77777777" w:rsidR="00DF599E" w:rsidRPr="00AF3CF3" w:rsidRDefault="00DF599E" w:rsidP="00DD1BE8">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0.5</w:t>
            </w:r>
          </w:p>
        </w:tc>
        <w:tc>
          <w:tcPr>
            <w:tcW w:w="579" w:type="pct"/>
            <w:vAlign w:val="center"/>
          </w:tcPr>
          <w:p w14:paraId="178445C0" w14:textId="77777777" w:rsidR="00DF599E" w:rsidRPr="00AF3CF3" w:rsidRDefault="00DF599E"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0.02</w:t>
            </w:r>
          </w:p>
        </w:tc>
      </w:tr>
      <w:tr w:rsidR="00C55DBA" w:rsidRPr="00AF3CF3" w14:paraId="3AB3DAF9" w14:textId="77777777" w:rsidTr="00AF3CF3">
        <w:trPr>
          <w:trHeight w:val="397"/>
        </w:trPr>
        <w:tc>
          <w:tcPr>
            <w:tcW w:w="398" w:type="pct"/>
            <w:vMerge/>
            <w:vAlign w:val="center"/>
          </w:tcPr>
          <w:p w14:paraId="3E31B357"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p>
        </w:tc>
        <w:tc>
          <w:tcPr>
            <w:tcW w:w="570" w:type="pct"/>
            <w:vMerge/>
            <w:tcBorders>
              <w:right w:val="single" w:sz="4" w:space="0" w:color="auto"/>
            </w:tcBorders>
            <w:vAlign w:val="center"/>
          </w:tcPr>
          <w:p w14:paraId="13B9E8A6"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p>
        </w:tc>
        <w:tc>
          <w:tcPr>
            <w:tcW w:w="572" w:type="pct"/>
            <w:vMerge w:val="restart"/>
            <w:tcBorders>
              <w:left w:val="single" w:sz="4" w:space="0" w:color="auto"/>
            </w:tcBorders>
            <w:vAlign w:val="center"/>
          </w:tcPr>
          <w:p w14:paraId="5E1EEC30"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持续泄漏</w:t>
            </w:r>
          </w:p>
        </w:tc>
        <w:tc>
          <w:tcPr>
            <w:tcW w:w="488" w:type="pct"/>
            <w:vAlign w:val="center"/>
          </w:tcPr>
          <w:p w14:paraId="6357DD01"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COD</w:t>
            </w:r>
            <w:r w:rsidRPr="00AF3CF3">
              <w:rPr>
                <w:rFonts w:asciiTheme="minorHAnsi" w:eastAsiaTheme="minorEastAsia" w:hAnsiTheme="minorHAnsi" w:cstheme="minorHAnsi"/>
                <w:color w:val="auto"/>
                <w:sz w:val="21"/>
                <w:szCs w:val="21"/>
                <w:u w:val="single"/>
                <w:vertAlign w:val="subscript"/>
              </w:rPr>
              <w:t>Mn</w:t>
            </w:r>
          </w:p>
        </w:tc>
        <w:tc>
          <w:tcPr>
            <w:tcW w:w="490" w:type="pct"/>
            <w:tcBorders>
              <w:right w:val="single" w:sz="4" w:space="0" w:color="auto"/>
            </w:tcBorders>
            <w:vAlign w:val="center"/>
          </w:tcPr>
          <w:p w14:paraId="3CC65AF6"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w:t>
            </w:r>
          </w:p>
        </w:tc>
        <w:tc>
          <w:tcPr>
            <w:tcW w:w="713" w:type="pct"/>
            <w:tcBorders>
              <w:left w:val="single" w:sz="4" w:space="0" w:color="auto"/>
            </w:tcBorders>
            <w:vAlign w:val="center"/>
          </w:tcPr>
          <w:p w14:paraId="209C62EA"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306.07</w:t>
            </w:r>
          </w:p>
        </w:tc>
        <w:tc>
          <w:tcPr>
            <w:tcW w:w="475" w:type="pct"/>
            <w:vAlign w:val="center"/>
          </w:tcPr>
          <w:p w14:paraId="2A8B72CA"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365d</w:t>
            </w:r>
          </w:p>
        </w:tc>
        <w:tc>
          <w:tcPr>
            <w:tcW w:w="715" w:type="pct"/>
            <w:vAlign w:val="center"/>
          </w:tcPr>
          <w:p w14:paraId="42BF89AC"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3.0</w:t>
            </w:r>
          </w:p>
        </w:tc>
        <w:tc>
          <w:tcPr>
            <w:tcW w:w="579" w:type="pct"/>
            <w:vAlign w:val="center"/>
          </w:tcPr>
          <w:p w14:paraId="4911609A"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0.05</w:t>
            </w:r>
          </w:p>
        </w:tc>
      </w:tr>
      <w:tr w:rsidR="00C55DBA" w:rsidRPr="00AF3CF3" w14:paraId="71A9FE8F" w14:textId="77777777" w:rsidTr="00AF3CF3">
        <w:trPr>
          <w:trHeight w:val="397"/>
        </w:trPr>
        <w:tc>
          <w:tcPr>
            <w:tcW w:w="398" w:type="pct"/>
            <w:vMerge/>
            <w:vAlign w:val="center"/>
          </w:tcPr>
          <w:p w14:paraId="20E452EF"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p>
        </w:tc>
        <w:tc>
          <w:tcPr>
            <w:tcW w:w="570" w:type="pct"/>
            <w:vMerge/>
            <w:tcBorders>
              <w:right w:val="single" w:sz="4" w:space="0" w:color="auto"/>
            </w:tcBorders>
            <w:vAlign w:val="center"/>
          </w:tcPr>
          <w:p w14:paraId="724E5172"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p>
        </w:tc>
        <w:tc>
          <w:tcPr>
            <w:tcW w:w="572" w:type="pct"/>
            <w:vMerge/>
            <w:tcBorders>
              <w:left w:val="single" w:sz="4" w:space="0" w:color="auto"/>
            </w:tcBorders>
            <w:vAlign w:val="center"/>
          </w:tcPr>
          <w:p w14:paraId="41976C37"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p>
        </w:tc>
        <w:tc>
          <w:tcPr>
            <w:tcW w:w="488" w:type="pct"/>
            <w:vAlign w:val="center"/>
          </w:tcPr>
          <w:p w14:paraId="691F3FBD"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NH</w:t>
            </w:r>
            <w:r w:rsidRPr="00AF3CF3">
              <w:rPr>
                <w:rFonts w:asciiTheme="minorHAnsi" w:eastAsiaTheme="minorEastAsia" w:hAnsiTheme="minorHAnsi" w:cstheme="minorHAnsi"/>
                <w:color w:val="auto"/>
                <w:sz w:val="21"/>
                <w:szCs w:val="21"/>
                <w:u w:val="single"/>
                <w:vertAlign w:val="subscript"/>
              </w:rPr>
              <w:t>3</w:t>
            </w:r>
            <w:r w:rsidRPr="00AF3CF3">
              <w:rPr>
                <w:rFonts w:asciiTheme="minorHAnsi" w:eastAsiaTheme="minorEastAsia" w:hAnsiTheme="minorHAnsi" w:cstheme="minorHAnsi"/>
                <w:color w:val="auto"/>
                <w:sz w:val="21"/>
                <w:szCs w:val="21"/>
                <w:u w:val="single"/>
              </w:rPr>
              <w:t>-N</w:t>
            </w:r>
          </w:p>
        </w:tc>
        <w:tc>
          <w:tcPr>
            <w:tcW w:w="490" w:type="pct"/>
            <w:tcBorders>
              <w:right w:val="single" w:sz="4" w:space="0" w:color="auto"/>
            </w:tcBorders>
            <w:vAlign w:val="center"/>
          </w:tcPr>
          <w:p w14:paraId="6EDD139E"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w:t>
            </w:r>
          </w:p>
        </w:tc>
        <w:tc>
          <w:tcPr>
            <w:tcW w:w="713" w:type="pct"/>
            <w:tcBorders>
              <w:left w:val="single" w:sz="4" w:space="0" w:color="auto"/>
            </w:tcBorders>
            <w:vAlign w:val="center"/>
          </w:tcPr>
          <w:p w14:paraId="32468C0F"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68.0</w:t>
            </w:r>
          </w:p>
        </w:tc>
        <w:tc>
          <w:tcPr>
            <w:tcW w:w="475" w:type="pct"/>
            <w:vAlign w:val="center"/>
          </w:tcPr>
          <w:p w14:paraId="5777F86F"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365d</w:t>
            </w:r>
          </w:p>
        </w:tc>
        <w:tc>
          <w:tcPr>
            <w:tcW w:w="715" w:type="pct"/>
            <w:vAlign w:val="center"/>
          </w:tcPr>
          <w:p w14:paraId="3082A420"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0.5</w:t>
            </w:r>
          </w:p>
        </w:tc>
        <w:tc>
          <w:tcPr>
            <w:tcW w:w="579" w:type="pct"/>
            <w:vAlign w:val="center"/>
          </w:tcPr>
          <w:p w14:paraId="1EDF2563" w14:textId="77777777" w:rsidR="00C55DBA" w:rsidRPr="00AF3CF3" w:rsidRDefault="00C55DBA" w:rsidP="00C55DBA">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0.02</w:t>
            </w:r>
          </w:p>
        </w:tc>
      </w:tr>
      <w:tr w:rsidR="00C55DBA" w:rsidRPr="00AF3CF3" w14:paraId="5603C39E" w14:textId="77777777" w:rsidTr="00AF3CF3">
        <w:trPr>
          <w:trHeight w:val="397"/>
        </w:trPr>
        <w:tc>
          <w:tcPr>
            <w:tcW w:w="398" w:type="pct"/>
            <w:vMerge/>
            <w:vAlign w:val="center"/>
          </w:tcPr>
          <w:p w14:paraId="2197AB9D" w14:textId="77777777" w:rsidR="00C55DBA" w:rsidRPr="00AF3CF3" w:rsidRDefault="00C55DBA" w:rsidP="00691551">
            <w:pPr>
              <w:pStyle w:val="ad"/>
              <w:spacing w:line="240" w:lineRule="auto"/>
              <w:jc w:val="center"/>
              <w:rPr>
                <w:rFonts w:asciiTheme="minorHAnsi" w:eastAsiaTheme="minorEastAsia" w:hAnsiTheme="minorHAnsi" w:cstheme="minorHAnsi"/>
                <w:color w:val="auto"/>
                <w:sz w:val="21"/>
                <w:szCs w:val="21"/>
                <w:u w:val="single"/>
              </w:rPr>
            </w:pPr>
          </w:p>
        </w:tc>
        <w:tc>
          <w:tcPr>
            <w:tcW w:w="570" w:type="pct"/>
            <w:vAlign w:val="center"/>
          </w:tcPr>
          <w:p w14:paraId="529F5CA8" w14:textId="77777777" w:rsidR="00C55DBA" w:rsidRPr="00AF3CF3" w:rsidRDefault="00C55DBA"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hint="eastAsia"/>
                <w:color w:val="auto"/>
                <w:sz w:val="21"/>
                <w:szCs w:val="21"/>
                <w:u w:val="single"/>
              </w:rPr>
              <w:t>危废</w:t>
            </w:r>
            <w:r w:rsidRPr="00AF3CF3">
              <w:rPr>
                <w:rFonts w:asciiTheme="minorHAnsi" w:eastAsiaTheme="minorEastAsia" w:hAnsiTheme="minorHAnsi" w:cstheme="minorHAnsi"/>
                <w:color w:val="auto"/>
                <w:sz w:val="21"/>
                <w:szCs w:val="21"/>
                <w:u w:val="single"/>
              </w:rPr>
              <w:t>暂存间</w:t>
            </w:r>
          </w:p>
        </w:tc>
        <w:tc>
          <w:tcPr>
            <w:tcW w:w="572" w:type="pct"/>
            <w:vAlign w:val="center"/>
          </w:tcPr>
          <w:p w14:paraId="46B282D4" w14:textId="77777777" w:rsidR="00C55DBA" w:rsidRPr="00AF3CF3" w:rsidRDefault="00C55DBA" w:rsidP="0069155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hint="eastAsia"/>
                <w:color w:val="auto"/>
                <w:sz w:val="21"/>
                <w:szCs w:val="21"/>
                <w:u w:val="single"/>
              </w:rPr>
              <w:t>瞬时</w:t>
            </w:r>
            <w:r w:rsidRPr="00AF3CF3">
              <w:rPr>
                <w:rFonts w:asciiTheme="minorHAnsi" w:eastAsiaTheme="minorEastAsia" w:hAnsiTheme="minorHAnsi" w:cstheme="minorHAnsi"/>
                <w:color w:val="auto"/>
                <w:sz w:val="21"/>
                <w:szCs w:val="21"/>
                <w:u w:val="single"/>
              </w:rPr>
              <w:t>泄露</w:t>
            </w:r>
          </w:p>
        </w:tc>
        <w:tc>
          <w:tcPr>
            <w:tcW w:w="488" w:type="pct"/>
            <w:vAlign w:val="center"/>
          </w:tcPr>
          <w:p w14:paraId="4951EB23" w14:textId="77777777" w:rsidR="00C55DBA" w:rsidRPr="00AF3CF3" w:rsidRDefault="00C55DBA" w:rsidP="0019156F">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EastAsia" w:cstheme="minorHAnsi"/>
                <w:color w:val="auto"/>
                <w:sz w:val="21"/>
                <w:szCs w:val="21"/>
                <w:u w:val="single"/>
              </w:rPr>
              <w:t>石油类</w:t>
            </w:r>
          </w:p>
        </w:tc>
        <w:tc>
          <w:tcPr>
            <w:tcW w:w="490" w:type="pct"/>
            <w:tcBorders>
              <w:right w:val="single" w:sz="4" w:space="0" w:color="auto"/>
            </w:tcBorders>
            <w:vAlign w:val="center"/>
          </w:tcPr>
          <w:p w14:paraId="66B67BAC" w14:textId="77777777" w:rsidR="00C55DBA" w:rsidRPr="00AF3CF3" w:rsidRDefault="00C55DBA" w:rsidP="00C26D83">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3.06</w:t>
            </w:r>
          </w:p>
        </w:tc>
        <w:tc>
          <w:tcPr>
            <w:tcW w:w="713" w:type="pct"/>
            <w:tcBorders>
              <w:left w:val="single" w:sz="4" w:space="0" w:color="auto"/>
            </w:tcBorders>
            <w:vAlign w:val="center"/>
          </w:tcPr>
          <w:p w14:paraId="01B36D26" w14:textId="77777777" w:rsidR="00C55DBA" w:rsidRPr="00AF3CF3" w:rsidRDefault="00C55DBA" w:rsidP="008E424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w:t>
            </w:r>
          </w:p>
        </w:tc>
        <w:tc>
          <w:tcPr>
            <w:tcW w:w="475" w:type="pct"/>
            <w:vAlign w:val="center"/>
          </w:tcPr>
          <w:p w14:paraId="5B6F015A" w14:textId="77777777" w:rsidR="00C55DBA" w:rsidRPr="00AF3CF3" w:rsidRDefault="00C55DBA" w:rsidP="008E4241">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w:t>
            </w:r>
          </w:p>
        </w:tc>
        <w:tc>
          <w:tcPr>
            <w:tcW w:w="715" w:type="pct"/>
            <w:vAlign w:val="center"/>
          </w:tcPr>
          <w:p w14:paraId="4C93BC87" w14:textId="77777777" w:rsidR="00C55DBA" w:rsidRPr="00AF3CF3" w:rsidRDefault="00C55DBA" w:rsidP="00CB113C">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0.05</w:t>
            </w:r>
          </w:p>
        </w:tc>
        <w:tc>
          <w:tcPr>
            <w:tcW w:w="579" w:type="pct"/>
            <w:vAlign w:val="center"/>
          </w:tcPr>
          <w:p w14:paraId="5AB467ED" w14:textId="77777777" w:rsidR="00C55DBA" w:rsidRPr="00AF3CF3" w:rsidRDefault="00C55DBA" w:rsidP="00C26D83">
            <w:pPr>
              <w:pStyle w:val="ad"/>
              <w:spacing w:line="240" w:lineRule="auto"/>
              <w:jc w:val="center"/>
              <w:rPr>
                <w:rFonts w:asciiTheme="minorHAnsi" w:eastAsiaTheme="minorEastAsia" w:hAnsiTheme="minorHAnsi" w:cstheme="minorHAnsi"/>
                <w:color w:val="auto"/>
                <w:sz w:val="21"/>
                <w:szCs w:val="21"/>
                <w:u w:val="single"/>
              </w:rPr>
            </w:pPr>
            <w:r w:rsidRPr="00AF3CF3">
              <w:rPr>
                <w:rFonts w:asciiTheme="minorHAnsi" w:eastAsiaTheme="minorEastAsia" w:hAnsiTheme="minorHAnsi" w:cstheme="minorHAnsi"/>
                <w:color w:val="auto"/>
                <w:sz w:val="21"/>
                <w:szCs w:val="21"/>
                <w:u w:val="single"/>
              </w:rPr>
              <w:t>0.05</w:t>
            </w:r>
          </w:p>
        </w:tc>
      </w:tr>
    </w:tbl>
    <w:p w14:paraId="69745A0A" w14:textId="77777777" w:rsidR="0055605A" w:rsidRPr="00A964FF" w:rsidRDefault="0055605A" w:rsidP="006A642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2</w:t>
      </w:r>
      <w:r w:rsidRPr="00A964FF">
        <w:rPr>
          <w:rFonts w:ascii="Calibri" w:eastAsia="宋体" w:hAnsi="Calibri" w:hint="eastAsia"/>
          <w:b w:val="0"/>
          <w:color w:val="auto"/>
          <w:sz w:val="24"/>
        </w:rPr>
        <w:t>）预测时段</w:t>
      </w:r>
    </w:p>
    <w:p w14:paraId="2FAF2313" w14:textId="77777777" w:rsidR="0055605A" w:rsidRPr="00A964FF" w:rsidRDefault="0055605A" w:rsidP="00DD1BE8">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本次预测期定为</w:t>
      </w:r>
      <w:r w:rsidRPr="00A964FF">
        <w:rPr>
          <w:rFonts w:ascii="Calibri" w:eastAsia="宋体" w:hAnsi="Calibri" w:hint="eastAsia"/>
          <w:b w:val="0"/>
          <w:color w:val="auto"/>
          <w:sz w:val="24"/>
        </w:rPr>
        <w:t>10d</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30d</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100d</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1000d</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2000d</w:t>
      </w:r>
      <w:r w:rsidRPr="00A964FF">
        <w:rPr>
          <w:rFonts w:ascii="Calibri" w:eastAsia="宋体" w:hAnsi="Calibri" w:hint="eastAsia"/>
          <w:b w:val="0"/>
          <w:color w:val="auto"/>
          <w:sz w:val="24"/>
        </w:rPr>
        <w:t>。</w:t>
      </w:r>
    </w:p>
    <w:p w14:paraId="6CE169E4"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3</w:t>
      </w:r>
      <w:r w:rsidRPr="00A964FF">
        <w:rPr>
          <w:rFonts w:ascii="Calibri" w:eastAsia="宋体" w:hAnsi="Calibri" w:hint="eastAsia"/>
          <w:b w:val="0"/>
          <w:color w:val="auto"/>
          <w:sz w:val="24"/>
        </w:rPr>
        <w:t>）水文地质参数</w:t>
      </w:r>
    </w:p>
    <w:p w14:paraId="1EA82F70" w14:textId="77777777" w:rsidR="00736274" w:rsidRPr="00736274" w:rsidRDefault="0055605A" w:rsidP="00736274">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根据项目区域水文地质资料可知，</w:t>
      </w:r>
      <w:r w:rsidR="00DD1BE8" w:rsidRPr="00A964FF">
        <w:rPr>
          <w:rFonts w:ascii="Calibri" w:eastAsia="宋体" w:hAnsi="Calibri" w:hint="eastAsia"/>
          <w:b w:val="0"/>
          <w:color w:val="auto"/>
          <w:sz w:val="24"/>
        </w:rPr>
        <w:t>含水层为细沙组成的孔隙含水层，细砂的渗透系数为</w:t>
      </w:r>
      <w:r w:rsidR="00DD1BE8" w:rsidRPr="00A964FF">
        <w:rPr>
          <w:rFonts w:ascii="Calibri" w:eastAsia="宋体" w:hAnsi="Calibri" w:hint="eastAsia"/>
          <w:b w:val="0"/>
          <w:color w:val="auto"/>
          <w:sz w:val="24"/>
        </w:rPr>
        <w:t>5.0</w:t>
      </w:r>
      <w:r w:rsidR="00DD1BE8" w:rsidRPr="00A964FF">
        <w:rPr>
          <w:rFonts w:ascii="Calibri" w:eastAsia="宋体" w:hAnsi="Calibri" w:hint="eastAsia"/>
          <w:b w:val="0"/>
          <w:color w:val="auto"/>
          <w:sz w:val="24"/>
        </w:rPr>
        <w:t>～</w:t>
      </w:r>
      <w:r w:rsidR="00DD1BE8" w:rsidRPr="00A964FF">
        <w:rPr>
          <w:rFonts w:ascii="Calibri" w:eastAsia="宋体" w:hAnsi="Calibri" w:hint="eastAsia"/>
          <w:b w:val="0"/>
          <w:color w:val="auto"/>
          <w:sz w:val="24"/>
        </w:rPr>
        <w:t>10m/d</w:t>
      </w:r>
      <w:r w:rsidR="00DD1BE8" w:rsidRPr="00A964FF">
        <w:rPr>
          <w:rFonts w:ascii="Calibri" w:eastAsia="宋体" w:hAnsi="Calibri" w:hint="eastAsia"/>
          <w:b w:val="0"/>
          <w:color w:val="auto"/>
          <w:sz w:val="24"/>
        </w:rPr>
        <w:t>，评价取</w:t>
      </w:r>
      <w:r w:rsidR="00C26D83" w:rsidRPr="00A964FF">
        <w:rPr>
          <w:rFonts w:ascii="Calibri" w:eastAsia="宋体" w:hAnsi="Calibri" w:hint="eastAsia"/>
          <w:b w:val="0"/>
          <w:color w:val="auto"/>
          <w:sz w:val="24"/>
        </w:rPr>
        <w:t>8</w:t>
      </w:r>
      <w:r w:rsidRPr="00A964FF">
        <w:rPr>
          <w:rFonts w:ascii="Calibri" w:eastAsia="宋体" w:hAnsi="Calibri" w:hint="eastAsia"/>
          <w:b w:val="0"/>
          <w:color w:val="auto"/>
          <w:sz w:val="24"/>
        </w:rPr>
        <w:t>m/d</w:t>
      </w:r>
      <w:r w:rsidR="00335867" w:rsidRPr="00A964FF">
        <w:rPr>
          <w:rFonts w:ascii="Calibri" w:eastAsia="宋体" w:hAnsi="Calibri" w:hint="eastAsia"/>
          <w:b w:val="0"/>
          <w:color w:val="auto"/>
          <w:sz w:val="24"/>
        </w:rPr>
        <w:t>，</w:t>
      </w:r>
      <w:r w:rsidRPr="00A964FF">
        <w:rPr>
          <w:rFonts w:ascii="Calibri" w:eastAsia="宋体" w:hAnsi="Calibri" w:hint="eastAsia"/>
          <w:b w:val="0"/>
          <w:color w:val="auto"/>
          <w:sz w:val="24"/>
        </w:rPr>
        <w:t>当地地下水水力坡度为</w:t>
      </w:r>
      <w:r w:rsidRPr="00A964FF">
        <w:rPr>
          <w:rFonts w:ascii="Calibri" w:eastAsia="宋体" w:hAnsi="Calibri" w:hint="eastAsia"/>
          <w:b w:val="0"/>
          <w:color w:val="auto"/>
          <w:sz w:val="24"/>
        </w:rPr>
        <w:t>0.00</w:t>
      </w:r>
      <w:r w:rsidR="00DD1BE8" w:rsidRPr="00A964FF">
        <w:rPr>
          <w:rFonts w:ascii="Calibri" w:eastAsia="宋体" w:hAnsi="Calibri" w:hint="eastAsia"/>
          <w:b w:val="0"/>
          <w:color w:val="auto"/>
          <w:sz w:val="24"/>
        </w:rPr>
        <w:t>1</w:t>
      </w:r>
      <w:r w:rsidR="00BB388D" w:rsidRPr="00A964FF">
        <w:rPr>
          <w:rFonts w:ascii="Calibri" w:eastAsia="宋体" w:hAnsi="Calibri" w:hint="eastAsia"/>
          <w:b w:val="0"/>
          <w:color w:val="auto"/>
          <w:sz w:val="24"/>
        </w:rPr>
        <w:t>4</w:t>
      </w:r>
      <w:r w:rsidRPr="00A964FF">
        <w:rPr>
          <w:rFonts w:ascii="Calibri" w:eastAsia="宋体" w:hAnsi="Calibri" w:hint="eastAsia"/>
          <w:b w:val="0"/>
          <w:color w:val="auto"/>
          <w:sz w:val="24"/>
        </w:rPr>
        <w:t>；有效孔隙度为</w:t>
      </w:r>
      <w:r w:rsidRPr="00A964FF">
        <w:rPr>
          <w:rFonts w:ascii="Calibri" w:eastAsia="宋体" w:hAnsi="Calibri" w:hint="eastAsia"/>
          <w:b w:val="0"/>
          <w:color w:val="auto"/>
          <w:sz w:val="24"/>
        </w:rPr>
        <w:t>0.</w:t>
      </w:r>
      <w:r w:rsidR="00736274">
        <w:rPr>
          <w:rFonts w:ascii="Calibri" w:eastAsia="宋体" w:hAnsi="Calibri" w:hint="eastAsia"/>
          <w:b w:val="0"/>
          <w:color w:val="auto"/>
          <w:sz w:val="24"/>
        </w:rPr>
        <w:t>3</w:t>
      </w:r>
      <w:r w:rsidRPr="00A964FF">
        <w:rPr>
          <w:rFonts w:ascii="Calibri" w:eastAsia="宋体" w:hAnsi="Calibri" w:hint="eastAsia"/>
          <w:b w:val="0"/>
          <w:color w:val="auto"/>
          <w:sz w:val="24"/>
        </w:rPr>
        <w:t>；</w:t>
      </w:r>
      <w:r w:rsidR="00DD1BE8" w:rsidRPr="00A964FF">
        <w:rPr>
          <w:rFonts w:ascii="Calibri" w:eastAsia="宋体" w:hAnsi="Calibri" w:hint="eastAsia"/>
          <w:b w:val="0"/>
          <w:color w:val="auto"/>
          <w:sz w:val="24"/>
        </w:rPr>
        <w:t>区域</w:t>
      </w:r>
      <w:r w:rsidRPr="00A964FF">
        <w:rPr>
          <w:rFonts w:ascii="Calibri" w:eastAsia="宋体" w:hAnsi="Calibri" w:hint="eastAsia"/>
          <w:b w:val="0"/>
          <w:color w:val="auto"/>
          <w:sz w:val="24"/>
        </w:rPr>
        <w:t>地下水流速</w:t>
      </w:r>
      <w:r w:rsidRPr="00A964FF">
        <w:rPr>
          <w:rFonts w:ascii="Calibri" w:eastAsia="宋体" w:hAnsi="Calibri" w:hint="eastAsia"/>
          <w:b w:val="0"/>
          <w:color w:val="auto"/>
          <w:sz w:val="24"/>
        </w:rPr>
        <w:t>0.0</w:t>
      </w:r>
      <w:r w:rsidR="00C26D83" w:rsidRPr="00A964FF">
        <w:rPr>
          <w:rFonts w:ascii="Calibri" w:eastAsia="宋体" w:hAnsi="Calibri" w:hint="eastAsia"/>
          <w:b w:val="0"/>
          <w:color w:val="auto"/>
          <w:sz w:val="24"/>
        </w:rPr>
        <w:t>0</w:t>
      </w:r>
      <w:r w:rsidR="00736274">
        <w:rPr>
          <w:rFonts w:ascii="Calibri" w:eastAsia="宋体" w:hAnsi="Calibri"/>
          <w:b w:val="0"/>
          <w:color w:val="auto"/>
          <w:sz w:val="24"/>
        </w:rPr>
        <w:t>3</w:t>
      </w:r>
      <w:r w:rsidRPr="00A964FF">
        <w:rPr>
          <w:rFonts w:ascii="Calibri" w:eastAsia="宋体" w:hAnsi="Calibri" w:hint="eastAsia"/>
          <w:b w:val="0"/>
          <w:color w:val="auto"/>
          <w:sz w:val="24"/>
        </w:rPr>
        <w:t>m/d</w:t>
      </w:r>
      <w:r w:rsidRPr="00A964FF">
        <w:rPr>
          <w:rFonts w:ascii="Calibri" w:eastAsia="宋体" w:hAnsi="Calibri" w:hint="eastAsia"/>
          <w:b w:val="0"/>
          <w:color w:val="auto"/>
          <w:sz w:val="24"/>
        </w:rPr>
        <w:t>，</w:t>
      </w:r>
      <w:r w:rsidR="00C26D83" w:rsidRPr="00A964FF">
        <w:rPr>
          <w:rFonts w:ascii="Calibri" w:eastAsia="宋体" w:hAnsi="Calibri" w:hint="eastAsia"/>
          <w:b w:val="0"/>
          <w:color w:val="auto"/>
          <w:sz w:val="24"/>
        </w:rPr>
        <w:t>纵向弥散系数为</w:t>
      </w:r>
      <w:r w:rsidR="00736274">
        <w:rPr>
          <w:rFonts w:ascii="Calibri" w:eastAsia="宋体" w:hAnsi="Calibri"/>
          <w:b w:val="0"/>
          <w:color w:val="auto"/>
          <w:sz w:val="24"/>
        </w:rPr>
        <w:t>0.5</w:t>
      </w:r>
      <w:r w:rsidR="00C26D83" w:rsidRPr="00A964FF">
        <w:rPr>
          <w:rFonts w:ascii="Calibri" w:eastAsia="宋体" w:hAnsi="Calibri" w:hint="eastAsia"/>
          <w:b w:val="0"/>
          <w:color w:val="auto"/>
          <w:sz w:val="24"/>
        </w:rPr>
        <w:t>m</w:t>
      </w:r>
      <w:r w:rsidR="00C26D83" w:rsidRPr="00A964FF">
        <w:rPr>
          <w:rFonts w:ascii="Calibri" w:eastAsia="宋体" w:hAnsi="Calibri" w:hint="eastAsia"/>
          <w:b w:val="0"/>
          <w:color w:val="auto"/>
          <w:sz w:val="24"/>
          <w:vertAlign w:val="superscript"/>
        </w:rPr>
        <w:t>2</w:t>
      </w:r>
      <w:r w:rsidR="00C26D83" w:rsidRPr="00A964FF">
        <w:rPr>
          <w:rFonts w:ascii="Calibri" w:eastAsia="宋体" w:hAnsi="Calibri" w:hint="eastAsia"/>
          <w:b w:val="0"/>
          <w:color w:val="auto"/>
          <w:sz w:val="24"/>
        </w:rPr>
        <w:t>/d</w:t>
      </w:r>
      <w:r w:rsidRPr="00A964FF">
        <w:rPr>
          <w:rFonts w:ascii="Calibri" w:eastAsia="宋体" w:hAnsi="Calibri" w:hint="eastAsia"/>
          <w:b w:val="0"/>
          <w:color w:val="auto"/>
          <w:sz w:val="24"/>
        </w:rPr>
        <w:t>。</w:t>
      </w:r>
    </w:p>
    <w:p w14:paraId="3530ACD6" w14:textId="3B748492" w:rsidR="0055605A" w:rsidRPr="00A964FF" w:rsidRDefault="00F958D0" w:rsidP="0055605A">
      <w:pPr>
        <w:spacing w:line="520" w:lineRule="exact"/>
        <w:ind w:firstLine="482"/>
        <w:rPr>
          <w:rFonts w:ascii="Calibri" w:hAnsi="Calibri"/>
          <w:b/>
          <w:bCs/>
          <w:color w:val="auto"/>
          <w:sz w:val="24"/>
        </w:rPr>
      </w:pPr>
      <w:r>
        <w:rPr>
          <w:rFonts w:ascii="Calibri" w:hAnsi="Calibri"/>
          <w:b/>
          <w:bCs/>
          <w:color w:val="auto"/>
          <w:sz w:val="24"/>
        </w:rPr>
        <w:t>11</w:t>
      </w:r>
      <w:r w:rsidR="0055605A" w:rsidRPr="00A964FF">
        <w:rPr>
          <w:rFonts w:ascii="Calibri" w:hAnsi="Calibri" w:hint="eastAsia"/>
          <w:b/>
          <w:bCs/>
          <w:color w:val="auto"/>
          <w:sz w:val="24"/>
        </w:rPr>
        <w:t>、预测结果</w:t>
      </w:r>
    </w:p>
    <w:p w14:paraId="27635CB8" w14:textId="77777777" w:rsidR="007E4933" w:rsidRPr="00A964FF" w:rsidRDefault="007E4933" w:rsidP="007E4933">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00C55DBA">
        <w:rPr>
          <w:rFonts w:ascii="Calibri" w:eastAsia="宋体" w:hAnsi="Calibri"/>
          <w:b w:val="0"/>
          <w:color w:val="auto"/>
          <w:sz w:val="24"/>
        </w:rPr>
        <w:t>1</w:t>
      </w:r>
      <w:r w:rsidRPr="00A964FF">
        <w:rPr>
          <w:rFonts w:ascii="Calibri" w:eastAsia="宋体" w:hAnsi="Calibri" w:hint="eastAsia"/>
          <w:b w:val="0"/>
          <w:color w:val="auto"/>
          <w:sz w:val="24"/>
        </w:rPr>
        <w:t>）废水处理站非正常</w:t>
      </w:r>
      <w:r w:rsidR="001E3318" w:rsidRPr="00A964FF">
        <w:rPr>
          <w:rFonts w:ascii="Calibri" w:eastAsia="宋体" w:hAnsi="Calibri" w:hint="eastAsia"/>
          <w:b w:val="0"/>
          <w:color w:val="auto"/>
          <w:sz w:val="24"/>
        </w:rPr>
        <w:t>情况</w:t>
      </w:r>
      <w:r w:rsidRPr="00A964FF">
        <w:rPr>
          <w:rFonts w:ascii="Calibri" w:eastAsia="宋体" w:hAnsi="Calibri" w:hint="eastAsia"/>
          <w:b w:val="0"/>
          <w:color w:val="auto"/>
          <w:sz w:val="24"/>
        </w:rPr>
        <w:t>下污染物预测浓度</w:t>
      </w:r>
    </w:p>
    <w:p w14:paraId="29E8C38E" w14:textId="77777777" w:rsidR="001E3318" w:rsidRPr="00A964FF" w:rsidRDefault="001E3318" w:rsidP="007E4933">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①</w:t>
      </w:r>
      <w:r w:rsidRPr="00A964FF">
        <w:rPr>
          <w:rFonts w:ascii="Calibri" w:eastAsia="宋体" w:hAnsi="Calibri" w:hint="eastAsia"/>
          <w:b w:val="0"/>
          <w:color w:val="auto"/>
          <w:sz w:val="24"/>
        </w:rPr>
        <w:t xml:space="preserve"> </w:t>
      </w:r>
      <w:r w:rsidRPr="00A964FF">
        <w:rPr>
          <w:rFonts w:ascii="Calibri" w:eastAsia="宋体" w:hAnsi="Calibri" w:hint="eastAsia"/>
          <w:b w:val="0"/>
          <w:color w:val="auto"/>
          <w:sz w:val="24"/>
        </w:rPr>
        <w:t>短时泄漏</w:t>
      </w:r>
    </w:p>
    <w:p w14:paraId="61A2E7B7" w14:textId="77777777" w:rsidR="00232CB6" w:rsidRPr="005258F3" w:rsidRDefault="001E3318" w:rsidP="005258F3">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根据预测模型，废水处理站非正常情况下短时泄漏污染物对地下水的影响预测结果见表</w:t>
      </w:r>
      <w:r w:rsidRPr="00A964FF">
        <w:rPr>
          <w:rFonts w:ascii="Calibri" w:eastAsia="宋体" w:hAnsi="Calibri" w:hint="eastAsia"/>
          <w:b w:val="0"/>
          <w:color w:val="auto"/>
          <w:sz w:val="24"/>
        </w:rPr>
        <w:t>4.2-</w:t>
      </w:r>
      <w:r w:rsidR="00F80DFD">
        <w:rPr>
          <w:rFonts w:ascii="Calibri" w:eastAsia="宋体" w:hAnsi="Calibri" w:hint="eastAsia"/>
          <w:b w:val="0"/>
          <w:color w:val="auto"/>
          <w:sz w:val="24"/>
        </w:rPr>
        <w:t>25</w:t>
      </w:r>
      <w:r w:rsidR="007E4933" w:rsidRPr="00A964FF">
        <w:rPr>
          <w:rFonts w:ascii="Calibri" w:eastAsia="宋体" w:hAnsi="Calibri" w:hint="eastAsia"/>
          <w:b w:val="0"/>
          <w:color w:val="auto"/>
          <w:sz w:val="24"/>
        </w:rPr>
        <w:t>。</w:t>
      </w:r>
    </w:p>
    <w:p w14:paraId="41A03C1C" w14:textId="77777777" w:rsidR="00153EE6" w:rsidRDefault="00153EE6" w:rsidP="001E3318">
      <w:pPr>
        <w:spacing w:line="500" w:lineRule="exact"/>
        <w:ind w:firstLineChars="196" w:firstLine="470"/>
        <w:rPr>
          <w:rFonts w:ascii="Calibri" w:eastAsia="黑体"/>
          <w:bCs/>
          <w:color w:val="auto"/>
          <w:sz w:val="24"/>
        </w:rPr>
      </w:pPr>
    </w:p>
    <w:p w14:paraId="3B2ED5D7" w14:textId="77777777" w:rsidR="00153EE6" w:rsidRDefault="00153EE6" w:rsidP="001E3318">
      <w:pPr>
        <w:spacing w:line="500" w:lineRule="exact"/>
        <w:ind w:firstLineChars="196" w:firstLine="470"/>
        <w:rPr>
          <w:rFonts w:ascii="Calibri" w:eastAsia="黑体"/>
          <w:bCs/>
          <w:color w:val="auto"/>
          <w:sz w:val="24"/>
        </w:rPr>
      </w:pPr>
    </w:p>
    <w:p w14:paraId="0ECE6084" w14:textId="77777777" w:rsidR="00153EE6" w:rsidRDefault="00153EE6" w:rsidP="001E3318">
      <w:pPr>
        <w:spacing w:line="500" w:lineRule="exact"/>
        <w:ind w:firstLineChars="196" w:firstLine="470"/>
        <w:rPr>
          <w:rFonts w:ascii="Calibri" w:eastAsia="黑体"/>
          <w:bCs/>
          <w:color w:val="auto"/>
          <w:sz w:val="24"/>
        </w:rPr>
      </w:pPr>
    </w:p>
    <w:p w14:paraId="1E595F67" w14:textId="77777777" w:rsidR="00153EE6" w:rsidRDefault="00153EE6" w:rsidP="001E3318">
      <w:pPr>
        <w:spacing w:line="500" w:lineRule="exact"/>
        <w:ind w:firstLineChars="196" w:firstLine="470"/>
        <w:rPr>
          <w:rFonts w:ascii="Calibri" w:eastAsia="黑体"/>
          <w:bCs/>
          <w:color w:val="auto"/>
          <w:sz w:val="24"/>
        </w:rPr>
      </w:pPr>
    </w:p>
    <w:p w14:paraId="65ADB5C7" w14:textId="77777777" w:rsidR="00153EE6" w:rsidRDefault="00153EE6" w:rsidP="001E3318">
      <w:pPr>
        <w:spacing w:line="500" w:lineRule="exact"/>
        <w:ind w:firstLineChars="196" w:firstLine="470"/>
        <w:rPr>
          <w:rFonts w:ascii="Calibri" w:eastAsia="黑体"/>
          <w:bCs/>
          <w:color w:val="auto"/>
          <w:sz w:val="24"/>
        </w:rPr>
      </w:pPr>
    </w:p>
    <w:p w14:paraId="54237872" w14:textId="77777777" w:rsidR="001E3318" w:rsidRPr="00A964FF" w:rsidRDefault="007E4933" w:rsidP="001E3318">
      <w:pPr>
        <w:spacing w:line="500" w:lineRule="exact"/>
        <w:ind w:firstLineChars="196" w:firstLine="470"/>
        <w:rPr>
          <w:rFonts w:ascii="Calibri" w:eastAsia="黑体" w:hAnsi="Calibri"/>
          <w:bCs/>
          <w:color w:val="auto"/>
          <w:sz w:val="24"/>
        </w:rPr>
      </w:pPr>
      <w:r w:rsidRPr="00A964FF">
        <w:rPr>
          <w:rFonts w:ascii="Calibri" w:eastAsia="黑体"/>
          <w:bCs/>
          <w:color w:val="auto"/>
          <w:sz w:val="24"/>
        </w:rPr>
        <w:lastRenderedPageBreak/>
        <w:t>表</w:t>
      </w:r>
      <w:r w:rsidRPr="00A964FF">
        <w:rPr>
          <w:rFonts w:ascii="Calibri" w:eastAsia="黑体" w:hAnsi="Calibri" w:hint="eastAsia"/>
          <w:bCs/>
          <w:color w:val="auto"/>
          <w:sz w:val="24"/>
        </w:rPr>
        <w:t>4</w:t>
      </w:r>
      <w:r w:rsidR="000D2512" w:rsidRPr="00A964FF">
        <w:rPr>
          <w:rFonts w:ascii="Calibri" w:eastAsia="黑体" w:hAnsi="Calibri" w:hint="eastAsia"/>
          <w:bCs/>
          <w:color w:val="auto"/>
          <w:sz w:val="24"/>
        </w:rPr>
        <w:t>.2</w:t>
      </w:r>
      <w:r w:rsidRPr="00A964FF">
        <w:rPr>
          <w:rFonts w:ascii="Calibri" w:eastAsia="黑体" w:hAnsi="Calibri" w:hint="eastAsia"/>
          <w:bCs/>
          <w:color w:val="auto"/>
          <w:sz w:val="24"/>
        </w:rPr>
        <w:t>-</w:t>
      </w:r>
      <w:r w:rsidR="00F80DFD">
        <w:rPr>
          <w:rFonts w:ascii="Calibri" w:eastAsia="黑体" w:hAnsi="Calibri"/>
          <w:bCs/>
          <w:color w:val="auto"/>
          <w:sz w:val="24"/>
        </w:rPr>
        <w:t>25</w:t>
      </w:r>
      <w:r w:rsidRPr="00A964FF">
        <w:rPr>
          <w:rFonts w:ascii="Calibri" w:eastAsia="黑体" w:hint="eastAsia"/>
          <w:bCs/>
          <w:color w:val="auto"/>
          <w:sz w:val="24"/>
        </w:rPr>
        <w:t xml:space="preserve"> </w:t>
      </w:r>
      <w:r w:rsidR="00F950CB" w:rsidRPr="00A964FF">
        <w:rPr>
          <w:rFonts w:ascii="Calibri" w:eastAsia="黑体" w:hint="eastAsia"/>
          <w:bCs/>
          <w:color w:val="auto"/>
          <w:sz w:val="24"/>
        </w:rPr>
        <w:t xml:space="preserve"> </w:t>
      </w:r>
      <w:r w:rsidRPr="00A964FF">
        <w:rPr>
          <w:rFonts w:ascii="Calibri" w:eastAsia="黑体" w:hint="eastAsia"/>
          <w:bCs/>
          <w:color w:val="auto"/>
          <w:sz w:val="24"/>
        </w:rPr>
        <w:t xml:space="preserve">  </w:t>
      </w:r>
      <w:r w:rsidRPr="00A964FF">
        <w:rPr>
          <w:rFonts w:ascii="Calibri" w:eastAsia="黑体" w:hAnsi="Calibri" w:hint="eastAsia"/>
          <w:bCs/>
          <w:color w:val="auto"/>
          <w:sz w:val="24"/>
        </w:rPr>
        <w:t>废水处理站短时泄漏不同时间下游不同距离处</w:t>
      </w:r>
      <w:r w:rsidR="001E3318" w:rsidRPr="00A964FF">
        <w:rPr>
          <w:rFonts w:ascii="Calibri" w:eastAsia="黑体" w:hAnsi="Calibri" w:hint="eastAsia"/>
          <w:bCs/>
          <w:color w:val="auto"/>
          <w:sz w:val="24"/>
        </w:rPr>
        <w:t>污染物</w:t>
      </w:r>
      <w:r w:rsidRPr="00A964FF">
        <w:rPr>
          <w:rFonts w:ascii="Calibri" w:eastAsia="黑体" w:hAnsi="Calibri" w:hint="eastAsia"/>
          <w:bCs/>
          <w:color w:val="auto"/>
          <w:sz w:val="24"/>
        </w:rPr>
        <w:t>浓度</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795"/>
        <w:gridCol w:w="891"/>
        <w:gridCol w:w="7014"/>
      </w:tblGrid>
      <w:tr w:rsidR="001E3318" w:rsidRPr="00A964FF" w14:paraId="60481E2C" w14:textId="77777777" w:rsidTr="00153EE6">
        <w:trPr>
          <w:trHeight w:val="369"/>
        </w:trPr>
        <w:tc>
          <w:tcPr>
            <w:tcW w:w="457" w:type="pct"/>
            <w:tcBorders>
              <w:right w:val="single" w:sz="4" w:space="0" w:color="auto"/>
            </w:tcBorders>
            <w:vAlign w:val="center"/>
          </w:tcPr>
          <w:p w14:paraId="6FD08F7E"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预测因子</w:t>
            </w:r>
          </w:p>
        </w:tc>
        <w:tc>
          <w:tcPr>
            <w:tcW w:w="512" w:type="pct"/>
            <w:tcBorders>
              <w:left w:val="single" w:sz="4" w:space="0" w:color="auto"/>
            </w:tcBorders>
            <w:vAlign w:val="center"/>
          </w:tcPr>
          <w:p w14:paraId="2F1DCC10"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预测时间</w:t>
            </w:r>
            <w:r w:rsidRPr="00A964FF">
              <w:rPr>
                <w:rFonts w:ascii="Calibri" w:eastAsia="宋体" w:hAnsi="Calibri" w:hint="eastAsia"/>
                <w:b w:val="0"/>
                <w:color w:val="auto"/>
                <w:sz w:val="21"/>
                <w:szCs w:val="21"/>
              </w:rPr>
              <w:t>d</w:t>
            </w:r>
          </w:p>
        </w:tc>
        <w:tc>
          <w:tcPr>
            <w:tcW w:w="4031" w:type="pct"/>
            <w:vAlign w:val="center"/>
          </w:tcPr>
          <w:p w14:paraId="252A3BE2"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预测结果</w:t>
            </w:r>
          </w:p>
        </w:tc>
      </w:tr>
      <w:tr w:rsidR="001E3318" w:rsidRPr="00A964FF" w14:paraId="2A04A248" w14:textId="77777777" w:rsidTr="00153EE6">
        <w:trPr>
          <w:trHeight w:val="369"/>
        </w:trPr>
        <w:tc>
          <w:tcPr>
            <w:tcW w:w="457" w:type="pct"/>
            <w:vMerge w:val="restart"/>
            <w:tcBorders>
              <w:right w:val="single" w:sz="4" w:space="0" w:color="auto"/>
            </w:tcBorders>
            <w:vAlign w:val="center"/>
          </w:tcPr>
          <w:p w14:paraId="49BA6C5A"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COD</w:t>
            </w:r>
            <w:r w:rsidRPr="00A964FF">
              <w:rPr>
                <w:rFonts w:ascii="Calibri" w:eastAsia="宋体" w:hAnsi="Calibri" w:hint="eastAsia"/>
                <w:b w:val="0"/>
                <w:color w:val="auto"/>
                <w:sz w:val="21"/>
                <w:szCs w:val="21"/>
                <w:vertAlign w:val="subscript"/>
              </w:rPr>
              <w:t>Mn</w:t>
            </w:r>
          </w:p>
        </w:tc>
        <w:tc>
          <w:tcPr>
            <w:tcW w:w="512" w:type="pct"/>
            <w:tcBorders>
              <w:left w:val="single" w:sz="4" w:space="0" w:color="auto"/>
            </w:tcBorders>
            <w:vAlign w:val="center"/>
          </w:tcPr>
          <w:p w14:paraId="0FDBA7E4"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w:t>
            </w:r>
          </w:p>
        </w:tc>
        <w:tc>
          <w:tcPr>
            <w:tcW w:w="4031" w:type="pct"/>
            <w:vAlign w:val="center"/>
          </w:tcPr>
          <w:p w14:paraId="78C49E95" w14:textId="77777777" w:rsidR="001E3318" w:rsidRPr="00A964FF" w:rsidRDefault="00C55DBA" w:rsidP="003A3254">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12.72132mg/l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，预测超标距离最远为</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；影响距离最远为</w:t>
            </w:r>
            <w:r w:rsidRPr="00C55DBA">
              <w:rPr>
                <w:rFonts w:ascii="Calibri" w:eastAsia="宋体" w:hAnsi="Calibri" w:hint="eastAsia"/>
                <w:b w:val="0"/>
                <w:color w:val="auto"/>
                <w:sz w:val="21"/>
                <w:szCs w:val="21"/>
              </w:rPr>
              <w:t>1m</w:t>
            </w:r>
          </w:p>
        </w:tc>
      </w:tr>
      <w:tr w:rsidR="001E3318" w:rsidRPr="00A964FF" w14:paraId="7933340C" w14:textId="77777777" w:rsidTr="00153EE6">
        <w:trPr>
          <w:trHeight w:val="369"/>
        </w:trPr>
        <w:tc>
          <w:tcPr>
            <w:tcW w:w="457" w:type="pct"/>
            <w:vMerge/>
            <w:tcBorders>
              <w:right w:val="single" w:sz="4" w:space="0" w:color="auto"/>
            </w:tcBorders>
            <w:vAlign w:val="center"/>
          </w:tcPr>
          <w:p w14:paraId="0ED26A38"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39419374"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30</w:t>
            </w:r>
          </w:p>
        </w:tc>
        <w:tc>
          <w:tcPr>
            <w:tcW w:w="4031" w:type="pct"/>
            <w:vAlign w:val="center"/>
          </w:tcPr>
          <w:p w14:paraId="23C289F5" w14:textId="77777777" w:rsidR="001E3318" w:rsidRPr="00A964FF" w:rsidRDefault="00C55DBA" w:rsidP="003A3254">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75.46388mg/l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，预测超标距离最远为</w:t>
            </w:r>
            <w:r w:rsidRPr="00C55DBA">
              <w:rPr>
                <w:rFonts w:ascii="Calibri" w:eastAsia="宋体" w:hAnsi="Calibri" w:hint="eastAsia"/>
                <w:b w:val="0"/>
                <w:color w:val="auto"/>
                <w:sz w:val="21"/>
                <w:szCs w:val="21"/>
              </w:rPr>
              <w:t>2m</w:t>
            </w:r>
            <w:r w:rsidRPr="00C55DBA">
              <w:rPr>
                <w:rFonts w:ascii="Calibri" w:eastAsia="宋体" w:hAnsi="Calibri" w:hint="eastAsia"/>
                <w:b w:val="0"/>
                <w:color w:val="auto"/>
                <w:sz w:val="21"/>
                <w:szCs w:val="21"/>
              </w:rPr>
              <w:t>；影响距离最远为</w:t>
            </w:r>
            <w:r w:rsidRPr="00C55DBA">
              <w:rPr>
                <w:rFonts w:ascii="Calibri" w:eastAsia="宋体" w:hAnsi="Calibri" w:hint="eastAsia"/>
                <w:b w:val="0"/>
                <w:color w:val="auto"/>
                <w:sz w:val="21"/>
                <w:szCs w:val="21"/>
              </w:rPr>
              <w:t>3m</w:t>
            </w:r>
          </w:p>
        </w:tc>
      </w:tr>
      <w:tr w:rsidR="001E3318" w:rsidRPr="00A964FF" w14:paraId="62B24A83" w14:textId="77777777" w:rsidTr="00153EE6">
        <w:trPr>
          <w:trHeight w:val="369"/>
        </w:trPr>
        <w:tc>
          <w:tcPr>
            <w:tcW w:w="457" w:type="pct"/>
            <w:vMerge/>
            <w:tcBorders>
              <w:right w:val="single" w:sz="4" w:space="0" w:color="auto"/>
            </w:tcBorders>
            <w:vAlign w:val="center"/>
          </w:tcPr>
          <w:p w14:paraId="3C60AB78"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639EDEDA"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w:t>
            </w:r>
          </w:p>
        </w:tc>
        <w:tc>
          <w:tcPr>
            <w:tcW w:w="4031" w:type="pct"/>
            <w:vAlign w:val="center"/>
          </w:tcPr>
          <w:p w14:paraId="60D83D3D" w14:textId="77777777" w:rsidR="001E3318" w:rsidRPr="00A964FF" w:rsidRDefault="00C55DBA" w:rsidP="003A3254">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13.85024mg/l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，预测超标距离最远为</w:t>
            </w:r>
            <w:r w:rsidRPr="00C55DBA">
              <w:rPr>
                <w:rFonts w:ascii="Calibri" w:eastAsia="宋体" w:hAnsi="Calibri" w:hint="eastAsia"/>
                <w:b w:val="0"/>
                <w:color w:val="auto"/>
                <w:sz w:val="21"/>
                <w:szCs w:val="21"/>
              </w:rPr>
              <w:t>3m</w:t>
            </w:r>
            <w:r w:rsidRPr="00C55DBA">
              <w:rPr>
                <w:rFonts w:ascii="Calibri" w:eastAsia="宋体" w:hAnsi="Calibri" w:hint="eastAsia"/>
                <w:b w:val="0"/>
                <w:color w:val="auto"/>
                <w:sz w:val="21"/>
                <w:szCs w:val="21"/>
              </w:rPr>
              <w:t>；影响距离最远为</w:t>
            </w:r>
            <w:r w:rsidRPr="00C55DBA">
              <w:rPr>
                <w:rFonts w:ascii="Calibri" w:eastAsia="宋体" w:hAnsi="Calibri" w:hint="eastAsia"/>
                <w:b w:val="0"/>
                <w:color w:val="auto"/>
                <w:sz w:val="21"/>
                <w:szCs w:val="21"/>
              </w:rPr>
              <w:t>5m</w:t>
            </w:r>
          </w:p>
        </w:tc>
      </w:tr>
      <w:tr w:rsidR="001E3318" w:rsidRPr="00A964FF" w14:paraId="0748CA7A" w14:textId="77777777" w:rsidTr="00153EE6">
        <w:trPr>
          <w:trHeight w:val="369"/>
        </w:trPr>
        <w:tc>
          <w:tcPr>
            <w:tcW w:w="457" w:type="pct"/>
            <w:vMerge/>
            <w:tcBorders>
              <w:right w:val="single" w:sz="4" w:space="0" w:color="auto"/>
            </w:tcBorders>
            <w:vAlign w:val="center"/>
          </w:tcPr>
          <w:p w14:paraId="6CE17F5E"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21E03C0D"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1000</w:t>
            </w:r>
          </w:p>
        </w:tc>
        <w:tc>
          <w:tcPr>
            <w:tcW w:w="4031" w:type="pct"/>
            <w:vAlign w:val="center"/>
          </w:tcPr>
          <w:p w14:paraId="326C7ECA" w14:textId="77777777" w:rsidR="001E3318" w:rsidRPr="00A964FF" w:rsidRDefault="00C55DBA" w:rsidP="001E3318">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1.731389mg/l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5m</w:t>
            </w:r>
            <w:r w:rsidRPr="00C55DBA">
              <w:rPr>
                <w:rFonts w:ascii="Calibri" w:eastAsia="宋体" w:hAnsi="Calibri" w:hint="eastAsia"/>
                <w:b w:val="0"/>
                <w:color w:val="auto"/>
                <w:sz w:val="21"/>
                <w:szCs w:val="21"/>
              </w:rPr>
              <w:t>，预测结果均未超标；影响距离最远为</w:t>
            </w:r>
            <w:r w:rsidRPr="00C55DBA">
              <w:rPr>
                <w:rFonts w:ascii="Calibri" w:eastAsia="宋体" w:hAnsi="Calibri" w:hint="eastAsia"/>
                <w:b w:val="0"/>
                <w:color w:val="auto"/>
                <w:sz w:val="21"/>
                <w:szCs w:val="21"/>
              </w:rPr>
              <w:t>16m</w:t>
            </w:r>
          </w:p>
        </w:tc>
      </w:tr>
      <w:tr w:rsidR="001E3318" w:rsidRPr="00A964FF" w14:paraId="44650A80" w14:textId="77777777" w:rsidTr="00153EE6">
        <w:trPr>
          <w:trHeight w:val="369"/>
        </w:trPr>
        <w:tc>
          <w:tcPr>
            <w:tcW w:w="457" w:type="pct"/>
            <w:vMerge/>
            <w:tcBorders>
              <w:right w:val="single" w:sz="4" w:space="0" w:color="auto"/>
            </w:tcBorders>
            <w:vAlign w:val="center"/>
          </w:tcPr>
          <w:p w14:paraId="0E8C5B8D"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39A0F0A9"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2000</w:t>
            </w:r>
          </w:p>
        </w:tc>
        <w:tc>
          <w:tcPr>
            <w:tcW w:w="4031" w:type="pct"/>
            <w:vAlign w:val="center"/>
          </w:tcPr>
          <w:p w14:paraId="6E3D6553" w14:textId="77777777" w:rsidR="001E3318" w:rsidRPr="00A964FF" w:rsidRDefault="00C55DBA" w:rsidP="001E3318">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0.9991325mg/l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7m</w:t>
            </w:r>
            <w:r w:rsidRPr="00C55DBA">
              <w:rPr>
                <w:rFonts w:ascii="Calibri" w:eastAsia="宋体" w:hAnsi="Calibri" w:hint="eastAsia"/>
                <w:b w:val="0"/>
                <w:color w:val="auto"/>
                <w:sz w:val="21"/>
                <w:szCs w:val="21"/>
              </w:rPr>
              <w:t>，预测结果均未超标；影响距离最远为</w:t>
            </w:r>
            <w:r w:rsidRPr="00C55DBA">
              <w:rPr>
                <w:rFonts w:ascii="Calibri" w:eastAsia="宋体" w:hAnsi="Calibri" w:hint="eastAsia"/>
                <w:b w:val="0"/>
                <w:color w:val="auto"/>
                <w:sz w:val="21"/>
                <w:szCs w:val="21"/>
              </w:rPr>
              <w:t>22m</w:t>
            </w:r>
          </w:p>
        </w:tc>
      </w:tr>
      <w:tr w:rsidR="001E3318" w:rsidRPr="00A964FF" w14:paraId="292DEFAC" w14:textId="77777777" w:rsidTr="00153EE6">
        <w:trPr>
          <w:trHeight w:val="369"/>
        </w:trPr>
        <w:tc>
          <w:tcPr>
            <w:tcW w:w="457" w:type="pct"/>
            <w:vMerge w:val="restart"/>
            <w:tcBorders>
              <w:right w:val="single" w:sz="4" w:space="0" w:color="auto"/>
            </w:tcBorders>
            <w:vAlign w:val="center"/>
          </w:tcPr>
          <w:p w14:paraId="7350B952"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氨氮</w:t>
            </w:r>
          </w:p>
        </w:tc>
        <w:tc>
          <w:tcPr>
            <w:tcW w:w="512" w:type="pct"/>
            <w:tcBorders>
              <w:left w:val="single" w:sz="4" w:space="0" w:color="auto"/>
            </w:tcBorders>
            <w:vAlign w:val="center"/>
          </w:tcPr>
          <w:p w14:paraId="7AE28369"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w:t>
            </w:r>
          </w:p>
        </w:tc>
        <w:tc>
          <w:tcPr>
            <w:tcW w:w="4031" w:type="pct"/>
            <w:vAlign w:val="center"/>
          </w:tcPr>
          <w:p w14:paraId="5ED84077" w14:textId="77777777" w:rsidR="001E3318" w:rsidRPr="00A964FF" w:rsidRDefault="00C55DBA" w:rsidP="001E3318">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2.826312mg/l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，预测超标距离最远为</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；影响距离最远为</w:t>
            </w:r>
            <w:r w:rsidRPr="00C55DBA">
              <w:rPr>
                <w:rFonts w:ascii="Calibri" w:eastAsia="宋体" w:hAnsi="Calibri" w:hint="eastAsia"/>
                <w:b w:val="0"/>
                <w:color w:val="auto"/>
                <w:sz w:val="21"/>
                <w:szCs w:val="21"/>
              </w:rPr>
              <w:t>1m</w:t>
            </w:r>
          </w:p>
        </w:tc>
      </w:tr>
      <w:tr w:rsidR="001E3318" w:rsidRPr="00A964FF" w14:paraId="0A4B7559" w14:textId="77777777" w:rsidTr="00153EE6">
        <w:trPr>
          <w:trHeight w:val="369"/>
        </w:trPr>
        <w:tc>
          <w:tcPr>
            <w:tcW w:w="457" w:type="pct"/>
            <w:vMerge/>
            <w:tcBorders>
              <w:right w:val="single" w:sz="4" w:space="0" w:color="auto"/>
            </w:tcBorders>
            <w:vAlign w:val="center"/>
          </w:tcPr>
          <w:p w14:paraId="6250562D"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3F06DB22"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30</w:t>
            </w:r>
          </w:p>
        </w:tc>
        <w:tc>
          <w:tcPr>
            <w:tcW w:w="4031" w:type="pct"/>
            <w:vAlign w:val="center"/>
          </w:tcPr>
          <w:p w14:paraId="05117894" w14:textId="77777777" w:rsidR="001E3318" w:rsidRPr="00A964FF" w:rsidRDefault="00C55DBA" w:rsidP="001E3318">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16.76592mg/l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，预测超标距离最远为</w:t>
            </w:r>
            <w:r w:rsidRPr="00C55DBA">
              <w:rPr>
                <w:rFonts w:ascii="Calibri" w:eastAsia="宋体" w:hAnsi="Calibri" w:hint="eastAsia"/>
                <w:b w:val="0"/>
                <w:color w:val="auto"/>
                <w:sz w:val="21"/>
                <w:szCs w:val="21"/>
              </w:rPr>
              <w:t>2m</w:t>
            </w:r>
            <w:r w:rsidRPr="00C55DBA">
              <w:rPr>
                <w:rFonts w:ascii="Calibri" w:eastAsia="宋体" w:hAnsi="Calibri" w:hint="eastAsia"/>
                <w:b w:val="0"/>
                <w:color w:val="auto"/>
                <w:sz w:val="21"/>
                <w:szCs w:val="21"/>
              </w:rPr>
              <w:t>；影响距离最远为</w:t>
            </w:r>
            <w:r w:rsidRPr="00C55DBA">
              <w:rPr>
                <w:rFonts w:ascii="Calibri" w:eastAsia="宋体" w:hAnsi="Calibri" w:hint="eastAsia"/>
                <w:b w:val="0"/>
                <w:color w:val="auto"/>
                <w:sz w:val="21"/>
                <w:szCs w:val="21"/>
              </w:rPr>
              <w:t>3m</w:t>
            </w:r>
          </w:p>
        </w:tc>
      </w:tr>
      <w:tr w:rsidR="001E3318" w:rsidRPr="00A964FF" w14:paraId="23CE7D21" w14:textId="77777777" w:rsidTr="00153EE6">
        <w:trPr>
          <w:trHeight w:val="369"/>
        </w:trPr>
        <w:tc>
          <w:tcPr>
            <w:tcW w:w="457" w:type="pct"/>
            <w:vMerge/>
            <w:tcBorders>
              <w:right w:val="single" w:sz="4" w:space="0" w:color="auto"/>
            </w:tcBorders>
            <w:vAlign w:val="center"/>
          </w:tcPr>
          <w:p w14:paraId="0BE197EC"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688E023D"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w:t>
            </w:r>
          </w:p>
        </w:tc>
        <w:tc>
          <w:tcPr>
            <w:tcW w:w="4031" w:type="pct"/>
            <w:vAlign w:val="center"/>
          </w:tcPr>
          <w:p w14:paraId="2AF8BF45" w14:textId="77777777" w:rsidR="001E3318" w:rsidRPr="00A964FF" w:rsidRDefault="00C55DBA" w:rsidP="001E3318">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3.077128mg/l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1m</w:t>
            </w:r>
            <w:r w:rsidRPr="00C55DBA">
              <w:rPr>
                <w:rFonts w:ascii="Calibri" w:eastAsia="宋体" w:hAnsi="Calibri" w:hint="eastAsia"/>
                <w:b w:val="0"/>
                <w:color w:val="auto"/>
                <w:sz w:val="21"/>
                <w:szCs w:val="21"/>
              </w:rPr>
              <w:t>，预测超标距离最远为</w:t>
            </w:r>
            <w:r w:rsidRPr="00C55DBA">
              <w:rPr>
                <w:rFonts w:ascii="Calibri" w:eastAsia="宋体" w:hAnsi="Calibri" w:hint="eastAsia"/>
                <w:b w:val="0"/>
                <w:color w:val="auto"/>
                <w:sz w:val="21"/>
                <w:szCs w:val="21"/>
              </w:rPr>
              <w:t>3m</w:t>
            </w:r>
            <w:r w:rsidRPr="00C55DBA">
              <w:rPr>
                <w:rFonts w:ascii="Calibri" w:eastAsia="宋体" w:hAnsi="Calibri" w:hint="eastAsia"/>
                <w:b w:val="0"/>
                <w:color w:val="auto"/>
                <w:sz w:val="21"/>
                <w:szCs w:val="21"/>
              </w:rPr>
              <w:t>；影响距离最远为</w:t>
            </w:r>
            <w:r w:rsidRPr="00C55DBA">
              <w:rPr>
                <w:rFonts w:ascii="Calibri" w:eastAsia="宋体" w:hAnsi="Calibri" w:hint="eastAsia"/>
                <w:b w:val="0"/>
                <w:color w:val="auto"/>
                <w:sz w:val="21"/>
                <w:szCs w:val="21"/>
              </w:rPr>
              <w:t>5m</w:t>
            </w:r>
          </w:p>
        </w:tc>
      </w:tr>
      <w:tr w:rsidR="001E3318" w:rsidRPr="00A964FF" w14:paraId="4B7DA6EE" w14:textId="77777777" w:rsidTr="00153EE6">
        <w:trPr>
          <w:trHeight w:val="369"/>
        </w:trPr>
        <w:tc>
          <w:tcPr>
            <w:tcW w:w="457" w:type="pct"/>
            <w:vMerge/>
            <w:tcBorders>
              <w:right w:val="single" w:sz="4" w:space="0" w:color="auto"/>
            </w:tcBorders>
            <w:vAlign w:val="center"/>
          </w:tcPr>
          <w:p w14:paraId="43A32445"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64B33744"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1000</w:t>
            </w:r>
          </w:p>
        </w:tc>
        <w:tc>
          <w:tcPr>
            <w:tcW w:w="4031" w:type="pct"/>
            <w:vAlign w:val="center"/>
          </w:tcPr>
          <w:p w14:paraId="4A5C217D" w14:textId="77777777" w:rsidR="001E3318" w:rsidRPr="00A964FF" w:rsidRDefault="00C55DBA" w:rsidP="001E3318">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0.3846651mg/l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5m</w:t>
            </w:r>
            <w:r w:rsidRPr="00C55DBA">
              <w:rPr>
                <w:rFonts w:ascii="Calibri" w:eastAsia="宋体" w:hAnsi="Calibri" w:hint="eastAsia"/>
                <w:b w:val="0"/>
                <w:color w:val="auto"/>
                <w:sz w:val="21"/>
                <w:szCs w:val="21"/>
              </w:rPr>
              <w:t>，预测结果均未超标；影响距离最远为</w:t>
            </w:r>
            <w:r w:rsidRPr="00C55DBA">
              <w:rPr>
                <w:rFonts w:ascii="Calibri" w:eastAsia="宋体" w:hAnsi="Calibri" w:hint="eastAsia"/>
                <w:b w:val="0"/>
                <w:color w:val="auto"/>
                <w:sz w:val="21"/>
                <w:szCs w:val="21"/>
              </w:rPr>
              <w:t>15m</w:t>
            </w:r>
          </w:p>
        </w:tc>
      </w:tr>
      <w:tr w:rsidR="001E3318" w:rsidRPr="00A964FF" w14:paraId="5518A6CA" w14:textId="77777777" w:rsidTr="00153EE6">
        <w:trPr>
          <w:trHeight w:val="369"/>
        </w:trPr>
        <w:tc>
          <w:tcPr>
            <w:tcW w:w="457" w:type="pct"/>
            <w:vMerge/>
            <w:tcBorders>
              <w:right w:val="single" w:sz="4" w:space="0" w:color="auto"/>
            </w:tcBorders>
            <w:vAlign w:val="center"/>
          </w:tcPr>
          <w:p w14:paraId="2E79CF3B"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512" w:type="pct"/>
            <w:tcBorders>
              <w:left w:val="single" w:sz="4" w:space="0" w:color="auto"/>
            </w:tcBorders>
            <w:vAlign w:val="center"/>
          </w:tcPr>
          <w:p w14:paraId="120FCAF3"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2000</w:t>
            </w:r>
          </w:p>
        </w:tc>
        <w:tc>
          <w:tcPr>
            <w:tcW w:w="4031" w:type="pct"/>
            <w:vAlign w:val="center"/>
          </w:tcPr>
          <w:p w14:paraId="02E98ED1" w14:textId="77777777" w:rsidR="001E3318" w:rsidRPr="00A964FF" w:rsidRDefault="00C55DBA" w:rsidP="001E3318">
            <w:pPr>
              <w:pStyle w:val="ad"/>
              <w:spacing w:line="240" w:lineRule="auto"/>
              <w:jc w:val="left"/>
              <w:rPr>
                <w:rFonts w:ascii="Calibri" w:eastAsia="宋体" w:hAnsi="Calibri"/>
                <w:b w:val="0"/>
                <w:color w:val="auto"/>
                <w:sz w:val="21"/>
                <w:szCs w:val="21"/>
              </w:rPr>
            </w:pPr>
            <w:r w:rsidRPr="00C55DBA">
              <w:rPr>
                <w:rFonts w:ascii="Calibri" w:eastAsia="宋体" w:hAnsi="Calibri" w:hint="eastAsia"/>
                <w:b w:val="0"/>
                <w:color w:val="auto"/>
                <w:sz w:val="21"/>
                <w:szCs w:val="21"/>
              </w:rPr>
              <w:t>预测的最大值为</w:t>
            </w:r>
            <w:r w:rsidRPr="00C55DBA">
              <w:rPr>
                <w:rFonts w:ascii="Calibri" w:eastAsia="宋体" w:hAnsi="Calibri" w:hint="eastAsia"/>
                <w:b w:val="0"/>
                <w:color w:val="auto"/>
                <w:sz w:val="21"/>
                <w:szCs w:val="21"/>
              </w:rPr>
              <w:t>0.2219787mg/l</w:t>
            </w:r>
            <w:r w:rsidRPr="00C55DBA">
              <w:rPr>
                <w:rFonts w:ascii="Calibri" w:eastAsia="宋体" w:hAnsi="Calibri" w:hint="eastAsia"/>
                <w:b w:val="0"/>
                <w:color w:val="auto"/>
                <w:sz w:val="21"/>
                <w:szCs w:val="21"/>
              </w:rPr>
              <w:t>，位于下游</w:t>
            </w:r>
            <w:r w:rsidRPr="00C55DBA">
              <w:rPr>
                <w:rFonts w:ascii="Calibri" w:eastAsia="宋体" w:hAnsi="Calibri" w:hint="eastAsia"/>
                <w:b w:val="0"/>
                <w:color w:val="auto"/>
                <w:sz w:val="21"/>
                <w:szCs w:val="21"/>
              </w:rPr>
              <w:t>7m</w:t>
            </w:r>
            <w:r w:rsidRPr="00C55DBA">
              <w:rPr>
                <w:rFonts w:ascii="Calibri" w:eastAsia="宋体" w:hAnsi="Calibri" w:hint="eastAsia"/>
                <w:b w:val="0"/>
                <w:color w:val="auto"/>
                <w:sz w:val="21"/>
                <w:szCs w:val="21"/>
              </w:rPr>
              <w:t>，预测结果均未超标；影响距离最远为</w:t>
            </w:r>
            <w:r w:rsidRPr="00C55DBA">
              <w:rPr>
                <w:rFonts w:ascii="Calibri" w:eastAsia="宋体" w:hAnsi="Calibri" w:hint="eastAsia"/>
                <w:b w:val="0"/>
                <w:color w:val="auto"/>
                <w:sz w:val="21"/>
                <w:szCs w:val="21"/>
              </w:rPr>
              <w:t>20m</w:t>
            </w:r>
          </w:p>
        </w:tc>
      </w:tr>
    </w:tbl>
    <w:p w14:paraId="2DC37C70" w14:textId="77777777" w:rsidR="00F80DFD" w:rsidRPr="00A964FF" w:rsidRDefault="00DD1BE8" w:rsidP="00F80DFD">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本项目废水处理站</w:t>
      </w:r>
      <w:r w:rsidR="007E4933" w:rsidRPr="00A964FF">
        <w:rPr>
          <w:rFonts w:ascii="Calibri" w:eastAsia="宋体" w:hAnsi="Calibri" w:hint="eastAsia"/>
          <w:b w:val="0"/>
          <w:color w:val="auto"/>
          <w:sz w:val="24"/>
        </w:rPr>
        <w:t>在非正常短时泄漏情况下，泄漏点下游方向</w:t>
      </w:r>
      <w:r w:rsidR="007E4933" w:rsidRPr="00A964FF">
        <w:rPr>
          <w:rFonts w:ascii="Calibri" w:eastAsia="宋体" w:hAnsi="Calibri" w:hint="eastAsia"/>
          <w:b w:val="0"/>
          <w:color w:val="auto"/>
          <w:sz w:val="24"/>
        </w:rPr>
        <w:t>COD</w:t>
      </w:r>
      <w:r w:rsidR="007E4933" w:rsidRPr="00A964FF">
        <w:rPr>
          <w:rFonts w:ascii="Calibri" w:eastAsia="宋体" w:hAnsi="Calibri" w:hint="eastAsia"/>
          <w:b w:val="0"/>
          <w:color w:val="auto"/>
          <w:sz w:val="24"/>
          <w:vertAlign w:val="subscript"/>
        </w:rPr>
        <w:t>Mn</w:t>
      </w:r>
      <w:r w:rsidR="007E4933" w:rsidRPr="00A964FF">
        <w:rPr>
          <w:rFonts w:ascii="Calibri" w:eastAsia="宋体" w:hAnsi="Calibri" w:hint="eastAsia"/>
          <w:b w:val="0"/>
          <w:color w:val="auto"/>
          <w:sz w:val="24"/>
        </w:rPr>
        <w:t>、</w:t>
      </w:r>
      <w:r w:rsidR="007E4933" w:rsidRPr="00A964FF">
        <w:rPr>
          <w:rFonts w:ascii="Calibri" w:eastAsia="宋体" w:hAnsi="Calibri" w:hint="eastAsia"/>
          <w:b w:val="0"/>
          <w:color w:val="auto"/>
          <w:sz w:val="24"/>
        </w:rPr>
        <w:t>NH</w:t>
      </w:r>
      <w:r w:rsidR="007E4933" w:rsidRPr="00A964FF">
        <w:rPr>
          <w:rFonts w:ascii="Calibri" w:eastAsia="宋体" w:hAnsi="Calibri" w:hint="eastAsia"/>
          <w:b w:val="0"/>
          <w:color w:val="auto"/>
          <w:sz w:val="24"/>
          <w:vertAlign w:val="subscript"/>
        </w:rPr>
        <w:t>3</w:t>
      </w:r>
      <w:r w:rsidR="007E4933" w:rsidRPr="00A964FF">
        <w:rPr>
          <w:rFonts w:ascii="Calibri" w:eastAsia="宋体" w:hAnsi="Calibri" w:hint="eastAsia"/>
          <w:b w:val="0"/>
          <w:color w:val="auto"/>
          <w:sz w:val="24"/>
        </w:rPr>
        <w:t>-N</w:t>
      </w:r>
      <w:r w:rsidR="007E4933" w:rsidRPr="00A964FF">
        <w:rPr>
          <w:rFonts w:ascii="Calibri" w:eastAsia="宋体" w:hAnsi="Calibri" w:hint="eastAsia"/>
          <w:b w:val="0"/>
          <w:color w:val="auto"/>
          <w:sz w:val="24"/>
        </w:rPr>
        <w:t>、浓度逐渐向下游方向扩散，在不考虑降解、吸附等物理化学反应情况下，主要随水流扩散。根据预测结果，</w:t>
      </w:r>
      <w:r w:rsidR="007E4933" w:rsidRPr="00A964FF">
        <w:rPr>
          <w:rFonts w:ascii="Calibri" w:eastAsia="宋体" w:hAnsi="Calibri" w:hint="eastAsia"/>
          <w:b w:val="0"/>
          <w:color w:val="auto"/>
          <w:sz w:val="24"/>
        </w:rPr>
        <w:t>COD</w:t>
      </w:r>
      <w:r w:rsidR="007E4933" w:rsidRPr="00A964FF">
        <w:rPr>
          <w:rFonts w:ascii="Calibri" w:eastAsia="宋体" w:hAnsi="Calibri" w:hint="eastAsia"/>
          <w:b w:val="0"/>
          <w:color w:val="auto"/>
          <w:sz w:val="24"/>
        </w:rPr>
        <w:t>泄漏后</w:t>
      </w:r>
      <w:r w:rsidR="007E4933" w:rsidRPr="00A964FF">
        <w:rPr>
          <w:rFonts w:ascii="Calibri" w:eastAsia="宋体" w:hAnsi="Calibri" w:hint="eastAsia"/>
          <w:b w:val="0"/>
          <w:color w:val="auto"/>
          <w:sz w:val="24"/>
        </w:rPr>
        <w:t>10d</w:t>
      </w:r>
      <w:r w:rsidR="007E4933" w:rsidRPr="00A964FF">
        <w:rPr>
          <w:rFonts w:ascii="Calibri" w:eastAsia="宋体" w:hAnsi="Calibri" w:hint="eastAsia"/>
          <w:b w:val="0"/>
          <w:color w:val="auto"/>
          <w:sz w:val="24"/>
        </w:rPr>
        <w:t>，下游影响距离最远为</w:t>
      </w:r>
      <w:r w:rsidR="00C55DBA">
        <w:rPr>
          <w:rFonts w:ascii="Calibri" w:eastAsia="宋体" w:hAnsi="Calibri"/>
          <w:b w:val="0"/>
          <w:color w:val="auto"/>
          <w:sz w:val="24"/>
        </w:rPr>
        <w:t>1</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；泄漏后</w:t>
      </w:r>
      <w:r w:rsidR="007E4933" w:rsidRPr="00A964FF">
        <w:rPr>
          <w:rFonts w:ascii="Calibri" w:eastAsia="宋体" w:hAnsi="Calibri" w:hint="eastAsia"/>
          <w:b w:val="0"/>
          <w:color w:val="auto"/>
          <w:sz w:val="24"/>
        </w:rPr>
        <w:t>30d</w:t>
      </w:r>
      <w:r w:rsidR="007E4933" w:rsidRPr="00A964FF">
        <w:rPr>
          <w:rFonts w:ascii="Calibri" w:eastAsia="宋体" w:hAnsi="Calibri" w:hint="eastAsia"/>
          <w:b w:val="0"/>
          <w:color w:val="auto"/>
          <w:sz w:val="24"/>
        </w:rPr>
        <w:t>，下游影响距离最远为</w:t>
      </w:r>
      <w:r w:rsidR="003A3254" w:rsidRPr="00A964FF">
        <w:rPr>
          <w:rFonts w:ascii="Calibri" w:eastAsia="宋体" w:hAnsi="Calibri" w:hint="eastAsia"/>
          <w:b w:val="0"/>
          <w:color w:val="auto"/>
          <w:sz w:val="24"/>
        </w:rPr>
        <w:t>3</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；泄漏后</w:t>
      </w:r>
      <w:r w:rsidR="007E4933" w:rsidRPr="00A964FF">
        <w:rPr>
          <w:rFonts w:ascii="Calibri" w:eastAsia="宋体" w:hAnsi="Calibri" w:hint="eastAsia"/>
          <w:b w:val="0"/>
          <w:color w:val="auto"/>
          <w:sz w:val="24"/>
        </w:rPr>
        <w:t>100d</w:t>
      </w:r>
      <w:r w:rsidR="007E4933" w:rsidRPr="00A964FF">
        <w:rPr>
          <w:rFonts w:ascii="Calibri" w:eastAsia="宋体" w:hAnsi="Calibri" w:hint="eastAsia"/>
          <w:b w:val="0"/>
          <w:color w:val="auto"/>
          <w:sz w:val="24"/>
        </w:rPr>
        <w:t>时，下游影响距离最远为</w:t>
      </w:r>
      <w:r w:rsidR="00C55DBA">
        <w:rPr>
          <w:rFonts w:ascii="Calibri" w:eastAsia="宋体" w:hAnsi="Calibri"/>
          <w:b w:val="0"/>
          <w:color w:val="auto"/>
          <w:sz w:val="24"/>
        </w:rPr>
        <w:t>5</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w:t>
      </w:r>
      <w:r w:rsidR="007E4933" w:rsidRPr="00A964FF">
        <w:rPr>
          <w:rFonts w:ascii="Calibri" w:eastAsia="宋体" w:hAnsi="Calibri" w:hint="eastAsia"/>
          <w:b w:val="0"/>
          <w:color w:val="auto"/>
          <w:sz w:val="24"/>
        </w:rPr>
        <w:t>1000d</w:t>
      </w:r>
      <w:r w:rsidR="007E4933"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16</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w:t>
      </w:r>
      <w:r w:rsidR="007E4933" w:rsidRPr="00A964FF">
        <w:rPr>
          <w:rFonts w:ascii="Calibri" w:eastAsia="宋体" w:hAnsi="Calibri" w:hint="eastAsia"/>
          <w:b w:val="0"/>
          <w:color w:val="auto"/>
          <w:sz w:val="24"/>
        </w:rPr>
        <w:t>2000d</w:t>
      </w:r>
      <w:r w:rsidR="007E4933"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22</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w:t>
      </w:r>
      <w:r w:rsidR="007E4933" w:rsidRPr="00A964FF">
        <w:rPr>
          <w:rFonts w:ascii="Calibri" w:eastAsia="宋体" w:hAnsi="Calibri" w:hint="eastAsia"/>
          <w:b w:val="0"/>
          <w:color w:val="auto"/>
          <w:sz w:val="24"/>
        </w:rPr>
        <w:t>NH</w:t>
      </w:r>
      <w:r w:rsidR="007E4933" w:rsidRPr="00A964FF">
        <w:rPr>
          <w:rFonts w:ascii="Calibri" w:eastAsia="宋体" w:hAnsi="Calibri" w:hint="eastAsia"/>
          <w:b w:val="0"/>
          <w:color w:val="auto"/>
          <w:sz w:val="24"/>
          <w:vertAlign w:val="subscript"/>
        </w:rPr>
        <w:t>3</w:t>
      </w:r>
      <w:r w:rsidR="007E4933" w:rsidRPr="00A964FF">
        <w:rPr>
          <w:rFonts w:ascii="Calibri" w:eastAsia="宋体" w:hAnsi="Calibri" w:hint="eastAsia"/>
          <w:b w:val="0"/>
          <w:color w:val="auto"/>
          <w:sz w:val="24"/>
        </w:rPr>
        <w:t>-N</w:t>
      </w:r>
      <w:r w:rsidR="007E4933" w:rsidRPr="00A964FF">
        <w:rPr>
          <w:rFonts w:ascii="Calibri" w:eastAsia="宋体" w:hAnsi="Calibri" w:hint="eastAsia"/>
          <w:b w:val="0"/>
          <w:color w:val="auto"/>
          <w:sz w:val="24"/>
        </w:rPr>
        <w:t>泄漏后</w:t>
      </w:r>
      <w:r w:rsidR="007E4933" w:rsidRPr="00A964FF">
        <w:rPr>
          <w:rFonts w:ascii="Calibri" w:eastAsia="宋体" w:hAnsi="Calibri" w:hint="eastAsia"/>
          <w:b w:val="0"/>
          <w:color w:val="auto"/>
          <w:sz w:val="24"/>
        </w:rPr>
        <w:t>10d</w:t>
      </w:r>
      <w:r w:rsidR="007E4933" w:rsidRPr="00A964FF">
        <w:rPr>
          <w:rFonts w:ascii="Calibri" w:eastAsia="宋体" w:hAnsi="Calibri" w:hint="eastAsia"/>
          <w:b w:val="0"/>
          <w:color w:val="auto"/>
          <w:sz w:val="24"/>
        </w:rPr>
        <w:t>，下游影响距离最远为</w:t>
      </w:r>
      <w:r w:rsidR="00F80DFD">
        <w:rPr>
          <w:rFonts w:ascii="Calibri" w:eastAsia="宋体" w:hAnsi="Calibri"/>
          <w:b w:val="0"/>
          <w:color w:val="auto"/>
          <w:sz w:val="24"/>
        </w:rPr>
        <w:t>1</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；泄漏后</w:t>
      </w:r>
      <w:r w:rsidR="007E4933" w:rsidRPr="00A964FF">
        <w:rPr>
          <w:rFonts w:ascii="Calibri" w:eastAsia="宋体" w:hAnsi="Calibri" w:hint="eastAsia"/>
          <w:b w:val="0"/>
          <w:color w:val="auto"/>
          <w:sz w:val="24"/>
        </w:rPr>
        <w:t>30d</w:t>
      </w:r>
      <w:r w:rsidR="007E4933" w:rsidRPr="00A964FF">
        <w:rPr>
          <w:rFonts w:ascii="Calibri" w:eastAsia="宋体" w:hAnsi="Calibri" w:hint="eastAsia"/>
          <w:b w:val="0"/>
          <w:color w:val="auto"/>
          <w:sz w:val="24"/>
        </w:rPr>
        <w:t>，下游影响距离最远为</w:t>
      </w:r>
      <w:r w:rsidR="003A3254" w:rsidRPr="00A964FF">
        <w:rPr>
          <w:rFonts w:ascii="Calibri" w:eastAsia="宋体" w:hAnsi="Calibri" w:hint="eastAsia"/>
          <w:b w:val="0"/>
          <w:color w:val="auto"/>
          <w:sz w:val="24"/>
        </w:rPr>
        <w:t>3</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；泄漏后</w:t>
      </w:r>
      <w:r w:rsidR="007E4933" w:rsidRPr="00A964FF">
        <w:rPr>
          <w:rFonts w:ascii="Calibri" w:eastAsia="宋体" w:hAnsi="Calibri" w:hint="eastAsia"/>
          <w:b w:val="0"/>
          <w:color w:val="auto"/>
          <w:sz w:val="24"/>
        </w:rPr>
        <w:t>100d</w:t>
      </w:r>
      <w:r w:rsidR="007E4933" w:rsidRPr="00A964FF">
        <w:rPr>
          <w:rFonts w:ascii="Calibri" w:eastAsia="宋体" w:hAnsi="Calibri" w:hint="eastAsia"/>
          <w:b w:val="0"/>
          <w:color w:val="auto"/>
          <w:sz w:val="24"/>
        </w:rPr>
        <w:t>时，下游影响距离最远为</w:t>
      </w:r>
      <w:r w:rsidR="00F80DFD">
        <w:rPr>
          <w:rFonts w:ascii="Calibri" w:eastAsia="宋体" w:hAnsi="Calibri"/>
          <w:b w:val="0"/>
          <w:color w:val="auto"/>
          <w:sz w:val="24"/>
        </w:rPr>
        <w:t>5</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w:t>
      </w:r>
      <w:r w:rsidR="007E4933" w:rsidRPr="00A964FF">
        <w:rPr>
          <w:rFonts w:ascii="Calibri" w:eastAsia="宋体" w:hAnsi="Calibri" w:hint="eastAsia"/>
          <w:b w:val="0"/>
          <w:color w:val="auto"/>
          <w:sz w:val="24"/>
        </w:rPr>
        <w:t>1000d</w:t>
      </w:r>
      <w:r w:rsidR="007E4933"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15</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；泄漏</w:t>
      </w:r>
      <w:r w:rsidR="007E4933" w:rsidRPr="00A964FF">
        <w:rPr>
          <w:rFonts w:ascii="Calibri" w:eastAsia="宋体" w:hAnsi="Calibri" w:hint="eastAsia"/>
          <w:b w:val="0"/>
          <w:color w:val="auto"/>
          <w:sz w:val="24"/>
        </w:rPr>
        <w:t>2000d</w:t>
      </w:r>
      <w:r w:rsidR="007E4933"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20</w:t>
      </w:r>
      <w:r w:rsidR="007E4933" w:rsidRPr="00A964FF">
        <w:rPr>
          <w:rFonts w:ascii="Calibri" w:eastAsia="宋体" w:hAnsi="Calibri" w:hint="eastAsia"/>
          <w:b w:val="0"/>
          <w:color w:val="auto"/>
          <w:sz w:val="24"/>
        </w:rPr>
        <w:t>m</w:t>
      </w:r>
      <w:r w:rsidR="007E4933" w:rsidRPr="00A964FF">
        <w:rPr>
          <w:rFonts w:ascii="Calibri" w:eastAsia="宋体" w:hAnsi="Calibri" w:hint="eastAsia"/>
          <w:b w:val="0"/>
          <w:color w:val="auto"/>
          <w:sz w:val="24"/>
        </w:rPr>
        <w:t>。</w:t>
      </w:r>
      <w:r w:rsidR="00F80DFD">
        <w:rPr>
          <w:rFonts w:ascii="Calibri" w:eastAsia="宋体" w:hAnsi="Calibri" w:hint="eastAsia"/>
          <w:b w:val="0"/>
          <w:color w:val="auto"/>
          <w:sz w:val="24"/>
        </w:rPr>
        <w:t>预测时间</w:t>
      </w:r>
      <w:r w:rsidR="00F80DFD">
        <w:rPr>
          <w:rFonts w:ascii="Calibri" w:eastAsia="宋体" w:hAnsi="Calibri"/>
          <w:b w:val="0"/>
          <w:color w:val="auto"/>
          <w:sz w:val="24"/>
        </w:rPr>
        <w:t>内</w:t>
      </w:r>
      <w:r w:rsidR="00F80DFD">
        <w:rPr>
          <w:rFonts w:ascii="Calibri" w:eastAsia="宋体" w:hAnsi="Calibri" w:hint="eastAsia"/>
          <w:b w:val="0"/>
          <w:color w:val="auto"/>
          <w:sz w:val="24"/>
        </w:rPr>
        <w:t>短时</w:t>
      </w:r>
      <w:r w:rsidR="00F80DFD">
        <w:rPr>
          <w:rFonts w:ascii="Calibri" w:eastAsia="宋体" w:hAnsi="Calibri"/>
          <w:b w:val="0"/>
          <w:color w:val="auto"/>
          <w:sz w:val="24"/>
        </w:rPr>
        <w:t>泄露</w:t>
      </w:r>
      <w:r w:rsidR="00F80DFD">
        <w:rPr>
          <w:rFonts w:ascii="Calibri" w:eastAsia="宋体" w:hAnsi="Calibri" w:hint="eastAsia"/>
          <w:b w:val="0"/>
          <w:color w:val="auto"/>
          <w:sz w:val="24"/>
        </w:rPr>
        <w:t>影响</w:t>
      </w:r>
      <w:r w:rsidR="00F80DFD">
        <w:rPr>
          <w:rFonts w:ascii="Calibri" w:eastAsia="宋体" w:hAnsi="Calibri"/>
          <w:b w:val="0"/>
          <w:color w:val="auto"/>
          <w:sz w:val="24"/>
        </w:rPr>
        <w:t>最远距离均在厂区内。</w:t>
      </w:r>
    </w:p>
    <w:p w14:paraId="3F899221" w14:textId="77777777" w:rsidR="001E3318" w:rsidRPr="00A964FF" w:rsidRDefault="001E3318" w:rsidP="007E4933">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②</w:t>
      </w:r>
      <w:r w:rsidRPr="00A964FF">
        <w:rPr>
          <w:rFonts w:ascii="Calibri" w:eastAsia="宋体" w:hAnsi="Calibri" w:hint="eastAsia"/>
          <w:b w:val="0"/>
          <w:color w:val="auto"/>
          <w:sz w:val="24"/>
        </w:rPr>
        <w:t xml:space="preserve"> </w:t>
      </w:r>
      <w:r w:rsidRPr="00A964FF">
        <w:rPr>
          <w:rFonts w:ascii="Calibri" w:eastAsia="宋体" w:hAnsi="Calibri" w:hint="eastAsia"/>
          <w:b w:val="0"/>
          <w:color w:val="auto"/>
          <w:sz w:val="24"/>
        </w:rPr>
        <w:t>持续泄漏</w:t>
      </w:r>
    </w:p>
    <w:p w14:paraId="1BB7D3BB" w14:textId="77777777" w:rsidR="00637B1C" w:rsidRPr="005258F3" w:rsidRDefault="001E3318" w:rsidP="005258F3">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根据预测模型，废水处理站非正常情况下持续泄漏污染物对地下水的影响预测结果见表</w:t>
      </w:r>
      <w:r w:rsidRPr="00A964FF">
        <w:rPr>
          <w:rFonts w:ascii="Calibri" w:eastAsia="宋体" w:hAnsi="Calibri" w:hint="eastAsia"/>
          <w:b w:val="0"/>
          <w:color w:val="auto"/>
          <w:sz w:val="24"/>
        </w:rPr>
        <w:t>4.2-</w:t>
      </w:r>
      <w:r w:rsidR="00F80DFD">
        <w:rPr>
          <w:rFonts w:ascii="Calibri" w:eastAsia="宋体" w:hAnsi="Calibri"/>
          <w:b w:val="0"/>
          <w:color w:val="auto"/>
          <w:sz w:val="24"/>
        </w:rPr>
        <w:t>26</w:t>
      </w:r>
      <w:r w:rsidRPr="00A964FF">
        <w:rPr>
          <w:rFonts w:ascii="Calibri" w:eastAsia="宋体" w:hAnsi="Calibri" w:hint="eastAsia"/>
          <w:b w:val="0"/>
          <w:color w:val="auto"/>
          <w:sz w:val="24"/>
        </w:rPr>
        <w:t>。</w:t>
      </w:r>
    </w:p>
    <w:p w14:paraId="76427B4E" w14:textId="77777777" w:rsidR="00153EE6" w:rsidRDefault="00153EE6" w:rsidP="001E3318">
      <w:pPr>
        <w:spacing w:line="500" w:lineRule="exact"/>
        <w:ind w:firstLineChars="196" w:firstLine="470"/>
        <w:rPr>
          <w:rFonts w:ascii="Calibri" w:eastAsia="黑体"/>
          <w:bCs/>
          <w:color w:val="auto"/>
          <w:sz w:val="24"/>
        </w:rPr>
      </w:pPr>
    </w:p>
    <w:p w14:paraId="6F815F63" w14:textId="77777777" w:rsidR="00153EE6" w:rsidRDefault="00153EE6" w:rsidP="001E3318">
      <w:pPr>
        <w:spacing w:line="500" w:lineRule="exact"/>
        <w:ind w:firstLineChars="196" w:firstLine="470"/>
        <w:rPr>
          <w:rFonts w:ascii="Calibri" w:eastAsia="黑体"/>
          <w:bCs/>
          <w:color w:val="auto"/>
          <w:sz w:val="24"/>
        </w:rPr>
      </w:pPr>
    </w:p>
    <w:p w14:paraId="51354323" w14:textId="77777777" w:rsidR="001E3318" w:rsidRPr="00A964FF" w:rsidRDefault="001E3318" w:rsidP="001E3318">
      <w:pPr>
        <w:spacing w:line="500" w:lineRule="exact"/>
        <w:ind w:firstLineChars="196" w:firstLine="470"/>
        <w:rPr>
          <w:rFonts w:ascii="Calibri" w:eastAsia="黑体" w:hAnsi="Calibri"/>
          <w:bCs/>
          <w:color w:val="auto"/>
          <w:sz w:val="24"/>
        </w:rPr>
      </w:pPr>
      <w:r w:rsidRPr="00A964FF">
        <w:rPr>
          <w:rFonts w:ascii="Calibri" w:eastAsia="黑体"/>
          <w:bCs/>
          <w:color w:val="auto"/>
          <w:sz w:val="24"/>
        </w:rPr>
        <w:lastRenderedPageBreak/>
        <w:t>表</w:t>
      </w:r>
      <w:r w:rsidRPr="00A964FF">
        <w:rPr>
          <w:rFonts w:ascii="Calibri" w:eastAsia="黑体" w:hAnsi="Calibri" w:hint="eastAsia"/>
          <w:bCs/>
          <w:color w:val="auto"/>
          <w:sz w:val="24"/>
        </w:rPr>
        <w:t>4</w:t>
      </w:r>
      <w:r w:rsidR="000D2512" w:rsidRPr="00A964FF">
        <w:rPr>
          <w:rFonts w:ascii="Calibri" w:eastAsia="黑体" w:hAnsi="Calibri" w:hint="eastAsia"/>
          <w:bCs/>
          <w:color w:val="auto"/>
          <w:sz w:val="24"/>
        </w:rPr>
        <w:t>.2</w:t>
      </w:r>
      <w:r w:rsidRPr="00A964FF">
        <w:rPr>
          <w:rFonts w:ascii="Calibri" w:eastAsia="黑体" w:hAnsi="Calibri" w:hint="eastAsia"/>
          <w:bCs/>
          <w:color w:val="auto"/>
          <w:sz w:val="24"/>
        </w:rPr>
        <w:t>-</w:t>
      </w:r>
      <w:r w:rsidR="00F80DFD">
        <w:rPr>
          <w:rFonts w:ascii="Calibri" w:eastAsia="黑体" w:hAnsi="Calibri"/>
          <w:bCs/>
          <w:color w:val="auto"/>
          <w:sz w:val="24"/>
        </w:rPr>
        <w:t>26</w:t>
      </w:r>
      <w:r w:rsidRPr="00A964FF">
        <w:rPr>
          <w:rFonts w:ascii="Calibri" w:eastAsia="黑体" w:hint="eastAsia"/>
          <w:bCs/>
          <w:color w:val="auto"/>
          <w:sz w:val="24"/>
        </w:rPr>
        <w:t xml:space="preserve">    </w:t>
      </w:r>
      <w:r w:rsidRPr="00A964FF">
        <w:rPr>
          <w:rFonts w:ascii="Calibri" w:eastAsia="黑体" w:hAnsi="Calibri" w:hint="eastAsia"/>
          <w:bCs/>
          <w:color w:val="auto"/>
          <w:sz w:val="24"/>
        </w:rPr>
        <w:t>废水处理站持续泄漏不同时间下游不同距离处污染物浓度</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119"/>
        <w:gridCol w:w="1275"/>
        <w:gridCol w:w="6306"/>
      </w:tblGrid>
      <w:tr w:rsidR="001E3318" w:rsidRPr="00A964FF" w14:paraId="0D376186" w14:textId="77777777" w:rsidTr="00A814F7">
        <w:trPr>
          <w:trHeight w:val="369"/>
        </w:trPr>
        <w:tc>
          <w:tcPr>
            <w:tcW w:w="643" w:type="pct"/>
            <w:tcBorders>
              <w:right w:val="single" w:sz="4" w:space="0" w:color="auto"/>
            </w:tcBorders>
            <w:vAlign w:val="center"/>
          </w:tcPr>
          <w:p w14:paraId="035D7E65"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预测因子</w:t>
            </w:r>
          </w:p>
        </w:tc>
        <w:tc>
          <w:tcPr>
            <w:tcW w:w="733" w:type="pct"/>
            <w:tcBorders>
              <w:left w:val="single" w:sz="4" w:space="0" w:color="auto"/>
            </w:tcBorders>
            <w:vAlign w:val="center"/>
          </w:tcPr>
          <w:p w14:paraId="34C692A7"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预测时间</w:t>
            </w:r>
            <w:r w:rsidRPr="00A964FF">
              <w:rPr>
                <w:rFonts w:ascii="Calibri" w:eastAsia="宋体" w:hAnsi="Calibri" w:hint="eastAsia"/>
                <w:b w:val="0"/>
                <w:color w:val="auto"/>
                <w:sz w:val="21"/>
                <w:szCs w:val="21"/>
              </w:rPr>
              <w:t>d</w:t>
            </w:r>
          </w:p>
        </w:tc>
        <w:tc>
          <w:tcPr>
            <w:tcW w:w="3624" w:type="pct"/>
            <w:vAlign w:val="center"/>
          </w:tcPr>
          <w:p w14:paraId="40F4DFB8"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预测结果</w:t>
            </w:r>
          </w:p>
        </w:tc>
      </w:tr>
      <w:tr w:rsidR="001E3318" w:rsidRPr="00A964FF" w14:paraId="0926E4E8" w14:textId="77777777" w:rsidTr="00A814F7">
        <w:trPr>
          <w:trHeight w:val="369"/>
        </w:trPr>
        <w:tc>
          <w:tcPr>
            <w:tcW w:w="643" w:type="pct"/>
            <w:vMerge w:val="restart"/>
            <w:tcBorders>
              <w:right w:val="single" w:sz="4" w:space="0" w:color="auto"/>
            </w:tcBorders>
            <w:vAlign w:val="center"/>
          </w:tcPr>
          <w:p w14:paraId="20A516B1"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COD</w:t>
            </w:r>
            <w:r w:rsidRPr="00A964FF">
              <w:rPr>
                <w:rFonts w:ascii="Calibri" w:eastAsia="宋体" w:hAnsi="Calibri" w:hint="eastAsia"/>
                <w:b w:val="0"/>
                <w:color w:val="auto"/>
                <w:sz w:val="21"/>
                <w:szCs w:val="21"/>
                <w:vertAlign w:val="subscript"/>
              </w:rPr>
              <w:t>Mn</w:t>
            </w:r>
          </w:p>
        </w:tc>
        <w:tc>
          <w:tcPr>
            <w:tcW w:w="733" w:type="pct"/>
            <w:tcBorders>
              <w:left w:val="single" w:sz="4" w:space="0" w:color="auto"/>
            </w:tcBorders>
            <w:vAlign w:val="center"/>
          </w:tcPr>
          <w:p w14:paraId="786442F0"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w:t>
            </w:r>
          </w:p>
        </w:tc>
        <w:tc>
          <w:tcPr>
            <w:tcW w:w="3624" w:type="pct"/>
            <w:vAlign w:val="center"/>
          </w:tcPr>
          <w:p w14:paraId="3968EBB2" w14:textId="77777777" w:rsidR="001E3318" w:rsidRPr="00A964FF" w:rsidRDefault="003A3254" w:rsidP="00F80DFD">
            <w:pPr>
              <w:pStyle w:val="ad"/>
              <w:spacing w:line="240" w:lineRule="auto"/>
              <w:jc w:val="left"/>
              <w:rPr>
                <w:rFonts w:ascii="Calibri" w:eastAsia="宋体" w:hAnsi="Calibri"/>
                <w:b w:val="0"/>
                <w:color w:val="auto"/>
                <w:sz w:val="21"/>
                <w:szCs w:val="21"/>
              </w:rPr>
            </w:pPr>
            <w:r w:rsidRPr="00A964FF">
              <w:rPr>
                <w:rFonts w:ascii="Calibri" w:eastAsia="宋体" w:hAnsi="Calibri" w:hint="eastAsia"/>
                <w:b w:val="0"/>
                <w:color w:val="auto"/>
                <w:sz w:val="21"/>
                <w:szCs w:val="21"/>
              </w:rPr>
              <w:t>预测超标距离为</w:t>
            </w:r>
            <w:r w:rsidRPr="00A964FF">
              <w:rPr>
                <w:rFonts w:ascii="Calibri" w:eastAsia="宋体" w:hAnsi="Calibri" w:hint="eastAsia"/>
                <w:b w:val="0"/>
                <w:color w:val="auto"/>
                <w:sz w:val="21"/>
                <w:szCs w:val="21"/>
              </w:rPr>
              <w:t>1m</w:t>
            </w:r>
            <w:r w:rsidRPr="00A964FF">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1</w:t>
            </w:r>
            <w:r w:rsidRPr="00A964FF">
              <w:rPr>
                <w:rFonts w:ascii="Calibri" w:eastAsia="宋体" w:hAnsi="Calibri" w:hint="eastAsia"/>
                <w:b w:val="0"/>
                <w:color w:val="auto"/>
                <w:sz w:val="21"/>
                <w:szCs w:val="21"/>
              </w:rPr>
              <w:t>m</w:t>
            </w:r>
          </w:p>
        </w:tc>
      </w:tr>
      <w:tr w:rsidR="001E3318" w:rsidRPr="00A964FF" w14:paraId="1305D911" w14:textId="77777777" w:rsidTr="00A814F7">
        <w:trPr>
          <w:trHeight w:val="369"/>
        </w:trPr>
        <w:tc>
          <w:tcPr>
            <w:tcW w:w="643" w:type="pct"/>
            <w:vMerge/>
            <w:tcBorders>
              <w:right w:val="single" w:sz="4" w:space="0" w:color="auto"/>
            </w:tcBorders>
            <w:vAlign w:val="center"/>
          </w:tcPr>
          <w:p w14:paraId="34285892"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0ADAAD0A"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30</w:t>
            </w:r>
          </w:p>
        </w:tc>
        <w:tc>
          <w:tcPr>
            <w:tcW w:w="3624" w:type="pct"/>
            <w:vAlign w:val="center"/>
          </w:tcPr>
          <w:p w14:paraId="022CFD80" w14:textId="77777777" w:rsidR="001E3318" w:rsidRPr="00A964FF" w:rsidRDefault="003A3254" w:rsidP="003A3254">
            <w:pPr>
              <w:pStyle w:val="ad"/>
              <w:spacing w:line="240" w:lineRule="auto"/>
              <w:jc w:val="left"/>
              <w:rPr>
                <w:rFonts w:ascii="Calibri" w:eastAsia="宋体" w:hAnsi="Calibri"/>
                <w:b w:val="0"/>
                <w:color w:val="auto"/>
                <w:sz w:val="21"/>
                <w:szCs w:val="21"/>
              </w:rPr>
            </w:pPr>
            <w:r w:rsidRPr="00A964FF">
              <w:rPr>
                <w:rFonts w:ascii="Calibri" w:eastAsia="宋体" w:hAnsi="Calibri" w:hint="eastAsia"/>
                <w:b w:val="0"/>
                <w:color w:val="auto"/>
                <w:sz w:val="21"/>
                <w:szCs w:val="21"/>
              </w:rPr>
              <w:t>预测超标距离为</w:t>
            </w:r>
            <w:r w:rsidRPr="00A964FF">
              <w:rPr>
                <w:rFonts w:ascii="Calibri" w:eastAsia="宋体" w:hAnsi="Calibri" w:hint="eastAsia"/>
                <w:b w:val="0"/>
                <w:color w:val="auto"/>
                <w:sz w:val="21"/>
                <w:szCs w:val="21"/>
              </w:rPr>
              <w:t>2m</w:t>
            </w:r>
            <w:r w:rsidRPr="00A964FF">
              <w:rPr>
                <w:rFonts w:ascii="Calibri" w:eastAsia="宋体" w:hAnsi="Calibri" w:hint="eastAsia"/>
                <w:b w:val="0"/>
                <w:color w:val="auto"/>
                <w:sz w:val="21"/>
                <w:szCs w:val="21"/>
              </w:rPr>
              <w:t>；影响距离为</w:t>
            </w:r>
            <w:r w:rsidRPr="00A964FF">
              <w:rPr>
                <w:rFonts w:ascii="Calibri" w:eastAsia="宋体" w:hAnsi="Calibri" w:hint="eastAsia"/>
                <w:b w:val="0"/>
                <w:color w:val="auto"/>
                <w:sz w:val="21"/>
                <w:szCs w:val="21"/>
              </w:rPr>
              <w:t>3m</w:t>
            </w:r>
          </w:p>
        </w:tc>
      </w:tr>
      <w:tr w:rsidR="001E3318" w:rsidRPr="00A964FF" w14:paraId="6588C09A" w14:textId="77777777" w:rsidTr="00A814F7">
        <w:trPr>
          <w:trHeight w:val="369"/>
        </w:trPr>
        <w:tc>
          <w:tcPr>
            <w:tcW w:w="643" w:type="pct"/>
            <w:vMerge/>
            <w:tcBorders>
              <w:right w:val="single" w:sz="4" w:space="0" w:color="auto"/>
            </w:tcBorders>
            <w:vAlign w:val="center"/>
          </w:tcPr>
          <w:p w14:paraId="6265122E"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5A77579C"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w:t>
            </w:r>
          </w:p>
        </w:tc>
        <w:tc>
          <w:tcPr>
            <w:tcW w:w="3624" w:type="pct"/>
            <w:vAlign w:val="center"/>
          </w:tcPr>
          <w:p w14:paraId="2F68E0E7"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00F80DFD">
              <w:rPr>
                <w:rFonts w:ascii="Calibri" w:eastAsia="宋体" w:hAnsi="Calibri"/>
                <w:b w:val="0"/>
                <w:color w:val="auto"/>
                <w:sz w:val="21"/>
                <w:szCs w:val="21"/>
              </w:rPr>
              <w:t>4</w:t>
            </w:r>
            <w:r w:rsidRPr="00637B1C">
              <w:rPr>
                <w:rFonts w:ascii="Calibri" w:eastAsia="宋体" w:hAnsi="Calibri" w:hint="eastAsia"/>
                <w:b w:val="0"/>
                <w:color w:val="auto"/>
                <w:sz w:val="21"/>
                <w:szCs w:val="21"/>
              </w:rPr>
              <w:t>m</w:t>
            </w:r>
            <w:r w:rsidRPr="00637B1C">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5</w:t>
            </w:r>
            <w:r w:rsidRPr="00637B1C">
              <w:rPr>
                <w:rFonts w:ascii="Calibri" w:eastAsia="宋体" w:hAnsi="Calibri" w:hint="eastAsia"/>
                <w:b w:val="0"/>
                <w:color w:val="auto"/>
                <w:sz w:val="21"/>
                <w:szCs w:val="21"/>
              </w:rPr>
              <w:t>m</w:t>
            </w:r>
          </w:p>
        </w:tc>
      </w:tr>
      <w:tr w:rsidR="001E3318" w:rsidRPr="00A964FF" w14:paraId="1CF78D10" w14:textId="77777777" w:rsidTr="00A814F7">
        <w:trPr>
          <w:trHeight w:val="369"/>
        </w:trPr>
        <w:tc>
          <w:tcPr>
            <w:tcW w:w="643" w:type="pct"/>
            <w:vMerge/>
            <w:tcBorders>
              <w:right w:val="single" w:sz="4" w:space="0" w:color="auto"/>
            </w:tcBorders>
            <w:vAlign w:val="center"/>
          </w:tcPr>
          <w:p w14:paraId="4A51C71C"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3E505DFB"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1000</w:t>
            </w:r>
          </w:p>
        </w:tc>
        <w:tc>
          <w:tcPr>
            <w:tcW w:w="3624" w:type="pct"/>
            <w:vAlign w:val="center"/>
          </w:tcPr>
          <w:p w14:paraId="2C3233BC"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00F80DFD">
              <w:rPr>
                <w:rFonts w:ascii="Calibri" w:eastAsia="宋体" w:hAnsi="Calibri"/>
                <w:b w:val="0"/>
                <w:color w:val="auto"/>
                <w:sz w:val="21"/>
                <w:szCs w:val="21"/>
              </w:rPr>
              <w:t>13</w:t>
            </w:r>
            <w:r w:rsidRPr="00637B1C">
              <w:rPr>
                <w:rFonts w:ascii="Calibri" w:eastAsia="宋体" w:hAnsi="Calibri" w:hint="eastAsia"/>
                <w:b w:val="0"/>
                <w:color w:val="auto"/>
                <w:sz w:val="21"/>
                <w:szCs w:val="21"/>
              </w:rPr>
              <w:t>m</w:t>
            </w:r>
            <w:r w:rsidRPr="00637B1C">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19</w:t>
            </w:r>
            <w:r w:rsidRPr="00637B1C">
              <w:rPr>
                <w:rFonts w:ascii="Calibri" w:eastAsia="宋体" w:hAnsi="Calibri" w:hint="eastAsia"/>
                <w:b w:val="0"/>
                <w:color w:val="auto"/>
                <w:sz w:val="21"/>
                <w:szCs w:val="21"/>
              </w:rPr>
              <w:t>m</w:t>
            </w:r>
          </w:p>
        </w:tc>
      </w:tr>
      <w:tr w:rsidR="001E3318" w:rsidRPr="00A964FF" w14:paraId="5776C5E7" w14:textId="77777777" w:rsidTr="00A814F7">
        <w:trPr>
          <w:trHeight w:val="369"/>
        </w:trPr>
        <w:tc>
          <w:tcPr>
            <w:tcW w:w="643" w:type="pct"/>
            <w:vMerge/>
            <w:tcBorders>
              <w:right w:val="single" w:sz="4" w:space="0" w:color="auto"/>
            </w:tcBorders>
            <w:vAlign w:val="center"/>
          </w:tcPr>
          <w:p w14:paraId="5FEB6984"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653BCA76"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2000</w:t>
            </w:r>
          </w:p>
        </w:tc>
        <w:tc>
          <w:tcPr>
            <w:tcW w:w="3624" w:type="pct"/>
            <w:vAlign w:val="center"/>
          </w:tcPr>
          <w:p w14:paraId="41D30515"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00F80DFD">
              <w:rPr>
                <w:rFonts w:ascii="Calibri" w:eastAsia="宋体" w:hAnsi="Calibri"/>
                <w:b w:val="0"/>
                <w:color w:val="auto"/>
                <w:sz w:val="21"/>
                <w:szCs w:val="21"/>
              </w:rPr>
              <w:t>19</w:t>
            </w:r>
            <w:r w:rsidRPr="00637B1C">
              <w:rPr>
                <w:rFonts w:ascii="Calibri" w:eastAsia="宋体" w:hAnsi="Calibri" w:hint="eastAsia"/>
                <w:b w:val="0"/>
                <w:color w:val="auto"/>
                <w:sz w:val="21"/>
                <w:szCs w:val="21"/>
              </w:rPr>
              <w:t>6m</w:t>
            </w:r>
            <w:r w:rsidRPr="00637B1C">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28</w:t>
            </w:r>
            <w:r w:rsidRPr="00637B1C">
              <w:rPr>
                <w:rFonts w:ascii="Calibri" w:eastAsia="宋体" w:hAnsi="Calibri" w:hint="eastAsia"/>
                <w:b w:val="0"/>
                <w:color w:val="auto"/>
                <w:sz w:val="21"/>
                <w:szCs w:val="21"/>
              </w:rPr>
              <w:t>m</w:t>
            </w:r>
          </w:p>
        </w:tc>
      </w:tr>
      <w:tr w:rsidR="001E3318" w:rsidRPr="00A964FF" w14:paraId="3A9E40A4" w14:textId="77777777" w:rsidTr="00A814F7">
        <w:trPr>
          <w:trHeight w:val="369"/>
        </w:trPr>
        <w:tc>
          <w:tcPr>
            <w:tcW w:w="643" w:type="pct"/>
            <w:vMerge w:val="restart"/>
            <w:tcBorders>
              <w:right w:val="single" w:sz="4" w:space="0" w:color="auto"/>
            </w:tcBorders>
            <w:vAlign w:val="center"/>
          </w:tcPr>
          <w:p w14:paraId="02930F81"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氨氮</w:t>
            </w:r>
          </w:p>
        </w:tc>
        <w:tc>
          <w:tcPr>
            <w:tcW w:w="733" w:type="pct"/>
            <w:tcBorders>
              <w:left w:val="single" w:sz="4" w:space="0" w:color="auto"/>
            </w:tcBorders>
            <w:vAlign w:val="center"/>
          </w:tcPr>
          <w:p w14:paraId="5EC68082"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w:t>
            </w:r>
          </w:p>
        </w:tc>
        <w:tc>
          <w:tcPr>
            <w:tcW w:w="3624" w:type="pct"/>
            <w:vAlign w:val="center"/>
          </w:tcPr>
          <w:p w14:paraId="003CE15C"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Pr="00637B1C">
              <w:rPr>
                <w:rFonts w:ascii="Calibri" w:eastAsia="宋体" w:hAnsi="Calibri" w:hint="eastAsia"/>
                <w:b w:val="0"/>
                <w:color w:val="auto"/>
                <w:sz w:val="21"/>
                <w:szCs w:val="21"/>
              </w:rPr>
              <w:t>1m</w:t>
            </w:r>
            <w:r w:rsidRPr="00637B1C">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1</w:t>
            </w:r>
            <w:r w:rsidRPr="00637B1C">
              <w:rPr>
                <w:rFonts w:ascii="Calibri" w:eastAsia="宋体" w:hAnsi="Calibri" w:hint="eastAsia"/>
                <w:b w:val="0"/>
                <w:color w:val="auto"/>
                <w:sz w:val="21"/>
                <w:szCs w:val="21"/>
              </w:rPr>
              <w:t>m</w:t>
            </w:r>
          </w:p>
        </w:tc>
      </w:tr>
      <w:tr w:rsidR="001E3318" w:rsidRPr="00A964FF" w14:paraId="6DE83FB0" w14:textId="77777777" w:rsidTr="00A814F7">
        <w:trPr>
          <w:trHeight w:val="369"/>
        </w:trPr>
        <w:tc>
          <w:tcPr>
            <w:tcW w:w="643" w:type="pct"/>
            <w:vMerge/>
            <w:tcBorders>
              <w:right w:val="single" w:sz="4" w:space="0" w:color="auto"/>
            </w:tcBorders>
            <w:vAlign w:val="center"/>
          </w:tcPr>
          <w:p w14:paraId="6422B296"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222A1902"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30</w:t>
            </w:r>
          </w:p>
        </w:tc>
        <w:tc>
          <w:tcPr>
            <w:tcW w:w="3624" w:type="pct"/>
            <w:vAlign w:val="center"/>
          </w:tcPr>
          <w:p w14:paraId="440E2683"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00F80DFD">
              <w:rPr>
                <w:rFonts w:ascii="Calibri" w:eastAsia="宋体" w:hAnsi="Calibri"/>
                <w:b w:val="0"/>
                <w:color w:val="auto"/>
                <w:sz w:val="21"/>
                <w:szCs w:val="21"/>
              </w:rPr>
              <w:t>2</w:t>
            </w:r>
            <w:r w:rsidRPr="00637B1C">
              <w:rPr>
                <w:rFonts w:ascii="Calibri" w:eastAsia="宋体" w:hAnsi="Calibri" w:hint="eastAsia"/>
                <w:b w:val="0"/>
                <w:color w:val="auto"/>
                <w:sz w:val="21"/>
                <w:szCs w:val="21"/>
              </w:rPr>
              <w:t>m</w:t>
            </w:r>
            <w:r w:rsidRPr="00637B1C">
              <w:rPr>
                <w:rFonts w:ascii="Calibri" w:eastAsia="宋体" w:hAnsi="Calibri" w:hint="eastAsia"/>
                <w:b w:val="0"/>
                <w:color w:val="auto"/>
                <w:sz w:val="21"/>
                <w:szCs w:val="21"/>
              </w:rPr>
              <w:t>；影响距离为</w:t>
            </w:r>
            <w:r w:rsidRPr="00637B1C">
              <w:rPr>
                <w:rFonts w:ascii="Calibri" w:eastAsia="宋体" w:hAnsi="Calibri" w:hint="eastAsia"/>
                <w:b w:val="0"/>
                <w:color w:val="auto"/>
                <w:sz w:val="21"/>
                <w:szCs w:val="21"/>
              </w:rPr>
              <w:t>3m</w:t>
            </w:r>
          </w:p>
        </w:tc>
      </w:tr>
      <w:tr w:rsidR="001E3318" w:rsidRPr="00A964FF" w14:paraId="27963C8A" w14:textId="77777777" w:rsidTr="00A814F7">
        <w:trPr>
          <w:trHeight w:val="369"/>
        </w:trPr>
        <w:tc>
          <w:tcPr>
            <w:tcW w:w="643" w:type="pct"/>
            <w:vMerge/>
            <w:tcBorders>
              <w:right w:val="single" w:sz="4" w:space="0" w:color="auto"/>
            </w:tcBorders>
            <w:vAlign w:val="center"/>
          </w:tcPr>
          <w:p w14:paraId="01E02373"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0EBCA475"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w:t>
            </w:r>
          </w:p>
        </w:tc>
        <w:tc>
          <w:tcPr>
            <w:tcW w:w="3624" w:type="pct"/>
            <w:vAlign w:val="center"/>
          </w:tcPr>
          <w:p w14:paraId="75FDE063"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00F80DFD">
              <w:rPr>
                <w:rFonts w:ascii="Calibri" w:eastAsia="宋体" w:hAnsi="Calibri"/>
                <w:b w:val="0"/>
                <w:color w:val="auto"/>
                <w:sz w:val="21"/>
                <w:szCs w:val="21"/>
              </w:rPr>
              <w:t>4</w:t>
            </w:r>
            <w:r w:rsidRPr="00637B1C">
              <w:rPr>
                <w:rFonts w:ascii="Calibri" w:eastAsia="宋体" w:hAnsi="Calibri" w:hint="eastAsia"/>
                <w:b w:val="0"/>
                <w:color w:val="auto"/>
                <w:sz w:val="21"/>
                <w:szCs w:val="21"/>
              </w:rPr>
              <w:t>m</w:t>
            </w:r>
            <w:r w:rsidRPr="00637B1C">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5</w:t>
            </w:r>
            <w:r w:rsidRPr="00637B1C">
              <w:rPr>
                <w:rFonts w:ascii="Calibri" w:eastAsia="宋体" w:hAnsi="Calibri" w:hint="eastAsia"/>
                <w:b w:val="0"/>
                <w:color w:val="auto"/>
                <w:sz w:val="21"/>
                <w:szCs w:val="21"/>
              </w:rPr>
              <w:t>m</w:t>
            </w:r>
          </w:p>
        </w:tc>
      </w:tr>
      <w:tr w:rsidR="001E3318" w:rsidRPr="00A964FF" w14:paraId="7809572A" w14:textId="77777777" w:rsidTr="00A814F7">
        <w:trPr>
          <w:trHeight w:val="369"/>
        </w:trPr>
        <w:tc>
          <w:tcPr>
            <w:tcW w:w="643" w:type="pct"/>
            <w:vMerge/>
            <w:tcBorders>
              <w:right w:val="single" w:sz="4" w:space="0" w:color="auto"/>
            </w:tcBorders>
            <w:vAlign w:val="center"/>
          </w:tcPr>
          <w:p w14:paraId="499D364D"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2F38FC58"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1000</w:t>
            </w:r>
          </w:p>
        </w:tc>
        <w:tc>
          <w:tcPr>
            <w:tcW w:w="3624" w:type="pct"/>
            <w:vAlign w:val="center"/>
          </w:tcPr>
          <w:p w14:paraId="383583AD"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00F80DFD">
              <w:rPr>
                <w:rFonts w:ascii="Calibri" w:eastAsia="宋体" w:hAnsi="Calibri"/>
                <w:b w:val="0"/>
                <w:color w:val="auto"/>
                <w:sz w:val="21"/>
                <w:szCs w:val="21"/>
              </w:rPr>
              <w:t>14</w:t>
            </w:r>
            <w:r w:rsidRPr="00637B1C">
              <w:rPr>
                <w:rFonts w:ascii="Calibri" w:eastAsia="宋体" w:hAnsi="Calibri" w:hint="eastAsia"/>
                <w:b w:val="0"/>
                <w:color w:val="auto"/>
                <w:sz w:val="21"/>
                <w:szCs w:val="21"/>
              </w:rPr>
              <w:t>m</w:t>
            </w:r>
            <w:r w:rsidRPr="00637B1C">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18</w:t>
            </w:r>
            <w:r w:rsidRPr="00637B1C">
              <w:rPr>
                <w:rFonts w:ascii="Calibri" w:eastAsia="宋体" w:hAnsi="Calibri" w:hint="eastAsia"/>
                <w:b w:val="0"/>
                <w:color w:val="auto"/>
                <w:sz w:val="21"/>
                <w:szCs w:val="21"/>
              </w:rPr>
              <w:t>m</w:t>
            </w:r>
          </w:p>
        </w:tc>
      </w:tr>
      <w:tr w:rsidR="001E3318" w:rsidRPr="00A964FF" w14:paraId="2048D42D" w14:textId="77777777" w:rsidTr="00A814F7">
        <w:trPr>
          <w:trHeight w:val="369"/>
        </w:trPr>
        <w:tc>
          <w:tcPr>
            <w:tcW w:w="643" w:type="pct"/>
            <w:vMerge/>
            <w:tcBorders>
              <w:right w:val="single" w:sz="4" w:space="0" w:color="auto"/>
            </w:tcBorders>
            <w:vAlign w:val="center"/>
          </w:tcPr>
          <w:p w14:paraId="1961E5DD" w14:textId="77777777" w:rsidR="001E3318" w:rsidRPr="00A964FF" w:rsidRDefault="001E3318" w:rsidP="001E3318">
            <w:pPr>
              <w:pStyle w:val="ad"/>
              <w:spacing w:line="240" w:lineRule="auto"/>
              <w:jc w:val="center"/>
              <w:rPr>
                <w:rFonts w:ascii="Calibri" w:eastAsia="宋体" w:hAnsi="Calibri"/>
                <w:b w:val="0"/>
                <w:color w:val="auto"/>
                <w:sz w:val="21"/>
                <w:szCs w:val="21"/>
              </w:rPr>
            </w:pPr>
          </w:p>
        </w:tc>
        <w:tc>
          <w:tcPr>
            <w:tcW w:w="733" w:type="pct"/>
            <w:tcBorders>
              <w:left w:val="single" w:sz="4" w:space="0" w:color="auto"/>
            </w:tcBorders>
            <w:vAlign w:val="center"/>
          </w:tcPr>
          <w:p w14:paraId="5BBC0FA6" w14:textId="77777777" w:rsidR="001E3318" w:rsidRPr="00A964FF" w:rsidRDefault="001E3318" w:rsidP="001E3318">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2000</w:t>
            </w:r>
          </w:p>
        </w:tc>
        <w:tc>
          <w:tcPr>
            <w:tcW w:w="3624" w:type="pct"/>
            <w:vAlign w:val="center"/>
          </w:tcPr>
          <w:p w14:paraId="58B12E44" w14:textId="77777777" w:rsidR="001E3318" w:rsidRPr="00A964FF" w:rsidRDefault="00637B1C" w:rsidP="00F80DFD">
            <w:pPr>
              <w:pStyle w:val="ad"/>
              <w:spacing w:line="240" w:lineRule="auto"/>
              <w:jc w:val="left"/>
              <w:rPr>
                <w:rFonts w:ascii="Calibri" w:eastAsia="宋体" w:hAnsi="Calibri"/>
                <w:b w:val="0"/>
                <w:color w:val="auto"/>
                <w:sz w:val="21"/>
                <w:szCs w:val="21"/>
              </w:rPr>
            </w:pPr>
            <w:r w:rsidRPr="00637B1C">
              <w:rPr>
                <w:rFonts w:ascii="Calibri" w:eastAsia="宋体" w:hAnsi="Calibri" w:hint="eastAsia"/>
                <w:b w:val="0"/>
                <w:color w:val="auto"/>
                <w:sz w:val="21"/>
                <w:szCs w:val="21"/>
              </w:rPr>
              <w:t>预测超标距离为</w:t>
            </w:r>
            <w:r w:rsidR="00F80DFD">
              <w:rPr>
                <w:rFonts w:ascii="Calibri" w:eastAsia="宋体" w:hAnsi="Calibri"/>
                <w:b w:val="0"/>
                <w:color w:val="auto"/>
                <w:sz w:val="21"/>
                <w:szCs w:val="21"/>
              </w:rPr>
              <w:t>20</w:t>
            </w:r>
            <w:r w:rsidRPr="00637B1C">
              <w:rPr>
                <w:rFonts w:ascii="Calibri" w:eastAsia="宋体" w:hAnsi="Calibri" w:hint="eastAsia"/>
                <w:b w:val="0"/>
                <w:color w:val="auto"/>
                <w:sz w:val="21"/>
                <w:szCs w:val="21"/>
              </w:rPr>
              <w:t>m</w:t>
            </w:r>
            <w:r w:rsidRPr="00637B1C">
              <w:rPr>
                <w:rFonts w:ascii="Calibri" w:eastAsia="宋体" w:hAnsi="Calibri" w:hint="eastAsia"/>
                <w:b w:val="0"/>
                <w:color w:val="auto"/>
                <w:sz w:val="21"/>
                <w:szCs w:val="21"/>
              </w:rPr>
              <w:t>；影响距离为</w:t>
            </w:r>
            <w:r w:rsidR="00F80DFD">
              <w:rPr>
                <w:rFonts w:ascii="Calibri" w:eastAsia="宋体" w:hAnsi="Calibri"/>
                <w:b w:val="0"/>
                <w:color w:val="auto"/>
                <w:sz w:val="21"/>
                <w:szCs w:val="21"/>
              </w:rPr>
              <w:t>27</w:t>
            </w:r>
            <w:r w:rsidRPr="00637B1C">
              <w:rPr>
                <w:rFonts w:ascii="Calibri" w:eastAsia="宋体" w:hAnsi="Calibri" w:hint="eastAsia"/>
                <w:b w:val="0"/>
                <w:color w:val="auto"/>
                <w:sz w:val="21"/>
                <w:szCs w:val="21"/>
              </w:rPr>
              <w:t>m</w:t>
            </w:r>
          </w:p>
        </w:tc>
      </w:tr>
    </w:tbl>
    <w:p w14:paraId="25008449" w14:textId="77777777" w:rsidR="00637B1C" w:rsidRPr="00A964FF" w:rsidRDefault="001E3318" w:rsidP="00637B1C">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本项目废水处理站在非正常</w:t>
      </w:r>
      <w:r w:rsidR="003A3254" w:rsidRPr="00A964FF">
        <w:rPr>
          <w:rFonts w:ascii="Calibri" w:eastAsia="宋体" w:hAnsi="Calibri" w:hint="eastAsia"/>
          <w:b w:val="0"/>
          <w:color w:val="auto"/>
          <w:sz w:val="24"/>
        </w:rPr>
        <w:t>持续</w:t>
      </w:r>
      <w:r w:rsidRPr="00A964FF">
        <w:rPr>
          <w:rFonts w:ascii="Calibri" w:eastAsia="宋体" w:hAnsi="Calibri" w:hint="eastAsia"/>
          <w:b w:val="0"/>
          <w:color w:val="auto"/>
          <w:sz w:val="24"/>
        </w:rPr>
        <w:t>泄漏情况下，</w:t>
      </w:r>
      <w:r w:rsidR="003A3254" w:rsidRPr="00A964FF">
        <w:rPr>
          <w:rFonts w:ascii="Calibri" w:eastAsia="宋体" w:hAnsi="Calibri" w:hint="eastAsia"/>
          <w:b w:val="0"/>
          <w:color w:val="auto"/>
          <w:sz w:val="24"/>
        </w:rPr>
        <w:t>泄漏点下游方向</w:t>
      </w:r>
      <w:r w:rsidR="00637B1C" w:rsidRPr="00637B1C">
        <w:rPr>
          <w:rFonts w:ascii="Calibri" w:eastAsia="宋体" w:hAnsi="Calibri" w:hint="eastAsia"/>
          <w:b w:val="0"/>
          <w:color w:val="auto"/>
          <w:sz w:val="24"/>
        </w:rPr>
        <w:t>COD</w:t>
      </w:r>
      <w:r w:rsidR="00637B1C" w:rsidRPr="00637B1C">
        <w:rPr>
          <w:rFonts w:ascii="Calibri" w:eastAsia="宋体" w:hAnsi="Calibri" w:hint="eastAsia"/>
          <w:b w:val="0"/>
          <w:color w:val="auto"/>
          <w:sz w:val="24"/>
          <w:vertAlign w:val="subscript"/>
        </w:rPr>
        <w:t>Mn</w:t>
      </w:r>
      <w:r w:rsidR="00637B1C" w:rsidRPr="00637B1C">
        <w:rPr>
          <w:rFonts w:ascii="Calibri" w:eastAsia="宋体" w:hAnsi="Calibri" w:hint="eastAsia"/>
          <w:b w:val="0"/>
          <w:color w:val="auto"/>
          <w:sz w:val="24"/>
        </w:rPr>
        <w:t>、</w:t>
      </w:r>
      <w:r w:rsidR="00637B1C" w:rsidRPr="00637B1C">
        <w:rPr>
          <w:rFonts w:ascii="Calibri" w:eastAsia="宋体" w:hAnsi="Calibri" w:hint="eastAsia"/>
          <w:b w:val="0"/>
          <w:color w:val="auto"/>
          <w:sz w:val="24"/>
        </w:rPr>
        <w:t>NH</w:t>
      </w:r>
      <w:r w:rsidR="00637B1C" w:rsidRPr="00637B1C">
        <w:rPr>
          <w:rFonts w:ascii="Calibri" w:eastAsia="宋体" w:hAnsi="Calibri" w:hint="eastAsia"/>
          <w:b w:val="0"/>
          <w:color w:val="auto"/>
          <w:sz w:val="24"/>
          <w:vertAlign w:val="subscript"/>
        </w:rPr>
        <w:t>3</w:t>
      </w:r>
      <w:r w:rsidR="00637B1C" w:rsidRPr="00637B1C">
        <w:rPr>
          <w:rFonts w:ascii="Calibri" w:eastAsia="宋体" w:hAnsi="Calibri" w:hint="eastAsia"/>
          <w:b w:val="0"/>
          <w:color w:val="auto"/>
          <w:sz w:val="24"/>
        </w:rPr>
        <w:t>-N</w:t>
      </w:r>
      <w:r w:rsidR="003A3254" w:rsidRPr="00A964FF">
        <w:rPr>
          <w:rFonts w:ascii="Calibri" w:eastAsia="宋体" w:hAnsi="Calibri" w:hint="eastAsia"/>
          <w:b w:val="0"/>
          <w:color w:val="auto"/>
          <w:sz w:val="24"/>
        </w:rPr>
        <w:t>浓度逐渐向下游方向扩散，在不考虑降解、吸附等物理化学反应情况下，主要随水流扩散。根据预测结果，</w:t>
      </w:r>
      <w:r w:rsidR="003A3254" w:rsidRPr="00A964FF">
        <w:rPr>
          <w:rFonts w:ascii="Calibri" w:eastAsia="宋体" w:hAnsi="Calibri" w:hint="eastAsia"/>
          <w:b w:val="0"/>
          <w:color w:val="auto"/>
          <w:sz w:val="24"/>
        </w:rPr>
        <w:t>COD</w:t>
      </w:r>
      <w:r w:rsidR="003A3254" w:rsidRPr="00A964FF">
        <w:rPr>
          <w:rFonts w:ascii="Calibri" w:eastAsia="宋体" w:hAnsi="Calibri" w:hint="eastAsia"/>
          <w:b w:val="0"/>
          <w:color w:val="auto"/>
          <w:sz w:val="24"/>
        </w:rPr>
        <w:t>泄漏后</w:t>
      </w:r>
      <w:r w:rsidR="003A3254" w:rsidRPr="00A964FF">
        <w:rPr>
          <w:rFonts w:ascii="Calibri" w:eastAsia="宋体" w:hAnsi="Calibri" w:hint="eastAsia"/>
          <w:b w:val="0"/>
          <w:color w:val="auto"/>
          <w:sz w:val="24"/>
        </w:rPr>
        <w:t>10d</w:t>
      </w:r>
      <w:r w:rsidR="003A3254" w:rsidRPr="00A964FF">
        <w:rPr>
          <w:rFonts w:ascii="Calibri" w:eastAsia="宋体" w:hAnsi="Calibri" w:hint="eastAsia"/>
          <w:b w:val="0"/>
          <w:color w:val="auto"/>
          <w:sz w:val="24"/>
        </w:rPr>
        <w:t>，下游影响距离最远为</w:t>
      </w:r>
      <w:r w:rsidR="00F80DFD">
        <w:rPr>
          <w:rFonts w:ascii="Calibri" w:eastAsia="宋体" w:hAnsi="Calibri"/>
          <w:b w:val="0"/>
          <w:color w:val="auto"/>
          <w:sz w:val="24"/>
        </w:rPr>
        <w:t>1</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；泄漏后</w:t>
      </w:r>
      <w:r w:rsidR="003A3254" w:rsidRPr="00A964FF">
        <w:rPr>
          <w:rFonts w:ascii="Calibri" w:eastAsia="宋体" w:hAnsi="Calibri" w:hint="eastAsia"/>
          <w:b w:val="0"/>
          <w:color w:val="auto"/>
          <w:sz w:val="24"/>
        </w:rPr>
        <w:t>30d</w:t>
      </w:r>
      <w:r w:rsidR="003A3254" w:rsidRPr="00A964FF">
        <w:rPr>
          <w:rFonts w:ascii="Calibri" w:eastAsia="宋体" w:hAnsi="Calibri" w:hint="eastAsia"/>
          <w:b w:val="0"/>
          <w:color w:val="auto"/>
          <w:sz w:val="24"/>
        </w:rPr>
        <w:t>，下游影响距离最远为</w:t>
      </w:r>
      <w:r w:rsidR="003A3254" w:rsidRPr="00A964FF">
        <w:rPr>
          <w:rFonts w:ascii="Calibri" w:eastAsia="宋体" w:hAnsi="Calibri" w:hint="eastAsia"/>
          <w:b w:val="0"/>
          <w:color w:val="auto"/>
          <w:sz w:val="24"/>
        </w:rPr>
        <w:t>3m</w:t>
      </w:r>
      <w:r w:rsidR="003A3254" w:rsidRPr="00A964FF">
        <w:rPr>
          <w:rFonts w:ascii="Calibri" w:eastAsia="宋体" w:hAnsi="Calibri" w:hint="eastAsia"/>
          <w:b w:val="0"/>
          <w:color w:val="auto"/>
          <w:sz w:val="24"/>
        </w:rPr>
        <w:t>；泄漏后</w:t>
      </w:r>
      <w:r w:rsidR="003A3254" w:rsidRPr="00A964FF">
        <w:rPr>
          <w:rFonts w:ascii="Calibri" w:eastAsia="宋体" w:hAnsi="Calibri" w:hint="eastAsia"/>
          <w:b w:val="0"/>
          <w:color w:val="auto"/>
          <w:sz w:val="24"/>
        </w:rPr>
        <w:t>100d</w:t>
      </w:r>
      <w:r w:rsidR="003A3254" w:rsidRPr="00A964FF">
        <w:rPr>
          <w:rFonts w:ascii="Calibri" w:eastAsia="宋体" w:hAnsi="Calibri" w:hint="eastAsia"/>
          <w:b w:val="0"/>
          <w:color w:val="auto"/>
          <w:sz w:val="24"/>
        </w:rPr>
        <w:t>时，下游影响距离最远为</w:t>
      </w:r>
      <w:r w:rsidR="00F80DFD">
        <w:rPr>
          <w:rFonts w:ascii="Calibri" w:eastAsia="宋体" w:hAnsi="Calibri"/>
          <w:b w:val="0"/>
          <w:color w:val="auto"/>
          <w:sz w:val="24"/>
        </w:rPr>
        <w:t>5</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；泄漏</w:t>
      </w:r>
      <w:r w:rsidR="003A3254" w:rsidRPr="00A964FF">
        <w:rPr>
          <w:rFonts w:ascii="Calibri" w:eastAsia="宋体" w:hAnsi="Calibri" w:hint="eastAsia"/>
          <w:b w:val="0"/>
          <w:color w:val="auto"/>
          <w:sz w:val="24"/>
        </w:rPr>
        <w:t>1000d</w:t>
      </w:r>
      <w:r w:rsidR="003A3254"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19</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；泄漏</w:t>
      </w:r>
      <w:r w:rsidR="003A3254" w:rsidRPr="00A964FF">
        <w:rPr>
          <w:rFonts w:ascii="Calibri" w:eastAsia="宋体" w:hAnsi="Calibri" w:hint="eastAsia"/>
          <w:b w:val="0"/>
          <w:color w:val="auto"/>
          <w:sz w:val="24"/>
        </w:rPr>
        <w:t>2000d</w:t>
      </w:r>
      <w:r w:rsidR="003A3254"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28</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w:t>
      </w:r>
      <w:r w:rsidR="003A3254" w:rsidRPr="00A964FF">
        <w:rPr>
          <w:rFonts w:ascii="Calibri" w:eastAsia="宋体" w:hAnsi="Calibri" w:hint="eastAsia"/>
          <w:b w:val="0"/>
          <w:color w:val="auto"/>
          <w:sz w:val="24"/>
        </w:rPr>
        <w:t>NH</w:t>
      </w:r>
      <w:r w:rsidR="003A3254" w:rsidRPr="00A964FF">
        <w:rPr>
          <w:rFonts w:ascii="Calibri" w:eastAsia="宋体" w:hAnsi="Calibri" w:hint="eastAsia"/>
          <w:b w:val="0"/>
          <w:color w:val="auto"/>
          <w:sz w:val="24"/>
          <w:vertAlign w:val="subscript"/>
        </w:rPr>
        <w:t>3</w:t>
      </w:r>
      <w:r w:rsidR="003A3254" w:rsidRPr="00A964FF">
        <w:rPr>
          <w:rFonts w:ascii="Calibri" w:eastAsia="宋体" w:hAnsi="Calibri" w:hint="eastAsia"/>
          <w:b w:val="0"/>
          <w:color w:val="auto"/>
          <w:sz w:val="24"/>
        </w:rPr>
        <w:t>-N</w:t>
      </w:r>
      <w:r w:rsidR="003A3254" w:rsidRPr="00A964FF">
        <w:rPr>
          <w:rFonts w:ascii="Calibri" w:eastAsia="宋体" w:hAnsi="Calibri" w:hint="eastAsia"/>
          <w:b w:val="0"/>
          <w:color w:val="auto"/>
          <w:sz w:val="24"/>
        </w:rPr>
        <w:t>泄漏后</w:t>
      </w:r>
      <w:r w:rsidR="003A3254" w:rsidRPr="00A964FF">
        <w:rPr>
          <w:rFonts w:ascii="Calibri" w:eastAsia="宋体" w:hAnsi="Calibri" w:hint="eastAsia"/>
          <w:b w:val="0"/>
          <w:color w:val="auto"/>
          <w:sz w:val="24"/>
        </w:rPr>
        <w:t>10d</w:t>
      </w:r>
      <w:r w:rsidR="003A3254" w:rsidRPr="00A964FF">
        <w:rPr>
          <w:rFonts w:ascii="Calibri" w:eastAsia="宋体" w:hAnsi="Calibri" w:hint="eastAsia"/>
          <w:b w:val="0"/>
          <w:color w:val="auto"/>
          <w:sz w:val="24"/>
        </w:rPr>
        <w:t>，下游影响距离最远为</w:t>
      </w:r>
      <w:r w:rsidR="00F80DFD">
        <w:rPr>
          <w:rFonts w:ascii="Calibri" w:eastAsia="宋体" w:hAnsi="Calibri"/>
          <w:b w:val="0"/>
          <w:color w:val="auto"/>
          <w:sz w:val="24"/>
        </w:rPr>
        <w:t>1</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；泄漏后</w:t>
      </w:r>
      <w:r w:rsidR="003A3254" w:rsidRPr="00A964FF">
        <w:rPr>
          <w:rFonts w:ascii="Calibri" w:eastAsia="宋体" w:hAnsi="Calibri" w:hint="eastAsia"/>
          <w:b w:val="0"/>
          <w:color w:val="auto"/>
          <w:sz w:val="24"/>
        </w:rPr>
        <w:t>30d</w:t>
      </w:r>
      <w:r w:rsidR="003A3254" w:rsidRPr="00A964FF">
        <w:rPr>
          <w:rFonts w:ascii="Calibri" w:eastAsia="宋体" w:hAnsi="Calibri" w:hint="eastAsia"/>
          <w:b w:val="0"/>
          <w:color w:val="auto"/>
          <w:sz w:val="24"/>
        </w:rPr>
        <w:t>，下游影响距离最远为</w:t>
      </w:r>
      <w:r w:rsidR="003A3254" w:rsidRPr="00A964FF">
        <w:rPr>
          <w:rFonts w:ascii="Calibri" w:eastAsia="宋体" w:hAnsi="Calibri" w:hint="eastAsia"/>
          <w:b w:val="0"/>
          <w:color w:val="auto"/>
          <w:sz w:val="24"/>
        </w:rPr>
        <w:t>3m</w:t>
      </w:r>
      <w:r w:rsidR="003A3254" w:rsidRPr="00A964FF">
        <w:rPr>
          <w:rFonts w:ascii="Calibri" w:eastAsia="宋体" w:hAnsi="Calibri" w:hint="eastAsia"/>
          <w:b w:val="0"/>
          <w:color w:val="auto"/>
          <w:sz w:val="24"/>
        </w:rPr>
        <w:t>；泄漏后</w:t>
      </w:r>
      <w:r w:rsidR="003A3254" w:rsidRPr="00A964FF">
        <w:rPr>
          <w:rFonts w:ascii="Calibri" w:eastAsia="宋体" w:hAnsi="Calibri" w:hint="eastAsia"/>
          <w:b w:val="0"/>
          <w:color w:val="auto"/>
          <w:sz w:val="24"/>
        </w:rPr>
        <w:t>100d</w:t>
      </w:r>
      <w:r w:rsidR="003A3254" w:rsidRPr="00A964FF">
        <w:rPr>
          <w:rFonts w:ascii="Calibri" w:eastAsia="宋体" w:hAnsi="Calibri" w:hint="eastAsia"/>
          <w:b w:val="0"/>
          <w:color w:val="auto"/>
          <w:sz w:val="24"/>
        </w:rPr>
        <w:t>时，下游影响距离最远为</w:t>
      </w:r>
      <w:r w:rsidR="00F80DFD">
        <w:rPr>
          <w:rFonts w:ascii="Calibri" w:eastAsia="宋体" w:hAnsi="Calibri"/>
          <w:b w:val="0"/>
          <w:color w:val="auto"/>
          <w:sz w:val="24"/>
        </w:rPr>
        <w:t>5</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；泄漏</w:t>
      </w:r>
      <w:r w:rsidR="003A3254" w:rsidRPr="00A964FF">
        <w:rPr>
          <w:rFonts w:ascii="Calibri" w:eastAsia="宋体" w:hAnsi="Calibri" w:hint="eastAsia"/>
          <w:b w:val="0"/>
          <w:color w:val="auto"/>
          <w:sz w:val="24"/>
        </w:rPr>
        <w:t>1000d</w:t>
      </w:r>
      <w:r w:rsidR="003A3254"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18</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；泄漏</w:t>
      </w:r>
      <w:r w:rsidR="003A3254" w:rsidRPr="00A964FF">
        <w:rPr>
          <w:rFonts w:ascii="Calibri" w:eastAsia="宋体" w:hAnsi="Calibri" w:hint="eastAsia"/>
          <w:b w:val="0"/>
          <w:color w:val="auto"/>
          <w:sz w:val="24"/>
        </w:rPr>
        <w:t>2000d</w:t>
      </w:r>
      <w:r w:rsidR="003A3254" w:rsidRPr="00A964FF">
        <w:rPr>
          <w:rFonts w:ascii="Calibri" w:eastAsia="宋体" w:hAnsi="Calibri" w:hint="eastAsia"/>
          <w:b w:val="0"/>
          <w:color w:val="auto"/>
          <w:sz w:val="24"/>
        </w:rPr>
        <w:t>后，下游影响距离最远为</w:t>
      </w:r>
      <w:r w:rsidR="00F80DFD">
        <w:rPr>
          <w:rFonts w:ascii="Calibri" w:eastAsia="宋体" w:hAnsi="Calibri"/>
          <w:b w:val="0"/>
          <w:color w:val="auto"/>
          <w:sz w:val="24"/>
        </w:rPr>
        <w:t>27</w:t>
      </w:r>
      <w:r w:rsidR="003A3254" w:rsidRPr="00A964FF">
        <w:rPr>
          <w:rFonts w:ascii="Calibri" w:eastAsia="宋体" w:hAnsi="Calibri" w:hint="eastAsia"/>
          <w:b w:val="0"/>
          <w:color w:val="auto"/>
          <w:sz w:val="24"/>
        </w:rPr>
        <w:t>m</w:t>
      </w:r>
      <w:r w:rsidR="003A3254" w:rsidRPr="00A964FF">
        <w:rPr>
          <w:rFonts w:ascii="Calibri" w:eastAsia="宋体" w:hAnsi="Calibri" w:hint="eastAsia"/>
          <w:b w:val="0"/>
          <w:color w:val="auto"/>
          <w:sz w:val="24"/>
        </w:rPr>
        <w:t>。</w:t>
      </w:r>
    </w:p>
    <w:p w14:paraId="1FDFB85E" w14:textId="77777777" w:rsidR="00CB113C" w:rsidRPr="00A964FF" w:rsidRDefault="00CB113C" w:rsidP="00CB113C">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00C55DBA">
        <w:rPr>
          <w:rFonts w:ascii="Calibri" w:eastAsia="宋体" w:hAnsi="Calibri"/>
          <w:b w:val="0"/>
          <w:color w:val="auto"/>
          <w:sz w:val="24"/>
        </w:rPr>
        <w:t>2</w:t>
      </w:r>
      <w:r w:rsidRPr="00A964FF">
        <w:rPr>
          <w:rFonts w:ascii="Calibri" w:eastAsia="宋体" w:hAnsi="Calibri" w:hint="eastAsia"/>
          <w:b w:val="0"/>
          <w:color w:val="auto"/>
          <w:sz w:val="24"/>
        </w:rPr>
        <w:t>）危废暂存间非正常工况下污染物预测浓度</w:t>
      </w:r>
    </w:p>
    <w:p w14:paraId="64B0AB70" w14:textId="77777777" w:rsidR="006A642B" w:rsidRPr="00AA32B0" w:rsidRDefault="00002B3B" w:rsidP="00AB0983">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根据预测模型，危废暂存间非正常情况下瞬时泄漏污染物对地下水的影响预测结果见表</w:t>
      </w:r>
      <w:r w:rsidRPr="00A964FF">
        <w:rPr>
          <w:rFonts w:ascii="Calibri" w:eastAsia="宋体" w:hAnsi="Calibri" w:hint="eastAsia"/>
          <w:b w:val="0"/>
          <w:color w:val="auto"/>
          <w:sz w:val="24"/>
        </w:rPr>
        <w:t>4.2-</w:t>
      </w:r>
      <w:r w:rsidR="00F80DFD">
        <w:rPr>
          <w:rFonts w:ascii="Calibri" w:eastAsia="宋体" w:hAnsi="Calibri"/>
          <w:b w:val="0"/>
          <w:color w:val="auto"/>
          <w:sz w:val="24"/>
        </w:rPr>
        <w:t>27</w:t>
      </w:r>
      <w:r w:rsidR="00CB113C" w:rsidRPr="00A964FF">
        <w:rPr>
          <w:rFonts w:ascii="Calibri" w:eastAsia="宋体" w:hAnsi="Calibri" w:hint="eastAsia"/>
          <w:b w:val="0"/>
          <w:color w:val="auto"/>
          <w:sz w:val="24"/>
        </w:rPr>
        <w:t>。</w:t>
      </w:r>
    </w:p>
    <w:p w14:paraId="68ADD7DA" w14:textId="77777777" w:rsidR="006C10F5" w:rsidRPr="00A964FF" w:rsidRDefault="00CB113C" w:rsidP="006C10F5">
      <w:pPr>
        <w:spacing w:line="500" w:lineRule="exact"/>
        <w:ind w:firstLineChars="196" w:firstLine="470"/>
        <w:rPr>
          <w:rFonts w:ascii="Calibri" w:eastAsia="黑体" w:hAnsi="Calibri"/>
          <w:bCs/>
          <w:color w:val="auto"/>
          <w:sz w:val="24"/>
        </w:rPr>
      </w:pPr>
      <w:r w:rsidRPr="00A964FF">
        <w:rPr>
          <w:rFonts w:ascii="Calibri" w:eastAsia="黑体"/>
          <w:bCs/>
          <w:color w:val="auto"/>
          <w:sz w:val="24"/>
        </w:rPr>
        <w:t>表</w:t>
      </w:r>
      <w:r w:rsidRPr="00A964FF">
        <w:rPr>
          <w:rFonts w:ascii="Calibri" w:eastAsia="黑体" w:hAnsi="Calibri" w:hint="eastAsia"/>
          <w:bCs/>
          <w:color w:val="auto"/>
          <w:sz w:val="24"/>
        </w:rPr>
        <w:t>4</w:t>
      </w:r>
      <w:r w:rsidR="000D2512" w:rsidRPr="00A964FF">
        <w:rPr>
          <w:rFonts w:ascii="Calibri" w:eastAsia="黑体" w:hAnsi="Calibri" w:hint="eastAsia"/>
          <w:bCs/>
          <w:color w:val="auto"/>
          <w:sz w:val="24"/>
        </w:rPr>
        <w:t>.2</w:t>
      </w:r>
      <w:r w:rsidRPr="00A964FF">
        <w:rPr>
          <w:rFonts w:ascii="Calibri" w:eastAsia="黑体" w:hAnsi="Calibri" w:hint="eastAsia"/>
          <w:bCs/>
          <w:color w:val="auto"/>
          <w:sz w:val="24"/>
        </w:rPr>
        <w:t>-</w:t>
      </w:r>
      <w:r w:rsidR="00F80DFD">
        <w:rPr>
          <w:rFonts w:ascii="Calibri" w:eastAsia="黑体" w:hAnsi="Calibri"/>
          <w:bCs/>
          <w:color w:val="auto"/>
          <w:sz w:val="24"/>
        </w:rPr>
        <w:t>27</w:t>
      </w:r>
      <w:r w:rsidR="00002B3B" w:rsidRPr="00A964FF">
        <w:rPr>
          <w:rFonts w:ascii="Calibri" w:eastAsia="黑体" w:hint="eastAsia"/>
          <w:bCs/>
          <w:color w:val="auto"/>
          <w:sz w:val="24"/>
        </w:rPr>
        <w:t xml:space="preserve"> </w:t>
      </w:r>
      <w:r w:rsidRPr="00A964FF">
        <w:rPr>
          <w:rFonts w:ascii="Calibri" w:eastAsia="黑体" w:hint="eastAsia"/>
          <w:bCs/>
          <w:color w:val="auto"/>
          <w:sz w:val="24"/>
        </w:rPr>
        <w:t xml:space="preserve">   </w:t>
      </w:r>
      <w:r w:rsidR="00002B3B" w:rsidRPr="00A964FF">
        <w:rPr>
          <w:rFonts w:ascii="Calibri" w:eastAsia="黑体" w:hint="eastAsia"/>
          <w:bCs/>
          <w:color w:val="auto"/>
          <w:sz w:val="24"/>
        </w:rPr>
        <w:t>危废暂存间</w:t>
      </w:r>
      <w:r w:rsidRPr="00A964FF">
        <w:rPr>
          <w:rFonts w:ascii="Calibri" w:eastAsia="黑体" w:hAnsi="Calibri" w:hint="eastAsia"/>
          <w:bCs/>
          <w:color w:val="auto"/>
          <w:sz w:val="24"/>
        </w:rPr>
        <w:t>瞬时泄漏不同时间下游不同距离处</w:t>
      </w:r>
      <w:r w:rsidR="00002B3B" w:rsidRPr="00A964FF">
        <w:rPr>
          <w:rFonts w:ascii="Calibri" w:eastAsia="黑体" w:hAnsi="Calibri" w:hint="eastAsia"/>
          <w:bCs/>
          <w:color w:val="auto"/>
          <w:sz w:val="24"/>
        </w:rPr>
        <w:t>污染物</w:t>
      </w:r>
      <w:r w:rsidRPr="00A964FF">
        <w:rPr>
          <w:rFonts w:ascii="Calibri" w:eastAsia="黑体" w:hAnsi="Calibri" w:hint="eastAsia"/>
          <w:bCs/>
          <w:color w:val="auto"/>
          <w:sz w:val="24"/>
        </w:rPr>
        <w:t>浓度</w:t>
      </w:r>
    </w:p>
    <w:tbl>
      <w:tblPr>
        <w:tblW w:w="5287"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708"/>
        <w:gridCol w:w="837"/>
        <w:gridCol w:w="7654"/>
      </w:tblGrid>
      <w:tr w:rsidR="006C10F5" w:rsidRPr="00A964FF" w14:paraId="52AA32BE" w14:textId="77777777" w:rsidTr="00A814F7">
        <w:trPr>
          <w:trHeight w:val="369"/>
        </w:trPr>
        <w:tc>
          <w:tcPr>
            <w:tcW w:w="385" w:type="pct"/>
            <w:tcBorders>
              <w:right w:val="single" w:sz="4" w:space="0" w:color="auto"/>
            </w:tcBorders>
            <w:vAlign w:val="center"/>
          </w:tcPr>
          <w:p w14:paraId="703EC32C"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预测因子</w:t>
            </w:r>
          </w:p>
        </w:tc>
        <w:tc>
          <w:tcPr>
            <w:tcW w:w="455" w:type="pct"/>
            <w:tcBorders>
              <w:left w:val="single" w:sz="4" w:space="0" w:color="auto"/>
            </w:tcBorders>
            <w:vAlign w:val="center"/>
          </w:tcPr>
          <w:p w14:paraId="32D26E4A"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预测时间</w:t>
            </w:r>
            <w:r w:rsidRPr="00A964FF">
              <w:rPr>
                <w:rFonts w:ascii="Calibri" w:eastAsia="宋体" w:hAnsi="Calibri" w:hint="eastAsia"/>
                <w:b w:val="0"/>
                <w:color w:val="auto"/>
                <w:sz w:val="21"/>
                <w:szCs w:val="21"/>
              </w:rPr>
              <w:t>d</w:t>
            </w:r>
          </w:p>
        </w:tc>
        <w:tc>
          <w:tcPr>
            <w:tcW w:w="4160" w:type="pct"/>
            <w:vAlign w:val="center"/>
          </w:tcPr>
          <w:p w14:paraId="4DDDD7BC"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预测结果</w:t>
            </w:r>
          </w:p>
        </w:tc>
      </w:tr>
      <w:tr w:rsidR="006C10F5" w:rsidRPr="00A964FF" w14:paraId="24142510" w14:textId="77777777" w:rsidTr="00A814F7">
        <w:trPr>
          <w:trHeight w:val="369"/>
        </w:trPr>
        <w:tc>
          <w:tcPr>
            <w:tcW w:w="385" w:type="pct"/>
            <w:vMerge w:val="restart"/>
            <w:tcBorders>
              <w:right w:val="single" w:sz="4" w:space="0" w:color="auto"/>
            </w:tcBorders>
            <w:vAlign w:val="center"/>
          </w:tcPr>
          <w:p w14:paraId="66698EFE"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石油类</w:t>
            </w:r>
          </w:p>
        </w:tc>
        <w:tc>
          <w:tcPr>
            <w:tcW w:w="455" w:type="pct"/>
            <w:tcBorders>
              <w:left w:val="single" w:sz="4" w:space="0" w:color="auto"/>
            </w:tcBorders>
            <w:vAlign w:val="center"/>
          </w:tcPr>
          <w:p w14:paraId="7A9F9CA8"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w:t>
            </w:r>
          </w:p>
        </w:tc>
        <w:tc>
          <w:tcPr>
            <w:tcW w:w="4160" w:type="pct"/>
            <w:vAlign w:val="center"/>
          </w:tcPr>
          <w:p w14:paraId="5849D8EF" w14:textId="77777777" w:rsidR="006C10F5" w:rsidRPr="00A964FF" w:rsidRDefault="00F80DFD" w:rsidP="00A25003">
            <w:pPr>
              <w:pStyle w:val="ad"/>
              <w:spacing w:line="240" w:lineRule="auto"/>
              <w:jc w:val="left"/>
              <w:rPr>
                <w:rFonts w:ascii="Calibri" w:eastAsia="宋体" w:hAnsi="Calibri"/>
                <w:b w:val="0"/>
                <w:color w:val="auto"/>
                <w:sz w:val="21"/>
                <w:szCs w:val="21"/>
              </w:rPr>
            </w:pPr>
            <w:r w:rsidRPr="00F80DFD">
              <w:rPr>
                <w:rFonts w:ascii="Calibri" w:eastAsia="宋体" w:hAnsi="Calibri" w:hint="eastAsia"/>
                <w:b w:val="0"/>
                <w:color w:val="auto"/>
                <w:sz w:val="21"/>
                <w:szCs w:val="21"/>
              </w:rPr>
              <w:t>预测的最大值为</w:t>
            </w:r>
            <w:r w:rsidRPr="00F80DFD">
              <w:rPr>
                <w:rFonts w:ascii="Calibri" w:eastAsia="宋体" w:hAnsi="Calibri" w:hint="eastAsia"/>
                <w:b w:val="0"/>
                <w:color w:val="auto"/>
                <w:sz w:val="21"/>
                <w:szCs w:val="21"/>
              </w:rPr>
              <w:t>33.50536mg/l</w:t>
            </w:r>
            <w:r w:rsidRPr="00F80DFD">
              <w:rPr>
                <w:rFonts w:ascii="Calibri" w:eastAsia="宋体" w:hAnsi="Calibri" w:hint="eastAsia"/>
                <w:b w:val="0"/>
                <w:color w:val="auto"/>
                <w:sz w:val="21"/>
                <w:szCs w:val="21"/>
              </w:rPr>
              <w:t>，预测超标距离最远为</w:t>
            </w:r>
            <w:r w:rsidRPr="00F80DFD">
              <w:rPr>
                <w:rFonts w:ascii="Calibri" w:eastAsia="宋体" w:hAnsi="Calibri" w:hint="eastAsia"/>
                <w:b w:val="0"/>
                <w:color w:val="auto"/>
                <w:sz w:val="21"/>
                <w:szCs w:val="21"/>
              </w:rPr>
              <w:t>1m</w:t>
            </w:r>
            <w:r w:rsidRPr="00F80DFD">
              <w:rPr>
                <w:rFonts w:ascii="Calibri" w:eastAsia="宋体" w:hAnsi="Calibri" w:hint="eastAsia"/>
                <w:b w:val="0"/>
                <w:color w:val="auto"/>
                <w:sz w:val="21"/>
                <w:szCs w:val="21"/>
              </w:rPr>
              <w:t>；影响距离最远为</w:t>
            </w:r>
            <w:r w:rsidRPr="00F80DFD">
              <w:rPr>
                <w:rFonts w:ascii="Calibri" w:eastAsia="宋体" w:hAnsi="Calibri" w:hint="eastAsia"/>
                <w:b w:val="0"/>
                <w:color w:val="auto"/>
                <w:sz w:val="21"/>
                <w:szCs w:val="21"/>
              </w:rPr>
              <w:t>1m</w:t>
            </w:r>
          </w:p>
        </w:tc>
      </w:tr>
      <w:tr w:rsidR="006C10F5" w:rsidRPr="00A964FF" w14:paraId="1D11ED4C" w14:textId="77777777" w:rsidTr="00A814F7">
        <w:trPr>
          <w:trHeight w:val="369"/>
        </w:trPr>
        <w:tc>
          <w:tcPr>
            <w:tcW w:w="385" w:type="pct"/>
            <w:vMerge/>
            <w:tcBorders>
              <w:right w:val="single" w:sz="4" w:space="0" w:color="auto"/>
            </w:tcBorders>
            <w:vAlign w:val="center"/>
          </w:tcPr>
          <w:p w14:paraId="33DEA14B" w14:textId="77777777" w:rsidR="006C10F5" w:rsidRPr="00A964FF" w:rsidRDefault="006C10F5" w:rsidP="00A25003">
            <w:pPr>
              <w:pStyle w:val="ad"/>
              <w:spacing w:line="240" w:lineRule="auto"/>
              <w:jc w:val="center"/>
              <w:rPr>
                <w:rFonts w:ascii="Calibri" w:eastAsia="宋体" w:hAnsi="Calibri"/>
                <w:b w:val="0"/>
                <w:color w:val="auto"/>
                <w:sz w:val="21"/>
                <w:szCs w:val="21"/>
              </w:rPr>
            </w:pPr>
          </w:p>
        </w:tc>
        <w:tc>
          <w:tcPr>
            <w:tcW w:w="455" w:type="pct"/>
            <w:tcBorders>
              <w:left w:val="single" w:sz="4" w:space="0" w:color="auto"/>
            </w:tcBorders>
            <w:vAlign w:val="center"/>
          </w:tcPr>
          <w:p w14:paraId="7EDE82D9"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30</w:t>
            </w:r>
          </w:p>
        </w:tc>
        <w:tc>
          <w:tcPr>
            <w:tcW w:w="4160" w:type="pct"/>
            <w:vAlign w:val="center"/>
          </w:tcPr>
          <w:p w14:paraId="394EBF69" w14:textId="77777777" w:rsidR="006C10F5" w:rsidRPr="00A964FF" w:rsidRDefault="00F80DFD" w:rsidP="00A25003">
            <w:pPr>
              <w:pStyle w:val="ad"/>
              <w:spacing w:line="240" w:lineRule="auto"/>
              <w:jc w:val="left"/>
              <w:rPr>
                <w:rFonts w:ascii="Calibri" w:eastAsia="宋体" w:hAnsi="Calibri"/>
                <w:b w:val="0"/>
                <w:color w:val="auto"/>
                <w:sz w:val="21"/>
                <w:szCs w:val="21"/>
              </w:rPr>
            </w:pPr>
            <w:r w:rsidRPr="00F80DFD">
              <w:rPr>
                <w:rFonts w:ascii="Calibri" w:eastAsia="宋体" w:hAnsi="Calibri" w:hint="eastAsia"/>
                <w:b w:val="0"/>
                <w:color w:val="auto"/>
                <w:sz w:val="21"/>
                <w:szCs w:val="21"/>
              </w:rPr>
              <w:t>预测的最大值为</w:t>
            </w:r>
            <w:r w:rsidRPr="00F80DFD">
              <w:rPr>
                <w:rFonts w:ascii="Calibri" w:eastAsia="宋体" w:hAnsi="Calibri" w:hint="eastAsia"/>
                <w:b w:val="0"/>
                <w:color w:val="auto"/>
                <w:sz w:val="21"/>
                <w:szCs w:val="21"/>
              </w:rPr>
              <w:t>19.34433mg/l</w:t>
            </w:r>
            <w:r w:rsidRPr="00F80DFD">
              <w:rPr>
                <w:rFonts w:ascii="Calibri" w:eastAsia="宋体" w:hAnsi="Calibri" w:hint="eastAsia"/>
                <w:b w:val="0"/>
                <w:color w:val="auto"/>
                <w:sz w:val="21"/>
                <w:szCs w:val="21"/>
              </w:rPr>
              <w:t>，预测超标距离最远为</w:t>
            </w:r>
            <w:r w:rsidRPr="00F80DFD">
              <w:rPr>
                <w:rFonts w:ascii="Calibri" w:eastAsia="宋体" w:hAnsi="Calibri" w:hint="eastAsia"/>
                <w:b w:val="0"/>
                <w:color w:val="auto"/>
                <w:sz w:val="21"/>
                <w:szCs w:val="21"/>
              </w:rPr>
              <w:t>2m</w:t>
            </w:r>
            <w:r w:rsidRPr="00F80DFD">
              <w:rPr>
                <w:rFonts w:ascii="Calibri" w:eastAsia="宋体" w:hAnsi="Calibri" w:hint="eastAsia"/>
                <w:b w:val="0"/>
                <w:color w:val="auto"/>
                <w:sz w:val="21"/>
                <w:szCs w:val="21"/>
              </w:rPr>
              <w:t>；影响距离最远为</w:t>
            </w:r>
            <w:r w:rsidRPr="00F80DFD">
              <w:rPr>
                <w:rFonts w:ascii="Calibri" w:eastAsia="宋体" w:hAnsi="Calibri" w:hint="eastAsia"/>
                <w:b w:val="0"/>
                <w:color w:val="auto"/>
                <w:sz w:val="21"/>
                <w:szCs w:val="21"/>
              </w:rPr>
              <w:t>2m</w:t>
            </w:r>
          </w:p>
        </w:tc>
      </w:tr>
      <w:tr w:rsidR="006C10F5" w:rsidRPr="00A964FF" w14:paraId="4AAABADE" w14:textId="77777777" w:rsidTr="00A814F7">
        <w:trPr>
          <w:trHeight w:val="369"/>
        </w:trPr>
        <w:tc>
          <w:tcPr>
            <w:tcW w:w="385" w:type="pct"/>
            <w:vMerge/>
            <w:tcBorders>
              <w:right w:val="single" w:sz="4" w:space="0" w:color="auto"/>
            </w:tcBorders>
            <w:vAlign w:val="center"/>
          </w:tcPr>
          <w:p w14:paraId="53C94165" w14:textId="77777777" w:rsidR="006C10F5" w:rsidRPr="00A964FF" w:rsidRDefault="006C10F5" w:rsidP="00A25003">
            <w:pPr>
              <w:pStyle w:val="ad"/>
              <w:spacing w:line="240" w:lineRule="auto"/>
              <w:jc w:val="center"/>
              <w:rPr>
                <w:rFonts w:ascii="Calibri" w:eastAsia="宋体" w:hAnsi="Calibri"/>
                <w:b w:val="0"/>
                <w:color w:val="auto"/>
                <w:sz w:val="21"/>
                <w:szCs w:val="21"/>
              </w:rPr>
            </w:pPr>
          </w:p>
        </w:tc>
        <w:tc>
          <w:tcPr>
            <w:tcW w:w="455" w:type="pct"/>
            <w:tcBorders>
              <w:left w:val="single" w:sz="4" w:space="0" w:color="auto"/>
            </w:tcBorders>
            <w:vAlign w:val="center"/>
          </w:tcPr>
          <w:p w14:paraId="6ADE8FCA"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w:t>
            </w:r>
          </w:p>
        </w:tc>
        <w:tc>
          <w:tcPr>
            <w:tcW w:w="4160" w:type="pct"/>
            <w:vAlign w:val="center"/>
          </w:tcPr>
          <w:p w14:paraId="773F18E3" w14:textId="77777777" w:rsidR="006C10F5" w:rsidRPr="00A964FF" w:rsidRDefault="00F80DFD" w:rsidP="00A25003">
            <w:pPr>
              <w:pStyle w:val="ad"/>
              <w:spacing w:line="240" w:lineRule="auto"/>
              <w:jc w:val="left"/>
              <w:rPr>
                <w:rFonts w:ascii="Calibri" w:eastAsia="宋体" w:hAnsi="Calibri"/>
                <w:b w:val="0"/>
                <w:color w:val="auto"/>
                <w:sz w:val="21"/>
                <w:szCs w:val="21"/>
              </w:rPr>
            </w:pPr>
            <w:r w:rsidRPr="00F80DFD">
              <w:rPr>
                <w:rFonts w:ascii="Calibri" w:eastAsia="宋体" w:hAnsi="Calibri" w:hint="eastAsia"/>
                <w:b w:val="0"/>
                <w:color w:val="auto"/>
                <w:sz w:val="21"/>
                <w:szCs w:val="21"/>
              </w:rPr>
              <w:t>预测的最大值为</w:t>
            </w:r>
            <w:r w:rsidRPr="00F80DFD">
              <w:rPr>
                <w:rFonts w:ascii="Calibri" w:eastAsia="宋体" w:hAnsi="Calibri" w:hint="eastAsia"/>
                <w:b w:val="0"/>
                <w:color w:val="auto"/>
                <w:sz w:val="21"/>
                <w:szCs w:val="21"/>
              </w:rPr>
              <w:t>10.59532mg/l</w:t>
            </w:r>
            <w:r w:rsidRPr="00F80DFD">
              <w:rPr>
                <w:rFonts w:ascii="Calibri" w:eastAsia="宋体" w:hAnsi="Calibri" w:hint="eastAsia"/>
                <w:b w:val="0"/>
                <w:color w:val="auto"/>
                <w:sz w:val="21"/>
                <w:szCs w:val="21"/>
              </w:rPr>
              <w:t>，预测超标距离最远为</w:t>
            </w:r>
            <w:r w:rsidRPr="00F80DFD">
              <w:rPr>
                <w:rFonts w:ascii="Calibri" w:eastAsia="宋体" w:hAnsi="Calibri" w:hint="eastAsia"/>
                <w:b w:val="0"/>
                <w:color w:val="auto"/>
                <w:sz w:val="21"/>
                <w:szCs w:val="21"/>
              </w:rPr>
              <w:t>5m</w:t>
            </w:r>
            <w:r w:rsidRPr="00F80DFD">
              <w:rPr>
                <w:rFonts w:ascii="Calibri" w:eastAsia="宋体" w:hAnsi="Calibri" w:hint="eastAsia"/>
                <w:b w:val="0"/>
                <w:color w:val="auto"/>
                <w:sz w:val="21"/>
                <w:szCs w:val="21"/>
              </w:rPr>
              <w:t>；影响距离最远为</w:t>
            </w:r>
            <w:r w:rsidRPr="00F80DFD">
              <w:rPr>
                <w:rFonts w:ascii="Calibri" w:eastAsia="宋体" w:hAnsi="Calibri" w:hint="eastAsia"/>
                <w:b w:val="0"/>
                <w:color w:val="auto"/>
                <w:sz w:val="21"/>
                <w:szCs w:val="21"/>
              </w:rPr>
              <w:t>5m</w:t>
            </w:r>
          </w:p>
        </w:tc>
      </w:tr>
      <w:tr w:rsidR="006C10F5" w:rsidRPr="00A964FF" w14:paraId="1EB942A7" w14:textId="77777777" w:rsidTr="00A814F7">
        <w:trPr>
          <w:trHeight w:val="369"/>
        </w:trPr>
        <w:tc>
          <w:tcPr>
            <w:tcW w:w="385" w:type="pct"/>
            <w:vMerge/>
            <w:tcBorders>
              <w:right w:val="single" w:sz="4" w:space="0" w:color="auto"/>
            </w:tcBorders>
            <w:vAlign w:val="center"/>
          </w:tcPr>
          <w:p w14:paraId="12CFC0FA" w14:textId="77777777" w:rsidR="006C10F5" w:rsidRPr="00A964FF" w:rsidRDefault="006C10F5" w:rsidP="00A25003">
            <w:pPr>
              <w:pStyle w:val="ad"/>
              <w:spacing w:line="240" w:lineRule="auto"/>
              <w:jc w:val="center"/>
              <w:rPr>
                <w:rFonts w:ascii="Calibri" w:eastAsia="宋体" w:hAnsi="Calibri"/>
                <w:b w:val="0"/>
                <w:color w:val="auto"/>
                <w:sz w:val="21"/>
                <w:szCs w:val="21"/>
              </w:rPr>
            </w:pPr>
          </w:p>
        </w:tc>
        <w:tc>
          <w:tcPr>
            <w:tcW w:w="455" w:type="pct"/>
            <w:tcBorders>
              <w:left w:val="single" w:sz="4" w:space="0" w:color="auto"/>
            </w:tcBorders>
            <w:vAlign w:val="center"/>
          </w:tcPr>
          <w:p w14:paraId="472AE0A1"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1000</w:t>
            </w:r>
          </w:p>
        </w:tc>
        <w:tc>
          <w:tcPr>
            <w:tcW w:w="4160" w:type="pct"/>
            <w:vAlign w:val="center"/>
          </w:tcPr>
          <w:p w14:paraId="52F867F7" w14:textId="77777777" w:rsidR="006C10F5" w:rsidRPr="00A964FF" w:rsidRDefault="00F80DFD" w:rsidP="00A25003">
            <w:pPr>
              <w:pStyle w:val="ad"/>
              <w:spacing w:line="240" w:lineRule="auto"/>
              <w:jc w:val="left"/>
              <w:rPr>
                <w:rFonts w:ascii="Calibri" w:eastAsia="宋体" w:hAnsi="Calibri"/>
                <w:b w:val="0"/>
                <w:color w:val="auto"/>
                <w:sz w:val="21"/>
                <w:szCs w:val="21"/>
              </w:rPr>
            </w:pPr>
            <w:r w:rsidRPr="00F80DFD">
              <w:rPr>
                <w:rFonts w:ascii="Calibri" w:eastAsia="宋体" w:hAnsi="Calibri" w:hint="eastAsia"/>
                <w:b w:val="0"/>
                <w:color w:val="auto"/>
                <w:sz w:val="21"/>
                <w:szCs w:val="21"/>
              </w:rPr>
              <w:t>预测的最大值为</w:t>
            </w:r>
            <w:r w:rsidRPr="00F80DFD">
              <w:rPr>
                <w:rFonts w:ascii="Calibri" w:eastAsia="宋体" w:hAnsi="Calibri" w:hint="eastAsia"/>
                <w:b w:val="0"/>
                <w:color w:val="auto"/>
                <w:sz w:val="21"/>
                <w:szCs w:val="21"/>
              </w:rPr>
              <w:t>3.350535mg/l</w:t>
            </w:r>
            <w:r w:rsidRPr="00F80DFD">
              <w:rPr>
                <w:rFonts w:ascii="Calibri" w:eastAsia="宋体" w:hAnsi="Calibri" w:hint="eastAsia"/>
                <w:b w:val="0"/>
                <w:color w:val="auto"/>
                <w:sz w:val="21"/>
                <w:szCs w:val="21"/>
              </w:rPr>
              <w:t>，预测超标距离最远为</w:t>
            </w:r>
            <w:r w:rsidRPr="00F80DFD">
              <w:rPr>
                <w:rFonts w:ascii="Calibri" w:eastAsia="宋体" w:hAnsi="Calibri" w:hint="eastAsia"/>
                <w:b w:val="0"/>
                <w:color w:val="auto"/>
                <w:sz w:val="21"/>
                <w:szCs w:val="21"/>
              </w:rPr>
              <w:t>15m</w:t>
            </w:r>
            <w:r w:rsidRPr="00F80DFD">
              <w:rPr>
                <w:rFonts w:ascii="Calibri" w:eastAsia="宋体" w:hAnsi="Calibri" w:hint="eastAsia"/>
                <w:b w:val="0"/>
                <w:color w:val="auto"/>
                <w:sz w:val="21"/>
                <w:szCs w:val="21"/>
              </w:rPr>
              <w:t>；影响距离最远为</w:t>
            </w:r>
            <w:r w:rsidRPr="00F80DFD">
              <w:rPr>
                <w:rFonts w:ascii="Calibri" w:eastAsia="宋体" w:hAnsi="Calibri" w:hint="eastAsia"/>
                <w:b w:val="0"/>
                <w:color w:val="auto"/>
                <w:sz w:val="21"/>
                <w:szCs w:val="21"/>
              </w:rPr>
              <w:t>15m</w:t>
            </w:r>
          </w:p>
        </w:tc>
      </w:tr>
      <w:tr w:rsidR="006C10F5" w:rsidRPr="00A964FF" w14:paraId="4168D5BE" w14:textId="77777777" w:rsidTr="00A814F7">
        <w:trPr>
          <w:trHeight w:val="369"/>
        </w:trPr>
        <w:tc>
          <w:tcPr>
            <w:tcW w:w="385" w:type="pct"/>
            <w:vMerge/>
            <w:tcBorders>
              <w:right w:val="single" w:sz="4" w:space="0" w:color="auto"/>
            </w:tcBorders>
            <w:vAlign w:val="center"/>
          </w:tcPr>
          <w:p w14:paraId="443EC4ED" w14:textId="77777777" w:rsidR="006C10F5" w:rsidRPr="00A964FF" w:rsidRDefault="006C10F5" w:rsidP="00A25003">
            <w:pPr>
              <w:pStyle w:val="ad"/>
              <w:spacing w:line="240" w:lineRule="auto"/>
              <w:jc w:val="center"/>
              <w:rPr>
                <w:rFonts w:ascii="Calibri" w:eastAsia="宋体" w:hAnsi="Calibri"/>
                <w:b w:val="0"/>
                <w:color w:val="auto"/>
                <w:sz w:val="21"/>
                <w:szCs w:val="21"/>
              </w:rPr>
            </w:pPr>
          </w:p>
        </w:tc>
        <w:tc>
          <w:tcPr>
            <w:tcW w:w="455" w:type="pct"/>
            <w:tcBorders>
              <w:left w:val="single" w:sz="4" w:space="0" w:color="auto"/>
            </w:tcBorders>
            <w:vAlign w:val="center"/>
          </w:tcPr>
          <w:p w14:paraId="3715A425" w14:textId="77777777" w:rsidR="006C10F5" w:rsidRPr="00A964FF" w:rsidRDefault="006C10F5" w:rsidP="00A25003">
            <w:pPr>
              <w:pStyle w:val="ad"/>
              <w:spacing w:line="240" w:lineRule="auto"/>
              <w:jc w:val="center"/>
              <w:rPr>
                <w:rFonts w:ascii="Calibri" w:eastAsia="宋体" w:hAnsi="Calibri"/>
                <w:b w:val="0"/>
                <w:color w:val="auto"/>
                <w:sz w:val="21"/>
                <w:szCs w:val="21"/>
              </w:rPr>
            </w:pPr>
            <w:r w:rsidRPr="00A964FF">
              <w:rPr>
                <w:rFonts w:ascii="Calibri" w:eastAsia="宋体" w:hAnsi="Calibri" w:hint="eastAsia"/>
                <w:b w:val="0"/>
                <w:color w:val="auto"/>
                <w:sz w:val="21"/>
                <w:szCs w:val="21"/>
              </w:rPr>
              <w:t>2000</w:t>
            </w:r>
          </w:p>
        </w:tc>
        <w:tc>
          <w:tcPr>
            <w:tcW w:w="4160" w:type="pct"/>
            <w:vAlign w:val="center"/>
          </w:tcPr>
          <w:p w14:paraId="5446F66F" w14:textId="77777777" w:rsidR="006C10F5" w:rsidRPr="00A964FF" w:rsidRDefault="00F80DFD" w:rsidP="00A25003">
            <w:pPr>
              <w:pStyle w:val="ad"/>
              <w:spacing w:line="240" w:lineRule="auto"/>
              <w:jc w:val="left"/>
              <w:rPr>
                <w:rFonts w:ascii="Calibri" w:eastAsia="宋体" w:hAnsi="Calibri"/>
                <w:b w:val="0"/>
                <w:color w:val="auto"/>
                <w:sz w:val="21"/>
                <w:szCs w:val="21"/>
              </w:rPr>
            </w:pPr>
            <w:r w:rsidRPr="00F80DFD">
              <w:rPr>
                <w:rFonts w:ascii="Calibri" w:eastAsia="宋体" w:hAnsi="Calibri" w:hint="eastAsia"/>
                <w:b w:val="0"/>
                <w:color w:val="auto"/>
                <w:sz w:val="21"/>
                <w:szCs w:val="21"/>
              </w:rPr>
              <w:t>预测的最大值为</w:t>
            </w:r>
            <w:r w:rsidRPr="00F80DFD">
              <w:rPr>
                <w:rFonts w:ascii="Calibri" w:eastAsia="宋体" w:hAnsi="Calibri" w:hint="eastAsia"/>
                <w:b w:val="0"/>
                <w:color w:val="auto"/>
                <w:sz w:val="21"/>
                <w:szCs w:val="21"/>
              </w:rPr>
              <w:t>2.369186mg/l</w:t>
            </w:r>
            <w:r w:rsidRPr="00F80DFD">
              <w:rPr>
                <w:rFonts w:ascii="Calibri" w:eastAsia="宋体" w:hAnsi="Calibri" w:hint="eastAsia"/>
                <w:b w:val="0"/>
                <w:color w:val="auto"/>
                <w:sz w:val="21"/>
                <w:szCs w:val="21"/>
              </w:rPr>
              <w:t>，预测超标距离最远为</w:t>
            </w:r>
            <w:r w:rsidRPr="00F80DFD">
              <w:rPr>
                <w:rFonts w:ascii="Calibri" w:eastAsia="宋体" w:hAnsi="Calibri" w:hint="eastAsia"/>
                <w:b w:val="0"/>
                <w:color w:val="auto"/>
                <w:sz w:val="21"/>
                <w:szCs w:val="21"/>
              </w:rPr>
              <w:t>21m</w:t>
            </w:r>
            <w:r w:rsidRPr="00F80DFD">
              <w:rPr>
                <w:rFonts w:ascii="Calibri" w:eastAsia="宋体" w:hAnsi="Calibri" w:hint="eastAsia"/>
                <w:b w:val="0"/>
                <w:color w:val="auto"/>
                <w:sz w:val="21"/>
                <w:szCs w:val="21"/>
              </w:rPr>
              <w:t>；影响距离最远为</w:t>
            </w:r>
            <w:r w:rsidRPr="00F80DFD">
              <w:rPr>
                <w:rFonts w:ascii="Calibri" w:eastAsia="宋体" w:hAnsi="Calibri" w:hint="eastAsia"/>
                <w:b w:val="0"/>
                <w:color w:val="auto"/>
                <w:sz w:val="21"/>
                <w:szCs w:val="21"/>
              </w:rPr>
              <w:t>21m</w:t>
            </w:r>
          </w:p>
        </w:tc>
      </w:tr>
    </w:tbl>
    <w:p w14:paraId="6DDCB68F" w14:textId="77777777" w:rsidR="00F80DFD" w:rsidRPr="00F80DFD" w:rsidRDefault="003A3254" w:rsidP="00F80DFD">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lastRenderedPageBreak/>
        <w:t>本项目危废暂存间在非正常瞬时泄漏情况下，泄漏点下游方向</w:t>
      </w:r>
      <w:r w:rsidR="00FC02F2">
        <w:rPr>
          <w:rFonts w:ascii="Calibri" w:eastAsia="宋体" w:hAnsi="Calibri" w:hint="eastAsia"/>
          <w:b w:val="0"/>
          <w:color w:val="auto"/>
          <w:sz w:val="24"/>
        </w:rPr>
        <w:t>石油类</w:t>
      </w:r>
      <w:r w:rsidRPr="00A964FF">
        <w:rPr>
          <w:rFonts w:ascii="Calibri" w:eastAsia="宋体" w:hAnsi="Calibri" w:hint="eastAsia"/>
          <w:b w:val="0"/>
          <w:color w:val="auto"/>
          <w:sz w:val="24"/>
        </w:rPr>
        <w:t>浓度逐渐向下游方向扩散，在不考虑降解、吸附等物理化学反应情况下，主要随水流扩散。根据预测结果，石油类泄漏后</w:t>
      </w:r>
      <w:r w:rsidRPr="00A964FF">
        <w:rPr>
          <w:rFonts w:ascii="Calibri" w:eastAsia="宋体" w:hAnsi="Calibri" w:hint="eastAsia"/>
          <w:b w:val="0"/>
          <w:color w:val="auto"/>
          <w:sz w:val="24"/>
        </w:rPr>
        <w:t>10d</w:t>
      </w:r>
      <w:r w:rsidRPr="00A964FF">
        <w:rPr>
          <w:rFonts w:ascii="Calibri" w:eastAsia="宋体" w:hAnsi="Calibri" w:hint="eastAsia"/>
          <w:b w:val="0"/>
          <w:color w:val="auto"/>
          <w:sz w:val="24"/>
        </w:rPr>
        <w:t>，下游影响距离最远为</w:t>
      </w:r>
      <w:r w:rsidR="00F80DFD">
        <w:rPr>
          <w:rFonts w:ascii="Calibri" w:eastAsia="宋体" w:hAnsi="Calibri"/>
          <w:b w:val="0"/>
          <w:color w:val="auto"/>
          <w:sz w:val="24"/>
        </w:rPr>
        <w:t>1</w:t>
      </w:r>
      <w:r w:rsidRPr="00A964FF">
        <w:rPr>
          <w:rFonts w:ascii="Calibri" w:eastAsia="宋体" w:hAnsi="Calibri" w:hint="eastAsia"/>
          <w:b w:val="0"/>
          <w:color w:val="auto"/>
          <w:sz w:val="24"/>
        </w:rPr>
        <w:t>m</w:t>
      </w:r>
      <w:r w:rsidRPr="00A964FF">
        <w:rPr>
          <w:rFonts w:ascii="Calibri" w:eastAsia="宋体" w:hAnsi="Calibri" w:hint="eastAsia"/>
          <w:b w:val="0"/>
          <w:color w:val="auto"/>
          <w:sz w:val="24"/>
        </w:rPr>
        <w:t>；泄漏后</w:t>
      </w:r>
      <w:r w:rsidRPr="00A964FF">
        <w:rPr>
          <w:rFonts w:ascii="Calibri" w:eastAsia="宋体" w:hAnsi="Calibri" w:hint="eastAsia"/>
          <w:b w:val="0"/>
          <w:color w:val="auto"/>
          <w:sz w:val="24"/>
        </w:rPr>
        <w:t>30d</w:t>
      </w:r>
      <w:r w:rsidRPr="00A964FF">
        <w:rPr>
          <w:rFonts w:ascii="Calibri" w:eastAsia="宋体" w:hAnsi="Calibri" w:hint="eastAsia"/>
          <w:b w:val="0"/>
          <w:color w:val="auto"/>
          <w:sz w:val="24"/>
        </w:rPr>
        <w:t>，下游影响距离最远为</w:t>
      </w:r>
      <w:r w:rsidR="00F80DFD">
        <w:rPr>
          <w:rFonts w:ascii="Calibri" w:eastAsia="宋体" w:hAnsi="Calibri"/>
          <w:b w:val="0"/>
          <w:color w:val="auto"/>
          <w:sz w:val="24"/>
        </w:rPr>
        <w:t>2</w:t>
      </w:r>
      <w:r w:rsidRPr="00A964FF">
        <w:rPr>
          <w:rFonts w:ascii="Calibri" w:eastAsia="宋体" w:hAnsi="Calibri" w:hint="eastAsia"/>
          <w:b w:val="0"/>
          <w:color w:val="auto"/>
          <w:sz w:val="24"/>
        </w:rPr>
        <w:t>m</w:t>
      </w:r>
      <w:r w:rsidRPr="00A964FF">
        <w:rPr>
          <w:rFonts w:ascii="Calibri" w:eastAsia="宋体" w:hAnsi="Calibri" w:hint="eastAsia"/>
          <w:b w:val="0"/>
          <w:color w:val="auto"/>
          <w:sz w:val="24"/>
        </w:rPr>
        <w:t>；泄漏后</w:t>
      </w:r>
      <w:r w:rsidRPr="00A964FF">
        <w:rPr>
          <w:rFonts w:ascii="Calibri" w:eastAsia="宋体" w:hAnsi="Calibri" w:hint="eastAsia"/>
          <w:b w:val="0"/>
          <w:color w:val="auto"/>
          <w:sz w:val="24"/>
        </w:rPr>
        <w:t>100d</w:t>
      </w:r>
      <w:r w:rsidRPr="00A964FF">
        <w:rPr>
          <w:rFonts w:ascii="Calibri" w:eastAsia="宋体" w:hAnsi="Calibri" w:hint="eastAsia"/>
          <w:b w:val="0"/>
          <w:color w:val="auto"/>
          <w:sz w:val="24"/>
        </w:rPr>
        <w:t>时，下游影响距离最远为</w:t>
      </w:r>
      <w:r w:rsidR="00F80DFD">
        <w:rPr>
          <w:rFonts w:ascii="Calibri" w:eastAsia="宋体" w:hAnsi="Calibri"/>
          <w:b w:val="0"/>
          <w:color w:val="auto"/>
          <w:sz w:val="24"/>
        </w:rPr>
        <w:t>5</w:t>
      </w:r>
      <w:r w:rsidRPr="00A964FF">
        <w:rPr>
          <w:rFonts w:ascii="Calibri" w:eastAsia="宋体" w:hAnsi="Calibri" w:hint="eastAsia"/>
          <w:b w:val="0"/>
          <w:color w:val="auto"/>
          <w:sz w:val="24"/>
        </w:rPr>
        <w:t>m</w:t>
      </w:r>
      <w:r w:rsidRPr="00A964FF">
        <w:rPr>
          <w:rFonts w:ascii="Calibri" w:eastAsia="宋体" w:hAnsi="Calibri" w:hint="eastAsia"/>
          <w:b w:val="0"/>
          <w:color w:val="auto"/>
          <w:sz w:val="24"/>
        </w:rPr>
        <w:t>；</w:t>
      </w:r>
      <w:r w:rsidR="00F80DFD" w:rsidRPr="00A964FF">
        <w:rPr>
          <w:rFonts w:ascii="Calibri" w:eastAsia="宋体" w:hAnsi="Calibri" w:hint="eastAsia"/>
          <w:b w:val="0"/>
          <w:color w:val="auto"/>
          <w:sz w:val="24"/>
        </w:rPr>
        <w:t>泄漏后</w:t>
      </w:r>
      <w:r w:rsidR="00FC02F2" w:rsidRPr="00FC02F2">
        <w:rPr>
          <w:rFonts w:ascii="Calibri" w:eastAsia="宋体" w:hAnsi="Calibri" w:hint="eastAsia"/>
          <w:b w:val="0"/>
          <w:color w:val="auto"/>
          <w:sz w:val="24"/>
        </w:rPr>
        <w:t>100</w:t>
      </w:r>
      <w:r w:rsidR="00F80DFD">
        <w:rPr>
          <w:rFonts w:ascii="Calibri" w:eastAsia="宋体" w:hAnsi="Calibri"/>
          <w:b w:val="0"/>
          <w:color w:val="auto"/>
          <w:sz w:val="24"/>
        </w:rPr>
        <w:t>0</w:t>
      </w:r>
      <w:r w:rsidR="00FC02F2" w:rsidRPr="00FC02F2">
        <w:rPr>
          <w:rFonts w:ascii="Calibri" w:eastAsia="宋体" w:hAnsi="Calibri" w:hint="eastAsia"/>
          <w:b w:val="0"/>
          <w:color w:val="auto"/>
          <w:sz w:val="24"/>
        </w:rPr>
        <w:t>d</w:t>
      </w:r>
      <w:r w:rsidR="00F80DFD" w:rsidRPr="00A964FF">
        <w:rPr>
          <w:rFonts w:ascii="Calibri" w:eastAsia="宋体" w:hAnsi="Calibri" w:hint="eastAsia"/>
          <w:b w:val="0"/>
          <w:color w:val="auto"/>
          <w:sz w:val="24"/>
        </w:rPr>
        <w:t>下游影响距离最远为</w:t>
      </w:r>
      <w:r w:rsidR="00F80DFD">
        <w:rPr>
          <w:rFonts w:ascii="Calibri" w:eastAsia="宋体" w:hAnsi="Calibri"/>
          <w:b w:val="0"/>
          <w:color w:val="auto"/>
          <w:sz w:val="24"/>
        </w:rPr>
        <w:t>15</w:t>
      </w:r>
      <w:r w:rsidR="00F80DFD" w:rsidRPr="00A964FF">
        <w:rPr>
          <w:rFonts w:ascii="Calibri" w:eastAsia="宋体" w:hAnsi="Calibri" w:hint="eastAsia"/>
          <w:b w:val="0"/>
          <w:color w:val="auto"/>
          <w:sz w:val="24"/>
        </w:rPr>
        <w:t>m</w:t>
      </w:r>
      <w:r w:rsidR="00F80DFD" w:rsidRPr="00A964FF">
        <w:rPr>
          <w:rFonts w:ascii="Calibri" w:eastAsia="宋体" w:hAnsi="Calibri" w:hint="eastAsia"/>
          <w:b w:val="0"/>
          <w:color w:val="auto"/>
          <w:sz w:val="24"/>
        </w:rPr>
        <w:t>；泄漏后</w:t>
      </w:r>
      <w:r w:rsidR="00F80DFD">
        <w:rPr>
          <w:rFonts w:ascii="Calibri" w:eastAsia="宋体" w:hAnsi="Calibri"/>
          <w:b w:val="0"/>
          <w:color w:val="auto"/>
          <w:sz w:val="24"/>
        </w:rPr>
        <w:t>2</w:t>
      </w:r>
      <w:r w:rsidR="00F80DFD" w:rsidRPr="00FC02F2">
        <w:rPr>
          <w:rFonts w:ascii="Calibri" w:eastAsia="宋体" w:hAnsi="Calibri" w:hint="eastAsia"/>
          <w:b w:val="0"/>
          <w:color w:val="auto"/>
          <w:sz w:val="24"/>
        </w:rPr>
        <w:t>00</w:t>
      </w:r>
      <w:r w:rsidR="00F80DFD">
        <w:rPr>
          <w:rFonts w:ascii="Calibri" w:eastAsia="宋体" w:hAnsi="Calibri"/>
          <w:b w:val="0"/>
          <w:color w:val="auto"/>
          <w:sz w:val="24"/>
        </w:rPr>
        <w:t>0</w:t>
      </w:r>
      <w:r w:rsidR="00F80DFD" w:rsidRPr="00FC02F2">
        <w:rPr>
          <w:rFonts w:ascii="Calibri" w:eastAsia="宋体" w:hAnsi="Calibri" w:hint="eastAsia"/>
          <w:b w:val="0"/>
          <w:color w:val="auto"/>
          <w:sz w:val="24"/>
        </w:rPr>
        <w:t>d</w:t>
      </w:r>
      <w:r w:rsidR="00F80DFD" w:rsidRPr="00A964FF">
        <w:rPr>
          <w:rFonts w:ascii="Calibri" w:eastAsia="宋体" w:hAnsi="Calibri" w:hint="eastAsia"/>
          <w:b w:val="0"/>
          <w:color w:val="auto"/>
          <w:sz w:val="24"/>
        </w:rPr>
        <w:t>下游影响距离最远为</w:t>
      </w:r>
      <w:r w:rsidR="00F80DFD">
        <w:rPr>
          <w:rFonts w:ascii="Calibri" w:eastAsia="宋体" w:hAnsi="Calibri"/>
          <w:b w:val="0"/>
          <w:color w:val="auto"/>
          <w:sz w:val="24"/>
        </w:rPr>
        <w:t>21</w:t>
      </w:r>
      <w:r w:rsidR="00F80DFD" w:rsidRPr="00A964FF">
        <w:rPr>
          <w:rFonts w:ascii="Calibri" w:eastAsia="宋体" w:hAnsi="Calibri" w:hint="eastAsia"/>
          <w:b w:val="0"/>
          <w:color w:val="auto"/>
          <w:sz w:val="24"/>
        </w:rPr>
        <w:t>m</w:t>
      </w:r>
      <w:r w:rsidR="00F80DFD">
        <w:rPr>
          <w:rFonts w:ascii="Calibri" w:eastAsia="宋体" w:hAnsi="Calibri" w:hint="eastAsia"/>
          <w:b w:val="0"/>
          <w:color w:val="auto"/>
          <w:sz w:val="24"/>
        </w:rPr>
        <w:t>。</w:t>
      </w:r>
    </w:p>
    <w:p w14:paraId="4754724D" w14:textId="77777777" w:rsidR="007E4933" w:rsidRPr="00A964FF" w:rsidRDefault="00951E73" w:rsidP="00F80DFD">
      <w:pPr>
        <w:spacing w:line="520" w:lineRule="exact"/>
        <w:ind w:firstLineChars="200" w:firstLine="480"/>
        <w:rPr>
          <w:rFonts w:ascii="Calibri" w:hAnsi="Calibri"/>
          <w:color w:val="auto"/>
          <w:sz w:val="24"/>
        </w:rPr>
      </w:pPr>
      <w:r w:rsidRPr="00A964FF">
        <w:rPr>
          <w:rFonts w:ascii="Calibri" w:hAnsi="Calibri" w:hint="eastAsia"/>
          <w:color w:val="auto"/>
          <w:sz w:val="24"/>
        </w:rPr>
        <w:t>本项目</w:t>
      </w:r>
      <w:r w:rsidR="00B75AC7" w:rsidRPr="00A964FF">
        <w:rPr>
          <w:rFonts w:ascii="Calibri" w:hAnsi="Calibri" w:hint="eastAsia"/>
          <w:color w:val="auto"/>
          <w:sz w:val="24"/>
        </w:rPr>
        <w:t>危废暂存间</w:t>
      </w:r>
      <w:r w:rsidR="00DD1BE8" w:rsidRPr="00A964FF">
        <w:rPr>
          <w:rFonts w:ascii="Calibri" w:hAnsi="Calibri" w:hint="eastAsia"/>
          <w:color w:val="auto"/>
          <w:sz w:val="24"/>
        </w:rPr>
        <w:t>为地上结构</w:t>
      </w:r>
      <w:r w:rsidRPr="00A964FF">
        <w:rPr>
          <w:rFonts w:ascii="Calibri" w:hAnsi="Calibri" w:hint="eastAsia"/>
          <w:color w:val="auto"/>
          <w:sz w:val="24"/>
        </w:rPr>
        <w:t>，</w:t>
      </w:r>
      <w:r w:rsidR="007E4933" w:rsidRPr="00A964FF">
        <w:rPr>
          <w:rFonts w:ascii="Calibri" w:hAnsi="Calibri" w:hint="eastAsia"/>
          <w:color w:val="auto"/>
          <w:sz w:val="24"/>
        </w:rPr>
        <w:t>发生事故的情况下污染物</w:t>
      </w:r>
      <w:r w:rsidR="00CE50F0" w:rsidRPr="00A964FF">
        <w:rPr>
          <w:rFonts w:ascii="Calibri" w:hAnsi="Calibri" w:hint="eastAsia"/>
          <w:color w:val="auto"/>
          <w:sz w:val="24"/>
        </w:rPr>
        <w:t>均</w:t>
      </w:r>
      <w:r w:rsidR="007E4933" w:rsidRPr="00A964FF">
        <w:rPr>
          <w:rFonts w:ascii="Calibri" w:hAnsi="Calibri" w:hint="eastAsia"/>
          <w:color w:val="auto"/>
          <w:sz w:val="24"/>
        </w:rPr>
        <w:t>可以</w:t>
      </w:r>
      <w:r w:rsidR="00CE50F0" w:rsidRPr="00A964FF">
        <w:rPr>
          <w:rFonts w:ascii="Calibri" w:hAnsi="Calibri" w:hint="eastAsia"/>
          <w:color w:val="auto"/>
          <w:sz w:val="24"/>
        </w:rPr>
        <w:t>及时发现及时控制，因此造成污染地下水的几率较小。而根据同类发生</w:t>
      </w:r>
      <w:r w:rsidR="007E4933" w:rsidRPr="00A964FF">
        <w:rPr>
          <w:rFonts w:ascii="Calibri" w:hAnsi="Calibri" w:hint="eastAsia"/>
          <w:color w:val="auto"/>
          <w:sz w:val="24"/>
        </w:rPr>
        <w:t>事故企业对事故的控制及处理时间一般不超过</w:t>
      </w:r>
      <w:r w:rsidR="007E4933" w:rsidRPr="00A964FF">
        <w:rPr>
          <w:rFonts w:ascii="Calibri" w:hAnsi="Calibri"/>
          <w:color w:val="auto"/>
          <w:sz w:val="24"/>
        </w:rPr>
        <w:t>24h</w:t>
      </w:r>
      <w:r w:rsidR="007E4933" w:rsidRPr="00A964FF">
        <w:rPr>
          <w:rFonts w:ascii="Calibri" w:hAnsi="Calibri" w:hint="eastAsia"/>
          <w:color w:val="auto"/>
          <w:sz w:val="24"/>
        </w:rPr>
        <w:t>，实际</w:t>
      </w:r>
      <w:r w:rsidR="00DD1BE8" w:rsidRPr="00A964FF">
        <w:rPr>
          <w:rFonts w:ascii="Calibri" w:hAnsi="Calibri" w:hint="eastAsia"/>
          <w:color w:val="auto"/>
          <w:sz w:val="24"/>
        </w:rPr>
        <w:t>生产</w:t>
      </w:r>
      <w:r w:rsidR="003A3254" w:rsidRPr="00A964FF">
        <w:rPr>
          <w:rFonts w:ascii="Calibri" w:hAnsi="Calibri" w:hint="eastAsia"/>
          <w:color w:val="auto"/>
          <w:sz w:val="24"/>
        </w:rPr>
        <w:t>危废暂存间发生</w:t>
      </w:r>
      <w:r w:rsidR="007E4933" w:rsidRPr="00A964FF">
        <w:rPr>
          <w:rFonts w:ascii="Calibri" w:hAnsi="Calibri" w:hint="eastAsia"/>
          <w:color w:val="auto"/>
          <w:sz w:val="24"/>
        </w:rPr>
        <w:t>泄漏后</w:t>
      </w:r>
      <w:r w:rsidR="00DD1BE8" w:rsidRPr="00A964FF">
        <w:rPr>
          <w:rFonts w:ascii="Calibri" w:hAnsi="Calibri" w:hint="eastAsia"/>
          <w:color w:val="auto"/>
          <w:sz w:val="24"/>
        </w:rPr>
        <w:t>各污染物</w:t>
      </w:r>
      <w:r w:rsidR="007E4933" w:rsidRPr="00A964FF">
        <w:rPr>
          <w:rFonts w:ascii="Calibri" w:hAnsi="Calibri" w:hint="eastAsia"/>
          <w:color w:val="auto"/>
          <w:sz w:val="24"/>
        </w:rPr>
        <w:t>对地下水的贡献</w:t>
      </w:r>
      <w:r w:rsidR="003A3254" w:rsidRPr="00A964FF">
        <w:rPr>
          <w:rFonts w:ascii="Calibri" w:hAnsi="Calibri" w:hint="eastAsia"/>
          <w:color w:val="auto"/>
          <w:sz w:val="24"/>
        </w:rPr>
        <w:t>值</w:t>
      </w:r>
      <w:r w:rsidR="007E4933" w:rsidRPr="00A964FF">
        <w:rPr>
          <w:rFonts w:ascii="Calibri" w:hAnsi="Calibri" w:hint="eastAsia"/>
          <w:color w:val="auto"/>
          <w:sz w:val="24"/>
        </w:rPr>
        <w:t>要远小于理论计算值。</w:t>
      </w:r>
      <w:r w:rsidRPr="00A964FF">
        <w:rPr>
          <w:rFonts w:ascii="Calibri" w:hAnsi="Calibri" w:hint="eastAsia"/>
          <w:color w:val="auto"/>
          <w:sz w:val="24"/>
        </w:rPr>
        <w:t>废水</w:t>
      </w:r>
      <w:r w:rsidR="007E4933" w:rsidRPr="00A964FF">
        <w:rPr>
          <w:rFonts w:ascii="Calibri" w:hAnsi="Calibri" w:hint="eastAsia"/>
          <w:color w:val="auto"/>
          <w:sz w:val="24"/>
        </w:rPr>
        <w:t>处理站为半地下式，泄漏后较难发现</w:t>
      </w:r>
      <w:r w:rsidR="003A3254" w:rsidRPr="00A964FF">
        <w:rPr>
          <w:rFonts w:ascii="Calibri" w:hAnsi="Calibri" w:hint="eastAsia"/>
          <w:color w:val="auto"/>
          <w:sz w:val="24"/>
        </w:rPr>
        <w:t>，但影响范围局限在厂区内</w:t>
      </w:r>
      <w:r w:rsidR="007E4933" w:rsidRPr="00A964FF">
        <w:rPr>
          <w:rFonts w:ascii="Calibri" w:hAnsi="Calibri" w:hint="eastAsia"/>
          <w:color w:val="auto"/>
          <w:sz w:val="24"/>
        </w:rPr>
        <w:t>。本项目区域地下水流向为</w:t>
      </w:r>
      <w:r w:rsidR="00F80DFD">
        <w:rPr>
          <w:rFonts w:ascii="Calibri" w:hAnsi="Calibri" w:hint="eastAsia"/>
          <w:color w:val="auto"/>
          <w:sz w:val="24"/>
        </w:rPr>
        <w:t>西南</w:t>
      </w:r>
      <w:r w:rsidR="00FC02F2">
        <w:rPr>
          <w:rFonts w:ascii="Calibri" w:hAnsi="Calibri" w:hint="eastAsia"/>
          <w:color w:val="auto"/>
          <w:sz w:val="24"/>
        </w:rPr>
        <w:t>向</w:t>
      </w:r>
      <w:r w:rsidR="00F80DFD">
        <w:rPr>
          <w:rFonts w:ascii="Calibri" w:hAnsi="Calibri" w:hint="eastAsia"/>
          <w:color w:val="auto"/>
          <w:sz w:val="24"/>
        </w:rPr>
        <w:t>东</w:t>
      </w:r>
      <w:r w:rsidR="00FC02F2">
        <w:rPr>
          <w:rFonts w:ascii="Calibri" w:hAnsi="Calibri" w:hint="eastAsia"/>
          <w:color w:val="auto"/>
          <w:sz w:val="24"/>
        </w:rPr>
        <w:t>北</w:t>
      </w:r>
      <w:r w:rsidR="007E4933" w:rsidRPr="00A964FF">
        <w:rPr>
          <w:rFonts w:ascii="Calibri" w:hAnsi="Calibri" w:hint="eastAsia"/>
          <w:color w:val="auto"/>
          <w:sz w:val="24"/>
        </w:rPr>
        <w:t>，下游方向影响距离范围内主要为</w:t>
      </w:r>
      <w:r w:rsidR="00C34140" w:rsidRPr="00A964FF">
        <w:rPr>
          <w:rFonts w:ascii="Calibri" w:hAnsi="Calibri" w:hint="eastAsia"/>
          <w:color w:val="auto"/>
          <w:sz w:val="24"/>
        </w:rPr>
        <w:t>集聚区待建设用地</w:t>
      </w:r>
      <w:r w:rsidR="007E4933" w:rsidRPr="00A964FF">
        <w:rPr>
          <w:rFonts w:ascii="Calibri" w:hAnsi="Calibri" w:hint="eastAsia"/>
          <w:color w:val="auto"/>
          <w:sz w:val="24"/>
        </w:rPr>
        <w:t>，无</w:t>
      </w:r>
      <w:r w:rsidR="003A3254" w:rsidRPr="00A964FF">
        <w:rPr>
          <w:rFonts w:ascii="Calibri" w:hAnsi="Calibri" w:hint="eastAsia"/>
          <w:color w:val="auto"/>
          <w:sz w:val="24"/>
        </w:rPr>
        <w:t>村庄和</w:t>
      </w:r>
      <w:r w:rsidR="007E4933" w:rsidRPr="00A964FF">
        <w:rPr>
          <w:rFonts w:ascii="Calibri" w:hAnsi="Calibri" w:hint="eastAsia"/>
          <w:color w:val="auto"/>
          <w:sz w:val="24"/>
        </w:rPr>
        <w:t>居民区等采用地下水作为饮用水源的敏感点，因此对地下水影响较小。但</w:t>
      </w:r>
      <w:r w:rsidR="00CE50F0" w:rsidRPr="00A964FF">
        <w:rPr>
          <w:rFonts w:ascii="Calibri" w:hAnsi="Calibri" w:hint="eastAsia"/>
          <w:color w:val="auto"/>
          <w:sz w:val="24"/>
        </w:rPr>
        <w:t>在</w:t>
      </w:r>
      <w:r w:rsidR="003A3254" w:rsidRPr="00A964FF">
        <w:rPr>
          <w:rFonts w:ascii="Calibri" w:hAnsi="Calibri" w:hint="eastAsia"/>
          <w:color w:val="auto"/>
          <w:sz w:val="24"/>
        </w:rPr>
        <w:t>非正常</w:t>
      </w:r>
      <w:r w:rsidR="00124376" w:rsidRPr="00A964FF">
        <w:rPr>
          <w:rFonts w:ascii="Calibri" w:hAnsi="Calibri" w:hint="eastAsia"/>
          <w:color w:val="auto"/>
          <w:sz w:val="24"/>
        </w:rPr>
        <w:t>状况</w:t>
      </w:r>
      <w:r w:rsidR="007E4933" w:rsidRPr="00A964FF">
        <w:rPr>
          <w:rFonts w:ascii="Calibri" w:hAnsi="Calibri" w:hint="eastAsia"/>
          <w:color w:val="auto"/>
          <w:sz w:val="24"/>
        </w:rPr>
        <w:t>下，</w:t>
      </w:r>
      <w:r w:rsidR="00C34140" w:rsidRPr="00A964FF">
        <w:rPr>
          <w:rFonts w:ascii="Calibri" w:hAnsi="Calibri" w:hint="eastAsia"/>
          <w:color w:val="auto"/>
          <w:sz w:val="24"/>
        </w:rPr>
        <w:t>污染物预测</w:t>
      </w:r>
      <w:r w:rsidR="007E4933" w:rsidRPr="00A964FF">
        <w:rPr>
          <w:rFonts w:ascii="Calibri" w:hAnsi="Calibri" w:hint="eastAsia"/>
          <w:color w:val="auto"/>
          <w:sz w:val="24"/>
        </w:rPr>
        <w:t>浓度较高，因此</w:t>
      </w:r>
      <w:r w:rsidR="00CE50F0" w:rsidRPr="00A964FF">
        <w:rPr>
          <w:rFonts w:ascii="Calibri" w:hAnsi="Calibri" w:hint="eastAsia"/>
          <w:color w:val="auto"/>
          <w:sz w:val="24"/>
        </w:rPr>
        <w:t>建设单位</w:t>
      </w:r>
      <w:r w:rsidR="007E4933" w:rsidRPr="00A964FF">
        <w:rPr>
          <w:rFonts w:ascii="Calibri" w:hAnsi="Calibri" w:hint="eastAsia"/>
          <w:color w:val="auto"/>
          <w:sz w:val="24"/>
        </w:rPr>
        <w:t>应</w:t>
      </w:r>
      <w:r w:rsidR="00CE50F0" w:rsidRPr="00A964FF">
        <w:rPr>
          <w:rFonts w:ascii="Calibri" w:hAnsi="Calibri" w:hint="eastAsia"/>
          <w:color w:val="auto"/>
          <w:sz w:val="24"/>
        </w:rPr>
        <w:t>加强管理，</w:t>
      </w:r>
      <w:r w:rsidR="007E4933" w:rsidRPr="00A964FF">
        <w:rPr>
          <w:rFonts w:ascii="Calibri" w:hAnsi="Calibri" w:hint="eastAsia"/>
          <w:color w:val="auto"/>
          <w:sz w:val="24"/>
        </w:rPr>
        <w:t>严格控制突发环境事件的发生。</w:t>
      </w:r>
    </w:p>
    <w:p w14:paraId="0DB1D29C" w14:textId="77777777" w:rsidR="006A642B" w:rsidRPr="00A814F7" w:rsidRDefault="007E4933" w:rsidP="00A814F7">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为减轻本项目对地下水环境的影响，本</w:t>
      </w:r>
      <w:r w:rsidR="00CE50F0" w:rsidRPr="00A964FF">
        <w:rPr>
          <w:rFonts w:ascii="Calibri" w:eastAsia="宋体" w:hAnsi="Calibri" w:hint="eastAsia"/>
          <w:b w:val="0"/>
          <w:color w:val="auto"/>
          <w:sz w:val="24"/>
        </w:rPr>
        <w:t>次评价</w:t>
      </w:r>
      <w:r w:rsidRPr="00A964FF">
        <w:rPr>
          <w:rFonts w:ascii="Calibri" w:eastAsia="宋体" w:hAnsi="Calibri" w:hint="eastAsia"/>
          <w:b w:val="0"/>
          <w:color w:val="auto"/>
          <w:sz w:val="24"/>
        </w:rPr>
        <w:t>要求对</w:t>
      </w:r>
      <w:r w:rsidR="00CE50F0" w:rsidRPr="00A964FF">
        <w:rPr>
          <w:rFonts w:ascii="Calibri" w:eastAsia="宋体" w:hAnsi="Calibri" w:hint="eastAsia"/>
          <w:b w:val="0"/>
          <w:color w:val="auto"/>
          <w:sz w:val="24"/>
        </w:rPr>
        <w:t>建设单位</w:t>
      </w:r>
      <w:r w:rsidR="00F80DFD">
        <w:rPr>
          <w:rFonts w:ascii="Calibri" w:eastAsia="宋体" w:hAnsi="Calibri" w:hint="eastAsia"/>
          <w:b w:val="0"/>
          <w:color w:val="auto"/>
          <w:sz w:val="24"/>
        </w:rPr>
        <w:t>原料</w:t>
      </w:r>
      <w:r w:rsidR="003A3254" w:rsidRPr="00A964FF">
        <w:rPr>
          <w:rFonts w:ascii="Calibri" w:eastAsia="宋体" w:hAnsi="Calibri" w:hint="eastAsia"/>
          <w:b w:val="0"/>
          <w:color w:val="auto"/>
          <w:sz w:val="24"/>
        </w:rPr>
        <w:t>仓库、</w:t>
      </w:r>
      <w:r w:rsidR="001C1D99" w:rsidRPr="00A964FF">
        <w:rPr>
          <w:rFonts w:ascii="Calibri" w:eastAsia="宋体" w:hAnsi="Calibri" w:hint="eastAsia"/>
          <w:b w:val="0"/>
          <w:color w:val="auto"/>
          <w:sz w:val="24"/>
        </w:rPr>
        <w:t>危废暂存间</w:t>
      </w:r>
      <w:r w:rsidR="00951E73" w:rsidRPr="00A964FF">
        <w:rPr>
          <w:rFonts w:ascii="Calibri" w:eastAsia="宋体" w:hAnsi="Calibri" w:hint="eastAsia"/>
          <w:b w:val="0"/>
          <w:color w:val="auto"/>
          <w:sz w:val="24"/>
        </w:rPr>
        <w:t>、</w:t>
      </w:r>
      <w:r w:rsidR="001C1D99" w:rsidRPr="00A964FF">
        <w:rPr>
          <w:rFonts w:ascii="Calibri" w:eastAsia="宋体" w:hAnsi="Calibri" w:hint="eastAsia"/>
          <w:b w:val="0"/>
          <w:color w:val="auto"/>
          <w:sz w:val="24"/>
        </w:rPr>
        <w:t>事故池、初期雨水收集池、废水处理站各类构筑物</w:t>
      </w:r>
      <w:r w:rsidRPr="00A964FF">
        <w:rPr>
          <w:rFonts w:ascii="Calibri" w:eastAsia="宋体" w:hAnsi="Calibri" w:hint="eastAsia"/>
          <w:b w:val="0"/>
          <w:color w:val="auto"/>
          <w:sz w:val="24"/>
        </w:rPr>
        <w:t>等严格进行防腐、防渗漏处理。因此，在落实本次评价提出的各项污染防治措施后，本项目的建设对区域地下水环境影响较小。</w:t>
      </w:r>
    </w:p>
    <w:p w14:paraId="79E96DF4" w14:textId="77777777" w:rsidR="0086047B" w:rsidRPr="0086047B" w:rsidRDefault="0055605A" w:rsidP="0086047B">
      <w:pPr>
        <w:pStyle w:val="ad"/>
        <w:rPr>
          <w:rFonts w:ascii="Calibri" w:hAnsi="Calibri"/>
          <w:color w:val="auto"/>
        </w:rPr>
      </w:pPr>
      <w:r w:rsidRPr="00A964FF">
        <w:rPr>
          <w:rFonts w:ascii="Calibri" w:hAnsi="Calibri" w:hint="eastAsia"/>
          <w:color w:val="auto"/>
        </w:rPr>
        <w:t>4</w:t>
      </w:r>
      <w:r w:rsidRPr="00A964FF">
        <w:rPr>
          <w:rFonts w:ascii="Calibri" w:hAnsi="Calibri"/>
          <w:color w:val="auto"/>
        </w:rPr>
        <w:t>.</w:t>
      </w:r>
      <w:r w:rsidRPr="00A964FF">
        <w:rPr>
          <w:rFonts w:ascii="Calibri" w:hAnsi="Calibri" w:hint="eastAsia"/>
          <w:color w:val="auto"/>
        </w:rPr>
        <w:t>2</w:t>
      </w:r>
      <w:r w:rsidRPr="00A964FF">
        <w:rPr>
          <w:rFonts w:ascii="Calibri" w:hAnsi="Calibri"/>
          <w:color w:val="auto"/>
        </w:rPr>
        <w:t>.</w:t>
      </w:r>
      <w:r w:rsidRPr="00A964FF">
        <w:rPr>
          <w:rFonts w:ascii="Calibri" w:hAnsi="Calibri" w:hint="eastAsia"/>
          <w:color w:val="auto"/>
        </w:rPr>
        <w:t>4</w:t>
      </w:r>
      <w:r w:rsidRPr="00A964FF">
        <w:rPr>
          <w:rFonts w:ascii="Calibri" w:hAnsi="Calibri" w:hint="eastAsia"/>
          <w:color w:val="auto"/>
        </w:rPr>
        <w:t>声环境影响预测与评价</w:t>
      </w:r>
    </w:p>
    <w:p w14:paraId="0B2C2E31" w14:textId="77777777" w:rsidR="0055605A" w:rsidRDefault="0055605A" w:rsidP="0055605A">
      <w:pPr>
        <w:spacing w:line="520" w:lineRule="exact"/>
        <w:ind w:firstLine="482"/>
        <w:rPr>
          <w:rFonts w:ascii="Calibri" w:hAnsi="Calibri"/>
          <w:b/>
          <w:color w:val="auto"/>
          <w:sz w:val="24"/>
        </w:rPr>
      </w:pPr>
      <w:r w:rsidRPr="00A964FF">
        <w:rPr>
          <w:rFonts w:ascii="Calibri" w:hAnsi="Calibri" w:hint="eastAsia"/>
          <w:b/>
          <w:color w:val="auto"/>
          <w:sz w:val="24"/>
        </w:rPr>
        <w:t>1</w:t>
      </w:r>
      <w:r w:rsidRPr="00A964FF">
        <w:rPr>
          <w:rFonts w:ascii="Calibri" w:hAnsi="Calibri" w:hint="eastAsia"/>
          <w:b/>
          <w:color w:val="auto"/>
          <w:sz w:val="24"/>
        </w:rPr>
        <w:t>、</w:t>
      </w:r>
      <w:r w:rsidR="0086047B">
        <w:rPr>
          <w:rFonts w:ascii="Calibri" w:hAnsi="Calibri"/>
          <w:b/>
          <w:color w:val="auto"/>
          <w:sz w:val="24"/>
        </w:rPr>
        <w:t>评价等级和评价范围</w:t>
      </w:r>
    </w:p>
    <w:p w14:paraId="38F4CDB7" w14:textId="77777777" w:rsidR="0086047B" w:rsidRDefault="0086047B" w:rsidP="00D3689D">
      <w:pPr>
        <w:spacing w:line="500" w:lineRule="exact"/>
        <w:ind w:firstLineChars="200" w:firstLine="480"/>
        <w:rPr>
          <w:rFonts w:ascii="Calibri" w:hAnsi="Calibri"/>
          <w:color w:val="auto"/>
          <w:sz w:val="24"/>
        </w:rPr>
      </w:pPr>
      <w:r>
        <w:rPr>
          <w:rFonts w:ascii="Calibri" w:hAnsi="Calibri" w:hint="eastAsia"/>
          <w:color w:val="auto"/>
          <w:sz w:val="24"/>
        </w:rPr>
        <w:t>本项目</w:t>
      </w:r>
      <w:r>
        <w:rPr>
          <w:rFonts w:ascii="Calibri" w:hAnsi="Calibri"/>
          <w:color w:val="auto"/>
          <w:sz w:val="24"/>
        </w:rPr>
        <w:t>选址位于</w:t>
      </w:r>
      <w:r w:rsidRPr="0086047B">
        <w:rPr>
          <w:rFonts w:ascii="Calibri" w:hAnsi="Calibri" w:hint="eastAsia"/>
          <w:color w:val="auto"/>
          <w:sz w:val="24"/>
        </w:rPr>
        <w:t>平顶山尼龙新材料产业集聚区</w:t>
      </w:r>
      <w:r w:rsidR="00D3689D">
        <w:rPr>
          <w:rFonts w:ascii="Calibri" w:hAnsi="Calibri" w:hint="eastAsia"/>
          <w:color w:val="auto"/>
          <w:sz w:val="24"/>
        </w:rPr>
        <w:t>工业</w:t>
      </w:r>
      <w:r w:rsidR="00D3689D">
        <w:rPr>
          <w:rFonts w:ascii="Calibri" w:hAnsi="Calibri"/>
          <w:color w:val="auto"/>
          <w:sz w:val="24"/>
        </w:rPr>
        <w:t>生产区</w:t>
      </w:r>
      <w:r>
        <w:rPr>
          <w:rFonts w:ascii="Calibri" w:hAnsi="Calibri"/>
          <w:color w:val="auto"/>
          <w:sz w:val="24"/>
        </w:rPr>
        <w:t>，</w:t>
      </w:r>
      <w:r w:rsidR="00D3689D">
        <w:rPr>
          <w:rFonts w:ascii="Calibri" w:hAnsi="Calibri"/>
          <w:color w:val="auto"/>
          <w:sz w:val="24"/>
        </w:rPr>
        <w:t>根据《</w:t>
      </w:r>
      <w:r w:rsidR="00D3689D" w:rsidRPr="00D3689D">
        <w:rPr>
          <w:rFonts w:ascii="Calibri" w:hAnsi="Calibri" w:hint="eastAsia"/>
          <w:color w:val="auto"/>
          <w:sz w:val="24"/>
        </w:rPr>
        <w:t>平顶山尼龙新材料产业集聚区总体发展规划</w:t>
      </w:r>
      <w:r w:rsidR="00D3689D">
        <w:rPr>
          <w:rFonts w:ascii="Calibri" w:hAnsi="Calibri"/>
          <w:color w:val="auto"/>
          <w:sz w:val="24"/>
        </w:rPr>
        <w:t>（</w:t>
      </w:r>
      <w:r w:rsidR="00D3689D">
        <w:rPr>
          <w:rFonts w:ascii="Calibri" w:hAnsi="Calibri" w:hint="eastAsia"/>
          <w:color w:val="auto"/>
          <w:sz w:val="24"/>
        </w:rPr>
        <w:t>20</w:t>
      </w:r>
      <w:r w:rsidR="00D3689D">
        <w:rPr>
          <w:rFonts w:ascii="Calibri" w:hAnsi="Calibri"/>
          <w:color w:val="auto"/>
          <w:sz w:val="24"/>
        </w:rPr>
        <w:t>21-2030</w:t>
      </w:r>
      <w:r w:rsidR="00D3689D">
        <w:rPr>
          <w:rFonts w:ascii="Calibri" w:hAnsi="Calibri"/>
          <w:color w:val="auto"/>
          <w:sz w:val="24"/>
        </w:rPr>
        <w:t>）》</w:t>
      </w:r>
      <w:r w:rsidRPr="00CE771E">
        <w:rPr>
          <w:rFonts w:ascii="Calibri" w:hAnsi="Calibri" w:hint="eastAsia"/>
          <w:bCs/>
          <w:color w:val="auto"/>
          <w:sz w:val="24"/>
        </w:rPr>
        <w:t>环境影响报告书</w:t>
      </w:r>
      <w:r>
        <w:rPr>
          <w:rFonts w:ascii="Calibri" w:hAnsi="Calibri" w:hint="eastAsia"/>
          <w:color w:val="auto"/>
          <w:sz w:val="24"/>
        </w:rPr>
        <w:t>》，</w:t>
      </w:r>
      <w:r w:rsidR="00D3689D">
        <w:rPr>
          <w:rFonts w:ascii="Calibri" w:hAnsi="Calibri"/>
          <w:color w:val="auto"/>
          <w:sz w:val="24"/>
        </w:rPr>
        <w:t>集聚区内工业生产区及仓物流区</w:t>
      </w:r>
      <w:r>
        <w:rPr>
          <w:rFonts w:ascii="Calibri" w:hAnsi="Calibri"/>
          <w:color w:val="auto"/>
          <w:sz w:val="24"/>
        </w:rPr>
        <w:t>声环境执行</w:t>
      </w:r>
      <w:r w:rsidRPr="00A964FF">
        <w:rPr>
          <w:rFonts w:ascii="Calibri"/>
          <w:bCs/>
          <w:color w:val="auto"/>
          <w:sz w:val="24"/>
        </w:rPr>
        <w:t>《声环境质量标准》（</w:t>
      </w:r>
      <w:r w:rsidRPr="00A964FF">
        <w:rPr>
          <w:rFonts w:ascii="Calibri" w:hAnsi="Calibri"/>
          <w:bCs/>
          <w:color w:val="auto"/>
          <w:sz w:val="24"/>
        </w:rPr>
        <w:t>GB3096-2008</w:t>
      </w:r>
      <w:r w:rsidRPr="00A964FF">
        <w:rPr>
          <w:rFonts w:ascii="Calibri"/>
          <w:bCs/>
          <w:color w:val="auto"/>
          <w:sz w:val="24"/>
        </w:rPr>
        <w:t>）</w:t>
      </w:r>
      <w:r w:rsidRPr="00A964FF">
        <w:rPr>
          <w:rFonts w:ascii="Calibri" w:hint="eastAsia"/>
          <w:bCs/>
          <w:color w:val="auto"/>
          <w:sz w:val="24"/>
        </w:rPr>
        <w:t>中</w:t>
      </w:r>
      <w:r>
        <w:rPr>
          <w:rFonts w:ascii="Calibri" w:hAnsi="Calibri"/>
          <w:bCs/>
          <w:color w:val="auto"/>
          <w:sz w:val="24"/>
        </w:rPr>
        <w:t>3</w:t>
      </w:r>
      <w:r w:rsidRPr="00A964FF">
        <w:rPr>
          <w:rFonts w:ascii="Calibri"/>
          <w:bCs/>
          <w:color w:val="auto"/>
          <w:sz w:val="24"/>
        </w:rPr>
        <w:t>类标准</w:t>
      </w:r>
      <w:r>
        <w:rPr>
          <w:rFonts w:ascii="Calibri" w:hint="eastAsia"/>
          <w:bCs/>
          <w:color w:val="auto"/>
          <w:sz w:val="24"/>
        </w:rPr>
        <w:t>，</w:t>
      </w:r>
      <w:r>
        <w:rPr>
          <w:rFonts w:ascii="Calibri"/>
          <w:bCs/>
          <w:color w:val="auto"/>
          <w:sz w:val="24"/>
        </w:rPr>
        <w:t>因此</w:t>
      </w:r>
      <w:r>
        <w:rPr>
          <w:rFonts w:ascii="Calibri" w:hint="eastAsia"/>
          <w:bCs/>
          <w:color w:val="auto"/>
          <w:sz w:val="24"/>
        </w:rPr>
        <w:t>，</w:t>
      </w:r>
      <w:r>
        <w:rPr>
          <w:rFonts w:ascii="Calibri"/>
          <w:bCs/>
          <w:color w:val="auto"/>
          <w:sz w:val="24"/>
        </w:rPr>
        <w:t>本项目声环境执行</w:t>
      </w:r>
      <w:r>
        <w:rPr>
          <w:rFonts w:ascii="Calibri" w:hint="eastAsia"/>
          <w:bCs/>
          <w:color w:val="auto"/>
          <w:sz w:val="24"/>
        </w:rPr>
        <w:t>3</w:t>
      </w:r>
      <w:r>
        <w:rPr>
          <w:rFonts w:ascii="Calibri" w:hint="eastAsia"/>
          <w:bCs/>
          <w:color w:val="auto"/>
          <w:sz w:val="24"/>
        </w:rPr>
        <w:t>类</w:t>
      </w:r>
      <w:r>
        <w:rPr>
          <w:rFonts w:ascii="Calibri"/>
          <w:bCs/>
          <w:color w:val="auto"/>
          <w:sz w:val="24"/>
        </w:rPr>
        <w:t>标准。</w:t>
      </w:r>
    </w:p>
    <w:p w14:paraId="2284BD00" w14:textId="77777777" w:rsidR="0086047B" w:rsidRDefault="0086047B" w:rsidP="0086047B">
      <w:pPr>
        <w:spacing w:line="500" w:lineRule="exact"/>
        <w:ind w:firstLineChars="200" w:firstLine="480"/>
        <w:rPr>
          <w:rFonts w:ascii="Calibri" w:hAnsi="Calibri"/>
          <w:color w:val="auto"/>
          <w:sz w:val="24"/>
        </w:rPr>
      </w:pPr>
      <w:r>
        <w:rPr>
          <w:rFonts w:ascii="Calibri" w:hAnsi="Calibri" w:hint="eastAsia"/>
          <w:color w:val="auto"/>
          <w:sz w:val="24"/>
        </w:rPr>
        <w:t>根据《环境影响</w:t>
      </w:r>
      <w:r>
        <w:rPr>
          <w:rFonts w:ascii="Calibri" w:hAnsi="Calibri"/>
          <w:color w:val="auto"/>
          <w:sz w:val="24"/>
        </w:rPr>
        <w:t>评价技术导则</w:t>
      </w:r>
      <w:r>
        <w:rPr>
          <w:rFonts w:ascii="Calibri" w:hAnsi="Calibri" w:hint="eastAsia"/>
          <w:color w:val="auto"/>
          <w:sz w:val="24"/>
        </w:rPr>
        <w:t xml:space="preserve"> </w:t>
      </w:r>
      <w:r>
        <w:rPr>
          <w:rFonts w:ascii="Calibri" w:hAnsi="Calibri" w:hint="eastAsia"/>
          <w:color w:val="auto"/>
          <w:sz w:val="24"/>
        </w:rPr>
        <w:t>声环境》（</w:t>
      </w:r>
      <w:r>
        <w:rPr>
          <w:rFonts w:ascii="Calibri" w:hAnsi="Calibri" w:hint="eastAsia"/>
          <w:color w:val="auto"/>
          <w:sz w:val="24"/>
        </w:rPr>
        <w:t>HJ</w:t>
      </w:r>
      <w:r>
        <w:rPr>
          <w:rFonts w:ascii="Calibri" w:hAnsi="Calibri"/>
          <w:color w:val="auto"/>
          <w:sz w:val="24"/>
        </w:rPr>
        <w:t>2.4-2021</w:t>
      </w:r>
      <w:r>
        <w:rPr>
          <w:rFonts w:ascii="Calibri" w:hAnsi="Calibri" w:hint="eastAsia"/>
          <w:color w:val="auto"/>
          <w:sz w:val="24"/>
        </w:rPr>
        <w:t>）：</w:t>
      </w:r>
      <w:r w:rsidRPr="00AA50A5">
        <w:rPr>
          <w:rFonts w:ascii="Calibri" w:hAnsi="Calibri" w:hint="eastAsia"/>
          <w:color w:val="auto"/>
          <w:sz w:val="24"/>
        </w:rPr>
        <w:t>建设项目所处的声环境功能区为</w:t>
      </w:r>
      <w:r>
        <w:rPr>
          <w:rFonts w:ascii="Calibri" w:hAnsi="Calibri" w:hint="eastAsia"/>
          <w:color w:val="auto"/>
          <w:sz w:val="24"/>
        </w:rPr>
        <w:t>GB 3096</w:t>
      </w:r>
      <w:r w:rsidRPr="00AA50A5">
        <w:rPr>
          <w:rFonts w:ascii="Calibri" w:hAnsi="Calibri" w:hint="eastAsia"/>
          <w:color w:val="auto"/>
          <w:sz w:val="24"/>
        </w:rPr>
        <w:t>规定的</w:t>
      </w:r>
      <w:r>
        <w:rPr>
          <w:rFonts w:ascii="Calibri" w:hAnsi="Calibri" w:hint="eastAsia"/>
          <w:color w:val="auto"/>
          <w:sz w:val="24"/>
        </w:rPr>
        <w:t>3</w:t>
      </w:r>
      <w:r w:rsidRPr="00AA50A5">
        <w:rPr>
          <w:rFonts w:ascii="Calibri" w:hAnsi="Calibri" w:hint="eastAsia"/>
          <w:color w:val="auto"/>
          <w:sz w:val="24"/>
        </w:rPr>
        <w:t>类、</w:t>
      </w:r>
      <w:r>
        <w:rPr>
          <w:rFonts w:ascii="Calibri" w:hAnsi="Calibri" w:hint="eastAsia"/>
          <w:color w:val="auto"/>
          <w:sz w:val="24"/>
        </w:rPr>
        <w:t>4</w:t>
      </w:r>
      <w:r w:rsidRPr="00AA50A5">
        <w:rPr>
          <w:rFonts w:ascii="Calibri" w:hAnsi="Calibri" w:hint="eastAsia"/>
          <w:color w:val="auto"/>
          <w:sz w:val="24"/>
        </w:rPr>
        <w:t>类地区，或建设项目建设前后评价范围内声环境保护目标噪声级增量在</w:t>
      </w:r>
      <w:r>
        <w:rPr>
          <w:rFonts w:ascii="Calibri" w:hAnsi="Calibri" w:hint="eastAsia"/>
          <w:color w:val="auto"/>
          <w:sz w:val="24"/>
        </w:rPr>
        <w:t>3</w:t>
      </w:r>
      <w:r w:rsidRPr="00AA50A5">
        <w:rPr>
          <w:rFonts w:ascii="Calibri" w:hAnsi="Calibri" w:hint="eastAsia"/>
          <w:color w:val="auto"/>
          <w:sz w:val="24"/>
        </w:rPr>
        <w:t>dB</w:t>
      </w:r>
      <w:r>
        <w:rPr>
          <w:rFonts w:ascii="Calibri" w:hAnsi="Calibri" w:hint="eastAsia"/>
          <w:color w:val="auto"/>
          <w:sz w:val="24"/>
        </w:rPr>
        <w:t>（</w:t>
      </w:r>
      <w:r>
        <w:rPr>
          <w:rFonts w:ascii="Calibri" w:hAnsi="Calibri" w:hint="eastAsia"/>
          <w:color w:val="auto"/>
          <w:sz w:val="24"/>
        </w:rPr>
        <w:t>A</w:t>
      </w:r>
      <w:r>
        <w:rPr>
          <w:rFonts w:ascii="Calibri" w:hAnsi="Calibri" w:hint="eastAsia"/>
          <w:color w:val="auto"/>
          <w:sz w:val="24"/>
        </w:rPr>
        <w:t>）</w:t>
      </w:r>
      <w:r w:rsidRPr="00AA50A5">
        <w:rPr>
          <w:rFonts w:ascii="Calibri" w:hAnsi="Calibri" w:hint="eastAsia"/>
          <w:color w:val="auto"/>
          <w:sz w:val="24"/>
        </w:rPr>
        <w:t>以下（不含</w:t>
      </w:r>
      <w:r>
        <w:rPr>
          <w:rFonts w:ascii="Calibri" w:hAnsi="Calibri" w:hint="eastAsia"/>
          <w:color w:val="auto"/>
          <w:sz w:val="24"/>
        </w:rPr>
        <w:t>3</w:t>
      </w:r>
      <w:r w:rsidRPr="00AA50A5">
        <w:rPr>
          <w:rFonts w:ascii="Calibri" w:hAnsi="Calibri" w:hint="eastAsia"/>
          <w:color w:val="auto"/>
          <w:sz w:val="24"/>
        </w:rPr>
        <w:t>dB</w:t>
      </w:r>
      <w:r>
        <w:rPr>
          <w:rFonts w:ascii="Calibri" w:hAnsi="Calibri" w:hint="eastAsia"/>
          <w:color w:val="auto"/>
          <w:sz w:val="24"/>
        </w:rPr>
        <w:t>（</w:t>
      </w:r>
      <w:r>
        <w:rPr>
          <w:rFonts w:ascii="Calibri" w:hAnsi="Calibri" w:hint="eastAsia"/>
          <w:color w:val="auto"/>
          <w:sz w:val="24"/>
        </w:rPr>
        <w:t>A</w:t>
      </w:r>
      <w:r>
        <w:rPr>
          <w:rFonts w:ascii="Calibri" w:hAnsi="Calibri" w:hint="eastAsia"/>
          <w:color w:val="auto"/>
          <w:sz w:val="24"/>
        </w:rPr>
        <w:t>）</w:t>
      </w:r>
      <w:r w:rsidRPr="00AA50A5">
        <w:rPr>
          <w:rFonts w:ascii="Calibri" w:hAnsi="Calibri" w:hint="eastAsia"/>
          <w:color w:val="auto"/>
          <w:sz w:val="24"/>
        </w:rPr>
        <w:t>），且受影响人口数量变化不大时，按三级评价。</w:t>
      </w:r>
    </w:p>
    <w:p w14:paraId="59536278" w14:textId="77777777" w:rsidR="0086047B" w:rsidRDefault="0086047B" w:rsidP="0086047B">
      <w:pPr>
        <w:spacing w:line="500" w:lineRule="exact"/>
        <w:ind w:firstLineChars="200" w:firstLine="480"/>
        <w:rPr>
          <w:rFonts w:ascii="Calibri" w:hAnsi="Calibri"/>
          <w:color w:val="auto"/>
          <w:sz w:val="24"/>
        </w:rPr>
      </w:pPr>
      <w:r>
        <w:rPr>
          <w:rFonts w:ascii="Calibri" w:hAnsi="Calibri" w:hint="eastAsia"/>
          <w:color w:val="auto"/>
          <w:sz w:val="24"/>
        </w:rPr>
        <w:lastRenderedPageBreak/>
        <w:t>本项目位于</w:t>
      </w:r>
      <w:r>
        <w:rPr>
          <w:rFonts w:ascii="Calibri" w:hAnsi="Calibri" w:hint="eastAsia"/>
          <w:color w:val="auto"/>
          <w:sz w:val="24"/>
        </w:rPr>
        <w:t>3</w:t>
      </w:r>
      <w:r>
        <w:rPr>
          <w:rFonts w:ascii="Calibri" w:hAnsi="Calibri" w:hint="eastAsia"/>
          <w:color w:val="auto"/>
          <w:sz w:val="24"/>
        </w:rPr>
        <w:t>类</w:t>
      </w:r>
      <w:r>
        <w:rPr>
          <w:rFonts w:ascii="Calibri" w:hAnsi="Calibri"/>
          <w:color w:val="auto"/>
          <w:sz w:val="24"/>
        </w:rPr>
        <w:t>声环境功能区，</w:t>
      </w:r>
      <w:r>
        <w:rPr>
          <w:rFonts w:ascii="Calibri" w:hAnsi="Calibri" w:hint="eastAsia"/>
          <w:color w:val="auto"/>
          <w:sz w:val="24"/>
        </w:rPr>
        <w:t>评价</w:t>
      </w:r>
      <w:r>
        <w:rPr>
          <w:rFonts w:ascii="Calibri" w:hAnsi="Calibri"/>
          <w:color w:val="auto"/>
          <w:sz w:val="24"/>
        </w:rPr>
        <w:t>范围内</w:t>
      </w:r>
      <w:r>
        <w:rPr>
          <w:rFonts w:ascii="Calibri" w:hAnsi="Calibri" w:hint="eastAsia"/>
          <w:color w:val="auto"/>
          <w:sz w:val="24"/>
        </w:rPr>
        <w:t>无环境</w:t>
      </w:r>
      <w:r>
        <w:rPr>
          <w:rFonts w:ascii="Calibri" w:hAnsi="Calibri"/>
          <w:color w:val="auto"/>
          <w:sz w:val="24"/>
        </w:rPr>
        <w:t>保护目标，按照</w:t>
      </w:r>
      <w:r>
        <w:rPr>
          <w:rFonts w:ascii="Calibri" w:hAnsi="Calibri" w:hint="eastAsia"/>
          <w:color w:val="auto"/>
          <w:sz w:val="24"/>
        </w:rPr>
        <w:t>声环境</w:t>
      </w:r>
      <w:r>
        <w:rPr>
          <w:rFonts w:ascii="Calibri" w:hAnsi="Calibri"/>
          <w:color w:val="auto"/>
          <w:sz w:val="24"/>
        </w:rPr>
        <w:t>导则，</w:t>
      </w:r>
      <w:r>
        <w:rPr>
          <w:rFonts w:ascii="Calibri" w:hAnsi="Calibri" w:hint="eastAsia"/>
          <w:color w:val="auto"/>
          <w:sz w:val="24"/>
        </w:rPr>
        <w:t>判定</w:t>
      </w:r>
      <w:r>
        <w:rPr>
          <w:rFonts w:ascii="Calibri" w:hAnsi="Calibri"/>
          <w:color w:val="auto"/>
          <w:sz w:val="24"/>
        </w:rPr>
        <w:t>声环境评价等级为三级</w:t>
      </w:r>
      <w:r>
        <w:rPr>
          <w:rFonts w:ascii="Calibri" w:hAnsi="Calibri" w:hint="eastAsia"/>
          <w:color w:val="auto"/>
          <w:sz w:val="24"/>
        </w:rPr>
        <w:t>，</w:t>
      </w:r>
      <w:r>
        <w:rPr>
          <w:rFonts w:ascii="Calibri" w:hAnsi="Calibri"/>
          <w:color w:val="auto"/>
          <w:sz w:val="24"/>
        </w:rPr>
        <w:t>并以厂界外延</w:t>
      </w:r>
      <w:r>
        <w:rPr>
          <w:rFonts w:ascii="Calibri" w:hAnsi="Calibri" w:hint="eastAsia"/>
          <w:color w:val="auto"/>
          <w:sz w:val="24"/>
        </w:rPr>
        <w:t>200</w:t>
      </w:r>
      <w:r>
        <w:rPr>
          <w:rFonts w:ascii="Calibri" w:hAnsi="Calibri"/>
          <w:color w:val="auto"/>
          <w:sz w:val="24"/>
        </w:rPr>
        <w:t>m</w:t>
      </w:r>
      <w:r>
        <w:rPr>
          <w:rFonts w:ascii="Calibri" w:hAnsi="Calibri"/>
          <w:color w:val="auto"/>
          <w:sz w:val="24"/>
        </w:rPr>
        <w:t>的区域为声环境</w:t>
      </w:r>
      <w:r>
        <w:rPr>
          <w:rFonts w:ascii="Calibri" w:hAnsi="Calibri" w:hint="eastAsia"/>
          <w:color w:val="auto"/>
          <w:sz w:val="24"/>
        </w:rPr>
        <w:t>评价</w:t>
      </w:r>
      <w:r>
        <w:rPr>
          <w:rFonts w:ascii="Calibri" w:hAnsi="Calibri"/>
          <w:color w:val="auto"/>
          <w:sz w:val="24"/>
        </w:rPr>
        <w:t>范围。</w:t>
      </w:r>
    </w:p>
    <w:p w14:paraId="6EF57BA5" w14:textId="77777777" w:rsidR="006E1C5B" w:rsidRDefault="00D3689D" w:rsidP="00D3689D">
      <w:pPr>
        <w:spacing w:line="520" w:lineRule="exact"/>
        <w:ind w:firstLine="482"/>
        <w:rPr>
          <w:rFonts w:ascii="Calibri" w:hAnsi="Calibri"/>
          <w:b/>
          <w:color w:val="auto"/>
          <w:sz w:val="24"/>
        </w:rPr>
      </w:pPr>
      <w:r>
        <w:rPr>
          <w:rFonts w:ascii="Calibri" w:hAnsi="Calibri"/>
          <w:b/>
          <w:color w:val="auto"/>
          <w:sz w:val="24"/>
        </w:rPr>
        <w:t>2</w:t>
      </w:r>
      <w:r w:rsidRPr="00A964FF">
        <w:rPr>
          <w:rFonts w:ascii="Calibri" w:hAnsi="Calibri" w:hint="eastAsia"/>
          <w:b/>
          <w:color w:val="auto"/>
          <w:sz w:val="24"/>
        </w:rPr>
        <w:t>、</w:t>
      </w:r>
      <w:r w:rsidR="006E1C5B">
        <w:rPr>
          <w:rFonts w:ascii="Calibri" w:hAnsi="Calibri" w:hint="eastAsia"/>
          <w:b/>
          <w:color w:val="auto"/>
          <w:sz w:val="24"/>
        </w:rPr>
        <w:t>噪声</w:t>
      </w:r>
      <w:r w:rsidR="006E1C5B">
        <w:rPr>
          <w:rFonts w:ascii="Calibri" w:hAnsi="Calibri"/>
          <w:b/>
          <w:color w:val="auto"/>
          <w:sz w:val="24"/>
        </w:rPr>
        <w:t>预测</w:t>
      </w:r>
    </w:p>
    <w:p w14:paraId="5A9551EA" w14:textId="77777777" w:rsidR="006E1C5B" w:rsidRPr="00A964FF" w:rsidRDefault="006E1C5B" w:rsidP="006E1C5B">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1</w:t>
      </w:r>
      <w:r w:rsidRPr="00A964FF">
        <w:rPr>
          <w:rFonts w:ascii="Calibri" w:hAnsi="Calibri" w:hint="eastAsia"/>
          <w:color w:val="auto"/>
          <w:sz w:val="24"/>
        </w:rPr>
        <w:t>）预测范围</w:t>
      </w:r>
    </w:p>
    <w:p w14:paraId="2D746A48" w14:textId="77777777" w:rsidR="006E1C5B" w:rsidRPr="00A964FF" w:rsidRDefault="006E1C5B" w:rsidP="006E1C5B">
      <w:pPr>
        <w:spacing w:line="520" w:lineRule="exact"/>
        <w:ind w:firstLineChars="200" w:firstLine="480"/>
        <w:rPr>
          <w:rFonts w:ascii="Calibri" w:hAnsi="Calibri"/>
          <w:color w:val="auto"/>
          <w:sz w:val="24"/>
        </w:rPr>
      </w:pPr>
      <w:r w:rsidRPr="00A964FF">
        <w:rPr>
          <w:rFonts w:ascii="Calibri" w:hAnsi="Calibri" w:hint="eastAsia"/>
          <w:color w:val="auto"/>
          <w:sz w:val="24"/>
        </w:rPr>
        <w:t>根据项目特点及项目周边环境状况，噪声预测范围为厂界外</w:t>
      </w:r>
      <w:r w:rsidRPr="00A964FF">
        <w:rPr>
          <w:rFonts w:ascii="Calibri" w:hAnsi="Calibri" w:hint="eastAsia"/>
          <w:color w:val="auto"/>
          <w:sz w:val="24"/>
        </w:rPr>
        <w:t>200m</w:t>
      </w:r>
      <w:r w:rsidRPr="00A964FF">
        <w:rPr>
          <w:rFonts w:ascii="Calibri" w:hAnsi="Calibri" w:hint="eastAsia"/>
          <w:color w:val="auto"/>
          <w:sz w:val="24"/>
        </w:rPr>
        <w:t>。</w:t>
      </w:r>
    </w:p>
    <w:p w14:paraId="661E11B0" w14:textId="77777777" w:rsidR="006E1C5B" w:rsidRPr="00A964FF" w:rsidRDefault="006E1C5B" w:rsidP="006E1C5B">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2</w:t>
      </w:r>
      <w:r w:rsidRPr="00A964FF">
        <w:rPr>
          <w:rFonts w:ascii="Calibri" w:hAnsi="Calibri" w:hint="eastAsia"/>
          <w:color w:val="auto"/>
          <w:sz w:val="24"/>
        </w:rPr>
        <w:t>）评价标准</w:t>
      </w:r>
    </w:p>
    <w:p w14:paraId="2A997C5C" w14:textId="77777777" w:rsidR="006E1C5B" w:rsidRPr="00A964FF" w:rsidRDefault="006E1C5B" w:rsidP="006E1C5B">
      <w:pPr>
        <w:spacing w:line="520" w:lineRule="exact"/>
        <w:ind w:firstLineChars="200" w:firstLine="480"/>
        <w:rPr>
          <w:rFonts w:ascii="Calibri"/>
          <w:bCs/>
          <w:color w:val="auto"/>
          <w:sz w:val="24"/>
        </w:rPr>
      </w:pPr>
      <w:r w:rsidRPr="00A964FF">
        <w:rPr>
          <w:rFonts w:ascii="Calibri"/>
          <w:bCs/>
          <w:color w:val="auto"/>
          <w:sz w:val="24"/>
        </w:rPr>
        <w:t>本</w:t>
      </w:r>
      <w:r w:rsidRPr="00A964FF">
        <w:rPr>
          <w:rFonts w:ascii="Calibri" w:hint="eastAsia"/>
          <w:bCs/>
          <w:color w:val="auto"/>
          <w:sz w:val="24"/>
        </w:rPr>
        <w:t>项目营运期噪声</w:t>
      </w:r>
      <w:r w:rsidRPr="00A964FF">
        <w:rPr>
          <w:rFonts w:ascii="Calibri"/>
          <w:bCs/>
          <w:color w:val="auto"/>
          <w:sz w:val="24"/>
        </w:rPr>
        <w:t>执行《工业企业厂界环境噪声排放标准》（</w:t>
      </w:r>
      <w:r w:rsidRPr="00A964FF">
        <w:rPr>
          <w:rFonts w:ascii="Calibri" w:hAnsi="Calibri"/>
          <w:bCs/>
          <w:color w:val="auto"/>
          <w:sz w:val="24"/>
        </w:rPr>
        <w:t>GB12348-2008</w:t>
      </w:r>
      <w:r w:rsidRPr="00A964FF">
        <w:rPr>
          <w:rFonts w:ascii="Calibri"/>
          <w:bCs/>
          <w:color w:val="auto"/>
          <w:sz w:val="24"/>
        </w:rPr>
        <w:t>）中</w:t>
      </w:r>
      <w:r>
        <w:rPr>
          <w:rFonts w:ascii="Calibri" w:hAnsi="Calibri"/>
          <w:bCs/>
          <w:color w:val="auto"/>
          <w:sz w:val="24"/>
        </w:rPr>
        <w:t>3</w:t>
      </w:r>
      <w:r w:rsidRPr="00A964FF">
        <w:rPr>
          <w:rFonts w:ascii="Calibri"/>
          <w:bCs/>
          <w:color w:val="auto"/>
          <w:sz w:val="24"/>
        </w:rPr>
        <w:t>类标准</w:t>
      </w:r>
      <w:r w:rsidRPr="00A964FF">
        <w:rPr>
          <w:rFonts w:ascii="Calibri" w:hint="eastAsia"/>
          <w:bCs/>
          <w:color w:val="auto"/>
          <w:sz w:val="24"/>
        </w:rPr>
        <w:t>，</w:t>
      </w:r>
      <w:r w:rsidRPr="00A964FF">
        <w:rPr>
          <w:rFonts w:ascii="Calibri"/>
          <w:bCs/>
          <w:color w:val="auto"/>
          <w:sz w:val="24"/>
        </w:rPr>
        <w:t>具体标准限值见表</w:t>
      </w:r>
      <w:r w:rsidRPr="00A964FF">
        <w:rPr>
          <w:rFonts w:ascii="Calibri" w:hAnsi="Calibri" w:hint="eastAsia"/>
          <w:bCs/>
          <w:color w:val="auto"/>
          <w:sz w:val="24"/>
        </w:rPr>
        <w:t>4.2</w:t>
      </w:r>
      <w:r w:rsidRPr="00A964FF">
        <w:rPr>
          <w:rFonts w:ascii="Calibri" w:hAnsi="Calibri"/>
          <w:bCs/>
          <w:color w:val="auto"/>
          <w:sz w:val="24"/>
        </w:rPr>
        <w:t>-</w:t>
      </w:r>
      <w:r>
        <w:rPr>
          <w:rFonts w:ascii="Calibri" w:hAnsi="Calibri"/>
          <w:bCs/>
          <w:color w:val="auto"/>
          <w:sz w:val="24"/>
        </w:rPr>
        <w:t>28</w:t>
      </w:r>
      <w:r w:rsidRPr="00A964FF">
        <w:rPr>
          <w:rFonts w:ascii="Calibri"/>
          <w:bCs/>
          <w:color w:val="auto"/>
          <w:sz w:val="24"/>
        </w:rPr>
        <w:t>。</w:t>
      </w:r>
    </w:p>
    <w:p w14:paraId="5D448CB8" w14:textId="77777777" w:rsidR="006E1C5B" w:rsidRPr="00A964FF" w:rsidRDefault="006E1C5B" w:rsidP="006E1C5B">
      <w:pPr>
        <w:snapToGrid w:val="0"/>
        <w:spacing w:line="520" w:lineRule="exact"/>
        <w:ind w:firstLineChars="200" w:firstLine="48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hint="eastAsia"/>
          <w:color w:val="auto"/>
          <w:sz w:val="24"/>
        </w:rPr>
        <w:t>4.2</w:t>
      </w:r>
      <w:r w:rsidRPr="00A964FF">
        <w:rPr>
          <w:rFonts w:ascii="Calibri" w:eastAsia="黑体" w:hAnsi="Calibri"/>
          <w:color w:val="auto"/>
          <w:sz w:val="24"/>
        </w:rPr>
        <w:t>-</w:t>
      </w:r>
      <w:r>
        <w:rPr>
          <w:rFonts w:ascii="Calibri" w:eastAsia="黑体" w:hAnsi="Calibri"/>
          <w:color w:val="auto"/>
          <w:sz w:val="24"/>
        </w:rPr>
        <w:t>28</w:t>
      </w:r>
      <w:r w:rsidRPr="00A964FF">
        <w:rPr>
          <w:rFonts w:ascii="Calibri" w:eastAsia="黑体" w:hAnsi="Calibri"/>
          <w:color w:val="auto"/>
          <w:sz w:val="24"/>
        </w:rPr>
        <w:t xml:space="preserve">           </w:t>
      </w:r>
      <w:r w:rsidRPr="00A964FF">
        <w:rPr>
          <w:rFonts w:ascii="Calibri" w:eastAsia="黑体" w:hAnsi="Calibri" w:hint="eastAsia"/>
          <w:color w:val="auto"/>
          <w:sz w:val="24"/>
        </w:rPr>
        <w:t>工业企业厂界环境噪声排放标准</w:t>
      </w:r>
      <w:r w:rsidRPr="00A964FF">
        <w:rPr>
          <w:rFonts w:ascii="Calibri" w:eastAsia="黑体" w:hAnsi="Calibri"/>
          <w:color w:val="auto"/>
          <w:sz w:val="24"/>
        </w:rPr>
        <w:t xml:space="preserve">        </w:t>
      </w:r>
      <w:r w:rsidRPr="00A964FF">
        <w:rPr>
          <w:rFonts w:ascii="Calibri"/>
          <w:color w:val="auto"/>
          <w:szCs w:val="21"/>
        </w:rPr>
        <w:t>单位：</w:t>
      </w:r>
      <w:r w:rsidRPr="00A964FF">
        <w:rPr>
          <w:rFonts w:ascii="Calibri" w:hAnsi="Calibri"/>
          <w:color w:val="auto"/>
          <w:szCs w:val="21"/>
        </w:rPr>
        <w:t>dB</w:t>
      </w:r>
      <w:r w:rsidRPr="00A964FF">
        <w:rPr>
          <w:rFonts w:ascii="Calibri"/>
          <w:color w:val="auto"/>
          <w:szCs w:val="21"/>
        </w:rPr>
        <w:t>（</w:t>
      </w:r>
      <w:r w:rsidRPr="00A964FF">
        <w:rPr>
          <w:rFonts w:ascii="Calibri" w:hAnsi="Calibri"/>
          <w:color w:val="auto"/>
          <w:szCs w:val="21"/>
        </w:rPr>
        <w:t>A</w:t>
      </w:r>
      <w:r w:rsidRPr="00A964FF">
        <w:rPr>
          <w:rFonts w:ascii="Calibri"/>
          <w:color w:val="auto"/>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47"/>
        <w:gridCol w:w="2948"/>
        <w:gridCol w:w="2805"/>
      </w:tblGrid>
      <w:tr w:rsidR="006E1C5B" w:rsidRPr="00A964FF" w14:paraId="4A27844A" w14:textId="77777777" w:rsidTr="00696E6B">
        <w:trPr>
          <w:trHeight w:val="369"/>
          <w:jc w:val="center"/>
        </w:trPr>
        <w:tc>
          <w:tcPr>
            <w:tcW w:w="1694" w:type="pct"/>
            <w:vAlign w:val="center"/>
          </w:tcPr>
          <w:p w14:paraId="29D74AA2" w14:textId="77777777" w:rsidR="006E1C5B" w:rsidRPr="00A964FF" w:rsidRDefault="006E1C5B" w:rsidP="00696E6B">
            <w:pPr>
              <w:jc w:val="center"/>
              <w:rPr>
                <w:rFonts w:ascii="Calibri" w:hAnsi="Calibri"/>
                <w:color w:val="auto"/>
              </w:rPr>
            </w:pPr>
            <w:r w:rsidRPr="00A964FF">
              <w:rPr>
                <w:rFonts w:ascii="Calibri"/>
                <w:color w:val="auto"/>
              </w:rPr>
              <w:t>类别</w:t>
            </w:r>
          </w:p>
        </w:tc>
        <w:tc>
          <w:tcPr>
            <w:tcW w:w="1694" w:type="pct"/>
            <w:vAlign w:val="center"/>
          </w:tcPr>
          <w:p w14:paraId="4356EFE2" w14:textId="77777777" w:rsidR="006E1C5B" w:rsidRPr="00A964FF" w:rsidRDefault="006E1C5B" w:rsidP="00696E6B">
            <w:pPr>
              <w:jc w:val="center"/>
              <w:rPr>
                <w:rFonts w:ascii="Calibri" w:hAnsi="Calibri"/>
                <w:color w:val="auto"/>
              </w:rPr>
            </w:pPr>
            <w:r w:rsidRPr="00A964FF">
              <w:rPr>
                <w:rFonts w:ascii="Calibri"/>
                <w:color w:val="auto"/>
              </w:rPr>
              <w:t>昼间</w:t>
            </w:r>
          </w:p>
        </w:tc>
        <w:tc>
          <w:tcPr>
            <w:tcW w:w="1612" w:type="pct"/>
            <w:vAlign w:val="center"/>
          </w:tcPr>
          <w:p w14:paraId="793D926E" w14:textId="77777777" w:rsidR="006E1C5B" w:rsidRPr="00A964FF" w:rsidRDefault="006E1C5B" w:rsidP="00696E6B">
            <w:pPr>
              <w:jc w:val="center"/>
              <w:rPr>
                <w:rFonts w:ascii="Calibri" w:hAnsi="Calibri"/>
                <w:color w:val="auto"/>
              </w:rPr>
            </w:pPr>
            <w:r w:rsidRPr="00A964FF">
              <w:rPr>
                <w:rFonts w:ascii="Calibri"/>
                <w:color w:val="auto"/>
              </w:rPr>
              <w:t>夜间</w:t>
            </w:r>
          </w:p>
        </w:tc>
      </w:tr>
      <w:tr w:rsidR="006E1C5B" w:rsidRPr="00A964FF" w14:paraId="3CB7552B" w14:textId="77777777" w:rsidTr="00696E6B">
        <w:trPr>
          <w:trHeight w:val="369"/>
          <w:jc w:val="center"/>
        </w:trPr>
        <w:tc>
          <w:tcPr>
            <w:tcW w:w="1694" w:type="pct"/>
            <w:vAlign w:val="center"/>
          </w:tcPr>
          <w:p w14:paraId="690AEE4F" w14:textId="77777777" w:rsidR="006E1C5B" w:rsidRPr="00A964FF" w:rsidRDefault="006E1C5B" w:rsidP="00696E6B">
            <w:pPr>
              <w:jc w:val="center"/>
              <w:rPr>
                <w:rFonts w:ascii="Calibri" w:hAnsi="Calibri"/>
                <w:color w:val="auto"/>
              </w:rPr>
            </w:pPr>
            <w:r>
              <w:rPr>
                <w:rFonts w:ascii="Calibri" w:hAnsi="Calibri"/>
                <w:color w:val="auto"/>
              </w:rPr>
              <w:t>3</w:t>
            </w:r>
            <w:r w:rsidRPr="00A964FF">
              <w:rPr>
                <w:rFonts w:ascii="Calibri"/>
                <w:color w:val="auto"/>
              </w:rPr>
              <w:t>类</w:t>
            </w:r>
          </w:p>
        </w:tc>
        <w:tc>
          <w:tcPr>
            <w:tcW w:w="1694" w:type="pct"/>
            <w:vAlign w:val="center"/>
          </w:tcPr>
          <w:p w14:paraId="63654E53" w14:textId="77777777" w:rsidR="006E1C5B" w:rsidRPr="00A964FF" w:rsidRDefault="006E1C5B" w:rsidP="00696E6B">
            <w:pPr>
              <w:jc w:val="center"/>
              <w:rPr>
                <w:rFonts w:ascii="Calibri" w:hAnsi="Calibri"/>
                <w:color w:val="auto"/>
              </w:rPr>
            </w:pPr>
            <w:r w:rsidRPr="00A964FF">
              <w:rPr>
                <w:rFonts w:ascii="Calibri" w:hAnsi="Calibri" w:hint="eastAsia"/>
                <w:color w:val="auto"/>
              </w:rPr>
              <w:t>6</w:t>
            </w:r>
            <w:r>
              <w:rPr>
                <w:rFonts w:ascii="Calibri" w:hAnsi="Calibri"/>
                <w:color w:val="auto"/>
              </w:rPr>
              <w:t>5</w:t>
            </w:r>
          </w:p>
        </w:tc>
        <w:tc>
          <w:tcPr>
            <w:tcW w:w="1612" w:type="pct"/>
            <w:vAlign w:val="center"/>
          </w:tcPr>
          <w:p w14:paraId="407AA922" w14:textId="77777777" w:rsidR="006E1C5B" w:rsidRPr="00A964FF" w:rsidRDefault="006E1C5B" w:rsidP="00696E6B">
            <w:pPr>
              <w:jc w:val="center"/>
              <w:rPr>
                <w:rFonts w:ascii="Calibri" w:hAnsi="Calibri"/>
                <w:color w:val="auto"/>
              </w:rPr>
            </w:pPr>
            <w:r>
              <w:rPr>
                <w:rFonts w:ascii="Calibri" w:hAnsi="Calibri"/>
                <w:color w:val="auto"/>
              </w:rPr>
              <w:t>55</w:t>
            </w:r>
          </w:p>
        </w:tc>
      </w:tr>
    </w:tbl>
    <w:p w14:paraId="604B27F6" w14:textId="77777777" w:rsidR="006E1C5B" w:rsidRPr="00A964FF" w:rsidRDefault="006E1C5B" w:rsidP="006E1C5B">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3</w:t>
      </w:r>
      <w:r w:rsidRPr="00A964FF">
        <w:rPr>
          <w:rFonts w:ascii="Calibri" w:hAnsi="Calibri" w:hint="eastAsia"/>
          <w:color w:val="auto"/>
          <w:sz w:val="24"/>
        </w:rPr>
        <w:t>）预测模式</w:t>
      </w:r>
    </w:p>
    <w:p w14:paraId="3E49044D" w14:textId="77777777" w:rsidR="006E1C5B" w:rsidRDefault="006E1C5B" w:rsidP="006E1C5B">
      <w:pPr>
        <w:spacing w:line="520" w:lineRule="exact"/>
        <w:ind w:firstLineChars="200" w:firstLine="480"/>
        <w:rPr>
          <w:rFonts w:ascii="Calibri"/>
          <w:bCs/>
          <w:color w:val="auto"/>
          <w:sz w:val="24"/>
        </w:rPr>
      </w:pPr>
      <w:r w:rsidRPr="00964557">
        <w:rPr>
          <w:rFonts w:ascii="Calibri"/>
          <w:bCs/>
          <w:color w:val="auto"/>
          <w:sz w:val="24"/>
        </w:rPr>
        <w:t>根据本项目主要高噪声设备的分布状况和房间外源强，</w:t>
      </w:r>
      <w:r w:rsidRPr="00964557">
        <w:rPr>
          <w:rFonts w:ascii="Calibri" w:hint="eastAsia"/>
          <w:bCs/>
          <w:color w:val="auto"/>
          <w:sz w:val="24"/>
        </w:rPr>
        <w:t>根据导则中</w:t>
      </w:r>
      <w:r w:rsidRPr="00964557">
        <w:rPr>
          <w:rFonts w:ascii="Calibri"/>
          <w:bCs/>
          <w:color w:val="auto"/>
          <w:sz w:val="24"/>
        </w:rPr>
        <w:t>噪声预测模型</w:t>
      </w:r>
      <w:r w:rsidRPr="00964557">
        <w:rPr>
          <w:rFonts w:ascii="Calibri" w:hint="eastAsia"/>
          <w:bCs/>
          <w:color w:val="auto"/>
          <w:sz w:val="24"/>
        </w:rPr>
        <w:t>，</w:t>
      </w:r>
      <w:r w:rsidRPr="00964557">
        <w:rPr>
          <w:rFonts w:ascii="Calibri"/>
          <w:bCs/>
          <w:color w:val="auto"/>
          <w:sz w:val="24"/>
        </w:rPr>
        <w:t>计算出各声源对</w:t>
      </w:r>
      <w:r w:rsidRPr="00964557">
        <w:rPr>
          <w:rFonts w:ascii="Calibri" w:hint="eastAsia"/>
          <w:bCs/>
          <w:color w:val="auto"/>
          <w:sz w:val="24"/>
        </w:rPr>
        <w:t>厂界的噪声</w:t>
      </w:r>
      <w:r w:rsidRPr="00964557">
        <w:rPr>
          <w:rFonts w:ascii="Calibri"/>
          <w:bCs/>
          <w:color w:val="auto"/>
          <w:sz w:val="24"/>
        </w:rPr>
        <w:t>贡献值</w:t>
      </w:r>
      <w:r w:rsidRPr="00964557">
        <w:rPr>
          <w:rFonts w:ascii="Calibri" w:hint="eastAsia"/>
          <w:bCs/>
          <w:color w:val="auto"/>
          <w:sz w:val="24"/>
        </w:rPr>
        <w:t>。</w:t>
      </w:r>
    </w:p>
    <w:p w14:paraId="1236C216" w14:textId="77777777" w:rsidR="006E1C5B" w:rsidRDefault="006E1C5B" w:rsidP="006E1C5B">
      <w:pPr>
        <w:spacing w:line="520" w:lineRule="exact"/>
        <w:ind w:firstLineChars="200" w:firstLine="480"/>
        <w:rPr>
          <w:rFonts w:ascii="Calibri"/>
          <w:bCs/>
          <w:color w:val="auto"/>
          <w:sz w:val="24"/>
        </w:rPr>
      </w:pPr>
      <w:r>
        <w:rPr>
          <w:rFonts w:ascii="Calibri" w:hint="eastAsia"/>
          <w:bCs/>
          <w:color w:val="auto"/>
          <w:sz w:val="24"/>
        </w:rPr>
        <w:t>点声源</w:t>
      </w:r>
      <w:r>
        <w:rPr>
          <w:rFonts w:ascii="Calibri"/>
          <w:bCs/>
          <w:color w:val="auto"/>
          <w:sz w:val="24"/>
        </w:rPr>
        <w:t>的</w:t>
      </w:r>
      <w:r>
        <w:rPr>
          <w:rFonts w:ascii="Calibri" w:hint="eastAsia"/>
          <w:bCs/>
          <w:color w:val="auto"/>
          <w:sz w:val="24"/>
        </w:rPr>
        <w:t>几何</w:t>
      </w:r>
      <w:r>
        <w:rPr>
          <w:rFonts w:ascii="Calibri"/>
          <w:bCs/>
          <w:color w:val="auto"/>
          <w:sz w:val="24"/>
        </w:rPr>
        <w:t>发散衰减的</w:t>
      </w:r>
      <w:r>
        <w:rPr>
          <w:rFonts w:ascii="Calibri" w:hint="eastAsia"/>
          <w:bCs/>
          <w:color w:val="auto"/>
          <w:sz w:val="24"/>
        </w:rPr>
        <w:t>基本公式</w:t>
      </w:r>
      <w:r>
        <w:rPr>
          <w:rFonts w:ascii="Calibri"/>
          <w:bCs/>
          <w:color w:val="auto"/>
          <w:sz w:val="24"/>
        </w:rPr>
        <w:t>如下：</w:t>
      </w:r>
    </w:p>
    <w:p w14:paraId="59C07DBD" w14:textId="77777777" w:rsidR="006E1C5B" w:rsidRDefault="006E1C5B" w:rsidP="006E1C5B">
      <w:pPr>
        <w:spacing w:line="520" w:lineRule="exact"/>
        <w:ind w:firstLineChars="500" w:firstLine="1200"/>
        <w:rPr>
          <w:rFonts w:ascii="Calibri"/>
          <w:bCs/>
          <w:color w:val="auto"/>
          <w:sz w:val="24"/>
        </w:rPr>
      </w:pPr>
      <w:r>
        <w:rPr>
          <w:rFonts w:ascii="Calibri"/>
          <w:bCs/>
          <w:color w:val="auto"/>
          <w:sz w:val="24"/>
        </w:rPr>
        <w:t>L</w:t>
      </w:r>
      <w:r w:rsidRPr="00760AAA">
        <w:rPr>
          <w:rFonts w:ascii="Calibri"/>
          <w:bCs/>
          <w:color w:val="auto"/>
          <w:sz w:val="24"/>
          <w:vertAlign w:val="subscript"/>
        </w:rPr>
        <w:t>p</w:t>
      </w:r>
      <w:r>
        <w:rPr>
          <w:rFonts w:ascii="Calibri"/>
          <w:bCs/>
          <w:color w:val="auto"/>
          <w:sz w:val="24"/>
        </w:rPr>
        <w:t>（</w:t>
      </w:r>
      <w:r>
        <w:rPr>
          <w:rFonts w:ascii="Calibri" w:hint="eastAsia"/>
          <w:bCs/>
          <w:color w:val="auto"/>
          <w:sz w:val="24"/>
        </w:rPr>
        <w:t>r</w:t>
      </w:r>
      <w:r>
        <w:rPr>
          <w:rFonts w:ascii="Calibri"/>
          <w:bCs/>
          <w:color w:val="auto"/>
          <w:sz w:val="24"/>
        </w:rPr>
        <w:t>）</w:t>
      </w:r>
      <w:r>
        <w:rPr>
          <w:rFonts w:ascii="Calibri" w:hint="eastAsia"/>
          <w:bCs/>
          <w:color w:val="auto"/>
          <w:sz w:val="24"/>
        </w:rPr>
        <w:t>=</w:t>
      </w:r>
      <w:r>
        <w:rPr>
          <w:rFonts w:ascii="Calibri"/>
          <w:bCs/>
          <w:color w:val="auto"/>
          <w:sz w:val="24"/>
        </w:rPr>
        <w:t>L</w:t>
      </w:r>
      <w:r w:rsidRPr="00760AAA">
        <w:rPr>
          <w:rFonts w:ascii="Calibri"/>
          <w:bCs/>
          <w:color w:val="auto"/>
          <w:sz w:val="24"/>
          <w:vertAlign w:val="subscript"/>
        </w:rPr>
        <w:t>p</w:t>
      </w:r>
      <w:r>
        <w:rPr>
          <w:rFonts w:ascii="Calibri"/>
          <w:bCs/>
          <w:color w:val="auto"/>
          <w:sz w:val="24"/>
        </w:rPr>
        <w:t>（</w:t>
      </w:r>
      <w:r>
        <w:rPr>
          <w:rFonts w:ascii="Calibri" w:hint="eastAsia"/>
          <w:bCs/>
          <w:color w:val="auto"/>
          <w:sz w:val="24"/>
        </w:rPr>
        <w:t>r</w:t>
      </w:r>
      <w:r w:rsidRPr="00760AAA">
        <w:rPr>
          <w:rFonts w:ascii="Calibri"/>
          <w:bCs/>
          <w:color w:val="auto"/>
          <w:sz w:val="24"/>
          <w:vertAlign w:val="subscript"/>
        </w:rPr>
        <w:t>0</w:t>
      </w:r>
      <w:r>
        <w:rPr>
          <w:rFonts w:ascii="Calibri"/>
          <w:bCs/>
          <w:color w:val="auto"/>
          <w:sz w:val="24"/>
        </w:rPr>
        <w:t>）</w:t>
      </w:r>
      <w:r>
        <w:rPr>
          <w:rFonts w:ascii="Calibri" w:hint="eastAsia"/>
          <w:bCs/>
          <w:color w:val="auto"/>
          <w:sz w:val="24"/>
        </w:rPr>
        <w:t>-20</w:t>
      </w:r>
      <w:r>
        <w:rPr>
          <w:rFonts w:ascii="Calibri"/>
          <w:bCs/>
          <w:color w:val="auto"/>
          <w:sz w:val="24"/>
        </w:rPr>
        <w:t>lg</w:t>
      </w:r>
      <w:r>
        <w:rPr>
          <w:rFonts w:ascii="Calibri"/>
          <w:bCs/>
          <w:color w:val="auto"/>
          <w:sz w:val="24"/>
        </w:rPr>
        <w:t>（</w:t>
      </w:r>
      <w:r>
        <w:rPr>
          <w:rFonts w:ascii="Calibri" w:hint="eastAsia"/>
          <w:bCs/>
          <w:color w:val="auto"/>
          <w:sz w:val="24"/>
        </w:rPr>
        <w:t>r</w:t>
      </w:r>
      <w:r>
        <w:rPr>
          <w:rFonts w:ascii="Calibri"/>
          <w:bCs/>
          <w:color w:val="auto"/>
          <w:sz w:val="24"/>
        </w:rPr>
        <w:t>/r</w:t>
      </w:r>
      <w:r w:rsidRPr="00760AAA">
        <w:rPr>
          <w:rFonts w:ascii="Calibri"/>
          <w:bCs/>
          <w:color w:val="auto"/>
          <w:sz w:val="24"/>
          <w:vertAlign w:val="subscript"/>
        </w:rPr>
        <w:t>0</w:t>
      </w:r>
      <w:r>
        <w:rPr>
          <w:rFonts w:ascii="Calibri"/>
          <w:bCs/>
          <w:color w:val="auto"/>
          <w:sz w:val="24"/>
        </w:rPr>
        <w:t>）</w:t>
      </w:r>
    </w:p>
    <w:p w14:paraId="48A49AE5" w14:textId="77777777" w:rsidR="006E1C5B" w:rsidRDefault="006E1C5B" w:rsidP="006E1C5B">
      <w:pPr>
        <w:spacing w:line="520" w:lineRule="exact"/>
        <w:ind w:firstLine="480"/>
        <w:rPr>
          <w:rFonts w:ascii="Calibri"/>
          <w:bCs/>
          <w:color w:val="auto"/>
          <w:sz w:val="24"/>
        </w:rPr>
      </w:pPr>
      <w:r>
        <w:rPr>
          <w:rFonts w:ascii="Calibri" w:hint="eastAsia"/>
          <w:bCs/>
          <w:color w:val="auto"/>
          <w:sz w:val="24"/>
        </w:rPr>
        <w:t>式中</w:t>
      </w:r>
      <w:r>
        <w:rPr>
          <w:rFonts w:ascii="Calibri"/>
          <w:bCs/>
          <w:color w:val="auto"/>
          <w:sz w:val="24"/>
        </w:rPr>
        <w:t>：</w:t>
      </w:r>
      <w:r>
        <w:rPr>
          <w:rFonts w:ascii="Calibri"/>
          <w:bCs/>
          <w:color w:val="auto"/>
          <w:sz w:val="24"/>
        </w:rPr>
        <w:t>L</w:t>
      </w:r>
      <w:r w:rsidRPr="00760AAA">
        <w:rPr>
          <w:rFonts w:ascii="Calibri"/>
          <w:bCs/>
          <w:color w:val="auto"/>
          <w:sz w:val="24"/>
          <w:vertAlign w:val="subscript"/>
        </w:rPr>
        <w:t>p</w:t>
      </w:r>
      <w:r>
        <w:rPr>
          <w:rFonts w:ascii="Calibri"/>
          <w:bCs/>
          <w:color w:val="auto"/>
          <w:sz w:val="24"/>
        </w:rPr>
        <w:t>（</w:t>
      </w:r>
      <w:r>
        <w:rPr>
          <w:rFonts w:ascii="Calibri" w:hint="eastAsia"/>
          <w:bCs/>
          <w:color w:val="auto"/>
          <w:sz w:val="24"/>
        </w:rPr>
        <w:t>r</w:t>
      </w:r>
      <w:r>
        <w:rPr>
          <w:rFonts w:ascii="Calibri"/>
          <w:bCs/>
          <w:color w:val="auto"/>
          <w:sz w:val="24"/>
        </w:rPr>
        <w:t>）</w:t>
      </w:r>
      <w:r>
        <w:rPr>
          <w:rFonts w:ascii="Calibri" w:hint="eastAsia"/>
          <w:bCs/>
          <w:color w:val="auto"/>
          <w:sz w:val="24"/>
        </w:rPr>
        <w:t>——</w:t>
      </w:r>
      <w:r w:rsidRPr="00760AAA">
        <w:rPr>
          <w:rFonts w:ascii="Calibri" w:hint="eastAsia"/>
          <w:bCs/>
          <w:color w:val="auto"/>
          <w:sz w:val="24"/>
        </w:rPr>
        <w:t>预测点处声压级，</w:t>
      </w:r>
      <w:r w:rsidRPr="00760AAA">
        <w:rPr>
          <w:rFonts w:ascii="Calibri" w:hint="eastAsia"/>
          <w:bCs/>
          <w:color w:val="auto"/>
          <w:sz w:val="24"/>
        </w:rPr>
        <w:t>dB</w:t>
      </w:r>
      <w:r>
        <w:rPr>
          <w:rFonts w:ascii="Calibri" w:hint="eastAsia"/>
          <w:bCs/>
          <w:color w:val="auto"/>
          <w:sz w:val="24"/>
        </w:rPr>
        <w:t>；</w:t>
      </w:r>
    </w:p>
    <w:p w14:paraId="6DD717DC" w14:textId="77777777" w:rsidR="006E1C5B" w:rsidRDefault="006E1C5B" w:rsidP="006E1C5B">
      <w:pPr>
        <w:spacing w:line="520" w:lineRule="exact"/>
        <w:ind w:firstLine="480"/>
        <w:rPr>
          <w:rFonts w:ascii="Calibri"/>
          <w:bCs/>
          <w:color w:val="auto"/>
          <w:sz w:val="24"/>
        </w:rPr>
      </w:pPr>
      <w:r>
        <w:rPr>
          <w:rFonts w:ascii="Calibri"/>
          <w:bCs/>
          <w:color w:val="auto"/>
          <w:sz w:val="24"/>
        </w:rPr>
        <w:t xml:space="preserve">      L</w:t>
      </w:r>
      <w:r w:rsidRPr="00760AAA">
        <w:rPr>
          <w:rFonts w:ascii="Calibri"/>
          <w:bCs/>
          <w:color w:val="auto"/>
          <w:sz w:val="24"/>
          <w:vertAlign w:val="subscript"/>
        </w:rPr>
        <w:t>p</w:t>
      </w:r>
      <w:r>
        <w:rPr>
          <w:rFonts w:ascii="Calibri"/>
          <w:bCs/>
          <w:color w:val="auto"/>
          <w:sz w:val="24"/>
        </w:rPr>
        <w:t>（</w:t>
      </w:r>
      <w:r>
        <w:rPr>
          <w:rFonts w:ascii="Calibri" w:hint="eastAsia"/>
          <w:bCs/>
          <w:color w:val="auto"/>
          <w:sz w:val="24"/>
        </w:rPr>
        <w:t>r</w:t>
      </w:r>
      <w:r w:rsidRPr="00760AAA">
        <w:rPr>
          <w:rFonts w:ascii="Calibri"/>
          <w:bCs/>
          <w:color w:val="auto"/>
          <w:sz w:val="24"/>
          <w:vertAlign w:val="subscript"/>
        </w:rPr>
        <w:t>0</w:t>
      </w:r>
      <w:r>
        <w:rPr>
          <w:rFonts w:ascii="Calibri"/>
          <w:bCs/>
          <w:color w:val="auto"/>
          <w:sz w:val="24"/>
        </w:rPr>
        <w:t>）</w:t>
      </w:r>
      <w:r>
        <w:rPr>
          <w:rFonts w:ascii="Calibri" w:hint="eastAsia"/>
          <w:bCs/>
          <w:color w:val="auto"/>
          <w:sz w:val="24"/>
        </w:rPr>
        <w:t>——</w:t>
      </w:r>
      <w:r w:rsidRPr="00760AAA">
        <w:rPr>
          <w:rFonts w:ascii="Calibri" w:hint="eastAsia"/>
          <w:bCs/>
          <w:color w:val="auto"/>
          <w:sz w:val="24"/>
        </w:rPr>
        <w:t>参考位置</w:t>
      </w:r>
      <w:r w:rsidRPr="00760AAA">
        <w:rPr>
          <w:rFonts w:ascii="Calibri" w:hint="eastAsia"/>
          <w:bCs/>
          <w:color w:val="auto"/>
          <w:sz w:val="24"/>
        </w:rPr>
        <w:t>r</w:t>
      </w:r>
      <w:r w:rsidRPr="00760AAA">
        <w:rPr>
          <w:rFonts w:ascii="Calibri"/>
          <w:bCs/>
          <w:color w:val="auto"/>
          <w:sz w:val="24"/>
          <w:vertAlign w:val="subscript"/>
        </w:rPr>
        <w:t>0</w:t>
      </w:r>
      <w:r w:rsidRPr="00760AAA">
        <w:rPr>
          <w:rFonts w:ascii="Calibri" w:hint="eastAsia"/>
          <w:bCs/>
          <w:color w:val="auto"/>
          <w:sz w:val="24"/>
        </w:rPr>
        <w:t>处的声压级，</w:t>
      </w:r>
      <w:r w:rsidRPr="00760AAA">
        <w:rPr>
          <w:rFonts w:ascii="Calibri" w:hint="eastAsia"/>
          <w:bCs/>
          <w:color w:val="auto"/>
          <w:sz w:val="24"/>
        </w:rPr>
        <w:t>dB</w:t>
      </w:r>
      <w:r>
        <w:rPr>
          <w:rFonts w:ascii="Calibri" w:hint="eastAsia"/>
          <w:bCs/>
          <w:color w:val="auto"/>
          <w:sz w:val="24"/>
        </w:rPr>
        <w:t>；</w:t>
      </w:r>
    </w:p>
    <w:p w14:paraId="6FBB3680" w14:textId="77777777" w:rsidR="006E1C5B" w:rsidRDefault="006E1C5B" w:rsidP="006E1C5B">
      <w:pPr>
        <w:spacing w:line="520" w:lineRule="exact"/>
        <w:ind w:firstLine="480"/>
        <w:rPr>
          <w:rFonts w:ascii="Calibri"/>
          <w:bCs/>
          <w:color w:val="auto"/>
          <w:sz w:val="24"/>
        </w:rPr>
      </w:pPr>
      <w:r>
        <w:rPr>
          <w:rFonts w:ascii="Calibri"/>
          <w:bCs/>
          <w:color w:val="auto"/>
          <w:sz w:val="24"/>
        </w:rPr>
        <w:t xml:space="preserve">      r</w:t>
      </w:r>
      <w:r>
        <w:rPr>
          <w:rFonts w:ascii="Calibri"/>
          <w:bCs/>
          <w:color w:val="auto"/>
          <w:sz w:val="24"/>
        </w:rPr>
        <w:t>——</w:t>
      </w:r>
      <w:r w:rsidRPr="00760AAA">
        <w:rPr>
          <w:rFonts w:ascii="Calibri" w:hint="eastAsia"/>
          <w:bCs/>
          <w:color w:val="auto"/>
          <w:sz w:val="24"/>
        </w:rPr>
        <w:t>预测点距声源的距离</w:t>
      </w:r>
      <w:r>
        <w:rPr>
          <w:rFonts w:ascii="Calibri" w:hint="eastAsia"/>
          <w:bCs/>
          <w:color w:val="auto"/>
          <w:sz w:val="24"/>
        </w:rPr>
        <w:t>，</w:t>
      </w:r>
      <w:r>
        <w:rPr>
          <w:rFonts w:ascii="Calibri"/>
          <w:bCs/>
          <w:color w:val="auto"/>
          <w:sz w:val="24"/>
        </w:rPr>
        <w:t>m</w:t>
      </w:r>
      <w:r>
        <w:rPr>
          <w:rFonts w:ascii="Calibri"/>
          <w:bCs/>
          <w:color w:val="auto"/>
          <w:sz w:val="24"/>
        </w:rPr>
        <w:t>；</w:t>
      </w:r>
    </w:p>
    <w:p w14:paraId="7C26B5C5" w14:textId="77777777" w:rsidR="006E1C5B" w:rsidRPr="00760AAA" w:rsidRDefault="006E1C5B" w:rsidP="006E1C5B">
      <w:pPr>
        <w:spacing w:line="520" w:lineRule="exact"/>
        <w:ind w:firstLineChars="500" w:firstLine="1200"/>
        <w:rPr>
          <w:rFonts w:ascii="Calibri"/>
          <w:bCs/>
          <w:color w:val="auto"/>
          <w:sz w:val="24"/>
        </w:rPr>
      </w:pPr>
      <w:r w:rsidRPr="00760AAA">
        <w:rPr>
          <w:rFonts w:ascii="Calibri" w:hint="eastAsia"/>
          <w:bCs/>
          <w:color w:val="auto"/>
          <w:sz w:val="24"/>
        </w:rPr>
        <w:t>r</w:t>
      </w:r>
      <w:r w:rsidRPr="00760AAA">
        <w:rPr>
          <w:rFonts w:ascii="Calibri"/>
          <w:bCs/>
          <w:color w:val="auto"/>
          <w:sz w:val="24"/>
          <w:vertAlign w:val="subscript"/>
        </w:rPr>
        <w:t>0</w:t>
      </w:r>
      <w:r>
        <w:rPr>
          <w:rFonts w:ascii="Calibri" w:hint="eastAsia"/>
          <w:bCs/>
          <w:color w:val="auto"/>
          <w:sz w:val="24"/>
        </w:rPr>
        <w:t>——</w:t>
      </w:r>
      <w:r w:rsidRPr="00760AAA">
        <w:rPr>
          <w:rFonts w:ascii="Calibri" w:hint="eastAsia"/>
          <w:bCs/>
          <w:color w:val="auto"/>
          <w:sz w:val="24"/>
        </w:rPr>
        <w:t>参考位置距声源的距离</w:t>
      </w:r>
      <w:r>
        <w:rPr>
          <w:rFonts w:ascii="Calibri" w:hint="eastAsia"/>
          <w:bCs/>
          <w:color w:val="auto"/>
          <w:sz w:val="24"/>
        </w:rPr>
        <w:t>，</w:t>
      </w:r>
      <w:r>
        <w:rPr>
          <w:rFonts w:ascii="Calibri"/>
          <w:bCs/>
          <w:color w:val="auto"/>
          <w:sz w:val="24"/>
        </w:rPr>
        <w:t>m</w:t>
      </w:r>
      <w:r>
        <w:rPr>
          <w:rFonts w:ascii="Calibri"/>
          <w:bCs/>
          <w:color w:val="auto"/>
          <w:sz w:val="24"/>
        </w:rPr>
        <w:t>。</w:t>
      </w:r>
    </w:p>
    <w:p w14:paraId="74184EB5" w14:textId="77777777" w:rsidR="006E1C5B" w:rsidRPr="00EA2118" w:rsidRDefault="006E1C5B" w:rsidP="006E1C5B">
      <w:pPr>
        <w:spacing w:line="520" w:lineRule="exact"/>
        <w:ind w:firstLineChars="200" w:firstLine="420"/>
        <w:rPr>
          <w:rFonts w:ascii="Calibri" w:hAnsi="Calibri"/>
          <w:bCs/>
          <w:color w:val="auto"/>
          <w:sz w:val="24"/>
        </w:rPr>
      </w:pPr>
      <w:r>
        <w:rPr>
          <w:noProof/>
        </w:rPr>
        <w:drawing>
          <wp:anchor distT="0" distB="0" distL="114300" distR="114300" simplePos="0" relativeHeight="253655552" behindDoc="0" locked="0" layoutInCell="1" allowOverlap="1" wp14:anchorId="27BFC5CB" wp14:editId="0313B8D8">
            <wp:simplePos x="0" y="0"/>
            <wp:positionH relativeFrom="column">
              <wp:posOffset>791210</wp:posOffset>
            </wp:positionH>
            <wp:positionV relativeFrom="paragraph">
              <wp:posOffset>375920</wp:posOffset>
            </wp:positionV>
            <wp:extent cx="2975610" cy="571500"/>
            <wp:effectExtent l="0" t="0" r="0" b="0"/>
            <wp:wrapTopAndBottom/>
            <wp:docPr id="27152" name="图片 27152" descr="C:\Users\ADMINI~1\AppData\Local\Temp\ksohtml11864\wp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ksohtml11864\wps2.wmf"/>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9756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t>本项目</w:t>
      </w:r>
      <w:r w:rsidRPr="00A964FF">
        <w:rPr>
          <w:rFonts w:ascii="Calibri"/>
          <w:bCs/>
          <w:color w:val="auto"/>
          <w:sz w:val="24"/>
        </w:rPr>
        <w:t>声源在预测点产生的贡献值（</w:t>
      </w:r>
      <w:r w:rsidRPr="00A964FF">
        <w:rPr>
          <w:rFonts w:ascii="Calibri" w:hAnsi="Calibri"/>
          <w:bCs/>
          <w:color w:val="auto"/>
          <w:sz w:val="24"/>
        </w:rPr>
        <w:t>L</w:t>
      </w:r>
      <w:r w:rsidRPr="00A964FF">
        <w:rPr>
          <w:rFonts w:ascii="Calibri" w:hAnsi="Calibri"/>
          <w:bCs/>
          <w:color w:val="auto"/>
          <w:sz w:val="24"/>
          <w:vertAlign w:val="subscript"/>
        </w:rPr>
        <w:t>eqg</w:t>
      </w:r>
      <w:r w:rsidRPr="00A964FF">
        <w:rPr>
          <w:rFonts w:ascii="Calibri"/>
          <w:bCs/>
          <w:color w:val="auto"/>
          <w:sz w:val="24"/>
        </w:rPr>
        <w:t>）计算公式：</w:t>
      </w:r>
    </w:p>
    <w:p w14:paraId="6390779A" w14:textId="77777777" w:rsidR="006E1C5B" w:rsidRPr="00A964FF" w:rsidRDefault="006E1C5B" w:rsidP="006E1C5B">
      <w:pPr>
        <w:spacing w:line="500" w:lineRule="exact"/>
        <w:ind w:firstLineChars="300" w:firstLine="720"/>
        <w:rPr>
          <w:rFonts w:ascii="Calibri" w:hAnsi="Calibri"/>
          <w:bCs/>
          <w:color w:val="auto"/>
          <w:sz w:val="24"/>
        </w:rPr>
      </w:pPr>
      <w:r w:rsidRPr="00A964FF">
        <w:rPr>
          <w:rFonts w:ascii="Calibri"/>
          <w:bCs/>
          <w:color w:val="auto"/>
          <w:sz w:val="24"/>
        </w:rPr>
        <w:t>式中：</w:t>
      </w:r>
      <w:r w:rsidRPr="00A964FF">
        <w:rPr>
          <w:rFonts w:ascii="Calibri" w:hAnsi="Calibri"/>
          <w:bCs/>
          <w:i/>
          <w:color w:val="auto"/>
          <w:sz w:val="24"/>
        </w:rPr>
        <w:t>L</w:t>
      </w:r>
      <w:r w:rsidRPr="00A964FF">
        <w:rPr>
          <w:rFonts w:ascii="Calibri" w:hAnsi="Calibri"/>
          <w:bCs/>
          <w:color w:val="auto"/>
          <w:sz w:val="24"/>
          <w:vertAlign w:val="subscript"/>
        </w:rPr>
        <w:t>eqg</w:t>
      </w:r>
      <w:r>
        <w:rPr>
          <w:rFonts w:ascii="Calibri" w:hint="eastAsia"/>
          <w:bCs/>
          <w:color w:val="auto"/>
          <w:sz w:val="24"/>
        </w:rPr>
        <w:t>——建设</w:t>
      </w:r>
      <w:r>
        <w:rPr>
          <w:rFonts w:ascii="Calibri"/>
          <w:bCs/>
          <w:color w:val="auto"/>
          <w:sz w:val="24"/>
        </w:rPr>
        <w:t>项目</w:t>
      </w:r>
      <w:r>
        <w:rPr>
          <w:rFonts w:ascii="Calibri" w:hint="eastAsia"/>
          <w:bCs/>
          <w:color w:val="auto"/>
          <w:sz w:val="24"/>
        </w:rPr>
        <w:t>声源在</w:t>
      </w:r>
      <w:r>
        <w:rPr>
          <w:rFonts w:ascii="Calibri"/>
          <w:bCs/>
          <w:color w:val="auto"/>
          <w:sz w:val="24"/>
        </w:rPr>
        <w:t>预测的产生的</w:t>
      </w:r>
      <w:r>
        <w:rPr>
          <w:rFonts w:ascii="Calibri" w:hint="eastAsia"/>
          <w:bCs/>
          <w:color w:val="auto"/>
          <w:sz w:val="24"/>
        </w:rPr>
        <w:t>噪声</w:t>
      </w:r>
      <w:r w:rsidRPr="00A964FF">
        <w:rPr>
          <w:rFonts w:ascii="Calibri"/>
          <w:bCs/>
          <w:color w:val="auto"/>
          <w:sz w:val="24"/>
        </w:rPr>
        <w:t>贡献值，</w:t>
      </w:r>
      <w:r w:rsidRPr="00A964FF">
        <w:rPr>
          <w:rFonts w:ascii="Calibri" w:hAnsi="Calibri"/>
          <w:bCs/>
          <w:color w:val="auto"/>
          <w:sz w:val="24"/>
        </w:rPr>
        <w:t>dB</w:t>
      </w:r>
      <w:r w:rsidRPr="00A964FF">
        <w:rPr>
          <w:rFonts w:ascii="Calibri"/>
          <w:bCs/>
          <w:color w:val="auto"/>
          <w:sz w:val="24"/>
        </w:rPr>
        <w:t>；</w:t>
      </w:r>
    </w:p>
    <w:p w14:paraId="384946E8" w14:textId="77777777" w:rsidR="006E1C5B" w:rsidRDefault="006E1C5B" w:rsidP="006E1C5B">
      <w:pPr>
        <w:spacing w:line="500" w:lineRule="exact"/>
        <w:ind w:firstLineChars="200" w:firstLine="480"/>
        <w:rPr>
          <w:rFonts w:ascii="Calibri"/>
          <w:bCs/>
          <w:color w:val="auto"/>
          <w:sz w:val="24"/>
        </w:rPr>
      </w:pPr>
      <w:r w:rsidRPr="00A964FF">
        <w:rPr>
          <w:rFonts w:ascii="Calibri" w:hAnsi="Calibri"/>
          <w:bCs/>
          <w:color w:val="auto"/>
          <w:sz w:val="24"/>
        </w:rPr>
        <w:t xml:space="preserve">      </w:t>
      </w:r>
      <w:r>
        <w:rPr>
          <w:rFonts w:ascii="Calibri" w:hAnsi="Calibri"/>
          <w:bCs/>
          <w:color w:val="auto"/>
          <w:sz w:val="24"/>
        </w:rPr>
        <w:t xml:space="preserve"> </w:t>
      </w:r>
      <w:r w:rsidRPr="00A964FF">
        <w:rPr>
          <w:rFonts w:ascii="Calibri" w:hAnsi="Calibri"/>
          <w:bCs/>
          <w:color w:val="auto"/>
          <w:sz w:val="24"/>
        </w:rPr>
        <w:t xml:space="preserve"> </w:t>
      </w:r>
      <w:r w:rsidRPr="00A964FF">
        <w:rPr>
          <w:rFonts w:ascii="Calibri" w:hAnsi="Calibri"/>
          <w:bCs/>
          <w:i/>
          <w:color w:val="auto"/>
          <w:sz w:val="24"/>
        </w:rPr>
        <w:t>T</w:t>
      </w:r>
      <w:r>
        <w:rPr>
          <w:rFonts w:ascii="Calibri" w:hint="eastAsia"/>
          <w:bCs/>
          <w:color w:val="auto"/>
          <w:sz w:val="24"/>
        </w:rPr>
        <w:t>——</w:t>
      </w:r>
      <w:r w:rsidRPr="00EA2118">
        <w:rPr>
          <w:rFonts w:ascii="Calibri" w:hint="eastAsia"/>
          <w:bCs/>
          <w:color w:val="auto"/>
          <w:sz w:val="24"/>
        </w:rPr>
        <w:t>用于计算等效声级的时间</w:t>
      </w:r>
      <w:r w:rsidRPr="00A964FF">
        <w:rPr>
          <w:rFonts w:ascii="Calibri"/>
          <w:bCs/>
          <w:color w:val="auto"/>
          <w:sz w:val="24"/>
        </w:rPr>
        <w:t>，</w:t>
      </w:r>
      <w:r w:rsidRPr="00A964FF">
        <w:rPr>
          <w:rFonts w:ascii="Calibri" w:hAnsi="Calibri"/>
          <w:bCs/>
          <w:color w:val="auto"/>
          <w:sz w:val="24"/>
        </w:rPr>
        <w:t>s</w:t>
      </w:r>
      <w:r w:rsidRPr="00A964FF">
        <w:rPr>
          <w:rFonts w:ascii="Calibri"/>
          <w:bCs/>
          <w:color w:val="auto"/>
          <w:sz w:val="24"/>
        </w:rPr>
        <w:t>；</w:t>
      </w:r>
    </w:p>
    <w:p w14:paraId="6E3204B3" w14:textId="77777777" w:rsidR="006E1C5B" w:rsidRPr="00A964FF" w:rsidRDefault="006E1C5B" w:rsidP="006E1C5B">
      <w:pPr>
        <w:spacing w:line="500" w:lineRule="exact"/>
        <w:ind w:firstLineChars="200" w:firstLine="480"/>
        <w:rPr>
          <w:rFonts w:ascii="Calibri" w:hAnsi="Calibri"/>
          <w:bCs/>
          <w:color w:val="auto"/>
          <w:sz w:val="24"/>
        </w:rPr>
      </w:pPr>
      <w:r>
        <w:rPr>
          <w:rFonts w:ascii="Calibri" w:hint="eastAsia"/>
          <w:bCs/>
          <w:color w:val="auto"/>
          <w:sz w:val="24"/>
        </w:rPr>
        <w:t xml:space="preserve">    </w:t>
      </w:r>
      <w:r>
        <w:rPr>
          <w:rFonts w:ascii="Calibri"/>
          <w:bCs/>
          <w:color w:val="auto"/>
          <w:sz w:val="24"/>
        </w:rPr>
        <w:t xml:space="preserve"> </w:t>
      </w:r>
      <w:r>
        <w:rPr>
          <w:rFonts w:ascii="Calibri" w:hint="eastAsia"/>
          <w:bCs/>
          <w:color w:val="auto"/>
          <w:sz w:val="24"/>
        </w:rPr>
        <w:t xml:space="preserve">   </w:t>
      </w:r>
      <w:r>
        <w:rPr>
          <w:rFonts w:ascii="Calibri"/>
          <w:bCs/>
          <w:color w:val="auto"/>
          <w:sz w:val="24"/>
        </w:rPr>
        <w:t>N</w:t>
      </w:r>
      <w:r>
        <w:rPr>
          <w:rFonts w:ascii="Calibri"/>
          <w:bCs/>
          <w:color w:val="auto"/>
          <w:sz w:val="24"/>
        </w:rPr>
        <w:t>——</w:t>
      </w:r>
      <w:r>
        <w:rPr>
          <w:rFonts w:ascii="Calibri" w:hint="eastAsia"/>
          <w:bCs/>
          <w:color w:val="auto"/>
          <w:sz w:val="24"/>
        </w:rPr>
        <w:t>室外</w:t>
      </w:r>
      <w:r>
        <w:rPr>
          <w:rFonts w:ascii="Calibri"/>
          <w:bCs/>
          <w:color w:val="auto"/>
          <w:sz w:val="24"/>
        </w:rPr>
        <w:t>声源</w:t>
      </w:r>
      <w:r>
        <w:rPr>
          <w:rFonts w:ascii="Calibri" w:hint="eastAsia"/>
          <w:bCs/>
          <w:color w:val="auto"/>
          <w:sz w:val="24"/>
        </w:rPr>
        <w:t>个数；</w:t>
      </w:r>
    </w:p>
    <w:p w14:paraId="0FEB3FBD" w14:textId="77777777" w:rsidR="006E1C5B" w:rsidRPr="00A964FF" w:rsidRDefault="006E1C5B" w:rsidP="006E1C5B">
      <w:pPr>
        <w:spacing w:line="500" w:lineRule="exact"/>
        <w:ind w:firstLineChars="200" w:firstLine="480"/>
        <w:rPr>
          <w:rFonts w:ascii="Calibri" w:hAnsi="Calibri"/>
          <w:bCs/>
          <w:color w:val="auto"/>
          <w:sz w:val="24"/>
        </w:rPr>
      </w:pPr>
      <w:r w:rsidRPr="00A964FF">
        <w:rPr>
          <w:rFonts w:ascii="Calibri" w:hAnsi="Calibri"/>
          <w:bCs/>
          <w:color w:val="auto"/>
          <w:sz w:val="24"/>
        </w:rPr>
        <w:t xml:space="preserve">    </w:t>
      </w:r>
      <w:r>
        <w:rPr>
          <w:rFonts w:ascii="Calibri" w:hAnsi="Calibri"/>
          <w:bCs/>
          <w:color w:val="auto"/>
          <w:sz w:val="24"/>
        </w:rPr>
        <w:t xml:space="preserve"> </w:t>
      </w:r>
      <w:r w:rsidRPr="00A964FF">
        <w:rPr>
          <w:rFonts w:ascii="Calibri" w:hAnsi="Calibri"/>
          <w:bCs/>
          <w:color w:val="auto"/>
          <w:sz w:val="24"/>
        </w:rPr>
        <w:t xml:space="preserve">   </w:t>
      </w:r>
      <w:r w:rsidRPr="00A964FF">
        <w:rPr>
          <w:rFonts w:ascii="Calibri" w:hAnsi="Calibri"/>
          <w:bCs/>
          <w:i/>
          <w:color w:val="auto"/>
          <w:sz w:val="24"/>
        </w:rPr>
        <w:t>t</w:t>
      </w:r>
      <w:r w:rsidRPr="00A964FF">
        <w:rPr>
          <w:rFonts w:ascii="Calibri" w:hAnsi="Calibri"/>
          <w:bCs/>
          <w:i/>
          <w:color w:val="auto"/>
          <w:sz w:val="24"/>
          <w:vertAlign w:val="subscript"/>
        </w:rPr>
        <w:t>i</w:t>
      </w:r>
      <w:r>
        <w:rPr>
          <w:rFonts w:ascii="Calibri" w:hint="eastAsia"/>
          <w:bCs/>
          <w:i/>
          <w:color w:val="auto"/>
          <w:sz w:val="24"/>
        </w:rPr>
        <w:t>——</w:t>
      </w:r>
      <w:r w:rsidRPr="00A964FF">
        <w:rPr>
          <w:rFonts w:ascii="Calibri"/>
          <w:bCs/>
          <w:color w:val="auto"/>
          <w:sz w:val="24"/>
        </w:rPr>
        <w:t>在</w:t>
      </w:r>
      <w:r w:rsidRPr="00A964FF">
        <w:rPr>
          <w:rFonts w:ascii="Calibri" w:hAnsi="Calibri"/>
          <w:bCs/>
          <w:color w:val="auto"/>
          <w:sz w:val="24"/>
        </w:rPr>
        <w:t>T</w:t>
      </w:r>
      <w:r>
        <w:rPr>
          <w:rFonts w:ascii="Calibri" w:hint="eastAsia"/>
          <w:bCs/>
          <w:color w:val="auto"/>
          <w:sz w:val="24"/>
        </w:rPr>
        <w:t>时间内</w:t>
      </w:r>
      <w:r w:rsidRPr="00A964FF">
        <w:rPr>
          <w:rFonts w:ascii="Calibri" w:hAnsi="Calibri"/>
          <w:bCs/>
          <w:i/>
          <w:color w:val="auto"/>
          <w:sz w:val="24"/>
        </w:rPr>
        <w:t>i</w:t>
      </w:r>
      <w:r w:rsidRPr="00A964FF">
        <w:rPr>
          <w:rFonts w:ascii="Calibri"/>
          <w:bCs/>
          <w:color w:val="auto"/>
          <w:sz w:val="24"/>
        </w:rPr>
        <w:t>声源内</w:t>
      </w:r>
      <w:r>
        <w:rPr>
          <w:rFonts w:ascii="Calibri" w:hint="eastAsia"/>
          <w:bCs/>
          <w:color w:val="auto"/>
          <w:sz w:val="24"/>
        </w:rPr>
        <w:t>工作时间</w:t>
      </w:r>
      <w:r w:rsidRPr="00A964FF">
        <w:rPr>
          <w:rFonts w:ascii="Calibri"/>
          <w:bCs/>
          <w:color w:val="auto"/>
          <w:sz w:val="24"/>
        </w:rPr>
        <w:t>，</w:t>
      </w:r>
      <w:r w:rsidRPr="00A964FF">
        <w:rPr>
          <w:rFonts w:ascii="Calibri" w:hAnsi="Calibri"/>
          <w:bCs/>
          <w:color w:val="auto"/>
          <w:sz w:val="24"/>
        </w:rPr>
        <w:t>s</w:t>
      </w:r>
      <w:r w:rsidRPr="00A964FF">
        <w:rPr>
          <w:rFonts w:ascii="Calibri"/>
          <w:bCs/>
          <w:color w:val="auto"/>
          <w:sz w:val="24"/>
        </w:rPr>
        <w:t>；</w:t>
      </w:r>
    </w:p>
    <w:p w14:paraId="4EF9011D" w14:textId="77777777" w:rsidR="006E1C5B" w:rsidRPr="00A964FF" w:rsidRDefault="006E1C5B" w:rsidP="006E1C5B">
      <w:pPr>
        <w:spacing w:line="500" w:lineRule="exact"/>
        <w:ind w:firstLineChars="200" w:firstLine="480"/>
        <w:rPr>
          <w:rFonts w:ascii="Calibri" w:hAnsi="Calibri"/>
          <w:bCs/>
          <w:color w:val="auto"/>
          <w:sz w:val="24"/>
        </w:rPr>
      </w:pPr>
      <w:r w:rsidRPr="00A964FF">
        <w:rPr>
          <w:rFonts w:ascii="Calibri" w:hAnsi="Calibri"/>
          <w:bCs/>
          <w:color w:val="auto"/>
          <w:sz w:val="24"/>
        </w:rPr>
        <w:lastRenderedPageBreak/>
        <w:t xml:space="preserve">    </w:t>
      </w:r>
      <w:r>
        <w:rPr>
          <w:rFonts w:ascii="Calibri" w:hAnsi="Calibri"/>
          <w:bCs/>
          <w:color w:val="auto"/>
          <w:sz w:val="24"/>
        </w:rPr>
        <w:t xml:space="preserve"> </w:t>
      </w:r>
      <w:r w:rsidRPr="00A964FF">
        <w:rPr>
          <w:rFonts w:ascii="Calibri" w:hAnsi="Calibri"/>
          <w:bCs/>
          <w:color w:val="auto"/>
          <w:sz w:val="24"/>
        </w:rPr>
        <w:t xml:space="preserve"> </w:t>
      </w:r>
      <w:r>
        <w:rPr>
          <w:rFonts w:ascii="Calibri" w:hAnsi="Calibri"/>
          <w:bCs/>
          <w:color w:val="auto"/>
          <w:sz w:val="24"/>
        </w:rPr>
        <w:t xml:space="preserve"> </w:t>
      </w:r>
      <w:r w:rsidRPr="00A964FF">
        <w:rPr>
          <w:rFonts w:ascii="Calibri" w:hAnsi="Calibri"/>
          <w:bCs/>
          <w:color w:val="auto"/>
          <w:sz w:val="24"/>
        </w:rPr>
        <w:t xml:space="preserve"> </w:t>
      </w:r>
      <w:r>
        <w:rPr>
          <w:rFonts w:ascii="Calibri"/>
          <w:bCs/>
          <w:color w:val="auto"/>
          <w:sz w:val="24"/>
        </w:rPr>
        <w:t>M</w:t>
      </w:r>
      <w:r>
        <w:rPr>
          <w:rFonts w:ascii="Calibri"/>
          <w:bCs/>
          <w:color w:val="auto"/>
          <w:sz w:val="24"/>
        </w:rPr>
        <w:t>——</w:t>
      </w:r>
      <w:r w:rsidRPr="00EA2118">
        <w:rPr>
          <w:rFonts w:ascii="Calibri" w:hint="eastAsia"/>
          <w:bCs/>
          <w:color w:val="auto"/>
          <w:sz w:val="24"/>
        </w:rPr>
        <w:t>等效室外声源个数</w:t>
      </w:r>
      <w:r>
        <w:rPr>
          <w:rFonts w:ascii="Calibri" w:hint="eastAsia"/>
          <w:bCs/>
          <w:color w:val="auto"/>
          <w:sz w:val="24"/>
        </w:rPr>
        <w:t>；</w:t>
      </w:r>
    </w:p>
    <w:p w14:paraId="41AC8C01" w14:textId="77777777" w:rsidR="006E1C5B" w:rsidRPr="00A964FF" w:rsidRDefault="006E1C5B" w:rsidP="006E1C5B">
      <w:pPr>
        <w:spacing w:line="500" w:lineRule="exact"/>
        <w:ind w:firstLineChars="200" w:firstLine="480"/>
        <w:rPr>
          <w:rFonts w:ascii="Calibri" w:hAnsi="Calibri"/>
          <w:bCs/>
          <w:color w:val="auto"/>
          <w:sz w:val="24"/>
        </w:rPr>
      </w:pPr>
      <w:r w:rsidRPr="00A964FF">
        <w:rPr>
          <w:rFonts w:ascii="Calibri" w:hAnsi="Calibri"/>
          <w:bCs/>
          <w:color w:val="auto"/>
          <w:sz w:val="24"/>
        </w:rPr>
        <w:t xml:space="preserve">     </w:t>
      </w:r>
      <w:r>
        <w:rPr>
          <w:rFonts w:ascii="Calibri" w:hAnsi="Calibri"/>
          <w:bCs/>
          <w:color w:val="auto"/>
          <w:sz w:val="24"/>
        </w:rPr>
        <w:t xml:space="preserve"> </w:t>
      </w:r>
      <w:r w:rsidRPr="00A964FF">
        <w:rPr>
          <w:rFonts w:ascii="Calibri" w:hAnsi="Calibri"/>
          <w:bCs/>
          <w:color w:val="auto"/>
          <w:sz w:val="24"/>
        </w:rPr>
        <w:t xml:space="preserve">  </w:t>
      </w:r>
      <w:r w:rsidRPr="00A964FF">
        <w:rPr>
          <w:rFonts w:ascii="Calibri" w:hAnsi="Calibri"/>
          <w:bCs/>
          <w:i/>
          <w:color w:val="auto"/>
          <w:sz w:val="24"/>
        </w:rPr>
        <w:t>t</w:t>
      </w:r>
      <w:r w:rsidRPr="00A964FF">
        <w:rPr>
          <w:rFonts w:ascii="Calibri" w:hAnsi="Calibri"/>
          <w:bCs/>
          <w:i/>
          <w:color w:val="auto"/>
          <w:sz w:val="24"/>
          <w:vertAlign w:val="subscript"/>
        </w:rPr>
        <w:t>i</w:t>
      </w:r>
      <w:r>
        <w:rPr>
          <w:rFonts w:ascii="Calibri" w:hint="eastAsia"/>
          <w:bCs/>
          <w:i/>
          <w:color w:val="auto"/>
          <w:sz w:val="24"/>
        </w:rPr>
        <w:t>——</w:t>
      </w:r>
      <w:r w:rsidRPr="00A964FF">
        <w:rPr>
          <w:rFonts w:ascii="Calibri"/>
          <w:bCs/>
          <w:color w:val="auto"/>
          <w:sz w:val="24"/>
        </w:rPr>
        <w:t>在</w:t>
      </w:r>
      <w:r w:rsidRPr="00A964FF">
        <w:rPr>
          <w:rFonts w:ascii="Calibri" w:hAnsi="Calibri"/>
          <w:bCs/>
          <w:color w:val="auto"/>
          <w:sz w:val="24"/>
        </w:rPr>
        <w:t>T</w:t>
      </w:r>
      <w:r>
        <w:rPr>
          <w:rFonts w:ascii="Calibri" w:hint="eastAsia"/>
          <w:bCs/>
          <w:color w:val="auto"/>
          <w:sz w:val="24"/>
        </w:rPr>
        <w:t>时间内</w:t>
      </w:r>
      <w:r>
        <w:rPr>
          <w:rFonts w:ascii="Calibri" w:hAnsi="Calibri"/>
          <w:bCs/>
          <w:i/>
          <w:color w:val="auto"/>
          <w:sz w:val="24"/>
        </w:rPr>
        <w:t>j</w:t>
      </w:r>
      <w:r w:rsidRPr="00A964FF">
        <w:rPr>
          <w:rFonts w:ascii="Calibri"/>
          <w:bCs/>
          <w:color w:val="auto"/>
          <w:sz w:val="24"/>
        </w:rPr>
        <w:t>声源内</w:t>
      </w:r>
      <w:r>
        <w:rPr>
          <w:rFonts w:ascii="Calibri" w:hint="eastAsia"/>
          <w:bCs/>
          <w:color w:val="auto"/>
          <w:sz w:val="24"/>
        </w:rPr>
        <w:t>工作时间</w:t>
      </w:r>
      <w:r w:rsidRPr="00A964FF">
        <w:rPr>
          <w:rFonts w:ascii="Calibri"/>
          <w:bCs/>
          <w:color w:val="auto"/>
          <w:sz w:val="24"/>
        </w:rPr>
        <w:t>，</w:t>
      </w:r>
      <w:r w:rsidRPr="00A964FF">
        <w:rPr>
          <w:rFonts w:ascii="Calibri" w:hAnsi="Calibri"/>
          <w:bCs/>
          <w:color w:val="auto"/>
          <w:sz w:val="24"/>
        </w:rPr>
        <w:t>s</w:t>
      </w:r>
      <w:r w:rsidRPr="00A964FF">
        <w:rPr>
          <w:rFonts w:ascii="Calibri"/>
          <w:bCs/>
          <w:color w:val="auto"/>
          <w:sz w:val="24"/>
        </w:rPr>
        <w:t>；</w:t>
      </w:r>
    </w:p>
    <w:p w14:paraId="1383CD5F" w14:textId="77777777" w:rsidR="006E1C5B" w:rsidRDefault="006E1C5B" w:rsidP="006E1C5B">
      <w:pPr>
        <w:spacing w:line="520" w:lineRule="exact"/>
        <w:ind w:firstLine="482"/>
        <w:rPr>
          <w:rFonts w:ascii="Calibri" w:hAnsi="Calibri"/>
          <w:b/>
          <w:color w:val="auto"/>
          <w:sz w:val="24"/>
        </w:rPr>
      </w:pPr>
      <w:r>
        <w:rPr>
          <w:rFonts w:ascii="Calibri" w:hAnsi="Calibri"/>
          <w:b/>
          <w:color w:val="auto"/>
          <w:sz w:val="24"/>
        </w:rPr>
        <w:t>3</w:t>
      </w:r>
      <w:r w:rsidRPr="00A964FF">
        <w:rPr>
          <w:rFonts w:ascii="Calibri" w:hAnsi="Calibri" w:hint="eastAsia"/>
          <w:b/>
          <w:color w:val="auto"/>
          <w:sz w:val="24"/>
        </w:rPr>
        <w:t>、</w:t>
      </w:r>
      <w:r>
        <w:rPr>
          <w:rFonts w:ascii="Calibri" w:hAnsi="Calibri" w:hint="eastAsia"/>
          <w:b/>
          <w:color w:val="auto"/>
          <w:sz w:val="24"/>
        </w:rPr>
        <w:t>噪声</w:t>
      </w:r>
      <w:r>
        <w:rPr>
          <w:rFonts w:ascii="Calibri" w:hAnsi="Calibri"/>
          <w:b/>
          <w:color w:val="auto"/>
          <w:sz w:val="24"/>
        </w:rPr>
        <w:t>预测</w:t>
      </w:r>
      <w:r>
        <w:rPr>
          <w:rFonts w:ascii="Calibri" w:hAnsi="Calibri" w:hint="eastAsia"/>
          <w:b/>
          <w:color w:val="auto"/>
          <w:sz w:val="24"/>
        </w:rPr>
        <w:t>结果</w:t>
      </w:r>
      <w:r>
        <w:rPr>
          <w:rFonts w:ascii="Calibri" w:hAnsi="Calibri"/>
          <w:b/>
          <w:color w:val="auto"/>
          <w:sz w:val="24"/>
        </w:rPr>
        <w:t>与评价</w:t>
      </w:r>
    </w:p>
    <w:p w14:paraId="426A622B" w14:textId="77777777" w:rsidR="006E1C5B" w:rsidRPr="00A964FF" w:rsidRDefault="006E1C5B" w:rsidP="006A642B">
      <w:pPr>
        <w:spacing w:line="520" w:lineRule="exact"/>
        <w:ind w:firstLine="482"/>
        <w:rPr>
          <w:rFonts w:ascii="Calibri" w:hAnsi="Calibri"/>
          <w:color w:val="auto"/>
          <w:sz w:val="24"/>
        </w:rPr>
      </w:pPr>
      <w:r w:rsidRPr="00964557">
        <w:rPr>
          <w:rFonts w:ascii="Calibri" w:hAnsi="Calibri" w:hint="eastAsia"/>
          <w:color w:val="auto"/>
          <w:sz w:val="24"/>
        </w:rPr>
        <w:t>根据本项目</w:t>
      </w:r>
      <w:r w:rsidR="006A642B">
        <w:rPr>
          <w:rFonts w:ascii="Calibri" w:hAnsi="Calibri" w:hint="eastAsia"/>
          <w:color w:val="auto"/>
          <w:sz w:val="24"/>
        </w:rPr>
        <w:t>一期</w:t>
      </w:r>
      <w:r w:rsidR="006A642B">
        <w:rPr>
          <w:rFonts w:ascii="Calibri" w:hAnsi="Calibri"/>
          <w:color w:val="auto"/>
          <w:sz w:val="24"/>
        </w:rPr>
        <w:t>、二期工程</w:t>
      </w:r>
      <w:r w:rsidRPr="00964557">
        <w:rPr>
          <w:rFonts w:ascii="Calibri" w:hAnsi="Calibri" w:hint="eastAsia"/>
          <w:color w:val="auto"/>
          <w:sz w:val="24"/>
        </w:rPr>
        <w:t>噪声源在厂区内的分布，选择主要高噪声源对厂界的影响进行预测。</w:t>
      </w:r>
      <w:r>
        <w:rPr>
          <w:rFonts w:ascii="Calibri" w:hAnsi="Calibri" w:hint="eastAsia"/>
          <w:color w:val="auto"/>
          <w:sz w:val="24"/>
        </w:rPr>
        <w:t>室外风机</w:t>
      </w:r>
      <w:r>
        <w:rPr>
          <w:rFonts w:ascii="Calibri" w:hAnsi="Calibri"/>
          <w:color w:val="auto"/>
          <w:sz w:val="24"/>
        </w:rPr>
        <w:t>经基础减振、消声等措施治理后源强可将</w:t>
      </w:r>
      <w:r w:rsidR="00C24F24" w:rsidRPr="00A964FF">
        <w:rPr>
          <w:rFonts w:ascii="Calibri" w:hAnsi="Calibri"/>
          <w:color w:val="auto"/>
          <w:sz w:val="24"/>
        </w:rPr>
        <w:t>15</w:t>
      </w:r>
      <w:r w:rsidR="00C24F24" w:rsidRPr="00A964FF">
        <w:rPr>
          <w:rFonts w:ascii="Calibri" w:hAnsi="Calibri"/>
          <w:color w:val="auto"/>
          <w:sz w:val="24"/>
        </w:rPr>
        <w:t>～</w:t>
      </w:r>
      <w:r w:rsidR="00C24F24" w:rsidRPr="00A964FF">
        <w:rPr>
          <w:rFonts w:ascii="Calibri" w:hAnsi="Calibri"/>
          <w:color w:val="auto"/>
          <w:sz w:val="24"/>
        </w:rPr>
        <w:t>30</w:t>
      </w:r>
      <w:r w:rsidR="00C24F24">
        <w:rPr>
          <w:rFonts w:ascii="Calibri" w:hAnsi="Calibri"/>
          <w:color w:val="auto"/>
          <w:sz w:val="24"/>
        </w:rPr>
        <w:t>dB</w:t>
      </w:r>
      <w:r>
        <w:rPr>
          <w:rFonts w:ascii="Calibri" w:hAnsi="Calibri"/>
          <w:color w:val="auto"/>
          <w:sz w:val="24"/>
        </w:rPr>
        <w:t>（</w:t>
      </w:r>
      <w:r>
        <w:rPr>
          <w:rFonts w:ascii="Calibri" w:hAnsi="Calibri" w:hint="eastAsia"/>
          <w:color w:val="auto"/>
          <w:sz w:val="24"/>
        </w:rPr>
        <w:t>A</w:t>
      </w:r>
      <w:r>
        <w:rPr>
          <w:rFonts w:ascii="Calibri" w:hAnsi="Calibri"/>
          <w:color w:val="auto"/>
          <w:sz w:val="24"/>
        </w:rPr>
        <w:t>）</w:t>
      </w:r>
      <w:r>
        <w:rPr>
          <w:rFonts w:ascii="Calibri" w:hAnsi="Calibri" w:hint="eastAsia"/>
          <w:color w:val="auto"/>
          <w:sz w:val="24"/>
        </w:rPr>
        <w:t>以上</w:t>
      </w:r>
      <w:r>
        <w:rPr>
          <w:rFonts w:ascii="Calibri" w:hAnsi="Calibri"/>
          <w:color w:val="auto"/>
          <w:sz w:val="24"/>
        </w:rPr>
        <w:t>，评价以</w:t>
      </w:r>
      <w:r>
        <w:rPr>
          <w:rFonts w:ascii="Calibri" w:hAnsi="Calibri" w:hint="eastAsia"/>
          <w:color w:val="auto"/>
          <w:sz w:val="24"/>
        </w:rPr>
        <w:t>1</w:t>
      </w:r>
      <w:r w:rsidR="00C24F24">
        <w:rPr>
          <w:rFonts w:ascii="Calibri" w:hAnsi="Calibri"/>
          <w:color w:val="auto"/>
          <w:sz w:val="24"/>
        </w:rPr>
        <w:t>5</w:t>
      </w:r>
      <w:r>
        <w:rPr>
          <w:rFonts w:ascii="Calibri" w:hAnsi="Calibri"/>
          <w:color w:val="auto"/>
          <w:sz w:val="24"/>
        </w:rPr>
        <w:t>dB</w:t>
      </w:r>
      <w:r>
        <w:rPr>
          <w:rFonts w:ascii="Calibri" w:hAnsi="Calibri"/>
          <w:color w:val="auto"/>
          <w:sz w:val="24"/>
        </w:rPr>
        <w:t>（</w:t>
      </w:r>
      <w:r>
        <w:rPr>
          <w:rFonts w:ascii="Calibri" w:hAnsi="Calibri" w:hint="eastAsia"/>
          <w:color w:val="auto"/>
          <w:sz w:val="24"/>
        </w:rPr>
        <w:t>A</w:t>
      </w:r>
      <w:r>
        <w:rPr>
          <w:rFonts w:ascii="Calibri" w:hAnsi="Calibri"/>
          <w:color w:val="auto"/>
          <w:sz w:val="24"/>
        </w:rPr>
        <w:t>）</w:t>
      </w:r>
      <w:r w:rsidR="006A642B">
        <w:rPr>
          <w:rFonts w:ascii="Calibri" w:hAnsi="Calibri" w:hint="eastAsia"/>
          <w:color w:val="auto"/>
          <w:sz w:val="24"/>
        </w:rPr>
        <w:t>计</w:t>
      </w:r>
      <w:r>
        <w:rPr>
          <w:rFonts w:ascii="Calibri" w:hAnsi="Calibri"/>
          <w:color w:val="auto"/>
          <w:sz w:val="24"/>
        </w:rPr>
        <w:t>。</w:t>
      </w:r>
      <w:r>
        <w:rPr>
          <w:rFonts w:ascii="Calibri" w:hAnsi="Calibri" w:hint="eastAsia"/>
          <w:color w:val="auto"/>
          <w:sz w:val="24"/>
        </w:rPr>
        <w:t>对于室内</w:t>
      </w:r>
      <w:r>
        <w:rPr>
          <w:rFonts w:ascii="Calibri" w:hAnsi="Calibri"/>
          <w:color w:val="auto"/>
          <w:sz w:val="24"/>
        </w:rPr>
        <w:t>声源，</w:t>
      </w:r>
      <w:r w:rsidRPr="00964557">
        <w:rPr>
          <w:rFonts w:ascii="Calibri" w:hAnsi="Calibri" w:hint="eastAsia"/>
          <w:color w:val="auto"/>
          <w:sz w:val="24"/>
        </w:rPr>
        <w:t>将车间内设备声级相加后以生产车间作为点源进行预测，</w:t>
      </w:r>
      <w:r w:rsidRPr="00A964FF">
        <w:rPr>
          <w:rFonts w:ascii="Calibri" w:hAnsi="Calibri" w:hint="eastAsia"/>
          <w:color w:val="auto"/>
          <w:sz w:val="24"/>
        </w:rPr>
        <w:t>预测结果见表</w:t>
      </w:r>
      <w:r w:rsidRPr="00A964FF">
        <w:rPr>
          <w:rFonts w:ascii="Calibri" w:hAnsi="Calibri" w:hint="eastAsia"/>
          <w:color w:val="auto"/>
          <w:sz w:val="24"/>
        </w:rPr>
        <w:t>4.2-2</w:t>
      </w:r>
      <w:r>
        <w:rPr>
          <w:rFonts w:ascii="Calibri" w:hAnsi="Calibri"/>
          <w:color w:val="auto"/>
          <w:sz w:val="24"/>
        </w:rPr>
        <w:t>9</w:t>
      </w:r>
      <w:r w:rsidRPr="00A964FF">
        <w:rPr>
          <w:rFonts w:ascii="Calibri" w:hAnsi="Calibri" w:hint="eastAsia"/>
          <w:color w:val="auto"/>
          <w:sz w:val="24"/>
        </w:rPr>
        <w:t>。</w:t>
      </w:r>
    </w:p>
    <w:p w14:paraId="0644EF5B" w14:textId="77777777" w:rsidR="006E1C5B" w:rsidRPr="00A964FF" w:rsidRDefault="006E1C5B" w:rsidP="006E1C5B">
      <w:pPr>
        <w:snapToGrid w:val="0"/>
        <w:spacing w:line="520" w:lineRule="exact"/>
        <w:ind w:firstLineChars="150" w:firstLine="360"/>
        <w:rPr>
          <w:rFonts w:ascii="Calibri" w:eastAsia="黑体" w:hAnsi="Calibri"/>
          <w:color w:val="auto"/>
          <w:sz w:val="24"/>
        </w:rPr>
      </w:pPr>
      <w:r w:rsidRPr="00A964FF">
        <w:rPr>
          <w:rFonts w:ascii="Calibri" w:eastAsia="黑体"/>
          <w:color w:val="auto"/>
          <w:sz w:val="24"/>
        </w:rPr>
        <w:t>表</w:t>
      </w:r>
      <w:r w:rsidRPr="00A964FF">
        <w:rPr>
          <w:rFonts w:ascii="Calibri" w:eastAsia="黑体" w:hAnsi="Calibri" w:hint="eastAsia"/>
          <w:color w:val="auto"/>
          <w:sz w:val="24"/>
        </w:rPr>
        <w:t>4.2</w:t>
      </w:r>
      <w:r w:rsidRPr="00A964FF">
        <w:rPr>
          <w:rFonts w:ascii="Calibri" w:eastAsia="黑体" w:hAnsi="Calibri"/>
          <w:color w:val="auto"/>
          <w:sz w:val="24"/>
        </w:rPr>
        <w:t>-</w:t>
      </w:r>
      <w:r w:rsidRPr="00A964FF">
        <w:rPr>
          <w:rFonts w:ascii="Calibri" w:eastAsia="黑体" w:hAnsi="Calibri" w:hint="eastAsia"/>
          <w:color w:val="auto"/>
          <w:sz w:val="24"/>
        </w:rPr>
        <w:t>2</w:t>
      </w:r>
      <w:r>
        <w:rPr>
          <w:rFonts w:ascii="Calibri" w:eastAsia="黑体" w:hAnsi="Calibri"/>
          <w:color w:val="auto"/>
          <w:sz w:val="24"/>
        </w:rPr>
        <w:t>9</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color w:val="auto"/>
          <w:sz w:val="24"/>
        </w:rPr>
        <w:t>厂界噪声预测结果一览表</w:t>
      </w:r>
      <w:r w:rsidRPr="00A964FF">
        <w:rPr>
          <w:rFonts w:ascii="Calibri" w:eastAsia="黑体" w:hAnsi="Calibri"/>
          <w:color w:val="auto"/>
          <w:sz w:val="24"/>
        </w:rPr>
        <w:t xml:space="preserve">   </w:t>
      </w:r>
      <w:r>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eastAsia="黑体" w:hAnsi="Calibri" w:hint="eastAsia"/>
          <w:color w:val="auto"/>
          <w:sz w:val="24"/>
        </w:rPr>
        <w:t xml:space="preserve">  </w:t>
      </w:r>
      <w:r w:rsidRPr="00A964FF">
        <w:rPr>
          <w:rFonts w:ascii="Calibri" w:eastAsia="黑体" w:hAnsi="Calibri"/>
          <w:color w:val="auto"/>
          <w:sz w:val="24"/>
        </w:rPr>
        <w:t xml:space="preserve">   </w:t>
      </w:r>
      <w:r w:rsidRPr="00A964FF">
        <w:rPr>
          <w:rFonts w:ascii="Calibri" w:hAnsi="Calibri"/>
          <w:color w:val="auto"/>
          <w:szCs w:val="21"/>
        </w:rPr>
        <w:t>单位：</w:t>
      </w:r>
      <w:r w:rsidRPr="00A964FF">
        <w:rPr>
          <w:rFonts w:ascii="Calibri" w:hAnsi="Calibri"/>
          <w:color w:val="auto"/>
          <w:szCs w:val="21"/>
        </w:rPr>
        <w:t>dB</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4"/>
        <w:gridCol w:w="2652"/>
        <w:gridCol w:w="1169"/>
        <w:gridCol w:w="973"/>
        <w:gridCol w:w="976"/>
        <w:gridCol w:w="682"/>
        <w:gridCol w:w="827"/>
        <w:gridCol w:w="827"/>
      </w:tblGrid>
      <w:tr w:rsidR="00696E6B" w:rsidRPr="00A964FF" w14:paraId="16B1B72E" w14:textId="77777777" w:rsidTr="00C24F24">
        <w:trPr>
          <w:trHeight w:val="369"/>
          <w:jc w:val="center"/>
        </w:trPr>
        <w:tc>
          <w:tcPr>
            <w:tcW w:w="341" w:type="pct"/>
            <w:vAlign w:val="center"/>
          </w:tcPr>
          <w:p w14:paraId="1D9F2078" w14:textId="77777777" w:rsidR="00696E6B" w:rsidRPr="00A964FF" w:rsidRDefault="00696E6B" w:rsidP="00696E6B">
            <w:pPr>
              <w:jc w:val="center"/>
              <w:rPr>
                <w:rFonts w:ascii="Calibri" w:hAnsi="Calibri"/>
                <w:color w:val="auto"/>
              </w:rPr>
            </w:pPr>
            <w:r w:rsidRPr="00A964FF">
              <w:rPr>
                <w:rFonts w:ascii="Calibri" w:hAnsi="Calibri" w:hint="eastAsia"/>
                <w:color w:val="auto"/>
              </w:rPr>
              <w:t>站位</w:t>
            </w:r>
          </w:p>
        </w:tc>
        <w:tc>
          <w:tcPr>
            <w:tcW w:w="1524" w:type="pct"/>
            <w:vAlign w:val="center"/>
          </w:tcPr>
          <w:p w14:paraId="7CAD6E16"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噪声源</w:t>
            </w:r>
          </w:p>
        </w:tc>
        <w:tc>
          <w:tcPr>
            <w:tcW w:w="672" w:type="pct"/>
            <w:vAlign w:val="center"/>
          </w:tcPr>
          <w:p w14:paraId="246541AC" w14:textId="77777777" w:rsidR="00696E6B" w:rsidRDefault="00696E6B" w:rsidP="00696E6B">
            <w:pPr>
              <w:jc w:val="center"/>
              <w:rPr>
                <w:rFonts w:ascii="Calibri" w:hAnsi="Calibri"/>
                <w:bCs/>
                <w:color w:val="auto"/>
                <w:szCs w:val="21"/>
              </w:rPr>
            </w:pPr>
            <w:r w:rsidRPr="00A964FF">
              <w:rPr>
                <w:rFonts w:ascii="Calibri" w:hAnsi="Calibri"/>
                <w:bCs/>
                <w:color w:val="auto"/>
                <w:szCs w:val="21"/>
              </w:rPr>
              <w:t>处理后</w:t>
            </w:r>
          </w:p>
          <w:p w14:paraId="5B952ABD"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源强</w:t>
            </w:r>
          </w:p>
        </w:tc>
        <w:tc>
          <w:tcPr>
            <w:tcW w:w="559" w:type="pct"/>
            <w:vAlign w:val="center"/>
          </w:tcPr>
          <w:p w14:paraId="04958AE7"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与噪声源距离（</w:t>
            </w:r>
            <w:r w:rsidRPr="00A964FF">
              <w:rPr>
                <w:rFonts w:ascii="Calibri" w:hAnsi="Calibri"/>
                <w:bCs/>
                <w:color w:val="auto"/>
                <w:szCs w:val="21"/>
              </w:rPr>
              <w:t>m</w:t>
            </w:r>
            <w:r w:rsidRPr="00A964FF">
              <w:rPr>
                <w:rFonts w:ascii="Calibri" w:hAnsi="Calibri"/>
                <w:bCs/>
                <w:color w:val="auto"/>
                <w:szCs w:val="21"/>
              </w:rPr>
              <w:t>）</w:t>
            </w:r>
          </w:p>
        </w:tc>
        <w:tc>
          <w:tcPr>
            <w:tcW w:w="561" w:type="pct"/>
            <w:vAlign w:val="center"/>
          </w:tcPr>
          <w:p w14:paraId="77FE6527"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贡献值</w:t>
            </w:r>
          </w:p>
        </w:tc>
        <w:tc>
          <w:tcPr>
            <w:tcW w:w="392" w:type="pct"/>
            <w:vAlign w:val="center"/>
          </w:tcPr>
          <w:p w14:paraId="757B93EF"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预测值</w:t>
            </w:r>
          </w:p>
        </w:tc>
        <w:tc>
          <w:tcPr>
            <w:tcW w:w="475" w:type="pct"/>
            <w:vAlign w:val="center"/>
          </w:tcPr>
          <w:p w14:paraId="20E720F3"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标准</w:t>
            </w:r>
          </w:p>
        </w:tc>
        <w:tc>
          <w:tcPr>
            <w:tcW w:w="475" w:type="pct"/>
            <w:vAlign w:val="center"/>
          </w:tcPr>
          <w:p w14:paraId="5DE7DE1F"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达标</w:t>
            </w:r>
          </w:p>
          <w:p w14:paraId="23412EEB" w14:textId="77777777" w:rsidR="00696E6B" w:rsidRPr="00A964FF" w:rsidRDefault="00696E6B" w:rsidP="00696E6B">
            <w:pPr>
              <w:jc w:val="center"/>
              <w:rPr>
                <w:rFonts w:ascii="Calibri" w:hAnsi="Calibri"/>
                <w:bCs/>
                <w:color w:val="auto"/>
                <w:szCs w:val="21"/>
              </w:rPr>
            </w:pPr>
            <w:r w:rsidRPr="00A964FF">
              <w:rPr>
                <w:rFonts w:ascii="Calibri" w:hAnsi="Calibri"/>
                <w:bCs/>
                <w:color w:val="auto"/>
                <w:szCs w:val="21"/>
              </w:rPr>
              <w:t>情况</w:t>
            </w:r>
          </w:p>
        </w:tc>
      </w:tr>
      <w:tr w:rsidR="00C24F24" w:rsidRPr="00A964FF" w14:paraId="496F66AA" w14:textId="77777777" w:rsidTr="00C24F24">
        <w:trPr>
          <w:trHeight w:val="369"/>
          <w:jc w:val="center"/>
        </w:trPr>
        <w:tc>
          <w:tcPr>
            <w:tcW w:w="341" w:type="pct"/>
            <w:vMerge w:val="restart"/>
            <w:vAlign w:val="center"/>
          </w:tcPr>
          <w:p w14:paraId="3ACD0FF7" w14:textId="77777777" w:rsidR="00C24F24" w:rsidRPr="00A964FF" w:rsidRDefault="00C24F24" w:rsidP="00C24F24">
            <w:pPr>
              <w:jc w:val="center"/>
              <w:rPr>
                <w:rFonts w:ascii="Calibri" w:hAnsi="Calibri"/>
                <w:color w:val="auto"/>
              </w:rPr>
            </w:pPr>
            <w:r w:rsidRPr="00A964FF">
              <w:rPr>
                <w:rFonts w:ascii="Calibri" w:hAnsi="Calibri" w:hint="eastAsia"/>
                <w:color w:val="auto"/>
              </w:rPr>
              <w:t>东</w:t>
            </w:r>
          </w:p>
          <w:p w14:paraId="67EA4FAB" w14:textId="77777777" w:rsidR="00C24F24" w:rsidRPr="00A964FF" w:rsidRDefault="00C24F24" w:rsidP="00C24F24">
            <w:pPr>
              <w:jc w:val="center"/>
              <w:rPr>
                <w:rFonts w:ascii="Calibri" w:hAnsi="Calibri"/>
                <w:color w:val="auto"/>
              </w:rPr>
            </w:pPr>
            <w:r w:rsidRPr="00A964FF">
              <w:rPr>
                <w:rFonts w:ascii="Calibri" w:hAnsi="Calibri" w:hint="eastAsia"/>
                <w:color w:val="auto"/>
              </w:rPr>
              <w:t>厂</w:t>
            </w:r>
          </w:p>
          <w:p w14:paraId="22FF4444" w14:textId="77777777" w:rsidR="00C24F24" w:rsidRPr="00A964FF" w:rsidRDefault="00C24F24" w:rsidP="00C24F24">
            <w:pPr>
              <w:jc w:val="center"/>
              <w:rPr>
                <w:rFonts w:ascii="Calibri" w:hAnsi="Calibri"/>
                <w:color w:val="auto"/>
              </w:rPr>
            </w:pPr>
            <w:r w:rsidRPr="00A964FF">
              <w:rPr>
                <w:rFonts w:ascii="Calibri" w:hAnsi="Calibri" w:hint="eastAsia"/>
                <w:color w:val="auto"/>
              </w:rPr>
              <w:t>界</w:t>
            </w:r>
          </w:p>
        </w:tc>
        <w:tc>
          <w:tcPr>
            <w:tcW w:w="1524" w:type="pct"/>
            <w:vAlign w:val="center"/>
          </w:tcPr>
          <w:p w14:paraId="35EAA2D2"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生产</w:t>
            </w:r>
            <w:r>
              <w:rPr>
                <w:rFonts w:ascii="Calibri" w:hAnsi="Calibri"/>
                <w:color w:val="auto"/>
                <w:szCs w:val="21"/>
              </w:rPr>
              <w:t>车间</w:t>
            </w:r>
          </w:p>
        </w:tc>
        <w:tc>
          <w:tcPr>
            <w:tcW w:w="672" w:type="pct"/>
            <w:vAlign w:val="center"/>
          </w:tcPr>
          <w:p w14:paraId="05751C06" w14:textId="77777777" w:rsidR="00C24F24" w:rsidRPr="00A964FF" w:rsidRDefault="00C24F24" w:rsidP="00C24F24">
            <w:pPr>
              <w:jc w:val="center"/>
              <w:rPr>
                <w:rFonts w:ascii="Calibri" w:hAnsi="Calibri"/>
                <w:color w:val="auto"/>
                <w:szCs w:val="21"/>
              </w:rPr>
            </w:pPr>
            <w:r>
              <w:rPr>
                <w:rFonts w:ascii="Calibri" w:hAnsi="Calibri"/>
                <w:color w:val="auto"/>
                <w:szCs w:val="21"/>
              </w:rPr>
              <w:t>63.3</w:t>
            </w:r>
          </w:p>
        </w:tc>
        <w:tc>
          <w:tcPr>
            <w:tcW w:w="559" w:type="pct"/>
            <w:vAlign w:val="center"/>
          </w:tcPr>
          <w:p w14:paraId="78C0BB76" w14:textId="77777777" w:rsidR="00C24F24" w:rsidRPr="00A964FF" w:rsidRDefault="00C24F24" w:rsidP="00C24F24">
            <w:pPr>
              <w:jc w:val="center"/>
              <w:rPr>
                <w:rFonts w:ascii="Calibri" w:hAnsi="Calibri"/>
                <w:color w:val="auto"/>
              </w:rPr>
            </w:pPr>
            <w:r>
              <w:rPr>
                <w:rFonts w:ascii="Calibri" w:hAnsi="Calibri"/>
                <w:color w:val="auto"/>
              </w:rPr>
              <w:t>88</w:t>
            </w:r>
          </w:p>
        </w:tc>
        <w:tc>
          <w:tcPr>
            <w:tcW w:w="561" w:type="pct"/>
            <w:vAlign w:val="center"/>
          </w:tcPr>
          <w:p w14:paraId="14E4A14B" w14:textId="77777777" w:rsidR="00C24F24" w:rsidRPr="00A964FF" w:rsidRDefault="00C24F24" w:rsidP="00C24F24">
            <w:pPr>
              <w:jc w:val="center"/>
              <w:rPr>
                <w:rFonts w:ascii="Calibri" w:hAnsi="Calibri"/>
                <w:color w:val="auto"/>
              </w:rPr>
            </w:pPr>
            <w:r>
              <w:rPr>
                <w:rFonts w:ascii="Calibri" w:hAnsi="Calibri" w:hint="eastAsia"/>
                <w:color w:val="auto"/>
              </w:rPr>
              <w:t>24.4</w:t>
            </w:r>
          </w:p>
        </w:tc>
        <w:tc>
          <w:tcPr>
            <w:tcW w:w="392" w:type="pct"/>
            <w:vMerge w:val="restart"/>
            <w:vAlign w:val="center"/>
          </w:tcPr>
          <w:p w14:paraId="220C84CD" w14:textId="77777777" w:rsidR="00C24F24" w:rsidRPr="00A964FF" w:rsidRDefault="00C24F24" w:rsidP="00C24F24">
            <w:pPr>
              <w:jc w:val="center"/>
              <w:rPr>
                <w:rFonts w:ascii="Calibri" w:hAnsi="Calibri"/>
                <w:color w:val="auto"/>
              </w:rPr>
            </w:pPr>
            <w:r w:rsidRPr="00C24F24">
              <w:rPr>
                <w:rFonts w:ascii="Calibri" w:hAnsi="Calibri" w:hint="eastAsia"/>
                <w:color w:val="auto"/>
                <w:szCs w:val="21"/>
              </w:rPr>
              <w:t>49.5</w:t>
            </w:r>
          </w:p>
        </w:tc>
        <w:tc>
          <w:tcPr>
            <w:tcW w:w="475" w:type="pct"/>
            <w:vMerge w:val="restart"/>
            <w:vAlign w:val="center"/>
          </w:tcPr>
          <w:p w14:paraId="554F7C0C" w14:textId="77777777" w:rsidR="00C24F24" w:rsidRPr="00A964FF" w:rsidRDefault="00C24F24" w:rsidP="00C24F24">
            <w:pPr>
              <w:jc w:val="center"/>
              <w:rPr>
                <w:rFonts w:ascii="Calibri" w:hAnsi="Calibri"/>
                <w:color w:val="auto"/>
              </w:rPr>
            </w:pPr>
            <w:r w:rsidRPr="00A964FF">
              <w:rPr>
                <w:rFonts w:ascii="Calibri" w:hAnsi="Calibri" w:hint="eastAsia"/>
                <w:color w:val="auto"/>
              </w:rPr>
              <w:t>6</w:t>
            </w:r>
            <w:r>
              <w:rPr>
                <w:rFonts w:ascii="Calibri" w:hAnsi="Calibri"/>
                <w:color w:val="auto"/>
              </w:rPr>
              <w:t>5</w:t>
            </w:r>
            <w:r w:rsidRPr="00A964FF">
              <w:rPr>
                <w:rFonts w:ascii="Calibri" w:hAnsi="Calibri" w:hint="eastAsia"/>
                <w:color w:val="auto"/>
              </w:rPr>
              <w:t>/5</w:t>
            </w:r>
            <w:r>
              <w:rPr>
                <w:rFonts w:ascii="Calibri" w:hAnsi="Calibri"/>
                <w:color w:val="auto"/>
              </w:rPr>
              <w:t>5</w:t>
            </w:r>
          </w:p>
        </w:tc>
        <w:tc>
          <w:tcPr>
            <w:tcW w:w="475" w:type="pct"/>
            <w:vMerge w:val="restart"/>
            <w:vAlign w:val="center"/>
          </w:tcPr>
          <w:p w14:paraId="6556AE73" w14:textId="77777777" w:rsidR="00C24F24" w:rsidRPr="00A964FF" w:rsidRDefault="00C24F24" w:rsidP="00C24F24">
            <w:pPr>
              <w:jc w:val="center"/>
              <w:rPr>
                <w:rFonts w:ascii="Calibri" w:hAnsi="Calibri"/>
                <w:color w:val="auto"/>
              </w:rPr>
            </w:pPr>
            <w:r>
              <w:rPr>
                <w:rFonts w:ascii="Calibri" w:hAnsi="Calibri" w:hint="eastAsia"/>
                <w:color w:val="auto"/>
              </w:rPr>
              <w:t>达标</w:t>
            </w:r>
          </w:p>
        </w:tc>
      </w:tr>
      <w:tr w:rsidR="00C24F24" w:rsidRPr="00A964FF" w14:paraId="53996872" w14:textId="77777777" w:rsidTr="00C24F24">
        <w:trPr>
          <w:trHeight w:val="369"/>
          <w:jc w:val="center"/>
        </w:trPr>
        <w:tc>
          <w:tcPr>
            <w:tcW w:w="341" w:type="pct"/>
            <w:vMerge/>
            <w:vAlign w:val="center"/>
          </w:tcPr>
          <w:p w14:paraId="51C26F62" w14:textId="77777777" w:rsidR="00C24F24" w:rsidRPr="00A964FF" w:rsidRDefault="00C24F24" w:rsidP="00C24F24">
            <w:pPr>
              <w:jc w:val="center"/>
              <w:rPr>
                <w:rFonts w:ascii="Calibri" w:hAnsi="Calibri"/>
                <w:color w:val="auto"/>
              </w:rPr>
            </w:pPr>
          </w:p>
        </w:tc>
        <w:tc>
          <w:tcPr>
            <w:tcW w:w="1524" w:type="pct"/>
            <w:vAlign w:val="center"/>
          </w:tcPr>
          <w:p w14:paraId="2B37E476"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1A443EE3"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472D50E6" w14:textId="77777777" w:rsidR="00C24F24" w:rsidRPr="00A964FF" w:rsidRDefault="00C24F24" w:rsidP="00C24F24">
            <w:pPr>
              <w:jc w:val="center"/>
              <w:rPr>
                <w:rFonts w:ascii="Calibri" w:hAnsi="Calibri"/>
                <w:color w:val="auto"/>
              </w:rPr>
            </w:pPr>
            <w:r>
              <w:rPr>
                <w:rFonts w:ascii="Calibri" w:hAnsi="Calibri" w:hint="eastAsia"/>
                <w:color w:val="auto"/>
                <w:szCs w:val="21"/>
              </w:rPr>
              <w:t>185</w:t>
            </w:r>
          </w:p>
        </w:tc>
        <w:tc>
          <w:tcPr>
            <w:tcW w:w="561" w:type="pct"/>
            <w:vAlign w:val="center"/>
          </w:tcPr>
          <w:p w14:paraId="30855781" w14:textId="77777777" w:rsidR="00C24F24" w:rsidRPr="00A964FF" w:rsidRDefault="00C24F24" w:rsidP="00C24F24">
            <w:pPr>
              <w:jc w:val="center"/>
              <w:rPr>
                <w:rFonts w:ascii="Calibri" w:hAnsi="Calibri"/>
                <w:color w:val="auto"/>
              </w:rPr>
            </w:pPr>
            <w:r>
              <w:rPr>
                <w:rFonts w:ascii="Calibri" w:hAnsi="Calibri"/>
                <w:color w:val="auto"/>
              </w:rPr>
              <w:t>24</w:t>
            </w:r>
            <w:r>
              <w:rPr>
                <w:rFonts w:ascii="Calibri" w:hAnsi="Calibri" w:hint="eastAsia"/>
                <w:color w:val="auto"/>
              </w:rPr>
              <w:t>.7</w:t>
            </w:r>
          </w:p>
        </w:tc>
        <w:tc>
          <w:tcPr>
            <w:tcW w:w="392" w:type="pct"/>
            <w:vMerge/>
            <w:vAlign w:val="center"/>
          </w:tcPr>
          <w:p w14:paraId="067AC270" w14:textId="77777777" w:rsidR="00C24F24" w:rsidRPr="00A964FF" w:rsidRDefault="00C24F24" w:rsidP="00C24F24">
            <w:pPr>
              <w:jc w:val="center"/>
              <w:rPr>
                <w:rFonts w:ascii="Calibri" w:hAnsi="Calibri"/>
                <w:color w:val="auto"/>
              </w:rPr>
            </w:pPr>
          </w:p>
        </w:tc>
        <w:tc>
          <w:tcPr>
            <w:tcW w:w="475" w:type="pct"/>
            <w:vMerge/>
            <w:vAlign w:val="center"/>
          </w:tcPr>
          <w:p w14:paraId="2E81FC9C" w14:textId="77777777" w:rsidR="00C24F24" w:rsidRPr="00A964FF" w:rsidRDefault="00C24F24" w:rsidP="00C24F24">
            <w:pPr>
              <w:jc w:val="center"/>
              <w:rPr>
                <w:rFonts w:ascii="Calibri" w:hAnsi="Calibri"/>
                <w:color w:val="auto"/>
              </w:rPr>
            </w:pPr>
          </w:p>
        </w:tc>
        <w:tc>
          <w:tcPr>
            <w:tcW w:w="475" w:type="pct"/>
            <w:vMerge/>
            <w:vAlign w:val="center"/>
          </w:tcPr>
          <w:p w14:paraId="4BC4AFCF" w14:textId="77777777" w:rsidR="00C24F24" w:rsidRPr="00A964FF" w:rsidRDefault="00C24F24" w:rsidP="00C24F24">
            <w:pPr>
              <w:jc w:val="center"/>
              <w:rPr>
                <w:rFonts w:ascii="Calibri" w:hAnsi="Calibri"/>
                <w:color w:val="auto"/>
              </w:rPr>
            </w:pPr>
          </w:p>
        </w:tc>
      </w:tr>
      <w:tr w:rsidR="00C24F24" w:rsidRPr="00A964FF" w14:paraId="1439B325" w14:textId="77777777" w:rsidTr="00C24F24">
        <w:trPr>
          <w:trHeight w:val="369"/>
          <w:jc w:val="center"/>
        </w:trPr>
        <w:tc>
          <w:tcPr>
            <w:tcW w:w="341" w:type="pct"/>
            <w:vMerge/>
            <w:vAlign w:val="center"/>
          </w:tcPr>
          <w:p w14:paraId="3F48CBDC" w14:textId="77777777" w:rsidR="00C24F24" w:rsidRPr="00A964FF" w:rsidRDefault="00C24F24" w:rsidP="00C24F24">
            <w:pPr>
              <w:jc w:val="center"/>
              <w:rPr>
                <w:rFonts w:ascii="Calibri" w:hAnsi="Calibri"/>
                <w:color w:val="auto"/>
              </w:rPr>
            </w:pPr>
          </w:p>
        </w:tc>
        <w:tc>
          <w:tcPr>
            <w:tcW w:w="1524" w:type="pct"/>
            <w:vAlign w:val="center"/>
          </w:tcPr>
          <w:p w14:paraId="66C186B8"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295A2BD8"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0350BFA2" w14:textId="77777777" w:rsidR="00C24F24" w:rsidRPr="00A964FF" w:rsidRDefault="00C24F24" w:rsidP="00C24F24">
            <w:pPr>
              <w:jc w:val="center"/>
              <w:rPr>
                <w:rFonts w:ascii="Calibri" w:hAnsi="Calibri"/>
                <w:color w:val="auto"/>
              </w:rPr>
            </w:pPr>
            <w:r>
              <w:rPr>
                <w:rFonts w:ascii="Calibri" w:hAnsi="Calibri" w:hint="eastAsia"/>
                <w:color w:val="auto"/>
              </w:rPr>
              <w:t>18</w:t>
            </w:r>
          </w:p>
        </w:tc>
        <w:tc>
          <w:tcPr>
            <w:tcW w:w="561" w:type="pct"/>
            <w:vAlign w:val="center"/>
          </w:tcPr>
          <w:p w14:paraId="4BD46C3D" w14:textId="77777777" w:rsidR="00C24F24" w:rsidRPr="00A964FF" w:rsidRDefault="00C24F24" w:rsidP="00C24F24">
            <w:pPr>
              <w:jc w:val="center"/>
              <w:rPr>
                <w:rFonts w:ascii="Calibri" w:hAnsi="Calibri"/>
                <w:color w:val="auto"/>
              </w:rPr>
            </w:pPr>
            <w:r>
              <w:rPr>
                <w:rFonts w:ascii="Calibri" w:hAnsi="Calibri" w:hint="eastAsia"/>
                <w:color w:val="auto"/>
              </w:rPr>
              <w:t>4</w:t>
            </w:r>
            <w:r>
              <w:rPr>
                <w:rFonts w:ascii="Calibri" w:hAnsi="Calibri"/>
                <w:color w:val="auto"/>
              </w:rPr>
              <w:t>4</w:t>
            </w:r>
            <w:r>
              <w:rPr>
                <w:rFonts w:ascii="Calibri" w:hAnsi="Calibri" w:hint="eastAsia"/>
                <w:color w:val="auto"/>
              </w:rPr>
              <w:t>.9</w:t>
            </w:r>
          </w:p>
        </w:tc>
        <w:tc>
          <w:tcPr>
            <w:tcW w:w="392" w:type="pct"/>
            <w:vMerge/>
            <w:vAlign w:val="center"/>
          </w:tcPr>
          <w:p w14:paraId="2F493775" w14:textId="77777777" w:rsidR="00C24F24" w:rsidRPr="00A964FF" w:rsidRDefault="00C24F24" w:rsidP="00C24F24">
            <w:pPr>
              <w:jc w:val="center"/>
              <w:rPr>
                <w:rFonts w:ascii="Calibri" w:hAnsi="Calibri"/>
                <w:color w:val="auto"/>
              </w:rPr>
            </w:pPr>
          </w:p>
        </w:tc>
        <w:tc>
          <w:tcPr>
            <w:tcW w:w="475" w:type="pct"/>
            <w:vMerge/>
            <w:vAlign w:val="center"/>
          </w:tcPr>
          <w:p w14:paraId="26E13F13" w14:textId="77777777" w:rsidR="00C24F24" w:rsidRPr="00A964FF" w:rsidRDefault="00C24F24" w:rsidP="00C24F24">
            <w:pPr>
              <w:jc w:val="center"/>
              <w:rPr>
                <w:rFonts w:ascii="Calibri" w:hAnsi="Calibri"/>
                <w:color w:val="auto"/>
              </w:rPr>
            </w:pPr>
          </w:p>
        </w:tc>
        <w:tc>
          <w:tcPr>
            <w:tcW w:w="475" w:type="pct"/>
            <w:vMerge/>
            <w:vAlign w:val="center"/>
          </w:tcPr>
          <w:p w14:paraId="2A3D7EE4" w14:textId="77777777" w:rsidR="00C24F24" w:rsidRPr="00A964FF" w:rsidRDefault="00C24F24" w:rsidP="00C24F24">
            <w:pPr>
              <w:jc w:val="center"/>
              <w:rPr>
                <w:rFonts w:ascii="Calibri" w:hAnsi="Calibri"/>
                <w:color w:val="auto"/>
              </w:rPr>
            </w:pPr>
          </w:p>
        </w:tc>
      </w:tr>
      <w:tr w:rsidR="00C24F24" w:rsidRPr="00A964FF" w14:paraId="2BAC04F8" w14:textId="77777777" w:rsidTr="00C24F24">
        <w:trPr>
          <w:trHeight w:val="369"/>
          <w:jc w:val="center"/>
        </w:trPr>
        <w:tc>
          <w:tcPr>
            <w:tcW w:w="341" w:type="pct"/>
            <w:vMerge/>
            <w:vAlign w:val="center"/>
          </w:tcPr>
          <w:p w14:paraId="049A3C68" w14:textId="77777777" w:rsidR="00C24F24" w:rsidRPr="00A964FF" w:rsidRDefault="00C24F24" w:rsidP="00C24F24">
            <w:pPr>
              <w:jc w:val="center"/>
              <w:rPr>
                <w:rFonts w:ascii="Calibri" w:hAnsi="Calibri"/>
                <w:color w:val="auto"/>
              </w:rPr>
            </w:pPr>
          </w:p>
        </w:tc>
        <w:tc>
          <w:tcPr>
            <w:tcW w:w="1524" w:type="pct"/>
            <w:vAlign w:val="center"/>
          </w:tcPr>
          <w:p w14:paraId="2C0C0A78"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64FA6945"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75A56770" w14:textId="77777777" w:rsidR="00C24F24" w:rsidRPr="00A964FF" w:rsidRDefault="00C24F24" w:rsidP="00C24F24">
            <w:pPr>
              <w:jc w:val="center"/>
              <w:rPr>
                <w:rFonts w:ascii="Calibri" w:hAnsi="Calibri"/>
                <w:color w:val="auto"/>
              </w:rPr>
            </w:pPr>
            <w:r>
              <w:rPr>
                <w:rFonts w:ascii="Calibri" w:hAnsi="Calibri"/>
                <w:color w:val="auto"/>
              </w:rPr>
              <w:t>25</w:t>
            </w:r>
          </w:p>
        </w:tc>
        <w:tc>
          <w:tcPr>
            <w:tcW w:w="561" w:type="pct"/>
            <w:vAlign w:val="center"/>
          </w:tcPr>
          <w:p w14:paraId="657E18B0" w14:textId="77777777" w:rsidR="00C24F24" w:rsidRPr="00A964FF" w:rsidRDefault="00C24F24" w:rsidP="00C24F24">
            <w:pPr>
              <w:jc w:val="center"/>
              <w:rPr>
                <w:rFonts w:ascii="Calibri" w:hAnsi="Calibri"/>
                <w:color w:val="auto"/>
              </w:rPr>
            </w:pPr>
            <w:r>
              <w:rPr>
                <w:rFonts w:ascii="Calibri" w:hAnsi="Calibri" w:hint="eastAsia"/>
                <w:color w:val="auto"/>
              </w:rPr>
              <w:t>4</w:t>
            </w:r>
            <w:r>
              <w:rPr>
                <w:rFonts w:ascii="Calibri" w:hAnsi="Calibri"/>
                <w:color w:val="auto"/>
              </w:rPr>
              <w:t>2</w:t>
            </w:r>
            <w:r>
              <w:rPr>
                <w:rFonts w:ascii="Calibri" w:hAnsi="Calibri" w:hint="eastAsia"/>
                <w:color w:val="auto"/>
              </w:rPr>
              <w:t>.0</w:t>
            </w:r>
          </w:p>
        </w:tc>
        <w:tc>
          <w:tcPr>
            <w:tcW w:w="392" w:type="pct"/>
            <w:vMerge/>
            <w:vAlign w:val="center"/>
          </w:tcPr>
          <w:p w14:paraId="31861272" w14:textId="77777777" w:rsidR="00C24F24" w:rsidRPr="00A964FF" w:rsidRDefault="00C24F24" w:rsidP="00C24F24">
            <w:pPr>
              <w:jc w:val="center"/>
              <w:rPr>
                <w:rFonts w:ascii="Calibri" w:hAnsi="Calibri"/>
                <w:color w:val="auto"/>
              </w:rPr>
            </w:pPr>
          </w:p>
        </w:tc>
        <w:tc>
          <w:tcPr>
            <w:tcW w:w="475" w:type="pct"/>
            <w:vMerge/>
            <w:vAlign w:val="center"/>
          </w:tcPr>
          <w:p w14:paraId="7F7E7893" w14:textId="77777777" w:rsidR="00C24F24" w:rsidRPr="00A964FF" w:rsidRDefault="00C24F24" w:rsidP="00C24F24">
            <w:pPr>
              <w:jc w:val="center"/>
              <w:rPr>
                <w:rFonts w:ascii="Calibri" w:hAnsi="Calibri"/>
                <w:color w:val="auto"/>
              </w:rPr>
            </w:pPr>
          </w:p>
        </w:tc>
        <w:tc>
          <w:tcPr>
            <w:tcW w:w="475" w:type="pct"/>
            <w:vMerge/>
            <w:vAlign w:val="center"/>
          </w:tcPr>
          <w:p w14:paraId="31E4A573" w14:textId="77777777" w:rsidR="00C24F24" w:rsidRPr="00A964FF" w:rsidRDefault="00C24F24" w:rsidP="00C24F24">
            <w:pPr>
              <w:jc w:val="center"/>
              <w:rPr>
                <w:rFonts w:ascii="Calibri" w:hAnsi="Calibri"/>
                <w:color w:val="auto"/>
              </w:rPr>
            </w:pPr>
          </w:p>
        </w:tc>
      </w:tr>
      <w:tr w:rsidR="00C24F24" w:rsidRPr="00A964FF" w14:paraId="251CC368" w14:textId="77777777" w:rsidTr="00C24F24">
        <w:trPr>
          <w:trHeight w:val="369"/>
          <w:jc w:val="center"/>
        </w:trPr>
        <w:tc>
          <w:tcPr>
            <w:tcW w:w="341" w:type="pct"/>
            <w:vMerge/>
            <w:vAlign w:val="center"/>
          </w:tcPr>
          <w:p w14:paraId="01476FEB" w14:textId="77777777" w:rsidR="00C24F24" w:rsidRPr="00A964FF" w:rsidRDefault="00C24F24" w:rsidP="00C24F24">
            <w:pPr>
              <w:jc w:val="center"/>
              <w:rPr>
                <w:rFonts w:ascii="Calibri" w:hAnsi="Calibri"/>
                <w:color w:val="auto"/>
              </w:rPr>
            </w:pPr>
          </w:p>
        </w:tc>
        <w:tc>
          <w:tcPr>
            <w:tcW w:w="1524" w:type="pct"/>
            <w:vAlign w:val="center"/>
          </w:tcPr>
          <w:p w14:paraId="2C9D4B56"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3</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295FE83A"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5F5CD112" w14:textId="77777777" w:rsidR="00C24F24" w:rsidRPr="00A964FF" w:rsidRDefault="00C24F24" w:rsidP="00C24F24">
            <w:pPr>
              <w:jc w:val="center"/>
              <w:rPr>
                <w:rFonts w:ascii="Calibri" w:hAnsi="Calibri"/>
                <w:color w:val="auto"/>
              </w:rPr>
            </w:pPr>
            <w:r>
              <w:rPr>
                <w:rFonts w:ascii="Calibri" w:hAnsi="Calibri"/>
                <w:color w:val="auto"/>
              </w:rPr>
              <w:t>36</w:t>
            </w:r>
          </w:p>
        </w:tc>
        <w:tc>
          <w:tcPr>
            <w:tcW w:w="561" w:type="pct"/>
            <w:vAlign w:val="center"/>
          </w:tcPr>
          <w:p w14:paraId="06CD997D" w14:textId="77777777" w:rsidR="00C24F24" w:rsidRPr="00A964FF" w:rsidRDefault="00C24F24" w:rsidP="00C24F24">
            <w:pPr>
              <w:jc w:val="center"/>
              <w:rPr>
                <w:rFonts w:ascii="Calibri" w:hAnsi="Calibri"/>
                <w:color w:val="auto"/>
              </w:rPr>
            </w:pPr>
            <w:r>
              <w:rPr>
                <w:rFonts w:ascii="Calibri" w:hAnsi="Calibri"/>
                <w:color w:val="auto"/>
              </w:rPr>
              <w:t>38</w:t>
            </w:r>
            <w:r>
              <w:rPr>
                <w:rFonts w:ascii="Calibri" w:hAnsi="Calibri" w:hint="eastAsia"/>
                <w:color w:val="auto"/>
              </w:rPr>
              <w:t>.9</w:t>
            </w:r>
          </w:p>
        </w:tc>
        <w:tc>
          <w:tcPr>
            <w:tcW w:w="392" w:type="pct"/>
            <w:vMerge/>
            <w:vAlign w:val="center"/>
          </w:tcPr>
          <w:p w14:paraId="18860876" w14:textId="77777777" w:rsidR="00C24F24" w:rsidRPr="00A964FF" w:rsidRDefault="00C24F24" w:rsidP="00C24F24">
            <w:pPr>
              <w:jc w:val="center"/>
              <w:rPr>
                <w:rFonts w:ascii="Calibri" w:hAnsi="Calibri"/>
                <w:color w:val="auto"/>
              </w:rPr>
            </w:pPr>
          </w:p>
        </w:tc>
        <w:tc>
          <w:tcPr>
            <w:tcW w:w="475" w:type="pct"/>
            <w:vMerge/>
            <w:vAlign w:val="center"/>
          </w:tcPr>
          <w:p w14:paraId="68FF453F" w14:textId="77777777" w:rsidR="00C24F24" w:rsidRPr="00A964FF" w:rsidRDefault="00C24F24" w:rsidP="00C24F24">
            <w:pPr>
              <w:jc w:val="center"/>
              <w:rPr>
                <w:rFonts w:ascii="Calibri" w:hAnsi="Calibri"/>
                <w:color w:val="auto"/>
              </w:rPr>
            </w:pPr>
          </w:p>
        </w:tc>
        <w:tc>
          <w:tcPr>
            <w:tcW w:w="475" w:type="pct"/>
            <w:vMerge/>
            <w:vAlign w:val="center"/>
          </w:tcPr>
          <w:p w14:paraId="24106C70" w14:textId="77777777" w:rsidR="00C24F24" w:rsidRPr="00A964FF" w:rsidRDefault="00C24F24" w:rsidP="00C24F24">
            <w:pPr>
              <w:jc w:val="center"/>
              <w:rPr>
                <w:rFonts w:ascii="Calibri" w:hAnsi="Calibri"/>
                <w:color w:val="auto"/>
              </w:rPr>
            </w:pPr>
          </w:p>
        </w:tc>
      </w:tr>
      <w:tr w:rsidR="00C24F24" w:rsidRPr="00A964FF" w14:paraId="4095007F" w14:textId="77777777" w:rsidTr="00C24F24">
        <w:trPr>
          <w:trHeight w:val="369"/>
          <w:jc w:val="center"/>
        </w:trPr>
        <w:tc>
          <w:tcPr>
            <w:tcW w:w="341" w:type="pct"/>
            <w:vMerge/>
            <w:vAlign w:val="center"/>
          </w:tcPr>
          <w:p w14:paraId="5B812188" w14:textId="77777777" w:rsidR="00C24F24" w:rsidRPr="00A964FF" w:rsidRDefault="00C24F24" w:rsidP="00C24F24">
            <w:pPr>
              <w:jc w:val="center"/>
              <w:rPr>
                <w:rFonts w:ascii="Calibri" w:hAnsi="Calibri"/>
                <w:color w:val="auto"/>
              </w:rPr>
            </w:pPr>
          </w:p>
        </w:tc>
        <w:tc>
          <w:tcPr>
            <w:tcW w:w="1524" w:type="pct"/>
            <w:vAlign w:val="center"/>
          </w:tcPr>
          <w:p w14:paraId="03F03374"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鼓风机</w:t>
            </w:r>
          </w:p>
        </w:tc>
        <w:tc>
          <w:tcPr>
            <w:tcW w:w="672" w:type="pct"/>
            <w:vAlign w:val="center"/>
          </w:tcPr>
          <w:p w14:paraId="30F2A2D6" w14:textId="77777777" w:rsidR="00C24F24" w:rsidRPr="00A964FF" w:rsidRDefault="00C24F24" w:rsidP="00C24F24">
            <w:pPr>
              <w:jc w:val="center"/>
              <w:rPr>
                <w:rFonts w:ascii="Calibri" w:hAnsi="Calibri"/>
                <w:color w:val="auto"/>
                <w:szCs w:val="21"/>
              </w:rPr>
            </w:pPr>
            <w:r>
              <w:rPr>
                <w:rFonts w:ascii="Calibri" w:hAnsi="Calibri"/>
                <w:color w:val="auto"/>
                <w:szCs w:val="21"/>
              </w:rPr>
              <w:t>75</w:t>
            </w:r>
          </w:p>
        </w:tc>
        <w:tc>
          <w:tcPr>
            <w:tcW w:w="559" w:type="pct"/>
            <w:vAlign w:val="center"/>
          </w:tcPr>
          <w:p w14:paraId="675DC056" w14:textId="77777777" w:rsidR="00C24F24" w:rsidRPr="00A964FF" w:rsidRDefault="00C24F24" w:rsidP="00C24F24">
            <w:pPr>
              <w:jc w:val="center"/>
              <w:rPr>
                <w:rFonts w:ascii="Calibri" w:hAnsi="Calibri"/>
                <w:color w:val="auto"/>
              </w:rPr>
            </w:pPr>
            <w:r>
              <w:rPr>
                <w:rFonts w:ascii="Calibri" w:hAnsi="Calibri" w:hint="eastAsia"/>
                <w:color w:val="auto"/>
              </w:rPr>
              <w:t>38</w:t>
            </w:r>
          </w:p>
        </w:tc>
        <w:tc>
          <w:tcPr>
            <w:tcW w:w="561" w:type="pct"/>
            <w:vAlign w:val="center"/>
          </w:tcPr>
          <w:p w14:paraId="12A87FDB" w14:textId="77777777" w:rsidR="00C24F24" w:rsidRPr="00A964FF" w:rsidRDefault="00C24F24" w:rsidP="00C24F24">
            <w:pPr>
              <w:jc w:val="center"/>
              <w:rPr>
                <w:rFonts w:ascii="Calibri" w:hAnsi="Calibri"/>
                <w:color w:val="auto"/>
              </w:rPr>
            </w:pPr>
            <w:r>
              <w:rPr>
                <w:rFonts w:ascii="Calibri" w:hAnsi="Calibri"/>
                <w:color w:val="auto"/>
              </w:rPr>
              <w:t>44</w:t>
            </w:r>
            <w:r>
              <w:rPr>
                <w:rFonts w:ascii="Calibri" w:hAnsi="Calibri" w:hint="eastAsia"/>
                <w:color w:val="auto"/>
              </w:rPr>
              <w:t>.4</w:t>
            </w:r>
          </w:p>
        </w:tc>
        <w:tc>
          <w:tcPr>
            <w:tcW w:w="392" w:type="pct"/>
            <w:vMerge/>
            <w:vAlign w:val="center"/>
          </w:tcPr>
          <w:p w14:paraId="653DBB84" w14:textId="77777777" w:rsidR="00C24F24" w:rsidRPr="00A964FF" w:rsidRDefault="00C24F24" w:rsidP="00C24F24">
            <w:pPr>
              <w:jc w:val="center"/>
              <w:rPr>
                <w:rFonts w:ascii="Calibri" w:hAnsi="Calibri"/>
                <w:color w:val="auto"/>
              </w:rPr>
            </w:pPr>
          </w:p>
        </w:tc>
        <w:tc>
          <w:tcPr>
            <w:tcW w:w="475" w:type="pct"/>
            <w:vMerge/>
            <w:vAlign w:val="center"/>
          </w:tcPr>
          <w:p w14:paraId="0C4F9152" w14:textId="77777777" w:rsidR="00C24F24" w:rsidRPr="00A964FF" w:rsidRDefault="00C24F24" w:rsidP="00C24F24">
            <w:pPr>
              <w:jc w:val="center"/>
              <w:rPr>
                <w:rFonts w:ascii="Calibri" w:hAnsi="Calibri"/>
                <w:color w:val="auto"/>
              </w:rPr>
            </w:pPr>
          </w:p>
        </w:tc>
        <w:tc>
          <w:tcPr>
            <w:tcW w:w="475" w:type="pct"/>
            <w:vMerge/>
            <w:vAlign w:val="center"/>
          </w:tcPr>
          <w:p w14:paraId="6386AC83" w14:textId="77777777" w:rsidR="00C24F24" w:rsidRPr="00A964FF" w:rsidRDefault="00C24F24" w:rsidP="00C24F24">
            <w:pPr>
              <w:jc w:val="center"/>
              <w:rPr>
                <w:rFonts w:ascii="Calibri" w:hAnsi="Calibri"/>
                <w:color w:val="auto"/>
              </w:rPr>
            </w:pPr>
          </w:p>
        </w:tc>
      </w:tr>
      <w:tr w:rsidR="00C24F24" w:rsidRPr="00A964FF" w14:paraId="4EE21AE9" w14:textId="77777777" w:rsidTr="00C24F24">
        <w:trPr>
          <w:trHeight w:val="369"/>
          <w:jc w:val="center"/>
        </w:trPr>
        <w:tc>
          <w:tcPr>
            <w:tcW w:w="341" w:type="pct"/>
            <w:vMerge/>
            <w:vAlign w:val="center"/>
          </w:tcPr>
          <w:p w14:paraId="2F40D8FC" w14:textId="77777777" w:rsidR="00C24F24" w:rsidRPr="00A964FF" w:rsidRDefault="00C24F24" w:rsidP="00C24F24">
            <w:pPr>
              <w:jc w:val="center"/>
              <w:rPr>
                <w:rFonts w:ascii="Calibri" w:hAnsi="Calibri"/>
                <w:color w:val="auto"/>
              </w:rPr>
            </w:pPr>
          </w:p>
        </w:tc>
        <w:tc>
          <w:tcPr>
            <w:tcW w:w="1524" w:type="pct"/>
            <w:vAlign w:val="center"/>
          </w:tcPr>
          <w:p w14:paraId="65D11502"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废气</w:t>
            </w:r>
            <w:r>
              <w:rPr>
                <w:rFonts w:ascii="Calibri" w:hAnsi="Calibri"/>
                <w:color w:val="auto"/>
                <w:szCs w:val="21"/>
              </w:rPr>
              <w:t>处理</w:t>
            </w:r>
            <w:r>
              <w:rPr>
                <w:rFonts w:ascii="Calibri" w:hAnsi="Calibri" w:hint="eastAsia"/>
                <w:color w:val="auto"/>
                <w:szCs w:val="21"/>
              </w:rPr>
              <w:t>风机</w:t>
            </w:r>
          </w:p>
        </w:tc>
        <w:tc>
          <w:tcPr>
            <w:tcW w:w="672" w:type="pct"/>
            <w:vAlign w:val="center"/>
          </w:tcPr>
          <w:p w14:paraId="211FE949"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60455D26" w14:textId="77777777" w:rsidR="00C24F24" w:rsidRPr="00A964FF" w:rsidRDefault="00C24F24" w:rsidP="00C24F24">
            <w:pPr>
              <w:jc w:val="center"/>
              <w:rPr>
                <w:rFonts w:ascii="Calibri" w:hAnsi="Calibri"/>
                <w:color w:val="auto"/>
              </w:rPr>
            </w:pPr>
            <w:r>
              <w:rPr>
                <w:rFonts w:ascii="Calibri" w:hAnsi="Calibri" w:hint="eastAsia"/>
                <w:color w:val="auto"/>
              </w:rPr>
              <w:t>40</w:t>
            </w:r>
          </w:p>
        </w:tc>
        <w:tc>
          <w:tcPr>
            <w:tcW w:w="561" w:type="pct"/>
            <w:vAlign w:val="center"/>
          </w:tcPr>
          <w:p w14:paraId="60136D85" w14:textId="77777777" w:rsidR="00C24F24" w:rsidRPr="00A964FF" w:rsidRDefault="00C24F24" w:rsidP="00C24F24">
            <w:pPr>
              <w:jc w:val="center"/>
              <w:rPr>
                <w:rFonts w:ascii="Calibri" w:hAnsi="Calibri"/>
                <w:color w:val="auto"/>
              </w:rPr>
            </w:pPr>
            <w:r>
              <w:rPr>
                <w:rFonts w:ascii="Calibri" w:hAnsi="Calibri"/>
                <w:color w:val="auto"/>
              </w:rPr>
              <w:t>38</w:t>
            </w:r>
            <w:r>
              <w:rPr>
                <w:rFonts w:ascii="Calibri" w:hAnsi="Calibri" w:hint="eastAsia"/>
                <w:color w:val="auto"/>
              </w:rPr>
              <w:t>.0</w:t>
            </w:r>
          </w:p>
        </w:tc>
        <w:tc>
          <w:tcPr>
            <w:tcW w:w="392" w:type="pct"/>
            <w:vMerge/>
            <w:vAlign w:val="center"/>
          </w:tcPr>
          <w:p w14:paraId="645D64AD" w14:textId="77777777" w:rsidR="00C24F24" w:rsidRPr="00A964FF" w:rsidRDefault="00C24F24" w:rsidP="00C24F24">
            <w:pPr>
              <w:jc w:val="center"/>
              <w:rPr>
                <w:rFonts w:ascii="Calibri" w:hAnsi="Calibri"/>
                <w:color w:val="auto"/>
              </w:rPr>
            </w:pPr>
          </w:p>
        </w:tc>
        <w:tc>
          <w:tcPr>
            <w:tcW w:w="475" w:type="pct"/>
            <w:vMerge/>
            <w:vAlign w:val="center"/>
          </w:tcPr>
          <w:p w14:paraId="6DEC271F" w14:textId="77777777" w:rsidR="00C24F24" w:rsidRPr="00A964FF" w:rsidRDefault="00C24F24" w:rsidP="00C24F24">
            <w:pPr>
              <w:jc w:val="center"/>
              <w:rPr>
                <w:rFonts w:ascii="Calibri" w:hAnsi="Calibri"/>
                <w:color w:val="auto"/>
              </w:rPr>
            </w:pPr>
          </w:p>
        </w:tc>
        <w:tc>
          <w:tcPr>
            <w:tcW w:w="475" w:type="pct"/>
            <w:vMerge/>
            <w:vAlign w:val="center"/>
          </w:tcPr>
          <w:p w14:paraId="17A5CE25" w14:textId="77777777" w:rsidR="00C24F24" w:rsidRPr="00A964FF" w:rsidRDefault="00C24F24" w:rsidP="00C24F24">
            <w:pPr>
              <w:jc w:val="center"/>
              <w:rPr>
                <w:rFonts w:ascii="Calibri" w:hAnsi="Calibri"/>
                <w:color w:val="auto"/>
              </w:rPr>
            </w:pPr>
          </w:p>
        </w:tc>
      </w:tr>
      <w:tr w:rsidR="00C24F24" w:rsidRPr="00A964FF" w14:paraId="7B3D6358" w14:textId="77777777" w:rsidTr="00C24F24">
        <w:trPr>
          <w:trHeight w:val="369"/>
          <w:jc w:val="center"/>
        </w:trPr>
        <w:tc>
          <w:tcPr>
            <w:tcW w:w="341" w:type="pct"/>
            <w:vMerge/>
            <w:vAlign w:val="center"/>
          </w:tcPr>
          <w:p w14:paraId="532F42B2" w14:textId="77777777" w:rsidR="00C24F24" w:rsidRPr="00A964FF" w:rsidRDefault="00C24F24" w:rsidP="00C24F24">
            <w:pPr>
              <w:jc w:val="center"/>
              <w:rPr>
                <w:rFonts w:ascii="Calibri" w:hAnsi="Calibri"/>
                <w:color w:val="auto"/>
              </w:rPr>
            </w:pPr>
          </w:p>
        </w:tc>
        <w:tc>
          <w:tcPr>
            <w:tcW w:w="1524" w:type="pct"/>
            <w:vAlign w:val="center"/>
          </w:tcPr>
          <w:p w14:paraId="571E8FA3"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4A794C69"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2A753D13" w14:textId="77777777" w:rsidR="00C24F24" w:rsidRPr="00A964FF" w:rsidRDefault="00C24F24" w:rsidP="00C24F24">
            <w:pPr>
              <w:jc w:val="center"/>
              <w:rPr>
                <w:rFonts w:ascii="Calibri" w:hAnsi="Calibri"/>
                <w:color w:val="auto"/>
              </w:rPr>
            </w:pPr>
            <w:r>
              <w:rPr>
                <w:rFonts w:ascii="Calibri" w:hAnsi="Calibri" w:hint="eastAsia"/>
                <w:color w:val="auto"/>
              </w:rPr>
              <w:t>185</w:t>
            </w:r>
          </w:p>
        </w:tc>
        <w:tc>
          <w:tcPr>
            <w:tcW w:w="561" w:type="pct"/>
            <w:vAlign w:val="center"/>
          </w:tcPr>
          <w:p w14:paraId="6EB4CF13" w14:textId="77777777" w:rsidR="00C24F24" w:rsidRPr="00A964FF" w:rsidRDefault="00C24F24" w:rsidP="00C24F24">
            <w:pPr>
              <w:jc w:val="center"/>
              <w:rPr>
                <w:rFonts w:ascii="Calibri" w:hAnsi="Calibri"/>
                <w:color w:val="auto"/>
              </w:rPr>
            </w:pPr>
            <w:r>
              <w:rPr>
                <w:rFonts w:ascii="Calibri" w:hAnsi="Calibri" w:hint="eastAsia"/>
                <w:color w:val="auto"/>
              </w:rPr>
              <w:t>2</w:t>
            </w:r>
            <w:r>
              <w:rPr>
                <w:rFonts w:ascii="Calibri" w:hAnsi="Calibri"/>
                <w:color w:val="auto"/>
              </w:rPr>
              <w:t>4</w:t>
            </w:r>
            <w:r>
              <w:rPr>
                <w:rFonts w:ascii="Calibri" w:hAnsi="Calibri" w:hint="eastAsia"/>
                <w:color w:val="auto"/>
              </w:rPr>
              <w:t>.7</w:t>
            </w:r>
          </w:p>
        </w:tc>
        <w:tc>
          <w:tcPr>
            <w:tcW w:w="392" w:type="pct"/>
            <w:vMerge/>
            <w:vAlign w:val="center"/>
          </w:tcPr>
          <w:p w14:paraId="29790F8E" w14:textId="77777777" w:rsidR="00C24F24" w:rsidRPr="00A964FF" w:rsidRDefault="00C24F24" w:rsidP="00C24F24">
            <w:pPr>
              <w:jc w:val="center"/>
              <w:rPr>
                <w:rFonts w:ascii="Calibri" w:hAnsi="Calibri"/>
                <w:color w:val="auto"/>
              </w:rPr>
            </w:pPr>
          </w:p>
        </w:tc>
        <w:tc>
          <w:tcPr>
            <w:tcW w:w="475" w:type="pct"/>
            <w:vMerge/>
            <w:vAlign w:val="center"/>
          </w:tcPr>
          <w:p w14:paraId="2456739C" w14:textId="77777777" w:rsidR="00C24F24" w:rsidRPr="00A964FF" w:rsidRDefault="00C24F24" w:rsidP="00C24F24">
            <w:pPr>
              <w:jc w:val="center"/>
              <w:rPr>
                <w:rFonts w:ascii="Calibri" w:hAnsi="Calibri"/>
                <w:color w:val="auto"/>
              </w:rPr>
            </w:pPr>
          </w:p>
        </w:tc>
        <w:tc>
          <w:tcPr>
            <w:tcW w:w="475" w:type="pct"/>
            <w:vMerge/>
            <w:vAlign w:val="center"/>
          </w:tcPr>
          <w:p w14:paraId="239DE3EB" w14:textId="77777777" w:rsidR="00C24F24" w:rsidRPr="00A964FF" w:rsidRDefault="00C24F24" w:rsidP="00C24F24">
            <w:pPr>
              <w:jc w:val="center"/>
              <w:rPr>
                <w:rFonts w:ascii="Calibri" w:hAnsi="Calibri"/>
                <w:color w:val="auto"/>
              </w:rPr>
            </w:pPr>
          </w:p>
        </w:tc>
      </w:tr>
      <w:tr w:rsidR="00C24F24" w:rsidRPr="00A964FF" w14:paraId="27C55BCF" w14:textId="77777777" w:rsidTr="00C24F24">
        <w:trPr>
          <w:trHeight w:val="369"/>
          <w:jc w:val="center"/>
        </w:trPr>
        <w:tc>
          <w:tcPr>
            <w:tcW w:w="341" w:type="pct"/>
            <w:vMerge w:val="restart"/>
            <w:vAlign w:val="center"/>
          </w:tcPr>
          <w:p w14:paraId="7D1910EA" w14:textId="77777777" w:rsidR="00C24F24" w:rsidRPr="00A964FF" w:rsidRDefault="00C24F24" w:rsidP="00C24F24">
            <w:pPr>
              <w:jc w:val="center"/>
              <w:rPr>
                <w:rFonts w:ascii="Calibri" w:hAnsi="Calibri"/>
                <w:color w:val="auto"/>
              </w:rPr>
            </w:pPr>
            <w:r w:rsidRPr="00A964FF">
              <w:rPr>
                <w:rFonts w:ascii="Calibri" w:hAnsi="Calibri" w:hint="eastAsia"/>
                <w:color w:val="auto"/>
              </w:rPr>
              <w:t>南</w:t>
            </w:r>
          </w:p>
          <w:p w14:paraId="45AADB37" w14:textId="77777777" w:rsidR="00C24F24" w:rsidRPr="00A964FF" w:rsidRDefault="00C24F24" w:rsidP="00C24F24">
            <w:pPr>
              <w:jc w:val="center"/>
              <w:rPr>
                <w:rFonts w:ascii="Calibri" w:hAnsi="Calibri"/>
                <w:color w:val="auto"/>
              </w:rPr>
            </w:pPr>
            <w:r w:rsidRPr="00A964FF">
              <w:rPr>
                <w:rFonts w:ascii="Calibri" w:hAnsi="Calibri" w:hint="eastAsia"/>
                <w:color w:val="auto"/>
              </w:rPr>
              <w:t>厂</w:t>
            </w:r>
          </w:p>
          <w:p w14:paraId="46A8B0B6" w14:textId="77777777" w:rsidR="00C24F24" w:rsidRPr="00A964FF" w:rsidRDefault="00C24F24" w:rsidP="00C24F24">
            <w:pPr>
              <w:jc w:val="center"/>
              <w:rPr>
                <w:rFonts w:ascii="Calibri" w:hAnsi="Calibri"/>
                <w:color w:val="auto"/>
              </w:rPr>
            </w:pPr>
            <w:r w:rsidRPr="00A964FF">
              <w:rPr>
                <w:rFonts w:ascii="Calibri" w:hAnsi="Calibri" w:hint="eastAsia"/>
                <w:color w:val="auto"/>
              </w:rPr>
              <w:t>界</w:t>
            </w:r>
          </w:p>
        </w:tc>
        <w:tc>
          <w:tcPr>
            <w:tcW w:w="1524" w:type="pct"/>
            <w:vAlign w:val="center"/>
          </w:tcPr>
          <w:p w14:paraId="509006E4"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生产</w:t>
            </w:r>
            <w:r>
              <w:rPr>
                <w:rFonts w:ascii="Calibri" w:hAnsi="Calibri"/>
                <w:color w:val="auto"/>
                <w:szCs w:val="21"/>
              </w:rPr>
              <w:t>车间</w:t>
            </w:r>
          </w:p>
        </w:tc>
        <w:tc>
          <w:tcPr>
            <w:tcW w:w="672" w:type="pct"/>
            <w:vAlign w:val="center"/>
          </w:tcPr>
          <w:p w14:paraId="40652B53" w14:textId="77777777" w:rsidR="00C24F24" w:rsidRPr="00A964FF" w:rsidRDefault="00C24F24" w:rsidP="00C24F24">
            <w:pPr>
              <w:jc w:val="center"/>
              <w:rPr>
                <w:rFonts w:ascii="Calibri" w:hAnsi="Calibri"/>
                <w:color w:val="auto"/>
                <w:szCs w:val="21"/>
              </w:rPr>
            </w:pPr>
            <w:r>
              <w:rPr>
                <w:rFonts w:ascii="Calibri" w:hAnsi="Calibri"/>
                <w:color w:val="auto"/>
                <w:szCs w:val="21"/>
              </w:rPr>
              <w:t>63.3</w:t>
            </w:r>
          </w:p>
        </w:tc>
        <w:tc>
          <w:tcPr>
            <w:tcW w:w="559" w:type="pct"/>
            <w:vAlign w:val="center"/>
          </w:tcPr>
          <w:p w14:paraId="043BE879"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240</w:t>
            </w:r>
          </w:p>
        </w:tc>
        <w:tc>
          <w:tcPr>
            <w:tcW w:w="561" w:type="pct"/>
            <w:vAlign w:val="center"/>
          </w:tcPr>
          <w:p w14:paraId="09520ADB" w14:textId="77777777" w:rsidR="00C24F24" w:rsidRPr="00A964FF" w:rsidRDefault="00C24F24" w:rsidP="00C24F24">
            <w:pPr>
              <w:jc w:val="center"/>
              <w:rPr>
                <w:rFonts w:ascii="Calibri" w:hAnsi="Calibri"/>
                <w:color w:val="auto"/>
              </w:rPr>
            </w:pPr>
            <w:r>
              <w:rPr>
                <w:rFonts w:ascii="Calibri" w:hAnsi="Calibri" w:hint="eastAsia"/>
                <w:color w:val="auto"/>
              </w:rPr>
              <w:t>15.7</w:t>
            </w:r>
          </w:p>
        </w:tc>
        <w:tc>
          <w:tcPr>
            <w:tcW w:w="392" w:type="pct"/>
            <w:vMerge w:val="restart"/>
            <w:vAlign w:val="center"/>
          </w:tcPr>
          <w:p w14:paraId="2B771D12" w14:textId="77777777" w:rsidR="00C24F24" w:rsidRPr="00A964FF" w:rsidRDefault="00C24F24" w:rsidP="00C24F24">
            <w:pPr>
              <w:jc w:val="center"/>
              <w:rPr>
                <w:rFonts w:ascii="Calibri" w:hAnsi="Calibri"/>
                <w:color w:val="auto"/>
              </w:rPr>
            </w:pPr>
            <w:r>
              <w:rPr>
                <w:rFonts w:ascii="Calibri" w:hAnsi="Calibri" w:hint="eastAsia"/>
                <w:color w:val="auto"/>
              </w:rPr>
              <w:t>52.9</w:t>
            </w:r>
          </w:p>
        </w:tc>
        <w:tc>
          <w:tcPr>
            <w:tcW w:w="475" w:type="pct"/>
            <w:vMerge w:val="restart"/>
            <w:vAlign w:val="center"/>
          </w:tcPr>
          <w:p w14:paraId="13A30725" w14:textId="77777777" w:rsidR="00C24F24" w:rsidRPr="00A964FF" w:rsidRDefault="00C24F24" w:rsidP="00C24F24">
            <w:pPr>
              <w:jc w:val="center"/>
              <w:rPr>
                <w:rFonts w:ascii="Calibri" w:hAnsi="Calibri"/>
                <w:color w:val="auto"/>
              </w:rPr>
            </w:pPr>
            <w:r w:rsidRPr="00A964FF">
              <w:rPr>
                <w:rFonts w:ascii="Calibri" w:hAnsi="Calibri" w:hint="eastAsia"/>
                <w:color w:val="auto"/>
              </w:rPr>
              <w:t>6</w:t>
            </w:r>
            <w:r>
              <w:rPr>
                <w:rFonts w:ascii="Calibri" w:hAnsi="Calibri"/>
                <w:color w:val="auto"/>
              </w:rPr>
              <w:t>5</w:t>
            </w:r>
            <w:r w:rsidRPr="00A964FF">
              <w:rPr>
                <w:rFonts w:ascii="Calibri" w:hAnsi="Calibri" w:hint="eastAsia"/>
                <w:color w:val="auto"/>
              </w:rPr>
              <w:t>/5</w:t>
            </w:r>
            <w:r>
              <w:rPr>
                <w:rFonts w:ascii="Calibri" w:hAnsi="Calibri"/>
                <w:color w:val="auto"/>
              </w:rPr>
              <w:t>5</w:t>
            </w:r>
          </w:p>
        </w:tc>
        <w:tc>
          <w:tcPr>
            <w:tcW w:w="475" w:type="pct"/>
            <w:vMerge w:val="restart"/>
            <w:vAlign w:val="center"/>
          </w:tcPr>
          <w:p w14:paraId="7055D47B" w14:textId="77777777" w:rsidR="00C24F24" w:rsidRPr="00A964FF" w:rsidRDefault="00C24F24" w:rsidP="00C24F24">
            <w:pPr>
              <w:jc w:val="center"/>
              <w:rPr>
                <w:rFonts w:ascii="Calibri" w:hAnsi="Calibri"/>
                <w:color w:val="auto"/>
              </w:rPr>
            </w:pPr>
            <w:r>
              <w:rPr>
                <w:rFonts w:ascii="Calibri" w:hAnsi="Calibri" w:hint="eastAsia"/>
                <w:color w:val="auto"/>
              </w:rPr>
              <w:t>达标</w:t>
            </w:r>
          </w:p>
        </w:tc>
      </w:tr>
      <w:tr w:rsidR="00C24F24" w:rsidRPr="00A964FF" w14:paraId="6EAA18E2" w14:textId="77777777" w:rsidTr="00C24F24">
        <w:trPr>
          <w:trHeight w:val="369"/>
          <w:jc w:val="center"/>
        </w:trPr>
        <w:tc>
          <w:tcPr>
            <w:tcW w:w="341" w:type="pct"/>
            <w:vMerge/>
            <w:vAlign w:val="center"/>
          </w:tcPr>
          <w:p w14:paraId="595FE80B" w14:textId="77777777" w:rsidR="00C24F24" w:rsidRPr="00A964FF" w:rsidRDefault="00C24F24" w:rsidP="00C24F24">
            <w:pPr>
              <w:jc w:val="center"/>
              <w:rPr>
                <w:rFonts w:ascii="Calibri" w:hAnsi="Calibri"/>
                <w:color w:val="auto"/>
              </w:rPr>
            </w:pPr>
          </w:p>
        </w:tc>
        <w:tc>
          <w:tcPr>
            <w:tcW w:w="1524" w:type="pct"/>
            <w:vAlign w:val="center"/>
          </w:tcPr>
          <w:p w14:paraId="4F55D1A6"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2A58BD79"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2969A193"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320</w:t>
            </w:r>
          </w:p>
        </w:tc>
        <w:tc>
          <w:tcPr>
            <w:tcW w:w="561" w:type="pct"/>
            <w:vAlign w:val="center"/>
          </w:tcPr>
          <w:p w14:paraId="54685D57" w14:textId="77777777" w:rsidR="00C24F24" w:rsidRPr="00A964FF" w:rsidRDefault="00C24F24" w:rsidP="00C24F24">
            <w:pPr>
              <w:jc w:val="center"/>
              <w:rPr>
                <w:rFonts w:ascii="Calibri" w:hAnsi="Calibri"/>
                <w:color w:val="auto"/>
              </w:rPr>
            </w:pPr>
            <w:r>
              <w:rPr>
                <w:rFonts w:ascii="Calibri" w:hAnsi="Calibri" w:hint="eastAsia"/>
                <w:color w:val="auto"/>
              </w:rPr>
              <w:t>19.9</w:t>
            </w:r>
          </w:p>
        </w:tc>
        <w:tc>
          <w:tcPr>
            <w:tcW w:w="392" w:type="pct"/>
            <w:vMerge/>
            <w:vAlign w:val="center"/>
          </w:tcPr>
          <w:p w14:paraId="42D1C3BF" w14:textId="77777777" w:rsidR="00C24F24" w:rsidRPr="00A964FF" w:rsidRDefault="00C24F24" w:rsidP="00C24F24">
            <w:pPr>
              <w:jc w:val="center"/>
              <w:rPr>
                <w:rFonts w:ascii="Calibri" w:hAnsi="Calibri"/>
                <w:color w:val="auto"/>
              </w:rPr>
            </w:pPr>
          </w:p>
        </w:tc>
        <w:tc>
          <w:tcPr>
            <w:tcW w:w="475" w:type="pct"/>
            <w:vMerge/>
            <w:vAlign w:val="center"/>
          </w:tcPr>
          <w:p w14:paraId="044F5ADF" w14:textId="77777777" w:rsidR="00C24F24" w:rsidRPr="00A964FF" w:rsidRDefault="00C24F24" w:rsidP="00C24F24">
            <w:pPr>
              <w:jc w:val="center"/>
              <w:rPr>
                <w:rFonts w:ascii="Calibri" w:hAnsi="Calibri"/>
                <w:color w:val="auto"/>
              </w:rPr>
            </w:pPr>
          </w:p>
        </w:tc>
        <w:tc>
          <w:tcPr>
            <w:tcW w:w="475" w:type="pct"/>
            <w:vMerge/>
            <w:vAlign w:val="center"/>
          </w:tcPr>
          <w:p w14:paraId="735DC060" w14:textId="77777777" w:rsidR="00C24F24" w:rsidRPr="00A964FF" w:rsidRDefault="00C24F24" w:rsidP="00C24F24">
            <w:pPr>
              <w:jc w:val="center"/>
              <w:rPr>
                <w:rFonts w:ascii="Calibri" w:hAnsi="Calibri"/>
                <w:color w:val="auto"/>
              </w:rPr>
            </w:pPr>
          </w:p>
        </w:tc>
      </w:tr>
      <w:tr w:rsidR="00C24F24" w:rsidRPr="00A964FF" w14:paraId="5E2A1F06" w14:textId="77777777" w:rsidTr="00C24F24">
        <w:trPr>
          <w:trHeight w:val="369"/>
          <w:jc w:val="center"/>
        </w:trPr>
        <w:tc>
          <w:tcPr>
            <w:tcW w:w="341" w:type="pct"/>
            <w:vMerge/>
            <w:vAlign w:val="center"/>
          </w:tcPr>
          <w:p w14:paraId="0E89999B" w14:textId="77777777" w:rsidR="00C24F24" w:rsidRPr="00A964FF" w:rsidRDefault="00C24F24" w:rsidP="00C24F24">
            <w:pPr>
              <w:jc w:val="center"/>
              <w:rPr>
                <w:rFonts w:ascii="Calibri" w:hAnsi="Calibri"/>
                <w:color w:val="auto"/>
              </w:rPr>
            </w:pPr>
          </w:p>
        </w:tc>
        <w:tc>
          <w:tcPr>
            <w:tcW w:w="1524" w:type="pct"/>
            <w:vAlign w:val="center"/>
          </w:tcPr>
          <w:p w14:paraId="4FD67A64"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7222392C"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25F84DF0"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16</w:t>
            </w:r>
          </w:p>
        </w:tc>
        <w:tc>
          <w:tcPr>
            <w:tcW w:w="561" w:type="pct"/>
            <w:vAlign w:val="center"/>
          </w:tcPr>
          <w:p w14:paraId="41D2BAE4" w14:textId="77777777" w:rsidR="00C24F24" w:rsidRPr="00A964FF" w:rsidRDefault="00C24F24" w:rsidP="00C24F24">
            <w:pPr>
              <w:jc w:val="center"/>
              <w:rPr>
                <w:rFonts w:ascii="Calibri" w:hAnsi="Calibri"/>
                <w:color w:val="auto"/>
              </w:rPr>
            </w:pPr>
            <w:r>
              <w:rPr>
                <w:rFonts w:ascii="Calibri" w:hAnsi="Calibri" w:hint="eastAsia"/>
                <w:color w:val="auto"/>
              </w:rPr>
              <w:t>45.9</w:t>
            </w:r>
          </w:p>
        </w:tc>
        <w:tc>
          <w:tcPr>
            <w:tcW w:w="392" w:type="pct"/>
            <w:vMerge/>
            <w:vAlign w:val="center"/>
          </w:tcPr>
          <w:p w14:paraId="4C589A57" w14:textId="77777777" w:rsidR="00C24F24" w:rsidRPr="00A964FF" w:rsidRDefault="00C24F24" w:rsidP="00C24F24">
            <w:pPr>
              <w:jc w:val="center"/>
              <w:rPr>
                <w:rFonts w:ascii="Calibri" w:hAnsi="Calibri"/>
                <w:color w:val="auto"/>
              </w:rPr>
            </w:pPr>
          </w:p>
        </w:tc>
        <w:tc>
          <w:tcPr>
            <w:tcW w:w="475" w:type="pct"/>
            <w:vMerge/>
            <w:vAlign w:val="center"/>
          </w:tcPr>
          <w:p w14:paraId="7E25C974" w14:textId="77777777" w:rsidR="00C24F24" w:rsidRPr="00A964FF" w:rsidRDefault="00C24F24" w:rsidP="00C24F24">
            <w:pPr>
              <w:jc w:val="center"/>
              <w:rPr>
                <w:rFonts w:ascii="Calibri" w:hAnsi="Calibri"/>
                <w:color w:val="auto"/>
              </w:rPr>
            </w:pPr>
          </w:p>
        </w:tc>
        <w:tc>
          <w:tcPr>
            <w:tcW w:w="475" w:type="pct"/>
            <w:vMerge/>
            <w:vAlign w:val="center"/>
          </w:tcPr>
          <w:p w14:paraId="0AAE5CC8" w14:textId="77777777" w:rsidR="00C24F24" w:rsidRPr="00A964FF" w:rsidRDefault="00C24F24" w:rsidP="00C24F24">
            <w:pPr>
              <w:jc w:val="center"/>
              <w:rPr>
                <w:rFonts w:ascii="Calibri" w:hAnsi="Calibri"/>
                <w:color w:val="auto"/>
              </w:rPr>
            </w:pPr>
          </w:p>
        </w:tc>
      </w:tr>
      <w:tr w:rsidR="00C24F24" w:rsidRPr="00A964FF" w14:paraId="4269212F" w14:textId="77777777" w:rsidTr="00C24F24">
        <w:trPr>
          <w:trHeight w:val="369"/>
          <w:jc w:val="center"/>
        </w:trPr>
        <w:tc>
          <w:tcPr>
            <w:tcW w:w="341" w:type="pct"/>
            <w:vMerge/>
            <w:vAlign w:val="center"/>
          </w:tcPr>
          <w:p w14:paraId="10F51621" w14:textId="77777777" w:rsidR="00C24F24" w:rsidRPr="00A964FF" w:rsidRDefault="00C24F24" w:rsidP="00C24F24">
            <w:pPr>
              <w:jc w:val="center"/>
              <w:rPr>
                <w:rFonts w:ascii="Calibri" w:hAnsi="Calibri"/>
                <w:color w:val="auto"/>
              </w:rPr>
            </w:pPr>
          </w:p>
        </w:tc>
        <w:tc>
          <w:tcPr>
            <w:tcW w:w="1524" w:type="pct"/>
            <w:vAlign w:val="center"/>
          </w:tcPr>
          <w:p w14:paraId="255EA783"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3B4D16EB"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17751668"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18</w:t>
            </w:r>
          </w:p>
        </w:tc>
        <w:tc>
          <w:tcPr>
            <w:tcW w:w="561" w:type="pct"/>
            <w:vAlign w:val="center"/>
          </w:tcPr>
          <w:p w14:paraId="01E94FE1" w14:textId="77777777" w:rsidR="00C24F24" w:rsidRPr="00A964FF" w:rsidRDefault="00C24F24" w:rsidP="00C24F24">
            <w:pPr>
              <w:jc w:val="center"/>
              <w:rPr>
                <w:rFonts w:ascii="Calibri" w:hAnsi="Calibri"/>
                <w:color w:val="auto"/>
              </w:rPr>
            </w:pPr>
            <w:r>
              <w:rPr>
                <w:rFonts w:ascii="Calibri" w:hAnsi="Calibri" w:hint="eastAsia"/>
                <w:color w:val="auto"/>
              </w:rPr>
              <w:t>44.9</w:t>
            </w:r>
          </w:p>
        </w:tc>
        <w:tc>
          <w:tcPr>
            <w:tcW w:w="392" w:type="pct"/>
            <w:vMerge/>
            <w:vAlign w:val="center"/>
          </w:tcPr>
          <w:p w14:paraId="6EAA11C6" w14:textId="77777777" w:rsidR="00C24F24" w:rsidRPr="00A964FF" w:rsidRDefault="00C24F24" w:rsidP="00C24F24">
            <w:pPr>
              <w:jc w:val="center"/>
              <w:rPr>
                <w:rFonts w:ascii="Calibri" w:hAnsi="Calibri"/>
                <w:color w:val="auto"/>
              </w:rPr>
            </w:pPr>
          </w:p>
        </w:tc>
        <w:tc>
          <w:tcPr>
            <w:tcW w:w="475" w:type="pct"/>
            <w:vMerge/>
            <w:vAlign w:val="center"/>
          </w:tcPr>
          <w:p w14:paraId="0D78CB20" w14:textId="77777777" w:rsidR="00C24F24" w:rsidRPr="00A964FF" w:rsidRDefault="00C24F24" w:rsidP="00C24F24">
            <w:pPr>
              <w:jc w:val="center"/>
              <w:rPr>
                <w:rFonts w:ascii="Calibri" w:hAnsi="Calibri"/>
                <w:color w:val="auto"/>
              </w:rPr>
            </w:pPr>
          </w:p>
        </w:tc>
        <w:tc>
          <w:tcPr>
            <w:tcW w:w="475" w:type="pct"/>
            <w:vMerge/>
            <w:vAlign w:val="center"/>
          </w:tcPr>
          <w:p w14:paraId="6E154E48" w14:textId="77777777" w:rsidR="00C24F24" w:rsidRPr="00A964FF" w:rsidRDefault="00C24F24" w:rsidP="00C24F24">
            <w:pPr>
              <w:jc w:val="center"/>
              <w:rPr>
                <w:rFonts w:ascii="Calibri" w:hAnsi="Calibri"/>
                <w:color w:val="auto"/>
              </w:rPr>
            </w:pPr>
          </w:p>
        </w:tc>
      </w:tr>
      <w:tr w:rsidR="00C24F24" w:rsidRPr="00A964FF" w14:paraId="66C9566C" w14:textId="77777777" w:rsidTr="00C24F24">
        <w:trPr>
          <w:trHeight w:val="369"/>
          <w:jc w:val="center"/>
        </w:trPr>
        <w:tc>
          <w:tcPr>
            <w:tcW w:w="341" w:type="pct"/>
            <w:vMerge/>
            <w:vAlign w:val="center"/>
          </w:tcPr>
          <w:p w14:paraId="562AD9D2" w14:textId="77777777" w:rsidR="00C24F24" w:rsidRPr="00A964FF" w:rsidRDefault="00C24F24" w:rsidP="00C24F24">
            <w:pPr>
              <w:jc w:val="center"/>
              <w:rPr>
                <w:rFonts w:ascii="Calibri" w:hAnsi="Calibri"/>
                <w:color w:val="auto"/>
              </w:rPr>
            </w:pPr>
          </w:p>
        </w:tc>
        <w:tc>
          <w:tcPr>
            <w:tcW w:w="1524" w:type="pct"/>
            <w:vAlign w:val="center"/>
          </w:tcPr>
          <w:p w14:paraId="44F32DA6"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3</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402B0369"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4D2E9F45"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18</w:t>
            </w:r>
          </w:p>
        </w:tc>
        <w:tc>
          <w:tcPr>
            <w:tcW w:w="561" w:type="pct"/>
            <w:vAlign w:val="center"/>
          </w:tcPr>
          <w:p w14:paraId="10A108E3" w14:textId="77777777" w:rsidR="00C24F24" w:rsidRPr="00A964FF" w:rsidRDefault="00C24F24" w:rsidP="00C24F24">
            <w:pPr>
              <w:jc w:val="center"/>
              <w:rPr>
                <w:rFonts w:ascii="Calibri" w:hAnsi="Calibri"/>
                <w:color w:val="auto"/>
              </w:rPr>
            </w:pPr>
            <w:r>
              <w:rPr>
                <w:rFonts w:ascii="Calibri" w:hAnsi="Calibri" w:hint="eastAsia"/>
                <w:color w:val="auto"/>
              </w:rPr>
              <w:t>44.9</w:t>
            </w:r>
          </w:p>
        </w:tc>
        <w:tc>
          <w:tcPr>
            <w:tcW w:w="392" w:type="pct"/>
            <w:vMerge/>
            <w:vAlign w:val="center"/>
          </w:tcPr>
          <w:p w14:paraId="0CDEB8BF" w14:textId="77777777" w:rsidR="00C24F24" w:rsidRPr="00A964FF" w:rsidRDefault="00C24F24" w:rsidP="00C24F24">
            <w:pPr>
              <w:jc w:val="center"/>
              <w:rPr>
                <w:rFonts w:ascii="Calibri" w:hAnsi="Calibri"/>
                <w:color w:val="auto"/>
              </w:rPr>
            </w:pPr>
          </w:p>
        </w:tc>
        <w:tc>
          <w:tcPr>
            <w:tcW w:w="475" w:type="pct"/>
            <w:vMerge/>
            <w:vAlign w:val="center"/>
          </w:tcPr>
          <w:p w14:paraId="5762276A" w14:textId="77777777" w:rsidR="00C24F24" w:rsidRPr="00A964FF" w:rsidRDefault="00C24F24" w:rsidP="00C24F24">
            <w:pPr>
              <w:jc w:val="center"/>
              <w:rPr>
                <w:rFonts w:ascii="Calibri" w:hAnsi="Calibri"/>
                <w:color w:val="auto"/>
              </w:rPr>
            </w:pPr>
          </w:p>
        </w:tc>
        <w:tc>
          <w:tcPr>
            <w:tcW w:w="475" w:type="pct"/>
            <w:vMerge/>
            <w:vAlign w:val="center"/>
          </w:tcPr>
          <w:p w14:paraId="6B8EF7E7" w14:textId="77777777" w:rsidR="00C24F24" w:rsidRPr="00A964FF" w:rsidRDefault="00C24F24" w:rsidP="00C24F24">
            <w:pPr>
              <w:jc w:val="center"/>
              <w:rPr>
                <w:rFonts w:ascii="Calibri" w:hAnsi="Calibri"/>
                <w:color w:val="auto"/>
              </w:rPr>
            </w:pPr>
          </w:p>
        </w:tc>
      </w:tr>
      <w:tr w:rsidR="00C24F24" w:rsidRPr="00A964FF" w14:paraId="0B626580" w14:textId="77777777" w:rsidTr="00C24F24">
        <w:trPr>
          <w:trHeight w:val="369"/>
          <w:jc w:val="center"/>
        </w:trPr>
        <w:tc>
          <w:tcPr>
            <w:tcW w:w="341" w:type="pct"/>
            <w:vMerge/>
            <w:vAlign w:val="center"/>
          </w:tcPr>
          <w:p w14:paraId="550550AA" w14:textId="77777777" w:rsidR="00C24F24" w:rsidRPr="00A964FF" w:rsidRDefault="00C24F24" w:rsidP="00C24F24">
            <w:pPr>
              <w:jc w:val="center"/>
              <w:rPr>
                <w:rFonts w:ascii="Calibri" w:hAnsi="Calibri"/>
                <w:color w:val="auto"/>
              </w:rPr>
            </w:pPr>
          </w:p>
        </w:tc>
        <w:tc>
          <w:tcPr>
            <w:tcW w:w="1524" w:type="pct"/>
            <w:vAlign w:val="center"/>
          </w:tcPr>
          <w:p w14:paraId="47F46505"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鼓风机</w:t>
            </w:r>
          </w:p>
        </w:tc>
        <w:tc>
          <w:tcPr>
            <w:tcW w:w="672" w:type="pct"/>
            <w:vAlign w:val="center"/>
          </w:tcPr>
          <w:p w14:paraId="05D453CD" w14:textId="77777777" w:rsidR="00C24F24" w:rsidRPr="00A964FF" w:rsidRDefault="00C24F24" w:rsidP="00C24F24">
            <w:pPr>
              <w:jc w:val="center"/>
              <w:rPr>
                <w:rFonts w:ascii="Calibri" w:hAnsi="Calibri"/>
                <w:color w:val="auto"/>
                <w:szCs w:val="21"/>
              </w:rPr>
            </w:pPr>
            <w:r>
              <w:rPr>
                <w:rFonts w:ascii="Calibri" w:hAnsi="Calibri"/>
                <w:color w:val="auto"/>
                <w:szCs w:val="21"/>
              </w:rPr>
              <w:t>75</w:t>
            </w:r>
          </w:p>
        </w:tc>
        <w:tc>
          <w:tcPr>
            <w:tcW w:w="559" w:type="pct"/>
            <w:vAlign w:val="center"/>
          </w:tcPr>
          <w:p w14:paraId="3D9F90ED"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20</w:t>
            </w:r>
          </w:p>
        </w:tc>
        <w:tc>
          <w:tcPr>
            <w:tcW w:w="561" w:type="pct"/>
            <w:vAlign w:val="center"/>
          </w:tcPr>
          <w:p w14:paraId="2D87A971" w14:textId="77777777" w:rsidR="00C24F24" w:rsidRPr="00A964FF" w:rsidRDefault="00C24F24" w:rsidP="00C24F24">
            <w:pPr>
              <w:jc w:val="center"/>
              <w:rPr>
                <w:rFonts w:ascii="Calibri" w:hAnsi="Calibri"/>
                <w:color w:val="auto"/>
              </w:rPr>
            </w:pPr>
            <w:r>
              <w:rPr>
                <w:rFonts w:ascii="Calibri" w:hAnsi="Calibri" w:hint="eastAsia"/>
                <w:color w:val="auto"/>
              </w:rPr>
              <w:t>49.0</w:t>
            </w:r>
          </w:p>
        </w:tc>
        <w:tc>
          <w:tcPr>
            <w:tcW w:w="392" w:type="pct"/>
            <w:vMerge/>
            <w:vAlign w:val="center"/>
          </w:tcPr>
          <w:p w14:paraId="487C299E" w14:textId="77777777" w:rsidR="00C24F24" w:rsidRPr="00A964FF" w:rsidRDefault="00C24F24" w:rsidP="00C24F24">
            <w:pPr>
              <w:jc w:val="center"/>
              <w:rPr>
                <w:rFonts w:ascii="Calibri" w:hAnsi="Calibri"/>
                <w:color w:val="auto"/>
              </w:rPr>
            </w:pPr>
          </w:p>
        </w:tc>
        <w:tc>
          <w:tcPr>
            <w:tcW w:w="475" w:type="pct"/>
            <w:vMerge/>
            <w:vAlign w:val="center"/>
          </w:tcPr>
          <w:p w14:paraId="5E557CDF" w14:textId="77777777" w:rsidR="00C24F24" w:rsidRPr="00A964FF" w:rsidRDefault="00C24F24" w:rsidP="00C24F24">
            <w:pPr>
              <w:jc w:val="center"/>
              <w:rPr>
                <w:rFonts w:ascii="Calibri" w:hAnsi="Calibri"/>
                <w:color w:val="auto"/>
              </w:rPr>
            </w:pPr>
          </w:p>
        </w:tc>
        <w:tc>
          <w:tcPr>
            <w:tcW w:w="475" w:type="pct"/>
            <w:vMerge/>
            <w:vAlign w:val="center"/>
          </w:tcPr>
          <w:p w14:paraId="10A45520" w14:textId="77777777" w:rsidR="00C24F24" w:rsidRPr="00A964FF" w:rsidRDefault="00C24F24" w:rsidP="00C24F24">
            <w:pPr>
              <w:jc w:val="center"/>
              <w:rPr>
                <w:rFonts w:ascii="Calibri" w:hAnsi="Calibri"/>
                <w:color w:val="auto"/>
              </w:rPr>
            </w:pPr>
          </w:p>
        </w:tc>
      </w:tr>
      <w:tr w:rsidR="00C24F24" w:rsidRPr="00A964FF" w14:paraId="28EF7D70" w14:textId="77777777" w:rsidTr="00C24F24">
        <w:trPr>
          <w:trHeight w:val="369"/>
          <w:jc w:val="center"/>
        </w:trPr>
        <w:tc>
          <w:tcPr>
            <w:tcW w:w="341" w:type="pct"/>
            <w:vMerge/>
            <w:vAlign w:val="center"/>
          </w:tcPr>
          <w:p w14:paraId="58DC8DCE" w14:textId="77777777" w:rsidR="00C24F24" w:rsidRPr="00A964FF" w:rsidRDefault="00C24F24" w:rsidP="00C24F24">
            <w:pPr>
              <w:jc w:val="center"/>
              <w:rPr>
                <w:rFonts w:ascii="Calibri" w:hAnsi="Calibri"/>
                <w:color w:val="auto"/>
              </w:rPr>
            </w:pPr>
          </w:p>
        </w:tc>
        <w:tc>
          <w:tcPr>
            <w:tcW w:w="1524" w:type="pct"/>
            <w:vAlign w:val="center"/>
          </w:tcPr>
          <w:p w14:paraId="2038FB6B"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废气</w:t>
            </w:r>
            <w:r>
              <w:rPr>
                <w:rFonts w:ascii="Calibri" w:hAnsi="Calibri"/>
                <w:color w:val="auto"/>
                <w:szCs w:val="21"/>
              </w:rPr>
              <w:t>处理</w:t>
            </w:r>
            <w:r>
              <w:rPr>
                <w:rFonts w:ascii="Calibri" w:hAnsi="Calibri" w:hint="eastAsia"/>
                <w:color w:val="auto"/>
                <w:szCs w:val="21"/>
              </w:rPr>
              <w:t>风机</w:t>
            </w:r>
          </w:p>
        </w:tc>
        <w:tc>
          <w:tcPr>
            <w:tcW w:w="672" w:type="pct"/>
            <w:vAlign w:val="center"/>
          </w:tcPr>
          <w:p w14:paraId="4511FAB5"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5DCBCC7E"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25</w:t>
            </w:r>
          </w:p>
        </w:tc>
        <w:tc>
          <w:tcPr>
            <w:tcW w:w="561" w:type="pct"/>
            <w:vAlign w:val="center"/>
          </w:tcPr>
          <w:p w14:paraId="6E70D656" w14:textId="77777777" w:rsidR="00C24F24" w:rsidRPr="00A964FF" w:rsidRDefault="00C24F24" w:rsidP="00C24F24">
            <w:pPr>
              <w:jc w:val="center"/>
              <w:rPr>
                <w:rFonts w:ascii="Calibri" w:hAnsi="Calibri"/>
                <w:color w:val="auto"/>
              </w:rPr>
            </w:pPr>
            <w:r>
              <w:rPr>
                <w:rFonts w:ascii="Calibri" w:hAnsi="Calibri" w:hint="eastAsia"/>
                <w:color w:val="auto"/>
              </w:rPr>
              <w:t>42.0</w:t>
            </w:r>
          </w:p>
        </w:tc>
        <w:tc>
          <w:tcPr>
            <w:tcW w:w="392" w:type="pct"/>
            <w:vMerge/>
            <w:vAlign w:val="center"/>
          </w:tcPr>
          <w:p w14:paraId="79DB95E7" w14:textId="77777777" w:rsidR="00C24F24" w:rsidRPr="00A964FF" w:rsidRDefault="00C24F24" w:rsidP="00C24F24">
            <w:pPr>
              <w:jc w:val="center"/>
              <w:rPr>
                <w:rFonts w:ascii="Calibri" w:hAnsi="Calibri"/>
                <w:color w:val="auto"/>
              </w:rPr>
            </w:pPr>
          </w:p>
        </w:tc>
        <w:tc>
          <w:tcPr>
            <w:tcW w:w="475" w:type="pct"/>
            <w:vMerge/>
            <w:vAlign w:val="center"/>
          </w:tcPr>
          <w:p w14:paraId="7812B813" w14:textId="77777777" w:rsidR="00C24F24" w:rsidRPr="00A964FF" w:rsidRDefault="00C24F24" w:rsidP="00C24F24">
            <w:pPr>
              <w:jc w:val="center"/>
              <w:rPr>
                <w:rFonts w:ascii="Calibri" w:hAnsi="Calibri"/>
                <w:color w:val="auto"/>
              </w:rPr>
            </w:pPr>
          </w:p>
        </w:tc>
        <w:tc>
          <w:tcPr>
            <w:tcW w:w="475" w:type="pct"/>
            <w:vMerge/>
            <w:vAlign w:val="center"/>
          </w:tcPr>
          <w:p w14:paraId="012CA62B" w14:textId="77777777" w:rsidR="00C24F24" w:rsidRPr="00A964FF" w:rsidRDefault="00C24F24" w:rsidP="00C24F24">
            <w:pPr>
              <w:jc w:val="center"/>
              <w:rPr>
                <w:rFonts w:ascii="Calibri" w:hAnsi="Calibri"/>
                <w:color w:val="auto"/>
              </w:rPr>
            </w:pPr>
          </w:p>
        </w:tc>
      </w:tr>
      <w:tr w:rsidR="00C24F24" w:rsidRPr="00A964FF" w14:paraId="01EFA117" w14:textId="77777777" w:rsidTr="00C24F24">
        <w:trPr>
          <w:trHeight w:val="369"/>
          <w:jc w:val="center"/>
        </w:trPr>
        <w:tc>
          <w:tcPr>
            <w:tcW w:w="341" w:type="pct"/>
            <w:vMerge/>
            <w:vAlign w:val="center"/>
          </w:tcPr>
          <w:p w14:paraId="06AC05E9" w14:textId="77777777" w:rsidR="00C24F24" w:rsidRPr="00A964FF" w:rsidRDefault="00C24F24" w:rsidP="00C24F24">
            <w:pPr>
              <w:jc w:val="center"/>
              <w:rPr>
                <w:rFonts w:ascii="Calibri" w:hAnsi="Calibri"/>
                <w:color w:val="auto"/>
              </w:rPr>
            </w:pPr>
          </w:p>
        </w:tc>
        <w:tc>
          <w:tcPr>
            <w:tcW w:w="1524" w:type="pct"/>
            <w:vAlign w:val="center"/>
          </w:tcPr>
          <w:p w14:paraId="106B80EB"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073D7B39"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5CACEC3F"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300</w:t>
            </w:r>
          </w:p>
        </w:tc>
        <w:tc>
          <w:tcPr>
            <w:tcW w:w="561" w:type="pct"/>
            <w:vAlign w:val="center"/>
          </w:tcPr>
          <w:p w14:paraId="70F0075C" w14:textId="77777777" w:rsidR="00C24F24" w:rsidRPr="00A964FF" w:rsidRDefault="00C24F24" w:rsidP="00C24F24">
            <w:pPr>
              <w:jc w:val="center"/>
              <w:rPr>
                <w:rFonts w:ascii="Calibri" w:hAnsi="Calibri"/>
                <w:color w:val="auto"/>
              </w:rPr>
            </w:pPr>
            <w:r>
              <w:rPr>
                <w:rFonts w:ascii="Calibri" w:hAnsi="Calibri" w:hint="eastAsia"/>
                <w:color w:val="auto"/>
              </w:rPr>
              <w:t>20.5</w:t>
            </w:r>
          </w:p>
        </w:tc>
        <w:tc>
          <w:tcPr>
            <w:tcW w:w="392" w:type="pct"/>
            <w:vMerge/>
            <w:vAlign w:val="center"/>
          </w:tcPr>
          <w:p w14:paraId="43574E1B" w14:textId="77777777" w:rsidR="00C24F24" w:rsidRPr="00A964FF" w:rsidRDefault="00C24F24" w:rsidP="00C24F24">
            <w:pPr>
              <w:jc w:val="center"/>
              <w:rPr>
                <w:rFonts w:ascii="Calibri" w:hAnsi="Calibri"/>
                <w:color w:val="auto"/>
              </w:rPr>
            </w:pPr>
          </w:p>
        </w:tc>
        <w:tc>
          <w:tcPr>
            <w:tcW w:w="475" w:type="pct"/>
            <w:vMerge/>
            <w:vAlign w:val="center"/>
          </w:tcPr>
          <w:p w14:paraId="075C3B0D" w14:textId="77777777" w:rsidR="00C24F24" w:rsidRPr="00A964FF" w:rsidRDefault="00C24F24" w:rsidP="00C24F24">
            <w:pPr>
              <w:jc w:val="center"/>
              <w:rPr>
                <w:rFonts w:ascii="Calibri" w:hAnsi="Calibri"/>
                <w:color w:val="auto"/>
              </w:rPr>
            </w:pPr>
          </w:p>
        </w:tc>
        <w:tc>
          <w:tcPr>
            <w:tcW w:w="475" w:type="pct"/>
            <w:vMerge/>
            <w:vAlign w:val="center"/>
          </w:tcPr>
          <w:p w14:paraId="78522202" w14:textId="77777777" w:rsidR="00C24F24" w:rsidRPr="00A964FF" w:rsidRDefault="00C24F24" w:rsidP="00C24F24">
            <w:pPr>
              <w:jc w:val="center"/>
              <w:rPr>
                <w:rFonts w:ascii="Calibri" w:hAnsi="Calibri"/>
                <w:color w:val="auto"/>
              </w:rPr>
            </w:pPr>
          </w:p>
        </w:tc>
      </w:tr>
      <w:tr w:rsidR="00C24F24" w:rsidRPr="00A964FF" w14:paraId="0EA763F2" w14:textId="77777777" w:rsidTr="00C24F24">
        <w:trPr>
          <w:trHeight w:val="369"/>
          <w:jc w:val="center"/>
        </w:trPr>
        <w:tc>
          <w:tcPr>
            <w:tcW w:w="341" w:type="pct"/>
            <w:vMerge w:val="restart"/>
            <w:vAlign w:val="center"/>
          </w:tcPr>
          <w:p w14:paraId="6103944B" w14:textId="77777777" w:rsidR="00C24F24" w:rsidRPr="00A964FF" w:rsidRDefault="00C24F24" w:rsidP="00C24F24">
            <w:pPr>
              <w:jc w:val="center"/>
              <w:rPr>
                <w:rFonts w:ascii="Calibri" w:hAnsi="Calibri"/>
                <w:color w:val="auto"/>
              </w:rPr>
            </w:pPr>
            <w:r w:rsidRPr="00A964FF">
              <w:rPr>
                <w:rFonts w:ascii="Calibri" w:hAnsi="Calibri" w:hint="eastAsia"/>
                <w:color w:val="auto"/>
              </w:rPr>
              <w:t>西</w:t>
            </w:r>
          </w:p>
          <w:p w14:paraId="615CF024" w14:textId="77777777" w:rsidR="00C24F24" w:rsidRPr="00A964FF" w:rsidRDefault="00C24F24" w:rsidP="00C24F24">
            <w:pPr>
              <w:jc w:val="center"/>
              <w:rPr>
                <w:rFonts w:ascii="Calibri" w:hAnsi="Calibri"/>
                <w:color w:val="auto"/>
              </w:rPr>
            </w:pPr>
            <w:r w:rsidRPr="00A964FF">
              <w:rPr>
                <w:rFonts w:ascii="Calibri" w:hAnsi="Calibri" w:hint="eastAsia"/>
                <w:color w:val="auto"/>
              </w:rPr>
              <w:t>厂</w:t>
            </w:r>
          </w:p>
          <w:p w14:paraId="45757F54" w14:textId="77777777" w:rsidR="00C24F24" w:rsidRPr="00A964FF" w:rsidRDefault="00C24F24" w:rsidP="00C24F24">
            <w:pPr>
              <w:jc w:val="center"/>
              <w:rPr>
                <w:rFonts w:ascii="Calibri" w:hAnsi="Calibri"/>
                <w:color w:val="auto"/>
              </w:rPr>
            </w:pPr>
            <w:r w:rsidRPr="00A964FF">
              <w:rPr>
                <w:rFonts w:ascii="Calibri" w:hAnsi="Calibri" w:hint="eastAsia"/>
                <w:color w:val="auto"/>
              </w:rPr>
              <w:t>界</w:t>
            </w:r>
          </w:p>
        </w:tc>
        <w:tc>
          <w:tcPr>
            <w:tcW w:w="1524" w:type="pct"/>
            <w:vAlign w:val="center"/>
          </w:tcPr>
          <w:p w14:paraId="47A282B8"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生产</w:t>
            </w:r>
            <w:r>
              <w:rPr>
                <w:rFonts w:ascii="Calibri" w:hAnsi="Calibri"/>
                <w:color w:val="auto"/>
                <w:szCs w:val="21"/>
              </w:rPr>
              <w:t>车间</w:t>
            </w:r>
          </w:p>
        </w:tc>
        <w:tc>
          <w:tcPr>
            <w:tcW w:w="672" w:type="pct"/>
            <w:vAlign w:val="center"/>
          </w:tcPr>
          <w:p w14:paraId="407DB871" w14:textId="77777777" w:rsidR="00C24F24" w:rsidRPr="00A964FF" w:rsidRDefault="00C24F24" w:rsidP="00C24F24">
            <w:pPr>
              <w:jc w:val="center"/>
              <w:rPr>
                <w:rFonts w:ascii="Calibri" w:hAnsi="Calibri"/>
                <w:color w:val="auto"/>
                <w:szCs w:val="21"/>
              </w:rPr>
            </w:pPr>
            <w:r>
              <w:rPr>
                <w:rFonts w:ascii="Calibri" w:hAnsi="Calibri"/>
                <w:color w:val="auto"/>
                <w:szCs w:val="21"/>
              </w:rPr>
              <w:t>63.3</w:t>
            </w:r>
          </w:p>
        </w:tc>
        <w:tc>
          <w:tcPr>
            <w:tcW w:w="559" w:type="pct"/>
            <w:vAlign w:val="center"/>
          </w:tcPr>
          <w:p w14:paraId="32199A99"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20</w:t>
            </w:r>
          </w:p>
        </w:tc>
        <w:tc>
          <w:tcPr>
            <w:tcW w:w="561" w:type="pct"/>
            <w:vAlign w:val="center"/>
          </w:tcPr>
          <w:p w14:paraId="1B4CA75E" w14:textId="77777777" w:rsidR="00C24F24" w:rsidRPr="00A964FF" w:rsidRDefault="00C24F24" w:rsidP="00C24F24">
            <w:pPr>
              <w:jc w:val="center"/>
              <w:rPr>
                <w:rFonts w:ascii="Calibri" w:hAnsi="Calibri"/>
                <w:color w:val="auto"/>
              </w:rPr>
            </w:pPr>
            <w:r>
              <w:rPr>
                <w:rFonts w:ascii="Calibri" w:hAnsi="Calibri" w:hint="eastAsia"/>
                <w:color w:val="auto"/>
              </w:rPr>
              <w:t>37.3</w:t>
            </w:r>
          </w:p>
        </w:tc>
        <w:tc>
          <w:tcPr>
            <w:tcW w:w="392" w:type="pct"/>
            <w:vMerge w:val="restart"/>
            <w:vAlign w:val="center"/>
          </w:tcPr>
          <w:p w14:paraId="66BD7512" w14:textId="77777777" w:rsidR="00C24F24" w:rsidRPr="00A964FF" w:rsidRDefault="00C24F24" w:rsidP="00C24F24">
            <w:pPr>
              <w:jc w:val="center"/>
              <w:rPr>
                <w:rFonts w:ascii="Calibri" w:hAnsi="Calibri"/>
                <w:color w:val="auto"/>
              </w:rPr>
            </w:pPr>
            <w:r>
              <w:rPr>
                <w:rFonts w:ascii="Calibri" w:hAnsi="Calibri" w:hint="eastAsia"/>
                <w:color w:val="auto"/>
              </w:rPr>
              <w:t>48.0</w:t>
            </w:r>
          </w:p>
        </w:tc>
        <w:tc>
          <w:tcPr>
            <w:tcW w:w="475" w:type="pct"/>
            <w:vMerge w:val="restart"/>
            <w:vAlign w:val="center"/>
          </w:tcPr>
          <w:p w14:paraId="0D412F06" w14:textId="77777777" w:rsidR="00C24F24" w:rsidRPr="00A964FF" w:rsidRDefault="00C24F24" w:rsidP="00C24F24">
            <w:pPr>
              <w:jc w:val="center"/>
              <w:rPr>
                <w:rFonts w:ascii="Calibri" w:hAnsi="Calibri"/>
                <w:color w:val="auto"/>
              </w:rPr>
            </w:pPr>
            <w:r w:rsidRPr="00A964FF">
              <w:rPr>
                <w:rFonts w:ascii="Calibri" w:hAnsi="Calibri" w:hint="eastAsia"/>
                <w:color w:val="auto"/>
              </w:rPr>
              <w:t>6</w:t>
            </w:r>
            <w:r>
              <w:rPr>
                <w:rFonts w:ascii="Calibri" w:hAnsi="Calibri"/>
                <w:color w:val="auto"/>
              </w:rPr>
              <w:t>5</w:t>
            </w:r>
            <w:r w:rsidRPr="00A964FF">
              <w:rPr>
                <w:rFonts w:ascii="Calibri" w:hAnsi="Calibri" w:hint="eastAsia"/>
                <w:color w:val="auto"/>
              </w:rPr>
              <w:t>/5</w:t>
            </w:r>
            <w:r>
              <w:rPr>
                <w:rFonts w:ascii="Calibri" w:hAnsi="Calibri"/>
                <w:color w:val="auto"/>
              </w:rPr>
              <w:t>5</w:t>
            </w:r>
          </w:p>
        </w:tc>
        <w:tc>
          <w:tcPr>
            <w:tcW w:w="475" w:type="pct"/>
            <w:vMerge w:val="restart"/>
            <w:vAlign w:val="center"/>
          </w:tcPr>
          <w:p w14:paraId="18B5B9D8" w14:textId="77777777" w:rsidR="00C24F24" w:rsidRPr="00A964FF" w:rsidRDefault="00C24F24" w:rsidP="00C24F24">
            <w:pPr>
              <w:jc w:val="center"/>
              <w:rPr>
                <w:rFonts w:ascii="Calibri" w:hAnsi="Calibri"/>
                <w:color w:val="auto"/>
              </w:rPr>
            </w:pPr>
            <w:r>
              <w:rPr>
                <w:rFonts w:ascii="Calibri" w:hAnsi="Calibri" w:hint="eastAsia"/>
                <w:color w:val="auto"/>
              </w:rPr>
              <w:t>达标</w:t>
            </w:r>
          </w:p>
        </w:tc>
      </w:tr>
      <w:tr w:rsidR="00C24F24" w:rsidRPr="00A964FF" w14:paraId="04641508" w14:textId="77777777" w:rsidTr="00C24F24">
        <w:trPr>
          <w:trHeight w:val="369"/>
          <w:jc w:val="center"/>
        </w:trPr>
        <w:tc>
          <w:tcPr>
            <w:tcW w:w="341" w:type="pct"/>
            <w:vMerge/>
            <w:vAlign w:val="center"/>
          </w:tcPr>
          <w:p w14:paraId="46B1F189" w14:textId="77777777" w:rsidR="00C24F24" w:rsidRPr="00A964FF" w:rsidRDefault="00C24F24" w:rsidP="00C24F24">
            <w:pPr>
              <w:jc w:val="center"/>
              <w:rPr>
                <w:rFonts w:ascii="Calibri" w:hAnsi="Calibri"/>
                <w:color w:val="auto"/>
              </w:rPr>
            </w:pPr>
          </w:p>
        </w:tc>
        <w:tc>
          <w:tcPr>
            <w:tcW w:w="1524" w:type="pct"/>
            <w:vAlign w:val="center"/>
          </w:tcPr>
          <w:p w14:paraId="338BFE92"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1CB1ECCD"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70D62C11"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19</w:t>
            </w:r>
          </w:p>
        </w:tc>
        <w:tc>
          <w:tcPr>
            <w:tcW w:w="561" w:type="pct"/>
            <w:vAlign w:val="center"/>
          </w:tcPr>
          <w:p w14:paraId="63657FD6" w14:textId="77777777" w:rsidR="00C24F24" w:rsidRPr="00A964FF" w:rsidRDefault="00C24F24" w:rsidP="00C24F24">
            <w:pPr>
              <w:jc w:val="center"/>
              <w:rPr>
                <w:rFonts w:ascii="Calibri" w:hAnsi="Calibri"/>
                <w:color w:val="auto"/>
              </w:rPr>
            </w:pPr>
            <w:r>
              <w:rPr>
                <w:rFonts w:ascii="Calibri" w:hAnsi="Calibri" w:hint="eastAsia"/>
                <w:color w:val="auto"/>
              </w:rPr>
              <w:t>44.4</w:t>
            </w:r>
          </w:p>
        </w:tc>
        <w:tc>
          <w:tcPr>
            <w:tcW w:w="392" w:type="pct"/>
            <w:vMerge/>
            <w:vAlign w:val="center"/>
          </w:tcPr>
          <w:p w14:paraId="47E611BA" w14:textId="77777777" w:rsidR="00C24F24" w:rsidRPr="00A964FF" w:rsidRDefault="00C24F24" w:rsidP="00C24F24">
            <w:pPr>
              <w:jc w:val="center"/>
              <w:rPr>
                <w:rFonts w:ascii="Calibri" w:hAnsi="Calibri"/>
                <w:color w:val="auto"/>
              </w:rPr>
            </w:pPr>
          </w:p>
        </w:tc>
        <w:tc>
          <w:tcPr>
            <w:tcW w:w="475" w:type="pct"/>
            <w:vMerge/>
            <w:vAlign w:val="center"/>
          </w:tcPr>
          <w:p w14:paraId="6042F65E" w14:textId="77777777" w:rsidR="00C24F24" w:rsidRPr="00A964FF" w:rsidRDefault="00C24F24" w:rsidP="00C24F24">
            <w:pPr>
              <w:jc w:val="center"/>
              <w:rPr>
                <w:rFonts w:ascii="Calibri" w:hAnsi="Calibri"/>
                <w:color w:val="auto"/>
              </w:rPr>
            </w:pPr>
          </w:p>
        </w:tc>
        <w:tc>
          <w:tcPr>
            <w:tcW w:w="475" w:type="pct"/>
            <w:vMerge/>
            <w:vAlign w:val="center"/>
          </w:tcPr>
          <w:p w14:paraId="03F26046" w14:textId="77777777" w:rsidR="00C24F24" w:rsidRPr="00A964FF" w:rsidRDefault="00C24F24" w:rsidP="00C24F24">
            <w:pPr>
              <w:jc w:val="center"/>
              <w:rPr>
                <w:rFonts w:ascii="Calibri" w:hAnsi="Calibri"/>
                <w:color w:val="auto"/>
              </w:rPr>
            </w:pPr>
          </w:p>
        </w:tc>
      </w:tr>
      <w:tr w:rsidR="00C24F24" w:rsidRPr="00A964FF" w14:paraId="499B8703" w14:textId="77777777" w:rsidTr="00C24F24">
        <w:trPr>
          <w:trHeight w:val="385"/>
          <w:jc w:val="center"/>
        </w:trPr>
        <w:tc>
          <w:tcPr>
            <w:tcW w:w="341" w:type="pct"/>
            <w:vMerge/>
            <w:vAlign w:val="center"/>
          </w:tcPr>
          <w:p w14:paraId="0E877ED8" w14:textId="77777777" w:rsidR="00C24F24" w:rsidRPr="00A964FF" w:rsidRDefault="00C24F24" w:rsidP="00C24F24">
            <w:pPr>
              <w:jc w:val="center"/>
              <w:rPr>
                <w:rFonts w:ascii="Calibri" w:hAnsi="Calibri"/>
                <w:color w:val="auto"/>
              </w:rPr>
            </w:pPr>
          </w:p>
        </w:tc>
        <w:tc>
          <w:tcPr>
            <w:tcW w:w="1524" w:type="pct"/>
            <w:vAlign w:val="center"/>
          </w:tcPr>
          <w:p w14:paraId="7F19DB03"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1DF40B49"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3661B97A" w14:textId="77777777" w:rsidR="00C24F24" w:rsidRPr="00A964FF" w:rsidRDefault="00C24F24" w:rsidP="00C24F24">
            <w:pPr>
              <w:jc w:val="center"/>
              <w:rPr>
                <w:rFonts w:ascii="Calibri" w:hAnsi="Calibri"/>
                <w:color w:val="auto"/>
              </w:rPr>
            </w:pPr>
            <w:r>
              <w:rPr>
                <w:rFonts w:ascii="Calibri" w:hAnsi="Calibri" w:hint="eastAsia"/>
                <w:color w:val="auto"/>
              </w:rPr>
              <w:t>185</w:t>
            </w:r>
          </w:p>
        </w:tc>
        <w:tc>
          <w:tcPr>
            <w:tcW w:w="561" w:type="pct"/>
            <w:vAlign w:val="center"/>
          </w:tcPr>
          <w:p w14:paraId="5E153B82" w14:textId="77777777" w:rsidR="00C24F24" w:rsidRPr="00A964FF" w:rsidRDefault="00C24F24" w:rsidP="00C24F24">
            <w:pPr>
              <w:jc w:val="center"/>
              <w:rPr>
                <w:rFonts w:ascii="Calibri" w:hAnsi="Calibri"/>
                <w:color w:val="auto"/>
              </w:rPr>
            </w:pPr>
            <w:r>
              <w:rPr>
                <w:rFonts w:ascii="Calibri" w:hAnsi="Calibri" w:hint="eastAsia"/>
                <w:color w:val="auto"/>
              </w:rPr>
              <w:t>24.7</w:t>
            </w:r>
          </w:p>
        </w:tc>
        <w:tc>
          <w:tcPr>
            <w:tcW w:w="392" w:type="pct"/>
            <w:vMerge/>
            <w:vAlign w:val="center"/>
          </w:tcPr>
          <w:p w14:paraId="6F98E149" w14:textId="77777777" w:rsidR="00C24F24" w:rsidRPr="00A964FF" w:rsidRDefault="00C24F24" w:rsidP="00C24F24">
            <w:pPr>
              <w:jc w:val="center"/>
              <w:rPr>
                <w:rFonts w:ascii="Calibri" w:hAnsi="Calibri"/>
                <w:color w:val="auto"/>
              </w:rPr>
            </w:pPr>
          </w:p>
        </w:tc>
        <w:tc>
          <w:tcPr>
            <w:tcW w:w="475" w:type="pct"/>
            <w:vMerge/>
            <w:vAlign w:val="center"/>
          </w:tcPr>
          <w:p w14:paraId="57079F69" w14:textId="77777777" w:rsidR="00C24F24" w:rsidRPr="00A964FF" w:rsidRDefault="00C24F24" w:rsidP="00C24F24">
            <w:pPr>
              <w:jc w:val="center"/>
              <w:rPr>
                <w:rFonts w:ascii="Calibri" w:hAnsi="Calibri"/>
                <w:color w:val="auto"/>
              </w:rPr>
            </w:pPr>
          </w:p>
        </w:tc>
        <w:tc>
          <w:tcPr>
            <w:tcW w:w="475" w:type="pct"/>
            <w:vMerge/>
            <w:vAlign w:val="center"/>
          </w:tcPr>
          <w:p w14:paraId="5A7B5C94" w14:textId="77777777" w:rsidR="00C24F24" w:rsidRPr="00A964FF" w:rsidRDefault="00C24F24" w:rsidP="00C24F24">
            <w:pPr>
              <w:jc w:val="center"/>
              <w:rPr>
                <w:rFonts w:ascii="Calibri" w:hAnsi="Calibri"/>
                <w:color w:val="auto"/>
              </w:rPr>
            </w:pPr>
          </w:p>
        </w:tc>
      </w:tr>
      <w:tr w:rsidR="00C24F24" w:rsidRPr="00A964FF" w14:paraId="61F2AEA4" w14:textId="77777777" w:rsidTr="00C24F24">
        <w:trPr>
          <w:trHeight w:val="369"/>
          <w:jc w:val="center"/>
        </w:trPr>
        <w:tc>
          <w:tcPr>
            <w:tcW w:w="341" w:type="pct"/>
            <w:vMerge/>
            <w:vAlign w:val="center"/>
          </w:tcPr>
          <w:p w14:paraId="6E97517C" w14:textId="77777777" w:rsidR="00C24F24" w:rsidRPr="00A964FF" w:rsidRDefault="00C24F24" w:rsidP="00C24F24">
            <w:pPr>
              <w:jc w:val="center"/>
              <w:rPr>
                <w:rFonts w:ascii="Calibri" w:hAnsi="Calibri"/>
                <w:color w:val="auto"/>
              </w:rPr>
            </w:pPr>
          </w:p>
        </w:tc>
        <w:tc>
          <w:tcPr>
            <w:tcW w:w="1524" w:type="pct"/>
            <w:vAlign w:val="center"/>
          </w:tcPr>
          <w:p w14:paraId="3E1DE241"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1B7DBA26"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415AF1D0" w14:textId="77777777" w:rsidR="00C24F24" w:rsidRPr="00A964FF" w:rsidRDefault="00C24F24" w:rsidP="00C24F24">
            <w:pPr>
              <w:jc w:val="center"/>
              <w:rPr>
                <w:rFonts w:ascii="Calibri" w:hAnsi="Calibri"/>
                <w:color w:val="auto"/>
              </w:rPr>
            </w:pPr>
            <w:r>
              <w:rPr>
                <w:rFonts w:ascii="Calibri" w:hAnsi="Calibri" w:hint="eastAsia"/>
                <w:color w:val="auto"/>
              </w:rPr>
              <w:t>178</w:t>
            </w:r>
          </w:p>
        </w:tc>
        <w:tc>
          <w:tcPr>
            <w:tcW w:w="561" w:type="pct"/>
            <w:vAlign w:val="center"/>
          </w:tcPr>
          <w:p w14:paraId="58FB8045" w14:textId="77777777" w:rsidR="00C24F24" w:rsidRPr="00A964FF" w:rsidRDefault="00C24F24" w:rsidP="00C24F24">
            <w:pPr>
              <w:jc w:val="center"/>
              <w:rPr>
                <w:rFonts w:ascii="Calibri" w:hAnsi="Calibri"/>
                <w:color w:val="auto"/>
              </w:rPr>
            </w:pPr>
            <w:r>
              <w:rPr>
                <w:rFonts w:ascii="Calibri" w:hAnsi="Calibri" w:hint="eastAsia"/>
                <w:color w:val="auto"/>
              </w:rPr>
              <w:t>25.0</w:t>
            </w:r>
          </w:p>
        </w:tc>
        <w:tc>
          <w:tcPr>
            <w:tcW w:w="392" w:type="pct"/>
            <w:vMerge/>
            <w:vAlign w:val="center"/>
          </w:tcPr>
          <w:p w14:paraId="4374AA63" w14:textId="77777777" w:rsidR="00C24F24" w:rsidRPr="00A964FF" w:rsidRDefault="00C24F24" w:rsidP="00C24F24">
            <w:pPr>
              <w:jc w:val="center"/>
              <w:rPr>
                <w:rFonts w:ascii="Calibri" w:hAnsi="Calibri"/>
                <w:color w:val="auto"/>
              </w:rPr>
            </w:pPr>
          </w:p>
        </w:tc>
        <w:tc>
          <w:tcPr>
            <w:tcW w:w="475" w:type="pct"/>
            <w:vMerge/>
            <w:vAlign w:val="center"/>
          </w:tcPr>
          <w:p w14:paraId="6DB97134" w14:textId="77777777" w:rsidR="00C24F24" w:rsidRPr="00A964FF" w:rsidRDefault="00C24F24" w:rsidP="00C24F24">
            <w:pPr>
              <w:jc w:val="center"/>
              <w:rPr>
                <w:rFonts w:ascii="Calibri" w:hAnsi="Calibri"/>
                <w:color w:val="auto"/>
              </w:rPr>
            </w:pPr>
          </w:p>
        </w:tc>
        <w:tc>
          <w:tcPr>
            <w:tcW w:w="475" w:type="pct"/>
            <w:vMerge/>
            <w:vAlign w:val="center"/>
          </w:tcPr>
          <w:p w14:paraId="7E38BE8A" w14:textId="77777777" w:rsidR="00C24F24" w:rsidRPr="00A964FF" w:rsidRDefault="00C24F24" w:rsidP="00C24F24">
            <w:pPr>
              <w:jc w:val="center"/>
              <w:rPr>
                <w:rFonts w:ascii="Calibri" w:hAnsi="Calibri"/>
                <w:color w:val="auto"/>
              </w:rPr>
            </w:pPr>
          </w:p>
        </w:tc>
      </w:tr>
      <w:tr w:rsidR="00C24F24" w:rsidRPr="00A964FF" w14:paraId="3601A456" w14:textId="77777777" w:rsidTr="00C24F24">
        <w:trPr>
          <w:trHeight w:val="369"/>
          <w:jc w:val="center"/>
        </w:trPr>
        <w:tc>
          <w:tcPr>
            <w:tcW w:w="341" w:type="pct"/>
            <w:vMerge/>
            <w:vAlign w:val="center"/>
          </w:tcPr>
          <w:p w14:paraId="3622A2D2" w14:textId="77777777" w:rsidR="00C24F24" w:rsidRPr="00A964FF" w:rsidRDefault="00C24F24" w:rsidP="00C24F24">
            <w:pPr>
              <w:jc w:val="center"/>
              <w:rPr>
                <w:rFonts w:ascii="Calibri" w:hAnsi="Calibri"/>
                <w:color w:val="auto"/>
              </w:rPr>
            </w:pPr>
          </w:p>
        </w:tc>
        <w:tc>
          <w:tcPr>
            <w:tcW w:w="1524" w:type="pct"/>
            <w:vAlign w:val="center"/>
          </w:tcPr>
          <w:p w14:paraId="69CD1293"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3</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7B4E8BC2"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0F548312" w14:textId="77777777" w:rsidR="00C24F24" w:rsidRPr="00A964FF" w:rsidRDefault="00C24F24" w:rsidP="00C24F24">
            <w:pPr>
              <w:jc w:val="center"/>
              <w:rPr>
                <w:rFonts w:ascii="Calibri" w:hAnsi="Calibri"/>
                <w:color w:val="auto"/>
              </w:rPr>
            </w:pPr>
            <w:r>
              <w:rPr>
                <w:rFonts w:ascii="Calibri" w:hAnsi="Calibri" w:hint="eastAsia"/>
                <w:color w:val="auto"/>
              </w:rPr>
              <w:t>168</w:t>
            </w:r>
          </w:p>
        </w:tc>
        <w:tc>
          <w:tcPr>
            <w:tcW w:w="561" w:type="pct"/>
            <w:vAlign w:val="center"/>
          </w:tcPr>
          <w:p w14:paraId="38350B1A" w14:textId="77777777" w:rsidR="00C24F24" w:rsidRPr="00A964FF" w:rsidRDefault="00C24F24" w:rsidP="00C24F24">
            <w:pPr>
              <w:jc w:val="center"/>
              <w:rPr>
                <w:rFonts w:ascii="Calibri" w:hAnsi="Calibri"/>
                <w:color w:val="auto"/>
              </w:rPr>
            </w:pPr>
            <w:r>
              <w:rPr>
                <w:rFonts w:ascii="Calibri" w:hAnsi="Calibri" w:hint="eastAsia"/>
                <w:color w:val="auto"/>
              </w:rPr>
              <w:t>25.5</w:t>
            </w:r>
          </w:p>
        </w:tc>
        <w:tc>
          <w:tcPr>
            <w:tcW w:w="392" w:type="pct"/>
            <w:vMerge/>
            <w:vAlign w:val="center"/>
          </w:tcPr>
          <w:p w14:paraId="65F7BBCF" w14:textId="77777777" w:rsidR="00C24F24" w:rsidRPr="00A964FF" w:rsidRDefault="00C24F24" w:rsidP="00C24F24">
            <w:pPr>
              <w:jc w:val="center"/>
              <w:rPr>
                <w:rFonts w:ascii="Calibri" w:hAnsi="Calibri"/>
                <w:color w:val="auto"/>
              </w:rPr>
            </w:pPr>
          </w:p>
        </w:tc>
        <w:tc>
          <w:tcPr>
            <w:tcW w:w="475" w:type="pct"/>
            <w:vMerge/>
            <w:vAlign w:val="center"/>
          </w:tcPr>
          <w:p w14:paraId="6BECEC75" w14:textId="77777777" w:rsidR="00C24F24" w:rsidRPr="00A964FF" w:rsidRDefault="00C24F24" w:rsidP="00C24F24">
            <w:pPr>
              <w:jc w:val="center"/>
              <w:rPr>
                <w:rFonts w:ascii="Calibri" w:hAnsi="Calibri"/>
                <w:color w:val="auto"/>
              </w:rPr>
            </w:pPr>
          </w:p>
        </w:tc>
        <w:tc>
          <w:tcPr>
            <w:tcW w:w="475" w:type="pct"/>
            <w:vMerge/>
            <w:vAlign w:val="center"/>
          </w:tcPr>
          <w:p w14:paraId="7B3832CC" w14:textId="77777777" w:rsidR="00C24F24" w:rsidRPr="00A964FF" w:rsidRDefault="00C24F24" w:rsidP="00C24F24">
            <w:pPr>
              <w:jc w:val="center"/>
              <w:rPr>
                <w:rFonts w:ascii="Calibri" w:hAnsi="Calibri"/>
                <w:color w:val="auto"/>
              </w:rPr>
            </w:pPr>
          </w:p>
        </w:tc>
      </w:tr>
      <w:tr w:rsidR="00C24F24" w:rsidRPr="00A964FF" w14:paraId="73FD95DC" w14:textId="77777777" w:rsidTr="00C24F24">
        <w:trPr>
          <w:trHeight w:val="369"/>
          <w:jc w:val="center"/>
        </w:trPr>
        <w:tc>
          <w:tcPr>
            <w:tcW w:w="341" w:type="pct"/>
            <w:vMerge/>
            <w:vAlign w:val="center"/>
          </w:tcPr>
          <w:p w14:paraId="780A4431" w14:textId="77777777" w:rsidR="00C24F24" w:rsidRPr="00A964FF" w:rsidRDefault="00C24F24" w:rsidP="00C24F24">
            <w:pPr>
              <w:jc w:val="center"/>
              <w:rPr>
                <w:rFonts w:ascii="Calibri" w:hAnsi="Calibri"/>
                <w:color w:val="auto"/>
              </w:rPr>
            </w:pPr>
          </w:p>
        </w:tc>
        <w:tc>
          <w:tcPr>
            <w:tcW w:w="1524" w:type="pct"/>
            <w:vAlign w:val="center"/>
          </w:tcPr>
          <w:p w14:paraId="3CE6FA8C"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鼓风机</w:t>
            </w:r>
          </w:p>
        </w:tc>
        <w:tc>
          <w:tcPr>
            <w:tcW w:w="672" w:type="pct"/>
            <w:vAlign w:val="center"/>
          </w:tcPr>
          <w:p w14:paraId="04269252" w14:textId="77777777" w:rsidR="00C24F24" w:rsidRPr="00A964FF" w:rsidRDefault="00C24F24" w:rsidP="00C24F24">
            <w:pPr>
              <w:jc w:val="center"/>
              <w:rPr>
                <w:rFonts w:ascii="Calibri" w:hAnsi="Calibri"/>
                <w:color w:val="auto"/>
                <w:szCs w:val="21"/>
              </w:rPr>
            </w:pPr>
            <w:r>
              <w:rPr>
                <w:rFonts w:ascii="Calibri" w:hAnsi="Calibri"/>
                <w:color w:val="auto"/>
                <w:szCs w:val="21"/>
              </w:rPr>
              <w:t>75</w:t>
            </w:r>
          </w:p>
        </w:tc>
        <w:tc>
          <w:tcPr>
            <w:tcW w:w="559" w:type="pct"/>
            <w:vAlign w:val="center"/>
          </w:tcPr>
          <w:p w14:paraId="56C815E0" w14:textId="77777777" w:rsidR="00C24F24" w:rsidRPr="00A964FF" w:rsidRDefault="00C24F24" w:rsidP="00C24F24">
            <w:pPr>
              <w:jc w:val="center"/>
              <w:rPr>
                <w:rFonts w:ascii="Calibri" w:hAnsi="Calibri"/>
                <w:color w:val="auto"/>
              </w:rPr>
            </w:pPr>
            <w:r>
              <w:rPr>
                <w:rFonts w:ascii="Calibri" w:hAnsi="Calibri" w:hint="eastAsia"/>
                <w:color w:val="auto"/>
              </w:rPr>
              <w:t>165</w:t>
            </w:r>
          </w:p>
        </w:tc>
        <w:tc>
          <w:tcPr>
            <w:tcW w:w="561" w:type="pct"/>
            <w:vAlign w:val="center"/>
          </w:tcPr>
          <w:p w14:paraId="54FC1428" w14:textId="77777777" w:rsidR="00C24F24" w:rsidRPr="00A964FF" w:rsidRDefault="00C24F24" w:rsidP="00C24F24">
            <w:pPr>
              <w:jc w:val="center"/>
              <w:rPr>
                <w:rFonts w:ascii="Calibri" w:hAnsi="Calibri"/>
                <w:color w:val="auto"/>
              </w:rPr>
            </w:pPr>
            <w:r>
              <w:rPr>
                <w:rFonts w:ascii="Calibri" w:hAnsi="Calibri" w:hint="eastAsia"/>
                <w:color w:val="auto"/>
              </w:rPr>
              <w:t>30.7</w:t>
            </w:r>
          </w:p>
        </w:tc>
        <w:tc>
          <w:tcPr>
            <w:tcW w:w="392" w:type="pct"/>
            <w:vMerge/>
            <w:vAlign w:val="center"/>
          </w:tcPr>
          <w:p w14:paraId="659E1DF1" w14:textId="77777777" w:rsidR="00C24F24" w:rsidRPr="00A964FF" w:rsidRDefault="00C24F24" w:rsidP="00C24F24">
            <w:pPr>
              <w:jc w:val="center"/>
              <w:rPr>
                <w:rFonts w:ascii="Calibri" w:hAnsi="Calibri"/>
                <w:color w:val="auto"/>
              </w:rPr>
            </w:pPr>
          </w:p>
        </w:tc>
        <w:tc>
          <w:tcPr>
            <w:tcW w:w="475" w:type="pct"/>
            <w:vMerge/>
            <w:vAlign w:val="center"/>
          </w:tcPr>
          <w:p w14:paraId="7DEF9777" w14:textId="77777777" w:rsidR="00C24F24" w:rsidRPr="00A964FF" w:rsidRDefault="00C24F24" w:rsidP="00C24F24">
            <w:pPr>
              <w:jc w:val="center"/>
              <w:rPr>
                <w:rFonts w:ascii="Calibri" w:hAnsi="Calibri"/>
                <w:color w:val="auto"/>
              </w:rPr>
            </w:pPr>
          </w:p>
        </w:tc>
        <w:tc>
          <w:tcPr>
            <w:tcW w:w="475" w:type="pct"/>
            <w:vMerge/>
            <w:vAlign w:val="center"/>
          </w:tcPr>
          <w:p w14:paraId="6B92A62A" w14:textId="77777777" w:rsidR="00C24F24" w:rsidRPr="00A964FF" w:rsidRDefault="00C24F24" w:rsidP="00C24F24">
            <w:pPr>
              <w:jc w:val="center"/>
              <w:rPr>
                <w:rFonts w:ascii="Calibri" w:hAnsi="Calibri"/>
                <w:color w:val="auto"/>
              </w:rPr>
            </w:pPr>
          </w:p>
        </w:tc>
      </w:tr>
      <w:tr w:rsidR="00C24F24" w:rsidRPr="00A964FF" w14:paraId="04D88F46" w14:textId="77777777" w:rsidTr="00C24F24">
        <w:trPr>
          <w:trHeight w:val="369"/>
          <w:jc w:val="center"/>
        </w:trPr>
        <w:tc>
          <w:tcPr>
            <w:tcW w:w="341" w:type="pct"/>
            <w:vMerge/>
            <w:vAlign w:val="center"/>
          </w:tcPr>
          <w:p w14:paraId="626B1BD2" w14:textId="77777777" w:rsidR="00C24F24" w:rsidRPr="00A964FF" w:rsidRDefault="00C24F24" w:rsidP="00C24F24">
            <w:pPr>
              <w:jc w:val="center"/>
              <w:rPr>
                <w:rFonts w:ascii="Calibri" w:hAnsi="Calibri"/>
                <w:color w:val="auto"/>
              </w:rPr>
            </w:pPr>
          </w:p>
        </w:tc>
        <w:tc>
          <w:tcPr>
            <w:tcW w:w="1524" w:type="pct"/>
            <w:vAlign w:val="center"/>
          </w:tcPr>
          <w:p w14:paraId="42172DB7"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废气</w:t>
            </w:r>
            <w:r>
              <w:rPr>
                <w:rFonts w:ascii="Calibri" w:hAnsi="Calibri"/>
                <w:color w:val="auto"/>
                <w:szCs w:val="21"/>
              </w:rPr>
              <w:t>处理</w:t>
            </w:r>
            <w:r>
              <w:rPr>
                <w:rFonts w:ascii="Calibri" w:hAnsi="Calibri" w:hint="eastAsia"/>
                <w:color w:val="auto"/>
                <w:szCs w:val="21"/>
              </w:rPr>
              <w:t>风机</w:t>
            </w:r>
          </w:p>
        </w:tc>
        <w:tc>
          <w:tcPr>
            <w:tcW w:w="672" w:type="pct"/>
            <w:vAlign w:val="center"/>
          </w:tcPr>
          <w:p w14:paraId="0E41AAF0"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08476A6B" w14:textId="77777777" w:rsidR="00C24F24" w:rsidRPr="00A964FF" w:rsidRDefault="00C24F24" w:rsidP="00C24F24">
            <w:pPr>
              <w:jc w:val="center"/>
              <w:rPr>
                <w:rFonts w:ascii="Calibri" w:hAnsi="Calibri"/>
                <w:color w:val="auto"/>
              </w:rPr>
            </w:pPr>
            <w:r>
              <w:rPr>
                <w:rFonts w:ascii="Calibri" w:hAnsi="Calibri" w:hint="eastAsia"/>
                <w:color w:val="auto"/>
              </w:rPr>
              <w:t>164</w:t>
            </w:r>
          </w:p>
        </w:tc>
        <w:tc>
          <w:tcPr>
            <w:tcW w:w="561" w:type="pct"/>
            <w:vAlign w:val="center"/>
          </w:tcPr>
          <w:p w14:paraId="36CA4B4F" w14:textId="77777777" w:rsidR="00C24F24" w:rsidRPr="00A964FF" w:rsidRDefault="00C24F24" w:rsidP="00C24F24">
            <w:pPr>
              <w:jc w:val="center"/>
              <w:rPr>
                <w:rFonts w:ascii="Calibri" w:hAnsi="Calibri"/>
                <w:color w:val="auto"/>
              </w:rPr>
            </w:pPr>
            <w:r>
              <w:rPr>
                <w:rFonts w:ascii="Calibri" w:hAnsi="Calibri" w:hint="eastAsia"/>
                <w:color w:val="auto"/>
              </w:rPr>
              <w:t>25.7</w:t>
            </w:r>
          </w:p>
        </w:tc>
        <w:tc>
          <w:tcPr>
            <w:tcW w:w="392" w:type="pct"/>
            <w:vMerge/>
            <w:vAlign w:val="center"/>
          </w:tcPr>
          <w:p w14:paraId="09B7F7A2" w14:textId="77777777" w:rsidR="00C24F24" w:rsidRPr="00A964FF" w:rsidRDefault="00C24F24" w:rsidP="00C24F24">
            <w:pPr>
              <w:jc w:val="center"/>
              <w:rPr>
                <w:rFonts w:ascii="Calibri" w:hAnsi="Calibri"/>
                <w:color w:val="auto"/>
              </w:rPr>
            </w:pPr>
          </w:p>
        </w:tc>
        <w:tc>
          <w:tcPr>
            <w:tcW w:w="475" w:type="pct"/>
            <w:vMerge/>
            <w:vAlign w:val="center"/>
          </w:tcPr>
          <w:p w14:paraId="71A3C4D6" w14:textId="77777777" w:rsidR="00C24F24" w:rsidRPr="00A964FF" w:rsidRDefault="00C24F24" w:rsidP="00C24F24">
            <w:pPr>
              <w:jc w:val="center"/>
              <w:rPr>
                <w:rFonts w:ascii="Calibri" w:hAnsi="Calibri"/>
                <w:color w:val="auto"/>
              </w:rPr>
            </w:pPr>
          </w:p>
        </w:tc>
        <w:tc>
          <w:tcPr>
            <w:tcW w:w="475" w:type="pct"/>
            <w:vMerge/>
            <w:vAlign w:val="center"/>
          </w:tcPr>
          <w:p w14:paraId="32C32E6B" w14:textId="77777777" w:rsidR="00C24F24" w:rsidRPr="00A964FF" w:rsidRDefault="00C24F24" w:rsidP="00C24F24">
            <w:pPr>
              <w:jc w:val="center"/>
              <w:rPr>
                <w:rFonts w:ascii="Calibri" w:hAnsi="Calibri"/>
                <w:color w:val="auto"/>
              </w:rPr>
            </w:pPr>
          </w:p>
        </w:tc>
      </w:tr>
      <w:tr w:rsidR="00C24F24" w:rsidRPr="00A964FF" w14:paraId="749EDE1E" w14:textId="77777777" w:rsidTr="00C24F24">
        <w:trPr>
          <w:trHeight w:val="369"/>
          <w:jc w:val="center"/>
        </w:trPr>
        <w:tc>
          <w:tcPr>
            <w:tcW w:w="341" w:type="pct"/>
            <w:vMerge/>
            <w:vAlign w:val="center"/>
          </w:tcPr>
          <w:p w14:paraId="02FD2017" w14:textId="77777777" w:rsidR="00C24F24" w:rsidRPr="00A964FF" w:rsidRDefault="00C24F24" w:rsidP="00C24F24">
            <w:pPr>
              <w:jc w:val="center"/>
              <w:rPr>
                <w:rFonts w:ascii="Calibri" w:hAnsi="Calibri"/>
                <w:color w:val="auto"/>
              </w:rPr>
            </w:pPr>
          </w:p>
        </w:tc>
        <w:tc>
          <w:tcPr>
            <w:tcW w:w="1524" w:type="pct"/>
            <w:vAlign w:val="center"/>
          </w:tcPr>
          <w:p w14:paraId="43C4B38C"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6C28ED9B"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79304BCA"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19</w:t>
            </w:r>
          </w:p>
        </w:tc>
        <w:tc>
          <w:tcPr>
            <w:tcW w:w="561" w:type="pct"/>
            <w:vAlign w:val="center"/>
          </w:tcPr>
          <w:p w14:paraId="4CD88795" w14:textId="77777777" w:rsidR="00C24F24" w:rsidRPr="00A964FF" w:rsidRDefault="00C24F24" w:rsidP="00C24F24">
            <w:pPr>
              <w:jc w:val="center"/>
              <w:rPr>
                <w:rFonts w:ascii="Calibri" w:hAnsi="Calibri"/>
                <w:color w:val="auto"/>
              </w:rPr>
            </w:pPr>
            <w:r>
              <w:rPr>
                <w:rFonts w:ascii="Calibri" w:hAnsi="Calibri" w:hint="eastAsia"/>
                <w:color w:val="auto"/>
              </w:rPr>
              <w:t>44.4</w:t>
            </w:r>
          </w:p>
        </w:tc>
        <w:tc>
          <w:tcPr>
            <w:tcW w:w="392" w:type="pct"/>
            <w:vMerge/>
            <w:vAlign w:val="center"/>
          </w:tcPr>
          <w:p w14:paraId="29D63B11" w14:textId="77777777" w:rsidR="00C24F24" w:rsidRPr="00A964FF" w:rsidRDefault="00C24F24" w:rsidP="00C24F24">
            <w:pPr>
              <w:jc w:val="center"/>
              <w:rPr>
                <w:rFonts w:ascii="Calibri" w:hAnsi="Calibri"/>
                <w:color w:val="auto"/>
              </w:rPr>
            </w:pPr>
          </w:p>
        </w:tc>
        <w:tc>
          <w:tcPr>
            <w:tcW w:w="475" w:type="pct"/>
            <w:vMerge/>
            <w:vAlign w:val="center"/>
          </w:tcPr>
          <w:p w14:paraId="1AA4D026" w14:textId="77777777" w:rsidR="00C24F24" w:rsidRPr="00A964FF" w:rsidRDefault="00C24F24" w:rsidP="00C24F24">
            <w:pPr>
              <w:jc w:val="center"/>
              <w:rPr>
                <w:rFonts w:ascii="Calibri" w:hAnsi="Calibri"/>
                <w:color w:val="auto"/>
              </w:rPr>
            </w:pPr>
          </w:p>
        </w:tc>
        <w:tc>
          <w:tcPr>
            <w:tcW w:w="475" w:type="pct"/>
            <w:vMerge/>
            <w:vAlign w:val="center"/>
          </w:tcPr>
          <w:p w14:paraId="3FD1F488" w14:textId="77777777" w:rsidR="00C24F24" w:rsidRPr="00A964FF" w:rsidRDefault="00C24F24" w:rsidP="00C24F24">
            <w:pPr>
              <w:jc w:val="center"/>
              <w:rPr>
                <w:rFonts w:ascii="Calibri" w:hAnsi="Calibri"/>
                <w:color w:val="auto"/>
              </w:rPr>
            </w:pPr>
          </w:p>
        </w:tc>
      </w:tr>
      <w:tr w:rsidR="00C24F24" w:rsidRPr="00A964FF" w14:paraId="2A372966" w14:textId="77777777" w:rsidTr="00C24F24">
        <w:trPr>
          <w:trHeight w:val="369"/>
          <w:jc w:val="center"/>
        </w:trPr>
        <w:tc>
          <w:tcPr>
            <w:tcW w:w="341" w:type="pct"/>
            <w:vMerge w:val="restart"/>
            <w:vAlign w:val="center"/>
          </w:tcPr>
          <w:p w14:paraId="0DBC2780" w14:textId="77777777" w:rsidR="00C24F24" w:rsidRPr="00A964FF" w:rsidRDefault="00C24F24" w:rsidP="00C24F24">
            <w:pPr>
              <w:jc w:val="center"/>
              <w:rPr>
                <w:rFonts w:ascii="Calibri" w:hAnsi="Calibri"/>
                <w:color w:val="auto"/>
              </w:rPr>
            </w:pPr>
            <w:r w:rsidRPr="00A964FF">
              <w:rPr>
                <w:rFonts w:ascii="Calibri" w:hAnsi="Calibri" w:hint="eastAsia"/>
                <w:color w:val="auto"/>
              </w:rPr>
              <w:t>北</w:t>
            </w:r>
          </w:p>
          <w:p w14:paraId="0644240F" w14:textId="77777777" w:rsidR="00C24F24" w:rsidRPr="00A964FF" w:rsidRDefault="00C24F24" w:rsidP="00C24F24">
            <w:pPr>
              <w:jc w:val="center"/>
              <w:rPr>
                <w:rFonts w:ascii="Calibri" w:hAnsi="Calibri"/>
                <w:color w:val="auto"/>
              </w:rPr>
            </w:pPr>
            <w:r w:rsidRPr="00A964FF">
              <w:rPr>
                <w:rFonts w:ascii="Calibri" w:hAnsi="Calibri" w:hint="eastAsia"/>
                <w:color w:val="auto"/>
              </w:rPr>
              <w:t>厂</w:t>
            </w:r>
          </w:p>
          <w:p w14:paraId="7F27FCA8" w14:textId="77777777" w:rsidR="00C24F24" w:rsidRPr="00A964FF" w:rsidRDefault="00C24F24" w:rsidP="00C24F24">
            <w:pPr>
              <w:jc w:val="center"/>
              <w:rPr>
                <w:rFonts w:ascii="Calibri" w:hAnsi="Calibri"/>
                <w:color w:val="auto"/>
              </w:rPr>
            </w:pPr>
            <w:r w:rsidRPr="00A964FF">
              <w:rPr>
                <w:rFonts w:ascii="Calibri" w:hAnsi="Calibri" w:hint="eastAsia"/>
                <w:color w:val="auto"/>
              </w:rPr>
              <w:t>界</w:t>
            </w:r>
          </w:p>
        </w:tc>
        <w:tc>
          <w:tcPr>
            <w:tcW w:w="1524" w:type="pct"/>
            <w:vAlign w:val="center"/>
          </w:tcPr>
          <w:p w14:paraId="3C14B57D"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生产</w:t>
            </w:r>
            <w:r>
              <w:rPr>
                <w:rFonts w:ascii="Calibri" w:hAnsi="Calibri"/>
                <w:color w:val="auto"/>
                <w:szCs w:val="21"/>
              </w:rPr>
              <w:t>车间</w:t>
            </w:r>
          </w:p>
        </w:tc>
        <w:tc>
          <w:tcPr>
            <w:tcW w:w="672" w:type="pct"/>
            <w:vAlign w:val="center"/>
          </w:tcPr>
          <w:p w14:paraId="01834B04" w14:textId="77777777" w:rsidR="00C24F24" w:rsidRPr="00A964FF" w:rsidRDefault="00C24F24" w:rsidP="00C24F24">
            <w:pPr>
              <w:jc w:val="center"/>
              <w:rPr>
                <w:rFonts w:ascii="Calibri" w:hAnsi="Calibri"/>
                <w:color w:val="auto"/>
                <w:szCs w:val="21"/>
              </w:rPr>
            </w:pPr>
            <w:r>
              <w:rPr>
                <w:rFonts w:ascii="Calibri" w:hAnsi="Calibri"/>
                <w:color w:val="auto"/>
                <w:szCs w:val="21"/>
              </w:rPr>
              <w:t>63.3</w:t>
            </w:r>
          </w:p>
        </w:tc>
        <w:tc>
          <w:tcPr>
            <w:tcW w:w="559" w:type="pct"/>
            <w:vAlign w:val="center"/>
          </w:tcPr>
          <w:p w14:paraId="24E17A53" w14:textId="77777777" w:rsidR="00C24F24" w:rsidRPr="00A964FF" w:rsidRDefault="00C24F24" w:rsidP="00C24F24">
            <w:pPr>
              <w:jc w:val="center"/>
              <w:rPr>
                <w:rFonts w:ascii="Calibri" w:hAnsi="Calibri"/>
                <w:color w:val="auto"/>
              </w:rPr>
            </w:pPr>
            <w:r>
              <w:rPr>
                <w:rFonts w:ascii="Calibri" w:hAnsi="Calibri" w:hint="eastAsia"/>
                <w:color w:val="auto"/>
              </w:rPr>
              <w:t>19</w:t>
            </w:r>
          </w:p>
        </w:tc>
        <w:tc>
          <w:tcPr>
            <w:tcW w:w="561" w:type="pct"/>
            <w:vAlign w:val="center"/>
          </w:tcPr>
          <w:p w14:paraId="791E7986" w14:textId="77777777" w:rsidR="00C24F24" w:rsidRPr="00A964FF" w:rsidRDefault="00C24F24" w:rsidP="00C24F24">
            <w:pPr>
              <w:jc w:val="center"/>
              <w:rPr>
                <w:rFonts w:ascii="Calibri" w:hAnsi="Calibri"/>
                <w:color w:val="auto"/>
              </w:rPr>
            </w:pPr>
            <w:r>
              <w:rPr>
                <w:rFonts w:ascii="Calibri" w:hAnsi="Calibri" w:hint="eastAsia"/>
                <w:color w:val="auto"/>
              </w:rPr>
              <w:t>37</w:t>
            </w:r>
            <w:r>
              <w:rPr>
                <w:rFonts w:ascii="Calibri" w:hAnsi="Calibri"/>
                <w:color w:val="auto"/>
              </w:rPr>
              <w:t>.7</w:t>
            </w:r>
          </w:p>
        </w:tc>
        <w:tc>
          <w:tcPr>
            <w:tcW w:w="392" w:type="pct"/>
            <w:vMerge w:val="restart"/>
            <w:vAlign w:val="center"/>
          </w:tcPr>
          <w:p w14:paraId="2128F7F0" w14:textId="77777777" w:rsidR="00C24F24" w:rsidRPr="00A964FF" w:rsidRDefault="00C24F24" w:rsidP="00C24F24">
            <w:pPr>
              <w:jc w:val="center"/>
              <w:rPr>
                <w:rFonts w:ascii="Calibri" w:hAnsi="Calibri"/>
                <w:color w:val="auto"/>
              </w:rPr>
            </w:pPr>
            <w:r>
              <w:rPr>
                <w:rFonts w:ascii="Calibri" w:hAnsi="Calibri" w:hint="eastAsia"/>
                <w:color w:val="auto"/>
              </w:rPr>
              <w:t>40.3</w:t>
            </w:r>
          </w:p>
        </w:tc>
        <w:tc>
          <w:tcPr>
            <w:tcW w:w="475" w:type="pct"/>
            <w:vMerge w:val="restart"/>
            <w:vAlign w:val="center"/>
          </w:tcPr>
          <w:p w14:paraId="3BBC83C9" w14:textId="77777777" w:rsidR="00C24F24" w:rsidRPr="00A964FF" w:rsidRDefault="00C24F24" w:rsidP="00C24F24">
            <w:pPr>
              <w:jc w:val="center"/>
              <w:rPr>
                <w:rFonts w:ascii="Calibri" w:hAnsi="Calibri"/>
                <w:color w:val="auto"/>
              </w:rPr>
            </w:pPr>
            <w:r w:rsidRPr="00A964FF">
              <w:rPr>
                <w:rFonts w:ascii="Calibri" w:hAnsi="Calibri" w:hint="eastAsia"/>
                <w:color w:val="auto"/>
              </w:rPr>
              <w:t>6</w:t>
            </w:r>
            <w:r>
              <w:rPr>
                <w:rFonts w:ascii="Calibri" w:hAnsi="Calibri"/>
                <w:color w:val="auto"/>
              </w:rPr>
              <w:t>5</w:t>
            </w:r>
            <w:r w:rsidRPr="00A964FF">
              <w:rPr>
                <w:rFonts w:ascii="Calibri" w:hAnsi="Calibri" w:hint="eastAsia"/>
                <w:color w:val="auto"/>
              </w:rPr>
              <w:t>/5</w:t>
            </w:r>
            <w:r>
              <w:rPr>
                <w:rFonts w:ascii="Calibri" w:hAnsi="Calibri"/>
                <w:color w:val="auto"/>
              </w:rPr>
              <w:t>5</w:t>
            </w:r>
          </w:p>
        </w:tc>
        <w:tc>
          <w:tcPr>
            <w:tcW w:w="475" w:type="pct"/>
            <w:vMerge w:val="restart"/>
            <w:vAlign w:val="center"/>
          </w:tcPr>
          <w:p w14:paraId="4A188871" w14:textId="77777777" w:rsidR="00C24F24" w:rsidRPr="00A964FF" w:rsidRDefault="00C24F24" w:rsidP="00C24F24">
            <w:pPr>
              <w:jc w:val="center"/>
              <w:rPr>
                <w:rFonts w:ascii="Calibri" w:hAnsi="Calibri"/>
                <w:color w:val="auto"/>
              </w:rPr>
            </w:pPr>
            <w:r>
              <w:rPr>
                <w:rFonts w:ascii="Calibri" w:hAnsi="Calibri" w:hint="eastAsia"/>
                <w:color w:val="auto"/>
              </w:rPr>
              <w:t>达标</w:t>
            </w:r>
          </w:p>
        </w:tc>
      </w:tr>
      <w:tr w:rsidR="00C24F24" w:rsidRPr="00A964FF" w14:paraId="1DA98BD6" w14:textId="77777777" w:rsidTr="00C24F24">
        <w:trPr>
          <w:trHeight w:val="369"/>
          <w:jc w:val="center"/>
        </w:trPr>
        <w:tc>
          <w:tcPr>
            <w:tcW w:w="341" w:type="pct"/>
            <w:vMerge/>
            <w:vAlign w:val="center"/>
          </w:tcPr>
          <w:p w14:paraId="213BF96F" w14:textId="77777777" w:rsidR="00C24F24" w:rsidRPr="00A964FF" w:rsidRDefault="00C24F24" w:rsidP="00C24F24">
            <w:pPr>
              <w:jc w:val="center"/>
              <w:rPr>
                <w:rFonts w:ascii="Calibri" w:hAnsi="Calibri"/>
                <w:color w:val="auto"/>
              </w:rPr>
            </w:pPr>
          </w:p>
        </w:tc>
        <w:tc>
          <w:tcPr>
            <w:tcW w:w="1524" w:type="pct"/>
            <w:vAlign w:val="center"/>
          </w:tcPr>
          <w:p w14:paraId="14DCE6D3"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798FFBC6"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23BAD3F1" w14:textId="77777777" w:rsidR="00C24F24" w:rsidRPr="00A964FF" w:rsidRDefault="00C24F24" w:rsidP="00C24F24">
            <w:pPr>
              <w:jc w:val="center"/>
              <w:rPr>
                <w:rFonts w:ascii="Calibri" w:hAnsi="Calibri"/>
                <w:color w:val="auto"/>
              </w:rPr>
            </w:pPr>
            <w:r>
              <w:rPr>
                <w:rFonts w:ascii="Calibri" w:hAnsi="Calibri" w:hint="eastAsia"/>
                <w:color w:val="auto"/>
              </w:rPr>
              <w:t>60</w:t>
            </w:r>
          </w:p>
        </w:tc>
        <w:tc>
          <w:tcPr>
            <w:tcW w:w="561" w:type="pct"/>
            <w:vAlign w:val="center"/>
          </w:tcPr>
          <w:p w14:paraId="51618583" w14:textId="77777777" w:rsidR="00C24F24" w:rsidRPr="00A964FF" w:rsidRDefault="00C24F24" w:rsidP="00C24F24">
            <w:pPr>
              <w:jc w:val="center"/>
              <w:rPr>
                <w:rFonts w:ascii="Calibri" w:hAnsi="Calibri"/>
                <w:color w:val="auto"/>
              </w:rPr>
            </w:pPr>
            <w:r>
              <w:rPr>
                <w:rFonts w:ascii="Calibri" w:hAnsi="Calibri" w:hint="eastAsia"/>
                <w:color w:val="auto"/>
              </w:rPr>
              <w:t>34.4</w:t>
            </w:r>
          </w:p>
        </w:tc>
        <w:tc>
          <w:tcPr>
            <w:tcW w:w="392" w:type="pct"/>
            <w:vMerge/>
            <w:vAlign w:val="center"/>
          </w:tcPr>
          <w:p w14:paraId="254BDEF0" w14:textId="77777777" w:rsidR="00C24F24" w:rsidRPr="00A964FF" w:rsidRDefault="00C24F24" w:rsidP="00C24F24">
            <w:pPr>
              <w:jc w:val="center"/>
              <w:rPr>
                <w:rFonts w:ascii="Calibri" w:hAnsi="Calibri"/>
                <w:color w:val="auto"/>
              </w:rPr>
            </w:pPr>
          </w:p>
        </w:tc>
        <w:tc>
          <w:tcPr>
            <w:tcW w:w="475" w:type="pct"/>
            <w:vMerge/>
            <w:vAlign w:val="center"/>
          </w:tcPr>
          <w:p w14:paraId="6AB469B0" w14:textId="77777777" w:rsidR="00C24F24" w:rsidRPr="00A964FF" w:rsidRDefault="00C24F24" w:rsidP="00C24F24">
            <w:pPr>
              <w:jc w:val="center"/>
              <w:rPr>
                <w:rFonts w:ascii="Calibri" w:hAnsi="Calibri"/>
                <w:color w:val="auto"/>
              </w:rPr>
            </w:pPr>
          </w:p>
        </w:tc>
        <w:tc>
          <w:tcPr>
            <w:tcW w:w="475" w:type="pct"/>
            <w:vMerge/>
            <w:vAlign w:val="center"/>
          </w:tcPr>
          <w:p w14:paraId="2647703D" w14:textId="77777777" w:rsidR="00C24F24" w:rsidRPr="00A964FF" w:rsidRDefault="00C24F24" w:rsidP="00C24F24">
            <w:pPr>
              <w:jc w:val="center"/>
              <w:rPr>
                <w:rFonts w:ascii="Calibri" w:hAnsi="Calibri"/>
                <w:color w:val="auto"/>
              </w:rPr>
            </w:pPr>
          </w:p>
        </w:tc>
      </w:tr>
      <w:tr w:rsidR="00C24F24" w:rsidRPr="00A964FF" w14:paraId="03C411F8" w14:textId="77777777" w:rsidTr="00C24F24">
        <w:trPr>
          <w:trHeight w:val="369"/>
          <w:jc w:val="center"/>
        </w:trPr>
        <w:tc>
          <w:tcPr>
            <w:tcW w:w="341" w:type="pct"/>
            <w:vMerge/>
            <w:vAlign w:val="center"/>
          </w:tcPr>
          <w:p w14:paraId="0C6642A6" w14:textId="77777777" w:rsidR="00C24F24" w:rsidRPr="00A964FF" w:rsidRDefault="00C24F24" w:rsidP="00C24F24">
            <w:pPr>
              <w:jc w:val="center"/>
              <w:rPr>
                <w:rFonts w:ascii="Calibri" w:hAnsi="Calibri"/>
                <w:color w:val="auto"/>
              </w:rPr>
            </w:pPr>
          </w:p>
        </w:tc>
        <w:tc>
          <w:tcPr>
            <w:tcW w:w="1524" w:type="pct"/>
            <w:vAlign w:val="center"/>
          </w:tcPr>
          <w:p w14:paraId="4A178CBB"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hint="eastAsia"/>
                <w:color w:val="auto"/>
                <w:szCs w:val="21"/>
              </w:rPr>
              <w:t>1</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047EC525"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0E5DBC70" w14:textId="77777777" w:rsidR="00C24F24" w:rsidRPr="00A964FF" w:rsidRDefault="00C24F24" w:rsidP="00C24F24">
            <w:pPr>
              <w:jc w:val="center"/>
              <w:rPr>
                <w:rFonts w:ascii="Calibri" w:hAnsi="Calibri"/>
                <w:color w:val="auto"/>
              </w:rPr>
            </w:pPr>
            <w:r>
              <w:rPr>
                <w:rFonts w:ascii="Calibri" w:hAnsi="Calibri" w:hint="eastAsia"/>
                <w:color w:val="auto"/>
              </w:rPr>
              <w:t>364</w:t>
            </w:r>
          </w:p>
        </w:tc>
        <w:tc>
          <w:tcPr>
            <w:tcW w:w="561" w:type="pct"/>
            <w:vAlign w:val="center"/>
          </w:tcPr>
          <w:p w14:paraId="3D12DDAB" w14:textId="77777777" w:rsidR="00C24F24" w:rsidRPr="00A964FF" w:rsidRDefault="00C24F24" w:rsidP="00C24F24">
            <w:pPr>
              <w:jc w:val="center"/>
              <w:rPr>
                <w:rFonts w:ascii="Calibri" w:hAnsi="Calibri"/>
                <w:color w:val="auto"/>
              </w:rPr>
            </w:pPr>
            <w:r>
              <w:rPr>
                <w:rFonts w:ascii="Calibri" w:hAnsi="Calibri" w:hint="eastAsia"/>
                <w:color w:val="auto"/>
              </w:rPr>
              <w:t>18.8</w:t>
            </w:r>
          </w:p>
        </w:tc>
        <w:tc>
          <w:tcPr>
            <w:tcW w:w="392" w:type="pct"/>
            <w:vMerge/>
            <w:vAlign w:val="center"/>
          </w:tcPr>
          <w:p w14:paraId="17CEBFD1" w14:textId="77777777" w:rsidR="00C24F24" w:rsidRPr="00A964FF" w:rsidRDefault="00C24F24" w:rsidP="00C24F24">
            <w:pPr>
              <w:jc w:val="center"/>
              <w:rPr>
                <w:rFonts w:ascii="Calibri" w:hAnsi="Calibri"/>
                <w:color w:val="auto"/>
              </w:rPr>
            </w:pPr>
          </w:p>
        </w:tc>
        <w:tc>
          <w:tcPr>
            <w:tcW w:w="475" w:type="pct"/>
            <w:vMerge/>
            <w:vAlign w:val="center"/>
          </w:tcPr>
          <w:p w14:paraId="71A16E78" w14:textId="77777777" w:rsidR="00C24F24" w:rsidRPr="00A964FF" w:rsidRDefault="00C24F24" w:rsidP="00C24F24">
            <w:pPr>
              <w:jc w:val="center"/>
              <w:rPr>
                <w:rFonts w:ascii="Calibri" w:hAnsi="Calibri"/>
                <w:color w:val="auto"/>
              </w:rPr>
            </w:pPr>
          </w:p>
        </w:tc>
        <w:tc>
          <w:tcPr>
            <w:tcW w:w="475" w:type="pct"/>
            <w:vMerge/>
            <w:vAlign w:val="center"/>
          </w:tcPr>
          <w:p w14:paraId="5917DE9D" w14:textId="77777777" w:rsidR="00C24F24" w:rsidRPr="00A964FF" w:rsidRDefault="00C24F24" w:rsidP="00C24F24">
            <w:pPr>
              <w:jc w:val="center"/>
              <w:rPr>
                <w:rFonts w:ascii="Calibri" w:hAnsi="Calibri"/>
                <w:color w:val="auto"/>
              </w:rPr>
            </w:pPr>
          </w:p>
        </w:tc>
      </w:tr>
      <w:tr w:rsidR="00C24F24" w:rsidRPr="00A964FF" w14:paraId="779CE669" w14:textId="77777777" w:rsidTr="00C24F24">
        <w:trPr>
          <w:trHeight w:val="369"/>
          <w:jc w:val="center"/>
        </w:trPr>
        <w:tc>
          <w:tcPr>
            <w:tcW w:w="341" w:type="pct"/>
            <w:vMerge/>
            <w:vAlign w:val="center"/>
          </w:tcPr>
          <w:p w14:paraId="13F1FDE9" w14:textId="77777777" w:rsidR="00C24F24" w:rsidRPr="00A964FF" w:rsidRDefault="00C24F24" w:rsidP="00C24F24">
            <w:pPr>
              <w:jc w:val="center"/>
              <w:rPr>
                <w:rFonts w:ascii="Calibri" w:hAnsi="Calibri"/>
                <w:color w:val="auto"/>
              </w:rPr>
            </w:pPr>
          </w:p>
        </w:tc>
        <w:tc>
          <w:tcPr>
            <w:tcW w:w="1524" w:type="pct"/>
            <w:vAlign w:val="center"/>
          </w:tcPr>
          <w:p w14:paraId="45A68A91"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211EBBFD"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331E8E2F" w14:textId="77777777" w:rsidR="00C24F24" w:rsidRPr="00A964FF" w:rsidRDefault="00C24F24" w:rsidP="00C24F24">
            <w:pPr>
              <w:jc w:val="center"/>
              <w:rPr>
                <w:rFonts w:ascii="Calibri" w:hAnsi="Calibri"/>
                <w:color w:val="auto"/>
              </w:rPr>
            </w:pPr>
            <w:r>
              <w:rPr>
                <w:rFonts w:ascii="Calibri" w:hAnsi="Calibri" w:hint="eastAsia"/>
                <w:color w:val="auto"/>
              </w:rPr>
              <w:t>362</w:t>
            </w:r>
          </w:p>
        </w:tc>
        <w:tc>
          <w:tcPr>
            <w:tcW w:w="561" w:type="pct"/>
            <w:vAlign w:val="center"/>
          </w:tcPr>
          <w:p w14:paraId="36418089" w14:textId="77777777" w:rsidR="00C24F24" w:rsidRPr="00A964FF" w:rsidRDefault="00C24F24" w:rsidP="00C24F24">
            <w:pPr>
              <w:jc w:val="center"/>
              <w:rPr>
                <w:rFonts w:ascii="Calibri" w:hAnsi="Calibri"/>
                <w:color w:val="auto"/>
              </w:rPr>
            </w:pPr>
            <w:r>
              <w:rPr>
                <w:rFonts w:ascii="Calibri" w:hAnsi="Calibri" w:hint="eastAsia"/>
                <w:color w:val="auto"/>
              </w:rPr>
              <w:t>18.8</w:t>
            </w:r>
          </w:p>
        </w:tc>
        <w:tc>
          <w:tcPr>
            <w:tcW w:w="392" w:type="pct"/>
            <w:vMerge/>
            <w:vAlign w:val="center"/>
          </w:tcPr>
          <w:p w14:paraId="09ECCAFC" w14:textId="77777777" w:rsidR="00C24F24" w:rsidRPr="00A964FF" w:rsidRDefault="00C24F24" w:rsidP="00C24F24">
            <w:pPr>
              <w:jc w:val="center"/>
              <w:rPr>
                <w:rFonts w:ascii="Calibri" w:hAnsi="Calibri"/>
                <w:color w:val="auto"/>
              </w:rPr>
            </w:pPr>
          </w:p>
        </w:tc>
        <w:tc>
          <w:tcPr>
            <w:tcW w:w="475" w:type="pct"/>
            <w:vMerge/>
            <w:vAlign w:val="center"/>
          </w:tcPr>
          <w:p w14:paraId="5C33D666" w14:textId="77777777" w:rsidR="00C24F24" w:rsidRPr="00A964FF" w:rsidRDefault="00C24F24" w:rsidP="00C24F24">
            <w:pPr>
              <w:jc w:val="center"/>
              <w:rPr>
                <w:rFonts w:ascii="Calibri" w:hAnsi="Calibri"/>
                <w:color w:val="auto"/>
              </w:rPr>
            </w:pPr>
          </w:p>
        </w:tc>
        <w:tc>
          <w:tcPr>
            <w:tcW w:w="475" w:type="pct"/>
            <w:vMerge/>
            <w:vAlign w:val="center"/>
          </w:tcPr>
          <w:p w14:paraId="4BB4F161" w14:textId="77777777" w:rsidR="00C24F24" w:rsidRPr="00A964FF" w:rsidRDefault="00C24F24" w:rsidP="00C24F24">
            <w:pPr>
              <w:jc w:val="center"/>
              <w:rPr>
                <w:rFonts w:ascii="Calibri" w:hAnsi="Calibri"/>
                <w:color w:val="auto"/>
              </w:rPr>
            </w:pPr>
          </w:p>
        </w:tc>
      </w:tr>
      <w:tr w:rsidR="00C24F24" w:rsidRPr="00A964FF" w14:paraId="5B62399B" w14:textId="77777777" w:rsidTr="00C24F24">
        <w:trPr>
          <w:trHeight w:val="369"/>
          <w:jc w:val="center"/>
        </w:trPr>
        <w:tc>
          <w:tcPr>
            <w:tcW w:w="341" w:type="pct"/>
            <w:vMerge/>
            <w:vAlign w:val="center"/>
          </w:tcPr>
          <w:p w14:paraId="5940319F" w14:textId="77777777" w:rsidR="00C24F24" w:rsidRPr="00A964FF" w:rsidRDefault="00C24F24" w:rsidP="00C24F24">
            <w:pPr>
              <w:jc w:val="center"/>
              <w:rPr>
                <w:rFonts w:ascii="Calibri" w:hAnsi="Calibri"/>
                <w:color w:val="auto"/>
              </w:rPr>
            </w:pPr>
          </w:p>
        </w:tc>
        <w:tc>
          <w:tcPr>
            <w:tcW w:w="1524" w:type="pct"/>
            <w:vAlign w:val="center"/>
          </w:tcPr>
          <w:p w14:paraId="0EBC74C2"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3</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6ED801B4"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6FC63E50" w14:textId="77777777" w:rsidR="00C24F24" w:rsidRPr="00A964FF" w:rsidRDefault="00C24F24" w:rsidP="00C24F24">
            <w:pPr>
              <w:jc w:val="center"/>
              <w:rPr>
                <w:rFonts w:ascii="Calibri" w:hAnsi="Calibri"/>
                <w:color w:val="auto"/>
              </w:rPr>
            </w:pPr>
            <w:r>
              <w:rPr>
                <w:rFonts w:ascii="Calibri" w:hAnsi="Calibri" w:hint="eastAsia"/>
                <w:color w:val="auto"/>
              </w:rPr>
              <w:t>362</w:t>
            </w:r>
          </w:p>
        </w:tc>
        <w:tc>
          <w:tcPr>
            <w:tcW w:w="561" w:type="pct"/>
            <w:vAlign w:val="center"/>
          </w:tcPr>
          <w:p w14:paraId="235180DF" w14:textId="77777777" w:rsidR="00C24F24" w:rsidRPr="00A964FF" w:rsidRDefault="00C24F24" w:rsidP="00C24F24">
            <w:pPr>
              <w:jc w:val="center"/>
              <w:rPr>
                <w:rFonts w:ascii="Calibri" w:hAnsi="Calibri"/>
                <w:color w:val="auto"/>
              </w:rPr>
            </w:pPr>
            <w:r>
              <w:rPr>
                <w:rFonts w:ascii="Calibri" w:hAnsi="Calibri" w:hint="eastAsia"/>
                <w:color w:val="auto"/>
              </w:rPr>
              <w:t>18.8</w:t>
            </w:r>
          </w:p>
        </w:tc>
        <w:tc>
          <w:tcPr>
            <w:tcW w:w="392" w:type="pct"/>
            <w:vMerge/>
            <w:vAlign w:val="center"/>
          </w:tcPr>
          <w:p w14:paraId="08C99D98" w14:textId="77777777" w:rsidR="00C24F24" w:rsidRPr="00A964FF" w:rsidRDefault="00C24F24" w:rsidP="00C24F24">
            <w:pPr>
              <w:jc w:val="center"/>
              <w:rPr>
                <w:rFonts w:ascii="Calibri" w:hAnsi="Calibri"/>
                <w:color w:val="auto"/>
              </w:rPr>
            </w:pPr>
          </w:p>
        </w:tc>
        <w:tc>
          <w:tcPr>
            <w:tcW w:w="475" w:type="pct"/>
            <w:vMerge/>
            <w:vAlign w:val="center"/>
          </w:tcPr>
          <w:p w14:paraId="39AF74A2" w14:textId="77777777" w:rsidR="00C24F24" w:rsidRPr="00A964FF" w:rsidRDefault="00C24F24" w:rsidP="00C24F24">
            <w:pPr>
              <w:jc w:val="center"/>
              <w:rPr>
                <w:rFonts w:ascii="Calibri" w:hAnsi="Calibri"/>
                <w:color w:val="auto"/>
              </w:rPr>
            </w:pPr>
          </w:p>
        </w:tc>
        <w:tc>
          <w:tcPr>
            <w:tcW w:w="475" w:type="pct"/>
            <w:vMerge/>
            <w:vAlign w:val="center"/>
          </w:tcPr>
          <w:p w14:paraId="1B1A4F55" w14:textId="77777777" w:rsidR="00C24F24" w:rsidRPr="00A964FF" w:rsidRDefault="00C24F24" w:rsidP="00C24F24">
            <w:pPr>
              <w:jc w:val="center"/>
              <w:rPr>
                <w:rFonts w:ascii="Calibri" w:hAnsi="Calibri"/>
                <w:color w:val="auto"/>
              </w:rPr>
            </w:pPr>
          </w:p>
        </w:tc>
      </w:tr>
      <w:tr w:rsidR="00C24F24" w:rsidRPr="00A964FF" w14:paraId="7830F062" w14:textId="77777777" w:rsidTr="00C24F24">
        <w:trPr>
          <w:trHeight w:val="369"/>
          <w:jc w:val="center"/>
        </w:trPr>
        <w:tc>
          <w:tcPr>
            <w:tcW w:w="341" w:type="pct"/>
            <w:vMerge/>
            <w:vAlign w:val="center"/>
          </w:tcPr>
          <w:p w14:paraId="6248E552" w14:textId="77777777" w:rsidR="00C24F24" w:rsidRPr="00A964FF" w:rsidRDefault="00C24F24" w:rsidP="00C24F24">
            <w:pPr>
              <w:jc w:val="center"/>
              <w:rPr>
                <w:rFonts w:ascii="Calibri" w:hAnsi="Calibri"/>
                <w:color w:val="auto"/>
              </w:rPr>
            </w:pPr>
          </w:p>
        </w:tc>
        <w:tc>
          <w:tcPr>
            <w:tcW w:w="1524" w:type="pct"/>
            <w:vAlign w:val="center"/>
          </w:tcPr>
          <w:p w14:paraId="219257DA"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鼓风机</w:t>
            </w:r>
          </w:p>
        </w:tc>
        <w:tc>
          <w:tcPr>
            <w:tcW w:w="672" w:type="pct"/>
            <w:vAlign w:val="center"/>
          </w:tcPr>
          <w:p w14:paraId="0641109A" w14:textId="77777777" w:rsidR="00C24F24" w:rsidRPr="00A964FF" w:rsidRDefault="00C24F24" w:rsidP="00C24F24">
            <w:pPr>
              <w:jc w:val="center"/>
              <w:rPr>
                <w:rFonts w:ascii="Calibri" w:hAnsi="Calibri"/>
                <w:color w:val="auto"/>
                <w:szCs w:val="21"/>
              </w:rPr>
            </w:pPr>
            <w:r>
              <w:rPr>
                <w:rFonts w:ascii="Calibri" w:hAnsi="Calibri"/>
                <w:color w:val="auto"/>
                <w:szCs w:val="21"/>
              </w:rPr>
              <w:t>75</w:t>
            </w:r>
          </w:p>
        </w:tc>
        <w:tc>
          <w:tcPr>
            <w:tcW w:w="559" w:type="pct"/>
            <w:vAlign w:val="center"/>
          </w:tcPr>
          <w:p w14:paraId="0926A596" w14:textId="77777777" w:rsidR="00C24F24" w:rsidRPr="00A964FF" w:rsidRDefault="00C24F24" w:rsidP="00C24F24">
            <w:pPr>
              <w:jc w:val="center"/>
              <w:rPr>
                <w:rFonts w:ascii="Calibri" w:hAnsi="Calibri"/>
                <w:color w:val="auto"/>
              </w:rPr>
            </w:pPr>
            <w:r>
              <w:rPr>
                <w:rFonts w:ascii="Calibri" w:hAnsi="Calibri" w:hint="eastAsia"/>
                <w:color w:val="auto"/>
              </w:rPr>
              <w:t>360</w:t>
            </w:r>
          </w:p>
        </w:tc>
        <w:tc>
          <w:tcPr>
            <w:tcW w:w="561" w:type="pct"/>
            <w:vAlign w:val="center"/>
          </w:tcPr>
          <w:p w14:paraId="2AAB2377" w14:textId="77777777" w:rsidR="00C24F24" w:rsidRPr="00A964FF" w:rsidRDefault="00C24F24" w:rsidP="00C24F24">
            <w:pPr>
              <w:jc w:val="center"/>
              <w:rPr>
                <w:rFonts w:ascii="Calibri" w:hAnsi="Calibri"/>
                <w:color w:val="auto"/>
              </w:rPr>
            </w:pPr>
            <w:r>
              <w:rPr>
                <w:rFonts w:ascii="Calibri" w:hAnsi="Calibri" w:hint="eastAsia"/>
                <w:color w:val="auto"/>
              </w:rPr>
              <w:t>23.9</w:t>
            </w:r>
          </w:p>
        </w:tc>
        <w:tc>
          <w:tcPr>
            <w:tcW w:w="392" w:type="pct"/>
            <w:vMerge/>
            <w:vAlign w:val="center"/>
          </w:tcPr>
          <w:p w14:paraId="027C5A03" w14:textId="77777777" w:rsidR="00C24F24" w:rsidRPr="00A964FF" w:rsidRDefault="00C24F24" w:rsidP="00C24F24">
            <w:pPr>
              <w:jc w:val="center"/>
              <w:rPr>
                <w:rFonts w:ascii="Calibri" w:hAnsi="Calibri"/>
                <w:color w:val="auto"/>
              </w:rPr>
            </w:pPr>
          </w:p>
        </w:tc>
        <w:tc>
          <w:tcPr>
            <w:tcW w:w="475" w:type="pct"/>
            <w:vMerge/>
            <w:vAlign w:val="center"/>
          </w:tcPr>
          <w:p w14:paraId="7795C708" w14:textId="77777777" w:rsidR="00C24F24" w:rsidRPr="00A964FF" w:rsidRDefault="00C24F24" w:rsidP="00C24F24">
            <w:pPr>
              <w:jc w:val="center"/>
              <w:rPr>
                <w:rFonts w:ascii="Calibri" w:hAnsi="Calibri"/>
                <w:color w:val="auto"/>
              </w:rPr>
            </w:pPr>
          </w:p>
        </w:tc>
        <w:tc>
          <w:tcPr>
            <w:tcW w:w="475" w:type="pct"/>
            <w:vMerge/>
            <w:vAlign w:val="center"/>
          </w:tcPr>
          <w:p w14:paraId="4801629D" w14:textId="77777777" w:rsidR="00C24F24" w:rsidRPr="00A964FF" w:rsidRDefault="00C24F24" w:rsidP="00C24F24">
            <w:pPr>
              <w:jc w:val="center"/>
              <w:rPr>
                <w:rFonts w:ascii="Calibri" w:hAnsi="Calibri"/>
                <w:color w:val="auto"/>
              </w:rPr>
            </w:pPr>
          </w:p>
        </w:tc>
      </w:tr>
      <w:tr w:rsidR="00C24F24" w:rsidRPr="00A964FF" w14:paraId="34BCECCE" w14:textId="77777777" w:rsidTr="00C24F24">
        <w:trPr>
          <w:trHeight w:val="369"/>
          <w:jc w:val="center"/>
        </w:trPr>
        <w:tc>
          <w:tcPr>
            <w:tcW w:w="341" w:type="pct"/>
            <w:vMerge/>
            <w:vAlign w:val="center"/>
          </w:tcPr>
          <w:p w14:paraId="0882C728" w14:textId="77777777" w:rsidR="00C24F24" w:rsidRPr="00A964FF" w:rsidRDefault="00C24F24" w:rsidP="00C24F24">
            <w:pPr>
              <w:jc w:val="center"/>
              <w:rPr>
                <w:rFonts w:ascii="Calibri" w:hAnsi="Calibri"/>
                <w:color w:val="auto"/>
              </w:rPr>
            </w:pPr>
          </w:p>
        </w:tc>
        <w:tc>
          <w:tcPr>
            <w:tcW w:w="1524" w:type="pct"/>
            <w:vAlign w:val="center"/>
          </w:tcPr>
          <w:p w14:paraId="1C1EFE35"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w:t>
            </w:r>
            <w:r>
              <w:rPr>
                <w:rFonts w:ascii="Calibri" w:hAnsi="Calibri"/>
                <w:color w:val="auto"/>
                <w:szCs w:val="21"/>
              </w:rPr>
              <w:t>1</w:t>
            </w:r>
            <w:r w:rsidRPr="006E1C5B">
              <w:rPr>
                <w:rFonts w:ascii="Calibri" w:hAnsi="Calibri"/>
                <w:color w:val="auto"/>
                <w:szCs w:val="21"/>
              </w:rPr>
              <w:t>#</w:t>
            </w:r>
            <w:r>
              <w:rPr>
                <w:rFonts w:ascii="Calibri" w:hAnsi="Calibri" w:hint="eastAsia"/>
                <w:color w:val="auto"/>
                <w:szCs w:val="21"/>
              </w:rPr>
              <w:t>废气</w:t>
            </w:r>
            <w:r>
              <w:rPr>
                <w:rFonts w:ascii="Calibri" w:hAnsi="Calibri"/>
                <w:color w:val="auto"/>
                <w:szCs w:val="21"/>
              </w:rPr>
              <w:t>处理</w:t>
            </w:r>
            <w:r>
              <w:rPr>
                <w:rFonts w:ascii="Calibri" w:hAnsi="Calibri" w:hint="eastAsia"/>
                <w:color w:val="auto"/>
                <w:szCs w:val="21"/>
              </w:rPr>
              <w:t>风机</w:t>
            </w:r>
          </w:p>
        </w:tc>
        <w:tc>
          <w:tcPr>
            <w:tcW w:w="672" w:type="pct"/>
            <w:vAlign w:val="center"/>
          </w:tcPr>
          <w:p w14:paraId="6C0B0554"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7DD84BB1" w14:textId="77777777" w:rsidR="00C24F24" w:rsidRPr="00A964FF" w:rsidRDefault="00C24F24" w:rsidP="00C24F24">
            <w:pPr>
              <w:jc w:val="center"/>
              <w:rPr>
                <w:rFonts w:ascii="Calibri" w:hAnsi="Calibri"/>
                <w:color w:val="auto"/>
              </w:rPr>
            </w:pPr>
            <w:r>
              <w:rPr>
                <w:rFonts w:ascii="Calibri" w:hAnsi="Calibri" w:hint="eastAsia"/>
                <w:color w:val="auto"/>
              </w:rPr>
              <w:t>355</w:t>
            </w:r>
          </w:p>
        </w:tc>
        <w:tc>
          <w:tcPr>
            <w:tcW w:w="561" w:type="pct"/>
            <w:vAlign w:val="center"/>
          </w:tcPr>
          <w:p w14:paraId="6DDCBFF5" w14:textId="77777777" w:rsidR="00C24F24" w:rsidRPr="00A964FF" w:rsidRDefault="00C24F24" w:rsidP="00C24F24">
            <w:pPr>
              <w:jc w:val="center"/>
              <w:rPr>
                <w:rFonts w:ascii="Calibri" w:hAnsi="Calibri"/>
                <w:color w:val="auto"/>
              </w:rPr>
            </w:pPr>
            <w:r>
              <w:rPr>
                <w:rFonts w:ascii="Calibri" w:hAnsi="Calibri" w:hint="eastAsia"/>
                <w:color w:val="auto"/>
              </w:rPr>
              <w:t>19.0</w:t>
            </w:r>
          </w:p>
        </w:tc>
        <w:tc>
          <w:tcPr>
            <w:tcW w:w="392" w:type="pct"/>
            <w:vMerge/>
            <w:vAlign w:val="center"/>
          </w:tcPr>
          <w:p w14:paraId="48BD012E" w14:textId="77777777" w:rsidR="00C24F24" w:rsidRPr="00A964FF" w:rsidRDefault="00C24F24" w:rsidP="00C24F24">
            <w:pPr>
              <w:jc w:val="center"/>
              <w:rPr>
                <w:rFonts w:ascii="Calibri" w:hAnsi="Calibri"/>
                <w:color w:val="auto"/>
              </w:rPr>
            </w:pPr>
          </w:p>
        </w:tc>
        <w:tc>
          <w:tcPr>
            <w:tcW w:w="475" w:type="pct"/>
            <w:vMerge/>
            <w:vAlign w:val="center"/>
          </w:tcPr>
          <w:p w14:paraId="15E32033" w14:textId="77777777" w:rsidR="00C24F24" w:rsidRPr="00A964FF" w:rsidRDefault="00C24F24" w:rsidP="00C24F24">
            <w:pPr>
              <w:jc w:val="center"/>
              <w:rPr>
                <w:rFonts w:ascii="Calibri" w:hAnsi="Calibri"/>
                <w:color w:val="auto"/>
              </w:rPr>
            </w:pPr>
          </w:p>
        </w:tc>
        <w:tc>
          <w:tcPr>
            <w:tcW w:w="475" w:type="pct"/>
            <w:vMerge/>
            <w:vAlign w:val="center"/>
          </w:tcPr>
          <w:p w14:paraId="4556F9E0" w14:textId="77777777" w:rsidR="00C24F24" w:rsidRPr="00A964FF" w:rsidRDefault="00C24F24" w:rsidP="00C24F24">
            <w:pPr>
              <w:jc w:val="center"/>
              <w:rPr>
                <w:rFonts w:ascii="Calibri" w:hAnsi="Calibri"/>
                <w:color w:val="auto"/>
              </w:rPr>
            </w:pPr>
          </w:p>
        </w:tc>
      </w:tr>
      <w:tr w:rsidR="00C24F24" w:rsidRPr="00A964FF" w14:paraId="2CF47EC5" w14:textId="77777777" w:rsidTr="00C24F24">
        <w:trPr>
          <w:trHeight w:val="369"/>
          <w:jc w:val="center"/>
        </w:trPr>
        <w:tc>
          <w:tcPr>
            <w:tcW w:w="341" w:type="pct"/>
            <w:vMerge/>
            <w:vAlign w:val="center"/>
          </w:tcPr>
          <w:p w14:paraId="4ED559ED" w14:textId="77777777" w:rsidR="00C24F24" w:rsidRPr="00A964FF" w:rsidRDefault="00C24F24" w:rsidP="00C24F24">
            <w:pPr>
              <w:jc w:val="center"/>
              <w:rPr>
                <w:rFonts w:ascii="Calibri" w:hAnsi="Calibri"/>
                <w:color w:val="auto"/>
              </w:rPr>
            </w:pPr>
          </w:p>
        </w:tc>
        <w:tc>
          <w:tcPr>
            <w:tcW w:w="1524" w:type="pct"/>
            <w:vAlign w:val="center"/>
          </w:tcPr>
          <w:p w14:paraId="69E7B0B0" w14:textId="77777777" w:rsidR="00C24F24" w:rsidRPr="00A964FF" w:rsidRDefault="00C24F24" w:rsidP="00C24F24">
            <w:pPr>
              <w:jc w:val="center"/>
              <w:rPr>
                <w:rFonts w:ascii="Calibri" w:hAnsi="Calibri"/>
                <w:color w:val="auto"/>
                <w:szCs w:val="21"/>
              </w:rPr>
            </w:pPr>
            <w:r>
              <w:rPr>
                <w:rFonts w:ascii="Calibri" w:hAnsi="Calibri" w:hint="eastAsia"/>
                <w:color w:val="auto"/>
                <w:szCs w:val="21"/>
              </w:rPr>
              <w:t>冷却塔</w:t>
            </w:r>
            <w:r>
              <w:rPr>
                <w:rFonts w:ascii="Calibri" w:hAnsi="Calibri"/>
                <w:color w:val="auto"/>
                <w:szCs w:val="21"/>
              </w:rPr>
              <w:t>2</w:t>
            </w:r>
            <w:r w:rsidRPr="006E1C5B">
              <w:rPr>
                <w:rFonts w:ascii="Calibri" w:hAnsi="Calibri"/>
                <w:color w:val="auto"/>
                <w:szCs w:val="21"/>
              </w:rPr>
              <w:t>#</w:t>
            </w:r>
            <w:r>
              <w:rPr>
                <w:rFonts w:ascii="Calibri" w:hAnsi="Calibri" w:hint="eastAsia"/>
                <w:color w:val="auto"/>
                <w:szCs w:val="21"/>
              </w:rPr>
              <w:t>水泵</w:t>
            </w:r>
          </w:p>
        </w:tc>
        <w:tc>
          <w:tcPr>
            <w:tcW w:w="672" w:type="pct"/>
            <w:vAlign w:val="center"/>
          </w:tcPr>
          <w:p w14:paraId="787236BC" w14:textId="77777777" w:rsidR="00C24F24" w:rsidRPr="00A964FF" w:rsidRDefault="00C24F24" w:rsidP="00C24F24">
            <w:pPr>
              <w:jc w:val="center"/>
              <w:rPr>
                <w:rFonts w:ascii="Calibri" w:hAnsi="Calibri"/>
                <w:color w:val="auto"/>
                <w:szCs w:val="21"/>
              </w:rPr>
            </w:pPr>
            <w:r>
              <w:rPr>
                <w:rFonts w:ascii="Calibri" w:hAnsi="Calibri"/>
                <w:color w:val="auto"/>
                <w:szCs w:val="21"/>
              </w:rPr>
              <w:t>70</w:t>
            </w:r>
          </w:p>
        </w:tc>
        <w:tc>
          <w:tcPr>
            <w:tcW w:w="559" w:type="pct"/>
            <w:vAlign w:val="center"/>
          </w:tcPr>
          <w:p w14:paraId="50AAD297" w14:textId="77777777" w:rsidR="00C24F24" w:rsidRPr="00A964FF" w:rsidRDefault="00C24F24" w:rsidP="00C24F24">
            <w:pPr>
              <w:jc w:val="center"/>
              <w:rPr>
                <w:rFonts w:ascii="Calibri" w:hAnsi="Calibri"/>
                <w:color w:val="auto"/>
              </w:rPr>
            </w:pPr>
            <w:r>
              <w:rPr>
                <w:rFonts w:ascii="Calibri" w:hAnsi="Calibri" w:hint="eastAsia"/>
                <w:color w:val="auto"/>
              </w:rPr>
              <w:t>80</w:t>
            </w:r>
          </w:p>
        </w:tc>
        <w:tc>
          <w:tcPr>
            <w:tcW w:w="561" w:type="pct"/>
            <w:vAlign w:val="center"/>
          </w:tcPr>
          <w:p w14:paraId="445DD448" w14:textId="77777777" w:rsidR="00C24F24" w:rsidRPr="00A964FF" w:rsidRDefault="00C24F24" w:rsidP="00C24F24">
            <w:pPr>
              <w:jc w:val="center"/>
              <w:rPr>
                <w:rFonts w:ascii="Calibri" w:hAnsi="Calibri"/>
                <w:color w:val="auto"/>
              </w:rPr>
            </w:pPr>
            <w:r>
              <w:rPr>
                <w:rFonts w:ascii="Calibri" w:hAnsi="Calibri" w:hint="eastAsia"/>
                <w:color w:val="auto"/>
              </w:rPr>
              <w:t>31.9</w:t>
            </w:r>
          </w:p>
        </w:tc>
        <w:tc>
          <w:tcPr>
            <w:tcW w:w="392" w:type="pct"/>
            <w:vMerge/>
            <w:vAlign w:val="center"/>
          </w:tcPr>
          <w:p w14:paraId="5EA5976F" w14:textId="77777777" w:rsidR="00C24F24" w:rsidRPr="00A964FF" w:rsidRDefault="00C24F24" w:rsidP="00C24F24">
            <w:pPr>
              <w:jc w:val="center"/>
              <w:rPr>
                <w:rFonts w:ascii="Calibri" w:hAnsi="Calibri"/>
                <w:color w:val="auto"/>
              </w:rPr>
            </w:pPr>
          </w:p>
        </w:tc>
        <w:tc>
          <w:tcPr>
            <w:tcW w:w="475" w:type="pct"/>
            <w:vMerge/>
            <w:vAlign w:val="center"/>
          </w:tcPr>
          <w:p w14:paraId="11AF6FE5" w14:textId="77777777" w:rsidR="00C24F24" w:rsidRPr="00A964FF" w:rsidRDefault="00C24F24" w:rsidP="00C24F24">
            <w:pPr>
              <w:jc w:val="center"/>
              <w:rPr>
                <w:rFonts w:ascii="Calibri" w:hAnsi="Calibri"/>
                <w:color w:val="auto"/>
              </w:rPr>
            </w:pPr>
          </w:p>
        </w:tc>
        <w:tc>
          <w:tcPr>
            <w:tcW w:w="475" w:type="pct"/>
            <w:vMerge/>
            <w:vAlign w:val="center"/>
          </w:tcPr>
          <w:p w14:paraId="12644D41" w14:textId="77777777" w:rsidR="00C24F24" w:rsidRPr="00A964FF" w:rsidRDefault="00C24F24" w:rsidP="00C24F24">
            <w:pPr>
              <w:jc w:val="center"/>
              <w:rPr>
                <w:rFonts w:ascii="Calibri" w:hAnsi="Calibri"/>
                <w:color w:val="auto"/>
              </w:rPr>
            </w:pPr>
          </w:p>
        </w:tc>
      </w:tr>
    </w:tbl>
    <w:p w14:paraId="3AB02256" w14:textId="77777777" w:rsidR="00BA75BC" w:rsidRPr="00A964FF" w:rsidRDefault="00C24F24" w:rsidP="00C24F24">
      <w:pPr>
        <w:spacing w:line="520" w:lineRule="exact"/>
        <w:ind w:firstLine="482"/>
        <w:rPr>
          <w:rFonts w:ascii="Calibri" w:hAnsi="Calibri"/>
          <w:color w:val="auto"/>
          <w:sz w:val="24"/>
        </w:rPr>
      </w:pPr>
      <w:r w:rsidRPr="00A964FF">
        <w:rPr>
          <w:rFonts w:ascii="Calibri" w:hAnsi="Calibri"/>
          <w:color w:val="auto"/>
          <w:sz w:val="24"/>
        </w:rPr>
        <w:t>由</w:t>
      </w:r>
      <w:r w:rsidRPr="00A964FF">
        <w:rPr>
          <w:rFonts w:ascii="Calibri" w:hAnsi="Calibri" w:hint="eastAsia"/>
          <w:color w:val="auto"/>
          <w:sz w:val="24"/>
        </w:rPr>
        <w:t>上表预测结果可知</w:t>
      </w:r>
      <w:r w:rsidRPr="00A964FF">
        <w:rPr>
          <w:rFonts w:ascii="Calibri" w:hAnsi="Calibri"/>
          <w:color w:val="auto"/>
          <w:sz w:val="24"/>
        </w:rPr>
        <w:t>，</w:t>
      </w:r>
      <w:r w:rsidRPr="00A964FF">
        <w:rPr>
          <w:rFonts w:ascii="Calibri" w:hAnsi="Calibri" w:hint="eastAsia"/>
          <w:color w:val="auto"/>
          <w:sz w:val="24"/>
        </w:rPr>
        <w:t>本项目营运后东、南、西、北厂界噪声昼、夜间均满足《工业企业厂界环境噪声排放标准》（</w:t>
      </w:r>
      <w:r w:rsidRPr="00A964FF">
        <w:rPr>
          <w:rFonts w:ascii="Calibri" w:hAnsi="Calibri" w:hint="eastAsia"/>
          <w:color w:val="auto"/>
          <w:sz w:val="24"/>
        </w:rPr>
        <w:t>GB12348-2008</w:t>
      </w:r>
      <w:r w:rsidRPr="00A964FF">
        <w:rPr>
          <w:rFonts w:ascii="Calibri" w:hAnsi="Calibri" w:hint="eastAsia"/>
          <w:color w:val="auto"/>
          <w:sz w:val="24"/>
        </w:rPr>
        <w:t>）中</w:t>
      </w:r>
      <w:r>
        <w:rPr>
          <w:rFonts w:ascii="Calibri" w:hAnsi="Calibri"/>
          <w:color w:val="auto"/>
          <w:sz w:val="24"/>
        </w:rPr>
        <w:t>3</w:t>
      </w:r>
      <w:r w:rsidRPr="00A964FF">
        <w:rPr>
          <w:rFonts w:ascii="Calibri" w:hAnsi="Calibri" w:hint="eastAsia"/>
          <w:color w:val="auto"/>
          <w:sz w:val="24"/>
        </w:rPr>
        <w:t>类标准，厂界可以实现达标排放，</w:t>
      </w:r>
      <w:r>
        <w:rPr>
          <w:rFonts w:ascii="Calibri" w:hAnsi="Calibri" w:hint="eastAsia"/>
          <w:color w:val="auto"/>
          <w:sz w:val="24"/>
        </w:rPr>
        <w:t>项目</w:t>
      </w:r>
      <w:r>
        <w:rPr>
          <w:rFonts w:ascii="Calibri" w:hAnsi="Calibri"/>
          <w:color w:val="auto"/>
          <w:sz w:val="24"/>
        </w:rPr>
        <w:t>周围</w:t>
      </w:r>
      <w:r>
        <w:rPr>
          <w:rFonts w:ascii="Calibri" w:hAnsi="Calibri" w:hint="eastAsia"/>
          <w:color w:val="auto"/>
          <w:sz w:val="24"/>
        </w:rPr>
        <w:t>200</w:t>
      </w:r>
      <w:r>
        <w:rPr>
          <w:rFonts w:ascii="Calibri" w:hAnsi="Calibri"/>
          <w:color w:val="auto"/>
          <w:sz w:val="24"/>
        </w:rPr>
        <w:t>m</w:t>
      </w:r>
      <w:r>
        <w:rPr>
          <w:rFonts w:ascii="Calibri" w:hAnsi="Calibri" w:hint="eastAsia"/>
          <w:color w:val="auto"/>
          <w:sz w:val="24"/>
        </w:rPr>
        <w:t>范围</w:t>
      </w:r>
      <w:r>
        <w:rPr>
          <w:rFonts w:ascii="Calibri" w:hAnsi="Calibri"/>
          <w:color w:val="auto"/>
          <w:sz w:val="24"/>
        </w:rPr>
        <w:t>内无声环境敏感点，</w:t>
      </w:r>
      <w:r w:rsidRPr="00A964FF">
        <w:rPr>
          <w:rFonts w:ascii="Calibri" w:hAnsi="Calibri" w:hint="eastAsia"/>
          <w:color w:val="auto"/>
          <w:sz w:val="24"/>
        </w:rPr>
        <w:t>对周围声环境影响较小。</w:t>
      </w:r>
    </w:p>
    <w:p w14:paraId="1221FDC2" w14:textId="77777777" w:rsidR="0055605A" w:rsidRPr="00A964FF" w:rsidRDefault="0055605A" w:rsidP="0055605A">
      <w:pPr>
        <w:pStyle w:val="ad"/>
        <w:rPr>
          <w:rFonts w:ascii="Calibri" w:hAnsi="Calibri"/>
          <w:color w:val="auto"/>
        </w:rPr>
      </w:pPr>
      <w:r w:rsidRPr="00A964FF">
        <w:rPr>
          <w:rFonts w:ascii="Calibri" w:hAnsi="Calibri" w:hint="eastAsia"/>
          <w:color w:val="auto"/>
        </w:rPr>
        <w:t>4</w:t>
      </w:r>
      <w:r w:rsidRPr="00A964FF">
        <w:rPr>
          <w:rFonts w:ascii="Calibri" w:hAnsi="Calibri"/>
          <w:color w:val="auto"/>
        </w:rPr>
        <w:t>.</w:t>
      </w:r>
      <w:r w:rsidRPr="00A964FF">
        <w:rPr>
          <w:rFonts w:ascii="Calibri" w:hAnsi="Calibri" w:hint="eastAsia"/>
          <w:color w:val="auto"/>
        </w:rPr>
        <w:t>2</w:t>
      </w:r>
      <w:r w:rsidRPr="00A964FF">
        <w:rPr>
          <w:rFonts w:ascii="Calibri" w:hAnsi="Calibri"/>
          <w:color w:val="auto"/>
        </w:rPr>
        <w:t>.</w:t>
      </w:r>
      <w:r w:rsidRPr="00A964FF">
        <w:rPr>
          <w:rFonts w:ascii="Calibri" w:hAnsi="Calibri" w:hint="eastAsia"/>
          <w:color w:val="auto"/>
        </w:rPr>
        <w:t>5</w:t>
      </w:r>
      <w:r w:rsidRPr="00A964FF">
        <w:rPr>
          <w:rFonts w:ascii="Calibri" w:hAnsi="Calibri" w:hint="eastAsia"/>
          <w:color w:val="auto"/>
        </w:rPr>
        <w:t>固废影响分析</w:t>
      </w:r>
    </w:p>
    <w:p w14:paraId="3D10BE03" w14:textId="77777777" w:rsidR="00EA2872" w:rsidRDefault="00C24F24" w:rsidP="00C636CC">
      <w:pPr>
        <w:pStyle w:val="00"/>
        <w:rPr>
          <w:rFonts w:ascii="Calibri" w:hAnsi="Calibri"/>
          <w:color w:val="auto"/>
        </w:rPr>
      </w:pPr>
      <w:r>
        <w:rPr>
          <w:rFonts w:ascii="Calibri" w:hAnsi="Calibri" w:hint="eastAsia"/>
          <w:color w:val="auto"/>
        </w:rPr>
        <w:t>本项目</w:t>
      </w:r>
      <w:r w:rsidR="006A642B">
        <w:rPr>
          <w:rFonts w:ascii="Calibri" w:hAnsi="Calibri" w:hint="eastAsia"/>
          <w:color w:val="auto"/>
        </w:rPr>
        <w:t>一期</w:t>
      </w:r>
      <w:r w:rsidR="006A642B">
        <w:rPr>
          <w:rFonts w:ascii="Calibri" w:hAnsi="Calibri"/>
          <w:color w:val="auto"/>
        </w:rPr>
        <w:t>、二期</w:t>
      </w:r>
      <w:r>
        <w:rPr>
          <w:rFonts w:ascii="Calibri" w:hAnsi="Calibri" w:hint="eastAsia"/>
          <w:color w:val="auto"/>
        </w:rPr>
        <w:t>生产</w:t>
      </w:r>
      <w:r>
        <w:rPr>
          <w:rFonts w:ascii="Calibri" w:hAnsi="Calibri"/>
          <w:color w:val="auto"/>
        </w:rPr>
        <w:t>过程中</w:t>
      </w:r>
      <w:r w:rsidR="00C636CC">
        <w:rPr>
          <w:rFonts w:ascii="Calibri" w:hAnsi="Calibri" w:hint="eastAsia"/>
          <w:color w:val="auto"/>
        </w:rPr>
        <w:t>废导热油</w:t>
      </w:r>
      <w:r>
        <w:rPr>
          <w:rFonts w:ascii="Calibri" w:hAnsi="Calibri" w:hint="eastAsia"/>
          <w:color w:val="auto"/>
        </w:rPr>
        <w:t>、</w:t>
      </w:r>
      <w:r w:rsidR="00C636CC">
        <w:rPr>
          <w:rFonts w:ascii="Calibri" w:hAnsi="Calibri" w:hint="eastAsia"/>
          <w:color w:val="auto"/>
        </w:rPr>
        <w:t>废机油</w:t>
      </w:r>
      <w:r w:rsidR="00C636CC">
        <w:rPr>
          <w:rFonts w:ascii="Calibri" w:hAnsi="Calibri"/>
          <w:color w:val="auto"/>
        </w:rPr>
        <w:t>、</w:t>
      </w:r>
      <w:r w:rsidR="0092085C">
        <w:rPr>
          <w:rFonts w:ascii="Calibri" w:hAnsi="Calibri" w:hint="eastAsia"/>
          <w:color w:val="auto"/>
        </w:rPr>
        <w:t>品控</w:t>
      </w:r>
      <w:r w:rsidR="00C636CC">
        <w:rPr>
          <w:rFonts w:ascii="Calibri" w:hAnsi="Calibri"/>
          <w:color w:val="auto"/>
        </w:rPr>
        <w:t>中心产生的</w:t>
      </w:r>
      <w:r w:rsidR="00C636CC">
        <w:rPr>
          <w:rFonts w:ascii="Calibri" w:hAnsi="Calibri" w:hint="eastAsia"/>
          <w:color w:val="auto"/>
        </w:rPr>
        <w:t>废</w:t>
      </w:r>
      <w:r w:rsidR="00C636CC">
        <w:rPr>
          <w:rFonts w:ascii="Calibri" w:hAnsi="Calibri"/>
          <w:color w:val="auto"/>
        </w:rPr>
        <w:t>试剂、</w:t>
      </w:r>
      <w:r>
        <w:rPr>
          <w:rFonts w:ascii="Calibri" w:hAnsi="Calibri"/>
          <w:color w:val="auto"/>
        </w:rPr>
        <w:t>废灯管</w:t>
      </w:r>
      <w:r>
        <w:rPr>
          <w:rFonts w:ascii="Calibri" w:hAnsi="Calibri" w:hint="eastAsia"/>
          <w:color w:val="auto"/>
        </w:rPr>
        <w:t>、</w:t>
      </w:r>
      <w:r>
        <w:rPr>
          <w:rFonts w:ascii="Calibri" w:hAnsi="Calibri"/>
          <w:color w:val="auto"/>
        </w:rPr>
        <w:t>废活性炭</w:t>
      </w:r>
      <w:r>
        <w:rPr>
          <w:rFonts w:ascii="Calibri" w:hAnsi="Calibri" w:hint="eastAsia"/>
          <w:color w:val="auto"/>
        </w:rPr>
        <w:t>为</w:t>
      </w:r>
      <w:r w:rsidRPr="004E1825">
        <w:rPr>
          <w:rFonts w:ascii="Calibri" w:hAnsi="Calibri" w:hint="eastAsia"/>
          <w:color w:val="auto"/>
        </w:rPr>
        <w:t>危险废物；纯水制备废</w:t>
      </w:r>
      <w:r>
        <w:rPr>
          <w:rFonts w:ascii="Calibri" w:hAnsi="Calibri" w:hint="eastAsia"/>
          <w:color w:val="auto"/>
        </w:rPr>
        <w:t>反渗透膜</w:t>
      </w:r>
      <w:r w:rsidRPr="004E1825">
        <w:rPr>
          <w:rFonts w:ascii="Calibri" w:hAnsi="Calibri" w:hint="eastAsia"/>
          <w:color w:val="auto"/>
        </w:rPr>
        <w:t>、</w:t>
      </w:r>
      <w:r w:rsidR="00223E03">
        <w:rPr>
          <w:rFonts w:ascii="Calibri" w:hAnsi="Calibri" w:hint="eastAsia"/>
          <w:color w:val="auto"/>
        </w:rPr>
        <w:t>污水</w:t>
      </w:r>
      <w:r w:rsidR="00223E03">
        <w:rPr>
          <w:rFonts w:ascii="Calibri" w:hAnsi="Calibri"/>
          <w:color w:val="auto"/>
        </w:rPr>
        <w:t>处理站污泥、</w:t>
      </w:r>
      <w:r w:rsidR="00C636CC">
        <w:rPr>
          <w:rFonts w:ascii="Calibri" w:hAnsi="Calibri" w:hint="eastAsia"/>
          <w:color w:val="auto"/>
        </w:rPr>
        <w:t>原辅料</w:t>
      </w:r>
      <w:r w:rsidR="00C636CC" w:rsidRPr="004E1825">
        <w:rPr>
          <w:rFonts w:ascii="Calibri" w:hAnsi="Calibri" w:hint="eastAsia"/>
          <w:color w:val="auto"/>
        </w:rPr>
        <w:t>包产生的废包装材料、</w:t>
      </w:r>
      <w:r w:rsidRPr="004E1825">
        <w:rPr>
          <w:rFonts w:ascii="Calibri" w:hAnsi="Calibri" w:hint="eastAsia"/>
          <w:color w:val="auto"/>
        </w:rPr>
        <w:t>员工生活垃圾为一般固废</w:t>
      </w:r>
      <w:r w:rsidR="00EA2872">
        <w:rPr>
          <w:rFonts w:ascii="Calibri" w:hAnsi="Calibri" w:hint="eastAsia"/>
          <w:color w:val="auto"/>
        </w:rPr>
        <w:t>；</w:t>
      </w:r>
    </w:p>
    <w:p w14:paraId="46565E51" w14:textId="77777777" w:rsidR="0055605A" w:rsidRPr="00A964FF" w:rsidRDefault="0055605A" w:rsidP="0055605A">
      <w:pPr>
        <w:pStyle w:val="00"/>
        <w:rPr>
          <w:rFonts w:ascii="Calibri" w:hAnsi="Calibri"/>
          <w:b/>
          <w:color w:val="auto"/>
        </w:rPr>
      </w:pPr>
      <w:r w:rsidRPr="00A964FF">
        <w:rPr>
          <w:rFonts w:ascii="Calibri" w:hAnsi="Calibri" w:hint="eastAsia"/>
          <w:b/>
          <w:color w:val="auto"/>
        </w:rPr>
        <w:t>1</w:t>
      </w:r>
      <w:r w:rsidRPr="00A964FF">
        <w:rPr>
          <w:rFonts w:ascii="Calibri" w:hAnsi="Calibri" w:hint="eastAsia"/>
          <w:b/>
          <w:color w:val="auto"/>
        </w:rPr>
        <w:t>、</w:t>
      </w:r>
      <w:r w:rsidR="00177A69" w:rsidRPr="00A964FF">
        <w:rPr>
          <w:rFonts w:ascii="Calibri" w:hAnsi="Calibri" w:hint="eastAsia"/>
          <w:b/>
          <w:color w:val="auto"/>
        </w:rPr>
        <w:t>一般固废</w:t>
      </w:r>
    </w:p>
    <w:p w14:paraId="7A6D3279" w14:textId="77777777" w:rsidR="00DD7564" w:rsidRPr="00A964FF" w:rsidRDefault="00DD7564" w:rsidP="00DD4E3F">
      <w:pPr>
        <w:pStyle w:val="00"/>
        <w:rPr>
          <w:rFonts w:ascii="Calibri" w:hAnsi="Calibri"/>
          <w:color w:val="auto"/>
        </w:rPr>
      </w:pPr>
      <w:r w:rsidRPr="00A964FF">
        <w:rPr>
          <w:rFonts w:ascii="Calibri" w:hAnsi="Calibri" w:hint="eastAsia"/>
          <w:color w:val="auto"/>
        </w:rPr>
        <w:t>本项目</w:t>
      </w:r>
      <w:r w:rsidR="00643331">
        <w:rPr>
          <w:rFonts w:ascii="Calibri" w:hAnsi="Calibri" w:hint="eastAsia"/>
          <w:color w:val="auto"/>
        </w:rPr>
        <w:t>纯水制备</w:t>
      </w:r>
      <w:r w:rsidR="00643331">
        <w:rPr>
          <w:rFonts w:ascii="Calibri" w:hAnsi="Calibri"/>
          <w:color w:val="auto"/>
        </w:rPr>
        <w:t>机</w:t>
      </w:r>
      <w:r w:rsidRPr="00A964FF">
        <w:rPr>
          <w:rFonts w:ascii="Calibri" w:hAnsi="Calibri" w:hint="eastAsia"/>
          <w:color w:val="auto"/>
        </w:rPr>
        <w:t>定期更换的废反渗透膜，不在《国家危险废物名录》（（</w:t>
      </w:r>
      <w:r w:rsidRPr="00A964FF">
        <w:rPr>
          <w:rFonts w:ascii="Calibri" w:hAnsi="Calibri" w:hint="eastAsia"/>
          <w:color w:val="auto"/>
        </w:rPr>
        <w:t>2021</w:t>
      </w:r>
      <w:r w:rsidRPr="00A964FF">
        <w:rPr>
          <w:rFonts w:ascii="Calibri" w:hAnsi="Calibri" w:hint="eastAsia"/>
          <w:color w:val="auto"/>
        </w:rPr>
        <w:t>年版））之列，属于一般固废，定期更换后由供货厂家回收再利用。</w:t>
      </w:r>
    </w:p>
    <w:p w14:paraId="4A363F1F" w14:textId="77777777" w:rsidR="00223E03" w:rsidRDefault="00223E03" w:rsidP="00223E03">
      <w:pPr>
        <w:pStyle w:val="00"/>
        <w:rPr>
          <w:rFonts w:ascii="Calibri" w:hAnsi="Calibri"/>
          <w:color w:val="auto"/>
        </w:rPr>
      </w:pPr>
      <w:r>
        <w:rPr>
          <w:rFonts w:ascii="Calibri" w:hAnsi="Calibri" w:hint="eastAsia"/>
          <w:color w:val="auto"/>
        </w:rPr>
        <w:t>本项目污水</w:t>
      </w:r>
      <w:r>
        <w:rPr>
          <w:rFonts w:ascii="Calibri" w:hAnsi="Calibri"/>
          <w:color w:val="auto"/>
        </w:rPr>
        <w:t>处理站污泥</w:t>
      </w:r>
      <w:r>
        <w:rPr>
          <w:rFonts w:ascii="Calibri" w:hAnsi="Calibri" w:hint="eastAsia"/>
          <w:color w:val="auto"/>
        </w:rPr>
        <w:t>不属于</w:t>
      </w:r>
      <w:r w:rsidRPr="00A964FF">
        <w:rPr>
          <w:rFonts w:ascii="Calibri" w:hAnsi="Calibri" w:hint="eastAsia"/>
          <w:color w:val="auto"/>
        </w:rPr>
        <w:t>《国家危险废物名录》（（</w:t>
      </w:r>
      <w:r w:rsidRPr="00A964FF">
        <w:rPr>
          <w:rFonts w:ascii="Calibri" w:hAnsi="Calibri" w:hint="eastAsia"/>
          <w:color w:val="auto"/>
        </w:rPr>
        <w:t>2021</w:t>
      </w:r>
      <w:r w:rsidRPr="00A964FF">
        <w:rPr>
          <w:rFonts w:ascii="Calibri" w:hAnsi="Calibri" w:hint="eastAsia"/>
          <w:color w:val="auto"/>
        </w:rPr>
        <w:t>年版））</w:t>
      </w:r>
      <w:r>
        <w:rPr>
          <w:rFonts w:ascii="Calibri" w:hAnsi="Calibri" w:hint="eastAsia"/>
          <w:color w:val="auto"/>
        </w:rPr>
        <w:t>HW49</w:t>
      </w:r>
      <w:r>
        <w:rPr>
          <w:rFonts w:ascii="Calibri" w:hAnsi="Calibri" w:hint="eastAsia"/>
          <w:color w:val="auto"/>
        </w:rPr>
        <w:t>其他</w:t>
      </w:r>
      <w:r>
        <w:rPr>
          <w:rFonts w:ascii="Calibri" w:hAnsi="Calibri"/>
          <w:color w:val="auto"/>
        </w:rPr>
        <w:t>废物</w:t>
      </w:r>
      <w:r>
        <w:rPr>
          <w:rFonts w:ascii="Calibri" w:hAnsi="Calibri" w:hint="eastAsia"/>
          <w:color w:val="auto"/>
        </w:rPr>
        <w:t>，废物</w:t>
      </w:r>
      <w:r>
        <w:rPr>
          <w:rFonts w:ascii="Calibri" w:hAnsi="Calibri"/>
          <w:color w:val="auto"/>
        </w:rPr>
        <w:t>代码</w:t>
      </w:r>
      <w:r w:rsidRPr="00EA2872">
        <w:rPr>
          <w:rFonts w:ascii="Calibri" w:hAnsi="Calibri"/>
          <w:color w:val="auto"/>
        </w:rPr>
        <w:t>772-006-49</w:t>
      </w:r>
      <w:r w:rsidRPr="00EA2872">
        <w:rPr>
          <w:rFonts w:ascii="Calibri" w:hAnsi="Calibri" w:hint="eastAsia"/>
          <w:color w:val="auto"/>
        </w:rPr>
        <w:t>采用物理、化学、物理化学或生物方法处理或处置毒性或感染性危险废物过程中产生的废水处理污泥、残渣（液）</w:t>
      </w:r>
      <w:r>
        <w:rPr>
          <w:rFonts w:ascii="Calibri" w:hAnsi="Calibri" w:hint="eastAsia"/>
          <w:color w:val="auto"/>
        </w:rPr>
        <w:t>，</w:t>
      </w:r>
      <w:r w:rsidRPr="00A964FF">
        <w:rPr>
          <w:rFonts w:ascii="Calibri" w:hAnsi="Calibri" w:hint="eastAsia"/>
          <w:color w:val="auto"/>
        </w:rPr>
        <w:t>属于一般固废，</w:t>
      </w:r>
      <w:r>
        <w:rPr>
          <w:rFonts w:ascii="Calibri" w:hAnsi="Calibri" w:hint="eastAsia"/>
          <w:color w:val="auto"/>
        </w:rPr>
        <w:t>在</w:t>
      </w:r>
      <w:r>
        <w:rPr>
          <w:rFonts w:ascii="Calibri" w:hAnsi="Calibri"/>
          <w:color w:val="auto"/>
        </w:rPr>
        <w:t>厂区暂存后</w:t>
      </w:r>
      <w:r w:rsidRPr="000856DD">
        <w:rPr>
          <w:rFonts w:ascii="Calibri" w:hAnsi="Calibri" w:hint="eastAsia"/>
          <w:color w:val="auto"/>
        </w:rPr>
        <w:t>交由叶县生活垃圾焚烧发电厂处理。</w:t>
      </w:r>
    </w:p>
    <w:p w14:paraId="1E206925" w14:textId="77777777" w:rsidR="00C636CC" w:rsidRDefault="00C636CC" w:rsidP="00C636CC">
      <w:pPr>
        <w:pStyle w:val="00"/>
        <w:ind w:firstLineChars="200"/>
        <w:rPr>
          <w:rFonts w:ascii="Calibri" w:hAnsi="Calibri"/>
          <w:color w:val="auto"/>
        </w:rPr>
      </w:pPr>
      <w:r w:rsidRPr="00053E85">
        <w:rPr>
          <w:rFonts w:ascii="Calibri" w:hAnsi="Calibri" w:hint="eastAsia"/>
          <w:color w:val="auto"/>
        </w:rPr>
        <w:t>经比对《危险化学品名录》，</w:t>
      </w:r>
      <w:r w:rsidRPr="004A5BF5">
        <w:rPr>
          <w:rFonts w:ascii="Calibri" w:hAnsi="Calibri" w:hint="eastAsia"/>
          <w:color w:val="auto"/>
          <w:szCs w:val="21"/>
        </w:rPr>
        <w:t>尼龙</w:t>
      </w:r>
      <w:r w:rsidRPr="004A5BF5">
        <w:rPr>
          <w:rFonts w:ascii="Calibri" w:hAnsi="Calibri" w:hint="eastAsia"/>
          <w:color w:val="auto"/>
          <w:szCs w:val="21"/>
        </w:rPr>
        <w:t>66</w:t>
      </w:r>
      <w:r w:rsidRPr="004A5BF5">
        <w:rPr>
          <w:rFonts w:ascii="Calibri" w:hAnsi="Calibri" w:hint="eastAsia"/>
          <w:color w:val="auto"/>
          <w:szCs w:val="21"/>
        </w:rPr>
        <w:t>盐</w:t>
      </w:r>
      <w:r>
        <w:rPr>
          <w:rFonts w:ascii="Calibri" w:hAnsi="Calibri" w:hint="eastAsia"/>
          <w:color w:val="auto"/>
          <w:szCs w:val="21"/>
        </w:rPr>
        <w:t>溶液</w:t>
      </w:r>
      <w:r>
        <w:rPr>
          <w:rFonts w:ascii="Calibri" w:hAnsi="Calibri"/>
          <w:color w:val="auto"/>
          <w:szCs w:val="21"/>
        </w:rPr>
        <w:t>、</w:t>
      </w:r>
      <w:r w:rsidRPr="004A5BF5">
        <w:rPr>
          <w:rFonts w:ascii="Calibri" w:hAnsi="Calibri" w:hint="eastAsia"/>
          <w:color w:val="auto"/>
          <w:szCs w:val="21"/>
        </w:rPr>
        <w:t>尼龙</w:t>
      </w:r>
      <w:r w:rsidRPr="004A5BF5">
        <w:rPr>
          <w:rFonts w:ascii="Calibri" w:hAnsi="Calibri" w:hint="eastAsia"/>
          <w:color w:val="auto"/>
          <w:szCs w:val="21"/>
        </w:rPr>
        <w:t>1010</w:t>
      </w:r>
      <w:r w:rsidRPr="004A5BF5">
        <w:rPr>
          <w:rFonts w:ascii="Calibri" w:hAnsi="Calibri" w:hint="eastAsia"/>
          <w:color w:val="auto"/>
          <w:szCs w:val="21"/>
        </w:rPr>
        <w:t>盐</w:t>
      </w:r>
      <w:r>
        <w:rPr>
          <w:rFonts w:ascii="Calibri" w:hAnsi="Calibri" w:hint="eastAsia"/>
          <w:color w:val="auto"/>
          <w:szCs w:val="21"/>
        </w:rPr>
        <w:t>、尼龙</w:t>
      </w:r>
      <w:r>
        <w:rPr>
          <w:rFonts w:ascii="Calibri" w:hAnsi="Calibri" w:hint="eastAsia"/>
          <w:color w:val="auto"/>
          <w:szCs w:val="21"/>
        </w:rPr>
        <w:t>12</w:t>
      </w:r>
      <w:r>
        <w:rPr>
          <w:rFonts w:ascii="Calibri" w:hAnsi="Calibri" w:hint="eastAsia"/>
          <w:color w:val="auto"/>
          <w:szCs w:val="21"/>
        </w:rPr>
        <w:t>盐、</w:t>
      </w:r>
      <w:r>
        <w:rPr>
          <w:rFonts w:ascii="Calibri" w:hAnsi="Calibri"/>
          <w:color w:val="auto"/>
          <w:szCs w:val="21"/>
        </w:rPr>
        <w:t>次磷酸钠</w:t>
      </w:r>
      <w:r w:rsidRPr="00053E85">
        <w:rPr>
          <w:rFonts w:ascii="Calibri" w:hAnsi="Calibri" w:hint="eastAsia"/>
          <w:color w:val="auto"/>
        </w:rPr>
        <w:t>均不属于危险化学品，因此，添加剂包装袋属一般固废，由废品回收公司回收处理。</w:t>
      </w:r>
    </w:p>
    <w:p w14:paraId="531F832C" w14:textId="08C295B4" w:rsidR="00F958D0" w:rsidRPr="00F958D0" w:rsidRDefault="0055605A" w:rsidP="00F958D0">
      <w:pPr>
        <w:pStyle w:val="00"/>
        <w:rPr>
          <w:rFonts w:ascii="Calibri" w:hAnsi="Calibri" w:hint="eastAsia"/>
          <w:color w:val="auto"/>
        </w:rPr>
      </w:pPr>
      <w:r w:rsidRPr="00A964FF">
        <w:rPr>
          <w:rFonts w:ascii="Calibri" w:hAnsi="Calibri" w:hint="eastAsia"/>
          <w:color w:val="auto"/>
        </w:rPr>
        <w:t>本项目</w:t>
      </w:r>
      <w:r w:rsidR="00DD7564" w:rsidRPr="00A964FF">
        <w:rPr>
          <w:rFonts w:ascii="Calibri" w:hAnsi="Calibri" w:hint="eastAsia"/>
          <w:color w:val="auto"/>
        </w:rPr>
        <w:t>职工生活</w:t>
      </w:r>
      <w:r w:rsidR="0043142C" w:rsidRPr="00A964FF">
        <w:rPr>
          <w:rFonts w:ascii="Calibri" w:hAnsi="Calibri" w:hint="eastAsia"/>
          <w:color w:val="auto"/>
        </w:rPr>
        <w:t>产生的生活垃圾通过厂区分类垃圾桶收集后，送集聚区垃圾中转站，</w:t>
      </w:r>
      <w:r w:rsidR="00E81A41" w:rsidRPr="00A964FF">
        <w:rPr>
          <w:rFonts w:ascii="Calibri" w:hAnsi="Calibri" w:hint="eastAsia"/>
          <w:color w:val="auto"/>
        </w:rPr>
        <w:t>由</w:t>
      </w:r>
      <w:r w:rsidR="00260CDA" w:rsidRPr="00A964FF">
        <w:rPr>
          <w:rFonts w:ascii="Calibri" w:hAnsi="Calibri" w:hint="eastAsia"/>
          <w:color w:val="auto"/>
        </w:rPr>
        <w:t>环卫部门集中清运并合理处置</w:t>
      </w:r>
      <w:r w:rsidR="0043142C" w:rsidRPr="00A964FF">
        <w:rPr>
          <w:rFonts w:ascii="Calibri" w:hAnsi="Calibri" w:hint="eastAsia"/>
          <w:color w:val="auto"/>
        </w:rPr>
        <w:t>，对周围环境影响较小。</w:t>
      </w:r>
    </w:p>
    <w:p w14:paraId="16EFA703" w14:textId="6693E75B" w:rsidR="0055605A" w:rsidRPr="00A964FF" w:rsidRDefault="0055605A" w:rsidP="0055605A">
      <w:pPr>
        <w:pStyle w:val="00"/>
        <w:rPr>
          <w:rFonts w:ascii="Calibri" w:hAnsi="Calibri"/>
          <w:b/>
          <w:color w:val="auto"/>
        </w:rPr>
      </w:pPr>
      <w:r w:rsidRPr="00A964FF">
        <w:rPr>
          <w:rFonts w:ascii="Calibri" w:hAnsi="Calibri" w:hint="eastAsia"/>
          <w:b/>
          <w:color w:val="auto"/>
        </w:rPr>
        <w:t>2</w:t>
      </w:r>
      <w:r w:rsidRPr="00A964FF">
        <w:rPr>
          <w:rFonts w:ascii="Calibri" w:hAnsi="Calibri" w:hint="eastAsia"/>
          <w:b/>
          <w:color w:val="auto"/>
        </w:rPr>
        <w:t>、危险固废</w:t>
      </w:r>
    </w:p>
    <w:p w14:paraId="02E6E92C" w14:textId="77777777" w:rsidR="0055605A" w:rsidRPr="00A964FF" w:rsidRDefault="0055605A" w:rsidP="00633FE7">
      <w:pPr>
        <w:pStyle w:val="00"/>
        <w:rPr>
          <w:rFonts w:ascii="Calibri" w:hAnsi="Calibri"/>
          <w:color w:val="auto"/>
        </w:rPr>
      </w:pPr>
      <w:r w:rsidRPr="00A964FF">
        <w:rPr>
          <w:rFonts w:ascii="Calibri" w:hAnsi="Calibri" w:hint="eastAsia"/>
          <w:color w:val="auto"/>
        </w:rPr>
        <w:lastRenderedPageBreak/>
        <w:t>本项目</w:t>
      </w:r>
      <w:r w:rsidR="00633FE7" w:rsidRPr="00A964FF">
        <w:rPr>
          <w:rFonts w:ascii="Calibri" w:hAnsi="Calibri" w:hint="eastAsia"/>
          <w:color w:val="auto"/>
        </w:rPr>
        <w:t>营运后产生的危险固废种类较多，</w:t>
      </w:r>
      <w:r w:rsidRPr="00A964FF">
        <w:rPr>
          <w:rFonts w:ascii="Calibri" w:hAnsi="Calibri" w:hint="eastAsia"/>
          <w:color w:val="auto"/>
        </w:rPr>
        <w:t>危险废物统一收集，分类贮存在符合危险废物贮存标准的容器储存，加上标签，并有专人管理。用以存放装载液体、半固体危险废物容器的地方，必须有耐腐蚀的硬化地面，且表面无裂隙。不得将不相容的废物混合或合并存放。作好危险废物情况的记录，记录上须注明危险废物的名称、来源、数量、特性和包装容器的类别、入库日期、存放库位、废物出库日期及接收单位名称。</w:t>
      </w:r>
    </w:p>
    <w:p w14:paraId="6F8BF09B" w14:textId="77777777" w:rsidR="0055605A" w:rsidRPr="00A964FF" w:rsidRDefault="00F950CB" w:rsidP="00F950CB">
      <w:pPr>
        <w:pStyle w:val="00"/>
        <w:rPr>
          <w:rFonts w:ascii="Calibri" w:hAnsi="Calibri"/>
          <w:color w:val="auto"/>
        </w:rPr>
      </w:pPr>
      <w:r w:rsidRPr="00A964FF">
        <w:rPr>
          <w:rFonts w:ascii="Calibri" w:hAnsi="Calibri" w:hint="eastAsia"/>
          <w:color w:val="auto"/>
        </w:rPr>
        <w:t>针对本项目危险废物特点，企业在厂区</w:t>
      </w:r>
      <w:r w:rsidR="00B712A4">
        <w:rPr>
          <w:rFonts w:ascii="Calibri" w:hAnsi="Calibri" w:hint="eastAsia"/>
          <w:color w:val="auto"/>
        </w:rPr>
        <w:t>生产</w:t>
      </w:r>
      <w:r w:rsidR="00B712A4">
        <w:rPr>
          <w:rFonts w:ascii="Calibri" w:hAnsi="Calibri"/>
          <w:color w:val="auto"/>
        </w:rPr>
        <w:t>车间</w:t>
      </w:r>
      <w:r w:rsidR="00B712A4">
        <w:rPr>
          <w:rFonts w:ascii="Calibri" w:hAnsi="Calibri" w:hint="eastAsia"/>
          <w:color w:val="auto"/>
        </w:rPr>
        <w:t>1</w:t>
      </w:r>
      <w:r w:rsidR="00B712A4">
        <w:rPr>
          <w:rFonts w:ascii="Calibri" w:hAnsi="Calibri" w:hint="eastAsia"/>
          <w:color w:val="auto"/>
        </w:rPr>
        <w:t>层南侧</w:t>
      </w:r>
      <w:r w:rsidR="0055605A" w:rsidRPr="00A964FF">
        <w:rPr>
          <w:rFonts w:ascii="Calibri" w:hAnsi="Calibri" w:hint="eastAsia"/>
          <w:color w:val="auto"/>
        </w:rPr>
        <w:t>设置</w:t>
      </w:r>
      <w:r w:rsidR="007E0A29" w:rsidRPr="00A964FF">
        <w:rPr>
          <w:rFonts w:ascii="Calibri" w:hAnsi="Calibri" w:hint="eastAsia"/>
          <w:color w:val="auto"/>
        </w:rPr>
        <w:t>1</w:t>
      </w:r>
      <w:r w:rsidR="00C06AEF" w:rsidRPr="00A964FF">
        <w:rPr>
          <w:rFonts w:ascii="Calibri" w:hAnsi="Calibri" w:hint="eastAsia"/>
          <w:color w:val="auto"/>
        </w:rPr>
        <w:t>处</w:t>
      </w:r>
      <w:r w:rsidR="0055605A" w:rsidRPr="00A964FF">
        <w:rPr>
          <w:rFonts w:ascii="Calibri" w:hAnsi="Calibri" w:hint="eastAsia"/>
          <w:color w:val="auto"/>
        </w:rPr>
        <w:t>危废暂存间，</w:t>
      </w:r>
      <w:r w:rsidR="007E0A29" w:rsidRPr="00A964FF">
        <w:rPr>
          <w:rFonts w:ascii="Calibri" w:hint="eastAsia"/>
          <w:bCs/>
          <w:color w:val="auto"/>
        </w:rPr>
        <w:t>建筑面积</w:t>
      </w:r>
      <w:r w:rsidR="000856DD">
        <w:rPr>
          <w:rFonts w:ascii="Calibri"/>
          <w:bCs/>
          <w:color w:val="auto"/>
        </w:rPr>
        <w:t>15</w:t>
      </w:r>
      <w:r w:rsidR="007E0A29" w:rsidRPr="00A964FF">
        <w:rPr>
          <w:rFonts w:ascii="Calibri" w:hint="eastAsia"/>
          <w:bCs/>
          <w:color w:val="auto"/>
        </w:rPr>
        <w:t>m</w:t>
      </w:r>
      <w:r w:rsidR="007E0A29" w:rsidRPr="00A964FF">
        <w:rPr>
          <w:rFonts w:ascii="Calibri" w:hint="eastAsia"/>
          <w:bCs/>
          <w:color w:val="auto"/>
          <w:vertAlign w:val="superscript"/>
        </w:rPr>
        <w:t>2</w:t>
      </w:r>
      <w:r w:rsidR="00C06AEF" w:rsidRPr="00A964FF">
        <w:rPr>
          <w:rFonts w:ascii="Calibri" w:hint="eastAsia"/>
          <w:bCs/>
          <w:color w:val="auto"/>
        </w:rPr>
        <w:t>，</w:t>
      </w:r>
      <w:r w:rsidR="00F00A91" w:rsidRPr="00A964FF">
        <w:rPr>
          <w:rFonts w:ascii="Calibri" w:hint="eastAsia"/>
          <w:bCs/>
          <w:color w:val="auto"/>
        </w:rPr>
        <w:t>内分为液态危废暂存区和固态危废暂存区</w:t>
      </w:r>
      <w:r w:rsidR="00C06AEF" w:rsidRPr="00A964FF">
        <w:rPr>
          <w:rFonts w:ascii="Calibri" w:hint="eastAsia"/>
          <w:bCs/>
          <w:color w:val="auto"/>
        </w:rPr>
        <w:t>，</w:t>
      </w:r>
      <w:r w:rsidR="00C76560" w:rsidRPr="00A964FF">
        <w:rPr>
          <w:rFonts w:ascii="Calibri" w:hint="eastAsia"/>
          <w:bCs/>
          <w:color w:val="auto"/>
        </w:rPr>
        <w:t>危险废物</w:t>
      </w:r>
      <w:r w:rsidR="00F00A91" w:rsidRPr="00A964FF">
        <w:rPr>
          <w:rFonts w:ascii="Calibri" w:hint="eastAsia"/>
          <w:bCs/>
          <w:color w:val="auto"/>
        </w:rPr>
        <w:t>均</w:t>
      </w:r>
      <w:r w:rsidRPr="00A964FF">
        <w:rPr>
          <w:rFonts w:ascii="Calibri" w:hint="eastAsia"/>
          <w:bCs/>
          <w:color w:val="auto"/>
        </w:rPr>
        <w:t>需</w:t>
      </w:r>
      <w:r w:rsidR="00C06AEF" w:rsidRPr="00A964FF">
        <w:rPr>
          <w:rFonts w:ascii="Calibri" w:hint="eastAsia"/>
          <w:bCs/>
          <w:color w:val="auto"/>
        </w:rPr>
        <w:t>委托资质单位进行安全处置。危废暂存间</w:t>
      </w:r>
      <w:r w:rsidR="00C06AEF" w:rsidRPr="00A964FF">
        <w:rPr>
          <w:rFonts w:ascii="Calibri" w:hAnsi="Calibri" w:hint="eastAsia"/>
          <w:color w:val="auto"/>
        </w:rPr>
        <w:t>设置</w:t>
      </w:r>
      <w:r w:rsidR="0055605A" w:rsidRPr="00A964FF">
        <w:rPr>
          <w:rFonts w:ascii="Calibri" w:hAnsi="Calibri" w:hint="eastAsia"/>
          <w:color w:val="auto"/>
        </w:rPr>
        <w:t>应按照环境保护部公告</w:t>
      </w:r>
      <w:r w:rsidR="0055605A" w:rsidRPr="00A964FF">
        <w:rPr>
          <w:rFonts w:ascii="Calibri" w:hAnsi="Calibri" w:hint="eastAsia"/>
          <w:color w:val="auto"/>
        </w:rPr>
        <w:t>2017</w:t>
      </w:r>
      <w:r w:rsidR="0055605A" w:rsidRPr="00A964FF">
        <w:rPr>
          <w:rFonts w:ascii="Calibri" w:hAnsi="Calibri" w:hint="eastAsia"/>
          <w:color w:val="auto"/>
        </w:rPr>
        <w:t>年第</w:t>
      </w:r>
      <w:r w:rsidR="0055605A" w:rsidRPr="00A964FF">
        <w:rPr>
          <w:rFonts w:ascii="Calibri" w:hAnsi="Calibri" w:hint="eastAsia"/>
          <w:color w:val="auto"/>
        </w:rPr>
        <w:t>43</w:t>
      </w:r>
      <w:r w:rsidR="0055605A" w:rsidRPr="00A964FF">
        <w:rPr>
          <w:rFonts w:ascii="Calibri" w:hAnsi="Calibri" w:hint="eastAsia"/>
          <w:color w:val="auto"/>
        </w:rPr>
        <w:t>号《建设项目危险废物环境影响评价指南》、《危险废物贮存污染控制标准》（</w:t>
      </w:r>
      <w:r w:rsidR="0055605A" w:rsidRPr="00A964FF">
        <w:rPr>
          <w:rFonts w:ascii="Calibri" w:hAnsi="Calibri" w:hint="eastAsia"/>
          <w:color w:val="auto"/>
        </w:rPr>
        <w:t>GB</w:t>
      </w:r>
      <w:r w:rsidR="00E81A41" w:rsidRPr="00A964FF">
        <w:rPr>
          <w:rFonts w:ascii="Calibri" w:hAnsi="Calibri" w:hint="eastAsia"/>
          <w:color w:val="auto"/>
        </w:rPr>
        <w:t>18597</w:t>
      </w:r>
      <w:r w:rsidR="0055605A" w:rsidRPr="00A964FF">
        <w:rPr>
          <w:rFonts w:ascii="Calibri" w:hAnsi="Calibri" w:hint="eastAsia"/>
          <w:color w:val="auto"/>
        </w:rPr>
        <w:t>-2001</w:t>
      </w:r>
      <w:r w:rsidR="0055605A" w:rsidRPr="00A964FF">
        <w:rPr>
          <w:rFonts w:ascii="Calibri" w:hAnsi="Calibri" w:hint="eastAsia"/>
          <w:color w:val="auto"/>
        </w:rPr>
        <w:t>）及其修改单中相关规定，做到“防风、防雨、防晒、防渗漏”四防要求，防渗层为至少</w:t>
      </w:r>
      <w:r w:rsidR="0055605A" w:rsidRPr="00A964FF">
        <w:rPr>
          <w:rFonts w:ascii="Calibri" w:hAnsi="Calibri" w:hint="eastAsia"/>
          <w:color w:val="auto"/>
        </w:rPr>
        <w:t>1m</w:t>
      </w:r>
      <w:r w:rsidR="0055605A" w:rsidRPr="00A964FF">
        <w:rPr>
          <w:rFonts w:ascii="Calibri" w:hAnsi="Calibri" w:hint="eastAsia"/>
          <w:color w:val="auto"/>
        </w:rPr>
        <w:t>厚粘土层或</w:t>
      </w:r>
      <w:r w:rsidR="0055605A" w:rsidRPr="00A964FF">
        <w:rPr>
          <w:rFonts w:ascii="Calibri" w:hAnsi="Calibri" w:hint="eastAsia"/>
          <w:color w:val="auto"/>
        </w:rPr>
        <w:t>2mm</w:t>
      </w:r>
      <w:r w:rsidR="0055605A" w:rsidRPr="00A964FF">
        <w:rPr>
          <w:rFonts w:ascii="Calibri" w:hAnsi="Calibri" w:hint="eastAsia"/>
          <w:color w:val="auto"/>
        </w:rPr>
        <w:t>厚人工材料（防渗系数</w:t>
      </w:r>
      <w:r w:rsidR="0055605A" w:rsidRPr="00A964FF">
        <w:rPr>
          <w:rFonts w:ascii="Calibri" w:hAnsi="Calibri" w:hint="eastAsia"/>
          <w:color w:val="auto"/>
        </w:rPr>
        <w:t>&lt;10</w:t>
      </w:r>
      <w:r w:rsidR="0055605A" w:rsidRPr="00A964FF">
        <w:rPr>
          <w:rFonts w:ascii="Calibri" w:hAnsi="Calibri" w:hint="eastAsia"/>
          <w:color w:val="auto"/>
          <w:vertAlign w:val="superscript"/>
        </w:rPr>
        <w:t>-10</w:t>
      </w:r>
      <w:r w:rsidR="0055605A" w:rsidRPr="00A964FF">
        <w:rPr>
          <w:rFonts w:ascii="Calibri" w:hAnsi="Calibri" w:hint="eastAsia"/>
          <w:color w:val="auto"/>
        </w:rPr>
        <w:t>cm/s</w:t>
      </w:r>
      <w:r w:rsidR="0055605A" w:rsidRPr="00A964FF">
        <w:rPr>
          <w:rFonts w:ascii="Calibri" w:hAnsi="Calibri" w:hint="eastAsia"/>
          <w:color w:val="auto"/>
        </w:rPr>
        <w:t>），保证地面无裂痕，在危险废物贮存处周围设置围堰。危险废物的盛装容器密封，耐腐蚀，不渗漏，并进行定期检查；危险废物的处置应委托有危险废物处理资质的单位进行安全处置。本项目危险废物应分类收集，分区存放，严禁不相容的固体废物堆放在一起。</w:t>
      </w:r>
      <w:r w:rsidRPr="00A964FF">
        <w:rPr>
          <w:rFonts w:ascii="Calibri" w:hAnsi="Calibri" w:hint="eastAsia"/>
          <w:color w:val="auto"/>
        </w:rPr>
        <w:t>对于需要委托资质单位进行安全处置的危险固废，</w:t>
      </w:r>
      <w:r w:rsidR="0055605A" w:rsidRPr="00A964FF">
        <w:rPr>
          <w:rFonts w:ascii="Calibri" w:hAnsi="Calibri" w:hint="eastAsia"/>
          <w:bCs/>
          <w:color w:val="auto"/>
        </w:rPr>
        <w:t>企业应在投入运行前与相应资质单位签订委托处置协议，并对危险废物妥善暂存，禁止随意排放污染环境。</w:t>
      </w:r>
    </w:p>
    <w:p w14:paraId="669A7048" w14:textId="77777777" w:rsidR="00A814F7" w:rsidRPr="006D7A78" w:rsidRDefault="0055605A" w:rsidP="006D7A78">
      <w:pPr>
        <w:pStyle w:val="00"/>
        <w:rPr>
          <w:rFonts w:ascii="Calibri" w:hAnsi="Calibri"/>
          <w:bCs/>
          <w:color w:val="auto"/>
        </w:rPr>
      </w:pPr>
      <w:r w:rsidRPr="00A964FF">
        <w:rPr>
          <w:rFonts w:ascii="Calibri" w:hAnsi="Calibri" w:hint="eastAsia"/>
          <w:bCs/>
          <w:color w:val="auto"/>
        </w:rPr>
        <w:t>本项目各危险固废贮存位置及贮存要求详见表</w:t>
      </w:r>
      <w:r w:rsidRPr="00A964FF">
        <w:rPr>
          <w:rFonts w:ascii="Calibri" w:hAnsi="Calibri" w:hint="eastAsia"/>
          <w:bCs/>
          <w:color w:val="auto"/>
        </w:rPr>
        <w:t>4</w:t>
      </w:r>
      <w:r w:rsidR="00F00A91" w:rsidRPr="00A964FF">
        <w:rPr>
          <w:rFonts w:ascii="Calibri" w:hAnsi="Calibri" w:hint="eastAsia"/>
          <w:bCs/>
          <w:color w:val="auto"/>
        </w:rPr>
        <w:t>.2</w:t>
      </w:r>
      <w:r w:rsidRPr="00A964FF">
        <w:rPr>
          <w:rFonts w:ascii="Calibri" w:hAnsi="Calibri" w:hint="eastAsia"/>
          <w:bCs/>
          <w:color w:val="auto"/>
        </w:rPr>
        <w:t>-</w:t>
      </w:r>
      <w:r w:rsidR="000D2512" w:rsidRPr="00A964FF">
        <w:rPr>
          <w:rFonts w:ascii="Calibri" w:hAnsi="Calibri" w:hint="eastAsia"/>
          <w:bCs/>
          <w:color w:val="auto"/>
        </w:rPr>
        <w:t>3</w:t>
      </w:r>
      <w:r w:rsidR="000856DD">
        <w:rPr>
          <w:rFonts w:ascii="Calibri" w:hAnsi="Calibri"/>
          <w:bCs/>
          <w:color w:val="auto"/>
        </w:rPr>
        <w:t>0</w:t>
      </w:r>
      <w:r w:rsidRPr="00A964FF">
        <w:rPr>
          <w:rFonts w:ascii="Calibri" w:hAnsi="Calibri" w:hint="eastAsia"/>
          <w:bCs/>
          <w:color w:val="auto"/>
        </w:rPr>
        <w:t>。</w:t>
      </w:r>
    </w:p>
    <w:p w14:paraId="4DD26262" w14:textId="77777777" w:rsidR="0055605A" w:rsidRPr="00A964FF" w:rsidRDefault="0055605A" w:rsidP="0055605A">
      <w:pPr>
        <w:spacing w:line="500" w:lineRule="exact"/>
        <w:ind w:firstLineChars="200" w:firstLine="480"/>
        <w:rPr>
          <w:rFonts w:ascii="Calibri" w:eastAsia="黑体" w:hAnsi="Calibri"/>
          <w:bCs/>
          <w:color w:val="auto"/>
          <w:sz w:val="24"/>
        </w:rPr>
      </w:pPr>
      <w:r w:rsidRPr="00A964FF">
        <w:rPr>
          <w:rFonts w:ascii="Calibri" w:eastAsia="黑体" w:hAnsi="黑体"/>
          <w:bCs/>
          <w:color w:val="auto"/>
          <w:sz w:val="24"/>
        </w:rPr>
        <w:t>表</w:t>
      </w:r>
      <w:r w:rsidRPr="00A964FF">
        <w:rPr>
          <w:rFonts w:ascii="Calibri" w:eastAsia="黑体" w:hAnsi="Calibri"/>
          <w:bCs/>
          <w:color w:val="auto"/>
          <w:sz w:val="24"/>
        </w:rPr>
        <w:t>4</w:t>
      </w:r>
      <w:r w:rsidR="00F00A91" w:rsidRPr="00A964FF">
        <w:rPr>
          <w:rFonts w:ascii="Calibri" w:eastAsia="黑体" w:hAnsi="Calibri" w:hint="eastAsia"/>
          <w:bCs/>
          <w:color w:val="auto"/>
          <w:sz w:val="24"/>
        </w:rPr>
        <w:t>.2</w:t>
      </w:r>
      <w:r w:rsidRPr="00A964FF">
        <w:rPr>
          <w:rFonts w:ascii="Calibri" w:eastAsia="黑体" w:hAnsi="Calibri"/>
          <w:bCs/>
          <w:color w:val="auto"/>
          <w:sz w:val="24"/>
        </w:rPr>
        <w:t>-</w:t>
      </w:r>
      <w:r w:rsidR="000856DD">
        <w:rPr>
          <w:rFonts w:ascii="Calibri" w:eastAsia="黑体" w:hAnsi="Calibri" w:hint="eastAsia"/>
          <w:bCs/>
          <w:color w:val="auto"/>
          <w:sz w:val="24"/>
        </w:rPr>
        <w:t>30</w:t>
      </w:r>
      <w:r w:rsidRPr="00A964FF">
        <w:rPr>
          <w:rFonts w:ascii="Calibri" w:eastAsia="黑体" w:hAnsi="Calibri"/>
          <w:bCs/>
          <w:color w:val="auto"/>
          <w:sz w:val="24"/>
        </w:rPr>
        <w:t xml:space="preserve">     </w:t>
      </w:r>
      <w:r w:rsidR="00F00A91"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黑体"/>
          <w:bCs/>
          <w:color w:val="auto"/>
          <w:sz w:val="24"/>
        </w:rPr>
        <w:t>本项目各危险废物分类贮存与处置情况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481"/>
        <w:gridCol w:w="1084"/>
        <w:gridCol w:w="1545"/>
        <w:gridCol w:w="708"/>
        <w:gridCol w:w="2405"/>
        <w:gridCol w:w="1134"/>
        <w:gridCol w:w="1343"/>
      </w:tblGrid>
      <w:tr w:rsidR="00F00A91" w:rsidRPr="00A964FF" w14:paraId="5A3193C3" w14:textId="77777777" w:rsidTr="00F958D0">
        <w:trPr>
          <w:trHeight w:val="340"/>
        </w:trPr>
        <w:tc>
          <w:tcPr>
            <w:tcW w:w="276" w:type="pct"/>
            <w:tcMar>
              <w:top w:w="0" w:type="dxa"/>
              <w:left w:w="0" w:type="dxa"/>
              <w:bottom w:w="0" w:type="dxa"/>
              <w:right w:w="0" w:type="dxa"/>
            </w:tcMar>
            <w:vAlign w:val="center"/>
          </w:tcPr>
          <w:p w14:paraId="1B15167B"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序号</w:t>
            </w:r>
          </w:p>
        </w:tc>
        <w:tc>
          <w:tcPr>
            <w:tcW w:w="623" w:type="pct"/>
            <w:tcMar>
              <w:top w:w="0" w:type="dxa"/>
              <w:left w:w="0" w:type="dxa"/>
              <w:bottom w:w="0" w:type="dxa"/>
              <w:right w:w="0" w:type="dxa"/>
            </w:tcMar>
            <w:vAlign w:val="center"/>
          </w:tcPr>
          <w:p w14:paraId="130C2E19"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名称</w:t>
            </w:r>
          </w:p>
        </w:tc>
        <w:tc>
          <w:tcPr>
            <w:tcW w:w="888" w:type="pct"/>
            <w:tcMar>
              <w:top w:w="0" w:type="dxa"/>
              <w:left w:w="0" w:type="dxa"/>
              <w:bottom w:w="0" w:type="dxa"/>
              <w:right w:w="0" w:type="dxa"/>
            </w:tcMar>
            <w:vAlign w:val="center"/>
          </w:tcPr>
          <w:p w14:paraId="55513E83"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危险类别</w:t>
            </w:r>
          </w:p>
        </w:tc>
        <w:tc>
          <w:tcPr>
            <w:tcW w:w="407" w:type="pct"/>
            <w:tcMar>
              <w:top w:w="0" w:type="dxa"/>
              <w:left w:w="0" w:type="dxa"/>
              <w:bottom w:w="0" w:type="dxa"/>
              <w:right w:w="0" w:type="dxa"/>
            </w:tcMar>
            <w:vAlign w:val="center"/>
          </w:tcPr>
          <w:p w14:paraId="28D801BB" w14:textId="77777777" w:rsidR="0055605A" w:rsidRPr="00A964FF" w:rsidRDefault="0055605A" w:rsidP="003E0795">
            <w:pPr>
              <w:widowControl/>
              <w:jc w:val="center"/>
              <w:rPr>
                <w:rFonts w:ascii="Calibri" w:hAnsi="Calibri"/>
                <w:color w:val="auto"/>
                <w:szCs w:val="21"/>
              </w:rPr>
            </w:pPr>
            <w:r w:rsidRPr="00A964FF">
              <w:rPr>
                <w:rFonts w:ascii="Calibri" w:hAnsi="Calibri"/>
                <w:color w:val="auto"/>
                <w:szCs w:val="21"/>
              </w:rPr>
              <w:t>危险</w:t>
            </w:r>
          </w:p>
          <w:p w14:paraId="01C72A1F" w14:textId="77777777" w:rsidR="0055605A" w:rsidRPr="00A964FF" w:rsidRDefault="0055605A" w:rsidP="003E0795">
            <w:pPr>
              <w:widowControl/>
              <w:jc w:val="center"/>
              <w:rPr>
                <w:rFonts w:ascii="Calibri" w:hAnsi="Calibri"/>
                <w:color w:val="auto"/>
                <w:szCs w:val="21"/>
              </w:rPr>
            </w:pPr>
            <w:r w:rsidRPr="00A964FF">
              <w:rPr>
                <w:rFonts w:ascii="Calibri" w:hAnsi="Calibri"/>
                <w:color w:val="auto"/>
                <w:szCs w:val="21"/>
              </w:rPr>
              <w:t>特性</w:t>
            </w:r>
          </w:p>
        </w:tc>
        <w:tc>
          <w:tcPr>
            <w:tcW w:w="1382" w:type="pct"/>
            <w:tcMar>
              <w:top w:w="0" w:type="dxa"/>
              <w:left w:w="0" w:type="dxa"/>
              <w:bottom w:w="0" w:type="dxa"/>
              <w:right w:w="0" w:type="dxa"/>
            </w:tcMar>
            <w:vAlign w:val="center"/>
          </w:tcPr>
          <w:p w14:paraId="50A789CE" w14:textId="77777777" w:rsidR="0055605A" w:rsidRPr="00A964FF" w:rsidRDefault="0055605A" w:rsidP="009B52D5">
            <w:pPr>
              <w:widowControl/>
              <w:jc w:val="center"/>
              <w:rPr>
                <w:rFonts w:ascii="Calibri" w:hAnsi="Calibri"/>
                <w:color w:val="auto"/>
                <w:szCs w:val="21"/>
              </w:rPr>
            </w:pPr>
            <w:r w:rsidRPr="00A964FF">
              <w:rPr>
                <w:rFonts w:ascii="Calibri" w:hAnsi="Calibri"/>
                <w:color w:val="auto"/>
                <w:szCs w:val="21"/>
              </w:rPr>
              <w:t>主要成分</w:t>
            </w:r>
          </w:p>
        </w:tc>
        <w:tc>
          <w:tcPr>
            <w:tcW w:w="652" w:type="pct"/>
            <w:tcMar>
              <w:top w:w="0" w:type="dxa"/>
              <w:left w:w="0" w:type="dxa"/>
              <w:bottom w:w="0" w:type="dxa"/>
              <w:right w:w="0" w:type="dxa"/>
            </w:tcMar>
            <w:vAlign w:val="center"/>
          </w:tcPr>
          <w:p w14:paraId="465E7390" w14:textId="77777777" w:rsidR="0055605A" w:rsidRPr="00A964FF" w:rsidRDefault="0055605A" w:rsidP="00F950CB">
            <w:pPr>
              <w:widowControl/>
              <w:jc w:val="center"/>
              <w:rPr>
                <w:rFonts w:ascii="Calibri" w:hAnsi="Calibri"/>
                <w:color w:val="auto"/>
                <w:szCs w:val="21"/>
              </w:rPr>
            </w:pPr>
            <w:r w:rsidRPr="00A964FF">
              <w:rPr>
                <w:rFonts w:ascii="Calibri" w:hAnsi="Calibri"/>
                <w:color w:val="auto"/>
                <w:szCs w:val="21"/>
              </w:rPr>
              <w:t>贮存位置</w:t>
            </w:r>
          </w:p>
        </w:tc>
        <w:tc>
          <w:tcPr>
            <w:tcW w:w="772" w:type="pct"/>
            <w:tcMar>
              <w:top w:w="0" w:type="dxa"/>
              <w:left w:w="0" w:type="dxa"/>
              <w:bottom w:w="0" w:type="dxa"/>
              <w:right w:w="0" w:type="dxa"/>
            </w:tcMar>
            <w:vAlign w:val="center"/>
          </w:tcPr>
          <w:p w14:paraId="30842FFC" w14:textId="77777777" w:rsidR="0055605A" w:rsidRPr="00A964FF" w:rsidRDefault="0055605A" w:rsidP="003E0795">
            <w:pPr>
              <w:jc w:val="center"/>
              <w:rPr>
                <w:rFonts w:ascii="Calibri" w:hAnsi="Calibri"/>
                <w:color w:val="auto"/>
                <w:szCs w:val="21"/>
              </w:rPr>
            </w:pPr>
            <w:r w:rsidRPr="00A964FF">
              <w:rPr>
                <w:rFonts w:ascii="Calibri" w:hAnsi="Calibri"/>
                <w:color w:val="auto"/>
                <w:szCs w:val="21"/>
              </w:rPr>
              <w:t>贮存要求</w:t>
            </w:r>
          </w:p>
        </w:tc>
      </w:tr>
      <w:tr w:rsidR="000856DD" w:rsidRPr="00A964FF" w14:paraId="08EA53EB" w14:textId="77777777" w:rsidTr="00F958D0">
        <w:trPr>
          <w:trHeight w:val="340"/>
        </w:trPr>
        <w:tc>
          <w:tcPr>
            <w:tcW w:w="276" w:type="pct"/>
            <w:tcMar>
              <w:top w:w="0" w:type="dxa"/>
              <w:left w:w="0" w:type="dxa"/>
              <w:bottom w:w="0" w:type="dxa"/>
              <w:right w:w="0" w:type="dxa"/>
            </w:tcMar>
            <w:vAlign w:val="center"/>
          </w:tcPr>
          <w:p w14:paraId="3AFE890A" w14:textId="77777777" w:rsidR="000856DD" w:rsidRPr="00A964FF" w:rsidRDefault="000856DD" w:rsidP="000856DD">
            <w:pPr>
              <w:jc w:val="center"/>
              <w:rPr>
                <w:rFonts w:ascii="Calibri" w:hAnsi="Calibri"/>
                <w:color w:val="auto"/>
                <w:szCs w:val="21"/>
              </w:rPr>
            </w:pPr>
            <w:r w:rsidRPr="00A964FF">
              <w:rPr>
                <w:rFonts w:ascii="Calibri" w:hAnsi="Calibri"/>
                <w:color w:val="auto"/>
                <w:szCs w:val="21"/>
              </w:rPr>
              <w:t>1</w:t>
            </w:r>
          </w:p>
        </w:tc>
        <w:tc>
          <w:tcPr>
            <w:tcW w:w="623" w:type="pct"/>
            <w:tcMar>
              <w:top w:w="0" w:type="dxa"/>
              <w:left w:w="0" w:type="dxa"/>
              <w:bottom w:w="0" w:type="dxa"/>
              <w:right w:w="0" w:type="dxa"/>
            </w:tcMar>
            <w:vAlign w:val="center"/>
          </w:tcPr>
          <w:p w14:paraId="51DC1F5F" w14:textId="77777777" w:rsidR="000856DD" w:rsidRPr="004F7F0A" w:rsidRDefault="000856DD" w:rsidP="000856DD">
            <w:pPr>
              <w:jc w:val="center"/>
              <w:rPr>
                <w:rFonts w:ascii="Calibri" w:hAnsi="Calibri"/>
                <w:color w:val="auto"/>
                <w:szCs w:val="21"/>
              </w:rPr>
            </w:pPr>
            <w:r w:rsidRPr="004F7F0A">
              <w:rPr>
                <w:rFonts w:ascii="Calibri" w:hAnsi="Calibri" w:hint="eastAsia"/>
                <w:color w:val="auto"/>
                <w:szCs w:val="21"/>
              </w:rPr>
              <w:t>废活性炭</w:t>
            </w:r>
          </w:p>
        </w:tc>
        <w:tc>
          <w:tcPr>
            <w:tcW w:w="888" w:type="pct"/>
            <w:tcMar>
              <w:top w:w="0" w:type="dxa"/>
              <w:left w:w="0" w:type="dxa"/>
              <w:bottom w:w="0" w:type="dxa"/>
              <w:right w:w="0" w:type="dxa"/>
            </w:tcMar>
            <w:vAlign w:val="center"/>
          </w:tcPr>
          <w:p w14:paraId="04AC5815" w14:textId="77777777" w:rsidR="000856DD" w:rsidRPr="004F7F0A" w:rsidRDefault="000856DD" w:rsidP="000856DD">
            <w:pPr>
              <w:jc w:val="center"/>
              <w:rPr>
                <w:rFonts w:ascii="Calibri" w:hAnsi="Calibri"/>
                <w:bCs/>
                <w:color w:val="auto"/>
                <w:szCs w:val="21"/>
              </w:rPr>
            </w:pPr>
            <w:r w:rsidRPr="00A964FF">
              <w:rPr>
                <w:rFonts w:ascii="Calibri" w:hAnsi="Calibri" w:hint="eastAsia"/>
                <w:color w:val="auto"/>
              </w:rPr>
              <w:t>HW</w:t>
            </w:r>
            <w:r>
              <w:rPr>
                <w:rFonts w:ascii="Calibri" w:hAnsi="Calibri"/>
                <w:color w:val="auto"/>
              </w:rPr>
              <w:t>49</w:t>
            </w:r>
            <w:r>
              <w:rPr>
                <w:rFonts w:ascii="Calibri" w:hAnsi="Calibri" w:hint="eastAsia"/>
                <w:color w:val="auto"/>
              </w:rPr>
              <w:t>其他</w:t>
            </w:r>
            <w:r>
              <w:rPr>
                <w:rFonts w:ascii="Calibri" w:hAnsi="Calibri"/>
                <w:color w:val="auto"/>
              </w:rPr>
              <w:t>废物</w:t>
            </w:r>
          </w:p>
        </w:tc>
        <w:tc>
          <w:tcPr>
            <w:tcW w:w="407" w:type="pct"/>
            <w:tcMar>
              <w:top w:w="0" w:type="dxa"/>
              <w:left w:w="0" w:type="dxa"/>
              <w:bottom w:w="0" w:type="dxa"/>
              <w:right w:w="0" w:type="dxa"/>
            </w:tcMar>
            <w:vAlign w:val="center"/>
          </w:tcPr>
          <w:p w14:paraId="62BBC590" w14:textId="77777777" w:rsidR="000856DD" w:rsidRPr="004F7F0A" w:rsidRDefault="000856DD" w:rsidP="000856DD">
            <w:pPr>
              <w:jc w:val="center"/>
              <w:rPr>
                <w:rFonts w:ascii="Calibri" w:hAnsi="Calibri"/>
                <w:bCs/>
                <w:color w:val="auto"/>
                <w:szCs w:val="21"/>
              </w:rPr>
            </w:pPr>
            <w:r w:rsidRPr="00B063DA">
              <w:rPr>
                <w:rFonts w:ascii="Calibri" w:hAnsi="Calibri"/>
                <w:bCs/>
                <w:color w:val="auto"/>
                <w:szCs w:val="21"/>
              </w:rPr>
              <w:t>T/In</w:t>
            </w:r>
          </w:p>
        </w:tc>
        <w:tc>
          <w:tcPr>
            <w:tcW w:w="1382" w:type="pct"/>
            <w:tcMar>
              <w:top w:w="0" w:type="dxa"/>
              <w:left w:w="0" w:type="dxa"/>
              <w:bottom w:w="0" w:type="dxa"/>
              <w:right w:w="0" w:type="dxa"/>
            </w:tcMar>
            <w:vAlign w:val="center"/>
          </w:tcPr>
          <w:p w14:paraId="58971E65" w14:textId="076773F4" w:rsidR="000856DD" w:rsidRPr="004F7F0A" w:rsidRDefault="00F958D0" w:rsidP="000856DD">
            <w:pPr>
              <w:jc w:val="center"/>
              <w:rPr>
                <w:rFonts w:ascii="Calibri" w:hAnsi="Calibri"/>
                <w:bCs/>
                <w:color w:val="auto"/>
                <w:szCs w:val="21"/>
              </w:rPr>
            </w:pPr>
            <w:r>
              <w:rPr>
                <w:rFonts w:ascii="Calibri" w:hAnsi="Calibri" w:hint="eastAsia"/>
                <w:bCs/>
                <w:color w:val="auto"/>
                <w:szCs w:val="21"/>
              </w:rPr>
              <w:t>吸附</w:t>
            </w:r>
            <w:r w:rsidR="00392F43" w:rsidRPr="00392F43">
              <w:rPr>
                <w:rFonts w:ascii="Calibri" w:hAnsi="Calibri" w:hint="eastAsia"/>
                <w:bCs/>
                <w:color w:val="auto"/>
                <w:szCs w:val="21"/>
              </w:rPr>
              <w:t>己二胺、己二酸、环戊酮、环己亚胺、癸二胺、癸二酸、十二内酰胺</w:t>
            </w:r>
            <w:r w:rsidR="00392F43">
              <w:rPr>
                <w:rFonts w:ascii="Calibri" w:hAnsi="Calibri" w:hint="eastAsia"/>
                <w:bCs/>
                <w:color w:val="auto"/>
                <w:szCs w:val="21"/>
              </w:rPr>
              <w:t>等</w:t>
            </w:r>
          </w:p>
        </w:tc>
        <w:tc>
          <w:tcPr>
            <w:tcW w:w="652" w:type="pct"/>
            <w:tcMar>
              <w:top w:w="0" w:type="dxa"/>
              <w:left w:w="0" w:type="dxa"/>
              <w:bottom w:w="0" w:type="dxa"/>
              <w:right w:w="0" w:type="dxa"/>
            </w:tcMar>
            <w:vAlign w:val="center"/>
          </w:tcPr>
          <w:p w14:paraId="3875F6E9" w14:textId="77777777" w:rsidR="000856DD" w:rsidRPr="00A964FF" w:rsidRDefault="000856DD" w:rsidP="000856DD">
            <w:pPr>
              <w:jc w:val="center"/>
              <w:rPr>
                <w:rFonts w:ascii="Calibri" w:hAnsi="Calibri"/>
                <w:color w:val="auto"/>
                <w:szCs w:val="21"/>
              </w:rPr>
            </w:pPr>
            <w:r w:rsidRPr="00A964FF">
              <w:rPr>
                <w:rFonts w:ascii="Calibri" w:hAnsi="Calibri" w:hint="eastAsia"/>
                <w:color w:val="auto"/>
                <w:szCs w:val="21"/>
              </w:rPr>
              <w:t>危废暂存间</w:t>
            </w:r>
          </w:p>
        </w:tc>
        <w:tc>
          <w:tcPr>
            <w:tcW w:w="772" w:type="pct"/>
            <w:vMerge w:val="restart"/>
            <w:tcMar>
              <w:top w:w="0" w:type="dxa"/>
              <w:left w:w="0" w:type="dxa"/>
              <w:bottom w:w="0" w:type="dxa"/>
              <w:right w:w="0" w:type="dxa"/>
            </w:tcMar>
            <w:vAlign w:val="center"/>
          </w:tcPr>
          <w:p w14:paraId="208E29E7" w14:textId="77777777" w:rsidR="000856DD" w:rsidRPr="00A964FF" w:rsidRDefault="000856DD" w:rsidP="006A642B">
            <w:pPr>
              <w:rPr>
                <w:rFonts w:ascii="Calibri" w:hAnsi="Calibri"/>
                <w:color w:val="auto"/>
                <w:szCs w:val="21"/>
              </w:rPr>
            </w:pPr>
            <w:r w:rsidRPr="00A964FF">
              <w:rPr>
                <w:rFonts w:ascii="Calibri" w:hAnsi="Calibri"/>
                <w:color w:val="auto"/>
                <w:szCs w:val="21"/>
              </w:rPr>
              <w:t>设置单独存放区域，地面硬化防渗，</w:t>
            </w:r>
            <w:r w:rsidRPr="00A964FF">
              <w:rPr>
                <w:rFonts w:ascii="Calibri" w:hAnsi="Calibri" w:hint="eastAsia"/>
                <w:color w:val="auto"/>
                <w:szCs w:val="21"/>
              </w:rPr>
              <w:t>设置围堰，</w:t>
            </w:r>
            <w:r w:rsidRPr="00A964FF">
              <w:rPr>
                <w:rFonts w:ascii="Calibri" w:hAnsi="Calibri"/>
                <w:color w:val="auto"/>
                <w:szCs w:val="21"/>
              </w:rPr>
              <w:t>采用</w:t>
            </w:r>
            <w:r w:rsidRPr="00A964FF">
              <w:rPr>
                <w:rFonts w:ascii="Calibri" w:hAnsi="Calibri" w:hint="eastAsia"/>
                <w:color w:val="auto"/>
                <w:szCs w:val="21"/>
              </w:rPr>
              <w:t>专用密闭储罐分类分区</w:t>
            </w:r>
            <w:r w:rsidRPr="00A964FF">
              <w:rPr>
                <w:rFonts w:ascii="Calibri" w:hAnsi="Calibri"/>
                <w:color w:val="auto"/>
                <w:szCs w:val="21"/>
              </w:rPr>
              <w:t>存放</w:t>
            </w:r>
            <w:r w:rsidRPr="00A964FF">
              <w:rPr>
                <w:rFonts w:ascii="Calibri" w:hAnsi="Calibri" w:hint="eastAsia"/>
                <w:color w:val="auto"/>
                <w:szCs w:val="21"/>
              </w:rPr>
              <w:t>各类危险废物</w:t>
            </w:r>
          </w:p>
        </w:tc>
      </w:tr>
      <w:tr w:rsidR="000856DD" w:rsidRPr="00A964FF" w14:paraId="4A52DE4A" w14:textId="77777777" w:rsidTr="00F958D0">
        <w:trPr>
          <w:trHeight w:val="340"/>
        </w:trPr>
        <w:tc>
          <w:tcPr>
            <w:tcW w:w="276" w:type="pct"/>
            <w:tcMar>
              <w:top w:w="0" w:type="dxa"/>
              <w:left w:w="0" w:type="dxa"/>
              <w:bottom w:w="0" w:type="dxa"/>
              <w:right w:w="0" w:type="dxa"/>
            </w:tcMar>
            <w:vAlign w:val="center"/>
          </w:tcPr>
          <w:p w14:paraId="20A21F69" w14:textId="77777777" w:rsidR="000856DD" w:rsidRPr="00A964FF" w:rsidRDefault="000856DD" w:rsidP="000856DD">
            <w:pPr>
              <w:jc w:val="center"/>
              <w:rPr>
                <w:rFonts w:ascii="Calibri" w:hAnsi="Calibri"/>
                <w:color w:val="auto"/>
                <w:szCs w:val="21"/>
              </w:rPr>
            </w:pPr>
            <w:r w:rsidRPr="00A964FF">
              <w:rPr>
                <w:rFonts w:ascii="Calibri" w:hAnsi="Calibri"/>
                <w:color w:val="auto"/>
                <w:szCs w:val="21"/>
              </w:rPr>
              <w:t>2</w:t>
            </w:r>
          </w:p>
        </w:tc>
        <w:tc>
          <w:tcPr>
            <w:tcW w:w="623" w:type="pct"/>
            <w:tcMar>
              <w:top w:w="0" w:type="dxa"/>
              <w:left w:w="0" w:type="dxa"/>
              <w:bottom w:w="0" w:type="dxa"/>
              <w:right w:w="0" w:type="dxa"/>
            </w:tcMar>
            <w:vAlign w:val="center"/>
          </w:tcPr>
          <w:p w14:paraId="069BCC1A" w14:textId="77777777" w:rsidR="000856DD" w:rsidRPr="004F7F0A" w:rsidRDefault="000856DD" w:rsidP="000856DD">
            <w:pPr>
              <w:jc w:val="center"/>
              <w:rPr>
                <w:rFonts w:ascii="Calibri" w:hAnsi="Calibri"/>
                <w:color w:val="auto"/>
                <w:szCs w:val="21"/>
              </w:rPr>
            </w:pPr>
            <w:r w:rsidRPr="00535728">
              <w:rPr>
                <w:rFonts w:ascii="Calibri" w:hint="eastAsia"/>
                <w:color w:val="auto"/>
                <w:szCs w:val="20"/>
              </w:rPr>
              <w:t>废</w:t>
            </w:r>
            <w:r>
              <w:rPr>
                <w:rFonts w:ascii="Calibri" w:hint="eastAsia"/>
                <w:color w:val="auto"/>
                <w:szCs w:val="20"/>
              </w:rPr>
              <w:t>紫外灯管</w:t>
            </w:r>
          </w:p>
        </w:tc>
        <w:tc>
          <w:tcPr>
            <w:tcW w:w="888" w:type="pct"/>
            <w:tcMar>
              <w:top w:w="0" w:type="dxa"/>
              <w:left w:w="0" w:type="dxa"/>
              <w:bottom w:w="0" w:type="dxa"/>
              <w:right w:w="0" w:type="dxa"/>
            </w:tcMar>
            <w:vAlign w:val="center"/>
          </w:tcPr>
          <w:p w14:paraId="21F1A377" w14:textId="77777777" w:rsidR="000856DD" w:rsidRPr="00A964FF" w:rsidRDefault="000856DD" w:rsidP="000856DD">
            <w:pPr>
              <w:jc w:val="center"/>
              <w:rPr>
                <w:rFonts w:ascii="Calibri" w:hAnsi="Calibri"/>
                <w:color w:val="auto"/>
              </w:rPr>
            </w:pPr>
            <w:r>
              <w:rPr>
                <w:rFonts w:ascii="Calibri" w:hAnsi="Calibri" w:hint="eastAsia"/>
                <w:color w:val="auto"/>
              </w:rPr>
              <w:t>HW29</w:t>
            </w:r>
            <w:r>
              <w:rPr>
                <w:rFonts w:ascii="Calibri" w:hAnsi="Calibri" w:hint="eastAsia"/>
                <w:color w:val="auto"/>
              </w:rPr>
              <w:t>（含</w:t>
            </w:r>
            <w:r>
              <w:rPr>
                <w:rFonts w:ascii="Calibri" w:hAnsi="Calibri"/>
                <w:color w:val="auto"/>
              </w:rPr>
              <w:t>汞废物</w:t>
            </w:r>
            <w:r>
              <w:rPr>
                <w:rFonts w:ascii="Calibri" w:hAnsi="Calibri" w:hint="eastAsia"/>
                <w:color w:val="auto"/>
              </w:rPr>
              <w:t>）</w:t>
            </w:r>
          </w:p>
        </w:tc>
        <w:tc>
          <w:tcPr>
            <w:tcW w:w="407" w:type="pct"/>
            <w:tcMar>
              <w:top w:w="0" w:type="dxa"/>
              <w:left w:w="0" w:type="dxa"/>
              <w:bottom w:w="0" w:type="dxa"/>
              <w:right w:w="0" w:type="dxa"/>
            </w:tcMar>
            <w:vAlign w:val="center"/>
          </w:tcPr>
          <w:p w14:paraId="4E18D18A" w14:textId="77777777" w:rsidR="000856DD" w:rsidRPr="00B063DA" w:rsidRDefault="000856DD" w:rsidP="000856DD">
            <w:pPr>
              <w:jc w:val="center"/>
              <w:rPr>
                <w:rFonts w:ascii="Calibri" w:hAnsi="Calibri"/>
                <w:bCs/>
                <w:color w:val="auto"/>
                <w:szCs w:val="21"/>
              </w:rPr>
            </w:pPr>
            <w:r w:rsidRPr="00FD157B">
              <w:rPr>
                <w:rFonts w:ascii="Calibri" w:hAnsi="Calibri"/>
                <w:bCs/>
                <w:color w:val="auto"/>
                <w:szCs w:val="21"/>
              </w:rPr>
              <w:t>T</w:t>
            </w:r>
          </w:p>
        </w:tc>
        <w:tc>
          <w:tcPr>
            <w:tcW w:w="1382" w:type="pct"/>
            <w:tcMar>
              <w:top w:w="0" w:type="dxa"/>
              <w:left w:w="0" w:type="dxa"/>
              <w:bottom w:w="0" w:type="dxa"/>
              <w:right w:w="0" w:type="dxa"/>
            </w:tcMar>
            <w:vAlign w:val="center"/>
          </w:tcPr>
          <w:p w14:paraId="292B75A6" w14:textId="77777777" w:rsidR="000856DD" w:rsidRDefault="000856DD" w:rsidP="000856DD">
            <w:pPr>
              <w:jc w:val="center"/>
              <w:rPr>
                <w:rFonts w:ascii="Calibri" w:hAnsi="Calibri"/>
                <w:bCs/>
                <w:color w:val="auto"/>
                <w:szCs w:val="21"/>
              </w:rPr>
            </w:pPr>
            <w:r>
              <w:rPr>
                <w:rFonts w:ascii="Calibri" w:hAnsi="Calibri" w:hint="eastAsia"/>
                <w:bCs/>
                <w:color w:val="auto"/>
                <w:szCs w:val="21"/>
              </w:rPr>
              <w:t>汞</w:t>
            </w:r>
          </w:p>
        </w:tc>
        <w:tc>
          <w:tcPr>
            <w:tcW w:w="652" w:type="pct"/>
            <w:tcMar>
              <w:top w:w="0" w:type="dxa"/>
              <w:left w:w="0" w:type="dxa"/>
              <w:bottom w:w="0" w:type="dxa"/>
              <w:right w:w="0" w:type="dxa"/>
            </w:tcMar>
            <w:vAlign w:val="center"/>
          </w:tcPr>
          <w:p w14:paraId="034D24F8" w14:textId="77777777" w:rsidR="000856DD" w:rsidRPr="00A964FF" w:rsidRDefault="000856DD" w:rsidP="000856DD">
            <w:pPr>
              <w:jc w:val="center"/>
              <w:rPr>
                <w:rFonts w:ascii="Calibri" w:hAnsi="Calibri"/>
                <w:color w:val="auto"/>
                <w:szCs w:val="21"/>
              </w:rPr>
            </w:pPr>
            <w:r w:rsidRPr="00A964FF">
              <w:rPr>
                <w:rFonts w:ascii="Calibri" w:hAnsi="Calibri" w:hint="eastAsia"/>
                <w:color w:val="auto"/>
                <w:szCs w:val="21"/>
              </w:rPr>
              <w:t>危废暂存间</w:t>
            </w:r>
          </w:p>
        </w:tc>
        <w:tc>
          <w:tcPr>
            <w:tcW w:w="772" w:type="pct"/>
            <w:vMerge/>
            <w:tcMar>
              <w:top w:w="0" w:type="dxa"/>
              <w:left w:w="0" w:type="dxa"/>
              <w:bottom w:w="0" w:type="dxa"/>
              <w:right w:w="0" w:type="dxa"/>
            </w:tcMar>
            <w:vAlign w:val="center"/>
          </w:tcPr>
          <w:p w14:paraId="418FF265" w14:textId="77777777" w:rsidR="000856DD" w:rsidRPr="00A964FF" w:rsidRDefault="000856DD" w:rsidP="000856DD">
            <w:pPr>
              <w:jc w:val="center"/>
              <w:rPr>
                <w:rFonts w:ascii="Calibri" w:hAnsi="Calibri"/>
                <w:color w:val="auto"/>
                <w:szCs w:val="21"/>
              </w:rPr>
            </w:pPr>
          </w:p>
        </w:tc>
      </w:tr>
      <w:tr w:rsidR="000856DD" w:rsidRPr="00A964FF" w14:paraId="47DA2196" w14:textId="77777777" w:rsidTr="00F958D0">
        <w:trPr>
          <w:trHeight w:val="340"/>
        </w:trPr>
        <w:tc>
          <w:tcPr>
            <w:tcW w:w="276" w:type="pct"/>
            <w:tcMar>
              <w:top w:w="0" w:type="dxa"/>
              <w:left w:w="0" w:type="dxa"/>
              <w:bottom w:w="0" w:type="dxa"/>
              <w:right w:w="0" w:type="dxa"/>
            </w:tcMar>
            <w:vAlign w:val="center"/>
          </w:tcPr>
          <w:p w14:paraId="6826A64E" w14:textId="77777777" w:rsidR="000856DD" w:rsidRPr="00A964FF" w:rsidRDefault="00223E03" w:rsidP="000856DD">
            <w:pPr>
              <w:jc w:val="center"/>
              <w:rPr>
                <w:rFonts w:ascii="Calibri" w:hAnsi="Calibri"/>
                <w:color w:val="auto"/>
                <w:szCs w:val="21"/>
              </w:rPr>
            </w:pPr>
            <w:r>
              <w:rPr>
                <w:rFonts w:ascii="Calibri" w:hAnsi="Calibri"/>
                <w:color w:val="auto"/>
                <w:szCs w:val="21"/>
              </w:rPr>
              <w:t>3</w:t>
            </w:r>
          </w:p>
        </w:tc>
        <w:tc>
          <w:tcPr>
            <w:tcW w:w="623" w:type="pct"/>
            <w:tcMar>
              <w:top w:w="0" w:type="dxa"/>
              <w:left w:w="0" w:type="dxa"/>
              <w:bottom w:w="0" w:type="dxa"/>
              <w:right w:w="0" w:type="dxa"/>
            </w:tcMar>
            <w:vAlign w:val="center"/>
          </w:tcPr>
          <w:p w14:paraId="2DC6EDFB" w14:textId="77777777" w:rsidR="000856DD" w:rsidRPr="004F7F0A" w:rsidRDefault="000856DD" w:rsidP="000856DD">
            <w:pPr>
              <w:jc w:val="center"/>
              <w:rPr>
                <w:rFonts w:ascii="Calibri" w:hAnsi="Calibri"/>
                <w:color w:val="auto"/>
                <w:szCs w:val="21"/>
              </w:rPr>
            </w:pPr>
            <w:r w:rsidRPr="004F7F0A">
              <w:rPr>
                <w:rFonts w:ascii="Calibri" w:hAnsi="Calibri" w:hint="eastAsia"/>
                <w:color w:val="auto"/>
                <w:szCs w:val="21"/>
              </w:rPr>
              <w:t>废机油</w:t>
            </w:r>
          </w:p>
        </w:tc>
        <w:tc>
          <w:tcPr>
            <w:tcW w:w="888" w:type="pct"/>
            <w:tcMar>
              <w:top w:w="0" w:type="dxa"/>
              <w:left w:w="0" w:type="dxa"/>
              <w:bottom w:w="0" w:type="dxa"/>
              <w:right w:w="0" w:type="dxa"/>
            </w:tcMar>
            <w:vAlign w:val="center"/>
          </w:tcPr>
          <w:p w14:paraId="43A48263" w14:textId="77777777" w:rsidR="000856DD" w:rsidRPr="004F7F0A" w:rsidRDefault="000856DD" w:rsidP="000856DD">
            <w:pPr>
              <w:jc w:val="center"/>
              <w:rPr>
                <w:rFonts w:ascii="Calibri" w:hAnsi="Calibri"/>
                <w:color w:val="auto"/>
                <w:szCs w:val="21"/>
              </w:rPr>
            </w:pPr>
            <w:r w:rsidRPr="00A964FF">
              <w:rPr>
                <w:rFonts w:ascii="Calibri" w:hAnsi="Calibri" w:hint="eastAsia"/>
                <w:color w:val="auto"/>
              </w:rPr>
              <w:t>HW08</w:t>
            </w:r>
            <w:r w:rsidRPr="00A964FF">
              <w:rPr>
                <w:rFonts w:ascii="Calibri" w:hAnsi="Calibri" w:hint="eastAsia"/>
                <w:color w:val="auto"/>
              </w:rPr>
              <w:t>废矿物油与含矿物油废物</w:t>
            </w:r>
          </w:p>
        </w:tc>
        <w:tc>
          <w:tcPr>
            <w:tcW w:w="407" w:type="pct"/>
            <w:tcMar>
              <w:top w:w="0" w:type="dxa"/>
              <w:left w:w="0" w:type="dxa"/>
              <w:bottom w:w="0" w:type="dxa"/>
              <w:right w:w="0" w:type="dxa"/>
            </w:tcMar>
            <w:vAlign w:val="center"/>
          </w:tcPr>
          <w:p w14:paraId="192ADF64" w14:textId="77777777" w:rsidR="000856DD" w:rsidRPr="004F7F0A" w:rsidRDefault="000856DD" w:rsidP="000856DD">
            <w:pPr>
              <w:jc w:val="center"/>
              <w:rPr>
                <w:rFonts w:ascii="Calibri" w:hAnsi="Calibri"/>
                <w:bCs/>
                <w:color w:val="auto"/>
                <w:szCs w:val="21"/>
              </w:rPr>
            </w:pPr>
            <w:r w:rsidRPr="00F24120">
              <w:rPr>
                <w:rFonts w:ascii="Calibri" w:hAnsi="Calibri" w:hint="eastAsia"/>
                <w:bCs/>
                <w:color w:val="auto"/>
                <w:szCs w:val="21"/>
              </w:rPr>
              <w:t>T</w:t>
            </w:r>
            <w:r w:rsidRPr="00F24120">
              <w:rPr>
                <w:rFonts w:ascii="Calibri" w:hAnsi="Calibri" w:hint="eastAsia"/>
                <w:bCs/>
                <w:color w:val="auto"/>
                <w:szCs w:val="21"/>
              </w:rPr>
              <w:t>，</w:t>
            </w:r>
            <w:r w:rsidRPr="00F24120">
              <w:rPr>
                <w:rFonts w:ascii="Calibri" w:hAnsi="Calibri" w:hint="eastAsia"/>
                <w:bCs/>
                <w:color w:val="auto"/>
                <w:szCs w:val="21"/>
              </w:rPr>
              <w:t>I</w:t>
            </w:r>
          </w:p>
        </w:tc>
        <w:tc>
          <w:tcPr>
            <w:tcW w:w="1382" w:type="pct"/>
            <w:tcMar>
              <w:top w:w="0" w:type="dxa"/>
              <w:left w:w="0" w:type="dxa"/>
              <w:bottom w:w="0" w:type="dxa"/>
              <w:right w:w="0" w:type="dxa"/>
            </w:tcMar>
            <w:vAlign w:val="center"/>
          </w:tcPr>
          <w:p w14:paraId="1CC8C77D" w14:textId="77777777" w:rsidR="000856DD" w:rsidRPr="004F7F0A" w:rsidRDefault="000856DD" w:rsidP="000856DD">
            <w:pPr>
              <w:jc w:val="center"/>
              <w:rPr>
                <w:rFonts w:ascii="Calibri" w:hAnsi="Calibri"/>
                <w:color w:val="auto"/>
                <w:szCs w:val="21"/>
              </w:rPr>
            </w:pPr>
            <w:r>
              <w:rPr>
                <w:rFonts w:ascii="Calibri" w:hAnsi="Calibri" w:hint="eastAsia"/>
                <w:color w:val="auto"/>
                <w:szCs w:val="21"/>
              </w:rPr>
              <w:t>废矿物油</w:t>
            </w:r>
          </w:p>
        </w:tc>
        <w:tc>
          <w:tcPr>
            <w:tcW w:w="652" w:type="pct"/>
            <w:tcMar>
              <w:top w:w="0" w:type="dxa"/>
              <w:left w:w="0" w:type="dxa"/>
              <w:bottom w:w="0" w:type="dxa"/>
              <w:right w:w="0" w:type="dxa"/>
            </w:tcMar>
            <w:vAlign w:val="center"/>
          </w:tcPr>
          <w:p w14:paraId="5D99B6D0" w14:textId="77777777" w:rsidR="000856DD" w:rsidRPr="00A964FF" w:rsidRDefault="000856DD" w:rsidP="000856DD">
            <w:pPr>
              <w:jc w:val="center"/>
              <w:rPr>
                <w:rFonts w:ascii="Calibri" w:hAnsi="Calibri"/>
                <w:color w:val="auto"/>
                <w:szCs w:val="21"/>
              </w:rPr>
            </w:pPr>
            <w:r w:rsidRPr="00A964FF">
              <w:rPr>
                <w:rFonts w:ascii="Calibri" w:hAnsi="Calibri" w:hint="eastAsia"/>
                <w:color w:val="auto"/>
                <w:szCs w:val="21"/>
              </w:rPr>
              <w:t>危废暂存间</w:t>
            </w:r>
          </w:p>
        </w:tc>
        <w:tc>
          <w:tcPr>
            <w:tcW w:w="772" w:type="pct"/>
            <w:vMerge/>
            <w:tcMar>
              <w:top w:w="0" w:type="dxa"/>
              <w:left w:w="0" w:type="dxa"/>
              <w:bottom w:w="0" w:type="dxa"/>
              <w:right w:w="0" w:type="dxa"/>
            </w:tcMar>
            <w:vAlign w:val="center"/>
          </w:tcPr>
          <w:p w14:paraId="6D073070" w14:textId="77777777" w:rsidR="000856DD" w:rsidRPr="00A964FF" w:rsidRDefault="000856DD" w:rsidP="000856DD">
            <w:pPr>
              <w:jc w:val="center"/>
              <w:rPr>
                <w:rFonts w:ascii="Calibri" w:hAnsi="Calibri"/>
                <w:color w:val="auto"/>
                <w:szCs w:val="21"/>
              </w:rPr>
            </w:pPr>
          </w:p>
        </w:tc>
      </w:tr>
      <w:tr w:rsidR="000856DD" w:rsidRPr="00A964FF" w14:paraId="76F82A94" w14:textId="77777777" w:rsidTr="00F958D0">
        <w:trPr>
          <w:trHeight w:val="340"/>
        </w:trPr>
        <w:tc>
          <w:tcPr>
            <w:tcW w:w="276" w:type="pct"/>
            <w:tcMar>
              <w:top w:w="0" w:type="dxa"/>
              <w:left w:w="0" w:type="dxa"/>
              <w:bottom w:w="0" w:type="dxa"/>
              <w:right w:w="0" w:type="dxa"/>
            </w:tcMar>
            <w:vAlign w:val="center"/>
          </w:tcPr>
          <w:p w14:paraId="16475CB9" w14:textId="77777777" w:rsidR="000856DD" w:rsidRPr="00A964FF" w:rsidRDefault="00223E03" w:rsidP="000856DD">
            <w:pPr>
              <w:jc w:val="center"/>
              <w:rPr>
                <w:rFonts w:ascii="Calibri" w:hAnsi="Calibri"/>
                <w:color w:val="auto"/>
                <w:szCs w:val="21"/>
              </w:rPr>
            </w:pPr>
            <w:r>
              <w:rPr>
                <w:rFonts w:ascii="Calibri" w:hAnsi="Calibri"/>
                <w:color w:val="auto"/>
                <w:szCs w:val="21"/>
              </w:rPr>
              <w:t>4</w:t>
            </w:r>
          </w:p>
        </w:tc>
        <w:tc>
          <w:tcPr>
            <w:tcW w:w="623" w:type="pct"/>
            <w:tcMar>
              <w:top w:w="0" w:type="dxa"/>
              <w:left w:w="0" w:type="dxa"/>
              <w:bottom w:w="0" w:type="dxa"/>
              <w:right w:w="0" w:type="dxa"/>
            </w:tcMar>
            <w:vAlign w:val="center"/>
          </w:tcPr>
          <w:p w14:paraId="4ABCE7E5" w14:textId="77777777" w:rsidR="000856DD" w:rsidRPr="004F7F0A" w:rsidRDefault="000856DD" w:rsidP="000856DD">
            <w:pPr>
              <w:jc w:val="center"/>
              <w:rPr>
                <w:rFonts w:ascii="Calibri" w:hAnsi="Calibri"/>
                <w:color w:val="auto"/>
                <w:szCs w:val="21"/>
              </w:rPr>
            </w:pPr>
            <w:r w:rsidRPr="004F7F0A">
              <w:rPr>
                <w:rFonts w:ascii="Calibri" w:hAnsi="Calibri" w:hint="eastAsia"/>
                <w:color w:val="auto"/>
                <w:szCs w:val="21"/>
              </w:rPr>
              <w:t>废导热油</w:t>
            </w:r>
          </w:p>
        </w:tc>
        <w:tc>
          <w:tcPr>
            <w:tcW w:w="888" w:type="pct"/>
            <w:tcMar>
              <w:top w:w="0" w:type="dxa"/>
              <w:left w:w="0" w:type="dxa"/>
              <w:bottom w:w="0" w:type="dxa"/>
              <w:right w:w="0" w:type="dxa"/>
            </w:tcMar>
            <w:vAlign w:val="center"/>
          </w:tcPr>
          <w:p w14:paraId="4C1908FE" w14:textId="77777777" w:rsidR="000856DD" w:rsidRPr="00F24120" w:rsidRDefault="000856DD" w:rsidP="000856DD">
            <w:pPr>
              <w:jc w:val="center"/>
              <w:rPr>
                <w:rFonts w:ascii="Calibri" w:hAnsi="Calibri"/>
                <w:color w:val="auto"/>
              </w:rPr>
            </w:pPr>
            <w:r w:rsidRPr="00A964FF">
              <w:rPr>
                <w:rFonts w:ascii="Calibri" w:hAnsi="Calibri" w:hint="eastAsia"/>
                <w:color w:val="auto"/>
              </w:rPr>
              <w:t>HW08</w:t>
            </w:r>
            <w:r w:rsidRPr="00A964FF">
              <w:rPr>
                <w:rFonts w:ascii="Calibri" w:hAnsi="Calibri" w:hint="eastAsia"/>
                <w:color w:val="auto"/>
              </w:rPr>
              <w:t>废矿物油与含矿物油废物</w:t>
            </w:r>
          </w:p>
        </w:tc>
        <w:tc>
          <w:tcPr>
            <w:tcW w:w="407" w:type="pct"/>
            <w:tcMar>
              <w:top w:w="0" w:type="dxa"/>
              <w:left w:w="0" w:type="dxa"/>
              <w:bottom w:w="0" w:type="dxa"/>
              <w:right w:w="0" w:type="dxa"/>
            </w:tcMar>
            <w:vAlign w:val="center"/>
          </w:tcPr>
          <w:p w14:paraId="777AD914" w14:textId="77777777" w:rsidR="000856DD" w:rsidRPr="004F7F0A" w:rsidRDefault="000856DD" w:rsidP="000856DD">
            <w:pPr>
              <w:jc w:val="center"/>
              <w:rPr>
                <w:rFonts w:ascii="Calibri" w:hAnsi="Calibri"/>
                <w:bCs/>
                <w:color w:val="auto"/>
                <w:szCs w:val="21"/>
              </w:rPr>
            </w:pPr>
            <w:r w:rsidRPr="00F24120">
              <w:rPr>
                <w:rFonts w:ascii="Calibri" w:hAnsi="Calibri" w:hint="eastAsia"/>
                <w:bCs/>
                <w:color w:val="auto"/>
                <w:szCs w:val="21"/>
              </w:rPr>
              <w:t>T</w:t>
            </w:r>
            <w:r w:rsidRPr="00F24120">
              <w:rPr>
                <w:rFonts w:ascii="Calibri" w:hAnsi="Calibri" w:hint="eastAsia"/>
                <w:bCs/>
                <w:color w:val="auto"/>
                <w:szCs w:val="21"/>
              </w:rPr>
              <w:t>，</w:t>
            </w:r>
            <w:r w:rsidRPr="00F24120">
              <w:rPr>
                <w:rFonts w:ascii="Calibri" w:hAnsi="Calibri" w:hint="eastAsia"/>
                <w:bCs/>
                <w:color w:val="auto"/>
                <w:szCs w:val="21"/>
              </w:rPr>
              <w:t>I</w:t>
            </w:r>
          </w:p>
        </w:tc>
        <w:tc>
          <w:tcPr>
            <w:tcW w:w="1382" w:type="pct"/>
            <w:tcMar>
              <w:top w:w="0" w:type="dxa"/>
              <w:left w:w="0" w:type="dxa"/>
              <w:bottom w:w="0" w:type="dxa"/>
              <w:right w:w="0" w:type="dxa"/>
            </w:tcMar>
            <w:vAlign w:val="center"/>
          </w:tcPr>
          <w:p w14:paraId="3EE6C82E" w14:textId="77777777" w:rsidR="000856DD" w:rsidRPr="004F7F0A" w:rsidRDefault="000856DD" w:rsidP="000856DD">
            <w:pPr>
              <w:jc w:val="center"/>
              <w:rPr>
                <w:rFonts w:ascii="Calibri" w:hAnsi="Calibri"/>
                <w:color w:val="auto"/>
                <w:szCs w:val="21"/>
              </w:rPr>
            </w:pPr>
            <w:r>
              <w:rPr>
                <w:rFonts w:ascii="Calibri" w:hAnsi="Calibri" w:hint="eastAsia"/>
                <w:color w:val="auto"/>
                <w:szCs w:val="21"/>
              </w:rPr>
              <w:t>废矿物油</w:t>
            </w:r>
          </w:p>
        </w:tc>
        <w:tc>
          <w:tcPr>
            <w:tcW w:w="652" w:type="pct"/>
            <w:tcMar>
              <w:top w:w="0" w:type="dxa"/>
              <w:left w:w="0" w:type="dxa"/>
              <w:bottom w:w="0" w:type="dxa"/>
              <w:right w:w="0" w:type="dxa"/>
            </w:tcMar>
            <w:vAlign w:val="center"/>
          </w:tcPr>
          <w:p w14:paraId="369A668D" w14:textId="77777777" w:rsidR="000856DD" w:rsidRPr="00A964FF" w:rsidRDefault="000856DD" w:rsidP="000856DD">
            <w:pPr>
              <w:jc w:val="center"/>
              <w:rPr>
                <w:rFonts w:ascii="Calibri" w:hAnsi="Calibri"/>
                <w:color w:val="auto"/>
                <w:szCs w:val="21"/>
              </w:rPr>
            </w:pPr>
            <w:r w:rsidRPr="00A964FF">
              <w:rPr>
                <w:rFonts w:ascii="Calibri" w:hAnsi="Calibri" w:hint="eastAsia"/>
                <w:color w:val="auto"/>
                <w:szCs w:val="21"/>
              </w:rPr>
              <w:t>危废暂存间</w:t>
            </w:r>
          </w:p>
        </w:tc>
        <w:tc>
          <w:tcPr>
            <w:tcW w:w="772" w:type="pct"/>
            <w:vMerge/>
            <w:tcMar>
              <w:top w:w="0" w:type="dxa"/>
              <w:left w:w="0" w:type="dxa"/>
              <w:bottom w:w="0" w:type="dxa"/>
              <w:right w:w="0" w:type="dxa"/>
            </w:tcMar>
            <w:vAlign w:val="center"/>
          </w:tcPr>
          <w:p w14:paraId="5C5D00E5" w14:textId="77777777" w:rsidR="000856DD" w:rsidRPr="00A964FF" w:rsidRDefault="000856DD" w:rsidP="000856DD">
            <w:pPr>
              <w:jc w:val="center"/>
              <w:rPr>
                <w:rFonts w:ascii="Calibri" w:hAnsi="Calibri"/>
                <w:color w:val="auto"/>
                <w:szCs w:val="21"/>
              </w:rPr>
            </w:pPr>
          </w:p>
        </w:tc>
      </w:tr>
      <w:tr w:rsidR="000856DD" w:rsidRPr="00A964FF" w14:paraId="000731AC" w14:textId="77777777" w:rsidTr="00F958D0">
        <w:trPr>
          <w:trHeight w:val="340"/>
        </w:trPr>
        <w:tc>
          <w:tcPr>
            <w:tcW w:w="276" w:type="pct"/>
            <w:tcMar>
              <w:top w:w="0" w:type="dxa"/>
              <w:left w:w="0" w:type="dxa"/>
              <w:bottom w:w="0" w:type="dxa"/>
              <w:right w:w="0" w:type="dxa"/>
            </w:tcMar>
            <w:vAlign w:val="center"/>
          </w:tcPr>
          <w:p w14:paraId="2986645B" w14:textId="77777777" w:rsidR="000856DD" w:rsidRPr="00A964FF" w:rsidRDefault="00223E03" w:rsidP="000856DD">
            <w:pPr>
              <w:jc w:val="center"/>
              <w:rPr>
                <w:rFonts w:ascii="Calibri" w:hAnsi="Calibri"/>
                <w:color w:val="auto"/>
                <w:szCs w:val="21"/>
              </w:rPr>
            </w:pPr>
            <w:r>
              <w:rPr>
                <w:rFonts w:ascii="Calibri" w:hAnsi="Calibri"/>
                <w:color w:val="auto"/>
                <w:szCs w:val="21"/>
              </w:rPr>
              <w:t>5</w:t>
            </w:r>
          </w:p>
        </w:tc>
        <w:tc>
          <w:tcPr>
            <w:tcW w:w="623" w:type="pct"/>
            <w:tcMar>
              <w:top w:w="0" w:type="dxa"/>
              <w:left w:w="0" w:type="dxa"/>
              <w:bottom w:w="0" w:type="dxa"/>
              <w:right w:w="0" w:type="dxa"/>
            </w:tcMar>
            <w:vAlign w:val="center"/>
          </w:tcPr>
          <w:p w14:paraId="23C4C2D0" w14:textId="77777777" w:rsidR="000856DD" w:rsidRPr="004F7F0A" w:rsidRDefault="0092085C" w:rsidP="000856DD">
            <w:pPr>
              <w:jc w:val="center"/>
              <w:rPr>
                <w:rFonts w:ascii="Calibri" w:hAnsi="Calibri"/>
                <w:color w:val="auto"/>
                <w:szCs w:val="21"/>
              </w:rPr>
            </w:pPr>
            <w:r>
              <w:rPr>
                <w:rFonts w:ascii="Calibri" w:hAnsi="Calibri" w:hint="eastAsia"/>
                <w:color w:val="auto"/>
                <w:szCs w:val="21"/>
              </w:rPr>
              <w:t>品控中心</w:t>
            </w:r>
            <w:r w:rsidR="000856DD">
              <w:rPr>
                <w:rFonts w:ascii="Calibri" w:hAnsi="Calibri"/>
                <w:color w:val="auto"/>
                <w:szCs w:val="21"/>
              </w:rPr>
              <w:t>废物</w:t>
            </w:r>
          </w:p>
        </w:tc>
        <w:tc>
          <w:tcPr>
            <w:tcW w:w="888" w:type="pct"/>
            <w:tcMar>
              <w:top w:w="0" w:type="dxa"/>
              <w:left w:w="0" w:type="dxa"/>
              <w:bottom w:w="0" w:type="dxa"/>
              <w:right w:w="0" w:type="dxa"/>
            </w:tcMar>
            <w:vAlign w:val="center"/>
          </w:tcPr>
          <w:p w14:paraId="4E72718A" w14:textId="77777777" w:rsidR="000856DD" w:rsidRPr="00F24120" w:rsidRDefault="000856DD" w:rsidP="000856DD">
            <w:pPr>
              <w:jc w:val="center"/>
              <w:rPr>
                <w:rFonts w:ascii="Calibri" w:hAnsi="Calibri"/>
                <w:color w:val="auto"/>
              </w:rPr>
            </w:pPr>
            <w:r w:rsidRPr="00FD157B">
              <w:rPr>
                <w:rFonts w:ascii="Calibri" w:hAnsi="Calibri" w:hint="eastAsia"/>
                <w:color w:val="auto"/>
              </w:rPr>
              <w:t>HW49</w:t>
            </w:r>
            <w:r w:rsidRPr="00FD157B">
              <w:rPr>
                <w:rFonts w:ascii="Calibri" w:hAnsi="Calibri" w:hint="eastAsia"/>
                <w:color w:val="auto"/>
              </w:rPr>
              <w:t>其他废物</w:t>
            </w:r>
          </w:p>
        </w:tc>
        <w:tc>
          <w:tcPr>
            <w:tcW w:w="407" w:type="pct"/>
            <w:tcMar>
              <w:top w:w="0" w:type="dxa"/>
              <w:left w:w="0" w:type="dxa"/>
              <w:bottom w:w="0" w:type="dxa"/>
              <w:right w:w="0" w:type="dxa"/>
            </w:tcMar>
            <w:vAlign w:val="center"/>
          </w:tcPr>
          <w:p w14:paraId="177A9C05" w14:textId="77777777" w:rsidR="000856DD" w:rsidRPr="004F7F0A" w:rsidRDefault="000856DD" w:rsidP="000856DD">
            <w:pPr>
              <w:jc w:val="center"/>
              <w:rPr>
                <w:rFonts w:ascii="Calibri" w:hAnsi="Calibri"/>
                <w:bCs/>
                <w:color w:val="auto"/>
                <w:szCs w:val="21"/>
              </w:rPr>
            </w:pPr>
            <w:r w:rsidRPr="00FD157B">
              <w:rPr>
                <w:rFonts w:ascii="Calibri" w:hAnsi="Calibri"/>
                <w:bCs/>
                <w:color w:val="auto"/>
                <w:szCs w:val="21"/>
              </w:rPr>
              <w:t>T/C/I/R</w:t>
            </w:r>
          </w:p>
        </w:tc>
        <w:tc>
          <w:tcPr>
            <w:tcW w:w="1382" w:type="pct"/>
            <w:tcMar>
              <w:top w:w="0" w:type="dxa"/>
              <w:left w:w="0" w:type="dxa"/>
              <w:bottom w:w="0" w:type="dxa"/>
              <w:right w:w="0" w:type="dxa"/>
            </w:tcMar>
            <w:vAlign w:val="center"/>
          </w:tcPr>
          <w:p w14:paraId="55C019F9" w14:textId="77777777" w:rsidR="000856DD" w:rsidRPr="004F7F0A" w:rsidRDefault="000856DD" w:rsidP="000856DD">
            <w:pPr>
              <w:jc w:val="center"/>
              <w:rPr>
                <w:rFonts w:ascii="Calibri" w:hAnsi="Calibri"/>
                <w:color w:val="auto"/>
                <w:szCs w:val="21"/>
              </w:rPr>
            </w:pPr>
            <w:r>
              <w:rPr>
                <w:rFonts w:ascii="Calibri" w:hAnsi="Calibri" w:hint="eastAsia"/>
                <w:color w:val="auto"/>
                <w:szCs w:val="21"/>
              </w:rPr>
              <w:t>酸碱</w:t>
            </w:r>
            <w:r>
              <w:rPr>
                <w:rFonts w:ascii="Calibri" w:hAnsi="Calibri"/>
                <w:color w:val="auto"/>
                <w:szCs w:val="21"/>
              </w:rPr>
              <w:t>等</w:t>
            </w:r>
          </w:p>
        </w:tc>
        <w:tc>
          <w:tcPr>
            <w:tcW w:w="652" w:type="pct"/>
            <w:tcMar>
              <w:top w:w="0" w:type="dxa"/>
              <w:left w:w="0" w:type="dxa"/>
              <w:bottom w:w="0" w:type="dxa"/>
              <w:right w:w="0" w:type="dxa"/>
            </w:tcMar>
            <w:vAlign w:val="center"/>
          </w:tcPr>
          <w:p w14:paraId="45B13B1A" w14:textId="77777777" w:rsidR="000856DD" w:rsidRPr="00A964FF" w:rsidRDefault="000856DD" w:rsidP="000856DD">
            <w:pPr>
              <w:jc w:val="center"/>
              <w:rPr>
                <w:rFonts w:ascii="Calibri" w:hAnsi="Calibri"/>
                <w:color w:val="auto"/>
                <w:szCs w:val="21"/>
              </w:rPr>
            </w:pPr>
            <w:r w:rsidRPr="00A964FF">
              <w:rPr>
                <w:rFonts w:ascii="Calibri" w:hAnsi="Calibri" w:hint="eastAsia"/>
                <w:color w:val="auto"/>
                <w:szCs w:val="21"/>
              </w:rPr>
              <w:t>危废暂存间</w:t>
            </w:r>
          </w:p>
        </w:tc>
        <w:tc>
          <w:tcPr>
            <w:tcW w:w="772" w:type="pct"/>
            <w:vMerge/>
            <w:tcMar>
              <w:top w:w="0" w:type="dxa"/>
              <w:left w:w="0" w:type="dxa"/>
              <w:bottom w:w="0" w:type="dxa"/>
              <w:right w:w="0" w:type="dxa"/>
            </w:tcMar>
            <w:vAlign w:val="center"/>
          </w:tcPr>
          <w:p w14:paraId="3B351F86" w14:textId="77777777" w:rsidR="000856DD" w:rsidRPr="00A964FF" w:rsidRDefault="000856DD" w:rsidP="000856DD">
            <w:pPr>
              <w:jc w:val="center"/>
              <w:rPr>
                <w:rFonts w:ascii="Calibri" w:hAnsi="Calibri"/>
                <w:color w:val="auto"/>
                <w:szCs w:val="21"/>
              </w:rPr>
            </w:pPr>
          </w:p>
        </w:tc>
      </w:tr>
    </w:tbl>
    <w:p w14:paraId="2F094CBB" w14:textId="77777777" w:rsidR="0055605A" w:rsidRPr="00A964FF" w:rsidRDefault="0055605A" w:rsidP="0055605A">
      <w:pPr>
        <w:pStyle w:val="2"/>
        <w:spacing w:before="200" w:after="100" w:line="520" w:lineRule="exact"/>
        <w:rPr>
          <w:rFonts w:ascii="Calibri" w:hAnsi="Calibri"/>
          <w:bCs/>
          <w:color w:val="auto"/>
          <w:szCs w:val="28"/>
        </w:rPr>
      </w:pPr>
      <w:bookmarkStart w:id="64" w:name="_Toc112999917"/>
      <w:r w:rsidRPr="00A964FF">
        <w:rPr>
          <w:rFonts w:ascii="Calibri" w:hAnsi="Calibri" w:hint="eastAsia"/>
          <w:bCs/>
          <w:color w:val="auto"/>
          <w:szCs w:val="28"/>
        </w:rPr>
        <w:lastRenderedPageBreak/>
        <w:t>4</w:t>
      </w:r>
      <w:r w:rsidRPr="00A964FF">
        <w:rPr>
          <w:rFonts w:ascii="Calibri" w:hAnsi="Calibri"/>
          <w:bCs/>
          <w:color w:val="auto"/>
          <w:szCs w:val="28"/>
        </w:rPr>
        <w:t>.</w:t>
      </w:r>
      <w:r w:rsidRPr="00A964FF">
        <w:rPr>
          <w:rFonts w:ascii="Calibri" w:hAnsi="Calibri" w:hint="eastAsia"/>
          <w:bCs/>
          <w:color w:val="auto"/>
          <w:szCs w:val="28"/>
        </w:rPr>
        <w:t>3</w:t>
      </w:r>
      <w:r w:rsidRPr="00A964FF">
        <w:rPr>
          <w:rFonts w:ascii="Calibri" w:hAnsi="Calibri" w:hint="eastAsia"/>
          <w:bCs/>
          <w:color w:val="auto"/>
          <w:szCs w:val="28"/>
        </w:rPr>
        <w:t>环境风险评价</w:t>
      </w:r>
      <w:bookmarkEnd w:id="64"/>
    </w:p>
    <w:p w14:paraId="12D17316" w14:textId="77777777" w:rsidR="0055605A" w:rsidRPr="00A964FF" w:rsidRDefault="0055605A" w:rsidP="0055605A">
      <w:pPr>
        <w:pStyle w:val="ad"/>
        <w:rPr>
          <w:rFonts w:ascii="Calibri" w:hAnsi="Calibri"/>
          <w:color w:val="auto"/>
        </w:rPr>
      </w:pPr>
      <w:r w:rsidRPr="00A964FF">
        <w:rPr>
          <w:rFonts w:ascii="Calibri" w:hAnsi="Calibri" w:hint="eastAsia"/>
          <w:color w:val="auto"/>
        </w:rPr>
        <w:t>4.3.1</w:t>
      </w:r>
      <w:r w:rsidRPr="00A964FF">
        <w:rPr>
          <w:rFonts w:ascii="Calibri" w:hAnsi="Calibri" w:hint="eastAsia"/>
          <w:color w:val="auto"/>
        </w:rPr>
        <w:t>评价目的及重点</w:t>
      </w:r>
    </w:p>
    <w:p w14:paraId="0838C93E"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环境风险是指突发性事故造成的重大环境污染的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058D167C"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评价以《建设项目环境风险评价技术导则》（</w:t>
      </w:r>
      <w:r w:rsidR="006F1321" w:rsidRPr="00A964FF">
        <w:rPr>
          <w:rFonts w:ascii="Calibri" w:eastAsia="宋体" w:hAnsi="Calibri" w:hint="eastAsia"/>
          <w:b w:val="0"/>
          <w:color w:val="auto"/>
          <w:sz w:val="24"/>
        </w:rPr>
        <w:t>HJ169</w:t>
      </w:r>
      <w:r w:rsidRPr="00A964FF">
        <w:rPr>
          <w:rFonts w:ascii="Calibri" w:eastAsia="宋体" w:hAnsi="Calibri" w:hint="eastAsia"/>
          <w:b w:val="0"/>
          <w:color w:val="auto"/>
          <w:sz w:val="24"/>
        </w:rPr>
        <w:t>-2018</w:t>
      </w:r>
      <w:r w:rsidRPr="00A964FF">
        <w:rPr>
          <w:rFonts w:ascii="Calibri" w:eastAsia="宋体" w:hAnsi="Calibri" w:hint="eastAsia"/>
          <w:b w:val="0"/>
          <w:color w:val="auto"/>
          <w:sz w:val="24"/>
        </w:rPr>
        <w:t>）为指导，通过对本项目进行风险识别和源项分析，进行风险评价，提出减缓风险的措施和应急预案，为环境管理提供资料和依据，达到降低危险、减少危害的目的。</w:t>
      </w:r>
    </w:p>
    <w:p w14:paraId="10A4470D" w14:textId="77777777" w:rsidR="00C23368" w:rsidRPr="00A964FF" w:rsidRDefault="00C23368" w:rsidP="00C23368">
      <w:pPr>
        <w:pStyle w:val="ad"/>
        <w:rPr>
          <w:rFonts w:ascii="Calibri" w:hAnsi="Calibri"/>
          <w:color w:val="auto"/>
        </w:rPr>
      </w:pPr>
      <w:r w:rsidRPr="00A964FF">
        <w:rPr>
          <w:rFonts w:ascii="Calibri" w:hAnsi="Calibri" w:hint="eastAsia"/>
          <w:color w:val="auto"/>
        </w:rPr>
        <w:t>4.3.2</w:t>
      </w:r>
      <w:r w:rsidRPr="00A964FF">
        <w:rPr>
          <w:rFonts w:ascii="Calibri" w:hAnsi="Calibri" w:hint="eastAsia"/>
          <w:color w:val="auto"/>
        </w:rPr>
        <w:t>风险</w:t>
      </w:r>
      <w:r>
        <w:rPr>
          <w:rFonts w:ascii="Calibri" w:hAnsi="Calibri" w:hint="eastAsia"/>
          <w:color w:val="auto"/>
        </w:rPr>
        <w:t>调查</w:t>
      </w:r>
    </w:p>
    <w:p w14:paraId="09467373" w14:textId="77777777" w:rsidR="00B712A4" w:rsidRPr="00852DCA" w:rsidRDefault="00C23368" w:rsidP="00852DCA">
      <w:pPr>
        <w:spacing w:line="520" w:lineRule="exact"/>
        <w:ind w:firstLine="510"/>
        <w:rPr>
          <w:rFonts w:ascii="Calibri" w:hAnsi="Calibri"/>
          <w:color w:val="auto"/>
          <w:sz w:val="24"/>
        </w:rPr>
      </w:pPr>
      <w:r w:rsidRPr="00C23368">
        <w:rPr>
          <w:rFonts w:ascii="Calibri" w:hAnsi="Calibri"/>
          <w:color w:val="auto"/>
          <w:sz w:val="24"/>
        </w:rPr>
        <w:t>本次工程所涉及的</w:t>
      </w:r>
      <w:r w:rsidRPr="00C23368">
        <w:rPr>
          <w:rFonts w:ascii="Calibri" w:hAnsi="Calibri" w:hint="eastAsia"/>
          <w:color w:val="auto"/>
          <w:sz w:val="24"/>
        </w:rPr>
        <w:t>化学</w:t>
      </w:r>
      <w:r w:rsidRPr="00C23368">
        <w:rPr>
          <w:rFonts w:ascii="Calibri" w:hAnsi="Calibri"/>
          <w:color w:val="auto"/>
          <w:sz w:val="24"/>
        </w:rPr>
        <w:t>物质主要为</w:t>
      </w:r>
      <w:r w:rsidRPr="00C23368">
        <w:rPr>
          <w:rFonts w:ascii="Calibri" w:hAnsi="Calibri" w:hint="eastAsia"/>
          <w:color w:val="auto"/>
          <w:sz w:val="24"/>
        </w:rPr>
        <w:t>50%</w:t>
      </w:r>
      <w:r w:rsidR="0053271F">
        <w:rPr>
          <w:rFonts w:ascii="Calibri" w:hAnsi="Calibri" w:hint="eastAsia"/>
          <w:color w:val="auto"/>
          <w:sz w:val="24"/>
        </w:rPr>
        <w:t>尼龙</w:t>
      </w:r>
      <w:r w:rsidR="0053271F">
        <w:rPr>
          <w:rFonts w:ascii="Calibri" w:hAnsi="Calibri" w:hint="eastAsia"/>
          <w:color w:val="auto"/>
          <w:sz w:val="24"/>
        </w:rPr>
        <w:t>66</w:t>
      </w:r>
      <w:r w:rsidR="0053271F">
        <w:rPr>
          <w:rFonts w:ascii="Calibri" w:hAnsi="Calibri" w:hint="eastAsia"/>
          <w:color w:val="auto"/>
          <w:sz w:val="24"/>
        </w:rPr>
        <w:t>盐</w:t>
      </w:r>
      <w:r w:rsidR="0053271F">
        <w:rPr>
          <w:rFonts w:ascii="Calibri" w:hAnsi="Calibri"/>
          <w:color w:val="auto"/>
          <w:sz w:val="24"/>
        </w:rPr>
        <w:t>溶液</w:t>
      </w:r>
      <w:r w:rsidRPr="00C23368">
        <w:rPr>
          <w:rFonts w:ascii="Calibri" w:hAnsi="Calibri"/>
          <w:color w:val="auto"/>
          <w:sz w:val="24"/>
        </w:rPr>
        <w:t>、</w:t>
      </w:r>
      <w:r w:rsidRPr="00C23368">
        <w:rPr>
          <w:rFonts w:ascii="Calibri" w:hAnsi="Calibri" w:hint="eastAsia"/>
          <w:color w:val="auto"/>
          <w:sz w:val="24"/>
        </w:rPr>
        <w:t>尼龙</w:t>
      </w:r>
      <w:r w:rsidRPr="00C23368">
        <w:rPr>
          <w:rFonts w:ascii="Calibri" w:hAnsi="Calibri" w:hint="eastAsia"/>
          <w:color w:val="auto"/>
          <w:sz w:val="24"/>
        </w:rPr>
        <w:t>1010</w:t>
      </w:r>
      <w:r w:rsidRPr="00C23368">
        <w:rPr>
          <w:rFonts w:ascii="Calibri" w:hAnsi="Calibri" w:hint="eastAsia"/>
          <w:color w:val="auto"/>
          <w:sz w:val="24"/>
        </w:rPr>
        <w:t>盐、尼龙</w:t>
      </w:r>
      <w:r w:rsidRPr="00C23368">
        <w:rPr>
          <w:rFonts w:ascii="Calibri" w:hAnsi="Calibri" w:hint="eastAsia"/>
          <w:color w:val="auto"/>
          <w:sz w:val="24"/>
        </w:rPr>
        <w:t>12</w:t>
      </w:r>
      <w:r w:rsidRPr="00C23368">
        <w:rPr>
          <w:rFonts w:ascii="Calibri" w:hAnsi="Calibri" w:hint="eastAsia"/>
          <w:color w:val="auto"/>
          <w:sz w:val="24"/>
        </w:rPr>
        <w:t>盐、</w:t>
      </w:r>
      <w:r w:rsidRPr="00C23368">
        <w:rPr>
          <w:rFonts w:ascii="Calibri" w:hAnsi="Calibri"/>
          <w:color w:val="auto"/>
          <w:sz w:val="24"/>
        </w:rPr>
        <w:t>次磷酸钠、管道天然气、导热油、</w:t>
      </w:r>
      <w:r>
        <w:rPr>
          <w:rFonts w:ascii="Calibri" w:hAnsi="Calibri" w:hint="eastAsia"/>
          <w:color w:val="auto"/>
          <w:sz w:val="24"/>
        </w:rPr>
        <w:t>甲酸、</w:t>
      </w:r>
      <w:r>
        <w:rPr>
          <w:rFonts w:ascii="Calibri" w:hAnsi="Calibri"/>
          <w:color w:val="auto"/>
          <w:sz w:val="24"/>
        </w:rPr>
        <w:t>乙醇、盐酸、氢氧化钠</w:t>
      </w:r>
      <w:r w:rsidRPr="00C23368">
        <w:rPr>
          <w:rFonts w:ascii="Calibri" w:hAnsi="Calibri"/>
          <w:color w:val="auto"/>
          <w:sz w:val="24"/>
        </w:rPr>
        <w:t>等</w:t>
      </w:r>
      <w:r w:rsidRPr="00C23368">
        <w:rPr>
          <w:rFonts w:ascii="Calibri" w:hAnsi="Calibri" w:hint="eastAsia"/>
          <w:color w:val="auto"/>
          <w:sz w:val="24"/>
        </w:rPr>
        <w:t>，情况见表</w:t>
      </w:r>
      <w:r>
        <w:rPr>
          <w:rFonts w:ascii="Calibri" w:hAnsi="Calibri" w:hint="eastAsia"/>
          <w:color w:val="auto"/>
          <w:sz w:val="24"/>
        </w:rPr>
        <w:t>4.</w:t>
      </w:r>
      <w:r>
        <w:rPr>
          <w:rFonts w:ascii="Calibri" w:hAnsi="Calibri"/>
          <w:color w:val="auto"/>
          <w:sz w:val="24"/>
        </w:rPr>
        <w:t>3-1</w:t>
      </w:r>
      <w:r>
        <w:rPr>
          <w:rFonts w:ascii="Calibri" w:hAnsi="Calibri" w:hint="eastAsia"/>
          <w:color w:val="auto"/>
          <w:sz w:val="24"/>
        </w:rPr>
        <w:t>。</w:t>
      </w:r>
    </w:p>
    <w:p w14:paraId="6EC7BF51" w14:textId="77777777" w:rsidR="00C23368" w:rsidRPr="00C23368" w:rsidRDefault="00C23368" w:rsidP="00C23368">
      <w:pPr>
        <w:spacing w:line="520" w:lineRule="exact"/>
        <w:jc w:val="center"/>
        <w:rPr>
          <w:rFonts w:asciiTheme="minorHAnsi" w:eastAsia="黑体" w:hAnsiTheme="minorHAnsi"/>
          <w:bCs/>
          <w:spacing w:val="6"/>
          <w:sz w:val="24"/>
        </w:rPr>
      </w:pPr>
      <w:r w:rsidRPr="00C23368">
        <w:rPr>
          <w:rFonts w:asciiTheme="minorHAnsi" w:eastAsia="黑体" w:hAnsiTheme="minorHAnsi"/>
          <w:bCs/>
          <w:spacing w:val="6"/>
          <w:sz w:val="24"/>
        </w:rPr>
        <w:t>表</w:t>
      </w:r>
      <w:r w:rsidRPr="00C23368">
        <w:rPr>
          <w:rFonts w:asciiTheme="minorHAnsi" w:eastAsia="黑体" w:hAnsiTheme="minorHAnsi"/>
          <w:bCs/>
          <w:spacing w:val="6"/>
          <w:sz w:val="24"/>
        </w:rPr>
        <w:t xml:space="preserve">4.3-1       </w:t>
      </w:r>
      <w:r w:rsidR="003A0C04">
        <w:rPr>
          <w:rFonts w:asciiTheme="minorHAnsi" w:eastAsia="黑体" w:hAnsiTheme="minorHAnsi"/>
          <w:bCs/>
          <w:spacing w:val="6"/>
          <w:sz w:val="24"/>
        </w:rPr>
        <w:t>本</w:t>
      </w:r>
      <w:r w:rsidR="003A0C04">
        <w:rPr>
          <w:rFonts w:asciiTheme="minorHAnsi" w:eastAsia="黑体" w:hAnsiTheme="minorHAnsi" w:hint="eastAsia"/>
          <w:bCs/>
          <w:spacing w:val="6"/>
          <w:sz w:val="24"/>
        </w:rPr>
        <w:t>项目</w:t>
      </w:r>
      <w:r w:rsidRPr="00C23368">
        <w:rPr>
          <w:rFonts w:asciiTheme="minorHAnsi" w:eastAsia="黑体" w:hAnsiTheme="minorHAnsi"/>
          <w:bCs/>
          <w:spacing w:val="6"/>
          <w:sz w:val="24"/>
        </w:rPr>
        <w:t>涉及化学物质情况一览表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07"/>
        <w:gridCol w:w="1611"/>
        <w:gridCol w:w="3205"/>
        <w:gridCol w:w="2076"/>
        <w:gridCol w:w="1201"/>
      </w:tblGrid>
      <w:tr w:rsidR="00C23368" w:rsidRPr="0053271F" w14:paraId="6A5B2FB1" w14:textId="77777777" w:rsidTr="007F4462">
        <w:trPr>
          <w:trHeight w:val="340"/>
          <w:jc w:val="center"/>
        </w:trPr>
        <w:tc>
          <w:tcPr>
            <w:tcW w:w="349" w:type="pct"/>
            <w:vAlign w:val="center"/>
          </w:tcPr>
          <w:p w14:paraId="00037DA4"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序号</w:t>
            </w:r>
          </w:p>
        </w:tc>
        <w:tc>
          <w:tcPr>
            <w:tcW w:w="926" w:type="pct"/>
            <w:vAlign w:val="center"/>
          </w:tcPr>
          <w:p w14:paraId="20F7AFC2"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原料</w:t>
            </w:r>
          </w:p>
        </w:tc>
        <w:tc>
          <w:tcPr>
            <w:tcW w:w="1842" w:type="pct"/>
            <w:vAlign w:val="center"/>
          </w:tcPr>
          <w:p w14:paraId="591E5B46"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分布情况</w:t>
            </w:r>
          </w:p>
        </w:tc>
        <w:tc>
          <w:tcPr>
            <w:tcW w:w="1193" w:type="pct"/>
            <w:vAlign w:val="center"/>
          </w:tcPr>
          <w:p w14:paraId="7CA08420"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最大贮存量</w:t>
            </w:r>
          </w:p>
        </w:tc>
        <w:tc>
          <w:tcPr>
            <w:tcW w:w="691" w:type="pct"/>
            <w:vAlign w:val="center"/>
          </w:tcPr>
          <w:p w14:paraId="34F9B32A"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年用量</w:t>
            </w:r>
          </w:p>
        </w:tc>
      </w:tr>
      <w:tr w:rsidR="00C23368" w:rsidRPr="0053271F" w14:paraId="0B6FAE1B" w14:textId="77777777" w:rsidTr="007F4462">
        <w:trPr>
          <w:trHeight w:val="340"/>
          <w:jc w:val="center"/>
        </w:trPr>
        <w:tc>
          <w:tcPr>
            <w:tcW w:w="349" w:type="pct"/>
            <w:vAlign w:val="center"/>
          </w:tcPr>
          <w:p w14:paraId="4741868C"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1</w:t>
            </w:r>
          </w:p>
        </w:tc>
        <w:tc>
          <w:tcPr>
            <w:tcW w:w="926" w:type="pct"/>
            <w:vAlign w:val="center"/>
          </w:tcPr>
          <w:p w14:paraId="37D37C41"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50%</w:t>
            </w:r>
            <w:r w:rsidR="0053271F" w:rsidRPr="0053271F">
              <w:rPr>
                <w:rFonts w:ascii="Calibri" w:hAnsi="Calibri"/>
                <w:color w:val="auto"/>
                <w:szCs w:val="21"/>
              </w:rPr>
              <w:t>尼龙</w:t>
            </w:r>
            <w:r w:rsidR="0053271F" w:rsidRPr="0053271F">
              <w:rPr>
                <w:rFonts w:ascii="Calibri" w:hAnsi="Calibri"/>
                <w:color w:val="auto"/>
                <w:szCs w:val="21"/>
              </w:rPr>
              <w:t>66</w:t>
            </w:r>
            <w:r w:rsidR="0053271F" w:rsidRPr="0053271F">
              <w:rPr>
                <w:rFonts w:ascii="Calibri" w:hAnsi="Calibri"/>
                <w:color w:val="auto"/>
                <w:szCs w:val="21"/>
              </w:rPr>
              <w:t>盐溶液</w:t>
            </w:r>
          </w:p>
        </w:tc>
        <w:tc>
          <w:tcPr>
            <w:tcW w:w="1842" w:type="pct"/>
            <w:vAlign w:val="center"/>
          </w:tcPr>
          <w:p w14:paraId="4752A9D2"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桶装，原料仓库</w:t>
            </w:r>
          </w:p>
        </w:tc>
        <w:tc>
          <w:tcPr>
            <w:tcW w:w="1193" w:type="pct"/>
            <w:vAlign w:val="center"/>
          </w:tcPr>
          <w:p w14:paraId="4949BFD2" w14:textId="77777777" w:rsidR="00C23368" w:rsidRPr="0053271F" w:rsidRDefault="0053271F" w:rsidP="0053271F">
            <w:pPr>
              <w:jc w:val="center"/>
              <w:rPr>
                <w:rFonts w:ascii="Calibri" w:hAnsi="Calibri"/>
                <w:color w:val="auto"/>
                <w:szCs w:val="21"/>
              </w:rPr>
            </w:pPr>
            <w:r w:rsidRPr="0053271F">
              <w:rPr>
                <w:rFonts w:ascii="Calibri" w:hAnsi="Calibri"/>
                <w:color w:val="auto"/>
                <w:szCs w:val="21"/>
              </w:rPr>
              <w:t>580t</w:t>
            </w:r>
          </w:p>
        </w:tc>
        <w:tc>
          <w:tcPr>
            <w:tcW w:w="691" w:type="pct"/>
            <w:vAlign w:val="center"/>
          </w:tcPr>
          <w:p w14:paraId="2D50AFA9"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3840</w:t>
            </w:r>
            <w:r w:rsidR="00C23368" w:rsidRPr="0053271F">
              <w:rPr>
                <w:rFonts w:ascii="Calibri" w:hAnsi="Calibri"/>
                <w:color w:val="auto"/>
                <w:szCs w:val="21"/>
              </w:rPr>
              <w:t>t/a</w:t>
            </w:r>
          </w:p>
        </w:tc>
      </w:tr>
      <w:tr w:rsidR="00C23368" w:rsidRPr="0053271F" w14:paraId="6B7BF443" w14:textId="77777777" w:rsidTr="007F4462">
        <w:trPr>
          <w:trHeight w:val="340"/>
          <w:jc w:val="center"/>
        </w:trPr>
        <w:tc>
          <w:tcPr>
            <w:tcW w:w="349" w:type="pct"/>
            <w:vAlign w:val="center"/>
          </w:tcPr>
          <w:p w14:paraId="5676EEC4"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2</w:t>
            </w:r>
          </w:p>
        </w:tc>
        <w:tc>
          <w:tcPr>
            <w:tcW w:w="926" w:type="pct"/>
            <w:vAlign w:val="center"/>
          </w:tcPr>
          <w:p w14:paraId="2BB2AE72"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尼龙</w:t>
            </w:r>
            <w:r w:rsidRPr="0053271F">
              <w:rPr>
                <w:rFonts w:ascii="Calibri" w:hAnsi="Calibri"/>
                <w:color w:val="auto"/>
                <w:szCs w:val="21"/>
              </w:rPr>
              <w:t>1010</w:t>
            </w:r>
            <w:r w:rsidRPr="0053271F">
              <w:rPr>
                <w:rFonts w:ascii="Calibri" w:hAnsi="Calibri"/>
                <w:color w:val="auto"/>
                <w:szCs w:val="21"/>
              </w:rPr>
              <w:t>盐</w:t>
            </w:r>
          </w:p>
        </w:tc>
        <w:tc>
          <w:tcPr>
            <w:tcW w:w="1842" w:type="pct"/>
            <w:vAlign w:val="center"/>
          </w:tcPr>
          <w:p w14:paraId="00DB0BB5"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原料仓库，吨袋储存</w:t>
            </w:r>
          </w:p>
        </w:tc>
        <w:tc>
          <w:tcPr>
            <w:tcW w:w="1193" w:type="pct"/>
            <w:vAlign w:val="center"/>
          </w:tcPr>
          <w:p w14:paraId="6E5CCC62" w14:textId="77777777" w:rsidR="00C23368" w:rsidRPr="0053271F" w:rsidRDefault="0053271F" w:rsidP="0053271F">
            <w:pPr>
              <w:jc w:val="center"/>
              <w:rPr>
                <w:rFonts w:ascii="Calibri" w:hAnsi="Calibri"/>
                <w:color w:val="auto"/>
                <w:szCs w:val="21"/>
              </w:rPr>
            </w:pPr>
            <w:r w:rsidRPr="0053271F">
              <w:rPr>
                <w:rFonts w:ascii="Calibri" w:hAnsi="Calibri"/>
                <w:color w:val="auto"/>
                <w:szCs w:val="21"/>
              </w:rPr>
              <w:t>72</w:t>
            </w:r>
            <w:r w:rsidR="00C23368" w:rsidRPr="0053271F">
              <w:rPr>
                <w:rFonts w:ascii="Calibri" w:hAnsi="Calibri"/>
                <w:color w:val="auto"/>
                <w:szCs w:val="21"/>
              </w:rPr>
              <w:t>t</w:t>
            </w:r>
          </w:p>
        </w:tc>
        <w:tc>
          <w:tcPr>
            <w:tcW w:w="691" w:type="pct"/>
            <w:vAlign w:val="center"/>
          </w:tcPr>
          <w:p w14:paraId="7919BD31"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480</w:t>
            </w:r>
            <w:r w:rsidR="00C23368" w:rsidRPr="0053271F">
              <w:rPr>
                <w:rFonts w:ascii="Calibri" w:hAnsi="Calibri"/>
                <w:color w:val="auto"/>
                <w:szCs w:val="21"/>
              </w:rPr>
              <w:t>t/a</w:t>
            </w:r>
          </w:p>
        </w:tc>
      </w:tr>
      <w:tr w:rsidR="00C23368" w:rsidRPr="0053271F" w14:paraId="5087513B" w14:textId="77777777" w:rsidTr="007F4462">
        <w:trPr>
          <w:trHeight w:val="340"/>
          <w:jc w:val="center"/>
        </w:trPr>
        <w:tc>
          <w:tcPr>
            <w:tcW w:w="349" w:type="pct"/>
            <w:vAlign w:val="center"/>
          </w:tcPr>
          <w:p w14:paraId="0D56AB19"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3</w:t>
            </w:r>
          </w:p>
        </w:tc>
        <w:tc>
          <w:tcPr>
            <w:tcW w:w="926" w:type="pct"/>
            <w:vAlign w:val="center"/>
          </w:tcPr>
          <w:p w14:paraId="50EEA231"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尼龙</w:t>
            </w:r>
            <w:r w:rsidRPr="0053271F">
              <w:rPr>
                <w:rFonts w:ascii="Calibri" w:hAnsi="Calibri"/>
                <w:color w:val="auto"/>
                <w:szCs w:val="21"/>
              </w:rPr>
              <w:t>12</w:t>
            </w:r>
            <w:r w:rsidRPr="0053271F">
              <w:rPr>
                <w:rFonts w:ascii="Calibri" w:hAnsi="Calibri"/>
                <w:color w:val="auto"/>
                <w:szCs w:val="21"/>
              </w:rPr>
              <w:t>盐</w:t>
            </w:r>
          </w:p>
        </w:tc>
        <w:tc>
          <w:tcPr>
            <w:tcW w:w="1842" w:type="pct"/>
            <w:vAlign w:val="center"/>
          </w:tcPr>
          <w:p w14:paraId="6DD10FE9"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原料仓库，吨袋储存</w:t>
            </w:r>
          </w:p>
        </w:tc>
        <w:tc>
          <w:tcPr>
            <w:tcW w:w="1193" w:type="pct"/>
            <w:vAlign w:val="center"/>
          </w:tcPr>
          <w:p w14:paraId="085C3CE2" w14:textId="77777777" w:rsidR="00C23368" w:rsidRPr="0053271F" w:rsidRDefault="0053271F" w:rsidP="0053271F">
            <w:pPr>
              <w:jc w:val="center"/>
              <w:rPr>
                <w:rFonts w:ascii="Calibri" w:hAnsi="Calibri"/>
                <w:color w:val="auto"/>
                <w:szCs w:val="21"/>
              </w:rPr>
            </w:pPr>
            <w:r w:rsidRPr="0053271F">
              <w:rPr>
                <w:rFonts w:ascii="Calibri" w:hAnsi="Calibri"/>
                <w:color w:val="auto"/>
                <w:szCs w:val="21"/>
              </w:rPr>
              <w:t>290</w:t>
            </w:r>
            <w:r w:rsidR="00C23368" w:rsidRPr="0053271F">
              <w:rPr>
                <w:rFonts w:ascii="Calibri" w:hAnsi="Calibri"/>
                <w:color w:val="auto"/>
                <w:szCs w:val="21"/>
              </w:rPr>
              <w:t>t</w:t>
            </w:r>
          </w:p>
        </w:tc>
        <w:tc>
          <w:tcPr>
            <w:tcW w:w="691" w:type="pct"/>
            <w:vAlign w:val="center"/>
          </w:tcPr>
          <w:p w14:paraId="5598587B"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1920</w:t>
            </w:r>
            <w:r w:rsidR="00C23368" w:rsidRPr="0053271F">
              <w:rPr>
                <w:rFonts w:ascii="Calibri" w:hAnsi="Calibri"/>
                <w:color w:val="auto"/>
                <w:szCs w:val="21"/>
              </w:rPr>
              <w:t>t/a</w:t>
            </w:r>
          </w:p>
        </w:tc>
      </w:tr>
      <w:tr w:rsidR="00C23368" w:rsidRPr="0053271F" w14:paraId="722697D9" w14:textId="77777777" w:rsidTr="007F4462">
        <w:trPr>
          <w:trHeight w:val="340"/>
          <w:jc w:val="center"/>
        </w:trPr>
        <w:tc>
          <w:tcPr>
            <w:tcW w:w="349" w:type="pct"/>
            <w:vAlign w:val="center"/>
          </w:tcPr>
          <w:p w14:paraId="72442982"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4</w:t>
            </w:r>
          </w:p>
        </w:tc>
        <w:tc>
          <w:tcPr>
            <w:tcW w:w="926" w:type="pct"/>
            <w:vAlign w:val="center"/>
          </w:tcPr>
          <w:p w14:paraId="3BF961B4"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次磷酸钠</w:t>
            </w:r>
          </w:p>
        </w:tc>
        <w:tc>
          <w:tcPr>
            <w:tcW w:w="1842" w:type="pct"/>
            <w:vAlign w:val="center"/>
          </w:tcPr>
          <w:p w14:paraId="69260B6F"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原料仓库，</w:t>
            </w:r>
            <w:r w:rsidRPr="0053271F">
              <w:rPr>
                <w:rFonts w:ascii="Calibri" w:hAnsi="Calibri"/>
                <w:color w:val="auto"/>
                <w:szCs w:val="21"/>
              </w:rPr>
              <w:t>20kg</w:t>
            </w:r>
            <w:r w:rsidRPr="0053271F">
              <w:rPr>
                <w:rFonts w:ascii="Calibri" w:hAnsi="Calibri"/>
                <w:color w:val="auto"/>
                <w:szCs w:val="21"/>
              </w:rPr>
              <w:t>袋装</w:t>
            </w:r>
          </w:p>
        </w:tc>
        <w:tc>
          <w:tcPr>
            <w:tcW w:w="1193" w:type="pct"/>
            <w:vAlign w:val="center"/>
          </w:tcPr>
          <w:p w14:paraId="73918161"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0.0</w:t>
            </w:r>
            <w:r w:rsidR="003A0C04" w:rsidRPr="0053271F">
              <w:rPr>
                <w:rFonts w:ascii="Calibri" w:hAnsi="Calibri"/>
                <w:color w:val="auto"/>
                <w:szCs w:val="21"/>
              </w:rPr>
              <w:t>6</w:t>
            </w:r>
            <w:r w:rsidRPr="0053271F">
              <w:rPr>
                <w:rFonts w:ascii="Calibri" w:hAnsi="Calibri"/>
                <w:color w:val="auto"/>
                <w:szCs w:val="21"/>
              </w:rPr>
              <w:t>t</w:t>
            </w:r>
          </w:p>
        </w:tc>
        <w:tc>
          <w:tcPr>
            <w:tcW w:w="691" w:type="pct"/>
            <w:vAlign w:val="center"/>
          </w:tcPr>
          <w:p w14:paraId="301D6132"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0.30</w:t>
            </w:r>
            <w:r w:rsidR="00C23368" w:rsidRPr="0053271F">
              <w:rPr>
                <w:rFonts w:ascii="Calibri" w:hAnsi="Calibri"/>
                <w:color w:val="auto"/>
                <w:szCs w:val="21"/>
              </w:rPr>
              <w:t>t/a</w:t>
            </w:r>
          </w:p>
        </w:tc>
      </w:tr>
      <w:tr w:rsidR="00C23368" w:rsidRPr="0053271F" w14:paraId="26FB275D" w14:textId="77777777" w:rsidTr="007F4462">
        <w:trPr>
          <w:trHeight w:val="340"/>
          <w:jc w:val="center"/>
        </w:trPr>
        <w:tc>
          <w:tcPr>
            <w:tcW w:w="349" w:type="pct"/>
            <w:vAlign w:val="center"/>
          </w:tcPr>
          <w:p w14:paraId="4D9C541F"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5</w:t>
            </w:r>
          </w:p>
        </w:tc>
        <w:tc>
          <w:tcPr>
            <w:tcW w:w="926" w:type="pct"/>
            <w:vAlign w:val="center"/>
          </w:tcPr>
          <w:p w14:paraId="0153FF82"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管道天然气（以甲烷计）</w:t>
            </w:r>
          </w:p>
        </w:tc>
        <w:tc>
          <w:tcPr>
            <w:tcW w:w="1842" w:type="pct"/>
            <w:vAlign w:val="center"/>
          </w:tcPr>
          <w:p w14:paraId="0E7DD454"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管道输送（厂内管线长</w:t>
            </w:r>
            <w:r w:rsidRPr="0053271F">
              <w:rPr>
                <w:rFonts w:ascii="Calibri" w:hAnsi="Calibri"/>
                <w:color w:val="auto"/>
                <w:szCs w:val="21"/>
              </w:rPr>
              <w:t>270m</w:t>
            </w:r>
            <w:r w:rsidRPr="0053271F">
              <w:rPr>
                <w:rFonts w:ascii="Calibri" w:hAnsi="Calibri"/>
                <w:color w:val="auto"/>
                <w:szCs w:val="21"/>
              </w:rPr>
              <w:t>，直径</w:t>
            </w:r>
            <w:r w:rsidRPr="0053271F">
              <w:rPr>
                <w:rFonts w:ascii="Calibri" w:hAnsi="Calibri"/>
                <w:color w:val="auto"/>
                <w:szCs w:val="21"/>
              </w:rPr>
              <w:t>DN200mm</w:t>
            </w:r>
            <w:r w:rsidRPr="0053271F">
              <w:rPr>
                <w:rFonts w:ascii="Calibri" w:hAnsi="Calibri"/>
                <w:color w:val="auto"/>
                <w:szCs w:val="21"/>
              </w:rPr>
              <w:t>）</w:t>
            </w:r>
          </w:p>
        </w:tc>
        <w:tc>
          <w:tcPr>
            <w:tcW w:w="1193" w:type="pct"/>
            <w:vAlign w:val="center"/>
          </w:tcPr>
          <w:p w14:paraId="0C47538A"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管线存量</w:t>
            </w:r>
            <w:r w:rsidRPr="0053271F">
              <w:rPr>
                <w:rFonts w:ascii="Calibri" w:hAnsi="Calibri"/>
                <w:color w:val="auto"/>
                <w:szCs w:val="21"/>
              </w:rPr>
              <w:t>10.26m</w:t>
            </w:r>
            <w:r w:rsidRPr="007F4462">
              <w:rPr>
                <w:rFonts w:ascii="Calibri" w:hAnsi="Calibri"/>
                <w:color w:val="auto"/>
                <w:szCs w:val="21"/>
                <w:vertAlign w:val="superscript"/>
              </w:rPr>
              <w:t>3</w:t>
            </w:r>
            <w:r w:rsidRPr="0053271F">
              <w:rPr>
                <w:rFonts w:ascii="Calibri" w:hAnsi="Calibri"/>
                <w:color w:val="auto"/>
                <w:szCs w:val="21"/>
              </w:rPr>
              <w:t>，折合</w:t>
            </w:r>
            <w:r w:rsidRPr="0053271F">
              <w:rPr>
                <w:rFonts w:ascii="Calibri" w:hAnsi="Calibri"/>
                <w:color w:val="auto"/>
                <w:szCs w:val="21"/>
              </w:rPr>
              <w:t>0.0074t</w:t>
            </w:r>
          </w:p>
        </w:tc>
        <w:tc>
          <w:tcPr>
            <w:tcW w:w="691" w:type="pct"/>
            <w:vAlign w:val="center"/>
          </w:tcPr>
          <w:p w14:paraId="275C9CE1"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167.8</w:t>
            </w:r>
            <w:r w:rsidR="00C23368" w:rsidRPr="0053271F">
              <w:rPr>
                <w:rFonts w:ascii="Calibri" w:hAnsi="Calibri"/>
                <w:color w:val="auto"/>
                <w:szCs w:val="21"/>
              </w:rPr>
              <w:t>万</w:t>
            </w:r>
            <w:r w:rsidR="00C23368" w:rsidRPr="0053271F">
              <w:rPr>
                <w:rFonts w:ascii="Calibri" w:hAnsi="Calibri"/>
                <w:color w:val="auto"/>
                <w:szCs w:val="21"/>
              </w:rPr>
              <w:t>m3</w:t>
            </w:r>
          </w:p>
        </w:tc>
      </w:tr>
      <w:tr w:rsidR="00C23368" w:rsidRPr="0053271F" w14:paraId="7CBFCC3F" w14:textId="77777777" w:rsidTr="007F4462">
        <w:trPr>
          <w:trHeight w:val="340"/>
          <w:jc w:val="center"/>
        </w:trPr>
        <w:tc>
          <w:tcPr>
            <w:tcW w:w="349" w:type="pct"/>
            <w:vAlign w:val="center"/>
          </w:tcPr>
          <w:p w14:paraId="0C21DEC9"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6</w:t>
            </w:r>
          </w:p>
        </w:tc>
        <w:tc>
          <w:tcPr>
            <w:tcW w:w="926" w:type="pct"/>
            <w:vAlign w:val="center"/>
          </w:tcPr>
          <w:p w14:paraId="0A6C8580"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导热油</w:t>
            </w:r>
          </w:p>
        </w:tc>
        <w:tc>
          <w:tcPr>
            <w:tcW w:w="1842" w:type="pct"/>
            <w:vAlign w:val="center"/>
          </w:tcPr>
          <w:p w14:paraId="004A2B60"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导热油炉间</w:t>
            </w:r>
          </w:p>
        </w:tc>
        <w:tc>
          <w:tcPr>
            <w:tcW w:w="1193" w:type="pct"/>
            <w:vAlign w:val="center"/>
          </w:tcPr>
          <w:p w14:paraId="386EAF9F"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14t</w:t>
            </w:r>
          </w:p>
        </w:tc>
        <w:tc>
          <w:tcPr>
            <w:tcW w:w="691" w:type="pct"/>
            <w:vAlign w:val="center"/>
          </w:tcPr>
          <w:p w14:paraId="09542944"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w:t>
            </w:r>
          </w:p>
        </w:tc>
      </w:tr>
      <w:tr w:rsidR="009E4E1D" w:rsidRPr="0053271F" w14:paraId="17DCAB71" w14:textId="77777777" w:rsidTr="007F4462">
        <w:trPr>
          <w:trHeight w:val="340"/>
          <w:jc w:val="center"/>
        </w:trPr>
        <w:tc>
          <w:tcPr>
            <w:tcW w:w="349" w:type="pct"/>
            <w:vAlign w:val="center"/>
          </w:tcPr>
          <w:p w14:paraId="650B9614" w14:textId="77777777" w:rsidR="009E4E1D" w:rsidRPr="0053271F" w:rsidRDefault="009E4E1D" w:rsidP="0053271F">
            <w:pPr>
              <w:jc w:val="center"/>
              <w:rPr>
                <w:rFonts w:ascii="Calibri" w:hAnsi="Calibri"/>
                <w:color w:val="auto"/>
                <w:szCs w:val="21"/>
              </w:rPr>
            </w:pPr>
            <w:r w:rsidRPr="0053271F">
              <w:rPr>
                <w:rFonts w:ascii="Calibri" w:hAnsi="Calibri"/>
                <w:color w:val="auto"/>
                <w:szCs w:val="21"/>
              </w:rPr>
              <w:t>7</w:t>
            </w:r>
          </w:p>
        </w:tc>
        <w:tc>
          <w:tcPr>
            <w:tcW w:w="926" w:type="pct"/>
            <w:vAlign w:val="center"/>
          </w:tcPr>
          <w:p w14:paraId="08896D96" w14:textId="77777777" w:rsidR="009E4E1D" w:rsidRPr="0053271F" w:rsidRDefault="009E4E1D" w:rsidP="0053271F">
            <w:pPr>
              <w:jc w:val="center"/>
              <w:rPr>
                <w:rFonts w:ascii="Calibri" w:hAnsi="Calibri"/>
                <w:color w:val="auto"/>
                <w:szCs w:val="21"/>
              </w:rPr>
            </w:pPr>
            <w:r w:rsidRPr="0053271F">
              <w:rPr>
                <w:rFonts w:ascii="Calibri" w:hAnsi="Calibri"/>
                <w:color w:val="auto"/>
                <w:szCs w:val="21"/>
              </w:rPr>
              <w:t>废机油</w:t>
            </w:r>
          </w:p>
        </w:tc>
        <w:tc>
          <w:tcPr>
            <w:tcW w:w="1842" w:type="pct"/>
            <w:vAlign w:val="center"/>
          </w:tcPr>
          <w:p w14:paraId="1B3DD1AF" w14:textId="77777777" w:rsidR="009E4E1D" w:rsidRPr="0053271F" w:rsidRDefault="009E4E1D" w:rsidP="0053271F">
            <w:pPr>
              <w:jc w:val="center"/>
              <w:rPr>
                <w:rFonts w:ascii="Calibri" w:hAnsi="Calibri"/>
                <w:color w:val="auto"/>
                <w:szCs w:val="21"/>
              </w:rPr>
            </w:pPr>
            <w:r w:rsidRPr="0053271F">
              <w:rPr>
                <w:rFonts w:ascii="Calibri" w:hAnsi="Calibri"/>
                <w:color w:val="auto"/>
                <w:szCs w:val="21"/>
              </w:rPr>
              <w:t>危废暂存间</w:t>
            </w:r>
          </w:p>
        </w:tc>
        <w:tc>
          <w:tcPr>
            <w:tcW w:w="1193" w:type="pct"/>
            <w:vAlign w:val="center"/>
          </w:tcPr>
          <w:p w14:paraId="2DA1F746" w14:textId="77777777" w:rsidR="009E4E1D" w:rsidRPr="0053271F" w:rsidRDefault="009E4E1D" w:rsidP="0053271F">
            <w:pPr>
              <w:jc w:val="center"/>
              <w:rPr>
                <w:rFonts w:ascii="Calibri" w:hAnsi="Calibri"/>
                <w:color w:val="auto"/>
                <w:szCs w:val="21"/>
              </w:rPr>
            </w:pPr>
            <w:r w:rsidRPr="0053271F">
              <w:rPr>
                <w:rFonts w:ascii="Calibri" w:hAnsi="Calibri"/>
                <w:color w:val="auto"/>
                <w:szCs w:val="21"/>
              </w:rPr>
              <w:t>0.5t</w:t>
            </w:r>
          </w:p>
        </w:tc>
        <w:tc>
          <w:tcPr>
            <w:tcW w:w="691" w:type="pct"/>
            <w:vAlign w:val="center"/>
          </w:tcPr>
          <w:p w14:paraId="399803F5" w14:textId="77777777" w:rsidR="009E4E1D" w:rsidRPr="0053271F" w:rsidRDefault="009E4E1D" w:rsidP="0053271F">
            <w:pPr>
              <w:jc w:val="center"/>
              <w:rPr>
                <w:rFonts w:ascii="Calibri" w:hAnsi="Calibri"/>
                <w:color w:val="auto"/>
                <w:szCs w:val="21"/>
              </w:rPr>
            </w:pPr>
            <w:r w:rsidRPr="0053271F">
              <w:rPr>
                <w:rFonts w:ascii="Calibri" w:hAnsi="Calibri"/>
                <w:color w:val="auto"/>
                <w:szCs w:val="21"/>
              </w:rPr>
              <w:t>0.5t</w:t>
            </w:r>
          </w:p>
        </w:tc>
      </w:tr>
      <w:tr w:rsidR="00C23368" w:rsidRPr="0053271F" w14:paraId="2FDAF3C1" w14:textId="77777777" w:rsidTr="007F4462">
        <w:trPr>
          <w:trHeight w:val="340"/>
          <w:jc w:val="center"/>
        </w:trPr>
        <w:tc>
          <w:tcPr>
            <w:tcW w:w="349" w:type="pct"/>
            <w:vAlign w:val="center"/>
          </w:tcPr>
          <w:p w14:paraId="07A9D4F0" w14:textId="77777777" w:rsidR="00C23368" w:rsidRPr="0053271F" w:rsidRDefault="009E4E1D" w:rsidP="0053271F">
            <w:pPr>
              <w:jc w:val="center"/>
              <w:rPr>
                <w:rFonts w:ascii="Calibri" w:hAnsi="Calibri"/>
                <w:color w:val="auto"/>
                <w:szCs w:val="21"/>
              </w:rPr>
            </w:pPr>
            <w:r w:rsidRPr="0053271F">
              <w:rPr>
                <w:rFonts w:ascii="Calibri" w:hAnsi="Calibri"/>
                <w:color w:val="auto"/>
                <w:szCs w:val="21"/>
              </w:rPr>
              <w:t>8</w:t>
            </w:r>
          </w:p>
        </w:tc>
        <w:tc>
          <w:tcPr>
            <w:tcW w:w="926" w:type="pct"/>
            <w:vAlign w:val="center"/>
          </w:tcPr>
          <w:p w14:paraId="195AA839"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甲酸试剂</w:t>
            </w:r>
          </w:p>
        </w:tc>
        <w:tc>
          <w:tcPr>
            <w:tcW w:w="1842" w:type="pct"/>
            <w:vMerge w:val="restart"/>
            <w:vAlign w:val="center"/>
          </w:tcPr>
          <w:p w14:paraId="45F44C8D" w14:textId="77777777" w:rsidR="00C23368" w:rsidRPr="0053271F" w:rsidRDefault="00852DCA" w:rsidP="0053271F">
            <w:pPr>
              <w:jc w:val="center"/>
              <w:rPr>
                <w:rFonts w:ascii="Calibri" w:hAnsi="Calibri"/>
                <w:color w:val="auto"/>
                <w:szCs w:val="21"/>
              </w:rPr>
            </w:pPr>
            <w:r>
              <w:rPr>
                <w:rFonts w:ascii="Calibri" w:hAnsi="Calibri" w:hint="eastAsia"/>
                <w:color w:val="auto"/>
                <w:szCs w:val="21"/>
              </w:rPr>
              <w:t>品控</w:t>
            </w:r>
            <w:r>
              <w:rPr>
                <w:rFonts w:ascii="Calibri" w:hAnsi="Calibri"/>
                <w:color w:val="auto"/>
                <w:szCs w:val="21"/>
              </w:rPr>
              <w:t>中心</w:t>
            </w:r>
          </w:p>
        </w:tc>
        <w:tc>
          <w:tcPr>
            <w:tcW w:w="1193" w:type="pct"/>
            <w:vAlign w:val="center"/>
          </w:tcPr>
          <w:p w14:paraId="48299FC1"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20L</w:t>
            </w:r>
            <w:r w:rsidR="00C23368" w:rsidRPr="0053271F">
              <w:rPr>
                <w:rFonts w:ascii="Calibri" w:hAnsi="Calibri"/>
                <w:color w:val="auto"/>
                <w:szCs w:val="21"/>
              </w:rPr>
              <w:t>，折合</w:t>
            </w:r>
            <w:r w:rsidR="00C23368" w:rsidRPr="0053271F">
              <w:rPr>
                <w:rFonts w:ascii="Calibri" w:hAnsi="Calibri"/>
                <w:color w:val="auto"/>
                <w:szCs w:val="21"/>
              </w:rPr>
              <w:t>0.0</w:t>
            </w:r>
            <w:r w:rsidRPr="0053271F">
              <w:rPr>
                <w:rFonts w:ascii="Calibri" w:hAnsi="Calibri"/>
                <w:color w:val="auto"/>
                <w:szCs w:val="21"/>
              </w:rPr>
              <w:t>24</w:t>
            </w:r>
            <w:r w:rsidR="00C23368" w:rsidRPr="0053271F">
              <w:rPr>
                <w:rFonts w:ascii="Calibri" w:hAnsi="Calibri"/>
                <w:color w:val="auto"/>
                <w:szCs w:val="21"/>
              </w:rPr>
              <w:t>t</w:t>
            </w:r>
          </w:p>
        </w:tc>
        <w:tc>
          <w:tcPr>
            <w:tcW w:w="691" w:type="pct"/>
            <w:vAlign w:val="center"/>
          </w:tcPr>
          <w:p w14:paraId="7FE2837B"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0.024t</w:t>
            </w:r>
          </w:p>
        </w:tc>
      </w:tr>
      <w:tr w:rsidR="00C23368" w:rsidRPr="0053271F" w14:paraId="2EB6A8F1" w14:textId="77777777" w:rsidTr="007F4462">
        <w:trPr>
          <w:trHeight w:val="340"/>
          <w:jc w:val="center"/>
        </w:trPr>
        <w:tc>
          <w:tcPr>
            <w:tcW w:w="349" w:type="pct"/>
            <w:vAlign w:val="center"/>
          </w:tcPr>
          <w:p w14:paraId="7DC60681" w14:textId="77777777" w:rsidR="00C23368" w:rsidRPr="0053271F" w:rsidRDefault="009E4E1D" w:rsidP="0053271F">
            <w:pPr>
              <w:jc w:val="center"/>
              <w:rPr>
                <w:rFonts w:ascii="Calibri" w:hAnsi="Calibri"/>
                <w:color w:val="auto"/>
                <w:szCs w:val="21"/>
              </w:rPr>
            </w:pPr>
            <w:r w:rsidRPr="0053271F">
              <w:rPr>
                <w:rFonts w:ascii="Calibri" w:hAnsi="Calibri"/>
                <w:color w:val="auto"/>
                <w:szCs w:val="21"/>
              </w:rPr>
              <w:t>9</w:t>
            </w:r>
          </w:p>
        </w:tc>
        <w:tc>
          <w:tcPr>
            <w:tcW w:w="926" w:type="pct"/>
            <w:vAlign w:val="center"/>
          </w:tcPr>
          <w:p w14:paraId="30F48970"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乙醇试剂</w:t>
            </w:r>
          </w:p>
        </w:tc>
        <w:tc>
          <w:tcPr>
            <w:tcW w:w="1842" w:type="pct"/>
            <w:vMerge/>
            <w:vAlign w:val="center"/>
          </w:tcPr>
          <w:p w14:paraId="304949DB" w14:textId="77777777" w:rsidR="00C23368" w:rsidRPr="0053271F" w:rsidRDefault="00C23368" w:rsidP="0053271F">
            <w:pPr>
              <w:jc w:val="center"/>
              <w:rPr>
                <w:rFonts w:ascii="Calibri" w:hAnsi="Calibri"/>
                <w:color w:val="auto"/>
                <w:szCs w:val="21"/>
              </w:rPr>
            </w:pPr>
          </w:p>
        </w:tc>
        <w:tc>
          <w:tcPr>
            <w:tcW w:w="1193" w:type="pct"/>
            <w:vAlign w:val="center"/>
          </w:tcPr>
          <w:p w14:paraId="06A32AEF"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20L</w:t>
            </w:r>
            <w:r w:rsidRPr="0053271F">
              <w:rPr>
                <w:rFonts w:ascii="Calibri" w:hAnsi="Calibri"/>
                <w:color w:val="auto"/>
                <w:szCs w:val="21"/>
              </w:rPr>
              <w:t>，折合</w:t>
            </w:r>
            <w:r w:rsidRPr="0053271F">
              <w:rPr>
                <w:rFonts w:ascii="Calibri" w:hAnsi="Calibri"/>
                <w:color w:val="auto"/>
                <w:szCs w:val="21"/>
              </w:rPr>
              <w:t>0.016t</w:t>
            </w:r>
          </w:p>
        </w:tc>
        <w:tc>
          <w:tcPr>
            <w:tcW w:w="691" w:type="pct"/>
            <w:vAlign w:val="center"/>
          </w:tcPr>
          <w:p w14:paraId="3CB2B42B"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0.016t</w:t>
            </w:r>
          </w:p>
        </w:tc>
      </w:tr>
      <w:tr w:rsidR="00C23368" w:rsidRPr="0053271F" w14:paraId="067ACBB9" w14:textId="77777777" w:rsidTr="007F4462">
        <w:trPr>
          <w:trHeight w:val="340"/>
          <w:jc w:val="center"/>
        </w:trPr>
        <w:tc>
          <w:tcPr>
            <w:tcW w:w="349" w:type="pct"/>
            <w:vAlign w:val="center"/>
          </w:tcPr>
          <w:p w14:paraId="307BFECB" w14:textId="77777777" w:rsidR="00C23368" w:rsidRPr="0053271F" w:rsidRDefault="009E4E1D" w:rsidP="0053271F">
            <w:pPr>
              <w:jc w:val="center"/>
              <w:rPr>
                <w:rFonts w:ascii="Calibri" w:hAnsi="Calibri"/>
                <w:color w:val="auto"/>
                <w:szCs w:val="21"/>
              </w:rPr>
            </w:pPr>
            <w:r w:rsidRPr="0053271F">
              <w:rPr>
                <w:rFonts w:ascii="Calibri" w:hAnsi="Calibri"/>
                <w:color w:val="auto"/>
                <w:szCs w:val="21"/>
              </w:rPr>
              <w:t>10</w:t>
            </w:r>
          </w:p>
        </w:tc>
        <w:tc>
          <w:tcPr>
            <w:tcW w:w="926" w:type="pct"/>
            <w:vAlign w:val="center"/>
          </w:tcPr>
          <w:p w14:paraId="1FEA7209"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0.02M</w:t>
            </w:r>
            <w:r w:rsidRPr="0053271F">
              <w:rPr>
                <w:rFonts w:ascii="Calibri" w:hAnsi="Calibri"/>
                <w:color w:val="auto"/>
                <w:szCs w:val="21"/>
              </w:rPr>
              <w:t>盐酸</w:t>
            </w:r>
          </w:p>
        </w:tc>
        <w:tc>
          <w:tcPr>
            <w:tcW w:w="1842" w:type="pct"/>
            <w:vMerge/>
            <w:vAlign w:val="center"/>
          </w:tcPr>
          <w:p w14:paraId="00259745" w14:textId="77777777" w:rsidR="00C23368" w:rsidRPr="0053271F" w:rsidRDefault="00C23368" w:rsidP="0053271F">
            <w:pPr>
              <w:jc w:val="center"/>
              <w:rPr>
                <w:rFonts w:ascii="Calibri" w:hAnsi="Calibri"/>
                <w:color w:val="auto"/>
                <w:szCs w:val="21"/>
              </w:rPr>
            </w:pPr>
          </w:p>
        </w:tc>
        <w:tc>
          <w:tcPr>
            <w:tcW w:w="1193" w:type="pct"/>
            <w:vAlign w:val="center"/>
          </w:tcPr>
          <w:p w14:paraId="3D28D6EE"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20L</w:t>
            </w:r>
            <w:r w:rsidRPr="0053271F">
              <w:rPr>
                <w:rFonts w:ascii="Calibri" w:hAnsi="Calibri"/>
                <w:color w:val="auto"/>
                <w:szCs w:val="21"/>
              </w:rPr>
              <w:t>，折合</w:t>
            </w:r>
            <w:r w:rsidRPr="0053271F">
              <w:rPr>
                <w:rFonts w:ascii="Calibri" w:hAnsi="Calibri"/>
                <w:color w:val="auto"/>
                <w:szCs w:val="21"/>
              </w:rPr>
              <w:t>0.02t</w:t>
            </w:r>
          </w:p>
        </w:tc>
        <w:tc>
          <w:tcPr>
            <w:tcW w:w="691" w:type="pct"/>
            <w:vAlign w:val="center"/>
          </w:tcPr>
          <w:p w14:paraId="62CA5063"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0.02t</w:t>
            </w:r>
          </w:p>
        </w:tc>
      </w:tr>
      <w:tr w:rsidR="00C23368" w:rsidRPr="0053271F" w14:paraId="49907BEC" w14:textId="77777777" w:rsidTr="007F4462">
        <w:trPr>
          <w:trHeight w:val="340"/>
          <w:jc w:val="center"/>
        </w:trPr>
        <w:tc>
          <w:tcPr>
            <w:tcW w:w="349" w:type="pct"/>
            <w:vAlign w:val="center"/>
          </w:tcPr>
          <w:p w14:paraId="2FE61EF2" w14:textId="77777777" w:rsidR="00C23368" w:rsidRPr="0053271F" w:rsidRDefault="009E4E1D" w:rsidP="0053271F">
            <w:pPr>
              <w:jc w:val="center"/>
              <w:rPr>
                <w:rFonts w:ascii="Calibri" w:hAnsi="Calibri"/>
                <w:color w:val="auto"/>
                <w:szCs w:val="21"/>
              </w:rPr>
            </w:pPr>
            <w:r w:rsidRPr="0053271F">
              <w:rPr>
                <w:rFonts w:ascii="Calibri" w:hAnsi="Calibri"/>
                <w:color w:val="auto"/>
                <w:szCs w:val="21"/>
              </w:rPr>
              <w:t>11</w:t>
            </w:r>
          </w:p>
        </w:tc>
        <w:tc>
          <w:tcPr>
            <w:tcW w:w="926" w:type="pct"/>
            <w:vAlign w:val="center"/>
          </w:tcPr>
          <w:p w14:paraId="2A3E003C"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0.02M</w:t>
            </w:r>
            <w:r w:rsidRPr="0053271F">
              <w:rPr>
                <w:rFonts w:ascii="Calibri" w:hAnsi="Calibri"/>
                <w:color w:val="auto"/>
                <w:szCs w:val="21"/>
              </w:rPr>
              <w:t>氢氧化钠</w:t>
            </w:r>
          </w:p>
        </w:tc>
        <w:tc>
          <w:tcPr>
            <w:tcW w:w="1842" w:type="pct"/>
            <w:vMerge/>
            <w:vAlign w:val="center"/>
          </w:tcPr>
          <w:p w14:paraId="279BBADE" w14:textId="77777777" w:rsidR="00C23368" w:rsidRPr="0053271F" w:rsidRDefault="00C23368" w:rsidP="0053271F">
            <w:pPr>
              <w:jc w:val="center"/>
              <w:rPr>
                <w:rFonts w:ascii="Calibri" w:hAnsi="Calibri"/>
                <w:color w:val="auto"/>
                <w:szCs w:val="21"/>
              </w:rPr>
            </w:pPr>
          </w:p>
        </w:tc>
        <w:tc>
          <w:tcPr>
            <w:tcW w:w="1193" w:type="pct"/>
            <w:vAlign w:val="center"/>
          </w:tcPr>
          <w:p w14:paraId="1C5C8B8D"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20L</w:t>
            </w:r>
            <w:r w:rsidRPr="0053271F">
              <w:rPr>
                <w:rFonts w:ascii="Calibri" w:hAnsi="Calibri"/>
                <w:color w:val="auto"/>
                <w:szCs w:val="21"/>
              </w:rPr>
              <w:t>，折合</w:t>
            </w:r>
            <w:r w:rsidRPr="0053271F">
              <w:rPr>
                <w:rFonts w:ascii="Calibri" w:hAnsi="Calibri"/>
                <w:color w:val="auto"/>
                <w:szCs w:val="21"/>
              </w:rPr>
              <w:t>0.02t</w:t>
            </w:r>
          </w:p>
        </w:tc>
        <w:tc>
          <w:tcPr>
            <w:tcW w:w="691" w:type="pct"/>
            <w:vAlign w:val="center"/>
          </w:tcPr>
          <w:p w14:paraId="25625CD7"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0.02t</w:t>
            </w:r>
          </w:p>
        </w:tc>
      </w:tr>
      <w:tr w:rsidR="00C23368" w:rsidRPr="0053271F" w14:paraId="0CCDB0B6" w14:textId="77777777" w:rsidTr="007F4462">
        <w:trPr>
          <w:trHeight w:val="340"/>
          <w:jc w:val="center"/>
        </w:trPr>
        <w:tc>
          <w:tcPr>
            <w:tcW w:w="349" w:type="pct"/>
            <w:vAlign w:val="center"/>
          </w:tcPr>
          <w:p w14:paraId="46EEE214" w14:textId="77777777" w:rsidR="00C23368" w:rsidRPr="0053271F" w:rsidRDefault="009E4E1D" w:rsidP="0053271F">
            <w:pPr>
              <w:jc w:val="center"/>
              <w:rPr>
                <w:rFonts w:ascii="Calibri" w:hAnsi="Calibri"/>
                <w:color w:val="auto"/>
                <w:szCs w:val="21"/>
              </w:rPr>
            </w:pPr>
            <w:r w:rsidRPr="0053271F">
              <w:rPr>
                <w:rFonts w:ascii="Calibri" w:hAnsi="Calibri"/>
                <w:color w:val="auto"/>
                <w:szCs w:val="21"/>
              </w:rPr>
              <w:t>12</w:t>
            </w:r>
          </w:p>
        </w:tc>
        <w:tc>
          <w:tcPr>
            <w:tcW w:w="926" w:type="pct"/>
            <w:vAlign w:val="center"/>
          </w:tcPr>
          <w:p w14:paraId="5563EED5" w14:textId="77777777" w:rsidR="00C23368" w:rsidRPr="0053271F" w:rsidRDefault="00C23368" w:rsidP="0053271F">
            <w:pPr>
              <w:jc w:val="center"/>
              <w:rPr>
                <w:rFonts w:ascii="Calibri" w:hAnsi="Calibri"/>
                <w:color w:val="auto"/>
                <w:szCs w:val="21"/>
              </w:rPr>
            </w:pPr>
            <w:r w:rsidRPr="0053271F">
              <w:rPr>
                <w:rFonts w:ascii="Calibri" w:hAnsi="Calibri"/>
                <w:color w:val="auto"/>
                <w:szCs w:val="21"/>
              </w:rPr>
              <w:t>0.5M</w:t>
            </w:r>
            <w:r w:rsidRPr="0053271F">
              <w:rPr>
                <w:rFonts w:ascii="Calibri" w:hAnsi="Calibri"/>
                <w:color w:val="auto"/>
                <w:szCs w:val="21"/>
              </w:rPr>
              <w:t>氢氧化钠</w:t>
            </w:r>
          </w:p>
        </w:tc>
        <w:tc>
          <w:tcPr>
            <w:tcW w:w="1842" w:type="pct"/>
            <w:vMerge/>
            <w:vAlign w:val="center"/>
          </w:tcPr>
          <w:p w14:paraId="75CE4BD9" w14:textId="77777777" w:rsidR="00C23368" w:rsidRPr="0053271F" w:rsidRDefault="00C23368" w:rsidP="0053271F">
            <w:pPr>
              <w:jc w:val="center"/>
              <w:rPr>
                <w:rFonts w:ascii="Calibri" w:hAnsi="Calibri"/>
                <w:color w:val="auto"/>
                <w:szCs w:val="21"/>
              </w:rPr>
            </w:pPr>
          </w:p>
        </w:tc>
        <w:tc>
          <w:tcPr>
            <w:tcW w:w="1193" w:type="pct"/>
            <w:vAlign w:val="center"/>
          </w:tcPr>
          <w:p w14:paraId="0640C84F"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20L</w:t>
            </w:r>
            <w:r w:rsidRPr="0053271F">
              <w:rPr>
                <w:rFonts w:ascii="Calibri" w:hAnsi="Calibri"/>
                <w:color w:val="auto"/>
                <w:szCs w:val="21"/>
              </w:rPr>
              <w:t>，折合</w:t>
            </w:r>
            <w:r w:rsidRPr="0053271F">
              <w:rPr>
                <w:rFonts w:ascii="Calibri" w:hAnsi="Calibri"/>
                <w:color w:val="auto"/>
                <w:szCs w:val="21"/>
              </w:rPr>
              <w:t>0.02t</w:t>
            </w:r>
          </w:p>
        </w:tc>
        <w:tc>
          <w:tcPr>
            <w:tcW w:w="691" w:type="pct"/>
            <w:vAlign w:val="center"/>
          </w:tcPr>
          <w:p w14:paraId="7E513791" w14:textId="77777777" w:rsidR="00C23368" w:rsidRPr="0053271F" w:rsidRDefault="003A0C04" w:rsidP="0053271F">
            <w:pPr>
              <w:jc w:val="center"/>
              <w:rPr>
                <w:rFonts w:ascii="Calibri" w:hAnsi="Calibri"/>
                <w:color w:val="auto"/>
                <w:szCs w:val="21"/>
              </w:rPr>
            </w:pPr>
            <w:r w:rsidRPr="0053271F">
              <w:rPr>
                <w:rFonts w:ascii="Calibri" w:hAnsi="Calibri"/>
                <w:color w:val="auto"/>
                <w:szCs w:val="21"/>
              </w:rPr>
              <w:t>0.02t</w:t>
            </w:r>
          </w:p>
        </w:tc>
      </w:tr>
    </w:tbl>
    <w:p w14:paraId="4A00F37C" w14:textId="77777777" w:rsidR="00C23368" w:rsidRPr="003A0C04" w:rsidRDefault="0055605A" w:rsidP="003A0C04">
      <w:pPr>
        <w:pStyle w:val="ad"/>
        <w:rPr>
          <w:rFonts w:ascii="Calibri" w:hAnsi="Calibri"/>
          <w:color w:val="auto"/>
        </w:rPr>
      </w:pPr>
      <w:r w:rsidRPr="00A964FF">
        <w:rPr>
          <w:rFonts w:ascii="Calibri" w:hAnsi="Calibri" w:hint="eastAsia"/>
          <w:color w:val="auto"/>
        </w:rPr>
        <w:lastRenderedPageBreak/>
        <w:t>4.3.</w:t>
      </w:r>
      <w:r w:rsidR="003A0C04">
        <w:rPr>
          <w:rFonts w:ascii="Calibri" w:hAnsi="Calibri"/>
          <w:color w:val="auto"/>
        </w:rPr>
        <w:t>3</w:t>
      </w:r>
      <w:r w:rsidR="009B52D5" w:rsidRPr="00A964FF">
        <w:rPr>
          <w:rFonts w:ascii="Calibri" w:hAnsi="Calibri" w:hint="eastAsia"/>
          <w:color w:val="auto"/>
        </w:rPr>
        <w:t>风险潜势的判断</w:t>
      </w:r>
    </w:p>
    <w:p w14:paraId="2189ACD2" w14:textId="77777777" w:rsidR="003A0C04" w:rsidRDefault="00FA7810" w:rsidP="003A0C04">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1</w:t>
      </w:r>
      <w:r w:rsidRPr="00A964FF">
        <w:rPr>
          <w:rFonts w:ascii="Calibri" w:hAnsi="Calibri" w:hint="eastAsia"/>
          <w:color w:val="auto"/>
          <w:sz w:val="24"/>
        </w:rPr>
        <w:t>）危险物质数量与临界量比值（</w:t>
      </w:r>
      <w:r w:rsidRPr="00A964FF">
        <w:rPr>
          <w:rFonts w:ascii="Calibri" w:hAnsi="Calibri" w:hint="eastAsia"/>
          <w:color w:val="auto"/>
          <w:sz w:val="24"/>
        </w:rPr>
        <w:t>Q</w:t>
      </w:r>
      <w:r w:rsidRPr="00A964FF">
        <w:rPr>
          <w:rFonts w:ascii="Calibri" w:hAnsi="Calibri" w:hint="eastAsia"/>
          <w:color w:val="auto"/>
          <w:sz w:val="24"/>
        </w:rPr>
        <w:t>）</w:t>
      </w:r>
    </w:p>
    <w:p w14:paraId="39B7C6C9" w14:textId="77777777" w:rsidR="00FA7810" w:rsidRPr="00A964FF" w:rsidRDefault="00FA7810" w:rsidP="00FA7810">
      <w:pPr>
        <w:spacing w:line="520" w:lineRule="exact"/>
        <w:ind w:firstLine="482"/>
        <w:rPr>
          <w:rFonts w:ascii="Calibri" w:hAnsi="Calibri"/>
          <w:color w:val="auto"/>
          <w:sz w:val="24"/>
        </w:rPr>
      </w:pPr>
      <w:r w:rsidRPr="00A964FF">
        <w:rPr>
          <w:rFonts w:ascii="Calibri" w:hAnsi="Calibri" w:hint="eastAsia"/>
          <w:color w:val="auto"/>
          <w:sz w:val="24"/>
        </w:rPr>
        <w:t>计算所涉及的每种危险物质在厂界内的最大存在总量与其在附录</w:t>
      </w:r>
      <w:r w:rsidRPr="00A964FF">
        <w:rPr>
          <w:rFonts w:ascii="Calibri" w:hAnsi="Calibri" w:hint="eastAsia"/>
          <w:color w:val="auto"/>
          <w:sz w:val="24"/>
        </w:rPr>
        <w:t>B</w:t>
      </w:r>
      <w:r w:rsidRPr="00A964FF">
        <w:rPr>
          <w:rFonts w:ascii="Calibri" w:hAnsi="Calibri" w:hint="eastAsia"/>
          <w:color w:val="auto"/>
          <w:sz w:val="24"/>
        </w:rPr>
        <w:t>中对应临界量的比值</w:t>
      </w:r>
      <w:r w:rsidRPr="00A964FF">
        <w:rPr>
          <w:rFonts w:ascii="Calibri" w:hAnsi="Calibri" w:hint="eastAsia"/>
          <w:color w:val="auto"/>
          <w:sz w:val="24"/>
        </w:rPr>
        <w:t>Q</w:t>
      </w:r>
      <w:r w:rsidRPr="00A964FF">
        <w:rPr>
          <w:rFonts w:ascii="Calibri" w:hAnsi="Calibri" w:hint="eastAsia"/>
          <w:color w:val="auto"/>
          <w:sz w:val="24"/>
        </w:rPr>
        <w:t>。在不同厂区的同一物质，按其在厂界内的最大存在总量计算。</w:t>
      </w:r>
    </w:p>
    <w:p w14:paraId="5A51E655" w14:textId="77777777" w:rsidR="00FA7810" w:rsidRPr="00A964FF" w:rsidRDefault="00FA7810" w:rsidP="00FA7810">
      <w:pPr>
        <w:spacing w:line="520" w:lineRule="exact"/>
        <w:ind w:firstLine="482"/>
        <w:rPr>
          <w:rFonts w:ascii="Calibri" w:hAnsi="Calibri"/>
          <w:color w:val="auto"/>
          <w:sz w:val="24"/>
        </w:rPr>
      </w:pPr>
      <w:r w:rsidRPr="00A964FF">
        <w:rPr>
          <w:rFonts w:ascii="Calibri" w:hAnsi="Calibri" w:hint="eastAsia"/>
          <w:color w:val="auto"/>
          <w:sz w:val="24"/>
        </w:rPr>
        <w:t>当只涉及一种危险物质时，计算该物质的总量与其临界量比值，即为</w:t>
      </w:r>
      <w:r w:rsidRPr="00A964FF">
        <w:rPr>
          <w:rFonts w:ascii="Calibri" w:hAnsi="Calibri" w:hint="eastAsia"/>
          <w:color w:val="auto"/>
          <w:sz w:val="24"/>
        </w:rPr>
        <w:t>Q</w:t>
      </w:r>
      <w:r w:rsidRPr="00A964FF">
        <w:rPr>
          <w:rFonts w:ascii="Calibri" w:hAnsi="Calibri" w:hint="eastAsia"/>
          <w:color w:val="auto"/>
          <w:sz w:val="24"/>
        </w:rPr>
        <w:t>。</w:t>
      </w:r>
    </w:p>
    <w:p w14:paraId="12FE3881" w14:textId="77777777" w:rsidR="00FA7810" w:rsidRPr="00A964FF" w:rsidRDefault="00FA7810" w:rsidP="00FA7810">
      <w:pPr>
        <w:spacing w:line="520" w:lineRule="exact"/>
        <w:ind w:firstLine="482"/>
        <w:rPr>
          <w:rFonts w:ascii="Calibri" w:hAnsi="Calibri"/>
          <w:color w:val="auto"/>
          <w:sz w:val="24"/>
        </w:rPr>
      </w:pPr>
      <w:r w:rsidRPr="00A964FF">
        <w:rPr>
          <w:rFonts w:ascii="Calibri" w:hAnsi="Calibri" w:hint="eastAsia"/>
          <w:color w:val="auto"/>
          <w:sz w:val="24"/>
        </w:rPr>
        <w:t>当存在多种危险物质时，则按下式计算物质总量与其临界量比值（</w:t>
      </w:r>
      <w:r w:rsidRPr="00A964FF">
        <w:rPr>
          <w:rFonts w:ascii="Calibri" w:hAnsi="Calibri" w:hint="eastAsia"/>
          <w:color w:val="auto"/>
          <w:sz w:val="24"/>
        </w:rPr>
        <w:t>Q</w:t>
      </w:r>
      <w:r w:rsidRPr="00A964FF">
        <w:rPr>
          <w:rFonts w:ascii="Calibri" w:hAnsi="Calibri" w:hint="eastAsia"/>
          <w:color w:val="auto"/>
          <w:sz w:val="24"/>
        </w:rPr>
        <w:t>）：</w:t>
      </w:r>
    </w:p>
    <w:p w14:paraId="3DCA5660" w14:textId="77777777" w:rsidR="00FA7810" w:rsidRPr="00A964FF" w:rsidRDefault="00FA7810" w:rsidP="00FA7810">
      <w:pPr>
        <w:pStyle w:val="00"/>
        <w:spacing w:line="360" w:lineRule="auto"/>
        <w:ind w:firstLineChars="500" w:firstLine="1205"/>
        <w:rPr>
          <w:rFonts w:ascii="Calibri" w:hAnsi="Calibri"/>
          <w:noProof/>
          <w:color w:val="auto"/>
        </w:rPr>
      </w:pPr>
      <w:r w:rsidRPr="00A964FF">
        <w:rPr>
          <w:rFonts w:ascii="Calibri" w:hAnsi="Calibri"/>
          <w:b/>
          <w:color w:val="auto"/>
          <w:position w:val="-30"/>
        </w:rPr>
        <w:object w:dxaOrig="2020" w:dyaOrig="680" w14:anchorId="26A6DD82">
          <v:shape id="_x0000_i1055" type="#_x0000_t75" style="width:100.8pt;height:31.8pt" o:ole="">
            <v:imagedata r:id="rId90" o:title=""/>
          </v:shape>
          <o:OLEObject Type="Embed" ProgID="Equation.DSMT4" ShapeID="_x0000_i1055" DrawAspect="Content" ObjectID="_1725951975" r:id="rId91"/>
        </w:object>
      </w:r>
    </w:p>
    <w:p w14:paraId="16606C7B" w14:textId="77777777" w:rsidR="00FA7810" w:rsidRPr="00A964FF" w:rsidRDefault="00FA7810" w:rsidP="00FA7810">
      <w:pPr>
        <w:pStyle w:val="00"/>
        <w:rPr>
          <w:rFonts w:ascii="Calibri" w:hAnsi="Calibri"/>
          <w:noProof/>
          <w:color w:val="auto"/>
        </w:rPr>
      </w:pPr>
      <w:r w:rsidRPr="00A964FF">
        <w:rPr>
          <w:rFonts w:ascii="Calibri" w:hAnsi="Calibri" w:hint="eastAsia"/>
          <w:noProof/>
          <w:color w:val="auto"/>
        </w:rPr>
        <w:t>式中：</w:t>
      </w:r>
      <w:r w:rsidRPr="00A964FF">
        <w:rPr>
          <w:rFonts w:ascii="Calibri" w:hAnsi="Calibri" w:hint="eastAsia"/>
          <w:noProof/>
          <w:color w:val="auto"/>
        </w:rPr>
        <w:t>q</w:t>
      </w:r>
      <w:r w:rsidRPr="00A964FF">
        <w:rPr>
          <w:rFonts w:ascii="Calibri" w:hAnsi="Calibri" w:hint="eastAsia"/>
          <w:noProof/>
          <w:color w:val="auto"/>
          <w:vertAlign w:val="subscript"/>
        </w:rPr>
        <w:t>1</w:t>
      </w:r>
      <w:r w:rsidRPr="00A964FF">
        <w:rPr>
          <w:rFonts w:ascii="Calibri" w:hAnsi="Calibri" w:hint="eastAsia"/>
          <w:noProof/>
          <w:color w:val="auto"/>
        </w:rPr>
        <w:t>、</w:t>
      </w:r>
      <w:r w:rsidRPr="00A964FF">
        <w:rPr>
          <w:rFonts w:ascii="Calibri" w:hAnsi="Calibri" w:hint="eastAsia"/>
          <w:noProof/>
          <w:color w:val="auto"/>
        </w:rPr>
        <w:t>q</w:t>
      </w:r>
      <w:r w:rsidRPr="00A964FF">
        <w:rPr>
          <w:rFonts w:ascii="Calibri" w:hAnsi="Calibri" w:hint="eastAsia"/>
          <w:noProof/>
          <w:color w:val="auto"/>
          <w:vertAlign w:val="subscript"/>
        </w:rPr>
        <w:t>2</w:t>
      </w:r>
      <w:r w:rsidRPr="00A964FF">
        <w:rPr>
          <w:rFonts w:ascii="Calibri" w:hAnsi="Calibri" w:hint="eastAsia"/>
          <w:noProof/>
          <w:color w:val="auto"/>
        </w:rPr>
        <w:t>…、</w:t>
      </w:r>
      <w:r w:rsidRPr="00A964FF">
        <w:rPr>
          <w:rFonts w:ascii="Calibri" w:hAnsi="Calibri" w:hint="eastAsia"/>
          <w:noProof/>
          <w:color w:val="auto"/>
        </w:rPr>
        <w:t>q</w:t>
      </w:r>
      <w:r w:rsidRPr="00A964FF">
        <w:rPr>
          <w:rFonts w:ascii="Calibri" w:hAnsi="Calibri" w:hint="eastAsia"/>
          <w:noProof/>
          <w:color w:val="auto"/>
          <w:vertAlign w:val="subscript"/>
        </w:rPr>
        <w:t>n</w:t>
      </w:r>
      <w:r w:rsidRPr="00A964FF">
        <w:rPr>
          <w:rFonts w:ascii="Calibri" w:hAnsi="Calibri" w:hint="eastAsia"/>
          <w:noProof/>
          <w:color w:val="auto"/>
        </w:rPr>
        <w:t>——每种危险物质的最大存在总量，</w:t>
      </w:r>
      <w:r w:rsidRPr="00A964FF">
        <w:rPr>
          <w:rFonts w:ascii="Calibri" w:hAnsi="Calibri" w:hint="eastAsia"/>
          <w:noProof/>
          <w:color w:val="auto"/>
        </w:rPr>
        <w:t>t</w:t>
      </w:r>
      <w:r w:rsidRPr="00A964FF">
        <w:rPr>
          <w:rFonts w:ascii="Calibri" w:hAnsi="Calibri" w:hint="eastAsia"/>
          <w:noProof/>
          <w:color w:val="auto"/>
        </w:rPr>
        <w:t>。</w:t>
      </w:r>
    </w:p>
    <w:p w14:paraId="0C2E68BA" w14:textId="77777777" w:rsidR="00FA7810" w:rsidRPr="00A964FF" w:rsidRDefault="00FA7810" w:rsidP="00FA7810">
      <w:pPr>
        <w:pStyle w:val="00"/>
        <w:ind w:firstLineChars="500" w:firstLine="1200"/>
        <w:rPr>
          <w:rFonts w:ascii="Calibri" w:hAnsi="Calibri"/>
          <w:noProof/>
          <w:color w:val="auto"/>
        </w:rPr>
      </w:pPr>
      <w:r w:rsidRPr="00A964FF">
        <w:rPr>
          <w:rFonts w:ascii="Calibri" w:hAnsi="Calibri" w:hint="eastAsia"/>
          <w:noProof/>
          <w:color w:val="auto"/>
        </w:rPr>
        <w:t>Q</w:t>
      </w:r>
      <w:r w:rsidRPr="00A964FF">
        <w:rPr>
          <w:rFonts w:ascii="Calibri" w:hAnsi="Calibri" w:hint="eastAsia"/>
          <w:noProof/>
          <w:color w:val="auto"/>
          <w:vertAlign w:val="subscript"/>
        </w:rPr>
        <w:t>1</w:t>
      </w:r>
      <w:r w:rsidRPr="00A964FF">
        <w:rPr>
          <w:rFonts w:ascii="Calibri" w:hAnsi="Calibri" w:hint="eastAsia"/>
          <w:noProof/>
          <w:color w:val="auto"/>
        </w:rPr>
        <w:t>、</w:t>
      </w:r>
      <w:r w:rsidRPr="00A964FF">
        <w:rPr>
          <w:rFonts w:ascii="Calibri" w:hAnsi="Calibri" w:hint="eastAsia"/>
          <w:noProof/>
          <w:color w:val="auto"/>
        </w:rPr>
        <w:t>Q</w:t>
      </w:r>
      <w:r w:rsidRPr="00A964FF">
        <w:rPr>
          <w:rFonts w:ascii="Calibri" w:hAnsi="Calibri" w:hint="eastAsia"/>
          <w:noProof/>
          <w:color w:val="auto"/>
          <w:vertAlign w:val="subscript"/>
        </w:rPr>
        <w:t>2</w:t>
      </w:r>
      <w:r w:rsidRPr="00A964FF">
        <w:rPr>
          <w:rFonts w:ascii="Calibri" w:hAnsi="Calibri" w:hint="eastAsia"/>
          <w:noProof/>
          <w:color w:val="auto"/>
        </w:rPr>
        <w:t>…、</w:t>
      </w:r>
      <w:r w:rsidRPr="00A964FF">
        <w:rPr>
          <w:rFonts w:ascii="Calibri" w:hAnsi="Calibri" w:hint="eastAsia"/>
          <w:noProof/>
          <w:color w:val="auto"/>
        </w:rPr>
        <w:t>Q</w:t>
      </w:r>
      <w:r w:rsidRPr="00A964FF">
        <w:rPr>
          <w:rFonts w:ascii="Calibri" w:hAnsi="Calibri" w:hint="eastAsia"/>
          <w:noProof/>
          <w:color w:val="auto"/>
          <w:vertAlign w:val="subscript"/>
        </w:rPr>
        <w:t>n</w:t>
      </w:r>
      <w:r w:rsidRPr="00A964FF">
        <w:rPr>
          <w:rFonts w:ascii="Calibri" w:hAnsi="Calibri" w:hint="eastAsia"/>
          <w:noProof/>
          <w:color w:val="auto"/>
        </w:rPr>
        <w:t>——每种危险物质的临界量，</w:t>
      </w:r>
      <w:r w:rsidRPr="00A964FF">
        <w:rPr>
          <w:rFonts w:ascii="Calibri" w:hAnsi="Calibri" w:hint="eastAsia"/>
          <w:noProof/>
          <w:color w:val="auto"/>
        </w:rPr>
        <w:t>t</w:t>
      </w:r>
      <w:r w:rsidRPr="00A964FF">
        <w:rPr>
          <w:rFonts w:ascii="Calibri" w:hAnsi="Calibri" w:hint="eastAsia"/>
          <w:noProof/>
          <w:color w:val="auto"/>
        </w:rPr>
        <w:t>。</w:t>
      </w:r>
    </w:p>
    <w:p w14:paraId="6B746A54" w14:textId="77777777" w:rsidR="00FA7810" w:rsidRPr="00A964FF" w:rsidRDefault="00FA7810" w:rsidP="00FA7810">
      <w:pPr>
        <w:pStyle w:val="00"/>
        <w:ind w:firstLineChars="500" w:firstLine="1200"/>
        <w:rPr>
          <w:rFonts w:ascii="Calibri" w:hAnsi="Calibri"/>
          <w:noProof/>
          <w:color w:val="auto"/>
        </w:rPr>
      </w:pPr>
      <w:r w:rsidRPr="00A964FF">
        <w:rPr>
          <w:rFonts w:ascii="Calibri" w:hAnsi="Calibri" w:hint="eastAsia"/>
          <w:noProof/>
          <w:color w:val="auto"/>
        </w:rPr>
        <w:t>当</w:t>
      </w:r>
      <w:r w:rsidRPr="00A964FF">
        <w:rPr>
          <w:rFonts w:ascii="Calibri" w:hAnsi="Calibri" w:hint="eastAsia"/>
          <w:noProof/>
          <w:color w:val="auto"/>
        </w:rPr>
        <w:t>Q</w:t>
      </w: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时，该项目环境风险潜势为</w:t>
      </w:r>
      <w:r w:rsidRPr="00A964FF">
        <w:rPr>
          <w:rFonts w:ascii="Calibri" w:hAnsi="Calibri" w:hint="eastAsia"/>
          <w:noProof/>
          <w:color w:val="auto"/>
        </w:rPr>
        <w:t>I</w:t>
      </w:r>
      <w:r w:rsidRPr="00A964FF">
        <w:rPr>
          <w:rFonts w:ascii="Calibri" w:hAnsi="Calibri" w:hint="eastAsia"/>
          <w:noProof/>
          <w:color w:val="auto"/>
        </w:rPr>
        <w:t>。</w:t>
      </w:r>
    </w:p>
    <w:p w14:paraId="6C2012A5" w14:textId="77777777" w:rsidR="00FA7810" w:rsidRPr="00A964FF" w:rsidRDefault="00FA7810" w:rsidP="00FA7810">
      <w:pPr>
        <w:pStyle w:val="00"/>
        <w:ind w:firstLineChars="500" w:firstLine="1200"/>
        <w:rPr>
          <w:rFonts w:ascii="Calibri" w:hAnsi="Calibri"/>
          <w:noProof/>
          <w:color w:val="auto"/>
        </w:rPr>
      </w:pPr>
      <w:r w:rsidRPr="00A964FF">
        <w:rPr>
          <w:rFonts w:ascii="Calibri" w:hAnsi="Calibri" w:hint="eastAsia"/>
          <w:noProof/>
          <w:color w:val="auto"/>
        </w:rPr>
        <w:t>当</w:t>
      </w:r>
      <w:r w:rsidRPr="00A964FF">
        <w:rPr>
          <w:rFonts w:ascii="Calibri" w:hAnsi="Calibri" w:hint="eastAsia"/>
          <w:noProof/>
          <w:color w:val="auto"/>
        </w:rPr>
        <w:t>Q</w:t>
      </w: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时，将</w:t>
      </w:r>
      <w:r w:rsidRPr="00A964FF">
        <w:rPr>
          <w:rFonts w:ascii="Calibri" w:hAnsi="Calibri" w:hint="eastAsia"/>
          <w:noProof/>
          <w:color w:val="auto"/>
        </w:rPr>
        <w:t>Q</w:t>
      </w:r>
      <w:r w:rsidRPr="00A964FF">
        <w:rPr>
          <w:rFonts w:ascii="Calibri" w:hAnsi="Calibri" w:hint="eastAsia"/>
          <w:noProof/>
          <w:color w:val="auto"/>
        </w:rPr>
        <w:t>值划分为：（</w:t>
      </w:r>
      <w:r w:rsidRPr="00A964FF">
        <w:rPr>
          <w:rFonts w:ascii="Calibri" w:hAnsi="Calibri" w:hint="eastAsia"/>
          <w:noProof/>
          <w:color w:val="auto"/>
        </w:rPr>
        <w:t>1</w:t>
      </w: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w:t>
      </w:r>
      <w:r w:rsidRPr="00A964FF">
        <w:rPr>
          <w:rFonts w:ascii="Calibri" w:hAnsi="Calibri" w:hint="eastAsia"/>
          <w:noProof/>
          <w:color w:val="auto"/>
        </w:rPr>
        <w:t>Q</w:t>
      </w:r>
      <w:r w:rsidRPr="00A964FF">
        <w:rPr>
          <w:rFonts w:ascii="Calibri" w:hAnsi="Calibri" w:hint="eastAsia"/>
          <w:noProof/>
          <w:color w:val="auto"/>
        </w:rPr>
        <w:t>＜</w:t>
      </w:r>
      <w:r w:rsidRPr="00A964FF">
        <w:rPr>
          <w:rFonts w:ascii="Calibri" w:hAnsi="Calibri" w:hint="eastAsia"/>
          <w:noProof/>
          <w:color w:val="auto"/>
        </w:rPr>
        <w:t>10</w:t>
      </w:r>
      <w:r w:rsidRPr="00A964FF">
        <w:rPr>
          <w:rFonts w:ascii="Calibri" w:hAnsi="Calibri" w:hint="eastAsia"/>
          <w:noProof/>
          <w:color w:val="auto"/>
        </w:rPr>
        <w:t>；（</w:t>
      </w:r>
      <w:r w:rsidRPr="00A964FF">
        <w:rPr>
          <w:rFonts w:ascii="Calibri" w:hAnsi="Calibri" w:hint="eastAsia"/>
          <w:noProof/>
          <w:color w:val="auto"/>
        </w:rPr>
        <w:t>2</w:t>
      </w:r>
      <w:r w:rsidRPr="00A964FF">
        <w:rPr>
          <w:rFonts w:ascii="Calibri" w:hAnsi="Calibri" w:hint="eastAsia"/>
          <w:noProof/>
          <w:color w:val="auto"/>
        </w:rPr>
        <w:t>）</w:t>
      </w:r>
      <w:r w:rsidRPr="00A964FF">
        <w:rPr>
          <w:rFonts w:ascii="Calibri" w:hAnsi="Calibri" w:hint="eastAsia"/>
          <w:noProof/>
          <w:color w:val="auto"/>
        </w:rPr>
        <w:t>10</w:t>
      </w:r>
      <w:r w:rsidRPr="00A964FF">
        <w:rPr>
          <w:rFonts w:ascii="Calibri" w:hAnsi="Calibri" w:hint="eastAsia"/>
          <w:noProof/>
          <w:color w:val="auto"/>
        </w:rPr>
        <w:t>≤</w:t>
      </w:r>
      <w:r w:rsidRPr="00A964FF">
        <w:rPr>
          <w:rFonts w:ascii="Calibri" w:hAnsi="Calibri" w:hint="eastAsia"/>
          <w:noProof/>
          <w:color w:val="auto"/>
        </w:rPr>
        <w:t>Q</w:t>
      </w:r>
      <w:r w:rsidRPr="00A964FF">
        <w:rPr>
          <w:rFonts w:ascii="Calibri" w:hAnsi="Calibri" w:hint="eastAsia"/>
          <w:noProof/>
          <w:color w:val="auto"/>
        </w:rPr>
        <w:t>＜</w:t>
      </w:r>
      <w:r w:rsidRPr="00A964FF">
        <w:rPr>
          <w:rFonts w:ascii="Calibri" w:hAnsi="Calibri" w:hint="eastAsia"/>
          <w:noProof/>
          <w:color w:val="auto"/>
        </w:rPr>
        <w:t>100</w:t>
      </w:r>
      <w:r w:rsidRPr="00A964FF">
        <w:rPr>
          <w:rFonts w:ascii="Calibri" w:hAnsi="Calibri" w:hint="eastAsia"/>
          <w:noProof/>
          <w:color w:val="auto"/>
        </w:rPr>
        <w:t>；（</w:t>
      </w:r>
      <w:r w:rsidRPr="00A964FF">
        <w:rPr>
          <w:rFonts w:ascii="Calibri" w:hAnsi="Calibri" w:hint="eastAsia"/>
          <w:noProof/>
          <w:color w:val="auto"/>
        </w:rPr>
        <w:t>3</w:t>
      </w:r>
      <w:r w:rsidRPr="00A964FF">
        <w:rPr>
          <w:rFonts w:ascii="Calibri" w:hAnsi="Calibri" w:hint="eastAsia"/>
          <w:noProof/>
          <w:color w:val="auto"/>
        </w:rPr>
        <w:t>）</w:t>
      </w:r>
      <w:r w:rsidRPr="00A964FF">
        <w:rPr>
          <w:rFonts w:ascii="Calibri" w:hAnsi="Calibri" w:hint="eastAsia"/>
          <w:noProof/>
          <w:color w:val="auto"/>
        </w:rPr>
        <w:t>Q</w:t>
      </w:r>
      <w:r w:rsidRPr="00A964FF">
        <w:rPr>
          <w:rFonts w:ascii="Calibri" w:hAnsi="Calibri" w:hint="eastAsia"/>
          <w:noProof/>
          <w:color w:val="auto"/>
        </w:rPr>
        <w:t>≥</w:t>
      </w:r>
      <w:r w:rsidRPr="00A964FF">
        <w:rPr>
          <w:rFonts w:ascii="Calibri" w:hAnsi="Calibri" w:hint="eastAsia"/>
          <w:noProof/>
          <w:color w:val="auto"/>
        </w:rPr>
        <w:t>100</w:t>
      </w:r>
      <w:r w:rsidRPr="00A964FF">
        <w:rPr>
          <w:rFonts w:ascii="Calibri" w:hAnsi="Calibri" w:hint="eastAsia"/>
          <w:noProof/>
          <w:color w:val="auto"/>
        </w:rPr>
        <w:t>。</w:t>
      </w:r>
    </w:p>
    <w:p w14:paraId="25784725" w14:textId="77777777" w:rsidR="00FA7810" w:rsidRPr="00A964FF" w:rsidRDefault="00FA7810" w:rsidP="009B52D5">
      <w:pPr>
        <w:pStyle w:val="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2</w:t>
      </w:r>
      <w:r w:rsidRPr="00A964FF">
        <w:rPr>
          <w:rFonts w:ascii="Calibri" w:hAnsi="Times New Roman" w:hint="eastAsia"/>
          <w:color w:val="auto"/>
        </w:rPr>
        <w:t>）</w:t>
      </w:r>
      <w:r w:rsidRPr="00A964FF">
        <w:rPr>
          <w:rFonts w:ascii="Calibri" w:hAnsi="Times New Roman" w:hint="eastAsia"/>
          <w:color w:val="auto"/>
        </w:rPr>
        <w:t>Q</w:t>
      </w:r>
      <w:r w:rsidRPr="00A964FF">
        <w:rPr>
          <w:rFonts w:ascii="Calibri" w:hAnsi="Times New Roman" w:hint="eastAsia"/>
          <w:color w:val="auto"/>
        </w:rPr>
        <w:t>值计算</w:t>
      </w:r>
    </w:p>
    <w:p w14:paraId="124E0C05" w14:textId="77777777" w:rsidR="003A0C04" w:rsidRPr="003A0C04" w:rsidRDefault="009B52D5" w:rsidP="007F4462">
      <w:pPr>
        <w:pStyle w:val="00"/>
        <w:rPr>
          <w:rFonts w:ascii="Calibri" w:hAnsi="Times New Roman"/>
          <w:color w:val="auto"/>
        </w:rPr>
      </w:pPr>
      <w:r w:rsidRPr="00A964FF">
        <w:rPr>
          <w:rFonts w:ascii="Calibri" w:hAnsi="Times New Roman" w:hint="eastAsia"/>
          <w:color w:val="auto"/>
        </w:rPr>
        <w:t>根据《建设项目环境风险评价技术导则》</w:t>
      </w:r>
      <w:r w:rsidR="00E877B9" w:rsidRPr="00A964FF">
        <w:rPr>
          <w:rFonts w:ascii="Calibri" w:hAnsi="Times New Roman" w:hint="eastAsia"/>
          <w:color w:val="auto"/>
        </w:rPr>
        <w:t>（</w:t>
      </w:r>
      <w:r w:rsidR="00E877B9" w:rsidRPr="00A964FF">
        <w:rPr>
          <w:rFonts w:ascii="Calibri" w:hAnsi="Calibri"/>
          <w:color w:val="auto"/>
        </w:rPr>
        <w:t>HJ169-2018</w:t>
      </w:r>
      <w:r w:rsidR="00E877B9" w:rsidRPr="00A964FF">
        <w:rPr>
          <w:rFonts w:ascii="Calibri" w:hAnsi="Times New Roman" w:hint="eastAsia"/>
          <w:color w:val="auto"/>
        </w:rPr>
        <w:t>）</w:t>
      </w:r>
      <w:r w:rsidRPr="00A964FF">
        <w:rPr>
          <w:rFonts w:ascii="Calibri" w:hAnsi="Times New Roman" w:hint="eastAsia"/>
          <w:color w:val="auto"/>
        </w:rPr>
        <w:t>附录</w:t>
      </w:r>
      <w:r w:rsidRPr="00A964FF">
        <w:rPr>
          <w:rFonts w:ascii="Calibri" w:hAnsi="Calibri"/>
          <w:color w:val="auto"/>
        </w:rPr>
        <w:t>B</w:t>
      </w:r>
      <w:r w:rsidRPr="00A964FF">
        <w:rPr>
          <w:rFonts w:ascii="Calibri" w:hAnsi="Times New Roman" w:hint="eastAsia"/>
          <w:color w:val="auto"/>
        </w:rPr>
        <w:t>突发环境事件风险物质及临界量表列出的风险物质，</w:t>
      </w:r>
      <w:r w:rsidR="003A0C04" w:rsidRPr="003A0C04">
        <w:rPr>
          <w:rFonts w:ascii="Calibri" w:hAnsi="Times New Roman" w:hint="eastAsia"/>
          <w:color w:val="auto"/>
        </w:rPr>
        <w:t>其中甲烷临界量</w:t>
      </w:r>
      <w:r w:rsidR="003A0C04" w:rsidRPr="003A0C04">
        <w:rPr>
          <w:rFonts w:ascii="Calibri" w:hAnsi="Times New Roman" w:hint="eastAsia"/>
          <w:color w:val="auto"/>
        </w:rPr>
        <w:t>10t</w:t>
      </w:r>
      <w:r w:rsidR="003A0C04" w:rsidRPr="003A0C04">
        <w:rPr>
          <w:rFonts w:ascii="Calibri" w:hAnsi="Times New Roman" w:hint="eastAsia"/>
          <w:color w:val="auto"/>
        </w:rPr>
        <w:t>，</w:t>
      </w:r>
      <w:r w:rsidR="003A0C04">
        <w:rPr>
          <w:rFonts w:ascii="Calibri" w:hAnsi="Times New Roman" w:hint="eastAsia"/>
          <w:color w:val="auto"/>
        </w:rPr>
        <w:t>甲酸</w:t>
      </w:r>
      <w:r w:rsidR="003A0C04" w:rsidRPr="003A0C04">
        <w:rPr>
          <w:rFonts w:ascii="Calibri" w:hAnsi="Times New Roman" w:hint="eastAsia"/>
          <w:color w:val="auto"/>
        </w:rPr>
        <w:t>临界量</w:t>
      </w:r>
      <w:r w:rsidR="003A0C04" w:rsidRPr="003A0C04">
        <w:rPr>
          <w:rFonts w:ascii="Calibri" w:hAnsi="Times New Roman" w:hint="eastAsia"/>
          <w:color w:val="auto"/>
        </w:rPr>
        <w:t>10t</w:t>
      </w:r>
      <w:r w:rsidR="003A0C04" w:rsidRPr="003A0C04">
        <w:rPr>
          <w:rFonts w:ascii="Calibri" w:hAnsi="Times New Roman" w:hint="eastAsia"/>
          <w:color w:val="auto"/>
        </w:rPr>
        <w:t>，</w:t>
      </w:r>
      <w:r w:rsidR="003A0C04">
        <w:rPr>
          <w:rFonts w:ascii="Calibri" w:hAnsi="Times New Roman" w:hint="eastAsia"/>
          <w:color w:val="auto"/>
        </w:rPr>
        <w:t>导热油</w:t>
      </w:r>
      <w:r w:rsidR="003A0C04">
        <w:rPr>
          <w:rFonts w:ascii="Calibri" w:hAnsi="Times New Roman"/>
          <w:color w:val="auto"/>
        </w:rPr>
        <w:t>（</w:t>
      </w:r>
      <w:r w:rsidR="003A0C04">
        <w:rPr>
          <w:rFonts w:ascii="Calibri" w:hAnsi="Times New Roman" w:hint="eastAsia"/>
          <w:color w:val="auto"/>
        </w:rPr>
        <w:t>矿物油</w:t>
      </w:r>
      <w:r w:rsidR="003A0C04">
        <w:rPr>
          <w:rFonts w:ascii="Calibri" w:hAnsi="Times New Roman"/>
          <w:color w:val="auto"/>
        </w:rPr>
        <w:t>）</w:t>
      </w:r>
      <w:r w:rsidR="003A0C04">
        <w:rPr>
          <w:rFonts w:ascii="Calibri" w:hAnsi="Times New Roman" w:hint="eastAsia"/>
          <w:color w:val="auto"/>
        </w:rPr>
        <w:t>临界量</w:t>
      </w:r>
      <w:r w:rsidR="003A0C04">
        <w:rPr>
          <w:rFonts w:ascii="Calibri" w:hAnsi="Times New Roman" w:hint="eastAsia"/>
          <w:color w:val="auto"/>
        </w:rPr>
        <w:t>2500</w:t>
      </w:r>
      <w:r w:rsidR="003A0C04">
        <w:rPr>
          <w:rFonts w:ascii="Calibri" w:hAnsi="Times New Roman"/>
          <w:color w:val="auto"/>
        </w:rPr>
        <w:t>t</w:t>
      </w:r>
      <w:r w:rsidR="007528DF">
        <w:rPr>
          <w:rFonts w:ascii="Calibri" w:hAnsi="Times New Roman" w:hint="eastAsia"/>
          <w:color w:val="auto"/>
        </w:rPr>
        <w:t>，</w:t>
      </w:r>
      <w:r w:rsidR="007528DF">
        <w:rPr>
          <w:rFonts w:ascii="Calibri" w:hAnsi="Times New Roman" w:hint="eastAsia"/>
          <w:color w:val="auto"/>
        </w:rPr>
        <w:t>37%</w:t>
      </w:r>
      <w:r w:rsidR="007528DF">
        <w:rPr>
          <w:rFonts w:ascii="Calibri" w:hAnsi="Times New Roman" w:hint="eastAsia"/>
          <w:color w:val="auto"/>
        </w:rPr>
        <w:t>盐酸临界量</w:t>
      </w:r>
      <w:r w:rsidR="007528DF">
        <w:rPr>
          <w:rFonts w:ascii="Calibri" w:hAnsi="Times New Roman" w:hint="eastAsia"/>
          <w:color w:val="auto"/>
        </w:rPr>
        <w:t>7.5</w:t>
      </w:r>
      <w:r w:rsidR="007528DF">
        <w:rPr>
          <w:rFonts w:ascii="Calibri" w:hAnsi="Times New Roman"/>
          <w:color w:val="auto"/>
        </w:rPr>
        <w:t>t</w:t>
      </w:r>
      <w:r w:rsidR="003A0C04">
        <w:rPr>
          <w:rFonts w:ascii="Calibri" w:hAnsi="Times New Roman" w:hint="eastAsia"/>
          <w:color w:val="auto"/>
        </w:rPr>
        <w:t>，</w:t>
      </w:r>
      <w:r w:rsidR="007528DF" w:rsidRPr="007528DF">
        <w:rPr>
          <w:rFonts w:ascii="Calibri" w:hAnsi="Times New Roman" w:hint="eastAsia"/>
          <w:color w:val="auto"/>
        </w:rPr>
        <w:t>50%</w:t>
      </w:r>
      <w:r w:rsidR="007F4462">
        <w:rPr>
          <w:rFonts w:ascii="Calibri" w:hAnsi="Times New Roman" w:hint="eastAsia"/>
          <w:color w:val="auto"/>
        </w:rPr>
        <w:t>尼龙</w:t>
      </w:r>
      <w:r w:rsidR="007F4462">
        <w:rPr>
          <w:rFonts w:ascii="Calibri" w:hAnsi="Times New Roman" w:hint="eastAsia"/>
          <w:color w:val="auto"/>
        </w:rPr>
        <w:t>66</w:t>
      </w:r>
      <w:r w:rsidR="007F4462">
        <w:rPr>
          <w:rFonts w:ascii="Calibri" w:hAnsi="Times New Roman" w:hint="eastAsia"/>
          <w:color w:val="auto"/>
        </w:rPr>
        <w:t>盐</w:t>
      </w:r>
      <w:r w:rsidR="007F4462">
        <w:rPr>
          <w:rFonts w:ascii="Calibri" w:hAnsi="Times New Roman"/>
          <w:color w:val="auto"/>
        </w:rPr>
        <w:t>溶液</w:t>
      </w:r>
      <w:r w:rsidR="007528DF">
        <w:rPr>
          <w:rFonts w:ascii="Calibri" w:hAnsi="Times New Roman" w:hint="eastAsia"/>
          <w:color w:val="auto"/>
        </w:rPr>
        <w:t>、</w:t>
      </w:r>
      <w:r w:rsidR="007528DF" w:rsidRPr="007528DF">
        <w:rPr>
          <w:rFonts w:ascii="Calibri" w:hAnsi="Times New Roman" w:hint="eastAsia"/>
          <w:color w:val="auto"/>
        </w:rPr>
        <w:t>尼龙</w:t>
      </w:r>
      <w:r w:rsidR="007528DF" w:rsidRPr="007528DF">
        <w:rPr>
          <w:rFonts w:ascii="Calibri" w:hAnsi="Times New Roman" w:hint="eastAsia"/>
          <w:color w:val="auto"/>
        </w:rPr>
        <w:t>1010</w:t>
      </w:r>
      <w:r w:rsidR="007528DF" w:rsidRPr="007528DF">
        <w:rPr>
          <w:rFonts w:ascii="Calibri" w:hAnsi="Times New Roman" w:hint="eastAsia"/>
          <w:color w:val="auto"/>
        </w:rPr>
        <w:t>盐</w:t>
      </w:r>
      <w:r w:rsidR="007528DF">
        <w:rPr>
          <w:rFonts w:ascii="Calibri" w:hAnsi="Times New Roman" w:hint="eastAsia"/>
          <w:color w:val="auto"/>
        </w:rPr>
        <w:t>、</w:t>
      </w:r>
      <w:r w:rsidR="007528DF" w:rsidRPr="007528DF">
        <w:rPr>
          <w:rFonts w:ascii="Calibri" w:hAnsi="Times New Roman" w:hint="eastAsia"/>
          <w:color w:val="auto"/>
        </w:rPr>
        <w:t>尼龙</w:t>
      </w:r>
      <w:r w:rsidR="007528DF" w:rsidRPr="007528DF">
        <w:rPr>
          <w:rFonts w:ascii="Calibri" w:hAnsi="Times New Roman" w:hint="eastAsia"/>
          <w:color w:val="auto"/>
        </w:rPr>
        <w:t>12</w:t>
      </w:r>
      <w:r w:rsidR="007528DF" w:rsidRPr="007528DF">
        <w:rPr>
          <w:rFonts w:ascii="Calibri" w:hAnsi="Times New Roman" w:hint="eastAsia"/>
          <w:color w:val="auto"/>
        </w:rPr>
        <w:t>盐</w:t>
      </w:r>
      <w:r w:rsidR="007528DF">
        <w:rPr>
          <w:rFonts w:ascii="Calibri" w:hAnsi="Times New Roman" w:hint="eastAsia"/>
          <w:color w:val="auto"/>
        </w:rPr>
        <w:t>、次磷酸钠</w:t>
      </w:r>
      <w:r w:rsidR="003A0C04" w:rsidRPr="003A0C04">
        <w:rPr>
          <w:rFonts w:ascii="Calibri" w:hAnsi="Times New Roman" w:hint="eastAsia"/>
          <w:color w:val="auto"/>
        </w:rPr>
        <w:t>均</w:t>
      </w:r>
      <w:r w:rsidR="007528DF">
        <w:rPr>
          <w:rFonts w:ascii="Calibri" w:hAnsi="Times New Roman" w:hint="eastAsia"/>
          <w:color w:val="auto"/>
        </w:rPr>
        <w:t>、</w:t>
      </w:r>
      <w:r w:rsidR="007528DF">
        <w:rPr>
          <w:rFonts w:ascii="Calibri" w:hAnsi="Times New Roman"/>
          <w:color w:val="auto"/>
        </w:rPr>
        <w:t>氢氧化钠</w:t>
      </w:r>
      <w:r w:rsidR="003A0C04" w:rsidRPr="003A0C04">
        <w:rPr>
          <w:rFonts w:ascii="Calibri" w:hAnsi="Times New Roman" w:hint="eastAsia"/>
          <w:color w:val="auto"/>
        </w:rPr>
        <w:t>无对应临界量。</w:t>
      </w:r>
    </w:p>
    <w:p w14:paraId="572FCA6C" w14:textId="77777777" w:rsidR="007528DF" w:rsidRPr="007528DF" w:rsidRDefault="007528DF" w:rsidP="007528DF">
      <w:pPr>
        <w:pStyle w:val="00"/>
        <w:rPr>
          <w:rFonts w:ascii="Calibri" w:hAnsi="Times New Roman"/>
          <w:color w:val="auto"/>
        </w:rPr>
      </w:pPr>
      <w:r w:rsidRPr="007528DF">
        <w:rPr>
          <w:rFonts w:ascii="Calibri" w:hAnsi="Times New Roman"/>
          <w:color w:val="auto"/>
        </w:rPr>
        <w:t>对于未列入《建设项目环境风险评价技术导则》（</w:t>
      </w:r>
      <w:r w:rsidR="00A84E4C">
        <w:rPr>
          <w:rFonts w:ascii="Calibri" w:hAnsi="Times New Roman"/>
          <w:color w:val="auto"/>
        </w:rPr>
        <w:t>HJ</w:t>
      </w:r>
      <w:r w:rsidRPr="007528DF">
        <w:rPr>
          <w:rFonts w:ascii="Calibri" w:hAnsi="Times New Roman"/>
          <w:color w:val="auto"/>
        </w:rPr>
        <w:t>169</w:t>
      </w:r>
      <w:r w:rsidR="00A84E4C">
        <w:rPr>
          <w:rFonts w:ascii="Calibri" w:hAnsi="Times New Roman"/>
          <w:color w:val="auto"/>
        </w:rPr>
        <w:t>-</w:t>
      </w:r>
      <w:r w:rsidRPr="007528DF">
        <w:rPr>
          <w:rFonts w:ascii="Calibri" w:hAnsi="Times New Roman"/>
          <w:color w:val="auto"/>
        </w:rPr>
        <w:t>2018</w:t>
      </w:r>
      <w:r w:rsidRPr="007528DF">
        <w:rPr>
          <w:rFonts w:ascii="Calibri" w:hAnsi="Times New Roman"/>
          <w:color w:val="auto"/>
        </w:rPr>
        <w:t>）附录</w:t>
      </w:r>
      <w:r>
        <w:rPr>
          <w:rFonts w:ascii="Calibri" w:hAnsi="Times New Roman"/>
          <w:color w:val="auto"/>
        </w:rPr>
        <w:t>B</w:t>
      </w:r>
      <w:r w:rsidRPr="007528DF">
        <w:rPr>
          <w:rFonts w:ascii="Calibri" w:hAnsi="Times New Roman"/>
          <w:color w:val="auto"/>
        </w:rPr>
        <w:t>表</w:t>
      </w:r>
      <w:r w:rsidRPr="007528DF">
        <w:rPr>
          <w:rFonts w:ascii="Calibri" w:hAnsi="Times New Roman"/>
          <w:color w:val="auto"/>
        </w:rPr>
        <w:t>B.1</w:t>
      </w:r>
      <w:r w:rsidRPr="007528DF">
        <w:rPr>
          <w:rFonts w:ascii="Calibri" w:hAnsi="Times New Roman"/>
          <w:color w:val="auto"/>
        </w:rPr>
        <w:t>的物质，</w:t>
      </w:r>
      <w:r w:rsidRPr="007528DF">
        <w:rPr>
          <w:rFonts w:ascii="Calibri" w:hAnsi="Times New Roman" w:hint="eastAsia"/>
          <w:color w:val="auto"/>
        </w:rPr>
        <w:t>根据</w:t>
      </w:r>
      <w:r w:rsidRPr="007528DF">
        <w:rPr>
          <w:rFonts w:ascii="Calibri" w:hAnsi="Times New Roman"/>
          <w:color w:val="auto"/>
        </w:rPr>
        <w:t>《建设项目环境风险评价技术导则》（</w:t>
      </w:r>
      <w:r w:rsidR="00A84E4C">
        <w:rPr>
          <w:rFonts w:ascii="Calibri" w:hAnsi="Times New Roman"/>
          <w:color w:val="auto"/>
        </w:rPr>
        <w:t>HJ</w:t>
      </w:r>
      <w:r w:rsidRPr="007528DF">
        <w:rPr>
          <w:rFonts w:ascii="Calibri" w:hAnsi="Times New Roman"/>
          <w:color w:val="auto"/>
        </w:rPr>
        <w:t>169</w:t>
      </w:r>
      <w:r w:rsidR="00A84E4C">
        <w:rPr>
          <w:rFonts w:ascii="Calibri" w:hAnsi="Times New Roman"/>
          <w:color w:val="auto"/>
        </w:rPr>
        <w:t>-</w:t>
      </w:r>
      <w:r w:rsidRPr="007528DF">
        <w:rPr>
          <w:rFonts w:ascii="Calibri" w:hAnsi="Times New Roman"/>
          <w:color w:val="auto"/>
        </w:rPr>
        <w:t>2018</w:t>
      </w:r>
      <w:r w:rsidRPr="007528DF">
        <w:rPr>
          <w:rFonts w:ascii="Calibri" w:hAnsi="Times New Roman"/>
          <w:color w:val="auto"/>
        </w:rPr>
        <w:t>）附录</w:t>
      </w:r>
      <w:r>
        <w:rPr>
          <w:rFonts w:ascii="Calibri" w:hAnsi="Times New Roman"/>
          <w:color w:val="auto"/>
        </w:rPr>
        <w:t>B</w:t>
      </w:r>
      <w:r w:rsidRPr="007528DF">
        <w:rPr>
          <w:rFonts w:ascii="Calibri" w:hAnsi="Times New Roman"/>
          <w:color w:val="auto"/>
        </w:rPr>
        <w:t>表</w:t>
      </w:r>
      <w:r w:rsidRPr="007528DF">
        <w:rPr>
          <w:rFonts w:ascii="Calibri" w:hAnsi="Times New Roman"/>
          <w:color w:val="auto"/>
        </w:rPr>
        <w:t>B.</w:t>
      </w:r>
      <w:r w:rsidRPr="007528DF">
        <w:rPr>
          <w:rFonts w:ascii="Calibri" w:hAnsi="Times New Roman" w:hint="eastAsia"/>
          <w:color w:val="auto"/>
        </w:rPr>
        <w:t>2</w:t>
      </w:r>
      <w:r w:rsidRPr="007528DF">
        <w:rPr>
          <w:rFonts w:ascii="Calibri" w:hAnsi="Times New Roman" w:hint="eastAsia"/>
          <w:color w:val="auto"/>
        </w:rPr>
        <w:t>其他危险物质临界量推荐值</w:t>
      </w:r>
      <w:r w:rsidRPr="007528DF">
        <w:rPr>
          <w:rFonts w:ascii="Calibri" w:hAnsi="Times New Roman"/>
          <w:color w:val="auto"/>
        </w:rPr>
        <w:t>，</w:t>
      </w:r>
      <w:r w:rsidRPr="007528DF">
        <w:rPr>
          <w:rFonts w:ascii="Calibri" w:hAnsi="Times New Roman" w:hint="eastAsia"/>
          <w:color w:val="auto"/>
        </w:rPr>
        <w:t>同时应</w:t>
      </w:r>
      <w:r w:rsidRPr="007528DF">
        <w:rPr>
          <w:rFonts w:ascii="Calibri" w:hAnsi="Times New Roman"/>
          <w:color w:val="auto"/>
        </w:rPr>
        <w:t>参照《化学品分类和标签规范第</w:t>
      </w:r>
      <w:r w:rsidR="00A84E4C">
        <w:rPr>
          <w:rFonts w:ascii="Calibri" w:hAnsi="Times New Roman"/>
          <w:color w:val="auto"/>
        </w:rPr>
        <w:t>18</w:t>
      </w:r>
      <w:r w:rsidRPr="007528DF">
        <w:rPr>
          <w:rFonts w:ascii="Calibri" w:hAnsi="Times New Roman"/>
          <w:color w:val="auto"/>
        </w:rPr>
        <w:t>部分：急性毒性》（</w:t>
      </w:r>
      <w:r w:rsidRPr="007528DF">
        <w:rPr>
          <w:rFonts w:ascii="Calibri" w:hAnsi="Times New Roman"/>
          <w:color w:val="auto"/>
        </w:rPr>
        <w:t>GB30000.18-2013</w:t>
      </w:r>
      <w:r w:rsidRPr="007528DF">
        <w:rPr>
          <w:rFonts w:ascii="Calibri" w:hAnsi="Times New Roman"/>
          <w:color w:val="auto"/>
        </w:rPr>
        <w:t>），判别其急性毒性危害分类</w:t>
      </w:r>
      <w:r w:rsidRPr="007528DF">
        <w:rPr>
          <w:rFonts w:ascii="Calibri" w:hAnsi="Times New Roman"/>
          <w:color w:val="auto"/>
        </w:rPr>
        <w:t>ATE</w:t>
      </w:r>
      <w:r w:rsidRPr="007528DF">
        <w:rPr>
          <w:rFonts w:ascii="Calibri" w:hAnsi="Times New Roman"/>
          <w:color w:val="auto"/>
        </w:rPr>
        <w:t>。</w:t>
      </w:r>
      <w:r w:rsidRPr="007528DF">
        <w:rPr>
          <w:rFonts w:ascii="Calibri" w:hAnsi="Times New Roman" w:hint="eastAsia"/>
          <w:color w:val="auto"/>
        </w:rPr>
        <w:t>急性毒性危害分类和定义见表</w:t>
      </w:r>
      <w:r w:rsidR="00F837A5">
        <w:rPr>
          <w:rFonts w:ascii="Calibri" w:hAnsi="Times New Roman"/>
          <w:color w:val="auto"/>
        </w:rPr>
        <w:t>4</w:t>
      </w:r>
      <w:r w:rsidRPr="007528DF">
        <w:rPr>
          <w:rFonts w:ascii="Calibri" w:hAnsi="Times New Roman" w:hint="eastAsia"/>
          <w:color w:val="auto"/>
        </w:rPr>
        <w:t>.2-3</w:t>
      </w:r>
      <w:r w:rsidRPr="007528DF">
        <w:rPr>
          <w:rFonts w:ascii="Calibri" w:hAnsi="Times New Roman" w:hint="eastAsia"/>
          <w:color w:val="auto"/>
        </w:rPr>
        <w:t>。</w:t>
      </w:r>
    </w:p>
    <w:p w14:paraId="25B23F68" w14:textId="77777777" w:rsidR="00BB28C5" w:rsidRDefault="00BB28C5" w:rsidP="00F837A5">
      <w:pPr>
        <w:spacing w:line="500" w:lineRule="exact"/>
        <w:ind w:firstLineChars="350" w:firstLine="840"/>
        <w:rPr>
          <w:rFonts w:ascii="黑体" w:eastAsia="黑体" w:hAnsi="黑体"/>
          <w:sz w:val="24"/>
        </w:rPr>
      </w:pPr>
    </w:p>
    <w:p w14:paraId="6F5DB7E6" w14:textId="77777777" w:rsidR="00BB28C5" w:rsidRDefault="00BB28C5" w:rsidP="00F837A5">
      <w:pPr>
        <w:spacing w:line="500" w:lineRule="exact"/>
        <w:ind w:firstLineChars="350" w:firstLine="840"/>
        <w:rPr>
          <w:rFonts w:ascii="黑体" w:eastAsia="黑体" w:hAnsi="黑体"/>
          <w:sz w:val="24"/>
        </w:rPr>
      </w:pPr>
    </w:p>
    <w:p w14:paraId="57CC1DD8" w14:textId="77777777" w:rsidR="00BB28C5" w:rsidRDefault="00BB28C5" w:rsidP="00F837A5">
      <w:pPr>
        <w:spacing w:line="500" w:lineRule="exact"/>
        <w:ind w:firstLineChars="350" w:firstLine="840"/>
        <w:rPr>
          <w:rFonts w:ascii="黑体" w:eastAsia="黑体" w:hAnsi="黑体"/>
          <w:sz w:val="24"/>
        </w:rPr>
      </w:pPr>
    </w:p>
    <w:p w14:paraId="77CE829D" w14:textId="77777777" w:rsidR="00BB28C5" w:rsidRDefault="00BB28C5" w:rsidP="00F837A5">
      <w:pPr>
        <w:spacing w:line="500" w:lineRule="exact"/>
        <w:ind w:firstLineChars="350" w:firstLine="840"/>
        <w:rPr>
          <w:rFonts w:ascii="黑体" w:eastAsia="黑体" w:hAnsi="黑体"/>
          <w:sz w:val="24"/>
        </w:rPr>
      </w:pPr>
    </w:p>
    <w:p w14:paraId="5F756A53" w14:textId="32335EF4" w:rsidR="00F837A5" w:rsidRPr="00F837A5" w:rsidRDefault="00F837A5" w:rsidP="00F837A5">
      <w:pPr>
        <w:spacing w:line="500" w:lineRule="exact"/>
        <w:ind w:firstLineChars="350" w:firstLine="840"/>
        <w:rPr>
          <w:rFonts w:asciiTheme="minorHAnsi" w:eastAsia="黑体" w:hAnsiTheme="minorHAnsi"/>
          <w:sz w:val="24"/>
        </w:rPr>
      </w:pPr>
      <w:r w:rsidRPr="00F837A5">
        <w:rPr>
          <w:rFonts w:ascii="黑体" w:eastAsia="黑体" w:hAnsi="黑体" w:hint="eastAsia"/>
          <w:sz w:val="24"/>
        </w:rPr>
        <w:lastRenderedPageBreak/>
        <w:t>表</w:t>
      </w:r>
      <w:r w:rsidRPr="00F837A5">
        <w:rPr>
          <w:rFonts w:asciiTheme="minorHAnsi" w:eastAsia="黑体" w:hAnsiTheme="minorHAnsi"/>
          <w:sz w:val="24"/>
        </w:rPr>
        <w:t>4.2-3</w:t>
      </w:r>
      <w:r w:rsidRPr="00F837A5">
        <w:rPr>
          <w:rFonts w:ascii="黑体" w:eastAsia="黑体" w:hAnsi="黑体" w:hint="eastAsia"/>
          <w:sz w:val="24"/>
        </w:rPr>
        <w:t xml:space="preserve">  </w:t>
      </w:r>
      <w:r w:rsidRPr="00F837A5">
        <w:rPr>
          <w:rFonts w:asciiTheme="minorHAnsi" w:eastAsia="黑体" w:hAnsiTheme="minorHAnsi"/>
          <w:sz w:val="24"/>
        </w:rPr>
        <w:t>急性毒性危害分类和定义各个类别的急性毒性估算（</w:t>
      </w:r>
      <w:r w:rsidRPr="00F837A5">
        <w:rPr>
          <w:rFonts w:asciiTheme="minorHAnsi" w:eastAsia="黑体" w:hAnsiTheme="minorHAnsi"/>
          <w:sz w:val="24"/>
        </w:rPr>
        <w:t>ATE</w:t>
      </w:r>
      <w:r w:rsidRPr="00F837A5">
        <w:rPr>
          <w:rFonts w:asciiTheme="minorHAnsi" w:eastAsia="黑体" w:hAnsiTheme="minorHAnsi"/>
          <w:sz w:val="24"/>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5"/>
        <w:gridCol w:w="939"/>
        <w:gridCol w:w="1242"/>
        <w:gridCol w:w="1239"/>
        <w:gridCol w:w="1245"/>
        <w:gridCol w:w="1245"/>
        <w:gridCol w:w="1245"/>
      </w:tblGrid>
      <w:tr w:rsidR="00F837A5" w:rsidRPr="00F837A5" w14:paraId="2CC32856" w14:textId="77777777" w:rsidTr="007F4462">
        <w:trPr>
          <w:trHeight w:val="340"/>
        </w:trPr>
        <w:tc>
          <w:tcPr>
            <w:tcW w:w="1545" w:type="dxa"/>
            <w:shd w:val="clear" w:color="auto" w:fill="auto"/>
            <w:vAlign w:val="center"/>
          </w:tcPr>
          <w:p w14:paraId="367CCADE"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接触途径</w:t>
            </w:r>
          </w:p>
        </w:tc>
        <w:tc>
          <w:tcPr>
            <w:tcW w:w="939" w:type="dxa"/>
            <w:shd w:val="clear" w:color="auto" w:fill="auto"/>
            <w:vAlign w:val="center"/>
          </w:tcPr>
          <w:p w14:paraId="6C7F82E2"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单位</w:t>
            </w:r>
          </w:p>
        </w:tc>
        <w:tc>
          <w:tcPr>
            <w:tcW w:w="1242" w:type="dxa"/>
            <w:shd w:val="clear" w:color="auto" w:fill="auto"/>
            <w:vAlign w:val="center"/>
          </w:tcPr>
          <w:p w14:paraId="72CD08F1"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类别</w:t>
            </w:r>
            <w:r w:rsidRPr="007F4462">
              <w:rPr>
                <w:rFonts w:ascii="Calibri" w:hAnsi="Calibri"/>
                <w:color w:val="auto"/>
                <w:szCs w:val="21"/>
              </w:rPr>
              <w:t>1</w:t>
            </w:r>
          </w:p>
        </w:tc>
        <w:tc>
          <w:tcPr>
            <w:tcW w:w="1239" w:type="dxa"/>
            <w:shd w:val="clear" w:color="auto" w:fill="auto"/>
            <w:vAlign w:val="center"/>
          </w:tcPr>
          <w:p w14:paraId="3EDCF4AB"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类别</w:t>
            </w:r>
            <w:r w:rsidRPr="007F4462">
              <w:rPr>
                <w:rFonts w:ascii="Calibri" w:hAnsi="Calibri"/>
                <w:color w:val="auto"/>
                <w:szCs w:val="21"/>
              </w:rPr>
              <w:t>2</w:t>
            </w:r>
          </w:p>
        </w:tc>
        <w:tc>
          <w:tcPr>
            <w:tcW w:w="1245" w:type="dxa"/>
            <w:shd w:val="clear" w:color="auto" w:fill="auto"/>
            <w:vAlign w:val="center"/>
          </w:tcPr>
          <w:p w14:paraId="3DA32C59"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类别</w:t>
            </w:r>
            <w:r w:rsidRPr="007F4462">
              <w:rPr>
                <w:rFonts w:ascii="Calibri" w:hAnsi="Calibri"/>
                <w:color w:val="auto"/>
                <w:szCs w:val="21"/>
              </w:rPr>
              <w:t>3</w:t>
            </w:r>
          </w:p>
        </w:tc>
        <w:tc>
          <w:tcPr>
            <w:tcW w:w="1245" w:type="dxa"/>
            <w:shd w:val="clear" w:color="auto" w:fill="auto"/>
            <w:vAlign w:val="center"/>
          </w:tcPr>
          <w:p w14:paraId="37E91F36"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类别</w:t>
            </w:r>
            <w:r w:rsidRPr="007F4462">
              <w:rPr>
                <w:rFonts w:ascii="Calibri" w:hAnsi="Calibri"/>
                <w:color w:val="auto"/>
                <w:szCs w:val="21"/>
              </w:rPr>
              <w:t>4</w:t>
            </w:r>
          </w:p>
        </w:tc>
        <w:tc>
          <w:tcPr>
            <w:tcW w:w="1245" w:type="dxa"/>
            <w:shd w:val="clear" w:color="auto" w:fill="auto"/>
            <w:vAlign w:val="center"/>
          </w:tcPr>
          <w:p w14:paraId="055F1C09"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类别</w:t>
            </w:r>
            <w:r w:rsidRPr="007F4462">
              <w:rPr>
                <w:rFonts w:ascii="Calibri" w:hAnsi="Calibri"/>
                <w:color w:val="auto"/>
                <w:szCs w:val="21"/>
              </w:rPr>
              <w:t>5</w:t>
            </w:r>
          </w:p>
        </w:tc>
      </w:tr>
      <w:tr w:rsidR="00F837A5" w:rsidRPr="00F837A5" w14:paraId="4FDBD606" w14:textId="77777777" w:rsidTr="007F4462">
        <w:trPr>
          <w:trHeight w:val="340"/>
        </w:trPr>
        <w:tc>
          <w:tcPr>
            <w:tcW w:w="1545" w:type="dxa"/>
            <w:shd w:val="clear" w:color="auto" w:fill="auto"/>
            <w:vAlign w:val="center"/>
          </w:tcPr>
          <w:p w14:paraId="55EF4561"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经口</w:t>
            </w:r>
          </w:p>
        </w:tc>
        <w:tc>
          <w:tcPr>
            <w:tcW w:w="939" w:type="dxa"/>
            <w:shd w:val="clear" w:color="auto" w:fill="auto"/>
            <w:vAlign w:val="center"/>
          </w:tcPr>
          <w:p w14:paraId="574587C8"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mg/kg</w:t>
            </w:r>
          </w:p>
        </w:tc>
        <w:tc>
          <w:tcPr>
            <w:tcW w:w="1242" w:type="dxa"/>
            <w:shd w:val="clear" w:color="auto" w:fill="auto"/>
            <w:vAlign w:val="center"/>
          </w:tcPr>
          <w:p w14:paraId="2176F2ED"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5</w:t>
            </w:r>
          </w:p>
        </w:tc>
        <w:tc>
          <w:tcPr>
            <w:tcW w:w="1239" w:type="dxa"/>
            <w:shd w:val="clear" w:color="auto" w:fill="auto"/>
            <w:vAlign w:val="center"/>
          </w:tcPr>
          <w:p w14:paraId="6B523DD2"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50</w:t>
            </w:r>
          </w:p>
        </w:tc>
        <w:tc>
          <w:tcPr>
            <w:tcW w:w="1245" w:type="dxa"/>
            <w:shd w:val="clear" w:color="auto" w:fill="auto"/>
            <w:vAlign w:val="center"/>
          </w:tcPr>
          <w:p w14:paraId="4D1A8551"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300</w:t>
            </w:r>
          </w:p>
        </w:tc>
        <w:tc>
          <w:tcPr>
            <w:tcW w:w="1245" w:type="dxa"/>
            <w:shd w:val="clear" w:color="auto" w:fill="auto"/>
            <w:vAlign w:val="center"/>
          </w:tcPr>
          <w:p w14:paraId="0D796126"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2000</w:t>
            </w:r>
          </w:p>
        </w:tc>
        <w:tc>
          <w:tcPr>
            <w:tcW w:w="1245" w:type="dxa"/>
            <w:vMerge w:val="restart"/>
            <w:shd w:val="clear" w:color="auto" w:fill="auto"/>
            <w:vAlign w:val="center"/>
          </w:tcPr>
          <w:p w14:paraId="0490B7CA"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5000</w:t>
            </w:r>
          </w:p>
          <w:p w14:paraId="3EE770B6"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具体见标准</w:t>
            </w:r>
          </w:p>
        </w:tc>
      </w:tr>
      <w:tr w:rsidR="00F837A5" w:rsidRPr="00F837A5" w14:paraId="4B50FB21" w14:textId="77777777" w:rsidTr="007F4462">
        <w:trPr>
          <w:trHeight w:val="340"/>
        </w:trPr>
        <w:tc>
          <w:tcPr>
            <w:tcW w:w="1545" w:type="dxa"/>
            <w:shd w:val="clear" w:color="auto" w:fill="auto"/>
            <w:vAlign w:val="center"/>
          </w:tcPr>
          <w:p w14:paraId="3FAE9133"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经皮肤</w:t>
            </w:r>
          </w:p>
        </w:tc>
        <w:tc>
          <w:tcPr>
            <w:tcW w:w="939" w:type="dxa"/>
            <w:shd w:val="clear" w:color="auto" w:fill="auto"/>
            <w:vAlign w:val="center"/>
          </w:tcPr>
          <w:p w14:paraId="27053662"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mg/kg</w:t>
            </w:r>
          </w:p>
        </w:tc>
        <w:tc>
          <w:tcPr>
            <w:tcW w:w="1242" w:type="dxa"/>
            <w:shd w:val="clear" w:color="auto" w:fill="auto"/>
            <w:vAlign w:val="center"/>
          </w:tcPr>
          <w:p w14:paraId="0E0413D0"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50</w:t>
            </w:r>
          </w:p>
        </w:tc>
        <w:tc>
          <w:tcPr>
            <w:tcW w:w="1239" w:type="dxa"/>
            <w:shd w:val="clear" w:color="auto" w:fill="auto"/>
            <w:vAlign w:val="center"/>
          </w:tcPr>
          <w:p w14:paraId="4D78CD9B"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200</w:t>
            </w:r>
          </w:p>
        </w:tc>
        <w:tc>
          <w:tcPr>
            <w:tcW w:w="1245" w:type="dxa"/>
            <w:shd w:val="clear" w:color="auto" w:fill="auto"/>
            <w:vAlign w:val="center"/>
          </w:tcPr>
          <w:p w14:paraId="2E74923E"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1000</w:t>
            </w:r>
          </w:p>
        </w:tc>
        <w:tc>
          <w:tcPr>
            <w:tcW w:w="1245" w:type="dxa"/>
            <w:shd w:val="clear" w:color="auto" w:fill="auto"/>
            <w:vAlign w:val="center"/>
          </w:tcPr>
          <w:p w14:paraId="491B33AF"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2000</w:t>
            </w:r>
          </w:p>
        </w:tc>
        <w:tc>
          <w:tcPr>
            <w:tcW w:w="1245" w:type="dxa"/>
            <w:vMerge/>
            <w:shd w:val="clear" w:color="auto" w:fill="auto"/>
            <w:vAlign w:val="center"/>
          </w:tcPr>
          <w:p w14:paraId="339A8E47" w14:textId="77777777" w:rsidR="00F837A5" w:rsidRPr="007F4462" w:rsidRDefault="00F837A5" w:rsidP="007F4462">
            <w:pPr>
              <w:jc w:val="center"/>
              <w:rPr>
                <w:rFonts w:ascii="Calibri" w:hAnsi="Calibri"/>
                <w:color w:val="auto"/>
                <w:szCs w:val="21"/>
              </w:rPr>
            </w:pPr>
          </w:p>
        </w:tc>
      </w:tr>
      <w:tr w:rsidR="00F837A5" w:rsidRPr="00F837A5" w14:paraId="180DCB3C" w14:textId="77777777" w:rsidTr="007F4462">
        <w:trPr>
          <w:trHeight w:val="340"/>
        </w:trPr>
        <w:tc>
          <w:tcPr>
            <w:tcW w:w="1545" w:type="dxa"/>
            <w:shd w:val="clear" w:color="auto" w:fill="auto"/>
            <w:vAlign w:val="center"/>
          </w:tcPr>
          <w:p w14:paraId="7CBF09CF"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气体</w:t>
            </w:r>
          </w:p>
        </w:tc>
        <w:tc>
          <w:tcPr>
            <w:tcW w:w="939" w:type="dxa"/>
            <w:shd w:val="clear" w:color="auto" w:fill="auto"/>
            <w:vAlign w:val="center"/>
          </w:tcPr>
          <w:p w14:paraId="47E84ED2"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mL/L</w:t>
            </w:r>
          </w:p>
        </w:tc>
        <w:tc>
          <w:tcPr>
            <w:tcW w:w="1242" w:type="dxa"/>
            <w:shd w:val="clear" w:color="auto" w:fill="auto"/>
            <w:vAlign w:val="center"/>
          </w:tcPr>
          <w:p w14:paraId="3624BB9C"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0.1</w:t>
            </w:r>
          </w:p>
        </w:tc>
        <w:tc>
          <w:tcPr>
            <w:tcW w:w="1239" w:type="dxa"/>
            <w:shd w:val="clear" w:color="auto" w:fill="auto"/>
            <w:vAlign w:val="center"/>
          </w:tcPr>
          <w:p w14:paraId="3A3E2A09"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0.5</w:t>
            </w:r>
          </w:p>
        </w:tc>
        <w:tc>
          <w:tcPr>
            <w:tcW w:w="1245" w:type="dxa"/>
            <w:shd w:val="clear" w:color="auto" w:fill="auto"/>
            <w:vAlign w:val="center"/>
          </w:tcPr>
          <w:p w14:paraId="7DDF775A"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2.5</w:t>
            </w:r>
          </w:p>
        </w:tc>
        <w:tc>
          <w:tcPr>
            <w:tcW w:w="1245" w:type="dxa"/>
            <w:shd w:val="clear" w:color="auto" w:fill="auto"/>
            <w:vAlign w:val="center"/>
          </w:tcPr>
          <w:p w14:paraId="00F2C0F8"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20</w:t>
            </w:r>
          </w:p>
        </w:tc>
        <w:tc>
          <w:tcPr>
            <w:tcW w:w="1245" w:type="dxa"/>
            <w:vMerge w:val="restart"/>
            <w:shd w:val="clear" w:color="auto" w:fill="auto"/>
            <w:vAlign w:val="center"/>
          </w:tcPr>
          <w:p w14:paraId="7BE19493"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具体见标准</w:t>
            </w:r>
          </w:p>
        </w:tc>
      </w:tr>
      <w:tr w:rsidR="00F837A5" w:rsidRPr="00F837A5" w14:paraId="5C498BF6" w14:textId="77777777" w:rsidTr="007F4462">
        <w:trPr>
          <w:trHeight w:val="340"/>
        </w:trPr>
        <w:tc>
          <w:tcPr>
            <w:tcW w:w="1545" w:type="dxa"/>
            <w:shd w:val="clear" w:color="auto" w:fill="auto"/>
            <w:vAlign w:val="center"/>
          </w:tcPr>
          <w:p w14:paraId="643A772A"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蒸汽</w:t>
            </w:r>
          </w:p>
        </w:tc>
        <w:tc>
          <w:tcPr>
            <w:tcW w:w="939" w:type="dxa"/>
            <w:shd w:val="clear" w:color="auto" w:fill="auto"/>
            <w:vAlign w:val="center"/>
          </w:tcPr>
          <w:p w14:paraId="31FA7334"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mL/L</w:t>
            </w:r>
          </w:p>
        </w:tc>
        <w:tc>
          <w:tcPr>
            <w:tcW w:w="1242" w:type="dxa"/>
            <w:shd w:val="clear" w:color="auto" w:fill="auto"/>
            <w:vAlign w:val="center"/>
          </w:tcPr>
          <w:p w14:paraId="70226FC6"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0.5</w:t>
            </w:r>
          </w:p>
        </w:tc>
        <w:tc>
          <w:tcPr>
            <w:tcW w:w="1239" w:type="dxa"/>
            <w:shd w:val="clear" w:color="auto" w:fill="auto"/>
            <w:vAlign w:val="center"/>
          </w:tcPr>
          <w:p w14:paraId="7426EF9E"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2.0</w:t>
            </w:r>
          </w:p>
        </w:tc>
        <w:tc>
          <w:tcPr>
            <w:tcW w:w="1245" w:type="dxa"/>
            <w:shd w:val="clear" w:color="auto" w:fill="auto"/>
            <w:vAlign w:val="center"/>
          </w:tcPr>
          <w:p w14:paraId="14C387CC"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10</w:t>
            </w:r>
          </w:p>
        </w:tc>
        <w:tc>
          <w:tcPr>
            <w:tcW w:w="1245" w:type="dxa"/>
            <w:shd w:val="clear" w:color="auto" w:fill="auto"/>
            <w:vAlign w:val="center"/>
          </w:tcPr>
          <w:p w14:paraId="2C3D5947"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20</w:t>
            </w:r>
          </w:p>
        </w:tc>
        <w:tc>
          <w:tcPr>
            <w:tcW w:w="1245" w:type="dxa"/>
            <w:vMerge/>
            <w:shd w:val="clear" w:color="auto" w:fill="auto"/>
            <w:vAlign w:val="center"/>
          </w:tcPr>
          <w:p w14:paraId="4896CD29" w14:textId="77777777" w:rsidR="00F837A5" w:rsidRPr="007F4462" w:rsidRDefault="00F837A5" w:rsidP="007F4462">
            <w:pPr>
              <w:jc w:val="center"/>
              <w:rPr>
                <w:rFonts w:ascii="Calibri" w:hAnsi="Calibri"/>
                <w:color w:val="auto"/>
                <w:szCs w:val="21"/>
              </w:rPr>
            </w:pPr>
          </w:p>
        </w:tc>
      </w:tr>
      <w:tr w:rsidR="00F837A5" w:rsidRPr="00F837A5" w14:paraId="0B9C0F13" w14:textId="77777777" w:rsidTr="007F4462">
        <w:trPr>
          <w:trHeight w:val="340"/>
        </w:trPr>
        <w:tc>
          <w:tcPr>
            <w:tcW w:w="1545" w:type="dxa"/>
            <w:shd w:val="clear" w:color="auto" w:fill="auto"/>
            <w:vAlign w:val="center"/>
          </w:tcPr>
          <w:p w14:paraId="0C8B560E"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粉尘和烟雾</w:t>
            </w:r>
          </w:p>
        </w:tc>
        <w:tc>
          <w:tcPr>
            <w:tcW w:w="939" w:type="dxa"/>
            <w:shd w:val="clear" w:color="auto" w:fill="auto"/>
            <w:vAlign w:val="center"/>
          </w:tcPr>
          <w:p w14:paraId="587109F6"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mL/L</w:t>
            </w:r>
          </w:p>
        </w:tc>
        <w:tc>
          <w:tcPr>
            <w:tcW w:w="1242" w:type="dxa"/>
            <w:shd w:val="clear" w:color="auto" w:fill="auto"/>
            <w:vAlign w:val="center"/>
          </w:tcPr>
          <w:p w14:paraId="03980906"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0.05</w:t>
            </w:r>
          </w:p>
        </w:tc>
        <w:tc>
          <w:tcPr>
            <w:tcW w:w="1239" w:type="dxa"/>
            <w:shd w:val="clear" w:color="auto" w:fill="auto"/>
            <w:vAlign w:val="center"/>
          </w:tcPr>
          <w:p w14:paraId="7A9ED8CF"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0.5</w:t>
            </w:r>
          </w:p>
        </w:tc>
        <w:tc>
          <w:tcPr>
            <w:tcW w:w="1245" w:type="dxa"/>
            <w:shd w:val="clear" w:color="auto" w:fill="auto"/>
            <w:vAlign w:val="center"/>
          </w:tcPr>
          <w:p w14:paraId="3AF06ECB"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1.0</w:t>
            </w:r>
          </w:p>
        </w:tc>
        <w:tc>
          <w:tcPr>
            <w:tcW w:w="1245" w:type="dxa"/>
            <w:shd w:val="clear" w:color="auto" w:fill="auto"/>
            <w:vAlign w:val="center"/>
          </w:tcPr>
          <w:p w14:paraId="34D7234F"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5</w:t>
            </w:r>
          </w:p>
        </w:tc>
        <w:tc>
          <w:tcPr>
            <w:tcW w:w="1245" w:type="dxa"/>
            <w:vMerge/>
            <w:shd w:val="clear" w:color="auto" w:fill="auto"/>
            <w:vAlign w:val="center"/>
          </w:tcPr>
          <w:p w14:paraId="3C726511" w14:textId="77777777" w:rsidR="00F837A5" w:rsidRPr="007F4462" w:rsidRDefault="00F837A5" w:rsidP="007F4462">
            <w:pPr>
              <w:jc w:val="center"/>
              <w:rPr>
                <w:rFonts w:ascii="Calibri" w:hAnsi="Calibri"/>
                <w:color w:val="auto"/>
                <w:szCs w:val="21"/>
              </w:rPr>
            </w:pPr>
          </w:p>
        </w:tc>
      </w:tr>
      <w:tr w:rsidR="00F837A5" w:rsidRPr="00F837A5" w14:paraId="4734BA9B" w14:textId="77777777" w:rsidTr="007F4462">
        <w:trPr>
          <w:trHeight w:val="340"/>
        </w:trPr>
        <w:tc>
          <w:tcPr>
            <w:tcW w:w="8700" w:type="dxa"/>
            <w:gridSpan w:val="7"/>
            <w:shd w:val="clear" w:color="auto" w:fill="auto"/>
            <w:vAlign w:val="center"/>
          </w:tcPr>
          <w:p w14:paraId="7CFB13D5" w14:textId="77777777" w:rsidR="00F837A5" w:rsidRPr="007F4462" w:rsidRDefault="00F837A5" w:rsidP="007F4462">
            <w:pPr>
              <w:jc w:val="center"/>
              <w:rPr>
                <w:rFonts w:ascii="Calibri" w:hAnsi="Calibri"/>
                <w:color w:val="auto"/>
                <w:szCs w:val="21"/>
              </w:rPr>
            </w:pPr>
            <w:r w:rsidRPr="007F4462">
              <w:rPr>
                <w:rFonts w:ascii="Calibri" w:hAnsi="Calibri"/>
                <w:color w:val="auto"/>
                <w:szCs w:val="21"/>
              </w:rPr>
              <w:t>注：表中的吸入临界值以</w:t>
            </w:r>
            <w:r w:rsidR="00A814F7">
              <w:rPr>
                <w:rFonts w:ascii="Calibri" w:hAnsi="Calibri"/>
                <w:color w:val="auto"/>
                <w:szCs w:val="21"/>
              </w:rPr>
              <w:t>4h</w:t>
            </w:r>
            <w:r w:rsidRPr="007F4462">
              <w:rPr>
                <w:rFonts w:ascii="Calibri" w:hAnsi="Calibri"/>
                <w:color w:val="auto"/>
                <w:szCs w:val="21"/>
              </w:rPr>
              <w:t>接触试验为基础，根据</w:t>
            </w:r>
            <w:r w:rsidR="00A814F7">
              <w:rPr>
                <w:rFonts w:ascii="Calibri" w:hAnsi="Calibri"/>
                <w:color w:val="auto"/>
                <w:szCs w:val="21"/>
              </w:rPr>
              <w:t>1h</w:t>
            </w:r>
            <w:r w:rsidRPr="007F4462">
              <w:rPr>
                <w:rFonts w:ascii="Calibri" w:hAnsi="Calibri"/>
                <w:color w:val="auto"/>
                <w:szCs w:val="21"/>
              </w:rPr>
              <w:t>接触产生的现有吸入毒性数据的换算，对于气体和蒸汽，除以因子</w:t>
            </w:r>
            <w:r w:rsidRPr="007F4462">
              <w:rPr>
                <w:rFonts w:ascii="Calibri" w:hAnsi="Calibri"/>
                <w:color w:val="auto"/>
                <w:szCs w:val="21"/>
              </w:rPr>
              <w:t>2</w:t>
            </w:r>
            <w:r w:rsidRPr="007F4462">
              <w:rPr>
                <w:rFonts w:ascii="Calibri" w:hAnsi="Calibri"/>
                <w:color w:val="auto"/>
                <w:szCs w:val="21"/>
              </w:rPr>
              <w:t>；对于粉尘和烟雾，除以因子</w:t>
            </w:r>
            <w:r w:rsidRPr="007F4462">
              <w:rPr>
                <w:rFonts w:ascii="Calibri" w:hAnsi="Calibri"/>
                <w:color w:val="auto"/>
                <w:szCs w:val="21"/>
              </w:rPr>
              <w:t>4</w:t>
            </w:r>
            <w:r w:rsidRPr="007F4462">
              <w:rPr>
                <w:rFonts w:ascii="Calibri" w:hAnsi="Calibri"/>
                <w:color w:val="auto"/>
                <w:szCs w:val="21"/>
              </w:rPr>
              <w:t>。</w:t>
            </w:r>
          </w:p>
        </w:tc>
      </w:tr>
    </w:tbl>
    <w:p w14:paraId="4CE79942" w14:textId="77777777" w:rsidR="003A0C04" w:rsidRPr="00F837A5" w:rsidRDefault="00F837A5" w:rsidP="003A0C04">
      <w:pPr>
        <w:pStyle w:val="00"/>
        <w:rPr>
          <w:rFonts w:ascii="Calibri" w:hAnsi="Times New Roman"/>
          <w:color w:val="auto"/>
        </w:rPr>
      </w:pPr>
      <w:r>
        <w:rPr>
          <w:rFonts w:ascii="Calibri" w:hAnsi="Times New Roman" w:hint="eastAsia"/>
          <w:color w:val="auto"/>
        </w:rPr>
        <w:t>根据</w:t>
      </w:r>
      <w:r>
        <w:rPr>
          <w:rFonts w:ascii="Calibri" w:hAnsi="Times New Roman"/>
          <w:color w:val="auto"/>
        </w:rPr>
        <w:t>项目概况</w:t>
      </w:r>
      <w:r>
        <w:rPr>
          <w:rFonts w:ascii="Calibri" w:hAnsi="Times New Roman" w:hint="eastAsia"/>
          <w:color w:val="auto"/>
        </w:rPr>
        <w:t>原辅材料理化性质</w:t>
      </w:r>
      <w:r>
        <w:rPr>
          <w:rFonts w:ascii="Calibri" w:hAnsi="Times New Roman"/>
          <w:color w:val="auto"/>
        </w:rPr>
        <w:t>分析</w:t>
      </w:r>
      <w:r>
        <w:rPr>
          <w:rFonts w:ascii="Calibri" w:hAnsi="Times New Roman" w:hint="eastAsia"/>
          <w:color w:val="auto"/>
        </w:rPr>
        <w:t>及</w:t>
      </w:r>
      <w:r>
        <w:rPr>
          <w:rFonts w:ascii="Calibri" w:hAnsi="Times New Roman"/>
          <w:color w:val="auto"/>
        </w:rPr>
        <w:t>表</w:t>
      </w:r>
      <w:r>
        <w:rPr>
          <w:rFonts w:ascii="Calibri" w:hAnsi="Times New Roman" w:hint="eastAsia"/>
          <w:color w:val="auto"/>
        </w:rPr>
        <w:t>4.2-3</w:t>
      </w:r>
      <w:r w:rsidRPr="00F837A5">
        <w:rPr>
          <w:rFonts w:ascii="Calibri" w:hAnsi="Times New Roman" w:hint="eastAsia"/>
          <w:color w:val="auto"/>
        </w:rPr>
        <w:t>可知：</w:t>
      </w:r>
    </w:p>
    <w:p w14:paraId="6BEF67B8" w14:textId="77777777" w:rsidR="00F837A5" w:rsidRPr="00F837A5" w:rsidRDefault="00F837A5" w:rsidP="00F837A5">
      <w:pPr>
        <w:spacing w:line="500" w:lineRule="exact"/>
        <w:ind w:firstLineChars="200" w:firstLine="480"/>
        <w:rPr>
          <w:rFonts w:ascii="Calibri"/>
          <w:color w:val="auto"/>
          <w:sz w:val="24"/>
        </w:rPr>
      </w:pPr>
      <w:r w:rsidRPr="00F837A5">
        <w:rPr>
          <w:rFonts w:ascii="Calibri" w:hint="eastAsia"/>
          <w:color w:val="auto"/>
          <w:sz w:val="24"/>
        </w:rPr>
        <w:t>①次磷酸钠</w:t>
      </w:r>
      <w:r w:rsidRPr="00F837A5">
        <w:rPr>
          <w:rFonts w:ascii="Calibri"/>
          <w:color w:val="auto"/>
          <w:sz w:val="24"/>
        </w:rPr>
        <w:t>由试验得到急性毒性</w:t>
      </w:r>
      <w:r w:rsidRPr="00F837A5">
        <w:rPr>
          <w:rFonts w:ascii="Calibri"/>
          <w:color w:val="auto"/>
          <w:sz w:val="24"/>
        </w:rPr>
        <w:t>LD50</w:t>
      </w:r>
      <w:r w:rsidRPr="00F837A5">
        <w:rPr>
          <w:rFonts w:ascii="Calibri"/>
          <w:color w:val="auto"/>
          <w:sz w:val="24"/>
        </w:rPr>
        <w:t>指标为</w:t>
      </w:r>
      <w:r w:rsidRPr="00F837A5">
        <w:rPr>
          <w:rFonts w:ascii="Calibri" w:hint="eastAsia"/>
          <w:color w:val="auto"/>
          <w:sz w:val="24"/>
        </w:rPr>
        <w:t>4000</w:t>
      </w:r>
      <w:r w:rsidRPr="00F837A5">
        <w:rPr>
          <w:rFonts w:ascii="Calibri"/>
          <w:color w:val="auto"/>
          <w:sz w:val="24"/>
        </w:rPr>
        <w:t>mg/kg</w:t>
      </w:r>
      <w:r w:rsidRPr="00F837A5">
        <w:rPr>
          <w:rFonts w:ascii="Calibri"/>
          <w:color w:val="auto"/>
          <w:sz w:val="24"/>
        </w:rPr>
        <w:t>（大鼠经口），根据《化学品分类和标签规范第</w:t>
      </w:r>
      <w:r>
        <w:rPr>
          <w:rFonts w:ascii="Calibri"/>
          <w:color w:val="auto"/>
          <w:sz w:val="24"/>
        </w:rPr>
        <w:t>18</w:t>
      </w:r>
      <w:r w:rsidRPr="00F837A5">
        <w:rPr>
          <w:rFonts w:ascii="Calibri"/>
          <w:color w:val="auto"/>
          <w:sz w:val="24"/>
        </w:rPr>
        <w:t>部分：急性毒性》（</w:t>
      </w:r>
      <w:r w:rsidRPr="00F837A5">
        <w:rPr>
          <w:rFonts w:ascii="Calibri"/>
          <w:color w:val="auto"/>
          <w:sz w:val="24"/>
        </w:rPr>
        <w:t>GB30000.18-2013</w:t>
      </w:r>
      <w:r w:rsidRPr="00F837A5">
        <w:rPr>
          <w:rFonts w:ascii="Calibri"/>
          <w:color w:val="auto"/>
          <w:sz w:val="24"/>
        </w:rPr>
        <w:t>）表</w:t>
      </w:r>
      <w:r w:rsidRPr="00F837A5">
        <w:rPr>
          <w:rFonts w:ascii="Calibri"/>
          <w:color w:val="auto"/>
          <w:sz w:val="24"/>
        </w:rPr>
        <w:t>1</w:t>
      </w:r>
      <w:r w:rsidRPr="00F837A5">
        <w:rPr>
          <w:rFonts w:ascii="Calibri"/>
          <w:color w:val="auto"/>
          <w:sz w:val="24"/>
        </w:rPr>
        <w:t>判定为危害类别</w:t>
      </w:r>
      <w:r w:rsidRPr="00F837A5">
        <w:rPr>
          <w:rFonts w:ascii="Calibri" w:hint="eastAsia"/>
          <w:color w:val="auto"/>
          <w:sz w:val="24"/>
        </w:rPr>
        <w:t>5</w:t>
      </w:r>
      <w:r w:rsidRPr="00F837A5">
        <w:rPr>
          <w:rFonts w:ascii="Calibri"/>
          <w:color w:val="auto"/>
          <w:sz w:val="24"/>
        </w:rPr>
        <w:t>，</w:t>
      </w:r>
      <w:r w:rsidRPr="00F837A5">
        <w:rPr>
          <w:rFonts w:ascii="Calibri" w:hint="eastAsia"/>
          <w:color w:val="auto"/>
          <w:sz w:val="24"/>
        </w:rPr>
        <w:t>无</w:t>
      </w:r>
      <w:r w:rsidRPr="00F837A5">
        <w:rPr>
          <w:rFonts w:ascii="Calibri"/>
          <w:color w:val="auto"/>
          <w:sz w:val="24"/>
        </w:rPr>
        <w:t>推荐临界量。</w:t>
      </w:r>
    </w:p>
    <w:p w14:paraId="5A6AE984" w14:textId="77777777" w:rsidR="00F837A5" w:rsidRPr="00F837A5" w:rsidRDefault="00F837A5" w:rsidP="00F837A5">
      <w:pPr>
        <w:spacing w:line="500" w:lineRule="exact"/>
        <w:ind w:firstLineChars="200" w:firstLine="480"/>
        <w:rPr>
          <w:rFonts w:ascii="Calibri"/>
          <w:color w:val="auto"/>
          <w:sz w:val="24"/>
        </w:rPr>
      </w:pPr>
      <w:r w:rsidRPr="00F837A5">
        <w:rPr>
          <w:rFonts w:ascii="Calibri" w:hint="eastAsia"/>
          <w:color w:val="auto"/>
          <w:sz w:val="24"/>
        </w:rPr>
        <w:t>②乙醇</w:t>
      </w:r>
      <w:r w:rsidRPr="00F837A5">
        <w:rPr>
          <w:rFonts w:ascii="Calibri"/>
          <w:color w:val="auto"/>
          <w:sz w:val="24"/>
        </w:rPr>
        <w:t>由试验得到急性毒性</w:t>
      </w:r>
      <w:r w:rsidRPr="00F837A5">
        <w:rPr>
          <w:rFonts w:ascii="Calibri"/>
          <w:color w:val="auto"/>
          <w:sz w:val="24"/>
        </w:rPr>
        <w:t>LD50</w:t>
      </w:r>
      <w:r w:rsidRPr="00F837A5">
        <w:rPr>
          <w:rFonts w:ascii="Calibri"/>
          <w:color w:val="auto"/>
          <w:sz w:val="24"/>
        </w:rPr>
        <w:t>指标为</w:t>
      </w:r>
      <w:r w:rsidRPr="00F837A5">
        <w:rPr>
          <w:rFonts w:ascii="Calibri"/>
          <w:color w:val="auto"/>
          <w:sz w:val="24"/>
        </w:rPr>
        <w:t>7060mg/kg</w:t>
      </w:r>
      <w:r w:rsidRPr="00F837A5">
        <w:rPr>
          <w:rFonts w:ascii="Calibri"/>
          <w:color w:val="auto"/>
          <w:sz w:val="24"/>
        </w:rPr>
        <w:t>（大鼠经口），根据《化学品分类和标签规范第</w:t>
      </w:r>
      <w:r>
        <w:rPr>
          <w:rFonts w:ascii="Calibri"/>
          <w:color w:val="auto"/>
          <w:sz w:val="24"/>
        </w:rPr>
        <w:t>18</w:t>
      </w:r>
      <w:r w:rsidRPr="00F837A5">
        <w:rPr>
          <w:rFonts w:ascii="Calibri"/>
          <w:color w:val="auto"/>
          <w:sz w:val="24"/>
        </w:rPr>
        <w:t>部分：急性毒性》（</w:t>
      </w:r>
      <w:r w:rsidRPr="00F837A5">
        <w:rPr>
          <w:rFonts w:ascii="Calibri"/>
          <w:color w:val="auto"/>
          <w:sz w:val="24"/>
        </w:rPr>
        <w:t>GB30000.18-2013</w:t>
      </w:r>
      <w:r w:rsidRPr="00F837A5">
        <w:rPr>
          <w:rFonts w:ascii="Calibri"/>
          <w:color w:val="auto"/>
          <w:sz w:val="24"/>
        </w:rPr>
        <w:t>）表</w:t>
      </w:r>
      <w:r w:rsidRPr="00F837A5">
        <w:rPr>
          <w:rFonts w:ascii="Calibri"/>
          <w:color w:val="auto"/>
          <w:sz w:val="24"/>
        </w:rPr>
        <w:t>1</w:t>
      </w:r>
      <w:r w:rsidRPr="00F837A5">
        <w:rPr>
          <w:rFonts w:ascii="Calibri"/>
          <w:color w:val="auto"/>
          <w:sz w:val="24"/>
        </w:rPr>
        <w:t>判定为危害类别</w:t>
      </w:r>
      <w:r w:rsidRPr="00F837A5">
        <w:rPr>
          <w:rFonts w:ascii="Calibri" w:hint="eastAsia"/>
          <w:color w:val="auto"/>
          <w:sz w:val="24"/>
        </w:rPr>
        <w:t>5</w:t>
      </w:r>
      <w:r w:rsidRPr="00F837A5">
        <w:rPr>
          <w:rFonts w:ascii="Calibri"/>
          <w:color w:val="auto"/>
          <w:sz w:val="24"/>
        </w:rPr>
        <w:t>，</w:t>
      </w:r>
      <w:r w:rsidRPr="00F837A5">
        <w:rPr>
          <w:rFonts w:ascii="Calibri" w:hint="eastAsia"/>
          <w:color w:val="auto"/>
          <w:sz w:val="24"/>
        </w:rPr>
        <w:t>无</w:t>
      </w:r>
      <w:r w:rsidRPr="00F837A5">
        <w:rPr>
          <w:rFonts w:ascii="Calibri"/>
          <w:color w:val="auto"/>
          <w:sz w:val="24"/>
        </w:rPr>
        <w:t>推荐临界量。</w:t>
      </w:r>
    </w:p>
    <w:p w14:paraId="528D478A" w14:textId="77777777" w:rsidR="00F837A5" w:rsidRPr="00F837A5" w:rsidRDefault="00F837A5" w:rsidP="00F837A5">
      <w:pPr>
        <w:spacing w:line="500" w:lineRule="exact"/>
        <w:ind w:firstLineChars="200" w:firstLine="480"/>
        <w:rPr>
          <w:rFonts w:ascii="Calibri"/>
          <w:color w:val="auto"/>
          <w:sz w:val="24"/>
        </w:rPr>
      </w:pPr>
      <w:r w:rsidRPr="00F837A5">
        <w:rPr>
          <w:rFonts w:ascii="Calibri" w:hint="eastAsia"/>
          <w:color w:val="auto"/>
          <w:sz w:val="24"/>
        </w:rPr>
        <w:t>③</w:t>
      </w:r>
      <w:r w:rsidRPr="00F837A5">
        <w:rPr>
          <w:rFonts w:ascii="Calibri" w:hint="eastAsia"/>
          <w:color w:val="auto"/>
          <w:sz w:val="24"/>
        </w:rPr>
        <w:t>1010</w:t>
      </w:r>
      <w:r w:rsidRPr="00F837A5">
        <w:rPr>
          <w:rFonts w:ascii="Calibri" w:hint="eastAsia"/>
          <w:color w:val="auto"/>
          <w:sz w:val="24"/>
        </w:rPr>
        <w:t>盐、尼龙</w:t>
      </w:r>
      <w:r w:rsidRPr="00F837A5">
        <w:rPr>
          <w:rFonts w:ascii="Calibri" w:hint="eastAsia"/>
          <w:color w:val="auto"/>
          <w:sz w:val="24"/>
        </w:rPr>
        <w:t>-12</w:t>
      </w:r>
      <w:r w:rsidRPr="00F837A5">
        <w:rPr>
          <w:rFonts w:ascii="Calibri" w:hint="eastAsia"/>
          <w:color w:val="auto"/>
          <w:sz w:val="24"/>
        </w:rPr>
        <w:t>盐及</w:t>
      </w:r>
      <w:r w:rsidRPr="00F837A5">
        <w:rPr>
          <w:rFonts w:ascii="Calibri"/>
          <w:color w:val="auto"/>
          <w:sz w:val="24"/>
        </w:rPr>
        <w:t>尼龙</w:t>
      </w:r>
      <w:r w:rsidRPr="00F837A5">
        <w:rPr>
          <w:rFonts w:ascii="Calibri" w:hint="eastAsia"/>
          <w:color w:val="auto"/>
          <w:sz w:val="24"/>
        </w:rPr>
        <w:t>66</w:t>
      </w:r>
      <w:r w:rsidRPr="00F837A5">
        <w:rPr>
          <w:rFonts w:ascii="Calibri" w:hint="eastAsia"/>
          <w:color w:val="auto"/>
          <w:sz w:val="24"/>
        </w:rPr>
        <w:t>盐未查到</w:t>
      </w:r>
      <w:r w:rsidRPr="00F837A5">
        <w:rPr>
          <w:rFonts w:ascii="Calibri" w:hint="eastAsia"/>
          <w:color w:val="auto"/>
          <w:sz w:val="24"/>
        </w:rPr>
        <w:t>LD50</w:t>
      </w:r>
      <w:r w:rsidRPr="00F837A5">
        <w:rPr>
          <w:rFonts w:ascii="Calibri" w:hint="eastAsia"/>
          <w:color w:val="auto"/>
          <w:sz w:val="24"/>
        </w:rPr>
        <w:t>，无推荐临界量。</w:t>
      </w:r>
    </w:p>
    <w:p w14:paraId="664F311E" w14:textId="38E13C43" w:rsidR="007F4462" w:rsidRDefault="00F837A5" w:rsidP="00BB28C5">
      <w:pPr>
        <w:spacing w:line="500" w:lineRule="exact"/>
        <w:ind w:firstLineChars="200" w:firstLine="480"/>
        <w:rPr>
          <w:rFonts w:ascii="Calibri"/>
          <w:color w:val="auto"/>
          <w:sz w:val="24"/>
        </w:rPr>
      </w:pPr>
      <w:r w:rsidRPr="00F837A5">
        <w:rPr>
          <w:rFonts w:ascii="Calibri" w:hint="eastAsia"/>
          <w:color w:val="auto"/>
          <w:sz w:val="24"/>
        </w:rPr>
        <w:t>综上，项目涉及的风险物质临界量</w:t>
      </w:r>
      <w:r w:rsidRPr="00F837A5">
        <w:rPr>
          <w:rFonts w:ascii="Calibri" w:hint="eastAsia"/>
          <w:color w:val="auto"/>
          <w:sz w:val="24"/>
        </w:rPr>
        <w:t>Q</w:t>
      </w:r>
      <w:r w:rsidRPr="00F837A5">
        <w:rPr>
          <w:rFonts w:ascii="Calibri" w:hint="eastAsia"/>
          <w:color w:val="auto"/>
          <w:sz w:val="24"/>
        </w:rPr>
        <w:t>值计算见下表</w:t>
      </w:r>
      <w:r>
        <w:rPr>
          <w:rFonts w:ascii="Calibri" w:hint="eastAsia"/>
          <w:color w:val="auto"/>
          <w:sz w:val="24"/>
        </w:rPr>
        <w:t>：</w:t>
      </w:r>
    </w:p>
    <w:p w14:paraId="071C3002" w14:textId="77777777" w:rsidR="00B911C2" w:rsidRPr="00F837A5" w:rsidRDefault="00F837A5" w:rsidP="00F837A5">
      <w:pPr>
        <w:spacing w:line="500" w:lineRule="exact"/>
        <w:ind w:firstLineChars="450" w:firstLine="1080"/>
        <w:rPr>
          <w:rFonts w:ascii="黑体" w:eastAsia="黑体" w:hAnsi="黑体"/>
          <w:color w:val="auto"/>
          <w:sz w:val="24"/>
        </w:rPr>
      </w:pPr>
      <w:r w:rsidRPr="00F837A5">
        <w:rPr>
          <w:rFonts w:ascii="Calibri"/>
          <w:color w:val="auto"/>
          <w:sz w:val="24"/>
        </w:rPr>
        <w:t>表</w:t>
      </w:r>
      <w:r>
        <w:rPr>
          <w:rFonts w:ascii="Calibri"/>
          <w:color w:val="auto"/>
          <w:sz w:val="24"/>
        </w:rPr>
        <w:t>4</w:t>
      </w:r>
      <w:r w:rsidRPr="00F837A5">
        <w:rPr>
          <w:rFonts w:ascii="Calibri" w:hint="eastAsia"/>
          <w:color w:val="auto"/>
          <w:sz w:val="24"/>
        </w:rPr>
        <w:t>.2-4</w:t>
      </w:r>
      <w:r w:rsidRPr="00F837A5">
        <w:rPr>
          <w:rFonts w:ascii="Calibri"/>
          <w:color w:val="auto"/>
          <w:sz w:val="24"/>
        </w:rPr>
        <w:t xml:space="preserve">      </w:t>
      </w:r>
      <w:r w:rsidRPr="00F837A5">
        <w:rPr>
          <w:rFonts w:ascii="Calibri" w:hint="eastAsia"/>
          <w:color w:val="auto"/>
          <w:sz w:val="24"/>
        </w:rPr>
        <w:t xml:space="preserve">   </w:t>
      </w:r>
      <w:r w:rsidRPr="00F837A5">
        <w:rPr>
          <w:rFonts w:ascii="Calibri"/>
          <w:color w:val="auto"/>
          <w:sz w:val="24"/>
        </w:rPr>
        <w:t xml:space="preserve"> </w:t>
      </w:r>
      <w:r w:rsidRPr="00F837A5">
        <w:rPr>
          <w:rFonts w:ascii="黑体" w:eastAsia="黑体" w:hAnsi="黑体"/>
          <w:color w:val="auto"/>
          <w:sz w:val="24"/>
        </w:rPr>
        <w:t>项目涉及主要物质临界量一览表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9"/>
        <w:gridCol w:w="2480"/>
        <w:gridCol w:w="3062"/>
        <w:gridCol w:w="1460"/>
        <w:gridCol w:w="1019"/>
      </w:tblGrid>
      <w:tr w:rsidR="00F837A5" w:rsidRPr="00F822D9" w14:paraId="6DC82360" w14:textId="77777777" w:rsidTr="007F4462">
        <w:trPr>
          <w:trHeight w:val="340"/>
          <w:jc w:val="center"/>
        </w:trPr>
        <w:tc>
          <w:tcPr>
            <w:tcW w:w="391" w:type="pct"/>
            <w:noWrap/>
            <w:tcMar>
              <w:left w:w="113" w:type="dxa"/>
              <w:right w:w="113" w:type="dxa"/>
            </w:tcMar>
            <w:vAlign w:val="center"/>
          </w:tcPr>
          <w:p w14:paraId="5F6A639D" w14:textId="77777777" w:rsidR="00F837A5" w:rsidRPr="00F822D9" w:rsidRDefault="00F837A5" w:rsidP="001509A3">
            <w:pPr>
              <w:jc w:val="center"/>
              <w:rPr>
                <w:rFonts w:ascii="Calibri" w:hAnsi="Calibri"/>
                <w:color w:val="auto"/>
                <w:szCs w:val="21"/>
              </w:rPr>
            </w:pPr>
            <w:r w:rsidRPr="00F822D9">
              <w:rPr>
                <w:rFonts w:ascii="Calibri" w:hAnsi="Calibri" w:hint="eastAsia"/>
                <w:color w:val="auto"/>
                <w:szCs w:val="21"/>
              </w:rPr>
              <w:t>序号</w:t>
            </w:r>
          </w:p>
        </w:tc>
        <w:tc>
          <w:tcPr>
            <w:tcW w:w="1425" w:type="pct"/>
            <w:noWrap/>
            <w:vAlign w:val="center"/>
          </w:tcPr>
          <w:p w14:paraId="0F7C624B" w14:textId="77777777" w:rsidR="00F837A5" w:rsidRPr="00F822D9" w:rsidRDefault="00F837A5" w:rsidP="001509A3">
            <w:pPr>
              <w:jc w:val="center"/>
              <w:rPr>
                <w:rFonts w:ascii="Calibri" w:hAnsi="Calibri"/>
                <w:color w:val="auto"/>
                <w:szCs w:val="21"/>
              </w:rPr>
            </w:pPr>
            <w:r w:rsidRPr="00F822D9">
              <w:rPr>
                <w:rFonts w:ascii="Calibri" w:hAnsi="Calibri" w:hint="eastAsia"/>
                <w:color w:val="auto"/>
                <w:szCs w:val="21"/>
              </w:rPr>
              <w:t>物质名称</w:t>
            </w:r>
          </w:p>
        </w:tc>
        <w:tc>
          <w:tcPr>
            <w:tcW w:w="1760" w:type="pct"/>
            <w:noWrap/>
            <w:vAlign w:val="center"/>
          </w:tcPr>
          <w:p w14:paraId="31D38C12" w14:textId="77777777" w:rsidR="00F837A5" w:rsidRPr="00F822D9" w:rsidRDefault="00F837A5" w:rsidP="00F837A5">
            <w:pPr>
              <w:ind w:firstLineChars="350" w:firstLine="735"/>
              <w:rPr>
                <w:rFonts w:ascii="Calibri" w:hAnsi="Calibri"/>
                <w:color w:val="auto"/>
                <w:szCs w:val="21"/>
              </w:rPr>
            </w:pPr>
            <w:r w:rsidRPr="00F822D9">
              <w:rPr>
                <w:rFonts w:ascii="Calibri" w:hAnsi="Calibri" w:hint="eastAsia"/>
                <w:color w:val="auto"/>
                <w:szCs w:val="21"/>
              </w:rPr>
              <w:t>最大存在总量</w:t>
            </w:r>
            <w:r w:rsidRPr="00F822D9">
              <w:rPr>
                <w:rFonts w:ascii="Calibri" w:hAnsi="Calibri"/>
                <w:color w:val="auto"/>
                <w:szCs w:val="21"/>
              </w:rPr>
              <w:t>q</w:t>
            </w:r>
          </w:p>
        </w:tc>
        <w:tc>
          <w:tcPr>
            <w:tcW w:w="839" w:type="pct"/>
            <w:noWrap/>
            <w:vAlign w:val="center"/>
          </w:tcPr>
          <w:p w14:paraId="1BB16A8E" w14:textId="77777777" w:rsidR="00F837A5" w:rsidRPr="00F822D9" w:rsidRDefault="00F837A5" w:rsidP="001509A3">
            <w:pPr>
              <w:jc w:val="center"/>
              <w:rPr>
                <w:rFonts w:ascii="Calibri" w:hAnsi="Calibri"/>
                <w:color w:val="auto"/>
                <w:szCs w:val="21"/>
              </w:rPr>
            </w:pPr>
            <w:r w:rsidRPr="00F822D9">
              <w:rPr>
                <w:rFonts w:ascii="Calibri" w:hAnsi="Calibri" w:hint="eastAsia"/>
                <w:color w:val="auto"/>
                <w:szCs w:val="21"/>
              </w:rPr>
              <w:t>标准临界量</w:t>
            </w:r>
          </w:p>
          <w:p w14:paraId="00517F2A" w14:textId="77777777" w:rsidR="00F837A5" w:rsidRPr="00F822D9" w:rsidRDefault="00F837A5" w:rsidP="001509A3">
            <w:pPr>
              <w:jc w:val="center"/>
              <w:rPr>
                <w:rFonts w:ascii="Calibri" w:hAnsi="Calibri"/>
                <w:color w:val="auto"/>
                <w:szCs w:val="21"/>
              </w:rPr>
            </w:pPr>
            <w:r w:rsidRPr="00F822D9">
              <w:rPr>
                <w:rFonts w:ascii="Calibri" w:hAnsi="Calibri"/>
                <w:color w:val="auto"/>
                <w:szCs w:val="21"/>
              </w:rPr>
              <w:t>Q</w:t>
            </w:r>
            <w:r w:rsidRPr="00F822D9">
              <w:rPr>
                <w:rFonts w:ascii="Calibri" w:hAnsi="Calibri" w:hint="eastAsia"/>
                <w:color w:val="auto"/>
                <w:szCs w:val="21"/>
              </w:rPr>
              <w:t>（</w:t>
            </w:r>
            <w:r w:rsidRPr="00F822D9">
              <w:rPr>
                <w:rFonts w:ascii="Calibri" w:hAnsi="Calibri"/>
                <w:color w:val="auto"/>
                <w:szCs w:val="21"/>
              </w:rPr>
              <w:t>t</w:t>
            </w:r>
            <w:r w:rsidRPr="00F822D9">
              <w:rPr>
                <w:rFonts w:ascii="Calibri" w:hAnsi="Calibri" w:hint="eastAsia"/>
                <w:color w:val="auto"/>
                <w:szCs w:val="21"/>
              </w:rPr>
              <w:t>）</w:t>
            </w:r>
          </w:p>
        </w:tc>
        <w:tc>
          <w:tcPr>
            <w:tcW w:w="586" w:type="pct"/>
            <w:noWrap/>
            <w:vAlign w:val="center"/>
          </w:tcPr>
          <w:p w14:paraId="51881CDD" w14:textId="77777777" w:rsidR="00F837A5" w:rsidRPr="00F822D9" w:rsidRDefault="00F837A5" w:rsidP="001509A3">
            <w:pPr>
              <w:jc w:val="center"/>
              <w:rPr>
                <w:rFonts w:ascii="Calibri" w:hAnsi="Calibri"/>
                <w:color w:val="auto"/>
                <w:szCs w:val="21"/>
              </w:rPr>
            </w:pPr>
            <w:r w:rsidRPr="00F822D9">
              <w:rPr>
                <w:rFonts w:ascii="Calibri" w:hAnsi="Calibri"/>
                <w:color w:val="auto"/>
                <w:szCs w:val="21"/>
              </w:rPr>
              <w:t>q/Q</w:t>
            </w:r>
          </w:p>
        </w:tc>
      </w:tr>
      <w:tr w:rsidR="007F4462" w:rsidRPr="00F822D9" w14:paraId="443B3BDD" w14:textId="77777777" w:rsidTr="007F4462">
        <w:trPr>
          <w:trHeight w:val="340"/>
          <w:jc w:val="center"/>
        </w:trPr>
        <w:tc>
          <w:tcPr>
            <w:tcW w:w="391" w:type="pct"/>
            <w:noWrap/>
            <w:tcMar>
              <w:left w:w="113" w:type="dxa"/>
              <w:right w:w="113" w:type="dxa"/>
            </w:tcMar>
            <w:vAlign w:val="center"/>
          </w:tcPr>
          <w:p w14:paraId="320200FA" w14:textId="77777777" w:rsidR="007F4462" w:rsidRPr="00F822D9" w:rsidRDefault="007F4462" w:rsidP="007F4462">
            <w:pPr>
              <w:jc w:val="center"/>
              <w:rPr>
                <w:rFonts w:ascii="Calibri" w:hAnsi="Calibri"/>
                <w:color w:val="auto"/>
                <w:szCs w:val="21"/>
              </w:rPr>
            </w:pPr>
            <w:r w:rsidRPr="00F822D9">
              <w:rPr>
                <w:rFonts w:ascii="Calibri" w:hAnsi="Calibri"/>
                <w:color w:val="auto"/>
                <w:szCs w:val="21"/>
              </w:rPr>
              <w:t>1</w:t>
            </w:r>
          </w:p>
        </w:tc>
        <w:tc>
          <w:tcPr>
            <w:tcW w:w="1425" w:type="pct"/>
            <w:noWrap/>
            <w:vAlign w:val="center"/>
          </w:tcPr>
          <w:p w14:paraId="11EC4E44" w14:textId="77777777" w:rsidR="007F4462" w:rsidRPr="00C23368" w:rsidRDefault="007F4462" w:rsidP="007F4462">
            <w:pPr>
              <w:widowControl/>
              <w:spacing w:line="320" w:lineRule="exact"/>
              <w:jc w:val="center"/>
              <w:rPr>
                <w:rFonts w:asciiTheme="minorHAnsi" w:hAnsiTheme="minorHAnsi"/>
                <w:kern w:val="0"/>
                <w:szCs w:val="21"/>
              </w:rPr>
            </w:pPr>
            <w:r w:rsidRPr="00C23368">
              <w:rPr>
                <w:rFonts w:asciiTheme="minorHAnsi" w:hAnsiTheme="minorHAnsi"/>
                <w:kern w:val="0"/>
                <w:szCs w:val="21"/>
              </w:rPr>
              <w:t>50%</w:t>
            </w:r>
            <w:r>
              <w:rPr>
                <w:rFonts w:asciiTheme="minorHAnsi" w:hAnsiTheme="minorHAnsi" w:hint="eastAsia"/>
                <w:kern w:val="0"/>
                <w:szCs w:val="21"/>
              </w:rPr>
              <w:t>尼龙</w:t>
            </w:r>
            <w:r>
              <w:rPr>
                <w:rFonts w:asciiTheme="minorHAnsi" w:hAnsiTheme="minorHAnsi" w:hint="eastAsia"/>
                <w:kern w:val="0"/>
                <w:szCs w:val="21"/>
              </w:rPr>
              <w:t>66</w:t>
            </w:r>
            <w:r>
              <w:rPr>
                <w:rFonts w:asciiTheme="minorHAnsi" w:hAnsiTheme="minorHAnsi" w:hint="eastAsia"/>
                <w:kern w:val="0"/>
                <w:szCs w:val="21"/>
              </w:rPr>
              <w:t>盐</w:t>
            </w:r>
            <w:r>
              <w:rPr>
                <w:rFonts w:asciiTheme="minorHAnsi" w:hAnsiTheme="minorHAnsi"/>
                <w:kern w:val="0"/>
                <w:szCs w:val="21"/>
              </w:rPr>
              <w:t>溶液</w:t>
            </w:r>
          </w:p>
        </w:tc>
        <w:tc>
          <w:tcPr>
            <w:tcW w:w="1760" w:type="pct"/>
            <w:noWrap/>
            <w:vAlign w:val="center"/>
          </w:tcPr>
          <w:p w14:paraId="31833935" w14:textId="77777777" w:rsidR="007F4462" w:rsidRPr="0053271F" w:rsidRDefault="007F4462" w:rsidP="007F4462">
            <w:pPr>
              <w:jc w:val="center"/>
              <w:rPr>
                <w:rFonts w:ascii="Calibri" w:hAnsi="Calibri"/>
                <w:color w:val="auto"/>
                <w:szCs w:val="21"/>
              </w:rPr>
            </w:pPr>
            <w:r w:rsidRPr="0053271F">
              <w:rPr>
                <w:rFonts w:ascii="Calibri" w:hAnsi="Calibri"/>
                <w:color w:val="auto"/>
                <w:szCs w:val="21"/>
              </w:rPr>
              <w:t>580t</w:t>
            </w:r>
          </w:p>
        </w:tc>
        <w:tc>
          <w:tcPr>
            <w:tcW w:w="839" w:type="pct"/>
            <w:noWrap/>
            <w:vAlign w:val="center"/>
          </w:tcPr>
          <w:p w14:paraId="12366A11" w14:textId="77777777" w:rsidR="007F4462" w:rsidRPr="00F822D9" w:rsidRDefault="007F4462" w:rsidP="007F4462">
            <w:pPr>
              <w:jc w:val="center"/>
              <w:rPr>
                <w:rFonts w:ascii="Calibri" w:hAnsi="Calibri"/>
                <w:color w:val="auto"/>
                <w:szCs w:val="21"/>
              </w:rPr>
            </w:pPr>
            <w:r>
              <w:rPr>
                <w:rFonts w:hint="eastAsia"/>
                <w:kern w:val="0"/>
                <w:szCs w:val="21"/>
              </w:rPr>
              <w:t>/</w:t>
            </w:r>
          </w:p>
        </w:tc>
        <w:tc>
          <w:tcPr>
            <w:tcW w:w="586" w:type="pct"/>
            <w:noWrap/>
            <w:vAlign w:val="center"/>
          </w:tcPr>
          <w:p w14:paraId="4C8FD069" w14:textId="77777777" w:rsidR="007F4462" w:rsidRPr="00F822D9" w:rsidRDefault="007F4462" w:rsidP="007F4462">
            <w:pPr>
              <w:jc w:val="center"/>
              <w:rPr>
                <w:rFonts w:ascii="Calibri" w:hAnsi="Calibri"/>
                <w:color w:val="auto"/>
                <w:szCs w:val="21"/>
              </w:rPr>
            </w:pPr>
            <w:r>
              <w:rPr>
                <w:rFonts w:ascii="Calibri" w:hAnsi="Calibri" w:hint="eastAsia"/>
                <w:color w:val="auto"/>
                <w:szCs w:val="21"/>
              </w:rPr>
              <w:t>/</w:t>
            </w:r>
          </w:p>
        </w:tc>
      </w:tr>
      <w:tr w:rsidR="007F4462" w:rsidRPr="00F822D9" w14:paraId="540DAAF5" w14:textId="77777777" w:rsidTr="007F4462">
        <w:trPr>
          <w:trHeight w:val="340"/>
          <w:jc w:val="center"/>
        </w:trPr>
        <w:tc>
          <w:tcPr>
            <w:tcW w:w="391" w:type="pct"/>
            <w:noWrap/>
            <w:tcMar>
              <w:left w:w="113" w:type="dxa"/>
              <w:right w:w="113" w:type="dxa"/>
            </w:tcMar>
            <w:vAlign w:val="center"/>
          </w:tcPr>
          <w:p w14:paraId="2F746075" w14:textId="77777777" w:rsidR="007F4462" w:rsidRPr="00F822D9" w:rsidRDefault="007F4462" w:rsidP="007F4462">
            <w:pPr>
              <w:jc w:val="center"/>
              <w:rPr>
                <w:rFonts w:ascii="Calibri" w:hAnsi="Calibri"/>
                <w:color w:val="auto"/>
                <w:szCs w:val="21"/>
              </w:rPr>
            </w:pPr>
            <w:r w:rsidRPr="00F822D9">
              <w:rPr>
                <w:rFonts w:ascii="Calibri" w:hAnsi="Calibri"/>
                <w:color w:val="auto"/>
                <w:szCs w:val="21"/>
              </w:rPr>
              <w:t>2</w:t>
            </w:r>
          </w:p>
        </w:tc>
        <w:tc>
          <w:tcPr>
            <w:tcW w:w="1425" w:type="pct"/>
            <w:noWrap/>
            <w:vAlign w:val="center"/>
          </w:tcPr>
          <w:p w14:paraId="1EA533CF" w14:textId="77777777" w:rsidR="007F4462" w:rsidRPr="00C23368" w:rsidRDefault="007F4462" w:rsidP="007F4462">
            <w:pPr>
              <w:widowControl/>
              <w:spacing w:line="320" w:lineRule="exact"/>
              <w:jc w:val="center"/>
              <w:rPr>
                <w:rFonts w:asciiTheme="minorHAnsi" w:hAnsiTheme="minorHAnsi"/>
                <w:kern w:val="0"/>
                <w:szCs w:val="21"/>
              </w:rPr>
            </w:pPr>
            <w:r w:rsidRPr="00C23368">
              <w:rPr>
                <w:rFonts w:asciiTheme="minorHAnsi" w:hAnsiTheme="minorHAnsi"/>
                <w:kern w:val="0"/>
                <w:szCs w:val="21"/>
              </w:rPr>
              <w:t>尼龙</w:t>
            </w:r>
            <w:r w:rsidRPr="00C23368">
              <w:rPr>
                <w:rFonts w:asciiTheme="minorHAnsi" w:hAnsiTheme="minorHAnsi"/>
                <w:kern w:val="0"/>
                <w:szCs w:val="21"/>
              </w:rPr>
              <w:t>1010</w:t>
            </w:r>
            <w:r w:rsidRPr="00C23368">
              <w:rPr>
                <w:rFonts w:asciiTheme="minorHAnsi" w:hAnsiTheme="minorHAnsi"/>
                <w:kern w:val="0"/>
                <w:szCs w:val="21"/>
              </w:rPr>
              <w:t>盐</w:t>
            </w:r>
          </w:p>
        </w:tc>
        <w:tc>
          <w:tcPr>
            <w:tcW w:w="1760" w:type="pct"/>
            <w:noWrap/>
            <w:vAlign w:val="center"/>
          </w:tcPr>
          <w:p w14:paraId="42C154BB" w14:textId="77777777" w:rsidR="007F4462" w:rsidRPr="0053271F" w:rsidRDefault="007F4462" w:rsidP="007F4462">
            <w:pPr>
              <w:jc w:val="center"/>
              <w:rPr>
                <w:rFonts w:ascii="Calibri" w:hAnsi="Calibri"/>
                <w:color w:val="auto"/>
                <w:szCs w:val="21"/>
              </w:rPr>
            </w:pPr>
            <w:r w:rsidRPr="0053271F">
              <w:rPr>
                <w:rFonts w:ascii="Calibri" w:hAnsi="Calibri"/>
                <w:color w:val="auto"/>
                <w:szCs w:val="21"/>
              </w:rPr>
              <w:t>72t</w:t>
            </w:r>
          </w:p>
        </w:tc>
        <w:tc>
          <w:tcPr>
            <w:tcW w:w="839" w:type="pct"/>
            <w:noWrap/>
            <w:vAlign w:val="center"/>
          </w:tcPr>
          <w:p w14:paraId="0DDC5D2F" w14:textId="77777777" w:rsidR="007F4462" w:rsidRPr="00F822D9" w:rsidRDefault="007F4462" w:rsidP="007F4462">
            <w:pPr>
              <w:jc w:val="center"/>
              <w:rPr>
                <w:rFonts w:ascii="Calibri" w:hAnsi="Calibri"/>
                <w:color w:val="auto"/>
                <w:szCs w:val="21"/>
              </w:rPr>
            </w:pPr>
            <w:r>
              <w:rPr>
                <w:rFonts w:hint="eastAsia"/>
                <w:kern w:val="0"/>
                <w:szCs w:val="21"/>
              </w:rPr>
              <w:t>/</w:t>
            </w:r>
          </w:p>
        </w:tc>
        <w:tc>
          <w:tcPr>
            <w:tcW w:w="586" w:type="pct"/>
            <w:noWrap/>
            <w:vAlign w:val="center"/>
          </w:tcPr>
          <w:p w14:paraId="59EF7FFB" w14:textId="77777777" w:rsidR="007F4462" w:rsidRPr="00F822D9" w:rsidRDefault="007F4462" w:rsidP="007F4462">
            <w:pPr>
              <w:jc w:val="center"/>
              <w:rPr>
                <w:rFonts w:ascii="Calibri" w:hAnsi="Calibri"/>
                <w:color w:val="auto"/>
                <w:szCs w:val="21"/>
              </w:rPr>
            </w:pPr>
            <w:r>
              <w:rPr>
                <w:rFonts w:ascii="Calibri" w:hAnsi="Calibri" w:hint="eastAsia"/>
                <w:color w:val="auto"/>
                <w:szCs w:val="21"/>
              </w:rPr>
              <w:t>/</w:t>
            </w:r>
          </w:p>
        </w:tc>
      </w:tr>
      <w:tr w:rsidR="007F4462" w:rsidRPr="00F822D9" w14:paraId="63BB95BD" w14:textId="77777777" w:rsidTr="007F4462">
        <w:trPr>
          <w:trHeight w:val="340"/>
          <w:jc w:val="center"/>
        </w:trPr>
        <w:tc>
          <w:tcPr>
            <w:tcW w:w="391" w:type="pct"/>
            <w:noWrap/>
            <w:tcMar>
              <w:left w:w="113" w:type="dxa"/>
              <w:right w:w="113" w:type="dxa"/>
            </w:tcMar>
            <w:vAlign w:val="center"/>
          </w:tcPr>
          <w:p w14:paraId="2B644CA0" w14:textId="77777777" w:rsidR="007F4462" w:rsidRPr="00F822D9" w:rsidRDefault="007F4462" w:rsidP="007F4462">
            <w:pPr>
              <w:jc w:val="center"/>
              <w:rPr>
                <w:rFonts w:ascii="Calibri" w:hAnsi="Calibri"/>
                <w:color w:val="auto"/>
                <w:szCs w:val="21"/>
              </w:rPr>
            </w:pPr>
            <w:r w:rsidRPr="00F822D9">
              <w:rPr>
                <w:rFonts w:ascii="Calibri" w:hAnsi="Calibri"/>
                <w:color w:val="auto"/>
                <w:szCs w:val="21"/>
              </w:rPr>
              <w:t>3</w:t>
            </w:r>
          </w:p>
        </w:tc>
        <w:tc>
          <w:tcPr>
            <w:tcW w:w="1425" w:type="pct"/>
            <w:noWrap/>
            <w:vAlign w:val="center"/>
          </w:tcPr>
          <w:p w14:paraId="41DC64E0" w14:textId="77777777" w:rsidR="007F4462" w:rsidRPr="00C23368" w:rsidRDefault="007F4462" w:rsidP="007F4462">
            <w:pPr>
              <w:widowControl/>
              <w:spacing w:line="320" w:lineRule="exact"/>
              <w:jc w:val="center"/>
              <w:rPr>
                <w:rFonts w:asciiTheme="minorHAnsi" w:hAnsiTheme="minorHAnsi"/>
                <w:kern w:val="0"/>
                <w:szCs w:val="21"/>
              </w:rPr>
            </w:pPr>
            <w:r w:rsidRPr="00C23368">
              <w:rPr>
                <w:rFonts w:asciiTheme="minorHAnsi" w:hAnsiTheme="minorHAnsi"/>
                <w:kern w:val="0"/>
                <w:szCs w:val="21"/>
              </w:rPr>
              <w:t>尼龙</w:t>
            </w:r>
            <w:r w:rsidRPr="00C23368">
              <w:rPr>
                <w:rFonts w:asciiTheme="minorHAnsi" w:hAnsiTheme="minorHAnsi"/>
                <w:kern w:val="0"/>
                <w:szCs w:val="21"/>
              </w:rPr>
              <w:t>12</w:t>
            </w:r>
            <w:r w:rsidRPr="00C23368">
              <w:rPr>
                <w:rFonts w:asciiTheme="minorHAnsi" w:hAnsiTheme="minorHAnsi"/>
                <w:kern w:val="0"/>
                <w:szCs w:val="21"/>
              </w:rPr>
              <w:t>盐</w:t>
            </w:r>
          </w:p>
        </w:tc>
        <w:tc>
          <w:tcPr>
            <w:tcW w:w="1760" w:type="pct"/>
            <w:noWrap/>
            <w:vAlign w:val="center"/>
          </w:tcPr>
          <w:p w14:paraId="3F16BB8B" w14:textId="77777777" w:rsidR="007F4462" w:rsidRPr="0053271F" w:rsidRDefault="007F4462" w:rsidP="007F4462">
            <w:pPr>
              <w:jc w:val="center"/>
              <w:rPr>
                <w:rFonts w:ascii="Calibri" w:hAnsi="Calibri"/>
                <w:color w:val="auto"/>
                <w:szCs w:val="21"/>
              </w:rPr>
            </w:pPr>
            <w:r w:rsidRPr="0053271F">
              <w:rPr>
                <w:rFonts w:ascii="Calibri" w:hAnsi="Calibri"/>
                <w:color w:val="auto"/>
                <w:szCs w:val="21"/>
              </w:rPr>
              <w:t>290t</w:t>
            </w:r>
          </w:p>
        </w:tc>
        <w:tc>
          <w:tcPr>
            <w:tcW w:w="839" w:type="pct"/>
            <w:noWrap/>
            <w:vAlign w:val="center"/>
          </w:tcPr>
          <w:p w14:paraId="662598FD" w14:textId="77777777" w:rsidR="007F4462" w:rsidRPr="00F822D9" w:rsidRDefault="007F4462" w:rsidP="007F4462">
            <w:pPr>
              <w:jc w:val="center"/>
              <w:rPr>
                <w:rFonts w:ascii="Calibri" w:hAnsi="Calibri"/>
                <w:color w:val="auto"/>
                <w:szCs w:val="21"/>
              </w:rPr>
            </w:pPr>
            <w:r>
              <w:rPr>
                <w:rFonts w:hint="eastAsia"/>
                <w:kern w:val="0"/>
                <w:szCs w:val="21"/>
              </w:rPr>
              <w:t>/</w:t>
            </w:r>
          </w:p>
        </w:tc>
        <w:tc>
          <w:tcPr>
            <w:tcW w:w="586" w:type="pct"/>
            <w:noWrap/>
            <w:vAlign w:val="center"/>
          </w:tcPr>
          <w:p w14:paraId="4B6B056A" w14:textId="77777777" w:rsidR="007F4462" w:rsidRPr="00F822D9" w:rsidRDefault="007F4462" w:rsidP="007F4462">
            <w:pPr>
              <w:jc w:val="center"/>
              <w:rPr>
                <w:rFonts w:ascii="Calibri" w:hAnsi="Calibri"/>
                <w:color w:val="auto"/>
                <w:szCs w:val="21"/>
              </w:rPr>
            </w:pPr>
            <w:r>
              <w:rPr>
                <w:rFonts w:ascii="Calibri" w:hAnsi="Calibri" w:hint="eastAsia"/>
                <w:color w:val="auto"/>
                <w:szCs w:val="21"/>
              </w:rPr>
              <w:t>/</w:t>
            </w:r>
          </w:p>
        </w:tc>
      </w:tr>
      <w:tr w:rsidR="00F837A5" w:rsidRPr="00F822D9" w14:paraId="0050171C" w14:textId="77777777" w:rsidTr="007F4462">
        <w:trPr>
          <w:trHeight w:val="340"/>
          <w:jc w:val="center"/>
        </w:trPr>
        <w:tc>
          <w:tcPr>
            <w:tcW w:w="391" w:type="pct"/>
            <w:noWrap/>
            <w:tcMar>
              <w:left w:w="113" w:type="dxa"/>
              <w:right w:w="113" w:type="dxa"/>
            </w:tcMar>
            <w:vAlign w:val="center"/>
          </w:tcPr>
          <w:p w14:paraId="2E6C5285" w14:textId="77777777" w:rsidR="00F837A5" w:rsidRPr="00F822D9" w:rsidRDefault="00F837A5" w:rsidP="00F837A5">
            <w:pPr>
              <w:jc w:val="center"/>
              <w:rPr>
                <w:rFonts w:ascii="Calibri" w:hAnsi="Calibri"/>
                <w:color w:val="auto"/>
                <w:szCs w:val="21"/>
              </w:rPr>
            </w:pPr>
            <w:r w:rsidRPr="00F822D9">
              <w:rPr>
                <w:rFonts w:ascii="Calibri" w:hAnsi="Calibri"/>
                <w:color w:val="auto"/>
                <w:szCs w:val="21"/>
              </w:rPr>
              <w:t>4</w:t>
            </w:r>
          </w:p>
        </w:tc>
        <w:tc>
          <w:tcPr>
            <w:tcW w:w="1425" w:type="pct"/>
            <w:noWrap/>
            <w:vAlign w:val="center"/>
          </w:tcPr>
          <w:p w14:paraId="0CA69083"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次磷酸钠</w:t>
            </w:r>
          </w:p>
        </w:tc>
        <w:tc>
          <w:tcPr>
            <w:tcW w:w="1760" w:type="pct"/>
            <w:noWrap/>
            <w:vAlign w:val="center"/>
          </w:tcPr>
          <w:p w14:paraId="6D029D0C" w14:textId="77777777" w:rsidR="00F837A5" w:rsidRPr="00C23368" w:rsidRDefault="00F837A5" w:rsidP="00F837A5">
            <w:pPr>
              <w:spacing w:line="360" w:lineRule="exact"/>
              <w:jc w:val="center"/>
              <w:textAlignment w:val="center"/>
              <w:rPr>
                <w:rFonts w:asciiTheme="minorHAnsi" w:hAnsiTheme="minorHAnsi"/>
                <w:szCs w:val="21"/>
              </w:rPr>
            </w:pPr>
            <w:r w:rsidRPr="00C23368">
              <w:rPr>
                <w:rFonts w:asciiTheme="minorHAnsi" w:hAnsiTheme="minorHAnsi"/>
                <w:szCs w:val="21"/>
              </w:rPr>
              <w:t>0.0</w:t>
            </w:r>
            <w:r>
              <w:rPr>
                <w:rFonts w:asciiTheme="minorHAnsi" w:hAnsiTheme="minorHAnsi"/>
                <w:szCs w:val="21"/>
              </w:rPr>
              <w:t>6</w:t>
            </w:r>
            <w:r w:rsidRPr="00C23368">
              <w:rPr>
                <w:rFonts w:asciiTheme="minorHAnsi" w:hAnsiTheme="minorHAnsi"/>
                <w:szCs w:val="21"/>
              </w:rPr>
              <w:t>t</w:t>
            </w:r>
          </w:p>
        </w:tc>
        <w:tc>
          <w:tcPr>
            <w:tcW w:w="839" w:type="pct"/>
            <w:noWrap/>
            <w:vAlign w:val="center"/>
          </w:tcPr>
          <w:p w14:paraId="184FBCB0" w14:textId="77777777" w:rsidR="00F837A5" w:rsidRPr="00F822D9" w:rsidRDefault="00F837A5" w:rsidP="00F837A5">
            <w:pPr>
              <w:jc w:val="center"/>
              <w:rPr>
                <w:rFonts w:ascii="Calibri" w:hAnsi="Calibri"/>
                <w:color w:val="auto"/>
                <w:szCs w:val="21"/>
              </w:rPr>
            </w:pPr>
            <w:r>
              <w:rPr>
                <w:rFonts w:hint="eastAsia"/>
                <w:kern w:val="0"/>
                <w:szCs w:val="21"/>
              </w:rPr>
              <w:t>/</w:t>
            </w:r>
          </w:p>
        </w:tc>
        <w:tc>
          <w:tcPr>
            <w:tcW w:w="586" w:type="pct"/>
            <w:noWrap/>
            <w:vAlign w:val="center"/>
          </w:tcPr>
          <w:p w14:paraId="460671FF"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w:t>
            </w:r>
          </w:p>
        </w:tc>
      </w:tr>
      <w:tr w:rsidR="00F837A5" w:rsidRPr="00F822D9" w14:paraId="5D99CCDA" w14:textId="77777777" w:rsidTr="007F4462">
        <w:trPr>
          <w:trHeight w:val="340"/>
          <w:jc w:val="center"/>
        </w:trPr>
        <w:tc>
          <w:tcPr>
            <w:tcW w:w="391" w:type="pct"/>
            <w:noWrap/>
            <w:tcMar>
              <w:left w:w="113" w:type="dxa"/>
              <w:right w:w="113" w:type="dxa"/>
            </w:tcMar>
            <w:vAlign w:val="center"/>
          </w:tcPr>
          <w:p w14:paraId="1B934DFD" w14:textId="77777777" w:rsidR="00F837A5" w:rsidRPr="00F822D9" w:rsidRDefault="00F837A5" w:rsidP="00F837A5">
            <w:pPr>
              <w:jc w:val="center"/>
              <w:rPr>
                <w:rFonts w:ascii="Calibri" w:hAnsi="Calibri"/>
                <w:color w:val="auto"/>
                <w:szCs w:val="21"/>
              </w:rPr>
            </w:pPr>
            <w:r w:rsidRPr="00F822D9">
              <w:rPr>
                <w:rFonts w:ascii="Calibri" w:hAnsi="Calibri"/>
                <w:color w:val="auto"/>
                <w:szCs w:val="21"/>
              </w:rPr>
              <w:t>5</w:t>
            </w:r>
          </w:p>
        </w:tc>
        <w:tc>
          <w:tcPr>
            <w:tcW w:w="1425" w:type="pct"/>
            <w:noWrap/>
            <w:vAlign w:val="center"/>
          </w:tcPr>
          <w:p w14:paraId="7D239AF4"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管道天然气（以甲烷计）</w:t>
            </w:r>
          </w:p>
        </w:tc>
        <w:tc>
          <w:tcPr>
            <w:tcW w:w="1760" w:type="pct"/>
            <w:noWrap/>
            <w:vAlign w:val="center"/>
          </w:tcPr>
          <w:p w14:paraId="59FC8C22"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管线存量</w:t>
            </w:r>
            <w:r w:rsidRPr="00C23368">
              <w:rPr>
                <w:rFonts w:asciiTheme="minorHAnsi" w:hAnsiTheme="minorHAnsi"/>
                <w:kern w:val="0"/>
                <w:szCs w:val="21"/>
              </w:rPr>
              <w:t>10.26m</w:t>
            </w:r>
            <w:r w:rsidRPr="00C23368">
              <w:rPr>
                <w:rFonts w:asciiTheme="minorHAnsi" w:hAnsiTheme="minorHAnsi"/>
                <w:kern w:val="0"/>
                <w:szCs w:val="21"/>
                <w:vertAlign w:val="superscript"/>
              </w:rPr>
              <w:t>3</w:t>
            </w:r>
            <w:r w:rsidRPr="00C23368">
              <w:rPr>
                <w:rFonts w:asciiTheme="minorHAnsi" w:hAnsiTheme="minorHAnsi"/>
                <w:kern w:val="0"/>
                <w:szCs w:val="21"/>
              </w:rPr>
              <w:t>，折合</w:t>
            </w:r>
            <w:r w:rsidRPr="00C23368">
              <w:rPr>
                <w:rFonts w:asciiTheme="minorHAnsi" w:hAnsiTheme="minorHAnsi"/>
                <w:kern w:val="0"/>
                <w:szCs w:val="21"/>
              </w:rPr>
              <w:t>0.0074t</w:t>
            </w:r>
          </w:p>
        </w:tc>
        <w:tc>
          <w:tcPr>
            <w:tcW w:w="839" w:type="pct"/>
            <w:noWrap/>
            <w:vAlign w:val="center"/>
          </w:tcPr>
          <w:p w14:paraId="4898DA2E" w14:textId="77777777" w:rsidR="00F837A5" w:rsidRPr="00F822D9" w:rsidRDefault="00F837A5" w:rsidP="00F837A5">
            <w:pPr>
              <w:jc w:val="center"/>
              <w:rPr>
                <w:rFonts w:ascii="Calibri" w:hAnsi="Calibri"/>
                <w:color w:val="auto"/>
                <w:szCs w:val="21"/>
              </w:rPr>
            </w:pPr>
            <w:r>
              <w:rPr>
                <w:rFonts w:ascii="Calibri" w:hAnsi="Calibri"/>
                <w:color w:val="auto"/>
                <w:szCs w:val="21"/>
              </w:rPr>
              <w:t>10</w:t>
            </w:r>
          </w:p>
        </w:tc>
        <w:tc>
          <w:tcPr>
            <w:tcW w:w="586" w:type="pct"/>
            <w:noWrap/>
            <w:vAlign w:val="center"/>
          </w:tcPr>
          <w:p w14:paraId="2AF6EAC8"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0.00074</w:t>
            </w:r>
          </w:p>
        </w:tc>
      </w:tr>
      <w:tr w:rsidR="00F837A5" w:rsidRPr="00F822D9" w14:paraId="4DC922FD" w14:textId="77777777" w:rsidTr="007F4462">
        <w:trPr>
          <w:trHeight w:val="340"/>
          <w:jc w:val="center"/>
        </w:trPr>
        <w:tc>
          <w:tcPr>
            <w:tcW w:w="391" w:type="pct"/>
            <w:noWrap/>
            <w:tcMar>
              <w:left w:w="113" w:type="dxa"/>
              <w:right w:w="113" w:type="dxa"/>
            </w:tcMar>
            <w:vAlign w:val="center"/>
          </w:tcPr>
          <w:p w14:paraId="7054AAFF" w14:textId="77777777" w:rsidR="00F837A5" w:rsidRPr="00F822D9" w:rsidRDefault="00F837A5" w:rsidP="00F837A5">
            <w:pPr>
              <w:jc w:val="center"/>
              <w:rPr>
                <w:rFonts w:ascii="Calibri" w:hAnsi="Calibri"/>
                <w:color w:val="auto"/>
                <w:szCs w:val="21"/>
              </w:rPr>
            </w:pPr>
            <w:r w:rsidRPr="00F822D9">
              <w:rPr>
                <w:rFonts w:ascii="Calibri" w:hAnsi="Calibri" w:hint="eastAsia"/>
                <w:color w:val="auto"/>
                <w:szCs w:val="21"/>
              </w:rPr>
              <w:t>6</w:t>
            </w:r>
          </w:p>
        </w:tc>
        <w:tc>
          <w:tcPr>
            <w:tcW w:w="1425" w:type="pct"/>
            <w:noWrap/>
            <w:vAlign w:val="center"/>
          </w:tcPr>
          <w:p w14:paraId="7B30F6BD"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szCs w:val="21"/>
              </w:rPr>
              <w:t>导热油</w:t>
            </w:r>
          </w:p>
        </w:tc>
        <w:tc>
          <w:tcPr>
            <w:tcW w:w="1760" w:type="pct"/>
            <w:noWrap/>
            <w:vAlign w:val="center"/>
          </w:tcPr>
          <w:p w14:paraId="2076A57A" w14:textId="77777777" w:rsidR="00F837A5" w:rsidRPr="00C23368" w:rsidRDefault="00F837A5" w:rsidP="00F837A5">
            <w:pPr>
              <w:widowControl/>
              <w:spacing w:line="320" w:lineRule="exact"/>
              <w:jc w:val="center"/>
              <w:rPr>
                <w:rFonts w:asciiTheme="minorHAnsi" w:hAnsiTheme="minorHAnsi"/>
                <w:kern w:val="0"/>
                <w:szCs w:val="21"/>
              </w:rPr>
            </w:pPr>
            <w:r>
              <w:rPr>
                <w:rFonts w:asciiTheme="minorHAnsi" w:hAnsiTheme="minorHAnsi"/>
                <w:kern w:val="0"/>
                <w:szCs w:val="21"/>
              </w:rPr>
              <w:t>14t</w:t>
            </w:r>
          </w:p>
        </w:tc>
        <w:tc>
          <w:tcPr>
            <w:tcW w:w="839" w:type="pct"/>
            <w:noWrap/>
            <w:vAlign w:val="center"/>
          </w:tcPr>
          <w:p w14:paraId="02B6F3B2" w14:textId="77777777" w:rsidR="00F837A5" w:rsidRPr="00F822D9" w:rsidRDefault="00F837A5" w:rsidP="00F837A5">
            <w:pPr>
              <w:jc w:val="center"/>
              <w:rPr>
                <w:rFonts w:ascii="Calibri" w:hAnsi="Calibri"/>
                <w:color w:val="auto"/>
                <w:szCs w:val="21"/>
              </w:rPr>
            </w:pPr>
            <w:r>
              <w:rPr>
                <w:rFonts w:ascii="Calibri" w:hAnsi="Calibri"/>
                <w:color w:val="auto"/>
                <w:szCs w:val="21"/>
              </w:rPr>
              <w:t>2500</w:t>
            </w:r>
          </w:p>
        </w:tc>
        <w:tc>
          <w:tcPr>
            <w:tcW w:w="586" w:type="pct"/>
            <w:noWrap/>
            <w:vAlign w:val="center"/>
          </w:tcPr>
          <w:p w14:paraId="3FAF93E2"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0.0056</w:t>
            </w:r>
          </w:p>
        </w:tc>
      </w:tr>
      <w:tr w:rsidR="009E4E1D" w:rsidRPr="00F822D9" w14:paraId="04190C4B" w14:textId="77777777" w:rsidTr="007F4462">
        <w:trPr>
          <w:trHeight w:val="340"/>
          <w:jc w:val="center"/>
        </w:trPr>
        <w:tc>
          <w:tcPr>
            <w:tcW w:w="391" w:type="pct"/>
            <w:noWrap/>
            <w:tcMar>
              <w:left w:w="113" w:type="dxa"/>
              <w:right w:w="113" w:type="dxa"/>
            </w:tcMar>
            <w:vAlign w:val="center"/>
          </w:tcPr>
          <w:p w14:paraId="3850253E" w14:textId="77777777" w:rsidR="009E4E1D" w:rsidRPr="00F822D9" w:rsidRDefault="009E4E1D" w:rsidP="00F837A5">
            <w:pPr>
              <w:jc w:val="center"/>
              <w:rPr>
                <w:rFonts w:ascii="Calibri" w:hAnsi="Calibri"/>
                <w:color w:val="auto"/>
                <w:szCs w:val="21"/>
              </w:rPr>
            </w:pPr>
            <w:r>
              <w:rPr>
                <w:rFonts w:ascii="Calibri" w:hAnsi="Calibri" w:hint="eastAsia"/>
                <w:color w:val="auto"/>
                <w:szCs w:val="21"/>
              </w:rPr>
              <w:t>7</w:t>
            </w:r>
          </w:p>
        </w:tc>
        <w:tc>
          <w:tcPr>
            <w:tcW w:w="1425" w:type="pct"/>
            <w:noWrap/>
            <w:vAlign w:val="center"/>
          </w:tcPr>
          <w:p w14:paraId="75B1937C" w14:textId="77777777" w:rsidR="009E4E1D" w:rsidRPr="00C23368" w:rsidRDefault="009E4E1D" w:rsidP="00F837A5">
            <w:pPr>
              <w:widowControl/>
              <w:spacing w:line="320" w:lineRule="exact"/>
              <w:jc w:val="center"/>
              <w:rPr>
                <w:rFonts w:asciiTheme="minorHAnsi" w:hAnsiTheme="minorHAnsi"/>
                <w:szCs w:val="21"/>
              </w:rPr>
            </w:pPr>
            <w:r>
              <w:rPr>
                <w:rFonts w:asciiTheme="minorHAnsi" w:hAnsiTheme="minorHAnsi" w:hint="eastAsia"/>
                <w:szCs w:val="21"/>
              </w:rPr>
              <w:t>废机油</w:t>
            </w:r>
          </w:p>
        </w:tc>
        <w:tc>
          <w:tcPr>
            <w:tcW w:w="1760" w:type="pct"/>
            <w:noWrap/>
            <w:vAlign w:val="center"/>
          </w:tcPr>
          <w:p w14:paraId="387405B1" w14:textId="77777777" w:rsidR="009E4E1D" w:rsidRDefault="009E4E1D" w:rsidP="00F837A5">
            <w:pPr>
              <w:widowControl/>
              <w:spacing w:line="320" w:lineRule="exact"/>
              <w:jc w:val="center"/>
              <w:rPr>
                <w:rFonts w:asciiTheme="minorHAnsi" w:hAnsiTheme="minorHAnsi"/>
                <w:kern w:val="0"/>
                <w:szCs w:val="21"/>
              </w:rPr>
            </w:pPr>
            <w:r>
              <w:rPr>
                <w:rFonts w:asciiTheme="minorHAnsi" w:hAnsiTheme="minorHAnsi" w:hint="eastAsia"/>
                <w:kern w:val="0"/>
                <w:szCs w:val="21"/>
              </w:rPr>
              <w:t>0.5</w:t>
            </w:r>
            <w:r>
              <w:rPr>
                <w:rFonts w:asciiTheme="minorHAnsi" w:hAnsiTheme="minorHAnsi"/>
                <w:kern w:val="0"/>
                <w:szCs w:val="21"/>
              </w:rPr>
              <w:t>t</w:t>
            </w:r>
          </w:p>
        </w:tc>
        <w:tc>
          <w:tcPr>
            <w:tcW w:w="839" w:type="pct"/>
            <w:noWrap/>
            <w:vAlign w:val="center"/>
          </w:tcPr>
          <w:p w14:paraId="560B24B3" w14:textId="77777777" w:rsidR="009E4E1D" w:rsidRDefault="009E4E1D" w:rsidP="00F837A5">
            <w:pPr>
              <w:jc w:val="center"/>
              <w:rPr>
                <w:rFonts w:ascii="Calibri" w:hAnsi="Calibri"/>
                <w:color w:val="auto"/>
                <w:szCs w:val="21"/>
              </w:rPr>
            </w:pPr>
            <w:r>
              <w:rPr>
                <w:rFonts w:ascii="Calibri" w:hAnsi="Calibri" w:hint="eastAsia"/>
                <w:color w:val="auto"/>
                <w:szCs w:val="21"/>
              </w:rPr>
              <w:t>2500</w:t>
            </w:r>
          </w:p>
        </w:tc>
        <w:tc>
          <w:tcPr>
            <w:tcW w:w="586" w:type="pct"/>
            <w:noWrap/>
            <w:vAlign w:val="center"/>
          </w:tcPr>
          <w:p w14:paraId="048BD939" w14:textId="77777777" w:rsidR="009E4E1D" w:rsidRDefault="009E4E1D" w:rsidP="00F837A5">
            <w:pPr>
              <w:jc w:val="center"/>
              <w:rPr>
                <w:rFonts w:ascii="Calibri" w:hAnsi="Calibri"/>
                <w:color w:val="auto"/>
                <w:szCs w:val="21"/>
              </w:rPr>
            </w:pPr>
            <w:r>
              <w:rPr>
                <w:rFonts w:ascii="Calibri" w:hAnsi="Calibri" w:hint="eastAsia"/>
                <w:color w:val="auto"/>
                <w:szCs w:val="21"/>
              </w:rPr>
              <w:t>0.0002</w:t>
            </w:r>
          </w:p>
        </w:tc>
      </w:tr>
      <w:tr w:rsidR="00F837A5" w:rsidRPr="00F822D9" w14:paraId="21D209A1" w14:textId="77777777" w:rsidTr="007F4462">
        <w:trPr>
          <w:trHeight w:val="340"/>
          <w:jc w:val="center"/>
        </w:trPr>
        <w:tc>
          <w:tcPr>
            <w:tcW w:w="391" w:type="pct"/>
            <w:noWrap/>
            <w:tcMar>
              <w:left w:w="113" w:type="dxa"/>
              <w:right w:w="113" w:type="dxa"/>
            </w:tcMar>
            <w:vAlign w:val="center"/>
          </w:tcPr>
          <w:p w14:paraId="4FF94FA5" w14:textId="77777777" w:rsidR="00F837A5" w:rsidRPr="00F822D9" w:rsidRDefault="009E4E1D" w:rsidP="00F837A5">
            <w:pPr>
              <w:jc w:val="center"/>
              <w:rPr>
                <w:rFonts w:ascii="Calibri" w:hAnsi="Calibri"/>
                <w:color w:val="auto"/>
                <w:szCs w:val="21"/>
              </w:rPr>
            </w:pPr>
            <w:r>
              <w:rPr>
                <w:rFonts w:ascii="Calibri" w:hAnsi="Calibri"/>
                <w:color w:val="auto"/>
                <w:szCs w:val="21"/>
              </w:rPr>
              <w:t>8</w:t>
            </w:r>
          </w:p>
        </w:tc>
        <w:tc>
          <w:tcPr>
            <w:tcW w:w="1425" w:type="pct"/>
            <w:noWrap/>
            <w:vAlign w:val="center"/>
          </w:tcPr>
          <w:p w14:paraId="2A7141D6"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甲酸试剂</w:t>
            </w:r>
          </w:p>
        </w:tc>
        <w:tc>
          <w:tcPr>
            <w:tcW w:w="1760" w:type="pct"/>
            <w:noWrap/>
            <w:vAlign w:val="center"/>
          </w:tcPr>
          <w:p w14:paraId="55F780DD" w14:textId="77777777" w:rsidR="00F837A5" w:rsidRPr="00C23368" w:rsidRDefault="00F837A5" w:rsidP="00F837A5">
            <w:pPr>
              <w:widowControl/>
              <w:spacing w:line="320" w:lineRule="exact"/>
              <w:jc w:val="center"/>
              <w:rPr>
                <w:rFonts w:asciiTheme="minorHAnsi" w:hAnsiTheme="minorHAnsi"/>
                <w:kern w:val="0"/>
                <w:szCs w:val="21"/>
              </w:rPr>
            </w:pPr>
            <w:r>
              <w:rPr>
                <w:rFonts w:asciiTheme="minorHAnsi" w:hAnsiTheme="minorHAnsi" w:hint="eastAsia"/>
                <w:kern w:val="0"/>
                <w:szCs w:val="21"/>
              </w:rPr>
              <w:t>0.024</w:t>
            </w:r>
            <w:r>
              <w:rPr>
                <w:rFonts w:asciiTheme="minorHAnsi" w:hAnsiTheme="minorHAnsi"/>
                <w:kern w:val="0"/>
                <w:szCs w:val="21"/>
              </w:rPr>
              <w:t>t</w:t>
            </w:r>
          </w:p>
        </w:tc>
        <w:tc>
          <w:tcPr>
            <w:tcW w:w="839" w:type="pct"/>
            <w:noWrap/>
            <w:vAlign w:val="center"/>
          </w:tcPr>
          <w:p w14:paraId="13177B20" w14:textId="77777777" w:rsidR="00F837A5" w:rsidRPr="00F822D9" w:rsidRDefault="00F837A5" w:rsidP="00F837A5">
            <w:pPr>
              <w:jc w:val="center"/>
              <w:rPr>
                <w:rFonts w:ascii="Calibri" w:hAnsi="Calibri"/>
                <w:color w:val="auto"/>
                <w:szCs w:val="21"/>
              </w:rPr>
            </w:pPr>
            <w:r w:rsidRPr="00F822D9">
              <w:rPr>
                <w:rFonts w:ascii="Calibri" w:hAnsi="Calibri" w:hint="eastAsia"/>
                <w:color w:val="auto"/>
                <w:szCs w:val="21"/>
              </w:rPr>
              <w:t>10</w:t>
            </w:r>
          </w:p>
        </w:tc>
        <w:tc>
          <w:tcPr>
            <w:tcW w:w="586" w:type="pct"/>
            <w:noWrap/>
            <w:vAlign w:val="center"/>
          </w:tcPr>
          <w:p w14:paraId="06DB3021"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0.0024</w:t>
            </w:r>
          </w:p>
        </w:tc>
      </w:tr>
      <w:tr w:rsidR="00F837A5" w:rsidRPr="00F822D9" w14:paraId="2ECC3877" w14:textId="77777777" w:rsidTr="007F4462">
        <w:trPr>
          <w:trHeight w:val="340"/>
          <w:jc w:val="center"/>
        </w:trPr>
        <w:tc>
          <w:tcPr>
            <w:tcW w:w="391" w:type="pct"/>
            <w:noWrap/>
            <w:tcMar>
              <w:left w:w="113" w:type="dxa"/>
              <w:right w:w="113" w:type="dxa"/>
            </w:tcMar>
            <w:vAlign w:val="center"/>
          </w:tcPr>
          <w:p w14:paraId="11C81C57" w14:textId="77777777" w:rsidR="00F837A5" w:rsidRPr="00F822D9" w:rsidRDefault="009E4E1D" w:rsidP="00F837A5">
            <w:pPr>
              <w:jc w:val="center"/>
              <w:rPr>
                <w:rFonts w:ascii="Calibri" w:hAnsi="Calibri"/>
                <w:color w:val="auto"/>
                <w:szCs w:val="21"/>
              </w:rPr>
            </w:pPr>
            <w:r>
              <w:rPr>
                <w:rFonts w:ascii="Calibri" w:hAnsi="Calibri"/>
                <w:color w:val="auto"/>
                <w:szCs w:val="21"/>
              </w:rPr>
              <w:t>9</w:t>
            </w:r>
          </w:p>
        </w:tc>
        <w:tc>
          <w:tcPr>
            <w:tcW w:w="1425" w:type="pct"/>
            <w:noWrap/>
            <w:vAlign w:val="center"/>
          </w:tcPr>
          <w:p w14:paraId="44F3E795"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乙醇试剂</w:t>
            </w:r>
          </w:p>
        </w:tc>
        <w:tc>
          <w:tcPr>
            <w:tcW w:w="1760" w:type="pct"/>
            <w:noWrap/>
            <w:vAlign w:val="center"/>
          </w:tcPr>
          <w:p w14:paraId="5C081EE3"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0.01</w:t>
            </w:r>
            <w:r>
              <w:rPr>
                <w:rFonts w:asciiTheme="minorHAnsi" w:hAnsiTheme="minorHAnsi"/>
                <w:kern w:val="0"/>
                <w:szCs w:val="21"/>
              </w:rPr>
              <w:t>6</w:t>
            </w:r>
            <w:r w:rsidRPr="00C23368">
              <w:rPr>
                <w:rFonts w:asciiTheme="minorHAnsi" w:hAnsiTheme="minorHAnsi"/>
                <w:kern w:val="0"/>
                <w:szCs w:val="21"/>
              </w:rPr>
              <w:t>t</w:t>
            </w:r>
          </w:p>
        </w:tc>
        <w:tc>
          <w:tcPr>
            <w:tcW w:w="839" w:type="pct"/>
            <w:noWrap/>
            <w:vAlign w:val="center"/>
          </w:tcPr>
          <w:p w14:paraId="3E95C98D" w14:textId="77777777" w:rsidR="00F837A5" w:rsidRPr="00F822D9" w:rsidRDefault="00F837A5" w:rsidP="00F837A5">
            <w:pPr>
              <w:jc w:val="center"/>
              <w:rPr>
                <w:rFonts w:ascii="Calibri" w:hAnsi="Calibri"/>
                <w:color w:val="auto"/>
                <w:szCs w:val="21"/>
              </w:rPr>
            </w:pPr>
            <w:r>
              <w:rPr>
                <w:rFonts w:ascii="Calibri" w:hAnsi="Calibri" w:hint="eastAsia"/>
                <w:color w:val="auto"/>
                <w:szCs w:val="21"/>
              </w:rPr>
              <w:t>/</w:t>
            </w:r>
          </w:p>
        </w:tc>
        <w:tc>
          <w:tcPr>
            <w:tcW w:w="586" w:type="pct"/>
            <w:noWrap/>
            <w:vAlign w:val="center"/>
          </w:tcPr>
          <w:p w14:paraId="1361ECF5"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w:t>
            </w:r>
          </w:p>
        </w:tc>
      </w:tr>
      <w:tr w:rsidR="00F837A5" w:rsidRPr="00F822D9" w14:paraId="05AE2F89" w14:textId="77777777" w:rsidTr="007F4462">
        <w:trPr>
          <w:trHeight w:val="340"/>
          <w:jc w:val="center"/>
        </w:trPr>
        <w:tc>
          <w:tcPr>
            <w:tcW w:w="391" w:type="pct"/>
            <w:noWrap/>
            <w:tcMar>
              <w:left w:w="113" w:type="dxa"/>
              <w:right w:w="113" w:type="dxa"/>
            </w:tcMar>
            <w:vAlign w:val="center"/>
          </w:tcPr>
          <w:p w14:paraId="6B9EEF51" w14:textId="77777777" w:rsidR="00F837A5" w:rsidRPr="00F822D9" w:rsidRDefault="009E4E1D" w:rsidP="00F837A5">
            <w:pPr>
              <w:jc w:val="center"/>
              <w:rPr>
                <w:rFonts w:ascii="Calibri" w:hAnsi="Calibri"/>
                <w:color w:val="auto"/>
                <w:szCs w:val="21"/>
              </w:rPr>
            </w:pPr>
            <w:r>
              <w:rPr>
                <w:rFonts w:ascii="Calibri" w:hAnsi="Calibri"/>
                <w:color w:val="auto"/>
                <w:szCs w:val="21"/>
              </w:rPr>
              <w:t>10</w:t>
            </w:r>
          </w:p>
        </w:tc>
        <w:tc>
          <w:tcPr>
            <w:tcW w:w="1425" w:type="pct"/>
            <w:noWrap/>
            <w:vAlign w:val="center"/>
          </w:tcPr>
          <w:p w14:paraId="4B4FD835"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color w:val="auto"/>
                <w:szCs w:val="21"/>
              </w:rPr>
              <w:t>0.02M</w:t>
            </w:r>
            <w:r w:rsidRPr="00C23368">
              <w:rPr>
                <w:rFonts w:asciiTheme="minorHAnsi" w:hAnsiTheme="minorHAnsi"/>
                <w:color w:val="auto"/>
                <w:szCs w:val="21"/>
              </w:rPr>
              <w:t>盐酸</w:t>
            </w:r>
          </w:p>
        </w:tc>
        <w:tc>
          <w:tcPr>
            <w:tcW w:w="1760" w:type="pct"/>
            <w:noWrap/>
            <w:vAlign w:val="center"/>
          </w:tcPr>
          <w:p w14:paraId="512644BE"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0.0</w:t>
            </w:r>
            <w:r>
              <w:rPr>
                <w:rFonts w:asciiTheme="minorHAnsi" w:hAnsiTheme="minorHAnsi"/>
                <w:kern w:val="0"/>
                <w:szCs w:val="21"/>
              </w:rPr>
              <w:t>2</w:t>
            </w:r>
            <w:r w:rsidRPr="00C23368">
              <w:rPr>
                <w:rFonts w:asciiTheme="minorHAnsi" w:hAnsiTheme="minorHAnsi"/>
                <w:kern w:val="0"/>
                <w:szCs w:val="21"/>
              </w:rPr>
              <w:t>t</w:t>
            </w:r>
            <w:r w:rsidR="00AF13C4">
              <w:rPr>
                <w:rFonts w:asciiTheme="minorHAnsi" w:hAnsiTheme="minorHAnsi" w:hint="eastAsia"/>
                <w:kern w:val="0"/>
                <w:szCs w:val="21"/>
              </w:rPr>
              <w:t>（折合</w:t>
            </w:r>
            <w:r w:rsidR="00AF13C4">
              <w:rPr>
                <w:rFonts w:asciiTheme="minorHAnsi" w:hAnsiTheme="minorHAnsi" w:hint="eastAsia"/>
                <w:kern w:val="0"/>
                <w:szCs w:val="21"/>
              </w:rPr>
              <w:t>37%</w:t>
            </w:r>
            <w:r w:rsidR="00AF13C4">
              <w:rPr>
                <w:rFonts w:asciiTheme="minorHAnsi" w:hAnsiTheme="minorHAnsi" w:hint="eastAsia"/>
                <w:kern w:val="0"/>
                <w:szCs w:val="21"/>
              </w:rPr>
              <w:t>盐酸</w:t>
            </w:r>
            <w:r w:rsidR="00AF13C4">
              <w:rPr>
                <w:rFonts w:asciiTheme="minorHAnsi" w:hAnsiTheme="minorHAnsi" w:hint="eastAsia"/>
                <w:kern w:val="0"/>
                <w:szCs w:val="21"/>
              </w:rPr>
              <w:t>0.00004</w:t>
            </w:r>
            <w:r w:rsidR="00AF13C4">
              <w:rPr>
                <w:rFonts w:asciiTheme="minorHAnsi" w:hAnsiTheme="minorHAnsi" w:hint="eastAsia"/>
                <w:kern w:val="0"/>
                <w:szCs w:val="21"/>
              </w:rPr>
              <w:t>）</w:t>
            </w:r>
          </w:p>
        </w:tc>
        <w:tc>
          <w:tcPr>
            <w:tcW w:w="839" w:type="pct"/>
            <w:noWrap/>
            <w:vAlign w:val="center"/>
          </w:tcPr>
          <w:p w14:paraId="4427FE8C" w14:textId="77777777" w:rsidR="00F837A5" w:rsidRPr="00F822D9" w:rsidRDefault="00AF13C4" w:rsidP="00F837A5">
            <w:pPr>
              <w:jc w:val="center"/>
              <w:rPr>
                <w:rFonts w:ascii="Calibri" w:hAnsi="Calibri"/>
                <w:color w:val="auto"/>
                <w:szCs w:val="21"/>
              </w:rPr>
            </w:pPr>
            <w:r>
              <w:rPr>
                <w:rFonts w:ascii="Calibri" w:hAnsi="Calibri"/>
                <w:color w:val="auto"/>
                <w:szCs w:val="21"/>
              </w:rPr>
              <w:t>7.5</w:t>
            </w:r>
          </w:p>
        </w:tc>
        <w:tc>
          <w:tcPr>
            <w:tcW w:w="586" w:type="pct"/>
            <w:noWrap/>
            <w:vAlign w:val="center"/>
          </w:tcPr>
          <w:p w14:paraId="4D5D0C50"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0.0000053</w:t>
            </w:r>
          </w:p>
        </w:tc>
      </w:tr>
      <w:tr w:rsidR="00F837A5" w:rsidRPr="00F822D9" w14:paraId="2A016227" w14:textId="77777777" w:rsidTr="007F4462">
        <w:trPr>
          <w:trHeight w:val="340"/>
          <w:jc w:val="center"/>
        </w:trPr>
        <w:tc>
          <w:tcPr>
            <w:tcW w:w="391" w:type="pct"/>
            <w:noWrap/>
            <w:tcMar>
              <w:left w:w="113" w:type="dxa"/>
              <w:right w:w="113" w:type="dxa"/>
            </w:tcMar>
            <w:vAlign w:val="center"/>
          </w:tcPr>
          <w:p w14:paraId="06623F6A" w14:textId="77777777" w:rsidR="00F837A5" w:rsidRPr="00F822D9" w:rsidRDefault="009E4E1D" w:rsidP="00F837A5">
            <w:pPr>
              <w:jc w:val="center"/>
              <w:rPr>
                <w:rFonts w:ascii="Calibri" w:hAnsi="Calibri"/>
                <w:color w:val="auto"/>
                <w:szCs w:val="21"/>
              </w:rPr>
            </w:pPr>
            <w:r>
              <w:rPr>
                <w:rFonts w:ascii="Calibri" w:hAnsi="Calibri"/>
                <w:color w:val="auto"/>
                <w:szCs w:val="21"/>
              </w:rPr>
              <w:t>11</w:t>
            </w:r>
          </w:p>
        </w:tc>
        <w:tc>
          <w:tcPr>
            <w:tcW w:w="1425" w:type="pct"/>
            <w:noWrap/>
            <w:vAlign w:val="center"/>
          </w:tcPr>
          <w:p w14:paraId="0227722B" w14:textId="77777777" w:rsidR="00F837A5" w:rsidRPr="00C23368" w:rsidRDefault="00F837A5" w:rsidP="00F837A5">
            <w:pPr>
              <w:widowControl/>
              <w:spacing w:line="320" w:lineRule="exact"/>
              <w:jc w:val="center"/>
              <w:rPr>
                <w:rFonts w:asciiTheme="minorHAnsi" w:hAnsiTheme="minorHAnsi"/>
                <w:color w:val="auto"/>
                <w:szCs w:val="21"/>
              </w:rPr>
            </w:pPr>
            <w:r w:rsidRPr="00C23368">
              <w:rPr>
                <w:rFonts w:asciiTheme="minorHAnsi" w:hAnsiTheme="minorHAnsi"/>
                <w:color w:val="auto"/>
                <w:szCs w:val="21"/>
              </w:rPr>
              <w:t>0.02M</w:t>
            </w:r>
            <w:r w:rsidRPr="00C23368">
              <w:rPr>
                <w:rFonts w:asciiTheme="minorHAnsi" w:hAnsiTheme="minorHAnsi"/>
                <w:color w:val="auto"/>
                <w:szCs w:val="21"/>
              </w:rPr>
              <w:t>氢氧化钠</w:t>
            </w:r>
          </w:p>
        </w:tc>
        <w:tc>
          <w:tcPr>
            <w:tcW w:w="1760" w:type="pct"/>
            <w:noWrap/>
            <w:vAlign w:val="center"/>
          </w:tcPr>
          <w:p w14:paraId="3E5398FD"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0.0</w:t>
            </w:r>
            <w:r>
              <w:rPr>
                <w:rFonts w:asciiTheme="minorHAnsi" w:hAnsiTheme="minorHAnsi"/>
                <w:kern w:val="0"/>
                <w:szCs w:val="21"/>
              </w:rPr>
              <w:t>2</w:t>
            </w:r>
            <w:r w:rsidRPr="00C23368">
              <w:rPr>
                <w:rFonts w:asciiTheme="minorHAnsi" w:hAnsiTheme="minorHAnsi"/>
                <w:kern w:val="0"/>
                <w:szCs w:val="21"/>
              </w:rPr>
              <w:t>t</w:t>
            </w:r>
          </w:p>
        </w:tc>
        <w:tc>
          <w:tcPr>
            <w:tcW w:w="839" w:type="pct"/>
            <w:noWrap/>
            <w:vAlign w:val="center"/>
          </w:tcPr>
          <w:p w14:paraId="2820F2B0" w14:textId="77777777" w:rsidR="00F837A5" w:rsidRPr="00F822D9" w:rsidRDefault="00AF13C4" w:rsidP="00F837A5">
            <w:pPr>
              <w:jc w:val="center"/>
              <w:rPr>
                <w:rFonts w:ascii="Calibri" w:hAnsi="Calibri"/>
                <w:color w:val="auto"/>
                <w:szCs w:val="21"/>
              </w:rPr>
            </w:pPr>
            <w:r>
              <w:rPr>
                <w:rFonts w:ascii="Calibri" w:hAnsi="Calibri"/>
                <w:color w:val="auto"/>
                <w:szCs w:val="21"/>
              </w:rPr>
              <w:t>/</w:t>
            </w:r>
          </w:p>
        </w:tc>
        <w:tc>
          <w:tcPr>
            <w:tcW w:w="586" w:type="pct"/>
            <w:noWrap/>
            <w:vAlign w:val="center"/>
          </w:tcPr>
          <w:p w14:paraId="130B0D14"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w:t>
            </w:r>
          </w:p>
        </w:tc>
      </w:tr>
      <w:tr w:rsidR="00F837A5" w:rsidRPr="00F822D9" w14:paraId="44D6DA08" w14:textId="77777777" w:rsidTr="007F4462">
        <w:trPr>
          <w:trHeight w:val="340"/>
          <w:jc w:val="center"/>
        </w:trPr>
        <w:tc>
          <w:tcPr>
            <w:tcW w:w="391" w:type="pct"/>
            <w:noWrap/>
            <w:tcMar>
              <w:left w:w="113" w:type="dxa"/>
              <w:right w:w="113" w:type="dxa"/>
            </w:tcMar>
            <w:vAlign w:val="center"/>
          </w:tcPr>
          <w:p w14:paraId="121F3A41" w14:textId="77777777" w:rsidR="00F837A5" w:rsidRPr="00F822D9" w:rsidRDefault="009E4E1D" w:rsidP="00F837A5">
            <w:pPr>
              <w:jc w:val="center"/>
              <w:rPr>
                <w:rFonts w:ascii="Calibri" w:hAnsi="Calibri"/>
                <w:color w:val="auto"/>
                <w:szCs w:val="21"/>
              </w:rPr>
            </w:pPr>
            <w:r>
              <w:rPr>
                <w:rFonts w:ascii="Calibri" w:hAnsi="Calibri"/>
                <w:color w:val="auto"/>
                <w:szCs w:val="21"/>
              </w:rPr>
              <w:t>12</w:t>
            </w:r>
          </w:p>
        </w:tc>
        <w:tc>
          <w:tcPr>
            <w:tcW w:w="1425" w:type="pct"/>
            <w:noWrap/>
            <w:vAlign w:val="center"/>
          </w:tcPr>
          <w:p w14:paraId="530A790C" w14:textId="77777777" w:rsidR="00F837A5" w:rsidRPr="00C23368" w:rsidRDefault="00F837A5" w:rsidP="00F837A5">
            <w:pPr>
              <w:widowControl/>
              <w:spacing w:line="320" w:lineRule="exact"/>
              <w:jc w:val="center"/>
              <w:rPr>
                <w:rFonts w:asciiTheme="minorHAnsi" w:hAnsiTheme="minorHAnsi"/>
                <w:color w:val="auto"/>
                <w:szCs w:val="21"/>
              </w:rPr>
            </w:pPr>
            <w:r w:rsidRPr="00C23368">
              <w:rPr>
                <w:rFonts w:asciiTheme="minorHAnsi" w:hAnsiTheme="minorHAnsi"/>
                <w:color w:val="auto"/>
                <w:szCs w:val="21"/>
              </w:rPr>
              <w:t>0.5M</w:t>
            </w:r>
            <w:r w:rsidRPr="00C23368">
              <w:rPr>
                <w:rFonts w:asciiTheme="minorHAnsi" w:hAnsiTheme="minorHAnsi"/>
                <w:color w:val="auto"/>
                <w:szCs w:val="21"/>
              </w:rPr>
              <w:t>氢氧化钠</w:t>
            </w:r>
          </w:p>
        </w:tc>
        <w:tc>
          <w:tcPr>
            <w:tcW w:w="1760" w:type="pct"/>
            <w:noWrap/>
            <w:vAlign w:val="center"/>
          </w:tcPr>
          <w:p w14:paraId="53D2AC5B" w14:textId="77777777" w:rsidR="00F837A5" w:rsidRPr="00C23368" w:rsidRDefault="00F837A5" w:rsidP="00F837A5">
            <w:pPr>
              <w:widowControl/>
              <w:spacing w:line="320" w:lineRule="exact"/>
              <w:jc w:val="center"/>
              <w:rPr>
                <w:rFonts w:asciiTheme="minorHAnsi" w:hAnsiTheme="minorHAnsi"/>
                <w:kern w:val="0"/>
                <w:szCs w:val="21"/>
              </w:rPr>
            </w:pPr>
            <w:r w:rsidRPr="00C23368">
              <w:rPr>
                <w:rFonts w:asciiTheme="minorHAnsi" w:hAnsiTheme="minorHAnsi"/>
                <w:kern w:val="0"/>
                <w:szCs w:val="21"/>
              </w:rPr>
              <w:t>0.0</w:t>
            </w:r>
            <w:r>
              <w:rPr>
                <w:rFonts w:asciiTheme="minorHAnsi" w:hAnsiTheme="minorHAnsi"/>
                <w:kern w:val="0"/>
                <w:szCs w:val="21"/>
              </w:rPr>
              <w:t>2</w:t>
            </w:r>
            <w:r w:rsidRPr="00C23368">
              <w:rPr>
                <w:rFonts w:asciiTheme="minorHAnsi" w:hAnsiTheme="minorHAnsi"/>
                <w:kern w:val="0"/>
                <w:szCs w:val="21"/>
              </w:rPr>
              <w:t>t</w:t>
            </w:r>
          </w:p>
        </w:tc>
        <w:tc>
          <w:tcPr>
            <w:tcW w:w="839" w:type="pct"/>
            <w:noWrap/>
            <w:vAlign w:val="center"/>
          </w:tcPr>
          <w:p w14:paraId="542B0795" w14:textId="77777777" w:rsidR="00F837A5" w:rsidRPr="00F822D9" w:rsidRDefault="00AF13C4" w:rsidP="00F837A5">
            <w:pPr>
              <w:jc w:val="center"/>
              <w:rPr>
                <w:rFonts w:ascii="Calibri" w:hAnsi="Calibri"/>
                <w:color w:val="auto"/>
                <w:szCs w:val="21"/>
              </w:rPr>
            </w:pPr>
            <w:r>
              <w:rPr>
                <w:rFonts w:ascii="Calibri" w:hAnsi="Calibri"/>
                <w:color w:val="auto"/>
                <w:szCs w:val="21"/>
              </w:rPr>
              <w:t>/</w:t>
            </w:r>
          </w:p>
        </w:tc>
        <w:tc>
          <w:tcPr>
            <w:tcW w:w="586" w:type="pct"/>
            <w:noWrap/>
            <w:vAlign w:val="center"/>
          </w:tcPr>
          <w:p w14:paraId="11CEC7E2" w14:textId="77777777" w:rsidR="00F837A5" w:rsidRPr="00F822D9" w:rsidRDefault="00AF13C4" w:rsidP="00F837A5">
            <w:pPr>
              <w:jc w:val="center"/>
              <w:rPr>
                <w:rFonts w:ascii="Calibri" w:hAnsi="Calibri"/>
                <w:color w:val="auto"/>
                <w:szCs w:val="21"/>
              </w:rPr>
            </w:pPr>
            <w:r>
              <w:rPr>
                <w:rFonts w:ascii="Calibri" w:hAnsi="Calibri" w:hint="eastAsia"/>
                <w:color w:val="auto"/>
                <w:szCs w:val="21"/>
              </w:rPr>
              <w:t>/</w:t>
            </w:r>
          </w:p>
        </w:tc>
      </w:tr>
      <w:tr w:rsidR="00F837A5" w:rsidRPr="00F822D9" w14:paraId="21A16072" w14:textId="77777777" w:rsidTr="007F4462">
        <w:trPr>
          <w:trHeight w:val="340"/>
          <w:jc w:val="center"/>
        </w:trPr>
        <w:tc>
          <w:tcPr>
            <w:tcW w:w="3576" w:type="pct"/>
            <w:gridSpan w:val="3"/>
            <w:noWrap/>
            <w:tcMar>
              <w:left w:w="113" w:type="dxa"/>
              <w:right w:w="113" w:type="dxa"/>
            </w:tcMar>
            <w:vAlign w:val="center"/>
          </w:tcPr>
          <w:p w14:paraId="01772FD7" w14:textId="77777777" w:rsidR="00F837A5" w:rsidRPr="00F822D9" w:rsidRDefault="00F837A5" w:rsidP="001509A3">
            <w:pPr>
              <w:jc w:val="center"/>
              <w:rPr>
                <w:rFonts w:ascii="Calibri" w:hAnsi="Calibri"/>
                <w:color w:val="auto"/>
                <w:szCs w:val="21"/>
              </w:rPr>
            </w:pPr>
            <w:r w:rsidRPr="00F822D9">
              <w:rPr>
                <w:rFonts w:ascii="Calibri" w:hAnsi="Calibri" w:hint="eastAsia"/>
                <w:color w:val="auto"/>
                <w:szCs w:val="21"/>
              </w:rPr>
              <w:t>合计</w:t>
            </w:r>
          </w:p>
        </w:tc>
        <w:tc>
          <w:tcPr>
            <w:tcW w:w="839" w:type="pct"/>
            <w:noWrap/>
            <w:vAlign w:val="center"/>
          </w:tcPr>
          <w:p w14:paraId="5472F0CB" w14:textId="77777777" w:rsidR="00F837A5" w:rsidRPr="00F822D9" w:rsidRDefault="00F837A5" w:rsidP="001509A3">
            <w:pPr>
              <w:jc w:val="center"/>
              <w:rPr>
                <w:rFonts w:ascii="Calibri" w:hAnsi="Calibri"/>
                <w:color w:val="auto"/>
                <w:szCs w:val="21"/>
              </w:rPr>
            </w:pPr>
            <w:r w:rsidRPr="00F822D9">
              <w:rPr>
                <w:rFonts w:ascii="Calibri" w:hAnsi="Calibri" w:hint="eastAsia"/>
                <w:color w:val="auto"/>
                <w:szCs w:val="21"/>
              </w:rPr>
              <w:t>/</w:t>
            </w:r>
          </w:p>
        </w:tc>
        <w:tc>
          <w:tcPr>
            <w:tcW w:w="586" w:type="pct"/>
            <w:noWrap/>
            <w:vAlign w:val="center"/>
          </w:tcPr>
          <w:p w14:paraId="588C8399" w14:textId="77777777" w:rsidR="00F837A5" w:rsidRPr="00F822D9" w:rsidRDefault="00AF13C4" w:rsidP="009E4E1D">
            <w:pPr>
              <w:jc w:val="center"/>
              <w:rPr>
                <w:rFonts w:ascii="Calibri" w:hAnsi="Calibri"/>
                <w:color w:val="auto"/>
                <w:szCs w:val="21"/>
              </w:rPr>
            </w:pPr>
            <w:r>
              <w:rPr>
                <w:rFonts w:ascii="Calibri" w:hAnsi="Calibri" w:hint="eastAsia"/>
                <w:color w:val="auto"/>
                <w:szCs w:val="21"/>
              </w:rPr>
              <w:t>0.008</w:t>
            </w:r>
            <w:r w:rsidR="009E4E1D">
              <w:rPr>
                <w:rFonts w:ascii="Calibri" w:hAnsi="Calibri"/>
                <w:color w:val="auto"/>
                <w:szCs w:val="21"/>
              </w:rPr>
              <w:t>95</w:t>
            </w:r>
          </w:p>
        </w:tc>
      </w:tr>
    </w:tbl>
    <w:p w14:paraId="46FDC36A" w14:textId="77777777" w:rsidR="00FA7810" w:rsidRPr="00A964FF" w:rsidRDefault="00FA7810" w:rsidP="00700F39">
      <w:pPr>
        <w:widowControl/>
        <w:suppressAutoHyphens/>
        <w:adjustRightInd w:val="0"/>
        <w:spacing w:line="520" w:lineRule="exact"/>
        <w:ind w:firstLineChars="200" w:firstLine="480"/>
        <w:textAlignment w:val="baseline"/>
        <w:rPr>
          <w:rFonts w:ascii="Calibri" w:hAnsi="Calibri"/>
          <w:noProof/>
          <w:color w:val="auto"/>
          <w:sz w:val="24"/>
        </w:rPr>
      </w:pPr>
      <w:r w:rsidRPr="00A964FF">
        <w:rPr>
          <w:rFonts w:ascii="Calibri" w:hAnsi="Calibri" w:hint="eastAsia"/>
          <w:noProof/>
          <w:color w:val="auto"/>
          <w:sz w:val="24"/>
        </w:rPr>
        <w:lastRenderedPageBreak/>
        <w:t>由上表可知，本项目危险物质数量与临界量比值</w:t>
      </w:r>
      <w:r w:rsidRPr="00A964FF">
        <w:rPr>
          <w:rFonts w:ascii="Calibri" w:hAnsi="Calibri" w:hint="eastAsia"/>
          <w:noProof/>
          <w:color w:val="auto"/>
          <w:sz w:val="24"/>
        </w:rPr>
        <w:t>Q=</w:t>
      </w:r>
      <w:r w:rsidR="00AF13C4">
        <w:rPr>
          <w:rFonts w:ascii="Calibri" w:hAnsi="Calibri"/>
          <w:noProof/>
          <w:color w:val="auto"/>
          <w:sz w:val="24"/>
        </w:rPr>
        <w:t>0.008</w:t>
      </w:r>
      <w:r w:rsidR="009E4E1D">
        <w:rPr>
          <w:rFonts w:ascii="Calibri" w:hAnsi="Calibri"/>
          <w:noProof/>
          <w:color w:val="auto"/>
          <w:sz w:val="24"/>
        </w:rPr>
        <w:t>95</w:t>
      </w:r>
      <w:r w:rsidRPr="00A964FF">
        <w:rPr>
          <w:rFonts w:ascii="Calibri" w:hAnsi="Calibri" w:hint="eastAsia"/>
          <w:noProof/>
          <w:color w:val="auto"/>
          <w:sz w:val="24"/>
        </w:rPr>
        <w:t>，由此可知，</w:t>
      </w:r>
      <w:r w:rsidR="00AF13C4" w:rsidRPr="00AF13C4">
        <w:rPr>
          <w:rFonts w:ascii="Calibri" w:hAnsi="Calibri" w:hint="eastAsia"/>
          <w:noProof/>
          <w:color w:val="auto"/>
          <w:sz w:val="24"/>
        </w:rPr>
        <w:t>该项目风险潜势为</w:t>
      </w:r>
      <w:r w:rsidR="00AF13C4" w:rsidRPr="00AF13C4">
        <w:rPr>
          <w:rFonts w:ascii="Calibri" w:hAnsi="Calibri" w:hint="eastAsia"/>
          <w:noProof/>
          <w:color w:val="auto"/>
          <w:sz w:val="24"/>
        </w:rPr>
        <w:t>I</w:t>
      </w:r>
      <w:r w:rsidR="00AF13C4" w:rsidRPr="00AF13C4">
        <w:rPr>
          <w:rFonts w:ascii="Calibri" w:hAnsi="Calibri" w:hint="eastAsia"/>
          <w:noProof/>
          <w:color w:val="auto"/>
          <w:sz w:val="24"/>
        </w:rPr>
        <w:t>。</w:t>
      </w:r>
    </w:p>
    <w:p w14:paraId="103E96B9" w14:textId="77777777" w:rsidR="0055605A" w:rsidRPr="00A964FF" w:rsidRDefault="00B7543B" w:rsidP="00B7543B">
      <w:pPr>
        <w:pStyle w:val="ad"/>
        <w:rPr>
          <w:rFonts w:ascii="Calibri" w:hAnsi="Calibri"/>
          <w:color w:val="auto"/>
        </w:rPr>
      </w:pPr>
      <w:r w:rsidRPr="00A964FF">
        <w:rPr>
          <w:rFonts w:ascii="Calibri" w:hAnsi="Calibri" w:hint="eastAsia"/>
          <w:color w:val="auto"/>
        </w:rPr>
        <w:t>4.3.</w:t>
      </w:r>
      <w:r w:rsidR="00AF13C4">
        <w:rPr>
          <w:rFonts w:ascii="Calibri" w:hAnsi="Calibri"/>
          <w:color w:val="auto"/>
        </w:rPr>
        <w:t>4</w:t>
      </w:r>
      <w:r w:rsidR="0055605A" w:rsidRPr="00A964FF">
        <w:rPr>
          <w:rFonts w:ascii="Calibri" w:hAnsi="Calibri" w:hint="eastAsia"/>
          <w:color w:val="auto"/>
        </w:rPr>
        <w:t>评价等级</w:t>
      </w:r>
    </w:p>
    <w:p w14:paraId="4C28E92F" w14:textId="77777777" w:rsidR="0055605A" w:rsidRPr="00A964FF" w:rsidRDefault="0055605A" w:rsidP="00AF13C4">
      <w:pPr>
        <w:spacing w:line="520" w:lineRule="exact"/>
        <w:ind w:firstLineChars="200" w:firstLine="480"/>
        <w:rPr>
          <w:rFonts w:ascii="Calibri" w:hAnsi="Calibri"/>
          <w:color w:val="auto"/>
          <w:sz w:val="24"/>
        </w:rPr>
      </w:pPr>
      <w:r w:rsidRPr="00A964FF">
        <w:rPr>
          <w:rFonts w:ascii="Calibri" w:hAnsi="Calibri" w:hint="eastAsia"/>
          <w:color w:val="auto"/>
          <w:sz w:val="24"/>
        </w:rPr>
        <w:t>根据《建设项目环境风险评价技术导则》（</w:t>
      </w:r>
      <w:r w:rsidR="006F1321" w:rsidRPr="00A964FF">
        <w:rPr>
          <w:rFonts w:ascii="Calibri" w:hAnsi="Calibri"/>
          <w:color w:val="auto"/>
          <w:sz w:val="24"/>
        </w:rPr>
        <w:t>HJ169</w:t>
      </w:r>
      <w:r w:rsidRPr="00A964FF">
        <w:rPr>
          <w:rFonts w:ascii="Calibri" w:hAnsi="Calibri"/>
          <w:color w:val="auto"/>
          <w:sz w:val="24"/>
        </w:rPr>
        <w:t>-2</w:t>
      </w:r>
      <w:r w:rsidRPr="00A964FF">
        <w:rPr>
          <w:rFonts w:ascii="Calibri" w:hAnsi="Calibri" w:hint="eastAsia"/>
          <w:color w:val="auto"/>
          <w:sz w:val="24"/>
        </w:rPr>
        <w:t>018</w:t>
      </w:r>
      <w:r w:rsidRPr="00A964FF">
        <w:rPr>
          <w:rFonts w:ascii="Calibri" w:hAnsi="Calibri" w:hint="eastAsia"/>
          <w:color w:val="auto"/>
          <w:sz w:val="24"/>
        </w:rPr>
        <w:t>），</w:t>
      </w:r>
      <w:r w:rsidR="00AF13C4" w:rsidRPr="00AF13C4">
        <w:rPr>
          <w:rFonts w:ascii="Calibri" w:hAnsi="Calibri"/>
          <w:color w:val="auto"/>
          <w:sz w:val="24"/>
        </w:rPr>
        <w:t>中评价等级的划分，项目</w:t>
      </w:r>
      <w:r w:rsidR="00AF13C4" w:rsidRPr="00AF13C4">
        <w:rPr>
          <w:rFonts w:ascii="Calibri" w:hAnsi="Calibri" w:hint="eastAsia"/>
          <w:color w:val="auto"/>
          <w:sz w:val="24"/>
        </w:rPr>
        <w:t>风险潜势为</w:t>
      </w:r>
      <w:r w:rsidR="00AF13C4" w:rsidRPr="00AF13C4">
        <w:rPr>
          <w:rFonts w:ascii="Calibri" w:hAnsi="Calibri" w:hint="eastAsia"/>
          <w:color w:val="auto"/>
          <w:sz w:val="24"/>
        </w:rPr>
        <w:t>I</w:t>
      </w:r>
      <w:r w:rsidR="00AF13C4" w:rsidRPr="00AF13C4">
        <w:rPr>
          <w:rFonts w:ascii="Calibri" w:hAnsi="Calibri" w:hint="eastAsia"/>
          <w:color w:val="auto"/>
          <w:sz w:val="24"/>
        </w:rPr>
        <w:t>，仅做简单分析</w:t>
      </w:r>
      <w:r w:rsidR="00AF13C4" w:rsidRPr="00AF13C4">
        <w:rPr>
          <w:rFonts w:ascii="Calibri" w:hAnsi="Calibri"/>
          <w:color w:val="auto"/>
          <w:sz w:val="24"/>
        </w:rPr>
        <w:t>。</w:t>
      </w:r>
      <w:r w:rsidRPr="00A964FF">
        <w:rPr>
          <w:rFonts w:ascii="Calibri" w:hAnsi="Calibri" w:hint="eastAsia"/>
          <w:color w:val="auto"/>
          <w:sz w:val="24"/>
        </w:rPr>
        <w:t>本项目评价工作等级判定见表</w:t>
      </w:r>
      <w:r w:rsidRPr="00A964FF">
        <w:rPr>
          <w:rFonts w:ascii="Calibri" w:hAnsi="Calibri" w:hint="eastAsia"/>
          <w:color w:val="auto"/>
          <w:sz w:val="24"/>
        </w:rPr>
        <w:t>4</w:t>
      </w:r>
      <w:r w:rsidR="00F12CDF" w:rsidRPr="00A964FF">
        <w:rPr>
          <w:rFonts w:ascii="Calibri" w:hAnsi="Calibri" w:hint="eastAsia"/>
          <w:color w:val="auto"/>
          <w:sz w:val="24"/>
        </w:rPr>
        <w:t>.3</w:t>
      </w:r>
      <w:r w:rsidRPr="00A964FF">
        <w:rPr>
          <w:rFonts w:ascii="Calibri" w:hAnsi="Calibri" w:hint="eastAsia"/>
          <w:color w:val="auto"/>
          <w:sz w:val="24"/>
        </w:rPr>
        <w:t>-</w:t>
      </w:r>
      <w:r w:rsidR="00AF13C4">
        <w:rPr>
          <w:rFonts w:ascii="Calibri" w:hAnsi="Calibri" w:hint="eastAsia"/>
          <w:color w:val="auto"/>
          <w:sz w:val="24"/>
        </w:rPr>
        <w:t>5</w:t>
      </w:r>
      <w:r w:rsidRPr="00A964FF">
        <w:rPr>
          <w:rFonts w:ascii="Calibri" w:hAnsi="Calibri" w:hint="eastAsia"/>
          <w:color w:val="auto"/>
          <w:sz w:val="24"/>
        </w:rPr>
        <w:t>。</w:t>
      </w:r>
    </w:p>
    <w:p w14:paraId="58868FD5" w14:textId="77777777" w:rsidR="0055605A" w:rsidRPr="00A964FF" w:rsidRDefault="0055605A" w:rsidP="0055605A">
      <w:pPr>
        <w:spacing w:line="520" w:lineRule="exact"/>
        <w:ind w:firstLine="482"/>
        <w:rPr>
          <w:rFonts w:ascii="Calibri" w:eastAsia="黑体" w:hAnsi="黑体"/>
          <w:bCs/>
          <w:color w:val="auto"/>
          <w:sz w:val="24"/>
        </w:rPr>
      </w:pPr>
      <w:r w:rsidRPr="00A964FF">
        <w:rPr>
          <w:rFonts w:ascii="Calibri" w:eastAsia="黑体" w:hAnsi="黑体"/>
          <w:bCs/>
          <w:color w:val="auto"/>
          <w:sz w:val="24"/>
        </w:rPr>
        <w:t>表</w:t>
      </w:r>
      <w:r w:rsidRPr="00A964FF">
        <w:rPr>
          <w:rFonts w:ascii="Calibri" w:eastAsia="黑体" w:hAnsi="黑体"/>
          <w:bCs/>
          <w:color w:val="auto"/>
          <w:sz w:val="24"/>
        </w:rPr>
        <w:t>4</w:t>
      </w:r>
      <w:r w:rsidR="00F12CDF" w:rsidRPr="00A964FF">
        <w:rPr>
          <w:rFonts w:ascii="Calibri" w:eastAsia="黑体" w:hAnsi="黑体" w:hint="eastAsia"/>
          <w:bCs/>
          <w:color w:val="auto"/>
          <w:sz w:val="24"/>
        </w:rPr>
        <w:t>.3</w:t>
      </w:r>
      <w:r w:rsidRPr="00A964FF">
        <w:rPr>
          <w:rFonts w:ascii="Calibri" w:eastAsia="黑体" w:hAnsi="黑体"/>
          <w:bCs/>
          <w:color w:val="auto"/>
          <w:sz w:val="24"/>
        </w:rPr>
        <w:t>-</w:t>
      </w:r>
      <w:r w:rsidR="00AF13C4">
        <w:rPr>
          <w:rFonts w:ascii="Calibri" w:eastAsia="黑体" w:hAnsi="黑体" w:hint="eastAsia"/>
          <w:bCs/>
          <w:color w:val="auto"/>
          <w:sz w:val="24"/>
        </w:rPr>
        <w:t>5</w:t>
      </w:r>
      <w:r w:rsidRPr="00A964FF">
        <w:rPr>
          <w:rFonts w:ascii="Calibri" w:eastAsia="黑体" w:hAnsi="黑体"/>
          <w:bCs/>
          <w:color w:val="auto"/>
          <w:sz w:val="24"/>
        </w:rPr>
        <w:t xml:space="preserve">          </w:t>
      </w:r>
      <w:r w:rsidR="00F62C9D" w:rsidRPr="00A964FF">
        <w:rPr>
          <w:rFonts w:ascii="Calibri" w:eastAsia="黑体" w:hAnsi="黑体" w:hint="eastAsia"/>
          <w:bCs/>
          <w:color w:val="auto"/>
          <w:sz w:val="24"/>
        </w:rPr>
        <w:t xml:space="preserve">  </w:t>
      </w:r>
      <w:r w:rsidRPr="00A964FF">
        <w:rPr>
          <w:rFonts w:ascii="Calibri" w:eastAsia="黑体" w:hAnsi="黑体"/>
          <w:bCs/>
          <w:color w:val="auto"/>
          <w:sz w:val="24"/>
        </w:rPr>
        <w:t xml:space="preserve">        </w:t>
      </w:r>
      <w:r w:rsidRPr="00A964FF">
        <w:rPr>
          <w:rFonts w:ascii="Calibri" w:eastAsia="黑体" w:hAnsi="黑体"/>
          <w:bCs/>
          <w:color w:val="auto"/>
          <w:sz w:val="24"/>
        </w:rPr>
        <w:t>评价等级划分一览表</w:t>
      </w:r>
    </w:p>
    <w:tbl>
      <w:tblPr>
        <w:tblW w:w="89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36"/>
        <w:gridCol w:w="1559"/>
        <w:gridCol w:w="1560"/>
        <w:gridCol w:w="1696"/>
        <w:gridCol w:w="2151"/>
      </w:tblGrid>
      <w:tr w:rsidR="0055605A" w:rsidRPr="00A964FF" w14:paraId="3AFDEC4D" w14:textId="77777777" w:rsidTr="003E0795">
        <w:trPr>
          <w:trHeight w:val="340"/>
        </w:trPr>
        <w:tc>
          <w:tcPr>
            <w:tcW w:w="1936" w:type="dxa"/>
            <w:shd w:val="clear" w:color="auto" w:fill="auto"/>
            <w:tcMar>
              <w:left w:w="113" w:type="dxa"/>
              <w:right w:w="113" w:type="dxa"/>
            </w:tcMar>
            <w:vAlign w:val="center"/>
          </w:tcPr>
          <w:p w14:paraId="3D48BD77" w14:textId="77777777" w:rsidR="0055605A" w:rsidRPr="00A964FF" w:rsidRDefault="0055605A" w:rsidP="003E0795">
            <w:pPr>
              <w:widowControl/>
              <w:jc w:val="center"/>
              <w:rPr>
                <w:rFonts w:ascii="Calibri"/>
                <w:color w:val="auto"/>
                <w:szCs w:val="21"/>
              </w:rPr>
            </w:pPr>
            <w:r w:rsidRPr="00A964FF">
              <w:rPr>
                <w:rFonts w:ascii="Calibri"/>
                <w:color w:val="auto"/>
                <w:szCs w:val="21"/>
              </w:rPr>
              <w:t>环境风险潜势</w:t>
            </w:r>
          </w:p>
        </w:tc>
        <w:tc>
          <w:tcPr>
            <w:tcW w:w="1559" w:type="dxa"/>
            <w:shd w:val="clear" w:color="auto" w:fill="auto"/>
            <w:tcMar>
              <w:left w:w="113" w:type="dxa"/>
              <w:right w:w="113" w:type="dxa"/>
            </w:tcMar>
            <w:vAlign w:val="center"/>
          </w:tcPr>
          <w:p w14:paraId="2A9944F7" w14:textId="77777777" w:rsidR="0055605A" w:rsidRPr="00A964FF" w:rsidRDefault="002766DF" w:rsidP="003E0795">
            <w:pPr>
              <w:widowControl/>
              <w:jc w:val="center"/>
              <w:rPr>
                <w:rFonts w:ascii="Calibri"/>
                <w:color w:val="auto"/>
                <w:szCs w:val="21"/>
              </w:rPr>
            </w:pPr>
            <w:r w:rsidRPr="00A964FF">
              <w:rPr>
                <w:rFonts w:ascii="Calibri"/>
                <w:color w:val="auto"/>
                <w:szCs w:val="21"/>
              </w:rPr>
              <w:fldChar w:fldCharType="begin"/>
            </w:r>
            <w:r w:rsidR="0055605A" w:rsidRPr="00A964FF">
              <w:rPr>
                <w:rFonts w:ascii="Calibri"/>
                <w:color w:val="auto"/>
                <w:szCs w:val="21"/>
              </w:rPr>
              <w:instrText xml:space="preserve"> = 4 \* ROMAN </w:instrText>
            </w:r>
            <w:r w:rsidRPr="00A964FF">
              <w:rPr>
                <w:rFonts w:ascii="Calibri"/>
                <w:color w:val="auto"/>
                <w:szCs w:val="21"/>
              </w:rPr>
              <w:fldChar w:fldCharType="separate"/>
            </w:r>
            <w:r w:rsidR="00C35015" w:rsidRPr="00A964FF">
              <w:rPr>
                <w:rFonts w:ascii="Calibri"/>
                <w:noProof/>
                <w:color w:val="auto"/>
                <w:szCs w:val="21"/>
              </w:rPr>
              <w:t>IV</w:t>
            </w:r>
            <w:r w:rsidRPr="00A964FF">
              <w:rPr>
                <w:rFonts w:ascii="Calibri"/>
                <w:color w:val="auto"/>
                <w:szCs w:val="21"/>
              </w:rPr>
              <w:fldChar w:fldCharType="end"/>
            </w:r>
            <w:r w:rsidR="0055605A" w:rsidRPr="00A964FF">
              <w:rPr>
                <w:rFonts w:ascii="Calibri"/>
                <w:color w:val="auto"/>
                <w:szCs w:val="21"/>
              </w:rPr>
              <w:t>、</w:t>
            </w:r>
            <w:r w:rsidRPr="00A964FF">
              <w:rPr>
                <w:rFonts w:ascii="Calibri"/>
                <w:color w:val="auto"/>
                <w:szCs w:val="21"/>
              </w:rPr>
              <w:fldChar w:fldCharType="begin"/>
            </w:r>
            <w:r w:rsidR="0055605A" w:rsidRPr="00A964FF">
              <w:rPr>
                <w:rFonts w:ascii="Calibri"/>
                <w:color w:val="auto"/>
                <w:szCs w:val="21"/>
              </w:rPr>
              <w:instrText xml:space="preserve"> = 4 \* ROMAN </w:instrText>
            </w:r>
            <w:r w:rsidRPr="00A964FF">
              <w:rPr>
                <w:rFonts w:ascii="Calibri"/>
                <w:color w:val="auto"/>
                <w:szCs w:val="21"/>
              </w:rPr>
              <w:fldChar w:fldCharType="separate"/>
            </w:r>
            <w:r w:rsidR="00C35015" w:rsidRPr="00A964FF">
              <w:rPr>
                <w:rFonts w:ascii="Calibri"/>
                <w:noProof/>
                <w:color w:val="auto"/>
                <w:szCs w:val="21"/>
              </w:rPr>
              <w:t>IV</w:t>
            </w:r>
            <w:r w:rsidRPr="00A964FF">
              <w:rPr>
                <w:rFonts w:ascii="Calibri"/>
                <w:color w:val="auto"/>
                <w:szCs w:val="21"/>
              </w:rPr>
              <w:fldChar w:fldCharType="end"/>
            </w:r>
            <w:r w:rsidR="0055605A" w:rsidRPr="00A964FF">
              <w:rPr>
                <w:rFonts w:ascii="Calibri"/>
                <w:color w:val="auto"/>
                <w:szCs w:val="21"/>
                <w:vertAlign w:val="superscript"/>
              </w:rPr>
              <w:t>+</w:t>
            </w:r>
          </w:p>
        </w:tc>
        <w:tc>
          <w:tcPr>
            <w:tcW w:w="1560" w:type="dxa"/>
            <w:shd w:val="clear" w:color="auto" w:fill="auto"/>
            <w:vAlign w:val="center"/>
          </w:tcPr>
          <w:p w14:paraId="54F77D30" w14:textId="77777777" w:rsidR="0055605A" w:rsidRPr="00A964FF" w:rsidRDefault="002766DF" w:rsidP="003E0795">
            <w:pPr>
              <w:widowControl/>
              <w:jc w:val="center"/>
              <w:rPr>
                <w:rFonts w:ascii="Calibri"/>
                <w:color w:val="auto"/>
                <w:szCs w:val="21"/>
              </w:rPr>
            </w:pPr>
            <w:r w:rsidRPr="00A964FF">
              <w:rPr>
                <w:rFonts w:ascii="Calibri"/>
                <w:color w:val="auto"/>
                <w:szCs w:val="21"/>
              </w:rPr>
              <w:fldChar w:fldCharType="begin"/>
            </w:r>
            <w:r w:rsidR="0055605A" w:rsidRPr="00A964FF">
              <w:rPr>
                <w:rFonts w:ascii="Calibri"/>
                <w:color w:val="auto"/>
                <w:szCs w:val="21"/>
              </w:rPr>
              <w:instrText xml:space="preserve"> = 3 \* ROMAN </w:instrText>
            </w:r>
            <w:r w:rsidRPr="00A964FF">
              <w:rPr>
                <w:rFonts w:ascii="Calibri"/>
                <w:color w:val="auto"/>
                <w:szCs w:val="21"/>
              </w:rPr>
              <w:fldChar w:fldCharType="separate"/>
            </w:r>
            <w:r w:rsidR="00C35015" w:rsidRPr="00A964FF">
              <w:rPr>
                <w:rFonts w:ascii="Calibri"/>
                <w:noProof/>
                <w:color w:val="auto"/>
                <w:szCs w:val="21"/>
              </w:rPr>
              <w:t>III</w:t>
            </w:r>
            <w:r w:rsidRPr="00A964FF">
              <w:rPr>
                <w:rFonts w:ascii="Calibri"/>
                <w:color w:val="auto"/>
                <w:szCs w:val="21"/>
              </w:rPr>
              <w:fldChar w:fldCharType="end"/>
            </w:r>
          </w:p>
        </w:tc>
        <w:tc>
          <w:tcPr>
            <w:tcW w:w="1696" w:type="dxa"/>
            <w:shd w:val="clear" w:color="auto" w:fill="auto"/>
            <w:vAlign w:val="center"/>
          </w:tcPr>
          <w:p w14:paraId="358A82E3" w14:textId="77777777" w:rsidR="0055605A" w:rsidRPr="00A964FF" w:rsidRDefault="002766DF" w:rsidP="003E0795">
            <w:pPr>
              <w:widowControl/>
              <w:jc w:val="center"/>
              <w:rPr>
                <w:rFonts w:ascii="Calibri"/>
                <w:color w:val="auto"/>
                <w:szCs w:val="21"/>
              </w:rPr>
            </w:pPr>
            <w:r w:rsidRPr="00A964FF">
              <w:rPr>
                <w:rFonts w:ascii="Calibri"/>
                <w:color w:val="auto"/>
                <w:szCs w:val="21"/>
              </w:rPr>
              <w:fldChar w:fldCharType="begin"/>
            </w:r>
            <w:r w:rsidR="0055605A" w:rsidRPr="00A964FF">
              <w:rPr>
                <w:rFonts w:ascii="Calibri"/>
                <w:color w:val="auto"/>
                <w:szCs w:val="21"/>
              </w:rPr>
              <w:instrText xml:space="preserve"> = 2 \* ROMAN </w:instrText>
            </w:r>
            <w:r w:rsidRPr="00A964FF">
              <w:rPr>
                <w:rFonts w:ascii="Calibri"/>
                <w:color w:val="auto"/>
                <w:szCs w:val="21"/>
              </w:rPr>
              <w:fldChar w:fldCharType="separate"/>
            </w:r>
            <w:r w:rsidR="00C35015" w:rsidRPr="00A964FF">
              <w:rPr>
                <w:rFonts w:ascii="Calibri"/>
                <w:noProof/>
                <w:color w:val="auto"/>
                <w:szCs w:val="21"/>
              </w:rPr>
              <w:t>II</w:t>
            </w:r>
            <w:r w:rsidRPr="00A964FF">
              <w:rPr>
                <w:rFonts w:ascii="Calibri"/>
                <w:color w:val="auto"/>
                <w:szCs w:val="21"/>
              </w:rPr>
              <w:fldChar w:fldCharType="end"/>
            </w:r>
          </w:p>
        </w:tc>
        <w:tc>
          <w:tcPr>
            <w:tcW w:w="2151" w:type="dxa"/>
            <w:tcBorders>
              <w:bottom w:val="single" w:sz="4" w:space="0" w:color="auto"/>
            </w:tcBorders>
            <w:shd w:val="clear" w:color="auto" w:fill="auto"/>
            <w:vAlign w:val="center"/>
          </w:tcPr>
          <w:p w14:paraId="1DCC2040" w14:textId="77777777" w:rsidR="0055605A" w:rsidRPr="00A964FF" w:rsidRDefault="002766DF" w:rsidP="003E0795">
            <w:pPr>
              <w:widowControl/>
              <w:jc w:val="center"/>
              <w:rPr>
                <w:rFonts w:ascii="Calibri"/>
                <w:color w:val="auto"/>
                <w:szCs w:val="21"/>
              </w:rPr>
            </w:pPr>
            <w:r w:rsidRPr="00A964FF">
              <w:rPr>
                <w:rFonts w:ascii="Calibri"/>
                <w:color w:val="auto"/>
                <w:szCs w:val="21"/>
              </w:rPr>
              <w:fldChar w:fldCharType="begin"/>
            </w:r>
            <w:r w:rsidR="0055605A" w:rsidRPr="00A964FF">
              <w:rPr>
                <w:rFonts w:ascii="Calibri"/>
                <w:color w:val="auto"/>
                <w:szCs w:val="21"/>
              </w:rPr>
              <w:instrText xml:space="preserve"> = 1 \* ROMAN </w:instrText>
            </w:r>
            <w:r w:rsidRPr="00A964FF">
              <w:rPr>
                <w:rFonts w:ascii="Calibri"/>
                <w:color w:val="auto"/>
                <w:szCs w:val="21"/>
              </w:rPr>
              <w:fldChar w:fldCharType="separate"/>
            </w:r>
            <w:r w:rsidR="00C35015" w:rsidRPr="00A964FF">
              <w:rPr>
                <w:rFonts w:ascii="Calibri"/>
                <w:noProof/>
                <w:color w:val="auto"/>
                <w:szCs w:val="21"/>
              </w:rPr>
              <w:t>I</w:t>
            </w:r>
            <w:r w:rsidRPr="00A964FF">
              <w:rPr>
                <w:rFonts w:ascii="Calibri"/>
                <w:color w:val="auto"/>
                <w:szCs w:val="21"/>
              </w:rPr>
              <w:fldChar w:fldCharType="end"/>
            </w:r>
          </w:p>
        </w:tc>
      </w:tr>
      <w:tr w:rsidR="0055605A" w:rsidRPr="00A964FF" w14:paraId="6EF2418B" w14:textId="77777777" w:rsidTr="003E0795">
        <w:trPr>
          <w:trHeight w:val="340"/>
        </w:trPr>
        <w:tc>
          <w:tcPr>
            <w:tcW w:w="1936" w:type="dxa"/>
            <w:shd w:val="clear" w:color="auto" w:fill="auto"/>
            <w:tcMar>
              <w:left w:w="113" w:type="dxa"/>
              <w:right w:w="113" w:type="dxa"/>
            </w:tcMar>
            <w:vAlign w:val="center"/>
          </w:tcPr>
          <w:p w14:paraId="3A5F1087" w14:textId="77777777" w:rsidR="0055605A" w:rsidRPr="00A964FF" w:rsidRDefault="0055605A" w:rsidP="003E0795">
            <w:pPr>
              <w:widowControl/>
              <w:jc w:val="center"/>
              <w:rPr>
                <w:rFonts w:ascii="Calibri"/>
                <w:color w:val="auto"/>
                <w:szCs w:val="21"/>
              </w:rPr>
            </w:pPr>
            <w:r w:rsidRPr="00A964FF">
              <w:rPr>
                <w:rFonts w:ascii="Calibri"/>
                <w:color w:val="auto"/>
                <w:szCs w:val="21"/>
              </w:rPr>
              <w:t>评价等级</w:t>
            </w:r>
          </w:p>
        </w:tc>
        <w:tc>
          <w:tcPr>
            <w:tcW w:w="1559" w:type="dxa"/>
            <w:shd w:val="clear" w:color="auto" w:fill="auto"/>
            <w:tcMar>
              <w:left w:w="113" w:type="dxa"/>
              <w:right w:w="113" w:type="dxa"/>
            </w:tcMar>
            <w:vAlign w:val="center"/>
          </w:tcPr>
          <w:p w14:paraId="6C09DA9D" w14:textId="77777777" w:rsidR="0055605A" w:rsidRPr="00A964FF" w:rsidRDefault="0055605A" w:rsidP="003E0795">
            <w:pPr>
              <w:widowControl/>
              <w:jc w:val="center"/>
              <w:rPr>
                <w:rFonts w:ascii="Calibri"/>
                <w:color w:val="auto"/>
                <w:szCs w:val="21"/>
              </w:rPr>
            </w:pPr>
            <w:r w:rsidRPr="00A964FF">
              <w:rPr>
                <w:rFonts w:ascii="Calibri"/>
                <w:color w:val="auto"/>
                <w:szCs w:val="21"/>
              </w:rPr>
              <w:t>一</w:t>
            </w:r>
          </w:p>
        </w:tc>
        <w:tc>
          <w:tcPr>
            <w:tcW w:w="1560" w:type="dxa"/>
            <w:tcBorders>
              <w:bottom w:val="single" w:sz="4" w:space="0" w:color="auto"/>
            </w:tcBorders>
            <w:shd w:val="clear" w:color="auto" w:fill="auto"/>
            <w:vAlign w:val="center"/>
          </w:tcPr>
          <w:p w14:paraId="5114B57E" w14:textId="77777777" w:rsidR="0055605A" w:rsidRPr="00A964FF" w:rsidRDefault="0055605A" w:rsidP="003E0795">
            <w:pPr>
              <w:widowControl/>
              <w:jc w:val="center"/>
              <w:rPr>
                <w:rFonts w:ascii="Calibri"/>
                <w:color w:val="auto"/>
                <w:szCs w:val="21"/>
              </w:rPr>
            </w:pPr>
            <w:r w:rsidRPr="00A964FF">
              <w:rPr>
                <w:rFonts w:ascii="Calibri"/>
                <w:color w:val="auto"/>
                <w:szCs w:val="21"/>
              </w:rPr>
              <w:t>二</w:t>
            </w:r>
          </w:p>
        </w:tc>
        <w:tc>
          <w:tcPr>
            <w:tcW w:w="1696" w:type="dxa"/>
            <w:shd w:val="clear" w:color="auto" w:fill="auto"/>
            <w:vAlign w:val="center"/>
          </w:tcPr>
          <w:p w14:paraId="22837160" w14:textId="77777777" w:rsidR="0055605A" w:rsidRPr="00A964FF" w:rsidRDefault="0055605A" w:rsidP="003E0795">
            <w:pPr>
              <w:widowControl/>
              <w:jc w:val="center"/>
              <w:rPr>
                <w:rFonts w:ascii="Calibri"/>
                <w:color w:val="auto"/>
                <w:szCs w:val="21"/>
              </w:rPr>
            </w:pPr>
            <w:r w:rsidRPr="00A964FF">
              <w:rPr>
                <w:rFonts w:ascii="Calibri"/>
                <w:color w:val="auto"/>
                <w:szCs w:val="21"/>
              </w:rPr>
              <w:t>三</w:t>
            </w:r>
          </w:p>
        </w:tc>
        <w:tc>
          <w:tcPr>
            <w:tcW w:w="2151" w:type="dxa"/>
            <w:tcBorders>
              <w:top w:val="single" w:sz="4" w:space="0" w:color="auto"/>
              <w:bottom w:val="single" w:sz="4" w:space="0" w:color="auto"/>
            </w:tcBorders>
            <w:shd w:val="clear" w:color="auto" w:fill="auto"/>
            <w:vAlign w:val="center"/>
          </w:tcPr>
          <w:p w14:paraId="27A1381C" w14:textId="77777777" w:rsidR="0055605A" w:rsidRPr="00A964FF" w:rsidRDefault="0055605A" w:rsidP="00F12CDF">
            <w:pPr>
              <w:widowControl/>
              <w:jc w:val="center"/>
              <w:rPr>
                <w:rFonts w:ascii="Calibri"/>
                <w:color w:val="auto"/>
                <w:szCs w:val="21"/>
              </w:rPr>
            </w:pPr>
            <w:r w:rsidRPr="00A964FF">
              <w:rPr>
                <w:rFonts w:ascii="Calibri"/>
                <w:color w:val="auto"/>
                <w:szCs w:val="21"/>
              </w:rPr>
              <w:t>简单分析</w:t>
            </w:r>
            <w:r w:rsidR="00F12CDF" w:rsidRPr="00A964FF">
              <w:rPr>
                <w:rFonts w:ascii="Calibri"/>
                <w:color w:val="auto"/>
                <w:szCs w:val="21"/>
              </w:rPr>
              <w:t>*</w:t>
            </w:r>
          </w:p>
        </w:tc>
      </w:tr>
      <w:tr w:rsidR="0055605A" w:rsidRPr="00A964FF" w14:paraId="6CB204AC" w14:textId="77777777" w:rsidTr="003E0795">
        <w:trPr>
          <w:trHeight w:val="340"/>
        </w:trPr>
        <w:tc>
          <w:tcPr>
            <w:tcW w:w="8902" w:type="dxa"/>
            <w:gridSpan w:val="5"/>
            <w:shd w:val="clear" w:color="auto" w:fill="auto"/>
            <w:tcMar>
              <w:left w:w="113" w:type="dxa"/>
              <w:right w:w="113" w:type="dxa"/>
            </w:tcMar>
            <w:vAlign w:val="center"/>
          </w:tcPr>
          <w:p w14:paraId="5EC95440" w14:textId="77777777" w:rsidR="0055605A" w:rsidRPr="00A964FF" w:rsidRDefault="0055605A" w:rsidP="003E0795">
            <w:pPr>
              <w:widowControl/>
              <w:jc w:val="center"/>
              <w:rPr>
                <w:rFonts w:ascii="Calibri"/>
                <w:color w:val="auto"/>
                <w:szCs w:val="21"/>
              </w:rPr>
            </w:pPr>
            <w:r w:rsidRPr="00A964FF">
              <w:rPr>
                <w:rFonts w:ascii="Calibri"/>
                <w:color w:val="auto"/>
                <w:szCs w:val="21"/>
              </w:rPr>
              <w:t>*</w:t>
            </w:r>
            <w:r w:rsidRPr="00A964FF">
              <w:rPr>
                <w:rFonts w:ascii="Calibri"/>
                <w:color w:val="auto"/>
                <w:szCs w:val="21"/>
              </w:rPr>
              <w:t>是相对于详细评价工作内容而言，在描述危险物质、环境影响途径、环境危害后果、风险防范措施等方面给出定性的说明。</w:t>
            </w:r>
          </w:p>
        </w:tc>
      </w:tr>
    </w:tbl>
    <w:p w14:paraId="046A2A22" w14:textId="77777777" w:rsidR="0055605A" w:rsidRPr="00A964FF" w:rsidRDefault="0055605A" w:rsidP="0055605A">
      <w:pPr>
        <w:pStyle w:val="ad"/>
        <w:rPr>
          <w:rFonts w:ascii="Calibri" w:hAnsi="Calibri"/>
          <w:color w:val="auto"/>
        </w:rPr>
      </w:pPr>
      <w:r w:rsidRPr="00A964FF">
        <w:rPr>
          <w:rFonts w:ascii="Calibri" w:hAnsi="Calibri" w:hint="eastAsia"/>
          <w:color w:val="auto"/>
        </w:rPr>
        <w:t>4.3.</w:t>
      </w:r>
      <w:r w:rsidR="009F1FE4" w:rsidRPr="00A964FF">
        <w:rPr>
          <w:rFonts w:ascii="Calibri" w:hAnsi="Calibri" w:hint="eastAsia"/>
          <w:color w:val="auto"/>
        </w:rPr>
        <w:t>5</w:t>
      </w:r>
      <w:r w:rsidRPr="00A964FF">
        <w:rPr>
          <w:rFonts w:ascii="Calibri" w:hAnsi="Calibri" w:hint="eastAsia"/>
          <w:color w:val="auto"/>
        </w:rPr>
        <w:t>环境敏感目标概况</w:t>
      </w:r>
    </w:p>
    <w:p w14:paraId="77DF0056" w14:textId="77777777" w:rsidR="00580CFD" w:rsidRPr="004F1F5C" w:rsidRDefault="0055605A" w:rsidP="004F1F5C">
      <w:pPr>
        <w:pStyle w:val="00"/>
        <w:rPr>
          <w:rFonts w:ascii="Calibri"/>
          <w:color w:val="auto"/>
        </w:rPr>
      </w:pPr>
      <w:r w:rsidRPr="005249C0">
        <w:rPr>
          <w:rFonts w:ascii="Calibri" w:hAnsi="Calibri" w:hint="eastAsia"/>
          <w:color w:val="auto"/>
        </w:rPr>
        <w:t>根据《建设项目环境风险评价技术导则》（</w:t>
      </w:r>
      <w:r w:rsidR="006F1321" w:rsidRPr="005249C0">
        <w:rPr>
          <w:rFonts w:ascii="Calibri" w:hAnsi="Calibri"/>
          <w:color w:val="auto"/>
        </w:rPr>
        <w:t>HJ169</w:t>
      </w:r>
      <w:r w:rsidRPr="005249C0">
        <w:rPr>
          <w:rFonts w:ascii="Calibri" w:hAnsi="Calibri" w:hint="eastAsia"/>
          <w:color w:val="auto"/>
        </w:rPr>
        <w:t>-</w:t>
      </w:r>
      <w:r w:rsidRPr="005249C0">
        <w:rPr>
          <w:rFonts w:ascii="Calibri" w:hAnsi="Calibri"/>
          <w:color w:val="auto"/>
        </w:rPr>
        <w:t>20</w:t>
      </w:r>
      <w:r w:rsidRPr="005249C0">
        <w:rPr>
          <w:rFonts w:ascii="Calibri" w:hAnsi="Calibri" w:hint="eastAsia"/>
          <w:color w:val="auto"/>
        </w:rPr>
        <w:t>18</w:t>
      </w:r>
      <w:r w:rsidRPr="005249C0">
        <w:rPr>
          <w:rFonts w:ascii="Calibri" w:hAnsi="Calibri" w:hint="eastAsia"/>
          <w:color w:val="auto"/>
        </w:rPr>
        <w:t>），本次环境风险评价调查范围为项目场界外</w:t>
      </w:r>
      <w:r w:rsidR="00AF13C4" w:rsidRPr="005249C0">
        <w:rPr>
          <w:rFonts w:ascii="Calibri" w:hAnsi="Calibri"/>
          <w:color w:val="auto"/>
        </w:rPr>
        <w:t>5</w:t>
      </w:r>
      <w:r w:rsidRPr="005249C0">
        <w:rPr>
          <w:rFonts w:ascii="Calibri" w:hAnsi="Calibri" w:hint="eastAsia"/>
          <w:color w:val="auto"/>
        </w:rPr>
        <w:t>km</w:t>
      </w:r>
      <w:r w:rsidRPr="005249C0">
        <w:rPr>
          <w:rFonts w:ascii="Calibri" w:hAnsi="Calibri" w:hint="eastAsia"/>
          <w:color w:val="auto"/>
        </w:rPr>
        <w:t>，项目周围敏感目标分布情况</w:t>
      </w:r>
      <w:r w:rsidRPr="005249C0">
        <w:rPr>
          <w:rFonts w:ascii="Calibri" w:hint="eastAsia"/>
          <w:color w:val="auto"/>
        </w:rPr>
        <w:t>见表</w:t>
      </w:r>
      <w:r w:rsidRPr="005249C0">
        <w:rPr>
          <w:rFonts w:ascii="Calibri" w:hint="eastAsia"/>
          <w:color w:val="auto"/>
        </w:rPr>
        <w:t>4</w:t>
      </w:r>
      <w:r w:rsidR="00F12CDF" w:rsidRPr="005249C0">
        <w:rPr>
          <w:rFonts w:ascii="Calibri" w:hint="eastAsia"/>
          <w:color w:val="auto"/>
        </w:rPr>
        <w:t>.3</w:t>
      </w:r>
      <w:r w:rsidRPr="005249C0">
        <w:rPr>
          <w:rFonts w:ascii="Calibri" w:hint="eastAsia"/>
          <w:color w:val="auto"/>
        </w:rPr>
        <w:t>-</w:t>
      </w:r>
      <w:r w:rsidR="00AF13C4" w:rsidRPr="005249C0">
        <w:rPr>
          <w:rFonts w:ascii="Calibri" w:hint="eastAsia"/>
          <w:color w:val="auto"/>
        </w:rPr>
        <w:t>6</w:t>
      </w:r>
      <w:r w:rsidR="0082124A" w:rsidRPr="005249C0">
        <w:rPr>
          <w:rFonts w:ascii="Calibri" w:hint="eastAsia"/>
          <w:color w:val="auto"/>
        </w:rPr>
        <w:t>，评价范围见图</w:t>
      </w:r>
      <w:r w:rsidR="0082124A" w:rsidRPr="005249C0">
        <w:rPr>
          <w:rFonts w:ascii="Calibri" w:hint="eastAsia"/>
          <w:color w:val="auto"/>
        </w:rPr>
        <w:t>4</w:t>
      </w:r>
      <w:r w:rsidR="000D2512" w:rsidRPr="005249C0">
        <w:rPr>
          <w:rFonts w:ascii="Calibri" w:hint="eastAsia"/>
          <w:color w:val="auto"/>
        </w:rPr>
        <w:t>.3</w:t>
      </w:r>
      <w:r w:rsidR="0082124A" w:rsidRPr="005249C0">
        <w:rPr>
          <w:rFonts w:ascii="Calibri" w:hint="eastAsia"/>
          <w:color w:val="auto"/>
        </w:rPr>
        <w:t>-</w:t>
      </w:r>
      <w:r w:rsidR="000D2512" w:rsidRPr="005249C0">
        <w:rPr>
          <w:rFonts w:ascii="Calibri" w:hint="eastAsia"/>
          <w:color w:val="auto"/>
        </w:rPr>
        <w:t>1</w:t>
      </w:r>
      <w:r w:rsidR="0082124A" w:rsidRPr="005249C0">
        <w:rPr>
          <w:rFonts w:ascii="Calibri" w:hint="eastAsia"/>
          <w:color w:val="auto"/>
        </w:rPr>
        <w:t>。</w:t>
      </w:r>
    </w:p>
    <w:p w14:paraId="411CE6F7" w14:textId="77777777" w:rsidR="00284EDE" w:rsidRPr="00A964FF" w:rsidRDefault="0055605A" w:rsidP="005249C0">
      <w:pPr>
        <w:spacing w:line="520" w:lineRule="exact"/>
        <w:ind w:firstLineChars="250" w:firstLine="600"/>
        <w:rPr>
          <w:rFonts w:ascii="Calibri" w:eastAsia="黑体" w:hAnsi="Calibri"/>
          <w:bCs/>
          <w:color w:val="auto"/>
          <w:sz w:val="24"/>
        </w:rPr>
      </w:pPr>
      <w:r w:rsidRPr="00A964FF">
        <w:rPr>
          <w:rFonts w:ascii="Calibri" w:eastAsia="黑体" w:hAnsi="Calibri"/>
          <w:bCs/>
          <w:color w:val="auto"/>
          <w:sz w:val="24"/>
        </w:rPr>
        <w:t>表</w:t>
      </w:r>
      <w:r w:rsidRPr="00A964FF">
        <w:rPr>
          <w:rFonts w:ascii="Calibri" w:eastAsia="黑体" w:hAnsi="Calibri" w:hint="eastAsia"/>
          <w:bCs/>
          <w:color w:val="auto"/>
          <w:sz w:val="24"/>
        </w:rPr>
        <w:t>4</w:t>
      </w:r>
      <w:r w:rsidR="000D2512" w:rsidRPr="00A964FF">
        <w:rPr>
          <w:rFonts w:ascii="Calibri" w:eastAsia="黑体" w:hAnsi="Calibri" w:hint="eastAsia"/>
          <w:bCs/>
          <w:color w:val="auto"/>
          <w:sz w:val="24"/>
        </w:rPr>
        <w:t>.3</w:t>
      </w:r>
      <w:r w:rsidRPr="00A964FF">
        <w:rPr>
          <w:rFonts w:ascii="Calibri" w:eastAsia="黑体" w:hAnsi="Calibri" w:hint="eastAsia"/>
          <w:bCs/>
          <w:color w:val="auto"/>
          <w:sz w:val="24"/>
        </w:rPr>
        <w:t>-</w:t>
      </w:r>
      <w:r w:rsidR="006A642B">
        <w:rPr>
          <w:rFonts w:ascii="Calibri" w:eastAsia="黑体" w:hAnsi="Calibri" w:hint="eastAsia"/>
          <w:bCs/>
          <w:color w:val="auto"/>
          <w:sz w:val="24"/>
        </w:rPr>
        <w:t>6</w:t>
      </w:r>
      <w:r w:rsidRPr="00A964FF">
        <w:rPr>
          <w:rFonts w:ascii="Calibri" w:eastAsia="黑体" w:hAnsi="Calibri" w:hint="eastAsia"/>
          <w:bCs/>
          <w:color w:val="auto"/>
          <w:sz w:val="24"/>
        </w:rPr>
        <w:t xml:space="preserve">             </w:t>
      </w:r>
      <w:r w:rsidRPr="00A964FF">
        <w:rPr>
          <w:rFonts w:ascii="Calibri" w:eastAsia="黑体" w:hAnsi="Calibri" w:hint="eastAsia"/>
          <w:bCs/>
          <w:color w:val="auto"/>
          <w:sz w:val="24"/>
        </w:rPr>
        <w:t>建设项目周围敏感目标调查表</w:t>
      </w:r>
    </w:p>
    <w:tbl>
      <w:tblPr>
        <w:tblW w:w="89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2"/>
        <w:gridCol w:w="992"/>
        <w:gridCol w:w="1560"/>
        <w:gridCol w:w="161"/>
        <w:gridCol w:w="1114"/>
        <w:gridCol w:w="20"/>
        <w:gridCol w:w="1114"/>
        <w:gridCol w:w="162"/>
        <w:gridCol w:w="1134"/>
        <w:gridCol w:w="425"/>
        <w:gridCol w:w="1418"/>
      </w:tblGrid>
      <w:tr w:rsidR="00284EDE" w:rsidRPr="00A964FF" w14:paraId="73F44A23" w14:textId="77777777" w:rsidTr="001509A3">
        <w:trPr>
          <w:trHeight w:val="340"/>
        </w:trPr>
        <w:tc>
          <w:tcPr>
            <w:tcW w:w="802" w:type="dxa"/>
            <w:vMerge w:val="restart"/>
            <w:tcMar>
              <w:left w:w="113" w:type="dxa"/>
              <w:right w:w="113" w:type="dxa"/>
            </w:tcMar>
            <w:vAlign w:val="center"/>
          </w:tcPr>
          <w:p w14:paraId="0CD57829"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类别</w:t>
            </w:r>
          </w:p>
        </w:tc>
        <w:tc>
          <w:tcPr>
            <w:tcW w:w="8100" w:type="dxa"/>
            <w:gridSpan w:val="10"/>
            <w:vAlign w:val="center"/>
          </w:tcPr>
          <w:p w14:paraId="746F7BFB"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环境敏感特征</w:t>
            </w:r>
          </w:p>
        </w:tc>
      </w:tr>
      <w:tr w:rsidR="00284EDE" w:rsidRPr="00A964FF" w14:paraId="3A3518D0" w14:textId="77777777" w:rsidTr="00BD220E">
        <w:trPr>
          <w:trHeight w:val="340"/>
        </w:trPr>
        <w:tc>
          <w:tcPr>
            <w:tcW w:w="802" w:type="dxa"/>
            <w:vMerge/>
            <w:tcMar>
              <w:left w:w="113" w:type="dxa"/>
              <w:right w:w="113" w:type="dxa"/>
            </w:tcMar>
            <w:vAlign w:val="center"/>
          </w:tcPr>
          <w:p w14:paraId="7DCD0797" w14:textId="77777777" w:rsidR="00284EDE" w:rsidRPr="00A964FF" w:rsidRDefault="00284EDE" w:rsidP="001509A3">
            <w:pPr>
              <w:jc w:val="center"/>
              <w:rPr>
                <w:rFonts w:ascii="Calibri" w:hAnsi="Calibri"/>
                <w:color w:val="auto"/>
                <w:szCs w:val="21"/>
              </w:rPr>
            </w:pPr>
          </w:p>
        </w:tc>
        <w:tc>
          <w:tcPr>
            <w:tcW w:w="992" w:type="dxa"/>
            <w:vAlign w:val="center"/>
          </w:tcPr>
          <w:p w14:paraId="3DA914D5"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序号</w:t>
            </w:r>
          </w:p>
        </w:tc>
        <w:tc>
          <w:tcPr>
            <w:tcW w:w="1721" w:type="dxa"/>
            <w:gridSpan w:val="2"/>
            <w:tcMar>
              <w:left w:w="113" w:type="dxa"/>
              <w:right w:w="113" w:type="dxa"/>
            </w:tcMar>
            <w:vAlign w:val="center"/>
          </w:tcPr>
          <w:p w14:paraId="1A90F54A"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敏感目标名称</w:t>
            </w:r>
          </w:p>
        </w:tc>
        <w:tc>
          <w:tcPr>
            <w:tcW w:w="1114" w:type="dxa"/>
            <w:vAlign w:val="center"/>
          </w:tcPr>
          <w:p w14:paraId="461EDD6B"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相对方位</w:t>
            </w:r>
          </w:p>
        </w:tc>
        <w:tc>
          <w:tcPr>
            <w:tcW w:w="1296" w:type="dxa"/>
            <w:gridSpan w:val="3"/>
            <w:vAlign w:val="center"/>
          </w:tcPr>
          <w:p w14:paraId="29211AEE"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距离</w:t>
            </w:r>
            <w:r w:rsidRPr="00A964FF">
              <w:rPr>
                <w:rFonts w:ascii="Calibri" w:hAnsi="Calibri"/>
                <w:color w:val="auto"/>
                <w:szCs w:val="21"/>
              </w:rPr>
              <w:t>/m</w:t>
            </w:r>
          </w:p>
        </w:tc>
        <w:tc>
          <w:tcPr>
            <w:tcW w:w="1559" w:type="dxa"/>
            <w:gridSpan w:val="2"/>
            <w:vAlign w:val="center"/>
          </w:tcPr>
          <w:p w14:paraId="7612D3C1"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属性</w:t>
            </w:r>
          </w:p>
        </w:tc>
        <w:tc>
          <w:tcPr>
            <w:tcW w:w="1418" w:type="dxa"/>
            <w:vAlign w:val="center"/>
          </w:tcPr>
          <w:p w14:paraId="4B529543" w14:textId="77777777" w:rsidR="00284EDE" w:rsidRPr="00A964FF" w:rsidRDefault="00284EDE" w:rsidP="001509A3">
            <w:pPr>
              <w:jc w:val="center"/>
              <w:rPr>
                <w:rFonts w:ascii="Calibri" w:hAnsi="Calibri"/>
                <w:color w:val="auto"/>
                <w:szCs w:val="21"/>
              </w:rPr>
            </w:pPr>
            <w:r w:rsidRPr="00A964FF">
              <w:rPr>
                <w:rFonts w:ascii="Calibri" w:hAnsi="Calibri"/>
                <w:color w:val="auto"/>
                <w:szCs w:val="21"/>
              </w:rPr>
              <w:t>人口数</w:t>
            </w:r>
            <w:r w:rsidRPr="00A964FF">
              <w:rPr>
                <w:rFonts w:ascii="Calibri" w:hAnsi="Calibri"/>
                <w:color w:val="auto"/>
                <w:szCs w:val="21"/>
              </w:rPr>
              <w:t>/</w:t>
            </w:r>
            <w:r w:rsidRPr="00A964FF">
              <w:rPr>
                <w:rFonts w:ascii="Calibri" w:hAnsi="Calibri"/>
                <w:color w:val="auto"/>
                <w:szCs w:val="21"/>
              </w:rPr>
              <w:t>人</w:t>
            </w:r>
          </w:p>
        </w:tc>
      </w:tr>
      <w:tr w:rsidR="008B2B79" w:rsidRPr="00A964FF" w14:paraId="13D5E542" w14:textId="77777777" w:rsidTr="00BD220E">
        <w:trPr>
          <w:trHeight w:val="340"/>
        </w:trPr>
        <w:tc>
          <w:tcPr>
            <w:tcW w:w="802" w:type="dxa"/>
            <w:vMerge w:val="restart"/>
            <w:tcMar>
              <w:left w:w="113" w:type="dxa"/>
              <w:right w:w="113" w:type="dxa"/>
            </w:tcMar>
            <w:vAlign w:val="center"/>
          </w:tcPr>
          <w:p w14:paraId="2205A580"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环境空气</w:t>
            </w:r>
          </w:p>
        </w:tc>
        <w:tc>
          <w:tcPr>
            <w:tcW w:w="992" w:type="dxa"/>
            <w:vAlign w:val="center"/>
          </w:tcPr>
          <w:p w14:paraId="4DAAF358"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1</w:t>
            </w:r>
          </w:p>
        </w:tc>
        <w:tc>
          <w:tcPr>
            <w:tcW w:w="1721" w:type="dxa"/>
            <w:gridSpan w:val="2"/>
            <w:tcMar>
              <w:left w:w="113" w:type="dxa"/>
              <w:right w:w="113" w:type="dxa"/>
            </w:tcMar>
            <w:vAlign w:val="center"/>
          </w:tcPr>
          <w:p w14:paraId="32465AA0" w14:textId="77777777" w:rsidR="008B2B79" w:rsidRPr="00A964FF" w:rsidRDefault="007B351F" w:rsidP="00BA198C">
            <w:pPr>
              <w:jc w:val="center"/>
              <w:rPr>
                <w:rFonts w:ascii="Calibri" w:hAnsi="Calibri" w:cs="宋体"/>
                <w:color w:val="auto"/>
                <w:szCs w:val="21"/>
              </w:rPr>
            </w:pPr>
            <w:r>
              <w:rPr>
                <w:rFonts w:ascii="Calibri" w:hint="eastAsia"/>
                <w:color w:val="auto"/>
                <w:szCs w:val="21"/>
              </w:rPr>
              <w:t>蒲城店</w:t>
            </w:r>
          </w:p>
        </w:tc>
        <w:tc>
          <w:tcPr>
            <w:tcW w:w="1114" w:type="dxa"/>
            <w:vAlign w:val="center"/>
          </w:tcPr>
          <w:p w14:paraId="500F75EE"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p>
        </w:tc>
        <w:tc>
          <w:tcPr>
            <w:tcW w:w="1296" w:type="dxa"/>
            <w:gridSpan w:val="3"/>
            <w:vAlign w:val="center"/>
          </w:tcPr>
          <w:p w14:paraId="7C2C0213"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4690</w:t>
            </w:r>
          </w:p>
        </w:tc>
        <w:tc>
          <w:tcPr>
            <w:tcW w:w="1559" w:type="dxa"/>
            <w:gridSpan w:val="2"/>
            <w:vAlign w:val="center"/>
          </w:tcPr>
          <w:p w14:paraId="3F589235" w14:textId="77777777" w:rsidR="008B2B79" w:rsidRPr="00A964FF" w:rsidRDefault="008B2B79" w:rsidP="001509A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43EDC61B" w14:textId="77777777" w:rsidR="008B2B79" w:rsidRPr="003A23B5" w:rsidRDefault="003A23B5" w:rsidP="003A23B5">
            <w:pPr>
              <w:jc w:val="center"/>
              <w:rPr>
                <w:rFonts w:asciiTheme="minorHAnsi" w:hAnsiTheme="minorHAnsi" w:cs="Times New Roman"/>
                <w:color w:val="auto"/>
                <w:szCs w:val="21"/>
              </w:rPr>
            </w:pPr>
            <w:r w:rsidRPr="003A23B5">
              <w:rPr>
                <w:rFonts w:asciiTheme="minorHAnsi" w:hAnsiTheme="minorHAnsi"/>
                <w:kern w:val="0"/>
                <w:szCs w:val="21"/>
              </w:rPr>
              <w:t>1803</w:t>
            </w:r>
          </w:p>
        </w:tc>
      </w:tr>
      <w:tr w:rsidR="008B2B79" w:rsidRPr="00A964FF" w14:paraId="5E15E250" w14:textId="77777777" w:rsidTr="00BD220E">
        <w:trPr>
          <w:trHeight w:val="340"/>
        </w:trPr>
        <w:tc>
          <w:tcPr>
            <w:tcW w:w="802" w:type="dxa"/>
            <w:vMerge/>
            <w:tcMar>
              <w:left w:w="113" w:type="dxa"/>
              <w:right w:w="113" w:type="dxa"/>
            </w:tcMar>
            <w:vAlign w:val="center"/>
          </w:tcPr>
          <w:p w14:paraId="0FC8DA97" w14:textId="77777777" w:rsidR="008B2B79" w:rsidRPr="00A964FF" w:rsidRDefault="008B2B79" w:rsidP="001509A3">
            <w:pPr>
              <w:jc w:val="center"/>
              <w:rPr>
                <w:rFonts w:ascii="Calibri" w:hAnsi="Calibri"/>
                <w:bCs/>
                <w:color w:val="auto"/>
                <w:szCs w:val="21"/>
              </w:rPr>
            </w:pPr>
          </w:p>
        </w:tc>
        <w:tc>
          <w:tcPr>
            <w:tcW w:w="992" w:type="dxa"/>
            <w:vAlign w:val="center"/>
          </w:tcPr>
          <w:p w14:paraId="27767C84"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2</w:t>
            </w:r>
          </w:p>
        </w:tc>
        <w:tc>
          <w:tcPr>
            <w:tcW w:w="1721" w:type="dxa"/>
            <w:gridSpan w:val="2"/>
            <w:tcMar>
              <w:left w:w="113" w:type="dxa"/>
              <w:right w:w="113" w:type="dxa"/>
            </w:tcMar>
            <w:vAlign w:val="center"/>
          </w:tcPr>
          <w:p w14:paraId="0793AD7F" w14:textId="77777777" w:rsidR="008B2B79" w:rsidRPr="00A964FF" w:rsidRDefault="007B351F" w:rsidP="00BA198C">
            <w:pPr>
              <w:jc w:val="center"/>
              <w:rPr>
                <w:rFonts w:ascii="Calibri" w:hAnsi="Calibri" w:cs="宋体"/>
                <w:color w:val="auto"/>
                <w:szCs w:val="21"/>
              </w:rPr>
            </w:pPr>
            <w:r>
              <w:rPr>
                <w:rFonts w:ascii="Calibri" w:hint="eastAsia"/>
                <w:color w:val="auto"/>
                <w:szCs w:val="21"/>
              </w:rPr>
              <w:t>蒲楼村</w:t>
            </w:r>
          </w:p>
        </w:tc>
        <w:tc>
          <w:tcPr>
            <w:tcW w:w="1114" w:type="dxa"/>
            <w:vAlign w:val="center"/>
          </w:tcPr>
          <w:p w14:paraId="477396EF"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387238B3"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4320</w:t>
            </w:r>
          </w:p>
        </w:tc>
        <w:tc>
          <w:tcPr>
            <w:tcW w:w="1559" w:type="dxa"/>
            <w:gridSpan w:val="2"/>
            <w:vAlign w:val="center"/>
          </w:tcPr>
          <w:p w14:paraId="10F5F7C2" w14:textId="77777777" w:rsidR="008B2B79" w:rsidRPr="00A964FF" w:rsidRDefault="008B2B79" w:rsidP="001509A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472E80F4"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kern w:val="0"/>
                <w:szCs w:val="21"/>
              </w:rPr>
              <w:t>850</w:t>
            </w:r>
          </w:p>
        </w:tc>
      </w:tr>
      <w:tr w:rsidR="008B2B79" w:rsidRPr="00A964FF" w14:paraId="2878CC39" w14:textId="77777777" w:rsidTr="00BD220E">
        <w:trPr>
          <w:trHeight w:val="340"/>
        </w:trPr>
        <w:tc>
          <w:tcPr>
            <w:tcW w:w="802" w:type="dxa"/>
            <w:vMerge/>
            <w:tcMar>
              <w:left w:w="113" w:type="dxa"/>
              <w:right w:w="113" w:type="dxa"/>
            </w:tcMar>
            <w:vAlign w:val="center"/>
          </w:tcPr>
          <w:p w14:paraId="0897F075" w14:textId="77777777" w:rsidR="008B2B79" w:rsidRPr="00A964FF" w:rsidRDefault="008B2B79" w:rsidP="001509A3">
            <w:pPr>
              <w:jc w:val="center"/>
              <w:rPr>
                <w:rFonts w:ascii="Calibri" w:hAnsi="Calibri"/>
                <w:bCs/>
                <w:color w:val="auto"/>
                <w:szCs w:val="21"/>
              </w:rPr>
            </w:pPr>
          </w:p>
        </w:tc>
        <w:tc>
          <w:tcPr>
            <w:tcW w:w="992" w:type="dxa"/>
            <w:vAlign w:val="center"/>
          </w:tcPr>
          <w:p w14:paraId="47F0605E"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3</w:t>
            </w:r>
          </w:p>
        </w:tc>
        <w:tc>
          <w:tcPr>
            <w:tcW w:w="1721" w:type="dxa"/>
            <w:gridSpan w:val="2"/>
            <w:tcMar>
              <w:left w:w="113" w:type="dxa"/>
              <w:right w:w="113" w:type="dxa"/>
            </w:tcMar>
            <w:vAlign w:val="center"/>
          </w:tcPr>
          <w:p w14:paraId="6BADC1E6" w14:textId="77777777" w:rsidR="008B2B79" w:rsidRPr="00A964FF" w:rsidRDefault="007B351F" w:rsidP="00BA198C">
            <w:pPr>
              <w:jc w:val="center"/>
              <w:rPr>
                <w:rFonts w:ascii="Calibri" w:hAnsi="Calibri" w:cs="宋体"/>
                <w:color w:val="auto"/>
                <w:szCs w:val="21"/>
              </w:rPr>
            </w:pPr>
            <w:r>
              <w:rPr>
                <w:rFonts w:ascii="Calibri" w:hint="eastAsia"/>
                <w:color w:val="auto"/>
                <w:szCs w:val="21"/>
              </w:rPr>
              <w:t>溪庄村</w:t>
            </w:r>
          </w:p>
        </w:tc>
        <w:tc>
          <w:tcPr>
            <w:tcW w:w="1114" w:type="dxa"/>
            <w:vAlign w:val="center"/>
          </w:tcPr>
          <w:p w14:paraId="03F486E6"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56E7E039"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4350</w:t>
            </w:r>
          </w:p>
        </w:tc>
        <w:tc>
          <w:tcPr>
            <w:tcW w:w="1559" w:type="dxa"/>
            <w:gridSpan w:val="2"/>
            <w:vAlign w:val="center"/>
          </w:tcPr>
          <w:p w14:paraId="1891CD2A" w14:textId="77777777" w:rsidR="008B2B79" w:rsidRPr="00A964FF" w:rsidRDefault="008B2B79" w:rsidP="001509A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2C7891A9"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kern w:val="0"/>
                <w:szCs w:val="21"/>
              </w:rPr>
              <w:t>675</w:t>
            </w:r>
          </w:p>
        </w:tc>
      </w:tr>
      <w:tr w:rsidR="008B2B79" w:rsidRPr="00A964FF" w14:paraId="1F7531DC" w14:textId="77777777" w:rsidTr="00BD220E">
        <w:trPr>
          <w:trHeight w:val="340"/>
        </w:trPr>
        <w:tc>
          <w:tcPr>
            <w:tcW w:w="802" w:type="dxa"/>
            <w:vMerge/>
            <w:tcMar>
              <w:left w:w="113" w:type="dxa"/>
              <w:right w:w="113" w:type="dxa"/>
            </w:tcMar>
            <w:vAlign w:val="center"/>
          </w:tcPr>
          <w:p w14:paraId="3D3F79A7" w14:textId="77777777" w:rsidR="008B2B79" w:rsidRPr="00A964FF" w:rsidRDefault="008B2B79" w:rsidP="001509A3">
            <w:pPr>
              <w:jc w:val="center"/>
              <w:rPr>
                <w:rFonts w:ascii="Calibri" w:hAnsi="Calibri"/>
                <w:bCs/>
                <w:color w:val="auto"/>
                <w:szCs w:val="21"/>
              </w:rPr>
            </w:pPr>
          </w:p>
        </w:tc>
        <w:tc>
          <w:tcPr>
            <w:tcW w:w="992" w:type="dxa"/>
            <w:vAlign w:val="center"/>
          </w:tcPr>
          <w:p w14:paraId="472AD86E"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4</w:t>
            </w:r>
          </w:p>
        </w:tc>
        <w:tc>
          <w:tcPr>
            <w:tcW w:w="1721" w:type="dxa"/>
            <w:gridSpan w:val="2"/>
            <w:tcMar>
              <w:left w:w="113" w:type="dxa"/>
              <w:right w:w="113" w:type="dxa"/>
            </w:tcMar>
            <w:vAlign w:val="center"/>
          </w:tcPr>
          <w:p w14:paraId="51BDC8DB" w14:textId="77777777" w:rsidR="008B2B79" w:rsidRPr="00A964FF" w:rsidRDefault="007B351F" w:rsidP="00BA198C">
            <w:pPr>
              <w:jc w:val="center"/>
              <w:rPr>
                <w:rFonts w:ascii="Calibri" w:hAnsi="Calibri" w:cs="宋体"/>
                <w:color w:val="auto"/>
                <w:szCs w:val="21"/>
              </w:rPr>
            </w:pPr>
            <w:r>
              <w:rPr>
                <w:rFonts w:ascii="Calibri" w:hint="eastAsia"/>
                <w:color w:val="auto"/>
                <w:szCs w:val="21"/>
              </w:rPr>
              <w:t>石灰厂村</w:t>
            </w:r>
          </w:p>
        </w:tc>
        <w:tc>
          <w:tcPr>
            <w:tcW w:w="1114" w:type="dxa"/>
            <w:vAlign w:val="center"/>
          </w:tcPr>
          <w:p w14:paraId="78CF4BAD"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43972F0C"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3710</w:t>
            </w:r>
          </w:p>
        </w:tc>
        <w:tc>
          <w:tcPr>
            <w:tcW w:w="1559" w:type="dxa"/>
            <w:gridSpan w:val="2"/>
            <w:vAlign w:val="center"/>
          </w:tcPr>
          <w:p w14:paraId="19F4BB4D" w14:textId="77777777" w:rsidR="008B2B79" w:rsidRPr="00A964FF" w:rsidRDefault="008B2B79" w:rsidP="001509A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5CC22794"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kern w:val="0"/>
                <w:szCs w:val="21"/>
              </w:rPr>
              <w:t>560</w:t>
            </w:r>
          </w:p>
        </w:tc>
      </w:tr>
      <w:tr w:rsidR="008B2B79" w:rsidRPr="00A964FF" w14:paraId="4B1AA8E8" w14:textId="77777777" w:rsidTr="00BD220E">
        <w:trPr>
          <w:trHeight w:val="340"/>
        </w:trPr>
        <w:tc>
          <w:tcPr>
            <w:tcW w:w="802" w:type="dxa"/>
            <w:vMerge/>
            <w:tcMar>
              <w:left w:w="113" w:type="dxa"/>
              <w:right w:w="113" w:type="dxa"/>
            </w:tcMar>
            <w:vAlign w:val="center"/>
          </w:tcPr>
          <w:p w14:paraId="6E067745" w14:textId="77777777" w:rsidR="008B2B79" w:rsidRPr="00A964FF" w:rsidRDefault="008B2B79" w:rsidP="001509A3">
            <w:pPr>
              <w:jc w:val="center"/>
              <w:rPr>
                <w:rFonts w:ascii="Calibri" w:hAnsi="Calibri"/>
                <w:bCs/>
                <w:color w:val="auto"/>
                <w:szCs w:val="21"/>
              </w:rPr>
            </w:pPr>
          </w:p>
        </w:tc>
        <w:tc>
          <w:tcPr>
            <w:tcW w:w="992" w:type="dxa"/>
            <w:vAlign w:val="center"/>
          </w:tcPr>
          <w:p w14:paraId="091A94AC"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5</w:t>
            </w:r>
          </w:p>
        </w:tc>
        <w:tc>
          <w:tcPr>
            <w:tcW w:w="1721" w:type="dxa"/>
            <w:gridSpan w:val="2"/>
            <w:tcMar>
              <w:left w:w="113" w:type="dxa"/>
              <w:right w:w="113" w:type="dxa"/>
            </w:tcMar>
            <w:vAlign w:val="center"/>
          </w:tcPr>
          <w:p w14:paraId="5BC62EAC" w14:textId="77777777" w:rsidR="008B2B79" w:rsidRPr="00A964FF" w:rsidRDefault="007B351F" w:rsidP="00BA198C">
            <w:pPr>
              <w:jc w:val="center"/>
              <w:rPr>
                <w:rFonts w:ascii="Calibri" w:hAnsi="Calibri" w:cs="宋体"/>
                <w:color w:val="auto"/>
                <w:szCs w:val="21"/>
              </w:rPr>
            </w:pPr>
            <w:r>
              <w:rPr>
                <w:rFonts w:ascii="Calibri" w:hint="eastAsia"/>
                <w:color w:val="auto"/>
                <w:szCs w:val="21"/>
              </w:rPr>
              <w:t>杨古寺</w:t>
            </w:r>
          </w:p>
        </w:tc>
        <w:tc>
          <w:tcPr>
            <w:tcW w:w="1114" w:type="dxa"/>
            <w:vAlign w:val="center"/>
          </w:tcPr>
          <w:p w14:paraId="5CF9726C"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68A76F53"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3300</w:t>
            </w:r>
          </w:p>
        </w:tc>
        <w:tc>
          <w:tcPr>
            <w:tcW w:w="1559" w:type="dxa"/>
            <w:gridSpan w:val="2"/>
            <w:vAlign w:val="center"/>
          </w:tcPr>
          <w:p w14:paraId="7A66B80A"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51AF3F42"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320</w:t>
            </w:r>
          </w:p>
        </w:tc>
      </w:tr>
      <w:tr w:rsidR="008B2B79" w:rsidRPr="00A964FF" w14:paraId="20543209" w14:textId="77777777" w:rsidTr="00BD220E">
        <w:trPr>
          <w:trHeight w:val="340"/>
        </w:trPr>
        <w:tc>
          <w:tcPr>
            <w:tcW w:w="802" w:type="dxa"/>
            <w:vMerge/>
            <w:tcMar>
              <w:left w:w="113" w:type="dxa"/>
              <w:right w:w="113" w:type="dxa"/>
            </w:tcMar>
            <w:vAlign w:val="center"/>
          </w:tcPr>
          <w:p w14:paraId="58CEB5A1" w14:textId="77777777" w:rsidR="008B2B79" w:rsidRPr="00A964FF" w:rsidRDefault="008B2B79" w:rsidP="001509A3">
            <w:pPr>
              <w:jc w:val="center"/>
              <w:rPr>
                <w:rFonts w:ascii="Calibri" w:hAnsi="Calibri"/>
                <w:bCs/>
                <w:color w:val="auto"/>
                <w:szCs w:val="21"/>
              </w:rPr>
            </w:pPr>
          </w:p>
        </w:tc>
        <w:tc>
          <w:tcPr>
            <w:tcW w:w="992" w:type="dxa"/>
            <w:vAlign w:val="center"/>
          </w:tcPr>
          <w:p w14:paraId="0D1ACA2B"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6</w:t>
            </w:r>
          </w:p>
        </w:tc>
        <w:tc>
          <w:tcPr>
            <w:tcW w:w="1721" w:type="dxa"/>
            <w:gridSpan w:val="2"/>
            <w:tcMar>
              <w:left w:w="113" w:type="dxa"/>
              <w:right w:w="113" w:type="dxa"/>
            </w:tcMar>
            <w:vAlign w:val="center"/>
          </w:tcPr>
          <w:p w14:paraId="57CA7D94" w14:textId="77777777" w:rsidR="008B2B79" w:rsidRPr="00A964FF" w:rsidRDefault="007B351F" w:rsidP="00BA198C">
            <w:pPr>
              <w:jc w:val="center"/>
              <w:rPr>
                <w:rFonts w:ascii="Calibri" w:hAnsi="Calibri" w:cs="宋体"/>
                <w:color w:val="auto"/>
                <w:szCs w:val="21"/>
              </w:rPr>
            </w:pPr>
            <w:r>
              <w:rPr>
                <w:rFonts w:ascii="Calibri" w:hint="eastAsia"/>
                <w:color w:val="auto"/>
                <w:szCs w:val="21"/>
              </w:rPr>
              <w:t>遵化店镇</w:t>
            </w:r>
          </w:p>
        </w:tc>
        <w:tc>
          <w:tcPr>
            <w:tcW w:w="1114" w:type="dxa"/>
            <w:vAlign w:val="center"/>
          </w:tcPr>
          <w:p w14:paraId="0E408C2E"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5D4E8C63"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4719</w:t>
            </w:r>
          </w:p>
        </w:tc>
        <w:tc>
          <w:tcPr>
            <w:tcW w:w="1559" w:type="dxa"/>
            <w:gridSpan w:val="2"/>
            <w:vAlign w:val="center"/>
          </w:tcPr>
          <w:p w14:paraId="296C9D57"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46DCD13F"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1500</w:t>
            </w:r>
          </w:p>
        </w:tc>
      </w:tr>
      <w:tr w:rsidR="008B2B79" w:rsidRPr="00A964FF" w14:paraId="7F68D7F7" w14:textId="77777777" w:rsidTr="00BD220E">
        <w:trPr>
          <w:trHeight w:val="340"/>
        </w:trPr>
        <w:tc>
          <w:tcPr>
            <w:tcW w:w="802" w:type="dxa"/>
            <w:vMerge/>
            <w:tcMar>
              <w:left w:w="113" w:type="dxa"/>
              <w:right w:w="113" w:type="dxa"/>
            </w:tcMar>
            <w:vAlign w:val="center"/>
          </w:tcPr>
          <w:p w14:paraId="59103612" w14:textId="77777777" w:rsidR="008B2B79" w:rsidRPr="00A964FF" w:rsidRDefault="008B2B79" w:rsidP="001509A3">
            <w:pPr>
              <w:jc w:val="center"/>
              <w:rPr>
                <w:rFonts w:ascii="Calibri" w:hAnsi="Calibri"/>
                <w:bCs/>
                <w:color w:val="auto"/>
                <w:szCs w:val="21"/>
              </w:rPr>
            </w:pPr>
          </w:p>
        </w:tc>
        <w:tc>
          <w:tcPr>
            <w:tcW w:w="992" w:type="dxa"/>
            <w:vAlign w:val="center"/>
          </w:tcPr>
          <w:p w14:paraId="5DF73039"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7</w:t>
            </w:r>
          </w:p>
        </w:tc>
        <w:tc>
          <w:tcPr>
            <w:tcW w:w="1721" w:type="dxa"/>
            <w:gridSpan w:val="2"/>
            <w:tcMar>
              <w:left w:w="113" w:type="dxa"/>
              <w:right w:w="113" w:type="dxa"/>
            </w:tcMar>
            <w:vAlign w:val="center"/>
          </w:tcPr>
          <w:p w14:paraId="6F01D2D2" w14:textId="77777777" w:rsidR="008B2B79" w:rsidRPr="00A964FF" w:rsidRDefault="007B351F" w:rsidP="00BA198C">
            <w:pPr>
              <w:jc w:val="center"/>
              <w:rPr>
                <w:rFonts w:ascii="Calibri" w:hAnsi="Calibri" w:cs="宋体"/>
                <w:color w:val="auto"/>
                <w:szCs w:val="21"/>
              </w:rPr>
            </w:pPr>
            <w:r>
              <w:rPr>
                <w:rFonts w:ascii="Calibri" w:hint="eastAsia"/>
                <w:color w:val="auto"/>
                <w:szCs w:val="21"/>
              </w:rPr>
              <w:t>汝坟桥村</w:t>
            </w:r>
          </w:p>
        </w:tc>
        <w:tc>
          <w:tcPr>
            <w:tcW w:w="1114" w:type="dxa"/>
            <w:vAlign w:val="center"/>
          </w:tcPr>
          <w:p w14:paraId="3401B382"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40504763"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4700</w:t>
            </w:r>
          </w:p>
        </w:tc>
        <w:tc>
          <w:tcPr>
            <w:tcW w:w="1559" w:type="dxa"/>
            <w:gridSpan w:val="2"/>
            <w:vAlign w:val="center"/>
          </w:tcPr>
          <w:p w14:paraId="62CF6D8A"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4AAA3966"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750</w:t>
            </w:r>
          </w:p>
        </w:tc>
      </w:tr>
      <w:tr w:rsidR="008B2B79" w:rsidRPr="00A964FF" w14:paraId="31370C87" w14:textId="77777777" w:rsidTr="00BD220E">
        <w:trPr>
          <w:trHeight w:val="340"/>
        </w:trPr>
        <w:tc>
          <w:tcPr>
            <w:tcW w:w="802" w:type="dxa"/>
            <w:vMerge/>
            <w:tcMar>
              <w:left w:w="113" w:type="dxa"/>
              <w:right w:w="113" w:type="dxa"/>
            </w:tcMar>
            <w:vAlign w:val="center"/>
          </w:tcPr>
          <w:p w14:paraId="74321DBB" w14:textId="77777777" w:rsidR="008B2B79" w:rsidRPr="00A964FF" w:rsidRDefault="008B2B79" w:rsidP="001509A3">
            <w:pPr>
              <w:jc w:val="center"/>
              <w:rPr>
                <w:rFonts w:ascii="Calibri" w:hAnsi="Calibri"/>
                <w:bCs/>
                <w:color w:val="auto"/>
                <w:szCs w:val="21"/>
              </w:rPr>
            </w:pPr>
          </w:p>
        </w:tc>
        <w:tc>
          <w:tcPr>
            <w:tcW w:w="992" w:type="dxa"/>
            <w:vAlign w:val="center"/>
          </w:tcPr>
          <w:p w14:paraId="41AB8AA4"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8</w:t>
            </w:r>
          </w:p>
        </w:tc>
        <w:tc>
          <w:tcPr>
            <w:tcW w:w="1721" w:type="dxa"/>
            <w:gridSpan w:val="2"/>
            <w:tcMar>
              <w:left w:w="113" w:type="dxa"/>
              <w:right w:w="113" w:type="dxa"/>
            </w:tcMar>
            <w:vAlign w:val="center"/>
          </w:tcPr>
          <w:p w14:paraId="6CF28B38" w14:textId="77777777" w:rsidR="008B2B79" w:rsidRPr="00A964FF" w:rsidRDefault="007B351F" w:rsidP="00BA198C">
            <w:pPr>
              <w:jc w:val="center"/>
              <w:rPr>
                <w:rFonts w:ascii="Calibri" w:hAnsi="Calibri" w:cs="宋体"/>
                <w:color w:val="auto"/>
                <w:szCs w:val="21"/>
              </w:rPr>
            </w:pPr>
            <w:r>
              <w:rPr>
                <w:rFonts w:ascii="Calibri" w:hint="eastAsia"/>
                <w:color w:val="auto"/>
                <w:szCs w:val="21"/>
              </w:rPr>
              <w:t>叶庄</w:t>
            </w:r>
          </w:p>
        </w:tc>
        <w:tc>
          <w:tcPr>
            <w:tcW w:w="1114" w:type="dxa"/>
            <w:vAlign w:val="center"/>
          </w:tcPr>
          <w:p w14:paraId="2FD3D4C9"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6C96FD28"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4770</w:t>
            </w:r>
          </w:p>
        </w:tc>
        <w:tc>
          <w:tcPr>
            <w:tcW w:w="1559" w:type="dxa"/>
            <w:gridSpan w:val="2"/>
            <w:vAlign w:val="center"/>
          </w:tcPr>
          <w:p w14:paraId="777AD513"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3E4D2952"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120</w:t>
            </w:r>
          </w:p>
        </w:tc>
      </w:tr>
      <w:tr w:rsidR="008B2B79" w:rsidRPr="00A964FF" w14:paraId="42C6B72A" w14:textId="77777777" w:rsidTr="00BD220E">
        <w:trPr>
          <w:trHeight w:val="221"/>
        </w:trPr>
        <w:tc>
          <w:tcPr>
            <w:tcW w:w="802" w:type="dxa"/>
            <w:vMerge/>
            <w:tcMar>
              <w:left w:w="113" w:type="dxa"/>
              <w:right w:w="113" w:type="dxa"/>
            </w:tcMar>
            <w:vAlign w:val="center"/>
          </w:tcPr>
          <w:p w14:paraId="27E85370" w14:textId="77777777" w:rsidR="008B2B79" w:rsidRPr="00A964FF" w:rsidRDefault="008B2B79" w:rsidP="001509A3">
            <w:pPr>
              <w:jc w:val="center"/>
              <w:rPr>
                <w:rFonts w:ascii="Calibri" w:hAnsi="Calibri"/>
                <w:bCs/>
                <w:color w:val="auto"/>
                <w:szCs w:val="21"/>
              </w:rPr>
            </w:pPr>
          </w:p>
        </w:tc>
        <w:tc>
          <w:tcPr>
            <w:tcW w:w="992" w:type="dxa"/>
            <w:vAlign w:val="center"/>
          </w:tcPr>
          <w:p w14:paraId="16D5B29A" w14:textId="77777777" w:rsidR="008B2B79" w:rsidRPr="00A964FF" w:rsidRDefault="008B2B79" w:rsidP="001509A3">
            <w:pPr>
              <w:jc w:val="center"/>
              <w:rPr>
                <w:rFonts w:ascii="Calibri" w:hAnsi="Calibri"/>
                <w:bCs/>
                <w:color w:val="auto"/>
                <w:szCs w:val="21"/>
              </w:rPr>
            </w:pPr>
            <w:r w:rsidRPr="00A964FF">
              <w:rPr>
                <w:rFonts w:ascii="Calibri" w:hAnsi="Calibri"/>
                <w:bCs/>
                <w:color w:val="auto"/>
                <w:szCs w:val="21"/>
              </w:rPr>
              <w:t>9</w:t>
            </w:r>
          </w:p>
        </w:tc>
        <w:tc>
          <w:tcPr>
            <w:tcW w:w="1721" w:type="dxa"/>
            <w:gridSpan w:val="2"/>
            <w:tcMar>
              <w:left w:w="113" w:type="dxa"/>
              <w:right w:w="113" w:type="dxa"/>
            </w:tcMar>
            <w:vAlign w:val="center"/>
          </w:tcPr>
          <w:p w14:paraId="1F31794A" w14:textId="77777777" w:rsidR="008B2B79" w:rsidRPr="00A964FF" w:rsidRDefault="007B351F" w:rsidP="00BA198C">
            <w:pPr>
              <w:jc w:val="center"/>
              <w:rPr>
                <w:rFonts w:ascii="Calibri" w:hAnsi="Calibri" w:cs="宋体"/>
                <w:color w:val="auto"/>
                <w:szCs w:val="21"/>
              </w:rPr>
            </w:pPr>
            <w:r>
              <w:rPr>
                <w:rFonts w:ascii="Calibri" w:hint="eastAsia"/>
                <w:color w:val="auto"/>
                <w:szCs w:val="21"/>
              </w:rPr>
              <w:t>赵东庄</w:t>
            </w:r>
          </w:p>
        </w:tc>
        <w:tc>
          <w:tcPr>
            <w:tcW w:w="1114" w:type="dxa"/>
            <w:vAlign w:val="center"/>
          </w:tcPr>
          <w:p w14:paraId="4806E054"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4AD8C531"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4690</w:t>
            </w:r>
          </w:p>
        </w:tc>
        <w:tc>
          <w:tcPr>
            <w:tcW w:w="1559" w:type="dxa"/>
            <w:gridSpan w:val="2"/>
            <w:vAlign w:val="center"/>
          </w:tcPr>
          <w:p w14:paraId="7911B7FF"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37CCB19D"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80</w:t>
            </w:r>
          </w:p>
        </w:tc>
      </w:tr>
      <w:tr w:rsidR="008B2B79" w:rsidRPr="00A964FF" w14:paraId="4C1F4103" w14:textId="77777777" w:rsidTr="00BD220E">
        <w:trPr>
          <w:trHeight w:val="340"/>
        </w:trPr>
        <w:tc>
          <w:tcPr>
            <w:tcW w:w="802" w:type="dxa"/>
            <w:vMerge/>
            <w:tcMar>
              <w:left w:w="113" w:type="dxa"/>
              <w:right w:w="113" w:type="dxa"/>
            </w:tcMar>
            <w:vAlign w:val="center"/>
          </w:tcPr>
          <w:p w14:paraId="5C6DAC02" w14:textId="77777777" w:rsidR="008B2B79" w:rsidRPr="00A964FF" w:rsidRDefault="008B2B79" w:rsidP="001509A3">
            <w:pPr>
              <w:jc w:val="center"/>
              <w:rPr>
                <w:rFonts w:ascii="Calibri" w:hAnsi="Calibri"/>
                <w:bCs/>
                <w:color w:val="auto"/>
                <w:szCs w:val="21"/>
              </w:rPr>
            </w:pPr>
          </w:p>
        </w:tc>
        <w:tc>
          <w:tcPr>
            <w:tcW w:w="992" w:type="dxa"/>
            <w:vAlign w:val="center"/>
          </w:tcPr>
          <w:p w14:paraId="766CBC30" w14:textId="77777777" w:rsidR="008B2B79" w:rsidRPr="00A964FF" w:rsidRDefault="0047129E" w:rsidP="001509A3">
            <w:pPr>
              <w:jc w:val="center"/>
              <w:rPr>
                <w:rFonts w:ascii="Calibri" w:hAnsi="Calibri"/>
                <w:bCs/>
                <w:color w:val="auto"/>
                <w:szCs w:val="21"/>
              </w:rPr>
            </w:pPr>
            <w:r>
              <w:rPr>
                <w:rFonts w:ascii="Calibri" w:hAnsi="Calibri" w:hint="eastAsia"/>
                <w:bCs/>
                <w:color w:val="auto"/>
                <w:szCs w:val="21"/>
              </w:rPr>
              <w:t>10</w:t>
            </w:r>
          </w:p>
        </w:tc>
        <w:tc>
          <w:tcPr>
            <w:tcW w:w="1721" w:type="dxa"/>
            <w:gridSpan w:val="2"/>
            <w:tcMar>
              <w:left w:w="113" w:type="dxa"/>
              <w:right w:w="113" w:type="dxa"/>
            </w:tcMar>
            <w:vAlign w:val="center"/>
          </w:tcPr>
          <w:p w14:paraId="447C7A1E" w14:textId="77777777" w:rsidR="008B2B79" w:rsidRPr="00A964FF" w:rsidRDefault="007B351F" w:rsidP="00BA198C">
            <w:pPr>
              <w:jc w:val="center"/>
              <w:rPr>
                <w:rFonts w:ascii="Calibri" w:hAnsi="Calibri" w:cs="宋体"/>
                <w:color w:val="auto"/>
                <w:szCs w:val="21"/>
              </w:rPr>
            </w:pPr>
            <w:r>
              <w:rPr>
                <w:rFonts w:ascii="Calibri" w:hint="eastAsia"/>
                <w:color w:val="auto"/>
                <w:szCs w:val="21"/>
              </w:rPr>
              <w:t>桑权园</w:t>
            </w:r>
          </w:p>
        </w:tc>
        <w:tc>
          <w:tcPr>
            <w:tcW w:w="1114" w:type="dxa"/>
            <w:vAlign w:val="center"/>
          </w:tcPr>
          <w:p w14:paraId="7665B453"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36C3D5C7"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4306</w:t>
            </w:r>
          </w:p>
        </w:tc>
        <w:tc>
          <w:tcPr>
            <w:tcW w:w="1559" w:type="dxa"/>
            <w:gridSpan w:val="2"/>
            <w:vAlign w:val="center"/>
          </w:tcPr>
          <w:p w14:paraId="11ED166D" w14:textId="77777777" w:rsidR="008B2B79" w:rsidRPr="00A964FF" w:rsidRDefault="00C4539F"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4F8212FD"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180</w:t>
            </w:r>
          </w:p>
        </w:tc>
      </w:tr>
      <w:tr w:rsidR="008B2B79" w:rsidRPr="00A964FF" w14:paraId="5164108B" w14:textId="77777777" w:rsidTr="00BD220E">
        <w:trPr>
          <w:trHeight w:val="340"/>
        </w:trPr>
        <w:tc>
          <w:tcPr>
            <w:tcW w:w="802" w:type="dxa"/>
            <w:vMerge/>
            <w:tcMar>
              <w:left w:w="113" w:type="dxa"/>
              <w:right w:w="113" w:type="dxa"/>
            </w:tcMar>
            <w:vAlign w:val="center"/>
          </w:tcPr>
          <w:p w14:paraId="660DE668" w14:textId="77777777" w:rsidR="008B2B79" w:rsidRPr="00A964FF" w:rsidRDefault="008B2B79" w:rsidP="001509A3">
            <w:pPr>
              <w:jc w:val="center"/>
              <w:rPr>
                <w:rFonts w:ascii="Calibri" w:hAnsi="Calibri"/>
                <w:bCs/>
                <w:color w:val="auto"/>
                <w:szCs w:val="21"/>
              </w:rPr>
            </w:pPr>
          </w:p>
        </w:tc>
        <w:tc>
          <w:tcPr>
            <w:tcW w:w="992" w:type="dxa"/>
            <w:vAlign w:val="center"/>
          </w:tcPr>
          <w:p w14:paraId="3E4D0736" w14:textId="77777777" w:rsidR="008B2B79" w:rsidRPr="00A964FF" w:rsidRDefault="0047129E" w:rsidP="001509A3">
            <w:pPr>
              <w:jc w:val="center"/>
              <w:rPr>
                <w:rFonts w:ascii="Calibri" w:hAnsi="Calibri"/>
                <w:bCs/>
                <w:color w:val="auto"/>
                <w:szCs w:val="21"/>
              </w:rPr>
            </w:pPr>
            <w:r>
              <w:rPr>
                <w:rFonts w:ascii="Calibri" w:hAnsi="Calibri" w:hint="eastAsia"/>
                <w:bCs/>
                <w:color w:val="auto"/>
                <w:szCs w:val="21"/>
              </w:rPr>
              <w:t>11</w:t>
            </w:r>
          </w:p>
        </w:tc>
        <w:tc>
          <w:tcPr>
            <w:tcW w:w="1721" w:type="dxa"/>
            <w:gridSpan w:val="2"/>
            <w:tcMar>
              <w:left w:w="113" w:type="dxa"/>
              <w:right w:w="113" w:type="dxa"/>
            </w:tcMar>
            <w:vAlign w:val="center"/>
          </w:tcPr>
          <w:p w14:paraId="2C1A7DE2" w14:textId="77777777" w:rsidR="008B2B79" w:rsidRPr="00A964FF" w:rsidRDefault="007B351F" w:rsidP="00BA198C">
            <w:pPr>
              <w:jc w:val="center"/>
              <w:rPr>
                <w:rFonts w:ascii="Calibri" w:hAnsi="Calibri" w:cs="宋体"/>
                <w:color w:val="auto"/>
                <w:szCs w:val="21"/>
              </w:rPr>
            </w:pPr>
            <w:r>
              <w:rPr>
                <w:rFonts w:ascii="Calibri" w:hint="eastAsia"/>
                <w:color w:val="auto"/>
                <w:szCs w:val="21"/>
              </w:rPr>
              <w:t>黄湾</w:t>
            </w:r>
          </w:p>
        </w:tc>
        <w:tc>
          <w:tcPr>
            <w:tcW w:w="1114" w:type="dxa"/>
            <w:vAlign w:val="center"/>
          </w:tcPr>
          <w:p w14:paraId="0F5C03B9"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580781A9" w14:textId="77777777" w:rsidR="008B2B79" w:rsidRPr="00A964FF" w:rsidRDefault="00276EE9" w:rsidP="00BA198C">
            <w:pPr>
              <w:jc w:val="center"/>
              <w:rPr>
                <w:rFonts w:ascii="Calibri" w:hAnsi="Calibri"/>
                <w:color w:val="auto"/>
                <w:szCs w:val="21"/>
              </w:rPr>
            </w:pPr>
            <w:r>
              <w:rPr>
                <w:rFonts w:ascii="Calibri" w:hAnsi="Calibri"/>
                <w:color w:val="auto"/>
                <w:szCs w:val="21"/>
              </w:rPr>
              <w:t>4234</w:t>
            </w:r>
          </w:p>
        </w:tc>
        <w:tc>
          <w:tcPr>
            <w:tcW w:w="1559" w:type="dxa"/>
            <w:gridSpan w:val="2"/>
            <w:vAlign w:val="center"/>
          </w:tcPr>
          <w:p w14:paraId="330605BD"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0916F93B"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190</w:t>
            </w:r>
          </w:p>
        </w:tc>
      </w:tr>
      <w:tr w:rsidR="008B2B79" w:rsidRPr="00A964FF" w14:paraId="4D6B9514" w14:textId="77777777" w:rsidTr="00BD220E">
        <w:trPr>
          <w:trHeight w:val="340"/>
        </w:trPr>
        <w:tc>
          <w:tcPr>
            <w:tcW w:w="802" w:type="dxa"/>
            <w:vMerge/>
            <w:tcMar>
              <w:left w:w="113" w:type="dxa"/>
              <w:right w:w="113" w:type="dxa"/>
            </w:tcMar>
            <w:vAlign w:val="center"/>
          </w:tcPr>
          <w:p w14:paraId="06DB829C" w14:textId="77777777" w:rsidR="008B2B79" w:rsidRPr="00A964FF" w:rsidRDefault="008B2B79" w:rsidP="001509A3">
            <w:pPr>
              <w:jc w:val="center"/>
              <w:rPr>
                <w:rFonts w:ascii="Calibri" w:hAnsi="Calibri"/>
                <w:bCs/>
                <w:color w:val="auto"/>
                <w:szCs w:val="21"/>
              </w:rPr>
            </w:pPr>
          </w:p>
        </w:tc>
        <w:tc>
          <w:tcPr>
            <w:tcW w:w="992" w:type="dxa"/>
            <w:vAlign w:val="center"/>
          </w:tcPr>
          <w:p w14:paraId="2E2E538B" w14:textId="77777777" w:rsidR="008B2B79" w:rsidRPr="00A964FF" w:rsidRDefault="0047129E" w:rsidP="001509A3">
            <w:pPr>
              <w:jc w:val="center"/>
              <w:rPr>
                <w:rFonts w:ascii="Calibri" w:hAnsi="Calibri"/>
                <w:bCs/>
                <w:color w:val="auto"/>
                <w:szCs w:val="21"/>
              </w:rPr>
            </w:pPr>
            <w:r>
              <w:rPr>
                <w:rFonts w:ascii="Calibri" w:hAnsi="Calibri" w:hint="eastAsia"/>
                <w:bCs/>
                <w:color w:val="auto"/>
                <w:szCs w:val="21"/>
              </w:rPr>
              <w:t>12</w:t>
            </w:r>
          </w:p>
        </w:tc>
        <w:tc>
          <w:tcPr>
            <w:tcW w:w="1721" w:type="dxa"/>
            <w:gridSpan w:val="2"/>
            <w:tcMar>
              <w:left w:w="113" w:type="dxa"/>
              <w:right w:w="113" w:type="dxa"/>
            </w:tcMar>
            <w:vAlign w:val="center"/>
          </w:tcPr>
          <w:p w14:paraId="4247D02A" w14:textId="77777777" w:rsidR="008B2B79" w:rsidRPr="00A964FF" w:rsidRDefault="007B351F" w:rsidP="00BA198C">
            <w:pPr>
              <w:jc w:val="center"/>
              <w:rPr>
                <w:rFonts w:ascii="Calibri" w:hAnsi="Calibri" w:cs="宋体"/>
                <w:color w:val="auto"/>
                <w:szCs w:val="21"/>
              </w:rPr>
            </w:pPr>
            <w:r>
              <w:rPr>
                <w:rFonts w:ascii="Calibri" w:hint="eastAsia"/>
                <w:color w:val="auto"/>
                <w:szCs w:val="21"/>
              </w:rPr>
              <w:t>张楼村</w:t>
            </w:r>
          </w:p>
        </w:tc>
        <w:tc>
          <w:tcPr>
            <w:tcW w:w="1114" w:type="dxa"/>
            <w:vAlign w:val="center"/>
          </w:tcPr>
          <w:p w14:paraId="5809BED6"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08EB00F2"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4430</w:t>
            </w:r>
          </w:p>
        </w:tc>
        <w:tc>
          <w:tcPr>
            <w:tcW w:w="1559" w:type="dxa"/>
            <w:gridSpan w:val="2"/>
            <w:vAlign w:val="center"/>
          </w:tcPr>
          <w:p w14:paraId="3A8FF84A"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40350773"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460</w:t>
            </w:r>
          </w:p>
        </w:tc>
      </w:tr>
      <w:tr w:rsidR="008B2B79" w:rsidRPr="00A964FF" w14:paraId="3F4BDB13" w14:textId="77777777" w:rsidTr="00BD220E">
        <w:trPr>
          <w:trHeight w:val="340"/>
        </w:trPr>
        <w:tc>
          <w:tcPr>
            <w:tcW w:w="802" w:type="dxa"/>
            <w:vMerge/>
            <w:tcMar>
              <w:left w:w="113" w:type="dxa"/>
              <w:right w:w="113" w:type="dxa"/>
            </w:tcMar>
            <w:vAlign w:val="center"/>
          </w:tcPr>
          <w:p w14:paraId="3342F2FD" w14:textId="77777777" w:rsidR="008B2B79" w:rsidRPr="00A964FF" w:rsidRDefault="008B2B79" w:rsidP="001509A3">
            <w:pPr>
              <w:jc w:val="center"/>
              <w:rPr>
                <w:rFonts w:ascii="Calibri" w:hAnsi="Calibri"/>
                <w:bCs/>
                <w:color w:val="auto"/>
                <w:szCs w:val="21"/>
              </w:rPr>
            </w:pPr>
          </w:p>
        </w:tc>
        <w:tc>
          <w:tcPr>
            <w:tcW w:w="992" w:type="dxa"/>
            <w:vAlign w:val="center"/>
          </w:tcPr>
          <w:p w14:paraId="2A709BC5" w14:textId="77777777" w:rsidR="008B2B79" w:rsidRPr="00A964FF" w:rsidRDefault="0047129E" w:rsidP="001509A3">
            <w:pPr>
              <w:jc w:val="center"/>
              <w:rPr>
                <w:rFonts w:ascii="Calibri" w:hAnsi="Calibri"/>
                <w:bCs/>
                <w:color w:val="auto"/>
                <w:szCs w:val="21"/>
              </w:rPr>
            </w:pPr>
            <w:r>
              <w:rPr>
                <w:rFonts w:ascii="Calibri" w:hAnsi="Calibri" w:hint="eastAsia"/>
                <w:bCs/>
                <w:color w:val="auto"/>
                <w:szCs w:val="21"/>
              </w:rPr>
              <w:t>13</w:t>
            </w:r>
          </w:p>
        </w:tc>
        <w:tc>
          <w:tcPr>
            <w:tcW w:w="1721" w:type="dxa"/>
            <w:gridSpan w:val="2"/>
            <w:tcMar>
              <w:left w:w="113" w:type="dxa"/>
              <w:right w:w="113" w:type="dxa"/>
            </w:tcMar>
            <w:vAlign w:val="center"/>
          </w:tcPr>
          <w:p w14:paraId="3D148F76" w14:textId="77777777" w:rsidR="008B2B79" w:rsidRPr="00A964FF" w:rsidRDefault="007B351F" w:rsidP="00BA198C">
            <w:pPr>
              <w:jc w:val="center"/>
              <w:rPr>
                <w:rFonts w:ascii="Calibri" w:hAnsi="Calibri" w:cs="宋体"/>
                <w:color w:val="auto"/>
                <w:szCs w:val="21"/>
              </w:rPr>
            </w:pPr>
            <w:r>
              <w:rPr>
                <w:rFonts w:ascii="Calibri" w:hint="eastAsia"/>
                <w:color w:val="auto"/>
                <w:szCs w:val="21"/>
              </w:rPr>
              <w:t>余陈</w:t>
            </w:r>
          </w:p>
        </w:tc>
        <w:tc>
          <w:tcPr>
            <w:tcW w:w="1114" w:type="dxa"/>
            <w:vAlign w:val="center"/>
          </w:tcPr>
          <w:p w14:paraId="58D072DD"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4FD36FB0"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3715</w:t>
            </w:r>
          </w:p>
        </w:tc>
        <w:tc>
          <w:tcPr>
            <w:tcW w:w="1559" w:type="dxa"/>
            <w:gridSpan w:val="2"/>
            <w:vAlign w:val="center"/>
          </w:tcPr>
          <w:p w14:paraId="7D707FE3"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5FE71635" w14:textId="77777777" w:rsidR="008B2B79" w:rsidRPr="003A23B5" w:rsidRDefault="003A23B5" w:rsidP="00BA198C">
            <w:pPr>
              <w:jc w:val="center"/>
              <w:rPr>
                <w:rFonts w:asciiTheme="minorHAnsi" w:hAnsiTheme="minorHAnsi"/>
                <w:color w:val="auto"/>
                <w:szCs w:val="21"/>
              </w:rPr>
            </w:pPr>
            <w:r w:rsidRPr="003A23B5">
              <w:rPr>
                <w:rFonts w:asciiTheme="minorHAnsi" w:hAnsiTheme="minorHAnsi"/>
                <w:color w:val="auto"/>
                <w:szCs w:val="21"/>
              </w:rPr>
              <w:t>240</w:t>
            </w:r>
          </w:p>
        </w:tc>
      </w:tr>
      <w:tr w:rsidR="008B2B79" w:rsidRPr="00A964FF" w14:paraId="335CBFC8" w14:textId="77777777" w:rsidTr="00BD220E">
        <w:trPr>
          <w:trHeight w:val="340"/>
        </w:trPr>
        <w:tc>
          <w:tcPr>
            <w:tcW w:w="802" w:type="dxa"/>
            <w:vMerge/>
            <w:tcMar>
              <w:left w:w="113" w:type="dxa"/>
              <w:right w:w="113" w:type="dxa"/>
            </w:tcMar>
            <w:vAlign w:val="center"/>
          </w:tcPr>
          <w:p w14:paraId="5C20505A" w14:textId="77777777" w:rsidR="008B2B79" w:rsidRPr="00A964FF" w:rsidRDefault="008B2B79" w:rsidP="001509A3">
            <w:pPr>
              <w:jc w:val="center"/>
              <w:rPr>
                <w:rFonts w:ascii="Calibri" w:hAnsi="Calibri"/>
                <w:bCs/>
                <w:color w:val="auto"/>
                <w:szCs w:val="21"/>
              </w:rPr>
            </w:pPr>
          </w:p>
        </w:tc>
        <w:tc>
          <w:tcPr>
            <w:tcW w:w="992" w:type="dxa"/>
            <w:vAlign w:val="center"/>
          </w:tcPr>
          <w:p w14:paraId="5EB76E7A" w14:textId="77777777" w:rsidR="008B2B79" w:rsidRPr="00A964FF" w:rsidRDefault="0047129E" w:rsidP="001509A3">
            <w:pPr>
              <w:jc w:val="center"/>
              <w:rPr>
                <w:rFonts w:ascii="Calibri" w:hAnsi="Calibri"/>
                <w:bCs/>
                <w:color w:val="auto"/>
                <w:szCs w:val="21"/>
              </w:rPr>
            </w:pPr>
            <w:r>
              <w:rPr>
                <w:rFonts w:ascii="Calibri" w:hAnsi="Calibri" w:hint="eastAsia"/>
                <w:bCs/>
                <w:color w:val="auto"/>
                <w:szCs w:val="21"/>
              </w:rPr>
              <w:t>14</w:t>
            </w:r>
          </w:p>
        </w:tc>
        <w:tc>
          <w:tcPr>
            <w:tcW w:w="1721" w:type="dxa"/>
            <w:gridSpan w:val="2"/>
            <w:tcMar>
              <w:left w:w="113" w:type="dxa"/>
              <w:right w:w="113" w:type="dxa"/>
            </w:tcMar>
            <w:vAlign w:val="center"/>
          </w:tcPr>
          <w:p w14:paraId="3E1619BC" w14:textId="77777777" w:rsidR="008B2B79" w:rsidRPr="000D75EA" w:rsidRDefault="007B351F" w:rsidP="00BA198C">
            <w:pPr>
              <w:jc w:val="center"/>
              <w:rPr>
                <w:rFonts w:ascii="Calibri" w:hAnsi="Calibri"/>
                <w:szCs w:val="21"/>
              </w:rPr>
            </w:pPr>
            <w:r>
              <w:rPr>
                <w:rFonts w:ascii="Calibri" w:hAnsi="Calibri" w:hint="eastAsia"/>
                <w:szCs w:val="21"/>
              </w:rPr>
              <w:t>前</w:t>
            </w:r>
            <w:r>
              <w:rPr>
                <w:rFonts w:ascii="Calibri" w:hAnsi="Calibri"/>
                <w:szCs w:val="21"/>
              </w:rPr>
              <w:t>棠村</w:t>
            </w:r>
          </w:p>
        </w:tc>
        <w:tc>
          <w:tcPr>
            <w:tcW w:w="1114" w:type="dxa"/>
            <w:vAlign w:val="center"/>
          </w:tcPr>
          <w:p w14:paraId="70E60BD9"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446179C5" w14:textId="77777777" w:rsidR="008B2B79" w:rsidRPr="00A964FF" w:rsidRDefault="00276EE9" w:rsidP="00BA198C">
            <w:pPr>
              <w:jc w:val="center"/>
              <w:rPr>
                <w:rFonts w:ascii="Calibri" w:hAnsi="Calibri"/>
                <w:color w:val="auto"/>
                <w:szCs w:val="21"/>
              </w:rPr>
            </w:pPr>
            <w:r>
              <w:rPr>
                <w:rFonts w:ascii="Calibri" w:hAnsi="Calibri" w:hint="eastAsia"/>
                <w:color w:val="auto"/>
                <w:szCs w:val="21"/>
              </w:rPr>
              <w:t>3064</w:t>
            </w:r>
          </w:p>
        </w:tc>
        <w:tc>
          <w:tcPr>
            <w:tcW w:w="1559" w:type="dxa"/>
            <w:gridSpan w:val="2"/>
            <w:vAlign w:val="center"/>
          </w:tcPr>
          <w:p w14:paraId="6A8950CE"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30EDF1A9" w14:textId="77777777" w:rsidR="008B2B79" w:rsidRPr="003A23B5" w:rsidRDefault="003A23B5" w:rsidP="00BA198C">
            <w:pPr>
              <w:jc w:val="center"/>
              <w:rPr>
                <w:rFonts w:asciiTheme="minorHAnsi" w:hAnsiTheme="minorHAnsi"/>
                <w:szCs w:val="21"/>
              </w:rPr>
            </w:pPr>
            <w:r w:rsidRPr="003A23B5">
              <w:rPr>
                <w:rFonts w:asciiTheme="minorHAnsi" w:hAnsiTheme="minorHAnsi"/>
                <w:szCs w:val="21"/>
              </w:rPr>
              <w:t>340</w:t>
            </w:r>
          </w:p>
        </w:tc>
      </w:tr>
      <w:tr w:rsidR="008B2B79" w:rsidRPr="00A964FF" w14:paraId="0634F134" w14:textId="77777777" w:rsidTr="00BD220E">
        <w:trPr>
          <w:trHeight w:val="340"/>
        </w:trPr>
        <w:tc>
          <w:tcPr>
            <w:tcW w:w="802" w:type="dxa"/>
            <w:vMerge/>
            <w:tcMar>
              <w:left w:w="113" w:type="dxa"/>
              <w:right w:w="113" w:type="dxa"/>
            </w:tcMar>
            <w:vAlign w:val="center"/>
          </w:tcPr>
          <w:p w14:paraId="083617E7" w14:textId="77777777" w:rsidR="008B2B79" w:rsidRPr="00A964FF" w:rsidRDefault="008B2B79" w:rsidP="001509A3">
            <w:pPr>
              <w:jc w:val="center"/>
              <w:rPr>
                <w:rFonts w:ascii="Calibri" w:hAnsi="Calibri"/>
                <w:bCs/>
                <w:color w:val="auto"/>
                <w:szCs w:val="21"/>
              </w:rPr>
            </w:pPr>
          </w:p>
        </w:tc>
        <w:tc>
          <w:tcPr>
            <w:tcW w:w="992" w:type="dxa"/>
            <w:vAlign w:val="center"/>
          </w:tcPr>
          <w:p w14:paraId="1E3FADE5" w14:textId="77777777" w:rsidR="008B2B79" w:rsidRPr="00A964FF" w:rsidRDefault="0047129E" w:rsidP="001509A3">
            <w:pPr>
              <w:jc w:val="center"/>
              <w:rPr>
                <w:rFonts w:ascii="Calibri" w:hAnsi="Calibri"/>
                <w:bCs/>
                <w:color w:val="auto"/>
                <w:szCs w:val="21"/>
              </w:rPr>
            </w:pPr>
            <w:r>
              <w:rPr>
                <w:rFonts w:ascii="Calibri" w:hAnsi="Calibri" w:hint="eastAsia"/>
                <w:bCs/>
                <w:color w:val="auto"/>
                <w:szCs w:val="21"/>
              </w:rPr>
              <w:t>15</w:t>
            </w:r>
          </w:p>
        </w:tc>
        <w:tc>
          <w:tcPr>
            <w:tcW w:w="1721" w:type="dxa"/>
            <w:gridSpan w:val="2"/>
            <w:tcMar>
              <w:left w:w="113" w:type="dxa"/>
              <w:right w:w="113" w:type="dxa"/>
            </w:tcMar>
            <w:vAlign w:val="center"/>
          </w:tcPr>
          <w:p w14:paraId="0BFEEDC8" w14:textId="77777777" w:rsidR="008B2B79" w:rsidRDefault="007B351F" w:rsidP="00BA198C">
            <w:pPr>
              <w:jc w:val="center"/>
              <w:rPr>
                <w:rFonts w:ascii="Calibri" w:hAnsi="Calibri"/>
                <w:szCs w:val="21"/>
              </w:rPr>
            </w:pPr>
            <w:r>
              <w:rPr>
                <w:rFonts w:ascii="Calibri" w:hAnsi="Calibri" w:hint="eastAsia"/>
                <w:szCs w:val="21"/>
              </w:rPr>
              <w:t>后棠村</w:t>
            </w:r>
          </w:p>
        </w:tc>
        <w:tc>
          <w:tcPr>
            <w:tcW w:w="1114" w:type="dxa"/>
            <w:vAlign w:val="center"/>
          </w:tcPr>
          <w:p w14:paraId="4DF4BEFD" w14:textId="77777777" w:rsidR="008B2B79" w:rsidRPr="00A964FF" w:rsidRDefault="003A23B5" w:rsidP="00BA198C">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414FC5A1" w14:textId="77777777" w:rsidR="008B2B79" w:rsidRPr="00A964FF" w:rsidRDefault="00D33C21" w:rsidP="00BA198C">
            <w:pPr>
              <w:jc w:val="center"/>
              <w:rPr>
                <w:rFonts w:ascii="Calibri" w:hAnsi="Calibri"/>
                <w:color w:val="auto"/>
                <w:szCs w:val="21"/>
              </w:rPr>
            </w:pPr>
            <w:r>
              <w:rPr>
                <w:rFonts w:ascii="Calibri" w:hAnsi="Calibri"/>
                <w:color w:val="auto"/>
                <w:szCs w:val="21"/>
              </w:rPr>
              <w:t>2820</w:t>
            </w:r>
          </w:p>
        </w:tc>
        <w:tc>
          <w:tcPr>
            <w:tcW w:w="1559" w:type="dxa"/>
            <w:gridSpan w:val="2"/>
            <w:vAlign w:val="center"/>
          </w:tcPr>
          <w:p w14:paraId="2C5D8389" w14:textId="77777777" w:rsidR="008B2B79" w:rsidRPr="00A964FF" w:rsidRDefault="008B2B79" w:rsidP="00F86F83">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1A8BF4A4" w14:textId="77777777" w:rsidR="008B2B79" w:rsidRPr="003A23B5" w:rsidRDefault="003A23B5" w:rsidP="00BA198C">
            <w:pPr>
              <w:jc w:val="center"/>
              <w:rPr>
                <w:rFonts w:asciiTheme="minorHAnsi" w:hAnsiTheme="minorHAnsi"/>
                <w:szCs w:val="21"/>
              </w:rPr>
            </w:pPr>
            <w:r w:rsidRPr="003A23B5">
              <w:rPr>
                <w:rFonts w:asciiTheme="minorHAnsi" w:hAnsiTheme="minorHAnsi"/>
                <w:szCs w:val="21"/>
              </w:rPr>
              <w:t>620</w:t>
            </w:r>
          </w:p>
        </w:tc>
      </w:tr>
      <w:tr w:rsidR="00C4539F" w:rsidRPr="00A964FF" w14:paraId="3348E399" w14:textId="77777777" w:rsidTr="00BD220E">
        <w:trPr>
          <w:trHeight w:val="340"/>
        </w:trPr>
        <w:tc>
          <w:tcPr>
            <w:tcW w:w="802" w:type="dxa"/>
            <w:vMerge/>
            <w:tcMar>
              <w:left w:w="113" w:type="dxa"/>
              <w:right w:w="113" w:type="dxa"/>
            </w:tcMar>
            <w:vAlign w:val="center"/>
          </w:tcPr>
          <w:p w14:paraId="3815FF27" w14:textId="77777777" w:rsidR="00C4539F" w:rsidRPr="00A964FF" w:rsidRDefault="00C4539F" w:rsidP="00C4539F">
            <w:pPr>
              <w:jc w:val="center"/>
              <w:rPr>
                <w:rFonts w:ascii="Calibri" w:hAnsi="Calibri"/>
                <w:bCs/>
                <w:color w:val="auto"/>
                <w:szCs w:val="21"/>
              </w:rPr>
            </w:pPr>
          </w:p>
        </w:tc>
        <w:tc>
          <w:tcPr>
            <w:tcW w:w="992" w:type="dxa"/>
            <w:vAlign w:val="center"/>
          </w:tcPr>
          <w:p w14:paraId="3EEA5BE7" w14:textId="77777777" w:rsidR="00C4539F" w:rsidRPr="00A964FF" w:rsidRDefault="00C4539F" w:rsidP="00C4539F">
            <w:pPr>
              <w:jc w:val="center"/>
              <w:rPr>
                <w:rFonts w:ascii="Calibri" w:hAnsi="Calibri"/>
                <w:bCs/>
                <w:color w:val="auto"/>
                <w:szCs w:val="21"/>
              </w:rPr>
            </w:pPr>
            <w:r>
              <w:rPr>
                <w:rFonts w:ascii="Calibri" w:hAnsi="Calibri" w:hint="eastAsia"/>
                <w:bCs/>
                <w:color w:val="auto"/>
                <w:szCs w:val="21"/>
              </w:rPr>
              <w:t>16</w:t>
            </w:r>
          </w:p>
        </w:tc>
        <w:tc>
          <w:tcPr>
            <w:tcW w:w="1721" w:type="dxa"/>
            <w:gridSpan w:val="2"/>
            <w:tcMar>
              <w:left w:w="113" w:type="dxa"/>
              <w:right w:w="113" w:type="dxa"/>
            </w:tcMar>
            <w:vAlign w:val="center"/>
          </w:tcPr>
          <w:p w14:paraId="3FD47380" w14:textId="77777777" w:rsidR="00C4539F" w:rsidRPr="00A964FF" w:rsidRDefault="00C4539F" w:rsidP="00C4539F">
            <w:pPr>
              <w:jc w:val="center"/>
              <w:rPr>
                <w:rFonts w:ascii="Calibri" w:hAnsi="Calibri" w:cs="宋体"/>
                <w:color w:val="auto"/>
                <w:szCs w:val="21"/>
              </w:rPr>
            </w:pPr>
            <w:r>
              <w:rPr>
                <w:rFonts w:ascii="Calibri" w:hint="eastAsia"/>
                <w:color w:val="auto"/>
                <w:szCs w:val="21"/>
              </w:rPr>
              <w:t>贺渡口村</w:t>
            </w:r>
          </w:p>
        </w:tc>
        <w:tc>
          <w:tcPr>
            <w:tcW w:w="1114" w:type="dxa"/>
            <w:vAlign w:val="center"/>
          </w:tcPr>
          <w:p w14:paraId="545FD362"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N</w:t>
            </w:r>
            <w:r>
              <w:rPr>
                <w:rFonts w:ascii="Calibri" w:hAnsi="Calibri"/>
                <w:color w:val="auto"/>
                <w:szCs w:val="21"/>
              </w:rPr>
              <w:t>W</w:t>
            </w:r>
          </w:p>
        </w:tc>
        <w:tc>
          <w:tcPr>
            <w:tcW w:w="1296" w:type="dxa"/>
            <w:gridSpan w:val="3"/>
            <w:vAlign w:val="center"/>
          </w:tcPr>
          <w:p w14:paraId="7B3D474A"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2290</w:t>
            </w:r>
          </w:p>
        </w:tc>
        <w:tc>
          <w:tcPr>
            <w:tcW w:w="1559" w:type="dxa"/>
            <w:gridSpan w:val="2"/>
            <w:vAlign w:val="center"/>
          </w:tcPr>
          <w:p w14:paraId="78E4E946"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00D62B54" w14:textId="77777777" w:rsidR="00C4539F" w:rsidRPr="003A23B5" w:rsidRDefault="00C4539F" w:rsidP="00C4539F">
            <w:pPr>
              <w:jc w:val="center"/>
              <w:rPr>
                <w:rFonts w:asciiTheme="minorHAnsi" w:hAnsiTheme="minorHAnsi"/>
                <w:color w:val="auto"/>
                <w:szCs w:val="21"/>
              </w:rPr>
            </w:pPr>
            <w:r w:rsidRPr="003A23B5">
              <w:rPr>
                <w:rFonts w:asciiTheme="minorHAnsi" w:hAnsiTheme="minorHAnsi"/>
                <w:color w:val="auto"/>
                <w:szCs w:val="21"/>
              </w:rPr>
              <w:t>1466</w:t>
            </w:r>
          </w:p>
        </w:tc>
      </w:tr>
      <w:tr w:rsidR="00C4539F" w:rsidRPr="00A964FF" w14:paraId="6549C6BF" w14:textId="77777777" w:rsidTr="00BD220E">
        <w:trPr>
          <w:trHeight w:val="340"/>
        </w:trPr>
        <w:tc>
          <w:tcPr>
            <w:tcW w:w="802" w:type="dxa"/>
            <w:vMerge/>
            <w:tcMar>
              <w:left w:w="113" w:type="dxa"/>
              <w:right w:w="113" w:type="dxa"/>
            </w:tcMar>
            <w:vAlign w:val="center"/>
          </w:tcPr>
          <w:p w14:paraId="0E503343" w14:textId="77777777" w:rsidR="00C4539F" w:rsidRPr="00A964FF" w:rsidRDefault="00C4539F" w:rsidP="00C4539F">
            <w:pPr>
              <w:jc w:val="center"/>
              <w:rPr>
                <w:rFonts w:ascii="Calibri" w:hAnsi="Calibri"/>
                <w:bCs/>
                <w:color w:val="auto"/>
                <w:szCs w:val="21"/>
              </w:rPr>
            </w:pPr>
          </w:p>
        </w:tc>
        <w:tc>
          <w:tcPr>
            <w:tcW w:w="992" w:type="dxa"/>
            <w:vAlign w:val="center"/>
          </w:tcPr>
          <w:p w14:paraId="35CB45AE" w14:textId="77777777" w:rsidR="00C4539F" w:rsidRDefault="00C4539F" w:rsidP="00C4539F">
            <w:pPr>
              <w:jc w:val="center"/>
              <w:rPr>
                <w:rFonts w:ascii="Calibri" w:hAnsi="Calibri"/>
                <w:bCs/>
                <w:color w:val="auto"/>
                <w:szCs w:val="21"/>
              </w:rPr>
            </w:pPr>
            <w:r>
              <w:rPr>
                <w:rFonts w:ascii="Calibri" w:hAnsi="Calibri" w:hint="eastAsia"/>
                <w:bCs/>
                <w:color w:val="auto"/>
                <w:szCs w:val="21"/>
              </w:rPr>
              <w:t>17</w:t>
            </w:r>
          </w:p>
        </w:tc>
        <w:tc>
          <w:tcPr>
            <w:tcW w:w="1721" w:type="dxa"/>
            <w:gridSpan w:val="2"/>
            <w:tcMar>
              <w:left w:w="113" w:type="dxa"/>
              <w:right w:w="113" w:type="dxa"/>
            </w:tcMar>
            <w:vAlign w:val="center"/>
          </w:tcPr>
          <w:p w14:paraId="523CE61C" w14:textId="77777777" w:rsidR="00C4539F" w:rsidRDefault="00C4539F" w:rsidP="00C4539F">
            <w:pPr>
              <w:jc w:val="center"/>
              <w:rPr>
                <w:rFonts w:ascii="Calibri"/>
                <w:color w:val="auto"/>
                <w:szCs w:val="21"/>
              </w:rPr>
            </w:pPr>
            <w:r>
              <w:rPr>
                <w:rFonts w:ascii="Calibri" w:hint="eastAsia"/>
                <w:color w:val="auto"/>
                <w:szCs w:val="21"/>
              </w:rPr>
              <w:t>楼马村</w:t>
            </w:r>
          </w:p>
        </w:tc>
        <w:tc>
          <w:tcPr>
            <w:tcW w:w="1114" w:type="dxa"/>
            <w:vAlign w:val="center"/>
          </w:tcPr>
          <w:p w14:paraId="0554A3AE"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1B180615" w14:textId="77777777" w:rsidR="00C4539F" w:rsidRDefault="00C4539F" w:rsidP="00C4539F">
            <w:pPr>
              <w:jc w:val="center"/>
              <w:rPr>
                <w:rFonts w:ascii="Calibri" w:hAnsi="Calibri"/>
                <w:color w:val="auto"/>
                <w:szCs w:val="21"/>
              </w:rPr>
            </w:pPr>
            <w:r>
              <w:rPr>
                <w:rFonts w:ascii="Calibri" w:hAnsi="Calibri" w:hint="eastAsia"/>
                <w:color w:val="auto"/>
                <w:szCs w:val="21"/>
              </w:rPr>
              <w:t>2240</w:t>
            </w:r>
          </w:p>
        </w:tc>
        <w:tc>
          <w:tcPr>
            <w:tcW w:w="1559" w:type="dxa"/>
            <w:gridSpan w:val="2"/>
            <w:vAlign w:val="center"/>
          </w:tcPr>
          <w:p w14:paraId="03AE0C21"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4713FFD1" w14:textId="77777777" w:rsidR="00C4539F" w:rsidRPr="003A23B5" w:rsidRDefault="00C4539F" w:rsidP="00C4539F">
            <w:pPr>
              <w:jc w:val="center"/>
              <w:rPr>
                <w:rFonts w:asciiTheme="minorHAnsi" w:hAnsiTheme="minorHAnsi"/>
                <w:color w:val="auto"/>
                <w:szCs w:val="21"/>
              </w:rPr>
            </w:pPr>
            <w:r w:rsidRPr="003A23B5">
              <w:rPr>
                <w:rFonts w:asciiTheme="minorHAnsi" w:hAnsiTheme="minorHAnsi"/>
                <w:color w:val="auto"/>
                <w:szCs w:val="21"/>
              </w:rPr>
              <w:t>3122</w:t>
            </w:r>
          </w:p>
        </w:tc>
      </w:tr>
      <w:tr w:rsidR="00C4539F" w:rsidRPr="00A964FF" w14:paraId="573B2152" w14:textId="77777777" w:rsidTr="00BD220E">
        <w:trPr>
          <w:trHeight w:val="340"/>
        </w:trPr>
        <w:tc>
          <w:tcPr>
            <w:tcW w:w="802" w:type="dxa"/>
            <w:vMerge/>
            <w:tcMar>
              <w:left w:w="113" w:type="dxa"/>
              <w:right w:w="113" w:type="dxa"/>
            </w:tcMar>
            <w:vAlign w:val="center"/>
          </w:tcPr>
          <w:p w14:paraId="5A5A74B6" w14:textId="77777777" w:rsidR="00C4539F" w:rsidRPr="00A964FF" w:rsidRDefault="00C4539F" w:rsidP="00C4539F">
            <w:pPr>
              <w:jc w:val="center"/>
              <w:rPr>
                <w:rFonts w:ascii="Calibri" w:hAnsi="Calibri"/>
                <w:bCs/>
                <w:color w:val="auto"/>
                <w:szCs w:val="21"/>
              </w:rPr>
            </w:pPr>
          </w:p>
        </w:tc>
        <w:tc>
          <w:tcPr>
            <w:tcW w:w="992" w:type="dxa"/>
            <w:vAlign w:val="center"/>
          </w:tcPr>
          <w:p w14:paraId="5B3C5676" w14:textId="77777777" w:rsidR="00C4539F" w:rsidRDefault="00C4539F" w:rsidP="00C4539F">
            <w:pPr>
              <w:jc w:val="center"/>
              <w:rPr>
                <w:rFonts w:ascii="Calibri" w:hAnsi="Calibri"/>
                <w:bCs/>
                <w:color w:val="auto"/>
                <w:szCs w:val="21"/>
              </w:rPr>
            </w:pPr>
            <w:r>
              <w:rPr>
                <w:rFonts w:ascii="Calibri" w:hAnsi="Calibri"/>
                <w:bCs/>
                <w:color w:val="auto"/>
                <w:szCs w:val="21"/>
              </w:rPr>
              <w:t>18</w:t>
            </w:r>
          </w:p>
        </w:tc>
        <w:tc>
          <w:tcPr>
            <w:tcW w:w="1721" w:type="dxa"/>
            <w:gridSpan w:val="2"/>
            <w:tcMar>
              <w:left w:w="113" w:type="dxa"/>
              <w:right w:w="113" w:type="dxa"/>
            </w:tcMar>
            <w:vAlign w:val="center"/>
          </w:tcPr>
          <w:p w14:paraId="34CDDFBC" w14:textId="77777777" w:rsidR="00C4539F" w:rsidRDefault="00C4539F" w:rsidP="00C4539F">
            <w:pPr>
              <w:jc w:val="center"/>
              <w:rPr>
                <w:rFonts w:ascii="Calibri"/>
                <w:color w:val="auto"/>
                <w:szCs w:val="21"/>
              </w:rPr>
            </w:pPr>
            <w:r>
              <w:rPr>
                <w:rFonts w:ascii="Calibri" w:hint="eastAsia"/>
                <w:color w:val="auto"/>
                <w:szCs w:val="21"/>
              </w:rPr>
              <w:t>金庄村</w:t>
            </w:r>
          </w:p>
        </w:tc>
        <w:tc>
          <w:tcPr>
            <w:tcW w:w="1114" w:type="dxa"/>
            <w:vAlign w:val="center"/>
          </w:tcPr>
          <w:p w14:paraId="590CF43B"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61025978" w14:textId="77777777" w:rsidR="00C4539F" w:rsidRDefault="00276EE9" w:rsidP="00C4539F">
            <w:pPr>
              <w:jc w:val="center"/>
              <w:rPr>
                <w:rFonts w:ascii="Calibri" w:hAnsi="Calibri"/>
                <w:color w:val="auto"/>
                <w:szCs w:val="21"/>
              </w:rPr>
            </w:pPr>
            <w:r>
              <w:rPr>
                <w:rFonts w:ascii="Calibri" w:hAnsi="Calibri" w:hint="eastAsia"/>
                <w:color w:val="auto"/>
                <w:szCs w:val="21"/>
              </w:rPr>
              <w:t>2750</w:t>
            </w:r>
          </w:p>
        </w:tc>
        <w:tc>
          <w:tcPr>
            <w:tcW w:w="1559" w:type="dxa"/>
            <w:gridSpan w:val="2"/>
            <w:vAlign w:val="center"/>
          </w:tcPr>
          <w:p w14:paraId="322F28DC"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563F58B6" w14:textId="77777777" w:rsidR="00C4539F" w:rsidRPr="003A23B5" w:rsidRDefault="003A23B5" w:rsidP="00C4539F">
            <w:pPr>
              <w:jc w:val="center"/>
              <w:rPr>
                <w:rFonts w:asciiTheme="minorHAnsi" w:hAnsiTheme="minorHAnsi"/>
                <w:color w:val="auto"/>
                <w:szCs w:val="21"/>
              </w:rPr>
            </w:pPr>
            <w:r w:rsidRPr="003A23B5">
              <w:rPr>
                <w:rFonts w:asciiTheme="minorHAnsi" w:hAnsiTheme="minorHAnsi"/>
                <w:color w:val="auto"/>
                <w:szCs w:val="21"/>
              </w:rPr>
              <w:t>280</w:t>
            </w:r>
          </w:p>
        </w:tc>
      </w:tr>
      <w:tr w:rsidR="00C4539F" w:rsidRPr="00A964FF" w14:paraId="1195999B" w14:textId="77777777" w:rsidTr="00BD220E">
        <w:trPr>
          <w:trHeight w:val="340"/>
        </w:trPr>
        <w:tc>
          <w:tcPr>
            <w:tcW w:w="802" w:type="dxa"/>
            <w:vMerge/>
            <w:tcMar>
              <w:left w:w="113" w:type="dxa"/>
              <w:right w:w="113" w:type="dxa"/>
            </w:tcMar>
            <w:vAlign w:val="center"/>
          </w:tcPr>
          <w:p w14:paraId="127A3383" w14:textId="77777777" w:rsidR="00C4539F" w:rsidRPr="00A964FF" w:rsidRDefault="00C4539F" w:rsidP="00C4539F">
            <w:pPr>
              <w:jc w:val="center"/>
              <w:rPr>
                <w:rFonts w:ascii="Calibri" w:hAnsi="Calibri"/>
                <w:bCs/>
                <w:color w:val="auto"/>
                <w:szCs w:val="21"/>
              </w:rPr>
            </w:pPr>
          </w:p>
        </w:tc>
        <w:tc>
          <w:tcPr>
            <w:tcW w:w="992" w:type="dxa"/>
            <w:vAlign w:val="center"/>
          </w:tcPr>
          <w:p w14:paraId="7516F191" w14:textId="77777777" w:rsidR="00C4539F" w:rsidRDefault="00C4539F" w:rsidP="00C4539F">
            <w:pPr>
              <w:jc w:val="center"/>
              <w:rPr>
                <w:rFonts w:ascii="Calibri" w:hAnsi="Calibri"/>
                <w:bCs/>
                <w:color w:val="auto"/>
                <w:szCs w:val="21"/>
              </w:rPr>
            </w:pPr>
            <w:r>
              <w:rPr>
                <w:rFonts w:ascii="Calibri" w:hAnsi="Calibri" w:hint="eastAsia"/>
                <w:bCs/>
                <w:color w:val="auto"/>
                <w:szCs w:val="21"/>
              </w:rPr>
              <w:t>19</w:t>
            </w:r>
          </w:p>
        </w:tc>
        <w:tc>
          <w:tcPr>
            <w:tcW w:w="1721" w:type="dxa"/>
            <w:gridSpan w:val="2"/>
            <w:tcMar>
              <w:left w:w="113" w:type="dxa"/>
              <w:right w:w="113" w:type="dxa"/>
            </w:tcMar>
            <w:vAlign w:val="center"/>
          </w:tcPr>
          <w:p w14:paraId="0C3E44BC" w14:textId="77777777" w:rsidR="00C4539F" w:rsidRDefault="00C4539F" w:rsidP="00C4539F">
            <w:pPr>
              <w:jc w:val="center"/>
              <w:rPr>
                <w:rFonts w:ascii="Calibri"/>
                <w:color w:val="auto"/>
                <w:szCs w:val="21"/>
              </w:rPr>
            </w:pPr>
            <w:r>
              <w:rPr>
                <w:rFonts w:ascii="Calibri" w:hint="eastAsia"/>
                <w:color w:val="auto"/>
                <w:szCs w:val="21"/>
              </w:rPr>
              <w:t>余</w:t>
            </w:r>
            <w:r>
              <w:rPr>
                <w:rFonts w:ascii="Calibri"/>
                <w:color w:val="auto"/>
                <w:szCs w:val="21"/>
              </w:rPr>
              <w:t>王</w:t>
            </w:r>
            <w:r>
              <w:rPr>
                <w:rFonts w:ascii="Calibri" w:hint="eastAsia"/>
                <w:color w:val="auto"/>
                <w:szCs w:val="21"/>
              </w:rPr>
              <w:t>村</w:t>
            </w:r>
          </w:p>
        </w:tc>
        <w:tc>
          <w:tcPr>
            <w:tcW w:w="1114" w:type="dxa"/>
            <w:vAlign w:val="center"/>
          </w:tcPr>
          <w:p w14:paraId="4BDF99EB"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5C2099FF" w14:textId="77777777" w:rsidR="00C4539F" w:rsidRDefault="00276EE9" w:rsidP="00C4539F">
            <w:pPr>
              <w:jc w:val="center"/>
              <w:rPr>
                <w:rFonts w:ascii="Calibri" w:hAnsi="Calibri"/>
                <w:color w:val="auto"/>
                <w:szCs w:val="21"/>
              </w:rPr>
            </w:pPr>
            <w:r>
              <w:rPr>
                <w:rFonts w:ascii="Calibri" w:hAnsi="Calibri" w:hint="eastAsia"/>
                <w:color w:val="auto"/>
                <w:szCs w:val="21"/>
              </w:rPr>
              <w:t>3600</w:t>
            </w:r>
          </w:p>
        </w:tc>
        <w:tc>
          <w:tcPr>
            <w:tcW w:w="1559" w:type="dxa"/>
            <w:gridSpan w:val="2"/>
            <w:vAlign w:val="center"/>
          </w:tcPr>
          <w:p w14:paraId="69C0AC5E"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1FA17F19" w14:textId="77777777" w:rsidR="00C4539F" w:rsidRPr="003A23B5" w:rsidRDefault="003A23B5" w:rsidP="00C4539F">
            <w:pPr>
              <w:jc w:val="center"/>
              <w:rPr>
                <w:rFonts w:asciiTheme="minorHAnsi" w:hAnsiTheme="minorHAnsi"/>
                <w:color w:val="auto"/>
                <w:szCs w:val="21"/>
              </w:rPr>
            </w:pPr>
            <w:r w:rsidRPr="003A23B5">
              <w:rPr>
                <w:rFonts w:asciiTheme="minorHAnsi" w:hAnsiTheme="minorHAnsi"/>
                <w:color w:val="auto"/>
                <w:szCs w:val="21"/>
              </w:rPr>
              <w:t>2720</w:t>
            </w:r>
          </w:p>
        </w:tc>
      </w:tr>
      <w:tr w:rsidR="00C4539F" w:rsidRPr="00A964FF" w14:paraId="269DF471" w14:textId="77777777" w:rsidTr="00BD220E">
        <w:trPr>
          <w:trHeight w:val="340"/>
        </w:trPr>
        <w:tc>
          <w:tcPr>
            <w:tcW w:w="802" w:type="dxa"/>
            <w:vMerge/>
            <w:tcMar>
              <w:left w:w="113" w:type="dxa"/>
              <w:right w:w="113" w:type="dxa"/>
            </w:tcMar>
            <w:vAlign w:val="center"/>
          </w:tcPr>
          <w:p w14:paraId="333299A3" w14:textId="77777777" w:rsidR="00C4539F" w:rsidRPr="00A964FF" w:rsidRDefault="00C4539F" w:rsidP="00C4539F">
            <w:pPr>
              <w:jc w:val="center"/>
              <w:rPr>
                <w:rFonts w:ascii="Calibri" w:hAnsi="Calibri"/>
                <w:bCs/>
                <w:color w:val="auto"/>
                <w:szCs w:val="21"/>
              </w:rPr>
            </w:pPr>
          </w:p>
        </w:tc>
        <w:tc>
          <w:tcPr>
            <w:tcW w:w="992" w:type="dxa"/>
            <w:vAlign w:val="center"/>
          </w:tcPr>
          <w:p w14:paraId="373CE33F" w14:textId="77777777" w:rsidR="00C4539F" w:rsidRDefault="00C4539F" w:rsidP="00C4539F">
            <w:pPr>
              <w:jc w:val="center"/>
              <w:rPr>
                <w:rFonts w:ascii="Calibri" w:hAnsi="Calibri"/>
                <w:bCs/>
                <w:color w:val="auto"/>
                <w:szCs w:val="21"/>
              </w:rPr>
            </w:pPr>
            <w:r>
              <w:rPr>
                <w:rFonts w:ascii="Calibri" w:hAnsi="Calibri" w:hint="eastAsia"/>
                <w:bCs/>
                <w:color w:val="auto"/>
                <w:szCs w:val="21"/>
              </w:rPr>
              <w:t>20</w:t>
            </w:r>
          </w:p>
        </w:tc>
        <w:tc>
          <w:tcPr>
            <w:tcW w:w="1721" w:type="dxa"/>
            <w:gridSpan w:val="2"/>
            <w:tcMar>
              <w:left w:w="113" w:type="dxa"/>
              <w:right w:w="113" w:type="dxa"/>
            </w:tcMar>
            <w:vAlign w:val="center"/>
          </w:tcPr>
          <w:p w14:paraId="35E6CA58" w14:textId="77777777" w:rsidR="00C4539F" w:rsidRDefault="00C4539F" w:rsidP="00C4539F">
            <w:pPr>
              <w:jc w:val="center"/>
              <w:rPr>
                <w:rFonts w:ascii="Calibri"/>
                <w:color w:val="auto"/>
                <w:szCs w:val="21"/>
              </w:rPr>
            </w:pPr>
            <w:r>
              <w:rPr>
                <w:rFonts w:ascii="Calibri" w:hint="eastAsia"/>
                <w:color w:val="auto"/>
                <w:szCs w:val="21"/>
              </w:rPr>
              <w:t>庙李</w:t>
            </w:r>
            <w:r>
              <w:rPr>
                <w:rFonts w:ascii="Calibri"/>
                <w:color w:val="auto"/>
                <w:szCs w:val="21"/>
              </w:rPr>
              <w:t>村</w:t>
            </w:r>
          </w:p>
        </w:tc>
        <w:tc>
          <w:tcPr>
            <w:tcW w:w="1114" w:type="dxa"/>
            <w:vAlign w:val="center"/>
          </w:tcPr>
          <w:p w14:paraId="71ED5F5E"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3A708B57" w14:textId="77777777" w:rsidR="00C4539F" w:rsidRDefault="00276EE9" w:rsidP="00C4539F">
            <w:pPr>
              <w:jc w:val="center"/>
              <w:rPr>
                <w:rFonts w:ascii="Calibri" w:hAnsi="Calibri"/>
                <w:color w:val="auto"/>
                <w:szCs w:val="21"/>
              </w:rPr>
            </w:pPr>
            <w:r>
              <w:rPr>
                <w:rFonts w:ascii="Calibri" w:hAnsi="Calibri" w:hint="eastAsia"/>
                <w:color w:val="auto"/>
                <w:szCs w:val="21"/>
              </w:rPr>
              <w:t>4234</w:t>
            </w:r>
          </w:p>
        </w:tc>
        <w:tc>
          <w:tcPr>
            <w:tcW w:w="1559" w:type="dxa"/>
            <w:gridSpan w:val="2"/>
            <w:vAlign w:val="center"/>
          </w:tcPr>
          <w:p w14:paraId="0A9E5B8E"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782B0CFB"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1200</w:t>
            </w:r>
          </w:p>
        </w:tc>
      </w:tr>
      <w:tr w:rsidR="00C4539F" w:rsidRPr="00A964FF" w14:paraId="355791F4" w14:textId="77777777" w:rsidTr="00BD220E">
        <w:trPr>
          <w:trHeight w:val="340"/>
        </w:trPr>
        <w:tc>
          <w:tcPr>
            <w:tcW w:w="802" w:type="dxa"/>
            <w:vMerge/>
            <w:tcMar>
              <w:left w:w="113" w:type="dxa"/>
              <w:right w:w="113" w:type="dxa"/>
            </w:tcMar>
            <w:vAlign w:val="center"/>
          </w:tcPr>
          <w:p w14:paraId="14B76540" w14:textId="77777777" w:rsidR="00C4539F" w:rsidRPr="00A964FF" w:rsidRDefault="00C4539F" w:rsidP="00C4539F">
            <w:pPr>
              <w:jc w:val="center"/>
              <w:rPr>
                <w:rFonts w:ascii="Calibri" w:hAnsi="Calibri"/>
                <w:bCs/>
                <w:color w:val="auto"/>
                <w:szCs w:val="21"/>
              </w:rPr>
            </w:pPr>
          </w:p>
        </w:tc>
        <w:tc>
          <w:tcPr>
            <w:tcW w:w="992" w:type="dxa"/>
            <w:vAlign w:val="center"/>
          </w:tcPr>
          <w:p w14:paraId="5AB405B1" w14:textId="77777777" w:rsidR="00C4539F" w:rsidRDefault="00C4539F" w:rsidP="00C4539F">
            <w:pPr>
              <w:jc w:val="center"/>
              <w:rPr>
                <w:rFonts w:ascii="Calibri" w:hAnsi="Calibri"/>
                <w:bCs/>
                <w:color w:val="auto"/>
                <w:szCs w:val="21"/>
              </w:rPr>
            </w:pPr>
            <w:r>
              <w:rPr>
                <w:rFonts w:ascii="Calibri" w:hAnsi="Calibri" w:hint="eastAsia"/>
                <w:bCs/>
                <w:color w:val="auto"/>
                <w:szCs w:val="21"/>
              </w:rPr>
              <w:t>2</w:t>
            </w:r>
            <w:r>
              <w:rPr>
                <w:rFonts w:ascii="Calibri" w:hAnsi="Calibri"/>
                <w:bCs/>
                <w:color w:val="auto"/>
                <w:szCs w:val="21"/>
              </w:rPr>
              <w:t>1</w:t>
            </w:r>
          </w:p>
        </w:tc>
        <w:tc>
          <w:tcPr>
            <w:tcW w:w="1721" w:type="dxa"/>
            <w:gridSpan w:val="2"/>
            <w:tcMar>
              <w:left w:w="113" w:type="dxa"/>
              <w:right w:w="113" w:type="dxa"/>
            </w:tcMar>
            <w:vAlign w:val="center"/>
          </w:tcPr>
          <w:p w14:paraId="474B2F0B" w14:textId="77777777" w:rsidR="00C4539F" w:rsidRDefault="00C4539F" w:rsidP="00C4539F">
            <w:pPr>
              <w:jc w:val="center"/>
              <w:rPr>
                <w:rFonts w:ascii="Calibri"/>
                <w:color w:val="auto"/>
                <w:szCs w:val="21"/>
              </w:rPr>
            </w:pPr>
            <w:r>
              <w:rPr>
                <w:rFonts w:ascii="Calibri" w:hint="eastAsia"/>
                <w:color w:val="auto"/>
                <w:szCs w:val="21"/>
              </w:rPr>
              <w:t>魏王村</w:t>
            </w:r>
          </w:p>
        </w:tc>
        <w:tc>
          <w:tcPr>
            <w:tcW w:w="1114" w:type="dxa"/>
            <w:vAlign w:val="center"/>
          </w:tcPr>
          <w:p w14:paraId="2A58875F"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214E2134" w14:textId="77777777" w:rsidR="00C4539F" w:rsidRDefault="00276EE9" w:rsidP="00C4539F">
            <w:pPr>
              <w:jc w:val="center"/>
              <w:rPr>
                <w:rFonts w:ascii="Calibri" w:hAnsi="Calibri"/>
                <w:color w:val="auto"/>
                <w:szCs w:val="21"/>
              </w:rPr>
            </w:pPr>
            <w:r>
              <w:rPr>
                <w:rFonts w:ascii="Calibri" w:hAnsi="Calibri" w:hint="eastAsia"/>
                <w:color w:val="auto"/>
                <w:szCs w:val="21"/>
              </w:rPr>
              <w:t>4400</w:t>
            </w:r>
          </w:p>
        </w:tc>
        <w:tc>
          <w:tcPr>
            <w:tcW w:w="1559" w:type="dxa"/>
            <w:gridSpan w:val="2"/>
            <w:vAlign w:val="center"/>
          </w:tcPr>
          <w:p w14:paraId="4D5C8BA0"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72655AC1"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480</w:t>
            </w:r>
          </w:p>
        </w:tc>
      </w:tr>
      <w:tr w:rsidR="00C4539F" w:rsidRPr="00A964FF" w14:paraId="33EE7062" w14:textId="77777777" w:rsidTr="00BD220E">
        <w:trPr>
          <w:trHeight w:val="340"/>
        </w:trPr>
        <w:tc>
          <w:tcPr>
            <w:tcW w:w="802" w:type="dxa"/>
            <w:vMerge/>
            <w:tcMar>
              <w:left w:w="113" w:type="dxa"/>
              <w:right w:w="113" w:type="dxa"/>
            </w:tcMar>
            <w:vAlign w:val="center"/>
          </w:tcPr>
          <w:p w14:paraId="7B871095" w14:textId="77777777" w:rsidR="00C4539F" w:rsidRPr="00A964FF" w:rsidRDefault="00C4539F" w:rsidP="00C4539F">
            <w:pPr>
              <w:jc w:val="center"/>
              <w:rPr>
                <w:rFonts w:ascii="Calibri" w:hAnsi="Calibri"/>
                <w:bCs/>
                <w:color w:val="auto"/>
                <w:szCs w:val="21"/>
              </w:rPr>
            </w:pPr>
          </w:p>
        </w:tc>
        <w:tc>
          <w:tcPr>
            <w:tcW w:w="992" w:type="dxa"/>
            <w:vAlign w:val="center"/>
          </w:tcPr>
          <w:p w14:paraId="07942742" w14:textId="77777777" w:rsidR="00C4539F" w:rsidRDefault="00C4539F" w:rsidP="00C4539F">
            <w:pPr>
              <w:jc w:val="center"/>
              <w:rPr>
                <w:rFonts w:ascii="Calibri" w:hAnsi="Calibri"/>
                <w:bCs/>
                <w:color w:val="auto"/>
                <w:szCs w:val="21"/>
              </w:rPr>
            </w:pPr>
            <w:r>
              <w:rPr>
                <w:rFonts w:ascii="Calibri" w:hAnsi="Calibri" w:hint="eastAsia"/>
                <w:bCs/>
                <w:color w:val="auto"/>
                <w:szCs w:val="21"/>
              </w:rPr>
              <w:t>22</w:t>
            </w:r>
          </w:p>
        </w:tc>
        <w:tc>
          <w:tcPr>
            <w:tcW w:w="1721" w:type="dxa"/>
            <w:gridSpan w:val="2"/>
            <w:tcMar>
              <w:left w:w="113" w:type="dxa"/>
              <w:right w:w="113" w:type="dxa"/>
            </w:tcMar>
            <w:vAlign w:val="center"/>
          </w:tcPr>
          <w:p w14:paraId="59B2BDA8" w14:textId="77777777" w:rsidR="00C4539F" w:rsidRDefault="00C4539F" w:rsidP="00C4539F">
            <w:pPr>
              <w:jc w:val="center"/>
              <w:rPr>
                <w:rFonts w:ascii="Calibri"/>
                <w:color w:val="auto"/>
                <w:szCs w:val="21"/>
              </w:rPr>
            </w:pPr>
            <w:r>
              <w:rPr>
                <w:rFonts w:ascii="Calibri" w:hint="eastAsia"/>
                <w:color w:val="auto"/>
                <w:szCs w:val="21"/>
              </w:rPr>
              <w:t>郝庄村</w:t>
            </w:r>
          </w:p>
        </w:tc>
        <w:tc>
          <w:tcPr>
            <w:tcW w:w="1114" w:type="dxa"/>
            <w:vAlign w:val="center"/>
          </w:tcPr>
          <w:p w14:paraId="3922B617"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03B064F4" w14:textId="77777777" w:rsidR="00C4539F" w:rsidRDefault="00276EE9" w:rsidP="00C4539F">
            <w:pPr>
              <w:jc w:val="center"/>
              <w:rPr>
                <w:rFonts w:ascii="Calibri" w:hAnsi="Calibri"/>
                <w:color w:val="auto"/>
                <w:szCs w:val="21"/>
              </w:rPr>
            </w:pPr>
            <w:r>
              <w:rPr>
                <w:rFonts w:ascii="Calibri" w:hAnsi="Calibri" w:hint="eastAsia"/>
                <w:color w:val="auto"/>
                <w:szCs w:val="21"/>
              </w:rPr>
              <w:t>3772</w:t>
            </w:r>
          </w:p>
        </w:tc>
        <w:tc>
          <w:tcPr>
            <w:tcW w:w="1559" w:type="dxa"/>
            <w:gridSpan w:val="2"/>
            <w:vAlign w:val="center"/>
          </w:tcPr>
          <w:p w14:paraId="211D9AE4"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07CBE3CA"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680</w:t>
            </w:r>
          </w:p>
        </w:tc>
      </w:tr>
      <w:tr w:rsidR="00C4539F" w:rsidRPr="00A964FF" w14:paraId="7767065E" w14:textId="77777777" w:rsidTr="00BD220E">
        <w:trPr>
          <w:trHeight w:val="340"/>
        </w:trPr>
        <w:tc>
          <w:tcPr>
            <w:tcW w:w="802" w:type="dxa"/>
            <w:vMerge/>
            <w:tcMar>
              <w:left w:w="113" w:type="dxa"/>
              <w:right w:w="113" w:type="dxa"/>
            </w:tcMar>
            <w:vAlign w:val="center"/>
          </w:tcPr>
          <w:p w14:paraId="5D5A3BB0" w14:textId="77777777" w:rsidR="00C4539F" w:rsidRPr="00A964FF" w:rsidRDefault="00C4539F" w:rsidP="00C4539F">
            <w:pPr>
              <w:jc w:val="center"/>
              <w:rPr>
                <w:rFonts w:ascii="Calibri" w:hAnsi="Calibri"/>
                <w:bCs/>
                <w:color w:val="auto"/>
                <w:szCs w:val="21"/>
              </w:rPr>
            </w:pPr>
          </w:p>
        </w:tc>
        <w:tc>
          <w:tcPr>
            <w:tcW w:w="992" w:type="dxa"/>
            <w:vAlign w:val="center"/>
          </w:tcPr>
          <w:p w14:paraId="69B0B1D7" w14:textId="77777777" w:rsidR="00C4539F" w:rsidRDefault="00C4539F" w:rsidP="00C4539F">
            <w:pPr>
              <w:jc w:val="center"/>
              <w:rPr>
                <w:rFonts w:ascii="Calibri" w:hAnsi="Calibri"/>
                <w:bCs/>
                <w:color w:val="auto"/>
                <w:szCs w:val="21"/>
              </w:rPr>
            </w:pPr>
            <w:r>
              <w:rPr>
                <w:rFonts w:ascii="Calibri" w:hAnsi="Calibri" w:hint="eastAsia"/>
                <w:bCs/>
                <w:color w:val="auto"/>
                <w:szCs w:val="21"/>
              </w:rPr>
              <w:t>23</w:t>
            </w:r>
          </w:p>
        </w:tc>
        <w:tc>
          <w:tcPr>
            <w:tcW w:w="1721" w:type="dxa"/>
            <w:gridSpan w:val="2"/>
            <w:tcMar>
              <w:left w:w="113" w:type="dxa"/>
              <w:right w:w="113" w:type="dxa"/>
            </w:tcMar>
            <w:vAlign w:val="center"/>
          </w:tcPr>
          <w:p w14:paraId="3AA37C51" w14:textId="77777777" w:rsidR="00C4539F" w:rsidRDefault="00C4539F" w:rsidP="00C4539F">
            <w:pPr>
              <w:jc w:val="center"/>
              <w:rPr>
                <w:rFonts w:ascii="Calibri"/>
                <w:color w:val="auto"/>
                <w:szCs w:val="21"/>
              </w:rPr>
            </w:pPr>
            <w:r>
              <w:rPr>
                <w:rFonts w:ascii="Calibri" w:hint="eastAsia"/>
                <w:color w:val="auto"/>
                <w:szCs w:val="21"/>
              </w:rPr>
              <w:t>大魏庄村</w:t>
            </w:r>
          </w:p>
        </w:tc>
        <w:tc>
          <w:tcPr>
            <w:tcW w:w="1114" w:type="dxa"/>
            <w:vAlign w:val="center"/>
          </w:tcPr>
          <w:p w14:paraId="2CE508E4"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NE</w:t>
            </w:r>
          </w:p>
        </w:tc>
        <w:tc>
          <w:tcPr>
            <w:tcW w:w="1296" w:type="dxa"/>
            <w:gridSpan w:val="3"/>
            <w:vAlign w:val="center"/>
          </w:tcPr>
          <w:p w14:paraId="6992E805" w14:textId="77777777" w:rsidR="00C4539F" w:rsidRDefault="00276EE9" w:rsidP="00C4539F">
            <w:pPr>
              <w:jc w:val="center"/>
              <w:rPr>
                <w:rFonts w:ascii="Calibri" w:hAnsi="Calibri"/>
                <w:color w:val="auto"/>
                <w:szCs w:val="21"/>
              </w:rPr>
            </w:pPr>
            <w:r>
              <w:rPr>
                <w:rFonts w:ascii="Calibri" w:hAnsi="Calibri" w:hint="eastAsia"/>
                <w:color w:val="auto"/>
                <w:szCs w:val="21"/>
              </w:rPr>
              <w:t>2910</w:t>
            </w:r>
          </w:p>
        </w:tc>
        <w:tc>
          <w:tcPr>
            <w:tcW w:w="1559" w:type="dxa"/>
            <w:gridSpan w:val="2"/>
            <w:vAlign w:val="center"/>
          </w:tcPr>
          <w:p w14:paraId="43DBF5D0"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6871F8EA"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720</w:t>
            </w:r>
          </w:p>
        </w:tc>
      </w:tr>
      <w:tr w:rsidR="00C4539F" w:rsidRPr="00A964FF" w14:paraId="28CE978D" w14:textId="77777777" w:rsidTr="00BD220E">
        <w:trPr>
          <w:trHeight w:val="340"/>
        </w:trPr>
        <w:tc>
          <w:tcPr>
            <w:tcW w:w="802" w:type="dxa"/>
            <w:vMerge/>
            <w:tcMar>
              <w:left w:w="113" w:type="dxa"/>
              <w:right w:w="113" w:type="dxa"/>
            </w:tcMar>
            <w:vAlign w:val="center"/>
          </w:tcPr>
          <w:p w14:paraId="466C2A6D" w14:textId="77777777" w:rsidR="00C4539F" w:rsidRPr="00A964FF" w:rsidRDefault="00C4539F" w:rsidP="00C4539F">
            <w:pPr>
              <w:jc w:val="center"/>
              <w:rPr>
                <w:rFonts w:ascii="Calibri" w:hAnsi="Calibri"/>
                <w:bCs/>
                <w:color w:val="auto"/>
                <w:szCs w:val="21"/>
              </w:rPr>
            </w:pPr>
          </w:p>
        </w:tc>
        <w:tc>
          <w:tcPr>
            <w:tcW w:w="992" w:type="dxa"/>
            <w:vAlign w:val="center"/>
          </w:tcPr>
          <w:p w14:paraId="3EA46F30" w14:textId="77777777" w:rsidR="00C4539F" w:rsidRDefault="00C4539F" w:rsidP="00C4539F">
            <w:pPr>
              <w:jc w:val="center"/>
              <w:rPr>
                <w:rFonts w:ascii="Calibri" w:hAnsi="Calibri"/>
                <w:bCs/>
                <w:color w:val="auto"/>
                <w:szCs w:val="21"/>
              </w:rPr>
            </w:pPr>
            <w:r>
              <w:rPr>
                <w:rFonts w:ascii="Calibri" w:hAnsi="Calibri" w:hint="eastAsia"/>
                <w:bCs/>
                <w:color w:val="auto"/>
                <w:szCs w:val="21"/>
              </w:rPr>
              <w:t>24</w:t>
            </w:r>
          </w:p>
        </w:tc>
        <w:tc>
          <w:tcPr>
            <w:tcW w:w="1721" w:type="dxa"/>
            <w:gridSpan w:val="2"/>
            <w:tcMar>
              <w:left w:w="113" w:type="dxa"/>
              <w:right w:w="113" w:type="dxa"/>
            </w:tcMar>
            <w:vAlign w:val="center"/>
          </w:tcPr>
          <w:p w14:paraId="454A6B3D" w14:textId="77777777" w:rsidR="00C4539F" w:rsidRDefault="00623EF2" w:rsidP="00C4539F">
            <w:pPr>
              <w:jc w:val="center"/>
              <w:rPr>
                <w:rFonts w:ascii="Calibri"/>
                <w:color w:val="auto"/>
                <w:szCs w:val="21"/>
              </w:rPr>
            </w:pPr>
            <w:r w:rsidRPr="00623EF2">
              <w:rPr>
                <w:rFonts w:ascii="Calibri" w:hint="eastAsia"/>
                <w:color w:val="auto"/>
                <w:szCs w:val="21"/>
              </w:rPr>
              <w:t>余营新村</w:t>
            </w:r>
          </w:p>
        </w:tc>
        <w:tc>
          <w:tcPr>
            <w:tcW w:w="1114" w:type="dxa"/>
            <w:vAlign w:val="center"/>
          </w:tcPr>
          <w:p w14:paraId="5300E517"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64618CB4"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1020</w:t>
            </w:r>
          </w:p>
        </w:tc>
        <w:tc>
          <w:tcPr>
            <w:tcW w:w="1559" w:type="dxa"/>
            <w:gridSpan w:val="2"/>
            <w:vAlign w:val="center"/>
          </w:tcPr>
          <w:p w14:paraId="0D5FBE12"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2D0B6280" w14:textId="77777777" w:rsidR="00C4539F" w:rsidRPr="00623F1E" w:rsidRDefault="00C4539F" w:rsidP="00C4539F">
            <w:pPr>
              <w:jc w:val="center"/>
              <w:rPr>
                <w:rFonts w:ascii="Calibri" w:hAnsi="Calibri"/>
                <w:szCs w:val="21"/>
              </w:rPr>
            </w:pPr>
            <w:r w:rsidRPr="00623F1E">
              <w:rPr>
                <w:rFonts w:ascii="Calibri" w:hAnsi="Calibri" w:hint="eastAsia"/>
                <w:szCs w:val="21"/>
              </w:rPr>
              <w:t>340</w:t>
            </w:r>
          </w:p>
        </w:tc>
      </w:tr>
      <w:tr w:rsidR="00C4539F" w:rsidRPr="00A964FF" w14:paraId="1282D630" w14:textId="77777777" w:rsidTr="00BD220E">
        <w:trPr>
          <w:trHeight w:val="340"/>
        </w:trPr>
        <w:tc>
          <w:tcPr>
            <w:tcW w:w="802" w:type="dxa"/>
            <w:vMerge/>
            <w:tcMar>
              <w:left w:w="113" w:type="dxa"/>
              <w:right w:w="113" w:type="dxa"/>
            </w:tcMar>
            <w:vAlign w:val="center"/>
          </w:tcPr>
          <w:p w14:paraId="1898C7E7" w14:textId="77777777" w:rsidR="00C4539F" w:rsidRPr="00A964FF" w:rsidRDefault="00C4539F" w:rsidP="00C4539F">
            <w:pPr>
              <w:jc w:val="center"/>
              <w:rPr>
                <w:rFonts w:ascii="Calibri" w:hAnsi="Calibri"/>
                <w:bCs/>
                <w:color w:val="auto"/>
                <w:szCs w:val="21"/>
              </w:rPr>
            </w:pPr>
          </w:p>
        </w:tc>
        <w:tc>
          <w:tcPr>
            <w:tcW w:w="992" w:type="dxa"/>
            <w:vAlign w:val="center"/>
          </w:tcPr>
          <w:p w14:paraId="3839ADED" w14:textId="77777777" w:rsidR="00C4539F" w:rsidRDefault="00C4539F" w:rsidP="00C4539F">
            <w:pPr>
              <w:jc w:val="center"/>
              <w:rPr>
                <w:rFonts w:ascii="Calibri" w:hAnsi="Calibri"/>
                <w:bCs/>
                <w:color w:val="auto"/>
                <w:szCs w:val="21"/>
              </w:rPr>
            </w:pPr>
            <w:r>
              <w:rPr>
                <w:rFonts w:ascii="Calibri" w:hAnsi="Calibri" w:hint="eastAsia"/>
                <w:bCs/>
                <w:color w:val="auto"/>
                <w:szCs w:val="21"/>
              </w:rPr>
              <w:t>25</w:t>
            </w:r>
          </w:p>
        </w:tc>
        <w:tc>
          <w:tcPr>
            <w:tcW w:w="1721" w:type="dxa"/>
            <w:gridSpan w:val="2"/>
            <w:tcMar>
              <w:left w:w="113" w:type="dxa"/>
              <w:right w:w="113" w:type="dxa"/>
            </w:tcMar>
            <w:vAlign w:val="center"/>
          </w:tcPr>
          <w:p w14:paraId="17D2421B" w14:textId="77777777" w:rsidR="00C4539F" w:rsidRDefault="00623EF2" w:rsidP="00C4539F">
            <w:pPr>
              <w:jc w:val="center"/>
              <w:rPr>
                <w:rFonts w:ascii="Calibri"/>
                <w:color w:val="auto"/>
                <w:szCs w:val="21"/>
              </w:rPr>
            </w:pPr>
            <w:r>
              <w:rPr>
                <w:rFonts w:ascii="Calibri" w:hint="eastAsia"/>
                <w:color w:val="auto"/>
                <w:szCs w:val="21"/>
              </w:rPr>
              <w:t>余营</w:t>
            </w:r>
            <w:r w:rsidRPr="00623EF2">
              <w:rPr>
                <w:rFonts w:ascii="Calibri" w:hint="eastAsia"/>
                <w:color w:val="auto"/>
                <w:szCs w:val="21"/>
              </w:rPr>
              <w:t>村</w:t>
            </w:r>
          </w:p>
        </w:tc>
        <w:tc>
          <w:tcPr>
            <w:tcW w:w="1114" w:type="dxa"/>
            <w:vAlign w:val="center"/>
          </w:tcPr>
          <w:p w14:paraId="783EB396"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187C8106"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1407</w:t>
            </w:r>
          </w:p>
        </w:tc>
        <w:tc>
          <w:tcPr>
            <w:tcW w:w="1559" w:type="dxa"/>
            <w:gridSpan w:val="2"/>
            <w:vAlign w:val="center"/>
          </w:tcPr>
          <w:p w14:paraId="7B6E7CA5"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58B0D25B" w14:textId="77777777" w:rsidR="00C4539F" w:rsidRPr="00623F1E" w:rsidRDefault="00C4539F" w:rsidP="00C4539F">
            <w:pPr>
              <w:jc w:val="center"/>
              <w:rPr>
                <w:rFonts w:ascii="Calibri" w:hAnsi="Calibri"/>
                <w:szCs w:val="21"/>
              </w:rPr>
            </w:pPr>
            <w:r w:rsidRPr="00623F1E">
              <w:rPr>
                <w:rFonts w:ascii="Calibri" w:hAnsi="Calibri" w:hint="eastAsia"/>
                <w:szCs w:val="21"/>
              </w:rPr>
              <w:t>1960</w:t>
            </w:r>
          </w:p>
        </w:tc>
      </w:tr>
      <w:tr w:rsidR="00C4539F" w:rsidRPr="00A964FF" w14:paraId="578B8233" w14:textId="77777777" w:rsidTr="00BD220E">
        <w:trPr>
          <w:trHeight w:val="340"/>
        </w:trPr>
        <w:tc>
          <w:tcPr>
            <w:tcW w:w="802" w:type="dxa"/>
            <w:vMerge/>
            <w:tcMar>
              <w:left w:w="113" w:type="dxa"/>
              <w:right w:w="113" w:type="dxa"/>
            </w:tcMar>
            <w:vAlign w:val="center"/>
          </w:tcPr>
          <w:p w14:paraId="405F9CD8" w14:textId="77777777" w:rsidR="00C4539F" w:rsidRPr="00A964FF" w:rsidRDefault="00C4539F" w:rsidP="00C4539F">
            <w:pPr>
              <w:jc w:val="center"/>
              <w:rPr>
                <w:rFonts w:ascii="Calibri" w:hAnsi="Calibri"/>
                <w:bCs/>
                <w:color w:val="auto"/>
                <w:szCs w:val="21"/>
              </w:rPr>
            </w:pPr>
          </w:p>
        </w:tc>
        <w:tc>
          <w:tcPr>
            <w:tcW w:w="992" w:type="dxa"/>
            <w:vAlign w:val="center"/>
          </w:tcPr>
          <w:p w14:paraId="2F10E728" w14:textId="77777777" w:rsidR="00C4539F" w:rsidRDefault="00C4539F" w:rsidP="00C4539F">
            <w:pPr>
              <w:jc w:val="center"/>
              <w:rPr>
                <w:rFonts w:ascii="Calibri" w:hAnsi="Calibri"/>
                <w:bCs/>
                <w:color w:val="auto"/>
                <w:szCs w:val="21"/>
              </w:rPr>
            </w:pPr>
            <w:r>
              <w:rPr>
                <w:rFonts w:ascii="Calibri" w:hAnsi="Calibri" w:hint="eastAsia"/>
                <w:bCs/>
                <w:color w:val="auto"/>
                <w:szCs w:val="21"/>
              </w:rPr>
              <w:t>26</w:t>
            </w:r>
          </w:p>
        </w:tc>
        <w:tc>
          <w:tcPr>
            <w:tcW w:w="1721" w:type="dxa"/>
            <w:gridSpan w:val="2"/>
            <w:tcMar>
              <w:left w:w="113" w:type="dxa"/>
              <w:right w:w="113" w:type="dxa"/>
            </w:tcMar>
            <w:vAlign w:val="center"/>
          </w:tcPr>
          <w:p w14:paraId="3680B775" w14:textId="77777777" w:rsidR="00C4539F" w:rsidRDefault="00C4539F" w:rsidP="00C4539F">
            <w:pPr>
              <w:jc w:val="center"/>
              <w:rPr>
                <w:rFonts w:ascii="Calibri"/>
                <w:color w:val="auto"/>
                <w:szCs w:val="21"/>
              </w:rPr>
            </w:pPr>
            <w:r>
              <w:rPr>
                <w:rFonts w:ascii="Calibri" w:hint="eastAsia"/>
                <w:color w:val="auto"/>
                <w:szCs w:val="21"/>
              </w:rPr>
              <w:t>泥河张</w:t>
            </w:r>
            <w:r>
              <w:rPr>
                <w:rFonts w:ascii="Calibri"/>
                <w:color w:val="auto"/>
                <w:szCs w:val="21"/>
              </w:rPr>
              <w:t>村</w:t>
            </w:r>
          </w:p>
        </w:tc>
        <w:tc>
          <w:tcPr>
            <w:tcW w:w="1114" w:type="dxa"/>
            <w:vAlign w:val="center"/>
          </w:tcPr>
          <w:p w14:paraId="030AD9C0"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525050D9" w14:textId="77777777" w:rsidR="00C4539F" w:rsidRDefault="00C4539F" w:rsidP="00C4539F">
            <w:pPr>
              <w:jc w:val="center"/>
              <w:rPr>
                <w:rFonts w:ascii="Calibri" w:hAnsi="Calibri"/>
                <w:color w:val="auto"/>
                <w:szCs w:val="21"/>
              </w:rPr>
            </w:pPr>
            <w:r>
              <w:rPr>
                <w:rFonts w:ascii="Calibri" w:hAnsi="Calibri" w:hint="eastAsia"/>
                <w:color w:val="auto"/>
                <w:szCs w:val="21"/>
              </w:rPr>
              <w:t>556</w:t>
            </w:r>
          </w:p>
        </w:tc>
        <w:tc>
          <w:tcPr>
            <w:tcW w:w="1559" w:type="dxa"/>
            <w:gridSpan w:val="2"/>
            <w:vAlign w:val="center"/>
          </w:tcPr>
          <w:p w14:paraId="6E3A7437"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53895B97" w14:textId="77777777" w:rsidR="00C4539F" w:rsidRPr="00A964FF" w:rsidRDefault="00C4539F" w:rsidP="00C4539F">
            <w:pPr>
              <w:jc w:val="center"/>
              <w:rPr>
                <w:rFonts w:ascii="Calibri" w:hAnsi="Calibri"/>
                <w:color w:val="auto"/>
                <w:szCs w:val="21"/>
              </w:rPr>
            </w:pPr>
            <w:r w:rsidRPr="00623F1E">
              <w:rPr>
                <w:rFonts w:ascii="Calibri" w:hAnsi="Calibri" w:hint="eastAsia"/>
                <w:szCs w:val="21"/>
              </w:rPr>
              <w:t>1089</w:t>
            </w:r>
          </w:p>
        </w:tc>
      </w:tr>
      <w:tr w:rsidR="00C4539F" w:rsidRPr="00A964FF" w14:paraId="2192C997" w14:textId="77777777" w:rsidTr="00BD220E">
        <w:trPr>
          <w:trHeight w:val="340"/>
        </w:trPr>
        <w:tc>
          <w:tcPr>
            <w:tcW w:w="802" w:type="dxa"/>
            <w:vMerge/>
            <w:tcMar>
              <w:left w:w="113" w:type="dxa"/>
              <w:right w:w="113" w:type="dxa"/>
            </w:tcMar>
            <w:vAlign w:val="center"/>
          </w:tcPr>
          <w:p w14:paraId="1E0ED045" w14:textId="77777777" w:rsidR="00C4539F" w:rsidRPr="00A964FF" w:rsidRDefault="00C4539F" w:rsidP="00C4539F">
            <w:pPr>
              <w:jc w:val="center"/>
              <w:rPr>
                <w:rFonts w:ascii="Calibri" w:hAnsi="Calibri"/>
                <w:bCs/>
                <w:color w:val="auto"/>
                <w:szCs w:val="21"/>
              </w:rPr>
            </w:pPr>
          </w:p>
        </w:tc>
        <w:tc>
          <w:tcPr>
            <w:tcW w:w="992" w:type="dxa"/>
            <w:vAlign w:val="center"/>
          </w:tcPr>
          <w:p w14:paraId="3958B691" w14:textId="77777777" w:rsidR="00C4539F" w:rsidRDefault="00C4539F" w:rsidP="00C4539F">
            <w:pPr>
              <w:jc w:val="center"/>
              <w:rPr>
                <w:rFonts w:ascii="Calibri" w:hAnsi="Calibri"/>
                <w:bCs/>
                <w:color w:val="auto"/>
                <w:szCs w:val="21"/>
              </w:rPr>
            </w:pPr>
            <w:r>
              <w:rPr>
                <w:rFonts w:ascii="Calibri" w:hAnsi="Calibri" w:hint="eastAsia"/>
                <w:bCs/>
                <w:color w:val="auto"/>
                <w:szCs w:val="21"/>
              </w:rPr>
              <w:t>27</w:t>
            </w:r>
          </w:p>
        </w:tc>
        <w:tc>
          <w:tcPr>
            <w:tcW w:w="1721" w:type="dxa"/>
            <w:gridSpan w:val="2"/>
            <w:tcMar>
              <w:left w:w="113" w:type="dxa"/>
              <w:right w:w="113" w:type="dxa"/>
            </w:tcMar>
            <w:vAlign w:val="center"/>
          </w:tcPr>
          <w:p w14:paraId="1B60A7CD" w14:textId="77777777" w:rsidR="00C4539F" w:rsidRDefault="00C4539F" w:rsidP="00C4539F">
            <w:pPr>
              <w:jc w:val="center"/>
              <w:rPr>
                <w:rFonts w:ascii="Calibri"/>
                <w:color w:val="auto"/>
                <w:szCs w:val="21"/>
              </w:rPr>
            </w:pPr>
            <w:r>
              <w:rPr>
                <w:rFonts w:ascii="Calibri" w:hint="eastAsia"/>
                <w:color w:val="auto"/>
                <w:szCs w:val="21"/>
              </w:rPr>
              <w:t>杨庄</w:t>
            </w:r>
          </w:p>
        </w:tc>
        <w:tc>
          <w:tcPr>
            <w:tcW w:w="1114" w:type="dxa"/>
            <w:vAlign w:val="center"/>
          </w:tcPr>
          <w:p w14:paraId="6612361E"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63B30426"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553</w:t>
            </w:r>
          </w:p>
        </w:tc>
        <w:tc>
          <w:tcPr>
            <w:tcW w:w="1559" w:type="dxa"/>
            <w:gridSpan w:val="2"/>
            <w:vAlign w:val="center"/>
          </w:tcPr>
          <w:p w14:paraId="65B30B2E"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20C0DAB3" w14:textId="77777777" w:rsidR="00C4539F" w:rsidRPr="00623F1E" w:rsidRDefault="00C4539F" w:rsidP="00C4539F">
            <w:pPr>
              <w:jc w:val="center"/>
              <w:rPr>
                <w:rFonts w:ascii="Calibri" w:hAnsi="Calibri"/>
                <w:szCs w:val="21"/>
              </w:rPr>
            </w:pPr>
            <w:r w:rsidRPr="00623F1E">
              <w:rPr>
                <w:rFonts w:ascii="Calibri" w:hAnsi="Calibri" w:hint="eastAsia"/>
                <w:szCs w:val="21"/>
              </w:rPr>
              <w:t>280</w:t>
            </w:r>
          </w:p>
        </w:tc>
      </w:tr>
      <w:tr w:rsidR="00C4539F" w:rsidRPr="00A964FF" w14:paraId="4D934F75" w14:textId="77777777" w:rsidTr="00BD220E">
        <w:trPr>
          <w:trHeight w:val="340"/>
        </w:trPr>
        <w:tc>
          <w:tcPr>
            <w:tcW w:w="802" w:type="dxa"/>
            <w:vMerge/>
            <w:tcMar>
              <w:left w:w="113" w:type="dxa"/>
              <w:right w:w="113" w:type="dxa"/>
            </w:tcMar>
            <w:vAlign w:val="center"/>
          </w:tcPr>
          <w:p w14:paraId="174C610D" w14:textId="77777777" w:rsidR="00C4539F" w:rsidRPr="00A964FF" w:rsidRDefault="00C4539F" w:rsidP="00C4539F">
            <w:pPr>
              <w:jc w:val="center"/>
              <w:rPr>
                <w:rFonts w:ascii="Calibri" w:hAnsi="Calibri"/>
                <w:bCs/>
                <w:color w:val="auto"/>
                <w:szCs w:val="21"/>
              </w:rPr>
            </w:pPr>
          </w:p>
        </w:tc>
        <w:tc>
          <w:tcPr>
            <w:tcW w:w="992" w:type="dxa"/>
            <w:vAlign w:val="center"/>
          </w:tcPr>
          <w:p w14:paraId="6833F63A" w14:textId="77777777" w:rsidR="00C4539F" w:rsidRDefault="00C4539F" w:rsidP="00C4539F">
            <w:pPr>
              <w:jc w:val="center"/>
              <w:rPr>
                <w:rFonts w:ascii="Calibri" w:hAnsi="Calibri"/>
                <w:bCs/>
                <w:color w:val="auto"/>
                <w:szCs w:val="21"/>
              </w:rPr>
            </w:pPr>
            <w:r>
              <w:rPr>
                <w:rFonts w:ascii="Calibri" w:hAnsi="Calibri" w:hint="eastAsia"/>
                <w:bCs/>
                <w:color w:val="auto"/>
                <w:szCs w:val="21"/>
              </w:rPr>
              <w:t>28</w:t>
            </w:r>
          </w:p>
        </w:tc>
        <w:tc>
          <w:tcPr>
            <w:tcW w:w="1721" w:type="dxa"/>
            <w:gridSpan w:val="2"/>
            <w:tcMar>
              <w:left w:w="113" w:type="dxa"/>
              <w:right w:w="113" w:type="dxa"/>
            </w:tcMar>
            <w:vAlign w:val="center"/>
          </w:tcPr>
          <w:p w14:paraId="2C7A0C5A" w14:textId="77777777" w:rsidR="00C4539F" w:rsidRDefault="00C4539F" w:rsidP="00C4539F">
            <w:pPr>
              <w:jc w:val="center"/>
              <w:rPr>
                <w:rFonts w:ascii="Calibri"/>
                <w:color w:val="auto"/>
                <w:szCs w:val="21"/>
              </w:rPr>
            </w:pPr>
            <w:r>
              <w:rPr>
                <w:rFonts w:ascii="Calibri" w:hint="eastAsia"/>
                <w:color w:val="auto"/>
                <w:szCs w:val="21"/>
              </w:rPr>
              <w:t>周庄</w:t>
            </w:r>
          </w:p>
        </w:tc>
        <w:tc>
          <w:tcPr>
            <w:tcW w:w="1114" w:type="dxa"/>
            <w:vAlign w:val="center"/>
          </w:tcPr>
          <w:p w14:paraId="6138A725"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w:t>
            </w:r>
          </w:p>
        </w:tc>
        <w:tc>
          <w:tcPr>
            <w:tcW w:w="1296" w:type="dxa"/>
            <w:gridSpan w:val="3"/>
            <w:vAlign w:val="center"/>
          </w:tcPr>
          <w:p w14:paraId="55711719"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890</w:t>
            </w:r>
          </w:p>
        </w:tc>
        <w:tc>
          <w:tcPr>
            <w:tcW w:w="1559" w:type="dxa"/>
            <w:gridSpan w:val="2"/>
            <w:vAlign w:val="center"/>
          </w:tcPr>
          <w:p w14:paraId="6E90000F"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255F2175" w14:textId="77777777" w:rsidR="00C4539F" w:rsidRPr="00623F1E" w:rsidRDefault="00C4539F" w:rsidP="00C4539F">
            <w:pPr>
              <w:jc w:val="center"/>
              <w:rPr>
                <w:rFonts w:ascii="Calibri" w:hAnsi="Calibri"/>
                <w:szCs w:val="21"/>
              </w:rPr>
            </w:pPr>
            <w:r w:rsidRPr="00623F1E">
              <w:rPr>
                <w:rFonts w:ascii="Calibri" w:hAnsi="Calibri" w:hint="eastAsia"/>
                <w:szCs w:val="21"/>
              </w:rPr>
              <w:t>170</w:t>
            </w:r>
          </w:p>
        </w:tc>
      </w:tr>
      <w:tr w:rsidR="00C4539F" w:rsidRPr="00A964FF" w14:paraId="3421FDD5" w14:textId="77777777" w:rsidTr="00BD220E">
        <w:trPr>
          <w:trHeight w:val="340"/>
        </w:trPr>
        <w:tc>
          <w:tcPr>
            <w:tcW w:w="802" w:type="dxa"/>
            <w:vMerge/>
            <w:tcMar>
              <w:left w:w="113" w:type="dxa"/>
              <w:right w:w="113" w:type="dxa"/>
            </w:tcMar>
            <w:vAlign w:val="center"/>
          </w:tcPr>
          <w:p w14:paraId="275C200F" w14:textId="77777777" w:rsidR="00C4539F" w:rsidRPr="00A964FF" w:rsidRDefault="00C4539F" w:rsidP="00C4539F">
            <w:pPr>
              <w:jc w:val="center"/>
              <w:rPr>
                <w:rFonts w:ascii="Calibri" w:hAnsi="Calibri"/>
                <w:bCs/>
                <w:color w:val="auto"/>
                <w:szCs w:val="21"/>
              </w:rPr>
            </w:pPr>
          </w:p>
        </w:tc>
        <w:tc>
          <w:tcPr>
            <w:tcW w:w="992" w:type="dxa"/>
            <w:vAlign w:val="center"/>
          </w:tcPr>
          <w:p w14:paraId="1446B026" w14:textId="77777777" w:rsidR="00C4539F" w:rsidRDefault="00C4539F" w:rsidP="00C4539F">
            <w:pPr>
              <w:jc w:val="center"/>
              <w:rPr>
                <w:rFonts w:ascii="Calibri" w:hAnsi="Calibri"/>
                <w:bCs/>
                <w:color w:val="auto"/>
                <w:szCs w:val="21"/>
              </w:rPr>
            </w:pPr>
            <w:r>
              <w:rPr>
                <w:rFonts w:ascii="Calibri" w:hAnsi="Calibri" w:hint="eastAsia"/>
                <w:bCs/>
                <w:color w:val="auto"/>
                <w:szCs w:val="21"/>
              </w:rPr>
              <w:t>29</w:t>
            </w:r>
          </w:p>
        </w:tc>
        <w:tc>
          <w:tcPr>
            <w:tcW w:w="1721" w:type="dxa"/>
            <w:gridSpan w:val="2"/>
            <w:tcMar>
              <w:left w:w="113" w:type="dxa"/>
              <w:right w:w="113" w:type="dxa"/>
            </w:tcMar>
            <w:vAlign w:val="center"/>
          </w:tcPr>
          <w:p w14:paraId="76E06D54" w14:textId="77777777" w:rsidR="00C4539F" w:rsidRDefault="00C4539F" w:rsidP="00C4539F">
            <w:pPr>
              <w:jc w:val="center"/>
              <w:rPr>
                <w:rFonts w:ascii="Calibri"/>
                <w:color w:val="auto"/>
                <w:szCs w:val="21"/>
              </w:rPr>
            </w:pPr>
            <w:r>
              <w:rPr>
                <w:rFonts w:ascii="Calibri" w:hint="eastAsia"/>
                <w:color w:val="auto"/>
                <w:szCs w:val="21"/>
              </w:rPr>
              <w:t>尚庄</w:t>
            </w:r>
          </w:p>
        </w:tc>
        <w:tc>
          <w:tcPr>
            <w:tcW w:w="1114" w:type="dxa"/>
            <w:vAlign w:val="center"/>
          </w:tcPr>
          <w:p w14:paraId="1ACF3351"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19F07163"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1415</w:t>
            </w:r>
          </w:p>
        </w:tc>
        <w:tc>
          <w:tcPr>
            <w:tcW w:w="1559" w:type="dxa"/>
            <w:gridSpan w:val="2"/>
            <w:vAlign w:val="center"/>
          </w:tcPr>
          <w:p w14:paraId="383A96F7"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3ABE5DD1" w14:textId="77777777" w:rsidR="00C4539F" w:rsidRPr="00623F1E" w:rsidRDefault="00C4539F" w:rsidP="00C4539F">
            <w:pPr>
              <w:jc w:val="center"/>
              <w:rPr>
                <w:rFonts w:ascii="Calibri" w:hAnsi="Calibri"/>
                <w:szCs w:val="21"/>
              </w:rPr>
            </w:pPr>
            <w:r w:rsidRPr="00623F1E">
              <w:rPr>
                <w:rFonts w:ascii="Calibri" w:hAnsi="Calibri" w:hint="eastAsia"/>
                <w:szCs w:val="21"/>
              </w:rPr>
              <w:t>320</w:t>
            </w:r>
          </w:p>
        </w:tc>
      </w:tr>
      <w:tr w:rsidR="00C4539F" w:rsidRPr="00A964FF" w14:paraId="35F7B13A" w14:textId="77777777" w:rsidTr="00BD220E">
        <w:trPr>
          <w:trHeight w:val="340"/>
        </w:trPr>
        <w:tc>
          <w:tcPr>
            <w:tcW w:w="802" w:type="dxa"/>
            <w:vMerge/>
            <w:tcMar>
              <w:left w:w="113" w:type="dxa"/>
              <w:right w:w="113" w:type="dxa"/>
            </w:tcMar>
            <w:vAlign w:val="center"/>
          </w:tcPr>
          <w:p w14:paraId="1713A53B" w14:textId="77777777" w:rsidR="00C4539F" w:rsidRPr="00A964FF" w:rsidRDefault="00C4539F" w:rsidP="00C4539F">
            <w:pPr>
              <w:jc w:val="center"/>
              <w:rPr>
                <w:rFonts w:ascii="Calibri" w:hAnsi="Calibri"/>
                <w:bCs/>
                <w:color w:val="auto"/>
                <w:szCs w:val="21"/>
              </w:rPr>
            </w:pPr>
          </w:p>
        </w:tc>
        <w:tc>
          <w:tcPr>
            <w:tcW w:w="992" w:type="dxa"/>
            <w:vAlign w:val="center"/>
          </w:tcPr>
          <w:p w14:paraId="67B67B88" w14:textId="77777777" w:rsidR="00C4539F" w:rsidRDefault="00C4539F" w:rsidP="00C4539F">
            <w:pPr>
              <w:jc w:val="center"/>
              <w:rPr>
                <w:rFonts w:ascii="Calibri" w:hAnsi="Calibri"/>
                <w:bCs/>
                <w:color w:val="auto"/>
                <w:szCs w:val="21"/>
              </w:rPr>
            </w:pPr>
            <w:r>
              <w:rPr>
                <w:rFonts w:ascii="Calibri" w:hAnsi="Calibri" w:hint="eastAsia"/>
                <w:bCs/>
                <w:color w:val="auto"/>
                <w:szCs w:val="21"/>
              </w:rPr>
              <w:t>30</w:t>
            </w:r>
          </w:p>
        </w:tc>
        <w:tc>
          <w:tcPr>
            <w:tcW w:w="1721" w:type="dxa"/>
            <w:gridSpan w:val="2"/>
            <w:tcMar>
              <w:left w:w="113" w:type="dxa"/>
              <w:right w:w="113" w:type="dxa"/>
            </w:tcMar>
            <w:vAlign w:val="center"/>
          </w:tcPr>
          <w:p w14:paraId="5EAE0BF6" w14:textId="77777777" w:rsidR="00C4539F" w:rsidRDefault="00C4539F" w:rsidP="00C4539F">
            <w:pPr>
              <w:jc w:val="center"/>
              <w:rPr>
                <w:rFonts w:ascii="Calibri"/>
                <w:color w:val="auto"/>
                <w:szCs w:val="21"/>
              </w:rPr>
            </w:pPr>
            <w:r>
              <w:rPr>
                <w:rFonts w:ascii="Calibri" w:hint="eastAsia"/>
                <w:color w:val="auto"/>
                <w:szCs w:val="21"/>
              </w:rPr>
              <w:t>龚店镇</w:t>
            </w:r>
          </w:p>
        </w:tc>
        <w:tc>
          <w:tcPr>
            <w:tcW w:w="1114" w:type="dxa"/>
            <w:vAlign w:val="center"/>
          </w:tcPr>
          <w:p w14:paraId="560DCA5C"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6A191E23" w14:textId="77777777" w:rsidR="00C4539F" w:rsidRDefault="00C4539F" w:rsidP="00C4539F">
            <w:pPr>
              <w:jc w:val="center"/>
              <w:rPr>
                <w:rFonts w:ascii="Calibri" w:hAnsi="Calibri"/>
                <w:color w:val="auto"/>
                <w:szCs w:val="21"/>
              </w:rPr>
            </w:pPr>
            <w:r>
              <w:rPr>
                <w:rFonts w:ascii="Calibri" w:hAnsi="Calibri" w:hint="eastAsia"/>
                <w:color w:val="auto"/>
                <w:szCs w:val="21"/>
              </w:rPr>
              <w:t>1030</w:t>
            </w:r>
          </w:p>
        </w:tc>
        <w:tc>
          <w:tcPr>
            <w:tcW w:w="1559" w:type="dxa"/>
            <w:gridSpan w:val="2"/>
            <w:vAlign w:val="center"/>
          </w:tcPr>
          <w:p w14:paraId="60A60213"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5BAA792E" w14:textId="77777777" w:rsidR="00C4539F" w:rsidRPr="00A964FF" w:rsidRDefault="00C4539F" w:rsidP="00C4539F">
            <w:pPr>
              <w:jc w:val="center"/>
              <w:rPr>
                <w:rFonts w:ascii="Calibri" w:hAnsi="Calibri"/>
                <w:color w:val="auto"/>
                <w:szCs w:val="21"/>
              </w:rPr>
            </w:pPr>
            <w:r w:rsidRPr="00623F1E">
              <w:rPr>
                <w:rFonts w:ascii="Calibri" w:hAnsi="Calibri" w:hint="eastAsia"/>
                <w:szCs w:val="21"/>
              </w:rPr>
              <w:t>3650</w:t>
            </w:r>
          </w:p>
        </w:tc>
      </w:tr>
      <w:tr w:rsidR="00C4539F" w:rsidRPr="00A964FF" w14:paraId="5E110554" w14:textId="77777777" w:rsidTr="00BD220E">
        <w:trPr>
          <w:trHeight w:val="340"/>
        </w:trPr>
        <w:tc>
          <w:tcPr>
            <w:tcW w:w="802" w:type="dxa"/>
            <w:vMerge/>
            <w:tcMar>
              <w:left w:w="113" w:type="dxa"/>
              <w:right w:w="113" w:type="dxa"/>
            </w:tcMar>
            <w:vAlign w:val="center"/>
          </w:tcPr>
          <w:p w14:paraId="7A56DDE6" w14:textId="77777777" w:rsidR="00C4539F" w:rsidRPr="00A964FF" w:rsidRDefault="00C4539F" w:rsidP="00C4539F">
            <w:pPr>
              <w:jc w:val="center"/>
              <w:rPr>
                <w:rFonts w:ascii="Calibri" w:hAnsi="Calibri"/>
                <w:bCs/>
                <w:color w:val="auto"/>
                <w:szCs w:val="21"/>
              </w:rPr>
            </w:pPr>
          </w:p>
        </w:tc>
        <w:tc>
          <w:tcPr>
            <w:tcW w:w="992" w:type="dxa"/>
            <w:vAlign w:val="center"/>
          </w:tcPr>
          <w:p w14:paraId="718BCCF8" w14:textId="77777777" w:rsidR="00C4539F" w:rsidRDefault="00C4539F" w:rsidP="00C4539F">
            <w:pPr>
              <w:jc w:val="center"/>
              <w:rPr>
                <w:rFonts w:ascii="Calibri" w:hAnsi="Calibri"/>
                <w:bCs/>
                <w:color w:val="auto"/>
                <w:szCs w:val="21"/>
              </w:rPr>
            </w:pPr>
            <w:r>
              <w:rPr>
                <w:rFonts w:ascii="Calibri" w:hAnsi="Calibri" w:hint="eastAsia"/>
                <w:bCs/>
                <w:color w:val="auto"/>
                <w:szCs w:val="21"/>
              </w:rPr>
              <w:t>31</w:t>
            </w:r>
          </w:p>
        </w:tc>
        <w:tc>
          <w:tcPr>
            <w:tcW w:w="1721" w:type="dxa"/>
            <w:gridSpan w:val="2"/>
            <w:tcMar>
              <w:left w:w="113" w:type="dxa"/>
              <w:right w:w="113" w:type="dxa"/>
            </w:tcMar>
            <w:vAlign w:val="center"/>
          </w:tcPr>
          <w:p w14:paraId="1B432F39" w14:textId="77777777" w:rsidR="00C4539F" w:rsidRDefault="00C4539F" w:rsidP="00C4539F">
            <w:pPr>
              <w:jc w:val="center"/>
              <w:rPr>
                <w:rFonts w:ascii="Calibri"/>
                <w:color w:val="auto"/>
                <w:szCs w:val="21"/>
              </w:rPr>
            </w:pPr>
            <w:r>
              <w:rPr>
                <w:rFonts w:ascii="Calibri" w:hint="eastAsia"/>
                <w:color w:val="auto"/>
                <w:szCs w:val="21"/>
              </w:rPr>
              <w:t>管委会</w:t>
            </w:r>
          </w:p>
        </w:tc>
        <w:tc>
          <w:tcPr>
            <w:tcW w:w="1114" w:type="dxa"/>
            <w:vAlign w:val="center"/>
          </w:tcPr>
          <w:p w14:paraId="7B774B2F"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2A8C5418" w14:textId="77777777" w:rsidR="00C4539F" w:rsidRDefault="00276EE9" w:rsidP="00C4539F">
            <w:pPr>
              <w:jc w:val="center"/>
              <w:rPr>
                <w:rFonts w:ascii="Calibri" w:hAnsi="Calibri"/>
                <w:color w:val="auto"/>
                <w:szCs w:val="21"/>
              </w:rPr>
            </w:pPr>
            <w:r>
              <w:rPr>
                <w:rFonts w:ascii="Calibri" w:hAnsi="Calibri" w:hint="eastAsia"/>
                <w:color w:val="auto"/>
                <w:szCs w:val="21"/>
              </w:rPr>
              <w:t>2260</w:t>
            </w:r>
          </w:p>
        </w:tc>
        <w:tc>
          <w:tcPr>
            <w:tcW w:w="1559" w:type="dxa"/>
            <w:gridSpan w:val="2"/>
            <w:vAlign w:val="center"/>
          </w:tcPr>
          <w:p w14:paraId="6482E6AC"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办公</w:t>
            </w:r>
          </w:p>
        </w:tc>
        <w:tc>
          <w:tcPr>
            <w:tcW w:w="1418" w:type="dxa"/>
            <w:vAlign w:val="center"/>
          </w:tcPr>
          <w:p w14:paraId="0CD8390B" w14:textId="77777777" w:rsidR="00C4539F" w:rsidRPr="00A964FF" w:rsidRDefault="00A85B3D" w:rsidP="00C4539F">
            <w:pPr>
              <w:jc w:val="center"/>
              <w:rPr>
                <w:rFonts w:ascii="Calibri" w:hAnsi="Calibri"/>
                <w:color w:val="auto"/>
                <w:szCs w:val="21"/>
              </w:rPr>
            </w:pPr>
            <w:r>
              <w:rPr>
                <w:rFonts w:ascii="Calibri" w:hAnsi="Calibri" w:hint="eastAsia"/>
                <w:color w:val="auto"/>
                <w:szCs w:val="21"/>
              </w:rPr>
              <w:t>100</w:t>
            </w:r>
          </w:p>
        </w:tc>
      </w:tr>
      <w:tr w:rsidR="00C4539F" w:rsidRPr="00A964FF" w14:paraId="0DC67331" w14:textId="77777777" w:rsidTr="00A85B3D">
        <w:trPr>
          <w:trHeight w:val="340"/>
        </w:trPr>
        <w:tc>
          <w:tcPr>
            <w:tcW w:w="802" w:type="dxa"/>
            <w:vMerge/>
            <w:tcMar>
              <w:left w:w="113" w:type="dxa"/>
              <w:right w:w="113" w:type="dxa"/>
            </w:tcMar>
            <w:vAlign w:val="center"/>
          </w:tcPr>
          <w:p w14:paraId="4E065968" w14:textId="77777777" w:rsidR="00C4539F" w:rsidRPr="00A964FF" w:rsidRDefault="00C4539F" w:rsidP="00C4539F">
            <w:pPr>
              <w:jc w:val="center"/>
              <w:rPr>
                <w:rFonts w:ascii="Calibri" w:hAnsi="Calibri"/>
                <w:bCs/>
                <w:color w:val="auto"/>
                <w:szCs w:val="21"/>
              </w:rPr>
            </w:pPr>
          </w:p>
        </w:tc>
        <w:tc>
          <w:tcPr>
            <w:tcW w:w="992" w:type="dxa"/>
            <w:vAlign w:val="center"/>
          </w:tcPr>
          <w:p w14:paraId="64A0C837" w14:textId="77777777" w:rsidR="00C4539F" w:rsidRDefault="00C4539F" w:rsidP="00C4539F">
            <w:pPr>
              <w:jc w:val="center"/>
              <w:rPr>
                <w:rFonts w:ascii="Calibri" w:hAnsi="Calibri"/>
                <w:bCs/>
                <w:color w:val="auto"/>
                <w:szCs w:val="21"/>
              </w:rPr>
            </w:pPr>
            <w:r>
              <w:rPr>
                <w:rFonts w:ascii="Calibri" w:hAnsi="Calibri" w:hint="eastAsia"/>
                <w:bCs/>
                <w:color w:val="auto"/>
                <w:szCs w:val="21"/>
              </w:rPr>
              <w:t>32</w:t>
            </w:r>
          </w:p>
        </w:tc>
        <w:tc>
          <w:tcPr>
            <w:tcW w:w="1721" w:type="dxa"/>
            <w:gridSpan w:val="2"/>
            <w:tcMar>
              <w:left w:w="113" w:type="dxa"/>
              <w:right w:w="113" w:type="dxa"/>
            </w:tcMar>
            <w:vAlign w:val="center"/>
          </w:tcPr>
          <w:p w14:paraId="072DD33B" w14:textId="77777777" w:rsidR="00C4539F" w:rsidRDefault="00C4539F" w:rsidP="00C4539F">
            <w:pPr>
              <w:jc w:val="center"/>
              <w:rPr>
                <w:rFonts w:ascii="Calibri"/>
                <w:color w:val="auto"/>
                <w:szCs w:val="21"/>
              </w:rPr>
            </w:pPr>
            <w:r>
              <w:rPr>
                <w:rFonts w:ascii="Calibri" w:hint="eastAsia"/>
                <w:color w:val="auto"/>
                <w:szCs w:val="21"/>
              </w:rPr>
              <w:t>叶寨</w:t>
            </w:r>
            <w:r>
              <w:rPr>
                <w:rFonts w:ascii="Calibri"/>
                <w:color w:val="auto"/>
                <w:szCs w:val="21"/>
              </w:rPr>
              <w:t>村</w:t>
            </w:r>
          </w:p>
        </w:tc>
        <w:tc>
          <w:tcPr>
            <w:tcW w:w="1114" w:type="dxa"/>
            <w:vAlign w:val="center"/>
          </w:tcPr>
          <w:p w14:paraId="040D2B78"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08495471" w14:textId="77777777" w:rsidR="00C4539F" w:rsidRDefault="00276EE9" w:rsidP="00C4539F">
            <w:pPr>
              <w:jc w:val="center"/>
              <w:rPr>
                <w:rFonts w:ascii="Calibri" w:hAnsi="Calibri"/>
                <w:color w:val="auto"/>
                <w:szCs w:val="21"/>
              </w:rPr>
            </w:pPr>
            <w:r>
              <w:rPr>
                <w:rFonts w:ascii="Calibri" w:hAnsi="Calibri" w:hint="eastAsia"/>
                <w:color w:val="auto"/>
                <w:szCs w:val="21"/>
              </w:rPr>
              <w:t>3340</w:t>
            </w:r>
          </w:p>
        </w:tc>
        <w:tc>
          <w:tcPr>
            <w:tcW w:w="1559" w:type="dxa"/>
            <w:gridSpan w:val="2"/>
          </w:tcPr>
          <w:p w14:paraId="00392F39" w14:textId="77777777" w:rsidR="00C4539F" w:rsidRPr="00A84E4C" w:rsidRDefault="00C4539F" w:rsidP="00C4539F">
            <w:pPr>
              <w:jc w:val="center"/>
              <w:rPr>
                <w:rFonts w:ascii="Calibri" w:hAnsi="Calibri"/>
                <w:color w:val="auto"/>
                <w:szCs w:val="21"/>
              </w:rPr>
            </w:pPr>
            <w:r w:rsidRPr="00134213">
              <w:rPr>
                <w:rFonts w:ascii="Calibri" w:hAnsi="Calibri" w:hint="eastAsia"/>
                <w:color w:val="auto"/>
                <w:szCs w:val="21"/>
              </w:rPr>
              <w:t>居住区</w:t>
            </w:r>
          </w:p>
        </w:tc>
        <w:tc>
          <w:tcPr>
            <w:tcW w:w="1418" w:type="dxa"/>
            <w:vAlign w:val="center"/>
          </w:tcPr>
          <w:p w14:paraId="2CD54BB7"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720</w:t>
            </w:r>
          </w:p>
        </w:tc>
      </w:tr>
      <w:tr w:rsidR="00C4539F" w:rsidRPr="00A964FF" w14:paraId="23D44328" w14:textId="77777777" w:rsidTr="00A85B3D">
        <w:trPr>
          <w:trHeight w:val="340"/>
        </w:trPr>
        <w:tc>
          <w:tcPr>
            <w:tcW w:w="802" w:type="dxa"/>
            <w:vMerge/>
            <w:tcMar>
              <w:left w:w="113" w:type="dxa"/>
              <w:right w:w="113" w:type="dxa"/>
            </w:tcMar>
            <w:vAlign w:val="center"/>
          </w:tcPr>
          <w:p w14:paraId="113DDA26" w14:textId="77777777" w:rsidR="00C4539F" w:rsidRPr="00A964FF" w:rsidRDefault="00C4539F" w:rsidP="00C4539F">
            <w:pPr>
              <w:jc w:val="center"/>
              <w:rPr>
                <w:rFonts w:ascii="Calibri" w:hAnsi="Calibri"/>
                <w:bCs/>
                <w:color w:val="auto"/>
                <w:szCs w:val="21"/>
              </w:rPr>
            </w:pPr>
          </w:p>
        </w:tc>
        <w:tc>
          <w:tcPr>
            <w:tcW w:w="992" w:type="dxa"/>
            <w:vAlign w:val="center"/>
          </w:tcPr>
          <w:p w14:paraId="0CE691E4" w14:textId="77777777" w:rsidR="00C4539F" w:rsidRDefault="00C4539F" w:rsidP="00C4539F">
            <w:pPr>
              <w:jc w:val="center"/>
              <w:rPr>
                <w:rFonts w:ascii="Calibri" w:hAnsi="Calibri"/>
                <w:bCs/>
                <w:color w:val="auto"/>
                <w:szCs w:val="21"/>
              </w:rPr>
            </w:pPr>
            <w:r>
              <w:rPr>
                <w:rFonts w:ascii="Calibri" w:hAnsi="Calibri" w:hint="eastAsia"/>
                <w:bCs/>
                <w:color w:val="auto"/>
                <w:szCs w:val="21"/>
              </w:rPr>
              <w:t>33</w:t>
            </w:r>
          </w:p>
        </w:tc>
        <w:tc>
          <w:tcPr>
            <w:tcW w:w="1721" w:type="dxa"/>
            <w:gridSpan w:val="2"/>
            <w:tcMar>
              <w:left w:w="113" w:type="dxa"/>
              <w:right w:w="113" w:type="dxa"/>
            </w:tcMar>
            <w:vAlign w:val="center"/>
          </w:tcPr>
          <w:p w14:paraId="04778025" w14:textId="77777777" w:rsidR="00C4539F" w:rsidRDefault="00C4539F" w:rsidP="00C4539F">
            <w:pPr>
              <w:jc w:val="center"/>
              <w:rPr>
                <w:rFonts w:ascii="Calibri"/>
                <w:color w:val="auto"/>
                <w:szCs w:val="21"/>
              </w:rPr>
            </w:pPr>
            <w:r>
              <w:rPr>
                <w:rFonts w:ascii="Calibri" w:hint="eastAsia"/>
                <w:color w:val="auto"/>
                <w:szCs w:val="21"/>
              </w:rPr>
              <w:t>小张庄</w:t>
            </w:r>
          </w:p>
        </w:tc>
        <w:tc>
          <w:tcPr>
            <w:tcW w:w="1114" w:type="dxa"/>
            <w:vAlign w:val="center"/>
          </w:tcPr>
          <w:p w14:paraId="777BB446"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5FBFE168" w14:textId="77777777" w:rsidR="00C4539F" w:rsidRDefault="00276EE9" w:rsidP="00C4539F">
            <w:pPr>
              <w:jc w:val="center"/>
              <w:rPr>
                <w:rFonts w:ascii="Calibri" w:hAnsi="Calibri"/>
                <w:color w:val="auto"/>
                <w:szCs w:val="21"/>
              </w:rPr>
            </w:pPr>
            <w:r>
              <w:rPr>
                <w:rFonts w:ascii="Calibri" w:hAnsi="Calibri" w:hint="eastAsia"/>
                <w:color w:val="auto"/>
                <w:szCs w:val="21"/>
              </w:rPr>
              <w:t>2787</w:t>
            </w:r>
          </w:p>
        </w:tc>
        <w:tc>
          <w:tcPr>
            <w:tcW w:w="1559" w:type="dxa"/>
            <w:gridSpan w:val="2"/>
          </w:tcPr>
          <w:p w14:paraId="5F3735E9" w14:textId="77777777" w:rsidR="00C4539F" w:rsidRPr="00A84E4C" w:rsidRDefault="00C4539F" w:rsidP="00C4539F">
            <w:pPr>
              <w:jc w:val="center"/>
              <w:rPr>
                <w:rFonts w:ascii="Calibri" w:hAnsi="Calibri"/>
                <w:color w:val="auto"/>
                <w:szCs w:val="21"/>
              </w:rPr>
            </w:pPr>
            <w:r w:rsidRPr="00134213">
              <w:rPr>
                <w:rFonts w:ascii="Calibri" w:hAnsi="Calibri" w:hint="eastAsia"/>
                <w:color w:val="auto"/>
                <w:szCs w:val="21"/>
              </w:rPr>
              <w:t>居住区</w:t>
            </w:r>
          </w:p>
        </w:tc>
        <w:tc>
          <w:tcPr>
            <w:tcW w:w="1418" w:type="dxa"/>
            <w:vAlign w:val="center"/>
          </w:tcPr>
          <w:p w14:paraId="641C1165"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126</w:t>
            </w:r>
          </w:p>
        </w:tc>
      </w:tr>
      <w:tr w:rsidR="00C4539F" w:rsidRPr="00A964FF" w14:paraId="6DE6A1F6" w14:textId="77777777" w:rsidTr="00A85B3D">
        <w:trPr>
          <w:trHeight w:val="340"/>
        </w:trPr>
        <w:tc>
          <w:tcPr>
            <w:tcW w:w="802" w:type="dxa"/>
            <w:vMerge/>
            <w:tcMar>
              <w:left w:w="113" w:type="dxa"/>
              <w:right w:w="113" w:type="dxa"/>
            </w:tcMar>
            <w:vAlign w:val="center"/>
          </w:tcPr>
          <w:p w14:paraId="21212BDA" w14:textId="77777777" w:rsidR="00C4539F" w:rsidRPr="00A964FF" w:rsidRDefault="00C4539F" w:rsidP="00C4539F">
            <w:pPr>
              <w:jc w:val="center"/>
              <w:rPr>
                <w:rFonts w:ascii="Calibri" w:hAnsi="Calibri"/>
                <w:bCs/>
                <w:color w:val="auto"/>
                <w:szCs w:val="21"/>
              </w:rPr>
            </w:pPr>
          </w:p>
        </w:tc>
        <w:tc>
          <w:tcPr>
            <w:tcW w:w="992" w:type="dxa"/>
            <w:vAlign w:val="center"/>
          </w:tcPr>
          <w:p w14:paraId="109C0744" w14:textId="77777777" w:rsidR="00C4539F" w:rsidRDefault="00C4539F" w:rsidP="00C4539F">
            <w:pPr>
              <w:jc w:val="center"/>
              <w:rPr>
                <w:rFonts w:ascii="Calibri" w:hAnsi="Calibri"/>
                <w:bCs/>
                <w:color w:val="auto"/>
                <w:szCs w:val="21"/>
              </w:rPr>
            </w:pPr>
            <w:r>
              <w:rPr>
                <w:rFonts w:ascii="Calibri" w:hAnsi="Calibri" w:hint="eastAsia"/>
                <w:bCs/>
                <w:color w:val="auto"/>
                <w:szCs w:val="21"/>
              </w:rPr>
              <w:t>34</w:t>
            </w:r>
          </w:p>
        </w:tc>
        <w:tc>
          <w:tcPr>
            <w:tcW w:w="1721" w:type="dxa"/>
            <w:gridSpan w:val="2"/>
            <w:tcMar>
              <w:left w:w="113" w:type="dxa"/>
              <w:right w:w="113" w:type="dxa"/>
            </w:tcMar>
            <w:vAlign w:val="center"/>
          </w:tcPr>
          <w:p w14:paraId="4CCF709A" w14:textId="77777777" w:rsidR="00C4539F" w:rsidRDefault="00C4539F" w:rsidP="00C4539F">
            <w:pPr>
              <w:jc w:val="center"/>
              <w:rPr>
                <w:rFonts w:ascii="Calibri"/>
                <w:color w:val="auto"/>
                <w:szCs w:val="21"/>
              </w:rPr>
            </w:pPr>
            <w:r>
              <w:rPr>
                <w:rFonts w:ascii="Calibri" w:hint="eastAsia"/>
                <w:color w:val="auto"/>
                <w:szCs w:val="21"/>
              </w:rPr>
              <w:t>史</w:t>
            </w:r>
            <w:r>
              <w:rPr>
                <w:rFonts w:ascii="Calibri"/>
                <w:color w:val="auto"/>
                <w:szCs w:val="21"/>
              </w:rPr>
              <w:t>堂村</w:t>
            </w:r>
          </w:p>
        </w:tc>
        <w:tc>
          <w:tcPr>
            <w:tcW w:w="1114" w:type="dxa"/>
            <w:vAlign w:val="center"/>
          </w:tcPr>
          <w:p w14:paraId="4D1FA6ED"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5253A9EA" w14:textId="77777777" w:rsidR="00C4539F" w:rsidRDefault="00276EE9" w:rsidP="00C4539F">
            <w:pPr>
              <w:jc w:val="center"/>
              <w:rPr>
                <w:rFonts w:ascii="Calibri" w:hAnsi="Calibri"/>
                <w:color w:val="auto"/>
                <w:szCs w:val="21"/>
              </w:rPr>
            </w:pPr>
            <w:r>
              <w:rPr>
                <w:rFonts w:ascii="Calibri" w:hAnsi="Calibri" w:hint="eastAsia"/>
                <w:color w:val="auto"/>
                <w:szCs w:val="21"/>
              </w:rPr>
              <w:t>4510</w:t>
            </w:r>
          </w:p>
        </w:tc>
        <w:tc>
          <w:tcPr>
            <w:tcW w:w="1559" w:type="dxa"/>
            <w:gridSpan w:val="2"/>
          </w:tcPr>
          <w:p w14:paraId="6EAA4B59" w14:textId="77777777" w:rsidR="00C4539F" w:rsidRPr="00A84E4C" w:rsidRDefault="00C4539F" w:rsidP="00C4539F">
            <w:pPr>
              <w:jc w:val="center"/>
              <w:rPr>
                <w:rFonts w:ascii="Calibri" w:hAnsi="Calibri"/>
                <w:color w:val="auto"/>
                <w:szCs w:val="21"/>
              </w:rPr>
            </w:pPr>
            <w:r w:rsidRPr="00134213">
              <w:rPr>
                <w:rFonts w:ascii="Calibri" w:hAnsi="Calibri" w:hint="eastAsia"/>
                <w:color w:val="auto"/>
                <w:szCs w:val="21"/>
              </w:rPr>
              <w:t>居住区</w:t>
            </w:r>
          </w:p>
        </w:tc>
        <w:tc>
          <w:tcPr>
            <w:tcW w:w="1418" w:type="dxa"/>
            <w:vAlign w:val="center"/>
          </w:tcPr>
          <w:p w14:paraId="16199144"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380</w:t>
            </w:r>
          </w:p>
        </w:tc>
      </w:tr>
      <w:tr w:rsidR="00C4539F" w:rsidRPr="00A964FF" w14:paraId="68FB7560" w14:textId="77777777" w:rsidTr="00A85B3D">
        <w:trPr>
          <w:trHeight w:val="340"/>
        </w:trPr>
        <w:tc>
          <w:tcPr>
            <w:tcW w:w="802" w:type="dxa"/>
            <w:vMerge/>
            <w:tcMar>
              <w:left w:w="113" w:type="dxa"/>
              <w:right w:w="113" w:type="dxa"/>
            </w:tcMar>
            <w:vAlign w:val="center"/>
          </w:tcPr>
          <w:p w14:paraId="43E0466A" w14:textId="77777777" w:rsidR="00C4539F" w:rsidRPr="00A964FF" w:rsidRDefault="00C4539F" w:rsidP="00C4539F">
            <w:pPr>
              <w:jc w:val="center"/>
              <w:rPr>
                <w:rFonts w:ascii="Calibri" w:hAnsi="Calibri"/>
                <w:bCs/>
                <w:color w:val="auto"/>
                <w:szCs w:val="21"/>
              </w:rPr>
            </w:pPr>
          </w:p>
        </w:tc>
        <w:tc>
          <w:tcPr>
            <w:tcW w:w="992" w:type="dxa"/>
            <w:vAlign w:val="center"/>
          </w:tcPr>
          <w:p w14:paraId="0DFA27A7" w14:textId="77777777" w:rsidR="00C4539F" w:rsidRDefault="00C4539F" w:rsidP="00C4539F">
            <w:pPr>
              <w:jc w:val="center"/>
              <w:rPr>
                <w:rFonts w:ascii="Calibri" w:hAnsi="Calibri"/>
                <w:bCs/>
                <w:color w:val="auto"/>
                <w:szCs w:val="21"/>
              </w:rPr>
            </w:pPr>
            <w:r>
              <w:rPr>
                <w:rFonts w:ascii="Calibri" w:hAnsi="Calibri" w:hint="eastAsia"/>
                <w:bCs/>
                <w:color w:val="auto"/>
                <w:szCs w:val="21"/>
              </w:rPr>
              <w:t>35</w:t>
            </w:r>
          </w:p>
        </w:tc>
        <w:tc>
          <w:tcPr>
            <w:tcW w:w="1721" w:type="dxa"/>
            <w:gridSpan w:val="2"/>
            <w:tcMar>
              <w:left w:w="113" w:type="dxa"/>
              <w:right w:w="113" w:type="dxa"/>
            </w:tcMar>
            <w:vAlign w:val="center"/>
          </w:tcPr>
          <w:p w14:paraId="50CFEEA9" w14:textId="77777777" w:rsidR="00C4539F" w:rsidRDefault="00C4539F" w:rsidP="00C4539F">
            <w:pPr>
              <w:jc w:val="center"/>
              <w:rPr>
                <w:rFonts w:ascii="Calibri"/>
                <w:color w:val="auto"/>
                <w:szCs w:val="21"/>
              </w:rPr>
            </w:pPr>
            <w:r>
              <w:rPr>
                <w:rFonts w:ascii="Calibri" w:hint="eastAsia"/>
                <w:color w:val="auto"/>
                <w:szCs w:val="21"/>
              </w:rPr>
              <w:t>水牛</w:t>
            </w:r>
            <w:r>
              <w:rPr>
                <w:rFonts w:ascii="Calibri"/>
                <w:color w:val="auto"/>
                <w:szCs w:val="21"/>
              </w:rPr>
              <w:t>杜村</w:t>
            </w:r>
          </w:p>
        </w:tc>
        <w:tc>
          <w:tcPr>
            <w:tcW w:w="1114" w:type="dxa"/>
            <w:vAlign w:val="center"/>
          </w:tcPr>
          <w:p w14:paraId="54039DB0"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29C5500A" w14:textId="77777777" w:rsidR="00C4539F" w:rsidRDefault="00276EE9" w:rsidP="00C4539F">
            <w:pPr>
              <w:jc w:val="center"/>
              <w:rPr>
                <w:rFonts w:ascii="Calibri" w:hAnsi="Calibri"/>
                <w:color w:val="auto"/>
                <w:szCs w:val="21"/>
              </w:rPr>
            </w:pPr>
            <w:r>
              <w:rPr>
                <w:rFonts w:ascii="Calibri" w:hAnsi="Calibri" w:hint="eastAsia"/>
                <w:color w:val="auto"/>
                <w:szCs w:val="21"/>
              </w:rPr>
              <w:t>4206</w:t>
            </w:r>
          </w:p>
        </w:tc>
        <w:tc>
          <w:tcPr>
            <w:tcW w:w="1559" w:type="dxa"/>
            <w:gridSpan w:val="2"/>
          </w:tcPr>
          <w:p w14:paraId="119C6714" w14:textId="77777777" w:rsidR="00C4539F" w:rsidRPr="00A84E4C" w:rsidRDefault="00C4539F" w:rsidP="00C4539F">
            <w:pPr>
              <w:jc w:val="center"/>
              <w:rPr>
                <w:rFonts w:ascii="Calibri" w:hAnsi="Calibri"/>
                <w:color w:val="auto"/>
                <w:szCs w:val="21"/>
              </w:rPr>
            </w:pPr>
            <w:r w:rsidRPr="00134213">
              <w:rPr>
                <w:rFonts w:ascii="Calibri" w:hAnsi="Calibri" w:hint="eastAsia"/>
                <w:color w:val="auto"/>
                <w:szCs w:val="21"/>
              </w:rPr>
              <w:t>居住区</w:t>
            </w:r>
          </w:p>
        </w:tc>
        <w:tc>
          <w:tcPr>
            <w:tcW w:w="1418" w:type="dxa"/>
            <w:vAlign w:val="center"/>
          </w:tcPr>
          <w:p w14:paraId="382B1CC5"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1500</w:t>
            </w:r>
          </w:p>
        </w:tc>
      </w:tr>
      <w:tr w:rsidR="00C4539F" w:rsidRPr="00A964FF" w14:paraId="46554845" w14:textId="77777777" w:rsidTr="00A85B3D">
        <w:trPr>
          <w:trHeight w:val="340"/>
        </w:trPr>
        <w:tc>
          <w:tcPr>
            <w:tcW w:w="802" w:type="dxa"/>
            <w:vMerge/>
            <w:tcMar>
              <w:left w:w="113" w:type="dxa"/>
              <w:right w:w="113" w:type="dxa"/>
            </w:tcMar>
            <w:vAlign w:val="center"/>
          </w:tcPr>
          <w:p w14:paraId="11D2CC7A" w14:textId="77777777" w:rsidR="00C4539F" w:rsidRPr="00A964FF" w:rsidRDefault="00C4539F" w:rsidP="00C4539F">
            <w:pPr>
              <w:jc w:val="center"/>
              <w:rPr>
                <w:rFonts w:ascii="Calibri" w:hAnsi="Calibri"/>
                <w:bCs/>
                <w:color w:val="auto"/>
                <w:szCs w:val="21"/>
              </w:rPr>
            </w:pPr>
          </w:p>
        </w:tc>
        <w:tc>
          <w:tcPr>
            <w:tcW w:w="992" w:type="dxa"/>
            <w:vAlign w:val="center"/>
          </w:tcPr>
          <w:p w14:paraId="5EFB2DAC" w14:textId="77777777" w:rsidR="00C4539F" w:rsidRDefault="00C4539F" w:rsidP="00C4539F">
            <w:pPr>
              <w:jc w:val="center"/>
              <w:rPr>
                <w:rFonts w:ascii="Calibri" w:hAnsi="Calibri"/>
                <w:bCs/>
                <w:color w:val="auto"/>
                <w:szCs w:val="21"/>
              </w:rPr>
            </w:pPr>
            <w:r>
              <w:rPr>
                <w:rFonts w:ascii="Calibri" w:hAnsi="Calibri" w:hint="eastAsia"/>
                <w:bCs/>
                <w:color w:val="auto"/>
                <w:szCs w:val="21"/>
              </w:rPr>
              <w:t>36</w:t>
            </w:r>
          </w:p>
        </w:tc>
        <w:tc>
          <w:tcPr>
            <w:tcW w:w="1721" w:type="dxa"/>
            <w:gridSpan w:val="2"/>
            <w:tcMar>
              <w:left w:w="113" w:type="dxa"/>
              <w:right w:w="113" w:type="dxa"/>
            </w:tcMar>
            <w:vAlign w:val="center"/>
          </w:tcPr>
          <w:p w14:paraId="65141904" w14:textId="77777777" w:rsidR="00C4539F" w:rsidRDefault="00C4539F" w:rsidP="00C4539F">
            <w:pPr>
              <w:jc w:val="center"/>
              <w:rPr>
                <w:rFonts w:ascii="Calibri"/>
                <w:color w:val="auto"/>
                <w:szCs w:val="21"/>
              </w:rPr>
            </w:pPr>
            <w:r>
              <w:rPr>
                <w:rFonts w:ascii="Calibri" w:hint="eastAsia"/>
                <w:color w:val="auto"/>
                <w:szCs w:val="21"/>
              </w:rPr>
              <w:t>仡佬张村</w:t>
            </w:r>
          </w:p>
        </w:tc>
        <w:tc>
          <w:tcPr>
            <w:tcW w:w="1114" w:type="dxa"/>
            <w:vAlign w:val="center"/>
          </w:tcPr>
          <w:p w14:paraId="4F10A01E"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4BDB8DCB" w14:textId="77777777" w:rsidR="00C4539F" w:rsidRDefault="00276EE9" w:rsidP="00C4539F">
            <w:pPr>
              <w:jc w:val="center"/>
              <w:rPr>
                <w:rFonts w:ascii="Calibri" w:hAnsi="Calibri"/>
                <w:color w:val="auto"/>
                <w:szCs w:val="21"/>
              </w:rPr>
            </w:pPr>
            <w:r>
              <w:rPr>
                <w:rFonts w:ascii="Calibri" w:hAnsi="Calibri" w:hint="eastAsia"/>
                <w:color w:val="auto"/>
                <w:szCs w:val="21"/>
              </w:rPr>
              <w:t>3780</w:t>
            </w:r>
          </w:p>
        </w:tc>
        <w:tc>
          <w:tcPr>
            <w:tcW w:w="1559" w:type="dxa"/>
            <w:gridSpan w:val="2"/>
          </w:tcPr>
          <w:p w14:paraId="40DB77FE" w14:textId="77777777" w:rsidR="00C4539F" w:rsidRPr="00A84E4C" w:rsidRDefault="00C4539F" w:rsidP="00C4539F">
            <w:pPr>
              <w:jc w:val="center"/>
              <w:rPr>
                <w:rFonts w:ascii="Calibri" w:hAnsi="Calibri"/>
                <w:color w:val="auto"/>
                <w:szCs w:val="21"/>
              </w:rPr>
            </w:pPr>
            <w:r w:rsidRPr="00134213">
              <w:rPr>
                <w:rFonts w:ascii="Calibri" w:hAnsi="Calibri" w:hint="eastAsia"/>
                <w:color w:val="auto"/>
                <w:szCs w:val="21"/>
              </w:rPr>
              <w:t>居住区</w:t>
            </w:r>
          </w:p>
        </w:tc>
        <w:tc>
          <w:tcPr>
            <w:tcW w:w="1418" w:type="dxa"/>
            <w:vAlign w:val="center"/>
          </w:tcPr>
          <w:p w14:paraId="3E971D8C"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200</w:t>
            </w:r>
          </w:p>
        </w:tc>
      </w:tr>
      <w:tr w:rsidR="00C4539F" w:rsidRPr="00A964FF" w14:paraId="393EDFB1" w14:textId="77777777" w:rsidTr="00A85B3D">
        <w:trPr>
          <w:trHeight w:val="340"/>
        </w:trPr>
        <w:tc>
          <w:tcPr>
            <w:tcW w:w="802" w:type="dxa"/>
            <w:vMerge/>
            <w:tcMar>
              <w:left w:w="113" w:type="dxa"/>
              <w:right w:w="113" w:type="dxa"/>
            </w:tcMar>
            <w:vAlign w:val="center"/>
          </w:tcPr>
          <w:p w14:paraId="50C252B0" w14:textId="77777777" w:rsidR="00C4539F" w:rsidRPr="00A964FF" w:rsidRDefault="00C4539F" w:rsidP="00C4539F">
            <w:pPr>
              <w:jc w:val="center"/>
              <w:rPr>
                <w:rFonts w:ascii="Calibri" w:hAnsi="Calibri"/>
                <w:bCs/>
                <w:color w:val="auto"/>
                <w:szCs w:val="21"/>
              </w:rPr>
            </w:pPr>
          </w:p>
        </w:tc>
        <w:tc>
          <w:tcPr>
            <w:tcW w:w="992" w:type="dxa"/>
            <w:vAlign w:val="center"/>
          </w:tcPr>
          <w:p w14:paraId="49EAF8B0" w14:textId="77777777" w:rsidR="00C4539F" w:rsidRDefault="00C4539F" w:rsidP="00C4539F">
            <w:pPr>
              <w:jc w:val="center"/>
              <w:rPr>
                <w:rFonts w:ascii="Calibri" w:hAnsi="Calibri"/>
                <w:bCs/>
                <w:color w:val="auto"/>
                <w:szCs w:val="21"/>
              </w:rPr>
            </w:pPr>
            <w:r>
              <w:rPr>
                <w:rFonts w:ascii="Calibri" w:hAnsi="Calibri" w:hint="eastAsia"/>
                <w:bCs/>
                <w:color w:val="auto"/>
                <w:szCs w:val="21"/>
              </w:rPr>
              <w:t>37</w:t>
            </w:r>
          </w:p>
        </w:tc>
        <w:tc>
          <w:tcPr>
            <w:tcW w:w="1721" w:type="dxa"/>
            <w:gridSpan w:val="2"/>
            <w:tcMar>
              <w:left w:w="113" w:type="dxa"/>
              <w:right w:w="113" w:type="dxa"/>
            </w:tcMar>
            <w:vAlign w:val="center"/>
          </w:tcPr>
          <w:p w14:paraId="56534E1B" w14:textId="77777777" w:rsidR="00C4539F" w:rsidRDefault="00C4539F" w:rsidP="00C4539F">
            <w:pPr>
              <w:jc w:val="center"/>
              <w:rPr>
                <w:rFonts w:ascii="Calibri"/>
                <w:color w:val="auto"/>
                <w:szCs w:val="21"/>
              </w:rPr>
            </w:pPr>
            <w:r>
              <w:rPr>
                <w:rFonts w:ascii="Calibri" w:hint="eastAsia"/>
                <w:color w:val="auto"/>
                <w:szCs w:val="21"/>
              </w:rPr>
              <w:t>司</w:t>
            </w:r>
            <w:r>
              <w:rPr>
                <w:rFonts w:ascii="Calibri"/>
                <w:color w:val="auto"/>
                <w:szCs w:val="21"/>
              </w:rPr>
              <w:t>赵庄村</w:t>
            </w:r>
          </w:p>
        </w:tc>
        <w:tc>
          <w:tcPr>
            <w:tcW w:w="1114" w:type="dxa"/>
            <w:vAlign w:val="center"/>
          </w:tcPr>
          <w:p w14:paraId="54E8374D"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6B9E687A" w14:textId="77777777" w:rsidR="00C4539F" w:rsidRDefault="00276EE9" w:rsidP="00C4539F">
            <w:pPr>
              <w:jc w:val="center"/>
              <w:rPr>
                <w:rFonts w:ascii="Calibri" w:hAnsi="Calibri"/>
                <w:color w:val="auto"/>
                <w:szCs w:val="21"/>
              </w:rPr>
            </w:pPr>
            <w:r>
              <w:rPr>
                <w:rFonts w:ascii="Calibri" w:hAnsi="Calibri" w:hint="eastAsia"/>
                <w:color w:val="auto"/>
                <w:szCs w:val="21"/>
              </w:rPr>
              <w:t>3790</w:t>
            </w:r>
          </w:p>
        </w:tc>
        <w:tc>
          <w:tcPr>
            <w:tcW w:w="1559" w:type="dxa"/>
            <w:gridSpan w:val="2"/>
          </w:tcPr>
          <w:p w14:paraId="371AF28D"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1FD7EA29"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480</w:t>
            </w:r>
          </w:p>
        </w:tc>
      </w:tr>
      <w:tr w:rsidR="00C4539F" w:rsidRPr="00A964FF" w14:paraId="249CFDD1" w14:textId="77777777" w:rsidTr="00A85B3D">
        <w:trPr>
          <w:trHeight w:val="340"/>
        </w:trPr>
        <w:tc>
          <w:tcPr>
            <w:tcW w:w="802" w:type="dxa"/>
            <w:vMerge/>
            <w:tcMar>
              <w:left w:w="113" w:type="dxa"/>
              <w:right w:w="113" w:type="dxa"/>
            </w:tcMar>
            <w:vAlign w:val="center"/>
          </w:tcPr>
          <w:p w14:paraId="3C185701" w14:textId="77777777" w:rsidR="00C4539F" w:rsidRPr="00A964FF" w:rsidRDefault="00C4539F" w:rsidP="00C4539F">
            <w:pPr>
              <w:jc w:val="center"/>
              <w:rPr>
                <w:rFonts w:ascii="Calibri" w:hAnsi="Calibri"/>
                <w:bCs/>
                <w:color w:val="auto"/>
                <w:szCs w:val="21"/>
              </w:rPr>
            </w:pPr>
          </w:p>
        </w:tc>
        <w:tc>
          <w:tcPr>
            <w:tcW w:w="992" w:type="dxa"/>
            <w:vAlign w:val="center"/>
          </w:tcPr>
          <w:p w14:paraId="0CCE82B4" w14:textId="77777777" w:rsidR="00C4539F" w:rsidRDefault="00C4539F" w:rsidP="00C4539F">
            <w:pPr>
              <w:jc w:val="center"/>
              <w:rPr>
                <w:rFonts w:ascii="Calibri" w:hAnsi="Calibri"/>
                <w:bCs/>
                <w:color w:val="auto"/>
                <w:szCs w:val="21"/>
              </w:rPr>
            </w:pPr>
            <w:r>
              <w:rPr>
                <w:rFonts w:ascii="Calibri" w:hAnsi="Calibri" w:hint="eastAsia"/>
                <w:bCs/>
                <w:color w:val="auto"/>
                <w:szCs w:val="21"/>
              </w:rPr>
              <w:t>38</w:t>
            </w:r>
          </w:p>
        </w:tc>
        <w:tc>
          <w:tcPr>
            <w:tcW w:w="1721" w:type="dxa"/>
            <w:gridSpan w:val="2"/>
            <w:tcMar>
              <w:left w:w="113" w:type="dxa"/>
              <w:right w:w="113" w:type="dxa"/>
            </w:tcMar>
            <w:vAlign w:val="center"/>
          </w:tcPr>
          <w:p w14:paraId="6978F5DA" w14:textId="77777777" w:rsidR="00C4539F" w:rsidRDefault="00C4539F" w:rsidP="00C4539F">
            <w:pPr>
              <w:jc w:val="center"/>
              <w:rPr>
                <w:rFonts w:ascii="Calibri"/>
                <w:color w:val="auto"/>
                <w:szCs w:val="21"/>
              </w:rPr>
            </w:pPr>
            <w:r>
              <w:rPr>
                <w:rFonts w:ascii="Calibri" w:hint="eastAsia"/>
                <w:color w:val="auto"/>
                <w:szCs w:val="21"/>
              </w:rPr>
              <w:t>王庄</w:t>
            </w:r>
          </w:p>
        </w:tc>
        <w:tc>
          <w:tcPr>
            <w:tcW w:w="1114" w:type="dxa"/>
            <w:vAlign w:val="center"/>
          </w:tcPr>
          <w:p w14:paraId="607C8A74"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24D87150" w14:textId="77777777" w:rsidR="00C4539F" w:rsidRDefault="00276EE9" w:rsidP="00C4539F">
            <w:pPr>
              <w:jc w:val="center"/>
              <w:rPr>
                <w:rFonts w:ascii="Calibri" w:hAnsi="Calibri"/>
                <w:color w:val="auto"/>
                <w:szCs w:val="21"/>
              </w:rPr>
            </w:pPr>
            <w:r>
              <w:rPr>
                <w:rFonts w:ascii="Calibri" w:hAnsi="Calibri" w:hint="eastAsia"/>
                <w:color w:val="auto"/>
                <w:szCs w:val="21"/>
              </w:rPr>
              <w:t>3840</w:t>
            </w:r>
          </w:p>
        </w:tc>
        <w:tc>
          <w:tcPr>
            <w:tcW w:w="1559" w:type="dxa"/>
            <w:gridSpan w:val="2"/>
          </w:tcPr>
          <w:p w14:paraId="1E7FD67E"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29545DBE"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450</w:t>
            </w:r>
          </w:p>
        </w:tc>
      </w:tr>
      <w:tr w:rsidR="00C4539F" w:rsidRPr="00A964FF" w14:paraId="45E05EF2" w14:textId="77777777" w:rsidTr="00A85B3D">
        <w:trPr>
          <w:trHeight w:val="340"/>
        </w:trPr>
        <w:tc>
          <w:tcPr>
            <w:tcW w:w="802" w:type="dxa"/>
            <w:vMerge/>
            <w:tcMar>
              <w:left w:w="113" w:type="dxa"/>
              <w:right w:w="113" w:type="dxa"/>
            </w:tcMar>
            <w:vAlign w:val="center"/>
          </w:tcPr>
          <w:p w14:paraId="35C212D1" w14:textId="77777777" w:rsidR="00C4539F" w:rsidRPr="00A964FF" w:rsidRDefault="00C4539F" w:rsidP="00C4539F">
            <w:pPr>
              <w:jc w:val="center"/>
              <w:rPr>
                <w:rFonts w:ascii="Calibri" w:hAnsi="Calibri"/>
                <w:bCs/>
                <w:color w:val="auto"/>
                <w:szCs w:val="21"/>
              </w:rPr>
            </w:pPr>
          </w:p>
        </w:tc>
        <w:tc>
          <w:tcPr>
            <w:tcW w:w="992" w:type="dxa"/>
            <w:vAlign w:val="center"/>
          </w:tcPr>
          <w:p w14:paraId="7158B83C" w14:textId="77777777" w:rsidR="00C4539F" w:rsidRDefault="00C4539F" w:rsidP="00C4539F">
            <w:pPr>
              <w:jc w:val="center"/>
              <w:rPr>
                <w:rFonts w:ascii="Calibri" w:hAnsi="Calibri"/>
                <w:bCs/>
                <w:color w:val="auto"/>
                <w:szCs w:val="21"/>
              </w:rPr>
            </w:pPr>
            <w:r>
              <w:rPr>
                <w:rFonts w:ascii="Calibri" w:hAnsi="Calibri" w:hint="eastAsia"/>
                <w:bCs/>
                <w:color w:val="auto"/>
                <w:szCs w:val="21"/>
              </w:rPr>
              <w:t>39</w:t>
            </w:r>
          </w:p>
        </w:tc>
        <w:tc>
          <w:tcPr>
            <w:tcW w:w="1721" w:type="dxa"/>
            <w:gridSpan w:val="2"/>
            <w:tcMar>
              <w:left w:w="113" w:type="dxa"/>
              <w:right w:w="113" w:type="dxa"/>
            </w:tcMar>
            <w:vAlign w:val="center"/>
          </w:tcPr>
          <w:p w14:paraId="73A0CD9B" w14:textId="77777777" w:rsidR="00C4539F" w:rsidRDefault="00C4539F" w:rsidP="00C4539F">
            <w:pPr>
              <w:jc w:val="center"/>
              <w:rPr>
                <w:rFonts w:ascii="Calibri"/>
                <w:color w:val="auto"/>
                <w:szCs w:val="21"/>
              </w:rPr>
            </w:pPr>
            <w:r>
              <w:rPr>
                <w:rFonts w:ascii="Calibri" w:hint="eastAsia"/>
                <w:color w:val="auto"/>
                <w:szCs w:val="21"/>
              </w:rPr>
              <w:t>支刘村</w:t>
            </w:r>
          </w:p>
        </w:tc>
        <w:tc>
          <w:tcPr>
            <w:tcW w:w="1114" w:type="dxa"/>
            <w:vAlign w:val="center"/>
          </w:tcPr>
          <w:p w14:paraId="7AFC9E3A"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p>
        </w:tc>
        <w:tc>
          <w:tcPr>
            <w:tcW w:w="1296" w:type="dxa"/>
            <w:gridSpan w:val="3"/>
            <w:vAlign w:val="center"/>
          </w:tcPr>
          <w:p w14:paraId="484F1F11" w14:textId="77777777" w:rsidR="00C4539F" w:rsidRDefault="00276EE9" w:rsidP="00C4539F">
            <w:pPr>
              <w:jc w:val="center"/>
              <w:rPr>
                <w:rFonts w:ascii="Calibri" w:hAnsi="Calibri"/>
                <w:color w:val="auto"/>
                <w:szCs w:val="21"/>
              </w:rPr>
            </w:pPr>
            <w:r>
              <w:rPr>
                <w:rFonts w:ascii="Calibri" w:hAnsi="Calibri" w:hint="eastAsia"/>
                <w:color w:val="auto"/>
                <w:szCs w:val="21"/>
              </w:rPr>
              <w:t>4030</w:t>
            </w:r>
          </w:p>
        </w:tc>
        <w:tc>
          <w:tcPr>
            <w:tcW w:w="1559" w:type="dxa"/>
            <w:gridSpan w:val="2"/>
          </w:tcPr>
          <w:p w14:paraId="1E679CBB"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07F46557"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220</w:t>
            </w:r>
          </w:p>
        </w:tc>
      </w:tr>
      <w:tr w:rsidR="00C4539F" w:rsidRPr="00A964FF" w14:paraId="64C58B81" w14:textId="77777777" w:rsidTr="00A85B3D">
        <w:trPr>
          <w:trHeight w:val="340"/>
        </w:trPr>
        <w:tc>
          <w:tcPr>
            <w:tcW w:w="802" w:type="dxa"/>
            <w:vMerge/>
            <w:tcMar>
              <w:left w:w="113" w:type="dxa"/>
              <w:right w:w="113" w:type="dxa"/>
            </w:tcMar>
            <w:vAlign w:val="center"/>
          </w:tcPr>
          <w:p w14:paraId="4BA7476D" w14:textId="77777777" w:rsidR="00C4539F" w:rsidRPr="00A964FF" w:rsidRDefault="00C4539F" w:rsidP="00C4539F">
            <w:pPr>
              <w:jc w:val="center"/>
              <w:rPr>
                <w:rFonts w:ascii="Calibri" w:hAnsi="Calibri"/>
                <w:bCs/>
                <w:color w:val="auto"/>
                <w:szCs w:val="21"/>
              </w:rPr>
            </w:pPr>
          </w:p>
        </w:tc>
        <w:tc>
          <w:tcPr>
            <w:tcW w:w="992" w:type="dxa"/>
            <w:vAlign w:val="center"/>
          </w:tcPr>
          <w:p w14:paraId="6B6BEE72" w14:textId="77777777" w:rsidR="00C4539F" w:rsidRDefault="00C4539F" w:rsidP="00C4539F">
            <w:pPr>
              <w:jc w:val="center"/>
              <w:rPr>
                <w:rFonts w:ascii="Calibri" w:hAnsi="Calibri"/>
                <w:bCs/>
                <w:color w:val="auto"/>
                <w:szCs w:val="21"/>
              </w:rPr>
            </w:pPr>
            <w:r>
              <w:rPr>
                <w:rFonts w:ascii="Calibri" w:hAnsi="Calibri" w:hint="eastAsia"/>
                <w:bCs/>
                <w:color w:val="auto"/>
                <w:szCs w:val="21"/>
              </w:rPr>
              <w:t>40</w:t>
            </w:r>
          </w:p>
        </w:tc>
        <w:tc>
          <w:tcPr>
            <w:tcW w:w="1721" w:type="dxa"/>
            <w:gridSpan w:val="2"/>
            <w:tcMar>
              <w:left w:w="113" w:type="dxa"/>
              <w:right w:w="113" w:type="dxa"/>
            </w:tcMar>
            <w:vAlign w:val="center"/>
          </w:tcPr>
          <w:p w14:paraId="26A7810E" w14:textId="77777777" w:rsidR="00C4539F" w:rsidRDefault="00C4539F" w:rsidP="00C4539F">
            <w:pPr>
              <w:jc w:val="center"/>
              <w:rPr>
                <w:rFonts w:ascii="Calibri"/>
                <w:color w:val="auto"/>
                <w:szCs w:val="21"/>
              </w:rPr>
            </w:pPr>
            <w:r>
              <w:rPr>
                <w:rFonts w:ascii="Calibri" w:hint="eastAsia"/>
                <w:color w:val="auto"/>
                <w:szCs w:val="21"/>
              </w:rPr>
              <w:t>姜庄</w:t>
            </w:r>
            <w:r>
              <w:rPr>
                <w:rFonts w:ascii="Calibri"/>
                <w:color w:val="auto"/>
                <w:szCs w:val="21"/>
              </w:rPr>
              <w:t>村</w:t>
            </w:r>
          </w:p>
        </w:tc>
        <w:tc>
          <w:tcPr>
            <w:tcW w:w="1114" w:type="dxa"/>
            <w:vAlign w:val="center"/>
          </w:tcPr>
          <w:p w14:paraId="030EB076"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w:t>
            </w:r>
            <w:r>
              <w:rPr>
                <w:rFonts w:ascii="Calibri" w:hAnsi="Calibri"/>
                <w:color w:val="auto"/>
                <w:szCs w:val="21"/>
              </w:rPr>
              <w:t>W</w:t>
            </w:r>
          </w:p>
        </w:tc>
        <w:tc>
          <w:tcPr>
            <w:tcW w:w="1296" w:type="dxa"/>
            <w:gridSpan w:val="3"/>
            <w:vAlign w:val="center"/>
          </w:tcPr>
          <w:p w14:paraId="65943F16" w14:textId="77777777" w:rsidR="00C4539F" w:rsidRDefault="00276EE9" w:rsidP="00C4539F">
            <w:pPr>
              <w:jc w:val="center"/>
              <w:rPr>
                <w:rFonts w:ascii="Calibri" w:hAnsi="Calibri"/>
                <w:color w:val="auto"/>
                <w:szCs w:val="21"/>
              </w:rPr>
            </w:pPr>
            <w:r>
              <w:rPr>
                <w:rFonts w:ascii="Calibri" w:hAnsi="Calibri" w:hint="eastAsia"/>
                <w:color w:val="auto"/>
                <w:szCs w:val="21"/>
              </w:rPr>
              <w:t>4327</w:t>
            </w:r>
          </w:p>
        </w:tc>
        <w:tc>
          <w:tcPr>
            <w:tcW w:w="1559" w:type="dxa"/>
            <w:gridSpan w:val="2"/>
          </w:tcPr>
          <w:p w14:paraId="03450CE2"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0B0BF513"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260</w:t>
            </w:r>
          </w:p>
        </w:tc>
      </w:tr>
      <w:tr w:rsidR="00C4539F" w:rsidRPr="00A964FF" w14:paraId="2BBD65F1" w14:textId="77777777" w:rsidTr="00A85B3D">
        <w:trPr>
          <w:trHeight w:val="340"/>
        </w:trPr>
        <w:tc>
          <w:tcPr>
            <w:tcW w:w="802" w:type="dxa"/>
            <w:vMerge/>
            <w:tcMar>
              <w:left w:w="113" w:type="dxa"/>
              <w:right w:w="113" w:type="dxa"/>
            </w:tcMar>
            <w:vAlign w:val="center"/>
          </w:tcPr>
          <w:p w14:paraId="0985CE24" w14:textId="77777777" w:rsidR="00C4539F" w:rsidRPr="00A964FF" w:rsidRDefault="00C4539F" w:rsidP="00C4539F">
            <w:pPr>
              <w:jc w:val="center"/>
              <w:rPr>
                <w:rFonts w:ascii="Calibri" w:hAnsi="Calibri"/>
                <w:bCs/>
                <w:color w:val="auto"/>
                <w:szCs w:val="21"/>
              </w:rPr>
            </w:pPr>
          </w:p>
        </w:tc>
        <w:tc>
          <w:tcPr>
            <w:tcW w:w="992" w:type="dxa"/>
            <w:vAlign w:val="center"/>
          </w:tcPr>
          <w:p w14:paraId="6D41F00D" w14:textId="77777777" w:rsidR="00C4539F" w:rsidRDefault="00C4539F" w:rsidP="00C4539F">
            <w:pPr>
              <w:jc w:val="center"/>
              <w:rPr>
                <w:rFonts w:ascii="Calibri" w:hAnsi="Calibri"/>
                <w:bCs/>
                <w:color w:val="auto"/>
                <w:szCs w:val="21"/>
              </w:rPr>
            </w:pPr>
            <w:r>
              <w:rPr>
                <w:rFonts w:ascii="Calibri" w:hAnsi="Calibri" w:hint="eastAsia"/>
                <w:bCs/>
                <w:color w:val="auto"/>
                <w:szCs w:val="21"/>
              </w:rPr>
              <w:t>41</w:t>
            </w:r>
          </w:p>
        </w:tc>
        <w:tc>
          <w:tcPr>
            <w:tcW w:w="1721" w:type="dxa"/>
            <w:gridSpan w:val="2"/>
            <w:tcMar>
              <w:left w:w="113" w:type="dxa"/>
              <w:right w:w="113" w:type="dxa"/>
            </w:tcMar>
            <w:vAlign w:val="center"/>
          </w:tcPr>
          <w:p w14:paraId="15A30CAD" w14:textId="77777777" w:rsidR="00C4539F" w:rsidRDefault="00C4539F" w:rsidP="00C4539F">
            <w:pPr>
              <w:jc w:val="center"/>
              <w:rPr>
                <w:rFonts w:ascii="Calibri"/>
                <w:color w:val="auto"/>
                <w:szCs w:val="21"/>
              </w:rPr>
            </w:pPr>
            <w:r>
              <w:rPr>
                <w:rFonts w:ascii="Calibri" w:hint="eastAsia"/>
                <w:color w:val="auto"/>
                <w:szCs w:val="21"/>
              </w:rPr>
              <w:t>苏科村</w:t>
            </w:r>
          </w:p>
        </w:tc>
        <w:tc>
          <w:tcPr>
            <w:tcW w:w="1114" w:type="dxa"/>
            <w:vAlign w:val="center"/>
          </w:tcPr>
          <w:p w14:paraId="2B29F655"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03DBD82D" w14:textId="77777777" w:rsidR="00C4539F" w:rsidRDefault="00C4539F" w:rsidP="00C4539F">
            <w:pPr>
              <w:jc w:val="center"/>
              <w:rPr>
                <w:rFonts w:ascii="Calibri" w:hAnsi="Calibri"/>
                <w:color w:val="auto"/>
                <w:szCs w:val="21"/>
              </w:rPr>
            </w:pPr>
            <w:r>
              <w:rPr>
                <w:rFonts w:ascii="Calibri" w:hAnsi="Calibri" w:hint="eastAsia"/>
                <w:color w:val="auto"/>
                <w:szCs w:val="21"/>
              </w:rPr>
              <w:t>1970</w:t>
            </w:r>
          </w:p>
        </w:tc>
        <w:tc>
          <w:tcPr>
            <w:tcW w:w="1559" w:type="dxa"/>
            <w:gridSpan w:val="2"/>
          </w:tcPr>
          <w:p w14:paraId="2400D9CA"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4FAFF100" w14:textId="77777777" w:rsidR="00C4539F" w:rsidRPr="00A964FF" w:rsidRDefault="00C4539F" w:rsidP="00C4539F">
            <w:pPr>
              <w:jc w:val="center"/>
              <w:rPr>
                <w:rFonts w:ascii="Calibri" w:hAnsi="Calibri"/>
                <w:color w:val="auto"/>
                <w:szCs w:val="21"/>
              </w:rPr>
            </w:pPr>
            <w:r w:rsidRPr="00623F1E">
              <w:rPr>
                <w:rFonts w:ascii="Calibri" w:hAnsi="Calibri" w:hint="eastAsia"/>
                <w:szCs w:val="21"/>
              </w:rPr>
              <w:t>980</w:t>
            </w:r>
          </w:p>
        </w:tc>
      </w:tr>
      <w:tr w:rsidR="00C4539F" w:rsidRPr="00A964FF" w14:paraId="64521410" w14:textId="77777777" w:rsidTr="00A85B3D">
        <w:trPr>
          <w:trHeight w:val="340"/>
        </w:trPr>
        <w:tc>
          <w:tcPr>
            <w:tcW w:w="802" w:type="dxa"/>
            <w:vMerge/>
            <w:tcMar>
              <w:left w:w="113" w:type="dxa"/>
              <w:right w:w="113" w:type="dxa"/>
            </w:tcMar>
            <w:vAlign w:val="center"/>
          </w:tcPr>
          <w:p w14:paraId="1BFC9955" w14:textId="77777777" w:rsidR="00C4539F" w:rsidRPr="00A964FF" w:rsidRDefault="00C4539F" w:rsidP="00C4539F">
            <w:pPr>
              <w:jc w:val="center"/>
              <w:rPr>
                <w:rFonts w:ascii="Calibri" w:hAnsi="Calibri"/>
                <w:bCs/>
                <w:color w:val="auto"/>
                <w:szCs w:val="21"/>
              </w:rPr>
            </w:pPr>
          </w:p>
        </w:tc>
        <w:tc>
          <w:tcPr>
            <w:tcW w:w="992" w:type="dxa"/>
            <w:vAlign w:val="center"/>
          </w:tcPr>
          <w:p w14:paraId="44930FFF" w14:textId="77777777" w:rsidR="00C4539F" w:rsidRDefault="00C4539F" w:rsidP="00C4539F">
            <w:pPr>
              <w:jc w:val="center"/>
              <w:rPr>
                <w:rFonts w:ascii="Calibri" w:hAnsi="Calibri"/>
                <w:bCs/>
                <w:color w:val="auto"/>
                <w:szCs w:val="21"/>
              </w:rPr>
            </w:pPr>
            <w:r>
              <w:rPr>
                <w:rFonts w:ascii="Calibri" w:hAnsi="Calibri" w:hint="eastAsia"/>
                <w:bCs/>
                <w:color w:val="auto"/>
                <w:szCs w:val="21"/>
              </w:rPr>
              <w:t>42</w:t>
            </w:r>
          </w:p>
        </w:tc>
        <w:tc>
          <w:tcPr>
            <w:tcW w:w="1721" w:type="dxa"/>
            <w:gridSpan w:val="2"/>
            <w:tcMar>
              <w:left w:w="113" w:type="dxa"/>
              <w:right w:w="113" w:type="dxa"/>
            </w:tcMar>
            <w:vAlign w:val="center"/>
          </w:tcPr>
          <w:p w14:paraId="58D9735D" w14:textId="77777777" w:rsidR="00C4539F" w:rsidRDefault="00C4539F" w:rsidP="00C4539F">
            <w:pPr>
              <w:jc w:val="center"/>
              <w:rPr>
                <w:rFonts w:ascii="Calibri"/>
                <w:color w:val="auto"/>
                <w:szCs w:val="21"/>
              </w:rPr>
            </w:pPr>
            <w:r>
              <w:rPr>
                <w:rFonts w:ascii="Calibri" w:hint="eastAsia"/>
                <w:color w:val="auto"/>
                <w:szCs w:val="21"/>
              </w:rPr>
              <w:t>边庄</w:t>
            </w:r>
          </w:p>
        </w:tc>
        <w:tc>
          <w:tcPr>
            <w:tcW w:w="1114" w:type="dxa"/>
            <w:vAlign w:val="center"/>
          </w:tcPr>
          <w:p w14:paraId="292BACCD"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0B90EB2D" w14:textId="77777777" w:rsidR="00C4539F" w:rsidRDefault="00276EE9" w:rsidP="00C4539F">
            <w:pPr>
              <w:jc w:val="center"/>
              <w:rPr>
                <w:rFonts w:ascii="Calibri" w:hAnsi="Calibri"/>
                <w:color w:val="auto"/>
                <w:szCs w:val="21"/>
              </w:rPr>
            </w:pPr>
            <w:r>
              <w:rPr>
                <w:rFonts w:ascii="Calibri" w:hAnsi="Calibri" w:hint="eastAsia"/>
                <w:color w:val="auto"/>
                <w:szCs w:val="21"/>
              </w:rPr>
              <w:t>3480</w:t>
            </w:r>
          </w:p>
        </w:tc>
        <w:tc>
          <w:tcPr>
            <w:tcW w:w="1559" w:type="dxa"/>
            <w:gridSpan w:val="2"/>
          </w:tcPr>
          <w:p w14:paraId="519AC163"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38F9DAF7"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230</w:t>
            </w:r>
          </w:p>
        </w:tc>
      </w:tr>
      <w:tr w:rsidR="00C4539F" w:rsidRPr="00A964FF" w14:paraId="098DC20D" w14:textId="77777777" w:rsidTr="00A85B3D">
        <w:trPr>
          <w:trHeight w:val="340"/>
        </w:trPr>
        <w:tc>
          <w:tcPr>
            <w:tcW w:w="802" w:type="dxa"/>
            <w:vMerge/>
            <w:tcMar>
              <w:left w:w="113" w:type="dxa"/>
              <w:right w:w="113" w:type="dxa"/>
            </w:tcMar>
            <w:vAlign w:val="center"/>
          </w:tcPr>
          <w:p w14:paraId="3BD89DF4" w14:textId="77777777" w:rsidR="00C4539F" w:rsidRPr="00A964FF" w:rsidRDefault="00C4539F" w:rsidP="00C4539F">
            <w:pPr>
              <w:jc w:val="center"/>
              <w:rPr>
                <w:rFonts w:ascii="Calibri" w:hAnsi="Calibri"/>
                <w:bCs/>
                <w:color w:val="auto"/>
                <w:szCs w:val="21"/>
              </w:rPr>
            </w:pPr>
          </w:p>
        </w:tc>
        <w:tc>
          <w:tcPr>
            <w:tcW w:w="992" w:type="dxa"/>
            <w:vAlign w:val="center"/>
          </w:tcPr>
          <w:p w14:paraId="003061F3" w14:textId="77777777" w:rsidR="00C4539F" w:rsidRDefault="00C4539F" w:rsidP="00C4539F">
            <w:pPr>
              <w:jc w:val="center"/>
              <w:rPr>
                <w:rFonts w:ascii="Calibri" w:hAnsi="Calibri"/>
                <w:bCs/>
                <w:color w:val="auto"/>
                <w:szCs w:val="21"/>
              </w:rPr>
            </w:pPr>
            <w:r>
              <w:rPr>
                <w:rFonts w:ascii="Calibri" w:hAnsi="Calibri" w:hint="eastAsia"/>
                <w:bCs/>
                <w:color w:val="auto"/>
                <w:szCs w:val="21"/>
              </w:rPr>
              <w:t>43</w:t>
            </w:r>
          </w:p>
        </w:tc>
        <w:tc>
          <w:tcPr>
            <w:tcW w:w="1721" w:type="dxa"/>
            <w:gridSpan w:val="2"/>
            <w:tcMar>
              <w:left w:w="113" w:type="dxa"/>
              <w:right w:w="113" w:type="dxa"/>
            </w:tcMar>
            <w:vAlign w:val="center"/>
          </w:tcPr>
          <w:p w14:paraId="5B2A659E" w14:textId="77777777" w:rsidR="00C4539F" w:rsidRDefault="00C4539F" w:rsidP="00C4539F">
            <w:pPr>
              <w:jc w:val="center"/>
              <w:rPr>
                <w:rFonts w:ascii="Calibri"/>
                <w:color w:val="auto"/>
                <w:szCs w:val="21"/>
              </w:rPr>
            </w:pPr>
            <w:r>
              <w:rPr>
                <w:rFonts w:ascii="Calibri" w:hint="eastAsia"/>
                <w:color w:val="auto"/>
                <w:szCs w:val="21"/>
              </w:rPr>
              <w:t>台马</w:t>
            </w:r>
          </w:p>
        </w:tc>
        <w:tc>
          <w:tcPr>
            <w:tcW w:w="1114" w:type="dxa"/>
            <w:vAlign w:val="center"/>
          </w:tcPr>
          <w:p w14:paraId="04893D0A"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1FF753F2" w14:textId="77777777" w:rsidR="00C4539F" w:rsidRDefault="00276EE9" w:rsidP="00C4539F">
            <w:pPr>
              <w:jc w:val="center"/>
              <w:rPr>
                <w:rFonts w:ascii="Calibri" w:hAnsi="Calibri"/>
                <w:color w:val="auto"/>
                <w:szCs w:val="21"/>
              </w:rPr>
            </w:pPr>
            <w:r>
              <w:rPr>
                <w:rFonts w:ascii="Calibri" w:hAnsi="Calibri" w:hint="eastAsia"/>
                <w:color w:val="auto"/>
                <w:szCs w:val="21"/>
              </w:rPr>
              <w:t>4340</w:t>
            </w:r>
          </w:p>
        </w:tc>
        <w:tc>
          <w:tcPr>
            <w:tcW w:w="1559" w:type="dxa"/>
            <w:gridSpan w:val="2"/>
          </w:tcPr>
          <w:p w14:paraId="6E5C1DF0"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5EF574C6"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210</w:t>
            </w:r>
          </w:p>
        </w:tc>
      </w:tr>
      <w:tr w:rsidR="00C4539F" w:rsidRPr="00A964FF" w14:paraId="308F79FF" w14:textId="77777777" w:rsidTr="00A85B3D">
        <w:trPr>
          <w:trHeight w:val="340"/>
        </w:trPr>
        <w:tc>
          <w:tcPr>
            <w:tcW w:w="802" w:type="dxa"/>
            <w:vMerge/>
            <w:tcMar>
              <w:left w:w="113" w:type="dxa"/>
              <w:right w:w="113" w:type="dxa"/>
            </w:tcMar>
            <w:vAlign w:val="center"/>
          </w:tcPr>
          <w:p w14:paraId="1E5A1257" w14:textId="77777777" w:rsidR="00C4539F" w:rsidRPr="00A964FF" w:rsidRDefault="00C4539F" w:rsidP="00C4539F">
            <w:pPr>
              <w:jc w:val="center"/>
              <w:rPr>
                <w:rFonts w:ascii="Calibri" w:hAnsi="Calibri"/>
                <w:bCs/>
                <w:color w:val="auto"/>
                <w:szCs w:val="21"/>
              </w:rPr>
            </w:pPr>
          </w:p>
        </w:tc>
        <w:tc>
          <w:tcPr>
            <w:tcW w:w="992" w:type="dxa"/>
            <w:vAlign w:val="center"/>
          </w:tcPr>
          <w:p w14:paraId="007E4E21" w14:textId="77777777" w:rsidR="00C4539F" w:rsidRDefault="00C4539F" w:rsidP="00C4539F">
            <w:pPr>
              <w:jc w:val="center"/>
              <w:rPr>
                <w:rFonts w:ascii="Calibri" w:hAnsi="Calibri"/>
                <w:bCs/>
                <w:color w:val="auto"/>
                <w:szCs w:val="21"/>
              </w:rPr>
            </w:pPr>
            <w:r>
              <w:rPr>
                <w:rFonts w:ascii="Calibri" w:hAnsi="Calibri" w:hint="eastAsia"/>
                <w:bCs/>
                <w:color w:val="auto"/>
                <w:szCs w:val="21"/>
              </w:rPr>
              <w:t>44</w:t>
            </w:r>
          </w:p>
        </w:tc>
        <w:tc>
          <w:tcPr>
            <w:tcW w:w="1721" w:type="dxa"/>
            <w:gridSpan w:val="2"/>
            <w:tcMar>
              <w:left w:w="113" w:type="dxa"/>
              <w:right w:w="113" w:type="dxa"/>
            </w:tcMar>
            <w:vAlign w:val="center"/>
          </w:tcPr>
          <w:p w14:paraId="0887F626" w14:textId="77777777" w:rsidR="00C4539F" w:rsidRDefault="00C4539F" w:rsidP="00C4539F">
            <w:pPr>
              <w:jc w:val="center"/>
              <w:rPr>
                <w:rFonts w:ascii="Calibri"/>
                <w:color w:val="auto"/>
                <w:szCs w:val="21"/>
              </w:rPr>
            </w:pPr>
            <w:r>
              <w:rPr>
                <w:rFonts w:ascii="Calibri" w:hint="eastAsia"/>
                <w:color w:val="auto"/>
                <w:szCs w:val="21"/>
              </w:rPr>
              <w:t>台</w:t>
            </w:r>
            <w:r>
              <w:rPr>
                <w:rFonts w:ascii="Calibri"/>
                <w:color w:val="auto"/>
                <w:szCs w:val="21"/>
              </w:rPr>
              <w:t>平</w:t>
            </w:r>
          </w:p>
        </w:tc>
        <w:tc>
          <w:tcPr>
            <w:tcW w:w="1114" w:type="dxa"/>
            <w:vAlign w:val="center"/>
          </w:tcPr>
          <w:p w14:paraId="62FABF15" w14:textId="77777777" w:rsidR="00C4539F" w:rsidRPr="00A964FF" w:rsidRDefault="003A23B5"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48818592" w14:textId="77777777" w:rsidR="00C4539F" w:rsidRDefault="00276EE9" w:rsidP="00C4539F">
            <w:pPr>
              <w:jc w:val="center"/>
              <w:rPr>
                <w:rFonts w:ascii="Calibri" w:hAnsi="Calibri"/>
                <w:color w:val="auto"/>
                <w:szCs w:val="21"/>
              </w:rPr>
            </w:pPr>
            <w:r>
              <w:rPr>
                <w:rFonts w:ascii="Calibri" w:hAnsi="Calibri" w:hint="eastAsia"/>
                <w:color w:val="auto"/>
                <w:szCs w:val="21"/>
              </w:rPr>
              <w:t>4720</w:t>
            </w:r>
          </w:p>
        </w:tc>
        <w:tc>
          <w:tcPr>
            <w:tcW w:w="1559" w:type="dxa"/>
            <w:gridSpan w:val="2"/>
          </w:tcPr>
          <w:p w14:paraId="2BEE1AA4"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6880CEEE"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200</w:t>
            </w:r>
          </w:p>
        </w:tc>
      </w:tr>
      <w:tr w:rsidR="00C4539F" w:rsidRPr="00A964FF" w14:paraId="65A83B54" w14:textId="77777777" w:rsidTr="00A85B3D">
        <w:trPr>
          <w:trHeight w:val="340"/>
        </w:trPr>
        <w:tc>
          <w:tcPr>
            <w:tcW w:w="802" w:type="dxa"/>
            <w:vMerge/>
            <w:tcMar>
              <w:left w:w="113" w:type="dxa"/>
              <w:right w:w="113" w:type="dxa"/>
            </w:tcMar>
            <w:vAlign w:val="center"/>
          </w:tcPr>
          <w:p w14:paraId="0B47F6F1" w14:textId="77777777" w:rsidR="00C4539F" w:rsidRPr="00A964FF" w:rsidRDefault="00C4539F" w:rsidP="00C4539F">
            <w:pPr>
              <w:jc w:val="center"/>
              <w:rPr>
                <w:rFonts w:ascii="Calibri" w:hAnsi="Calibri"/>
                <w:bCs/>
                <w:color w:val="auto"/>
                <w:szCs w:val="21"/>
              </w:rPr>
            </w:pPr>
          </w:p>
        </w:tc>
        <w:tc>
          <w:tcPr>
            <w:tcW w:w="992" w:type="dxa"/>
            <w:vAlign w:val="center"/>
          </w:tcPr>
          <w:p w14:paraId="62D94414" w14:textId="77777777" w:rsidR="00C4539F" w:rsidRDefault="00C4539F" w:rsidP="00C4539F">
            <w:pPr>
              <w:jc w:val="center"/>
              <w:rPr>
                <w:rFonts w:ascii="Calibri" w:hAnsi="Calibri"/>
                <w:bCs/>
                <w:color w:val="auto"/>
                <w:szCs w:val="21"/>
              </w:rPr>
            </w:pPr>
            <w:r>
              <w:rPr>
                <w:rFonts w:ascii="Calibri" w:hAnsi="Calibri" w:hint="eastAsia"/>
                <w:bCs/>
                <w:color w:val="auto"/>
                <w:szCs w:val="21"/>
              </w:rPr>
              <w:t>45</w:t>
            </w:r>
          </w:p>
        </w:tc>
        <w:tc>
          <w:tcPr>
            <w:tcW w:w="1721" w:type="dxa"/>
            <w:gridSpan w:val="2"/>
            <w:tcMar>
              <w:left w:w="113" w:type="dxa"/>
              <w:right w:w="113" w:type="dxa"/>
            </w:tcMar>
            <w:vAlign w:val="center"/>
          </w:tcPr>
          <w:p w14:paraId="4415ACE0" w14:textId="77777777" w:rsidR="00C4539F" w:rsidRDefault="00C4539F" w:rsidP="00C4539F">
            <w:pPr>
              <w:jc w:val="center"/>
              <w:rPr>
                <w:rFonts w:ascii="Calibri"/>
                <w:color w:val="auto"/>
                <w:szCs w:val="21"/>
              </w:rPr>
            </w:pPr>
            <w:r>
              <w:rPr>
                <w:rFonts w:ascii="Calibri" w:hint="eastAsia"/>
                <w:color w:val="auto"/>
                <w:szCs w:val="21"/>
              </w:rPr>
              <w:t>台刘</w:t>
            </w:r>
            <w:r>
              <w:rPr>
                <w:rFonts w:ascii="Calibri"/>
                <w:color w:val="auto"/>
                <w:szCs w:val="21"/>
              </w:rPr>
              <w:t>村</w:t>
            </w:r>
          </w:p>
        </w:tc>
        <w:tc>
          <w:tcPr>
            <w:tcW w:w="1114" w:type="dxa"/>
            <w:vAlign w:val="center"/>
          </w:tcPr>
          <w:p w14:paraId="0E95DFA6"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26B1A7B7"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2</w:t>
            </w:r>
            <w:r>
              <w:rPr>
                <w:rFonts w:ascii="Calibri" w:hAnsi="Calibri"/>
                <w:color w:val="auto"/>
                <w:szCs w:val="21"/>
              </w:rPr>
              <w:t>635</w:t>
            </w:r>
          </w:p>
        </w:tc>
        <w:tc>
          <w:tcPr>
            <w:tcW w:w="1559" w:type="dxa"/>
            <w:gridSpan w:val="2"/>
          </w:tcPr>
          <w:p w14:paraId="087BEB1B" w14:textId="77777777" w:rsidR="00C4539F" w:rsidRPr="00A84E4C" w:rsidRDefault="00C4539F" w:rsidP="00C4539F">
            <w:pPr>
              <w:jc w:val="center"/>
              <w:rPr>
                <w:rFonts w:ascii="Calibri" w:hAnsi="Calibri"/>
                <w:color w:val="auto"/>
                <w:szCs w:val="21"/>
              </w:rPr>
            </w:pPr>
            <w:r w:rsidRPr="00546B25">
              <w:rPr>
                <w:rFonts w:ascii="Calibri" w:hAnsi="Calibri" w:hint="eastAsia"/>
                <w:color w:val="auto"/>
                <w:szCs w:val="21"/>
              </w:rPr>
              <w:t>居住区</w:t>
            </w:r>
          </w:p>
        </w:tc>
        <w:tc>
          <w:tcPr>
            <w:tcW w:w="1418" w:type="dxa"/>
            <w:vAlign w:val="center"/>
          </w:tcPr>
          <w:p w14:paraId="14F71333" w14:textId="77777777" w:rsidR="00C4539F" w:rsidRPr="00623F1E" w:rsidRDefault="00C4539F" w:rsidP="00C4539F">
            <w:pPr>
              <w:jc w:val="center"/>
              <w:rPr>
                <w:rFonts w:ascii="Calibri" w:hAnsi="Calibri"/>
                <w:szCs w:val="21"/>
              </w:rPr>
            </w:pPr>
            <w:r w:rsidRPr="00623F1E">
              <w:rPr>
                <w:rFonts w:ascii="Calibri" w:hAnsi="Calibri" w:hint="eastAsia"/>
                <w:szCs w:val="21"/>
              </w:rPr>
              <w:t>1230</w:t>
            </w:r>
          </w:p>
        </w:tc>
      </w:tr>
      <w:tr w:rsidR="00C4539F" w:rsidRPr="00A964FF" w14:paraId="2176863E" w14:textId="77777777" w:rsidTr="00BD220E">
        <w:trPr>
          <w:trHeight w:val="340"/>
        </w:trPr>
        <w:tc>
          <w:tcPr>
            <w:tcW w:w="802" w:type="dxa"/>
            <w:vMerge/>
            <w:tcMar>
              <w:left w:w="113" w:type="dxa"/>
              <w:right w:w="113" w:type="dxa"/>
            </w:tcMar>
            <w:vAlign w:val="center"/>
          </w:tcPr>
          <w:p w14:paraId="01F90160" w14:textId="77777777" w:rsidR="00C4539F" w:rsidRPr="00A964FF" w:rsidRDefault="00C4539F" w:rsidP="00C4539F">
            <w:pPr>
              <w:jc w:val="center"/>
              <w:rPr>
                <w:rFonts w:ascii="Calibri" w:hAnsi="Calibri"/>
                <w:bCs/>
                <w:color w:val="auto"/>
                <w:szCs w:val="21"/>
              </w:rPr>
            </w:pPr>
          </w:p>
        </w:tc>
        <w:tc>
          <w:tcPr>
            <w:tcW w:w="992" w:type="dxa"/>
            <w:vAlign w:val="center"/>
          </w:tcPr>
          <w:p w14:paraId="48B67D04" w14:textId="77777777" w:rsidR="00C4539F" w:rsidRDefault="00C4539F" w:rsidP="00C4539F">
            <w:pPr>
              <w:jc w:val="center"/>
              <w:rPr>
                <w:rFonts w:ascii="Calibri" w:hAnsi="Calibri"/>
                <w:bCs/>
                <w:color w:val="auto"/>
                <w:szCs w:val="21"/>
              </w:rPr>
            </w:pPr>
            <w:r>
              <w:rPr>
                <w:rFonts w:ascii="Calibri" w:hAnsi="Calibri" w:hint="eastAsia"/>
                <w:bCs/>
                <w:color w:val="auto"/>
                <w:szCs w:val="21"/>
              </w:rPr>
              <w:t>46</w:t>
            </w:r>
          </w:p>
        </w:tc>
        <w:tc>
          <w:tcPr>
            <w:tcW w:w="1721" w:type="dxa"/>
            <w:gridSpan w:val="2"/>
            <w:tcMar>
              <w:left w:w="113" w:type="dxa"/>
              <w:right w:w="113" w:type="dxa"/>
            </w:tcMar>
            <w:vAlign w:val="center"/>
          </w:tcPr>
          <w:p w14:paraId="1BE6E4B0" w14:textId="77777777" w:rsidR="00C4539F" w:rsidRDefault="00C4539F" w:rsidP="00C4539F">
            <w:pPr>
              <w:jc w:val="center"/>
              <w:rPr>
                <w:rFonts w:ascii="Calibri"/>
                <w:color w:val="auto"/>
                <w:szCs w:val="21"/>
              </w:rPr>
            </w:pPr>
            <w:r>
              <w:rPr>
                <w:rFonts w:ascii="Calibri" w:hint="eastAsia"/>
                <w:color w:val="auto"/>
                <w:szCs w:val="21"/>
              </w:rPr>
              <w:t>台刘学校</w:t>
            </w:r>
          </w:p>
        </w:tc>
        <w:tc>
          <w:tcPr>
            <w:tcW w:w="1114" w:type="dxa"/>
            <w:vAlign w:val="center"/>
          </w:tcPr>
          <w:p w14:paraId="03E00371"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43F0AED0"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2610</w:t>
            </w:r>
          </w:p>
        </w:tc>
        <w:tc>
          <w:tcPr>
            <w:tcW w:w="1559" w:type="dxa"/>
            <w:gridSpan w:val="2"/>
            <w:vAlign w:val="center"/>
          </w:tcPr>
          <w:p w14:paraId="036F3436"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学校</w:t>
            </w:r>
          </w:p>
        </w:tc>
        <w:tc>
          <w:tcPr>
            <w:tcW w:w="1418" w:type="dxa"/>
            <w:vAlign w:val="center"/>
          </w:tcPr>
          <w:p w14:paraId="5C32BC81" w14:textId="77777777" w:rsidR="00C4539F" w:rsidRPr="00623F1E" w:rsidRDefault="00C4539F" w:rsidP="00C4539F">
            <w:pPr>
              <w:jc w:val="center"/>
              <w:rPr>
                <w:rFonts w:ascii="Calibri" w:hAnsi="Calibri"/>
                <w:szCs w:val="21"/>
              </w:rPr>
            </w:pPr>
            <w:r w:rsidRPr="00623F1E">
              <w:rPr>
                <w:rFonts w:ascii="Calibri" w:hAnsi="Calibri" w:hint="eastAsia"/>
                <w:szCs w:val="21"/>
              </w:rPr>
              <w:t>200</w:t>
            </w:r>
          </w:p>
        </w:tc>
      </w:tr>
      <w:tr w:rsidR="00C4539F" w:rsidRPr="00A964FF" w14:paraId="1ACDD23D" w14:textId="77777777" w:rsidTr="00BD220E">
        <w:trPr>
          <w:trHeight w:val="340"/>
        </w:trPr>
        <w:tc>
          <w:tcPr>
            <w:tcW w:w="802" w:type="dxa"/>
            <w:vMerge/>
            <w:tcMar>
              <w:left w:w="113" w:type="dxa"/>
              <w:right w:w="113" w:type="dxa"/>
            </w:tcMar>
            <w:vAlign w:val="center"/>
          </w:tcPr>
          <w:p w14:paraId="5B08C925" w14:textId="77777777" w:rsidR="00C4539F" w:rsidRPr="00A964FF" w:rsidRDefault="00C4539F" w:rsidP="00C4539F">
            <w:pPr>
              <w:jc w:val="center"/>
              <w:rPr>
                <w:rFonts w:ascii="Calibri" w:hAnsi="Calibri"/>
                <w:bCs/>
                <w:color w:val="auto"/>
                <w:szCs w:val="21"/>
              </w:rPr>
            </w:pPr>
          </w:p>
        </w:tc>
        <w:tc>
          <w:tcPr>
            <w:tcW w:w="992" w:type="dxa"/>
            <w:vAlign w:val="center"/>
          </w:tcPr>
          <w:p w14:paraId="7B197B5C" w14:textId="77777777" w:rsidR="00C4539F" w:rsidRDefault="00C4539F" w:rsidP="00C4539F">
            <w:pPr>
              <w:jc w:val="center"/>
              <w:rPr>
                <w:rFonts w:ascii="Calibri" w:hAnsi="Calibri"/>
                <w:bCs/>
                <w:color w:val="auto"/>
                <w:szCs w:val="21"/>
              </w:rPr>
            </w:pPr>
            <w:r>
              <w:rPr>
                <w:rFonts w:ascii="Calibri" w:hAnsi="Calibri" w:hint="eastAsia"/>
                <w:bCs/>
                <w:color w:val="auto"/>
                <w:szCs w:val="21"/>
              </w:rPr>
              <w:t>47</w:t>
            </w:r>
          </w:p>
        </w:tc>
        <w:tc>
          <w:tcPr>
            <w:tcW w:w="1721" w:type="dxa"/>
            <w:gridSpan w:val="2"/>
            <w:tcMar>
              <w:left w:w="113" w:type="dxa"/>
              <w:right w:w="113" w:type="dxa"/>
            </w:tcMar>
            <w:vAlign w:val="center"/>
          </w:tcPr>
          <w:p w14:paraId="1B9E8058" w14:textId="77777777" w:rsidR="00C4539F" w:rsidRDefault="00C4539F" w:rsidP="00C4539F">
            <w:pPr>
              <w:jc w:val="center"/>
              <w:rPr>
                <w:rFonts w:ascii="Calibri"/>
                <w:color w:val="auto"/>
                <w:szCs w:val="21"/>
              </w:rPr>
            </w:pPr>
            <w:r>
              <w:rPr>
                <w:rFonts w:ascii="Calibri"/>
                <w:color w:val="auto"/>
                <w:szCs w:val="21"/>
              </w:rPr>
              <w:t>台刘</w:t>
            </w:r>
            <w:r>
              <w:rPr>
                <w:rFonts w:ascii="Calibri" w:hint="eastAsia"/>
                <w:color w:val="auto"/>
                <w:szCs w:val="21"/>
              </w:rPr>
              <w:t>新</w:t>
            </w:r>
            <w:r>
              <w:rPr>
                <w:rFonts w:ascii="Calibri"/>
                <w:color w:val="auto"/>
                <w:szCs w:val="21"/>
              </w:rPr>
              <w:t>村</w:t>
            </w:r>
          </w:p>
        </w:tc>
        <w:tc>
          <w:tcPr>
            <w:tcW w:w="1114" w:type="dxa"/>
            <w:vAlign w:val="center"/>
          </w:tcPr>
          <w:p w14:paraId="2AAE76A1"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0209BCFC" w14:textId="77777777" w:rsidR="00C4539F" w:rsidRPr="00A964FF" w:rsidRDefault="00C4539F" w:rsidP="00C4539F">
            <w:pPr>
              <w:jc w:val="center"/>
              <w:rPr>
                <w:rFonts w:ascii="Calibri" w:hAnsi="Calibri"/>
                <w:color w:val="auto"/>
                <w:szCs w:val="21"/>
              </w:rPr>
            </w:pPr>
            <w:r>
              <w:rPr>
                <w:rFonts w:ascii="Calibri" w:hAnsi="Calibri" w:hint="eastAsia"/>
                <w:color w:val="auto"/>
                <w:szCs w:val="21"/>
              </w:rPr>
              <w:t>2475</w:t>
            </w:r>
          </w:p>
        </w:tc>
        <w:tc>
          <w:tcPr>
            <w:tcW w:w="1559" w:type="dxa"/>
            <w:gridSpan w:val="2"/>
            <w:vAlign w:val="center"/>
          </w:tcPr>
          <w:p w14:paraId="4AA3AF64"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048C70BE" w14:textId="77777777" w:rsidR="00C4539F" w:rsidRPr="00623F1E" w:rsidRDefault="00C4539F" w:rsidP="00C4539F">
            <w:pPr>
              <w:jc w:val="center"/>
              <w:rPr>
                <w:rFonts w:ascii="Calibri" w:hAnsi="Calibri"/>
                <w:szCs w:val="21"/>
              </w:rPr>
            </w:pPr>
            <w:r w:rsidRPr="00623F1E">
              <w:rPr>
                <w:rFonts w:ascii="Calibri" w:hAnsi="Calibri" w:hint="eastAsia"/>
                <w:szCs w:val="21"/>
              </w:rPr>
              <w:t>240</w:t>
            </w:r>
          </w:p>
        </w:tc>
      </w:tr>
      <w:tr w:rsidR="00C4539F" w:rsidRPr="00A964FF" w14:paraId="1A5776A0" w14:textId="77777777" w:rsidTr="00BD220E">
        <w:trPr>
          <w:trHeight w:val="340"/>
        </w:trPr>
        <w:tc>
          <w:tcPr>
            <w:tcW w:w="802" w:type="dxa"/>
            <w:vMerge/>
            <w:tcMar>
              <w:left w:w="113" w:type="dxa"/>
              <w:right w:w="113" w:type="dxa"/>
            </w:tcMar>
            <w:vAlign w:val="center"/>
          </w:tcPr>
          <w:p w14:paraId="65071DE3" w14:textId="77777777" w:rsidR="00C4539F" w:rsidRPr="00A964FF" w:rsidRDefault="00C4539F" w:rsidP="00C4539F">
            <w:pPr>
              <w:jc w:val="center"/>
              <w:rPr>
                <w:rFonts w:ascii="Calibri" w:hAnsi="Calibri"/>
                <w:bCs/>
                <w:color w:val="auto"/>
                <w:szCs w:val="21"/>
              </w:rPr>
            </w:pPr>
          </w:p>
        </w:tc>
        <w:tc>
          <w:tcPr>
            <w:tcW w:w="992" w:type="dxa"/>
            <w:vAlign w:val="center"/>
          </w:tcPr>
          <w:p w14:paraId="5D12825A" w14:textId="77777777" w:rsidR="00C4539F" w:rsidRDefault="00C4539F" w:rsidP="00C4539F">
            <w:pPr>
              <w:jc w:val="center"/>
              <w:rPr>
                <w:rFonts w:ascii="Calibri" w:hAnsi="Calibri"/>
                <w:bCs/>
                <w:color w:val="auto"/>
                <w:szCs w:val="21"/>
              </w:rPr>
            </w:pPr>
            <w:r>
              <w:rPr>
                <w:rFonts w:ascii="Calibri" w:hAnsi="Calibri"/>
                <w:bCs/>
                <w:color w:val="auto"/>
                <w:szCs w:val="21"/>
              </w:rPr>
              <w:t>48</w:t>
            </w:r>
          </w:p>
        </w:tc>
        <w:tc>
          <w:tcPr>
            <w:tcW w:w="1721" w:type="dxa"/>
            <w:gridSpan w:val="2"/>
            <w:tcMar>
              <w:left w:w="113" w:type="dxa"/>
              <w:right w:w="113" w:type="dxa"/>
            </w:tcMar>
            <w:vAlign w:val="center"/>
          </w:tcPr>
          <w:p w14:paraId="2A1F9E53" w14:textId="77777777" w:rsidR="00C4539F" w:rsidRDefault="00C4539F" w:rsidP="00C4539F">
            <w:pPr>
              <w:jc w:val="center"/>
              <w:rPr>
                <w:rFonts w:ascii="Calibri"/>
                <w:color w:val="auto"/>
                <w:szCs w:val="21"/>
              </w:rPr>
            </w:pPr>
            <w:r>
              <w:rPr>
                <w:rFonts w:ascii="Calibri" w:hint="eastAsia"/>
                <w:color w:val="auto"/>
                <w:szCs w:val="21"/>
              </w:rPr>
              <w:t>新</w:t>
            </w:r>
            <w:r>
              <w:rPr>
                <w:rFonts w:ascii="Calibri"/>
                <w:color w:val="auto"/>
                <w:szCs w:val="21"/>
              </w:rPr>
              <w:t>赵庄</w:t>
            </w:r>
          </w:p>
        </w:tc>
        <w:tc>
          <w:tcPr>
            <w:tcW w:w="1114" w:type="dxa"/>
            <w:vAlign w:val="center"/>
          </w:tcPr>
          <w:p w14:paraId="1A0991A6" w14:textId="77777777" w:rsidR="00C4539F" w:rsidRPr="00A964FF" w:rsidRDefault="00276EE9"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7C254952" w14:textId="77777777" w:rsidR="00C4539F" w:rsidRDefault="00276EE9" w:rsidP="00C4539F">
            <w:pPr>
              <w:jc w:val="center"/>
              <w:rPr>
                <w:rFonts w:ascii="Calibri" w:hAnsi="Calibri"/>
                <w:color w:val="auto"/>
                <w:szCs w:val="21"/>
              </w:rPr>
            </w:pPr>
            <w:r>
              <w:rPr>
                <w:rFonts w:ascii="Calibri" w:hAnsi="Calibri" w:hint="eastAsia"/>
                <w:color w:val="auto"/>
                <w:szCs w:val="21"/>
              </w:rPr>
              <w:t>4290</w:t>
            </w:r>
          </w:p>
        </w:tc>
        <w:tc>
          <w:tcPr>
            <w:tcW w:w="1559" w:type="dxa"/>
            <w:gridSpan w:val="2"/>
            <w:vAlign w:val="center"/>
          </w:tcPr>
          <w:p w14:paraId="3D7ABB96"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287B3971"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180</w:t>
            </w:r>
          </w:p>
        </w:tc>
      </w:tr>
      <w:tr w:rsidR="00C4539F" w:rsidRPr="00A964FF" w14:paraId="765A3E6C" w14:textId="77777777" w:rsidTr="00BD220E">
        <w:trPr>
          <w:trHeight w:val="340"/>
        </w:trPr>
        <w:tc>
          <w:tcPr>
            <w:tcW w:w="802" w:type="dxa"/>
            <w:vMerge/>
            <w:tcMar>
              <w:left w:w="113" w:type="dxa"/>
              <w:right w:w="113" w:type="dxa"/>
            </w:tcMar>
            <w:vAlign w:val="center"/>
          </w:tcPr>
          <w:p w14:paraId="286E920C" w14:textId="77777777" w:rsidR="00C4539F" w:rsidRPr="00A964FF" w:rsidRDefault="00C4539F" w:rsidP="00C4539F">
            <w:pPr>
              <w:jc w:val="center"/>
              <w:rPr>
                <w:rFonts w:ascii="Calibri" w:hAnsi="Calibri"/>
                <w:bCs/>
                <w:color w:val="auto"/>
                <w:szCs w:val="21"/>
              </w:rPr>
            </w:pPr>
          </w:p>
        </w:tc>
        <w:tc>
          <w:tcPr>
            <w:tcW w:w="992" w:type="dxa"/>
            <w:vAlign w:val="center"/>
          </w:tcPr>
          <w:p w14:paraId="34E5997F" w14:textId="77777777" w:rsidR="00C4539F" w:rsidRDefault="00C4539F" w:rsidP="00C4539F">
            <w:pPr>
              <w:jc w:val="center"/>
              <w:rPr>
                <w:rFonts w:ascii="Calibri" w:hAnsi="Calibri"/>
                <w:bCs/>
                <w:color w:val="auto"/>
                <w:szCs w:val="21"/>
              </w:rPr>
            </w:pPr>
            <w:r>
              <w:rPr>
                <w:rFonts w:ascii="Calibri" w:hAnsi="Calibri"/>
                <w:bCs/>
                <w:color w:val="auto"/>
                <w:szCs w:val="21"/>
              </w:rPr>
              <w:t>49</w:t>
            </w:r>
          </w:p>
        </w:tc>
        <w:tc>
          <w:tcPr>
            <w:tcW w:w="1721" w:type="dxa"/>
            <w:gridSpan w:val="2"/>
            <w:tcMar>
              <w:left w:w="113" w:type="dxa"/>
              <w:right w:w="113" w:type="dxa"/>
            </w:tcMar>
            <w:vAlign w:val="center"/>
          </w:tcPr>
          <w:p w14:paraId="673E6D62" w14:textId="77777777" w:rsidR="00C4539F" w:rsidRDefault="00C4539F" w:rsidP="00C4539F">
            <w:pPr>
              <w:jc w:val="center"/>
              <w:rPr>
                <w:rFonts w:ascii="Calibri"/>
                <w:color w:val="auto"/>
                <w:szCs w:val="21"/>
              </w:rPr>
            </w:pPr>
            <w:r>
              <w:rPr>
                <w:rFonts w:ascii="Calibri" w:hint="eastAsia"/>
                <w:color w:val="auto"/>
                <w:szCs w:val="21"/>
              </w:rPr>
              <w:t>高营</w:t>
            </w:r>
          </w:p>
        </w:tc>
        <w:tc>
          <w:tcPr>
            <w:tcW w:w="1114" w:type="dxa"/>
            <w:vAlign w:val="center"/>
          </w:tcPr>
          <w:p w14:paraId="60F7370B" w14:textId="77777777" w:rsidR="00C4539F" w:rsidRPr="00A964FF" w:rsidRDefault="00276EE9"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07079729" w14:textId="77777777" w:rsidR="00C4539F" w:rsidRDefault="00276EE9" w:rsidP="00C4539F">
            <w:pPr>
              <w:jc w:val="center"/>
              <w:rPr>
                <w:rFonts w:ascii="Calibri" w:hAnsi="Calibri"/>
                <w:color w:val="auto"/>
                <w:szCs w:val="21"/>
              </w:rPr>
            </w:pPr>
            <w:r>
              <w:rPr>
                <w:rFonts w:ascii="Calibri" w:hAnsi="Calibri" w:hint="eastAsia"/>
                <w:color w:val="auto"/>
                <w:szCs w:val="21"/>
              </w:rPr>
              <w:t>4400</w:t>
            </w:r>
          </w:p>
        </w:tc>
        <w:tc>
          <w:tcPr>
            <w:tcW w:w="1559" w:type="dxa"/>
            <w:gridSpan w:val="2"/>
            <w:vAlign w:val="center"/>
          </w:tcPr>
          <w:p w14:paraId="493EC487"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08065792"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340</w:t>
            </w:r>
          </w:p>
        </w:tc>
      </w:tr>
      <w:tr w:rsidR="00C4539F" w:rsidRPr="00A964FF" w14:paraId="296FAB45" w14:textId="77777777" w:rsidTr="00BD220E">
        <w:trPr>
          <w:trHeight w:val="340"/>
        </w:trPr>
        <w:tc>
          <w:tcPr>
            <w:tcW w:w="802" w:type="dxa"/>
            <w:vMerge/>
            <w:tcMar>
              <w:left w:w="113" w:type="dxa"/>
              <w:right w:w="113" w:type="dxa"/>
            </w:tcMar>
            <w:vAlign w:val="center"/>
          </w:tcPr>
          <w:p w14:paraId="7F19B2E3" w14:textId="77777777" w:rsidR="00C4539F" w:rsidRPr="00A964FF" w:rsidRDefault="00C4539F" w:rsidP="00C4539F">
            <w:pPr>
              <w:jc w:val="center"/>
              <w:rPr>
                <w:rFonts w:ascii="Calibri" w:hAnsi="Calibri"/>
                <w:bCs/>
                <w:color w:val="auto"/>
                <w:szCs w:val="21"/>
              </w:rPr>
            </w:pPr>
          </w:p>
        </w:tc>
        <w:tc>
          <w:tcPr>
            <w:tcW w:w="992" w:type="dxa"/>
            <w:vAlign w:val="center"/>
          </w:tcPr>
          <w:p w14:paraId="17F09FD6" w14:textId="77777777" w:rsidR="00C4539F" w:rsidRDefault="00C4539F" w:rsidP="00C4539F">
            <w:pPr>
              <w:jc w:val="center"/>
              <w:rPr>
                <w:rFonts w:ascii="Calibri" w:hAnsi="Calibri"/>
                <w:bCs/>
                <w:color w:val="auto"/>
                <w:szCs w:val="21"/>
              </w:rPr>
            </w:pPr>
            <w:r>
              <w:rPr>
                <w:rFonts w:ascii="Calibri" w:hAnsi="Calibri"/>
                <w:bCs/>
                <w:color w:val="auto"/>
                <w:szCs w:val="21"/>
              </w:rPr>
              <w:t>50</w:t>
            </w:r>
          </w:p>
        </w:tc>
        <w:tc>
          <w:tcPr>
            <w:tcW w:w="1721" w:type="dxa"/>
            <w:gridSpan w:val="2"/>
            <w:tcMar>
              <w:left w:w="113" w:type="dxa"/>
              <w:right w:w="113" w:type="dxa"/>
            </w:tcMar>
            <w:vAlign w:val="center"/>
          </w:tcPr>
          <w:p w14:paraId="0530817A" w14:textId="77777777" w:rsidR="00C4539F" w:rsidRDefault="00C4539F" w:rsidP="00C4539F">
            <w:pPr>
              <w:jc w:val="center"/>
              <w:rPr>
                <w:rFonts w:ascii="Calibri"/>
                <w:color w:val="auto"/>
                <w:szCs w:val="21"/>
              </w:rPr>
            </w:pPr>
            <w:r>
              <w:rPr>
                <w:rFonts w:ascii="Calibri" w:hint="eastAsia"/>
                <w:color w:val="auto"/>
                <w:szCs w:val="21"/>
              </w:rPr>
              <w:t>后邓</w:t>
            </w:r>
            <w:r>
              <w:rPr>
                <w:rFonts w:ascii="Calibri"/>
                <w:color w:val="auto"/>
                <w:szCs w:val="21"/>
              </w:rPr>
              <w:t>村</w:t>
            </w:r>
          </w:p>
        </w:tc>
        <w:tc>
          <w:tcPr>
            <w:tcW w:w="1114" w:type="dxa"/>
            <w:vAlign w:val="center"/>
          </w:tcPr>
          <w:p w14:paraId="30E3E9A8" w14:textId="77777777" w:rsidR="00C4539F" w:rsidRPr="00A964FF" w:rsidRDefault="00276EE9"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32879EAF" w14:textId="77777777" w:rsidR="00C4539F" w:rsidRDefault="00276EE9" w:rsidP="00C4539F">
            <w:pPr>
              <w:jc w:val="center"/>
              <w:rPr>
                <w:rFonts w:ascii="Calibri" w:hAnsi="Calibri"/>
                <w:color w:val="auto"/>
                <w:szCs w:val="21"/>
              </w:rPr>
            </w:pPr>
            <w:r>
              <w:rPr>
                <w:rFonts w:ascii="Calibri" w:hAnsi="Calibri" w:hint="eastAsia"/>
                <w:color w:val="auto"/>
                <w:szCs w:val="21"/>
              </w:rPr>
              <w:t>4680</w:t>
            </w:r>
          </w:p>
        </w:tc>
        <w:tc>
          <w:tcPr>
            <w:tcW w:w="1559" w:type="dxa"/>
            <w:gridSpan w:val="2"/>
            <w:vAlign w:val="center"/>
          </w:tcPr>
          <w:p w14:paraId="17DF7273"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72365534"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120</w:t>
            </w:r>
          </w:p>
        </w:tc>
      </w:tr>
      <w:tr w:rsidR="00C4539F" w:rsidRPr="00A964FF" w14:paraId="6D75371C" w14:textId="77777777" w:rsidTr="00BD220E">
        <w:trPr>
          <w:trHeight w:val="340"/>
        </w:trPr>
        <w:tc>
          <w:tcPr>
            <w:tcW w:w="802" w:type="dxa"/>
            <w:vMerge/>
            <w:tcMar>
              <w:left w:w="113" w:type="dxa"/>
              <w:right w:w="113" w:type="dxa"/>
            </w:tcMar>
            <w:vAlign w:val="center"/>
          </w:tcPr>
          <w:p w14:paraId="3C0A47D0" w14:textId="77777777" w:rsidR="00C4539F" w:rsidRPr="00A964FF" w:rsidRDefault="00C4539F" w:rsidP="00C4539F">
            <w:pPr>
              <w:jc w:val="center"/>
              <w:rPr>
                <w:rFonts w:ascii="Calibri" w:hAnsi="Calibri"/>
                <w:bCs/>
                <w:color w:val="auto"/>
                <w:szCs w:val="21"/>
              </w:rPr>
            </w:pPr>
          </w:p>
        </w:tc>
        <w:tc>
          <w:tcPr>
            <w:tcW w:w="992" w:type="dxa"/>
            <w:vAlign w:val="center"/>
          </w:tcPr>
          <w:p w14:paraId="7171D6EB" w14:textId="77777777" w:rsidR="00C4539F" w:rsidRDefault="00C4539F" w:rsidP="00C4539F">
            <w:pPr>
              <w:jc w:val="center"/>
              <w:rPr>
                <w:rFonts w:ascii="Calibri" w:hAnsi="Calibri"/>
                <w:bCs/>
                <w:color w:val="auto"/>
                <w:szCs w:val="21"/>
              </w:rPr>
            </w:pPr>
            <w:r>
              <w:rPr>
                <w:rFonts w:ascii="Calibri" w:hAnsi="Calibri"/>
                <w:bCs/>
                <w:color w:val="auto"/>
                <w:szCs w:val="21"/>
              </w:rPr>
              <w:t>51</w:t>
            </w:r>
          </w:p>
        </w:tc>
        <w:tc>
          <w:tcPr>
            <w:tcW w:w="1721" w:type="dxa"/>
            <w:gridSpan w:val="2"/>
            <w:tcMar>
              <w:left w:w="113" w:type="dxa"/>
              <w:right w:w="113" w:type="dxa"/>
            </w:tcMar>
            <w:vAlign w:val="center"/>
          </w:tcPr>
          <w:p w14:paraId="374EE5D7" w14:textId="77777777" w:rsidR="00C4539F" w:rsidRDefault="00C4539F" w:rsidP="00C4539F">
            <w:pPr>
              <w:jc w:val="center"/>
              <w:rPr>
                <w:rFonts w:ascii="Calibri"/>
                <w:color w:val="auto"/>
                <w:szCs w:val="21"/>
              </w:rPr>
            </w:pPr>
            <w:r>
              <w:rPr>
                <w:rFonts w:ascii="Calibri" w:hint="eastAsia"/>
                <w:color w:val="auto"/>
                <w:szCs w:val="21"/>
              </w:rPr>
              <w:t>王营村</w:t>
            </w:r>
          </w:p>
        </w:tc>
        <w:tc>
          <w:tcPr>
            <w:tcW w:w="1114" w:type="dxa"/>
            <w:vAlign w:val="center"/>
          </w:tcPr>
          <w:p w14:paraId="68D4354E" w14:textId="77777777" w:rsidR="00C4539F" w:rsidRPr="00A964FF" w:rsidRDefault="00276EE9" w:rsidP="00C4539F">
            <w:pPr>
              <w:jc w:val="center"/>
              <w:rPr>
                <w:rFonts w:ascii="Calibri" w:hAnsi="Calibri"/>
                <w:color w:val="auto"/>
                <w:szCs w:val="21"/>
              </w:rPr>
            </w:pPr>
            <w:r w:rsidRPr="00A964FF">
              <w:rPr>
                <w:rFonts w:ascii="Calibri" w:hAnsi="Calibri" w:hint="eastAsia"/>
                <w:color w:val="auto"/>
                <w:szCs w:val="21"/>
              </w:rPr>
              <w:t>SE</w:t>
            </w:r>
          </w:p>
        </w:tc>
        <w:tc>
          <w:tcPr>
            <w:tcW w:w="1296" w:type="dxa"/>
            <w:gridSpan w:val="3"/>
            <w:vAlign w:val="center"/>
          </w:tcPr>
          <w:p w14:paraId="300DE720" w14:textId="77777777" w:rsidR="00C4539F" w:rsidRDefault="003A23B5" w:rsidP="00C4539F">
            <w:pPr>
              <w:jc w:val="center"/>
              <w:rPr>
                <w:rFonts w:ascii="Calibri" w:hAnsi="Calibri"/>
                <w:color w:val="auto"/>
                <w:szCs w:val="21"/>
              </w:rPr>
            </w:pPr>
            <w:r>
              <w:rPr>
                <w:rFonts w:ascii="Calibri" w:hAnsi="Calibri" w:hint="eastAsia"/>
                <w:color w:val="auto"/>
                <w:szCs w:val="21"/>
              </w:rPr>
              <w:t>1934</w:t>
            </w:r>
          </w:p>
        </w:tc>
        <w:tc>
          <w:tcPr>
            <w:tcW w:w="1559" w:type="dxa"/>
            <w:gridSpan w:val="2"/>
            <w:vAlign w:val="center"/>
          </w:tcPr>
          <w:p w14:paraId="20687EC8"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居住区</w:t>
            </w:r>
          </w:p>
        </w:tc>
        <w:tc>
          <w:tcPr>
            <w:tcW w:w="1418" w:type="dxa"/>
            <w:vAlign w:val="center"/>
          </w:tcPr>
          <w:p w14:paraId="63D4956C" w14:textId="77777777" w:rsidR="00C4539F" w:rsidRPr="00A964FF" w:rsidRDefault="003A23B5" w:rsidP="00C4539F">
            <w:pPr>
              <w:jc w:val="center"/>
              <w:rPr>
                <w:rFonts w:ascii="Calibri" w:hAnsi="Calibri"/>
                <w:color w:val="auto"/>
                <w:szCs w:val="21"/>
              </w:rPr>
            </w:pPr>
            <w:r>
              <w:rPr>
                <w:rFonts w:ascii="Calibri" w:hAnsi="Calibri" w:hint="eastAsia"/>
                <w:color w:val="auto"/>
                <w:szCs w:val="21"/>
              </w:rPr>
              <w:t>1024</w:t>
            </w:r>
          </w:p>
        </w:tc>
      </w:tr>
      <w:tr w:rsidR="00C4539F" w:rsidRPr="00A964FF" w14:paraId="361BAF91" w14:textId="77777777" w:rsidTr="00BD220E">
        <w:trPr>
          <w:trHeight w:val="340"/>
        </w:trPr>
        <w:tc>
          <w:tcPr>
            <w:tcW w:w="802" w:type="dxa"/>
            <w:vMerge/>
            <w:tcMar>
              <w:left w:w="113" w:type="dxa"/>
              <w:right w:w="113" w:type="dxa"/>
            </w:tcMar>
            <w:vAlign w:val="center"/>
          </w:tcPr>
          <w:p w14:paraId="44D01612" w14:textId="77777777" w:rsidR="00C4539F" w:rsidRPr="00A964FF" w:rsidRDefault="00C4539F" w:rsidP="00C4539F">
            <w:pPr>
              <w:jc w:val="center"/>
              <w:rPr>
                <w:rFonts w:ascii="Calibri" w:hAnsi="Calibri"/>
                <w:bCs/>
                <w:color w:val="auto"/>
                <w:szCs w:val="21"/>
              </w:rPr>
            </w:pPr>
          </w:p>
        </w:tc>
        <w:tc>
          <w:tcPr>
            <w:tcW w:w="6682" w:type="dxa"/>
            <w:gridSpan w:val="9"/>
            <w:vAlign w:val="center"/>
          </w:tcPr>
          <w:p w14:paraId="7DEB95C4"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厂址周边</w:t>
            </w:r>
            <w:r w:rsidRPr="00A964FF">
              <w:rPr>
                <w:rFonts w:ascii="Calibri" w:hAnsi="Calibri"/>
                <w:color w:val="auto"/>
                <w:szCs w:val="21"/>
              </w:rPr>
              <w:t>500m</w:t>
            </w:r>
            <w:r w:rsidRPr="00A964FF">
              <w:rPr>
                <w:rFonts w:ascii="Calibri" w:hAnsi="Calibri"/>
                <w:color w:val="auto"/>
                <w:szCs w:val="21"/>
              </w:rPr>
              <w:t>范围内</w:t>
            </w:r>
            <w:r w:rsidRPr="00A964FF">
              <w:rPr>
                <w:rFonts w:ascii="Calibri" w:hAnsi="Calibri" w:hint="eastAsia"/>
                <w:color w:val="auto"/>
                <w:szCs w:val="21"/>
              </w:rPr>
              <w:t>敏感目标</w:t>
            </w:r>
            <w:r w:rsidRPr="00A964FF">
              <w:rPr>
                <w:rFonts w:ascii="Calibri" w:hAnsi="Calibri"/>
                <w:color w:val="auto"/>
                <w:szCs w:val="21"/>
              </w:rPr>
              <w:t>人口数小计</w:t>
            </w:r>
          </w:p>
        </w:tc>
        <w:tc>
          <w:tcPr>
            <w:tcW w:w="1418" w:type="dxa"/>
            <w:vAlign w:val="center"/>
          </w:tcPr>
          <w:p w14:paraId="51DD6940"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0</w:t>
            </w:r>
          </w:p>
        </w:tc>
      </w:tr>
      <w:tr w:rsidR="00C4539F" w:rsidRPr="00A964FF" w14:paraId="2A3B21EF" w14:textId="77777777" w:rsidTr="00BD220E">
        <w:trPr>
          <w:trHeight w:val="340"/>
        </w:trPr>
        <w:tc>
          <w:tcPr>
            <w:tcW w:w="802" w:type="dxa"/>
            <w:vMerge/>
            <w:tcMar>
              <w:left w:w="113" w:type="dxa"/>
              <w:right w:w="113" w:type="dxa"/>
            </w:tcMar>
            <w:vAlign w:val="center"/>
          </w:tcPr>
          <w:p w14:paraId="5F2B160E" w14:textId="77777777" w:rsidR="00C4539F" w:rsidRPr="00A964FF" w:rsidRDefault="00C4539F" w:rsidP="00C4539F">
            <w:pPr>
              <w:jc w:val="center"/>
              <w:rPr>
                <w:rFonts w:ascii="Calibri" w:hAnsi="Calibri"/>
                <w:bCs/>
                <w:color w:val="auto"/>
                <w:szCs w:val="21"/>
              </w:rPr>
            </w:pPr>
          </w:p>
        </w:tc>
        <w:tc>
          <w:tcPr>
            <w:tcW w:w="6682" w:type="dxa"/>
            <w:gridSpan w:val="9"/>
            <w:vAlign w:val="center"/>
          </w:tcPr>
          <w:p w14:paraId="12FA02C3"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厂址周边</w:t>
            </w:r>
            <w:r w:rsidRPr="00A964FF">
              <w:rPr>
                <w:rFonts w:ascii="Calibri" w:hAnsi="Calibri" w:hint="eastAsia"/>
                <w:color w:val="auto"/>
                <w:szCs w:val="21"/>
              </w:rPr>
              <w:t>5</w:t>
            </w:r>
            <w:r w:rsidRPr="00A964FF">
              <w:rPr>
                <w:rFonts w:ascii="Calibri" w:hAnsi="Calibri"/>
                <w:color w:val="auto"/>
                <w:szCs w:val="21"/>
              </w:rPr>
              <w:t>km</w:t>
            </w:r>
            <w:r w:rsidRPr="00A964FF">
              <w:rPr>
                <w:rFonts w:ascii="Calibri" w:hAnsi="Calibri"/>
                <w:color w:val="auto"/>
                <w:szCs w:val="21"/>
              </w:rPr>
              <w:t>范围内</w:t>
            </w:r>
            <w:r w:rsidRPr="00A964FF">
              <w:rPr>
                <w:rFonts w:ascii="Calibri" w:hAnsi="Calibri" w:hint="eastAsia"/>
                <w:color w:val="auto"/>
                <w:szCs w:val="21"/>
              </w:rPr>
              <w:t>敏感目标</w:t>
            </w:r>
            <w:r w:rsidRPr="00A964FF">
              <w:rPr>
                <w:rFonts w:ascii="Calibri" w:hAnsi="Calibri"/>
                <w:color w:val="auto"/>
                <w:szCs w:val="21"/>
              </w:rPr>
              <w:t>人口数小计</w:t>
            </w:r>
          </w:p>
        </w:tc>
        <w:tc>
          <w:tcPr>
            <w:tcW w:w="1418" w:type="dxa"/>
            <w:vAlign w:val="center"/>
          </w:tcPr>
          <w:p w14:paraId="1C48A6FE" w14:textId="77777777" w:rsidR="00C4539F" w:rsidRPr="00A964FF" w:rsidRDefault="00276EE9" w:rsidP="00C4539F">
            <w:pPr>
              <w:jc w:val="center"/>
              <w:rPr>
                <w:rFonts w:ascii="Calibri" w:hAnsi="Calibri"/>
                <w:color w:val="auto"/>
                <w:szCs w:val="21"/>
              </w:rPr>
            </w:pPr>
            <w:r>
              <w:rPr>
                <w:rFonts w:ascii="Calibri" w:hAnsi="Calibri"/>
                <w:color w:val="auto"/>
                <w:szCs w:val="21"/>
              </w:rPr>
              <w:t>36555</w:t>
            </w:r>
          </w:p>
        </w:tc>
      </w:tr>
      <w:tr w:rsidR="00C4539F" w:rsidRPr="00A964FF" w14:paraId="0E67C427" w14:textId="77777777" w:rsidTr="00BD220E">
        <w:trPr>
          <w:trHeight w:val="340"/>
        </w:trPr>
        <w:tc>
          <w:tcPr>
            <w:tcW w:w="802" w:type="dxa"/>
            <w:vMerge/>
            <w:tcMar>
              <w:left w:w="113" w:type="dxa"/>
              <w:right w:w="113" w:type="dxa"/>
            </w:tcMar>
            <w:vAlign w:val="center"/>
          </w:tcPr>
          <w:p w14:paraId="3991A87D" w14:textId="77777777" w:rsidR="00C4539F" w:rsidRPr="00A964FF" w:rsidRDefault="00C4539F" w:rsidP="00C4539F">
            <w:pPr>
              <w:jc w:val="center"/>
              <w:rPr>
                <w:rFonts w:ascii="Calibri" w:hAnsi="Calibri"/>
                <w:bCs/>
                <w:color w:val="auto"/>
                <w:szCs w:val="21"/>
              </w:rPr>
            </w:pPr>
          </w:p>
        </w:tc>
        <w:tc>
          <w:tcPr>
            <w:tcW w:w="6682" w:type="dxa"/>
            <w:gridSpan w:val="9"/>
            <w:vAlign w:val="center"/>
          </w:tcPr>
          <w:p w14:paraId="23F99502"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大气环境敏感程度</w:t>
            </w:r>
            <w:r w:rsidRPr="00A964FF">
              <w:rPr>
                <w:rFonts w:ascii="Calibri" w:hAnsi="Calibri"/>
                <w:color w:val="auto"/>
                <w:szCs w:val="21"/>
              </w:rPr>
              <w:t>E</w:t>
            </w:r>
            <w:r w:rsidRPr="00A964FF">
              <w:rPr>
                <w:rFonts w:ascii="Calibri" w:hAnsi="Calibri"/>
                <w:color w:val="auto"/>
                <w:szCs w:val="21"/>
              </w:rPr>
              <w:t>值</w:t>
            </w:r>
          </w:p>
        </w:tc>
        <w:tc>
          <w:tcPr>
            <w:tcW w:w="1418" w:type="dxa"/>
            <w:vAlign w:val="center"/>
          </w:tcPr>
          <w:p w14:paraId="38D64026"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E</w:t>
            </w:r>
            <w:r w:rsidRPr="00A964FF">
              <w:rPr>
                <w:rFonts w:ascii="Calibri" w:hAnsi="Calibri" w:hint="eastAsia"/>
                <w:color w:val="auto"/>
                <w:szCs w:val="21"/>
              </w:rPr>
              <w:t>2</w:t>
            </w:r>
          </w:p>
        </w:tc>
      </w:tr>
      <w:tr w:rsidR="00C4539F" w:rsidRPr="00A964FF" w14:paraId="007CC98D" w14:textId="77777777" w:rsidTr="001509A3">
        <w:trPr>
          <w:trHeight w:val="340"/>
        </w:trPr>
        <w:tc>
          <w:tcPr>
            <w:tcW w:w="802" w:type="dxa"/>
            <w:vMerge w:val="restart"/>
            <w:tcMar>
              <w:left w:w="113" w:type="dxa"/>
              <w:right w:w="113" w:type="dxa"/>
            </w:tcMar>
            <w:vAlign w:val="center"/>
          </w:tcPr>
          <w:p w14:paraId="3DDCD78C" w14:textId="77777777" w:rsidR="00C4539F" w:rsidRPr="00A964FF" w:rsidRDefault="00C4539F" w:rsidP="00C4539F">
            <w:pPr>
              <w:jc w:val="center"/>
              <w:rPr>
                <w:rFonts w:ascii="Calibri" w:hAnsi="Calibri"/>
                <w:bCs/>
                <w:color w:val="auto"/>
                <w:szCs w:val="21"/>
              </w:rPr>
            </w:pPr>
            <w:r w:rsidRPr="00A964FF">
              <w:rPr>
                <w:rFonts w:ascii="Calibri" w:hAnsi="Calibri"/>
                <w:bCs/>
                <w:color w:val="auto"/>
                <w:szCs w:val="21"/>
              </w:rPr>
              <w:t>地表水</w:t>
            </w:r>
          </w:p>
        </w:tc>
        <w:tc>
          <w:tcPr>
            <w:tcW w:w="8100" w:type="dxa"/>
            <w:gridSpan w:val="10"/>
            <w:vAlign w:val="center"/>
          </w:tcPr>
          <w:p w14:paraId="5C45E55B"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受纳水体</w:t>
            </w:r>
          </w:p>
        </w:tc>
      </w:tr>
      <w:tr w:rsidR="00C4539F" w:rsidRPr="00A964FF" w14:paraId="63DA9FA7" w14:textId="77777777" w:rsidTr="001509A3">
        <w:trPr>
          <w:trHeight w:val="340"/>
        </w:trPr>
        <w:tc>
          <w:tcPr>
            <w:tcW w:w="802" w:type="dxa"/>
            <w:vMerge/>
            <w:tcMar>
              <w:left w:w="113" w:type="dxa"/>
              <w:right w:w="113" w:type="dxa"/>
            </w:tcMar>
            <w:vAlign w:val="center"/>
          </w:tcPr>
          <w:p w14:paraId="4E4CD281" w14:textId="77777777" w:rsidR="00C4539F" w:rsidRPr="00A964FF" w:rsidRDefault="00C4539F" w:rsidP="00C4539F">
            <w:pPr>
              <w:jc w:val="center"/>
              <w:rPr>
                <w:rFonts w:ascii="Calibri" w:hAnsi="Calibri"/>
                <w:bCs/>
                <w:color w:val="auto"/>
                <w:szCs w:val="21"/>
              </w:rPr>
            </w:pPr>
          </w:p>
        </w:tc>
        <w:tc>
          <w:tcPr>
            <w:tcW w:w="992" w:type="dxa"/>
            <w:vAlign w:val="center"/>
          </w:tcPr>
          <w:p w14:paraId="7434861D" w14:textId="77777777" w:rsidR="00C4539F" w:rsidRPr="00A964FF" w:rsidRDefault="00C4539F" w:rsidP="00C4539F">
            <w:pPr>
              <w:jc w:val="center"/>
              <w:rPr>
                <w:rFonts w:ascii="Calibri" w:hAnsi="Calibri"/>
                <w:bCs/>
                <w:color w:val="auto"/>
                <w:szCs w:val="21"/>
              </w:rPr>
            </w:pPr>
            <w:r w:rsidRPr="00A964FF">
              <w:rPr>
                <w:rFonts w:ascii="Calibri" w:hAnsi="Calibri"/>
                <w:bCs/>
                <w:color w:val="auto"/>
                <w:szCs w:val="21"/>
              </w:rPr>
              <w:t>序号</w:t>
            </w:r>
          </w:p>
        </w:tc>
        <w:tc>
          <w:tcPr>
            <w:tcW w:w="1560" w:type="dxa"/>
            <w:tcMar>
              <w:left w:w="113" w:type="dxa"/>
              <w:right w:w="113" w:type="dxa"/>
            </w:tcMar>
            <w:vAlign w:val="center"/>
          </w:tcPr>
          <w:p w14:paraId="1E09F761"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受纳水体</w:t>
            </w:r>
          </w:p>
        </w:tc>
        <w:tc>
          <w:tcPr>
            <w:tcW w:w="2409" w:type="dxa"/>
            <w:gridSpan w:val="4"/>
            <w:vAlign w:val="center"/>
          </w:tcPr>
          <w:p w14:paraId="7F640CFD"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排放点水域环境功能</w:t>
            </w:r>
          </w:p>
        </w:tc>
        <w:tc>
          <w:tcPr>
            <w:tcW w:w="3139" w:type="dxa"/>
            <w:gridSpan w:val="4"/>
            <w:vAlign w:val="center"/>
          </w:tcPr>
          <w:p w14:paraId="3C53546D"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24h</w:t>
            </w:r>
            <w:r w:rsidRPr="00A964FF">
              <w:rPr>
                <w:rFonts w:ascii="Calibri" w:hAnsi="Calibri"/>
                <w:color w:val="auto"/>
                <w:szCs w:val="21"/>
              </w:rPr>
              <w:t>内径流范围</w:t>
            </w:r>
            <w:r w:rsidRPr="00A964FF">
              <w:rPr>
                <w:rFonts w:ascii="Calibri" w:hAnsi="Calibri"/>
                <w:color w:val="auto"/>
                <w:szCs w:val="21"/>
              </w:rPr>
              <w:t>/km</w:t>
            </w:r>
          </w:p>
        </w:tc>
      </w:tr>
      <w:tr w:rsidR="00C4539F" w:rsidRPr="00A964FF" w14:paraId="29C3658F" w14:textId="77777777" w:rsidTr="001509A3">
        <w:trPr>
          <w:trHeight w:val="340"/>
        </w:trPr>
        <w:tc>
          <w:tcPr>
            <w:tcW w:w="802" w:type="dxa"/>
            <w:vMerge/>
            <w:tcMar>
              <w:left w:w="113" w:type="dxa"/>
              <w:right w:w="113" w:type="dxa"/>
            </w:tcMar>
            <w:vAlign w:val="center"/>
          </w:tcPr>
          <w:p w14:paraId="552BC380" w14:textId="77777777" w:rsidR="00C4539F" w:rsidRPr="00A964FF" w:rsidRDefault="00C4539F" w:rsidP="00C4539F">
            <w:pPr>
              <w:jc w:val="center"/>
              <w:rPr>
                <w:rFonts w:ascii="Calibri" w:hAnsi="Calibri"/>
                <w:bCs/>
                <w:color w:val="auto"/>
                <w:szCs w:val="21"/>
              </w:rPr>
            </w:pPr>
          </w:p>
        </w:tc>
        <w:tc>
          <w:tcPr>
            <w:tcW w:w="992" w:type="dxa"/>
            <w:vAlign w:val="center"/>
          </w:tcPr>
          <w:p w14:paraId="0AF7ECAE" w14:textId="77777777" w:rsidR="00C4539F" w:rsidRPr="00A964FF" w:rsidRDefault="00C4539F" w:rsidP="00C4539F">
            <w:pPr>
              <w:jc w:val="center"/>
              <w:rPr>
                <w:rFonts w:ascii="Calibri" w:hAnsi="Calibri"/>
                <w:bCs/>
                <w:color w:val="auto"/>
                <w:szCs w:val="21"/>
              </w:rPr>
            </w:pPr>
            <w:r w:rsidRPr="00A964FF">
              <w:rPr>
                <w:rFonts w:ascii="Calibri" w:hAnsi="Calibri"/>
                <w:bCs/>
                <w:color w:val="auto"/>
                <w:szCs w:val="21"/>
              </w:rPr>
              <w:t>1</w:t>
            </w:r>
          </w:p>
        </w:tc>
        <w:tc>
          <w:tcPr>
            <w:tcW w:w="1560" w:type="dxa"/>
            <w:tcMar>
              <w:left w:w="113" w:type="dxa"/>
              <w:right w:w="113" w:type="dxa"/>
            </w:tcMar>
            <w:vAlign w:val="center"/>
          </w:tcPr>
          <w:p w14:paraId="643F8741"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灰河</w:t>
            </w:r>
          </w:p>
        </w:tc>
        <w:tc>
          <w:tcPr>
            <w:tcW w:w="2409" w:type="dxa"/>
            <w:gridSpan w:val="4"/>
            <w:vAlign w:val="center"/>
          </w:tcPr>
          <w:p w14:paraId="7434C3B8"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IV</w:t>
            </w:r>
            <w:r w:rsidRPr="00A964FF">
              <w:rPr>
                <w:rFonts w:ascii="Calibri" w:hAnsi="Calibri" w:hint="eastAsia"/>
                <w:color w:val="auto"/>
                <w:szCs w:val="21"/>
              </w:rPr>
              <w:t>类</w:t>
            </w:r>
            <w:r w:rsidRPr="00A964FF">
              <w:rPr>
                <w:rFonts w:ascii="Calibri" w:hAnsi="Calibri"/>
                <w:color w:val="auto"/>
                <w:szCs w:val="21"/>
              </w:rPr>
              <w:t>水体</w:t>
            </w:r>
          </w:p>
        </w:tc>
        <w:tc>
          <w:tcPr>
            <w:tcW w:w="3139" w:type="dxa"/>
            <w:gridSpan w:val="4"/>
            <w:vAlign w:val="center"/>
          </w:tcPr>
          <w:p w14:paraId="27455465"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其他</w:t>
            </w:r>
          </w:p>
        </w:tc>
      </w:tr>
      <w:tr w:rsidR="00C4539F" w:rsidRPr="00A964FF" w14:paraId="247818E5" w14:textId="77777777" w:rsidTr="001509A3">
        <w:trPr>
          <w:trHeight w:val="340"/>
        </w:trPr>
        <w:tc>
          <w:tcPr>
            <w:tcW w:w="802" w:type="dxa"/>
            <w:vMerge/>
            <w:tcMar>
              <w:left w:w="113" w:type="dxa"/>
              <w:right w:w="113" w:type="dxa"/>
            </w:tcMar>
            <w:vAlign w:val="center"/>
          </w:tcPr>
          <w:p w14:paraId="481BE1A3" w14:textId="77777777" w:rsidR="00C4539F" w:rsidRPr="00A964FF" w:rsidRDefault="00C4539F" w:rsidP="00C4539F">
            <w:pPr>
              <w:jc w:val="center"/>
              <w:rPr>
                <w:rFonts w:ascii="Calibri" w:hAnsi="Calibri"/>
                <w:bCs/>
                <w:color w:val="auto"/>
                <w:szCs w:val="21"/>
              </w:rPr>
            </w:pPr>
          </w:p>
        </w:tc>
        <w:tc>
          <w:tcPr>
            <w:tcW w:w="4961" w:type="dxa"/>
            <w:gridSpan w:val="6"/>
            <w:vAlign w:val="center"/>
          </w:tcPr>
          <w:p w14:paraId="70ABF704"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地表水环境敏感程度</w:t>
            </w:r>
            <w:r w:rsidRPr="00A964FF">
              <w:rPr>
                <w:rFonts w:ascii="Calibri" w:hAnsi="Calibri"/>
                <w:color w:val="auto"/>
                <w:szCs w:val="21"/>
              </w:rPr>
              <w:t>E</w:t>
            </w:r>
            <w:r w:rsidRPr="00A964FF">
              <w:rPr>
                <w:rFonts w:ascii="Calibri" w:hAnsi="Calibri"/>
                <w:color w:val="auto"/>
                <w:szCs w:val="21"/>
              </w:rPr>
              <w:t>值</w:t>
            </w:r>
          </w:p>
        </w:tc>
        <w:tc>
          <w:tcPr>
            <w:tcW w:w="3139" w:type="dxa"/>
            <w:gridSpan w:val="4"/>
            <w:vAlign w:val="center"/>
          </w:tcPr>
          <w:p w14:paraId="10303544" w14:textId="77777777" w:rsidR="00C4539F" w:rsidRPr="00A964FF" w:rsidRDefault="00C4539F" w:rsidP="00726673">
            <w:pPr>
              <w:jc w:val="center"/>
              <w:rPr>
                <w:rFonts w:ascii="Calibri" w:hAnsi="Calibri"/>
                <w:color w:val="auto"/>
                <w:szCs w:val="21"/>
              </w:rPr>
            </w:pPr>
            <w:r w:rsidRPr="00A964FF">
              <w:rPr>
                <w:rFonts w:ascii="Calibri" w:hAnsi="Calibri"/>
                <w:color w:val="auto"/>
                <w:szCs w:val="21"/>
              </w:rPr>
              <w:t>E</w:t>
            </w:r>
            <w:r w:rsidR="00726673">
              <w:rPr>
                <w:rFonts w:ascii="Calibri" w:hAnsi="Calibri"/>
                <w:color w:val="auto"/>
                <w:szCs w:val="21"/>
              </w:rPr>
              <w:t>3</w:t>
            </w:r>
          </w:p>
        </w:tc>
      </w:tr>
      <w:tr w:rsidR="00C4539F" w:rsidRPr="00A964FF" w14:paraId="01D017EF" w14:textId="77777777" w:rsidTr="001509A3">
        <w:trPr>
          <w:trHeight w:val="340"/>
        </w:trPr>
        <w:tc>
          <w:tcPr>
            <w:tcW w:w="802" w:type="dxa"/>
            <w:vMerge w:val="restart"/>
            <w:tcMar>
              <w:left w:w="113" w:type="dxa"/>
              <w:right w:w="113" w:type="dxa"/>
            </w:tcMar>
            <w:vAlign w:val="center"/>
          </w:tcPr>
          <w:p w14:paraId="2E5FBC98" w14:textId="77777777" w:rsidR="00C4539F" w:rsidRPr="00A964FF" w:rsidRDefault="00C4539F" w:rsidP="00C4539F">
            <w:pPr>
              <w:jc w:val="center"/>
              <w:rPr>
                <w:rFonts w:ascii="Calibri" w:hAnsi="Calibri"/>
                <w:bCs/>
                <w:color w:val="auto"/>
                <w:szCs w:val="21"/>
              </w:rPr>
            </w:pPr>
            <w:r w:rsidRPr="00A964FF">
              <w:rPr>
                <w:rFonts w:ascii="Calibri" w:hAnsi="Calibri"/>
                <w:bCs/>
                <w:color w:val="auto"/>
                <w:szCs w:val="21"/>
              </w:rPr>
              <w:t>地下水</w:t>
            </w:r>
          </w:p>
        </w:tc>
        <w:tc>
          <w:tcPr>
            <w:tcW w:w="992" w:type="dxa"/>
            <w:vAlign w:val="center"/>
          </w:tcPr>
          <w:p w14:paraId="29D2DDED" w14:textId="77777777" w:rsidR="00C4539F" w:rsidRPr="00A964FF" w:rsidRDefault="00C4539F" w:rsidP="00C4539F">
            <w:pPr>
              <w:jc w:val="center"/>
              <w:rPr>
                <w:rFonts w:ascii="Calibri" w:hAnsi="Calibri"/>
                <w:bCs/>
                <w:color w:val="auto"/>
                <w:szCs w:val="21"/>
              </w:rPr>
            </w:pPr>
            <w:r w:rsidRPr="00A964FF">
              <w:rPr>
                <w:rFonts w:ascii="Calibri" w:hAnsi="Calibri"/>
                <w:bCs/>
                <w:color w:val="auto"/>
                <w:szCs w:val="21"/>
              </w:rPr>
              <w:t>序号</w:t>
            </w:r>
          </w:p>
        </w:tc>
        <w:tc>
          <w:tcPr>
            <w:tcW w:w="1560" w:type="dxa"/>
            <w:tcMar>
              <w:left w:w="113" w:type="dxa"/>
              <w:right w:w="113" w:type="dxa"/>
            </w:tcMar>
            <w:vAlign w:val="center"/>
          </w:tcPr>
          <w:p w14:paraId="1998843F"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环境敏感区</w:t>
            </w:r>
          </w:p>
          <w:p w14:paraId="0B1632BE"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名称</w:t>
            </w:r>
          </w:p>
        </w:tc>
        <w:tc>
          <w:tcPr>
            <w:tcW w:w="1295" w:type="dxa"/>
            <w:gridSpan w:val="3"/>
            <w:vAlign w:val="center"/>
          </w:tcPr>
          <w:p w14:paraId="6DA54BEF"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环境敏特征</w:t>
            </w:r>
          </w:p>
        </w:tc>
        <w:tc>
          <w:tcPr>
            <w:tcW w:w="1114" w:type="dxa"/>
            <w:vAlign w:val="center"/>
          </w:tcPr>
          <w:p w14:paraId="795EF067"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水质目标</w:t>
            </w:r>
          </w:p>
        </w:tc>
        <w:tc>
          <w:tcPr>
            <w:tcW w:w="1296" w:type="dxa"/>
            <w:gridSpan w:val="2"/>
            <w:vAlign w:val="center"/>
          </w:tcPr>
          <w:p w14:paraId="4A39A4DD"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包气带防污性能</w:t>
            </w:r>
          </w:p>
        </w:tc>
        <w:tc>
          <w:tcPr>
            <w:tcW w:w="1843" w:type="dxa"/>
            <w:gridSpan w:val="2"/>
            <w:vAlign w:val="center"/>
          </w:tcPr>
          <w:p w14:paraId="20769F75"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与下游厂界距离</w:t>
            </w:r>
            <w:r w:rsidRPr="00A964FF">
              <w:rPr>
                <w:rFonts w:ascii="Calibri" w:hAnsi="Calibri"/>
                <w:color w:val="auto"/>
                <w:szCs w:val="21"/>
              </w:rPr>
              <w:t>/m</w:t>
            </w:r>
          </w:p>
        </w:tc>
      </w:tr>
      <w:tr w:rsidR="00C4539F" w:rsidRPr="00A964FF" w14:paraId="1EBA0F3D" w14:textId="77777777" w:rsidTr="001509A3">
        <w:trPr>
          <w:trHeight w:val="340"/>
        </w:trPr>
        <w:tc>
          <w:tcPr>
            <w:tcW w:w="802" w:type="dxa"/>
            <w:vMerge/>
            <w:tcMar>
              <w:left w:w="113" w:type="dxa"/>
              <w:right w:w="113" w:type="dxa"/>
            </w:tcMar>
            <w:vAlign w:val="center"/>
          </w:tcPr>
          <w:p w14:paraId="2732E9CB" w14:textId="77777777" w:rsidR="00C4539F" w:rsidRPr="00A964FF" w:rsidRDefault="00C4539F" w:rsidP="00C4539F">
            <w:pPr>
              <w:jc w:val="center"/>
              <w:rPr>
                <w:rFonts w:ascii="Calibri" w:hAnsi="Calibri"/>
                <w:bCs/>
                <w:color w:val="auto"/>
                <w:szCs w:val="21"/>
              </w:rPr>
            </w:pPr>
          </w:p>
        </w:tc>
        <w:tc>
          <w:tcPr>
            <w:tcW w:w="992" w:type="dxa"/>
            <w:vAlign w:val="center"/>
          </w:tcPr>
          <w:p w14:paraId="673FCC8A" w14:textId="77777777" w:rsidR="00C4539F" w:rsidRPr="00A964FF" w:rsidRDefault="00C4539F" w:rsidP="00C4539F">
            <w:pPr>
              <w:jc w:val="center"/>
              <w:rPr>
                <w:rFonts w:ascii="Calibri" w:hAnsi="Calibri"/>
                <w:bCs/>
                <w:color w:val="auto"/>
                <w:szCs w:val="21"/>
              </w:rPr>
            </w:pPr>
            <w:r w:rsidRPr="00A964FF">
              <w:rPr>
                <w:rFonts w:ascii="Calibri" w:hAnsi="Calibri"/>
                <w:bCs/>
                <w:color w:val="auto"/>
                <w:szCs w:val="21"/>
              </w:rPr>
              <w:t>1</w:t>
            </w:r>
          </w:p>
        </w:tc>
        <w:tc>
          <w:tcPr>
            <w:tcW w:w="1560" w:type="dxa"/>
            <w:tcMar>
              <w:left w:w="113" w:type="dxa"/>
              <w:right w:w="113" w:type="dxa"/>
            </w:tcMar>
            <w:vAlign w:val="center"/>
          </w:tcPr>
          <w:p w14:paraId="1596B908"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下游潜水层</w:t>
            </w:r>
          </w:p>
        </w:tc>
        <w:tc>
          <w:tcPr>
            <w:tcW w:w="1295" w:type="dxa"/>
            <w:gridSpan w:val="3"/>
            <w:vAlign w:val="center"/>
          </w:tcPr>
          <w:p w14:paraId="524514CA" w14:textId="77777777" w:rsidR="00C4539F" w:rsidRPr="00A964FF" w:rsidRDefault="00C4539F" w:rsidP="00C4539F">
            <w:pPr>
              <w:jc w:val="center"/>
              <w:rPr>
                <w:rFonts w:ascii="Calibri" w:hAnsi="Calibri"/>
                <w:color w:val="auto"/>
                <w:szCs w:val="21"/>
              </w:rPr>
            </w:pPr>
            <w:r w:rsidRPr="00A964FF">
              <w:rPr>
                <w:rFonts w:ascii="Calibri" w:hAnsi="Calibri" w:hint="eastAsia"/>
                <w:color w:val="auto"/>
                <w:szCs w:val="21"/>
              </w:rPr>
              <w:t>不敏感</w:t>
            </w:r>
            <w:r w:rsidRPr="00A964FF">
              <w:rPr>
                <w:rFonts w:ascii="Calibri" w:hAnsi="Calibri"/>
                <w:color w:val="auto"/>
                <w:szCs w:val="21"/>
              </w:rPr>
              <w:t>G</w:t>
            </w:r>
            <w:r w:rsidRPr="00A964FF">
              <w:rPr>
                <w:rFonts w:ascii="Calibri" w:hAnsi="Calibri" w:hint="eastAsia"/>
                <w:color w:val="auto"/>
                <w:szCs w:val="21"/>
              </w:rPr>
              <w:t>3</w:t>
            </w:r>
          </w:p>
        </w:tc>
        <w:tc>
          <w:tcPr>
            <w:tcW w:w="1114" w:type="dxa"/>
            <w:vAlign w:val="center"/>
          </w:tcPr>
          <w:p w14:paraId="3F3B5BA8"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III</w:t>
            </w:r>
            <w:r w:rsidRPr="00A964FF">
              <w:rPr>
                <w:rFonts w:ascii="Calibri" w:hAnsi="Calibri"/>
                <w:color w:val="auto"/>
                <w:szCs w:val="21"/>
              </w:rPr>
              <w:t>类</w:t>
            </w:r>
          </w:p>
        </w:tc>
        <w:tc>
          <w:tcPr>
            <w:tcW w:w="1296" w:type="dxa"/>
            <w:gridSpan w:val="2"/>
            <w:vAlign w:val="center"/>
          </w:tcPr>
          <w:p w14:paraId="63380070"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D</w:t>
            </w:r>
            <w:r w:rsidRPr="00A964FF">
              <w:rPr>
                <w:rFonts w:ascii="Calibri" w:hAnsi="Calibri" w:hint="eastAsia"/>
                <w:color w:val="auto"/>
                <w:szCs w:val="21"/>
              </w:rPr>
              <w:t>1</w:t>
            </w:r>
          </w:p>
        </w:tc>
        <w:tc>
          <w:tcPr>
            <w:tcW w:w="1843" w:type="dxa"/>
            <w:gridSpan w:val="2"/>
            <w:vAlign w:val="center"/>
          </w:tcPr>
          <w:p w14:paraId="7675C2AB"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w:t>
            </w:r>
          </w:p>
        </w:tc>
      </w:tr>
      <w:tr w:rsidR="00C4539F" w:rsidRPr="00A964FF" w14:paraId="010AFF0E" w14:textId="77777777" w:rsidTr="001509A3">
        <w:trPr>
          <w:trHeight w:val="340"/>
        </w:trPr>
        <w:tc>
          <w:tcPr>
            <w:tcW w:w="802" w:type="dxa"/>
            <w:vMerge/>
            <w:tcMar>
              <w:left w:w="113" w:type="dxa"/>
              <w:right w:w="113" w:type="dxa"/>
            </w:tcMar>
            <w:vAlign w:val="center"/>
          </w:tcPr>
          <w:p w14:paraId="62E7470A" w14:textId="77777777" w:rsidR="00C4539F" w:rsidRPr="00A964FF" w:rsidRDefault="00C4539F" w:rsidP="00C4539F">
            <w:pPr>
              <w:jc w:val="center"/>
              <w:rPr>
                <w:rFonts w:ascii="Calibri" w:hAnsi="Calibri"/>
                <w:bCs/>
                <w:color w:val="auto"/>
                <w:szCs w:val="21"/>
              </w:rPr>
            </w:pPr>
          </w:p>
        </w:tc>
        <w:tc>
          <w:tcPr>
            <w:tcW w:w="4961" w:type="dxa"/>
            <w:gridSpan w:val="6"/>
            <w:vAlign w:val="center"/>
          </w:tcPr>
          <w:p w14:paraId="5D9D2718"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地下水环境敏感程度</w:t>
            </w:r>
            <w:r w:rsidRPr="00A964FF">
              <w:rPr>
                <w:rFonts w:ascii="Calibri" w:hAnsi="Calibri"/>
                <w:color w:val="auto"/>
                <w:szCs w:val="21"/>
              </w:rPr>
              <w:t>E</w:t>
            </w:r>
            <w:r w:rsidRPr="00A964FF">
              <w:rPr>
                <w:rFonts w:ascii="Calibri" w:hAnsi="Calibri"/>
                <w:color w:val="auto"/>
                <w:szCs w:val="21"/>
              </w:rPr>
              <w:t>值</w:t>
            </w:r>
          </w:p>
        </w:tc>
        <w:tc>
          <w:tcPr>
            <w:tcW w:w="3139" w:type="dxa"/>
            <w:gridSpan w:val="4"/>
            <w:vAlign w:val="center"/>
          </w:tcPr>
          <w:p w14:paraId="70F1A31A" w14:textId="77777777" w:rsidR="00C4539F" w:rsidRPr="00A964FF" w:rsidRDefault="00C4539F" w:rsidP="00C4539F">
            <w:pPr>
              <w:jc w:val="center"/>
              <w:rPr>
                <w:rFonts w:ascii="Calibri" w:hAnsi="Calibri"/>
                <w:color w:val="auto"/>
                <w:szCs w:val="21"/>
              </w:rPr>
            </w:pPr>
            <w:r w:rsidRPr="00A964FF">
              <w:rPr>
                <w:rFonts w:ascii="Calibri" w:hAnsi="Calibri"/>
                <w:color w:val="auto"/>
                <w:szCs w:val="21"/>
              </w:rPr>
              <w:t>E</w:t>
            </w:r>
            <w:r w:rsidRPr="00A964FF">
              <w:rPr>
                <w:rFonts w:ascii="Calibri" w:hAnsi="Calibri" w:hint="eastAsia"/>
                <w:color w:val="auto"/>
                <w:szCs w:val="21"/>
              </w:rPr>
              <w:t>2</w:t>
            </w:r>
          </w:p>
        </w:tc>
      </w:tr>
    </w:tbl>
    <w:p w14:paraId="14329AFB" w14:textId="77777777" w:rsidR="00C4539F" w:rsidRDefault="00C4539F" w:rsidP="0082124A">
      <w:pPr>
        <w:spacing w:line="520" w:lineRule="exact"/>
        <w:ind w:firstLine="482"/>
        <w:rPr>
          <w:rFonts w:ascii="Calibri" w:eastAsia="黑体" w:hAnsi="Calibri"/>
          <w:bCs/>
          <w:color w:val="auto"/>
          <w:sz w:val="24"/>
        </w:rPr>
      </w:pPr>
    </w:p>
    <w:p w14:paraId="74704128" w14:textId="77777777" w:rsidR="00276EE9" w:rsidRPr="00276EE9" w:rsidRDefault="00276EE9" w:rsidP="00276EE9">
      <w:pPr>
        <w:widowControl/>
        <w:jc w:val="left"/>
        <w:rPr>
          <w:rFonts w:ascii="宋体" w:hAnsi="宋体" w:cs="宋体"/>
          <w:color w:val="auto"/>
          <w:kern w:val="0"/>
          <w:sz w:val="24"/>
        </w:rPr>
      </w:pPr>
      <w:r w:rsidRPr="00276EE9">
        <w:rPr>
          <w:rFonts w:ascii="宋体" w:hAnsi="宋体" w:cs="宋体"/>
          <w:noProof/>
          <w:color w:val="auto"/>
          <w:kern w:val="0"/>
          <w:sz w:val="24"/>
        </w:rPr>
        <w:drawing>
          <wp:anchor distT="0" distB="0" distL="114300" distR="114300" simplePos="0" relativeHeight="253661696" behindDoc="0" locked="0" layoutInCell="1" allowOverlap="1" wp14:anchorId="6A8C900E" wp14:editId="2D7F5309">
            <wp:simplePos x="0" y="0"/>
            <wp:positionH relativeFrom="margin">
              <wp:align>center</wp:align>
            </wp:positionH>
            <wp:positionV relativeFrom="paragraph">
              <wp:posOffset>30480</wp:posOffset>
            </wp:positionV>
            <wp:extent cx="5676442" cy="5015230"/>
            <wp:effectExtent l="0" t="0" r="635" b="0"/>
            <wp:wrapNone/>
            <wp:docPr id="27142" name="图片 27142" descr="C:\Users\Administrator\AppData\Roaming\Tencent\Users\932416871\QQ\WinTemp\RichOle\[V26@K97$Y_}XIR_28C)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AppData\Roaming\Tencent\Users\932416871\QQ\WinTemp\RichOle\[V26@K97$Y_}XIR_28C)U@H.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76442" cy="501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0A1A8" w14:textId="77777777" w:rsidR="00AF13C4" w:rsidRDefault="00AF13C4" w:rsidP="0082124A">
      <w:pPr>
        <w:spacing w:line="520" w:lineRule="exact"/>
        <w:ind w:firstLine="482"/>
        <w:rPr>
          <w:rFonts w:ascii="Calibri" w:eastAsia="黑体" w:hAnsi="Calibri"/>
          <w:bCs/>
          <w:color w:val="auto"/>
          <w:sz w:val="24"/>
        </w:rPr>
      </w:pPr>
    </w:p>
    <w:p w14:paraId="0EC662E8" w14:textId="77777777" w:rsidR="007B351F" w:rsidRDefault="007B351F" w:rsidP="0082124A">
      <w:pPr>
        <w:spacing w:line="520" w:lineRule="exact"/>
        <w:ind w:firstLine="482"/>
        <w:rPr>
          <w:rFonts w:ascii="Calibri" w:eastAsia="黑体" w:hAnsi="Calibri"/>
          <w:bCs/>
          <w:color w:val="auto"/>
          <w:sz w:val="24"/>
        </w:rPr>
      </w:pPr>
    </w:p>
    <w:p w14:paraId="6BCD0C96" w14:textId="77777777" w:rsidR="007B351F" w:rsidRDefault="007B351F" w:rsidP="0082124A">
      <w:pPr>
        <w:spacing w:line="520" w:lineRule="exact"/>
        <w:ind w:firstLine="482"/>
        <w:rPr>
          <w:rFonts w:ascii="Calibri" w:eastAsia="黑体" w:hAnsi="Calibri"/>
          <w:bCs/>
          <w:color w:val="auto"/>
          <w:sz w:val="24"/>
        </w:rPr>
      </w:pPr>
    </w:p>
    <w:p w14:paraId="3468BA13" w14:textId="77777777" w:rsidR="007B351F" w:rsidRDefault="007B351F" w:rsidP="0082124A">
      <w:pPr>
        <w:spacing w:line="520" w:lineRule="exact"/>
        <w:ind w:firstLine="482"/>
        <w:rPr>
          <w:rFonts w:ascii="Calibri" w:eastAsia="黑体" w:hAnsi="Calibri"/>
          <w:bCs/>
          <w:color w:val="auto"/>
          <w:sz w:val="24"/>
        </w:rPr>
      </w:pPr>
    </w:p>
    <w:p w14:paraId="30B72DD1" w14:textId="77777777" w:rsidR="007B351F" w:rsidRDefault="007B351F" w:rsidP="0082124A">
      <w:pPr>
        <w:spacing w:line="520" w:lineRule="exact"/>
        <w:ind w:firstLine="482"/>
        <w:rPr>
          <w:rFonts w:ascii="Calibri" w:eastAsia="黑体" w:hAnsi="Calibri"/>
          <w:bCs/>
          <w:color w:val="auto"/>
          <w:sz w:val="24"/>
        </w:rPr>
      </w:pPr>
    </w:p>
    <w:p w14:paraId="7E656644" w14:textId="77777777" w:rsidR="007B351F" w:rsidRDefault="007B351F" w:rsidP="0082124A">
      <w:pPr>
        <w:spacing w:line="520" w:lineRule="exact"/>
        <w:ind w:firstLine="482"/>
        <w:rPr>
          <w:rFonts w:ascii="Calibri" w:eastAsia="黑体" w:hAnsi="Calibri"/>
          <w:bCs/>
          <w:color w:val="auto"/>
          <w:sz w:val="24"/>
        </w:rPr>
      </w:pPr>
    </w:p>
    <w:p w14:paraId="13113983" w14:textId="77777777" w:rsidR="007B351F" w:rsidRDefault="007B351F" w:rsidP="0082124A">
      <w:pPr>
        <w:spacing w:line="520" w:lineRule="exact"/>
        <w:ind w:firstLine="482"/>
        <w:rPr>
          <w:rFonts w:ascii="Calibri" w:eastAsia="黑体" w:hAnsi="Calibri"/>
          <w:bCs/>
          <w:color w:val="auto"/>
          <w:sz w:val="24"/>
        </w:rPr>
      </w:pPr>
    </w:p>
    <w:p w14:paraId="16D82558" w14:textId="77777777" w:rsidR="007B351F" w:rsidRDefault="007B351F" w:rsidP="0082124A">
      <w:pPr>
        <w:spacing w:line="520" w:lineRule="exact"/>
        <w:ind w:firstLine="482"/>
        <w:rPr>
          <w:rFonts w:ascii="Calibri" w:eastAsia="黑体" w:hAnsi="Calibri"/>
          <w:bCs/>
          <w:color w:val="auto"/>
          <w:sz w:val="24"/>
        </w:rPr>
      </w:pPr>
    </w:p>
    <w:p w14:paraId="7D1D50C5" w14:textId="77777777" w:rsidR="007B351F" w:rsidRDefault="007B351F" w:rsidP="0082124A">
      <w:pPr>
        <w:spacing w:line="520" w:lineRule="exact"/>
        <w:ind w:firstLine="482"/>
        <w:rPr>
          <w:rFonts w:ascii="Calibri" w:eastAsia="黑体" w:hAnsi="Calibri"/>
          <w:bCs/>
          <w:color w:val="auto"/>
          <w:sz w:val="24"/>
        </w:rPr>
      </w:pPr>
    </w:p>
    <w:p w14:paraId="68B0916C" w14:textId="77777777" w:rsidR="007B351F" w:rsidRDefault="007B351F" w:rsidP="0082124A">
      <w:pPr>
        <w:spacing w:line="520" w:lineRule="exact"/>
        <w:ind w:firstLine="482"/>
        <w:rPr>
          <w:rFonts w:ascii="Calibri" w:eastAsia="黑体" w:hAnsi="Calibri"/>
          <w:bCs/>
          <w:color w:val="auto"/>
          <w:sz w:val="24"/>
        </w:rPr>
      </w:pPr>
    </w:p>
    <w:p w14:paraId="58C7BFD0" w14:textId="77777777" w:rsidR="007B351F" w:rsidRDefault="007B351F" w:rsidP="0082124A">
      <w:pPr>
        <w:spacing w:line="520" w:lineRule="exact"/>
        <w:ind w:firstLine="482"/>
        <w:rPr>
          <w:rFonts w:ascii="Calibri" w:eastAsia="黑体" w:hAnsi="Calibri"/>
          <w:bCs/>
          <w:color w:val="auto"/>
          <w:sz w:val="24"/>
        </w:rPr>
      </w:pPr>
    </w:p>
    <w:p w14:paraId="021677C4" w14:textId="77777777" w:rsidR="007B351F" w:rsidRDefault="007B351F" w:rsidP="0082124A">
      <w:pPr>
        <w:spacing w:line="520" w:lineRule="exact"/>
        <w:ind w:firstLine="482"/>
        <w:rPr>
          <w:rFonts w:ascii="Calibri" w:eastAsia="黑体" w:hAnsi="Calibri"/>
          <w:bCs/>
          <w:color w:val="auto"/>
          <w:sz w:val="24"/>
        </w:rPr>
      </w:pPr>
    </w:p>
    <w:p w14:paraId="32FD4E94" w14:textId="77777777" w:rsidR="007B351F" w:rsidRDefault="007B351F" w:rsidP="0082124A">
      <w:pPr>
        <w:spacing w:line="520" w:lineRule="exact"/>
        <w:ind w:firstLine="482"/>
        <w:rPr>
          <w:rFonts w:ascii="Calibri" w:eastAsia="黑体" w:hAnsi="Calibri"/>
          <w:bCs/>
          <w:color w:val="auto"/>
          <w:sz w:val="24"/>
        </w:rPr>
      </w:pPr>
    </w:p>
    <w:p w14:paraId="3ABC5C55" w14:textId="77777777" w:rsidR="007B351F" w:rsidRDefault="007B351F" w:rsidP="0082124A">
      <w:pPr>
        <w:spacing w:line="520" w:lineRule="exact"/>
        <w:ind w:firstLine="482"/>
        <w:rPr>
          <w:rFonts w:ascii="Calibri" w:eastAsia="黑体" w:hAnsi="Calibri"/>
          <w:bCs/>
          <w:color w:val="auto"/>
          <w:sz w:val="24"/>
        </w:rPr>
      </w:pPr>
    </w:p>
    <w:p w14:paraId="672F0E2E" w14:textId="77777777" w:rsidR="00AF13C4" w:rsidRDefault="00AF13C4" w:rsidP="00580CFD">
      <w:pPr>
        <w:spacing w:line="520" w:lineRule="exact"/>
        <w:rPr>
          <w:rFonts w:ascii="Calibri" w:eastAsia="黑体" w:hAnsi="Calibri"/>
          <w:bCs/>
          <w:color w:val="auto"/>
          <w:sz w:val="24"/>
        </w:rPr>
      </w:pPr>
    </w:p>
    <w:p w14:paraId="133FEABB" w14:textId="77777777" w:rsidR="0047129E" w:rsidRPr="00A964FF" w:rsidRDefault="0047129E" w:rsidP="0047129E">
      <w:pPr>
        <w:spacing w:line="520" w:lineRule="exact"/>
        <w:ind w:firstLine="482"/>
        <w:rPr>
          <w:rFonts w:ascii="Calibri" w:eastAsia="黑体" w:hAnsi="Calibri"/>
          <w:bCs/>
          <w:color w:val="auto"/>
          <w:sz w:val="24"/>
        </w:rPr>
      </w:pPr>
      <w:r w:rsidRPr="00A964FF">
        <w:rPr>
          <w:rFonts w:ascii="Calibri" w:eastAsia="黑体" w:hAnsi="Calibri" w:hint="eastAsia"/>
          <w:bCs/>
          <w:color w:val="auto"/>
          <w:sz w:val="24"/>
        </w:rPr>
        <w:t>图</w:t>
      </w:r>
      <w:r w:rsidRPr="00A964FF">
        <w:rPr>
          <w:rFonts w:ascii="Calibri" w:eastAsia="黑体" w:hAnsi="Calibri" w:hint="eastAsia"/>
          <w:bCs/>
          <w:color w:val="auto"/>
          <w:sz w:val="24"/>
        </w:rPr>
        <w:t xml:space="preserve">4.3-1                 </w:t>
      </w:r>
      <w:r w:rsidRPr="00A964FF">
        <w:rPr>
          <w:rFonts w:ascii="Calibri" w:eastAsia="黑体" w:hAnsi="Calibri" w:hint="eastAsia"/>
          <w:bCs/>
          <w:color w:val="auto"/>
          <w:sz w:val="24"/>
        </w:rPr>
        <w:t>大气环境风险评价范围示意图</w:t>
      </w:r>
    </w:p>
    <w:p w14:paraId="161CD09E" w14:textId="77777777" w:rsidR="0055605A" w:rsidRPr="00A964FF" w:rsidRDefault="0055605A" w:rsidP="0082124A">
      <w:pPr>
        <w:pStyle w:val="ad"/>
        <w:rPr>
          <w:rFonts w:ascii="Calibri" w:hAnsi="Calibri"/>
          <w:color w:val="auto"/>
        </w:rPr>
      </w:pPr>
      <w:r w:rsidRPr="00A964FF">
        <w:rPr>
          <w:rFonts w:ascii="Calibri" w:hAnsi="Calibri" w:hint="eastAsia"/>
          <w:color w:val="auto"/>
        </w:rPr>
        <w:t>4.3.</w:t>
      </w:r>
      <w:r w:rsidR="00012CE5" w:rsidRPr="00A964FF">
        <w:rPr>
          <w:rFonts w:ascii="Calibri" w:hAnsi="Calibri" w:hint="eastAsia"/>
          <w:color w:val="auto"/>
        </w:rPr>
        <w:t>6</w:t>
      </w:r>
      <w:r w:rsidRPr="00A964FF">
        <w:rPr>
          <w:rFonts w:ascii="Calibri" w:hAnsi="Calibri" w:hint="eastAsia"/>
          <w:color w:val="auto"/>
        </w:rPr>
        <w:t>环境风险识别</w:t>
      </w:r>
    </w:p>
    <w:p w14:paraId="6A7BF837" w14:textId="77777777" w:rsidR="00012CE5" w:rsidRPr="00A964FF" w:rsidRDefault="00012CE5" w:rsidP="0055605A">
      <w:pPr>
        <w:spacing w:line="520" w:lineRule="exact"/>
        <w:ind w:firstLine="482"/>
        <w:rPr>
          <w:rFonts w:ascii="Calibri" w:hAnsi="Calibri"/>
          <w:b/>
          <w:color w:val="auto"/>
          <w:sz w:val="24"/>
        </w:rPr>
      </w:pPr>
      <w:r w:rsidRPr="00A964FF">
        <w:rPr>
          <w:rFonts w:ascii="Calibri" w:hAnsi="Calibri" w:hint="eastAsia"/>
          <w:b/>
          <w:color w:val="auto"/>
          <w:sz w:val="24"/>
        </w:rPr>
        <w:t>1</w:t>
      </w:r>
      <w:r w:rsidRPr="00A964FF">
        <w:rPr>
          <w:rFonts w:ascii="Calibri" w:hAnsi="Calibri" w:hint="eastAsia"/>
          <w:b/>
          <w:color w:val="auto"/>
          <w:sz w:val="24"/>
        </w:rPr>
        <w:t>、物质危险性识别</w:t>
      </w:r>
    </w:p>
    <w:p w14:paraId="46641136" w14:textId="634DEE53" w:rsidR="007F4462" w:rsidRPr="00BB28C5" w:rsidRDefault="00580CFD" w:rsidP="00BB28C5">
      <w:pPr>
        <w:spacing w:line="520" w:lineRule="exact"/>
        <w:ind w:firstLineChars="200" w:firstLine="480"/>
        <w:rPr>
          <w:rFonts w:ascii="Calibri" w:hAnsi="Calibri"/>
          <w:color w:val="auto"/>
          <w:sz w:val="24"/>
        </w:rPr>
      </w:pPr>
      <w:r w:rsidRPr="00580CFD">
        <w:rPr>
          <w:rFonts w:ascii="Calibri" w:hAnsi="Calibri"/>
          <w:color w:val="auto"/>
          <w:sz w:val="24"/>
        </w:rPr>
        <w:t>本项目存在的风险物质主要为</w:t>
      </w:r>
      <w:r w:rsidRPr="00C23368">
        <w:rPr>
          <w:rFonts w:ascii="Calibri" w:hAnsi="Calibri" w:hint="eastAsia"/>
          <w:color w:val="auto"/>
          <w:sz w:val="24"/>
        </w:rPr>
        <w:t>50%</w:t>
      </w:r>
      <w:r w:rsidR="007F4462">
        <w:rPr>
          <w:rFonts w:ascii="Calibri" w:hAnsi="Calibri" w:hint="eastAsia"/>
          <w:color w:val="auto"/>
          <w:sz w:val="24"/>
        </w:rPr>
        <w:t>尼龙</w:t>
      </w:r>
      <w:r w:rsidR="007F4462">
        <w:rPr>
          <w:rFonts w:ascii="Calibri" w:hAnsi="Calibri" w:hint="eastAsia"/>
          <w:color w:val="auto"/>
          <w:sz w:val="24"/>
        </w:rPr>
        <w:t>66</w:t>
      </w:r>
      <w:r w:rsidR="007F4462">
        <w:rPr>
          <w:rFonts w:ascii="Calibri" w:hAnsi="Calibri" w:hint="eastAsia"/>
          <w:color w:val="auto"/>
          <w:sz w:val="24"/>
        </w:rPr>
        <w:t>盐</w:t>
      </w:r>
      <w:r w:rsidR="007F4462">
        <w:rPr>
          <w:rFonts w:ascii="Calibri" w:hAnsi="Calibri"/>
          <w:color w:val="auto"/>
          <w:sz w:val="24"/>
        </w:rPr>
        <w:t>溶液</w:t>
      </w:r>
      <w:r w:rsidRPr="00C23368">
        <w:rPr>
          <w:rFonts w:ascii="Calibri" w:hAnsi="Calibri"/>
          <w:color w:val="auto"/>
          <w:sz w:val="24"/>
        </w:rPr>
        <w:t>、</w:t>
      </w:r>
      <w:r w:rsidRPr="00C23368">
        <w:rPr>
          <w:rFonts w:ascii="Calibri" w:hAnsi="Calibri" w:hint="eastAsia"/>
          <w:color w:val="auto"/>
          <w:sz w:val="24"/>
        </w:rPr>
        <w:t>尼龙</w:t>
      </w:r>
      <w:r w:rsidRPr="00C23368">
        <w:rPr>
          <w:rFonts w:ascii="Calibri" w:hAnsi="Calibri" w:hint="eastAsia"/>
          <w:color w:val="auto"/>
          <w:sz w:val="24"/>
        </w:rPr>
        <w:t>1010</w:t>
      </w:r>
      <w:r w:rsidRPr="00C23368">
        <w:rPr>
          <w:rFonts w:ascii="Calibri" w:hAnsi="Calibri" w:hint="eastAsia"/>
          <w:color w:val="auto"/>
          <w:sz w:val="24"/>
        </w:rPr>
        <w:t>盐、尼龙</w:t>
      </w:r>
      <w:r w:rsidRPr="00C23368">
        <w:rPr>
          <w:rFonts w:ascii="Calibri" w:hAnsi="Calibri" w:hint="eastAsia"/>
          <w:color w:val="auto"/>
          <w:sz w:val="24"/>
        </w:rPr>
        <w:t>12</w:t>
      </w:r>
      <w:r w:rsidRPr="00C23368">
        <w:rPr>
          <w:rFonts w:ascii="Calibri" w:hAnsi="Calibri" w:hint="eastAsia"/>
          <w:color w:val="auto"/>
          <w:sz w:val="24"/>
        </w:rPr>
        <w:t>盐、</w:t>
      </w:r>
      <w:r w:rsidRPr="00C23368">
        <w:rPr>
          <w:rFonts w:ascii="Calibri" w:hAnsi="Calibri"/>
          <w:color w:val="auto"/>
          <w:sz w:val="24"/>
        </w:rPr>
        <w:t>次磷酸钠、管道天然气、导热油、</w:t>
      </w:r>
      <w:r>
        <w:rPr>
          <w:rFonts w:ascii="Calibri" w:hAnsi="Calibri" w:hint="eastAsia"/>
          <w:color w:val="auto"/>
          <w:sz w:val="24"/>
        </w:rPr>
        <w:t>甲酸、</w:t>
      </w:r>
      <w:r>
        <w:rPr>
          <w:rFonts w:ascii="Calibri" w:hAnsi="Calibri"/>
          <w:color w:val="auto"/>
          <w:sz w:val="24"/>
        </w:rPr>
        <w:t>乙醇、盐酸、氢氧化钠</w:t>
      </w:r>
      <w:r w:rsidRPr="00C23368">
        <w:rPr>
          <w:rFonts w:ascii="Calibri" w:hAnsi="Calibri"/>
          <w:color w:val="auto"/>
          <w:sz w:val="24"/>
        </w:rPr>
        <w:t>等</w:t>
      </w:r>
      <w:r w:rsidRPr="00580CFD">
        <w:rPr>
          <w:rFonts w:ascii="Calibri" w:hAnsi="Calibri"/>
          <w:color w:val="auto"/>
          <w:sz w:val="24"/>
        </w:rPr>
        <w:t>，在运输、仓储和使用过程中如管理操作不当或意外事故，造成液体或天然气外泄，会对接触人群健康</w:t>
      </w:r>
      <w:r w:rsidRPr="00580CFD">
        <w:rPr>
          <w:rFonts w:ascii="Calibri" w:hAnsi="Calibri"/>
          <w:color w:val="auto"/>
          <w:sz w:val="24"/>
        </w:rPr>
        <w:lastRenderedPageBreak/>
        <w:t>造成影响，涉及</w:t>
      </w:r>
      <w:r w:rsidRPr="00580CFD">
        <w:rPr>
          <w:rFonts w:ascii="Calibri" w:hAnsi="Calibri" w:hint="eastAsia"/>
          <w:color w:val="auto"/>
          <w:sz w:val="24"/>
        </w:rPr>
        <w:t>风险物质及分布情况</w:t>
      </w:r>
      <w:r w:rsidRPr="00580CFD">
        <w:rPr>
          <w:rFonts w:ascii="Calibri" w:hAnsi="Calibri"/>
          <w:color w:val="auto"/>
          <w:sz w:val="24"/>
        </w:rPr>
        <w:t>见下表。</w:t>
      </w:r>
    </w:p>
    <w:p w14:paraId="07F51D43" w14:textId="77777777" w:rsidR="00580CFD" w:rsidRPr="00580CFD" w:rsidRDefault="00580CFD" w:rsidP="00580CFD">
      <w:pPr>
        <w:spacing w:line="520" w:lineRule="exact"/>
        <w:ind w:firstLineChars="200" w:firstLine="480"/>
        <w:rPr>
          <w:rFonts w:ascii="黑体" w:eastAsia="黑体" w:hAnsi="黑体"/>
          <w:sz w:val="24"/>
        </w:rPr>
      </w:pPr>
      <w:r w:rsidRPr="00580CFD">
        <w:rPr>
          <w:rFonts w:ascii="黑体" w:eastAsia="黑体" w:hAnsi="黑体" w:hint="eastAsia"/>
          <w:sz w:val="24"/>
        </w:rPr>
        <w:t>表</w:t>
      </w:r>
      <w:r w:rsidR="006A642B">
        <w:rPr>
          <w:rFonts w:asciiTheme="minorHAnsi" w:eastAsia="黑体" w:hAnsiTheme="minorHAnsi"/>
          <w:sz w:val="24"/>
        </w:rPr>
        <w:t>4.3-7</w:t>
      </w:r>
      <w:r w:rsidRPr="00580CFD">
        <w:rPr>
          <w:rFonts w:asciiTheme="minorHAnsi" w:eastAsia="黑体" w:hAnsiTheme="minorHAnsi"/>
          <w:sz w:val="24"/>
        </w:rPr>
        <w:t xml:space="preserve">  </w:t>
      </w:r>
      <w:r w:rsidRPr="00580CFD">
        <w:rPr>
          <w:rFonts w:ascii="黑体" w:eastAsia="黑体" w:hAnsi="黑体" w:hint="eastAsia"/>
          <w:sz w:val="24"/>
        </w:rPr>
        <w:t xml:space="preserve">       本次项目涉及的风险物质及分布情况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
        <w:gridCol w:w="1599"/>
        <w:gridCol w:w="2694"/>
        <w:gridCol w:w="1148"/>
        <w:gridCol w:w="1686"/>
        <w:gridCol w:w="1060"/>
      </w:tblGrid>
      <w:tr w:rsidR="00580CFD" w:rsidRPr="00C23368" w14:paraId="05D968A8" w14:textId="77777777" w:rsidTr="00580CFD">
        <w:trPr>
          <w:trHeight w:val="287"/>
          <w:jc w:val="center"/>
        </w:trPr>
        <w:tc>
          <w:tcPr>
            <w:tcW w:w="295" w:type="pct"/>
            <w:vAlign w:val="center"/>
          </w:tcPr>
          <w:p w14:paraId="6170593F"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序号</w:t>
            </w:r>
          </w:p>
        </w:tc>
        <w:tc>
          <w:tcPr>
            <w:tcW w:w="919" w:type="pct"/>
            <w:vAlign w:val="center"/>
          </w:tcPr>
          <w:p w14:paraId="2E1CB1C9"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原料</w:t>
            </w:r>
          </w:p>
        </w:tc>
        <w:tc>
          <w:tcPr>
            <w:tcW w:w="1548" w:type="pct"/>
            <w:vAlign w:val="center"/>
          </w:tcPr>
          <w:p w14:paraId="1DDD3514"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分布情况</w:t>
            </w:r>
          </w:p>
        </w:tc>
        <w:tc>
          <w:tcPr>
            <w:tcW w:w="660" w:type="pct"/>
            <w:vAlign w:val="center"/>
          </w:tcPr>
          <w:p w14:paraId="4A49F790"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储存形态</w:t>
            </w:r>
          </w:p>
        </w:tc>
        <w:tc>
          <w:tcPr>
            <w:tcW w:w="969" w:type="pct"/>
            <w:vAlign w:val="center"/>
          </w:tcPr>
          <w:p w14:paraId="12AB2B1A"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最大贮存量</w:t>
            </w:r>
          </w:p>
        </w:tc>
        <w:tc>
          <w:tcPr>
            <w:tcW w:w="609" w:type="pct"/>
            <w:vAlign w:val="center"/>
          </w:tcPr>
          <w:p w14:paraId="4BA14B7A"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可能存在的</w:t>
            </w:r>
            <w:r w:rsidRPr="007F4462">
              <w:rPr>
                <w:rFonts w:ascii="Calibri" w:hAnsi="Calibri"/>
                <w:color w:val="auto"/>
                <w:szCs w:val="21"/>
              </w:rPr>
              <w:t>风险</w:t>
            </w:r>
          </w:p>
        </w:tc>
      </w:tr>
      <w:tr w:rsidR="007F4462" w:rsidRPr="00C23368" w14:paraId="59FC481A" w14:textId="77777777" w:rsidTr="00580CFD">
        <w:trPr>
          <w:trHeight w:val="287"/>
          <w:jc w:val="center"/>
        </w:trPr>
        <w:tc>
          <w:tcPr>
            <w:tcW w:w="295" w:type="pct"/>
            <w:vAlign w:val="center"/>
          </w:tcPr>
          <w:p w14:paraId="0090A6A3"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1</w:t>
            </w:r>
          </w:p>
        </w:tc>
        <w:tc>
          <w:tcPr>
            <w:tcW w:w="919" w:type="pct"/>
            <w:vAlign w:val="center"/>
          </w:tcPr>
          <w:p w14:paraId="48557822"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50%</w:t>
            </w:r>
            <w:r w:rsidRPr="007F4462">
              <w:rPr>
                <w:rFonts w:ascii="Calibri" w:hAnsi="Calibri" w:hint="eastAsia"/>
                <w:color w:val="auto"/>
                <w:szCs w:val="21"/>
              </w:rPr>
              <w:t>尼龙</w:t>
            </w:r>
            <w:r w:rsidRPr="007F4462">
              <w:rPr>
                <w:rFonts w:ascii="Calibri" w:hAnsi="Calibri" w:hint="eastAsia"/>
                <w:color w:val="auto"/>
                <w:szCs w:val="21"/>
              </w:rPr>
              <w:t>66</w:t>
            </w:r>
            <w:r w:rsidRPr="007F4462">
              <w:rPr>
                <w:rFonts w:ascii="Calibri" w:hAnsi="Calibri" w:hint="eastAsia"/>
                <w:color w:val="auto"/>
                <w:szCs w:val="21"/>
              </w:rPr>
              <w:t>盐溶液</w:t>
            </w:r>
          </w:p>
        </w:tc>
        <w:tc>
          <w:tcPr>
            <w:tcW w:w="1548" w:type="pct"/>
            <w:vAlign w:val="center"/>
          </w:tcPr>
          <w:p w14:paraId="11EE7DAF"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桶装，原料仓库</w:t>
            </w:r>
          </w:p>
        </w:tc>
        <w:tc>
          <w:tcPr>
            <w:tcW w:w="660" w:type="pct"/>
            <w:vAlign w:val="center"/>
          </w:tcPr>
          <w:p w14:paraId="05584C8A"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50-60</w:t>
            </w:r>
            <w:r w:rsidRPr="007F4462">
              <w:rPr>
                <w:rFonts w:ascii="Calibri" w:hAnsi="Calibri" w:hint="eastAsia"/>
                <w:color w:val="auto"/>
                <w:szCs w:val="21"/>
              </w:rPr>
              <w:t>℃液体储存</w:t>
            </w:r>
          </w:p>
        </w:tc>
        <w:tc>
          <w:tcPr>
            <w:tcW w:w="969" w:type="pct"/>
            <w:vAlign w:val="center"/>
          </w:tcPr>
          <w:p w14:paraId="277CF2D2" w14:textId="77777777" w:rsidR="007F4462" w:rsidRPr="0053271F" w:rsidRDefault="007F4462" w:rsidP="007F4462">
            <w:pPr>
              <w:jc w:val="center"/>
              <w:rPr>
                <w:rFonts w:ascii="Calibri" w:hAnsi="Calibri"/>
                <w:color w:val="auto"/>
                <w:szCs w:val="21"/>
              </w:rPr>
            </w:pPr>
            <w:r w:rsidRPr="0053271F">
              <w:rPr>
                <w:rFonts w:ascii="Calibri" w:hAnsi="Calibri"/>
                <w:color w:val="auto"/>
                <w:szCs w:val="21"/>
              </w:rPr>
              <w:t>580t</w:t>
            </w:r>
          </w:p>
        </w:tc>
        <w:tc>
          <w:tcPr>
            <w:tcW w:w="609" w:type="pct"/>
            <w:vAlign w:val="center"/>
          </w:tcPr>
          <w:p w14:paraId="7F7C2DF7" w14:textId="77777777" w:rsidR="007F4462" w:rsidRPr="007F4462" w:rsidRDefault="007F4462" w:rsidP="007F4462">
            <w:pPr>
              <w:jc w:val="center"/>
              <w:rPr>
                <w:rFonts w:ascii="Calibri" w:hAnsi="Calibri"/>
                <w:color w:val="auto"/>
                <w:szCs w:val="21"/>
              </w:rPr>
            </w:pPr>
            <w:r w:rsidRPr="007F4462">
              <w:rPr>
                <w:rFonts w:ascii="Calibri" w:hAnsi="Calibri" w:hint="eastAsia"/>
                <w:color w:val="auto"/>
                <w:szCs w:val="21"/>
              </w:rPr>
              <w:t>泄漏</w:t>
            </w:r>
          </w:p>
        </w:tc>
      </w:tr>
      <w:tr w:rsidR="007F4462" w:rsidRPr="00C23368" w14:paraId="52E3656A" w14:textId="77777777" w:rsidTr="00580CFD">
        <w:trPr>
          <w:trHeight w:val="287"/>
          <w:jc w:val="center"/>
        </w:trPr>
        <w:tc>
          <w:tcPr>
            <w:tcW w:w="295" w:type="pct"/>
            <w:vAlign w:val="center"/>
          </w:tcPr>
          <w:p w14:paraId="3E66F286"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2</w:t>
            </w:r>
          </w:p>
        </w:tc>
        <w:tc>
          <w:tcPr>
            <w:tcW w:w="919" w:type="pct"/>
            <w:vAlign w:val="center"/>
          </w:tcPr>
          <w:p w14:paraId="0E72D9CC"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尼龙</w:t>
            </w:r>
            <w:r w:rsidRPr="007F4462">
              <w:rPr>
                <w:rFonts w:ascii="Calibri" w:hAnsi="Calibri"/>
                <w:color w:val="auto"/>
                <w:szCs w:val="21"/>
              </w:rPr>
              <w:t>1010</w:t>
            </w:r>
            <w:r w:rsidRPr="007F4462">
              <w:rPr>
                <w:rFonts w:ascii="Calibri" w:hAnsi="Calibri"/>
                <w:color w:val="auto"/>
                <w:szCs w:val="21"/>
              </w:rPr>
              <w:t>盐</w:t>
            </w:r>
          </w:p>
        </w:tc>
        <w:tc>
          <w:tcPr>
            <w:tcW w:w="1548" w:type="pct"/>
            <w:vAlign w:val="center"/>
          </w:tcPr>
          <w:p w14:paraId="671A15CA"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原料仓库，吨袋储存</w:t>
            </w:r>
          </w:p>
        </w:tc>
        <w:tc>
          <w:tcPr>
            <w:tcW w:w="660" w:type="pct"/>
            <w:vAlign w:val="center"/>
          </w:tcPr>
          <w:p w14:paraId="6EC2C670" w14:textId="77777777" w:rsidR="007F4462" w:rsidRPr="007F4462" w:rsidRDefault="007F4462" w:rsidP="007F4462">
            <w:pPr>
              <w:jc w:val="center"/>
              <w:rPr>
                <w:rFonts w:ascii="Calibri" w:hAnsi="Calibri"/>
                <w:color w:val="auto"/>
                <w:szCs w:val="21"/>
              </w:rPr>
            </w:pPr>
            <w:r w:rsidRPr="007F4462">
              <w:rPr>
                <w:rFonts w:ascii="Calibri" w:hAnsi="Calibri" w:hint="eastAsia"/>
                <w:color w:val="auto"/>
                <w:szCs w:val="21"/>
              </w:rPr>
              <w:t>固体</w:t>
            </w:r>
          </w:p>
        </w:tc>
        <w:tc>
          <w:tcPr>
            <w:tcW w:w="969" w:type="pct"/>
            <w:vAlign w:val="center"/>
          </w:tcPr>
          <w:p w14:paraId="4143B1A5" w14:textId="77777777" w:rsidR="007F4462" w:rsidRPr="0053271F" w:rsidRDefault="007F4462" w:rsidP="007F4462">
            <w:pPr>
              <w:jc w:val="center"/>
              <w:rPr>
                <w:rFonts w:ascii="Calibri" w:hAnsi="Calibri"/>
                <w:color w:val="auto"/>
                <w:szCs w:val="21"/>
              </w:rPr>
            </w:pPr>
            <w:r w:rsidRPr="0053271F">
              <w:rPr>
                <w:rFonts w:ascii="Calibri" w:hAnsi="Calibri"/>
                <w:color w:val="auto"/>
                <w:szCs w:val="21"/>
              </w:rPr>
              <w:t>72t</w:t>
            </w:r>
          </w:p>
        </w:tc>
        <w:tc>
          <w:tcPr>
            <w:tcW w:w="609" w:type="pct"/>
            <w:vAlign w:val="center"/>
          </w:tcPr>
          <w:p w14:paraId="5D02E3A0" w14:textId="77777777" w:rsidR="007F4462" w:rsidRPr="007F4462" w:rsidRDefault="007F4462" w:rsidP="007F4462">
            <w:pPr>
              <w:jc w:val="center"/>
              <w:rPr>
                <w:rFonts w:ascii="Calibri" w:hAnsi="Calibri"/>
                <w:color w:val="auto"/>
                <w:szCs w:val="21"/>
              </w:rPr>
            </w:pPr>
            <w:r w:rsidRPr="007F4462">
              <w:rPr>
                <w:rFonts w:ascii="Calibri" w:hAnsi="Calibri" w:hint="eastAsia"/>
                <w:color w:val="auto"/>
                <w:szCs w:val="21"/>
              </w:rPr>
              <w:t>/</w:t>
            </w:r>
          </w:p>
        </w:tc>
      </w:tr>
      <w:tr w:rsidR="007F4462" w:rsidRPr="00C23368" w14:paraId="3FA3810B" w14:textId="77777777" w:rsidTr="00580CFD">
        <w:trPr>
          <w:trHeight w:val="287"/>
          <w:jc w:val="center"/>
        </w:trPr>
        <w:tc>
          <w:tcPr>
            <w:tcW w:w="295" w:type="pct"/>
            <w:vAlign w:val="center"/>
          </w:tcPr>
          <w:p w14:paraId="78B669BF"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3</w:t>
            </w:r>
          </w:p>
        </w:tc>
        <w:tc>
          <w:tcPr>
            <w:tcW w:w="919" w:type="pct"/>
            <w:vAlign w:val="center"/>
          </w:tcPr>
          <w:p w14:paraId="0903C737"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尼龙</w:t>
            </w:r>
            <w:r w:rsidRPr="007F4462">
              <w:rPr>
                <w:rFonts w:ascii="Calibri" w:hAnsi="Calibri"/>
                <w:color w:val="auto"/>
                <w:szCs w:val="21"/>
              </w:rPr>
              <w:t>12</w:t>
            </w:r>
            <w:r w:rsidRPr="007F4462">
              <w:rPr>
                <w:rFonts w:ascii="Calibri" w:hAnsi="Calibri"/>
                <w:color w:val="auto"/>
                <w:szCs w:val="21"/>
              </w:rPr>
              <w:t>盐</w:t>
            </w:r>
          </w:p>
        </w:tc>
        <w:tc>
          <w:tcPr>
            <w:tcW w:w="1548" w:type="pct"/>
            <w:vAlign w:val="center"/>
          </w:tcPr>
          <w:p w14:paraId="70FE4226" w14:textId="77777777" w:rsidR="007F4462" w:rsidRPr="007F4462" w:rsidRDefault="007F4462" w:rsidP="007F4462">
            <w:pPr>
              <w:jc w:val="center"/>
              <w:rPr>
                <w:rFonts w:ascii="Calibri" w:hAnsi="Calibri"/>
                <w:color w:val="auto"/>
                <w:szCs w:val="21"/>
              </w:rPr>
            </w:pPr>
            <w:r w:rsidRPr="007F4462">
              <w:rPr>
                <w:rFonts w:ascii="Calibri" w:hAnsi="Calibri"/>
                <w:color w:val="auto"/>
                <w:szCs w:val="21"/>
              </w:rPr>
              <w:t>原料仓库，吨袋储存</w:t>
            </w:r>
          </w:p>
        </w:tc>
        <w:tc>
          <w:tcPr>
            <w:tcW w:w="660" w:type="pct"/>
            <w:vAlign w:val="center"/>
          </w:tcPr>
          <w:p w14:paraId="653C9C58" w14:textId="77777777" w:rsidR="007F4462" w:rsidRPr="007F4462" w:rsidRDefault="007F4462" w:rsidP="007F4462">
            <w:pPr>
              <w:jc w:val="center"/>
              <w:textAlignment w:val="center"/>
              <w:rPr>
                <w:rFonts w:ascii="Calibri" w:hAnsi="Calibri"/>
                <w:color w:val="auto"/>
                <w:szCs w:val="21"/>
              </w:rPr>
            </w:pPr>
            <w:r w:rsidRPr="007F4462">
              <w:rPr>
                <w:rFonts w:ascii="Calibri" w:hAnsi="Calibri" w:hint="eastAsia"/>
                <w:color w:val="auto"/>
                <w:szCs w:val="21"/>
              </w:rPr>
              <w:t>固体</w:t>
            </w:r>
          </w:p>
        </w:tc>
        <w:tc>
          <w:tcPr>
            <w:tcW w:w="969" w:type="pct"/>
            <w:vAlign w:val="center"/>
          </w:tcPr>
          <w:p w14:paraId="6146D593" w14:textId="77777777" w:rsidR="007F4462" w:rsidRPr="0053271F" w:rsidRDefault="007F4462" w:rsidP="007F4462">
            <w:pPr>
              <w:jc w:val="center"/>
              <w:rPr>
                <w:rFonts w:ascii="Calibri" w:hAnsi="Calibri"/>
                <w:color w:val="auto"/>
                <w:szCs w:val="21"/>
              </w:rPr>
            </w:pPr>
            <w:r w:rsidRPr="0053271F">
              <w:rPr>
                <w:rFonts w:ascii="Calibri" w:hAnsi="Calibri"/>
                <w:color w:val="auto"/>
                <w:szCs w:val="21"/>
              </w:rPr>
              <w:t>290t</w:t>
            </w:r>
          </w:p>
        </w:tc>
        <w:tc>
          <w:tcPr>
            <w:tcW w:w="609" w:type="pct"/>
            <w:vAlign w:val="center"/>
          </w:tcPr>
          <w:p w14:paraId="757C6109" w14:textId="77777777" w:rsidR="007F4462" w:rsidRPr="007F4462" w:rsidRDefault="007F4462" w:rsidP="007F4462">
            <w:pPr>
              <w:jc w:val="center"/>
              <w:textAlignment w:val="center"/>
              <w:rPr>
                <w:rFonts w:ascii="Calibri" w:hAnsi="Calibri"/>
                <w:color w:val="auto"/>
                <w:szCs w:val="21"/>
              </w:rPr>
            </w:pPr>
            <w:r w:rsidRPr="007F4462">
              <w:rPr>
                <w:rFonts w:ascii="Calibri" w:hAnsi="Calibri" w:hint="eastAsia"/>
                <w:color w:val="auto"/>
                <w:szCs w:val="21"/>
              </w:rPr>
              <w:t>/</w:t>
            </w:r>
          </w:p>
        </w:tc>
      </w:tr>
      <w:tr w:rsidR="00580CFD" w:rsidRPr="00C23368" w14:paraId="094D68EA" w14:textId="77777777" w:rsidTr="00580CFD">
        <w:trPr>
          <w:trHeight w:val="287"/>
          <w:jc w:val="center"/>
        </w:trPr>
        <w:tc>
          <w:tcPr>
            <w:tcW w:w="295" w:type="pct"/>
            <w:vAlign w:val="center"/>
          </w:tcPr>
          <w:p w14:paraId="7E9A56B0"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4</w:t>
            </w:r>
          </w:p>
        </w:tc>
        <w:tc>
          <w:tcPr>
            <w:tcW w:w="919" w:type="pct"/>
            <w:vAlign w:val="center"/>
          </w:tcPr>
          <w:p w14:paraId="01FC9A06"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次磷酸钠</w:t>
            </w:r>
          </w:p>
        </w:tc>
        <w:tc>
          <w:tcPr>
            <w:tcW w:w="1548" w:type="pct"/>
            <w:vAlign w:val="center"/>
          </w:tcPr>
          <w:p w14:paraId="52AD83DD"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原料仓库，</w:t>
            </w:r>
            <w:r w:rsidRPr="007F4462">
              <w:rPr>
                <w:rFonts w:ascii="Calibri" w:hAnsi="Calibri"/>
                <w:color w:val="auto"/>
                <w:szCs w:val="21"/>
              </w:rPr>
              <w:t>20kg</w:t>
            </w:r>
            <w:r w:rsidRPr="007F4462">
              <w:rPr>
                <w:rFonts w:ascii="Calibri" w:hAnsi="Calibri"/>
                <w:color w:val="auto"/>
                <w:szCs w:val="21"/>
              </w:rPr>
              <w:t>袋装</w:t>
            </w:r>
          </w:p>
        </w:tc>
        <w:tc>
          <w:tcPr>
            <w:tcW w:w="660" w:type="pct"/>
            <w:vAlign w:val="center"/>
          </w:tcPr>
          <w:p w14:paraId="65A88B27" w14:textId="77777777" w:rsidR="00580CFD" w:rsidRPr="007F4462" w:rsidRDefault="00580CFD" w:rsidP="007F4462">
            <w:pPr>
              <w:jc w:val="center"/>
              <w:textAlignment w:val="center"/>
              <w:rPr>
                <w:rFonts w:ascii="Calibri" w:hAnsi="Calibri"/>
                <w:color w:val="auto"/>
                <w:szCs w:val="21"/>
              </w:rPr>
            </w:pPr>
            <w:r w:rsidRPr="007F4462">
              <w:rPr>
                <w:rFonts w:ascii="Calibri" w:hAnsi="Calibri" w:hint="eastAsia"/>
                <w:color w:val="auto"/>
                <w:szCs w:val="21"/>
              </w:rPr>
              <w:t>固体</w:t>
            </w:r>
          </w:p>
        </w:tc>
        <w:tc>
          <w:tcPr>
            <w:tcW w:w="969" w:type="pct"/>
            <w:vAlign w:val="center"/>
          </w:tcPr>
          <w:p w14:paraId="0DEF4E28" w14:textId="77777777" w:rsidR="00580CFD" w:rsidRPr="007F4462" w:rsidRDefault="00580CFD" w:rsidP="007F4462">
            <w:pPr>
              <w:jc w:val="center"/>
              <w:textAlignment w:val="center"/>
              <w:rPr>
                <w:rFonts w:ascii="Calibri" w:hAnsi="Calibri"/>
                <w:color w:val="auto"/>
                <w:szCs w:val="21"/>
              </w:rPr>
            </w:pPr>
            <w:r w:rsidRPr="007F4462">
              <w:rPr>
                <w:rFonts w:ascii="Calibri" w:hAnsi="Calibri"/>
                <w:color w:val="auto"/>
                <w:szCs w:val="21"/>
              </w:rPr>
              <w:t>0.06t</w:t>
            </w:r>
          </w:p>
        </w:tc>
        <w:tc>
          <w:tcPr>
            <w:tcW w:w="609" w:type="pct"/>
            <w:vAlign w:val="center"/>
          </w:tcPr>
          <w:p w14:paraId="30961918" w14:textId="77777777" w:rsidR="00580CFD" w:rsidRPr="007F4462" w:rsidRDefault="00580CFD" w:rsidP="007F4462">
            <w:pPr>
              <w:jc w:val="center"/>
              <w:textAlignment w:val="center"/>
              <w:rPr>
                <w:rFonts w:ascii="Calibri" w:hAnsi="Calibri"/>
                <w:color w:val="auto"/>
                <w:szCs w:val="21"/>
              </w:rPr>
            </w:pPr>
            <w:r w:rsidRPr="007F4462">
              <w:rPr>
                <w:rFonts w:ascii="Calibri" w:hAnsi="Calibri" w:hint="eastAsia"/>
                <w:color w:val="auto"/>
                <w:szCs w:val="21"/>
              </w:rPr>
              <w:t>/</w:t>
            </w:r>
          </w:p>
        </w:tc>
      </w:tr>
      <w:tr w:rsidR="00580CFD" w:rsidRPr="00C23368" w14:paraId="4C990775" w14:textId="77777777" w:rsidTr="00580CFD">
        <w:trPr>
          <w:trHeight w:val="287"/>
          <w:jc w:val="center"/>
        </w:trPr>
        <w:tc>
          <w:tcPr>
            <w:tcW w:w="295" w:type="pct"/>
            <w:vAlign w:val="center"/>
          </w:tcPr>
          <w:p w14:paraId="79BE9F83"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5</w:t>
            </w:r>
          </w:p>
        </w:tc>
        <w:tc>
          <w:tcPr>
            <w:tcW w:w="919" w:type="pct"/>
            <w:vAlign w:val="center"/>
          </w:tcPr>
          <w:p w14:paraId="20FA61DF"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管道天然气（以甲烷计）</w:t>
            </w:r>
          </w:p>
        </w:tc>
        <w:tc>
          <w:tcPr>
            <w:tcW w:w="1548" w:type="pct"/>
            <w:vAlign w:val="center"/>
          </w:tcPr>
          <w:p w14:paraId="40897676"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管道输送（厂内管线长</w:t>
            </w:r>
            <w:r w:rsidRPr="007F4462">
              <w:rPr>
                <w:rFonts w:ascii="Calibri" w:hAnsi="Calibri"/>
                <w:color w:val="auto"/>
                <w:szCs w:val="21"/>
              </w:rPr>
              <w:t>270m</w:t>
            </w:r>
            <w:r w:rsidRPr="007F4462">
              <w:rPr>
                <w:rFonts w:ascii="Calibri" w:hAnsi="Calibri"/>
                <w:color w:val="auto"/>
                <w:szCs w:val="21"/>
              </w:rPr>
              <w:t>，直径</w:t>
            </w:r>
            <w:r w:rsidRPr="007F4462">
              <w:rPr>
                <w:rFonts w:ascii="Calibri" w:hAnsi="Calibri"/>
                <w:color w:val="auto"/>
                <w:szCs w:val="21"/>
              </w:rPr>
              <w:t>DN200mm</w:t>
            </w:r>
            <w:r w:rsidRPr="007F4462">
              <w:rPr>
                <w:rFonts w:ascii="Calibri" w:hAnsi="Calibri"/>
                <w:color w:val="auto"/>
                <w:szCs w:val="21"/>
              </w:rPr>
              <w:t>）</w:t>
            </w:r>
          </w:p>
        </w:tc>
        <w:tc>
          <w:tcPr>
            <w:tcW w:w="660" w:type="pct"/>
            <w:vAlign w:val="center"/>
          </w:tcPr>
          <w:p w14:paraId="74926D86"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气体</w:t>
            </w:r>
          </w:p>
        </w:tc>
        <w:tc>
          <w:tcPr>
            <w:tcW w:w="969" w:type="pct"/>
            <w:vAlign w:val="center"/>
          </w:tcPr>
          <w:p w14:paraId="308093A9"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0.0074t</w:t>
            </w:r>
          </w:p>
        </w:tc>
        <w:tc>
          <w:tcPr>
            <w:tcW w:w="609" w:type="pct"/>
            <w:vAlign w:val="center"/>
          </w:tcPr>
          <w:p w14:paraId="4FAD761D"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w:t>
            </w:r>
          </w:p>
        </w:tc>
      </w:tr>
      <w:tr w:rsidR="00580CFD" w:rsidRPr="00C23368" w14:paraId="0A42C36F" w14:textId="77777777" w:rsidTr="00580CFD">
        <w:trPr>
          <w:trHeight w:val="287"/>
          <w:jc w:val="center"/>
        </w:trPr>
        <w:tc>
          <w:tcPr>
            <w:tcW w:w="295" w:type="pct"/>
            <w:vAlign w:val="center"/>
          </w:tcPr>
          <w:p w14:paraId="25BFF3F0"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6</w:t>
            </w:r>
          </w:p>
        </w:tc>
        <w:tc>
          <w:tcPr>
            <w:tcW w:w="919" w:type="pct"/>
            <w:vAlign w:val="center"/>
          </w:tcPr>
          <w:p w14:paraId="4FFE0F42"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导热油</w:t>
            </w:r>
            <w:r w:rsidRPr="007F4462">
              <w:rPr>
                <w:rFonts w:ascii="Calibri" w:hAnsi="Calibri" w:hint="eastAsia"/>
                <w:color w:val="auto"/>
                <w:szCs w:val="21"/>
              </w:rPr>
              <w:t>及</w:t>
            </w:r>
            <w:r w:rsidRPr="007F4462">
              <w:rPr>
                <w:rFonts w:ascii="Calibri" w:hAnsi="Calibri"/>
                <w:color w:val="auto"/>
                <w:szCs w:val="21"/>
              </w:rPr>
              <w:t>机油</w:t>
            </w:r>
          </w:p>
        </w:tc>
        <w:tc>
          <w:tcPr>
            <w:tcW w:w="1548" w:type="pct"/>
            <w:vAlign w:val="center"/>
          </w:tcPr>
          <w:p w14:paraId="609C4558"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导热油炉</w:t>
            </w:r>
            <w:r w:rsidRPr="007F4462">
              <w:rPr>
                <w:rFonts w:ascii="Calibri" w:hAnsi="Calibri"/>
                <w:color w:val="auto"/>
                <w:szCs w:val="21"/>
              </w:rPr>
              <w:t>间</w:t>
            </w:r>
          </w:p>
        </w:tc>
        <w:tc>
          <w:tcPr>
            <w:tcW w:w="660" w:type="pct"/>
            <w:vAlign w:val="center"/>
          </w:tcPr>
          <w:p w14:paraId="661D3029"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液体</w:t>
            </w:r>
          </w:p>
        </w:tc>
        <w:tc>
          <w:tcPr>
            <w:tcW w:w="969" w:type="pct"/>
            <w:vAlign w:val="center"/>
          </w:tcPr>
          <w:p w14:paraId="08CD8404"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14t</w:t>
            </w:r>
          </w:p>
        </w:tc>
        <w:tc>
          <w:tcPr>
            <w:tcW w:w="609" w:type="pct"/>
            <w:vAlign w:val="center"/>
          </w:tcPr>
          <w:p w14:paraId="4F4E4F3D"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泄漏、火灾爆炸</w:t>
            </w:r>
          </w:p>
        </w:tc>
      </w:tr>
      <w:tr w:rsidR="00580CFD" w:rsidRPr="00C23368" w14:paraId="6717DD7D" w14:textId="77777777" w:rsidTr="00580CFD">
        <w:trPr>
          <w:trHeight w:val="287"/>
          <w:jc w:val="center"/>
        </w:trPr>
        <w:tc>
          <w:tcPr>
            <w:tcW w:w="295" w:type="pct"/>
            <w:vAlign w:val="center"/>
          </w:tcPr>
          <w:p w14:paraId="3E503EDC"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7</w:t>
            </w:r>
          </w:p>
        </w:tc>
        <w:tc>
          <w:tcPr>
            <w:tcW w:w="919" w:type="pct"/>
            <w:vAlign w:val="center"/>
          </w:tcPr>
          <w:p w14:paraId="278846FB"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甲酸试剂</w:t>
            </w:r>
          </w:p>
        </w:tc>
        <w:tc>
          <w:tcPr>
            <w:tcW w:w="1548" w:type="pct"/>
            <w:vMerge w:val="restart"/>
            <w:vAlign w:val="center"/>
          </w:tcPr>
          <w:p w14:paraId="3217C27B" w14:textId="77777777" w:rsidR="00580CFD" w:rsidRPr="007F4462" w:rsidRDefault="00852DCA" w:rsidP="007F4462">
            <w:pPr>
              <w:jc w:val="center"/>
              <w:rPr>
                <w:rFonts w:ascii="Calibri" w:hAnsi="Calibri"/>
                <w:color w:val="auto"/>
                <w:szCs w:val="21"/>
              </w:rPr>
            </w:pPr>
            <w:r>
              <w:rPr>
                <w:rFonts w:ascii="Calibri" w:hAnsi="Calibri" w:hint="eastAsia"/>
                <w:color w:val="auto"/>
                <w:szCs w:val="21"/>
              </w:rPr>
              <w:t>品控中心</w:t>
            </w:r>
          </w:p>
        </w:tc>
        <w:tc>
          <w:tcPr>
            <w:tcW w:w="660" w:type="pct"/>
            <w:vAlign w:val="center"/>
          </w:tcPr>
          <w:p w14:paraId="548CC478"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液体</w:t>
            </w:r>
          </w:p>
        </w:tc>
        <w:tc>
          <w:tcPr>
            <w:tcW w:w="969" w:type="pct"/>
            <w:vAlign w:val="center"/>
          </w:tcPr>
          <w:p w14:paraId="375A1CFD"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20</w:t>
            </w:r>
            <w:r w:rsidRPr="00DD676F">
              <w:rPr>
                <w:rFonts w:ascii="Calibri" w:hAnsi="Calibri" w:hint="eastAsia"/>
                <w:color w:val="auto"/>
                <w:szCs w:val="21"/>
              </w:rPr>
              <w:t>L</w:t>
            </w:r>
            <w:r w:rsidRPr="007F4462">
              <w:rPr>
                <w:rFonts w:ascii="Calibri" w:hAnsi="Calibri"/>
                <w:color w:val="auto"/>
                <w:szCs w:val="21"/>
              </w:rPr>
              <w:t>，折合</w:t>
            </w:r>
            <w:r w:rsidRPr="007F4462">
              <w:rPr>
                <w:rFonts w:ascii="Calibri" w:hAnsi="Calibri"/>
                <w:color w:val="auto"/>
                <w:szCs w:val="21"/>
              </w:rPr>
              <w:t>0.024t</w:t>
            </w:r>
          </w:p>
        </w:tc>
        <w:tc>
          <w:tcPr>
            <w:tcW w:w="609" w:type="pct"/>
            <w:vAlign w:val="center"/>
          </w:tcPr>
          <w:p w14:paraId="1716F73F"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泄漏、火灾爆炸</w:t>
            </w:r>
          </w:p>
        </w:tc>
      </w:tr>
      <w:tr w:rsidR="00580CFD" w:rsidRPr="00C23368" w14:paraId="6BCB4FF4" w14:textId="77777777" w:rsidTr="00580CFD">
        <w:trPr>
          <w:trHeight w:val="287"/>
          <w:jc w:val="center"/>
        </w:trPr>
        <w:tc>
          <w:tcPr>
            <w:tcW w:w="295" w:type="pct"/>
            <w:vAlign w:val="center"/>
          </w:tcPr>
          <w:p w14:paraId="1998E7B1"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8</w:t>
            </w:r>
          </w:p>
        </w:tc>
        <w:tc>
          <w:tcPr>
            <w:tcW w:w="919" w:type="pct"/>
            <w:vAlign w:val="center"/>
          </w:tcPr>
          <w:p w14:paraId="19FD3EA1"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乙醇试剂</w:t>
            </w:r>
          </w:p>
        </w:tc>
        <w:tc>
          <w:tcPr>
            <w:tcW w:w="1548" w:type="pct"/>
            <w:vMerge/>
            <w:vAlign w:val="center"/>
          </w:tcPr>
          <w:p w14:paraId="23586B59" w14:textId="77777777" w:rsidR="00580CFD" w:rsidRPr="007F4462" w:rsidRDefault="00580CFD" w:rsidP="007F4462">
            <w:pPr>
              <w:jc w:val="center"/>
              <w:rPr>
                <w:rFonts w:ascii="Calibri" w:hAnsi="Calibri"/>
                <w:color w:val="auto"/>
                <w:szCs w:val="21"/>
              </w:rPr>
            </w:pPr>
          </w:p>
        </w:tc>
        <w:tc>
          <w:tcPr>
            <w:tcW w:w="660" w:type="pct"/>
            <w:vAlign w:val="center"/>
          </w:tcPr>
          <w:p w14:paraId="121B0C67"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液体</w:t>
            </w:r>
          </w:p>
        </w:tc>
        <w:tc>
          <w:tcPr>
            <w:tcW w:w="969" w:type="pct"/>
            <w:vAlign w:val="center"/>
          </w:tcPr>
          <w:p w14:paraId="32B78171"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20</w:t>
            </w:r>
            <w:r w:rsidRPr="00DD676F">
              <w:rPr>
                <w:rFonts w:ascii="Calibri" w:hAnsi="Calibri" w:hint="eastAsia"/>
                <w:color w:val="auto"/>
                <w:szCs w:val="21"/>
              </w:rPr>
              <w:t>L</w:t>
            </w:r>
            <w:r w:rsidRPr="007F4462">
              <w:rPr>
                <w:rFonts w:ascii="Calibri" w:hAnsi="Calibri"/>
                <w:color w:val="auto"/>
                <w:szCs w:val="21"/>
              </w:rPr>
              <w:t>，折合</w:t>
            </w:r>
            <w:r w:rsidRPr="007F4462">
              <w:rPr>
                <w:rFonts w:ascii="Calibri" w:hAnsi="Calibri"/>
                <w:color w:val="auto"/>
                <w:szCs w:val="21"/>
              </w:rPr>
              <w:t>0.016t</w:t>
            </w:r>
          </w:p>
        </w:tc>
        <w:tc>
          <w:tcPr>
            <w:tcW w:w="609" w:type="pct"/>
            <w:vAlign w:val="center"/>
          </w:tcPr>
          <w:p w14:paraId="44EDA477"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泄漏、火灾爆炸</w:t>
            </w:r>
          </w:p>
        </w:tc>
      </w:tr>
      <w:tr w:rsidR="00580CFD" w:rsidRPr="00C23368" w14:paraId="5C44C7D6" w14:textId="77777777" w:rsidTr="00580CFD">
        <w:trPr>
          <w:trHeight w:val="287"/>
          <w:jc w:val="center"/>
        </w:trPr>
        <w:tc>
          <w:tcPr>
            <w:tcW w:w="295" w:type="pct"/>
            <w:vAlign w:val="center"/>
          </w:tcPr>
          <w:p w14:paraId="71C744F7"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9</w:t>
            </w:r>
          </w:p>
        </w:tc>
        <w:tc>
          <w:tcPr>
            <w:tcW w:w="919" w:type="pct"/>
            <w:vAlign w:val="center"/>
          </w:tcPr>
          <w:p w14:paraId="04ADA55B"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0.02M</w:t>
            </w:r>
            <w:r w:rsidRPr="007F4462">
              <w:rPr>
                <w:rFonts w:ascii="Calibri" w:hAnsi="Calibri"/>
                <w:color w:val="auto"/>
                <w:szCs w:val="21"/>
              </w:rPr>
              <w:t>盐酸</w:t>
            </w:r>
          </w:p>
        </w:tc>
        <w:tc>
          <w:tcPr>
            <w:tcW w:w="1548" w:type="pct"/>
            <w:vMerge/>
            <w:vAlign w:val="center"/>
          </w:tcPr>
          <w:p w14:paraId="14AD3DA6" w14:textId="77777777" w:rsidR="00580CFD" w:rsidRPr="007F4462" w:rsidRDefault="00580CFD" w:rsidP="007F4462">
            <w:pPr>
              <w:jc w:val="center"/>
              <w:rPr>
                <w:rFonts w:ascii="Calibri" w:hAnsi="Calibri"/>
                <w:color w:val="auto"/>
                <w:szCs w:val="21"/>
              </w:rPr>
            </w:pPr>
          </w:p>
        </w:tc>
        <w:tc>
          <w:tcPr>
            <w:tcW w:w="660" w:type="pct"/>
            <w:vAlign w:val="center"/>
          </w:tcPr>
          <w:p w14:paraId="5522B583"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液体</w:t>
            </w:r>
          </w:p>
        </w:tc>
        <w:tc>
          <w:tcPr>
            <w:tcW w:w="969" w:type="pct"/>
            <w:vAlign w:val="center"/>
          </w:tcPr>
          <w:p w14:paraId="2F9A42E0"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20</w:t>
            </w:r>
            <w:r w:rsidRPr="00DD676F">
              <w:rPr>
                <w:rFonts w:ascii="Calibri" w:hAnsi="Calibri" w:hint="eastAsia"/>
                <w:color w:val="auto"/>
                <w:szCs w:val="21"/>
              </w:rPr>
              <w:t>L</w:t>
            </w:r>
            <w:r w:rsidRPr="007F4462">
              <w:rPr>
                <w:rFonts w:ascii="Calibri" w:hAnsi="Calibri"/>
                <w:color w:val="auto"/>
                <w:szCs w:val="21"/>
              </w:rPr>
              <w:t>，折合</w:t>
            </w:r>
            <w:r w:rsidRPr="007F4462">
              <w:rPr>
                <w:rFonts w:ascii="Calibri" w:hAnsi="Calibri"/>
                <w:color w:val="auto"/>
                <w:szCs w:val="21"/>
              </w:rPr>
              <w:t>0.02t</w:t>
            </w:r>
          </w:p>
        </w:tc>
        <w:tc>
          <w:tcPr>
            <w:tcW w:w="609" w:type="pct"/>
            <w:vAlign w:val="center"/>
          </w:tcPr>
          <w:p w14:paraId="4C044E83"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泄漏</w:t>
            </w:r>
          </w:p>
        </w:tc>
      </w:tr>
      <w:tr w:rsidR="00580CFD" w:rsidRPr="00C23368" w14:paraId="755FD745" w14:textId="77777777" w:rsidTr="00580CFD">
        <w:trPr>
          <w:trHeight w:val="287"/>
          <w:jc w:val="center"/>
        </w:trPr>
        <w:tc>
          <w:tcPr>
            <w:tcW w:w="295" w:type="pct"/>
            <w:vAlign w:val="center"/>
          </w:tcPr>
          <w:p w14:paraId="55B34B2F"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10</w:t>
            </w:r>
          </w:p>
        </w:tc>
        <w:tc>
          <w:tcPr>
            <w:tcW w:w="919" w:type="pct"/>
            <w:vAlign w:val="center"/>
          </w:tcPr>
          <w:p w14:paraId="5A58403C"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0.02M</w:t>
            </w:r>
            <w:r w:rsidRPr="007F4462">
              <w:rPr>
                <w:rFonts w:ascii="Calibri" w:hAnsi="Calibri"/>
                <w:color w:val="auto"/>
                <w:szCs w:val="21"/>
              </w:rPr>
              <w:t>氢氧化钠</w:t>
            </w:r>
          </w:p>
        </w:tc>
        <w:tc>
          <w:tcPr>
            <w:tcW w:w="1548" w:type="pct"/>
            <w:vMerge/>
            <w:vAlign w:val="center"/>
          </w:tcPr>
          <w:p w14:paraId="06A528CC" w14:textId="77777777" w:rsidR="00580CFD" w:rsidRPr="007F4462" w:rsidRDefault="00580CFD" w:rsidP="007F4462">
            <w:pPr>
              <w:jc w:val="center"/>
              <w:rPr>
                <w:rFonts w:ascii="Calibri" w:hAnsi="Calibri"/>
                <w:color w:val="auto"/>
                <w:szCs w:val="21"/>
              </w:rPr>
            </w:pPr>
          </w:p>
        </w:tc>
        <w:tc>
          <w:tcPr>
            <w:tcW w:w="660" w:type="pct"/>
            <w:vAlign w:val="center"/>
          </w:tcPr>
          <w:p w14:paraId="091ADC46"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液体</w:t>
            </w:r>
          </w:p>
        </w:tc>
        <w:tc>
          <w:tcPr>
            <w:tcW w:w="969" w:type="pct"/>
            <w:vAlign w:val="center"/>
          </w:tcPr>
          <w:p w14:paraId="66812BD0"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20</w:t>
            </w:r>
            <w:r w:rsidRPr="00DD676F">
              <w:rPr>
                <w:rFonts w:ascii="Calibri" w:hAnsi="Calibri" w:hint="eastAsia"/>
                <w:color w:val="auto"/>
                <w:szCs w:val="21"/>
              </w:rPr>
              <w:t>L</w:t>
            </w:r>
            <w:r w:rsidRPr="007F4462">
              <w:rPr>
                <w:rFonts w:ascii="Calibri" w:hAnsi="Calibri"/>
                <w:color w:val="auto"/>
                <w:szCs w:val="21"/>
              </w:rPr>
              <w:t>，折合</w:t>
            </w:r>
            <w:r w:rsidRPr="007F4462">
              <w:rPr>
                <w:rFonts w:ascii="Calibri" w:hAnsi="Calibri"/>
                <w:color w:val="auto"/>
                <w:szCs w:val="21"/>
              </w:rPr>
              <w:t>0.02t</w:t>
            </w:r>
          </w:p>
        </w:tc>
        <w:tc>
          <w:tcPr>
            <w:tcW w:w="609" w:type="pct"/>
            <w:vAlign w:val="center"/>
          </w:tcPr>
          <w:p w14:paraId="047AC839"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泄漏</w:t>
            </w:r>
          </w:p>
        </w:tc>
      </w:tr>
      <w:tr w:rsidR="00580CFD" w:rsidRPr="00C23368" w14:paraId="272E3ED8" w14:textId="77777777" w:rsidTr="00580CFD">
        <w:trPr>
          <w:trHeight w:val="287"/>
          <w:jc w:val="center"/>
        </w:trPr>
        <w:tc>
          <w:tcPr>
            <w:tcW w:w="295" w:type="pct"/>
            <w:vAlign w:val="center"/>
          </w:tcPr>
          <w:p w14:paraId="78D2647B"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11</w:t>
            </w:r>
          </w:p>
        </w:tc>
        <w:tc>
          <w:tcPr>
            <w:tcW w:w="919" w:type="pct"/>
            <w:vAlign w:val="center"/>
          </w:tcPr>
          <w:p w14:paraId="3A65AA9C"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0.5M</w:t>
            </w:r>
            <w:r w:rsidRPr="007F4462">
              <w:rPr>
                <w:rFonts w:ascii="Calibri" w:hAnsi="Calibri"/>
                <w:color w:val="auto"/>
                <w:szCs w:val="21"/>
              </w:rPr>
              <w:t>氢氧化钠</w:t>
            </w:r>
          </w:p>
        </w:tc>
        <w:tc>
          <w:tcPr>
            <w:tcW w:w="1548" w:type="pct"/>
            <w:vMerge/>
            <w:vAlign w:val="center"/>
          </w:tcPr>
          <w:p w14:paraId="694EFA1C" w14:textId="77777777" w:rsidR="00580CFD" w:rsidRPr="007F4462" w:rsidRDefault="00580CFD" w:rsidP="007F4462">
            <w:pPr>
              <w:jc w:val="center"/>
              <w:rPr>
                <w:rFonts w:ascii="Calibri" w:hAnsi="Calibri"/>
                <w:color w:val="auto"/>
                <w:szCs w:val="21"/>
              </w:rPr>
            </w:pPr>
          </w:p>
        </w:tc>
        <w:tc>
          <w:tcPr>
            <w:tcW w:w="660" w:type="pct"/>
            <w:vAlign w:val="center"/>
          </w:tcPr>
          <w:p w14:paraId="15DE0367"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液体</w:t>
            </w:r>
          </w:p>
        </w:tc>
        <w:tc>
          <w:tcPr>
            <w:tcW w:w="969" w:type="pct"/>
            <w:vAlign w:val="center"/>
          </w:tcPr>
          <w:p w14:paraId="01354A3B" w14:textId="77777777" w:rsidR="00580CFD" w:rsidRPr="007F4462" w:rsidRDefault="00580CFD" w:rsidP="007F4462">
            <w:pPr>
              <w:jc w:val="center"/>
              <w:rPr>
                <w:rFonts w:ascii="Calibri" w:hAnsi="Calibri"/>
                <w:color w:val="auto"/>
                <w:szCs w:val="21"/>
              </w:rPr>
            </w:pPr>
            <w:r w:rsidRPr="007F4462">
              <w:rPr>
                <w:rFonts w:ascii="Calibri" w:hAnsi="Calibri"/>
                <w:color w:val="auto"/>
                <w:szCs w:val="21"/>
              </w:rPr>
              <w:t>20</w:t>
            </w:r>
            <w:r w:rsidRPr="00DD676F">
              <w:rPr>
                <w:rFonts w:ascii="Calibri" w:hAnsi="Calibri" w:hint="eastAsia"/>
                <w:color w:val="auto"/>
                <w:szCs w:val="21"/>
              </w:rPr>
              <w:t>L</w:t>
            </w:r>
            <w:r w:rsidRPr="007F4462">
              <w:rPr>
                <w:rFonts w:ascii="Calibri" w:hAnsi="Calibri"/>
                <w:color w:val="auto"/>
                <w:szCs w:val="21"/>
              </w:rPr>
              <w:t>，折合</w:t>
            </w:r>
            <w:r w:rsidRPr="007F4462">
              <w:rPr>
                <w:rFonts w:ascii="Calibri" w:hAnsi="Calibri"/>
                <w:color w:val="auto"/>
                <w:szCs w:val="21"/>
              </w:rPr>
              <w:t>0.02t</w:t>
            </w:r>
          </w:p>
        </w:tc>
        <w:tc>
          <w:tcPr>
            <w:tcW w:w="609" w:type="pct"/>
            <w:vAlign w:val="center"/>
          </w:tcPr>
          <w:p w14:paraId="746D7BAB" w14:textId="77777777" w:rsidR="00580CFD" w:rsidRPr="007F4462" w:rsidRDefault="00580CFD" w:rsidP="007F4462">
            <w:pPr>
              <w:jc w:val="center"/>
              <w:rPr>
                <w:rFonts w:ascii="Calibri" w:hAnsi="Calibri"/>
                <w:color w:val="auto"/>
                <w:szCs w:val="21"/>
              </w:rPr>
            </w:pPr>
            <w:r w:rsidRPr="007F4462">
              <w:rPr>
                <w:rFonts w:ascii="Calibri" w:hAnsi="Calibri" w:hint="eastAsia"/>
                <w:color w:val="auto"/>
                <w:szCs w:val="21"/>
              </w:rPr>
              <w:t>泄漏</w:t>
            </w:r>
          </w:p>
        </w:tc>
      </w:tr>
    </w:tbl>
    <w:p w14:paraId="342D9CE4" w14:textId="77777777" w:rsidR="00012CE5" w:rsidRPr="00A964FF" w:rsidRDefault="00012CE5" w:rsidP="00580CFD">
      <w:pPr>
        <w:spacing w:line="520" w:lineRule="exact"/>
        <w:ind w:firstLineChars="200" w:firstLine="482"/>
        <w:rPr>
          <w:rFonts w:ascii="Calibri" w:hAnsi="Calibri"/>
          <w:b/>
          <w:color w:val="auto"/>
          <w:sz w:val="24"/>
        </w:rPr>
      </w:pPr>
      <w:r w:rsidRPr="00A964FF">
        <w:rPr>
          <w:rFonts w:ascii="Calibri" w:hAnsi="Calibri" w:hint="eastAsia"/>
          <w:b/>
          <w:color w:val="auto"/>
          <w:sz w:val="24"/>
        </w:rPr>
        <w:t>2</w:t>
      </w:r>
      <w:r w:rsidRPr="00A964FF">
        <w:rPr>
          <w:rFonts w:ascii="Calibri" w:hAnsi="Calibri" w:hint="eastAsia"/>
          <w:b/>
          <w:color w:val="auto"/>
          <w:sz w:val="24"/>
        </w:rPr>
        <w:t>、生产系统危险性识别</w:t>
      </w:r>
    </w:p>
    <w:p w14:paraId="54E8A80D" w14:textId="77777777" w:rsidR="00580CFD" w:rsidRDefault="00580CFD" w:rsidP="00580CFD">
      <w:pPr>
        <w:spacing w:line="520" w:lineRule="exact"/>
        <w:ind w:firstLineChars="200" w:firstLine="480"/>
        <w:rPr>
          <w:rFonts w:ascii="Calibri" w:hAnsi="Calibri"/>
          <w:color w:val="auto"/>
          <w:sz w:val="24"/>
        </w:rPr>
      </w:pPr>
      <w:r>
        <w:rPr>
          <w:rFonts w:ascii="Calibri" w:hAnsi="Calibri" w:hint="eastAsia"/>
          <w:color w:val="auto"/>
          <w:sz w:val="24"/>
        </w:rPr>
        <w:t>（</w:t>
      </w:r>
      <w:r>
        <w:rPr>
          <w:rFonts w:ascii="Calibri" w:hAnsi="Calibri" w:hint="eastAsia"/>
          <w:color w:val="auto"/>
          <w:sz w:val="24"/>
        </w:rPr>
        <w:t>1</w:t>
      </w:r>
      <w:r>
        <w:rPr>
          <w:rFonts w:ascii="Calibri" w:hAnsi="Calibri" w:hint="eastAsia"/>
          <w:color w:val="auto"/>
          <w:sz w:val="24"/>
        </w:rPr>
        <w:t>）生产</w:t>
      </w:r>
      <w:r>
        <w:rPr>
          <w:rFonts w:ascii="Calibri" w:hAnsi="Calibri"/>
          <w:color w:val="auto"/>
          <w:sz w:val="24"/>
        </w:rPr>
        <w:t>原料泄露</w:t>
      </w:r>
    </w:p>
    <w:p w14:paraId="7C83D0A9" w14:textId="77777777" w:rsidR="00580CFD" w:rsidRDefault="00580CFD" w:rsidP="00580CFD">
      <w:pPr>
        <w:spacing w:line="520" w:lineRule="exact"/>
        <w:ind w:firstLineChars="200" w:firstLine="480"/>
        <w:rPr>
          <w:sz w:val="24"/>
        </w:rPr>
      </w:pPr>
      <w:r>
        <w:rPr>
          <w:rFonts w:ascii="宋体" w:hAnsi="宋体" w:cs="宋体" w:hint="eastAsia"/>
          <w:sz w:val="24"/>
        </w:rPr>
        <w:t>①外购</w:t>
      </w:r>
      <w:r w:rsidRPr="00580CFD">
        <w:rPr>
          <w:rFonts w:asciiTheme="minorHAnsi" w:hAnsiTheme="minorHAnsi" w:cs="宋体"/>
          <w:sz w:val="24"/>
        </w:rPr>
        <w:t>50%</w:t>
      </w:r>
      <w:r w:rsidR="007F4462">
        <w:rPr>
          <w:rFonts w:asciiTheme="minorHAnsi" w:hAnsiTheme="minorHAnsi" w:cs="宋体" w:hint="eastAsia"/>
          <w:sz w:val="24"/>
        </w:rPr>
        <w:t>尼龙</w:t>
      </w:r>
      <w:r w:rsidR="007F4462">
        <w:rPr>
          <w:rFonts w:asciiTheme="minorHAnsi" w:hAnsiTheme="minorHAnsi" w:cs="宋体" w:hint="eastAsia"/>
          <w:sz w:val="24"/>
        </w:rPr>
        <w:t>66</w:t>
      </w:r>
      <w:r w:rsidR="007F4462">
        <w:rPr>
          <w:rFonts w:asciiTheme="minorHAnsi" w:hAnsiTheme="minorHAnsi" w:cs="宋体" w:hint="eastAsia"/>
          <w:sz w:val="24"/>
        </w:rPr>
        <w:t>盐</w:t>
      </w:r>
      <w:r w:rsidR="007F4462">
        <w:rPr>
          <w:rFonts w:asciiTheme="minorHAnsi" w:hAnsiTheme="minorHAnsi" w:cs="宋体"/>
          <w:sz w:val="24"/>
        </w:rPr>
        <w:t>溶液</w:t>
      </w:r>
      <w:r w:rsidRPr="00580CFD">
        <w:rPr>
          <w:rFonts w:asciiTheme="minorHAnsi" w:hAnsiTheme="minorHAnsi"/>
          <w:sz w:val="24"/>
        </w:rPr>
        <w:t>等其他原辅料意外破损泄漏，对区域水环境、</w:t>
      </w:r>
      <w:r w:rsidRPr="00180F4D">
        <w:rPr>
          <w:sz w:val="24"/>
        </w:rPr>
        <w:t>土壤造成污染</w:t>
      </w:r>
      <w:r>
        <w:rPr>
          <w:rFonts w:hint="eastAsia"/>
          <w:sz w:val="24"/>
        </w:rPr>
        <w:t>；</w:t>
      </w:r>
    </w:p>
    <w:p w14:paraId="67E8F0B5" w14:textId="77777777" w:rsidR="00580CFD" w:rsidRPr="00580CFD" w:rsidRDefault="00580CFD" w:rsidP="00580CFD">
      <w:pPr>
        <w:spacing w:line="520" w:lineRule="exact"/>
        <w:ind w:firstLineChars="200" w:firstLine="480"/>
        <w:rPr>
          <w:kern w:val="0"/>
          <w:sz w:val="24"/>
          <w:szCs w:val="22"/>
        </w:rPr>
      </w:pPr>
      <w:r w:rsidRPr="00580CFD">
        <w:rPr>
          <w:rFonts w:ascii="宋体" w:hAnsi="宋体" w:hint="eastAsia"/>
          <w:sz w:val="24"/>
        </w:rPr>
        <w:t>②</w:t>
      </w:r>
      <w:r w:rsidRPr="0008624C">
        <w:rPr>
          <w:rFonts w:hint="eastAsia"/>
          <w:kern w:val="0"/>
          <w:sz w:val="24"/>
          <w:szCs w:val="22"/>
        </w:rPr>
        <w:t>当</w:t>
      </w:r>
      <w:r>
        <w:rPr>
          <w:rFonts w:hint="eastAsia"/>
          <w:kern w:val="0"/>
          <w:sz w:val="24"/>
          <w:szCs w:val="22"/>
        </w:rPr>
        <w:t>天然气</w:t>
      </w:r>
      <w:r w:rsidRPr="0008624C">
        <w:rPr>
          <w:rFonts w:hint="eastAsia"/>
          <w:kern w:val="0"/>
          <w:sz w:val="24"/>
          <w:szCs w:val="22"/>
        </w:rPr>
        <w:t>泄漏</w:t>
      </w:r>
      <w:r>
        <w:rPr>
          <w:rFonts w:hint="eastAsia"/>
          <w:kern w:val="0"/>
          <w:sz w:val="24"/>
          <w:szCs w:val="22"/>
        </w:rPr>
        <w:t>、</w:t>
      </w:r>
      <w:r>
        <w:rPr>
          <w:kern w:val="0"/>
          <w:sz w:val="24"/>
          <w:szCs w:val="22"/>
        </w:rPr>
        <w:t>导热油</w:t>
      </w:r>
      <w:r>
        <w:rPr>
          <w:rFonts w:hint="eastAsia"/>
          <w:kern w:val="0"/>
          <w:sz w:val="24"/>
          <w:szCs w:val="22"/>
        </w:rPr>
        <w:t>及</w:t>
      </w:r>
      <w:r>
        <w:rPr>
          <w:kern w:val="0"/>
          <w:sz w:val="24"/>
          <w:szCs w:val="22"/>
        </w:rPr>
        <w:t>甲酸</w:t>
      </w:r>
      <w:r w:rsidRPr="0008624C">
        <w:rPr>
          <w:rFonts w:hint="eastAsia"/>
          <w:kern w:val="0"/>
          <w:sz w:val="24"/>
          <w:szCs w:val="22"/>
        </w:rPr>
        <w:t>遇点火源就会发生火灾爆炸事故</w:t>
      </w:r>
      <w:r w:rsidRPr="00FE55D2">
        <w:rPr>
          <w:rFonts w:ascii="宋体" w:hAnsi="宋体" w:hint="eastAsia"/>
          <w:sz w:val="24"/>
        </w:rPr>
        <w:t>。救火过程中产生的消防废水，若处理不当，一旦泄露外排，将造成二次污染。</w:t>
      </w:r>
    </w:p>
    <w:p w14:paraId="6E673FC5" w14:textId="77777777" w:rsidR="0047129E" w:rsidRDefault="0047129E" w:rsidP="0047129E">
      <w:pPr>
        <w:spacing w:line="520" w:lineRule="exact"/>
        <w:ind w:firstLineChars="200" w:firstLine="480"/>
        <w:rPr>
          <w:rFonts w:ascii="Calibri" w:hAnsi="Calibri"/>
          <w:color w:val="auto"/>
          <w:sz w:val="24"/>
        </w:rPr>
      </w:pPr>
      <w:r>
        <w:rPr>
          <w:rFonts w:ascii="Calibri" w:hAnsi="Calibri" w:hint="eastAsia"/>
          <w:color w:val="auto"/>
          <w:sz w:val="24"/>
        </w:rPr>
        <w:t>（</w:t>
      </w:r>
      <w:r w:rsidR="00580CFD">
        <w:rPr>
          <w:rFonts w:ascii="Calibri" w:hAnsi="Calibri"/>
          <w:color w:val="auto"/>
          <w:sz w:val="24"/>
        </w:rPr>
        <w:t>2</w:t>
      </w:r>
      <w:r>
        <w:rPr>
          <w:rFonts w:ascii="Calibri" w:hAnsi="Calibri" w:hint="eastAsia"/>
          <w:color w:val="auto"/>
          <w:sz w:val="24"/>
        </w:rPr>
        <w:t>）生产装置</w:t>
      </w:r>
    </w:p>
    <w:p w14:paraId="0A06579D" w14:textId="77777777" w:rsidR="00580CFD" w:rsidRPr="00180F4D" w:rsidRDefault="00580CFD" w:rsidP="00580CFD">
      <w:pPr>
        <w:spacing w:line="520" w:lineRule="exact"/>
        <w:ind w:firstLineChars="200" w:firstLine="480"/>
        <w:rPr>
          <w:sz w:val="24"/>
        </w:rPr>
      </w:pPr>
      <w:r w:rsidRPr="00180F4D">
        <w:rPr>
          <w:rFonts w:ascii="宋体" w:hAnsi="宋体" w:cs="宋体" w:hint="eastAsia"/>
          <w:sz w:val="24"/>
        </w:rPr>
        <w:t>①</w:t>
      </w:r>
      <w:r w:rsidRPr="00180F4D">
        <w:rPr>
          <w:sz w:val="24"/>
        </w:rPr>
        <w:t>生产装置和贮运系统：包括聚合</w:t>
      </w:r>
      <w:r>
        <w:rPr>
          <w:rFonts w:hint="eastAsia"/>
          <w:sz w:val="24"/>
        </w:rPr>
        <w:t>装置</w:t>
      </w:r>
      <w:r w:rsidRPr="00180F4D">
        <w:rPr>
          <w:sz w:val="24"/>
        </w:rPr>
        <w:t>及天然气输送系统</w:t>
      </w:r>
      <w:r w:rsidRPr="00180F4D">
        <w:rPr>
          <w:rFonts w:hint="eastAsia"/>
          <w:sz w:val="24"/>
        </w:rPr>
        <w:t>等</w:t>
      </w:r>
      <w:r w:rsidRPr="00180F4D">
        <w:rPr>
          <w:sz w:val="24"/>
        </w:rPr>
        <w:t>。在生产过程中如果操作不当，则会造成工作人员眼和皮肤接触可致灼伤；车间内排风不良易引起人员中毒窒息</w:t>
      </w:r>
      <w:r w:rsidRPr="00180F4D">
        <w:rPr>
          <w:rFonts w:hint="eastAsia"/>
          <w:sz w:val="24"/>
        </w:rPr>
        <w:t>；</w:t>
      </w:r>
    </w:p>
    <w:p w14:paraId="305BDD01" w14:textId="77777777" w:rsidR="00580CFD" w:rsidRPr="00180F4D" w:rsidRDefault="00580CFD" w:rsidP="00580CFD">
      <w:pPr>
        <w:spacing w:line="520" w:lineRule="exact"/>
        <w:ind w:firstLineChars="200" w:firstLine="480"/>
        <w:rPr>
          <w:sz w:val="24"/>
        </w:rPr>
      </w:pPr>
      <w:r w:rsidRPr="00180F4D">
        <w:rPr>
          <w:rFonts w:hint="eastAsia"/>
          <w:sz w:val="24"/>
        </w:rPr>
        <w:t>②生产工艺废气</w:t>
      </w:r>
      <w:r w:rsidRPr="00180F4D">
        <w:rPr>
          <w:sz w:val="24"/>
        </w:rPr>
        <w:t>对工人健康有一定危害，高温环境还可能引起中暑、高血压、心肌损害及消化功能障碍等</w:t>
      </w:r>
      <w:r w:rsidRPr="00180F4D">
        <w:rPr>
          <w:rFonts w:hint="eastAsia"/>
          <w:sz w:val="24"/>
        </w:rPr>
        <w:t>；</w:t>
      </w:r>
    </w:p>
    <w:p w14:paraId="4F3A4754" w14:textId="77777777" w:rsidR="00580CFD" w:rsidRPr="00180F4D" w:rsidRDefault="00580CFD" w:rsidP="00580CFD">
      <w:pPr>
        <w:spacing w:line="520" w:lineRule="exact"/>
        <w:ind w:firstLineChars="200" w:firstLine="480"/>
        <w:rPr>
          <w:sz w:val="24"/>
        </w:rPr>
      </w:pPr>
      <w:r w:rsidRPr="00180F4D">
        <w:rPr>
          <w:rFonts w:hint="eastAsia"/>
          <w:sz w:val="24"/>
        </w:rPr>
        <w:t>③</w:t>
      </w:r>
      <w:r w:rsidRPr="00180F4D">
        <w:rPr>
          <w:sz w:val="24"/>
        </w:rPr>
        <w:t>辅助工程废气处理系统出现故障，</w:t>
      </w:r>
      <w:r w:rsidR="004026CC">
        <w:rPr>
          <w:rFonts w:hint="eastAsia"/>
          <w:sz w:val="24"/>
        </w:rPr>
        <w:t>覆膜</w:t>
      </w:r>
      <w:r w:rsidRPr="00180F4D">
        <w:rPr>
          <w:sz w:val="24"/>
        </w:rPr>
        <w:t>除尘器</w:t>
      </w:r>
      <w:r w:rsidR="004026CC">
        <w:rPr>
          <w:rFonts w:hint="eastAsia"/>
          <w:sz w:val="24"/>
        </w:rPr>
        <w:t>、</w:t>
      </w:r>
      <w:r w:rsidRPr="00180F4D">
        <w:rPr>
          <w:sz w:val="24"/>
        </w:rPr>
        <w:t>水喷淋塔</w:t>
      </w:r>
      <w:r w:rsidR="004026CC">
        <w:rPr>
          <w:rFonts w:hint="eastAsia"/>
          <w:sz w:val="24"/>
        </w:rPr>
        <w:t>及</w:t>
      </w:r>
      <w:r w:rsidR="004026CC">
        <w:rPr>
          <w:sz w:val="24"/>
        </w:rPr>
        <w:t>活性炭吸附装置</w:t>
      </w:r>
      <w:r w:rsidRPr="00180F4D">
        <w:rPr>
          <w:sz w:val="24"/>
        </w:rPr>
        <w:t>出现故障导致废气处理装置效率下降，造成非正常排污等环境风险；</w:t>
      </w:r>
    </w:p>
    <w:p w14:paraId="09CF44CD" w14:textId="77777777" w:rsidR="00580CFD" w:rsidRPr="00180F4D" w:rsidRDefault="00580CFD" w:rsidP="00580CFD">
      <w:pPr>
        <w:spacing w:line="520" w:lineRule="exact"/>
        <w:ind w:firstLineChars="200" w:firstLine="480"/>
        <w:rPr>
          <w:sz w:val="24"/>
        </w:rPr>
      </w:pPr>
      <w:r w:rsidRPr="00180F4D">
        <w:rPr>
          <w:rFonts w:hint="eastAsia"/>
          <w:sz w:val="24"/>
        </w:rPr>
        <w:lastRenderedPageBreak/>
        <w:t>④</w:t>
      </w:r>
      <w:r>
        <w:rPr>
          <w:rFonts w:hint="eastAsia"/>
          <w:sz w:val="24"/>
        </w:rPr>
        <w:t>污水站破损造成</w:t>
      </w:r>
      <w:r w:rsidRPr="00180F4D">
        <w:rPr>
          <w:rFonts w:hint="eastAsia"/>
          <w:sz w:val="24"/>
        </w:rPr>
        <w:t>废水下渗，对区域土壤、地下水环境造成污染；</w:t>
      </w:r>
    </w:p>
    <w:p w14:paraId="6F8F136F" w14:textId="77777777" w:rsidR="00580CFD" w:rsidRPr="00180F4D" w:rsidRDefault="00580CFD" w:rsidP="00580CFD">
      <w:pPr>
        <w:spacing w:line="520" w:lineRule="exact"/>
        <w:ind w:firstLineChars="200" w:firstLine="480"/>
        <w:rPr>
          <w:sz w:val="24"/>
        </w:rPr>
      </w:pPr>
      <w:r w:rsidRPr="00180F4D">
        <w:rPr>
          <w:rFonts w:hint="eastAsia"/>
          <w:sz w:val="24"/>
        </w:rPr>
        <w:t>⑤污水处理站设施故障，废水不能及时收集，进入集聚区污水处理厂，对污水厂造成冲击影响。</w:t>
      </w:r>
    </w:p>
    <w:p w14:paraId="5EE9748C" w14:textId="77777777" w:rsidR="004026CC" w:rsidRDefault="004026CC" w:rsidP="004026CC">
      <w:pPr>
        <w:spacing w:line="520" w:lineRule="exact"/>
        <w:ind w:firstLineChars="200" w:firstLine="480"/>
        <w:rPr>
          <w:rFonts w:ascii="Calibri" w:hAnsi="Calibri"/>
          <w:color w:val="auto"/>
          <w:sz w:val="24"/>
        </w:rPr>
      </w:pPr>
      <w:r>
        <w:rPr>
          <w:rFonts w:ascii="Calibri" w:hAnsi="Calibri" w:hint="eastAsia"/>
          <w:color w:val="auto"/>
          <w:sz w:val="24"/>
        </w:rPr>
        <w:t>（</w:t>
      </w:r>
      <w:r>
        <w:rPr>
          <w:rFonts w:ascii="Calibri" w:hAnsi="Calibri"/>
          <w:color w:val="auto"/>
          <w:sz w:val="24"/>
        </w:rPr>
        <w:t>3</w:t>
      </w:r>
      <w:r>
        <w:rPr>
          <w:rFonts w:ascii="Calibri" w:hAnsi="Calibri" w:hint="eastAsia"/>
          <w:color w:val="auto"/>
          <w:sz w:val="24"/>
        </w:rPr>
        <w:t>）三废治理</w:t>
      </w:r>
      <w:r>
        <w:rPr>
          <w:rFonts w:ascii="Calibri" w:hAnsi="Calibri"/>
          <w:color w:val="auto"/>
          <w:sz w:val="24"/>
        </w:rPr>
        <w:t>不规范</w:t>
      </w:r>
    </w:p>
    <w:p w14:paraId="3D28F600" w14:textId="77777777" w:rsidR="004026CC" w:rsidRPr="00180F4D" w:rsidRDefault="004026CC" w:rsidP="004026CC">
      <w:pPr>
        <w:spacing w:line="520" w:lineRule="exact"/>
        <w:ind w:firstLineChars="200" w:firstLine="480"/>
        <w:rPr>
          <w:rFonts w:ascii="宋体" w:hAnsi="宋体" w:cs="宋体"/>
          <w:sz w:val="24"/>
        </w:rPr>
      </w:pPr>
      <w:r w:rsidRPr="00180F4D">
        <w:rPr>
          <w:rFonts w:ascii="宋体" w:hAnsi="宋体" w:cs="宋体" w:hint="eastAsia"/>
          <w:sz w:val="24"/>
        </w:rPr>
        <w:t>①工艺废气治理设施未按要求及时添加新鲜水</w:t>
      </w:r>
      <w:r>
        <w:rPr>
          <w:rFonts w:ascii="宋体" w:hAnsi="宋体" w:cs="宋体" w:hint="eastAsia"/>
          <w:sz w:val="24"/>
        </w:rPr>
        <w:t>或者活性炭</w:t>
      </w:r>
      <w:r>
        <w:rPr>
          <w:rFonts w:ascii="宋体" w:hAnsi="宋体" w:cs="宋体"/>
          <w:sz w:val="24"/>
        </w:rPr>
        <w:t>更换不及时，</w:t>
      </w:r>
      <w:r w:rsidRPr="00180F4D">
        <w:rPr>
          <w:rFonts w:ascii="宋体" w:hAnsi="宋体" w:cs="宋体" w:hint="eastAsia"/>
          <w:sz w:val="24"/>
        </w:rPr>
        <w:t>导致废气处理效果不佳，污染物超标排放；</w:t>
      </w:r>
    </w:p>
    <w:p w14:paraId="6772415A" w14:textId="77777777" w:rsidR="004026CC" w:rsidRPr="00180F4D" w:rsidRDefault="004026CC" w:rsidP="004026CC">
      <w:pPr>
        <w:spacing w:line="520" w:lineRule="exact"/>
        <w:ind w:firstLineChars="200" w:firstLine="480"/>
        <w:rPr>
          <w:rFonts w:ascii="宋体" w:hAnsi="宋体" w:cs="宋体"/>
          <w:sz w:val="24"/>
        </w:rPr>
      </w:pPr>
      <w:r w:rsidRPr="00180F4D">
        <w:rPr>
          <w:rFonts w:ascii="宋体" w:hAnsi="宋体" w:cs="宋体" w:hint="eastAsia"/>
          <w:sz w:val="24"/>
        </w:rPr>
        <w:t>②污水处理设施未及时添加药剂，造成废水超标排放；</w:t>
      </w:r>
    </w:p>
    <w:p w14:paraId="2542145B" w14:textId="77777777" w:rsidR="00580CFD" w:rsidRPr="004026CC" w:rsidRDefault="004026CC" w:rsidP="004026CC">
      <w:pPr>
        <w:spacing w:line="520" w:lineRule="exact"/>
        <w:ind w:firstLineChars="200" w:firstLine="480"/>
        <w:rPr>
          <w:sz w:val="24"/>
        </w:rPr>
      </w:pPr>
      <w:r w:rsidRPr="00180F4D">
        <w:rPr>
          <w:rFonts w:ascii="宋体" w:hAnsi="宋体" w:cs="宋体" w:hint="eastAsia"/>
          <w:sz w:val="24"/>
        </w:rPr>
        <w:t>③</w:t>
      </w:r>
      <w:r w:rsidRPr="00180F4D">
        <w:rPr>
          <w:sz w:val="24"/>
        </w:rPr>
        <w:t>危险废物暂存间内液态危险废物未能妥善处置发生泄漏。</w:t>
      </w:r>
    </w:p>
    <w:p w14:paraId="7313A7CB" w14:textId="77777777" w:rsidR="00012CE5" w:rsidRPr="00A964FF" w:rsidRDefault="00531A84" w:rsidP="0055605A">
      <w:pPr>
        <w:spacing w:line="520" w:lineRule="exact"/>
        <w:ind w:firstLine="482"/>
        <w:rPr>
          <w:rFonts w:ascii="Calibri" w:hAnsi="Calibri"/>
          <w:b/>
          <w:color w:val="auto"/>
          <w:sz w:val="24"/>
        </w:rPr>
      </w:pPr>
      <w:r w:rsidRPr="00A964FF">
        <w:rPr>
          <w:rFonts w:ascii="Calibri" w:hAnsi="Calibri" w:hint="eastAsia"/>
          <w:b/>
          <w:color w:val="auto"/>
          <w:sz w:val="24"/>
        </w:rPr>
        <w:t>3</w:t>
      </w:r>
      <w:r w:rsidRPr="00A964FF">
        <w:rPr>
          <w:rFonts w:ascii="Calibri" w:hAnsi="Calibri" w:hint="eastAsia"/>
          <w:b/>
          <w:color w:val="auto"/>
          <w:sz w:val="24"/>
        </w:rPr>
        <w:t>、事故情况下污染物转移途经及危害形式</w:t>
      </w:r>
    </w:p>
    <w:p w14:paraId="5419148D"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1</w:t>
      </w:r>
      <w:r w:rsidRPr="00A964FF">
        <w:rPr>
          <w:rFonts w:ascii="Calibri" w:hAnsi="Calibri" w:hint="eastAsia"/>
          <w:color w:val="auto"/>
          <w:sz w:val="24"/>
        </w:rPr>
        <w:t>）</w:t>
      </w:r>
      <w:r w:rsidRPr="00A964FF">
        <w:rPr>
          <w:rFonts w:ascii="Calibri" w:hAnsi="Calibri"/>
          <w:color w:val="auto"/>
          <w:sz w:val="24"/>
        </w:rPr>
        <w:t>污染物转移进入大气环境影响分析</w:t>
      </w:r>
    </w:p>
    <w:p w14:paraId="61363E29"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物料</w:t>
      </w:r>
      <w:r w:rsidRPr="00A964FF">
        <w:rPr>
          <w:rFonts w:ascii="Calibri" w:hAnsi="Calibri"/>
          <w:color w:val="auto"/>
          <w:sz w:val="24"/>
        </w:rPr>
        <w:t>发生</w:t>
      </w:r>
      <w:r w:rsidRPr="00A964FF">
        <w:rPr>
          <w:rFonts w:ascii="Calibri" w:hAnsi="Calibri" w:hint="eastAsia"/>
          <w:color w:val="auto"/>
          <w:sz w:val="24"/>
        </w:rPr>
        <w:t>泄漏引发火灾或爆炸后，二次污染物</w:t>
      </w:r>
      <w:r w:rsidRPr="00A964FF">
        <w:rPr>
          <w:rFonts w:ascii="Calibri" w:hAnsi="Calibri"/>
          <w:color w:val="auto"/>
          <w:sz w:val="24"/>
        </w:rPr>
        <w:t>进入大气，造成大气污染。</w:t>
      </w:r>
    </w:p>
    <w:p w14:paraId="78FB9C08"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2</w:t>
      </w:r>
      <w:r w:rsidRPr="00A964FF">
        <w:rPr>
          <w:rFonts w:ascii="Calibri" w:hAnsi="Calibri" w:hint="eastAsia"/>
          <w:color w:val="auto"/>
          <w:sz w:val="24"/>
        </w:rPr>
        <w:t>）</w:t>
      </w:r>
      <w:r w:rsidRPr="00A964FF">
        <w:rPr>
          <w:rFonts w:ascii="Calibri" w:hAnsi="Calibri"/>
          <w:color w:val="auto"/>
          <w:sz w:val="24"/>
        </w:rPr>
        <w:t>污染物转移进入</w:t>
      </w:r>
      <w:r w:rsidRPr="00A964FF">
        <w:rPr>
          <w:rFonts w:ascii="Calibri" w:hAnsi="Calibri" w:hint="eastAsia"/>
          <w:color w:val="auto"/>
          <w:sz w:val="24"/>
        </w:rPr>
        <w:t>地表水</w:t>
      </w:r>
      <w:r w:rsidRPr="00A964FF">
        <w:rPr>
          <w:rFonts w:ascii="Calibri" w:hAnsi="Calibri"/>
          <w:color w:val="auto"/>
          <w:sz w:val="24"/>
        </w:rPr>
        <w:t>环境影响分析</w:t>
      </w:r>
    </w:p>
    <w:p w14:paraId="679DE9BF" w14:textId="77777777" w:rsidR="0082124A" w:rsidRPr="00A964FF" w:rsidRDefault="000A7852" w:rsidP="0082124A">
      <w:pPr>
        <w:spacing w:line="520" w:lineRule="exact"/>
        <w:ind w:firstLine="482"/>
        <w:rPr>
          <w:rFonts w:ascii="Calibri" w:hAnsi="Calibri"/>
          <w:color w:val="auto"/>
          <w:sz w:val="24"/>
        </w:rPr>
      </w:pPr>
      <w:r w:rsidRPr="00A964FF">
        <w:rPr>
          <w:rFonts w:ascii="Calibri" w:hAnsi="Calibri"/>
          <w:color w:val="auto"/>
          <w:sz w:val="24"/>
        </w:rPr>
        <w:t>在火灾事故发生的情况下，消防废水如果不能得到有效的收集和处理，</w:t>
      </w:r>
      <w:r w:rsidR="0082124A" w:rsidRPr="00A964FF">
        <w:rPr>
          <w:rFonts w:ascii="Calibri" w:hAnsi="Calibri"/>
          <w:color w:val="auto"/>
          <w:sz w:val="24"/>
        </w:rPr>
        <w:t>通过渗透或雨水管等进入地表水，</w:t>
      </w:r>
      <w:r w:rsidR="0082124A" w:rsidRPr="00A964FF">
        <w:rPr>
          <w:rFonts w:ascii="Calibri" w:hAnsi="Calibri" w:hint="eastAsia"/>
          <w:color w:val="auto"/>
          <w:sz w:val="24"/>
        </w:rPr>
        <w:t>造成</w:t>
      </w:r>
      <w:r w:rsidR="0082124A" w:rsidRPr="00A964FF">
        <w:rPr>
          <w:rFonts w:ascii="Calibri" w:hAnsi="Calibri"/>
          <w:color w:val="auto"/>
          <w:sz w:val="24"/>
        </w:rPr>
        <w:t>水环境和土壤污染。</w:t>
      </w:r>
    </w:p>
    <w:p w14:paraId="301D348E"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液体物料发生泄漏事故后，若未得到及时、有效的收集，流出厂界后进入周边地表水，对水环境和土壤造成污染。</w:t>
      </w:r>
    </w:p>
    <w:p w14:paraId="6B760233"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3</w:t>
      </w:r>
      <w:r w:rsidRPr="00A964FF">
        <w:rPr>
          <w:rFonts w:ascii="Calibri" w:hAnsi="Calibri" w:hint="eastAsia"/>
          <w:color w:val="auto"/>
          <w:sz w:val="24"/>
        </w:rPr>
        <w:t>）污染物转移进入地下水、土壤影响分析</w:t>
      </w:r>
    </w:p>
    <w:p w14:paraId="293F5DD5"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液体物料发生泄漏事故后，若未得到及时、有效的收集，进入土壤后，进而下渗进入地下水，对土壤、地下水均造成一定程度的影响。</w:t>
      </w:r>
    </w:p>
    <w:p w14:paraId="7EFF7F3B"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此外，堵漏过程中可能使用的大量拦截、堵漏材料，掺杂一定的物料，若事故排放后随意丢弃、排放，将对环境产生二次污染。</w:t>
      </w:r>
    </w:p>
    <w:p w14:paraId="2AC0E5E2" w14:textId="77777777" w:rsidR="00531A84" w:rsidRPr="00A964FF" w:rsidRDefault="00971B8B" w:rsidP="00531A84">
      <w:pPr>
        <w:spacing w:line="520" w:lineRule="exact"/>
        <w:ind w:firstLine="482"/>
        <w:rPr>
          <w:rFonts w:ascii="Calibri" w:hAnsi="Calibri"/>
          <w:color w:val="auto"/>
          <w:sz w:val="24"/>
        </w:rPr>
      </w:pPr>
      <w:r>
        <w:rPr>
          <w:rFonts w:ascii="Calibri" w:eastAsia="黑体" w:hAnsi="Calibri"/>
          <w:bCs/>
          <w:noProof/>
          <w:color w:val="auto"/>
        </w:rPr>
        <w:lastRenderedPageBreak/>
        <mc:AlternateContent>
          <mc:Choice Requires="wpc">
            <w:drawing>
              <wp:anchor distT="0" distB="0" distL="114300" distR="114300" simplePos="0" relativeHeight="251448832" behindDoc="0" locked="0" layoutInCell="1" allowOverlap="1" wp14:anchorId="08A153F8" wp14:editId="301F0073">
                <wp:simplePos x="0" y="0"/>
                <wp:positionH relativeFrom="column">
                  <wp:posOffset>-86360</wp:posOffset>
                </wp:positionH>
                <wp:positionV relativeFrom="paragraph">
                  <wp:posOffset>408940</wp:posOffset>
                </wp:positionV>
                <wp:extent cx="5689600" cy="5361305"/>
                <wp:effectExtent l="0" t="0" r="0" b="1905"/>
                <wp:wrapTopAndBottom/>
                <wp:docPr id="14192" name="画布 14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480" name="Text Box 14193"/>
                        <wps:cNvSpPr txBox="1">
                          <a:spLocks noChangeArrowheads="1"/>
                        </wps:cNvSpPr>
                        <wps:spPr bwMode="auto">
                          <a:xfrm>
                            <a:off x="43815" y="3225800"/>
                            <a:ext cx="65913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0B9C57" w14:textId="77777777" w:rsidR="00217891" w:rsidRDefault="00217891">
                              <w:r>
                                <w:rPr>
                                  <w:rFonts w:hint="eastAsia"/>
                                </w:rPr>
                                <w:t>物料泄漏</w:t>
                              </w:r>
                            </w:p>
                          </w:txbxContent>
                        </wps:txbx>
                        <wps:bodyPr rot="0" vert="horz" wrap="square" lIns="18000" tIns="45720" rIns="18000" bIns="45720" anchor="t" anchorCtr="0" upright="1">
                          <a:noAutofit/>
                        </wps:bodyPr>
                      </wps:wsp>
                      <wps:wsp>
                        <wps:cNvPr id="29481" name="AutoShape 14194"/>
                        <wps:cNvCnPr>
                          <a:cxnSpLocks noChangeShapeType="1"/>
                        </wps:cNvCnPr>
                        <wps:spPr bwMode="auto">
                          <a:xfrm>
                            <a:off x="702945" y="3361690"/>
                            <a:ext cx="241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82" name="AutoShape 14195"/>
                        <wps:cNvCnPr>
                          <a:cxnSpLocks noChangeShapeType="1"/>
                        </wps:cNvCnPr>
                        <wps:spPr bwMode="auto">
                          <a:xfrm>
                            <a:off x="944880" y="1365250"/>
                            <a:ext cx="635" cy="3329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3" name="AutoShape 14196"/>
                        <wps:cNvCnPr>
                          <a:cxnSpLocks noChangeShapeType="1"/>
                        </wps:cNvCnPr>
                        <wps:spPr bwMode="auto">
                          <a:xfrm>
                            <a:off x="944880" y="1365250"/>
                            <a:ext cx="9582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84" name="Text Box 14197"/>
                        <wps:cNvSpPr txBox="1">
                          <a:spLocks noChangeArrowheads="1"/>
                        </wps:cNvSpPr>
                        <wps:spPr bwMode="auto">
                          <a:xfrm>
                            <a:off x="929640" y="1109980"/>
                            <a:ext cx="93472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4B4B" w14:textId="77777777" w:rsidR="00217891" w:rsidRPr="00531A84" w:rsidRDefault="00217891" w:rsidP="00531A84">
                              <w:pPr>
                                <w:spacing w:line="360" w:lineRule="auto"/>
                                <w:jc w:val="center"/>
                                <w:rPr>
                                  <w:sz w:val="18"/>
                                  <w:szCs w:val="18"/>
                                </w:rPr>
                              </w:pPr>
                              <w:r w:rsidRPr="00531A84">
                                <w:rPr>
                                  <w:rFonts w:hint="eastAsia"/>
                                  <w:sz w:val="18"/>
                                  <w:szCs w:val="18"/>
                                </w:rPr>
                                <w:t>遇明火、高温</w:t>
                              </w:r>
                            </w:p>
                            <w:p w14:paraId="46193D6F" w14:textId="77777777" w:rsidR="00217891" w:rsidRPr="00531A84" w:rsidRDefault="00217891" w:rsidP="00531A84">
                              <w:pPr>
                                <w:spacing w:line="360" w:lineRule="auto"/>
                                <w:jc w:val="center"/>
                                <w:rPr>
                                  <w:sz w:val="18"/>
                                  <w:szCs w:val="18"/>
                                </w:rPr>
                              </w:pPr>
                              <w:r w:rsidRPr="00531A84">
                                <w:rPr>
                                  <w:rFonts w:hint="eastAsia"/>
                                  <w:sz w:val="18"/>
                                  <w:szCs w:val="18"/>
                                </w:rPr>
                                <w:t>伴</w:t>
                              </w:r>
                              <w:r w:rsidRPr="00531A84">
                                <w:rPr>
                                  <w:rFonts w:hint="eastAsia"/>
                                  <w:sz w:val="18"/>
                                  <w:szCs w:val="18"/>
                                </w:rPr>
                                <w:t>/</w:t>
                              </w:r>
                              <w:r w:rsidRPr="00531A84">
                                <w:rPr>
                                  <w:rFonts w:hint="eastAsia"/>
                                  <w:sz w:val="18"/>
                                  <w:szCs w:val="18"/>
                                </w:rPr>
                                <w:t>次生危害</w:t>
                              </w:r>
                            </w:p>
                          </w:txbxContent>
                        </wps:txbx>
                        <wps:bodyPr rot="0" vert="horz" wrap="square" lIns="18000" tIns="45720" rIns="18000" bIns="45720" anchor="t" anchorCtr="0" upright="1">
                          <a:noAutofit/>
                        </wps:bodyPr>
                      </wps:wsp>
                      <wps:wsp>
                        <wps:cNvPr id="29485" name="AutoShape 14198"/>
                        <wps:cNvCnPr>
                          <a:cxnSpLocks noChangeShapeType="1"/>
                        </wps:cNvCnPr>
                        <wps:spPr bwMode="auto">
                          <a:xfrm>
                            <a:off x="1902460" y="496570"/>
                            <a:ext cx="635" cy="1783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6" name="AutoShape 14199"/>
                        <wps:cNvCnPr>
                          <a:cxnSpLocks noChangeShapeType="1"/>
                        </wps:cNvCnPr>
                        <wps:spPr bwMode="auto">
                          <a:xfrm>
                            <a:off x="1902460" y="496570"/>
                            <a:ext cx="789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87" name="Text Box 14200"/>
                        <wps:cNvSpPr txBox="1">
                          <a:spLocks noChangeArrowheads="1"/>
                        </wps:cNvSpPr>
                        <wps:spPr bwMode="auto">
                          <a:xfrm>
                            <a:off x="1967865" y="252730"/>
                            <a:ext cx="60515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4C20" w14:textId="77777777" w:rsidR="00217891" w:rsidRPr="00531A84" w:rsidRDefault="00217891" w:rsidP="00531A84">
                              <w:pPr>
                                <w:spacing w:line="360" w:lineRule="auto"/>
                                <w:jc w:val="center"/>
                                <w:rPr>
                                  <w:sz w:val="18"/>
                                  <w:szCs w:val="18"/>
                                </w:rPr>
                              </w:pPr>
                              <w:r>
                                <w:rPr>
                                  <w:rFonts w:hint="eastAsia"/>
                                  <w:sz w:val="18"/>
                                  <w:szCs w:val="18"/>
                                </w:rPr>
                                <w:t>不完全燃烧次生危害</w:t>
                              </w:r>
                            </w:p>
                          </w:txbxContent>
                        </wps:txbx>
                        <wps:bodyPr rot="0" vert="horz" wrap="square" lIns="0" tIns="45720" rIns="0" bIns="45720" anchor="t" anchorCtr="0" upright="1">
                          <a:noAutofit/>
                        </wps:bodyPr>
                      </wps:wsp>
                      <wps:wsp>
                        <wps:cNvPr id="29488" name="AutoShape 14201"/>
                        <wps:cNvCnPr>
                          <a:cxnSpLocks noChangeShapeType="1"/>
                        </wps:cNvCnPr>
                        <wps:spPr bwMode="auto">
                          <a:xfrm>
                            <a:off x="2691130" y="252730"/>
                            <a:ext cx="241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89" name="AutoShape 14202"/>
                        <wps:cNvCnPr>
                          <a:cxnSpLocks noChangeShapeType="1"/>
                        </wps:cNvCnPr>
                        <wps:spPr bwMode="auto">
                          <a:xfrm>
                            <a:off x="2691130" y="252730"/>
                            <a:ext cx="635"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0" name="Text Box 14203"/>
                        <wps:cNvSpPr txBox="1">
                          <a:spLocks noChangeArrowheads="1"/>
                        </wps:cNvSpPr>
                        <wps:spPr bwMode="auto">
                          <a:xfrm>
                            <a:off x="2932430" y="133350"/>
                            <a:ext cx="739140" cy="299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B1A842" w14:textId="77777777" w:rsidR="00217891" w:rsidRDefault="00217891" w:rsidP="000678FD">
                              <w:pPr>
                                <w:jc w:val="center"/>
                              </w:pPr>
                              <w:r>
                                <w:rPr>
                                  <w:rFonts w:hint="eastAsia"/>
                                </w:rPr>
                                <w:t>热辐射危害</w:t>
                              </w:r>
                            </w:p>
                          </w:txbxContent>
                        </wps:txbx>
                        <wps:bodyPr rot="0" vert="horz" wrap="square" lIns="18000" tIns="45720" rIns="18000" bIns="45720" anchor="t" anchorCtr="0" upright="1">
                          <a:noAutofit/>
                        </wps:bodyPr>
                      </wps:wsp>
                      <wps:wsp>
                        <wps:cNvPr id="29491" name="AutoShape 14204"/>
                        <wps:cNvCnPr>
                          <a:cxnSpLocks noChangeShapeType="1"/>
                        </wps:cNvCnPr>
                        <wps:spPr bwMode="auto">
                          <a:xfrm>
                            <a:off x="2691130" y="695960"/>
                            <a:ext cx="241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92" name="Text Box 14205"/>
                        <wps:cNvSpPr txBox="1">
                          <a:spLocks noChangeArrowheads="1"/>
                        </wps:cNvSpPr>
                        <wps:spPr bwMode="auto">
                          <a:xfrm>
                            <a:off x="2933065" y="563245"/>
                            <a:ext cx="253111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015D94" w14:textId="77777777" w:rsidR="00217891" w:rsidRDefault="00217891" w:rsidP="000678FD">
                              <w:pPr>
                                <w:jc w:val="center"/>
                              </w:pPr>
                              <w:r>
                                <w:rPr>
                                  <w:rFonts w:hint="eastAsia"/>
                                </w:rPr>
                                <w:t>燃烧分解产物及次生物质造成的大气污染</w:t>
                              </w:r>
                            </w:p>
                          </w:txbxContent>
                        </wps:txbx>
                        <wps:bodyPr rot="0" vert="horz" wrap="square" lIns="18000" tIns="45720" rIns="18000" bIns="45720" anchor="t" anchorCtr="0" upright="1">
                          <a:noAutofit/>
                        </wps:bodyPr>
                      </wps:wsp>
                      <wps:wsp>
                        <wps:cNvPr id="29493" name="AutoShape 14206"/>
                        <wps:cNvCnPr>
                          <a:cxnSpLocks noChangeShapeType="1"/>
                        </wps:cNvCnPr>
                        <wps:spPr bwMode="auto">
                          <a:xfrm>
                            <a:off x="1901825" y="1353820"/>
                            <a:ext cx="789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94" name="Text Box 14207"/>
                        <wps:cNvSpPr txBox="1">
                          <a:spLocks noChangeArrowheads="1"/>
                        </wps:cNvSpPr>
                        <wps:spPr bwMode="auto">
                          <a:xfrm>
                            <a:off x="1967230" y="1109980"/>
                            <a:ext cx="60515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24C7" w14:textId="77777777" w:rsidR="00217891" w:rsidRDefault="00217891" w:rsidP="00531A84">
                              <w:pPr>
                                <w:spacing w:line="360" w:lineRule="auto"/>
                                <w:jc w:val="center"/>
                                <w:rPr>
                                  <w:sz w:val="18"/>
                                  <w:szCs w:val="18"/>
                                </w:rPr>
                              </w:pPr>
                              <w:r>
                                <w:rPr>
                                  <w:rFonts w:hint="eastAsia"/>
                                  <w:sz w:val="18"/>
                                  <w:szCs w:val="18"/>
                                </w:rPr>
                                <w:t>完全燃烧</w:t>
                              </w:r>
                            </w:p>
                            <w:p w14:paraId="0792A503" w14:textId="77777777" w:rsidR="00217891" w:rsidRPr="00531A84" w:rsidRDefault="00217891" w:rsidP="00531A84">
                              <w:pPr>
                                <w:spacing w:line="360" w:lineRule="auto"/>
                                <w:jc w:val="center"/>
                                <w:rPr>
                                  <w:sz w:val="18"/>
                                  <w:szCs w:val="18"/>
                                </w:rPr>
                              </w:pPr>
                              <w:r>
                                <w:rPr>
                                  <w:rFonts w:hint="eastAsia"/>
                                  <w:sz w:val="18"/>
                                  <w:szCs w:val="18"/>
                                </w:rPr>
                                <w:t>伴生危害</w:t>
                              </w:r>
                            </w:p>
                          </w:txbxContent>
                        </wps:txbx>
                        <wps:bodyPr rot="0" vert="horz" wrap="square" lIns="0" tIns="45720" rIns="0" bIns="45720" anchor="t" anchorCtr="0" upright="1">
                          <a:noAutofit/>
                        </wps:bodyPr>
                      </wps:wsp>
                      <wps:wsp>
                        <wps:cNvPr id="29495" name="AutoShape 14208"/>
                        <wps:cNvCnPr>
                          <a:cxnSpLocks noChangeShapeType="1"/>
                        </wps:cNvCnPr>
                        <wps:spPr bwMode="auto">
                          <a:xfrm>
                            <a:off x="2690495" y="1109980"/>
                            <a:ext cx="241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96" name="AutoShape 14209"/>
                        <wps:cNvCnPr>
                          <a:cxnSpLocks noChangeShapeType="1"/>
                        </wps:cNvCnPr>
                        <wps:spPr bwMode="auto">
                          <a:xfrm>
                            <a:off x="2690495" y="1109980"/>
                            <a:ext cx="635"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7" name="Text Box 14210"/>
                        <wps:cNvSpPr txBox="1">
                          <a:spLocks noChangeArrowheads="1"/>
                        </wps:cNvSpPr>
                        <wps:spPr bwMode="auto">
                          <a:xfrm>
                            <a:off x="2931795" y="990600"/>
                            <a:ext cx="739140" cy="308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2C526" w14:textId="77777777" w:rsidR="00217891" w:rsidRDefault="00217891" w:rsidP="000678FD">
                              <w:pPr>
                                <w:jc w:val="center"/>
                              </w:pPr>
                              <w:r>
                                <w:rPr>
                                  <w:rFonts w:hint="eastAsia"/>
                                </w:rPr>
                                <w:t>热辐射危害</w:t>
                              </w:r>
                            </w:p>
                          </w:txbxContent>
                        </wps:txbx>
                        <wps:bodyPr rot="0" vert="horz" wrap="square" lIns="18000" tIns="45720" rIns="18000" bIns="45720" anchor="t" anchorCtr="0" upright="1">
                          <a:noAutofit/>
                        </wps:bodyPr>
                      </wps:wsp>
                      <wps:wsp>
                        <wps:cNvPr id="29498" name="AutoShape 14211"/>
                        <wps:cNvCnPr>
                          <a:cxnSpLocks noChangeShapeType="1"/>
                        </wps:cNvCnPr>
                        <wps:spPr bwMode="auto">
                          <a:xfrm>
                            <a:off x="2690495" y="1553210"/>
                            <a:ext cx="241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99" name="Text Box 14212"/>
                        <wps:cNvSpPr txBox="1">
                          <a:spLocks noChangeArrowheads="1"/>
                        </wps:cNvSpPr>
                        <wps:spPr bwMode="auto">
                          <a:xfrm>
                            <a:off x="2932430" y="1420495"/>
                            <a:ext cx="182880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04CE1" w14:textId="77777777" w:rsidR="00217891" w:rsidRDefault="00217891" w:rsidP="000678FD">
                              <w:pPr>
                                <w:jc w:val="center"/>
                              </w:pPr>
                              <w:r>
                                <w:rPr>
                                  <w:rFonts w:hint="eastAsia"/>
                                </w:rPr>
                                <w:t>完全燃烧产物造成的大气污染</w:t>
                              </w:r>
                            </w:p>
                          </w:txbxContent>
                        </wps:txbx>
                        <wps:bodyPr rot="0" vert="horz" wrap="square" lIns="18000" tIns="45720" rIns="18000" bIns="45720" anchor="t" anchorCtr="0" upright="1">
                          <a:noAutofit/>
                        </wps:bodyPr>
                      </wps:wsp>
                      <wps:wsp>
                        <wps:cNvPr id="29500" name="AutoShape 14213"/>
                        <wps:cNvCnPr>
                          <a:cxnSpLocks noChangeShapeType="1"/>
                        </wps:cNvCnPr>
                        <wps:spPr bwMode="auto">
                          <a:xfrm>
                            <a:off x="1901825" y="2279015"/>
                            <a:ext cx="789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01" name="Text Box 14214"/>
                        <wps:cNvSpPr txBox="1">
                          <a:spLocks noChangeArrowheads="1"/>
                        </wps:cNvSpPr>
                        <wps:spPr bwMode="auto">
                          <a:xfrm>
                            <a:off x="1974850" y="2051050"/>
                            <a:ext cx="60515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9387" w14:textId="77777777" w:rsidR="00217891" w:rsidRDefault="00217891" w:rsidP="00531A84">
                              <w:pPr>
                                <w:spacing w:line="360" w:lineRule="auto"/>
                                <w:jc w:val="center"/>
                                <w:rPr>
                                  <w:sz w:val="18"/>
                                  <w:szCs w:val="18"/>
                                </w:rPr>
                              </w:pPr>
                              <w:r>
                                <w:rPr>
                                  <w:rFonts w:hint="eastAsia"/>
                                  <w:sz w:val="18"/>
                                  <w:szCs w:val="18"/>
                                </w:rPr>
                                <w:t>爆炸</w:t>
                              </w:r>
                            </w:p>
                            <w:p w14:paraId="0F6051ED" w14:textId="77777777" w:rsidR="00217891" w:rsidRPr="00531A84" w:rsidRDefault="00217891" w:rsidP="00531A84">
                              <w:pPr>
                                <w:spacing w:line="360" w:lineRule="auto"/>
                                <w:jc w:val="center"/>
                                <w:rPr>
                                  <w:sz w:val="18"/>
                                  <w:szCs w:val="18"/>
                                </w:rPr>
                              </w:pPr>
                              <w:r>
                                <w:rPr>
                                  <w:rFonts w:hint="eastAsia"/>
                                  <w:sz w:val="18"/>
                                  <w:szCs w:val="18"/>
                                </w:rPr>
                                <w:t>伴生危害</w:t>
                              </w:r>
                            </w:p>
                          </w:txbxContent>
                        </wps:txbx>
                        <wps:bodyPr rot="0" vert="horz" wrap="square" lIns="0" tIns="45720" rIns="0" bIns="45720" anchor="t" anchorCtr="0" upright="1">
                          <a:noAutofit/>
                        </wps:bodyPr>
                      </wps:wsp>
                      <wps:wsp>
                        <wps:cNvPr id="29502" name="AutoShape 14215"/>
                        <wps:cNvCnPr>
                          <a:cxnSpLocks noChangeShapeType="1"/>
                        </wps:cNvCnPr>
                        <wps:spPr bwMode="auto">
                          <a:xfrm>
                            <a:off x="2690495" y="2035175"/>
                            <a:ext cx="241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03" name="AutoShape 14216"/>
                        <wps:cNvCnPr>
                          <a:cxnSpLocks noChangeShapeType="1"/>
                        </wps:cNvCnPr>
                        <wps:spPr bwMode="auto">
                          <a:xfrm>
                            <a:off x="2690495" y="2035175"/>
                            <a:ext cx="635"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52" name="Text Box 14217"/>
                        <wps:cNvSpPr txBox="1">
                          <a:spLocks noChangeArrowheads="1"/>
                        </wps:cNvSpPr>
                        <wps:spPr bwMode="auto">
                          <a:xfrm>
                            <a:off x="2931795" y="1915795"/>
                            <a:ext cx="73914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A2088C" w14:textId="77777777" w:rsidR="00217891" w:rsidRDefault="00217891" w:rsidP="000678FD">
                              <w:pPr>
                                <w:jc w:val="right"/>
                              </w:pPr>
                              <w:r>
                                <w:rPr>
                                  <w:rFonts w:hint="eastAsia"/>
                                </w:rPr>
                                <w:t>冲击波危害</w:t>
                              </w:r>
                            </w:p>
                          </w:txbxContent>
                        </wps:txbx>
                        <wps:bodyPr rot="0" vert="horz" wrap="square" lIns="18000" tIns="45720" rIns="18000" bIns="45720" anchor="t" anchorCtr="0" upright="1">
                          <a:noAutofit/>
                        </wps:bodyPr>
                      </wps:wsp>
                      <wps:wsp>
                        <wps:cNvPr id="26753" name="AutoShape 14218"/>
                        <wps:cNvCnPr>
                          <a:cxnSpLocks noChangeShapeType="1"/>
                        </wps:cNvCnPr>
                        <wps:spPr bwMode="auto">
                          <a:xfrm>
                            <a:off x="2690495" y="2478405"/>
                            <a:ext cx="241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54" name="Text Box 14219"/>
                        <wps:cNvSpPr txBox="1">
                          <a:spLocks noChangeArrowheads="1"/>
                        </wps:cNvSpPr>
                        <wps:spPr bwMode="auto">
                          <a:xfrm>
                            <a:off x="2932430" y="2345690"/>
                            <a:ext cx="262699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D2171" w14:textId="77777777" w:rsidR="00217891" w:rsidRDefault="00217891" w:rsidP="000678FD">
                              <w:pPr>
                                <w:jc w:val="center"/>
                              </w:pPr>
                              <w:r>
                                <w:rPr>
                                  <w:rFonts w:hint="eastAsia"/>
                                </w:rPr>
                                <w:t>泄漏物对大气</w:t>
                              </w:r>
                              <w:r>
                                <w:rPr>
                                  <w:rFonts w:hint="eastAsia"/>
                                </w:rPr>
                                <w:t>/</w:t>
                              </w:r>
                              <w:r>
                                <w:rPr>
                                  <w:rFonts w:hint="eastAsia"/>
                                </w:rPr>
                                <w:t>地表水</w:t>
                              </w:r>
                              <w:r>
                                <w:rPr>
                                  <w:rFonts w:hint="eastAsia"/>
                                </w:rPr>
                                <w:t>/</w:t>
                              </w:r>
                              <w:r>
                                <w:rPr>
                                  <w:rFonts w:hint="eastAsia"/>
                                </w:rPr>
                                <w:t>土壤产生的伴生污染</w:t>
                              </w:r>
                            </w:p>
                          </w:txbxContent>
                        </wps:txbx>
                        <wps:bodyPr rot="0" vert="horz" wrap="square" lIns="18000" tIns="45720" rIns="18000" bIns="45720" anchor="t" anchorCtr="0" upright="1">
                          <a:noAutofit/>
                        </wps:bodyPr>
                      </wps:wsp>
                      <wps:wsp>
                        <wps:cNvPr id="26755" name="AutoShape 14220"/>
                        <wps:cNvCnPr>
                          <a:cxnSpLocks noChangeShapeType="1"/>
                        </wps:cNvCnPr>
                        <wps:spPr bwMode="auto">
                          <a:xfrm>
                            <a:off x="944880" y="3362325"/>
                            <a:ext cx="24644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56" name="Text Box 14221"/>
                        <wps:cNvSpPr txBox="1">
                          <a:spLocks noChangeArrowheads="1"/>
                        </wps:cNvSpPr>
                        <wps:spPr bwMode="auto">
                          <a:xfrm>
                            <a:off x="1024255" y="3151505"/>
                            <a:ext cx="22098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8C969" w14:textId="77777777" w:rsidR="00217891" w:rsidRDefault="00217891" w:rsidP="00531A84">
                              <w:pPr>
                                <w:spacing w:line="360" w:lineRule="auto"/>
                                <w:jc w:val="center"/>
                                <w:rPr>
                                  <w:sz w:val="18"/>
                                  <w:szCs w:val="18"/>
                                </w:rPr>
                              </w:pPr>
                              <w:r>
                                <w:rPr>
                                  <w:rFonts w:hint="eastAsia"/>
                                  <w:sz w:val="18"/>
                                  <w:szCs w:val="18"/>
                                </w:rPr>
                                <w:t>遇水等可发生化学反应物质生产其他物质</w:t>
                              </w:r>
                            </w:p>
                            <w:p w14:paraId="5C938E8B" w14:textId="77777777" w:rsidR="00217891" w:rsidRPr="00531A84" w:rsidRDefault="00217891" w:rsidP="00531A84">
                              <w:pPr>
                                <w:spacing w:line="360" w:lineRule="auto"/>
                                <w:jc w:val="center"/>
                                <w:rPr>
                                  <w:sz w:val="18"/>
                                  <w:szCs w:val="18"/>
                                </w:rPr>
                              </w:pPr>
                              <w:r>
                                <w:rPr>
                                  <w:rFonts w:hint="eastAsia"/>
                                  <w:sz w:val="18"/>
                                  <w:szCs w:val="18"/>
                                </w:rPr>
                                <w:t>伴生危害</w:t>
                              </w:r>
                            </w:p>
                          </w:txbxContent>
                        </wps:txbx>
                        <wps:bodyPr rot="0" vert="horz" wrap="square" lIns="0" tIns="45720" rIns="0" bIns="45720" anchor="t" anchorCtr="0" upright="1">
                          <a:noAutofit/>
                        </wps:bodyPr>
                      </wps:wsp>
                      <wps:wsp>
                        <wps:cNvPr id="26757" name="AutoShape 14222"/>
                        <wps:cNvCnPr>
                          <a:cxnSpLocks noChangeShapeType="1"/>
                        </wps:cNvCnPr>
                        <wps:spPr bwMode="auto">
                          <a:xfrm>
                            <a:off x="3409950" y="2927350"/>
                            <a:ext cx="942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58" name="AutoShape 14223"/>
                        <wps:cNvCnPr>
                          <a:cxnSpLocks noChangeShapeType="1"/>
                        </wps:cNvCnPr>
                        <wps:spPr bwMode="auto">
                          <a:xfrm flipH="1">
                            <a:off x="3409315" y="2927985"/>
                            <a:ext cx="635" cy="88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59" name="Text Box 14224"/>
                        <wps:cNvSpPr txBox="1">
                          <a:spLocks noChangeArrowheads="1"/>
                        </wps:cNvSpPr>
                        <wps:spPr bwMode="auto">
                          <a:xfrm>
                            <a:off x="4352290" y="2793365"/>
                            <a:ext cx="73914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809EE3" w14:textId="77777777" w:rsidR="00217891" w:rsidRDefault="00217891" w:rsidP="000678FD">
                              <w:pPr>
                                <w:jc w:val="center"/>
                              </w:pPr>
                              <w:r>
                                <w:rPr>
                                  <w:rFonts w:hint="eastAsia"/>
                                </w:rPr>
                                <w:t>大气污染</w:t>
                              </w:r>
                            </w:p>
                          </w:txbxContent>
                        </wps:txbx>
                        <wps:bodyPr rot="0" vert="horz" wrap="square" lIns="18000" tIns="45720" rIns="18000" bIns="45720" anchor="t" anchorCtr="0" upright="1">
                          <a:noAutofit/>
                        </wps:bodyPr>
                      </wps:wsp>
                      <wps:wsp>
                        <wps:cNvPr id="26760" name="Text Box 14226"/>
                        <wps:cNvSpPr txBox="1">
                          <a:spLocks noChangeArrowheads="1"/>
                        </wps:cNvSpPr>
                        <wps:spPr bwMode="auto">
                          <a:xfrm>
                            <a:off x="3462020" y="2698115"/>
                            <a:ext cx="7366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5932E" w14:textId="77777777" w:rsidR="00217891" w:rsidRPr="00531A84" w:rsidRDefault="00217891" w:rsidP="000678FD">
                              <w:pPr>
                                <w:spacing w:line="360" w:lineRule="auto"/>
                                <w:jc w:val="center"/>
                                <w:rPr>
                                  <w:sz w:val="18"/>
                                  <w:szCs w:val="18"/>
                                </w:rPr>
                              </w:pPr>
                              <w:r>
                                <w:rPr>
                                  <w:rFonts w:hint="eastAsia"/>
                                  <w:sz w:val="18"/>
                                  <w:szCs w:val="18"/>
                                </w:rPr>
                                <w:t>进入大气</w:t>
                              </w:r>
                            </w:p>
                          </w:txbxContent>
                        </wps:txbx>
                        <wps:bodyPr rot="0" vert="horz" wrap="square" lIns="0" tIns="45720" rIns="0" bIns="45720" anchor="t" anchorCtr="0" upright="1">
                          <a:noAutofit/>
                        </wps:bodyPr>
                      </wps:wsp>
                      <wps:wsp>
                        <wps:cNvPr id="26761" name="AutoShape 14227"/>
                        <wps:cNvCnPr>
                          <a:cxnSpLocks noChangeShapeType="1"/>
                        </wps:cNvCnPr>
                        <wps:spPr bwMode="auto">
                          <a:xfrm>
                            <a:off x="3409315" y="3361055"/>
                            <a:ext cx="942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62" name="Text Box 14228"/>
                        <wps:cNvSpPr txBox="1">
                          <a:spLocks noChangeArrowheads="1"/>
                        </wps:cNvSpPr>
                        <wps:spPr bwMode="auto">
                          <a:xfrm>
                            <a:off x="4351655" y="3227070"/>
                            <a:ext cx="73914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A15137" w14:textId="77777777" w:rsidR="00217891" w:rsidRDefault="00217891" w:rsidP="000678FD">
                              <w:pPr>
                                <w:jc w:val="center"/>
                              </w:pPr>
                              <w:r>
                                <w:rPr>
                                  <w:rFonts w:hint="eastAsia"/>
                                </w:rPr>
                                <w:t>水体污染</w:t>
                              </w:r>
                            </w:p>
                          </w:txbxContent>
                        </wps:txbx>
                        <wps:bodyPr rot="0" vert="horz" wrap="square" lIns="18000" tIns="45720" rIns="18000" bIns="45720" anchor="t" anchorCtr="0" upright="1">
                          <a:noAutofit/>
                        </wps:bodyPr>
                      </wps:wsp>
                      <wps:wsp>
                        <wps:cNvPr id="26763" name="Text Box 14229"/>
                        <wps:cNvSpPr txBox="1">
                          <a:spLocks noChangeArrowheads="1"/>
                        </wps:cNvSpPr>
                        <wps:spPr bwMode="auto">
                          <a:xfrm>
                            <a:off x="3461385" y="3131820"/>
                            <a:ext cx="7366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DA78" w14:textId="77777777" w:rsidR="00217891" w:rsidRPr="00531A84" w:rsidRDefault="00217891" w:rsidP="000678FD">
                              <w:pPr>
                                <w:spacing w:line="360" w:lineRule="auto"/>
                                <w:jc w:val="center"/>
                                <w:rPr>
                                  <w:sz w:val="18"/>
                                  <w:szCs w:val="18"/>
                                </w:rPr>
                              </w:pPr>
                              <w:r>
                                <w:rPr>
                                  <w:rFonts w:hint="eastAsia"/>
                                  <w:sz w:val="18"/>
                                  <w:szCs w:val="18"/>
                                </w:rPr>
                                <w:t>进入水体</w:t>
                              </w:r>
                            </w:p>
                          </w:txbxContent>
                        </wps:txbx>
                        <wps:bodyPr rot="0" vert="horz" wrap="square" lIns="0" tIns="45720" rIns="0" bIns="45720" anchor="t" anchorCtr="0" upright="1">
                          <a:noAutofit/>
                        </wps:bodyPr>
                      </wps:wsp>
                      <wps:wsp>
                        <wps:cNvPr id="26764" name="AutoShape 14230"/>
                        <wps:cNvCnPr>
                          <a:cxnSpLocks noChangeShapeType="1"/>
                        </wps:cNvCnPr>
                        <wps:spPr bwMode="auto">
                          <a:xfrm>
                            <a:off x="3410585" y="3808095"/>
                            <a:ext cx="942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65" name="Text Box 14231"/>
                        <wps:cNvSpPr txBox="1">
                          <a:spLocks noChangeArrowheads="1"/>
                        </wps:cNvSpPr>
                        <wps:spPr bwMode="auto">
                          <a:xfrm>
                            <a:off x="4352925" y="3674110"/>
                            <a:ext cx="739140" cy="311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F592D" w14:textId="77777777" w:rsidR="00217891" w:rsidRDefault="00217891" w:rsidP="000678FD">
                              <w:pPr>
                                <w:jc w:val="center"/>
                              </w:pPr>
                              <w:r>
                                <w:rPr>
                                  <w:rFonts w:hint="eastAsia"/>
                                </w:rPr>
                                <w:t>土壤污染</w:t>
                              </w:r>
                            </w:p>
                          </w:txbxContent>
                        </wps:txbx>
                        <wps:bodyPr rot="0" vert="horz" wrap="square" lIns="18000" tIns="45720" rIns="18000" bIns="45720" anchor="t" anchorCtr="0" upright="1">
                          <a:noAutofit/>
                        </wps:bodyPr>
                      </wps:wsp>
                      <wps:wsp>
                        <wps:cNvPr id="26766" name="Text Box 14232"/>
                        <wps:cNvSpPr txBox="1">
                          <a:spLocks noChangeArrowheads="1"/>
                        </wps:cNvSpPr>
                        <wps:spPr bwMode="auto">
                          <a:xfrm>
                            <a:off x="3462655" y="3578860"/>
                            <a:ext cx="7366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31E4" w14:textId="77777777" w:rsidR="00217891" w:rsidRPr="00531A84" w:rsidRDefault="00217891" w:rsidP="000678FD">
                              <w:pPr>
                                <w:spacing w:line="360" w:lineRule="auto"/>
                                <w:jc w:val="center"/>
                                <w:rPr>
                                  <w:sz w:val="18"/>
                                  <w:szCs w:val="18"/>
                                </w:rPr>
                              </w:pPr>
                              <w:r>
                                <w:rPr>
                                  <w:rFonts w:hint="eastAsia"/>
                                  <w:sz w:val="18"/>
                                  <w:szCs w:val="18"/>
                                </w:rPr>
                                <w:t>进入土壤</w:t>
                              </w:r>
                            </w:p>
                          </w:txbxContent>
                        </wps:txbx>
                        <wps:bodyPr rot="0" vert="horz" wrap="square" lIns="0" tIns="45720" rIns="0" bIns="45720" anchor="t" anchorCtr="0" upright="1">
                          <a:noAutofit/>
                        </wps:bodyPr>
                      </wps:wsp>
                      <wps:wsp>
                        <wps:cNvPr id="26768" name="AutoShape 14233"/>
                        <wps:cNvCnPr>
                          <a:cxnSpLocks noChangeShapeType="1"/>
                        </wps:cNvCnPr>
                        <wps:spPr bwMode="auto">
                          <a:xfrm>
                            <a:off x="946150" y="4693920"/>
                            <a:ext cx="24644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69" name="Text Box 14234"/>
                        <wps:cNvSpPr txBox="1">
                          <a:spLocks noChangeArrowheads="1"/>
                        </wps:cNvSpPr>
                        <wps:spPr bwMode="auto">
                          <a:xfrm>
                            <a:off x="1025525" y="4483100"/>
                            <a:ext cx="22098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1D8D" w14:textId="77777777" w:rsidR="00217891" w:rsidRDefault="00217891" w:rsidP="00531A84">
                              <w:pPr>
                                <w:spacing w:line="360" w:lineRule="auto"/>
                                <w:jc w:val="center"/>
                                <w:rPr>
                                  <w:sz w:val="18"/>
                                  <w:szCs w:val="18"/>
                                </w:rPr>
                              </w:pPr>
                              <w:r>
                                <w:rPr>
                                  <w:rFonts w:hint="eastAsia"/>
                                  <w:sz w:val="18"/>
                                  <w:szCs w:val="18"/>
                                </w:rPr>
                                <w:t>直接进入环境</w:t>
                              </w:r>
                            </w:p>
                            <w:p w14:paraId="6112B909" w14:textId="77777777" w:rsidR="00217891" w:rsidRPr="00531A84" w:rsidRDefault="00217891" w:rsidP="00531A84">
                              <w:pPr>
                                <w:spacing w:line="360" w:lineRule="auto"/>
                                <w:jc w:val="center"/>
                                <w:rPr>
                                  <w:sz w:val="18"/>
                                  <w:szCs w:val="18"/>
                                </w:rPr>
                              </w:pPr>
                              <w:r>
                                <w:rPr>
                                  <w:rFonts w:hint="eastAsia"/>
                                  <w:sz w:val="18"/>
                                  <w:szCs w:val="18"/>
                                </w:rPr>
                                <w:t>伴生危害</w:t>
                              </w:r>
                            </w:p>
                          </w:txbxContent>
                        </wps:txbx>
                        <wps:bodyPr rot="0" vert="horz" wrap="square" lIns="0" tIns="45720" rIns="0" bIns="45720" anchor="t" anchorCtr="0" upright="1">
                          <a:noAutofit/>
                        </wps:bodyPr>
                      </wps:wsp>
                      <wps:wsp>
                        <wps:cNvPr id="26770" name="AutoShape 14235"/>
                        <wps:cNvCnPr>
                          <a:cxnSpLocks noChangeShapeType="1"/>
                        </wps:cNvCnPr>
                        <wps:spPr bwMode="auto">
                          <a:xfrm>
                            <a:off x="3411220" y="4258945"/>
                            <a:ext cx="942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71" name="AutoShape 14236"/>
                        <wps:cNvCnPr>
                          <a:cxnSpLocks noChangeShapeType="1"/>
                        </wps:cNvCnPr>
                        <wps:spPr bwMode="auto">
                          <a:xfrm flipH="1">
                            <a:off x="3410585" y="4259580"/>
                            <a:ext cx="635" cy="88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72" name="Text Box 14237"/>
                        <wps:cNvSpPr txBox="1">
                          <a:spLocks noChangeArrowheads="1"/>
                        </wps:cNvSpPr>
                        <wps:spPr bwMode="auto">
                          <a:xfrm>
                            <a:off x="4353560" y="4124960"/>
                            <a:ext cx="739140"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A3DE1" w14:textId="77777777" w:rsidR="00217891" w:rsidRDefault="00217891" w:rsidP="000678FD">
                              <w:pPr>
                                <w:jc w:val="center"/>
                              </w:pPr>
                              <w:r>
                                <w:rPr>
                                  <w:rFonts w:hint="eastAsia"/>
                                </w:rPr>
                                <w:t>大气污染</w:t>
                              </w:r>
                            </w:p>
                          </w:txbxContent>
                        </wps:txbx>
                        <wps:bodyPr rot="0" vert="horz" wrap="square" lIns="18000" tIns="45720" rIns="18000" bIns="45720" anchor="t" anchorCtr="0" upright="1">
                          <a:noAutofit/>
                        </wps:bodyPr>
                      </wps:wsp>
                      <wps:wsp>
                        <wps:cNvPr id="26773" name="AutoShape 14238"/>
                        <wps:cNvCnPr>
                          <a:cxnSpLocks noChangeShapeType="1"/>
                        </wps:cNvCnPr>
                        <wps:spPr bwMode="auto">
                          <a:xfrm>
                            <a:off x="3410585" y="4692650"/>
                            <a:ext cx="942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74" name="Text Box 14239"/>
                        <wps:cNvSpPr txBox="1">
                          <a:spLocks noChangeArrowheads="1"/>
                        </wps:cNvSpPr>
                        <wps:spPr bwMode="auto">
                          <a:xfrm>
                            <a:off x="4352925" y="4558665"/>
                            <a:ext cx="73914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5FFA0C" w14:textId="77777777" w:rsidR="00217891" w:rsidRDefault="00217891" w:rsidP="000678FD">
                              <w:pPr>
                                <w:jc w:val="center"/>
                              </w:pPr>
                              <w:r>
                                <w:rPr>
                                  <w:rFonts w:hint="eastAsia"/>
                                </w:rPr>
                                <w:t>水体污染</w:t>
                              </w:r>
                            </w:p>
                          </w:txbxContent>
                        </wps:txbx>
                        <wps:bodyPr rot="0" vert="horz" wrap="square" lIns="18000" tIns="45720" rIns="18000" bIns="45720" anchor="t" anchorCtr="0" upright="1">
                          <a:noAutofit/>
                        </wps:bodyPr>
                      </wps:wsp>
                      <wps:wsp>
                        <wps:cNvPr id="26775" name="Text Box 14240"/>
                        <wps:cNvSpPr txBox="1">
                          <a:spLocks noChangeArrowheads="1"/>
                        </wps:cNvSpPr>
                        <wps:spPr bwMode="auto">
                          <a:xfrm>
                            <a:off x="3462655" y="4463415"/>
                            <a:ext cx="7366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20D3" w14:textId="77777777" w:rsidR="00217891" w:rsidRPr="00531A84" w:rsidRDefault="00217891" w:rsidP="000678FD">
                              <w:pPr>
                                <w:spacing w:line="360" w:lineRule="auto"/>
                                <w:jc w:val="center"/>
                                <w:rPr>
                                  <w:sz w:val="18"/>
                                  <w:szCs w:val="18"/>
                                </w:rPr>
                              </w:pPr>
                              <w:r>
                                <w:rPr>
                                  <w:rFonts w:hint="eastAsia"/>
                                  <w:sz w:val="18"/>
                                  <w:szCs w:val="18"/>
                                </w:rPr>
                                <w:t>进入水体</w:t>
                              </w:r>
                            </w:p>
                          </w:txbxContent>
                        </wps:txbx>
                        <wps:bodyPr rot="0" vert="horz" wrap="square" lIns="0" tIns="45720" rIns="0" bIns="45720" anchor="t" anchorCtr="0" upright="1">
                          <a:noAutofit/>
                        </wps:bodyPr>
                      </wps:wsp>
                      <wps:wsp>
                        <wps:cNvPr id="26776" name="AutoShape 14241"/>
                        <wps:cNvCnPr>
                          <a:cxnSpLocks noChangeShapeType="1"/>
                        </wps:cNvCnPr>
                        <wps:spPr bwMode="auto">
                          <a:xfrm>
                            <a:off x="3411855" y="5139690"/>
                            <a:ext cx="942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77" name="Text Box 14242"/>
                        <wps:cNvSpPr txBox="1">
                          <a:spLocks noChangeArrowheads="1"/>
                        </wps:cNvSpPr>
                        <wps:spPr bwMode="auto">
                          <a:xfrm>
                            <a:off x="4354195" y="5005705"/>
                            <a:ext cx="73914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5B4F66" w14:textId="77777777" w:rsidR="00217891" w:rsidRDefault="00217891" w:rsidP="000678FD">
                              <w:pPr>
                                <w:jc w:val="center"/>
                              </w:pPr>
                              <w:r>
                                <w:rPr>
                                  <w:rFonts w:hint="eastAsia"/>
                                </w:rPr>
                                <w:t>土壤污染</w:t>
                              </w:r>
                            </w:p>
                          </w:txbxContent>
                        </wps:txbx>
                        <wps:bodyPr rot="0" vert="horz" wrap="square" lIns="18000" tIns="45720" rIns="18000" bIns="45720" anchor="t" anchorCtr="0" upright="1">
                          <a:noAutofit/>
                        </wps:bodyPr>
                      </wps:wsp>
                      <wps:wsp>
                        <wps:cNvPr id="26778" name="Text Box 14243"/>
                        <wps:cNvSpPr txBox="1">
                          <a:spLocks noChangeArrowheads="1"/>
                        </wps:cNvSpPr>
                        <wps:spPr bwMode="auto">
                          <a:xfrm>
                            <a:off x="3463925" y="4910455"/>
                            <a:ext cx="7366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D0DB2" w14:textId="77777777" w:rsidR="00217891" w:rsidRPr="00531A84" w:rsidRDefault="00217891" w:rsidP="000678FD">
                              <w:pPr>
                                <w:spacing w:line="360" w:lineRule="auto"/>
                                <w:jc w:val="center"/>
                                <w:rPr>
                                  <w:sz w:val="18"/>
                                  <w:szCs w:val="18"/>
                                </w:rPr>
                              </w:pPr>
                              <w:r>
                                <w:rPr>
                                  <w:rFonts w:hint="eastAsia"/>
                                  <w:sz w:val="18"/>
                                  <w:szCs w:val="18"/>
                                </w:rPr>
                                <w:t>进入土壤</w:t>
                              </w:r>
                            </w:p>
                          </w:txbxContent>
                        </wps:txbx>
                        <wps:bodyPr rot="0" vert="horz" wrap="square" lIns="0" tIns="45720" rIns="0" bIns="45720" anchor="t" anchorCtr="0" upright="1">
                          <a:noAutofit/>
                        </wps:bodyPr>
                      </wps:wsp>
                      <wps:wsp>
                        <wps:cNvPr id="26779" name="Text Box 14244"/>
                        <wps:cNvSpPr txBox="1">
                          <a:spLocks noChangeArrowheads="1"/>
                        </wps:cNvSpPr>
                        <wps:spPr bwMode="auto">
                          <a:xfrm>
                            <a:off x="3463925" y="4044950"/>
                            <a:ext cx="7366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81AA" w14:textId="77777777" w:rsidR="00217891" w:rsidRPr="00531A84" w:rsidRDefault="00217891" w:rsidP="000678FD">
                              <w:pPr>
                                <w:spacing w:line="360" w:lineRule="auto"/>
                                <w:jc w:val="center"/>
                                <w:rPr>
                                  <w:sz w:val="18"/>
                                  <w:szCs w:val="18"/>
                                </w:rPr>
                              </w:pPr>
                              <w:r>
                                <w:rPr>
                                  <w:rFonts w:hint="eastAsia"/>
                                  <w:sz w:val="18"/>
                                  <w:szCs w:val="18"/>
                                </w:rPr>
                                <w:t>进入大气</w:t>
                              </w:r>
                            </w:p>
                          </w:txbxContent>
                        </wps:txbx>
                        <wps:bodyPr rot="0" vert="horz" wrap="square" lIns="0" tIns="45720" rIns="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8A153F8" id="画布 14192" o:spid="_x0000_s1564" editas="canvas" style="position:absolute;left:0;text-align:left;margin-left:-6.8pt;margin-top:32.2pt;width:448pt;height:422.15pt;z-index:251448832" coordsize="56896,5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">
                <v:shape id="_x0000_s1565" type="#_x0000_t75" style="position:absolute;width:56896;height:53613;visibility:visible;mso-wrap-style:square">
                  <v:fill o:detectmouseclick="t"/>
                  <v:path o:connecttype="none"/>
                </v:shape>
                <v:shape id="Text Box 14193" o:spid="_x0000_s1566" type="#_x0000_t202" style="position:absolute;left:438;top:32258;width:65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" filled="f">
                  <v:textbox inset=".5mm,,.5mm">
                    <w:txbxContent>
                      <w:p w14:paraId="6C0B9C57" w14:textId="77777777" w:rsidR="00217891" w:rsidRDefault="00217891">
                        <w:r>
                          <w:rPr>
                            <w:rFonts w:hint="eastAsia"/>
                          </w:rPr>
                          <w:t>物料泄漏</w:t>
                        </w:r>
                      </w:p>
                    </w:txbxContent>
                  </v:textbox>
                </v:shape>
                <v:shape id="AutoShape 14194" o:spid="_x0000_s1567" type="#_x0000_t32" style="position:absolute;left:7029;top:33616;width:241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">
                  <v:stroke endarrow="block"/>
                </v:shape>
                <v:shape id="AutoShape 14195" o:spid="_x0000_s1568" type="#_x0000_t32" style="position:absolute;left:9448;top:13652;width:7;height:33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"/>
                <v:shape id="AutoShape 14196" o:spid="_x0000_s1569" type="#_x0000_t32" style="position:absolute;left:9448;top:13652;width:95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">
                  <v:stroke endarrow="block"/>
                </v:shape>
                <v:shape id="Text Box 14197" o:spid="_x0000_s1570" type="#_x0000_t202" style="position:absolute;left:9296;top:11099;width:9347;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" filled="f" stroked="f">
                  <v:textbox inset=".5mm,,.5mm">
                    <w:txbxContent>
                      <w:p w14:paraId="1A944B4B" w14:textId="77777777" w:rsidR="00217891" w:rsidRPr="00531A84" w:rsidRDefault="00217891" w:rsidP="00531A84">
                        <w:pPr>
                          <w:spacing w:line="360" w:lineRule="auto"/>
                          <w:jc w:val="center"/>
                          <w:rPr>
                            <w:sz w:val="18"/>
                            <w:szCs w:val="18"/>
                          </w:rPr>
                        </w:pPr>
                        <w:r w:rsidRPr="00531A84">
                          <w:rPr>
                            <w:rFonts w:hint="eastAsia"/>
                            <w:sz w:val="18"/>
                            <w:szCs w:val="18"/>
                          </w:rPr>
                          <w:t>遇明火、高温</w:t>
                        </w:r>
                      </w:p>
                      <w:p w14:paraId="46193D6F" w14:textId="77777777" w:rsidR="00217891" w:rsidRPr="00531A84" w:rsidRDefault="00217891" w:rsidP="00531A84">
                        <w:pPr>
                          <w:spacing w:line="360" w:lineRule="auto"/>
                          <w:jc w:val="center"/>
                          <w:rPr>
                            <w:sz w:val="18"/>
                            <w:szCs w:val="18"/>
                          </w:rPr>
                        </w:pPr>
                        <w:r w:rsidRPr="00531A84">
                          <w:rPr>
                            <w:rFonts w:hint="eastAsia"/>
                            <w:sz w:val="18"/>
                            <w:szCs w:val="18"/>
                          </w:rPr>
                          <w:t>伴</w:t>
                        </w:r>
                        <w:r w:rsidRPr="00531A84">
                          <w:rPr>
                            <w:rFonts w:hint="eastAsia"/>
                            <w:sz w:val="18"/>
                            <w:szCs w:val="18"/>
                          </w:rPr>
                          <w:t>/</w:t>
                        </w:r>
                        <w:r w:rsidRPr="00531A84">
                          <w:rPr>
                            <w:rFonts w:hint="eastAsia"/>
                            <w:sz w:val="18"/>
                            <w:szCs w:val="18"/>
                          </w:rPr>
                          <w:t>次生危害</w:t>
                        </w:r>
                      </w:p>
                    </w:txbxContent>
                  </v:textbox>
                </v:shape>
                <v:shape id="AutoShape 14198" o:spid="_x0000_s1571" type="#_x0000_t32" style="position:absolute;left:19024;top:4965;width:6;height:17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"/>
                <v:shape id="AutoShape 14199" o:spid="_x0000_s1572" type="#_x0000_t32" style="position:absolute;left:19024;top:4965;width:789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">
                  <v:stroke endarrow="block"/>
                </v:shape>
                <v:shape id="Text Box 14200" o:spid="_x0000_s1573" type="#_x0000_t202" style="position:absolute;left:19678;top:2527;width:6052;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" filled="f" stroked="f">
                  <v:textbox inset="0,,0">
                    <w:txbxContent>
                      <w:p w14:paraId="04334C20" w14:textId="77777777" w:rsidR="00217891" w:rsidRPr="00531A84" w:rsidRDefault="00217891" w:rsidP="00531A84">
                        <w:pPr>
                          <w:spacing w:line="360" w:lineRule="auto"/>
                          <w:jc w:val="center"/>
                          <w:rPr>
                            <w:sz w:val="18"/>
                            <w:szCs w:val="18"/>
                          </w:rPr>
                        </w:pPr>
                        <w:r>
                          <w:rPr>
                            <w:rFonts w:hint="eastAsia"/>
                            <w:sz w:val="18"/>
                            <w:szCs w:val="18"/>
                          </w:rPr>
                          <w:t>不完全燃烧次生危害</w:t>
                        </w:r>
                      </w:p>
                    </w:txbxContent>
                  </v:textbox>
                </v:shape>
                <v:shape id="AutoShape 14201" o:spid="_x0000_s1574" type="#_x0000_t32" style="position:absolute;left:26911;top:2527;width:24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">
                  <v:stroke endarrow="block"/>
                </v:shape>
                <v:shape id="AutoShape 14202" o:spid="_x0000_s1575" type="#_x0000_t32" style="position:absolute;left:26911;top:2527;width:6;height:4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"/>
                <v:shape id="Text Box 14203" o:spid="_x0000_s1576" type="#_x0000_t202" style="position:absolute;left:29324;top:1333;width:739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" filled="f">
                  <v:textbox inset=".5mm,,.5mm">
                    <w:txbxContent>
                      <w:p w14:paraId="65B1A842" w14:textId="77777777" w:rsidR="00217891" w:rsidRDefault="00217891" w:rsidP="000678FD">
                        <w:pPr>
                          <w:jc w:val="center"/>
                        </w:pPr>
                        <w:r>
                          <w:rPr>
                            <w:rFonts w:hint="eastAsia"/>
                          </w:rPr>
                          <w:t>热辐射危害</w:t>
                        </w:r>
                      </w:p>
                    </w:txbxContent>
                  </v:textbox>
                </v:shape>
                <v:shape id="AutoShape 14204" o:spid="_x0000_s1577" type="#_x0000_t32" style="position:absolute;left:26911;top:6959;width:24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">
                  <v:stroke endarrow="block"/>
                </v:shape>
                <v:shape id="Text Box 14205" o:spid="_x0000_s1578" type="#_x0000_t202" style="position:absolute;left:29330;top:5632;width:253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" filled="f">
                  <v:textbox inset=".5mm,,.5mm">
                    <w:txbxContent>
                      <w:p w14:paraId="2E015D94" w14:textId="77777777" w:rsidR="00217891" w:rsidRDefault="00217891" w:rsidP="000678FD">
                        <w:pPr>
                          <w:jc w:val="center"/>
                        </w:pPr>
                        <w:r>
                          <w:rPr>
                            <w:rFonts w:hint="eastAsia"/>
                          </w:rPr>
                          <w:t>燃烧分解产物及次生物质造成的大气污染</w:t>
                        </w:r>
                      </w:p>
                    </w:txbxContent>
                  </v:textbox>
                </v:shape>
                <v:shape id="AutoShape 14206" o:spid="_x0000_s1579" type="#_x0000_t32" style="position:absolute;left:19018;top:13538;width:78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">
                  <v:stroke endarrow="block"/>
                </v:shape>
                <v:shape id="Text Box 14207" o:spid="_x0000_s1580" type="#_x0000_t202" style="position:absolute;left:19672;top:11099;width:6051;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" filled="f" stroked="f">
                  <v:textbox inset="0,,0">
                    <w:txbxContent>
                      <w:p w14:paraId="2CDF24C7" w14:textId="77777777" w:rsidR="00217891" w:rsidRDefault="00217891" w:rsidP="00531A84">
                        <w:pPr>
                          <w:spacing w:line="360" w:lineRule="auto"/>
                          <w:jc w:val="center"/>
                          <w:rPr>
                            <w:sz w:val="18"/>
                            <w:szCs w:val="18"/>
                          </w:rPr>
                        </w:pPr>
                        <w:r>
                          <w:rPr>
                            <w:rFonts w:hint="eastAsia"/>
                            <w:sz w:val="18"/>
                            <w:szCs w:val="18"/>
                          </w:rPr>
                          <w:t>完全燃烧</w:t>
                        </w:r>
                      </w:p>
                      <w:p w14:paraId="0792A503" w14:textId="77777777" w:rsidR="00217891" w:rsidRPr="00531A84" w:rsidRDefault="00217891" w:rsidP="00531A84">
                        <w:pPr>
                          <w:spacing w:line="360" w:lineRule="auto"/>
                          <w:jc w:val="center"/>
                          <w:rPr>
                            <w:sz w:val="18"/>
                            <w:szCs w:val="18"/>
                          </w:rPr>
                        </w:pPr>
                        <w:r>
                          <w:rPr>
                            <w:rFonts w:hint="eastAsia"/>
                            <w:sz w:val="18"/>
                            <w:szCs w:val="18"/>
                          </w:rPr>
                          <w:t>伴生危害</w:t>
                        </w:r>
                      </w:p>
                    </w:txbxContent>
                  </v:textbox>
                </v:shape>
                <v:shape id="AutoShape 14208" o:spid="_x0000_s1581" type="#_x0000_t32" style="position:absolute;left:26904;top:11099;width:242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">
                  <v:stroke endarrow="block"/>
                </v:shape>
                <v:shape id="AutoShape 14209" o:spid="_x0000_s1582" type="#_x0000_t32" style="position:absolute;left:26904;top:11099;width:7;height:4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"/>
                <v:shape id="Text Box 14210" o:spid="_x0000_s1583" type="#_x0000_t202" style="position:absolute;left:29317;top:9906;width:739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" filled="f">
                  <v:textbox inset=".5mm,,.5mm">
                    <w:txbxContent>
                      <w:p w14:paraId="33B2C526" w14:textId="77777777" w:rsidR="00217891" w:rsidRDefault="00217891" w:rsidP="000678FD">
                        <w:pPr>
                          <w:jc w:val="center"/>
                        </w:pPr>
                        <w:r>
                          <w:rPr>
                            <w:rFonts w:hint="eastAsia"/>
                          </w:rPr>
                          <w:t>热辐射危害</w:t>
                        </w:r>
                      </w:p>
                    </w:txbxContent>
                  </v:textbox>
                </v:shape>
                <v:shape id="AutoShape 14211" o:spid="_x0000_s1584" type="#_x0000_t32" style="position:absolute;left:26904;top:15532;width:24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">
                  <v:stroke endarrow="block"/>
                </v:shape>
                <v:shape id="Text Box 14212" o:spid="_x0000_s1585" type="#_x0000_t202" style="position:absolute;left:29324;top:14204;width:18288;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" filled="f">
                  <v:textbox inset=".5mm,,.5mm">
                    <w:txbxContent>
                      <w:p w14:paraId="40404CE1" w14:textId="77777777" w:rsidR="00217891" w:rsidRDefault="00217891" w:rsidP="000678FD">
                        <w:pPr>
                          <w:jc w:val="center"/>
                        </w:pPr>
                        <w:r>
                          <w:rPr>
                            <w:rFonts w:hint="eastAsia"/>
                          </w:rPr>
                          <w:t>完全燃烧产物造成的大气污染</w:t>
                        </w:r>
                      </w:p>
                    </w:txbxContent>
                  </v:textbox>
                </v:shape>
                <v:shape id="AutoShape 14213" o:spid="_x0000_s1586" type="#_x0000_t32" style="position:absolute;left:19018;top:22790;width:78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">
                  <v:stroke endarrow="block"/>
                </v:shape>
                <v:shape id="Text Box 14214" o:spid="_x0000_s1587" type="#_x0000_t202" style="position:absolute;left:19748;top:20510;width:6052;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" filled="f" stroked="f">
                  <v:textbox inset="0,,0">
                    <w:txbxContent>
                      <w:p w14:paraId="03989387" w14:textId="77777777" w:rsidR="00217891" w:rsidRDefault="00217891" w:rsidP="00531A84">
                        <w:pPr>
                          <w:spacing w:line="360" w:lineRule="auto"/>
                          <w:jc w:val="center"/>
                          <w:rPr>
                            <w:sz w:val="18"/>
                            <w:szCs w:val="18"/>
                          </w:rPr>
                        </w:pPr>
                        <w:r>
                          <w:rPr>
                            <w:rFonts w:hint="eastAsia"/>
                            <w:sz w:val="18"/>
                            <w:szCs w:val="18"/>
                          </w:rPr>
                          <w:t>爆炸</w:t>
                        </w:r>
                      </w:p>
                      <w:p w14:paraId="0F6051ED" w14:textId="77777777" w:rsidR="00217891" w:rsidRPr="00531A84" w:rsidRDefault="00217891" w:rsidP="00531A84">
                        <w:pPr>
                          <w:spacing w:line="360" w:lineRule="auto"/>
                          <w:jc w:val="center"/>
                          <w:rPr>
                            <w:sz w:val="18"/>
                            <w:szCs w:val="18"/>
                          </w:rPr>
                        </w:pPr>
                        <w:r>
                          <w:rPr>
                            <w:rFonts w:hint="eastAsia"/>
                            <w:sz w:val="18"/>
                            <w:szCs w:val="18"/>
                          </w:rPr>
                          <w:t>伴生危害</w:t>
                        </w:r>
                      </w:p>
                    </w:txbxContent>
                  </v:textbox>
                </v:shape>
                <v:shape id="AutoShape 14215" o:spid="_x0000_s1588" type="#_x0000_t32" style="position:absolute;left:26904;top:20351;width:242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">
                  <v:stroke endarrow="block"/>
                </v:shape>
                <v:shape id="AutoShape 14216" o:spid="_x0000_s1589" type="#_x0000_t32" style="position:absolute;left:26904;top:20351;width:7;height:4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"/>
                <v:shape id="Text Box 14217" o:spid="_x0000_s1590" type="#_x0000_t202" style="position:absolute;left:29317;top:19157;width:7392;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" filled="f">
                  <v:textbox inset=".5mm,,.5mm">
                    <w:txbxContent>
                      <w:p w14:paraId="41A2088C" w14:textId="77777777" w:rsidR="00217891" w:rsidRDefault="00217891" w:rsidP="000678FD">
                        <w:pPr>
                          <w:jc w:val="right"/>
                        </w:pPr>
                        <w:r>
                          <w:rPr>
                            <w:rFonts w:hint="eastAsia"/>
                          </w:rPr>
                          <w:t>冲击波危害</w:t>
                        </w:r>
                      </w:p>
                    </w:txbxContent>
                  </v:textbox>
                </v:shape>
                <v:shape id="AutoShape 14218" o:spid="_x0000_s1591" type="#_x0000_t32" style="position:absolute;left:26904;top:24784;width:24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">
                  <v:stroke endarrow="block"/>
                </v:shape>
                <v:shape id="Text Box 14219" o:spid="_x0000_s1592" type="#_x0000_t202" style="position:absolute;left:29324;top:23456;width:2627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" filled="f">
                  <v:textbox inset=".5mm,,.5mm">
                    <w:txbxContent>
                      <w:p w14:paraId="1D5D2171" w14:textId="77777777" w:rsidR="00217891" w:rsidRDefault="00217891" w:rsidP="000678FD">
                        <w:pPr>
                          <w:jc w:val="center"/>
                        </w:pPr>
                        <w:r>
                          <w:rPr>
                            <w:rFonts w:hint="eastAsia"/>
                          </w:rPr>
                          <w:t>泄漏物对大气</w:t>
                        </w:r>
                        <w:r>
                          <w:rPr>
                            <w:rFonts w:hint="eastAsia"/>
                          </w:rPr>
                          <w:t>/</w:t>
                        </w:r>
                        <w:r>
                          <w:rPr>
                            <w:rFonts w:hint="eastAsia"/>
                          </w:rPr>
                          <w:t>地表水</w:t>
                        </w:r>
                        <w:r>
                          <w:rPr>
                            <w:rFonts w:hint="eastAsia"/>
                          </w:rPr>
                          <w:t>/</w:t>
                        </w:r>
                        <w:r>
                          <w:rPr>
                            <w:rFonts w:hint="eastAsia"/>
                          </w:rPr>
                          <w:t>土壤产生的伴生污染</w:t>
                        </w:r>
                      </w:p>
                    </w:txbxContent>
                  </v:textbox>
                </v:shape>
                <v:shape id="AutoShape 14220" o:spid="_x0000_s1593" type="#_x0000_t32" style="position:absolute;left:9448;top:33623;width:246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">
                  <v:stroke endarrow="block"/>
                </v:shape>
                <v:shape id="Text Box 14221" o:spid="_x0000_s1594" type="#_x0000_t202" style="position:absolute;left:10242;top:31515;width:22098;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" filled="f" stroked="f">
                  <v:textbox inset="0,,0">
                    <w:txbxContent>
                      <w:p w14:paraId="4B38C969" w14:textId="77777777" w:rsidR="00217891" w:rsidRDefault="00217891" w:rsidP="00531A84">
                        <w:pPr>
                          <w:spacing w:line="360" w:lineRule="auto"/>
                          <w:jc w:val="center"/>
                          <w:rPr>
                            <w:sz w:val="18"/>
                            <w:szCs w:val="18"/>
                          </w:rPr>
                        </w:pPr>
                        <w:r>
                          <w:rPr>
                            <w:rFonts w:hint="eastAsia"/>
                            <w:sz w:val="18"/>
                            <w:szCs w:val="18"/>
                          </w:rPr>
                          <w:t>遇水等可发生化学反应物质生产其他物质</w:t>
                        </w:r>
                      </w:p>
                      <w:p w14:paraId="5C938E8B" w14:textId="77777777" w:rsidR="00217891" w:rsidRPr="00531A84" w:rsidRDefault="00217891" w:rsidP="00531A84">
                        <w:pPr>
                          <w:spacing w:line="360" w:lineRule="auto"/>
                          <w:jc w:val="center"/>
                          <w:rPr>
                            <w:sz w:val="18"/>
                            <w:szCs w:val="18"/>
                          </w:rPr>
                        </w:pPr>
                        <w:r>
                          <w:rPr>
                            <w:rFonts w:hint="eastAsia"/>
                            <w:sz w:val="18"/>
                            <w:szCs w:val="18"/>
                          </w:rPr>
                          <w:t>伴生危害</w:t>
                        </w:r>
                      </w:p>
                    </w:txbxContent>
                  </v:textbox>
                </v:shape>
                <v:shape id="AutoShape 14222" o:spid="_x0000_s1595" type="#_x0000_t32" style="position:absolute;left:34099;top:29273;width:94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">
                  <v:stroke endarrow="block"/>
                </v:shape>
                <v:shape id="AutoShape 14223" o:spid="_x0000_s1596" type="#_x0000_t32" style="position:absolute;left:34093;top:29279;width:6;height:8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"/>
                <v:shape id="Text Box 14224" o:spid="_x0000_s1597" type="#_x0000_t202" style="position:absolute;left:43522;top:27933;width:73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" filled="f">
                  <v:textbox inset=".5mm,,.5mm">
                    <w:txbxContent>
                      <w:p w14:paraId="0B809EE3" w14:textId="77777777" w:rsidR="00217891" w:rsidRDefault="00217891" w:rsidP="000678FD">
                        <w:pPr>
                          <w:jc w:val="center"/>
                        </w:pPr>
                        <w:r>
                          <w:rPr>
                            <w:rFonts w:hint="eastAsia"/>
                          </w:rPr>
                          <w:t>大气污染</w:t>
                        </w:r>
                      </w:p>
                    </w:txbxContent>
                  </v:textbox>
                </v:shape>
                <v:shape id="Text Box 14226" o:spid="_x0000_s1598" type="#_x0000_t202" style="position:absolute;left:34620;top:26981;width:73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" filled="f" stroked="f">
                  <v:textbox inset="0,,0">
                    <w:txbxContent>
                      <w:p w14:paraId="4965932E" w14:textId="77777777" w:rsidR="00217891" w:rsidRPr="00531A84" w:rsidRDefault="00217891" w:rsidP="000678FD">
                        <w:pPr>
                          <w:spacing w:line="360" w:lineRule="auto"/>
                          <w:jc w:val="center"/>
                          <w:rPr>
                            <w:sz w:val="18"/>
                            <w:szCs w:val="18"/>
                          </w:rPr>
                        </w:pPr>
                        <w:r>
                          <w:rPr>
                            <w:rFonts w:hint="eastAsia"/>
                            <w:sz w:val="18"/>
                            <w:szCs w:val="18"/>
                          </w:rPr>
                          <w:t>进入大气</w:t>
                        </w:r>
                      </w:p>
                    </w:txbxContent>
                  </v:textbox>
                </v:shape>
                <v:shape id="AutoShape 14227" o:spid="_x0000_s1599" type="#_x0000_t32" style="position:absolute;left:34093;top:33610;width:94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">
                  <v:stroke endarrow="block"/>
                </v:shape>
                <v:shape id="Text Box 14228" o:spid="_x0000_s1600" type="#_x0000_t202" style="position:absolute;left:43516;top:32270;width:739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" filled="f">
                  <v:textbox inset=".5mm,,.5mm">
                    <w:txbxContent>
                      <w:p w14:paraId="29A15137" w14:textId="77777777" w:rsidR="00217891" w:rsidRDefault="00217891" w:rsidP="000678FD">
                        <w:pPr>
                          <w:jc w:val="center"/>
                        </w:pPr>
                        <w:r>
                          <w:rPr>
                            <w:rFonts w:hint="eastAsia"/>
                          </w:rPr>
                          <w:t>水体污染</w:t>
                        </w:r>
                      </w:p>
                    </w:txbxContent>
                  </v:textbox>
                </v:shape>
                <v:shape id="Text Box 14229" o:spid="_x0000_s1601" type="#_x0000_t202" style="position:absolute;left:34613;top:31318;width:73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" filled="f" stroked="f">
                  <v:textbox inset="0,,0">
                    <w:txbxContent>
                      <w:p w14:paraId="4B02DA78" w14:textId="77777777" w:rsidR="00217891" w:rsidRPr="00531A84" w:rsidRDefault="00217891" w:rsidP="000678FD">
                        <w:pPr>
                          <w:spacing w:line="360" w:lineRule="auto"/>
                          <w:jc w:val="center"/>
                          <w:rPr>
                            <w:sz w:val="18"/>
                            <w:szCs w:val="18"/>
                          </w:rPr>
                        </w:pPr>
                        <w:r>
                          <w:rPr>
                            <w:rFonts w:hint="eastAsia"/>
                            <w:sz w:val="18"/>
                            <w:szCs w:val="18"/>
                          </w:rPr>
                          <w:t>进入水体</w:t>
                        </w:r>
                      </w:p>
                    </w:txbxContent>
                  </v:textbox>
                </v:shape>
                <v:shape id="AutoShape 14230" o:spid="_x0000_s1602" type="#_x0000_t32" style="position:absolute;left:34105;top:38080;width:942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">
                  <v:stroke endarrow="block"/>
                </v:shape>
                <v:shape id="Text Box 14231" o:spid="_x0000_s1603" type="#_x0000_t202" style="position:absolute;left:43529;top:36741;width:739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" filled="f">
                  <v:textbox inset=".5mm,,.5mm">
                    <w:txbxContent>
                      <w:p w14:paraId="2F9F592D" w14:textId="77777777" w:rsidR="00217891" w:rsidRDefault="00217891" w:rsidP="000678FD">
                        <w:pPr>
                          <w:jc w:val="center"/>
                        </w:pPr>
                        <w:r>
                          <w:rPr>
                            <w:rFonts w:hint="eastAsia"/>
                          </w:rPr>
                          <w:t>土壤污染</w:t>
                        </w:r>
                      </w:p>
                    </w:txbxContent>
                  </v:textbox>
                </v:shape>
                <v:shape id="Text Box 14232" o:spid="_x0000_s1604" type="#_x0000_t202" style="position:absolute;left:34626;top:35788;width:73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" filled="f" stroked="f">
                  <v:textbox inset="0,,0">
                    <w:txbxContent>
                      <w:p w14:paraId="4A7731E4" w14:textId="77777777" w:rsidR="00217891" w:rsidRPr="00531A84" w:rsidRDefault="00217891" w:rsidP="000678FD">
                        <w:pPr>
                          <w:spacing w:line="360" w:lineRule="auto"/>
                          <w:jc w:val="center"/>
                          <w:rPr>
                            <w:sz w:val="18"/>
                            <w:szCs w:val="18"/>
                          </w:rPr>
                        </w:pPr>
                        <w:r>
                          <w:rPr>
                            <w:rFonts w:hint="eastAsia"/>
                            <w:sz w:val="18"/>
                            <w:szCs w:val="18"/>
                          </w:rPr>
                          <w:t>进入土壤</w:t>
                        </w:r>
                      </w:p>
                    </w:txbxContent>
                  </v:textbox>
                </v:shape>
                <v:shape id="AutoShape 14233" o:spid="_x0000_s1605" type="#_x0000_t32" style="position:absolute;left:9461;top:46939;width:2464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">
                  <v:stroke endarrow="block"/>
                </v:shape>
                <v:shape id="Text Box 14234" o:spid="_x0000_s1606" type="#_x0000_t202" style="position:absolute;left:10255;top:44831;width:22098;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" filled="f" stroked="f">
                  <v:textbox inset="0,,0">
                    <w:txbxContent>
                      <w:p w14:paraId="7E781D8D" w14:textId="77777777" w:rsidR="00217891" w:rsidRDefault="00217891" w:rsidP="00531A84">
                        <w:pPr>
                          <w:spacing w:line="360" w:lineRule="auto"/>
                          <w:jc w:val="center"/>
                          <w:rPr>
                            <w:sz w:val="18"/>
                            <w:szCs w:val="18"/>
                          </w:rPr>
                        </w:pPr>
                        <w:r>
                          <w:rPr>
                            <w:rFonts w:hint="eastAsia"/>
                            <w:sz w:val="18"/>
                            <w:szCs w:val="18"/>
                          </w:rPr>
                          <w:t>直接进入环境</w:t>
                        </w:r>
                      </w:p>
                      <w:p w14:paraId="6112B909" w14:textId="77777777" w:rsidR="00217891" w:rsidRPr="00531A84" w:rsidRDefault="00217891" w:rsidP="00531A84">
                        <w:pPr>
                          <w:spacing w:line="360" w:lineRule="auto"/>
                          <w:jc w:val="center"/>
                          <w:rPr>
                            <w:sz w:val="18"/>
                            <w:szCs w:val="18"/>
                          </w:rPr>
                        </w:pPr>
                        <w:r>
                          <w:rPr>
                            <w:rFonts w:hint="eastAsia"/>
                            <w:sz w:val="18"/>
                            <w:szCs w:val="18"/>
                          </w:rPr>
                          <w:t>伴生危害</w:t>
                        </w:r>
                      </w:p>
                    </w:txbxContent>
                  </v:textbox>
                </v:shape>
                <v:shape id="AutoShape 14235" o:spid="_x0000_s1607" type="#_x0000_t32" style="position:absolute;left:34112;top:42589;width:94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">
                  <v:stroke endarrow="block"/>
                </v:shape>
                <v:shape id="AutoShape 14236" o:spid="_x0000_s1608" type="#_x0000_t32" style="position:absolute;left:34105;top:42595;width:7;height:8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"/>
                <v:shape id="Text Box 14237" o:spid="_x0000_s1609" type="#_x0000_t202" style="position:absolute;left:43535;top:41249;width:739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" filled="f">
                  <v:textbox inset=".5mm,,.5mm">
                    <w:txbxContent>
                      <w:p w14:paraId="1D4A3DE1" w14:textId="77777777" w:rsidR="00217891" w:rsidRDefault="00217891" w:rsidP="000678FD">
                        <w:pPr>
                          <w:jc w:val="center"/>
                        </w:pPr>
                        <w:r>
                          <w:rPr>
                            <w:rFonts w:hint="eastAsia"/>
                          </w:rPr>
                          <w:t>大气污染</w:t>
                        </w:r>
                      </w:p>
                    </w:txbxContent>
                  </v:textbox>
                </v:shape>
                <v:shape id="AutoShape 14238" o:spid="_x0000_s1610" type="#_x0000_t32" style="position:absolute;left:34105;top:46926;width:94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">
                  <v:stroke endarrow="block"/>
                </v:shape>
                <v:shape id="Text Box 14239" o:spid="_x0000_s1611" type="#_x0000_t202" style="position:absolute;left:43529;top:45586;width:739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" filled="f">
                  <v:textbox inset=".5mm,,.5mm">
                    <w:txbxContent>
                      <w:p w14:paraId="325FFA0C" w14:textId="77777777" w:rsidR="00217891" w:rsidRDefault="00217891" w:rsidP="000678FD">
                        <w:pPr>
                          <w:jc w:val="center"/>
                        </w:pPr>
                        <w:r>
                          <w:rPr>
                            <w:rFonts w:hint="eastAsia"/>
                          </w:rPr>
                          <w:t>水体污染</w:t>
                        </w:r>
                      </w:p>
                    </w:txbxContent>
                  </v:textbox>
                </v:shape>
                <v:shape id="Text Box 14240" o:spid="_x0000_s1612" type="#_x0000_t202" style="position:absolute;left:34626;top:44634;width:73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" filled="f" stroked="f">
                  <v:textbox inset="0,,0">
                    <w:txbxContent>
                      <w:p w14:paraId="095A20D3" w14:textId="77777777" w:rsidR="00217891" w:rsidRPr="00531A84" w:rsidRDefault="00217891" w:rsidP="000678FD">
                        <w:pPr>
                          <w:spacing w:line="360" w:lineRule="auto"/>
                          <w:jc w:val="center"/>
                          <w:rPr>
                            <w:sz w:val="18"/>
                            <w:szCs w:val="18"/>
                          </w:rPr>
                        </w:pPr>
                        <w:r>
                          <w:rPr>
                            <w:rFonts w:hint="eastAsia"/>
                            <w:sz w:val="18"/>
                            <w:szCs w:val="18"/>
                          </w:rPr>
                          <w:t>进入水体</w:t>
                        </w:r>
                      </w:p>
                    </w:txbxContent>
                  </v:textbox>
                </v:shape>
                <v:shape id="AutoShape 14241" o:spid="_x0000_s1613" type="#_x0000_t32" style="position:absolute;left:34118;top:51396;width:942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">
                  <v:stroke endarrow="block"/>
                </v:shape>
                <v:shape id="Text Box 14242" o:spid="_x0000_s1614" type="#_x0000_t202" style="position:absolute;left:43541;top:50057;width:73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" filled="f">
                  <v:textbox inset=".5mm,,.5mm">
                    <w:txbxContent>
                      <w:p w14:paraId="525B4F66" w14:textId="77777777" w:rsidR="00217891" w:rsidRDefault="00217891" w:rsidP="000678FD">
                        <w:pPr>
                          <w:jc w:val="center"/>
                        </w:pPr>
                        <w:r>
                          <w:rPr>
                            <w:rFonts w:hint="eastAsia"/>
                          </w:rPr>
                          <w:t>土壤污染</w:t>
                        </w:r>
                      </w:p>
                    </w:txbxContent>
                  </v:textbox>
                </v:shape>
                <v:shape id="Text Box 14243" o:spid="_x0000_s1615" type="#_x0000_t202" style="position:absolute;left:34639;top:49104;width:73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" filled="f" stroked="f">
                  <v:textbox inset="0,,0">
                    <w:txbxContent>
                      <w:p w14:paraId="249D0DB2" w14:textId="77777777" w:rsidR="00217891" w:rsidRPr="00531A84" w:rsidRDefault="00217891" w:rsidP="000678FD">
                        <w:pPr>
                          <w:spacing w:line="360" w:lineRule="auto"/>
                          <w:jc w:val="center"/>
                          <w:rPr>
                            <w:sz w:val="18"/>
                            <w:szCs w:val="18"/>
                          </w:rPr>
                        </w:pPr>
                        <w:r>
                          <w:rPr>
                            <w:rFonts w:hint="eastAsia"/>
                            <w:sz w:val="18"/>
                            <w:szCs w:val="18"/>
                          </w:rPr>
                          <w:t>进入土壤</w:t>
                        </w:r>
                      </w:p>
                    </w:txbxContent>
                  </v:textbox>
                </v:shape>
                <v:shape id="Text Box 14244" o:spid="_x0000_s1616" type="#_x0000_t202" style="position:absolute;left:34639;top:40449;width:73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" filled="f" stroked="f">
                  <v:textbox inset="0,,0">
                    <w:txbxContent>
                      <w:p w14:paraId="366881AA" w14:textId="77777777" w:rsidR="00217891" w:rsidRPr="00531A84" w:rsidRDefault="00217891" w:rsidP="000678FD">
                        <w:pPr>
                          <w:spacing w:line="360" w:lineRule="auto"/>
                          <w:jc w:val="center"/>
                          <w:rPr>
                            <w:sz w:val="18"/>
                            <w:szCs w:val="18"/>
                          </w:rPr>
                        </w:pPr>
                        <w:r>
                          <w:rPr>
                            <w:rFonts w:hint="eastAsia"/>
                            <w:sz w:val="18"/>
                            <w:szCs w:val="18"/>
                          </w:rPr>
                          <w:t>进入大气</w:t>
                        </w:r>
                      </w:p>
                    </w:txbxContent>
                  </v:textbox>
                </v:shape>
                <w10:wrap type="topAndBottom"/>
              </v:group>
            </w:pict>
          </mc:Fallback>
        </mc:AlternateContent>
      </w:r>
      <w:r w:rsidR="00EB4B23" w:rsidRPr="00A964FF">
        <w:rPr>
          <w:rFonts w:ascii="Calibri" w:hAnsi="Calibri" w:hint="eastAsia"/>
          <w:color w:val="auto"/>
          <w:sz w:val="24"/>
        </w:rPr>
        <w:t>伴生、次生危险性分析见</w:t>
      </w:r>
      <w:r w:rsidR="00531A84" w:rsidRPr="00A964FF">
        <w:rPr>
          <w:rFonts w:ascii="Calibri" w:hAnsi="Calibri" w:hint="eastAsia"/>
          <w:color w:val="auto"/>
          <w:sz w:val="24"/>
        </w:rPr>
        <w:t>图</w:t>
      </w:r>
      <w:r w:rsidR="00EB4B23" w:rsidRPr="00A964FF">
        <w:rPr>
          <w:rFonts w:ascii="Calibri" w:hAnsi="Calibri" w:hint="eastAsia"/>
          <w:color w:val="auto"/>
          <w:sz w:val="24"/>
        </w:rPr>
        <w:t>4</w:t>
      </w:r>
      <w:r w:rsidR="000D2512" w:rsidRPr="00A964FF">
        <w:rPr>
          <w:rFonts w:ascii="Calibri" w:hAnsi="Calibri" w:hint="eastAsia"/>
          <w:color w:val="auto"/>
          <w:sz w:val="24"/>
        </w:rPr>
        <w:t>.3</w:t>
      </w:r>
      <w:r w:rsidR="00EB4B23" w:rsidRPr="00A964FF">
        <w:rPr>
          <w:rFonts w:ascii="Calibri" w:hAnsi="Calibri" w:hint="eastAsia"/>
          <w:color w:val="auto"/>
          <w:sz w:val="24"/>
        </w:rPr>
        <w:t>-</w:t>
      </w:r>
      <w:r w:rsidR="000D2512" w:rsidRPr="00A964FF">
        <w:rPr>
          <w:rFonts w:ascii="Calibri" w:hAnsi="Calibri" w:hint="eastAsia"/>
          <w:color w:val="auto"/>
          <w:sz w:val="24"/>
        </w:rPr>
        <w:t>2</w:t>
      </w:r>
      <w:r w:rsidR="00EB4B23" w:rsidRPr="00A964FF">
        <w:rPr>
          <w:rFonts w:ascii="Calibri" w:hAnsi="Calibri" w:hint="eastAsia"/>
          <w:color w:val="auto"/>
          <w:sz w:val="24"/>
        </w:rPr>
        <w:t>。</w:t>
      </w:r>
    </w:p>
    <w:p w14:paraId="453FD4DC" w14:textId="77777777" w:rsidR="00531A84" w:rsidRPr="00A964FF" w:rsidRDefault="00531A84" w:rsidP="0082124A">
      <w:pPr>
        <w:pStyle w:val="affff"/>
        <w:spacing w:line="520" w:lineRule="exact"/>
        <w:ind w:left="0" w:right="0" w:firstLineChars="200" w:firstLine="480"/>
        <w:rPr>
          <w:rFonts w:ascii="Calibri" w:eastAsia="黑体" w:hAnsi="Calibri"/>
          <w:bCs/>
          <w:color w:val="auto"/>
        </w:rPr>
      </w:pPr>
      <w:r w:rsidRPr="00A964FF">
        <w:rPr>
          <w:rFonts w:ascii="Calibri" w:eastAsia="黑体" w:hAnsi="黑体"/>
          <w:bCs/>
          <w:color w:val="auto"/>
        </w:rPr>
        <w:t>图</w:t>
      </w:r>
      <w:r w:rsidRPr="00A964FF">
        <w:rPr>
          <w:rFonts w:ascii="Calibri" w:eastAsia="黑体" w:hAnsi="Calibri"/>
          <w:bCs/>
          <w:color w:val="auto"/>
        </w:rPr>
        <w:t>4</w:t>
      </w:r>
      <w:r w:rsidR="000D2512" w:rsidRPr="00A964FF">
        <w:rPr>
          <w:rFonts w:ascii="Calibri" w:eastAsia="黑体" w:hAnsi="Calibri" w:hint="eastAsia"/>
          <w:bCs/>
          <w:color w:val="auto"/>
        </w:rPr>
        <w:t>.3</w:t>
      </w:r>
      <w:r w:rsidRPr="00A964FF">
        <w:rPr>
          <w:rFonts w:ascii="Calibri" w:eastAsia="黑体" w:hAnsi="Calibri"/>
          <w:bCs/>
          <w:color w:val="auto"/>
        </w:rPr>
        <w:t>-</w:t>
      </w:r>
      <w:r w:rsidR="000D2512" w:rsidRPr="00A964FF">
        <w:rPr>
          <w:rFonts w:ascii="Calibri" w:eastAsia="黑体" w:hAnsi="Calibri" w:hint="eastAsia"/>
          <w:bCs/>
          <w:color w:val="auto"/>
        </w:rPr>
        <w:t>2</w:t>
      </w:r>
      <w:r w:rsidRPr="00A964FF">
        <w:rPr>
          <w:rFonts w:ascii="Calibri" w:eastAsia="黑体" w:hAnsi="Calibri"/>
          <w:bCs/>
          <w:color w:val="auto"/>
        </w:rPr>
        <w:t xml:space="preserve">    </w:t>
      </w:r>
      <w:r w:rsidR="00F62C9D" w:rsidRPr="00A964FF">
        <w:rPr>
          <w:rFonts w:ascii="Calibri" w:eastAsia="黑体" w:hAnsi="Calibri" w:hint="eastAsia"/>
          <w:bCs/>
          <w:color w:val="auto"/>
        </w:rPr>
        <w:t xml:space="preserve">    </w:t>
      </w:r>
      <w:r w:rsidRPr="00A964FF">
        <w:rPr>
          <w:rFonts w:ascii="Calibri" w:eastAsia="黑体" w:hAnsi="Calibri"/>
          <w:bCs/>
          <w:color w:val="auto"/>
        </w:rPr>
        <w:t xml:space="preserve">      </w:t>
      </w:r>
      <w:r w:rsidRPr="00A964FF">
        <w:rPr>
          <w:rFonts w:ascii="Calibri" w:eastAsia="黑体" w:hAnsi="黑体"/>
          <w:bCs/>
          <w:color w:val="auto"/>
        </w:rPr>
        <w:t>事故状况伴生和次生危险性分析</w:t>
      </w:r>
    </w:p>
    <w:p w14:paraId="3CD5D9E2" w14:textId="77777777" w:rsidR="00531A84" w:rsidRPr="00A964FF" w:rsidRDefault="00531A84" w:rsidP="000678FD">
      <w:pPr>
        <w:spacing w:line="520" w:lineRule="exact"/>
        <w:ind w:firstLine="482"/>
        <w:rPr>
          <w:rFonts w:ascii="Calibri" w:hAnsi="Calibri"/>
          <w:b/>
          <w:color w:val="auto"/>
          <w:sz w:val="24"/>
        </w:rPr>
      </w:pPr>
      <w:bookmarkStart w:id="65" w:name="_Toc24131"/>
      <w:bookmarkStart w:id="66" w:name="_Toc17876"/>
      <w:bookmarkStart w:id="67" w:name="_Toc5822_WPSOffice_Level3"/>
      <w:bookmarkStart w:id="68" w:name="_Toc17747"/>
      <w:bookmarkStart w:id="69" w:name="_Toc13638"/>
      <w:bookmarkStart w:id="70" w:name="_Toc12821"/>
      <w:bookmarkStart w:id="71" w:name="_Toc1726"/>
      <w:r w:rsidRPr="00A964FF">
        <w:rPr>
          <w:rFonts w:ascii="Calibri" w:hAnsi="Calibri" w:hint="eastAsia"/>
          <w:b/>
          <w:color w:val="auto"/>
          <w:sz w:val="24"/>
        </w:rPr>
        <w:t>4</w:t>
      </w:r>
      <w:r w:rsidRPr="00A964FF">
        <w:rPr>
          <w:rFonts w:ascii="Calibri" w:hAnsi="Calibri" w:hint="eastAsia"/>
          <w:b/>
          <w:color w:val="auto"/>
          <w:sz w:val="24"/>
        </w:rPr>
        <w:t>、环境风险类型识别</w:t>
      </w:r>
      <w:bookmarkEnd w:id="65"/>
      <w:bookmarkEnd w:id="66"/>
      <w:bookmarkEnd w:id="67"/>
      <w:bookmarkEnd w:id="68"/>
      <w:bookmarkEnd w:id="69"/>
      <w:bookmarkEnd w:id="70"/>
      <w:bookmarkEnd w:id="71"/>
    </w:p>
    <w:p w14:paraId="73148465" w14:textId="77777777" w:rsidR="004026CC" w:rsidRPr="004026CC" w:rsidRDefault="0082124A" w:rsidP="004026CC">
      <w:pPr>
        <w:spacing w:line="520" w:lineRule="exact"/>
        <w:ind w:firstLineChars="200" w:firstLine="480"/>
        <w:rPr>
          <w:sz w:val="24"/>
        </w:rPr>
      </w:pPr>
      <w:r w:rsidRPr="00A964FF">
        <w:rPr>
          <w:rFonts w:ascii="Calibri" w:hAnsi="Calibri" w:hint="eastAsia"/>
          <w:color w:val="auto"/>
          <w:sz w:val="24"/>
        </w:rPr>
        <w:t>根据以上分析可知，</w:t>
      </w:r>
      <w:r w:rsidR="004026CC" w:rsidRPr="009A2F50">
        <w:rPr>
          <w:rFonts w:ascii="宋体" w:hAnsi="宋体" w:hint="eastAsia"/>
          <w:sz w:val="24"/>
        </w:rPr>
        <w:t>根据对项目涉及化学品物化性质、生产工艺特征，</w:t>
      </w:r>
      <w:r w:rsidR="004026CC">
        <w:rPr>
          <w:rFonts w:hint="eastAsia"/>
          <w:sz w:val="24"/>
        </w:rPr>
        <w:t>本次确定</w:t>
      </w:r>
      <w:r w:rsidR="004026CC" w:rsidRPr="007A705D">
        <w:rPr>
          <w:rFonts w:hint="eastAsia"/>
          <w:sz w:val="24"/>
        </w:rPr>
        <w:t>事</w:t>
      </w:r>
      <w:r w:rsidR="004026CC">
        <w:rPr>
          <w:rFonts w:hint="eastAsia"/>
          <w:sz w:val="24"/>
        </w:rPr>
        <w:t>故风险类型</w:t>
      </w:r>
      <w:r w:rsidR="004026CC" w:rsidRPr="008F4E49">
        <w:rPr>
          <w:rFonts w:hint="eastAsia"/>
          <w:sz w:val="24"/>
        </w:rPr>
        <w:t>为</w:t>
      </w:r>
      <w:r w:rsidR="004026CC">
        <w:rPr>
          <w:rFonts w:hint="eastAsia"/>
          <w:sz w:val="24"/>
        </w:rPr>
        <w:t>管道天然气泄漏影响污染物排放，污水站事故排放对污水厂的冲击影响，</w:t>
      </w:r>
      <w:r w:rsidR="004026CC" w:rsidRPr="008F4E49">
        <w:rPr>
          <w:rFonts w:hint="eastAsia"/>
          <w:sz w:val="24"/>
        </w:rPr>
        <w:t>不考虑自然灾害引起的风险。</w:t>
      </w:r>
    </w:p>
    <w:p w14:paraId="752819F6" w14:textId="77777777" w:rsidR="0082124A" w:rsidRPr="00A964FF" w:rsidRDefault="0082124A" w:rsidP="0082124A">
      <w:pPr>
        <w:spacing w:line="520" w:lineRule="exact"/>
        <w:ind w:firstLine="482"/>
        <w:rPr>
          <w:rFonts w:ascii="Calibri" w:hAnsi="Calibri"/>
          <w:b/>
          <w:color w:val="auto"/>
          <w:sz w:val="24"/>
        </w:rPr>
      </w:pPr>
      <w:r w:rsidRPr="00A964FF">
        <w:rPr>
          <w:rFonts w:ascii="Calibri" w:hAnsi="Calibri" w:hint="eastAsia"/>
          <w:b/>
          <w:color w:val="auto"/>
          <w:sz w:val="24"/>
        </w:rPr>
        <w:t>5</w:t>
      </w:r>
      <w:r w:rsidRPr="00A964FF">
        <w:rPr>
          <w:rFonts w:ascii="Calibri" w:hAnsi="Calibri" w:hint="eastAsia"/>
          <w:b/>
          <w:color w:val="auto"/>
          <w:sz w:val="24"/>
        </w:rPr>
        <w:t>、风险识别结果</w:t>
      </w:r>
    </w:p>
    <w:p w14:paraId="1E78FB90" w14:textId="77777777" w:rsidR="0082124A" w:rsidRPr="00A964FF" w:rsidRDefault="0082124A" w:rsidP="0082124A">
      <w:pPr>
        <w:spacing w:line="520" w:lineRule="exact"/>
        <w:ind w:firstLine="482"/>
        <w:rPr>
          <w:rFonts w:ascii="Calibri" w:hAnsi="Calibri"/>
          <w:color w:val="auto"/>
          <w:sz w:val="24"/>
        </w:rPr>
      </w:pPr>
      <w:r w:rsidRPr="00A964FF">
        <w:rPr>
          <w:rFonts w:ascii="Calibri" w:hAnsi="Calibri" w:hint="eastAsia"/>
          <w:color w:val="auto"/>
          <w:sz w:val="24"/>
        </w:rPr>
        <w:t>本项目环境风险识别结果见表</w:t>
      </w:r>
      <w:r w:rsidRPr="00A964FF">
        <w:rPr>
          <w:rFonts w:ascii="Calibri" w:hAnsi="Calibri" w:hint="eastAsia"/>
          <w:color w:val="auto"/>
          <w:sz w:val="24"/>
        </w:rPr>
        <w:t>4</w:t>
      </w:r>
      <w:r w:rsidR="000D2512" w:rsidRPr="00A964FF">
        <w:rPr>
          <w:rFonts w:ascii="Calibri" w:hAnsi="Calibri" w:hint="eastAsia"/>
          <w:color w:val="auto"/>
          <w:sz w:val="24"/>
        </w:rPr>
        <w:t>.3</w:t>
      </w:r>
      <w:r w:rsidR="006A642B">
        <w:rPr>
          <w:rFonts w:ascii="Calibri" w:hAnsi="Calibri" w:hint="eastAsia"/>
          <w:color w:val="auto"/>
          <w:sz w:val="24"/>
        </w:rPr>
        <w:t>-8</w:t>
      </w:r>
      <w:r w:rsidRPr="00A964FF">
        <w:rPr>
          <w:rFonts w:ascii="Calibri" w:hAnsi="Calibri" w:hint="eastAsia"/>
          <w:color w:val="auto"/>
          <w:sz w:val="24"/>
        </w:rPr>
        <w:t>。</w:t>
      </w:r>
    </w:p>
    <w:p w14:paraId="22578D45" w14:textId="77777777" w:rsidR="0047129E" w:rsidRDefault="0047129E" w:rsidP="0082124A">
      <w:pPr>
        <w:spacing w:line="520" w:lineRule="exact"/>
        <w:ind w:firstLine="480"/>
        <w:rPr>
          <w:rFonts w:ascii="Calibri" w:eastAsia="黑体" w:hAnsi="黑体"/>
          <w:color w:val="auto"/>
          <w:sz w:val="24"/>
        </w:rPr>
      </w:pPr>
    </w:p>
    <w:p w14:paraId="13D34E43" w14:textId="77777777" w:rsidR="004026CC" w:rsidRDefault="004026CC" w:rsidP="0082124A">
      <w:pPr>
        <w:spacing w:line="520" w:lineRule="exact"/>
        <w:ind w:firstLine="480"/>
        <w:rPr>
          <w:rFonts w:ascii="Calibri" w:eastAsia="黑体" w:hAnsi="黑体"/>
          <w:color w:val="auto"/>
          <w:sz w:val="24"/>
        </w:rPr>
      </w:pPr>
    </w:p>
    <w:p w14:paraId="2C6E0AAD" w14:textId="77777777" w:rsidR="0082124A" w:rsidRPr="00A964FF" w:rsidRDefault="0082124A" w:rsidP="00654298">
      <w:pPr>
        <w:spacing w:line="520" w:lineRule="exact"/>
        <w:ind w:firstLineChars="400" w:firstLine="960"/>
        <w:rPr>
          <w:rFonts w:ascii="Calibri" w:eastAsia="黑体" w:hAnsi="黑体"/>
          <w:color w:val="auto"/>
          <w:sz w:val="24"/>
        </w:rPr>
      </w:pPr>
      <w:r w:rsidRPr="00A964FF">
        <w:rPr>
          <w:rFonts w:ascii="Calibri" w:eastAsia="黑体" w:hAnsi="黑体" w:hint="eastAsia"/>
          <w:color w:val="auto"/>
          <w:sz w:val="24"/>
        </w:rPr>
        <w:lastRenderedPageBreak/>
        <w:t>表</w:t>
      </w:r>
      <w:r w:rsidRPr="00A964FF">
        <w:rPr>
          <w:rFonts w:ascii="Calibri" w:eastAsia="黑体" w:hAnsi="黑体" w:hint="eastAsia"/>
          <w:color w:val="auto"/>
          <w:sz w:val="24"/>
        </w:rPr>
        <w:t>4</w:t>
      </w:r>
      <w:r w:rsidR="000D2512" w:rsidRPr="00A964FF">
        <w:rPr>
          <w:rFonts w:ascii="Calibri" w:eastAsia="黑体" w:hAnsi="黑体" w:hint="eastAsia"/>
          <w:color w:val="auto"/>
          <w:sz w:val="24"/>
        </w:rPr>
        <w:t>.3</w:t>
      </w:r>
      <w:r w:rsidR="004026CC">
        <w:rPr>
          <w:rFonts w:ascii="Calibri" w:eastAsia="黑体" w:hAnsi="黑体" w:hint="eastAsia"/>
          <w:color w:val="auto"/>
          <w:sz w:val="24"/>
        </w:rPr>
        <w:t>-</w:t>
      </w:r>
      <w:r w:rsidR="006A642B">
        <w:rPr>
          <w:rFonts w:ascii="Calibri" w:eastAsia="黑体" w:hAnsi="黑体"/>
          <w:color w:val="auto"/>
          <w:sz w:val="24"/>
        </w:rPr>
        <w:t>8</w:t>
      </w:r>
      <w:r w:rsidR="00DA00CD">
        <w:rPr>
          <w:rFonts w:ascii="Calibri" w:eastAsia="黑体" w:hAnsi="黑体" w:hint="eastAsia"/>
          <w:color w:val="auto"/>
          <w:sz w:val="24"/>
        </w:rPr>
        <w:t xml:space="preserve">           </w:t>
      </w:r>
      <w:r w:rsidRPr="00A964FF">
        <w:rPr>
          <w:rFonts w:ascii="Calibri" w:eastAsia="黑体" w:hAnsi="黑体" w:hint="eastAsia"/>
          <w:color w:val="auto"/>
          <w:sz w:val="24"/>
        </w:rPr>
        <w:t>本项目环境风险识别表</w:t>
      </w: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663"/>
        <w:gridCol w:w="1165"/>
        <w:gridCol w:w="1701"/>
        <w:gridCol w:w="1276"/>
        <w:gridCol w:w="1134"/>
        <w:gridCol w:w="1276"/>
        <w:gridCol w:w="1485"/>
      </w:tblGrid>
      <w:tr w:rsidR="0082124A" w:rsidRPr="00A964FF" w14:paraId="230EA42A" w14:textId="77777777" w:rsidTr="00DA00CD">
        <w:tc>
          <w:tcPr>
            <w:tcW w:w="663" w:type="dxa"/>
            <w:vAlign w:val="center"/>
          </w:tcPr>
          <w:p w14:paraId="149C5A61"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序号</w:t>
            </w:r>
          </w:p>
        </w:tc>
        <w:tc>
          <w:tcPr>
            <w:tcW w:w="1165" w:type="dxa"/>
            <w:vAlign w:val="center"/>
          </w:tcPr>
          <w:p w14:paraId="4D43F24F"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危险单元</w:t>
            </w:r>
          </w:p>
        </w:tc>
        <w:tc>
          <w:tcPr>
            <w:tcW w:w="1701" w:type="dxa"/>
            <w:vAlign w:val="center"/>
          </w:tcPr>
          <w:p w14:paraId="42B3ADF2"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风险源</w:t>
            </w:r>
          </w:p>
        </w:tc>
        <w:tc>
          <w:tcPr>
            <w:tcW w:w="1276" w:type="dxa"/>
            <w:vAlign w:val="center"/>
          </w:tcPr>
          <w:p w14:paraId="0224F050"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主要危险物质</w:t>
            </w:r>
          </w:p>
        </w:tc>
        <w:tc>
          <w:tcPr>
            <w:tcW w:w="1134" w:type="dxa"/>
            <w:vAlign w:val="center"/>
          </w:tcPr>
          <w:p w14:paraId="5E23E6E8"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环境风险类型</w:t>
            </w:r>
          </w:p>
        </w:tc>
        <w:tc>
          <w:tcPr>
            <w:tcW w:w="1276" w:type="dxa"/>
            <w:vAlign w:val="center"/>
          </w:tcPr>
          <w:p w14:paraId="225E34D1"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环境影响</w:t>
            </w:r>
          </w:p>
          <w:p w14:paraId="131CFAF0"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途经</w:t>
            </w:r>
          </w:p>
        </w:tc>
        <w:tc>
          <w:tcPr>
            <w:tcW w:w="1485" w:type="dxa"/>
            <w:vAlign w:val="center"/>
          </w:tcPr>
          <w:p w14:paraId="59D387D4" w14:textId="77777777" w:rsidR="0082124A" w:rsidRPr="00A964FF" w:rsidRDefault="0082124A" w:rsidP="00896C47">
            <w:pPr>
              <w:jc w:val="center"/>
              <w:rPr>
                <w:rFonts w:ascii="Calibri" w:hAnsi="宋体" w:cs="宋体"/>
                <w:color w:val="auto"/>
                <w:szCs w:val="21"/>
              </w:rPr>
            </w:pPr>
            <w:r w:rsidRPr="00A964FF">
              <w:rPr>
                <w:rFonts w:ascii="Calibri" w:hAnsi="宋体" w:cs="宋体" w:hint="eastAsia"/>
                <w:color w:val="auto"/>
                <w:szCs w:val="21"/>
              </w:rPr>
              <w:t>可能受影响环境要素</w:t>
            </w:r>
          </w:p>
        </w:tc>
      </w:tr>
      <w:tr w:rsidR="00ED3203" w:rsidRPr="00A964FF" w14:paraId="30232685" w14:textId="77777777" w:rsidTr="00DA00CD">
        <w:trPr>
          <w:trHeight w:val="225"/>
        </w:trPr>
        <w:tc>
          <w:tcPr>
            <w:tcW w:w="663" w:type="dxa"/>
            <w:vAlign w:val="center"/>
          </w:tcPr>
          <w:p w14:paraId="03BC9210" w14:textId="77777777" w:rsidR="00ED3203" w:rsidRPr="00A964FF" w:rsidRDefault="004026CC" w:rsidP="00896C47">
            <w:pPr>
              <w:jc w:val="center"/>
              <w:rPr>
                <w:rFonts w:ascii="Calibri" w:hAnsi="宋体" w:cs="宋体"/>
                <w:color w:val="auto"/>
                <w:szCs w:val="21"/>
              </w:rPr>
            </w:pPr>
            <w:r>
              <w:rPr>
                <w:rFonts w:ascii="Calibri" w:hAnsi="宋体" w:cs="宋体"/>
                <w:color w:val="auto"/>
                <w:szCs w:val="21"/>
              </w:rPr>
              <w:t>1</w:t>
            </w:r>
          </w:p>
        </w:tc>
        <w:tc>
          <w:tcPr>
            <w:tcW w:w="1165" w:type="dxa"/>
            <w:vAlign w:val="center"/>
          </w:tcPr>
          <w:p w14:paraId="743C2921" w14:textId="77777777" w:rsidR="00ED3203" w:rsidRPr="00A964FF" w:rsidRDefault="004026CC" w:rsidP="00ED3203">
            <w:pPr>
              <w:jc w:val="center"/>
              <w:rPr>
                <w:rFonts w:ascii="Calibri" w:hAnsi="宋体" w:cs="宋体"/>
                <w:color w:val="auto"/>
                <w:szCs w:val="21"/>
              </w:rPr>
            </w:pPr>
            <w:r>
              <w:rPr>
                <w:rFonts w:ascii="Calibri" w:hAnsi="宋体" w:cs="宋体" w:hint="eastAsia"/>
                <w:color w:val="auto"/>
                <w:szCs w:val="21"/>
              </w:rPr>
              <w:t>原料</w:t>
            </w:r>
            <w:r>
              <w:rPr>
                <w:rFonts w:ascii="Calibri" w:hAnsi="宋体" w:cs="宋体"/>
                <w:color w:val="auto"/>
                <w:szCs w:val="21"/>
              </w:rPr>
              <w:t>仓库</w:t>
            </w:r>
          </w:p>
        </w:tc>
        <w:tc>
          <w:tcPr>
            <w:tcW w:w="1701" w:type="dxa"/>
            <w:vAlign w:val="center"/>
          </w:tcPr>
          <w:p w14:paraId="4302D578" w14:textId="77777777" w:rsidR="00ED3203" w:rsidRPr="00A964FF" w:rsidRDefault="00ED3203" w:rsidP="00896C47">
            <w:pPr>
              <w:jc w:val="center"/>
              <w:rPr>
                <w:rFonts w:ascii="Calibri" w:hAnsi="宋体" w:cs="宋体"/>
                <w:color w:val="auto"/>
                <w:szCs w:val="21"/>
              </w:rPr>
            </w:pPr>
            <w:r w:rsidRPr="00A964FF">
              <w:rPr>
                <w:rFonts w:ascii="Calibri" w:hAnsi="宋体" w:cs="宋体" w:hint="eastAsia"/>
                <w:color w:val="auto"/>
                <w:szCs w:val="21"/>
              </w:rPr>
              <w:t>储存容器</w:t>
            </w:r>
          </w:p>
        </w:tc>
        <w:tc>
          <w:tcPr>
            <w:tcW w:w="1276" w:type="dxa"/>
            <w:tcBorders>
              <w:top w:val="single" w:sz="4" w:space="0" w:color="000000"/>
            </w:tcBorders>
            <w:vAlign w:val="center"/>
          </w:tcPr>
          <w:p w14:paraId="5EC42772" w14:textId="77777777" w:rsidR="0047129E" w:rsidRPr="00A964FF" w:rsidRDefault="007F4462" w:rsidP="0047129E">
            <w:pPr>
              <w:jc w:val="center"/>
              <w:rPr>
                <w:rFonts w:ascii="Calibri" w:hAnsi="宋体" w:cs="宋体"/>
                <w:color w:val="auto"/>
                <w:szCs w:val="21"/>
              </w:rPr>
            </w:pPr>
            <w:r>
              <w:rPr>
                <w:rFonts w:ascii="Calibri" w:hAnsi="宋体" w:cs="宋体" w:hint="eastAsia"/>
                <w:color w:val="auto"/>
                <w:szCs w:val="21"/>
              </w:rPr>
              <w:t>尼龙</w:t>
            </w:r>
            <w:r>
              <w:rPr>
                <w:rFonts w:ascii="Calibri" w:hAnsi="宋体" w:cs="宋体" w:hint="eastAsia"/>
                <w:color w:val="auto"/>
                <w:szCs w:val="21"/>
              </w:rPr>
              <w:t>66</w:t>
            </w:r>
            <w:r>
              <w:rPr>
                <w:rFonts w:ascii="Calibri" w:hAnsi="宋体" w:cs="宋体" w:hint="eastAsia"/>
                <w:color w:val="auto"/>
                <w:szCs w:val="21"/>
              </w:rPr>
              <w:t>盐</w:t>
            </w:r>
          </w:p>
        </w:tc>
        <w:tc>
          <w:tcPr>
            <w:tcW w:w="1134" w:type="dxa"/>
            <w:tcBorders>
              <w:top w:val="single" w:sz="4" w:space="0" w:color="000000"/>
            </w:tcBorders>
            <w:vAlign w:val="center"/>
          </w:tcPr>
          <w:p w14:paraId="262A2BDD" w14:textId="77777777" w:rsidR="00ED3203" w:rsidRPr="00A964FF" w:rsidRDefault="00ED3203" w:rsidP="004026CC">
            <w:pPr>
              <w:jc w:val="center"/>
              <w:rPr>
                <w:rFonts w:ascii="Calibri" w:hAnsi="宋体" w:cs="宋体"/>
                <w:color w:val="auto"/>
                <w:szCs w:val="21"/>
              </w:rPr>
            </w:pPr>
            <w:r w:rsidRPr="00A964FF">
              <w:rPr>
                <w:rFonts w:ascii="Calibri" w:hAnsi="宋体" w:cs="宋体" w:hint="eastAsia"/>
                <w:color w:val="auto"/>
                <w:szCs w:val="21"/>
              </w:rPr>
              <w:t>泄漏</w:t>
            </w:r>
          </w:p>
        </w:tc>
        <w:tc>
          <w:tcPr>
            <w:tcW w:w="1276" w:type="dxa"/>
            <w:tcBorders>
              <w:top w:val="single" w:sz="4" w:space="0" w:color="000000"/>
            </w:tcBorders>
            <w:vAlign w:val="center"/>
          </w:tcPr>
          <w:p w14:paraId="3AE182E5" w14:textId="77777777" w:rsidR="00ED3203" w:rsidRPr="00A964FF" w:rsidRDefault="00ED3203" w:rsidP="007F3836">
            <w:pPr>
              <w:jc w:val="center"/>
              <w:rPr>
                <w:rFonts w:ascii="Calibri" w:hAnsi="宋体" w:cs="宋体"/>
                <w:color w:val="auto"/>
                <w:szCs w:val="21"/>
              </w:rPr>
            </w:pPr>
            <w:r w:rsidRPr="00A964FF">
              <w:rPr>
                <w:rFonts w:ascii="Calibri" w:hAnsi="宋体" w:cs="宋体" w:hint="eastAsia"/>
                <w:color w:val="auto"/>
                <w:szCs w:val="21"/>
              </w:rPr>
              <w:t>大气扩散、土壤渗透</w:t>
            </w:r>
          </w:p>
        </w:tc>
        <w:tc>
          <w:tcPr>
            <w:tcW w:w="1485" w:type="dxa"/>
            <w:tcBorders>
              <w:top w:val="single" w:sz="4" w:space="0" w:color="000000"/>
            </w:tcBorders>
            <w:vAlign w:val="center"/>
          </w:tcPr>
          <w:p w14:paraId="78675B36" w14:textId="77777777" w:rsidR="00ED3203" w:rsidRPr="00A964FF" w:rsidRDefault="00ED3203" w:rsidP="007F3836">
            <w:pPr>
              <w:jc w:val="center"/>
              <w:rPr>
                <w:rFonts w:ascii="Calibri" w:hAnsi="宋体" w:cs="宋体"/>
                <w:color w:val="auto"/>
                <w:szCs w:val="21"/>
              </w:rPr>
            </w:pPr>
            <w:r w:rsidRPr="00A964FF">
              <w:rPr>
                <w:rFonts w:ascii="Calibri" w:hAnsi="宋体" w:cs="宋体" w:hint="eastAsia"/>
                <w:color w:val="auto"/>
                <w:szCs w:val="21"/>
              </w:rPr>
              <w:t>大气、地下水、土壤</w:t>
            </w:r>
          </w:p>
        </w:tc>
      </w:tr>
      <w:tr w:rsidR="00ED3203" w:rsidRPr="00A964FF" w14:paraId="2BB905B1" w14:textId="77777777" w:rsidTr="00DA00CD">
        <w:tc>
          <w:tcPr>
            <w:tcW w:w="663" w:type="dxa"/>
            <w:vAlign w:val="center"/>
          </w:tcPr>
          <w:p w14:paraId="4F89988D" w14:textId="77777777" w:rsidR="00ED3203" w:rsidRPr="00A964FF" w:rsidRDefault="004026CC" w:rsidP="00896C47">
            <w:pPr>
              <w:jc w:val="center"/>
              <w:rPr>
                <w:rFonts w:ascii="Calibri" w:hAnsi="宋体" w:cs="宋体"/>
                <w:color w:val="auto"/>
                <w:szCs w:val="21"/>
              </w:rPr>
            </w:pPr>
            <w:r>
              <w:rPr>
                <w:rFonts w:ascii="Calibri" w:hAnsi="宋体" w:cs="宋体"/>
                <w:color w:val="auto"/>
                <w:szCs w:val="21"/>
              </w:rPr>
              <w:t>2</w:t>
            </w:r>
          </w:p>
        </w:tc>
        <w:tc>
          <w:tcPr>
            <w:tcW w:w="1165" w:type="dxa"/>
            <w:vAlign w:val="center"/>
          </w:tcPr>
          <w:p w14:paraId="6CAE4A10" w14:textId="77777777" w:rsidR="00ED3203" w:rsidRPr="00A964FF" w:rsidRDefault="00ED3203" w:rsidP="00896C47">
            <w:pPr>
              <w:jc w:val="center"/>
              <w:rPr>
                <w:rFonts w:ascii="Calibri" w:hAnsi="宋体" w:cs="宋体"/>
                <w:color w:val="auto"/>
                <w:szCs w:val="21"/>
              </w:rPr>
            </w:pPr>
            <w:r w:rsidRPr="00A964FF">
              <w:rPr>
                <w:rFonts w:ascii="Calibri" w:hAnsi="宋体" w:cs="宋体" w:hint="eastAsia"/>
                <w:color w:val="auto"/>
                <w:szCs w:val="21"/>
              </w:rPr>
              <w:t>生产装置</w:t>
            </w:r>
          </w:p>
        </w:tc>
        <w:tc>
          <w:tcPr>
            <w:tcW w:w="1701" w:type="dxa"/>
            <w:vAlign w:val="center"/>
          </w:tcPr>
          <w:p w14:paraId="755C36C7" w14:textId="77777777" w:rsidR="00ED3203" w:rsidRPr="00A964FF" w:rsidRDefault="004026CC" w:rsidP="00ED3203">
            <w:pPr>
              <w:jc w:val="center"/>
              <w:rPr>
                <w:rFonts w:ascii="Calibri" w:hAnsi="宋体" w:cs="宋体"/>
                <w:color w:val="auto"/>
                <w:szCs w:val="21"/>
              </w:rPr>
            </w:pPr>
            <w:r>
              <w:rPr>
                <w:rFonts w:ascii="Calibri" w:hAnsi="宋体" w:cs="宋体" w:hint="eastAsia"/>
                <w:color w:val="auto"/>
                <w:szCs w:val="21"/>
              </w:rPr>
              <w:t>生产线</w:t>
            </w:r>
          </w:p>
        </w:tc>
        <w:tc>
          <w:tcPr>
            <w:tcW w:w="1276" w:type="dxa"/>
            <w:vAlign w:val="center"/>
          </w:tcPr>
          <w:p w14:paraId="6DAE70F1" w14:textId="77777777" w:rsidR="00ED3203" w:rsidRPr="004026CC" w:rsidRDefault="004026CC" w:rsidP="004026CC">
            <w:pPr>
              <w:widowControl/>
              <w:jc w:val="center"/>
              <w:rPr>
                <w:rFonts w:ascii="Calibri" w:hAnsi="Calibri"/>
                <w:color w:val="auto"/>
                <w:kern w:val="0"/>
                <w:szCs w:val="21"/>
              </w:rPr>
            </w:pPr>
            <w:r w:rsidRPr="009D6DC6">
              <w:rPr>
                <w:rFonts w:ascii="Calibri" w:hAnsi="Calibri" w:hint="eastAsia"/>
                <w:color w:val="auto"/>
                <w:kern w:val="0"/>
                <w:szCs w:val="21"/>
              </w:rPr>
              <w:t>己二胺、</w:t>
            </w:r>
            <w:r>
              <w:rPr>
                <w:rFonts w:ascii="Calibri" w:hAnsi="Calibri" w:hint="eastAsia"/>
                <w:color w:val="auto"/>
                <w:kern w:val="0"/>
                <w:szCs w:val="21"/>
              </w:rPr>
              <w:t>己二酸</w:t>
            </w:r>
            <w:r>
              <w:rPr>
                <w:rFonts w:ascii="Calibri" w:hAnsi="Calibri"/>
                <w:color w:val="auto"/>
                <w:kern w:val="0"/>
                <w:szCs w:val="21"/>
              </w:rPr>
              <w:t>、</w:t>
            </w:r>
            <w:r w:rsidRPr="009D6DC6">
              <w:rPr>
                <w:rFonts w:ascii="Calibri" w:hAnsi="Calibri" w:hint="eastAsia"/>
                <w:color w:val="auto"/>
                <w:kern w:val="0"/>
                <w:szCs w:val="21"/>
              </w:rPr>
              <w:t>环戊酮、环己亚胺</w:t>
            </w:r>
          </w:p>
        </w:tc>
        <w:tc>
          <w:tcPr>
            <w:tcW w:w="1134" w:type="dxa"/>
            <w:vAlign w:val="center"/>
          </w:tcPr>
          <w:p w14:paraId="582FC91B" w14:textId="77777777" w:rsidR="00ED3203" w:rsidRPr="00A964FF" w:rsidRDefault="00ED3203" w:rsidP="004026CC">
            <w:pPr>
              <w:jc w:val="center"/>
              <w:rPr>
                <w:rFonts w:ascii="Calibri" w:hAnsi="宋体" w:cs="宋体"/>
                <w:color w:val="auto"/>
                <w:szCs w:val="21"/>
              </w:rPr>
            </w:pPr>
            <w:r w:rsidRPr="00A964FF">
              <w:rPr>
                <w:rFonts w:ascii="Calibri" w:hAnsi="宋体" w:cs="宋体" w:hint="eastAsia"/>
                <w:color w:val="auto"/>
                <w:szCs w:val="21"/>
              </w:rPr>
              <w:t>泄漏</w:t>
            </w:r>
          </w:p>
        </w:tc>
        <w:tc>
          <w:tcPr>
            <w:tcW w:w="1276" w:type="dxa"/>
            <w:vAlign w:val="center"/>
          </w:tcPr>
          <w:p w14:paraId="3C42FEE1" w14:textId="77777777" w:rsidR="00ED3203" w:rsidRPr="00A964FF" w:rsidRDefault="00ED3203" w:rsidP="00896C47">
            <w:pPr>
              <w:jc w:val="center"/>
              <w:rPr>
                <w:rFonts w:ascii="Calibri" w:hAnsi="宋体" w:cs="宋体"/>
                <w:color w:val="auto"/>
                <w:szCs w:val="21"/>
              </w:rPr>
            </w:pPr>
            <w:r w:rsidRPr="00A964FF">
              <w:rPr>
                <w:rFonts w:ascii="Calibri" w:hAnsi="宋体" w:cs="宋体" w:hint="eastAsia"/>
                <w:color w:val="auto"/>
                <w:szCs w:val="21"/>
              </w:rPr>
              <w:t>大气扩散、土壤渗透</w:t>
            </w:r>
          </w:p>
        </w:tc>
        <w:tc>
          <w:tcPr>
            <w:tcW w:w="1485" w:type="dxa"/>
            <w:vAlign w:val="center"/>
          </w:tcPr>
          <w:p w14:paraId="7138D10E" w14:textId="77777777" w:rsidR="00ED3203" w:rsidRPr="00A964FF" w:rsidRDefault="00ED3203" w:rsidP="00896C47">
            <w:pPr>
              <w:jc w:val="center"/>
              <w:rPr>
                <w:rFonts w:ascii="Calibri" w:hAnsi="宋体" w:cs="宋体"/>
                <w:color w:val="auto"/>
                <w:szCs w:val="21"/>
              </w:rPr>
            </w:pPr>
            <w:r w:rsidRPr="00A964FF">
              <w:rPr>
                <w:rFonts w:ascii="Calibri" w:hAnsi="宋体" w:cs="宋体" w:hint="eastAsia"/>
                <w:color w:val="auto"/>
                <w:szCs w:val="21"/>
              </w:rPr>
              <w:t>大气、地下水、土壤</w:t>
            </w:r>
          </w:p>
        </w:tc>
      </w:tr>
      <w:tr w:rsidR="004026CC" w:rsidRPr="00A964FF" w14:paraId="2C92D878" w14:textId="77777777" w:rsidTr="00DA00CD">
        <w:tc>
          <w:tcPr>
            <w:tcW w:w="663" w:type="dxa"/>
            <w:vAlign w:val="center"/>
          </w:tcPr>
          <w:p w14:paraId="741C17A9" w14:textId="77777777" w:rsidR="004026CC" w:rsidRDefault="004026CC" w:rsidP="00896C47">
            <w:pPr>
              <w:jc w:val="center"/>
              <w:rPr>
                <w:rFonts w:ascii="Calibri" w:hAnsi="宋体" w:cs="宋体"/>
                <w:color w:val="auto"/>
                <w:szCs w:val="21"/>
              </w:rPr>
            </w:pPr>
            <w:r>
              <w:rPr>
                <w:rFonts w:ascii="Calibri" w:hAnsi="宋体" w:cs="宋体" w:hint="eastAsia"/>
                <w:color w:val="auto"/>
                <w:szCs w:val="21"/>
              </w:rPr>
              <w:t>3</w:t>
            </w:r>
          </w:p>
        </w:tc>
        <w:tc>
          <w:tcPr>
            <w:tcW w:w="1165" w:type="dxa"/>
            <w:vAlign w:val="center"/>
          </w:tcPr>
          <w:p w14:paraId="74C4AFB8" w14:textId="77777777" w:rsidR="004026CC" w:rsidRPr="00A964FF" w:rsidRDefault="004026CC" w:rsidP="00896C47">
            <w:pPr>
              <w:jc w:val="center"/>
              <w:rPr>
                <w:rFonts w:ascii="Calibri" w:hAnsi="宋体" w:cs="宋体"/>
                <w:color w:val="auto"/>
                <w:szCs w:val="21"/>
              </w:rPr>
            </w:pPr>
            <w:r w:rsidRPr="002456BA">
              <w:rPr>
                <w:kern w:val="0"/>
                <w:szCs w:val="21"/>
              </w:rPr>
              <w:t>输送管道及阀门</w:t>
            </w:r>
          </w:p>
        </w:tc>
        <w:tc>
          <w:tcPr>
            <w:tcW w:w="1701" w:type="dxa"/>
            <w:vAlign w:val="center"/>
          </w:tcPr>
          <w:p w14:paraId="38961377" w14:textId="77777777" w:rsidR="004026CC" w:rsidRDefault="004026CC" w:rsidP="00ED3203">
            <w:pPr>
              <w:jc w:val="center"/>
              <w:rPr>
                <w:rFonts w:ascii="Calibri" w:hAnsi="宋体" w:cs="宋体"/>
                <w:color w:val="auto"/>
                <w:szCs w:val="21"/>
              </w:rPr>
            </w:pPr>
            <w:r w:rsidRPr="002456BA">
              <w:rPr>
                <w:kern w:val="0"/>
                <w:szCs w:val="21"/>
              </w:rPr>
              <w:t>天然气管道泄漏</w:t>
            </w:r>
          </w:p>
        </w:tc>
        <w:tc>
          <w:tcPr>
            <w:tcW w:w="1276" w:type="dxa"/>
            <w:vAlign w:val="center"/>
          </w:tcPr>
          <w:p w14:paraId="70758C2D" w14:textId="77777777" w:rsidR="004026CC" w:rsidRPr="009D6DC6" w:rsidRDefault="004026CC" w:rsidP="004026CC">
            <w:pPr>
              <w:widowControl/>
              <w:jc w:val="center"/>
              <w:rPr>
                <w:rFonts w:ascii="Calibri" w:hAnsi="Calibri"/>
                <w:color w:val="auto"/>
                <w:kern w:val="0"/>
                <w:szCs w:val="21"/>
              </w:rPr>
            </w:pPr>
            <w:r>
              <w:rPr>
                <w:rFonts w:ascii="Calibri" w:hAnsi="Calibri" w:hint="eastAsia"/>
                <w:color w:val="auto"/>
                <w:kern w:val="0"/>
                <w:szCs w:val="21"/>
              </w:rPr>
              <w:t>甲烷</w:t>
            </w:r>
          </w:p>
        </w:tc>
        <w:tc>
          <w:tcPr>
            <w:tcW w:w="1134" w:type="dxa"/>
            <w:vAlign w:val="center"/>
          </w:tcPr>
          <w:p w14:paraId="688F9348" w14:textId="77777777" w:rsidR="004026CC" w:rsidRPr="00A964FF" w:rsidRDefault="004026CC" w:rsidP="004026CC">
            <w:pPr>
              <w:jc w:val="center"/>
              <w:rPr>
                <w:rFonts w:ascii="Calibri" w:hAnsi="宋体" w:cs="宋体"/>
                <w:color w:val="auto"/>
                <w:szCs w:val="21"/>
              </w:rPr>
            </w:pPr>
            <w:r>
              <w:rPr>
                <w:rFonts w:ascii="Calibri" w:hAnsi="宋体" w:cs="宋体" w:hint="eastAsia"/>
                <w:color w:val="auto"/>
                <w:szCs w:val="21"/>
              </w:rPr>
              <w:t>泄露</w:t>
            </w:r>
            <w:r>
              <w:rPr>
                <w:rFonts w:ascii="Calibri" w:hAnsi="宋体" w:cs="宋体"/>
                <w:color w:val="auto"/>
                <w:szCs w:val="21"/>
              </w:rPr>
              <w:t>、火灾爆炸</w:t>
            </w:r>
          </w:p>
        </w:tc>
        <w:tc>
          <w:tcPr>
            <w:tcW w:w="1276" w:type="dxa"/>
            <w:vAlign w:val="center"/>
          </w:tcPr>
          <w:p w14:paraId="67121196" w14:textId="77777777" w:rsidR="004026CC" w:rsidRPr="00A964FF" w:rsidRDefault="00633621" w:rsidP="00896C47">
            <w:pPr>
              <w:jc w:val="center"/>
              <w:rPr>
                <w:rFonts w:ascii="Calibri" w:hAnsi="宋体" w:cs="宋体"/>
                <w:color w:val="auto"/>
                <w:szCs w:val="21"/>
              </w:rPr>
            </w:pPr>
            <w:r>
              <w:rPr>
                <w:rFonts w:ascii="Calibri" w:hAnsi="宋体" w:cs="宋体" w:hint="eastAsia"/>
                <w:color w:val="auto"/>
                <w:szCs w:val="21"/>
              </w:rPr>
              <w:t>大气</w:t>
            </w:r>
            <w:r>
              <w:rPr>
                <w:rFonts w:ascii="Calibri" w:hAnsi="宋体" w:cs="宋体"/>
                <w:color w:val="auto"/>
                <w:szCs w:val="21"/>
              </w:rPr>
              <w:t>扩散、地表水</w:t>
            </w:r>
          </w:p>
        </w:tc>
        <w:tc>
          <w:tcPr>
            <w:tcW w:w="1485" w:type="dxa"/>
            <w:vAlign w:val="center"/>
          </w:tcPr>
          <w:p w14:paraId="3B399EEE" w14:textId="77777777" w:rsidR="004026CC" w:rsidRPr="00A964FF" w:rsidRDefault="00633621" w:rsidP="00633621">
            <w:pPr>
              <w:jc w:val="center"/>
              <w:rPr>
                <w:rFonts w:ascii="Calibri" w:hAnsi="宋体" w:cs="宋体"/>
                <w:color w:val="auto"/>
                <w:szCs w:val="21"/>
              </w:rPr>
            </w:pPr>
            <w:r w:rsidRPr="00A964FF">
              <w:rPr>
                <w:rFonts w:ascii="Calibri" w:hAnsi="宋体" w:cs="宋体" w:hint="eastAsia"/>
                <w:color w:val="auto"/>
                <w:szCs w:val="21"/>
              </w:rPr>
              <w:t>大气、</w:t>
            </w:r>
            <w:r>
              <w:rPr>
                <w:rFonts w:ascii="Calibri" w:hAnsi="宋体" w:cs="宋体" w:hint="eastAsia"/>
                <w:color w:val="auto"/>
                <w:szCs w:val="21"/>
              </w:rPr>
              <w:t>地表水</w:t>
            </w:r>
          </w:p>
        </w:tc>
      </w:tr>
      <w:tr w:rsidR="0047129E" w:rsidRPr="00A964FF" w14:paraId="0D8872F8" w14:textId="77777777" w:rsidTr="00DA00CD">
        <w:tc>
          <w:tcPr>
            <w:tcW w:w="663" w:type="dxa"/>
            <w:vMerge w:val="restart"/>
            <w:vAlign w:val="center"/>
          </w:tcPr>
          <w:p w14:paraId="18873C6D"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4</w:t>
            </w:r>
          </w:p>
        </w:tc>
        <w:tc>
          <w:tcPr>
            <w:tcW w:w="1165" w:type="dxa"/>
            <w:vMerge w:val="restart"/>
            <w:vAlign w:val="center"/>
          </w:tcPr>
          <w:p w14:paraId="1725EA5B"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公用辅助工程</w:t>
            </w:r>
          </w:p>
        </w:tc>
        <w:tc>
          <w:tcPr>
            <w:tcW w:w="1701" w:type="dxa"/>
            <w:vAlign w:val="center"/>
          </w:tcPr>
          <w:p w14:paraId="249C66D9"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废水处理站</w:t>
            </w:r>
          </w:p>
        </w:tc>
        <w:tc>
          <w:tcPr>
            <w:tcW w:w="1276" w:type="dxa"/>
            <w:vAlign w:val="center"/>
          </w:tcPr>
          <w:p w14:paraId="1F2258BE" w14:textId="77777777" w:rsidR="0047129E" w:rsidRPr="00A964FF" w:rsidRDefault="0047129E" w:rsidP="00896C47">
            <w:pPr>
              <w:jc w:val="center"/>
              <w:rPr>
                <w:rFonts w:ascii="Calibri" w:hAnsi="宋体" w:cs="宋体"/>
                <w:color w:val="auto"/>
                <w:szCs w:val="21"/>
              </w:rPr>
            </w:pPr>
            <w:r>
              <w:rPr>
                <w:rFonts w:ascii="Calibri" w:hAnsi="宋体" w:cs="宋体" w:hint="eastAsia"/>
                <w:color w:val="auto"/>
                <w:szCs w:val="21"/>
              </w:rPr>
              <w:t>有机废气、废水</w:t>
            </w:r>
          </w:p>
        </w:tc>
        <w:tc>
          <w:tcPr>
            <w:tcW w:w="1134" w:type="dxa"/>
            <w:vAlign w:val="center"/>
          </w:tcPr>
          <w:p w14:paraId="03B33690"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泄漏</w:t>
            </w:r>
          </w:p>
        </w:tc>
        <w:tc>
          <w:tcPr>
            <w:tcW w:w="1276" w:type="dxa"/>
            <w:vAlign w:val="center"/>
          </w:tcPr>
          <w:p w14:paraId="0D40D502"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土壤渗透</w:t>
            </w:r>
          </w:p>
        </w:tc>
        <w:tc>
          <w:tcPr>
            <w:tcW w:w="1485" w:type="dxa"/>
            <w:vAlign w:val="center"/>
          </w:tcPr>
          <w:p w14:paraId="0B386507"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地表水、地下水、土壤</w:t>
            </w:r>
          </w:p>
        </w:tc>
      </w:tr>
      <w:tr w:rsidR="0047129E" w:rsidRPr="00A964FF" w14:paraId="72AEB783" w14:textId="77777777" w:rsidTr="00DA00CD">
        <w:tc>
          <w:tcPr>
            <w:tcW w:w="663" w:type="dxa"/>
            <w:vMerge/>
            <w:vAlign w:val="center"/>
          </w:tcPr>
          <w:p w14:paraId="46AF5B20" w14:textId="77777777" w:rsidR="0047129E" w:rsidRPr="00A964FF" w:rsidRDefault="0047129E" w:rsidP="00896C47">
            <w:pPr>
              <w:jc w:val="center"/>
              <w:rPr>
                <w:rFonts w:ascii="Calibri" w:hAnsi="宋体" w:cs="宋体"/>
                <w:color w:val="auto"/>
                <w:szCs w:val="21"/>
              </w:rPr>
            </w:pPr>
          </w:p>
        </w:tc>
        <w:tc>
          <w:tcPr>
            <w:tcW w:w="1165" w:type="dxa"/>
            <w:vMerge/>
            <w:vAlign w:val="center"/>
          </w:tcPr>
          <w:p w14:paraId="5047BBF5" w14:textId="77777777" w:rsidR="0047129E" w:rsidRPr="00A964FF" w:rsidRDefault="0047129E" w:rsidP="00896C47">
            <w:pPr>
              <w:jc w:val="center"/>
              <w:rPr>
                <w:rFonts w:ascii="Calibri" w:hAnsi="宋体" w:cs="宋体"/>
                <w:color w:val="auto"/>
                <w:szCs w:val="21"/>
              </w:rPr>
            </w:pPr>
          </w:p>
        </w:tc>
        <w:tc>
          <w:tcPr>
            <w:tcW w:w="1701" w:type="dxa"/>
            <w:vAlign w:val="center"/>
          </w:tcPr>
          <w:p w14:paraId="6B027DF8" w14:textId="77777777" w:rsidR="0047129E" w:rsidRPr="00A964FF" w:rsidRDefault="0047129E" w:rsidP="00896C47">
            <w:pPr>
              <w:jc w:val="center"/>
              <w:rPr>
                <w:rFonts w:ascii="Calibri" w:hAnsi="宋体" w:cs="宋体"/>
                <w:color w:val="auto"/>
                <w:szCs w:val="21"/>
              </w:rPr>
            </w:pPr>
            <w:r>
              <w:rPr>
                <w:rFonts w:ascii="Calibri" w:hAnsi="宋体" w:cs="宋体" w:hint="eastAsia"/>
                <w:color w:val="auto"/>
                <w:szCs w:val="21"/>
              </w:rPr>
              <w:t>废气处理设施</w:t>
            </w:r>
          </w:p>
        </w:tc>
        <w:tc>
          <w:tcPr>
            <w:tcW w:w="1276" w:type="dxa"/>
            <w:vAlign w:val="center"/>
          </w:tcPr>
          <w:p w14:paraId="59A7765F" w14:textId="77777777" w:rsidR="0047129E" w:rsidRPr="00A964FF" w:rsidRDefault="0047129E" w:rsidP="00896C47">
            <w:pPr>
              <w:jc w:val="center"/>
              <w:rPr>
                <w:rFonts w:ascii="Calibri" w:hAnsi="宋体" w:cs="宋体"/>
                <w:color w:val="auto"/>
                <w:szCs w:val="21"/>
              </w:rPr>
            </w:pPr>
            <w:r>
              <w:rPr>
                <w:rFonts w:ascii="Calibri" w:hAnsi="宋体" w:cs="宋体" w:hint="eastAsia"/>
                <w:color w:val="auto"/>
                <w:szCs w:val="21"/>
              </w:rPr>
              <w:t>有机废气</w:t>
            </w:r>
          </w:p>
        </w:tc>
        <w:tc>
          <w:tcPr>
            <w:tcW w:w="1134" w:type="dxa"/>
            <w:vAlign w:val="center"/>
          </w:tcPr>
          <w:p w14:paraId="08750E48"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泄漏</w:t>
            </w:r>
          </w:p>
        </w:tc>
        <w:tc>
          <w:tcPr>
            <w:tcW w:w="1276" w:type="dxa"/>
            <w:vAlign w:val="center"/>
          </w:tcPr>
          <w:p w14:paraId="0DB185A0"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大气扩散、土壤渗透</w:t>
            </w:r>
          </w:p>
        </w:tc>
        <w:tc>
          <w:tcPr>
            <w:tcW w:w="1485" w:type="dxa"/>
            <w:vAlign w:val="center"/>
          </w:tcPr>
          <w:p w14:paraId="6E5FF7B4"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大气、地下水、土壤</w:t>
            </w:r>
          </w:p>
        </w:tc>
      </w:tr>
      <w:tr w:rsidR="0047129E" w:rsidRPr="00A964FF" w14:paraId="6E7DB422" w14:textId="77777777" w:rsidTr="00DA00CD">
        <w:tc>
          <w:tcPr>
            <w:tcW w:w="663" w:type="dxa"/>
            <w:vMerge/>
            <w:vAlign w:val="center"/>
          </w:tcPr>
          <w:p w14:paraId="33C317FF" w14:textId="77777777" w:rsidR="0047129E" w:rsidRPr="00A964FF" w:rsidRDefault="0047129E" w:rsidP="00896C47">
            <w:pPr>
              <w:jc w:val="center"/>
              <w:rPr>
                <w:rFonts w:ascii="Calibri" w:hAnsi="宋体" w:cs="宋体"/>
                <w:color w:val="auto"/>
                <w:szCs w:val="21"/>
              </w:rPr>
            </w:pPr>
          </w:p>
        </w:tc>
        <w:tc>
          <w:tcPr>
            <w:tcW w:w="1165" w:type="dxa"/>
            <w:vMerge/>
            <w:vAlign w:val="center"/>
          </w:tcPr>
          <w:p w14:paraId="5E7C71C5" w14:textId="77777777" w:rsidR="0047129E" w:rsidRPr="00A964FF" w:rsidRDefault="0047129E" w:rsidP="00896C47">
            <w:pPr>
              <w:jc w:val="center"/>
              <w:rPr>
                <w:rFonts w:ascii="Calibri" w:hAnsi="宋体" w:cs="宋体"/>
                <w:color w:val="auto"/>
                <w:szCs w:val="21"/>
              </w:rPr>
            </w:pPr>
          </w:p>
        </w:tc>
        <w:tc>
          <w:tcPr>
            <w:tcW w:w="1701" w:type="dxa"/>
            <w:vAlign w:val="center"/>
          </w:tcPr>
          <w:p w14:paraId="67256E20" w14:textId="77777777" w:rsidR="0047129E" w:rsidRPr="00A964FF" w:rsidRDefault="0047129E" w:rsidP="00896C47">
            <w:pPr>
              <w:jc w:val="center"/>
              <w:rPr>
                <w:rFonts w:ascii="Calibri" w:hAnsi="宋体" w:cs="宋体"/>
                <w:color w:val="auto"/>
                <w:szCs w:val="21"/>
              </w:rPr>
            </w:pPr>
            <w:r>
              <w:rPr>
                <w:rFonts w:ascii="Calibri" w:hAnsi="宋体" w:cs="宋体" w:hint="eastAsia"/>
                <w:color w:val="auto"/>
                <w:szCs w:val="21"/>
              </w:rPr>
              <w:t>危废库</w:t>
            </w:r>
          </w:p>
        </w:tc>
        <w:tc>
          <w:tcPr>
            <w:tcW w:w="1276" w:type="dxa"/>
            <w:vAlign w:val="center"/>
          </w:tcPr>
          <w:p w14:paraId="21FEC07B" w14:textId="77777777" w:rsidR="0047129E" w:rsidRPr="00A964FF" w:rsidRDefault="0047129E" w:rsidP="00896C47">
            <w:pPr>
              <w:jc w:val="center"/>
              <w:rPr>
                <w:rFonts w:ascii="Calibri" w:hAnsi="宋体" w:cs="宋体"/>
                <w:color w:val="auto"/>
                <w:szCs w:val="21"/>
              </w:rPr>
            </w:pPr>
            <w:r>
              <w:rPr>
                <w:rFonts w:ascii="Calibri" w:hAnsi="宋体" w:cs="宋体" w:hint="eastAsia"/>
                <w:color w:val="auto"/>
                <w:szCs w:val="21"/>
              </w:rPr>
              <w:t>固废</w:t>
            </w:r>
          </w:p>
        </w:tc>
        <w:tc>
          <w:tcPr>
            <w:tcW w:w="1134" w:type="dxa"/>
            <w:vAlign w:val="center"/>
          </w:tcPr>
          <w:p w14:paraId="452AF604"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泄漏</w:t>
            </w:r>
          </w:p>
        </w:tc>
        <w:tc>
          <w:tcPr>
            <w:tcW w:w="1276" w:type="dxa"/>
            <w:vAlign w:val="center"/>
          </w:tcPr>
          <w:p w14:paraId="1C2CCE4C"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大气扩散、土壤渗透</w:t>
            </w:r>
          </w:p>
        </w:tc>
        <w:tc>
          <w:tcPr>
            <w:tcW w:w="1485" w:type="dxa"/>
            <w:vAlign w:val="center"/>
          </w:tcPr>
          <w:p w14:paraId="7DF30116" w14:textId="77777777" w:rsidR="0047129E" w:rsidRPr="00A964FF" w:rsidRDefault="0047129E" w:rsidP="00896C47">
            <w:pPr>
              <w:jc w:val="center"/>
              <w:rPr>
                <w:rFonts w:ascii="Calibri" w:hAnsi="宋体" w:cs="宋体"/>
                <w:color w:val="auto"/>
                <w:szCs w:val="21"/>
              </w:rPr>
            </w:pPr>
            <w:r w:rsidRPr="00A964FF">
              <w:rPr>
                <w:rFonts w:ascii="Calibri" w:hAnsi="宋体" w:cs="宋体" w:hint="eastAsia"/>
                <w:color w:val="auto"/>
                <w:szCs w:val="21"/>
              </w:rPr>
              <w:t>大气、地下水、土壤</w:t>
            </w:r>
          </w:p>
        </w:tc>
      </w:tr>
    </w:tbl>
    <w:p w14:paraId="67746207" w14:textId="77777777" w:rsidR="00654298" w:rsidRPr="00A964FF" w:rsidRDefault="00654298" w:rsidP="00654298">
      <w:pPr>
        <w:pStyle w:val="ad"/>
        <w:rPr>
          <w:rFonts w:ascii="Calibri" w:hAnsi="Calibri"/>
          <w:color w:val="auto"/>
        </w:rPr>
      </w:pPr>
      <w:r w:rsidRPr="00A964FF">
        <w:rPr>
          <w:rFonts w:ascii="Calibri" w:hAnsi="Calibri" w:hint="eastAsia"/>
          <w:color w:val="auto"/>
        </w:rPr>
        <w:t>4.3.</w:t>
      </w:r>
      <w:r>
        <w:rPr>
          <w:rFonts w:ascii="Calibri" w:hAnsi="Calibri"/>
          <w:color w:val="auto"/>
        </w:rPr>
        <w:t>7</w:t>
      </w:r>
      <w:r>
        <w:rPr>
          <w:rFonts w:ascii="Calibri" w:hAnsi="Calibri" w:hint="eastAsia"/>
          <w:color w:val="auto"/>
        </w:rPr>
        <w:t>大气</w:t>
      </w:r>
      <w:r w:rsidRPr="00A964FF">
        <w:rPr>
          <w:rFonts w:ascii="Calibri" w:hAnsi="Calibri" w:hint="eastAsia"/>
          <w:color w:val="auto"/>
        </w:rPr>
        <w:t>环境风险评价</w:t>
      </w:r>
    </w:p>
    <w:p w14:paraId="76E1931C" w14:textId="5C6A8386" w:rsidR="00654298" w:rsidRPr="00DA00CD" w:rsidRDefault="00654298" w:rsidP="00F93911">
      <w:pPr>
        <w:spacing w:line="520" w:lineRule="exact"/>
        <w:ind w:firstLineChars="200" w:firstLine="480"/>
        <w:rPr>
          <w:rFonts w:asciiTheme="minorHAnsi" w:eastAsiaTheme="minorEastAsia" w:hAnsiTheme="minorHAnsi"/>
          <w:sz w:val="24"/>
        </w:rPr>
      </w:pPr>
      <w:r w:rsidRPr="00DA00CD">
        <w:rPr>
          <w:rFonts w:asciiTheme="minorHAnsi" w:eastAsiaTheme="minorEastAsia" w:hAnsiTheme="minorHAnsi"/>
          <w:sz w:val="24"/>
        </w:rPr>
        <w:t>营运期涉及大气环境影响主要为</w:t>
      </w:r>
      <w:r w:rsidR="00F93911" w:rsidRPr="00DA00CD">
        <w:rPr>
          <w:rFonts w:asciiTheme="minorHAnsi" w:eastAsiaTheme="minorEastAsia" w:hAnsiTheme="minorHAnsi"/>
          <w:sz w:val="24"/>
        </w:rPr>
        <w:t>天然气管线泄漏及天然气泄露造成的</w:t>
      </w:r>
      <w:r w:rsidR="00F93911" w:rsidRPr="00DA00CD">
        <w:rPr>
          <w:rFonts w:asciiTheme="minorHAnsi" w:eastAsiaTheme="minorEastAsia" w:hAnsiTheme="minorHAnsi"/>
          <w:sz w:val="24"/>
        </w:rPr>
        <w:t>CO</w:t>
      </w:r>
      <w:r w:rsidR="00F93911" w:rsidRPr="00DA00CD">
        <w:rPr>
          <w:rFonts w:asciiTheme="minorHAnsi" w:eastAsiaTheme="minorEastAsia" w:hAnsiTheme="minorHAnsi"/>
          <w:sz w:val="24"/>
        </w:rPr>
        <w:t>事故风险；</w:t>
      </w:r>
      <w:r w:rsidRPr="00DA00CD">
        <w:rPr>
          <w:rFonts w:asciiTheme="minorHAnsi" w:eastAsiaTheme="minorEastAsia" w:hAnsiTheme="minorHAnsi"/>
          <w:sz w:val="24"/>
        </w:rPr>
        <w:t>聚合</w:t>
      </w:r>
      <w:r w:rsidR="00AB0983" w:rsidRPr="00DA00CD">
        <w:rPr>
          <w:rFonts w:asciiTheme="minorHAnsi" w:eastAsiaTheme="minorEastAsia" w:hAnsiTheme="minorHAnsi"/>
          <w:sz w:val="24"/>
        </w:rPr>
        <w:t>及聚合釜下料废气</w:t>
      </w:r>
      <w:r w:rsidRPr="00DA00CD">
        <w:rPr>
          <w:rFonts w:asciiTheme="minorHAnsi" w:eastAsiaTheme="minorEastAsia" w:hAnsiTheme="minorHAnsi"/>
          <w:sz w:val="24"/>
        </w:rPr>
        <w:t>经</w:t>
      </w:r>
      <w:r w:rsidR="0075760C" w:rsidRPr="0075760C">
        <w:rPr>
          <w:rFonts w:asciiTheme="minorHAnsi" w:eastAsiaTheme="minorEastAsia" w:hAnsiTheme="minorHAnsi" w:hint="eastAsia"/>
          <w:sz w:val="24"/>
        </w:rPr>
        <w:t>水喷淋</w:t>
      </w:r>
      <w:r w:rsidR="0075760C" w:rsidRPr="0075760C">
        <w:rPr>
          <w:rFonts w:asciiTheme="minorHAnsi" w:eastAsiaTheme="minorEastAsia" w:hAnsiTheme="minorHAnsi" w:hint="eastAsia"/>
          <w:sz w:val="24"/>
        </w:rPr>
        <w:t>+</w:t>
      </w:r>
      <w:r w:rsidR="0075760C" w:rsidRPr="0075760C">
        <w:rPr>
          <w:rFonts w:asciiTheme="minorHAnsi" w:eastAsiaTheme="minorEastAsia" w:hAnsiTheme="minorHAnsi" w:hint="eastAsia"/>
          <w:sz w:val="24"/>
        </w:rPr>
        <w:t>活性炭吸附装置</w:t>
      </w:r>
      <w:r w:rsidRPr="00DA00CD">
        <w:rPr>
          <w:rFonts w:asciiTheme="minorHAnsi" w:eastAsiaTheme="minorEastAsia" w:hAnsiTheme="minorHAnsi"/>
          <w:sz w:val="24"/>
        </w:rPr>
        <w:t>处理后排放的己二胺等有机废气及氨气</w:t>
      </w:r>
      <w:r w:rsidR="00F93911" w:rsidRPr="00DA00CD">
        <w:rPr>
          <w:rFonts w:asciiTheme="minorHAnsi" w:eastAsiaTheme="minorEastAsia" w:hAnsiTheme="minorHAnsi"/>
          <w:sz w:val="24"/>
        </w:rPr>
        <w:t>废气；</w:t>
      </w:r>
      <w:r w:rsidRPr="00DA00CD">
        <w:rPr>
          <w:rFonts w:asciiTheme="minorHAnsi" w:eastAsiaTheme="minorEastAsia" w:hAnsiTheme="minorHAnsi"/>
          <w:sz w:val="24"/>
        </w:rPr>
        <w:t>非正常排放主要是水喷淋量小、循环水浓度过高或者活性炭更换不及时等，导致主要污染因子己二胺、有机废气及氨排放浓度超标或者高浓度排放。</w:t>
      </w:r>
    </w:p>
    <w:p w14:paraId="46D5A0F1" w14:textId="77777777" w:rsidR="007A5916" w:rsidRPr="00A964FF" w:rsidRDefault="007A5916" w:rsidP="007A5916">
      <w:pPr>
        <w:pStyle w:val="ad"/>
        <w:rPr>
          <w:rFonts w:ascii="Calibri" w:hAnsi="Calibri"/>
          <w:color w:val="auto"/>
        </w:rPr>
      </w:pPr>
      <w:r w:rsidRPr="00A964FF">
        <w:rPr>
          <w:rFonts w:ascii="Calibri" w:hAnsi="Calibri" w:hint="eastAsia"/>
          <w:color w:val="auto"/>
        </w:rPr>
        <w:t>4</w:t>
      </w:r>
      <w:r w:rsidR="00F93911">
        <w:rPr>
          <w:rFonts w:ascii="Calibri" w:hAnsi="Calibri" w:hint="eastAsia"/>
          <w:color w:val="auto"/>
        </w:rPr>
        <w:t>.3.8</w:t>
      </w:r>
      <w:r w:rsidRPr="00A964FF">
        <w:rPr>
          <w:rFonts w:ascii="Calibri" w:hAnsi="Calibri" w:hint="eastAsia"/>
          <w:color w:val="auto"/>
        </w:rPr>
        <w:t>地表水环境风险评价</w:t>
      </w:r>
    </w:p>
    <w:p w14:paraId="0C8C1C7D" w14:textId="77777777" w:rsidR="007A5916" w:rsidRPr="00A964FF" w:rsidRDefault="007A5916" w:rsidP="007A5916">
      <w:pPr>
        <w:pStyle w:val="00"/>
        <w:rPr>
          <w:rFonts w:ascii="Calibri" w:hAnsi="Calibri"/>
          <w:color w:val="auto"/>
        </w:rPr>
      </w:pPr>
      <w:r w:rsidRPr="00A964FF">
        <w:rPr>
          <w:rFonts w:ascii="Calibri" w:hAnsi="Times New Roman" w:hint="eastAsia"/>
          <w:color w:val="auto"/>
        </w:rPr>
        <w:t>本</w:t>
      </w:r>
      <w:r w:rsidRPr="00A964FF">
        <w:rPr>
          <w:rFonts w:ascii="Calibri" w:hAnsi="Times New Roman"/>
          <w:color w:val="auto"/>
        </w:rPr>
        <w:t>项目发生地表水风险的事故情形为：</w:t>
      </w:r>
    </w:p>
    <w:p w14:paraId="762DA034" w14:textId="77777777" w:rsidR="007A5916" w:rsidRPr="00A964FF" w:rsidRDefault="007A5916" w:rsidP="007A5916">
      <w:pPr>
        <w:pStyle w:val="00"/>
        <w:rPr>
          <w:rFonts w:ascii="Calibri" w:hAnsi="Calibri"/>
          <w:color w:val="auto"/>
        </w:rPr>
      </w:pPr>
      <w:r w:rsidRPr="00A964FF">
        <w:rPr>
          <w:rFonts w:ascii="Calibri" w:hAnsi="Times New Roman"/>
          <w:color w:val="auto"/>
        </w:rPr>
        <w:t>储罐泄露后不能及时收集导致排出厂界外污染周边地表水环境；火灾事故产生的消防废水不能得到有效收集导致排出厂界外污染周边地表水环境；未设置初期雨水收集池、雨水收集切换系统或初期雨水接入厂区废水处理排水系统，导致厂区内初期雨水直接排出厂界外，污染周边地表水环境；废水处理站发生故障，导致废水溢流至厂界外直接污染周边地表水环境</w:t>
      </w:r>
      <w:r w:rsidR="006D617E" w:rsidRPr="00A964FF">
        <w:rPr>
          <w:rFonts w:ascii="Calibri" w:hAnsi="Times New Roman" w:hint="eastAsia"/>
          <w:color w:val="auto"/>
        </w:rPr>
        <w:t>，或者废水不达标排入集聚区污水处理厂，对污水处理厂造成冲击</w:t>
      </w:r>
      <w:r w:rsidRPr="00A964FF">
        <w:rPr>
          <w:rFonts w:ascii="Calibri" w:hAnsi="Times New Roman"/>
          <w:color w:val="auto"/>
        </w:rPr>
        <w:t>。</w:t>
      </w:r>
    </w:p>
    <w:p w14:paraId="4F67DEF4" w14:textId="77777777" w:rsidR="007A5916" w:rsidRPr="00A964FF" w:rsidRDefault="007A5916" w:rsidP="00A84E4C">
      <w:pPr>
        <w:pStyle w:val="00"/>
        <w:rPr>
          <w:rFonts w:ascii="Calibri" w:hAnsi="Times New Roman"/>
          <w:color w:val="auto"/>
        </w:rPr>
      </w:pPr>
      <w:r w:rsidRPr="00A964FF">
        <w:rPr>
          <w:rFonts w:ascii="Calibri" w:hAnsi="Times New Roman"/>
          <w:color w:val="auto"/>
        </w:rPr>
        <w:t>本项目运营</w:t>
      </w:r>
      <w:r w:rsidRPr="00A964FF">
        <w:rPr>
          <w:rFonts w:ascii="Calibri" w:hAnsi="Times New Roman" w:hint="eastAsia"/>
          <w:color w:val="auto"/>
        </w:rPr>
        <w:t>后自建废水</w:t>
      </w:r>
      <w:r w:rsidRPr="00A964FF">
        <w:rPr>
          <w:rFonts w:ascii="Calibri" w:hAnsi="Times New Roman"/>
          <w:color w:val="auto"/>
        </w:rPr>
        <w:t>处理站</w:t>
      </w:r>
      <w:r w:rsidRPr="00A964FF">
        <w:rPr>
          <w:rFonts w:ascii="Calibri" w:hAnsi="Times New Roman" w:hint="eastAsia"/>
          <w:color w:val="auto"/>
        </w:rPr>
        <w:t>1</w:t>
      </w:r>
      <w:r w:rsidRPr="00A964FF">
        <w:rPr>
          <w:rFonts w:ascii="Calibri" w:hAnsi="Times New Roman" w:hint="eastAsia"/>
          <w:color w:val="auto"/>
        </w:rPr>
        <w:t>座，用于</w:t>
      </w:r>
      <w:r w:rsidRPr="00A964FF">
        <w:rPr>
          <w:rFonts w:ascii="Calibri" w:hAnsi="Times New Roman"/>
          <w:color w:val="auto"/>
        </w:rPr>
        <w:t>处理生产过程产生的废水</w:t>
      </w:r>
      <w:r w:rsidR="005905FD" w:rsidRPr="00A964FF">
        <w:rPr>
          <w:rFonts w:ascii="Calibri" w:hAnsi="Times New Roman" w:hint="eastAsia"/>
          <w:color w:val="auto"/>
        </w:rPr>
        <w:t>；厂区废水废水处理站处理达标后通过集聚区市政污水管网排入</w:t>
      </w:r>
      <w:r w:rsidR="00100F20" w:rsidRPr="00A964FF">
        <w:rPr>
          <w:rFonts w:ascii="Calibri" w:hAnsi="Times New Roman" w:hint="eastAsia"/>
          <w:color w:val="auto"/>
        </w:rPr>
        <w:t>平顶山第三</w:t>
      </w:r>
      <w:r w:rsidR="005905FD" w:rsidRPr="00A964FF">
        <w:rPr>
          <w:rFonts w:ascii="Calibri" w:hAnsi="Times New Roman" w:hint="eastAsia"/>
          <w:color w:val="auto"/>
        </w:rPr>
        <w:t>污水处理厂集中处理</w:t>
      </w:r>
      <w:r w:rsidRPr="00A964FF">
        <w:rPr>
          <w:rFonts w:ascii="Calibri" w:hAnsi="Times New Roman"/>
          <w:color w:val="auto"/>
        </w:rPr>
        <w:t>。本项目</w:t>
      </w:r>
      <w:r w:rsidR="00A84E4C">
        <w:rPr>
          <w:rFonts w:ascii="Calibri" w:hAnsi="Times New Roman" w:hint="eastAsia"/>
          <w:color w:val="auto"/>
        </w:rPr>
        <w:t>液体中间</w:t>
      </w:r>
      <w:r w:rsidR="00A84E4C">
        <w:rPr>
          <w:rFonts w:ascii="Calibri" w:hAnsi="Times New Roman"/>
          <w:color w:val="auto"/>
        </w:rPr>
        <w:t>储罐</w:t>
      </w:r>
      <w:r w:rsidR="00A84E4C">
        <w:rPr>
          <w:rFonts w:ascii="Calibri" w:hAnsi="Times New Roman" w:hint="eastAsia"/>
          <w:color w:val="auto"/>
        </w:rPr>
        <w:t>区域</w:t>
      </w:r>
      <w:r w:rsidRPr="00A964FF">
        <w:rPr>
          <w:rFonts w:ascii="Calibri" w:hAnsi="Times New Roman"/>
          <w:color w:val="auto"/>
        </w:rPr>
        <w:t>四周均设置有围堰，无外排途径。</w:t>
      </w:r>
    </w:p>
    <w:p w14:paraId="5EE11E6A" w14:textId="77777777" w:rsidR="00441908" w:rsidRDefault="006D617E" w:rsidP="00F93911">
      <w:pPr>
        <w:pStyle w:val="00"/>
        <w:rPr>
          <w:rFonts w:ascii="Calibri" w:hAnsi="Calibri"/>
          <w:color w:val="auto"/>
        </w:rPr>
      </w:pPr>
      <w:r w:rsidRPr="00A964FF">
        <w:rPr>
          <w:rFonts w:ascii="Calibri" w:hAnsi="Calibri" w:hint="eastAsia"/>
          <w:color w:val="auto"/>
        </w:rPr>
        <w:t>本项目选址位于平顶山尼龙新材料产业集聚区，集聚区内市政管网、雨水管网以</w:t>
      </w:r>
      <w:r w:rsidRPr="00A964FF">
        <w:rPr>
          <w:rFonts w:ascii="Calibri" w:hAnsi="Calibri" w:hint="eastAsia"/>
          <w:color w:val="auto"/>
        </w:rPr>
        <w:lastRenderedPageBreak/>
        <w:t>及污水处理厂等配套设施完善且运行正常，对本项目而言，需要严格按照环境风险防范要求需要建设三级拦截风险防控体系。项目厂址近距离内没有地表河流水系分布，因此发生事故废水直接通过地表水进入环境的可能性较小。因此事故风险状态下对区域地表水环境影响较小。</w:t>
      </w:r>
    </w:p>
    <w:p w14:paraId="7D58B84C" w14:textId="607E2EC4" w:rsidR="00C5648A" w:rsidRPr="00A964FF" w:rsidRDefault="00C5648A" w:rsidP="00C5648A">
      <w:pPr>
        <w:pStyle w:val="ad"/>
        <w:rPr>
          <w:rFonts w:ascii="Calibri" w:hAnsi="Calibri"/>
          <w:color w:val="auto"/>
        </w:rPr>
      </w:pPr>
      <w:r w:rsidRPr="00A964FF">
        <w:rPr>
          <w:rFonts w:ascii="Calibri" w:hAnsi="Calibri" w:hint="eastAsia"/>
          <w:color w:val="auto"/>
        </w:rPr>
        <w:t>4.3.</w:t>
      </w:r>
      <w:r w:rsidR="00F958D0">
        <w:rPr>
          <w:rFonts w:ascii="Calibri" w:hAnsi="Calibri"/>
          <w:color w:val="auto"/>
        </w:rPr>
        <w:t>9</w:t>
      </w:r>
      <w:r w:rsidRPr="00A964FF">
        <w:rPr>
          <w:rFonts w:ascii="Calibri" w:hAnsi="Calibri" w:hint="eastAsia"/>
          <w:color w:val="auto"/>
        </w:rPr>
        <w:t>地下水环境风险评价</w:t>
      </w:r>
    </w:p>
    <w:p w14:paraId="4FA33C1C" w14:textId="77777777" w:rsidR="000101B0" w:rsidRPr="00484816" w:rsidRDefault="000101B0" w:rsidP="00484816">
      <w:pPr>
        <w:spacing w:line="520" w:lineRule="exact"/>
        <w:ind w:firstLineChars="200" w:firstLine="480"/>
        <w:rPr>
          <w:rFonts w:ascii="Calibri" w:hAnsi="Calibri"/>
          <w:color w:val="auto"/>
          <w:sz w:val="24"/>
        </w:rPr>
      </w:pPr>
      <w:r w:rsidRPr="00A964FF">
        <w:rPr>
          <w:rFonts w:ascii="Calibri" w:hint="eastAsia"/>
          <w:color w:val="auto"/>
          <w:sz w:val="24"/>
        </w:rPr>
        <w:t>在地下水影响预测章节，</w:t>
      </w:r>
      <w:r w:rsidR="006D617E" w:rsidRPr="00A964FF">
        <w:rPr>
          <w:rFonts w:ascii="Calibri" w:hint="eastAsia"/>
          <w:color w:val="auto"/>
          <w:sz w:val="24"/>
        </w:rPr>
        <w:t>对废水处理站主要污染物</w:t>
      </w:r>
      <w:r w:rsidR="006D617E" w:rsidRPr="00A964FF">
        <w:rPr>
          <w:rFonts w:ascii="Calibri" w:hint="eastAsia"/>
          <w:color w:val="auto"/>
          <w:sz w:val="24"/>
        </w:rPr>
        <w:t>COD</w:t>
      </w:r>
      <w:r w:rsidR="00DA5D55">
        <w:rPr>
          <w:rFonts w:ascii="Calibri" w:hint="eastAsia"/>
          <w:color w:val="auto"/>
          <w:sz w:val="24"/>
        </w:rPr>
        <w:t>、氨氮及</w:t>
      </w:r>
      <w:r w:rsidR="006D617E" w:rsidRPr="00A964FF">
        <w:rPr>
          <w:rFonts w:ascii="Calibri" w:hint="eastAsia"/>
          <w:color w:val="auto"/>
          <w:sz w:val="24"/>
        </w:rPr>
        <w:t>危废暂存间石油</w:t>
      </w:r>
      <w:r w:rsidR="0019156F" w:rsidRPr="00A964FF">
        <w:rPr>
          <w:rFonts w:ascii="Calibri" w:hint="eastAsia"/>
          <w:color w:val="auto"/>
          <w:sz w:val="24"/>
        </w:rPr>
        <w:t>类</w:t>
      </w:r>
      <w:r w:rsidR="006D617E" w:rsidRPr="00A964FF">
        <w:rPr>
          <w:rFonts w:ascii="Calibri" w:hint="eastAsia"/>
          <w:color w:val="auto"/>
          <w:sz w:val="24"/>
        </w:rPr>
        <w:t>等均</w:t>
      </w:r>
      <w:r w:rsidRPr="00A964FF">
        <w:rPr>
          <w:rFonts w:ascii="Calibri" w:hint="eastAsia"/>
          <w:color w:val="auto"/>
          <w:sz w:val="24"/>
        </w:rPr>
        <w:t>进行了非正常工况与事故泄漏状况预测分析。</w:t>
      </w:r>
      <w:r w:rsidR="007952A8" w:rsidRPr="00A964FF">
        <w:rPr>
          <w:rFonts w:ascii="Calibri" w:hAnsi="Calibri" w:hint="eastAsia"/>
          <w:color w:val="auto"/>
          <w:sz w:val="24"/>
        </w:rPr>
        <w:t>本项目</w:t>
      </w:r>
      <w:r w:rsidR="00DA5D55">
        <w:rPr>
          <w:rFonts w:ascii="Calibri" w:hAnsi="Calibri" w:hint="eastAsia"/>
          <w:color w:val="auto"/>
          <w:sz w:val="24"/>
        </w:rPr>
        <w:t>原料</w:t>
      </w:r>
      <w:r w:rsidR="00816FA4" w:rsidRPr="00A964FF">
        <w:rPr>
          <w:rFonts w:ascii="Calibri" w:hAnsi="Calibri" w:hint="eastAsia"/>
          <w:color w:val="auto"/>
          <w:sz w:val="24"/>
        </w:rPr>
        <w:t>仓库和危废暂存间</w:t>
      </w:r>
      <w:r w:rsidRPr="00A964FF">
        <w:rPr>
          <w:rFonts w:ascii="Calibri" w:hAnsi="Calibri" w:hint="eastAsia"/>
          <w:color w:val="auto"/>
          <w:sz w:val="24"/>
        </w:rPr>
        <w:t>为地上构筑物，</w:t>
      </w:r>
      <w:r w:rsidR="007952A8" w:rsidRPr="00A964FF">
        <w:rPr>
          <w:rFonts w:ascii="Calibri" w:hAnsi="Calibri" w:hint="eastAsia"/>
          <w:color w:val="auto"/>
          <w:sz w:val="24"/>
        </w:rPr>
        <w:t>在</w:t>
      </w:r>
      <w:r w:rsidRPr="00A964FF">
        <w:rPr>
          <w:rFonts w:ascii="Calibri" w:hAnsi="Calibri" w:hint="eastAsia"/>
          <w:color w:val="auto"/>
          <w:sz w:val="24"/>
        </w:rPr>
        <w:t>发生事故的状况下污染物</w:t>
      </w:r>
      <w:r w:rsidR="007952A8" w:rsidRPr="00A964FF">
        <w:rPr>
          <w:rFonts w:ascii="Calibri" w:hAnsi="Calibri" w:hint="eastAsia"/>
          <w:color w:val="auto"/>
          <w:sz w:val="24"/>
        </w:rPr>
        <w:t>均</w:t>
      </w:r>
      <w:r w:rsidRPr="00A964FF">
        <w:rPr>
          <w:rFonts w:ascii="Calibri" w:hAnsi="Calibri" w:hint="eastAsia"/>
          <w:color w:val="auto"/>
          <w:sz w:val="24"/>
        </w:rPr>
        <w:t>可以及时发现及时控制，因此造成污染地下水的几率较小。而根据同类发生的事故企业对事故的控制及处理时间一般不超过</w:t>
      </w:r>
      <w:r w:rsidRPr="00A964FF">
        <w:rPr>
          <w:rFonts w:ascii="Calibri" w:hAnsi="Calibri"/>
          <w:color w:val="auto"/>
          <w:sz w:val="24"/>
        </w:rPr>
        <w:t>24h</w:t>
      </w:r>
      <w:r w:rsidRPr="00A964FF">
        <w:rPr>
          <w:rFonts w:ascii="Calibri" w:hAnsi="Calibri" w:hint="eastAsia"/>
          <w:color w:val="auto"/>
          <w:sz w:val="24"/>
        </w:rPr>
        <w:t>，实际</w:t>
      </w:r>
      <w:r w:rsidR="00816FA4" w:rsidRPr="00A964FF">
        <w:rPr>
          <w:rFonts w:ascii="Calibri" w:hAnsi="Calibri" w:hint="eastAsia"/>
          <w:color w:val="auto"/>
          <w:sz w:val="24"/>
        </w:rPr>
        <w:t>有</w:t>
      </w:r>
      <w:r w:rsidR="00484816" w:rsidRPr="00A964FF">
        <w:rPr>
          <w:rFonts w:ascii="Calibri" w:hint="eastAsia"/>
          <w:color w:val="auto"/>
          <w:sz w:val="24"/>
        </w:rPr>
        <w:t>COD</w:t>
      </w:r>
      <w:r w:rsidR="00484816" w:rsidRPr="00A964FF">
        <w:rPr>
          <w:rFonts w:ascii="Calibri" w:hint="eastAsia"/>
          <w:color w:val="auto"/>
          <w:sz w:val="24"/>
        </w:rPr>
        <w:t>、氨氮</w:t>
      </w:r>
      <w:r w:rsidR="00DA5D55">
        <w:rPr>
          <w:rFonts w:ascii="Calibri" w:hint="eastAsia"/>
          <w:color w:val="auto"/>
          <w:sz w:val="24"/>
        </w:rPr>
        <w:t>石油类</w:t>
      </w:r>
      <w:r w:rsidRPr="00A964FF">
        <w:rPr>
          <w:rFonts w:ascii="Calibri" w:hAnsi="Calibri" w:hint="eastAsia"/>
          <w:color w:val="auto"/>
          <w:sz w:val="24"/>
        </w:rPr>
        <w:t>等污染物发生泄漏后对地下水的贡献要远小于理论计算值。废水处理站为半地下式，泄漏后较难发现。本项目区域地下水流向为</w:t>
      </w:r>
      <w:r w:rsidR="00484816">
        <w:rPr>
          <w:rFonts w:ascii="Calibri" w:hAnsi="Calibri" w:hint="eastAsia"/>
          <w:color w:val="auto"/>
          <w:sz w:val="24"/>
        </w:rPr>
        <w:t>东南向西北</w:t>
      </w:r>
      <w:r w:rsidRPr="00A964FF">
        <w:rPr>
          <w:rFonts w:ascii="Calibri" w:hAnsi="Calibri" w:hint="eastAsia"/>
          <w:color w:val="auto"/>
          <w:sz w:val="24"/>
        </w:rPr>
        <w:t>，下游方向影响距离范围内主要为集聚区待建设用地，无居民区等采用地下水作为饮用水源的敏感点，对地下水影响较小。但事故状态下，污染物浓度较高，因此应严格控制突发环境事件的发生。</w:t>
      </w:r>
    </w:p>
    <w:p w14:paraId="4445EBCB" w14:textId="77777777" w:rsidR="00C5648A" w:rsidRPr="00A964FF" w:rsidRDefault="00C5648A" w:rsidP="00C5648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为减轻本项目对地下水环境的影响，本项目要求对</w:t>
      </w:r>
      <w:r w:rsidR="00DA5D55">
        <w:rPr>
          <w:rFonts w:ascii="Calibri" w:eastAsia="宋体" w:hAnsi="Calibri" w:hint="eastAsia"/>
          <w:b w:val="0"/>
          <w:color w:val="auto"/>
          <w:sz w:val="24"/>
        </w:rPr>
        <w:t>原料</w:t>
      </w:r>
      <w:r w:rsidR="0095122E" w:rsidRPr="00A964FF">
        <w:rPr>
          <w:rFonts w:ascii="Calibri" w:eastAsia="宋体" w:hAnsi="Calibri" w:hint="eastAsia"/>
          <w:b w:val="0"/>
          <w:color w:val="auto"/>
          <w:sz w:val="24"/>
        </w:rPr>
        <w:t>仓库、危废暂存间、</w:t>
      </w:r>
      <w:r w:rsidR="000101B0" w:rsidRPr="00A964FF">
        <w:rPr>
          <w:rFonts w:ascii="Calibri" w:eastAsia="宋体" w:hAnsi="Calibri" w:hint="eastAsia"/>
          <w:b w:val="0"/>
          <w:color w:val="auto"/>
          <w:sz w:val="24"/>
        </w:rPr>
        <w:t>事故池、初期雨水收集池，废水处理站各类构筑物</w:t>
      </w:r>
      <w:r w:rsidRPr="00A964FF">
        <w:rPr>
          <w:rFonts w:ascii="Calibri" w:eastAsia="宋体" w:hAnsi="Calibri" w:hint="eastAsia"/>
          <w:b w:val="0"/>
          <w:color w:val="auto"/>
          <w:sz w:val="24"/>
        </w:rPr>
        <w:t>等严格进行防腐、防渗漏处理。因此，在落实本次评价提出的各项污染防治措施后，本项目的建设对区域地下水环境影响较小。</w:t>
      </w:r>
    </w:p>
    <w:p w14:paraId="49739A9F" w14:textId="77777777" w:rsidR="00147519" w:rsidRPr="00A964FF" w:rsidRDefault="00147519" w:rsidP="00147519">
      <w:pPr>
        <w:pStyle w:val="2"/>
        <w:spacing w:before="200" w:after="100" w:line="520" w:lineRule="exact"/>
        <w:rPr>
          <w:rFonts w:ascii="Calibri" w:hAnsi="Calibri"/>
          <w:bCs/>
          <w:color w:val="auto"/>
          <w:szCs w:val="28"/>
        </w:rPr>
      </w:pPr>
      <w:bookmarkStart w:id="72" w:name="_Toc112999918"/>
      <w:r w:rsidRPr="00A964FF">
        <w:rPr>
          <w:rFonts w:ascii="Calibri" w:hAnsi="Calibri" w:hint="eastAsia"/>
          <w:bCs/>
          <w:color w:val="auto"/>
          <w:szCs w:val="28"/>
        </w:rPr>
        <w:t>4</w:t>
      </w:r>
      <w:r w:rsidRPr="00A964FF">
        <w:rPr>
          <w:rFonts w:ascii="Calibri" w:hAnsi="Calibri"/>
          <w:bCs/>
          <w:color w:val="auto"/>
          <w:szCs w:val="28"/>
        </w:rPr>
        <w:t>.</w:t>
      </w:r>
      <w:r w:rsidRPr="00A964FF">
        <w:rPr>
          <w:rFonts w:ascii="Calibri" w:hAnsi="Calibri" w:hint="eastAsia"/>
          <w:bCs/>
          <w:color w:val="auto"/>
          <w:szCs w:val="28"/>
        </w:rPr>
        <w:t>4</w:t>
      </w:r>
      <w:r w:rsidRPr="00A964FF">
        <w:rPr>
          <w:rFonts w:ascii="Calibri" w:hAnsi="Calibri" w:hint="eastAsia"/>
          <w:bCs/>
          <w:color w:val="auto"/>
          <w:szCs w:val="28"/>
        </w:rPr>
        <w:t>土壤影响</w:t>
      </w:r>
      <w:r w:rsidR="00A40A35" w:rsidRPr="00A964FF">
        <w:rPr>
          <w:rFonts w:ascii="Calibri" w:hAnsi="Calibri" w:hint="eastAsia"/>
          <w:bCs/>
          <w:color w:val="auto"/>
          <w:szCs w:val="28"/>
        </w:rPr>
        <w:t>影响分析</w:t>
      </w:r>
      <w:bookmarkEnd w:id="72"/>
    </w:p>
    <w:p w14:paraId="72FF915D" w14:textId="77777777" w:rsidR="00147519" w:rsidRPr="00A964FF" w:rsidRDefault="00147519" w:rsidP="00147519">
      <w:pPr>
        <w:pStyle w:val="ad"/>
        <w:rPr>
          <w:rFonts w:ascii="Calibri" w:hAnsi="Calibri"/>
          <w:color w:val="auto"/>
        </w:rPr>
      </w:pPr>
      <w:r w:rsidRPr="00A964FF">
        <w:rPr>
          <w:rFonts w:ascii="Calibri" w:hAnsi="Calibri" w:hint="eastAsia"/>
          <w:color w:val="auto"/>
        </w:rPr>
        <w:t>4.4.1</w:t>
      </w:r>
      <w:r w:rsidRPr="00A964FF">
        <w:rPr>
          <w:rFonts w:ascii="Calibri" w:hAnsi="Calibri" w:hint="eastAsia"/>
          <w:color w:val="auto"/>
        </w:rPr>
        <w:t>评价目的和重点</w:t>
      </w:r>
    </w:p>
    <w:p w14:paraId="51788130" w14:textId="77777777" w:rsidR="00147519" w:rsidRPr="00A964FF" w:rsidRDefault="00147519" w:rsidP="00A15F3C">
      <w:pPr>
        <w:pStyle w:val="00"/>
        <w:rPr>
          <w:rFonts w:ascii="Calibri" w:hAnsi="Times New Roman"/>
          <w:b/>
          <w:color w:val="auto"/>
        </w:rPr>
      </w:pPr>
      <w:r w:rsidRPr="00A964FF">
        <w:rPr>
          <w:rFonts w:ascii="Calibri" w:hAnsi="Times New Roman"/>
          <w:b/>
          <w:color w:val="auto"/>
        </w:rPr>
        <w:t>1</w:t>
      </w:r>
      <w:r w:rsidRPr="00A964FF">
        <w:rPr>
          <w:rFonts w:ascii="Calibri" w:hAnsi="Times New Roman"/>
          <w:b/>
          <w:color w:val="auto"/>
        </w:rPr>
        <w:t>、评价目的</w:t>
      </w:r>
    </w:p>
    <w:p w14:paraId="1700F791" w14:textId="77777777" w:rsidR="007B1841" w:rsidRPr="00A964FF" w:rsidRDefault="007B1841" w:rsidP="007B1841">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w:t>
      </w:r>
      <w:r w:rsidRPr="00A964FF">
        <w:rPr>
          <w:rFonts w:ascii="Calibri" w:hAnsi="Times New Roman"/>
          <w:color w:val="auto"/>
        </w:rPr>
        <w:t>结合国家、地方土壤相关资料和实地调查，掌握拟建项目地区土壤类型及理化特性等，查明土壤环境现状与土壤利用现状；</w:t>
      </w:r>
    </w:p>
    <w:p w14:paraId="1B262316" w14:textId="77777777" w:rsidR="007B1841" w:rsidRPr="00A964FF" w:rsidRDefault="007B1841" w:rsidP="007B1841">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w:t>
      </w:r>
      <w:r w:rsidRPr="00A964FF">
        <w:rPr>
          <w:rFonts w:ascii="Calibri" w:hAnsi="Times New Roman"/>
          <w:color w:val="auto"/>
        </w:rPr>
        <w:t>根据项目工程分析及与土壤污染相关的地表水、地下水、大气</w:t>
      </w:r>
      <w:r w:rsidRPr="00A964FF">
        <w:rPr>
          <w:rFonts w:ascii="Calibri" w:hAnsi="Times New Roman" w:hint="eastAsia"/>
          <w:color w:val="auto"/>
        </w:rPr>
        <w:t>环境</w:t>
      </w:r>
      <w:r w:rsidRPr="00A964FF">
        <w:rPr>
          <w:rFonts w:ascii="Calibri" w:hAnsi="Times New Roman"/>
          <w:color w:val="auto"/>
        </w:rPr>
        <w:t>等评价结果，分析并识别出可能进入土壤的污染物种类、数量、方式等，预测项目可能对土壤环境产生的影响，评价其影响程度和范围及其可能导致的土壤环境变化趋势；</w:t>
      </w:r>
    </w:p>
    <w:p w14:paraId="211CB951" w14:textId="77777777" w:rsidR="007B1841" w:rsidRPr="00A964FF" w:rsidRDefault="007B1841" w:rsidP="007B1841">
      <w:pPr>
        <w:pStyle w:val="00"/>
        <w:rPr>
          <w:rFonts w:ascii="Calibri" w:hAnsi="Calibri"/>
          <w:color w:val="auto"/>
        </w:rPr>
      </w:pPr>
      <w:r w:rsidRPr="00A964FF">
        <w:rPr>
          <w:rFonts w:ascii="Calibri" w:hAnsi="Calibri" w:hint="eastAsia"/>
          <w:color w:val="auto"/>
        </w:rPr>
        <w:lastRenderedPageBreak/>
        <w:t>（</w:t>
      </w:r>
      <w:r w:rsidRPr="00A964FF">
        <w:rPr>
          <w:rFonts w:ascii="Calibri" w:hAnsi="Calibri" w:hint="eastAsia"/>
          <w:color w:val="auto"/>
        </w:rPr>
        <w:t>3</w:t>
      </w:r>
      <w:r w:rsidRPr="00A964FF">
        <w:rPr>
          <w:rFonts w:ascii="Calibri" w:hAnsi="Calibri" w:hint="eastAsia"/>
          <w:color w:val="auto"/>
        </w:rPr>
        <w:t>）</w:t>
      </w:r>
      <w:r w:rsidRPr="00A964FF">
        <w:rPr>
          <w:rFonts w:ascii="Calibri" w:hAnsi="Times New Roman"/>
          <w:color w:val="auto"/>
        </w:rPr>
        <w:t>针对项目建设可能产生的不利影响，提出合理、可行、操作性强的土壤环境影响防控措施，使工程建设带来的负面环境影响降至最低程度，达到项目建设和环境保护的协调发展；</w:t>
      </w:r>
    </w:p>
    <w:p w14:paraId="65FE2659" w14:textId="77777777" w:rsidR="007B1841" w:rsidRPr="00A964FF" w:rsidRDefault="007B1841" w:rsidP="007B1841">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4</w:t>
      </w:r>
      <w:r w:rsidRPr="00A964FF">
        <w:rPr>
          <w:rFonts w:ascii="Calibri" w:hAnsi="Calibri" w:hint="eastAsia"/>
          <w:color w:val="auto"/>
        </w:rPr>
        <w:t>）</w:t>
      </w:r>
      <w:r w:rsidRPr="00A964FF">
        <w:rPr>
          <w:rFonts w:ascii="Calibri" w:hAnsi="Times New Roman"/>
          <w:color w:val="auto"/>
        </w:rPr>
        <w:t>从土壤环境保护角度论证项目建设的可行性，为工程建设决策和环境管理提供科学依据</w:t>
      </w:r>
      <w:r w:rsidRPr="00A964FF">
        <w:rPr>
          <w:rFonts w:ascii="Calibri" w:hAnsi="Times New Roman" w:hint="eastAsia"/>
          <w:color w:val="auto"/>
        </w:rPr>
        <w:t>。</w:t>
      </w:r>
    </w:p>
    <w:p w14:paraId="621220F0" w14:textId="77777777" w:rsidR="00147519" w:rsidRPr="00A964FF" w:rsidRDefault="00356CF7" w:rsidP="00147519">
      <w:pPr>
        <w:pStyle w:val="00"/>
        <w:rPr>
          <w:rFonts w:ascii="Calibri" w:hAnsi="Calibri"/>
          <w:b/>
          <w:color w:val="auto"/>
        </w:rPr>
      </w:pPr>
      <w:r w:rsidRPr="00A964FF">
        <w:rPr>
          <w:rFonts w:ascii="Calibri" w:hAnsi="Times New Roman" w:hint="eastAsia"/>
          <w:b/>
          <w:color w:val="auto"/>
        </w:rPr>
        <w:t>2</w:t>
      </w:r>
      <w:r w:rsidRPr="00A964FF">
        <w:rPr>
          <w:rFonts w:ascii="Calibri" w:hAnsi="Times New Roman" w:hint="eastAsia"/>
          <w:b/>
          <w:color w:val="auto"/>
        </w:rPr>
        <w:t>、</w:t>
      </w:r>
      <w:r w:rsidR="00147519" w:rsidRPr="00A964FF">
        <w:rPr>
          <w:rFonts w:ascii="Calibri" w:hAnsi="Times New Roman"/>
          <w:b/>
          <w:color w:val="auto"/>
        </w:rPr>
        <w:t>评价内容与重点</w:t>
      </w:r>
    </w:p>
    <w:p w14:paraId="6C8673A6" w14:textId="77777777" w:rsidR="007B1841" w:rsidRPr="00A964FF" w:rsidRDefault="007B1841" w:rsidP="007B1841">
      <w:pPr>
        <w:pStyle w:val="00"/>
        <w:rPr>
          <w:rFonts w:ascii="Calibri" w:hAnsi="Calibri"/>
          <w:color w:val="auto"/>
        </w:rPr>
      </w:pPr>
      <w:r w:rsidRPr="00A964FF">
        <w:rPr>
          <w:rFonts w:ascii="Calibri" w:hAnsi="Times New Roman"/>
          <w:color w:val="auto"/>
        </w:rPr>
        <w:t>评价内容：土壤环境的现状调查、监测与评价，以及建设项目对</w:t>
      </w:r>
      <w:r w:rsidRPr="00A964FF">
        <w:rPr>
          <w:rFonts w:ascii="Calibri" w:hAnsi="Times New Roman" w:hint="eastAsia"/>
          <w:color w:val="auto"/>
        </w:rPr>
        <w:t>土</w:t>
      </w:r>
      <w:r w:rsidRPr="00A964FF">
        <w:rPr>
          <w:rFonts w:ascii="Calibri" w:hAnsi="Times New Roman"/>
          <w:color w:val="auto"/>
        </w:rPr>
        <w:t>壤环境可能造成的直接和间接危害的预测与评价，并针对其造成的影响和危害提出防控措施与对策。</w:t>
      </w:r>
    </w:p>
    <w:p w14:paraId="7D0F86AF" w14:textId="77777777" w:rsidR="007B1841" w:rsidRPr="00A964FF" w:rsidRDefault="007B1841" w:rsidP="007B1841">
      <w:pPr>
        <w:pStyle w:val="00"/>
        <w:rPr>
          <w:rFonts w:ascii="Calibri" w:hAnsi="Calibri"/>
          <w:color w:val="auto"/>
        </w:rPr>
      </w:pPr>
      <w:r w:rsidRPr="00A964FF">
        <w:rPr>
          <w:rFonts w:ascii="Calibri" w:hAnsi="Times New Roman"/>
          <w:color w:val="auto"/>
        </w:rPr>
        <w:t>评价重点：结合工程的特点及区域环境特征，确定本次评价工作重点为：建设项目环境影响类型与影响途径识别、建设项目周边土壤环境现状调查、土壤环境影响预测与评价、土壤环境污染防治措施及建议。</w:t>
      </w:r>
    </w:p>
    <w:p w14:paraId="57AEF09E" w14:textId="77777777" w:rsidR="00356CF7" w:rsidRPr="00A964FF" w:rsidRDefault="00356CF7" w:rsidP="00356CF7">
      <w:pPr>
        <w:pStyle w:val="ad"/>
        <w:rPr>
          <w:rFonts w:ascii="Calibri" w:hAnsi="Calibri"/>
          <w:color w:val="auto"/>
        </w:rPr>
      </w:pPr>
      <w:r w:rsidRPr="00A964FF">
        <w:rPr>
          <w:rFonts w:ascii="Calibri" w:hAnsi="Calibri" w:hint="eastAsia"/>
          <w:color w:val="auto"/>
        </w:rPr>
        <w:t>4.4.2</w:t>
      </w:r>
      <w:r w:rsidRPr="00A964FF">
        <w:rPr>
          <w:rFonts w:ascii="Calibri" w:hAnsi="Calibri" w:hint="eastAsia"/>
          <w:color w:val="auto"/>
        </w:rPr>
        <w:t>评价等级</w:t>
      </w:r>
    </w:p>
    <w:p w14:paraId="6D51BFC7" w14:textId="77777777" w:rsidR="0011037A" w:rsidRPr="00A964FF" w:rsidRDefault="00DA5D55" w:rsidP="00484816">
      <w:pPr>
        <w:pStyle w:val="00"/>
        <w:ind w:firstLineChars="200"/>
        <w:rPr>
          <w:rFonts w:hAnsi="Times New Roman"/>
          <w:color w:val="auto"/>
        </w:rPr>
      </w:pPr>
      <w:r>
        <w:rPr>
          <w:rFonts w:hAnsi="Times New Roman" w:hint="eastAsia"/>
          <w:color w:val="auto"/>
        </w:rPr>
        <w:t>本项目为</w:t>
      </w:r>
      <w:r w:rsidR="0011037A" w:rsidRPr="00A964FF">
        <w:rPr>
          <w:rFonts w:hAnsi="Times New Roman" w:hint="eastAsia"/>
          <w:color w:val="auto"/>
        </w:rPr>
        <w:t>化工项目，属于污染影响型项目，按照污染影响型项目要求进行评价等级划分。</w:t>
      </w:r>
    </w:p>
    <w:p w14:paraId="74372216" w14:textId="77777777" w:rsidR="00356CF7" w:rsidRPr="00A964FF" w:rsidRDefault="00356CF7" w:rsidP="00356CF7">
      <w:pPr>
        <w:pStyle w:val="00"/>
        <w:rPr>
          <w:rFonts w:ascii="Calibri" w:hAnsi="Times New Roman"/>
          <w:b/>
          <w:color w:val="auto"/>
        </w:rPr>
      </w:pPr>
      <w:r w:rsidRPr="00A964FF">
        <w:rPr>
          <w:rFonts w:ascii="Calibri" w:hAnsi="Times New Roman" w:hint="eastAsia"/>
          <w:b/>
          <w:color w:val="auto"/>
        </w:rPr>
        <w:t>1</w:t>
      </w:r>
      <w:r w:rsidRPr="00A964FF">
        <w:rPr>
          <w:rFonts w:ascii="Calibri" w:hAnsi="Times New Roman" w:hint="eastAsia"/>
          <w:b/>
          <w:color w:val="auto"/>
        </w:rPr>
        <w:t>、</w:t>
      </w:r>
      <w:r w:rsidRPr="00A964FF">
        <w:rPr>
          <w:rFonts w:ascii="Calibri" w:hAnsi="Times New Roman"/>
          <w:b/>
          <w:color w:val="auto"/>
        </w:rPr>
        <w:t>占地规模</w:t>
      </w:r>
    </w:p>
    <w:p w14:paraId="02239C4F" w14:textId="77777777" w:rsidR="00356CF7" w:rsidRPr="00A964FF" w:rsidRDefault="00356CF7" w:rsidP="00356CF7">
      <w:pPr>
        <w:pStyle w:val="00"/>
        <w:rPr>
          <w:rFonts w:ascii="Calibri" w:hAnsi="Calibri"/>
          <w:color w:val="auto"/>
        </w:rPr>
      </w:pPr>
      <w:r w:rsidRPr="00A964FF">
        <w:rPr>
          <w:rFonts w:ascii="Calibri" w:hAnsi="Times New Roman"/>
          <w:color w:val="auto"/>
        </w:rPr>
        <w:t>将建设项目占地规模分为大型（</w:t>
      </w:r>
      <w:r w:rsidRPr="00A964FF">
        <w:rPr>
          <w:rFonts w:ascii="Calibri" w:hAnsi="Calibri"/>
          <w:color w:val="auto"/>
        </w:rPr>
        <w:t>≥50hm</w:t>
      </w:r>
      <w:r w:rsidRPr="00A964FF">
        <w:rPr>
          <w:rFonts w:ascii="Calibri" w:hAnsi="Calibri"/>
          <w:color w:val="auto"/>
          <w:vertAlign w:val="superscript"/>
        </w:rPr>
        <w:t>2</w:t>
      </w:r>
      <w:r w:rsidRPr="00A964FF">
        <w:rPr>
          <w:rFonts w:ascii="Calibri" w:hAnsi="Times New Roman"/>
          <w:color w:val="auto"/>
        </w:rPr>
        <w:t>）、中型（</w:t>
      </w:r>
      <w:r w:rsidRPr="00A964FF">
        <w:rPr>
          <w:rFonts w:ascii="Calibri" w:hAnsi="Calibri"/>
          <w:color w:val="auto"/>
        </w:rPr>
        <w:t>5</w:t>
      </w:r>
      <w:r w:rsidRPr="00A964FF">
        <w:rPr>
          <w:rFonts w:ascii="宋体" w:hint="eastAsia"/>
          <w:color w:val="auto"/>
        </w:rPr>
        <w:t>～</w:t>
      </w:r>
      <w:r w:rsidRPr="00A964FF">
        <w:rPr>
          <w:rFonts w:ascii="Calibri" w:hAnsi="Calibri"/>
          <w:color w:val="auto"/>
        </w:rPr>
        <w:t>50hm</w:t>
      </w:r>
      <w:r w:rsidRPr="00A964FF">
        <w:rPr>
          <w:rFonts w:ascii="Calibri" w:hAnsi="Calibri"/>
          <w:color w:val="auto"/>
          <w:vertAlign w:val="superscript"/>
        </w:rPr>
        <w:t>2</w:t>
      </w:r>
      <w:r w:rsidRPr="00A964FF">
        <w:rPr>
          <w:rFonts w:ascii="Calibri" w:hAnsi="Times New Roman"/>
          <w:color w:val="auto"/>
        </w:rPr>
        <w:t>）、小型（</w:t>
      </w:r>
      <w:r w:rsidRPr="00A964FF">
        <w:rPr>
          <w:rFonts w:ascii="Calibri" w:hAnsi="Calibri"/>
          <w:color w:val="auto"/>
        </w:rPr>
        <w:t>≤5hm</w:t>
      </w:r>
      <w:r w:rsidRPr="00A964FF">
        <w:rPr>
          <w:rFonts w:ascii="Calibri" w:hAnsi="Calibri"/>
          <w:color w:val="auto"/>
          <w:vertAlign w:val="superscript"/>
        </w:rPr>
        <w:t>2</w:t>
      </w:r>
      <w:r w:rsidRPr="00A964FF">
        <w:rPr>
          <w:rFonts w:ascii="Calibri" w:hAnsi="Times New Roman"/>
          <w:color w:val="auto"/>
        </w:rPr>
        <w:t>），建设项目占地主要为永久占地</w:t>
      </w:r>
      <w:r w:rsidR="00A40A35" w:rsidRPr="00A964FF">
        <w:rPr>
          <w:rFonts w:ascii="Calibri" w:hAnsi="Times New Roman" w:hint="eastAsia"/>
          <w:color w:val="auto"/>
        </w:rPr>
        <w:t>。</w:t>
      </w:r>
    </w:p>
    <w:p w14:paraId="2B302EFC" w14:textId="77777777" w:rsidR="0011037A" w:rsidRPr="00A964FF" w:rsidRDefault="0011037A" w:rsidP="00DA5D55">
      <w:pPr>
        <w:pStyle w:val="00"/>
        <w:rPr>
          <w:rFonts w:ascii="Calibri" w:hAnsi="Calibri"/>
          <w:color w:val="auto"/>
        </w:rPr>
      </w:pPr>
      <w:r w:rsidRPr="00A964FF">
        <w:rPr>
          <w:rFonts w:ascii="Calibri" w:hAnsi="Times New Roman"/>
          <w:color w:val="auto"/>
        </w:rPr>
        <w:t>本项目</w:t>
      </w:r>
      <w:r w:rsidRPr="00A964FF">
        <w:rPr>
          <w:rFonts w:ascii="Calibri" w:hAnsi="Calibri" w:hint="eastAsia"/>
          <w:color w:val="auto"/>
        </w:rPr>
        <w:t>占地面积</w:t>
      </w:r>
      <w:r w:rsidR="00DA5D55">
        <w:rPr>
          <w:rFonts w:ascii="Calibri" w:hAnsi="Calibri" w:hint="eastAsia"/>
          <w:color w:val="auto"/>
        </w:rPr>
        <w:t>78033.8</w:t>
      </w:r>
      <w:r w:rsidR="007B1841" w:rsidRPr="00A964FF">
        <w:rPr>
          <w:rFonts w:ascii="Calibri" w:hAnsi="Calibri" w:hint="eastAsia"/>
          <w:color w:val="auto"/>
        </w:rPr>
        <w:t>m</w:t>
      </w:r>
      <w:r w:rsidR="007B1841" w:rsidRPr="00A964FF">
        <w:rPr>
          <w:rFonts w:ascii="Calibri" w:hAnsi="Calibri" w:hint="eastAsia"/>
          <w:color w:val="auto"/>
          <w:vertAlign w:val="superscript"/>
        </w:rPr>
        <w:t>2</w:t>
      </w:r>
      <w:r w:rsidRPr="00A964FF">
        <w:rPr>
          <w:rFonts w:ascii="Calibri" w:hAnsi="Calibri" w:hint="eastAsia"/>
          <w:color w:val="auto"/>
        </w:rPr>
        <w:t>，折合</w:t>
      </w:r>
      <w:r w:rsidR="00DA5D55">
        <w:rPr>
          <w:rFonts w:ascii="Calibri" w:hAnsi="Calibri"/>
          <w:color w:val="auto"/>
        </w:rPr>
        <w:t>7.80</w:t>
      </w:r>
      <w:r w:rsidRPr="00A964FF">
        <w:rPr>
          <w:rFonts w:ascii="Calibri" w:hAnsi="Calibri" w:hint="eastAsia"/>
          <w:color w:val="auto"/>
        </w:rPr>
        <w:t>hm</w:t>
      </w:r>
      <w:r w:rsidRPr="00A964FF">
        <w:rPr>
          <w:rFonts w:ascii="Calibri" w:hAnsi="Calibri" w:hint="eastAsia"/>
          <w:color w:val="auto"/>
          <w:vertAlign w:val="superscript"/>
        </w:rPr>
        <w:t>2</w:t>
      </w:r>
      <w:r w:rsidRPr="00A964FF">
        <w:rPr>
          <w:rFonts w:ascii="Calibri" w:hAnsi="Calibri" w:hint="eastAsia"/>
          <w:color w:val="auto"/>
        </w:rPr>
        <w:t>，</w:t>
      </w:r>
      <w:r w:rsidRPr="00A964FF">
        <w:rPr>
          <w:rFonts w:ascii="Calibri" w:hAnsi="Times New Roman"/>
          <w:color w:val="auto"/>
        </w:rPr>
        <w:t>为</w:t>
      </w:r>
      <w:r w:rsidR="00DA5D55">
        <w:rPr>
          <w:rFonts w:ascii="Calibri" w:hAnsi="Times New Roman" w:hint="eastAsia"/>
          <w:color w:val="auto"/>
        </w:rPr>
        <w:t>中</w:t>
      </w:r>
      <w:r w:rsidR="00484816">
        <w:rPr>
          <w:rFonts w:ascii="Calibri" w:hAnsi="Times New Roman" w:hint="eastAsia"/>
          <w:color w:val="auto"/>
        </w:rPr>
        <w:t>型</w:t>
      </w:r>
      <w:r w:rsidRPr="00A964FF">
        <w:rPr>
          <w:rFonts w:ascii="Calibri" w:hAnsi="Times New Roman"/>
          <w:color w:val="auto"/>
        </w:rPr>
        <w:t>占地。</w:t>
      </w:r>
    </w:p>
    <w:p w14:paraId="72873A6F" w14:textId="77777777" w:rsidR="00356CF7" w:rsidRPr="00A964FF" w:rsidRDefault="00356CF7" w:rsidP="00356CF7">
      <w:pPr>
        <w:pStyle w:val="00"/>
        <w:rPr>
          <w:rFonts w:ascii="Calibri" w:hAnsi="Times New Roman"/>
          <w:b/>
          <w:color w:val="auto"/>
        </w:rPr>
      </w:pPr>
      <w:r w:rsidRPr="00A964FF">
        <w:rPr>
          <w:rFonts w:ascii="Calibri" w:hAnsi="Times New Roman" w:hint="eastAsia"/>
          <w:b/>
          <w:color w:val="auto"/>
        </w:rPr>
        <w:t>2</w:t>
      </w:r>
      <w:r w:rsidRPr="00A964FF">
        <w:rPr>
          <w:rFonts w:ascii="Calibri" w:hAnsi="Times New Roman" w:hint="eastAsia"/>
          <w:b/>
          <w:color w:val="auto"/>
        </w:rPr>
        <w:t>、</w:t>
      </w:r>
      <w:r w:rsidRPr="00A964FF">
        <w:rPr>
          <w:rFonts w:ascii="Calibri" w:hAnsi="Times New Roman"/>
          <w:b/>
          <w:color w:val="auto"/>
        </w:rPr>
        <w:t>敏感程度</w:t>
      </w:r>
    </w:p>
    <w:p w14:paraId="48D9B0B4" w14:textId="77777777" w:rsidR="00DC2E30" w:rsidRPr="00A814F7" w:rsidRDefault="00356CF7" w:rsidP="00A814F7">
      <w:pPr>
        <w:pStyle w:val="00"/>
        <w:rPr>
          <w:rFonts w:ascii="Calibri" w:hAnsi="Calibri"/>
          <w:color w:val="auto"/>
        </w:rPr>
      </w:pPr>
      <w:r w:rsidRPr="00A964FF">
        <w:rPr>
          <w:rFonts w:ascii="Calibri" w:hAnsi="Times New Roman"/>
          <w:color w:val="auto"/>
        </w:rPr>
        <w:t>建设项目所在地周边的土壤环境敏感程度分为敏感、较敏感、不敏感，判别依据</w:t>
      </w:r>
      <w:r w:rsidR="00F62C9D" w:rsidRPr="00A964FF">
        <w:rPr>
          <w:rFonts w:ascii="Calibri" w:hint="eastAsia"/>
          <w:color w:val="auto"/>
        </w:rPr>
        <w:t>见表</w:t>
      </w:r>
      <w:r w:rsidR="00F62C9D" w:rsidRPr="00A964FF">
        <w:rPr>
          <w:rFonts w:ascii="Calibri" w:hint="eastAsia"/>
          <w:color w:val="auto"/>
        </w:rPr>
        <w:t>4</w:t>
      </w:r>
      <w:r w:rsidR="007B1841" w:rsidRPr="00A964FF">
        <w:rPr>
          <w:rFonts w:ascii="Calibri" w:hint="eastAsia"/>
          <w:color w:val="auto"/>
        </w:rPr>
        <w:t>.4</w:t>
      </w:r>
      <w:r w:rsidR="00F62C9D" w:rsidRPr="00A964FF">
        <w:rPr>
          <w:rFonts w:ascii="Calibri" w:hint="eastAsia"/>
          <w:color w:val="auto"/>
        </w:rPr>
        <w:t>-</w:t>
      </w:r>
      <w:r w:rsidR="007B1841" w:rsidRPr="00A964FF">
        <w:rPr>
          <w:rFonts w:ascii="Calibri" w:hint="eastAsia"/>
          <w:color w:val="auto"/>
        </w:rPr>
        <w:t>1</w:t>
      </w:r>
      <w:r w:rsidR="00F62C9D" w:rsidRPr="00A964FF">
        <w:rPr>
          <w:rFonts w:ascii="Calibri" w:hint="eastAsia"/>
          <w:color w:val="auto"/>
        </w:rPr>
        <w:t>。</w:t>
      </w:r>
    </w:p>
    <w:p w14:paraId="625CD74F" w14:textId="77777777" w:rsidR="00356CF7" w:rsidRPr="00A964FF" w:rsidRDefault="00356CF7" w:rsidP="00356CF7">
      <w:pPr>
        <w:pStyle w:val="00"/>
        <w:ind w:firstLineChars="300" w:firstLine="720"/>
        <w:rPr>
          <w:rFonts w:ascii="黑体" w:eastAsia="黑体" w:hAnsi="黑体" w:cs="黑体"/>
          <w:color w:val="auto"/>
        </w:rPr>
      </w:pPr>
      <w:r w:rsidRPr="00A964FF">
        <w:rPr>
          <w:rFonts w:ascii="Calibri" w:eastAsia="黑体" w:hAnsi="黑体"/>
          <w:color w:val="auto"/>
        </w:rPr>
        <w:t>表</w:t>
      </w:r>
      <w:r w:rsidRPr="00A964FF">
        <w:rPr>
          <w:rFonts w:ascii="Calibri" w:eastAsia="黑体" w:hAnsi="Calibri"/>
          <w:color w:val="auto"/>
        </w:rPr>
        <w:t>4</w:t>
      </w:r>
      <w:r w:rsidR="007B1841" w:rsidRPr="00A964FF">
        <w:rPr>
          <w:rFonts w:ascii="Calibri" w:eastAsia="黑体" w:hAnsi="Calibri" w:hint="eastAsia"/>
          <w:color w:val="auto"/>
        </w:rPr>
        <w:t>.4</w:t>
      </w:r>
      <w:r w:rsidR="00F62C9D" w:rsidRPr="00A964FF">
        <w:rPr>
          <w:rFonts w:ascii="Calibri" w:eastAsia="黑体" w:hAnsi="Calibri"/>
          <w:color w:val="auto"/>
        </w:rPr>
        <w:t>-</w:t>
      </w:r>
      <w:r w:rsidR="007B1841" w:rsidRPr="00A964FF">
        <w:rPr>
          <w:rFonts w:ascii="Calibri" w:eastAsia="黑体" w:hAnsi="Calibri" w:hint="eastAsia"/>
          <w:color w:val="auto"/>
        </w:rPr>
        <w:t>1</w:t>
      </w:r>
      <w:r w:rsidRPr="00A964FF">
        <w:rPr>
          <w:rFonts w:ascii="Calibri" w:eastAsia="黑体" w:hAnsi="Calibri"/>
          <w:color w:val="auto"/>
        </w:rPr>
        <w:t xml:space="preserve">  </w:t>
      </w:r>
      <w:r w:rsidRPr="00A964FF">
        <w:rPr>
          <w:rFonts w:ascii="黑体" w:eastAsia="黑体" w:hAnsi="黑体" w:cs="黑体" w:hint="eastAsia"/>
          <w:color w:val="auto"/>
        </w:rPr>
        <w:t xml:space="preserve">    </w:t>
      </w:r>
      <w:r w:rsidR="007B1841" w:rsidRPr="00A964FF">
        <w:rPr>
          <w:rFonts w:ascii="黑体" w:eastAsia="黑体" w:hAnsi="黑体" w:cs="黑体" w:hint="eastAsia"/>
          <w:color w:val="auto"/>
        </w:rPr>
        <w:t xml:space="preserve"> </w:t>
      </w:r>
      <w:r w:rsidRPr="00A964FF">
        <w:rPr>
          <w:rFonts w:ascii="黑体" w:eastAsia="黑体" w:hAnsi="黑体" w:cs="黑体" w:hint="eastAsia"/>
          <w:color w:val="auto"/>
        </w:rPr>
        <w:t xml:space="preserve"> </w:t>
      </w:r>
      <w:r w:rsidR="00F62C9D" w:rsidRPr="00A964FF">
        <w:rPr>
          <w:rFonts w:ascii="黑体" w:eastAsia="黑体" w:hAnsi="黑体" w:cs="黑体" w:hint="eastAsia"/>
          <w:color w:val="auto"/>
        </w:rPr>
        <w:t xml:space="preserve">   </w:t>
      </w:r>
      <w:r w:rsidRPr="00A964FF">
        <w:rPr>
          <w:rFonts w:ascii="黑体" w:eastAsia="黑体" w:hAnsi="黑体" w:cs="黑体" w:hint="eastAsia"/>
          <w:color w:val="auto"/>
        </w:rPr>
        <w:t xml:space="preserve">  污染影响型敏感程度分级表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04"/>
        <w:gridCol w:w="7096"/>
      </w:tblGrid>
      <w:tr w:rsidR="00356CF7" w:rsidRPr="00A964FF" w14:paraId="5C081A18" w14:textId="77777777" w:rsidTr="00356CF7">
        <w:trPr>
          <w:trHeight w:val="369"/>
        </w:trPr>
        <w:tc>
          <w:tcPr>
            <w:tcW w:w="922" w:type="pct"/>
            <w:vAlign w:val="center"/>
          </w:tcPr>
          <w:p w14:paraId="1EBCDD73"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敏感程度</w:t>
            </w:r>
          </w:p>
        </w:tc>
        <w:tc>
          <w:tcPr>
            <w:tcW w:w="4078" w:type="pct"/>
            <w:vAlign w:val="center"/>
          </w:tcPr>
          <w:p w14:paraId="4E883FE5"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判别依据</w:t>
            </w:r>
          </w:p>
        </w:tc>
      </w:tr>
      <w:tr w:rsidR="00356CF7" w:rsidRPr="00A964FF" w14:paraId="70E23266" w14:textId="77777777" w:rsidTr="00356CF7">
        <w:trPr>
          <w:trHeight w:val="369"/>
        </w:trPr>
        <w:tc>
          <w:tcPr>
            <w:tcW w:w="922" w:type="pct"/>
            <w:vAlign w:val="center"/>
          </w:tcPr>
          <w:p w14:paraId="3DDDE5C2"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敏感</w:t>
            </w:r>
          </w:p>
        </w:tc>
        <w:tc>
          <w:tcPr>
            <w:tcW w:w="4078" w:type="pct"/>
            <w:vAlign w:val="center"/>
          </w:tcPr>
          <w:p w14:paraId="04C4118E"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建设项目周边存在耕地、园地、牧草地、饮用水水源地或居民区、学校、医院、疗养院、养老院等土壤环境敏感目标的</w:t>
            </w:r>
          </w:p>
        </w:tc>
      </w:tr>
      <w:tr w:rsidR="00356CF7" w:rsidRPr="00A964FF" w14:paraId="4637BFE5" w14:textId="77777777" w:rsidTr="00356CF7">
        <w:trPr>
          <w:trHeight w:val="369"/>
        </w:trPr>
        <w:tc>
          <w:tcPr>
            <w:tcW w:w="922" w:type="pct"/>
            <w:vAlign w:val="center"/>
          </w:tcPr>
          <w:p w14:paraId="30B46DA3"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较敏感</w:t>
            </w:r>
          </w:p>
        </w:tc>
        <w:tc>
          <w:tcPr>
            <w:tcW w:w="4078" w:type="pct"/>
            <w:vAlign w:val="center"/>
          </w:tcPr>
          <w:p w14:paraId="14DEE65A"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建设项目周边存在其他土壤环境敏感目标的</w:t>
            </w:r>
          </w:p>
        </w:tc>
      </w:tr>
      <w:tr w:rsidR="00356CF7" w:rsidRPr="00A964FF" w14:paraId="5BF5871F" w14:textId="77777777" w:rsidTr="00356CF7">
        <w:trPr>
          <w:trHeight w:val="369"/>
        </w:trPr>
        <w:tc>
          <w:tcPr>
            <w:tcW w:w="922" w:type="pct"/>
            <w:vAlign w:val="center"/>
          </w:tcPr>
          <w:p w14:paraId="63C98CAE"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不敏感</w:t>
            </w:r>
          </w:p>
        </w:tc>
        <w:tc>
          <w:tcPr>
            <w:tcW w:w="4078" w:type="pct"/>
            <w:vAlign w:val="center"/>
          </w:tcPr>
          <w:p w14:paraId="4626DCE8" w14:textId="77777777" w:rsidR="00356CF7" w:rsidRPr="00A964FF" w:rsidRDefault="00356CF7" w:rsidP="009E3841">
            <w:pPr>
              <w:pStyle w:val="00"/>
              <w:spacing w:line="240" w:lineRule="auto"/>
              <w:ind w:firstLine="0"/>
              <w:jc w:val="center"/>
              <w:rPr>
                <w:rFonts w:hAnsi="Times New Roman"/>
                <w:color w:val="auto"/>
                <w:sz w:val="21"/>
                <w:szCs w:val="21"/>
              </w:rPr>
            </w:pPr>
            <w:r w:rsidRPr="00A964FF">
              <w:rPr>
                <w:rFonts w:hAnsi="Times New Roman" w:hint="eastAsia"/>
                <w:color w:val="auto"/>
                <w:sz w:val="21"/>
                <w:szCs w:val="21"/>
              </w:rPr>
              <w:t>其他情况</w:t>
            </w:r>
          </w:p>
        </w:tc>
      </w:tr>
    </w:tbl>
    <w:p w14:paraId="754D9E1B" w14:textId="77777777" w:rsidR="0011037A" w:rsidRPr="00A964FF" w:rsidRDefault="0011037A" w:rsidP="0011037A">
      <w:pPr>
        <w:pStyle w:val="00"/>
        <w:rPr>
          <w:rFonts w:hAnsi="Times New Roman"/>
          <w:color w:val="auto"/>
        </w:rPr>
      </w:pPr>
      <w:r w:rsidRPr="00A964FF">
        <w:rPr>
          <w:rFonts w:hAnsi="Times New Roman" w:hint="eastAsia"/>
          <w:color w:val="auto"/>
        </w:rPr>
        <w:lastRenderedPageBreak/>
        <w:t>本项目选址</w:t>
      </w:r>
      <w:r w:rsidR="008C7A91" w:rsidRPr="00A964FF">
        <w:rPr>
          <w:rFonts w:ascii="Calibri" w:hAnsi="Calibri" w:hint="eastAsia"/>
          <w:color w:val="auto"/>
        </w:rPr>
        <w:t>位于平顶山尼龙新材料产业集聚区</w:t>
      </w:r>
      <w:r w:rsidRPr="00A964FF">
        <w:rPr>
          <w:rFonts w:ascii="Calibri" w:hint="eastAsia"/>
          <w:bCs/>
          <w:color w:val="auto"/>
        </w:rPr>
        <w:t>，</w:t>
      </w:r>
      <w:r w:rsidRPr="00A964FF">
        <w:rPr>
          <w:rFonts w:hAnsi="Times New Roman" w:hint="eastAsia"/>
          <w:color w:val="auto"/>
        </w:rPr>
        <w:t>土壤敏感程度为不敏感。</w:t>
      </w:r>
    </w:p>
    <w:p w14:paraId="3DB75696" w14:textId="77777777" w:rsidR="00356CF7" w:rsidRPr="00A964FF" w:rsidRDefault="00356CF7" w:rsidP="00356CF7">
      <w:pPr>
        <w:pStyle w:val="00"/>
        <w:rPr>
          <w:rFonts w:ascii="Calibri" w:hAnsi="Times New Roman"/>
          <w:b/>
          <w:color w:val="auto"/>
        </w:rPr>
      </w:pPr>
      <w:r w:rsidRPr="00A964FF">
        <w:rPr>
          <w:rFonts w:ascii="Calibri" w:hAnsi="Times New Roman"/>
          <w:b/>
          <w:color w:val="auto"/>
        </w:rPr>
        <w:t>3</w:t>
      </w:r>
      <w:r w:rsidRPr="00A964FF">
        <w:rPr>
          <w:rFonts w:ascii="Calibri" w:hAnsi="Times New Roman"/>
          <w:b/>
          <w:color w:val="auto"/>
        </w:rPr>
        <w:t>、判定结果</w:t>
      </w:r>
    </w:p>
    <w:p w14:paraId="3D819E2C" w14:textId="77777777" w:rsidR="007B1841" w:rsidRPr="00484816" w:rsidRDefault="00356CF7" w:rsidP="00484816">
      <w:pPr>
        <w:pStyle w:val="00"/>
        <w:rPr>
          <w:rFonts w:ascii="Calibri"/>
          <w:color w:val="auto"/>
        </w:rPr>
      </w:pPr>
      <w:r w:rsidRPr="00A964FF">
        <w:rPr>
          <w:rFonts w:ascii="Calibri" w:hAnsi="Times New Roman"/>
          <w:color w:val="auto"/>
        </w:rPr>
        <w:t>根据《环境影响评价技术导则</w:t>
      </w:r>
      <w:r w:rsidR="006B47CE" w:rsidRPr="00A964FF">
        <w:rPr>
          <w:rFonts w:ascii="Calibri" w:hAnsi="Times New Roman" w:hint="eastAsia"/>
          <w:color w:val="auto"/>
        </w:rPr>
        <w:t xml:space="preserve"> </w:t>
      </w:r>
      <w:r w:rsidRPr="00A964FF">
        <w:rPr>
          <w:rFonts w:ascii="Calibri" w:hAnsi="Times New Roman"/>
          <w:color w:val="auto"/>
        </w:rPr>
        <w:t>土壤环境（试行）》（</w:t>
      </w:r>
      <w:r w:rsidRPr="00A964FF">
        <w:rPr>
          <w:rFonts w:ascii="Calibri" w:hAnsi="Calibri"/>
          <w:color w:val="auto"/>
        </w:rPr>
        <w:t>HJ964-2018</w:t>
      </w:r>
      <w:r w:rsidRPr="00A964FF">
        <w:rPr>
          <w:rFonts w:ascii="Calibri" w:hAnsi="Times New Roman"/>
          <w:color w:val="auto"/>
        </w:rPr>
        <w:t>），本项目类别为</w:t>
      </w:r>
      <w:r w:rsidRPr="00A964FF">
        <w:rPr>
          <w:rFonts w:ascii="Calibri" w:hAnsi="Times New Roman" w:hint="eastAsia"/>
          <w:color w:val="auto"/>
        </w:rPr>
        <w:t>I</w:t>
      </w:r>
      <w:r w:rsidRPr="00A964FF">
        <w:rPr>
          <w:rFonts w:ascii="Calibri" w:hAnsi="Times New Roman"/>
          <w:color w:val="auto"/>
        </w:rPr>
        <w:t>类</w:t>
      </w:r>
      <w:r w:rsidRPr="00A964FF">
        <w:rPr>
          <w:rFonts w:ascii="Calibri" w:hAnsi="Times New Roman" w:hint="eastAsia"/>
          <w:color w:val="auto"/>
        </w:rPr>
        <w:t>建设项目</w:t>
      </w:r>
      <w:r w:rsidRPr="00A964FF">
        <w:rPr>
          <w:rFonts w:ascii="Calibri" w:hAnsi="Times New Roman"/>
          <w:color w:val="auto"/>
        </w:rPr>
        <w:t>。根据</w:t>
      </w:r>
      <w:r w:rsidRPr="00A964FF">
        <w:rPr>
          <w:rFonts w:hAnsi="Times New Roman" w:hint="eastAsia"/>
          <w:color w:val="auto"/>
        </w:rPr>
        <w:t>土壤环境影响评价项目类别、占地规模与敏感程度查分评价工作等级，为二级评价，详</w:t>
      </w:r>
      <w:r w:rsidR="00F62C9D" w:rsidRPr="00A964FF">
        <w:rPr>
          <w:rFonts w:ascii="Calibri" w:hint="eastAsia"/>
          <w:color w:val="auto"/>
        </w:rPr>
        <w:t>见表</w:t>
      </w:r>
      <w:r w:rsidR="00F62C9D" w:rsidRPr="00A964FF">
        <w:rPr>
          <w:rFonts w:ascii="Calibri" w:hint="eastAsia"/>
          <w:color w:val="auto"/>
        </w:rPr>
        <w:t>4</w:t>
      </w:r>
      <w:r w:rsidR="003B40FF" w:rsidRPr="00A964FF">
        <w:rPr>
          <w:rFonts w:ascii="Calibri" w:hint="eastAsia"/>
          <w:color w:val="auto"/>
        </w:rPr>
        <w:t>.4</w:t>
      </w:r>
      <w:r w:rsidR="00F62C9D" w:rsidRPr="00A964FF">
        <w:rPr>
          <w:rFonts w:ascii="Calibri" w:hint="eastAsia"/>
          <w:color w:val="auto"/>
        </w:rPr>
        <w:t>-</w:t>
      </w:r>
      <w:r w:rsidR="003B40FF" w:rsidRPr="00A964FF">
        <w:rPr>
          <w:rFonts w:ascii="Calibri" w:hint="eastAsia"/>
          <w:color w:val="auto"/>
        </w:rPr>
        <w:t>2</w:t>
      </w:r>
      <w:r w:rsidR="00F62C9D" w:rsidRPr="00A964FF">
        <w:rPr>
          <w:rFonts w:ascii="Calibri" w:hint="eastAsia"/>
          <w:color w:val="auto"/>
        </w:rPr>
        <w:t>。</w:t>
      </w:r>
    </w:p>
    <w:p w14:paraId="309DC41E" w14:textId="77777777" w:rsidR="00356CF7" w:rsidRPr="00A964FF" w:rsidRDefault="00356CF7" w:rsidP="00356CF7">
      <w:pPr>
        <w:pStyle w:val="00"/>
        <w:rPr>
          <w:rFonts w:ascii="Calibri" w:eastAsia="黑体" w:hAnsi="Calibri"/>
          <w:color w:val="auto"/>
        </w:rPr>
      </w:pPr>
      <w:r w:rsidRPr="00A964FF">
        <w:rPr>
          <w:rFonts w:ascii="Calibri" w:eastAsia="黑体" w:hAnsi="黑体"/>
          <w:color w:val="auto"/>
        </w:rPr>
        <w:t>表</w:t>
      </w:r>
      <w:r w:rsidRPr="00A964FF">
        <w:rPr>
          <w:rFonts w:ascii="Calibri" w:eastAsia="黑体" w:hAnsi="Calibri"/>
          <w:color w:val="auto"/>
        </w:rPr>
        <w:t>4</w:t>
      </w:r>
      <w:r w:rsidR="003B40FF" w:rsidRPr="00A964FF">
        <w:rPr>
          <w:rFonts w:ascii="Calibri" w:eastAsia="黑体" w:hAnsi="Calibri" w:hint="eastAsia"/>
          <w:color w:val="auto"/>
        </w:rPr>
        <w:t>.4</w:t>
      </w:r>
      <w:r w:rsidRPr="00A964FF">
        <w:rPr>
          <w:rFonts w:ascii="Calibri" w:eastAsia="黑体" w:hAnsi="Calibri"/>
          <w:color w:val="auto"/>
        </w:rPr>
        <w:t>-</w:t>
      </w:r>
      <w:r w:rsidR="003B40FF" w:rsidRPr="00A964FF">
        <w:rPr>
          <w:rFonts w:ascii="Calibri" w:eastAsia="黑体" w:hAnsi="Calibri" w:hint="eastAsia"/>
          <w:color w:val="auto"/>
        </w:rPr>
        <w:t>2</w:t>
      </w:r>
      <w:r w:rsidR="00F62C9D" w:rsidRPr="00A964FF">
        <w:rPr>
          <w:rFonts w:ascii="Calibri" w:eastAsia="黑体" w:hAnsi="Calibri"/>
          <w:color w:val="auto"/>
        </w:rPr>
        <w:t xml:space="preserve">       </w:t>
      </w:r>
      <w:r w:rsidRPr="00A964FF">
        <w:rPr>
          <w:rFonts w:ascii="Calibri" w:eastAsia="黑体" w:hAnsi="Calibri"/>
          <w:color w:val="auto"/>
        </w:rPr>
        <w:t xml:space="preserve">      </w:t>
      </w:r>
      <w:r w:rsidRPr="00A964FF">
        <w:rPr>
          <w:rFonts w:ascii="Calibri" w:eastAsia="黑体" w:hAnsi="Calibri"/>
          <w:color w:val="auto"/>
        </w:rPr>
        <w:t>污染影响型评价工作等级划分表</w:t>
      </w:r>
    </w:p>
    <w:tbl>
      <w:tblPr>
        <w:tblW w:w="5098"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680"/>
        <w:gridCol w:w="743"/>
        <w:gridCol w:w="832"/>
        <w:gridCol w:w="1002"/>
        <w:gridCol w:w="717"/>
        <w:gridCol w:w="857"/>
        <w:gridCol w:w="717"/>
        <w:gridCol w:w="717"/>
        <w:gridCol w:w="717"/>
        <w:gridCol w:w="889"/>
      </w:tblGrid>
      <w:tr w:rsidR="00356CF7" w:rsidRPr="00A964FF" w14:paraId="23E257F1" w14:textId="77777777" w:rsidTr="00484816">
        <w:trPr>
          <w:trHeight w:val="340"/>
        </w:trPr>
        <w:tc>
          <w:tcPr>
            <w:tcW w:w="947" w:type="pct"/>
            <w:vMerge w:val="restart"/>
            <w:tcBorders>
              <w:top w:val="single" w:sz="12" w:space="0" w:color="000000"/>
              <w:bottom w:val="single" w:sz="2" w:space="0" w:color="000000"/>
              <w:right w:val="single" w:sz="2" w:space="0" w:color="000000"/>
              <w:tl2br w:val="nil"/>
            </w:tcBorders>
            <w:tcMar>
              <w:left w:w="28" w:type="dxa"/>
              <w:right w:w="28" w:type="dxa"/>
            </w:tcMar>
            <w:vAlign w:val="center"/>
          </w:tcPr>
          <w:p w14:paraId="2F798D57" w14:textId="77777777" w:rsidR="00356CF7" w:rsidRPr="00A964FF" w:rsidRDefault="00971B8B" w:rsidP="009E3841">
            <w:pPr>
              <w:pStyle w:val="af3"/>
              <w:rPr>
                <w:color w:val="auto"/>
                <w:sz w:val="18"/>
                <w:szCs w:val="18"/>
              </w:rPr>
            </w:pPr>
            <w:r>
              <w:rPr>
                <w:noProof/>
                <w:color w:val="auto"/>
              </w:rPr>
              <mc:AlternateContent>
                <mc:Choice Requires="wpg">
                  <w:drawing>
                    <wp:anchor distT="0" distB="0" distL="114300" distR="114300" simplePos="0" relativeHeight="251449856" behindDoc="0" locked="0" layoutInCell="1" allowOverlap="1" wp14:anchorId="30610DD3" wp14:editId="165C2D86">
                      <wp:simplePos x="0" y="0"/>
                      <wp:positionH relativeFrom="column">
                        <wp:posOffset>-33655</wp:posOffset>
                      </wp:positionH>
                      <wp:positionV relativeFrom="paragraph">
                        <wp:posOffset>8255</wp:posOffset>
                      </wp:positionV>
                      <wp:extent cx="1038225" cy="465455"/>
                      <wp:effectExtent l="13970" t="8255" r="5080" b="12065"/>
                      <wp:wrapNone/>
                      <wp:docPr id="29477" name="Group 14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65455"/>
                                <a:chOff x="1704" y="3030"/>
                                <a:chExt cx="1071" cy="487"/>
                              </a:xfrm>
                            </wpg:grpSpPr>
                            <wps:wsp>
                              <wps:cNvPr id="29478" name="__TH_L10044"/>
                              <wps:cNvCnPr>
                                <a:cxnSpLocks noChangeShapeType="1"/>
                              </wps:cNvCnPr>
                              <wps:spPr bwMode="auto">
                                <a:xfrm>
                                  <a:off x="2239" y="3030"/>
                                  <a:ext cx="536" cy="48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79" name="__TH_L10045"/>
                              <wps:cNvCnPr>
                                <a:cxnSpLocks noChangeShapeType="1"/>
                              </wps:cNvCnPr>
                              <wps:spPr bwMode="auto">
                                <a:xfrm>
                                  <a:off x="1704" y="3274"/>
                                  <a:ext cx="1071" cy="2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CD87A2F" id="Group 14354" o:spid="_x0000_s1026" style="position:absolute;left:0;text-align:left;margin-left:-2.65pt;margin-top:.65pt;width:81.75pt;height:36.65pt;z-index:251449856" coordorigin="1704,3030" coordsize="107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">
                      <v:line id="__TH_L10044" o:spid="_x0000_s1027" style="position:absolute;visibility:visible;mso-wrap-style:square" from="2239,3030" to="2775,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" strokeweight=".25pt"/>
                      <v:line id="__TH_L10045" o:spid="_x0000_s1028" style="position:absolute;visibility:visible;mso-wrap-style:square" from="1704,3274" to="2775,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" strokeweight=".25pt"/>
                    </v:group>
                  </w:pict>
                </mc:Fallback>
              </mc:AlternateContent>
            </w:r>
            <w:r w:rsidR="00356CF7" w:rsidRPr="00A964FF">
              <w:rPr>
                <w:rFonts w:hint="eastAsia"/>
                <w:color w:val="auto"/>
              </w:rPr>
              <w:t xml:space="preserve">      </w:t>
            </w:r>
            <w:r w:rsidR="00356CF7" w:rsidRPr="00A964FF">
              <w:rPr>
                <w:rFonts w:hint="eastAsia"/>
                <w:color w:val="auto"/>
                <w:sz w:val="18"/>
                <w:szCs w:val="18"/>
              </w:rPr>
              <w:t>占地规模</w:t>
            </w:r>
          </w:p>
          <w:p w14:paraId="652FFF4C" w14:textId="77777777" w:rsidR="00356CF7" w:rsidRPr="00A964FF" w:rsidRDefault="00356CF7" w:rsidP="009E3841">
            <w:pPr>
              <w:pStyle w:val="af3"/>
              <w:rPr>
                <w:color w:val="auto"/>
              </w:rPr>
            </w:pPr>
            <w:r w:rsidRPr="00A964FF">
              <w:rPr>
                <w:rFonts w:hint="eastAsia"/>
                <w:color w:val="auto"/>
              </w:rPr>
              <w:t>评价工作等级</w:t>
            </w:r>
          </w:p>
          <w:p w14:paraId="7D61E564" w14:textId="77777777" w:rsidR="00356CF7" w:rsidRPr="00A964FF" w:rsidRDefault="00356CF7" w:rsidP="009E3841">
            <w:pPr>
              <w:pStyle w:val="af3"/>
              <w:rPr>
                <w:color w:val="auto"/>
              </w:rPr>
            </w:pPr>
            <w:r w:rsidRPr="00A964FF">
              <w:rPr>
                <w:rFonts w:hint="eastAsia"/>
                <w:color w:val="auto"/>
              </w:rPr>
              <w:t>敏感程度</w:t>
            </w:r>
          </w:p>
        </w:tc>
        <w:tc>
          <w:tcPr>
            <w:tcW w:w="1453" w:type="pct"/>
            <w:gridSpan w:val="3"/>
            <w:tcBorders>
              <w:top w:val="single" w:sz="12" w:space="0" w:color="000000"/>
              <w:left w:val="single" w:sz="2" w:space="0" w:color="000000"/>
              <w:bottom w:val="single" w:sz="2" w:space="0" w:color="000000"/>
              <w:right w:val="single" w:sz="2" w:space="0" w:color="000000"/>
            </w:tcBorders>
            <w:tcMar>
              <w:left w:w="28" w:type="dxa"/>
              <w:right w:w="28" w:type="dxa"/>
            </w:tcMar>
            <w:vAlign w:val="center"/>
          </w:tcPr>
          <w:p w14:paraId="2FAA24EA" w14:textId="77777777" w:rsidR="00356CF7" w:rsidRPr="00A964FF" w:rsidRDefault="00356CF7" w:rsidP="009E3841">
            <w:pPr>
              <w:pStyle w:val="af3"/>
              <w:rPr>
                <w:color w:val="auto"/>
              </w:rPr>
            </w:pPr>
            <w:r w:rsidRPr="00A964FF">
              <w:rPr>
                <w:rFonts w:hint="eastAsia"/>
                <w:color w:val="auto"/>
              </w:rPr>
              <w:t>I</w:t>
            </w:r>
            <w:r w:rsidRPr="00A964FF">
              <w:rPr>
                <w:rFonts w:hint="eastAsia"/>
                <w:color w:val="auto"/>
              </w:rPr>
              <w:t>类</w:t>
            </w:r>
          </w:p>
        </w:tc>
        <w:tc>
          <w:tcPr>
            <w:tcW w:w="1291" w:type="pct"/>
            <w:gridSpan w:val="3"/>
            <w:tcBorders>
              <w:top w:val="single" w:sz="12" w:space="0" w:color="000000"/>
              <w:left w:val="single" w:sz="2" w:space="0" w:color="000000"/>
              <w:bottom w:val="single" w:sz="2" w:space="0" w:color="000000"/>
              <w:right w:val="single" w:sz="2" w:space="0" w:color="000000"/>
            </w:tcBorders>
            <w:tcMar>
              <w:left w:w="28" w:type="dxa"/>
              <w:right w:w="28" w:type="dxa"/>
            </w:tcMar>
            <w:vAlign w:val="center"/>
          </w:tcPr>
          <w:p w14:paraId="2D56FAF4" w14:textId="77777777" w:rsidR="00356CF7" w:rsidRPr="00A964FF" w:rsidRDefault="00356CF7" w:rsidP="009E3841">
            <w:pPr>
              <w:pStyle w:val="af3"/>
              <w:rPr>
                <w:color w:val="auto"/>
              </w:rPr>
            </w:pPr>
            <w:r w:rsidRPr="00A964FF">
              <w:rPr>
                <w:rFonts w:hint="eastAsia"/>
                <w:color w:val="auto"/>
              </w:rPr>
              <w:t>II</w:t>
            </w:r>
            <w:r w:rsidRPr="00A964FF">
              <w:rPr>
                <w:rFonts w:hint="eastAsia"/>
                <w:color w:val="auto"/>
              </w:rPr>
              <w:t>类</w:t>
            </w:r>
          </w:p>
        </w:tc>
        <w:tc>
          <w:tcPr>
            <w:tcW w:w="1308" w:type="pct"/>
            <w:gridSpan w:val="3"/>
            <w:tcBorders>
              <w:top w:val="single" w:sz="12" w:space="0" w:color="000000"/>
              <w:left w:val="single" w:sz="2" w:space="0" w:color="000000"/>
              <w:bottom w:val="single" w:sz="2" w:space="0" w:color="000000"/>
            </w:tcBorders>
            <w:tcMar>
              <w:left w:w="28" w:type="dxa"/>
              <w:right w:w="28" w:type="dxa"/>
            </w:tcMar>
            <w:vAlign w:val="center"/>
          </w:tcPr>
          <w:p w14:paraId="7CE6233A" w14:textId="77777777" w:rsidR="00356CF7" w:rsidRPr="00A964FF" w:rsidRDefault="00356CF7" w:rsidP="009E3841">
            <w:pPr>
              <w:pStyle w:val="af3"/>
              <w:rPr>
                <w:color w:val="auto"/>
              </w:rPr>
            </w:pPr>
            <w:r w:rsidRPr="00A964FF">
              <w:rPr>
                <w:rFonts w:hint="eastAsia"/>
                <w:color w:val="auto"/>
              </w:rPr>
              <w:t>III</w:t>
            </w:r>
            <w:r w:rsidRPr="00A964FF">
              <w:rPr>
                <w:rFonts w:hint="eastAsia"/>
                <w:color w:val="auto"/>
              </w:rPr>
              <w:t>类</w:t>
            </w:r>
          </w:p>
        </w:tc>
      </w:tr>
      <w:tr w:rsidR="00356CF7" w:rsidRPr="00A964FF" w14:paraId="18ADFE3C" w14:textId="77777777" w:rsidTr="00484816">
        <w:trPr>
          <w:trHeight w:val="340"/>
        </w:trPr>
        <w:tc>
          <w:tcPr>
            <w:tcW w:w="947" w:type="pct"/>
            <w:vMerge/>
            <w:tcBorders>
              <w:top w:val="single" w:sz="2" w:space="0" w:color="000000"/>
              <w:bottom w:val="single" w:sz="2" w:space="0" w:color="000000"/>
              <w:right w:val="single" w:sz="2" w:space="0" w:color="000000"/>
              <w:tl2br w:val="nil"/>
            </w:tcBorders>
            <w:tcMar>
              <w:left w:w="28" w:type="dxa"/>
              <w:right w:w="28" w:type="dxa"/>
            </w:tcMar>
            <w:vAlign w:val="center"/>
          </w:tcPr>
          <w:p w14:paraId="3D54735F" w14:textId="77777777" w:rsidR="00356CF7" w:rsidRPr="00A964FF" w:rsidRDefault="00356CF7" w:rsidP="009E3841">
            <w:pPr>
              <w:pStyle w:val="af3"/>
              <w:rPr>
                <w:color w:val="auto"/>
              </w:rPr>
            </w:pPr>
          </w:p>
        </w:tc>
        <w:tc>
          <w:tcPr>
            <w:tcW w:w="41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6BDACD8A" w14:textId="77777777" w:rsidR="00356CF7" w:rsidRPr="00A964FF" w:rsidRDefault="00356CF7" w:rsidP="009E3841">
            <w:pPr>
              <w:pStyle w:val="af3"/>
              <w:rPr>
                <w:color w:val="auto"/>
              </w:rPr>
            </w:pPr>
            <w:r w:rsidRPr="00A964FF">
              <w:rPr>
                <w:rFonts w:hint="eastAsia"/>
                <w:color w:val="auto"/>
              </w:rPr>
              <w:t>大</w:t>
            </w:r>
          </w:p>
        </w:tc>
        <w:tc>
          <w:tcPr>
            <w:tcW w:w="46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40C12A8" w14:textId="77777777" w:rsidR="00356CF7" w:rsidRPr="00A964FF" w:rsidRDefault="00356CF7" w:rsidP="009E3841">
            <w:pPr>
              <w:pStyle w:val="af3"/>
              <w:rPr>
                <w:color w:val="auto"/>
              </w:rPr>
            </w:pPr>
            <w:r w:rsidRPr="00A964FF">
              <w:rPr>
                <w:rFonts w:hint="eastAsia"/>
                <w:color w:val="auto"/>
              </w:rPr>
              <w:t>中</w:t>
            </w:r>
          </w:p>
        </w:tc>
        <w:tc>
          <w:tcPr>
            <w:tcW w:w="565"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E3483AF" w14:textId="77777777" w:rsidR="00356CF7" w:rsidRPr="00A964FF" w:rsidRDefault="00356CF7" w:rsidP="009E3841">
            <w:pPr>
              <w:pStyle w:val="af3"/>
              <w:rPr>
                <w:color w:val="auto"/>
              </w:rPr>
            </w:pPr>
            <w:r w:rsidRPr="00A964FF">
              <w:rPr>
                <w:rFonts w:hint="eastAsia"/>
                <w:color w:val="auto"/>
              </w:rPr>
              <w:t>小</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FACA371" w14:textId="77777777" w:rsidR="00356CF7" w:rsidRPr="00A964FF" w:rsidRDefault="00356CF7" w:rsidP="009E3841">
            <w:pPr>
              <w:pStyle w:val="af3"/>
              <w:rPr>
                <w:color w:val="auto"/>
              </w:rPr>
            </w:pPr>
            <w:r w:rsidRPr="00A964FF">
              <w:rPr>
                <w:rFonts w:hint="eastAsia"/>
                <w:color w:val="auto"/>
              </w:rPr>
              <w:t>大</w:t>
            </w:r>
          </w:p>
        </w:tc>
        <w:tc>
          <w:tcPr>
            <w:tcW w:w="48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7D072234" w14:textId="77777777" w:rsidR="00356CF7" w:rsidRPr="00A964FF" w:rsidRDefault="00356CF7" w:rsidP="009E3841">
            <w:pPr>
              <w:pStyle w:val="af3"/>
              <w:rPr>
                <w:color w:val="auto"/>
              </w:rPr>
            </w:pPr>
            <w:r w:rsidRPr="00A964FF">
              <w:rPr>
                <w:rFonts w:hint="eastAsia"/>
                <w:color w:val="auto"/>
              </w:rPr>
              <w:t>中</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5B82446" w14:textId="77777777" w:rsidR="00356CF7" w:rsidRPr="00A964FF" w:rsidRDefault="00356CF7" w:rsidP="009E3841">
            <w:pPr>
              <w:pStyle w:val="af3"/>
              <w:rPr>
                <w:color w:val="auto"/>
              </w:rPr>
            </w:pPr>
            <w:r w:rsidRPr="00A964FF">
              <w:rPr>
                <w:rFonts w:hint="eastAsia"/>
                <w:color w:val="auto"/>
              </w:rPr>
              <w:t>小</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4543CD0" w14:textId="77777777" w:rsidR="00356CF7" w:rsidRPr="00A964FF" w:rsidRDefault="00356CF7" w:rsidP="009E3841">
            <w:pPr>
              <w:pStyle w:val="af3"/>
              <w:rPr>
                <w:color w:val="auto"/>
              </w:rPr>
            </w:pPr>
            <w:r w:rsidRPr="00A964FF">
              <w:rPr>
                <w:rFonts w:hint="eastAsia"/>
                <w:color w:val="auto"/>
              </w:rPr>
              <w:t>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EADD7EC" w14:textId="77777777" w:rsidR="00356CF7" w:rsidRPr="00A964FF" w:rsidRDefault="00356CF7" w:rsidP="009E3841">
            <w:pPr>
              <w:pStyle w:val="af3"/>
              <w:rPr>
                <w:color w:val="auto"/>
              </w:rPr>
            </w:pPr>
            <w:r w:rsidRPr="00A964FF">
              <w:rPr>
                <w:rFonts w:hint="eastAsia"/>
                <w:color w:val="auto"/>
              </w:rPr>
              <w:t>中</w:t>
            </w:r>
          </w:p>
        </w:tc>
        <w:tc>
          <w:tcPr>
            <w:tcW w:w="500" w:type="pct"/>
            <w:tcBorders>
              <w:top w:val="single" w:sz="2" w:space="0" w:color="000000"/>
              <w:left w:val="single" w:sz="2" w:space="0" w:color="000000"/>
              <w:bottom w:val="single" w:sz="2" w:space="0" w:color="000000"/>
            </w:tcBorders>
            <w:tcMar>
              <w:left w:w="28" w:type="dxa"/>
              <w:right w:w="28" w:type="dxa"/>
            </w:tcMar>
            <w:vAlign w:val="center"/>
          </w:tcPr>
          <w:p w14:paraId="2E4142D7" w14:textId="77777777" w:rsidR="00356CF7" w:rsidRPr="00A964FF" w:rsidRDefault="00356CF7" w:rsidP="009E3841">
            <w:pPr>
              <w:pStyle w:val="af3"/>
              <w:rPr>
                <w:color w:val="auto"/>
              </w:rPr>
            </w:pPr>
            <w:r w:rsidRPr="00A964FF">
              <w:rPr>
                <w:rFonts w:hint="eastAsia"/>
                <w:color w:val="auto"/>
              </w:rPr>
              <w:t>小</w:t>
            </w:r>
          </w:p>
        </w:tc>
      </w:tr>
      <w:tr w:rsidR="00356CF7" w:rsidRPr="00A964FF" w14:paraId="72A78244" w14:textId="77777777" w:rsidTr="00484816">
        <w:trPr>
          <w:trHeight w:val="340"/>
        </w:trPr>
        <w:tc>
          <w:tcPr>
            <w:tcW w:w="947" w:type="pct"/>
            <w:tcBorders>
              <w:top w:val="single" w:sz="2" w:space="0" w:color="000000"/>
              <w:bottom w:val="single" w:sz="2" w:space="0" w:color="000000"/>
              <w:right w:val="single" w:sz="2" w:space="0" w:color="000000"/>
            </w:tcBorders>
            <w:tcMar>
              <w:left w:w="28" w:type="dxa"/>
              <w:right w:w="28" w:type="dxa"/>
            </w:tcMar>
            <w:vAlign w:val="center"/>
          </w:tcPr>
          <w:p w14:paraId="65FF0C40" w14:textId="77777777" w:rsidR="00356CF7" w:rsidRPr="00A964FF" w:rsidRDefault="00356CF7" w:rsidP="009E3841">
            <w:pPr>
              <w:pStyle w:val="af3"/>
              <w:rPr>
                <w:color w:val="auto"/>
              </w:rPr>
            </w:pPr>
            <w:r w:rsidRPr="00A964FF">
              <w:rPr>
                <w:rFonts w:hint="eastAsia"/>
                <w:color w:val="auto"/>
              </w:rPr>
              <w:t>敏感</w:t>
            </w:r>
          </w:p>
        </w:tc>
        <w:tc>
          <w:tcPr>
            <w:tcW w:w="41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485E5E5" w14:textId="77777777" w:rsidR="00356CF7" w:rsidRPr="00A964FF" w:rsidRDefault="00356CF7" w:rsidP="009E3841">
            <w:pPr>
              <w:pStyle w:val="af3"/>
              <w:rPr>
                <w:color w:val="auto"/>
              </w:rPr>
            </w:pPr>
            <w:r w:rsidRPr="00A964FF">
              <w:rPr>
                <w:rFonts w:hint="eastAsia"/>
                <w:color w:val="auto"/>
              </w:rPr>
              <w:t>一级</w:t>
            </w:r>
          </w:p>
        </w:tc>
        <w:tc>
          <w:tcPr>
            <w:tcW w:w="46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FD13239" w14:textId="77777777" w:rsidR="00356CF7" w:rsidRPr="00A964FF" w:rsidRDefault="00356CF7" w:rsidP="009E3841">
            <w:pPr>
              <w:pStyle w:val="af3"/>
              <w:rPr>
                <w:color w:val="auto"/>
              </w:rPr>
            </w:pPr>
            <w:r w:rsidRPr="00A964FF">
              <w:rPr>
                <w:rFonts w:hint="eastAsia"/>
                <w:color w:val="auto"/>
              </w:rPr>
              <w:t>一级</w:t>
            </w:r>
          </w:p>
        </w:tc>
        <w:tc>
          <w:tcPr>
            <w:tcW w:w="565"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78078BE" w14:textId="77777777" w:rsidR="00356CF7" w:rsidRPr="00A964FF" w:rsidRDefault="00356CF7" w:rsidP="009E3841">
            <w:pPr>
              <w:pStyle w:val="af3"/>
              <w:rPr>
                <w:color w:val="auto"/>
              </w:rPr>
            </w:pPr>
            <w:r w:rsidRPr="00A964FF">
              <w:rPr>
                <w:rFonts w:hint="eastAsia"/>
                <w:color w:val="auto"/>
              </w:rPr>
              <w:t>一级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6A4E82A" w14:textId="77777777" w:rsidR="00356CF7" w:rsidRPr="00A964FF" w:rsidRDefault="00356CF7" w:rsidP="009E3841">
            <w:pPr>
              <w:pStyle w:val="af3"/>
              <w:rPr>
                <w:color w:val="auto"/>
              </w:rPr>
            </w:pPr>
            <w:r w:rsidRPr="00A964FF">
              <w:rPr>
                <w:rFonts w:hint="eastAsia"/>
                <w:color w:val="auto"/>
              </w:rPr>
              <w:t>二级</w:t>
            </w:r>
          </w:p>
        </w:tc>
        <w:tc>
          <w:tcPr>
            <w:tcW w:w="48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F6B769E" w14:textId="77777777" w:rsidR="00356CF7" w:rsidRPr="00A964FF" w:rsidRDefault="00356CF7" w:rsidP="009E3841">
            <w:pPr>
              <w:pStyle w:val="af3"/>
              <w:rPr>
                <w:color w:val="auto"/>
              </w:rPr>
            </w:pPr>
            <w:r w:rsidRPr="00A964FF">
              <w:rPr>
                <w:rFonts w:hint="eastAsia"/>
                <w:color w:val="auto"/>
              </w:rPr>
              <w:t>二级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28B23955" w14:textId="77777777" w:rsidR="00356CF7" w:rsidRPr="00A964FF" w:rsidRDefault="00356CF7" w:rsidP="009E3841">
            <w:pPr>
              <w:pStyle w:val="af3"/>
              <w:rPr>
                <w:color w:val="auto"/>
              </w:rPr>
            </w:pPr>
            <w:r w:rsidRPr="00A964FF">
              <w:rPr>
                <w:rFonts w:hint="eastAsia"/>
                <w:color w:val="auto"/>
              </w:rPr>
              <w:t>二级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84E329E" w14:textId="77777777" w:rsidR="00356CF7" w:rsidRPr="00A964FF" w:rsidRDefault="00356CF7" w:rsidP="009E3841">
            <w:pPr>
              <w:pStyle w:val="af3"/>
              <w:rPr>
                <w:color w:val="auto"/>
              </w:rPr>
            </w:pPr>
            <w:r w:rsidRPr="00A964FF">
              <w:rPr>
                <w:rFonts w:hint="eastAsia"/>
                <w:color w:val="auto"/>
              </w:rPr>
              <w:t>三级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AF8AED7" w14:textId="77777777" w:rsidR="00356CF7" w:rsidRPr="00A964FF" w:rsidRDefault="00356CF7" w:rsidP="009E3841">
            <w:pPr>
              <w:pStyle w:val="af3"/>
              <w:rPr>
                <w:color w:val="auto"/>
              </w:rPr>
            </w:pPr>
            <w:r w:rsidRPr="00A964FF">
              <w:rPr>
                <w:rFonts w:hint="eastAsia"/>
                <w:color w:val="auto"/>
              </w:rPr>
              <w:t>三级</w:t>
            </w:r>
          </w:p>
        </w:tc>
        <w:tc>
          <w:tcPr>
            <w:tcW w:w="500" w:type="pct"/>
            <w:tcBorders>
              <w:top w:val="single" w:sz="2" w:space="0" w:color="000000"/>
              <w:left w:val="single" w:sz="2" w:space="0" w:color="000000"/>
              <w:bottom w:val="single" w:sz="2" w:space="0" w:color="000000"/>
            </w:tcBorders>
            <w:tcMar>
              <w:left w:w="28" w:type="dxa"/>
              <w:right w:w="28" w:type="dxa"/>
            </w:tcMar>
            <w:vAlign w:val="center"/>
          </w:tcPr>
          <w:p w14:paraId="415846F8" w14:textId="77777777" w:rsidR="00356CF7" w:rsidRPr="00A964FF" w:rsidRDefault="00356CF7" w:rsidP="009E3841">
            <w:pPr>
              <w:pStyle w:val="af3"/>
              <w:rPr>
                <w:color w:val="auto"/>
              </w:rPr>
            </w:pPr>
            <w:r w:rsidRPr="00A964FF">
              <w:rPr>
                <w:rFonts w:hint="eastAsia"/>
                <w:color w:val="auto"/>
              </w:rPr>
              <w:t>三级</w:t>
            </w:r>
          </w:p>
        </w:tc>
      </w:tr>
      <w:tr w:rsidR="00356CF7" w:rsidRPr="00A964FF" w14:paraId="0EDFD710" w14:textId="77777777" w:rsidTr="00484816">
        <w:trPr>
          <w:trHeight w:val="340"/>
        </w:trPr>
        <w:tc>
          <w:tcPr>
            <w:tcW w:w="947" w:type="pct"/>
            <w:tcBorders>
              <w:top w:val="single" w:sz="2" w:space="0" w:color="000000"/>
              <w:bottom w:val="single" w:sz="2" w:space="0" w:color="000000"/>
              <w:right w:val="single" w:sz="2" w:space="0" w:color="000000"/>
            </w:tcBorders>
            <w:tcMar>
              <w:left w:w="28" w:type="dxa"/>
              <w:right w:w="28" w:type="dxa"/>
            </w:tcMar>
            <w:vAlign w:val="center"/>
          </w:tcPr>
          <w:p w14:paraId="1F3D534E" w14:textId="77777777" w:rsidR="00356CF7" w:rsidRPr="00A964FF" w:rsidRDefault="00356CF7" w:rsidP="009E3841">
            <w:pPr>
              <w:pStyle w:val="af3"/>
              <w:rPr>
                <w:color w:val="auto"/>
              </w:rPr>
            </w:pPr>
            <w:r w:rsidRPr="00A964FF">
              <w:rPr>
                <w:rFonts w:hint="eastAsia"/>
                <w:color w:val="auto"/>
              </w:rPr>
              <w:t>较敏感</w:t>
            </w:r>
          </w:p>
        </w:tc>
        <w:tc>
          <w:tcPr>
            <w:tcW w:w="41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EB1A0B2" w14:textId="77777777" w:rsidR="00356CF7" w:rsidRPr="00A964FF" w:rsidRDefault="00356CF7" w:rsidP="009E3841">
            <w:pPr>
              <w:pStyle w:val="af3"/>
              <w:rPr>
                <w:color w:val="auto"/>
              </w:rPr>
            </w:pPr>
            <w:r w:rsidRPr="00A964FF">
              <w:rPr>
                <w:rFonts w:hint="eastAsia"/>
                <w:color w:val="auto"/>
              </w:rPr>
              <w:t>一级</w:t>
            </w:r>
          </w:p>
        </w:tc>
        <w:tc>
          <w:tcPr>
            <w:tcW w:w="46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F6E7978" w14:textId="77777777" w:rsidR="00356CF7" w:rsidRPr="00A964FF" w:rsidRDefault="00356CF7" w:rsidP="009E3841">
            <w:pPr>
              <w:pStyle w:val="af3"/>
              <w:rPr>
                <w:color w:val="auto"/>
              </w:rPr>
            </w:pPr>
            <w:r w:rsidRPr="00A964FF">
              <w:rPr>
                <w:rFonts w:hint="eastAsia"/>
                <w:color w:val="auto"/>
              </w:rPr>
              <w:t>一级</w:t>
            </w:r>
          </w:p>
        </w:tc>
        <w:tc>
          <w:tcPr>
            <w:tcW w:w="565"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C36E242" w14:textId="77777777" w:rsidR="00356CF7" w:rsidRPr="00A964FF" w:rsidRDefault="00356CF7" w:rsidP="009E3841">
            <w:pPr>
              <w:pStyle w:val="af3"/>
              <w:rPr>
                <w:color w:val="auto"/>
              </w:rPr>
            </w:pPr>
            <w:r w:rsidRPr="00A964FF">
              <w:rPr>
                <w:rFonts w:hint="eastAsia"/>
                <w:color w:val="auto"/>
              </w:rPr>
              <w:t>二级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092ECDF" w14:textId="77777777" w:rsidR="00356CF7" w:rsidRPr="00A964FF" w:rsidRDefault="00356CF7" w:rsidP="009E3841">
            <w:pPr>
              <w:pStyle w:val="af3"/>
              <w:rPr>
                <w:color w:val="auto"/>
              </w:rPr>
            </w:pPr>
            <w:r w:rsidRPr="00A964FF">
              <w:rPr>
                <w:rFonts w:hint="eastAsia"/>
                <w:color w:val="auto"/>
              </w:rPr>
              <w:t>二级</w:t>
            </w:r>
          </w:p>
        </w:tc>
        <w:tc>
          <w:tcPr>
            <w:tcW w:w="48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5F95FA41" w14:textId="77777777" w:rsidR="00356CF7" w:rsidRPr="00A964FF" w:rsidRDefault="00356CF7" w:rsidP="009E3841">
            <w:pPr>
              <w:pStyle w:val="af3"/>
              <w:rPr>
                <w:color w:val="auto"/>
              </w:rPr>
            </w:pPr>
            <w:r w:rsidRPr="00A964FF">
              <w:rPr>
                <w:rFonts w:hint="eastAsia"/>
                <w:color w:val="auto"/>
              </w:rPr>
              <w:t>二级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7AE8840" w14:textId="77777777" w:rsidR="00356CF7" w:rsidRPr="00A964FF" w:rsidRDefault="00356CF7" w:rsidP="009E3841">
            <w:pPr>
              <w:pStyle w:val="af3"/>
              <w:rPr>
                <w:color w:val="auto"/>
              </w:rPr>
            </w:pPr>
            <w:r w:rsidRPr="00A964FF">
              <w:rPr>
                <w:rFonts w:hint="eastAsia"/>
                <w:color w:val="auto"/>
              </w:rPr>
              <w:t>三级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DADC3A9" w14:textId="77777777" w:rsidR="00356CF7" w:rsidRPr="00A964FF" w:rsidRDefault="00356CF7" w:rsidP="009E3841">
            <w:pPr>
              <w:pStyle w:val="af3"/>
              <w:rPr>
                <w:color w:val="auto"/>
              </w:rPr>
            </w:pPr>
            <w:r w:rsidRPr="00A964FF">
              <w:rPr>
                <w:rFonts w:hint="eastAsia"/>
                <w:color w:val="auto"/>
              </w:rPr>
              <w:t>三级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2E37FE04" w14:textId="77777777" w:rsidR="00356CF7" w:rsidRPr="00A964FF" w:rsidRDefault="00356CF7" w:rsidP="009E3841">
            <w:pPr>
              <w:pStyle w:val="af3"/>
              <w:rPr>
                <w:color w:val="auto"/>
              </w:rPr>
            </w:pPr>
            <w:r w:rsidRPr="00A964FF">
              <w:rPr>
                <w:rFonts w:hint="eastAsia"/>
                <w:color w:val="auto"/>
              </w:rPr>
              <w:t>三级</w:t>
            </w:r>
          </w:p>
        </w:tc>
        <w:tc>
          <w:tcPr>
            <w:tcW w:w="500" w:type="pct"/>
            <w:tcBorders>
              <w:top w:val="single" w:sz="2" w:space="0" w:color="000000"/>
              <w:left w:val="single" w:sz="2" w:space="0" w:color="000000"/>
              <w:bottom w:val="single" w:sz="2" w:space="0" w:color="000000"/>
            </w:tcBorders>
            <w:tcMar>
              <w:left w:w="28" w:type="dxa"/>
              <w:right w:w="28" w:type="dxa"/>
            </w:tcMar>
            <w:vAlign w:val="center"/>
          </w:tcPr>
          <w:p w14:paraId="3518AE34" w14:textId="77777777" w:rsidR="00356CF7" w:rsidRPr="00A964FF" w:rsidRDefault="00356CF7" w:rsidP="009E3841">
            <w:pPr>
              <w:pStyle w:val="af3"/>
              <w:rPr>
                <w:color w:val="auto"/>
              </w:rPr>
            </w:pPr>
            <w:r w:rsidRPr="00A964FF">
              <w:rPr>
                <w:rFonts w:hint="eastAsia"/>
                <w:color w:val="auto"/>
              </w:rPr>
              <w:t>—</w:t>
            </w:r>
          </w:p>
        </w:tc>
      </w:tr>
      <w:tr w:rsidR="00356CF7" w:rsidRPr="00A964FF" w14:paraId="7831AD7D" w14:textId="77777777" w:rsidTr="00484816">
        <w:trPr>
          <w:trHeight w:val="340"/>
        </w:trPr>
        <w:tc>
          <w:tcPr>
            <w:tcW w:w="947" w:type="pct"/>
            <w:tcBorders>
              <w:top w:val="single" w:sz="2" w:space="0" w:color="000000"/>
              <w:bottom w:val="single" w:sz="2" w:space="0" w:color="000000"/>
              <w:right w:val="single" w:sz="2" w:space="0" w:color="000000"/>
            </w:tcBorders>
            <w:tcMar>
              <w:left w:w="28" w:type="dxa"/>
              <w:right w:w="28" w:type="dxa"/>
            </w:tcMar>
            <w:vAlign w:val="center"/>
          </w:tcPr>
          <w:p w14:paraId="3C4A2FF1" w14:textId="77777777" w:rsidR="00356CF7" w:rsidRPr="00A964FF" w:rsidRDefault="00356CF7" w:rsidP="009E3841">
            <w:pPr>
              <w:pStyle w:val="af3"/>
              <w:rPr>
                <w:color w:val="auto"/>
              </w:rPr>
            </w:pPr>
            <w:r w:rsidRPr="00A964FF">
              <w:rPr>
                <w:rFonts w:hint="eastAsia"/>
                <w:color w:val="auto"/>
              </w:rPr>
              <w:t>不敏感</w:t>
            </w:r>
          </w:p>
        </w:tc>
        <w:tc>
          <w:tcPr>
            <w:tcW w:w="41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51E140F" w14:textId="77777777" w:rsidR="00356CF7" w:rsidRPr="00A964FF" w:rsidRDefault="00356CF7" w:rsidP="009E3841">
            <w:pPr>
              <w:pStyle w:val="af3"/>
              <w:rPr>
                <w:color w:val="auto"/>
              </w:rPr>
            </w:pPr>
            <w:r w:rsidRPr="00A964FF">
              <w:rPr>
                <w:rFonts w:hint="eastAsia"/>
                <w:color w:val="auto"/>
              </w:rPr>
              <w:t>一级</w:t>
            </w:r>
          </w:p>
        </w:tc>
        <w:tc>
          <w:tcPr>
            <w:tcW w:w="469"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6DF43F50" w14:textId="77777777" w:rsidR="00356CF7" w:rsidRPr="00A964FF" w:rsidRDefault="00356CF7" w:rsidP="00484816">
            <w:pPr>
              <w:pStyle w:val="af3"/>
              <w:rPr>
                <w:color w:val="auto"/>
              </w:rPr>
            </w:pPr>
            <w:r w:rsidRPr="00A964FF">
              <w:rPr>
                <w:rFonts w:hint="eastAsia"/>
                <w:color w:val="auto"/>
              </w:rPr>
              <w:t>二级</w:t>
            </w:r>
            <w:r w:rsidR="00DA5D55" w:rsidRPr="00A964FF">
              <w:rPr>
                <w:rFonts w:hint="eastAsia"/>
                <w:color w:val="auto"/>
              </w:rPr>
              <w:t>（本项目）</w:t>
            </w:r>
          </w:p>
        </w:tc>
        <w:tc>
          <w:tcPr>
            <w:tcW w:w="565"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4E2DE549" w14:textId="77777777" w:rsidR="00356CF7" w:rsidRDefault="00356CF7" w:rsidP="0011037A">
            <w:pPr>
              <w:pStyle w:val="af3"/>
              <w:rPr>
                <w:color w:val="auto"/>
              </w:rPr>
            </w:pPr>
            <w:r w:rsidRPr="00A964FF">
              <w:rPr>
                <w:rFonts w:hint="eastAsia"/>
                <w:color w:val="auto"/>
              </w:rPr>
              <w:t>二级</w:t>
            </w:r>
          </w:p>
          <w:p w14:paraId="51C1F9DC" w14:textId="77777777" w:rsidR="00484816" w:rsidRPr="00A964FF" w:rsidRDefault="00484816" w:rsidP="0011037A">
            <w:pPr>
              <w:pStyle w:val="af3"/>
              <w:rPr>
                <w:color w:val="auto"/>
              </w:rPr>
            </w:pP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199B4CAF" w14:textId="77777777" w:rsidR="00356CF7" w:rsidRPr="00A964FF" w:rsidRDefault="00356CF7" w:rsidP="009E3841">
            <w:pPr>
              <w:pStyle w:val="af3"/>
              <w:rPr>
                <w:color w:val="auto"/>
              </w:rPr>
            </w:pPr>
            <w:r w:rsidRPr="00A964FF">
              <w:rPr>
                <w:rFonts w:hint="eastAsia"/>
                <w:color w:val="auto"/>
              </w:rPr>
              <w:t>二级</w:t>
            </w:r>
          </w:p>
        </w:tc>
        <w:tc>
          <w:tcPr>
            <w:tcW w:w="483"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75D98E4B" w14:textId="77777777" w:rsidR="00356CF7" w:rsidRPr="00A964FF" w:rsidRDefault="00356CF7" w:rsidP="009E3841">
            <w:pPr>
              <w:pStyle w:val="af3"/>
              <w:rPr>
                <w:color w:val="auto"/>
              </w:rPr>
            </w:pPr>
            <w:r w:rsidRPr="00A964FF">
              <w:rPr>
                <w:rFonts w:hint="eastAsia"/>
                <w:color w:val="auto"/>
              </w:rPr>
              <w:t>三级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3634C058" w14:textId="77777777" w:rsidR="00356CF7" w:rsidRPr="00A964FF" w:rsidRDefault="00356CF7" w:rsidP="009E3841">
            <w:pPr>
              <w:pStyle w:val="af3"/>
              <w:rPr>
                <w:color w:val="auto"/>
              </w:rPr>
            </w:pPr>
            <w:r w:rsidRPr="00A964FF">
              <w:rPr>
                <w:rFonts w:hint="eastAsia"/>
                <w:color w:val="auto"/>
              </w:rPr>
              <w:t>三级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20C3B56E" w14:textId="77777777" w:rsidR="00356CF7" w:rsidRPr="00A964FF" w:rsidRDefault="00356CF7" w:rsidP="009E3841">
            <w:pPr>
              <w:pStyle w:val="af3"/>
              <w:rPr>
                <w:color w:val="auto"/>
              </w:rPr>
            </w:pPr>
            <w:r w:rsidRPr="00A964FF">
              <w:rPr>
                <w:rFonts w:hint="eastAsia"/>
                <w:color w:val="auto"/>
              </w:rPr>
              <w:t>三级</w:t>
            </w:r>
          </w:p>
        </w:tc>
        <w:tc>
          <w:tcPr>
            <w:tcW w:w="404" w:type="pct"/>
            <w:tcBorders>
              <w:top w:val="single" w:sz="2" w:space="0" w:color="000000"/>
              <w:left w:val="single" w:sz="2" w:space="0" w:color="000000"/>
              <w:bottom w:val="single" w:sz="2" w:space="0" w:color="000000"/>
              <w:right w:val="single" w:sz="2" w:space="0" w:color="000000"/>
            </w:tcBorders>
            <w:tcMar>
              <w:left w:w="28" w:type="dxa"/>
              <w:right w:w="28" w:type="dxa"/>
            </w:tcMar>
            <w:vAlign w:val="center"/>
          </w:tcPr>
          <w:p w14:paraId="0F13FF0D" w14:textId="77777777" w:rsidR="00356CF7" w:rsidRPr="00A964FF" w:rsidRDefault="00356CF7" w:rsidP="009E3841">
            <w:pPr>
              <w:pStyle w:val="af3"/>
              <w:rPr>
                <w:color w:val="auto"/>
              </w:rPr>
            </w:pPr>
            <w:r w:rsidRPr="00A964FF">
              <w:rPr>
                <w:rFonts w:hint="eastAsia"/>
                <w:color w:val="auto"/>
              </w:rPr>
              <w:t>—</w:t>
            </w:r>
          </w:p>
        </w:tc>
        <w:tc>
          <w:tcPr>
            <w:tcW w:w="500" w:type="pct"/>
            <w:tcBorders>
              <w:top w:val="single" w:sz="2" w:space="0" w:color="000000"/>
              <w:left w:val="single" w:sz="2" w:space="0" w:color="000000"/>
              <w:bottom w:val="single" w:sz="2" w:space="0" w:color="000000"/>
            </w:tcBorders>
            <w:tcMar>
              <w:left w:w="28" w:type="dxa"/>
              <w:right w:w="28" w:type="dxa"/>
            </w:tcMar>
            <w:vAlign w:val="center"/>
          </w:tcPr>
          <w:p w14:paraId="0D2C5125" w14:textId="77777777" w:rsidR="00356CF7" w:rsidRPr="00A964FF" w:rsidRDefault="00356CF7" w:rsidP="009E3841">
            <w:pPr>
              <w:pStyle w:val="af3"/>
              <w:rPr>
                <w:color w:val="auto"/>
              </w:rPr>
            </w:pPr>
            <w:r w:rsidRPr="00A964FF">
              <w:rPr>
                <w:rFonts w:hint="eastAsia"/>
                <w:color w:val="auto"/>
              </w:rPr>
              <w:t>—</w:t>
            </w:r>
          </w:p>
        </w:tc>
      </w:tr>
      <w:tr w:rsidR="00356CF7" w:rsidRPr="00A964FF" w14:paraId="47DCB72A" w14:textId="77777777" w:rsidTr="00F62C9D">
        <w:trPr>
          <w:trHeight w:val="340"/>
        </w:trPr>
        <w:tc>
          <w:tcPr>
            <w:tcW w:w="5000" w:type="pct"/>
            <w:gridSpan w:val="10"/>
            <w:tcBorders>
              <w:top w:val="single" w:sz="2" w:space="0" w:color="000000"/>
              <w:bottom w:val="single" w:sz="12" w:space="0" w:color="000000"/>
            </w:tcBorders>
            <w:tcMar>
              <w:left w:w="28" w:type="dxa"/>
              <w:right w:w="28" w:type="dxa"/>
            </w:tcMar>
            <w:vAlign w:val="center"/>
          </w:tcPr>
          <w:p w14:paraId="24D98554" w14:textId="77777777" w:rsidR="00356CF7" w:rsidRPr="00A964FF" w:rsidRDefault="00356CF7" w:rsidP="009E3841">
            <w:pPr>
              <w:pStyle w:val="af3"/>
              <w:rPr>
                <w:color w:val="auto"/>
              </w:rPr>
            </w:pPr>
            <w:r w:rsidRPr="00A964FF">
              <w:rPr>
                <w:rFonts w:hint="eastAsia"/>
                <w:color w:val="auto"/>
              </w:rPr>
              <w:t>注：“—”表示可不开展土壤环境影响评价工作</w:t>
            </w:r>
          </w:p>
        </w:tc>
      </w:tr>
    </w:tbl>
    <w:p w14:paraId="796BA351" w14:textId="77777777" w:rsidR="00356CF7" w:rsidRPr="00A964FF" w:rsidRDefault="00356CF7" w:rsidP="00356CF7">
      <w:pPr>
        <w:pStyle w:val="ad"/>
        <w:rPr>
          <w:rFonts w:ascii="Calibri" w:hAnsi="Calibri"/>
          <w:color w:val="auto"/>
        </w:rPr>
      </w:pPr>
      <w:r w:rsidRPr="00A964FF">
        <w:rPr>
          <w:rFonts w:ascii="Calibri" w:hAnsi="Calibri" w:hint="eastAsia"/>
          <w:color w:val="auto"/>
        </w:rPr>
        <w:t>4.4.3</w:t>
      </w:r>
      <w:r w:rsidRPr="00A964FF">
        <w:rPr>
          <w:rFonts w:ascii="Calibri" w:hAnsi="Calibri" w:hint="eastAsia"/>
          <w:color w:val="auto"/>
        </w:rPr>
        <w:t>现状调查与评价</w:t>
      </w:r>
    </w:p>
    <w:p w14:paraId="31654B32" w14:textId="77777777" w:rsidR="00422B46" w:rsidRPr="00A964FF" w:rsidRDefault="00422B46" w:rsidP="00A15F3C">
      <w:pPr>
        <w:pStyle w:val="00"/>
        <w:rPr>
          <w:rFonts w:ascii="Calibri" w:hAnsi="Times New Roman"/>
          <w:b/>
          <w:color w:val="auto"/>
        </w:rPr>
      </w:pPr>
      <w:r w:rsidRPr="00A964FF">
        <w:rPr>
          <w:rFonts w:ascii="Calibri" w:hAnsi="Times New Roman" w:hint="eastAsia"/>
          <w:b/>
          <w:color w:val="auto"/>
        </w:rPr>
        <w:t>1</w:t>
      </w:r>
      <w:r w:rsidRPr="00A964FF">
        <w:rPr>
          <w:rFonts w:ascii="Calibri" w:hAnsi="Times New Roman" w:hint="eastAsia"/>
          <w:b/>
          <w:color w:val="auto"/>
        </w:rPr>
        <w:t>、环境影响识别</w:t>
      </w:r>
    </w:p>
    <w:p w14:paraId="16027EE1" w14:textId="77777777" w:rsidR="00422B46" w:rsidRPr="00A964FF" w:rsidRDefault="00422B46" w:rsidP="00C12CBB">
      <w:pPr>
        <w:pStyle w:val="00"/>
        <w:ind w:firstLineChars="2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1</w:t>
      </w:r>
      <w:r w:rsidRPr="00A964FF">
        <w:rPr>
          <w:rFonts w:ascii="Calibri" w:hAnsi="Times New Roman" w:hint="eastAsia"/>
          <w:color w:val="auto"/>
        </w:rPr>
        <w:t>）影响类型及途径</w:t>
      </w:r>
    </w:p>
    <w:p w14:paraId="78CA3CAD" w14:textId="77777777" w:rsidR="00AF4E45" w:rsidRDefault="0011037A" w:rsidP="00EA2872">
      <w:pPr>
        <w:pStyle w:val="00"/>
        <w:ind w:firstLineChars="200"/>
        <w:rPr>
          <w:rFonts w:ascii="Calibri" w:hAnsi="Times New Roman"/>
          <w:color w:val="auto"/>
        </w:rPr>
      </w:pPr>
      <w:r w:rsidRPr="00A964FF">
        <w:rPr>
          <w:rFonts w:ascii="Calibri" w:hAnsi="Times New Roman" w:hint="eastAsia"/>
          <w:color w:val="auto"/>
        </w:rPr>
        <w:t>本项目施工期主要为</w:t>
      </w:r>
      <w:r w:rsidR="00A53ECC" w:rsidRPr="00A964FF">
        <w:rPr>
          <w:rFonts w:ascii="Calibri" w:hAnsi="Times New Roman" w:hint="eastAsia"/>
          <w:color w:val="auto"/>
        </w:rPr>
        <w:t>厂房、</w:t>
      </w:r>
      <w:r w:rsidRPr="00A964FF">
        <w:rPr>
          <w:rFonts w:ascii="Calibri" w:hAnsi="Times New Roman" w:hint="eastAsia"/>
          <w:color w:val="auto"/>
        </w:rPr>
        <w:t>环保设施建设及设备安装，主要污染物为施工期扬尘，不涉及土壤污染影响。营运期废气污染物</w:t>
      </w:r>
      <w:r w:rsidR="004A4440">
        <w:rPr>
          <w:rFonts w:ascii="Calibri" w:hAnsi="Times New Roman" w:hint="eastAsia"/>
          <w:color w:val="auto"/>
        </w:rPr>
        <w:t>不涉及</w:t>
      </w:r>
      <w:r w:rsidR="004A4440">
        <w:rPr>
          <w:rFonts w:ascii="Calibri" w:hAnsi="Times New Roman"/>
          <w:color w:val="auto"/>
        </w:rPr>
        <w:t>大气沉降</w:t>
      </w:r>
      <w:r w:rsidR="004A4440">
        <w:rPr>
          <w:rFonts w:ascii="Calibri" w:hAnsi="Times New Roman" w:hint="eastAsia"/>
          <w:color w:val="auto"/>
        </w:rPr>
        <w:t>影响</w:t>
      </w:r>
      <w:r w:rsidR="004A4440">
        <w:rPr>
          <w:rFonts w:ascii="Calibri" w:hAnsi="Times New Roman"/>
          <w:color w:val="auto"/>
        </w:rPr>
        <w:t>，主要</w:t>
      </w:r>
      <w:r w:rsidR="004A4440">
        <w:rPr>
          <w:rFonts w:ascii="Calibri" w:hAnsi="Times New Roman" w:hint="eastAsia"/>
          <w:color w:val="auto"/>
        </w:rPr>
        <w:t>涉及</w:t>
      </w:r>
      <w:r w:rsidR="004A4440">
        <w:rPr>
          <w:rFonts w:ascii="Calibri" w:hAnsi="Times New Roman"/>
          <w:color w:val="auto"/>
        </w:rPr>
        <w:t>储存的危险化学品事故泄露状态</w:t>
      </w:r>
      <w:r w:rsidR="004A4440">
        <w:rPr>
          <w:rFonts w:ascii="Calibri" w:hAnsi="Times New Roman" w:hint="eastAsia"/>
          <w:color w:val="auto"/>
        </w:rPr>
        <w:t>下渗</w:t>
      </w:r>
      <w:r w:rsidR="004A4440">
        <w:rPr>
          <w:rFonts w:ascii="Calibri" w:hAnsi="Times New Roman"/>
          <w:color w:val="auto"/>
        </w:rPr>
        <w:t>对土壤造成的垂直入渗的影响。</w:t>
      </w:r>
      <w:r w:rsidRPr="00A964FF">
        <w:rPr>
          <w:rFonts w:ascii="Calibri" w:hAnsi="Times New Roman" w:hint="eastAsia"/>
          <w:color w:val="auto"/>
        </w:rPr>
        <w:t>项目生产废水经管道进入厂区废水处理站处理</w:t>
      </w:r>
      <w:r w:rsidR="007B1841" w:rsidRPr="00A964FF">
        <w:rPr>
          <w:rFonts w:ascii="Calibri" w:hAnsi="Times New Roman" w:hint="eastAsia"/>
          <w:color w:val="auto"/>
        </w:rPr>
        <w:t>达标后</w:t>
      </w:r>
      <w:r w:rsidRPr="00A964FF">
        <w:rPr>
          <w:rFonts w:ascii="Calibri" w:hAnsi="Times New Roman" w:hint="eastAsia"/>
          <w:color w:val="auto"/>
        </w:rPr>
        <w:t>进入聚集区污水处理厂集中处理，不会造成废水地面漫流影响。</w:t>
      </w:r>
    </w:p>
    <w:p w14:paraId="0186A8DF" w14:textId="77777777" w:rsidR="00EA2872" w:rsidRPr="00A814F7" w:rsidRDefault="00422B46" w:rsidP="00A814F7">
      <w:pPr>
        <w:pStyle w:val="00"/>
        <w:ind w:firstLineChars="200"/>
        <w:rPr>
          <w:rFonts w:ascii="Calibri" w:hAnsi="Times New Roman"/>
          <w:color w:val="auto"/>
        </w:rPr>
      </w:pPr>
      <w:r w:rsidRPr="00A964FF">
        <w:rPr>
          <w:rFonts w:ascii="Calibri" w:hAnsi="Times New Roman" w:hint="eastAsia"/>
          <w:color w:val="auto"/>
        </w:rPr>
        <w:t>本项目属于污染类影响项目，环境影响类型</w:t>
      </w:r>
      <w:r w:rsidR="00F62C9D" w:rsidRPr="00A964FF">
        <w:rPr>
          <w:rFonts w:ascii="Calibri" w:hint="eastAsia"/>
          <w:color w:val="auto"/>
        </w:rPr>
        <w:t>见表</w:t>
      </w:r>
      <w:r w:rsidR="00F62C9D" w:rsidRPr="00A964FF">
        <w:rPr>
          <w:rFonts w:ascii="Calibri" w:hint="eastAsia"/>
          <w:color w:val="auto"/>
        </w:rPr>
        <w:t>4</w:t>
      </w:r>
      <w:r w:rsidR="003B40FF" w:rsidRPr="00A964FF">
        <w:rPr>
          <w:rFonts w:ascii="Calibri" w:hint="eastAsia"/>
          <w:color w:val="auto"/>
        </w:rPr>
        <w:t>.4</w:t>
      </w:r>
      <w:r w:rsidR="00F62C9D" w:rsidRPr="00A964FF">
        <w:rPr>
          <w:rFonts w:ascii="Calibri" w:hint="eastAsia"/>
          <w:color w:val="auto"/>
        </w:rPr>
        <w:t>-</w:t>
      </w:r>
      <w:r w:rsidR="003B40FF" w:rsidRPr="00A964FF">
        <w:rPr>
          <w:rFonts w:ascii="Calibri" w:hint="eastAsia"/>
          <w:color w:val="auto"/>
        </w:rPr>
        <w:t>3</w:t>
      </w:r>
      <w:r w:rsidR="00F62C9D" w:rsidRPr="00A964FF">
        <w:rPr>
          <w:rFonts w:ascii="Calibri" w:hint="eastAsia"/>
          <w:color w:val="auto"/>
        </w:rPr>
        <w:t>。</w:t>
      </w:r>
    </w:p>
    <w:p w14:paraId="26091568" w14:textId="77777777" w:rsidR="00422B46" w:rsidRPr="00A964FF" w:rsidRDefault="00422B46" w:rsidP="00422B46">
      <w:pPr>
        <w:pStyle w:val="00"/>
        <w:ind w:firstLineChars="150" w:firstLine="360"/>
        <w:rPr>
          <w:rFonts w:ascii="黑体" w:eastAsia="黑体" w:hAnsi="黑体"/>
          <w:color w:val="auto"/>
        </w:rPr>
      </w:pPr>
      <w:r w:rsidRPr="00A964FF">
        <w:rPr>
          <w:rFonts w:ascii="Calibri" w:eastAsia="黑体" w:hAnsi="黑体"/>
          <w:color w:val="auto"/>
        </w:rPr>
        <w:t>表</w:t>
      </w:r>
      <w:r w:rsidRPr="00A964FF">
        <w:rPr>
          <w:rFonts w:ascii="Calibri" w:eastAsia="黑体" w:hAnsi="Calibri"/>
          <w:color w:val="auto"/>
        </w:rPr>
        <w:t>4</w:t>
      </w:r>
      <w:r w:rsidR="003B40FF" w:rsidRPr="00A964FF">
        <w:rPr>
          <w:rFonts w:ascii="Calibri" w:eastAsia="黑体" w:hAnsi="Calibri" w:hint="eastAsia"/>
          <w:color w:val="auto"/>
        </w:rPr>
        <w:t>.4</w:t>
      </w:r>
      <w:r w:rsidRPr="00A964FF">
        <w:rPr>
          <w:rFonts w:ascii="Calibri" w:eastAsia="黑体" w:hAnsi="Calibri"/>
          <w:color w:val="auto"/>
        </w:rPr>
        <w:t>-</w:t>
      </w:r>
      <w:r w:rsidR="003B40FF" w:rsidRPr="00A964FF">
        <w:rPr>
          <w:rFonts w:ascii="Calibri" w:eastAsia="黑体" w:hAnsi="Calibri" w:hint="eastAsia"/>
          <w:color w:val="auto"/>
        </w:rPr>
        <w:t>3</w:t>
      </w:r>
      <w:r w:rsidRPr="00A964FF">
        <w:rPr>
          <w:rFonts w:ascii="Calibri" w:eastAsia="黑体" w:hAnsi="Calibri"/>
          <w:color w:val="auto"/>
        </w:rPr>
        <w:t xml:space="preserve"> </w:t>
      </w:r>
      <w:r w:rsidRPr="00A964FF">
        <w:rPr>
          <w:rFonts w:ascii="黑体" w:eastAsia="黑体" w:hAnsi="黑体" w:hint="eastAsia"/>
          <w:color w:val="auto"/>
        </w:rPr>
        <w:t xml:space="preserve">    </w:t>
      </w:r>
      <w:r w:rsidR="00F62C9D" w:rsidRPr="00A964FF">
        <w:rPr>
          <w:rFonts w:ascii="黑体" w:eastAsia="黑体" w:hAnsi="黑体" w:hint="eastAsia"/>
          <w:color w:val="auto"/>
        </w:rPr>
        <w:t xml:space="preserve">     </w:t>
      </w:r>
      <w:r w:rsidRPr="00A964FF">
        <w:rPr>
          <w:rFonts w:ascii="黑体" w:eastAsia="黑体" w:hAnsi="黑体" w:hint="eastAsia"/>
          <w:color w:val="auto"/>
        </w:rPr>
        <w:t xml:space="preserve">   建设项目环境影响类型与影响途径表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174"/>
        <w:gridCol w:w="1811"/>
        <w:gridCol w:w="1811"/>
        <w:gridCol w:w="1811"/>
        <w:gridCol w:w="1093"/>
      </w:tblGrid>
      <w:tr w:rsidR="00422B46" w:rsidRPr="00A964FF" w14:paraId="613571FF" w14:textId="77777777" w:rsidTr="00F62C9D">
        <w:trPr>
          <w:trHeight w:val="369"/>
        </w:trPr>
        <w:tc>
          <w:tcPr>
            <w:tcW w:w="1249" w:type="pct"/>
            <w:vMerge w:val="restart"/>
            <w:vAlign w:val="center"/>
          </w:tcPr>
          <w:p w14:paraId="4586F892"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不同时段</w:t>
            </w:r>
          </w:p>
        </w:tc>
        <w:tc>
          <w:tcPr>
            <w:tcW w:w="3751" w:type="pct"/>
            <w:gridSpan w:val="4"/>
            <w:vAlign w:val="center"/>
          </w:tcPr>
          <w:p w14:paraId="65FACA72"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污染影响型</w:t>
            </w:r>
          </w:p>
        </w:tc>
      </w:tr>
      <w:tr w:rsidR="00422B46" w:rsidRPr="00A964FF" w14:paraId="193DCB18" w14:textId="77777777" w:rsidTr="0011037A">
        <w:trPr>
          <w:trHeight w:val="369"/>
        </w:trPr>
        <w:tc>
          <w:tcPr>
            <w:tcW w:w="1249" w:type="pct"/>
            <w:vMerge/>
            <w:vAlign w:val="center"/>
          </w:tcPr>
          <w:p w14:paraId="5A6323C5"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1041" w:type="pct"/>
            <w:vAlign w:val="center"/>
          </w:tcPr>
          <w:p w14:paraId="28601821"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大气沉降</w:t>
            </w:r>
          </w:p>
        </w:tc>
        <w:tc>
          <w:tcPr>
            <w:tcW w:w="1041" w:type="pct"/>
            <w:vAlign w:val="center"/>
          </w:tcPr>
          <w:p w14:paraId="098A827B"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地面漫流</w:t>
            </w:r>
          </w:p>
        </w:tc>
        <w:tc>
          <w:tcPr>
            <w:tcW w:w="1041" w:type="pct"/>
            <w:vAlign w:val="center"/>
          </w:tcPr>
          <w:p w14:paraId="21BC7004"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垂直入渗</w:t>
            </w:r>
          </w:p>
        </w:tc>
        <w:tc>
          <w:tcPr>
            <w:tcW w:w="628" w:type="pct"/>
            <w:vAlign w:val="center"/>
          </w:tcPr>
          <w:p w14:paraId="5522204B"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其它</w:t>
            </w:r>
          </w:p>
        </w:tc>
      </w:tr>
      <w:tr w:rsidR="00422B46" w:rsidRPr="00A964FF" w14:paraId="4CB3F273" w14:textId="77777777" w:rsidTr="0011037A">
        <w:trPr>
          <w:trHeight w:val="369"/>
        </w:trPr>
        <w:tc>
          <w:tcPr>
            <w:tcW w:w="1249" w:type="pct"/>
            <w:vAlign w:val="center"/>
          </w:tcPr>
          <w:p w14:paraId="72A51622"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建设期</w:t>
            </w:r>
          </w:p>
        </w:tc>
        <w:tc>
          <w:tcPr>
            <w:tcW w:w="1041" w:type="pct"/>
            <w:vAlign w:val="center"/>
          </w:tcPr>
          <w:p w14:paraId="424EFBF4"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1041" w:type="pct"/>
            <w:vAlign w:val="center"/>
          </w:tcPr>
          <w:p w14:paraId="6B24A52B"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1041" w:type="pct"/>
            <w:vAlign w:val="center"/>
          </w:tcPr>
          <w:p w14:paraId="77E1412D"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628" w:type="pct"/>
            <w:vAlign w:val="center"/>
          </w:tcPr>
          <w:p w14:paraId="178E648B" w14:textId="77777777" w:rsidR="00422B46" w:rsidRPr="00A964FF" w:rsidRDefault="00422B46" w:rsidP="009E3841">
            <w:pPr>
              <w:pStyle w:val="00"/>
              <w:spacing w:line="240" w:lineRule="auto"/>
              <w:ind w:firstLine="0"/>
              <w:jc w:val="center"/>
              <w:rPr>
                <w:rFonts w:ascii="Calibri" w:hAnsi="Calibri"/>
                <w:color w:val="auto"/>
                <w:sz w:val="21"/>
                <w:szCs w:val="21"/>
              </w:rPr>
            </w:pPr>
          </w:p>
        </w:tc>
      </w:tr>
      <w:tr w:rsidR="00422B46" w:rsidRPr="00A964FF" w14:paraId="3CCC01E6" w14:textId="77777777" w:rsidTr="0011037A">
        <w:trPr>
          <w:trHeight w:val="369"/>
        </w:trPr>
        <w:tc>
          <w:tcPr>
            <w:tcW w:w="1249" w:type="pct"/>
            <w:vAlign w:val="center"/>
          </w:tcPr>
          <w:p w14:paraId="2E690A55"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运营期</w:t>
            </w:r>
          </w:p>
        </w:tc>
        <w:tc>
          <w:tcPr>
            <w:tcW w:w="1041" w:type="pct"/>
            <w:vAlign w:val="center"/>
          </w:tcPr>
          <w:p w14:paraId="0EBE2F94"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1041" w:type="pct"/>
            <w:vAlign w:val="center"/>
          </w:tcPr>
          <w:p w14:paraId="31340C4B"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1041" w:type="pct"/>
            <w:vAlign w:val="center"/>
          </w:tcPr>
          <w:p w14:paraId="34C876AF"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w:t>
            </w:r>
          </w:p>
        </w:tc>
        <w:tc>
          <w:tcPr>
            <w:tcW w:w="628" w:type="pct"/>
            <w:vAlign w:val="center"/>
          </w:tcPr>
          <w:p w14:paraId="097DDE76" w14:textId="77777777" w:rsidR="00422B46" w:rsidRPr="00A964FF" w:rsidRDefault="00422B46" w:rsidP="009E3841">
            <w:pPr>
              <w:pStyle w:val="00"/>
              <w:spacing w:line="240" w:lineRule="auto"/>
              <w:ind w:firstLine="0"/>
              <w:jc w:val="center"/>
              <w:rPr>
                <w:rFonts w:ascii="Calibri" w:hAnsi="Calibri"/>
                <w:color w:val="auto"/>
                <w:sz w:val="21"/>
                <w:szCs w:val="21"/>
              </w:rPr>
            </w:pPr>
          </w:p>
        </w:tc>
      </w:tr>
      <w:tr w:rsidR="00422B46" w:rsidRPr="00A964FF" w14:paraId="02931BC3" w14:textId="77777777" w:rsidTr="0011037A">
        <w:trPr>
          <w:trHeight w:val="369"/>
        </w:trPr>
        <w:tc>
          <w:tcPr>
            <w:tcW w:w="1249" w:type="pct"/>
            <w:vAlign w:val="center"/>
          </w:tcPr>
          <w:p w14:paraId="7971B4C2" w14:textId="77777777" w:rsidR="00422B46" w:rsidRPr="00A964FF" w:rsidRDefault="00422B46" w:rsidP="009E3841">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服务期满后</w:t>
            </w:r>
          </w:p>
        </w:tc>
        <w:tc>
          <w:tcPr>
            <w:tcW w:w="1041" w:type="pct"/>
            <w:vAlign w:val="center"/>
          </w:tcPr>
          <w:p w14:paraId="1A307F60"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1041" w:type="pct"/>
            <w:vAlign w:val="center"/>
          </w:tcPr>
          <w:p w14:paraId="519333F5"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1041" w:type="pct"/>
            <w:vAlign w:val="center"/>
          </w:tcPr>
          <w:p w14:paraId="173D0CAE" w14:textId="77777777" w:rsidR="00422B46" w:rsidRPr="00A964FF" w:rsidRDefault="00422B46" w:rsidP="009E3841">
            <w:pPr>
              <w:pStyle w:val="00"/>
              <w:spacing w:line="240" w:lineRule="auto"/>
              <w:ind w:firstLine="0"/>
              <w:jc w:val="center"/>
              <w:rPr>
                <w:rFonts w:ascii="Calibri" w:hAnsi="Calibri"/>
                <w:color w:val="auto"/>
                <w:sz w:val="21"/>
                <w:szCs w:val="21"/>
              </w:rPr>
            </w:pPr>
          </w:p>
        </w:tc>
        <w:tc>
          <w:tcPr>
            <w:tcW w:w="628" w:type="pct"/>
            <w:vAlign w:val="center"/>
          </w:tcPr>
          <w:p w14:paraId="1C1C3E6A" w14:textId="77777777" w:rsidR="00422B46" w:rsidRPr="00A964FF" w:rsidRDefault="00422B46" w:rsidP="009E3841">
            <w:pPr>
              <w:pStyle w:val="00"/>
              <w:spacing w:line="240" w:lineRule="auto"/>
              <w:ind w:firstLine="0"/>
              <w:jc w:val="center"/>
              <w:rPr>
                <w:rFonts w:ascii="Calibri" w:hAnsi="Calibri"/>
                <w:color w:val="auto"/>
                <w:sz w:val="21"/>
                <w:szCs w:val="21"/>
              </w:rPr>
            </w:pPr>
          </w:p>
        </w:tc>
      </w:tr>
    </w:tbl>
    <w:p w14:paraId="609CC49B" w14:textId="77777777" w:rsidR="0011037A" w:rsidRPr="00A964FF" w:rsidRDefault="0011037A" w:rsidP="0011037A">
      <w:pPr>
        <w:pStyle w:val="00"/>
        <w:ind w:firstLineChars="200"/>
        <w:rPr>
          <w:rFonts w:ascii="Calibri" w:hAnsi="Times New Roman"/>
          <w:color w:val="auto"/>
        </w:rPr>
      </w:pPr>
      <w:r w:rsidRPr="00A964FF">
        <w:rPr>
          <w:rFonts w:ascii="Calibri" w:hAnsi="Times New Roman" w:hint="eastAsia"/>
          <w:color w:val="auto"/>
        </w:rPr>
        <w:t>由上表可知，本项目的土壤影响途径主要为运营期事故状态下的垂直入渗污染。</w:t>
      </w:r>
    </w:p>
    <w:p w14:paraId="792F540F" w14:textId="77777777" w:rsidR="00422B46" w:rsidRPr="00A964FF" w:rsidRDefault="00422B46" w:rsidP="00C12CBB">
      <w:pPr>
        <w:pStyle w:val="00"/>
        <w:ind w:firstLineChars="200"/>
        <w:rPr>
          <w:rFonts w:ascii="Calibri" w:hAnsi="Times New Roman"/>
          <w:color w:val="auto"/>
        </w:rPr>
      </w:pPr>
      <w:r w:rsidRPr="00A964FF">
        <w:rPr>
          <w:rFonts w:ascii="Calibri" w:hAnsi="Times New Roman" w:hint="eastAsia"/>
          <w:color w:val="auto"/>
        </w:rPr>
        <w:lastRenderedPageBreak/>
        <w:t>（</w:t>
      </w:r>
      <w:r w:rsidRPr="00A964FF">
        <w:rPr>
          <w:rFonts w:ascii="Calibri" w:hAnsi="Times New Roman" w:hint="eastAsia"/>
          <w:color w:val="auto"/>
        </w:rPr>
        <w:t>2</w:t>
      </w:r>
      <w:r w:rsidRPr="00A964FF">
        <w:rPr>
          <w:rFonts w:ascii="Calibri" w:hAnsi="Times New Roman" w:hint="eastAsia"/>
          <w:color w:val="auto"/>
        </w:rPr>
        <w:t>）影响源及影响因子</w:t>
      </w:r>
    </w:p>
    <w:p w14:paraId="27B8CDEB" w14:textId="68F904FA" w:rsidR="007B1841" w:rsidRPr="00484816" w:rsidRDefault="00484816" w:rsidP="00BB28C5">
      <w:pPr>
        <w:spacing w:line="520" w:lineRule="exact"/>
        <w:ind w:firstLine="482"/>
        <w:rPr>
          <w:rFonts w:ascii="Calibri" w:hAnsi="Calibri"/>
          <w:color w:val="auto"/>
          <w:sz w:val="24"/>
        </w:rPr>
      </w:pPr>
      <w:r w:rsidRPr="00F822D9">
        <w:rPr>
          <w:rFonts w:ascii="Calibri" w:hAnsi="Calibri" w:hint="eastAsia"/>
          <w:color w:val="auto"/>
          <w:sz w:val="24"/>
        </w:rPr>
        <w:t>本项目运营期使用原料主要为</w:t>
      </w:r>
      <w:r w:rsidR="004A4440" w:rsidRPr="00C23368">
        <w:rPr>
          <w:rFonts w:ascii="Calibri" w:hAnsi="Calibri" w:hint="eastAsia"/>
          <w:color w:val="auto"/>
          <w:sz w:val="24"/>
        </w:rPr>
        <w:t>50%</w:t>
      </w:r>
      <w:r w:rsidR="007F4462">
        <w:rPr>
          <w:rFonts w:ascii="Calibri" w:hAnsi="Calibri" w:hint="eastAsia"/>
          <w:color w:val="auto"/>
          <w:sz w:val="24"/>
        </w:rPr>
        <w:t>尼龙</w:t>
      </w:r>
      <w:r w:rsidR="007F4462">
        <w:rPr>
          <w:rFonts w:ascii="Calibri" w:hAnsi="Calibri" w:hint="eastAsia"/>
          <w:color w:val="auto"/>
          <w:sz w:val="24"/>
        </w:rPr>
        <w:t>66</w:t>
      </w:r>
      <w:r w:rsidR="007F4462">
        <w:rPr>
          <w:rFonts w:ascii="Calibri" w:hAnsi="Calibri" w:hint="eastAsia"/>
          <w:color w:val="auto"/>
          <w:sz w:val="24"/>
        </w:rPr>
        <w:t>盐</w:t>
      </w:r>
      <w:r w:rsidR="007F4462">
        <w:rPr>
          <w:rFonts w:ascii="Calibri" w:hAnsi="Calibri"/>
          <w:color w:val="auto"/>
          <w:sz w:val="24"/>
        </w:rPr>
        <w:t>溶液</w:t>
      </w:r>
      <w:r w:rsidR="004A4440" w:rsidRPr="00C23368">
        <w:rPr>
          <w:rFonts w:ascii="Calibri" w:hAnsi="Calibri"/>
          <w:color w:val="auto"/>
          <w:sz w:val="24"/>
        </w:rPr>
        <w:t>、</w:t>
      </w:r>
      <w:r w:rsidR="004A4440" w:rsidRPr="00C23368">
        <w:rPr>
          <w:rFonts w:ascii="Calibri" w:hAnsi="Calibri" w:hint="eastAsia"/>
          <w:color w:val="auto"/>
          <w:sz w:val="24"/>
        </w:rPr>
        <w:t>尼龙</w:t>
      </w:r>
      <w:r w:rsidR="004A4440" w:rsidRPr="00C23368">
        <w:rPr>
          <w:rFonts w:ascii="Calibri" w:hAnsi="Calibri" w:hint="eastAsia"/>
          <w:color w:val="auto"/>
          <w:sz w:val="24"/>
        </w:rPr>
        <w:t>1010</w:t>
      </w:r>
      <w:r w:rsidR="004A4440" w:rsidRPr="00C23368">
        <w:rPr>
          <w:rFonts w:ascii="Calibri" w:hAnsi="Calibri" w:hint="eastAsia"/>
          <w:color w:val="auto"/>
          <w:sz w:val="24"/>
        </w:rPr>
        <w:t>盐、尼龙</w:t>
      </w:r>
      <w:r w:rsidR="004A4440" w:rsidRPr="00C23368">
        <w:rPr>
          <w:rFonts w:ascii="Calibri" w:hAnsi="Calibri" w:hint="eastAsia"/>
          <w:color w:val="auto"/>
          <w:sz w:val="24"/>
        </w:rPr>
        <w:t>12</w:t>
      </w:r>
      <w:r w:rsidR="004A4440" w:rsidRPr="00C23368">
        <w:rPr>
          <w:rFonts w:ascii="Calibri" w:hAnsi="Calibri" w:hint="eastAsia"/>
          <w:color w:val="auto"/>
          <w:sz w:val="24"/>
        </w:rPr>
        <w:t>盐、</w:t>
      </w:r>
      <w:r w:rsidR="004A4440" w:rsidRPr="00C23368">
        <w:rPr>
          <w:rFonts w:ascii="Calibri" w:hAnsi="Calibri"/>
          <w:color w:val="auto"/>
          <w:sz w:val="24"/>
        </w:rPr>
        <w:t>次磷酸钠、管道天然气、导热油、</w:t>
      </w:r>
      <w:r w:rsidR="004A4440">
        <w:rPr>
          <w:rFonts w:ascii="Calibri" w:hAnsi="Calibri" w:hint="eastAsia"/>
          <w:color w:val="auto"/>
          <w:sz w:val="24"/>
        </w:rPr>
        <w:t>甲酸、</w:t>
      </w:r>
      <w:r w:rsidR="004A4440">
        <w:rPr>
          <w:rFonts w:ascii="Calibri" w:hAnsi="Calibri"/>
          <w:color w:val="auto"/>
          <w:sz w:val="24"/>
        </w:rPr>
        <w:t>乙醇、盐酸、氢氧化钠</w:t>
      </w:r>
      <w:r w:rsidR="004A4440">
        <w:rPr>
          <w:rFonts w:ascii="Calibri" w:hAnsi="Calibri" w:hint="eastAsia"/>
          <w:color w:val="auto"/>
          <w:sz w:val="24"/>
        </w:rPr>
        <w:t>；</w:t>
      </w:r>
      <w:r w:rsidR="00BB28C5">
        <w:rPr>
          <w:rFonts w:ascii="Calibri" w:hAnsi="Calibri" w:hint="eastAsia"/>
          <w:color w:val="auto"/>
          <w:sz w:val="24"/>
        </w:rPr>
        <w:t>污染物</w:t>
      </w:r>
      <w:r w:rsidR="004A4440" w:rsidRPr="004A4440">
        <w:rPr>
          <w:rFonts w:ascii="Calibri" w:hAnsi="Calibri" w:hint="eastAsia"/>
          <w:color w:val="auto"/>
          <w:sz w:val="24"/>
        </w:rPr>
        <w:t>己二胺、己二酸、环戊酮、环己亚胺</w:t>
      </w:r>
      <w:r w:rsidR="00BB28C5">
        <w:rPr>
          <w:rFonts w:ascii="Calibri" w:hAnsi="Calibri" w:hint="eastAsia"/>
          <w:color w:val="auto"/>
          <w:sz w:val="24"/>
        </w:rPr>
        <w:t>、</w:t>
      </w:r>
      <w:r w:rsidR="00BB28C5" w:rsidRPr="00BB28C5">
        <w:rPr>
          <w:rFonts w:ascii="Calibri" w:hAnsi="Calibri" w:hint="eastAsia"/>
          <w:color w:val="auto"/>
          <w:sz w:val="24"/>
        </w:rPr>
        <w:t>癸二胺</w:t>
      </w:r>
      <w:r w:rsidR="00BB28C5">
        <w:rPr>
          <w:rFonts w:ascii="Calibri" w:hAnsi="Calibri" w:hint="eastAsia"/>
          <w:color w:val="auto"/>
          <w:sz w:val="24"/>
        </w:rPr>
        <w:t>、</w:t>
      </w:r>
      <w:r w:rsidR="00BB28C5" w:rsidRPr="00BB28C5">
        <w:rPr>
          <w:rFonts w:ascii="Calibri" w:hAnsi="Calibri" w:hint="eastAsia"/>
          <w:color w:val="auto"/>
          <w:sz w:val="24"/>
        </w:rPr>
        <w:t>癸二酸</w:t>
      </w:r>
      <w:r w:rsidR="00BB28C5">
        <w:rPr>
          <w:rFonts w:ascii="Calibri" w:hAnsi="Calibri" w:hint="eastAsia"/>
          <w:color w:val="auto"/>
          <w:sz w:val="24"/>
        </w:rPr>
        <w:t>、十二</w:t>
      </w:r>
      <w:r w:rsidR="00BB28C5">
        <w:rPr>
          <w:rFonts w:ascii="Calibri" w:hAnsi="Calibri"/>
          <w:color w:val="auto"/>
          <w:sz w:val="24"/>
        </w:rPr>
        <w:t>内酰胺</w:t>
      </w:r>
      <w:r w:rsidR="004A4440">
        <w:rPr>
          <w:rFonts w:ascii="Calibri" w:hAnsi="Calibri" w:hint="eastAsia"/>
          <w:color w:val="auto"/>
          <w:sz w:val="24"/>
        </w:rPr>
        <w:t>；液态</w:t>
      </w:r>
      <w:r w:rsidR="004A4440">
        <w:rPr>
          <w:rFonts w:ascii="Calibri" w:hAnsi="Calibri"/>
          <w:color w:val="auto"/>
          <w:sz w:val="24"/>
        </w:rPr>
        <w:t>危险废物为导热油及废机油等；</w:t>
      </w:r>
      <w:r w:rsidR="007B1841" w:rsidRPr="00484816">
        <w:rPr>
          <w:rFonts w:ascii="Calibri" w:hAnsi="Calibri" w:hint="eastAsia"/>
          <w:color w:val="auto"/>
          <w:sz w:val="24"/>
        </w:rPr>
        <w:t>参照</w:t>
      </w:r>
      <w:r w:rsidR="007B1841" w:rsidRPr="00484816">
        <w:rPr>
          <w:rFonts w:ascii="Calibri" w:hAnsi="Calibri" w:hint="eastAsia"/>
          <w:color w:val="auto"/>
          <w:sz w:val="24"/>
        </w:rPr>
        <w:t>GB36600-2018</w:t>
      </w:r>
      <w:r w:rsidR="007B1841" w:rsidRPr="00484816">
        <w:rPr>
          <w:rFonts w:ascii="Calibri" w:hAnsi="Calibri" w:hint="eastAsia"/>
          <w:color w:val="auto"/>
          <w:sz w:val="24"/>
        </w:rPr>
        <w:t>、</w:t>
      </w:r>
      <w:r w:rsidR="007B1841" w:rsidRPr="00484816">
        <w:rPr>
          <w:rFonts w:ascii="Calibri" w:hAnsi="Calibri" w:hint="eastAsia"/>
          <w:color w:val="auto"/>
          <w:sz w:val="24"/>
        </w:rPr>
        <w:t>GB15618-2018</w:t>
      </w:r>
      <w:r w:rsidR="007B1841" w:rsidRPr="00484816">
        <w:rPr>
          <w:rFonts w:ascii="Calibri" w:hAnsi="Calibri" w:hint="eastAsia"/>
          <w:color w:val="auto"/>
          <w:sz w:val="24"/>
        </w:rPr>
        <w:t>，有评价标准的为</w:t>
      </w:r>
      <w:r w:rsidR="004A4440">
        <w:rPr>
          <w:rFonts w:ascii="Calibri" w:hAnsi="Calibri" w:hint="eastAsia"/>
          <w:color w:val="auto"/>
          <w:sz w:val="24"/>
        </w:rPr>
        <w:t>石油烃</w:t>
      </w:r>
      <w:r w:rsidR="004A4440">
        <w:rPr>
          <w:rFonts w:ascii="Calibri" w:hAnsi="Calibri"/>
          <w:color w:val="auto"/>
          <w:sz w:val="24"/>
        </w:rPr>
        <w:t>（</w:t>
      </w:r>
      <w:r w:rsidR="004A4440">
        <w:rPr>
          <w:rFonts w:ascii="Calibri" w:hAnsi="Calibri" w:hint="eastAsia"/>
          <w:color w:val="auto"/>
          <w:sz w:val="24"/>
        </w:rPr>
        <w:t>来源于</w:t>
      </w:r>
      <w:r w:rsidR="004A4440">
        <w:rPr>
          <w:rFonts w:ascii="Calibri" w:hAnsi="Calibri"/>
          <w:color w:val="auto"/>
          <w:sz w:val="24"/>
        </w:rPr>
        <w:t>废机油）</w:t>
      </w:r>
      <w:r w:rsidR="004A4440">
        <w:rPr>
          <w:rFonts w:ascii="Calibri" w:hAnsi="Calibri" w:hint="eastAsia"/>
          <w:color w:val="auto"/>
          <w:sz w:val="24"/>
        </w:rPr>
        <w:t>；</w:t>
      </w:r>
      <w:r w:rsidR="004A4440" w:rsidRPr="004A4440">
        <w:rPr>
          <w:rFonts w:ascii="Calibri" w:hAnsi="Calibri" w:hint="eastAsia"/>
          <w:color w:val="auto"/>
          <w:sz w:val="24"/>
        </w:rPr>
        <w:t>己二胺、己二酸、环戊酮、环己亚胺</w:t>
      </w:r>
      <w:r w:rsidR="00BB28C5">
        <w:rPr>
          <w:rFonts w:ascii="Calibri" w:hAnsi="Calibri" w:hint="eastAsia"/>
          <w:color w:val="auto"/>
          <w:sz w:val="24"/>
        </w:rPr>
        <w:t>、</w:t>
      </w:r>
      <w:r w:rsidR="00BB28C5" w:rsidRPr="004A4440">
        <w:rPr>
          <w:rFonts w:ascii="Calibri" w:hAnsi="Calibri" w:hint="eastAsia"/>
          <w:color w:val="auto"/>
          <w:sz w:val="24"/>
        </w:rPr>
        <w:t>己二胺、己二酸、环戊酮、环己亚胺</w:t>
      </w:r>
      <w:r w:rsidR="00BB28C5">
        <w:rPr>
          <w:rFonts w:ascii="Calibri" w:hAnsi="Calibri" w:hint="eastAsia"/>
          <w:color w:val="auto"/>
          <w:sz w:val="24"/>
        </w:rPr>
        <w:t>、</w:t>
      </w:r>
      <w:r w:rsidR="00BB28C5" w:rsidRPr="00BB28C5">
        <w:rPr>
          <w:rFonts w:ascii="Calibri" w:hAnsi="Calibri" w:hint="eastAsia"/>
          <w:color w:val="auto"/>
          <w:sz w:val="24"/>
        </w:rPr>
        <w:t>癸二胺</w:t>
      </w:r>
      <w:r w:rsidR="00BB28C5">
        <w:rPr>
          <w:rFonts w:ascii="Calibri" w:hAnsi="Calibri" w:hint="eastAsia"/>
          <w:color w:val="auto"/>
          <w:sz w:val="24"/>
        </w:rPr>
        <w:t>、</w:t>
      </w:r>
      <w:r w:rsidR="00BB28C5" w:rsidRPr="00BB28C5">
        <w:rPr>
          <w:rFonts w:ascii="Calibri" w:hAnsi="Calibri" w:hint="eastAsia"/>
          <w:color w:val="auto"/>
          <w:sz w:val="24"/>
        </w:rPr>
        <w:t>癸二酸</w:t>
      </w:r>
      <w:r w:rsidR="00BB28C5">
        <w:rPr>
          <w:rFonts w:ascii="Calibri" w:hAnsi="Calibri" w:hint="eastAsia"/>
          <w:color w:val="auto"/>
          <w:sz w:val="24"/>
        </w:rPr>
        <w:t>、十二</w:t>
      </w:r>
      <w:r w:rsidR="00BB28C5">
        <w:rPr>
          <w:rFonts w:ascii="Calibri" w:hAnsi="Calibri"/>
          <w:color w:val="auto"/>
          <w:sz w:val="24"/>
        </w:rPr>
        <w:t>内酰胺</w:t>
      </w:r>
      <w:r w:rsidR="004A4440">
        <w:rPr>
          <w:rFonts w:ascii="Calibri" w:hAnsi="Calibri" w:hint="eastAsia"/>
          <w:color w:val="auto"/>
          <w:sz w:val="24"/>
        </w:rPr>
        <w:t>有机物</w:t>
      </w:r>
      <w:r w:rsidR="00BB28C5">
        <w:rPr>
          <w:rFonts w:ascii="Calibri" w:hAnsi="Calibri" w:hint="eastAsia"/>
          <w:color w:val="auto"/>
          <w:sz w:val="24"/>
        </w:rPr>
        <w:t>在</w:t>
      </w:r>
      <w:r w:rsidR="00BB28C5">
        <w:rPr>
          <w:rFonts w:ascii="Calibri" w:hAnsi="Calibri"/>
          <w:color w:val="auto"/>
          <w:sz w:val="24"/>
        </w:rPr>
        <w:t>废</w:t>
      </w:r>
      <w:r w:rsidR="00BB28C5">
        <w:rPr>
          <w:rFonts w:ascii="Calibri" w:hAnsi="Calibri" w:hint="eastAsia"/>
          <w:color w:val="auto"/>
          <w:sz w:val="24"/>
        </w:rPr>
        <w:t>水</w:t>
      </w:r>
      <w:r w:rsidR="00BB28C5">
        <w:rPr>
          <w:rFonts w:ascii="Calibri" w:hAnsi="Calibri"/>
          <w:color w:val="auto"/>
          <w:sz w:val="24"/>
        </w:rPr>
        <w:t>中</w:t>
      </w:r>
      <w:r w:rsidR="004A4440">
        <w:rPr>
          <w:rFonts w:ascii="Calibri" w:hAnsi="Calibri"/>
          <w:color w:val="auto"/>
          <w:sz w:val="24"/>
        </w:rPr>
        <w:t>表现为</w:t>
      </w:r>
      <w:r w:rsidR="004A4440">
        <w:rPr>
          <w:rFonts w:ascii="Calibri" w:hAnsi="Calibri" w:hint="eastAsia"/>
          <w:color w:val="auto"/>
          <w:sz w:val="24"/>
        </w:rPr>
        <w:t>COD</w:t>
      </w:r>
      <w:r w:rsidR="00A84E4C">
        <w:rPr>
          <w:rFonts w:ascii="Calibri" w:hAnsi="Calibri" w:hint="eastAsia"/>
          <w:color w:val="auto"/>
          <w:sz w:val="24"/>
        </w:rPr>
        <w:t>、</w:t>
      </w:r>
      <w:r w:rsidR="00A84E4C">
        <w:rPr>
          <w:rFonts w:ascii="Calibri" w:hAnsi="Calibri"/>
          <w:color w:val="auto"/>
          <w:sz w:val="24"/>
        </w:rPr>
        <w:t>NH</w:t>
      </w:r>
      <w:r w:rsidR="00A84E4C" w:rsidRPr="00A84E4C">
        <w:rPr>
          <w:rFonts w:ascii="Calibri" w:hAnsi="Calibri"/>
          <w:color w:val="auto"/>
          <w:sz w:val="24"/>
          <w:vertAlign w:val="subscript"/>
        </w:rPr>
        <w:t>3</w:t>
      </w:r>
      <w:r w:rsidR="00A84E4C">
        <w:rPr>
          <w:rFonts w:ascii="Calibri" w:hAnsi="Calibri"/>
          <w:color w:val="auto"/>
          <w:sz w:val="24"/>
        </w:rPr>
        <w:t>-N</w:t>
      </w:r>
      <w:r w:rsidR="004A4440">
        <w:rPr>
          <w:rFonts w:ascii="Calibri" w:hAnsi="Calibri" w:hint="eastAsia"/>
          <w:color w:val="auto"/>
          <w:sz w:val="24"/>
        </w:rPr>
        <w:t>，</w:t>
      </w:r>
      <w:r w:rsidR="004A4440">
        <w:rPr>
          <w:rFonts w:ascii="Calibri" w:hAnsi="Calibri"/>
          <w:color w:val="auto"/>
          <w:sz w:val="24"/>
        </w:rPr>
        <w:t>均</w:t>
      </w:r>
      <w:r w:rsidR="004A4440">
        <w:rPr>
          <w:rFonts w:ascii="Calibri" w:hAnsi="Calibri" w:hint="eastAsia"/>
          <w:color w:val="auto"/>
          <w:sz w:val="24"/>
        </w:rPr>
        <w:t>无</w:t>
      </w:r>
      <w:r w:rsidR="004A4440">
        <w:rPr>
          <w:rFonts w:ascii="Calibri" w:hAnsi="Calibri"/>
          <w:color w:val="auto"/>
          <w:sz w:val="24"/>
        </w:rPr>
        <w:t>相应评价标准，</w:t>
      </w:r>
      <w:r w:rsidR="007B1841" w:rsidRPr="00484816">
        <w:rPr>
          <w:rFonts w:ascii="Calibri" w:hAnsi="Calibri" w:hint="eastAsia"/>
          <w:color w:val="auto"/>
          <w:sz w:val="24"/>
        </w:rPr>
        <w:t>因此，本项目土壤环境影响源及影响因子识别结果见表</w:t>
      </w:r>
      <w:r w:rsidR="007B1841" w:rsidRPr="00484816">
        <w:rPr>
          <w:rFonts w:ascii="Calibri" w:hAnsi="Calibri" w:hint="eastAsia"/>
          <w:color w:val="auto"/>
          <w:sz w:val="24"/>
        </w:rPr>
        <w:t>4.4-</w:t>
      </w:r>
      <w:r w:rsidR="003B40FF" w:rsidRPr="00484816">
        <w:rPr>
          <w:rFonts w:ascii="Calibri" w:hAnsi="Calibri" w:hint="eastAsia"/>
          <w:color w:val="auto"/>
          <w:sz w:val="24"/>
        </w:rPr>
        <w:t>4</w:t>
      </w:r>
      <w:r w:rsidR="007B1841" w:rsidRPr="00484816">
        <w:rPr>
          <w:rFonts w:ascii="Calibri" w:hAnsi="Calibri" w:hint="eastAsia"/>
          <w:color w:val="auto"/>
          <w:sz w:val="24"/>
        </w:rPr>
        <w:t>。</w:t>
      </w:r>
    </w:p>
    <w:p w14:paraId="77C07D9E" w14:textId="77777777" w:rsidR="00422B46" w:rsidRPr="00A964FF" w:rsidRDefault="00422B46" w:rsidP="00422B46">
      <w:pPr>
        <w:pStyle w:val="00"/>
        <w:ind w:firstLineChars="150" w:firstLine="360"/>
        <w:rPr>
          <w:rFonts w:ascii="黑体" w:eastAsia="黑体" w:hAnsi="黑体"/>
          <w:color w:val="auto"/>
        </w:rPr>
      </w:pPr>
      <w:r w:rsidRPr="00A964FF">
        <w:rPr>
          <w:rFonts w:ascii="Calibri" w:eastAsia="黑体" w:hAnsi="黑体"/>
          <w:color w:val="auto"/>
        </w:rPr>
        <w:t>表</w:t>
      </w:r>
      <w:r w:rsidRPr="00A964FF">
        <w:rPr>
          <w:rFonts w:ascii="Calibri" w:eastAsia="黑体" w:hAnsi="Calibri"/>
          <w:color w:val="auto"/>
        </w:rPr>
        <w:t>4</w:t>
      </w:r>
      <w:r w:rsidR="00AE189F" w:rsidRPr="00A964FF">
        <w:rPr>
          <w:rFonts w:ascii="Calibri" w:eastAsia="黑体" w:hAnsi="Calibri" w:hint="eastAsia"/>
          <w:color w:val="auto"/>
        </w:rPr>
        <w:t>.4</w:t>
      </w:r>
      <w:r w:rsidRPr="00A964FF">
        <w:rPr>
          <w:rFonts w:ascii="Calibri" w:eastAsia="黑体" w:hAnsi="Calibri"/>
          <w:color w:val="auto"/>
        </w:rPr>
        <w:t>-</w:t>
      </w:r>
      <w:r w:rsidR="003B40FF" w:rsidRPr="00A964FF">
        <w:rPr>
          <w:rFonts w:ascii="Calibri" w:eastAsia="黑体" w:hAnsi="Calibri" w:hint="eastAsia"/>
          <w:color w:val="auto"/>
        </w:rPr>
        <w:t>4</w:t>
      </w:r>
      <w:r w:rsidRPr="00A964FF">
        <w:rPr>
          <w:rFonts w:ascii="Calibri" w:eastAsia="黑体" w:hAnsi="Calibri"/>
          <w:color w:val="auto"/>
        </w:rPr>
        <w:t xml:space="preserve">  </w:t>
      </w:r>
      <w:r w:rsidR="007B1841" w:rsidRPr="00A964FF">
        <w:rPr>
          <w:rFonts w:ascii="黑体" w:eastAsia="黑体" w:hAnsi="黑体" w:hint="eastAsia"/>
          <w:color w:val="auto"/>
        </w:rPr>
        <w:t xml:space="preserve">        </w:t>
      </w:r>
      <w:r w:rsidRPr="00A964FF">
        <w:rPr>
          <w:rFonts w:ascii="黑体" w:eastAsia="黑体" w:hAnsi="黑体" w:hint="eastAsia"/>
          <w:color w:val="auto"/>
        </w:rPr>
        <w:t xml:space="preserve">   土壤环境影响源及影响因子识别表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467"/>
        <w:gridCol w:w="1651"/>
        <w:gridCol w:w="1188"/>
        <w:gridCol w:w="1556"/>
        <w:gridCol w:w="1556"/>
        <w:gridCol w:w="1282"/>
      </w:tblGrid>
      <w:tr w:rsidR="00A84E4C" w:rsidRPr="00A964FF" w14:paraId="26E53892" w14:textId="77777777" w:rsidTr="00A84E4C">
        <w:trPr>
          <w:trHeight w:val="404"/>
        </w:trPr>
        <w:tc>
          <w:tcPr>
            <w:tcW w:w="843" w:type="pct"/>
            <w:vAlign w:val="center"/>
          </w:tcPr>
          <w:p w14:paraId="2EA02104" w14:textId="77777777" w:rsidR="00A84E4C" w:rsidRPr="00A964FF" w:rsidRDefault="00A84E4C"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污染源</w:t>
            </w:r>
          </w:p>
        </w:tc>
        <w:tc>
          <w:tcPr>
            <w:tcW w:w="949" w:type="pct"/>
            <w:vAlign w:val="center"/>
          </w:tcPr>
          <w:p w14:paraId="501F71CA" w14:textId="77777777" w:rsidR="00A84E4C" w:rsidRPr="00A964FF" w:rsidRDefault="00A84E4C"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工艺流程</w:t>
            </w:r>
            <w:r w:rsidRPr="00A964FF">
              <w:rPr>
                <w:rFonts w:ascii="Calibri" w:hAnsi="Calibri" w:hint="eastAsia"/>
                <w:color w:val="auto"/>
                <w:sz w:val="21"/>
                <w:szCs w:val="21"/>
              </w:rPr>
              <w:t>/</w:t>
            </w:r>
            <w:r w:rsidRPr="00A964FF">
              <w:rPr>
                <w:rFonts w:ascii="Calibri" w:hAnsi="Calibri" w:hint="eastAsia"/>
                <w:color w:val="auto"/>
                <w:sz w:val="21"/>
                <w:szCs w:val="21"/>
              </w:rPr>
              <w:t>节点</w:t>
            </w:r>
          </w:p>
        </w:tc>
        <w:tc>
          <w:tcPr>
            <w:tcW w:w="683" w:type="pct"/>
            <w:vAlign w:val="center"/>
          </w:tcPr>
          <w:p w14:paraId="615D3C54" w14:textId="77777777" w:rsidR="00A84E4C" w:rsidRPr="00A964FF" w:rsidRDefault="00A84E4C"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污染途径</w:t>
            </w:r>
          </w:p>
        </w:tc>
        <w:tc>
          <w:tcPr>
            <w:tcW w:w="894" w:type="pct"/>
            <w:vAlign w:val="center"/>
          </w:tcPr>
          <w:p w14:paraId="50E05C93" w14:textId="77777777" w:rsidR="00A84E4C" w:rsidRPr="00A964FF" w:rsidRDefault="00A84E4C" w:rsidP="009E3841">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全部</w:t>
            </w:r>
            <w:r>
              <w:rPr>
                <w:rFonts w:ascii="Calibri" w:hAnsi="Calibri"/>
                <w:color w:val="auto"/>
                <w:sz w:val="21"/>
                <w:szCs w:val="21"/>
              </w:rPr>
              <w:t>污染指标</w:t>
            </w:r>
          </w:p>
        </w:tc>
        <w:tc>
          <w:tcPr>
            <w:tcW w:w="894" w:type="pct"/>
            <w:vAlign w:val="center"/>
          </w:tcPr>
          <w:p w14:paraId="4A4C491F" w14:textId="77777777" w:rsidR="00A84E4C" w:rsidRPr="00A964FF" w:rsidRDefault="00A84E4C"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特征因子</w:t>
            </w:r>
          </w:p>
        </w:tc>
        <w:tc>
          <w:tcPr>
            <w:tcW w:w="737" w:type="pct"/>
            <w:vAlign w:val="center"/>
          </w:tcPr>
          <w:p w14:paraId="6B9DFC4E" w14:textId="77777777" w:rsidR="00A84E4C" w:rsidRPr="00A964FF" w:rsidRDefault="00A84E4C" w:rsidP="009E3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备注</w:t>
            </w:r>
          </w:p>
        </w:tc>
      </w:tr>
      <w:tr w:rsidR="00A84E4C" w:rsidRPr="00A964FF" w14:paraId="13576E43" w14:textId="77777777" w:rsidTr="00A84E4C">
        <w:trPr>
          <w:trHeight w:val="404"/>
        </w:trPr>
        <w:tc>
          <w:tcPr>
            <w:tcW w:w="843" w:type="pct"/>
            <w:vAlign w:val="center"/>
          </w:tcPr>
          <w:p w14:paraId="42B7F2CF" w14:textId="77777777" w:rsidR="00A84E4C" w:rsidRPr="00A964FF" w:rsidRDefault="00A84E4C" w:rsidP="007B1841">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废水</w:t>
            </w:r>
          </w:p>
        </w:tc>
        <w:tc>
          <w:tcPr>
            <w:tcW w:w="949" w:type="pct"/>
            <w:vAlign w:val="center"/>
          </w:tcPr>
          <w:p w14:paraId="25EACAC3"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废水处理站</w:t>
            </w:r>
          </w:p>
        </w:tc>
        <w:tc>
          <w:tcPr>
            <w:tcW w:w="683" w:type="pct"/>
            <w:vAlign w:val="center"/>
          </w:tcPr>
          <w:p w14:paraId="3B717355"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垂直入渗</w:t>
            </w:r>
          </w:p>
        </w:tc>
        <w:tc>
          <w:tcPr>
            <w:tcW w:w="894" w:type="pct"/>
            <w:vAlign w:val="center"/>
          </w:tcPr>
          <w:p w14:paraId="0A624B37" w14:textId="77777777" w:rsidR="00A84E4C" w:rsidRDefault="00A84E4C" w:rsidP="004A4440">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C</w:t>
            </w:r>
            <w:r>
              <w:rPr>
                <w:rFonts w:ascii="Calibri" w:hAnsi="Calibri"/>
                <w:color w:val="auto"/>
                <w:sz w:val="21"/>
                <w:szCs w:val="21"/>
              </w:rPr>
              <w:t>OD</w:t>
            </w:r>
            <w:r>
              <w:rPr>
                <w:rFonts w:ascii="Calibri" w:hAnsi="Calibri" w:hint="eastAsia"/>
                <w:color w:val="auto"/>
                <w:sz w:val="21"/>
                <w:szCs w:val="21"/>
              </w:rPr>
              <w:t>、氨氮</w:t>
            </w:r>
          </w:p>
        </w:tc>
        <w:tc>
          <w:tcPr>
            <w:tcW w:w="894" w:type="pct"/>
            <w:vAlign w:val="center"/>
          </w:tcPr>
          <w:p w14:paraId="77EC2D75" w14:textId="77777777" w:rsidR="00A84E4C" w:rsidRPr="00A964FF" w:rsidRDefault="00A84E4C" w:rsidP="004A4440">
            <w:pPr>
              <w:pStyle w:val="00"/>
              <w:spacing w:line="240" w:lineRule="auto"/>
              <w:ind w:firstLine="0"/>
              <w:jc w:val="center"/>
              <w:rPr>
                <w:rFonts w:ascii="Calibri" w:hAnsi="Calibri"/>
                <w:color w:val="auto"/>
                <w:sz w:val="21"/>
                <w:szCs w:val="21"/>
              </w:rPr>
            </w:pPr>
            <w:r>
              <w:rPr>
                <w:rFonts w:ascii="Calibri" w:hAnsi="Calibri"/>
                <w:color w:val="auto"/>
                <w:sz w:val="21"/>
                <w:szCs w:val="21"/>
              </w:rPr>
              <w:t>/</w:t>
            </w:r>
          </w:p>
        </w:tc>
        <w:tc>
          <w:tcPr>
            <w:tcW w:w="737" w:type="pct"/>
            <w:vAlign w:val="center"/>
          </w:tcPr>
          <w:p w14:paraId="3A98CF59"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事故状况</w:t>
            </w:r>
          </w:p>
        </w:tc>
      </w:tr>
      <w:tr w:rsidR="00A84E4C" w:rsidRPr="00A964FF" w14:paraId="6EC5DCA2" w14:textId="77777777" w:rsidTr="00A84E4C">
        <w:trPr>
          <w:trHeight w:val="404"/>
        </w:trPr>
        <w:tc>
          <w:tcPr>
            <w:tcW w:w="843" w:type="pct"/>
            <w:vAlign w:val="center"/>
          </w:tcPr>
          <w:p w14:paraId="1C2DCD85"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危险废物</w:t>
            </w:r>
          </w:p>
        </w:tc>
        <w:tc>
          <w:tcPr>
            <w:tcW w:w="949" w:type="pct"/>
            <w:vAlign w:val="center"/>
          </w:tcPr>
          <w:p w14:paraId="24321E3E"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危废暂存间</w:t>
            </w:r>
          </w:p>
        </w:tc>
        <w:tc>
          <w:tcPr>
            <w:tcW w:w="683" w:type="pct"/>
            <w:vAlign w:val="center"/>
          </w:tcPr>
          <w:p w14:paraId="31BEE978"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垂直入渗</w:t>
            </w:r>
          </w:p>
        </w:tc>
        <w:tc>
          <w:tcPr>
            <w:tcW w:w="894" w:type="pct"/>
            <w:vAlign w:val="center"/>
          </w:tcPr>
          <w:p w14:paraId="040F7C3C" w14:textId="77777777" w:rsidR="00A84E4C" w:rsidRPr="00A964FF" w:rsidRDefault="00A84E4C" w:rsidP="001826AA">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石油烃</w:t>
            </w:r>
          </w:p>
        </w:tc>
        <w:tc>
          <w:tcPr>
            <w:tcW w:w="894" w:type="pct"/>
            <w:vAlign w:val="center"/>
          </w:tcPr>
          <w:p w14:paraId="611DC2E4"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石油烃</w:t>
            </w:r>
          </w:p>
        </w:tc>
        <w:tc>
          <w:tcPr>
            <w:tcW w:w="737" w:type="pct"/>
            <w:vAlign w:val="center"/>
          </w:tcPr>
          <w:p w14:paraId="4DCA8E67" w14:textId="77777777" w:rsidR="00A84E4C" w:rsidRPr="00A964FF" w:rsidRDefault="00A84E4C" w:rsidP="001826AA">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事故状况</w:t>
            </w:r>
          </w:p>
        </w:tc>
      </w:tr>
    </w:tbl>
    <w:p w14:paraId="37AE1D2D" w14:textId="77777777" w:rsidR="00422B46" w:rsidRPr="00A964FF" w:rsidRDefault="00422B46" w:rsidP="00332ADB">
      <w:pPr>
        <w:pStyle w:val="00"/>
        <w:ind w:firstLineChars="200" w:firstLine="482"/>
        <w:rPr>
          <w:rFonts w:ascii="Calibri" w:hAnsi="Times New Roman"/>
          <w:b/>
          <w:color w:val="auto"/>
        </w:rPr>
      </w:pPr>
      <w:r w:rsidRPr="00A964FF">
        <w:rPr>
          <w:rFonts w:ascii="Calibri" w:hAnsi="Times New Roman" w:hint="eastAsia"/>
          <w:b/>
          <w:color w:val="auto"/>
        </w:rPr>
        <w:t>2</w:t>
      </w:r>
      <w:r w:rsidRPr="00A964FF">
        <w:rPr>
          <w:rFonts w:ascii="Calibri" w:hAnsi="Times New Roman" w:hint="eastAsia"/>
          <w:b/>
          <w:color w:val="auto"/>
        </w:rPr>
        <w:t>、现状调查与评价</w:t>
      </w:r>
    </w:p>
    <w:p w14:paraId="2DA21799" w14:textId="77777777" w:rsidR="00422B46" w:rsidRPr="00A964FF" w:rsidRDefault="00422B46" w:rsidP="00C12CBB">
      <w:pPr>
        <w:pStyle w:val="00"/>
        <w:ind w:firstLineChars="2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1</w:t>
      </w:r>
      <w:r w:rsidRPr="00A964FF">
        <w:rPr>
          <w:rFonts w:ascii="Calibri" w:hAnsi="Times New Roman" w:hint="eastAsia"/>
          <w:color w:val="auto"/>
        </w:rPr>
        <w:t>）调查范围</w:t>
      </w:r>
    </w:p>
    <w:p w14:paraId="3E7010AA" w14:textId="77777777" w:rsidR="00D0550A" w:rsidRPr="00A964FF" w:rsidRDefault="00D0550A" w:rsidP="004A4440">
      <w:pPr>
        <w:pStyle w:val="00"/>
        <w:ind w:firstLineChars="200"/>
        <w:rPr>
          <w:rFonts w:ascii="Calibri" w:hAnsi="Times New Roman"/>
          <w:color w:val="auto"/>
        </w:rPr>
      </w:pPr>
      <w:r w:rsidRPr="00A964FF">
        <w:rPr>
          <w:rFonts w:ascii="Calibri" w:hAnsi="Times New Roman" w:hint="eastAsia"/>
          <w:color w:val="auto"/>
        </w:rPr>
        <w:t>根据《环境影响评价技术导则</w:t>
      </w:r>
      <w:r w:rsidRPr="00A964FF">
        <w:rPr>
          <w:rFonts w:ascii="Calibri" w:hAnsi="Times New Roman" w:hint="eastAsia"/>
          <w:color w:val="auto"/>
        </w:rPr>
        <w:t xml:space="preserve"> </w:t>
      </w:r>
      <w:r w:rsidRPr="00A964FF">
        <w:rPr>
          <w:rFonts w:ascii="Calibri" w:hAnsi="Times New Roman" w:hint="eastAsia"/>
          <w:color w:val="auto"/>
        </w:rPr>
        <w:t>土壤环境（试行）》（</w:t>
      </w:r>
      <w:r w:rsidRPr="00A964FF">
        <w:rPr>
          <w:rFonts w:ascii="Calibri" w:hAnsi="Times New Roman" w:hint="eastAsia"/>
          <w:color w:val="auto"/>
        </w:rPr>
        <w:t>HJ964-2018</w:t>
      </w:r>
      <w:r w:rsidRPr="00A964FF">
        <w:rPr>
          <w:rFonts w:ascii="Calibri" w:hAnsi="Times New Roman" w:hint="eastAsia"/>
          <w:color w:val="auto"/>
        </w:rPr>
        <w:t>），土壤二级评价现状调查范围为项目占地范围及占地范围外</w:t>
      </w:r>
      <w:r w:rsidRPr="00A964FF">
        <w:rPr>
          <w:rFonts w:ascii="Calibri" w:hAnsi="Times New Roman" w:hint="eastAsia"/>
          <w:color w:val="auto"/>
        </w:rPr>
        <w:t>0.2km</w:t>
      </w:r>
      <w:r w:rsidRPr="00A964FF">
        <w:rPr>
          <w:rFonts w:ascii="Calibri" w:hAnsi="Times New Roman" w:hint="eastAsia"/>
          <w:color w:val="auto"/>
        </w:rPr>
        <w:t>范围</w:t>
      </w:r>
      <w:r w:rsidR="004A4440">
        <w:rPr>
          <w:rFonts w:ascii="Calibri" w:hAnsi="Times New Roman" w:hint="eastAsia"/>
          <w:color w:val="auto"/>
        </w:rPr>
        <w:t>，</w:t>
      </w:r>
      <w:r w:rsidR="004A4440">
        <w:rPr>
          <w:rFonts w:ascii="Calibri" w:hAnsi="Times New Roman"/>
          <w:color w:val="auto"/>
        </w:rPr>
        <w:t>面积</w:t>
      </w:r>
      <w:r w:rsidR="004A4440">
        <w:rPr>
          <w:rFonts w:ascii="Calibri" w:hAnsi="Times New Roman" w:hint="eastAsia"/>
          <w:color w:val="auto"/>
        </w:rPr>
        <w:t>0.48</w:t>
      </w:r>
      <w:r w:rsidR="004A4440">
        <w:rPr>
          <w:rFonts w:ascii="Calibri" w:hAnsi="Times New Roman"/>
          <w:color w:val="auto"/>
        </w:rPr>
        <w:t>km</w:t>
      </w:r>
      <w:r w:rsidR="004A4440" w:rsidRPr="004A4440">
        <w:rPr>
          <w:rFonts w:ascii="Calibri" w:hAnsi="Times New Roman"/>
          <w:color w:val="auto"/>
          <w:vertAlign w:val="superscript"/>
        </w:rPr>
        <w:t>2</w:t>
      </w:r>
      <w:r w:rsidRPr="00A964FF">
        <w:rPr>
          <w:rFonts w:ascii="Calibri" w:hAnsi="Times New Roman" w:hint="eastAsia"/>
          <w:color w:val="auto"/>
        </w:rPr>
        <w:t>。</w:t>
      </w:r>
    </w:p>
    <w:p w14:paraId="6C3C198E" w14:textId="77777777" w:rsidR="00EA2872" w:rsidRDefault="00D0550A" w:rsidP="00A814F7">
      <w:pPr>
        <w:pStyle w:val="00"/>
        <w:ind w:firstLineChars="200"/>
        <w:rPr>
          <w:rFonts w:ascii="Calibri" w:hAnsi="Times New Roman"/>
          <w:color w:val="auto"/>
        </w:rPr>
      </w:pPr>
      <w:r w:rsidRPr="00A964FF">
        <w:rPr>
          <w:rFonts w:ascii="Calibri" w:hAnsi="Times New Roman" w:hint="eastAsia"/>
          <w:color w:val="auto"/>
        </w:rPr>
        <w:t>本项目</w:t>
      </w:r>
      <w:r w:rsidR="00AE189F" w:rsidRPr="00A964FF">
        <w:rPr>
          <w:rFonts w:ascii="Calibri" w:hAnsi="Times New Roman" w:hint="eastAsia"/>
          <w:color w:val="auto"/>
        </w:rPr>
        <w:t>土壤</w:t>
      </w:r>
      <w:r w:rsidRPr="00A964FF">
        <w:rPr>
          <w:rFonts w:ascii="Calibri" w:hAnsi="Times New Roman" w:hint="eastAsia"/>
          <w:color w:val="auto"/>
        </w:rPr>
        <w:t>具体调查范围</w:t>
      </w:r>
      <w:r w:rsidR="00AE189F" w:rsidRPr="00A964FF">
        <w:rPr>
          <w:rFonts w:ascii="Calibri" w:hAnsi="Times New Roman" w:hint="eastAsia"/>
          <w:color w:val="auto"/>
        </w:rPr>
        <w:t>见</w:t>
      </w:r>
      <w:r w:rsidRPr="00A964FF">
        <w:rPr>
          <w:rFonts w:ascii="Calibri" w:hAnsi="Times New Roman" w:hint="eastAsia"/>
          <w:color w:val="auto"/>
        </w:rPr>
        <w:t>图</w:t>
      </w:r>
      <w:r w:rsidRPr="00A964FF">
        <w:rPr>
          <w:rFonts w:ascii="Calibri" w:hAnsi="Times New Roman" w:hint="eastAsia"/>
          <w:color w:val="auto"/>
        </w:rPr>
        <w:t>4</w:t>
      </w:r>
      <w:r w:rsidR="00AE189F" w:rsidRPr="00A964FF">
        <w:rPr>
          <w:rFonts w:ascii="Calibri" w:hAnsi="Times New Roman" w:hint="eastAsia"/>
          <w:color w:val="auto"/>
        </w:rPr>
        <w:t>.4</w:t>
      </w:r>
      <w:r w:rsidRPr="00A964FF">
        <w:rPr>
          <w:rFonts w:ascii="Calibri" w:hAnsi="Times New Roman" w:hint="eastAsia"/>
          <w:color w:val="auto"/>
        </w:rPr>
        <w:t>-</w:t>
      </w:r>
      <w:r w:rsidR="003B40FF" w:rsidRPr="00A964FF">
        <w:rPr>
          <w:rFonts w:ascii="Calibri" w:hAnsi="Times New Roman" w:hint="eastAsia"/>
          <w:color w:val="auto"/>
        </w:rPr>
        <w:t>1</w:t>
      </w:r>
      <w:r w:rsidRPr="00A964FF">
        <w:rPr>
          <w:rFonts w:ascii="Calibri" w:hAnsi="Times New Roman" w:hint="eastAsia"/>
          <w:color w:val="auto"/>
        </w:rPr>
        <w:t>。</w:t>
      </w:r>
    </w:p>
    <w:p w14:paraId="58AD4795" w14:textId="77777777" w:rsidR="00A814F7" w:rsidRDefault="00A814F7" w:rsidP="00A814F7">
      <w:pPr>
        <w:pStyle w:val="00"/>
        <w:ind w:firstLineChars="200"/>
        <w:rPr>
          <w:rFonts w:ascii="Calibri" w:hAnsi="Times New Roman"/>
          <w:color w:val="auto"/>
        </w:rPr>
      </w:pPr>
    </w:p>
    <w:p w14:paraId="0AA007A8" w14:textId="77777777" w:rsidR="00A814F7" w:rsidRDefault="00A814F7" w:rsidP="00A814F7">
      <w:pPr>
        <w:pStyle w:val="00"/>
        <w:ind w:firstLineChars="200"/>
        <w:rPr>
          <w:rFonts w:ascii="Calibri" w:hAnsi="Times New Roman"/>
          <w:color w:val="auto"/>
        </w:rPr>
      </w:pPr>
    </w:p>
    <w:p w14:paraId="38527A6B" w14:textId="77777777" w:rsidR="00A814F7" w:rsidRDefault="00A814F7" w:rsidP="00A814F7">
      <w:pPr>
        <w:pStyle w:val="00"/>
        <w:ind w:firstLineChars="200"/>
        <w:rPr>
          <w:rFonts w:ascii="Calibri" w:hAnsi="Times New Roman"/>
          <w:color w:val="auto"/>
        </w:rPr>
      </w:pPr>
    </w:p>
    <w:p w14:paraId="4F2F3229" w14:textId="77777777" w:rsidR="00A814F7" w:rsidRDefault="00A814F7" w:rsidP="00A814F7">
      <w:pPr>
        <w:pStyle w:val="00"/>
        <w:ind w:firstLineChars="200"/>
        <w:rPr>
          <w:rFonts w:ascii="Calibri" w:hAnsi="Times New Roman"/>
          <w:color w:val="auto"/>
        </w:rPr>
      </w:pPr>
    </w:p>
    <w:p w14:paraId="60A4402F" w14:textId="77777777" w:rsidR="00A814F7" w:rsidRDefault="00A814F7" w:rsidP="00A814F7">
      <w:pPr>
        <w:pStyle w:val="00"/>
        <w:ind w:firstLineChars="200"/>
        <w:rPr>
          <w:rFonts w:ascii="Calibri" w:hAnsi="Times New Roman"/>
          <w:color w:val="auto"/>
        </w:rPr>
      </w:pPr>
    </w:p>
    <w:p w14:paraId="183F3D7E" w14:textId="77777777" w:rsidR="00A814F7" w:rsidRDefault="00A814F7" w:rsidP="00A814F7">
      <w:pPr>
        <w:pStyle w:val="00"/>
        <w:ind w:firstLineChars="200"/>
        <w:rPr>
          <w:rFonts w:ascii="Calibri" w:hAnsi="Times New Roman"/>
          <w:color w:val="auto"/>
        </w:rPr>
      </w:pPr>
    </w:p>
    <w:p w14:paraId="4D26CC43" w14:textId="77777777" w:rsidR="00A814F7" w:rsidRDefault="00A814F7" w:rsidP="00A814F7">
      <w:pPr>
        <w:pStyle w:val="00"/>
        <w:ind w:firstLineChars="200"/>
        <w:rPr>
          <w:rFonts w:ascii="Calibri" w:hAnsi="Times New Roman"/>
          <w:color w:val="auto"/>
        </w:rPr>
      </w:pPr>
    </w:p>
    <w:p w14:paraId="6476F6BC" w14:textId="77777777" w:rsidR="00A814F7" w:rsidRDefault="00A814F7" w:rsidP="00A814F7">
      <w:pPr>
        <w:pStyle w:val="00"/>
        <w:ind w:firstLineChars="200"/>
        <w:rPr>
          <w:rFonts w:ascii="Calibri" w:hAnsi="Times New Roman"/>
          <w:color w:val="auto"/>
        </w:rPr>
      </w:pPr>
    </w:p>
    <w:p w14:paraId="42E486AE" w14:textId="77777777" w:rsidR="00A814F7" w:rsidRDefault="00A814F7" w:rsidP="00A814F7">
      <w:pPr>
        <w:pStyle w:val="00"/>
        <w:ind w:firstLineChars="200"/>
        <w:rPr>
          <w:rFonts w:ascii="Calibri" w:hAnsi="Times New Roman"/>
          <w:color w:val="auto"/>
        </w:rPr>
      </w:pPr>
    </w:p>
    <w:p w14:paraId="540F88C4" w14:textId="77777777" w:rsidR="00A814F7" w:rsidRDefault="00A814F7" w:rsidP="00A814F7">
      <w:pPr>
        <w:pStyle w:val="00"/>
        <w:ind w:firstLineChars="200"/>
        <w:rPr>
          <w:rFonts w:ascii="Calibri" w:hAnsi="Times New Roman"/>
          <w:color w:val="auto"/>
        </w:rPr>
      </w:pPr>
    </w:p>
    <w:p w14:paraId="72FEB2F2" w14:textId="77777777" w:rsidR="00A814F7" w:rsidRPr="00A814F7" w:rsidRDefault="00A814F7" w:rsidP="00A814F7">
      <w:pPr>
        <w:pStyle w:val="00"/>
        <w:ind w:firstLineChars="200"/>
        <w:rPr>
          <w:rFonts w:ascii="Calibri" w:hAnsi="Times New Roman"/>
          <w:color w:val="auto"/>
        </w:rPr>
      </w:pPr>
    </w:p>
    <w:p w14:paraId="3023F5C3" w14:textId="77777777" w:rsidR="00E1389D" w:rsidRDefault="00E1389D" w:rsidP="00E1389D">
      <w:pPr>
        <w:pStyle w:val="00"/>
        <w:spacing w:line="240" w:lineRule="auto"/>
        <w:ind w:firstLineChars="200"/>
        <w:jc w:val="center"/>
        <w:rPr>
          <w:rFonts w:ascii="Calibri" w:hAnsi="Times New Roman"/>
          <w:color w:val="auto"/>
        </w:rPr>
      </w:pPr>
    </w:p>
    <w:p w14:paraId="6E97F974" w14:textId="77777777" w:rsidR="00E1389D" w:rsidRDefault="00E1389D" w:rsidP="00484816">
      <w:pPr>
        <w:pStyle w:val="00"/>
        <w:ind w:firstLineChars="200"/>
        <w:rPr>
          <w:rFonts w:ascii="Calibri" w:hAnsi="Times New Roman"/>
          <w:color w:val="auto"/>
        </w:rPr>
      </w:pPr>
      <w:r>
        <w:rPr>
          <w:noProof/>
          <w:color w:val="auto"/>
        </w:rPr>
        <mc:AlternateContent>
          <mc:Choice Requires="wps">
            <w:drawing>
              <wp:anchor distT="0" distB="0" distL="114300" distR="114300" simplePos="0" relativeHeight="253517312" behindDoc="0" locked="0" layoutInCell="1" allowOverlap="1" wp14:anchorId="694B274C" wp14:editId="032F829A">
                <wp:simplePos x="0" y="0"/>
                <wp:positionH relativeFrom="column">
                  <wp:posOffset>1028065</wp:posOffset>
                </wp:positionH>
                <wp:positionV relativeFrom="paragraph">
                  <wp:posOffset>78105</wp:posOffset>
                </wp:positionV>
                <wp:extent cx="135255" cy="294005"/>
                <wp:effectExtent l="22860" t="15875" r="22860" b="13970"/>
                <wp:wrapNone/>
                <wp:docPr id="29474" name="AutoShape 36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4005"/>
                        </a:xfrm>
                        <a:prstGeom prst="upArrow">
                          <a:avLst>
                            <a:gd name="adj1" fmla="val 50000"/>
                            <a:gd name="adj2" fmla="val 54343"/>
                          </a:avLst>
                        </a:prstGeom>
                        <a:solidFill>
                          <a:srgbClr val="FFFF00"/>
                        </a:solidFill>
                        <a:ln w="9525">
                          <a:solidFill>
                            <a:srgbClr val="FFFF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D0C00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6964" o:spid="_x0000_s1026" type="#_x0000_t68" style="position:absolute;left:0;text-align:left;margin-left:80.95pt;margin-top:6.15pt;width:10.65pt;height:23.15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" fillcolor="yellow" strokecolor="yellow">
                <v:textbox style="layout-flow:vertical-ideographic"/>
              </v:shape>
            </w:pict>
          </mc:Fallback>
        </mc:AlternateContent>
      </w:r>
      <w:r>
        <w:rPr>
          <w:noProof/>
          <w:color w:val="auto"/>
        </w:rPr>
        <mc:AlternateContent>
          <mc:Choice Requires="wps">
            <w:drawing>
              <wp:anchor distT="0" distB="0" distL="114300" distR="114300" simplePos="0" relativeHeight="253518336" behindDoc="0" locked="0" layoutInCell="1" allowOverlap="1" wp14:anchorId="50B20850" wp14:editId="58F5D202">
                <wp:simplePos x="0" y="0"/>
                <wp:positionH relativeFrom="column">
                  <wp:posOffset>876935</wp:posOffset>
                </wp:positionH>
                <wp:positionV relativeFrom="paragraph">
                  <wp:posOffset>-129540</wp:posOffset>
                </wp:positionV>
                <wp:extent cx="699135" cy="342265"/>
                <wp:effectExtent l="0" t="0" r="0" b="1270"/>
                <wp:wrapNone/>
                <wp:docPr id="29476" name="Text Box 36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491E" w14:textId="77777777" w:rsidR="00217891" w:rsidRPr="00D5436F" w:rsidRDefault="00217891" w:rsidP="00CC5861">
                            <w:pPr>
                              <w:ind w:firstLineChars="49" w:firstLine="103"/>
                              <w:rPr>
                                <w:rFonts w:ascii="Calibri" w:hAnsi="Calibri"/>
                                <w:b/>
                                <w:color w:val="FFFF00"/>
                              </w:rPr>
                            </w:pPr>
                            <w:r>
                              <w:rPr>
                                <w:rFonts w:ascii="Calibri" w:hAnsi="Calibri" w:hint="eastAsia"/>
                                <w:b/>
                                <w:color w:val="FFFF00"/>
                              </w:rPr>
                              <w:t>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20850" id="Text Box 36965" o:spid="_x0000_s1617" type="#_x0000_t202" style="position:absolute;left:0;text-align:left;margin-left:69.05pt;margin-top:-10.2pt;width:55.05pt;height:26.95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ivwIAAMk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" filled="f" stroked="f">
                <v:textbox>
                  <w:txbxContent>
                    <w:p w14:paraId="446D491E" w14:textId="77777777" w:rsidR="00217891" w:rsidRPr="00D5436F" w:rsidRDefault="00217891" w:rsidP="00CC5861">
                      <w:pPr>
                        <w:ind w:firstLineChars="49" w:firstLine="103"/>
                        <w:rPr>
                          <w:rFonts w:ascii="Calibri" w:hAnsi="Calibri"/>
                          <w:b/>
                          <w:color w:val="FFFF00"/>
                        </w:rPr>
                      </w:pPr>
                      <w:r>
                        <w:rPr>
                          <w:rFonts w:ascii="Calibri" w:hAnsi="Calibri" w:hint="eastAsia"/>
                          <w:b/>
                          <w:color w:val="FFFF00"/>
                        </w:rPr>
                        <w:t>北</w:t>
                      </w:r>
                    </w:p>
                  </w:txbxContent>
                </v:textbox>
              </v:shape>
            </w:pict>
          </mc:Fallback>
        </mc:AlternateContent>
      </w:r>
      <w:r>
        <w:rPr>
          <w:noProof/>
        </w:rPr>
        <w:drawing>
          <wp:anchor distT="0" distB="0" distL="114300" distR="114300" simplePos="0" relativeHeight="251439613" behindDoc="0" locked="0" layoutInCell="1" allowOverlap="1" wp14:anchorId="69868B9D" wp14:editId="69A6EDA9">
            <wp:simplePos x="0" y="0"/>
            <wp:positionH relativeFrom="column">
              <wp:posOffset>828040</wp:posOffset>
            </wp:positionH>
            <wp:positionV relativeFrom="paragraph">
              <wp:posOffset>-175260</wp:posOffset>
            </wp:positionV>
            <wp:extent cx="3924300" cy="3954780"/>
            <wp:effectExtent l="0" t="0" r="0" b="7620"/>
            <wp:wrapNone/>
            <wp:docPr id="27165" name="图片 2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924615" cy="3955097"/>
                    </a:xfrm>
                    <a:prstGeom prst="rect">
                      <a:avLst/>
                    </a:prstGeom>
                  </pic:spPr>
                </pic:pic>
              </a:graphicData>
            </a:graphic>
            <wp14:sizeRelH relativeFrom="page">
              <wp14:pctWidth>0</wp14:pctWidth>
            </wp14:sizeRelH>
            <wp14:sizeRelV relativeFrom="page">
              <wp14:pctHeight>0</wp14:pctHeight>
            </wp14:sizeRelV>
          </wp:anchor>
        </w:drawing>
      </w:r>
    </w:p>
    <w:p w14:paraId="5749B925" w14:textId="77777777" w:rsidR="00E1389D" w:rsidRDefault="00E1389D" w:rsidP="00484816">
      <w:pPr>
        <w:pStyle w:val="00"/>
        <w:ind w:firstLineChars="200"/>
        <w:rPr>
          <w:rFonts w:ascii="Calibri" w:hAnsi="Times New Roman"/>
          <w:color w:val="auto"/>
        </w:rPr>
      </w:pPr>
      <w:r>
        <w:rPr>
          <w:rFonts w:ascii="Calibri" w:hAnsi="Times New Roman"/>
          <w:noProof/>
          <w:color w:val="auto"/>
        </w:rPr>
        <mc:AlternateContent>
          <mc:Choice Requires="wps">
            <w:drawing>
              <wp:anchor distT="0" distB="0" distL="114300" distR="114300" simplePos="0" relativeHeight="253683200" behindDoc="0" locked="0" layoutInCell="1" allowOverlap="1" wp14:anchorId="43F84E40" wp14:editId="27DECFA2">
                <wp:simplePos x="0" y="0"/>
                <wp:positionH relativeFrom="column">
                  <wp:posOffset>2519680</wp:posOffset>
                </wp:positionH>
                <wp:positionV relativeFrom="paragraph">
                  <wp:posOffset>20320</wp:posOffset>
                </wp:positionV>
                <wp:extent cx="1173480" cy="4191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173480" cy="419100"/>
                        </a:xfrm>
                        <a:prstGeom prst="rect">
                          <a:avLst/>
                        </a:prstGeom>
                        <a:noFill/>
                        <a:ln w="6350">
                          <a:noFill/>
                        </a:ln>
                      </wps:spPr>
                      <wps:txbx>
                        <w:txbxContent>
                          <w:p w14:paraId="65F10E08" w14:textId="77777777" w:rsidR="00217891" w:rsidRPr="00E1389D" w:rsidRDefault="00217891" w:rsidP="00E1389D">
                            <w:pPr>
                              <w:ind w:firstLineChars="100" w:firstLine="181"/>
                              <w:rPr>
                                <w:b/>
                                <w:color w:val="FFFF00"/>
                                <w:sz w:val="18"/>
                                <w:szCs w:val="18"/>
                              </w:rPr>
                            </w:pPr>
                            <w:r>
                              <w:rPr>
                                <w:rFonts w:hint="eastAsia"/>
                                <w:b/>
                                <w:color w:val="FFFF00"/>
                                <w:sz w:val="18"/>
                                <w:szCs w:val="18"/>
                              </w:rPr>
                              <w:t>平顶山</w:t>
                            </w:r>
                            <w:r w:rsidRPr="00E1389D">
                              <w:rPr>
                                <w:rFonts w:hint="eastAsia"/>
                                <w:b/>
                                <w:color w:val="FFFF00"/>
                                <w:sz w:val="18"/>
                                <w:szCs w:val="18"/>
                              </w:rPr>
                              <w:t>锦华</w:t>
                            </w:r>
                            <w:r w:rsidRPr="00E1389D">
                              <w:rPr>
                                <w:b/>
                                <w:color w:val="FFFF00"/>
                                <w:sz w:val="18"/>
                                <w:szCs w:val="18"/>
                              </w:rPr>
                              <w:t>新材料科技有限公司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4E40" id="文本框 40" o:spid="_x0000_s1618" type="#_x0000_t202" style="position:absolute;left:0;text-align:left;margin-left:198.4pt;margin-top:1.6pt;width:92.4pt;height:33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" filled="f" stroked="f" strokeweight=".5pt">
                <v:textbox>
                  <w:txbxContent>
                    <w:p w14:paraId="65F10E08" w14:textId="77777777" w:rsidR="00217891" w:rsidRPr="00E1389D" w:rsidRDefault="00217891" w:rsidP="00E1389D">
                      <w:pPr>
                        <w:ind w:firstLineChars="100" w:firstLine="181"/>
                        <w:rPr>
                          <w:b/>
                          <w:color w:val="FFFF00"/>
                          <w:sz w:val="18"/>
                          <w:szCs w:val="18"/>
                        </w:rPr>
                      </w:pPr>
                      <w:r>
                        <w:rPr>
                          <w:rFonts w:hint="eastAsia"/>
                          <w:b/>
                          <w:color w:val="FFFF00"/>
                          <w:sz w:val="18"/>
                          <w:szCs w:val="18"/>
                        </w:rPr>
                        <w:t>平顶山</w:t>
                      </w:r>
                      <w:r w:rsidRPr="00E1389D">
                        <w:rPr>
                          <w:rFonts w:hint="eastAsia"/>
                          <w:b/>
                          <w:color w:val="FFFF00"/>
                          <w:sz w:val="18"/>
                          <w:szCs w:val="18"/>
                        </w:rPr>
                        <w:t>锦华</w:t>
                      </w:r>
                      <w:r w:rsidRPr="00E1389D">
                        <w:rPr>
                          <w:b/>
                          <w:color w:val="FFFF00"/>
                          <w:sz w:val="18"/>
                          <w:szCs w:val="18"/>
                        </w:rPr>
                        <w:t>新材料科技有限公司</w:t>
                      </w:r>
                    </w:p>
                  </w:txbxContent>
                </v:textbox>
              </v:shape>
            </w:pict>
          </mc:Fallback>
        </mc:AlternateContent>
      </w:r>
    </w:p>
    <w:p w14:paraId="4250B0C2" w14:textId="77777777" w:rsidR="00E1389D" w:rsidRDefault="00E1389D" w:rsidP="00484816">
      <w:pPr>
        <w:pStyle w:val="00"/>
        <w:ind w:firstLineChars="200"/>
        <w:rPr>
          <w:rFonts w:ascii="Calibri" w:hAnsi="Times New Roman"/>
          <w:color w:val="auto"/>
        </w:rPr>
      </w:pPr>
    </w:p>
    <w:p w14:paraId="2C99E708" w14:textId="77777777" w:rsidR="00E1389D" w:rsidRDefault="00E1389D" w:rsidP="00484816">
      <w:pPr>
        <w:pStyle w:val="00"/>
        <w:ind w:firstLineChars="200"/>
        <w:rPr>
          <w:rFonts w:ascii="Calibri" w:hAnsi="Times New Roman"/>
          <w:color w:val="auto"/>
        </w:rPr>
      </w:pPr>
    </w:p>
    <w:p w14:paraId="2740EE9B" w14:textId="77777777" w:rsidR="00E1389D" w:rsidRDefault="00E1389D" w:rsidP="00484816">
      <w:pPr>
        <w:pStyle w:val="00"/>
        <w:ind w:firstLineChars="200"/>
        <w:rPr>
          <w:rFonts w:ascii="Calibri" w:hAnsi="Times New Roman"/>
          <w:color w:val="auto"/>
        </w:rPr>
      </w:pPr>
      <w:r>
        <w:rPr>
          <w:noProof/>
          <w:color w:val="auto"/>
        </w:rPr>
        <mc:AlternateContent>
          <mc:Choice Requires="wps">
            <w:drawing>
              <wp:anchor distT="0" distB="0" distL="114300" distR="114300" simplePos="0" relativeHeight="253680128" behindDoc="0" locked="0" layoutInCell="1" allowOverlap="1" wp14:anchorId="29D04049" wp14:editId="353F0078">
                <wp:simplePos x="0" y="0"/>
                <wp:positionH relativeFrom="column">
                  <wp:posOffset>3550285</wp:posOffset>
                </wp:positionH>
                <wp:positionV relativeFrom="paragraph">
                  <wp:posOffset>161290</wp:posOffset>
                </wp:positionV>
                <wp:extent cx="699135" cy="342265"/>
                <wp:effectExtent l="0" t="4445" r="0" b="0"/>
                <wp:wrapNone/>
                <wp:docPr id="37" name="Text Box 36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A095C" w14:textId="77777777" w:rsidR="00217891" w:rsidRPr="00D5436F" w:rsidRDefault="00217891">
                            <w:pPr>
                              <w:rPr>
                                <w:rFonts w:ascii="Calibri" w:hAnsi="Calibri"/>
                                <w:b/>
                                <w:color w:val="FFFF00"/>
                              </w:rPr>
                            </w:pPr>
                            <w:r>
                              <w:rPr>
                                <w:rFonts w:ascii="Calibri" w:hAnsi="Calibri" w:hint="eastAsia"/>
                                <w:b/>
                                <w:color w:val="FFFF00"/>
                              </w:rPr>
                              <w:t>200</w:t>
                            </w:r>
                            <w:r w:rsidRPr="00D5436F">
                              <w:rPr>
                                <w:rFonts w:ascii="Calibri" w:hAnsi="Calibri" w:hint="eastAsia"/>
                                <w:b/>
                                <w:color w:val="FFFF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04049" id="Text Box 36960" o:spid="_x0000_s1619" type="#_x0000_t202" style="position:absolute;left:0;text-align:left;margin-left:279.55pt;margin-top:12.7pt;width:55.05pt;height:26.95pt;z-index:2536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q5v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" filled="f" stroked="f">
                <v:textbox>
                  <w:txbxContent>
                    <w:p w14:paraId="7E5A095C" w14:textId="77777777" w:rsidR="00217891" w:rsidRPr="00D5436F" w:rsidRDefault="00217891">
                      <w:pPr>
                        <w:rPr>
                          <w:rFonts w:ascii="Calibri" w:hAnsi="Calibri"/>
                          <w:b/>
                          <w:color w:val="FFFF00"/>
                        </w:rPr>
                      </w:pPr>
                      <w:r>
                        <w:rPr>
                          <w:rFonts w:ascii="Calibri" w:hAnsi="Calibri" w:hint="eastAsia"/>
                          <w:b/>
                          <w:color w:val="FFFF00"/>
                        </w:rPr>
                        <w:t>200</w:t>
                      </w:r>
                      <w:r w:rsidRPr="00D5436F">
                        <w:rPr>
                          <w:rFonts w:ascii="Calibri" w:hAnsi="Calibri" w:hint="eastAsia"/>
                          <w:b/>
                          <w:color w:val="FFFF00"/>
                        </w:rPr>
                        <w:t>m</w:t>
                      </w:r>
                    </w:p>
                  </w:txbxContent>
                </v:textbox>
              </v:shape>
            </w:pict>
          </mc:Fallback>
        </mc:AlternateContent>
      </w:r>
      <w:r>
        <w:rPr>
          <w:noProof/>
          <w:color w:val="auto"/>
        </w:rPr>
        <mc:AlternateContent>
          <mc:Choice Requires="wps">
            <w:drawing>
              <wp:anchor distT="0" distB="0" distL="114300" distR="114300" simplePos="0" relativeHeight="253516288" behindDoc="0" locked="0" layoutInCell="1" allowOverlap="1" wp14:anchorId="4D01CE2A" wp14:editId="594F018A">
                <wp:simplePos x="0" y="0"/>
                <wp:positionH relativeFrom="column">
                  <wp:posOffset>2503805</wp:posOffset>
                </wp:positionH>
                <wp:positionV relativeFrom="paragraph">
                  <wp:posOffset>131445</wp:posOffset>
                </wp:positionV>
                <wp:extent cx="699135" cy="342265"/>
                <wp:effectExtent l="0" t="4445" r="0" b="0"/>
                <wp:wrapNone/>
                <wp:docPr id="4511" name="Text Box 36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90827" w14:textId="77777777" w:rsidR="00217891" w:rsidRPr="00D5436F" w:rsidRDefault="00217891">
                            <w:pPr>
                              <w:rPr>
                                <w:rFonts w:ascii="Calibri" w:hAnsi="Calibri"/>
                                <w:b/>
                                <w:color w:val="FFFF00"/>
                              </w:rPr>
                            </w:pPr>
                            <w:r>
                              <w:rPr>
                                <w:rFonts w:ascii="Calibri" w:hAnsi="Calibri" w:hint="eastAsia"/>
                                <w:b/>
                                <w:color w:val="FFFF00"/>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1CE2A" id="Text Box 36963" o:spid="_x0000_s1620" type="#_x0000_t202" style="position:absolute;left:0;text-align:left;margin-left:197.15pt;margin-top:10.35pt;width:55.05pt;height:26.95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qLvwIAAMgFAAAOAAAAZHJzL2Uyb0RvYy54bWysVG1vmzAQ/j5p/8Hyd8pLDA2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" filled="f" stroked="f">
                <v:textbox>
                  <w:txbxContent>
                    <w:p w14:paraId="4EB90827" w14:textId="77777777" w:rsidR="00217891" w:rsidRPr="00D5436F" w:rsidRDefault="00217891">
                      <w:pPr>
                        <w:rPr>
                          <w:rFonts w:ascii="Calibri" w:hAnsi="Calibri"/>
                          <w:b/>
                          <w:color w:val="FFFF00"/>
                        </w:rPr>
                      </w:pPr>
                      <w:r>
                        <w:rPr>
                          <w:rFonts w:ascii="Calibri" w:hAnsi="Calibri" w:hint="eastAsia"/>
                          <w:b/>
                          <w:color w:val="FFFF00"/>
                        </w:rPr>
                        <w:t>本项目</w:t>
                      </w:r>
                    </w:p>
                  </w:txbxContent>
                </v:textbox>
              </v:shape>
            </w:pict>
          </mc:Fallback>
        </mc:AlternateContent>
      </w:r>
    </w:p>
    <w:p w14:paraId="010E7BD7" w14:textId="77777777" w:rsidR="00E1389D" w:rsidRDefault="00E1389D" w:rsidP="00484816">
      <w:pPr>
        <w:pStyle w:val="00"/>
        <w:ind w:firstLineChars="200"/>
        <w:rPr>
          <w:rFonts w:ascii="Calibri" w:hAnsi="Times New Roman"/>
          <w:color w:val="auto"/>
        </w:rPr>
      </w:pPr>
      <w:r>
        <w:rPr>
          <w:rFonts w:ascii="Calibri" w:hAnsi="Times New Roman"/>
          <w:noProof/>
          <w:color w:val="auto"/>
        </w:rPr>
        <mc:AlternateContent>
          <mc:Choice Requires="wps">
            <w:drawing>
              <wp:anchor distT="0" distB="0" distL="114300" distR="114300" simplePos="0" relativeHeight="253677056" behindDoc="0" locked="0" layoutInCell="1" allowOverlap="1" wp14:anchorId="46FAF4A2" wp14:editId="2487BB1A">
                <wp:simplePos x="0" y="0"/>
                <wp:positionH relativeFrom="column">
                  <wp:posOffset>3289300</wp:posOffset>
                </wp:positionH>
                <wp:positionV relativeFrom="paragraph">
                  <wp:posOffset>33020</wp:posOffset>
                </wp:positionV>
                <wp:extent cx="929640" cy="0"/>
                <wp:effectExtent l="0" t="76200" r="22860" b="95250"/>
                <wp:wrapNone/>
                <wp:docPr id="27167" name="直接箭头连接符 27167"/>
                <wp:cNvGraphicFramePr/>
                <a:graphic xmlns:a="http://schemas.openxmlformats.org/drawingml/2006/main">
                  <a:graphicData uri="http://schemas.microsoft.com/office/word/2010/wordprocessingShape">
                    <wps:wsp>
                      <wps:cNvCnPr/>
                      <wps:spPr>
                        <a:xfrm>
                          <a:off x="0" y="0"/>
                          <a:ext cx="929640" cy="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34B6E7" id="直接箭头连接符 27167" o:spid="_x0000_s1026" type="#_x0000_t32" style="position:absolute;left:0;text-align:left;margin-left:259pt;margin-top:2.6pt;width:73.2pt;height:0;z-index:2536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" strokecolor="yellow">
                <v:stroke endarrow="block"/>
              </v:shape>
            </w:pict>
          </mc:Fallback>
        </mc:AlternateContent>
      </w:r>
    </w:p>
    <w:p w14:paraId="23B19E2E" w14:textId="77777777" w:rsidR="00E1389D" w:rsidRDefault="00E1389D" w:rsidP="00484816">
      <w:pPr>
        <w:pStyle w:val="00"/>
        <w:ind w:firstLineChars="200"/>
        <w:rPr>
          <w:rFonts w:ascii="Calibri" w:hAnsi="Times New Roman"/>
          <w:color w:val="auto"/>
        </w:rPr>
      </w:pPr>
    </w:p>
    <w:p w14:paraId="700E1197" w14:textId="77777777" w:rsidR="00E1389D" w:rsidRDefault="00E1389D" w:rsidP="00484816">
      <w:pPr>
        <w:pStyle w:val="00"/>
        <w:ind w:firstLineChars="200"/>
        <w:rPr>
          <w:rFonts w:ascii="Calibri" w:hAnsi="Times New Roman"/>
          <w:color w:val="auto"/>
        </w:rPr>
      </w:pPr>
      <w:r>
        <w:rPr>
          <w:rFonts w:ascii="Calibri" w:hAnsi="Times New Roman"/>
          <w:noProof/>
          <w:color w:val="auto"/>
        </w:rPr>
        <mc:AlternateContent>
          <mc:Choice Requires="wps">
            <w:drawing>
              <wp:anchor distT="0" distB="0" distL="114300" distR="114300" simplePos="0" relativeHeight="253678080" behindDoc="0" locked="0" layoutInCell="1" allowOverlap="1" wp14:anchorId="06219C88" wp14:editId="527EB6D7">
                <wp:simplePos x="0" y="0"/>
                <wp:positionH relativeFrom="column">
                  <wp:posOffset>2824480</wp:posOffset>
                </wp:positionH>
                <wp:positionV relativeFrom="paragraph">
                  <wp:posOffset>96520</wp:posOffset>
                </wp:positionV>
                <wp:extent cx="0" cy="739140"/>
                <wp:effectExtent l="76200" t="0" r="57150" b="60960"/>
                <wp:wrapNone/>
                <wp:docPr id="35" name="直接箭头连接符 35"/>
                <wp:cNvGraphicFramePr/>
                <a:graphic xmlns:a="http://schemas.openxmlformats.org/drawingml/2006/main">
                  <a:graphicData uri="http://schemas.microsoft.com/office/word/2010/wordprocessingShape">
                    <wps:wsp>
                      <wps:cNvCnPr/>
                      <wps:spPr>
                        <a:xfrm>
                          <a:off x="0" y="0"/>
                          <a:ext cx="0" cy="73914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6BBB28" id="直接箭头连接符 35" o:spid="_x0000_s1026" type="#_x0000_t32" style="position:absolute;left:0;text-align:left;margin-left:222.4pt;margin-top:7.6pt;width:0;height:58.2pt;z-index:2536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" strokecolor="yellow">
                <v:stroke endarrow="block"/>
              </v:shape>
            </w:pict>
          </mc:Fallback>
        </mc:AlternateContent>
      </w:r>
    </w:p>
    <w:p w14:paraId="66C5D31D" w14:textId="77777777" w:rsidR="00E1389D" w:rsidRDefault="00E1389D" w:rsidP="00484816">
      <w:pPr>
        <w:pStyle w:val="00"/>
        <w:ind w:firstLineChars="200"/>
        <w:rPr>
          <w:rFonts w:ascii="Calibri" w:hAnsi="Times New Roman"/>
          <w:color w:val="auto"/>
        </w:rPr>
      </w:pPr>
      <w:r>
        <w:rPr>
          <w:noProof/>
          <w:color w:val="auto"/>
        </w:rPr>
        <mc:AlternateContent>
          <mc:Choice Requires="wps">
            <w:drawing>
              <wp:anchor distT="0" distB="0" distL="114300" distR="114300" simplePos="0" relativeHeight="253682176" behindDoc="0" locked="0" layoutInCell="1" allowOverlap="1" wp14:anchorId="6239411A" wp14:editId="49836AF8">
                <wp:simplePos x="0" y="0"/>
                <wp:positionH relativeFrom="column">
                  <wp:posOffset>2712085</wp:posOffset>
                </wp:positionH>
                <wp:positionV relativeFrom="paragraph">
                  <wp:posOffset>13970</wp:posOffset>
                </wp:positionV>
                <wp:extent cx="699135" cy="342265"/>
                <wp:effectExtent l="0" t="4445" r="0" b="0"/>
                <wp:wrapNone/>
                <wp:docPr id="38" name="Text Box 36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2329A" w14:textId="77777777" w:rsidR="00217891" w:rsidRPr="00D5436F" w:rsidRDefault="00217891">
                            <w:pPr>
                              <w:rPr>
                                <w:rFonts w:ascii="Calibri" w:hAnsi="Calibri"/>
                                <w:b/>
                                <w:color w:val="FFFF00"/>
                              </w:rPr>
                            </w:pPr>
                            <w:r>
                              <w:rPr>
                                <w:rFonts w:ascii="Calibri" w:hAnsi="Calibri" w:hint="eastAsia"/>
                                <w:b/>
                                <w:color w:val="FFFF00"/>
                              </w:rPr>
                              <w:t>200</w:t>
                            </w:r>
                            <w:r w:rsidRPr="00D5436F">
                              <w:rPr>
                                <w:rFonts w:ascii="Calibri" w:hAnsi="Calibri" w:hint="eastAsia"/>
                                <w:b/>
                                <w:color w:val="FFFF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411A" id="_x0000_s1621" type="#_x0000_t202" style="position:absolute;left:0;text-align:left;margin-left:213.55pt;margin-top:1.1pt;width:55.05pt;height:26.95pt;z-index:2536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" filled="f" stroked="f">
                <v:textbox>
                  <w:txbxContent>
                    <w:p w14:paraId="1942329A" w14:textId="77777777" w:rsidR="00217891" w:rsidRPr="00D5436F" w:rsidRDefault="00217891">
                      <w:pPr>
                        <w:rPr>
                          <w:rFonts w:ascii="Calibri" w:hAnsi="Calibri"/>
                          <w:b/>
                          <w:color w:val="FFFF00"/>
                        </w:rPr>
                      </w:pPr>
                      <w:r>
                        <w:rPr>
                          <w:rFonts w:ascii="Calibri" w:hAnsi="Calibri" w:hint="eastAsia"/>
                          <w:b/>
                          <w:color w:val="FFFF00"/>
                        </w:rPr>
                        <w:t>200</w:t>
                      </w:r>
                      <w:r w:rsidRPr="00D5436F">
                        <w:rPr>
                          <w:rFonts w:ascii="Calibri" w:hAnsi="Calibri" w:hint="eastAsia"/>
                          <w:b/>
                          <w:color w:val="FFFF00"/>
                        </w:rPr>
                        <w:t>m</w:t>
                      </w:r>
                    </w:p>
                  </w:txbxContent>
                </v:textbox>
              </v:shape>
            </w:pict>
          </mc:Fallback>
        </mc:AlternateContent>
      </w:r>
    </w:p>
    <w:p w14:paraId="4E40EE81" w14:textId="77777777" w:rsidR="00A814F7" w:rsidRDefault="00A814F7" w:rsidP="00A814F7">
      <w:pPr>
        <w:pStyle w:val="00"/>
        <w:ind w:firstLineChars="200"/>
        <w:rPr>
          <w:rFonts w:ascii="Calibri" w:eastAsia="黑体" w:hAnsi="黑体"/>
          <w:color w:val="auto"/>
        </w:rPr>
      </w:pPr>
      <w:r>
        <w:rPr>
          <w:noProof/>
          <w:color w:val="auto"/>
        </w:rPr>
        <mc:AlternateContent>
          <mc:Choice Requires="wps">
            <w:drawing>
              <wp:anchor distT="0" distB="0" distL="114300" distR="114300" simplePos="0" relativeHeight="253664768" behindDoc="0" locked="0" layoutInCell="1" allowOverlap="1" wp14:anchorId="51AB94D8" wp14:editId="3E79F9C3">
                <wp:simplePos x="0" y="0"/>
                <wp:positionH relativeFrom="column">
                  <wp:posOffset>4114107</wp:posOffset>
                </wp:positionH>
                <wp:positionV relativeFrom="paragraph">
                  <wp:posOffset>322291</wp:posOffset>
                </wp:positionV>
                <wp:extent cx="699135" cy="342265"/>
                <wp:effectExtent l="0" t="0" r="0" b="635"/>
                <wp:wrapNone/>
                <wp:docPr id="27155" name="Text Box 36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7A31" w14:textId="77777777" w:rsidR="00217891" w:rsidRPr="00D5436F" w:rsidRDefault="00217891">
                            <w:pPr>
                              <w:rPr>
                                <w:rFonts w:ascii="Calibri" w:hAnsi="Calibri"/>
                                <w:b/>
                                <w:color w:val="FFFF00"/>
                              </w:rPr>
                            </w:pPr>
                            <w:r>
                              <w:rPr>
                                <w:rFonts w:ascii="Calibri" w:hAnsi="Calibri" w:hint="eastAsia"/>
                                <w:b/>
                                <w:color w:val="FFFF00"/>
                              </w:rPr>
                              <w:t>比例尺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B94D8" id="_x0000_s1622" type="#_x0000_t202" style="position:absolute;left:0;text-align:left;margin-left:323.95pt;margin-top:25.4pt;width:55.05pt;height:26.95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xQvwIAAMk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" filled="f" stroked="f">
                <v:textbox>
                  <w:txbxContent>
                    <w:p w14:paraId="47787A31" w14:textId="77777777" w:rsidR="00217891" w:rsidRPr="00D5436F" w:rsidRDefault="00217891">
                      <w:pPr>
                        <w:rPr>
                          <w:rFonts w:ascii="Calibri" w:hAnsi="Calibri"/>
                          <w:b/>
                          <w:color w:val="FFFF00"/>
                        </w:rPr>
                      </w:pPr>
                      <w:r>
                        <w:rPr>
                          <w:rFonts w:ascii="Calibri" w:hAnsi="Calibri" w:hint="eastAsia"/>
                          <w:b/>
                          <w:color w:val="FFFF00"/>
                        </w:rPr>
                        <w:t>比例尺</w:t>
                      </w:r>
                    </w:p>
                  </w:txbxContent>
                </v:textbox>
              </v:shape>
            </w:pict>
          </mc:Fallback>
        </mc:AlternateContent>
      </w:r>
    </w:p>
    <w:p w14:paraId="2C0AA514" w14:textId="77777777" w:rsidR="00D0550A" w:rsidRPr="00A814F7" w:rsidRDefault="00D0550A" w:rsidP="00A814F7">
      <w:pPr>
        <w:pStyle w:val="00"/>
        <w:ind w:firstLineChars="600" w:firstLine="1440"/>
        <w:rPr>
          <w:rFonts w:ascii="Calibri" w:hAnsi="Times New Roman"/>
          <w:color w:val="auto"/>
        </w:rPr>
      </w:pPr>
      <w:r w:rsidRPr="00A964FF">
        <w:rPr>
          <w:rFonts w:ascii="Calibri" w:eastAsia="黑体" w:hAnsi="黑体"/>
          <w:color w:val="auto"/>
        </w:rPr>
        <w:t>图</w:t>
      </w:r>
      <w:r w:rsidRPr="00A964FF">
        <w:rPr>
          <w:rFonts w:ascii="Calibri" w:eastAsia="黑体" w:hAnsi="Calibri"/>
          <w:color w:val="auto"/>
        </w:rPr>
        <w:t>4</w:t>
      </w:r>
      <w:r w:rsidR="00AE189F" w:rsidRPr="00A964FF">
        <w:rPr>
          <w:rFonts w:ascii="Calibri" w:eastAsia="黑体" w:hAnsi="Calibri" w:hint="eastAsia"/>
          <w:color w:val="auto"/>
        </w:rPr>
        <w:t>.4</w:t>
      </w:r>
      <w:r w:rsidRPr="00A964FF">
        <w:rPr>
          <w:rFonts w:ascii="Calibri" w:eastAsia="黑体" w:hAnsi="Calibri"/>
          <w:color w:val="auto"/>
        </w:rPr>
        <w:t>-</w:t>
      </w:r>
      <w:r w:rsidR="00630B0A" w:rsidRPr="00A964FF">
        <w:rPr>
          <w:rFonts w:ascii="Calibri" w:eastAsia="黑体" w:hAnsi="Calibri" w:hint="eastAsia"/>
          <w:color w:val="auto"/>
        </w:rPr>
        <w:t>1</w:t>
      </w:r>
      <w:r w:rsidRPr="00A964FF">
        <w:rPr>
          <w:rFonts w:ascii="Calibri" w:eastAsia="黑体" w:hAnsi="Calibri"/>
          <w:color w:val="auto"/>
        </w:rPr>
        <w:t xml:space="preserve">        </w:t>
      </w:r>
      <w:r w:rsidR="00A90CA4">
        <w:rPr>
          <w:rFonts w:ascii="Calibri" w:eastAsia="黑体" w:hAnsi="Calibri" w:hint="eastAsia"/>
          <w:color w:val="auto"/>
        </w:rPr>
        <w:t xml:space="preserve">  </w:t>
      </w:r>
      <w:r w:rsidR="00630B0A" w:rsidRPr="00A964FF">
        <w:rPr>
          <w:rFonts w:ascii="Calibri" w:eastAsia="黑体" w:hAnsi="Calibri" w:hint="eastAsia"/>
          <w:color w:val="auto"/>
        </w:rPr>
        <w:t>项目</w:t>
      </w:r>
      <w:r w:rsidRPr="00A964FF">
        <w:rPr>
          <w:rFonts w:ascii="Calibri" w:eastAsia="黑体" w:hAnsi="黑体"/>
          <w:color w:val="auto"/>
        </w:rPr>
        <w:t>土壤评价调查范围图</w:t>
      </w:r>
    </w:p>
    <w:p w14:paraId="2F6BBE6B" w14:textId="77777777" w:rsidR="00A814F7" w:rsidRDefault="00A814F7" w:rsidP="00E1389D">
      <w:pPr>
        <w:pStyle w:val="00"/>
        <w:ind w:firstLineChars="200"/>
        <w:rPr>
          <w:rFonts w:ascii="Calibri" w:hAnsi="Times New Roman"/>
          <w:color w:val="auto"/>
        </w:rPr>
      </w:pPr>
    </w:p>
    <w:p w14:paraId="5374D3A8" w14:textId="77777777" w:rsidR="00E1389D" w:rsidRDefault="00AE189F" w:rsidP="00E1389D">
      <w:pPr>
        <w:pStyle w:val="00"/>
        <w:ind w:firstLineChars="200"/>
        <w:rPr>
          <w:rFonts w:ascii="Calibri" w:hAnsi="Times New Roman"/>
          <w:color w:val="auto"/>
        </w:rPr>
      </w:pPr>
      <w:r w:rsidRPr="00A964FF">
        <w:rPr>
          <w:rFonts w:ascii="Calibri" w:hAnsi="Times New Roman" w:hint="eastAsia"/>
          <w:color w:val="auto"/>
        </w:rPr>
        <w:t>本项目位于平顶山尼龙新材料产业集聚区，其周边</w:t>
      </w:r>
      <w:r w:rsidRPr="00A964FF">
        <w:rPr>
          <w:rFonts w:ascii="Calibri" w:hAnsi="Times New Roman" w:hint="eastAsia"/>
          <w:color w:val="auto"/>
        </w:rPr>
        <w:t>2</w:t>
      </w:r>
      <w:r w:rsidR="00A73FA2">
        <w:rPr>
          <w:rFonts w:ascii="Calibri" w:hAnsi="Times New Roman" w:hint="eastAsia"/>
          <w:color w:val="auto"/>
        </w:rPr>
        <w:t>00</w:t>
      </w:r>
      <w:r w:rsidRPr="00A964FF">
        <w:rPr>
          <w:rFonts w:ascii="Calibri" w:hAnsi="Times New Roman" w:hint="eastAsia"/>
          <w:color w:val="auto"/>
        </w:rPr>
        <w:t>m</w:t>
      </w:r>
      <w:r w:rsidRPr="00A964FF">
        <w:rPr>
          <w:rFonts w:ascii="Calibri" w:hAnsi="Times New Roman" w:hint="eastAsia"/>
          <w:color w:val="auto"/>
        </w:rPr>
        <w:t>范围内均为集聚区待建设用地，无土壤敏感目标。</w:t>
      </w:r>
      <w:r w:rsidR="00A90CA4">
        <w:rPr>
          <w:rFonts w:ascii="Calibri" w:hAnsi="Times New Roman" w:hint="eastAsia"/>
          <w:color w:val="auto"/>
        </w:rPr>
        <w:t>经调查</w:t>
      </w:r>
      <w:r w:rsidR="00A90CA4">
        <w:rPr>
          <w:rFonts w:ascii="Calibri" w:hAnsi="Times New Roman"/>
          <w:color w:val="auto"/>
        </w:rPr>
        <w:t>，</w:t>
      </w:r>
      <w:r w:rsidR="00E1389D">
        <w:rPr>
          <w:rFonts w:ascii="Calibri" w:hAnsi="Times New Roman" w:hint="eastAsia"/>
          <w:color w:val="auto"/>
        </w:rPr>
        <w:t>仅</w:t>
      </w:r>
      <w:r w:rsidR="00E1389D">
        <w:rPr>
          <w:rFonts w:ascii="Calibri" w:hAnsi="Times New Roman"/>
          <w:color w:val="auto"/>
        </w:rPr>
        <w:t>项目北侧</w:t>
      </w:r>
      <w:r w:rsidR="00E1389D">
        <w:rPr>
          <w:rFonts w:ascii="Calibri" w:hAnsi="Times New Roman" w:hint="eastAsia"/>
          <w:color w:val="auto"/>
        </w:rPr>
        <w:t>含有</w:t>
      </w:r>
      <w:r w:rsidR="00E1389D" w:rsidRPr="00E1389D">
        <w:rPr>
          <w:rFonts w:ascii="Calibri" w:hAnsi="Times New Roman" w:hint="eastAsia"/>
          <w:color w:val="auto"/>
        </w:rPr>
        <w:t>平顶山市锦华新材料科技有限公司年产</w:t>
      </w:r>
      <w:r w:rsidR="00E1389D" w:rsidRPr="00E1389D">
        <w:rPr>
          <w:rFonts w:ascii="Calibri" w:hAnsi="Times New Roman" w:hint="eastAsia"/>
          <w:color w:val="auto"/>
        </w:rPr>
        <w:t>15000</w:t>
      </w:r>
      <w:r w:rsidR="00E1389D" w:rsidRPr="00E1389D">
        <w:rPr>
          <w:rFonts w:ascii="Calibri" w:hAnsi="Times New Roman" w:hint="eastAsia"/>
          <w:color w:val="auto"/>
        </w:rPr>
        <w:t>万米高档特种锦纶坯布面料及配套加工丝</w:t>
      </w:r>
      <w:r w:rsidR="00AB0983">
        <w:rPr>
          <w:rFonts w:ascii="Calibri" w:hAnsi="Times New Roman" w:hint="eastAsia"/>
          <w:color w:val="auto"/>
        </w:rPr>
        <w:t>报告表</w:t>
      </w:r>
      <w:r w:rsidR="00E1389D" w:rsidRPr="00E1389D">
        <w:rPr>
          <w:rFonts w:ascii="Calibri" w:hAnsi="Times New Roman" w:hint="eastAsia"/>
          <w:color w:val="auto"/>
        </w:rPr>
        <w:t>项目（二期）</w:t>
      </w:r>
      <w:r w:rsidR="00E1389D">
        <w:rPr>
          <w:rFonts w:ascii="Calibri" w:hAnsi="Times New Roman" w:hint="eastAsia"/>
          <w:color w:val="auto"/>
        </w:rPr>
        <w:t>部分</w:t>
      </w:r>
      <w:r w:rsidR="00E1389D">
        <w:rPr>
          <w:rFonts w:ascii="Calibri" w:hAnsi="Times New Roman"/>
          <w:color w:val="auto"/>
        </w:rPr>
        <w:t>用地，</w:t>
      </w:r>
      <w:r w:rsidR="00E1389D">
        <w:rPr>
          <w:rFonts w:ascii="Calibri" w:hAnsi="Times New Roman" w:hint="eastAsia"/>
          <w:color w:val="auto"/>
        </w:rPr>
        <w:t>项目</w:t>
      </w:r>
      <w:r w:rsidR="00E1389D">
        <w:rPr>
          <w:rFonts w:ascii="Calibri" w:hAnsi="Times New Roman"/>
          <w:color w:val="auto"/>
        </w:rPr>
        <w:t>占地外其余用地现状均为农田。</w:t>
      </w:r>
    </w:p>
    <w:p w14:paraId="43E8A421" w14:textId="77777777" w:rsidR="00422B46" w:rsidRPr="00A964FF" w:rsidRDefault="00A30481" w:rsidP="00C12CBB">
      <w:pPr>
        <w:pStyle w:val="00"/>
        <w:ind w:firstLineChars="200"/>
        <w:rPr>
          <w:rFonts w:ascii="Calibri" w:hAnsi="Times New Roman"/>
          <w:color w:val="auto"/>
        </w:rPr>
      </w:pPr>
      <w:r w:rsidRPr="00A964FF">
        <w:rPr>
          <w:rFonts w:ascii="Calibri" w:hAnsi="Times New Roman" w:hint="eastAsia"/>
          <w:color w:val="auto"/>
        </w:rPr>
        <w:t>（</w:t>
      </w:r>
      <w:r w:rsidR="006710E5" w:rsidRPr="00A964FF">
        <w:rPr>
          <w:rFonts w:ascii="Calibri" w:hAnsi="Times New Roman" w:hint="eastAsia"/>
          <w:color w:val="auto"/>
        </w:rPr>
        <w:t>2</w:t>
      </w:r>
      <w:r w:rsidRPr="00A964FF">
        <w:rPr>
          <w:rFonts w:ascii="Calibri" w:hAnsi="Times New Roman" w:hint="eastAsia"/>
          <w:color w:val="auto"/>
        </w:rPr>
        <w:t>）</w:t>
      </w:r>
      <w:r w:rsidR="00422B46" w:rsidRPr="00A964FF">
        <w:rPr>
          <w:rFonts w:ascii="Calibri" w:hAnsi="Times New Roman" w:hint="eastAsia"/>
          <w:color w:val="auto"/>
        </w:rPr>
        <w:t>土地利用类型调查</w:t>
      </w:r>
    </w:p>
    <w:p w14:paraId="4EED667F" w14:textId="77777777" w:rsidR="00A90CA4" w:rsidRPr="00E1389D" w:rsidRDefault="00D0550A" w:rsidP="00E1389D">
      <w:pPr>
        <w:pStyle w:val="00"/>
        <w:ind w:firstLineChars="200"/>
        <w:rPr>
          <w:rFonts w:ascii="Calibri" w:hAnsi="Times New Roman"/>
          <w:color w:val="auto"/>
        </w:rPr>
      </w:pPr>
      <w:r w:rsidRPr="00A964FF">
        <w:rPr>
          <w:rFonts w:ascii="Calibri" w:hAnsi="Times New Roman" w:hint="eastAsia"/>
          <w:color w:val="auto"/>
        </w:rPr>
        <w:t>根据现场调查结果，本项目场地</w:t>
      </w:r>
      <w:r w:rsidR="00A90CA4">
        <w:rPr>
          <w:rFonts w:ascii="Calibri" w:hAnsi="Times New Roman" w:hint="eastAsia"/>
          <w:color w:val="auto"/>
        </w:rPr>
        <w:t>现状</w:t>
      </w:r>
      <w:r w:rsidR="00A90CA4">
        <w:rPr>
          <w:rFonts w:ascii="Calibri" w:hAnsi="Times New Roman"/>
          <w:color w:val="auto"/>
        </w:rPr>
        <w:t>为空地，</w:t>
      </w:r>
      <w:r w:rsidRPr="00A964FF">
        <w:rPr>
          <w:rFonts w:ascii="Calibri" w:hAnsi="Times New Roman" w:hint="eastAsia"/>
          <w:color w:val="auto"/>
        </w:rPr>
        <w:t>周边土地利用类型</w:t>
      </w:r>
      <w:r w:rsidR="00A90CA4">
        <w:rPr>
          <w:rFonts w:ascii="Calibri" w:hAnsi="Times New Roman" w:hint="eastAsia"/>
          <w:color w:val="auto"/>
        </w:rPr>
        <w:t>现状</w:t>
      </w:r>
      <w:r w:rsidR="00A90CA4">
        <w:rPr>
          <w:rFonts w:ascii="Calibri" w:hAnsi="Times New Roman"/>
          <w:color w:val="auto"/>
        </w:rPr>
        <w:t>主要为农田</w:t>
      </w:r>
      <w:r w:rsidRPr="00A964FF">
        <w:rPr>
          <w:rFonts w:ascii="Calibri" w:hAnsi="Times New Roman" w:hint="eastAsia"/>
          <w:color w:val="auto"/>
        </w:rPr>
        <w:t>。</w:t>
      </w:r>
      <w:r w:rsidR="00AE189F" w:rsidRPr="00A964FF">
        <w:rPr>
          <w:rFonts w:ascii="Calibri" w:hAnsi="Times New Roman" w:hint="eastAsia"/>
          <w:color w:val="auto"/>
        </w:rPr>
        <w:t>本项目评价范围内</w:t>
      </w:r>
      <w:r w:rsidRPr="00A964FF">
        <w:rPr>
          <w:rFonts w:ascii="Calibri" w:hAnsi="Times New Roman" w:hint="eastAsia"/>
          <w:color w:val="auto"/>
        </w:rPr>
        <w:t>各类土地利用类型调查结果见表</w:t>
      </w:r>
      <w:r w:rsidR="00422B46" w:rsidRPr="00A964FF">
        <w:rPr>
          <w:rFonts w:ascii="Calibri" w:hAnsi="Times New Roman" w:hint="eastAsia"/>
          <w:color w:val="auto"/>
        </w:rPr>
        <w:t>4</w:t>
      </w:r>
      <w:r w:rsidR="00630B0A" w:rsidRPr="00A964FF">
        <w:rPr>
          <w:rFonts w:ascii="Calibri" w:hAnsi="Times New Roman" w:hint="eastAsia"/>
          <w:color w:val="auto"/>
        </w:rPr>
        <w:t>.4</w:t>
      </w:r>
      <w:r w:rsidR="00422B46" w:rsidRPr="00A964FF">
        <w:rPr>
          <w:rFonts w:ascii="Calibri" w:hAnsi="Times New Roman" w:hint="eastAsia"/>
          <w:color w:val="auto"/>
        </w:rPr>
        <w:t>-</w:t>
      </w:r>
      <w:r w:rsidR="003B40FF" w:rsidRPr="00A964FF">
        <w:rPr>
          <w:rFonts w:ascii="Calibri" w:hAnsi="Times New Roman" w:hint="eastAsia"/>
          <w:color w:val="auto"/>
        </w:rPr>
        <w:t>5</w:t>
      </w:r>
      <w:r w:rsidR="00422B46" w:rsidRPr="00A964FF">
        <w:rPr>
          <w:rFonts w:ascii="Calibri" w:hAnsi="Times New Roman" w:hint="eastAsia"/>
          <w:color w:val="auto"/>
        </w:rPr>
        <w:t>。</w:t>
      </w:r>
    </w:p>
    <w:p w14:paraId="0481EE2E" w14:textId="77777777" w:rsidR="00422B46" w:rsidRPr="00A964FF" w:rsidRDefault="00422B46" w:rsidP="00A93908">
      <w:pPr>
        <w:pStyle w:val="00"/>
        <w:ind w:firstLineChars="243" w:firstLine="583"/>
        <w:rPr>
          <w:rFonts w:ascii="黑体" w:eastAsia="黑体" w:hAnsi="黑体"/>
          <w:color w:val="auto"/>
        </w:rPr>
      </w:pPr>
      <w:r w:rsidRPr="00A964FF">
        <w:rPr>
          <w:rFonts w:ascii="Calibri" w:eastAsia="黑体" w:hAnsi="黑体"/>
          <w:color w:val="auto"/>
        </w:rPr>
        <w:t>表</w:t>
      </w:r>
      <w:r w:rsidR="00A30481" w:rsidRPr="00A964FF">
        <w:rPr>
          <w:rFonts w:ascii="Calibri" w:eastAsia="黑体" w:hAnsi="Calibri"/>
          <w:color w:val="auto"/>
        </w:rPr>
        <w:t>4</w:t>
      </w:r>
      <w:r w:rsidR="00630B0A" w:rsidRPr="00A964FF">
        <w:rPr>
          <w:rFonts w:ascii="Calibri" w:eastAsia="黑体" w:hAnsi="Calibri" w:hint="eastAsia"/>
          <w:color w:val="auto"/>
        </w:rPr>
        <w:t>.4</w:t>
      </w:r>
      <w:r w:rsidRPr="00A964FF">
        <w:rPr>
          <w:rFonts w:ascii="Calibri" w:eastAsia="黑体" w:hAnsi="Calibri"/>
          <w:color w:val="auto"/>
        </w:rPr>
        <w:t>-</w:t>
      </w:r>
      <w:r w:rsidR="003B40FF" w:rsidRPr="00A964FF">
        <w:rPr>
          <w:rFonts w:ascii="Calibri" w:eastAsia="黑体" w:hAnsi="Calibri" w:hint="eastAsia"/>
          <w:color w:val="auto"/>
        </w:rPr>
        <w:t>5</w:t>
      </w:r>
      <w:r w:rsidRPr="00A964FF">
        <w:rPr>
          <w:rFonts w:ascii="Calibri" w:eastAsia="黑体" w:hAnsi="Calibri"/>
          <w:color w:val="auto"/>
        </w:rPr>
        <w:t xml:space="preserve"> </w:t>
      </w:r>
      <w:r w:rsidRPr="00A964FF">
        <w:rPr>
          <w:rFonts w:ascii="黑体" w:eastAsia="黑体" w:hAnsi="黑体" w:hint="eastAsia"/>
          <w:color w:val="auto"/>
        </w:rPr>
        <w:t xml:space="preserve">    </w:t>
      </w:r>
      <w:r w:rsidR="00F62C9D" w:rsidRPr="00A964FF">
        <w:rPr>
          <w:rFonts w:ascii="黑体" w:eastAsia="黑体" w:hAnsi="黑体" w:hint="eastAsia"/>
          <w:color w:val="auto"/>
        </w:rPr>
        <w:t xml:space="preserve"> </w:t>
      </w:r>
      <w:r w:rsidR="00A30481" w:rsidRPr="00A964FF">
        <w:rPr>
          <w:rFonts w:ascii="黑体" w:eastAsia="黑体" w:hAnsi="黑体" w:hint="eastAsia"/>
          <w:color w:val="auto"/>
        </w:rPr>
        <w:t xml:space="preserve">       </w:t>
      </w:r>
      <w:r w:rsidRPr="00A964FF">
        <w:rPr>
          <w:rFonts w:ascii="黑体" w:eastAsia="黑体" w:hAnsi="黑体" w:hint="eastAsia"/>
          <w:color w:val="auto"/>
        </w:rPr>
        <w:t xml:space="preserve"> </w:t>
      </w:r>
      <w:r w:rsidR="00A30481" w:rsidRPr="00A964FF">
        <w:rPr>
          <w:rFonts w:ascii="黑体" w:eastAsia="黑体" w:hAnsi="黑体" w:hint="eastAsia"/>
          <w:color w:val="auto"/>
        </w:rPr>
        <w:t>各类土地利用类型调查结果</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701"/>
        <w:gridCol w:w="1302"/>
        <w:gridCol w:w="1592"/>
        <w:gridCol w:w="4105"/>
      </w:tblGrid>
      <w:tr w:rsidR="00422B46" w:rsidRPr="00A964FF" w14:paraId="423871B2" w14:textId="77777777" w:rsidTr="00EA2FDD">
        <w:trPr>
          <w:trHeight w:val="340"/>
        </w:trPr>
        <w:tc>
          <w:tcPr>
            <w:tcW w:w="978" w:type="pct"/>
            <w:vAlign w:val="center"/>
          </w:tcPr>
          <w:p w14:paraId="079B1E9A" w14:textId="77777777" w:rsidR="00422B46" w:rsidRPr="00A964FF" w:rsidRDefault="00422B46" w:rsidP="009E3841">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土地利用类型</w:t>
            </w:r>
          </w:p>
        </w:tc>
        <w:tc>
          <w:tcPr>
            <w:tcW w:w="748" w:type="pct"/>
            <w:vAlign w:val="center"/>
          </w:tcPr>
          <w:p w14:paraId="64F19CC9" w14:textId="77777777" w:rsidR="00422B46" w:rsidRPr="00A964FF" w:rsidRDefault="00422B46" w:rsidP="00630B0A">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面积</w:t>
            </w:r>
            <w:r w:rsidR="00630B0A" w:rsidRPr="00A964FF">
              <w:rPr>
                <w:rFonts w:ascii="Calibri" w:hAnsi="Times New Roman" w:hint="eastAsia"/>
                <w:color w:val="auto"/>
                <w:sz w:val="21"/>
                <w:szCs w:val="21"/>
              </w:rPr>
              <w:t>（</w:t>
            </w:r>
            <w:r w:rsidRPr="00A964FF">
              <w:rPr>
                <w:rFonts w:ascii="Calibri" w:hAnsi="Times New Roman" w:hint="eastAsia"/>
                <w:color w:val="auto"/>
                <w:sz w:val="21"/>
                <w:szCs w:val="21"/>
              </w:rPr>
              <w:t>hm</w:t>
            </w:r>
            <w:r w:rsidRPr="00A964FF">
              <w:rPr>
                <w:rFonts w:ascii="Calibri" w:hAnsi="Times New Roman" w:hint="eastAsia"/>
                <w:color w:val="auto"/>
                <w:sz w:val="21"/>
                <w:szCs w:val="21"/>
                <w:vertAlign w:val="superscript"/>
              </w:rPr>
              <w:t>2</w:t>
            </w:r>
            <w:r w:rsidR="00630B0A" w:rsidRPr="00A964FF">
              <w:rPr>
                <w:rFonts w:ascii="Calibri" w:hAnsi="Times New Roman" w:hint="eastAsia"/>
                <w:color w:val="auto"/>
                <w:sz w:val="21"/>
                <w:szCs w:val="21"/>
              </w:rPr>
              <w:t>）</w:t>
            </w:r>
          </w:p>
        </w:tc>
        <w:tc>
          <w:tcPr>
            <w:tcW w:w="915" w:type="pct"/>
            <w:vAlign w:val="center"/>
          </w:tcPr>
          <w:p w14:paraId="2418B69E" w14:textId="77777777" w:rsidR="00422B46" w:rsidRPr="00A964FF" w:rsidRDefault="00422B46" w:rsidP="009E3841">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占比（</w:t>
            </w:r>
            <w:r w:rsidRPr="00A964FF">
              <w:rPr>
                <w:rFonts w:ascii="Calibri" w:hAnsi="Times New Roman" w:hint="eastAsia"/>
                <w:color w:val="auto"/>
                <w:sz w:val="21"/>
                <w:szCs w:val="21"/>
              </w:rPr>
              <w:t>%</w:t>
            </w:r>
            <w:r w:rsidRPr="00A964FF">
              <w:rPr>
                <w:rFonts w:ascii="Calibri" w:hAnsi="Times New Roman" w:hint="eastAsia"/>
                <w:color w:val="auto"/>
                <w:sz w:val="21"/>
                <w:szCs w:val="21"/>
              </w:rPr>
              <w:t>）</w:t>
            </w:r>
          </w:p>
        </w:tc>
        <w:tc>
          <w:tcPr>
            <w:tcW w:w="2359" w:type="pct"/>
            <w:vAlign w:val="center"/>
          </w:tcPr>
          <w:p w14:paraId="63229EF1" w14:textId="77777777" w:rsidR="00422B46" w:rsidRPr="00A964FF" w:rsidRDefault="00422B46" w:rsidP="009E3841">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分布情况</w:t>
            </w:r>
          </w:p>
        </w:tc>
      </w:tr>
      <w:tr w:rsidR="00D0550A" w:rsidRPr="00A964FF" w14:paraId="1258AE3B" w14:textId="77777777" w:rsidTr="00EA2FDD">
        <w:trPr>
          <w:trHeight w:val="340"/>
        </w:trPr>
        <w:tc>
          <w:tcPr>
            <w:tcW w:w="978" w:type="pct"/>
            <w:vAlign w:val="center"/>
          </w:tcPr>
          <w:p w14:paraId="0A6E93F5" w14:textId="77777777" w:rsidR="00D0550A" w:rsidRPr="00A964FF" w:rsidRDefault="00A90CA4" w:rsidP="001826AA">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道路用地</w:t>
            </w:r>
          </w:p>
        </w:tc>
        <w:tc>
          <w:tcPr>
            <w:tcW w:w="748" w:type="pct"/>
            <w:vAlign w:val="center"/>
          </w:tcPr>
          <w:p w14:paraId="4F2ECCC2" w14:textId="77777777" w:rsidR="00D0550A" w:rsidRPr="00A964FF" w:rsidRDefault="00A90CA4" w:rsidP="001826AA">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3.14</w:t>
            </w:r>
          </w:p>
        </w:tc>
        <w:tc>
          <w:tcPr>
            <w:tcW w:w="915" w:type="pct"/>
            <w:vAlign w:val="center"/>
          </w:tcPr>
          <w:p w14:paraId="51721581" w14:textId="77777777" w:rsidR="00D0550A" w:rsidRPr="00A964FF" w:rsidRDefault="00BC3ADE" w:rsidP="00A534A8">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6.54</w:t>
            </w:r>
          </w:p>
        </w:tc>
        <w:tc>
          <w:tcPr>
            <w:tcW w:w="2359" w:type="pct"/>
            <w:vAlign w:val="center"/>
          </w:tcPr>
          <w:p w14:paraId="20AFC657" w14:textId="77777777" w:rsidR="00D0550A" w:rsidRPr="00A964FF" w:rsidRDefault="00BC3ADE" w:rsidP="00A534A8">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项目东侧</w:t>
            </w:r>
            <w:r>
              <w:rPr>
                <w:rFonts w:ascii="Calibri" w:hAnsi="Times New Roman"/>
                <w:color w:val="auto"/>
                <w:sz w:val="21"/>
                <w:szCs w:val="21"/>
              </w:rPr>
              <w:t>道路</w:t>
            </w:r>
          </w:p>
        </w:tc>
      </w:tr>
      <w:tr w:rsidR="00E1389D" w:rsidRPr="00A964FF" w14:paraId="63692768" w14:textId="77777777" w:rsidTr="00EA2FDD">
        <w:trPr>
          <w:trHeight w:val="340"/>
        </w:trPr>
        <w:tc>
          <w:tcPr>
            <w:tcW w:w="978" w:type="pct"/>
            <w:vAlign w:val="center"/>
          </w:tcPr>
          <w:p w14:paraId="6F20D0DE" w14:textId="77777777" w:rsidR="00E1389D" w:rsidRDefault="00E1389D" w:rsidP="001826AA">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待建设</w:t>
            </w:r>
            <w:r>
              <w:rPr>
                <w:rFonts w:ascii="Calibri" w:hAnsi="Times New Roman"/>
                <w:color w:val="auto"/>
                <w:sz w:val="21"/>
                <w:szCs w:val="21"/>
              </w:rPr>
              <w:t>用地</w:t>
            </w:r>
          </w:p>
        </w:tc>
        <w:tc>
          <w:tcPr>
            <w:tcW w:w="748" w:type="pct"/>
            <w:vAlign w:val="center"/>
          </w:tcPr>
          <w:p w14:paraId="58F9C0C5" w14:textId="77777777" w:rsidR="00E1389D" w:rsidRDefault="00E1389D" w:rsidP="001826AA">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1.40</w:t>
            </w:r>
          </w:p>
        </w:tc>
        <w:tc>
          <w:tcPr>
            <w:tcW w:w="915" w:type="pct"/>
            <w:vAlign w:val="center"/>
          </w:tcPr>
          <w:p w14:paraId="0065239B" w14:textId="77777777" w:rsidR="00E1389D" w:rsidRDefault="00E1389D" w:rsidP="00A534A8">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2.92</w:t>
            </w:r>
          </w:p>
        </w:tc>
        <w:tc>
          <w:tcPr>
            <w:tcW w:w="2359" w:type="pct"/>
            <w:vAlign w:val="center"/>
          </w:tcPr>
          <w:p w14:paraId="4313A336" w14:textId="77777777" w:rsidR="00E1389D" w:rsidRDefault="00E1389D" w:rsidP="00A534A8">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项目北侧</w:t>
            </w:r>
          </w:p>
        </w:tc>
      </w:tr>
      <w:tr w:rsidR="00D0550A" w:rsidRPr="00A964FF" w14:paraId="5701F338" w14:textId="77777777" w:rsidTr="00EA2FDD">
        <w:trPr>
          <w:trHeight w:val="340"/>
        </w:trPr>
        <w:tc>
          <w:tcPr>
            <w:tcW w:w="978" w:type="pct"/>
            <w:vAlign w:val="center"/>
          </w:tcPr>
          <w:p w14:paraId="5419B25F" w14:textId="77777777" w:rsidR="00D0550A" w:rsidRPr="00A964FF" w:rsidRDefault="00AE189F" w:rsidP="001826AA">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现状农用地</w:t>
            </w:r>
          </w:p>
        </w:tc>
        <w:tc>
          <w:tcPr>
            <w:tcW w:w="748" w:type="pct"/>
            <w:vAlign w:val="center"/>
          </w:tcPr>
          <w:p w14:paraId="78DCCE6F" w14:textId="77777777" w:rsidR="00D0550A" w:rsidRPr="00A964FF" w:rsidRDefault="00E1389D" w:rsidP="001826AA">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43.46</w:t>
            </w:r>
          </w:p>
        </w:tc>
        <w:tc>
          <w:tcPr>
            <w:tcW w:w="915" w:type="pct"/>
            <w:vAlign w:val="center"/>
          </w:tcPr>
          <w:p w14:paraId="49E8760E" w14:textId="77777777" w:rsidR="00D0550A" w:rsidRPr="00A964FF" w:rsidRDefault="00E1389D" w:rsidP="001826AA">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90.54</w:t>
            </w:r>
          </w:p>
        </w:tc>
        <w:tc>
          <w:tcPr>
            <w:tcW w:w="2359" w:type="pct"/>
            <w:vAlign w:val="center"/>
          </w:tcPr>
          <w:p w14:paraId="7605C921" w14:textId="77777777" w:rsidR="00D0550A" w:rsidRPr="00A964FF" w:rsidRDefault="00BC3ADE" w:rsidP="00EA2FDD">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项目</w:t>
            </w:r>
            <w:r>
              <w:rPr>
                <w:rFonts w:ascii="Calibri" w:hAnsi="Times New Roman"/>
                <w:color w:val="auto"/>
                <w:sz w:val="21"/>
                <w:szCs w:val="21"/>
              </w:rPr>
              <w:t>用地四周</w:t>
            </w:r>
          </w:p>
        </w:tc>
      </w:tr>
      <w:tr w:rsidR="00D0550A" w:rsidRPr="00A964FF" w14:paraId="61D2DA2C" w14:textId="77777777" w:rsidTr="00EA2FDD">
        <w:trPr>
          <w:trHeight w:val="340"/>
        </w:trPr>
        <w:tc>
          <w:tcPr>
            <w:tcW w:w="978" w:type="pct"/>
            <w:vAlign w:val="center"/>
          </w:tcPr>
          <w:p w14:paraId="00DC8B7B" w14:textId="77777777" w:rsidR="00D0550A" w:rsidRPr="00A964FF" w:rsidRDefault="00D0550A" w:rsidP="001826AA">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合计</w:t>
            </w:r>
          </w:p>
        </w:tc>
        <w:tc>
          <w:tcPr>
            <w:tcW w:w="748" w:type="pct"/>
            <w:vAlign w:val="center"/>
          </w:tcPr>
          <w:p w14:paraId="27DFA2E2" w14:textId="77777777" w:rsidR="00D0550A" w:rsidRPr="00A964FF" w:rsidRDefault="00BC3ADE" w:rsidP="001826AA">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48</w:t>
            </w:r>
          </w:p>
        </w:tc>
        <w:tc>
          <w:tcPr>
            <w:tcW w:w="915" w:type="pct"/>
            <w:vAlign w:val="center"/>
          </w:tcPr>
          <w:p w14:paraId="49789098" w14:textId="77777777" w:rsidR="00D0550A" w:rsidRPr="00A964FF" w:rsidRDefault="00D0550A" w:rsidP="001826AA">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100</w:t>
            </w:r>
          </w:p>
        </w:tc>
        <w:tc>
          <w:tcPr>
            <w:tcW w:w="2359" w:type="pct"/>
            <w:vAlign w:val="center"/>
          </w:tcPr>
          <w:p w14:paraId="314FEA0E" w14:textId="77777777" w:rsidR="00D0550A" w:rsidRPr="00A964FF" w:rsidRDefault="00D0550A" w:rsidP="001826AA">
            <w:pPr>
              <w:pStyle w:val="00"/>
              <w:spacing w:line="240" w:lineRule="auto"/>
              <w:ind w:firstLine="0"/>
              <w:jc w:val="center"/>
              <w:rPr>
                <w:rFonts w:ascii="Calibri" w:hAnsi="Times New Roman"/>
                <w:color w:val="auto"/>
                <w:sz w:val="21"/>
                <w:szCs w:val="21"/>
              </w:rPr>
            </w:pPr>
            <w:r w:rsidRPr="00A964FF">
              <w:rPr>
                <w:rFonts w:ascii="Calibri" w:hAnsi="Times New Roman" w:hint="eastAsia"/>
                <w:color w:val="auto"/>
                <w:sz w:val="21"/>
                <w:szCs w:val="21"/>
              </w:rPr>
              <w:t>/</w:t>
            </w:r>
          </w:p>
        </w:tc>
      </w:tr>
    </w:tbl>
    <w:p w14:paraId="7108C7F0" w14:textId="77777777" w:rsidR="00422B46" w:rsidRPr="00922FF9" w:rsidRDefault="00A30481" w:rsidP="00A534A8">
      <w:pPr>
        <w:pStyle w:val="00"/>
        <w:ind w:firstLineChars="200"/>
        <w:rPr>
          <w:rFonts w:ascii="Calibri" w:hAnsi="Times New Roman"/>
          <w:color w:val="auto"/>
        </w:rPr>
      </w:pPr>
      <w:r w:rsidRPr="00922FF9">
        <w:rPr>
          <w:rFonts w:ascii="Calibri" w:hAnsi="Times New Roman" w:hint="eastAsia"/>
          <w:color w:val="auto"/>
        </w:rPr>
        <w:t>（</w:t>
      </w:r>
      <w:r w:rsidR="00B94E1F" w:rsidRPr="00922FF9">
        <w:rPr>
          <w:rFonts w:ascii="Calibri" w:hAnsi="Times New Roman" w:hint="eastAsia"/>
          <w:color w:val="auto"/>
        </w:rPr>
        <w:t>3</w:t>
      </w:r>
      <w:r w:rsidRPr="00922FF9">
        <w:rPr>
          <w:rFonts w:ascii="Calibri" w:hAnsi="Times New Roman" w:hint="eastAsia"/>
          <w:color w:val="auto"/>
        </w:rPr>
        <w:t>）</w:t>
      </w:r>
      <w:r w:rsidR="00422B46" w:rsidRPr="00922FF9">
        <w:rPr>
          <w:rFonts w:ascii="Calibri" w:hAnsi="Times New Roman" w:hint="eastAsia"/>
          <w:color w:val="auto"/>
        </w:rPr>
        <w:t>土壤类型调查</w:t>
      </w:r>
    </w:p>
    <w:p w14:paraId="78EB28FC" w14:textId="77777777" w:rsidR="00AE189F" w:rsidRDefault="00D0550A" w:rsidP="00630B0A">
      <w:pPr>
        <w:pStyle w:val="00"/>
        <w:ind w:firstLineChars="200"/>
        <w:rPr>
          <w:rFonts w:ascii="Calibri" w:hAnsi="Times New Roman"/>
          <w:color w:val="auto"/>
        </w:rPr>
      </w:pPr>
      <w:r w:rsidRPr="00922FF9">
        <w:rPr>
          <w:rFonts w:ascii="Calibri" w:hAnsi="Times New Roman" w:hint="eastAsia"/>
          <w:color w:val="auto"/>
        </w:rPr>
        <w:lastRenderedPageBreak/>
        <w:t>根据国家土壤信息服务平台查询数据，厂区内全部为一种土壤类型，</w:t>
      </w:r>
      <w:r w:rsidR="00AE189F" w:rsidRPr="00922FF9">
        <w:rPr>
          <w:rFonts w:ascii="Calibri" w:hAnsi="Times New Roman" w:hint="eastAsia"/>
          <w:color w:val="auto"/>
        </w:rPr>
        <w:t>土类为潮土，亚类为</w:t>
      </w:r>
      <w:r w:rsidRPr="00922FF9">
        <w:rPr>
          <w:rFonts w:ascii="Calibri" w:hAnsi="Times New Roman" w:hint="eastAsia"/>
          <w:color w:val="auto"/>
        </w:rPr>
        <w:t>H22</w:t>
      </w:r>
      <w:r w:rsidR="00AE189F" w:rsidRPr="00922FF9">
        <w:rPr>
          <w:rFonts w:ascii="Calibri" w:hAnsi="Times New Roman" w:hint="eastAsia"/>
          <w:color w:val="auto"/>
        </w:rPr>
        <w:t>砂浆黑土，详见图</w:t>
      </w:r>
      <w:r w:rsidR="00AE189F" w:rsidRPr="00922FF9">
        <w:rPr>
          <w:rFonts w:ascii="Calibri" w:hAnsi="Times New Roman" w:hint="eastAsia"/>
          <w:color w:val="auto"/>
        </w:rPr>
        <w:t>4.4-2</w:t>
      </w:r>
      <w:r w:rsidR="00AE189F" w:rsidRPr="00922FF9">
        <w:rPr>
          <w:rFonts w:ascii="Calibri" w:hAnsi="Times New Roman" w:hint="eastAsia"/>
          <w:color w:val="auto"/>
        </w:rPr>
        <w:t>。</w:t>
      </w:r>
    </w:p>
    <w:p w14:paraId="709053D7" w14:textId="77777777" w:rsidR="00A534A8" w:rsidRPr="00A964FF" w:rsidRDefault="00A9729F" w:rsidP="00A9729F">
      <w:pPr>
        <w:pStyle w:val="00"/>
        <w:spacing w:line="240" w:lineRule="auto"/>
        <w:ind w:firstLineChars="200"/>
        <w:rPr>
          <w:rFonts w:ascii="Calibri" w:hAnsi="Times New Roman"/>
          <w:color w:val="auto"/>
        </w:rPr>
      </w:pPr>
      <w:r w:rsidRPr="00A9729F">
        <w:rPr>
          <w:noProof/>
        </w:rPr>
        <w:t xml:space="preserve"> </w:t>
      </w:r>
    </w:p>
    <w:p w14:paraId="6BED4887" w14:textId="77777777" w:rsidR="00630B0A" w:rsidRPr="00A964FF" w:rsidRDefault="00A9729F" w:rsidP="00EA2FDD">
      <w:pPr>
        <w:pStyle w:val="00"/>
        <w:spacing w:line="240" w:lineRule="auto"/>
        <w:ind w:firstLineChars="200" w:firstLine="420"/>
        <w:rPr>
          <w:rFonts w:ascii="Calibri" w:hAnsi="Times New Roman"/>
          <w:color w:val="auto"/>
        </w:rPr>
      </w:pPr>
      <w:r>
        <w:rPr>
          <w:rFonts w:ascii="Calibri" w:hAnsi="Times New Roman"/>
          <w:noProof/>
          <w:color w:val="auto"/>
          <w:sz w:val="21"/>
          <w:szCs w:val="21"/>
        </w:rPr>
        <mc:AlternateContent>
          <mc:Choice Requires="wps">
            <w:drawing>
              <wp:anchor distT="0" distB="0" distL="114300" distR="114300" simplePos="0" relativeHeight="253669888" behindDoc="0" locked="0" layoutInCell="1" allowOverlap="1" wp14:anchorId="686F78C4" wp14:editId="1778E99F">
                <wp:simplePos x="0" y="0"/>
                <wp:positionH relativeFrom="column">
                  <wp:posOffset>5751286</wp:posOffset>
                </wp:positionH>
                <wp:positionV relativeFrom="paragraph">
                  <wp:posOffset>366305</wp:posOffset>
                </wp:positionV>
                <wp:extent cx="0" cy="293370"/>
                <wp:effectExtent l="59055" t="17780" r="55245" b="12700"/>
                <wp:wrapNone/>
                <wp:docPr id="4505" name="AutoShape 37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81489A" id="AutoShape 37036" o:spid="_x0000_s1026" type="#_x0000_t32" style="position:absolute;left:0;text-align:left;margin-left:452.85pt;margin-top:28.85pt;width:0;height:23.1pt;flip:y;z-index:2536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" strokecolor="yellow">
                <v:stroke endarrow="block"/>
              </v:shape>
            </w:pict>
          </mc:Fallback>
        </mc:AlternateContent>
      </w:r>
      <w:r>
        <w:rPr>
          <w:rFonts w:ascii="Calibri" w:hAnsi="Times New Roman"/>
          <w:noProof/>
          <w:color w:val="auto"/>
          <w:sz w:val="21"/>
          <w:szCs w:val="21"/>
        </w:rPr>
        <mc:AlternateContent>
          <mc:Choice Requires="wps">
            <w:drawing>
              <wp:anchor distT="0" distB="0" distL="114300" distR="114300" simplePos="0" relativeHeight="253668864" behindDoc="0" locked="0" layoutInCell="1" allowOverlap="1" wp14:anchorId="14A73A41" wp14:editId="6E7279A5">
                <wp:simplePos x="0" y="0"/>
                <wp:positionH relativeFrom="column">
                  <wp:posOffset>5507718</wp:posOffset>
                </wp:positionH>
                <wp:positionV relativeFrom="paragraph">
                  <wp:posOffset>122646</wp:posOffset>
                </wp:positionV>
                <wp:extent cx="436245" cy="245745"/>
                <wp:effectExtent l="1905" t="0" r="0" b="2540"/>
                <wp:wrapNone/>
                <wp:docPr id="4506" name="Text Box 37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8F73" w14:textId="77777777" w:rsidR="00217891" w:rsidRPr="00A534A8" w:rsidRDefault="00217891" w:rsidP="00A534A8">
                            <w:pPr>
                              <w:ind w:firstLineChars="50" w:firstLine="105"/>
                              <w:rPr>
                                <w:color w:val="FFFF00"/>
                              </w:rPr>
                            </w:pPr>
                            <w:r w:rsidRPr="00A534A8">
                              <w:rPr>
                                <w:rFonts w:hint="eastAsia"/>
                                <w:color w:val="FFFF00"/>
                              </w:rPr>
                              <w:t>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3A41" id="Text Box 37037" o:spid="_x0000_s1623" type="#_x0000_t202" style="position:absolute;left:0;text-align:left;margin-left:433.7pt;margin-top:9.65pt;width:34.35pt;height:19.35pt;z-index:2536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IvA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" filled="f" stroked="f">
                <v:textbox>
                  <w:txbxContent>
                    <w:p w14:paraId="07878F73" w14:textId="77777777" w:rsidR="00217891" w:rsidRPr="00A534A8" w:rsidRDefault="00217891" w:rsidP="00A534A8">
                      <w:pPr>
                        <w:ind w:firstLineChars="50" w:firstLine="105"/>
                        <w:rPr>
                          <w:color w:val="FFFF00"/>
                        </w:rPr>
                      </w:pPr>
                      <w:r w:rsidRPr="00A534A8">
                        <w:rPr>
                          <w:rFonts w:hint="eastAsia"/>
                          <w:color w:val="FFFF00"/>
                        </w:rPr>
                        <w:t>北</w:t>
                      </w:r>
                    </w:p>
                  </w:txbxContent>
                </v:textbox>
              </v:shape>
            </w:pict>
          </mc:Fallback>
        </mc:AlternateContent>
      </w:r>
    </w:p>
    <w:tbl>
      <w:tblPr>
        <w:tblW w:w="5000" w:type="pct"/>
        <w:tblLook w:val="04A0" w:firstRow="1" w:lastRow="0" w:firstColumn="1" w:lastColumn="0" w:noHBand="0" w:noVBand="1"/>
      </w:tblPr>
      <w:tblGrid>
        <w:gridCol w:w="8730"/>
      </w:tblGrid>
      <w:tr w:rsidR="00630B0A" w:rsidRPr="00A964FF" w14:paraId="0E937C7E" w14:textId="77777777" w:rsidTr="00630B0A">
        <w:trPr>
          <w:trHeight w:val="369"/>
        </w:trPr>
        <w:tc>
          <w:tcPr>
            <w:tcW w:w="5000" w:type="pct"/>
            <w:vAlign w:val="center"/>
          </w:tcPr>
          <w:p w14:paraId="090452C4" w14:textId="77777777" w:rsidR="00A534A8" w:rsidRDefault="00A9729F" w:rsidP="00630B0A">
            <w:pPr>
              <w:pStyle w:val="00"/>
              <w:spacing w:line="240" w:lineRule="auto"/>
              <w:ind w:firstLine="0"/>
              <w:rPr>
                <w:rFonts w:ascii="Calibri" w:hAnsi="Times New Roman"/>
                <w:color w:val="auto"/>
                <w:sz w:val="21"/>
                <w:szCs w:val="21"/>
              </w:rPr>
            </w:pPr>
            <w:r>
              <w:rPr>
                <w:noProof/>
              </w:rPr>
              <w:drawing>
                <wp:anchor distT="0" distB="0" distL="114300" distR="114300" simplePos="0" relativeHeight="253667840" behindDoc="0" locked="0" layoutInCell="1" allowOverlap="1" wp14:anchorId="38B1AB53" wp14:editId="130656B6">
                  <wp:simplePos x="0" y="0"/>
                  <wp:positionH relativeFrom="column">
                    <wp:posOffset>326390</wp:posOffset>
                  </wp:positionH>
                  <wp:positionV relativeFrom="paragraph">
                    <wp:posOffset>-235585</wp:posOffset>
                  </wp:positionV>
                  <wp:extent cx="5543550" cy="3330575"/>
                  <wp:effectExtent l="0" t="0" r="0" b="317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543550" cy="3330575"/>
                          </a:xfrm>
                          <a:prstGeom prst="rect">
                            <a:avLst/>
                          </a:prstGeom>
                        </pic:spPr>
                      </pic:pic>
                    </a:graphicData>
                  </a:graphic>
                  <wp14:sizeRelH relativeFrom="page">
                    <wp14:pctWidth>0</wp14:pctWidth>
                  </wp14:sizeRelH>
                  <wp14:sizeRelV relativeFrom="page">
                    <wp14:pctHeight>0</wp14:pctHeight>
                  </wp14:sizeRelV>
                </wp:anchor>
              </w:drawing>
            </w:r>
          </w:p>
          <w:p w14:paraId="05E7D617" w14:textId="77777777" w:rsidR="00A534A8" w:rsidRDefault="00A534A8" w:rsidP="00630B0A">
            <w:pPr>
              <w:pStyle w:val="00"/>
              <w:spacing w:line="240" w:lineRule="auto"/>
              <w:ind w:firstLine="0"/>
              <w:rPr>
                <w:rFonts w:ascii="Calibri" w:hAnsi="Times New Roman"/>
                <w:color w:val="auto"/>
                <w:sz w:val="21"/>
                <w:szCs w:val="21"/>
              </w:rPr>
            </w:pPr>
          </w:p>
          <w:p w14:paraId="2A0CDC44" w14:textId="77777777" w:rsidR="00A534A8" w:rsidRDefault="00A534A8" w:rsidP="00630B0A">
            <w:pPr>
              <w:pStyle w:val="00"/>
              <w:spacing w:line="240" w:lineRule="auto"/>
              <w:ind w:firstLine="0"/>
              <w:rPr>
                <w:rFonts w:ascii="Calibri" w:hAnsi="Times New Roman"/>
                <w:color w:val="auto"/>
                <w:sz w:val="21"/>
                <w:szCs w:val="21"/>
              </w:rPr>
            </w:pPr>
          </w:p>
          <w:p w14:paraId="4A6AE11D" w14:textId="77777777" w:rsidR="00A534A8" w:rsidRDefault="00A534A8" w:rsidP="00630B0A">
            <w:pPr>
              <w:pStyle w:val="00"/>
              <w:spacing w:line="240" w:lineRule="auto"/>
              <w:ind w:firstLine="0"/>
              <w:rPr>
                <w:rFonts w:ascii="Calibri" w:hAnsi="Times New Roman"/>
                <w:color w:val="auto"/>
                <w:sz w:val="21"/>
                <w:szCs w:val="21"/>
              </w:rPr>
            </w:pPr>
          </w:p>
          <w:p w14:paraId="014AE929" w14:textId="77777777" w:rsidR="00A534A8" w:rsidRDefault="00A534A8" w:rsidP="00630B0A">
            <w:pPr>
              <w:pStyle w:val="00"/>
              <w:spacing w:line="240" w:lineRule="auto"/>
              <w:ind w:firstLine="0"/>
              <w:rPr>
                <w:rFonts w:ascii="Calibri" w:hAnsi="Times New Roman"/>
                <w:color w:val="auto"/>
                <w:sz w:val="21"/>
                <w:szCs w:val="21"/>
              </w:rPr>
            </w:pPr>
          </w:p>
          <w:p w14:paraId="31DF7248" w14:textId="77777777" w:rsidR="00A534A8" w:rsidRDefault="00A534A8" w:rsidP="00630B0A">
            <w:pPr>
              <w:pStyle w:val="00"/>
              <w:spacing w:line="240" w:lineRule="auto"/>
              <w:ind w:firstLine="0"/>
              <w:rPr>
                <w:rFonts w:ascii="Calibri" w:hAnsi="Times New Roman"/>
                <w:color w:val="auto"/>
                <w:sz w:val="21"/>
                <w:szCs w:val="21"/>
              </w:rPr>
            </w:pPr>
          </w:p>
          <w:p w14:paraId="64300A53" w14:textId="77777777" w:rsidR="00A534A8" w:rsidRDefault="00A534A8" w:rsidP="00630B0A">
            <w:pPr>
              <w:pStyle w:val="00"/>
              <w:spacing w:line="240" w:lineRule="auto"/>
              <w:ind w:firstLine="0"/>
              <w:rPr>
                <w:rFonts w:ascii="Calibri" w:hAnsi="Times New Roman"/>
                <w:color w:val="auto"/>
                <w:sz w:val="21"/>
                <w:szCs w:val="21"/>
              </w:rPr>
            </w:pPr>
          </w:p>
          <w:p w14:paraId="2208F326" w14:textId="77777777" w:rsidR="00A534A8" w:rsidRDefault="00A534A8" w:rsidP="00630B0A">
            <w:pPr>
              <w:pStyle w:val="00"/>
              <w:spacing w:line="240" w:lineRule="auto"/>
              <w:ind w:firstLine="0"/>
              <w:rPr>
                <w:rFonts w:ascii="Calibri" w:hAnsi="Times New Roman"/>
                <w:color w:val="auto"/>
                <w:sz w:val="21"/>
                <w:szCs w:val="21"/>
              </w:rPr>
            </w:pPr>
          </w:p>
          <w:p w14:paraId="4C64C4A2" w14:textId="77777777" w:rsidR="00A534A8" w:rsidRDefault="00A534A8" w:rsidP="00630B0A">
            <w:pPr>
              <w:pStyle w:val="00"/>
              <w:spacing w:line="240" w:lineRule="auto"/>
              <w:ind w:firstLine="0"/>
              <w:rPr>
                <w:rFonts w:ascii="Calibri" w:hAnsi="Times New Roman"/>
                <w:color w:val="auto"/>
                <w:sz w:val="21"/>
                <w:szCs w:val="21"/>
              </w:rPr>
            </w:pPr>
          </w:p>
          <w:p w14:paraId="50D84DCC" w14:textId="77777777" w:rsidR="00A534A8" w:rsidRDefault="00A534A8" w:rsidP="00630B0A">
            <w:pPr>
              <w:pStyle w:val="00"/>
              <w:spacing w:line="240" w:lineRule="auto"/>
              <w:ind w:firstLine="0"/>
              <w:rPr>
                <w:rFonts w:ascii="Calibri" w:hAnsi="Times New Roman"/>
                <w:color w:val="auto"/>
                <w:sz w:val="21"/>
                <w:szCs w:val="21"/>
              </w:rPr>
            </w:pPr>
          </w:p>
          <w:p w14:paraId="152D67E0" w14:textId="77777777" w:rsidR="00A534A8" w:rsidRDefault="00A534A8" w:rsidP="00630B0A">
            <w:pPr>
              <w:pStyle w:val="00"/>
              <w:spacing w:line="240" w:lineRule="auto"/>
              <w:ind w:firstLine="0"/>
              <w:rPr>
                <w:rFonts w:ascii="Calibri" w:hAnsi="Times New Roman"/>
                <w:color w:val="auto"/>
                <w:sz w:val="21"/>
                <w:szCs w:val="21"/>
              </w:rPr>
            </w:pPr>
          </w:p>
          <w:p w14:paraId="09F6AAE9" w14:textId="77777777" w:rsidR="00A534A8" w:rsidRDefault="00A534A8" w:rsidP="00630B0A">
            <w:pPr>
              <w:pStyle w:val="00"/>
              <w:spacing w:line="240" w:lineRule="auto"/>
              <w:ind w:firstLine="0"/>
              <w:rPr>
                <w:rFonts w:ascii="Calibri" w:hAnsi="Times New Roman"/>
                <w:color w:val="auto"/>
                <w:sz w:val="21"/>
                <w:szCs w:val="21"/>
              </w:rPr>
            </w:pPr>
          </w:p>
          <w:p w14:paraId="57075867" w14:textId="77777777" w:rsidR="00A534A8" w:rsidRDefault="00A534A8" w:rsidP="00630B0A">
            <w:pPr>
              <w:pStyle w:val="00"/>
              <w:spacing w:line="240" w:lineRule="auto"/>
              <w:ind w:firstLine="0"/>
              <w:rPr>
                <w:rFonts w:ascii="Calibri" w:hAnsi="Times New Roman"/>
                <w:color w:val="auto"/>
                <w:sz w:val="21"/>
                <w:szCs w:val="21"/>
              </w:rPr>
            </w:pPr>
          </w:p>
          <w:p w14:paraId="4FD74441" w14:textId="77777777" w:rsidR="00A534A8" w:rsidRDefault="00A534A8" w:rsidP="00630B0A">
            <w:pPr>
              <w:pStyle w:val="00"/>
              <w:spacing w:line="240" w:lineRule="auto"/>
              <w:ind w:firstLine="0"/>
              <w:rPr>
                <w:rFonts w:ascii="Calibri" w:hAnsi="Times New Roman"/>
                <w:color w:val="auto"/>
                <w:sz w:val="21"/>
                <w:szCs w:val="21"/>
              </w:rPr>
            </w:pPr>
          </w:p>
          <w:p w14:paraId="10624D7B" w14:textId="77777777" w:rsidR="00A534A8" w:rsidRDefault="00A534A8" w:rsidP="00630B0A">
            <w:pPr>
              <w:pStyle w:val="00"/>
              <w:spacing w:line="240" w:lineRule="auto"/>
              <w:ind w:firstLine="0"/>
              <w:rPr>
                <w:rFonts w:ascii="Calibri" w:hAnsi="Times New Roman"/>
                <w:color w:val="auto"/>
                <w:sz w:val="21"/>
                <w:szCs w:val="21"/>
              </w:rPr>
            </w:pPr>
          </w:p>
          <w:p w14:paraId="26430F53" w14:textId="77777777" w:rsidR="00A534A8" w:rsidRDefault="00A534A8" w:rsidP="00630B0A">
            <w:pPr>
              <w:pStyle w:val="00"/>
              <w:spacing w:line="240" w:lineRule="auto"/>
              <w:ind w:firstLine="0"/>
              <w:rPr>
                <w:rFonts w:ascii="Calibri" w:hAnsi="Times New Roman"/>
                <w:color w:val="auto"/>
                <w:sz w:val="21"/>
                <w:szCs w:val="21"/>
              </w:rPr>
            </w:pPr>
          </w:p>
          <w:p w14:paraId="75AF99FF" w14:textId="77777777" w:rsidR="00A534A8" w:rsidRDefault="00A534A8" w:rsidP="00630B0A">
            <w:pPr>
              <w:pStyle w:val="00"/>
              <w:spacing w:line="240" w:lineRule="auto"/>
              <w:ind w:firstLine="0"/>
              <w:rPr>
                <w:rFonts w:ascii="Calibri" w:hAnsi="Times New Roman"/>
                <w:color w:val="auto"/>
                <w:sz w:val="21"/>
                <w:szCs w:val="21"/>
              </w:rPr>
            </w:pPr>
          </w:p>
          <w:p w14:paraId="6CB3CA57" w14:textId="77777777" w:rsidR="00A534A8" w:rsidRDefault="00A534A8" w:rsidP="00630B0A">
            <w:pPr>
              <w:pStyle w:val="00"/>
              <w:spacing w:line="240" w:lineRule="auto"/>
              <w:ind w:firstLine="0"/>
              <w:rPr>
                <w:rFonts w:ascii="Calibri" w:hAnsi="Times New Roman"/>
                <w:color w:val="auto"/>
                <w:sz w:val="21"/>
                <w:szCs w:val="21"/>
              </w:rPr>
            </w:pPr>
          </w:p>
          <w:p w14:paraId="48664B70" w14:textId="77777777" w:rsidR="00EA2FDD" w:rsidRDefault="00EA2FDD" w:rsidP="00630B0A">
            <w:pPr>
              <w:pStyle w:val="00"/>
              <w:spacing w:line="240" w:lineRule="auto"/>
              <w:ind w:firstLine="0"/>
              <w:rPr>
                <w:rFonts w:ascii="Calibri" w:hAnsi="Times New Roman"/>
                <w:color w:val="auto"/>
                <w:sz w:val="21"/>
                <w:szCs w:val="21"/>
              </w:rPr>
            </w:pPr>
          </w:p>
          <w:p w14:paraId="1768EDD1" w14:textId="77777777" w:rsidR="00A534A8" w:rsidRDefault="00971B8B" w:rsidP="00630B0A">
            <w:pPr>
              <w:pStyle w:val="00"/>
              <w:spacing w:line="240" w:lineRule="auto"/>
              <w:ind w:firstLine="0"/>
              <w:rPr>
                <w:rFonts w:ascii="Calibri" w:hAnsi="Times New Roman"/>
                <w:color w:val="auto"/>
                <w:sz w:val="21"/>
                <w:szCs w:val="21"/>
              </w:rPr>
            </w:pPr>
            <w:r>
              <w:rPr>
                <w:rFonts w:ascii="Calibri" w:hAnsi="Times New Roman"/>
                <w:noProof/>
                <w:color w:val="auto"/>
                <w:sz w:val="21"/>
                <w:szCs w:val="21"/>
              </w:rPr>
              <mc:AlternateContent>
                <mc:Choice Requires="wps">
                  <w:drawing>
                    <wp:anchor distT="0" distB="0" distL="114300" distR="114300" simplePos="0" relativeHeight="253526528" behindDoc="0" locked="0" layoutInCell="1" allowOverlap="1" wp14:anchorId="7539497F" wp14:editId="31C594FC">
                      <wp:simplePos x="0" y="0"/>
                      <wp:positionH relativeFrom="column">
                        <wp:posOffset>564515</wp:posOffset>
                      </wp:positionH>
                      <wp:positionV relativeFrom="paragraph">
                        <wp:posOffset>55880</wp:posOffset>
                      </wp:positionV>
                      <wp:extent cx="4162425" cy="457200"/>
                      <wp:effectExtent l="2540" t="0" r="0" b="1270"/>
                      <wp:wrapNone/>
                      <wp:docPr id="26527" name="Text Box 37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DD1C0" w14:textId="77777777" w:rsidR="00217891" w:rsidRPr="00A964FF" w:rsidRDefault="00217891" w:rsidP="00EA2FDD">
                                  <w:pPr>
                                    <w:pStyle w:val="00"/>
                                    <w:ind w:firstLineChars="150" w:firstLine="360"/>
                                    <w:rPr>
                                      <w:rFonts w:ascii="Calibri" w:eastAsia="黑体" w:hAnsi="Calibri"/>
                                      <w:color w:val="auto"/>
                                      <w:sz w:val="21"/>
                                      <w:szCs w:val="21"/>
                                    </w:rPr>
                                  </w:pPr>
                                  <w:r w:rsidRPr="00A964FF">
                                    <w:rPr>
                                      <w:rFonts w:ascii="Calibri" w:eastAsia="黑体" w:hAnsi="黑体"/>
                                      <w:color w:val="auto"/>
                                    </w:rPr>
                                    <w:t>图</w:t>
                                  </w:r>
                                  <w:r>
                                    <w:rPr>
                                      <w:rFonts w:ascii="Calibri" w:eastAsia="黑体" w:hAnsi="Calibri"/>
                                      <w:color w:val="auto"/>
                                    </w:rPr>
                                    <w:t xml:space="preserve">4.4-2               </w:t>
                                  </w:r>
                                  <w:r w:rsidRPr="00A964FF">
                                    <w:rPr>
                                      <w:rFonts w:ascii="Calibri" w:eastAsia="黑体" w:hAnsi="黑体"/>
                                      <w:color w:val="auto"/>
                                    </w:rPr>
                                    <w:t>项目区域土壤类型图</w:t>
                                  </w:r>
                                </w:p>
                                <w:p w14:paraId="50E47702" w14:textId="77777777" w:rsidR="00217891" w:rsidRDefault="002178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9497F" id="Text Box 37038" o:spid="_x0000_s1624" type="#_x0000_t202" style="position:absolute;left:0;text-align:left;margin-left:44.45pt;margin-top:4.4pt;width:327.75pt;height:36pt;z-index:2535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DqvwIAAMo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" filled="f" stroked="f">
                      <v:textbox>
                        <w:txbxContent>
                          <w:p w14:paraId="177DD1C0" w14:textId="77777777" w:rsidR="00217891" w:rsidRPr="00A964FF" w:rsidRDefault="00217891" w:rsidP="00EA2FDD">
                            <w:pPr>
                              <w:pStyle w:val="00"/>
                              <w:ind w:firstLineChars="150" w:firstLine="360"/>
                              <w:rPr>
                                <w:rFonts w:ascii="Calibri" w:eastAsia="黑体" w:hAnsi="Calibri"/>
                                <w:color w:val="auto"/>
                                <w:sz w:val="21"/>
                                <w:szCs w:val="21"/>
                              </w:rPr>
                            </w:pPr>
                            <w:r w:rsidRPr="00A964FF">
                              <w:rPr>
                                <w:rFonts w:ascii="Calibri" w:eastAsia="黑体" w:hAnsi="黑体"/>
                                <w:color w:val="auto"/>
                              </w:rPr>
                              <w:t>图</w:t>
                            </w:r>
                            <w:r>
                              <w:rPr>
                                <w:rFonts w:ascii="Calibri" w:eastAsia="黑体" w:hAnsi="Calibri"/>
                                <w:color w:val="auto"/>
                              </w:rPr>
                              <w:t xml:space="preserve">4.4-2               </w:t>
                            </w:r>
                            <w:r w:rsidRPr="00A964FF">
                              <w:rPr>
                                <w:rFonts w:ascii="Calibri" w:eastAsia="黑体" w:hAnsi="黑体"/>
                                <w:color w:val="auto"/>
                              </w:rPr>
                              <w:t>项目区域土壤类型图</w:t>
                            </w:r>
                          </w:p>
                          <w:p w14:paraId="50E47702" w14:textId="77777777" w:rsidR="00217891" w:rsidRDefault="00217891"/>
                        </w:txbxContent>
                      </v:textbox>
                    </v:shape>
                  </w:pict>
                </mc:Fallback>
              </mc:AlternateContent>
            </w:r>
          </w:p>
          <w:p w14:paraId="2F783482" w14:textId="77777777" w:rsidR="00A534A8" w:rsidRDefault="00A534A8" w:rsidP="00630B0A">
            <w:pPr>
              <w:pStyle w:val="00"/>
              <w:spacing w:line="240" w:lineRule="auto"/>
              <w:ind w:firstLine="0"/>
              <w:rPr>
                <w:rFonts w:ascii="Calibri" w:hAnsi="Times New Roman"/>
                <w:color w:val="auto"/>
                <w:sz w:val="21"/>
                <w:szCs w:val="21"/>
              </w:rPr>
            </w:pPr>
          </w:p>
          <w:p w14:paraId="318320F1" w14:textId="77777777" w:rsidR="00630B0A" w:rsidRPr="00A964FF" w:rsidRDefault="00630B0A" w:rsidP="00630B0A">
            <w:pPr>
              <w:pStyle w:val="00"/>
              <w:spacing w:line="240" w:lineRule="auto"/>
              <w:ind w:firstLine="0"/>
              <w:rPr>
                <w:rFonts w:ascii="Calibri" w:hAnsi="Times New Roman"/>
                <w:color w:val="auto"/>
                <w:sz w:val="21"/>
                <w:szCs w:val="21"/>
              </w:rPr>
            </w:pPr>
          </w:p>
        </w:tc>
      </w:tr>
      <w:tr w:rsidR="00630B0A" w:rsidRPr="00BC3ADE" w14:paraId="44BCD7C3" w14:textId="77777777" w:rsidTr="00630B0A">
        <w:trPr>
          <w:trHeight w:val="369"/>
        </w:trPr>
        <w:tc>
          <w:tcPr>
            <w:tcW w:w="5000" w:type="pct"/>
            <w:vAlign w:val="center"/>
          </w:tcPr>
          <w:p w14:paraId="4B1BB76D" w14:textId="77777777" w:rsidR="00EA2FDD" w:rsidRPr="006A642B" w:rsidRDefault="00EA2FDD" w:rsidP="00EA2FDD">
            <w:pPr>
              <w:pStyle w:val="00"/>
              <w:ind w:firstLineChars="200"/>
              <w:rPr>
                <w:rFonts w:ascii="Calibri" w:hAnsi="Times New Roman"/>
                <w:color w:val="auto"/>
              </w:rPr>
            </w:pPr>
            <w:r w:rsidRPr="006A642B">
              <w:rPr>
                <w:rFonts w:ascii="Calibri" w:hAnsi="Times New Roman" w:hint="eastAsia"/>
                <w:color w:val="auto"/>
              </w:rPr>
              <w:t>（</w:t>
            </w:r>
            <w:r w:rsidRPr="006A642B">
              <w:rPr>
                <w:rFonts w:ascii="Calibri" w:hAnsi="Times New Roman" w:hint="eastAsia"/>
                <w:color w:val="auto"/>
              </w:rPr>
              <w:t>4</w:t>
            </w:r>
            <w:r w:rsidRPr="006A642B">
              <w:rPr>
                <w:rFonts w:ascii="Calibri" w:hAnsi="Times New Roman" w:hint="eastAsia"/>
                <w:color w:val="auto"/>
              </w:rPr>
              <w:t>）土壤理化性质调查</w:t>
            </w:r>
          </w:p>
          <w:p w14:paraId="0158BFA5" w14:textId="77777777" w:rsidR="00630B0A" w:rsidRPr="00BC3ADE" w:rsidRDefault="00EA2FDD" w:rsidP="00D73DBE">
            <w:pPr>
              <w:pStyle w:val="00"/>
              <w:ind w:firstLineChars="200"/>
              <w:rPr>
                <w:rFonts w:ascii="Calibri" w:eastAsia="黑体" w:hAnsi="Calibri"/>
                <w:color w:val="auto"/>
                <w:sz w:val="21"/>
                <w:szCs w:val="21"/>
                <w:highlight w:val="yellow"/>
              </w:rPr>
            </w:pPr>
            <w:r w:rsidRPr="006A642B">
              <w:rPr>
                <w:rFonts w:ascii="Calibri" w:hAnsi="Times New Roman" w:hint="eastAsia"/>
                <w:color w:val="auto"/>
              </w:rPr>
              <w:t>本项目选址位于平顶山尼龙新材料产业集聚区，其土壤理化性质调查结果见表</w:t>
            </w:r>
            <w:r w:rsidRPr="006A642B">
              <w:rPr>
                <w:rFonts w:ascii="Calibri" w:hAnsi="Times New Roman" w:hint="eastAsia"/>
                <w:color w:val="auto"/>
              </w:rPr>
              <w:t>4.4-6</w:t>
            </w:r>
            <w:r w:rsidR="00D73DBE" w:rsidRPr="006A642B">
              <w:rPr>
                <w:rFonts w:ascii="Calibri" w:hAnsi="Times New Roman" w:hint="eastAsia"/>
                <w:color w:val="auto"/>
              </w:rPr>
              <w:t>及</w:t>
            </w:r>
            <w:r w:rsidR="00D73DBE" w:rsidRPr="006A642B">
              <w:rPr>
                <w:rFonts w:ascii="Calibri" w:hAnsi="Times New Roman" w:hint="eastAsia"/>
                <w:color w:val="auto"/>
              </w:rPr>
              <w:t>4.4-</w:t>
            </w:r>
            <w:r w:rsidR="00D73DBE" w:rsidRPr="006A642B">
              <w:rPr>
                <w:rFonts w:ascii="Calibri" w:hAnsi="Times New Roman"/>
                <w:color w:val="auto"/>
              </w:rPr>
              <w:t>7</w:t>
            </w:r>
            <w:r w:rsidRPr="006A642B">
              <w:rPr>
                <w:rFonts w:ascii="Calibri" w:hAnsi="Times New Roman" w:hint="eastAsia"/>
                <w:color w:val="auto"/>
              </w:rPr>
              <w:t>。</w:t>
            </w:r>
          </w:p>
        </w:tc>
      </w:tr>
    </w:tbl>
    <w:p w14:paraId="1BAE1DDF" w14:textId="77777777" w:rsidR="006A642B" w:rsidRPr="006A642B" w:rsidRDefault="00D73DBE" w:rsidP="006A642B">
      <w:pPr>
        <w:spacing w:line="520" w:lineRule="exact"/>
        <w:ind w:firstLineChars="450" w:firstLine="1080"/>
        <w:rPr>
          <w:rFonts w:ascii="Calibri" w:eastAsia="黑体" w:hAnsi="黑体"/>
          <w:color w:val="auto"/>
          <w:sz w:val="24"/>
        </w:rPr>
      </w:pPr>
      <w:r w:rsidRPr="006A642B">
        <w:rPr>
          <w:rFonts w:ascii="Calibri" w:eastAsia="黑体" w:hAnsi="黑体"/>
          <w:color w:val="auto"/>
          <w:sz w:val="24"/>
        </w:rPr>
        <w:t>表</w:t>
      </w:r>
      <w:r w:rsidRPr="006A642B">
        <w:rPr>
          <w:rFonts w:ascii="Calibri" w:eastAsia="黑体" w:hAnsi="黑体" w:hint="eastAsia"/>
          <w:color w:val="auto"/>
          <w:sz w:val="24"/>
        </w:rPr>
        <w:t>4.4</w:t>
      </w:r>
      <w:r w:rsidRPr="006A642B">
        <w:rPr>
          <w:rFonts w:ascii="Calibri" w:eastAsia="黑体" w:hAnsi="黑体"/>
          <w:color w:val="auto"/>
          <w:sz w:val="24"/>
        </w:rPr>
        <w:t>-</w:t>
      </w:r>
      <w:r w:rsidRPr="006A642B">
        <w:rPr>
          <w:rFonts w:ascii="Calibri" w:eastAsia="黑体" w:hAnsi="黑体" w:hint="eastAsia"/>
          <w:color w:val="auto"/>
          <w:sz w:val="24"/>
        </w:rPr>
        <w:t>6</w:t>
      </w:r>
      <w:r w:rsidRPr="006A642B">
        <w:rPr>
          <w:rFonts w:ascii="Calibri" w:eastAsia="黑体" w:hAnsi="黑体"/>
          <w:color w:val="auto"/>
          <w:sz w:val="24"/>
        </w:rPr>
        <w:t xml:space="preserve">    </w:t>
      </w:r>
      <w:r w:rsidRPr="006A642B">
        <w:rPr>
          <w:rFonts w:ascii="Calibri" w:eastAsia="黑体" w:hAnsi="黑体" w:hint="eastAsia"/>
          <w:color w:val="auto"/>
          <w:sz w:val="24"/>
        </w:rPr>
        <w:t xml:space="preserve">          </w:t>
      </w:r>
      <w:r w:rsidRPr="006A642B">
        <w:rPr>
          <w:rFonts w:ascii="Calibri" w:eastAsia="黑体" w:hAnsi="黑体" w:hint="eastAsia"/>
          <w:color w:val="auto"/>
          <w:sz w:val="24"/>
        </w:rPr>
        <w:t>土壤理化性质调查表（一）</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23"/>
        <w:gridCol w:w="1630"/>
        <w:gridCol w:w="1559"/>
        <w:gridCol w:w="706"/>
        <w:gridCol w:w="771"/>
        <w:gridCol w:w="859"/>
        <w:gridCol w:w="9"/>
        <w:gridCol w:w="818"/>
        <w:gridCol w:w="859"/>
        <w:gridCol w:w="863"/>
      </w:tblGrid>
      <w:tr w:rsidR="006A642B" w:rsidRPr="006A642B" w14:paraId="6EB61195" w14:textId="77777777" w:rsidTr="00E1389D">
        <w:trPr>
          <w:trHeight w:val="397"/>
          <w:jc w:val="center"/>
        </w:trPr>
        <w:tc>
          <w:tcPr>
            <w:tcW w:w="1296" w:type="pct"/>
            <w:gridSpan w:val="2"/>
            <w:vAlign w:val="center"/>
          </w:tcPr>
          <w:p w14:paraId="01BCC4A4"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检测点位</w:t>
            </w:r>
          </w:p>
        </w:tc>
        <w:tc>
          <w:tcPr>
            <w:tcW w:w="896" w:type="pct"/>
            <w:vAlign w:val="center"/>
          </w:tcPr>
          <w:p w14:paraId="41D065C6" w14:textId="77777777" w:rsidR="006A642B" w:rsidRPr="006A642B" w:rsidRDefault="006A642B" w:rsidP="00F7756F">
            <w:pPr>
              <w:jc w:val="center"/>
              <w:rPr>
                <w:rFonts w:asciiTheme="minorHAnsi" w:hAnsiTheme="minorHAnsi" w:cs="Times New Roman"/>
                <w:bCs/>
                <w:color w:val="auto"/>
                <w:szCs w:val="21"/>
              </w:rPr>
            </w:pPr>
            <w:r w:rsidRPr="006A642B">
              <w:rPr>
                <w:rFonts w:asciiTheme="minorHAnsi" w:hAnsiTheme="minorHAnsi" w:cs="Times New Roman"/>
                <w:bCs/>
                <w:color w:val="auto"/>
                <w:szCs w:val="21"/>
              </w:rPr>
              <w:t>1#</w:t>
            </w:r>
            <w:r w:rsidRPr="006A642B">
              <w:rPr>
                <w:rFonts w:asciiTheme="minorHAnsi" w:hAnsiTheme="minorHAnsi" w:cs="Times New Roman"/>
                <w:bCs/>
                <w:color w:val="auto"/>
                <w:szCs w:val="21"/>
              </w:rPr>
              <w:t>仓库</w:t>
            </w:r>
          </w:p>
        </w:tc>
        <w:tc>
          <w:tcPr>
            <w:tcW w:w="1348" w:type="pct"/>
            <w:gridSpan w:val="4"/>
            <w:vAlign w:val="center"/>
          </w:tcPr>
          <w:p w14:paraId="72DD3E7C" w14:textId="77777777" w:rsidR="006A642B" w:rsidRPr="006A642B" w:rsidRDefault="006A642B" w:rsidP="00F7756F">
            <w:pPr>
              <w:jc w:val="center"/>
              <w:rPr>
                <w:rFonts w:asciiTheme="minorHAnsi" w:hAnsiTheme="minorHAnsi" w:cs="Times New Roman"/>
                <w:bCs/>
                <w:color w:val="auto"/>
                <w:szCs w:val="21"/>
              </w:rPr>
            </w:pPr>
            <w:r w:rsidRPr="006A642B">
              <w:rPr>
                <w:rFonts w:asciiTheme="minorHAnsi" w:hAnsiTheme="minorHAnsi" w:cs="Times New Roman"/>
                <w:bCs/>
                <w:color w:val="auto"/>
                <w:szCs w:val="21"/>
              </w:rPr>
              <w:t>2#</w:t>
            </w:r>
            <w:r w:rsidRPr="006A642B">
              <w:rPr>
                <w:rFonts w:asciiTheme="minorHAnsi" w:hAnsiTheme="minorHAnsi" w:cs="Times New Roman"/>
                <w:bCs/>
                <w:color w:val="auto"/>
                <w:szCs w:val="21"/>
              </w:rPr>
              <w:t>危废暂存间</w:t>
            </w:r>
          </w:p>
        </w:tc>
        <w:tc>
          <w:tcPr>
            <w:tcW w:w="1460" w:type="pct"/>
            <w:gridSpan w:val="3"/>
            <w:vAlign w:val="center"/>
          </w:tcPr>
          <w:p w14:paraId="2CB31EEC" w14:textId="77777777" w:rsidR="006A642B" w:rsidRPr="006A642B" w:rsidRDefault="006A642B" w:rsidP="00F7756F">
            <w:pPr>
              <w:jc w:val="center"/>
              <w:rPr>
                <w:rFonts w:asciiTheme="minorHAnsi" w:hAnsiTheme="minorHAnsi" w:cs="Times New Roman"/>
                <w:bCs/>
                <w:color w:val="auto"/>
                <w:szCs w:val="21"/>
              </w:rPr>
            </w:pPr>
            <w:r w:rsidRPr="006A642B">
              <w:rPr>
                <w:rFonts w:asciiTheme="minorHAnsi" w:hAnsiTheme="minorHAnsi" w:cs="Times New Roman"/>
                <w:bCs/>
                <w:color w:val="auto"/>
                <w:szCs w:val="21"/>
              </w:rPr>
              <w:t>3#</w:t>
            </w:r>
            <w:r w:rsidRPr="006A642B">
              <w:rPr>
                <w:rFonts w:asciiTheme="minorHAnsi" w:hAnsiTheme="minorHAnsi" w:cs="Times New Roman"/>
                <w:bCs/>
                <w:color w:val="auto"/>
                <w:szCs w:val="21"/>
              </w:rPr>
              <w:t>生产区</w:t>
            </w:r>
          </w:p>
        </w:tc>
      </w:tr>
      <w:tr w:rsidR="006A642B" w:rsidRPr="006A642B" w14:paraId="0C0896BC" w14:textId="77777777" w:rsidTr="00E1389D">
        <w:trPr>
          <w:trHeight w:val="397"/>
          <w:jc w:val="center"/>
        </w:trPr>
        <w:tc>
          <w:tcPr>
            <w:tcW w:w="1296" w:type="pct"/>
            <w:gridSpan w:val="2"/>
            <w:vAlign w:val="center"/>
          </w:tcPr>
          <w:p w14:paraId="59CD76C4"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坐标</w:t>
            </w:r>
          </w:p>
        </w:tc>
        <w:tc>
          <w:tcPr>
            <w:tcW w:w="896" w:type="pct"/>
            <w:vAlign w:val="center"/>
          </w:tcPr>
          <w:p w14:paraId="3A521DF0" w14:textId="77777777" w:rsidR="006A642B" w:rsidRPr="006A642B" w:rsidRDefault="006A642B" w:rsidP="006A642B">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E113°26′41.01"</w:t>
            </w:r>
          </w:p>
          <w:p w14:paraId="7B5346C4" w14:textId="77777777" w:rsidR="006A642B" w:rsidRPr="006A642B" w:rsidRDefault="006A642B" w:rsidP="006A642B">
            <w:pPr>
              <w:pStyle w:val="27"/>
              <w:spacing w:line="240" w:lineRule="auto"/>
              <w:ind w:leftChars="-50" w:left="-105" w:rightChars="-50" w:right="-105"/>
              <w:jc w:val="center"/>
              <w:rPr>
                <w:rFonts w:asciiTheme="minorHAnsi" w:hAnsiTheme="minorHAnsi" w:cs="Times New Roman"/>
                <w:color w:val="auto"/>
                <w:szCs w:val="21"/>
              </w:rPr>
            </w:pPr>
            <w:r w:rsidRPr="006A642B">
              <w:rPr>
                <w:rFonts w:asciiTheme="minorHAnsi" w:hAnsiTheme="minorHAnsi" w:cs="Times New Roman"/>
                <w:color w:val="auto"/>
                <w:szCs w:val="21"/>
              </w:rPr>
              <w:t>N33°40′50.10"</w:t>
            </w:r>
          </w:p>
        </w:tc>
        <w:tc>
          <w:tcPr>
            <w:tcW w:w="1348" w:type="pct"/>
            <w:gridSpan w:val="4"/>
            <w:vAlign w:val="center"/>
          </w:tcPr>
          <w:p w14:paraId="44CED174" w14:textId="77777777" w:rsidR="006A642B" w:rsidRPr="006A642B" w:rsidRDefault="006A642B" w:rsidP="006A642B">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E113°26′41.77"</w:t>
            </w:r>
          </w:p>
          <w:p w14:paraId="4D46198B" w14:textId="77777777" w:rsidR="006A642B" w:rsidRPr="006A642B" w:rsidRDefault="006A642B" w:rsidP="006A642B">
            <w:pPr>
              <w:pStyle w:val="27"/>
              <w:spacing w:line="240" w:lineRule="auto"/>
              <w:ind w:leftChars="-50" w:left="-105" w:rightChars="-50" w:right="-105"/>
              <w:jc w:val="center"/>
              <w:rPr>
                <w:rFonts w:asciiTheme="minorHAnsi" w:hAnsiTheme="minorHAnsi" w:cs="Times New Roman"/>
                <w:color w:val="auto"/>
                <w:szCs w:val="21"/>
              </w:rPr>
            </w:pPr>
            <w:r w:rsidRPr="006A642B">
              <w:rPr>
                <w:rFonts w:asciiTheme="minorHAnsi" w:hAnsiTheme="minorHAnsi" w:cs="Times New Roman"/>
                <w:color w:val="auto"/>
                <w:szCs w:val="21"/>
              </w:rPr>
              <w:t>N33°40′51.77"</w:t>
            </w:r>
          </w:p>
        </w:tc>
        <w:tc>
          <w:tcPr>
            <w:tcW w:w="1460" w:type="pct"/>
            <w:gridSpan w:val="3"/>
            <w:vAlign w:val="center"/>
          </w:tcPr>
          <w:p w14:paraId="154ED180" w14:textId="77777777" w:rsidR="006A642B" w:rsidRPr="006A642B" w:rsidRDefault="006A642B" w:rsidP="006A642B">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E113°26′40.85"</w:t>
            </w:r>
          </w:p>
          <w:p w14:paraId="0BC7D37A" w14:textId="77777777" w:rsidR="006A642B" w:rsidRPr="006A642B" w:rsidRDefault="006A642B" w:rsidP="006A642B">
            <w:pPr>
              <w:pStyle w:val="27"/>
              <w:spacing w:line="240" w:lineRule="auto"/>
              <w:ind w:leftChars="-50" w:left="-105" w:rightChars="-50" w:right="-105"/>
              <w:jc w:val="center"/>
              <w:rPr>
                <w:rFonts w:asciiTheme="minorHAnsi" w:hAnsiTheme="minorHAnsi" w:cs="Times New Roman"/>
                <w:color w:val="auto"/>
                <w:szCs w:val="21"/>
              </w:rPr>
            </w:pPr>
            <w:r w:rsidRPr="006A642B">
              <w:rPr>
                <w:rFonts w:asciiTheme="minorHAnsi" w:hAnsiTheme="minorHAnsi" w:cs="Times New Roman"/>
                <w:color w:val="auto"/>
                <w:szCs w:val="21"/>
              </w:rPr>
              <w:t>N33°40′53.39"</w:t>
            </w:r>
          </w:p>
        </w:tc>
      </w:tr>
      <w:tr w:rsidR="006A642B" w:rsidRPr="006A642B" w14:paraId="43406814" w14:textId="77777777" w:rsidTr="00E1389D">
        <w:trPr>
          <w:trHeight w:val="397"/>
          <w:jc w:val="center"/>
        </w:trPr>
        <w:tc>
          <w:tcPr>
            <w:tcW w:w="1296" w:type="pct"/>
            <w:gridSpan w:val="2"/>
            <w:vAlign w:val="center"/>
          </w:tcPr>
          <w:p w14:paraId="408B729A"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采样时间</w:t>
            </w:r>
          </w:p>
        </w:tc>
        <w:tc>
          <w:tcPr>
            <w:tcW w:w="896" w:type="pct"/>
            <w:vAlign w:val="center"/>
          </w:tcPr>
          <w:p w14:paraId="40B862A6" w14:textId="77777777" w:rsidR="006A642B" w:rsidRPr="006A642B" w:rsidRDefault="006A642B" w:rsidP="00F7756F">
            <w:pPr>
              <w:jc w:val="center"/>
              <w:rPr>
                <w:rFonts w:asciiTheme="minorHAnsi" w:hAnsiTheme="minorHAnsi" w:cs="Times New Roman"/>
                <w:color w:val="auto"/>
                <w:kern w:val="0"/>
                <w:szCs w:val="21"/>
                <w:lang w:bidi="ar"/>
              </w:rPr>
            </w:pPr>
            <w:r w:rsidRPr="006A642B">
              <w:rPr>
                <w:rFonts w:asciiTheme="minorHAnsi" w:hAnsiTheme="minorHAnsi" w:cs="Times New Roman"/>
                <w:color w:val="auto"/>
                <w:kern w:val="0"/>
                <w:szCs w:val="21"/>
                <w:lang w:bidi="ar"/>
              </w:rPr>
              <w:t>2022.07.29</w:t>
            </w:r>
          </w:p>
        </w:tc>
        <w:tc>
          <w:tcPr>
            <w:tcW w:w="1348" w:type="pct"/>
            <w:gridSpan w:val="4"/>
            <w:vAlign w:val="center"/>
          </w:tcPr>
          <w:p w14:paraId="7CAD58F0" w14:textId="77777777" w:rsidR="006A642B" w:rsidRPr="006A642B" w:rsidRDefault="006A642B" w:rsidP="00F7756F">
            <w:pPr>
              <w:jc w:val="center"/>
              <w:rPr>
                <w:rFonts w:asciiTheme="minorHAnsi" w:hAnsiTheme="minorHAnsi" w:cs="Times New Roman"/>
                <w:color w:val="auto"/>
                <w:szCs w:val="21"/>
                <w:highlight w:val="yellow"/>
              </w:rPr>
            </w:pPr>
            <w:r w:rsidRPr="006A642B">
              <w:rPr>
                <w:rFonts w:asciiTheme="minorHAnsi" w:hAnsiTheme="minorHAnsi" w:cs="Times New Roman"/>
                <w:color w:val="auto"/>
                <w:kern w:val="0"/>
                <w:szCs w:val="21"/>
                <w:lang w:bidi="ar"/>
              </w:rPr>
              <w:t>2022.07.29</w:t>
            </w:r>
          </w:p>
        </w:tc>
        <w:tc>
          <w:tcPr>
            <w:tcW w:w="1460" w:type="pct"/>
            <w:gridSpan w:val="3"/>
            <w:vAlign w:val="center"/>
          </w:tcPr>
          <w:p w14:paraId="2139D8D7" w14:textId="77777777" w:rsidR="006A642B" w:rsidRPr="006A642B" w:rsidRDefault="006A642B" w:rsidP="00F7756F">
            <w:pPr>
              <w:jc w:val="center"/>
              <w:rPr>
                <w:rFonts w:asciiTheme="minorHAnsi" w:hAnsiTheme="minorHAnsi" w:cs="Times New Roman"/>
                <w:color w:val="auto"/>
                <w:szCs w:val="21"/>
                <w:highlight w:val="yellow"/>
              </w:rPr>
            </w:pPr>
            <w:r w:rsidRPr="006A642B">
              <w:rPr>
                <w:rFonts w:asciiTheme="minorHAnsi" w:hAnsiTheme="minorHAnsi" w:cs="Times New Roman"/>
                <w:color w:val="auto"/>
                <w:kern w:val="0"/>
                <w:szCs w:val="21"/>
                <w:lang w:bidi="ar"/>
              </w:rPr>
              <w:t>2022.07.29</w:t>
            </w:r>
          </w:p>
        </w:tc>
      </w:tr>
      <w:tr w:rsidR="00E1389D" w:rsidRPr="006A642B" w14:paraId="4B5A5907" w14:textId="77777777" w:rsidTr="00E1389D">
        <w:trPr>
          <w:trHeight w:val="397"/>
          <w:jc w:val="center"/>
        </w:trPr>
        <w:tc>
          <w:tcPr>
            <w:tcW w:w="1296" w:type="pct"/>
            <w:gridSpan w:val="2"/>
            <w:vAlign w:val="center"/>
          </w:tcPr>
          <w:p w14:paraId="18E5950B"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层次</w:t>
            </w:r>
          </w:p>
        </w:tc>
        <w:tc>
          <w:tcPr>
            <w:tcW w:w="896" w:type="pct"/>
            <w:vAlign w:val="center"/>
          </w:tcPr>
          <w:p w14:paraId="3A938F4D" w14:textId="77777777" w:rsidR="006A642B" w:rsidRPr="006A642B" w:rsidRDefault="006A642B" w:rsidP="00F7756F">
            <w:pPr>
              <w:pStyle w:val="27"/>
              <w:spacing w:line="240" w:lineRule="auto"/>
              <w:ind w:leftChars="-50" w:left="-105" w:rightChars="-50" w:right="-105"/>
              <w:jc w:val="center"/>
              <w:rPr>
                <w:rFonts w:asciiTheme="minorHAnsi" w:hAnsiTheme="minorHAnsi" w:cs="Times New Roman"/>
                <w:color w:val="auto"/>
                <w:szCs w:val="21"/>
              </w:rPr>
            </w:pPr>
            <w:r w:rsidRPr="006A642B">
              <w:rPr>
                <w:rFonts w:asciiTheme="minorHAnsi" w:hAnsiTheme="minorHAnsi" w:cs="Times New Roman"/>
                <w:color w:val="auto"/>
                <w:szCs w:val="21"/>
              </w:rPr>
              <w:t>0</w:t>
            </w:r>
            <w:r w:rsidRPr="006A642B">
              <w:rPr>
                <w:rFonts w:asciiTheme="minorHAnsi" w:hAnsiTheme="minorHAnsi" w:cs="Times New Roman"/>
                <w:color w:val="auto"/>
                <w:szCs w:val="21"/>
              </w:rPr>
              <w:t>～</w:t>
            </w:r>
            <w:r w:rsidRPr="006A642B">
              <w:rPr>
                <w:rFonts w:asciiTheme="minorHAnsi" w:hAnsiTheme="minorHAnsi" w:cs="Times New Roman"/>
                <w:color w:val="auto"/>
                <w:szCs w:val="21"/>
              </w:rPr>
              <w:t>0.2m</w:t>
            </w:r>
          </w:p>
        </w:tc>
        <w:tc>
          <w:tcPr>
            <w:tcW w:w="406" w:type="pct"/>
            <w:vAlign w:val="center"/>
          </w:tcPr>
          <w:p w14:paraId="49ED61AD" w14:textId="77777777" w:rsidR="006A642B" w:rsidRPr="006A642B" w:rsidRDefault="006A642B" w:rsidP="00F7756F">
            <w:pPr>
              <w:widowControl/>
              <w:snapToGrid w:val="0"/>
              <w:jc w:val="center"/>
              <w:rPr>
                <w:rFonts w:asciiTheme="minorHAnsi" w:hAnsiTheme="minorHAnsi" w:cs="Times New Roman"/>
                <w:color w:val="auto"/>
                <w:szCs w:val="21"/>
              </w:rPr>
            </w:pPr>
            <w:r w:rsidRPr="006A642B">
              <w:rPr>
                <w:rFonts w:asciiTheme="minorHAnsi" w:hAnsiTheme="minorHAnsi" w:cs="Times New Roman"/>
                <w:color w:val="auto"/>
                <w:szCs w:val="21"/>
              </w:rPr>
              <w:t>0</w:t>
            </w:r>
            <w:r w:rsidRPr="006A642B">
              <w:rPr>
                <w:rFonts w:asciiTheme="minorHAnsi" w:hAnsiTheme="minorHAnsi" w:cs="Times New Roman"/>
                <w:color w:val="auto"/>
                <w:szCs w:val="21"/>
              </w:rPr>
              <w:t>～</w:t>
            </w:r>
            <w:r w:rsidRPr="006A642B">
              <w:rPr>
                <w:rFonts w:asciiTheme="minorHAnsi" w:hAnsiTheme="minorHAnsi" w:cs="Times New Roman"/>
                <w:color w:val="auto"/>
                <w:szCs w:val="21"/>
              </w:rPr>
              <w:t>0.5m</w:t>
            </w:r>
          </w:p>
        </w:tc>
        <w:tc>
          <w:tcPr>
            <w:tcW w:w="443" w:type="pct"/>
            <w:vAlign w:val="center"/>
          </w:tcPr>
          <w:p w14:paraId="32C9087C" w14:textId="77777777" w:rsidR="006A642B" w:rsidRPr="006A642B" w:rsidRDefault="006A642B" w:rsidP="00F7756F">
            <w:pPr>
              <w:widowControl/>
              <w:snapToGrid w:val="0"/>
              <w:jc w:val="center"/>
              <w:rPr>
                <w:rFonts w:asciiTheme="minorHAnsi" w:hAnsiTheme="minorHAnsi" w:cs="Times New Roman"/>
                <w:color w:val="auto"/>
                <w:szCs w:val="21"/>
              </w:rPr>
            </w:pPr>
            <w:r w:rsidRPr="006A642B">
              <w:rPr>
                <w:rFonts w:asciiTheme="minorHAnsi" w:hAnsiTheme="minorHAnsi" w:cs="Times New Roman"/>
                <w:color w:val="auto"/>
                <w:szCs w:val="21"/>
              </w:rPr>
              <w:t>0.5m</w:t>
            </w:r>
            <w:r w:rsidRPr="006A642B">
              <w:rPr>
                <w:rFonts w:asciiTheme="minorHAnsi" w:hAnsiTheme="minorHAnsi" w:cs="Times New Roman"/>
                <w:color w:val="auto"/>
                <w:szCs w:val="21"/>
              </w:rPr>
              <w:t>～</w:t>
            </w:r>
            <w:r w:rsidRPr="006A642B">
              <w:rPr>
                <w:rFonts w:asciiTheme="minorHAnsi" w:hAnsiTheme="minorHAnsi" w:cs="Times New Roman"/>
                <w:color w:val="auto"/>
                <w:szCs w:val="21"/>
              </w:rPr>
              <w:t>1.5m</w:t>
            </w:r>
          </w:p>
        </w:tc>
        <w:tc>
          <w:tcPr>
            <w:tcW w:w="494" w:type="pct"/>
            <w:vAlign w:val="center"/>
          </w:tcPr>
          <w:p w14:paraId="65574055" w14:textId="77777777" w:rsidR="006A642B" w:rsidRPr="006A642B" w:rsidRDefault="006A642B" w:rsidP="00F7756F">
            <w:pPr>
              <w:widowControl/>
              <w:snapToGrid w:val="0"/>
              <w:jc w:val="center"/>
              <w:rPr>
                <w:rFonts w:asciiTheme="minorHAnsi" w:hAnsiTheme="minorHAnsi" w:cs="Times New Roman"/>
                <w:color w:val="auto"/>
                <w:szCs w:val="21"/>
              </w:rPr>
            </w:pPr>
            <w:r w:rsidRPr="006A642B">
              <w:rPr>
                <w:rFonts w:asciiTheme="minorHAnsi" w:hAnsiTheme="minorHAnsi" w:cs="Times New Roman"/>
                <w:color w:val="auto"/>
                <w:szCs w:val="21"/>
              </w:rPr>
              <w:t>1.5m</w:t>
            </w:r>
            <w:r w:rsidRPr="006A642B">
              <w:rPr>
                <w:rFonts w:asciiTheme="minorHAnsi" w:hAnsiTheme="minorHAnsi" w:cs="Times New Roman"/>
                <w:color w:val="auto"/>
                <w:szCs w:val="21"/>
              </w:rPr>
              <w:t>～</w:t>
            </w:r>
            <w:r w:rsidRPr="006A642B">
              <w:rPr>
                <w:rFonts w:asciiTheme="minorHAnsi" w:hAnsiTheme="minorHAnsi" w:cs="Times New Roman"/>
                <w:color w:val="auto"/>
                <w:szCs w:val="21"/>
              </w:rPr>
              <w:t>3m</w:t>
            </w:r>
          </w:p>
        </w:tc>
        <w:tc>
          <w:tcPr>
            <w:tcW w:w="475" w:type="pct"/>
            <w:gridSpan w:val="2"/>
            <w:vAlign w:val="center"/>
          </w:tcPr>
          <w:p w14:paraId="5F4BDB10" w14:textId="77777777" w:rsidR="006A642B" w:rsidRPr="006A642B" w:rsidRDefault="006A642B" w:rsidP="00F7756F">
            <w:pPr>
              <w:widowControl/>
              <w:snapToGrid w:val="0"/>
              <w:jc w:val="center"/>
              <w:rPr>
                <w:rFonts w:asciiTheme="minorHAnsi" w:hAnsiTheme="minorHAnsi" w:cs="Times New Roman"/>
                <w:color w:val="auto"/>
                <w:szCs w:val="21"/>
              </w:rPr>
            </w:pPr>
            <w:r w:rsidRPr="006A642B">
              <w:rPr>
                <w:rFonts w:asciiTheme="minorHAnsi" w:hAnsiTheme="minorHAnsi" w:cs="Times New Roman"/>
                <w:color w:val="auto"/>
                <w:szCs w:val="21"/>
              </w:rPr>
              <w:t>0</w:t>
            </w:r>
            <w:r w:rsidRPr="006A642B">
              <w:rPr>
                <w:rFonts w:asciiTheme="minorHAnsi" w:hAnsiTheme="minorHAnsi" w:cs="Times New Roman"/>
                <w:color w:val="auto"/>
                <w:szCs w:val="21"/>
              </w:rPr>
              <w:t>～</w:t>
            </w:r>
            <w:r w:rsidRPr="006A642B">
              <w:rPr>
                <w:rFonts w:asciiTheme="minorHAnsi" w:hAnsiTheme="minorHAnsi" w:cs="Times New Roman"/>
                <w:color w:val="auto"/>
                <w:szCs w:val="21"/>
              </w:rPr>
              <w:t>0.5m</w:t>
            </w:r>
          </w:p>
        </w:tc>
        <w:tc>
          <w:tcPr>
            <w:tcW w:w="494" w:type="pct"/>
            <w:vAlign w:val="center"/>
          </w:tcPr>
          <w:p w14:paraId="7C1FDB03" w14:textId="77777777" w:rsidR="006A642B" w:rsidRPr="006A642B" w:rsidRDefault="006A642B" w:rsidP="00F7756F">
            <w:pPr>
              <w:widowControl/>
              <w:snapToGrid w:val="0"/>
              <w:jc w:val="center"/>
              <w:rPr>
                <w:rFonts w:asciiTheme="minorHAnsi" w:hAnsiTheme="minorHAnsi" w:cs="Times New Roman"/>
                <w:color w:val="auto"/>
                <w:szCs w:val="21"/>
              </w:rPr>
            </w:pPr>
            <w:r w:rsidRPr="006A642B">
              <w:rPr>
                <w:rFonts w:asciiTheme="minorHAnsi" w:hAnsiTheme="minorHAnsi" w:cs="Times New Roman"/>
                <w:color w:val="auto"/>
                <w:szCs w:val="21"/>
              </w:rPr>
              <w:t>0.5m</w:t>
            </w:r>
            <w:r w:rsidRPr="006A642B">
              <w:rPr>
                <w:rFonts w:asciiTheme="minorHAnsi" w:hAnsiTheme="minorHAnsi" w:cs="Times New Roman"/>
                <w:color w:val="auto"/>
                <w:szCs w:val="21"/>
              </w:rPr>
              <w:t>～</w:t>
            </w:r>
            <w:r w:rsidRPr="006A642B">
              <w:rPr>
                <w:rFonts w:asciiTheme="minorHAnsi" w:hAnsiTheme="minorHAnsi" w:cs="Times New Roman"/>
                <w:color w:val="auto"/>
                <w:szCs w:val="21"/>
              </w:rPr>
              <w:t>1.5m</w:t>
            </w:r>
          </w:p>
        </w:tc>
        <w:tc>
          <w:tcPr>
            <w:tcW w:w="495" w:type="pct"/>
            <w:vAlign w:val="center"/>
          </w:tcPr>
          <w:p w14:paraId="6D21F900" w14:textId="77777777" w:rsidR="006A642B" w:rsidRPr="006A642B" w:rsidRDefault="006A642B" w:rsidP="00F7756F">
            <w:pPr>
              <w:widowControl/>
              <w:snapToGrid w:val="0"/>
              <w:jc w:val="center"/>
              <w:rPr>
                <w:rFonts w:asciiTheme="minorHAnsi" w:hAnsiTheme="minorHAnsi" w:cs="Times New Roman"/>
                <w:color w:val="auto"/>
                <w:szCs w:val="21"/>
              </w:rPr>
            </w:pPr>
            <w:r w:rsidRPr="006A642B">
              <w:rPr>
                <w:rFonts w:asciiTheme="minorHAnsi" w:hAnsiTheme="minorHAnsi" w:cs="Times New Roman"/>
                <w:color w:val="auto"/>
                <w:szCs w:val="21"/>
              </w:rPr>
              <w:t>1.5m</w:t>
            </w:r>
            <w:r w:rsidRPr="006A642B">
              <w:rPr>
                <w:rFonts w:asciiTheme="minorHAnsi" w:hAnsiTheme="minorHAnsi" w:cs="Times New Roman"/>
                <w:color w:val="auto"/>
                <w:szCs w:val="21"/>
              </w:rPr>
              <w:t>～</w:t>
            </w:r>
            <w:r w:rsidRPr="006A642B">
              <w:rPr>
                <w:rFonts w:asciiTheme="minorHAnsi" w:hAnsiTheme="minorHAnsi" w:cs="Times New Roman"/>
                <w:color w:val="auto"/>
                <w:szCs w:val="21"/>
              </w:rPr>
              <w:t>3m</w:t>
            </w:r>
          </w:p>
        </w:tc>
      </w:tr>
      <w:tr w:rsidR="00E1389D" w:rsidRPr="006A642B" w14:paraId="7BEFA2B2" w14:textId="77777777" w:rsidTr="00E1389D">
        <w:trPr>
          <w:trHeight w:val="397"/>
          <w:jc w:val="center"/>
        </w:trPr>
        <w:tc>
          <w:tcPr>
            <w:tcW w:w="359" w:type="pct"/>
            <w:vMerge w:val="restart"/>
            <w:textDirection w:val="tbRlV"/>
            <w:vAlign w:val="center"/>
          </w:tcPr>
          <w:p w14:paraId="64164E43" w14:textId="77777777" w:rsidR="006A642B" w:rsidRPr="006A642B" w:rsidRDefault="006A642B" w:rsidP="00F7756F">
            <w:pPr>
              <w:pStyle w:val="27"/>
              <w:spacing w:line="240" w:lineRule="auto"/>
              <w:ind w:left="113" w:right="113"/>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现</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场</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记</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录</w:t>
            </w:r>
          </w:p>
        </w:tc>
        <w:tc>
          <w:tcPr>
            <w:tcW w:w="937" w:type="pct"/>
            <w:vAlign w:val="center"/>
          </w:tcPr>
          <w:p w14:paraId="46C54FA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颜色</w:t>
            </w:r>
          </w:p>
        </w:tc>
        <w:tc>
          <w:tcPr>
            <w:tcW w:w="896" w:type="pct"/>
            <w:vAlign w:val="center"/>
          </w:tcPr>
          <w:p w14:paraId="1A8EC345"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406" w:type="pct"/>
            <w:vAlign w:val="center"/>
          </w:tcPr>
          <w:p w14:paraId="71E5E79C"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443" w:type="pct"/>
            <w:vAlign w:val="center"/>
          </w:tcPr>
          <w:p w14:paraId="1BF338B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494" w:type="pct"/>
            <w:vAlign w:val="center"/>
          </w:tcPr>
          <w:p w14:paraId="5CD2C33A"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475" w:type="pct"/>
            <w:gridSpan w:val="2"/>
            <w:vAlign w:val="center"/>
          </w:tcPr>
          <w:p w14:paraId="1C987B9D"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494" w:type="pct"/>
            <w:vAlign w:val="center"/>
          </w:tcPr>
          <w:p w14:paraId="20CAECF6"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495" w:type="pct"/>
            <w:vAlign w:val="center"/>
          </w:tcPr>
          <w:p w14:paraId="23F15251"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r>
      <w:tr w:rsidR="00E1389D" w:rsidRPr="006A642B" w14:paraId="32C4E160" w14:textId="77777777" w:rsidTr="00E1389D">
        <w:trPr>
          <w:trHeight w:val="397"/>
          <w:jc w:val="center"/>
        </w:trPr>
        <w:tc>
          <w:tcPr>
            <w:tcW w:w="359" w:type="pct"/>
            <w:vMerge/>
            <w:vAlign w:val="center"/>
          </w:tcPr>
          <w:p w14:paraId="33418C7D"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p>
        </w:tc>
        <w:tc>
          <w:tcPr>
            <w:tcW w:w="937" w:type="pct"/>
            <w:vAlign w:val="center"/>
          </w:tcPr>
          <w:p w14:paraId="74B75AC5"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质地</w:t>
            </w:r>
          </w:p>
        </w:tc>
        <w:tc>
          <w:tcPr>
            <w:tcW w:w="896" w:type="pct"/>
            <w:vAlign w:val="center"/>
          </w:tcPr>
          <w:p w14:paraId="39221CB8"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406" w:type="pct"/>
            <w:vAlign w:val="center"/>
          </w:tcPr>
          <w:p w14:paraId="6CB4A113"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443" w:type="pct"/>
            <w:vAlign w:val="center"/>
          </w:tcPr>
          <w:p w14:paraId="689434C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494" w:type="pct"/>
            <w:vAlign w:val="center"/>
          </w:tcPr>
          <w:p w14:paraId="18B8F52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475" w:type="pct"/>
            <w:gridSpan w:val="2"/>
            <w:vAlign w:val="center"/>
          </w:tcPr>
          <w:p w14:paraId="0AA2C579"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494" w:type="pct"/>
            <w:vAlign w:val="center"/>
          </w:tcPr>
          <w:p w14:paraId="217E6BAE"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495" w:type="pct"/>
            <w:vAlign w:val="center"/>
          </w:tcPr>
          <w:p w14:paraId="09F5B8F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r>
      <w:tr w:rsidR="00E1389D" w:rsidRPr="006A642B" w14:paraId="6CFD6710" w14:textId="77777777" w:rsidTr="00E1389D">
        <w:trPr>
          <w:trHeight w:val="397"/>
          <w:jc w:val="center"/>
        </w:trPr>
        <w:tc>
          <w:tcPr>
            <w:tcW w:w="359" w:type="pct"/>
            <w:vMerge/>
            <w:vAlign w:val="center"/>
          </w:tcPr>
          <w:p w14:paraId="4606E1F6"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p>
        </w:tc>
        <w:tc>
          <w:tcPr>
            <w:tcW w:w="937" w:type="pct"/>
            <w:vAlign w:val="center"/>
          </w:tcPr>
          <w:p w14:paraId="11177C2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砂砾含量</w:t>
            </w:r>
          </w:p>
        </w:tc>
        <w:tc>
          <w:tcPr>
            <w:tcW w:w="896" w:type="pct"/>
            <w:vAlign w:val="center"/>
          </w:tcPr>
          <w:p w14:paraId="4D02993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9%</w:t>
            </w:r>
          </w:p>
        </w:tc>
        <w:tc>
          <w:tcPr>
            <w:tcW w:w="406" w:type="pct"/>
            <w:vAlign w:val="center"/>
          </w:tcPr>
          <w:p w14:paraId="77BCC3E5"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12%</w:t>
            </w:r>
          </w:p>
        </w:tc>
        <w:tc>
          <w:tcPr>
            <w:tcW w:w="443" w:type="pct"/>
            <w:vAlign w:val="center"/>
          </w:tcPr>
          <w:p w14:paraId="1FB41E21"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10%</w:t>
            </w:r>
          </w:p>
        </w:tc>
        <w:tc>
          <w:tcPr>
            <w:tcW w:w="494" w:type="pct"/>
            <w:vAlign w:val="center"/>
          </w:tcPr>
          <w:p w14:paraId="5BF4AE3B"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8%</w:t>
            </w:r>
          </w:p>
        </w:tc>
        <w:tc>
          <w:tcPr>
            <w:tcW w:w="475" w:type="pct"/>
            <w:gridSpan w:val="2"/>
            <w:vAlign w:val="center"/>
          </w:tcPr>
          <w:p w14:paraId="54CCE9E5"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w:t>
            </w:r>
          </w:p>
        </w:tc>
        <w:tc>
          <w:tcPr>
            <w:tcW w:w="494" w:type="pct"/>
            <w:vAlign w:val="center"/>
          </w:tcPr>
          <w:p w14:paraId="5435D593"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w:t>
            </w:r>
          </w:p>
        </w:tc>
        <w:tc>
          <w:tcPr>
            <w:tcW w:w="495" w:type="pct"/>
            <w:vAlign w:val="center"/>
          </w:tcPr>
          <w:p w14:paraId="304F4B0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10%</w:t>
            </w:r>
          </w:p>
        </w:tc>
      </w:tr>
      <w:tr w:rsidR="00E1389D" w:rsidRPr="006A642B" w14:paraId="42538447" w14:textId="77777777" w:rsidTr="00E1389D">
        <w:trPr>
          <w:trHeight w:val="397"/>
          <w:jc w:val="center"/>
        </w:trPr>
        <w:tc>
          <w:tcPr>
            <w:tcW w:w="359" w:type="pct"/>
            <w:vMerge/>
            <w:vAlign w:val="center"/>
          </w:tcPr>
          <w:p w14:paraId="5067BAC3"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p>
        </w:tc>
        <w:tc>
          <w:tcPr>
            <w:tcW w:w="937" w:type="pct"/>
            <w:vAlign w:val="center"/>
          </w:tcPr>
          <w:p w14:paraId="36749EA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其他异物</w:t>
            </w:r>
          </w:p>
        </w:tc>
        <w:tc>
          <w:tcPr>
            <w:tcW w:w="896" w:type="pct"/>
            <w:vAlign w:val="center"/>
          </w:tcPr>
          <w:p w14:paraId="32F8833B"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406" w:type="pct"/>
            <w:vAlign w:val="center"/>
          </w:tcPr>
          <w:p w14:paraId="02CF383E"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443" w:type="pct"/>
            <w:vAlign w:val="center"/>
          </w:tcPr>
          <w:p w14:paraId="62AD52C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494" w:type="pct"/>
            <w:vAlign w:val="center"/>
          </w:tcPr>
          <w:p w14:paraId="2E4D753D"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475" w:type="pct"/>
            <w:gridSpan w:val="2"/>
            <w:vAlign w:val="center"/>
          </w:tcPr>
          <w:p w14:paraId="6C976093"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494" w:type="pct"/>
            <w:vAlign w:val="center"/>
          </w:tcPr>
          <w:p w14:paraId="0660E92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495" w:type="pct"/>
            <w:vAlign w:val="center"/>
          </w:tcPr>
          <w:p w14:paraId="4EDE5444"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r>
      <w:tr w:rsidR="00E1389D" w:rsidRPr="006A642B" w14:paraId="12FCD6B8" w14:textId="77777777" w:rsidTr="00E1389D">
        <w:trPr>
          <w:trHeight w:val="397"/>
          <w:jc w:val="center"/>
        </w:trPr>
        <w:tc>
          <w:tcPr>
            <w:tcW w:w="359" w:type="pct"/>
            <w:vMerge w:val="restart"/>
            <w:textDirection w:val="tbRlV"/>
            <w:vAlign w:val="center"/>
          </w:tcPr>
          <w:p w14:paraId="19066DE3" w14:textId="77777777" w:rsidR="006A642B" w:rsidRPr="006A642B" w:rsidRDefault="006A642B" w:rsidP="00F7756F">
            <w:pPr>
              <w:pStyle w:val="27"/>
              <w:spacing w:line="240" w:lineRule="auto"/>
              <w:ind w:left="113" w:right="113"/>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lastRenderedPageBreak/>
              <w:t>实</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验</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室</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测</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定</w:t>
            </w:r>
          </w:p>
        </w:tc>
        <w:tc>
          <w:tcPr>
            <w:tcW w:w="937" w:type="pct"/>
            <w:vAlign w:val="center"/>
          </w:tcPr>
          <w:p w14:paraId="26B26BFE"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pH</w:t>
            </w:r>
            <w:r w:rsidRPr="006A642B">
              <w:rPr>
                <w:rFonts w:asciiTheme="minorHAnsi" w:eastAsiaTheme="minorEastAsia" w:hAnsiTheme="minorHAnsi" w:cs="Times New Roman"/>
                <w:bCs/>
                <w:color w:val="auto"/>
                <w:szCs w:val="21"/>
              </w:rPr>
              <w:t>值</w:t>
            </w:r>
          </w:p>
          <w:p w14:paraId="25E5B08A" w14:textId="77777777" w:rsidR="006A642B" w:rsidRPr="006A642B" w:rsidRDefault="006A642B" w:rsidP="006A642B">
            <w:pPr>
              <w:jc w:val="center"/>
              <w:rPr>
                <w:rFonts w:asciiTheme="minorHAnsi" w:eastAsiaTheme="minorEastAsia" w:hAnsiTheme="minorHAnsi" w:cs="Times New Roman"/>
                <w:bCs/>
                <w:color w:val="auto"/>
                <w:szCs w:val="21"/>
              </w:rPr>
            </w:pPr>
            <w:r>
              <w:rPr>
                <w:rFonts w:asciiTheme="minorHAnsi" w:eastAsiaTheme="minorEastAsia" w:hAnsiTheme="minorHAnsi" w:cs="Times New Roman" w:hint="eastAsia"/>
                <w:bCs/>
                <w:color w:val="auto"/>
                <w:szCs w:val="21"/>
              </w:rPr>
              <w:t>（</w:t>
            </w:r>
            <w:r w:rsidRPr="006A642B">
              <w:rPr>
                <w:rFonts w:asciiTheme="minorHAnsi" w:eastAsiaTheme="minorEastAsia" w:hAnsiTheme="minorHAnsi" w:cs="Times New Roman"/>
                <w:bCs/>
                <w:color w:val="auto"/>
                <w:szCs w:val="21"/>
              </w:rPr>
              <w:t>无量纲</w:t>
            </w:r>
            <w:r>
              <w:rPr>
                <w:rFonts w:asciiTheme="minorHAnsi" w:eastAsiaTheme="minorEastAsia" w:hAnsiTheme="minorHAnsi" w:cs="Times New Roman" w:hint="eastAsia"/>
                <w:bCs/>
                <w:color w:val="auto"/>
                <w:szCs w:val="21"/>
              </w:rPr>
              <w:t>）</w:t>
            </w:r>
          </w:p>
        </w:tc>
        <w:tc>
          <w:tcPr>
            <w:tcW w:w="896" w:type="pct"/>
            <w:vAlign w:val="center"/>
          </w:tcPr>
          <w:p w14:paraId="77B2599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7.48</w:t>
            </w:r>
          </w:p>
        </w:tc>
        <w:tc>
          <w:tcPr>
            <w:tcW w:w="406" w:type="pct"/>
            <w:vAlign w:val="center"/>
          </w:tcPr>
          <w:p w14:paraId="1025318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7.51</w:t>
            </w:r>
          </w:p>
        </w:tc>
        <w:tc>
          <w:tcPr>
            <w:tcW w:w="443" w:type="pct"/>
            <w:vAlign w:val="center"/>
          </w:tcPr>
          <w:p w14:paraId="7DE90EBB"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7.50</w:t>
            </w:r>
          </w:p>
        </w:tc>
        <w:tc>
          <w:tcPr>
            <w:tcW w:w="494" w:type="pct"/>
            <w:vAlign w:val="center"/>
          </w:tcPr>
          <w:p w14:paraId="70E71936"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7.52</w:t>
            </w:r>
          </w:p>
        </w:tc>
        <w:tc>
          <w:tcPr>
            <w:tcW w:w="475" w:type="pct"/>
            <w:gridSpan w:val="2"/>
            <w:vAlign w:val="center"/>
          </w:tcPr>
          <w:p w14:paraId="6CBF216E"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7.58</w:t>
            </w:r>
          </w:p>
        </w:tc>
        <w:tc>
          <w:tcPr>
            <w:tcW w:w="494" w:type="pct"/>
            <w:vAlign w:val="center"/>
          </w:tcPr>
          <w:p w14:paraId="7B7259B1"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7.54</w:t>
            </w:r>
          </w:p>
        </w:tc>
        <w:tc>
          <w:tcPr>
            <w:tcW w:w="495" w:type="pct"/>
            <w:vAlign w:val="center"/>
          </w:tcPr>
          <w:p w14:paraId="6CE7C85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7.56</w:t>
            </w:r>
          </w:p>
        </w:tc>
      </w:tr>
      <w:tr w:rsidR="00E1389D" w:rsidRPr="006A642B" w14:paraId="56064E25" w14:textId="77777777" w:rsidTr="00E1389D">
        <w:trPr>
          <w:trHeight w:val="397"/>
          <w:jc w:val="center"/>
        </w:trPr>
        <w:tc>
          <w:tcPr>
            <w:tcW w:w="359" w:type="pct"/>
            <w:vMerge/>
            <w:textDirection w:val="tbRlV"/>
            <w:vAlign w:val="center"/>
          </w:tcPr>
          <w:p w14:paraId="08C61E19" w14:textId="77777777" w:rsidR="006A642B" w:rsidRPr="006A642B" w:rsidRDefault="006A642B" w:rsidP="00F7756F">
            <w:pPr>
              <w:pStyle w:val="27"/>
              <w:spacing w:line="240" w:lineRule="auto"/>
              <w:ind w:left="113" w:right="113"/>
              <w:jc w:val="center"/>
              <w:rPr>
                <w:rFonts w:asciiTheme="minorHAnsi" w:eastAsiaTheme="minorEastAsia" w:hAnsiTheme="minorHAnsi" w:cs="Times New Roman"/>
                <w:bCs/>
                <w:color w:val="auto"/>
                <w:szCs w:val="21"/>
              </w:rPr>
            </w:pPr>
          </w:p>
        </w:tc>
        <w:tc>
          <w:tcPr>
            <w:tcW w:w="937" w:type="pct"/>
            <w:vAlign w:val="center"/>
          </w:tcPr>
          <w:p w14:paraId="337D62F9"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阳离子交换量（</w:t>
            </w:r>
            <w:r w:rsidRPr="006A642B">
              <w:rPr>
                <w:rFonts w:asciiTheme="minorHAnsi" w:eastAsiaTheme="minorEastAsia" w:hAnsiTheme="minorHAnsi" w:cs="Times New Roman"/>
                <w:bCs/>
                <w:color w:val="auto"/>
                <w:szCs w:val="21"/>
              </w:rPr>
              <w:t>cmol+/kg</w:t>
            </w:r>
            <w:r w:rsidRPr="006A642B">
              <w:rPr>
                <w:rFonts w:asciiTheme="minorHAnsi" w:eastAsiaTheme="minorEastAsia" w:hAnsiTheme="minorHAnsi" w:cs="Times New Roman"/>
                <w:bCs/>
                <w:color w:val="auto"/>
                <w:szCs w:val="21"/>
              </w:rPr>
              <w:t>）</w:t>
            </w:r>
          </w:p>
        </w:tc>
        <w:tc>
          <w:tcPr>
            <w:tcW w:w="896" w:type="pct"/>
            <w:vAlign w:val="center"/>
          </w:tcPr>
          <w:p w14:paraId="6C4AC5A4"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11.6</w:t>
            </w:r>
          </w:p>
        </w:tc>
        <w:tc>
          <w:tcPr>
            <w:tcW w:w="406" w:type="pct"/>
            <w:vAlign w:val="center"/>
          </w:tcPr>
          <w:p w14:paraId="0B8D26F5"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13.5</w:t>
            </w:r>
          </w:p>
        </w:tc>
        <w:tc>
          <w:tcPr>
            <w:tcW w:w="443" w:type="pct"/>
            <w:vAlign w:val="center"/>
          </w:tcPr>
          <w:p w14:paraId="411C3A94"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13.3</w:t>
            </w:r>
          </w:p>
        </w:tc>
        <w:tc>
          <w:tcPr>
            <w:tcW w:w="494" w:type="pct"/>
            <w:vAlign w:val="center"/>
          </w:tcPr>
          <w:p w14:paraId="730014BB"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13.1</w:t>
            </w:r>
          </w:p>
        </w:tc>
        <w:tc>
          <w:tcPr>
            <w:tcW w:w="475" w:type="pct"/>
            <w:gridSpan w:val="2"/>
            <w:vAlign w:val="center"/>
          </w:tcPr>
          <w:p w14:paraId="6528496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12.8</w:t>
            </w:r>
          </w:p>
        </w:tc>
        <w:tc>
          <w:tcPr>
            <w:tcW w:w="494" w:type="pct"/>
            <w:vAlign w:val="center"/>
          </w:tcPr>
          <w:p w14:paraId="559433C1"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13.0</w:t>
            </w:r>
          </w:p>
        </w:tc>
        <w:tc>
          <w:tcPr>
            <w:tcW w:w="495" w:type="pct"/>
            <w:vAlign w:val="center"/>
          </w:tcPr>
          <w:p w14:paraId="3192565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13.4</w:t>
            </w:r>
          </w:p>
        </w:tc>
      </w:tr>
      <w:tr w:rsidR="00E1389D" w:rsidRPr="006A642B" w14:paraId="725EC346" w14:textId="77777777" w:rsidTr="00E1389D">
        <w:trPr>
          <w:trHeight w:val="397"/>
          <w:jc w:val="center"/>
        </w:trPr>
        <w:tc>
          <w:tcPr>
            <w:tcW w:w="359" w:type="pct"/>
            <w:vMerge/>
            <w:vAlign w:val="center"/>
          </w:tcPr>
          <w:p w14:paraId="4AF0D0C9"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p>
        </w:tc>
        <w:tc>
          <w:tcPr>
            <w:tcW w:w="937" w:type="pct"/>
            <w:vAlign w:val="center"/>
          </w:tcPr>
          <w:p w14:paraId="138685B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氧化还原电位（</w:t>
            </w:r>
            <w:r w:rsidRPr="006A642B">
              <w:rPr>
                <w:rFonts w:asciiTheme="minorHAnsi" w:eastAsiaTheme="minorEastAsia" w:hAnsiTheme="minorHAnsi" w:cs="Times New Roman"/>
                <w:bCs/>
                <w:color w:val="auto"/>
                <w:szCs w:val="21"/>
              </w:rPr>
              <w:t>mv</w:t>
            </w:r>
            <w:r w:rsidRPr="006A642B">
              <w:rPr>
                <w:rFonts w:asciiTheme="minorHAnsi" w:eastAsiaTheme="minorEastAsia" w:hAnsiTheme="minorHAnsi" w:cs="Times New Roman"/>
                <w:bCs/>
                <w:color w:val="auto"/>
                <w:szCs w:val="21"/>
              </w:rPr>
              <w:t>）</w:t>
            </w:r>
          </w:p>
        </w:tc>
        <w:tc>
          <w:tcPr>
            <w:tcW w:w="896" w:type="pct"/>
            <w:vAlign w:val="center"/>
          </w:tcPr>
          <w:p w14:paraId="2AC4770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315</w:t>
            </w:r>
          </w:p>
        </w:tc>
        <w:tc>
          <w:tcPr>
            <w:tcW w:w="406" w:type="pct"/>
            <w:vAlign w:val="center"/>
          </w:tcPr>
          <w:p w14:paraId="4E170E33"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311</w:t>
            </w:r>
          </w:p>
        </w:tc>
        <w:tc>
          <w:tcPr>
            <w:tcW w:w="443" w:type="pct"/>
            <w:vAlign w:val="center"/>
          </w:tcPr>
          <w:p w14:paraId="65889F61"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325</w:t>
            </w:r>
          </w:p>
        </w:tc>
        <w:tc>
          <w:tcPr>
            <w:tcW w:w="494" w:type="pct"/>
            <w:vAlign w:val="center"/>
          </w:tcPr>
          <w:p w14:paraId="455738C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324</w:t>
            </w:r>
          </w:p>
        </w:tc>
        <w:tc>
          <w:tcPr>
            <w:tcW w:w="475" w:type="pct"/>
            <w:gridSpan w:val="2"/>
            <w:vAlign w:val="center"/>
          </w:tcPr>
          <w:p w14:paraId="3E2B3E9B"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321</w:t>
            </w:r>
          </w:p>
        </w:tc>
        <w:tc>
          <w:tcPr>
            <w:tcW w:w="494" w:type="pct"/>
            <w:vAlign w:val="center"/>
          </w:tcPr>
          <w:p w14:paraId="1C0D9F3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312</w:t>
            </w:r>
          </w:p>
        </w:tc>
        <w:tc>
          <w:tcPr>
            <w:tcW w:w="495" w:type="pct"/>
            <w:vAlign w:val="center"/>
          </w:tcPr>
          <w:p w14:paraId="51A2ECAE"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316</w:t>
            </w:r>
          </w:p>
        </w:tc>
      </w:tr>
      <w:tr w:rsidR="00E1389D" w:rsidRPr="006A642B" w14:paraId="2B3FEB3A" w14:textId="77777777" w:rsidTr="00E1389D">
        <w:trPr>
          <w:trHeight w:val="397"/>
          <w:jc w:val="center"/>
        </w:trPr>
        <w:tc>
          <w:tcPr>
            <w:tcW w:w="359" w:type="pct"/>
            <w:vMerge/>
            <w:vAlign w:val="center"/>
          </w:tcPr>
          <w:p w14:paraId="38763C22"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p>
        </w:tc>
        <w:tc>
          <w:tcPr>
            <w:tcW w:w="937" w:type="pct"/>
            <w:vAlign w:val="center"/>
          </w:tcPr>
          <w:p w14:paraId="2AEDA6D1"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饱和导水率（</w:t>
            </w:r>
            <w:r w:rsidRPr="006A642B">
              <w:rPr>
                <w:rFonts w:asciiTheme="minorHAnsi" w:eastAsiaTheme="minorEastAsia" w:hAnsiTheme="minorHAnsi" w:cs="Times New Roman"/>
                <w:bCs/>
                <w:color w:val="auto"/>
                <w:szCs w:val="21"/>
              </w:rPr>
              <w:t>cm/s</w:t>
            </w:r>
            <w:r w:rsidRPr="006A642B">
              <w:rPr>
                <w:rFonts w:asciiTheme="minorHAnsi" w:eastAsiaTheme="minorEastAsia" w:hAnsiTheme="minorHAnsi" w:cs="Times New Roman"/>
                <w:bCs/>
                <w:color w:val="auto"/>
                <w:szCs w:val="21"/>
              </w:rPr>
              <w:t>）</w:t>
            </w:r>
          </w:p>
        </w:tc>
        <w:tc>
          <w:tcPr>
            <w:tcW w:w="896" w:type="pct"/>
            <w:vAlign w:val="center"/>
          </w:tcPr>
          <w:p w14:paraId="7A2557D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1.21</w:t>
            </w:r>
          </w:p>
        </w:tc>
        <w:tc>
          <w:tcPr>
            <w:tcW w:w="406" w:type="pct"/>
            <w:vAlign w:val="center"/>
          </w:tcPr>
          <w:p w14:paraId="05A7007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1.13</w:t>
            </w:r>
          </w:p>
        </w:tc>
        <w:tc>
          <w:tcPr>
            <w:tcW w:w="443" w:type="pct"/>
            <w:vAlign w:val="center"/>
          </w:tcPr>
          <w:p w14:paraId="72C97B5E"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1.11</w:t>
            </w:r>
          </w:p>
        </w:tc>
        <w:tc>
          <w:tcPr>
            <w:tcW w:w="494" w:type="pct"/>
            <w:vAlign w:val="center"/>
          </w:tcPr>
          <w:p w14:paraId="368EB072"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1.19</w:t>
            </w:r>
          </w:p>
        </w:tc>
        <w:tc>
          <w:tcPr>
            <w:tcW w:w="475" w:type="pct"/>
            <w:gridSpan w:val="2"/>
            <w:vAlign w:val="center"/>
          </w:tcPr>
          <w:p w14:paraId="1B13E374"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1.19</w:t>
            </w:r>
          </w:p>
        </w:tc>
        <w:tc>
          <w:tcPr>
            <w:tcW w:w="494" w:type="pct"/>
            <w:vAlign w:val="center"/>
          </w:tcPr>
          <w:p w14:paraId="65098B0A"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1.14</w:t>
            </w:r>
          </w:p>
        </w:tc>
        <w:tc>
          <w:tcPr>
            <w:tcW w:w="495" w:type="pct"/>
            <w:vAlign w:val="center"/>
          </w:tcPr>
          <w:p w14:paraId="3A27FDC9"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1.12</w:t>
            </w:r>
          </w:p>
        </w:tc>
      </w:tr>
      <w:tr w:rsidR="00E1389D" w:rsidRPr="006A642B" w14:paraId="0A8400CF" w14:textId="77777777" w:rsidTr="00E1389D">
        <w:trPr>
          <w:trHeight w:val="397"/>
          <w:jc w:val="center"/>
        </w:trPr>
        <w:tc>
          <w:tcPr>
            <w:tcW w:w="359" w:type="pct"/>
            <w:vMerge/>
            <w:vAlign w:val="center"/>
          </w:tcPr>
          <w:p w14:paraId="4E2FD66D"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p>
        </w:tc>
        <w:tc>
          <w:tcPr>
            <w:tcW w:w="937" w:type="pct"/>
            <w:vAlign w:val="center"/>
          </w:tcPr>
          <w:p w14:paraId="1C4202F2" w14:textId="77777777" w:rsid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土壤容重</w:t>
            </w:r>
          </w:p>
          <w:p w14:paraId="2B77AE3F" w14:textId="77777777" w:rsidR="006A642B" w:rsidRPr="006A642B" w:rsidRDefault="006A642B" w:rsidP="006A642B">
            <w:pPr>
              <w:jc w:val="center"/>
              <w:rPr>
                <w:rFonts w:asciiTheme="minorHAnsi" w:eastAsiaTheme="minorEastAsia" w:hAnsiTheme="minorHAnsi" w:cs="Times New Roman"/>
                <w:bCs/>
                <w:color w:val="auto"/>
                <w:szCs w:val="21"/>
              </w:rPr>
            </w:pPr>
            <w:r>
              <w:rPr>
                <w:rFonts w:asciiTheme="minorHAnsi" w:eastAsiaTheme="minorEastAsia" w:hAnsiTheme="minorHAnsi" w:cs="Times New Roman" w:hint="eastAsia"/>
                <w:bCs/>
                <w:color w:val="auto"/>
                <w:szCs w:val="21"/>
              </w:rPr>
              <w:t>（</w:t>
            </w:r>
            <w:r w:rsidRPr="006A642B">
              <w:rPr>
                <w:rFonts w:asciiTheme="minorHAnsi" w:eastAsiaTheme="minorEastAsia" w:hAnsiTheme="minorHAnsi" w:cs="Times New Roman"/>
                <w:bCs/>
                <w:color w:val="auto"/>
                <w:szCs w:val="21"/>
              </w:rPr>
              <w:t>g/cm3</w:t>
            </w:r>
            <w:r>
              <w:rPr>
                <w:rFonts w:asciiTheme="minorHAnsi" w:eastAsiaTheme="minorEastAsia" w:hAnsiTheme="minorHAnsi" w:cs="Times New Roman" w:hint="eastAsia"/>
                <w:bCs/>
                <w:color w:val="auto"/>
                <w:szCs w:val="21"/>
              </w:rPr>
              <w:t>）</w:t>
            </w:r>
          </w:p>
        </w:tc>
        <w:tc>
          <w:tcPr>
            <w:tcW w:w="896" w:type="pct"/>
            <w:vAlign w:val="center"/>
          </w:tcPr>
          <w:p w14:paraId="2964606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1.35 </w:t>
            </w:r>
          </w:p>
        </w:tc>
        <w:tc>
          <w:tcPr>
            <w:tcW w:w="406" w:type="pct"/>
            <w:vAlign w:val="center"/>
          </w:tcPr>
          <w:p w14:paraId="0AD448FC"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1.46 </w:t>
            </w:r>
          </w:p>
        </w:tc>
        <w:tc>
          <w:tcPr>
            <w:tcW w:w="443" w:type="pct"/>
            <w:vAlign w:val="center"/>
          </w:tcPr>
          <w:p w14:paraId="0D00AA0A"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1.50 </w:t>
            </w:r>
          </w:p>
        </w:tc>
        <w:tc>
          <w:tcPr>
            <w:tcW w:w="494" w:type="pct"/>
            <w:vAlign w:val="center"/>
          </w:tcPr>
          <w:p w14:paraId="6D8807D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1.42 </w:t>
            </w:r>
          </w:p>
        </w:tc>
        <w:tc>
          <w:tcPr>
            <w:tcW w:w="475" w:type="pct"/>
            <w:gridSpan w:val="2"/>
            <w:vAlign w:val="center"/>
          </w:tcPr>
          <w:p w14:paraId="16A1A484"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1.33 </w:t>
            </w:r>
          </w:p>
        </w:tc>
        <w:tc>
          <w:tcPr>
            <w:tcW w:w="494" w:type="pct"/>
            <w:vAlign w:val="center"/>
          </w:tcPr>
          <w:p w14:paraId="52311486"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1.39 </w:t>
            </w:r>
          </w:p>
        </w:tc>
        <w:tc>
          <w:tcPr>
            <w:tcW w:w="495" w:type="pct"/>
            <w:vAlign w:val="center"/>
          </w:tcPr>
          <w:p w14:paraId="3FED37D7"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1.44 </w:t>
            </w:r>
          </w:p>
        </w:tc>
      </w:tr>
      <w:tr w:rsidR="00E1389D" w:rsidRPr="006A642B" w14:paraId="03807B48" w14:textId="77777777" w:rsidTr="00E1389D">
        <w:trPr>
          <w:trHeight w:val="397"/>
          <w:jc w:val="center"/>
        </w:trPr>
        <w:tc>
          <w:tcPr>
            <w:tcW w:w="359" w:type="pct"/>
            <w:vMerge/>
            <w:vAlign w:val="center"/>
          </w:tcPr>
          <w:p w14:paraId="051FC68A" w14:textId="77777777" w:rsidR="006A642B" w:rsidRPr="006A642B" w:rsidRDefault="006A642B" w:rsidP="00F7756F">
            <w:pPr>
              <w:pStyle w:val="27"/>
              <w:spacing w:line="240" w:lineRule="auto"/>
              <w:jc w:val="center"/>
              <w:rPr>
                <w:rFonts w:asciiTheme="minorHAnsi" w:eastAsiaTheme="minorEastAsia" w:hAnsiTheme="minorHAnsi" w:cs="Times New Roman"/>
                <w:bCs/>
                <w:color w:val="auto"/>
                <w:szCs w:val="21"/>
              </w:rPr>
            </w:pPr>
          </w:p>
        </w:tc>
        <w:tc>
          <w:tcPr>
            <w:tcW w:w="937" w:type="pct"/>
            <w:vAlign w:val="center"/>
          </w:tcPr>
          <w:p w14:paraId="2F105E98"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孔隙度</w:t>
            </w:r>
            <w:r>
              <w:rPr>
                <w:rFonts w:asciiTheme="minorHAnsi" w:eastAsiaTheme="minorEastAsia" w:hAnsiTheme="minorHAnsi" w:cs="Times New Roman" w:hint="eastAsia"/>
                <w:bCs/>
                <w:color w:val="auto"/>
                <w:szCs w:val="21"/>
              </w:rPr>
              <w:t>（</w:t>
            </w:r>
            <w:r>
              <w:rPr>
                <w:rFonts w:asciiTheme="minorHAnsi" w:eastAsiaTheme="minorEastAsia" w:hAnsiTheme="minorHAnsi" w:cs="Times New Roman" w:hint="eastAsia"/>
                <w:bCs/>
                <w:color w:val="auto"/>
                <w:szCs w:val="21"/>
              </w:rPr>
              <w:t>%</w:t>
            </w:r>
            <w:r>
              <w:rPr>
                <w:rFonts w:asciiTheme="minorHAnsi" w:eastAsiaTheme="minorEastAsia" w:hAnsiTheme="minorHAnsi" w:cs="Times New Roman" w:hint="eastAsia"/>
                <w:bCs/>
                <w:color w:val="auto"/>
                <w:szCs w:val="21"/>
              </w:rPr>
              <w:t>）</w:t>
            </w:r>
          </w:p>
        </w:tc>
        <w:tc>
          <w:tcPr>
            <w:tcW w:w="896" w:type="pct"/>
            <w:vAlign w:val="center"/>
          </w:tcPr>
          <w:p w14:paraId="2209CB7B"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49.1 </w:t>
            </w:r>
          </w:p>
        </w:tc>
        <w:tc>
          <w:tcPr>
            <w:tcW w:w="406" w:type="pct"/>
            <w:vAlign w:val="center"/>
          </w:tcPr>
          <w:p w14:paraId="6CCFF47D"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44.9 </w:t>
            </w:r>
          </w:p>
        </w:tc>
        <w:tc>
          <w:tcPr>
            <w:tcW w:w="443" w:type="pct"/>
            <w:vAlign w:val="center"/>
          </w:tcPr>
          <w:p w14:paraId="00E35234"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43.4 </w:t>
            </w:r>
          </w:p>
        </w:tc>
        <w:tc>
          <w:tcPr>
            <w:tcW w:w="494" w:type="pct"/>
            <w:vAlign w:val="center"/>
          </w:tcPr>
          <w:p w14:paraId="2BD552DC"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46.4 </w:t>
            </w:r>
          </w:p>
        </w:tc>
        <w:tc>
          <w:tcPr>
            <w:tcW w:w="475" w:type="pct"/>
            <w:gridSpan w:val="2"/>
            <w:vAlign w:val="center"/>
          </w:tcPr>
          <w:p w14:paraId="31D87DB8"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49.8 </w:t>
            </w:r>
          </w:p>
        </w:tc>
        <w:tc>
          <w:tcPr>
            <w:tcW w:w="494" w:type="pct"/>
            <w:vAlign w:val="center"/>
          </w:tcPr>
          <w:p w14:paraId="595BB8DF"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47.5 </w:t>
            </w:r>
          </w:p>
        </w:tc>
        <w:tc>
          <w:tcPr>
            <w:tcW w:w="495" w:type="pct"/>
            <w:vAlign w:val="center"/>
          </w:tcPr>
          <w:p w14:paraId="2ED02DF9" w14:textId="77777777" w:rsidR="006A642B" w:rsidRPr="006A642B" w:rsidRDefault="006A642B" w:rsidP="006A642B">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45.7 </w:t>
            </w:r>
          </w:p>
        </w:tc>
      </w:tr>
    </w:tbl>
    <w:p w14:paraId="73063A1E" w14:textId="77777777" w:rsidR="00E1389D" w:rsidRDefault="00E1389D" w:rsidP="00E1389D">
      <w:pPr>
        <w:pStyle w:val="00"/>
        <w:tabs>
          <w:tab w:val="left" w:pos="852"/>
        </w:tabs>
        <w:ind w:firstLineChars="450" w:firstLine="1080"/>
        <w:rPr>
          <w:rFonts w:ascii="Calibri" w:eastAsia="黑体" w:hAnsi="黑体"/>
          <w:color w:val="auto"/>
        </w:rPr>
      </w:pPr>
      <w:r w:rsidRPr="006A642B">
        <w:rPr>
          <w:rFonts w:ascii="Calibri" w:eastAsia="黑体" w:hAnsi="黑体"/>
          <w:color w:val="auto"/>
        </w:rPr>
        <w:t>表</w:t>
      </w:r>
      <w:r w:rsidRPr="006A642B">
        <w:rPr>
          <w:rFonts w:ascii="Calibri" w:eastAsia="黑体" w:hAnsi="黑体" w:hint="eastAsia"/>
          <w:color w:val="auto"/>
        </w:rPr>
        <w:t>4.4</w:t>
      </w:r>
      <w:r w:rsidRPr="006A642B">
        <w:rPr>
          <w:rFonts w:ascii="Calibri" w:eastAsia="黑体" w:hAnsi="黑体"/>
          <w:color w:val="auto"/>
        </w:rPr>
        <w:t>-</w:t>
      </w:r>
      <w:r>
        <w:rPr>
          <w:rFonts w:ascii="Calibri" w:eastAsia="黑体" w:hAnsi="黑体"/>
          <w:color w:val="auto"/>
        </w:rPr>
        <w:t>7</w:t>
      </w:r>
      <w:r w:rsidRPr="006A642B">
        <w:rPr>
          <w:rFonts w:ascii="Calibri" w:eastAsia="黑体" w:hAnsi="黑体"/>
          <w:color w:val="auto"/>
        </w:rPr>
        <w:t xml:space="preserve">   </w:t>
      </w:r>
      <w:r w:rsidRPr="006A642B">
        <w:rPr>
          <w:rFonts w:ascii="Calibri" w:eastAsia="黑体" w:hAnsi="黑体" w:hint="eastAsia"/>
          <w:color w:val="auto"/>
        </w:rPr>
        <w:t xml:space="preserve">          </w:t>
      </w:r>
      <w:r w:rsidRPr="006A642B">
        <w:rPr>
          <w:rFonts w:ascii="Calibri" w:eastAsia="黑体" w:hAnsi="黑体" w:hint="eastAsia"/>
          <w:color w:val="auto"/>
        </w:rPr>
        <w:t>土壤理化性质调查表（</w:t>
      </w:r>
      <w:r>
        <w:rPr>
          <w:rFonts w:ascii="Calibri" w:eastAsia="黑体" w:hAnsi="黑体" w:hint="eastAsia"/>
          <w:color w:val="auto"/>
        </w:rPr>
        <w:t>二</w:t>
      </w:r>
      <w:r w:rsidRPr="006A642B">
        <w:rPr>
          <w:rFonts w:ascii="Calibri" w:eastAsia="黑体" w:hAnsi="黑体" w:hint="eastAsia"/>
          <w:color w:val="auto"/>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23"/>
        <w:gridCol w:w="1771"/>
        <w:gridCol w:w="851"/>
        <w:gridCol w:w="1190"/>
        <w:gridCol w:w="1198"/>
        <w:gridCol w:w="1532"/>
        <w:gridCol w:w="1532"/>
      </w:tblGrid>
      <w:tr w:rsidR="00E1389D" w14:paraId="4975EA8C" w14:textId="77777777" w:rsidTr="00F7756F">
        <w:trPr>
          <w:trHeight w:val="397"/>
          <w:jc w:val="center"/>
        </w:trPr>
        <w:tc>
          <w:tcPr>
            <w:tcW w:w="1377" w:type="pct"/>
            <w:gridSpan w:val="2"/>
            <w:vAlign w:val="center"/>
          </w:tcPr>
          <w:p w14:paraId="50F07D3E"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采样点位</w:t>
            </w:r>
          </w:p>
        </w:tc>
        <w:tc>
          <w:tcPr>
            <w:tcW w:w="1862" w:type="pct"/>
            <w:gridSpan w:val="3"/>
            <w:vAlign w:val="center"/>
          </w:tcPr>
          <w:p w14:paraId="3501A68A"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4#</w:t>
            </w:r>
            <w:r w:rsidRPr="006A642B">
              <w:rPr>
                <w:rFonts w:asciiTheme="minorHAnsi" w:eastAsiaTheme="minorEastAsia" w:hAnsiTheme="minorHAnsi" w:cs="Times New Roman"/>
                <w:bCs/>
                <w:color w:val="auto"/>
                <w:szCs w:val="21"/>
              </w:rPr>
              <w:t>废水处理站</w:t>
            </w:r>
          </w:p>
        </w:tc>
        <w:tc>
          <w:tcPr>
            <w:tcW w:w="881" w:type="pct"/>
            <w:vAlign w:val="center"/>
          </w:tcPr>
          <w:p w14:paraId="1B5ECF02"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5#</w:t>
            </w:r>
            <w:r w:rsidRPr="006A642B">
              <w:rPr>
                <w:rFonts w:asciiTheme="minorHAnsi" w:eastAsiaTheme="minorEastAsia" w:hAnsiTheme="minorHAnsi" w:cs="Times New Roman"/>
                <w:bCs/>
                <w:color w:val="auto"/>
                <w:szCs w:val="21"/>
              </w:rPr>
              <w:t>厂区北侧现状农田</w:t>
            </w:r>
          </w:p>
        </w:tc>
        <w:tc>
          <w:tcPr>
            <w:tcW w:w="881" w:type="pct"/>
            <w:vAlign w:val="center"/>
          </w:tcPr>
          <w:p w14:paraId="1F382F29"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6#</w:t>
            </w:r>
            <w:r w:rsidRPr="006A642B">
              <w:rPr>
                <w:rFonts w:asciiTheme="minorHAnsi" w:eastAsiaTheme="minorEastAsia" w:hAnsiTheme="minorHAnsi" w:cs="Times New Roman"/>
                <w:bCs/>
                <w:color w:val="auto"/>
                <w:szCs w:val="21"/>
              </w:rPr>
              <w:t>厂区西侧现状农田</w:t>
            </w:r>
          </w:p>
        </w:tc>
      </w:tr>
      <w:tr w:rsidR="00E1389D" w14:paraId="68DAD322" w14:textId="77777777" w:rsidTr="00F7756F">
        <w:trPr>
          <w:trHeight w:val="397"/>
          <w:jc w:val="center"/>
        </w:trPr>
        <w:tc>
          <w:tcPr>
            <w:tcW w:w="1377" w:type="pct"/>
            <w:gridSpan w:val="2"/>
            <w:vAlign w:val="center"/>
          </w:tcPr>
          <w:p w14:paraId="4BB3CE9B"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坐标</w:t>
            </w:r>
          </w:p>
        </w:tc>
        <w:tc>
          <w:tcPr>
            <w:tcW w:w="1862" w:type="pct"/>
            <w:gridSpan w:val="3"/>
            <w:vAlign w:val="center"/>
          </w:tcPr>
          <w:p w14:paraId="4C09F0AA" w14:textId="77777777" w:rsidR="00E1389D" w:rsidRPr="006A642B" w:rsidRDefault="00E1389D" w:rsidP="00F7756F">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E113°26′46.49"</w:t>
            </w:r>
          </w:p>
          <w:p w14:paraId="34629A3A" w14:textId="77777777" w:rsidR="00E1389D" w:rsidRPr="006A642B" w:rsidRDefault="00E1389D" w:rsidP="00F7756F">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N33°40′44.81"</w:t>
            </w:r>
          </w:p>
        </w:tc>
        <w:tc>
          <w:tcPr>
            <w:tcW w:w="881" w:type="pct"/>
            <w:vAlign w:val="center"/>
          </w:tcPr>
          <w:p w14:paraId="45C36F33" w14:textId="77777777" w:rsidR="00E1389D" w:rsidRPr="006A642B" w:rsidRDefault="00E1389D" w:rsidP="00F7756F">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E113°26′43.40"</w:t>
            </w:r>
          </w:p>
          <w:p w14:paraId="758DBFFB" w14:textId="77777777" w:rsidR="00E1389D" w:rsidRPr="006A642B" w:rsidRDefault="00E1389D" w:rsidP="00F7756F">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N33°40′57.83"</w:t>
            </w:r>
          </w:p>
        </w:tc>
        <w:tc>
          <w:tcPr>
            <w:tcW w:w="881" w:type="pct"/>
            <w:vAlign w:val="center"/>
          </w:tcPr>
          <w:p w14:paraId="5A0AF2D3" w14:textId="77777777" w:rsidR="00E1389D" w:rsidRPr="006A642B" w:rsidRDefault="00E1389D" w:rsidP="00F7756F">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E113°26′37.37"</w:t>
            </w:r>
          </w:p>
          <w:p w14:paraId="71125F31" w14:textId="77777777" w:rsidR="00E1389D" w:rsidRPr="006A642B" w:rsidRDefault="00E1389D" w:rsidP="00F7756F">
            <w:pPr>
              <w:pStyle w:val="27"/>
              <w:spacing w:line="240" w:lineRule="auto"/>
              <w:jc w:val="center"/>
              <w:rPr>
                <w:rFonts w:asciiTheme="minorHAnsi" w:hAnsiTheme="minorHAnsi" w:cs="Times New Roman"/>
                <w:color w:val="auto"/>
                <w:szCs w:val="21"/>
              </w:rPr>
            </w:pPr>
            <w:r w:rsidRPr="006A642B">
              <w:rPr>
                <w:rFonts w:asciiTheme="minorHAnsi" w:hAnsiTheme="minorHAnsi" w:cs="Times New Roman"/>
                <w:color w:val="auto"/>
                <w:szCs w:val="21"/>
              </w:rPr>
              <w:t>N33°40′51.92"</w:t>
            </w:r>
          </w:p>
        </w:tc>
      </w:tr>
      <w:tr w:rsidR="00E1389D" w14:paraId="1FCE8E71" w14:textId="77777777" w:rsidTr="00F7756F">
        <w:trPr>
          <w:trHeight w:val="397"/>
          <w:jc w:val="center"/>
        </w:trPr>
        <w:tc>
          <w:tcPr>
            <w:tcW w:w="1377" w:type="pct"/>
            <w:gridSpan w:val="2"/>
            <w:vAlign w:val="center"/>
          </w:tcPr>
          <w:p w14:paraId="2DE2B4C4"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采样时间</w:t>
            </w:r>
          </w:p>
        </w:tc>
        <w:tc>
          <w:tcPr>
            <w:tcW w:w="1862" w:type="pct"/>
            <w:gridSpan w:val="3"/>
            <w:vAlign w:val="center"/>
          </w:tcPr>
          <w:p w14:paraId="6D3D8EE1"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2022.07.29</w:t>
            </w:r>
          </w:p>
        </w:tc>
        <w:tc>
          <w:tcPr>
            <w:tcW w:w="881" w:type="pct"/>
            <w:vAlign w:val="center"/>
          </w:tcPr>
          <w:p w14:paraId="6D9F391C" w14:textId="77777777" w:rsidR="00E1389D" w:rsidRPr="006A642B" w:rsidRDefault="00E1389D" w:rsidP="00F7756F">
            <w:pPr>
              <w:widowControl/>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2022.07.29</w:t>
            </w:r>
          </w:p>
        </w:tc>
        <w:tc>
          <w:tcPr>
            <w:tcW w:w="881" w:type="pct"/>
            <w:vAlign w:val="center"/>
          </w:tcPr>
          <w:p w14:paraId="105ECC41" w14:textId="77777777" w:rsidR="00E1389D" w:rsidRPr="006A642B" w:rsidRDefault="00E1389D" w:rsidP="00F7756F">
            <w:pPr>
              <w:widowControl/>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2022.07.29</w:t>
            </w:r>
          </w:p>
        </w:tc>
      </w:tr>
      <w:tr w:rsidR="00E1389D" w14:paraId="234C7A30" w14:textId="77777777" w:rsidTr="00F7756F">
        <w:trPr>
          <w:trHeight w:val="397"/>
          <w:jc w:val="center"/>
        </w:trPr>
        <w:tc>
          <w:tcPr>
            <w:tcW w:w="1377" w:type="pct"/>
            <w:gridSpan w:val="2"/>
            <w:vAlign w:val="center"/>
          </w:tcPr>
          <w:p w14:paraId="523B3AB3"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层次</w:t>
            </w:r>
          </w:p>
        </w:tc>
        <w:tc>
          <w:tcPr>
            <w:tcW w:w="489" w:type="pct"/>
            <w:vAlign w:val="center"/>
          </w:tcPr>
          <w:p w14:paraId="4547C0F7" w14:textId="77777777" w:rsidR="00E1389D" w:rsidRPr="006A642B" w:rsidRDefault="00E1389D" w:rsidP="00F7756F">
            <w:pPr>
              <w:widowControl/>
              <w:snapToGrid w:val="0"/>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0</w:t>
            </w:r>
            <w:r w:rsidRPr="006A642B">
              <w:rPr>
                <w:rFonts w:asciiTheme="minorHAnsi" w:hAnsiTheme="minorHAnsi" w:cs="Times New Roman"/>
                <w:color w:val="auto"/>
                <w:szCs w:val="21"/>
              </w:rPr>
              <w:t>～</w:t>
            </w:r>
            <w:r w:rsidRPr="006A642B">
              <w:rPr>
                <w:rFonts w:asciiTheme="minorHAnsi" w:eastAsiaTheme="minorEastAsia" w:hAnsiTheme="minorHAnsi" w:cs="Times New Roman"/>
                <w:bCs/>
                <w:color w:val="auto"/>
                <w:szCs w:val="21"/>
              </w:rPr>
              <w:t>0.5m</w:t>
            </w:r>
          </w:p>
        </w:tc>
        <w:tc>
          <w:tcPr>
            <w:tcW w:w="684" w:type="pct"/>
            <w:vAlign w:val="center"/>
          </w:tcPr>
          <w:p w14:paraId="6CC298B2" w14:textId="77777777" w:rsidR="00E1389D" w:rsidRPr="006A642B" w:rsidRDefault="00E1389D" w:rsidP="00F7756F">
            <w:pPr>
              <w:widowControl/>
              <w:snapToGrid w:val="0"/>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0.5m</w:t>
            </w:r>
            <w:r w:rsidRPr="006A642B">
              <w:rPr>
                <w:rFonts w:asciiTheme="minorHAnsi" w:hAnsiTheme="minorHAnsi" w:cs="Times New Roman"/>
                <w:color w:val="auto"/>
                <w:szCs w:val="21"/>
              </w:rPr>
              <w:t>～</w:t>
            </w:r>
            <w:r w:rsidRPr="006A642B">
              <w:rPr>
                <w:rFonts w:asciiTheme="minorHAnsi" w:eastAsiaTheme="minorEastAsia" w:hAnsiTheme="minorHAnsi" w:cs="Times New Roman"/>
                <w:bCs/>
                <w:color w:val="auto"/>
                <w:szCs w:val="21"/>
              </w:rPr>
              <w:t>1.5m</w:t>
            </w:r>
          </w:p>
        </w:tc>
        <w:tc>
          <w:tcPr>
            <w:tcW w:w="688" w:type="pct"/>
            <w:vAlign w:val="center"/>
          </w:tcPr>
          <w:p w14:paraId="0068E41F" w14:textId="77777777" w:rsidR="00E1389D" w:rsidRPr="006A642B" w:rsidRDefault="00E1389D" w:rsidP="00F7756F">
            <w:pPr>
              <w:widowControl/>
              <w:snapToGrid w:val="0"/>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1.5m</w:t>
            </w:r>
            <w:r w:rsidRPr="006A642B">
              <w:rPr>
                <w:rFonts w:asciiTheme="minorHAnsi" w:hAnsiTheme="minorHAnsi" w:cs="Times New Roman"/>
                <w:color w:val="auto"/>
                <w:szCs w:val="21"/>
              </w:rPr>
              <w:t>～</w:t>
            </w:r>
            <w:r w:rsidRPr="006A642B">
              <w:rPr>
                <w:rFonts w:asciiTheme="minorHAnsi" w:eastAsiaTheme="minorEastAsia" w:hAnsiTheme="minorHAnsi" w:cs="Times New Roman"/>
                <w:bCs/>
                <w:color w:val="auto"/>
                <w:szCs w:val="21"/>
              </w:rPr>
              <w:t>3m</w:t>
            </w:r>
          </w:p>
        </w:tc>
        <w:tc>
          <w:tcPr>
            <w:tcW w:w="881" w:type="pct"/>
            <w:vAlign w:val="center"/>
          </w:tcPr>
          <w:p w14:paraId="53042BB0"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0</w:t>
            </w:r>
            <w:r w:rsidRPr="006A642B">
              <w:rPr>
                <w:rFonts w:asciiTheme="minorHAnsi" w:hAnsiTheme="minorHAnsi" w:cs="Times New Roman"/>
                <w:color w:val="auto"/>
                <w:szCs w:val="21"/>
              </w:rPr>
              <w:t>～</w:t>
            </w:r>
            <w:r w:rsidRPr="006A642B">
              <w:rPr>
                <w:rFonts w:asciiTheme="minorHAnsi" w:eastAsiaTheme="minorEastAsia" w:hAnsiTheme="minorHAnsi" w:cs="Times New Roman"/>
                <w:bCs/>
                <w:color w:val="auto"/>
                <w:szCs w:val="21"/>
              </w:rPr>
              <w:t>0.2m</w:t>
            </w:r>
          </w:p>
        </w:tc>
        <w:tc>
          <w:tcPr>
            <w:tcW w:w="881" w:type="pct"/>
            <w:vAlign w:val="center"/>
          </w:tcPr>
          <w:p w14:paraId="620CE224"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0</w:t>
            </w:r>
            <w:r w:rsidRPr="006A642B">
              <w:rPr>
                <w:rFonts w:asciiTheme="minorHAnsi" w:hAnsiTheme="minorHAnsi" w:cs="Times New Roman"/>
                <w:color w:val="auto"/>
                <w:szCs w:val="21"/>
              </w:rPr>
              <w:t>～</w:t>
            </w:r>
            <w:r w:rsidRPr="006A642B">
              <w:rPr>
                <w:rFonts w:asciiTheme="minorHAnsi" w:eastAsiaTheme="minorEastAsia" w:hAnsiTheme="minorHAnsi" w:cs="Times New Roman"/>
                <w:bCs/>
                <w:color w:val="auto"/>
                <w:szCs w:val="21"/>
              </w:rPr>
              <w:t>0.2m</w:t>
            </w:r>
          </w:p>
        </w:tc>
      </w:tr>
      <w:tr w:rsidR="00E1389D" w14:paraId="2BE68674" w14:textId="77777777" w:rsidTr="00F7756F">
        <w:trPr>
          <w:trHeight w:val="397"/>
          <w:jc w:val="center"/>
        </w:trPr>
        <w:tc>
          <w:tcPr>
            <w:tcW w:w="359" w:type="pct"/>
            <w:vMerge w:val="restart"/>
            <w:textDirection w:val="tbRlV"/>
            <w:vAlign w:val="center"/>
          </w:tcPr>
          <w:p w14:paraId="47F8479F"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现</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场</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记</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录</w:t>
            </w:r>
          </w:p>
        </w:tc>
        <w:tc>
          <w:tcPr>
            <w:tcW w:w="1018" w:type="pct"/>
            <w:vAlign w:val="center"/>
          </w:tcPr>
          <w:p w14:paraId="1AE083D8"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颜色</w:t>
            </w:r>
          </w:p>
        </w:tc>
        <w:tc>
          <w:tcPr>
            <w:tcW w:w="489" w:type="pct"/>
            <w:vAlign w:val="center"/>
          </w:tcPr>
          <w:p w14:paraId="322EAA38"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684" w:type="pct"/>
            <w:vAlign w:val="center"/>
          </w:tcPr>
          <w:p w14:paraId="4344FB63"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688" w:type="pct"/>
            <w:vAlign w:val="center"/>
          </w:tcPr>
          <w:p w14:paraId="486CE506"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881" w:type="pct"/>
            <w:vAlign w:val="center"/>
          </w:tcPr>
          <w:p w14:paraId="149AEBC7"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c>
          <w:tcPr>
            <w:tcW w:w="881" w:type="pct"/>
            <w:vAlign w:val="center"/>
          </w:tcPr>
          <w:p w14:paraId="1653E78B"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黄褐色</w:t>
            </w:r>
          </w:p>
        </w:tc>
      </w:tr>
      <w:tr w:rsidR="00E1389D" w14:paraId="58E58E75" w14:textId="77777777" w:rsidTr="00F7756F">
        <w:trPr>
          <w:trHeight w:val="397"/>
          <w:jc w:val="center"/>
        </w:trPr>
        <w:tc>
          <w:tcPr>
            <w:tcW w:w="359" w:type="pct"/>
            <w:vMerge/>
            <w:vAlign w:val="center"/>
          </w:tcPr>
          <w:p w14:paraId="45C0EA81"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14F132F4"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质地</w:t>
            </w:r>
          </w:p>
        </w:tc>
        <w:tc>
          <w:tcPr>
            <w:tcW w:w="489" w:type="pct"/>
            <w:vAlign w:val="center"/>
          </w:tcPr>
          <w:p w14:paraId="043C7730"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684" w:type="pct"/>
            <w:vAlign w:val="center"/>
          </w:tcPr>
          <w:p w14:paraId="1EB516ED"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688" w:type="pct"/>
            <w:vAlign w:val="center"/>
          </w:tcPr>
          <w:p w14:paraId="243D3533"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881" w:type="pct"/>
            <w:vAlign w:val="center"/>
          </w:tcPr>
          <w:p w14:paraId="5B2EBAB8"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c>
          <w:tcPr>
            <w:tcW w:w="881" w:type="pct"/>
            <w:vAlign w:val="center"/>
          </w:tcPr>
          <w:p w14:paraId="2ABE12D7"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壤土</w:t>
            </w:r>
          </w:p>
        </w:tc>
      </w:tr>
      <w:tr w:rsidR="00E1389D" w14:paraId="7CADB359" w14:textId="77777777" w:rsidTr="00F7756F">
        <w:trPr>
          <w:trHeight w:val="397"/>
          <w:jc w:val="center"/>
        </w:trPr>
        <w:tc>
          <w:tcPr>
            <w:tcW w:w="359" w:type="pct"/>
            <w:vMerge/>
            <w:vAlign w:val="center"/>
          </w:tcPr>
          <w:p w14:paraId="7996FBDD"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30493390"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砂砾含量</w:t>
            </w:r>
          </w:p>
        </w:tc>
        <w:tc>
          <w:tcPr>
            <w:tcW w:w="489" w:type="pct"/>
            <w:vAlign w:val="center"/>
          </w:tcPr>
          <w:p w14:paraId="034BF2E8"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w:t>
            </w:r>
          </w:p>
        </w:tc>
        <w:tc>
          <w:tcPr>
            <w:tcW w:w="684" w:type="pct"/>
            <w:vAlign w:val="center"/>
          </w:tcPr>
          <w:p w14:paraId="13B26EB9"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w:t>
            </w:r>
          </w:p>
        </w:tc>
        <w:tc>
          <w:tcPr>
            <w:tcW w:w="688" w:type="pct"/>
            <w:vAlign w:val="center"/>
          </w:tcPr>
          <w:p w14:paraId="3F4E6AC7"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10%</w:t>
            </w:r>
          </w:p>
        </w:tc>
        <w:tc>
          <w:tcPr>
            <w:tcW w:w="881" w:type="pct"/>
            <w:vAlign w:val="center"/>
          </w:tcPr>
          <w:p w14:paraId="3E632E48"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8%</w:t>
            </w:r>
          </w:p>
        </w:tc>
        <w:tc>
          <w:tcPr>
            <w:tcW w:w="881" w:type="pct"/>
            <w:vAlign w:val="center"/>
          </w:tcPr>
          <w:p w14:paraId="7DF35FC3"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12%</w:t>
            </w:r>
          </w:p>
        </w:tc>
      </w:tr>
      <w:tr w:rsidR="00E1389D" w14:paraId="6222EC13" w14:textId="77777777" w:rsidTr="00F7756F">
        <w:trPr>
          <w:trHeight w:val="397"/>
          <w:jc w:val="center"/>
        </w:trPr>
        <w:tc>
          <w:tcPr>
            <w:tcW w:w="359" w:type="pct"/>
            <w:vMerge/>
            <w:vAlign w:val="center"/>
          </w:tcPr>
          <w:p w14:paraId="2EC652BF"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09613525"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其他异物</w:t>
            </w:r>
          </w:p>
        </w:tc>
        <w:tc>
          <w:tcPr>
            <w:tcW w:w="489" w:type="pct"/>
            <w:vAlign w:val="center"/>
          </w:tcPr>
          <w:p w14:paraId="7140720D" w14:textId="77777777" w:rsidR="00E1389D" w:rsidRPr="006A642B" w:rsidRDefault="00E1389D" w:rsidP="00F7756F">
            <w:pPr>
              <w:widowControl/>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684" w:type="pct"/>
            <w:vAlign w:val="center"/>
          </w:tcPr>
          <w:p w14:paraId="506463F8" w14:textId="77777777" w:rsidR="00E1389D" w:rsidRPr="006A642B" w:rsidRDefault="00E1389D" w:rsidP="00F7756F">
            <w:pPr>
              <w:widowControl/>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688" w:type="pct"/>
            <w:vAlign w:val="center"/>
          </w:tcPr>
          <w:p w14:paraId="365BF5B0" w14:textId="77777777" w:rsidR="00E1389D" w:rsidRPr="006A642B" w:rsidRDefault="00E1389D" w:rsidP="00F7756F">
            <w:pPr>
              <w:widowControl/>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881" w:type="pct"/>
            <w:vAlign w:val="center"/>
          </w:tcPr>
          <w:p w14:paraId="00ED3D8E" w14:textId="77777777" w:rsidR="00E1389D" w:rsidRPr="006A642B" w:rsidRDefault="00E1389D" w:rsidP="00F7756F">
            <w:pPr>
              <w:widowControl/>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c>
          <w:tcPr>
            <w:tcW w:w="881" w:type="pct"/>
            <w:vAlign w:val="center"/>
          </w:tcPr>
          <w:p w14:paraId="285F112E" w14:textId="77777777" w:rsidR="00E1389D" w:rsidRPr="006A642B" w:rsidRDefault="00E1389D" w:rsidP="00F7756F">
            <w:pPr>
              <w:widowControl/>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植物根系</w:t>
            </w:r>
          </w:p>
        </w:tc>
      </w:tr>
      <w:tr w:rsidR="00E1389D" w14:paraId="728F2377" w14:textId="77777777" w:rsidTr="00F7756F">
        <w:trPr>
          <w:trHeight w:val="397"/>
          <w:jc w:val="center"/>
        </w:trPr>
        <w:tc>
          <w:tcPr>
            <w:tcW w:w="359" w:type="pct"/>
            <w:vMerge w:val="restart"/>
            <w:textDirection w:val="tbRlV"/>
            <w:vAlign w:val="center"/>
          </w:tcPr>
          <w:p w14:paraId="70C77C7D"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实</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验</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室</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测</w:t>
            </w:r>
            <w:r w:rsidRPr="006A642B">
              <w:rPr>
                <w:rFonts w:asciiTheme="minorHAnsi" w:eastAsiaTheme="minorEastAsia" w:hAnsiTheme="minorHAnsi" w:cs="Times New Roman"/>
                <w:bCs/>
                <w:color w:val="auto"/>
                <w:szCs w:val="21"/>
              </w:rPr>
              <w:t xml:space="preserve"> </w:t>
            </w:r>
            <w:r w:rsidRPr="006A642B">
              <w:rPr>
                <w:rFonts w:asciiTheme="minorHAnsi" w:eastAsiaTheme="minorEastAsia" w:hAnsiTheme="minorHAnsi" w:cs="Times New Roman"/>
                <w:bCs/>
                <w:color w:val="auto"/>
                <w:szCs w:val="21"/>
              </w:rPr>
              <w:t>定</w:t>
            </w:r>
          </w:p>
        </w:tc>
        <w:tc>
          <w:tcPr>
            <w:tcW w:w="1018" w:type="pct"/>
            <w:vAlign w:val="center"/>
          </w:tcPr>
          <w:p w14:paraId="2FFFB901"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pH</w:t>
            </w:r>
            <w:r w:rsidRPr="006A642B">
              <w:rPr>
                <w:rFonts w:asciiTheme="minorHAnsi" w:eastAsiaTheme="minorEastAsia" w:hAnsiTheme="minorHAnsi" w:cs="Times New Roman"/>
                <w:bCs/>
                <w:color w:val="auto"/>
                <w:szCs w:val="21"/>
              </w:rPr>
              <w:t>值（无量纲）</w:t>
            </w:r>
          </w:p>
        </w:tc>
        <w:tc>
          <w:tcPr>
            <w:tcW w:w="489" w:type="pct"/>
            <w:vAlign w:val="center"/>
          </w:tcPr>
          <w:p w14:paraId="00691CEE"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7.44</w:t>
            </w:r>
          </w:p>
        </w:tc>
        <w:tc>
          <w:tcPr>
            <w:tcW w:w="684" w:type="pct"/>
            <w:vAlign w:val="center"/>
          </w:tcPr>
          <w:p w14:paraId="5B878776"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7.46</w:t>
            </w:r>
          </w:p>
        </w:tc>
        <w:tc>
          <w:tcPr>
            <w:tcW w:w="688" w:type="pct"/>
            <w:vAlign w:val="center"/>
          </w:tcPr>
          <w:p w14:paraId="7964B220"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7.45</w:t>
            </w:r>
          </w:p>
        </w:tc>
        <w:tc>
          <w:tcPr>
            <w:tcW w:w="881" w:type="pct"/>
            <w:vAlign w:val="center"/>
          </w:tcPr>
          <w:p w14:paraId="2712724F"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7.55</w:t>
            </w:r>
          </w:p>
        </w:tc>
        <w:tc>
          <w:tcPr>
            <w:tcW w:w="881" w:type="pct"/>
            <w:vAlign w:val="center"/>
          </w:tcPr>
          <w:p w14:paraId="09B7FDC5"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7.59</w:t>
            </w:r>
          </w:p>
        </w:tc>
      </w:tr>
      <w:tr w:rsidR="00E1389D" w14:paraId="7EB2665B" w14:textId="77777777" w:rsidTr="00F7756F">
        <w:trPr>
          <w:trHeight w:val="397"/>
          <w:jc w:val="center"/>
        </w:trPr>
        <w:tc>
          <w:tcPr>
            <w:tcW w:w="359" w:type="pct"/>
            <w:vMerge/>
            <w:textDirection w:val="tbRlV"/>
            <w:vAlign w:val="center"/>
          </w:tcPr>
          <w:p w14:paraId="78506F35"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40C74282"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阳离子交换量</w:t>
            </w:r>
          </w:p>
          <w:p w14:paraId="374F519D"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w:t>
            </w:r>
            <w:r w:rsidRPr="006A642B">
              <w:rPr>
                <w:rFonts w:asciiTheme="minorHAnsi" w:eastAsiaTheme="minorEastAsia" w:hAnsiTheme="minorHAnsi" w:cs="Times New Roman"/>
                <w:bCs/>
                <w:color w:val="auto"/>
                <w:szCs w:val="21"/>
              </w:rPr>
              <w:t>cmol+/kg</w:t>
            </w:r>
            <w:r w:rsidRPr="006A642B">
              <w:rPr>
                <w:rFonts w:asciiTheme="minorHAnsi" w:eastAsiaTheme="minorEastAsia" w:hAnsiTheme="minorHAnsi" w:cs="Times New Roman"/>
                <w:bCs/>
                <w:color w:val="auto"/>
                <w:szCs w:val="21"/>
              </w:rPr>
              <w:t>）</w:t>
            </w:r>
          </w:p>
        </w:tc>
        <w:tc>
          <w:tcPr>
            <w:tcW w:w="489" w:type="pct"/>
            <w:vAlign w:val="center"/>
          </w:tcPr>
          <w:p w14:paraId="78FACC73"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13.6</w:t>
            </w:r>
          </w:p>
        </w:tc>
        <w:tc>
          <w:tcPr>
            <w:tcW w:w="684" w:type="pct"/>
            <w:vAlign w:val="center"/>
          </w:tcPr>
          <w:p w14:paraId="48823E81"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11.7</w:t>
            </w:r>
          </w:p>
        </w:tc>
        <w:tc>
          <w:tcPr>
            <w:tcW w:w="688" w:type="pct"/>
            <w:vAlign w:val="center"/>
          </w:tcPr>
          <w:p w14:paraId="47A4B5E7"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11.5</w:t>
            </w:r>
          </w:p>
        </w:tc>
        <w:tc>
          <w:tcPr>
            <w:tcW w:w="881" w:type="pct"/>
            <w:vAlign w:val="center"/>
          </w:tcPr>
          <w:p w14:paraId="14E32CFF"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13.6</w:t>
            </w:r>
          </w:p>
        </w:tc>
        <w:tc>
          <w:tcPr>
            <w:tcW w:w="881" w:type="pct"/>
            <w:vAlign w:val="center"/>
          </w:tcPr>
          <w:p w14:paraId="6A41F073"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12.2</w:t>
            </w:r>
          </w:p>
        </w:tc>
      </w:tr>
      <w:tr w:rsidR="00E1389D" w14:paraId="40A9CA86" w14:textId="77777777" w:rsidTr="00F7756F">
        <w:trPr>
          <w:trHeight w:val="397"/>
          <w:jc w:val="center"/>
        </w:trPr>
        <w:tc>
          <w:tcPr>
            <w:tcW w:w="359" w:type="pct"/>
            <w:vMerge/>
            <w:vAlign w:val="center"/>
          </w:tcPr>
          <w:p w14:paraId="1D0DB78F"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32479E39"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氧化还原电位</w:t>
            </w:r>
          </w:p>
          <w:p w14:paraId="008DD02B"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w:t>
            </w:r>
            <w:r w:rsidRPr="006A642B">
              <w:rPr>
                <w:rFonts w:asciiTheme="minorHAnsi" w:eastAsiaTheme="minorEastAsia" w:hAnsiTheme="minorHAnsi" w:cs="Times New Roman"/>
                <w:bCs/>
                <w:color w:val="auto"/>
                <w:szCs w:val="21"/>
              </w:rPr>
              <w:t>mv</w:t>
            </w:r>
            <w:r w:rsidRPr="006A642B">
              <w:rPr>
                <w:rFonts w:asciiTheme="minorHAnsi" w:eastAsiaTheme="minorEastAsia" w:hAnsiTheme="minorHAnsi" w:cs="Times New Roman"/>
                <w:bCs/>
                <w:color w:val="auto"/>
                <w:szCs w:val="21"/>
              </w:rPr>
              <w:t>）</w:t>
            </w:r>
          </w:p>
        </w:tc>
        <w:tc>
          <w:tcPr>
            <w:tcW w:w="489" w:type="pct"/>
            <w:vAlign w:val="center"/>
          </w:tcPr>
          <w:p w14:paraId="5B77C4D5"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316</w:t>
            </w:r>
          </w:p>
        </w:tc>
        <w:tc>
          <w:tcPr>
            <w:tcW w:w="684" w:type="pct"/>
            <w:vAlign w:val="center"/>
          </w:tcPr>
          <w:p w14:paraId="1CC6F699"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312</w:t>
            </w:r>
          </w:p>
        </w:tc>
        <w:tc>
          <w:tcPr>
            <w:tcW w:w="688" w:type="pct"/>
            <w:vAlign w:val="center"/>
          </w:tcPr>
          <w:p w14:paraId="17EF1B02"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317</w:t>
            </w:r>
          </w:p>
        </w:tc>
        <w:tc>
          <w:tcPr>
            <w:tcW w:w="881" w:type="pct"/>
            <w:vAlign w:val="center"/>
          </w:tcPr>
          <w:p w14:paraId="4AEBE3E2"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308</w:t>
            </w:r>
          </w:p>
        </w:tc>
        <w:tc>
          <w:tcPr>
            <w:tcW w:w="881" w:type="pct"/>
            <w:vAlign w:val="center"/>
          </w:tcPr>
          <w:p w14:paraId="56922BDE"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323</w:t>
            </w:r>
          </w:p>
        </w:tc>
      </w:tr>
      <w:tr w:rsidR="00E1389D" w14:paraId="06A6E4CE" w14:textId="77777777" w:rsidTr="00F7756F">
        <w:trPr>
          <w:trHeight w:val="397"/>
          <w:jc w:val="center"/>
        </w:trPr>
        <w:tc>
          <w:tcPr>
            <w:tcW w:w="359" w:type="pct"/>
            <w:vMerge/>
            <w:vAlign w:val="center"/>
          </w:tcPr>
          <w:p w14:paraId="4CCB5F94"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311E95FF"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饱和导水率</w:t>
            </w:r>
          </w:p>
          <w:p w14:paraId="7D6D1A52"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w:t>
            </w:r>
            <w:r w:rsidRPr="006A642B">
              <w:rPr>
                <w:rFonts w:asciiTheme="minorHAnsi" w:eastAsiaTheme="minorEastAsia" w:hAnsiTheme="minorHAnsi" w:cs="Times New Roman"/>
                <w:bCs/>
                <w:color w:val="auto"/>
                <w:szCs w:val="21"/>
              </w:rPr>
              <w:t>cm/s</w:t>
            </w:r>
            <w:r w:rsidRPr="006A642B">
              <w:rPr>
                <w:rFonts w:asciiTheme="minorHAnsi" w:eastAsiaTheme="minorEastAsia" w:hAnsiTheme="minorHAnsi" w:cs="Times New Roman"/>
                <w:bCs/>
                <w:color w:val="auto"/>
                <w:szCs w:val="21"/>
              </w:rPr>
              <w:t>）</w:t>
            </w:r>
          </w:p>
        </w:tc>
        <w:tc>
          <w:tcPr>
            <w:tcW w:w="489" w:type="pct"/>
            <w:vAlign w:val="center"/>
          </w:tcPr>
          <w:p w14:paraId="5D97AEF4"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1.16</w:t>
            </w:r>
          </w:p>
        </w:tc>
        <w:tc>
          <w:tcPr>
            <w:tcW w:w="684" w:type="pct"/>
            <w:vAlign w:val="center"/>
          </w:tcPr>
          <w:p w14:paraId="1F1FA786"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1.21</w:t>
            </w:r>
          </w:p>
        </w:tc>
        <w:tc>
          <w:tcPr>
            <w:tcW w:w="688" w:type="pct"/>
            <w:vAlign w:val="center"/>
          </w:tcPr>
          <w:p w14:paraId="1C6A9434"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1.11</w:t>
            </w:r>
          </w:p>
        </w:tc>
        <w:tc>
          <w:tcPr>
            <w:tcW w:w="881" w:type="pct"/>
            <w:vAlign w:val="center"/>
          </w:tcPr>
          <w:p w14:paraId="3FC43E2C"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1.08</w:t>
            </w:r>
          </w:p>
        </w:tc>
        <w:tc>
          <w:tcPr>
            <w:tcW w:w="881" w:type="pct"/>
            <w:vAlign w:val="center"/>
          </w:tcPr>
          <w:p w14:paraId="6691E90F"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1.04</w:t>
            </w:r>
          </w:p>
        </w:tc>
      </w:tr>
      <w:tr w:rsidR="00E1389D" w14:paraId="4B96AADF" w14:textId="77777777" w:rsidTr="00F7756F">
        <w:trPr>
          <w:trHeight w:val="397"/>
          <w:jc w:val="center"/>
        </w:trPr>
        <w:tc>
          <w:tcPr>
            <w:tcW w:w="359" w:type="pct"/>
            <w:vMerge/>
            <w:vAlign w:val="center"/>
          </w:tcPr>
          <w:p w14:paraId="4BA46C15"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7DD332C6"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土壤容重</w:t>
            </w:r>
          </w:p>
          <w:p w14:paraId="2A4FCB45"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hint="eastAsia"/>
                <w:bCs/>
                <w:color w:val="auto"/>
                <w:szCs w:val="21"/>
              </w:rPr>
              <w:t>（</w:t>
            </w:r>
            <w:r w:rsidRPr="006A642B">
              <w:rPr>
                <w:rFonts w:asciiTheme="minorHAnsi" w:eastAsiaTheme="minorEastAsia" w:hAnsiTheme="minorHAnsi" w:cs="Times New Roman"/>
                <w:bCs/>
                <w:color w:val="auto"/>
                <w:szCs w:val="21"/>
              </w:rPr>
              <w:t>g/cm</w:t>
            </w:r>
            <w:r w:rsidRPr="006A642B">
              <w:rPr>
                <w:rFonts w:asciiTheme="minorHAnsi" w:eastAsiaTheme="minorEastAsia" w:hAnsiTheme="minorHAnsi" w:cs="Times New Roman"/>
                <w:bCs/>
                <w:color w:val="auto"/>
                <w:szCs w:val="21"/>
                <w:vertAlign w:val="superscript"/>
              </w:rPr>
              <w:t>3</w:t>
            </w:r>
            <w:r w:rsidRPr="006A642B">
              <w:rPr>
                <w:rFonts w:asciiTheme="minorHAnsi" w:eastAsiaTheme="minorEastAsia" w:hAnsiTheme="minorHAnsi" w:cs="Times New Roman" w:hint="eastAsia"/>
                <w:bCs/>
                <w:color w:val="auto"/>
                <w:szCs w:val="21"/>
              </w:rPr>
              <w:t>）</w:t>
            </w:r>
          </w:p>
        </w:tc>
        <w:tc>
          <w:tcPr>
            <w:tcW w:w="489" w:type="pct"/>
            <w:vAlign w:val="center"/>
          </w:tcPr>
          <w:p w14:paraId="5235DAED"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1.51 </w:t>
            </w:r>
          </w:p>
        </w:tc>
        <w:tc>
          <w:tcPr>
            <w:tcW w:w="684" w:type="pct"/>
            <w:vAlign w:val="center"/>
          </w:tcPr>
          <w:p w14:paraId="771C8D29"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1.45 </w:t>
            </w:r>
          </w:p>
        </w:tc>
        <w:tc>
          <w:tcPr>
            <w:tcW w:w="688" w:type="pct"/>
            <w:vAlign w:val="center"/>
          </w:tcPr>
          <w:p w14:paraId="1D6060A6"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1.42 </w:t>
            </w:r>
          </w:p>
        </w:tc>
        <w:tc>
          <w:tcPr>
            <w:tcW w:w="881" w:type="pct"/>
            <w:vAlign w:val="center"/>
          </w:tcPr>
          <w:p w14:paraId="1568726F"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1.36 </w:t>
            </w:r>
          </w:p>
        </w:tc>
        <w:tc>
          <w:tcPr>
            <w:tcW w:w="881" w:type="pct"/>
            <w:vAlign w:val="center"/>
          </w:tcPr>
          <w:p w14:paraId="62FAD3A7"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1.38 </w:t>
            </w:r>
          </w:p>
        </w:tc>
      </w:tr>
      <w:tr w:rsidR="00E1389D" w14:paraId="09A36CE1" w14:textId="77777777" w:rsidTr="00F7756F">
        <w:trPr>
          <w:trHeight w:val="397"/>
          <w:jc w:val="center"/>
        </w:trPr>
        <w:tc>
          <w:tcPr>
            <w:tcW w:w="359" w:type="pct"/>
            <w:vMerge/>
            <w:vAlign w:val="center"/>
          </w:tcPr>
          <w:p w14:paraId="6E261ADB" w14:textId="77777777" w:rsidR="00E1389D" w:rsidRPr="006A642B" w:rsidRDefault="00E1389D" w:rsidP="00F7756F">
            <w:pPr>
              <w:jc w:val="center"/>
              <w:rPr>
                <w:rFonts w:asciiTheme="minorHAnsi" w:eastAsiaTheme="minorEastAsia" w:hAnsiTheme="minorHAnsi" w:cs="Times New Roman"/>
                <w:bCs/>
                <w:color w:val="auto"/>
                <w:szCs w:val="21"/>
              </w:rPr>
            </w:pPr>
          </w:p>
        </w:tc>
        <w:tc>
          <w:tcPr>
            <w:tcW w:w="1018" w:type="pct"/>
            <w:vAlign w:val="center"/>
          </w:tcPr>
          <w:p w14:paraId="46E12856"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孔隙度</w:t>
            </w:r>
            <w:r w:rsidRPr="006A642B">
              <w:rPr>
                <w:rFonts w:asciiTheme="minorHAnsi" w:eastAsiaTheme="minorEastAsia" w:hAnsiTheme="minorHAnsi" w:cs="Times New Roman" w:hint="eastAsia"/>
                <w:bCs/>
                <w:color w:val="auto"/>
                <w:szCs w:val="21"/>
              </w:rPr>
              <w:t>（</w:t>
            </w:r>
            <w:r w:rsidRPr="006A642B">
              <w:rPr>
                <w:rFonts w:asciiTheme="minorHAnsi" w:eastAsiaTheme="minorEastAsia" w:hAnsiTheme="minorHAnsi" w:cs="Times New Roman" w:hint="eastAsia"/>
                <w:bCs/>
                <w:color w:val="auto"/>
                <w:szCs w:val="21"/>
              </w:rPr>
              <w:t>%</w:t>
            </w:r>
            <w:r w:rsidRPr="006A642B">
              <w:rPr>
                <w:rFonts w:asciiTheme="minorHAnsi" w:eastAsiaTheme="minorEastAsia" w:hAnsiTheme="minorHAnsi" w:cs="Times New Roman" w:hint="eastAsia"/>
                <w:bCs/>
                <w:color w:val="auto"/>
                <w:szCs w:val="21"/>
              </w:rPr>
              <w:t>）</w:t>
            </w:r>
          </w:p>
        </w:tc>
        <w:tc>
          <w:tcPr>
            <w:tcW w:w="489" w:type="pct"/>
            <w:vAlign w:val="center"/>
          </w:tcPr>
          <w:p w14:paraId="46D550EB" w14:textId="77777777" w:rsidR="00E1389D" w:rsidRPr="006A642B" w:rsidRDefault="00E1389D" w:rsidP="00F7756F">
            <w:pPr>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43.0 </w:t>
            </w:r>
          </w:p>
        </w:tc>
        <w:tc>
          <w:tcPr>
            <w:tcW w:w="684" w:type="pct"/>
            <w:vAlign w:val="center"/>
          </w:tcPr>
          <w:p w14:paraId="008E33DF"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45.3 </w:t>
            </w:r>
          </w:p>
        </w:tc>
        <w:tc>
          <w:tcPr>
            <w:tcW w:w="688" w:type="pct"/>
            <w:vAlign w:val="center"/>
          </w:tcPr>
          <w:p w14:paraId="6A68A616"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46.4 </w:t>
            </w:r>
          </w:p>
        </w:tc>
        <w:tc>
          <w:tcPr>
            <w:tcW w:w="881" w:type="pct"/>
            <w:vAlign w:val="center"/>
          </w:tcPr>
          <w:p w14:paraId="4BB87D0C"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48.7 </w:t>
            </w:r>
          </w:p>
        </w:tc>
        <w:tc>
          <w:tcPr>
            <w:tcW w:w="881" w:type="pct"/>
            <w:vAlign w:val="center"/>
          </w:tcPr>
          <w:p w14:paraId="7FA21F9B" w14:textId="77777777" w:rsidR="00E1389D" w:rsidRPr="006A642B" w:rsidRDefault="00E1389D" w:rsidP="00F7756F">
            <w:pPr>
              <w:pStyle w:val="27"/>
              <w:spacing w:line="240" w:lineRule="auto"/>
              <w:jc w:val="center"/>
              <w:rPr>
                <w:rFonts w:asciiTheme="minorHAnsi" w:eastAsiaTheme="minorEastAsia" w:hAnsiTheme="minorHAnsi" w:cs="Times New Roman"/>
                <w:bCs/>
                <w:color w:val="auto"/>
                <w:szCs w:val="21"/>
              </w:rPr>
            </w:pPr>
            <w:r w:rsidRPr="006A642B">
              <w:rPr>
                <w:rFonts w:asciiTheme="minorHAnsi" w:eastAsiaTheme="minorEastAsia" w:hAnsiTheme="minorHAnsi" w:cs="Times New Roman"/>
                <w:bCs/>
                <w:color w:val="auto"/>
                <w:szCs w:val="21"/>
              </w:rPr>
              <w:t xml:space="preserve">47.9 </w:t>
            </w:r>
          </w:p>
        </w:tc>
      </w:tr>
    </w:tbl>
    <w:p w14:paraId="5D94B90C" w14:textId="77777777" w:rsidR="00422B46" w:rsidRPr="00D73DBE" w:rsidRDefault="009E3841" w:rsidP="00E1389D">
      <w:pPr>
        <w:tabs>
          <w:tab w:val="left" w:pos="2293"/>
        </w:tabs>
        <w:spacing w:line="520" w:lineRule="exact"/>
        <w:ind w:firstLineChars="200" w:firstLine="480"/>
        <w:rPr>
          <w:rFonts w:ascii="Calibri" w:hAnsi="Calibri" w:cs="宋体"/>
          <w:sz w:val="24"/>
        </w:rPr>
      </w:pPr>
      <w:r w:rsidRPr="00D73DBE">
        <w:rPr>
          <w:rFonts w:ascii="Calibri" w:hint="eastAsia"/>
          <w:color w:val="auto"/>
          <w:sz w:val="24"/>
        </w:rPr>
        <w:t>（</w:t>
      </w:r>
      <w:r w:rsidR="00B94E1F" w:rsidRPr="00D73DBE">
        <w:rPr>
          <w:rFonts w:ascii="Calibri" w:hint="eastAsia"/>
          <w:color w:val="auto"/>
          <w:sz w:val="24"/>
        </w:rPr>
        <w:t>5</w:t>
      </w:r>
      <w:r w:rsidRPr="00D73DBE">
        <w:rPr>
          <w:rFonts w:ascii="Calibri" w:hint="eastAsia"/>
          <w:color w:val="auto"/>
          <w:sz w:val="24"/>
        </w:rPr>
        <w:t>）</w:t>
      </w:r>
      <w:r w:rsidR="00422B46" w:rsidRPr="00D73DBE">
        <w:rPr>
          <w:rFonts w:ascii="Calibri" w:hint="eastAsia"/>
          <w:color w:val="auto"/>
          <w:sz w:val="24"/>
        </w:rPr>
        <w:t>影响源调查</w:t>
      </w:r>
    </w:p>
    <w:p w14:paraId="2D8BDBE0" w14:textId="1453461C" w:rsidR="00E1389D" w:rsidRDefault="00D0550A" w:rsidP="00BB28C5">
      <w:pPr>
        <w:pStyle w:val="00"/>
        <w:ind w:firstLineChars="200"/>
        <w:rPr>
          <w:rFonts w:ascii="Calibri" w:hAnsi="Times New Roman"/>
          <w:color w:val="auto"/>
        </w:rPr>
      </w:pPr>
      <w:r w:rsidRPr="00A964FF">
        <w:rPr>
          <w:rFonts w:ascii="Calibri" w:hAnsi="Times New Roman" w:hint="eastAsia"/>
          <w:color w:val="auto"/>
        </w:rPr>
        <w:t>本项目占地现状为</w:t>
      </w:r>
      <w:r w:rsidR="00BC3ADE">
        <w:rPr>
          <w:rFonts w:ascii="Calibri" w:hAnsi="Times New Roman" w:hint="eastAsia"/>
          <w:color w:val="auto"/>
        </w:rPr>
        <w:t>空地</w:t>
      </w:r>
      <w:r w:rsidR="00E1389D">
        <w:rPr>
          <w:rFonts w:ascii="Calibri" w:hAnsi="Times New Roman" w:hint="eastAsia"/>
          <w:color w:val="auto"/>
        </w:rPr>
        <w:t>，</w:t>
      </w:r>
      <w:r w:rsidR="00CD2BD6" w:rsidRPr="00A964FF">
        <w:rPr>
          <w:rFonts w:ascii="Calibri" w:hAnsi="Times New Roman" w:hint="eastAsia"/>
          <w:color w:val="auto"/>
        </w:rPr>
        <w:t>调查范围内</w:t>
      </w:r>
      <w:r w:rsidR="00E1389D">
        <w:rPr>
          <w:rFonts w:ascii="Calibri" w:hAnsi="Times New Roman" w:hint="eastAsia"/>
          <w:color w:val="auto"/>
        </w:rPr>
        <w:t>仅北侧有待</w:t>
      </w:r>
      <w:r w:rsidR="00E1389D">
        <w:rPr>
          <w:rFonts w:ascii="Calibri" w:hAnsi="Times New Roman"/>
          <w:color w:val="auto"/>
        </w:rPr>
        <w:t>建</w:t>
      </w:r>
      <w:r w:rsidR="00E1389D" w:rsidRPr="00E1389D">
        <w:rPr>
          <w:rFonts w:ascii="Calibri" w:hAnsi="Times New Roman" w:hint="eastAsia"/>
          <w:color w:val="auto"/>
        </w:rPr>
        <w:t>平顶山市锦华新材料科技有限公司年产</w:t>
      </w:r>
      <w:r w:rsidR="00E1389D" w:rsidRPr="00E1389D">
        <w:rPr>
          <w:rFonts w:ascii="Calibri" w:hAnsi="Times New Roman" w:hint="eastAsia"/>
          <w:color w:val="auto"/>
        </w:rPr>
        <w:t>15000</w:t>
      </w:r>
      <w:r w:rsidR="00E1389D" w:rsidRPr="00E1389D">
        <w:rPr>
          <w:rFonts w:ascii="Calibri" w:hAnsi="Times New Roman" w:hint="eastAsia"/>
          <w:color w:val="auto"/>
        </w:rPr>
        <w:t>万米高档特种锦纶坯布面料及配套加工丝项目（二期）</w:t>
      </w:r>
      <w:r w:rsidR="00E1389D">
        <w:rPr>
          <w:rFonts w:ascii="Calibri" w:hAnsi="Times New Roman" w:hint="eastAsia"/>
          <w:color w:val="auto"/>
        </w:rPr>
        <w:t>，与</w:t>
      </w:r>
      <w:r w:rsidR="00E1389D">
        <w:rPr>
          <w:rFonts w:ascii="Calibri" w:hAnsi="Times New Roman"/>
          <w:color w:val="auto"/>
        </w:rPr>
        <w:t>本项目</w:t>
      </w:r>
      <w:r w:rsidR="00E1389D">
        <w:rPr>
          <w:rFonts w:ascii="Calibri" w:hAnsi="Times New Roman" w:hint="eastAsia"/>
          <w:color w:val="auto"/>
        </w:rPr>
        <w:t>相同</w:t>
      </w:r>
      <w:r w:rsidR="00E1389D">
        <w:rPr>
          <w:rFonts w:ascii="Calibri" w:hAnsi="Times New Roman"/>
          <w:color w:val="auto"/>
        </w:rPr>
        <w:t>的污染因子</w:t>
      </w:r>
      <w:r w:rsidR="00BB28C5" w:rsidRPr="00A964FF">
        <w:rPr>
          <w:rFonts w:ascii="Calibri" w:hAnsi="Times New Roman" w:hint="eastAsia"/>
          <w:color w:val="auto"/>
        </w:rPr>
        <w:t>石油烃</w:t>
      </w:r>
      <w:r w:rsidR="00E1389D">
        <w:rPr>
          <w:rFonts w:ascii="Calibri" w:hAnsi="Times New Roman"/>
          <w:color w:val="auto"/>
        </w:rPr>
        <w:t>。</w:t>
      </w:r>
    </w:p>
    <w:p w14:paraId="434269A3" w14:textId="77777777" w:rsidR="00BB28C5" w:rsidRDefault="00BB28C5" w:rsidP="00E1389D">
      <w:pPr>
        <w:pStyle w:val="00"/>
        <w:ind w:firstLineChars="200"/>
        <w:rPr>
          <w:rFonts w:ascii="Calibri" w:hAnsi="Times New Roman"/>
          <w:color w:val="auto"/>
        </w:rPr>
      </w:pPr>
    </w:p>
    <w:p w14:paraId="697EE408" w14:textId="77777777" w:rsidR="0026740E" w:rsidRPr="0026740E" w:rsidRDefault="009E3841" w:rsidP="0026740E">
      <w:pPr>
        <w:pStyle w:val="ad"/>
        <w:rPr>
          <w:rFonts w:ascii="Calibri" w:hAnsi="Calibri"/>
          <w:color w:val="auto"/>
          <w:sz w:val="24"/>
        </w:rPr>
      </w:pPr>
      <w:r w:rsidRPr="00A964FF">
        <w:rPr>
          <w:rFonts w:ascii="Calibri" w:hAnsi="Calibri" w:hint="eastAsia"/>
          <w:color w:val="auto"/>
        </w:rPr>
        <w:lastRenderedPageBreak/>
        <w:t>4.4.4</w:t>
      </w:r>
      <w:r w:rsidRPr="00A964FF">
        <w:rPr>
          <w:rFonts w:ascii="Calibri" w:hAnsi="Calibri" w:hint="eastAsia"/>
          <w:color w:val="auto"/>
        </w:rPr>
        <w:t>土壤环境影响预测与评价</w:t>
      </w:r>
    </w:p>
    <w:p w14:paraId="43FF07EF" w14:textId="77777777" w:rsidR="0029691B" w:rsidRPr="00A964FF" w:rsidRDefault="0029691B" w:rsidP="0029691B">
      <w:pPr>
        <w:pStyle w:val="00"/>
        <w:ind w:firstLineChars="2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1</w:t>
      </w:r>
      <w:r w:rsidRPr="00A964FF">
        <w:rPr>
          <w:rFonts w:ascii="Calibri" w:hAnsi="Times New Roman" w:hint="eastAsia"/>
          <w:color w:val="auto"/>
        </w:rPr>
        <w:t>）预测</w:t>
      </w:r>
      <w:r w:rsidRPr="00A964FF">
        <w:rPr>
          <w:rFonts w:ascii="Calibri" w:hAnsi="Times New Roman"/>
          <w:color w:val="auto"/>
        </w:rPr>
        <w:t>范围</w:t>
      </w:r>
    </w:p>
    <w:p w14:paraId="29E02D6C" w14:textId="77777777" w:rsidR="0029691B" w:rsidRPr="00A964FF" w:rsidRDefault="0029691B" w:rsidP="0029691B">
      <w:pPr>
        <w:pStyle w:val="00"/>
        <w:ind w:firstLineChars="200"/>
        <w:rPr>
          <w:rFonts w:ascii="Calibri" w:hAnsi="Times New Roman"/>
          <w:color w:val="auto"/>
        </w:rPr>
      </w:pPr>
      <w:r w:rsidRPr="00A964FF">
        <w:rPr>
          <w:rFonts w:ascii="Calibri" w:hAnsi="Times New Roman" w:hint="eastAsia"/>
          <w:color w:val="auto"/>
        </w:rPr>
        <w:t>厂区占地范围及厂区外</w:t>
      </w:r>
      <w:r w:rsidR="00F91659">
        <w:rPr>
          <w:rFonts w:ascii="Calibri" w:hAnsi="Times New Roman" w:hint="eastAsia"/>
          <w:color w:val="auto"/>
        </w:rPr>
        <w:t>200</w:t>
      </w:r>
      <w:r w:rsidRPr="00A964FF">
        <w:rPr>
          <w:rFonts w:ascii="Calibri" w:hAnsi="Times New Roman" w:hint="eastAsia"/>
          <w:color w:val="auto"/>
        </w:rPr>
        <w:t>m</w:t>
      </w:r>
      <w:r w:rsidRPr="00A964FF">
        <w:rPr>
          <w:rFonts w:ascii="Calibri" w:hAnsi="Times New Roman" w:hint="eastAsia"/>
          <w:color w:val="auto"/>
        </w:rPr>
        <w:t>范围内。</w:t>
      </w:r>
    </w:p>
    <w:p w14:paraId="183B5AA9" w14:textId="77777777" w:rsidR="0029691B" w:rsidRPr="00A964FF" w:rsidRDefault="0029691B" w:rsidP="0029691B">
      <w:pPr>
        <w:pStyle w:val="00"/>
        <w:ind w:firstLineChars="2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2</w:t>
      </w:r>
      <w:r w:rsidRPr="00A964FF">
        <w:rPr>
          <w:rFonts w:ascii="Calibri" w:hAnsi="Times New Roman" w:hint="eastAsia"/>
          <w:color w:val="auto"/>
        </w:rPr>
        <w:t>）</w:t>
      </w:r>
      <w:r w:rsidRPr="00A964FF">
        <w:rPr>
          <w:rFonts w:ascii="Calibri" w:hAnsi="Times New Roman"/>
          <w:color w:val="auto"/>
        </w:rPr>
        <w:t>预测时段</w:t>
      </w:r>
    </w:p>
    <w:p w14:paraId="3811B161" w14:textId="77777777" w:rsidR="0029691B" w:rsidRPr="00A964FF" w:rsidRDefault="0029691B" w:rsidP="0029691B">
      <w:pPr>
        <w:pStyle w:val="00"/>
        <w:ind w:firstLineChars="200"/>
        <w:rPr>
          <w:rFonts w:ascii="Calibri" w:hAnsi="Times New Roman"/>
          <w:color w:val="auto"/>
        </w:rPr>
      </w:pPr>
      <w:r w:rsidRPr="00A964FF">
        <w:rPr>
          <w:rFonts w:ascii="Calibri" w:hAnsi="Times New Roman"/>
          <w:color w:val="auto"/>
        </w:rPr>
        <w:t>建设项目运营期</w:t>
      </w:r>
      <w:r w:rsidRPr="00A964FF">
        <w:rPr>
          <w:rFonts w:ascii="Calibri" w:hAnsi="Times New Roman" w:hint="eastAsia"/>
          <w:color w:val="auto"/>
        </w:rPr>
        <w:t>，</w:t>
      </w:r>
      <w:r w:rsidRPr="00A964FF">
        <w:rPr>
          <w:rFonts w:ascii="Calibri" w:hAnsi="Calibri" w:hint="eastAsia"/>
          <w:color w:val="auto"/>
        </w:rPr>
        <w:t>设计年限为</w:t>
      </w:r>
      <w:r w:rsidRPr="00A964FF">
        <w:rPr>
          <w:rFonts w:ascii="Calibri" w:hAnsi="Calibri"/>
          <w:color w:val="auto"/>
        </w:rPr>
        <w:t>20</w:t>
      </w:r>
      <w:r w:rsidRPr="00A964FF">
        <w:rPr>
          <w:rFonts w:ascii="Calibri" w:hAnsi="Calibri" w:hint="eastAsia"/>
          <w:color w:val="auto"/>
        </w:rPr>
        <w:t>年</w:t>
      </w:r>
      <w:r w:rsidRPr="00A964FF">
        <w:rPr>
          <w:rFonts w:ascii="Calibri" w:hAnsi="Times New Roman" w:cs="Times New Roman" w:hint="eastAsia"/>
          <w:color w:val="auto"/>
        </w:rPr>
        <w:t>。</w:t>
      </w:r>
    </w:p>
    <w:p w14:paraId="19CEA19E" w14:textId="77777777" w:rsidR="0029691B" w:rsidRPr="00A964FF" w:rsidRDefault="0029691B" w:rsidP="0029691B">
      <w:pPr>
        <w:pStyle w:val="00"/>
        <w:ind w:firstLineChars="2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3</w:t>
      </w:r>
      <w:r w:rsidRPr="00A964FF">
        <w:rPr>
          <w:rFonts w:ascii="Calibri" w:hAnsi="Times New Roman" w:hint="eastAsia"/>
          <w:color w:val="auto"/>
        </w:rPr>
        <w:t>）</w:t>
      </w:r>
      <w:r w:rsidRPr="00A964FF">
        <w:rPr>
          <w:rFonts w:ascii="Calibri" w:hAnsi="Times New Roman"/>
          <w:color w:val="auto"/>
        </w:rPr>
        <w:t>情景设置</w:t>
      </w:r>
    </w:p>
    <w:p w14:paraId="271AF9E6" w14:textId="77777777" w:rsidR="00BC3ADE" w:rsidRDefault="00BC3ADE" w:rsidP="00BC3ADE">
      <w:pPr>
        <w:pStyle w:val="00"/>
        <w:ind w:firstLineChars="200"/>
        <w:rPr>
          <w:rFonts w:ascii="Calibri" w:hAnsi="Times New Roman"/>
          <w:color w:val="auto"/>
        </w:rPr>
      </w:pPr>
      <w:r>
        <w:rPr>
          <w:rFonts w:ascii="Calibri" w:hAnsi="Times New Roman" w:hint="eastAsia"/>
          <w:color w:val="auto"/>
        </w:rPr>
        <w:t>根据</w:t>
      </w:r>
      <w:r>
        <w:rPr>
          <w:rFonts w:ascii="Calibri" w:hAnsi="Times New Roman"/>
          <w:color w:val="auto"/>
        </w:rPr>
        <w:t>本项目生产</w:t>
      </w:r>
      <w:r>
        <w:rPr>
          <w:rFonts w:ascii="Calibri" w:hAnsi="Times New Roman" w:hint="eastAsia"/>
          <w:color w:val="auto"/>
        </w:rPr>
        <w:t>特点</w:t>
      </w:r>
      <w:r>
        <w:rPr>
          <w:rFonts w:ascii="Calibri" w:hAnsi="Times New Roman"/>
          <w:color w:val="auto"/>
        </w:rPr>
        <w:t>，本次土壤</w:t>
      </w:r>
      <w:r>
        <w:rPr>
          <w:rFonts w:ascii="Calibri" w:hAnsi="Times New Roman" w:hint="eastAsia"/>
          <w:color w:val="auto"/>
        </w:rPr>
        <w:t>环境</w:t>
      </w:r>
      <w:r>
        <w:rPr>
          <w:rFonts w:ascii="Calibri" w:hAnsi="Times New Roman"/>
          <w:color w:val="auto"/>
        </w:rPr>
        <w:t>预测情景考虑石油烃（</w:t>
      </w:r>
      <w:r>
        <w:rPr>
          <w:rFonts w:ascii="Calibri" w:hAnsi="Times New Roman" w:hint="eastAsia"/>
          <w:color w:val="auto"/>
        </w:rPr>
        <w:t>废机油</w:t>
      </w:r>
      <w:r>
        <w:rPr>
          <w:rFonts w:ascii="Calibri" w:hAnsi="Times New Roman"/>
          <w:color w:val="auto"/>
        </w:rPr>
        <w:t>）</w:t>
      </w:r>
      <w:r>
        <w:rPr>
          <w:rFonts w:ascii="Calibri" w:hAnsi="Times New Roman" w:hint="eastAsia"/>
          <w:color w:val="auto"/>
        </w:rPr>
        <w:t>泄露</w:t>
      </w:r>
      <w:r>
        <w:rPr>
          <w:rFonts w:ascii="Calibri" w:hAnsi="Times New Roman"/>
          <w:color w:val="auto"/>
        </w:rPr>
        <w:t>后进入土壤的环境影响。</w:t>
      </w:r>
    </w:p>
    <w:p w14:paraId="50F1BBAE" w14:textId="77777777" w:rsidR="0029691B" w:rsidRPr="00A964FF" w:rsidRDefault="0029691B" w:rsidP="0029691B">
      <w:pPr>
        <w:pStyle w:val="00"/>
        <w:ind w:firstLineChars="2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4</w:t>
      </w:r>
      <w:r w:rsidRPr="00A964FF">
        <w:rPr>
          <w:rFonts w:ascii="Calibri" w:hAnsi="Times New Roman" w:hint="eastAsia"/>
          <w:color w:val="auto"/>
        </w:rPr>
        <w:t>）</w:t>
      </w:r>
      <w:r w:rsidRPr="00A964FF">
        <w:rPr>
          <w:rFonts w:ascii="Calibri" w:hAnsi="Times New Roman"/>
          <w:color w:val="auto"/>
        </w:rPr>
        <w:t>预测因子</w:t>
      </w:r>
    </w:p>
    <w:p w14:paraId="64B9D4DB" w14:textId="77777777" w:rsidR="0029691B" w:rsidRPr="00A964FF" w:rsidRDefault="0029691B" w:rsidP="00E1389D">
      <w:pPr>
        <w:pStyle w:val="00"/>
        <w:ind w:firstLineChars="200"/>
        <w:rPr>
          <w:rFonts w:ascii="Calibri" w:hAnsi="Times New Roman"/>
          <w:color w:val="auto"/>
        </w:rPr>
      </w:pPr>
      <w:r w:rsidRPr="00A964FF">
        <w:rPr>
          <w:rFonts w:ascii="Calibri" w:hAnsi="Times New Roman"/>
          <w:color w:val="auto"/>
        </w:rPr>
        <w:t>特征因子</w:t>
      </w:r>
      <w:r w:rsidR="0008249A" w:rsidRPr="00A964FF">
        <w:rPr>
          <w:rFonts w:ascii="Calibri" w:hAnsi="Times New Roman" w:hint="eastAsia"/>
          <w:color w:val="auto"/>
        </w:rPr>
        <w:t>石油烃</w:t>
      </w:r>
      <w:r w:rsidRPr="00A964FF">
        <w:rPr>
          <w:rFonts w:ascii="Calibri" w:hAnsi="Times New Roman" w:hint="eastAsia"/>
          <w:color w:val="auto"/>
        </w:rPr>
        <w:t>。</w:t>
      </w:r>
    </w:p>
    <w:p w14:paraId="4827BCCF" w14:textId="77777777" w:rsidR="0029691B" w:rsidRPr="00A964FF" w:rsidRDefault="0029691B" w:rsidP="0029691B">
      <w:pPr>
        <w:pStyle w:val="00"/>
        <w:ind w:firstLineChars="200"/>
        <w:rPr>
          <w:rFonts w:ascii="Calibri" w:hAnsi="Times New Roman"/>
          <w:color w:val="auto"/>
        </w:rPr>
      </w:pPr>
      <w:r w:rsidRPr="00A964FF">
        <w:rPr>
          <w:rFonts w:ascii="Calibri" w:hAnsi="Times New Roman" w:hint="eastAsia"/>
          <w:color w:val="auto"/>
        </w:rPr>
        <w:t>（</w:t>
      </w:r>
      <w:r w:rsidRPr="00A964FF">
        <w:rPr>
          <w:rFonts w:ascii="Calibri" w:hAnsi="Times New Roman" w:hint="eastAsia"/>
          <w:color w:val="auto"/>
        </w:rPr>
        <w:t>5</w:t>
      </w:r>
      <w:r w:rsidRPr="00A964FF">
        <w:rPr>
          <w:rFonts w:ascii="Calibri" w:hAnsi="Times New Roman" w:hint="eastAsia"/>
          <w:color w:val="auto"/>
        </w:rPr>
        <w:t>）环境质量标准</w:t>
      </w:r>
    </w:p>
    <w:p w14:paraId="37833694" w14:textId="77777777" w:rsidR="0029691B" w:rsidRPr="00A964FF" w:rsidRDefault="0029691B" w:rsidP="00F91659">
      <w:pPr>
        <w:pStyle w:val="00"/>
        <w:ind w:firstLineChars="200"/>
        <w:rPr>
          <w:rFonts w:ascii="Calibri" w:hAnsi="Times New Roman" w:cs="Times New Roman"/>
          <w:color w:val="auto"/>
        </w:rPr>
      </w:pPr>
      <w:r w:rsidRPr="00A964FF">
        <w:rPr>
          <w:rFonts w:ascii="Calibri" w:hAnsi="Times New Roman" w:cs="Times New Roman" w:hint="eastAsia"/>
          <w:color w:val="auto"/>
        </w:rPr>
        <w:t>根据《土壤环境质量</w:t>
      </w:r>
      <w:r w:rsidRPr="00A964FF">
        <w:rPr>
          <w:rFonts w:ascii="Calibri" w:hAnsi="Times New Roman" w:cs="Times New Roman"/>
          <w:color w:val="auto"/>
        </w:rPr>
        <w:t xml:space="preserve"> </w:t>
      </w:r>
      <w:r w:rsidRPr="00A964FF">
        <w:rPr>
          <w:rFonts w:ascii="Calibri" w:hAnsi="Times New Roman" w:cs="Times New Roman" w:hint="eastAsia"/>
          <w:color w:val="auto"/>
        </w:rPr>
        <w:t>建设用地土壤污染风险管控标准（试行）》（</w:t>
      </w:r>
      <w:r w:rsidRPr="00A964FF">
        <w:rPr>
          <w:rFonts w:ascii="Calibri" w:hAnsi="Times New Roman" w:cs="Times New Roman"/>
          <w:color w:val="auto"/>
        </w:rPr>
        <w:t>GB36600-2018</w:t>
      </w:r>
      <w:r w:rsidRPr="00A964FF">
        <w:rPr>
          <w:rFonts w:ascii="Calibri" w:hAnsi="Times New Roman" w:cs="Times New Roman" w:hint="eastAsia"/>
          <w:color w:val="auto"/>
        </w:rPr>
        <w:t>），</w:t>
      </w:r>
      <w:r w:rsidR="0008249A" w:rsidRPr="00A964FF">
        <w:rPr>
          <w:rFonts w:ascii="Calibri" w:hAnsi="Times New Roman" w:cs="Times New Roman" w:hint="eastAsia"/>
          <w:color w:val="auto"/>
        </w:rPr>
        <w:t>石油烃筛选值标准限值为</w:t>
      </w:r>
      <w:r w:rsidR="0008249A" w:rsidRPr="00A964FF">
        <w:rPr>
          <w:rFonts w:ascii="Calibri" w:hAnsi="Times New Roman" w:cs="Times New Roman"/>
          <w:color w:val="auto"/>
        </w:rPr>
        <w:t>4500mg/kg</w:t>
      </w:r>
      <w:r w:rsidR="0008249A" w:rsidRPr="00A964FF">
        <w:rPr>
          <w:rFonts w:ascii="Calibri" w:hAnsi="Times New Roman" w:cs="Times New Roman" w:hint="eastAsia"/>
          <w:color w:val="auto"/>
        </w:rPr>
        <w:t>。</w:t>
      </w:r>
    </w:p>
    <w:p w14:paraId="3FD19C64" w14:textId="77777777" w:rsidR="0008249A" w:rsidRPr="00A964FF" w:rsidRDefault="0008249A" w:rsidP="0008249A">
      <w:pPr>
        <w:pStyle w:val="00"/>
        <w:ind w:firstLineChars="200"/>
        <w:rPr>
          <w:rFonts w:ascii="Calibri" w:hAnsi="Times New Roman" w:cs="Times New Roman"/>
          <w:color w:val="auto"/>
        </w:rPr>
      </w:pPr>
      <w:r w:rsidRPr="00A964FF">
        <w:rPr>
          <w:rFonts w:ascii="Calibri" w:hAnsi="Times New Roman" w:hint="eastAsia"/>
          <w:color w:val="auto"/>
        </w:rPr>
        <w:t>（</w:t>
      </w:r>
      <w:r w:rsidRPr="00A964FF">
        <w:rPr>
          <w:rFonts w:ascii="Calibri" w:hAnsi="Times New Roman"/>
          <w:color w:val="auto"/>
        </w:rPr>
        <w:t>6</w:t>
      </w:r>
      <w:r w:rsidRPr="00A964FF">
        <w:rPr>
          <w:rFonts w:ascii="Calibri" w:hAnsi="Times New Roman" w:hint="eastAsia"/>
          <w:color w:val="auto"/>
        </w:rPr>
        <w:t>）污染物输入量</w:t>
      </w:r>
    </w:p>
    <w:p w14:paraId="67696CE3" w14:textId="77777777" w:rsidR="00BC3ADE" w:rsidRDefault="00BC3ADE" w:rsidP="009E4E1D">
      <w:pPr>
        <w:pStyle w:val="00"/>
        <w:rPr>
          <w:rFonts w:ascii="Calibri" w:hAnsi="Times New Roman"/>
          <w:color w:val="auto"/>
        </w:rPr>
      </w:pPr>
      <w:r>
        <w:rPr>
          <w:rFonts w:ascii="Calibri" w:hAnsi="Times New Roman" w:hint="eastAsia"/>
          <w:color w:val="auto"/>
        </w:rPr>
        <w:t>本项目</w:t>
      </w:r>
      <w:r>
        <w:rPr>
          <w:rFonts w:ascii="Calibri" w:hAnsi="Times New Roman"/>
          <w:color w:val="auto"/>
        </w:rPr>
        <w:t>废机油收集后采用密闭桶装储存在危废暂存间，每天有工作人员进行巡视，如</w:t>
      </w:r>
      <w:r>
        <w:rPr>
          <w:rFonts w:ascii="Calibri" w:hAnsi="Times New Roman" w:hint="eastAsia"/>
          <w:color w:val="auto"/>
        </w:rPr>
        <w:t>发生</w:t>
      </w:r>
      <w:r>
        <w:rPr>
          <w:rFonts w:ascii="Calibri" w:hAnsi="Times New Roman"/>
          <w:color w:val="auto"/>
        </w:rPr>
        <w:t>泄露较易发现。</w:t>
      </w:r>
      <w:r>
        <w:rPr>
          <w:rFonts w:ascii="Calibri" w:hAnsi="Times New Roman" w:hint="eastAsia"/>
          <w:color w:val="auto"/>
        </w:rPr>
        <w:t>假定</w:t>
      </w:r>
      <w:r>
        <w:rPr>
          <w:rFonts w:ascii="Calibri" w:hAnsi="Times New Roman"/>
          <w:color w:val="auto"/>
        </w:rPr>
        <w:t>废机油桶泄露</w:t>
      </w:r>
      <w:r>
        <w:rPr>
          <w:rFonts w:ascii="Calibri" w:hAnsi="Times New Roman" w:hint="eastAsia"/>
          <w:color w:val="auto"/>
        </w:rPr>
        <w:t>1</w:t>
      </w:r>
      <w:r>
        <w:rPr>
          <w:rFonts w:ascii="Calibri" w:hAnsi="Times New Roman"/>
          <w:color w:val="auto"/>
        </w:rPr>
        <w:t>d</w:t>
      </w:r>
      <w:r>
        <w:rPr>
          <w:rFonts w:ascii="Calibri" w:hAnsi="Times New Roman"/>
          <w:color w:val="auto"/>
        </w:rPr>
        <w:t>后发现，不考虑淋溶、径流排</w:t>
      </w:r>
      <w:r>
        <w:rPr>
          <w:rFonts w:ascii="Calibri" w:hAnsi="Times New Roman" w:hint="eastAsia"/>
          <w:color w:val="auto"/>
        </w:rPr>
        <w:t>出的</w:t>
      </w:r>
      <w:r>
        <w:rPr>
          <w:rFonts w:ascii="Calibri" w:hAnsi="Times New Roman"/>
          <w:color w:val="auto"/>
        </w:rPr>
        <w:t>量</w:t>
      </w:r>
      <w:r>
        <w:rPr>
          <w:rFonts w:ascii="Calibri" w:hAnsi="Times New Roman" w:hint="eastAsia"/>
          <w:color w:val="auto"/>
        </w:rPr>
        <w:t>，</w:t>
      </w:r>
      <w:r>
        <w:rPr>
          <w:rFonts w:ascii="Calibri" w:hAnsi="Times New Roman"/>
          <w:color w:val="auto"/>
        </w:rPr>
        <w:t>本次仅考虑石油烃泄露后进入</w:t>
      </w:r>
      <w:r>
        <w:rPr>
          <w:rFonts w:ascii="Calibri" w:hAnsi="Times New Roman" w:hint="eastAsia"/>
          <w:color w:val="auto"/>
        </w:rPr>
        <w:t>土壤</w:t>
      </w:r>
      <w:r>
        <w:rPr>
          <w:rFonts w:ascii="Calibri" w:hAnsi="Times New Roman"/>
          <w:color w:val="auto"/>
        </w:rPr>
        <w:t>中的量。</w:t>
      </w:r>
    </w:p>
    <w:p w14:paraId="52832205" w14:textId="77777777" w:rsidR="006E0ECC" w:rsidRPr="00A964FF" w:rsidRDefault="006E0ECC" w:rsidP="009E4E1D">
      <w:pPr>
        <w:pStyle w:val="00"/>
        <w:rPr>
          <w:rFonts w:ascii="Calibri" w:hAnsi="Calibri"/>
          <w:color w:val="auto"/>
        </w:rPr>
      </w:pPr>
      <w:r w:rsidRPr="00A964FF">
        <w:rPr>
          <w:rFonts w:ascii="Calibri" w:hAnsi="Calibri" w:hint="eastAsia"/>
          <w:color w:val="auto"/>
        </w:rPr>
        <w:t>本项目</w:t>
      </w:r>
      <w:r w:rsidR="009E4E1D" w:rsidRPr="009E4E1D">
        <w:rPr>
          <w:rFonts w:ascii="Calibri" w:hAnsi="Calibri" w:hint="eastAsia"/>
          <w:color w:val="auto"/>
        </w:rPr>
        <w:t>废机油存放区占地面积</w:t>
      </w:r>
      <w:r w:rsidR="009E4E1D" w:rsidRPr="009E4E1D">
        <w:rPr>
          <w:rFonts w:ascii="Calibri" w:hAnsi="Calibri" w:hint="eastAsia"/>
          <w:color w:val="auto"/>
        </w:rPr>
        <w:t>6m</w:t>
      </w:r>
      <w:r w:rsidR="009E4E1D" w:rsidRPr="009E4E1D">
        <w:rPr>
          <w:rFonts w:ascii="Calibri" w:hAnsi="Calibri" w:hint="eastAsia"/>
          <w:color w:val="auto"/>
          <w:vertAlign w:val="superscript"/>
        </w:rPr>
        <w:t>2</w:t>
      </w:r>
      <w:r w:rsidR="009E4E1D" w:rsidRPr="009E4E1D">
        <w:rPr>
          <w:rFonts w:ascii="Calibri" w:hAnsi="Calibri" w:hint="eastAsia"/>
          <w:color w:val="auto"/>
        </w:rPr>
        <w:t>，防渗层损坏的面积约占总面积的</w:t>
      </w:r>
      <w:r w:rsidR="009E4E1D" w:rsidRPr="009E4E1D">
        <w:rPr>
          <w:rFonts w:ascii="Calibri" w:hAnsi="Calibri" w:hint="eastAsia"/>
          <w:color w:val="auto"/>
        </w:rPr>
        <w:t>5%</w:t>
      </w:r>
      <w:r w:rsidR="009E4E1D" w:rsidRPr="009E4E1D">
        <w:rPr>
          <w:rFonts w:ascii="Calibri" w:hAnsi="Calibri" w:hint="eastAsia"/>
          <w:color w:val="auto"/>
        </w:rPr>
        <w:t>。</w:t>
      </w:r>
      <w:r w:rsidRPr="00A964FF">
        <w:rPr>
          <w:rFonts w:ascii="Calibri" w:hAnsi="Calibri" w:hint="eastAsia"/>
          <w:color w:val="auto"/>
        </w:rPr>
        <w:t>根据达西定律公式确定各污染物渗透量，计算公式如下：</w:t>
      </w:r>
    </w:p>
    <w:p w14:paraId="0BBD06B1" w14:textId="77777777" w:rsidR="006E0ECC" w:rsidRPr="00A964FF" w:rsidRDefault="006E0ECC" w:rsidP="006E0ECC">
      <w:pPr>
        <w:spacing w:line="520" w:lineRule="exact"/>
        <w:ind w:firstLineChars="550" w:firstLine="1320"/>
        <w:rPr>
          <w:rFonts w:ascii="Calibri" w:hAnsi="Calibri"/>
          <w:color w:val="auto"/>
          <w:sz w:val="24"/>
        </w:rPr>
      </w:pPr>
      <w:r w:rsidRPr="00A964FF">
        <w:rPr>
          <w:rFonts w:ascii="Calibri" w:hAnsi="Calibri"/>
          <w:color w:val="auto"/>
          <w:sz w:val="24"/>
        </w:rPr>
        <w:t>Q=KAI</w:t>
      </w:r>
    </w:p>
    <w:p w14:paraId="6DB664DA" w14:textId="77777777" w:rsidR="006E0ECC" w:rsidRPr="00A964FF" w:rsidRDefault="006E0ECC" w:rsidP="006E0ECC">
      <w:pPr>
        <w:spacing w:line="520" w:lineRule="exact"/>
        <w:ind w:firstLineChars="250" w:firstLine="600"/>
        <w:rPr>
          <w:rFonts w:ascii="Calibri" w:hAnsi="Calibri"/>
          <w:color w:val="auto"/>
          <w:sz w:val="24"/>
        </w:rPr>
      </w:pPr>
      <w:r w:rsidRPr="00A964FF">
        <w:rPr>
          <w:rFonts w:ascii="Calibri" w:hAnsi="Calibri" w:hint="eastAsia"/>
          <w:color w:val="auto"/>
          <w:sz w:val="24"/>
        </w:rPr>
        <w:t>式中：</w:t>
      </w:r>
      <w:r w:rsidRPr="00A964FF">
        <w:rPr>
          <w:rFonts w:ascii="Calibri" w:hAnsi="Calibri"/>
          <w:color w:val="auto"/>
          <w:sz w:val="24"/>
        </w:rPr>
        <w:t>Q——</w:t>
      </w:r>
      <w:r w:rsidRPr="00A964FF">
        <w:rPr>
          <w:rFonts w:ascii="Calibri" w:hAnsi="Calibri" w:hint="eastAsia"/>
          <w:color w:val="auto"/>
          <w:sz w:val="24"/>
        </w:rPr>
        <w:t>渗透量</w:t>
      </w:r>
      <w:r w:rsidRPr="00A964FF">
        <w:rPr>
          <w:rFonts w:ascii="Calibri" w:hAnsi="Calibri"/>
          <w:color w:val="auto"/>
          <w:sz w:val="24"/>
        </w:rPr>
        <w:t>m</w:t>
      </w:r>
      <w:r w:rsidRPr="00A964FF">
        <w:rPr>
          <w:rFonts w:ascii="Calibri" w:hAnsi="Calibri"/>
          <w:color w:val="auto"/>
          <w:sz w:val="24"/>
          <w:vertAlign w:val="superscript"/>
        </w:rPr>
        <w:t>3</w:t>
      </w:r>
      <w:r w:rsidRPr="00A964FF">
        <w:rPr>
          <w:rFonts w:ascii="Calibri" w:hAnsi="Calibri"/>
          <w:color w:val="auto"/>
          <w:sz w:val="24"/>
        </w:rPr>
        <w:t>/d</w:t>
      </w:r>
      <w:r w:rsidRPr="00A964FF">
        <w:rPr>
          <w:rFonts w:ascii="Calibri" w:hAnsi="Calibri" w:hint="eastAsia"/>
          <w:color w:val="auto"/>
          <w:sz w:val="24"/>
        </w:rPr>
        <w:t>，</w:t>
      </w:r>
    </w:p>
    <w:p w14:paraId="0947F403" w14:textId="77777777" w:rsidR="006E0ECC" w:rsidRPr="00A964FF" w:rsidRDefault="006E0ECC" w:rsidP="006E0ECC">
      <w:pPr>
        <w:spacing w:line="520" w:lineRule="exact"/>
        <w:ind w:firstLineChars="550" w:firstLine="1320"/>
        <w:rPr>
          <w:rFonts w:ascii="Calibri" w:hAnsi="Calibri"/>
          <w:color w:val="auto"/>
          <w:sz w:val="24"/>
        </w:rPr>
      </w:pPr>
      <w:r w:rsidRPr="00A964FF">
        <w:rPr>
          <w:rFonts w:ascii="Calibri" w:hAnsi="Calibri"/>
          <w:color w:val="auto"/>
          <w:sz w:val="24"/>
        </w:rPr>
        <w:t>K——</w:t>
      </w:r>
      <w:r w:rsidRPr="00A964FF">
        <w:rPr>
          <w:rFonts w:ascii="Calibri" w:hAnsi="Calibri" w:hint="eastAsia"/>
          <w:color w:val="auto"/>
          <w:sz w:val="24"/>
        </w:rPr>
        <w:t>渗透系数</w:t>
      </w:r>
      <w:r w:rsidRPr="00A964FF">
        <w:rPr>
          <w:rFonts w:ascii="Calibri" w:hAnsi="Calibri"/>
          <w:color w:val="auto"/>
          <w:sz w:val="24"/>
        </w:rPr>
        <w:t>m/d</w:t>
      </w:r>
      <w:r w:rsidRPr="00A964FF">
        <w:rPr>
          <w:rFonts w:ascii="Calibri" w:hAnsi="Calibri" w:hint="eastAsia"/>
          <w:color w:val="auto"/>
          <w:sz w:val="24"/>
        </w:rPr>
        <w:t>，取</w:t>
      </w:r>
      <w:r w:rsidRPr="00A964FF">
        <w:rPr>
          <w:rFonts w:ascii="Calibri" w:hAnsi="Calibri" w:hint="eastAsia"/>
          <w:color w:val="auto"/>
          <w:sz w:val="24"/>
        </w:rPr>
        <w:t>0.25</w:t>
      </w:r>
      <w:r w:rsidRPr="00A964FF">
        <w:rPr>
          <w:rFonts w:ascii="Calibri" w:hAnsi="Calibri"/>
          <w:color w:val="auto"/>
          <w:sz w:val="24"/>
        </w:rPr>
        <w:t>m/d</w:t>
      </w:r>
      <w:r w:rsidRPr="00A964FF">
        <w:rPr>
          <w:rFonts w:ascii="Calibri" w:hAnsi="Calibri" w:hint="eastAsia"/>
          <w:color w:val="auto"/>
          <w:sz w:val="24"/>
        </w:rPr>
        <w:t>；</w:t>
      </w:r>
    </w:p>
    <w:p w14:paraId="2868D176" w14:textId="77777777" w:rsidR="006E0ECC" w:rsidRPr="00A964FF" w:rsidRDefault="006E0ECC" w:rsidP="006E0ECC">
      <w:pPr>
        <w:spacing w:line="520" w:lineRule="exact"/>
        <w:ind w:firstLineChars="550" w:firstLine="1320"/>
        <w:rPr>
          <w:rFonts w:ascii="Calibri" w:hAnsi="Calibri"/>
          <w:color w:val="auto"/>
          <w:sz w:val="24"/>
        </w:rPr>
      </w:pPr>
      <w:r w:rsidRPr="00A964FF">
        <w:rPr>
          <w:rFonts w:ascii="Calibri" w:hAnsi="Calibri"/>
          <w:color w:val="auto"/>
          <w:sz w:val="24"/>
        </w:rPr>
        <w:t>A</w:t>
      </w:r>
      <w:r w:rsidRPr="00A964FF">
        <w:rPr>
          <w:rFonts w:ascii="Calibri" w:hAnsi="Calibri" w:hint="eastAsia"/>
          <w:color w:val="auto"/>
          <w:sz w:val="24"/>
        </w:rPr>
        <w:t>——过水面积</w:t>
      </w:r>
      <w:r w:rsidRPr="00A964FF">
        <w:rPr>
          <w:rFonts w:ascii="Calibri" w:hAnsi="Calibri"/>
          <w:color w:val="auto"/>
          <w:sz w:val="24"/>
        </w:rPr>
        <w:t>m</w:t>
      </w:r>
      <w:r w:rsidRPr="00A964FF">
        <w:rPr>
          <w:rFonts w:ascii="Calibri" w:hAnsi="Calibri"/>
          <w:color w:val="auto"/>
          <w:sz w:val="24"/>
          <w:vertAlign w:val="superscript"/>
        </w:rPr>
        <w:t>2</w:t>
      </w:r>
      <w:r w:rsidRPr="00A964FF">
        <w:rPr>
          <w:rFonts w:ascii="Calibri" w:hAnsi="Calibri" w:hint="eastAsia"/>
          <w:color w:val="auto"/>
          <w:sz w:val="24"/>
        </w:rPr>
        <w:t>；</w:t>
      </w:r>
    </w:p>
    <w:p w14:paraId="58386273" w14:textId="77777777" w:rsidR="006E0ECC" w:rsidRPr="00A964FF" w:rsidRDefault="006E0ECC" w:rsidP="006E0ECC">
      <w:pPr>
        <w:spacing w:line="520" w:lineRule="exact"/>
        <w:ind w:firstLineChars="550" w:firstLine="1320"/>
        <w:rPr>
          <w:rFonts w:ascii="Calibri" w:hAnsi="Calibri"/>
          <w:color w:val="auto"/>
          <w:sz w:val="24"/>
        </w:rPr>
      </w:pPr>
      <w:r w:rsidRPr="00A964FF">
        <w:rPr>
          <w:rFonts w:ascii="Calibri" w:hAnsi="Calibri"/>
          <w:color w:val="auto"/>
          <w:sz w:val="24"/>
        </w:rPr>
        <w:t>I——</w:t>
      </w:r>
      <w:r w:rsidRPr="00A964FF">
        <w:rPr>
          <w:rFonts w:ascii="Calibri" w:hAnsi="Calibri" w:hint="eastAsia"/>
          <w:color w:val="auto"/>
          <w:sz w:val="24"/>
        </w:rPr>
        <w:t>水力坡度常数，取</w:t>
      </w:r>
      <w:r w:rsidRPr="00A964FF">
        <w:rPr>
          <w:rFonts w:ascii="Calibri" w:hAnsi="Calibri"/>
          <w:color w:val="auto"/>
          <w:sz w:val="24"/>
        </w:rPr>
        <w:t>0.00</w:t>
      </w:r>
      <w:r w:rsidRPr="00A964FF">
        <w:rPr>
          <w:rFonts w:ascii="Calibri" w:hAnsi="Calibri" w:hint="eastAsia"/>
          <w:color w:val="auto"/>
          <w:sz w:val="24"/>
        </w:rPr>
        <w:t>14</w:t>
      </w:r>
      <w:r w:rsidRPr="00A964FF">
        <w:rPr>
          <w:rFonts w:ascii="Calibri" w:hAnsi="Calibri" w:hint="eastAsia"/>
          <w:color w:val="auto"/>
          <w:sz w:val="24"/>
        </w:rPr>
        <w:t>。</w:t>
      </w:r>
    </w:p>
    <w:p w14:paraId="0625B3AB" w14:textId="77777777" w:rsidR="00227F72" w:rsidRDefault="009E4E1D" w:rsidP="00227F72">
      <w:pPr>
        <w:spacing w:line="520" w:lineRule="exact"/>
        <w:ind w:firstLineChars="200" w:firstLine="480"/>
        <w:rPr>
          <w:rFonts w:ascii="Calibri" w:hAnsi="Calibri"/>
          <w:color w:val="auto"/>
          <w:sz w:val="24"/>
        </w:rPr>
      </w:pPr>
      <w:r>
        <w:rPr>
          <w:rFonts w:ascii="Calibri" w:hAnsi="Calibri" w:hint="eastAsia"/>
          <w:color w:val="auto"/>
          <w:sz w:val="24"/>
        </w:rPr>
        <w:t>经计算</w:t>
      </w:r>
      <w:r>
        <w:rPr>
          <w:rFonts w:ascii="Calibri" w:hAnsi="Calibri"/>
          <w:color w:val="auto"/>
          <w:sz w:val="24"/>
        </w:rPr>
        <w:t>可知，</w:t>
      </w:r>
      <w:r w:rsidR="00227F72">
        <w:rPr>
          <w:rFonts w:ascii="Calibri" w:hAnsi="Calibri" w:hint="eastAsia"/>
          <w:color w:val="auto"/>
          <w:sz w:val="24"/>
        </w:rPr>
        <w:t>石油烃</w:t>
      </w:r>
      <w:r w:rsidR="00227F72">
        <w:rPr>
          <w:rFonts w:ascii="Calibri" w:hAnsi="Calibri"/>
          <w:color w:val="auto"/>
          <w:sz w:val="24"/>
        </w:rPr>
        <w:t>泄漏量为</w:t>
      </w:r>
      <w:r w:rsidR="00227F72">
        <w:rPr>
          <w:rFonts w:ascii="Calibri" w:hAnsi="Calibri" w:hint="eastAsia"/>
          <w:color w:val="auto"/>
          <w:sz w:val="24"/>
        </w:rPr>
        <w:t>0.000105</w:t>
      </w:r>
      <w:r w:rsidR="00227F72" w:rsidRPr="00A964FF">
        <w:rPr>
          <w:rFonts w:ascii="Calibri" w:hAnsi="Calibri"/>
          <w:color w:val="auto"/>
          <w:sz w:val="24"/>
        </w:rPr>
        <w:t>m</w:t>
      </w:r>
      <w:r w:rsidR="00227F72" w:rsidRPr="00A964FF">
        <w:rPr>
          <w:rFonts w:ascii="Calibri" w:hAnsi="Calibri"/>
          <w:color w:val="auto"/>
          <w:sz w:val="24"/>
          <w:vertAlign w:val="superscript"/>
        </w:rPr>
        <w:t>3</w:t>
      </w:r>
      <w:r w:rsidR="00227F72" w:rsidRPr="00A964FF">
        <w:rPr>
          <w:rFonts w:ascii="Calibri" w:hAnsi="Calibri"/>
          <w:color w:val="auto"/>
          <w:sz w:val="24"/>
        </w:rPr>
        <w:t>/d</w:t>
      </w:r>
      <w:r w:rsidR="00227F72">
        <w:rPr>
          <w:rFonts w:ascii="Calibri" w:hAnsi="Calibri" w:hint="eastAsia"/>
          <w:color w:val="auto"/>
          <w:sz w:val="24"/>
        </w:rPr>
        <w:t>，</w:t>
      </w:r>
      <w:r w:rsidR="00227F72" w:rsidRPr="00227F72">
        <w:rPr>
          <w:rFonts w:ascii="Calibri" w:hAnsi="Calibri" w:hint="eastAsia"/>
          <w:color w:val="auto"/>
          <w:sz w:val="24"/>
        </w:rPr>
        <w:t>废机油的密度以</w:t>
      </w:r>
      <w:r w:rsidR="00227F72" w:rsidRPr="00227F72">
        <w:rPr>
          <w:rFonts w:ascii="Calibri" w:hAnsi="Calibri" w:hint="eastAsia"/>
          <w:color w:val="auto"/>
          <w:sz w:val="24"/>
        </w:rPr>
        <w:t>910kg/m</w:t>
      </w:r>
      <w:r w:rsidR="00227F72" w:rsidRPr="00227F72">
        <w:rPr>
          <w:rFonts w:ascii="Calibri" w:hAnsi="Calibri" w:hint="eastAsia"/>
          <w:color w:val="auto"/>
          <w:sz w:val="24"/>
          <w:vertAlign w:val="superscript"/>
        </w:rPr>
        <w:t>3</w:t>
      </w:r>
      <w:r w:rsidR="00227F72" w:rsidRPr="00227F72">
        <w:rPr>
          <w:rFonts w:ascii="Calibri" w:hAnsi="Calibri" w:hint="eastAsia"/>
          <w:color w:val="auto"/>
          <w:sz w:val="24"/>
        </w:rPr>
        <w:t>计，则石油类渗透质量为</w:t>
      </w:r>
      <w:r w:rsidR="00227F72">
        <w:rPr>
          <w:rFonts w:ascii="Calibri" w:hAnsi="Calibri"/>
          <w:color w:val="auto"/>
          <w:sz w:val="24"/>
        </w:rPr>
        <w:t>0.096</w:t>
      </w:r>
      <w:r w:rsidR="00227F72" w:rsidRPr="00227F72">
        <w:rPr>
          <w:rFonts w:ascii="Calibri" w:hAnsi="Calibri" w:hint="eastAsia"/>
          <w:color w:val="auto"/>
          <w:sz w:val="24"/>
        </w:rPr>
        <w:t>kg/d</w:t>
      </w:r>
      <w:r w:rsidR="00227F72">
        <w:rPr>
          <w:rFonts w:ascii="Calibri" w:hAnsi="Calibri" w:hint="eastAsia"/>
          <w:color w:val="auto"/>
          <w:sz w:val="24"/>
        </w:rPr>
        <w:t>，即</w:t>
      </w:r>
      <w:r w:rsidR="00227F72">
        <w:rPr>
          <w:rFonts w:ascii="Calibri" w:hAnsi="Calibri"/>
          <w:color w:val="auto"/>
          <w:sz w:val="24"/>
        </w:rPr>
        <w:t>石油烃的年输入量为</w:t>
      </w:r>
      <w:r w:rsidR="009B7679">
        <w:rPr>
          <w:rFonts w:ascii="Calibri" w:hAnsi="Calibri"/>
          <w:color w:val="auto"/>
          <w:sz w:val="24"/>
        </w:rPr>
        <w:t>96</w:t>
      </w:r>
      <w:r w:rsidR="00227F72">
        <w:rPr>
          <w:rFonts w:ascii="Calibri" w:hAnsi="Calibri"/>
          <w:color w:val="auto"/>
          <w:sz w:val="24"/>
        </w:rPr>
        <w:t>g</w:t>
      </w:r>
      <w:r w:rsidR="00227F72">
        <w:rPr>
          <w:rFonts w:ascii="Calibri" w:hAnsi="Calibri" w:hint="eastAsia"/>
          <w:color w:val="auto"/>
          <w:sz w:val="24"/>
        </w:rPr>
        <w:t>。</w:t>
      </w:r>
    </w:p>
    <w:p w14:paraId="6F6A4B16" w14:textId="77777777" w:rsidR="00E67F58" w:rsidRPr="00A964FF" w:rsidRDefault="00E67F58" w:rsidP="00AA793F">
      <w:pPr>
        <w:pStyle w:val="00"/>
        <w:ind w:firstLineChars="200"/>
        <w:rPr>
          <w:rFonts w:ascii="Calibri" w:hAnsi="Times New Roman" w:cs="Times New Roman"/>
          <w:color w:val="auto"/>
        </w:rPr>
      </w:pPr>
      <w:r w:rsidRPr="00A964FF">
        <w:rPr>
          <w:rFonts w:ascii="Calibri" w:hAnsi="Times New Roman" w:hint="eastAsia"/>
          <w:color w:val="auto"/>
        </w:rPr>
        <w:lastRenderedPageBreak/>
        <w:t>（</w:t>
      </w:r>
      <w:r w:rsidRPr="00A964FF">
        <w:rPr>
          <w:rFonts w:ascii="Calibri" w:hAnsi="Times New Roman"/>
          <w:color w:val="auto"/>
        </w:rPr>
        <w:t>7</w:t>
      </w:r>
      <w:r w:rsidRPr="00A964FF">
        <w:rPr>
          <w:rFonts w:ascii="Calibri" w:hAnsi="Times New Roman" w:hint="eastAsia"/>
          <w:color w:val="auto"/>
        </w:rPr>
        <w:t>）影响预测</w:t>
      </w:r>
    </w:p>
    <w:p w14:paraId="5BCF6C06" w14:textId="77777777" w:rsidR="00E67F58" w:rsidRPr="00A964FF" w:rsidRDefault="00E67F58" w:rsidP="00E67F58">
      <w:pPr>
        <w:pStyle w:val="ad"/>
        <w:ind w:firstLineChars="200" w:firstLine="480"/>
        <w:rPr>
          <w:rFonts w:ascii="Calibri" w:eastAsia="宋体" w:cs="宋体"/>
          <w:b w:val="0"/>
          <w:color w:val="auto"/>
          <w:sz w:val="24"/>
        </w:rPr>
      </w:pPr>
      <w:r w:rsidRPr="00A964FF">
        <w:rPr>
          <w:rFonts w:ascii="Calibri" w:eastAsia="宋体" w:cs="宋体" w:hint="eastAsia"/>
          <w:b w:val="0"/>
          <w:color w:val="auto"/>
          <w:sz w:val="24"/>
        </w:rPr>
        <w:t>①</w:t>
      </w:r>
      <w:r w:rsidRPr="00A964FF">
        <w:rPr>
          <w:rFonts w:ascii="Calibri" w:eastAsia="宋体" w:cs="宋体"/>
          <w:b w:val="0"/>
          <w:color w:val="auto"/>
          <w:sz w:val="24"/>
        </w:rPr>
        <w:t xml:space="preserve"> </w:t>
      </w:r>
      <w:r w:rsidRPr="00A964FF">
        <w:rPr>
          <w:rFonts w:ascii="Calibri" w:eastAsia="宋体" w:cs="宋体" w:hint="eastAsia"/>
          <w:b w:val="0"/>
          <w:color w:val="auto"/>
          <w:sz w:val="24"/>
        </w:rPr>
        <w:t>包气带岩性分析</w:t>
      </w:r>
    </w:p>
    <w:p w14:paraId="3F7004B6" w14:textId="77777777" w:rsidR="00E67F58" w:rsidRPr="00A964FF" w:rsidRDefault="00E67F58" w:rsidP="00E67F58">
      <w:pPr>
        <w:pStyle w:val="ad"/>
        <w:ind w:firstLineChars="200" w:firstLine="480"/>
        <w:rPr>
          <w:rFonts w:ascii="Calibri" w:eastAsia="宋体" w:cs="宋体"/>
          <w:b w:val="0"/>
          <w:color w:val="auto"/>
          <w:sz w:val="24"/>
        </w:rPr>
      </w:pPr>
      <w:r w:rsidRPr="00A964FF">
        <w:rPr>
          <w:rFonts w:ascii="Calibri" w:eastAsia="宋体" w:cs="宋体" w:hint="eastAsia"/>
          <w:b w:val="0"/>
          <w:color w:val="auto"/>
          <w:sz w:val="24"/>
        </w:rPr>
        <w:t>包气带即地表与潜水面之间的地带，是地下含水层的天然保护层，是地表污染物质进入含水层的垂直过渡带。污染物质进入包气带便与周围介质发生物理化学生物化学等作用，其作用时间越长越充分，包气带净化能力越强。</w:t>
      </w:r>
    </w:p>
    <w:p w14:paraId="47718E7C" w14:textId="77777777" w:rsidR="00E67F58" w:rsidRPr="00A964FF" w:rsidRDefault="00E67F58" w:rsidP="00E67F58">
      <w:pPr>
        <w:pStyle w:val="ad"/>
        <w:ind w:firstLineChars="200" w:firstLine="480"/>
        <w:rPr>
          <w:rFonts w:ascii="Calibri" w:eastAsia="宋体" w:cs="宋体"/>
          <w:b w:val="0"/>
          <w:color w:val="auto"/>
          <w:sz w:val="24"/>
        </w:rPr>
      </w:pPr>
      <w:r w:rsidRPr="00A964FF">
        <w:rPr>
          <w:rFonts w:ascii="Calibri" w:eastAsia="宋体" w:cs="宋体" w:hint="eastAsia"/>
          <w:b w:val="0"/>
          <w:color w:val="auto"/>
          <w:sz w:val="24"/>
        </w:rPr>
        <w:t>包气带岩土对污染物质吸附能力大小与岩石颗粒大小及比表面积有关，通常粘性土大于砂性土。</w:t>
      </w:r>
    </w:p>
    <w:p w14:paraId="6A74191D" w14:textId="77777777" w:rsidR="00227F72" w:rsidRPr="00BB5174" w:rsidRDefault="00E67F58" w:rsidP="00227F72">
      <w:pPr>
        <w:pStyle w:val="ad"/>
        <w:ind w:firstLineChars="200" w:firstLine="480"/>
        <w:rPr>
          <w:rFonts w:ascii="Calibri" w:eastAsia="宋体" w:hAnsi="Cambria"/>
          <w:b w:val="0"/>
          <w:bCs/>
          <w:color w:val="000000" w:themeColor="text1"/>
          <w:sz w:val="24"/>
        </w:rPr>
      </w:pPr>
      <w:r w:rsidRPr="00A964FF">
        <w:rPr>
          <w:rFonts w:ascii="Calibri" w:eastAsia="宋体" w:hAnsi="Cambria" w:hint="eastAsia"/>
          <w:b w:val="0"/>
          <w:bCs/>
          <w:color w:val="auto"/>
          <w:sz w:val="24"/>
        </w:rPr>
        <w:t>根据调查，拟建厂区场地质构造相对较为简单，未有断层通过。通过水文地质钻孔资料，</w:t>
      </w:r>
      <w:r w:rsidR="00227F72" w:rsidRPr="00BB5174">
        <w:rPr>
          <w:rFonts w:ascii="Calibri" w:eastAsia="宋体" w:hAnsi="Cambria" w:hint="eastAsia"/>
          <w:b w:val="0"/>
          <w:bCs/>
          <w:color w:val="000000" w:themeColor="text1"/>
          <w:sz w:val="24"/>
        </w:rPr>
        <w:t>根据调查，拟建厂区场地质构造相对较为简单，未有断层通过。通过水文地质钻孔资料，项目区</w:t>
      </w:r>
      <w:r w:rsidR="00227F72" w:rsidRPr="00BB5174">
        <w:rPr>
          <w:rFonts w:ascii="Calibri" w:eastAsia="宋体" w:hAnsi="Cambria" w:hint="eastAsia"/>
          <w:b w:val="0"/>
          <w:bCs/>
          <w:color w:val="000000" w:themeColor="text1"/>
          <w:sz w:val="24"/>
        </w:rPr>
        <w:t>20m</w:t>
      </w:r>
      <w:r w:rsidR="00227F72" w:rsidRPr="00BB5174">
        <w:rPr>
          <w:rFonts w:ascii="Calibri" w:eastAsia="宋体" w:hAnsi="Cambria" w:hint="eastAsia"/>
          <w:b w:val="0"/>
          <w:bCs/>
          <w:color w:val="000000" w:themeColor="text1"/>
          <w:sz w:val="24"/>
        </w:rPr>
        <w:t>勘探深度内主要由第四系填土、粉质粘土、中细砂、粉质粘土、中细砂夹砂卵石等组成。厂址区浅层地下水属松散岩类孔隙水，浅层地下水主要赋存于第三层中细砂及第五层中细砂夹砾卵石中的弱承压水。勘察期间该层位地下水水位埋深为</w:t>
      </w:r>
      <w:r w:rsidR="00227F72" w:rsidRPr="00BB5174">
        <w:rPr>
          <w:rFonts w:ascii="Calibri" w:eastAsia="宋体" w:hAnsi="Cambria" w:hint="eastAsia"/>
          <w:b w:val="0"/>
          <w:bCs/>
          <w:color w:val="000000" w:themeColor="text1"/>
          <w:sz w:val="24"/>
        </w:rPr>
        <w:t>8.9</w:t>
      </w:r>
      <w:r w:rsidR="00227F72" w:rsidRPr="00BB5174">
        <w:rPr>
          <w:rFonts w:ascii="Calibri" w:eastAsia="宋体" w:hAnsi="Cambria" w:hint="eastAsia"/>
          <w:b w:val="0"/>
          <w:bCs/>
          <w:color w:val="000000" w:themeColor="text1"/>
          <w:sz w:val="24"/>
        </w:rPr>
        <w:t>米，对应的高程为</w:t>
      </w:r>
      <w:r w:rsidR="00227F72" w:rsidRPr="00BB5174">
        <w:rPr>
          <w:rFonts w:ascii="Calibri" w:eastAsia="宋体" w:hAnsi="Cambria" w:hint="eastAsia"/>
          <w:b w:val="0"/>
          <w:bCs/>
          <w:color w:val="000000" w:themeColor="text1"/>
          <w:sz w:val="24"/>
        </w:rPr>
        <w:t>70.50</w:t>
      </w:r>
      <w:r w:rsidR="00227F72" w:rsidRPr="00BB5174">
        <w:rPr>
          <w:rFonts w:ascii="Calibri" w:eastAsia="宋体" w:hAnsi="Cambria" w:hint="eastAsia"/>
          <w:b w:val="0"/>
          <w:bCs/>
          <w:color w:val="000000" w:themeColor="text1"/>
          <w:sz w:val="24"/>
        </w:rPr>
        <w:t>米，第一层为第四系素填土，深度为</w:t>
      </w:r>
      <w:r w:rsidR="00227F72" w:rsidRPr="00BB5174">
        <w:rPr>
          <w:rFonts w:ascii="Calibri" w:eastAsia="宋体" w:hAnsi="Cambria" w:hint="eastAsia"/>
          <w:b w:val="0"/>
          <w:bCs/>
          <w:color w:val="000000" w:themeColor="text1"/>
          <w:sz w:val="24"/>
        </w:rPr>
        <w:t>0.4m</w:t>
      </w:r>
      <w:r w:rsidR="00227F72" w:rsidRPr="00BB5174">
        <w:rPr>
          <w:rFonts w:ascii="Calibri" w:eastAsia="宋体" w:hAnsi="Cambria" w:hint="eastAsia"/>
          <w:b w:val="0"/>
          <w:bCs/>
          <w:color w:val="000000" w:themeColor="text1"/>
          <w:sz w:val="24"/>
        </w:rPr>
        <w:t>，第二层为粉质粘土，深度为</w:t>
      </w:r>
      <w:r w:rsidR="00227F72" w:rsidRPr="00BB5174">
        <w:rPr>
          <w:rFonts w:ascii="Calibri" w:eastAsia="宋体" w:hAnsi="Cambria" w:hint="eastAsia"/>
          <w:b w:val="0"/>
          <w:bCs/>
          <w:color w:val="000000" w:themeColor="text1"/>
          <w:sz w:val="24"/>
        </w:rPr>
        <w:t>8.5m</w:t>
      </w:r>
      <w:r w:rsidR="00227F72" w:rsidRPr="00BB5174">
        <w:rPr>
          <w:rFonts w:ascii="Calibri" w:eastAsia="宋体" w:hAnsi="Cambria" w:hint="eastAsia"/>
          <w:b w:val="0"/>
          <w:bCs/>
          <w:color w:val="000000" w:themeColor="text1"/>
          <w:sz w:val="24"/>
        </w:rPr>
        <w:t>。</w:t>
      </w:r>
    </w:p>
    <w:p w14:paraId="02F46739" w14:textId="77777777" w:rsidR="00227F72" w:rsidRPr="00227F72" w:rsidRDefault="00227F72" w:rsidP="00227F72">
      <w:pPr>
        <w:pStyle w:val="00"/>
        <w:rPr>
          <w:rFonts w:ascii="Calibri"/>
          <w:bCs/>
          <w:color w:val="000000" w:themeColor="text1"/>
        </w:rPr>
      </w:pPr>
      <w:r w:rsidRPr="00BB5174">
        <w:rPr>
          <w:rFonts w:ascii="Calibri" w:hint="eastAsia"/>
          <w:bCs/>
          <w:color w:val="000000" w:themeColor="text1"/>
        </w:rPr>
        <w:t>本项目各物质盛装容器均置于地面上，发生泄漏后在最不利的情况下，即存放区域地面出现裂隙，污染物全部进入土壤中，经</w:t>
      </w:r>
      <w:r w:rsidRPr="00BB5174">
        <w:rPr>
          <w:rFonts w:ascii="Calibri" w:hint="eastAsia"/>
          <w:bCs/>
          <w:color w:val="000000" w:themeColor="text1"/>
        </w:rPr>
        <w:t>0.4</w:t>
      </w:r>
      <w:r w:rsidRPr="00BB5174">
        <w:rPr>
          <w:rFonts w:ascii="Calibri"/>
          <w:bCs/>
          <w:color w:val="000000" w:themeColor="text1"/>
        </w:rPr>
        <w:t>m</w:t>
      </w:r>
      <w:r w:rsidRPr="00BB5174">
        <w:rPr>
          <w:rFonts w:ascii="Calibri" w:hint="eastAsia"/>
          <w:bCs/>
          <w:color w:val="000000" w:themeColor="text1"/>
        </w:rPr>
        <w:t>厚的第四系素填土和</w:t>
      </w:r>
      <w:r w:rsidRPr="00BB5174">
        <w:rPr>
          <w:rFonts w:ascii="Calibri" w:hint="eastAsia"/>
          <w:bCs/>
          <w:color w:val="000000" w:themeColor="text1"/>
        </w:rPr>
        <w:t>8.5</w:t>
      </w:r>
      <w:r w:rsidRPr="00BB5174">
        <w:rPr>
          <w:rFonts w:ascii="Calibri"/>
          <w:bCs/>
          <w:color w:val="000000" w:themeColor="text1"/>
        </w:rPr>
        <w:t>m</w:t>
      </w:r>
      <w:r w:rsidRPr="00BB5174">
        <w:rPr>
          <w:rFonts w:ascii="Calibri" w:hint="eastAsia"/>
          <w:bCs/>
          <w:color w:val="000000" w:themeColor="text1"/>
        </w:rPr>
        <w:t>厚的粉质粘土层进入浅层地下水。</w:t>
      </w:r>
    </w:p>
    <w:p w14:paraId="7528A895" w14:textId="77777777" w:rsidR="00E67F58" w:rsidRPr="00A964FF" w:rsidRDefault="00E67F58" w:rsidP="00E67F58">
      <w:pPr>
        <w:pStyle w:val="00"/>
        <w:rPr>
          <w:rFonts w:ascii="Calibri" w:hAnsi="Calibri"/>
          <w:color w:val="auto"/>
        </w:rPr>
      </w:pPr>
      <w:r w:rsidRPr="00A964FF">
        <w:rPr>
          <w:rFonts w:ascii="Calibri" w:hAnsi="Calibri" w:hint="eastAsia"/>
          <w:color w:val="auto"/>
        </w:rPr>
        <w:t>②</w:t>
      </w:r>
      <w:r w:rsidRPr="00A964FF">
        <w:rPr>
          <w:rFonts w:ascii="Calibri" w:hAnsi="Calibri"/>
          <w:color w:val="auto"/>
        </w:rPr>
        <w:t xml:space="preserve"> </w:t>
      </w:r>
      <w:r w:rsidRPr="00A964FF">
        <w:rPr>
          <w:rFonts w:ascii="Calibri" w:hAnsi="Calibri" w:hint="eastAsia"/>
          <w:color w:val="auto"/>
        </w:rPr>
        <w:t>预测软件</w:t>
      </w:r>
    </w:p>
    <w:p w14:paraId="33D842C9" w14:textId="77777777" w:rsidR="00E67F58" w:rsidRPr="00A964FF" w:rsidRDefault="00E67F58" w:rsidP="00E67F58">
      <w:pPr>
        <w:pStyle w:val="00"/>
        <w:rPr>
          <w:rFonts w:ascii="Calibri" w:hAnsi="Calibri"/>
          <w:color w:val="auto"/>
        </w:rPr>
      </w:pPr>
      <w:r w:rsidRPr="00A964FF">
        <w:rPr>
          <w:rFonts w:ascii="Calibri" w:hAnsi="Calibri" w:hint="eastAsia"/>
          <w:color w:val="auto"/>
        </w:rPr>
        <w:t>在本次预测与评价中应用</w:t>
      </w:r>
      <w:r w:rsidRPr="00A964FF">
        <w:rPr>
          <w:rFonts w:ascii="Calibri" w:hAnsi="Calibri"/>
          <w:color w:val="auto"/>
        </w:rPr>
        <w:t>HYDRUS</w:t>
      </w:r>
      <w:r w:rsidRPr="00A964FF">
        <w:rPr>
          <w:rFonts w:ascii="Calibri" w:hAnsi="Calibri" w:hint="eastAsia"/>
          <w:color w:val="auto"/>
        </w:rPr>
        <w:t>软件求解包气带中的水分与溶质迁移方程。</w:t>
      </w:r>
      <w:r w:rsidRPr="00A964FF">
        <w:rPr>
          <w:rFonts w:ascii="Calibri" w:hAnsi="Calibri"/>
          <w:color w:val="auto"/>
        </w:rPr>
        <w:t>HYDRUS</w:t>
      </w:r>
      <w:r w:rsidRPr="00A964FF">
        <w:rPr>
          <w:rFonts w:ascii="Calibri" w:hAnsi="Calibri" w:hint="eastAsia"/>
          <w:color w:val="auto"/>
        </w:rPr>
        <w:t>是由美国国家盐改中心（</w:t>
      </w:r>
      <w:r w:rsidRPr="00A964FF">
        <w:rPr>
          <w:rFonts w:ascii="Calibri" w:hAnsi="Calibri"/>
          <w:color w:val="auto"/>
        </w:rPr>
        <w:t>US Salinity laboratory</w:t>
      </w:r>
      <w:r w:rsidRPr="00A964FF">
        <w:rPr>
          <w:rFonts w:ascii="Calibri" w:hAnsi="Calibri" w:hint="eastAsia"/>
          <w:color w:val="auto"/>
        </w:rPr>
        <w:t>）于</w:t>
      </w:r>
      <w:r w:rsidRPr="00A964FF">
        <w:rPr>
          <w:rFonts w:ascii="Calibri" w:hAnsi="Calibri"/>
          <w:color w:val="auto"/>
        </w:rPr>
        <w:t>1991</w:t>
      </w:r>
      <w:r w:rsidRPr="00A964FF">
        <w:rPr>
          <w:rFonts w:ascii="Calibri" w:hAnsi="Calibri" w:hint="eastAsia"/>
          <w:color w:val="auto"/>
        </w:rPr>
        <w:t>年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它地下水、地表水模型相结合，从宏观上分析水资源的转化规律。后经过众多学者的开发研究，</w:t>
      </w:r>
      <w:r w:rsidRPr="00A964FF">
        <w:rPr>
          <w:rFonts w:ascii="Calibri" w:hAnsi="Calibri"/>
          <w:color w:val="auto"/>
        </w:rPr>
        <w:t>HYDRUS</w:t>
      </w:r>
      <w:r w:rsidRPr="00A964FF">
        <w:rPr>
          <w:rFonts w:ascii="Calibri" w:hAnsi="Calibri" w:hint="eastAsia"/>
          <w:color w:val="auto"/>
        </w:rPr>
        <w:t>的功能更加完善，已经非常成功的应用于世界各地地下饱和、非饱和带污染物运移研究。</w:t>
      </w:r>
    </w:p>
    <w:p w14:paraId="0A86DDBB" w14:textId="77777777" w:rsidR="00E67F58" w:rsidRPr="00A964FF" w:rsidRDefault="00E67F58" w:rsidP="00E67F58">
      <w:pPr>
        <w:pStyle w:val="00"/>
        <w:rPr>
          <w:rFonts w:ascii="Calibri" w:hAnsi="Calibri"/>
          <w:color w:val="auto"/>
        </w:rPr>
      </w:pPr>
      <w:r w:rsidRPr="00A964FF">
        <w:rPr>
          <w:rFonts w:ascii="Calibri" w:hAnsi="Calibri" w:hint="eastAsia"/>
          <w:color w:val="auto"/>
        </w:rPr>
        <w:lastRenderedPageBreak/>
        <w:t>③</w:t>
      </w:r>
      <w:r w:rsidRPr="00A964FF">
        <w:rPr>
          <w:rFonts w:ascii="Calibri" w:hAnsi="Calibri"/>
          <w:color w:val="auto"/>
        </w:rPr>
        <w:t xml:space="preserve"> </w:t>
      </w:r>
      <w:r w:rsidRPr="00A964FF">
        <w:rPr>
          <w:rFonts w:ascii="Calibri" w:hAnsi="Calibri" w:hint="eastAsia"/>
          <w:color w:val="auto"/>
        </w:rPr>
        <w:t>预测评价方法</w:t>
      </w:r>
    </w:p>
    <w:p w14:paraId="72F51810" w14:textId="77777777" w:rsidR="00E67F58" w:rsidRPr="00A964FF" w:rsidRDefault="00E67F58" w:rsidP="00E67F58">
      <w:pPr>
        <w:pStyle w:val="00"/>
        <w:rPr>
          <w:rFonts w:ascii="Calibri" w:hAnsi="Calibri"/>
          <w:color w:val="auto"/>
        </w:rPr>
      </w:pPr>
      <w:r w:rsidRPr="00A964FF">
        <w:rPr>
          <w:rFonts w:ascii="Calibri" w:hAnsi="Calibri" w:hint="eastAsia"/>
          <w:color w:val="auto"/>
        </w:rPr>
        <w:t>根据《环境影响评价技术导则</w:t>
      </w:r>
      <w:r w:rsidRPr="00A964FF">
        <w:rPr>
          <w:rFonts w:ascii="Calibri" w:hAnsi="Calibri"/>
          <w:color w:val="auto"/>
        </w:rPr>
        <w:t xml:space="preserve">  </w:t>
      </w:r>
      <w:r w:rsidRPr="00A964FF">
        <w:rPr>
          <w:rFonts w:ascii="Calibri" w:hAnsi="Calibri" w:hint="eastAsia"/>
          <w:color w:val="auto"/>
        </w:rPr>
        <w:t>土壤环境》（</w:t>
      </w:r>
      <w:r w:rsidRPr="00A964FF">
        <w:rPr>
          <w:rFonts w:ascii="Calibri" w:hAnsi="Calibri"/>
          <w:color w:val="auto"/>
        </w:rPr>
        <w:t>HJ964-2018</w:t>
      </w:r>
      <w:r w:rsidRPr="00A964FF">
        <w:rPr>
          <w:rFonts w:ascii="Calibri" w:hAnsi="Calibri" w:hint="eastAsia"/>
          <w:color w:val="auto"/>
        </w:rPr>
        <w:t>），本次评价选择附录</w:t>
      </w:r>
      <w:r w:rsidRPr="00A964FF">
        <w:rPr>
          <w:rFonts w:ascii="Calibri" w:hAnsi="Calibri"/>
          <w:color w:val="auto"/>
        </w:rPr>
        <w:t>E.1</w:t>
      </w:r>
      <w:r w:rsidRPr="00A964FF">
        <w:rPr>
          <w:rFonts w:ascii="Calibri" w:hAnsi="Calibri" w:hint="eastAsia"/>
          <w:color w:val="auto"/>
        </w:rPr>
        <w:t>方法二。</w:t>
      </w:r>
    </w:p>
    <w:p w14:paraId="3FA90271" w14:textId="77777777" w:rsidR="00E67F58" w:rsidRPr="00A964FF" w:rsidRDefault="00E67F58" w:rsidP="00E67F58">
      <w:pPr>
        <w:pStyle w:val="00"/>
        <w:rPr>
          <w:rFonts w:ascii="Calibri" w:hAnsi="Calibri"/>
          <w:color w:val="auto"/>
        </w:rPr>
      </w:pPr>
      <w:r w:rsidRPr="00A964FF">
        <w:rPr>
          <w:rFonts w:ascii="Calibri" w:hAnsi="Calibri" w:hint="eastAsia"/>
          <w:color w:val="auto"/>
        </w:rPr>
        <w:t>Ⅰ、一维非饱和溶质垂向运移控制方程</w:t>
      </w:r>
    </w:p>
    <w:p w14:paraId="51CF80CB" w14:textId="77777777" w:rsidR="00E67F58" w:rsidRPr="00A964FF" w:rsidRDefault="00E67F58" w:rsidP="00E67F58">
      <w:pPr>
        <w:pStyle w:val="00"/>
        <w:spacing w:line="240" w:lineRule="auto"/>
        <w:ind w:firstLine="482"/>
        <w:rPr>
          <w:rFonts w:ascii="Calibri" w:hAnsi="Calibri"/>
          <w:color w:val="auto"/>
        </w:rPr>
      </w:pPr>
    </w:p>
    <w:p w14:paraId="208CBA20" w14:textId="77777777" w:rsidR="00E67F58" w:rsidRPr="00A964FF" w:rsidRDefault="008B14EC" w:rsidP="008B14EC">
      <w:pPr>
        <w:spacing w:line="360" w:lineRule="auto"/>
        <w:ind w:firstLineChars="400" w:firstLine="960"/>
        <w:rPr>
          <w:color w:val="auto"/>
        </w:rPr>
      </w:pPr>
      <m:oMathPara>
        <m:oMath>
          <m:r>
            <m:rPr>
              <m:sty m:val="p"/>
            </m:rPr>
            <w:rPr>
              <w:rFonts w:ascii="Cambria Math" w:hAnsi="Cambria Math"/>
              <w:color w:val="auto"/>
              <w:sz w:val="24"/>
            </w:rPr>
            <m:t xml:space="preserve">  </m:t>
          </m:r>
          <m:f>
            <m:fPr>
              <m:ctrlPr>
                <w:rPr>
                  <w:rFonts w:ascii="Cambria Math" w:hAnsi="Cambria Math"/>
                  <w:color w:val="auto"/>
                  <w:sz w:val="24"/>
                </w:rPr>
              </m:ctrlPr>
            </m:fPr>
            <m:num>
              <m:r>
                <m:rPr>
                  <m:sty m:val="p"/>
                </m:rPr>
                <w:rPr>
                  <w:rFonts w:ascii="Cambria Math" w:hAnsi="Cambria Math"/>
                  <w:color w:val="auto"/>
                  <w:sz w:val="24"/>
                </w:rPr>
                <m:t>∂</m:t>
              </m:r>
              <m:d>
                <m:dPr>
                  <m:begChr m:val="（"/>
                  <m:endChr m:val="）"/>
                  <m:ctrlPr>
                    <w:rPr>
                      <w:rFonts w:ascii="Cambria Math" w:hAnsi="Cambria Math"/>
                      <w:color w:val="auto"/>
                      <w:sz w:val="24"/>
                    </w:rPr>
                  </m:ctrlPr>
                </m:dPr>
                <m:e>
                  <m:r>
                    <m:rPr>
                      <m:sty m:val="p"/>
                    </m:rPr>
                    <w:rPr>
                      <w:rFonts w:ascii="Cambria Math" w:hAnsi="Cambria Math"/>
                      <w:color w:val="auto"/>
                      <w:sz w:val="24"/>
                    </w:rPr>
                    <m:t>θc</m:t>
                  </m:r>
                </m:e>
              </m:d>
            </m:num>
            <m:den>
              <m:r>
                <m:rPr>
                  <m:sty m:val="p"/>
                </m:rPr>
                <w:rPr>
                  <w:rFonts w:ascii="Cambria Math" w:hAnsi="Cambria Math"/>
                  <w:color w:val="auto"/>
                  <w:sz w:val="24"/>
                </w:rPr>
                <m:t>∂t</m:t>
              </m:r>
            </m:den>
          </m:f>
          <m:r>
            <m:rPr>
              <m:sty m:val="p"/>
            </m:rPr>
            <w:rPr>
              <w:rFonts w:ascii="Cambria Math" w:hAnsi="Cambria Math"/>
              <w:color w:val="auto"/>
              <w:sz w:val="24"/>
            </w:rPr>
            <m:t>=</m:t>
          </m:r>
          <m:f>
            <m:fPr>
              <m:ctrlPr>
                <w:rPr>
                  <w:rFonts w:ascii="Cambria Math" w:hAnsi="Cambria Math"/>
                  <w:color w:val="auto"/>
                  <w:sz w:val="24"/>
                </w:rPr>
              </m:ctrlPr>
            </m:fPr>
            <m:num>
              <m:r>
                <m:rPr>
                  <m:sty m:val="p"/>
                </m:rPr>
                <w:rPr>
                  <w:rFonts w:ascii="Cambria Math" w:hAnsi="Cambria Math"/>
                  <w:color w:val="auto"/>
                  <w:sz w:val="24"/>
                </w:rPr>
                <m:t>∂</m:t>
              </m:r>
            </m:num>
            <m:den>
              <m:r>
                <m:rPr>
                  <m:sty m:val="p"/>
                </m:rPr>
                <w:rPr>
                  <w:rFonts w:ascii="Cambria Math" w:hAnsi="Cambria Math"/>
                  <w:color w:val="auto"/>
                  <w:sz w:val="24"/>
                </w:rPr>
                <m:t>∂z</m:t>
              </m:r>
            </m:den>
          </m:f>
          <m:d>
            <m:dPr>
              <m:begChr m:val="（"/>
              <m:endChr m:val="）"/>
              <m:ctrlPr>
                <w:rPr>
                  <w:rFonts w:ascii="Cambria Math" w:hAnsi="Cambria Math"/>
                  <w:color w:val="auto"/>
                  <w:sz w:val="24"/>
                </w:rPr>
              </m:ctrlPr>
            </m:dPr>
            <m:e>
              <m:r>
                <m:rPr>
                  <m:sty m:val="p"/>
                </m:rPr>
                <w:rPr>
                  <w:rFonts w:ascii="Cambria Math" w:hAnsi="Cambria Math"/>
                  <w:color w:val="auto"/>
                  <w:sz w:val="24"/>
                </w:rPr>
                <m:t>θD</m:t>
              </m:r>
              <m:f>
                <m:fPr>
                  <m:ctrlPr>
                    <w:rPr>
                      <w:rFonts w:ascii="Cambria Math" w:hAnsi="Cambria Math"/>
                      <w:color w:val="auto"/>
                      <w:sz w:val="24"/>
                    </w:rPr>
                  </m:ctrlPr>
                </m:fPr>
                <m:num>
                  <m:r>
                    <m:rPr>
                      <m:sty m:val="p"/>
                    </m:rPr>
                    <w:rPr>
                      <w:rFonts w:ascii="Cambria Math" w:hAnsi="Cambria Math"/>
                      <w:color w:val="auto"/>
                      <w:sz w:val="24"/>
                    </w:rPr>
                    <m:t>∂c</m:t>
                  </m:r>
                </m:num>
                <m:den>
                  <m:r>
                    <m:rPr>
                      <m:sty m:val="p"/>
                    </m:rPr>
                    <w:rPr>
                      <w:rFonts w:ascii="Cambria Math" w:hAnsi="Cambria Math"/>
                      <w:color w:val="auto"/>
                      <w:sz w:val="24"/>
                    </w:rPr>
                    <m:t>∂z</m:t>
                  </m:r>
                </m:den>
              </m:f>
            </m:e>
          </m:d>
          <m:r>
            <m:rPr>
              <m:sty m:val="p"/>
            </m:rPr>
            <w:rPr>
              <w:rFonts w:ascii="Cambria Math" w:hAnsi="Cambria Math"/>
              <w:color w:val="auto"/>
              <w:sz w:val="24"/>
            </w:rPr>
            <m:t>—</m:t>
          </m:r>
          <m:f>
            <m:fPr>
              <m:ctrlPr>
                <w:rPr>
                  <w:rFonts w:ascii="Cambria Math" w:hAnsi="Cambria Math"/>
                  <w:color w:val="auto"/>
                  <w:sz w:val="24"/>
                </w:rPr>
              </m:ctrlPr>
            </m:fPr>
            <m:num>
              <m:r>
                <m:rPr>
                  <m:sty m:val="p"/>
                </m:rPr>
                <w:rPr>
                  <w:rFonts w:ascii="Cambria Math" w:hAnsi="Cambria Math"/>
                  <w:color w:val="auto"/>
                  <w:sz w:val="24"/>
                </w:rPr>
                <m:t>∂</m:t>
              </m:r>
            </m:num>
            <m:den>
              <m:r>
                <m:rPr>
                  <m:sty m:val="p"/>
                </m:rPr>
                <w:rPr>
                  <w:rFonts w:ascii="Cambria Math" w:hAnsi="Cambria Math"/>
                  <w:color w:val="auto"/>
                  <w:sz w:val="24"/>
                </w:rPr>
                <m:t>∂z</m:t>
              </m:r>
            </m:den>
          </m:f>
          <m:r>
            <m:rPr>
              <m:sty m:val="p"/>
            </m:rPr>
            <w:rPr>
              <w:rFonts w:ascii="Cambria Math" w:hAnsi="Cambria Math"/>
              <w:color w:val="auto"/>
              <w:sz w:val="24"/>
            </w:rPr>
            <m:t>(qc)</m:t>
          </m:r>
        </m:oMath>
      </m:oMathPara>
    </w:p>
    <w:p w14:paraId="51CD10F3" w14:textId="77777777" w:rsidR="00E67F58" w:rsidRPr="00A964FF" w:rsidRDefault="00E67F58" w:rsidP="00E67F58">
      <w:pPr>
        <w:pStyle w:val="00"/>
        <w:spacing w:line="360" w:lineRule="auto"/>
        <w:ind w:firstLineChars="200"/>
        <w:rPr>
          <w:rFonts w:ascii="Calibri" w:hAnsi="Calibri"/>
          <w:color w:val="auto"/>
        </w:rPr>
      </w:pPr>
      <w:r w:rsidRPr="00A964FF">
        <w:rPr>
          <w:rFonts w:ascii="Calibri" w:hAnsi="Calibri" w:hint="eastAsia"/>
          <w:color w:val="auto"/>
        </w:rPr>
        <w:t>式中：</w:t>
      </w:r>
      <w:r w:rsidRPr="00A964FF">
        <w:rPr>
          <w:rFonts w:ascii="Calibri" w:hAnsi="Calibri"/>
          <w:color w:val="auto"/>
        </w:rPr>
        <w:t>c</w:t>
      </w:r>
      <w:r w:rsidRPr="00A964FF">
        <w:rPr>
          <w:rFonts w:ascii="Calibri" w:hAnsi="Calibri" w:hint="eastAsia"/>
          <w:color w:val="auto"/>
        </w:rPr>
        <w:t>——污染物介质中浓度，</w:t>
      </w:r>
      <w:r w:rsidR="00CC55BB" w:rsidRPr="00A964FF">
        <w:rPr>
          <w:rFonts w:ascii="Calibri" w:hAnsi="Calibri"/>
          <w:color w:val="auto"/>
        </w:rPr>
        <w:t>mg/L</w:t>
      </w:r>
      <w:r w:rsidRPr="00A964FF">
        <w:rPr>
          <w:rFonts w:ascii="Calibri" w:hAnsi="Calibri" w:hint="eastAsia"/>
          <w:color w:val="auto"/>
        </w:rPr>
        <w:t>；</w:t>
      </w:r>
    </w:p>
    <w:p w14:paraId="43102460" w14:textId="77777777" w:rsidR="00E67F58" w:rsidRPr="00A964FF" w:rsidRDefault="00E67F58" w:rsidP="00E67F58">
      <w:pPr>
        <w:pStyle w:val="00"/>
        <w:spacing w:line="360" w:lineRule="auto"/>
        <w:ind w:firstLineChars="200"/>
        <w:rPr>
          <w:rFonts w:ascii="Calibri" w:hAnsi="Calibri"/>
          <w:color w:val="auto"/>
        </w:rPr>
      </w:pPr>
      <w:r w:rsidRPr="00A964FF">
        <w:rPr>
          <w:rFonts w:ascii="Calibri" w:hAnsi="Calibri"/>
          <w:color w:val="auto"/>
        </w:rPr>
        <w:t xml:space="preserve">      D</w:t>
      </w:r>
      <w:r w:rsidRPr="00A964FF">
        <w:rPr>
          <w:rFonts w:ascii="Calibri" w:hAnsi="Calibri" w:hint="eastAsia"/>
          <w:color w:val="auto"/>
        </w:rPr>
        <w:t>——弥散系数，</w:t>
      </w:r>
      <w:r w:rsidRPr="00A964FF">
        <w:rPr>
          <w:rFonts w:ascii="Calibri" w:hAnsi="Calibri"/>
          <w:color w:val="auto"/>
        </w:rPr>
        <w:t>m</w:t>
      </w:r>
      <w:r w:rsidRPr="00A964FF">
        <w:rPr>
          <w:rFonts w:ascii="Calibri" w:hAnsi="Calibri"/>
          <w:color w:val="auto"/>
          <w:vertAlign w:val="superscript"/>
        </w:rPr>
        <w:t>2</w:t>
      </w:r>
      <w:r w:rsidRPr="00A964FF">
        <w:rPr>
          <w:rFonts w:ascii="Calibri" w:hAnsi="Calibri"/>
          <w:color w:val="auto"/>
        </w:rPr>
        <w:t>/d</w:t>
      </w:r>
      <w:r w:rsidRPr="00A964FF">
        <w:rPr>
          <w:rFonts w:ascii="Calibri" w:hAnsi="Calibri" w:hint="eastAsia"/>
          <w:color w:val="auto"/>
        </w:rPr>
        <w:t>；</w:t>
      </w:r>
    </w:p>
    <w:p w14:paraId="5D505881" w14:textId="77777777" w:rsidR="00E67F58" w:rsidRPr="00A964FF" w:rsidRDefault="00E67F58" w:rsidP="00E67F58">
      <w:pPr>
        <w:pStyle w:val="00"/>
        <w:spacing w:line="360" w:lineRule="auto"/>
        <w:ind w:firstLineChars="200"/>
        <w:rPr>
          <w:rFonts w:ascii="Calibri" w:hAnsi="Calibri"/>
          <w:color w:val="auto"/>
        </w:rPr>
      </w:pPr>
      <w:r w:rsidRPr="00A964FF">
        <w:rPr>
          <w:rFonts w:ascii="Calibri" w:hAnsi="Calibri"/>
          <w:color w:val="auto"/>
        </w:rPr>
        <w:t xml:space="preserve">      Z</w:t>
      </w:r>
      <w:r w:rsidRPr="00A964FF">
        <w:rPr>
          <w:rFonts w:ascii="Calibri" w:hAnsi="Calibri" w:hint="eastAsia"/>
          <w:color w:val="auto"/>
        </w:rPr>
        <w:t>——沿</w:t>
      </w:r>
      <w:r w:rsidRPr="00A964FF">
        <w:rPr>
          <w:rFonts w:ascii="Calibri" w:hAnsi="Calibri"/>
          <w:color w:val="auto"/>
        </w:rPr>
        <w:t>Z</w:t>
      </w:r>
      <w:r w:rsidRPr="00A964FF">
        <w:rPr>
          <w:rFonts w:ascii="Calibri" w:hAnsi="Calibri" w:hint="eastAsia"/>
          <w:color w:val="auto"/>
        </w:rPr>
        <w:t>轴的距离，</w:t>
      </w:r>
      <w:r w:rsidRPr="00A964FF">
        <w:rPr>
          <w:rFonts w:ascii="Calibri" w:hAnsi="Calibri"/>
          <w:color w:val="auto"/>
        </w:rPr>
        <w:t>m</w:t>
      </w:r>
      <w:r w:rsidRPr="00A964FF">
        <w:rPr>
          <w:rFonts w:ascii="Calibri" w:hAnsi="Calibri" w:hint="eastAsia"/>
          <w:color w:val="auto"/>
        </w:rPr>
        <w:t>；</w:t>
      </w:r>
    </w:p>
    <w:p w14:paraId="6E6040B3" w14:textId="77777777" w:rsidR="00E67F58" w:rsidRPr="00A964FF" w:rsidRDefault="00E67F58" w:rsidP="00E67F58">
      <w:pPr>
        <w:pStyle w:val="00"/>
        <w:spacing w:line="360" w:lineRule="auto"/>
        <w:ind w:firstLineChars="200"/>
        <w:rPr>
          <w:rFonts w:ascii="Calibri" w:hAnsi="Calibri"/>
          <w:color w:val="auto"/>
        </w:rPr>
      </w:pPr>
      <w:r w:rsidRPr="00A964FF">
        <w:rPr>
          <w:rFonts w:ascii="Calibri" w:hAnsi="Calibri"/>
          <w:color w:val="auto"/>
        </w:rPr>
        <w:t xml:space="preserve">      t</w:t>
      </w:r>
      <w:r w:rsidRPr="00A964FF">
        <w:rPr>
          <w:rFonts w:ascii="Calibri" w:hAnsi="Calibri" w:hint="eastAsia"/>
          <w:color w:val="auto"/>
        </w:rPr>
        <w:t>——时间变量，</w:t>
      </w:r>
      <w:r w:rsidRPr="00A964FF">
        <w:rPr>
          <w:rFonts w:ascii="Calibri" w:hAnsi="Calibri"/>
          <w:color w:val="auto"/>
        </w:rPr>
        <w:t>d</w:t>
      </w:r>
      <w:r w:rsidRPr="00A964FF">
        <w:rPr>
          <w:rFonts w:ascii="Calibri" w:hAnsi="Calibri" w:hint="eastAsia"/>
          <w:color w:val="auto"/>
        </w:rPr>
        <w:t>；</w:t>
      </w:r>
    </w:p>
    <w:p w14:paraId="7D9F0C2F" w14:textId="77777777" w:rsidR="00E67F58" w:rsidRPr="00A964FF" w:rsidRDefault="00E67F58" w:rsidP="00E67F58">
      <w:pPr>
        <w:pStyle w:val="00"/>
        <w:spacing w:line="360" w:lineRule="auto"/>
        <w:ind w:firstLineChars="200"/>
        <w:rPr>
          <w:rFonts w:ascii="Calibri" w:hAnsi="Calibri"/>
          <w:color w:val="auto"/>
        </w:rPr>
      </w:pPr>
      <w:r w:rsidRPr="00A964FF">
        <w:rPr>
          <w:rFonts w:ascii="Calibri" w:hAnsi="Calibri"/>
          <w:color w:val="auto"/>
        </w:rPr>
        <w:t xml:space="preserve">      θ</w:t>
      </w:r>
      <w:r w:rsidRPr="00A964FF">
        <w:rPr>
          <w:rFonts w:ascii="Calibri" w:hAnsi="Calibri" w:hint="eastAsia"/>
          <w:color w:val="auto"/>
        </w:rPr>
        <w:t>——土壤含水率，</w:t>
      </w:r>
      <w:r w:rsidRPr="00A964FF">
        <w:rPr>
          <w:rFonts w:ascii="Calibri" w:hAnsi="Calibri"/>
          <w:color w:val="auto"/>
        </w:rPr>
        <w:t>%</w:t>
      </w:r>
      <w:r w:rsidRPr="00A964FF">
        <w:rPr>
          <w:rFonts w:ascii="Calibri" w:hAnsi="Calibri" w:hint="eastAsia"/>
          <w:color w:val="auto"/>
        </w:rPr>
        <w:t>。</w:t>
      </w:r>
    </w:p>
    <w:p w14:paraId="59A35C56" w14:textId="77777777" w:rsidR="00E67F58" w:rsidRPr="00A964FF" w:rsidRDefault="00E67F58" w:rsidP="00E67F58">
      <w:pPr>
        <w:pStyle w:val="00"/>
        <w:spacing w:line="360" w:lineRule="auto"/>
        <w:ind w:firstLineChars="200"/>
        <w:rPr>
          <w:rFonts w:ascii="Calibri" w:hAnsi="Calibri"/>
          <w:color w:val="auto"/>
        </w:rPr>
      </w:pPr>
      <w:r w:rsidRPr="00A964FF">
        <w:rPr>
          <w:rFonts w:ascii="Calibri" w:hAnsi="Calibri"/>
          <w:color w:val="auto"/>
        </w:rPr>
        <w:t>II</w:t>
      </w:r>
      <w:r w:rsidRPr="00A964FF">
        <w:rPr>
          <w:rFonts w:ascii="Calibri" w:hAnsi="Calibri" w:hint="eastAsia"/>
          <w:color w:val="auto"/>
        </w:rPr>
        <w:t>、初始条件</w:t>
      </w:r>
    </w:p>
    <w:p w14:paraId="6B1A336B" w14:textId="77777777" w:rsidR="00E67F58" w:rsidRPr="00A964FF" w:rsidRDefault="00E67F58" w:rsidP="00E67F58">
      <w:pPr>
        <w:pStyle w:val="00"/>
        <w:ind w:firstLineChars="200"/>
        <w:jc w:val="center"/>
        <w:rPr>
          <w:rFonts w:ascii="Calibri" w:hAnsi="Times New Roman" w:cs="Times New Roman"/>
          <w:color w:val="auto"/>
        </w:rPr>
      </w:pPr>
      <w:r w:rsidRPr="00A964FF">
        <w:rPr>
          <w:rFonts w:ascii="Calibri" w:hAnsi="Times New Roman"/>
          <w:color w:val="auto"/>
        </w:rPr>
        <w:t>C</w:t>
      </w:r>
      <w:r w:rsidRPr="00A964FF">
        <w:rPr>
          <w:rFonts w:ascii="Calibri" w:hAnsi="Times New Roman" w:hint="eastAsia"/>
          <w:color w:val="auto"/>
        </w:rPr>
        <w:t>（</w:t>
      </w:r>
      <w:r w:rsidRPr="00A964FF">
        <w:rPr>
          <w:rFonts w:ascii="Calibri" w:hAnsi="Times New Roman"/>
          <w:color w:val="auto"/>
        </w:rPr>
        <w:t>z</w:t>
      </w:r>
      <w:r w:rsidRPr="00A964FF">
        <w:rPr>
          <w:rFonts w:ascii="Calibri" w:hAnsi="Times New Roman" w:hint="eastAsia"/>
          <w:color w:val="auto"/>
        </w:rPr>
        <w:t>，</w:t>
      </w:r>
      <w:r w:rsidRPr="00A964FF">
        <w:rPr>
          <w:rFonts w:ascii="Calibri" w:hAnsi="Times New Roman"/>
          <w:color w:val="auto"/>
        </w:rPr>
        <w:t>t</w:t>
      </w:r>
      <w:r w:rsidRPr="00A964FF">
        <w:rPr>
          <w:rFonts w:ascii="Calibri" w:hAnsi="Times New Roman" w:hint="eastAsia"/>
          <w:color w:val="auto"/>
        </w:rPr>
        <w:t>）</w:t>
      </w:r>
      <w:r w:rsidRPr="00A964FF">
        <w:rPr>
          <w:rFonts w:ascii="Calibri" w:hAnsi="Times New Roman"/>
          <w:color w:val="auto"/>
        </w:rPr>
        <w:t>=0     t=0</w:t>
      </w:r>
      <w:r w:rsidRPr="00A964FF">
        <w:rPr>
          <w:rFonts w:ascii="Calibri" w:hAnsi="Times New Roman" w:hint="eastAsia"/>
          <w:color w:val="auto"/>
        </w:rPr>
        <w:t>，</w:t>
      </w:r>
      <w:r w:rsidRPr="00A964FF">
        <w:rPr>
          <w:rFonts w:ascii="Calibri" w:hAnsi="Times New Roman"/>
          <w:color w:val="auto"/>
        </w:rPr>
        <w:t>L</w:t>
      </w:r>
      <w:r w:rsidRPr="00A964FF">
        <w:rPr>
          <w:rFonts w:ascii="Calibri" w:hAnsi="Times New Roman" w:hint="eastAsia"/>
          <w:color w:val="auto"/>
        </w:rPr>
        <w:t>≤</w:t>
      </w:r>
      <w:r w:rsidRPr="00A964FF">
        <w:rPr>
          <w:rFonts w:ascii="Calibri" w:hAnsi="Times New Roman"/>
          <w:color w:val="auto"/>
        </w:rPr>
        <w:t>z</w:t>
      </w:r>
      <w:r w:rsidRPr="00A964FF">
        <w:rPr>
          <w:rFonts w:ascii="Calibri" w:hAnsi="Times New Roman" w:hint="eastAsia"/>
          <w:color w:val="auto"/>
        </w:rPr>
        <w:t>＜</w:t>
      </w:r>
      <w:r w:rsidRPr="00A964FF">
        <w:rPr>
          <w:rFonts w:ascii="Calibri" w:hAnsi="Times New Roman"/>
          <w:color w:val="auto"/>
        </w:rPr>
        <w:t>0</w:t>
      </w:r>
    </w:p>
    <w:p w14:paraId="67338A74" w14:textId="77777777" w:rsidR="00E67F58" w:rsidRPr="00A964FF" w:rsidRDefault="00E67F58" w:rsidP="00E67F58">
      <w:pPr>
        <w:pStyle w:val="00"/>
        <w:ind w:firstLineChars="200"/>
        <w:rPr>
          <w:rFonts w:ascii="Calibri" w:hAnsi="Times New Roman"/>
          <w:color w:val="auto"/>
        </w:rPr>
      </w:pPr>
      <w:r w:rsidRPr="00A964FF">
        <w:rPr>
          <w:rFonts w:ascii="Calibri" w:hAnsi="Times New Roman"/>
          <w:color w:val="auto"/>
        </w:rPr>
        <w:t>III</w:t>
      </w:r>
      <w:r w:rsidRPr="00A964FF">
        <w:rPr>
          <w:rFonts w:ascii="Calibri" w:hAnsi="Times New Roman" w:hint="eastAsia"/>
          <w:color w:val="auto"/>
        </w:rPr>
        <w:t>、边界条件</w:t>
      </w:r>
    </w:p>
    <w:p w14:paraId="3F536446" w14:textId="77777777" w:rsidR="00E67F58" w:rsidRPr="00A964FF" w:rsidRDefault="00E67F58" w:rsidP="00E67F58">
      <w:pPr>
        <w:pStyle w:val="00"/>
        <w:rPr>
          <w:rFonts w:ascii="Calibri" w:hAnsi="Calibri"/>
          <w:color w:val="auto"/>
        </w:rPr>
      </w:pPr>
      <w:r w:rsidRPr="00A964FF">
        <w:rPr>
          <w:rFonts w:ascii="Calibri" w:hAnsi="Calibri" w:hint="eastAsia"/>
          <w:color w:val="auto"/>
        </w:rPr>
        <w:t>上边界条件：</w:t>
      </w:r>
    </w:p>
    <w:p w14:paraId="7D3AACFD" w14:textId="77777777" w:rsidR="00E67F58" w:rsidRPr="00A964FF" w:rsidRDefault="00E67F58" w:rsidP="00E67F58">
      <w:pPr>
        <w:pStyle w:val="00"/>
        <w:ind w:firstLineChars="200"/>
        <w:rPr>
          <w:rFonts w:ascii="Calibri" w:hAnsi="Calibri"/>
          <w:color w:val="auto"/>
        </w:rPr>
      </w:pPr>
      <w:r w:rsidRPr="00A964FF">
        <w:rPr>
          <w:rFonts w:ascii="Calibri" w:hAnsi="Calibri" w:hint="eastAsia"/>
          <w:color w:val="auto"/>
        </w:rPr>
        <w:t>在连续点源污染的情境下，地表为给定浓度的第一类</w:t>
      </w:r>
      <w:r w:rsidRPr="00A964FF">
        <w:rPr>
          <w:rFonts w:ascii="Calibri" w:hAnsi="Calibri"/>
          <w:color w:val="auto"/>
        </w:rPr>
        <w:t>Dirichlet</w:t>
      </w:r>
      <w:r w:rsidRPr="00A964FF">
        <w:rPr>
          <w:rFonts w:ascii="Calibri" w:hAnsi="Calibri" w:hint="eastAsia"/>
          <w:color w:val="auto"/>
        </w:rPr>
        <w:t>边界条件。</w:t>
      </w:r>
    </w:p>
    <w:p w14:paraId="4F0B64C3" w14:textId="77777777" w:rsidR="00E67F58" w:rsidRPr="00A964FF" w:rsidRDefault="00E67F58" w:rsidP="00E67F58">
      <w:pPr>
        <w:pStyle w:val="00"/>
        <w:ind w:firstLineChars="200"/>
        <w:jc w:val="center"/>
        <w:rPr>
          <w:rFonts w:ascii="Calibri" w:hAnsi="Times New Roman"/>
          <w:color w:val="auto"/>
        </w:rPr>
      </w:pPr>
    </w:p>
    <w:p w14:paraId="03257A9D" w14:textId="77777777" w:rsidR="00E67F58" w:rsidRPr="00A964FF" w:rsidRDefault="00E67F58" w:rsidP="00E67F58">
      <w:pPr>
        <w:pStyle w:val="00"/>
        <w:ind w:firstLineChars="200"/>
        <w:jc w:val="center"/>
        <w:rPr>
          <w:rFonts w:ascii="Calibri" w:hAnsi="Times New Roman"/>
          <w:color w:val="auto"/>
        </w:rPr>
      </w:pPr>
    </w:p>
    <w:p w14:paraId="4FDD907B" w14:textId="77777777" w:rsidR="00E67F58" w:rsidRPr="00A964FF" w:rsidRDefault="00E67F58" w:rsidP="00E67F58">
      <w:pPr>
        <w:pStyle w:val="00"/>
        <w:ind w:firstLineChars="200"/>
        <w:jc w:val="center"/>
        <w:rPr>
          <w:rFonts w:ascii="Calibri" w:hAnsi="Times New Roman" w:cs="Times New Roman"/>
          <w:color w:val="auto"/>
        </w:rPr>
      </w:pPr>
      <w:r w:rsidRPr="00A964FF">
        <w:rPr>
          <w:rFonts w:ascii="Calibri" w:hAnsi="Times New Roman"/>
          <w:color w:val="auto"/>
        </w:rPr>
        <w:t>C</w:t>
      </w:r>
      <w:r w:rsidRPr="00A964FF">
        <w:rPr>
          <w:rFonts w:ascii="Calibri" w:hAnsi="Times New Roman" w:hint="eastAsia"/>
          <w:color w:val="auto"/>
        </w:rPr>
        <w:t>（</w:t>
      </w:r>
      <w:r w:rsidRPr="00A964FF">
        <w:rPr>
          <w:rFonts w:ascii="Calibri" w:hAnsi="Times New Roman"/>
          <w:color w:val="auto"/>
        </w:rPr>
        <w:t>z</w:t>
      </w:r>
      <w:r w:rsidRPr="00A964FF">
        <w:rPr>
          <w:rFonts w:ascii="Calibri" w:hAnsi="Times New Roman" w:hint="eastAsia"/>
          <w:color w:val="auto"/>
        </w:rPr>
        <w:t>，</w:t>
      </w:r>
      <w:r w:rsidRPr="00A964FF">
        <w:rPr>
          <w:rFonts w:ascii="Calibri" w:hAnsi="Times New Roman"/>
          <w:color w:val="auto"/>
        </w:rPr>
        <w:t>t</w:t>
      </w:r>
      <w:r w:rsidRPr="00A964FF">
        <w:rPr>
          <w:rFonts w:ascii="Calibri" w:hAnsi="Times New Roman" w:hint="eastAsia"/>
          <w:color w:val="auto"/>
        </w:rPr>
        <w:t>）</w:t>
      </w:r>
      <w:r w:rsidRPr="00A964FF">
        <w:rPr>
          <w:rFonts w:ascii="Calibri" w:hAnsi="Times New Roman"/>
          <w:color w:val="auto"/>
        </w:rPr>
        <w:t>=0     t=0</w:t>
      </w:r>
      <w:r w:rsidRPr="00A964FF">
        <w:rPr>
          <w:rFonts w:ascii="Calibri" w:hAnsi="Times New Roman" w:hint="eastAsia"/>
          <w:color w:val="auto"/>
        </w:rPr>
        <w:t>，</w:t>
      </w:r>
      <w:r w:rsidRPr="00A964FF">
        <w:rPr>
          <w:rFonts w:ascii="Calibri" w:hAnsi="Times New Roman"/>
          <w:color w:val="auto"/>
        </w:rPr>
        <w:t>L</w:t>
      </w:r>
      <w:r w:rsidRPr="00A964FF">
        <w:rPr>
          <w:rFonts w:ascii="Calibri" w:hAnsi="Times New Roman" w:hint="eastAsia"/>
          <w:color w:val="auto"/>
        </w:rPr>
        <w:t>≤</w:t>
      </w:r>
      <w:r w:rsidRPr="00A964FF">
        <w:rPr>
          <w:rFonts w:ascii="Calibri" w:hAnsi="Times New Roman"/>
          <w:color w:val="auto"/>
        </w:rPr>
        <w:t>z</w:t>
      </w:r>
      <w:r w:rsidRPr="00A964FF">
        <w:rPr>
          <w:rFonts w:ascii="Calibri" w:hAnsi="Times New Roman" w:hint="eastAsia"/>
          <w:color w:val="auto"/>
        </w:rPr>
        <w:t>＜</w:t>
      </w:r>
      <w:r w:rsidRPr="00A964FF">
        <w:rPr>
          <w:rFonts w:ascii="Calibri" w:hAnsi="Times New Roman"/>
          <w:color w:val="auto"/>
        </w:rPr>
        <w:t>0</w:t>
      </w:r>
    </w:p>
    <w:p w14:paraId="01FCA86A" w14:textId="77777777" w:rsidR="00E67F58" w:rsidRPr="00A964FF" w:rsidRDefault="008B14EC" w:rsidP="008B14EC">
      <w:pPr>
        <w:spacing w:line="360" w:lineRule="auto"/>
        <w:ind w:firstLineChars="1450" w:firstLine="3480"/>
        <w:rPr>
          <w:rFonts w:ascii="Calibri" w:hAnsi="Calibri"/>
          <w:color w:val="auto"/>
          <w:sz w:val="24"/>
        </w:rPr>
      </w:pPr>
      <m:oMathPara>
        <m:oMathParaPr>
          <m:jc m:val="center"/>
        </m:oMathParaPr>
        <m:oMath>
          <m:r>
            <m:rPr>
              <m:sty m:val="p"/>
            </m:rPr>
            <w:rPr>
              <w:rFonts w:ascii="Cambria Math" w:hAnsi="Cambria Math"/>
              <w:color w:val="auto"/>
              <w:sz w:val="24"/>
            </w:rPr>
            <m:t>c</m:t>
          </m:r>
          <m:d>
            <m:dPr>
              <m:begChr m:val="（"/>
              <m:endChr m:val="）"/>
              <m:ctrlPr>
                <w:rPr>
                  <w:rFonts w:ascii="Cambria Math" w:hAnsi="Cambria Math"/>
                  <w:color w:val="auto"/>
                  <w:sz w:val="24"/>
                </w:rPr>
              </m:ctrlPr>
            </m:dPr>
            <m:e>
              <m:r>
                <m:rPr>
                  <m:sty m:val="p"/>
                </m:rPr>
                <w:rPr>
                  <w:rFonts w:ascii="Cambria Math" w:hAnsi="Cambria Math"/>
                  <w:color w:val="auto"/>
                  <w:sz w:val="24"/>
                </w:rPr>
                <m:t>z</m:t>
              </m:r>
              <m:r>
                <m:rPr>
                  <m:sty m:val="p"/>
                </m:rPr>
                <w:rPr>
                  <w:rFonts w:ascii="Cambria Math" w:hAnsi="Cambria Math" w:hint="eastAsia"/>
                  <w:color w:val="auto"/>
                  <w:sz w:val="24"/>
                </w:rPr>
                <m:t>，</m:t>
              </m:r>
              <m:r>
                <m:rPr>
                  <m:sty m:val="p"/>
                </m:rPr>
                <w:rPr>
                  <w:rFonts w:ascii="Cambria Math" w:hAnsi="Cambria Math"/>
                  <w:color w:val="auto"/>
                  <w:sz w:val="24"/>
                </w:rPr>
                <m:t>t</m:t>
              </m:r>
            </m:e>
          </m:d>
          <m:r>
            <m:rPr>
              <m:sty m:val="p"/>
            </m:rPr>
            <w:rPr>
              <w:rFonts w:ascii="Cambria Math" w:hAnsi="Cambria Math"/>
              <w:color w:val="auto"/>
              <w:sz w:val="24"/>
            </w:rPr>
            <m:t>=</m:t>
          </m:r>
          <m:d>
            <m:dPr>
              <m:begChr m:val="{"/>
              <m:endChr m:val=""/>
              <m:ctrlPr>
                <w:rPr>
                  <w:rFonts w:ascii="Cambria Math" w:hAnsi="Cambria Math"/>
                  <w:color w:val="auto"/>
                  <w:sz w:val="24"/>
                </w:rPr>
              </m:ctrlPr>
            </m:dPr>
            <m:e>
              <m:eqArr>
                <m:eqArrPr>
                  <m:ctrlPr>
                    <w:rPr>
                      <w:rFonts w:ascii="Cambria Math" w:hAnsi="Cambria Math"/>
                      <w:color w:val="auto"/>
                      <w:sz w:val="24"/>
                    </w:rPr>
                  </m:ctrlPr>
                </m:eqArrPr>
                <m:e>
                  <m:sSub>
                    <m:sSubPr>
                      <m:ctrlPr>
                        <w:rPr>
                          <w:rFonts w:ascii="Cambria Math" w:hAnsi="Cambria Math"/>
                          <w:color w:val="auto"/>
                          <w:sz w:val="24"/>
                        </w:rPr>
                      </m:ctrlPr>
                    </m:sSubPr>
                    <m:e>
                      <m:r>
                        <m:rPr>
                          <m:sty m:val="p"/>
                        </m:rPr>
                        <w:rPr>
                          <w:rFonts w:ascii="Cambria Math" w:hAnsi="Cambria Math"/>
                          <w:color w:val="auto"/>
                          <w:sz w:val="24"/>
                        </w:rPr>
                        <m:t>C</m:t>
                      </m:r>
                    </m:e>
                    <m:sub>
                      <m:r>
                        <m:rPr>
                          <m:sty m:val="p"/>
                        </m:rPr>
                        <w:rPr>
                          <w:rFonts w:ascii="Cambria Math" w:hAnsi="Cambria Math"/>
                          <w:color w:val="auto"/>
                          <w:sz w:val="24"/>
                        </w:rPr>
                        <m:t>0</m:t>
                      </m:r>
                    </m:sub>
                  </m:sSub>
                </m:e>
                <m:e>
                  <m:r>
                    <m:rPr>
                      <m:sty m:val="p"/>
                    </m:rPr>
                    <w:rPr>
                      <w:rFonts w:ascii="Cambria Math" w:hAnsi="Cambria Math"/>
                      <w:color w:val="auto"/>
                      <w:sz w:val="24"/>
                    </w:rPr>
                    <m:t>0</m:t>
                  </m:r>
                </m:e>
              </m:eqArr>
            </m:e>
          </m:d>
          <m:r>
            <m:rPr>
              <m:sty m:val="p"/>
            </m:rPr>
            <w:rPr>
              <w:rFonts w:ascii="Cambria Math" w:hAnsi="Cambria Math"/>
              <w:color w:val="auto"/>
              <w:sz w:val="24"/>
            </w:rPr>
            <m:t xml:space="preserve">   </m:t>
          </m:r>
          <m:m>
            <m:mPr>
              <m:mcs>
                <m:mc>
                  <m:mcPr>
                    <m:count m:val="1"/>
                    <m:mcJc m:val="center"/>
                  </m:mcPr>
                </m:mc>
              </m:mcs>
              <m:ctrlPr>
                <w:rPr>
                  <w:rFonts w:ascii="Cambria Math" w:hAnsi="Cambria Math"/>
                  <w:color w:val="auto"/>
                  <w:sz w:val="24"/>
                </w:rPr>
              </m:ctrlPr>
            </m:mPr>
            <m:mr>
              <m:e>
                <m:r>
                  <m:rPr>
                    <m:sty m:val="p"/>
                  </m:rPr>
                  <w:rPr>
                    <w:rFonts w:ascii="Cambria Math" w:hAnsi="Cambria Math"/>
                    <w:color w:val="auto"/>
                    <w:sz w:val="24"/>
                  </w:rPr>
                  <m:t>0</m:t>
                </m:r>
                <m:r>
                  <m:rPr>
                    <m:sty m:val="p"/>
                  </m:rPr>
                  <w:rPr>
                    <w:rFonts w:ascii="Cambria Math" w:hAnsi="Cambria Math" w:hint="eastAsia"/>
                    <w:color w:val="auto"/>
                    <w:sz w:val="24"/>
                  </w:rPr>
                  <m:t>＜</m:t>
                </m:r>
                <m:r>
                  <m:rPr>
                    <m:sty m:val="p"/>
                  </m:rPr>
                  <w:rPr>
                    <w:rFonts w:ascii="Cambria Math" w:hAnsi="Cambria Math"/>
                    <w:color w:val="auto"/>
                    <w:sz w:val="24"/>
                  </w:rPr>
                  <m:t>t≤</m:t>
                </m:r>
                <m:sSub>
                  <m:sSubPr>
                    <m:ctrlPr>
                      <w:rPr>
                        <w:rFonts w:ascii="Cambria Math" w:hAnsi="Cambria Math"/>
                        <w:color w:val="auto"/>
                        <w:sz w:val="24"/>
                      </w:rPr>
                    </m:ctrlPr>
                  </m:sSubPr>
                  <m:e>
                    <m:r>
                      <m:rPr>
                        <m:sty m:val="p"/>
                      </m:rPr>
                      <w:rPr>
                        <w:rFonts w:ascii="Cambria Math" w:hAnsi="Cambria Math"/>
                        <w:color w:val="auto"/>
                        <w:sz w:val="24"/>
                      </w:rPr>
                      <m:t>t</m:t>
                    </m:r>
                  </m:e>
                  <m:sub>
                    <m:r>
                      <m:rPr>
                        <m:sty m:val="p"/>
                      </m:rPr>
                      <w:rPr>
                        <w:rFonts w:ascii="Cambria Math" w:hAnsi="Cambria Math"/>
                        <w:color w:val="auto"/>
                        <w:sz w:val="24"/>
                      </w:rPr>
                      <m:t>0</m:t>
                    </m:r>
                  </m:sub>
                </m:sSub>
              </m:e>
            </m:mr>
            <m:mr>
              <m:e>
                <m:r>
                  <m:rPr>
                    <m:sty m:val="p"/>
                  </m:rPr>
                  <w:rPr>
                    <w:rFonts w:ascii="Cambria Math" w:hAnsi="Cambria Math"/>
                    <w:color w:val="auto"/>
                    <w:sz w:val="24"/>
                  </w:rPr>
                  <m:t>t</m:t>
                </m:r>
                <m:r>
                  <m:rPr>
                    <m:sty m:val="p"/>
                  </m:rPr>
                  <w:rPr>
                    <w:rFonts w:ascii="Cambria Math" w:hAnsi="Cambria Math" w:hint="eastAsia"/>
                    <w:color w:val="auto"/>
                    <w:sz w:val="24"/>
                  </w:rPr>
                  <m:t>＞</m:t>
                </m:r>
                <m:sSub>
                  <m:sSubPr>
                    <m:ctrlPr>
                      <w:rPr>
                        <w:rFonts w:ascii="Cambria Math" w:hAnsi="Cambria Math"/>
                        <w:color w:val="auto"/>
                        <w:sz w:val="24"/>
                      </w:rPr>
                    </m:ctrlPr>
                  </m:sSubPr>
                  <m:e>
                    <m:r>
                      <m:rPr>
                        <m:sty m:val="p"/>
                      </m:rPr>
                      <w:rPr>
                        <w:rFonts w:ascii="Cambria Math" w:hAnsi="Cambria Math"/>
                        <w:color w:val="auto"/>
                        <w:sz w:val="24"/>
                      </w:rPr>
                      <m:t>t</m:t>
                    </m:r>
                  </m:e>
                  <m:sub>
                    <m:r>
                      <m:rPr>
                        <m:sty m:val="p"/>
                      </m:rPr>
                      <w:rPr>
                        <w:rFonts w:ascii="Cambria Math" w:hAnsi="Cambria Math"/>
                        <w:color w:val="auto"/>
                        <w:sz w:val="24"/>
                      </w:rPr>
                      <m:t>0</m:t>
                    </m:r>
                  </m:sub>
                </m:sSub>
              </m:e>
            </m:mr>
          </m:m>
        </m:oMath>
      </m:oMathPara>
    </w:p>
    <w:p w14:paraId="54D599F0" w14:textId="77777777" w:rsidR="00E67F58" w:rsidRPr="00A964FF" w:rsidRDefault="00E67F58" w:rsidP="00E67F58">
      <w:pPr>
        <w:pStyle w:val="00"/>
        <w:rPr>
          <w:rFonts w:ascii="Calibri" w:hAnsi="Calibri"/>
          <w:color w:val="auto"/>
        </w:rPr>
      </w:pPr>
      <w:r w:rsidRPr="00A964FF">
        <w:rPr>
          <w:rFonts w:ascii="Calibri" w:hAnsi="Calibri" w:hint="eastAsia"/>
          <w:color w:val="auto"/>
        </w:rPr>
        <w:t>下边界条件：</w:t>
      </w:r>
    </w:p>
    <w:p w14:paraId="217F6535" w14:textId="77777777" w:rsidR="00E67F58" w:rsidRPr="00A964FF" w:rsidRDefault="00E67F58" w:rsidP="00E67F58">
      <w:pPr>
        <w:pStyle w:val="00"/>
        <w:rPr>
          <w:rFonts w:ascii="Calibri" w:hAnsi="Calibri"/>
          <w:color w:val="auto"/>
        </w:rPr>
      </w:pPr>
      <w:r w:rsidRPr="00A964FF">
        <w:rPr>
          <w:rFonts w:ascii="Calibri" w:hAnsi="Calibri" w:hint="eastAsia"/>
          <w:color w:val="auto"/>
        </w:rPr>
        <w:t>由于模拟选择的下边界为潜水面，污染物质呈自由渗漏状态，边界内外的浓度相等，故而将其认为是不存在弥散通量的第二类</w:t>
      </w:r>
      <w:r w:rsidRPr="00A964FF">
        <w:rPr>
          <w:rFonts w:ascii="Calibri" w:hAnsi="Calibri"/>
          <w:color w:val="auto"/>
        </w:rPr>
        <w:t>Neumann</w:t>
      </w:r>
      <w:r w:rsidRPr="00A964FF">
        <w:rPr>
          <w:rFonts w:ascii="Calibri" w:hAnsi="Calibri" w:hint="eastAsia"/>
          <w:color w:val="auto"/>
        </w:rPr>
        <w:t>零梯度边界。</w:t>
      </w:r>
    </w:p>
    <w:p w14:paraId="2F5A64A4" w14:textId="77777777" w:rsidR="00E67F58" w:rsidRPr="00A964FF" w:rsidRDefault="008B14EC" w:rsidP="008B14EC">
      <w:pPr>
        <w:spacing w:line="360" w:lineRule="auto"/>
        <w:ind w:firstLineChars="1350" w:firstLine="3240"/>
        <w:rPr>
          <w:rFonts w:ascii="Calibri" w:hAnsi="Calibri"/>
          <w:color w:val="auto"/>
          <w:sz w:val="24"/>
        </w:rPr>
      </w:pPr>
      <m:oMathPara>
        <m:oMath>
          <m:r>
            <m:rPr>
              <m:sty m:val="p"/>
            </m:rPr>
            <w:rPr>
              <w:rFonts w:ascii="Cambria Math" w:hAnsi="Cambria Math"/>
              <w:color w:val="auto"/>
              <w:sz w:val="24"/>
            </w:rPr>
            <m:t>—θD</m:t>
          </m:r>
          <m:f>
            <m:fPr>
              <m:ctrlPr>
                <w:rPr>
                  <w:rFonts w:ascii="Cambria Math" w:hAnsi="Cambria Math"/>
                  <w:color w:val="auto"/>
                  <w:sz w:val="24"/>
                </w:rPr>
              </m:ctrlPr>
            </m:fPr>
            <m:num>
              <m:r>
                <m:rPr>
                  <m:sty m:val="p"/>
                </m:rPr>
                <w:rPr>
                  <w:rFonts w:ascii="Cambria Math" w:hAnsi="Cambria Math"/>
                  <w:color w:val="auto"/>
                  <w:sz w:val="24"/>
                </w:rPr>
                <m:t>∂c</m:t>
              </m:r>
            </m:num>
            <m:den>
              <m:r>
                <m:rPr>
                  <m:sty m:val="p"/>
                </m:rPr>
                <w:rPr>
                  <w:rFonts w:ascii="Cambria Math" w:hAnsi="Cambria Math"/>
                  <w:color w:val="auto"/>
                  <w:sz w:val="24"/>
                </w:rPr>
                <m:t>∂z</m:t>
              </m:r>
            </m:den>
          </m:f>
          <m:r>
            <m:rPr>
              <m:sty m:val="p"/>
            </m:rPr>
            <w:rPr>
              <w:rFonts w:ascii="Cambria Math" w:hAnsi="Cambria Math"/>
              <w:color w:val="auto"/>
              <w:sz w:val="24"/>
            </w:rPr>
            <m:t>=0      t</m:t>
          </m:r>
          <m:r>
            <m:rPr>
              <m:sty m:val="p"/>
            </m:rPr>
            <w:rPr>
              <w:rFonts w:ascii="Cambria Math" w:hAnsi="Cambria Math" w:hint="eastAsia"/>
              <w:color w:val="auto"/>
              <w:sz w:val="24"/>
            </w:rPr>
            <m:t>＞</m:t>
          </m:r>
          <m:r>
            <m:rPr>
              <m:sty m:val="p"/>
            </m:rPr>
            <w:rPr>
              <w:rFonts w:ascii="Cambria Math" w:hAnsi="Cambria Math"/>
              <w:color w:val="auto"/>
              <w:sz w:val="24"/>
            </w:rPr>
            <m:t>0</m:t>
          </m:r>
          <m:r>
            <m:rPr>
              <m:sty m:val="p"/>
            </m:rPr>
            <w:rPr>
              <w:rFonts w:ascii="Cambria Math" w:hAnsi="Cambria Math" w:hint="eastAsia"/>
              <w:color w:val="auto"/>
              <w:sz w:val="24"/>
            </w:rPr>
            <m:t>，</m:t>
          </m:r>
          <m:r>
            <m:rPr>
              <m:sty m:val="p"/>
            </m:rPr>
            <w:rPr>
              <w:rFonts w:ascii="Cambria Math" w:hAnsi="Cambria Math"/>
              <w:color w:val="auto"/>
              <w:sz w:val="24"/>
            </w:rPr>
            <m:t>z=L</m:t>
          </m:r>
        </m:oMath>
      </m:oMathPara>
    </w:p>
    <w:p w14:paraId="39D3BEDF" w14:textId="77777777" w:rsidR="00E67F58" w:rsidRPr="00A964FF" w:rsidRDefault="00E67F58" w:rsidP="00E67F58">
      <w:pPr>
        <w:pStyle w:val="00"/>
        <w:rPr>
          <w:rFonts w:ascii="Calibri" w:hAnsi="Calibri"/>
          <w:color w:val="auto"/>
        </w:rPr>
      </w:pPr>
      <w:r w:rsidRPr="00A964FF">
        <w:rPr>
          <w:rFonts w:ascii="Calibri" w:hAnsi="Calibri" w:hint="eastAsia"/>
          <w:color w:val="auto"/>
        </w:rPr>
        <w:t>Ⅳ、模型概化与边界条件、初始条设置</w:t>
      </w:r>
    </w:p>
    <w:p w14:paraId="0B4E3BF2" w14:textId="77777777" w:rsidR="00E67F58" w:rsidRPr="00A964FF" w:rsidRDefault="00E67F58" w:rsidP="00E67F58">
      <w:pPr>
        <w:pStyle w:val="00"/>
        <w:rPr>
          <w:rFonts w:ascii="Calibri" w:hAnsi="Calibri"/>
          <w:color w:val="auto"/>
        </w:rPr>
      </w:pPr>
      <w:r w:rsidRPr="00A964FF">
        <w:rPr>
          <w:rFonts w:ascii="Calibri" w:hAnsi="Calibri"/>
          <w:color w:val="auto"/>
        </w:rPr>
        <w:t>a</w:t>
      </w:r>
      <w:r w:rsidRPr="00A964FF">
        <w:rPr>
          <w:rFonts w:ascii="Calibri" w:hAnsi="Calibri" w:hint="eastAsia"/>
          <w:color w:val="auto"/>
        </w:rPr>
        <w:t>、土壤结构概化</w:t>
      </w:r>
    </w:p>
    <w:p w14:paraId="535E589A" w14:textId="77777777" w:rsidR="00E67F58" w:rsidRPr="006841F3" w:rsidRDefault="00E67F58" w:rsidP="006841F3">
      <w:pPr>
        <w:pStyle w:val="00"/>
        <w:rPr>
          <w:rFonts w:ascii="Calibri" w:hAnsi="Calibri"/>
          <w:color w:val="auto"/>
        </w:rPr>
      </w:pPr>
      <w:r w:rsidRPr="00A964FF">
        <w:rPr>
          <w:rFonts w:ascii="Calibri" w:hAnsi="Calibri" w:hint="eastAsia"/>
          <w:color w:val="auto"/>
        </w:rPr>
        <w:lastRenderedPageBreak/>
        <w:t>根据水文地质条件，</w:t>
      </w:r>
      <w:r w:rsidR="00FD6F5A" w:rsidRPr="00971725">
        <w:rPr>
          <w:rFonts w:ascii="Calibri" w:hAnsi="Calibri" w:hint="eastAsia"/>
          <w:color w:val="auto"/>
        </w:rPr>
        <w:t>危废暂存间</w:t>
      </w:r>
      <w:r w:rsidRPr="00971725">
        <w:rPr>
          <w:rFonts w:ascii="Calibri" w:hAnsi="Calibri" w:hint="eastAsia"/>
          <w:color w:val="auto"/>
        </w:rPr>
        <w:t>地面作为模型上边界，将</w:t>
      </w:r>
      <w:r w:rsidRPr="00A964FF">
        <w:rPr>
          <w:rFonts w:ascii="Calibri" w:hAnsi="Calibri" w:hint="eastAsia"/>
          <w:color w:val="auto"/>
        </w:rPr>
        <w:t>包气带分成</w:t>
      </w:r>
      <w:r w:rsidRPr="00A964FF">
        <w:rPr>
          <w:rFonts w:ascii="Calibri" w:hAnsi="Calibri"/>
          <w:color w:val="auto"/>
        </w:rPr>
        <w:t>2</w:t>
      </w:r>
      <w:r w:rsidRPr="00A964FF">
        <w:rPr>
          <w:rFonts w:ascii="Calibri" w:hAnsi="Calibri" w:hint="eastAsia"/>
          <w:color w:val="auto"/>
        </w:rPr>
        <w:t>层，为</w:t>
      </w:r>
      <w:r w:rsidR="00AB0983">
        <w:rPr>
          <w:rFonts w:ascii="Calibri" w:hAnsi="Calibri" w:hint="eastAsia"/>
          <w:color w:val="auto"/>
        </w:rPr>
        <w:t>0.4</w:t>
      </w:r>
      <w:r w:rsidR="00AB0983">
        <w:rPr>
          <w:rFonts w:ascii="Calibri" w:hAnsi="Calibri"/>
          <w:color w:val="auto"/>
        </w:rPr>
        <w:t>m</w:t>
      </w:r>
      <w:r w:rsidRPr="00A964FF">
        <w:rPr>
          <w:rFonts w:ascii="Calibri" w:hAnsi="Calibri" w:hint="eastAsia"/>
          <w:color w:val="auto"/>
        </w:rPr>
        <w:t>第四系素填土层和</w:t>
      </w:r>
      <w:r w:rsidR="00AB0983">
        <w:rPr>
          <w:rFonts w:ascii="Calibri" w:hAnsi="Calibri" w:hint="eastAsia"/>
          <w:color w:val="auto"/>
        </w:rPr>
        <w:t>8.5m</w:t>
      </w:r>
      <w:r w:rsidRPr="00A964FF">
        <w:rPr>
          <w:rFonts w:ascii="Calibri" w:hAnsi="Calibri" w:hint="eastAsia"/>
          <w:color w:val="auto"/>
        </w:rPr>
        <w:t>粉质粘土层。</w:t>
      </w:r>
    </w:p>
    <w:p w14:paraId="6579F3CB" w14:textId="77777777" w:rsidR="00DB47C1" w:rsidRDefault="00FD6F5A" w:rsidP="00FD6F5A">
      <w:pPr>
        <w:pStyle w:val="00"/>
        <w:spacing w:line="240" w:lineRule="auto"/>
        <w:jc w:val="center"/>
        <w:rPr>
          <w:rFonts w:ascii="Calibri" w:hAnsi="Calibri"/>
          <w:color w:val="auto"/>
        </w:rPr>
      </w:pPr>
      <w:r>
        <w:rPr>
          <w:noProof/>
        </w:rPr>
        <w:drawing>
          <wp:inline distT="0" distB="0" distL="0" distR="0" wp14:anchorId="03F1472A" wp14:editId="5A43D1E6">
            <wp:extent cx="675005" cy="2377440"/>
            <wp:effectExtent l="0" t="0" r="0" b="3810"/>
            <wp:docPr id="27160" name="图片 2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78929" cy="2391261"/>
                    </a:xfrm>
                    <a:prstGeom prst="rect">
                      <a:avLst/>
                    </a:prstGeom>
                  </pic:spPr>
                </pic:pic>
              </a:graphicData>
            </a:graphic>
          </wp:inline>
        </w:drawing>
      </w:r>
    </w:p>
    <w:p w14:paraId="128AA983" w14:textId="77777777" w:rsidR="00FD6F5A" w:rsidRDefault="00FD6F5A" w:rsidP="00FD6F5A">
      <w:pPr>
        <w:pStyle w:val="00"/>
        <w:rPr>
          <w:rFonts w:ascii="Calibri" w:hAnsi="Calibri"/>
          <w:color w:val="auto"/>
        </w:rPr>
      </w:pPr>
      <w:r>
        <w:rPr>
          <w:noProof/>
          <w:color w:val="auto"/>
        </w:rPr>
        <mc:AlternateContent>
          <mc:Choice Requires="wps">
            <w:drawing>
              <wp:anchor distT="0" distB="0" distL="114300" distR="114300" simplePos="0" relativeHeight="253531648" behindDoc="0" locked="0" layoutInCell="1" allowOverlap="1" wp14:anchorId="76D854DF" wp14:editId="643CD390">
                <wp:simplePos x="0" y="0"/>
                <wp:positionH relativeFrom="column">
                  <wp:posOffset>1233170</wp:posOffset>
                </wp:positionH>
                <wp:positionV relativeFrom="paragraph">
                  <wp:posOffset>160020</wp:posOffset>
                </wp:positionV>
                <wp:extent cx="3606165" cy="379730"/>
                <wp:effectExtent l="2540" t="3175" r="1270" b="0"/>
                <wp:wrapNone/>
                <wp:docPr id="26526" name="Text Box 37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449EC" w14:textId="77777777" w:rsidR="00217891" w:rsidRPr="006841F3" w:rsidRDefault="00217891" w:rsidP="00FD6F5A">
                            <w:pPr>
                              <w:ind w:firstLineChars="50" w:firstLine="120"/>
                              <w:rPr>
                                <w:rFonts w:ascii="黑体" w:eastAsia="黑体" w:hAnsi="黑体" w:cstheme="minorHAnsi"/>
                                <w:sz w:val="24"/>
                              </w:rPr>
                            </w:pPr>
                            <w:r w:rsidRPr="006841F3">
                              <w:rPr>
                                <w:rFonts w:asciiTheme="minorHAnsi" w:eastAsia="黑体" w:hAnsi="黑体" w:cstheme="minorHAnsi"/>
                                <w:sz w:val="24"/>
                              </w:rPr>
                              <w:t>图</w:t>
                            </w:r>
                            <w:r w:rsidRPr="006841F3">
                              <w:rPr>
                                <w:rFonts w:asciiTheme="minorHAnsi" w:eastAsia="黑体" w:hAnsiTheme="minorHAnsi" w:cstheme="minorHAnsi"/>
                                <w:sz w:val="24"/>
                              </w:rPr>
                              <w:t xml:space="preserve">4.4-3  </w:t>
                            </w:r>
                            <w:r w:rsidRPr="006841F3">
                              <w:rPr>
                                <w:rFonts w:asciiTheme="minorHAnsi" w:hAnsiTheme="minorHAnsi" w:cstheme="minorHAnsi"/>
                                <w:sz w:val="24"/>
                              </w:rPr>
                              <w:t xml:space="preserve">      </w:t>
                            </w:r>
                            <w:r>
                              <w:rPr>
                                <w:rFonts w:asciiTheme="minorHAnsi" w:hAnsiTheme="minorHAnsi" w:cstheme="minorHAnsi"/>
                                <w:sz w:val="24"/>
                              </w:rPr>
                              <w:t xml:space="preserve"> </w:t>
                            </w:r>
                            <w:r w:rsidRPr="006841F3">
                              <w:rPr>
                                <w:rFonts w:ascii="黑体" w:eastAsia="黑体" w:hAnsi="黑体" w:cstheme="minorHAnsi"/>
                                <w:sz w:val="24"/>
                              </w:rPr>
                              <w:t>土壤地层结构概化图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854DF" id="Text Box 37039" o:spid="_x0000_s1625" type="#_x0000_t202" style="position:absolute;left:0;text-align:left;margin-left:97.1pt;margin-top:12.6pt;width:283.95pt;height:29.9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" filled="f" stroked="f">
                <v:textbox>
                  <w:txbxContent>
                    <w:p w14:paraId="5D8449EC" w14:textId="77777777" w:rsidR="00217891" w:rsidRPr="006841F3" w:rsidRDefault="00217891" w:rsidP="00FD6F5A">
                      <w:pPr>
                        <w:ind w:firstLineChars="50" w:firstLine="120"/>
                        <w:rPr>
                          <w:rFonts w:ascii="黑体" w:eastAsia="黑体" w:hAnsi="黑体" w:cstheme="minorHAnsi"/>
                          <w:sz w:val="24"/>
                        </w:rPr>
                      </w:pPr>
                      <w:r w:rsidRPr="006841F3">
                        <w:rPr>
                          <w:rFonts w:asciiTheme="minorHAnsi" w:eastAsia="黑体" w:hAnsi="黑体" w:cstheme="minorHAnsi"/>
                          <w:sz w:val="24"/>
                        </w:rPr>
                        <w:t>图</w:t>
                      </w:r>
                      <w:r w:rsidRPr="006841F3">
                        <w:rPr>
                          <w:rFonts w:asciiTheme="minorHAnsi" w:eastAsia="黑体" w:hAnsiTheme="minorHAnsi" w:cstheme="minorHAnsi"/>
                          <w:sz w:val="24"/>
                        </w:rPr>
                        <w:t xml:space="preserve">4.4-3  </w:t>
                      </w:r>
                      <w:r w:rsidRPr="006841F3">
                        <w:rPr>
                          <w:rFonts w:asciiTheme="minorHAnsi" w:hAnsiTheme="minorHAnsi" w:cstheme="minorHAnsi"/>
                          <w:sz w:val="24"/>
                        </w:rPr>
                        <w:t xml:space="preserve">      </w:t>
                      </w:r>
                      <w:r>
                        <w:rPr>
                          <w:rFonts w:asciiTheme="minorHAnsi" w:hAnsiTheme="minorHAnsi" w:cstheme="minorHAnsi"/>
                          <w:sz w:val="24"/>
                        </w:rPr>
                        <w:t xml:space="preserve"> </w:t>
                      </w:r>
                      <w:r w:rsidRPr="006841F3">
                        <w:rPr>
                          <w:rFonts w:ascii="黑体" w:eastAsia="黑体" w:hAnsi="黑体" w:cstheme="minorHAnsi"/>
                          <w:sz w:val="24"/>
                        </w:rPr>
                        <w:t>土壤地层结构概化图</w:t>
                      </w:r>
                    </w:p>
                  </w:txbxContent>
                </v:textbox>
              </v:shape>
            </w:pict>
          </mc:Fallback>
        </mc:AlternateContent>
      </w:r>
    </w:p>
    <w:p w14:paraId="6C95B63E" w14:textId="77777777" w:rsidR="00E67F58" w:rsidRPr="00A964FF" w:rsidRDefault="00E67F58" w:rsidP="00E67F58">
      <w:pPr>
        <w:pStyle w:val="00"/>
        <w:rPr>
          <w:rFonts w:ascii="Calibri" w:hAnsi="Calibri"/>
          <w:color w:val="auto"/>
        </w:rPr>
      </w:pPr>
      <w:r w:rsidRPr="00A964FF">
        <w:rPr>
          <w:rFonts w:ascii="Calibri" w:hAnsi="Calibri"/>
          <w:color w:val="auto"/>
        </w:rPr>
        <w:t>b</w:t>
      </w:r>
      <w:r w:rsidRPr="00A964FF">
        <w:rPr>
          <w:rFonts w:ascii="Calibri" w:hAnsi="Calibri" w:hint="eastAsia"/>
          <w:color w:val="auto"/>
        </w:rPr>
        <w:t>、水流模型</w:t>
      </w:r>
    </w:p>
    <w:p w14:paraId="467D5671" w14:textId="77777777" w:rsidR="00E67F58" w:rsidRPr="00A964FF" w:rsidRDefault="00E67F58" w:rsidP="00E67F58">
      <w:pPr>
        <w:pStyle w:val="00"/>
        <w:rPr>
          <w:rFonts w:ascii="Calibri" w:hAnsi="Calibri"/>
          <w:color w:val="auto"/>
        </w:rPr>
      </w:pPr>
      <w:r w:rsidRPr="00A964FF">
        <w:rPr>
          <w:rFonts w:ascii="Calibri" w:hAnsi="Calibri" w:hint="eastAsia"/>
          <w:color w:val="auto"/>
        </w:rPr>
        <w:t>边界条件：上边界为定通量水头边界，下边界为自由排出。</w:t>
      </w:r>
    </w:p>
    <w:p w14:paraId="516A18DF" w14:textId="77777777" w:rsidR="00E67F58" w:rsidRPr="00E1389D" w:rsidRDefault="00E67F58" w:rsidP="00E67F58">
      <w:pPr>
        <w:pStyle w:val="00"/>
        <w:rPr>
          <w:rFonts w:ascii="宋体"/>
          <w:color w:val="auto"/>
        </w:rPr>
      </w:pPr>
      <w:r w:rsidRPr="00E1389D">
        <w:rPr>
          <w:rFonts w:ascii="宋体"/>
          <w:color w:val="auto"/>
        </w:rPr>
        <w:t>c</w:t>
      </w:r>
      <w:r w:rsidRPr="00E1389D">
        <w:rPr>
          <w:rFonts w:ascii="宋体" w:hint="eastAsia"/>
          <w:color w:val="auto"/>
        </w:rPr>
        <w:t>、溶质运移模型</w:t>
      </w:r>
    </w:p>
    <w:p w14:paraId="6E490B76" w14:textId="77777777" w:rsidR="00E67F58" w:rsidRPr="00A964FF" w:rsidRDefault="00E67F58" w:rsidP="00E67F58">
      <w:pPr>
        <w:pStyle w:val="00"/>
        <w:rPr>
          <w:rFonts w:ascii="Calibri" w:hAnsi="Calibri"/>
          <w:color w:val="auto"/>
        </w:rPr>
      </w:pPr>
      <w:r w:rsidRPr="00A964FF">
        <w:rPr>
          <w:rFonts w:ascii="Calibri" w:hAnsi="Calibri" w:hint="eastAsia"/>
          <w:color w:val="auto"/>
        </w:rPr>
        <w:t>初始条件：初始条件用原始土层污染物浓度表示，本模型中为零。</w:t>
      </w:r>
    </w:p>
    <w:p w14:paraId="03498FA7" w14:textId="77777777" w:rsidR="00E67F58" w:rsidRPr="00A964FF" w:rsidRDefault="00E67F58" w:rsidP="00E67F58">
      <w:pPr>
        <w:pStyle w:val="00"/>
        <w:rPr>
          <w:rFonts w:ascii="Calibri" w:hAnsi="Calibri"/>
          <w:color w:val="auto"/>
        </w:rPr>
      </w:pPr>
      <w:r w:rsidRPr="00A964FF">
        <w:rPr>
          <w:rFonts w:ascii="Calibri" w:hAnsi="Calibri" w:hint="eastAsia"/>
          <w:color w:val="auto"/>
        </w:rPr>
        <w:t>边界条件：上边界为定溶质通量边界，下边界为地下水面，设定为自由排水边界（</w:t>
      </w:r>
      <w:r w:rsidRPr="00A964FF">
        <w:rPr>
          <w:rFonts w:ascii="Calibri" w:hAnsi="Calibri"/>
          <w:color w:val="auto"/>
        </w:rPr>
        <w:t>“FreeDrainage”</w:t>
      </w:r>
      <w:r w:rsidRPr="00A964FF">
        <w:rPr>
          <w:rFonts w:ascii="Calibri" w:hAnsi="Calibri" w:hint="eastAsia"/>
          <w:color w:val="auto"/>
        </w:rPr>
        <w:t>）。</w:t>
      </w:r>
    </w:p>
    <w:p w14:paraId="3818AECB" w14:textId="77777777" w:rsidR="00E67F58" w:rsidRPr="00A964FF" w:rsidRDefault="00E67F58" w:rsidP="00E67F58">
      <w:pPr>
        <w:pStyle w:val="00"/>
        <w:rPr>
          <w:rFonts w:ascii="Calibri" w:hAnsi="Calibri"/>
          <w:color w:val="auto"/>
        </w:rPr>
      </w:pPr>
      <w:r w:rsidRPr="00A964FF">
        <w:rPr>
          <w:rFonts w:ascii="Calibri" w:hAnsi="Calibri"/>
          <w:color w:val="auto"/>
        </w:rPr>
        <w:t>d</w:t>
      </w:r>
      <w:r w:rsidRPr="00A964FF">
        <w:rPr>
          <w:rFonts w:ascii="Calibri" w:hAnsi="Calibri" w:hint="eastAsia"/>
          <w:color w:val="auto"/>
        </w:rPr>
        <w:t>、模拟条件</w:t>
      </w:r>
    </w:p>
    <w:p w14:paraId="25F67346" w14:textId="77777777" w:rsidR="00E67F58" w:rsidRPr="00A964FF" w:rsidRDefault="00E67F58" w:rsidP="00E67F58">
      <w:pPr>
        <w:pStyle w:val="00"/>
        <w:rPr>
          <w:rFonts w:ascii="Calibri" w:hAnsi="Calibri"/>
          <w:color w:val="auto"/>
        </w:rPr>
      </w:pPr>
      <w:r w:rsidRPr="00A964FF">
        <w:rPr>
          <w:rFonts w:ascii="Calibri" w:hAnsi="Calibri" w:hint="eastAsia"/>
          <w:color w:val="auto"/>
        </w:rPr>
        <w:t>污染源一维垂向持续入渗，污染物在迁移过程中不考虑降解、吸附等条件。并假定土壤为理想均匀介质、在平均降雨强度条件下污染物在包气带中的平均迁移速度。</w:t>
      </w:r>
    </w:p>
    <w:p w14:paraId="7AB10085" w14:textId="77777777" w:rsidR="00E67F58" w:rsidRPr="00A964FF" w:rsidRDefault="00E67F58" w:rsidP="00E67F58">
      <w:pPr>
        <w:pStyle w:val="00"/>
        <w:rPr>
          <w:rFonts w:ascii="Calibri" w:hAnsi="Calibri"/>
          <w:color w:val="auto"/>
        </w:rPr>
      </w:pPr>
      <w:r w:rsidRPr="00A964FF">
        <w:rPr>
          <w:rFonts w:ascii="Calibri" w:hAnsi="Calibri"/>
          <w:color w:val="auto"/>
        </w:rPr>
        <w:t>e</w:t>
      </w:r>
      <w:r w:rsidRPr="00A964FF">
        <w:rPr>
          <w:rFonts w:ascii="Calibri" w:hAnsi="Calibri" w:hint="eastAsia"/>
          <w:color w:val="auto"/>
        </w:rPr>
        <w:t>、模拟时间：污染源入渗持续时间按照</w:t>
      </w:r>
      <w:r w:rsidRPr="00A964FF">
        <w:rPr>
          <w:rFonts w:ascii="Calibri" w:hAnsi="Calibri"/>
          <w:color w:val="auto"/>
        </w:rPr>
        <w:t>20</w:t>
      </w:r>
      <w:r w:rsidRPr="00A964FF">
        <w:rPr>
          <w:rFonts w:ascii="Calibri" w:hAnsi="Calibri" w:hint="eastAsia"/>
          <w:color w:val="auto"/>
        </w:rPr>
        <w:t>年计。</w:t>
      </w:r>
    </w:p>
    <w:p w14:paraId="736DE214" w14:textId="77777777" w:rsidR="00E67F58" w:rsidRPr="00A964FF" w:rsidRDefault="00E67F58" w:rsidP="00AA793F">
      <w:pPr>
        <w:pStyle w:val="00"/>
        <w:rPr>
          <w:rFonts w:ascii="Calibri" w:hAnsi="Calibri"/>
          <w:color w:val="auto"/>
        </w:rPr>
      </w:pPr>
      <w:r w:rsidRPr="00A964FF">
        <w:rPr>
          <w:rFonts w:ascii="Calibri" w:hAnsi="Calibri"/>
          <w:color w:val="auto"/>
        </w:rPr>
        <w:t>f</w:t>
      </w:r>
      <w:r w:rsidRPr="00A964FF">
        <w:rPr>
          <w:rFonts w:ascii="Calibri" w:hAnsi="Calibri" w:hint="eastAsia"/>
          <w:color w:val="auto"/>
        </w:rPr>
        <w:t>、预测因子：根据《土壤环境质量</w:t>
      </w:r>
      <w:r w:rsidRPr="00A964FF">
        <w:rPr>
          <w:rFonts w:ascii="Calibri" w:hAnsi="Calibri"/>
          <w:color w:val="auto"/>
        </w:rPr>
        <w:t xml:space="preserve"> </w:t>
      </w:r>
      <w:r w:rsidRPr="00A964FF">
        <w:rPr>
          <w:rFonts w:ascii="Calibri" w:hAnsi="Calibri" w:hint="eastAsia"/>
          <w:color w:val="auto"/>
        </w:rPr>
        <w:t>建设用地土壤污染风险管控标准（试行）》（</w:t>
      </w:r>
      <w:r w:rsidRPr="00A964FF">
        <w:rPr>
          <w:rFonts w:ascii="Calibri" w:hAnsi="Calibri"/>
          <w:color w:val="auto"/>
        </w:rPr>
        <w:t>GB36600-2018</w:t>
      </w:r>
      <w:r w:rsidRPr="00A964FF">
        <w:rPr>
          <w:rFonts w:ascii="Calibri" w:hAnsi="Calibri" w:hint="eastAsia"/>
          <w:color w:val="auto"/>
        </w:rPr>
        <w:t>），筛选出</w:t>
      </w:r>
      <w:r w:rsidRPr="00AA793F">
        <w:rPr>
          <w:rFonts w:ascii="Calibri" w:hAnsi="Calibri" w:hint="eastAsia"/>
          <w:color w:val="auto"/>
        </w:rPr>
        <w:t>本</w:t>
      </w:r>
      <w:r w:rsidRPr="00A964FF">
        <w:rPr>
          <w:rFonts w:ascii="Calibri" w:hAnsi="Calibri" w:hint="eastAsia"/>
          <w:color w:val="auto"/>
        </w:rPr>
        <w:t>项目的预测因子为</w:t>
      </w:r>
      <w:r w:rsidR="00BC0736" w:rsidRPr="00A964FF">
        <w:rPr>
          <w:rFonts w:ascii="Calibri" w:hAnsi="Times New Roman" w:hint="eastAsia"/>
          <w:color w:val="auto"/>
        </w:rPr>
        <w:t>石油烃</w:t>
      </w:r>
      <w:r w:rsidRPr="00A964FF">
        <w:rPr>
          <w:rFonts w:ascii="Calibri" w:hAnsi="Calibri" w:hint="eastAsia"/>
          <w:color w:val="auto"/>
        </w:rPr>
        <w:t>。</w:t>
      </w:r>
    </w:p>
    <w:p w14:paraId="59870B88" w14:textId="77777777" w:rsidR="0008249A" w:rsidRPr="00227F72" w:rsidRDefault="00E67F58" w:rsidP="00227F72">
      <w:pPr>
        <w:pStyle w:val="00"/>
        <w:ind w:firstLineChars="200"/>
        <w:rPr>
          <w:rFonts w:ascii="Calibri" w:hAnsi="Times New Roman" w:cs="Times New Roman"/>
          <w:color w:val="auto"/>
        </w:rPr>
      </w:pPr>
      <w:r w:rsidRPr="00A964FF">
        <w:rPr>
          <w:rFonts w:ascii="Calibri" w:hAnsi="Times New Roman" w:hint="eastAsia"/>
          <w:color w:val="auto"/>
        </w:rPr>
        <w:t>④</w:t>
      </w:r>
      <w:r w:rsidRPr="00A964FF">
        <w:rPr>
          <w:rFonts w:ascii="Calibri" w:hAnsi="Times New Roman"/>
          <w:color w:val="auto"/>
        </w:rPr>
        <w:t xml:space="preserve"> </w:t>
      </w:r>
      <w:r w:rsidRPr="00A964FF">
        <w:rPr>
          <w:rFonts w:ascii="Calibri" w:hAnsi="Times New Roman" w:hint="eastAsia"/>
          <w:color w:val="auto"/>
        </w:rPr>
        <w:t>预测评价结果</w:t>
      </w:r>
    </w:p>
    <w:p w14:paraId="2CD23A66" w14:textId="77777777" w:rsidR="00D505C2" w:rsidRPr="009B7679" w:rsidRDefault="00D505C2" w:rsidP="009B7679">
      <w:pPr>
        <w:pStyle w:val="00"/>
        <w:ind w:firstLineChars="200"/>
        <w:rPr>
          <w:rFonts w:ascii="Calibri" w:hAnsi="Times New Roman" w:cs="Times New Roman"/>
          <w:color w:val="auto"/>
        </w:rPr>
      </w:pPr>
      <w:r w:rsidRPr="00A964FF">
        <w:rPr>
          <w:rFonts w:ascii="Calibri" w:hAnsi="Times New Roman" w:cs="Times New Roman" w:hint="eastAsia"/>
          <w:color w:val="auto"/>
        </w:rPr>
        <w:t>根据污染情景分析，本项目污染物石油烃的泄漏量为</w:t>
      </w:r>
      <w:r w:rsidR="009B7679">
        <w:rPr>
          <w:rFonts w:ascii="Calibri" w:hAnsi="Times New Roman" w:cs="Times New Roman"/>
          <w:color w:val="auto"/>
        </w:rPr>
        <w:t>96</w:t>
      </w:r>
      <w:r w:rsidRPr="00A964FF">
        <w:rPr>
          <w:rFonts w:ascii="Calibri" w:hAnsi="Times New Roman" w:cs="Times New Roman" w:hint="eastAsia"/>
          <w:color w:val="auto"/>
        </w:rPr>
        <w:t>g</w:t>
      </w:r>
      <w:r w:rsidRPr="00A964FF">
        <w:rPr>
          <w:rFonts w:ascii="Calibri" w:hAnsi="Times New Roman" w:cs="Times New Roman" w:hint="eastAsia"/>
          <w:color w:val="auto"/>
        </w:rPr>
        <w:t>。模拟期为</w:t>
      </w:r>
      <w:r w:rsidRPr="00A964FF">
        <w:rPr>
          <w:rFonts w:ascii="Calibri" w:hAnsi="Times New Roman" w:cs="Times New Roman" w:hint="eastAsia"/>
          <w:color w:val="auto"/>
        </w:rPr>
        <w:t>20</w:t>
      </w:r>
      <w:r w:rsidRPr="00A964FF">
        <w:rPr>
          <w:rFonts w:ascii="Calibri" w:hAnsi="Times New Roman" w:cs="Times New Roman" w:hint="eastAsia"/>
          <w:color w:val="auto"/>
        </w:rPr>
        <w:t>年，利用</w:t>
      </w:r>
      <w:r w:rsidRPr="00A964FF">
        <w:rPr>
          <w:rFonts w:ascii="Calibri" w:hAnsi="Times New Roman" w:cs="Times New Roman" w:hint="eastAsia"/>
          <w:color w:val="auto"/>
        </w:rPr>
        <w:t>HYDRUS-1D</w:t>
      </w:r>
      <w:r w:rsidRPr="00A964FF">
        <w:rPr>
          <w:rFonts w:ascii="Calibri" w:hAnsi="Times New Roman" w:cs="Times New Roman" w:hint="eastAsia"/>
          <w:color w:val="auto"/>
        </w:rPr>
        <w:t>软件，得到石油烃在土壤中扩散预测结果，如下图所示：</w:t>
      </w:r>
    </w:p>
    <w:p w14:paraId="1817144D" w14:textId="77777777" w:rsidR="00971725" w:rsidRPr="00A964FF" w:rsidRDefault="00971725" w:rsidP="00971725">
      <w:pPr>
        <w:pStyle w:val="ad"/>
        <w:spacing w:line="240" w:lineRule="auto"/>
        <w:ind w:firstLineChars="200" w:firstLine="562"/>
        <w:jc w:val="center"/>
        <w:rPr>
          <w:rFonts w:ascii="Calibri" w:eastAsia="宋体" w:hAnsi="Times New Roman"/>
          <w:b w:val="0"/>
          <w:color w:val="auto"/>
          <w:sz w:val="24"/>
        </w:rPr>
      </w:pPr>
      <w:r>
        <w:rPr>
          <w:noProof/>
          <w:color w:val="auto"/>
        </w:rPr>
        <w:lastRenderedPageBreak/>
        <mc:AlternateContent>
          <mc:Choice Requires="wps">
            <w:drawing>
              <wp:anchor distT="0" distB="0" distL="114300" distR="114300" simplePos="0" relativeHeight="251844096" behindDoc="0" locked="0" layoutInCell="1" allowOverlap="1" wp14:anchorId="0C8D3287" wp14:editId="1FD81825">
                <wp:simplePos x="0" y="0"/>
                <wp:positionH relativeFrom="column">
                  <wp:posOffset>4030980</wp:posOffset>
                </wp:positionH>
                <wp:positionV relativeFrom="paragraph">
                  <wp:posOffset>2230755</wp:posOffset>
                </wp:positionV>
                <wp:extent cx="333375" cy="285750"/>
                <wp:effectExtent l="0" t="1905" r="0" b="0"/>
                <wp:wrapNone/>
                <wp:docPr id="26491" name="Rectangle 26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8CB5"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D3287" id="Rectangle 26862" o:spid="_x0000_s1626" style="position:absolute;left:0;text-align:left;margin-left:317.4pt;margin-top:175.65pt;width:26.25pt;height:2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" filled="f" stroked="f">
                <v:textbox>
                  <w:txbxContent>
                    <w:p w14:paraId="30E98CB5"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5</w:t>
                      </w:r>
                    </w:p>
                  </w:txbxContent>
                </v:textbox>
              </v:rect>
            </w:pict>
          </mc:Fallback>
        </mc:AlternateContent>
      </w:r>
      <w:r>
        <w:rPr>
          <w:noProof/>
          <w:color w:val="auto"/>
        </w:rPr>
        <mc:AlternateContent>
          <mc:Choice Requires="wps">
            <w:drawing>
              <wp:anchor distT="0" distB="0" distL="114300" distR="114300" simplePos="0" relativeHeight="251798016" behindDoc="0" locked="0" layoutInCell="1" allowOverlap="1" wp14:anchorId="402318A3" wp14:editId="1D74ECD9">
                <wp:simplePos x="0" y="0"/>
                <wp:positionH relativeFrom="column">
                  <wp:posOffset>3859530</wp:posOffset>
                </wp:positionH>
                <wp:positionV relativeFrom="paragraph">
                  <wp:posOffset>2350770</wp:posOffset>
                </wp:positionV>
                <wp:extent cx="254000" cy="635"/>
                <wp:effectExtent l="0" t="0" r="31750" b="37465"/>
                <wp:wrapNone/>
                <wp:docPr id="26484" name="Line 26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635"/>
                        </a:xfrm>
                        <a:prstGeom prst="line">
                          <a:avLst/>
                        </a:prstGeom>
                        <a:noFill/>
                        <a:ln w="15875">
                          <a:solidFill>
                            <a:srgbClr val="FB1F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829DB3B" id="Line 26817" o:spid="_x0000_s1026" style="position:absolute;left:0;text-align:lef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pt,185.1pt" to="323.9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" strokecolor="#fb1ffd" strokeweight="1.25pt"/>
            </w:pict>
          </mc:Fallback>
        </mc:AlternateContent>
      </w:r>
      <w:r>
        <w:rPr>
          <w:noProof/>
          <w:color w:val="auto"/>
        </w:rPr>
        <mc:AlternateContent>
          <mc:Choice Requires="wps">
            <w:drawing>
              <wp:anchor distT="0" distB="0" distL="114300" distR="114300" simplePos="0" relativeHeight="251799040" behindDoc="0" locked="0" layoutInCell="1" allowOverlap="1" wp14:anchorId="29AF0D30" wp14:editId="3B99A16F">
                <wp:simplePos x="0" y="0"/>
                <wp:positionH relativeFrom="column">
                  <wp:posOffset>3857625</wp:posOffset>
                </wp:positionH>
                <wp:positionV relativeFrom="paragraph">
                  <wp:posOffset>2202180</wp:posOffset>
                </wp:positionV>
                <wp:extent cx="238125" cy="635"/>
                <wp:effectExtent l="0" t="0" r="28575" b="37465"/>
                <wp:wrapNone/>
                <wp:docPr id="26485" name="Line 26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968D2F0" id="Line 26818" o:spid="_x0000_s1026" style="position:absolute;left:0;text-align:lef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73.4pt" to="322.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" strokecolor="red" strokeweight="1.25pt"/>
            </w:pict>
          </mc:Fallback>
        </mc:AlternateContent>
      </w:r>
      <w:r>
        <w:rPr>
          <w:noProof/>
          <w:color w:val="auto"/>
        </w:rPr>
        <mc:AlternateContent>
          <mc:Choice Requires="wps">
            <w:drawing>
              <wp:anchor distT="0" distB="0" distL="114300" distR="114300" simplePos="0" relativeHeight="251843072" behindDoc="0" locked="0" layoutInCell="1" allowOverlap="1" wp14:anchorId="0FD3059B" wp14:editId="2D8ABC77">
                <wp:simplePos x="0" y="0"/>
                <wp:positionH relativeFrom="column">
                  <wp:posOffset>4041140</wp:posOffset>
                </wp:positionH>
                <wp:positionV relativeFrom="paragraph">
                  <wp:posOffset>2087880</wp:posOffset>
                </wp:positionV>
                <wp:extent cx="333375" cy="285750"/>
                <wp:effectExtent l="0" t="1905" r="0" b="0"/>
                <wp:wrapNone/>
                <wp:docPr id="26490" name="Rectangle 26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4682"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3059B" id="Rectangle 26861" o:spid="_x0000_s1627" style="position:absolute;left:0;text-align:left;margin-left:318.2pt;margin-top:164.4pt;width:26.25pt;height:2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" filled="f" stroked="f">
                <v:textbox>
                  <w:txbxContent>
                    <w:p w14:paraId="2B7A4682"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4</w:t>
                      </w:r>
                    </w:p>
                  </w:txbxContent>
                </v:textbox>
              </v:rect>
            </w:pict>
          </mc:Fallback>
        </mc:AlternateContent>
      </w:r>
      <w:r>
        <w:rPr>
          <w:noProof/>
          <w:color w:val="auto"/>
        </w:rPr>
        <mc:AlternateContent>
          <mc:Choice Requires="wps">
            <w:drawing>
              <wp:anchor distT="0" distB="0" distL="114300" distR="114300" simplePos="0" relativeHeight="251842048" behindDoc="0" locked="0" layoutInCell="1" allowOverlap="1" wp14:anchorId="3E6CDAB3" wp14:editId="710EEB14">
                <wp:simplePos x="0" y="0"/>
                <wp:positionH relativeFrom="column">
                  <wp:posOffset>4053840</wp:posOffset>
                </wp:positionH>
                <wp:positionV relativeFrom="paragraph">
                  <wp:posOffset>1943100</wp:posOffset>
                </wp:positionV>
                <wp:extent cx="333375" cy="285750"/>
                <wp:effectExtent l="0" t="0" r="0" b="0"/>
                <wp:wrapNone/>
                <wp:docPr id="26495" name="Rectangle 26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3119D"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CDAB3" id="Rectangle 26860" o:spid="_x0000_s1628" style="position:absolute;left:0;text-align:left;margin-left:319.2pt;margin-top:153pt;width:26.25pt;height:2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" filled="f" stroked="f">
                <v:textbox>
                  <w:txbxContent>
                    <w:p w14:paraId="6563119D"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3</w:t>
                      </w:r>
                    </w:p>
                  </w:txbxContent>
                </v:textbox>
              </v:rect>
            </w:pict>
          </mc:Fallback>
        </mc:AlternateContent>
      </w:r>
      <w:r>
        <w:rPr>
          <w:noProof/>
          <w:color w:val="auto"/>
        </w:rPr>
        <mc:AlternateContent>
          <mc:Choice Requires="wps">
            <w:drawing>
              <wp:anchor distT="0" distB="0" distL="114300" distR="114300" simplePos="0" relativeHeight="251800064" behindDoc="0" locked="0" layoutInCell="1" allowOverlap="1" wp14:anchorId="645D473D" wp14:editId="6982DB6E">
                <wp:simplePos x="0" y="0"/>
                <wp:positionH relativeFrom="column">
                  <wp:posOffset>3850005</wp:posOffset>
                </wp:positionH>
                <wp:positionV relativeFrom="paragraph">
                  <wp:posOffset>2070100</wp:posOffset>
                </wp:positionV>
                <wp:extent cx="238125" cy="635"/>
                <wp:effectExtent l="0" t="0" r="28575" b="37465"/>
                <wp:wrapNone/>
                <wp:docPr id="26487" name="Line 26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line">
                          <a:avLst/>
                        </a:prstGeom>
                        <a:noFill/>
                        <a:ln w="15875">
                          <a:solidFill>
                            <a:srgbClr val="0AE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D7D59FB" id="Line 26819" o:spid="_x0000_s1026" style="position:absolute;left:0;text-align:lef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15pt,163pt" to="321.9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" strokecolor="#0ae3e6" strokeweight="1.25pt"/>
            </w:pict>
          </mc:Fallback>
        </mc:AlternateContent>
      </w:r>
      <w:r>
        <w:rPr>
          <w:noProof/>
          <w:color w:val="auto"/>
        </w:rPr>
        <mc:AlternateContent>
          <mc:Choice Requires="wps">
            <w:drawing>
              <wp:anchor distT="0" distB="0" distL="114300" distR="114300" simplePos="0" relativeHeight="251841024" behindDoc="0" locked="0" layoutInCell="1" allowOverlap="1" wp14:anchorId="5C28F6DB" wp14:editId="2A931EFB">
                <wp:simplePos x="0" y="0"/>
                <wp:positionH relativeFrom="column">
                  <wp:posOffset>4061460</wp:posOffset>
                </wp:positionH>
                <wp:positionV relativeFrom="paragraph">
                  <wp:posOffset>1813560</wp:posOffset>
                </wp:positionV>
                <wp:extent cx="333375" cy="285750"/>
                <wp:effectExtent l="0" t="0" r="3810" b="0"/>
                <wp:wrapNone/>
                <wp:docPr id="26494" name="Rectangle 26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2800"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8F6DB" id="Rectangle 26859" o:spid="_x0000_s1629" style="position:absolute;left:0;text-align:left;margin-left:319.8pt;margin-top:142.8pt;width:26.25pt;height:2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HMvgIAAMA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" filled="f" stroked="f">
                <v:textbox>
                  <w:txbxContent>
                    <w:p w14:paraId="4CB82800"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2</w:t>
                      </w:r>
                    </w:p>
                  </w:txbxContent>
                </v:textbox>
              </v:rect>
            </w:pict>
          </mc:Fallback>
        </mc:AlternateContent>
      </w:r>
      <w:r>
        <w:rPr>
          <w:noProof/>
          <w:color w:val="auto"/>
        </w:rPr>
        <mc:AlternateContent>
          <mc:Choice Requires="wps">
            <w:drawing>
              <wp:anchor distT="0" distB="0" distL="114300" distR="114300" simplePos="0" relativeHeight="251801088" behindDoc="0" locked="0" layoutInCell="1" allowOverlap="1" wp14:anchorId="69183A7A" wp14:editId="61885C78">
                <wp:simplePos x="0" y="0"/>
                <wp:positionH relativeFrom="column">
                  <wp:posOffset>3842385</wp:posOffset>
                </wp:positionH>
                <wp:positionV relativeFrom="paragraph">
                  <wp:posOffset>1918335</wp:posOffset>
                </wp:positionV>
                <wp:extent cx="238125" cy="635"/>
                <wp:effectExtent l="0" t="0" r="28575" b="37465"/>
                <wp:wrapNone/>
                <wp:docPr id="26486" name="Line 26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line">
                          <a:avLst/>
                        </a:prstGeom>
                        <a:noFill/>
                        <a:ln w="15875">
                          <a:solidFill>
                            <a:srgbClr val="25FB5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1316A01" id="Line 26820"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5pt,151.05pt" to="321.3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" strokecolor="#25fb52" strokeweight="1.25pt"/>
            </w:pict>
          </mc:Fallback>
        </mc:AlternateContent>
      </w:r>
      <w:r>
        <w:rPr>
          <w:noProof/>
          <w:color w:val="auto"/>
        </w:rPr>
        <mc:AlternateContent>
          <mc:Choice Requires="wps">
            <w:drawing>
              <wp:anchor distT="0" distB="0" distL="114300" distR="114300" simplePos="0" relativeHeight="251840000" behindDoc="0" locked="0" layoutInCell="1" allowOverlap="1" wp14:anchorId="475054FD" wp14:editId="6FD94F3D">
                <wp:simplePos x="0" y="0"/>
                <wp:positionH relativeFrom="column">
                  <wp:posOffset>4046855</wp:posOffset>
                </wp:positionH>
                <wp:positionV relativeFrom="paragraph">
                  <wp:posOffset>1674495</wp:posOffset>
                </wp:positionV>
                <wp:extent cx="333375" cy="285750"/>
                <wp:effectExtent l="0" t="0" r="0" b="0"/>
                <wp:wrapNone/>
                <wp:docPr id="26493" name="Rectangle 26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E9067"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054FD" id="Rectangle 26858" o:spid="_x0000_s1630" style="position:absolute;left:0;text-align:left;margin-left:318.65pt;margin-top:131.85pt;width:26.25pt;height:2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8ZvQIAAMA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" filled="f" stroked="f">
                <v:textbox>
                  <w:txbxContent>
                    <w:p w14:paraId="631E9067"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1</w:t>
                      </w:r>
                    </w:p>
                  </w:txbxContent>
                </v:textbox>
              </v:rect>
            </w:pict>
          </mc:Fallback>
        </mc:AlternateContent>
      </w:r>
      <w:r>
        <w:rPr>
          <w:noProof/>
          <w:color w:val="auto"/>
        </w:rPr>
        <mc:AlternateContent>
          <mc:Choice Requires="wps">
            <w:drawing>
              <wp:anchor distT="0" distB="0" distL="114300" distR="114300" simplePos="0" relativeHeight="251795968" behindDoc="0" locked="0" layoutInCell="1" allowOverlap="1" wp14:anchorId="7EC1D57C" wp14:editId="6D27FFD6">
                <wp:simplePos x="0" y="0"/>
                <wp:positionH relativeFrom="column">
                  <wp:posOffset>3844290</wp:posOffset>
                </wp:positionH>
                <wp:positionV relativeFrom="paragraph">
                  <wp:posOffset>1783715</wp:posOffset>
                </wp:positionV>
                <wp:extent cx="238125" cy="635"/>
                <wp:effectExtent l="0" t="0" r="28575" b="37465"/>
                <wp:wrapNone/>
                <wp:docPr id="26488" name="Line 26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4193F3" id="Line 26815" o:spid="_x0000_s1026" style="position:absolute;left:0;text-align:lef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140.45pt" to="321.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" strokecolor="blue" strokeweight="1.25pt"/>
            </w:pict>
          </mc:Fallback>
        </mc:AlternateContent>
      </w:r>
      <w:r>
        <w:rPr>
          <w:noProof/>
          <w:color w:val="auto"/>
        </w:rPr>
        <mc:AlternateContent>
          <mc:Choice Requires="wps">
            <w:drawing>
              <wp:anchor distT="0" distB="0" distL="114300" distR="114300" simplePos="0" relativeHeight="251838976" behindDoc="0" locked="0" layoutInCell="1" allowOverlap="1" wp14:anchorId="328EB672" wp14:editId="27F9F713">
                <wp:simplePos x="0" y="0"/>
                <wp:positionH relativeFrom="column">
                  <wp:posOffset>4044315</wp:posOffset>
                </wp:positionH>
                <wp:positionV relativeFrom="paragraph">
                  <wp:posOffset>1503045</wp:posOffset>
                </wp:positionV>
                <wp:extent cx="333375" cy="285750"/>
                <wp:effectExtent l="0" t="0" r="3810" b="0"/>
                <wp:wrapNone/>
                <wp:docPr id="26492" name="Rectangle 26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54FE0"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B672" id="Rectangle 26857" o:spid="_x0000_s1631" style="position:absolute;left:0;text-align:left;margin-left:318.45pt;margin-top:118.35pt;width:26.25pt;height:2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t+vQIAAMA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" filled="f" stroked="f">
                <v:textbox>
                  <w:txbxContent>
                    <w:p w14:paraId="7CD54FE0" w14:textId="77777777" w:rsidR="00217891" w:rsidRPr="00971725" w:rsidRDefault="00217891" w:rsidP="00D505C2">
                      <w:pPr>
                        <w:rPr>
                          <w:rFonts w:asciiTheme="minorHAnsi" w:hAnsiTheme="minorHAnsi"/>
                        </w:rPr>
                      </w:pPr>
                      <w:r w:rsidRPr="00971725">
                        <w:rPr>
                          <w:rFonts w:asciiTheme="minorHAnsi" w:hAnsiTheme="minorHAnsi"/>
                        </w:rPr>
                        <w:t>T</w:t>
                      </w:r>
                      <w:r w:rsidRPr="00971725">
                        <w:rPr>
                          <w:rFonts w:asciiTheme="minorHAnsi" w:hAnsiTheme="minorHAnsi"/>
                          <w:vertAlign w:val="subscript"/>
                        </w:rPr>
                        <w:t>0</w:t>
                      </w:r>
                    </w:p>
                  </w:txbxContent>
                </v:textbox>
              </v:rect>
            </w:pict>
          </mc:Fallback>
        </mc:AlternateContent>
      </w:r>
      <w:r>
        <w:rPr>
          <w:noProof/>
          <w:color w:val="auto"/>
        </w:rPr>
        <mc:AlternateContent>
          <mc:Choice Requires="wps">
            <w:drawing>
              <wp:anchor distT="0" distB="0" distL="114300" distR="114300" simplePos="0" relativeHeight="251796992" behindDoc="0" locked="0" layoutInCell="1" allowOverlap="1" wp14:anchorId="3B886E91" wp14:editId="7C068245">
                <wp:simplePos x="0" y="0"/>
                <wp:positionH relativeFrom="column">
                  <wp:posOffset>3850640</wp:posOffset>
                </wp:positionH>
                <wp:positionV relativeFrom="paragraph">
                  <wp:posOffset>1628775</wp:posOffset>
                </wp:positionV>
                <wp:extent cx="222250" cy="1270"/>
                <wp:effectExtent l="10160" t="15240" r="15240" b="12065"/>
                <wp:wrapNone/>
                <wp:docPr id="26489" name="Line 26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1270"/>
                        </a:xfrm>
                        <a:prstGeom prst="line">
                          <a:avLst/>
                        </a:prstGeom>
                        <a:noFill/>
                        <a:ln w="158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FA3637D" id="Line 26816" o:spid="_x0000_s1026" style="position:absolute;left:0;text-align:lef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2pt,128.25pt" to="320.7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" strokeweight="1.25pt"/>
            </w:pict>
          </mc:Fallback>
        </mc:AlternateContent>
      </w:r>
      <w:r>
        <w:rPr>
          <w:noProof/>
        </w:rPr>
        <w:drawing>
          <wp:inline distT="0" distB="0" distL="0" distR="0" wp14:anchorId="20C089DA" wp14:editId="1575428B">
            <wp:extent cx="3802380" cy="4097082"/>
            <wp:effectExtent l="0" t="0" r="7620" b="0"/>
            <wp:docPr id="27161" name="图片 2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03200" cy="4097966"/>
                    </a:xfrm>
                    <a:prstGeom prst="rect">
                      <a:avLst/>
                    </a:prstGeom>
                  </pic:spPr>
                </pic:pic>
              </a:graphicData>
            </a:graphic>
          </wp:inline>
        </w:drawing>
      </w:r>
    </w:p>
    <w:p w14:paraId="48729F1F" w14:textId="77777777" w:rsidR="00971725" w:rsidRPr="00A964FF" w:rsidRDefault="00971725" w:rsidP="00971725">
      <w:pPr>
        <w:pStyle w:val="ad"/>
        <w:ind w:firstLineChars="395" w:firstLine="1110"/>
        <w:rPr>
          <w:rFonts w:ascii="Calibri" w:eastAsia="黑体" w:hAnsi="Calibri"/>
          <w:b w:val="0"/>
          <w:bCs/>
          <w:color w:val="auto"/>
          <w:sz w:val="24"/>
        </w:rPr>
      </w:pPr>
      <w:r>
        <w:rPr>
          <w:rFonts w:ascii="Calibri" w:hAnsi="Calibri"/>
          <w:noProof/>
          <w:color w:val="auto"/>
        </w:rPr>
        <w:tab/>
      </w:r>
      <w:r w:rsidRPr="00A964FF">
        <w:rPr>
          <w:rFonts w:ascii="Calibri" w:eastAsia="黑体" w:hAnsi="Calibri" w:hint="eastAsia"/>
          <w:b w:val="0"/>
          <w:bCs/>
          <w:color w:val="auto"/>
          <w:sz w:val="24"/>
        </w:rPr>
        <w:t>图</w:t>
      </w:r>
      <w:r w:rsidRPr="00A964FF">
        <w:rPr>
          <w:rFonts w:ascii="Calibri" w:eastAsia="黑体" w:hAnsi="Calibri"/>
          <w:b w:val="0"/>
          <w:bCs/>
          <w:color w:val="auto"/>
          <w:sz w:val="24"/>
        </w:rPr>
        <w:t>4</w:t>
      </w:r>
      <w:r w:rsidRPr="00A964FF">
        <w:rPr>
          <w:rFonts w:ascii="Calibri" w:eastAsia="黑体" w:hAnsi="Calibri" w:hint="eastAsia"/>
          <w:b w:val="0"/>
          <w:bCs/>
          <w:color w:val="auto"/>
          <w:sz w:val="24"/>
        </w:rPr>
        <w:t>.4</w:t>
      </w:r>
      <w:r w:rsidRPr="00A964FF">
        <w:rPr>
          <w:rFonts w:ascii="Calibri" w:eastAsia="黑体" w:hAnsi="Calibri"/>
          <w:b w:val="0"/>
          <w:bCs/>
          <w:color w:val="auto"/>
          <w:sz w:val="24"/>
        </w:rPr>
        <w:t>-</w:t>
      </w:r>
      <w:r>
        <w:rPr>
          <w:rFonts w:ascii="Calibri" w:eastAsia="黑体" w:hAnsi="Calibri" w:hint="eastAsia"/>
          <w:b w:val="0"/>
          <w:bCs/>
          <w:color w:val="auto"/>
          <w:sz w:val="24"/>
        </w:rPr>
        <w:t>4</w:t>
      </w:r>
      <w:r w:rsidRPr="00A964FF">
        <w:rPr>
          <w:rFonts w:ascii="Calibri" w:eastAsia="黑体" w:hAnsi="Calibri"/>
          <w:b w:val="0"/>
          <w:bCs/>
          <w:color w:val="auto"/>
          <w:sz w:val="24"/>
        </w:rPr>
        <w:t xml:space="preserve">         </w:t>
      </w:r>
      <w:r w:rsidRPr="00A964FF">
        <w:rPr>
          <w:rFonts w:ascii="Calibri" w:eastAsia="黑体" w:hAnsi="黑体" w:hint="eastAsia"/>
          <w:b w:val="0"/>
          <w:bCs/>
          <w:color w:val="auto"/>
          <w:sz w:val="24"/>
        </w:rPr>
        <w:t>不同时间污染物浓度随深度变化图</w:t>
      </w:r>
    </w:p>
    <w:p w14:paraId="704F373C" w14:textId="77777777" w:rsidR="00971725" w:rsidRPr="00A964FF" w:rsidRDefault="00971725" w:rsidP="00971725">
      <w:pPr>
        <w:pStyle w:val="ad"/>
        <w:ind w:firstLineChars="200" w:firstLine="480"/>
        <w:rPr>
          <w:rFonts w:ascii="Calibri" w:eastAsia="宋体" w:hAnsi="Times New Roman"/>
          <w:b w:val="0"/>
          <w:color w:val="auto"/>
          <w:sz w:val="24"/>
        </w:rPr>
      </w:pPr>
      <w:r w:rsidRPr="00A964FF">
        <w:rPr>
          <w:rFonts w:ascii="Calibri" w:eastAsia="宋体" w:hAnsi="Times New Roman" w:hint="eastAsia"/>
          <w:b w:val="0"/>
          <w:color w:val="auto"/>
          <w:sz w:val="24"/>
        </w:rPr>
        <w:t>（</w:t>
      </w:r>
      <w:r w:rsidRPr="00A964FF">
        <w:rPr>
          <w:rFonts w:ascii="Calibri" w:eastAsia="宋体" w:hAnsi="Times New Roman"/>
          <w:b w:val="0"/>
          <w:color w:val="auto"/>
          <w:sz w:val="24"/>
        </w:rPr>
        <w:t>T</w:t>
      </w:r>
      <w:r w:rsidRPr="00A964FF">
        <w:rPr>
          <w:rFonts w:ascii="Calibri" w:eastAsia="宋体" w:hAnsi="Times New Roman"/>
          <w:b w:val="0"/>
          <w:color w:val="auto"/>
          <w:sz w:val="24"/>
          <w:vertAlign w:val="subscript"/>
        </w:rPr>
        <w:t>0</w:t>
      </w:r>
      <w:r w:rsidRPr="00A964FF">
        <w:rPr>
          <w:rFonts w:ascii="Calibri" w:eastAsia="宋体" w:hAnsi="Times New Roman" w:hint="eastAsia"/>
          <w:b w:val="0"/>
          <w:color w:val="auto"/>
          <w:sz w:val="24"/>
        </w:rPr>
        <w:t>～</w:t>
      </w:r>
      <w:r w:rsidRPr="00A964FF">
        <w:rPr>
          <w:rFonts w:ascii="Calibri" w:eastAsia="宋体" w:hAnsi="Times New Roman"/>
          <w:b w:val="0"/>
          <w:color w:val="auto"/>
          <w:sz w:val="24"/>
        </w:rPr>
        <w:t>T</w:t>
      </w:r>
      <w:r w:rsidRPr="00A964FF">
        <w:rPr>
          <w:rFonts w:ascii="Calibri" w:eastAsia="宋体" w:hAnsi="Times New Roman"/>
          <w:b w:val="0"/>
          <w:color w:val="auto"/>
          <w:sz w:val="24"/>
          <w:vertAlign w:val="subscript"/>
        </w:rPr>
        <w:t>5</w:t>
      </w:r>
      <w:r w:rsidRPr="00A964FF">
        <w:rPr>
          <w:rFonts w:ascii="Calibri" w:eastAsia="宋体" w:hAnsi="Times New Roman" w:hint="eastAsia"/>
          <w:b w:val="0"/>
          <w:color w:val="auto"/>
          <w:sz w:val="24"/>
        </w:rPr>
        <w:t>分别为</w:t>
      </w:r>
      <w:r w:rsidRPr="00A964FF">
        <w:rPr>
          <w:rFonts w:ascii="Calibri" w:eastAsia="宋体" w:hAnsi="Times New Roman"/>
          <w:b w:val="0"/>
          <w:color w:val="auto"/>
          <w:sz w:val="24"/>
        </w:rPr>
        <w:t>0</w:t>
      </w:r>
      <w:r w:rsidRPr="00A964FF">
        <w:rPr>
          <w:rFonts w:ascii="Calibri" w:eastAsia="宋体" w:hAnsi="Times New Roman" w:hint="eastAsia"/>
          <w:b w:val="0"/>
          <w:color w:val="auto"/>
          <w:sz w:val="24"/>
        </w:rPr>
        <w:t>天、</w:t>
      </w:r>
      <w:r w:rsidRPr="00A964FF">
        <w:rPr>
          <w:rFonts w:ascii="Calibri" w:eastAsia="宋体" w:hAnsi="Times New Roman"/>
          <w:b w:val="0"/>
          <w:color w:val="auto"/>
          <w:sz w:val="24"/>
        </w:rPr>
        <w:t>10</w:t>
      </w:r>
      <w:r w:rsidRPr="00A964FF">
        <w:rPr>
          <w:rFonts w:ascii="Calibri" w:eastAsia="宋体" w:hAnsi="Times New Roman" w:hint="eastAsia"/>
          <w:b w:val="0"/>
          <w:color w:val="auto"/>
          <w:sz w:val="24"/>
        </w:rPr>
        <w:t>天、</w:t>
      </w:r>
      <w:r w:rsidRPr="00A964FF">
        <w:rPr>
          <w:rFonts w:ascii="Calibri" w:eastAsia="宋体" w:hAnsi="Times New Roman"/>
          <w:b w:val="0"/>
          <w:color w:val="auto"/>
          <w:sz w:val="24"/>
        </w:rPr>
        <w:t>100</w:t>
      </w:r>
      <w:r w:rsidRPr="00A964FF">
        <w:rPr>
          <w:rFonts w:ascii="Calibri" w:eastAsia="宋体" w:hAnsi="Times New Roman" w:hint="eastAsia"/>
          <w:b w:val="0"/>
          <w:color w:val="auto"/>
          <w:sz w:val="24"/>
        </w:rPr>
        <w:t>天、</w:t>
      </w:r>
      <w:r w:rsidRPr="00A964FF">
        <w:rPr>
          <w:rFonts w:ascii="Calibri" w:eastAsia="宋体" w:hAnsi="Times New Roman"/>
          <w:b w:val="0"/>
          <w:color w:val="auto"/>
          <w:sz w:val="24"/>
        </w:rPr>
        <w:t>365</w:t>
      </w:r>
      <w:r w:rsidRPr="00A964FF">
        <w:rPr>
          <w:rFonts w:ascii="Calibri" w:eastAsia="宋体" w:hAnsi="Times New Roman" w:hint="eastAsia"/>
          <w:b w:val="0"/>
          <w:color w:val="auto"/>
          <w:sz w:val="24"/>
        </w:rPr>
        <w:t>天、</w:t>
      </w:r>
      <w:r w:rsidRPr="00A964FF">
        <w:rPr>
          <w:rFonts w:ascii="Calibri" w:eastAsia="宋体" w:hAnsi="Times New Roman"/>
          <w:b w:val="0"/>
          <w:color w:val="auto"/>
          <w:sz w:val="24"/>
        </w:rPr>
        <w:t>3650</w:t>
      </w:r>
      <w:r w:rsidRPr="00A964FF">
        <w:rPr>
          <w:rFonts w:ascii="Calibri" w:eastAsia="宋体" w:hAnsi="Times New Roman" w:hint="eastAsia"/>
          <w:b w:val="0"/>
          <w:color w:val="auto"/>
          <w:sz w:val="24"/>
        </w:rPr>
        <w:t>天、</w:t>
      </w:r>
      <w:r w:rsidRPr="00A964FF">
        <w:rPr>
          <w:rFonts w:ascii="Calibri" w:eastAsia="宋体" w:hAnsi="Times New Roman"/>
          <w:b w:val="0"/>
          <w:color w:val="auto"/>
          <w:sz w:val="24"/>
        </w:rPr>
        <w:t>7300</w:t>
      </w:r>
      <w:r w:rsidRPr="00A964FF">
        <w:rPr>
          <w:rFonts w:ascii="Calibri" w:eastAsia="宋体" w:hAnsi="Times New Roman" w:hint="eastAsia"/>
          <w:b w:val="0"/>
          <w:color w:val="auto"/>
          <w:sz w:val="24"/>
        </w:rPr>
        <w:t>天）</w:t>
      </w:r>
    </w:p>
    <w:p w14:paraId="2A06E3DF" w14:textId="77777777" w:rsidR="00971725" w:rsidRDefault="00971725" w:rsidP="00AB0983">
      <w:pPr>
        <w:pStyle w:val="ad"/>
        <w:ind w:firstLineChars="200" w:firstLine="480"/>
        <w:rPr>
          <w:rFonts w:ascii="Calibri" w:eastAsia="宋体" w:hAnsi="Times New Roman"/>
          <w:b w:val="0"/>
          <w:color w:val="auto"/>
          <w:sz w:val="24"/>
        </w:rPr>
      </w:pPr>
      <w:r w:rsidRPr="00A964FF">
        <w:rPr>
          <w:rFonts w:ascii="Calibri" w:eastAsia="宋体" w:hAnsi="Times New Roman" w:hint="eastAsia"/>
          <w:b w:val="0"/>
          <w:color w:val="auto"/>
          <w:sz w:val="24"/>
        </w:rPr>
        <w:t>影响深度分析：由土壤模拟结果可知，污染物在土壤中随时间不断向下迁移，迁移过程中污染物浓度不断降低。在最不利情况下，即污染源强以污染物的最大泄漏量设定，项目运营期按</w:t>
      </w:r>
      <w:r w:rsidRPr="00A964FF">
        <w:rPr>
          <w:rFonts w:ascii="Calibri" w:eastAsia="宋体" w:hAnsi="Times New Roman"/>
          <w:b w:val="0"/>
          <w:color w:val="auto"/>
          <w:sz w:val="24"/>
        </w:rPr>
        <w:t>20</w:t>
      </w:r>
      <w:r w:rsidRPr="00A964FF">
        <w:rPr>
          <w:rFonts w:ascii="Calibri" w:eastAsia="宋体" w:hAnsi="Times New Roman" w:hint="eastAsia"/>
          <w:b w:val="0"/>
          <w:color w:val="auto"/>
          <w:sz w:val="24"/>
        </w:rPr>
        <w:t>年计，则污染物石油烃的最大迁移深度约为</w:t>
      </w:r>
      <w:r>
        <w:rPr>
          <w:rFonts w:ascii="Calibri" w:eastAsia="宋体" w:hAnsi="Times New Roman"/>
          <w:b w:val="0"/>
          <w:color w:val="auto"/>
          <w:sz w:val="24"/>
        </w:rPr>
        <w:t>3.2</w:t>
      </w:r>
      <w:r w:rsidRPr="00A964FF">
        <w:rPr>
          <w:rFonts w:ascii="Calibri" w:eastAsia="宋体" w:hAnsi="Times New Roman"/>
          <w:b w:val="0"/>
          <w:color w:val="auto"/>
          <w:sz w:val="24"/>
        </w:rPr>
        <w:t>m</w:t>
      </w:r>
      <w:r w:rsidRPr="00A964FF">
        <w:rPr>
          <w:rFonts w:ascii="Calibri" w:eastAsia="宋体" w:hAnsi="Times New Roman" w:hint="eastAsia"/>
          <w:b w:val="0"/>
          <w:color w:val="auto"/>
          <w:sz w:val="24"/>
        </w:rPr>
        <w:t>，</w:t>
      </w:r>
      <w:r w:rsidR="00AB0983">
        <w:rPr>
          <w:rFonts w:ascii="Calibri" w:eastAsia="宋体" w:hAnsi="Times New Roman" w:hint="eastAsia"/>
          <w:b w:val="0"/>
          <w:color w:val="auto"/>
          <w:sz w:val="24"/>
        </w:rPr>
        <w:t>小于</w:t>
      </w:r>
      <w:r w:rsidR="00AB0983">
        <w:rPr>
          <w:rFonts w:ascii="Calibri" w:eastAsia="宋体" w:hAnsi="Times New Roman" w:hint="eastAsia"/>
          <w:b w:val="0"/>
          <w:color w:val="auto"/>
          <w:sz w:val="24"/>
        </w:rPr>
        <w:t>8.9</w:t>
      </w:r>
      <w:r w:rsidR="00AB0983">
        <w:rPr>
          <w:rFonts w:ascii="Calibri" w:eastAsia="宋体" w:hAnsi="Times New Roman"/>
          <w:b w:val="0"/>
          <w:color w:val="auto"/>
          <w:sz w:val="24"/>
        </w:rPr>
        <w:t>m</w:t>
      </w:r>
      <w:r w:rsidR="00AB0983">
        <w:rPr>
          <w:rFonts w:ascii="Calibri" w:eastAsia="宋体" w:hAnsi="Times New Roman" w:hint="eastAsia"/>
          <w:b w:val="0"/>
          <w:color w:val="auto"/>
          <w:sz w:val="24"/>
        </w:rPr>
        <w:t>，</w:t>
      </w:r>
      <w:r w:rsidRPr="00A964FF">
        <w:rPr>
          <w:rFonts w:ascii="Calibri" w:eastAsia="宋体" w:hAnsi="Times New Roman" w:hint="eastAsia"/>
          <w:b w:val="0"/>
          <w:color w:val="auto"/>
          <w:sz w:val="24"/>
        </w:rPr>
        <w:t>未达到地下水潜水层。</w:t>
      </w:r>
    </w:p>
    <w:p w14:paraId="6560AB37" w14:textId="77777777" w:rsidR="00971725" w:rsidRPr="00971725" w:rsidRDefault="00971725" w:rsidP="00971725">
      <w:pPr>
        <w:pStyle w:val="1"/>
        <w:tabs>
          <w:tab w:val="left" w:pos="1200"/>
        </w:tabs>
        <w:spacing w:line="240" w:lineRule="auto"/>
        <w:rPr>
          <w:rFonts w:ascii="Calibri" w:hAnsi="Calibri"/>
          <w:noProof/>
          <w:color w:val="auto"/>
        </w:rPr>
      </w:pPr>
    </w:p>
    <w:p w14:paraId="48954894" w14:textId="77777777" w:rsidR="0055605A" w:rsidRPr="00A964FF" w:rsidRDefault="0055605A" w:rsidP="0055605A">
      <w:pPr>
        <w:pStyle w:val="1"/>
        <w:spacing w:line="240" w:lineRule="auto"/>
        <w:jc w:val="center"/>
        <w:rPr>
          <w:rFonts w:ascii="Calibri" w:hAnsi="Calibri"/>
          <w:color w:val="auto"/>
        </w:rPr>
      </w:pPr>
      <w:r w:rsidRPr="00971725">
        <w:br w:type="page"/>
      </w:r>
      <w:bookmarkStart w:id="73" w:name="_Toc447804128"/>
      <w:bookmarkStart w:id="74" w:name="_Toc112999919"/>
      <w:r w:rsidRPr="00A964FF">
        <w:rPr>
          <w:rFonts w:ascii="Calibri" w:hAnsi="Calibri"/>
          <w:color w:val="auto"/>
        </w:rPr>
        <w:lastRenderedPageBreak/>
        <w:t>第</w:t>
      </w:r>
      <w:r w:rsidRPr="00A964FF">
        <w:rPr>
          <w:rFonts w:ascii="Calibri" w:hAnsi="Calibri" w:hint="eastAsia"/>
          <w:color w:val="auto"/>
        </w:rPr>
        <w:t>五</w:t>
      </w:r>
      <w:r w:rsidRPr="00A964FF">
        <w:rPr>
          <w:rFonts w:ascii="Calibri" w:hAnsi="Calibri"/>
          <w:color w:val="auto"/>
        </w:rPr>
        <w:t>章</w:t>
      </w:r>
      <w:r w:rsidRPr="00A964FF">
        <w:rPr>
          <w:rFonts w:ascii="Calibri" w:hAnsi="Calibri"/>
          <w:color w:val="auto"/>
        </w:rPr>
        <w:t xml:space="preserve">    </w:t>
      </w:r>
      <w:r w:rsidRPr="00A964FF">
        <w:rPr>
          <w:rFonts w:ascii="Calibri" w:hAnsi="Calibri" w:hint="eastAsia"/>
          <w:color w:val="auto"/>
        </w:rPr>
        <w:t>环境</w:t>
      </w:r>
      <w:bookmarkEnd w:id="73"/>
      <w:r w:rsidRPr="00A964FF">
        <w:rPr>
          <w:rFonts w:ascii="Calibri" w:hAnsi="Calibri" w:hint="eastAsia"/>
          <w:color w:val="auto"/>
        </w:rPr>
        <w:t>保护措施及其可行性论证</w:t>
      </w:r>
      <w:bookmarkEnd w:id="74"/>
    </w:p>
    <w:p w14:paraId="220E2950" w14:textId="77777777" w:rsidR="0055605A" w:rsidRPr="00A964FF" w:rsidRDefault="0055605A" w:rsidP="0055605A">
      <w:pPr>
        <w:pStyle w:val="2"/>
        <w:spacing w:before="200" w:after="100" w:line="520" w:lineRule="exact"/>
        <w:rPr>
          <w:rFonts w:ascii="Calibri" w:hAnsi="Calibri"/>
          <w:bCs/>
          <w:color w:val="auto"/>
          <w:szCs w:val="28"/>
        </w:rPr>
      </w:pPr>
      <w:bookmarkStart w:id="75" w:name="_Toc447804129"/>
      <w:bookmarkStart w:id="76" w:name="_Toc112999920"/>
      <w:r w:rsidRPr="00AA793F">
        <w:rPr>
          <w:rFonts w:ascii="Calibri" w:hAnsi="Calibri"/>
          <w:bCs/>
          <w:color w:val="auto"/>
          <w:szCs w:val="28"/>
        </w:rPr>
        <w:t>5.1</w:t>
      </w:r>
      <w:bookmarkEnd w:id="75"/>
      <w:r w:rsidRPr="00AA793F">
        <w:rPr>
          <w:rFonts w:ascii="Calibri" w:hAnsi="Calibri" w:hint="eastAsia"/>
          <w:bCs/>
          <w:color w:val="auto"/>
          <w:szCs w:val="28"/>
        </w:rPr>
        <w:t>施工期污染防治措施</w:t>
      </w:r>
      <w:bookmarkEnd w:id="76"/>
    </w:p>
    <w:p w14:paraId="1453A9D9" w14:textId="77777777" w:rsidR="0082613E" w:rsidRPr="0082613E" w:rsidRDefault="0082613E" w:rsidP="0082613E">
      <w:pPr>
        <w:spacing w:line="520" w:lineRule="exact"/>
        <w:ind w:firstLineChars="200" w:firstLine="480"/>
        <w:rPr>
          <w:sz w:val="24"/>
        </w:rPr>
      </w:pPr>
      <w:r w:rsidRPr="00307621">
        <w:rPr>
          <w:rFonts w:hint="eastAsia"/>
          <w:sz w:val="24"/>
        </w:rPr>
        <w:t>本</w:t>
      </w:r>
      <w:r>
        <w:rPr>
          <w:rFonts w:hint="eastAsia"/>
          <w:sz w:val="24"/>
        </w:rPr>
        <w:t>项目</w:t>
      </w:r>
      <w:r w:rsidRPr="00307621">
        <w:rPr>
          <w:rFonts w:hint="eastAsia"/>
          <w:sz w:val="24"/>
        </w:rPr>
        <w:t>主要</w:t>
      </w:r>
      <w:r>
        <w:rPr>
          <w:rFonts w:hint="eastAsia"/>
          <w:sz w:val="24"/>
        </w:rPr>
        <w:t>建设生产</w:t>
      </w:r>
      <w:r w:rsidRPr="00307621">
        <w:rPr>
          <w:rFonts w:hint="eastAsia"/>
          <w:sz w:val="24"/>
        </w:rPr>
        <w:t>车间</w:t>
      </w:r>
      <w:r>
        <w:rPr>
          <w:rFonts w:hint="eastAsia"/>
          <w:sz w:val="24"/>
        </w:rPr>
        <w:t>、仓库、办公</w:t>
      </w:r>
      <w:r>
        <w:rPr>
          <w:sz w:val="24"/>
        </w:rPr>
        <w:t>楼、</w:t>
      </w:r>
      <w:r>
        <w:rPr>
          <w:rFonts w:hint="eastAsia"/>
          <w:sz w:val="24"/>
        </w:rPr>
        <w:t>中心</w:t>
      </w:r>
      <w:r>
        <w:rPr>
          <w:sz w:val="24"/>
        </w:rPr>
        <w:t>化验室、</w:t>
      </w:r>
      <w:r w:rsidR="0092085C">
        <w:rPr>
          <w:rFonts w:hint="eastAsia"/>
          <w:sz w:val="24"/>
        </w:rPr>
        <w:t>品控中心</w:t>
      </w:r>
      <w:r w:rsidRPr="00307621">
        <w:rPr>
          <w:rFonts w:hint="eastAsia"/>
          <w:sz w:val="24"/>
        </w:rPr>
        <w:t>以及配套相关附属设施，</w:t>
      </w:r>
      <w:r w:rsidRPr="0003404F">
        <w:rPr>
          <w:sz w:val="24"/>
        </w:rPr>
        <w:t>为减小工程施工期可能对周围环境造成的影响，最大限度地减少工程建设对环境造成的不利影响，评价对施工期环境影响因素进行分析并提出相应的防治措施。同时，在项目建设过程中，当地环境管理部门依照国家有关建设项目环境监理工作程序对其施工过程进行环境监理。</w:t>
      </w:r>
    </w:p>
    <w:p w14:paraId="68A79DC1" w14:textId="77777777" w:rsidR="0055605A" w:rsidRPr="00A964FF" w:rsidRDefault="0055605A" w:rsidP="0055605A">
      <w:pPr>
        <w:pStyle w:val="ad"/>
        <w:rPr>
          <w:rFonts w:ascii="Calibri" w:hAnsi="Calibri"/>
          <w:color w:val="auto"/>
        </w:rPr>
      </w:pPr>
      <w:r w:rsidRPr="00A964FF">
        <w:rPr>
          <w:rFonts w:ascii="Calibri" w:hAnsi="Calibri" w:hint="eastAsia"/>
          <w:color w:val="auto"/>
        </w:rPr>
        <w:t>5.1.1</w:t>
      </w:r>
      <w:r w:rsidRPr="00A964FF">
        <w:rPr>
          <w:rFonts w:ascii="Calibri" w:hAnsi="Calibri" w:hint="eastAsia"/>
          <w:color w:val="auto"/>
        </w:rPr>
        <w:t>大气污染防治措施</w:t>
      </w:r>
    </w:p>
    <w:p w14:paraId="015BF099" w14:textId="77777777" w:rsidR="00E7345D" w:rsidRPr="00852DCA" w:rsidRDefault="00E7345D" w:rsidP="0082613E">
      <w:pPr>
        <w:pStyle w:val="00"/>
        <w:rPr>
          <w:rFonts w:ascii="Calibri"/>
          <w:b/>
          <w:bCs/>
          <w:color w:val="auto"/>
          <w:u w:val="single"/>
        </w:rPr>
      </w:pPr>
      <w:r w:rsidRPr="00852DCA">
        <w:rPr>
          <w:rFonts w:ascii="Calibri" w:hint="eastAsia"/>
          <w:b/>
          <w:bCs/>
          <w:color w:val="auto"/>
          <w:u w:val="single"/>
        </w:rPr>
        <w:t>扬尘污染是施工期间重要的污染因素，项目在地基开挖过程以及施工建设期间，不可避免地会产生一些地面扬尘，这些扬尘尽管是短期行为，但会对附近区域带来不利的影响。为降低项目施工对周围环境敏感点的影响，建设单位应按照</w:t>
      </w:r>
      <w:r w:rsidR="00135AC8" w:rsidRPr="00852DCA">
        <w:rPr>
          <w:rFonts w:ascii="Calibri" w:hint="eastAsia"/>
          <w:b/>
          <w:bCs/>
          <w:color w:val="auto"/>
          <w:u w:val="single"/>
        </w:rPr>
        <w:t>《</w:t>
      </w:r>
      <w:r w:rsidR="00135AC8" w:rsidRPr="00852DCA">
        <w:rPr>
          <w:rFonts w:ascii="Calibri"/>
          <w:b/>
          <w:bCs/>
          <w:color w:val="auto"/>
          <w:u w:val="single"/>
        </w:rPr>
        <w:t>河南省</w:t>
      </w:r>
      <w:r w:rsidR="00135AC8" w:rsidRPr="00852DCA">
        <w:rPr>
          <w:rFonts w:ascii="Calibri"/>
          <w:b/>
          <w:bCs/>
          <w:color w:val="auto"/>
          <w:u w:val="single"/>
        </w:rPr>
        <w:t>2022</w:t>
      </w:r>
      <w:r w:rsidR="00135AC8" w:rsidRPr="00852DCA">
        <w:rPr>
          <w:rFonts w:ascii="Calibri"/>
          <w:b/>
          <w:bCs/>
          <w:color w:val="auto"/>
          <w:u w:val="single"/>
        </w:rPr>
        <w:t>年大气污染防治攻坚战实施方案</w:t>
      </w:r>
      <w:r w:rsidR="00135AC8" w:rsidRPr="00852DCA">
        <w:rPr>
          <w:rFonts w:ascii="Calibri" w:hint="eastAsia"/>
          <w:b/>
          <w:bCs/>
          <w:color w:val="auto"/>
          <w:u w:val="single"/>
        </w:rPr>
        <w:t>》</w:t>
      </w:r>
      <w:r w:rsidR="00905FD6" w:rsidRPr="00852DCA">
        <w:rPr>
          <w:rFonts w:ascii="Calibri" w:hint="eastAsia"/>
          <w:b/>
          <w:bCs/>
          <w:color w:val="auto"/>
          <w:u w:val="single"/>
        </w:rPr>
        <w:t>（</w:t>
      </w:r>
      <w:r w:rsidR="00135AC8" w:rsidRPr="00852DCA">
        <w:rPr>
          <w:rFonts w:ascii="Calibri" w:hint="eastAsia"/>
          <w:b/>
          <w:bCs/>
          <w:color w:val="auto"/>
          <w:u w:val="single"/>
        </w:rPr>
        <w:t>豫环委办【</w:t>
      </w:r>
      <w:r w:rsidR="00135AC8" w:rsidRPr="00852DCA">
        <w:rPr>
          <w:rFonts w:ascii="Calibri" w:hint="eastAsia"/>
          <w:b/>
          <w:bCs/>
          <w:color w:val="auto"/>
          <w:u w:val="single"/>
        </w:rPr>
        <w:t>2022</w:t>
      </w:r>
      <w:r w:rsidR="00135AC8" w:rsidRPr="00852DCA">
        <w:rPr>
          <w:rFonts w:ascii="Calibri" w:hint="eastAsia"/>
          <w:b/>
          <w:bCs/>
          <w:color w:val="auto"/>
          <w:u w:val="single"/>
        </w:rPr>
        <w:t>】</w:t>
      </w:r>
      <w:r w:rsidR="00135AC8" w:rsidRPr="00852DCA">
        <w:rPr>
          <w:rFonts w:ascii="Calibri" w:hint="eastAsia"/>
          <w:b/>
          <w:bCs/>
          <w:color w:val="auto"/>
          <w:u w:val="single"/>
        </w:rPr>
        <w:t>9</w:t>
      </w:r>
      <w:r w:rsidR="00135AC8" w:rsidRPr="00852DCA">
        <w:rPr>
          <w:rFonts w:ascii="Calibri" w:hint="eastAsia"/>
          <w:b/>
          <w:bCs/>
          <w:color w:val="auto"/>
          <w:u w:val="single"/>
        </w:rPr>
        <w:t>号</w:t>
      </w:r>
      <w:r w:rsidR="00905FD6" w:rsidRPr="00852DCA">
        <w:rPr>
          <w:rFonts w:ascii="Calibri" w:hint="eastAsia"/>
          <w:b/>
          <w:bCs/>
          <w:color w:val="auto"/>
          <w:u w:val="single"/>
        </w:rPr>
        <w:t>）</w:t>
      </w:r>
      <w:r w:rsidR="0082613E" w:rsidRPr="00852DCA">
        <w:rPr>
          <w:rFonts w:ascii="Calibri" w:hint="eastAsia"/>
          <w:b/>
          <w:bCs/>
          <w:color w:val="auto"/>
          <w:u w:val="single"/>
        </w:rPr>
        <w:t>及《平顶山市</w:t>
      </w:r>
      <w:r w:rsidR="0082613E" w:rsidRPr="00852DCA">
        <w:rPr>
          <w:rFonts w:ascii="Calibri"/>
          <w:b/>
          <w:bCs/>
          <w:color w:val="auto"/>
          <w:u w:val="single"/>
        </w:rPr>
        <w:t>2022</w:t>
      </w:r>
      <w:r w:rsidR="0082613E" w:rsidRPr="00852DCA">
        <w:rPr>
          <w:rFonts w:ascii="Calibri"/>
          <w:b/>
          <w:bCs/>
          <w:color w:val="auto"/>
          <w:u w:val="single"/>
        </w:rPr>
        <w:t>年大气污染防治攻坚战实施方案</w:t>
      </w:r>
      <w:r w:rsidR="0082613E" w:rsidRPr="00852DCA">
        <w:rPr>
          <w:rFonts w:ascii="Calibri" w:hint="eastAsia"/>
          <w:b/>
          <w:bCs/>
          <w:color w:val="auto"/>
          <w:u w:val="single"/>
        </w:rPr>
        <w:t>》（平环委办【</w:t>
      </w:r>
      <w:r w:rsidR="0082613E" w:rsidRPr="00852DCA">
        <w:rPr>
          <w:rFonts w:ascii="Calibri" w:hint="eastAsia"/>
          <w:b/>
          <w:bCs/>
          <w:color w:val="auto"/>
          <w:u w:val="single"/>
        </w:rPr>
        <w:t>2022</w:t>
      </w:r>
      <w:r w:rsidR="0082613E" w:rsidRPr="00852DCA">
        <w:rPr>
          <w:rFonts w:ascii="Calibri" w:hint="eastAsia"/>
          <w:b/>
          <w:bCs/>
          <w:color w:val="auto"/>
          <w:u w:val="single"/>
        </w:rPr>
        <w:t>】</w:t>
      </w:r>
      <w:r w:rsidR="0082613E" w:rsidRPr="00852DCA">
        <w:rPr>
          <w:rFonts w:ascii="Calibri" w:hint="eastAsia"/>
          <w:b/>
          <w:bCs/>
          <w:color w:val="auto"/>
          <w:u w:val="single"/>
        </w:rPr>
        <w:t>19</w:t>
      </w:r>
      <w:r w:rsidR="0082613E" w:rsidRPr="00852DCA">
        <w:rPr>
          <w:rFonts w:ascii="Calibri" w:hint="eastAsia"/>
          <w:b/>
          <w:bCs/>
          <w:color w:val="auto"/>
          <w:u w:val="single"/>
        </w:rPr>
        <w:t>号）</w:t>
      </w:r>
      <w:r w:rsidRPr="00852DCA">
        <w:rPr>
          <w:rFonts w:ascii="Calibri" w:hint="eastAsia"/>
          <w:b/>
          <w:bCs/>
          <w:color w:val="auto"/>
          <w:u w:val="single"/>
        </w:rPr>
        <w:t>等文件中的相关规定，采取如下扬尘防治措施，以防治施工扬尘，减小对周围环境空气的影响。</w:t>
      </w:r>
    </w:p>
    <w:p w14:paraId="3F29DE3F" w14:textId="77777777" w:rsidR="00E7345D" w:rsidRPr="00852DCA" w:rsidRDefault="00E7345D" w:rsidP="00E7345D">
      <w:pPr>
        <w:pStyle w:val="00"/>
        <w:rPr>
          <w:rFonts w:ascii="Calibri"/>
          <w:b/>
          <w:bCs/>
          <w:color w:val="auto"/>
          <w:u w:val="single"/>
        </w:rPr>
      </w:pPr>
      <w:r w:rsidRPr="00852DCA">
        <w:rPr>
          <w:rFonts w:ascii="Calibri" w:hint="eastAsia"/>
          <w:b/>
          <w:bCs/>
          <w:color w:val="auto"/>
          <w:u w:val="single"/>
        </w:rPr>
        <w:t>（</w:t>
      </w:r>
      <w:r w:rsidRPr="00852DCA">
        <w:rPr>
          <w:rFonts w:ascii="Calibri"/>
          <w:b/>
          <w:bCs/>
          <w:color w:val="auto"/>
          <w:u w:val="single"/>
        </w:rPr>
        <w:t>1</w:t>
      </w:r>
      <w:r w:rsidRPr="00852DCA">
        <w:rPr>
          <w:rFonts w:ascii="Calibri" w:hint="eastAsia"/>
          <w:b/>
          <w:bCs/>
          <w:color w:val="auto"/>
          <w:u w:val="single"/>
        </w:rPr>
        <w:t>）建筑施工现场施工扬尘防治工作坚持“属地管理、分级负责”和“谁主管、谁负责”的原则。建设单位应当将施工扬尘防治费用列入工程造价，在工程施工招标文件中明确施工现场扬尘防治的具体要求，在与中标单位签订的施工合同中明确施工现场扬尘防治的内容。</w:t>
      </w:r>
    </w:p>
    <w:p w14:paraId="443FE75C" w14:textId="77777777" w:rsidR="00852DCA" w:rsidRPr="00852DCA" w:rsidRDefault="00852DCA" w:rsidP="00852DCA">
      <w:pPr>
        <w:pStyle w:val="CharCharCharChar0"/>
        <w:spacing w:line="520" w:lineRule="exact"/>
        <w:ind w:firstLineChars="150" w:firstLine="361"/>
        <w:rPr>
          <w:rFonts w:ascii="Calibri" w:cs="Calibri"/>
          <w:b/>
          <w:bCs/>
          <w:color w:val="auto"/>
          <w:kern w:val="2"/>
          <w:sz w:val="24"/>
          <w:szCs w:val="24"/>
          <w:u w:val="single"/>
        </w:rPr>
      </w:pPr>
      <w:r w:rsidRPr="00852DCA">
        <w:rPr>
          <w:rFonts w:ascii="Calibri" w:cs="Calibri" w:hint="eastAsia"/>
          <w:b/>
          <w:bCs/>
          <w:color w:val="auto"/>
          <w:kern w:val="2"/>
          <w:sz w:val="24"/>
          <w:szCs w:val="24"/>
          <w:u w:val="single"/>
        </w:rPr>
        <w:t>（</w:t>
      </w:r>
      <w:r w:rsidRPr="00852DCA">
        <w:rPr>
          <w:rFonts w:ascii="Calibri" w:cs="Calibri" w:hint="eastAsia"/>
          <w:b/>
          <w:bCs/>
          <w:color w:val="auto"/>
          <w:kern w:val="2"/>
          <w:sz w:val="24"/>
          <w:szCs w:val="24"/>
          <w:u w:val="single"/>
        </w:rPr>
        <w:t>2</w:t>
      </w:r>
      <w:r w:rsidRPr="00852DCA">
        <w:rPr>
          <w:rFonts w:ascii="Calibri" w:cs="Calibri" w:hint="eastAsia"/>
          <w:b/>
          <w:bCs/>
          <w:color w:val="auto"/>
          <w:kern w:val="2"/>
          <w:sz w:val="24"/>
          <w:szCs w:val="24"/>
          <w:u w:val="single"/>
        </w:rPr>
        <w:t>）</w:t>
      </w:r>
      <w:r w:rsidRPr="00852DCA">
        <w:rPr>
          <w:rFonts w:ascii="Calibri" w:cs="Calibri"/>
          <w:b/>
          <w:bCs/>
          <w:color w:val="auto"/>
          <w:kern w:val="2"/>
          <w:sz w:val="24"/>
          <w:szCs w:val="24"/>
          <w:u w:val="single"/>
        </w:rPr>
        <w:t>施工工地开工前必须做到“六个到位”，即“审批到位、报备到位、治理方案到位、配套措施到位、监控到位、人员（施工单位管理人员、责任部门监管人员）到位”。</w:t>
      </w:r>
    </w:p>
    <w:p w14:paraId="629B9CDF" w14:textId="77777777" w:rsidR="00852DCA" w:rsidRPr="00852DCA" w:rsidRDefault="00852DCA" w:rsidP="00852DCA">
      <w:pPr>
        <w:pStyle w:val="CharCharCharChar0"/>
        <w:spacing w:line="520" w:lineRule="exact"/>
        <w:ind w:firstLineChars="171" w:firstLine="412"/>
        <w:rPr>
          <w:rFonts w:asciiTheme="minorHAnsi" w:hAnsiTheme="minorHAnsi"/>
          <w:b/>
          <w:color w:val="auto"/>
          <w:sz w:val="24"/>
          <w:szCs w:val="24"/>
          <w:u w:val="single"/>
        </w:rPr>
      </w:pPr>
      <w:r w:rsidRPr="00852DCA">
        <w:rPr>
          <w:rFonts w:asciiTheme="minorHAnsi" w:hAnsiTheme="minorHAnsi"/>
          <w:b/>
          <w:color w:val="auto"/>
          <w:sz w:val="24"/>
          <w:szCs w:val="24"/>
          <w:u w:val="single"/>
        </w:rPr>
        <w:t>（</w:t>
      </w:r>
      <w:r w:rsidRPr="00852DCA">
        <w:rPr>
          <w:rFonts w:asciiTheme="minorHAnsi" w:hAnsiTheme="minorHAnsi"/>
          <w:b/>
          <w:color w:val="auto"/>
          <w:sz w:val="24"/>
          <w:szCs w:val="24"/>
          <w:u w:val="single"/>
        </w:rPr>
        <w:t>3</w:t>
      </w:r>
      <w:r w:rsidRPr="00852DCA">
        <w:rPr>
          <w:rFonts w:asciiTheme="minorHAnsi" w:hAnsiTheme="minorHAnsi"/>
          <w:b/>
          <w:color w:val="auto"/>
          <w:sz w:val="24"/>
          <w:szCs w:val="24"/>
          <w:u w:val="single"/>
        </w:rPr>
        <w:t>）严格按照工地周边围挡、物料堆放覆盖、土方开挖湿法作业、路面硬化、出入车辆清洗、渣土车辆密闭运输</w:t>
      </w:r>
      <w:r w:rsidRPr="00852DCA">
        <w:rPr>
          <w:rFonts w:asciiTheme="minorHAnsi" w:hAnsiTheme="minorHAnsi" w:hint="eastAsia"/>
          <w:b/>
          <w:color w:val="auto"/>
          <w:sz w:val="24"/>
          <w:szCs w:val="24"/>
          <w:u w:val="single"/>
        </w:rPr>
        <w:t>“</w:t>
      </w:r>
      <w:r w:rsidRPr="00852DCA">
        <w:rPr>
          <w:rFonts w:asciiTheme="minorHAnsi" w:hAnsiTheme="minorHAnsi"/>
          <w:b/>
          <w:color w:val="auto"/>
          <w:sz w:val="24"/>
          <w:szCs w:val="24"/>
          <w:u w:val="single"/>
        </w:rPr>
        <w:t>六个百分之百</w:t>
      </w:r>
      <w:r w:rsidRPr="00852DCA">
        <w:rPr>
          <w:rFonts w:asciiTheme="minorHAnsi" w:hAnsiTheme="minorHAnsi" w:hint="eastAsia"/>
          <w:b/>
          <w:color w:val="auto"/>
          <w:sz w:val="24"/>
          <w:szCs w:val="24"/>
          <w:u w:val="single"/>
        </w:rPr>
        <w:t>”</w:t>
      </w:r>
      <w:r w:rsidRPr="00852DCA">
        <w:rPr>
          <w:rFonts w:asciiTheme="minorHAnsi" w:hAnsiTheme="minorHAnsi"/>
          <w:b/>
          <w:color w:val="auto"/>
          <w:sz w:val="24"/>
          <w:szCs w:val="24"/>
          <w:u w:val="single"/>
        </w:rPr>
        <w:t>，所有建筑施工现场四周必须设置连续围挡，围挡设置高度不低于</w:t>
      </w:r>
      <w:r w:rsidRPr="00852DCA">
        <w:rPr>
          <w:rFonts w:asciiTheme="minorHAnsi" w:hAnsiTheme="minorHAnsi"/>
          <w:b/>
          <w:color w:val="auto"/>
          <w:sz w:val="24"/>
          <w:szCs w:val="24"/>
          <w:u w:val="single"/>
        </w:rPr>
        <w:t>1.8m</w:t>
      </w:r>
      <w:r w:rsidRPr="00852DCA">
        <w:rPr>
          <w:rFonts w:asciiTheme="minorHAnsi" w:hAnsiTheme="minorHAnsi"/>
          <w:b/>
          <w:color w:val="auto"/>
          <w:sz w:val="24"/>
          <w:szCs w:val="24"/>
          <w:u w:val="single"/>
        </w:rPr>
        <w:t>（临主干道围挡不低于</w:t>
      </w:r>
      <w:r w:rsidRPr="00852DCA">
        <w:rPr>
          <w:rFonts w:asciiTheme="minorHAnsi" w:hAnsiTheme="minorHAnsi"/>
          <w:b/>
          <w:color w:val="auto"/>
          <w:sz w:val="24"/>
          <w:szCs w:val="24"/>
          <w:u w:val="single"/>
        </w:rPr>
        <w:t>2.5m</w:t>
      </w:r>
      <w:r w:rsidRPr="00852DCA">
        <w:rPr>
          <w:rFonts w:asciiTheme="minorHAnsi" w:hAnsiTheme="minorHAnsi"/>
          <w:b/>
          <w:color w:val="auto"/>
          <w:sz w:val="24"/>
          <w:szCs w:val="24"/>
          <w:u w:val="single"/>
        </w:rPr>
        <w:t>），严格落实防尘抑尘措施。</w:t>
      </w:r>
    </w:p>
    <w:p w14:paraId="06DDF8CC" w14:textId="77777777" w:rsidR="00E7345D" w:rsidRPr="00852DCA" w:rsidRDefault="00E7345D" w:rsidP="00852DCA">
      <w:pPr>
        <w:pStyle w:val="CharCharCharChar0"/>
        <w:spacing w:line="520" w:lineRule="exact"/>
        <w:ind w:firstLineChars="171" w:firstLine="412"/>
        <w:rPr>
          <w:rFonts w:asciiTheme="minorHAnsi" w:hAnsiTheme="minorHAnsi" w:cs="Calibri"/>
          <w:b/>
          <w:bCs/>
          <w:color w:val="auto"/>
          <w:kern w:val="2"/>
          <w:sz w:val="24"/>
          <w:szCs w:val="24"/>
          <w:u w:val="single"/>
        </w:rPr>
      </w:pPr>
      <w:r w:rsidRPr="00852DCA">
        <w:rPr>
          <w:rFonts w:asciiTheme="minorHAnsi" w:hAnsiTheme="minorHAnsi" w:cs="Calibri"/>
          <w:b/>
          <w:bCs/>
          <w:color w:val="auto"/>
          <w:kern w:val="2"/>
          <w:sz w:val="24"/>
          <w:szCs w:val="24"/>
          <w:u w:val="single"/>
        </w:rPr>
        <w:lastRenderedPageBreak/>
        <w:t>（</w:t>
      </w:r>
      <w:r w:rsidR="00852DCA" w:rsidRPr="00852DCA">
        <w:rPr>
          <w:rFonts w:asciiTheme="minorHAnsi" w:hAnsiTheme="minorHAnsi" w:cs="Calibri"/>
          <w:b/>
          <w:bCs/>
          <w:color w:val="auto"/>
          <w:kern w:val="2"/>
          <w:sz w:val="24"/>
          <w:szCs w:val="24"/>
          <w:u w:val="single"/>
        </w:rPr>
        <w:t>4</w:t>
      </w:r>
      <w:r w:rsidRPr="00852DCA">
        <w:rPr>
          <w:rFonts w:asciiTheme="minorHAnsi" w:hAnsiTheme="minorHAnsi" w:cs="Calibri"/>
          <w:b/>
          <w:bCs/>
          <w:color w:val="auto"/>
          <w:kern w:val="2"/>
          <w:sz w:val="24"/>
          <w:szCs w:val="24"/>
          <w:u w:val="single"/>
        </w:rPr>
        <w:t>）施工期在建筑工地必须做到</w:t>
      </w:r>
      <w:r w:rsidRPr="00852DCA">
        <w:rPr>
          <w:rFonts w:asciiTheme="minorHAnsi" w:hAnsiTheme="minorHAnsi" w:cs="Calibri"/>
          <w:b/>
          <w:bCs/>
          <w:color w:val="auto"/>
          <w:kern w:val="2"/>
          <w:sz w:val="24"/>
          <w:szCs w:val="24"/>
          <w:u w:val="single"/>
        </w:rPr>
        <w:t>“</w:t>
      </w:r>
      <w:r w:rsidRPr="00852DCA">
        <w:rPr>
          <w:rFonts w:asciiTheme="minorHAnsi" w:hAnsiTheme="minorHAnsi" w:cs="Calibri"/>
          <w:b/>
          <w:bCs/>
          <w:color w:val="auto"/>
          <w:kern w:val="2"/>
          <w:sz w:val="24"/>
          <w:szCs w:val="24"/>
          <w:u w:val="single"/>
        </w:rPr>
        <w:t>两个禁止</w:t>
      </w:r>
      <w:r w:rsidRPr="00852DCA">
        <w:rPr>
          <w:rFonts w:asciiTheme="minorHAnsi" w:hAnsiTheme="minorHAnsi" w:cs="Calibri"/>
          <w:b/>
          <w:bCs/>
          <w:color w:val="auto"/>
          <w:kern w:val="2"/>
          <w:sz w:val="24"/>
          <w:szCs w:val="24"/>
          <w:u w:val="single"/>
        </w:rPr>
        <w:t>”</w:t>
      </w:r>
      <w:r w:rsidRPr="00852DCA">
        <w:rPr>
          <w:rFonts w:asciiTheme="minorHAnsi" w:hAnsiTheme="minorHAnsi" w:cs="Calibri"/>
          <w:b/>
          <w:bCs/>
          <w:color w:val="auto"/>
          <w:kern w:val="2"/>
          <w:sz w:val="24"/>
          <w:szCs w:val="24"/>
          <w:u w:val="single"/>
        </w:rPr>
        <w:t>，即禁止现场搅拌混凝土、禁止现场配制砂浆。</w:t>
      </w:r>
    </w:p>
    <w:p w14:paraId="0C9E5F29" w14:textId="77777777" w:rsidR="00852DCA" w:rsidRPr="00852DCA" w:rsidRDefault="00852DCA" w:rsidP="00852DCA">
      <w:pPr>
        <w:pStyle w:val="CharCharCharChar0"/>
        <w:spacing w:line="520" w:lineRule="exact"/>
        <w:ind w:firstLineChars="171" w:firstLine="412"/>
        <w:rPr>
          <w:rFonts w:asciiTheme="minorHAnsi" w:hAnsiTheme="minorHAnsi"/>
          <w:b/>
          <w:color w:val="auto"/>
          <w:sz w:val="24"/>
          <w:szCs w:val="24"/>
          <w:u w:val="single"/>
        </w:rPr>
      </w:pPr>
      <w:r w:rsidRPr="00852DCA">
        <w:rPr>
          <w:rFonts w:asciiTheme="minorHAnsi" w:hAnsiTheme="minorHAnsi"/>
          <w:b/>
          <w:color w:val="auto"/>
          <w:sz w:val="24"/>
          <w:szCs w:val="24"/>
          <w:u w:val="single"/>
        </w:rPr>
        <w:t>（</w:t>
      </w:r>
      <w:r w:rsidRPr="00852DCA">
        <w:rPr>
          <w:rFonts w:asciiTheme="minorHAnsi" w:hAnsiTheme="minorHAnsi"/>
          <w:b/>
          <w:color w:val="auto"/>
          <w:sz w:val="24"/>
          <w:szCs w:val="24"/>
          <w:u w:val="single"/>
        </w:rPr>
        <w:t>5</w:t>
      </w:r>
      <w:r w:rsidRPr="00852DCA">
        <w:rPr>
          <w:rFonts w:asciiTheme="minorHAnsi" w:hAnsiTheme="minorHAnsi"/>
          <w:b/>
          <w:color w:val="auto"/>
          <w:sz w:val="24"/>
          <w:szCs w:val="24"/>
          <w:u w:val="single"/>
        </w:rPr>
        <w:t>）建筑施工现场出入口、场内主要道路及生活区、工作区必须进行地面硬化，确保地面坚实平整；限制场地应进行固化、绿化等防尘处理、建筑材料构件、料具应按照施工总平面图划定的区域堆放整齐。水泥、石灰、石膏、砂土等易产生扬尘的物料应当密闭存放，不能密闭的应当在其周围设置不低于堆放物高度的严密围挡，采取有效覆盖措施防止扬尘，并悬挂标示、标牌。</w:t>
      </w:r>
    </w:p>
    <w:p w14:paraId="32B57273" w14:textId="77777777" w:rsidR="00852DCA" w:rsidRPr="00852DCA" w:rsidRDefault="00852DCA" w:rsidP="00852DCA">
      <w:pPr>
        <w:pStyle w:val="CharCharCharChar0"/>
        <w:spacing w:line="520" w:lineRule="exact"/>
        <w:ind w:firstLineChars="171" w:firstLine="412"/>
        <w:rPr>
          <w:rFonts w:asciiTheme="minorHAnsi" w:hAnsiTheme="minorHAnsi"/>
          <w:b/>
          <w:color w:val="auto"/>
          <w:sz w:val="24"/>
          <w:szCs w:val="24"/>
          <w:u w:val="single"/>
        </w:rPr>
      </w:pPr>
      <w:r w:rsidRPr="00852DCA">
        <w:rPr>
          <w:rFonts w:asciiTheme="minorHAnsi" w:hAnsiTheme="minorHAnsi"/>
          <w:b/>
          <w:color w:val="auto"/>
          <w:sz w:val="24"/>
          <w:szCs w:val="24"/>
          <w:u w:val="single"/>
        </w:rPr>
        <w:t>（</w:t>
      </w:r>
      <w:r w:rsidRPr="00852DCA">
        <w:rPr>
          <w:rFonts w:asciiTheme="minorHAnsi" w:hAnsiTheme="minorHAnsi"/>
          <w:b/>
          <w:color w:val="auto"/>
          <w:sz w:val="24"/>
          <w:szCs w:val="24"/>
          <w:u w:val="single"/>
        </w:rPr>
        <w:t>6</w:t>
      </w:r>
      <w:r w:rsidRPr="00852DCA">
        <w:rPr>
          <w:rFonts w:asciiTheme="minorHAnsi" w:hAnsiTheme="minorHAnsi"/>
          <w:b/>
          <w:color w:val="auto"/>
          <w:sz w:val="24"/>
          <w:szCs w:val="24"/>
          <w:u w:val="single"/>
        </w:rPr>
        <w:t>）建筑施工现场在进行土方开挖、回填、转运作业前，应对可能造成的扬尘污染程度进行判定，在正常施工情况下不能有效控制扬尘的，应当对拟作业的土方实现采取增加土方湿度等处理措施，以有效减少扬尘污染。</w:t>
      </w:r>
    </w:p>
    <w:p w14:paraId="75F47559" w14:textId="77777777" w:rsidR="00852DCA" w:rsidRPr="00852DCA" w:rsidRDefault="00852DCA" w:rsidP="00852DCA">
      <w:pPr>
        <w:pStyle w:val="CharCharCharChar0"/>
        <w:spacing w:line="520" w:lineRule="exact"/>
        <w:ind w:firstLineChars="171" w:firstLine="412"/>
        <w:rPr>
          <w:rFonts w:asciiTheme="minorHAnsi" w:hAnsiTheme="minorHAnsi"/>
          <w:b/>
          <w:color w:val="auto"/>
          <w:sz w:val="24"/>
          <w:szCs w:val="24"/>
          <w:u w:val="single"/>
        </w:rPr>
      </w:pPr>
      <w:r w:rsidRPr="00852DCA">
        <w:rPr>
          <w:rFonts w:asciiTheme="minorHAnsi" w:hAnsiTheme="minorHAnsi"/>
          <w:b/>
          <w:color w:val="auto"/>
          <w:sz w:val="24"/>
          <w:szCs w:val="24"/>
          <w:u w:val="single"/>
        </w:rPr>
        <w:t>施工过程中应当采取有效降尘防尘措施，多余土方应及时清运出场。现场堆置需要回填使用的土方应进行表面固化和覆盖。</w:t>
      </w:r>
    </w:p>
    <w:p w14:paraId="3E46D3CA" w14:textId="77777777" w:rsidR="00852DCA" w:rsidRPr="00852DCA" w:rsidRDefault="00852DCA" w:rsidP="00852DCA">
      <w:pPr>
        <w:spacing w:line="520" w:lineRule="exact"/>
        <w:ind w:firstLineChars="200" w:firstLine="482"/>
        <w:rPr>
          <w:rFonts w:asciiTheme="minorHAnsi" w:hAnsiTheme="minorHAnsi"/>
          <w:b/>
          <w:sz w:val="24"/>
          <w:u w:val="single"/>
        </w:rPr>
      </w:pPr>
      <w:r w:rsidRPr="00852DCA">
        <w:rPr>
          <w:rFonts w:asciiTheme="minorHAnsi" w:hAnsiTheme="minorHAnsi"/>
          <w:b/>
          <w:sz w:val="24"/>
          <w:u w:val="single"/>
        </w:rPr>
        <w:t>（</w:t>
      </w:r>
      <w:r w:rsidRPr="00852DCA">
        <w:rPr>
          <w:rFonts w:asciiTheme="minorHAnsi" w:hAnsiTheme="minorHAnsi"/>
          <w:b/>
          <w:sz w:val="24"/>
          <w:u w:val="single"/>
        </w:rPr>
        <w:t>7</w:t>
      </w:r>
      <w:r w:rsidRPr="00852DCA">
        <w:rPr>
          <w:rFonts w:asciiTheme="minorHAnsi" w:hAnsiTheme="minorHAnsi"/>
          <w:b/>
          <w:sz w:val="24"/>
          <w:u w:val="single"/>
        </w:rPr>
        <w:t>）严格落实</w:t>
      </w:r>
      <w:r w:rsidRPr="00852DCA">
        <w:rPr>
          <w:rFonts w:asciiTheme="minorHAnsi" w:hAnsiTheme="minorHAnsi" w:hint="eastAsia"/>
          <w:b/>
          <w:sz w:val="24"/>
          <w:u w:val="single"/>
        </w:rPr>
        <w:t>“</w:t>
      </w:r>
      <w:r w:rsidRPr="00852DCA">
        <w:rPr>
          <w:rFonts w:asciiTheme="minorHAnsi" w:hAnsiTheme="minorHAnsi"/>
          <w:b/>
          <w:sz w:val="24"/>
          <w:u w:val="single"/>
        </w:rPr>
        <w:t>三洒一冲</w:t>
      </w:r>
      <w:r w:rsidRPr="00852DCA">
        <w:rPr>
          <w:rFonts w:asciiTheme="minorHAnsi" w:hAnsiTheme="minorHAnsi" w:hint="eastAsia"/>
          <w:b/>
          <w:sz w:val="24"/>
          <w:u w:val="single"/>
        </w:rPr>
        <w:t>”</w:t>
      </w:r>
      <w:r w:rsidRPr="00852DCA">
        <w:rPr>
          <w:rFonts w:asciiTheme="minorHAnsi" w:hAnsiTheme="minorHAnsi"/>
          <w:b/>
          <w:sz w:val="24"/>
          <w:u w:val="single"/>
        </w:rPr>
        <w:t>，干旱天气、重污染天气以及需要重点防控时段要增加洒水频次；出现</w:t>
      </w:r>
      <w:r w:rsidRPr="00852DCA">
        <w:rPr>
          <w:rFonts w:asciiTheme="minorHAnsi" w:hAnsiTheme="minorHAnsi" w:hint="eastAsia"/>
          <w:b/>
          <w:sz w:val="24"/>
          <w:u w:val="single"/>
        </w:rPr>
        <w:t>4</w:t>
      </w:r>
      <w:r w:rsidRPr="00852DCA">
        <w:rPr>
          <w:rFonts w:asciiTheme="minorHAnsi" w:hAnsiTheme="minorHAnsi"/>
          <w:b/>
          <w:sz w:val="24"/>
          <w:u w:val="single"/>
        </w:rPr>
        <w:t>级及以上大风天气，必须采取防扬尘应急措施，且不得进行土方开挖、回填、转运作业及工程拆除等作业</w:t>
      </w:r>
      <w:r w:rsidRPr="00852DCA">
        <w:rPr>
          <w:b/>
          <w:sz w:val="24"/>
          <w:u w:val="single"/>
        </w:rPr>
        <w:t>。</w:t>
      </w:r>
    </w:p>
    <w:p w14:paraId="3E37BAFC" w14:textId="77777777" w:rsidR="00852DCA" w:rsidRPr="00852DCA" w:rsidRDefault="00852DCA" w:rsidP="00852DCA">
      <w:pPr>
        <w:spacing w:line="520" w:lineRule="exact"/>
        <w:jc w:val="center"/>
        <w:rPr>
          <w:rFonts w:eastAsia="黑体"/>
          <w:b/>
          <w:sz w:val="24"/>
          <w:u w:val="single"/>
        </w:rPr>
      </w:pPr>
      <w:r w:rsidRPr="00852DCA">
        <w:rPr>
          <w:rFonts w:eastAsia="黑体"/>
          <w:b/>
          <w:sz w:val="24"/>
          <w:u w:val="single"/>
        </w:rPr>
        <w:t>表</w:t>
      </w:r>
      <w:r w:rsidRPr="00852DCA">
        <w:rPr>
          <w:rFonts w:asciiTheme="minorHAnsi" w:eastAsia="黑体" w:hAnsiTheme="minorHAnsi"/>
          <w:b/>
          <w:sz w:val="24"/>
          <w:u w:val="single"/>
        </w:rPr>
        <w:t xml:space="preserve">5.1-1  </w:t>
      </w:r>
      <w:r w:rsidRPr="00852DCA">
        <w:rPr>
          <w:rFonts w:eastAsia="黑体"/>
          <w:b/>
          <w:sz w:val="24"/>
          <w:u w:val="single"/>
        </w:rPr>
        <w:t xml:space="preserve">    </w:t>
      </w:r>
      <w:r w:rsidRPr="00852DCA">
        <w:rPr>
          <w:rFonts w:eastAsia="黑体"/>
          <w:b/>
          <w:sz w:val="24"/>
          <w:u w:val="single"/>
        </w:rPr>
        <w:t>施工期环境空气保护措施一览表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14"/>
        <w:gridCol w:w="2106"/>
        <w:gridCol w:w="3686"/>
        <w:gridCol w:w="2194"/>
      </w:tblGrid>
      <w:tr w:rsidR="00852DCA" w:rsidRPr="00852DCA" w14:paraId="22A989B3" w14:textId="77777777" w:rsidTr="00852DCA">
        <w:trPr>
          <w:trHeight w:val="469"/>
          <w:tblHeader/>
          <w:jc w:val="center"/>
        </w:trPr>
        <w:tc>
          <w:tcPr>
            <w:tcW w:w="714" w:type="dxa"/>
            <w:vAlign w:val="center"/>
          </w:tcPr>
          <w:p w14:paraId="7B0D1DC6" w14:textId="77777777" w:rsidR="00852DCA" w:rsidRPr="00852DCA" w:rsidRDefault="00852DCA" w:rsidP="009E71ED">
            <w:pPr>
              <w:jc w:val="center"/>
              <w:rPr>
                <w:b/>
                <w:u w:val="single"/>
              </w:rPr>
            </w:pPr>
            <w:r w:rsidRPr="00852DCA">
              <w:rPr>
                <w:b/>
                <w:u w:val="single"/>
              </w:rPr>
              <w:t>序号</w:t>
            </w:r>
          </w:p>
        </w:tc>
        <w:tc>
          <w:tcPr>
            <w:tcW w:w="2106" w:type="dxa"/>
            <w:vAlign w:val="center"/>
          </w:tcPr>
          <w:p w14:paraId="413C3907" w14:textId="77777777" w:rsidR="00852DCA" w:rsidRPr="00852DCA" w:rsidRDefault="00852DCA" w:rsidP="009E71ED">
            <w:pPr>
              <w:jc w:val="center"/>
              <w:rPr>
                <w:b/>
                <w:u w:val="single"/>
              </w:rPr>
            </w:pPr>
            <w:r w:rsidRPr="00852DCA">
              <w:rPr>
                <w:b/>
                <w:u w:val="single"/>
              </w:rPr>
              <w:t>主要环境影响</w:t>
            </w:r>
          </w:p>
        </w:tc>
        <w:tc>
          <w:tcPr>
            <w:tcW w:w="3686" w:type="dxa"/>
            <w:vAlign w:val="center"/>
          </w:tcPr>
          <w:p w14:paraId="3E64A460" w14:textId="77777777" w:rsidR="00852DCA" w:rsidRPr="00852DCA" w:rsidRDefault="00852DCA" w:rsidP="009E71ED">
            <w:pPr>
              <w:jc w:val="center"/>
              <w:rPr>
                <w:b/>
                <w:u w:val="single"/>
              </w:rPr>
            </w:pPr>
            <w:r w:rsidRPr="00852DCA">
              <w:rPr>
                <w:b/>
                <w:u w:val="single"/>
              </w:rPr>
              <w:t>环保措施</w:t>
            </w:r>
          </w:p>
        </w:tc>
        <w:tc>
          <w:tcPr>
            <w:tcW w:w="2194" w:type="dxa"/>
            <w:vAlign w:val="center"/>
          </w:tcPr>
          <w:p w14:paraId="3602C0C1" w14:textId="77777777" w:rsidR="00852DCA" w:rsidRPr="00852DCA" w:rsidRDefault="00852DCA" w:rsidP="009E71ED">
            <w:pPr>
              <w:jc w:val="center"/>
              <w:rPr>
                <w:b/>
                <w:u w:val="single"/>
              </w:rPr>
            </w:pPr>
            <w:r w:rsidRPr="00852DCA">
              <w:rPr>
                <w:b/>
                <w:u w:val="single"/>
              </w:rPr>
              <w:t>效</w:t>
            </w:r>
            <w:r w:rsidRPr="00852DCA">
              <w:rPr>
                <w:b/>
                <w:u w:val="single"/>
              </w:rPr>
              <w:t xml:space="preserve">  </w:t>
            </w:r>
            <w:r w:rsidRPr="00852DCA">
              <w:rPr>
                <w:b/>
                <w:u w:val="single"/>
              </w:rPr>
              <w:t>果</w:t>
            </w:r>
          </w:p>
        </w:tc>
      </w:tr>
      <w:tr w:rsidR="00852DCA" w:rsidRPr="00852DCA" w14:paraId="1682F909" w14:textId="77777777" w:rsidTr="00852DCA">
        <w:trPr>
          <w:jc w:val="center"/>
        </w:trPr>
        <w:tc>
          <w:tcPr>
            <w:tcW w:w="714" w:type="dxa"/>
            <w:vAlign w:val="center"/>
          </w:tcPr>
          <w:p w14:paraId="5D146CD8" w14:textId="77777777" w:rsidR="00852DCA" w:rsidRPr="00852DCA" w:rsidRDefault="00852DCA" w:rsidP="009E71ED">
            <w:pPr>
              <w:jc w:val="center"/>
              <w:rPr>
                <w:rFonts w:asciiTheme="minorHAnsi" w:hAnsiTheme="minorHAnsi"/>
                <w:b/>
                <w:u w:val="single"/>
              </w:rPr>
            </w:pPr>
            <w:r w:rsidRPr="00852DCA">
              <w:rPr>
                <w:rFonts w:asciiTheme="minorHAnsi" w:hAnsiTheme="minorHAnsi"/>
                <w:b/>
                <w:u w:val="single"/>
              </w:rPr>
              <w:t>1</w:t>
            </w:r>
          </w:p>
        </w:tc>
        <w:tc>
          <w:tcPr>
            <w:tcW w:w="2106" w:type="dxa"/>
            <w:vAlign w:val="center"/>
          </w:tcPr>
          <w:p w14:paraId="73A08BFB" w14:textId="77777777" w:rsidR="00852DCA" w:rsidRPr="00852DCA" w:rsidRDefault="00852DCA" w:rsidP="00852DCA">
            <w:pPr>
              <w:jc w:val="center"/>
              <w:rPr>
                <w:b/>
                <w:u w:val="single"/>
              </w:rPr>
            </w:pPr>
            <w:r w:rsidRPr="00852DCA">
              <w:rPr>
                <w:b/>
                <w:u w:val="single"/>
              </w:rPr>
              <w:t>运输汽车运行产生道路扬尘污染</w:t>
            </w:r>
          </w:p>
        </w:tc>
        <w:tc>
          <w:tcPr>
            <w:tcW w:w="3686" w:type="dxa"/>
            <w:vAlign w:val="center"/>
          </w:tcPr>
          <w:p w14:paraId="71272380" w14:textId="77777777" w:rsidR="00852DCA" w:rsidRPr="00852DCA" w:rsidRDefault="00852DCA" w:rsidP="00852DCA">
            <w:pPr>
              <w:jc w:val="center"/>
              <w:rPr>
                <w:b/>
                <w:u w:val="single"/>
              </w:rPr>
            </w:pPr>
            <w:r w:rsidRPr="00852DCA">
              <w:rPr>
                <w:b/>
                <w:u w:val="single"/>
              </w:rPr>
              <w:t>运输路线应定期洒水</w:t>
            </w:r>
          </w:p>
        </w:tc>
        <w:tc>
          <w:tcPr>
            <w:tcW w:w="2194" w:type="dxa"/>
            <w:vAlign w:val="center"/>
          </w:tcPr>
          <w:p w14:paraId="0589E781" w14:textId="77777777" w:rsidR="00852DCA" w:rsidRPr="00852DCA" w:rsidRDefault="00852DCA" w:rsidP="009E71ED">
            <w:pPr>
              <w:jc w:val="left"/>
              <w:rPr>
                <w:b/>
                <w:u w:val="single"/>
              </w:rPr>
            </w:pPr>
            <w:r w:rsidRPr="00852DCA">
              <w:rPr>
                <w:b/>
                <w:u w:val="single"/>
              </w:rPr>
              <w:t>减少道路扬尘对施工场区内人员及运输道路范围内污染影响</w:t>
            </w:r>
          </w:p>
        </w:tc>
      </w:tr>
      <w:tr w:rsidR="00852DCA" w:rsidRPr="00852DCA" w14:paraId="59C8FD70" w14:textId="77777777" w:rsidTr="00852DCA">
        <w:trPr>
          <w:jc w:val="center"/>
        </w:trPr>
        <w:tc>
          <w:tcPr>
            <w:tcW w:w="714" w:type="dxa"/>
            <w:vAlign w:val="center"/>
          </w:tcPr>
          <w:p w14:paraId="39989873" w14:textId="77777777" w:rsidR="00852DCA" w:rsidRPr="00852DCA" w:rsidRDefault="00852DCA" w:rsidP="009E71ED">
            <w:pPr>
              <w:jc w:val="center"/>
              <w:rPr>
                <w:rFonts w:asciiTheme="minorHAnsi" w:hAnsiTheme="minorHAnsi"/>
                <w:b/>
                <w:u w:val="single"/>
              </w:rPr>
            </w:pPr>
            <w:r w:rsidRPr="00852DCA">
              <w:rPr>
                <w:rFonts w:asciiTheme="minorHAnsi" w:hAnsiTheme="minorHAnsi"/>
                <w:b/>
                <w:u w:val="single"/>
              </w:rPr>
              <w:t>2</w:t>
            </w:r>
          </w:p>
        </w:tc>
        <w:tc>
          <w:tcPr>
            <w:tcW w:w="2106" w:type="dxa"/>
            <w:vAlign w:val="center"/>
          </w:tcPr>
          <w:p w14:paraId="2E1D46E0" w14:textId="77777777" w:rsidR="00852DCA" w:rsidRPr="00852DCA" w:rsidRDefault="00852DCA" w:rsidP="00852DCA">
            <w:pPr>
              <w:jc w:val="center"/>
              <w:rPr>
                <w:b/>
                <w:u w:val="single"/>
              </w:rPr>
            </w:pPr>
            <w:r w:rsidRPr="00852DCA">
              <w:rPr>
                <w:b/>
                <w:u w:val="single"/>
              </w:rPr>
              <w:t>运输过程中撒落砂石、土等材料散落，产生二次污染</w:t>
            </w:r>
          </w:p>
        </w:tc>
        <w:tc>
          <w:tcPr>
            <w:tcW w:w="3686" w:type="dxa"/>
            <w:vAlign w:val="center"/>
          </w:tcPr>
          <w:p w14:paraId="3434C3B6" w14:textId="77777777" w:rsidR="00852DCA" w:rsidRPr="00852DCA" w:rsidRDefault="00852DCA" w:rsidP="00852DCA">
            <w:pPr>
              <w:jc w:val="center"/>
              <w:rPr>
                <w:b/>
                <w:u w:val="single"/>
              </w:rPr>
            </w:pPr>
            <w:r w:rsidRPr="00852DCA">
              <w:rPr>
                <w:b/>
                <w:u w:val="single"/>
              </w:rPr>
              <w:t>加强运输管理，保证汽车文明、安全、中速行驶，运输砂石、土、水泥、石灰的车辆表面应加以覆盖，避免砂石、土洒落造成二次污染影响</w:t>
            </w:r>
          </w:p>
        </w:tc>
        <w:tc>
          <w:tcPr>
            <w:tcW w:w="2194" w:type="dxa"/>
            <w:vAlign w:val="center"/>
          </w:tcPr>
          <w:p w14:paraId="6744E9C4" w14:textId="77777777" w:rsidR="00852DCA" w:rsidRPr="00852DCA" w:rsidRDefault="00852DCA" w:rsidP="00852DCA">
            <w:pPr>
              <w:ind w:firstLineChars="50" w:firstLine="105"/>
              <w:jc w:val="left"/>
              <w:rPr>
                <w:b/>
                <w:u w:val="single"/>
              </w:rPr>
            </w:pPr>
            <w:r w:rsidRPr="00852DCA">
              <w:rPr>
                <w:b/>
                <w:u w:val="single"/>
              </w:rPr>
              <w:t>减少二次污染影响</w:t>
            </w:r>
          </w:p>
        </w:tc>
      </w:tr>
    </w:tbl>
    <w:p w14:paraId="0EAF877C" w14:textId="77777777" w:rsidR="00E7345D" w:rsidRPr="00A964FF" w:rsidRDefault="00E7345D" w:rsidP="00852DCA">
      <w:pPr>
        <w:spacing w:line="520" w:lineRule="exact"/>
        <w:ind w:firstLineChars="200" w:firstLine="480"/>
        <w:rPr>
          <w:rFonts w:ascii="Calibri" w:hAnsi="Calibri"/>
          <w:bCs/>
          <w:color w:val="auto"/>
          <w:sz w:val="24"/>
        </w:rPr>
      </w:pPr>
      <w:r w:rsidRPr="00A964FF">
        <w:rPr>
          <w:rFonts w:ascii="Calibri" w:hAnsi="Calibri" w:hint="eastAsia"/>
          <w:bCs/>
          <w:color w:val="auto"/>
          <w:sz w:val="24"/>
        </w:rPr>
        <w:t>根据现场踏勘，本项目周围</w:t>
      </w:r>
      <w:r w:rsidR="00905FD6" w:rsidRPr="00A964FF">
        <w:rPr>
          <w:rFonts w:ascii="Calibri" w:hAnsi="Calibri" w:hint="eastAsia"/>
          <w:bCs/>
          <w:color w:val="auto"/>
          <w:sz w:val="24"/>
        </w:rPr>
        <w:t>500</w:t>
      </w:r>
      <w:r w:rsidRPr="00A964FF">
        <w:rPr>
          <w:rFonts w:ascii="Calibri" w:hAnsi="Calibri" w:hint="eastAsia"/>
          <w:bCs/>
          <w:color w:val="auto"/>
          <w:sz w:val="24"/>
        </w:rPr>
        <w:t>m</w:t>
      </w:r>
      <w:r w:rsidRPr="00A964FF">
        <w:rPr>
          <w:rFonts w:ascii="Calibri" w:hAnsi="Calibri" w:hint="eastAsia"/>
          <w:bCs/>
          <w:color w:val="auto"/>
          <w:sz w:val="24"/>
        </w:rPr>
        <w:t>范围内无敏感点，</w:t>
      </w:r>
      <w:r w:rsidR="00950779">
        <w:rPr>
          <w:rFonts w:ascii="Calibri" w:hAnsi="Calibri" w:hint="eastAsia"/>
          <w:bCs/>
          <w:color w:val="auto"/>
          <w:sz w:val="24"/>
        </w:rPr>
        <w:t>最近敏感点为项目</w:t>
      </w:r>
      <w:r w:rsidR="0082613E">
        <w:rPr>
          <w:rFonts w:ascii="Calibri" w:hAnsi="Calibri" w:hint="eastAsia"/>
          <w:bCs/>
          <w:color w:val="auto"/>
          <w:sz w:val="24"/>
        </w:rPr>
        <w:t>东南侧</w:t>
      </w:r>
      <w:r w:rsidR="0082613E">
        <w:rPr>
          <w:rFonts w:ascii="Calibri" w:hAnsi="Calibri" w:hint="eastAsia"/>
          <w:bCs/>
          <w:color w:val="auto"/>
          <w:sz w:val="24"/>
        </w:rPr>
        <w:t>553</w:t>
      </w:r>
      <w:r w:rsidR="0082613E">
        <w:rPr>
          <w:rFonts w:ascii="Calibri" w:hAnsi="Calibri"/>
          <w:bCs/>
          <w:color w:val="auto"/>
          <w:sz w:val="24"/>
        </w:rPr>
        <w:t>m</w:t>
      </w:r>
      <w:r w:rsidR="0082613E">
        <w:rPr>
          <w:rFonts w:ascii="Calibri" w:hAnsi="Calibri" w:hint="eastAsia"/>
          <w:bCs/>
          <w:color w:val="auto"/>
          <w:sz w:val="24"/>
        </w:rPr>
        <w:t>处的</w:t>
      </w:r>
      <w:r w:rsidR="0082613E">
        <w:rPr>
          <w:rFonts w:ascii="Calibri" w:hAnsi="Calibri"/>
          <w:bCs/>
          <w:color w:val="auto"/>
          <w:sz w:val="24"/>
        </w:rPr>
        <w:t>杨庄</w:t>
      </w:r>
      <w:r w:rsidR="00950779">
        <w:rPr>
          <w:rFonts w:ascii="Calibri" w:hAnsi="Calibri" w:hint="eastAsia"/>
          <w:bCs/>
          <w:color w:val="auto"/>
          <w:sz w:val="24"/>
        </w:rPr>
        <w:t>。</w:t>
      </w:r>
      <w:r w:rsidRPr="00A964FF">
        <w:rPr>
          <w:rFonts w:ascii="Calibri" w:hAnsi="Calibri" w:hint="eastAsia"/>
          <w:bCs/>
          <w:color w:val="auto"/>
          <w:sz w:val="24"/>
        </w:rPr>
        <w:t>为降低施工扬尘对区域环境空气质量的影响，评价要求建设单位严格落实以上措施，施工过程中做到“施工文明化、运输密闭化、进出冲洗化、物料覆盖化、场地全硬化、工地围档化”的要求；在建工程外脚手架采用符合标准要求的密目网进行全面封闭，并保持严密整洁；四级以上大风天气禁止土方开挖、回填、转运作业及工程拆除等作业；施工场地及时打扫、洒水抑尘；建筑施工过程全面达到防扬</w:t>
      </w:r>
      <w:r w:rsidRPr="00A964FF">
        <w:rPr>
          <w:rFonts w:ascii="Calibri" w:hAnsi="Calibri" w:hint="eastAsia"/>
          <w:bCs/>
          <w:color w:val="auto"/>
          <w:sz w:val="24"/>
        </w:rPr>
        <w:lastRenderedPageBreak/>
        <w:t>尘标准，并加强管理，将施工扬尘对周围环境的影响降至最低。</w:t>
      </w:r>
    </w:p>
    <w:p w14:paraId="7EED52B2" w14:textId="77777777" w:rsidR="0082613E" w:rsidRPr="00A964FF" w:rsidRDefault="008200A6" w:rsidP="00852DCA">
      <w:pPr>
        <w:spacing w:line="520" w:lineRule="exact"/>
        <w:ind w:firstLine="482"/>
        <w:rPr>
          <w:rFonts w:ascii="Calibri" w:hAnsi="Calibri"/>
          <w:bCs/>
          <w:color w:val="auto"/>
          <w:sz w:val="24"/>
        </w:rPr>
      </w:pPr>
      <w:r w:rsidRPr="00A964FF">
        <w:rPr>
          <w:rFonts w:ascii="Calibri" w:hAnsi="Calibri"/>
          <w:bCs/>
          <w:color w:val="auto"/>
          <w:sz w:val="24"/>
        </w:rPr>
        <w:t>综上所述，本评价认为上述施工期大气污染防治措施有效可行，采取上述防治措施后，可以有效地减小施工</w:t>
      </w:r>
      <w:r w:rsidRPr="00A964FF">
        <w:rPr>
          <w:rFonts w:ascii="Calibri" w:hAnsi="Calibri" w:hint="eastAsia"/>
          <w:bCs/>
          <w:color w:val="auto"/>
          <w:sz w:val="24"/>
        </w:rPr>
        <w:t>扬尘</w:t>
      </w:r>
      <w:r w:rsidRPr="00A964FF">
        <w:rPr>
          <w:rFonts w:ascii="Calibri" w:hAnsi="Calibri"/>
          <w:bCs/>
          <w:color w:val="auto"/>
          <w:sz w:val="24"/>
        </w:rPr>
        <w:t>的污染影响。</w:t>
      </w:r>
    </w:p>
    <w:p w14:paraId="718A6EC5" w14:textId="77777777" w:rsidR="0055605A" w:rsidRPr="00A964FF" w:rsidRDefault="0055605A" w:rsidP="0055605A">
      <w:pPr>
        <w:pStyle w:val="ad"/>
        <w:rPr>
          <w:rFonts w:ascii="Calibri" w:hAnsi="Calibri"/>
          <w:color w:val="auto"/>
        </w:rPr>
      </w:pPr>
      <w:r w:rsidRPr="00A964FF">
        <w:rPr>
          <w:rFonts w:ascii="Calibri" w:hAnsi="Calibri" w:hint="eastAsia"/>
          <w:color w:val="auto"/>
        </w:rPr>
        <w:t>5.1.2</w:t>
      </w:r>
      <w:r w:rsidRPr="00A964FF">
        <w:rPr>
          <w:rFonts w:ascii="Calibri" w:hAnsi="Calibri" w:hint="eastAsia"/>
          <w:color w:val="auto"/>
        </w:rPr>
        <w:t>水</w:t>
      </w:r>
      <w:r w:rsidRPr="00A964FF">
        <w:rPr>
          <w:rFonts w:ascii="Calibri" w:hAnsi="Calibri"/>
          <w:color w:val="auto"/>
        </w:rPr>
        <w:t>污染防治措施</w:t>
      </w:r>
    </w:p>
    <w:p w14:paraId="66C8825C" w14:textId="77777777" w:rsidR="00E7345D" w:rsidRPr="00A964FF" w:rsidRDefault="00E7345D" w:rsidP="00E7345D">
      <w:pPr>
        <w:spacing w:line="520" w:lineRule="exact"/>
        <w:ind w:firstLine="482"/>
        <w:rPr>
          <w:rFonts w:ascii="Calibri" w:hAnsi="Calibri"/>
          <w:bCs/>
          <w:color w:val="auto"/>
          <w:sz w:val="24"/>
        </w:rPr>
      </w:pPr>
      <w:r w:rsidRPr="00A964FF">
        <w:rPr>
          <w:rFonts w:ascii="Calibri" w:hAnsi="Calibri" w:hint="eastAsia"/>
          <w:bCs/>
          <w:color w:val="auto"/>
          <w:sz w:val="24"/>
        </w:rPr>
        <w:t>施工期废水主要为施工生产废水和施工人员的生活污水，施工单位应采取合理的减缓措施，使施工活动对水环境的影响减少到最小限度。</w:t>
      </w:r>
    </w:p>
    <w:p w14:paraId="353DFAEF" w14:textId="77777777" w:rsidR="0055605A" w:rsidRPr="00A964FF" w:rsidRDefault="0055605A" w:rsidP="0055605A">
      <w:pPr>
        <w:pStyle w:val="00"/>
        <w:rPr>
          <w:rFonts w:ascii="Calibri" w:hAnsi="Calibri"/>
          <w:b/>
          <w:noProof/>
          <w:color w:val="auto"/>
        </w:rPr>
      </w:pPr>
      <w:r w:rsidRPr="00A964FF">
        <w:rPr>
          <w:rFonts w:ascii="Calibri" w:hAnsi="Calibri" w:hint="eastAsia"/>
          <w:b/>
          <w:noProof/>
          <w:color w:val="auto"/>
        </w:rPr>
        <w:t>1</w:t>
      </w:r>
      <w:r w:rsidRPr="00A964FF">
        <w:rPr>
          <w:rFonts w:ascii="Calibri" w:hAnsi="Calibri" w:hint="eastAsia"/>
          <w:b/>
          <w:noProof/>
          <w:color w:val="auto"/>
        </w:rPr>
        <w:t>、生活污水</w:t>
      </w:r>
    </w:p>
    <w:p w14:paraId="25D071CD" w14:textId="77777777" w:rsidR="00E7345D" w:rsidRPr="00A964FF" w:rsidRDefault="00E7345D" w:rsidP="00E7345D">
      <w:pPr>
        <w:spacing w:line="520" w:lineRule="exact"/>
        <w:ind w:firstLine="482"/>
        <w:rPr>
          <w:rFonts w:ascii="Calibri" w:hAnsi="Calibri"/>
          <w:bCs/>
          <w:color w:val="auto"/>
          <w:sz w:val="24"/>
        </w:rPr>
      </w:pPr>
      <w:r w:rsidRPr="00A964FF">
        <w:rPr>
          <w:rFonts w:ascii="Calibri" w:hAnsi="Calibri" w:hint="eastAsia"/>
          <w:bCs/>
          <w:color w:val="auto"/>
          <w:sz w:val="24"/>
        </w:rPr>
        <w:t>施工人员生活污水产生量较小，因水质污染因子较简单，清洗废水由沉淀池沉淀后可用于场地内洒水抑尘，不外排。施工场地设置化粪池，厕所污水由专门清污车辆定期清理，做农田肥料使用，综合利用</w:t>
      </w:r>
      <w:r w:rsidR="00905FD6" w:rsidRPr="00A964FF">
        <w:rPr>
          <w:rFonts w:ascii="Calibri" w:hAnsi="Calibri" w:hint="eastAsia"/>
          <w:bCs/>
          <w:color w:val="auto"/>
          <w:sz w:val="24"/>
        </w:rPr>
        <w:t>，</w:t>
      </w:r>
      <w:r w:rsidRPr="00A964FF">
        <w:rPr>
          <w:rFonts w:ascii="Calibri" w:hAnsi="Calibri" w:hint="eastAsia"/>
          <w:bCs/>
          <w:color w:val="auto"/>
          <w:sz w:val="24"/>
        </w:rPr>
        <w:t>不外排。由于项目施工期生活污水产生量较少，对周围地表水环境影响不大。</w:t>
      </w:r>
    </w:p>
    <w:p w14:paraId="48AA8A2F" w14:textId="77777777" w:rsidR="0055605A" w:rsidRPr="00A964FF" w:rsidRDefault="0055605A" w:rsidP="0055605A">
      <w:pPr>
        <w:pStyle w:val="00"/>
        <w:rPr>
          <w:rFonts w:ascii="Calibri" w:hAnsi="Calibri"/>
          <w:b/>
          <w:noProof/>
          <w:color w:val="auto"/>
        </w:rPr>
      </w:pPr>
      <w:r w:rsidRPr="00A964FF">
        <w:rPr>
          <w:rFonts w:ascii="Calibri" w:hAnsi="Calibri" w:hint="eastAsia"/>
          <w:b/>
          <w:noProof/>
          <w:color w:val="auto"/>
        </w:rPr>
        <w:t>2</w:t>
      </w:r>
      <w:r w:rsidRPr="00A964FF">
        <w:rPr>
          <w:rFonts w:ascii="Calibri" w:hAnsi="Calibri" w:hint="eastAsia"/>
          <w:b/>
          <w:noProof/>
          <w:color w:val="auto"/>
        </w:rPr>
        <w:t>、施工废水</w:t>
      </w:r>
    </w:p>
    <w:p w14:paraId="5183F634" w14:textId="77777777" w:rsidR="00BC526D" w:rsidRPr="00A964FF" w:rsidRDefault="00BC526D" w:rsidP="00852DCA">
      <w:pPr>
        <w:spacing w:line="520" w:lineRule="exact"/>
        <w:ind w:firstLine="482"/>
        <w:rPr>
          <w:rFonts w:ascii="Calibri" w:hAnsi="Calibri"/>
          <w:noProof/>
          <w:color w:val="auto"/>
          <w:sz w:val="24"/>
        </w:rPr>
      </w:pPr>
      <w:r w:rsidRPr="00A964FF">
        <w:rPr>
          <w:rFonts w:ascii="Calibri" w:hAnsi="Calibri" w:hint="eastAsia"/>
          <w:noProof/>
          <w:color w:val="auto"/>
          <w:sz w:val="24"/>
        </w:rPr>
        <w:t>施工期生产废水主要是施工过程中</w:t>
      </w:r>
      <w:r w:rsidR="00852DCA" w:rsidRPr="0003404F">
        <w:rPr>
          <w:rFonts w:hint="eastAsia"/>
          <w:sz w:val="24"/>
        </w:rPr>
        <w:t>施工期生产废水、施工人员生活污水，</w:t>
      </w:r>
      <w:r w:rsidRPr="00A964FF">
        <w:rPr>
          <w:rFonts w:ascii="Calibri" w:hAnsi="Calibri" w:hint="eastAsia"/>
          <w:noProof/>
          <w:color w:val="auto"/>
          <w:sz w:val="24"/>
        </w:rPr>
        <w:t>施工单位应做好以下防治措施：</w:t>
      </w:r>
    </w:p>
    <w:p w14:paraId="4E890D85" w14:textId="77777777" w:rsidR="00BC526D" w:rsidRPr="00A964FF" w:rsidRDefault="00BC526D" w:rsidP="00BC526D">
      <w:pPr>
        <w:spacing w:line="520" w:lineRule="exact"/>
        <w:ind w:firstLine="482"/>
        <w:rPr>
          <w:rFonts w:ascii="Calibri" w:hAnsi="Calibri"/>
          <w:noProof/>
          <w:color w:val="auto"/>
          <w:sz w:val="24"/>
        </w:rPr>
      </w:pPr>
      <w:r w:rsidRPr="00A964FF">
        <w:rPr>
          <w:rFonts w:ascii="Calibri" w:hAnsi="Calibri" w:hint="eastAsia"/>
          <w:noProof/>
          <w:color w:val="auto"/>
          <w:sz w:val="24"/>
        </w:rPr>
        <w:t>（</w:t>
      </w:r>
      <w:r w:rsidRPr="00A964FF">
        <w:rPr>
          <w:rFonts w:ascii="Calibri" w:hAnsi="Calibri"/>
          <w:noProof/>
          <w:color w:val="auto"/>
          <w:sz w:val="24"/>
        </w:rPr>
        <w:t>1</w:t>
      </w:r>
      <w:r w:rsidRPr="00A964FF">
        <w:rPr>
          <w:rFonts w:ascii="Calibri" w:hAnsi="Calibri" w:hint="eastAsia"/>
          <w:noProof/>
          <w:color w:val="auto"/>
          <w:sz w:val="24"/>
        </w:rPr>
        <w:t>）严禁施工废水乱排、乱流，不得随意排放，对周围地表水体造成影响。</w:t>
      </w:r>
    </w:p>
    <w:p w14:paraId="7AD87EFB" w14:textId="77777777" w:rsidR="00852DCA" w:rsidRPr="00852DCA" w:rsidRDefault="00852DCA" w:rsidP="00852DCA">
      <w:pPr>
        <w:spacing w:line="520" w:lineRule="exact"/>
        <w:ind w:firstLine="482"/>
        <w:rPr>
          <w:rFonts w:asciiTheme="minorHAnsi" w:hAnsiTheme="minorHAnsi"/>
          <w:noProof/>
          <w:color w:val="auto"/>
          <w:sz w:val="24"/>
        </w:rPr>
      </w:pPr>
      <w:r w:rsidRPr="00852DCA">
        <w:rPr>
          <w:rFonts w:asciiTheme="minorHAnsi" w:hAnsiTheme="minorHAnsi"/>
          <w:noProof/>
          <w:color w:val="auto"/>
          <w:sz w:val="24"/>
        </w:rPr>
        <w:t>（</w:t>
      </w:r>
      <w:r>
        <w:rPr>
          <w:rFonts w:asciiTheme="minorHAnsi" w:hAnsiTheme="minorHAnsi"/>
          <w:noProof/>
          <w:color w:val="auto"/>
          <w:sz w:val="24"/>
        </w:rPr>
        <w:t>2</w:t>
      </w:r>
      <w:r w:rsidRPr="00852DCA">
        <w:rPr>
          <w:rFonts w:asciiTheme="minorHAnsi" w:hAnsiTheme="minorHAnsi"/>
          <w:noProof/>
          <w:color w:val="auto"/>
          <w:sz w:val="24"/>
        </w:rPr>
        <w:t>）施工泥浆水等生产废水应设置临时沉砂池，含泥浆水经临时沉砂池沉淀后，用于施工场地洒水降尘或者用于混凝土的养护水，临时沉砂池要按照规范进行修建。地面要进行硬化，防治对地下水造成污染。</w:t>
      </w:r>
    </w:p>
    <w:p w14:paraId="5E8C50F4" w14:textId="77777777" w:rsidR="00852DCA" w:rsidRPr="00852DCA" w:rsidRDefault="00852DCA" w:rsidP="00852DCA">
      <w:pPr>
        <w:spacing w:line="520" w:lineRule="exact"/>
        <w:ind w:firstLine="482"/>
        <w:rPr>
          <w:rFonts w:asciiTheme="minorHAnsi" w:hAnsiTheme="minorHAnsi"/>
          <w:noProof/>
          <w:color w:val="auto"/>
          <w:sz w:val="24"/>
        </w:rPr>
      </w:pPr>
      <w:r w:rsidRPr="00852DCA">
        <w:rPr>
          <w:rFonts w:asciiTheme="minorHAnsi" w:hAnsiTheme="minorHAnsi"/>
          <w:noProof/>
          <w:color w:val="auto"/>
          <w:sz w:val="24"/>
        </w:rPr>
        <w:t>（</w:t>
      </w:r>
      <w:r>
        <w:rPr>
          <w:rFonts w:asciiTheme="minorHAnsi" w:hAnsiTheme="minorHAnsi"/>
          <w:noProof/>
          <w:color w:val="auto"/>
          <w:sz w:val="24"/>
        </w:rPr>
        <w:t>3</w:t>
      </w:r>
      <w:r w:rsidRPr="00852DCA">
        <w:rPr>
          <w:rFonts w:asciiTheme="minorHAnsi" w:hAnsiTheme="minorHAnsi"/>
          <w:noProof/>
          <w:color w:val="auto"/>
          <w:sz w:val="24"/>
        </w:rPr>
        <w:t>）混凝土输送泵及运输车辆清洗处应在专门车辆冲洗处清洗，冲洗废水不得直接排放，经沉淀处理后回用</w:t>
      </w:r>
      <w:r>
        <w:rPr>
          <w:rFonts w:asciiTheme="minorHAnsi" w:hAnsiTheme="minorHAnsi" w:hint="eastAsia"/>
          <w:noProof/>
          <w:color w:val="auto"/>
          <w:sz w:val="24"/>
        </w:rPr>
        <w:t>于</w:t>
      </w:r>
      <w:r w:rsidRPr="00852DCA">
        <w:rPr>
          <w:rFonts w:asciiTheme="minorHAnsi" w:hAnsiTheme="minorHAnsi"/>
          <w:noProof/>
          <w:color w:val="auto"/>
          <w:sz w:val="24"/>
        </w:rPr>
        <w:t>场地保湿用。</w:t>
      </w:r>
    </w:p>
    <w:p w14:paraId="480A7E87" w14:textId="77777777" w:rsidR="00BC526D" w:rsidRDefault="00BC526D" w:rsidP="00BC526D">
      <w:pPr>
        <w:spacing w:line="520" w:lineRule="exact"/>
        <w:ind w:firstLine="482"/>
        <w:rPr>
          <w:rFonts w:ascii="Calibri" w:hAnsi="Calibri"/>
          <w:noProof/>
          <w:color w:val="auto"/>
          <w:sz w:val="24"/>
        </w:rPr>
      </w:pPr>
      <w:r w:rsidRPr="00A964FF">
        <w:rPr>
          <w:rFonts w:ascii="Calibri" w:hAnsi="Calibri" w:hint="eastAsia"/>
          <w:noProof/>
          <w:color w:val="auto"/>
          <w:sz w:val="24"/>
        </w:rPr>
        <w:t>（</w:t>
      </w:r>
      <w:r w:rsidRPr="00A964FF">
        <w:rPr>
          <w:rFonts w:ascii="Calibri" w:hAnsi="Calibri"/>
          <w:noProof/>
          <w:color w:val="auto"/>
          <w:sz w:val="24"/>
        </w:rPr>
        <w:t>4</w:t>
      </w:r>
      <w:r w:rsidRPr="00A964FF">
        <w:rPr>
          <w:rFonts w:ascii="Calibri" w:hAnsi="Calibri" w:hint="eastAsia"/>
          <w:noProof/>
          <w:color w:val="auto"/>
          <w:sz w:val="24"/>
        </w:rPr>
        <w:t>）加强对机械设备的检修，以防止设备漏油现象的发生；施工机械设备的维修应在专业厂家进行，防止施工现场地表油类污染，以减小初期雨水的油类污染物负荷。</w:t>
      </w:r>
    </w:p>
    <w:p w14:paraId="55A4CB5F" w14:textId="77777777" w:rsidR="00646C87" w:rsidRPr="00646C87" w:rsidRDefault="00646C87" w:rsidP="00646C87">
      <w:pPr>
        <w:pStyle w:val="afa"/>
        <w:spacing w:line="520" w:lineRule="exact"/>
        <w:ind w:leftChars="0" w:left="0" w:firstLineChars="200" w:firstLine="480"/>
        <w:rPr>
          <w:rFonts w:asciiTheme="minorHAnsi" w:hAnsiTheme="minorHAnsi"/>
          <w:sz w:val="24"/>
        </w:rPr>
      </w:pPr>
      <w:r w:rsidRPr="00646C87">
        <w:rPr>
          <w:rFonts w:asciiTheme="minorHAnsi" w:hAnsiTheme="minorHAnsi"/>
          <w:sz w:val="24"/>
        </w:rPr>
        <w:t>（</w:t>
      </w:r>
      <w:r w:rsidRPr="00646C87">
        <w:rPr>
          <w:rFonts w:asciiTheme="minorHAnsi" w:hAnsiTheme="minorHAnsi"/>
          <w:sz w:val="24"/>
        </w:rPr>
        <w:t>5</w:t>
      </w:r>
      <w:r w:rsidRPr="00646C87">
        <w:rPr>
          <w:rFonts w:asciiTheme="minorHAnsi" w:hAnsiTheme="minorHAnsi"/>
          <w:sz w:val="24"/>
        </w:rPr>
        <w:t>）施工现场应加强管理，生活污水经临时化粪池处理后用于周边农田施肥，防止污染环境。</w:t>
      </w:r>
    </w:p>
    <w:p w14:paraId="2E1ADC8C" w14:textId="77777777" w:rsidR="00646C87" w:rsidRPr="00A964FF" w:rsidRDefault="00646C87" w:rsidP="00646C87">
      <w:pPr>
        <w:spacing w:line="520" w:lineRule="exact"/>
        <w:rPr>
          <w:rFonts w:ascii="Calibri" w:hAnsi="Calibri"/>
          <w:noProof/>
          <w:color w:val="auto"/>
          <w:sz w:val="24"/>
        </w:rPr>
      </w:pPr>
    </w:p>
    <w:p w14:paraId="578BA2F3" w14:textId="77777777" w:rsidR="00852DCA" w:rsidRPr="00646C87" w:rsidRDefault="00852DCA" w:rsidP="00646C87">
      <w:pPr>
        <w:pStyle w:val="afa"/>
        <w:spacing w:line="520" w:lineRule="exact"/>
        <w:ind w:leftChars="0" w:left="0" w:firstLineChars="200" w:firstLine="480"/>
        <w:rPr>
          <w:rFonts w:asciiTheme="minorHAnsi" w:hAnsiTheme="minorHAnsi"/>
          <w:sz w:val="24"/>
        </w:rPr>
      </w:pPr>
      <w:r w:rsidRPr="0003404F">
        <w:rPr>
          <w:rFonts w:hint="eastAsia"/>
          <w:sz w:val="24"/>
        </w:rPr>
        <w:lastRenderedPageBreak/>
        <w:t>采取上述有效措施后，工程施工期的生产废水对周围环境影响很小。</w:t>
      </w:r>
      <w:r w:rsidRPr="0003404F">
        <w:rPr>
          <w:sz w:val="24"/>
        </w:rPr>
        <w:t>评价针对环境特点提出工程施工期水环境保护措施，</w:t>
      </w:r>
      <w:r w:rsidRPr="00852DCA">
        <w:rPr>
          <w:rFonts w:asciiTheme="minorHAnsi" w:hAnsiTheme="minorHAnsi"/>
          <w:sz w:val="24"/>
        </w:rPr>
        <w:t>详见表</w:t>
      </w:r>
      <w:r w:rsidRPr="00852DCA">
        <w:rPr>
          <w:rFonts w:asciiTheme="minorHAnsi" w:eastAsia="黑体" w:hAnsiTheme="minorHAnsi"/>
          <w:sz w:val="24"/>
        </w:rPr>
        <w:t>5.1-2</w:t>
      </w:r>
      <w:r w:rsidRPr="00852DCA">
        <w:rPr>
          <w:rFonts w:asciiTheme="minorHAnsi" w:hAnsiTheme="minorHAnsi"/>
          <w:sz w:val="24"/>
        </w:rPr>
        <w:t>。</w:t>
      </w:r>
    </w:p>
    <w:p w14:paraId="22F7380B" w14:textId="77777777" w:rsidR="00852DCA" w:rsidRPr="0003404F" w:rsidRDefault="00852DCA" w:rsidP="00852DCA">
      <w:pPr>
        <w:spacing w:line="520" w:lineRule="exact"/>
        <w:jc w:val="center"/>
        <w:rPr>
          <w:rFonts w:eastAsia="黑体"/>
          <w:sz w:val="24"/>
        </w:rPr>
      </w:pPr>
      <w:r w:rsidRPr="0003404F">
        <w:rPr>
          <w:rFonts w:eastAsia="黑体"/>
          <w:sz w:val="24"/>
        </w:rPr>
        <w:t>表</w:t>
      </w:r>
      <w:r w:rsidRPr="00852DCA">
        <w:rPr>
          <w:rFonts w:asciiTheme="minorHAnsi" w:eastAsia="黑体" w:hAnsiTheme="minorHAnsi"/>
          <w:sz w:val="24"/>
        </w:rPr>
        <w:t xml:space="preserve">5.1-2 </w:t>
      </w:r>
      <w:r>
        <w:rPr>
          <w:rFonts w:eastAsia="黑体"/>
          <w:sz w:val="24"/>
        </w:rPr>
        <w:t xml:space="preserve">        </w:t>
      </w:r>
      <w:r w:rsidRPr="0003404F">
        <w:rPr>
          <w:rFonts w:eastAsia="黑体"/>
          <w:sz w:val="24"/>
        </w:rPr>
        <w:t>施工期水环境保护措施一览表</w:t>
      </w:r>
    </w:p>
    <w:tbl>
      <w:tblPr>
        <w:tblW w:w="494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73"/>
        <w:gridCol w:w="1668"/>
        <w:gridCol w:w="4197"/>
        <w:gridCol w:w="2058"/>
      </w:tblGrid>
      <w:tr w:rsidR="00852DCA" w:rsidRPr="0003404F" w14:paraId="2893189F" w14:textId="77777777" w:rsidTr="00852DCA">
        <w:trPr>
          <w:trHeight w:val="415"/>
          <w:jc w:val="center"/>
        </w:trPr>
        <w:tc>
          <w:tcPr>
            <w:tcW w:w="392" w:type="pct"/>
            <w:vAlign w:val="center"/>
          </w:tcPr>
          <w:p w14:paraId="012DC9D4" w14:textId="77777777" w:rsidR="00852DCA" w:rsidRPr="00852DCA" w:rsidRDefault="00852DCA" w:rsidP="00852DCA">
            <w:pPr>
              <w:jc w:val="center"/>
              <w:rPr>
                <w:b/>
                <w:u w:val="single"/>
              </w:rPr>
            </w:pPr>
            <w:r w:rsidRPr="00852DCA">
              <w:rPr>
                <w:b/>
                <w:u w:val="single"/>
              </w:rPr>
              <w:t>序号</w:t>
            </w:r>
          </w:p>
        </w:tc>
        <w:tc>
          <w:tcPr>
            <w:tcW w:w="970" w:type="pct"/>
            <w:vAlign w:val="center"/>
          </w:tcPr>
          <w:p w14:paraId="54A47699" w14:textId="77777777" w:rsidR="00852DCA" w:rsidRPr="00852DCA" w:rsidRDefault="00852DCA" w:rsidP="00852DCA">
            <w:pPr>
              <w:jc w:val="center"/>
              <w:rPr>
                <w:b/>
                <w:u w:val="single"/>
              </w:rPr>
            </w:pPr>
            <w:r w:rsidRPr="00852DCA">
              <w:rPr>
                <w:b/>
                <w:u w:val="single"/>
              </w:rPr>
              <w:t>主要环境影响</w:t>
            </w:r>
          </w:p>
        </w:tc>
        <w:tc>
          <w:tcPr>
            <w:tcW w:w="2441" w:type="pct"/>
            <w:vAlign w:val="center"/>
          </w:tcPr>
          <w:p w14:paraId="4466A858" w14:textId="77777777" w:rsidR="00852DCA" w:rsidRPr="00852DCA" w:rsidRDefault="00852DCA" w:rsidP="00852DCA">
            <w:pPr>
              <w:jc w:val="center"/>
              <w:rPr>
                <w:b/>
                <w:u w:val="single"/>
              </w:rPr>
            </w:pPr>
            <w:r w:rsidRPr="00852DCA">
              <w:rPr>
                <w:b/>
                <w:u w:val="single"/>
              </w:rPr>
              <w:t>环保措施</w:t>
            </w:r>
          </w:p>
        </w:tc>
        <w:tc>
          <w:tcPr>
            <w:tcW w:w="1197" w:type="pct"/>
            <w:vAlign w:val="center"/>
          </w:tcPr>
          <w:p w14:paraId="31551854" w14:textId="77777777" w:rsidR="00852DCA" w:rsidRPr="00852DCA" w:rsidRDefault="00852DCA" w:rsidP="00852DCA">
            <w:pPr>
              <w:jc w:val="center"/>
              <w:rPr>
                <w:b/>
                <w:u w:val="single"/>
              </w:rPr>
            </w:pPr>
            <w:r w:rsidRPr="00852DCA">
              <w:rPr>
                <w:b/>
                <w:u w:val="single"/>
              </w:rPr>
              <w:t>效</w:t>
            </w:r>
            <w:r w:rsidRPr="00852DCA">
              <w:rPr>
                <w:b/>
                <w:u w:val="single"/>
              </w:rPr>
              <w:t xml:space="preserve">  </w:t>
            </w:r>
            <w:r w:rsidRPr="00852DCA">
              <w:rPr>
                <w:b/>
                <w:u w:val="single"/>
              </w:rPr>
              <w:t>果</w:t>
            </w:r>
          </w:p>
        </w:tc>
      </w:tr>
      <w:tr w:rsidR="00852DCA" w:rsidRPr="0003404F" w14:paraId="243242FA" w14:textId="77777777" w:rsidTr="00852DCA">
        <w:trPr>
          <w:trHeight w:val="70"/>
          <w:jc w:val="center"/>
        </w:trPr>
        <w:tc>
          <w:tcPr>
            <w:tcW w:w="392" w:type="pct"/>
            <w:vAlign w:val="center"/>
          </w:tcPr>
          <w:p w14:paraId="2E2457E4" w14:textId="77777777" w:rsidR="00852DCA" w:rsidRPr="00852DCA" w:rsidRDefault="00852DCA" w:rsidP="00852DCA">
            <w:pPr>
              <w:jc w:val="center"/>
              <w:rPr>
                <w:b/>
                <w:u w:val="single"/>
              </w:rPr>
            </w:pPr>
            <w:r w:rsidRPr="00852DCA">
              <w:rPr>
                <w:b/>
                <w:u w:val="single"/>
              </w:rPr>
              <w:t>1</w:t>
            </w:r>
          </w:p>
        </w:tc>
        <w:tc>
          <w:tcPr>
            <w:tcW w:w="970" w:type="pct"/>
            <w:vAlign w:val="center"/>
          </w:tcPr>
          <w:p w14:paraId="434C8E49" w14:textId="77777777" w:rsidR="00852DCA" w:rsidRPr="00852DCA" w:rsidRDefault="00852DCA" w:rsidP="00852DCA">
            <w:pPr>
              <w:jc w:val="center"/>
              <w:rPr>
                <w:b/>
                <w:u w:val="single"/>
              </w:rPr>
            </w:pPr>
            <w:r w:rsidRPr="00852DCA">
              <w:rPr>
                <w:b/>
                <w:u w:val="single"/>
              </w:rPr>
              <w:t>施工排水可能对水环境产生影响</w:t>
            </w:r>
          </w:p>
        </w:tc>
        <w:tc>
          <w:tcPr>
            <w:tcW w:w="2441" w:type="pct"/>
            <w:vAlign w:val="center"/>
          </w:tcPr>
          <w:p w14:paraId="6AFB52CB" w14:textId="77777777" w:rsidR="00852DCA" w:rsidRPr="00852DCA" w:rsidRDefault="00852DCA" w:rsidP="00852DCA">
            <w:pPr>
              <w:jc w:val="center"/>
              <w:rPr>
                <w:b/>
                <w:u w:val="single"/>
              </w:rPr>
            </w:pPr>
            <w:r w:rsidRPr="00852DCA">
              <w:rPr>
                <w:b/>
                <w:u w:val="single"/>
              </w:rPr>
              <w:t>施工用水尽量做到节约用水，重复利用，</w:t>
            </w:r>
            <w:r>
              <w:rPr>
                <w:b/>
                <w:u w:val="single"/>
              </w:rPr>
              <w:t>施工排水经沉淀后可</w:t>
            </w:r>
            <w:r w:rsidRPr="00852DCA">
              <w:rPr>
                <w:b/>
                <w:u w:val="single"/>
              </w:rPr>
              <w:t>回用或用于施工场地洒水降尘</w:t>
            </w:r>
          </w:p>
        </w:tc>
        <w:tc>
          <w:tcPr>
            <w:tcW w:w="1197" w:type="pct"/>
            <w:vAlign w:val="center"/>
          </w:tcPr>
          <w:p w14:paraId="46A43280" w14:textId="77777777" w:rsidR="00852DCA" w:rsidRPr="00852DCA" w:rsidRDefault="00852DCA" w:rsidP="00852DCA">
            <w:pPr>
              <w:jc w:val="center"/>
              <w:rPr>
                <w:b/>
                <w:u w:val="single"/>
              </w:rPr>
            </w:pPr>
            <w:r w:rsidRPr="00852DCA">
              <w:rPr>
                <w:b/>
                <w:u w:val="single"/>
              </w:rPr>
              <w:t>节约用水，减少水土流失</w:t>
            </w:r>
          </w:p>
        </w:tc>
      </w:tr>
      <w:tr w:rsidR="00852DCA" w:rsidRPr="0003404F" w14:paraId="539C78C7" w14:textId="77777777" w:rsidTr="00852DCA">
        <w:trPr>
          <w:trHeight w:val="990"/>
          <w:jc w:val="center"/>
        </w:trPr>
        <w:tc>
          <w:tcPr>
            <w:tcW w:w="392" w:type="pct"/>
            <w:vAlign w:val="center"/>
          </w:tcPr>
          <w:p w14:paraId="37402891" w14:textId="77777777" w:rsidR="00852DCA" w:rsidRPr="00852DCA" w:rsidRDefault="00852DCA" w:rsidP="00852DCA">
            <w:pPr>
              <w:jc w:val="center"/>
              <w:rPr>
                <w:b/>
                <w:u w:val="single"/>
              </w:rPr>
            </w:pPr>
            <w:r w:rsidRPr="00852DCA">
              <w:rPr>
                <w:b/>
                <w:u w:val="single"/>
              </w:rPr>
              <w:t>2</w:t>
            </w:r>
          </w:p>
        </w:tc>
        <w:tc>
          <w:tcPr>
            <w:tcW w:w="970" w:type="pct"/>
            <w:vAlign w:val="center"/>
          </w:tcPr>
          <w:p w14:paraId="336121E9" w14:textId="77777777" w:rsidR="00852DCA" w:rsidRPr="00852DCA" w:rsidRDefault="00852DCA" w:rsidP="00852DCA">
            <w:pPr>
              <w:jc w:val="center"/>
              <w:rPr>
                <w:b/>
                <w:u w:val="single"/>
              </w:rPr>
            </w:pPr>
            <w:r w:rsidRPr="00852DCA">
              <w:rPr>
                <w:b/>
                <w:u w:val="single"/>
              </w:rPr>
              <w:t>生活污水排放对环境污染产生影响</w:t>
            </w:r>
          </w:p>
        </w:tc>
        <w:tc>
          <w:tcPr>
            <w:tcW w:w="2441" w:type="pct"/>
            <w:vAlign w:val="center"/>
          </w:tcPr>
          <w:p w14:paraId="305EBC51" w14:textId="77777777" w:rsidR="00852DCA" w:rsidRPr="00852DCA" w:rsidRDefault="00646C87" w:rsidP="00852DCA">
            <w:pPr>
              <w:jc w:val="center"/>
              <w:rPr>
                <w:b/>
                <w:u w:val="single"/>
              </w:rPr>
            </w:pPr>
            <w:r>
              <w:rPr>
                <w:rFonts w:hint="eastAsia"/>
                <w:b/>
                <w:u w:val="single"/>
              </w:rPr>
              <w:t>职工</w:t>
            </w:r>
            <w:r>
              <w:rPr>
                <w:b/>
                <w:u w:val="single"/>
              </w:rPr>
              <w:t>清洗废水</w:t>
            </w:r>
            <w:r>
              <w:rPr>
                <w:rFonts w:hint="eastAsia"/>
                <w:b/>
                <w:u w:val="single"/>
              </w:rPr>
              <w:t>用于</w:t>
            </w:r>
            <w:r>
              <w:rPr>
                <w:b/>
                <w:u w:val="single"/>
              </w:rPr>
              <w:t>厂区洒水抑尘，</w:t>
            </w:r>
            <w:r>
              <w:rPr>
                <w:rFonts w:hint="eastAsia"/>
                <w:b/>
                <w:u w:val="single"/>
              </w:rPr>
              <w:t>其他</w:t>
            </w:r>
            <w:r w:rsidRPr="00646C87">
              <w:rPr>
                <w:rFonts w:hint="eastAsia"/>
                <w:b/>
                <w:u w:val="single"/>
              </w:rPr>
              <w:t>生活污水经临时化粪池处理后用于周边农田施肥</w:t>
            </w:r>
          </w:p>
        </w:tc>
        <w:tc>
          <w:tcPr>
            <w:tcW w:w="1197" w:type="pct"/>
            <w:vAlign w:val="center"/>
          </w:tcPr>
          <w:p w14:paraId="3D6B2CA5" w14:textId="77777777" w:rsidR="00852DCA" w:rsidRPr="00852DCA" w:rsidRDefault="00852DCA" w:rsidP="00852DCA">
            <w:pPr>
              <w:jc w:val="center"/>
              <w:rPr>
                <w:b/>
                <w:u w:val="single"/>
              </w:rPr>
            </w:pPr>
            <w:r w:rsidRPr="00852DCA">
              <w:rPr>
                <w:b/>
                <w:u w:val="single"/>
              </w:rPr>
              <w:t>减轻或避免生活污水、粪便对周边环境影响</w:t>
            </w:r>
          </w:p>
        </w:tc>
      </w:tr>
    </w:tbl>
    <w:p w14:paraId="34D24508" w14:textId="77777777" w:rsidR="0055605A" w:rsidRPr="00A964FF" w:rsidRDefault="0055605A" w:rsidP="0055605A">
      <w:pPr>
        <w:pStyle w:val="ad"/>
        <w:rPr>
          <w:rFonts w:ascii="Calibri" w:hAnsi="Calibri"/>
          <w:color w:val="auto"/>
        </w:rPr>
      </w:pPr>
      <w:r w:rsidRPr="00A964FF">
        <w:rPr>
          <w:rFonts w:ascii="Calibri" w:hAnsi="Calibri" w:hint="eastAsia"/>
          <w:color w:val="auto"/>
        </w:rPr>
        <w:t>5.1.3</w:t>
      </w:r>
      <w:r w:rsidRPr="00A964FF">
        <w:rPr>
          <w:rFonts w:ascii="Calibri" w:hAnsi="Calibri" w:hint="eastAsia"/>
          <w:color w:val="auto"/>
        </w:rPr>
        <w:t>噪声</w:t>
      </w:r>
      <w:r w:rsidRPr="00A964FF">
        <w:rPr>
          <w:rFonts w:ascii="Calibri" w:hAnsi="Calibri"/>
          <w:color w:val="auto"/>
        </w:rPr>
        <w:t>污染防治措施</w:t>
      </w:r>
    </w:p>
    <w:p w14:paraId="01AF1C7A" w14:textId="77777777" w:rsidR="008200A6" w:rsidRPr="00A964FF" w:rsidRDefault="008200A6" w:rsidP="008200A6">
      <w:pPr>
        <w:spacing w:line="520" w:lineRule="exact"/>
        <w:ind w:firstLine="482"/>
        <w:rPr>
          <w:rFonts w:ascii="Calibri" w:hAnsi="Calibri"/>
          <w:color w:val="auto"/>
          <w:sz w:val="24"/>
        </w:rPr>
      </w:pPr>
      <w:r w:rsidRPr="00A964FF">
        <w:rPr>
          <w:rFonts w:ascii="Calibri" w:hAnsi="Calibri" w:hint="eastAsia"/>
          <w:color w:val="auto"/>
          <w:sz w:val="24"/>
        </w:rPr>
        <w:t>在施工过程中，施工单位应尽量采用低噪声的施工机械，减少同时作业的高噪施工机械数量，尽可能减轻声源叠加影响；同时应严格执行《建筑施工场界环境噪声排放标准》（</w:t>
      </w:r>
      <w:r w:rsidRPr="00A964FF">
        <w:rPr>
          <w:rFonts w:ascii="Calibri" w:hAnsi="Calibri" w:hint="eastAsia"/>
          <w:color w:val="auto"/>
          <w:sz w:val="24"/>
        </w:rPr>
        <w:t>GB12523-2011</w:t>
      </w:r>
      <w:r w:rsidRPr="00A964FF">
        <w:rPr>
          <w:rFonts w:ascii="Calibri" w:hAnsi="Calibri" w:hint="eastAsia"/>
          <w:color w:val="auto"/>
          <w:sz w:val="24"/>
        </w:rPr>
        <w:t>）的规定，避免和减少施工扰民事件的发生。</w:t>
      </w:r>
    </w:p>
    <w:p w14:paraId="35E41C42" w14:textId="77777777" w:rsidR="00BC526D" w:rsidRPr="00A964FF" w:rsidRDefault="00BC526D" w:rsidP="00BC526D">
      <w:pPr>
        <w:spacing w:line="520" w:lineRule="exact"/>
        <w:ind w:firstLine="482"/>
        <w:rPr>
          <w:rFonts w:ascii="Calibri" w:hAnsi="Calibri"/>
          <w:color w:val="auto"/>
          <w:sz w:val="24"/>
        </w:rPr>
      </w:pPr>
      <w:r w:rsidRPr="00A964FF">
        <w:rPr>
          <w:rFonts w:ascii="Calibri" w:hAnsi="Calibri" w:hint="eastAsia"/>
          <w:color w:val="auto"/>
          <w:sz w:val="24"/>
        </w:rPr>
        <w:t>本项目仅在昼间施工，施工噪声能够满足《建筑施工场界环境噪声排放标准》（</w:t>
      </w:r>
      <w:r w:rsidRPr="00A964FF">
        <w:rPr>
          <w:rFonts w:ascii="Calibri" w:hAnsi="Calibri"/>
          <w:color w:val="auto"/>
          <w:sz w:val="24"/>
        </w:rPr>
        <w:t>GB12523-2011</w:t>
      </w:r>
      <w:r w:rsidRPr="00A964FF">
        <w:rPr>
          <w:rFonts w:ascii="Calibri" w:hAnsi="Calibri" w:hint="eastAsia"/>
          <w:color w:val="auto"/>
          <w:sz w:val="24"/>
        </w:rPr>
        <w:t>）要求。为进一步减轻施工噪声对周围环境的影响，环评要求施工单位在施工期采取以下相应措施：</w:t>
      </w:r>
    </w:p>
    <w:p w14:paraId="0B1CE2B4" w14:textId="77777777" w:rsidR="00BC526D" w:rsidRPr="00A964FF" w:rsidRDefault="00BC526D" w:rsidP="00BC526D">
      <w:pPr>
        <w:spacing w:line="520" w:lineRule="exact"/>
        <w:ind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1</w:t>
      </w:r>
      <w:r w:rsidRPr="00A964FF">
        <w:rPr>
          <w:rFonts w:ascii="Calibri" w:hAnsi="Calibri" w:hint="eastAsia"/>
          <w:bCs/>
          <w:color w:val="auto"/>
          <w:sz w:val="24"/>
        </w:rPr>
        <w:t>）施工单位尽量选用先进的低噪声设备，在高噪声设备周围设置屏障减轻噪声对周围环境的影响，控制施工场界噪声不超过《建筑施工场界环境噪声排放标准》（</w:t>
      </w:r>
      <w:r w:rsidRPr="00A964FF">
        <w:rPr>
          <w:rFonts w:ascii="Calibri" w:hAnsi="Calibri"/>
          <w:bCs/>
          <w:color w:val="auto"/>
          <w:sz w:val="24"/>
        </w:rPr>
        <w:t>GB12523-2011</w:t>
      </w:r>
      <w:r w:rsidRPr="00A964FF">
        <w:rPr>
          <w:rFonts w:ascii="Calibri" w:hAnsi="Calibri" w:hint="eastAsia"/>
          <w:bCs/>
          <w:color w:val="auto"/>
          <w:sz w:val="24"/>
        </w:rPr>
        <w:t>）。</w:t>
      </w:r>
    </w:p>
    <w:p w14:paraId="6E31CBE2" w14:textId="77777777" w:rsidR="00BC526D" w:rsidRPr="00A964FF" w:rsidRDefault="00BC526D" w:rsidP="00BC526D">
      <w:pPr>
        <w:spacing w:line="520" w:lineRule="exact"/>
        <w:ind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2</w:t>
      </w:r>
      <w:r w:rsidRPr="00A964FF">
        <w:rPr>
          <w:rFonts w:ascii="Calibri" w:hAnsi="Calibri" w:hint="eastAsia"/>
          <w:bCs/>
          <w:color w:val="auto"/>
          <w:sz w:val="24"/>
        </w:rPr>
        <w:t>）加强施工机械维修、管理，保证施工机械处于低噪声、高效率的状态。</w:t>
      </w:r>
    </w:p>
    <w:p w14:paraId="07679BA9" w14:textId="77777777" w:rsidR="00BC526D" w:rsidRPr="00A964FF" w:rsidRDefault="00BC526D" w:rsidP="00BC526D">
      <w:pPr>
        <w:spacing w:line="520" w:lineRule="exact"/>
        <w:ind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3</w:t>
      </w:r>
      <w:r w:rsidRPr="00A964FF">
        <w:rPr>
          <w:rFonts w:ascii="Calibri" w:hAnsi="Calibri" w:hint="eastAsia"/>
          <w:bCs/>
          <w:color w:val="auto"/>
          <w:sz w:val="24"/>
        </w:rPr>
        <w:t>）施工现场合理布局，以避免局部声级过高，尽可能将施工阶段的噪声减至最小。</w:t>
      </w:r>
    </w:p>
    <w:p w14:paraId="2CCB4DEE" w14:textId="77777777" w:rsidR="00BC526D" w:rsidRPr="00A964FF" w:rsidRDefault="00BC526D" w:rsidP="00BC526D">
      <w:pPr>
        <w:spacing w:line="520" w:lineRule="exact"/>
        <w:ind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4</w:t>
      </w:r>
      <w:r w:rsidRPr="00A964FF">
        <w:rPr>
          <w:rFonts w:ascii="Calibri" w:hAnsi="Calibri" w:hint="eastAsia"/>
          <w:bCs/>
          <w:color w:val="auto"/>
          <w:sz w:val="24"/>
        </w:rPr>
        <w:t>）合理安排施工过程，夜间严禁施工。</w:t>
      </w:r>
    </w:p>
    <w:p w14:paraId="0E796B65" w14:textId="77777777" w:rsidR="00BC526D" w:rsidRPr="00A964FF" w:rsidRDefault="00BC526D" w:rsidP="00BC526D">
      <w:pPr>
        <w:spacing w:line="520" w:lineRule="exact"/>
        <w:ind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5</w:t>
      </w:r>
      <w:r w:rsidRPr="00A964FF">
        <w:rPr>
          <w:rFonts w:ascii="Calibri" w:hAnsi="Calibri" w:hint="eastAsia"/>
          <w:bCs/>
          <w:color w:val="auto"/>
          <w:sz w:val="24"/>
        </w:rPr>
        <w:t>）产生振动的大型设备的底座安装减振器，通过基础减振来降低噪声影响；安装局部隔声罩和部分吸声结构，以降低高噪声设备噪声传播的强度。</w:t>
      </w:r>
    </w:p>
    <w:p w14:paraId="6319C38D"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6</w:t>
      </w:r>
      <w:r w:rsidRPr="00A964FF">
        <w:rPr>
          <w:rFonts w:ascii="Calibri" w:hAnsi="Calibri" w:hint="eastAsia"/>
          <w:bCs/>
          <w:color w:val="auto"/>
          <w:sz w:val="24"/>
        </w:rPr>
        <w:t>）施工单位应将施工噪声控制纳入承包内容，并在施工和工程监理过程中设置专人负责管理，以确保噪声措施的实施。做好环保法制宣传工作，施工单位应严格遵守环评提出的环保要求，加强现场科学管理，做好施工人员的环境保护意识，提倡</w:t>
      </w:r>
      <w:r w:rsidRPr="00A964FF">
        <w:rPr>
          <w:rFonts w:ascii="Calibri" w:hAnsi="Calibri" w:hint="eastAsia"/>
          <w:bCs/>
          <w:color w:val="auto"/>
          <w:sz w:val="24"/>
        </w:rPr>
        <w:lastRenderedPageBreak/>
        <w:t>文明施工，降低人为因素造成的施工噪声加重。</w:t>
      </w:r>
    </w:p>
    <w:p w14:paraId="6E6FEB76" w14:textId="77777777" w:rsidR="008200A6" w:rsidRPr="00A964FF" w:rsidRDefault="008200A6" w:rsidP="008200A6">
      <w:pPr>
        <w:spacing w:line="520" w:lineRule="exact"/>
        <w:ind w:firstLine="482"/>
        <w:rPr>
          <w:rFonts w:ascii="Calibri" w:hAnsi="Calibri"/>
          <w:color w:val="auto"/>
          <w:sz w:val="24"/>
        </w:rPr>
      </w:pPr>
      <w:r w:rsidRPr="00A964FF">
        <w:rPr>
          <w:rFonts w:ascii="Calibri" w:hAnsi="Calibri" w:hint="eastAsia"/>
          <w:color w:val="auto"/>
          <w:sz w:val="24"/>
        </w:rPr>
        <w:t>本评价认为上述措施能有效减小施工噪声，噪声污染能降低到可接受水平。</w:t>
      </w:r>
    </w:p>
    <w:p w14:paraId="56A8F5A4" w14:textId="77777777" w:rsidR="0055605A" w:rsidRPr="00A964FF" w:rsidRDefault="0055605A" w:rsidP="0055605A">
      <w:pPr>
        <w:pStyle w:val="ad"/>
        <w:rPr>
          <w:rFonts w:ascii="Calibri" w:hAnsi="Calibri"/>
          <w:color w:val="auto"/>
        </w:rPr>
      </w:pPr>
      <w:r w:rsidRPr="00A964FF">
        <w:rPr>
          <w:rFonts w:ascii="Calibri" w:hAnsi="Calibri" w:hint="eastAsia"/>
          <w:color w:val="auto"/>
        </w:rPr>
        <w:t>5.1.4</w:t>
      </w:r>
      <w:r w:rsidRPr="00A964FF">
        <w:rPr>
          <w:rFonts w:ascii="Calibri" w:hAnsi="Calibri" w:hint="eastAsia"/>
          <w:color w:val="auto"/>
        </w:rPr>
        <w:t>固废</w:t>
      </w:r>
      <w:r w:rsidRPr="00A964FF">
        <w:rPr>
          <w:rFonts w:ascii="Calibri" w:hAnsi="Calibri"/>
          <w:color w:val="auto"/>
        </w:rPr>
        <w:t>污染防治措施</w:t>
      </w:r>
    </w:p>
    <w:p w14:paraId="2AE48473" w14:textId="77777777" w:rsidR="00BC526D" w:rsidRPr="00A964FF" w:rsidRDefault="00BC526D" w:rsidP="00BC526D">
      <w:pPr>
        <w:spacing w:line="520" w:lineRule="exact"/>
        <w:ind w:firstLineChars="200" w:firstLine="482"/>
        <w:rPr>
          <w:rFonts w:ascii="Calibri" w:hAnsi="Calibri"/>
          <w:b/>
          <w:bCs/>
          <w:color w:val="auto"/>
          <w:sz w:val="24"/>
        </w:rPr>
      </w:pPr>
      <w:r w:rsidRPr="00A964FF">
        <w:rPr>
          <w:rFonts w:ascii="Calibri" w:hAnsi="Calibri"/>
          <w:b/>
          <w:bCs/>
          <w:color w:val="auto"/>
          <w:sz w:val="24"/>
        </w:rPr>
        <w:t>1</w:t>
      </w:r>
      <w:r w:rsidRPr="00A964FF">
        <w:rPr>
          <w:rFonts w:ascii="Calibri" w:hAnsi="Calibri" w:hint="eastAsia"/>
          <w:b/>
          <w:bCs/>
          <w:color w:val="auto"/>
          <w:sz w:val="24"/>
        </w:rPr>
        <w:t>、建筑垃圾</w:t>
      </w:r>
    </w:p>
    <w:p w14:paraId="1BB9EA86"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本项目建筑垃圾产生量为</w:t>
      </w:r>
      <w:r w:rsidR="009B7679">
        <w:rPr>
          <w:rFonts w:ascii="Calibri" w:hAnsi="Calibri"/>
          <w:bCs/>
          <w:color w:val="auto"/>
          <w:sz w:val="24"/>
        </w:rPr>
        <w:t>8</w:t>
      </w:r>
      <w:r w:rsidRPr="00A964FF">
        <w:rPr>
          <w:rFonts w:ascii="Calibri" w:hAnsi="Calibri" w:hint="eastAsia"/>
          <w:bCs/>
          <w:color w:val="auto"/>
          <w:sz w:val="24"/>
        </w:rPr>
        <w:t>00</w:t>
      </w:r>
      <w:r w:rsidRPr="00A964FF">
        <w:rPr>
          <w:rFonts w:ascii="Calibri" w:hAnsi="Calibri"/>
          <w:bCs/>
          <w:color w:val="auto"/>
          <w:sz w:val="24"/>
        </w:rPr>
        <w:t>t</w:t>
      </w:r>
      <w:r w:rsidRPr="00A964FF">
        <w:rPr>
          <w:rFonts w:ascii="Calibri" w:hAnsi="Calibri" w:hint="eastAsia"/>
          <w:bCs/>
          <w:color w:val="auto"/>
          <w:sz w:val="24"/>
        </w:rPr>
        <w:t>，建筑垃圾主要是一些包装袋、包装箱、碎木块、废水泥、浇注件等，首先应对其中可回收利用部分进行回收，其次对建筑垃圾要定点堆放，及时送往当地指定的建筑垃圾堆场，运输过程中加盖篷布，以降低对周围环境的影响。</w:t>
      </w:r>
    </w:p>
    <w:p w14:paraId="4666D9BE"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为进一步降低建筑垃圾对周围环境的影响，要求施工单位应同时做好以下防治措施：</w:t>
      </w:r>
    </w:p>
    <w:p w14:paraId="72BC174D"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1</w:t>
      </w:r>
      <w:r w:rsidRPr="00A964FF">
        <w:rPr>
          <w:rFonts w:ascii="Calibri" w:hAnsi="Calibri" w:hint="eastAsia"/>
          <w:bCs/>
          <w:color w:val="auto"/>
          <w:sz w:val="24"/>
        </w:rPr>
        <w:t>）建设单位应加强施工现场的施工管理工作，施工前材料选购应精确计量，避免材料浪费；应尽量控制工程的变更，产生不必要的施工建筑垃圾。</w:t>
      </w:r>
    </w:p>
    <w:p w14:paraId="34D6D78A"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2</w:t>
      </w:r>
      <w:r w:rsidRPr="00A964FF">
        <w:rPr>
          <w:rFonts w:ascii="Calibri" w:hAnsi="Calibri" w:hint="eastAsia"/>
          <w:bCs/>
          <w:color w:val="auto"/>
          <w:sz w:val="24"/>
        </w:rPr>
        <w:t>）施工现场禁止焚烧废弃物；施工垃圾不得随意丢弃，应分类集中堆放。</w:t>
      </w:r>
    </w:p>
    <w:p w14:paraId="311798A2"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3</w:t>
      </w:r>
      <w:r w:rsidRPr="00A964FF">
        <w:rPr>
          <w:rFonts w:ascii="Calibri" w:hAnsi="Calibri" w:hint="eastAsia"/>
          <w:bCs/>
          <w:color w:val="auto"/>
          <w:sz w:val="24"/>
        </w:rPr>
        <w:t>）作好土石方平衡，对于不可回填的土石方、不可回用的建筑垃圾，施工单位在处理时应严格执行《城市建筑垃圾管理规定》中的相关要求合理处置，运送至当地指定的垃圾堆放场地，不得随意外排。</w:t>
      </w:r>
    </w:p>
    <w:p w14:paraId="71474DF9"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4</w:t>
      </w:r>
      <w:r w:rsidRPr="00A964FF">
        <w:rPr>
          <w:rFonts w:ascii="Calibri" w:hAnsi="Calibri" w:hint="eastAsia"/>
          <w:bCs/>
          <w:color w:val="auto"/>
          <w:sz w:val="24"/>
        </w:rPr>
        <w:t>）对施工垃圾应签订合同，分类进行综合利用和妥善处置，不得随意抛弃、转移和扩散，避免造成二次污染。</w:t>
      </w:r>
    </w:p>
    <w:p w14:paraId="57874277"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5</w:t>
      </w:r>
      <w:r w:rsidRPr="00A964FF">
        <w:rPr>
          <w:rFonts w:ascii="Calibri" w:hAnsi="Calibri" w:hint="eastAsia"/>
          <w:bCs/>
          <w:color w:val="auto"/>
          <w:sz w:val="24"/>
        </w:rPr>
        <w:t>）建筑垃圾运输过程中严格执行《平顶山市建筑垃圾和工程渣土管理办法》的规定，运土车辆应在规定的时间和规定的路线进出施工场地，沿途应注意保持道路的清洁，应尽量减少装土过满、车辆颠簸等造成的渣土倾撒。</w:t>
      </w:r>
    </w:p>
    <w:p w14:paraId="7B0DB68E" w14:textId="77777777" w:rsidR="00BC526D"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6</w:t>
      </w:r>
      <w:r w:rsidRPr="00A964FF">
        <w:rPr>
          <w:rFonts w:ascii="Calibri" w:hAnsi="Calibri" w:hint="eastAsia"/>
          <w:bCs/>
          <w:color w:val="auto"/>
          <w:sz w:val="24"/>
        </w:rPr>
        <w:t>）建筑施工垃圾在运输时应选择合适的车辆运输路线，避开沿线居民区、学校，运输车辆四周封闭，车顶应加盖逢布，保证有一定的含水率，避免风力起尘，避免对运输道路两侧敏感点造成大的影响。场地内运输道路应每天定时洒水，保证地面整洁。</w:t>
      </w:r>
    </w:p>
    <w:p w14:paraId="582151EE" w14:textId="77777777" w:rsidR="00646C87" w:rsidRPr="00A964FF" w:rsidRDefault="00646C87" w:rsidP="00BC526D">
      <w:pPr>
        <w:spacing w:line="520" w:lineRule="exact"/>
        <w:ind w:firstLineChars="200" w:firstLine="480"/>
        <w:rPr>
          <w:rFonts w:ascii="Calibri" w:hAnsi="Calibri"/>
          <w:bCs/>
          <w:color w:val="auto"/>
          <w:sz w:val="24"/>
        </w:rPr>
      </w:pPr>
    </w:p>
    <w:p w14:paraId="11510A7B" w14:textId="77777777" w:rsidR="00BC526D" w:rsidRPr="00A964FF" w:rsidRDefault="00BC526D" w:rsidP="00BC526D">
      <w:pPr>
        <w:spacing w:line="520" w:lineRule="exact"/>
        <w:ind w:firstLineChars="200" w:firstLine="482"/>
        <w:rPr>
          <w:rFonts w:ascii="Calibri" w:hAnsi="Calibri"/>
          <w:b/>
          <w:bCs/>
          <w:color w:val="auto"/>
          <w:sz w:val="24"/>
        </w:rPr>
      </w:pPr>
      <w:r w:rsidRPr="00A964FF">
        <w:rPr>
          <w:rFonts w:ascii="Calibri" w:hAnsi="Calibri"/>
          <w:b/>
          <w:bCs/>
          <w:color w:val="auto"/>
          <w:sz w:val="24"/>
        </w:rPr>
        <w:lastRenderedPageBreak/>
        <w:t>2</w:t>
      </w:r>
      <w:r w:rsidRPr="00A964FF">
        <w:rPr>
          <w:rFonts w:ascii="Calibri" w:hAnsi="Calibri" w:hint="eastAsia"/>
          <w:b/>
          <w:bCs/>
          <w:color w:val="auto"/>
          <w:sz w:val="24"/>
        </w:rPr>
        <w:t>、弃土</w:t>
      </w:r>
    </w:p>
    <w:p w14:paraId="6D0BBD30"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本项目施工场地地势平坦，施工期土方开挖土方量较小，施工过程中产生的挖方全部回填，整个施工期可以做到土石方平衡，无弃土外运，为减小水土流失，开挖的土方应及时回填，压实。</w:t>
      </w:r>
    </w:p>
    <w:p w14:paraId="7665D697" w14:textId="77777777" w:rsidR="00BC526D" w:rsidRPr="00A964FF" w:rsidRDefault="00BC526D" w:rsidP="00BC526D">
      <w:pPr>
        <w:spacing w:line="520" w:lineRule="exact"/>
        <w:ind w:firstLineChars="200" w:firstLine="482"/>
        <w:rPr>
          <w:rFonts w:ascii="Calibri" w:hAnsi="Calibri"/>
          <w:b/>
          <w:bCs/>
          <w:color w:val="auto"/>
          <w:sz w:val="24"/>
        </w:rPr>
      </w:pPr>
      <w:r w:rsidRPr="00A964FF">
        <w:rPr>
          <w:rFonts w:ascii="Calibri" w:hAnsi="Calibri"/>
          <w:b/>
          <w:bCs/>
          <w:color w:val="auto"/>
          <w:sz w:val="24"/>
        </w:rPr>
        <w:t>3</w:t>
      </w:r>
      <w:r w:rsidRPr="00A964FF">
        <w:rPr>
          <w:rFonts w:ascii="Calibri" w:hAnsi="Calibri" w:hint="eastAsia"/>
          <w:b/>
          <w:bCs/>
          <w:color w:val="auto"/>
          <w:sz w:val="24"/>
        </w:rPr>
        <w:t>、生活垃圾</w:t>
      </w:r>
    </w:p>
    <w:p w14:paraId="3BE65E4F" w14:textId="77777777" w:rsidR="00BC526D" w:rsidRPr="00A964FF" w:rsidRDefault="00BC526D" w:rsidP="00BC526D">
      <w:pPr>
        <w:spacing w:line="520" w:lineRule="exact"/>
        <w:ind w:firstLineChars="200" w:firstLine="480"/>
        <w:rPr>
          <w:rFonts w:ascii="Calibri" w:hAnsi="Calibri"/>
          <w:bCs/>
          <w:color w:val="auto"/>
          <w:sz w:val="24"/>
        </w:rPr>
      </w:pPr>
      <w:r w:rsidRPr="00A964FF">
        <w:rPr>
          <w:rFonts w:ascii="Calibri" w:hAnsi="Calibri" w:hint="eastAsia"/>
          <w:bCs/>
          <w:color w:val="auto"/>
          <w:sz w:val="24"/>
        </w:rPr>
        <w:t>施工期生活垃圾产生量为</w:t>
      </w:r>
      <w:r w:rsidR="008700BF">
        <w:rPr>
          <w:rFonts w:ascii="Calibri" w:hAnsi="Calibri" w:hint="eastAsia"/>
          <w:bCs/>
          <w:color w:val="auto"/>
          <w:sz w:val="24"/>
        </w:rPr>
        <w:t>15</w:t>
      </w:r>
      <w:r w:rsidRPr="00A964FF">
        <w:rPr>
          <w:rFonts w:ascii="Calibri" w:hAnsi="Calibri"/>
          <w:bCs/>
          <w:color w:val="auto"/>
          <w:sz w:val="24"/>
        </w:rPr>
        <w:t>t</w:t>
      </w:r>
      <w:r w:rsidRPr="00A964FF">
        <w:rPr>
          <w:rFonts w:ascii="Calibri" w:hAnsi="Calibri" w:hint="eastAsia"/>
          <w:bCs/>
          <w:color w:val="auto"/>
          <w:sz w:val="24"/>
        </w:rPr>
        <w:t>，垃圾箱集中收集后</w:t>
      </w:r>
      <w:r w:rsidR="00DE6FD8" w:rsidRPr="00A964FF">
        <w:rPr>
          <w:rFonts w:ascii="Calibri" w:hAnsi="Calibri" w:hint="eastAsia"/>
          <w:bCs/>
          <w:color w:val="auto"/>
          <w:sz w:val="24"/>
        </w:rPr>
        <w:t>及时</w:t>
      </w:r>
      <w:r w:rsidRPr="00A964FF">
        <w:rPr>
          <w:rFonts w:ascii="Calibri" w:hAnsi="Calibri" w:hint="eastAsia"/>
          <w:bCs/>
          <w:color w:val="auto"/>
          <w:sz w:val="24"/>
        </w:rPr>
        <w:t>送集聚区垃圾中转站，</w:t>
      </w:r>
      <w:r w:rsidR="00E81A41" w:rsidRPr="00A964FF">
        <w:rPr>
          <w:rFonts w:ascii="Calibri" w:hAnsi="Calibri" w:hint="eastAsia"/>
          <w:bCs/>
          <w:color w:val="auto"/>
          <w:sz w:val="24"/>
        </w:rPr>
        <w:t>由</w:t>
      </w:r>
      <w:r w:rsidR="00260CDA" w:rsidRPr="00A964FF">
        <w:rPr>
          <w:rFonts w:ascii="Calibri" w:hAnsi="Calibri" w:hint="eastAsia"/>
          <w:bCs/>
          <w:color w:val="auto"/>
          <w:sz w:val="24"/>
        </w:rPr>
        <w:t>环卫部门集中清运并合理处置</w:t>
      </w:r>
      <w:r w:rsidRPr="00A964FF">
        <w:rPr>
          <w:rFonts w:ascii="Calibri" w:hAnsi="Calibri" w:hint="eastAsia"/>
          <w:bCs/>
          <w:color w:val="auto"/>
          <w:sz w:val="24"/>
        </w:rPr>
        <w:t>。</w:t>
      </w:r>
    </w:p>
    <w:p w14:paraId="0FBCD57E" w14:textId="77777777" w:rsidR="0055605A" w:rsidRPr="00A964FF" w:rsidRDefault="0055605A" w:rsidP="00BC526D">
      <w:pPr>
        <w:spacing w:line="520" w:lineRule="exact"/>
        <w:ind w:firstLineChars="200" w:firstLine="480"/>
        <w:rPr>
          <w:rFonts w:ascii="Calibri" w:hAnsi="Calibri"/>
          <w:bCs/>
          <w:color w:val="auto"/>
          <w:sz w:val="24"/>
        </w:rPr>
      </w:pPr>
      <w:r w:rsidRPr="00A964FF">
        <w:rPr>
          <w:rFonts w:ascii="Calibri" w:hAnsi="Calibri"/>
          <w:bCs/>
          <w:color w:val="auto"/>
          <w:sz w:val="24"/>
        </w:rPr>
        <w:t>采取以上措施后，可以将施工期固体废物对周围环境的影响降到最低限度，对周围环境影响不大。</w:t>
      </w:r>
    </w:p>
    <w:p w14:paraId="5A56FF9D" w14:textId="77777777" w:rsidR="00BC526D" w:rsidRPr="00A964FF" w:rsidRDefault="00BC526D" w:rsidP="00BC526D">
      <w:pPr>
        <w:pStyle w:val="ad"/>
        <w:rPr>
          <w:rFonts w:ascii="Calibri" w:hAnsi="Calibri"/>
          <w:color w:val="auto"/>
        </w:rPr>
      </w:pPr>
      <w:r w:rsidRPr="00A964FF">
        <w:rPr>
          <w:rFonts w:ascii="Calibri" w:hAnsi="Calibri"/>
          <w:color w:val="auto"/>
        </w:rPr>
        <w:t>5.1.5</w:t>
      </w:r>
      <w:r w:rsidRPr="00A964FF">
        <w:rPr>
          <w:rFonts w:ascii="Calibri" w:hAnsi="Calibri" w:hint="eastAsia"/>
          <w:color w:val="auto"/>
        </w:rPr>
        <w:t>施工期生态保护措施</w:t>
      </w:r>
    </w:p>
    <w:p w14:paraId="569916C1"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根据现场踏勘，本项目施工区域内地表植被比较单一，为当地常见季节性草灌，植被破坏量不大。施工期应做好水土保护工作，禁止对项目区域外的植被进行砍伐和破坏，严禁施工期废水、废渣等污染物随意外排；同时尽量做到边施工边恢复，加快生态恢复速度。</w:t>
      </w:r>
    </w:p>
    <w:p w14:paraId="4A0AD975"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施工单位可采取以下措施降低生态环境影响：</w:t>
      </w:r>
    </w:p>
    <w:p w14:paraId="1D453433"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1</w:t>
      </w:r>
      <w:r w:rsidRPr="00A964FF">
        <w:rPr>
          <w:rFonts w:ascii="Calibri" w:hAnsi="Calibri" w:hint="eastAsia"/>
          <w:bCs/>
          <w:color w:val="auto"/>
          <w:sz w:val="24"/>
        </w:rPr>
        <w:t>）及时作好现场场地平整，即使在雨季，也能控制现场不积水，有积水的地方及时沙土回填。</w:t>
      </w:r>
    </w:p>
    <w:p w14:paraId="02F04214"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2</w:t>
      </w:r>
      <w:r w:rsidRPr="00A964FF">
        <w:rPr>
          <w:rFonts w:ascii="Calibri" w:hAnsi="Calibri" w:hint="eastAsia"/>
          <w:bCs/>
          <w:color w:val="auto"/>
          <w:sz w:val="24"/>
        </w:rPr>
        <w:t>）现场作好排水措施，保证现场的雨水顺利排放。雨季雨水可疏导致施工场地沉淀池内储存，可用于施工场地。</w:t>
      </w:r>
    </w:p>
    <w:p w14:paraId="5623998F"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3</w:t>
      </w:r>
      <w:r w:rsidRPr="00A964FF">
        <w:rPr>
          <w:rFonts w:ascii="Calibri" w:hAnsi="Calibri" w:hint="eastAsia"/>
          <w:bCs/>
          <w:color w:val="auto"/>
          <w:sz w:val="24"/>
        </w:rPr>
        <w:t>）作好路面硬化措施，防止车辆碾压造成土质疏松。天气干燥时，派专人洒水，防止扬尘。</w:t>
      </w:r>
    </w:p>
    <w:p w14:paraId="2EC6E7CE"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4</w:t>
      </w:r>
      <w:r w:rsidRPr="00A964FF">
        <w:rPr>
          <w:rFonts w:ascii="Calibri" w:hAnsi="Calibri" w:hint="eastAsia"/>
          <w:bCs/>
          <w:color w:val="auto"/>
          <w:sz w:val="24"/>
        </w:rPr>
        <w:t>）认真核算土石方量，尽量避免弃土，及时回填压实，避免雨季形成水土流失现象。</w:t>
      </w:r>
    </w:p>
    <w:p w14:paraId="1FB7A70D"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5</w:t>
      </w:r>
      <w:r w:rsidRPr="00A964FF">
        <w:rPr>
          <w:rFonts w:ascii="Calibri" w:hAnsi="Calibri" w:hint="eastAsia"/>
          <w:bCs/>
          <w:color w:val="auto"/>
          <w:sz w:val="24"/>
        </w:rPr>
        <w:t>）基础开挖施工时，挖出的土方及时运往土方堆积场，不在现场堆放，施工现场车辆行驶的过程中也应当进行洒水压尘。每天收车后，派专人清扫马路，并适量洒水压尘，达到环卫要求。</w:t>
      </w:r>
    </w:p>
    <w:p w14:paraId="63904FB3"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lastRenderedPageBreak/>
        <w:t>（</w:t>
      </w:r>
      <w:r w:rsidRPr="00A964FF">
        <w:rPr>
          <w:rFonts w:ascii="Calibri" w:hAnsi="Calibri"/>
          <w:bCs/>
          <w:color w:val="auto"/>
          <w:sz w:val="24"/>
        </w:rPr>
        <w:t>6</w:t>
      </w:r>
      <w:r w:rsidRPr="00A964FF">
        <w:rPr>
          <w:rFonts w:ascii="Calibri" w:hAnsi="Calibri" w:hint="eastAsia"/>
          <w:bCs/>
          <w:color w:val="auto"/>
          <w:sz w:val="24"/>
        </w:rPr>
        <w:t>）施工现场主要施工道路每天设专人用洒水车随时进行洒水压尘。</w:t>
      </w:r>
    </w:p>
    <w:p w14:paraId="324E65C9" w14:textId="77777777" w:rsidR="001F7706" w:rsidRPr="00A964FF" w:rsidRDefault="001F7706" w:rsidP="001F7706">
      <w:pPr>
        <w:spacing w:line="520" w:lineRule="exact"/>
        <w:ind w:firstLineChars="200" w:firstLine="480"/>
        <w:rPr>
          <w:rFonts w:ascii="Calibri" w:hAnsi="Calibri"/>
          <w:bCs/>
          <w:color w:val="auto"/>
          <w:sz w:val="24"/>
        </w:rPr>
      </w:pPr>
      <w:r w:rsidRPr="00A964FF">
        <w:rPr>
          <w:rFonts w:ascii="Calibri" w:hAnsi="Calibri" w:hint="eastAsia"/>
          <w:bCs/>
          <w:color w:val="auto"/>
          <w:sz w:val="24"/>
        </w:rPr>
        <w:t>（</w:t>
      </w:r>
      <w:r w:rsidRPr="00A964FF">
        <w:rPr>
          <w:rFonts w:ascii="Calibri" w:hAnsi="Calibri"/>
          <w:bCs/>
          <w:color w:val="auto"/>
          <w:sz w:val="24"/>
        </w:rPr>
        <w:t>7</w:t>
      </w:r>
      <w:r w:rsidRPr="00A964FF">
        <w:rPr>
          <w:rFonts w:ascii="Calibri" w:hAnsi="Calibri" w:hint="eastAsia"/>
          <w:bCs/>
          <w:color w:val="auto"/>
          <w:sz w:val="24"/>
        </w:rPr>
        <w:t>）施工现场进行分区管理，责任到人。</w:t>
      </w:r>
    </w:p>
    <w:p w14:paraId="04A3AF1C" w14:textId="77777777" w:rsidR="0055605A" w:rsidRPr="00A964FF" w:rsidRDefault="0055605A" w:rsidP="0055605A">
      <w:pPr>
        <w:pStyle w:val="2"/>
        <w:spacing w:before="200" w:after="100" w:line="520" w:lineRule="exact"/>
        <w:rPr>
          <w:rFonts w:ascii="Calibri" w:hAnsi="Calibri"/>
          <w:bCs/>
          <w:color w:val="auto"/>
          <w:szCs w:val="28"/>
        </w:rPr>
      </w:pPr>
      <w:bookmarkStart w:id="77" w:name="_Toc112999921"/>
      <w:r w:rsidRPr="00A964FF">
        <w:rPr>
          <w:rFonts w:ascii="Calibri" w:hAnsi="Calibri"/>
          <w:bCs/>
          <w:color w:val="auto"/>
          <w:szCs w:val="28"/>
        </w:rPr>
        <w:t>5.</w:t>
      </w:r>
      <w:r w:rsidRPr="00A964FF">
        <w:rPr>
          <w:rFonts w:ascii="Calibri" w:hAnsi="Calibri" w:hint="eastAsia"/>
          <w:bCs/>
          <w:color w:val="auto"/>
          <w:szCs w:val="28"/>
        </w:rPr>
        <w:t>2</w:t>
      </w:r>
      <w:r w:rsidRPr="00A964FF">
        <w:rPr>
          <w:rFonts w:ascii="Calibri" w:hAnsi="Calibri" w:hint="eastAsia"/>
          <w:bCs/>
          <w:color w:val="auto"/>
          <w:szCs w:val="28"/>
        </w:rPr>
        <w:t>营运期污染防治措施</w:t>
      </w:r>
      <w:bookmarkEnd w:id="77"/>
    </w:p>
    <w:p w14:paraId="1681658B" w14:textId="77777777" w:rsidR="0055605A" w:rsidRPr="00A964FF" w:rsidRDefault="0055605A" w:rsidP="0055605A">
      <w:pPr>
        <w:pStyle w:val="3a"/>
      </w:pPr>
      <w:r w:rsidRPr="00A964FF">
        <w:rPr>
          <w:rFonts w:hint="eastAsia"/>
        </w:rPr>
        <w:t>5</w:t>
      </w:r>
      <w:r w:rsidRPr="00A964FF">
        <w:t>.2.</w:t>
      </w:r>
      <w:r w:rsidRPr="00A964FF">
        <w:rPr>
          <w:rFonts w:hint="eastAsia"/>
        </w:rPr>
        <w:t>1</w:t>
      </w:r>
      <w:r w:rsidRPr="00A964FF">
        <w:t>大气污染防治措施</w:t>
      </w:r>
    </w:p>
    <w:p w14:paraId="7D214AF4" w14:textId="77777777" w:rsidR="001144A1" w:rsidRPr="00DD2874" w:rsidRDefault="001144A1" w:rsidP="00DD2874">
      <w:pPr>
        <w:pStyle w:val="00"/>
        <w:rPr>
          <w:rFonts w:ascii="Calibri" w:hAnsi="Calibri"/>
          <w:color w:val="auto"/>
        </w:rPr>
      </w:pPr>
      <w:r>
        <w:rPr>
          <w:rFonts w:ascii="Calibri" w:hAnsi="Calibri" w:hint="eastAsia"/>
          <w:color w:val="auto"/>
        </w:rPr>
        <w:t>本项目</w:t>
      </w:r>
      <w:r>
        <w:rPr>
          <w:rFonts w:ascii="Calibri" w:hAnsi="Calibri"/>
          <w:color w:val="auto"/>
        </w:rPr>
        <w:t>一期、二期工程生产工艺一致，仅生产规模不同。</w:t>
      </w:r>
      <w:r>
        <w:rPr>
          <w:rFonts w:ascii="Calibri" w:hAnsi="Calibri" w:hint="eastAsia"/>
          <w:color w:val="auto"/>
        </w:rPr>
        <w:t>本项目一期</w:t>
      </w:r>
      <w:r>
        <w:rPr>
          <w:rFonts w:ascii="Calibri" w:hAnsi="Calibri"/>
          <w:color w:val="auto"/>
        </w:rPr>
        <w:t>、二期工程废气污染源主要为</w:t>
      </w:r>
      <w:r w:rsidR="00A06A90">
        <w:rPr>
          <w:rFonts w:ascii="Calibri" w:hAnsi="Calibri" w:hint="eastAsia"/>
          <w:color w:val="auto"/>
        </w:rPr>
        <w:t>聚合</w:t>
      </w:r>
      <w:r w:rsidR="00A06A90">
        <w:rPr>
          <w:rFonts w:ascii="Calibri" w:hAnsi="Calibri" w:hint="eastAsia"/>
          <w:szCs w:val="21"/>
        </w:rPr>
        <w:t>及</w:t>
      </w:r>
      <w:r w:rsidR="00A06A90" w:rsidRPr="00A06A90">
        <w:rPr>
          <w:rFonts w:ascii="Calibri" w:hAnsi="Calibri" w:hint="eastAsia"/>
          <w:color w:val="auto"/>
        </w:rPr>
        <w:t>聚合釜下料</w:t>
      </w:r>
      <w:r w:rsidRPr="00FE4E48">
        <w:rPr>
          <w:rFonts w:ascii="Calibri" w:hAnsi="Calibri" w:hint="eastAsia"/>
          <w:color w:val="auto"/>
        </w:rPr>
        <w:t>的工艺废气、导热油炉燃料燃烧废气</w:t>
      </w:r>
      <w:r>
        <w:rPr>
          <w:rFonts w:ascii="Calibri" w:hAnsi="Calibri" w:hint="eastAsia"/>
          <w:color w:val="auto"/>
        </w:rPr>
        <w:t>、</w:t>
      </w:r>
      <w:r w:rsidRPr="00FE4E48">
        <w:rPr>
          <w:rFonts w:ascii="Calibri" w:hAnsi="Calibri" w:hint="eastAsia"/>
          <w:color w:val="auto"/>
        </w:rPr>
        <w:t>污水处理站恶臭气体</w:t>
      </w:r>
      <w:r>
        <w:rPr>
          <w:rFonts w:ascii="Calibri" w:hAnsi="Calibri" w:hint="eastAsia"/>
          <w:color w:val="auto"/>
        </w:rPr>
        <w:t>以及</w:t>
      </w:r>
      <w:r w:rsidR="00852DCA">
        <w:rPr>
          <w:rFonts w:ascii="Calibri" w:hAnsi="Calibri" w:hint="eastAsia"/>
          <w:color w:val="auto"/>
        </w:rPr>
        <w:t>品控中心</w:t>
      </w:r>
      <w:r>
        <w:rPr>
          <w:rFonts w:ascii="Calibri" w:hAnsi="Calibri"/>
          <w:color w:val="auto"/>
        </w:rPr>
        <w:t>废气</w:t>
      </w:r>
      <w:r>
        <w:rPr>
          <w:rFonts w:ascii="Calibri" w:hAnsi="Calibri" w:hint="eastAsia"/>
          <w:color w:val="auto"/>
        </w:rPr>
        <w:t>。此外</w:t>
      </w:r>
      <w:r>
        <w:rPr>
          <w:rFonts w:ascii="Calibri" w:hAnsi="Calibri"/>
          <w:color w:val="auto"/>
        </w:rPr>
        <w:t>还会产生其他废气，主要为生产区无组织废气和职工食堂油烟。</w:t>
      </w:r>
    </w:p>
    <w:p w14:paraId="01455B18" w14:textId="77777777" w:rsidR="00DD2874" w:rsidRDefault="00286833" w:rsidP="009E71ED">
      <w:pPr>
        <w:spacing w:line="520" w:lineRule="exact"/>
        <w:ind w:firstLineChars="200" w:firstLine="480"/>
        <w:rPr>
          <w:sz w:val="24"/>
        </w:rPr>
      </w:pPr>
      <w:r>
        <w:rPr>
          <w:rFonts w:ascii="Calibri" w:hAnsi="Calibri" w:hint="eastAsia"/>
          <w:bCs/>
          <w:color w:val="auto"/>
          <w:sz w:val="24"/>
        </w:rPr>
        <w:t>其中，</w:t>
      </w:r>
      <w:r w:rsidR="00A06A90">
        <w:rPr>
          <w:rFonts w:ascii="Calibri" w:hAnsi="Calibri" w:hint="eastAsia"/>
          <w:bCs/>
          <w:color w:val="auto"/>
          <w:sz w:val="24"/>
        </w:rPr>
        <w:t>聚合及聚合釜下料</w:t>
      </w:r>
      <w:r w:rsidR="00DD2874" w:rsidRPr="00DD2874">
        <w:rPr>
          <w:rFonts w:ascii="Calibri" w:hAnsi="Calibri" w:hint="eastAsia"/>
          <w:bCs/>
          <w:color w:val="auto"/>
          <w:sz w:val="24"/>
        </w:rPr>
        <w:t>产生的工艺废气</w:t>
      </w:r>
      <w:r w:rsidR="00DD2874" w:rsidRPr="00167E23">
        <w:rPr>
          <w:rFonts w:hint="eastAsia"/>
          <w:sz w:val="24"/>
        </w:rPr>
        <w:t>主要为水汽，同时夹带少量己二胺</w:t>
      </w:r>
      <w:r w:rsidR="00DD2874">
        <w:rPr>
          <w:rFonts w:hint="eastAsia"/>
          <w:sz w:val="24"/>
        </w:rPr>
        <w:t>、</w:t>
      </w:r>
      <w:r w:rsidR="00DD2874" w:rsidRPr="00DD2874">
        <w:rPr>
          <w:rFonts w:hint="eastAsia"/>
          <w:sz w:val="24"/>
        </w:rPr>
        <w:t>环戊酮</w:t>
      </w:r>
      <w:r w:rsidR="00DD2874">
        <w:rPr>
          <w:rFonts w:hint="eastAsia"/>
          <w:sz w:val="24"/>
        </w:rPr>
        <w:t>、</w:t>
      </w:r>
      <w:r w:rsidR="00DD2874" w:rsidRPr="00DD2874">
        <w:rPr>
          <w:rFonts w:hint="eastAsia"/>
          <w:sz w:val="24"/>
        </w:rPr>
        <w:t>环己亚胺</w:t>
      </w:r>
      <w:r w:rsidR="00DD2874">
        <w:rPr>
          <w:rFonts w:hint="eastAsia"/>
          <w:sz w:val="24"/>
        </w:rPr>
        <w:t>、</w:t>
      </w:r>
      <w:r w:rsidR="00DD2874">
        <w:rPr>
          <w:sz w:val="24"/>
        </w:rPr>
        <w:t>氨等。</w:t>
      </w:r>
    </w:p>
    <w:p w14:paraId="5CC46349" w14:textId="23892C12" w:rsidR="00387105" w:rsidRPr="00387105" w:rsidRDefault="00387105" w:rsidP="00BB28C5">
      <w:pPr>
        <w:spacing w:line="520" w:lineRule="exact"/>
        <w:ind w:firstLineChars="200" w:firstLine="480"/>
        <w:rPr>
          <w:rFonts w:ascii="Calibri" w:hAnsi="Calibri"/>
          <w:bCs/>
          <w:color w:val="auto"/>
          <w:sz w:val="24"/>
        </w:rPr>
      </w:pPr>
      <w:r>
        <w:rPr>
          <w:rFonts w:asciiTheme="minorHAnsi" w:hAnsiTheme="minorHAnsi" w:hint="eastAsia"/>
          <w:sz w:val="24"/>
        </w:rPr>
        <w:t>本项目</w:t>
      </w:r>
      <w:r w:rsidR="00A06A90">
        <w:rPr>
          <w:rFonts w:asciiTheme="minorHAnsi" w:hAnsiTheme="minorHAnsi" w:hint="eastAsia"/>
          <w:sz w:val="24"/>
        </w:rPr>
        <w:t>聚合及聚合釜下料</w:t>
      </w:r>
      <w:r>
        <w:rPr>
          <w:rFonts w:asciiTheme="minorHAnsi" w:hAnsiTheme="minorHAnsi"/>
          <w:sz w:val="24"/>
        </w:rPr>
        <w:t>废气</w:t>
      </w:r>
      <w:r>
        <w:rPr>
          <w:rFonts w:asciiTheme="minorHAnsi" w:hAnsiTheme="minorHAnsi" w:hint="eastAsia"/>
          <w:sz w:val="24"/>
        </w:rPr>
        <w:t>引至</w:t>
      </w:r>
      <w:r w:rsidR="0075760C" w:rsidRPr="0075760C">
        <w:rPr>
          <w:rFonts w:asciiTheme="minorHAnsi" w:hAnsiTheme="minorHAnsi" w:hint="eastAsia"/>
          <w:sz w:val="24"/>
        </w:rPr>
        <w:t>水喷淋</w:t>
      </w:r>
      <w:r w:rsidR="0075760C" w:rsidRPr="0075760C">
        <w:rPr>
          <w:rFonts w:asciiTheme="minorHAnsi" w:hAnsiTheme="minorHAnsi" w:hint="eastAsia"/>
          <w:sz w:val="24"/>
        </w:rPr>
        <w:t>+</w:t>
      </w:r>
      <w:r w:rsidR="0075760C" w:rsidRPr="0075760C">
        <w:rPr>
          <w:rFonts w:asciiTheme="minorHAnsi" w:hAnsiTheme="minorHAnsi" w:hint="eastAsia"/>
          <w:sz w:val="24"/>
        </w:rPr>
        <w:t>活性炭吸附装置</w:t>
      </w:r>
      <w:r>
        <w:rPr>
          <w:rFonts w:asciiTheme="minorHAnsi" w:hAnsiTheme="minorHAnsi" w:hint="eastAsia"/>
          <w:sz w:val="24"/>
        </w:rPr>
        <w:t>，</w:t>
      </w:r>
      <w:r w:rsidR="00A06A90" w:rsidRPr="00A06A90">
        <w:rPr>
          <w:rFonts w:asciiTheme="minorHAnsi" w:hAnsiTheme="minorHAnsi" w:hint="eastAsia"/>
          <w:sz w:val="24"/>
        </w:rPr>
        <w:t>聚合及聚合釜下料废气</w:t>
      </w:r>
      <w:r>
        <w:rPr>
          <w:rFonts w:asciiTheme="minorHAnsi" w:hAnsiTheme="minorHAnsi" w:hint="eastAsia"/>
          <w:sz w:val="24"/>
        </w:rPr>
        <w:t>处理后</w:t>
      </w:r>
      <w:r>
        <w:rPr>
          <w:rFonts w:asciiTheme="minorHAnsi" w:hAnsiTheme="minorHAnsi"/>
          <w:sz w:val="24"/>
        </w:rPr>
        <w:t>经</w:t>
      </w:r>
      <w:r>
        <w:rPr>
          <w:rFonts w:asciiTheme="minorHAnsi" w:hAnsiTheme="minorHAnsi" w:hint="eastAsia"/>
          <w:sz w:val="24"/>
        </w:rPr>
        <w:t>25</w:t>
      </w:r>
      <w:r>
        <w:rPr>
          <w:rFonts w:asciiTheme="minorHAnsi" w:hAnsiTheme="minorHAnsi"/>
          <w:sz w:val="24"/>
        </w:rPr>
        <w:t>m</w:t>
      </w:r>
      <w:r>
        <w:rPr>
          <w:rFonts w:asciiTheme="minorHAnsi" w:hAnsiTheme="minorHAnsi"/>
          <w:sz w:val="24"/>
        </w:rPr>
        <w:t>高</w:t>
      </w:r>
      <w:r>
        <w:rPr>
          <w:rFonts w:ascii="Calibri" w:hAnsi="Calibri" w:hint="eastAsia"/>
          <w:bCs/>
          <w:color w:val="auto"/>
          <w:sz w:val="24"/>
        </w:rPr>
        <w:t>排气筒排放；</w:t>
      </w:r>
      <w:r w:rsidR="00286833">
        <w:rPr>
          <w:rFonts w:ascii="Calibri" w:hAnsi="Calibri" w:hint="eastAsia"/>
          <w:bCs/>
          <w:color w:val="auto"/>
          <w:sz w:val="24"/>
        </w:rPr>
        <w:t>污水处理站废气主要来自自建污水处理站，主要污染物为</w:t>
      </w:r>
      <w:r w:rsidR="00286833">
        <w:rPr>
          <w:rFonts w:ascii="Calibri" w:hAnsi="Calibri" w:hint="eastAsia"/>
          <w:bCs/>
          <w:color w:val="auto"/>
          <w:sz w:val="24"/>
        </w:rPr>
        <w:t>NH</w:t>
      </w:r>
      <w:r w:rsidR="00286833" w:rsidRPr="00286833">
        <w:rPr>
          <w:rFonts w:ascii="Calibri" w:hAnsi="Calibri" w:hint="eastAsia"/>
          <w:bCs/>
          <w:color w:val="auto"/>
          <w:sz w:val="24"/>
          <w:vertAlign w:val="subscript"/>
        </w:rPr>
        <w:t>3</w:t>
      </w:r>
      <w:r w:rsidR="00286833">
        <w:rPr>
          <w:rFonts w:ascii="Calibri" w:hAnsi="Calibri" w:hint="eastAsia"/>
          <w:bCs/>
          <w:color w:val="auto"/>
          <w:sz w:val="24"/>
        </w:rPr>
        <w:t>、</w:t>
      </w:r>
      <w:r w:rsidR="00286833">
        <w:rPr>
          <w:rFonts w:ascii="Calibri" w:hAnsi="Calibri" w:hint="eastAsia"/>
          <w:bCs/>
          <w:color w:val="auto"/>
          <w:sz w:val="24"/>
        </w:rPr>
        <w:t>H</w:t>
      </w:r>
      <w:r w:rsidR="00286833" w:rsidRPr="00286833">
        <w:rPr>
          <w:rFonts w:ascii="Calibri" w:hAnsi="Calibri" w:hint="eastAsia"/>
          <w:bCs/>
          <w:color w:val="auto"/>
          <w:sz w:val="24"/>
          <w:vertAlign w:val="subscript"/>
        </w:rPr>
        <w:t>2</w:t>
      </w:r>
      <w:r w:rsidR="00286833">
        <w:rPr>
          <w:rFonts w:ascii="Calibri" w:hAnsi="Calibri" w:hint="eastAsia"/>
          <w:bCs/>
          <w:color w:val="auto"/>
          <w:sz w:val="24"/>
        </w:rPr>
        <w:t>S</w:t>
      </w:r>
      <w:r w:rsidR="00286833">
        <w:rPr>
          <w:rFonts w:ascii="Calibri" w:hAnsi="Calibri" w:hint="eastAsia"/>
          <w:bCs/>
          <w:color w:val="auto"/>
          <w:sz w:val="24"/>
        </w:rPr>
        <w:t>和</w:t>
      </w:r>
      <w:r w:rsidR="00BB28C5">
        <w:rPr>
          <w:rFonts w:ascii="Calibri" w:hAnsi="Calibri" w:hint="eastAsia"/>
          <w:bCs/>
          <w:color w:val="auto"/>
          <w:sz w:val="24"/>
        </w:rPr>
        <w:t>非甲烷</w:t>
      </w:r>
      <w:r w:rsidR="00BB28C5">
        <w:rPr>
          <w:rFonts w:ascii="Calibri" w:hAnsi="Calibri"/>
          <w:bCs/>
          <w:color w:val="auto"/>
          <w:sz w:val="24"/>
        </w:rPr>
        <w:t>总烃</w:t>
      </w:r>
      <w:r w:rsidR="00C60F45">
        <w:rPr>
          <w:rFonts w:ascii="Calibri" w:hAnsi="Calibri" w:hint="eastAsia"/>
          <w:bCs/>
          <w:color w:val="auto"/>
          <w:sz w:val="24"/>
        </w:rPr>
        <w:t>，废气</w:t>
      </w:r>
      <w:r w:rsidR="00C60F45" w:rsidRPr="00C60F45">
        <w:rPr>
          <w:rFonts w:ascii="Calibri" w:hAnsi="Calibri" w:hint="eastAsia"/>
          <w:bCs/>
          <w:color w:val="auto"/>
          <w:sz w:val="24"/>
        </w:rPr>
        <w:t>采用光氧催化</w:t>
      </w:r>
      <w:r w:rsidR="00C60F45" w:rsidRPr="00C60F45">
        <w:rPr>
          <w:rFonts w:ascii="Calibri" w:hAnsi="Calibri" w:hint="eastAsia"/>
          <w:bCs/>
          <w:color w:val="auto"/>
          <w:sz w:val="24"/>
        </w:rPr>
        <w:t>+</w:t>
      </w:r>
      <w:r w:rsidR="00C60F45" w:rsidRPr="00C60F45">
        <w:rPr>
          <w:rFonts w:ascii="Calibri" w:hAnsi="Calibri" w:hint="eastAsia"/>
          <w:bCs/>
          <w:color w:val="auto"/>
          <w:sz w:val="24"/>
        </w:rPr>
        <w:t>活性吸附装置进行处理</w:t>
      </w:r>
      <w:r w:rsidR="00C60F45">
        <w:rPr>
          <w:rFonts w:ascii="Calibri" w:hAnsi="Calibri" w:hint="eastAsia"/>
          <w:bCs/>
          <w:color w:val="auto"/>
          <w:sz w:val="24"/>
        </w:rPr>
        <w:t>后经</w:t>
      </w:r>
      <w:r w:rsidR="00C60F45">
        <w:rPr>
          <w:rFonts w:ascii="Calibri" w:hAnsi="Calibri" w:hint="eastAsia"/>
          <w:bCs/>
          <w:color w:val="auto"/>
          <w:sz w:val="24"/>
        </w:rPr>
        <w:t>15m</w:t>
      </w:r>
      <w:r w:rsidR="00C60F45">
        <w:rPr>
          <w:rFonts w:ascii="Calibri" w:hAnsi="Calibri" w:hint="eastAsia"/>
          <w:bCs/>
          <w:color w:val="auto"/>
          <w:sz w:val="24"/>
        </w:rPr>
        <w:t>高排气筒排放</w:t>
      </w:r>
      <w:r>
        <w:rPr>
          <w:rFonts w:ascii="Calibri" w:hAnsi="Calibri" w:hint="eastAsia"/>
          <w:bCs/>
          <w:color w:val="auto"/>
          <w:sz w:val="24"/>
        </w:rPr>
        <w:t>；</w:t>
      </w:r>
      <w:r w:rsidRPr="00A964FF">
        <w:rPr>
          <w:rFonts w:ascii="Calibri" w:hAnsi="Calibri" w:hint="eastAsia"/>
          <w:bCs/>
          <w:color w:val="auto"/>
          <w:sz w:val="24"/>
        </w:rPr>
        <w:t>导热油炉以天然气为燃料，采用低氮燃烧技术；</w:t>
      </w:r>
      <w:r w:rsidR="00BB28C5" w:rsidRPr="00BB28C5">
        <w:rPr>
          <w:rFonts w:ascii="Calibri" w:hAnsi="Calibri" w:hint="eastAsia"/>
          <w:bCs/>
          <w:color w:val="auto"/>
          <w:sz w:val="24"/>
        </w:rPr>
        <w:t>品控中心</w:t>
      </w:r>
      <w:r>
        <w:rPr>
          <w:rFonts w:ascii="Calibri" w:hAnsi="Calibri" w:hint="eastAsia"/>
          <w:bCs/>
          <w:color w:val="auto"/>
          <w:sz w:val="24"/>
        </w:rPr>
        <w:t>废气主要污染物为</w:t>
      </w:r>
      <w:r w:rsidR="00BB28C5">
        <w:rPr>
          <w:rFonts w:ascii="Calibri" w:hAnsi="Calibri" w:hint="eastAsia"/>
          <w:bCs/>
          <w:color w:val="auto"/>
          <w:sz w:val="24"/>
        </w:rPr>
        <w:t>有机废气</w:t>
      </w:r>
      <w:r w:rsidR="00BB28C5">
        <w:rPr>
          <w:rFonts w:ascii="Calibri" w:hAnsi="Calibri"/>
          <w:bCs/>
          <w:color w:val="auto"/>
          <w:sz w:val="24"/>
        </w:rPr>
        <w:t>（</w:t>
      </w:r>
      <w:r w:rsidR="0075760C">
        <w:rPr>
          <w:rFonts w:ascii="Calibri" w:hAnsi="Calibri" w:hint="eastAsia"/>
          <w:bCs/>
          <w:color w:val="auto"/>
          <w:sz w:val="24"/>
        </w:rPr>
        <w:t>乙</w:t>
      </w:r>
      <w:r w:rsidR="00BB28C5">
        <w:rPr>
          <w:rFonts w:ascii="Calibri" w:hAnsi="Calibri" w:hint="eastAsia"/>
          <w:bCs/>
          <w:color w:val="auto"/>
          <w:sz w:val="24"/>
        </w:rPr>
        <w:t>醇</w:t>
      </w:r>
      <w:r w:rsidR="00BB28C5">
        <w:rPr>
          <w:rFonts w:ascii="Calibri" w:hAnsi="Calibri"/>
          <w:bCs/>
          <w:color w:val="auto"/>
          <w:sz w:val="24"/>
        </w:rPr>
        <w:t>、甲酸）</w:t>
      </w:r>
      <w:r>
        <w:rPr>
          <w:rFonts w:ascii="Calibri" w:hAnsi="Calibri" w:hint="eastAsia"/>
          <w:bCs/>
          <w:color w:val="auto"/>
          <w:sz w:val="24"/>
        </w:rPr>
        <w:t>及</w:t>
      </w:r>
      <w:r>
        <w:rPr>
          <w:rFonts w:ascii="Calibri" w:hAnsi="Calibri"/>
          <w:bCs/>
          <w:color w:val="auto"/>
          <w:sz w:val="24"/>
        </w:rPr>
        <w:t>酸性气体</w:t>
      </w:r>
      <w:r>
        <w:rPr>
          <w:rFonts w:ascii="Calibri" w:hAnsi="Calibri" w:hint="eastAsia"/>
          <w:bCs/>
          <w:color w:val="auto"/>
          <w:sz w:val="24"/>
        </w:rPr>
        <w:t>，废气量较少，</w:t>
      </w:r>
      <w:r w:rsidR="0075760C" w:rsidRPr="00BB28C5">
        <w:rPr>
          <w:rFonts w:ascii="Calibri" w:hAnsi="Calibri" w:hint="eastAsia"/>
          <w:bCs/>
          <w:color w:val="auto"/>
          <w:sz w:val="24"/>
        </w:rPr>
        <w:t>品控中心</w:t>
      </w:r>
      <w:r w:rsidRPr="00472A50">
        <w:rPr>
          <w:rFonts w:ascii="Calibri" w:hAnsi="Calibri" w:hint="eastAsia"/>
          <w:color w:val="auto"/>
          <w:sz w:val="24"/>
        </w:rPr>
        <w:t>设置通风系统，通风换气引至楼顶</w:t>
      </w:r>
      <w:r>
        <w:rPr>
          <w:rFonts w:ascii="Calibri" w:hAnsi="Calibri" w:hint="eastAsia"/>
          <w:color w:val="auto"/>
          <w:sz w:val="24"/>
        </w:rPr>
        <w:t>的活性炭吸附装置处理后排放</w:t>
      </w:r>
      <w:r w:rsidRPr="00472A50">
        <w:rPr>
          <w:rFonts w:ascii="Calibri" w:hAnsi="Calibri" w:hint="eastAsia"/>
          <w:color w:val="auto"/>
          <w:sz w:val="24"/>
        </w:rPr>
        <w:t>。</w:t>
      </w:r>
      <w:r w:rsidRPr="00A964FF">
        <w:rPr>
          <w:rFonts w:ascii="Calibri" w:hAnsi="Calibri" w:hint="eastAsia"/>
          <w:bCs/>
          <w:color w:val="auto"/>
          <w:sz w:val="24"/>
        </w:rPr>
        <w:t>对于无组织废气通过选用密闭设备、密闭容器储存物料，加强生产期间</w:t>
      </w:r>
      <w:r w:rsidRPr="00A964FF">
        <w:rPr>
          <w:rFonts w:ascii="Calibri" w:hAnsi="Calibri" w:hint="eastAsia"/>
          <w:bCs/>
          <w:color w:val="auto"/>
          <w:sz w:val="24"/>
        </w:rPr>
        <w:t>VOCs</w:t>
      </w:r>
      <w:r w:rsidRPr="00A964FF">
        <w:rPr>
          <w:rFonts w:ascii="Calibri" w:hAnsi="Calibri" w:hint="eastAsia"/>
          <w:bCs/>
          <w:color w:val="auto"/>
          <w:sz w:val="24"/>
        </w:rPr>
        <w:t>排放源的定期</w:t>
      </w:r>
      <w:r w:rsidRPr="00A964FF">
        <w:rPr>
          <w:rFonts w:ascii="Calibri" w:hAnsi="Calibri"/>
          <w:color w:val="auto"/>
          <w:sz w:val="24"/>
        </w:rPr>
        <w:t>泄漏检测与修复（</w:t>
      </w:r>
      <w:r w:rsidRPr="00A964FF">
        <w:rPr>
          <w:rFonts w:ascii="Calibri" w:hAnsi="Calibri"/>
          <w:color w:val="auto"/>
          <w:sz w:val="24"/>
        </w:rPr>
        <w:t>LDAR</w:t>
      </w:r>
      <w:r w:rsidRPr="00A964FF">
        <w:rPr>
          <w:rFonts w:ascii="Calibri" w:hAnsi="Calibri"/>
          <w:color w:val="auto"/>
          <w:sz w:val="24"/>
        </w:rPr>
        <w:t>）</w:t>
      </w:r>
      <w:r w:rsidRPr="00A964FF">
        <w:rPr>
          <w:rFonts w:ascii="Calibri" w:hAnsi="Calibri" w:hint="eastAsia"/>
          <w:bCs/>
          <w:color w:val="auto"/>
          <w:sz w:val="24"/>
        </w:rPr>
        <w:t>等措施，降低污染物无组织排放量。食堂油烟通过安装油烟净化装置，保证油烟废气达标排放。</w:t>
      </w:r>
    </w:p>
    <w:p w14:paraId="7521D0DE" w14:textId="77777777" w:rsidR="00FD5722" w:rsidRPr="00A964FF" w:rsidRDefault="00433A6C" w:rsidP="00387105">
      <w:pPr>
        <w:pStyle w:val="00"/>
        <w:ind w:firstLine="0"/>
        <w:rPr>
          <w:rFonts w:ascii="Calibri" w:hAnsi="Calibri"/>
          <w:b/>
          <w:color w:val="auto"/>
        </w:rPr>
      </w:pPr>
      <w:r w:rsidRPr="00A964FF">
        <w:rPr>
          <w:rFonts w:ascii="Calibri" w:hAnsi="Calibri" w:hint="eastAsia"/>
          <w:b/>
          <w:color w:val="auto"/>
        </w:rPr>
        <w:t>一</w:t>
      </w:r>
      <w:r w:rsidR="00FD5722" w:rsidRPr="00A964FF">
        <w:rPr>
          <w:rFonts w:ascii="Calibri" w:hAnsi="Calibri"/>
          <w:b/>
          <w:color w:val="auto"/>
        </w:rPr>
        <w:t>、</w:t>
      </w:r>
      <w:r w:rsidR="007E45FB" w:rsidRPr="00A964FF">
        <w:rPr>
          <w:rFonts w:ascii="Calibri" w:hAnsi="Calibri" w:hint="eastAsia"/>
          <w:b/>
          <w:color w:val="auto"/>
        </w:rPr>
        <w:t>废气</w:t>
      </w:r>
      <w:r w:rsidR="00FD5722" w:rsidRPr="00A964FF">
        <w:rPr>
          <w:rFonts w:ascii="Calibri" w:hAnsi="Calibri"/>
          <w:b/>
          <w:color w:val="auto"/>
        </w:rPr>
        <w:t>治理措施</w:t>
      </w:r>
      <w:r w:rsidR="007E45FB" w:rsidRPr="00A964FF">
        <w:rPr>
          <w:rFonts w:ascii="Calibri" w:hAnsi="Calibri" w:hint="eastAsia"/>
          <w:b/>
          <w:color w:val="auto"/>
        </w:rPr>
        <w:t>汇总</w:t>
      </w:r>
    </w:p>
    <w:p w14:paraId="2D56C8CA" w14:textId="77777777" w:rsidR="00FD5722" w:rsidRPr="00A964FF" w:rsidRDefault="00FD5722" w:rsidP="00FD5722">
      <w:pPr>
        <w:pStyle w:val="00"/>
        <w:rPr>
          <w:rFonts w:ascii="Calibri" w:hAnsi="Calibri"/>
          <w:color w:val="auto"/>
        </w:rPr>
      </w:pPr>
      <w:r w:rsidRPr="00A964FF">
        <w:rPr>
          <w:rFonts w:ascii="Calibri" w:hAnsi="Calibri" w:hint="eastAsia"/>
          <w:color w:val="auto"/>
        </w:rPr>
        <w:t>本项目各环节废气处理措施见表</w:t>
      </w:r>
      <w:r w:rsidRPr="00A964FF">
        <w:rPr>
          <w:rFonts w:ascii="Calibri" w:hAnsi="Calibri" w:hint="eastAsia"/>
          <w:color w:val="auto"/>
        </w:rPr>
        <w:t>5</w:t>
      </w:r>
      <w:r w:rsidR="00ED3143" w:rsidRPr="00A964FF">
        <w:rPr>
          <w:rFonts w:ascii="Calibri" w:hAnsi="Calibri" w:hint="eastAsia"/>
          <w:color w:val="auto"/>
        </w:rPr>
        <w:t>.2</w:t>
      </w:r>
      <w:r w:rsidRPr="00A964FF">
        <w:rPr>
          <w:rFonts w:ascii="Calibri" w:hAnsi="Calibri" w:hint="eastAsia"/>
          <w:color w:val="auto"/>
        </w:rPr>
        <w:t>-</w:t>
      </w:r>
      <w:r w:rsidR="00ED3143" w:rsidRPr="00A964FF">
        <w:rPr>
          <w:rFonts w:ascii="Calibri" w:hAnsi="Calibri" w:hint="eastAsia"/>
          <w:color w:val="auto"/>
        </w:rPr>
        <w:t>1</w:t>
      </w:r>
      <w:r w:rsidRPr="00A964FF">
        <w:rPr>
          <w:rFonts w:ascii="Calibri" w:hAnsi="Calibri" w:hint="eastAsia"/>
          <w:color w:val="auto"/>
        </w:rPr>
        <w:t>。</w:t>
      </w:r>
    </w:p>
    <w:p w14:paraId="542AB4B4" w14:textId="77777777" w:rsidR="0075760C" w:rsidRDefault="0075760C" w:rsidP="00FD5722">
      <w:pPr>
        <w:pStyle w:val="00"/>
        <w:ind w:firstLineChars="200"/>
        <w:rPr>
          <w:rFonts w:ascii="Calibri" w:eastAsia="黑体" w:hAnsi="黑体"/>
          <w:color w:val="auto"/>
        </w:rPr>
      </w:pPr>
    </w:p>
    <w:p w14:paraId="55B65D06" w14:textId="77777777" w:rsidR="0075760C" w:rsidRDefault="0075760C" w:rsidP="00FD5722">
      <w:pPr>
        <w:pStyle w:val="00"/>
        <w:ind w:firstLineChars="200"/>
        <w:rPr>
          <w:rFonts w:ascii="Calibri" w:eastAsia="黑体" w:hAnsi="黑体"/>
          <w:color w:val="auto"/>
        </w:rPr>
      </w:pPr>
    </w:p>
    <w:p w14:paraId="32D26E1E" w14:textId="77777777" w:rsidR="0075760C" w:rsidRDefault="0075760C" w:rsidP="00FD5722">
      <w:pPr>
        <w:pStyle w:val="00"/>
        <w:ind w:firstLineChars="200"/>
        <w:rPr>
          <w:rFonts w:ascii="Calibri" w:eastAsia="黑体" w:hAnsi="黑体"/>
          <w:color w:val="auto"/>
        </w:rPr>
      </w:pPr>
    </w:p>
    <w:p w14:paraId="1D6C8A1A" w14:textId="77777777" w:rsidR="0075760C" w:rsidRDefault="0075760C" w:rsidP="00FD5722">
      <w:pPr>
        <w:pStyle w:val="00"/>
        <w:ind w:firstLineChars="200"/>
        <w:rPr>
          <w:rFonts w:ascii="Calibri" w:eastAsia="黑体" w:hAnsi="黑体"/>
          <w:color w:val="auto"/>
        </w:rPr>
      </w:pPr>
    </w:p>
    <w:p w14:paraId="2BD08053" w14:textId="77777777" w:rsidR="0075760C" w:rsidRDefault="0075760C" w:rsidP="00FD5722">
      <w:pPr>
        <w:pStyle w:val="00"/>
        <w:ind w:firstLineChars="200"/>
        <w:rPr>
          <w:rFonts w:ascii="Calibri" w:eastAsia="黑体" w:hAnsi="黑体"/>
          <w:color w:val="auto"/>
        </w:rPr>
      </w:pPr>
    </w:p>
    <w:p w14:paraId="7561B5D6" w14:textId="33E3235D" w:rsidR="00FD5722" w:rsidRPr="00A964FF" w:rsidRDefault="00FD5722" w:rsidP="00FD5722">
      <w:pPr>
        <w:pStyle w:val="00"/>
        <w:ind w:firstLineChars="200"/>
        <w:rPr>
          <w:rFonts w:ascii="Calibri" w:eastAsia="黑体" w:hAnsi="Calibri"/>
          <w:color w:val="auto"/>
        </w:rPr>
      </w:pPr>
      <w:r w:rsidRPr="00A964FF">
        <w:rPr>
          <w:rFonts w:ascii="Calibri" w:eastAsia="黑体" w:hAnsi="黑体"/>
          <w:color w:val="auto"/>
        </w:rPr>
        <w:lastRenderedPageBreak/>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color w:val="auto"/>
        </w:rPr>
        <w:t>-</w:t>
      </w:r>
      <w:r w:rsidR="00ED3143" w:rsidRPr="00A964FF">
        <w:rPr>
          <w:rFonts w:ascii="Calibri" w:eastAsia="黑体" w:hAnsi="Calibri" w:hint="eastAsia"/>
          <w:color w:val="auto"/>
        </w:rPr>
        <w:t>1</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hint="eastAsia"/>
          <w:color w:val="auto"/>
        </w:rPr>
        <w:t>本项目各环节废气治理措施汇总</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72"/>
        <w:gridCol w:w="1969"/>
        <w:gridCol w:w="2534"/>
        <w:gridCol w:w="2256"/>
        <w:gridCol w:w="1269"/>
      </w:tblGrid>
      <w:tr w:rsidR="00FD5722" w:rsidRPr="002A3A75" w14:paraId="05763EE4" w14:textId="77777777" w:rsidTr="00387105">
        <w:trPr>
          <w:trHeight w:val="340"/>
        </w:trPr>
        <w:tc>
          <w:tcPr>
            <w:tcW w:w="672" w:type="dxa"/>
            <w:vAlign w:val="center"/>
          </w:tcPr>
          <w:p w14:paraId="4089C562" w14:textId="77777777" w:rsidR="00FD5722" w:rsidRPr="002A3A75" w:rsidRDefault="00FD5722" w:rsidP="0008565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序号</w:t>
            </w:r>
          </w:p>
        </w:tc>
        <w:tc>
          <w:tcPr>
            <w:tcW w:w="1969" w:type="dxa"/>
            <w:vAlign w:val="center"/>
          </w:tcPr>
          <w:p w14:paraId="00661726" w14:textId="77777777" w:rsidR="00FD5722" w:rsidRPr="002A3A75" w:rsidRDefault="00FD5722" w:rsidP="0008565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产生工序</w:t>
            </w:r>
            <w:r w:rsidRPr="002A3A75">
              <w:rPr>
                <w:rFonts w:ascii="Calibri" w:hAnsi="Calibri" w:hint="eastAsia"/>
                <w:b/>
                <w:color w:val="auto"/>
                <w:sz w:val="21"/>
                <w:szCs w:val="21"/>
                <w:u w:val="single"/>
              </w:rPr>
              <w:t>/</w:t>
            </w:r>
            <w:r w:rsidRPr="002A3A75">
              <w:rPr>
                <w:rFonts w:ascii="Calibri" w:hAnsi="Calibri" w:hint="eastAsia"/>
                <w:b/>
                <w:color w:val="auto"/>
                <w:sz w:val="21"/>
                <w:szCs w:val="21"/>
                <w:u w:val="single"/>
              </w:rPr>
              <w:t>环节</w:t>
            </w:r>
          </w:p>
        </w:tc>
        <w:tc>
          <w:tcPr>
            <w:tcW w:w="2534" w:type="dxa"/>
            <w:vAlign w:val="center"/>
          </w:tcPr>
          <w:p w14:paraId="6792B869" w14:textId="77777777" w:rsidR="00FD5722" w:rsidRPr="002A3A75" w:rsidRDefault="00FD5722" w:rsidP="0008565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污染物</w:t>
            </w:r>
          </w:p>
        </w:tc>
        <w:tc>
          <w:tcPr>
            <w:tcW w:w="2256" w:type="dxa"/>
            <w:tcMar>
              <w:left w:w="28" w:type="dxa"/>
              <w:right w:w="28" w:type="dxa"/>
            </w:tcMar>
            <w:vAlign w:val="center"/>
          </w:tcPr>
          <w:p w14:paraId="02B9896A" w14:textId="77777777" w:rsidR="00FD5722" w:rsidRPr="002A3A75" w:rsidRDefault="00FD5722" w:rsidP="0008565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治理措施</w:t>
            </w:r>
          </w:p>
        </w:tc>
        <w:tc>
          <w:tcPr>
            <w:tcW w:w="1269" w:type="dxa"/>
            <w:tcMar>
              <w:left w:w="28" w:type="dxa"/>
              <w:right w:w="28" w:type="dxa"/>
            </w:tcMar>
            <w:vAlign w:val="center"/>
          </w:tcPr>
          <w:p w14:paraId="22D94D46" w14:textId="77777777" w:rsidR="00FD5722" w:rsidRPr="002A3A75" w:rsidRDefault="00FD5722" w:rsidP="0008565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排放方式</w:t>
            </w:r>
          </w:p>
        </w:tc>
      </w:tr>
      <w:tr w:rsidR="00FD5722" w:rsidRPr="002A3A75" w14:paraId="4D46076D" w14:textId="77777777" w:rsidTr="00387105">
        <w:trPr>
          <w:trHeight w:val="340"/>
        </w:trPr>
        <w:tc>
          <w:tcPr>
            <w:tcW w:w="672" w:type="dxa"/>
            <w:vAlign w:val="center"/>
          </w:tcPr>
          <w:p w14:paraId="24576DBF" w14:textId="77777777" w:rsidR="00FD5722" w:rsidRPr="002A3A75" w:rsidRDefault="00FD5722" w:rsidP="0008565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1</w:t>
            </w:r>
          </w:p>
        </w:tc>
        <w:tc>
          <w:tcPr>
            <w:tcW w:w="1969" w:type="dxa"/>
            <w:vAlign w:val="center"/>
          </w:tcPr>
          <w:p w14:paraId="491A05B6" w14:textId="77777777" w:rsidR="00FD5722" w:rsidRPr="002A3A75" w:rsidRDefault="00A06A90"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聚合及聚合釜下料</w:t>
            </w:r>
          </w:p>
        </w:tc>
        <w:tc>
          <w:tcPr>
            <w:tcW w:w="2534" w:type="dxa"/>
            <w:vAlign w:val="center"/>
          </w:tcPr>
          <w:p w14:paraId="065A0258" w14:textId="194090D2" w:rsidR="00FD5722" w:rsidRPr="002A3A75" w:rsidRDefault="0075760C" w:rsidP="00E1389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己二胺、己二酸、环戊酮、环己亚胺、癸二酸、癸二胺、十二内酰胺</w:t>
            </w:r>
            <w:r w:rsidR="00387105" w:rsidRPr="002A3A75">
              <w:rPr>
                <w:rFonts w:ascii="Calibri" w:hAnsi="Calibri" w:hint="eastAsia"/>
                <w:b/>
                <w:color w:val="auto"/>
                <w:sz w:val="21"/>
                <w:szCs w:val="21"/>
                <w:u w:val="single"/>
              </w:rPr>
              <w:t>、氨气</w:t>
            </w:r>
          </w:p>
        </w:tc>
        <w:tc>
          <w:tcPr>
            <w:tcW w:w="2256" w:type="dxa"/>
            <w:vAlign w:val="center"/>
          </w:tcPr>
          <w:p w14:paraId="46189AAC" w14:textId="1035D949" w:rsidR="00FD5722" w:rsidRPr="002A3A75" w:rsidRDefault="00387105" w:rsidP="008C153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水喷淋</w:t>
            </w:r>
            <w:r w:rsidRPr="002A3A75">
              <w:rPr>
                <w:rFonts w:ascii="Calibri" w:hAnsi="Calibri" w:hint="eastAsia"/>
                <w:b/>
                <w:color w:val="auto"/>
                <w:sz w:val="21"/>
                <w:szCs w:val="21"/>
                <w:u w:val="single"/>
              </w:rPr>
              <w:t>+</w:t>
            </w:r>
            <w:r w:rsidRPr="002A3A75">
              <w:rPr>
                <w:rFonts w:ascii="Calibri" w:hAnsi="Calibri" w:hint="eastAsia"/>
                <w:b/>
                <w:color w:val="auto"/>
                <w:sz w:val="21"/>
                <w:szCs w:val="21"/>
                <w:u w:val="single"/>
              </w:rPr>
              <w:t>活性炭</w:t>
            </w:r>
            <w:r w:rsidRPr="002A3A75">
              <w:rPr>
                <w:rFonts w:ascii="Calibri" w:hAnsi="Calibri"/>
                <w:b/>
                <w:color w:val="auto"/>
                <w:sz w:val="21"/>
                <w:szCs w:val="21"/>
                <w:u w:val="single"/>
              </w:rPr>
              <w:t>吸附装置</w:t>
            </w:r>
          </w:p>
        </w:tc>
        <w:tc>
          <w:tcPr>
            <w:tcW w:w="1269" w:type="dxa"/>
            <w:vAlign w:val="center"/>
          </w:tcPr>
          <w:p w14:paraId="38F294DF" w14:textId="77777777" w:rsidR="00FD5722" w:rsidRPr="002A3A75" w:rsidRDefault="00C60F45" w:rsidP="0008565D">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25</w:t>
            </w:r>
            <w:r w:rsidR="00FD5722" w:rsidRPr="002A3A75">
              <w:rPr>
                <w:rFonts w:ascii="Calibri" w:hAnsi="Calibri" w:hint="eastAsia"/>
                <w:b/>
                <w:color w:val="auto"/>
                <w:sz w:val="21"/>
                <w:szCs w:val="21"/>
                <w:u w:val="single"/>
              </w:rPr>
              <w:t>m</w:t>
            </w:r>
            <w:r w:rsidR="00FD5722" w:rsidRPr="002A3A75">
              <w:rPr>
                <w:rFonts w:ascii="Calibri" w:hAnsi="Calibri" w:hint="eastAsia"/>
                <w:b/>
                <w:color w:val="auto"/>
                <w:sz w:val="21"/>
                <w:szCs w:val="21"/>
                <w:u w:val="single"/>
              </w:rPr>
              <w:t>排气筒</w:t>
            </w:r>
          </w:p>
        </w:tc>
      </w:tr>
      <w:tr w:rsidR="00632DCB" w:rsidRPr="002A3A75" w14:paraId="4D92C299" w14:textId="77777777" w:rsidTr="00387105">
        <w:trPr>
          <w:trHeight w:val="340"/>
        </w:trPr>
        <w:tc>
          <w:tcPr>
            <w:tcW w:w="672" w:type="dxa"/>
            <w:vAlign w:val="center"/>
          </w:tcPr>
          <w:p w14:paraId="1297C754" w14:textId="77777777" w:rsidR="00632DCB" w:rsidRPr="002A3A75" w:rsidRDefault="00383797" w:rsidP="00AF4C07">
            <w:pPr>
              <w:pStyle w:val="00"/>
              <w:spacing w:line="240" w:lineRule="auto"/>
              <w:ind w:firstLine="0"/>
              <w:jc w:val="center"/>
              <w:rPr>
                <w:rFonts w:ascii="Calibri" w:hAnsi="Calibri"/>
                <w:b/>
                <w:color w:val="auto"/>
                <w:sz w:val="21"/>
                <w:szCs w:val="21"/>
                <w:u w:val="single"/>
              </w:rPr>
            </w:pPr>
            <w:r w:rsidRPr="002A3A75">
              <w:rPr>
                <w:rFonts w:ascii="Calibri" w:hAnsi="Calibri"/>
                <w:b/>
                <w:color w:val="auto"/>
                <w:sz w:val="21"/>
                <w:szCs w:val="21"/>
                <w:u w:val="single"/>
              </w:rPr>
              <w:t>2</w:t>
            </w:r>
          </w:p>
        </w:tc>
        <w:tc>
          <w:tcPr>
            <w:tcW w:w="1969" w:type="dxa"/>
            <w:vAlign w:val="center"/>
          </w:tcPr>
          <w:p w14:paraId="63C6961D" w14:textId="77777777" w:rsidR="00632DCB" w:rsidRPr="002A3A75" w:rsidRDefault="00632DCB"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废水处理站</w:t>
            </w:r>
          </w:p>
        </w:tc>
        <w:tc>
          <w:tcPr>
            <w:tcW w:w="2534" w:type="dxa"/>
            <w:tcBorders>
              <w:top w:val="single" w:sz="4" w:space="0" w:color="auto"/>
            </w:tcBorders>
            <w:vAlign w:val="center"/>
          </w:tcPr>
          <w:p w14:paraId="5479C401" w14:textId="77777777" w:rsidR="00632DCB" w:rsidRPr="002A3A75" w:rsidRDefault="00632DCB" w:rsidP="0038379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NH</w:t>
            </w:r>
            <w:r w:rsidRPr="002A3A75">
              <w:rPr>
                <w:rFonts w:ascii="Calibri" w:hAnsi="Calibri" w:hint="eastAsia"/>
                <w:b/>
                <w:color w:val="auto"/>
                <w:sz w:val="21"/>
                <w:szCs w:val="21"/>
                <w:u w:val="single"/>
                <w:vertAlign w:val="subscript"/>
              </w:rPr>
              <w:t>3</w:t>
            </w:r>
            <w:r w:rsidRPr="002A3A75">
              <w:rPr>
                <w:rFonts w:ascii="Calibri" w:hAnsi="Calibri" w:hint="eastAsia"/>
                <w:b/>
                <w:color w:val="auto"/>
                <w:sz w:val="21"/>
                <w:szCs w:val="21"/>
                <w:u w:val="single"/>
              </w:rPr>
              <w:t>、</w:t>
            </w:r>
            <w:r w:rsidRPr="002A3A75">
              <w:rPr>
                <w:rFonts w:ascii="Calibri" w:hAnsi="Calibri" w:hint="eastAsia"/>
                <w:b/>
                <w:color w:val="auto"/>
                <w:sz w:val="21"/>
                <w:szCs w:val="21"/>
                <w:u w:val="single"/>
              </w:rPr>
              <w:t>H</w:t>
            </w:r>
            <w:r w:rsidRPr="002A3A75">
              <w:rPr>
                <w:rFonts w:ascii="Calibri" w:hAnsi="Calibri" w:hint="eastAsia"/>
                <w:b/>
                <w:color w:val="auto"/>
                <w:sz w:val="21"/>
                <w:szCs w:val="21"/>
                <w:u w:val="single"/>
                <w:vertAlign w:val="subscript"/>
              </w:rPr>
              <w:t>2</w:t>
            </w:r>
            <w:r w:rsidRPr="002A3A75">
              <w:rPr>
                <w:rFonts w:ascii="Calibri" w:hAnsi="Calibri" w:hint="eastAsia"/>
                <w:b/>
                <w:color w:val="auto"/>
                <w:sz w:val="21"/>
                <w:szCs w:val="21"/>
                <w:u w:val="single"/>
              </w:rPr>
              <w:t>S</w:t>
            </w:r>
            <w:r w:rsidRPr="002A3A75">
              <w:rPr>
                <w:rFonts w:ascii="Calibri" w:hAnsi="Calibri" w:hint="eastAsia"/>
                <w:b/>
                <w:color w:val="auto"/>
                <w:sz w:val="21"/>
                <w:szCs w:val="21"/>
                <w:u w:val="single"/>
              </w:rPr>
              <w:t>、</w:t>
            </w:r>
            <w:r w:rsidR="00383797" w:rsidRPr="002A3A75">
              <w:rPr>
                <w:rFonts w:ascii="Calibri" w:hAnsi="Calibri" w:hint="eastAsia"/>
                <w:b/>
                <w:color w:val="auto"/>
                <w:sz w:val="21"/>
                <w:szCs w:val="21"/>
                <w:u w:val="single"/>
              </w:rPr>
              <w:t>非甲烷</w:t>
            </w:r>
            <w:r w:rsidR="00383797" w:rsidRPr="002A3A75">
              <w:rPr>
                <w:rFonts w:ascii="Calibri" w:hAnsi="Calibri"/>
                <w:b/>
                <w:color w:val="auto"/>
                <w:sz w:val="21"/>
                <w:szCs w:val="21"/>
                <w:u w:val="single"/>
              </w:rPr>
              <w:t>总烃</w:t>
            </w:r>
          </w:p>
        </w:tc>
        <w:tc>
          <w:tcPr>
            <w:tcW w:w="2256" w:type="dxa"/>
            <w:tcBorders>
              <w:top w:val="single" w:sz="4" w:space="0" w:color="auto"/>
            </w:tcBorders>
            <w:vAlign w:val="center"/>
          </w:tcPr>
          <w:p w14:paraId="5E6142A9" w14:textId="77777777" w:rsidR="00632DCB" w:rsidRPr="002A3A75" w:rsidRDefault="00632DCB" w:rsidP="00AF4C0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光氧催化</w:t>
            </w:r>
            <w:r w:rsidRPr="002A3A75">
              <w:rPr>
                <w:rFonts w:ascii="Calibri" w:hAnsi="Calibri" w:hint="eastAsia"/>
                <w:b/>
                <w:color w:val="auto"/>
                <w:sz w:val="21"/>
                <w:szCs w:val="21"/>
                <w:u w:val="single"/>
              </w:rPr>
              <w:t>+</w:t>
            </w:r>
            <w:r w:rsidRPr="002A3A75">
              <w:rPr>
                <w:rFonts w:ascii="Calibri" w:hAnsi="Calibri" w:hint="eastAsia"/>
                <w:b/>
                <w:color w:val="auto"/>
                <w:sz w:val="21"/>
                <w:szCs w:val="21"/>
                <w:u w:val="single"/>
              </w:rPr>
              <w:t>活性炭吸附装置</w:t>
            </w:r>
          </w:p>
        </w:tc>
        <w:tc>
          <w:tcPr>
            <w:tcW w:w="1269" w:type="dxa"/>
            <w:tcBorders>
              <w:top w:val="single" w:sz="4" w:space="0" w:color="auto"/>
            </w:tcBorders>
            <w:vAlign w:val="center"/>
          </w:tcPr>
          <w:p w14:paraId="5447479A" w14:textId="77777777" w:rsidR="00632DCB" w:rsidRPr="002A3A75" w:rsidRDefault="00632DCB" w:rsidP="00AF4C0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15m</w:t>
            </w:r>
            <w:r w:rsidRPr="002A3A75">
              <w:rPr>
                <w:rFonts w:ascii="Calibri" w:hAnsi="Calibri" w:hint="eastAsia"/>
                <w:b/>
                <w:color w:val="auto"/>
                <w:sz w:val="21"/>
                <w:szCs w:val="21"/>
                <w:u w:val="single"/>
              </w:rPr>
              <w:t>排气筒</w:t>
            </w:r>
          </w:p>
        </w:tc>
      </w:tr>
      <w:tr w:rsidR="00C60F45" w:rsidRPr="002A3A75" w14:paraId="1D55B81C" w14:textId="77777777" w:rsidTr="00387105">
        <w:trPr>
          <w:trHeight w:val="340"/>
        </w:trPr>
        <w:tc>
          <w:tcPr>
            <w:tcW w:w="672" w:type="dxa"/>
            <w:vAlign w:val="center"/>
          </w:tcPr>
          <w:p w14:paraId="124057C1" w14:textId="77777777" w:rsidR="00C60F45" w:rsidRPr="002A3A75" w:rsidRDefault="00383797" w:rsidP="00AF4C07">
            <w:pPr>
              <w:pStyle w:val="00"/>
              <w:spacing w:line="240" w:lineRule="auto"/>
              <w:ind w:firstLine="0"/>
              <w:jc w:val="center"/>
              <w:rPr>
                <w:rFonts w:ascii="Calibri" w:hAnsi="Calibri"/>
                <w:b/>
                <w:color w:val="auto"/>
                <w:sz w:val="21"/>
                <w:szCs w:val="21"/>
                <w:u w:val="single"/>
              </w:rPr>
            </w:pPr>
            <w:r w:rsidRPr="002A3A75">
              <w:rPr>
                <w:rFonts w:ascii="Calibri" w:hAnsi="Calibri"/>
                <w:b/>
                <w:color w:val="auto"/>
                <w:sz w:val="21"/>
                <w:szCs w:val="21"/>
                <w:u w:val="single"/>
              </w:rPr>
              <w:t>3</w:t>
            </w:r>
          </w:p>
        </w:tc>
        <w:tc>
          <w:tcPr>
            <w:tcW w:w="1969" w:type="dxa"/>
            <w:vAlign w:val="center"/>
          </w:tcPr>
          <w:p w14:paraId="4973375E" w14:textId="77777777" w:rsidR="00C60F45" w:rsidRPr="002A3A75" w:rsidRDefault="00852DCA" w:rsidP="00AF4C0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品控中心质量</w:t>
            </w:r>
            <w:r w:rsidRPr="002A3A75">
              <w:rPr>
                <w:rFonts w:ascii="Calibri" w:hAnsi="Calibri"/>
                <w:b/>
                <w:color w:val="auto"/>
                <w:sz w:val="21"/>
                <w:szCs w:val="21"/>
                <w:u w:val="single"/>
              </w:rPr>
              <w:t>检测</w:t>
            </w:r>
          </w:p>
        </w:tc>
        <w:tc>
          <w:tcPr>
            <w:tcW w:w="2534" w:type="dxa"/>
            <w:tcBorders>
              <w:top w:val="single" w:sz="4" w:space="0" w:color="auto"/>
            </w:tcBorders>
            <w:vAlign w:val="center"/>
          </w:tcPr>
          <w:p w14:paraId="641FEA16" w14:textId="77777777" w:rsidR="00C60F45" w:rsidRPr="002A3A75" w:rsidRDefault="00383797" w:rsidP="00AF4C0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非甲烷</w:t>
            </w:r>
            <w:r w:rsidRPr="002A3A75">
              <w:rPr>
                <w:rFonts w:ascii="Calibri" w:hAnsi="Calibri"/>
                <w:b/>
                <w:color w:val="auto"/>
                <w:sz w:val="21"/>
                <w:szCs w:val="21"/>
                <w:u w:val="single"/>
              </w:rPr>
              <w:t>总烃</w:t>
            </w:r>
            <w:r w:rsidR="00387105" w:rsidRPr="002A3A75">
              <w:rPr>
                <w:rFonts w:ascii="Calibri" w:hAnsi="Calibri" w:hint="eastAsia"/>
                <w:b/>
                <w:color w:val="auto"/>
                <w:sz w:val="21"/>
                <w:szCs w:val="21"/>
                <w:u w:val="single"/>
              </w:rPr>
              <w:t>及</w:t>
            </w:r>
            <w:r w:rsidR="00387105" w:rsidRPr="002A3A75">
              <w:rPr>
                <w:rFonts w:ascii="Calibri" w:hAnsi="Calibri" w:hint="eastAsia"/>
                <w:b/>
                <w:color w:val="auto"/>
                <w:sz w:val="21"/>
                <w:szCs w:val="21"/>
                <w:u w:val="single"/>
              </w:rPr>
              <w:t>HCl</w:t>
            </w:r>
          </w:p>
        </w:tc>
        <w:tc>
          <w:tcPr>
            <w:tcW w:w="2256" w:type="dxa"/>
            <w:tcBorders>
              <w:top w:val="single" w:sz="4" w:space="0" w:color="auto"/>
            </w:tcBorders>
            <w:vAlign w:val="center"/>
          </w:tcPr>
          <w:p w14:paraId="37643F22" w14:textId="77777777" w:rsidR="00C60F45" w:rsidRPr="002A3A75" w:rsidRDefault="00387105" w:rsidP="00AF4C0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通风橱</w:t>
            </w:r>
            <w:r w:rsidRPr="002A3A75">
              <w:rPr>
                <w:rFonts w:ascii="Calibri" w:hAnsi="Calibri" w:hint="eastAsia"/>
                <w:b/>
                <w:color w:val="auto"/>
                <w:sz w:val="21"/>
                <w:szCs w:val="21"/>
                <w:u w:val="single"/>
              </w:rPr>
              <w:t>+</w:t>
            </w:r>
            <w:r w:rsidR="00C60F45" w:rsidRPr="002A3A75">
              <w:rPr>
                <w:rFonts w:ascii="Calibri" w:hAnsi="Calibri" w:hint="eastAsia"/>
                <w:b/>
                <w:color w:val="auto"/>
                <w:sz w:val="21"/>
                <w:szCs w:val="21"/>
                <w:u w:val="single"/>
              </w:rPr>
              <w:t>活性炭吸附装置</w:t>
            </w:r>
          </w:p>
        </w:tc>
        <w:tc>
          <w:tcPr>
            <w:tcW w:w="1269" w:type="dxa"/>
            <w:tcBorders>
              <w:top w:val="single" w:sz="4" w:space="0" w:color="auto"/>
            </w:tcBorders>
            <w:vAlign w:val="center"/>
          </w:tcPr>
          <w:p w14:paraId="1BD6DFD5" w14:textId="77777777" w:rsidR="00C60F45" w:rsidRPr="002A3A75" w:rsidRDefault="00C60F45" w:rsidP="00AF4C0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楼顶高空排放</w:t>
            </w:r>
          </w:p>
        </w:tc>
      </w:tr>
      <w:tr w:rsidR="00387105" w:rsidRPr="002A3A75" w14:paraId="092454EA" w14:textId="77777777" w:rsidTr="00387105">
        <w:trPr>
          <w:trHeight w:val="340"/>
        </w:trPr>
        <w:tc>
          <w:tcPr>
            <w:tcW w:w="672" w:type="dxa"/>
            <w:vAlign w:val="center"/>
          </w:tcPr>
          <w:p w14:paraId="7C84D9D1" w14:textId="77777777" w:rsidR="00387105" w:rsidRPr="002A3A75" w:rsidRDefault="00383797" w:rsidP="00387105">
            <w:pPr>
              <w:pStyle w:val="00"/>
              <w:spacing w:line="240" w:lineRule="auto"/>
              <w:ind w:firstLine="0"/>
              <w:jc w:val="center"/>
              <w:rPr>
                <w:rFonts w:ascii="Calibri" w:hAnsi="Calibri"/>
                <w:b/>
                <w:color w:val="auto"/>
                <w:sz w:val="21"/>
                <w:szCs w:val="21"/>
                <w:u w:val="single"/>
              </w:rPr>
            </w:pPr>
            <w:r w:rsidRPr="002A3A75">
              <w:rPr>
                <w:rFonts w:ascii="Calibri" w:hAnsi="Calibri"/>
                <w:b/>
                <w:color w:val="auto"/>
                <w:sz w:val="21"/>
                <w:szCs w:val="21"/>
                <w:u w:val="single"/>
              </w:rPr>
              <w:t>4</w:t>
            </w:r>
          </w:p>
        </w:tc>
        <w:tc>
          <w:tcPr>
            <w:tcW w:w="1969" w:type="dxa"/>
            <w:vAlign w:val="center"/>
          </w:tcPr>
          <w:p w14:paraId="0FA52A5A"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导热</w:t>
            </w:r>
            <w:r w:rsidRPr="002A3A75">
              <w:rPr>
                <w:rFonts w:ascii="Calibri" w:hAnsi="Calibri"/>
                <w:b/>
                <w:color w:val="auto"/>
                <w:sz w:val="21"/>
                <w:szCs w:val="21"/>
                <w:u w:val="single"/>
              </w:rPr>
              <w:t>油炉燃料废气</w:t>
            </w:r>
          </w:p>
        </w:tc>
        <w:tc>
          <w:tcPr>
            <w:tcW w:w="2534" w:type="dxa"/>
            <w:vAlign w:val="center"/>
          </w:tcPr>
          <w:p w14:paraId="4E568940" w14:textId="77777777" w:rsidR="00387105" w:rsidRPr="002A3A75" w:rsidRDefault="00387105" w:rsidP="0038379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颗粒物、</w:t>
            </w:r>
            <w:r w:rsidRPr="002A3A75">
              <w:rPr>
                <w:rFonts w:ascii="Calibri" w:hAnsi="Calibri"/>
                <w:b/>
                <w:color w:val="auto"/>
                <w:sz w:val="21"/>
                <w:szCs w:val="21"/>
                <w:u w:val="single"/>
              </w:rPr>
              <w:t>SO</w:t>
            </w:r>
            <w:r w:rsidRPr="002A3A75">
              <w:rPr>
                <w:rFonts w:ascii="Calibri" w:hAnsi="Calibri"/>
                <w:b/>
                <w:color w:val="auto"/>
                <w:sz w:val="21"/>
                <w:szCs w:val="21"/>
                <w:u w:val="single"/>
                <w:vertAlign w:val="subscript"/>
              </w:rPr>
              <w:t>2</w:t>
            </w:r>
            <w:r w:rsidRPr="002A3A75">
              <w:rPr>
                <w:rFonts w:ascii="Calibri" w:hAnsi="Calibri" w:hint="eastAsia"/>
                <w:b/>
                <w:color w:val="auto"/>
                <w:sz w:val="21"/>
                <w:szCs w:val="21"/>
                <w:u w:val="single"/>
              </w:rPr>
              <w:t>、</w:t>
            </w:r>
            <w:r w:rsidRPr="002A3A75">
              <w:rPr>
                <w:rFonts w:ascii="Calibri" w:hAnsi="Calibri"/>
                <w:b/>
                <w:color w:val="auto"/>
                <w:sz w:val="21"/>
                <w:szCs w:val="21"/>
                <w:u w:val="single"/>
              </w:rPr>
              <w:t>NOx</w:t>
            </w:r>
          </w:p>
        </w:tc>
        <w:tc>
          <w:tcPr>
            <w:tcW w:w="2256" w:type="dxa"/>
            <w:vAlign w:val="center"/>
          </w:tcPr>
          <w:p w14:paraId="68DC2BD2"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低氮燃烧器</w:t>
            </w:r>
          </w:p>
        </w:tc>
        <w:tc>
          <w:tcPr>
            <w:tcW w:w="1269" w:type="dxa"/>
            <w:vAlign w:val="center"/>
          </w:tcPr>
          <w:p w14:paraId="618A13BE"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15m</w:t>
            </w:r>
            <w:r w:rsidRPr="002A3A75">
              <w:rPr>
                <w:rFonts w:ascii="Calibri" w:hAnsi="Calibri" w:hint="eastAsia"/>
                <w:b/>
                <w:color w:val="auto"/>
                <w:sz w:val="21"/>
                <w:szCs w:val="21"/>
                <w:u w:val="single"/>
              </w:rPr>
              <w:t>排气筒</w:t>
            </w:r>
          </w:p>
        </w:tc>
      </w:tr>
      <w:tr w:rsidR="00387105" w:rsidRPr="002A3A75" w14:paraId="745EF8EC" w14:textId="77777777" w:rsidTr="00387105">
        <w:trPr>
          <w:trHeight w:val="340"/>
        </w:trPr>
        <w:tc>
          <w:tcPr>
            <w:tcW w:w="672" w:type="dxa"/>
            <w:vAlign w:val="center"/>
          </w:tcPr>
          <w:p w14:paraId="51DA5645" w14:textId="77777777" w:rsidR="00387105" w:rsidRPr="002A3A75" w:rsidRDefault="00383797" w:rsidP="00387105">
            <w:pPr>
              <w:pStyle w:val="00"/>
              <w:spacing w:line="240" w:lineRule="auto"/>
              <w:ind w:firstLine="0"/>
              <w:jc w:val="center"/>
              <w:rPr>
                <w:rFonts w:ascii="Calibri" w:hAnsi="Calibri"/>
                <w:b/>
                <w:color w:val="auto"/>
                <w:sz w:val="21"/>
                <w:szCs w:val="21"/>
                <w:u w:val="single"/>
              </w:rPr>
            </w:pPr>
            <w:r w:rsidRPr="002A3A75">
              <w:rPr>
                <w:rFonts w:ascii="Calibri" w:hAnsi="Calibri"/>
                <w:b/>
                <w:color w:val="auto"/>
                <w:sz w:val="21"/>
                <w:szCs w:val="21"/>
                <w:u w:val="single"/>
              </w:rPr>
              <w:t>5</w:t>
            </w:r>
          </w:p>
        </w:tc>
        <w:tc>
          <w:tcPr>
            <w:tcW w:w="1969" w:type="dxa"/>
            <w:vAlign w:val="center"/>
          </w:tcPr>
          <w:p w14:paraId="402C76EC"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职工食堂</w:t>
            </w:r>
          </w:p>
        </w:tc>
        <w:tc>
          <w:tcPr>
            <w:tcW w:w="2534" w:type="dxa"/>
            <w:vAlign w:val="center"/>
          </w:tcPr>
          <w:p w14:paraId="04DB1E1F"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油烟、非甲烷总烃</w:t>
            </w:r>
          </w:p>
        </w:tc>
        <w:tc>
          <w:tcPr>
            <w:tcW w:w="2256" w:type="dxa"/>
            <w:vAlign w:val="center"/>
          </w:tcPr>
          <w:p w14:paraId="651F2B54"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油烟净化装置</w:t>
            </w:r>
          </w:p>
        </w:tc>
        <w:tc>
          <w:tcPr>
            <w:tcW w:w="1269" w:type="dxa"/>
            <w:vAlign w:val="center"/>
          </w:tcPr>
          <w:p w14:paraId="77CE2BD3"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专用排烟</w:t>
            </w:r>
          </w:p>
          <w:p w14:paraId="3B743696"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管道</w:t>
            </w:r>
          </w:p>
        </w:tc>
      </w:tr>
      <w:tr w:rsidR="00387105" w:rsidRPr="002A3A75" w14:paraId="2FD6CF15" w14:textId="77777777" w:rsidTr="00387105">
        <w:trPr>
          <w:trHeight w:val="340"/>
        </w:trPr>
        <w:tc>
          <w:tcPr>
            <w:tcW w:w="672" w:type="dxa"/>
            <w:vAlign w:val="center"/>
          </w:tcPr>
          <w:p w14:paraId="7A806D2B" w14:textId="77777777" w:rsidR="00387105" w:rsidRPr="002A3A75" w:rsidRDefault="00383797" w:rsidP="00387105">
            <w:pPr>
              <w:pStyle w:val="00"/>
              <w:spacing w:line="240" w:lineRule="auto"/>
              <w:ind w:firstLine="0"/>
              <w:jc w:val="center"/>
              <w:rPr>
                <w:rFonts w:ascii="Calibri" w:hAnsi="Calibri"/>
                <w:b/>
                <w:color w:val="auto"/>
                <w:sz w:val="21"/>
                <w:szCs w:val="21"/>
                <w:u w:val="single"/>
              </w:rPr>
            </w:pPr>
            <w:r w:rsidRPr="002A3A75">
              <w:rPr>
                <w:rFonts w:ascii="Calibri" w:hAnsi="Calibri"/>
                <w:b/>
                <w:color w:val="auto"/>
                <w:sz w:val="21"/>
                <w:szCs w:val="21"/>
                <w:u w:val="single"/>
              </w:rPr>
              <w:t>6</w:t>
            </w:r>
          </w:p>
        </w:tc>
        <w:tc>
          <w:tcPr>
            <w:tcW w:w="1969" w:type="dxa"/>
            <w:vAlign w:val="center"/>
          </w:tcPr>
          <w:p w14:paraId="2BE8F924"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生产区无组织废气</w:t>
            </w:r>
          </w:p>
        </w:tc>
        <w:tc>
          <w:tcPr>
            <w:tcW w:w="2534" w:type="dxa"/>
            <w:vAlign w:val="center"/>
          </w:tcPr>
          <w:p w14:paraId="23AAB0EC"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非甲烷总烃、颗粒物</w:t>
            </w:r>
          </w:p>
        </w:tc>
        <w:tc>
          <w:tcPr>
            <w:tcW w:w="2256" w:type="dxa"/>
            <w:vAlign w:val="center"/>
          </w:tcPr>
          <w:p w14:paraId="66521537"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选用密闭设备、密闭容器储存物料，加强生产期间</w:t>
            </w:r>
            <w:r w:rsidRPr="002A3A75">
              <w:rPr>
                <w:rFonts w:ascii="Calibri" w:hAnsi="Calibri" w:hint="eastAsia"/>
                <w:b/>
                <w:color w:val="auto"/>
                <w:sz w:val="21"/>
                <w:szCs w:val="21"/>
                <w:u w:val="single"/>
              </w:rPr>
              <w:t>VOCs</w:t>
            </w:r>
            <w:r w:rsidRPr="002A3A75">
              <w:rPr>
                <w:rFonts w:ascii="Calibri" w:hAnsi="Calibri" w:hint="eastAsia"/>
                <w:b/>
                <w:color w:val="auto"/>
                <w:sz w:val="21"/>
                <w:szCs w:val="21"/>
                <w:u w:val="single"/>
              </w:rPr>
              <w:t>排放源的</w:t>
            </w:r>
            <w:r w:rsidRPr="002A3A75">
              <w:rPr>
                <w:rFonts w:ascii="Calibri" w:hAnsi="Calibri"/>
                <w:b/>
                <w:color w:val="auto"/>
                <w:sz w:val="21"/>
                <w:szCs w:val="21"/>
                <w:u w:val="single"/>
              </w:rPr>
              <w:t>泄漏检测与修复（</w:t>
            </w:r>
            <w:r w:rsidRPr="002A3A75">
              <w:rPr>
                <w:rFonts w:ascii="Calibri" w:hAnsi="Calibri"/>
                <w:b/>
                <w:color w:val="auto"/>
                <w:sz w:val="21"/>
                <w:szCs w:val="21"/>
                <w:u w:val="single"/>
              </w:rPr>
              <w:t>LDAR</w:t>
            </w:r>
            <w:r w:rsidRPr="002A3A75">
              <w:rPr>
                <w:rFonts w:ascii="Calibri" w:hAnsi="Calibri"/>
                <w:b/>
                <w:color w:val="auto"/>
                <w:sz w:val="21"/>
                <w:szCs w:val="21"/>
                <w:u w:val="single"/>
              </w:rPr>
              <w:t>）</w:t>
            </w:r>
          </w:p>
        </w:tc>
        <w:tc>
          <w:tcPr>
            <w:tcW w:w="1269" w:type="dxa"/>
            <w:vAlign w:val="center"/>
          </w:tcPr>
          <w:p w14:paraId="7604C3C2" w14:textId="77777777" w:rsidR="00387105" w:rsidRPr="002A3A75" w:rsidRDefault="00387105" w:rsidP="00387105">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无组织</w:t>
            </w:r>
          </w:p>
        </w:tc>
      </w:tr>
    </w:tbl>
    <w:p w14:paraId="5ED317CB" w14:textId="77777777" w:rsidR="00FD5722" w:rsidRPr="00A964FF" w:rsidRDefault="00433A6C" w:rsidP="0055605A">
      <w:pPr>
        <w:pStyle w:val="00"/>
        <w:rPr>
          <w:rFonts w:ascii="Calibri"/>
          <w:b/>
          <w:bCs/>
          <w:color w:val="auto"/>
        </w:rPr>
      </w:pPr>
      <w:r w:rsidRPr="00A964FF">
        <w:rPr>
          <w:rFonts w:ascii="Calibri" w:hint="eastAsia"/>
          <w:b/>
          <w:bCs/>
          <w:color w:val="auto"/>
        </w:rPr>
        <w:t>二</w:t>
      </w:r>
      <w:r w:rsidR="00F318D6" w:rsidRPr="00A964FF">
        <w:rPr>
          <w:rFonts w:ascii="Calibri" w:hint="eastAsia"/>
          <w:b/>
          <w:bCs/>
          <w:color w:val="auto"/>
        </w:rPr>
        <w:t>、</w:t>
      </w:r>
      <w:r w:rsidR="00317A8F" w:rsidRPr="00A964FF">
        <w:rPr>
          <w:rFonts w:ascii="Calibri" w:hint="eastAsia"/>
          <w:b/>
          <w:bCs/>
          <w:color w:val="auto"/>
        </w:rPr>
        <w:t>废气</w:t>
      </w:r>
      <w:r w:rsidR="00F318D6" w:rsidRPr="00A964FF">
        <w:rPr>
          <w:rFonts w:ascii="Calibri" w:hint="eastAsia"/>
          <w:b/>
          <w:bCs/>
          <w:color w:val="auto"/>
        </w:rPr>
        <w:t>处理措施可行性分析</w:t>
      </w:r>
    </w:p>
    <w:p w14:paraId="6344A54E" w14:textId="77777777" w:rsidR="00C60F45" w:rsidRPr="00C60F45" w:rsidRDefault="00433A6C" w:rsidP="00C60F45">
      <w:pPr>
        <w:spacing w:line="520" w:lineRule="exact"/>
        <w:ind w:firstLineChars="200" w:firstLine="482"/>
        <w:rPr>
          <w:rFonts w:ascii="Calibri" w:hAnsi="Calibri"/>
          <w:b/>
          <w:bCs/>
          <w:color w:val="auto"/>
          <w:sz w:val="24"/>
        </w:rPr>
      </w:pPr>
      <w:r w:rsidRPr="00A964FF">
        <w:rPr>
          <w:rFonts w:ascii="Calibri" w:hAnsi="Calibri" w:hint="eastAsia"/>
          <w:b/>
          <w:bCs/>
          <w:color w:val="auto"/>
          <w:sz w:val="24"/>
        </w:rPr>
        <w:t>1</w:t>
      </w:r>
      <w:r w:rsidRPr="00A964FF">
        <w:rPr>
          <w:rFonts w:ascii="Calibri" w:hAnsi="Calibri" w:hint="eastAsia"/>
          <w:b/>
          <w:bCs/>
          <w:color w:val="auto"/>
          <w:sz w:val="24"/>
        </w:rPr>
        <w:t>、</w:t>
      </w:r>
      <w:r w:rsidR="00A06A90" w:rsidRPr="00A06A90">
        <w:rPr>
          <w:rFonts w:ascii="Calibri" w:hAnsi="Calibri" w:hint="eastAsia"/>
          <w:b/>
          <w:bCs/>
          <w:color w:val="auto"/>
          <w:sz w:val="24"/>
        </w:rPr>
        <w:t>聚合及聚合釜下料废气</w:t>
      </w:r>
      <w:r w:rsidR="00BB0EAF" w:rsidRPr="00A964FF">
        <w:rPr>
          <w:rFonts w:ascii="Calibri" w:hAnsi="Calibri" w:hint="eastAsia"/>
          <w:b/>
          <w:bCs/>
          <w:color w:val="auto"/>
          <w:sz w:val="24"/>
        </w:rPr>
        <w:t>治理措施</w:t>
      </w:r>
      <w:r w:rsidRPr="00A964FF">
        <w:rPr>
          <w:rFonts w:ascii="Calibri" w:hAnsi="Calibri" w:hint="eastAsia"/>
          <w:b/>
          <w:bCs/>
          <w:color w:val="auto"/>
          <w:sz w:val="24"/>
        </w:rPr>
        <w:t>采</w:t>
      </w:r>
      <w:r w:rsidR="00E45284" w:rsidRPr="00A964FF">
        <w:rPr>
          <w:rFonts w:ascii="Calibri" w:hAnsi="Calibri" w:hint="eastAsia"/>
          <w:b/>
          <w:bCs/>
          <w:color w:val="auto"/>
          <w:sz w:val="24"/>
        </w:rPr>
        <w:t>可行性分析</w:t>
      </w:r>
    </w:p>
    <w:p w14:paraId="5B868404" w14:textId="1CD4B895" w:rsidR="00387105" w:rsidRDefault="0075760C" w:rsidP="00387105">
      <w:pPr>
        <w:spacing w:line="520" w:lineRule="exact"/>
        <w:ind w:firstLineChars="200" w:firstLine="420"/>
        <w:rPr>
          <w:rFonts w:asciiTheme="minorHAnsi" w:hAnsiTheme="minorHAnsi"/>
          <w:sz w:val="24"/>
        </w:rPr>
      </w:pPr>
      <w:r>
        <w:rPr>
          <w:rFonts w:ascii="Calibri" w:hAnsi="Calibri"/>
          <w:noProof/>
          <w:color w:val="auto"/>
        </w:rPr>
        <mc:AlternateContent>
          <mc:Choice Requires="wps">
            <w:drawing>
              <wp:anchor distT="0" distB="0" distL="114300" distR="114300" simplePos="0" relativeHeight="253672960" behindDoc="0" locked="0" layoutInCell="1" allowOverlap="1" wp14:anchorId="4E8699E0" wp14:editId="542EA7F7">
                <wp:simplePos x="0" y="0"/>
                <wp:positionH relativeFrom="margin">
                  <wp:align>right</wp:align>
                </wp:positionH>
                <wp:positionV relativeFrom="paragraph">
                  <wp:posOffset>2650490</wp:posOffset>
                </wp:positionV>
                <wp:extent cx="4960620" cy="289560"/>
                <wp:effectExtent l="0" t="0" r="0" b="0"/>
                <wp:wrapNone/>
                <wp:docPr id="37931" name="文本框 37931"/>
                <wp:cNvGraphicFramePr/>
                <a:graphic xmlns:a="http://schemas.openxmlformats.org/drawingml/2006/main">
                  <a:graphicData uri="http://schemas.microsoft.com/office/word/2010/wordprocessingShape">
                    <wps:wsp>
                      <wps:cNvSpPr txBox="1"/>
                      <wps:spPr>
                        <a:xfrm>
                          <a:off x="0" y="0"/>
                          <a:ext cx="4960620" cy="289560"/>
                        </a:xfrm>
                        <a:prstGeom prst="rect">
                          <a:avLst/>
                        </a:prstGeom>
                        <a:noFill/>
                        <a:ln w="6350">
                          <a:noFill/>
                        </a:ln>
                      </wps:spPr>
                      <wps:txbx>
                        <w:txbxContent>
                          <w:p w14:paraId="52F4A3DC" w14:textId="77777777" w:rsidR="00217891" w:rsidRPr="00CD06E1" w:rsidRDefault="00217891" w:rsidP="00CD06E1">
                            <w:pPr>
                              <w:ind w:firstLineChars="450" w:firstLine="1080"/>
                              <w:rPr>
                                <w:rFonts w:ascii="黑体" w:eastAsia="黑体" w:hAnsi="黑体"/>
                                <w:sz w:val="24"/>
                              </w:rPr>
                            </w:pPr>
                            <w:r w:rsidRPr="00CD06E1">
                              <w:rPr>
                                <w:rFonts w:asciiTheme="minorHAnsi" w:hAnsiTheme="minorHAnsi"/>
                                <w:sz w:val="24"/>
                              </w:rPr>
                              <w:t>图</w:t>
                            </w:r>
                            <w:r w:rsidRPr="00CD06E1">
                              <w:rPr>
                                <w:rFonts w:asciiTheme="minorHAnsi" w:hAnsiTheme="minorHAnsi"/>
                                <w:sz w:val="24"/>
                              </w:rPr>
                              <w:t>5.2-1</w:t>
                            </w:r>
                            <w:r>
                              <w:rPr>
                                <w:rFonts w:asciiTheme="minorHAnsi" w:hAnsiTheme="minorHAnsi"/>
                                <w:sz w:val="24"/>
                              </w:rPr>
                              <w:t xml:space="preserve">       </w:t>
                            </w:r>
                            <w:r w:rsidRPr="00CD06E1">
                              <w:rPr>
                                <w:rFonts w:ascii="黑体" w:eastAsia="黑体" w:hAnsi="黑体" w:hint="eastAsia"/>
                                <w:sz w:val="24"/>
                              </w:rPr>
                              <w:t>一期</w:t>
                            </w:r>
                            <w:r w:rsidRPr="00CD06E1">
                              <w:rPr>
                                <w:rFonts w:ascii="黑体" w:eastAsia="黑体" w:hAnsi="黑体"/>
                                <w:sz w:val="24"/>
                              </w:rPr>
                              <w:t>、二期工程废气处理工艺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699E0" id="文本框 37931" o:spid="_x0000_s1632" type="#_x0000_t202" style="position:absolute;left:0;text-align:left;margin-left:339.4pt;margin-top:208.7pt;width:390.6pt;height:22.8pt;z-index:253672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" filled="f" stroked="f" strokeweight=".5pt">
                <v:textbox>
                  <w:txbxContent>
                    <w:p w14:paraId="52F4A3DC" w14:textId="77777777" w:rsidR="00217891" w:rsidRPr="00CD06E1" w:rsidRDefault="00217891" w:rsidP="00CD06E1">
                      <w:pPr>
                        <w:ind w:firstLineChars="450" w:firstLine="1080"/>
                        <w:rPr>
                          <w:rFonts w:ascii="黑体" w:eastAsia="黑体" w:hAnsi="黑体"/>
                          <w:sz w:val="24"/>
                        </w:rPr>
                      </w:pPr>
                      <w:r w:rsidRPr="00CD06E1">
                        <w:rPr>
                          <w:rFonts w:asciiTheme="minorHAnsi" w:hAnsiTheme="minorHAnsi"/>
                          <w:sz w:val="24"/>
                        </w:rPr>
                        <w:t>图</w:t>
                      </w:r>
                      <w:r w:rsidRPr="00CD06E1">
                        <w:rPr>
                          <w:rFonts w:asciiTheme="minorHAnsi" w:hAnsiTheme="minorHAnsi"/>
                          <w:sz w:val="24"/>
                        </w:rPr>
                        <w:t>5.2-1</w:t>
                      </w:r>
                      <w:r>
                        <w:rPr>
                          <w:rFonts w:asciiTheme="minorHAnsi" w:hAnsiTheme="minorHAnsi"/>
                          <w:sz w:val="24"/>
                        </w:rPr>
                        <w:t xml:space="preserve">       </w:t>
                      </w:r>
                      <w:r w:rsidRPr="00CD06E1">
                        <w:rPr>
                          <w:rFonts w:ascii="黑体" w:eastAsia="黑体" w:hAnsi="黑体" w:hint="eastAsia"/>
                          <w:sz w:val="24"/>
                        </w:rPr>
                        <w:t>一期</w:t>
                      </w:r>
                      <w:r w:rsidRPr="00CD06E1">
                        <w:rPr>
                          <w:rFonts w:ascii="黑体" w:eastAsia="黑体" w:hAnsi="黑体"/>
                          <w:sz w:val="24"/>
                        </w:rPr>
                        <w:t>、二期工程废气处理工艺</w:t>
                      </w:r>
                    </w:p>
                  </w:txbxContent>
                </v:textbox>
                <w10:wrap anchorx="margin"/>
              </v:shape>
            </w:pict>
          </mc:Fallback>
        </mc:AlternateContent>
      </w:r>
      <w:r>
        <w:rPr>
          <w:rFonts w:ascii="Calibri" w:hAnsi="Calibri"/>
          <w:noProof/>
          <w:color w:val="auto"/>
        </w:rPr>
        <mc:AlternateContent>
          <mc:Choice Requires="wpc">
            <w:drawing>
              <wp:anchor distT="0" distB="0" distL="114300" distR="114300" simplePos="0" relativeHeight="253671936" behindDoc="0" locked="0" layoutInCell="1" allowOverlap="1" wp14:anchorId="0AEA6181" wp14:editId="219374FC">
                <wp:simplePos x="0" y="0"/>
                <wp:positionH relativeFrom="column">
                  <wp:posOffset>-177800</wp:posOffset>
                </wp:positionH>
                <wp:positionV relativeFrom="paragraph">
                  <wp:posOffset>661670</wp:posOffset>
                </wp:positionV>
                <wp:extent cx="5684520" cy="2842260"/>
                <wp:effectExtent l="0" t="0" r="0" b="0"/>
                <wp:wrapTopAndBottom/>
                <wp:docPr id="37930" name="画布 379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845" name="Text Box 35822"/>
                        <wps:cNvSpPr txBox="1">
                          <a:spLocks noChangeArrowheads="1"/>
                        </wps:cNvSpPr>
                        <wps:spPr bwMode="auto">
                          <a:xfrm>
                            <a:off x="200660" y="96521"/>
                            <a:ext cx="82486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068BE" w14:textId="77777777" w:rsidR="00217891" w:rsidRDefault="00217891" w:rsidP="00CD06E1">
                              <w:pPr>
                                <w:jc w:val="center"/>
                              </w:pPr>
                              <w:r>
                                <w:rPr>
                                  <w:rFonts w:hint="eastAsia"/>
                                </w:rPr>
                                <w:t>聚合废气</w:t>
                              </w:r>
                            </w:p>
                          </w:txbxContent>
                        </wps:txbx>
                        <wps:bodyPr rot="0" vert="horz" wrap="square" lIns="54000" tIns="64800" rIns="54000" bIns="45720" anchor="t" anchorCtr="0" upright="1">
                          <a:noAutofit/>
                        </wps:bodyPr>
                      </wps:wsp>
                      <wps:wsp>
                        <wps:cNvPr id="25846" name="Text Box 35823"/>
                        <wps:cNvSpPr txBox="1">
                          <a:spLocks noChangeArrowheads="1"/>
                        </wps:cNvSpPr>
                        <wps:spPr bwMode="auto">
                          <a:xfrm>
                            <a:off x="1480820" y="125731"/>
                            <a:ext cx="1234440" cy="3009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2F0E7" w14:textId="77777777" w:rsidR="00217891" w:rsidRDefault="00217891" w:rsidP="00CD06E1">
                              <w:pPr>
                                <w:jc w:val="center"/>
                              </w:pPr>
                              <w:r>
                                <w:rPr>
                                  <w:rFonts w:hint="eastAsia"/>
                                </w:rPr>
                                <w:t>冷却塔</w:t>
                              </w:r>
                            </w:p>
                          </w:txbxContent>
                        </wps:txbx>
                        <wps:bodyPr rot="0" vert="horz" wrap="square" lIns="54000" tIns="64800" rIns="54000" bIns="45720" anchor="t" anchorCtr="0" upright="1">
                          <a:noAutofit/>
                        </wps:bodyPr>
                      </wps:wsp>
                      <wps:wsp>
                        <wps:cNvPr id="25847" name="AutoShape 35824"/>
                        <wps:cNvCnPr>
                          <a:cxnSpLocks noChangeShapeType="1"/>
                        </wps:cNvCnPr>
                        <wps:spPr bwMode="auto">
                          <a:xfrm>
                            <a:off x="929005" y="263526"/>
                            <a:ext cx="55181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48" name="AutoShape 35825"/>
                        <wps:cNvCnPr>
                          <a:cxnSpLocks noChangeShapeType="1"/>
                        </wps:cNvCnPr>
                        <wps:spPr bwMode="auto">
                          <a:xfrm>
                            <a:off x="2715260" y="262256"/>
                            <a:ext cx="55181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49" name="Text Box 35826"/>
                        <wps:cNvSpPr txBox="1">
                          <a:spLocks noChangeArrowheads="1"/>
                        </wps:cNvSpPr>
                        <wps:spPr bwMode="auto">
                          <a:xfrm>
                            <a:off x="3267075" y="125731"/>
                            <a:ext cx="1234440" cy="3009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B6B050" w14:textId="77777777" w:rsidR="00217891" w:rsidRDefault="00217891" w:rsidP="00CD06E1">
                              <w:pPr>
                                <w:jc w:val="center"/>
                              </w:pPr>
                              <w:r>
                                <w:rPr>
                                  <w:rFonts w:hint="eastAsia"/>
                                </w:rPr>
                                <w:t>水喷淋塔</w:t>
                              </w:r>
                            </w:p>
                          </w:txbxContent>
                        </wps:txbx>
                        <wps:bodyPr rot="0" vert="horz" wrap="square" lIns="54000" tIns="64800" rIns="54000" bIns="45720" anchor="t" anchorCtr="0" upright="1">
                          <a:noAutofit/>
                        </wps:bodyPr>
                      </wps:wsp>
                      <wps:wsp>
                        <wps:cNvPr id="25850" name="AutoShape 35827"/>
                        <wps:cNvCnPr>
                          <a:cxnSpLocks noChangeShapeType="1"/>
                        </wps:cNvCnPr>
                        <wps:spPr bwMode="auto">
                          <a:xfrm>
                            <a:off x="3884295" y="426721"/>
                            <a:ext cx="127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51" name="Text Box 35828"/>
                        <wps:cNvSpPr txBox="1">
                          <a:spLocks noChangeArrowheads="1"/>
                        </wps:cNvSpPr>
                        <wps:spPr bwMode="auto">
                          <a:xfrm>
                            <a:off x="3289300" y="781050"/>
                            <a:ext cx="1235075" cy="3009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174090" w14:textId="77777777" w:rsidR="00217891" w:rsidRDefault="00217891" w:rsidP="00CD06E1">
                              <w:pPr>
                                <w:jc w:val="center"/>
                              </w:pPr>
                              <w:r>
                                <w:rPr>
                                  <w:rFonts w:hint="eastAsia"/>
                                </w:rPr>
                                <w:t>活性炭吸附装置</w:t>
                              </w:r>
                            </w:p>
                          </w:txbxContent>
                        </wps:txbx>
                        <wps:bodyPr rot="0" vert="horz" wrap="square" lIns="54000" tIns="64800" rIns="54000" bIns="45720" anchor="t" anchorCtr="0" upright="1">
                          <a:noAutofit/>
                        </wps:bodyPr>
                      </wps:wsp>
                      <wps:wsp>
                        <wps:cNvPr id="25855" name="Text Box 35832"/>
                        <wps:cNvSpPr txBox="1">
                          <a:spLocks noChangeArrowheads="1"/>
                        </wps:cNvSpPr>
                        <wps:spPr bwMode="auto">
                          <a:xfrm>
                            <a:off x="518160" y="566421"/>
                            <a:ext cx="108204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D6173" w14:textId="77777777" w:rsidR="00217891" w:rsidRDefault="00217891" w:rsidP="00CD06E1">
                              <w:pPr>
                                <w:jc w:val="center"/>
                              </w:pPr>
                              <w:r w:rsidRPr="00A06A90">
                                <w:rPr>
                                  <w:rFonts w:hint="eastAsia"/>
                                </w:rPr>
                                <w:t>聚合釜下料废气</w:t>
                              </w:r>
                            </w:p>
                          </w:txbxContent>
                        </wps:txbx>
                        <wps:bodyPr rot="0" vert="horz" wrap="square" lIns="54000" tIns="64800" rIns="54000" bIns="45720" anchor="t" anchorCtr="0" upright="1">
                          <a:noAutofit/>
                        </wps:bodyPr>
                      </wps:wsp>
                      <wps:wsp>
                        <wps:cNvPr id="27572" name="AutoShape 35836"/>
                        <wps:cNvCnPr>
                          <a:cxnSpLocks noChangeShapeType="1"/>
                        </wps:cNvCnPr>
                        <wps:spPr bwMode="auto">
                          <a:xfrm>
                            <a:off x="3919855" y="1082040"/>
                            <a:ext cx="0" cy="361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82" name="Text Box 35839"/>
                        <wps:cNvSpPr txBox="1">
                          <a:spLocks noChangeArrowheads="1"/>
                        </wps:cNvSpPr>
                        <wps:spPr bwMode="auto">
                          <a:xfrm>
                            <a:off x="3430905" y="1511936"/>
                            <a:ext cx="98298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D899E2" w14:textId="77777777" w:rsidR="00217891" w:rsidRPr="00893D23" w:rsidRDefault="00217891" w:rsidP="00CD06E1">
                              <w:pPr>
                                <w:jc w:val="center"/>
                                <w:rPr>
                                  <w:rFonts w:asciiTheme="minorHAnsi" w:hAnsiTheme="minorHAnsi"/>
                                </w:rPr>
                              </w:pPr>
                              <w:r w:rsidRPr="00893D23">
                                <w:rPr>
                                  <w:rFonts w:asciiTheme="minorHAnsi" w:hAnsiTheme="minorHAnsi"/>
                                </w:rPr>
                                <w:t>25m</w:t>
                              </w:r>
                              <w:r w:rsidRPr="00893D23">
                                <w:rPr>
                                  <w:rFonts w:asciiTheme="minorHAnsi" w:hAnsiTheme="minorHAnsi"/>
                                </w:rPr>
                                <w:t>排气筒</w:t>
                              </w:r>
                            </w:p>
                          </w:txbxContent>
                        </wps:txbx>
                        <wps:bodyPr rot="0" vert="horz" wrap="square" lIns="54000" tIns="64800" rIns="54000" bIns="45720" anchor="t" anchorCtr="0" upright="1">
                          <a:noAutofit/>
                        </wps:bodyPr>
                      </wps:wsp>
                      <wps:wsp>
                        <wps:cNvPr id="37760" name="AutoShape 35841"/>
                        <wps:cNvCnPr>
                          <a:cxnSpLocks noChangeShapeType="1"/>
                        </wps:cNvCnPr>
                        <wps:spPr bwMode="auto">
                          <a:xfrm flipV="1">
                            <a:off x="3474720" y="385446"/>
                            <a:ext cx="635" cy="337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29" name="AutoShape 35842"/>
                        <wps:cNvCnPr>
                          <a:cxnSpLocks noChangeShapeType="1"/>
                        </wps:cNvCnPr>
                        <wps:spPr bwMode="auto">
                          <a:xfrm flipV="1">
                            <a:off x="1584960" y="718186"/>
                            <a:ext cx="1882140" cy="209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EA6181" id="画布 37930" o:spid="_x0000_s1633" editas="canvas" style="position:absolute;left:0;text-align:left;margin-left:-14pt;margin-top:52.1pt;width:447.6pt;height:223.8pt;z-index:253671936" coordsize="56845,2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">
                <v:shape id="_x0000_s1634" type="#_x0000_t75" style="position:absolute;width:56845;height:28422;visibility:visible;mso-wrap-style:square">
                  <v:fill o:detectmouseclick="t"/>
                  <v:path o:connecttype="none"/>
                </v:shape>
                <v:shape id="Text Box 35822" o:spid="_x0000_s1635" type="#_x0000_t202" style="position:absolute;left:2006;top:965;width:8249;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" filled="f" stroked="f" strokeweight=".25pt">
                  <v:textbox inset="1.5mm,1.8mm,1.5mm">
                    <w:txbxContent>
                      <w:p w14:paraId="26E068BE" w14:textId="77777777" w:rsidR="00217891" w:rsidRDefault="00217891" w:rsidP="00CD06E1">
                        <w:pPr>
                          <w:jc w:val="center"/>
                        </w:pPr>
                        <w:r>
                          <w:rPr>
                            <w:rFonts w:hint="eastAsia"/>
                          </w:rPr>
                          <w:t>聚合废气</w:t>
                        </w:r>
                      </w:p>
                    </w:txbxContent>
                  </v:textbox>
                </v:shape>
                <v:shape id="Text Box 35823" o:spid="_x0000_s1636" type="#_x0000_t202" style="position:absolute;left:14808;top:1257;width:1234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" filled="f" strokeweight=".25pt">
                  <v:textbox inset="1.5mm,1.8mm,1.5mm">
                    <w:txbxContent>
                      <w:p w14:paraId="6242F0E7" w14:textId="77777777" w:rsidR="00217891" w:rsidRDefault="00217891" w:rsidP="00CD06E1">
                        <w:pPr>
                          <w:jc w:val="center"/>
                        </w:pPr>
                        <w:r>
                          <w:rPr>
                            <w:rFonts w:hint="eastAsia"/>
                          </w:rPr>
                          <w:t>冷却塔</w:t>
                        </w:r>
                      </w:p>
                    </w:txbxContent>
                  </v:textbox>
                </v:shape>
                <v:shape id="AutoShape 35824" o:spid="_x0000_s1637" type="#_x0000_t32" style="position:absolute;left:9290;top:2635;width:551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">
                  <v:stroke endarrow="block"/>
                </v:shape>
                <v:shape id="AutoShape 35825" o:spid="_x0000_s1638" type="#_x0000_t32" style="position:absolute;left:27152;top:2622;width:551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">
                  <v:stroke endarrow="block"/>
                </v:shape>
                <v:shape id="Text Box 35826" o:spid="_x0000_s1639" type="#_x0000_t202" style="position:absolute;left:32670;top:1257;width:1234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" filled="f" strokeweight=".25pt">
                  <v:textbox inset="1.5mm,1.8mm,1.5mm">
                    <w:txbxContent>
                      <w:p w14:paraId="28B6B050" w14:textId="77777777" w:rsidR="00217891" w:rsidRDefault="00217891" w:rsidP="00CD06E1">
                        <w:pPr>
                          <w:jc w:val="center"/>
                        </w:pPr>
                        <w:r>
                          <w:rPr>
                            <w:rFonts w:hint="eastAsia"/>
                          </w:rPr>
                          <w:t>水喷淋塔</w:t>
                        </w:r>
                      </w:p>
                    </w:txbxContent>
                  </v:textbox>
                </v:shape>
                <v:shape id="AutoShape 35827" o:spid="_x0000_s1640" type="#_x0000_t32" style="position:absolute;left:38842;top:4267;width:13;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">
                  <v:stroke endarrow="block"/>
                </v:shape>
                <v:shape id="Text Box 35828" o:spid="_x0000_s1641" type="#_x0000_t202" style="position:absolute;left:32893;top:7810;width:123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" filled="f" strokeweight=".25pt">
                  <v:textbox inset="1.5mm,1.8mm,1.5mm">
                    <w:txbxContent>
                      <w:p w14:paraId="4A174090" w14:textId="77777777" w:rsidR="00217891" w:rsidRDefault="00217891" w:rsidP="00CD06E1">
                        <w:pPr>
                          <w:jc w:val="center"/>
                        </w:pPr>
                        <w:r>
                          <w:rPr>
                            <w:rFonts w:hint="eastAsia"/>
                          </w:rPr>
                          <w:t>活性炭吸附装置</w:t>
                        </w:r>
                      </w:p>
                    </w:txbxContent>
                  </v:textbox>
                </v:shape>
                <v:shape id="Text Box 35832" o:spid="_x0000_s1642" type="#_x0000_t202" style="position:absolute;left:5181;top:5664;width:1082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" filled="f" stroked="f" strokeweight=".25pt">
                  <v:textbox inset="1.5mm,1.8mm,1.5mm">
                    <w:txbxContent>
                      <w:p w14:paraId="2C0D6173" w14:textId="77777777" w:rsidR="00217891" w:rsidRDefault="00217891" w:rsidP="00CD06E1">
                        <w:pPr>
                          <w:jc w:val="center"/>
                        </w:pPr>
                        <w:r w:rsidRPr="00A06A90">
                          <w:rPr>
                            <w:rFonts w:hint="eastAsia"/>
                          </w:rPr>
                          <w:t>聚合釜下料废气</w:t>
                        </w:r>
                      </w:p>
                    </w:txbxContent>
                  </v:textbox>
                </v:shape>
                <v:shape id="AutoShape 35836" o:spid="_x0000_s1643" type="#_x0000_t32" style="position:absolute;left:39198;top:10820;width:0;height:3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">
                  <v:stroke endarrow="block"/>
                </v:shape>
                <v:shape id="Text Box 35839" o:spid="_x0000_s1644" type="#_x0000_t202" style="position:absolute;left:34309;top:15119;width:982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" filled="f" stroked="f" strokeweight=".25pt">
                  <v:textbox inset="1.5mm,1.8mm,1.5mm">
                    <w:txbxContent>
                      <w:p w14:paraId="40D899E2" w14:textId="77777777" w:rsidR="00217891" w:rsidRPr="00893D23" w:rsidRDefault="00217891" w:rsidP="00CD06E1">
                        <w:pPr>
                          <w:jc w:val="center"/>
                          <w:rPr>
                            <w:rFonts w:asciiTheme="minorHAnsi" w:hAnsiTheme="minorHAnsi"/>
                          </w:rPr>
                        </w:pPr>
                        <w:r w:rsidRPr="00893D23">
                          <w:rPr>
                            <w:rFonts w:asciiTheme="minorHAnsi" w:hAnsiTheme="minorHAnsi"/>
                          </w:rPr>
                          <w:t>25m</w:t>
                        </w:r>
                        <w:r w:rsidRPr="00893D23">
                          <w:rPr>
                            <w:rFonts w:asciiTheme="minorHAnsi" w:hAnsiTheme="minorHAnsi"/>
                          </w:rPr>
                          <w:t>排气筒</w:t>
                        </w:r>
                      </w:p>
                    </w:txbxContent>
                  </v:textbox>
                </v:shape>
                <v:shape id="AutoShape 35841" o:spid="_x0000_s1645" type="#_x0000_t32" style="position:absolute;left:34747;top:3854;width:6;height:3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">
                  <v:stroke endarrow="block"/>
                </v:shape>
                <v:shape id="AutoShape 35842" o:spid="_x0000_s1646" type="#_x0000_t32" style="position:absolute;left:15849;top:7181;width:18822;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"/>
                <w10:wrap type="topAndBottom"/>
              </v:group>
            </w:pict>
          </mc:Fallback>
        </mc:AlternateContent>
      </w:r>
      <w:r w:rsidR="00CD06E1">
        <w:rPr>
          <w:rFonts w:asciiTheme="minorHAnsi" w:hAnsiTheme="minorHAnsi" w:hint="eastAsia"/>
          <w:sz w:val="24"/>
        </w:rPr>
        <w:t>本项目</w:t>
      </w:r>
      <w:r w:rsidR="00A06A90">
        <w:rPr>
          <w:rFonts w:asciiTheme="minorHAnsi" w:hAnsiTheme="minorHAnsi" w:hint="eastAsia"/>
          <w:sz w:val="24"/>
        </w:rPr>
        <w:t>聚合及聚合釜下料</w:t>
      </w:r>
      <w:r w:rsidR="00CD06E1">
        <w:rPr>
          <w:rFonts w:asciiTheme="minorHAnsi" w:hAnsiTheme="minorHAnsi"/>
          <w:sz w:val="24"/>
        </w:rPr>
        <w:t>废气</w:t>
      </w:r>
      <w:r w:rsidR="00CD06E1">
        <w:rPr>
          <w:rFonts w:asciiTheme="minorHAnsi" w:hAnsiTheme="minorHAnsi" w:hint="eastAsia"/>
          <w:sz w:val="24"/>
        </w:rPr>
        <w:t>引至</w:t>
      </w:r>
      <w:r w:rsidR="00AB0983">
        <w:rPr>
          <w:rFonts w:asciiTheme="minorHAnsi" w:hAnsiTheme="minorHAnsi" w:hint="eastAsia"/>
          <w:sz w:val="24"/>
        </w:rPr>
        <w:t>水喷淋</w:t>
      </w:r>
      <w:r w:rsidR="00CD06E1" w:rsidRPr="00387105">
        <w:rPr>
          <w:rFonts w:asciiTheme="minorHAnsi" w:hAnsiTheme="minorHAnsi" w:hint="eastAsia"/>
          <w:sz w:val="24"/>
        </w:rPr>
        <w:t>+</w:t>
      </w:r>
      <w:r w:rsidR="00CD06E1" w:rsidRPr="00387105">
        <w:rPr>
          <w:rFonts w:asciiTheme="minorHAnsi" w:hAnsiTheme="minorHAnsi" w:hint="eastAsia"/>
          <w:sz w:val="24"/>
        </w:rPr>
        <w:t>活性炭</w:t>
      </w:r>
      <w:r w:rsidR="00CD06E1" w:rsidRPr="00387105">
        <w:rPr>
          <w:rFonts w:asciiTheme="minorHAnsi" w:hAnsiTheme="minorHAnsi"/>
          <w:sz w:val="24"/>
        </w:rPr>
        <w:t>吸附装置</w:t>
      </w:r>
      <w:r w:rsidR="00CD06E1">
        <w:rPr>
          <w:rFonts w:asciiTheme="minorHAnsi" w:hAnsiTheme="minorHAnsi" w:hint="eastAsia"/>
          <w:sz w:val="24"/>
        </w:rPr>
        <w:t>，</w:t>
      </w:r>
      <w:r w:rsidR="00A06A90" w:rsidRPr="00A06A90">
        <w:rPr>
          <w:rFonts w:asciiTheme="minorHAnsi" w:hAnsiTheme="minorHAnsi" w:hint="eastAsia"/>
          <w:sz w:val="24"/>
        </w:rPr>
        <w:t>聚合及聚合釜下料废气</w:t>
      </w:r>
      <w:r w:rsidR="00CD06E1">
        <w:rPr>
          <w:rFonts w:asciiTheme="minorHAnsi" w:hAnsiTheme="minorHAnsi" w:hint="eastAsia"/>
          <w:sz w:val="24"/>
        </w:rPr>
        <w:t>处理后</w:t>
      </w:r>
      <w:r w:rsidR="00CD06E1">
        <w:rPr>
          <w:rFonts w:asciiTheme="minorHAnsi" w:hAnsiTheme="minorHAnsi"/>
          <w:sz w:val="24"/>
        </w:rPr>
        <w:t>经</w:t>
      </w:r>
      <w:r w:rsidR="00CD06E1">
        <w:rPr>
          <w:rFonts w:asciiTheme="minorHAnsi" w:hAnsiTheme="minorHAnsi" w:hint="eastAsia"/>
          <w:sz w:val="24"/>
        </w:rPr>
        <w:t>25</w:t>
      </w:r>
      <w:r w:rsidR="00CD06E1">
        <w:rPr>
          <w:rFonts w:asciiTheme="minorHAnsi" w:hAnsiTheme="minorHAnsi"/>
          <w:sz w:val="24"/>
        </w:rPr>
        <w:t>m</w:t>
      </w:r>
      <w:r w:rsidR="00CD06E1">
        <w:rPr>
          <w:rFonts w:asciiTheme="minorHAnsi" w:hAnsiTheme="minorHAnsi"/>
          <w:sz w:val="24"/>
        </w:rPr>
        <w:t>高</w:t>
      </w:r>
      <w:r w:rsidR="00CD06E1">
        <w:rPr>
          <w:rFonts w:ascii="Calibri" w:hAnsi="Calibri" w:hint="eastAsia"/>
          <w:bCs/>
          <w:color w:val="auto"/>
          <w:sz w:val="24"/>
        </w:rPr>
        <w:t>排气筒排放。一期</w:t>
      </w:r>
      <w:r w:rsidR="00CD06E1">
        <w:rPr>
          <w:rFonts w:ascii="Calibri" w:hAnsi="Calibri"/>
          <w:bCs/>
          <w:color w:val="auto"/>
          <w:sz w:val="24"/>
        </w:rPr>
        <w:t>二期工程共用一套废气处理设施。</w:t>
      </w:r>
    </w:p>
    <w:p w14:paraId="52836FC2" w14:textId="138E522A" w:rsidR="00387105" w:rsidRDefault="00387105" w:rsidP="00387105">
      <w:pPr>
        <w:spacing w:line="520" w:lineRule="exact"/>
        <w:ind w:firstLineChars="200" w:firstLine="480"/>
        <w:rPr>
          <w:rFonts w:asciiTheme="minorHAnsi" w:hAnsiTheme="minorHAnsi"/>
          <w:sz w:val="24"/>
        </w:rPr>
      </w:pPr>
    </w:p>
    <w:p w14:paraId="73272585" w14:textId="1EA889CE" w:rsidR="0075760C" w:rsidRDefault="0075760C" w:rsidP="00CD06E1">
      <w:pPr>
        <w:spacing w:line="520" w:lineRule="exact"/>
        <w:ind w:firstLineChars="200" w:firstLine="480"/>
        <w:rPr>
          <w:rFonts w:ascii="Calibri" w:hAnsi="Calibri"/>
          <w:color w:val="auto"/>
          <w:sz w:val="24"/>
        </w:rPr>
      </w:pPr>
    </w:p>
    <w:p w14:paraId="50212B2F" w14:textId="5832E36A" w:rsidR="0075760C" w:rsidRDefault="0075760C" w:rsidP="00CD06E1">
      <w:pPr>
        <w:spacing w:line="520" w:lineRule="exact"/>
        <w:ind w:firstLineChars="200" w:firstLine="480"/>
        <w:rPr>
          <w:rFonts w:ascii="Calibri" w:hAnsi="Calibri"/>
          <w:color w:val="auto"/>
          <w:sz w:val="24"/>
        </w:rPr>
      </w:pPr>
    </w:p>
    <w:p w14:paraId="17634B4F" w14:textId="30F39118" w:rsidR="00CD06E1" w:rsidRDefault="00CD06E1" w:rsidP="00CD06E1">
      <w:pPr>
        <w:spacing w:line="520" w:lineRule="exact"/>
        <w:ind w:firstLineChars="200" w:firstLine="480"/>
        <w:rPr>
          <w:rFonts w:ascii="Calibri" w:hAnsi="Calibri"/>
          <w:color w:val="auto"/>
          <w:sz w:val="24"/>
        </w:rPr>
      </w:pPr>
      <w:r>
        <w:rPr>
          <w:rFonts w:ascii="Calibri" w:hAnsi="Calibri" w:hint="eastAsia"/>
          <w:color w:val="auto"/>
          <w:sz w:val="24"/>
        </w:rPr>
        <w:lastRenderedPageBreak/>
        <w:t>（</w:t>
      </w:r>
      <w:r>
        <w:rPr>
          <w:rFonts w:ascii="Calibri" w:hAnsi="Calibri" w:hint="eastAsia"/>
          <w:color w:val="auto"/>
          <w:sz w:val="24"/>
        </w:rPr>
        <w:t>1</w:t>
      </w:r>
      <w:r>
        <w:rPr>
          <w:rFonts w:ascii="Calibri" w:hAnsi="Calibri" w:hint="eastAsia"/>
          <w:color w:val="auto"/>
          <w:sz w:val="24"/>
        </w:rPr>
        <w:t>）</w:t>
      </w:r>
      <w:r w:rsidR="008517DC">
        <w:rPr>
          <w:rFonts w:ascii="Calibri" w:hAnsi="Calibri" w:hint="eastAsia"/>
          <w:color w:val="auto"/>
          <w:sz w:val="24"/>
        </w:rPr>
        <w:t>水喷淋塔</w:t>
      </w:r>
      <w:r w:rsidR="008517DC">
        <w:rPr>
          <w:rFonts w:ascii="Calibri" w:hAnsi="Calibri"/>
          <w:color w:val="auto"/>
          <w:sz w:val="24"/>
        </w:rPr>
        <w:t>吸收装置</w:t>
      </w:r>
    </w:p>
    <w:p w14:paraId="574CC368" w14:textId="77777777" w:rsidR="008517DC" w:rsidRPr="004A6C65" w:rsidRDefault="008517DC" w:rsidP="008517DC">
      <w:pPr>
        <w:spacing w:line="520" w:lineRule="exact"/>
        <w:ind w:firstLineChars="200" w:firstLine="480"/>
        <w:rPr>
          <w:rFonts w:ascii="Calibri" w:hAnsi="Calibri"/>
          <w:color w:val="auto"/>
          <w:sz w:val="24"/>
        </w:rPr>
      </w:pPr>
      <w:r>
        <w:rPr>
          <w:rFonts w:ascii="Calibri" w:hAnsi="Calibri" w:hint="eastAsia"/>
          <w:color w:val="auto"/>
          <w:sz w:val="24"/>
        </w:rPr>
        <w:t>水</w:t>
      </w:r>
      <w:r w:rsidRPr="004A6C65">
        <w:rPr>
          <w:rFonts w:ascii="Calibri" w:hAnsi="Calibri" w:hint="eastAsia"/>
          <w:color w:val="auto"/>
          <w:sz w:val="24"/>
        </w:rPr>
        <w:t>吸收塔一般采用逆流操作，即</w:t>
      </w:r>
      <w:r>
        <w:rPr>
          <w:rFonts w:ascii="Calibri" w:hAnsi="Calibri" w:hint="eastAsia"/>
          <w:color w:val="auto"/>
          <w:sz w:val="24"/>
        </w:rPr>
        <w:t>水</w:t>
      </w:r>
      <w:r w:rsidRPr="004A6C65">
        <w:rPr>
          <w:rFonts w:ascii="Calibri" w:hAnsi="Calibri" w:hint="eastAsia"/>
          <w:color w:val="auto"/>
          <w:sz w:val="24"/>
        </w:rPr>
        <w:t>在塔内自上而下流动，气体自下而上流动，气体自下而上通过，逆流吸收可以使吸收更完善，并获得较大的吸收推动力。</w:t>
      </w:r>
    </w:p>
    <w:p w14:paraId="36F13EFA" w14:textId="4E4DE675" w:rsidR="00582FE1" w:rsidRDefault="008517DC" w:rsidP="00582FE1">
      <w:pPr>
        <w:spacing w:line="520" w:lineRule="exact"/>
        <w:ind w:firstLineChars="200" w:firstLine="480"/>
        <w:rPr>
          <w:rFonts w:ascii="Calibri" w:hAnsi="Calibri"/>
          <w:color w:val="auto"/>
          <w:sz w:val="24"/>
        </w:rPr>
      </w:pPr>
      <w:r>
        <w:rPr>
          <w:rFonts w:ascii="Calibri" w:hAnsi="Calibri" w:hint="eastAsia"/>
          <w:color w:val="auto"/>
          <w:sz w:val="24"/>
        </w:rPr>
        <w:t>废气</w:t>
      </w:r>
      <w:r w:rsidRPr="004A6C65">
        <w:rPr>
          <w:rFonts w:ascii="Calibri" w:hAnsi="Calibri" w:hint="eastAsia"/>
          <w:color w:val="auto"/>
          <w:sz w:val="24"/>
        </w:rPr>
        <w:t>通过风机引入</w:t>
      </w:r>
      <w:r>
        <w:rPr>
          <w:rFonts w:ascii="Calibri" w:hAnsi="Calibri" w:hint="eastAsia"/>
          <w:color w:val="auto"/>
          <w:sz w:val="24"/>
        </w:rPr>
        <w:t>水</w:t>
      </w:r>
      <w:r w:rsidRPr="004A6C65">
        <w:rPr>
          <w:rFonts w:ascii="Calibri" w:hAnsi="Calibri" w:hint="eastAsia"/>
          <w:color w:val="auto"/>
          <w:sz w:val="24"/>
        </w:rPr>
        <w:t>吸收</w:t>
      </w:r>
      <w:r>
        <w:rPr>
          <w:rFonts w:ascii="Calibri" w:hAnsi="Calibri" w:hint="eastAsia"/>
          <w:color w:val="auto"/>
          <w:sz w:val="24"/>
        </w:rPr>
        <w:t>装置</w:t>
      </w:r>
      <w:r w:rsidRPr="004A6C65">
        <w:rPr>
          <w:rFonts w:ascii="Calibri" w:hAnsi="Calibri" w:hint="eastAsia"/>
          <w:color w:val="auto"/>
          <w:sz w:val="24"/>
        </w:rPr>
        <w:t>，</w:t>
      </w:r>
      <w:r>
        <w:rPr>
          <w:rFonts w:ascii="Calibri" w:hAnsi="Calibri" w:hint="eastAsia"/>
          <w:color w:val="auto"/>
          <w:sz w:val="24"/>
        </w:rPr>
        <w:t>溶于</w:t>
      </w:r>
      <w:r>
        <w:rPr>
          <w:rFonts w:ascii="Calibri" w:hAnsi="Calibri"/>
          <w:color w:val="auto"/>
          <w:sz w:val="24"/>
        </w:rPr>
        <w:t>水</w:t>
      </w:r>
      <w:r>
        <w:rPr>
          <w:rFonts w:ascii="Calibri" w:hAnsi="Calibri" w:hint="eastAsia"/>
          <w:color w:val="auto"/>
          <w:sz w:val="24"/>
        </w:rPr>
        <w:t>中</w:t>
      </w:r>
      <w:r w:rsidRPr="004A6C65">
        <w:rPr>
          <w:rFonts w:ascii="Calibri" w:hAnsi="Calibri" w:hint="eastAsia"/>
          <w:color w:val="auto"/>
          <w:sz w:val="24"/>
        </w:rPr>
        <w:t>，达到净化废气的目的</w:t>
      </w:r>
      <w:r>
        <w:rPr>
          <w:rFonts w:ascii="Calibri" w:hAnsi="Calibri" w:hint="eastAsia"/>
          <w:color w:val="auto"/>
          <w:sz w:val="24"/>
        </w:rPr>
        <w:t>。水</w:t>
      </w:r>
      <w:r w:rsidRPr="004A6C65">
        <w:rPr>
          <w:rFonts w:ascii="Calibri" w:hAnsi="Calibri" w:hint="eastAsia"/>
          <w:color w:val="auto"/>
          <w:sz w:val="24"/>
        </w:rPr>
        <w:t>吸收塔运行过程中</w:t>
      </w:r>
      <w:r>
        <w:rPr>
          <w:rFonts w:ascii="Calibri" w:hAnsi="Calibri" w:hint="eastAsia"/>
          <w:color w:val="auto"/>
          <w:sz w:val="24"/>
        </w:rPr>
        <w:t>水</w:t>
      </w:r>
      <w:r w:rsidRPr="004A6C65">
        <w:rPr>
          <w:rFonts w:ascii="Calibri" w:hAnsi="Calibri" w:hint="eastAsia"/>
          <w:color w:val="auto"/>
          <w:sz w:val="24"/>
        </w:rPr>
        <w:t>循环使用，</w:t>
      </w:r>
      <w:r>
        <w:rPr>
          <w:rFonts w:ascii="Calibri" w:hAnsi="Calibri" w:hint="eastAsia"/>
          <w:color w:val="auto"/>
          <w:sz w:val="24"/>
        </w:rPr>
        <w:t>随着</w:t>
      </w:r>
      <w:r>
        <w:rPr>
          <w:rFonts w:ascii="Calibri" w:hAnsi="Calibri"/>
          <w:color w:val="auto"/>
          <w:sz w:val="24"/>
        </w:rPr>
        <w:t>废气吸收量增大，</w:t>
      </w:r>
      <w:r w:rsidRPr="004A6C65">
        <w:rPr>
          <w:rFonts w:ascii="Calibri" w:hAnsi="Calibri" w:hint="eastAsia"/>
          <w:color w:val="auto"/>
          <w:sz w:val="24"/>
        </w:rPr>
        <w:t>吸收效率将大大下降，因此，</w:t>
      </w:r>
      <w:r>
        <w:rPr>
          <w:rFonts w:ascii="Calibri" w:hAnsi="Calibri" w:hint="eastAsia"/>
          <w:color w:val="auto"/>
          <w:sz w:val="24"/>
        </w:rPr>
        <w:t>在</w:t>
      </w:r>
      <w:r>
        <w:rPr>
          <w:rFonts w:ascii="Calibri" w:hAnsi="Calibri"/>
          <w:color w:val="auto"/>
          <w:sz w:val="24"/>
        </w:rPr>
        <w:t>水吸收塔装置运行过程中</w:t>
      </w:r>
      <w:r w:rsidRPr="004A6C65">
        <w:rPr>
          <w:rFonts w:ascii="Calibri" w:hAnsi="Calibri" w:hint="eastAsia"/>
          <w:color w:val="auto"/>
          <w:sz w:val="24"/>
        </w:rPr>
        <w:t>每天需要补充</w:t>
      </w:r>
      <w:r>
        <w:rPr>
          <w:rFonts w:ascii="Calibri" w:hAnsi="Calibri" w:hint="eastAsia"/>
          <w:color w:val="auto"/>
          <w:sz w:val="24"/>
        </w:rPr>
        <w:t>新鲜水</w:t>
      </w:r>
      <w:r w:rsidRPr="004A6C65">
        <w:rPr>
          <w:rFonts w:ascii="Calibri" w:hAnsi="Calibri"/>
          <w:color w:val="auto"/>
          <w:sz w:val="24"/>
        </w:rPr>
        <w:t>，吸收液每</w:t>
      </w:r>
      <w:r w:rsidR="00582FE1">
        <w:rPr>
          <w:rFonts w:ascii="Calibri" w:hAnsi="Calibri"/>
          <w:color w:val="auto"/>
          <w:sz w:val="24"/>
        </w:rPr>
        <w:t>10</w:t>
      </w:r>
      <w:r w:rsidRPr="004A6C65">
        <w:rPr>
          <w:rFonts w:ascii="Calibri" w:hAnsi="Calibri" w:hint="eastAsia"/>
          <w:color w:val="auto"/>
          <w:sz w:val="24"/>
        </w:rPr>
        <w:t>天</w:t>
      </w:r>
      <w:r w:rsidRPr="004A6C65">
        <w:rPr>
          <w:rFonts w:ascii="Calibri" w:hAnsi="Calibri"/>
          <w:color w:val="auto"/>
          <w:sz w:val="24"/>
        </w:rPr>
        <w:t>排放一次，</w:t>
      </w:r>
      <w:r w:rsidRPr="004A6C65">
        <w:rPr>
          <w:rFonts w:ascii="Calibri" w:hAnsi="Calibri" w:hint="eastAsia"/>
          <w:color w:val="auto"/>
          <w:sz w:val="24"/>
        </w:rPr>
        <w:t>以保证</w:t>
      </w:r>
      <w:r w:rsidR="00582FE1">
        <w:rPr>
          <w:rFonts w:ascii="Calibri" w:hAnsi="Calibri" w:hint="eastAsia"/>
          <w:color w:val="auto"/>
          <w:sz w:val="24"/>
        </w:rPr>
        <w:t>水</w:t>
      </w:r>
      <w:r w:rsidRPr="004A6C65">
        <w:rPr>
          <w:rFonts w:ascii="Calibri" w:hAnsi="Calibri" w:hint="eastAsia"/>
          <w:color w:val="auto"/>
          <w:sz w:val="24"/>
        </w:rPr>
        <w:t>吸收</w:t>
      </w:r>
      <w:r>
        <w:rPr>
          <w:rFonts w:ascii="Calibri" w:hAnsi="Calibri" w:hint="eastAsia"/>
          <w:color w:val="auto"/>
          <w:sz w:val="24"/>
        </w:rPr>
        <w:t>装置</w:t>
      </w:r>
      <w:r w:rsidRPr="004A6C65">
        <w:rPr>
          <w:rFonts w:ascii="Calibri" w:hAnsi="Calibri" w:hint="eastAsia"/>
          <w:color w:val="auto"/>
          <w:sz w:val="24"/>
        </w:rPr>
        <w:t>正常运行</w:t>
      </w:r>
      <w:r>
        <w:rPr>
          <w:rFonts w:ascii="Calibri" w:hAnsi="Calibri" w:hint="eastAsia"/>
          <w:color w:val="auto"/>
          <w:sz w:val="24"/>
        </w:rPr>
        <w:t>。本项目采用</w:t>
      </w:r>
      <w:r w:rsidR="00582FE1">
        <w:rPr>
          <w:rFonts w:ascii="Calibri" w:hAnsi="Calibri"/>
          <w:color w:val="auto"/>
          <w:sz w:val="24"/>
        </w:rPr>
        <w:t>水喷淋装置，对废气吸收效率</w:t>
      </w:r>
      <w:r w:rsidR="00582FE1">
        <w:rPr>
          <w:rFonts w:ascii="Calibri" w:hAnsi="Calibri" w:hint="eastAsia"/>
          <w:color w:val="auto"/>
          <w:sz w:val="24"/>
        </w:rPr>
        <w:t>不低于</w:t>
      </w:r>
      <w:r w:rsidR="00383797">
        <w:rPr>
          <w:rFonts w:ascii="Calibri" w:hAnsi="Calibri"/>
          <w:color w:val="auto"/>
          <w:sz w:val="24"/>
        </w:rPr>
        <w:t>60</w:t>
      </w:r>
      <w:r w:rsidR="00582FE1">
        <w:rPr>
          <w:rFonts w:ascii="Calibri" w:hAnsi="Calibri" w:hint="eastAsia"/>
          <w:color w:val="auto"/>
          <w:sz w:val="24"/>
        </w:rPr>
        <w:t>%</w:t>
      </w:r>
      <w:r w:rsidR="00582FE1">
        <w:rPr>
          <w:rFonts w:ascii="Calibri" w:hAnsi="Calibri" w:hint="eastAsia"/>
          <w:color w:val="auto"/>
          <w:sz w:val="24"/>
        </w:rPr>
        <w:t>。</w:t>
      </w:r>
    </w:p>
    <w:p w14:paraId="6009E0A0" w14:textId="77777777" w:rsidR="008517DC" w:rsidRDefault="008517DC" w:rsidP="008517DC">
      <w:pPr>
        <w:spacing w:line="520" w:lineRule="exact"/>
        <w:ind w:firstLineChars="200" w:firstLine="480"/>
        <w:rPr>
          <w:rFonts w:ascii="Calibri" w:hAnsi="Calibri"/>
          <w:color w:val="auto"/>
          <w:sz w:val="24"/>
        </w:rPr>
      </w:pPr>
      <w:r>
        <w:rPr>
          <w:rFonts w:ascii="Calibri" w:hAnsi="Calibri" w:hint="eastAsia"/>
          <w:color w:val="auto"/>
          <w:sz w:val="24"/>
        </w:rPr>
        <w:t>（</w:t>
      </w:r>
      <w:r w:rsidR="00582FE1">
        <w:rPr>
          <w:rFonts w:ascii="Calibri" w:hAnsi="Calibri"/>
          <w:color w:val="auto"/>
          <w:sz w:val="24"/>
        </w:rPr>
        <w:t>2</w:t>
      </w:r>
      <w:r>
        <w:rPr>
          <w:rFonts w:ascii="Calibri" w:hAnsi="Calibri" w:hint="eastAsia"/>
          <w:color w:val="auto"/>
          <w:sz w:val="24"/>
        </w:rPr>
        <w:t>）活性炭吸附装置</w:t>
      </w:r>
    </w:p>
    <w:p w14:paraId="75FB31DD" w14:textId="77777777" w:rsidR="008517DC" w:rsidRDefault="008517DC" w:rsidP="008517DC">
      <w:pPr>
        <w:spacing w:line="520" w:lineRule="exact"/>
        <w:ind w:firstLineChars="200" w:firstLine="480"/>
        <w:rPr>
          <w:rFonts w:ascii="Calibri" w:hAnsi="Calibri"/>
          <w:color w:val="auto"/>
          <w:sz w:val="24"/>
        </w:rPr>
      </w:pPr>
      <w:r w:rsidRPr="00AC409F">
        <w:rPr>
          <w:rFonts w:ascii="Calibri" w:hAnsi="Calibri"/>
          <w:color w:val="auto"/>
          <w:sz w:val="24"/>
        </w:rPr>
        <w:t>活性炭是一种很细小的炭粒有很大的表面积，而且炭粒中还有更细小的孔</w:t>
      </w:r>
      <w:r w:rsidRPr="00AC409F">
        <w:rPr>
          <w:rFonts w:ascii="Calibri" w:hAnsi="Calibri"/>
          <w:color w:val="auto"/>
          <w:sz w:val="24"/>
        </w:rPr>
        <w:t>——</w:t>
      </w:r>
      <w:r w:rsidRPr="00AC409F">
        <w:rPr>
          <w:rFonts w:ascii="Calibri" w:hAnsi="Calibri"/>
          <w:color w:val="auto"/>
          <w:sz w:val="24"/>
        </w:rPr>
        <w:t>毛细管。这种毛细管具有很强的吸附能力，由于炭粒的表面积很大，所以能与气体（杂质）充分接触。当这些气体（杂质）碰到毛细管被吸附，起</w:t>
      </w:r>
      <w:r>
        <w:rPr>
          <w:rFonts w:ascii="Calibri" w:hAnsi="Calibri" w:hint="eastAsia"/>
          <w:color w:val="auto"/>
          <w:sz w:val="24"/>
        </w:rPr>
        <w:t>到</w:t>
      </w:r>
      <w:r w:rsidRPr="00AC409F">
        <w:rPr>
          <w:rFonts w:ascii="Calibri" w:hAnsi="Calibri"/>
          <w:color w:val="auto"/>
          <w:sz w:val="24"/>
        </w:rPr>
        <w:t>净化作用。</w:t>
      </w:r>
      <w:r>
        <w:rPr>
          <w:rFonts w:ascii="Calibri" w:hAnsi="Calibri" w:hint="eastAsia"/>
          <w:color w:val="auto"/>
          <w:sz w:val="24"/>
        </w:rPr>
        <w:t>此外，</w:t>
      </w:r>
      <w:r w:rsidRPr="00AC409F">
        <w:rPr>
          <w:rFonts w:ascii="Calibri" w:hAnsi="Calibri"/>
          <w:color w:val="auto"/>
          <w:sz w:val="24"/>
        </w:rPr>
        <w:t>活性炭表面上存在着未平衡和未饱和的分子引力或化学键力，因此</w:t>
      </w:r>
      <w:r>
        <w:rPr>
          <w:rFonts w:ascii="Calibri" w:hAnsi="Calibri" w:hint="eastAsia"/>
          <w:color w:val="auto"/>
          <w:sz w:val="24"/>
        </w:rPr>
        <w:t>，活性炭</w:t>
      </w:r>
      <w:r w:rsidRPr="00AC409F">
        <w:rPr>
          <w:rFonts w:ascii="Calibri" w:hAnsi="Calibri"/>
          <w:color w:val="auto"/>
          <w:sz w:val="24"/>
        </w:rPr>
        <w:t>表面与气体接触时，就能吸引气体分子，</w:t>
      </w:r>
      <w:r w:rsidRPr="00AC409F">
        <w:rPr>
          <w:rFonts w:ascii="Calibri" w:hAnsi="Calibri" w:hint="eastAsia"/>
          <w:color w:val="auto"/>
          <w:sz w:val="24"/>
        </w:rPr>
        <w:t>使其浓聚并保持在</w:t>
      </w:r>
      <w:r>
        <w:rPr>
          <w:rFonts w:ascii="Calibri" w:hAnsi="Calibri" w:hint="eastAsia"/>
          <w:color w:val="auto"/>
          <w:sz w:val="24"/>
        </w:rPr>
        <w:t>活性炭</w:t>
      </w:r>
      <w:r w:rsidRPr="00AC409F">
        <w:rPr>
          <w:rFonts w:ascii="Calibri" w:hAnsi="Calibri" w:hint="eastAsia"/>
          <w:color w:val="auto"/>
          <w:sz w:val="24"/>
        </w:rPr>
        <w:t>表面，此现象称为吸附</w:t>
      </w:r>
      <w:r>
        <w:rPr>
          <w:rFonts w:ascii="Calibri" w:hAnsi="Calibri" w:hint="eastAsia"/>
          <w:color w:val="auto"/>
          <w:sz w:val="24"/>
        </w:rPr>
        <w:t>；</w:t>
      </w:r>
      <w:r w:rsidRPr="00AC409F">
        <w:rPr>
          <w:rFonts w:ascii="Calibri" w:hAnsi="Calibri" w:hint="eastAsia"/>
          <w:color w:val="auto"/>
          <w:sz w:val="24"/>
        </w:rPr>
        <w:t>利用</w:t>
      </w:r>
      <w:r>
        <w:rPr>
          <w:rFonts w:ascii="Calibri" w:hAnsi="Calibri" w:hint="eastAsia"/>
          <w:color w:val="auto"/>
          <w:sz w:val="24"/>
        </w:rPr>
        <w:t>活性炭</w:t>
      </w:r>
      <w:r w:rsidRPr="00AC409F">
        <w:rPr>
          <w:rFonts w:ascii="Calibri" w:hAnsi="Calibri" w:hint="eastAsia"/>
          <w:color w:val="auto"/>
          <w:sz w:val="24"/>
        </w:rPr>
        <w:t>表面的吸附能力，使废气与大表面的多孔性</w:t>
      </w:r>
      <w:r>
        <w:rPr>
          <w:rFonts w:ascii="Calibri" w:hAnsi="Calibri" w:hint="eastAsia"/>
          <w:color w:val="auto"/>
          <w:sz w:val="24"/>
        </w:rPr>
        <w:t>活性炭</w:t>
      </w:r>
      <w:r w:rsidRPr="00AC409F">
        <w:rPr>
          <w:rFonts w:ascii="Calibri" w:hAnsi="Calibri" w:hint="eastAsia"/>
          <w:color w:val="auto"/>
          <w:sz w:val="24"/>
        </w:rPr>
        <w:t>相接触，废气中的污染物被吸附在</w:t>
      </w:r>
      <w:r>
        <w:rPr>
          <w:rFonts w:ascii="Calibri" w:hAnsi="Calibri" w:hint="eastAsia"/>
          <w:color w:val="auto"/>
          <w:sz w:val="24"/>
        </w:rPr>
        <w:t>活性炭</w:t>
      </w:r>
      <w:r w:rsidRPr="00AC409F">
        <w:rPr>
          <w:rFonts w:ascii="Calibri" w:hAnsi="Calibri" w:hint="eastAsia"/>
          <w:color w:val="auto"/>
          <w:sz w:val="24"/>
        </w:rPr>
        <w:t>表面上，使其与气体混合物分离，达到净化目的。</w:t>
      </w:r>
    </w:p>
    <w:p w14:paraId="40B4E006" w14:textId="67475F14" w:rsidR="008517DC" w:rsidRPr="00AC409F" w:rsidRDefault="008517DC" w:rsidP="008517DC">
      <w:pPr>
        <w:spacing w:line="520" w:lineRule="exact"/>
        <w:ind w:firstLineChars="200" w:firstLine="480"/>
        <w:rPr>
          <w:rFonts w:ascii="Calibri" w:hAnsi="Calibri"/>
          <w:color w:val="auto"/>
          <w:sz w:val="24"/>
        </w:rPr>
      </w:pPr>
      <w:r>
        <w:rPr>
          <w:rFonts w:ascii="Calibri" w:hAnsi="Calibri" w:hint="eastAsia"/>
          <w:color w:val="auto"/>
          <w:sz w:val="24"/>
        </w:rPr>
        <w:t>本项目活性炭吸附装置共设置</w:t>
      </w:r>
      <w:r w:rsidR="00582FE1">
        <w:rPr>
          <w:rFonts w:ascii="Calibri" w:hAnsi="Calibri"/>
          <w:color w:val="auto"/>
          <w:sz w:val="24"/>
        </w:rPr>
        <w:t>2</w:t>
      </w:r>
      <w:r>
        <w:rPr>
          <w:rFonts w:ascii="Calibri" w:hAnsi="Calibri" w:hint="eastAsia"/>
          <w:color w:val="auto"/>
          <w:sz w:val="24"/>
        </w:rPr>
        <w:t>套活性炭箱，</w:t>
      </w:r>
      <w:r w:rsidR="00582FE1">
        <w:rPr>
          <w:rFonts w:ascii="Calibri" w:hAnsi="Calibri"/>
          <w:color w:val="auto"/>
          <w:sz w:val="24"/>
        </w:rPr>
        <w:t>1</w:t>
      </w:r>
      <w:r>
        <w:rPr>
          <w:rFonts w:ascii="Calibri" w:hAnsi="Calibri" w:hint="eastAsia"/>
          <w:color w:val="auto"/>
          <w:sz w:val="24"/>
        </w:rPr>
        <w:t>套在用，</w:t>
      </w:r>
      <w:r>
        <w:rPr>
          <w:rFonts w:ascii="Calibri" w:hAnsi="Calibri" w:hint="eastAsia"/>
          <w:color w:val="auto"/>
          <w:sz w:val="24"/>
        </w:rPr>
        <w:t>1</w:t>
      </w:r>
      <w:r>
        <w:rPr>
          <w:rFonts w:ascii="Calibri" w:hAnsi="Calibri" w:hint="eastAsia"/>
          <w:color w:val="auto"/>
          <w:sz w:val="24"/>
        </w:rPr>
        <w:t>套</w:t>
      </w:r>
      <w:r w:rsidR="00383797">
        <w:rPr>
          <w:rFonts w:ascii="Calibri" w:hAnsi="Calibri" w:hint="eastAsia"/>
          <w:color w:val="auto"/>
          <w:sz w:val="24"/>
        </w:rPr>
        <w:t>备用</w:t>
      </w:r>
      <w:r>
        <w:rPr>
          <w:rFonts w:ascii="Calibri" w:hAnsi="Calibri" w:hint="eastAsia"/>
          <w:color w:val="auto"/>
          <w:sz w:val="24"/>
        </w:rPr>
        <w:t>，以保证活性炭吸附装置处于最佳运行状态，保证活性炭吸附效率。</w:t>
      </w:r>
    </w:p>
    <w:p w14:paraId="76032004" w14:textId="77777777" w:rsidR="00CD06E1" w:rsidRPr="008517DC" w:rsidRDefault="00582FE1" w:rsidP="00387105">
      <w:pPr>
        <w:spacing w:line="520" w:lineRule="exact"/>
        <w:ind w:firstLineChars="200" w:firstLine="480"/>
        <w:rPr>
          <w:rFonts w:asciiTheme="minorHAnsi" w:hAnsiTheme="minorHAnsi"/>
          <w:sz w:val="24"/>
          <w:szCs w:val="28"/>
        </w:rPr>
      </w:pPr>
      <w:r>
        <w:rPr>
          <w:rFonts w:asciiTheme="minorHAnsi" w:hAnsiTheme="minorHAnsi" w:hint="eastAsia"/>
          <w:sz w:val="24"/>
          <w:szCs w:val="28"/>
        </w:rPr>
        <w:t>（</w:t>
      </w:r>
      <w:r>
        <w:rPr>
          <w:rFonts w:asciiTheme="minorHAnsi" w:hAnsiTheme="minorHAnsi" w:hint="eastAsia"/>
          <w:sz w:val="24"/>
          <w:szCs w:val="28"/>
        </w:rPr>
        <w:t>3</w:t>
      </w:r>
      <w:r>
        <w:rPr>
          <w:rFonts w:asciiTheme="minorHAnsi" w:hAnsiTheme="minorHAnsi" w:hint="eastAsia"/>
          <w:sz w:val="24"/>
          <w:szCs w:val="28"/>
        </w:rPr>
        <w:t>）达标</w:t>
      </w:r>
      <w:r>
        <w:rPr>
          <w:rFonts w:asciiTheme="minorHAnsi" w:hAnsiTheme="minorHAnsi"/>
          <w:sz w:val="24"/>
          <w:szCs w:val="28"/>
        </w:rPr>
        <w:t>分析</w:t>
      </w:r>
    </w:p>
    <w:p w14:paraId="70F0317C" w14:textId="3A379438" w:rsidR="00582FE1" w:rsidRPr="00DE6E0D" w:rsidRDefault="00DE6E0D" w:rsidP="00DE6E0D">
      <w:pPr>
        <w:pStyle w:val="00"/>
        <w:ind w:firstLineChars="250" w:firstLine="602"/>
        <w:rPr>
          <w:rFonts w:ascii="Calibri" w:hAnsi="Calibri"/>
          <w:b/>
          <w:u w:val="single"/>
        </w:rPr>
      </w:pPr>
      <w:r>
        <w:rPr>
          <w:rFonts w:ascii="Calibri" w:hAnsi="Calibri"/>
          <w:b/>
          <w:u w:val="single"/>
        </w:rPr>
        <w:t>本项目</w:t>
      </w:r>
      <w:r>
        <w:rPr>
          <w:rFonts w:ascii="Calibri" w:hAnsi="Calibri" w:hint="eastAsia"/>
          <w:b/>
          <w:u w:val="single"/>
        </w:rPr>
        <w:t>聚合反应釜较多</w:t>
      </w:r>
      <w:r>
        <w:rPr>
          <w:rFonts w:ascii="Calibri" w:hAnsi="Calibri"/>
          <w:b/>
          <w:u w:val="single"/>
        </w:rPr>
        <w:t>，各</w:t>
      </w:r>
      <w:r>
        <w:rPr>
          <w:rFonts w:ascii="Calibri" w:hAnsi="Calibri" w:hint="eastAsia"/>
          <w:b/>
          <w:u w:val="single"/>
        </w:rPr>
        <w:t>反应釜</w:t>
      </w:r>
      <w:r>
        <w:rPr>
          <w:rFonts w:ascii="Calibri" w:hAnsi="Calibri"/>
          <w:b/>
          <w:u w:val="single"/>
        </w:rPr>
        <w:t>产生的工艺废气通过</w:t>
      </w:r>
      <w:r>
        <w:rPr>
          <w:rFonts w:ascii="Calibri" w:hAnsi="Calibri" w:hint="eastAsia"/>
          <w:b/>
          <w:u w:val="single"/>
        </w:rPr>
        <w:t>独立</w:t>
      </w:r>
      <w:r>
        <w:rPr>
          <w:rFonts w:ascii="Calibri" w:hAnsi="Calibri"/>
          <w:b/>
          <w:u w:val="single"/>
        </w:rPr>
        <w:t>的集气管道收集后并入废气总管，</w:t>
      </w:r>
      <w:r>
        <w:rPr>
          <w:rFonts w:ascii="Calibri" w:hAnsi="Calibri" w:hint="eastAsia"/>
          <w:b/>
          <w:u w:val="single"/>
        </w:rPr>
        <w:t>工艺废气</w:t>
      </w:r>
      <w:r>
        <w:rPr>
          <w:rFonts w:ascii="Calibri" w:hAnsi="Calibri"/>
          <w:b/>
          <w:u w:val="single"/>
        </w:rPr>
        <w:t>全部收集，</w:t>
      </w:r>
      <w:r>
        <w:rPr>
          <w:rFonts w:ascii="Calibri" w:hAnsi="Calibri" w:hint="eastAsia"/>
          <w:b/>
          <w:u w:val="single"/>
        </w:rPr>
        <w:t>一期</w:t>
      </w:r>
      <w:r>
        <w:rPr>
          <w:rFonts w:ascii="Calibri" w:hAnsi="Calibri"/>
          <w:b/>
          <w:u w:val="single"/>
        </w:rPr>
        <w:t>工程废气总量</w:t>
      </w:r>
      <w:r>
        <w:rPr>
          <w:rFonts w:ascii="Calibri" w:hAnsi="Calibri"/>
          <w:b/>
          <w:u w:val="single"/>
        </w:rPr>
        <w:t>3</w:t>
      </w:r>
      <w:r>
        <w:rPr>
          <w:rFonts w:ascii="Calibri" w:hAnsi="Calibri" w:hint="eastAsia"/>
          <w:b/>
          <w:u w:val="single"/>
        </w:rPr>
        <w:t>000</w:t>
      </w:r>
      <w:r>
        <w:rPr>
          <w:rFonts w:ascii="Calibri" w:hAnsi="Calibri"/>
          <w:b/>
          <w:u w:val="single"/>
        </w:rPr>
        <w:t>m</w:t>
      </w:r>
      <w:r w:rsidRPr="002F74B8">
        <w:rPr>
          <w:rFonts w:ascii="Calibri" w:hAnsi="Calibri"/>
          <w:b/>
          <w:u w:val="single"/>
          <w:vertAlign w:val="superscript"/>
        </w:rPr>
        <w:t>3</w:t>
      </w:r>
      <w:r>
        <w:rPr>
          <w:rFonts w:ascii="Calibri" w:hAnsi="Calibri"/>
          <w:b/>
          <w:u w:val="single"/>
        </w:rPr>
        <w:t>/h</w:t>
      </w:r>
      <w:r>
        <w:rPr>
          <w:rFonts w:ascii="Calibri" w:hAnsi="Calibri" w:hint="eastAsia"/>
          <w:b/>
          <w:u w:val="single"/>
        </w:rPr>
        <w:t>，</w:t>
      </w:r>
      <w:r>
        <w:rPr>
          <w:rFonts w:ascii="Calibri" w:hAnsi="Calibri"/>
          <w:b/>
          <w:u w:val="single"/>
        </w:rPr>
        <w:t>二期工程</w:t>
      </w:r>
      <w:r>
        <w:rPr>
          <w:rFonts w:ascii="Calibri" w:hAnsi="Calibri" w:hint="eastAsia"/>
          <w:b/>
          <w:u w:val="single"/>
        </w:rPr>
        <w:t>废气</w:t>
      </w:r>
      <w:r>
        <w:rPr>
          <w:rFonts w:ascii="Calibri" w:hAnsi="Calibri"/>
          <w:b/>
          <w:u w:val="single"/>
        </w:rPr>
        <w:t>总量</w:t>
      </w:r>
      <w:r>
        <w:rPr>
          <w:rFonts w:ascii="Calibri" w:hAnsi="Calibri"/>
          <w:b/>
          <w:u w:val="single"/>
        </w:rPr>
        <w:t>2</w:t>
      </w:r>
      <w:r>
        <w:rPr>
          <w:rFonts w:ascii="Calibri" w:hAnsi="Calibri" w:hint="eastAsia"/>
          <w:b/>
          <w:u w:val="single"/>
        </w:rPr>
        <w:t>000</w:t>
      </w:r>
      <w:r>
        <w:rPr>
          <w:rFonts w:ascii="Calibri" w:hAnsi="Calibri"/>
          <w:b/>
          <w:u w:val="single"/>
        </w:rPr>
        <w:t>m</w:t>
      </w:r>
      <w:r w:rsidRPr="002F74B8">
        <w:rPr>
          <w:rFonts w:ascii="Calibri" w:hAnsi="Calibri"/>
          <w:b/>
          <w:u w:val="single"/>
          <w:vertAlign w:val="superscript"/>
        </w:rPr>
        <w:t>3</w:t>
      </w:r>
      <w:r>
        <w:rPr>
          <w:rFonts w:ascii="Calibri" w:hAnsi="Calibri"/>
          <w:b/>
          <w:u w:val="single"/>
        </w:rPr>
        <w:t>/h</w:t>
      </w:r>
      <w:r>
        <w:rPr>
          <w:rFonts w:ascii="Calibri" w:hAnsi="Calibri" w:hint="eastAsia"/>
          <w:b/>
          <w:u w:val="single"/>
        </w:rPr>
        <w:t>，在</w:t>
      </w:r>
      <w:r>
        <w:rPr>
          <w:rFonts w:ascii="Calibri" w:hAnsi="Calibri"/>
          <w:b/>
          <w:u w:val="single"/>
        </w:rPr>
        <w:t>各集气装置</w:t>
      </w:r>
      <w:r>
        <w:rPr>
          <w:rFonts w:ascii="Calibri" w:hAnsi="Calibri" w:hint="eastAsia"/>
          <w:b/>
          <w:u w:val="single"/>
        </w:rPr>
        <w:t>上</w:t>
      </w:r>
      <w:r>
        <w:rPr>
          <w:rFonts w:ascii="Calibri" w:hAnsi="Calibri"/>
          <w:b/>
          <w:u w:val="single"/>
        </w:rPr>
        <w:t>均设有</w:t>
      </w:r>
      <w:r>
        <w:rPr>
          <w:rFonts w:ascii="Calibri" w:hAnsi="Calibri" w:hint="eastAsia"/>
          <w:b/>
          <w:u w:val="single"/>
        </w:rPr>
        <w:t>集气</w:t>
      </w:r>
      <w:r>
        <w:rPr>
          <w:rFonts w:ascii="Calibri" w:hAnsi="Calibri"/>
          <w:b/>
          <w:u w:val="single"/>
        </w:rPr>
        <w:t>阀门，</w:t>
      </w:r>
      <w:r>
        <w:rPr>
          <w:rFonts w:ascii="Calibri" w:hAnsi="Calibri" w:hint="eastAsia"/>
          <w:b/>
          <w:u w:val="single"/>
        </w:rPr>
        <w:t>厂区</w:t>
      </w:r>
      <w:r>
        <w:rPr>
          <w:rFonts w:ascii="Calibri" w:hAnsi="Calibri"/>
          <w:b/>
          <w:u w:val="single"/>
        </w:rPr>
        <w:t>设有专职人员对生产</w:t>
      </w:r>
      <w:r>
        <w:rPr>
          <w:rFonts w:ascii="Calibri" w:hAnsi="Calibri" w:hint="eastAsia"/>
          <w:b/>
          <w:u w:val="single"/>
        </w:rPr>
        <w:t>集气</w:t>
      </w:r>
      <w:r>
        <w:rPr>
          <w:rFonts w:ascii="Calibri" w:hAnsi="Calibri"/>
          <w:b/>
          <w:u w:val="single"/>
        </w:rPr>
        <w:t>装置进行管理。</w:t>
      </w:r>
      <w:r w:rsidR="00582FE1" w:rsidRPr="00DE6E0D">
        <w:rPr>
          <w:rFonts w:ascii="Calibri" w:hAnsi="Calibri" w:hint="eastAsia"/>
          <w:b/>
          <w:color w:val="auto"/>
          <w:u w:val="single"/>
        </w:rPr>
        <w:t>本项目</w:t>
      </w:r>
      <w:r w:rsidR="00582FE1" w:rsidRPr="00DE6E0D">
        <w:rPr>
          <w:rFonts w:ascii="Calibri" w:hAnsi="Calibri"/>
          <w:b/>
          <w:color w:val="auto"/>
          <w:u w:val="single"/>
        </w:rPr>
        <w:t>一期工程</w:t>
      </w:r>
      <w:r w:rsidR="00582FE1" w:rsidRPr="00DE6E0D">
        <w:rPr>
          <w:rFonts w:ascii="Calibri" w:hAnsi="Calibri" w:hint="eastAsia"/>
          <w:b/>
          <w:color w:val="auto"/>
          <w:u w:val="single"/>
        </w:rPr>
        <w:t>引至</w:t>
      </w:r>
      <w:r w:rsidR="0075760C" w:rsidRPr="00DE6E0D">
        <w:rPr>
          <w:rFonts w:ascii="Calibri" w:hAnsi="Calibri" w:hint="eastAsia"/>
          <w:b/>
          <w:color w:val="auto"/>
          <w:u w:val="single"/>
        </w:rPr>
        <w:t>水喷淋</w:t>
      </w:r>
      <w:r w:rsidR="0075760C" w:rsidRPr="00DE6E0D">
        <w:rPr>
          <w:rFonts w:ascii="Calibri" w:hAnsi="Calibri" w:hint="eastAsia"/>
          <w:b/>
          <w:color w:val="auto"/>
          <w:u w:val="single"/>
        </w:rPr>
        <w:t>+</w:t>
      </w:r>
      <w:r w:rsidR="0075760C" w:rsidRPr="00DE6E0D">
        <w:rPr>
          <w:rFonts w:ascii="Calibri" w:hAnsi="Calibri" w:hint="eastAsia"/>
          <w:b/>
          <w:color w:val="auto"/>
          <w:u w:val="single"/>
        </w:rPr>
        <w:t>活性炭吸附装置</w:t>
      </w:r>
      <w:r w:rsidR="00582FE1" w:rsidRPr="00DE6E0D">
        <w:rPr>
          <w:rFonts w:ascii="Calibri" w:hAnsi="Calibri" w:hint="eastAsia"/>
          <w:b/>
          <w:color w:val="auto"/>
          <w:u w:val="single"/>
        </w:rPr>
        <w:t>，</w:t>
      </w:r>
      <w:r w:rsidR="00582FE1" w:rsidRPr="00DE6E0D">
        <w:rPr>
          <w:rFonts w:ascii="Calibri" w:hAnsi="Calibri"/>
          <w:b/>
          <w:color w:val="auto"/>
          <w:u w:val="single"/>
        </w:rPr>
        <w:t>该</w:t>
      </w:r>
      <w:r w:rsidR="00582FE1" w:rsidRPr="00DE6E0D">
        <w:rPr>
          <w:rFonts w:ascii="Calibri" w:hAnsi="Calibri" w:hint="eastAsia"/>
          <w:b/>
          <w:color w:val="auto"/>
          <w:u w:val="single"/>
        </w:rPr>
        <w:t>装置风机</w:t>
      </w:r>
      <w:r w:rsidR="00582FE1" w:rsidRPr="00DE6E0D">
        <w:rPr>
          <w:rFonts w:ascii="Calibri" w:hAnsi="Calibri"/>
          <w:b/>
          <w:color w:val="auto"/>
          <w:u w:val="single"/>
        </w:rPr>
        <w:t>风量为</w:t>
      </w:r>
      <w:r w:rsidR="00383797" w:rsidRPr="00DE6E0D">
        <w:rPr>
          <w:rFonts w:ascii="Calibri" w:hAnsi="Calibri"/>
          <w:b/>
          <w:color w:val="auto"/>
          <w:u w:val="single"/>
        </w:rPr>
        <w:t>3</w:t>
      </w:r>
      <w:r w:rsidR="00582FE1" w:rsidRPr="00DE6E0D">
        <w:rPr>
          <w:rFonts w:ascii="Calibri" w:hAnsi="Calibri"/>
          <w:b/>
          <w:color w:val="auto"/>
          <w:u w:val="single"/>
        </w:rPr>
        <w:t>000m3/h</w:t>
      </w:r>
      <w:r w:rsidR="00582FE1" w:rsidRPr="00DE6E0D">
        <w:rPr>
          <w:rFonts w:ascii="Calibri" w:hAnsi="Calibri" w:hint="eastAsia"/>
          <w:b/>
          <w:color w:val="auto"/>
          <w:u w:val="single"/>
        </w:rPr>
        <w:t>，对</w:t>
      </w:r>
      <w:r w:rsidR="00582FE1" w:rsidRPr="00DE6E0D">
        <w:rPr>
          <w:rFonts w:ascii="Calibri" w:hAnsi="Calibri"/>
          <w:b/>
          <w:color w:val="auto"/>
          <w:u w:val="single"/>
        </w:rPr>
        <w:t>己二胺</w:t>
      </w:r>
      <w:r w:rsidR="00582FE1" w:rsidRPr="00DE6E0D">
        <w:rPr>
          <w:rFonts w:ascii="Calibri" w:hAnsi="Calibri" w:hint="eastAsia"/>
          <w:b/>
          <w:color w:val="auto"/>
          <w:u w:val="single"/>
        </w:rPr>
        <w:t>去除效率</w:t>
      </w:r>
      <w:r w:rsidR="00582FE1" w:rsidRPr="00DE6E0D">
        <w:rPr>
          <w:rFonts w:ascii="Calibri" w:hAnsi="Calibri"/>
          <w:b/>
          <w:color w:val="auto"/>
          <w:u w:val="single"/>
        </w:rPr>
        <w:t>为</w:t>
      </w:r>
      <w:r w:rsidR="00582FE1" w:rsidRPr="00DE6E0D">
        <w:rPr>
          <w:rFonts w:ascii="Calibri" w:hAnsi="Calibri" w:hint="eastAsia"/>
          <w:b/>
          <w:color w:val="auto"/>
          <w:u w:val="single"/>
        </w:rPr>
        <w:t>90%</w:t>
      </w:r>
      <w:r w:rsidR="00582FE1" w:rsidRPr="00DE6E0D">
        <w:rPr>
          <w:rFonts w:ascii="Calibri" w:hAnsi="Calibri" w:hint="eastAsia"/>
          <w:b/>
          <w:color w:val="auto"/>
          <w:u w:val="single"/>
        </w:rPr>
        <w:t>，</w:t>
      </w:r>
      <w:r w:rsidR="0067318A" w:rsidRPr="00DE6E0D">
        <w:rPr>
          <w:rFonts w:ascii="Calibri" w:hAnsi="Calibri" w:hint="eastAsia"/>
          <w:b/>
          <w:color w:val="auto"/>
          <w:u w:val="single"/>
        </w:rPr>
        <w:t>己二酸</w:t>
      </w:r>
      <w:r w:rsidR="0067318A" w:rsidRPr="00DE6E0D">
        <w:rPr>
          <w:rFonts w:ascii="Calibri" w:hAnsi="Calibri"/>
          <w:b/>
          <w:color w:val="auto"/>
          <w:u w:val="single"/>
        </w:rPr>
        <w:t>去除</w:t>
      </w:r>
      <w:r w:rsidR="0067318A" w:rsidRPr="00DE6E0D">
        <w:rPr>
          <w:rFonts w:ascii="Calibri" w:hAnsi="Calibri" w:hint="eastAsia"/>
          <w:b/>
          <w:color w:val="auto"/>
          <w:u w:val="single"/>
        </w:rPr>
        <w:t>效率</w:t>
      </w:r>
      <w:r w:rsidR="0067318A" w:rsidRPr="00DE6E0D">
        <w:rPr>
          <w:rFonts w:ascii="Calibri" w:hAnsi="Calibri"/>
          <w:b/>
          <w:color w:val="auto"/>
          <w:u w:val="single"/>
        </w:rPr>
        <w:t>为</w:t>
      </w:r>
      <w:r w:rsidR="0067318A" w:rsidRPr="00DE6E0D">
        <w:rPr>
          <w:rFonts w:ascii="Calibri" w:hAnsi="Calibri" w:hint="eastAsia"/>
          <w:b/>
          <w:color w:val="auto"/>
          <w:u w:val="single"/>
        </w:rPr>
        <w:t>90%</w:t>
      </w:r>
      <w:r w:rsidR="0067318A" w:rsidRPr="00DE6E0D">
        <w:rPr>
          <w:rFonts w:ascii="Calibri" w:hAnsi="Calibri" w:hint="eastAsia"/>
          <w:b/>
          <w:color w:val="auto"/>
          <w:u w:val="single"/>
        </w:rPr>
        <w:t>，</w:t>
      </w:r>
      <w:r w:rsidR="00582FE1" w:rsidRPr="00DE6E0D">
        <w:rPr>
          <w:rFonts w:ascii="Calibri" w:hAnsi="Calibri" w:hint="eastAsia"/>
          <w:b/>
          <w:color w:val="auto"/>
          <w:u w:val="single"/>
        </w:rPr>
        <w:t>对</w:t>
      </w:r>
      <w:r w:rsidR="00582FE1" w:rsidRPr="00DE6E0D">
        <w:rPr>
          <w:rFonts w:ascii="Calibri" w:hAnsi="Calibri"/>
          <w:b/>
          <w:color w:val="auto"/>
          <w:u w:val="single"/>
        </w:rPr>
        <w:t>非甲烷</w:t>
      </w:r>
      <w:r w:rsidR="00582FE1" w:rsidRPr="00DE6E0D">
        <w:rPr>
          <w:rFonts w:ascii="Calibri" w:hAnsi="Calibri" w:hint="eastAsia"/>
          <w:b/>
          <w:color w:val="auto"/>
          <w:u w:val="single"/>
        </w:rPr>
        <w:t>总烃</w:t>
      </w:r>
      <w:r w:rsidR="00582FE1" w:rsidRPr="00DE6E0D">
        <w:rPr>
          <w:rFonts w:ascii="Calibri" w:hAnsi="Calibri"/>
          <w:b/>
          <w:color w:val="auto"/>
          <w:u w:val="single"/>
        </w:rPr>
        <w:t>去除效率</w:t>
      </w:r>
      <w:r w:rsidR="00582FE1" w:rsidRPr="00DE6E0D">
        <w:rPr>
          <w:rFonts w:ascii="Calibri" w:hAnsi="Calibri" w:hint="eastAsia"/>
          <w:b/>
          <w:color w:val="auto"/>
          <w:u w:val="single"/>
        </w:rPr>
        <w:t>90%</w:t>
      </w:r>
      <w:r w:rsidR="00582FE1" w:rsidRPr="00DE6E0D">
        <w:rPr>
          <w:rFonts w:ascii="Calibri" w:hAnsi="Calibri" w:hint="eastAsia"/>
          <w:b/>
          <w:color w:val="auto"/>
          <w:u w:val="single"/>
        </w:rPr>
        <w:t>，</w:t>
      </w:r>
      <w:r w:rsidR="00582FE1" w:rsidRPr="00DE6E0D">
        <w:rPr>
          <w:rFonts w:ascii="Calibri" w:hAnsi="Calibri"/>
          <w:b/>
          <w:color w:val="auto"/>
          <w:u w:val="single"/>
        </w:rPr>
        <w:t>对氨气去除效率</w:t>
      </w:r>
      <w:r w:rsidR="00582FE1" w:rsidRPr="00DE6E0D">
        <w:rPr>
          <w:rFonts w:ascii="Calibri" w:hAnsi="Calibri" w:hint="eastAsia"/>
          <w:b/>
          <w:color w:val="auto"/>
          <w:u w:val="single"/>
        </w:rPr>
        <w:t>70%</w:t>
      </w:r>
      <w:r w:rsidR="00582FE1" w:rsidRPr="00DE6E0D">
        <w:rPr>
          <w:rFonts w:ascii="Calibri" w:hAnsi="Calibri" w:hint="eastAsia"/>
          <w:b/>
          <w:color w:val="auto"/>
          <w:u w:val="single"/>
        </w:rPr>
        <w:t>，</w:t>
      </w:r>
      <w:r w:rsidR="00582FE1" w:rsidRPr="00DE6E0D">
        <w:rPr>
          <w:rFonts w:ascii="Calibri" w:hAnsi="Calibri"/>
          <w:b/>
          <w:color w:val="auto"/>
          <w:u w:val="single"/>
        </w:rPr>
        <w:t>经处理后</w:t>
      </w:r>
      <w:r w:rsidR="00582FE1" w:rsidRPr="00DE6E0D">
        <w:rPr>
          <w:rFonts w:ascii="Calibri" w:hAnsi="Calibri" w:hint="eastAsia"/>
          <w:b/>
          <w:color w:val="auto"/>
          <w:u w:val="single"/>
        </w:rPr>
        <w:t>己二胺排放浓度为</w:t>
      </w:r>
      <w:r w:rsidR="0067318A" w:rsidRPr="00DE6E0D">
        <w:rPr>
          <w:rFonts w:ascii="Calibri" w:hAnsi="Calibri"/>
          <w:b/>
          <w:color w:val="auto"/>
          <w:u w:val="single"/>
        </w:rPr>
        <w:t>10.14</w:t>
      </w:r>
      <w:r w:rsidR="00582FE1" w:rsidRPr="00DE6E0D">
        <w:rPr>
          <w:rFonts w:ascii="Calibri" w:hAnsi="Calibri"/>
          <w:b/>
          <w:color w:val="auto"/>
          <w:u w:val="single"/>
        </w:rPr>
        <w:t>mg/m</w:t>
      </w:r>
      <w:r w:rsidR="00582FE1" w:rsidRPr="00DE6E0D">
        <w:rPr>
          <w:rFonts w:ascii="Calibri" w:hAnsi="Calibri"/>
          <w:b/>
          <w:color w:val="auto"/>
          <w:u w:val="single"/>
          <w:vertAlign w:val="superscript"/>
        </w:rPr>
        <w:t>3</w:t>
      </w:r>
      <w:r w:rsidR="00582FE1" w:rsidRPr="00DE6E0D">
        <w:rPr>
          <w:rFonts w:ascii="Calibri" w:hAnsi="Calibri" w:hint="eastAsia"/>
          <w:b/>
          <w:color w:val="auto"/>
          <w:u w:val="single"/>
        </w:rPr>
        <w:t>，</w:t>
      </w:r>
      <w:r w:rsidR="0067318A" w:rsidRPr="00DE6E0D">
        <w:rPr>
          <w:rFonts w:ascii="Calibri" w:hAnsi="Calibri" w:hint="eastAsia"/>
          <w:b/>
          <w:color w:val="auto"/>
          <w:u w:val="single"/>
        </w:rPr>
        <w:t>己二酸排放浓度为</w:t>
      </w:r>
      <w:r w:rsidR="0067318A" w:rsidRPr="00DE6E0D">
        <w:rPr>
          <w:rFonts w:ascii="Calibri" w:hAnsi="Calibri"/>
          <w:b/>
          <w:color w:val="auto"/>
          <w:u w:val="single"/>
        </w:rPr>
        <w:t>1.57mg/m</w:t>
      </w:r>
      <w:r w:rsidR="0067318A" w:rsidRPr="00DE6E0D">
        <w:rPr>
          <w:rFonts w:ascii="Calibri" w:hAnsi="Calibri"/>
          <w:b/>
          <w:color w:val="auto"/>
          <w:u w:val="single"/>
          <w:vertAlign w:val="superscript"/>
        </w:rPr>
        <w:t>3</w:t>
      </w:r>
      <w:r w:rsidR="0067318A" w:rsidRPr="00DE6E0D">
        <w:rPr>
          <w:rFonts w:ascii="Calibri" w:hAnsi="Calibri" w:hint="eastAsia"/>
          <w:b/>
          <w:color w:val="auto"/>
          <w:u w:val="single"/>
        </w:rPr>
        <w:t>，</w:t>
      </w:r>
      <w:r w:rsidR="00582FE1" w:rsidRPr="00DE6E0D">
        <w:rPr>
          <w:rFonts w:ascii="Calibri" w:hAnsi="Calibri" w:hint="eastAsia"/>
          <w:b/>
          <w:color w:val="auto"/>
          <w:u w:val="single"/>
        </w:rPr>
        <w:t>非甲烷</w:t>
      </w:r>
      <w:r w:rsidR="00582FE1" w:rsidRPr="00DE6E0D">
        <w:rPr>
          <w:rFonts w:ascii="Calibri" w:hAnsi="Calibri"/>
          <w:b/>
          <w:color w:val="auto"/>
          <w:u w:val="single"/>
        </w:rPr>
        <w:t>总烃</w:t>
      </w:r>
      <w:r w:rsidR="00582FE1" w:rsidRPr="00DE6E0D">
        <w:rPr>
          <w:rFonts w:ascii="Calibri" w:hAnsi="Calibri" w:hint="eastAsia"/>
          <w:b/>
          <w:color w:val="auto"/>
          <w:u w:val="single"/>
        </w:rPr>
        <w:t>排放</w:t>
      </w:r>
      <w:r w:rsidR="00582FE1" w:rsidRPr="00DE6E0D">
        <w:rPr>
          <w:rFonts w:ascii="Calibri" w:hAnsi="Calibri"/>
          <w:b/>
          <w:color w:val="auto"/>
          <w:u w:val="single"/>
        </w:rPr>
        <w:t>浓度为</w:t>
      </w:r>
      <w:r w:rsidR="0067318A" w:rsidRPr="00DE6E0D">
        <w:rPr>
          <w:rFonts w:ascii="Calibri" w:hAnsi="Calibri"/>
          <w:b/>
          <w:color w:val="auto"/>
          <w:u w:val="single"/>
        </w:rPr>
        <w:t>15.28</w:t>
      </w:r>
      <w:r w:rsidR="00582FE1" w:rsidRPr="00DE6E0D">
        <w:rPr>
          <w:rFonts w:ascii="Calibri" w:hAnsi="Calibri"/>
          <w:b/>
          <w:color w:val="auto"/>
          <w:u w:val="single"/>
        </w:rPr>
        <w:t>mg/m</w:t>
      </w:r>
      <w:r w:rsidR="00582FE1" w:rsidRPr="00DE6E0D">
        <w:rPr>
          <w:rFonts w:ascii="Calibri" w:hAnsi="Calibri"/>
          <w:b/>
          <w:color w:val="auto"/>
          <w:u w:val="single"/>
          <w:vertAlign w:val="superscript"/>
        </w:rPr>
        <w:t>3</w:t>
      </w:r>
      <w:r w:rsidR="00582FE1" w:rsidRPr="00DE6E0D">
        <w:rPr>
          <w:rFonts w:ascii="Calibri" w:hAnsi="Calibri" w:hint="eastAsia"/>
          <w:b/>
          <w:color w:val="auto"/>
          <w:u w:val="single"/>
        </w:rPr>
        <w:t>，氨气</w:t>
      </w:r>
      <w:r w:rsidR="00582FE1" w:rsidRPr="00DE6E0D">
        <w:rPr>
          <w:rFonts w:ascii="Calibri" w:hAnsi="Calibri"/>
          <w:b/>
          <w:color w:val="auto"/>
          <w:u w:val="single"/>
        </w:rPr>
        <w:t>排放浓度为</w:t>
      </w:r>
      <w:r w:rsidR="00582FE1" w:rsidRPr="00DE6E0D">
        <w:rPr>
          <w:rFonts w:ascii="Calibri" w:hAnsi="Calibri" w:hint="eastAsia"/>
          <w:b/>
          <w:color w:val="auto"/>
          <w:u w:val="single"/>
        </w:rPr>
        <w:t>0.</w:t>
      </w:r>
      <w:r w:rsidR="00383797" w:rsidRPr="00DE6E0D">
        <w:rPr>
          <w:rFonts w:ascii="Calibri" w:hAnsi="Calibri"/>
          <w:b/>
          <w:color w:val="auto"/>
          <w:u w:val="single"/>
        </w:rPr>
        <w:t>14</w:t>
      </w:r>
      <w:r w:rsidR="00582FE1" w:rsidRPr="00DE6E0D">
        <w:rPr>
          <w:rFonts w:ascii="Calibri" w:hAnsi="Calibri"/>
          <w:b/>
          <w:color w:val="auto"/>
          <w:u w:val="single"/>
        </w:rPr>
        <w:t>mg/m</w:t>
      </w:r>
      <w:r w:rsidR="00582FE1" w:rsidRPr="00DE6E0D">
        <w:rPr>
          <w:rFonts w:ascii="Calibri" w:hAnsi="Calibri"/>
          <w:b/>
          <w:color w:val="auto"/>
          <w:u w:val="single"/>
          <w:vertAlign w:val="superscript"/>
        </w:rPr>
        <w:t>3</w:t>
      </w:r>
      <w:r w:rsidR="00582FE1" w:rsidRPr="00DE6E0D">
        <w:rPr>
          <w:rFonts w:ascii="Calibri" w:hAnsi="Calibri" w:hint="eastAsia"/>
          <w:b/>
          <w:color w:val="auto"/>
          <w:u w:val="single"/>
        </w:rPr>
        <w:t>；二期</w:t>
      </w:r>
      <w:r w:rsidR="00582FE1" w:rsidRPr="00DE6E0D">
        <w:rPr>
          <w:rFonts w:ascii="Calibri" w:hAnsi="Calibri"/>
          <w:b/>
          <w:color w:val="auto"/>
          <w:u w:val="single"/>
        </w:rPr>
        <w:t>工程</w:t>
      </w:r>
      <w:r w:rsidR="00582FE1" w:rsidRPr="00DE6E0D">
        <w:rPr>
          <w:rFonts w:ascii="Calibri" w:hAnsi="Calibri" w:hint="eastAsia"/>
          <w:b/>
          <w:color w:val="auto"/>
          <w:u w:val="single"/>
        </w:rPr>
        <w:t>和一期</w:t>
      </w:r>
      <w:r w:rsidR="00582FE1" w:rsidRPr="00DE6E0D">
        <w:rPr>
          <w:rFonts w:ascii="Calibri" w:hAnsi="Calibri"/>
          <w:b/>
          <w:color w:val="auto"/>
          <w:u w:val="single"/>
        </w:rPr>
        <w:t>工程</w:t>
      </w:r>
      <w:r w:rsidR="00582FE1" w:rsidRPr="00DE6E0D">
        <w:rPr>
          <w:rFonts w:ascii="Calibri" w:hAnsi="Calibri" w:hint="eastAsia"/>
          <w:b/>
          <w:color w:val="auto"/>
          <w:u w:val="single"/>
        </w:rPr>
        <w:t>共用一套</w:t>
      </w:r>
      <w:r w:rsidR="00582FE1" w:rsidRPr="00DE6E0D">
        <w:rPr>
          <w:rFonts w:ascii="Calibri" w:hAnsi="Calibri"/>
          <w:b/>
          <w:color w:val="auto"/>
          <w:u w:val="single"/>
        </w:rPr>
        <w:t>废气</w:t>
      </w:r>
      <w:r w:rsidR="00582FE1" w:rsidRPr="00DE6E0D">
        <w:rPr>
          <w:rFonts w:ascii="Calibri" w:hAnsi="Calibri" w:hint="eastAsia"/>
          <w:b/>
          <w:color w:val="auto"/>
          <w:u w:val="single"/>
        </w:rPr>
        <w:t>处理设施</w:t>
      </w:r>
      <w:r w:rsidR="00582FE1" w:rsidRPr="00DE6E0D">
        <w:rPr>
          <w:rFonts w:ascii="Calibri" w:hAnsi="Calibri"/>
          <w:b/>
          <w:color w:val="auto"/>
          <w:u w:val="single"/>
        </w:rPr>
        <w:t>，</w:t>
      </w:r>
      <w:r w:rsidR="00582FE1" w:rsidRPr="00DE6E0D">
        <w:rPr>
          <w:rFonts w:ascii="Calibri" w:hAnsi="Calibri" w:hint="eastAsia"/>
          <w:b/>
          <w:color w:val="auto"/>
          <w:u w:val="single"/>
        </w:rPr>
        <w:t>二期</w:t>
      </w:r>
      <w:r w:rsidR="00582FE1" w:rsidRPr="00DE6E0D">
        <w:rPr>
          <w:rFonts w:ascii="Calibri" w:hAnsi="Calibri"/>
          <w:b/>
          <w:color w:val="auto"/>
          <w:u w:val="single"/>
        </w:rPr>
        <w:t>工程设计风机风量为</w:t>
      </w:r>
      <w:r w:rsidR="00582FE1" w:rsidRPr="00DE6E0D">
        <w:rPr>
          <w:rFonts w:ascii="Calibri" w:hAnsi="Calibri" w:hint="eastAsia"/>
          <w:b/>
          <w:color w:val="auto"/>
          <w:u w:val="single"/>
        </w:rPr>
        <w:lastRenderedPageBreak/>
        <w:t>2000m</w:t>
      </w:r>
      <w:r w:rsidR="00582FE1" w:rsidRPr="00DE6E0D">
        <w:rPr>
          <w:rFonts w:ascii="Calibri" w:hAnsi="Calibri" w:hint="eastAsia"/>
          <w:b/>
          <w:color w:val="auto"/>
          <w:u w:val="single"/>
          <w:vertAlign w:val="superscript"/>
        </w:rPr>
        <w:t>3</w:t>
      </w:r>
      <w:r w:rsidR="00582FE1" w:rsidRPr="00DE6E0D">
        <w:rPr>
          <w:rFonts w:ascii="Calibri" w:hAnsi="Calibri" w:hint="eastAsia"/>
          <w:b/>
          <w:color w:val="auto"/>
          <w:u w:val="single"/>
        </w:rPr>
        <w:t>/h</w:t>
      </w:r>
      <w:r w:rsidR="00582FE1" w:rsidRPr="00DE6E0D">
        <w:rPr>
          <w:rFonts w:ascii="Calibri" w:hAnsi="Calibri" w:hint="eastAsia"/>
          <w:b/>
          <w:color w:val="auto"/>
          <w:u w:val="single"/>
        </w:rPr>
        <w:t>，对己二胺去除效率为</w:t>
      </w:r>
      <w:r w:rsidR="00582FE1" w:rsidRPr="00DE6E0D">
        <w:rPr>
          <w:rFonts w:ascii="Calibri" w:hAnsi="Calibri" w:hint="eastAsia"/>
          <w:b/>
          <w:color w:val="auto"/>
          <w:u w:val="single"/>
        </w:rPr>
        <w:t>90%</w:t>
      </w:r>
      <w:r w:rsidR="00582FE1" w:rsidRPr="00DE6E0D">
        <w:rPr>
          <w:rFonts w:ascii="Calibri" w:hAnsi="Calibri" w:hint="eastAsia"/>
          <w:b/>
          <w:color w:val="auto"/>
          <w:u w:val="single"/>
        </w:rPr>
        <w:t>，对非甲烷总烃去除效率</w:t>
      </w:r>
      <w:r w:rsidR="00582FE1" w:rsidRPr="00DE6E0D">
        <w:rPr>
          <w:rFonts w:ascii="Calibri" w:hAnsi="Calibri" w:hint="eastAsia"/>
          <w:b/>
          <w:color w:val="auto"/>
          <w:u w:val="single"/>
        </w:rPr>
        <w:t>90%</w:t>
      </w:r>
      <w:r w:rsidR="00582FE1" w:rsidRPr="00DE6E0D">
        <w:rPr>
          <w:rFonts w:ascii="Calibri" w:hAnsi="Calibri" w:hint="eastAsia"/>
          <w:b/>
          <w:color w:val="auto"/>
          <w:u w:val="single"/>
        </w:rPr>
        <w:t>，对氨气去除效率</w:t>
      </w:r>
      <w:r w:rsidR="00582FE1" w:rsidRPr="00DE6E0D">
        <w:rPr>
          <w:rFonts w:ascii="Calibri" w:hAnsi="Calibri" w:hint="eastAsia"/>
          <w:b/>
          <w:color w:val="auto"/>
          <w:u w:val="single"/>
        </w:rPr>
        <w:t>70%</w:t>
      </w:r>
      <w:r w:rsidR="00582FE1" w:rsidRPr="00DE6E0D">
        <w:rPr>
          <w:rFonts w:ascii="Calibri" w:hAnsi="Calibri" w:hint="eastAsia"/>
          <w:b/>
          <w:color w:val="auto"/>
          <w:u w:val="single"/>
        </w:rPr>
        <w:t>，经处理后己二胺排放浓度为</w:t>
      </w:r>
      <w:r w:rsidR="0067318A" w:rsidRPr="00DE6E0D">
        <w:rPr>
          <w:rFonts w:ascii="Calibri" w:hAnsi="Calibri"/>
          <w:b/>
          <w:color w:val="auto"/>
          <w:u w:val="single"/>
        </w:rPr>
        <w:t>9.17</w:t>
      </w:r>
      <w:r w:rsidR="00582FE1" w:rsidRPr="00DE6E0D">
        <w:rPr>
          <w:rFonts w:ascii="Calibri" w:hAnsi="Calibri" w:hint="eastAsia"/>
          <w:b/>
          <w:color w:val="auto"/>
          <w:u w:val="single"/>
        </w:rPr>
        <w:t>mg/m</w:t>
      </w:r>
      <w:r w:rsidR="00582FE1" w:rsidRPr="00DE6E0D">
        <w:rPr>
          <w:rFonts w:ascii="Calibri" w:hAnsi="Calibri" w:hint="eastAsia"/>
          <w:b/>
          <w:color w:val="auto"/>
          <w:u w:val="single"/>
          <w:vertAlign w:val="superscript"/>
        </w:rPr>
        <w:t>3</w:t>
      </w:r>
      <w:r w:rsidR="00582FE1" w:rsidRPr="00DE6E0D">
        <w:rPr>
          <w:rFonts w:ascii="Calibri" w:hAnsi="Calibri" w:hint="eastAsia"/>
          <w:b/>
          <w:color w:val="auto"/>
          <w:u w:val="single"/>
        </w:rPr>
        <w:t>，</w:t>
      </w:r>
      <w:r w:rsidR="0067318A" w:rsidRPr="00DE6E0D">
        <w:rPr>
          <w:rFonts w:ascii="Calibri" w:hAnsi="Calibri" w:hint="eastAsia"/>
          <w:b/>
          <w:color w:val="auto"/>
          <w:u w:val="single"/>
        </w:rPr>
        <w:t>己二酸排放浓度为</w:t>
      </w:r>
      <w:r w:rsidR="0067318A" w:rsidRPr="00DE6E0D">
        <w:rPr>
          <w:rFonts w:ascii="Calibri" w:hAnsi="Calibri"/>
          <w:b/>
          <w:color w:val="auto"/>
          <w:u w:val="single"/>
        </w:rPr>
        <w:t>1.46mg/m</w:t>
      </w:r>
      <w:r w:rsidR="0067318A" w:rsidRPr="00DE6E0D">
        <w:rPr>
          <w:rFonts w:ascii="Calibri" w:hAnsi="Calibri"/>
          <w:b/>
          <w:color w:val="auto"/>
          <w:u w:val="single"/>
          <w:vertAlign w:val="superscript"/>
        </w:rPr>
        <w:t>3</w:t>
      </w:r>
      <w:r w:rsidR="0067318A" w:rsidRPr="00DE6E0D">
        <w:rPr>
          <w:rFonts w:ascii="Calibri" w:hAnsi="Calibri" w:hint="eastAsia"/>
          <w:b/>
          <w:color w:val="auto"/>
          <w:u w:val="single"/>
        </w:rPr>
        <w:t>，</w:t>
      </w:r>
      <w:r w:rsidR="00582FE1" w:rsidRPr="00DE6E0D">
        <w:rPr>
          <w:rFonts w:ascii="Calibri" w:hAnsi="Calibri" w:hint="eastAsia"/>
          <w:b/>
          <w:color w:val="auto"/>
          <w:u w:val="single"/>
        </w:rPr>
        <w:t>非甲烷总烃排放浓度为</w:t>
      </w:r>
      <w:r w:rsidR="0067318A" w:rsidRPr="00DE6E0D">
        <w:rPr>
          <w:rFonts w:ascii="Calibri" w:hAnsi="Calibri"/>
          <w:b/>
          <w:color w:val="auto"/>
          <w:u w:val="single"/>
        </w:rPr>
        <w:t>13.82</w:t>
      </w:r>
      <w:r w:rsidR="00582FE1" w:rsidRPr="00DE6E0D">
        <w:rPr>
          <w:rFonts w:ascii="Calibri" w:hAnsi="Calibri" w:hint="eastAsia"/>
          <w:b/>
          <w:color w:val="auto"/>
          <w:u w:val="single"/>
        </w:rPr>
        <w:t>mg/m</w:t>
      </w:r>
      <w:r w:rsidR="00582FE1" w:rsidRPr="00DE6E0D">
        <w:rPr>
          <w:rFonts w:ascii="Calibri" w:hAnsi="Calibri" w:hint="eastAsia"/>
          <w:b/>
          <w:color w:val="auto"/>
          <w:u w:val="single"/>
          <w:vertAlign w:val="superscript"/>
        </w:rPr>
        <w:t>3</w:t>
      </w:r>
      <w:r w:rsidR="00582FE1" w:rsidRPr="00DE6E0D">
        <w:rPr>
          <w:rFonts w:ascii="Calibri" w:hAnsi="Calibri" w:hint="eastAsia"/>
          <w:b/>
          <w:color w:val="auto"/>
          <w:u w:val="single"/>
        </w:rPr>
        <w:t>，氨气排放浓度为</w:t>
      </w:r>
      <w:r w:rsidR="00582FE1" w:rsidRPr="00DE6E0D">
        <w:rPr>
          <w:rFonts w:ascii="Calibri" w:hAnsi="Calibri" w:hint="eastAsia"/>
          <w:b/>
          <w:color w:val="auto"/>
          <w:u w:val="single"/>
        </w:rPr>
        <w:t>0.</w:t>
      </w:r>
      <w:r w:rsidR="00582FE1" w:rsidRPr="00DE6E0D">
        <w:rPr>
          <w:rFonts w:ascii="Calibri" w:hAnsi="Calibri"/>
          <w:b/>
          <w:color w:val="auto"/>
          <w:u w:val="single"/>
        </w:rPr>
        <w:t>13</w:t>
      </w:r>
      <w:r w:rsidR="00582FE1" w:rsidRPr="00DE6E0D">
        <w:rPr>
          <w:rFonts w:ascii="Calibri" w:hAnsi="Calibri" w:hint="eastAsia"/>
          <w:b/>
          <w:color w:val="auto"/>
          <w:u w:val="single"/>
        </w:rPr>
        <w:t>mg/m</w:t>
      </w:r>
      <w:r w:rsidR="00582FE1" w:rsidRPr="00DE6E0D">
        <w:rPr>
          <w:rFonts w:ascii="Calibri" w:hAnsi="Calibri" w:hint="eastAsia"/>
          <w:b/>
          <w:color w:val="auto"/>
          <w:u w:val="single"/>
          <w:vertAlign w:val="superscript"/>
        </w:rPr>
        <w:t>3</w:t>
      </w:r>
      <w:r w:rsidR="00582FE1" w:rsidRPr="00DE6E0D">
        <w:rPr>
          <w:rFonts w:ascii="Calibri" w:hAnsi="Calibri" w:hint="eastAsia"/>
          <w:b/>
          <w:color w:val="auto"/>
          <w:u w:val="single"/>
        </w:rPr>
        <w:t>；全厂</w:t>
      </w:r>
      <w:r w:rsidR="00582FE1" w:rsidRPr="00DE6E0D">
        <w:rPr>
          <w:rFonts w:ascii="Calibri" w:hAnsi="Calibri"/>
          <w:b/>
          <w:color w:val="auto"/>
          <w:u w:val="single"/>
        </w:rPr>
        <w:t>（</w:t>
      </w:r>
      <w:r w:rsidR="00582FE1" w:rsidRPr="00DE6E0D">
        <w:rPr>
          <w:rFonts w:ascii="Calibri" w:hAnsi="Calibri" w:hint="eastAsia"/>
          <w:b/>
          <w:color w:val="auto"/>
          <w:u w:val="single"/>
        </w:rPr>
        <w:t>一期、</w:t>
      </w:r>
      <w:r w:rsidR="00582FE1" w:rsidRPr="00DE6E0D">
        <w:rPr>
          <w:rFonts w:ascii="Calibri" w:hAnsi="Calibri"/>
          <w:b/>
          <w:color w:val="auto"/>
          <w:u w:val="single"/>
        </w:rPr>
        <w:t>二期工程）</w:t>
      </w:r>
      <w:r w:rsidR="00582FE1" w:rsidRPr="00DE6E0D">
        <w:rPr>
          <w:rFonts w:ascii="Calibri" w:hAnsi="Calibri" w:hint="eastAsia"/>
          <w:b/>
          <w:color w:val="auto"/>
          <w:u w:val="single"/>
        </w:rPr>
        <w:t>废气</w:t>
      </w:r>
      <w:r w:rsidR="00582FE1" w:rsidRPr="00DE6E0D">
        <w:rPr>
          <w:rFonts w:ascii="Calibri" w:hAnsi="Calibri"/>
          <w:b/>
          <w:color w:val="auto"/>
          <w:u w:val="single"/>
        </w:rPr>
        <w:t>经处理后</w:t>
      </w:r>
      <w:r w:rsidR="00582FE1" w:rsidRPr="00DE6E0D">
        <w:rPr>
          <w:rFonts w:ascii="Calibri" w:hAnsi="Calibri" w:hint="eastAsia"/>
          <w:b/>
          <w:color w:val="auto"/>
          <w:u w:val="single"/>
        </w:rPr>
        <w:t>己二胺排放浓度为</w:t>
      </w:r>
      <w:r w:rsidR="0067318A" w:rsidRPr="00DE6E0D">
        <w:rPr>
          <w:rFonts w:ascii="Calibri" w:hAnsi="Calibri"/>
          <w:b/>
          <w:color w:val="auto"/>
          <w:u w:val="single"/>
        </w:rPr>
        <w:t>9.80</w:t>
      </w:r>
      <w:r w:rsidR="00582FE1" w:rsidRPr="00DE6E0D">
        <w:rPr>
          <w:rFonts w:ascii="Calibri" w:hAnsi="Calibri"/>
          <w:b/>
          <w:color w:val="auto"/>
          <w:u w:val="single"/>
        </w:rPr>
        <w:t>mg/m</w:t>
      </w:r>
      <w:r w:rsidR="00582FE1" w:rsidRPr="00DE6E0D">
        <w:rPr>
          <w:rFonts w:ascii="Calibri" w:hAnsi="Calibri"/>
          <w:b/>
          <w:color w:val="auto"/>
          <w:u w:val="single"/>
          <w:vertAlign w:val="superscript"/>
        </w:rPr>
        <w:t>3</w:t>
      </w:r>
      <w:r w:rsidR="00582FE1" w:rsidRPr="00DE6E0D">
        <w:rPr>
          <w:rFonts w:ascii="Calibri" w:hAnsi="Calibri" w:hint="eastAsia"/>
          <w:b/>
          <w:color w:val="auto"/>
          <w:u w:val="single"/>
        </w:rPr>
        <w:t>，</w:t>
      </w:r>
      <w:r w:rsidR="0067318A" w:rsidRPr="00DE6E0D">
        <w:rPr>
          <w:rFonts w:ascii="Calibri" w:hAnsi="Calibri" w:hint="eastAsia"/>
          <w:b/>
          <w:color w:val="auto"/>
          <w:u w:val="single"/>
        </w:rPr>
        <w:t>己二酸排放浓度为</w:t>
      </w:r>
      <w:r w:rsidR="0067318A" w:rsidRPr="00DE6E0D">
        <w:rPr>
          <w:rFonts w:ascii="Calibri" w:hAnsi="Calibri"/>
          <w:b/>
          <w:color w:val="auto"/>
          <w:u w:val="single"/>
        </w:rPr>
        <w:t>1.52mg/m</w:t>
      </w:r>
      <w:r w:rsidR="0067318A" w:rsidRPr="00DE6E0D">
        <w:rPr>
          <w:rFonts w:ascii="Calibri" w:hAnsi="Calibri"/>
          <w:b/>
          <w:color w:val="auto"/>
          <w:u w:val="single"/>
          <w:vertAlign w:val="superscript"/>
        </w:rPr>
        <w:t>3</w:t>
      </w:r>
      <w:r w:rsidR="0067318A" w:rsidRPr="00DE6E0D">
        <w:rPr>
          <w:rFonts w:ascii="Calibri" w:hAnsi="Calibri" w:hint="eastAsia"/>
          <w:b/>
          <w:color w:val="auto"/>
          <w:u w:val="single"/>
        </w:rPr>
        <w:t>，非甲烷总烃排放浓度为</w:t>
      </w:r>
      <w:r w:rsidR="0067318A" w:rsidRPr="00DE6E0D">
        <w:rPr>
          <w:rFonts w:ascii="Calibri" w:hAnsi="Calibri"/>
          <w:b/>
          <w:color w:val="auto"/>
          <w:u w:val="single"/>
        </w:rPr>
        <w:t>14.8</w:t>
      </w:r>
      <w:r w:rsidR="0067318A" w:rsidRPr="00DE6E0D">
        <w:rPr>
          <w:rFonts w:ascii="Calibri" w:hAnsi="Calibri" w:hint="eastAsia"/>
          <w:b/>
          <w:color w:val="auto"/>
          <w:u w:val="single"/>
        </w:rPr>
        <w:t>mg/m</w:t>
      </w:r>
      <w:r w:rsidR="0067318A" w:rsidRPr="00DE6E0D">
        <w:rPr>
          <w:rFonts w:ascii="Calibri" w:hAnsi="Calibri" w:hint="eastAsia"/>
          <w:b/>
          <w:color w:val="auto"/>
          <w:u w:val="single"/>
          <w:vertAlign w:val="superscript"/>
        </w:rPr>
        <w:t>3</w:t>
      </w:r>
      <w:r w:rsidR="0067318A" w:rsidRPr="00DE6E0D">
        <w:rPr>
          <w:rFonts w:ascii="Calibri" w:hAnsi="Calibri" w:hint="eastAsia"/>
          <w:b/>
          <w:color w:val="auto"/>
          <w:u w:val="single"/>
        </w:rPr>
        <w:t>，氨气排放浓度为</w:t>
      </w:r>
      <w:r w:rsidR="0067318A" w:rsidRPr="00DE6E0D">
        <w:rPr>
          <w:rFonts w:ascii="Calibri" w:hAnsi="Calibri" w:hint="eastAsia"/>
          <w:b/>
          <w:color w:val="auto"/>
          <w:u w:val="single"/>
        </w:rPr>
        <w:t>0.</w:t>
      </w:r>
      <w:r w:rsidR="0067318A" w:rsidRPr="00DE6E0D">
        <w:rPr>
          <w:rFonts w:ascii="Calibri" w:hAnsi="Calibri"/>
          <w:b/>
          <w:color w:val="auto"/>
          <w:u w:val="single"/>
        </w:rPr>
        <w:t>13</w:t>
      </w:r>
      <w:r w:rsidR="0067318A" w:rsidRPr="00DE6E0D">
        <w:rPr>
          <w:rFonts w:ascii="Calibri" w:hAnsi="Calibri" w:hint="eastAsia"/>
          <w:b/>
          <w:color w:val="auto"/>
          <w:u w:val="single"/>
        </w:rPr>
        <w:t>mg/m</w:t>
      </w:r>
      <w:r w:rsidR="0067318A" w:rsidRPr="00DE6E0D">
        <w:rPr>
          <w:rFonts w:ascii="Calibri" w:hAnsi="Calibri" w:hint="eastAsia"/>
          <w:b/>
          <w:color w:val="auto"/>
          <w:u w:val="single"/>
          <w:vertAlign w:val="superscript"/>
        </w:rPr>
        <w:t>3</w:t>
      </w:r>
      <w:r w:rsidR="00582FE1" w:rsidRPr="00DE6E0D">
        <w:rPr>
          <w:rFonts w:ascii="Calibri" w:hAnsi="Calibri"/>
          <w:b/>
          <w:color w:val="auto"/>
          <w:u w:val="single"/>
        </w:rPr>
        <w:t>。综上分析可知，一期、二期及全厂非甲烷总烃、氨气排放浓度均满足《合成树脂工业污染物排放标准》（</w:t>
      </w:r>
      <w:r w:rsidR="00582FE1" w:rsidRPr="00DE6E0D">
        <w:rPr>
          <w:rFonts w:ascii="Calibri" w:hAnsi="Calibri"/>
          <w:b/>
          <w:color w:val="auto"/>
          <w:u w:val="single"/>
        </w:rPr>
        <w:t>GB31572-2015</w:t>
      </w:r>
      <w:r w:rsidR="00582FE1" w:rsidRPr="00DE6E0D">
        <w:rPr>
          <w:rFonts w:ascii="Calibri" w:hAnsi="Calibri"/>
          <w:b/>
          <w:color w:val="auto"/>
          <w:u w:val="single"/>
        </w:rPr>
        <w:t>）表</w:t>
      </w:r>
      <w:r w:rsidR="00582FE1" w:rsidRPr="00DE6E0D">
        <w:rPr>
          <w:rFonts w:ascii="Calibri" w:hAnsi="Calibri"/>
          <w:b/>
          <w:color w:val="auto"/>
          <w:u w:val="single"/>
        </w:rPr>
        <w:t>4</w:t>
      </w:r>
      <w:r w:rsidR="00582FE1" w:rsidRPr="00DE6E0D">
        <w:rPr>
          <w:rFonts w:ascii="Calibri" w:hAnsi="Calibri"/>
          <w:b/>
          <w:color w:val="auto"/>
          <w:u w:val="single"/>
        </w:rPr>
        <w:t>要求，同时非甲烷总烃浓度满足《关于全省开展工业企业挥发性有机物专项治理工作中排放建议值的通知》豫环攻坚办</w:t>
      </w:r>
      <w:r w:rsidR="0067318A" w:rsidRPr="00DE6E0D">
        <w:rPr>
          <w:rFonts w:ascii="Calibri" w:hAnsi="Calibri" w:hint="eastAsia"/>
          <w:b/>
          <w:color w:val="auto"/>
          <w:u w:val="single"/>
        </w:rPr>
        <w:t>【</w:t>
      </w:r>
      <w:r w:rsidR="0067318A" w:rsidRPr="00DE6E0D">
        <w:rPr>
          <w:rFonts w:ascii="Calibri" w:hAnsi="Calibri" w:hint="eastAsia"/>
          <w:b/>
          <w:color w:val="auto"/>
          <w:u w:val="single"/>
        </w:rPr>
        <w:t>2017</w:t>
      </w:r>
      <w:r w:rsidR="0067318A" w:rsidRPr="00DE6E0D">
        <w:rPr>
          <w:rFonts w:ascii="Calibri" w:hAnsi="Calibri" w:hint="eastAsia"/>
          <w:b/>
          <w:color w:val="auto"/>
          <w:u w:val="single"/>
        </w:rPr>
        <w:t>】</w:t>
      </w:r>
      <w:r w:rsidR="00582FE1" w:rsidRPr="00DE6E0D">
        <w:rPr>
          <w:rFonts w:ascii="Calibri" w:hAnsi="Calibri"/>
          <w:b/>
          <w:color w:val="auto"/>
          <w:u w:val="single"/>
        </w:rPr>
        <w:t>162</w:t>
      </w:r>
      <w:r w:rsidR="00582FE1" w:rsidRPr="00DE6E0D">
        <w:rPr>
          <w:rFonts w:ascii="Calibri" w:hAnsi="Calibri"/>
          <w:b/>
          <w:color w:val="auto"/>
          <w:u w:val="single"/>
        </w:rPr>
        <w:t>号文中要求及</w:t>
      </w:r>
      <w:r w:rsidR="00383797" w:rsidRPr="00DE6E0D">
        <w:rPr>
          <w:rFonts w:ascii="Calibri" w:hAnsi="Calibri" w:hint="eastAsia"/>
          <w:b/>
          <w:color w:val="auto"/>
          <w:u w:val="single"/>
        </w:rPr>
        <w:t>《平顶山市</w:t>
      </w:r>
      <w:r w:rsidR="00383797" w:rsidRPr="00DE6E0D">
        <w:rPr>
          <w:rFonts w:ascii="Calibri" w:hAnsi="Calibri" w:hint="eastAsia"/>
          <w:b/>
          <w:color w:val="auto"/>
          <w:u w:val="single"/>
        </w:rPr>
        <w:t>2021</w:t>
      </w:r>
      <w:r w:rsidR="00383797" w:rsidRPr="00DE6E0D">
        <w:rPr>
          <w:rFonts w:ascii="Calibri" w:hAnsi="Calibri" w:hint="eastAsia"/>
          <w:b/>
          <w:color w:val="auto"/>
          <w:u w:val="single"/>
        </w:rPr>
        <w:t>年重污染天气通用行业应急减排措施制定技术指南（试行）》</w:t>
      </w:r>
      <w:r w:rsidR="00582FE1" w:rsidRPr="00DE6E0D">
        <w:rPr>
          <w:rFonts w:ascii="Calibri" w:hAnsi="Calibri" w:hint="eastAsia"/>
          <w:b/>
          <w:color w:val="auto"/>
          <w:u w:val="single"/>
        </w:rPr>
        <w:t>中“绩效</w:t>
      </w:r>
      <w:r w:rsidR="00383797" w:rsidRPr="00DE6E0D">
        <w:rPr>
          <w:rFonts w:ascii="Calibri" w:hAnsi="Calibri"/>
          <w:b/>
          <w:color w:val="auto"/>
          <w:u w:val="single"/>
        </w:rPr>
        <w:t>B</w:t>
      </w:r>
      <w:r w:rsidR="00582FE1" w:rsidRPr="00DE6E0D">
        <w:rPr>
          <w:rFonts w:ascii="Calibri" w:hAnsi="Calibri"/>
          <w:b/>
          <w:color w:val="auto"/>
          <w:u w:val="single"/>
        </w:rPr>
        <w:t>级</w:t>
      </w:r>
      <w:r w:rsidR="00582FE1" w:rsidRPr="00DE6E0D">
        <w:rPr>
          <w:rFonts w:ascii="Calibri" w:hAnsi="Calibri" w:hint="eastAsia"/>
          <w:b/>
          <w:color w:val="auto"/>
          <w:u w:val="single"/>
        </w:rPr>
        <w:t>”企业非甲烷总烃</w:t>
      </w:r>
      <w:r w:rsidR="00383797" w:rsidRPr="00DE6E0D">
        <w:rPr>
          <w:rFonts w:ascii="Calibri" w:hAnsi="Calibri"/>
          <w:b/>
          <w:color w:val="auto"/>
          <w:u w:val="single"/>
        </w:rPr>
        <w:t>40</w:t>
      </w:r>
      <w:r w:rsidR="00582FE1" w:rsidRPr="00DE6E0D">
        <w:rPr>
          <w:rFonts w:ascii="Calibri" w:hAnsi="Calibri" w:hint="eastAsia"/>
          <w:b/>
          <w:color w:val="auto"/>
          <w:u w:val="single"/>
        </w:rPr>
        <w:t>mg/m</w:t>
      </w:r>
      <w:r w:rsidR="00582FE1" w:rsidRPr="00DE6E0D">
        <w:rPr>
          <w:rFonts w:ascii="Calibri" w:hAnsi="Calibri" w:hint="eastAsia"/>
          <w:b/>
          <w:color w:val="auto"/>
          <w:u w:val="single"/>
          <w:vertAlign w:val="superscript"/>
        </w:rPr>
        <w:t>3</w:t>
      </w:r>
      <w:r w:rsidR="00582FE1" w:rsidRPr="00DE6E0D">
        <w:rPr>
          <w:rFonts w:ascii="Calibri" w:hAnsi="Calibri"/>
          <w:b/>
          <w:color w:val="auto"/>
          <w:u w:val="single"/>
        </w:rPr>
        <w:t>管控要求</w:t>
      </w:r>
      <w:r w:rsidR="006A0344" w:rsidRPr="00DE6E0D">
        <w:rPr>
          <w:rFonts w:ascii="Calibri" w:hAnsi="Calibri" w:hint="eastAsia"/>
          <w:b/>
          <w:color w:val="auto"/>
          <w:u w:val="single"/>
        </w:rPr>
        <w:t>，</w:t>
      </w:r>
      <w:r w:rsidR="0067318A" w:rsidRPr="00DE6E0D">
        <w:rPr>
          <w:rFonts w:ascii="Calibri" w:hAnsi="Calibri" w:hint="eastAsia"/>
          <w:b/>
          <w:color w:val="auto"/>
          <w:u w:val="single"/>
        </w:rPr>
        <w:t>己二胺、</w:t>
      </w:r>
      <w:r w:rsidR="0067318A" w:rsidRPr="00DE6E0D">
        <w:rPr>
          <w:rFonts w:ascii="Calibri" w:hAnsi="Calibri"/>
          <w:b/>
          <w:color w:val="auto"/>
          <w:u w:val="single"/>
        </w:rPr>
        <w:t>己二酸废气排放浓度</w:t>
      </w:r>
      <w:r w:rsidR="0067318A" w:rsidRPr="00DE6E0D">
        <w:rPr>
          <w:rFonts w:ascii="Calibri" w:hAnsi="Calibri" w:hint="eastAsia"/>
          <w:b/>
          <w:color w:val="auto"/>
          <w:u w:val="single"/>
        </w:rPr>
        <w:t>满足上海《大气污染物综合排放标准》（</w:t>
      </w:r>
      <w:r w:rsidR="0067318A" w:rsidRPr="00DE6E0D">
        <w:rPr>
          <w:rFonts w:ascii="Calibri" w:hAnsi="Calibri" w:hint="eastAsia"/>
          <w:b/>
          <w:color w:val="auto"/>
          <w:u w:val="single"/>
        </w:rPr>
        <w:t>DB31/933-2015</w:t>
      </w:r>
      <w:r w:rsidR="0067318A" w:rsidRPr="00DE6E0D">
        <w:rPr>
          <w:rFonts w:ascii="Calibri" w:hAnsi="Calibri" w:hint="eastAsia"/>
          <w:b/>
          <w:color w:val="auto"/>
          <w:u w:val="single"/>
        </w:rPr>
        <w:t>）。</w:t>
      </w:r>
      <w:r w:rsidR="00582FE1" w:rsidRPr="00DE6E0D">
        <w:rPr>
          <w:rFonts w:ascii="Calibri" w:hAnsi="Calibri" w:hint="eastAsia"/>
          <w:b/>
          <w:color w:val="auto"/>
          <w:u w:val="single"/>
        </w:rPr>
        <w:t>各污染物均可以实现达标排放，最终经</w:t>
      </w:r>
      <w:r w:rsidR="00582FE1" w:rsidRPr="00DE6E0D">
        <w:rPr>
          <w:rFonts w:ascii="Calibri" w:hAnsi="Calibri"/>
          <w:b/>
          <w:color w:val="auto"/>
          <w:u w:val="single"/>
        </w:rPr>
        <w:t>25</w:t>
      </w:r>
      <w:r w:rsidR="00582FE1" w:rsidRPr="00DE6E0D">
        <w:rPr>
          <w:rFonts w:ascii="Calibri" w:hAnsi="Calibri" w:hint="eastAsia"/>
          <w:b/>
          <w:color w:val="auto"/>
          <w:u w:val="single"/>
        </w:rPr>
        <w:t>m</w:t>
      </w:r>
      <w:r w:rsidR="00582FE1" w:rsidRPr="00DE6E0D">
        <w:rPr>
          <w:rFonts w:ascii="Calibri" w:hAnsi="Calibri" w:hint="eastAsia"/>
          <w:b/>
          <w:color w:val="auto"/>
          <w:u w:val="single"/>
        </w:rPr>
        <w:t>排气筒排放，对周围环境空气影响不大。由此可知，该环节废气处理措施可行。</w:t>
      </w:r>
    </w:p>
    <w:p w14:paraId="49A761F3" w14:textId="77777777" w:rsidR="00582FE1" w:rsidRPr="00A964FF" w:rsidRDefault="00383797" w:rsidP="00582FE1">
      <w:pPr>
        <w:pStyle w:val="00"/>
        <w:rPr>
          <w:rFonts w:ascii="Calibri"/>
          <w:b/>
          <w:color w:val="auto"/>
        </w:rPr>
      </w:pPr>
      <w:r>
        <w:rPr>
          <w:rFonts w:ascii="Calibri"/>
          <w:b/>
          <w:color w:val="auto"/>
        </w:rPr>
        <w:t>2</w:t>
      </w:r>
      <w:r w:rsidR="00582FE1" w:rsidRPr="00A964FF">
        <w:rPr>
          <w:rFonts w:ascii="Calibri" w:hint="eastAsia"/>
          <w:b/>
          <w:color w:val="auto"/>
        </w:rPr>
        <w:t>、废水处理站废气处理措施可行性分析</w:t>
      </w:r>
    </w:p>
    <w:p w14:paraId="7D7AD52E" w14:textId="42646CC4" w:rsidR="0075760C" w:rsidRPr="00A964FF" w:rsidRDefault="00582FE1" w:rsidP="0075760C">
      <w:pPr>
        <w:pStyle w:val="affff"/>
        <w:spacing w:line="520" w:lineRule="exact"/>
        <w:ind w:left="0" w:right="0" w:firstLineChars="165" w:firstLine="396"/>
        <w:rPr>
          <w:rFonts w:ascii="Calibri" w:hAnsi="Calibri"/>
          <w:color w:val="auto"/>
        </w:rPr>
      </w:pPr>
      <w:r w:rsidRPr="00A964FF">
        <w:rPr>
          <w:rFonts w:ascii="Calibri" w:hAnsi="Calibri" w:hint="eastAsia"/>
          <w:bCs/>
          <w:color w:val="auto"/>
        </w:rPr>
        <w:t>根据本项目工艺特点和废水特点，废水处理站废气污染物主要为</w:t>
      </w:r>
      <w:r w:rsidRPr="00A964FF">
        <w:rPr>
          <w:rFonts w:ascii="Calibri" w:hAnsi="Calibri" w:hint="eastAsia"/>
          <w:bCs/>
          <w:color w:val="auto"/>
        </w:rPr>
        <w:t>NH</w:t>
      </w:r>
      <w:r w:rsidRPr="00A964FF">
        <w:rPr>
          <w:rFonts w:ascii="Calibri" w:hAnsi="Calibri" w:hint="eastAsia"/>
          <w:bCs/>
          <w:color w:val="auto"/>
          <w:vertAlign w:val="subscript"/>
        </w:rPr>
        <w:t>3</w:t>
      </w:r>
      <w:r w:rsidRPr="00A964FF">
        <w:rPr>
          <w:rFonts w:ascii="Calibri" w:hAnsi="Calibri" w:hint="eastAsia"/>
          <w:bCs/>
          <w:color w:val="auto"/>
        </w:rPr>
        <w:t>、</w:t>
      </w:r>
      <w:r w:rsidRPr="00A964FF">
        <w:rPr>
          <w:rFonts w:ascii="Calibri" w:hAnsi="Calibri" w:hint="eastAsia"/>
          <w:bCs/>
          <w:color w:val="auto"/>
        </w:rPr>
        <w:t>H</w:t>
      </w:r>
      <w:r w:rsidRPr="00A964FF">
        <w:rPr>
          <w:rFonts w:ascii="Calibri" w:hAnsi="Calibri" w:hint="eastAsia"/>
          <w:bCs/>
          <w:color w:val="auto"/>
          <w:vertAlign w:val="subscript"/>
        </w:rPr>
        <w:t>2</w:t>
      </w:r>
      <w:r w:rsidRPr="00A964FF">
        <w:rPr>
          <w:rFonts w:ascii="Calibri" w:hAnsi="Calibri" w:hint="eastAsia"/>
          <w:bCs/>
          <w:color w:val="auto"/>
        </w:rPr>
        <w:t>S</w:t>
      </w:r>
      <w:r w:rsidRPr="00A964FF">
        <w:rPr>
          <w:rFonts w:ascii="Calibri" w:hAnsi="Calibri" w:hint="eastAsia"/>
          <w:bCs/>
          <w:color w:val="auto"/>
        </w:rPr>
        <w:t>和非甲烷总烃，</w:t>
      </w:r>
      <w:r w:rsidRPr="00A964FF">
        <w:rPr>
          <w:rFonts w:ascii="Calibri" w:hAnsi="Calibri" w:hint="eastAsia"/>
          <w:color w:val="auto"/>
        </w:rPr>
        <w:t>拟对废水处理站构筑物进行加盖密闭，并采用负压抽风将废气引至</w:t>
      </w:r>
      <w:r w:rsidRPr="00582FE1">
        <w:rPr>
          <w:rFonts w:ascii="Calibri" w:hAnsi="Calibri" w:hint="eastAsia"/>
          <w:color w:val="auto"/>
        </w:rPr>
        <w:t>光氧催化</w:t>
      </w:r>
      <w:r w:rsidRPr="00582FE1">
        <w:rPr>
          <w:rFonts w:ascii="Calibri" w:hAnsi="Calibri" w:hint="eastAsia"/>
          <w:color w:val="auto"/>
        </w:rPr>
        <w:t>+</w:t>
      </w:r>
      <w:r w:rsidRPr="00582FE1">
        <w:rPr>
          <w:rFonts w:ascii="Calibri" w:hAnsi="Calibri" w:hint="eastAsia"/>
          <w:color w:val="auto"/>
        </w:rPr>
        <w:t>活性炭吸附装置</w:t>
      </w:r>
      <w:r w:rsidRPr="00A964FF">
        <w:rPr>
          <w:rFonts w:ascii="Calibri" w:hAnsi="Calibri" w:hint="eastAsia"/>
          <w:color w:val="auto"/>
        </w:rPr>
        <w:t>进行处理，该装置配套风机风量为</w:t>
      </w:r>
      <w:r>
        <w:rPr>
          <w:rFonts w:ascii="Calibri" w:hAnsi="Calibri"/>
          <w:color w:val="auto"/>
        </w:rPr>
        <w:t>2</w:t>
      </w:r>
      <w:r w:rsidRPr="00A964FF">
        <w:rPr>
          <w:rFonts w:ascii="Calibri" w:hAnsi="Calibri"/>
          <w:color w:val="auto"/>
        </w:rPr>
        <w:t>000m</w:t>
      </w:r>
      <w:r w:rsidRPr="00A964FF">
        <w:rPr>
          <w:rFonts w:ascii="Calibri" w:hAnsi="Calibri"/>
          <w:color w:val="auto"/>
          <w:vertAlign w:val="superscript"/>
        </w:rPr>
        <w:t>3</w:t>
      </w:r>
      <w:r w:rsidRPr="00A964FF">
        <w:rPr>
          <w:rFonts w:ascii="Calibri" w:hAnsi="Calibri"/>
          <w:color w:val="auto"/>
        </w:rPr>
        <w:t>/h</w:t>
      </w:r>
      <w:r w:rsidRPr="00A964FF">
        <w:rPr>
          <w:rFonts w:ascii="Calibri" w:hAnsi="Calibri" w:hint="eastAsia"/>
          <w:color w:val="auto"/>
        </w:rPr>
        <w:t>，</w:t>
      </w:r>
      <w:r w:rsidR="0075760C">
        <w:rPr>
          <w:rFonts w:ascii="Calibri" w:hAnsi="Calibri" w:hint="eastAsia"/>
          <w:color w:val="auto"/>
        </w:rPr>
        <w:t>对</w:t>
      </w:r>
      <w:r w:rsidR="0075760C">
        <w:rPr>
          <w:rFonts w:ascii="Calibri" w:hAnsi="Calibri"/>
          <w:color w:val="auto"/>
        </w:rPr>
        <w:t>废气的收集效率为</w:t>
      </w:r>
      <w:r w:rsidR="0075760C">
        <w:rPr>
          <w:rFonts w:ascii="Calibri" w:hAnsi="Calibri" w:hint="eastAsia"/>
          <w:color w:val="auto"/>
        </w:rPr>
        <w:t>95%</w:t>
      </w:r>
      <w:r w:rsidR="0075760C">
        <w:rPr>
          <w:rFonts w:ascii="Calibri" w:hAnsi="Calibri" w:hint="eastAsia"/>
          <w:color w:val="auto"/>
        </w:rPr>
        <w:t>，</w:t>
      </w:r>
      <w:r w:rsidR="0075760C" w:rsidRPr="00A964FF">
        <w:rPr>
          <w:rFonts w:ascii="Calibri" w:hAnsi="Calibri" w:hint="eastAsia"/>
          <w:color w:val="auto"/>
        </w:rPr>
        <w:t>对</w:t>
      </w:r>
      <w:r w:rsidR="0075760C" w:rsidRPr="00A964FF">
        <w:rPr>
          <w:rFonts w:ascii="Calibri" w:hAnsi="Calibri"/>
          <w:color w:val="auto"/>
        </w:rPr>
        <w:t>NH</w:t>
      </w:r>
      <w:r w:rsidR="0075760C" w:rsidRPr="00A964FF">
        <w:rPr>
          <w:rFonts w:ascii="Calibri" w:hAnsi="Calibri"/>
          <w:color w:val="auto"/>
          <w:vertAlign w:val="subscript"/>
        </w:rPr>
        <w:t>3</w:t>
      </w:r>
      <w:r w:rsidR="0075760C" w:rsidRPr="00A964FF">
        <w:rPr>
          <w:rFonts w:ascii="Calibri" w:hAnsi="Calibri" w:hint="eastAsia"/>
          <w:color w:val="auto"/>
        </w:rPr>
        <w:t>、</w:t>
      </w:r>
      <w:r w:rsidR="0075760C" w:rsidRPr="00A964FF">
        <w:rPr>
          <w:rFonts w:ascii="Calibri" w:hAnsi="Calibri"/>
          <w:color w:val="auto"/>
        </w:rPr>
        <w:t>H</w:t>
      </w:r>
      <w:r w:rsidR="0075760C" w:rsidRPr="00A964FF">
        <w:rPr>
          <w:rFonts w:ascii="Calibri" w:hAnsi="Calibri"/>
          <w:color w:val="auto"/>
          <w:vertAlign w:val="subscript"/>
        </w:rPr>
        <w:t>2</w:t>
      </w:r>
      <w:r w:rsidR="0075760C" w:rsidRPr="00A964FF">
        <w:rPr>
          <w:rFonts w:ascii="Calibri" w:hAnsi="Calibri"/>
          <w:color w:val="auto"/>
        </w:rPr>
        <w:t>S</w:t>
      </w:r>
      <w:r w:rsidR="0075760C">
        <w:rPr>
          <w:rFonts w:ascii="Calibri" w:hAnsi="Calibri" w:hint="eastAsia"/>
          <w:color w:val="auto"/>
        </w:rPr>
        <w:t>的</w:t>
      </w:r>
      <w:r w:rsidR="0075760C">
        <w:rPr>
          <w:rFonts w:ascii="Calibri" w:hAnsi="Calibri"/>
          <w:color w:val="auto"/>
        </w:rPr>
        <w:t>去除率为</w:t>
      </w:r>
      <w:r w:rsidR="0075760C">
        <w:rPr>
          <w:rFonts w:ascii="Calibri" w:hAnsi="Calibri" w:hint="eastAsia"/>
          <w:color w:val="auto"/>
        </w:rPr>
        <w:t>8</w:t>
      </w:r>
      <w:r w:rsidR="0075760C">
        <w:rPr>
          <w:rFonts w:ascii="Calibri" w:hAnsi="Calibri"/>
          <w:color w:val="auto"/>
        </w:rPr>
        <w:t>0</w:t>
      </w:r>
      <w:r w:rsidR="0067318A">
        <w:rPr>
          <w:rFonts w:ascii="Calibri" w:hAnsi="Calibri"/>
          <w:color w:val="auto"/>
        </w:rPr>
        <w:t>%</w:t>
      </w:r>
      <w:r w:rsidR="0075760C">
        <w:rPr>
          <w:rFonts w:ascii="Calibri" w:hAnsi="Calibri" w:hint="eastAsia"/>
          <w:color w:val="auto"/>
        </w:rPr>
        <w:t>，</w:t>
      </w:r>
      <w:r w:rsidR="0075760C">
        <w:rPr>
          <w:rFonts w:ascii="Calibri" w:hAnsi="Calibri"/>
          <w:color w:val="auto"/>
        </w:rPr>
        <w:t>对</w:t>
      </w:r>
      <w:r w:rsidR="0075760C">
        <w:rPr>
          <w:rFonts w:ascii="Calibri" w:hAnsi="Calibri" w:hint="eastAsia"/>
          <w:color w:val="auto"/>
        </w:rPr>
        <w:t>非甲烷总烃</w:t>
      </w:r>
      <w:r w:rsidR="0075760C" w:rsidRPr="00A964FF">
        <w:rPr>
          <w:rFonts w:ascii="Calibri" w:hAnsi="Calibri" w:hint="eastAsia"/>
          <w:color w:val="auto"/>
        </w:rPr>
        <w:t>的去除率为</w:t>
      </w:r>
      <w:r w:rsidR="0075760C">
        <w:rPr>
          <w:rFonts w:ascii="Calibri" w:hAnsi="Calibri"/>
          <w:color w:val="auto"/>
        </w:rPr>
        <w:t>85</w:t>
      </w:r>
      <w:r w:rsidR="0075760C" w:rsidRPr="00A964FF">
        <w:rPr>
          <w:rFonts w:ascii="Calibri" w:hAnsi="Calibri"/>
          <w:color w:val="auto"/>
        </w:rPr>
        <w:t>%</w:t>
      </w:r>
      <w:r w:rsidR="0075760C">
        <w:rPr>
          <w:rFonts w:ascii="Calibri" w:hAnsi="Calibri" w:hint="eastAsia"/>
          <w:color w:val="auto"/>
        </w:rPr>
        <w:t>。</w:t>
      </w:r>
    </w:p>
    <w:p w14:paraId="1273296F" w14:textId="77777777" w:rsidR="006A0344" w:rsidRPr="008140B6" w:rsidRDefault="006A0344" w:rsidP="00FB4A29">
      <w:pPr>
        <w:pStyle w:val="affff"/>
        <w:spacing w:line="520" w:lineRule="exact"/>
        <w:ind w:left="0" w:right="0" w:firstLineChars="200" w:firstLine="480"/>
        <w:rPr>
          <w:rFonts w:ascii="Calibri" w:hAnsi="Calibri"/>
          <w:bCs/>
          <w:color w:val="auto"/>
        </w:rPr>
      </w:pPr>
      <w:r>
        <w:rPr>
          <w:rFonts w:ascii="Calibri" w:hAnsi="Calibri" w:hint="eastAsia"/>
          <w:color w:val="auto"/>
        </w:rPr>
        <w:t>根据</w:t>
      </w:r>
      <w:r w:rsidRPr="006A0344">
        <w:rPr>
          <w:rFonts w:ascii="Calibri" w:hAnsi="Calibri" w:hint="eastAsia"/>
          <w:color w:val="auto"/>
        </w:rPr>
        <w:t>《河南省重污染天气通用行业应急减排措施制定技术指南（</w:t>
      </w:r>
      <w:r w:rsidRPr="006A0344">
        <w:rPr>
          <w:rFonts w:ascii="Calibri" w:hAnsi="Calibri" w:hint="eastAsia"/>
          <w:color w:val="auto"/>
        </w:rPr>
        <w:t>2021</w:t>
      </w:r>
      <w:r w:rsidRPr="006A0344">
        <w:rPr>
          <w:rFonts w:ascii="Calibri" w:hAnsi="Calibri" w:hint="eastAsia"/>
          <w:color w:val="auto"/>
        </w:rPr>
        <w:t>年修订版）》</w:t>
      </w:r>
      <w:r>
        <w:rPr>
          <w:rFonts w:ascii="Calibri" w:hAnsi="Calibri" w:hint="eastAsia"/>
          <w:color w:val="auto"/>
        </w:rPr>
        <w:t>，污水</w:t>
      </w:r>
      <w:r>
        <w:rPr>
          <w:rFonts w:ascii="Calibri" w:hAnsi="Calibri"/>
          <w:color w:val="auto"/>
        </w:rPr>
        <w:t>收集和</w:t>
      </w:r>
      <w:r>
        <w:rPr>
          <w:rFonts w:ascii="Calibri" w:hAnsi="Calibri" w:hint="eastAsia"/>
          <w:color w:val="auto"/>
        </w:rPr>
        <w:t>处理措施：</w:t>
      </w:r>
      <w:r w:rsidRPr="006A0344">
        <w:rPr>
          <w:rFonts w:ascii="Calibri" w:hAnsi="Calibri" w:hint="eastAsia"/>
          <w:color w:val="auto"/>
        </w:rPr>
        <w:t>含</w:t>
      </w:r>
      <w:r w:rsidRPr="006A0344">
        <w:rPr>
          <w:rFonts w:ascii="Calibri" w:hAnsi="Calibri" w:hint="eastAsia"/>
          <w:color w:val="auto"/>
        </w:rPr>
        <w:t>VOCs</w:t>
      </w:r>
      <w:r w:rsidRPr="006A0344">
        <w:rPr>
          <w:rFonts w:ascii="Calibri" w:hAnsi="Calibri" w:hint="eastAsia"/>
          <w:color w:val="auto"/>
        </w:rPr>
        <w:t>或恶臭物质的废水集输系统采用封闭管道输送；废水储存、处理设施产生的恶臭气体，在曝气池之前加盖密闭或采取其他等效措施，密闭排气至废气治理设施；污泥沉淀池、污泥泵房、污泥装车区域采用密闭或其他等效措施，密闭排气至废气治理设施；污水站废气采用吸附</w:t>
      </w:r>
      <w:r w:rsidRPr="006A0344">
        <w:rPr>
          <w:rFonts w:ascii="Calibri" w:hAnsi="Calibri" w:hint="eastAsia"/>
          <w:color w:val="auto"/>
        </w:rPr>
        <w:t>-</w:t>
      </w:r>
      <w:r w:rsidRPr="006A0344">
        <w:rPr>
          <w:rFonts w:ascii="Calibri" w:hAnsi="Calibri" w:hint="eastAsia"/>
          <w:color w:val="auto"/>
        </w:rPr>
        <w:t>碱洗涤、生物脱臭、燃烧（氧化）法等处理工艺；厂区内无露天堆放污泥，污水站附近无异味</w:t>
      </w:r>
      <w:r>
        <w:rPr>
          <w:rFonts w:ascii="Calibri" w:hAnsi="Calibri" w:hint="eastAsia"/>
          <w:color w:val="auto"/>
        </w:rPr>
        <w:t>。</w:t>
      </w:r>
      <w:r w:rsidRPr="008140B6">
        <w:rPr>
          <w:rFonts w:ascii="Calibri" w:hAnsi="Calibri" w:hint="eastAsia"/>
          <w:bCs/>
          <w:color w:val="auto"/>
        </w:rPr>
        <w:t>本项目含</w:t>
      </w:r>
      <w:r w:rsidRPr="008140B6">
        <w:rPr>
          <w:rFonts w:ascii="Calibri" w:hAnsi="Calibri" w:hint="eastAsia"/>
          <w:bCs/>
          <w:color w:val="auto"/>
        </w:rPr>
        <w:t>VOCs</w:t>
      </w:r>
      <w:r w:rsidRPr="008140B6">
        <w:rPr>
          <w:rFonts w:ascii="Calibri" w:hAnsi="Calibri" w:hint="eastAsia"/>
          <w:bCs/>
          <w:color w:val="auto"/>
        </w:rPr>
        <w:t>废水采用密闭管道输送，废水集输系统的接入口和排出口均采取与空气隔离的措施；厂区</w:t>
      </w:r>
      <w:r>
        <w:rPr>
          <w:rFonts w:ascii="Calibri" w:hAnsi="Calibri" w:hint="eastAsia"/>
          <w:bCs/>
          <w:color w:val="auto"/>
        </w:rPr>
        <w:t>建设</w:t>
      </w:r>
      <w:r w:rsidRPr="008140B6">
        <w:rPr>
          <w:rFonts w:ascii="Calibri" w:hAnsi="Calibri" w:hint="eastAsia"/>
          <w:bCs/>
          <w:color w:val="auto"/>
        </w:rPr>
        <w:t>废水处理站</w:t>
      </w:r>
      <w:r w:rsidRPr="008140B6">
        <w:rPr>
          <w:rFonts w:ascii="Calibri" w:hAnsi="Calibri" w:hint="eastAsia"/>
          <w:bCs/>
          <w:color w:val="auto"/>
        </w:rPr>
        <w:t>1</w:t>
      </w:r>
      <w:r w:rsidRPr="008140B6">
        <w:rPr>
          <w:rFonts w:ascii="Calibri" w:hAnsi="Calibri" w:hint="eastAsia"/>
          <w:bCs/>
          <w:color w:val="auto"/>
        </w:rPr>
        <w:t>座，废水集输、储存、处理设施加盖密闭，</w:t>
      </w:r>
      <w:r>
        <w:rPr>
          <w:rFonts w:ascii="Calibri" w:hAnsi="Calibri" w:hint="eastAsia"/>
          <w:bCs/>
          <w:color w:val="auto"/>
        </w:rPr>
        <w:t>厂区</w:t>
      </w:r>
      <w:r>
        <w:rPr>
          <w:rFonts w:ascii="Calibri" w:hAnsi="Calibri"/>
          <w:bCs/>
          <w:color w:val="auto"/>
        </w:rPr>
        <w:t>污泥密闭储存。</w:t>
      </w:r>
      <w:r w:rsidRPr="008140B6">
        <w:rPr>
          <w:rFonts w:ascii="Calibri" w:hAnsi="Calibri" w:hint="eastAsia"/>
          <w:bCs/>
          <w:color w:val="auto"/>
        </w:rPr>
        <w:lastRenderedPageBreak/>
        <w:t>将废气引至有机废气治理设施；废水处理站所排废气为低浓度</w:t>
      </w:r>
      <w:r w:rsidR="00DA2F07">
        <w:rPr>
          <w:rFonts w:ascii="Calibri" w:hAnsi="Calibri" w:hint="eastAsia"/>
          <w:bCs/>
          <w:color w:val="auto"/>
        </w:rPr>
        <w:t>有机废气</w:t>
      </w:r>
      <w:r w:rsidRPr="008140B6">
        <w:rPr>
          <w:rFonts w:ascii="Calibri" w:hAnsi="Calibri" w:hint="eastAsia"/>
          <w:bCs/>
          <w:color w:val="auto"/>
        </w:rPr>
        <w:t>废气，</w:t>
      </w:r>
      <w:r>
        <w:rPr>
          <w:rFonts w:ascii="Calibri" w:hAnsi="Calibri" w:hint="eastAsia"/>
          <w:bCs/>
          <w:color w:val="auto"/>
        </w:rPr>
        <w:t>光氧催化</w:t>
      </w:r>
      <w:r>
        <w:rPr>
          <w:rFonts w:ascii="Calibri" w:hAnsi="Calibri" w:hint="eastAsia"/>
          <w:bCs/>
          <w:color w:val="auto"/>
        </w:rPr>
        <w:t>+</w:t>
      </w:r>
      <w:r>
        <w:rPr>
          <w:rFonts w:ascii="Calibri" w:hAnsi="Calibri" w:hint="eastAsia"/>
          <w:bCs/>
          <w:color w:val="auto"/>
        </w:rPr>
        <w:t>活性炭</w:t>
      </w:r>
      <w:r>
        <w:rPr>
          <w:rFonts w:ascii="Calibri" w:hAnsi="Calibri"/>
          <w:bCs/>
          <w:color w:val="auto"/>
        </w:rPr>
        <w:t>吸附装置</w:t>
      </w:r>
      <w:r w:rsidRPr="008140B6">
        <w:rPr>
          <w:rFonts w:ascii="Calibri" w:hAnsi="Calibri" w:hint="eastAsia"/>
          <w:bCs/>
          <w:color w:val="auto"/>
        </w:rPr>
        <w:t>符合当前环保政策，处理措施可行。</w:t>
      </w:r>
    </w:p>
    <w:p w14:paraId="67094FED" w14:textId="6D04EA07" w:rsidR="006A0344" w:rsidRPr="006A0344" w:rsidRDefault="006A0344" w:rsidP="006A0344">
      <w:pPr>
        <w:pStyle w:val="00"/>
        <w:rPr>
          <w:rFonts w:asciiTheme="minorHAnsi" w:hAnsiTheme="minorHAnsi"/>
          <w:color w:val="auto"/>
        </w:rPr>
      </w:pPr>
      <w:r w:rsidRPr="00A964FF">
        <w:rPr>
          <w:rFonts w:ascii="Calibri" w:hAnsi="Calibri" w:hint="eastAsia"/>
          <w:color w:val="auto"/>
        </w:rPr>
        <w:t>本项目废水处理站废气经</w:t>
      </w:r>
      <w:r w:rsidRPr="006A0344">
        <w:rPr>
          <w:rFonts w:ascii="Calibri" w:hAnsi="Calibri" w:hint="eastAsia"/>
          <w:color w:val="auto"/>
        </w:rPr>
        <w:t>光氧催化</w:t>
      </w:r>
      <w:r w:rsidRPr="006A0344">
        <w:rPr>
          <w:rFonts w:ascii="Calibri" w:hAnsi="Calibri" w:hint="eastAsia"/>
          <w:color w:val="auto"/>
        </w:rPr>
        <w:t>+</w:t>
      </w:r>
      <w:r w:rsidRPr="006A0344">
        <w:rPr>
          <w:rFonts w:ascii="Calibri" w:hAnsi="Calibri" w:hint="eastAsia"/>
          <w:color w:val="auto"/>
        </w:rPr>
        <w:t>活性炭吸附装置</w:t>
      </w:r>
      <w:r w:rsidRPr="00A964FF">
        <w:rPr>
          <w:rFonts w:ascii="Calibri" w:hAnsi="Calibri" w:hint="eastAsia"/>
          <w:color w:val="auto"/>
        </w:rPr>
        <w:t>处理后，氨</w:t>
      </w:r>
      <w:r w:rsidRPr="00A964FF">
        <w:rPr>
          <w:rFonts w:ascii="Calibri" w:hAnsi="Calibri" w:hint="eastAsia"/>
          <w:bCs/>
          <w:color w:val="auto"/>
        </w:rPr>
        <w:t>的排放速率为</w:t>
      </w:r>
      <w:r w:rsidR="0067318A" w:rsidRPr="0067318A">
        <w:rPr>
          <w:rFonts w:ascii="Calibri" w:hAnsi="Calibri"/>
          <w:szCs w:val="21"/>
        </w:rPr>
        <w:t>0.0012</w:t>
      </w:r>
      <w:r w:rsidRPr="00A964FF">
        <w:rPr>
          <w:rFonts w:ascii="Calibri" w:hAnsi="Calibri" w:hint="eastAsia"/>
          <w:bCs/>
          <w:color w:val="auto"/>
        </w:rPr>
        <w:t>kg/h</w:t>
      </w:r>
      <w:r w:rsidRPr="00A964FF">
        <w:rPr>
          <w:rFonts w:ascii="Calibri" w:hAnsi="Calibri" w:hint="eastAsia"/>
          <w:bCs/>
          <w:color w:val="auto"/>
        </w:rPr>
        <w:t>，排放量为</w:t>
      </w:r>
      <w:r w:rsidR="0067318A" w:rsidRPr="0067318A">
        <w:rPr>
          <w:rFonts w:ascii="Calibri" w:hAnsi="Calibri"/>
          <w:szCs w:val="21"/>
        </w:rPr>
        <w:t>0.0084</w:t>
      </w:r>
      <w:r w:rsidRPr="00A964FF">
        <w:rPr>
          <w:rFonts w:ascii="Calibri" w:hAnsi="Calibri" w:hint="eastAsia"/>
          <w:bCs/>
          <w:color w:val="auto"/>
        </w:rPr>
        <w:t>t/a</w:t>
      </w:r>
      <w:r w:rsidRPr="00A964FF">
        <w:rPr>
          <w:rFonts w:ascii="Calibri" w:hAnsi="Calibri" w:hint="eastAsia"/>
          <w:bCs/>
          <w:color w:val="auto"/>
        </w:rPr>
        <w:t>；硫化氢的排放速率为</w:t>
      </w:r>
      <w:r w:rsidR="0067318A" w:rsidRPr="0067318A">
        <w:rPr>
          <w:rFonts w:ascii="Calibri" w:hAnsi="Calibri"/>
          <w:szCs w:val="21"/>
        </w:rPr>
        <w:t>0.000044</w:t>
      </w:r>
      <w:r w:rsidRPr="00A964FF">
        <w:rPr>
          <w:rFonts w:ascii="Calibri" w:hAnsi="Calibri" w:hint="eastAsia"/>
          <w:bCs/>
          <w:color w:val="auto"/>
        </w:rPr>
        <w:t>kg/h</w:t>
      </w:r>
      <w:r w:rsidRPr="00A964FF">
        <w:rPr>
          <w:rFonts w:ascii="Calibri" w:hAnsi="Calibri" w:hint="eastAsia"/>
          <w:bCs/>
          <w:color w:val="auto"/>
        </w:rPr>
        <w:t>，排放量为</w:t>
      </w:r>
      <w:r w:rsidR="0067318A" w:rsidRPr="0067318A">
        <w:rPr>
          <w:rFonts w:ascii="Calibri" w:hAnsi="Calibri"/>
          <w:szCs w:val="21"/>
        </w:rPr>
        <w:t>0.00032</w:t>
      </w:r>
      <w:r w:rsidRPr="00A964FF">
        <w:rPr>
          <w:rFonts w:ascii="Calibri" w:hAnsi="Calibri" w:hint="eastAsia"/>
          <w:bCs/>
          <w:color w:val="auto"/>
        </w:rPr>
        <w:t>t/a</w:t>
      </w:r>
      <w:r w:rsidRPr="00A964FF">
        <w:rPr>
          <w:rFonts w:ascii="Calibri" w:hAnsi="Calibri" w:hint="eastAsia"/>
          <w:bCs/>
          <w:color w:val="auto"/>
        </w:rPr>
        <w:t>；</w:t>
      </w:r>
      <w:r>
        <w:rPr>
          <w:rFonts w:ascii="Calibri" w:hAnsi="Calibri" w:hint="eastAsia"/>
          <w:bCs/>
          <w:color w:val="auto"/>
        </w:rPr>
        <w:t>非甲烷总烃</w:t>
      </w:r>
      <w:r w:rsidRPr="00A964FF">
        <w:rPr>
          <w:rFonts w:ascii="Calibri" w:hAnsi="Calibri" w:hint="eastAsia"/>
          <w:bCs/>
          <w:color w:val="auto"/>
        </w:rPr>
        <w:t>排放速率为</w:t>
      </w:r>
      <w:r w:rsidR="0067318A" w:rsidRPr="0067318A">
        <w:rPr>
          <w:rFonts w:ascii="Calibri" w:hAnsi="Calibri"/>
          <w:szCs w:val="21"/>
        </w:rPr>
        <w:t>0.0014</w:t>
      </w:r>
      <w:r w:rsidRPr="00A964FF">
        <w:rPr>
          <w:rFonts w:ascii="Calibri" w:hAnsi="Calibri" w:hint="eastAsia"/>
          <w:bCs/>
          <w:color w:val="auto"/>
        </w:rPr>
        <w:t>kg/h</w:t>
      </w:r>
      <w:r w:rsidRPr="00A964FF">
        <w:rPr>
          <w:rFonts w:ascii="Calibri" w:hAnsi="Calibri" w:hint="eastAsia"/>
          <w:bCs/>
          <w:color w:val="auto"/>
        </w:rPr>
        <w:t>，排放量为</w:t>
      </w:r>
      <w:r w:rsidR="0067318A" w:rsidRPr="0067318A">
        <w:rPr>
          <w:rFonts w:ascii="Calibri" w:hAnsi="Calibri"/>
          <w:szCs w:val="21"/>
        </w:rPr>
        <w:t>0.010</w:t>
      </w:r>
      <w:r w:rsidRPr="00A964FF">
        <w:rPr>
          <w:rFonts w:ascii="Calibri" w:hAnsi="Calibri" w:hint="eastAsia"/>
          <w:bCs/>
          <w:color w:val="auto"/>
        </w:rPr>
        <w:t>t/a</w:t>
      </w:r>
      <w:r w:rsidRPr="00A964FF">
        <w:rPr>
          <w:rFonts w:ascii="Calibri" w:hAnsi="Calibri" w:hint="eastAsia"/>
          <w:bCs/>
          <w:color w:val="auto"/>
        </w:rPr>
        <w:t>；</w:t>
      </w:r>
      <w:r w:rsidRPr="006A0344">
        <w:rPr>
          <w:rFonts w:asciiTheme="minorHAnsi" w:hAnsiTheme="minorHAnsi"/>
          <w:color w:val="auto"/>
        </w:rPr>
        <w:t>氨和硫化氢排放浓度均满足</w:t>
      </w:r>
      <w:r w:rsidRPr="006A0344">
        <w:rPr>
          <w:rFonts w:asciiTheme="minorHAnsi" w:hAnsiTheme="minorHAnsi"/>
        </w:rPr>
        <w:t>《恶臭污染物排放标准》（</w:t>
      </w:r>
      <w:r w:rsidRPr="006A0344">
        <w:rPr>
          <w:rFonts w:asciiTheme="minorHAnsi" w:hAnsiTheme="minorHAnsi"/>
        </w:rPr>
        <w:t>GB14554-93</w:t>
      </w:r>
      <w:r w:rsidRPr="006A0344">
        <w:rPr>
          <w:rFonts w:asciiTheme="minorHAnsi" w:hAnsiTheme="minorHAnsi"/>
        </w:rPr>
        <w:t>）表</w:t>
      </w:r>
      <w:r w:rsidRPr="006A0344">
        <w:rPr>
          <w:rFonts w:asciiTheme="minorHAnsi" w:hAnsiTheme="minorHAnsi"/>
        </w:rPr>
        <w:t>1</w:t>
      </w:r>
      <w:r w:rsidRPr="006A0344">
        <w:rPr>
          <w:rFonts w:asciiTheme="minorHAnsi" w:hAnsiTheme="minorHAnsi"/>
        </w:rPr>
        <w:t>、</w:t>
      </w:r>
      <w:r w:rsidRPr="006A0344">
        <w:rPr>
          <w:rFonts w:asciiTheme="minorHAnsi" w:hAnsiTheme="minorHAnsi"/>
        </w:rPr>
        <w:t>2</w:t>
      </w:r>
      <w:r w:rsidRPr="006A0344">
        <w:rPr>
          <w:rFonts w:asciiTheme="minorHAnsi" w:hAnsiTheme="minorHAnsi"/>
        </w:rPr>
        <w:t>中</w:t>
      </w:r>
      <w:r w:rsidRPr="006A0344">
        <w:rPr>
          <w:rFonts w:asciiTheme="minorHAnsi" w:hAnsiTheme="minorHAnsi"/>
        </w:rPr>
        <w:t>15m</w:t>
      </w:r>
      <w:r w:rsidRPr="006A0344">
        <w:rPr>
          <w:rFonts w:asciiTheme="minorHAnsi" w:hAnsiTheme="minorHAnsi"/>
        </w:rPr>
        <w:t>高排气筒</w:t>
      </w:r>
      <w:r w:rsidRPr="006A0344">
        <w:rPr>
          <w:rFonts w:asciiTheme="minorHAnsi" w:hAnsiTheme="minorHAnsi"/>
        </w:rPr>
        <w:t>NH</w:t>
      </w:r>
      <w:r w:rsidRPr="006A0344">
        <w:rPr>
          <w:rFonts w:asciiTheme="minorHAnsi" w:hAnsiTheme="minorHAnsi"/>
          <w:vertAlign w:val="subscript"/>
        </w:rPr>
        <w:t>3</w:t>
      </w:r>
      <w:r w:rsidRPr="006A0344">
        <w:rPr>
          <w:rFonts w:asciiTheme="minorHAnsi" w:hAnsiTheme="minorHAnsi"/>
        </w:rPr>
        <w:t>排放速率</w:t>
      </w:r>
      <w:r w:rsidRPr="006A0344">
        <w:rPr>
          <w:rFonts w:asciiTheme="minorHAnsi" w:hAnsiTheme="minorHAnsi"/>
        </w:rPr>
        <w:t>4.9kg/h</w:t>
      </w:r>
      <w:r w:rsidRPr="006A0344">
        <w:rPr>
          <w:rFonts w:asciiTheme="minorHAnsi" w:hAnsiTheme="minorHAnsi"/>
        </w:rPr>
        <w:t>、</w:t>
      </w:r>
      <w:r w:rsidRPr="006A0344">
        <w:rPr>
          <w:rFonts w:asciiTheme="minorHAnsi" w:hAnsiTheme="minorHAnsi"/>
        </w:rPr>
        <w:t>H</w:t>
      </w:r>
      <w:r w:rsidRPr="006A0344">
        <w:rPr>
          <w:rFonts w:asciiTheme="minorHAnsi" w:hAnsiTheme="minorHAnsi"/>
          <w:vertAlign w:val="subscript"/>
        </w:rPr>
        <w:t>2</w:t>
      </w:r>
      <w:r w:rsidRPr="006A0344">
        <w:rPr>
          <w:rFonts w:asciiTheme="minorHAnsi" w:hAnsiTheme="minorHAnsi"/>
        </w:rPr>
        <w:t>S</w:t>
      </w:r>
      <w:r w:rsidRPr="006A0344">
        <w:rPr>
          <w:rFonts w:asciiTheme="minorHAnsi" w:hAnsiTheme="minorHAnsi"/>
        </w:rPr>
        <w:t>排放速率</w:t>
      </w:r>
      <w:r w:rsidRPr="006A0344">
        <w:rPr>
          <w:rFonts w:asciiTheme="minorHAnsi" w:hAnsiTheme="minorHAnsi"/>
        </w:rPr>
        <w:t>0.33kg/h</w:t>
      </w:r>
      <w:r w:rsidRPr="006A0344">
        <w:rPr>
          <w:rFonts w:asciiTheme="minorHAnsi" w:hAnsiTheme="minorHAnsi"/>
        </w:rPr>
        <w:t>的标准要求</w:t>
      </w:r>
      <w:r>
        <w:rPr>
          <w:rFonts w:asciiTheme="minorHAnsi" w:hAnsiTheme="minorHAnsi" w:hint="eastAsia"/>
        </w:rPr>
        <w:t>，</w:t>
      </w:r>
      <w:r w:rsidRPr="006A0344">
        <w:rPr>
          <w:rFonts w:asciiTheme="minorHAnsi" w:hAnsiTheme="minorHAnsi"/>
        </w:rPr>
        <w:t>非甲烷总烃</w:t>
      </w:r>
      <w:r w:rsidRPr="006A0344">
        <w:rPr>
          <w:rFonts w:asciiTheme="minorHAnsi" w:hAnsiTheme="minorHAnsi"/>
          <w:color w:val="auto"/>
        </w:rPr>
        <w:t>满足《合成树脂工业污染物排放标准》（</w:t>
      </w:r>
      <w:r w:rsidRPr="006A0344">
        <w:rPr>
          <w:rFonts w:asciiTheme="minorHAnsi" w:hAnsiTheme="minorHAnsi"/>
          <w:color w:val="auto"/>
        </w:rPr>
        <w:t>GB31572-2015</w:t>
      </w:r>
      <w:r w:rsidRPr="006A0344">
        <w:rPr>
          <w:rFonts w:asciiTheme="minorHAnsi" w:hAnsiTheme="minorHAnsi"/>
          <w:color w:val="auto"/>
        </w:rPr>
        <w:t>）的排放限值。</w:t>
      </w:r>
      <w:r w:rsidRPr="00A964FF">
        <w:rPr>
          <w:rFonts w:ascii="Calibri" w:hint="eastAsia"/>
          <w:bCs/>
          <w:color w:val="auto"/>
        </w:rPr>
        <w:t>各污染物均</w:t>
      </w:r>
      <w:r w:rsidRPr="00A964FF">
        <w:rPr>
          <w:rFonts w:ascii="Calibri" w:hAnsi="Calibri" w:hint="eastAsia"/>
          <w:bCs/>
          <w:color w:val="auto"/>
        </w:rPr>
        <w:t>可以实现达标排放，最终经</w:t>
      </w:r>
      <w:r w:rsidRPr="00A964FF">
        <w:rPr>
          <w:rFonts w:ascii="Calibri" w:hAnsi="Calibri" w:hint="eastAsia"/>
          <w:bCs/>
          <w:color w:val="auto"/>
        </w:rPr>
        <w:t>15m</w:t>
      </w:r>
      <w:r w:rsidRPr="00A964FF">
        <w:rPr>
          <w:rFonts w:ascii="Calibri" w:hAnsi="Calibri" w:hint="eastAsia"/>
          <w:bCs/>
          <w:color w:val="auto"/>
        </w:rPr>
        <w:t>排气筒排放，对周围环境空气影响不大。由此可知，该环节废气处理措施可行。</w:t>
      </w:r>
    </w:p>
    <w:p w14:paraId="6B4C37AC" w14:textId="77777777" w:rsidR="006A0344" w:rsidRPr="00A964FF" w:rsidRDefault="00383797" w:rsidP="006A0344">
      <w:pPr>
        <w:pStyle w:val="00"/>
        <w:rPr>
          <w:rFonts w:ascii="Calibri" w:hAnsi="Calibri"/>
          <w:b/>
          <w:bCs/>
          <w:color w:val="auto"/>
        </w:rPr>
      </w:pPr>
      <w:r>
        <w:rPr>
          <w:rFonts w:ascii="Calibri" w:hAnsi="Calibri"/>
          <w:b/>
          <w:bCs/>
          <w:color w:val="auto"/>
        </w:rPr>
        <w:t>3</w:t>
      </w:r>
      <w:r w:rsidR="006A0344" w:rsidRPr="00A964FF">
        <w:rPr>
          <w:rFonts w:ascii="Calibri" w:hAnsi="Calibri" w:hint="eastAsia"/>
          <w:b/>
          <w:bCs/>
          <w:color w:val="auto"/>
        </w:rPr>
        <w:t>、导热油炉废气治理措施可行性分析</w:t>
      </w:r>
    </w:p>
    <w:p w14:paraId="6600B5FF" w14:textId="77777777" w:rsidR="006A0344" w:rsidRPr="006A0344" w:rsidRDefault="006A0344" w:rsidP="006A0344">
      <w:pPr>
        <w:pStyle w:val="00"/>
        <w:rPr>
          <w:rFonts w:ascii="Calibri" w:hAnsi="Calibri"/>
          <w:color w:val="auto"/>
        </w:rPr>
      </w:pPr>
      <w:r w:rsidRPr="00A964FF">
        <w:rPr>
          <w:rFonts w:ascii="Calibri" w:hAnsi="Calibri" w:hint="eastAsia"/>
          <w:color w:val="auto"/>
        </w:rPr>
        <w:t>本项目营运后厂区导热油炉以天然气为燃料，</w:t>
      </w:r>
      <w:r w:rsidRPr="006A0344">
        <w:rPr>
          <w:rFonts w:ascii="Calibri" w:hAnsi="Calibri" w:hint="eastAsia"/>
          <w:color w:val="auto"/>
        </w:rPr>
        <w:t>锅炉采取低氮燃烧技术，废气经</w:t>
      </w:r>
      <w:r w:rsidRPr="006A0344">
        <w:rPr>
          <w:rFonts w:ascii="Calibri" w:hAnsi="Calibri" w:hint="eastAsia"/>
          <w:color w:val="auto"/>
        </w:rPr>
        <w:t>1</w:t>
      </w:r>
      <w:r w:rsidRPr="006A0344">
        <w:rPr>
          <w:rFonts w:ascii="Calibri" w:hAnsi="Calibri" w:hint="eastAsia"/>
          <w:color w:val="auto"/>
        </w:rPr>
        <w:t>根</w:t>
      </w:r>
      <w:r w:rsidRPr="006A0344">
        <w:rPr>
          <w:rFonts w:ascii="Calibri" w:hAnsi="Calibri" w:hint="eastAsia"/>
          <w:color w:val="auto"/>
        </w:rPr>
        <w:t>15m</w:t>
      </w:r>
      <w:r w:rsidRPr="006A0344">
        <w:rPr>
          <w:rFonts w:ascii="Calibri" w:hAnsi="Calibri" w:hint="eastAsia"/>
          <w:color w:val="auto"/>
        </w:rPr>
        <w:t>高排气筒排放。</w:t>
      </w:r>
    </w:p>
    <w:p w14:paraId="4452E2DC" w14:textId="77777777" w:rsidR="006A0344" w:rsidRDefault="006A0344" w:rsidP="00411FB2">
      <w:pPr>
        <w:pStyle w:val="00"/>
        <w:rPr>
          <w:rFonts w:ascii="Calibri" w:hAnsi="Calibri"/>
          <w:color w:val="auto"/>
        </w:rPr>
      </w:pPr>
      <w:r w:rsidRPr="006A0344">
        <w:rPr>
          <w:rFonts w:ascii="Calibri" w:hAnsi="Calibri" w:hint="eastAsia"/>
          <w:color w:val="auto"/>
        </w:rPr>
        <w:t>低氮燃烧技术：由</w:t>
      </w:r>
      <w:r w:rsidRPr="006A0344">
        <w:rPr>
          <w:rFonts w:ascii="Calibri" w:hAnsi="Calibri" w:hint="eastAsia"/>
          <w:color w:val="auto"/>
        </w:rPr>
        <w:t>NOx</w:t>
      </w:r>
      <w:r w:rsidRPr="006A0344">
        <w:rPr>
          <w:rFonts w:ascii="Calibri" w:hAnsi="Calibri" w:hint="eastAsia"/>
          <w:color w:val="auto"/>
        </w:rPr>
        <w:t>的形成条件可知，对</w:t>
      </w:r>
      <w:r w:rsidRPr="006A0344">
        <w:rPr>
          <w:rFonts w:ascii="Calibri" w:hAnsi="Calibri" w:hint="eastAsia"/>
          <w:color w:val="auto"/>
        </w:rPr>
        <w:t>NOx</w:t>
      </w:r>
      <w:r w:rsidRPr="006A0344">
        <w:rPr>
          <w:rFonts w:ascii="Calibri" w:hAnsi="Calibri" w:hint="eastAsia"/>
          <w:color w:val="auto"/>
        </w:rPr>
        <w:t>的形成起决定作用的是燃烧区域的温度和过量空气量。因此，低氮燃烧技术就是通过控制燃烧区域的温度和空气量，以达到阻止</w:t>
      </w:r>
      <w:r w:rsidRPr="006A0344">
        <w:rPr>
          <w:rFonts w:ascii="Calibri" w:hAnsi="Calibri" w:hint="eastAsia"/>
          <w:color w:val="auto"/>
        </w:rPr>
        <w:t>NOx</w:t>
      </w:r>
      <w:r w:rsidRPr="006A0344">
        <w:rPr>
          <w:rFonts w:ascii="Calibri" w:hAnsi="Calibri" w:hint="eastAsia"/>
          <w:color w:val="auto"/>
        </w:rPr>
        <w:t>生成及降低其排放的目的。常用的低氮燃烧技术有空气分级燃烧技术、燃料分级燃烧技术、烟气再循环技术、低</w:t>
      </w:r>
      <w:r w:rsidRPr="006A0344">
        <w:rPr>
          <w:rFonts w:ascii="Calibri" w:hAnsi="Calibri" w:hint="eastAsia"/>
          <w:color w:val="auto"/>
        </w:rPr>
        <w:t>NOx</w:t>
      </w:r>
      <w:r w:rsidRPr="006A0344">
        <w:rPr>
          <w:rFonts w:ascii="Calibri" w:hAnsi="Calibri" w:hint="eastAsia"/>
          <w:color w:val="auto"/>
        </w:rPr>
        <w:t>燃烧器。其中，低氮燃烧技术特征是燃气从中心供入，空气以强旋转气流在燃气流周围供入。在强空气旋转气流作用下，加速了燃气与空气的混合，增加了混合均匀性，促进了燃烧反应，防止局部高温的产生，使火焰具有均匀的较低的温度水平。强烈的混合还可降低过剩空气，可在低过剩空气系数下实现完全燃烧。本次项目</w:t>
      </w:r>
      <w:r w:rsidR="00411FB2">
        <w:rPr>
          <w:rFonts w:ascii="Calibri" w:hAnsi="Calibri" w:hint="eastAsia"/>
          <w:color w:val="auto"/>
        </w:rPr>
        <w:t>油炉</w:t>
      </w:r>
      <w:r w:rsidRPr="006A0344">
        <w:rPr>
          <w:rFonts w:ascii="Calibri" w:hAnsi="Calibri" w:hint="eastAsia"/>
          <w:color w:val="auto"/>
        </w:rPr>
        <w:t>配备低</w:t>
      </w:r>
      <w:r w:rsidRPr="006A0344">
        <w:rPr>
          <w:rFonts w:ascii="Calibri" w:hAnsi="Calibri" w:hint="eastAsia"/>
          <w:color w:val="auto"/>
        </w:rPr>
        <w:t>NOx</w:t>
      </w:r>
      <w:r w:rsidRPr="006A0344">
        <w:rPr>
          <w:rFonts w:ascii="Calibri" w:hAnsi="Calibri" w:hint="eastAsia"/>
          <w:color w:val="auto"/>
        </w:rPr>
        <w:t>燃烧器，主要通过均匀补风，降低炉膛温度，减少</w:t>
      </w:r>
      <w:r w:rsidRPr="006A0344">
        <w:rPr>
          <w:rFonts w:ascii="Calibri" w:hAnsi="Calibri" w:hint="eastAsia"/>
          <w:color w:val="auto"/>
        </w:rPr>
        <w:t>NOx</w:t>
      </w:r>
      <w:r w:rsidRPr="006A0344">
        <w:rPr>
          <w:rFonts w:ascii="Calibri" w:hAnsi="Calibri" w:hint="eastAsia"/>
          <w:color w:val="auto"/>
        </w:rPr>
        <w:t>的产生。</w:t>
      </w:r>
    </w:p>
    <w:p w14:paraId="3AD5E8FD" w14:textId="77777777" w:rsidR="006A0344" w:rsidRPr="00A964FF" w:rsidRDefault="006A0344" w:rsidP="00677DB3">
      <w:pPr>
        <w:pStyle w:val="00"/>
        <w:ind w:firstLineChars="200"/>
        <w:rPr>
          <w:rFonts w:ascii="Calibri" w:hAnsi="Calibri"/>
          <w:color w:val="auto"/>
        </w:rPr>
      </w:pPr>
      <w:r w:rsidRPr="00A964FF">
        <w:rPr>
          <w:rFonts w:ascii="Calibri" w:hAnsi="Calibri" w:hint="eastAsia"/>
          <w:color w:val="auto"/>
        </w:rPr>
        <w:t>本项目</w:t>
      </w:r>
      <w:r w:rsidR="00677DB3">
        <w:rPr>
          <w:rFonts w:ascii="Calibri" w:hAnsi="Calibri" w:hint="eastAsia"/>
          <w:color w:val="auto"/>
        </w:rPr>
        <w:t>一期</w:t>
      </w:r>
      <w:r w:rsidR="00677DB3">
        <w:rPr>
          <w:rFonts w:ascii="Calibri" w:hAnsi="Calibri"/>
          <w:color w:val="auto"/>
        </w:rPr>
        <w:t>工程</w:t>
      </w:r>
      <w:r w:rsidR="00677DB3" w:rsidRPr="00A964FF">
        <w:rPr>
          <w:rFonts w:ascii="Calibri" w:hAnsi="Calibri" w:hint="eastAsia"/>
          <w:color w:val="auto"/>
        </w:rPr>
        <w:t>导热油炉燃料废气中颗粒物</w:t>
      </w:r>
      <w:r w:rsidR="00677DB3" w:rsidRPr="00A964FF">
        <w:rPr>
          <w:rFonts w:ascii="Calibri" w:hAnsi="Calibri" w:hint="eastAsia"/>
          <w:bCs/>
          <w:color w:val="auto"/>
        </w:rPr>
        <w:t>的排放浓度为</w:t>
      </w:r>
      <w:r w:rsidR="00677DB3">
        <w:rPr>
          <w:rFonts w:ascii="Calibri" w:hAnsi="Calibri"/>
          <w:bCs/>
          <w:color w:val="auto"/>
        </w:rPr>
        <w:t>2.45</w:t>
      </w:r>
      <w:r w:rsidR="00677DB3" w:rsidRPr="00A964FF">
        <w:rPr>
          <w:rFonts w:ascii="Calibri" w:hAnsi="Calibri" w:hint="eastAsia"/>
          <w:bCs/>
          <w:color w:val="auto"/>
        </w:rPr>
        <w:t>mg/m</w:t>
      </w:r>
      <w:r w:rsidR="00677DB3" w:rsidRPr="00A964FF">
        <w:rPr>
          <w:rFonts w:ascii="Calibri" w:hAnsi="Calibri" w:hint="eastAsia"/>
          <w:bCs/>
          <w:color w:val="auto"/>
          <w:vertAlign w:val="superscript"/>
        </w:rPr>
        <w:t>3</w:t>
      </w:r>
      <w:r w:rsidR="00677DB3" w:rsidRPr="00A964FF">
        <w:rPr>
          <w:rFonts w:ascii="Calibri" w:hAnsi="Calibri" w:hint="eastAsia"/>
          <w:bCs/>
          <w:color w:val="auto"/>
        </w:rPr>
        <w:t>，排放量为</w:t>
      </w:r>
      <w:r w:rsidR="00677DB3">
        <w:rPr>
          <w:rFonts w:ascii="Calibri" w:hAnsi="Calibri"/>
          <w:bCs/>
          <w:color w:val="auto"/>
        </w:rPr>
        <w:t>0.027</w:t>
      </w:r>
      <w:r w:rsidR="00677DB3" w:rsidRPr="00A964FF">
        <w:rPr>
          <w:rFonts w:ascii="Calibri" w:hAnsi="Calibri" w:hint="eastAsia"/>
          <w:bCs/>
          <w:color w:val="auto"/>
        </w:rPr>
        <w:t>t/a</w:t>
      </w:r>
      <w:r w:rsidR="00677DB3" w:rsidRPr="00A964FF">
        <w:rPr>
          <w:rFonts w:ascii="Calibri" w:hAnsi="Calibri" w:hint="eastAsia"/>
          <w:bCs/>
          <w:color w:val="auto"/>
        </w:rPr>
        <w:t>；</w:t>
      </w:r>
      <w:r w:rsidR="00677DB3" w:rsidRPr="00A964FF">
        <w:rPr>
          <w:rFonts w:ascii="Calibri" w:hAnsi="Calibri" w:hint="eastAsia"/>
          <w:bCs/>
          <w:color w:val="auto"/>
        </w:rPr>
        <w:t>SO</w:t>
      </w:r>
      <w:r w:rsidR="00677DB3" w:rsidRPr="00A964FF">
        <w:rPr>
          <w:rFonts w:ascii="Calibri" w:hAnsi="Calibri" w:hint="eastAsia"/>
          <w:bCs/>
          <w:color w:val="auto"/>
          <w:vertAlign w:val="subscript"/>
        </w:rPr>
        <w:t>2</w:t>
      </w:r>
      <w:r w:rsidR="00677DB3" w:rsidRPr="00A964FF">
        <w:rPr>
          <w:rFonts w:ascii="Calibri" w:hAnsi="Calibri" w:hint="eastAsia"/>
          <w:bCs/>
          <w:color w:val="auto"/>
        </w:rPr>
        <w:t>的排放浓度为</w:t>
      </w:r>
      <w:r w:rsidR="00677DB3">
        <w:rPr>
          <w:rFonts w:ascii="Calibri" w:hAnsi="Calibri"/>
          <w:bCs/>
          <w:color w:val="auto"/>
        </w:rPr>
        <w:t>3.70</w:t>
      </w:r>
      <w:r w:rsidR="00677DB3" w:rsidRPr="00A964FF">
        <w:rPr>
          <w:rFonts w:ascii="Calibri" w:hAnsi="Calibri" w:hint="eastAsia"/>
          <w:bCs/>
          <w:color w:val="auto"/>
        </w:rPr>
        <w:t>mg/m</w:t>
      </w:r>
      <w:r w:rsidR="00677DB3" w:rsidRPr="00A964FF">
        <w:rPr>
          <w:rFonts w:ascii="Calibri" w:hAnsi="Calibri" w:hint="eastAsia"/>
          <w:bCs/>
          <w:color w:val="auto"/>
          <w:vertAlign w:val="superscript"/>
        </w:rPr>
        <w:t>3</w:t>
      </w:r>
      <w:r w:rsidR="00677DB3" w:rsidRPr="00A964FF">
        <w:rPr>
          <w:rFonts w:ascii="Calibri" w:hAnsi="Calibri" w:hint="eastAsia"/>
          <w:bCs/>
          <w:color w:val="auto"/>
        </w:rPr>
        <w:t>，排放量为</w:t>
      </w:r>
      <w:r w:rsidR="00677DB3">
        <w:rPr>
          <w:rFonts w:ascii="Calibri" w:hAnsi="Calibri"/>
          <w:bCs/>
          <w:color w:val="auto"/>
        </w:rPr>
        <w:t>0.042</w:t>
      </w:r>
      <w:r w:rsidR="00677DB3" w:rsidRPr="00A964FF">
        <w:rPr>
          <w:rFonts w:ascii="Calibri" w:hAnsi="Calibri" w:hint="eastAsia"/>
          <w:bCs/>
          <w:color w:val="auto"/>
        </w:rPr>
        <w:t>t/a</w:t>
      </w:r>
      <w:r w:rsidR="00677DB3" w:rsidRPr="00A964FF">
        <w:rPr>
          <w:rFonts w:ascii="Calibri" w:hAnsi="Calibri" w:hint="eastAsia"/>
          <w:bCs/>
          <w:color w:val="auto"/>
        </w:rPr>
        <w:t>；</w:t>
      </w:r>
      <w:r w:rsidR="00677DB3" w:rsidRPr="00A964FF">
        <w:rPr>
          <w:rFonts w:ascii="Calibri" w:hAnsi="Calibri" w:hint="eastAsia"/>
          <w:bCs/>
          <w:color w:val="auto"/>
        </w:rPr>
        <w:t>NOx</w:t>
      </w:r>
      <w:r w:rsidR="00677DB3" w:rsidRPr="00A964FF">
        <w:rPr>
          <w:rFonts w:ascii="Calibri" w:hAnsi="Calibri" w:hint="eastAsia"/>
          <w:bCs/>
          <w:color w:val="auto"/>
        </w:rPr>
        <w:t>的排放浓度为</w:t>
      </w:r>
      <w:r w:rsidR="00677DB3">
        <w:rPr>
          <w:rFonts w:ascii="Calibri" w:hAnsi="Calibri"/>
          <w:bCs/>
          <w:color w:val="auto"/>
        </w:rPr>
        <w:t>28.30</w:t>
      </w:r>
      <w:r w:rsidR="00677DB3" w:rsidRPr="00A964FF">
        <w:rPr>
          <w:rFonts w:ascii="Calibri" w:hAnsi="Calibri" w:hint="eastAsia"/>
          <w:bCs/>
          <w:color w:val="auto"/>
        </w:rPr>
        <w:t>mg/m</w:t>
      </w:r>
      <w:r w:rsidR="00677DB3" w:rsidRPr="00A964FF">
        <w:rPr>
          <w:rFonts w:ascii="Calibri" w:hAnsi="Calibri" w:hint="eastAsia"/>
          <w:bCs/>
          <w:color w:val="auto"/>
          <w:vertAlign w:val="superscript"/>
        </w:rPr>
        <w:t>3</w:t>
      </w:r>
      <w:r w:rsidR="00677DB3" w:rsidRPr="00A964FF">
        <w:rPr>
          <w:rFonts w:ascii="Calibri" w:hAnsi="Calibri" w:hint="eastAsia"/>
          <w:bCs/>
          <w:color w:val="auto"/>
        </w:rPr>
        <w:t>，排放量为</w:t>
      </w:r>
      <w:r w:rsidR="00677DB3">
        <w:rPr>
          <w:rFonts w:ascii="Calibri" w:hAnsi="Calibri"/>
          <w:bCs/>
          <w:color w:val="auto"/>
        </w:rPr>
        <w:t>0.32</w:t>
      </w:r>
      <w:r w:rsidR="00677DB3" w:rsidRPr="00A964FF">
        <w:rPr>
          <w:rFonts w:ascii="Calibri" w:hAnsi="Calibri" w:hint="eastAsia"/>
          <w:bCs/>
          <w:color w:val="auto"/>
        </w:rPr>
        <w:t>t/a</w:t>
      </w:r>
      <w:r w:rsidR="00677DB3" w:rsidRPr="00A964FF">
        <w:rPr>
          <w:rFonts w:ascii="Calibri" w:hAnsi="Calibri" w:hint="eastAsia"/>
          <w:bCs/>
          <w:color w:val="auto"/>
        </w:rPr>
        <w:t>；各污染物排放浓度均满足</w:t>
      </w:r>
      <w:r w:rsidR="00677DB3" w:rsidRPr="00A964FF">
        <w:rPr>
          <w:rFonts w:ascii="Calibri" w:hAnsi="Calibri" w:hint="eastAsia"/>
          <w:color w:val="auto"/>
        </w:rPr>
        <w:t>《锅炉大气污染物排放标准》（</w:t>
      </w:r>
      <w:r w:rsidR="00677DB3" w:rsidRPr="00A964FF">
        <w:rPr>
          <w:rFonts w:ascii="Calibri" w:hAnsi="Calibri" w:hint="eastAsia"/>
          <w:color w:val="auto"/>
        </w:rPr>
        <w:t>DB41/2089-2021</w:t>
      </w:r>
      <w:r w:rsidR="00677DB3" w:rsidRPr="00A964FF">
        <w:rPr>
          <w:rFonts w:ascii="Calibri" w:hAnsi="Calibri" w:hint="eastAsia"/>
          <w:color w:val="auto"/>
        </w:rPr>
        <w:t>）中排放标准限值，可以实现达标排放，</w:t>
      </w:r>
      <w:r w:rsidR="00677DB3" w:rsidRPr="00A964FF">
        <w:rPr>
          <w:rFonts w:ascii="Calibri" w:hAnsi="Calibri" w:hint="eastAsia"/>
          <w:bCs/>
          <w:color w:val="auto"/>
        </w:rPr>
        <w:t>对周围环境空气影响</w:t>
      </w:r>
      <w:r w:rsidR="00677DB3" w:rsidRPr="00A964FF">
        <w:rPr>
          <w:rFonts w:ascii="Calibri" w:hAnsi="Calibri" w:hint="eastAsia"/>
          <w:bCs/>
          <w:color w:val="auto"/>
        </w:rPr>
        <w:lastRenderedPageBreak/>
        <w:t>不大。</w:t>
      </w:r>
      <w:r w:rsidR="00677DB3">
        <w:rPr>
          <w:rFonts w:ascii="Calibri" w:hAnsi="Calibri" w:hint="eastAsia"/>
          <w:color w:val="auto"/>
        </w:rPr>
        <w:t>二期</w:t>
      </w:r>
      <w:r w:rsidR="00677DB3">
        <w:rPr>
          <w:rFonts w:ascii="Calibri" w:hAnsi="Calibri"/>
          <w:color w:val="auto"/>
        </w:rPr>
        <w:t>工程</w:t>
      </w:r>
      <w:r w:rsidR="00677DB3" w:rsidRPr="00A964FF">
        <w:rPr>
          <w:rFonts w:ascii="Calibri" w:hAnsi="Calibri" w:hint="eastAsia"/>
          <w:color w:val="auto"/>
        </w:rPr>
        <w:t>导热油炉燃料废气中颗粒物</w:t>
      </w:r>
      <w:r w:rsidR="00677DB3" w:rsidRPr="00A964FF">
        <w:rPr>
          <w:rFonts w:ascii="Calibri" w:hAnsi="Calibri" w:hint="eastAsia"/>
          <w:bCs/>
          <w:color w:val="auto"/>
        </w:rPr>
        <w:t>的排放浓度为</w:t>
      </w:r>
      <w:r w:rsidR="00677DB3">
        <w:rPr>
          <w:rFonts w:ascii="Calibri" w:hAnsi="Calibri"/>
          <w:bCs/>
          <w:color w:val="auto"/>
        </w:rPr>
        <w:t>2.45</w:t>
      </w:r>
      <w:r w:rsidR="00677DB3" w:rsidRPr="00A964FF">
        <w:rPr>
          <w:rFonts w:ascii="Calibri" w:hAnsi="Calibri" w:hint="eastAsia"/>
          <w:bCs/>
          <w:color w:val="auto"/>
        </w:rPr>
        <w:t>mg/m</w:t>
      </w:r>
      <w:r w:rsidR="00677DB3" w:rsidRPr="00A964FF">
        <w:rPr>
          <w:rFonts w:ascii="Calibri" w:hAnsi="Calibri" w:hint="eastAsia"/>
          <w:bCs/>
          <w:color w:val="auto"/>
          <w:vertAlign w:val="superscript"/>
        </w:rPr>
        <w:t>3</w:t>
      </w:r>
      <w:r w:rsidR="00677DB3" w:rsidRPr="00A964FF">
        <w:rPr>
          <w:rFonts w:ascii="Calibri" w:hAnsi="Calibri" w:hint="eastAsia"/>
          <w:bCs/>
          <w:color w:val="auto"/>
        </w:rPr>
        <w:t>，排放量为</w:t>
      </w:r>
      <w:r w:rsidR="00677DB3">
        <w:rPr>
          <w:rFonts w:ascii="Calibri" w:hAnsi="Calibri"/>
          <w:bCs/>
          <w:color w:val="auto"/>
        </w:rPr>
        <w:t>0.017</w:t>
      </w:r>
      <w:r w:rsidR="00677DB3" w:rsidRPr="00A964FF">
        <w:rPr>
          <w:rFonts w:ascii="Calibri" w:hAnsi="Calibri" w:hint="eastAsia"/>
          <w:bCs/>
          <w:color w:val="auto"/>
        </w:rPr>
        <w:t>t/a</w:t>
      </w:r>
      <w:r w:rsidR="00677DB3" w:rsidRPr="00A964FF">
        <w:rPr>
          <w:rFonts w:ascii="Calibri" w:hAnsi="Calibri" w:hint="eastAsia"/>
          <w:bCs/>
          <w:color w:val="auto"/>
        </w:rPr>
        <w:t>；</w:t>
      </w:r>
      <w:r w:rsidR="00677DB3" w:rsidRPr="00A964FF">
        <w:rPr>
          <w:rFonts w:ascii="Calibri" w:hAnsi="Calibri" w:hint="eastAsia"/>
          <w:bCs/>
          <w:color w:val="auto"/>
        </w:rPr>
        <w:t>SO</w:t>
      </w:r>
      <w:r w:rsidR="00677DB3" w:rsidRPr="00A964FF">
        <w:rPr>
          <w:rFonts w:ascii="Calibri" w:hAnsi="Calibri" w:hint="eastAsia"/>
          <w:bCs/>
          <w:color w:val="auto"/>
          <w:vertAlign w:val="subscript"/>
        </w:rPr>
        <w:t>2</w:t>
      </w:r>
      <w:r w:rsidR="00677DB3" w:rsidRPr="00A964FF">
        <w:rPr>
          <w:rFonts w:ascii="Calibri" w:hAnsi="Calibri" w:hint="eastAsia"/>
          <w:bCs/>
          <w:color w:val="auto"/>
        </w:rPr>
        <w:t>的排放浓度为</w:t>
      </w:r>
      <w:r w:rsidR="00677DB3">
        <w:rPr>
          <w:rFonts w:ascii="Calibri" w:hAnsi="Calibri"/>
          <w:bCs/>
          <w:color w:val="auto"/>
        </w:rPr>
        <w:t>3.70</w:t>
      </w:r>
      <w:r w:rsidR="00677DB3" w:rsidRPr="00A964FF">
        <w:rPr>
          <w:rFonts w:ascii="Calibri" w:hAnsi="Calibri" w:hint="eastAsia"/>
          <w:bCs/>
          <w:color w:val="auto"/>
        </w:rPr>
        <w:t>mg/m</w:t>
      </w:r>
      <w:r w:rsidR="00677DB3" w:rsidRPr="00A964FF">
        <w:rPr>
          <w:rFonts w:ascii="Calibri" w:hAnsi="Calibri" w:hint="eastAsia"/>
          <w:bCs/>
          <w:color w:val="auto"/>
          <w:vertAlign w:val="superscript"/>
        </w:rPr>
        <w:t>3</w:t>
      </w:r>
      <w:r w:rsidR="00677DB3" w:rsidRPr="00A964FF">
        <w:rPr>
          <w:rFonts w:ascii="Calibri" w:hAnsi="Calibri" w:hint="eastAsia"/>
          <w:bCs/>
          <w:color w:val="auto"/>
        </w:rPr>
        <w:t>，排放量为</w:t>
      </w:r>
      <w:r w:rsidR="00677DB3">
        <w:rPr>
          <w:rFonts w:ascii="Calibri" w:hAnsi="Calibri"/>
          <w:bCs/>
          <w:color w:val="auto"/>
        </w:rPr>
        <w:t>0.025</w:t>
      </w:r>
      <w:r w:rsidR="00677DB3" w:rsidRPr="00A964FF">
        <w:rPr>
          <w:rFonts w:ascii="Calibri" w:hAnsi="Calibri" w:hint="eastAsia"/>
          <w:bCs/>
          <w:color w:val="auto"/>
        </w:rPr>
        <w:t>t/a</w:t>
      </w:r>
      <w:r w:rsidR="00677DB3" w:rsidRPr="00A964FF">
        <w:rPr>
          <w:rFonts w:ascii="Calibri" w:hAnsi="Calibri" w:hint="eastAsia"/>
          <w:bCs/>
          <w:color w:val="auto"/>
        </w:rPr>
        <w:t>；</w:t>
      </w:r>
      <w:r w:rsidR="00677DB3" w:rsidRPr="00A964FF">
        <w:rPr>
          <w:rFonts w:ascii="Calibri" w:hAnsi="Calibri" w:hint="eastAsia"/>
          <w:bCs/>
          <w:color w:val="auto"/>
        </w:rPr>
        <w:t>NOx</w:t>
      </w:r>
      <w:r w:rsidR="00677DB3" w:rsidRPr="00A964FF">
        <w:rPr>
          <w:rFonts w:ascii="Calibri" w:hAnsi="Calibri" w:hint="eastAsia"/>
          <w:bCs/>
          <w:color w:val="auto"/>
        </w:rPr>
        <w:t>的排放浓度为</w:t>
      </w:r>
      <w:r w:rsidR="00677DB3">
        <w:rPr>
          <w:rFonts w:ascii="Calibri" w:hAnsi="Calibri"/>
          <w:bCs/>
          <w:color w:val="auto"/>
        </w:rPr>
        <w:t>27.90</w:t>
      </w:r>
      <w:r w:rsidR="00677DB3" w:rsidRPr="00A964FF">
        <w:rPr>
          <w:rFonts w:ascii="Calibri" w:hAnsi="Calibri" w:hint="eastAsia"/>
          <w:bCs/>
          <w:color w:val="auto"/>
        </w:rPr>
        <w:t>mg/m</w:t>
      </w:r>
      <w:r w:rsidR="00677DB3" w:rsidRPr="00A964FF">
        <w:rPr>
          <w:rFonts w:ascii="Calibri" w:hAnsi="Calibri" w:hint="eastAsia"/>
          <w:bCs/>
          <w:color w:val="auto"/>
          <w:vertAlign w:val="superscript"/>
        </w:rPr>
        <w:t>3</w:t>
      </w:r>
      <w:r w:rsidR="00677DB3" w:rsidRPr="00A964FF">
        <w:rPr>
          <w:rFonts w:ascii="Calibri" w:hAnsi="Calibri" w:hint="eastAsia"/>
          <w:bCs/>
          <w:color w:val="auto"/>
        </w:rPr>
        <w:t>，排放量为</w:t>
      </w:r>
      <w:r w:rsidR="00677DB3">
        <w:rPr>
          <w:rFonts w:ascii="Calibri" w:hAnsi="Calibri"/>
          <w:bCs/>
          <w:color w:val="auto"/>
        </w:rPr>
        <w:t>0.19</w:t>
      </w:r>
      <w:r w:rsidR="00677DB3" w:rsidRPr="00A964FF">
        <w:rPr>
          <w:rFonts w:ascii="Calibri" w:hAnsi="Calibri" w:hint="eastAsia"/>
          <w:bCs/>
          <w:color w:val="auto"/>
        </w:rPr>
        <w:t>t/a</w:t>
      </w:r>
      <w:r w:rsidR="00677DB3" w:rsidRPr="00A964FF">
        <w:rPr>
          <w:rFonts w:ascii="Calibri" w:hAnsi="Calibri" w:hint="eastAsia"/>
          <w:bCs/>
          <w:color w:val="auto"/>
        </w:rPr>
        <w:t>；各污染物排放浓度均满足</w:t>
      </w:r>
      <w:r w:rsidR="00677DB3" w:rsidRPr="00A964FF">
        <w:rPr>
          <w:rFonts w:ascii="Calibri" w:hAnsi="Calibri" w:hint="eastAsia"/>
          <w:color w:val="auto"/>
        </w:rPr>
        <w:t>《锅炉大气污染物排放标准》（</w:t>
      </w:r>
      <w:r w:rsidR="00677DB3" w:rsidRPr="00A964FF">
        <w:rPr>
          <w:rFonts w:ascii="Calibri" w:hAnsi="Calibri" w:hint="eastAsia"/>
          <w:color w:val="auto"/>
        </w:rPr>
        <w:t>DB41/2089-2021</w:t>
      </w:r>
      <w:r w:rsidR="00677DB3" w:rsidRPr="00A964FF">
        <w:rPr>
          <w:rFonts w:ascii="Calibri" w:hAnsi="Calibri" w:hint="eastAsia"/>
          <w:color w:val="auto"/>
        </w:rPr>
        <w:t>）中排放标准限值，可以实现达标排放，</w:t>
      </w:r>
      <w:r w:rsidR="00677DB3" w:rsidRPr="00A964FF">
        <w:rPr>
          <w:rFonts w:ascii="Calibri" w:hAnsi="Calibri" w:hint="eastAsia"/>
          <w:bCs/>
          <w:color w:val="auto"/>
        </w:rPr>
        <w:t>对周围环境空气影响不大。</w:t>
      </w:r>
      <w:r w:rsidR="00677DB3">
        <w:rPr>
          <w:rFonts w:ascii="Calibri" w:hAnsi="Calibri" w:hint="eastAsia"/>
          <w:color w:val="auto"/>
        </w:rPr>
        <w:t>一期、</w:t>
      </w:r>
      <w:r w:rsidR="00677DB3">
        <w:rPr>
          <w:rFonts w:ascii="Calibri" w:hAnsi="Calibri"/>
          <w:color w:val="auto"/>
        </w:rPr>
        <w:t>二期工程同时运行</w:t>
      </w:r>
      <w:r w:rsidRPr="00A964FF">
        <w:rPr>
          <w:rFonts w:ascii="Calibri" w:hAnsi="Calibri" w:hint="eastAsia"/>
          <w:color w:val="auto"/>
        </w:rPr>
        <w:t>导热油炉燃料废气中颗粒物</w:t>
      </w:r>
      <w:r w:rsidRPr="00A964FF">
        <w:rPr>
          <w:rFonts w:ascii="Calibri" w:hAnsi="Calibri" w:hint="eastAsia"/>
          <w:bCs/>
          <w:color w:val="auto"/>
        </w:rPr>
        <w:t>的排放浓度为</w:t>
      </w:r>
      <w:r>
        <w:rPr>
          <w:rFonts w:ascii="Calibri" w:hAnsi="Calibri"/>
          <w:bCs/>
          <w:color w:val="auto"/>
        </w:rPr>
        <w:t>2.4</w:t>
      </w:r>
      <w:r w:rsidR="00411FB2">
        <w:rPr>
          <w:rFonts w:ascii="Calibri" w:hAnsi="Calibri"/>
          <w:bCs/>
          <w:color w:val="auto"/>
        </w:rPr>
        <w:t>5</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0.0</w:t>
      </w:r>
      <w:r w:rsidR="00411FB2">
        <w:rPr>
          <w:rFonts w:ascii="Calibri" w:hAnsi="Calibri"/>
          <w:bCs/>
          <w:color w:val="auto"/>
        </w:rPr>
        <w:t>44</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SO</w:t>
      </w:r>
      <w:r w:rsidRPr="00A964FF">
        <w:rPr>
          <w:rFonts w:ascii="Calibri" w:hAnsi="Calibri" w:hint="eastAsia"/>
          <w:bCs/>
          <w:color w:val="auto"/>
          <w:vertAlign w:val="subscript"/>
        </w:rPr>
        <w:t>2</w:t>
      </w:r>
      <w:r w:rsidRPr="00A964FF">
        <w:rPr>
          <w:rFonts w:ascii="Calibri" w:hAnsi="Calibri" w:hint="eastAsia"/>
          <w:bCs/>
          <w:color w:val="auto"/>
        </w:rPr>
        <w:t>的排放浓度为</w:t>
      </w:r>
      <w:r w:rsidR="00411FB2">
        <w:rPr>
          <w:rFonts w:ascii="Calibri" w:hAnsi="Calibri"/>
          <w:bCs/>
          <w:color w:val="auto"/>
        </w:rPr>
        <w:t>3.70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sidR="00411FB2">
        <w:rPr>
          <w:rFonts w:ascii="Calibri" w:hAnsi="Calibri"/>
          <w:bCs/>
          <w:color w:val="auto"/>
        </w:rPr>
        <w:t>0.067</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NOx</w:t>
      </w:r>
      <w:r w:rsidRPr="00A964FF">
        <w:rPr>
          <w:rFonts w:ascii="Calibri" w:hAnsi="Calibri" w:hint="eastAsia"/>
          <w:bCs/>
          <w:color w:val="auto"/>
        </w:rPr>
        <w:t>的排放浓度为</w:t>
      </w:r>
      <w:r>
        <w:rPr>
          <w:rFonts w:ascii="Calibri" w:hAnsi="Calibri"/>
          <w:bCs/>
          <w:color w:val="auto"/>
        </w:rPr>
        <w:t>28.20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sidR="00411FB2">
        <w:rPr>
          <w:rFonts w:ascii="Calibri" w:hAnsi="Calibri"/>
          <w:bCs/>
          <w:color w:val="auto"/>
        </w:rPr>
        <w:t>0.51</w:t>
      </w:r>
      <w:r w:rsidRPr="00A964FF">
        <w:rPr>
          <w:rFonts w:ascii="Calibri" w:hAnsi="Calibri" w:hint="eastAsia"/>
          <w:bCs/>
          <w:color w:val="auto"/>
        </w:rPr>
        <w:t>t/a</w:t>
      </w:r>
      <w:r w:rsidRPr="00A964FF">
        <w:rPr>
          <w:rFonts w:ascii="Calibri" w:hAnsi="Calibri" w:hint="eastAsia"/>
          <w:bCs/>
          <w:color w:val="auto"/>
        </w:rPr>
        <w:t>；各污染物排放浓度均满足</w:t>
      </w:r>
      <w:r w:rsidRPr="00A964FF">
        <w:rPr>
          <w:rFonts w:ascii="Calibri" w:hAnsi="Calibri" w:hint="eastAsia"/>
          <w:color w:val="auto"/>
        </w:rPr>
        <w:t>《锅炉大气污染物排放标准》（</w:t>
      </w:r>
      <w:r w:rsidRPr="00A964FF">
        <w:rPr>
          <w:rFonts w:ascii="Calibri" w:hAnsi="Calibri" w:hint="eastAsia"/>
          <w:color w:val="auto"/>
        </w:rPr>
        <w:t>DB41/2089-2021</w:t>
      </w:r>
      <w:r w:rsidRPr="00A964FF">
        <w:rPr>
          <w:rFonts w:ascii="Calibri" w:hAnsi="Calibri" w:hint="eastAsia"/>
          <w:color w:val="auto"/>
        </w:rPr>
        <w:t>）中排放标准限值，可以实现达标排放，</w:t>
      </w:r>
      <w:r w:rsidRPr="00A964FF">
        <w:rPr>
          <w:rFonts w:ascii="Calibri" w:hAnsi="Calibri" w:hint="eastAsia"/>
          <w:bCs/>
          <w:color w:val="auto"/>
        </w:rPr>
        <w:t>对周围环境空气影响不大。</w:t>
      </w:r>
    </w:p>
    <w:p w14:paraId="3B580E4C" w14:textId="77777777" w:rsidR="00411FB2" w:rsidRPr="00A964FF" w:rsidRDefault="00411FB2" w:rsidP="00411FB2">
      <w:pPr>
        <w:pStyle w:val="00"/>
        <w:rPr>
          <w:rFonts w:ascii="Calibri"/>
          <w:b/>
          <w:bCs/>
          <w:color w:val="auto"/>
        </w:rPr>
      </w:pPr>
      <w:r>
        <w:rPr>
          <w:rFonts w:ascii="Calibri"/>
          <w:b/>
          <w:bCs/>
          <w:color w:val="auto"/>
        </w:rPr>
        <w:t>5</w:t>
      </w:r>
      <w:r w:rsidRPr="00A964FF">
        <w:rPr>
          <w:rFonts w:ascii="Calibri" w:hint="eastAsia"/>
          <w:b/>
          <w:bCs/>
          <w:color w:val="auto"/>
        </w:rPr>
        <w:t>、食堂油烟治理措施</w:t>
      </w:r>
    </w:p>
    <w:p w14:paraId="3C295206" w14:textId="77777777" w:rsidR="00411FB2" w:rsidRPr="00A964FF" w:rsidRDefault="00411FB2" w:rsidP="00411FB2">
      <w:pPr>
        <w:spacing w:line="520" w:lineRule="exact"/>
        <w:ind w:firstLine="482"/>
        <w:rPr>
          <w:rFonts w:ascii="Calibri" w:hAnsi="Calibri"/>
          <w:bCs/>
          <w:color w:val="auto"/>
          <w:sz w:val="24"/>
        </w:rPr>
      </w:pPr>
      <w:r w:rsidRPr="00A964FF">
        <w:rPr>
          <w:rFonts w:ascii="Calibri" w:hint="eastAsia"/>
          <w:bCs/>
          <w:color w:val="auto"/>
          <w:sz w:val="24"/>
        </w:rPr>
        <w:t>本项目</w:t>
      </w:r>
      <w:r w:rsidRPr="00A964FF">
        <w:rPr>
          <w:rFonts w:ascii="Calibri" w:hAnsi="Calibri" w:hint="eastAsia"/>
          <w:bCs/>
          <w:color w:val="auto"/>
          <w:sz w:val="24"/>
        </w:rPr>
        <w:t>职工食堂燃料采用天然气，食堂内设置</w:t>
      </w:r>
      <w:r>
        <w:rPr>
          <w:rFonts w:ascii="Calibri" w:hAnsi="Calibri"/>
          <w:bCs/>
          <w:color w:val="auto"/>
          <w:sz w:val="24"/>
        </w:rPr>
        <w:t>3</w:t>
      </w:r>
      <w:r w:rsidRPr="00A964FF">
        <w:rPr>
          <w:rFonts w:ascii="Calibri" w:hAnsi="Calibri" w:hint="eastAsia"/>
          <w:bCs/>
          <w:color w:val="auto"/>
          <w:sz w:val="24"/>
        </w:rPr>
        <w:t>个基准灶头，能满足全部职工就餐。本项目营运后食堂油烟产生量为</w:t>
      </w:r>
      <w:r>
        <w:rPr>
          <w:rFonts w:ascii="Calibri" w:hAnsi="Calibri"/>
          <w:bCs/>
          <w:color w:val="auto"/>
          <w:sz w:val="24"/>
        </w:rPr>
        <w:t>0.13</w:t>
      </w:r>
      <w:r w:rsidRPr="00A964FF">
        <w:rPr>
          <w:rFonts w:ascii="Calibri" w:hAnsi="Calibri" w:hint="eastAsia"/>
          <w:bCs/>
          <w:color w:val="auto"/>
          <w:sz w:val="24"/>
        </w:rPr>
        <w:t>t/a</w:t>
      </w:r>
      <w:r w:rsidRPr="00A964FF">
        <w:rPr>
          <w:rFonts w:ascii="Calibri" w:hAnsi="Calibri" w:hint="eastAsia"/>
          <w:bCs/>
          <w:color w:val="auto"/>
          <w:sz w:val="24"/>
        </w:rPr>
        <w:t>，产生浓度为</w:t>
      </w:r>
      <w:r w:rsidRPr="00A964FF">
        <w:rPr>
          <w:rFonts w:ascii="Calibri" w:hAnsi="Calibri" w:hint="eastAsia"/>
          <w:color w:val="auto"/>
          <w:sz w:val="24"/>
        </w:rPr>
        <w:t>12mg/m</w:t>
      </w:r>
      <w:r w:rsidRPr="00A964FF">
        <w:rPr>
          <w:rFonts w:ascii="Calibri" w:hAnsi="Calibri" w:hint="eastAsia"/>
          <w:color w:val="auto"/>
          <w:sz w:val="24"/>
          <w:vertAlign w:val="superscript"/>
        </w:rPr>
        <w:t>3</w:t>
      </w:r>
      <w:r w:rsidRPr="00A964FF">
        <w:rPr>
          <w:rFonts w:ascii="Calibri" w:hAnsi="Calibri" w:hint="eastAsia"/>
          <w:color w:val="auto"/>
          <w:sz w:val="24"/>
        </w:rPr>
        <w:t>；非甲烷总烃产生量为</w:t>
      </w:r>
      <w:r>
        <w:rPr>
          <w:rFonts w:ascii="Calibri" w:hAnsi="Calibri"/>
          <w:color w:val="auto"/>
          <w:sz w:val="24"/>
        </w:rPr>
        <w:t>0.22</w:t>
      </w:r>
      <w:r w:rsidRPr="00A964FF">
        <w:rPr>
          <w:rFonts w:ascii="Calibri" w:hAnsi="Calibri" w:hint="eastAsia"/>
          <w:color w:val="auto"/>
          <w:sz w:val="24"/>
        </w:rPr>
        <w:t>t/a</w:t>
      </w:r>
      <w:r w:rsidRPr="00A964FF">
        <w:rPr>
          <w:rFonts w:ascii="Calibri" w:hAnsi="Calibri" w:hint="eastAsia"/>
          <w:color w:val="auto"/>
          <w:sz w:val="24"/>
        </w:rPr>
        <w:t>，产生浓度为</w:t>
      </w:r>
      <w:r w:rsidRPr="00A964FF">
        <w:rPr>
          <w:rFonts w:ascii="Calibri" w:hAnsi="Calibri" w:hint="eastAsia"/>
          <w:color w:val="auto"/>
          <w:sz w:val="24"/>
        </w:rPr>
        <w:t>20.23mg/m</w:t>
      </w:r>
      <w:r w:rsidRPr="00A964FF">
        <w:rPr>
          <w:rFonts w:ascii="Calibri" w:hAnsi="Calibri" w:hint="eastAsia"/>
          <w:color w:val="auto"/>
          <w:sz w:val="24"/>
          <w:vertAlign w:val="superscript"/>
        </w:rPr>
        <w:t>3</w:t>
      </w:r>
      <w:r w:rsidRPr="00A964FF">
        <w:rPr>
          <w:rFonts w:ascii="Calibri" w:hAnsi="Calibri" w:hint="eastAsia"/>
          <w:color w:val="auto"/>
          <w:sz w:val="24"/>
        </w:rPr>
        <w:t>；</w:t>
      </w:r>
      <w:r w:rsidRPr="00A964FF">
        <w:rPr>
          <w:rFonts w:ascii="Calibri" w:hAnsi="Calibri" w:hint="eastAsia"/>
          <w:bCs/>
          <w:color w:val="auto"/>
          <w:sz w:val="24"/>
        </w:rPr>
        <w:t>经风量为</w:t>
      </w:r>
      <w:r>
        <w:rPr>
          <w:rFonts w:ascii="Calibri" w:hAnsi="Calibri"/>
          <w:bCs/>
          <w:color w:val="auto"/>
          <w:sz w:val="24"/>
        </w:rPr>
        <w:t>6</w:t>
      </w:r>
      <w:r w:rsidRPr="00A964FF">
        <w:rPr>
          <w:rFonts w:ascii="Calibri" w:hAnsi="Calibri" w:hint="eastAsia"/>
          <w:bCs/>
          <w:color w:val="auto"/>
          <w:sz w:val="24"/>
        </w:rPr>
        <w:t>000m</w:t>
      </w:r>
      <w:r w:rsidRPr="00A964FF">
        <w:rPr>
          <w:rFonts w:ascii="Calibri" w:hAnsi="Calibri" w:hint="eastAsia"/>
          <w:bCs/>
          <w:color w:val="auto"/>
          <w:sz w:val="24"/>
          <w:vertAlign w:val="superscript"/>
        </w:rPr>
        <w:t>3</w:t>
      </w:r>
      <w:r w:rsidRPr="00A964FF">
        <w:rPr>
          <w:rFonts w:ascii="Calibri" w:hAnsi="Calibri" w:hint="eastAsia"/>
          <w:bCs/>
          <w:color w:val="auto"/>
          <w:sz w:val="24"/>
        </w:rPr>
        <w:t>/h</w:t>
      </w:r>
      <w:r w:rsidRPr="00A964FF">
        <w:rPr>
          <w:rFonts w:ascii="Calibri" w:hAnsi="Calibri" w:hint="eastAsia"/>
          <w:bCs/>
          <w:color w:val="auto"/>
          <w:sz w:val="24"/>
        </w:rPr>
        <w:t>、油烟去除率为</w:t>
      </w:r>
      <w:r w:rsidRPr="00A964FF">
        <w:rPr>
          <w:rFonts w:ascii="Calibri" w:hAnsi="Calibri" w:hint="eastAsia"/>
          <w:bCs/>
          <w:color w:val="auto"/>
          <w:sz w:val="24"/>
        </w:rPr>
        <w:t>9</w:t>
      </w:r>
      <w:r>
        <w:rPr>
          <w:rFonts w:ascii="Calibri" w:hAnsi="Calibri"/>
          <w:bCs/>
          <w:color w:val="auto"/>
          <w:sz w:val="24"/>
        </w:rPr>
        <w:t>0</w:t>
      </w:r>
      <w:r w:rsidRPr="00A964FF">
        <w:rPr>
          <w:rFonts w:ascii="Calibri" w:hAnsi="Calibri" w:hint="eastAsia"/>
          <w:bCs/>
          <w:color w:val="auto"/>
          <w:sz w:val="24"/>
        </w:rPr>
        <w:t>%</w:t>
      </w:r>
      <w:r w:rsidRPr="00A964FF">
        <w:rPr>
          <w:rFonts w:ascii="Calibri" w:hAnsi="Calibri" w:hint="eastAsia"/>
          <w:bCs/>
          <w:color w:val="auto"/>
          <w:sz w:val="24"/>
        </w:rPr>
        <w:t>、非甲烷总烃去除率为</w:t>
      </w:r>
      <w:r w:rsidRPr="00A964FF">
        <w:rPr>
          <w:rFonts w:ascii="Calibri" w:hAnsi="Calibri" w:hint="eastAsia"/>
          <w:bCs/>
          <w:color w:val="auto"/>
          <w:sz w:val="24"/>
        </w:rPr>
        <w:t>8</w:t>
      </w:r>
      <w:r>
        <w:rPr>
          <w:rFonts w:ascii="Calibri" w:hAnsi="Calibri"/>
          <w:bCs/>
          <w:color w:val="auto"/>
          <w:sz w:val="24"/>
        </w:rPr>
        <w:t>0</w:t>
      </w:r>
      <w:r w:rsidRPr="00A964FF">
        <w:rPr>
          <w:rFonts w:ascii="Calibri" w:hAnsi="Calibri" w:hint="eastAsia"/>
          <w:bCs/>
          <w:color w:val="auto"/>
          <w:sz w:val="24"/>
        </w:rPr>
        <w:t>%</w:t>
      </w:r>
      <w:r w:rsidRPr="00A964FF">
        <w:rPr>
          <w:rFonts w:ascii="Calibri" w:hAnsi="Calibri" w:hint="eastAsia"/>
          <w:bCs/>
          <w:color w:val="auto"/>
          <w:sz w:val="24"/>
        </w:rPr>
        <w:t>的油烟净化装置处理后，油烟排放量为</w:t>
      </w:r>
      <w:r>
        <w:rPr>
          <w:rFonts w:ascii="Calibri" w:hAnsi="Calibri"/>
          <w:bCs/>
          <w:color w:val="auto"/>
          <w:sz w:val="24"/>
        </w:rPr>
        <w:t>0.013</w:t>
      </w:r>
      <w:r w:rsidRPr="00A964FF">
        <w:rPr>
          <w:rFonts w:ascii="Calibri" w:hAnsi="Calibri" w:hint="eastAsia"/>
          <w:bCs/>
          <w:color w:val="auto"/>
          <w:sz w:val="24"/>
        </w:rPr>
        <w:t>t/a</w:t>
      </w:r>
      <w:r w:rsidRPr="00A964FF">
        <w:rPr>
          <w:rFonts w:ascii="Calibri" w:hAnsi="Calibri" w:hint="eastAsia"/>
          <w:bCs/>
          <w:color w:val="auto"/>
          <w:sz w:val="24"/>
        </w:rPr>
        <w:t>，排放浓度为</w:t>
      </w:r>
      <w:r>
        <w:rPr>
          <w:rFonts w:ascii="Calibri" w:hAnsi="Calibri"/>
          <w:bCs/>
          <w:color w:val="auto"/>
          <w:sz w:val="24"/>
        </w:rPr>
        <w:t>1.20</w:t>
      </w:r>
      <w:r w:rsidRPr="00A964FF">
        <w:rPr>
          <w:rFonts w:ascii="Calibri" w:hAnsi="Calibri" w:hint="eastAsia"/>
          <w:color w:val="auto"/>
          <w:sz w:val="24"/>
        </w:rPr>
        <w:t>mg/m</w:t>
      </w:r>
      <w:r w:rsidRPr="00A964FF">
        <w:rPr>
          <w:rFonts w:ascii="Calibri" w:hAnsi="Calibri" w:hint="eastAsia"/>
          <w:color w:val="auto"/>
          <w:sz w:val="24"/>
          <w:vertAlign w:val="superscript"/>
        </w:rPr>
        <w:t>3</w:t>
      </w:r>
      <w:r w:rsidRPr="00A964FF">
        <w:rPr>
          <w:rFonts w:ascii="Calibri" w:hAnsi="Calibri" w:hint="eastAsia"/>
          <w:color w:val="auto"/>
          <w:sz w:val="24"/>
        </w:rPr>
        <w:t>；非甲烷总烃</w:t>
      </w:r>
      <w:r w:rsidRPr="00A964FF">
        <w:rPr>
          <w:rFonts w:ascii="Calibri" w:hAnsi="Calibri" w:hint="eastAsia"/>
          <w:bCs/>
          <w:color w:val="auto"/>
          <w:sz w:val="24"/>
        </w:rPr>
        <w:t>排放量为</w:t>
      </w:r>
      <w:r>
        <w:rPr>
          <w:rFonts w:ascii="Calibri" w:hAnsi="Calibri"/>
          <w:bCs/>
          <w:color w:val="auto"/>
          <w:sz w:val="24"/>
        </w:rPr>
        <w:t>0.044</w:t>
      </w:r>
      <w:r w:rsidRPr="00A964FF">
        <w:rPr>
          <w:rFonts w:ascii="Calibri" w:hAnsi="Calibri" w:hint="eastAsia"/>
          <w:bCs/>
          <w:color w:val="auto"/>
          <w:sz w:val="24"/>
        </w:rPr>
        <w:t>t/a</w:t>
      </w:r>
      <w:r w:rsidRPr="00A964FF">
        <w:rPr>
          <w:rFonts w:ascii="Calibri" w:hAnsi="Calibri" w:hint="eastAsia"/>
          <w:bCs/>
          <w:color w:val="auto"/>
          <w:sz w:val="24"/>
        </w:rPr>
        <w:t>，排放浓度为</w:t>
      </w:r>
      <w:r>
        <w:rPr>
          <w:rFonts w:ascii="Calibri" w:hAnsi="Calibri"/>
          <w:bCs/>
          <w:color w:val="auto"/>
          <w:sz w:val="24"/>
        </w:rPr>
        <w:t>4.05</w:t>
      </w:r>
      <w:r w:rsidRPr="00A964FF">
        <w:rPr>
          <w:rFonts w:ascii="Calibri" w:hAnsi="Calibri" w:hint="eastAsia"/>
          <w:color w:val="auto"/>
          <w:sz w:val="24"/>
        </w:rPr>
        <w:t>mg/m</w:t>
      </w:r>
      <w:r w:rsidRPr="00A964FF">
        <w:rPr>
          <w:rFonts w:ascii="Calibri" w:hAnsi="Calibri" w:hint="eastAsia"/>
          <w:color w:val="auto"/>
          <w:sz w:val="24"/>
          <w:vertAlign w:val="superscript"/>
        </w:rPr>
        <w:t>3</w:t>
      </w:r>
      <w:r w:rsidRPr="00A964FF">
        <w:rPr>
          <w:rFonts w:ascii="Calibri" w:hAnsi="Calibri" w:hint="eastAsia"/>
          <w:color w:val="auto"/>
          <w:sz w:val="24"/>
        </w:rPr>
        <w:t>；满足</w:t>
      </w:r>
      <w:r w:rsidRPr="00A964FF">
        <w:rPr>
          <w:rFonts w:ascii="Calibri" w:hAnsi="Calibri"/>
          <w:color w:val="auto"/>
          <w:sz w:val="24"/>
        </w:rPr>
        <w:t>《餐饮业油烟污染物排放标准》（</w:t>
      </w:r>
      <w:r w:rsidRPr="00A964FF">
        <w:rPr>
          <w:rFonts w:ascii="Calibri" w:hAnsi="Calibri"/>
          <w:color w:val="auto"/>
          <w:sz w:val="24"/>
        </w:rPr>
        <w:t>DB41/1604-2018</w:t>
      </w:r>
      <w:r w:rsidRPr="00A964FF">
        <w:rPr>
          <w:rFonts w:ascii="Calibri" w:hAnsi="Calibri"/>
          <w:color w:val="auto"/>
          <w:sz w:val="24"/>
        </w:rPr>
        <w:t>）</w:t>
      </w:r>
      <w:r w:rsidRPr="00A964FF">
        <w:rPr>
          <w:rFonts w:ascii="Calibri" w:hAnsi="Calibri" w:hint="eastAsia"/>
          <w:color w:val="auto"/>
          <w:sz w:val="24"/>
        </w:rPr>
        <w:t>中</w:t>
      </w:r>
      <w:r w:rsidRPr="00A964FF">
        <w:rPr>
          <w:rFonts w:ascii="Calibri" w:hAnsi="Calibri"/>
          <w:color w:val="auto"/>
          <w:sz w:val="24"/>
        </w:rPr>
        <w:t>标准</w:t>
      </w:r>
      <w:r w:rsidRPr="00A964FF">
        <w:rPr>
          <w:rFonts w:ascii="Calibri" w:hAnsi="Calibri" w:hint="eastAsia"/>
          <w:color w:val="auto"/>
          <w:sz w:val="24"/>
        </w:rPr>
        <w:t>限值，</w:t>
      </w:r>
      <w:r w:rsidRPr="00A964FF">
        <w:rPr>
          <w:rFonts w:ascii="Calibri" w:hAnsi="Calibri"/>
          <w:color w:val="auto"/>
          <w:sz w:val="24"/>
        </w:rPr>
        <w:t>经</w:t>
      </w:r>
      <w:r w:rsidRPr="00A964FF">
        <w:rPr>
          <w:rFonts w:ascii="Calibri" w:hAnsi="Calibri" w:hint="eastAsia"/>
          <w:color w:val="auto"/>
          <w:sz w:val="24"/>
        </w:rPr>
        <w:t>专用</w:t>
      </w:r>
      <w:r w:rsidRPr="00A964FF">
        <w:rPr>
          <w:rFonts w:ascii="Calibri" w:hAnsi="Calibri"/>
          <w:color w:val="auto"/>
          <w:sz w:val="24"/>
        </w:rPr>
        <w:t>排烟管道</w:t>
      </w:r>
      <w:r w:rsidRPr="00A964FF">
        <w:rPr>
          <w:rFonts w:ascii="Calibri" w:hAnsi="Calibri" w:hint="eastAsia"/>
          <w:color w:val="auto"/>
          <w:sz w:val="24"/>
        </w:rPr>
        <w:t>引至室外</w:t>
      </w:r>
      <w:r w:rsidRPr="00A964FF">
        <w:rPr>
          <w:rFonts w:ascii="Calibri" w:hAnsi="Calibri"/>
          <w:color w:val="auto"/>
          <w:sz w:val="24"/>
        </w:rPr>
        <w:t>排放，对周围环境</w:t>
      </w:r>
      <w:r w:rsidRPr="00A964FF">
        <w:rPr>
          <w:rFonts w:ascii="Calibri" w:hAnsi="Calibri" w:hint="eastAsia"/>
          <w:color w:val="auto"/>
          <w:sz w:val="24"/>
        </w:rPr>
        <w:t>空气</w:t>
      </w:r>
      <w:r w:rsidRPr="00A964FF">
        <w:rPr>
          <w:rFonts w:ascii="Calibri" w:hAnsi="Calibri"/>
          <w:color w:val="auto"/>
          <w:sz w:val="24"/>
        </w:rPr>
        <w:t>影响较小。</w:t>
      </w:r>
    </w:p>
    <w:p w14:paraId="183C96E9" w14:textId="77777777" w:rsidR="00411FB2" w:rsidRPr="00A964FF" w:rsidRDefault="00411FB2" w:rsidP="00411FB2">
      <w:pPr>
        <w:pStyle w:val="00"/>
        <w:rPr>
          <w:rFonts w:ascii="Calibri"/>
          <w:b/>
          <w:color w:val="auto"/>
        </w:rPr>
      </w:pPr>
      <w:r>
        <w:rPr>
          <w:rFonts w:ascii="Calibri"/>
          <w:b/>
          <w:color w:val="auto"/>
        </w:rPr>
        <w:t>6</w:t>
      </w:r>
      <w:r w:rsidRPr="00A964FF">
        <w:rPr>
          <w:rFonts w:ascii="Calibri" w:hint="eastAsia"/>
          <w:b/>
          <w:color w:val="auto"/>
        </w:rPr>
        <w:t>、无组织废气治理措施</w:t>
      </w:r>
    </w:p>
    <w:p w14:paraId="67761D3E" w14:textId="77777777" w:rsidR="00411FB2" w:rsidRPr="00411FB2" w:rsidRDefault="00411FB2" w:rsidP="00411FB2">
      <w:pPr>
        <w:spacing w:line="520" w:lineRule="exact"/>
        <w:ind w:firstLineChars="200" w:firstLine="480"/>
        <w:rPr>
          <w:rFonts w:asciiTheme="minorHAnsi" w:hAnsiTheme="minorHAnsi"/>
          <w:sz w:val="24"/>
        </w:rPr>
      </w:pPr>
      <w:r w:rsidRPr="00411FB2">
        <w:rPr>
          <w:rFonts w:asciiTheme="minorHAnsi" w:hAnsiTheme="minorHAnsi"/>
          <w:sz w:val="24"/>
        </w:rPr>
        <w:t>（</w:t>
      </w:r>
      <w:r w:rsidRPr="00411FB2">
        <w:rPr>
          <w:rFonts w:asciiTheme="minorHAnsi" w:hAnsiTheme="minorHAnsi"/>
          <w:sz w:val="24"/>
        </w:rPr>
        <w:t>1</w:t>
      </w:r>
      <w:r w:rsidRPr="00411FB2">
        <w:rPr>
          <w:rFonts w:asciiTheme="minorHAnsi" w:hAnsiTheme="minorHAnsi"/>
          <w:sz w:val="24"/>
        </w:rPr>
        <w:t>）</w:t>
      </w:r>
      <w:r>
        <w:rPr>
          <w:rFonts w:asciiTheme="minorHAnsi" w:hAnsiTheme="minorHAnsi" w:hint="eastAsia"/>
          <w:sz w:val="24"/>
        </w:rPr>
        <w:t>生产</w:t>
      </w:r>
      <w:r w:rsidRPr="00411FB2">
        <w:rPr>
          <w:rFonts w:asciiTheme="minorHAnsi" w:hAnsiTheme="minorHAnsi"/>
          <w:sz w:val="24"/>
        </w:rPr>
        <w:t>车间无组织粉尘废气</w:t>
      </w:r>
    </w:p>
    <w:p w14:paraId="394CC0FF" w14:textId="77777777" w:rsidR="00411FB2" w:rsidRPr="00411FB2" w:rsidRDefault="00411FB2" w:rsidP="00411FB2">
      <w:pPr>
        <w:spacing w:line="520" w:lineRule="exact"/>
        <w:ind w:firstLineChars="200" w:firstLine="480"/>
        <w:rPr>
          <w:rFonts w:ascii="Calibri" w:hAnsi="Calibri"/>
          <w:color w:val="auto"/>
          <w:sz w:val="24"/>
        </w:rPr>
      </w:pPr>
      <w:r w:rsidRPr="00411FB2">
        <w:rPr>
          <w:rFonts w:ascii="Calibri" w:hAnsi="Calibri" w:hint="eastAsia"/>
          <w:bCs/>
          <w:color w:val="auto"/>
          <w:sz w:val="24"/>
        </w:rPr>
        <w:t>本项目</w:t>
      </w:r>
      <w:r w:rsidRPr="00411FB2">
        <w:rPr>
          <w:rFonts w:ascii="Calibri" w:hAnsi="Calibri"/>
          <w:bCs/>
          <w:color w:val="auto"/>
          <w:sz w:val="24"/>
        </w:rPr>
        <w:t>一期</w:t>
      </w:r>
      <w:r w:rsidRPr="00411FB2">
        <w:rPr>
          <w:rFonts w:ascii="Calibri" w:hAnsi="Calibri" w:hint="eastAsia"/>
          <w:bCs/>
          <w:color w:val="auto"/>
          <w:sz w:val="24"/>
        </w:rPr>
        <w:t>、</w:t>
      </w:r>
      <w:r w:rsidRPr="00411FB2">
        <w:rPr>
          <w:rFonts w:ascii="Calibri" w:hAnsi="Calibri"/>
          <w:bCs/>
          <w:color w:val="auto"/>
          <w:sz w:val="24"/>
        </w:rPr>
        <w:t>二期工程</w:t>
      </w:r>
      <w:r w:rsidRPr="00411FB2">
        <w:rPr>
          <w:rFonts w:ascii="Calibri" w:hAnsi="Calibri" w:hint="eastAsia"/>
          <w:bCs/>
          <w:color w:val="auto"/>
          <w:sz w:val="24"/>
        </w:rPr>
        <w:t>投放添加剂次磷酸钠</w:t>
      </w:r>
      <w:r w:rsidRPr="00411FB2">
        <w:rPr>
          <w:rFonts w:ascii="Calibri" w:hAnsi="Calibri"/>
          <w:bCs/>
          <w:color w:val="auto"/>
          <w:sz w:val="24"/>
        </w:rPr>
        <w:t>产生的无组织粉尘，</w:t>
      </w:r>
      <w:r w:rsidRPr="00411FB2">
        <w:rPr>
          <w:rFonts w:ascii="Calibri" w:hAnsi="Calibri" w:hint="eastAsia"/>
          <w:color w:val="auto"/>
          <w:sz w:val="24"/>
        </w:rPr>
        <w:t>本项目</w:t>
      </w:r>
      <w:r w:rsidRPr="00411FB2">
        <w:rPr>
          <w:rFonts w:ascii="Calibri" w:hAnsi="Calibri"/>
          <w:color w:val="auto"/>
          <w:sz w:val="24"/>
        </w:rPr>
        <w:t>次磷酸钠</w:t>
      </w:r>
      <w:r w:rsidRPr="00411FB2">
        <w:rPr>
          <w:rFonts w:ascii="Calibri" w:hAnsi="Calibri" w:hint="eastAsia"/>
          <w:color w:val="auto"/>
          <w:sz w:val="24"/>
        </w:rPr>
        <w:t>密闭</w:t>
      </w:r>
      <w:r w:rsidRPr="00411FB2">
        <w:rPr>
          <w:rFonts w:ascii="Calibri" w:hAnsi="Calibri"/>
          <w:color w:val="auto"/>
          <w:sz w:val="24"/>
        </w:rPr>
        <w:t>投料，</w:t>
      </w:r>
      <w:r w:rsidRPr="00411FB2">
        <w:rPr>
          <w:rFonts w:ascii="Calibri" w:hAnsi="Calibri" w:hint="eastAsia"/>
          <w:color w:val="auto"/>
          <w:sz w:val="24"/>
        </w:rPr>
        <w:t>可降低粉尘</w:t>
      </w:r>
      <w:r w:rsidRPr="00411FB2">
        <w:rPr>
          <w:rFonts w:ascii="Calibri" w:hAnsi="Calibri"/>
          <w:color w:val="auto"/>
          <w:sz w:val="24"/>
        </w:rPr>
        <w:t>逸散，</w:t>
      </w:r>
      <w:r w:rsidRPr="00411FB2">
        <w:rPr>
          <w:rFonts w:ascii="Calibri" w:hAnsi="Calibri" w:hint="eastAsia"/>
          <w:color w:val="auto"/>
          <w:sz w:val="24"/>
        </w:rPr>
        <w:t>去除效率</w:t>
      </w:r>
      <w:r w:rsidRPr="00411FB2">
        <w:rPr>
          <w:rFonts w:ascii="Calibri" w:hAnsi="Calibri"/>
          <w:color w:val="auto"/>
          <w:sz w:val="24"/>
        </w:rPr>
        <w:t>可达</w:t>
      </w:r>
      <w:r w:rsidRPr="00411FB2">
        <w:rPr>
          <w:rFonts w:ascii="Calibri" w:hAnsi="Calibri" w:hint="eastAsia"/>
          <w:color w:val="auto"/>
          <w:sz w:val="24"/>
        </w:rPr>
        <w:t>80%</w:t>
      </w:r>
      <w:r w:rsidRPr="00411FB2">
        <w:rPr>
          <w:rFonts w:ascii="Calibri" w:hAnsi="Calibri" w:hint="eastAsia"/>
          <w:color w:val="auto"/>
          <w:sz w:val="24"/>
        </w:rPr>
        <w:t>。则投料</w:t>
      </w:r>
      <w:r w:rsidRPr="00411FB2">
        <w:rPr>
          <w:rFonts w:ascii="Calibri" w:hAnsi="Calibri"/>
          <w:color w:val="auto"/>
          <w:sz w:val="24"/>
        </w:rPr>
        <w:t>无组织粉尘</w:t>
      </w:r>
      <w:r w:rsidRPr="00411FB2">
        <w:rPr>
          <w:rFonts w:ascii="Calibri" w:hAnsi="Calibri" w:hint="eastAsia"/>
          <w:color w:val="auto"/>
          <w:sz w:val="24"/>
        </w:rPr>
        <w:t>一期</w:t>
      </w:r>
      <w:r w:rsidRPr="00411FB2">
        <w:rPr>
          <w:rFonts w:ascii="Calibri" w:hAnsi="Calibri"/>
          <w:color w:val="auto"/>
          <w:sz w:val="24"/>
        </w:rPr>
        <w:t>排放量为</w:t>
      </w:r>
      <w:r w:rsidRPr="00411FB2">
        <w:rPr>
          <w:rFonts w:ascii="Calibri" w:hAnsi="Calibri" w:hint="eastAsia"/>
          <w:color w:val="auto"/>
          <w:sz w:val="24"/>
        </w:rPr>
        <w:t>0.00</w:t>
      </w:r>
      <w:r w:rsidRPr="00411FB2">
        <w:rPr>
          <w:rFonts w:ascii="Calibri" w:hAnsi="Calibri"/>
          <w:color w:val="auto"/>
          <w:sz w:val="24"/>
        </w:rPr>
        <w:t>8kg/a</w:t>
      </w:r>
      <w:r w:rsidRPr="00411FB2">
        <w:rPr>
          <w:rFonts w:ascii="Calibri" w:hAnsi="Calibri" w:hint="eastAsia"/>
          <w:color w:val="auto"/>
          <w:sz w:val="24"/>
        </w:rPr>
        <w:t>，排放</w:t>
      </w:r>
      <w:r w:rsidRPr="00411FB2">
        <w:rPr>
          <w:rFonts w:ascii="Calibri" w:hAnsi="Calibri"/>
          <w:color w:val="auto"/>
          <w:sz w:val="24"/>
        </w:rPr>
        <w:t>速率为</w:t>
      </w:r>
      <w:r w:rsidRPr="00411FB2">
        <w:rPr>
          <w:rFonts w:ascii="Calibri" w:hAnsi="Calibri" w:hint="eastAsia"/>
          <w:color w:val="auto"/>
          <w:sz w:val="24"/>
        </w:rPr>
        <w:t>0.00013</w:t>
      </w:r>
      <w:r w:rsidRPr="00411FB2">
        <w:rPr>
          <w:rFonts w:ascii="Calibri" w:hAnsi="Calibri"/>
          <w:color w:val="auto"/>
          <w:sz w:val="24"/>
        </w:rPr>
        <w:t>kg/h</w:t>
      </w:r>
      <w:r w:rsidRPr="00411FB2">
        <w:rPr>
          <w:rFonts w:ascii="Calibri" w:hAnsi="Calibri" w:hint="eastAsia"/>
          <w:color w:val="auto"/>
          <w:sz w:val="24"/>
        </w:rPr>
        <w:t>；，投料</w:t>
      </w:r>
      <w:r w:rsidRPr="00411FB2">
        <w:rPr>
          <w:rFonts w:ascii="Calibri" w:hAnsi="Calibri"/>
          <w:color w:val="auto"/>
          <w:sz w:val="24"/>
        </w:rPr>
        <w:t>无组织粉尘二期排放量为</w:t>
      </w:r>
      <w:r w:rsidRPr="00411FB2">
        <w:rPr>
          <w:rFonts w:ascii="Calibri" w:hAnsi="Calibri" w:hint="eastAsia"/>
          <w:color w:val="auto"/>
          <w:sz w:val="24"/>
        </w:rPr>
        <w:t>0.00</w:t>
      </w:r>
      <w:r w:rsidRPr="00411FB2">
        <w:rPr>
          <w:rFonts w:ascii="Calibri" w:hAnsi="Calibri"/>
          <w:color w:val="auto"/>
          <w:sz w:val="24"/>
        </w:rPr>
        <w:t>4kg/a</w:t>
      </w:r>
      <w:r w:rsidRPr="00411FB2">
        <w:rPr>
          <w:rFonts w:ascii="Calibri" w:hAnsi="Calibri" w:hint="eastAsia"/>
          <w:color w:val="auto"/>
          <w:sz w:val="24"/>
        </w:rPr>
        <w:t>，</w:t>
      </w:r>
      <w:r w:rsidRPr="00411FB2">
        <w:rPr>
          <w:rFonts w:ascii="Calibri" w:hAnsi="Calibri" w:hint="eastAsia"/>
          <w:color w:val="auto"/>
          <w:sz w:val="24"/>
        </w:rPr>
        <w:t>0.00013</w:t>
      </w:r>
      <w:r w:rsidRPr="00411FB2">
        <w:rPr>
          <w:rFonts w:ascii="Calibri" w:hAnsi="Calibri"/>
          <w:color w:val="auto"/>
          <w:sz w:val="24"/>
        </w:rPr>
        <w:t>kg/h</w:t>
      </w:r>
      <w:r w:rsidRPr="00411FB2">
        <w:rPr>
          <w:rFonts w:ascii="Calibri" w:hAnsi="Calibri" w:hint="eastAsia"/>
          <w:color w:val="auto"/>
          <w:sz w:val="24"/>
        </w:rPr>
        <w:t>。</w:t>
      </w:r>
    </w:p>
    <w:p w14:paraId="5094B893" w14:textId="77777777" w:rsidR="00BA5157" w:rsidRPr="00BA5157" w:rsidRDefault="00411FB2" w:rsidP="00BA5157">
      <w:pPr>
        <w:pStyle w:val="affff"/>
        <w:spacing w:line="520" w:lineRule="exact"/>
        <w:ind w:left="0" w:right="0" w:firstLineChars="165" w:firstLine="396"/>
        <w:jc w:val="left"/>
        <w:rPr>
          <w:rFonts w:ascii="Calibri" w:hAnsi="Calibri"/>
          <w:bCs/>
          <w:color w:val="auto"/>
        </w:rPr>
      </w:pPr>
      <w:r>
        <w:rPr>
          <w:rFonts w:ascii="Calibri" w:hAnsi="Calibri" w:hint="eastAsia"/>
          <w:bCs/>
          <w:color w:val="auto"/>
        </w:rPr>
        <w:t>（</w:t>
      </w:r>
      <w:r>
        <w:rPr>
          <w:rFonts w:ascii="Calibri" w:hAnsi="Calibri" w:hint="eastAsia"/>
          <w:bCs/>
          <w:color w:val="auto"/>
        </w:rPr>
        <w:t>2</w:t>
      </w:r>
      <w:r>
        <w:rPr>
          <w:rFonts w:ascii="Calibri" w:hAnsi="Calibri" w:hint="eastAsia"/>
          <w:bCs/>
          <w:color w:val="auto"/>
        </w:rPr>
        <w:t>）车间</w:t>
      </w:r>
      <w:r>
        <w:rPr>
          <w:rFonts w:ascii="Calibri" w:hAnsi="Calibri"/>
          <w:bCs/>
          <w:color w:val="auto"/>
        </w:rPr>
        <w:t>无组织有机废气</w:t>
      </w:r>
    </w:p>
    <w:p w14:paraId="7479B33F" w14:textId="77777777" w:rsidR="00411FB2" w:rsidRPr="00BA5157" w:rsidRDefault="00411FB2" w:rsidP="00BA5157">
      <w:pPr>
        <w:spacing w:line="520" w:lineRule="exact"/>
        <w:ind w:firstLineChars="200" w:firstLine="480"/>
        <w:rPr>
          <w:rFonts w:asciiTheme="minorHAnsi" w:hAnsiTheme="minorHAnsi"/>
          <w:sz w:val="24"/>
          <w:szCs w:val="28"/>
        </w:rPr>
      </w:pPr>
      <w:r w:rsidRPr="00BA5157">
        <w:rPr>
          <w:rFonts w:asciiTheme="minorHAnsi" w:hAnsiTheme="minorHAnsi"/>
          <w:sz w:val="24"/>
          <w:szCs w:val="28"/>
        </w:rPr>
        <w:t>生产车间无组织有机废气主要来源于液态物料输送阀门连接逸散气体。按照项目设计方案，聚合车间采取密闭作业方式，聚合车间定期排查管道连接处及阀门，加</w:t>
      </w:r>
      <w:r w:rsidRPr="00BA5157">
        <w:rPr>
          <w:rFonts w:asciiTheme="minorHAnsi" w:hAnsiTheme="minorHAnsi"/>
          <w:sz w:val="24"/>
          <w:szCs w:val="28"/>
        </w:rPr>
        <w:lastRenderedPageBreak/>
        <w:t>强厂区绿化。</w:t>
      </w:r>
      <w:r w:rsidR="00BA5157" w:rsidRPr="00BA5157">
        <w:rPr>
          <w:rFonts w:asciiTheme="minorHAnsi" w:hAnsiTheme="minorHAnsi"/>
          <w:sz w:val="24"/>
          <w:szCs w:val="28"/>
        </w:rPr>
        <w:t>本项目执行《合成树脂工业污染物排放标准》（</w:t>
      </w:r>
      <w:r w:rsidR="00BA5157" w:rsidRPr="00BA5157">
        <w:rPr>
          <w:rFonts w:asciiTheme="minorHAnsi" w:hAnsiTheme="minorHAnsi"/>
          <w:sz w:val="24"/>
          <w:szCs w:val="28"/>
        </w:rPr>
        <w:t>GB31572-2015</w:t>
      </w:r>
      <w:r w:rsidR="00BA5157" w:rsidRPr="00BA5157">
        <w:rPr>
          <w:rFonts w:asciiTheme="minorHAnsi" w:hAnsiTheme="minorHAnsi"/>
          <w:sz w:val="24"/>
          <w:szCs w:val="28"/>
        </w:rPr>
        <w:t>）标准，因此按照</w:t>
      </w:r>
      <w:r w:rsidR="00BA5157" w:rsidRPr="00BA5157">
        <w:rPr>
          <w:rFonts w:asciiTheme="minorHAnsi" w:hAnsiTheme="minorHAnsi"/>
          <w:sz w:val="24"/>
          <w:szCs w:val="28"/>
        </w:rPr>
        <w:t>5.3</w:t>
      </w:r>
      <w:r w:rsidR="00BA5157" w:rsidRPr="00BA5157">
        <w:rPr>
          <w:rFonts w:asciiTheme="minorHAnsi" w:hAnsiTheme="minorHAnsi"/>
          <w:sz w:val="24"/>
          <w:szCs w:val="28"/>
        </w:rPr>
        <w:t>设备与管线组件泄露污染控制要求中泄漏检测周期：</w:t>
      </w:r>
      <w:r w:rsidR="00BA5157" w:rsidRPr="00BA5157">
        <w:rPr>
          <w:rFonts w:asciiTheme="minorEastAsia" w:eastAsiaTheme="minorEastAsia" w:hAnsiTheme="minorEastAsia"/>
          <w:sz w:val="24"/>
          <w:szCs w:val="28"/>
        </w:rPr>
        <w:t>①</w:t>
      </w:r>
      <w:r w:rsidR="00BA5157" w:rsidRPr="00BA5157">
        <w:rPr>
          <w:rFonts w:asciiTheme="minorHAnsi" w:hAnsiTheme="minorHAnsi"/>
          <w:sz w:val="24"/>
          <w:szCs w:val="28"/>
        </w:rPr>
        <w:t>泵、压缩机、阀门、开口阀或开口管线、气体</w:t>
      </w:r>
      <w:r w:rsidR="00BA5157" w:rsidRPr="00BA5157">
        <w:rPr>
          <w:rFonts w:asciiTheme="minorHAnsi" w:hAnsiTheme="minorHAnsi"/>
          <w:sz w:val="24"/>
          <w:szCs w:val="28"/>
        </w:rPr>
        <w:t>/</w:t>
      </w:r>
      <w:r w:rsidR="00BA5157" w:rsidRPr="00BA5157">
        <w:rPr>
          <w:rFonts w:asciiTheme="minorHAnsi" w:hAnsiTheme="minorHAnsi"/>
          <w:sz w:val="24"/>
          <w:szCs w:val="28"/>
        </w:rPr>
        <w:t>蒸汽泄压设备、取样链接系统每</w:t>
      </w:r>
      <w:r w:rsidR="00BA5157" w:rsidRPr="00BA5157">
        <w:rPr>
          <w:rFonts w:asciiTheme="minorHAnsi" w:hAnsiTheme="minorHAnsi"/>
          <w:sz w:val="24"/>
          <w:szCs w:val="28"/>
        </w:rPr>
        <w:t>3</w:t>
      </w:r>
      <w:r w:rsidR="00BA5157" w:rsidRPr="00BA5157">
        <w:rPr>
          <w:rFonts w:asciiTheme="minorHAnsi" w:hAnsiTheme="minorHAnsi"/>
          <w:sz w:val="24"/>
          <w:szCs w:val="28"/>
        </w:rPr>
        <w:t>个月检测一次；</w:t>
      </w:r>
      <w:r w:rsidR="00BA5157" w:rsidRPr="00BA5157">
        <w:rPr>
          <w:rFonts w:asciiTheme="minorEastAsia" w:eastAsiaTheme="minorEastAsia" w:hAnsiTheme="minorEastAsia"/>
          <w:sz w:val="24"/>
          <w:szCs w:val="28"/>
        </w:rPr>
        <w:t>②</w:t>
      </w:r>
      <w:r w:rsidR="00BA5157" w:rsidRPr="00BA5157">
        <w:rPr>
          <w:rFonts w:asciiTheme="minorHAnsi" w:hAnsiTheme="minorHAnsi"/>
          <w:sz w:val="24"/>
          <w:szCs w:val="28"/>
        </w:rPr>
        <w:t>法兰及其他连接件、其他密封设备每</w:t>
      </w:r>
      <w:r w:rsidR="00BA5157" w:rsidRPr="00BA5157">
        <w:rPr>
          <w:rFonts w:asciiTheme="minorHAnsi" w:hAnsiTheme="minorHAnsi"/>
          <w:sz w:val="24"/>
          <w:szCs w:val="28"/>
        </w:rPr>
        <w:t>6</w:t>
      </w:r>
      <w:r w:rsidR="00BA5157" w:rsidRPr="00BA5157">
        <w:rPr>
          <w:rFonts w:asciiTheme="minorHAnsi" w:hAnsiTheme="minorHAnsi"/>
          <w:sz w:val="24"/>
          <w:szCs w:val="28"/>
        </w:rPr>
        <w:t>个月检测一次；</w:t>
      </w:r>
      <w:r w:rsidR="00BA5157" w:rsidRPr="00BA5157">
        <w:rPr>
          <w:rFonts w:asciiTheme="minorEastAsia" w:eastAsiaTheme="minorEastAsia" w:hAnsiTheme="minorEastAsia"/>
          <w:sz w:val="24"/>
          <w:szCs w:val="28"/>
        </w:rPr>
        <w:t>③</w:t>
      </w:r>
      <w:r w:rsidR="00BA5157" w:rsidRPr="00BA5157">
        <w:rPr>
          <w:rFonts w:asciiTheme="minorHAnsi" w:hAnsiTheme="minorHAnsi"/>
          <w:sz w:val="24"/>
          <w:szCs w:val="28"/>
        </w:rPr>
        <w:t>对于挥发性有机物流经的初次开工运转的设备和管线组件，应在开工后</w:t>
      </w:r>
      <w:r w:rsidR="00BA5157" w:rsidRPr="00BA5157">
        <w:rPr>
          <w:rFonts w:asciiTheme="minorHAnsi" w:hAnsiTheme="minorHAnsi"/>
          <w:sz w:val="24"/>
          <w:szCs w:val="28"/>
        </w:rPr>
        <w:t>30</w:t>
      </w:r>
      <w:r w:rsidR="00BA5157" w:rsidRPr="00BA5157">
        <w:rPr>
          <w:rFonts w:asciiTheme="minorHAnsi" w:hAnsiTheme="minorHAnsi"/>
          <w:sz w:val="24"/>
          <w:szCs w:val="28"/>
        </w:rPr>
        <w:t>日内对其进行第一次检测</w:t>
      </w:r>
      <w:r w:rsidR="00BA5157" w:rsidRPr="00BA5157">
        <w:rPr>
          <w:rFonts w:asciiTheme="minorEastAsia" w:eastAsiaTheme="minorEastAsia" w:hAnsiTheme="minorEastAsia"/>
          <w:sz w:val="24"/>
          <w:szCs w:val="28"/>
        </w:rPr>
        <w:t>；④</w:t>
      </w:r>
      <w:r w:rsidR="00BA5157" w:rsidRPr="00BA5157">
        <w:rPr>
          <w:rFonts w:asciiTheme="minorHAnsi" w:hAnsiTheme="minorHAnsi"/>
          <w:sz w:val="24"/>
          <w:szCs w:val="28"/>
        </w:rPr>
        <w:t>挥发性有机液体流经的设备和管线组件每周进行目视观察，检查其密封处是否出现滴液现象。</w:t>
      </w:r>
      <w:r>
        <w:rPr>
          <w:rFonts w:hint="eastAsia"/>
          <w:sz w:val="24"/>
          <w:szCs w:val="28"/>
        </w:rPr>
        <w:t>经采取以上措施，项目</w:t>
      </w:r>
      <w:r w:rsidRPr="0045321D">
        <w:rPr>
          <w:rFonts w:hint="eastAsia"/>
          <w:sz w:val="24"/>
          <w:szCs w:val="28"/>
        </w:rPr>
        <w:t>生产车间无组织废气可以得到有效控制，无组织排放治理措施可行。</w:t>
      </w:r>
    </w:p>
    <w:p w14:paraId="7BDE5B8A" w14:textId="77777777" w:rsidR="00411FB2" w:rsidRPr="00411FB2" w:rsidRDefault="00411FB2" w:rsidP="00411FB2">
      <w:pPr>
        <w:spacing w:line="520" w:lineRule="exact"/>
        <w:ind w:firstLineChars="200" w:firstLine="480"/>
        <w:rPr>
          <w:rFonts w:asciiTheme="minorHAnsi" w:hAnsiTheme="minorHAnsi"/>
          <w:sz w:val="24"/>
          <w:szCs w:val="28"/>
        </w:rPr>
      </w:pPr>
      <w:r w:rsidRPr="00411FB2">
        <w:rPr>
          <w:rFonts w:asciiTheme="minorHAnsi" w:hAnsiTheme="minorHAnsi"/>
          <w:sz w:val="24"/>
          <w:szCs w:val="28"/>
        </w:rPr>
        <w:t>（</w:t>
      </w:r>
      <w:r w:rsidRPr="00411FB2">
        <w:rPr>
          <w:rFonts w:asciiTheme="minorHAnsi" w:hAnsiTheme="minorHAnsi"/>
          <w:sz w:val="24"/>
          <w:szCs w:val="28"/>
        </w:rPr>
        <w:t>3</w:t>
      </w:r>
      <w:r w:rsidRPr="00411FB2">
        <w:rPr>
          <w:rFonts w:asciiTheme="minorHAnsi" w:hAnsiTheme="minorHAnsi"/>
          <w:sz w:val="24"/>
          <w:szCs w:val="28"/>
        </w:rPr>
        <w:t>）污水站无组织恶臭气体</w:t>
      </w:r>
    </w:p>
    <w:p w14:paraId="1C6AAD74" w14:textId="77777777" w:rsidR="00411FB2" w:rsidRPr="00411FB2" w:rsidRDefault="00411FB2" w:rsidP="00411FB2">
      <w:pPr>
        <w:spacing w:line="520" w:lineRule="exact"/>
        <w:ind w:firstLineChars="200" w:firstLine="480"/>
        <w:rPr>
          <w:rFonts w:asciiTheme="minorHAnsi" w:hAnsiTheme="minorHAnsi"/>
          <w:sz w:val="24"/>
          <w:szCs w:val="28"/>
        </w:rPr>
      </w:pPr>
      <w:r w:rsidRPr="00411FB2">
        <w:rPr>
          <w:rFonts w:asciiTheme="minorHAnsi" w:hAnsiTheme="minorHAnsi"/>
          <w:sz w:val="24"/>
          <w:szCs w:val="28"/>
        </w:rPr>
        <w:t>生产、生活废水通过密闭管道输送至污水站，项目设计在调节池、水解酸化池、厌氧池处理设施应加盖密闭，从而减少无组织恶臭气体的产生。同时，在污水站附近加强绿化。</w:t>
      </w:r>
    </w:p>
    <w:p w14:paraId="438CF968" w14:textId="77777777" w:rsidR="00411FB2" w:rsidRDefault="00411FB2" w:rsidP="00677DB3">
      <w:pPr>
        <w:spacing w:line="520" w:lineRule="exact"/>
        <w:ind w:firstLineChars="200" w:firstLine="480"/>
        <w:rPr>
          <w:rFonts w:asciiTheme="minorHAnsi" w:hAnsiTheme="minorHAnsi"/>
          <w:sz w:val="24"/>
          <w:szCs w:val="28"/>
        </w:rPr>
      </w:pPr>
      <w:r w:rsidRPr="00411FB2">
        <w:rPr>
          <w:rFonts w:asciiTheme="minorHAnsi" w:hAnsiTheme="minorHAnsi"/>
          <w:sz w:val="24"/>
          <w:szCs w:val="28"/>
        </w:rPr>
        <w:t>（</w:t>
      </w:r>
      <w:r w:rsidRPr="00411FB2">
        <w:rPr>
          <w:rFonts w:asciiTheme="minorHAnsi" w:hAnsiTheme="minorHAnsi"/>
          <w:sz w:val="24"/>
          <w:szCs w:val="28"/>
        </w:rPr>
        <w:t>4</w:t>
      </w:r>
      <w:r w:rsidRPr="00411FB2">
        <w:rPr>
          <w:rFonts w:asciiTheme="minorHAnsi" w:hAnsiTheme="minorHAnsi"/>
          <w:sz w:val="24"/>
          <w:szCs w:val="28"/>
        </w:rPr>
        <w:t>）项目建设与《挥发性有机物无组织排放控制标准》（</w:t>
      </w:r>
      <w:r w:rsidRPr="00411FB2">
        <w:rPr>
          <w:rFonts w:asciiTheme="minorHAnsi" w:hAnsiTheme="minorHAnsi"/>
          <w:sz w:val="24"/>
          <w:szCs w:val="28"/>
        </w:rPr>
        <w:t>GB37822-2019</w:t>
      </w:r>
      <w:r w:rsidRPr="00411FB2">
        <w:rPr>
          <w:rFonts w:asciiTheme="minorHAnsi" w:hAnsiTheme="minorHAnsi"/>
          <w:sz w:val="24"/>
          <w:szCs w:val="28"/>
        </w:rPr>
        <w:t>）比对情况见下表</w:t>
      </w:r>
      <w:r>
        <w:rPr>
          <w:rFonts w:asciiTheme="minorHAnsi" w:hAnsiTheme="minorHAnsi"/>
          <w:sz w:val="24"/>
          <w:szCs w:val="28"/>
        </w:rPr>
        <w:t>5.2-2</w:t>
      </w:r>
      <w:r w:rsidRPr="00411FB2">
        <w:rPr>
          <w:rFonts w:asciiTheme="minorHAnsi" w:hAnsiTheme="minorHAnsi"/>
          <w:sz w:val="24"/>
          <w:szCs w:val="28"/>
        </w:rPr>
        <w:t>。</w:t>
      </w:r>
    </w:p>
    <w:p w14:paraId="1248E273" w14:textId="77777777" w:rsidR="00411FB2" w:rsidRPr="00411FB2" w:rsidRDefault="00411FB2" w:rsidP="00411FB2">
      <w:pPr>
        <w:spacing w:line="520" w:lineRule="exact"/>
        <w:jc w:val="center"/>
        <w:rPr>
          <w:rFonts w:asciiTheme="minorHAnsi" w:eastAsia="黑体" w:hAnsiTheme="minorHAnsi"/>
          <w:sz w:val="24"/>
        </w:rPr>
      </w:pPr>
      <w:r w:rsidRPr="00411FB2">
        <w:rPr>
          <w:rFonts w:asciiTheme="minorHAnsi" w:eastAsia="黑体" w:hAnsiTheme="minorHAnsi"/>
          <w:sz w:val="24"/>
        </w:rPr>
        <w:t>表</w:t>
      </w:r>
      <w:r w:rsidRPr="00411FB2">
        <w:rPr>
          <w:rFonts w:asciiTheme="minorHAnsi" w:eastAsia="黑体" w:hAnsiTheme="minorHAnsi"/>
          <w:sz w:val="24"/>
        </w:rPr>
        <w:t xml:space="preserve">5.2-2  </w:t>
      </w:r>
      <w:r w:rsidRPr="00411FB2">
        <w:rPr>
          <w:rFonts w:asciiTheme="minorHAnsi" w:eastAsia="黑体" w:hAnsiTheme="minorHAnsi"/>
          <w:sz w:val="24"/>
        </w:rPr>
        <w:t>项目与《挥发性有机物无组织排放控制标准》（</w:t>
      </w:r>
      <w:r w:rsidRPr="00411FB2">
        <w:rPr>
          <w:rFonts w:asciiTheme="minorHAnsi" w:eastAsia="黑体" w:hAnsiTheme="minorHAnsi"/>
          <w:sz w:val="24"/>
        </w:rPr>
        <w:t>GB37822-2019</w:t>
      </w:r>
      <w:r w:rsidRPr="00411FB2">
        <w:rPr>
          <w:rFonts w:asciiTheme="minorHAnsi" w:eastAsia="黑体" w:hAnsiTheme="minorHAnsi"/>
          <w:sz w:val="24"/>
        </w:rPr>
        <w:t>）比对情况</w:t>
      </w:r>
    </w:p>
    <w:tbl>
      <w:tblPr>
        <w:tblW w:w="104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708"/>
        <w:gridCol w:w="4429"/>
        <w:gridCol w:w="3260"/>
        <w:gridCol w:w="934"/>
      </w:tblGrid>
      <w:tr w:rsidR="00411FB2" w:rsidRPr="00517F10" w14:paraId="6CFA87CE" w14:textId="77777777" w:rsidTr="00411FB2">
        <w:trPr>
          <w:jc w:val="center"/>
        </w:trPr>
        <w:tc>
          <w:tcPr>
            <w:tcW w:w="6238" w:type="dxa"/>
            <w:gridSpan w:val="3"/>
            <w:shd w:val="clear" w:color="auto" w:fill="auto"/>
            <w:vAlign w:val="center"/>
          </w:tcPr>
          <w:p w14:paraId="11241D3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控制要求</w:t>
            </w:r>
          </w:p>
        </w:tc>
        <w:tc>
          <w:tcPr>
            <w:tcW w:w="3260" w:type="dxa"/>
            <w:shd w:val="clear" w:color="auto" w:fill="auto"/>
            <w:vAlign w:val="center"/>
          </w:tcPr>
          <w:p w14:paraId="318071E3"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本次工程</w:t>
            </w:r>
          </w:p>
        </w:tc>
        <w:tc>
          <w:tcPr>
            <w:tcW w:w="934" w:type="dxa"/>
            <w:shd w:val="clear" w:color="auto" w:fill="auto"/>
            <w:vAlign w:val="center"/>
          </w:tcPr>
          <w:p w14:paraId="279DD4D4"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相符性</w:t>
            </w:r>
          </w:p>
        </w:tc>
      </w:tr>
      <w:tr w:rsidR="00411FB2" w:rsidRPr="00517F10" w14:paraId="128C880A" w14:textId="77777777" w:rsidTr="00411FB2">
        <w:trPr>
          <w:jc w:val="center"/>
        </w:trPr>
        <w:tc>
          <w:tcPr>
            <w:tcW w:w="1101" w:type="dxa"/>
            <w:vMerge w:val="restart"/>
            <w:shd w:val="clear" w:color="auto" w:fill="auto"/>
            <w:vAlign w:val="center"/>
          </w:tcPr>
          <w:p w14:paraId="6238CBEA"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VOC</w:t>
            </w:r>
            <w:r w:rsidRPr="00DD5619">
              <w:rPr>
                <w:rFonts w:ascii="Calibri" w:hAnsi="Calibri"/>
                <w:color w:val="auto"/>
                <w:sz w:val="21"/>
                <w:szCs w:val="21"/>
                <w:vertAlign w:val="subscript"/>
              </w:rPr>
              <w:t>S</w:t>
            </w:r>
            <w:r w:rsidRPr="00517F10">
              <w:rPr>
                <w:rFonts w:ascii="Calibri" w:hAnsi="Calibri"/>
                <w:color w:val="auto"/>
                <w:sz w:val="21"/>
                <w:szCs w:val="21"/>
              </w:rPr>
              <w:t>物料储存无组织排放控制要求</w:t>
            </w:r>
          </w:p>
        </w:tc>
        <w:tc>
          <w:tcPr>
            <w:tcW w:w="708" w:type="dxa"/>
            <w:vMerge w:val="restart"/>
            <w:shd w:val="clear" w:color="auto" w:fill="auto"/>
            <w:vAlign w:val="center"/>
          </w:tcPr>
          <w:p w14:paraId="37F3C75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基本</w:t>
            </w:r>
          </w:p>
          <w:p w14:paraId="1E34488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要求</w:t>
            </w:r>
          </w:p>
        </w:tc>
        <w:tc>
          <w:tcPr>
            <w:tcW w:w="4429" w:type="dxa"/>
            <w:shd w:val="clear" w:color="auto" w:fill="auto"/>
            <w:vAlign w:val="center"/>
          </w:tcPr>
          <w:p w14:paraId="56D0162C"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VOC</w:t>
            </w:r>
            <w:r w:rsidRPr="00DD5619">
              <w:rPr>
                <w:rFonts w:ascii="Calibri" w:hAnsi="Calibri"/>
                <w:color w:val="auto"/>
                <w:sz w:val="21"/>
                <w:szCs w:val="21"/>
                <w:vertAlign w:val="subscript"/>
              </w:rPr>
              <w:t>S</w:t>
            </w:r>
            <w:r w:rsidRPr="00517F10">
              <w:rPr>
                <w:rFonts w:ascii="Calibri" w:hAnsi="Calibri"/>
                <w:color w:val="auto"/>
                <w:sz w:val="21"/>
                <w:szCs w:val="21"/>
              </w:rPr>
              <w:t>物料应储存于密闭的容器、包装袋、储罐、储库、料仓中。</w:t>
            </w:r>
          </w:p>
        </w:tc>
        <w:tc>
          <w:tcPr>
            <w:tcW w:w="3260" w:type="dxa"/>
            <w:vMerge w:val="restart"/>
            <w:shd w:val="clear" w:color="auto" w:fill="auto"/>
            <w:vAlign w:val="center"/>
          </w:tcPr>
          <w:p w14:paraId="07EF84BB"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本项目液体原料均</w:t>
            </w:r>
            <w:r w:rsidRPr="00517F10">
              <w:rPr>
                <w:rFonts w:ascii="Calibri" w:hAnsi="Calibri"/>
                <w:color w:val="auto"/>
                <w:sz w:val="21"/>
                <w:szCs w:val="21"/>
              </w:rPr>
              <w:t>采用</w:t>
            </w:r>
            <w:r w:rsidRPr="00517F10">
              <w:rPr>
                <w:rFonts w:ascii="Calibri" w:hAnsi="Calibri" w:hint="eastAsia"/>
                <w:color w:val="auto"/>
                <w:sz w:val="21"/>
                <w:szCs w:val="21"/>
              </w:rPr>
              <w:t>密闭</w:t>
            </w:r>
            <w:r w:rsidRPr="00517F10">
              <w:rPr>
                <w:rFonts w:ascii="Calibri" w:hAnsi="Calibri"/>
                <w:color w:val="auto"/>
                <w:sz w:val="21"/>
                <w:szCs w:val="21"/>
              </w:rPr>
              <w:t>桶装；固体原料、固废等均采用防渗包装袋储存。各类物料均储存于密闭的库房内。</w:t>
            </w:r>
          </w:p>
        </w:tc>
        <w:tc>
          <w:tcPr>
            <w:tcW w:w="934" w:type="dxa"/>
            <w:vMerge w:val="restart"/>
            <w:shd w:val="clear" w:color="auto" w:fill="auto"/>
            <w:vAlign w:val="center"/>
          </w:tcPr>
          <w:p w14:paraId="0AC3BF3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6C9391B7" w14:textId="77777777" w:rsidTr="00411FB2">
        <w:trPr>
          <w:jc w:val="center"/>
        </w:trPr>
        <w:tc>
          <w:tcPr>
            <w:tcW w:w="1101" w:type="dxa"/>
            <w:vMerge/>
            <w:shd w:val="clear" w:color="auto" w:fill="auto"/>
            <w:vAlign w:val="center"/>
          </w:tcPr>
          <w:p w14:paraId="344BAB4B"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55F736E9"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08025A3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盛装</w:t>
            </w:r>
            <w:r w:rsidRPr="00517F10">
              <w:rPr>
                <w:rFonts w:ascii="Calibri" w:hAnsi="Calibri"/>
                <w:color w:val="auto"/>
                <w:sz w:val="21"/>
                <w:szCs w:val="21"/>
              </w:rPr>
              <w:t>VOC</w:t>
            </w:r>
            <w:r w:rsidRPr="00DD5619">
              <w:rPr>
                <w:rFonts w:ascii="Calibri" w:hAnsi="Calibri"/>
                <w:color w:val="auto"/>
                <w:sz w:val="21"/>
                <w:szCs w:val="21"/>
                <w:vertAlign w:val="subscript"/>
              </w:rPr>
              <w:t>S</w:t>
            </w:r>
            <w:r w:rsidRPr="00517F10">
              <w:rPr>
                <w:rFonts w:ascii="Calibri" w:hAnsi="Calibri"/>
                <w:color w:val="auto"/>
                <w:sz w:val="21"/>
                <w:szCs w:val="21"/>
              </w:rPr>
              <w:t>物料的容器或包装袋应存放于室内，或存放于设置有雨棚、遮阳和防渗设施的专用场地。盛装</w:t>
            </w:r>
            <w:r w:rsidRPr="00517F10">
              <w:rPr>
                <w:rFonts w:ascii="Calibri" w:hAnsi="Calibri"/>
                <w:color w:val="auto"/>
                <w:sz w:val="21"/>
                <w:szCs w:val="21"/>
              </w:rPr>
              <w:t>VOC</w:t>
            </w:r>
            <w:r w:rsidRPr="00DD5619">
              <w:rPr>
                <w:rFonts w:ascii="Calibri" w:hAnsi="Calibri"/>
                <w:color w:val="auto"/>
                <w:sz w:val="21"/>
                <w:szCs w:val="21"/>
                <w:vertAlign w:val="subscript"/>
              </w:rPr>
              <w:t>S</w:t>
            </w:r>
            <w:r w:rsidRPr="00517F10">
              <w:rPr>
                <w:rFonts w:ascii="Calibri" w:hAnsi="Calibri"/>
                <w:color w:val="auto"/>
                <w:sz w:val="21"/>
                <w:szCs w:val="21"/>
              </w:rPr>
              <w:t>物料的容器或包装袋在非取用状态时应加盖、封口，保持密闭。</w:t>
            </w:r>
          </w:p>
        </w:tc>
        <w:tc>
          <w:tcPr>
            <w:tcW w:w="3260" w:type="dxa"/>
            <w:vMerge/>
            <w:shd w:val="clear" w:color="auto" w:fill="auto"/>
            <w:vAlign w:val="center"/>
          </w:tcPr>
          <w:p w14:paraId="5D4CCEF1"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934" w:type="dxa"/>
            <w:vMerge/>
            <w:shd w:val="clear" w:color="auto" w:fill="auto"/>
            <w:vAlign w:val="center"/>
          </w:tcPr>
          <w:p w14:paraId="66ABEC42" w14:textId="77777777" w:rsidR="00411FB2" w:rsidRPr="00517F10" w:rsidRDefault="00411FB2" w:rsidP="00517F10">
            <w:pPr>
              <w:pStyle w:val="00"/>
              <w:spacing w:line="240" w:lineRule="auto"/>
              <w:ind w:firstLine="0"/>
              <w:jc w:val="center"/>
              <w:rPr>
                <w:rFonts w:ascii="Calibri" w:hAnsi="Calibri"/>
                <w:color w:val="auto"/>
                <w:sz w:val="21"/>
                <w:szCs w:val="21"/>
              </w:rPr>
            </w:pPr>
          </w:p>
        </w:tc>
      </w:tr>
      <w:tr w:rsidR="00411FB2" w:rsidRPr="00517F10" w14:paraId="57915680" w14:textId="77777777" w:rsidTr="00411FB2">
        <w:trPr>
          <w:jc w:val="center"/>
        </w:trPr>
        <w:tc>
          <w:tcPr>
            <w:tcW w:w="1101" w:type="dxa"/>
            <w:vMerge/>
            <w:shd w:val="clear" w:color="auto" w:fill="auto"/>
            <w:vAlign w:val="center"/>
          </w:tcPr>
          <w:p w14:paraId="744A0F57"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val="restart"/>
            <w:shd w:val="clear" w:color="auto" w:fill="auto"/>
            <w:vAlign w:val="center"/>
          </w:tcPr>
          <w:p w14:paraId="583B722B"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挥发性有机液体储罐</w:t>
            </w:r>
          </w:p>
        </w:tc>
        <w:tc>
          <w:tcPr>
            <w:tcW w:w="4429" w:type="dxa"/>
            <w:shd w:val="clear" w:color="auto" w:fill="auto"/>
            <w:vAlign w:val="center"/>
          </w:tcPr>
          <w:p w14:paraId="7B97B54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采用固定顶罐，排放的废气应收集处理并满足相关行业排放标准的要求，或者处理效率不低于</w:t>
            </w:r>
            <w:r w:rsidRPr="00517F10">
              <w:rPr>
                <w:rFonts w:ascii="Calibri" w:hAnsi="Calibri"/>
                <w:color w:val="auto"/>
                <w:sz w:val="21"/>
                <w:szCs w:val="21"/>
              </w:rPr>
              <w:t>80%</w:t>
            </w:r>
            <w:r w:rsidRPr="00517F10">
              <w:rPr>
                <w:rFonts w:ascii="Calibri" w:hAnsi="Calibri"/>
                <w:color w:val="auto"/>
                <w:sz w:val="21"/>
                <w:szCs w:val="21"/>
              </w:rPr>
              <w:t>。</w:t>
            </w:r>
          </w:p>
        </w:tc>
        <w:tc>
          <w:tcPr>
            <w:tcW w:w="3260" w:type="dxa"/>
            <w:vMerge w:val="restart"/>
            <w:shd w:val="clear" w:color="auto" w:fill="auto"/>
            <w:vAlign w:val="center"/>
          </w:tcPr>
          <w:p w14:paraId="061381C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不涉及</w:t>
            </w:r>
          </w:p>
        </w:tc>
        <w:tc>
          <w:tcPr>
            <w:tcW w:w="934" w:type="dxa"/>
            <w:vMerge w:val="restart"/>
            <w:shd w:val="clear" w:color="auto" w:fill="auto"/>
            <w:vAlign w:val="center"/>
          </w:tcPr>
          <w:p w14:paraId="356750BE"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w:t>
            </w:r>
          </w:p>
        </w:tc>
      </w:tr>
      <w:tr w:rsidR="00411FB2" w:rsidRPr="00517F10" w14:paraId="6C10D03B" w14:textId="77777777" w:rsidTr="00411FB2">
        <w:trPr>
          <w:jc w:val="center"/>
        </w:trPr>
        <w:tc>
          <w:tcPr>
            <w:tcW w:w="1101" w:type="dxa"/>
            <w:vMerge/>
            <w:shd w:val="clear" w:color="auto" w:fill="auto"/>
            <w:vAlign w:val="center"/>
          </w:tcPr>
          <w:p w14:paraId="7DB03F4B"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6D79156E"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59382075"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采用气相平衡系统</w:t>
            </w:r>
          </w:p>
        </w:tc>
        <w:tc>
          <w:tcPr>
            <w:tcW w:w="3260" w:type="dxa"/>
            <w:vMerge/>
            <w:shd w:val="clear" w:color="auto" w:fill="auto"/>
            <w:vAlign w:val="center"/>
          </w:tcPr>
          <w:p w14:paraId="59422050"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934" w:type="dxa"/>
            <w:vMerge/>
            <w:shd w:val="clear" w:color="auto" w:fill="auto"/>
            <w:vAlign w:val="center"/>
          </w:tcPr>
          <w:p w14:paraId="58DE87E9" w14:textId="77777777" w:rsidR="00411FB2" w:rsidRPr="00517F10" w:rsidRDefault="00411FB2" w:rsidP="00517F10">
            <w:pPr>
              <w:pStyle w:val="00"/>
              <w:spacing w:line="240" w:lineRule="auto"/>
              <w:ind w:firstLine="0"/>
              <w:jc w:val="center"/>
              <w:rPr>
                <w:rFonts w:ascii="Calibri" w:hAnsi="Calibri"/>
                <w:color w:val="auto"/>
                <w:sz w:val="21"/>
                <w:szCs w:val="21"/>
              </w:rPr>
            </w:pPr>
          </w:p>
        </w:tc>
      </w:tr>
      <w:tr w:rsidR="00411FB2" w:rsidRPr="00517F10" w14:paraId="6FF537CE" w14:textId="77777777" w:rsidTr="00411FB2">
        <w:trPr>
          <w:jc w:val="center"/>
        </w:trPr>
        <w:tc>
          <w:tcPr>
            <w:tcW w:w="1101" w:type="dxa"/>
            <w:vMerge w:val="restart"/>
            <w:shd w:val="clear" w:color="auto" w:fill="auto"/>
            <w:vAlign w:val="center"/>
          </w:tcPr>
          <w:p w14:paraId="5C11586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VOC</w:t>
            </w:r>
            <w:r w:rsidRPr="00DD5619">
              <w:rPr>
                <w:rFonts w:ascii="Calibri" w:hAnsi="Calibri"/>
                <w:color w:val="auto"/>
                <w:sz w:val="21"/>
                <w:szCs w:val="21"/>
                <w:vertAlign w:val="subscript"/>
              </w:rPr>
              <w:t>S</w:t>
            </w:r>
            <w:r w:rsidRPr="00517F10">
              <w:rPr>
                <w:rFonts w:ascii="Calibri" w:hAnsi="Calibri"/>
                <w:color w:val="auto"/>
                <w:sz w:val="21"/>
                <w:szCs w:val="21"/>
              </w:rPr>
              <w:t>物料转移和输送无组织排放控制要求</w:t>
            </w:r>
          </w:p>
        </w:tc>
        <w:tc>
          <w:tcPr>
            <w:tcW w:w="708" w:type="dxa"/>
            <w:vMerge w:val="restart"/>
            <w:shd w:val="clear" w:color="auto" w:fill="auto"/>
            <w:vAlign w:val="center"/>
          </w:tcPr>
          <w:p w14:paraId="207A2424"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基本</w:t>
            </w:r>
          </w:p>
          <w:p w14:paraId="08C94B0E"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要求</w:t>
            </w:r>
          </w:p>
        </w:tc>
        <w:tc>
          <w:tcPr>
            <w:tcW w:w="4429" w:type="dxa"/>
            <w:shd w:val="clear" w:color="auto" w:fill="auto"/>
            <w:vAlign w:val="center"/>
          </w:tcPr>
          <w:p w14:paraId="2D5100A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液态</w:t>
            </w:r>
            <w:r w:rsidRPr="00517F10">
              <w:rPr>
                <w:rFonts w:ascii="Calibri" w:hAnsi="Calibri"/>
                <w:color w:val="auto"/>
                <w:sz w:val="21"/>
                <w:szCs w:val="21"/>
              </w:rPr>
              <w:t>VOCs</w:t>
            </w:r>
            <w:r w:rsidRPr="00517F10">
              <w:rPr>
                <w:rFonts w:ascii="Calibri" w:hAnsi="Calibri"/>
                <w:color w:val="auto"/>
                <w:sz w:val="21"/>
                <w:szCs w:val="21"/>
              </w:rPr>
              <w:t>物料应采用密闭管道输送。采用非管道输送方式转移液态</w:t>
            </w:r>
            <w:r w:rsidRPr="00517F10">
              <w:rPr>
                <w:rFonts w:ascii="Calibri" w:hAnsi="Calibri"/>
                <w:color w:val="auto"/>
                <w:sz w:val="21"/>
                <w:szCs w:val="21"/>
              </w:rPr>
              <w:t>VOCs</w:t>
            </w:r>
            <w:r w:rsidRPr="00517F10">
              <w:rPr>
                <w:rFonts w:ascii="Calibri" w:hAnsi="Calibri"/>
                <w:color w:val="auto"/>
                <w:sz w:val="21"/>
                <w:szCs w:val="21"/>
              </w:rPr>
              <w:t>物料时，应采用密闭容器、罐车</w:t>
            </w:r>
          </w:p>
        </w:tc>
        <w:tc>
          <w:tcPr>
            <w:tcW w:w="3260" w:type="dxa"/>
            <w:shd w:val="clear" w:color="auto" w:fill="auto"/>
            <w:vAlign w:val="center"/>
          </w:tcPr>
          <w:p w14:paraId="1791B7DE"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本次工程</w:t>
            </w:r>
            <w:r w:rsidRPr="00517F10">
              <w:rPr>
                <w:rFonts w:ascii="Calibri" w:hAnsi="Calibri" w:hint="eastAsia"/>
                <w:color w:val="auto"/>
                <w:sz w:val="21"/>
                <w:szCs w:val="21"/>
              </w:rPr>
              <w:t>液体</w:t>
            </w:r>
            <w:r w:rsidRPr="00517F10">
              <w:rPr>
                <w:rFonts w:ascii="Calibri" w:hAnsi="Calibri"/>
                <w:color w:val="auto"/>
                <w:sz w:val="21"/>
                <w:szCs w:val="21"/>
              </w:rPr>
              <w:t>原料采用密闭管道输送。</w:t>
            </w:r>
          </w:p>
        </w:tc>
        <w:tc>
          <w:tcPr>
            <w:tcW w:w="934" w:type="dxa"/>
            <w:shd w:val="clear" w:color="auto" w:fill="auto"/>
            <w:vAlign w:val="center"/>
          </w:tcPr>
          <w:p w14:paraId="4C478CE6"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3C04CAF1" w14:textId="77777777" w:rsidTr="00411FB2">
        <w:trPr>
          <w:jc w:val="center"/>
        </w:trPr>
        <w:tc>
          <w:tcPr>
            <w:tcW w:w="1101" w:type="dxa"/>
            <w:vMerge/>
            <w:shd w:val="clear" w:color="auto" w:fill="auto"/>
            <w:vAlign w:val="center"/>
          </w:tcPr>
          <w:p w14:paraId="2D6ADB63"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776F410C"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021F72A2"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粉状、粒状</w:t>
            </w:r>
            <w:r w:rsidRPr="00517F10">
              <w:rPr>
                <w:rFonts w:ascii="Calibri" w:hAnsi="Calibri"/>
                <w:color w:val="auto"/>
                <w:sz w:val="21"/>
                <w:szCs w:val="21"/>
              </w:rPr>
              <w:t>VOCs</w:t>
            </w:r>
            <w:r w:rsidRPr="00517F10">
              <w:rPr>
                <w:rFonts w:ascii="Calibri" w:hAnsi="Calibri"/>
                <w:color w:val="auto"/>
                <w:sz w:val="21"/>
                <w:szCs w:val="21"/>
              </w:rPr>
              <w:t>物料应采用气力输送设备、管状带式输送机、螺旋输送机等密闭输送方式或者采用密闭的包装袋、容器或罐车进行物料转移。</w:t>
            </w:r>
          </w:p>
        </w:tc>
        <w:tc>
          <w:tcPr>
            <w:tcW w:w="3260" w:type="dxa"/>
            <w:shd w:val="clear" w:color="auto" w:fill="auto"/>
            <w:vAlign w:val="center"/>
          </w:tcPr>
          <w:p w14:paraId="0B7D5B57" w14:textId="77777777" w:rsidR="00411FB2" w:rsidRPr="00517F10" w:rsidRDefault="00411FB2" w:rsidP="00B8374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本次工程</w:t>
            </w:r>
            <w:r w:rsidRPr="00517F10">
              <w:rPr>
                <w:rFonts w:ascii="Calibri" w:hAnsi="Calibri" w:hint="eastAsia"/>
                <w:color w:val="auto"/>
                <w:sz w:val="21"/>
                <w:szCs w:val="21"/>
              </w:rPr>
              <w:t>尼龙</w:t>
            </w:r>
            <w:r w:rsidRPr="00517F10">
              <w:rPr>
                <w:rFonts w:ascii="Calibri" w:hAnsi="Calibri" w:hint="eastAsia"/>
                <w:color w:val="auto"/>
                <w:sz w:val="21"/>
                <w:szCs w:val="21"/>
              </w:rPr>
              <w:t>1010</w:t>
            </w:r>
            <w:r w:rsidRPr="00517F10">
              <w:rPr>
                <w:rFonts w:ascii="Calibri" w:hAnsi="Calibri" w:hint="eastAsia"/>
                <w:color w:val="auto"/>
                <w:sz w:val="21"/>
                <w:szCs w:val="21"/>
              </w:rPr>
              <w:t>盐及</w:t>
            </w:r>
            <w:r w:rsidRPr="00517F10">
              <w:rPr>
                <w:rFonts w:ascii="Calibri" w:hAnsi="Calibri"/>
                <w:color w:val="auto"/>
                <w:sz w:val="21"/>
                <w:szCs w:val="21"/>
              </w:rPr>
              <w:t>尼龙</w:t>
            </w:r>
            <w:r w:rsidRPr="00517F10">
              <w:rPr>
                <w:rFonts w:ascii="Calibri" w:hAnsi="Calibri" w:hint="eastAsia"/>
                <w:color w:val="auto"/>
                <w:sz w:val="21"/>
                <w:szCs w:val="21"/>
              </w:rPr>
              <w:t>12</w:t>
            </w:r>
            <w:r w:rsidRPr="00517F10">
              <w:rPr>
                <w:rFonts w:ascii="Calibri" w:hAnsi="Calibri" w:hint="eastAsia"/>
                <w:color w:val="auto"/>
                <w:sz w:val="21"/>
                <w:szCs w:val="21"/>
              </w:rPr>
              <w:t>盐</w:t>
            </w:r>
            <w:r w:rsidRPr="00517F10">
              <w:rPr>
                <w:rFonts w:ascii="Calibri" w:hAnsi="Calibri"/>
                <w:color w:val="auto"/>
                <w:sz w:val="21"/>
                <w:szCs w:val="21"/>
              </w:rPr>
              <w:t>采用密闭</w:t>
            </w:r>
            <w:r w:rsidR="00B83749">
              <w:rPr>
                <w:rFonts w:ascii="Calibri" w:hAnsi="Calibri" w:hint="eastAsia"/>
                <w:color w:val="auto"/>
                <w:sz w:val="21"/>
                <w:szCs w:val="21"/>
              </w:rPr>
              <w:t>包装</w:t>
            </w:r>
            <w:r w:rsidR="00B83749">
              <w:rPr>
                <w:rFonts w:ascii="Calibri" w:hAnsi="Calibri"/>
                <w:color w:val="auto"/>
                <w:sz w:val="21"/>
                <w:szCs w:val="21"/>
              </w:rPr>
              <w:t>袋进行物料转移</w:t>
            </w:r>
            <w:r w:rsidRPr="00517F10">
              <w:rPr>
                <w:rFonts w:ascii="Calibri" w:hAnsi="Calibri"/>
                <w:color w:val="auto"/>
                <w:sz w:val="21"/>
                <w:szCs w:val="21"/>
              </w:rPr>
              <w:t>。</w:t>
            </w:r>
          </w:p>
        </w:tc>
        <w:tc>
          <w:tcPr>
            <w:tcW w:w="934" w:type="dxa"/>
            <w:shd w:val="clear" w:color="auto" w:fill="auto"/>
            <w:vAlign w:val="center"/>
          </w:tcPr>
          <w:p w14:paraId="6325CBB5"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658F83D2" w14:textId="77777777" w:rsidTr="00411FB2">
        <w:trPr>
          <w:jc w:val="center"/>
        </w:trPr>
        <w:tc>
          <w:tcPr>
            <w:tcW w:w="1101" w:type="dxa"/>
            <w:vMerge/>
            <w:shd w:val="clear" w:color="auto" w:fill="auto"/>
            <w:vAlign w:val="center"/>
          </w:tcPr>
          <w:p w14:paraId="1EEA5532"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val="restart"/>
            <w:shd w:val="clear" w:color="auto" w:fill="auto"/>
            <w:vAlign w:val="center"/>
          </w:tcPr>
          <w:p w14:paraId="1ED32A3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挥发性有机液</w:t>
            </w:r>
            <w:r w:rsidRPr="00517F10">
              <w:rPr>
                <w:rFonts w:ascii="Calibri" w:hAnsi="Calibri"/>
                <w:color w:val="auto"/>
                <w:sz w:val="21"/>
                <w:szCs w:val="21"/>
              </w:rPr>
              <w:lastRenderedPageBreak/>
              <w:t>体装载</w:t>
            </w:r>
          </w:p>
        </w:tc>
        <w:tc>
          <w:tcPr>
            <w:tcW w:w="4429" w:type="dxa"/>
            <w:shd w:val="clear" w:color="auto" w:fill="auto"/>
            <w:vAlign w:val="center"/>
          </w:tcPr>
          <w:p w14:paraId="26086684" w14:textId="77777777" w:rsidR="00411FB2" w:rsidRPr="00517F10" w:rsidRDefault="00411FB2" w:rsidP="00DD561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lastRenderedPageBreak/>
              <w:t>挥发性有机液体应采用底部装载方式；若采用顶部浸没式装载，出料管口距离槽</w:t>
            </w:r>
            <w:r w:rsidR="00DD5619">
              <w:rPr>
                <w:rFonts w:ascii="Calibri" w:hAnsi="Calibri" w:hint="eastAsia"/>
                <w:color w:val="auto"/>
                <w:sz w:val="21"/>
                <w:szCs w:val="21"/>
              </w:rPr>
              <w:t>（</w:t>
            </w:r>
            <w:r w:rsidR="00DD5619" w:rsidRPr="00517F10">
              <w:rPr>
                <w:rFonts w:ascii="Calibri" w:hAnsi="Calibri"/>
                <w:color w:val="auto"/>
                <w:sz w:val="21"/>
                <w:szCs w:val="21"/>
              </w:rPr>
              <w:t>罐</w:t>
            </w:r>
            <w:r w:rsidR="00DD5619">
              <w:rPr>
                <w:rFonts w:ascii="Calibri" w:hAnsi="Calibri" w:hint="eastAsia"/>
                <w:color w:val="auto"/>
                <w:sz w:val="21"/>
                <w:szCs w:val="21"/>
              </w:rPr>
              <w:t>）</w:t>
            </w:r>
            <w:r w:rsidRPr="00517F10">
              <w:rPr>
                <w:rFonts w:ascii="Calibri" w:hAnsi="Calibri"/>
                <w:color w:val="auto"/>
                <w:sz w:val="21"/>
                <w:szCs w:val="21"/>
              </w:rPr>
              <w:t>底部高度应小于</w:t>
            </w:r>
            <w:r w:rsidRPr="00517F10">
              <w:rPr>
                <w:rFonts w:ascii="Calibri" w:hAnsi="Calibri"/>
                <w:color w:val="auto"/>
                <w:sz w:val="21"/>
                <w:szCs w:val="21"/>
              </w:rPr>
              <w:t>200mm</w:t>
            </w:r>
          </w:p>
        </w:tc>
        <w:tc>
          <w:tcPr>
            <w:tcW w:w="3260" w:type="dxa"/>
            <w:shd w:val="clear" w:color="auto" w:fill="auto"/>
            <w:vAlign w:val="center"/>
          </w:tcPr>
          <w:p w14:paraId="2B518F33"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不涉及</w:t>
            </w:r>
          </w:p>
        </w:tc>
        <w:tc>
          <w:tcPr>
            <w:tcW w:w="934" w:type="dxa"/>
            <w:shd w:val="clear" w:color="auto" w:fill="auto"/>
            <w:vAlign w:val="center"/>
          </w:tcPr>
          <w:p w14:paraId="72EF68AC"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648910BD" w14:textId="77777777" w:rsidTr="00411FB2">
        <w:trPr>
          <w:jc w:val="center"/>
        </w:trPr>
        <w:tc>
          <w:tcPr>
            <w:tcW w:w="1101" w:type="dxa"/>
            <w:vMerge/>
            <w:shd w:val="clear" w:color="auto" w:fill="auto"/>
            <w:vAlign w:val="center"/>
          </w:tcPr>
          <w:p w14:paraId="4DC0FA83"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7F574AA7"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52D7EB6B"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排放的废气连接至气相平衡系统</w:t>
            </w:r>
          </w:p>
        </w:tc>
        <w:tc>
          <w:tcPr>
            <w:tcW w:w="3260" w:type="dxa"/>
            <w:shd w:val="clear" w:color="auto" w:fill="auto"/>
            <w:vAlign w:val="center"/>
          </w:tcPr>
          <w:p w14:paraId="406F405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不涉及</w:t>
            </w:r>
          </w:p>
        </w:tc>
        <w:tc>
          <w:tcPr>
            <w:tcW w:w="934" w:type="dxa"/>
            <w:shd w:val="clear" w:color="auto" w:fill="auto"/>
            <w:vAlign w:val="center"/>
          </w:tcPr>
          <w:p w14:paraId="0704F71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027EDB32" w14:textId="77777777" w:rsidTr="00411FB2">
        <w:trPr>
          <w:jc w:val="center"/>
        </w:trPr>
        <w:tc>
          <w:tcPr>
            <w:tcW w:w="1101" w:type="dxa"/>
            <w:vMerge w:val="restart"/>
            <w:shd w:val="clear" w:color="auto" w:fill="auto"/>
            <w:vAlign w:val="center"/>
          </w:tcPr>
          <w:p w14:paraId="7954108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工艺过程</w:t>
            </w:r>
            <w:r w:rsidRPr="00517F10">
              <w:rPr>
                <w:rFonts w:ascii="Calibri" w:hAnsi="Calibri"/>
                <w:color w:val="auto"/>
                <w:sz w:val="21"/>
                <w:szCs w:val="21"/>
              </w:rPr>
              <w:t>VOCs</w:t>
            </w:r>
            <w:r w:rsidRPr="00517F10">
              <w:rPr>
                <w:rFonts w:ascii="Calibri" w:hAnsi="Calibri"/>
                <w:color w:val="auto"/>
                <w:sz w:val="21"/>
                <w:szCs w:val="21"/>
              </w:rPr>
              <w:t>无组织排放控制要求</w:t>
            </w:r>
          </w:p>
        </w:tc>
        <w:tc>
          <w:tcPr>
            <w:tcW w:w="708" w:type="dxa"/>
            <w:vMerge w:val="restart"/>
            <w:shd w:val="clear" w:color="auto" w:fill="auto"/>
            <w:vAlign w:val="center"/>
          </w:tcPr>
          <w:p w14:paraId="290A09A5"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涉</w:t>
            </w:r>
            <w:r w:rsidRPr="00517F10">
              <w:rPr>
                <w:rFonts w:ascii="Calibri" w:hAnsi="Calibri"/>
                <w:color w:val="auto"/>
                <w:sz w:val="21"/>
                <w:szCs w:val="21"/>
              </w:rPr>
              <w:t>VOCs</w:t>
            </w:r>
            <w:r w:rsidRPr="00517F10">
              <w:rPr>
                <w:rFonts w:ascii="Calibri" w:hAnsi="Calibri"/>
                <w:color w:val="auto"/>
                <w:sz w:val="21"/>
                <w:szCs w:val="21"/>
              </w:rPr>
              <w:t>物料的化工生产过程</w:t>
            </w:r>
          </w:p>
        </w:tc>
        <w:tc>
          <w:tcPr>
            <w:tcW w:w="4429" w:type="dxa"/>
            <w:shd w:val="clear" w:color="auto" w:fill="auto"/>
            <w:vAlign w:val="center"/>
          </w:tcPr>
          <w:p w14:paraId="0120BE43" w14:textId="77777777" w:rsidR="00411FB2" w:rsidRPr="00517F10" w:rsidRDefault="00DD5619" w:rsidP="00DD5619">
            <w:pPr>
              <w:pStyle w:val="00"/>
              <w:spacing w:line="240" w:lineRule="auto"/>
              <w:ind w:firstLine="0"/>
              <w:jc w:val="center"/>
              <w:rPr>
                <w:rFonts w:ascii="Calibri" w:hAnsi="Calibri"/>
                <w:color w:val="auto"/>
                <w:sz w:val="21"/>
                <w:szCs w:val="21"/>
              </w:rPr>
            </w:pPr>
            <w:r>
              <w:rPr>
                <w:rFonts w:ascii="Calibri" w:hAnsi="Calibri"/>
                <w:color w:val="auto"/>
                <w:sz w:val="21"/>
                <w:szCs w:val="21"/>
              </w:rPr>
              <w:t>a</w:t>
            </w:r>
            <w:r>
              <w:rPr>
                <w:rFonts w:ascii="Calibri" w:hAnsi="Calibri" w:hint="eastAsia"/>
                <w:color w:val="auto"/>
                <w:sz w:val="21"/>
                <w:szCs w:val="21"/>
              </w:rPr>
              <w:t>）</w:t>
            </w:r>
            <w:r w:rsidR="00411FB2" w:rsidRPr="00517F10">
              <w:rPr>
                <w:rFonts w:ascii="Calibri" w:hAnsi="Calibri"/>
                <w:color w:val="auto"/>
                <w:sz w:val="21"/>
                <w:szCs w:val="21"/>
              </w:rPr>
              <w:t>液态</w:t>
            </w:r>
            <w:r w:rsidR="00411FB2" w:rsidRPr="00517F10">
              <w:rPr>
                <w:rFonts w:ascii="Calibri" w:hAnsi="Calibri"/>
                <w:color w:val="auto"/>
                <w:sz w:val="21"/>
                <w:szCs w:val="21"/>
              </w:rPr>
              <w:t>VOCs</w:t>
            </w:r>
            <w:r w:rsidR="00411FB2" w:rsidRPr="00517F10">
              <w:rPr>
                <w:rFonts w:ascii="Calibri" w:hAnsi="Calibri"/>
                <w:color w:val="auto"/>
                <w:sz w:val="21"/>
                <w:szCs w:val="21"/>
              </w:rPr>
              <w:t>物料应采用密闭管道输送方式或采用高位槽</w:t>
            </w:r>
            <w:r>
              <w:rPr>
                <w:rFonts w:ascii="Calibri" w:hAnsi="Calibri" w:hint="eastAsia"/>
                <w:color w:val="auto"/>
                <w:sz w:val="21"/>
                <w:szCs w:val="21"/>
              </w:rPr>
              <w:t>（</w:t>
            </w:r>
            <w:r w:rsidRPr="00517F10">
              <w:rPr>
                <w:rFonts w:ascii="Calibri" w:hAnsi="Calibri"/>
                <w:color w:val="auto"/>
                <w:sz w:val="21"/>
                <w:szCs w:val="21"/>
              </w:rPr>
              <w:t>罐</w:t>
            </w:r>
            <w:r>
              <w:rPr>
                <w:rFonts w:ascii="Calibri" w:hAnsi="Calibri" w:hint="eastAsia"/>
                <w:color w:val="auto"/>
                <w:sz w:val="21"/>
                <w:szCs w:val="21"/>
              </w:rPr>
              <w:t>）</w:t>
            </w:r>
            <w:r w:rsidR="00411FB2" w:rsidRPr="00517F10">
              <w:rPr>
                <w:rFonts w:ascii="Calibri" w:hAnsi="Calibri"/>
                <w:color w:val="auto"/>
                <w:sz w:val="21"/>
                <w:szCs w:val="21"/>
              </w:rPr>
              <w:t>、桶泵等给料方式密闭投加。无法密闭投加的，应在密闭空间内操作，或进行局部气体收集，废气应排至</w:t>
            </w:r>
            <w:r w:rsidR="00411FB2" w:rsidRPr="00517F10">
              <w:rPr>
                <w:rFonts w:ascii="Calibri" w:hAnsi="Calibri"/>
                <w:color w:val="auto"/>
                <w:sz w:val="21"/>
                <w:szCs w:val="21"/>
              </w:rPr>
              <w:t>VOCs</w:t>
            </w:r>
            <w:r w:rsidR="00411FB2" w:rsidRPr="00517F10">
              <w:rPr>
                <w:rFonts w:ascii="Calibri" w:hAnsi="Calibri"/>
                <w:color w:val="auto"/>
                <w:sz w:val="21"/>
                <w:szCs w:val="21"/>
              </w:rPr>
              <w:t>废气收集处理系统。</w:t>
            </w:r>
          </w:p>
        </w:tc>
        <w:tc>
          <w:tcPr>
            <w:tcW w:w="3260" w:type="dxa"/>
            <w:shd w:val="clear" w:color="auto" w:fill="auto"/>
            <w:vAlign w:val="center"/>
          </w:tcPr>
          <w:p w14:paraId="602FB01C" w14:textId="77777777" w:rsidR="00411FB2" w:rsidRPr="00517F10" w:rsidRDefault="00D70C3B"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不涉及</w:t>
            </w:r>
          </w:p>
        </w:tc>
        <w:tc>
          <w:tcPr>
            <w:tcW w:w="934" w:type="dxa"/>
            <w:shd w:val="clear" w:color="auto" w:fill="auto"/>
            <w:vAlign w:val="center"/>
          </w:tcPr>
          <w:p w14:paraId="2083FC9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06B79DD0" w14:textId="77777777" w:rsidTr="00411FB2">
        <w:trPr>
          <w:jc w:val="center"/>
        </w:trPr>
        <w:tc>
          <w:tcPr>
            <w:tcW w:w="1101" w:type="dxa"/>
            <w:vMerge/>
            <w:shd w:val="clear" w:color="auto" w:fill="auto"/>
            <w:vAlign w:val="center"/>
          </w:tcPr>
          <w:p w14:paraId="57ABBD91"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72944A8D"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3DFD032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b</w:t>
            </w:r>
            <w:r w:rsidR="00DD5619">
              <w:rPr>
                <w:rFonts w:ascii="Calibri" w:hAnsi="Calibri" w:hint="eastAsia"/>
                <w:color w:val="auto"/>
                <w:sz w:val="21"/>
                <w:szCs w:val="21"/>
              </w:rPr>
              <w:t>）</w:t>
            </w:r>
            <w:r w:rsidRPr="00517F10">
              <w:rPr>
                <w:rFonts w:ascii="Calibri" w:hAnsi="Calibri"/>
                <w:color w:val="auto"/>
                <w:sz w:val="21"/>
                <w:szCs w:val="21"/>
              </w:rPr>
              <w:t>粉状、粒状</w:t>
            </w:r>
            <w:r w:rsidRPr="00517F10">
              <w:rPr>
                <w:rFonts w:ascii="Calibri" w:hAnsi="Calibri"/>
                <w:color w:val="auto"/>
                <w:sz w:val="21"/>
                <w:szCs w:val="21"/>
              </w:rPr>
              <w:t>VOCs</w:t>
            </w:r>
            <w:r w:rsidRPr="00517F10">
              <w:rPr>
                <w:rFonts w:ascii="Calibri" w:hAnsi="Calibri"/>
                <w:color w:val="auto"/>
                <w:sz w:val="21"/>
                <w:szCs w:val="21"/>
              </w:rPr>
              <w:t>物料应采用气力输送方式或采用密闭固体投料器等给料方式密闭投加。无法密闭投加的，应在密闭空间内操作，或进行局部气体收集，废气应排至除尘设施、</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2E6DBEDD" w14:textId="77777777" w:rsidR="00411FB2" w:rsidRPr="00517F10" w:rsidRDefault="00411FB2" w:rsidP="00B8374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本次</w:t>
            </w:r>
            <w:r w:rsidR="00D70C3B" w:rsidRPr="00517F10">
              <w:rPr>
                <w:rFonts w:ascii="Calibri" w:hAnsi="Calibri" w:hint="eastAsia"/>
                <w:color w:val="auto"/>
                <w:sz w:val="21"/>
                <w:szCs w:val="21"/>
              </w:rPr>
              <w:t>尼龙</w:t>
            </w:r>
            <w:r w:rsidR="00D70C3B" w:rsidRPr="00517F10">
              <w:rPr>
                <w:rFonts w:ascii="Calibri" w:hAnsi="Calibri" w:hint="eastAsia"/>
                <w:color w:val="auto"/>
                <w:sz w:val="21"/>
                <w:szCs w:val="21"/>
              </w:rPr>
              <w:t>1010</w:t>
            </w:r>
            <w:r w:rsidR="00D70C3B" w:rsidRPr="00517F10">
              <w:rPr>
                <w:rFonts w:ascii="Calibri" w:hAnsi="Calibri" w:hint="eastAsia"/>
                <w:color w:val="auto"/>
                <w:sz w:val="21"/>
                <w:szCs w:val="21"/>
              </w:rPr>
              <w:t>盐</w:t>
            </w:r>
            <w:r w:rsidR="00B83749">
              <w:rPr>
                <w:rFonts w:ascii="Calibri" w:hAnsi="Calibri" w:hint="eastAsia"/>
                <w:color w:val="auto"/>
                <w:sz w:val="21"/>
                <w:szCs w:val="21"/>
              </w:rPr>
              <w:t>、</w:t>
            </w:r>
            <w:r w:rsidR="00D70C3B" w:rsidRPr="00517F10">
              <w:rPr>
                <w:rFonts w:ascii="Calibri" w:hAnsi="Calibri"/>
                <w:color w:val="auto"/>
                <w:sz w:val="21"/>
                <w:szCs w:val="21"/>
              </w:rPr>
              <w:t>尼龙</w:t>
            </w:r>
            <w:r w:rsidR="00D70C3B" w:rsidRPr="00517F10">
              <w:rPr>
                <w:rFonts w:ascii="Calibri" w:hAnsi="Calibri" w:hint="eastAsia"/>
                <w:color w:val="auto"/>
                <w:sz w:val="21"/>
                <w:szCs w:val="21"/>
              </w:rPr>
              <w:t>12</w:t>
            </w:r>
            <w:r w:rsidR="00D70C3B" w:rsidRPr="00517F10">
              <w:rPr>
                <w:rFonts w:ascii="Calibri" w:hAnsi="Calibri" w:hint="eastAsia"/>
                <w:color w:val="auto"/>
                <w:sz w:val="21"/>
                <w:szCs w:val="21"/>
              </w:rPr>
              <w:t>盐</w:t>
            </w:r>
            <w:r w:rsidR="00B83749">
              <w:rPr>
                <w:rFonts w:ascii="Calibri" w:hAnsi="Calibri" w:hint="eastAsia"/>
                <w:color w:val="auto"/>
                <w:sz w:val="21"/>
                <w:szCs w:val="21"/>
              </w:rPr>
              <w:t>及</w:t>
            </w:r>
            <w:r w:rsidR="00B83749">
              <w:rPr>
                <w:rFonts w:ascii="Calibri" w:hAnsi="Calibri"/>
                <w:color w:val="auto"/>
                <w:sz w:val="21"/>
                <w:szCs w:val="21"/>
              </w:rPr>
              <w:t>次磷酸钠</w:t>
            </w:r>
            <w:r w:rsidR="00B83749">
              <w:rPr>
                <w:rFonts w:ascii="Calibri" w:hAnsi="Calibri" w:hint="eastAsia"/>
                <w:color w:val="auto"/>
                <w:sz w:val="21"/>
                <w:szCs w:val="21"/>
              </w:rPr>
              <w:t>等</w:t>
            </w:r>
            <w:r w:rsidR="00B83749">
              <w:rPr>
                <w:rFonts w:ascii="Calibri" w:hAnsi="Calibri"/>
                <w:color w:val="auto"/>
                <w:sz w:val="21"/>
                <w:szCs w:val="21"/>
              </w:rPr>
              <w:t>原辅料</w:t>
            </w:r>
            <w:r w:rsidR="00B83749">
              <w:rPr>
                <w:rFonts w:ascii="Calibri" w:hAnsi="Calibri" w:hint="eastAsia"/>
                <w:color w:val="auto"/>
                <w:sz w:val="21"/>
                <w:szCs w:val="21"/>
              </w:rPr>
              <w:t>在</w:t>
            </w:r>
            <w:r w:rsidR="00B83749">
              <w:rPr>
                <w:rFonts w:ascii="Calibri" w:hAnsi="Calibri"/>
                <w:color w:val="auto"/>
                <w:sz w:val="21"/>
                <w:szCs w:val="21"/>
              </w:rPr>
              <w:t>密闭空间内投加。</w:t>
            </w:r>
          </w:p>
        </w:tc>
        <w:tc>
          <w:tcPr>
            <w:tcW w:w="934" w:type="dxa"/>
            <w:shd w:val="clear" w:color="auto" w:fill="auto"/>
            <w:vAlign w:val="center"/>
          </w:tcPr>
          <w:p w14:paraId="433FEEC4"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0E9B40BB" w14:textId="77777777" w:rsidTr="00411FB2">
        <w:trPr>
          <w:jc w:val="center"/>
        </w:trPr>
        <w:tc>
          <w:tcPr>
            <w:tcW w:w="1101" w:type="dxa"/>
            <w:vMerge/>
            <w:shd w:val="clear" w:color="auto" w:fill="auto"/>
            <w:vAlign w:val="center"/>
          </w:tcPr>
          <w:p w14:paraId="4D2DE86A"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7539F8A8"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4C05302E" w14:textId="77777777" w:rsidR="00411FB2" w:rsidRPr="00517F10" w:rsidRDefault="00411FB2" w:rsidP="00B8374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c</w:t>
            </w:r>
            <w:r w:rsidR="00DD5619">
              <w:rPr>
                <w:rFonts w:ascii="Calibri" w:hAnsi="Calibri" w:hint="eastAsia"/>
                <w:color w:val="auto"/>
                <w:sz w:val="21"/>
                <w:szCs w:val="21"/>
              </w:rPr>
              <w:t>）</w:t>
            </w:r>
            <w:r w:rsidRPr="00517F10">
              <w:rPr>
                <w:rFonts w:ascii="Calibri" w:hAnsi="Calibri"/>
                <w:color w:val="auto"/>
                <w:sz w:val="21"/>
                <w:szCs w:val="21"/>
              </w:rPr>
              <w:t>VOCs</w:t>
            </w:r>
            <w:r w:rsidRPr="00517F10">
              <w:rPr>
                <w:rFonts w:ascii="Calibri" w:hAnsi="Calibri"/>
                <w:color w:val="auto"/>
                <w:sz w:val="21"/>
                <w:szCs w:val="21"/>
              </w:rPr>
              <w:t>物料卸</w:t>
            </w:r>
            <w:r w:rsidR="00B83749">
              <w:rPr>
                <w:rFonts w:ascii="Calibri" w:hAnsi="Calibri" w:hint="eastAsia"/>
                <w:color w:val="auto"/>
                <w:sz w:val="21"/>
                <w:szCs w:val="21"/>
              </w:rPr>
              <w:t>（</w:t>
            </w:r>
            <w:r w:rsidR="00B83749" w:rsidRPr="00517F10">
              <w:rPr>
                <w:rFonts w:ascii="Calibri" w:hAnsi="Calibri"/>
                <w:color w:val="auto"/>
                <w:sz w:val="21"/>
                <w:szCs w:val="21"/>
              </w:rPr>
              <w:t>出、放</w:t>
            </w:r>
            <w:r w:rsidR="00B83749">
              <w:rPr>
                <w:rFonts w:ascii="Calibri" w:hAnsi="Calibri" w:hint="eastAsia"/>
                <w:color w:val="auto"/>
                <w:sz w:val="21"/>
                <w:szCs w:val="21"/>
              </w:rPr>
              <w:t>）</w:t>
            </w:r>
            <w:r w:rsidRPr="00517F10">
              <w:rPr>
                <w:rFonts w:ascii="Calibri" w:hAnsi="Calibri"/>
                <w:color w:val="auto"/>
                <w:sz w:val="21"/>
                <w:szCs w:val="21"/>
              </w:rPr>
              <w:t>料过程应密闭，卸料废气应排至</w:t>
            </w:r>
            <w:r w:rsidRPr="00517F10">
              <w:rPr>
                <w:rFonts w:ascii="Calibri" w:hAnsi="Calibri"/>
                <w:color w:val="auto"/>
                <w:sz w:val="21"/>
                <w:szCs w:val="21"/>
              </w:rPr>
              <w:t>VOCs</w:t>
            </w:r>
            <w:r w:rsidRPr="00517F10">
              <w:rPr>
                <w:rFonts w:ascii="Calibri" w:hAnsi="Calibri"/>
                <w:color w:val="auto"/>
                <w:sz w:val="21"/>
                <w:szCs w:val="21"/>
              </w:rPr>
              <w:t>废气收集处理系统；无法密闭的，应采取局部气体收集措施，废气应排至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7E1624F5" w14:textId="39C9F07C" w:rsidR="00411FB2" w:rsidRPr="00517F10" w:rsidRDefault="00BA1B09" w:rsidP="008C1537">
            <w:pPr>
              <w:pStyle w:val="00"/>
              <w:spacing w:line="240" w:lineRule="auto"/>
              <w:ind w:firstLine="0"/>
              <w:jc w:val="center"/>
              <w:rPr>
                <w:rFonts w:ascii="Calibri" w:hAnsi="Calibri"/>
                <w:color w:val="auto"/>
                <w:sz w:val="21"/>
                <w:szCs w:val="21"/>
              </w:rPr>
            </w:pPr>
            <w:r>
              <w:rPr>
                <w:rFonts w:ascii="Calibri" w:hAnsi="Calibri"/>
                <w:color w:val="auto"/>
                <w:sz w:val="21"/>
                <w:szCs w:val="21"/>
              </w:rPr>
              <w:t>项目</w:t>
            </w:r>
            <w:r w:rsidR="00411FB2" w:rsidRPr="00517F10">
              <w:rPr>
                <w:rFonts w:ascii="Calibri" w:hAnsi="Calibri"/>
                <w:color w:val="auto"/>
                <w:sz w:val="21"/>
                <w:szCs w:val="21"/>
              </w:rPr>
              <w:t>盐液通过密闭管道转运，各反应</w:t>
            </w:r>
            <w:r>
              <w:rPr>
                <w:rFonts w:ascii="Calibri" w:hAnsi="Calibri" w:hint="eastAsia"/>
                <w:color w:val="auto"/>
                <w:sz w:val="21"/>
                <w:szCs w:val="21"/>
              </w:rPr>
              <w:t>釜</w:t>
            </w:r>
            <w:r w:rsidR="00411FB2" w:rsidRPr="00517F10">
              <w:rPr>
                <w:rFonts w:ascii="Calibri" w:hAnsi="Calibri"/>
                <w:color w:val="auto"/>
                <w:sz w:val="21"/>
                <w:szCs w:val="21"/>
              </w:rPr>
              <w:t>均配备废气收集装置，负压收集废气进入</w:t>
            </w:r>
            <w:r w:rsidR="0075760C" w:rsidRPr="0075760C">
              <w:rPr>
                <w:rFonts w:ascii="Calibri" w:hAnsi="Calibri" w:hint="eastAsia"/>
                <w:color w:val="auto"/>
                <w:sz w:val="21"/>
                <w:szCs w:val="21"/>
              </w:rPr>
              <w:t>水喷淋</w:t>
            </w:r>
            <w:r w:rsidR="0075760C" w:rsidRPr="0075760C">
              <w:rPr>
                <w:rFonts w:ascii="Calibri" w:hAnsi="Calibri" w:hint="eastAsia"/>
                <w:color w:val="auto"/>
                <w:sz w:val="21"/>
                <w:szCs w:val="21"/>
              </w:rPr>
              <w:t>+</w:t>
            </w:r>
            <w:r w:rsidR="0075760C" w:rsidRPr="0075760C">
              <w:rPr>
                <w:rFonts w:ascii="Calibri" w:hAnsi="Calibri" w:hint="eastAsia"/>
                <w:color w:val="auto"/>
                <w:sz w:val="21"/>
                <w:szCs w:val="21"/>
              </w:rPr>
              <w:t>活性炭吸附装置</w:t>
            </w:r>
            <w:r w:rsidR="00411FB2" w:rsidRPr="00517F10">
              <w:rPr>
                <w:rFonts w:ascii="Calibri" w:hAnsi="Calibri"/>
                <w:color w:val="auto"/>
                <w:sz w:val="21"/>
                <w:szCs w:val="21"/>
              </w:rPr>
              <w:t>处理后排放。</w:t>
            </w:r>
          </w:p>
        </w:tc>
        <w:tc>
          <w:tcPr>
            <w:tcW w:w="934" w:type="dxa"/>
            <w:shd w:val="clear" w:color="auto" w:fill="auto"/>
            <w:vAlign w:val="center"/>
          </w:tcPr>
          <w:p w14:paraId="3294B973"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7E4CED7C" w14:textId="77777777" w:rsidTr="00411FB2">
        <w:trPr>
          <w:jc w:val="center"/>
        </w:trPr>
        <w:tc>
          <w:tcPr>
            <w:tcW w:w="1101" w:type="dxa"/>
            <w:vMerge/>
            <w:shd w:val="clear" w:color="auto" w:fill="auto"/>
            <w:vAlign w:val="center"/>
          </w:tcPr>
          <w:p w14:paraId="750EF223"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val="restart"/>
            <w:shd w:val="clear" w:color="auto" w:fill="auto"/>
            <w:vAlign w:val="center"/>
          </w:tcPr>
          <w:p w14:paraId="596C2F5C"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化学反应</w:t>
            </w:r>
          </w:p>
        </w:tc>
        <w:tc>
          <w:tcPr>
            <w:tcW w:w="4429" w:type="dxa"/>
            <w:shd w:val="clear" w:color="auto" w:fill="auto"/>
            <w:vAlign w:val="center"/>
          </w:tcPr>
          <w:p w14:paraId="2661C5F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a</w:t>
            </w:r>
            <w:r w:rsidR="00DD5619">
              <w:rPr>
                <w:rFonts w:ascii="Calibri" w:hAnsi="Calibri" w:hint="eastAsia"/>
                <w:color w:val="auto"/>
                <w:sz w:val="21"/>
                <w:szCs w:val="21"/>
              </w:rPr>
              <w:t>）</w:t>
            </w:r>
            <w:r w:rsidRPr="00517F10">
              <w:rPr>
                <w:rFonts w:ascii="Calibri" w:hAnsi="Calibri"/>
                <w:color w:val="auto"/>
                <w:sz w:val="21"/>
                <w:szCs w:val="21"/>
              </w:rPr>
              <w:t>反应设备进料置换废气、挥发排气、反应尾气等应排至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0FF59EDB" w14:textId="3AD380E2" w:rsidR="00411FB2" w:rsidRPr="00517F10" w:rsidRDefault="00411FB2" w:rsidP="008C1537">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项目</w:t>
            </w:r>
            <w:r w:rsidR="00D70C3B" w:rsidRPr="00517F10">
              <w:rPr>
                <w:rFonts w:ascii="Calibri" w:hAnsi="Calibri"/>
                <w:color w:val="auto"/>
                <w:sz w:val="21"/>
                <w:szCs w:val="21"/>
              </w:rPr>
              <w:t>聚合工序</w:t>
            </w:r>
            <w:r w:rsidRPr="00517F10">
              <w:rPr>
                <w:rFonts w:ascii="Calibri" w:hAnsi="Calibri"/>
                <w:color w:val="auto"/>
                <w:sz w:val="21"/>
                <w:szCs w:val="21"/>
              </w:rPr>
              <w:t>配备冷凝器，冷凝器排出不凝气均经管道收集后，排至</w:t>
            </w:r>
            <w:r w:rsidR="00D70C3B" w:rsidRPr="00517F10">
              <w:rPr>
                <w:rFonts w:ascii="Calibri" w:hAnsi="Calibri" w:hint="eastAsia"/>
                <w:color w:val="auto"/>
                <w:sz w:val="21"/>
                <w:szCs w:val="21"/>
              </w:rPr>
              <w:t>水喷淋</w:t>
            </w:r>
            <w:r w:rsidR="00D70C3B" w:rsidRPr="00517F10">
              <w:rPr>
                <w:rFonts w:ascii="Calibri" w:hAnsi="Calibri" w:hint="eastAsia"/>
                <w:color w:val="auto"/>
                <w:sz w:val="21"/>
                <w:szCs w:val="21"/>
              </w:rPr>
              <w:t>+</w:t>
            </w:r>
            <w:r w:rsidR="00D70C3B" w:rsidRPr="00517F10">
              <w:rPr>
                <w:rFonts w:ascii="Calibri" w:hAnsi="Calibri" w:hint="eastAsia"/>
                <w:color w:val="auto"/>
                <w:sz w:val="21"/>
                <w:szCs w:val="21"/>
              </w:rPr>
              <w:t>活性炭</w:t>
            </w:r>
            <w:r w:rsidR="00D70C3B" w:rsidRPr="00517F10">
              <w:rPr>
                <w:rFonts w:ascii="Calibri" w:hAnsi="Calibri"/>
                <w:color w:val="auto"/>
                <w:sz w:val="21"/>
                <w:szCs w:val="21"/>
              </w:rPr>
              <w:t>吸附装置</w:t>
            </w:r>
          </w:p>
        </w:tc>
        <w:tc>
          <w:tcPr>
            <w:tcW w:w="934" w:type="dxa"/>
            <w:shd w:val="clear" w:color="auto" w:fill="auto"/>
            <w:vAlign w:val="center"/>
          </w:tcPr>
          <w:p w14:paraId="5CDBFB84"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531BAE98" w14:textId="77777777" w:rsidTr="00411FB2">
        <w:trPr>
          <w:jc w:val="center"/>
        </w:trPr>
        <w:tc>
          <w:tcPr>
            <w:tcW w:w="1101" w:type="dxa"/>
            <w:vMerge/>
            <w:shd w:val="clear" w:color="auto" w:fill="auto"/>
            <w:vAlign w:val="center"/>
          </w:tcPr>
          <w:p w14:paraId="683FBBE2"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7017C775"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5B4BC518"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b</w:t>
            </w:r>
            <w:r w:rsidR="00DD5619">
              <w:rPr>
                <w:rFonts w:ascii="Calibri" w:hAnsi="Calibri" w:hint="eastAsia"/>
                <w:color w:val="auto"/>
                <w:sz w:val="21"/>
                <w:szCs w:val="21"/>
              </w:rPr>
              <w:t>）</w:t>
            </w:r>
            <w:r w:rsidRPr="00517F10">
              <w:rPr>
                <w:rFonts w:ascii="Calibri" w:hAnsi="Calibri"/>
                <w:color w:val="auto"/>
                <w:sz w:val="21"/>
                <w:szCs w:val="21"/>
              </w:rPr>
              <w:t>在反应期间，反应设备的进料口、出料口、检修口、搅拌口、观察孔等开口</w:t>
            </w:r>
            <w:r w:rsidR="00DD5619">
              <w:rPr>
                <w:rFonts w:ascii="Calibri" w:hAnsi="Calibri" w:hint="eastAsia"/>
                <w:color w:val="auto"/>
                <w:sz w:val="21"/>
                <w:szCs w:val="21"/>
              </w:rPr>
              <w:t>（</w:t>
            </w:r>
            <w:r w:rsidR="00DD5619" w:rsidRPr="00517F10">
              <w:rPr>
                <w:rFonts w:ascii="Calibri" w:hAnsi="Calibri"/>
                <w:color w:val="auto"/>
                <w:sz w:val="21"/>
                <w:szCs w:val="21"/>
              </w:rPr>
              <w:t>孔</w:t>
            </w:r>
            <w:r w:rsidR="00DD5619">
              <w:rPr>
                <w:rFonts w:ascii="Calibri" w:hAnsi="Calibri" w:hint="eastAsia"/>
                <w:color w:val="auto"/>
                <w:sz w:val="21"/>
                <w:szCs w:val="21"/>
              </w:rPr>
              <w:t>）</w:t>
            </w:r>
            <w:r w:rsidRPr="00517F10">
              <w:rPr>
                <w:rFonts w:ascii="Calibri" w:hAnsi="Calibri"/>
                <w:color w:val="auto"/>
                <w:sz w:val="21"/>
                <w:szCs w:val="21"/>
              </w:rPr>
              <w:t>在不操作时应保持密闭。</w:t>
            </w:r>
          </w:p>
        </w:tc>
        <w:tc>
          <w:tcPr>
            <w:tcW w:w="3260" w:type="dxa"/>
            <w:shd w:val="clear" w:color="auto" w:fill="auto"/>
            <w:vAlign w:val="center"/>
          </w:tcPr>
          <w:p w14:paraId="04D511A6" w14:textId="77777777" w:rsidR="00411FB2" w:rsidRPr="00517F10" w:rsidRDefault="00411FB2" w:rsidP="00DD561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本次工程在反应期间，反应设备的进料口、出料口、检修口、搅拌口、观察孔等开口</w:t>
            </w:r>
            <w:r w:rsidR="00DD5619">
              <w:rPr>
                <w:rFonts w:ascii="Calibri" w:hAnsi="Calibri" w:hint="eastAsia"/>
                <w:color w:val="auto"/>
                <w:sz w:val="21"/>
                <w:szCs w:val="21"/>
              </w:rPr>
              <w:t>（</w:t>
            </w:r>
            <w:r w:rsidR="00DD5619" w:rsidRPr="00517F10">
              <w:rPr>
                <w:rFonts w:ascii="Calibri" w:hAnsi="Calibri"/>
                <w:color w:val="auto"/>
                <w:sz w:val="21"/>
                <w:szCs w:val="21"/>
              </w:rPr>
              <w:t>孔</w:t>
            </w:r>
            <w:r w:rsidR="00DD5619">
              <w:rPr>
                <w:rFonts w:ascii="Calibri" w:hAnsi="Calibri" w:hint="eastAsia"/>
                <w:color w:val="auto"/>
                <w:sz w:val="21"/>
                <w:szCs w:val="21"/>
              </w:rPr>
              <w:t>）</w:t>
            </w:r>
            <w:r w:rsidRPr="00517F10">
              <w:rPr>
                <w:rFonts w:ascii="Calibri" w:hAnsi="Calibri"/>
                <w:color w:val="auto"/>
                <w:sz w:val="21"/>
                <w:szCs w:val="21"/>
              </w:rPr>
              <w:t>在不操作时保持密闭。</w:t>
            </w:r>
          </w:p>
        </w:tc>
        <w:tc>
          <w:tcPr>
            <w:tcW w:w="934" w:type="dxa"/>
            <w:shd w:val="clear" w:color="auto" w:fill="auto"/>
            <w:vAlign w:val="center"/>
          </w:tcPr>
          <w:p w14:paraId="7D12BE4E"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6D58AE54" w14:textId="77777777" w:rsidTr="00411FB2">
        <w:trPr>
          <w:jc w:val="center"/>
        </w:trPr>
        <w:tc>
          <w:tcPr>
            <w:tcW w:w="1101" w:type="dxa"/>
            <w:vMerge/>
            <w:shd w:val="clear" w:color="auto" w:fill="auto"/>
            <w:vAlign w:val="center"/>
          </w:tcPr>
          <w:p w14:paraId="6805EB96"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val="restart"/>
            <w:shd w:val="clear" w:color="auto" w:fill="auto"/>
            <w:vAlign w:val="center"/>
          </w:tcPr>
          <w:p w14:paraId="462BC8B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分离精制</w:t>
            </w:r>
          </w:p>
        </w:tc>
        <w:tc>
          <w:tcPr>
            <w:tcW w:w="4429" w:type="dxa"/>
            <w:shd w:val="clear" w:color="auto" w:fill="auto"/>
            <w:vAlign w:val="center"/>
          </w:tcPr>
          <w:p w14:paraId="18BED0B2"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a</w:t>
            </w:r>
            <w:r w:rsidR="00DD5619">
              <w:rPr>
                <w:rFonts w:ascii="Calibri" w:hAnsi="Calibri" w:hint="eastAsia"/>
                <w:color w:val="auto"/>
                <w:sz w:val="21"/>
                <w:szCs w:val="21"/>
              </w:rPr>
              <w:t>）</w:t>
            </w:r>
            <w:r w:rsidRPr="00517F10">
              <w:rPr>
                <w:rFonts w:ascii="Calibri" w:hAnsi="Calibri"/>
                <w:color w:val="auto"/>
                <w:sz w:val="21"/>
                <w:szCs w:val="21"/>
              </w:rPr>
              <w:t>离心、过滤单元操作应采用密闭式离心机、压滤机等设备，离心、过滤废气应排至</w:t>
            </w:r>
            <w:r w:rsidRPr="00517F10">
              <w:rPr>
                <w:rFonts w:ascii="Calibri" w:hAnsi="Calibri"/>
                <w:color w:val="auto"/>
                <w:sz w:val="21"/>
                <w:szCs w:val="21"/>
              </w:rPr>
              <w:t>VOCs</w:t>
            </w:r>
            <w:r w:rsidRPr="00517F10">
              <w:rPr>
                <w:rFonts w:ascii="Calibri" w:hAnsi="Calibri"/>
                <w:color w:val="auto"/>
                <w:sz w:val="21"/>
                <w:szCs w:val="21"/>
              </w:rPr>
              <w:t>废气收集处理系统。未采用密闭设备的，应在密闭空间内操作，或进行局部气体收集，废气应至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6B58FE73"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本项目不涉及离心、过滤单元。</w:t>
            </w:r>
          </w:p>
        </w:tc>
        <w:tc>
          <w:tcPr>
            <w:tcW w:w="934" w:type="dxa"/>
            <w:shd w:val="clear" w:color="auto" w:fill="auto"/>
            <w:vAlign w:val="center"/>
          </w:tcPr>
          <w:p w14:paraId="50266E0C"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7FD26E8C" w14:textId="77777777" w:rsidTr="00411FB2">
        <w:trPr>
          <w:jc w:val="center"/>
        </w:trPr>
        <w:tc>
          <w:tcPr>
            <w:tcW w:w="1101" w:type="dxa"/>
            <w:vMerge/>
            <w:shd w:val="clear" w:color="auto" w:fill="auto"/>
            <w:vAlign w:val="center"/>
          </w:tcPr>
          <w:p w14:paraId="7E24C2E6"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6355F175"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731CF1B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b</w:t>
            </w:r>
            <w:r w:rsidR="00DD5619">
              <w:rPr>
                <w:rFonts w:ascii="Calibri" w:hAnsi="Calibri" w:hint="eastAsia"/>
                <w:color w:val="auto"/>
                <w:sz w:val="21"/>
                <w:szCs w:val="21"/>
              </w:rPr>
              <w:t>）</w:t>
            </w:r>
            <w:r w:rsidRPr="00517F10">
              <w:rPr>
                <w:rFonts w:ascii="Calibri" w:hAnsi="Calibri"/>
                <w:color w:val="auto"/>
                <w:sz w:val="21"/>
                <w:szCs w:val="21"/>
              </w:rPr>
              <w:t>干燥单元操作应采用密闭干燥设备，干燥废气应排至</w:t>
            </w:r>
            <w:r w:rsidRPr="00517F10">
              <w:rPr>
                <w:rFonts w:ascii="Calibri" w:hAnsi="Calibri"/>
                <w:color w:val="auto"/>
                <w:sz w:val="21"/>
                <w:szCs w:val="21"/>
              </w:rPr>
              <w:t>VOCs</w:t>
            </w:r>
            <w:r w:rsidRPr="00517F10">
              <w:rPr>
                <w:rFonts w:ascii="Calibri" w:hAnsi="Calibri"/>
                <w:color w:val="auto"/>
                <w:sz w:val="21"/>
                <w:szCs w:val="21"/>
              </w:rPr>
              <w:t>废气收集处理系统。未采用密闭设备的，应在密闭空间内操作，或进行局部气体收集，废气应排至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3872D081"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项目成品干燥不涉及</w:t>
            </w:r>
            <w:r w:rsidRPr="00517F10">
              <w:rPr>
                <w:rFonts w:ascii="Calibri" w:hAnsi="Calibri"/>
                <w:color w:val="auto"/>
                <w:sz w:val="21"/>
                <w:szCs w:val="21"/>
              </w:rPr>
              <w:t>VOCs</w:t>
            </w:r>
            <w:r w:rsidRPr="00517F10">
              <w:rPr>
                <w:rFonts w:ascii="Calibri" w:hAnsi="Calibri"/>
                <w:color w:val="auto"/>
                <w:sz w:val="21"/>
                <w:szCs w:val="21"/>
              </w:rPr>
              <w:t>产生及排放。</w:t>
            </w:r>
          </w:p>
        </w:tc>
        <w:tc>
          <w:tcPr>
            <w:tcW w:w="934" w:type="dxa"/>
            <w:shd w:val="clear" w:color="auto" w:fill="auto"/>
            <w:vAlign w:val="center"/>
          </w:tcPr>
          <w:p w14:paraId="27B5AD9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0C5D3314" w14:textId="77777777" w:rsidTr="00411FB2">
        <w:trPr>
          <w:jc w:val="center"/>
        </w:trPr>
        <w:tc>
          <w:tcPr>
            <w:tcW w:w="1101" w:type="dxa"/>
            <w:vMerge/>
            <w:shd w:val="clear" w:color="auto" w:fill="auto"/>
            <w:vAlign w:val="center"/>
          </w:tcPr>
          <w:p w14:paraId="46E7DD21"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481B26F6"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54B27B64"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c</w:t>
            </w:r>
            <w:r w:rsidR="00DD5619">
              <w:rPr>
                <w:rFonts w:ascii="Calibri" w:hAnsi="Calibri" w:hint="eastAsia"/>
                <w:color w:val="auto"/>
                <w:sz w:val="21"/>
                <w:szCs w:val="21"/>
              </w:rPr>
              <w:t>）</w:t>
            </w:r>
            <w:r w:rsidRPr="00517F10">
              <w:rPr>
                <w:rFonts w:ascii="Calibri" w:hAnsi="Calibri"/>
                <w:color w:val="auto"/>
                <w:sz w:val="21"/>
                <w:szCs w:val="21"/>
              </w:rPr>
              <w:t>吸收、洗涤、蒸馏</w:t>
            </w:r>
            <w:r w:rsidRPr="00517F10">
              <w:rPr>
                <w:rFonts w:ascii="Calibri" w:hAnsi="Calibri"/>
                <w:color w:val="auto"/>
                <w:sz w:val="21"/>
                <w:szCs w:val="21"/>
              </w:rPr>
              <w:t>/</w:t>
            </w:r>
            <w:r w:rsidRPr="00517F10">
              <w:rPr>
                <w:rFonts w:ascii="Calibri" w:hAnsi="Calibri"/>
                <w:color w:val="auto"/>
                <w:sz w:val="21"/>
                <w:szCs w:val="21"/>
              </w:rPr>
              <w:t>精馏、萃取、结晶等单元操作排放的废气，冷凝单元操作排放的不凝尾气，吸附单元操作脱附尾气应排至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5E3484DE" w14:textId="77777777" w:rsidR="00411FB2" w:rsidRPr="00517F10" w:rsidRDefault="00D70C3B"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不涉及</w:t>
            </w:r>
          </w:p>
        </w:tc>
        <w:tc>
          <w:tcPr>
            <w:tcW w:w="934" w:type="dxa"/>
            <w:shd w:val="clear" w:color="auto" w:fill="auto"/>
            <w:vAlign w:val="center"/>
          </w:tcPr>
          <w:p w14:paraId="1FDA14D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20404539" w14:textId="77777777" w:rsidTr="00411FB2">
        <w:trPr>
          <w:jc w:val="center"/>
        </w:trPr>
        <w:tc>
          <w:tcPr>
            <w:tcW w:w="1101" w:type="dxa"/>
            <w:vMerge/>
            <w:shd w:val="clear" w:color="auto" w:fill="auto"/>
            <w:vAlign w:val="center"/>
          </w:tcPr>
          <w:p w14:paraId="6E7D2CA0"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5325F654"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7267C642"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d</w:t>
            </w:r>
            <w:r w:rsidR="00DD5619">
              <w:rPr>
                <w:rFonts w:ascii="Calibri" w:hAnsi="Calibri" w:hint="eastAsia"/>
                <w:color w:val="auto"/>
                <w:sz w:val="21"/>
                <w:szCs w:val="21"/>
              </w:rPr>
              <w:t>）</w:t>
            </w:r>
            <w:r w:rsidRPr="00517F10">
              <w:rPr>
                <w:rFonts w:ascii="Calibri" w:hAnsi="Calibri"/>
                <w:color w:val="auto"/>
                <w:sz w:val="21"/>
                <w:szCs w:val="21"/>
              </w:rPr>
              <w:t>分离精制后的</w:t>
            </w:r>
            <w:r w:rsidRPr="00517F10">
              <w:rPr>
                <w:rFonts w:ascii="Calibri" w:hAnsi="Calibri"/>
                <w:color w:val="auto"/>
                <w:sz w:val="21"/>
                <w:szCs w:val="21"/>
              </w:rPr>
              <w:t>VOCs</w:t>
            </w:r>
            <w:r w:rsidRPr="00517F10">
              <w:rPr>
                <w:rFonts w:ascii="Calibri" w:hAnsi="Calibri"/>
                <w:color w:val="auto"/>
                <w:sz w:val="21"/>
                <w:szCs w:val="21"/>
              </w:rPr>
              <w:t>母液应密闭收集，母液储槽</w:t>
            </w:r>
            <w:r w:rsidR="00DD5619">
              <w:rPr>
                <w:rFonts w:ascii="Calibri" w:hAnsi="Calibri" w:hint="eastAsia"/>
                <w:color w:val="auto"/>
                <w:sz w:val="21"/>
                <w:szCs w:val="21"/>
              </w:rPr>
              <w:t>（</w:t>
            </w:r>
            <w:r w:rsidR="00DD5619" w:rsidRPr="00517F10">
              <w:rPr>
                <w:rFonts w:ascii="Calibri" w:hAnsi="Calibri"/>
                <w:color w:val="auto"/>
                <w:sz w:val="21"/>
                <w:szCs w:val="21"/>
              </w:rPr>
              <w:t>罐</w:t>
            </w:r>
            <w:r w:rsidR="00DD5619">
              <w:rPr>
                <w:rFonts w:ascii="Calibri" w:hAnsi="Calibri" w:hint="eastAsia"/>
                <w:color w:val="auto"/>
                <w:sz w:val="21"/>
                <w:szCs w:val="21"/>
              </w:rPr>
              <w:t>）</w:t>
            </w:r>
            <w:r w:rsidRPr="00517F10">
              <w:rPr>
                <w:rFonts w:ascii="Calibri" w:hAnsi="Calibri"/>
                <w:color w:val="auto"/>
                <w:sz w:val="21"/>
                <w:szCs w:val="21"/>
              </w:rPr>
              <w:t>产生的废气应排至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122DD8B3" w14:textId="77777777" w:rsidR="00411FB2" w:rsidRPr="00517F10" w:rsidRDefault="00D70C3B" w:rsidP="00517F10">
            <w:pPr>
              <w:pStyle w:val="00"/>
              <w:spacing w:line="240" w:lineRule="auto"/>
              <w:ind w:firstLine="0"/>
              <w:jc w:val="center"/>
              <w:rPr>
                <w:rFonts w:ascii="Calibri" w:hAnsi="Calibri"/>
                <w:color w:val="auto"/>
                <w:sz w:val="21"/>
                <w:szCs w:val="21"/>
              </w:rPr>
            </w:pPr>
            <w:r w:rsidRPr="00517F10">
              <w:rPr>
                <w:rFonts w:ascii="Calibri" w:hAnsi="Calibri" w:hint="eastAsia"/>
                <w:color w:val="auto"/>
                <w:sz w:val="21"/>
                <w:szCs w:val="21"/>
              </w:rPr>
              <w:t>不涉及</w:t>
            </w:r>
          </w:p>
        </w:tc>
        <w:tc>
          <w:tcPr>
            <w:tcW w:w="934" w:type="dxa"/>
            <w:shd w:val="clear" w:color="auto" w:fill="auto"/>
            <w:vAlign w:val="center"/>
          </w:tcPr>
          <w:p w14:paraId="03DF1549"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0C326DF8" w14:textId="77777777" w:rsidTr="00411FB2">
        <w:trPr>
          <w:jc w:val="center"/>
        </w:trPr>
        <w:tc>
          <w:tcPr>
            <w:tcW w:w="1101" w:type="dxa"/>
            <w:vMerge/>
            <w:shd w:val="clear" w:color="auto" w:fill="auto"/>
            <w:vAlign w:val="center"/>
          </w:tcPr>
          <w:p w14:paraId="5CAC5BEB"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shd w:val="clear" w:color="auto" w:fill="auto"/>
            <w:vAlign w:val="center"/>
          </w:tcPr>
          <w:p w14:paraId="5B4F39C2"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真空</w:t>
            </w:r>
          </w:p>
          <w:p w14:paraId="0967BD31"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系统</w:t>
            </w:r>
          </w:p>
        </w:tc>
        <w:tc>
          <w:tcPr>
            <w:tcW w:w="4429" w:type="dxa"/>
            <w:shd w:val="clear" w:color="auto" w:fill="auto"/>
            <w:vAlign w:val="center"/>
          </w:tcPr>
          <w:p w14:paraId="6BD1C1FC" w14:textId="77777777" w:rsidR="00411FB2" w:rsidRPr="00517F10" w:rsidRDefault="00411FB2" w:rsidP="00DD561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真空系统应采用干式真空泵，真空排气应排至</w:t>
            </w:r>
            <w:r w:rsidRPr="00517F10">
              <w:rPr>
                <w:rFonts w:ascii="Calibri" w:hAnsi="Calibri"/>
                <w:color w:val="auto"/>
                <w:sz w:val="21"/>
                <w:szCs w:val="21"/>
              </w:rPr>
              <w:t>VOCs</w:t>
            </w:r>
            <w:r w:rsidRPr="00517F10">
              <w:rPr>
                <w:rFonts w:ascii="Calibri" w:hAnsi="Calibri"/>
                <w:color w:val="auto"/>
                <w:sz w:val="21"/>
                <w:szCs w:val="21"/>
              </w:rPr>
              <w:t>废气收集处理系统。若使用液环</w:t>
            </w:r>
            <w:r w:rsidR="00DD5619">
              <w:rPr>
                <w:rFonts w:ascii="Calibri" w:hAnsi="Calibri" w:hint="eastAsia"/>
                <w:color w:val="auto"/>
                <w:sz w:val="21"/>
                <w:szCs w:val="21"/>
              </w:rPr>
              <w:t>（水环）</w:t>
            </w:r>
            <w:r w:rsidRPr="00517F10">
              <w:rPr>
                <w:rFonts w:ascii="Calibri" w:hAnsi="Calibri"/>
                <w:color w:val="auto"/>
                <w:sz w:val="21"/>
                <w:szCs w:val="21"/>
              </w:rPr>
              <w:t>真空泵、水</w:t>
            </w:r>
            <w:r w:rsidR="00DD5619">
              <w:rPr>
                <w:rFonts w:ascii="Calibri" w:hAnsi="Calibri" w:hint="eastAsia"/>
                <w:color w:val="auto"/>
                <w:sz w:val="21"/>
                <w:szCs w:val="21"/>
              </w:rPr>
              <w:t>（</w:t>
            </w:r>
            <w:r w:rsidR="00DD5619" w:rsidRPr="00517F10">
              <w:rPr>
                <w:rFonts w:ascii="Calibri" w:hAnsi="Calibri"/>
                <w:color w:val="auto"/>
                <w:sz w:val="21"/>
                <w:szCs w:val="21"/>
              </w:rPr>
              <w:t>水蒸气</w:t>
            </w:r>
            <w:r w:rsidR="00DD5619">
              <w:rPr>
                <w:rFonts w:ascii="Calibri" w:hAnsi="Calibri" w:hint="eastAsia"/>
                <w:color w:val="auto"/>
                <w:sz w:val="21"/>
                <w:szCs w:val="21"/>
              </w:rPr>
              <w:t>）</w:t>
            </w:r>
            <w:r w:rsidRPr="00517F10">
              <w:rPr>
                <w:rFonts w:ascii="Calibri" w:hAnsi="Calibri"/>
                <w:color w:val="auto"/>
                <w:sz w:val="21"/>
                <w:szCs w:val="21"/>
              </w:rPr>
              <w:t>喷射真空泵等，工作介质的循环槽</w:t>
            </w:r>
            <w:r w:rsidR="00DD5619">
              <w:rPr>
                <w:rFonts w:ascii="Calibri" w:hAnsi="Calibri" w:hint="eastAsia"/>
                <w:color w:val="auto"/>
                <w:sz w:val="21"/>
                <w:szCs w:val="21"/>
              </w:rPr>
              <w:t>（</w:t>
            </w:r>
            <w:r w:rsidR="00DD5619" w:rsidRPr="00517F10">
              <w:rPr>
                <w:rFonts w:ascii="Calibri" w:hAnsi="Calibri"/>
                <w:color w:val="auto"/>
                <w:sz w:val="21"/>
                <w:szCs w:val="21"/>
              </w:rPr>
              <w:t>罐</w:t>
            </w:r>
            <w:r w:rsidR="00DD5619">
              <w:rPr>
                <w:rFonts w:ascii="Calibri" w:hAnsi="Calibri" w:hint="eastAsia"/>
                <w:color w:val="auto"/>
                <w:sz w:val="21"/>
                <w:szCs w:val="21"/>
              </w:rPr>
              <w:t>）</w:t>
            </w:r>
            <w:r w:rsidRPr="00517F10">
              <w:rPr>
                <w:rFonts w:ascii="Calibri" w:hAnsi="Calibri"/>
                <w:color w:val="auto"/>
                <w:sz w:val="21"/>
                <w:szCs w:val="21"/>
              </w:rPr>
              <w:t>应密闭，真空排气、循环</w:t>
            </w:r>
            <w:r w:rsidR="00DD5619">
              <w:rPr>
                <w:rFonts w:ascii="Calibri" w:hAnsi="Calibri" w:hint="eastAsia"/>
                <w:color w:val="auto"/>
                <w:sz w:val="21"/>
                <w:szCs w:val="21"/>
              </w:rPr>
              <w:t>（</w:t>
            </w:r>
            <w:r w:rsidR="00DD5619" w:rsidRPr="00517F10">
              <w:rPr>
                <w:rFonts w:ascii="Calibri" w:hAnsi="Calibri"/>
                <w:color w:val="auto"/>
                <w:sz w:val="21"/>
                <w:szCs w:val="21"/>
              </w:rPr>
              <w:t>罐</w:t>
            </w:r>
            <w:r w:rsidR="00DD5619">
              <w:rPr>
                <w:rFonts w:ascii="Calibri" w:hAnsi="Calibri" w:hint="eastAsia"/>
                <w:color w:val="auto"/>
                <w:sz w:val="21"/>
                <w:szCs w:val="21"/>
              </w:rPr>
              <w:t>）</w:t>
            </w:r>
            <w:r w:rsidRPr="00517F10">
              <w:rPr>
                <w:rFonts w:ascii="Calibri" w:hAnsi="Calibri"/>
                <w:color w:val="auto"/>
                <w:sz w:val="21"/>
                <w:szCs w:val="21"/>
              </w:rPr>
              <w:t>排气应排至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690BE1CC"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项目真空系统采用水环真空泵，采用密闭的水箱，真空排气引入排气洗涤处理系统。</w:t>
            </w:r>
          </w:p>
        </w:tc>
        <w:tc>
          <w:tcPr>
            <w:tcW w:w="934" w:type="dxa"/>
            <w:shd w:val="clear" w:color="auto" w:fill="auto"/>
            <w:vAlign w:val="center"/>
          </w:tcPr>
          <w:p w14:paraId="07E235B1"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0A7BD391" w14:textId="77777777" w:rsidTr="00411FB2">
        <w:trPr>
          <w:jc w:val="center"/>
        </w:trPr>
        <w:tc>
          <w:tcPr>
            <w:tcW w:w="1101" w:type="dxa"/>
            <w:vMerge/>
            <w:shd w:val="clear" w:color="auto" w:fill="auto"/>
            <w:vAlign w:val="center"/>
          </w:tcPr>
          <w:p w14:paraId="05B16C15"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shd w:val="clear" w:color="auto" w:fill="auto"/>
            <w:vAlign w:val="center"/>
          </w:tcPr>
          <w:p w14:paraId="028C22D2"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配料加工和含</w:t>
            </w:r>
            <w:r w:rsidRPr="00517F10">
              <w:rPr>
                <w:rFonts w:ascii="Calibri" w:hAnsi="Calibri"/>
                <w:color w:val="auto"/>
                <w:sz w:val="21"/>
                <w:szCs w:val="21"/>
              </w:rPr>
              <w:t>VOCs</w:t>
            </w:r>
            <w:r w:rsidRPr="00517F10">
              <w:rPr>
                <w:rFonts w:ascii="Calibri" w:hAnsi="Calibri"/>
                <w:color w:val="auto"/>
                <w:sz w:val="21"/>
                <w:szCs w:val="21"/>
              </w:rPr>
              <w:lastRenderedPageBreak/>
              <w:t>产品的包装</w:t>
            </w:r>
          </w:p>
        </w:tc>
        <w:tc>
          <w:tcPr>
            <w:tcW w:w="4429" w:type="dxa"/>
            <w:shd w:val="clear" w:color="auto" w:fill="auto"/>
            <w:vAlign w:val="center"/>
          </w:tcPr>
          <w:p w14:paraId="552086D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lastRenderedPageBreak/>
              <w:t>VOCs</w:t>
            </w:r>
            <w:r w:rsidRPr="00517F10">
              <w:rPr>
                <w:rFonts w:ascii="Calibri" w:hAnsi="Calibri"/>
                <w:color w:val="auto"/>
                <w:sz w:val="21"/>
                <w:szCs w:val="21"/>
              </w:rPr>
              <w:t>物料混合、搅拌、研磨、造粒、切片、压块等配料加工过程，以及含</w:t>
            </w:r>
            <w:r w:rsidRPr="00517F10">
              <w:rPr>
                <w:rFonts w:ascii="Calibri" w:hAnsi="Calibri"/>
                <w:color w:val="auto"/>
                <w:sz w:val="21"/>
                <w:szCs w:val="21"/>
              </w:rPr>
              <w:t>VOCs</w:t>
            </w:r>
            <w:r w:rsidRPr="00517F10">
              <w:rPr>
                <w:rFonts w:ascii="Calibri" w:hAnsi="Calibri"/>
                <w:color w:val="auto"/>
                <w:sz w:val="21"/>
                <w:szCs w:val="21"/>
              </w:rPr>
              <w:t>产品的包装</w:t>
            </w:r>
            <w:r w:rsidRPr="00517F10">
              <w:rPr>
                <w:rFonts w:ascii="Calibri" w:hAnsi="Calibri"/>
                <w:color w:val="auto"/>
                <w:sz w:val="21"/>
                <w:szCs w:val="21"/>
              </w:rPr>
              <w:t>(</w:t>
            </w:r>
            <w:r w:rsidRPr="00517F10">
              <w:rPr>
                <w:rFonts w:ascii="Calibri" w:hAnsi="Calibri"/>
                <w:color w:val="auto"/>
                <w:sz w:val="21"/>
                <w:szCs w:val="21"/>
              </w:rPr>
              <w:t>灌装、分装</w:t>
            </w:r>
            <w:r w:rsidRPr="00517F10">
              <w:rPr>
                <w:rFonts w:ascii="Calibri" w:hAnsi="Calibri"/>
                <w:color w:val="auto"/>
                <w:sz w:val="21"/>
                <w:szCs w:val="21"/>
              </w:rPr>
              <w:t>)</w:t>
            </w:r>
            <w:r w:rsidRPr="00517F10">
              <w:rPr>
                <w:rFonts w:ascii="Calibri" w:hAnsi="Calibri"/>
                <w:color w:val="auto"/>
                <w:sz w:val="21"/>
                <w:szCs w:val="21"/>
              </w:rPr>
              <w:t>过程应采用密闭设备或在密闭空间内操作，废气应排至</w:t>
            </w:r>
            <w:r w:rsidRPr="00517F10">
              <w:rPr>
                <w:rFonts w:ascii="Calibri" w:hAnsi="Calibri"/>
                <w:color w:val="auto"/>
                <w:sz w:val="21"/>
                <w:szCs w:val="21"/>
              </w:rPr>
              <w:t>VOCs</w:t>
            </w:r>
            <w:r w:rsidRPr="00517F10">
              <w:rPr>
                <w:rFonts w:ascii="Calibri" w:hAnsi="Calibri"/>
                <w:color w:val="auto"/>
                <w:sz w:val="21"/>
                <w:szCs w:val="21"/>
              </w:rPr>
              <w:t>废气收集处理</w:t>
            </w:r>
            <w:r w:rsidRPr="00517F10">
              <w:rPr>
                <w:rFonts w:ascii="Calibri" w:hAnsi="Calibri"/>
                <w:color w:val="auto"/>
                <w:sz w:val="21"/>
                <w:szCs w:val="21"/>
              </w:rPr>
              <w:lastRenderedPageBreak/>
              <w:t>系统；无法密闭的，应采取局部气体收集措施，废气应排至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5BE0C011"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lastRenderedPageBreak/>
              <w:t>项目产品不挥发</w:t>
            </w:r>
            <w:r w:rsidRPr="00517F10">
              <w:rPr>
                <w:rFonts w:ascii="Calibri" w:hAnsi="Calibri"/>
                <w:color w:val="auto"/>
                <w:sz w:val="21"/>
                <w:szCs w:val="21"/>
              </w:rPr>
              <w:t>VOC</w:t>
            </w:r>
            <w:r w:rsidRPr="00DD5619">
              <w:rPr>
                <w:rFonts w:ascii="Calibri" w:hAnsi="Calibri"/>
                <w:color w:val="auto"/>
                <w:sz w:val="21"/>
                <w:szCs w:val="21"/>
                <w:vertAlign w:val="subscript"/>
              </w:rPr>
              <w:t>S</w:t>
            </w:r>
            <w:r w:rsidR="001D6858" w:rsidRPr="00517F10">
              <w:rPr>
                <w:rFonts w:ascii="Calibri" w:hAnsi="Calibri"/>
                <w:color w:val="auto"/>
                <w:sz w:val="21"/>
                <w:szCs w:val="21"/>
              </w:rPr>
              <w:t>废气，包装</w:t>
            </w:r>
            <w:r w:rsidR="001D6858" w:rsidRPr="00517F10">
              <w:rPr>
                <w:rFonts w:ascii="Calibri" w:hAnsi="Calibri" w:hint="eastAsia"/>
                <w:color w:val="auto"/>
                <w:sz w:val="21"/>
                <w:szCs w:val="21"/>
              </w:rPr>
              <w:t>环节</w:t>
            </w:r>
            <w:r w:rsidR="001D6858" w:rsidRPr="00517F10">
              <w:rPr>
                <w:rFonts w:ascii="Calibri" w:hAnsi="Calibri"/>
                <w:color w:val="auto"/>
                <w:sz w:val="21"/>
                <w:szCs w:val="21"/>
              </w:rPr>
              <w:t>密闭</w:t>
            </w:r>
            <w:r w:rsidR="001D6858" w:rsidRPr="00517F10">
              <w:rPr>
                <w:rFonts w:ascii="Calibri" w:hAnsi="Calibri" w:hint="eastAsia"/>
                <w:color w:val="auto"/>
                <w:sz w:val="21"/>
                <w:szCs w:val="21"/>
              </w:rPr>
              <w:t>装料。</w:t>
            </w:r>
          </w:p>
        </w:tc>
        <w:tc>
          <w:tcPr>
            <w:tcW w:w="934" w:type="dxa"/>
            <w:shd w:val="clear" w:color="auto" w:fill="auto"/>
            <w:vAlign w:val="center"/>
          </w:tcPr>
          <w:p w14:paraId="5835293C"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0A89A640" w14:textId="77777777" w:rsidTr="00411FB2">
        <w:trPr>
          <w:jc w:val="center"/>
        </w:trPr>
        <w:tc>
          <w:tcPr>
            <w:tcW w:w="1101" w:type="dxa"/>
            <w:vMerge/>
            <w:shd w:val="clear" w:color="auto" w:fill="auto"/>
            <w:vAlign w:val="center"/>
          </w:tcPr>
          <w:p w14:paraId="4B702350"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val="restart"/>
            <w:shd w:val="clear" w:color="auto" w:fill="auto"/>
            <w:vAlign w:val="center"/>
          </w:tcPr>
          <w:p w14:paraId="28079266"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其他</w:t>
            </w:r>
          </w:p>
          <w:p w14:paraId="458820D5"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要求</w:t>
            </w:r>
          </w:p>
        </w:tc>
        <w:tc>
          <w:tcPr>
            <w:tcW w:w="4429" w:type="dxa"/>
            <w:shd w:val="clear" w:color="auto" w:fill="auto"/>
            <w:vAlign w:val="center"/>
          </w:tcPr>
          <w:p w14:paraId="126053B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企业应建立台账，记录含</w:t>
            </w:r>
            <w:r w:rsidRPr="00517F10">
              <w:rPr>
                <w:rFonts w:ascii="Calibri" w:hAnsi="Calibri"/>
                <w:color w:val="auto"/>
                <w:sz w:val="21"/>
                <w:szCs w:val="21"/>
              </w:rPr>
              <w:t>VOCs</w:t>
            </w:r>
            <w:r w:rsidRPr="00517F10">
              <w:rPr>
                <w:rFonts w:ascii="Calibri" w:hAnsi="Calibri"/>
                <w:color w:val="auto"/>
                <w:sz w:val="21"/>
                <w:szCs w:val="21"/>
              </w:rPr>
              <w:t>原辅材料和含</w:t>
            </w:r>
            <w:r w:rsidRPr="00517F10">
              <w:rPr>
                <w:rFonts w:ascii="Calibri" w:hAnsi="Calibri"/>
                <w:color w:val="auto"/>
                <w:sz w:val="21"/>
                <w:szCs w:val="21"/>
              </w:rPr>
              <w:t>VOCs</w:t>
            </w:r>
            <w:r w:rsidRPr="00517F10">
              <w:rPr>
                <w:rFonts w:ascii="Calibri" w:hAnsi="Calibri"/>
                <w:color w:val="auto"/>
                <w:sz w:val="21"/>
                <w:szCs w:val="21"/>
              </w:rPr>
              <w:t>产品的名称、使用量、回收量、废弃量、去向以及</w:t>
            </w:r>
            <w:r w:rsidRPr="00517F10">
              <w:rPr>
                <w:rFonts w:ascii="Calibri" w:hAnsi="Calibri"/>
                <w:color w:val="auto"/>
                <w:sz w:val="21"/>
                <w:szCs w:val="21"/>
              </w:rPr>
              <w:t>VOCs</w:t>
            </w:r>
            <w:r w:rsidRPr="00517F10">
              <w:rPr>
                <w:rFonts w:ascii="Calibri" w:hAnsi="Calibri"/>
                <w:color w:val="auto"/>
                <w:sz w:val="21"/>
                <w:szCs w:val="21"/>
              </w:rPr>
              <w:t>含量等信息。台账保存期限不少于</w:t>
            </w:r>
            <w:r w:rsidRPr="00517F10">
              <w:rPr>
                <w:rFonts w:ascii="Calibri" w:hAnsi="Calibri"/>
                <w:color w:val="auto"/>
                <w:sz w:val="21"/>
                <w:szCs w:val="21"/>
              </w:rPr>
              <w:t>3</w:t>
            </w:r>
            <w:r w:rsidRPr="00517F10">
              <w:rPr>
                <w:rFonts w:ascii="Calibri" w:hAnsi="Calibri"/>
                <w:color w:val="auto"/>
                <w:sz w:val="21"/>
                <w:szCs w:val="21"/>
              </w:rPr>
              <w:t>年</w:t>
            </w:r>
          </w:p>
        </w:tc>
        <w:tc>
          <w:tcPr>
            <w:tcW w:w="3260" w:type="dxa"/>
            <w:shd w:val="clear" w:color="auto" w:fill="auto"/>
            <w:vAlign w:val="center"/>
          </w:tcPr>
          <w:p w14:paraId="14774548"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评价要求企业按照要求建立台账。</w:t>
            </w:r>
          </w:p>
        </w:tc>
        <w:tc>
          <w:tcPr>
            <w:tcW w:w="934" w:type="dxa"/>
            <w:vMerge w:val="restart"/>
            <w:shd w:val="clear" w:color="auto" w:fill="auto"/>
            <w:vAlign w:val="center"/>
          </w:tcPr>
          <w:p w14:paraId="3EA9936E"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5982C5DB" w14:textId="77777777" w:rsidTr="00411FB2">
        <w:trPr>
          <w:jc w:val="center"/>
        </w:trPr>
        <w:tc>
          <w:tcPr>
            <w:tcW w:w="1101" w:type="dxa"/>
            <w:vMerge/>
            <w:shd w:val="clear" w:color="auto" w:fill="auto"/>
            <w:vAlign w:val="center"/>
          </w:tcPr>
          <w:p w14:paraId="5DBB9D12"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0185A1BF"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7E9AC691"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通风生产设备、操作工位、车间厂房等应在符合安全生产、职业卫生相关规定的前提下，根据行业作业规程与标准、工业建筑及洁净厂房通风设计规范等的要求，采用合理的通风量。</w:t>
            </w:r>
          </w:p>
        </w:tc>
        <w:tc>
          <w:tcPr>
            <w:tcW w:w="3260" w:type="dxa"/>
            <w:shd w:val="clear" w:color="auto" w:fill="auto"/>
            <w:vAlign w:val="center"/>
          </w:tcPr>
          <w:p w14:paraId="12C0B2F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评价要求企业按照要求设计通风生产设备、操作工位、车间厂房等</w:t>
            </w:r>
          </w:p>
        </w:tc>
        <w:tc>
          <w:tcPr>
            <w:tcW w:w="934" w:type="dxa"/>
            <w:vMerge/>
            <w:shd w:val="clear" w:color="auto" w:fill="auto"/>
            <w:vAlign w:val="center"/>
          </w:tcPr>
          <w:p w14:paraId="059FAB7E" w14:textId="77777777" w:rsidR="00411FB2" w:rsidRPr="00517F10" w:rsidRDefault="00411FB2" w:rsidP="00517F10">
            <w:pPr>
              <w:pStyle w:val="00"/>
              <w:spacing w:line="240" w:lineRule="auto"/>
              <w:ind w:firstLine="0"/>
              <w:jc w:val="center"/>
              <w:rPr>
                <w:rFonts w:ascii="Calibri" w:hAnsi="Calibri"/>
                <w:color w:val="auto"/>
                <w:sz w:val="21"/>
                <w:szCs w:val="21"/>
              </w:rPr>
            </w:pPr>
          </w:p>
        </w:tc>
      </w:tr>
      <w:tr w:rsidR="00411FB2" w:rsidRPr="00517F10" w14:paraId="3D5706CB" w14:textId="77777777" w:rsidTr="00411FB2">
        <w:trPr>
          <w:jc w:val="center"/>
        </w:trPr>
        <w:tc>
          <w:tcPr>
            <w:tcW w:w="1101" w:type="dxa"/>
            <w:vMerge/>
            <w:shd w:val="clear" w:color="auto" w:fill="auto"/>
            <w:vAlign w:val="center"/>
          </w:tcPr>
          <w:p w14:paraId="08ED4E89"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12EA876F"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4A5A6080" w14:textId="77777777" w:rsidR="00411FB2" w:rsidRPr="00517F10" w:rsidRDefault="00411FB2" w:rsidP="00DD5619">
            <w:pPr>
              <w:pStyle w:val="00"/>
              <w:spacing w:line="240" w:lineRule="auto"/>
              <w:ind w:firstLine="0"/>
              <w:rPr>
                <w:rFonts w:ascii="Calibri" w:hAnsi="Calibri"/>
                <w:color w:val="auto"/>
                <w:sz w:val="21"/>
                <w:szCs w:val="21"/>
              </w:rPr>
            </w:pPr>
            <w:r w:rsidRPr="00517F10">
              <w:rPr>
                <w:rFonts w:ascii="Calibri" w:hAnsi="Calibri"/>
                <w:color w:val="auto"/>
                <w:sz w:val="21"/>
                <w:szCs w:val="21"/>
              </w:rPr>
              <w:t>载有</w:t>
            </w:r>
            <w:r w:rsidRPr="00517F10">
              <w:rPr>
                <w:rFonts w:ascii="Calibri" w:hAnsi="Calibri"/>
                <w:color w:val="auto"/>
                <w:sz w:val="21"/>
                <w:szCs w:val="21"/>
              </w:rPr>
              <w:t>VOCs</w:t>
            </w:r>
            <w:r w:rsidRPr="00517F10">
              <w:rPr>
                <w:rFonts w:ascii="Calibri" w:hAnsi="Calibri"/>
                <w:color w:val="auto"/>
                <w:sz w:val="21"/>
                <w:szCs w:val="21"/>
              </w:rPr>
              <w:t>物料的设备及其管道在开停工</w:t>
            </w:r>
            <w:r w:rsidR="00DD5619">
              <w:rPr>
                <w:rFonts w:ascii="Calibri" w:hAnsi="Calibri" w:hint="eastAsia"/>
                <w:color w:val="auto"/>
                <w:sz w:val="21"/>
                <w:szCs w:val="21"/>
              </w:rPr>
              <w:t>（</w:t>
            </w:r>
            <w:r w:rsidR="00DD5619" w:rsidRPr="00517F10">
              <w:rPr>
                <w:rFonts w:ascii="Calibri" w:hAnsi="Calibri"/>
                <w:color w:val="auto"/>
                <w:sz w:val="21"/>
                <w:szCs w:val="21"/>
              </w:rPr>
              <w:t>车</w:t>
            </w:r>
            <w:r w:rsidR="00DD5619">
              <w:rPr>
                <w:rFonts w:ascii="Calibri" w:hAnsi="Calibri" w:hint="eastAsia"/>
                <w:color w:val="auto"/>
                <w:sz w:val="21"/>
                <w:szCs w:val="21"/>
              </w:rPr>
              <w:t>）</w:t>
            </w:r>
            <w:r w:rsidRPr="00517F10">
              <w:rPr>
                <w:rFonts w:ascii="Calibri" w:hAnsi="Calibri"/>
                <w:color w:val="auto"/>
                <w:sz w:val="21"/>
                <w:szCs w:val="21"/>
              </w:rPr>
              <w:t>、检维修和清洗时，应在退料阶段将残存物料退净，并用密闭容器盛装，退料过程废气应排至</w:t>
            </w:r>
            <w:r w:rsidRPr="00517F10">
              <w:rPr>
                <w:rFonts w:ascii="Calibri" w:hAnsi="Calibri"/>
                <w:color w:val="auto"/>
                <w:sz w:val="21"/>
                <w:szCs w:val="21"/>
              </w:rPr>
              <w:t>VOCs</w:t>
            </w:r>
            <w:r w:rsidRPr="00517F10">
              <w:rPr>
                <w:rFonts w:ascii="Calibri" w:hAnsi="Calibri"/>
                <w:color w:val="auto"/>
                <w:sz w:val="21"/>
                <w:szCs w:val="21"/>
              </w:rPr>
              <w:t>废气收集处理系统；清洗及吹扫过程排气应排至</w:t>
            </w:r>
            <w:r w:rsidRPr="00517F10">
              <w:rPr>
                <w:rFonts w:ascii="Calibri" w:hAnsi="Calibri"/>
                <w:color w:val="auto"/>
                <w:sz w:val="21"/>
                <w:szCs w:val="21"/>
              </w:rPr>
              <w:t>VOCs</w:t>
            </w:r>
            <w:r w:rsidRPr="00517F10">
              <w:rPr>
                <w:rFonts w:ascii="Calibri" w:hAnsi="Calibri"/>
                <w:color w:val="auto"/>
                <w:sz w:val="21"/>
                <w:szCs w:val="21"/>
              </w:rPr>
              <w:t>废气收集处理系统。</w:t>
            </w:r>
          </w:p>
        </w:tc>
        <w:tc>
          <w:tcPr>
            <w:tcW w:w="3260" w:type="dxa"/>
            <w:shd w:val="clear" w:color="auto" w:fill="auto"/>
            <w:vAlign w:val="center"/>
          </w:tcPr>
          <w:p w14:paraId="0834EAAA"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评价要求企业在开停工</w:t>
            </w:r>
            <w:r w:rsidR="00DD5619">
              <w:rPr>
                <w:rFonts w:ascii="Calibri" w:hAnsi="Calibri" w:hint="eastAsia"/>
                <w:color w:val="auto"/>
                <w:sz w:val="21"/>
                <w:szCs w:val="21"/>
              </w:rPr>
              <w:t>（</w:t>
            </w:r>
            <w:r w:rsidR="00DD5619" w:rsidRPr="00517F10">
              <w:rPr>
                <w:rFonts w:ascii="Calibri" w:hAnsi="Calibri"/>
                <w:color w:val="auto"/>
                <w:sz w:val="21"/>
                <w:szCs w:val="21"/>
              </w:rPr>
              <w:t>车</w:t>
            </w:r>
            <w:r w:rsidR="00DD5619">
              <w:rPr>
                <w:rFonts w:ascii="Calibri" w:hAnsi="Calibri" w:hint="eastAsia"/>
                <w:color w:val="auto"/>
                <w:sz w:val="21"/>
                <w:szCs w:val="21"/>
              </w:rPr>
              <w:t>）</w:t>
            </w:r>
            <w:r w:rsidRPr="00517F10">
              <w:rPr>
                <w:rFonts w:ascii="Calibri" w:hAnsi="Calibri"/>
                <w:color w:val="auto"/>
                <w:sz w:val="21"/>
                <w:szCs w:val="21"/>
              </w:rPr>
              <w:t>、检维修时按照要求进行操作。</w:t>
            </w:r>
          </w:p>
        </w:tc>
        <w:tc>
          <w:tcPr>
            <w:tcW w:w="934" w:type="dxa"/>
            <w:vMerge/>
            <w:shd w:val="clear" w:color="auto" w:fill="auto"/>
            <w:vAlign w:val="center"/>
          </w:tcPr>
          <w:p w14:paraId="711B3F44" w14:textId="77777777" w:rsidR="00411FB2" w:rsidRPr="00517F10" w:rsidRDefault="00411FB2" w:rsidP="00517F10">
            <w:pPr>
              <w:pStyle w:val="00"/>
              <w:spacing w:line="240" w:lineRule="auto"/>
              <w:ind w:firstLine="0"/>
              <w:jc w:val="center"/>
              <w:rPr>
                <w:rFonts w:ascii="Calibri" w:hAnsi="Calibri"/>
                <w:color w:val="auto"/>
                <w:sz w:val="21"/>
                <w:szCs w:val="21"/>
              </w:rPr>
            </w:pPr>
          </w:p>
        </w:tc>
      </w:tr>
      <w:tr w:rsidR="00411FB2" w:rsidRPr="00517F10" w14:paraId="7DD91EDE" w14:textId="77777777" w:rsidTr="00411FB2">
        <w:trPr>
          <w:jc w:val="center"/>
        </w:trPr>
        <w:tc>
          <w:tcPr>
            <w:tcW w:w="1101" w:type="dxa"/>
            <w:vMerge/>
            <w:shd w:val="clear" w:color="auto" w:fill="auto"/>
            <w:vAlign w:val="center"/>
          </w:tcPr>
          <w:p w14:paraId="4EAC7396"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48DB132A"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177B0BA6" w14:textId="77777777" w:rsidR="00411FB2" w:rsidRPr="00517F10" w:rsidRDefault="00411FB2" w:rsidP="00DD561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工艺过程产生的含</w:t>
            </w:r>
            <w:r w:rsidRPr="00517F10">
              <w:rPr>
                <w:rFonts w:ascii="Calibri" w:hAnsi="Calibri"/>
                <w:color w:val="auto"/>
                <w:sz w:val="21"/>
                <w:szCs w:val="21"/>
              </w:rPr>
              <w:t>VOCs</w:t>
            </w:r>
            <w:r w:rsidRPr="00517F10">
              <w:rPr>
                <w:rFonts w:ascii="Calibri" w:hAnsi="Calibri"/>
                <w:color w:val="auto"/>
                <w:sz w:val="21"/>
                <w:szCs w:val="21"/>
              </w:rPr>
              <w:t>废料</w:t>
            </w:r>
            <w:r w:rsidR="00DD5619">
              <w:rPr>
                <w:rFonts w:ascii="Calibri" w:hAnsi="Calibri" w:hint="eastAsia"/>
                <w:color w:val="auto"/>
                <w:sz w:val="21"/>
                <w:szCs w:val="21"/>
              </w:rPr>
              <w:t>（</w:t>
            </w:r>
            <w:r w:rsidR="00DD5619" w:rsidRPr="00517F10">
              <w:rPr>
                <w:rFonts w:ascii="Calibri" w:hAnsi="Calibri"/>
                <w:color w:val="auto"/>
                <w:sz w:val="21"/>
                <w:szCs w:val="21"/>
              </w:rPr>
              <w:t>渣、液</w:t>
            </w:r>
            <w:r w:rsidR="00DD5619">
              <w:rPr>
                <w:rFonts w:ascii="Calibri" w:hAnsi="Calibri" w:hint="eastAsia"/>
                <w:color w:val="auto"/>
                <w:sz w:val="21"/>
                <w:szCs w:val="21"/>
              </w:rPr>
              <w:t>）</w:t>
            </w:r>
            <w:r w:rsidRPr="00517F10">
              <w:rPr>
                <w:rFonts w:ascii="Calibri" w:hAnsi="Calibri"/>
                <w:color w:val="auto"/>
                <w:sz w:val="21"/>
                <w:szCs w:val="21"/>
              </w:rPr>
              <w:t>应按照第</w:t>
            </w:r>
            <w:r w:rsidRPr="00517F10">
              <w:rPr>
                <w:rFonts w:ascii="Calibri" w:hAnsi="Calibri"/>
                <w:color w:val="auto"/>
                <w:sz w:val="21"/>
                <w:szCs w:val="21"/>
              </w:rPr>
              <w:t>5</w:t>
            </w:r>
            <w:r w:rsidRPr="00517F10">
              <w:rPr>
                <w:rFonts w:ascii="Calibri" w:hAnsi="Calibri"/>
                <w:color w:val="auto"/>
                <w:sz w:val="21"/>
                <w:szCs w:val="21"/>
              </w:rPr>
              <w:t>章、第</w:t>
            </w:r>
            <w:r w:rsidRPr="00517F10">
              <w:rPr>
                <w:rFonts w:ascii="Calibri" w:hAnsi="Calibri"/>
                <w:color w:val="auto"/>
                <w:sz w:val="21"/>
                <w:szCs w:val="21"/>
              </w:rPr>
              <w:t>6</w:t>
            </w:r>
            <w:r w:rsidRPr="00517F10">
              <w:rPr>
                <w:rFonts w:ascii="Calibri" w:hAnsi="Calibri"/>
                <w:color w:val="auto"/>
                <w:sz w:val="21"/>
                <w:szCs w:val="21"/>
              </w:rPr>
              <w:t>章的要求进行储存、转移和输送。盛装过</w:t>
            </w:r>
            <w:r w:rsidRPr="00517F10">
              <w:rPr>
                <w:rFonts w:ascii="Calibri" w:hAnsi="Calibri"/>
                <w:color w:val="auto"/>
                <w:sz w:val="21"/>
                <w:szCs w:val="21"/>
              </w:rPr>
              <w:t>VOCs</w:t>
            </w:r>
            <w:r w:rsidRPr="00517F10">
              <w:rPr>
                <w:rFonts w:ascii="Calibri" w:hAnsi="Calibri"/>
                <w:color w:val="auto"/>
                <w:sz w:val="21"/>
                <w:szCs w:val="21"/>
              </w:rPr>
              <w:t>物料的废包装容器应加盖密闭</w:t>
            </w:r>
          </w:p>
        </w:tc>
        <w:tc>
          <w:tcPr>
            <w:tcW w:w="3260" w:type="dxa"/>
            <w:shd w:val="clear" w:color="auto" w:fill="auto"/>
            <w:vAlign w:val="center"/>
          </w:tcPr>
          <w:p w14:paraId="667AAD87"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项目产生的固废采用防渗密闭包装袋或防渗专用桶储存于危废暂存间内，废包装桶加盖密闭储存于密闭危废暂存间内。</w:t>
            </w:r>
          </w:p>
        </w:tc>
        <w:tc>
          <w:tcPr>
            <w:tcW w:w="934" w:type="dxa"/>
            <w:vMerge/>
            <w:shd w:val="clear" w:color="auto" w:fill="auto"/>
            <w:vAlign w:val="center"/>
          </w:tcPr>
          <w:p w14:paraId="0B60062A" w14:textId="77777777" w:rsidR="00411FB2" w:rsidRPr="00517F10" w:rsidRDefault="00411FB2" w:rsidP="00517F10">
            <w:pPr>
              <w:pStyle w:val="00"/>
              <w:spacing w:line="240" w:lineRule="auto"/>
              <w:ind w:firstLine="0"/>
              <w:jc w:val="center"/>
              <w:rPr>
                <w:rFonts w:ascii="Calibri" w:hAnsi="Calibri"/>
                <w:color w:val="auto"/>
                <w:sz w:val="21"/>
                <w:szCs w:val="21"/>
              </w:rPr>
            </w:pPr>
          </w:p>
        </w:tc>
      </w:tr>
      <w:tr w:rsidR="00411FB2" w:rsidRPr="00517F10" w14:paraId="35A6E8B4" w14:textId="77777777" w:rsidTr="00411FB2">
        <w:trPr>
          <w:jc w:val="center"/>
        </w:trPr>
        <w:tc>
          <w:tcPr>
            <w:tcW w:w="1101" w:type="dxa"/>
            <w:shd w:val="clear" w:color="auto" w:fill="auto"/>
            <w:vAlign w:val="center"/>
          </w:tcPr>
          <w:p w14:paraId="0D8231E6"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设备与管线组件</w:t>
            </w:r>
            <w:r w:rsidRPr="00517F10">
              <w:rPr>
                <w:rFonts w:ascii="Calibri" w:hAnsi="Calibri"/>
                <w:color w:val="auto"/>
                <w:sz w:val="21"/>
                <w:szCs w:val="21"/>
              </w:rPr>
              <w:t>VOCs</w:t>
            </w:r>
            <w:r w:rsidRPr="00517F10">
              <w:rPr>
                <w:rFonts w:ascii="Calibri" w:hAnsi="Calibri"/>
                <w:color w:val="auto"/>
                <w:sz w:val="21"/>
                <w:szCs w:val="21"/>
              </w:rPr>
              <w:t>泄漏控制要求</w:t>
            </w:r>
          </w:p>
        </w:tc>
        <w:tc>
          <w:tcPr>
            <w:tcW w:w="708" w:type="dxa"/>
            <w:shd w:val="clear" w:color="auto" w:fill="auto"/>
            <w:vAlign w:val="center"/>
          </w:tcPr>
          <w:p w14:paraId="56C0F2C9"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管控</w:t>
            </w:r>
          </w:p>
          <w:p w14:paraId="432EE5A2"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范围</w:t>
            </w:r>
          </w:p>
        </w:tc>
        <w:tc>
          <w:tcPr>
            <w:tcW w:w="4429" w:type="dxa"/>
            <w:shd w:val="clear" w:color="auto" w:fill="auto"/>
            <w:vAlign w:val="center"/>
          </w:tcPr>
          <w:p w14:paraId="792C3ECE"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企业中载有气态</w:t>
            </w:r>
            <w:r w:rsidRPr="00517F10">
              <w:rPr>
                <w:rFonts w:ascii="Calibri" w:hAnsi="Calibri"/>
                <w:color w:val="auto"/>
                <w:sz w:val="21"/>
                <w:szCs w:val="21"/>
              </w:rPr>
              <w:t>VOCs</w:t>
            </w:r>
            <w:r w:rsidRPr="00517F10">
              <w:rPr>
                <w:rFonts w:ascii="Calibri" w:hAnsi="Calibri"/>
                <w:color w:val="auto"/>
                <w:sz w:val="21"/>
                <w:szCs w:val="21"/>
              </w:rPr>
              <w:t>物料、液态</w:t>
            </w:r>
            <w:r w:rsidRPr="00517F10">
              <w:rPr>
                <w:rFonts w:ascii="Calibri" w:hAnsi="Calibri"/>
                <w:color w:val="auto"/>
                <w:sz w:val="21"/>
                <w:szCs w:val="21"/>
              </w:rPr>
              <w:t>VOCs</w:t>
            </w:r>
            <w:r w:rsidRPr="00517F10">
              <w:rPr>
                <w:rFonts w:ascii="Calibri" w:hAnsi="Calibri"/>
                <w:color w:val="auto"/>
                <w:sz w:val="21"/>
                <w:szCs w:val="21"/>
              </w:rPr>
              <w:t>物料的设备与管线组件的密封点</w:t>
            </w:r>
            <w:r w:rsidRPr="00517F10">
              <w:rPr>
                <w:rFonts w:ascii="Calibri" w:hAnsi="Calibri"/>
                <w:color w:val="auto"/>
                <w:sz w:val="21"/>
                <w:szCs w:val="21"/>
              </w:rPr>
              <w:t>≥2000</w:t>
            </w:r>
            <w:r w:rsidRPr="00517F10">
              <w:rPr>
                <w:rFonts w:ascii="Calibri" w:hAnsi="Calibri"/>
                <w:color w:val="auto"/>
                <w:sz w:val="21"/>
                <w:szCs w:val="21"/>
              </w:rPr>
              <w:t>个，应开展泄漏检测与修复工作。</w:t>
            </w:r>
          </w:p>
        </w:tc>
        <w:tc>
          <w:tcPr>
            <w:tcW w:w="3260" w:type="dxa"/>
            <w:shd w:val="clear" w:color="auto" w:fill="auto"/>
            <w:vAlign w:val="center"/>
          </w:tcPr>
          <w:p w14:paraId="31726590"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项目液态</w:t>
            </w:r>
            <w:r w:rsidRPr="00517F10">
              <w:rPr>
                <w:rFonts w:ascii="Calibri" w:hAnsi="Calibri"/>
                <w:color w:val="auto"/>
                <w:sz w:val="21"/>
                <w:szCs w:val="21"/>
              </w:rPr>
              <w:t>VOCs</w:t>
            </w:r>
            <w:r w:rsidRPr="00517F10">
              <w:rPr>
                <w:rFonts w:ascii="Calibri" w:hAnsi="Calibri"/>
                <w:color w:val="auto"/>
                <w:sz w:val="21"/>
                <w:szCs w:val="21"/>
              </w:rPr>
              <w:t>物料的设备与管线组件的密封点＜</w:t>
            </w:r>
            <w:r w:rsidRPr="00517F10">
              <w:rPr>
                <w:rFonts w:ascii="Calibri" w:hAnsi="Calibri"/>
                <w:color w:val="auto"/>
                <w:sz w:val="21"/>
                <w:szCs w:val="21"/>
              </w:rPr>
              <w:t>2000</w:t>
            </w:r>
            <w:r w:rsidRPr="00517F10">
              <w:rPr>
                <w:rFonts w:ascii="Calibri" w:hAnsi="Calibri"/>
                <w:color w:val="auto"/>
                <w:sz w:val="21"/>
                <w:szCs w:val="21"/>
              </w:rPr>
              <w:t>个</w:t>
            </w:r>
          </w:p>
        </w:tc>
        <w:tc>
          <w:tcPr>
            <w:tcW w:w="934" w:type="dxa"/>
            <w:shd w:val="clear" w:color="auto" w:fill="auto"/>
            <w:vAlign w:val="center"/>
          </w:tcPr>
          <w:p w14:paraId="0CAF218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23606225" w14:textId="77777777" w:rsidTr="00411FB2">
        <w:trPr>
          <w:jc w:val="center"/>
        </w:trPr>
        <w:tc>
          <w:tcPr>
            <w:tcW w:w="1101" w:type="dxa"/>
            <w:vMerge w:val="restart"/>
            <w:shd w:val="clear" w:color="auto" w:fill="auto"/>
            <w:vAlign w:val="center"/>
          </w:tcPr>
          <w:p w14:paraId="5F3A09F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敞开液面</w:t>
            </w:r>
            <w:r w:rsidRPr="00517F10">
              <w:rPr>
                <w:rFonts w:ascii="Calibri" w:hAnsi="Calibri"/>
                <w:color w:val="auto"/>
                <w:sz w:val="21"/>
                <w:szCs w:val="21"/>
              </w:rPr>
              <w:t>VOCs</w:t>
            </w:r>
            <w:r w:rsidRPr="00517F10">
              <w:rPr>
                <w:rFonts w:ascii="Calibri" w:hAnsi="Calibri"/>
                <w:color w:val="auto"/>
                <w:sz w:val="21"/>
                <w:szCs w:val="21"/>
              </w:rPr>
              <w:t>无组织排放控制要求</w:t>
            </w:r>
          </w:p>
        </w:tc>
        <w:tc>
          <w:tcPr>
            <w:tcW w:w="708" w:type="dxa"/>
            <w:vMerge w:val="restart"/>
            <w:shd w:val="clear" w:color="auto" w:fill="auto"/>
            <w:vAlign w:val="center"/>
          </w:tcPr>
          <w:p w14:paraId="509E55DA"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废水液面控制要求</w:t>
            </w:r>
          </w:p>
        </w:tc>
        <w:tc>
          <w:tcPr>
            <w:tcW w:w="4429" w:type="dxa"/>
            <w:shd w:val="clear" w:color="auto" w:fill="auto"/>
            <w:vAlign w:val="center"/>
          </w:tcPr>
          <w:p w14:paraId="65505A58" w14:textId="77777777" w:rsidR="00411FB2" w:rsidRPr="00517F10" w:rsidRDefault="00DD5619" w:rsidP="00DD5619">
            <w:pPr>
              <w:pStyle w:val="00"/>
              <w:spacing w:line="240" w:lineRule="auto"/>
              <w:ind w:firstLine="0"/>
              <w:rPr>
                <w:rFonts w:ascii="Calibri" w:hAnsi="Calibri"/>
                <w:color w:val="auto"/>
                <w:sz w:val="21"/>
                <w:szCs w:val="21"/>
              </w:rPr>
            </w:pPr>
            <w:r w:rsidRPr="00517F10">
              <w:rPr>
                <w:rFonts w:ascii="Calibri" w:hAnsi="Calibri"/>
                <w:color w:val="auto"/>
                <w:sz w:val="21"/>
                <w:szCs w:val="21"/>
              </w:rPr>
              <w:t>a</w:t>
            </w:r>
            <w:r>
              <w:rPr>
                <w:rFonts w:ascii="Calibri" w:hAnsi="Calibri" w:hint="eastAsia"/>
                <w:color w:val="auto"/>
                <w:sz w:val="21"/>
                <w:szCs w:val="21"/>
              </w:rPr>
              <w:t>）</w:t>
            </w:r>
            <w:r w:rsidR="00411FB2" w:rsidRPr="00517F10">
              <w:rPr>
                <w:rFonts w:ascii="Calibri" w:hAnsi="Calibri"/>
                <w:color w:val="auto"/>
                <w:sz w:val="21"/>
                <w:szCs w:val="21"/>
              </w:rPr>
              <w:t>采用密闭管道输送，接入口和排出口采取与环境空气隔离的措施</w:t>
            </w:r>
          </w:p>
        </w:tc>
        <w:tc>
          <w:tcPr>
            <w:tcW w:w="3260" w:type="dxa"/>
            <w:vMerge w:val="restart"/>
            <w:shd w:val="clear" w:color="auto" w:fill="auto"/>
            <w:vAlign w:val="center"/>
          </w:tcPr>
          <w:p w14:paraId="56A6CD1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项目含</w:t>
            </w:r>
            <w:r w:rsidRPr="00517F10">
              <w:rPr>
                <w:rFonts w:ascii="Calibri" w:hAnsi="Calibri"/>
                <w:color w:val="auto"/>
                <w:sz w:val="21"/>
                <w:szCs w:val="21"/>
              </w:rPr>
              <w:t>VOCs</w:t>
            </w:r>
            <w:r w:rsidRPr="00517F10">
              <w:rPr>
                <w:rFonts w:ascii="Calibri" w:hAnsi="Calibri"/>
                <w:color w:val="auto"/>
                <w:sz w:val="21"/>
                <w:szCs w:val="21"/>
              </w:rPr>
              <w:t>废水采用密闭管道输送至预处理系统，其他废水采用加盖管渠进入污水处理站进行处理；污水处理站处理池等加盖密封，收集废气经</w:t>
            </w:r>
            <w:r w:rsidRPr="00517F10">
              <w:rPr>
                <w:rFonts w:ascii="Calibri" w:hAnsi="Calibri"/>
                <w:color w:val="auto"/>
                <w:sz w:val="21"/>
                <w:szCs w:val="21"/>
              </w:rPr>
              <w:t>1</w:t>
            </w:r>
            <w:r w:rsidRPr="00517F10">
              <w:rPr>
                <w:rFonts w:ascii="Calibri" w:hAnsi="Calibri"/>
                <w:color w:val="auto"/>
                <w:sz w:val="21"/>
                <w:szCs w:val="21"/>
              </w:rPr>
              <w:t>套</w:t>
            </w:r>
            <w:r w:rsidRPr="00517F10">
              <w:rPr>
                <w:rFonts w:ascii="Calibri" w:hAnsi="Calibri"/>
                <w:color w:val="auto"/>
                <w:sz w:val="21"/>
                <w:szCs w:val="21"/>
              </w:rPr>
              <w:t>UV</w:t>
            </w:r>
            <w:r w:rsidRPr="00517F10">
              <w:rPr>
                <w:rFonts w:ascii="Calibri" w:hAnsi="Calibri"/>
                <w:color w:val="auto"/>
                <w:sz w:val="21"/>
                <w:szCs w:val="21"/>
              </w:rPr>
              <w:t>光解</w:t>
            </w:r>
            <w:r w:rsidRPr="00517F10">
              <w:rPr>
                <w:rFonts w:ascii="Calibri" w:hAnsi="Calibri" w:hint="eastAsia"/>
                <w:color w:val="auto"/>
                <w:sz w:val="21"/>
                <w:szCs w:val="21"/>
              </w:rPr>
              <w:t>催化</w:t>
            </w:r>
            <w:r w:rsidRPr="00517F10">
              <w:rPr>
                <w:rFonts w:ascii="Calibri" w:hAnsi="Calibri" w:hint="eastAsia"/>
                <w:color w:val="auto"/>
                <w:sz w:val="21"/>
                <w:szCs w:val="21"/>
              </w:rPr>
              <w:t>+</w:t>
            </w:r>
            <w:r w:rsidRPr="00517F10">
              <w:rPr>
                <w:rFonts w:ascii="Calibri" w:hAnsi="Calibri" w:hint="eastAsia"/>
                <w:color w:val="auto"/>
                <w:sz w:val="21"/>
                <w:szCs w:val="21"/>
              </w:rPr>
              <w:t>活性炭</w:t>
            </w:r>
            <w:r w:rsidRPr="00517F10">
              <w:rPr>
                <w:rFonts w:ascii="Calibri" w:hAnsi="Calibri"/>
                <w:color w:val="auto"/>
                <w:sz w:val="21"/>
                <w:szCs w:val="21"/>
              </w:rPr>
              <w:t>吸附装置处理后，尾气通过</w:t>
            </w:r>
            <w:r w:rsidRPr="00517F10">
              <w:rPr>
                <w:rFonts w:ascii="Calibri" w:hAnsi="Calibri"/>
                <w:color w:val="auto"/>
                <w:sz w:val="21"/>
                <w:szCs w:val="21"/>
              </w:rPr>
              <w:t>15m</w:t>
            </w:r>
            <w:r w:rsidRPr="00517F10">
              <w:rPr>
                <w:rFonts w:ascii="Calibri" w:hAnsi="Calibri"/>
                <w:color w:val="auto"/>
                <w:sz w:val="21"/>
                <w:szCs w:val="21"/>
              </w:rPr>
              <w:t>排气筒排放。</w:t>
            </w:r>
          </w:p>
        </w:tc>
        <w:tc>
          <w:tcPr>
            <w:tcW w:w="934" w:type="dxa"/>
            <w:vMerge w:val="restart"/>
            <w:shd w:val="clear" w:color="auto" w:fill="auto"/>
            <w:vAlign w:val="center"/>
          </w:tcPr>
          <w:p w14:paraId="5817C7FF"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r w:rsidR="00411FB2" w:rsidRPr="00517F10" w14:paraId="7327E4E7" w14:textId="77777777" w:rsidTr="00411FB2">
        <w:trPr>
          <w:jc w:val="center"/>
        </w:trPr>
        <w:tc>
          <w:tcPr>
            <w:tcW w:w="1101" w:type="dxa"/>
            <w:vMerge/>
            <w:shd w:val="clear" w:color="auto" w:fill="auto"/>
            <w:vAlign w:val="center"/>
          </w:tcPr>
          <w:p w14:paraId="43A1FD7B"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vMerge/>
            <w:shd w:val="clear" w:color="auto" w:fill="auto"/>
            <w:vAlign w:val="center"/>
          </w:tcPr>
          <w:p w14:paraId="388641EF"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4429" w:type="dxa"/>
            <w:shd w:val="clear" w:color="auto" w:fill="auto"/>
            <w:vAlign w:val="center"/>
          </w:tcPr>
          <w:p w14:paraId="119C3708" w14:textId="77777777" w:rsidR="00411FB2" w:rsidRPr="00517F10" w:rsidRDefault="00DD5619" w:rsidP="00DD5619">
            <w:pPr>
              <w:pStyle w:val="00"/>
              <w:spacing w:line="240" w:lineRule="auto"/>
              <w:ind w:firstLine="0"/>
              <w:rPr>
                <w:rFonts w:ascii="Calibri" w:hAnsi="Calibri"/>
                <w:color w:val="auto"/>
                <w:sz w:val="21"/>
                <w:szCs w:val="21"/>
              </w:rPr>
            </w:pPr>
            <w:r w:rsidRPr="00517F10">
              <w:rPr>
                <w:rFonts w:ascii="Calibri" w:hAnsi="Calibri"/>
                <w:color w:val="auto"/>
                <w:sz w:val="21"/>
                <w:szCs w:val="21"/>
              </w:rPr>
              <w:t>b</w:t>
            </w:r>
            <w:r>
              <w:rPr>
                <w:rFonts w:ascii="Calibri" w:hAnsi="Calibri" w:hint="eastAsia"/>
                <w:color w:val="auto"/>
                <w:sz w:val="21"/>
                <w:szCs w:val="21"/>
              </w:rPr>
              <w:t>）</w:t>
            </w:r>
            <w:r w:rsidR="00411FB2" w:rsidRPr="00517F10">
              <w:rPr>
                <w:rFonts w:ascii="Calibri" w:hAnsi="Calibri"/>
                <w:color w:val="auto"/>
                <w:sz w:val="21"/>
                <w:szCs w:val="21"/>
              </w:rPr>
              <w:t>采用沟渠输送，若敵开液面上方</w:t>
            </w:r>
            <w:r w:rsidR="00411FB2" w:rsidRPr="00517F10">
              <w:rPr>
                <w:rFonts w:ascii="Calibri" w:hAnsi="Calibri"/>
                <w:color w:val="auto"/>
                <w:sz w:val="21"/>
                <w:szCs w:val="21"/>
              </w:rPr>
              <w:t>100mm</w:t>
            </w:r>
            <w:r w:rsidR="00411FB2" w:rsidRPr="00517F10">
              <w:rPr>
                <w:rFonts w:ascii="Calibri" w:hAnsi="Calibri"/>
                <w:color w:val="auto"/>
                <w:sz w:val="21"/>
                <w:szCs w:val="21"/>
              </w:rPr>
              <w:t>处</w:t>
            </w:r>
            <w:r w:rsidR="00411FB2" w:rsidRPr="00517F10">
              <w:rPr>
                <w:rFonts w:ascii="Calibri" w:hAnsi="Calibri"/>
                <w:color w:val="auto"/>
                <w:sz w:val="21"/>
                <w:szCs w:val="21"/>
              </w:rPr>
              <w:t>VOCs</w:t>
            </w:r>
            <w:r w:rsidR="00411FB2" w:rsidRPr="00517F10">
              <w:rPr>
                <w:rFonts w:ascii="Calibri" w:hAnsi="Calibri"/>
                <w:color w:val="auto"/>
                <w:sz w:val="21"/>
                <w:szCs w:val="21"/>
              </w:rPr>
              <w:t>检测浓度</w:t>
            </w:r>
            <w:r>
              <w:rPr>
                <w:rFonts w:ascii="Calibri" w:hAnsi="Calibri"/>
                <w:color w:val="auto"/>
                <w:sz w:val="21"/>
                <w:szCs w:val="21"/>
              </w:rPr>
              <w:t>≥200</w:t>
            </w:r>
            <w:r w:rsidR="00411FB2" w:rsidRPr="00517F10">
              <w:rPr>
                <w:rFonts w:ascii="Calibri" w:hAnsi="Calibri"/>
                <w:color w:val="auto"/>
                <w:sz w:val="21"/>
                <w:szCs w:val="21"/>
              </w:rPr>
              <w:t>umol/mol</w:t>
            </w:r>
            <w:r w:rsidR="00411FB2" w:rsidRPr="00517F10">
              <w:rPr>
                <w:rFonts w:ascii="Calibri" w:hAnsi="Calibri"/>
                <w:color w:val="auto"/>
                <w:sz w:val="21"/>
                <w:szCs w:val="21"/>
              </w:rPr>
              <w:t>，应加盖密闭，接入口和排出口采取与环境空气隔离的措施</w:t>
            </w:r>
          </w:p>
        </w:tc>
        <w:tc>
          <w:tcPr>
            <w:tcW w:w="3260" w:type="dxa"/>
            <w:vMerge/>
            <w:shd w:val="clear" w:color="auto" w:fill="auto"/>
            <w:vAlign w:val="center"/>
          </w:tcPr>
          <w:p w14:paraId="30F7F324"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934" w:type="dxa"/>
            <w:vMerge/>
            <w:shd w:val="clear" w:color="auto" w:fill="auto"/>
            <w:vAlign w:val="center"/>
          </w:tcPr>
          <w:p w14:paraId="33377FA0" w14:textId="77777777" w:rsidR="00411FB2" w:rsidRPr="00517F10" w:rsidRDefault="00411FB2" w:rsidP="00517F10">
            <w:pPr>
              <w:pStyle w:val="00"/>
              <w:spacing w:line="240" w:lineRule="auto"/>
              <w:ind w:firstLine="0"/>
              <w:jc w:val="center"/>
              <w:rPr>
                <w:rFonts w:ascii="Calibri" w:hAnsi="Calibri"/>
                <w:color w:val="auto"/>
                <w:sz w:val="21"/>
                <w:szCs w:val="21"/>
              </w:rPr>
            </w:pPr>
          </w:p>
        </w:tc>
      </w:tr>
      <w:tr w:rsidR="00411FB2" w:rsidRPr="00517F10" w14:paraId="2DCDC8AA" w14:textId="77777777" w:rsidTr="00411FB2">
        <w:trPr>
          <w:jc w:val="center"/>
        </w:trPr>
        <w:tc>
          <w:tcPr>
            <w:tcW w:w="1101" w:type="dxa"/>
            <w:vMerge/>
            <w:shd w:val="clear" w:color="auto" w:fill="auto"/>
            <w:vAlign w:val="center"/>
          </w:tcPr>
          <w:p w14:paraId="5C857292"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shd w:val="clear" w:color="auto" w:fill="auto"/>
            <w:vAlign w:val="center"/>
          </w:tcPr>
          <w:p w14:paraId="0689203D"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废水储存、处理设施</w:t>
            </w:r>
          </w:p>
        </w:tc>
        <w:tc>
          <w:tcPr>
            <w:tcW w:w="4429" w:type="dxa"/>
            <w:shd w:val="clear" w:color="auto" w:fill="auto"/>
            <w:vAlign w:val="center"/>
          </w:tcPr>
          <w:p w14:paraId="55A6656D" w14:textId="77777777" w:rsidR="00411FB2" w:rsidRPr="00517F10" w:rsidRDefault="00411FB2" w:rsidP="00DD561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含</w:t>
            </w:r>
            <w:r w:rsidRPr="00517F10">
              <w:rPr>
                <w:rFonts w:ascii="Calibri" w:hAnsi="Calibri"/>
                <w:color w:val="auto"/>
                <w:sz w:val="21"/>
                <w:szCs w:val="21"/>
              </w:rPr>
              <w:t>VOCs</w:t>
            </w:r>
            <w:r w:rsidRPr="00517F10">
              <w:rPr>
                <w:rFonts w:ascii="Calibri" w:hAnsi="Calibri"/>
                <w:color w:val="auto"/>
                <w:sz w:val="21"/>
                <w:szCs w:val="21"/>
              </w:rPr>
              <w:t>废水储存和处理设施敵开液面上方</w:t>
            </w:r>
            <w:r w:rsidRPr="00517F10">
              <w:rPr>
                <w:rFonts w:ascii="Calibri" w:hAnsi="Calibri"/>
                <w:color w:val="auto"/>
                <w:sz w:val="21"/>
                <w:szCs w:val="21"/>
              </w:rPr>
              <w:t>100mm</w:t>
            </w:r>
            <w:r w:rsidRPr="00517F10">
              <w:rPr>
                <w:rFonts w:ascii="Calibri" w:hAnsi="Calibri"/>
                <w:color w:val="auto"/>
                <w:sz w:val="21"/>
                <w:szCs w:val="21"/>
              </w:rPr>
              <w:t>处</w:t>
            </w:r>
            <w:r w:rsidRPr="00517F10">
              <w:rPr>
                <w:rFonts w:ascii="Calibri" w:hAnsi="Calibri"/>
                <w:color w:val="auto"/>
                <w:sz w:val="21"/>
                <w:szCs w:val="21"/>
              </w:rPr>
              <w:t>VOCs</w:t>
            </w:r>
            <w:r w:rsidRPr="00517F10">
              <w:rPr>
                <w:rFonts w:ascii="Calibri" w:hAnsi="Calibri"/>
                <w:color w:val="auto"/>
                <w:sz w:val="21"/>
                <w:szCs w:val="21"/>
              </w:rPr>
              <w:t>检测浓度</w:t>
            </w:r>
            <w:r w:rsidR="00DD5619">
              <w:rPr>
                <w:rFonts w:ascii="Calibri" w:hAnsi="Calibri"/>
                <w:color w:val="auto"/>
                <w:sz w:val="21"/>
                <w:szCs w:val="21"/>
              </w:rPr>
              <w:t>≥200umol/</w:t>
            </w:r>
            <w:r w:rsidRPr="00517F10">
              <w:rPr>
                <w:rFonts w:ascii="Calibri" w:hAnsi="Calibri"/>
                <w:color w:val="auto"/>
                <w:sz w:val="21"/>
                <w:szCs w:val="21"/>
              </w:rPr>
              <w:t>mol</w:t>
            </w:r>
            <w:r w:rsidRPr="00517F10">
              <w:rPr>
                <w:rFonts w:ascii="Calibri" w:hAnsi="Calibri"/>
                <w:color w:val="auto"/>
                <w:sz w:val="21"/>
                <w:szCs w:val="21"/>
              </w:rPr>
              <w:t>，应符合下列规定之一：</w:t>
            </w:r>
            <w:r w:rsidR="00DD5619" w:rsidRPr="00517F10">
              <w:rPr>
                <w:rFonts w:ascii="Calibri" w:hAnsi="Calibri"/>
                <w:color w:val="auto"/>
                <w:sz w:val="21"/>
                <w:szCs w:val="21"/>
              </w:rPr>
              <w:t>a</w:t>
            </w:r>
            <w:r w:rsidR="00DD5619">
              <w:rPr>
                <w:rFonts w:ascii="Calibri" w:hAnsi="Calibri" w:hint="eastAsia"/>
                <w:color w:val="auto"/>
                <w:sz w:val="21"/>
                <w:szCs w:val="21"/>
              </w:rPr>
              <w:t>）</w:t>
            </w:r>
            <w:r w:rsidRPr="00517F10">
              <w:rPr>
                <w:rFonts w:ascii="Calibri" w:hAnsi="Calibri"/>
                <w:color w:val="auto"/>
                <w:sz w:val="21"/>
                <w:szCs w:val="21"/>
              </w:rPr>
              <w:t>采用浮动顶盖；</w:t>
            </w:r>
            <w:r w:rsidR="00DD5619" w:rsidRPr="00517F10">
              <w:rPr>
                <w:rFonts w:ascii="Calibri" w:hAnsi="Calibri"/>
                <w:color w:val="auto"/>
                <w:sz w:val="21"/>
                <w:szCs w:val="21"/>
              </w:rPr>
              <w:t>b</w:t>
            </w:r>
            <w:r w:rsidR="00DD5619">
              <w:rPr>
                <w:rFonts w:ascii="Calibri" w:hAnsi="Calibri" w:hint="eastAsia"/>
                <w:color w:val="auto"/>
                <w:sz w:val="21"/>
                <w:szCs w:val="21"/>
              </w:rPr>
              <w:t>）</w:t>
            </w:r>
            <w:r w:rsidRPr="00517F10">
              <w:rPr>
                <w:rFonts w:ascii="Calibri" w:hAnsi="Calibri"/>
                <w:color w:val="auto"/>
                <w:sz w:val="21"/>
                <w:szCs w:val="21"/>
              </w:rPr>
              <w:t>采用固定顶盖，收集废气至</w:t>
            </w:r>
            <w:r w:rsidRPr="00517F10">
              <w:rPr>
                <w:rFonts w:ascii="Calibri" w:hAnsi="Calibri"/>
                <w:color w:val="auto"/>
                <w:sz w:val="21"/>
                <w:szCs w:val="21"/>
              </w:rPr>
              <w:t>VOC</w:t>
            </w:r>
            <w:r w:rsidRPr="00DD5619">
              <w:rPr>
                <w:rFonts w:ascii="Calibri" w:hAnsi="Calibri"/>
                <w:color w:val="auto"/>
                <w:sz w:val="21"/>
                <w:szCs w:val="21"/>
                <w:vertAlign w:val="subscript"/>
              </w:rPr>
              <w:t>S</w:t>
            </w:r>
            <w:r w:rsidRPr="00517F10">
              <w:rPr>
                <w:rFonts w:ascii="Calibri" w:hAnsi="Calibri"/>
                <w:color w:val="auto"/>
                <w:sz w:val="21"/>
                <w:szCs w:val="21"/>
              </w:rPr>
              <w:t>废气收集处理系统</w:t>
            </w:r>
            <w:r w:rsidR="00DD5619" w:rsidRPr="00517F10">
              <w:rPr>
                <w:rFonts w:ascii="Calibri" w:hAnsi="Calibri"/>
                <w:color w:val="auto"/>
                <w:sz w:val="21"/>
                <w:szCs w:val="21"/>
              </w:rPr>
              <w:t>c</w:t>
            </w:r>
            <w:r w:rsidR="00DD5619">
              <w:rPr>
                <w:rFonts w:ascii="Calibri" w:hAnsi="Calibri" w:hint="eastAsia"/>
                <w:color w:val="auto"/>
                <w:sz w:val="21"/>
                <w:szCs w:val="21"/>
              </w:rPr>
              <w:t>）</w:t>
            </w:r>
            <w:r w:rsidRPr="00517F10">
              <w:rPr>
                <w:rFonts w:ascii="Calibri" w:hAnsi="Calibri"/>
                <w:color w:val="auto"/>
                <w:sz w:val="21"/>
                <w:szCs w:val="21"/>
              </w:rPr>
              <w:t>其他等效措施。</w:t>
            </w:r>
          </w:p>
        </w:tc>
        <w:tc>
          <w:tcPr>
            <w:tcW w:w="3260" w:type="dxa"/>
            <w:vMerge/>
            <w:shd w:val="clear" w:color="auto" w:fill="auto"/>
            <w:vAlign w:val="center"/>
          </w:tcPr>
          <w:p w14:paraId="6B8DF94F"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934" w:type="dxa"/>
            <w:vMerge/>
            <w:shd w:val="clear" w:color="auto" w:fill="auto"/>
            <w:vAlign w:val="center"/>
          </w:tcPr>
          <w:p w14:paraId="40A24F6C" w14:textId="77777777" w:rsidR="00411FB2" w:rsidRPr="00517F10" w:rsidRDefault="00411FB2" w:rsidP="00517F10">
            <w:pPr>
              <w:pStyle w:val="00"/>
              <w:spacing w:line="240" w:lineRule="auto"/>
              <w:ind w:firstLine="0"/>
              <w:jc w:val="center"/>
              <w:rPr>
                <w:rFonts w:ascii="Calibri" w:hAnsi="Calibri"/>
                <w:color w:val="auto"/>
                <w:sz w:val="21"/>
                <w:szCs w:val="21"/>
              </w:rPr>
            </w:pPr>
          </w:p>
        </w:tc>
      </w:tr>
      <w:tr w:rsidR="00411FB2" w:rsidRPr="00517F10" w14:paraId="6D36F032" w14:textId="77777777" w:rsidTr="00411FB2">
        <w:trPr>
          <w:jc w:val="center"/>
        </w:trPr>
        <w:tc>
          <w:tcPr>
            <w:tcW w:w="1101" w:type="dxa"/>
            <w:vMerge/>
            <w:shd w:val="clear" w:color="auto" w:fill="auto"/>
            <w:vAlign w:val="center"/>
          </w:tcPr>
          <w:p w14:paraId="4A97E0D9" w14:textId="77777777" w:rsidR="00411FB2" w:rsidRPr="00517F10" w:rsidRDefault="00411FB2" w:rsidP="00517F10">
            <w:pPr>
              <w:pStyle w:val="00"/>
              <w:spacing w:line="240" w:lineRule="auto"/>
              <w:ind w:firstLine="0"/>
              <w:jc w:val="center"/>
              <w:rPr>
                <w:rFonts w:ascii="Calibri" w:hAnsi="Calibri"/>
                <w:color w:val="auto"/>
                <w:sz w:val="21"/>
                <w:szCs w:val="21"/>
              </w:rPr>
            </w:pPr>
          </w:p>
        </w:tc>
        <w:tc>
          <w:tcPr>
            <w:tcW w:w="708" w:type="dxa"/>
            <w:shd w:val="clear" w:color="auto" w:fill="auto"/>
            <w:vAlign w:val="center"/>
          </w:tcPr>
          <w:p w14:paraId="3F99BC6C"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循环冷却水系统要求</w:t>
            </w:r>
          </w:p>
        </w:tc>
        <w:tc>
          <w:tcPr>
            <w:tcW w:w="4429" w:type="dxa"/>
            <w:shd w:val="clear" w:color="auto" w:fill="auto"/>
            <w:vAlign w:val="center"/>
          </w:tcPr>
          <w:p w14:paraId="07DE620A" w14:textId="77777777" w:rsidR="00411FB2" w:rsidRPr="00517F10" w:rsidRDefault="00411FB2" w:rsidP="00DD5619">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对开式循环冷却水系统，每</w:t>
            </w:r>
            <w:r w:rsidRPr="00517F10">
              <w:rPr>
                <w:rFonts w:ascii="Calibri" w:hAnsi="Calibri"/>
                <w:color w:val="auto"/>
                <w:sz w:val="21"/>
                <w:szCs w:val="21"/>
              </w:rPr>
              <w:t>6</w:t>
            </w:r>
            <w:r w:rsidRPr="00517F10">
              <w:rPr>
                <w:rFonts w:ascii="Calibri" w:hAnsi="Calibri"/>
                <w:color w:val="auto"/>
                <w:sz w:val="21"/>
                <w:szCs w:val="21"/>
              </w:rPr>
              <w:t>个月对流经换热器进口和出口的循环冷却水中的总有机碳</w:t>
            </w:r>
            <w:r w:rsidR="00DD5619">
              <w:rPr>
                <w:rFonts w:ascii="Calibri" w:hAnsi="Calibri" w:hint="eastAsia"/>
                <w:color w:val="auto"/>
                <w:sz w:val="21"/>
                <w:szCs w:val="21"/>
              </w:rPr>
              <w:t>（</w:t>
            </w:r>
            <w:r w:rsidR="00DD5619" w:rsidRPr="00517F10">
              <w:rPr>
                <w:rFonts w:ascii="Calibri" w:hAnsi="Calibri"/>
                <w:color w:val="auto"/>
                <w:sz w:val="21"/>
                <w:szCs w:val="21"/>
              </w:rPr>
              <w:t>TOC</w:t>
            </w:r>
            <w:r w:rsidR="00DD5619">
              <w:rPr>
                <w:rFonts w:ascii="Calibri" w:hAnsi="Calibri" w:hint="eastAsia"/>
                <w:color w:val="auto"/>
                <w:sz w:val="21"/>
                <w:szCs w:val="21"/>
              </w:rPr>
              <w:t>）</w:t>
            </w:r>
            <w:r w:rsidRPr="00517F10">
              <w:rPr>
                <w:rFonts w:ascii="Calibri" w:hAnsi="Calibri"/>
                <w:color w:val="auto"/>
                <w:sz w:val="21"/>
                <w:szCs w:val="21"/>
              </w:rPr>
              <w:t>浓度进行检测，若出口浓度大于进口浓度</w:t>
            </w:r>
            <w:r w:rsidRPr="00517F10">
              <w:rPr>
                <w:rFonts w:ascii="Calibri" w:hAnsi="Calibri"/>
                <w:color w:val="auto"/>
                <w:sz w:val="21"/>
                <w:szCs w:val="21"/>
              </w:rPr>
              <w:t>1096</w:t>
            </w:r>
            <w:r w:rsidRPr="00517F10">
              <w:rPr>
                <w:rFonts w:ascii="Calibri" w:hAnsi="Calibri"/>
                <w:color w:val="auto"/>
                <w:sz w:val="21"/>
                <w:szCs w:val="21"/>
              </w:rPr>
              <w:t>，则认定发生了泄漏，应按照</w:t>
            </w:r>
            <w:r w:rsidRPr="00517F10">
              <w:rPr>
                <w:rFonts w:ascii="Calibri" w:hAnsi="Calibri"/>
                <w:color w:val="auto"/>
                <w:sz w:val="21"/>
                <w:szCs w:val="21"/>
              </w:rPr>
              <w:t>8.4</w:t>
            </w:r>
            <w:r w:rsidRPr="00517F10">
              <w:rPr>
                <w:rFonts w:ascii="Calibri" w:hAnsi="Calibri"/>
                <w:color w:val="auto"/>
                <w:sz w:val="21"/>
                <w:szCs w:val="21"/>
              </w:rPr>
              <w:t>条、</w:t>
            </w:r>
            <w:r w:rsidRPr="00517F10">
              <w:rPr>
                <w:rFonts w:ascii="Calibri" w:hAnsi="Calibri"/>
                <w:color w:val="auto"/>
                <w:sz w:val="21"/>
                <w:szCs w:val="21"/>
              </w:rPr>
              <w:t>8.5</w:t>
            </w:r>
            <w:r w:rsidRPr="00517F10">
              <w:rPr>
                <w:rFonts w:ascii="Calibri" w:hAnsi="Calibri"/>
                <w:color w:val="auto"/>
                <w:sz w:val="21"/>
                <w:szCs w:val="21"/>
              </w:rPr>
              <w:t>条规定进行泄漏源修复与记录。</w:t>
            </w:r>
          </w:p>
        </w:tc>
        <w:tc>
          <w:tcPr>
            <w:tcW w:w="3260" w:type="dxa"/>
            <w:shd w:val="clear" w:color="auto" w:fill="auto"/>
            <w:vAlign w:val="center"/>
          </w:tcPr>
          <w:p w14:paraId="7963D533"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评价要求本次工程严格按照循环冷却水系统要求进行检测</w:t>
            </w:r>
          </w:p>
        </w:tc>
        <w:tc>
          <w:tcPr>
            <w:tcW w:w="934" w:type="dxa"/>
            <w:shd w:val="clear" w:color="auto" w:fill="auto"/>
            <w:vAlign w:val="center"/>
          </w:tcPr>
          <w:p w14:paraId="05F6EEE1" w14:textId="77777777" w:rsidR="00411FB2" w:rsidRPr="00517F10" w:rsidRDefault="00411FB2" w:rsidP="00517F10">
            <w:pPr>
              <w:pStyle w:val="00"/>
              <w:spacing w:line="240" w:lineRule="auto"/>
              <w:ind w:firstLine="0"/>
              <w:jc w:val="center"/>
              <w:rPr>
                <w:rFonts w:ascii="Calibri" w:hAnsi="Calibri"/>
                <w:color w:val="auto"/>
                <w:sz w:val="21"/>
                <w:szCs w:val="21"/>
              </w:rPr>
            </w:pPr>
            <w:r w:rsidRPr="00517F10">
              <w:rPr>
                <w:rFonts w:ascii="Calibri" w:hAnsi="Calibri"/>
                <w:color w:val="auto"/>
                <w:sz w:val="21"/>
                <w:szCs w:val="21"/>
              </w:rPr>
              <w:t>符合要求</w:t>
            </w:r>
          </w:p>
        </w:tc>
      </w:tr>
    </w:tbl>
    <w:p w14:paraId="6FA9B2C9" w14:textId="77777777" w:rsidR="00D70C3B" w:rsidRPr="00D70C3B" w:rsidRDefault="00D70C3B" w:rsidP="00D70C3B">
      <w:pPr>
        <w:spacing w:line="520" w:lineRule="exact"/>
        <w:ind w:firstLineChars="200" w:firstLine="480"/>
        <w:rPr>
          <w:rFonts w:asciiTheme="minorHAnsi" w:hAnsiTheme="minorHAnsi"/>
          <w:sz w:val="24"/>
          <w:szCs w:val="28"/>
        </w:rPr>
      </w:pPr>
      <w:r w:rsidRPr="00D70C3B">
        <w:rPr>
          <w:rFonts w:asciiTheme="minorHAnsi" w:hAnsiTheme="minorHAnsi" w:hint="eastAsia"/>
          <w:sz w:val="24"/>
          <w:szCs w:val="28"/>
        </w:rPr>
        <w:t>由上表内容可知，项目挥发性有机物无组织排放控制措施符合《挥发性有机物无组织排放控制标准》（</w:t>
      </w:r>
      <w:r w:rsidRPr="00D70C3B">
        <w:rPr>
          <w:rFonts w:asciiTheme="minorHAnsi" w:hAnsiTheme="minorHAnsi" w:hint="eastAsia"/>
          <w:sz w:val="24"/>
          <w:szCs w:val="28"/>
        </w:rPr>
        <w:t>GB37822-2019</w:t>
      </w:r>
      <w:r w:rsidRPr="00D70C3B">
        <w:rPr>
          <w:rFonts w:asciiTheme="minorHAnsi" w:hAnsiTheme="minorHAnsi" w:hint="eastAsia"/>
          <w:sz w:val="24"/>
          <w:szCs w:val="28"/>
        </w:rPr>
        <w:t>）中的各项规定与要求。</w:t>
      </w:r>
    </w:p>
    <w:p w14:paraId="5C3CB657" w14:textId="77777777" w:rsidR="00D70C3B" w:rsidRPr="00D70C3B" w:rsidRDefault="00D70C3B" w:rsidP="00D70C3B">
      <w:pPr>
        <w:spacing w:line="520" w:lineRule="exact"/>
        <w:ind w:firstLineChars="200" w:firstLine="480"/>
        <w:rPr>
          <w:rFonts w:asciiTheme="minorHAnsi" w:hAnsiTheme="minorHAnsi"/>
          <w:sz w:val="24"/>
          <w:szCs w:val="28"/>
        </w:rPr>
      </w:pPr>
      <w:r w:rsidRPr="00D70C3B">
        <w:rPr>
          <w:rFonts w:asciiTheme="minorHAnsi" w:hAnsiTheme="minorHAnsi" w:hint="eastAsia"/>
          <w:sz w:val="24"/>
          <w:szCs w:val="28"/>
        </w:rPr>
        <w:t>虽然生产车间设置了废气</w:t>
      </w:r>
      <w:r w:rsidR="00BA5157">
        <w:rPr>
          <w:rFonts w:asciiTheme="minorHAnsi" w:hAnsiTheme="minorHAnsi" w:hint="eastAsia"/>
          <w:sz w:val="24"/>
          <w:szCs w:val="28"/>
        </w:rPr>
        <w:t>治理</w:t>
      </w:r>
      <w:r w:rsidRPr="00D70C3B">
        <w:rPr>
          <w:rFonts w:asciiTheme="minorHAnsi" w:hAnsiTheme="minorHAnsi" w:hint="eastAsia"/>
          <w:sz w:val="24"/>
          <w:szCs w:val="28"/>
        </w:rPr>
        <w:t>系统，但是难免会存在少量的无组织排放的情况。针对无组织排放的废气，企业应该做到以下几点。</w:t>
      </w:r>
    </w:p>
    <w:p w14:paraId="202C020C" w14:textId="77777777" w:rsidR="00D70C3B" w:rsidRPr="00D70C3B" w:rsidRDefault="00D70C3B" w:rsidP="00D70C3B">
      <w:pPr>
        <w:spacing w:line="520" w:lineRule="exact"/>
        <w:ind w:firstLineChars="200" w:firstLine="480"/>
        <w:rPr>
          <w:rFonts w:asciiTheme="minorHAnsi" w:hAnsiTheme="minorHAnsi"/>
          <w:sz w:val="24"/>
          <w:szCs w:val="28"/>
        </w:rPr>
      </w:pPr>
      <w:r w:rsidRPr="00D70C3B">
        <w:rPr>
          <w:rFonts w:asciiTheme="minorHAnsi" w:hAnsiTheme="minorHAnsi" w:hint="eastAsia"/>
          <w:sz w:val="24"/>
          <w:szCs w:val="28"/>
        </w:rPr>
        <w:t>①生产过程严格管理，规范操作，避免人为因素而引起的无组织排放。为减少各</w:t>
      </w:r>
      <w:r w:rsidRPr="00D70C3B">
        <w:rPr>
          <w:rFonts w:asciiTheme="minorHAnsi" w:hAnsiTheme="minorHAnsi" w:hint="eastAsia"/>
          <w:sz w:val="24"/>
          <w:szCs w:val="28"/>
        </w:rPr>
        <w:lastRenderedPageBreak/>
        <w:t>环节物料挥发对环境的污染，项目需加强生产管理和设备维修，及时修、更换破损的管道、机泵、阀门及污染治理设备，减少和防止生产过程中的跑、冒、滴、漏和事故性排放。</w:t>
      </w:r>
    </w:p>
    <w:p w14:paraId="5357430D" w14:textId="77777777" w:rsidR="00D70C3B" w:rsidRPr="00D70C3B" w:rsidRDefault="00D70C3B" w:rsidP="00D70C3B">
      <w:pPr>
        <w:spacing w:line="520" w:lineRule="exact"/>
        <w:ind w:firstLineChars="200" w:firstLine="480"/>
        <w:rPr>
          <w:rFonts w:asciiTheme="minorHAnsi" w:hAnsiTheme="minorHAnsi"/>
          <w:sz w:val="24"/>
          <w:szCs w:val="28"/>
        </w:rPr>
      </w:pPr>
      <w:r w:rsidRPr="00D70C3B">
        <w:rPr>
          <w:rFonts w:asciiTheme="minorHAnsi" w:hAnsiTheme="minorHAnsi" w:hint="eastAsia"/>
          <w:sz w:val="24"/>
          <w:szCs w:val="28"/>
        </w:rPr>
        <w:t>②加强厂房周边洒水、绿化工作。</w:t>
      </w:r>
    </w:p>
    <w:p w14:paraId="55B42882" w14:textId="77777777" w:rsidR="00CD06E1" w:rsidRPr="00771280" w:rsidRDefault="00771280" w:rsidP="00771280">
      <w:pPr>
        <w:pStyle w:val="00"/>
        <w:rPr>
          <w:rFonts w:asciiTheme="minorHAnsi" w:hAnsiTheme="minorHAnsi"/>
          <w:color w:val="000000" w:themeColor="text1"/>
        </w:rPr>
      </w:pPr>
      <w:r>
        <w:rPr>
          <w:rFonts w:asciiTheme="minorHAnsi" w:hAnsiTheme="minorHAnsi"/>
          <w:color w:val="000000" w:themeColor="text1"/>
        </w:rPr>
        <w:t>通过上述措施，可以有效减少无组织废气的排放，</w:t>
      </w:r>
      <w:r>
        <w:rPr>
          <w:rFonts w:asciiTheme="minorHAnsi" w:hAnsiTheme="minorHAnsi" w:hint="eastAsia"/>
          <w:color w:val="000000" w:themeColor="text1"/>
        </w:rPr>
        <w:t>经预测</w:t>
      </w:r>
      <w:r>
        <w:rPr>
          <w:rFonts w:asciiTheme="minorHAnsi" w:hAnsiTheme="minorHAnsi"/>
          <w:bCs/>
          <w:color w:val="000000" w:themeColor="text1"/>
        </w:rPr>
        <w:t>本项目无组织废气</w:t>
      </w:r>
      <w:r>
        <w:rPr>
          <w:rFonts w:asciiTheme="minorHAnsi" w:hAnsiTheme="minorHAnsi" w:hint="eastAsia"/>
          <w:bCs/>
          <w:color w:val="000000" w:themeColor="text1"/>
        </w:rPr>
        <w:t>颗粒物</w:t>
      </w:r>
      <w:r>
        <w:rPr>
          <w:rFonts w:asciiTheme="minorHAnsi" w:hAnsiTheme="minorHAnsi"/>
          <w:bCs/>
          <w:color w:val="000000" w:themeColor="text1"/>
        </w:rPr>
        <w:t>和非甲烷总烃在厂界监控点的预测浓度值均能满足相应标准要求，故本项目无组织排放对四周厂界影响较小</w:t>
      </w:r>
      <w:r>
        <w:rPr>
          <w:rFonts w:asciiTheme="minorHAnsi" w:hAnsiTheme="minorHAnsi"/>
          <w:color w:val="000000" w:themeColor="text1"/>
        </w:rPr>
        <w:t>。</w:t>
      </w:r>
    </w:p>
    <w:p w14:paraId="7B82D472" w14:textId="77777777" w:rsidR="00465D37" w:rsidRPr="00A964FF" w:rsidRDefault="001D4F32" w:rsidP="0055605A">
      <w:pPr>
        <w:pStyle w:val="00"/>
        <w:rPr>
          <w:rFonts w:ascii="Calibri"/>
          <w:b/>
          <w:color w:val="auto"/>
        </w:rPr>
      </w:pPr>
      <w:r>
        <w:rPr>
          <w:rFonts w:ascii="Calibri" w:hint="eastAsia"/>
          <w:b/>
          <w:color w:val="auto"/>
        </w:rPr>
        <w:t>7</w:t>
      </w:r>
      <w:r w:rsidR="00317A8F" w:rsidRPr="00A964FF">
        <w:rPr>
          <w:rFonts w:ascii="Calibri" w:hint="eastAsia"/>
          <w:b/>
          <w:color w:val="auto"/>
        </w:rPr>
        <w:t>、</w:t>
      </w:r>
      <w:r w:rsidR="00E72C7F" w:rsidRPr="00A964FF">
        <w:rPr>
          <w:rFonts w:ascii="Calibri" w:hint="eastAsia"/>
          <w:b/>
          <w:color w:val="auto"/>
        </w:rPr>
        <w:t>防止非正常工况发生的预防措施</w:t>
      </w:r>
    </w:p>
    <w:p w14:paraId="651D15B8" w14:textId="77777777" w:rsidR="00771280" w:rsidRDefault="00771280" w:rsidP="0019538C">
      <w:pPr>
        <w:pStyle w:val="00"/>
        <w:rPr>
          <w:rFonts w:ascii="Calibri" w:hAnsi="Calibri"/>
          <w:color w:val="auto"/>
        </w:rPr>
      </w:pPr>
      <w:r w:rsidRPr="00771280">
        <w:rPr>
          <w:rFonts w:ascii="Calibri" w:hAnsi="Calibri" w:hint="eastAsia"/>
          <w:color w:val="auto"/>
        </w:rPr>
        <w:t>非正常生产与事故状况是指机械设备故障、设备管道不正常泄漏及设备检修时的物料流失等因素所排放的废气对环境造成的影响一般都不能满足环保要求，有时会造成大气污染或人身安全事故，因此，必须十分重视非正常生产与事故状况的污染防治工作。</w:t>
      </w:r>
    </w:p>
    <w:p w14:paraId="27D71ADF" w14:textId="77777777" w:rsidR="00771280" w:rsidRPr="00771280" w:rsidRDefault="00771280" w:rsidP="00771280">
      <w:pPr>
        <w:pStyle w:val="00"/>
        <w:rPr>
          <w:rFonts w:asciiTheme="minorHAnsi" w:hAnsiTheme="minorHAnsi" w:cs="Times New Roman"/>
          <w:color w:val="auto"/>
        </w:rPr>
      </w:pPr>
      <w:r w:rsidRPr="00771280">
        <w:rPr>
          <w:rFonts w:asciiTheme="minorHAnsi" w:hAnsiTheme="minorHAnsi" w:cs="Times New Roman"/>
          <w:color w:val="auto"/>
        </w:rPr>
        <w:t>故企业应制定完善的操作规程、加强职工培训，严格按照工艺规程组织生产。安装必要的自动控制及报警装置，重要岗位或关键设备实行双回路供电。关键设备或装置实行备机制，备用装置必须处在完好状态，关键时刻一拉就响，保证在尽可能短时间内排除非正常状态。</w:t>
      </w:r>
    </w:p>
    <w:p w14:paraId="022EAD7D" w14:textId="77777777" w:rsidR="00771280" w:rsidRPr="00771280" w:rsidRDefault="00771280" w:rsidP="00771280">
      <w:pPr>
        <w:pStyle w:val="00"/>
        <w:rPr>
          <w:rFonts w:asciiTheme="minorHAnsi" w:hAnsiTheme="minorHAnsi"/>
          <w:color w:val="000000" w:themeColor="text1"/>
        </w:rPr>
      </w:pPr>
      <w:r>
        <w:rPr>
          <w:rFonts w:asciiTheme="minorHAnsi" w:hAnsiTheme="minorHAnsi"/>
          <w:color w:val="000000" w:themeColor="text1"/>
        </w:rPr>
        <w:t>本项目废气处理设施发生故障的情况下，在保障安全的条件下停止相关生产环节，避免生产废气不经处理直接排放到大气中，并立即请有关技术人员进行维修。</w:t>
      </w:r>
    </w:p>
    <w:p w14:paraId="53C24B08" w14:textId="77777777" w:rsidR="00E72C7F" w:rsidRPr="00A964FF" w:rsidRDefault="00317A8F" w:rsidP="00E72C7F">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w:t>
      </w:r>
      <w:r w:rsidR="00E72C7F" w:rsidRPr="00A964FF">
        <w:rPr>
          <w:rFonts w:ascii="Calibri" w:hAnsi="Calibri" w:hint="eastAsia"/>
          <w:color w:val="auto"/>
        </w:rPr>
        <w:t>做好废气排放的日常监测，一旦发现废气排放不正常，则应立即检查废气处理装置的工作状况，查找废气排放不正常的原因</w:t>
      </w:r>
      <w:r w:rsidR="00D202CA" w:rsidRPr="00A964FF">
        <w:rPr>
          <w:rFonts w:ascii="Calibri" w:hAnsi="Calibri" w:hint="eastAsia"/>
          <w:color w:val="auto"/>
        </w:rPr>
        <w:t>.</w:t>
      </w:r>
    </w:p>
    <w:p w14:paraId="5FC55BB5" w14:textId="77777777" w:rsidR="00E72C7F" w:rsidRPr="00A964FF" w:rsidRDefault="00317A8F" w:rsidP="00E72C7F">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w:t>
      </w:r>
      <w:r w:rsidR="00E72C7F" w:rsidRPr="00A964FF">
        <w:rPr>
          <w:rFonts w:ascii="Calibri" w:hAnsi="Calibri" w:hint="eastAsia"/>
          <w:color w:val="auto"/>
        </w:rPr>
        <w:t>如果废气处理装置发生损坏情况，则应立即通知生产部门进行停产，并将破损的装置更换，待其运行正常后再重新投入生产。</w:t>
      </w:r>
    </w:p>
    <w:p w14:paraId="315C0B84" w14:textId="77777777" w:rsidR="00E72C7F" w:rsidRPr="00A964FF" w:rsidRDefault="00317A8F" w:rsidP="00E72C7F">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3</w:t>
      </w:r>
      <w:r w:rsidRPr="00A964FF">
        <w:rPr>
          <w:rFonts w:ascii="Calibri" w:hAnsi="Calibri" w:hint="eastAsia"/>
          <w:color w:val="auto"/>
        </w:rPr>
        <w:t>）</w:t>
      </w:r>
      <w:r w:rsidR="00E72C7F" w:rsidRPr="00A964FF">
        <w:rPr>
          <w:rFonts w:ascii="Calibri" w:hAnsi="Calibri"/>
          <w:color w:val="auto"/>
        </w:rPr>
        <w:t>注重</w:t>
      </w:r>
      <w:r w:rsidR="00E72C7F" w:rsidRPr="00A964FF">
        <w:rPr>
          <w:rFonts w:ascii="Calibri" w:hAnsi="Calibri" w:hint="eastAsia"/>
          <w:color w:val="auto"/>
        </w:rPr>
        <w:t>废气处理装置的</w:t>
      </w:r>
      <w:r w:rsidR="00E72C7F" w:rsidRPr="00A964FF">
        <w:rPr>
          <w:rFonts w:ascii="Calibri" w:hAnsi="Calibri"/>
          <w:color w:val="auto"/>
        </w:rPr>
        <w:t>维护</w:t>
      </w:r>
      <w:r w:rsidR="00592442" w:rsidRPr="00A964FF">
        <w:rPr>
          <w:rFonts w:ascii="Calibri" w:hAnsi="Calibri" w:hint="eastAsia"/>
          <w:color w:val="auto"/>
        </w:rPr>
        <w:t>、活性炭的</w:t>
      </w:r>
      <w:r w:rsidR="00E72C7F" w:rsidRPr="00A964FF">
        <w:rPr>
          <w:rFonts w:ascii="Calibri" w:hAnsi="Calibri" w:hint="eastAsia"/>
          <w:color w:val="auto"/>
        </w:rPr>
        <w:t>更换频率，</w:t>
      </w:r>
      <w:r w:rsidR="00E72C7F" w:rsidRPr="00A964FF">
        <w:rPr>
          <w:rFonts w:ascii="Calibri" w:hAnsi="Calibri"/>
          <w:color w:val="auto"/>
        </w:rPr>
        <w:t>使其长期保持最佳工作状况，以确保</w:t>
      </w:r>
      <w:r w:rsidR="00E72C7F" w:rsidRPr="00A964FF">
        <w:rPr>
          <w:rFonts w:ascii="Calibri" w:hAnsi="Calibri" w:hint="eastAsia"/>
          <w:color w:val="auto"/>
        </w:rPr>
        <w:t>废气处理设施</w:t>
      </w:r>
      <w:r w:rsidR="00E72C7F" w:rsidRPr="00A964FF">
        <w:rPr>
          <w:rFonts w:ascii="Calibri" w:hAnsi="Calibri"/>
          <w:color w:val="auto"/>
        </w:rPr>
        <w:t>正常运行。</w:t>
      </w:r>
    </w:p>
    <w:p w14:paraId="33329BD9" w14:textId="77777777" w:rsidR="00E72C7F" w:rsidRPr="00A964FF" w:rsidRDefault="00317A8F" w:rsidP="00E72C7F">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4</w:t>
      </w:r>
      <w:r w:rsidRPr="00A964FF">
        <w:rPr>
          <w:rFonts w:ascii="Calibri" w:hAnsi="Calibri" w:hint="eastAsia"/>
          <w:color w:val="auto"/>
        </w:rPr>
        <w:t>）</w:t>
      </w:r>
      <w:r w:rsidR="00E72C7F" w:rsidRPr="00A964FF">
        <w:rPr>
          <w:rFonts w:ascii="Calibri" w:hAnsi="Calibri" w:hint="eastAsia"/>
          <w:color w:val="auto"/>
        </w:rPr>
        <w:t>废气处理装置风机一用一备，减少发生故障</w:t>
      </w:r>
      <w:r w:rsidR="003233C9" w:rsidRPr="00A964FF">
        <w:rPr>
          <w:rFonts w:ascii="Calibri" w:hAnsi="Calibri" w:hint="eastAsia"/>
          <w:color w:val="auto"/>
        </w:rPr>
        <w:t>使用</w:t>
      </w:r>
      <w:r w:rsidR="00E72C7F" w:rsidRPr="00A964FF">
        <w:rPr>
          <w:rFonts w:ascii="Calibri" w:hAnsi="Calibri" w:hint="eastAsia"/>
          <w:color w:val="auto"/>
        </w:rPr>
        <w:t>的概率。</w:t>
      </w:r>
    </w:p>
    <w:p w14:paraId="3791A5F4" w14:textId="77777777" w:rsidR="00771280" w:rsidRPr="00A964FF" w:rsidRDefault="00317A8F" w:rsidP="00677DB3">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5</w:t>
      </w:r>
      <w:r w:rsidRPr="00A964FF">
        <w:rPr>
          <w:rFonts w:ascii="Calibri" w:hAnsi="Calibri" w:hint="eastAsia"/>
          <w:color w:val="auto"/>
        </w:rPr>
        <w:t>）</w:t>
      </w:r>
      <w:r w:rsidR="00E72C7F" w:rsidRPr="00A964FF">
        <w:rPr>
          <w:rFonts w:ascii="Calibri" w:hAnsi="Calibri"/>
          <w:color w:val="auto"/>
        </w:rPr>
        <w:t>制定一套科学、完善和严格的故障处理制度和应急措施，责任到人，以便</w:t>
      </w:r>
      <w:r w:rsidR="00E72C7F" w:rsidRPr="00A964FF">
        <w:rPr>
          <w:rFonts w:ascii="Calibri" w:hAnsi="Calibri" w:hint="eastAsia"/>
          <w:color w:val="auto"/>
        </w:rPr>
        <w:lastRenderedPageBreak/>
        <w:t>发生事故时及时处理。</w:t>
      </w:r>
    </w:p>
    <w:p w14:paraId="69985E79" w14:textId="77777777" w:rsidR="0055605A" w:rsidRPr="00A964FF" w:rsidRDefault="001D4F32" w:rsidP="00317A8F">
      <w:pPr>
        <w:pStyle w:val="00"/>
        <w:rPr>
          <w:rFonts w:ascii="Calibri"/>
          <w:color w:val="auto"/>
        </w:rPr>
      </w:pPr>
      <w:r>
        <w:rPr>
          <w:rFonts w:ascii="Calibri" w:hAnsi="Calibri" w:hint="eastAsia"/>
          <w:b/>
          <w:bCs/>
          <w:color w:val="auto"/>
        </w:rPr>
        <w:t>8</w:t>
      </w:r>
      <w:r w:rsidR="0055605A" w:rsidRPr="00A964FF">
        <w:rPr>
          <w:rFonts w:ascii="Calibri" w:hAnsi="Calibri" w:hint="eastAsia"/>
          <w:b/>
          <w:bCs/>
          <w:color w:val="auto"/>
        </w:rPr>
        <w:t>、经济可行性分析</w:t>
      </w:r>
    </w:p>
    <w:p w14:paraId="156D4A2F" w14:textId="77777777" w:rsidR="0086047B" w:rsidRPr="00771280" w:rsidRDefault="0055605A" w:rsidP="00771280">
      <w:pPr>
        <w:spacing w:line="500" w:lineRule="exact"/>
        <w:ind w:firstLineChars="200" w:firstLine="480"/>
        <w:rPr>
          <w:rFonts w:ascii="Calibri" w:hAnsi="Calibri"/>
          <w:bCs/>
          <w:color w:val="auto"/>
          <w:sz w:val="24"/>
        </w:rPr>
      </w:pPr>
      <w:r w:rsidRPr="00A964FF">
        <w:rPr>
          <w:rFonts w:ascii="Calibri" w:hAnsi="Calibri"/>
          <w:bCs/>
          <w:color w:val="auto"/>
          <w:sz w:val="24"/>
        </w:rPr>
        <w:t>由以上分析可知，本项目废气污染物治理均采用的现阶段成熟的工艺技术，技术可行。大气污染物治理费用包括购买、建设和运行费用两部分</w:t>
      </w:r>
      <w:r w:rsidRPr="00A964FF">
        <w:rPr>
          <w:rFonts w:ascii="Calibri" w:hAnsi="Calibri" w:hint="eastAsia"/>
          <w:bCs/>
          <w:color w:val="auto"/>
          <w:sz w:val="24"/>
        </w:rPr>
        <w:t>，</w:t>
      </w:r>
      <w:r w:rsidRPr="00A964FF">
        <w:rPr>
          <w:rFonts w:ascii="Calibri" w:hAnsi="Calibri"/>
          <w:bCs/>
          <w:color w:val="auto"/>
          <w:sz w:val="24"/>
        </w:rPr>
        <w:t>其经济技术指标</w:t>
      </w:r>
      <w:r w:rsidRPr="00A964FF">
        <w:rPr>
          <w:rFonts w:ascii="Calibri" w:hAnsi="Calibri" w:hint="eastAsia"/>
          <w:bCs/>
          <w:color w:val="auto"/>
          <w:sz w:val="24"/>
        </w:rPr>
        <w:t>见表</w:t>
      </w:r>
      <w:r w:rsidRPr="00A964FF">
        <w:rPr>
          <w:rFonts w:ascii="Calibri" w:hAnsi="Calibri" w:hint="eastAsia"/>
          <w:bCs/>
          <w:color w:val="auto"/>
          <w:sz w:val="24"/>
        </w:rPr>
        <w:t>5</w:t>
      </w:r>
      <w:r w:rsidR="00ED3143" w:rsidRPr="00A964FF">
        <w:rPr>
          <w:rFonts w:ascii="Calibri" w:hAnsi="Calibri" w:hint="eastAsia"/>
          <w:bCs/>
          <w:color w:val="auto"/>
          <w:sz w:val="24"/>
        </w:rPr>
        <w:t>.2</w:t>
      </w:r>
      <w:r w:rsidRPr="00A964FF">
        <w:rPr>
          <w:rFonts w:ascii="Calibri" w:hAnsi="Calibri" w:hint="eastAsia"/>
          <w:bCs/>
          <w:color w:val="auto"/>
          <w:sz w:val="24"/>
        </w:rPr>
        <w:t>-</w:t>
      </w:r>
      <w:r w:rsidR="00771280">
        <w:rPr>
          <w:rFonts w:ascii="Calibri" w:hAnsi="Calibri" w:hint="eastAsia"/>
          <w:bCs/>
          <w:color w:val="auto"/>
          <w:sz w:val="24"/>
        </w:rPr>
        <w:t>3</w:t>
      </w:r>
      <w:r w:rsidRPr="00A964FF">
        <w:rPr>
          <w:rFonts w:ascii="Calibri" w:hAnsi="Calibri" w:hint="eastAsia"/>
          <w:bCs/>
          <w:color w:val="auto"/>
          <w:sz w:val="24"/>
        </w:rPr>
        <w:t>。</w:t>
      </w:r>
    </w:p>
    <w:p w14:paraId="1CC3BB14" w14:textId="77777777" w:rsidR="0055605A" w:rsidRPr="00A964FF" w:rsidRDefault="0055605A" w:rsidP="0055605A">
      <w:pPr>
        <w:pStyle w:val="00"/>
        <w:ind w:firstLineChars="200"/>
        <w:rPr>
          <w:rFonts w:ascii="Calibri" w:eastAsia="黑体" w:hAnsi="Calibri"/>
          <w:color w:val="auto"/>
        </w:rPr>
      </w:pPr>
      <w:r w:rsidRPr="00A964FF">
        <w:rPr>
          <w:rFonts w:ascii="Calibri" w:eastAsia="黑体" w:hAnsi="黑体"/>
          <w:color w:val="auto"/>
        </w:rPr>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color w:val="auto"/>
        </w:rPr>
        <w:t>-</w:t>
      </w:r>
      <w:r w:rsidR="00771280">
        <w:rPr>
          <w:rFonts w:ascii="Calibri" w:eastAsia="黑体" w:hAnsi="Calibri"/>
          <w:color w:val="auto"/>
        </w:rPr>
        <w:t>3</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黑体"/>
          <w:color w:val="auto"/>
        </w:rPr>
        <w:t>废气处理工艺经济技术指标</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545"/>
        <w:gridCol w:w="3969"/>
        <w:gridCol w:w="992"/>
        <w:gridCol w:w="973"/>
        <w:gridCol w:w="1221"/>
      </w:tblGrid>
      <w:tr w:rsidR="0055605A" w:rsidRPr="00A964FF" w14:paraId="29047988" w14:textId="77777777" w:rsidTr="00DA00CD">
        <w:trPr>
          <w:trHeight w:val="340"/>
        </w:trPr>
        <w:tc>
          <w:tcPr>
            <w:tcW w:w="888" w:type="pct"/>
            <w:vAlign w:val="center"/>
          </w:tcPr>
          <w:p w14:paraId="1BECA51E" w14:textId="77777777" w:rsidR="0055605A" w:rsidRPr="00A964FF" w:rsidRDefault="0055605A"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污染源</w:t>
            </w:r>
          </w:p>
        </w:tc>
        <w:tc>
          <w:tcPr>
            <w:tcW w:w="2281" w:type="pct"/>
            <w:vAlign w:val="center"/>
          </w:tcPr>
          <w:p w14:paraId="608721E0" w14:textId="77777777" w:rsidR="0055605A" w:rsidRPr="00A964FF" w:rsidRDefault="0055605A"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废气处理措施</w:t>
            </w:r>
          </w:p>
        </w:tc>
        <w:tc>
          <w:tcPr>
            <w:tcW w:w="570" w:type="pct"/>
            <w:vAlign w:val="center"/>
          </w:tcPr>
          <w:p w14:paraId="3B2B6E22" w14:textId="77777777" w:rsidR="0055605A" w:rsidRPr="00A964FF" w:rsidRDefault="0055605A"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数量（套）</w:t>
            </w:r>
          </w:p>
        </w:tc>
        <w:tc>
          <w:tcPr>
            <w:tcW w:w="559" w:type="pct"/>
            <w:tcMar>
              <w:left w:w="28" w:type="dxa"/>
              <w:right w:w="28" w:type="dxa"/>
            </w:tcMar>
            <w:vAlign w:val="center"/>
          </w:tcPr>
          <w:p w14:paraId="0C2CED70" w14:textId="77777777" w:rsidR="00317A8F" w:rsidRPr="00A964FF" w:rsidRDefault="0055605A"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建设费用</w:t>
            </w:r>
          </w:p>
          <w:p w14:paraId="329DA86C" w14:textId="77777777" w:rsidR="0055605A" w:rsidRPr="00A964FF" w:rsidRDefault="0055605A"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（万元）</w:t>
            </w:r>
          </w:p>
        </w:tc>
        <w:tc>
          <w:tcPr>
            <w:tcW w:w="702" w:type="pct"/>
            <w:tcMar>
              <w:left w:w="28" w:type="dxa"/>
              <w:right w:w="28" w:type="dxa"/>
            </w:tcMar>
            <w:vAlign w:val="center"/>
          </w:tcPr>
          <w:p w14:paraId="6552FCB1" w14:textId="77777777" w:rsidR="00317A8F" w:rsidRPr="00A964FF" w:rsidRDefault="0055605A"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运行费用</w:t>
            </w:r>
          </w:p>
          <w:p w14:paraId="3BB4FAC0" w14:textId="77777777" w:rsidR="0055605A" w:rsidRPr="00A964FF" w:rsidRDefault="0055605A"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（万元</w:t>
            </w:r>
            <w:r w:rsidRPr="00A964FF">
              <w:rPr>
                <w:rFonts w:ascii="Calibri" w:hAnsi="Calibri" w:hint="eastAsia"/>
                <w:color w:val="auto"/>
                <w:sz w:val="21"/>
                <w:szCs w:val="21"/>
              </w:rPr>
              <w:t>/</w:t>
            </w:r>
            <w:r w:rsidRPr="00A964FF">
              <w:rPr>
                <w:rFonts w:ascii="Calibri" w:hAnsi="Calibri" w:hint="eastAsia"/>
                <w:color w:val="auto"/>
                <w:sz w:val="21"/>
                <w:szCs w:val="21"/>
              </w:rPr>
              <w:t>年）</w:t>
            </w:r>
          </w:p>
        </w:tc>
      </w:tr>
      <w:tr w:rsidR="00F964A6" w:rsidRPr="00A964FF" w14:paraId="1797605E" w14:textId="77777777" w:rsidTr="00DA00CD">
        <w:trPr>
          <w:trHeight w:val="340"/>
        </w:trPr>
        <w:tc>
          <w:tcPr>
            <w:tcW w:w="888" w:type="pct"/>
            <w:vAlign w:val="center"/>
          </w:tcPr>
          <w:p w14:paraId="2BB731D2" w14:textId="77777777" w:rsidR="00F964A6" w:rsidRPr="00A964FF" w:rsidRDefault="00A06A90" w:rsidP="00771280">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聚合及聚合釜下料</w:t>
            </w:r>
          </w:p>
        </w:tc>
        <w:tc>
          <w:tcPr>
            <w:tcW w:w="2281" w:type="pct"/>
            <w:vAlign w:val="center"/>
          </w:tcPr>
          <w:p w14:paraId="2DFF0FD8" w14:textId="3B7E7E5D" w:rsidR="00F964A6" w:rsidRPr="00A964FF" w:rsidRDefault="0075760C" w:rsidP="008C1537">
            <w:pPr>
              <w:pStyle w:val="00"/>
              <w:spacing w:line="240" w:lineRule="auto"/>
              <w:ind w:firstLine="0"/>
              <w:jc w:val="center"/>
              <w:rPr>
                <w:rFonts w:ascii="Calibri" w:hAnsi="Calibri"/>
                <w:color w:val="auto"/>
                <w:sz w:val="21"/>
                <w:szCs w:val="21"/>
              </w:rPr>
            </w:pPr>
            <w:r w:rsidRPr="0075760C">
              <w:rPr>
                <w:rFonts w:ascii="Calibri" w:hAnsi="Calibri" w:hint="eastAsia"/>
                <w:color w:val="auto"/>
                <w:sz w:val="21"/>
                <w:szCs w:val="21"/>
              </w:rPr>
              <w:t>水喷淋</w:t>
            </w:r>
            <w:r w:rsidRPr="0075760C">
              <w:rPr>
                <w:rFonts w:ascii="Calibri" w:hAnsi="Calibri" w:hint="eastAsia"/>
                <w:color w:val="auto"/>
                <w:sz w:val="21"/>
                <w:szCs w:val="21"/>
              </w:rPr>
              <w:t>+</w:t>
            </w:r>
            <w:r w:rsidRPr="0075760C">
              <w:rPr>
                <w:rFonts w:ascii="Calibri" w:hAnsi="Calibri" w:hint="eastAsia"/>
                <w:color w:val="auto"/>
                <w:sz w:val="21"/>
                <w:szCs w:val="21"/>
              </w:rPr>
              <w:t>活性炭吸附装置</w:t>
            </w:r>
            <w:r w:rsidR="00771280">
              <w:rPr>
                <w:rFonts w:ascii="Calibri" w:hAnsi="Calibri" w:hint="eastAsia"/>
                <w:color w:val="auto"/>
                <w:sz w:val="21"/>
                <w:szCs w:val="21"/>
              </w:rPr>
              <w:t>+25</w:t>
            </w:r>
            <w:r w:rsidR="00771280">
              <w:rPr>
                <w:rFonts w:ascii="Calibri" w:hAnsi="Calibri"/>
                <w:color w:val="auto"/>
                <w:sz w:val="21"/>
                <w:szCs w:val="21"/>
              </w:rPr>
              <w:t>m</w:t>
            </w:r>
            <w:r w:rsidR="00771280">
              <w:rPr>
                <w:rFonts w:ascii="Calibri" w:hAnsi="Calibri" w:hint="eastAsia"/>
                <w:color w:val="auto"/>
                <w:sz w:val="21"/>
                <w:szCs w:val="21"/>
              </w:rPr>
              <w:t>排气筒</w:t>
            </w:r>
          </w:p>
        </w:tc>
        <w:tc>
          <w:tcPr>
            <w:tcW w:w="570" w:type="pct"/>
            <w:vAlign w:val="center"/>
          </w:tcPr>
          <w:p w14:paraId="2D0FA10B" w14:textId="77777777" w:rsidR="00F964A6" w:rsidRPr="00A964FF" w:rsidRDefault="00F964A6"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1</w:t>
            </w:r>
          </w:p>
        </w:tc>
        <w:tc>
          <w:tcPr>
            <w:tcW w:w="559" w:type="pct"/>
            <w:vAlign w:val="center"/>
          </w:tcPr>
          <w:p w14:paraId="4BA1F917" w14:textId="77777777" w:rsidR="00F964A6" w:rsidRPr="00A964FF" w:rsidRDefault="00677DB3" w:rsidP="00F964A6">
            <w:pPr>
              <w:pStyle w:val="00"/>
              <w:spacing w:line="240" w:lineRule="auto"/>
              <w:ind w:firstLine="0"/>
              <w:jc w:val="center"/>
              <w:rPr>
                <w:rFonts w:ascii="Calibri" w:hAnsi="Calibri"/>
                <w:color w:val="auto"/>
                <w:sz w:val="21"/>
                <w:szCs w:val="21"/>
              </w:rPr>
            </w:pPr>
            <w:r>
              <w:rPr>
                <w:rFonts w:ascii="Calibri" w:hAnsi="Calibri"/>
                <w:color w:val="auto"/>
                <w:sz w:val="21"/>
                <w:szCs w:val="21"/>
              </w:rPr>
              <w:t>60</w:t>
            </w:r>
          </w:p>
        </w:tc>
        <w:tc>
          <w:tcPr>
            <w:tcW w:w="702" w:type="pct"/>
            <w:vAlign w:val="center"/>
          </w:tcPr>
          <w:p w14:paraId="1FDDB5E2" w14:textId="77777777" w:rsidR="00F964A6" w:rsidRPr="00A964FF" w:rsidRDefault="00677DB3"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12</w:t>
            </w:r>
          </w:p>
        </w:tc>
      </w:tr>
      <w:tr w:rsidR="00F964A6" w:rsidRPr="00A964FF" w14:paraId="3A80751F" w14:textId="77777777" w:rsidTr="00DA00CD">
        <w:trPr>
          <w:trHeight w:val="340"/>
        </w:trPr>
        <w:tc>
          <w:tcPr>
            <w:tcW w:w="888" w:type="pct"/>
            <w:vAlign w:val="center"/>
          </w:tcPr>
          <w:p w14:paraId="2558B1A5" w14:textId="77777777" w:rsidR="00F964A6" w:rsidRPr="00A964FF" w:rsidRDefault="00F964A6" w:rsidP="00771280">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废水处理站</w:t>
            </w:r>
          </w:p>
        </w:tc>
        <w:tc>
          <w:tcPr>
            <w:tcW w:w="2281" w:type="pct"/>
            <w:vAlign w:val="center"/>
          </w:tcPr>
          <w:p w14:paraId="56A3C2F5" w14:textId="77777777" w:rsidR="00F964A6" w:rsidRPr="00A964FF" w:rsidRDefault="00F964A6" w:rsidP="00D5436F">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光氧催化</w:t>
            </w:r>
            <w:r w:rsidRPr="00A964FF">
              <w:rPr>
                <w:rFonts w:ascii="Calibri" w:hAnsi="Calibri" w:hint="eastAsia"/>
                <w:color w:val="auto"/>
                <w:sz w:val="21"/>
                <w:szCs w:val="21"/>
              </w:rPr>
              <w:t>+</w:t>
            </w:r>
            <w:r w:rsidRPr="00A964FF">
              <w:rPr>
                <w:rFonts w:ascii="Calibri" w:hAnsi="Calibri" w:hint="eastAsia"/>
                <w:color w:val="auto"/>
                <w:sz w:val="21"/>
                <w:szCs w:val="21"/>
              </w:rPr>
              <w:t>活性炭吸附装置</w:t>
            </w:r>
            <w:r w:rsidRPr="00A964FF">
              <w:rPr>
                <w:rFonts w:ascii="Calibri" w:hAnsi="Calibri" w:hint="eastAsia"/>
                <w:color w:val="auto"/>
                <w:sz w:val="21"/>
                <w:szCs w:val="21"/>
              </w:rPr>
              <w:t>+15m</w:t>
            </w:r>
            <w:r w:rsidRPr="00A964FF">
              <w:rPr>
                <w:rFonts w:ascii="Calibri" w:hAnsi="Calibri" w:hint="eastAsia"/>
                <w:color w:val="auto"/>
                <w:sz w:val="21"/>
                <w:szCs w:val="21"/>
              </w:rPr>
              <w:t>排气筒</w:t>
            </w:r>
          </w:p>
        </w:tc>
        <w:tc>
          <w:tcPr>
            <w:tcW w:w="570" w:type="pct"/>
            <w:vAlign w:val="center"/>
          </w:tcPr>
          <w:p w14:paraId="637B1DCC" w14:textId="77777777" w:rsidR="00F964A6" w:rsidRPr="00A964FF" w:rsidRDefault="00F964A6"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1</w:t>
            </w:r>
          </w:p>
        </w:tc>
        <w:tc>
          <w:tcPr>
            <w:tcW w:w="559" w:type="pct"/>
            <w:vAlign w:val="center"/>
          </w:tcPr>
          <w:p w14:paraId="0533116D" w14:textId="77777777" w:rsidR="00F964A6" w:rsidRPr="00A964FF" w:rsidRDefault="00771280" w:rsidP="00CA205D">
            <w:pPr>
              <w:pStyle w:val="00"/>
              <w:spacing w:line="240" w:lineRule="auto"/>
              <w:ind w:firstLine="0"/>
              <w:jc w:val="center"/>
              <w:rPr>
                <w:rFonts w:ascii="Calibri" w:hAnsi="Calibri"/>
                <w:color w:val="auto"/>
                <w:sz w:val="21"/>
                <w:szCs w:val="21"/>
              </w:rPr>
            </w:pPr>
            <w:r>
              <w:rPr>
                <w:rFonts w:ascii="Calibri" w:hAnsi="Calibri"/>
                <w:color w:val="auto"/>
                <w:sz w:val="21"/>
                <w:szCs w:val="21"/>
              </w:rPr>
              <w:t>25</w:t>
            </w:r>
          </w:p>
        </w:tc>
        <w:tc>
          <w:tcPr>
            <w:tcW w:w="702" w:type="pct"/>
            <w:vAlign w:val="center"/>
          </w:tcPr>
          <w:p w14:paraId="13302ECF" w14:textId="77777777" w:rsidR="00F964A6" w:rsidRPr="00A964FF" w:rsidRDefault="00771280"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2</w:t>
            </w:r>
          </w:p>
        </w:tc>
      </w:tr>
      <w:tr w:rsidR="008B10D5" w:rsidRPr="00A964FF" w14:paraId="234B0233" w14:textId="77777777" w:rsidTr="00DA00CD">
        <w:trPr>
          <w:trHeight w:val="340"/>
        </w:trPr>
        <w:tc>
          <w:tcPr>
            <w:tcW w:w="888" w:type="pct"/>
            <w:vAlign w:val="center"/>
          </w:tcPr>
          <w:p w14:paraId="71C3F405" w14:textId="430629D8" w:rsidR="008B10D5" w:rsidRDefault="008B10D5" w:rsidP="00D5436F">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导热油炉</w:t>
            </w:r>
          </w:p>
        </w:tc>
        <w:tc>
          <w:tcPr>
            <w:tcW w:w="2281" w:type="pct"/>
            <w:vAlign w:val="center"/>
          </w:tcPr>
          <w:p w14:paraId="05755F27" w14:textId="21B24A44" w:rsidR="008B10D5" w:rsidRDefault="008B10D5" w:rsidP="00D5436F">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低氮</w:t>
            </w:r>
            <w:r>
              <w:rPr>
                <w:rFonts w:ascii="Calibri" w:hAnsi="Calibri"/>
                <w:color w:val="auto"/>
                <w:sz w:val="21"/>
                <w:szCs w:val="21"/>
              </w:rPr>
              <w:t>燃烧器</w:t>
            </w:r>
          </w:p>
        </w:tc>
        <w:tc>
          <w:tcPr>
            <w:tcW w:w="570" w:type="pct"/>
            <w:vAlign w:val="center"/>
          </w:tcPr>
          <w:p w14:paraId="02D00E0C" w14:textId="0B22B05A" w:rsidR="008B10D5" w:rsidRDefault="008B10D5" w:rsidP="003E0795">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2</w:t>
            </w:r>
          </w:p>
        </w:tc>
        <w:tc>
          <w:tcPr>
            <w:tcW w:w="559" w:type="pct"/>
            <w:vAlign w:val="center"/>
          </w:tcPr>
          <w:p w14:paraId="02B7A2A7" w14:textId="15AA001A" w:rsidR="008B10D5" w:rsidRDefault="008B10D5" w:rsidP="00CA205D">
            <w:pPr>
              <w:pStyle w:val="00"/>
              <w:spacing w:line="240" w:lineRule="auto"/>
              <w:ind w:firstLine="0"/>
              <w:jc w:val="center"/>
              <w:rPr>
                <w:rFonts w:ascii="Calibri" w:hAnsi="Calibri"/>
                <w:color w:val="auto"/>
                <w:sz w:val="21"/>
                <w:szCs w:val="21"/>
              </w:rPr>
            </w:pPr>
            <w:r>
              <w:rPr>
                <w:rFonts w:ascii="Calibri" w:hAnsi="Calibri"/>
                <w:color w:val="auto"/>
                <w:sz w:val="21"/>
                <w:szCs w:val="21"/>
              </w:rPr>
              <w:t>50</w:t>
            </w:r>
          </w:p>
        </w:tc>
        <w:tc>
          <w:tcPr>
            <w:tcW w:w="702" w:type="pct"/>
            <w:vAlign w:val="center"/>
          </w:tcPr>
          <w:p w14:paraId="59E78E4D" w14:textId="1C194CD0" w:rsidR="008B10D5" w:rsidRDefault="008B10D5" w:rsidP="003E0795">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0.5</w:t>
            </w:r>
          </w:p>
        </w:tc>
      </w:tr>
      <w:tr w:rsidR="001D4F32" w:rsidRPr="00A964FF" w14:paraId="747044A0" w14:textId="77777777" w:rsidTr="00DA00CD">
        <w:trPr>
          <w:trHeight w:val="340"/>
        </w:trPr>
        <w:tc>
          <w:tcPr>
            <w:tcW w:w="888" w:type="pct"/>
            <w:vAlign w:val="center"/>
          </w:tcPr>
          <w:p w14:paraId="6D19E965" w14:textId="77777777" w:rsidR="001D4F32" w:rsidRPr="00A964FF" w:rsidRDefault="0092085C" w:rsidP="00D5436F">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品控中心</w:t>
            </w:r>
          </w:p>
        </w:tc>
        <w:tc>
          <w:tcPr>
            <w:tcW w:w="2281" w:type="pct"/>
            <w:vAlign w:val="center"/>
          </w:tcPr>
          <w:p w14:paraId="161BBE4E" w14:textId="77777777" w:rsidR="001D4F32" w:rsidRPr="00A964FF" w:rsidRDefault="001D4F32" w:rsidP="00D5436F">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通风厨收集排至活性炭吸附装置，高空排放</w:t>
            </w:r>
          </w:p>
        </w:tc>
        <w:tc>
          <w:tcPr>
            <w:tcW w:w="570" w:type="pct"/>
            <w:vAlign w:val="center"/>
          </w:tcPr>
          <w:p w14:paraId="41607E7E" w14:textId="77777777" w:rsidR="001D4F32" w:rsidRPr="001D4F32" w:rsidRDefault="001D4F32" w:rsidP="003E0795">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1</w:t>
            </w:r>
          </w:p>
        </w:tc>
        <w:tc>
          <w:tcPr>
            <w:tcW w:w="559" w:type="pct"/>
            <w:vAlign w:val="center"/>
          </w:tcPr>
          <w:p w14:paraId="2DE17E8B" w14:textId="77777777" w:rsidR="001D4F32" w:rsidRPr="00A964FF" w:rsidRDefault="00771280" w:rsidP="00CA205D">
            <w:pPr>
              <w:pStyle w:val="00"/>
              <w:spacing w:line="240" w:lineRule="auto"/>
              <w:ind w:firstLine="0"/>
              <w:jc w:val="center"/>
              <w:rPr>
                <w:rFonts w:ascii="Calibri" w:hAnsi="Calibri"/>
                <w:color w:val="auto"/>
                <w:sz w:val="21"/>
                <w:szCs w:val="21"/>
              </w:rPr>
            </w:pPr>
            <w:r>
              <w:rPr>
                <w:rFonts w:ascii="Calibri" w:hAnsi="Calibri"/>
                <w:color w:val="auto"/>
                <w:sz w:val="21"/>
                <w:szCs w:val="21"/>
              </w:rPr>
              <w:t>5</w:t>
            </w:r>
          </w:p>
        </w:tc>
        <w:tc>
          <w:tcPr>
            <w:tcW w:w="702" w:type="pct"/>
            <w:vAlign w:val="center"/>
          </w:tcPr>
          <w:p w14:paraId="3EC05B02" w14:textId="77777777" w:rsidR="001D4F32" w:rsidRPr="00A964FF" w:rsidRDefault="00771280"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1</w:t>
            </w:r>
          </w:p>
        </w:tc>
      </w:tr>
      <w:tr w:rsidR="002E118B" w:rsidRPr="00A964FF" w14:paraId="1D1B9D9B" w14:textId="77777777" w:rsidTr="00DA00CD">
        <w:trPr>
          <w:trHeight w:val="340"/>
        </w:trPr>
        <w:tc>
          <w:tcPr>
            <w:tcW w:w="888" w:type="pct"/>
            <w:vAlign w:val="center"/>
          </w:tcPr>
          <w:p w14:paraId="1205935B" w14:textId="77777777" w:rsidR="002E118B" w:rsidRDefault="002E118B" w:rsidP="009C5177">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无组织废气</w:t>
            </w:r>
          </w:p>
        </w:tc>
        <w:tc>
          <w:tcPr>
            <w:tcW w:w="2281" w:type="pct"/>
            <w:vAlign w:val="center"/>
          </w:tcPr>
          <w:p w14:paraId="7AF2CCD1" w14:textId="77777777" w:rsidR="002E118B" w:rsidRDefault="002E118B" w:rsidP="009C5177">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生产装置密闭，选用密闭管道输送物料，开展泄漏检测与修复（</w:t>
            </w:r>
            <w:r>
              <w:rPr>
                <w:rFonts w:ascii="Calibri" w:hAnsi="Calibri" w:hint="eastAsia"/>
                <w:color w:val="auto"/>
                <w:sz w:val="21"/>
                <w:szCs w:val="21"/>
              </w:rPr>
              <w:t>LDAR</w:t>
            </w:r>
            <w:r>
              <w:rPr>
                <w:rFonts w:ascii="Calibri" w:hAnsi="Calibri" w:hint="eastAsia"/>
                <w:color w:val="auto"/>
                <w:sz w:val="21"/>
                <w:szCs w:val="21"/>
              </w:rPr>
              <w:t>）等</w:t>
            </w:r>
          </w:p>
        </w:tc>
        <w:tc>
          <w:tcPr>
            <w:tcW w:w="570" w:type="pct"/>
            <w:vAlign w:val="center"/>
          </w:tcPr>
          <w:p w14:paraId="4FA8680F" w14:textId="77777777" w:rsidR="002E118B" w:rsidRDefault="002E118B" w:rsidP="003E0795">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w:t>
            </w:r>
          </w:p>
        </w:tc>
        <w:tc>
          <w:tcPr>
            <w:tcW w:w="559" w:type="pct"/>
            <w:vAlign w:val="center"/>
          </w:tcPr>
          <w:p w14:paraId="0AACE44A" w14:textId="77777777" w:rsidR="002E118B" w:rsidRDefault="00DE50C9" w:rsidP="00CA205D">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w:t>
            </w:r>
          </w:p>
        </w:tc>
        <w:tc>
          <w:tcPr>
            <w:tcW w:w="702" w:type="pct"/>
            <w:vAlign w:val="center"/>
          </w:tcPr>
          <w:p w14:paraId="25BEA062" w14:textId="77777777" w:rsidR="002E118B" w:rsidRDefault="00DE50C9" w:rsidP="003E0795">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3</w:t>
            </w:r>
          </w:p>
        </w:tc>
      </w:tr>
      <w:tr w:rsidR="00F964A6" w:rsidRPr="00A964FF" w14:paraId="1A1BABD3" w14:textId="77777777" w:rsidTr="00DA00CD">
        <w:trPr>
          <w:trHeight w:val="340"/>
        </w:trPr>
        <w:tc>
          <w:tcPr>
            <w:tcW w:w="888" w:type="pct"/>
            <w:vAlign w:val="center"/>
          </w:tcPr>
          <w:p w14:paraId="4779FA28" w14:textId="77777777" w:rsidR="00F964A6" w:rsidRPr="00A964FF" w:rsidRDefault="00F964A6" w:rsidP="00D5436F">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职工食堂</w:t>
            </w:r>
          </w:p>
        </w:tc>
        <w:tc>
          <w:tcPr>
            <w:tcW w:w="2281" w:type="pct"/>
            <w:vAlign w:val="center"/>
          </w:tcPr>
          <w:p w14:paraId="2D7EA8E0" w14:textId="77777777" w:rsidR="00F964A6" w:rsidRPr="00A964FF" w:rsidRDefault="00F964A6" w:rsidP="00D5436F">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油烟净化装置</w:t>
            </w:r>
          </w:p>
        </w:tc>
        <w:tc>
          <w:tcPr>
            <w:tcW w:w="570" w:type="pct"/>
            <w:vAlign w:val="center"/>
          </w:tcPr>
          <w:p w14:paraId="6F2152C4" w14:textId="77777777" w:rsidR="00F964A6" w:rsidRPr="00A964FF" w:rsidRDefault="00F964A6"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1</w:t>
            </w:r>
          </w:p>
        </w:tc>
        <w:tc>
          <w:tcPr>
            <w:tcW w:w="559" w:type="pct"/>
            <w:vAlign w:val="center"/>
          </w:tcPr>
          <w:p w14:paraId="6C712EA6" w14:textId="77777777" w:rsidR="00F964A6" w:rsidRPr="00A964FF" w:rsidRDefault="00771280"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2</w:t>
            </w:r>
          </w:p>
        </w:tc>
        <w:tc>
          <w:tcPr>
            <w:tcW w:w="702" w:type="pct"/>
            <w:vAlign w:val="center"/>
          </w:tcPr>
          <w:p w14:paraId="4D17837A" w14:textId="77777777" w:rsidR="00F964A6" w:rsidRPr="00A964FF" w:rsidRDefault="00771280"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0.5</w:t>
            </w:r>
          </w:p>
        </w:tc>
      </w:tr>
      <w:tr w:rsidR="00F964A6" w:rsidRPr="00A964FF" w14:paraId="0E40387E" w14:textId="77777777" w:rsidTr="002F5676">
        <w:trPr>
          <w:trHeight w:val="340"/>
        </w:trPr>
        <w:tc>
          <w:tcPr>
            <w:tcW w:w="3739" w:type="pct"/>
            <w:gridSpan w:val="3"/>
            <w:vAlign w:val="center"/>
          </w:tcPr>
          <w:p w14:paraId="329B8296" w14:textId="77777777" w:rsidR="00F964A6" w:rsidRPr="00A964FF" w:rsidRDefault="00F964A6"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合计</w:t>
            </w:r>
          </w:p>
        </w:tc>
        <w:tc>
          <w:tcPr>
            <w:tcW w:w="559" w:type="pct"/>
            <w:vAlign w:val="center"/>
          </w:tcPr>
          <w:p w14:paraId="12ED9288" w14:textId="6FC7C91D" w:rsidR="00F964A6" w:rsidRPr="00A964FF" w:rsidRDefault="008B10D5" w:rsidP="001F1B1A">
            <w:pPr>
              <w:pStyle w:val="00"/>
              <w:spacing w:line="240" w:lineRule="auto"/>
              <w:ind w:firstLine="0"/>
              <w:jc w:val="center"/>
              <w:rPr>
                <w:rFonts w:ascii="Calibri" w:hAnsi="Calibri"/>
                <w:color w:val="auto"/>
                <w:sz w:val="21"/>
                <w:szCs w:val="21"/>
              </w:rPr>
            </w:pPr>
            <w:r>
              <w:rPr>
                <w:rFonts w:ascii="Calibri" w:hAnsi="Calibri"/>
                <w:color w:val="auto"/>
                <w:sz w:val="21"/>
                <w:szCs w:val="21"/>
              </w:rPr>
              <w:t>142</w:t>
            </w:r>
          </w:p>
        </w:tc>
        <w:tc>
          <w:tcPr>
            <w:tcW w:w="702" w:type="pct"/>
            <w:vAlign w:val="center"/>
          </w:tcPr>
          <w:p w14:paraId="3F1B1D4F" w14:textId="58142139" w:rsidR="00F964A6" w:rsidRPr="00A964FF" w:rsidRDefault="008B10D5"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19</w:t>
            </w:r>
          </w:p>
        </w:tc>
      </w:tr>
    </w:tbl>
    <w:p w14:paraId="50C3F69D" w14:textId="752CFAB1" w:rsidR="00677DB3" w:rsidRPr="00643331" w:rsidRDefault="00A764FA" w:rsidP="00643331">
      <w:pPr>
        <w:spacing w:line="500" w:lineRule="exact"/>
        <w:ind w:firstLine="482"/>
        <w:rPr>
          <w:rFonts w:ascii="Calibri"/>
          <w:bCs/>
          <w:color w:val="auto"/>
          <w:sz w:val="24"/>
        </w:rPr>
      </w:pPr>
      <w:r w:rsidRPr="00A964FF">
        <w:rPr>
          <w:rFonts w:ascii="Calibri" w:hint="eastAsia"/>
          <w:bCs/>
          <w:color w:val="auto"/>
          <w:sz w:val="24"/>
        </w:rPr>
        <w:t>本</w:t>
      </w:r>
      <w:r w:rsidR="0055605A" w:rsidRPr="00A964FF">
        <w:rPr>
          <w:rFonts w:ascii="Calibri" w:hint="eastAsia"/>
          <w:bCs/>
          <w:color w:val="auto"/>
          <w:sz w:val="24"/>
        </w:rPr>
        <w:t>项目废气治理设施建设投资约</w:t>
      </w:r>
      <w:r w:rsidR="008B10D5">
        <w:rPr>
          <w:rFonts w:ascii="Calibri"/>
          <w:bCs/>
          <w:color w:val="auto"/>
          <w:sz w:val="24"/>
        </w:rPr>
        <w:t>142</w:t>
      </w:r>
      <w:r w:rsidR="0055605A" w:rsidRPr="00A964FF">
        <w:rPr>
          <w:rFonts w:ascii="Calibri" w:hint="eastAsia"/>
          <w:bCs/>
          <w:color w:val="auto"/>
          <w:sz w:val="24"/>
        </w:rPr>
        <w:t>万元，运行费用主要为治理设施的维修、折旧费、电费以及人工费等，共计约</w:t>
      </w:r>
      <w:r w:rsidR="008B10D5">
        <w:rPr>
          <w:rFonts w:ascii="Calibri"/>
          <w:bCs/>
          <w:color w:val="auto"/>
          <w:sz w:val="24"/>
        </w:rPr>
        <w:t>19</w:t>
      </w:r>
      <w:r w:rsidR="0055605A" w:rsidRPr="00A964FF">
        <w:rPr>
          <w:rFonts w:ascii="Calibri" w:hint="eastAsia"/>
          <w:bCs/>
          <w:color w:val="auto"/>
          <w:sz w:val="24"/>
        </w:rPr>
        <w:t>万元</w:t>
      </w:r>
      <w:r w:rsidR="0055605A" w:rsidRPr="00A964FF">
        <w:rPr>
          <w:rFonts w:ascii="Calibri" w:hint="eastAsia"/>
          <w:bCs/>
          <w:color w:val="auto"/>
          <w:sz w:val="24"/>
        </w:rPr>
        <w:t>/</w:t>
      </w:r>
      <w:r w:rsidR="0055605A" w:rsidRPr="00A964FF">
        <w:rPr>
          <w:rFonts w:ascii="Calibri" w:hint="eastAsia"/>
          <w:bCs/>
          <w:color w:val="auto"/>
          <w:sz w:val="24"/>
        </w:rPr>
        <w:t>年，企业具有良好的盈利能力，完全有能力承担该费用，废气治理措施在经济和技术上均可行。</w:t>
      </w:r>
    </w:p>
    <w:p w14:paraId="08D8D1C3" w14:textId="77777777" w:rsidR="0055605A" w:rsidRPr="00A964FF" w:rsidRDefault="0055605A" w:rsidP="0055605A">
      <w:pPr>
        <w:pStyle w:val="3a"/>
      </w:pPr>
      <w:r w:rsidRPr="00F13E87">
        <w:rPr>
          <w:rFonts w:hint="eastAsia"/>
        </w:rPr>
        <w:t>5</w:t>
      </w:r>
      <w:r w:rsidRPr="00F13E87">
        <w:t>.2.</w:t>
      </w:r>
      <w:r w:rsidRPr="00F13E87">
        <w:rPr>
          <w:rFonts w:hint="eastAsia"/>
        </w:rPr>
        <w:t>2</w:t>
      </w:r>
      <w:r w:rsidRPr="00F13E87">
        <w:rPr>
          <w:rFonts w:hint="eastAsia"/>
        </w:rPr>
        <w:t>废水</w:t>
      </w:r>
      <w:r w:rsidRPr="00F13E87">
        <w:t>污染防治措施</w:t>
      </w:r>
    </w:p>
    <w:p w14:paraId="00F3C876" w14:textId="77777777" w:rsidR="00A764FA" w:rsidRPr="00A964FF" w:rsidRDefault="00A764FA" w:rsidP="0055605A">
      <w:pPr>
        <w:spacing w:line="500" w:lineRule="exact"/>
        <w:ind w:firstLine="482"/>
        <w:rPr>
          <w:rFonts w:ascii="Calibri"/>
          <w:b/>
          <w:bCs/>
          <w:color w:val="auto"/>
          <w:sz w:val="24"/>
        </w:rPr>
      </w:pPr>
      <w:r w:rsidRPr="00A964FF">
        <w:rPr>
          <w:rFonts w:ascii="Calibri" w:hint="eastAsia"/>
          <w:b/>
          <w:bCs/>
          <w:color w:val="auto"/>
          <w:sz w:val="24"/>
        </w:rPr>
        <w:t>1</w:t>
      </w:r>
      <w:r w:rsidRPr="00A964FF">
        <w:rPr>
          <w:rFonts w:ascii="Calibri" w:hint="eastAsia"/>
          <w:b/>
          <w:bCs/>
          <w:color w:val="auto"/>
          <w:sz w:val="24"/>
        </w:rPr>
        <w:t>、废水产排情况</w:t>
      </w:r>
    </w:p>
    <w:p w14:paraId="235E0733" w14:textId="4F9EF823" w:rsidR="00455B57" w:rsidRDefault="00455B57" w:rsidP="00E01926">
      <w:pPr>
        <w:spacing w:line="500" w:lineRule="exact"/>
        <w:ind w:firstLineChars="200" w:firstLine="480"/>
        <w:rPr>
          <w:rFonts w:ascii="Calibri"/>
          <w:color w:val="auto"/>
          <w:sz w:val="24"/>
        </w:rPr>
      </w:pPr>
      <w:r>
        <w:rPr>
          <w:rFonts w:ascii="Calibri" w:hint="eastAsia"/>
          <w:color w:val="auto"/>
          <w:sz w:val="24"/>
        </w:rPr>
        <w:t>本项目营运后厂区总用水量为</w:t>
      </w:r>
      <w:r w:rsidR="00E01926" w:rsidRPr="00E01926">
        <w:rPr>
          <w:rFonts w:ascii="Calibri" w:hint="eastAsia"/>
          <w:color w:val="auto"/>
          <w:sz w:val="24"/>
        </w:rPr>
        <w:t>48.91t/d</w:t>
      </w:r>
      <w:r w:rsidR="00E01926" w:rsidRPr="00E01926">
        <w:rPr>
          <w:rFonts w:ascii="Calibri" w:hint="eastAsia"/>
          <w:color w:val="auto"/>
          <w:sz w:val="24"/>
        </w:rPr>
        <w:t>，</w:t>
      </w:r>
      <w:r w:rsidR="00E01926" w:rsidRPr="00E01926">
        <w:rPr>
          <w:rFonts w:ascii="Calibri" w:hint="eastAsia"/>
          <w:color w:val="auto"/>
          <w:sz w:val="24"/>
        </w:rPr>
        <w:t>14675.72t/a</w:t>
      </w:r>
      <w:r>
        <w:rPr>
          <w:rFonts w:ascii="Calibri" w:hint="eastAsia"/>
          <w:color w:val="auto"/>
          <w:sz w:val="24"/>
        </w:rPr>
        <w:t>，总废水量为</w:t>
      </w:r>
      <w:r w:rsidR="00E01926" w:rsidRPr="007D0738">
        <w:rPr>
          <w:rFonts w:ascii="Calibri"/>
          <w:color w:val="auto"/>
          <w:sz w:val="24"/>
        </w:rPr>
        <w:t>51.3</w:t>
      </w:r>
      <w:r w:rsidR="00E01926">
        <w:rPr>
          <w:rFonts w:ascii="Calibri"/>
          <w:color w:val="auto"/>
          <w:sz w:val="24"/>
        </w:rPr>
        <w:t>0</w:t>
      </w:r>
      <w:r>
        <w:rPr>
          <w:rFonts w:ascii="Calibri" w:hint="eastAsia"/>
          <w:color w:val="auto"/>
          <w:sz w:val="24"/>
        </w:rPr>
        <w:t>t/d</w:t>
      </w:r>
      <w:r>
        <w:rPr>
          <w:rFonts w:ascii="Calibri" w:hint="eastAsia"/>
          <w:color w:val="auto"/>
          <w:sz w:val="24"/>
        </w:rPr>
        <w:t>（其中</w:t>
      </w:r>
      <w:r>
        <w:rPr>
          <w:rFonts w:ascii="Calibri"/>
          <w:color w:val="auto"/>
          <w:sz w:val="24"/>
        </w:rPr>
        <w:t>进入污水处理站</w:t>
      </w:r>
      <w:r w:rsidR="00E01926" w:rsidRPr="00E01926">
        <w:rPr>
          <w:rFonts w:ascii="Calibri"/>
          <w:color w:val="auto"/>
          <w:sz w:val="24"/>
        </w:rPr>
        <w:t>47.88</w:t>
      </w:r>
      <w:r>
        <w:rPr>
          <w:rFonts w:ascii="Calibri"/>
          <w:color w:val="auto"/>
          <w:sz w:val="24"/>
        </w:rPr>
        <w:t>t/d</w:t>
      </w:r>
      <w:r>
        <w:rPr>
          <w:rFonts w:ascii="Calibri" w:hint="eastAsia"/>
          <w:color w:val="auto"/>
          <w:sz w:val="24"/>
        </w:rPr>
        <w:t>，</w:t>
      </w:r>
      <w:r>
        <w:rPr>
          <w:rFonts w:ascii="Calibri"/>
          <w:color w:val="auto"/>
          <w:sz w:val="24"/>
        </w:rPr>
        <w:t>直接进入总排口</w:t>
      </w:r>
      <w:r>
        <w:rPr>
          <w:rFonts w:ascii="Calibri" w:hint="eastAsia"/>
          <w:color w:val="auto"/>
          <w:sz w:val="24"/>
        </w:rPr>
        <w:t>3.42</w:t>
      </w:r>
      <w:r>
        <w:rPr>
          <w:rFonts w:ascii="Calibri"/>
          <w:color w:val="auto"/>
          <w:sz w:val="24"/>
        </w:rPr>
        <w:t>t/d</w:t>
      </w:r>
      <w:r>
        <w:rPr>
          <w:rFonts w:ascii="Calibri" w:hint="eastAsia"/>
          <w:color w:val="auto"/>
          <w:sz w:val="24"/>
        </w:rPr>
        <w:t>），</w:t>
      </w:r>
      <w:r w:rsidR="00E01926" w:rsidRPr="00E01926">
        <w:rPr>
          <w:rFonts w:ascii="Calibri"/>
          <w:color w:val="auto"/>
          <w:sz w:val="24"/>
        </w:rPr>
        <w:t>15394.855</w:t>
      </w:r>
      <w:r>
        <w:rPr>
          <w:rFonts w:ascii="Calibri" w:hint="eastAsia"/>
          <w:color w:val="auto"/>
          <w:sz w:val="24"/>
        </w:rPr>
        <w:t>t/a</w:t>
      </w:r>
      <w:r>
        <w:rPr>
          <w:rFonts w:ascii="Calibri" w:hint="eastAsia"/>
          <w:color w:val="auto"/>
          <w:sz w:val="24"/>
        </w:rPr>
        <w:t>（其中进入污水处理站</w:t>
      </w:r>
      <w:r w:rsidR="00E01926" w:rsidRPr="00E01926">
        <w:rPr>
          <w:rFonts w:ascii="Calibri"/>
          <w:color w:val="auto"/>
          <w:sz w:val="24"/>
        </w:rPr>
        <w:t>14365.035</w:t>
      </w:r>
      <w:r>
        <w:rPr>
          <w:rFonts w:ascii="Calibri" w:hint="eastAsia"/>
          <w:color w:val="auto"/>
          <w:sz w:val="24"/>
        </w:rPr>
        <w:t>t/a</w:t>
      </w:r>
      <w:r>
        <w:rPr>
          <w:rFonts w:ascii="Calibri" w:hint="eastAsia"/>
          <w:color w:val="auto"/>
          <w:sz w:val="24"/>
        </w:rPr>
        <w:t>，直接进入总排口</w:t>
      </w:r>
      <w:r w:rsidR="00E01926" w:rsidRPr="00E01926">
        <w:rPr>
          <w:rFonts w:ascii="Calibri"/>
          <w:color w:val="auto"/>
          <w:sz w:val="24"/>
        </w:rPr>
        <w:t>1029.82</w:t>
      </w:r>
      <w:r>
        <w:rPr>
          <w:rFonts w:ascii="Calibri" w:hint="eastAsia"/>
          <w:color w:val="auto"/>
          <w:sz w:val="24"/>
        </w:rPr>
        <w:t>t/a</w:t>
      </w:r>
      <w:r>
        <w:rPr>
          <w:rFonts w:ascii="Calibri" w:hint="eastAsia"/>
          <w:color w:val="auto"/>
          <w:sz w:val="24"/>
        </w:rPr>
        <w:t>）；</w:t>
      </w:r>
      <w:r w:rsidR="00E01926" w:rsidRPr="00E01926">
        <w:rPr>
          <w:rFonts w:ascii="Calibri" w:hint="eastAsia"/>
          <w:color w:val="auto"/>
          <w:sz w:val="24"/>
        </w:rPr>
        <w:t>其中一期工程用水量为</w:t>
      </w:r>
      <w:r w:rsidR="00E01926" w:rsidRPr="00E01926">
        <w:rPr>
          <w:rFonts w:ascii="Calibri" w:hint="eastAsia"/>
          <w:color w:val="auto"/>
          <w:sz w:val="24"/>
        </w:rPr>
        <w:t>42.18t/d</w:t>
      </w:r>
      <w:r w:rsidR="00E01926" w:rsidRPr="00E01926">
        <w:rPr>
          <w:rFonts w:ascii="Calibri" w:hint="eastAsia"/>
          <w:color w:val="auto"/>
          <w:sz w:val="24"/>
        </w:rPr>
        <w:t>，</w:t>
      </w:r>
      <w:r w:rsidR="00E01926" w:rsidRPr="00E01926">
        <w:rPr>
          <w:rFonts w:ascii="Calibri" w:hint="eastAsia"/>
          <w:color w:val="auto"/>
          <w:sz w:val="24"/>
        </w:rPr>
        <w:t>12655.29t/a</w:t>
      </w:r>
      <w:r w:rsidR="00E01926" w:rsidRPr="00E01926">
        <w:rPr>
          <w:rFonts w:ascii="Calibri" w:hint="eastAsia"/>
          <w:color w:val="auto"/>
          <w:sz w:val="24"/>
        </w:rPr>
        <w:t>，废水量为</w:t>
      </w:r>
      <w:r w:rsidR="00E01926" w:rsidRPr="00E01926">
        <w:rPr>
          <w:rFonts w:ascii="Calibri" w:hint="eastAsia"/>
          <w:color w:val="auto"/>
          <w:sz w:val="24"/>
        </w:rPr>
        <w:t>42.421t/d</w:t>
      </w:r>
      <w:r w:rsidR="00E01926" w:rsidRPr="00E01926">
        <w:rPr>
          <w:rFonts w:ascii="Calibri" w:hint="eastAsia"/>
          <w:color w:val="auto"/>
          <w:sz w:val="24"/>
        </w:rPr>
        <w:t>，</w:t>
      </w:r>
      <w:r w:rsidR="00E01926" w:rsidRPr="00E01926">
        <w:rPr>
          <w:rFonts w:ascii="Calibri" w:hint="eastAsia"/>
          <w:color w:val="auto"/>
          <w:sz w:val="24"/>
        </w:rPr>
        <w:t>12726.96t/a</w:t>
      </w:r>
      <w:r w:rsidR="00E01926" w:rsidRPr="00E01926">
        <w:rPr>
          <w:rFonts w:ascii="Calibri" w:hint="eastAsia"/>
          <w:color w:val="auto"/>
          <w:sz w:val="24"/>
        </w:rPr>
        <w:t>；二期工程用水量为</w:t>
      </w:r>
      <w:r w:rsidR="00E01926" w:rsidRPr="00E01926">
        <w:rPr>
          <w:rFonts w:ascii="Calibri" w:hint="eastAsia"/>
          <w:color w:val="auto"/>
          <w:sz w:val="24"/>
        </w:rPr>
        <w:t>6.73t/d</w:t>
      </w:r>
      <w:r w:rsidR="00E01926" w:rsidRPr="00E01926">
        <w:rPr>
          <w:rFonts w:ascii="Calibri" w:hint="eastAsia"/>
          <w:color w:val="auto"/>
          <w:sz w:val="24"/>
        </w:rPr>
        <w:t>，</w:t>
      </w:r>
      <w:r w:rsidR="00E01926" w:rsidRPr="00E01926">
        <w:rPr>
          <w:rFonts w:ascii="Calibri" w:hint="eastAsia"/>
          <w:color w:val="auto"/>
          <w:sz w:val="24"/>
        </w:rPr>
        <w:t>2020.43t/a</w:t>
      </w:r>
      <w:r w:rsidR="00E01926" w:rsidRPr="00E01926">
        <w:rPr>
          <w:rFonts w:ascii="Calibri" w:hint="eastAsia"/>
          <w:color w:val="auto"/>
          <w:sz w:val="24"/>
        </w:rPr>
        <w:t>，废水量为</w:t>
      </w:r>
      <w:r w:rsidR="00E01926" w:rsidRPr="00E01926">
        <w:rPr>
          <w:rFonts w:ascii="Calibri" w:hint="eastAsia"/>
          <w:color w:val="auto"/>
          <w:sz w:val="24"/>
        </w:rPr>
        <w:t>8.889t/d</w:t>
      </w:r>
      <w:r w:rsidR="00E01926" w:rsidRPr="00E01926">
        <w:rPr>
          <w:rFonts w:ascii="Calibri" w:hint="eastAsia"/>
          <w:color w:val="auto"/>
          <w:sz w:val="24"/>
        </w:rPr>
        <w:t>，</w:t>
      </w:r>
      <w:r w:rsidR="00E01926" w:rsidRPr="00E01926">
        <w:rPr>
          <w:rFonts w:ascii="Calibri" w:hint="eastAsia"/>
          <w:color w:val="auto"/>
          <w:sz w:val="24"/>
        </w:rPr>
        <w:t>2667.895t/a</w:t>
      </w:r>
      <w:r w:rsidR="00E01926" w:rsidRPr="00E01926">
        <w:rPr>
          <w:rFonts w:ascii="Calibri" w:hint="eastAsia"/>
          <w:color w:val="auto"/>
          <w:sz w:val="24"/>
        </w:rPr>
        <w:t>。</w:t>
      </w:r>
      <w:r w:rsidR="00643331" w:rsidRPr="00643331">
        <w:rPr>
          <w:rFonts w:ascii="Calibri" w:hint="eastAsia"/>
          <w:color w:val="auto"/>
          <w:sz w:val="24"/>
        </w:rPr>
        <w:t>循环水系统、纯水制备排水</w:t>
      </w:r>
      <w:r>
        <w:rPr>
          <w:rFonts w:ascii="Calibri" w:hint="eastAsia"/>
          <w:color w:val="auto"/>
          <w:sz w:val="24"/>
        </w:rPr>
        <w:t>与废水处理站出水一起通过厂区总排放口排入集聚区市政污水管网，进入</w:t>
      </w:r>
      <w:r w:rsidR="00E01926">
        <w:rPr>
          <w:rFonts w:ascii="Calibri" w:hint="eastAsia"/>
          <w:color w:val="auto"/>
          <w:sz w:val="24"/>
        </w:rPr>
        <w:t>平顶山</w:t>
      </w:r>
      <w:r w:rsidR="00E01926">
        <w:rPr>
          <w:rFonts w:ascii="Calibri"/>
          <w:color w:val="auto"/>
          <w:sz w:val="24"/>
        </w:rPr>
        <w:t>第三污水处理厂</w:t>
      </w:r>
      <w:r>
        <w:rPr>
          <w:rFonts w:ascii="Calibri" w:hint="eastAsia"/>
          <w:color w:val="auto"/>
          <w:sz w:val="24"/>
        </w:rPr>
        <w:t>集中处理。</w:t>
      </w:r>
    </w:p>
    <w:p w14:paraId="6946E912" w14:textId="77777777" w:rsidR="00AE3F4B" w:rsidRPr="00A964FF" w:rsidRDefault="00976EBB" w:rsidP="0055605A">
      <w:pPr>
        <w:spacing w:line="500" w:lineRule="exact"/>
        <w:ind w:firstLine="482"/>
        <w:rPr>
          <w:rFonts w:ascii="Calibri"/>
          <w:b/>
          <w:bCs/>
          <w:color w:val="auto"/>
          <w:sz w:val="24"/>
        </w:rPr>
      </w:pPr>
      <w:r w:rsidRPr="00A964FF">
        <w:rPr>
          <w:rFonts w:ascii="Calibri" w:hint="eastAsia"/>
          <w:b/>
          <w:bCs/>
          <w:color w:val="auto"/>
          <w:sz w:val="24"/>
        </w:rPr>
        <w:t>2</w:t>
      </w:r>
      <w:r w:rsidRPr="00A964FF">
        <w:rPr>
          <w:rFonts w:ascii="Calibri" w:hint="eastAsia"/>
          <w:b/>
          <w:bCs/>
          <w:color w:val="auto"/>
          <w:sz w:val="24"/>
        </w:rPr>
        <w:t>、废水处理工艺</w:t>
      </w:r>
    </w:p>
    <w:p w14:paraId="6068500F" w14:textId="77777777" w:rsidR="00F13E87" w:rsidRPr="00F13E87" w:rsidRDefault="00F13E87" w:rsidP="00F13E87">
      <w:pPr>
        <w:spacing w:line="520" w:lineRule="exact"/>
        <w:ind w:firstLineChars="200" w:firstLine="480"/>
        <w:rPr>
          <w:rFonts w:asciiTheme="minorHAnsi" w:hAnsiTheme="minorHAnsi"/>
          <w:sz w:val="24"/>
          <w:szCs w:val="28"/>
        </w:rPr>
      </w:pPr>
      <w:r w:rsidRPr="00F13E87">
        <w:rPr>
          <w:rFonts w:asciiTheme="minorHAnsi" w:hAnsiTheme="minorHAnsi"/>
          <w:sz w:val="24"/>
          <w:szCs w:val="28"/>
        </w:rPr>
        <w:t>（</w:t>
      </w:r>
      <w:r w:rsidRPr="00F13E87">
        <w:rPr>
          <w:rFonts w:asciiTheme="minorHAnsi" w:hAnsiTheme="minorHAnsi"/>
          <w:sz w:val="24"/>
          <w:szCs w:val="28"/>
        </w:rPr>
        <w:t>1</w:t>
      </w:r>
      <w:r w:rsidRPr="00F13E87">
        <w:rPr>
          <w:rFonts w:asciiTheme="minorHAnsi" w:hAnsiTheme="minorHAnsi"/>
          <w:sz w:val="24"/>
          <w:szCs w:val="28"/>
        </w:rPr>
        <w:t>）项目废水特点</w:t>
      </w:r>
    </w:p>
    <w:p w14:paraId="1CD442FE" w14:textId="77777777" w:rsidR="00F13E87" w:rsidRPr="00F13E87" w:rsidRDefault="00F13E87" w:rsidP="00F13E87">
      <w:pPr>
        <w:spacing w:line="520" w:lineRule="exact"/>
        <w:ind w:firstLineChars="200" w:firstLine="480"/>
        <w:rPr>
          <w:rFonts w:asciiTheme="minorHAnsi" w:hAnsiTheme="minorHAnsi"/>
          <w:sz w:val="24"/>
          <w:szCs w:val="28"/>
        </w:rPr>
      </w:pPr>
      <w:r w:rsidRPr="00F13E87">
        <w:rPr>
          <w:rFonts w:asciiTheme="minorHAnsi" w:hAnsiTheme="minorHAnsi"/>
          <w:sz w:val="24"/>
          <w:szCs w:val="28"/>
        </w:rPr>
        <w:lastRenderedPageBreak/>
        <w:t>本项目废水主要分为两部分处理，分别为</w:t>
      </w:r>
      <w:r w:rsidRPr="00F13E87">
        <w:rPr>
          <w:rFonts w:asciiTheme="minorEastAsia" w:eastAsiaTheme="minorEastAsia" w:hAnsiTheme="minorEastAsia"/>
          <w:sz w:val="24"/>
          <w:szCs w:val="28"/>
        </w:rPr>
        <w:t>①</w:t>
      </w:r>
      <w:r w:rsidRPr="00F13E87">
        <w:rPr>
          <w:rFonts w:asciiTheme="minorHAnsi" w:hAnsiTheme="minorHAnsi"/>
          <w:sz w:val="24"/>
          <w:szCs w:val="28"/>
        </w:rPr>
        <w:t>进入厂区污水站处理的生产、生活废水和</w:t>
      </w:r>
      <w:r w:rsidRPr="00F13E87">
        <w:rPr>
          <w:rFonts w:asciiTheme="minorEastAsia" w:eastAsiaTheme="minorEastAsia" w:hAnsiTheme="minorEastAsia"/>
          <w:sz w:val="24"/>
          <w:szCs w:val="28"/>
        </w:rPr>
        <w:t>②</w:t>
      </w:r>
      <w:r w:rsidRPr="00F13E87">
        <w:rPr>
          <w:rFonts w:asciiTheme="minorHAnsi" w:hAnsiTheme="minorHAnsi"/>
          <w:sz w:val="24"/>
          <w:szCs w:val="28"/>
        </w:rPr>
        <w:t>直接从厂区总排口排放的</w:t>
      </w:r>
      <w:r w:rsidR="00643331" w:rsidRPr="00643331">
        <w:rPr>
          <w:rFonts w:asciiTheme="minorHAnsi" w:hAnsiTheme="minorHAnsi" w:hint="eastAsia"/>
          <w:sz w:val="24"/>
          <w:szCs w:val="28"/>
        </w:rPr>
        <w:t>循环水系统、纯水制备排水</w:t>
      </w:r>
      <w:r w:rsidRPr="00F13E87">
        <w:rPr>
          <w:rFonts w:asciiTheme="minorHAnsi" w:hAnsiTheme="minorHAnsi"/>
          <w:sz w:val="24"/>
          <w:szCs w:val="28"/>
        </w:rPr>
        <w:t>。</w:t>
      </w:r>
    </w:p>
    <w:p w14:paraId="161AC133" w14:textId="188482A6" w:rsidR="00F13E87" w:rsidRPr="00E01926" w:rsidRDefault="00F13E87" w:rsidP="00E01926">
      <w:pPr>
        <w:spacing w:line="520" w:lineRule="exact"/>
        <w:ind w:firstLineChars="200" w:firstLine="480"/>
        <w:rPr>
          <w:rFonts w:asciiTheme="minorHAnsi" w:hAnsiTheme="minorHAnsi"/>
          <w:sz w:val="24"/>
        </w:rPr>
      </w:pPr>
      <w:r w:rsidRPr="00F13E87">
        <w:rPr>
          <w:rFonts w:asciiTheme="minorEastAsia" w:eastAsiaTheme="minorEastAsia" w:hAnsiTheme="minorEastAsia"/>
          <w:sz w:val="24"/>
        </w:rPr>
        <w:t>①</w:t>
      </w:r>
      <w:r w:rsidR="00455B57">
        <w:rPr>
          <w:rFonts w:asciiTheme="minorHAnsi" w:hAnsiTheme="minorHAnsi" w:hint="eastAsia"/>
          <w:sz w:val="24"/>
        </w:rPr>
        <w:t>水喷淋塔废水</w:t>
      </w:r>
      <w:r w:rsidR="00455B57">
        <w:rPr>
          <w:rFonts w:asciiTheme="minorHAnsi" w:hAnsiTheme="minorHAnsi"/>
          <w:sz w:val="24"/>
        </w:rPr>
        <w:t>、</w:t>
      </w:r>
      <w:r w:rsidR="00455B57">
        <w:rPr>
          <w:rFonts w:asciiTheme="minorHAnsi" w:hAnsiTheme="minorHAnsi" w:hint="eastAsia"/>
          <w:sz w:val="24"/>
        </w:rPr>
        <w:t>聚合冷凝</w:t>
      </w:r>
      <w:r w:rsidR="00455B57">
        <w:rPr>
          <w:rFonts w:asciiTheme="minorHAnsi" w:hAnsiTheme="minorHAnsi"/>
          <w:sz w:val="24"/>
        </w:rPr>
        <w:t>废水、制粒系统冷却水、真空系统排水、</w:t>
      </w:r>
      <w:r w:rsidR="00852DCA">
        <w:rPr>
          <w:rFonts w:asciiTheme="minorHAnsi" w:hAnsiTheme="minorHAnsi" w:hint="eastAsia"/>
          <w:sz w:val="24"/>
        </w:rPr>
        <w:t>品控中心</w:t>
      </w:r>
      <w:r w:rsidR="00455B57">
        <w:rPr>
          <w:rFonts w:asciiTheme="minorHAnsi" w:hAnsiTheme="minorHAnsi"/>
          <w:sz w:val="24"/>
        </w:rPr>
        <w:t>排水、车间地面冲洗废水</w:t>
      </w:r>
      <w:r w:rsidR="00455B57">
        <w:rPr>
          <w:rFonts w:asciiTheme="minorHAnsi" w:hAnsiTheme="minorHAnsi" w:hint="eastAsia"/>
          <w:sz w:val="24"/>
        </w:rPr>
        <w:t>、</w:t>
      </w:r>
      <w:r w:rsidR="00455B57">
        <w:rPr>
          <w:rFonts w:asciiTheme="minorHAnsi" w:hAnsiTheme="minorHAnsi"/>
          <w:sz w:val="24"/>
        </w:rPr>
        <w:t>生活污水，</w:t>
      </w:r>
      <w:r w:rsidR="00455B57">
        <w:rPr>
          <w:rFonts w:asciiTheme="minorHAnsi" w:hAnsiTheme="minorHAnsi"/>
          <w:sz w:val="24"/>
          <w:szCs w:val="28"/>
        </w:rPr>
        <w:t>共计产生</w:t>
      </w:r>
      <w:r w:rsidR="00455B57">
        <w:rPr>
          <w:rFonts w:asciiTheme="minorHAnsi" w:hAnsiTheme="minorHAnsi"/>
          <w:sz w:val="24"/>
        </w:rPr>
        <w:t>量</w:t>
      </w:r>
      <w:r w:rsidR="00E01926" w:rsidRPr="00E01926">
        <w:rPr>
          <w:rFonts w:asciiTheme="minorHAnsi" w:hAnsiTheme="minorHAnsi"/>
          <w:sz w:val="24"/>
        </w:rPr>
        <w:t>14365.035</w:t>
      </w:r>
      <w:r w:rsidR="00455B57">
        <w:rPr>
          <w:rFonts w:asciiTheme="minorHAnsi" w:hAnsiTheme="minorHAnsi"/>
          <w:sz w:val="24"/>
        </w:rPr>
        <w:t>m</w:t>
      </w:r>
      <w:r w:rsidR="00455B57">
        <w:rPr>
          <w:rFonts w:asciiTheme="minorHAnsi" w:hAnsiTheme="minorHAnsi"/>
          <w:sz w:val="24"/>
          <w:vertAlign w:val="superscript"/>
        </w:rPr>
        <w:t>3</w:t>
      </w:r>
      <w:r w:rsidR="00455B57">
        <w:rPr>
          <w:rFonts w:asciiTheme="minorHAnsi" w:hAnsiTheme="minorHAnsi"/>
          <w:sz w:val="24"/>
        </w:rPr>
        <w:t>/a</w:t>
      </w:r>
      <w:r w:rsidR="00455B57">
        <w:rPr>
          <w:rFonts w:asciiTheme="minorHAnsi" w:hAnsiTheme="minorHAnsi"/>
          <w:sz w:val="24"/>
        </w:rPr>
        <w:t>，最大日产生量</w:t>
      </w:r>
      <w:r w:rsidR="00E01926" w:rsidRPr="00E01926">
        <w:rPr>
          <w:rFonts w:asciiTheme="minorHAnsi" w:hAnsiTheme="minorHAnsi"/>
          <w:sz w:val="24"/>
        </w:rPr>
        <w:t>47.88</w:t>
      </w:r>
      <w:r w:rsidR="00455B57">
        <w:rPr>
          <w:rFonts w:asciiTheme="minorHAnsi" w:hAnsiTheme="minorHAnsi"/>
          <w:sz w:val="24"/>
        </w:rPr>
        <w:t>m</w:t>
      </w:r>
      <w:r w:rsidR="00455B57">
        <w:rPr>
          <w:rFonts w:asciiTheme="minorHAnsi" w:hAnsiTheme="minorHAnsi"/>
          <w:sz w:val="24"/>
          <w:vertAlign w:val="superscript"/>
        </w:rPr>
        <w:t>3</w:t>
      </w:r>
      <w:r w:rsidR="00455B57">
        <w:rPr>
          <w:rFonts w:asciiTheme="minorHAnsi" w:hAnsiTheme="minorHAnsi"/>
          <w:sz w:val="24"/>
        </w:rPr>
        <w:t>/d</w:t>
      </w:r>
      <w:r w:rsidR="00455B57">
        <w:rPr>
          <w:rFonts w:asciiTheme="minorHAnsi" w:hAnsiTheme="minorHAnsi"/>
          <w:sz w:val="24"/>
        </w:rPr>
        <w:t>，废水水质约为</w:t>
      </w:r>
      <w:r w:rsidR="00455B57">
        <w:rPr>
          <w:rFonts w:asciiTheme="minorHAnsi" w:hAnsiTheme="minorHAnsi"/>
          <w:sz w:val="24"/>
        </w:rPr>
        <w:t>COD</w:t>
      </w:r>
      <w:r w:rsidR="00455B57" w:rsidRPr="00EF2B6E">
        <w:rPr>
          <w:rFonts w:asciiTheme="minorHAnsi" w:hAnsiTheme="minorHAnsi"/>
          <w:sz w:val="24"/>
        </w:rPr>
        <w:t>：</w:t>
      </w:r>
      <w:r w:rsidR="00E01926" w:rsidRPr="00E01926">
        <w:rPr>
          <w:rFonts w:ascii="Calibri" w:hAnsi="Calibri"/>
          <w:snapToGrid w:val="0"/>
          <w:sz w:val="24"/>
        </w:rPr>
        <w:t>2211.34</w:t>
      </w:r>
      <w:r w:rsidR="00455B57" w:rsidRPr="00EF2B6E">
        <w:rPr>
          <w:rFonts w:asciiTheme="minorHAnsi" w:hAnsiTheme="minorHAnsi"/>
          <w:sz w:val="24"/>
        </w:rPr>
        <w:t>mg/</w:t>
      </w:r>
      <w:r w:rsidR="00455B57">
        <w:rPr>
          <w:rFonts w:asciiTheme="minorHAnsi" w:hAnsiTheme="minorHAnsi"/>
          <w:sz w:val="24"/>
        </w:rPr>
        <w:t>L</w:t>
      </w:r>
      <w:r w:rsidR="00455B57">
        <w:rPr>
          <w:rFonts w:asciiTheme="minorHAnsi" w:hAnsiTheme="minorHAnsi"/>
          <w:sz w:val="24"/>
        </w:rPr>
        <w:t>、</w:t>
      </w:r>
      <w:r w:rsidR="00455B57">
        <w:rPr>
          <w:rFonts w:asciiTheme="minorHAnsi" w:hAnsiTheme="minorHAnsi"/>
          <w:sz w:val="24"/>
        </w:rPr>
        <w:t>BOD</w:t>
      </w:r>
      <w:r w:rsidR="00455B57">
        <w:rPr>
          <w:rFonts w:asciiTheme="minorHAnsi" w:hAnsiTheme="minorHAnsi"/>
          <w:sz w:val="24"/>
          <w:vertAlign w:val="subscript"/>
        </w:rPr>
        <w:t>5</w:t>
      </w:r>
      <w:r w:rsidR="00455B57">
        <w:rPr>
          <w:rFonts w:asciiTheme="minorHAnsi" w:hAnsiTheme="minorHAnsi"/>
          <w:sz w:val="24"/>
        </w:rPr>
        <w:t>：</w:t>
      </w:r>
      <w:r w:rsidR="00E01926" w:rsidRPr="00E01926">
        <w:rPr>
          <w:rFonts w:asciiTheme="minorHAnsi" w:hAnsiTheme="minorHAnsi"/>
          <w:sz w:val="24"/>
        </w:rPr>
        <w:t>1102.95</w:t>
      </w:r>
      <w:r w:rsidR="00455B57">
        <w:rPr>
          <w:rFonts w:asciiTheme="minorHAnsi" w:hAnsiTheme="minorHAnsi"/>
          <w:sz w:val="24"/>
        </w:rPr>
        <w:t>mg/L</w:t>
      </w:r>
      <w:r w:rsidR="00455B57">
        <w:rPr>
          <w:rFonts w:asciiTheme="minorHAnsi" w:hAnsiTheme="minorHAnsi"/>
          <w:sz w:val="24"/>
        </w:rPr>
        <w:t>、</w:t>
      </w:r>
      <w:r w:rsidR="00455B57">
        <w:rPr>
          <w:rFonts w:asciiTheme="minorHAnsi" w:hAnsiTheme="minorHAnsi"/>
          <w:sz w:val="24"/>
        </w:rPr>
        <w:t>NH</w:t>
      </w:r>
      <w:r w:rsidR="00455B57" w:rsidRPr="00EF2B6E">
        <w:rPr>
          <w:rFonts w:asciiTheme="minorHAnsi" w:hAnsiTheme="minorHAnsi"/>
          <w:sz w:val="24"/>
          <w:vertAlign w:val="subscript"/>
        </w:rPr>
        <w:t>3</w:t>
      </w:r>
      <w:r w:rsidR="00455B57">
        <w:rPr>
          <w:rFonts w:asciiTheme="minorHAnsi" w:hAnsiTheme="minorHAnsi"/>
          <w:sz w:val="24"/>
        </w:rPr>
        <w:t>-N</w:t>
      </w:r>
      <w:r w:rsidR="00455B57">
        <w:rPr>
          <w:rFonts w:asciiTheme="minorHAnsi" w:hAnsiTheme="minorHAnsi"/>
          <w:sz w:val="24"/>
        </w:rPr>
        <w:t>：</w:t>
      </w:r>
      <w:r w:rsidR="00E01926" w:rsidRPr="00E01926">
        <w:rPr>
          <w:rFonts w:asciiTheme="minorHAnsi" w:hAnsiTheme="minorHAnsi"/>
          <w:sz w:val="24"/>
        </w:rPr>
        <w:t>148.97</w:t>
      </w:r>
      <w:r w:rsidR="00455B57">
        <w:rPr>
          <w:rFonts w:asciiTheme="minorHAnsi" w:hAnsiTheme="minorHAnsi"/>
          <w:sz w:val="24"/>
        </w:rPr>
        <w:t>mg/L</w:t>
      </w:r>
      <w:r w:rsidR="00455B57">
        <w:rPr>
          <w:rFonts w:asciiTheme="minorHAnsi" w:hAnsiTheme="minorHAnsi"/>
          <w:sz w:val="24"/>
        </w:rPr>
        <w:t>、</w:t>
      </w:r>
      <w:r w:rsidR="00455B57">
        <w:rPr>
          <w:rFonts w:asciiTheme="minorHAnsi" w:hAnsiTheme="minorHAnsi"/>
          <w:sz w:val="24"/>
        </w:rPr>
        <w:t>SS</w:t>
      </w:r>
      <w:r w:rsidR="00455B57">
        <w:rPr>
          <w:rFonts w:asciiTheme="minorHAnsi" w:hAnsiTheme="minorHAnsi"/>
          <w:sz w:val="24"/>
        </w:rPr>
        <w:t>：</w:t>
      </w:r>
      <w:r w:rsidR="00E01926" w:rsidRPr="00E01926">
        <w:rPr>
          <w:rFonts w:asciiTheme="minorHAnsi" w:hAnsiTheme="minorHAnsi"/>
          <w:sz w:val="24"/>
        </w:rPr>
        <w:t>120.45</w:t>
      </w:r>
      <w:r w:rsidR="00455B57">
        <w:rPr>
          <w:rFonts w:asciiTheme="minorHAnsi" w:hAnsiTheme="minorHAnsi"/>
          <w:sz w:val="24"/>
        </w:rPr>
        <w:t>mg/L</w:t>
      </w:r>
      <w:r w:rsidR="00E01926">
        <w:rPr>
          <w:rFonts w:asciiTheme="minorHAnsi" w:hAnsiTheme="minorHAnsi"/>
          <w:sz w:val="24"/>
        </w:rPr>
        <w:t>、</w:t>
      </w:r>
      <w:r w:rsidR="00E01926">
        <w:rPr>
          <w:rFonts w:asciiTheme="minorHAnsi" w:hAnsiTheme="minorHAnsi"/>
          <w:sz w:val="24"/>
        </w:rPr>
        <w:t>TN</w:t>
      </w:r>
      <w:r w:rsidR="00E01926">
        <w:rPr>
          <w:rFonts w:asciiTheme="minorHAnsi" w:hAnsiTheme="minorHAnsi" w:hint="eastAsia"/>
          <w:sz w:val="24"/>
        </w:rPr>
        <w:t>：</w:t>
      </w:r>
      <w:r w:rsidR="00E01926" w:rsidRPr="00E01926">
        <w:rPr>
          <w:rFonts w:asciiTheme="minorHAnsi" w:hAnsiTheme="minorHAnsi"/>
          <w:sz w:val="24"/>
        </w:rPr>
        <w:t>134.49</w:t>
      </w:r>
      <w:r w:rsidR="00E01926">
        <w:rPr>
          <w:rFonts w:asciiTheme="minorHAnsi" w:hAnsiTheme="minorHAnsi"/>
          <w:sz w:val="24"/>
        </w:rPr>
        <w:t>mg/L</w:t>
      </w:r>
      <w:r w:rsidR="00455B57">
        <w:rPr>
          <w:rFonts w:asciiTheme="minorHAnsi" w:hAnsiTheme="minorHAnsi"/>
          <w:sz w:val="24"/>
        </w:rPr>
        <w:t>。该部分</w:t>
      </w:r>
      <w:r w:rsidR="00E01926">
        <w:rPr>
          <w:rFonts w:asciiTheme="minorHAnsi" w:hAnsiTheme="minorHAnsi"/>
          <w:sz w:val="24"/>
          <w:szCs w:val="28"/>
        </w:rPr>
        <w:t>经厂内污水处理站处理后，进入平顶山</w:t>
      </w:r>
      <w:r w:rsidR="00455B57">
        <w:rPr>
          <w:rFonts w:asciiTheme="minorHAnsi" w:hAnsiTheme="minorHAnsi"/>
          <w:sz w:val="24"/>
          <w:szCs w:val="28"/>
        </w:rPr>
        <w:t>第三污水处理厂进行处理，处理达标后汇入关庙沟</w:t>
      </w:r>
      <w:r w:rsidR="00455B57">
        <w:rPr>
          <w:rFonts w:asciiTheme="minorHAnsi" w:hAnsiTheme="minorHAnsi"/>
          <w:sz w:val="24"/>
          <w:szCs w:val="28"/>
        </w:rPr>
        <w:t>-</w:t>
      </w:r>
      <w:r w:rsidR="00455B57">
        <w:rPr>
          <w:rFonts w:asciiTheme="minorHAnsi" w:hAnsiTheme="minorHAnsi"/>
          <w:sz w:val="24"/>
          <w:szCs w:val="28"/>
        </w:rPr>
        <w:t>灰河。</w:t>
      </w:r>
    </w:p>
    <w:p w14:paraId="1B727A7A" w14:textId="3668C7AE" w:rsidR="00F13E87" w:rsidRPr="00643331" w:rsidRDefault="00F13E87" w:rsidP="00643331">
      <w:pPr>
        <w:spacing w:line="520" w:lineRule="exact"/>
        <w:ind w:firstLineChars="200" w:firstLine="480"/>
        <w:rPr>
          <w:rFonts w:asciiTheme="minorHAnsi" w:hAnsiTheme="minorHAnsi"/>
          <w:sz w:val="24"/>
        </w:rPr>
      </w:pPr>
      <w:r w:rsidRPr="00F13E87">
        <w:rPr>
          <w:rFonts w:asciiTheme="minorEastAsia" w:eastAsiaTheme="minorEastAsia" w:hAnsiTheme="minorEastAsia"/>
          <w:sz w:val="24"/>
          <w:szCs w:val="28"/>
        </w:rPr>
        <w:t>②</w:t>
      </w:r>
      <w:r w:rsidR="00455B57">
        <w:rPr>
          <w:rFonts w:asciiTheme="minorHAnsi" w:hAnsiTheme="minorHAnsi" w:hint="eastAsia"/>
          <w:sz w:val="24"/>
        </w:rPr>
        <w:t>循环冷却排污水</w:t>
      </w:r>
      <w:r w:rsidR="00455B57">
        <w:rPr>
          <w:rFonts w:asciiTheme="minorHAnsi" w:hAnsiTheme="minorHAnsi"/>
          <w:sz w:val="24"/>
        </w:rPr>
        <w:t>、</w:t>
      </w:r>
      <w:r w:rsidR="00643331">
        <w:rPr>
          <w:rFonts w:asciiTheme="minorHAnsi" w:hAnsiTheme="minorHAnsi" w:hint="eastAsia"/>
          <w:sz w:val="24"/>
        </w:rPr>
        <w:t>纯水</w:t>
      </w:r>
      <w:r w:rsidR="00455B57">
        <w:rPr>
          <w:rFonts w:asciiTheme="minorHAnsi" w:hAnsiTheme="minorHAnsi"/>
          <w:sz w:val="24"/>
        </w:rPr>
        <w:t>制备废水</w:t>
      </w:r>
      <w:r w:rsidR="00643331">
        <w:rPr>
          <w:rFonts w:asciiTheme="minorHAnsi" w:hAnsiTheme="minorHAnsi" w:hint="eastAsia"/>
          <w:sz w:val="24"/>
        </w:rPr>
        <w:t>含污染物极少</w:t>
      </w:r>
      <w:r w:rsidR="00643331">
        <w:rPr>
          <w:rFonts w:asciiTheme="minorHAnsi" w:hAnsiTheme="minorHAnsi"/>
          <w:sz w:val="24"/>
        </w:rPr>
        <w:t>，</w:t>
      </w:r>
      <w:r w:rsidR="00455B57">
        <w:rPr>
          <w:rFonts w:asciiTheme="minorHAnsi" w:hAnsiTheme="minorHAnsi"/>
          <w:sz w:val="24"/>
          <w:szCs w:val="28"/>
        </w:rPr>
        <w:t>产生</w:t>
      </w:r>
      <w:r w:rsidR="00455B57">
        <w:rPr>
          <w:rFonts w:asciiTheme="minorHAnsi" w:hAnsiTheme="minorHAnsi"/>
          <w:sz w:val="24"/>
        </w:rPr>
        <w:t>量</w:t>
      </w:r>
      <w:r w:rsidR="00E01926" w:rsidRPr="00E01926">
        <w:rPr>
          <w:rFonts w:asciiTheme="minorHAnsi" w:hAnsiTheme="minorHAnsi"/>
          <w:sz w:val="24"/>
        </w:rPr>
        <w:t>1029.82</w:t>
      </w:r>
      <w:r w:rsidR="00455B57">
        <w:rPr>
          <w:rFonts w:asciiTheme="minorHAnsi" w:hAnsiTheme="minorHAnsi"/>
          <w:sz w:val="24"/>
        </w:rPr>
        <w:t>m</w:t>
      </w:r>
      <w:r w:rsidR="00455B57">
        <w:rPr>
          <w:rFonts w:asciiTheme="minorHAnsi" w:hAnsiTheme="minorHAnsi"/>
          <w:sz w:val="24"/>
          <w:vertAlign w:val="superscript"/>
        </w:rPr>
        <w:t>3</w:t>
      </w:r>
      <w:r w:rsidR="00455B57">
        <w:rPr>
          <w:rFonts w:asciiTheme="minorHAnsi" w:hAnsiTheme="minorHAnsi"/>
          <w:sz w:val="24"/>
        </w:rPr>
        <w:t>/a</w:t>
      </w:r>
      <w:r w:rsidR="00455B57">
        <w:rPr>
          <w:rFonts w:asciiTheme="minorHAnsi" w:hAnsiTheme="minorHAnsi"/>
          <w:sz w:val="24"/>
        </w:rPr>
        <w:t>，</w:t>
      </w:r>
      <w:r w:rsidR="00455B57">
        <w:rPr>
          <w:rFonts w:asciiTheme="minorHAnsi" w:hAnsiTheme="minorHAnsi"/>
          <w:sz w:val="24"/>
          <w:szCs w:val="28"/>
        </w:rPr>
        <w:t>3.42m</w:t>
      </w:r>
      <w:r w:rsidR="00455B57">
        <w:rPr>
          <w:rFonts w:asciiTheme="minorHAnsi" w:hAnsiTheme="minorHAnsi"/>
          <w:sz w:val="24"/>
          <w:szCs w:val="28"/>
          <w:vertAlign w:val="superscript"/>
        </w:rPr>
        <w:t>3</w:t>
      </w:r>
      <w:r w:rsidR="00455B57">
        <w:rPr>
          <w:rFonts w:asciiTheme="minorHAnsi" w:hAnsiTheme="minorHAnsi"/>
          <w:sz w:val="24"/>
          <w:szCs w:val="28"/>
        </w:rPr>
        <w:t>/d</w:t>
      </w:r>
      <w:r w:rsidR="00455B57">
        <w:rPr>
          <w:rFonts w:asciiTheme="minorHAnsi" w:hAnsiTheme="minorHAnsi"/>
          <w:sz w:val="24"/>
          <w:szCs w:val="28"/>
        </w:rPr>
        <w:t>，水质约为</w:t>
      </w:r>
      <w:r w:rsidR="00455B57">
        <w:rPr>
          <w:rFonts w:asciiTheme="minorHAnsi" w:hAnsiTheme="minorHAnsi"/>
          <w:sz w:val="24"/>
          <w:szCs w:val="28"/>
        </w:rPr>
        <w:t>COD</w:t>
      </w:r>
      <w:r w:rsidR="00455B57">
        <w:rPr>
          <w:rFonts w:asciiTheme="minorHAnsi" w:hAnsiTheme="minorHAnsi" w:hint="eastAsia"/>
          <w:sz w:val="24"/>
          <w:szCs w:val="28"/>
        </w:rPr>
        <w:t>：</w:t>
      </w:r>
      <w:r w:rsidR="00455B57">
        <w:rPr>
          <w:rFonts w:asciiTheme="minorHAnsi" w:hAnsiTheme="minorHAnsi"/>
          <w:sz w:val="24"/>
          <w:szCs w:val="28"/>
        </w:rPr>
        <w:t>50mg/L</w:t>
      </w:r>
      <w:r w:rsidR="00455B57">
        <w:rPr>
          <w:rFonts w:asciiTheme="minorHAnsi" w:hAnsiTheme="minorHAnsi"/>
          <w:sz w:val="24"/>
          <w:szCs w:val="28"/>
        </w:rPr>
        <w:t>、</w:t>
      </w:r>
      <w:r w:rsidR="00455B57">
        <w:rPr>
          <w:rFonts w:asciiTheme="minorHAnsi" w:hAnsiTheme="minorHAnsi"/>
          <w:sz w:val="24"/>
          <w:szCs w:val="28"/>
        </w:rPr>
        <w:t>SS</w:t>
      </w:r>
      <w:r w:rsidR="00455B57">
        <w:rPr>
          <w:rFonts w:asciiTheme="minorHAnsi" w:hAnsiTheme="minorHAnsi" w:hint="eastAsia"/>
          <w:sz w:val="24"/>
          <w:szCs w:val="28"/>
        </w:rPr>
        <w:t>：</w:t>
      </w:r>
      <w:r w:rsidR="00455B57">
        <w:rPr>
          <w:rFonts w:asciiTheme="minorHAnsi" w:hAnsiTheme="minorHAnsi"/>
          <w:sz w:val="24"/>
          <w:szCs w:val="28"/>
        </w:rPr>
        <w:t>5</w:t>
      </w:r>
      <w:r w:rsidR="00E01926">
        <w:rPr>
          <w:rFonts w:asciiTheme="minorHAnsi" w:hAnsiTheme="minorHAnsi"/>
          <w:sz w:val="24"/>
          <w:szCs w:val="28"/>
        </w:rPr>
        <w:t>0</w:t>
      </w:r>
      <w:r w:rsidR="00455B57">
        <w:rPr>
          <w:rFonts w:asciiTheme="minorHAnsi" w:hAnsiTheme="minorHAnsi"/>
          <w:sz w:val="24"/>
          <w:szCs w:val="28"/>
        </w:rPr>
        <w:t>mg/L</w:t>
      </w:r>
      <w:r w:rsidR="00E01926">
        <w:rPr>
          <w:rFonts w:asciiTheme="minorHAnsi" w:hAnsiTheme="minorHAnsi"/>
          <w:sz w:val="24"/>
          <w:szCs w:val="28"/>
        </w:rPr>
        <w:t>，直接排入企业总排放口，进入平顶山</w:t>
      </w:r>
      <w:r w:rsidR="00455B57">
        <w:rPr>
          <w:rFonts w:asciiTheme="minorHAnsi" w:hAnsiTheme="minorHAnsi"/>
          <w:sz w:val="24"/>
          <w:szCs w:val="28"/>
        </w:rPr>
        <w:t>第三污水处理厂进行处理，处理达标后汇入关庙沟</w:t>
      </w:r>
      <w:r w:rsidR="00455B57">
        <w:rPr>
          <w:rFonts w:asciiTheme="minorHAnsi" w:hAnsiTheme="minorHAnsi"/>
          <w:sz w:val="24"/>
          <w:szCs w:val="28"/>
        </w:rPr>
        <w:t>-</w:t>
      </w:r>
      <w:r w:rsidR="00455B57">
        <w:rPr>
          <w:rFonts w:asciiTheme="minorHAnsi" w:hAnsiTheme="minorHAnsi"/>
          <w:sz w:val="24"/>
          <w:szCs w:val="28"/>
        </w:rPr>
        <w:t>灰河。</w:t>
      </w:r>
    </w:p>
    <w:p w14:paraId="11D14F99" w14:textId="77777777" w:rsidR="006C3F7F" w:rsidRPr="006C3F7F" w:rsidRDefault="006C3F7F" w:rsidP="006C3F7F">
      <w:pPr>
        <w:spacing w:line="520" w:lineRule="exact"/>
        <w:ind w:firstLineChars="200" w:firstLine="480"/>
        <w:rPr>
          <w:rFonts w:asciiTheme="minorHAnsi" w:hAnsiTheme="minorHAnsi"/>
          <w:sz w:val="24"/>
          <w:szCs w:val="28"/>
        </w:rPr>
      </w:pPr>
      <w:r w:rsidRPr="006C3F7F">
        <w:rPr>
          <w:rFonts w:asciiTheme="minorHAnsi" w:hAnsiTheme="minorHAnsi"/>
          <w:sz w:val="24"/>
          <w:szCs w:val="28"/>
        </w:rPr>
        <w:t>（</w:t>
      </w:r>
      <w:r w:rsidRPr="006C3F7F">
        <w:rPr>
          <w:rFonts w:asciiTheme="minorHAnsi" w:hAnsiTheme="minorHAnsi"/>
          <w:sz w:val="24"/>
          <w:szCs w:val="28"/>
        </w:rPr>
        <w:t>2</w:t>
      </w:r>
      <w:r w:rsidRPr="006C3F7F">
        <w:rPr>
          <w:rFonts w:asciiTheme="minorHAnsi" w:hAnsiTheme="minorHAnsi"/>
          <w:sz w:val="24"/>
          <w:szCs w:val="28"/>
        </w:rPr>
        <w:t>）本</w:t>
      </w:r>
      <w:r>
        <w:rPr>
          <w:rFonts w:asciiTheme="minorHAnsi" w:hAnsiTheme="minorHAnsi" w:hint="eastAsia"/>
          <w:sz w:val="24"/>
          <w:szCs w:val="28"/>
        </w:rPr>
        <w:t>项目</w:t>
      </w:r>
      <w:r w:rsidRPr="006C3F7F">
        <w:rPr>
          <w:rFonts w:asciiTheme="minorHAnsi" w:hAnsiTheme="minorHAnsi"/>
          <w:sz w:val="24"/>
          <w:szCs w:val="28"/>
        </w:rPr>
        <w:t>废水处理规模及处理工艺</w:t>
      </w:r>
    </w:p>
    <w:p w14:paraId="25E759AE" w14:textId="5B05A98A" w:rsidR="006C3F7F" w:rsidRDefault="006C3F7F" w:rsidP="006C3F7F">
      <w:pPr>
        <w:spacing w:line="520" w:lineRule="exact"/>
        <w:ind w:firstLineChars="200" w:firstLine="480"/>
        <w:rPr>
          <w:sz w:val="24"/>
          <w:szCs w:val="28"/>
        </w:rPr>
      </w:pPr>
      <w:r>
        <w:rPr>
          <w:rFonts w:hint="eastAsia"/>
          <w:sz w:val="24"/>
          <w:szCs w:val="28"/>
        </w:rPr>
        <w:t>根据核算，本工</w:t>
      </w:r>
      <w:r w:rsidRPr="006C3F7F">
        <w:rPr>
          <w:rFonts w:asciiTheme="minorHAnsi" w:hAnsiTheme="minorHAnsi"/>
          <w:sz w:val="24"/>
          <w:szCs w:val="28"/>
        </w:rPr>
        <w:t>程污水站日最大进水量为</w:t>
      </w:r>
      <w:r w:rsidR="0036124D">
        <w:rPr>
          <w:rFonts w:asciiTheme="minorHAnsi" w:hAnsiTheme="minorHAnsi"/>
          <w:sz w:val="24"/>
          <w:szCs w:val="28"/>
        </w:rPr>
        <w:t>47.88</w:t>
      </w:r>
      <w:r w:rsidRPr="006C3F7F">
        <w:rPr>
          <w:rFonts w:asciiTheme="minorHAnsi" w:hAnsiTheme="minorHAnsi"/>
          <w:sz w:val="24"/>
          <w:szCs w:val="28"/>
        </w:rPr>
        <w:t>t/d</w:t>
      </w:r>
      <w:r w:rsidRPr="006C3F7F">
        <w:rPr>
          <w:rFonts w:asciiTheme="minorHAnsi" w:hAnsiTheme="minorHAnsi"/>
          <w:sz w:val="24"/>
          <w:szCs w:val="28"/>
        </w:rPr>
        <w:t>，公司考</w:t>
      </w:r>
      <w:r>
        <w:rPr>
          <w:rFonts w:hint="eastAsia"/>
          <w:sz w:val="24"/>
          <w:szCs w:val="28"/>
        </w:rPr>
        <w:t>虑到厂区</w:t>
      </w:r>
      <w:r w:rsidR="00851FAF">
        <w:rPr>
          <w:rFonts w:hint="eastAsia"/>
          <w:sz w:val="24"/>
          <w:szCs w:val="28"/>
        </w:rPr>
        <w:t>三期</w:t>
      </w:r>
      <w:r>
        <w:rPr>
          <w:rFonts w:hint="eastAsia"/>
          <w:sz w:val="24"/>
          <w:szCs w:val="28"/>
        </w:rPr>
        <w:t>发展，</w:t>
      </w:r>
      <w:r w:rsidRPr="006C3F7F">
        <w:rPr>
          <w:rFonts w:asciiTheme="minorHAnsi" w:hAnsiTheme="minorHAnsi"/>
          <w:sz w:val="24"/>
          <w:szCs w:val="28"/>
        </w:rPr>
        <w:t>设计污水站处理规模为</w:t>
      </w:r>
      <w:r w:rsidR="008C1537">
        <w:rPr>
          <w:rFonts w:asciiTheme="minorHAnsi" w:hAnsiTheme="minorHAnsi"/>
          <w:sz w:val="24"/>
          <w:szCs w:val="28"/>
        </w:rPr>
        <w:t>100</w:t>
      </w:r>
      <w:r w:rsidRPr="006C3F7F">
        <w:rPr>
          <w:rFonts w:asciiTheme="minorHAnsi" w:hAnsiTheme="minorHAnsi"/>
          <w:sz w:val="24"/>
          <w:szCs w:val="28"/>
        </w:rPr>
        <w:t>t/d</w:t>
      </w:r>
      <w:r w:rsidRPr="006C3F7F">
        <w:rPr>
          <w:rFonts w:asciiTheme="minorHAnsi" w:hAnsiTheme="minorHAnsi"/>
          <w:sz w:val="24"/>
          <w:szCs w:val="28"/>
        </w:rPr>
        <w:t>，污水站处理规模能够满足本次项目污水</w:t>
      </w:r>
      <w:r>
        <w:rPr>
          <w:rFonts w:hint="eastAsia"/>
          <w:sz w:val="24"/>
          <w:szCs w:val="28"/>
        </w:rPr>
        <w:t>处理需求。</w:t>
      </w:r>
    </w:p>
    <w:p w14:paraId="3256A574" w14:textId="7082AE02" w:rsidR="009E71ED" w:rsidRDefault="00455B57" w:rsidP="00FB4A29">
      <w:pPr>
        <w:spacing w:line="520" w:lineRule="exact"/>
        <w:ind w:firstLineChars="200" w:firstLine="480"/>
        <w:rPr>
          <w:rFonts w:ascii="Calibri" w:hAnsi="Calibri"/>
          <w:bCs/>
          <w:color w:val="auto"/>
          <w:sz w:val="24"/>
        </w:rPr>
      </w:pPr>
      <w:r>
        <w:rPr>
          <w:noProof/>
          <w:sz w:val="24"/>
          <w:szCs w:val="28"/>
        </w:rPr>
        <mc:AlternateContent>
          <mc:Choice Requires="wps">
            <w:drawing>
              <wp:anchor distT="0" distB="0" distL="114300" distR="114300" simplePos="0" relativeHeight="253694464" behindDoc="0" locked="0" layoutInCell="1" allowOverlap="1" wp14:anchorId="307BF8B2" wp14:editId="1F0083AE">
                <wp:simplePos x="0" y="0"/>
                <wp:positionH relativeFrom="column">
                  <wp:posOffset>4859020</wp:posOffset>
                </wp:positionH>
                <wp:positionV relativeFrom="paragraph">
                  <wp:posOffset>487680</wp:posOffset>
                </wp:positionV>
                <wp:extent cx="342900" cy="647700"/>
                <wp:effectExtent l="0" t="0" r="0" b="0"/>
                <wp:wrapNone/>
                <wp:docPr id="32" name="矩形 32"/>
                <wp:cNvGraphicFramePr/>
                <a:graphic xmlns:a="http://schemas.openxmlformats.org/drawingml/2006/main">
                  <a:graphicData uri="http://schemas.microsoft.com/office/word/2010/wordprocessingShape">
                    <wps:wsp>
                      <wps:cNvSpPr/>
                      <wps:spPr>
                        <a:xfrm>
                          <a:off x="0" y="0"/>
                          <a:ext cx="34290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B7C15AA" id="矩形 32" o:spid="_x0000_s1026" style="position:absolute;left:0;text-align:left;margin-left:382.6pt;margin-top:38.4pt;width:27pt;height:51pt;z-index:2536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" fillcolor="white [3212]" stroked="f" strokeweight="2pt"/>
            </w:pict>
          </mc:Fallback>
        </mc:AlternateContent>
      </w:r>
      <w:r w:rsidR="006C3F7F">
        <w:rPr>
          <w:rFonts w:hint="eastAsia"/>
          <w:sz w:val="24"/>
          <w:szCs w:val="28"/>
        </w:rPr>
        <w:t>本项目</w:t>
      </w:r>
      <w:r w:rsidR="006C3F7F" w:rsidRPr="006C3F7F">
        <w:rPr>
          <w:rFonts w:hint="eastAsia"/>
          <w:sz w:val="24"/>
          <w:szCs w:val="28"/>
        </w:rPr>
        <w:t>采用“水解酸化</w:t>
      </w:r>
      <w:r w:rsidR="006C3F7F" w:rsidRPr="006C3F7F">
        <w:rPr>
          <w:rFonts w:hint="eastAsia"/>
          <w:sz w:val="24"/>
          <w:szCs w:val="28"/>
        </w:rPr>
        <w:t>+</w:t>
      </w:r>
      <w:r w:rsidR="006C3F7F" w:rsidRPr="008C1537">
        <w:rPr>
          <w:rFonts w:asciiTheme="minorHAnsi" w:hAnsiTheme="minorHAnsi"/>
          <w:sz w:val="24"/>
          <w:szCs w:val="28"/>
        </w:rPr>
        <w:t>A/O+</w:t>
      </w:r>
      <w:r w:rsidR="006C3F7F" w:rsidRPr="006C3F7F">
        <w:rPr>
          <w:rFonts w:hint="eastAsia"/>
          <w:sz w:val="24"/>
          <w:szCs w:val="28"/>
        </w:rPr>
        <w:t>二沉池”工艺</w:t>
      </w:r>
      <w:r w:rsidR="006C3F7F">
        <w:rPr>
          <w:rFonts w:hint="eastAsia"/>
          <w:sz w:val="24"/>
          <w:szCs w:val="28"/>
        </w:rPr>
        <w:t>，</w:t>
      </w:r>
      <w:r w:rsidR="006C3F7F" w:rsidRPr="00A964FF">
        <w:rPr>
          <w:rFonts w:ascii="Calibri" w:hAnsi="Calibri" w:hint="eastAsia"/>
          <w:bCs/>
          <w:color w:val="auto"/>
          <w:sz w:val="24"/>
        </w:rPr>
        <w:t>保证出水可以实现达标排放。</w:t>
      </w:r>
    </w:p>
    <w:p w14:paraId="4116171A" w14:textId="77777777" w:rsidR="009E71ED" w:rsidRDefault="009E71ED" w:rsidP="009E71ED">
      <w:pPr>
        <w:ind w:firstLineChars="200" w:firstLine="480"/>
        <w:rPr>
          <w:rFonts w:ascii="Calibri" w:hAnsi="Calibri"/>
          <w:bCs/>
          <w:color w:val="auto"/>
          <w:sz w:val="24"/>
        </w:rPr>
      </w:pPr>
    </w:p>
    <w:p w14:paraId="0781109F" w14:textId="77777777" w:rsidR="009E71ED" w:rsidRDefault="009E71ED" w:rsidP="00643331">
      <w:pPr>
        <w:spacing w:line="520" w:lineRule="exact"/>
        <w:ind w:firstLineChars="200" w:firstLine="420"/>
        <w:rPr>
          <w:rFonts w:ascii="Calibri" w:hAnsi="Calibri"/>
          <w:bCs/>
          <w:color w:val="auto"/>
          <w:sz w:val="24"/>
        </w:rPr>
      </w:pPr>
      <w:r>
        <w:rPr>
          <w:noProof/>
        </w:rPr>
        <w:drawing>
          <wp:anchor distT="0" distB="0" distL="114300" distR="114300" simplePos="0" relativeHeight="253700608" behindDoc="0" locked="0" layoutInCell="1" allowOverlap="1" wp14:anchorId="71C87AD5" wp14:editId="331D284D">
            <wp:simplePos x="0" y="0"/>
            <wp:positionH relativeFrom="margin">
              <wp:align>center</wp:align>
            </wp:positionH>
            <wp:positionV relativeFrom="paragraph">
              <wp:posOffset>7620</wp:posOffset>
            </wp:positionV>
            <wp:extent cx="5143500" cy="2080967"/>
            <wp:effectExtent l="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143500" cy="2080967"/>
                    </a:xfrm>
                    <a:prstGeom prst="rect">
                      <a:avLst/>
                    </a:prstGeom>
                  </pic:spPr>
                </pic:pic>
              </a:graphicData>
            </a:graphic>
            <wp14:sizeRelH relativeFrom="page">
              <wp14:pctWidth>0</wp14:pctWidth>
            </wp14:sizeRelH>
            <wp14:sizeRelV relativeFrom="page">
              <wp14:pctHeight>0</wp14:pctHeight>
            </wp14:sizeRelV>
          </wp:anchor>
        </w:drawing>
      </w:r>
    </w:p>
    <w:p w14:paraId="7D6764DF" w14:textId="77777777" w:rsidR="009E71ED" w:rsidRDefault="009E71ED" w:rsidP="00643331">
      <w:pPr>
        <w:spacing w:line="520" w:lineRule="exact"/>
        <w:ind w:firstLineChars="200" w:firstLine="480"/>
        <w:rPr>
          <w:rFonts w:ascii="Calibri" w:hAnsi="Calibri"/>
          <w:bCs/>
          <w:color w:val="auto"/>
          <w:sz w:val="24"/>
        </w:rPr>
      </w:pPr>
    </w:p>
    <w:p w14:paraId="0295B94C" w14:textId="77777777" w:rsidR="009E71ED" w:rsidRDefault="009E71ED" w:rsidP="00643331">
      <w:pPr>
        <w:spacing w:line="520" w:lineRule="exact"/>
        <w:ind w:firstLineChars="200" w:firstLine="480"/>
        <w:rPr>
          <w:rFonts w:ascii="Calibri" w:hAnsi="Calibri"/>
          <w:bCs/>
          <w:color w:val="auto"/>
          <w:sz w:val="24"/>
        </w:rPr>
      </w:pPr>
    </w:p>
    <w:p w14:paraId="44F25CDE" w14:textId="77777777" w:rsidR="009E71ED" w:rsidRDefault="009E71ED" w:rsidP="00643331">
      <w:pPr>
        <w:spacing w:line="520" w:lineRule="exact"/>
        <w:ind w:firstLineChars="200" w:firstLine="480"/>
        <w:rPr>
          <w:rFonts w:ascii="Calibri" w:hAnsi="Calibri"/>
          <w:bCs/>
          <w:color w:val="auto"/>
          <w:sz w:val="24"/>
        </w:rPr>
      </w:pPr>
    </w:p>
    <w:p w14:paraId="20E19CB3" w14:textId="77777777" w:rsidR="009E71ED" w:rsidRDefault="009E71ED" w:rsidP="00643331">
      <w:pPr>
        <w:spacing w:line="520" w:lineRule="exact"/>
        <w:ind w:firstLineChars="200" w:firstLine="480"/>
        <w:rPr>
          <w:rFonts w:ascii="Calibri" w:hAnsi="Calibri"/>
          <w:bCs/>
          <w:color w:val="auto"/>
          <w:sz w:val="24"/>
        </w:rPr>
      </w:pPr>
    </w:p>
    <w:p w14:paraId="0A4546AA" w14:textId="77777777" w:rsidR="00455B57" w:rsidRDefault="00455B57" w:rsidP="009E71ED">
      <w:pPr>
        <w:spacing w:line="520" w:lineRule="exact"/>
        <w:rPr>
          <w:rFonts w:eastAsia="黑体"/>
          <w:sz w:val="24"/>
        </w:rPr>
      </w:pPr>
    </w:p>
    <w:p w14:paraId="1EB48DC0" w14:textId="77777777" w:rsidR="00F11591" w:rsidRPr="006C3F7F" w:rsidRDefault="006C3F7F" w:rsidP="006C3F7F">
      <w:pPr>
        <w:spacing w:line="520" w:lineRule="exact"/>
        <w:ind w:firstLineChars="750" w:firstLine="1800"/>
        <w:rPr>
          <w:rFonts w:eastAsia="黑体"/>
          <w:sz w:val="24"/>
        </w:rPr>
      </w:pPr>
      <w:r>
        <w:rPr>
          <w:rFonts w:eastAsia="黑体" w:hint="eastAsia"/>
          <w:sz w:val="24"/>
        </w:rPr>
        <w:t>图</w:t>
      </w:r>
      <w:r w:rsidRPr="006C3F7F">
        <w:rPr>
          <w:rFonts w:asciiTheme="minorHAnsi" w:eastAsia="黑体" w:hAnsiTheme="minorHAnsi"/>
          <w:sz w:val="24"/>
        </w:rPr>
        <w:t>5.2-</w:t>
      </w:r>
      <w:r>
        <w:rPr>
          <w:rFonts w:asciiTheme="minorHAnsi" w:eastAsia="黑体" w:hAnsiTheme="minorHAnsi"/>
          <w:sz w:val="24"/>
        </w:rPr>
        <w:t>2</w:t>
      </w:r>
      <w:r w:rsidRPr="006C3F7F">
        <w:rPr>
          <w:rFonts w:asciiTheme="minorHAnsi" w:eastAsia="黑体" w:hAnsiTheme="minorHAnsi"/>
          <w:sz w:val="24"/>
        </w:rPr>
        <w:t xml:space="preserve"> </w:t>
      </w:r>
      <w:r w:rsidRPr="00B3767D">
        <w:rPr>
          <w:rFonts w:eastAsia="黑体"/>
          <w:sz w:val="24"/>
        </w:rPr>
        <w:t xml:space="preserve">     </w:t>
      </w:r>
      <w:r>
        <w:rPr>
          <w:rFonts w:eastAsia="黑体" w:hint="eastAsia"/>
          <w:sz w:val="24"/>
        </w:rPr>
        <w:t>本项目污水处理工艺流程图</w:t>
      </w:r>
    </w:p>
    <w:p w14:paraId="0FAEB5C0" w14:textId="77777777" w:rsidR="006E41BC" w:rsidRPr="00A964FF" w:rsidRDefault="00CA1E8D" w:rsidP="00E1389D">
      <w:pPr>
        <w:spacing w:line="520" w:lineRule="exact"/>
        <w:rPr>
          <w:rFonts w:ascii="Calibri"/>
          <w:bCs/>
          <w:color w:val="auto"/>
          <w:sz w:val="24"/>
        </w:rPr>
      </w:pPr>
      <w:r w:rsidRPr="00A964FF">
        <w:rPr>
          <w:rFonts w:ascii="Calibri" w:hint="eastAsia"/>
          <w:bCs/>
          <w:color w:val="auto"/>
          <w:sz w:val="24"/>
        </w:rPr>
        <w:t>工艺流程说明如下：</w:t>
      </w:r>
    </w:p>
    <w:p w14:paraId="3C7F46AA" w14:textId="77777777" w:rsidR="006C3F7F" w:rsidRPr="00E1389D" w:rsidRDefault="00F11591" w:rsidP="00E01926">
      <w:pPr>
        <w:spacing w:line="520" w:lineRule="exact"/>
        <w:ind w:firstLineChars="200" w:firstLine="480"/>
        <w:rPr>
          <w:rFonts w:ascii="Calibri" w:hAnsi="Calibri"/>
          <w:bCs/>
          <w:sz w:val="24"/>
        </w:rPr>
      </w:pPr>
      <w:r w:rsidRPr="00E1389D">
        <w:rPr>
          <w:rFonts w:ascii="Calibri" w:hAnsi="Calibri"/>
          <w:bCs/>
          <w:sz w:val="24"/>
        </w:rPr>
        <w:t>（</w:t>
      </w:r>
      <w:r w:rsidRPr="00E1389D">
        <w:rPr>
          <w:rFonts w:ascii="Calibri" w:hAnsi="Calibri"/>
          <w:bCs/>
          <w:sz w:val="24"/>
        </w:rPr>
        <w:t>1</w:t>
      </w:r>
      <w:r w:rsidR="006C3F7F" w:rsidRPr="00E1389D">
        <w:rPr>
          <w:rFonts w:ascii="Calibri" w:hAnsi="Calibri" w:hint="eastAsia"/>
          <w:bCs/>
          <w:sz w:val="24"/>
        </w:rPr>
        <w:t>）水解酸化</w:t>
      </w:r>
    </w:p>
    <w:p w14:paraId="79C6BF45" w14:textId="7F111CB0" w:rsidR="006C3F7F" w:rsidRPr="00E10DA7" w:rsidRDefault="006C3F7F" w:rsidP="00E01926">
      <w:pPr>
        <w:pStyle w:val="00"/>
        <w:ind w:firstLineChars="200"/>
        <w:rPr>
          <w:rFonts w:ascii="Calibri"/>
        </w:rPr>
      </w:pPr>
      <w:r w:rsidRPr="006C3F7F">
        <w:rPr>
          <w:rFonts w:asciiTheme="minorHAnsi" w:hAnsiTheme="minorHAnsi"/>
          <w:szCs w:val="28"/>
        </w:rPr>
        <w:t>根据废水水质情况，本次工程</w:t>
      </w:r>
      <w:r w:rsidRPr="006C3F7F">
        <w:rPr>
          <w:rFonts w:asciiTheme="minorHAnsi" w:hAnsiTheme="minorHAnsi"/>
          <w:szCs w:val="28"/>
        </w:rPr>
        <w:t>BOD</w:t>
      </w:r>
      <w:r w:rsidRPr="006C3F7F">
        <w:rPr>
          <w:rFonts w:asciiTheme="minorHAnsi" w:hAnsiTheme="minorHAnsi"/>
          <w:szCs w:val="28"/>
          <w:vertAlign w:val="subscript"/>
        </w:rPr>
        <w:t>5</w:t>
      </w:r>
      <w:r w:rsidRPr="006C3F7F">
        <w:rPr>
          <w:rFonts w:asciiTheme="minorHAnsi" w:hAnsiTheme="minorHAnsi"/>
          <w:szCs w:val="28"/>
        </w:rPr>
        <w:t>/COD</w:t>
      </w:r>
      <w:r w:rsidRPr="006C3F7F">
        <w:rPr>
          <w:rFonts w:asciiTheme="minorHAnsi" w:hAnsiTheme="minorHAnsi"/>
          <w:szCs w:val="28"/>
        </w:rPr>
        <w:t>在</w:t>
      </w:r>
      <w:r w:rsidR="00D20DB2">
        <w:rPr>
          <w:rFonts w:asciiTheme="minorHAnsi" w:hAnsiTheme="minorHAnsi"/>
          <w:szCs w:val="28"/>
        </w:rPr>
        <w:t>0.4</w:t>
      </w:r>
      <w:r w:rsidR="00851FAF">
        <w:rPr>
          <w:rFonts w:asciiTheme="minorHAnsi" w:hAnsiTheme="minorHAnsi"/>
          <w:szCs w:val="28"/>
        </w:rPr>
        <w:t>9</w:t>
      </w:r>
      <w:r w:rsidRPr="006C3F7F">
        <w:rPr>
          <w:rFonts w:asciiTheme="minorHAnsi" w:hAnsiTheme="minorHAnsi"/>
          <w:szCs w:val="28"/>
        </w:rPr>
        <w:t>左右，</w:t>
      </w:r>
      <w:r w:rsidR="00E10DA7" w:rsidRPr="00E10DA7">
        <w:rPr>
          <w:rFonts w:asciiTheme="minorHAnsi" w:hAnsiTheme="minorHAnsi" w:hint="eastAsia"/>
          <w:szCs w:val="28"/>
        </w:rPr>
        <w:t>可生化性好</w:t>
      </w:r>
      <w:r w:rsidR="00E10DA7">
        <w:rPr>
          <w:rFonts w:asciiTheme="minorHAnsi" w:hAnsiTheme="minorHAnsi" w:hint="eastAsia"/>
          <w:szCs w:val="28"/>
        </w:rPr>
        <w:t>，</w:t>
      </w:r>
      <w:r w:rsidRPr="006C3F7F">
        <w:rPr>
          <w:rFonts w:asciiTheme="minorHAnsi" w:hAnsiTheme="minorHAnsi"/>
          <w:szCs w:val="28"/>
        </w:rPr>
        <w:t>为进一步提高废水可生化性能、便于提高后续生化处理效果，需在水中加入葡萄糖、碳酸氢钠等，进一步提高可生化性。</w:t>
      </w:r>
    </w:p>
    <w:p w14:paraId="58A4C043" w14:textId="77777777" w:rsidR="006C3F7F" w:rsidRPr="006C3F7F" w:rsidRDefault="006C3F7F" w:rsidP="00E01926">
      <w:pPr>
        <w:spacing w:line="520" w:lineRule="exact"/>
        <w:ind w:firstLineChars="200" w:firstLine="480"/>
        <w:rPr>
          <w:rFonts w:asciiTheme="minorHAnsi" w:hAnsiTheme="minorHAnsi"/>
          <w:sz w:val="24"/>
          <w:szCs w:val="28"/>
        </w:rPr>
      </w:pPr>
      <w:r w:rsidRPr="006C3F7F">
        <w:rPr>
          <w:rFonts w:asciiTheme="minorHAnsi" w:hAnsiTheme="minorHAnsi"/>
          <w:sz w:val="24"/>
          <w:szCs w:val="28"/>
        </w:rPr>
        <w:lastRenderedPageBreak/>
        <w:t>水解酸化池利用水解酸化反应将常规好氧条件下降解周期长的长链有机高分子转化为短链小分子物质，便于后续生物降解，提高处理效果。而经过水解酸化后，由于己二胺的分解，废水氨氮有所升高。</w:t>
      </w:r>
    </w:p>
    <w:p w14:paraId="4370B078" w14:textId="77777777" w:rsidR="006C3F7F" w:rsidRPr="00E10DA7" w:rsidRDefault="006C3F7F" w:rsidP="00E1389D">
      <w:pPr>
        <w:spacing w:line="520" w:lineRule="exact"/>
        <w:ind w:firstLineChars="200" w:firstLine="482"/>
        <w:rPr>
          <w:rFonts w:ascii="Calibri" w:hAnsi="Calibri"/>
          <w:b/>
          <w:sz w:val="24"/>
          <w:u w:val="single"/>
        </w:rPr>
      </w:pPr>
      <w:r w:rsidRPr="00E10DA7">
        <w:rPr>
          <w:rFonts w:ascii="Calibri" w:hAnsi="Calibri"/>
          <w:b/>
          <w:bCs/>
          <w:sz w:val="24"/>
          <w:u w:val="single"/>
        </w:rPr>
        <w:t>（</w:t>
      </w:r>
      <w:r w:rsidRPr="00E10DA7">
        <w:rPr>
          <w:rFonts w:ascii="Calibri" w:hAnsi="Calibri"/>
          <w:b/>
          <w:bCs/>
          <w:sz w:val="24"/>
          <w:u w:val="single"/>
        </w:rPr>
        <w:t>2</w:t>
      </w:r>
      <w:r w:rsidRPr="00E10DA7">
        <w:rPr>
          <w:rFonts w:ascii="Calibri" w:hAnsi="Calibri" w:hint="eastAsia"/>
          <w:b/>
          <w:bCs/>
          <w:sz w:val="24"/>
          <w:u w:val="single"/>
        </w:rPr>
        <w:t>）</w:t>
      </w:r>
      <w:r w:rsidRPr="00E10DA7">
        <w:rPr>
          <w:rFonts w:ascii="Calibri" w:hAnsi="Calibri" w:hint="eastAsia"/>
          <w:b/>
          <w:bCs/>
          <w:sz w:val="24"/>
          <w:u w:val="single"/>
        </w:rPr>
        <w:t>A/O</w:t>
      </w:r>
      <w:r w:rsidRPr="00E10DA7">
        <w:rPr>
          <w:rFonts w:ascii="Calibri" w:hAnsi="Calibri" w:hint="eastAsia"/>
          <w:b/>
          <w:bCs/>
          <w:sz w:val="24"/>
          <w:u w:val="single"/>
        </w:rPr>
        <w:t>工艺</w:t>
      </w:r>
    </w:p>
    <w:p w14:paraId="552EB52C" w14:textId="77777777" w:rsidR="006C3F7F" w:rsidRPr="00E10DA7" w:rsidRDefault="006C3F7F" w:rsidP="00E1389D">
      <w:pPr>
        <w:spacing w:line="520" w:lineRule="exact"/>
        <w:ind w:firstLineChars="200" w:firstLine="482"/>
        <w:rPr>
          <w:rFonts w:asciiTheme="minorHAnsi" w:hAnsiTheme="minorHAnsi"/>
          <w:b/>
          <w:sz w:val="24"/>
          <w:szCs w:val="28"/>
          <w:u w:val="single"/>
        </w:rPr>
      </w:pPr>
      <w:r w:rsidRPr="00E10DA7">
        <w:rPr>
          <w:rFonts w:asciiTheme="minorHAnsi" w:hAnsiTheme="minorHAnsi" w:hint="eastAsia"/>
          <w:b/>
          <w:sz w:val="24"/>
          <w:szCs w:val="28"/>
          <w:u w:val="single"/>
        </w:rPr>
        <w:t>A/O</w:t>
      </w:r>
      <w:r w:rsidRPr="00E10DA7">
        <w:rPr>
          <w:rFonts w:asciiTheme="minorHAnsi" w:hAnsiTheme="minorHAnsi" w:hint="eastAsia"/>
          <w:b/>
          <w:sz w:val="24"/>
          <w:szCs w:val="28"/>
          <w:u w:val="single"/>
        </w:rPr>
        <w:t>工艺是由缺氧和好氧两部分组成的污水生物处理系统。缺氧、好氧工艺通过硝化、反硝化的控制最终将污水中氨氮转化为氮气排出，以达到去除水中氨氮的目的。</w:t>
      </w:r>
    </w:p>
    <w:p w14:paraId="7BE9410E" w14:textId="77777777" w:rsidR="006C3F7F" w:rsidRPr="00E10DA7" w:rsidRDefault="006C3F7F" w:rsidP="00E10DA7">
      <w:pPr>
        <w:spacing w:line="520" w:lineRule="exact"/>
        <w:ind w:firstLineChars="200" w:firstLine="482"/>
        <w:rPr>
          <w:rFonts w:asciiTheme="minorHAnsi" w:hAnsiTheme="minorHAnsi"/>
          <w:b/>
          <w:sz w:val="24"/>
          <w:szCs w:val="28"/>
          <w:u w:val="single"/>
        </w:rPr>
      </w:pPr>
      <w:r w:rsidRPr="00E10DA7">
        <w:rPr>
          <w:rFonts w:asciiTheme="minorHAnsi" w:hAnsiTheme="minorHAnsi" w:hint="eastAsia"/>
          <w:b/>
          <w:sz w:val="24"/>
          <w:szCs w:val="28"/>
          <w:u w:val="single"/>
        </w:rPr>
        <w:t>污水进入缺氧池后，与回流污泥混合，污水中的有机碳被反硝化菌所利用，可减轻其后好氧池的有机负荷，反硝化反应产生的碱度可以补偿好氧池中进行硝化反应对碱度的需求。缺氧池中反硝化菌将硝态氮转化为氮气排出，实现氨氮去除。</w:t>
      </w:r>
    </w:p>
    <w:p w14:paraId="2F6EDEF1" w14:textId="4A489A61" w:rsidR="00E10DA7" w:rsidRPr="00E10DA7" w:rsidRDefault="006C3F7F" w:rsidP="00E10DA7">
      <w:pPr>
        <w:pStyle w:val="00"/>
        <w:ind w:firstLineChars="200" w:firstLine="482"/>
        <w:rPr>
          <w:rFonts w:ascii="Calibri"/>
          <w:b/>
          <w:u w:val="single"/>
        </w:rPr>
      </w:pPr>
      <w:r w:rsidRPr="00E10DA7">
        <w:rPr>
          <w:rFonts w:asciiTheme="minorHAnsi" w:hAnsiTheme="minorHAnsi" w:hint="eastAsia"/>
          <w:b/>
          <w:szCs w:val="28"/>
          <w:u w:val="single"/>
        </w:rPr>
        <w:t>好氧池选用活性污泥法，对废水进一步降解处理，活性污泥池硝化细菌将氨氮转化为硝态氮并回流至厌氧池，实现废水反硝化以去除氨氮</w:t>
      </w:r>
      <w:r w:rsidR="00E10DA7" w:rsidRPr="00E10DA7">
        <w:rPr>
          <w:rFonts w:asciiTheme="minorHAnsi" w:hAnsiTheme="minorHAnsi" w:hint="eastAsia"/>
          <w:b/>
          <w:szCs w:val="28"/>
          <w:u w:val="single"/>
        </w:rPr>
        <w:t>。</w:t>
      </w:r>
      <w:r w:rsidR="00E10DA7" w:rsidRPr="00E10DA7">
        <w:rPr>
          <w:rFonts w:ascii="Calibri" w:hint="eastAsia"/>
          <w:b/>
          <w:u w:val="single"/>
        </w:rPr>
        <w:t>对于生物脱氮工艺，要求</w:t>
      </w:r>
      <w:r w:rsidR="00E10DA7" w:rsidRPr="00E10DA7">
        <w:rPr>
          <w:rFonts w:ascii="Calibri" w:hint="eastAsia"/>
          <w:b/>
          <w:u w:val="single"/>
        </w:rPr>
        <w:t>BOD</w:t>
      </w:r>
      <w:r w:rsidR="00E10DA7" w:rsidRPr="00E10DA7">
        <w:rPr>
          <w:rFonts w:ascii="Calibri" w:hint="eastAsia"/>
          <w:b/>
          <w:u w:val="single"/>
          <w:vertAlign w:val="subscript"/>
        </w:rPr>
        <w:t>5</w:t>
      </w:r>
      <w:r w:rsidR="00E10DA7" w:rsidRPr="00E10DA7">
        <w:rPr>
          <w:rFonts w:ascii="Calibri" w:hint="eastAsia"/>
          <w:b/>
          <w:u w:val="single"/>
        </w:rPr>
        <w:t>/TN</w:t>
      </w:r>
      <w:r w:rsidR="00E10DA7" w:rsidRPr="00E10DA7">
        <w:rPr>
          <w:rFonts w:ascii="Calibri" w:hint="eastAsia"/>
          <w:b/>
          <w:u w:val="single"/>
        </w:rPr>
        <w:t>≥</w:t>
      </w:r>
      <w:r w:rsidR="00E10DA7" w:rsidRPr="00E10DA7">
        <w:rPr>
          <w:rFonts w:ascii="Calibri" w:hint="eastAsia"/>
          <w:b/>
          <w:u w:val="single"/>
        </w:rPr>
        <w:t>4</w:t>
      </w:r>
      <w:r w:rsidR="00E10DA7" w:rsidRPr="00E10DA7">
        <w:rPr>
          <w:rFonts w:ascii="Calibri" w:hint="eastAsia"/>
          <w:b/>
          <w:u w:val="single"/>
        </w:rPr>
        <w:t>，</w:t>
      </w:r>
      <w:r w:rsidR="00E10DA7" w:rsidRPr="00E10DA7">
        <w:rPr>
          <w:rFonts w:asciiTheme="minorHAnsi" w:hAnsiTheme="minorHAnsi" w:hint="eastAsia"/>
          <w:b/>
          <w:szCs w:val="28"/>
          <w:u w:val="single"/>
        </w:rPr>
        <w:t>本项目</w:t>
      </w:r>
      <w:r w:rsidR="00E10DA7" w:rsidRPr="00E10DA7">
        <w:rPr>
          <w:rFonts w:asciiTheme="minorHAnsi" w:hAnsiTheme="minorHAnsi"/>
          <w:b/>
          <w:szCs w:val="28"/>
          <w:u w:val="single"/>
        </w:rPr>
        <w:t>BOD</w:t>
      </w:r>
      <w:r w:rsidR="00E10DA7" w:rsidRPr="00E10DA7">
        <w:rPr>
          <w:rFonts w:asciiTheme="minorHAnsi" w:hAnsiTheme="minorHAnsi"/>
          <w:b/>
          <w:szCs w:val="28"/>
          <w:u w:val="single"/>
          <w:vertAlign w:val="subscript"/>
        </w:rPr>
        <w:t>5</w:t>
      </w:r>
      <w:r w:rsidR="00E10DA7" w:rsidRPr="00E10DA7">
        <w:rPr>
          <w:rFonts w:asciiTheme="minorHAnsi" w:hAnsiTheme="minorHAnsi"/>
          <w:b/>
          <w:szCs w:val="28"/>
          <w:u w:val="single"/>
        </w:rPr>
        <w:t>/TN</w:t>
      </w:r>
      <w:r w:rsidR="00E10DA7" w:rsidRPr="00E10DA7">
        <w:rPr>
          <w:rFonts w:asciiTheme="minorHAnsi" w:hAnsiTheme="minorHAnsi" w:hint="eastAsia"/>
          <w:b/>
          <w:szCs w:val="28"/>
          <w:u w:val="single"/>
        </w:rPr>
        <w:t>=</w:t>
      </w:r>
      <w:r w:rsidR="00E10DA7" w:rsidRPr="00E10DA7">
        <w:rPr>
          <w:rFonts w:asciiTheme="minorHAnsi" w:hAnsiTheme="minorHAnsi"/>
          <w:b/>
          <w:szCs w:val="28"/>
          <w:u w:val="single"/>
        </w:rPr>
        <w:t>8.2</w:t>
      </w:r>
      <w:r w:rsidR="00E10DA7" w:rsidRPr="00E10DA7">
        <w:rPr>
          <w:rFonts w:asciiTheme="minorHAnsi" w:hAnsiTheme="minorHAnsi" w:hint="eastAsia"/>
          <w:b/>
          <w:szCs w:val="28"/>
          <w:u w:val="single"/>
        </w:rPr>
        <w:t>，</w:t>
      </w:r>
      <w:r w:rsidRPr="00E10DA7">
        <w:rPr>
          <w:rFonts w:asciiTheme="minorHAnsi" w:hAnsiTheme="minorHAnsi" w:hint="eastAsia"/>
          <w:b/>
          <w:szCs w:val="28"/>
          <w:u w:val="single"/>
        </w:rPr>
        <w:t>可以在生物处理构筑物中投加</w:t>
      </w:r>
      <w:r w:rsidRPr="00E10DA7">
        <w:rPr>
          <w:rFonts w:asciiTheme="minorHAnsi" w:hAnsiTheme="minorHAnsi" w:hint="eastAsia"/>
          <w:b/>
          <w:szCs w:val="28"/>
          <w:u w:val="single"/>
        </w:rPr>
        <w:t>C</w:t>
      </w:r>
      <w:r w:rsidRPr="00E10DA7">
        <w:rPr>
          <w:rFonts w:asciiTheme="minorHAnsi" w:hAnsiTheme="minorHAnsi" w:hint="eastAsia"/>
          <w:b/>
          <w:szCs w:val="28"/>
          <w:u w:val="single"/>
        </w:rPr>
        <w:t>物料等用来调整污水</w:t>
      </w:r>
      <w:r w:rsidRPr="00E10DA7">
        <w:rPr>
          <w:rFonts w:asciiTheme="minorHAnsi" w:hAnsiTheme="minorHAnsi" w:hint="eastAsia"/>
          <w:b/>
          <w:szCs w:val="28"/>
          <w:u w:val="single"/>
        </w:rPr>
        <w:t>C</w:t>
      </w:r>
      <w:r w:rsidRPr="00E10DA7">
        <w:rPr>
          <w:rFonts w:asciiTheme="minorHAnsi" w:hAnsiTheme="minorHAnsi" w:hint="eastAsia"/>
          <w:b/>
          <w:szCs w:val="28"/>
          <w:u w:val="single"/>
        </w:rPr>
        <w:t>、</w:t>
      </w:r>
      <w:r w:rsidRPr="00E10DA7">
        <w:rPr>
          <w:rFonts w:asciiTheme="minorHAnsi" w:hAnsiTheme="minorHAnsi" w:hint="eastAsia"/>
          <w:b/>
          <w:szCs w:val="28"/>
          <w:u w:val="single"/>
        </w:rPr>
        <w:t>N</w:t>
      </w:r>
      <w:r w:rsidRPr="00E10DA7">
        <w:rPr>
          <w:rFonts w:asciiTheme="minorHAnsi" w:hAnsiTheme="minorHAnsi" w:hint="eastAsia"/>
          <w:b/>
          <w:szCs w:val="28"/>
          <w:u w:val="single"/>
        </w:rPr>
        <w:t>比例，实现更好的运行效果。</w:t>
      </w:r>
    </w:p>
    <w:p w14:paraId="2D22D2C5" w14:textId="6B6C2907" w:rsidR="006C3F7F" w:rsidRPr="00E1389D" w:rsidRDefault="006C3F7F" w:rsidP="006C3F7F">
      <w:pPr>
        <w:spacing w:line="520" w:lineRule="exact"/>
        <w:ind w:firstLine="476"/>
        <w:rPr>
          <w:rFonts w:ascii="Calibri" w:hAnsi="Calibri"/>
          <w:sz w:val="24"/>
        </w:rPr>
      </w:pPr>
      <w:r w:rsidRPr="00E1389D">
        <w:rPr>
          <w:rFonts w:ascii="Calibri" w:hAnsi="Calibri"/>
          <w:bCs/>
          <w:sz w:val="24"/>
        </w:rPr>
        <w:t>（</w:t>
      </w:r>
      <w:r w:rsidRPr="00E1389D">
        <w:rPr>
          <w:rFonts w:ascii="Calibri" w:hAnsi="Calibri"/>
          <w:bCs/>
          <w:sz w:val="24"/>
        </w:rPr>
        <w:t>3</w:t>
      </w:r>
      <w:r w:rsidRPr="00E1389D">
        <w:rPr>
          <w:rFonts w:ascii="Calibri" w:hAnsi="Calibri" w:hint="eastAsia"/>
          <w:bCs/>
          <w:sz w:val="24"/>
        </w:rPr>
        <w:t>）二沉池</w:t>
      </w:r>
    </w:p>
    <w:p w14:paraId="2BFC9840" w14:textId="73640ADC" w:rsidR="00F11591" w:rsidRPr="00D20DB2" w:rsidRDefault="006C3F7F" w:rsidP="009E71ED">
      <w:pPr>
        <w:spacing w:line="520" w:lineRule="exact"/>
        <w:ind w:firstLineChars="200" w:firstLine="480"/>
        <w:rPr>
          <w:rFonts w:asciiTheme="minorHAnsi" w:hAnsiTheme="minorHAnsi"/>
          <w:sz w:val="24"/>
          <w:szCs w:val="28"/>
        </w:rPr>
      </w:pPr>
      <w:r w:rsidRPr="006C3F7F">
        <w:rPr>
          <w:rFonts w:asciiTheme="minorHAnsi" w:hAnsiTheme="minorHAnsi" w:hint="eastAsia"/>
          <w:sz w:val="24"/>
          <w:szCs w:val="28"/>
        </w:rPr>
        <w:t>经</w:t>
      </w:r>
      <w:r w:rsidRPr="006C3F7F">
        <w:rPr>
          <w:rFonts w:asciiTheme="minorHAnsi" w:hAnsiTheme="minorHAnsi" w:hint="eastAsia"/>
          <w:sz w:val="24"/>
          <w:szCs w:val="28"/>
        </w:rPr>
        <w:t>A/O</w:t>
      </w:r>
      <w:r w:rsidRPr="006C3F7F">
        <w:rPr>
          <w:rFonts w:asciiTheme="minorHAnsi" w:hAnsiTheme="minorHAnsi" w:hint="eastAsia"/>
          <w:sz w:val="24"/>
          <w:szCs w:val="28"/>
        </w:rPr>
        <w:t>工艺处理后的废水进入二沉池，用以去除生物悬浮固体。从曝气池流出的混合液在二次沉淀池中进行泥水分离和污泥浓缩，澄清后的出水溢流进入</w:t>
      </w:r>
      <w:r w:rsidR="00E01926">
        <w:rPr>
          <w:rFonts w:asciiTheme="minorHAnsi" w:hAnsiTheme="minorHAnsi" w:hint="eastAsia"/>
          <w:sz w:val="24"/>
          <w:szCs w:val="28"/>
        </w:rPr>
        <w:t>平顶山</w:t>
      </w:r>
      <w:r w:rsidR="009E71ED">
        <w:rPr>
          <w:rFonts w:asciiTheme="minorHAnsi" w:hAnsiTheme="minorHAnsi"/>
          <w:sz w:val="24"/>
          <w:szCs w:val="28"/>
        </w:rPr>
        <w:t>第三</w:t>
      </w:r>
      <w:r w:rsidRPr="006C3F7F">
        <w:rPr>
          <w:rFonts w:asciiTheme="minorHAnsi" w:hAnsiTheme="minorHAnsi" w:hint="eastAsia"/>
          <w:sz w:val="24"/>
          <w:szCs w:val="28"/>
        </w:rPr>
        <w:t>污水处理</w:t>
      </w:r>
      <w:r w:rsidR="009E71ED">
        <w:rPr>
          <w:rFonts w:asciiTheme="minorHAnsi" w:hAnsiTheme="minorHAnsi" w:hint="eastAsia"/>
          <w:sz w:val="24"/>
          <w:szCs w:val="28"/>
        </w:rPr>
        <w:t>厂</w:t>
      </w:r>
      <w:r w:rsidRPr="006C3F7F">
        <w:rPr>
          <w:rFonts w:asciiTheme="minorHAnsi" w:hAnsiTheme="minorHAnsi" w:hint="eastAsia"/>
          <w:sz w:val="24"/>
          <w:szCs w:val="28"/>
        </w:rPr>
        <w:t>进一步处理，污泥进入污水处理站脱水间进一步处理。</w:t>
      </w:r>
    </w:p>
    <w:p w14:paraId="14698A12" w14:textId="77777777" w:rsidR="00B60491" w:rsidRPr="00A964FF" w:rsidRDefault="0076449A" w:rsidP="001A3A4C">
      <w:pPr>
        <w:spacing w:line="500" w:lineRule="exact"/>
        <w:ind w:firstLine="482"/>
        <w:rPr>
          <w:rFonts w:ascii="Calibri"/>
          <w:b/>
          <w:bCs/>
          <w:color w:val="auto"/>
          <w:sz w:val="24"/>
        </w:rPr>
      </w:pPr>
      <w:r w:rsidRPr="00A964FF">
        <w:rPr>
          <w:rFonts w:ascii="Calibri" w:hint="eastAsia"/>
          <w:b/>
          <w:bCs/>
          <w:color w:val="auto"/>
          <w:sz w:val="24"/>
        </w:rPr>
        <w:t>3</w:t>
      </w:r>
      <w:r w:rsidRPr="00A964FF">
        <w:rPr>
          <w:rFonts w:ascii="Calibri" w:hint="eastAsia"/>
          <w:b/>
          <w:bCs/>
          <w:color w:val="auto"/>
          <w:sz w:val="24"/>
        </w:rPr>
        <w:t>、废水达标可行性分析</w:t>
      </w:r>
    </w:p>
    <w:p w14:paraId="2FE29E92" w14:textId="15F22F26" w:rsidR="00AF6830" w:rsidRDefault="00F11591" w:rsidP="009E71ED">
      <w:pPr>
        <w:spacing w:line="500" w:lineRule="exact"/>
        <w:ind w:firstLineChars="200" w:firstLine="480"/>
        <w:rPr>
          <w:rFonts w:ascii="Calibri" w:hAnsi="宋体"/>
          <w:color w:val="auto"/>
          <w:sz w:val="24"/>
        </w:rPr>
      </w:pPr>
      <w:r w:rsidRPr="00F11591">
        <w:rPr>
          <w:rFonts w:ascii="Calibri" w:hAnsi="宋体" w:hint="eastAsia"/>
          <w:color w:val="auto"/>
          <w:sz w:val="24"/>
        </w:rPr>
        <w:t>根据各主要处理单元的处理效率及各工艺的组合情况，项目拟采取的废水处理工艺对各污染物的处理效率分析见下表：</w:t>
      </w:r>
    </w:p>
    <w:p w14:paraId="07077F7A" w14:textId="2E2539BA" w:rsidR="00FB4A29" w:rsidRDefault="00FB4A29" w:rsidP="009E71ED">
      <w:pPr>
        <w:spacing w:line="500" w:lineRule="exact"/>
        <w:ind w:firstLineChars="200" w:firstLine="480"/>
        <w:rPr>
          <w:rFonts w:ascii="Calibri" w:hAnsi="宋体"/>
          <w:color w:val="auto"/>
          <w:sz w:val="24"/>
        </w:rPr>
      </w:pPr>
    </w:p>
    <w:p w14:paraId="65246471" w14:textId="0568CA44" w:rsidR="00FB4A29" w:rsidRDefault="00FB4A29" w:rsidP="009E71ED">
      <w:pPr>
        <w:spacing w:line="500" w:lineRule="exact"/>
        <w:ind w:firstLineChars="200" w:firstLine="480"/>
        <w:rPr>
          <w:rFonts w:ascii="Calibri" w:hAnsi="宋体"/>
          <w:color w:val="auto"/>
          <w:sz w:val="24"/>
        </w:rPr>
      </w:pPr>
    </w:p>
    <w:p w14:paraId="202440A3" w14:textId="7A263371" w:rsidR="00FB4A29" w:rsidRDefault="00FB4A29" w:rsidP="009E71ED">
      <w:pPr>
        <w:spacing w:line="500" w:lineRule="exact"/>
        <w:ind w:firstLineChars="200" w:firstLine="480"/>
        <w:rPr>
          <w:rFonts w:ascii="Calibri" w:hAnsi="宋体"/>
          <w:color w:val="auto"/>
          <w:sz w:val="24"/>
        </w:rPr>
      </w:pPr>
    </w:p>
    <w:p w14:paraId="26906BFD" w14:textId="1817E71C" w:rsidR="00FB4A29" w:rsidRDefault="00FB4A29" w:rsidP="009E71ED">
      <w:pPr>
        <w:spacing w:line="500" w:lineRule="exact"/>
        <w:ind w:firstLineChars="200" w:firstLine="480"/>
        <w:rPr>
          <w:rFonts w:ascii="Calibri" w:hAnsi="宋体"/>
          <w:color w:val="auto"/>
          <w:sz w:val="24"/>
        </w:rPr>
      </w:pPr>
    </w:p>
    <w:p w14:paraId="6809DC1C" w14:textId="181E60B7" w:rsidR="00FB4A29" w:rsidRDefault="00FB4A29" w:rsidP="009E71ED">
      <w:pPr>
        <w:spacing w:line="500" w:lineRule="exact"/>
        <w:ind w:firstLineChars="200" w:firstLine="480"/>
        <w:rPr>
          <w:rFonts w:ascii="Calibri" w:hAnsi="宋体"/>
          <w:color w:val="auto"/>
          <w:sz w:val="24"/>
        </w:rPr>
      </w:pPr>
    </w:p>
    <w:p w14:paraId="6070F95C" w14:textId="77777777" w:rsidR="00FB4A29" w:rsidRPr="009E71ED" w:rsidRDefault="00FB4A29" w:rsidP="009E71ED">
      <w:pPr>
        <w:spacing w:line="500" w:lineRule="exact"/>
        <w:ind w:firstLineChars="200" w:firstLine="480"/>
        <w:rPr>
          <w:rFonts w:ascii="Calibri" w:hAnsi="宋体"/>
          <w:color w:val="auto"/>
          <w:sz w:val="24"/>
        </w:rPr>
      </w:pPr>
    </w:p>
    <w:p w14:paraId="23EA0C33" w14:textId="77777777" w:rsidR="00F11591" w:rsidRDefault="00135AC8" w:rsidP="00F11591">
      <w:pPr>
        <w:spacing w:line="500" w:lineRule="exact"/>
        <w:ind w:firstLineChars="350" w:firstLine="840"/>
        <w:rPr>
          <w:rFonts w:asciiTheme="minorHAnsi" w:eastAsia="黑体" w:hAnsi="黑体" w:cstheme="minorHAnsi"/>
          <w:bCs/>
          <w:color w:val="auto"/>
          <w:sz w:val="24"/>
        </w:rPr>
      </w:pPr>
      <w:r w:rsidRPr="00D0330C">
        <w:rPr>
          <w:rFonts w:asciiTheme="minorHAnsi" w:eastAsia="黑体" w:hAnsiTheme="minorHAnsi" w:cstheme="minorHAnsi"/>
          <w:bCs/>
          <w:color w:val="auto"/>
          <w:sz w:val="24"/>
        </w:rPr>
        <w:lastRenderedPageBreak/>
        <w:t>表</w:t>
      </w:r>
      <w:r w:rsidRPr="00D0330C">
        <w:rPr>
          <w:rFonts w:asciiTheme="minorHAnsi" w:eastAsia="黑体" w:hAnsiTheme="minorHAnsi" w:cstheme="minorHAnsi"/>
          <w:bCs/>
          <w:color w:val="auto"/>
          <w:sz w:val="24"/>
        </w:rPr>
        <w:t>5</w:t>
      </w:r>
      <w:r w:rsidRPr="00D0330C">
        <w:rPr>
          <w:rFonts w:asciiTheme="minorHAnsi" w:eastAsia="黑体" w:hAnsiTheme="minorHAnsi" w:cstheme="minorHAnsi" w:hint="eastAsia"/>
          <w:bCs/>
          <w:color w:val="auto"/>
          <w:sz w:val="24"/>
        </w:rPr>
        <w:t>.2</w:t>
      </w:r>
      <w:r w:rsidRPr="00D0330C">
        <w:rPr>
          <w:rFonts w:asciiTheme="minorHAnsi" w:eastAsia="黑体" w:hAnsiTheme="minorHAnsi" w:cstheme="minorHAnsi"/>
          <w:bCs/>
          <w:color w:val="auto"/>
          <w:sz w:val="24"/>
        </w:rPr>
        <w:t>-</w:t>
      </w:r>
      <w:r w:rsidR="00E1389D">
        <w:rPr>
          <w:rFonts w:asciiTheme="minorHAnsi" w:eastAsia="黑体" w:hAnsiTheme="minorHAnsi" w:cstheme="minorHAnsi" w:hint="eastAsia"/>
          <w:bCs/>
          <w:color w:val="auto"/>
          <w:sz w:val="24"/>
        </w:rPr>
        <w:t>4</w:t>
      </w:r>
      <w:r w:rsidRPr="00D0330C">
        <w:rPr>
          <w:rFonts w:asciiTheme="minorHAnsi" w:eastAsia="黑体" w:hAnsiTheme="minorHAnsi" w:cstheme="minorHAnsi"/>
          <w:bCs/>
          <w:color w:val="auto"/>
          <w:sz w:val="24"/>
        </w:rPr>
        <w:t xml:space="preserve">  </w:t>
      </w:r>
      <w:r w:rsidR="00F11591">
        <w:rPr>
          <w:rFonts w:asciiTheme="minorHAnsi" w:eastAsia="黑体" w:hAnsiTheme="minorHAnsi" w:cstheme="minorHAnsi"/>
          <w:bCs/>
          <w:color w:val="auto"/>
          <w:sz w:val="24"/>
        </w:rPr>
        <w:t xml:space="preserve">            </w:t>
      </w:r>
      <w:r w:rsidR="00F11591" w:rsidRPr="00F11591">
        <w:rPr>
          <w:rFonts w:asciiTheme="minorHAnsi" w:eastAsia="黑体" w:hAnsi="黑体" w:cstheme="minorHAnsi"/>
          <w:bCs/>
          <w:color w:val="auto"/>
          <w:sz w:val="24"/>
        </w:rPr>
        <w:t>各功能单元处理效率</w:t>
      </w:r>
      <w:r w:rsidR="00D20DB2">
        <w:rPr>
          <w:rFonts w:asciiTheme="minorHAnsi" w:eastAsia="黑体" w:hAnsi="黑体" w:cstheme="minorHAnsi" w:hint="eastAsia"/>
          <w:bCs/>
          <w:color w:val="auto"/>
          <w:sz w:val="24"/>
        </w:rPr>
        <w:t>一览表</w:t>
      </w:r>
    </w:p>
    <w:tbl>
      <w:tblPr>
        <w:tblW w:w="5000" w:type="pct"/>
        <w:jc w:val="center"/>
        <w:tblLook w:val="04A0" w:firstRow="1" w:lastRow="0" w:firstColumn="1" w:lastColumn="0" w:noHBand="0" w:noVBand="1"/>
      </w:tblPr>
      <w:tblGrid>
        <w:gridCol w:w="1113"/>
        <w:gridCol w:w="1169"/>
        <w:gridCol w:w="1408"/>
        <w:gridCol w:w="1169"/>
        <w:gridCol w:w="1408"/>
        <w:gridCol w:w="1218"/>
        <w:gridCol w:w="1215"/>
      </w:tblGrid>
      <w:tr w:rsidR="002B1020" w:rsidRPr="00E10DA7" w14:paraId="0A9C3009" w14:textId="52D62900" w:rsidTr="0036124D">
        <w:trPr>
          <w:trHeight w:val="308"/>
          <w:jc w:val="center"/>
        </w:trPr>
        <w:tc>
          <w:tcPr>
            <w:tcW w:w="1311" w:type="pct"/>
            <w:gridSpan w:val="2"/>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14:paraId="64E2CD1A" w14:textId="77777777" w:rsidR="002B1020" w:rsidRPr="00E10DA7" w:rsidRDefault="002B1020" w:rsidP="00E13338">
            <w:pPr>
              <w:spacing w:line="520" w:lineRule="exact"/>
              <w:ind w:firstLineChars="200" w:firstLine="482"/>
              <w:rPr>
                <w:b/>
                <w:sz w:val="24"/>
                <w:szCs w:val="28"/>
                <w:u w:val="single"/>
              </w:rPr>
            </w:pPr>
            <w:r w:rsidRPr="00E10DA7">
              <w:rPr>
                <w:b/>
                <w:sz w:val="24"/>
                <w:szCs w:val="28"/>
                <w:u w:val="single"/>
              </w:rPr>
              <w:t>构筑物</w:t>
            </w:r>
          </w:p>
        </w:tc>
        <w:tc>
          <w:tcPr>
            <w:tcW w:w="3689" w:type="pct"/>
            <w:gridSpan w:val="5"/>
            <w:tcBorders>
              <w:top w:val="single" w:sz="12" w:space="0" w:color="auto"/>
              <w:left w:val="nil"/>
              <w:bottom w:val="single" w:sz="8" w:space="0" w:color="auto"/>
              <w:right w:val="single" w:sz="12" w:space="0" w:color="auto"/>
            </w:tcBorders>
            <w:shd w:val="clear" w:color="auto" w:fill="auto"/>
            <w:vAlign w:val="center"/>
            <w:hideMark/>
          </w:tcPr>
          <w:p w14:paraId="7CEFD1DE" w14:textId="5C2F2BDF"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污染因子（</w:t>
            </w:r>
            <w:r w:rsidRPr="00E10DA7">
              <w:rPr>
                <w:rFonts w:asciiTheme="minorHAnsi" w:hAnsiTheme="minorHAnsi"/>
                <w:b/>
                <w:kern w:val="0"/>
                <w:szCs w:val="21"/>
                <w:u w:val="single"/>
              </w:rPr>
              <w:t>mg/L</w:t>
            </w:r>
            <w:r w:rsidRPr="00E10DA7">
              <w:rPr>
                <w:rFonts w:asciiTheme="minorHAnsi" w:hAnsiTheme="minorHAnsi" w:cs="宋体"/>
                <w:b/>
                <w:kern w:val="0"/>
                <w:szCs w:val="21"/>
                <w:u w:val="single"/>
              </w:rPr>
              <w:t>）</w:t>
            </w:r>
          </w:p>
        </w:tc>
      </w:tr>
      <w:tr w:rsidR="002B1020" w:rsidRPr="00E10DA7" w14:paraId="2BAEF138" w14:textId="17532EEE" w:rsidTr="0036124D">
        <w:trPr>
          <w:trHeight w:val="324"/>
          <w:jc w:val="center"/>
        </w:trPr>
        <w:tc>
          <w:tcPr>
            <w:tcW w:w="1311" w:type="pct"/>
            <w:gridSpan w:val="2"/>
            <w:vMerge/>
            <w:tcBorders>
              <w:top w:val="single" w:sz="8" w:space="0" w:color="auto"/>
              <w:left w:val="single" w:sz="12" w:space="0" w:color="auto"/>
              <w:bottom w:val="single" w:sz="8" w:space="0" w:color="000000"/>
              <w:right w:val="single" w:sz="8" w:space="0" w:color="000000"/>
            </w:tcBorders>
            <w:vAlign w:val="center"/>
            <w:hideMark/>
          </w:tcPr>
          <w:p w14:paraId="24EB7B8C" w14:textId="77777777" w:rsidR="002B1020" w:rsidRPr="00E10DA7" w:rsidRDefault="002B1020" w:rsidP="00E13338">
            <w:pPr>
              <w:widowControl/>
              <w:jc w:val="left"/>
              <w:rPr>
                <w:rFonts w:asciiTheme="minorHAnsi" w:hAnsiTheme="minorHAnsi" w:cs="宋体"/>
                <w:b/>
                <w:kern w:val="0"/>
                <w:szCs w:val="21"/>
                <w:u w:val="single"/>
              </w:rPr>
            </w:pPr>
          </w:p>
        </w:tc>
        <w:tc>
          <w:tcPr>
            <w:tcW w:w="809" w:type="pct"/>
            <w:tcBorders>
              <w:top w:val="nil"/>
              <w:left w:val="nil"/>
              <w:bottom w:val="single" w:sz="8" w:space="0" w:color="auto"/>
              <w:right w:val="single" w:sz="8" w:space="0" w:color="auto"/>
            </w:tcBorders>
            <w:shd w:val="clear" w:color="auto" w:fill="auto"/>
            <w:vAlign w:val="center"/>
            <w:hideMark/>
          </w:tcPr>
          <w:p w14:paraId="78EF7F20"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b/>
                <w:kern w:val="0"/>
                <w:szCs w:val="21"/>
                <w:u w:val="single"/>
              </w:rPr>
              <w:t>COD</w:t>
            </w:r>
          </w:p>
        </w:tc>
        <w:tc>
          <w:tcPr>
            <w:tcW w:w="672" w:type="pct"/>
            <w:tcBorders>
              <w:top w:val="nil"/>
              <w:left w:val="nil"/>
              <w:bottom w:val="single" w:sz="8" w:space="0" w:color="auto"/>
              <w:right w:val="single" w:sz="8" w:space="0" w:color="auto"/>
            </w:tcBorders>
            <w:shd w:val="clear" w:color="auto" w:fill="auto"/>
            <w:vAlign w:val="center"/>
            <w:hideMark/>
          </w:tcPr>
          <w:p w14:paraId="16ECE397"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b/>
                <w:kern w:val="0"/>
                <w:szCs w:val="21"/>
                <w:u w:val="single"/>
              </w:rPr>
              <w:t>BOD</w:t>
            </w:r>
            <w:r w:rsidRPr="00E10DA7">
              <w:rPr>
                <w:rFonts w:asciiTheme="minorHAnsi" w:hAnsiTheme="minorHAnsi"/>
                <w:b/>
                <w:kern w:val="0"/>
                <w:szCs w:val="21"/>
                <w:u w:val="single"/>
                <w:vertAlign w:val="subscript"/>
              </w:rPr>
              <w:t>5</w:t>
            </w:r>
          </w:p>
        </w:tc>
        <w:tc>
          <w:tcPr>
            <w:tcW w:w="809" w:type="pct"/>
            <w:tcBorders>
              <w:top w:val="nil"/>
              <w:left w:val="nil"/>
              <w:bottom w:val="single" w:sz="8" w:space="0" w:color="auto"/>
              <w:right w:val="single" w:sz="8" w:space="0" w:color="auto"/>
            </w:tcBorders>
            <w:shd w:val="clear" w:color="auto" w:fill="auto"/>
            <w:vAlign w:val="center"/>
            <w:hideMark/>
          </w:tcPr>
          <w:p w14:paraId="18E3E02A"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b/>
                <w:kern w:val="0"/>
                <w:szCs w:val="21"/>
                <w:u w:val="single"/>
              </w:rPr>
              <w:t>SS</w:t>
            </w:r>
          </w:p>
        </w:tc>
        <w:tc>
          <w:tcPr>
            <w:tcW w:w="700" w:type="pct"/>
            <w:tcBorders>
              <w:top w:val="nil"/>
              <w:left w:val="nil"/>
              <w:bottom w:val="single" w:sz="8" w:space="0" w:color="auto"/>
              <w:right w:val="single" w:sz="4" w:space="0" w:color="auto"/>
            </w:tcBorders>
            <w:shd w:val="clear" w:color="auto" w:fill="auto"/>
            <w:vAlign w:val="center"/>
            <w:hideMark/>
          </w:tcPr>
          <w:p w14:paraId="791B6998"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b/>
                <w:kern w:val="0"/>
                <w:szCs w:val="21"/>
                <w:u w:val="single"/>
              </w:rPr>
              <w:t>NH</w:t>
            </w:r>
            <w:r w:rsidRPr="00E10DA7">
              <w:rPr>
                <w:rFonts w:asciiTheme="minorHAnsi" w:hAnsiTheme="minorHAnsi"/>
                <w:b/>
                <w:kern w:val="0"/>
                <w:szCs w:val="21"/>
                <w:u w:val="single"/>
                <w:vertAlign w:val="subscript"/>
              </w:rPr>
              <w:t>3</w:t>
            </w:r>
            <w:r w:rsidRPr="00E10DA7">
              <w:rPr>
                <w:rFonts w:asciiTheme="minorHAnsi" w:hAnsiTheme="minorHAnsi"/>
                <w:b/>
                <w:kern w:val="0"/>
                <w:szCs w:val="21"/>
                <w:u w:val="single"/>
              </w:rPr>
              <w:t>-N</w:t>
            </w:r>
          </w:p>
        </w:tc>
        <w:tc>
          <w:tcPr>
            <w:tcW w:w="700" w:type="pct"/>
            <w:tcBorders>
              <w:top w:val="nil"/>
              <w:left w:val="single" w:sz="4" w:space="0" w:color="auto"/>
              <w:bottom w:val="single" w:sz="8" w:space="0" w:color="auto"/>
              <w:right w:val="single" w:sz="12" w:space="0" w:color="auto"/>
            </w:tcBorders>
            <w:vAlign w:val="center"/>
          </w:tcPr>
          <w:p w14:paraId="6D3C2EE9" w14:textId="6B6BB918"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总氮</w:t>
            </w:r>
          </w:p>
        </w:tc>
      </w:tr>
      <w:tr w:rsidR="002B1020" w:rsidRPr="00E10DA7" w14:paraId="3880903D" w14:textId="38E0814E" w:rsidTr="0036124D">
        <w:trPr>
          <w:trHeight w:val="293"/>
          <w:jc w:val="center"/>
        </w:trPr>
        <w:tc>
          <w:tcPr>
            <w:tcW w:w="640" w:type="pct"/>
            <w:vMerge w:val="restart"/>
            <w:tcBorders>
              <w:top w:val="single" w:sz="4" w:space="0" w:color="auto"/>
              <w:left w:val="single" w:sz="12" w:space="0" w:color="auto"/>
              <w:bottom w:val="single" w:sz="8" w:space="0" w:color="000000"/>
              <w:right w:val="single" w:sz="8" w:space="0" w:color="auto"/>
            </w:tcBorders>
            <w:shd w:val="clear" w:color="auto" w:fill="auto"/>
            <w:vAlign w:val="center"/>
            <w:hideMark/>
          </w:tcPr>
          <w:p w14:paraId="7168B4B4"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调节池</w:t>
            </w:r>
          </w:p>
        </w:tc>
        <w:tc>
          <w:tcPr>
            <w:tcW w:w="672" w:type="pct"/>
            <w:tcBorders>
              <w:top w:val="single" w:sz="4" w:space="0" w:color="auto"/>
              <w:left w:val="nil"/>
              <w:bottom w:val="single" w:sz="8" w:space="0" w:color="auto"/>
              <w:right w:val="single" w:sz="8" w:space="0" w:color="auto"/>
            </w:tcBorders>
            <w:shd w:val="clear" w:color="auto" w:fill="auto"/>
            <w:vAlign w:val="center"/>
            <w:hideMark/>
          </w:tcPr>
          <w:p w14:paraId="58E9428B"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进水</w:t>
            </w:r>
          </w:p>
        </w:tc>
        <w:tc>
          <w:tcPr>
            <w:tcW w:w="809" w:type="pct"/>
            <w:tcBorders>
              <w:top w:val="single" w:sz="4" w:space="0" w:color="auto"/>
              <w:left w:val="nil"/>
              <w:bottom w:val="single" w:sz="8" w:space="0" w:color="auto"/>
              <w:right w:val="single" w:sz="8" w:space="0" w:color="auto"/>
            </w:tcBorders>
            <w:shd w:val="clear" w:color="auto" w:fill="auto"/>
            <w:vAlign w:val="center"/>
            <w:hideMark/>
          </w:tcPr>
          <w:p w14:paraId="07AAB0BB" w14:textId="221ACDC1" w:rsidR="002B1020" w:rsidRPr="00E10DA7" w:rsidRDefault="002B1020" w:rsidP="00E13338">
            <w:pPr>
              <w:jc w:val="center"/>
              <w:rPr>
                <w:rFonts w:asciiTheme="minorHAnsi" w:hAnsiTheme="minorHAnsi"/>
                <w:b/>
                <w:szCs w:val="21"/>
                <w:u w:val="single"/>
              </w:rPr>
            </w:pPr>
            <w:r w:rsidRPr="00E10DA7">
              <w:rPr>
                <w:rFonts w:ascii="Calibri" w:hAnsi="Calibri"/>
                <w:b/>
                <w:snapToGrid w:val="0"/>
                <w:szCs w:val="21"/>
                <w:u w:val="single"/>
              </w:rPr>
              <w:t>2211.34</w:t>
            </w:r>
          </w:p>
        </w:tc>
        <w:tc>
          <w:tcPr>
            <w:tcW w:w="672" w:type="pct"/>
            <w:tcBorders>
              <w:top w:val="single" w:sz="4" w:space="0" w:color="auto"/>
              <w:left w:val="nil"/>
              <w:bottom w:val="single" w:sz="8" w:space="0" w:color="auto"/>
              <w:right w:val="single" w:sz="8" w:space="0" w:color="auto"/>
            </w:tcBorders>
            <w:shd w:val="clear" w:color="auto" w:fill="auto"/>
            <w:vAlign w:val="center"/>
            <w:hideMark/>
          </w:tcPr>
          <w:p w14:paraId="3A4AAE6E" w14:textId="4B1790AF" w:rsidR="002B1020" w:rsidRPr="00E10DA7" w:rsidRDefault="002B1020" w:rsidP="00E13338">
            <w:pPr>
              <w:jc w:val="center"/>
              <w:rPr>
                <w:rFonts w:asciiTheme="minorHAnsi" w:hAnsiTheme="minorHAnsi"/>
                <w:b/>
                <w:color w:val="auto"/>
                <w:szCs w:val="21"/>
                <w:u w:val="single"/>
              </w:rPr>
            </w:pPr>
            <w:r w:rsidRPr="00E10DA7">
              <w:rPr>
                <w:rFonts w:ascii="Calibri" w:hAnsi="Calibri"/>
                <w:b/>
                <w:snapToGrid w:val="0"/>
                <w:color w:val="auto"/>
                <w:szCs w:val="21"/>
                <w:u w:val="single"/>
              </w:rPr>
              <w:t>1102.95</w:t>
            </w:r>
          </w:p>
        </w:tc>
        <w:tc>
          <w:tcPr>
            <w:tcW w:w="809" w:type="pct"/>
            <w:tcBorders>
              <w:top w:val="single" w:sz="4" w:space="0" w:color="auto"/>
              <w:left w:val="nil"/>
              <w:bottom w:val="single" w:sz="8" w:space="0" w:color="auto"/>
              <w:right w:val="single" w:sz="8" w:space="0" w:color="auto"/>
            </w:tcBorders>
            <w:shd w:val="clear" w:color="auto" w:fill="auto"/>
            <w:vAlign w:val="center"/>
            <w:hideMark/>
          </w:tcPr>
          <w:p w14:paraId="5E128A26" w14:textId="7DDFFABA" w:rsidR="002B1020" w:rsidRPr="00E10DA7" w:rsidRDefault="002B1020" w:rsidP="00E13338">
            <w:pPr>
              <w:jc w:val="center"/>
              <w:rPr>
                <w:rFonts w:asciiTheme="minorHAnsi" w:hAnsiTheme="minorHAnsi"/>
                <w:b/>
                <w:szCs w:val="21"/>
                <w:u w:val="single"/>
              </w:rPr>
            </w:pPr>
            <w:r w:rsidRPr="00E10DA7">
              <w:rPr>
                <w:rFonts w:ascii="Calibri" w:hAnsi="Calibri"/>
                <w:b/>
                <w:snapToGrid w:val="0"/>
                <w:szCs w:val="21"/>
                <w:u w:val="single"/>
              </w:rPr>
              <w:t>120.45</w:t>
            </w:r>
          </w:p>
        </w:tc>
        <w:tc>
          <w:tcPr>
            <w:tcW w:w="700" w:type="pct"/>
            <w:tcBorders>
              <w:top w:val="single" w:sz="4" w:space="0" w:color="auto"/>
              <w:left w:val="nil"/>
              <w:bottom w:val="single" w:sz="8" w:space="0" w:color="auto"/>
              <w:right w:val="single" w:sz="4" w:space="0" w:color="auto"/>
            </w:tcBorders>
            <w:shd w:val="clear" w:color="auto" w:fill="auto"/>
            <w:vAlign w:val="center"/>
            <w:hideMark/>
          </w:tcPr>
          <w:p w14:paraId="084ACBFE" w14:textId="6C5E3ACA" w:rsidR="002B1020" w:rsidRPr="00E10DA7" w:rsidRDefault="002B1020" w:rsidP="00E13338">
            <w:pPr>
              <w:jc w:val="center"/>
              <w:rPr>
                <w:rFonts w:asciiTheme="minorHAnsi" w:hAnsiTheme="minorHAnsi"/>
                <w:b/>
                <w:szCs w:val="21"/>
                <w:u w:val="single"/>
              </w:rPr>
            </w:pPr>
            <w:r w:rsidRPr="00E10DA7">
              <w:rPr>
                <w:rFonts w:ascii="Calibri" w:hAnsi="Calibri"/>
                <w:b/>
                <w:snapToGrid w:val="0"/>
                <w:szCs w:val="21"/>
                <w:u w:val="single"/>
              </w:rPr>
              <w:t>148.97</w:t>
            </w:r>
          </w:p>
        </w:tc>
        <w:tc>
          <w:tcPr>
            <w:tcW w:w="700" w:type="pct"/>
            <w:tcBorders>
              <w:top w:val="single" w:sz="4" w:space="0" w:color="auto"/>
              <w:left w:val="single" w:sz="4" w:space="0" w:color="auto"/>
              <w:bottom w:val="single" w:sz="8" w:space="0" w:color="auto"/>
              <w:right w:val="single" w:sz="12" w:space="0" w:color="auto"/>
            </w:tcBorders>
            <w:vAlign w:val="center"/>
          </w:tcPr>
          <w:p w14:paraId="17CD4D1A" w14:textId="68EFEF72" w:rsidR="002B1020" w:rsidRPr="00E10DA7" w:rsidRDefault="002B1020" w:rsidP="0036124D">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1</w:t>
            </w:r>
            <w:r w:rsidRPr="00E10DA7">
              <w:rPr>
                <w:rFonts w:asciiTheme="minorHAnsi" w:hAnsiTheme="minorHAnsi" w:cs="宋体"/>
                <w:b/>
                <w:kern w:val="0"/>
                <w:szCs w:val="21"/>
                <w:u w:val="single"/>
              </w:rPr>
              <w:t>34.49</w:t>
            </w:r>
          </w:p>
        </w:tc>
      </w:tr>
      <w:tr w:rsidR="002B1020" w:rsidRPr="00E10DA7" w14:paraId="7A202734" w14:textId="3A13A807"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372A3A25" w14:textId="77777777" w:rsidR="002B1020" w:rsidRPr="00E10DA7" w:rsidRDefault="002B1020" w:rsidP="00E13338">
            <w:pPr>
              <w:widowControl/>
              <w:jc w:val="left"/>
              <w:rPr>
                <w:rFonts w:asciiTheme="minorHAnsi" w:hAnsiTheme="minorHAnsi" w:cs="宋体"/>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6A0569F1"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效率</w:t>
            </w:r>
          </w:p>
        </w:tc>
        <w:tc>
          <w:tcPr>
            <w:tcW w:w="809" w:type="pct"/>
            <w:tcBorders>
              <w:top w:val="nil"/>
              <w:left w:val="nil"/>
              <w:bottom w:val="single" w:sz="8" w:space="0" w:color="auto"/>
              <w:right w:val="single" w:sz="8" w:space="0" w:color="auto"/>
            </w:tcBorders>
            <w:shd w:val="clear" w:color="auto" w:fill="auto"/>
            <w:vAlign w:val="center"/>
            <w:hideMark/>
          </w:tcPr>
          <w:p w14:paraId="6CBE2DD8" w14:textId="5DDA9EFA" w:rsidR="002B1020" w:rsidRPr="00E10DA7" w:rsidRDefault="002B1020" w:rsidP="00E13338">
            <w:pPr>
              <w:jc w:val="center"/>
              <w:rPr>
                <w:rFonts w:asciiTheme="minorHAnsi" w:hAnsiTheme="minorHAnsi"/>
                <w:b/>
                <w:szCs w:val="21"/>
                <w:u w:val="single"/>
              </w:rPr>
            </w:pPr>
            <w:r w:rsidRPr="00E10DA7">
              <w:rPr>
                <w:rFonts w:asciiTheme="minorHAnsi" w:hAnsiTheme="minorHAnsi"/>
                <w:b/>
                <w:szCs w:val="21"/>
                <w:u w:val="single"/>
              </w:rPr>
              <w:t>0</w:t>
            </w:r>
            <w:r w:rsidR="003322F0" w:rsidRPr="00E10DA7">
              <w:rPr>
                <w:rFonts w:asciiTheme="minorHAnsi" w:hAnsiTheme="minorHAnsi"/>
                <w:b/>
                <w:szCs w:val="21"/>
                <w:u w:val="single"/>
              </w:rPr>
              <w:t>%</w:t>
            </w:r>
          </w:p>
        </w:tc>
        <w:tc>
          <w:tcPr>
            <w:tcW w:w="672" w:type="pct"/>
            <w:tcBorders>
              <w:top w:val="nil"/>
              <w:left w:val="nil"/>
              <w:bottom w:val="single" w:sz="8" w:space="0" w:color="auto"/>
              <w:right w:val="single" w:sz="8" w:space="0" w:color="auto"/>
            </w:tcBorders>
            <w:shd w:val="clear" w:color="auto" w:fill="auto"/>
            <w:vAlign w:val="center"/>
            <w:hideMark/>
          </w:tcPr>
          <w:p w14:paraId="56F1BBDE" w14:textId="1639E093" w:rsidR="002B1020" w:rsidRPr="00E10DA7" w:rsidRDefault="002B1020" w:rsidP="00E13338">
            <w:pPr>
              <w:jc w:val="center"/>
              <w:rPr>
                <w:rFonts w:asciiTheme="minorHAnsi" w:hAnsiTheme="minorHAnsi"/>
                <w:b/>
                <w:color w:val="auto"/>
                <w:szCs w:val="21"/>
                <w:u w:val="single"/>
              </w:rPr>
            </w:pPr>
            <w:r w:rsidRPr="00E10DA7">
              <w:rPr>
                <w:rFonts w:asciiTheme="minorHAnsi" w:hAnsiTheme="minorHAnsi"/>
                <w:b/>
                <w:color w:val="auto"/>
                <w:szCs w:val="21"/>
                <w:u w:val="single"/>
              </w:rPr>
              <w:t>0</w:t>
            </w:r>
            <w:r w:rsidR="003322F0" w:rsidRPr="00E10DA7">
              <w:rPr>
                <w:rFonts w:asciiTheme="minorHAnsi" w:hAnsiTheme="minorHAnsi"/>
                <w:b/>
                <w:color w:val="auto"/>
                <w:szCs w:val="21"/>
                <w:u w:val="single"/>
              </w:rPr>
              <w:t>%</w:t>
            </w:r>
          </w:p>
        </w:tc>
        <w:tc>
          <w:tcPr>
            <w:tcW w:w="809" w:type="pct"/>
            <w:tcBorders>
              <w:top w:val="nil"/>
              <w:left w:val="nil"/>
              <w:bottom w:val="single" w:sz="8" w:space="0" w:color="auto"/>
              <w:right w:val="single" w:sz="8" w:space="0" w:color="auto"/>
            </w:tcBorders>
            <w:shd w:val="clear" w:color="auto" w:fill="auto"/>
            <w:vAlign w:val="center"/>
            <w:hideMark/>
          </w:tcPr>
          <w:p w14:paraId="12C10BFE" w14:textId="72A8F982" w:rsidR="002B1020" w:rsidRPr="00E10DA7" w:rsidRDefault="002B1020" w:rsidP="002B1020">
            <w:pPr>
              <w:jc w:val="center"/>
              <w:rPr>
                <w:rFonts w:asciiTheme="minorHAnsi" w:hAnsiTheme="minorHAnsi"/>
                <w:b/>
                <w:szCs w:val="21"/>
                <w:u w:val="single"/>
              </w:rPr>
            </w:pPr>
            <w:r w:rsidRPr="00E10DA7">
              <w:rPr>
                <w:rFonts w:asciiTheme="minorHAnsi" w:hAnsiTheme="minorHAnsi"/>
                <w:b/>
                <w:szCs w:val="21"/>
                <w:u w:val="single"/>
              </w:rPr>
              <w:t>0</w:t>
            </w:r>
            <w:r w:rsidR="003322F0" w:rsidRPr="00E10DA7">
              <w:rPr>
                <w:rFonts w:asciiTheme="minorHAnsi" w:hAnsiTheme="minorHAnsi"/>
                <w:b/>
                <w:szCs w:val="21"/>
                <w:u w:val="single"/>
              </w:rPr>
              <w:t>%</w:t>
            </w:r>
          </w:p>
        </w:tc>
        <w:tc>
          <w:tcPr>
            <w:tcW w:w="700" w:type="pct"/>
            <w:tcBorders>
              <w:top w:val="nil"/>
              <w:left w:val="nil"/>
              <w:bottom w:val="single" w:sz="8" w:space="0" w:color="auto"/>
              <w:right w:val="single" w:sz="4" w:space="0" w:color="auto"/>
            </w:tcBorders>
            <w:shd w:val="clear" w:color="auto" w:fill="auto"/>
            <w:vAlign w:val="center"/>
            <w:hideMark/>
          </w:tcPr>
          <w:p w14:paraId="12F5C8AC" w14:textId="66D7CBBF" w:rsidR="002B1020" w:rsidRPr="00E10DA7" w:rsidRDefault="002B1020" w:rsidP="00E13338">
            <w:pPr>
              <w:jc w:val="center"/>
              <w:rPr>
                <w:rFonts w:asciiTheme="minorHAnsi" w:hAnsiTheme="minorHAnsi"/>
                <w:b/>
                <w:szCs w:val="21"/>
                <w:u w:val="single"/>
              </w:rPr>
            </w:pPr>
            <w:r w:rsidRPr="00E10DA7">
              <w:rPr>
                <w:rFonts w:asciiTheme="minorHAnsi" w:hAnsiTheme="minorHAnsi"/>
                <w:b/>
                <w:szCs w:val="21"/>
                <w:u w:val="single"/>
              </w:rPr>
              <w:t>0</w:t>
            </w:r>
            <w:r w:rsidR="003322F0" w:rsidRPr="00E10DA7">
              <w:rPr>
                <w:rFonts w:asciiTheme="minorHAnsi" w:hAnsiTheme="minorHAnsi"/>
                <w:b/>
                <w:szCs w:val="21"/>
                <w:u w:val="single"/>
              </w:rPr>
              <w:t>%</w:t>
            </w:r>
          </w:p>
        </w:tc>
        <w:tc>
          <w:tcPr>
            <w:tcW w:w="700" w:type="pct"/>
            <w:tcBorders>
              <w:top w:val="nil"/>
              <w:left w:val="single" w:sz="4" w:space="0" w:color="auto"/>
              <w:bottom w:val="single" w:sz="8" w:space="0" w:color="auto"/>
              <w:right w:val="single" w:sz="12" w:space="0" w:color="auto"/>
            </w:tcBorders>
            <w:vAlign w:val="center"/>
          </w:tcPr>
          <w:p w14:paraId="1F21D642" w14:textId="6E88D293" w:rsidR="002B1020" w:rsidRPr="00E10DA7" w:rsidRDefault="002B102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0</w:t>
            </w:r>
            <w:r w:rsidR="003322F0" w:rsidRPr="00E10DA7">
              <w:rPr>
                <w:rFonts w:asciiTheme="minorHAnsi" w:hAnsiTheme="minorHAnsi" w:cs="宋体"/>
                <w:b/>
                <w:kern w:val="0"/>
                <w:szCs w:val="21"/>
                <w:u w:val="single"/>
              </w:rPr>
              <w:t>%</w:t>
            </w:r>
          </w:p>
        </w:tc>
      </w:tr>
      <w:tr w:rsidR="002B1020" w:rsidRPr="00E10DA7" w14:paraId="30572934" w14:textId="702560EA"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3E8CE2FD" w14:textId="77777777" w:rsidR="002B1020" w:rsidRPr="00E10DA7" w:rsidRDefault="002B1020" w:rsidP="002B1020">
            <w:pPr>
              <w:widowControl/>
              <w:jc w:val="left"/>
              <w:rPr>
                <w:rFonts w:asciiTheme="minorHAnsi" w:hAnsiTheme="minorHAnsi" w:cs="宋体"/>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3DECC95E" w14:textId="77777777" w:rsidR="002B1020" w:rsidRPr="00E10DA7" w:rsidRDefault="002B1020" w:rsidP="002B102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出水</w:t>
            </w:r>
          </w:p>
        </w:tc>
        <w:tc>
          <w:tcPr>
            <w:tcW w:w="809" w:type="pct"/>
            <w:tcBorders>
              <w:top w:val="nil"/>
              <w:left w:val="nil"/>
              <w:bottom w:val="single" w:sz="8" w:space="0" w:color="auto"/>
              <w:right w:val="single" w:sz="8" w:space="0" w:color="auto"/>
            </w:tcBorders>
            <w:shd w:val="clear" w:color="auto" w:fill="auto"/>
            <w:vAlign w:val="center"/>
            <w:hideMark/>
          </w:tcPr>
          <w:p w14:paraId="3FF60399" w14:textId="2A7A8C56"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2211.34</w:t>
            </w:r>
          </w:p>
        </w:tc>
        <w:tc>
          <w:tcPr>
            <w:tcW w:w="672" w:type="pct"/>
            <w:tcBorders>
              <w:top w:val="nil"/>
              <w:left w:val="nil"/>
              <w:bottom w:val="single" w:sz="8" w:space="0" w:color="auto"/>
              <w:right w:val="single" w:sz="8" w:space="0" w:color="auto"/>
            </w:tcBorders>
            <w:shd w:val="clear" w:color="auto" w:fill="auto"/>
            <w:vAlign w:val="center"/>
            <w:hideMark/>
          </w:tcPr>
          <w:p w14:paraId="5BF4E65D" w14:textId="0BB85B91" w:rsidR="002B1020" w:rsidRPr="00E10DA7" w:rsidRDefault="002B1020" w:rsidP="002B1020">
            <w:pPr>
              <w:jc w:val="center"/>
              <w:rPr>
                <w:rFonts w:asciiTheme="minorHAnsi" w:hAnsiTheme="minorHAnsi"/>
                <w:b/>
                <w:color w:val="auto"/>
                <w:szCs w:val="21"/>
                <w:u w:val="single"/>
              </w:rPr>
            </w:pPr>
            <w:r w:rsidRPr="00E10DA7">
              <w:rPr>
                <w:rFonts w:ascii="Calibri" w:hAnsi="Calibri"/>
                <w:b/>
                <w:snapToGrid w:val="0"/>
                <w:color w:val="auto"/>
                <w:szCs w:val="21"/>
                <w:u w:val="single"/>
              </w:rPr>
              <w:t>1102.95</w:t>
            </w:r>
          </w:p>
        </w:tc>
        <w:tc>
          <w:tcPr>
            <w:tcW w:w="809" w:type="pct"/>
            <w:tcBorders>
              <w:top w:val="nil"/>
              <w:left w:val="nil"/>
              <w:bottom w:val="single" w:sz="8" w:space="0" w:color="auto"/>
              <w:right w:val="single" w:sz="8" w:space="0" w:color="auto"/>
            </w:tcBorders>
            <w:shd w:val="clear" w:color="auto" w:fill="auto"/>
            <w:vAlign w:val="center"/>
            <w:hideMark/>
          </w:tcPr>
          <w:p w14:paraId="5D365932" w14:textId="44E8A915"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120.45</w:t>
            </w:r>
          </w:p>
        </w:tc>
        <w:tc>
          <w:tcPr>
            <w:tcW w:w="700" w:type="pct"/>
            <w:tcBorders>
              <w:top w:val="nil"/>
              <w:left w:val="nil"/>
              <w:bottom w:val="single" w:sz="8" w:space="0" w:color="auto"/>
              <w:right w:val="single" w:sz="4" w:space="0" w:color="auto"/>
            </w:tcBorders>
            <w:shd w:val="clear" w:color="auto" w:fill="auto"/>
            <w:vAlign w:val="center"/>
            <w:hideMark/>
          </w:tcPr>
          <w:p w14:paraId="0908C416" w14:textId="48E6427C"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148.97</w:t>
            </w:r>
          </w:p>
        </w:tc>
        <w:tc>
          <w:tcPr>
            <w:tcW w:w="700" w:type="pct"/>
            <w:tcBorders>
              <w:top w:val="nil"/>
              <w:left w:val="single" w:sz="4" w:space="0" w:color="auto"/>
              <w:bottom w:val="single" w:sz="8" w:space="0" w:color="auto"/>
              <w:right w:val="single" w:sz="12" w:space="0" w:color="auto"/>
            </w:tcBorders>
            <w:vAlign w:val="center"/>
          </w:tcPr>
          <w:p w14:paraId="6503E106" w14:textId="44917912" w:rsidR="002B1020" w:rsidRPr="00E10DA7" w:rsidRDefault="002B1020" w:rsidP="0036124D">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1</w:t>
            </w:r>
            <w:r w:rsidRPr="00E10DA7">
              <w:rPr>
                <w:rFonts w:asciiTheme="minorHAnsi" w:hAnsiTheme="minorHAnsi" w:cs="宋体"/>
                <w:b/>
                <w:kern w:val="0"/>
                <w:szCs w:val="21"/>
                <w:u w:val="single"/>
              </w:rPr>
              <w:t>34.49</w:t>
            </w:r>
          </w:p>
        </w:tc>
      </w:tr>
      <w:tr w:rsidR="002B1020" w:rsidRPr="00E10DA7" w14:paraId="0295E3CA" w14:textId="60DC924C" w:rsidTr="0036124D">
        <w:trPr>
          <w:trHeight w:val="293"/>
          <w:jc w:val="center"/>
        </w:trPr>
        <w:tc>
          <w:tcPr>
            <w:tcW w:w="640" w:type="pct"/>
            <w:vMerge w:val="restart"/>
            <w:tcBorders>
              <w:top w:val="nil"/>
              <w:left w:val="single" w:sz="12" w:space="0" w:color="auto"/>
              <w:bottom w:val="single" w:sz="8" w:space="0" w:color="000000"/>
              <w:right w:val="single" w:sz="8" w:space="0" w:color="auto"/>
            </w:tcBorders>
            <w:shd w:val="clear" w:color="auto" w:fill="auto"/>
            <w:vAlign w:val="center"/>
            <w:hideMark/>
          </w:tcPr>
          <w:p w14:paraId="1AD485FC" w14:textId="77777777" w:rsidR="002B1020" w:rsidRPr="00E10DA7" w:rsidRDefault="002B1020" w:rsidP="002B102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水解酸化</w:t>
            </w:r>
          </w:p>
        </w:tc>
        <w:tc>
          <w:tcPr>
            <w:tcW w:w="672" w:type="pct"/>
            <w:tcBorders>
              <w:top w:val="nil"/>
              <w:left w:val="nil"/>
              <w:bottom w:val="single" w:sz="8" w:space="0" w:color="auto"/>
              <w:right w:val="single" w:sz="8" w:space="0" w:color="auto"/>
            </w:tcBorders>
            <w:shd w:val="clear" w:color="auto" w:fill="auto"/>
            <w:vAlign w:val="center"/>
            <w:hideMark/>
          </w:tcPr>
          <w:p w14:paraId="6624E312" w14:textId="77777777" w:rsidR="002B1020" w:rsidRPr="00E10DA7" w:rsidRDefault="002B1020" w:rsidP="002B102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进水</w:t>
            </w:r>
          </w:p>
        </w:tc>
        <w:tc>
          <w:tcPr>
            <w:tcW w:w="809" w:type="pct"/>
            <w:tcBorders>
              <w:top w:val="nil"/>
              <w:left w:val="nil"/>
              <w:bottom w:val="single" w:sz="8" w:space="0" w:color="auto"/>
              <w:right w:val="single" w:sz="8" w:space="0" w:color="auto"/>
            </w:tcBorders>
            <w:shd w:val="clear" w:color="auto" w:fill="auto"/>
            <w:vAlign w:val="center"/>
            <w:hideMark/>
          </w:tcPr>
          <w:p w14:paraId="3028112B" w14:textId="1623F62C"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2211.34</w:t>
            </w:r>
          </w:p>
        </w:tc>
        <w:tc>
          <w:tcPr>
            <w:tcW w:w="672" w:type="pct"/>
            <w:tcBorders>
              <w:top w:val="nil"/>
              <w:left w:val="nil"/>
              <w:bottom w:val="single" w:sz="8" w:space="0" w:color="auto"/>
              <w:right w:val="single" w:sz="8" w:space="0" w:color="auto"/>
            </w:tcBorders>
            <w:shd w:val="clear" w:color="auto" w:fill="auto"/>
            <w:vAlign w:val="center"/>
            <w:hideMark/>
          </w:tcPr>
          <w:p w14:paraId="0C275A1E" w14:textId="47286506" w:rsidR="002B1020" w:rsidRPr="00E10DA7" w:rsidRDefault="002B1020" w:rsidP="002B1020">
            <w:pPr>
              <w:jc w:val="center"/>
              <w:rPr>
                <w:rFonts w:asciiTheme="minorHAnsi" w:hAnsiTheme="minorHAnsi"/>
                <w:b/>
                <w:color w:val="auto"/>
                <w:szCs w:val="21"/>
                <w:u w:val="single"/>
              </w:rPr>
            </w:pPr>
            <w:r w:rsidRPr="00E10DA7">
              <w:rPr>
                <w:rFonts w:ascii="Calibri" w:hAnsi="Calibri"/>
                <w:b/>
                <w:snapToGrid w:val="0"/>
                <w:color w:val="auto"/>
                <w:szCs w:val="21"/>
                <w:u w:val="single"/>
              </w:rPr>
              <w:t>1102.95</w:t>
            </w:r>
          </w:p>
        </w:tc>
        <w:tc>
          <w:tcPr>
            <w:tcW w:w="809" w:type="pct"/>
            <w:tcBorders>
              <w:top w:val="nil"/>
              <w:left w:val="nil"/>
              <w:bottom w:val="single" w:sz="8" w:space="0" w:color="auto"/>
              <w:right w:val="single" w:sz="8" w:space="0" w:color="auto"/>
            </w:tcBorders>
            <w:shd w:val="clear" w:color="auto" w:fill="auto"/>
            <w:vAlign w:val="center"/>
            <w:hideMark/>
          </w:tcPr>
          <w:p w14:paraId="5CB8ECEA" w14:textId="0350BB76"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120.45</w:t>
            </w:r>
          </w:p>
        </w:tc>
        <w:tc>
          <w:tcPr>
            <w:tcW w:w="700" w:type="pct"/>
            <w:tcBorders>
              <w:top w:val="nil"/>
              <w:left w:val="nil"/>
              <w:bottom w:val="single" w:sz="8" w:space="0" w:color="auto"/>
              <w:right w:val="single" w:sz="4" w:space="0" w:color="auto"/>
            </w:tcBorders>
            <w:shd w:val="clear" w:color="auto" w:fill="auto"/>
            <w:vAlign w:val="center"/>
            <w:hideMark/>
          </w:tcPr>
          <w:p w14:paraId="3D65B9CE" w14:textId="3171EB06"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148.97</w:t>
            </w:r>
          </w:p>
        </w:tc>
        <w:tc>
          <w:tcPr>
            <w:tcW w:w="700" w:type="pct"/>
            <w:tcBorders>
              <w:top w:val="nil"/>
              <w:left w:val="single" w:sz="4" w:space="0" w:color="auto"/>
              <w:bottom w:val="single" w:sz="8" w:space="0" w:color="auto"/>
              <w:right w:val="single" w:sz="12" w:space="0" w:color="auto"/>
            </w:tcBorders>
            <w:vAlign w:val="center"/>
          </w:tcPr>
          <w:p w14:paraId="08E555C3" w14:textId="7A520EE8" w:rsidR="002B1020" w:rsidRPr="00E10DA7" w:rsidRDefault="002B1020" w:rsidP="0036124D">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1</w:t>
            </w:r>
            <w:r w:rsidRPr="00E10DA7">
              <w:rPr>
                <w:rFonts w:asciiTheme="minorHAnsi" w:hAnsiTheme="minorHAnsi" w:cs="宋体"/>
                <w:b/>
                <w:kern w:val="0"/>
                <w:szCs w:val="21"/>
                <w:u w:val="single"/>
              </w:rPr>
              <w:t>34.49</w:t>
            </w:r>
          </w:p>
        </w:tc>
      </w:tr>
      <w:tr w:rsidR="003322F0" w:rsidRPr="00E10DA7" w14:paraId="1EE50BE7" w14:textId="6117DFBF"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4B506897" w14:textId="77777777" w:rsidR="003322F0" w:rsidRPr="00E10DA7" w:rsidRDefault="003322F0" w:rsidP="003322F0">
            <w:pPr>
              <w:widowControl/>
              <w:jc w:val="left"/>
              <w:rPr>
                <w:rFonts w:asciiTheme="minorHAnsi" w:hAnsiTheme="minorHAnsi" w:cs="宋体"/>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66C94923" w14:textId="77777777" w:rsidR="003322F0" w:rsidRPr="00E10DA7" w:rsidRDefault="003322F0" w:rsidP="003322F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效率</w:t>
            </w:r>
          </w:p>
        </w:tc>
        <w:tc>
          <w:tcPr>
            <w:tcW w:w="809" w:type="pct"/>
            <w:tcBorders>
              <w:top w:val="nil"/>
              <w:left w:val="nil"/>
              <w:bottom w:val="single" w:sz="8" w:space="0" w:color="auto"/>
              <w:right w:val="single" w:sz="8" w:space="0" w:color="auto"/>
            </w:tcBorders>
            <w:shd w:val="clear" w:color="auto" w:fill="auto"/>
            <w:vAlign w:val="center"/>
            <w:hideMark/>
          </w:tcPr>
          <w:p w14:paraId="5307C437" w14:textId="77777777"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24%</w:t>
            </w:r>
          </w:p>
        </w:tc>
        <w:tc>
          <w:tcPr>
            <w:tcW w:w="672" w:type="pct"/>
            <w:tcBorders>
              <w:top w:val="nil"/>
              <w:left w:val="nil"/>
              <w:bottom w:val="single" w:sz="8" w:space="0" w:color="auto"/>
              <w:right w:val="single" w:sz="8" w:space="0" w:color="auto"/>
            </w:tcBorders>
            <w:shd w:val="clear" w:color="auto" w:fill="auto"/>
            <w:vAlign w:val="center"/>
            <w:hideMark/>
          </w:tcPr>
          <w:p w14:paraId="6BFF5F86" w14:textId="77777777"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19%</w:t>
            </w:r>
          </w:p>
        </w:tc>
        <w:tc>
          <w:tcPr>
            <w:tcW w:w="809" w:type="pct"/>
            <w:tcBorders>
              <w:top w:val="nil"/>
              <w:left w:val="nil"/>
              <w:bottom w:val="single" w:sz="8" w:space="0" w:color="auto"/>
              <w:right w:val="single" w:sz="8" w:space="0" w:color="auto"/>
            </w:tcBorders>
            <w:shd w:val="clear" w:color="auto" w:fill="auto"/>
            <w:vAlign w:val="center"/>
            <w:hideMark/>
          </w:tcPr>
          <w:p w14:paraId="3F0086F3" w14:textId="697CF1E9"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0%</w:t>
            </w:r>
          </w:p>
        </w:tc>
        <w:tc>
          <w:tcPr>
            <w:tcW w:w="700" w:type="pct"/>
            <w:tcBorders>
              <w:top w:val="nil"/>
              <w:left w:val="nil"/>
              <w:bottom w:val="single" w:sz="8" w:space="0" w:color="auto"/>
              <w:right w:val="single" w:sz="4" w:space="0" w:color="auto"/>
            </w:tcBorders>
            <w:shd w:val="clear" w:color="auto" w:fill="auto"/>
            <w:vAlign w:val="center"/>
            <w:hideMark/>
          </w:tcPr>
          <w:p w14:paraId="1245E814" w14:textId="783AD2CB"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0%</w:t>
            </w:r>
          </w:p>
        </w:tc>
        <w:tc>
          <w:tcPr>
            <w:tcW w:w="700" w:type="pct"/>
            <w:tcBorders>
              <w:top w:val="nil"/>
              <w:left w:val="single" w:sz="4" w:space="0" w:color="auto"/>
              <w:bottom w:val="single" w:sz="8" w:space="0" w:color="auto"/>
              <w:right w:val="single" w:sz="12" w:space="0" w:color="auto"/>
            </w:tcBorders>
            <w:vAlign w:val="center"/>
          </w:tcPr>
          <w:p w14:paraId="6BEF8E48" w14:textId="03B5B85A" w:rsidR="003322F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0%</w:t>
            </w:r>
          </w:p>
        </w:tc>
      </w:tr>
      <w:tr w:rsidR="002B1020" w:rsidRPr="00E10DA7" w14:paraId="7E21F040" w14:textId="60324F93"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54065F14" w14:textId="77777777" w:rsidR="002B1020" w:rsidRPr="00E10DA7" w:rsidRDefault="002B1020" w:rsidP="002B1020">
            <w:pPr>
              <w:widowControl/>
              <w:jc w:val="left"/>
              <w:rPr>
                <w:rFonts w:asciiTheme="minorHAnsi" w:hAnsiTheme="minorHAnsi" w:cs="宋体"/>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137A6B05" w14:textId="77777777" w:rsidR="002B1020" w:rsidRPr="00E10DA7" w:rsidRDefault="002B1020" w:rsidP="002B102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出水</w:t>
            </w:r>
          </w:p>
        </w:tc>
        <w:tc>
          <w:tcPr>
            <w:tcW w:w="809" w:type="pct"/>
            <w:tcBorders>
              <w:top w:val="nil"/>
              <w:left w:val="nil"/>
              <w:bottom w:val="single" w:sz="8" w:space="0" w:color="auto"/>
              <w:right w:val="single" w:sz="8" w:space="0" w:color="auto"/>
            </w:tcBorders>
            <w:shd w:val="clear" w:color="auto" w:fill="auto"/>
            <w:vAlign w:val="center"/>
            <w:hideMark/>
          </w:tcPr>
          <w:p w14:paraId="5A684FBE" w14:textId="4E1624BB" w:rsidR="002B1020" w:rsidRPr="00E10DA7" w:rsidRDefault="002B1020" w:rsidP="002B1020">
            <w:pPr>
              <w:jc w:val="center"/>
              <w:rPr>
                <w:rFonts w:asciiTheme="minorHAnsi" w:hAnsiTheme="minorHAnsi"/>
                <w:b/>
                <w:szCs w:val="21"/>
                <w:u w:val="single"/>
              </w:rPr>
            </w:pPr>
            <w:r w:rsidRPr="00E10DA7">
              <w:rPr>
                <w:rFonts w:asciiTheme="minorHAnsi" w:hAnsiTheme="minorHAnsi"/>
                <w:b/>
                <w:szCs w:val="21"/>
                <w:u w:val="single"/>
              </w:rPr>
              <w:t>1680.62</w:t>
            </w:r>
          </w:p>
        </w:tc>
        <w:tc>
          <w:tcPr>
            <w:tcW w:w="672" w:type="pct"/>
            <w:tcBorders>
              <w:top w:val="nil"/>
              <w:left w:val="nil"/>
              <w:bottom w:val="single" w:sz="8" w:space="0" w:color="auto"/>
              <w:right w:val="single" w:sz="8" w:space="0" w:color="auto"/>
            </w:tcBorders>
            <w:shd w:val="clear" w:color="auto" w:fill="auto"/>
            <w:vAlign w:val="center"/>
            <w:hideMark/>
          </w:tcPr>
          <w:p w14:paraId="6EC81D50" w14:textId="7DCF4075" w:rsidR="002B1020" w:rsidRPr="00E10DA7" w:rsidRDefault="002B1020" w:rsidP="002B1020">
            <w:pPr>
              <w:jc w:val="center"/>
              <w:rPr>
                <w:rFonts w:asciiTheme="minorHAnsi" w:hAnsiTheme="minorHAnsi"/>
                <w:b/>
                <w:szCs w:val="21"/>
                <w:u w:val="single"/>
              </w:rPr>
            </w:pPr>
            <w:r w:rsidRPr="00E10DA7">
              <w:rPr>
                <w:rFonts w:asciiTheme="minorHAnsi" w:hAnsiTheme="minorHAnsi"/>
                <w:b/>
                <w:szCs w:val="21"/>
                <w:u w:val="single"/>
              </w:rPr>
              <w:t>893.39</w:t>
            </w:r>
          </w:p>
        </w:tc>
        <w:tc>
          <w:tcPr>
            <w:tcW w:w="809" w:type="pct"/>
            <w:tcBorders>
              <w:top w:val="nil"/>
              <w:left w:val="nil"/>
              <w:bottom w:val="single" w:sz="8" w:space="0" w:color="auto"/>
              <w:right w:val="single" w:sz="8" w:space="0" w:color="auto"/>
            </w:tcBorders>
            <w:shd w:val="clear" w:color="auto" w:fill="auto"/>
            <w:vAlign w:val="center"/>
            <w:hideMark/>
          </w:tcPr>
          <w:p w14:paraId="0E19787B" w14:textId="517A65D6"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120.45</w:t>
            </w:r>
          </w:p>
        </w:tc>
        <w:tc>
          <w:tcPr>
            <w:tcW w:w="700" w:type="pct"/>
            <w:tcBorders>
              <w:top w:val="nil"/>
              <w:left w:val="nil"/>
              <w:bottom w:val="single" w:sz="8" w:space="0" w:color="auto"/>
              <w:right w:val="single" w:sz="4" w:space="0" w:color="auto"/>
            </w:tcBorders>
            <w:shd w:val="clear" w:color="auto" w:fill="auto"/>
            <w:vAlign w:val="center"/>
            <w:hideMark/>
          </w:tcPr>
          <w:p w14:paraId="022FC840" w14:textId="597909D6"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148.97</w:t>
            </w:r>
          </w:p>
        </w:tc>
        <w:tc>
          <w:tcPr>
            <w:tcW w:w="700" w:type="pct"/>
            <w:tcBorders>
              <w:top w:val="nil"/>
              <w:left w:val="single" w:sz="4" w:space="0" w:color="auto"/>
              <w:bottom w:val="single" w:sz="8" w:space="0" w:color="auto"/>
              <w:right w:val="single" w:sz="12" w:space="0" w:color="auto"/>
            </w:tcBorders>
            <w:vAlign w:val="center"/>
          </w:tcPr>
          <w:p w14:paraId="05239824" w14:textId="137B4F14" w:rsidR="002B1020" w:rsidRPr="00E10DA7" w:rsidRDefault="002B1020" w:rsidP="0036124D">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1</w:t>
            </w:r>
            <w:r w:rsidRPr="00E10DA7">
              <w:rPr>
                <w:rFonts w:asciiTheme="minorHAnsi" w:hAnsiTheme="minorHAnsi" w:cs="宋体"/>
                <w:b/>
                <w:kern w:val="0"/>
                <w:szCs w:val="21"/>
                <w:u w:val="single"/>
              </w:rPr>
              <w:t>34.49</w:t>
            </w:r>
          </w:p>
        </w:tc>
      </w:tr>
      <w:tr w:rsidR="002B1020" w:rsidRPr="00E10DA7" w14:paraId="032A960E" w14:textId="41905978" w:rsidTr="0036124D">
        <w:trPr>
          <w:trHeight w:val="293"/>
          <w:jc w:val="center"/>
        </w:trPr>
        <w:tc>
          <w:tcPr>
            <w:tcW w:w="640" w:type="pct"/>
            <w:vMerge w:val="restart"/>
            <w:tcBorders>
              <w:top w:val="nil"/>
              <w:left w:val="single" w:sz="12" w:space="0" w:color="auto"/>
              <w:bottom w:val="single" w:sz="8" w:space="0" w:color="000000"/>
              <w:right w:val="single" w:sz="8" w:space="0" w:color="auto"/>
            </w:tcBorders>
            <w:shd w:val="clear" w:color="auto" w:fill="auto"/>
            <w:vAlign w:val="center"/>
            <w:hideMark/>
          </w:tcPr>
          <w:p w14:paraId="770ABF82" w14:textId="77777777" w:rsidR="002B1020" w:rsidRPr="00E10DA7" w:rsidRDefault="002B1020" w:rsidP="002B1020">
            <w:pPr>
              <w:widowControl/>
              <w:jc w:val="center"/>
              <w:rPr>
                <w:rFonts w:asciiTheme="minorHAnsi" w:hAnsiTheme="minorHAnsi"/>
                <w:b/>
                <w:kern w:val="0"/>
                <w:szCs w:val="21"/>
                <w:u w:val="single"/>
              </w:rPr>
            </w:pPr>
            <w:r w:rsidRPr="00E10DA7">
              <w:rPr>
                <w:rFonts w:asciiTheme="minorHAnsi" w:hAnsiTheme="minorHAnsi"/>
                <w:b/>
                <w:kern w:val="0"/>
                <w:szCs w:val="21"/>
                <w:u w:val="single"/>
              </w:rPr>
              <w:t>A/O</w:t>
            </w:r>
          </w:p>
        </w:tc>
        <w:tc>
          <w:tcPr>
            <w:tcW w:w="672" w:type="pct"/>
            <w:tcBorders>
              <w:top w:val="nil"/>
              <w:left w:val="nil"/>
              <w:bottom w:val="single" w:sz="8" w:space="0" w:color="auto"/>
              <w:right w:val="single" w:sz="8" w:space="0" w:color="auto"/>
            </w:tcBorders>
            <w:shd w:val="clear" w:color="auto" w:fill="auto"/>
            <w:vAlign w:val="center"/>
            <w:hideMark/>
          </w:tcPr>
          <w:p w14:paraId="7261E385" w14:textId="77777777" w:rsidR="002B1020" w:rsidRPr="00E10DA7" w:rsidRDefault="002B1020" w:rsidP="002B102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进水</w:t>
            </w:r>
          </w:p>
        </w:tc>
        <w:tc>
          <w:tcPr>
            <w:tcW w:w="809" w:type="pct"/>
            <w:tcBorders>
              <w:top w:val="nil"/>
              <w:left w:val="nil"/>
              <w:bottom w:val="single" w:sz="8" w:space="0" w:color="auto"/>
              <w:right w:val="single" w:sz="8" w:space="0" w:color="auto"/>
            </w:tcBorders>
            <w:shd w:val="clear" w:color="auto" w:fill="auto"/>
            <w:vAlign w:val="center"/>
            <w:hideMark/>
          </w:tcPr>
          <w:p w14:paraId="30626AEA" w14:textId="1C078BB8" w:rsidR="002B1020" w:rsidRPr="00E10DA7" w:rsidRDefault="002B1020" w:rsidP="002B1020">
            <w:pPr>
              <w:jc w:val="center"/>
              <w:rPr>
                <w:rFonts w:asciiTheme="minorHAnsi" w:hAnsiTheme="minorHAnsi"/>
                <w:b/>
                <w:szCs w:val="21"/>
                <w:u w:val="single"/>
              </w:rPr>
            </w:pPr>
            <w:r w:rsidRPr="00E10DA7">
              <w:rPr>
                <w:rFonts w:asciiTheme="minorHAnsi" w:hAnsiTheme="minorHAnsi"/>
                <w:b/>
                <w:szCs w:val="21"/>
                <w:u w:val="single"/>
              </w:rPr>
              <w:t>1680.62</w:t>
            </w:r>
          </w:p>
        </w:tc>
        <w:tc>
          <w:tcPr>
            <w:tcW w:w="672" w:type="pct"/>
            <w:tcBorders>
              <w:top w:val="nil"/>
              <w:left w:val="nil"/>
              <w:bottom w:val="single" w:sz="8" w:space="0" w:color="auto"/>
              <w:right w:val="single" w:sz="8" w:space="0" w:color="auto"/>
            </w:tcBorders>
            <w:shd w:val="clear" w:color="auto" w:fill="auto"/>
            <w:vAlign w:val="center"/>
            <w:hideMark/>
          </w:tcPr>
          <w:p w14:paraId="4AAC67C0" w14:textId="3AE91520" w:rsidR="002B1020" w:rsidRPr="00E10DA7" w:rsidRDefault="002B1020" w:rsidP="002B1020">
            <w:pPr>
              <w:jc w:val="center"/>
              <w:rPr>
                <w:rFonts w:asciiTheme="minorHAnsi" w:hAnsiTheme="minorHAnsi"/>
                <w:b/>
                <w:szCs w:val="21"/>
                <w:u w:val="single"/>
              </w:rPr>
            </w:pPr>
            <w:r w:rsidRPr="00E10DA7">
              <w:rPr>
                <w:rFonts w:asciiTheme="minorHAnsi" w:hAnsiTheme="minorHAnsi"/>
                <w:b/>
                <w:szCs w:val="21"/>
                <w:u w:val="single"/>
              </w:rPr>
              <w:t>893.39</w:t>
            </w:r>
          </w:p>
        </w:tc>
        <w:tc>
          <w:tcPr>
            <w:tcW w:w="809" w:type="pct"/>
            <w:tcBorders>
              <w:top w:val="nil"/>
              <w:left w:val="nil"/>
              <w:bottom w:val="single" w:sz="8" w:space="0" w:color="auto"/>
              <w:right w:val="single" w:sz="8" w:space="0" w:color="auto"/>
            </w:tcBorders>
            <w:shd w:val="clear" w:color="auto" w:fill="auto"/>
            <w:vAlign w:val="center"/>
            <w:hideMark/>
          </w:tcPr>
          <w:p w14:paraId="53151B4C" w14:textId="1099289F"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120.45</w:t>
            </w:r>
          </w:p>
        </w:tc>
        <w:tc>
          <w:tcPr>
            <w:tcW w:w="700" w:type="pct"/>
            <w:tcBorders>
              <w:top w:val="nil"/>
              <w:left w:val="nil"/>
              <w:bottom w:val="single" w:sz="8" w:space="0" w:color="auto"/>
              <w:right w:val="single" w:sz="4" w:space="0" w:color="auto"/>
            </w:tcBorders>
            <w:shd w:val="clear" w:color="auto" w:fill="auto"/>
            <w:vAlign w:val="center"/>
            <w:hideMark/>
          </w:tcPr>
          <w:p w14:paraId="6BC517AF" w14:textId="54EE5730" w:rsidR="002B1020" w:rsidRPr="00E10DA7" w:rsidRDefault="002B1020" w:rsidP="002B1020">
            <w:pPr>
              <w:jc w:val="center"/>
              <w:rPr>
                <w:rFonts w:asciiTheme="minorHAnsi" w:hAnsiTheme="minorHAnsi"/>
                <w:b/>
                <w:szCs w:val="21"/>
                <w:u w:val="single"/>
              </w:rPr>
            </w:pPr>
            <w:r w:rsidRPr="00E10DA7">
              <w:rPr>
                <w:rFonts w:ascii="Calibri" w:hAnsi="Calibri"/>
                <w:b/>
                <w:snapToGrid w:val="0"/>
                <w:szCs w:val="21"/>
                <w:u w:val="single"/>
              </w:rPr>
              <w:t>148.97</w:t>
            </w:r>
          </w:p>
        </w:tc>
        <w:tc>
          <w:tcPr>
            <w:tcW w:w="700" w:type="pct"/>
            <w:tcBorders>
              <w:top w:val="nil"/>
              <w:left w:val="single" w:sz="4" w:space="0" w:color="auto"/>
              <w:bottom w:val="single" w:sz="8" w:space="0" w:color="auto"/>
              <w:right w:val="single" w:sz="12" w:space="0" w:color="auto"/>
            </w:tcBorders>
            <w:vAlign w:val="center"/>
          </w:tcPr>
          <w:p w14:paraId="59C539DE" w14:textId="5693A2E7" w:rsidR="002B1020" w:rsidRPr="00E10DA7" w:rsidRDefault="002B1020" w:rsidP="0036124D">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1</w:t>
            </w:r>
            <w:r w:rsidRPr="00E10DA7">
              <w:rPr>
                <w:rFonts w:asciiTheme="minorHAnsi" w:hAnsiTheme="minorHAnsi" w:cs="宋体"/>
                <w:b/>
                <w:kern w:val="0"/>
                <w:szCs w:val="21"/>
                <w:u w:val="single"/>
              </w:rPr>
              <w:t>34.49</w:t>
            </w:r>
          </w:p>
        </w:tc>
      </w:tr>
      <w:tr w:rsidR="002B1020" w:rsidRPr="00E10DA7" w14:paraId="71CA4C71" w14:textId="7E49DB5A"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13CB45C5" w14:textId="77777777" w:rsidR="002B1020" w:rsidRPr="00E10DA7" w:rsidRDefault="002B1020" w:rsidP="00E13338">
            <w:pPr>
              <w:widowControl/>
              <w:jc w:val="left"/>
              <w:rPr>
                <w:rFonts w:asciiTheme="minorHAnsi" w:hAnsiTheme="minorHAnsi"/>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78405043"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效率</w:t>
            </w:r>
          </w:p>
        </w:tc>
        <w:tc>
          <w:tcPr>
            <w:tcW w:w="809" w:type="pct"/>
            <w:tcBorders>
              <w:top w:val="nil"/>
              <w:left w:val="nil"/>
              <w:bottom w:val="single" w:sz="8" w:space="0" w:color="auto"/>
              <w:right w:val="single" w:sz="8" w:space="0" w:color="auto"/>
            </w:tcBorders>
            <w:shd w:val="clear" w:color="auto" w:fill="auto"/>
            <w:vAlign w:val="center"/>
            <w:hideMark/>
          </w:tcPr>
          <w:p w14:paraId="565405F0" w14:textId="7E250F17" w:rsidR="002B1020" w:rsidRPr="00E10DA7" w:rsidRDefault="002B1020" w:rsidP="003322F0">
            <w:pPr>
              <w:jc w:val="center"/>
              <w:rPr>
                <w:rFonts w:asciiTheme="minorHAnsi" w:hAnsiTheme="minorHAnsi"/>
                <w:b/>
                <w:szCs w:val="21"/>
                <w:u w:val="single"/>
              </w:rPr>
            </w:pPr>
            <w:r w:rsidRPr="00E10DA7">
              <w:rPr>
                <w:rFonts w:asciiTheme="minorHAnsi" w:hAnsiTheme="minorHAnsi"/>
                <w:b/>
                <w:szCs w:val="21"/>
                <w:u w:val="single"/>
              </w:rPr>
              <w:t>8</w:t>
            </w:r>
            <w:r w:rsidR="003322F0" w:rsidRPr="00E10DA7">
              <w:rPr>
                <w:rFonts w:asciiTheme="minorHAnsi" w:hAnsiTheme="minorHAnsi"/>
                <w:b/>
                <w:szCs w:val="21"/>
                <w:u w:val="single"/>
              </w:rPr>
              <w:t>8</w:t>
            </w:r>
            <w:r w:rsidRPr="00E10DA7">
              <w:rPr>
                <w:rFonts w:asciiTheme="minorHAnsi" w:hAnsiTheme="minorHAnsi"/>
                <w:b/>
                <w:szCs w:val="21"/>
                <w:u w:val="single"/>
              </w:rPr>
              <w:t>%</w:t>
            </w:r>
          </w:p>
        </w:tc>
        <w:tc>
          <w:tcPr>
            <w:tcW w:w="672" w:type="pct"/>
            <w:tcBorders>
              <w:top w:val="nil"/>
              <w:left w:val="nil"/>
              <w:bottom w:val="single" w:sz="8" w:space="0" w:color="auto"/>
              <w:right w:val="single" w:sz="8" w:space="0" w:color="auto"/>
            </w:tcBorders>
            <w:shd w:val="clear" w:color="auto" w:fill="auto"/>
            <w:vAlign w:val="center"/>
            <w:hideMark/>
          </w:tcPr>
          <w:p w14:paraId="70749BBB" w14:textId="77777777" w:rsidR="002B1020" w:rsidRPr="00E10DA7" w:rsidRDefault="002B1020" w:rsidP="00E13338">
            <w:pPr>
              <w:jc w:val="center"/>
              <w:rPr>
                <w:rFonts w:asciiTheme="minorHAnsi" w:hAnsiTheme="minorHAnsi"/>
                <w:b/>
                <w:szCs w:val="21"/>
                <w:u w:val="single"/>
              </w:rPr>
            </w:pPr>
            <w:r w:rsidRPr="00E10DA7">
              <w:rPr>
                <w:rFonts w:asciiTheme="minorHAnsi" w:hAnsiTheme="minorHAnsi"/>
                <w:b/>
                <w:szCs w:val="21"/>
                <w:u w:val="single"/>
              </w:rPr>
              <w:t>87%</w:t>
            </w:r>
          </w:p>
        </w:tc>
        <w:tc>
          <w:tcPr>
            <w:tcW w:w="809" w:type="pct"/>
            <w:tcBorders>
              <w:top w:val="nil"/>
              <w:left w:val="nil"/>
              <w:bottom w:val="single" w:sz="8" w:space="0" w:color="auto"/>
              <w:right w:val="single" w:sz="8" w:space="0" w:color="auto"/>
            </w:tcBorders>
            <w:shd w:val="clear" w:color="auto" w:fill="auto"/>
            <w:vAlign w:val="center"/>
            <w:hideMark/>
          </w:tcPr>
          <w:p w14:paraId="44874314" w14:textId="77777777" w:rsidR="002B1020" w:rsidRPr="00E10DA7" w:rsidRDefault="002B1020" w:rsidP="00E13338">
            <w:pPr>
              <w:jc w:val="center"/>
              <w:rPr>
                <w:rFonts w:asciiTheme="minorHAnsi" w:hAnsiTheme="minorHAnsi"/>
                <w:b/>
                <w:szCs w:val="21"/>
                <w:u w:val="single"/>
              </w:rPr>
            </w:pPr>
            <w:r w:rsidRPr="00E10DA7">
              <w:rPr>
                <w:rFonts w:asciiTheme="minorHAnsi" w:hAnsiTheme="minorHAnsi"/>
                <w:b/>
                <w:szCs w:val="21"/>
                <w:u w:val="single"/>
              </w:rPr>
              <w:t>0</w:t>
            </w:r>
          </w:p>
        </w:tc>
        <w:tc>
          <w:tcPr>
            <w:tcW w:w="700" w:type="pct"/>
            <w:tcBorders>
              <w:top w:val="nil"/>
              <w:left w:val="nil"/>
              <w:bottom w:val="single" w:sz="8" w:space="0" w:color="auto"/>
              <w:right w:val="single" w:sz="4" w:space="0" w:color="auto"/>
            </w:tcBorders>
            <w:shd w:val="clear" w:color="auto" w:fill="auto"/>
            <w:vAlign w:val="center"/>
            <w:hideMark/>
          </w:tcPr>
          <w:p w14:paraId="142530B5" w14:textId="66413AE8" w:rsidR="002B1020" w:rsidRPr="00E10DA7" w:rsidRDefault="002B1020" w:rsidP="003322F0">
            <w:pPr>
              <w:jc w:val="center"/>
              <w:rPr>
                <w:rFonts w:asciiTheme="minorHAnsi" w:hAnsiTheme="minorHAnsi"/>
                <w:b/>
                <w:szCs w:val="21"/>
                <w:u w:val="single"/>
              </w:rPr>
            </w:pPr>
            <w:r w:rsidRPr="00E10DA7">
              <w:rPr>
                <w:rFonts w:asciiTheme="minorHAnsi" w:hAnsiTheme="minorHAnsi"/>
                <w:b/>
                <w:szCs w:val="21"/>
                <w:u w:val="single"/>
              </w:rPr>
              <w:t>8</w:t>
            </w:r>
            <w:r w:rsidR="003322F0" w:rsidRPr="00E10DA7">
              <w:rPr>
                <w:rFonts w:asciiTheme="minorHAnsi" w:hAnsiTheme="minorHAnsi"/>
                <w:b/>
                <w:szCs w:val="21"/>
                <w:u w:val="single"/>
              </w:rPr>
              <w:t>3</w:t>
            </w:r>
            <w:r w:rsidRPr="00E10DA7">
              <w:rPr>
                <w:rFonts w:asciiTheme="minorHAnsi" w:hAnsiTheme="minorHAnsi"/>
                <w:b/>
                <w:szCs w:val="21"/>
                <w:u w:val="single"/>
              </w:rPr>
              <w:t>%</w:t>
            </w:r>
          </w:p>
        </w:tc>
        <w:tc>
          <w:tcPr>
            <w:tcW w:w="700" w:type="pct"/>
            <w:tcBorders>
              <w:top w:val="nil"/>
              <w:left w:val="single" w:sz="4" w:space="0" w:color="auto"/>
              <w:bottom w:val="single" w:sz="8" w:space="0" w:color="auto"/>
              <w:right w:val="single" w:sz="12" w:space="0" w:color="auto"/>
            </w:tcBorders>
            <w:vAlign w:val="center"/>
          </w:tcPr>
          <w:p w14:paraId="72710680" w14:textId="240A6EFA" w:rsidR="002B102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83%</w:t>
            </w:r>
          </w:p>
        </w:tc>
      </w:tr>
      <w:tr w:rsidR="002B1020" w:rsidRPr="00E10DA7" w14:paraId="0A561611" w14:textId="7513519C"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78E39032" w14:textId="77777777" w:rsidR="002B1020" w:rsidRPr="00E10DA7" w:rsidRDefault="002B1020" w:rsidP="00E13338">
            <w:pPr>
              <w:widowControl/>
              <w:jc w:val="left"/>
              <w:rPr>
                <w:rFonts w:asciiTheme="minorHAnsi" w:hAnsiTheme="minorHAnsi"/>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4D1FC5D3"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出水</w:t>
            </w:r>
          </w:p>
        </w:tc>
        <w:tc>
          <w:tcPr>
            <w:tcW w:w="809" w:type="pct"/>
            <w:tcBorders>
              <w:top w:val="nil"/>
              <w:left w:val="nil"/>
              <w:bottom w:val="single" w:sz="8" w:space="0" w:color="auto"/>
              <w:right w:val="single" w:sz="8" w:space="0" w:color="auto"/>
            </w:tcBorders>
            <w:shd w:val="clear" w:color="auto" w:fill="auto"/>
            <w:vAlign w:val="center"/>
            <w:hideMark/>
          </w:tcPr>
          <w:p w14:paraId="56F50CA3" w14:textId="71BF745B" w:rsidR="002B1020" w:rsidRPr="00E10DA7" w:rsidRDefault="003322F0" w:rsidP="00E13338">
            <w:pPr>
              <w:jc w:val="center"/>
              <w:rPr>
                <w:rFonts w:asciiTheme="minorHAnsi" w:hAnsiTheme="minorHAnsi"/>
                <w:b/>
                <w:szCs w:val="21"/>
                <w:u w:val="single"/>
              </w:rPr>
            </w:pPr>
            <w:r w:rsidRPr="00E10DA7">
              <w:rPr>
                <w:rFonts w:asciiTheme="minorHAnsi" w:hAnsiTheme="minorHAnsi"/>
                <w:b/>
                <w:szCs w:val="21"/>
                <w:u w:val="single"/>
              </w:rPr>
              <w:t>201.67</w:t>
            </w:r>
          </w:p>
        </w:tc>
        <w:tc>
          <w:tcPr>
            <w:tcW w:w="672" w:type="pct"/>
            <w:tcBorders>
              <w:top w:val="nil"/>
              <w:left w:val="nil"/>
              <w:bottom w:val="single" w:sz="8" w:space="0" w:color="auto"/>
              <w:right w:val="single" w:sz="8" w:space="0" w:color="auto"/>
            </w:tcBorders>
            <w:shd w:val="clear" w:color="auto" w:fill="auto"/>
            <w:vAlign w:val="center"/>
            <w:hideMark/>
          </w:tcPr>
          <w:p w14:paraId="11F2B304" w14:textId="44775F1E" w:rsidR="002B1020" w:rsidRPr="00E10DA7" w:rsidRDefault="003322F0" w:rsidP="00E13338">
            <w:pPr>
              <w:jc w:val="center"/>
              <w:rPr>
                <w:rFonts w:asciiTheme="minorHAnsi" w:hAnsiTheme="minorHAnsi"/>
                <w:b/>
                <w:szCs w:val="21"/>
                <w:u w:val="single"/>
              </w:rPr>
            </w:pPr>
            <w:r w:rsidRPr="00E10DA7">
              <w:rPr>
                <w:rFonts w:asciiTheme="minorHAnsi" w:hAnsiTheme="minorHAnsi"/>
                <w:b/>
                <w:szCs w:val="21"/>
                <w:u w:val="single"/>
              </w:rPr>
              <w:t>116.14</w:t>
            </w:r>
          </w:p>
        </w:tc>
        <w:tc>
          <w:tcPr>
            <w:tcW w:w="809" w:type="pct"/>
            <w:tcBorders>
              <w:top w:val="nil"/>
              <w:left w:val="nil"/>
              <w:bottom w:val="single" w:sz="8" w:space="0" w:color="auto"/>
              <w:right w:val="single" w:sz="8" w:space="0" w:color="auto"/>
            </w:tcBorders>
            <w:shd w:val="clear" w:color="auto" w:fill="auto"/>
            <w:vAlign w:val="center"/>
            <w:hideMark/>
          </w:tcPr>
          <w:p w14:paraId="26CA6637" w14:textId="1CE3DA30" w:rsidR="002B1020" w:rsidRPr="00E10DA7" w:rsidRDefault="003322F0" w:rsidP="00E13338">
            <w:pPr>
              <w:jc w:val="center"/>
              <w:rPr>
                <w:rFonts w:asciiTheme="minorHAnsi" w:hAnsiTheme="minorHAnsi"/>
                <w:b/>
                <w:szCs w:val="21"/>
                <w:u w:val="single"/>
              </w:rPr>
            </w:pPr>
            <w:r w:rsidRPr="00E10DA7">
              <w:rPr>
                <w:rFonts w:ascii="Calibri" w:hAnsi="Calibri"/>
                <w:b/>
                <w:snapToGrid w:val="0"/>
                <w:szCs w:val="21"/>
                <w:u w:val="single"/>
              </w:rPr>
              <w:t>120.45</w:t>
            </w:r>
          </w:p>
        </w:tc>
        <w:tc>
          <w:tcPr>
            <w:tcW w:w="700" w:type="pct"/>
            <w:tcBorders>
              <w:top w:val="nil"/>
              <w:left w:val="nil"/>
              <w:bottom w:val="single" w:sz="8" w:space="0" w:color="auto"/>
              <w:right w:val="single" w:sz="4" w:space="0" w:color="auto"/>
            </w:tcBorders>
            <w:shd w:val="clear" w:color="auto" w:fill="auto"/>
            <w:vAlign w:val="center"/>
            <w:hideMark/>
          </w:tcPr>
          <w:p w14:paraId="3DC00394" w14:textId="53EC49B0" w:rsidR="002B1020" w:rsidRPr="00E10DA7" w:rsidRDefault="003322F0" w:rsidP="00E13338">
            <w:pPr>
              <w:jc w:val="center"/>
              <w:rPr>
                <w:rFonts w:asciiTheme="minorHAnsi" w:hAnsiTheme="minorHAnsi"/>
                <w:b/>
                <w:szCs w:val="21"/>
                <w:u w:val="single"/>
              </w:rPr>
            </w:pPr>
            <w:r w:rsidRPr="00E10DA7">
              <w:rPr>
                <w:rFonts w:asciiTheme="minorHAnsi" w:hAnsiTheme="minorHAnsi"/>
                <w:b/>
                <w:szCs w:val="21"/>
                <w:u w:val="single"/>
              </w:rPr>
              <w:t>25.32</w:t>
            </w:r>
          </w:p>
        </w:tc>
        <w:tc>
          <w:tcPr>
            <w:tcW w:w="700" w:type="pct"/>
            <w:tcBorders>
              <w:top w:val="nil"/>
              <w:left w:val="single" w:sz="4" w:space="0" w:color="auto"/>
              <w:bottom w:val="single" w:sz="8" w:space="0" w:color="auto"/>
              <w:right w:val="single" w:sz="12" w:space="0" w:color="auto"/>
            </w:tcBorders>
            <w:vAlign w:val="center"/>
          </w:tcPr>
          <w:p w14:paraId="012ECA48" w14:textId="521BAE84" w:rsidR="002B102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22.86</w:t>
            </w:r>
          </w:p>
        </w:tc>
      </w:tr>
      <w:tr w:rsidR="003322F0" w:rsidRPr="00E10DA7" w14:paraId="79F783E2" w14:textId="7B12E253" w:rsidTr="0036124D">
        <w:trPr>
          <w:trHeight w:val="293"/>
          <w:jc w:val="center"/>
        </w:trPr>
        <w:tc>
          <w:tcPr>
            <w:tcW w:w="640" w:type="pct"/>
            <w:vMerge w:val="restart"/>
            <w:tcBorders>
              <w:top w:val="nil"/>
              <w:left w:val="single" w:sz="12" w:space="0" w:color="auto"/>
              <w:bottom w:val="single" w:sz="8" w:space="0" w:color="000000"/>
              <w:right w:val="single" w:sz="8" w:space="0" w:color="auto"/>
            </w:tcBorders>
            <w:shd w:val="clear" w:color="auto" w:fill="auto"/>
            <w:vAlign w:val="center"/>
            <w:hideMark/>
          </w:tcPr>
          <w:p w14:paraId="239940BA" w14:textId="77777777" w:rsidR="003322F0" w:rsidRPr="00E10DA7" w:rsidRDefault="003322F0" w:rsidP="003322F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二沉池</w:t>
            </w:r>
          </w:p>
        </w:tc>
        <w:tc>
          <w:tcPr>
            <w:tcW w:w="672" w:type="pct"/>
            <w:tcBorders>
              <w:top w:val="nil"/>
              <w:left w:val="nil"/>
              <w:bottom w:val="single" w:sz="8" w:space="0" w:color="auto"/>
              <w:right w:val="single" w:sz="8" w:space="0" w:color="auto"/>
            </w:tcBorders>
            <w:shd w:val="clear" w:color="auto" w:fill="auto"/>
            <w:vAlign w:val="center"/>
            <w:hideMark/>
          </w:tcPr>
          <w:p w14:paraId="4954DC0A" w14:textId="77777777" w:rsidR="003322F0" w:rsidRPr="00E10DA7" w:rsidRDefault="003322F0" w:rsidP="003322F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进水</w:t>
            </w:r>
          </w:p>
        </w:tc>
        <w:tc>
          <w:tcPr>
            <w:tcW w:w="809" w:type="pct"/>
            <w:tcBorders>
              <w:top w:val="nil"/>
              <w:left w:val="nil"/>
              <w:bottom w:val="single" w:sz="8" w:space="0" w:color="auto"/>
              <w:right w:val="single" w:sz="8" w:space="0" w:color="auto"/>
            </w:tcBorders>
            <w:shd w:val="clear" w:color="auto" w:fill="auto"/>
            <w:vAlign w:val="center"/>
            <w:hideMark/>
          </w:tcPr>
          <w:p w14:paraId="578A3583" w14:textId="50A3276A"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201.67</w:t>
            </w:r>
          </w:p>
        </w:tc>
        <w:tc>
          <w:tcPr>
            <w:tcW w:w="672" w:type="pct"/>
            <w:tcBorders>
              <w:top w:val="nil"/>
              <w:left w:val="nil"/>
              <w:bottom w:val="single" w:sz="8" w:space="0" w:color="auto"/>
              <w:right w:val="single" w:sz="8" w:space="0" w:color="auto"/>
            </w:tcBorders>
            <w:shd w:val="clear" w:color="auto" w:fill="auto"/>
            <w:vAlign w:val="center"/>
            <w:hideMark/>
          </w:tcPr>
          <w:p w14:paraId="6C33C02C" w14:textId="14F27789"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116.14</w:t>
            </w:r>
          </w:p>
        </w:tc>
        <w:tc>
          <w:tcPr>
            <w:tcW w:w="809" w:type="pct"/>
            <w:tcBorders>
              <w:top w:val="nil"/>
              <w:left w:val="nil"/>
              <w:bottom w:val="single" w:sz="8" w:space="0" w:color="auto"/>
              <w:right w:val="single" w:sz="8" w:space="0" w:color="auto"/>
            </w:tcBorders>
            <w:shd w:val="clear" w:color="auto" w:fill="auto"/>
            <w:vAlign w:val="center"/>
            <w:hideMark/>
          </w:tcPr>
          <w:p w14:paraId="1860532B" w14:textId="20B2513E" w:rsidR="003322F0" w:rsidRPr="00E10DA7" w:rsidRDefault="003322F0" w:rsidP="003322F0">
            <w:pPr>
              <w:jc w:val="center"/>
              <w:rPr>
                <w:rFonts w:asciiTheme="minorHAnsi" w:hAnsiTheme="minorHAnsi"/>
                <w:b/>
                <w:szCs w:val="21"/>
                <w:u w:val="single"/>
              </w:rPr>
            </w:pPr>
            <w:r w:rsidRPr="00E10DA7">
              <w:rPr>
                <w:rFonts w:ascii="Calibri" w:hAnsi="Calibri"/>
                <w:b/>
                <w:snapToGrid w:val="0"/>
                <w:szCs w:val="21"/>
                <w:u w:val="single"/>
              </w:rPr>
              <w:t>120.45</w:t>
            </w:r>
          </w:p>
        </w:tc>
        <w:tc>
          <w:tcPr>
            <w:tcW w:w="700" w:type="pct"/>
            <w:tcBorders>
              <w:top w:val="nil"/>
              <w:left w:val="nil"/>
              <w:bottom w:val="single" w:sz="8" w:space="0" w:color="auto"/>
              <w:right w:val="single" w:sz="4" w:space="0" w:color="auto"/>
            </w:tcBorders>
            <w:shd w:val="clear" w:color="auto" w:fill="auto"/>
            <w:vAlign w:val="center"/>
            <w:hideMark/>
          </w:tcPr>
          <w:p w14:paraId="426363C6" w14:textId="7B6958AC"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25.32</w:t>
            </w:r>
          </w:p>
        </w:tc>
        <w:tc>
          <w:tcPr>
            <w:tcW w:w="700" w:type="pct"/>
            <w:tcBorders>
              <w:top w:val="nil"/>
              <w:left w:val="single" w:sz="4" w:space="0" w:color="auto"/>
              <w:bottom w:val="single" w:sz="8" w:space="0" w:color="auto"/>
              <w:right w:val="single" w:sz="12" w:space="0" w:color="auto"/>
            </w:tcBorders>
            <w:vAlign w:val="center"/>
          </w:tcPr>
          <w:p w14:paraId="1E8196DF" w14:textId="137BAA9C" w:rsidR="003322F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22.86</w:t>
            </w:r>
          </w:p>
        </w:tc>
      </w:tr>
      <w:tr w:rsidR="002B1020" w:rsidRPr="00E10DA7" w14:paraId="4D75A32B" w14:textId="6C85ACAB"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278B76F4" w14:textId="77777777" w:rsidR="002B1020" w:rsidRPr="00E10DA7" w:rsidRDefault="002B1020" w:rsidP="00E13338">
            <w:pPr>
              <w:widowControl/>
              <w:jc w:val="left"/>
              <w:rPr>
                <w:rFonts w:asciiTheme="minorHAnsi" w:hAnsiTheme="minorHAnsi" w:cs="宋体"/>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2C5F403D"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效率</w:t>
            </w:r>
          </w:p>
        </w:tc>
        <w:tc>
          <w:tcPr>
            <w:tcW w:w="809" w:type="pct"/>
            <w:tcBorders>
              <w:top w:val="nil"/>
              <w:left w:val="nil"/>
              <w:bottom w:val="single" w:sz="8" w:space="0" w:color="auto"/>
              <w:right w:val="single" w:sz="8" w:space="0" w:color="auto"/>
            </w:tcBorders>
            <w:shd w:val="clear" w:color="auto" w:fill="auto"/>
            <w:vAlign w:val="center"/>
            <w:hideMark/>
          </w:tcPr>
          <w:p w14:paraId="5D303694" w14:textId="60315071" w:rsidR="002B1020" w:rsidRPr="00E10DA7" w:rsidRDefault="003322F0" w:rsidP="00E13338">
            <w:pPr>
              <w:jc w:val="center"/>
              <w:rPr>
                <w:rFonts w:asciiTheme="minorHAnsi" w:hAnsiTheme="minorHAnsi"/>
                <w:b/>
                <w:szCs w:val="21"/>
                <w:u w:val="single"/>
              </w:rPr>
            </w:pPr>
            <w:r w:rsidRPr="00E10DA7">
              <w:rPr>
                <w:rFonts w:asciiTheme="minorHAnsi" w:hAnsiTheme="minorHAnsi"/>
                <w:b/>
                <w:szCs w:val="21"/>
                <w:u w:val="single"/>
              </w:rPr>
              <w:t>0</w:t>
            </w:r>
            <w:r w:rsidR="002B1020" w:rsidRPr="00E10DA7">
              <w:rPr>
                <w:rFonts w:asciiTheme="minorHAnsi" w:hAnsiTheme="minorHAnsi"/>
                <w:b/>
                <w:szCs w:val="21"/>
                <w:u w:val="single"/>
              </w:rPr>
              <w:t>%</w:t>
            </w:r>
          </w:p>
        </w:tc>
        <w:tc>
          <w:tcPr>
            <w:tcW w:w="672" w:type="pct"/>
            <w:tcBorders>
              <w:top w:val="nil"/>
              <w:left w:val="nil"/>
              <w:bottom w:val="single" w:sz="8" w:space="0" w:color="auto"/>
              <w:right w:val="single" w:sz="8" w:space="0" w:color="auto"/>
            </w:tcBorders>
            <w:shd w:val="clear" w:color="auto" w:fill="auto"/>
            <w:vAlign w:val="center"/>
            <w:hideMark/>
          </w:tcPr>
          <w:p w14:paraId="1DAAC47A" w14:textId="2C115C68" w:rsidR="002B1020" w:rsidRPr="00E10DA7" w:rsidRDefault="003322F0" w:rsidP="00E13338">
            <w:pPr>
              <w:jc w:val="center"/>
              <w:rPr>
                <w:rFonts w:asciiTheme="minorHAnsi" w:hAnsiTheme="minorHAnsi"/>
                <w:b/>
                <w:szCs w:val="21"/>
                <w:u w:val="single"/>
              </w:rPr>
            </w:pPr>
            <w:r w:rsidRPr="00E10DA7">
              <w:rPr>
                <w:rFonts w:asciiTheme="minorHAnsi" w:hAnsiTheme="minorHAnsi"/>
                <w:b/>
                <w:szCs w:val="21"/>
                <w:u w:val="single"/>
              </w:rPr>
              <w:t>5</w:t>
            </w:r>
            <w:r w:rsidR="002B1020" w:rsidRPr="00E10DA7">
              <w:rPr>
                <w:rFonts w:asciiTheme="minorHAnsi" w:hAnsiTheme="minorHAnsi"/>
                <w:b/>
                <w:szCs w:val="21"/>
                <w:u w:val="single"/>
              </w:rPr>
              <w:t>%</w:t>
            </w:r>
          </w:p>
        </w:tc>
        <w:tc>
          <w:tcPr>
            <w:tcW w:w="809" w:type="pct"/>
            <w:tcBorders>
              <w:top w:val="nil"/>
              <w:left w:val="nil"/>
              <w:bottom w:val="single" w:sz="8" w:space="0" w:color="auto"/>
              <w:right w:val="single" w:sz="8" w:space="0" w:color="auto"/>
            </w:tcBorders>
            <w:shd w:val="clear" w:color="auto" w:fill="auto"/>
            <w:vAlign w:val="center"/>
            <w:hideMark/>
          </w:tcPr>
          <w:p w14:paraId="3B4047B3" w14:textId="3AB86C04" w:rsidR="002B1020" w:rsidRPr="00E10DA7" w:rsidRDefault="003322F0" w:rsidP="00E13338">
            <w:pPr>
              <w:jc w:val="center"/>
              <w:rPr>
                <w:rFonts w:asciiTheme="minorHAnsi" w:hAnsiTheme="minorHAnsi"/>
                <w:b/>
                <w:szCs w:val="21"/>
                <w:u w:val="single"/>
              </w:rPr>
            </w:pPr>
            <w:r w:rsidRPr="00E10DA7">
              <w:rPr>
                <w:rFonts w:asciiTheme="minorHAnsi" w:hAnsiTheme="minorHAnsi"/>
                <w:b/>
                <w:szCs w:val="21"/>
                <w:u w:val="single"/>
              </w:rPr>
              <w:t>80</w:t>
            </w:r>
            <w:r w:rsidR="002B1020" w:rsidRPr="00E10DA7">
              <w:rPr>
                <w:rFonts w:asciiTheme="minorHAnsi" w:hAnsiTheme="minorHAnsi"/>
                <w:b/>
                <w:szCs w:val="21"/>
                <w:u w:val="single"/>
              </w:rPr>
              <w:t>%</w:t>
            </w:r>
          </w:p>
        </w:tc>
        <w:tc>
          <w:tcPr>
            <w:tcW w:w="700" w:type="pct"/>
            <w:tcBorders>
              <w:top w:val="nil"/>
              <w:left w:val="nil"/>
              <w:bottom w:val="single" w:sz="8" w:space="0" w:color="auto"/>
              <w:right w:val="single" w:sz="4" w:space="0" w:color="auto"/>
            </w:tcBorders>
            <w:shd w:val="clear" w:color="auto" w:fill="auto"/>
            <w:vAlign w:val="center"/>
            <w:hideMark/>
          </w:tcPr>
          <w:p w14:paraId="2C0B6D87" w14:textId="7C37C0E5" w:rsidR="002B1020" w:rsidRPr="00E10DA7" w:rsidRDefault="002B1020" w:rsidP="00E13338">
            <w:pPr>
              <w:jc w:val="center"/>
              <w:rPr>
                <w:rFonts w:asciiTheme="minorHAnsi" w:hAnsiTheme="minorHAnsi"/>
                <w:b/>
                <w:szCs w:val="21"/>
                <w:u w:val="single"/>
              </w:rPr>
            </w:pPr>
            <w:r w:rsidRPr="00E10DA7">
              <w:rPr>
                <w:rFonts w:asciiTheme="minorHAnsi" w:hAnsiTheme="minorHAnsi"/>
                <w:b/>
                <w:szCs w:val="21"/>
                <w:u w:val="single"/>
              </w:rPr>
              <w:t>0</w:t>
            </w:r>
            <w:r w:rsidR="003322F0" w:rsidRPr="00E10DA7">
              <w:rPr>
                <w:rFonts w:asciiTheme="minorHAnsi" w:hAnsiTheme="minorHAnsi"/>
                <w:b/>
                <w:szCs w:val="21"/>
                <w:u w:val="single"/>
              </w:rPr>
              <w:t>%</w:t>
            </w:r>
          </w:p>
        </w:tc>
        <w:tc>
          <w:tcPr>
            <w:tcW w:w="700" w:type="pct"/>
            <w:tcBorders>
              <w:top w:val="nil"/>
              <w:left w:val="single" w:sz="4" w:space="0" w:color="auto"/>
              <w:bottom w:val="single" w:sz="8" w:space="0" w:color="auto"/>
              <w:right w:val="single" w:sz="12" w:space="0" w:color="auto"/>
            </w:tcBorders>
            <w:vAlign w:val="center"/>
          </w:tcPr>
          <w:p w14:paraId="5F3E1D25" w14:textId="57398333" w:rsidR="002B102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0%</w:t>
            </w:r>
          </w:p>
        </w:tc>
      </w:tr>
      <w:tr w:rsidR="003322F0" w:rsidRPr="00E10DA7" w14:paraId="3A7E96F1" w14:textId="6CF10C8D" w:rsidTr="0036124D">
        <w:trPr>
          <w:trHeight w:val="293"/>
          <w:jc w:val="center"/>
        </w:trPr>
        <w:tc>
          <w:tcPr>
            <w:tcW w:w="640" w:type="pct"/>
            <w:vMerge/>
            <w:tcBorders>
              <w:top w:val="nil"/>
              <w:left w:val="single" w:sz="12" w:space="0" w:color="auto"/>
              <w:bottom w:val="single" w:sz="8" w:space="0" w:color="000000"/>
              <w:right w:val="single" w:sz="8" w:space="0" w:color="auto"/>
            </w:tcBorders>
            <w:vAlign w:val="center"/>
            <w:hideMark/>
          </w:tcPr>
          <w:p w14:paraId="35017B45" w14:textId="77777777" w:rsidR="003322F0" w:rsidRPr="00E10DA7" w:rsidRDefault="003322F0" w:rsidP="003322F0">
            <w:pPr>
              <w:widowControl/>
              <w:jc w:val="left"/>
              <w:rPr>
                <w:rFonts w:asciiTheme="minorHAnsi" w:hAnsiTheme="minorHAnsi" w:cs="宋体"/>
                <w:b/>
                <w:kern w:val="0"/>
                <w:szCs w:val="21"/>
                <w:u w:val="single"/>
              </w:rPr>
            </w:pPr>
          </w:p>
        </w:tc>
        <w:tc>
          <w:tcPr>
            <w:tcW w:w="672" w:type="pct"/>
            <w:tcBorders>
              <w:top w:val="nil"/>
              <w:left w:val="nil"/>
              <w:bottom w:val="single" w:sz="8" w:space="0" w:color="auto"/>
              <w:right w:val="single" w:sz="8" w:space="0" w:color="auto"/>
            </w:tcBorders>
            <w:shd w:val="clear" w:color="auto" w:fill="auto"/>
            <w:vAlign w:val="center"/>
            <w:hideMark/>
          </w:tcPr>
          <w:p w14:paraId="14E2C6F5" w14:textId="77777777" w:rsidR="003322F0" w:rsidRPr="00E10DA7" w:rsidRDefault="003322F0" w:rsidP="003322F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出水</w:t>
            </w:r>
          </w:p>
        </w:tc>
        <w:tc>
          <w:tcPr>
            <w:tcW w:w="809" w:type="pct"/>
            <w:tcBorders>
              <w:top w:val="nil"/>
              <w:left w:val="nil"/>
              <w:bottom w:val="single" w:sz="8" w:space="0" w:color="auto"/>
              <w:right w:val="single" w:sz="8" w:space="0" w:color="auto"/>
            </w:tcBorders>
            <w:shd w:val="clear" w:color="auto" w:fill="auto"/>
            <w:vAlign w:val="center"/>
            <w:hideMark/>
          </w:tcPr>
          <w:p w14:paraId="5AF76404" w14:textId="241489BD"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201.67</w:t>
            </w:r>
          </w:p>
        </w:tc>
        <w:tc>
          <w:tcPr>
            <w:tcW w:w="672" w:type="pct"/>
            <w:tcBorders>
              <w:top w:val="nil"/>
              <w:left w:val="nil"/>
              <w:bottom w:val="single" w:sz="8" w:space="0" w:color="auto"/>
              <w:right w:val="single" w:sz="8" w:space="0" w:color="auto"/>
            </w:tcBorders>
            <w:shd w:val="clear" w:color="auto" w:fill="auto"/>
            <w:vAlign w:val="center"/>
            <w:hideMark/>
          </w:tcPr>
          <w:p w14:paraId="5FC4E470" w14:textId="5FD967DA"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110.33</w:t>
            </w:r>
          </w:p>
        </w:tc>
        <w:tc>
          <w:tcPr>
            <w:tcW w:w="809" w:type="pct"/>
            <w:tcBorders>
              <w:top w:val="nil"/>
              <w:left w:val="nil"/>
              <w:bottom w:val="single" w:sz="8" w:space="0" w:color="auto"/>
              <w:right w:val="single" w:sz="8" w:space="0" w:color="auto"/>
            </w:tcBorders>
            <w:shd w:val="clear" w:color="auto" w:fill="auto"/>
            <w:vAlign w:val="center"/>
            <w:hideMark/>
          </w:tcPr>
          <w:p w14:paraId="1F7C879D" w14:textId="61ACD56E"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24.09</w:t>
            </w:r>
          </w:p>
        </w:tc>
        <w:tc>
          <w:tcPr>
            <w:tcW w:w="700" w:type="pct"/>
            <w:tcBorders>
              <w:top w:val="nil"/>
              <w:left w:val="nil"/>
              <w:bottom w:val="single" w:sz="8" w:space="0" w:color="auto"/>
              <w:right w:val="single" w:sz="4" w:space="0" w:color="auto"/>
            </w:tcBorders>
            <w:shd w:val="clear" w:color="auto" w:fill="auto"/>
            <w:vAlign w:val="center"/>
            <w:hideMark/>
          </w:tcPr>
          <w:p w14:paraId="076B4D3B" w14:textId="5B516C56"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25.32</w:t>
            </w:r>
          </w:p>
        </w:tc>
        <w:tc>
          <w:tcPr>
            <w:tcW w:w="700" w:type="pct"/>
            <w:tcBorders>
              <w:top w:val="nil"/>
              <w:left w:val="single" w:sz="4" w:space="0" w:color="auto"/>
              <w:bottom w:val="single" w:sz="8" w:space="0" w:color="auto"/>
              <w:right w:val="single" w:sz="12" w:space="0" w:color="auto"/>
            </w:tcBorders>
            <w:vAlign w:val="center"/>
          </w:tcPr>
          <w:p w14:paraId="767B5D94" w14:textId="5DB5F5C8" w:rsidR="003322F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22.86</w:t>
            </w:r>
          </w:p>
        </w:tc>
      </w:tr>
      <w:tr w:rsidR="003322F0" w:rsidRPr="00E10DA7" w14:paraId="7FFEE13A" w14:textId="75C1E761" w:rsidTr="0036124D">
        <w:trPr>
          <w:trHeight w:val="293"/>
          <w:jc w:val="center"/>
        </w:trPr>
        <w:tc>
          <w:tcPr>
            <w:tcW w:w="131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25717278" w14:textId="77777777" w:rsidR="003322F0" w:rsidRPr="00E10DA7" w:rsidRDefault="003322F0" w:rsidP="003322F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总去除效率</w:t>
            </w:r>
          </w:p>
        </w:tc>
        <w:tc>
          <w:tcPr>
            <w:tcW w:w="809" w:type="pct"/>
            <w:tcBorders>
              <w:top w:val="nil"/>
              <w:left w:val="nil"/>
              <w:bottom w:val="single" w:sz="8" w:space="0" w:color="auto"/>
              <w:right w:val="single" w:sz="8" w:space="0" w:color="auto"/>
            </w:tcBorders>
            <w:shd w:val="clear" w:color="auto" w:fill="auto"/>
            <w:vAlign w:val="center"/>
            <w:hideMark/>
          </w:tcPr>
          <w:p w14:paraId="0C41340C" w14:textId="02299DFF"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90.88%</w:t>
            </w:r>
          </w:p>
        </w:tc>
        <w:tc>
          <w:tcPr>
            <w:tcW w:w="672" w:type="pct"/>
            <w:tcBorders>
              <w:top w:val="nil"/>
              <w:left w:val="nil"/>
              <w:bottom w:val="single" w:sz="8" w:space="0" w:color="auto"/>
              <w:right w:val="single" w:sz="8" w:space="0" w:color="auto"/>
            </w:tcBorders>
            <w:shd w:val="clear" w:color="auto" w:fill="auto"/>
            <w:vAlign w:val="center"/>
            <w:hideMark/>
          </w:tcPr>
          <w:p w14:paraId="3C766AA7" w14:textId="1A45B03E"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90%</w:t>
            </w:r>
          </w:p>
        </w:tc>
        <w:tc>
          <w:tcPr>
            <w:tcW w:w="809" w:type="pct"/>
            <w:tcBorders>
              <w:top w:val="nil"/>
              <w:left w:val="nil"/>
              <w:bottom w:val="single" w:sz="8" w:space="0" w:color="auto"/>
              <w:right w:val="single" w:sz="8" w:space="0" w:color="auto"/>
            </w:tcBorders>
            <w:shd w:val="clear" w:color="auto" w:fill="auto"/>
            <w:vAlign w:val="center"/>
            <w:hideMark/>
          </w:tcPr>
          <w:p w14:paraId="25E66EA6" w14:textId="79BF57EA"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80%</w:t>
            </w:r>
          </w:p>
        </w:tc>
        <w:tc>
          <w:tcPr>
            <w:tcW w:w="700" w:type="pct"/>
            <w:tcBorders>
              <w:top w:val="nil"/>
              <w:left w:val="nil"/>
              <w:bottom w:val="single" w:sz="8" w:space="0" w:color="auto"/>
              <w:right w:val="single" w:sz="4" w:space="0" w:color="auto"/>
            </w:tcBorders>
            <w:shd w:val="clear" w:color="auto" w:fill="auto"/>
            <w:vAlign w:val="center"/>
            <w:hideMark/>
          </w:tcPr>
          <w:p w14:paraId="142F91F3" w14:textId="441C636F"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83%</w:t>
            </w:r>
          </w:p>
        </w:tc>
        <w:tc>
          <w:tcPr>
            <w:tcW w:w="700" w:type="pct"/>
            <w:tcBorders>
              <w:top w:val="nil"/>
              <w:left w:val="single" w:sz="4" w:space="0" w:color="auto"/>
              <w:bottom w:val="single" w:sz="8" w:space="0" w:color="auto"/>
              <w:right w:val="single" w:sz="12" w:space="0" w:color="auto"/>
            </w:tcBorders>
            <w:vAlign w:val="center"/>
          </w:tcPr>
          <w:p w14:paraId="2AD674BE" w14:textId="101F6B73" w:rsidR="003322F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83%</w:t>
            </w:r>
          </w:p>
        </w:tc>
      </w:tr>
      <w:tr w:rsidR="003322F0" w:rsidRPr="00E10DA7" w14:paraId="1F9B921D" w14:textId="00496449" w:rsidTr="0036124D">
        <w:trPr>
          <w:trHeight w:val="394"/>
          <w:jc w:val="center"/>
        </w:trPr>
        <w:tc>
          <w:tcPr>
            <w:tcW w:w="131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701378FC" w14:textId="03F65C76" w:rsidR="003322F0" w:rsidRPr="00E10DA7" w:rsidRDefault="003322F0" w:rsidP="003322F0">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污水站出水（</w:t>
            </w:r>
            <w:r w:rsidRPr="00E10DA7">
              <w:rPr>
                <w:rFonts w:ascii="Calibri" w:hAnsi="Calibri"/>
                <w:b/>
                <w:snapToGrid w:val="0"/>
                <w:szCs w:val="21"/>
                <w:u w:val="single"/>
              </w:rPr>
              <w:t>14365.035</w:t>
            </w:r>
            <w:r w:rsidRPr="00E10DA7">
              <w:rPr>
                <w:rFonts w:asciiTheme="minorHAnsi" w:hAnsiTheme="minorHAnsi"/>
                <w:b/>
                <w:kern w:val="0"/>
                <w:szCs w:val="21"/>
                <w:u w:val="single"/>
              </w:rPr>
              <w:t>m</w:t>
            </w:r>
            <w:r w:rsidRPr="00E10DA7">
              <w:rPr>
                <w:rFonts w:asciiTheme="minorHAnsi" w:hAnsiTheme="minorHAnsi"/>
                <w:b/>
                <w:kern w:val="0"/>
                <w:szCs w:val="21"/>
                <w:u w:val="single"/>
                <w:vertAlign w:val="superscript"/>
              </w:rPr>
              <w:t>3</w:t>
            </w:r>
            <w:r w:rsidRPr="00E10DA7">
              <w:rPr>
                <w:rFonts w:asciiTheme="minorHAnsi" w:hAnsiTheme="minorHAnsi"/>
                <w:b/>
                <w:kern w:val="0"/>
                <w:szCs w:val="21"/>
                <w:u w:val="single"/>
              </w:rPr>
              <w:t>/a</w:t>
            </w:r>
            <w:r w:rsidRPr="00E10DA7">
              <w:rPr>
                <w:rFonts w:asciiTheme="minorHAnsi" w:hAnsiTheme="minorHAnsi" w:cs="宋体"/>
                <w:b/>
                <w:kern w:val="0"/>
                <w:szCs w:val="21"/>
                <w:u w:val="single"/>
              </w:rPr>
              <w:t>）</w:t>
            </w:r>
          </w:p>
        </w:tc>
        <w:tc>
          <w:tcPr>
            <w:tcW w:w="809" w:type="pct"/>
            <w:tcBorders>
              <w:top w:val="nil"/>
              <w:left w:val="nil"/>
              <w:bottom w:val="single" w:sz="8" w:space="0" w:color="auto"/>
              <w:right w:val="single" w:sz="8" w:space="0" w:color="auto"/>
            </w:tcBorders>
            <w:shd w:val="clear" w:color="auto" w:fill="auto"/>
            <w:vAlign w:val="center"/>
            <w:hideMark/>
          </w:tcPr>
          <w:p w14:paraId="361552C2" w14:textId="3D8DD8DB"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201.67</w:t>
            </w:r>
          </w:p>
        </w:tc>
        <w:tc>
          <w:tcPr>
            <w:tcW w:w="672" w:type="pct"/>
            <w:tcBorders>
              <w:top w:val="nil"/>
              <w:left w:val="nil"/>
              <w:bottom w:val="single" w:sz="8" w:space="0" w:color="auto"/>
              <w:right w:val="single" w:sz="8" w:space="0" w:color="auto"/>
            </w:tcBorders>
            <w:shd w:val="clear" w:color="auto" w:fill="auto"/>
            <w:vAlign w:val="center"/>
            <w:hideMark/>
          </w:tcPr>
          <w:p w14:paraId="6B14B603" w14:textId="74ACEB97"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110.33</w:t>
            </w:r>
          </w:p>
        </w:tc>
        <w:tc>
          <w:tcPr>
            <w:tcW w:w="809" w:type="pct"/>
            <w:tcBorders>
              <w:top w:val="nil"/>
              <w:left w:val="nil"/>
              <w:bottom w:val="single" w:sz="8" w:space="0" w:color="auto"/>
              <w:right w:val="single" w:sz="8" w:space="0" w:color="auto"/>
            </w:tcBorders>
            <w:shd w:val="clear" w:color="auto" w:fill="auto"/>
            <w:vAlign w:val="center"/>
            <w:hideMark/>
          </w:tcPr>
          <w:p w14:paraId="1497939E" w14:textId="5821F41D"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24.09</w:t>
            </w:r>
          </w:p>
        </w:tc>
        <w:tc>
          <w:tcPr>
            <w:tcW w:w="700" w:type="pct"/>
            <w:tcBorders>
              <w:top w:val="nil"/>
              <w:left w:val="nil"/>
              <w:bottom w:val="single" w:sz="8" w:space="0" w:color="auto"/>
              <w:right w:val="single" w:sz="4" w:space="0" w:color="auto"/>
            </w:tcBorders>
            <w:shd w:val="clear" w:color="auto" w:fill="auto"/>
            <w:vAlign w:val="center"/>
            <w:hideMark/>
          </w:tcPr>
          <w:p w14:paraId="1606D810" w14:textId="4E92C709" w:rsidR="003322F0" w:rsidRPr="00E10DA7" w:rsidRDefault="003322F0" w:rsidP="003322F0">
            <w:pPr>
              <w:jc w:val="center"/>
              <w:rPr>
                <w:rFonts w:asciiTheme="minorHAnsi" w:hAnsiTheme="minorHAnsi"/>
                <w:b/>
                <w:szCs w:val="21"/>
                <w:u w:val="single"/>
              </w:rPr>
            </w:pPr>
            <w:r w:rsidRPr="00E10DA7">
              <w:rPr>
                <w:rFonts w:asciiTheme="minorHAnsi" w:hAnsiTheme="minorHAnsi"/>
                <w:b/>
                <w:szCs w:val="21"/>
                <w:u w:val="single"/>
              </w:rPr>
              <w:t>25.32</w:t>
            </w:r>
          </w:p>
        </w:tc>
        <w:tc>
          <w:tcPr>
            <w:tcW w:w="700" w:type="pct"/>
            <w:tcBorders>
              <w:top w:val="nil"/>
              <w:left w:val="single" w:sz="4" w:space="0" w:color="auto"/>
              <w:bottom w:val="single" w:sz="8" w:space="0" w:color="auto"/>
              <w:right w:val="single" w:sz="12" w:space="0" w:color="auto"/>
            </w:tcBorders>
            <w:vAlign w:val="center"/>
          </w:tcPr>
          <w:p w14:paraId="1A98EE08" w14:textId="6FEA8E84" w:rsidR="003322F0" w:rsidRPr="00E10DA7" w:rsidRDefault="003322F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22.86</w:t>
            </w:r>
          </w:p>
        </w:tc>
      </w:tr>
      <w:tr w:rsidR="002B1020" w:rsidRPr="00E10DA7" w14:paraId="65669A2B" w14:textId="77F07482" w:rsidTr="0036124D">
        <w:trPr>
          <w:trHeight w:val="333"/>
          <w:jc w:val="center"/>
        </w:trPr>
        <w:tc>
          <w:tcPr>
            <w:tcW w:w="131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2E413422" w14:textId="7CD8DFA8" w:rsidR="002B1020" w:rsidRPr="00E10DA7" w:rsidRDefault="002B1020" w:rsidP="00455B57">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循环冷却排污水、纯水制备废水</w:t>
            </w:r>
            <w:r w:rsidRPr="00E10DA7">
              <w:rPr>
                <w:rFonts w:asciiTheme="minorHAnsi" w:hAnsiTheme="minorHAnsi" w:cs="宋体"/>
                <w:b/>
                <w:kern w:val="0"/>
                <w:szCs w:val="21"/>
                <w:u w:val="single"/>
              </w:rPr>
              <w:t>（</w:t>
            </w:r>
            <w:r w:rsidR="003322F0" w:rsidRPr="00E10DA7">
              <w:rPr>
                <w:rFonts w:asciiTheme="minorHAnsi" w:hAnsiTheme="minorHAnsi"/>
                <w:b/>
                <w:kern w:val="0"/>
                <w:szCs w:val="21"/>
                <w:u w:val="single"/>
              </w:rPr>
              <w:t>1029.82</w:t>
            </w:r>
            <w:r w:rsidRPr="00E10DA7">
              <w:rPr>
                <w:rFonts w:asciiTheme="minorHAnsi" w:hAnsiTheme="minorHAnsi"/>
                <w:b/>
                <w:kern w:val="0"/>
                <w:szCs w:val="21"/>
                <w:u w:val="single"/>
              </w:rPr>
              <w:t>m</w:t>
            </w:r>
            <w:r w:rsidRPr="00E10DA7">
              <w:rPr>
                <w:rFonts w:asciiTheme="minorHAnsi" w:hAnsiTheme="minorHAnsi"/>
                <w:b/>
                <w:kern w:val="0"/>
                <w:szCs w:val="21"/>
                <w:u w:val="single"/>
                <w:vertAlign w:val="superscript"/>
              </w:rPr>
              <w:t>3</w:t>
            </w:r>
            <w:r w:rsidRPr="00E10DA7">
              <w:rPr>
                <w:rFonts w:asciiTheme="minorHAnsi" w:hAnsiTheme="minorHAnsi"/>
                <w:b/>
                <w:kern w:val="0"/>
                <w:szCs w:val="21"/>
                <w:u w:val="single"/>
              </w:rPr>
              <w:t>/a</w:t>
            </w:r>
            <w:r w:rsidRPr="00E10DA7">
              <w:rPr>
                <w:rFonts w:asciiTheme="minorHAnsi" w:hAnsiTheme="minorHAnsi" w:cs="宋体"/>
                <w:b/>
                <w:kern w:val="0"/>
                <w:szCs w:val="21"/>
                <w:u w:val="single"/>
              </w:rPr>
              <w:t>）</w:t>
            </w:r>
          </w:p>
        </w:tc>
        <w:tc>
          <w:tcPr>
            <w:tcW w:w="809" w:type="pct"/>
            <w:tcBorders>
              <w:top w:val="nil"/>
              <w:left w:val="nil"/>
              <w:bottom w:val="single" w:sz="8" w:space="0" w:color="auto"/>
              <w:right w:val="single" w:sz="8" w:space="0" w:color="auto"/>
            </w:tcBorders>
            <w:shd w:val="clear" w:color="auto" w:fill="auto"/>
            <w:vAlign w:val="center"/>
            <w:hideMark/>
          </w:tcPr>
          <w:p w14:paraId="1679CEC7" w14:textId="77777777" w:rsidR="002B1020" w:rsidRPr="00E10DA7" w:rsidRDefault="002B1020" w:rsidP="002B3795">
            <w:pPr>
              <w:jc w:val="center"/>
              <w:rPr>
                <w:rFonts w:asciiTheme="minorHAnsi" w:hAnsiTheme="minorHAnsi"/>
                <w:b/>
                <w:szCs w:val="21"/>
                <w:u w:val="single"/>
              </w:rPr>
            </w:pPr>
            <w:r w:rsidRPr="00E10DA7">
              <w:rPr>
                <w:rFonts w:asciiTheme="minorHAnsi" w:hAnsiTheme="minorHAnsi"/>
                <w:b/>
                <w:szCs w:val="21"/>
                <w:u w:val="single"/>
              </w:rPr>
              <w:t>50</w:t>
            </w:r>
          </w:p>
        </w:tc>
        <w:tc>
          <w:tcPr>
            <w:tcW w:w="672" w:type="pct"/>
            <w:tcBorders>
              <w:top w:val="nil"/>
              <w:left w:val="nil"/>
              <w:bottom w:val="single" w:sz="8" w:space="0" w:color="auto"/>
              <w:right w:val="single" w:sz="8" w:space="0" w:color="auto"/>
            </w:tcBorders>
            <w:shd w:val="clear" w:color="auto" w:fill="auto"/>
            <w:vAlign w:val="center"/>
            <w:hideMark/>
          </w:tcPr>
          <w:p w14:paraId="59FE5446" w14:textId="77777777" w:rsidR="002B1020" w:rsidRPr="00E10DA7" w:rsidRDefault="002B1020" w:rsidP="002B3795">
            <w:pPr>
              <w:jc w:val="center"/>
              <w:rPr>
                <w:rFonts w:asciiTheme="minorHAnsi" w:hAnsiTheme="minorHAnsi"/>
                <w:b/>
                <w:szCs w:val="21"/>
                <w:u w:val="single"/>
              </w:rPr>
            </w:pPr>
            <w:r w:rsidRPr="00E10DA7">
              <w:rPr>
                <w:rFonts w:asciiTheme="minorHAnsi" w:hAnsiTheme="minorHAnsi"/>
                <w:b/>
                <w:szCs w:val="21"/>
                <w:u w:val="single"/>
              </w:rPr>
              <w:t>0</w:t>
            </w:r>
          </w:p>
        </w:tc>
        <w:tc>
          <w:tcPr>
            <w:tcW w:w="809" w:type="pct"/>
            <w:tcBorders>
              <w:top w:val="nil"/>
              <w:left w:val="nil"/>
              <w:bottom w:val="single" w:sz="8" w:space="0" w:color="auto"/>
              <w:right w:val="single" w:sz="8" w:space="0" w:color="auto"/>
            </w:tcBorders>
            <w:shd w:val="clear" w:color="auto" w:fill="auto"/>
            <w:vAlign w:val="center"/>
            <w:hideMark/>
          </w:tcPr>
          <w:p w14:paraId="0CF3F32D" w14:textId="61D91D5C" w:rsidR="002B1020" w:rsidRPr="00E10DA7" w:rsidRDefault="002B1020" w:rsidP="002B3795">
            <w:pPr>
              <w:jc w:val="center"/>
              <w:rPr>
                <w:rFonts w:asciiTheme="minorHAnsi" w:hAnsiTheme="minorHAnsi"/>
                <w:b/>
                <w:szCs w:val="21"/>
                <w:u w:val="single"/>
              </w:rPr>
            </w:pPr>
            <w:r w:rsidRPr="00E10DA7">
              <w:rPr>
                <w:rFonts w:asciiTheme="minorHAnsi" w:hAnsiTheme="minorHAnsi"/>
                <w:b/>
                <w:szCs w:val="21"/>
                <w:u w:val="single"/>
              </w:rPr>
              <w:t>5</w:t>
            </w:r>
            <w:r w:rsidR="0036124D" w:rsidRPr="00E10DA7">
              <w:rPr>
                <w:rFonts w:asciiTheme="minorHAnsi" w:hAnsiTheme="minorHAnsi"/>
                <w:b/>
                <w:szCs w:val="21"/>
                <w:u w:val="single"/>
              </w:rPr>
              <w:t>0</w:t>
            </w:r>
          </w:p>
        </w:tc>
        <w:tc>
          <w:tcPr>
            <w:tcW w:w="700" w:type="pct"/>
            <w:tcBorders>
              <w:top w:val="nil"/>
              <w:left w:val="nil"/>
              <w:bottom w:val="single" w:sz="8" w:space="0" w:color="auto"/>
              <w:right w:val="single" w:sz="4" w:space="0" w:color="auto"/>
            </w:tcBorders>
            <w:shd w:val="clear" w:color="auto" w:fill="auto"/>
            <w:vAlign w:val="center"/>
            <w:hideMark/>
          </w:tcPr>
          <w:p w14:paraId="05C4AE7D" w14:textId="77777777" w:rsidR="002B1020" w:rsidRPr="00E10DA7" w:rsidRDefault="002B1020" w:rsidP="002B3795">
            <w:pPr>
              <w:jc w:val="center"/>
              <w:rPr>
                <w:rFonts w:asciiTheme="minorHAnsi" w:hAnsiTheme="minorHAnsi"/>
                <w:b/>
                <w:szCs w:val="21"/>
                <w:u w:val="single"/>
              </w:rPr>
            </w:pPr>
            <w:r w:rsidRPr="00E10DA7">
              <w:rPr>
                <w:rFonts w:asciiTheme="minorHAnsi" w:hAnsiTheme="minorHAnsi"/>
                <w:b/>
                <w:szCs w:val="21"/>
                <w:u w:val="single"/>
              </w:rPr>
              <w:t>0</w:t>
            </w:r>
          </w:p>
        </w:tc>
        <w:tc>
          <w:tcPr>
            <w:tcW w:w="700" w:type="pct"/>
            <w:tcBorders>
              <w:top w:val="nil"/>
              <w:left w:val="single" w:sz="4" w:space="0" w:color="auto"/>
              <w:bottom w:val="single" w:sz="8" w:space="0" w:color="auto"/>
              <w:right w:val="single" w:sz="12" w:space="0" w:color="auto"/>
            </w:tcBorders>
            <w:vAlign w:val="center"/>
          </w:tcPr>
          <w:p w14:paraId="5EB291FF" w14:textId="16B22302" w:rsidR="002B1020" w:rsidRPr="00E10DA7" w:rsidRDefault="0036124D" w:rsidP="0036124D">
            <w:pPr>
              <w:widowControl/>
              <w:jc w:val="center"/>
              <w:rPr>
                <w:rFonts w:asciiTheme="minorHAnsi" w:hAnsiTheme="minorHAnsi" w:cs="宋体"/>
                <w:b/>
                <w:kern w:val="0"/>
                <w:szCs w:val="21"/>
                <w:u w:val="single"/>
              </w:rPr>
            </w:pPr>
            <w:r w:rsidRPr="00E10DA7">
              <w:rPr>
                <w:rFonts w:asciiTheme="minorHAnsi" w:hAnsiTheme="minorHAnsi"/>
                <w:b/>
                <w:szCs w:val="21"/>
                <w:u w:val="single"/>
              </w:rPr>
              <w:t>0</w:t>
            </w:r>
          </w:p>
        </w:tc>
      </w:tr>
      <w:tr w:rsidR="002B1020" w:rsidRPr="00E10DA7" w14:paraId="46293C53" w14:textId="0397CFEA" w:rsidTr="0036124D">
        <w:trPr>
          <w:trHeight w:val="601"/>
          <w:jc w:val="center"/>
        </w:trPr>
        <w:tc>
          <w:tcPr>
            <w:tcW w:w="131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2C355CA2" w14:textId="01C6F7D7" w:rsidR="002B1020" w:rsidRPr="00E10DA7" w:rsidRDefault="002B1020" w:rsidP="0036124D">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本次工程废水核算（</w:t>
            </w:r>
            <w:r w:rsidR="0036124D" w:rsidRPr="00E10DA7">
              <w:rPr>
                <w:rFonts w:ascii="Calibri" w:hAnsi="Calibri"/>
                <w:b/>
                <w:snapToGrid w:val="0"/>
                <w:szCs w:val="21"/>
                <w:u w:val="single"/>
              </w:rPr>
              <w:t>15394.855</w:t>
            </w:r>
            <w:r w:rsidRPr="00E10DA7">
              <w:rPr>
                <w:rFonts w:asciiTheme="minorHAnsi" w:hAnsiTheme="minorHAnsi"/>
                <w:b/>
                <w:kern w:val="0"/>
                <w:szCs w:val="21"/>
                <w:u w:val="single"/>
              </w:rPr>
              <w:t>m</w:t>
            </w:r>
            <w:r w:rsidRPr="00E10DA7">
              <w:rPr>
                <w:rFonts w:asciiTheme="minorHAnsi" w:hAnsiTheme="minorHAnsi"/>
                <w:b/>
                <w:kern w:val="0"/>
                <w:szCs w:val="21"/>
                <w:u w:val="single"/>
                <w:vertAlign w:val="superscript"/>
              </w:rPr>
              <w:t>3</w:t>
            </w:r>
            <w:r w:rsidRPr="00E10DA7">
              <w:rPr>
                <w:rFonts w:asciiTheme="minorHAnsi" w:hAnsiTheme="minorHAnsi"/>
                <w:b/>
                <w:kern w:val="0"/>
                <w:szCs w:val="21"/>
                <w:u w:val="single"/>
              </w:rPr>
              <w:t>/a</w:t>
            </w:r>
            <w:r w:rsidRPr="00E10DA7">
              <w:rPr>
                <w:rFonts w:asciiTheme="minorHAnsi" w:hAnsiTheme="minorHAnsi" w:cs="宋体"/>
                <w:b/>
                <w:kern w:val="0"/>
                <w:szCs w:val="21"/>
                <w:u w:val="single"/>
              </w:rPr>
              <w:t>）</w:t>
            </w:r>
          </w:p>
        </w:tc>
        <w:tc>
          <w:tcPr>
            <w:tcW w:w="809" w:type="pct"/>
            <w:tcBorders>
              <w:top w:val="nil"/>
              <w:left w:val="nil"/>
              <w:bottom w:val="single" w:sz="8" w:space="0" w:color="auto"/>
              <w:right w:val="single" w:sz="8" w:space="0" w:color="auto"/>
            </w:tcBorders>
            <w:shd w:val="clear" w:color="auto" w:fill="auto"/>
            <w:vAlign w:val="center"/>
            <w:hideMark/>
          </w:tcPr>
          <w:p w14:paraId="162F73BE" w14:textId="6AF35FBD" w:rsidR="002B1020" w:rsidRPr="00E10DA7" w:rsidRDefault="0036124D" w:rsidP="00E13338">
            <w:pPr>
              <w:widowControl/>
              <w:jc w:val="center"/>
              <w:rPr>
                <w:rFonts w:asciiTheme="minorHAnsi" w:hAnsiTheme="minorHAnsi"/>
                <w:b/>
                <w:kern w:val="0"/>
                <w:szCs w:val="21"/>
                <w:u w:val="single"/>
              </w:rPr>
            </w:pPr>
            <w:r w:rsidRPr="00E10DA7">
              <w:rPr>
                <w:rFonts w:asciiTheme="minorHAnsi" w:hAnsiTheme="minorHAnsi"/>
                <w:b/>
                <w:kern w:val="0"/>
                <w:szCs w:val="21"/>
                <w:u w:val="single"/>
              </w:rPr>
              <w:t>191.72</w:t>
            </w:r>
          </w:p>
        </w:tc>
        <w:tc>
          <w:tcPr>
            <w:tcW w:w="672" w:type="pct"/>
            <w:tcBorders>
              <w:top w:val="nil"/>
              <w:left w:val="nil"/>
              <w:bottom w:val="single" w:sz="8" w:space="0" w:color="auto"/>
              <w:right w:val="single" w:sz="8" w:space="0" w:color="auto"/>
            </w:tcBorders>
            <w:shd w:val="clear" w:color="auto" w:fill="auto"/>
            <w:vAlign w:val="center"/>
            <w:hideMark/>
          </w:tcPr>
          <w:p w14:paraId="3577FF0A" w14:textId="161C34C9" w:rsidR="002B1020" w:rsidRPr="00E10DA7" w:rsidRDefault="0036124D" w:rsidP="00E13338">
            <w:pPr>
              <w:widowControl/>
              <w:jc w:val="center"/>
              <w:rPr>
                <w:rFonts w:asciiTheme="minorHAnsi" w:hAnsiTheme="minorHAnsi"/>
                <w:b/>
                <w:kern w:val="0"/>
                <w:szCs w:val="21"/>
                <w:u w:val="single"/>
              </w:rPr>
            </w:pPr>
            <w:r w:rsidRPr="00E10DA7">
              <w:rPr>
                <w:rFonts w:ascii="Calibri" w:hAnsi="Calibri"/>
                <w:b/>
                <w:snapToGrid w:val="0"/>
                <w:szCs w:val="21"/>
                <w:u w:val="single"/>
              </w:rPr>
              <w:t>102.95</w:t>
            </w:r>
          </w:p>
        </w:tc>
        <w:tc>
          <w:tcPr>
            <w:tcW w:w="809" w:type="pct"/>
            <w:tcBorders>
              <w:top w:val="nil"/>
              <w:left w:val="nil"/>
              <w:bottom w:val="single" w:sz="8" w:space="0" w:color="auto"/>
              <w:right w:val="single" w:sz="8" w:space="0" w:color="auto"/>
            </w:tcBorders>
            <w:shd w:val="clear" w:color="auto" w:fill="auto"/>
            <w:vAlign w:val="center"/>
            <w:hideMark/>
          </w:tcPr>
          <w:p w14:paraId="577FF341" w14:textId="3A73A03C" w:rsidR="002B1020" w:rsidRPr="00E10DA7" w:rsidRDefault="0036124D" w:rsidP="00E13338">
            <w:pPr>
              <w:widowControl/>
              <w:jc w:val="center"/>
              <w:rPr>
                <w:rFonts w:asciiTheme="minorHAnsi" w:hAnsiTheme="minorHAnsi"/>
                <w:b/>
                <w:kern w:val="0"/>
                <w:szCs w:val="21"/>
                <w:u w:val="single"/>
              </w:rPr>
            </w:pPr>
            <w:r w:rsidRPr="00E10DA7">
              <w:rPr>
                <w:rFonts w:ascii="Calibri" w:hAnsi="Calibri"/>
                <w:b/>
                <w:snapToGrid w:val="0"/>
                <w:szCs w:val="21"/>
                <w:u w:val="single"/>
              </w:rPr>
              <w:t>25.82</w:t>
            </w:r>
          </w:p>
        </w:tc>
        <w:tc>
          <w:tcPr>
            <w:tcW w:w="700" w:type="pct"/>
            <w:tcBorders>
              <w:top w:val="nil"/>
              <w:left w:val="nil"/>
              <w:bottom w:val="single" w:sz="8" w:space="0" w:color="auto"/>
              <w:right w:val="single" w:sz="4" w:space="0" w:color="auto"/>
            </w:tcBorders>
            <w:shd w:val="clear" w:color="auto" w:fill="auto"/>
            <w:vAlign w:val="center"/>
            <w:hideMark/>
          </w:tcPr>
          <w:p w14:paraId="62A3EF89" w14:textId="368DDF63" w:rsidR="002B1020" w:rsidRPr="00E10DA7" w:rsidRDefault="0036124D" w:rsidP="00E13338">
            <w:pPr>
              <w:widowControl/>
              <w:jc w:val="center"/>
              <w:rPr>
                <w:rFonts w:asciiTheme="minorHAnsi" w:hAnsiTheme="minorHAnsi"/>
                <w:b/>
                <w:kern w:val="0"/>
                <w:szCs w:val="21"/>
                <w:u w:val="single"/>
              </w:rPr>
            </w:pPr>
            <w:r w:rsidRPr="00E10DA7">
              <w:rPr>
                <w:rFonts w:ascii="Calibri" w:hAnsi="Calibri"/>
                <w:b/>
                <w:snapToGrid w:val="0"/>
                <w:szCs w:val="21"/>
                <w:u w:val="single"/>
              </w:rPr>
              <w:t>23.63</w:t>
            </w:r>
          </w:p>
        </w:tc>
        <w:tc>
          <w:tcPr>
            <w:tcW w:w="700" w:type="pct"/>
            <w:tcBorders>
              <w:top w:val="nil"/>
              <w:left w:val="single" w:sz="4" w:space="0" w:color="auto"/>
              <w:bottom w:val="single" w:sz="8" w:space="0" w:color="auto"/>
              <w:right w:val="single" w:sz="12" w:space="0" w:color="auto"/>
            </w:tcBorders>
            <w:vAlign w:val="center"/>
          </w:tcPr>
          <w:p w14:paraId="720FE32D" w14:textId="52E010EB" w:rsidR="002B1020" w:rsidRPr="00E10DA7" w:rsidRDefault="0036124D"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21.33</w:t>
            </w:r>
          </w:p>
        </w:tc>
      </w:tr>
      <w:tr w:rsidR="002B1020" w:rsidRPr="00E10DA7" w14:paraId="2E6FB3B0" w14:textId="668B24C4" w:rsidTr="0036124D">
        <w:trPr>
          <w:trHeight w:val="601"/>
          <w:jc w:val="center"/>
        </w:trPr>
        <w:tc>
          <w:tcPr>
            <w:tcW w:w="1311" w:type="pct"/>
            <w:gridSpan w:val="2"/>
            <w:tcBorders>
              <w:top w:val="single" w:sz="8" w:space="0" w:color="auto"/>
              <w:left w:val="single" w:sz="12" w:space="0" w:color="auto"/>
              <w:bottom w:val="single" w:sz="8" w:space="0" w:color="auto"/>
              <w:right w:val="single" w:sz="8" w:space="0" w:color="000000"/>
            </w:tcBorders>
            <w:shd w:val="clear" w:color="auto" w:fill="auto"/>
            <w:vAlign w:val="center"/>
          </w:tcPr>
          <w:p w14:paraId="36FC2906"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《合成树脂工业污染物排放标准》（</w:t>
            </w:r>
            <w:r w:rsidRPr="00E10DA7">
              <w:rPr>
                <w:rFonts w:asciiTheme="minorHAnsi" w:hAnsiTheme="minorHAnsi" w:cs="宋体" w:hint="eastAsia"/>
                <w:b/>
                <w:kern w:val="0"/>
                <w:szCs w:val="21"/>
                <w:u w:val="single"/>
              </w:rPr>
              <w:t>GB31571-2015</w:t>
            </w:r>
            <w:r w:rsidRPr="00E10DA7">
              <w:rPr>
                <w:rFonts w:asciiTheme="minorHAnsi" w:hAnsiTheme="minorHAnsi" w:cs="宋体" w:hint="eastAsia"/>
                <w:b/>
                <w:kern w:val="0"/>
                <w:szCs w:val="21"/>
                <w:u w:val="single"/>
              </w:rPr>
              <w:t>）表</w:t>
            </w:r>
            <w:r w:rsidRPr="00E10DA7">
              <w:rPr>
                <w:rFonts w:asciiTheme="minorHAnsi" w:hAnsiTheme="minorHAnsi" w:cs="宋体" w:hint="eastAsia"/>
                <w:b/>
                <w:kern w:val="0"/>
                <w:szCs w:val="21"/>
                <w:u w:val="single"/>
              </w:rPr>
              <w:t>1</w:t>
            </w:r>
            <w:r w:rsidRPr="00E10DA7">
              <w:rPr>
                <w:rFonts w:asciiTheme="minorHAnsi" w:hAnsiTheme="minorHAnsi" w:cs="宋体" w:hint="eastAsia"/>
                <w:b/>
                <w:kern w:val="0"/>
                <w:szCs w:val="21"/>
                <w:u w:val="single"/>
              </w:rPr>
              <w:t>标间接排放标准</w:t>
            </w:r>
          </w:p>
        </w:tc>
        <w:tc>
          <w:tcPr>
            <w:tcW w:w="809" w:type="pct"/>
            <w:tcBorders>
              <w:top w:val="nil"/>
              <w:left w:val="nil"/>
              <w:bottom w:val="single" w:sz="8" w:space="0" w:color="auto"/>
              <w:right w:val="single" w:sz="8" w:space="0" w:color="auto"/>
            </w:tcBorders>
            <w:shd w:val="clear" w:color="auto" w:fill="auto"/>
            <w:vAlign w:val="center"/>
          </w:tcPr>
          <w:p w14:paraId="02BEA21A"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w:t>
            </w:r>
          </w:p>
        </w:tc>
        <w:tc>
          <w:tcPr>
            <w:tcW w:w="672" w:type="pct"/>
            <w:tcBorders>
              <w:top w:val="nil"/>
              <w:left w:val="nil"/>
              <w:bottom w:val="single" w:sz="8" w:space="0" w:color="auto"/>
              <w:right w:val="single" w:sz="8" w:space="0" w:color="auto"/>
            </w:tcBorders>
            <w:shd w:val="clear" w:color="auto" w:fill="auto"/>
            <w:vAlign w:val="center"/>
          </w:tcPr>
          <w:p w14:paraId="665D6788"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w:t>
            </w:r>
          </w:p>
        </w:tc>
        <w:tc>
          <w:tcPr>
            <w:tcW w:w="809" w:type="pct"/>
            <w:tcBorders>
              <w:top w:val="nil"/>
              <w:left w:val="nil"/>
              <w:bottom w:val="single" w:sz="8" w:space="0" w:color="auto"/>
              <w:right w:val="single" w:sz="8" w:space="0" w:color="auto"/>
            </w:tcBorders>
            <w:shd w:val="clear" w:color="auto" w:fill="auto"/>
            <w:vAlign w:val="center"/>
          </w:tcPr>
          <w:p w14:paraId="2859AD11"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w:t>
            </w:r>
          </w:p>
        </w:tc>
        <w:tc>
          <w:tcPr>
            <w:tcW w:w="700" w:type="pct"/>
            <w:tcBorders>
              <w:top w:val="nil"/>
              <w:left w:val="nil"/>
              <w:bottom w:val="single" w:sz="8" w:space="0" w:color="auto"/>
              <w:right w:val="single" w:sz="4" w:space="0" w:color="auto"/>
            </w:tcBorders>
            <w:shd w:val="clear" w:color="auto" w:fill="auto"/>
            <w:vAlign w:val="center"/>
          </w:tcPr>
          <w:p w14:paraId="13513BCC"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w:t>
            </w:r>
          </w:p>
        </w:tc>
        <w:tc>
          <w:tcPr>
            <w:tcW w:w="700" w:type="pct"/>
            <w:tcBorders>
              <w:top w:val="nil"/>
              <w:left w:val="single" w:sz="4" w:space="0" w:color="auto"/>
              <w:bottom w:val="single" w:sz="8" w:space="0" w:color="auto"/>
              <w:right w:val="single" w:sz="12" w:space="0" w:color="auto"/>
            </w:tcBorders>
            <w:vAlign w:val="center"/>
          </w:tcPr>
          <w:p w14:paraId="030E50F1" w14:textId="190388F2"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w:t>
            </w:r>
          </w:p>
        </w:tc>
      </w:tr>
      <w:tr w:rsidR="002B1020" w:rsidRPr="00E10DA7" w14:paraId="0C6A890B" w14:textId="5743E9F1" w:rsidTr="0036124D">
        <w:trPr>
          <w:trHeight w:val="601"/>
          <w:jc w:val="center"/>
        </w:trPr>
        <w:tc>
          <w:tcPr>
            <w:tcW w:w="1311" w:type="pct"/>
            <w:gridSpan w:val="2"/>
            <w:tcBorders>
              <w:top w:val="single" w:sz="8" w:space="0" w:color="auto"/>
              <w:left w:val="single" w:sz="12" w:space="0" w:color="auto"/>
              <w:bottom w:val="single" w:sz="8" w:space="0" w:color="auto"/>
              <w:right w:val="single" w:sz="8" w:space="0" w:color="000000"/>
            </w:tcBorders>
            <w:shd w:val="clear" w:color="auto" w:fill="auto"/>
            <w:vAlign w:val="center"/>
          </w:tcPr>
          <w:p w14:paraId="0E4D31B8" w14:textId="77777777" w:rsidR="002B1020" w:rsidRPr="00E10DA7" w:rsidRDefault="002B1020" w:rsidP="00E13338">
            <w:pPr>
              <w:widowControl/>
              <w:jc w:val="center"/>
              <w:rPr>
                <w:rFonts w:asciiTheme="minorHAnsi" w:hAnsiTheme="minorHAnsi" w:cs="宋体"/>
                <w:b/>
                <w:kern w:val="0"/>
                <w:szCs w:val="21"/>
                <w:u w:val="single"/>
              </w:rPr>
            </w:pPr>
            <w:r w:rsidRPr="00E10DA7">
              <w:rPr>
                <w:rFonts w:hint="eastAsia"/>
                <w:b/>
                <w:szCs w:val="21"/>
                <w:u w:val="single"/>
              </w:rPr>
              <w:t>《</w:t>
            </w:r>
            <w:r w:rsidRPr="00E10DA7">
              <w:rPr>
                <w:rFonts w:ascii="Calibri" w:hAnsi="Calibri" w:hint="eastAsia"/>
                <w:b/>
                <w:snapToGrid w:val="0"/>
                <w:szCs w:val="21"/>
                <w:u w:val="single"/>
              </w:rPr>
              <w:t>化工行业水污染物间接排放标准》（</w:t>
            </w:r>
            <w:r w:rsidRPr="00E10DA7">
              <w:rPr>
                <w:rFonts w:ascii="Calibri" w:hAnsi="Calibri" w:hint="eastAsia"/>
                <w:b/>
                <w:snapToGrid w:val="0"/>
                <w:szCs w:val="21"/>
                <w:u w:val="single"/>
              </w:rPr>
              <w:t>DB41/1135-2016</w:t>
            </w:r>
            <w:r w:rsidRPr="00E10DA7">
              <w:rPr>
                <w:rFonts w:ascii="Calibri" w:hAnsi="Calibri" w:hint="eastAsia"/>
                <w:b/>
                <w:snapToGrid w:val="0"/>
                <w:szCs w:val="21"/>
                <w:u w:val="single"/>
              </w:rPr>
              <w:t>）</w:t>
            </w:r>
          </w:p>
        </w:tc>
        <w:tc>
          <w:tcPr>
            <w:tcW w:w="809" w:type="pct"/>
            <w:tcBorders>
              <w:top w:val="nil"/>
              <w:left w:val="nil"/>
              <w:bottom w:val="single" w:sz="8" w:space="0" w:color="auto"/>
              <w:right w:val="single" w:sz="8" w:space="0" w:color="auto"/>
            </w:tcBorders>
            <w:shd w:val="clear" w:color="auto" w:fill="auto"/>
            <w:vAlign w:val="center"/>
          </w:tcPr>
          <w:p w14:paraId="42791DF6"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300</w:t>
            </w:r>
          </w:p>
        </w:tc>
        <w:tc>
          <w:tcPr>
            <w:tcW w:w="672" w:type="pct"/>
            <w:tcBorders>
              <w:top w:val="nil"/>
              <w:left w:val="nil"/>
              <w:bottom w:val="single" w:sz="8" w:space="0" w:color="auto"/>
              <w:right w:val="single" w:sz="8" w:space="0" w:color="auto"/>
            </w:tcBorders>
            <w:shd w:val="clear" w:color="auto" w:fill="auto"/>
            <w:vAlign w:val="center"/>
          </w:tcPr>
          <w:p w14:paraId="3B7F3019"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150</w:t>
            </w:r>
          </w:p>
        </w:tc>
        <w:tc>
          <w:tcPr>
            <w:tcW w:w="809" w:type="pct"/>
            <w:tcBorders>
              <w:top w:val="nil"/>
              <w:left w:val="nil"/>
              <w:bottom w:val="single" w:sz="8" w:space="0" w:color="auto"/>
              <w:right w:val="single" w:sz="8" w:space="0" w:color="auto"/>
            </w:tcBorders>
            <w:shd w:val="clear" w:color="auto" w:fill="auto"/>
            <w:vAlign w:val="center"/>
          </w:tcPr>
          <w:p w14:paraId="1964FEBC"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150</w:t>
            </w:r>
          </w:p>
        </w:tc>
        <w:tc>
          <w:tcPr>
            <w:tcW w:w="700" w:type="pct"/>
            <w:tcBorders>
              <w:top w:val="nil"/>
              <w:left w:val="nil"/>
              <w:bottom w:val="single" w:sz="8" w:space="0" w:color="auto"/>
              <w:right w:val="single" w:sz="4" w:space="0" w:color="auto"/>
            </w:tcBorders>
            <w:shd w:val="clear" w:color="auto" w:fill="auto"/>
            <w:vAlign w:val="center"/>
          </w:tcPr>
          <w:p w14:paraId="528D28FE" w14:textId="77777777" w:rsidR="002B1020" w:rsidRPr="00E10DA7" w:rsidRDefault="002B1020" w:rsidP="00E13338">
            <w:pPr>
              <w:widowControl/>
              <w:jc w:val="center"/>
              <w:rPr>
                <w:rFonts w:asciiTheme="minorHAnsi" w:hAnsiTheme="minorHAnsi"/>
                <w:b/>
                <w:kern w:val="0"/>
                <w:szCs w:val="21"/>
                <w:u w:val="single"/>
              </w:rPr>
            </w:pPr>
            <w:r w:rsidRPr="00E10DA7">
              <w:rPr>
                <w:rFonts w:asciiTheme="minorHAnsi" w:hAnsiTheme="minorHAnsi" w:hint="eastAsia"/>
                <w:b/>
                <w:kern w:val="0"/>
                <w:szCs w:val="21"/>
                <w:u w:val="single"/>
              </w:rPr>
              <w:t>30</w:t>
            </w:r>
          </w:p>
        </w:tc>
        <w:tc>
          <w:tcPr>
            <w:tcW w:w="700" w:type="pct"/>
            <w:tcBorders>
              <w:top w:val="nil"/>
              <w:left w:val="single" w:sz="4" w:space="0" w:color="auto"/>
              <w:bottom w:val="single" w:sz="8" w:space="0" w:color="auto"/>
              <w:right w:val="single" w:sz="12" w:space="0" w:color="auto"/>
            </w:tcBorders>
            <w:vAlign w:val="center"/>
          </w:tcPr>
          <w:p w14:paraId="6372ABD3" w14:textId="3495538D"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50</w:t>
            </w:r>
          </w:p>
        </w:tc>
      </w:tr>
      <w:tr w:rsidR="002B1020" w:rsidRPr="00E10DA7" w14:paraId="661ABC8B" w14:textId="4136B65D" w:rsidTr="0036124D">
        <w:trPr>
          <w:trHeight w:val="601"/>
          <w:jc w:val="center"/>
        </w:trPr>
        <w:tc>
          <w:tcPr>
            <w:tcW w:w="1311" w:type="pct"/>
            <w:gridSpan w:val="2"/>
            <w:tcBorders>
              <w:top w:val="single" w:sz="8" w:space="0" w:color="auto"/>
              <w:left w:val="single" w:sz="12" w:space="0" w:color="auto"/>
              <w:bottom w:val="single" w:sz="4" w:space="0" w:color="auto"/>
              <w:right w:val="single" w:sz="8" w:space="0" w:color="000000"/>
            </w:tcBorders>
            <w:shd w:val="clear" w:color="auto" w:fill="auto"/>
            <w:vAlign w:val="center"/>
          </w:tcPr>
          <w:p w14:paraId="6E182CA1" w14:textId="733E9B98" w:rsidR="002B1020" w:rsidRPr="00E10DA7" w:rsidRDefault="00E01926" w:rsidP="00E13338">
            <w:pPr>
              <w:widowControl/>
              <w:jc w:val="center"/>
              <w:rPr>
                <w:rFonts w:asciiTheme="minorHAnsi" w:hAnsiTheme="minorHAnsi" w:cs="宋体"/>
                <w:b/>
                <w:kern w:val="0"/>
                <w:szCs w:val="21"/>
                <w:u w:val="single"/>
              </w:rPr>
            </w:pPr>
            <w:r>
              <w:rPr>
                <w:rFonts w:asciiTheme="minorHAnsi" w:hAnsiTheme="minorHAnsi" w:cs="宋体" w:hint="eastAsia"/>
                <w:b/>
                <w:kern w:val="0"/>
                <w:szCs w:val="21"/>
                <w:u w:val="single"/>
              </w:rPr>
              <w:t>平顶山</w:t>
            </w:r>
            <w:r w:rsidR="002B1020" w:rsidRPr="00E10DA7">
              <w:rPr>
                <w:rFonts w:asciiTheme="minorHAnsi" w:hAnsiTheme="minorHAnsi" w:cs="宋体" w:hint="eastAsia"/>
                <w:b/>
                <w:kern w:val="0"/>
                <w:szCs w:val="21"/>
                <w:u w:val="single"/>
              </w:rPr>
              <w:t>第三污水处理厂进水水质</w:t>
            </w:r>
          </w:p>
        </w:tc>
        <w:tc>
          <w:tcPr>
            <w:tcW w:w="809" w:type="pct"/>
            <w:tcBorders>
              <w:top w:val="nil"/>
              <w:left w:val="nil"/>
              <w:bottom w:val="single" w:sz="4" w:space="0" w:color="auto"/>
              <w:right w:val="single" w:sz="8" w:space="0" w:color="auto"/>
            </w:tcBorders>
            <w:shd w:val="clear" w:color="auto" w:fill="auto"/>
            <w:vAlign w:val="center"/>
          </w:tcPr>
          <w:p w14:paraId="30752130"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400</w:t>
            </w:r>
          </w:p>
        </w:tc>
        <w:tc>
          <w:tcPr>
            <w:tcW w:w="672" w:type="pct"/>
            <w:tcBorders>
              <w:top w:val="nil"/>
              <w:left w:val="nil"/>
              <w:bottom w:val="single" w:sz="4" w:space="0" w:color="auto"/>
              <w:right w:val="single" w:sz="8" w:space="0" w:color="auto"/>
            </w:tcBorders>
            <w:shd w:val="clear" w:color="auto" w:fill="auto"/>
            <w:vAlign w:val="center"/>
          </w:tcPr>
          <w:p w14:paraId="1886FC4A"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150</w:t>
            </w:r>
          </w:p>
        </w:tc>
        <w:tc>
          <w:tcPr>
            <w:tcW w:w="809" w:type="pct"/>
            <w:tcBorders>
              <w:top w:val="nil"/>
              <w:left w:val="nil"/>
              <w:bottom w:val="single" w:sz="4" w:space="0" w:color="auto"/>
              <w:right w:val="single" w:sz="8" w:space="0" w:color="auto"/>
            </w:tcBorders>
            <w:shd w:val="clear" w:color="auto" w:fill="auto"/>
            <w:vAlign w:val="center"/>
          </w:tcPr>
          <w:p w14:paraId="0D897229"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300</w:t>
            </w:r>
          </w:p>
        </w:tc>
        <w:tc>
          <w:tcPr>
            <w:tcW w:w="700" w:type="pct"/>
            <w:tcBorders>
              <w:top w:val="nil"/>
              <w:left w:val="nil"/>
              <w:bottom w:val="single" w:sz="4" w:space="0" w:color="auto"/>
              <w:right w:val="single" w:sz="4" w:space="0" w:color="auto"/>
            </w:tcBorders>
            <w:shd w:val="clear" w:color="auto" w:fill="auto"/>
            <w:vAlign w:val="center"/>
          </w:tcPr>
          <w:p w14:paraId="6CED491D"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b/>
                <w:kern w:val="0"/>
                <w:szCs w:val="21"/>
                <w:u w:val="single"/>
              </w:rPr>
              <w:t>35</w:t>
            </w:r>
          </w:p>
        </w:tc>
        <w:tc>
          <w:tcPr>
            <w:tcW w:w="700" w:type="pct"/>
            <w:tcBorders>
              <w:top w:val="nil"/>
              <w:left w:val="single" w:sz="4" w:space="0" w:color="auto"/>
              <w:bottom w:val="single" w:sz="4" w:space="0" w:color="auto"/>
              <w:right w:val="single" w:sz="12" w:space="0" w:color="auto"/>
            </w:tcBorders>
            <w:vAlign w:val="center"/>
          </w:tcPr>
          <w:p w14:paraId="6AFED929" w14:textId="18F56C40" w:rsidR="002B1020" w:rsidRPr="00E10DA7" w:rsidRDefault="0036124D"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50</w:t>
            </w:r>
          </w:p>
        </w:tc>
      </w:tr>
      <w:tr w:rsidR="002B1020" w:rsidRPr="00E10DA7" w14:paraId="4AE4BB47" w14:textId="4DDDEFC2" w:rsidTr="0036124D">
        <w:trPr>
          <w:trHeight w:val="601"/>
          <w:jc w:val="center"/>
        </w:trPr>
        <w:tc>
          <w:tcPr>
            <w:tcW w:w="1311" w:type="pct"/>
            <w:gridSpan w:val="2"/>
            <w:tcBorders>
              <w:top w:val="single" w:sz="4" w:space="0" w:color="auto"/>
              <w:left w:val="single" w:sz="12" w:space="0" w:color="auto"/>
              <w:bottom w:val="single" w:sz="12" w:space="0" w:color="auto"/>
              <w:right w:val="single" w:sz="8" w:space="0" w:color="000000"/>
            </w:tcBorders>
            <w:shd w:val="clear" w:color="auto" w:fill="auto"/>
            <w:vAlign w:val="center"/>
          </w:tcPr>
          <w:p w14:paraId="2AC006A0"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Calibri" w:hAnsi="Calibri" w:hint="eastAsia"/>
                <w:b/>
                <w:snapToGrid w:val="0"/>
                <w:color w:val="auto"/>
                <w:szCs w:val="21"/>
                <w:u w:val="single"/>
              </w:rPr>
              <w:t>是否达标</w:t>
            </w:r>
          </w:p>
        </w:tc>
        <w:tc>
          <w:tcPr>
            <w:tcW w:w="809" w:type="pct"/>
            <w:tcBorders>
              <w:top w:val="single" w:sz="4" w:space="0" w:color="auto"/>
              <w:left w:val="nil"/>
              <w:bottom w:val="single" w:sz="12" w:space="0" w:color="auto"/>
              <w:right w:val="single" w:sz="8" w:space="0" w:color="auto"/>
            </w:tcBorders>
            <w:shd w:val="clear" w:color="auto" w:fill="auto"/>
            <w:vAlign w:val="center"/>
          </w:tcPr>
          <w:p w14:paraId="23CAF1B5"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达标</w:t>
            </w:r>
          </w:p>
        </w:tc>
        <w:tc>
          <w:tcPr>
            <w:tcW w:w="672" w:type="pct"/>
            <w:tcBorders>
              <w:top w:val="single" w:sz="4" w:space="0" w:color="auto"/>
              <w:left w:val="nil"/>
              <w:bottom w:val="single" w:sz="12" w:space="0" w:color="auto"/>
              <w:right w:val="single" w:sz="8" w:space="0" w:color="auto"/>
            </w:tcBorders>
            <w:shd w:val="clear" w:color="auto" w:fill="auto"/>
            <w:vAlign w:val="center"/>
          </w:tcPr>
          <w:p w14:paraId="3BA76E77"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达标</w:t>
            </w:r>
          </w:p>
        </w:tc>
        <w:tc>
          <w:tcPr>
            <w:tcW w:w="809" w:type="pct"/>
            <w:tcBorders>
              <w:top w:val="single" w:sz="4" w:space="0" w:color="auto"/>
              <w:left w:val="nil"/>
              <w:bottom w:val="single" w:sz="12" w:space="0" w:color="auto"/>
              <w:right w:val="single" w:sz="8" w:space="0" w:color="auto"/>
            </w:tcBorders>
            <w:shd w:val="clear" w:color="auto" w:fill="auto"/>
            <w:vAlign w:val="center"/>
          </w:tcPr>
          <w:p w14:paraId="2145B089"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达标</w:t>
            </w:r>
          </w:p>
        </w:tc>
        <w:tc>
          <w:tcPr>
            <w:tcW w:w="700" w:type="pct"/>
            <w:tcBorders>
              <w:top w:val="single" w:sz="4" w:space="0" w:color="auto"/>
              <w:left w:val="nil"/>
              <w:bottom w:val="single" w:sz="12" w:space="0" w:color="auto"/>
              <w:right w:val="single" w:sz="4" w:space="0" w:color="auto"/>
            </w:tcBorders>
            <w:shd w:val="clear" w:color="auto" w:fill="auto"/>
            <w:vAlign w:val="center"/>
          </w:tcPr>
          <w:p w14:paraId="0992416D" w14:textId="77777777" w:rsidR="002B1020" w:rsidRPr="00E10DA7" w:rsidRDefault="002B1020"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达标</w:t>
            </w:r>
          </w:p>
        </w:tc>
        <w:tc>
          <w:tcPr>
            <w:tcW w:w="700" w:type="pct"/>
            <w:tcBorders>
              <w:top w:val="single" w:sz="4" w:space="0" w:color="auto"/>
              <w:left w:val="single" w:sz="4" w:space="0" w:color="auto"/>
              <w:bottom w:val="single" w:sz="12" w:space="0" w:color="auto"/>
              <w:right w:val="single" w:sz="12" w:space="0" w:color="auto"/>
            </w:tcBorders>
            <w:vAlign w:val="center"/>
          </w:tcPr>
          <w:p w14:paraId="5643B4AD" w14:textId="795ABEBD" w:rsidR="002B1020" w:rsidRPr="00E10DA7" w:rsidRDefault="0036124D" w:rsidP="00E13338">
            <w:pPr>
              <w:widowControl/>
              <w:jc w:val="center"/>
              <w:rPr>
                <w:rFonts w:asciiTheme="minorHAnsi" w:hAnsiTheme="minorHAnsi" w:cs="宋体"/>
                <w:b/>
                <w:kern w:val="0"/>
                <w:szCs w:val="21"/>
                <w:u w:val="single"/>
              </w:rPr>
            </w:pPr>
            <w:r w:rsidRPr="00E10DA7">
              <w:rPr>
                <w:rFonts w:asciiTheme="minorHAnsi" w:hAnsiTheme="minorHAnsi" w:cs="宋体" w:hint="eastAsia"/>
                <w:b/>
                <w:kern w:val="0"/>
                <w:szCs w:val="21"/>
                <w:u w:val="single"/>
              </w:rPr>
              <w:t>达标</w:t>
            </w:r>
          </w:p>
        </w:tc>
      </w:tr>
    </w:tbl>
    <w:p w14:paraId="43F173FA" w14:textId="363819C0" w:rsidR="00D20DB2" w:rsidRPr="00E10DA7" w:rsidRDefault="00E13338" w:rsidP="0036124D">
      <w:pPr>
        <w:pStyle w:val="00"/>
        <w:ind w:firstLineChars="200" w:firstLine="482"/>
        <w:rPr>
          <w:rFonts w:ascii="Calibri"/>
          <w:b/>
          <w:color w:val="auto"/>
          <w:u w:val="single"/>
        </w:rPr>
      </w:pPr>
      <w:r w:rsidRPr="00E10DA7">
        <w:rPr>
          <w:rFonts w:ascii="Calibri" w:hint="eastAsia"/>
          <w:b/>
          <w:color w:val="auto"/>
          <w:u w:val="single"/>
        </w:rPr>
        <w:t>废水处理站出水与循环水系统、</w:t>
      </w:r>
      <w:r w:rsidR="00643331" w:rsidRPr="00E10DA7">
        <w:rPr>
          <w:rFonts w:ascii="Calibri" w:hint="eastAsia"/>
          <w:b/>
          <w:color w:val="auto"/>
          <w:u w:val="single"/>
        </w:rPr>
        <w:t>纯水</w:t>
      </w:r>
      <w:r w:rsidR="00643331" w:rsidRPr="00E10DA7">
        <w:rPr>
          <w:rFonts w:ascii="Calibri"/>
          <w:b/>
          <w:color w:val="auto"/>
          <w:u w:val="single"/>
        </w:rPr>
        <w:t>制备</w:t>
      </w:r>
      <w:r w:rsidRPr="00E10DA7">
        <w:rPr>
          <w:rFonts w:ascii="Calibri" w:hint="eastAsia"/>
          <w:b/>
          <w:color w:val="auto"/>
          <w:u w:val="single"/>
        </w:rPr>
        <w:t>排水混合后在厂区废水总排放口水质情况为：</w:t>
      </w:r>
      <w:r w:rsidRPr="00E10DA7">
        <w:rPr>
          <w:rFonts w:ascii="Calibri" w:hint="eastAsia"/>
          <w:b/>
          <w:color w:val="auto"/>
          <w:u w:val="single"/>
        </w:rPr>
        <w:t>COD</w:t>
      </w:r>
      <w:r w:rsidRPr="00E10DA7">
        <w:rPr>
          <w:rFonts w:ascii="Calibri" w:hint="eastAsia"/>
          <w:b/>
          <w:color w:val="auto"/>
          <w:u w:val="single"/>
        </w:rPr>
        <w:t>：</w:t>
      </w:r>
      <w:r w:rsidR="0036124D" w:rsidRPr="00E10DA7">
        <w:rPr>
          <w:rFonts w:ascii="Calibri"/>
          <w:b/>
          <w:color w:val="auto"/>
          <w:u w:val="single"/>
        </w:rPr>
        <w:t>191.72</w:t>
      </w:r>
      <w:r w:rsidRPr="00E10DA7">
        <w:rPr>
          <w:rFonts w:ascii="Calibri"/>
          <w:b/>
          <w:color w:val="auto"/>
          <w:u w:val="single"/>
        </w:rPr>
        <w:t>mg/L</w:t>
      </w:r>
      <w:r w:rsidRPr="00E10DA7">
        <w:rPr>
          <w:rFonts w:ascii="Calibri" w:hint="eastAsia"/>
          <w:b/>
          <w:color w:val="auto"/>
          <w:u w:val="single"/>
        </w:rPr>
        <w:t>，</w:t>
      </w:r>
      <w:r w:rsidRPr="00E10DA7">
        <w:rPr>
          <w:rFonts w:ascii="Calibri" w:hint="eastAsia"/>
          <w:b/>
          <w:color w:val="auto"/>
          <w:u w:val="single"/>
        </w:rPr>
        <w:t>BOD</w:t>
      </w:r>
      <w:r w:rsidRPr="00E10DA7">
        <w:rPr>
          <w:rFonts w:ascii="Calibri" w:hint="eastAsia"/>
          <w:b/>
          <w:color w:val="auto"/>
          <w:u w:val="single"/>
          <w:vertAlign w:val="subscript"/>
        </w:rPr>
        <w:t>5</w:t>
      </w:r>
      <w:r w:rsidRPr="00E10DA7">
        <w:rPr>
          <w:rFonts w:ascii="Calibri" w:hint="eastAsia"/>
          <w:b/>
          <w:color w:val="auto"/>
          <w:u w:val="single"/>
        </w:rPr>
        <w:t>：</w:t>
      </w:r>
      <w:r w:rsidR="0036124D" w:rsidRPr="00E10DA7">
        <w:rPr>
          <w:rFonts w:ascii="Calibri"/>
          <w:b/>
          <w:color w:val="auto"/>
          <w:u w:val="single"/>
        </w:rPr>
        <w:t>102.95</w:t>
      </w:r>
      <w:r w:rsidRPr="00E10DA7">
        <w:rPr>
          <w:rFonts w:ascii="Calibri" w:hint="eastAsia"/>
          <w:b/>
          <w:color w:val="auto"/>
          <w:u w:val="single"/>
        </w:rPr>
        <w:t>mg/L</w:t>
      </w:r>
      <w:r w:rsidRPr="00E10DA7">
        <w:rPr>
          <w:rFonts w:ascii="Calibri" w:hint="eastAsia"/>
          <w:b/>
          <w:color w:val="auto"/>
          <w:u w:val="single"/>
        </w:rPr>
        <w:t>，氨氮：</w:t>
      </w:r>
      <w:r w:rsidR="0036124D" w:rsidRPr="00E10DA7">
        <w:rPr>
          <w:rFonts w:ascii="Calibri" w:hAnsi="Calibri"/>
          <w:b/>
          <w:snapToGrid w:val="0"/>
          <w:szCs w:val="21"/>
          <w:u w:val="single"/>
        </w:rPr>
        <w:t>23.63</w:t>
      </w:r>
      <w:r w:rsidRPr="00E10DA7">
        <w:rPr>
          <w:rFonts w:ascii="Calibri" w:hint="eastAsia"/>
          <w:b/>
          <w:color w:val="auto"/>
          <w:u w:val="single"/>
        </w:rPr>
        <w:t>mg/L</w:t>
      </w:r>
      <w:r w:rsidRPr="00E10DA7">
        <w:rPr>
          <w:rFonts w:ascii="Calibri" w:hint="eastAsia"/>
          <w:b/>
          <w:color w:val="auto"/>
          <w:u w:val="single"/>
        </w:rPr>
        <w:t>，</w:t>
      </w:r>
      <w:r w:rsidR="0036124D" w:rsidRPr="00E10DA7">
        <w:rPr>
          <w:rFonts w:ascii="Calibri" w:hint="eastAsia"/>
          <w:b/>
          <w:color w:val="auto"/>
          <w:u w:val="single"/>
        </w:rPr>
        <w:t>总氮</w:t>
      </w:r>
      <w:r w:rsidR="0036124D" w:rsidRPr="00E10DA7">
        <w:rPr>
          <w:rFonts w:ascii="Calibri"/>
          <w:b/>
          <w:color w:val="auto"/>
          <w:u w:val="single"/>
        </w:rPr>
        <w:t>：</w:t>
      </w:r>
      <w:r w:rsidR="0036124D" w:rsidRPr="00E10DA7">
        <w:rPr>
          <w:rFonts w:asciiTheme="minorHAnsi" w:hAnsiTheme="minorHAnsi" w:cs="宋体" w:hint="eastAsia"/>
          <w:b/>
          <w:kern w:val="0"/>
          <w:szCs w:val="21"/>
          <w:u w:val="single"/>
        </w:rPr>
        <w:t>21.33</w:t>
      </w:r>
      <w:r w:rsidR="0036124D" w:rsidRPr="00E10DA7">
        <w:rPr>
          <w:rFonts w:ascii="Calibri" w:hint="eastAsia"/>
          <w:b/>
          <w:color w:val="auto"/>
          <w:u w:val="single"/>
        </w:rPr>
        <w:t>mg/L</w:t>
      </w:r>
      <w:r w:rsidR="0036124D" w:rsidRPr="00E10DA7">
        <w:rPr>
          <w:rFonts w:ascii="Calibri" w:hint="eastAsia"/>
          <w:b/>
          <w:color w:val="auto"/>
          <w:u w:val="single"/>
        </w:rPr>
        <w:t>，</w:t>
      </w:r>
      <w:r w:rsidRPr="00E10DA7">
        <w:rPr>
          <w:rFonts w:ascii="Calibri" w:hint="eastAsia"/>
          <w:b/>
          <w:color w:val="auto"/>
          <w:u w:val="single"/>
        </w:rPr>
        <w:t>SS</w:t>
      </w:r>
      <w:r w:rsidRPr="00E10DA7">
        <w:rPr>
          <w:rFonts w:ascii="Calibri" w:hint="eastAsia"/>
          <w:b/>
          <w:color w:val="auto"/>
          <w:u w:val="single"/>
        </w:rPr>
        <w:t>：</w:t>
      </w:r>
      <w:r w:rsidR="0036124D" w:rsidRPr="00E10DA7">
        <w:rPr>
          <w:rFonts w:ascii="Calibri"/>
          <w:b/>
          <w:color w:val="auto"/>
          <w:u w:val="single"/>
        </w:rPr>
        <w:t>25.82</w:t>
      </w:r>
      <w:r w:rsidRPr="00E10DA7">
        <w:rPr>
          <w:rFonts w:ascii="Calibri" w:hint="eastAsia"/>
          <w:b/>
          <w:color w:val="auto"/>
          <w:u w:val="single"/>
        </w:rPr>
        <w:t>mg/L</w:t>
      </w:r>
      <w:r w:rsidRPr="00E10DA7">
        <w:rPr>
          <w:rFonts w:ascii="Calibri" w:hint="eastAsia"/>
          <w:b/>
          <w:color w:val="auto"/>
          <w:u w:val="single"/>
        </w:rPr>
        <w:t>；各污染物排放浓度均满足</w:t>
      </w:r>
      <w:r w:rsidRPr="00E10DA7">
        <w:rPr>
          <w:rFonts w:asciiTheme="minorHAnsi" w:hAnsiTheme="minorHAnsi" w:cs="宋体" w:hint="eastAsia"/>
          <w:b/>
          <w:kern w:val="0"/>
          <w:szCs w:val="21"/>
          <w:u w:val="single"/>
        </w:rPr>
        <w:t>《合成树脂工业污染物排放标准》（</w:t>
      </w:r>
      <w:r w:rsidRPr="00E10DA7">
        <w:rPr>
          <w:rFonts w:asciiTheme="minorHAnsi" w:hAnsiTheme="minorHAnsi" w:cs="宋体" w:hint="eastAsia"/>
          <w:b/>
          <w:kern w:val="0"/>
          <w:szCs w:val="21"/>
          <w:u w:val="single"/>
        </w:rPr>
        <w:t>GB31571-2015</w:t>
      </w:r>
      <w:r w:rsidRPr="00E10DA7">
        <w:rPr>
          <w:rFonts w:asciiTheme="minorHAnsi" w:hAnsiTheme="minorHAnsi" w:cs="宋体" w:hint="eastAsia"/>
          <w:b/>
          <w:kern w:val="0"/>
          <w:szCs w:val="21"/>
          <w:u w:val="single"/>
        </w:rPr>
        <w:t>）表</w:t>
      </w:r>
      <w:r w:rsidRPr="00E10DA7">
        <w:rPr>
          <w:rFonts w:asciiTheme="minorHAnsi" w:hAnsiTheme="minorHAnsi" w:cs="宋体" w:hint="eastAsia"/>
          <w:b/>
          <w:kern w:val="0"/>
          <w:szCs w:val="21"/>
          <w:u w:val="single"/>
        </w:rPr>
        <w:t>1</w:t>
      </w:r>
      <w:r w:rsidRPr="00E10DA7">
        <w:rPr>
          <w:rFonts w:asciiTheme="minorHAnsi" w:hAnsiTheme="minorHAnsi" w:cs="宋体" w:hint="eastAsia"/>
          <w:b/>
          <w:kern w:val="0"/>
          <w:szCs w:val="21"/>
          <w:u w:val="single"/>
        </w:rPr>
        <w:t>标间接排放标准</w:t>
      </w:r>
      <w:r w:rsidR="00455B57" w:rsidRPr="00E10DA7">
        <w:rPr>
          <w:rFonts w:asciiTheme="minorHAnsi" w:hAnsiTheme="minorHAnsi" w:cs="宋体" w:hint="eastAsia"/>
          <w:b/>
          <w:kern w:val="0"/>
          <w:szCs w:val="21"/>
          <w:u w:val="single"/>
        </w:rPr>
        <w:t>及《化工行业水污染物间接排放标准》（</w:t>
      </w:r>
      <w:r w:rsidR="00455B57" w:rsidRPr="00E10DA7">
        <w:rPr>
          <w:rFonts w:asciiTheme="minorHAnsi" w:hAnsiTheme="minorHAnsi" w:cs="宋体" w:hint="eastAsia"/>
          <w:b/>
          <w:kern w:val="0"/>
          <w:szCs w:val="21"/>
          <w:u w:val="single"/>
        </w:rPr>
        <w:t>DB41/1135-2016</w:t>
      </w:r>
      <w:r w:rsidR="00455B57" w:rsidRPr="00E10DA7">
        <w:rPr>
          <w:rFonts w:asciiTheme="minorHAnsi" w:hAnsiTheme="minorHAnsi" w:cs="宋体" w:hint="eastAsia"/>
          <w:b/>
          <w:kern w:val="0"/>
          <w:szCs w:val="21"/>
          <w:u w:val="single"/>
        </w:rPr>
        <w:t>）</w:t>
      </w:r>
      <w:r w:rsidRPr="00E10DA7">
        <w:rPr>
          <w:rFonts w:ascii="Calibri" w:hint="eastAsia"/>
          <w:b/>
          <w:color w:val="auto"/>
          <w:u w:val="single"/>
        </w:rPr>
        <w:t>，同时满足集聚区污水处理厂设计进水指标，可以实现达标排放，且集聚区污水处理厂设计出水指标</w:t>
      </w:r>
      <w:r w:rsidRPr="00E10DA7">
        <w:rPr>
          <w:rFonts w:ascii="Calibri" w:hint="eastAsia"/>
          <w:b/>
          <w:color w:val="auto"/>
          <w:u w:val="single"/>
        </w:rPr>
        <w:t>COD</w:t>
      </w:r>
      <w:r w:rsidRPr="00E10DA7">
        <w:rPr>
          <w:rFonts w:ascii="Calibri" w:hint="eastAsia"/>
          <w:b/>
          <w:color w:val="auto"/>
          <w:u w:val="single"/>
        </w:rPr>
        <w:t>≤</w:t>
      </w:r>
      <w:r w:rsidRPr="00E10DA7">
        <w:rPr>
          <w:rFonts w:ascii="Calibri" w:hint="eastAsia"/>
          <w:b/>
          <w:color w:val="auto"/>
          <w:u w:val="single"/>
        </w:rPr>
        <w:t>30mg/L</w:t>
      </w:r>
      <w:r w:rsidRPr="00E10DA7">
        <w:rPr>
          <w:rFonts w:ascii="Calibri" w:hint="eastAsia"/>
          <w:b/>
          <w:color w:val="auto"/>
          <w:u w:val="single"/>
        </w:rPr>
        <w:t>，氨氮≤</w:t>
      </w:r>
      <w:r w:rsidRPr="00E10DA7">
        <w:rPr>
          <w:rFonts w:ascii="Calibri" w:hint="eastAsia"/>
          <w:b/>
          <w:color w:val="auto"/>
          <w:u w:val="single"/>
        </w:rPr>
        <w:t>1.5mg/L</w:t>
      </w:r>
      <w:r w:rsidRPr="00E10DA7">
        <w:rPr>
          <w:rFonts w:ascii="Calibri" w:hint="eastAsia"/>
          <w:b/>
          <w:color w:val="auto"/>
          <w:u w:val="single"/>
        </w:rPr>
        <w:t>，总磷≤</w:t>
      </w:r>
      <w:r w:rsidRPr="00E10DA7">
        <w:rPr>
          <w:rFonts w:ascii="Calibri" w:hint="eastAsia"/>
          <w:b/>
          <w:color w:val="auto"/>
          <w:u w:val="single"/>
        </w:rPr>
        <w:t>0.3mg/L</w:t>
      </w:r>
      <w:r w:rsidRPr="00E10DA7">
        <w:rPr>
          <w:rFonts w:ascii="Calibri" w:hint="eastAsia"/>
          <w:b/>
          <w:color w:val="auto"/>
          <w:u w:val="single"/>
        </w:rPr>
        <w:t>，其他污染物满足</w:t>
      </w:r>
      <w:r w:rsidRPr="00E10DA7">
        <w:rPr>
          <w:rFonts w:ascii="Calibri" w:hint="eastAsia"/>
          <w:b/>
          <w:color w:val="auto"/>
          <w:u w:val="single"/>
        </w:rPr>
        <w:lastRenderedPageBreak/>
        <w:t>《城镇污水处理厂污染物排放标准》（</w:t>
      </w:r>
      <w:r w:rsidRPr="00E10DA7">
        <w:rPr>
          <w:rFonts w:ascii="Calibri" w:hint="eastAsia"/>
          <w:b/>
          <w:color w:val="auto"/>
          <w:u w:val="single"/>
        </w:rPr>
        <w:t>GB18918-2002</w:t>
      </w:r>
      <w:r w:rsidRPr="00E10DA7">
        <w:rPr>
          <w:rFonts w:ascii="Calibri" w:hint="eastAsia"/>
          <w:b/>
          <w:color w:val="auto"/>
          <w:u w:val="single"/>
        </w:rPr>
        <w:t>）一级</w:t>
      </w:r>
      <w:r w:rsidRPr="00E10DA7">
        <w:rPr>
          <w:rFonts w:ascii="Calibri" w:hint="eastAsia"/>
          <w:b/>
          <w:color w:val="auto"/>
          <w:u w:val="single"/>
        </w:rPr>
        <w:t>A</w:t>
      </w:r>
      <w:r w:rsidRPr="00E10DA7">
        <w:rPr>
          <w:rFonts w:ascii="Calibri" w:hint="eastAsia"/>
          <w:b/>
          <w:color w:val="auto"/>
          <w:u w:val="single"/>
        </w:rPr>
        <w:t>标准，由此可知，本项目废水在厂区自建废水处理站和集聚区污水处理厂双重处理下，各污染物排放浓度较低，对当地地表水环境影响不大。</w:t>
      </w:r>
    </w:p>
    <w:p w14:paraId="20FB07DA" w14:textId="77777777" w:rsidR="004F2862" w:rsidRDefault="004F2862" w:rsidP="004F2862">
      <w:pPr>
        <w:spacing w:line="500" w:lineRule="exact"/>
        <w:ind w:firstLineChars="200" w:firstLine="482"/>
        <w:rPr>
          <w:rFonts w:ascii="Calibri" w:hAnsi="Calibri"/>
          <w:b/>
          <w:bCs/>
          <w:color w:val="auto"/>
          <w:sz w:val="24"/>
        </w:rPr>
      </w:pPr>
      <w:r>
        <w:rPr>
          <w:rFonts w:ascii="Calibri" w:hAnsi="Calibri"/>
          <w:b/>
          <w:bCs/>
          <w:color w:val="auto"/>
          <w:sz w:val="24"/>
        </w:rPr>
        <w:t>4</w:t>
      </w:r>
      <w:r>
        <w:rPr>
          <w:rFonts w:ascii="Calibri" w:hAnsi="Calibri"/>
          <w:b/>
          <w:bCs/>
          <w:color w:val="auto"/>
          <w:sz w:val="24"/>
        </w:rPr>
        <w:t>、废水的其他要求</w:t>
      </w:r>
    </w:p>
    <w:p w14:paraId="5968FB5A" w14:textId="77777777" w:rsidR="004F2862" w:rsidRDefault="004F2862" w:rsidP="004F2862">
      <w:pPr>
        <w:spacing w:line="500" w:lineRule="exact"/>
        <w:ind w:firstLineChars="200" w:firstLine="480"/>
        <w:rPr>
          <w:rFonts w:ascii="Calibri" w:hAnsi="Calibri"/>
          <w:color w:val="auto"/>
          <w:sz w:val="24"/>
        </w:rPr>
      </w:pPr>
      <w:r>
        <w:rPr>
          <w:rFonts w:ascii="Calibri" w:hAnsi="Calibri"/>
          <w:color w:val="auto"/>
          <w:sz w:val="24"/>
        </w:rPr>
        <w:t>企业除了对</w:t>
      </w:r>
      <w:r w:rsidR="00E13338">
        <w:rPr>
          <w:rFonts w:ascii="Calibri" w:hAnsi="Calibri" w:hint="eastAsia"/>
          <w:color w:val="auto"/>
          <w:sz w:val="24"/>
        </w:rPr>
        <w:t>生产及</w:t>
      </w:r>
      <w:r w:rsidR="00E13338">
        <w:rPr>
          <w:rFonts w:ascii="Calibri" w:hAnsi="Calibri"/>
          <w:color w:val="auto"/>
          <w:sz w:val="24"/>
        </w:rPr>
        <w:t>生活</w:t>
      </w:r>
      <w:r>
        <w:rPr>
          <w:rFonts w:ascii="Calibri" w:hAnsi="Calibri"/>
          <w:color w:val="auto"/>
          <w:sz w:val="24"/>
        </w:rPr>
        <w:t>配套建设废水处理站外，还应做好以下几方面工作，以确保项目的实施对周围水环境的影响降低到最低限度。</w:t>
      </w:r>
    </w:p>
    <w:p w14:paraId="2B7F9EA3" w14:textId="77777777" w:rsidR="004F2862" w:rsidRDefault="004F2862" w:rsidP="004F2862">
      <w:pPr>
        <w:spacing w:line="500" w:lineRule="exact"/>
        <w:ind w:firstLineChars="200" w:firstLine="480"/>
        <w:rPr>
          <w:rFonts w:ascii="Calibri" w:hAnsi="Calibri"/>
          <w:color w:val="auto"/>
          <w:sz w:val="24"/>
        </w:rPr>
      </w:pPr>
      <w:r>
        <w:rPr>
          <w:rFonts w:ascii="Calibri" w:hAnsi="Calibri"/>
          <w:color w:val="auto"/>
          <w:sz w:val="24"/>
        </w:rPr>
        <w:t>（</w:t>
      </w:r>
      <w:r>
        <w:rPr>
          <w:rFonts w:ascii="Calibri" w:hAnsi="Calibri"/>
          <w:color w:val="auto"/>
          <w:sz w:val="24"/>
        </w:rPr>
        <w:t>1</w:t>
      </w:r>
      <w:r>
        <w:rPr>
          <w:rFonts w:ascii="Calibri" w:hAnsi="Calibri"/>
          <w:color w:val="auto"/>
          <w:sz w:val="24"/>
        </w:rPr>
        <w:t>）厂区内做好雨污分流、污污分流，严禁废水直接排入总排放口。雨污管线必须明确标志，并设有明显标志。</w:t>
      </w:r>
    </w:p>
    <w:p w14:paraId="59F59F1E" w14:textId="77777777" w:rsidR="004F2862" w:rsidRDefault="004F2862" w:rsidP="004F2862">
      <w:pPr>
        <w:spacing w:line="500" w:lineRule="exact"/>
        <w:ind w:firstLineChars="200" w:firstLine="480"/>
        <w:rPr>
          <w:rFonts w:ascii="Calibri" w:hAnsi="Calibri"/>
          <w:color w:val="auto"/>
          <w:sz w:val="24"/>
        </w:rPr>
      </w:pPr>
      <w:r>
        <w:rPr>
          <w:rFonts w:ascii="Calibri" w:hAnsi="Calibri"/>
          <w:color w:val="auto"/>
          <w:sz w:val="24"/>
        </w:rPr>
        <w:t>（</w:t>
      </w:r>
      <w:r>
        <w:rPr>
          <w:rFonts w:ascii="Calibri" w:hAnsi="Calibri"/>
          <w:color w:val="auto"/>
          <w:sz w:val="24"/>
        </w:rPr>
        <w:t>2</w:t>
      </w:r>
      <w:r>
        <w:rPr>
          <w:rFonts w:ascii="Calibri" w:hAnsi="Calibri"/>
          <w:color w:val="auto"/>
          <w:sz w:val="24"/>
        </w:rPr>
        <w:t>）初期雨水收集池出口设置了阀门，厂内屋顶清洁雨水通过管道收集后通过雨水总排口排放。在雨水排放总口再安装一道阀门，通过双重阀门的保障，进一步降低水环境污染风险。同时，按雨水排放口监测计划要求，严格进行监测，雨水排放口排水的</w:t>
      </w:r>
      <w:r>
        <w:rPr>
          <w:rFonts w:ascii="Calibri" w:hAnsi="Calibri"/>
          <w:color w:val="auto"/>
          <w:sz w:val="24"/>
        </w:rPr>
        <w:t>CODcr</w:t>
      </w:r>
      <w:r>
        <w:rPr>
          <w:rFonts w:ascii="Calibri" w:hAnsi="Calibri"/>
          <w:color w:val="auto"/>
          <w:sz w:val="24"/>
        </w:rPr>
        <w:t>浓度不得高于</w:t>
      </w:r>
      <w:r>
        <w:rPr>
          <w:rFonts w:ascii="Calibri" w:hAnsi="Calibri"/>
          <w:color w:val="auto"/>
          <w:sz w:val="24"/>
        </w:rPr>
        <w:t>50mg/L</w:t>
      </w:r>
      <w:r>
        <w:rPr>
          <w:rFonts w:ascii="Calibri" w:hAnsi="Calibri"/>
          <w:color w:val="auto"/>
          <w:sz w:val="24"/>
        </w:rPr>
        <w:t>。</w:t>
      </w:r>
    </w:p>
    <w:p w14:paraId="3EE61BD0" w14:textId="77777777" w:rsidR="004F2862" w:rsidRDefault="004F2862" w:rsidP="004F2862">
      <w:pPr>
        <w:spacing w:line="500" w:lineRule="exact"/>
        <w:ind w:firstLineChars="200" w:firstLine="480"/>
        <w:rPr>
          <w:rFonts w:ascii="Calibri" w:hAnsi="Calibri"/>
          <w:color w:val="auto"/>
          <w:sz w:val="24"/>
        </w:rPr>
      </w:pPr>
      <w:r>
        <w:rPr>
          <w:rFonts w:ascii="Calibri" w:hAnsi="Calibri"/>
          <w:color w:val="auto"/>
          <w:sz w:val="24"/>
        </w:rPr>
        <w:t>（</w:t>
      </w:r>
      <w:r>
        <w:rPr>
          <w:rFonts w:ascii="Calibri" w:hAnsi="Calibri"/>
          <w:color w:val="auto"/>
          <w:sz w:val="24"/>
        </w:rPr>
        <w:t>3</w:t>
      </w:r>
      <w:r w:rsidR="00E13338">
        <w:rPr>
          <w:rFonts w:ascii="Calibri" w:hAnsi="Calibri"/>
          <w:color w:val="auto"/>
          <w:sz w:val="24"/>
        </w:rPr>
        <w:t>）生产车间的污水沟渠必须有防腐措施</w:t>
      </w:r>
      <w:r>
        <w:rPr>
          <w:rFonts w:ascii="Calibri" w:hAnsi="Calibri"/>
          <w:color w:val="auto"/>
          <w:sz w:val="24"/>
        </w:rPr>
        <w:t>。</w:t>
      </w:r>
    </w:p>
    <w:p w14:paraId="1CC5D335" w14:textId="77777777" w:rsidR="004F2862" w:rsidRDefault="004F2862" w:rsidP="00E13338">
      <w:pPr>
        <w:spacing w:line="500" w:lineRule="exact"/>
        <w:ind w:firstLineChars="200" w:firstLine="480"/>
        <w:rPr>
          <w:rFonts w:ascii="Calibri" w:hAnsi="Calibri"/>
          <w:color w:val="auto"/>
          <w:sz w:val="24"/>
        </w:rPr>
      </w:pPr>
      <w:r>
        <w:rPr>
          <w:rFonts w:ascii="Calibri" w:hAnsi="Calibri"/>
          <w:color w:val="auto"/>
          <w:sz w:val="24"/>
        </w:rPr>
        <w:t>（</w:t>
      </w:r>
      <w:r>
        <w:rPr>
          <w:rFonts w:ascii="Calibri" w:hAnsi="Calibri"/>
          <w:color w:val="auto"/>
          <w:sz w:val="24"/>
        </w:rPr>
        <w:t>4</w:t>
      </w:r>
      <w:r>
        <w:rPr>
          <w:rFonts w:ascii="Calibri" w:hAnsi="Calibri"/>
          <w:color w:val="auto"/>
          <w:sz w:val="24"/>
        </w:rPr>
        <w:t>）关注产品</w:t>
      </w:r>
      <w:r>
        <w:rPr>
          <w:rFonts w:ascii="Calibri" w:hAnsi="Calibri" w:hint="eastAsia"/>
          <w:color w:val="auto"/>
          <w:sz w:val="24"/>
        </w:rPr>
        <w:t>及原料</w:t>
      </w:r>
      <w:r>
        <w:rPr>
          <w:rFonts w:ascii="Calibri" w:hAnsi="Calibri"/>
          <w:color w:val="auto"/>
          <w:sz w:val="24"/>
        </w:rPr>
        <w:t>的流失进入废水的途径及控制：废水中的</w:t>
      </w:r>
      <w:r>
        <w:rPr>
          <w:rFonts w:ascii="Calibri" w:hAnsi="Calibri"/>
          <w:color w:val="auto"/>
          <w:sz w:val="24"/>
        </w:rPr>
        <w:t>COD</w:t>
      </w:r>
      <w:r>
        <w:rPr>
          <w:rFonts w:ascii="Calibri" w:hAnsi="Calibri"/>
          <w:color w:val="auto"/>
          <w:sz w:val="24"/>
        </w:rPr>
        <w:t>是流失的物料进入废水中造成，目前流失物料进入废水有</w:t>
      </w:r>
      <w:r w:rsidR="00E13338">
        <w:rPr>
          <w:rFonts w:ascii="Calibri" w:hAnsi="Calibri" w:hint="eastAsia"/>
          <w:color w:val="auto"/>
          <w:sz w:val="24"/>
        </w:rPr>
        <w:t>以下几种</w:t>
      </w:r>
      <w:r>
        <w:rPr>
          <w:rFonts w:ascii="Calibri" w:hAnsi="Calibri"/>
          <w:color w:val="auto"/>
          <w:sz w:val="24"/>
        </w:rPr>
        <w:t>方式：在反应过程中未反应完全的物料和少量产品进入废水；在</w:t>
      </w:r>
      <w:r w:rsidR="00E13338">
        <w:rPr>
          <w:rFonts w:ascii="Calibri" w:hAnsi="Calibri" w:hint="eastAsia"/>
          <w:color w:val="auto"/>
          <w:sz w:val="24"/>
        </w:rPr>
        <w:t>聚合工序</w:t>
      </w:r>
      <w:r>
        <w:rPr>
          <w:rFonts w:ascii="Calibri" w:hAnsi="Calibri"/>
          <w:color w:val="auto"/>
          <w:sz w:val="24"/>
        </w:rPr>
        <w:t>真空回收物料过程中有少量物料进入真空系统的冷凝水中；在</w:t>
      </w:r>
      <w:r w:rsidR="00E13338">
        <w:rPr>
          <w:rFonts w:ascii="Calibri" w:hAnsi="Calibri" w:hint="eastAsia"/>
          <w:color w:val="auto"/>
          <w:sz w:val="24"/>
        </w:rPr>
        <w:t>地面及</w:t>
      </w:r>
      <w:r w:rsidR="00E13338">
        <w:rPr>
          <w:rFonts w:ascii="Calibri" w:hAnsi="Calibri"/>
          <w:color w:val="auto"/>
          <w:sz w:val="24"/>
        </w:rPr>
        <w:t>实验仪器</w:t>
      </w:r>
      <w:r>
        <w:rPr>
          <w:rFonts w:ascii="Calibri" w:hAnsi="Calibri"/>
          <w:color w:val="auto"/>
          <w:sz w:val="24"/>
        </w:rPr>
        <w:t>清洗过程中少量物料进入清洗废水中。这些物料进入废水是</w:t>
      </w:r>
      <w:r>
        <w:rPr>
          <w:rFonts w:ascii="Calibri" w:hAnsi="Calibri"/>
          <w:color w:val="auto"/>
          <w:sz w:val="24"/>
        </w:rPr>
        <w:t>COD</w:t>
      </w:r>
      <w:r>
        <w:rPr>
          <w:rFonts w:ascii="Calibri" w:hAnsi="Calibri"/>
          <w:color w:val="auto"/>
          <w:sz w:val="24"/>
        </w:rPr>
        <w:t>的来源。</w:t>
      </w:r>
    </w:p>
    <w:p w14:paraId="19C8C4A1" w14:textId="0286A988" w:rsidR="0036124D" w:rsidRPr="00E10DA7" w:rsidRDefault="004F2862" w:rsidP="00E10DA7">
      <w:pPr>
        <w:spacing w:line="500" w:lineRule="exact"/>
        <w:ind w:firstLineChars="200" w:firstLine="480"/>
        <w:rPr>
          <w:rFonts w:ascii="Calibri" w:hAnsi="Calibri"/>
          <w:color w:val="auto"/>
          <w:sz w:val="24"/>
        </w:rPr>
      </w:pPr>
      <w:r>
        <w:rPr>
          <w:rFonts w:ascii="Calibri" w:hAnsi="Calibri"/>
          <w:color w:val="auto"/>
          <w:sz w:val="24"/>
        </w:rPr>
        <w:t>在日常生产运营过程中，企业应重点关注上述物料流失途径，尽可能减少物料流失进入废水，同时注意污水异味控制，保证污水总排口废水无异味。</w:t>
      </w:r>
      <w:r>
        <w:rPr>
          <w:rFonts w:ascii="Calibri" w:hAnsi="Calibri"/>
          <w:color w:val="auto"/>
          <w:sz w:val="24"/>
        </w:rPr>
        <w:t xml:space="preserve"> </w:t>
      </w:r>
    </w:p>
    <w:p w14:paraId="126ABE7F" w14:textId="264AAC82" w:rsidR="003E0795" w:rsidRPr="00A964FF" w:rsidRDefault="004F2862" w:rsidP="003E0795">
      <w:pPr>
        <w:spacing w:line="500" w:lineRule="exact"/>
        <w:ind w:firstLineChars="200" w:firstLine="482"/>
        <w:rPr>
          <w:rFonts w:ascii="Calibri" w:hAnsi="Calibri"/>
          <w:b/>
          <w:bCs/>
          <w:color w:val="auto"/>
          <w:sz w:val="24"/>
        </w:rPr>
      </w:pPr>
      <w:r>
        <w:rPr>
          <w:rFonts w:ascii="Calibri" w:hAnsi="Calibri" w:hint="eastAsia"/>
          <w:b/>
          <w:bCs/>
          <w:color w:val="auto"/>
          <w:sz w:val="24"/>
        </w:rPr>
        <w:t>5</w:t>
      </w:r>
      <w:r w:rsidR="003E0795" w:rsidRPr="00A964FF">
        <w:rPr>
          <w:rFonts w:ascii="Calibri" w:hAnsi="Calibri" w:hint="eastAsia"/>
          <w:b/>
          <w:bCs/>
          <w:color w:val="auto"/>
          <w:sz w:val="24"/>
        </w:rPr>
        <w:t>、经济可行性分析</w:t>
      </w:r>
    </w:p>
    <w:p w14:paraId="241AD672" w14:textId="77777777" w:rsidR="003E0795" w:rsidRPr="00A964FF" w:rsidRDefault="003E0795" w:rsidP="00DE519A">
      <w:pPr>
        <w:spacing w:line="520" w:lineRule="exact"/>
        <w:ind w:firstLine="482"/>
        <w:rPr>
          <w:rFonts w:ascii="Calibri"/>
          <w:bCs/>
          <w:color w:val="auto"/>
          <w:sz w:val="24"/>
        </w:rPr>
      </w:pPr>
      <w:r w:rsidRPr="00A964FF">
        <w:rPr>
          <w:rFonts w:ascii="Calibri"/>
          <w:bCs/>
          <w:color w:val="auto"/>
          <w:sz w:val="24"/>
        </w:rPr>
        <w:t>由以上分析可知，本项目</w:t>
      </w:r>
      <w:r w:rsidR="00DE519A" w:rsidRPr="00A964FF">
        <w:rPr>
          <w:rFonts w:ascii="Calibri" w:hint="eastAsia"/>
          <w:bCs/>
          <w:color w:val="auto"/>
          <w:sz w:val="24"/>
        </w:rPr>
        <w:t>废水处理工艺</w:t>
      </w:r>
      <w:r w:rsidRPr="00A964FF">
        <w:rPr>
          <w:rFonts w:ascii="Calibri"/>
          <w:bCs/>
          <w:color w:val="auto"/>
          <w:sz w:val="24"/>
        </w:rPr>
        <w:t>采用的现阶段成熟的工艺技术，技术可行。</w:t>
      </w:r>
      <w:r w:rsidRPr="00A964FF">
        <w:rPr>
          <w:rFonts w:ascii="Calibri" w:hint="eastAsia"/>
          <w:bCs/>
          <w:color w:val="auto"/>
          <w:sz w:val="24"/>
        </w:rPr>
        <w:t>废水</w:t>
      </w:r>
      <w:r w:rsidRPr="00A964FF">
        <w:rPr>
          <w:rFonts w:ascii="Calibri"/>
          <w:bCs/>
          <w:color w:val="auto"/>
          <w:sz w:val="24"/>
        </w:rPr>
        <w:t>治理费用包括购买、建设和运行费用两部分</w:t>
      </w:r>
      <w:r w:rsidRPr="00A964FF">
        <w:rPr>
          <w:rFonts w:ascii="Calibri" w:hint="eastAsia"/>
          <w:bCs/>
          <w:color w:val="auto"/>
          <w:sz w:val="24"/>
        </w:rPr>
        <w:t>，</w:t>
      </w:r>
      <w:r w:rsidRPr="00A964FF">
        <w:rPr>
          <w:rFonts w:ascii="Calibri"/>
          <w:bCs/>
          <w:color w:val="auto"/>
          <w:sz w:val="24"/>
        </w:rPr>
        <w:t>其经济技术指标</w:t>
      </w:r>
      <w:r w:rsidRPr="00A964FF">
        <w:rPr>
          <w:rFonts w:ascii="Calibri" w:hint="eastAsia"/>
          <w:bCs/>
          <w:color w:val="auto"/>
          <w:sz w:val="24"/>
        </w:rPr>
        <w:t>见表</w:t>
      </w:r>
      <w:r w:rsidRPr="00A964FF">
        <w:rPr>
          <w:rFonts w:ascii="Calibri" w:hint="eastAsia"/>
          <w:bCs/>
          <w:color w:val="auto"/>
          <w:sz w:val="24"/>
        </w:rPr>
        <w:t>5</w:t>
      </w:r>
      <w:r w:rsidR="00ED3143" w:rsidRPr="00A964FF">
        <w:rPr>
          <w:rFonts w:ascii="Calibri" w:hint="eastAsia"/>
          <w:bCs/>
          <w:color w:val="auto"/>
          <w:sz w:val="24"/>
        </w:rPr>
        <w:t>.2</w:t>
      </w:r>
      <w:r w:rsidRPr="00A964FF">
        <w:rPr>
          <w:rFonts w:ascii="Calibri" w:hint="eastAsia"/>
          <w:bCs/>
          <w:color w:val="auto"/>
          <w:sz w:val="24"/>
        </w:rPr>
        <w:t>-</w:t>
      </w:r>
      <w:r w:rsidR="00135AC8">
        <w:rPr>
          <w:rFonts w:ascii="Calibri" w:hint="eastAsia"/>
          <w:bCs/>
          <w:color w:val="auto"/>
          <w:sz w:val="24"/>
        </w:rPr>
        <w:t>5</w:t>
      </w:r>
      <w:r w:rsidRPr="00A964FF">
        <w:rPr>
          <w:rFonts w:ascii="Calibri" w:hint="eastAsia"/>
          <w:bCs/>
          <w:color w:val="auto"/>
          <w:sz w:val="24"/>
        </w:rPr>
        <w:t>。</w:t>
      </w:r>
    </w:p>
    <w:p w14:paraId="34A191C1" w14:textId="77777777" w:rsidR="003E0795" w:rsidRPr="00A964FF" w:rsidRDefault="003E0795" w:rsidP="003E0795">
      <w:pPr>
        <w:pStyle w:val="00"/>
        <w:ind w:firstLineChars="200"/>
        <w:rPr>
          <w:rFonts w:ascii="Calibri" w:eastAsia="黑体" w:hAnsi="Calibri"/>
          <w:color w:val="auto"/>
        </w:rPr>
      </w:pPr>
      <w:r w:rsidRPr="00A964FF">
        <w:rPr>
          <w:rFonts w:ascii="Calibri" w:eastAsia="黑体" w:hAnsi="黑体"/>
          <w:color w:val="auto"/>
        </w:rPr>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color w:val="auto"/>
        </w:rPr>
        <w:t>-</w:t>
      </w:r>
      <w:r w:rsidR="00135AC8">
        <w:rPr>
          <w:rFonts w:ascii="Calibri" w:eastAsia="黑体" w:hAnsi="Calibri" w:hint="eastAsia"/>
          <w:color w:val="auto"/>
        </w:rPr>
        <w:t>5</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黑体" w:hint="eastAsia"/>
          <w:color w:val="auto"/>
        </w:rPr>
        <w:t>废水</w:t>
      </w:r>
      <w:r w:rsidRPr="00A964FF">
        <w:rPr>
          <w:rFonts w:ascii="Calibri" w:eastAsia="黑体" w:hAnsi="黑体"/>
          <w:color w:val="auto"/>
        </w:rPr>
        <w:t>处理工艺经济技术指标</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484"/>
        <w:gridCol w:w="3859"/>
        <w:gridCol w:w="827"/>
        <w:gridCol w:w="1241"/>
        <w:gridCol w:w="1289"/>
      </w:tblGrid>
      <w:tr w:rsidR="003E0795" w:rsidRPr="00A964FF" w14:paraId="25F3FA05" w14:textId="77777777" w:rsidTr="00415799">
        <w:trPr>
          <w:trHeight w:val="369"/>
        </w:trPr>
        <w:tc>
          <w:tcPr>
            <w:tcW w:w="853" w:type="pct"/>
            <w:vAlign w:val="center"/>
          </w:tcPr>
          <w:p w14:paraId="356177C0"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污染源</w:t>
            </w:r>
          </w:p>
        </w:tc>
        <w:tc>
          <w:tcPr>
            <w:tcW w:w="2218" w:type="pct"/>
            <w:vAlign w:val="center"/>
          </w:tcPr>
          <w:p w14:paraId="773BC408"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废水处理措施</w:t>
            </w:r>
          </w:p>
        </w:tc>
        <w:tc>
          <w:tcPr>
            <w:tcW w:w="475" w:type="pct"/>
            <w:vAlign w:val="center"/>
          </w:tcPr>
          <w:p w14:paraId="4ADC6B74"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数量</w:t>
            </w:r>
          </w:p>
        </w:tc>
        <w:tc>
          <w:tcPr>
            <w:tcW w:w="713" w:type="pct"/>
            <w:vAlign w:val="center"/>
          </w:tcPr>
          <w:p w14:paraId="0513276C"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建设费用</w:t>
            </w:r>
          </w:p>
          <w:p w14:paraId="4ADC0B63"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（万元）</w:t>
            </w:r>
          </w:p>
        </w:tc>
        <w:tc>
          <w:tcPr>
            <w:tcW w:w="741" w:type="pct"/>
            <w:vAlign w:val="center"/>
          </w:tcPr>
          <w:p w14:paraId="76ADB4CC"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运行费用</w:t>
            </w:r>
          </w:p>
          <w:p w14:paraId="00FDDC2A"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（万元</w:t>
            </w:r>
            <w:r w:rsidRPr="00A964FF">
              <w:rPr>
                <w:rFonts w:ascii="Calibri" w:hAnsi="Calibri" w:hint="eastAsia"/>
                <w:color w:val="auto"/>
                <w:sz w:val="21"/>
                <w:szCs w:val="21"/>
              </w:rPr>
              <w:t>/</w:t>
            </w:r>
            <w:r w:rsidRPr="00A964FF">
              <w:rPr>
                <w:rFonts w:ascii="Calibri" w:hAnsi="Calibri" w:hint="eastAsia"/>
                <w:color w:val="auto"/>
                <w:sz w:val="21"/>
                <w:szCs w:val="21"/>
              </w:rPr>
              <w:t>年）</w:t>
            </w:r>
          </w:p>
        </w:tc>
      </w:tr>
      <w:tr w:rsidR="00415799" w:rsidRPr="00A964FF" w14:paraId="29E0C263" w14:textId="77777777" w:rsidTr="00415799">
        <w:trPr>
          <w:trHeight w:val="369"/>
        </w:trPr>
        <w:tc>
          <w:tcPr>
            <w:tcW w:w="853" w:type="pct"/>
            <w:vAlign w:val="center"/>
          </w:tcPr>
          <w:p w14:paraId="1BCB6597" w14:textId="77777777" w:rsidR="00415799" w:rsidRPr="00A964FF" w:rsidRDefault="003A5258" w:rsidP="003E0795">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生产及</w:t>
            </w:r>
            <w:r>
              <w:rPr>
                <w:rFonts w:ascii="Calibri" w:hAnsi="Calibri"/>
                <w:color w:val="auto"/>
                <w:sz w:val="21"/>
                <w:szCs w:val="21"/>
              </w:rPr>
              <w:t>生活</w:t>
            </w:r>
          </w:p>
        </w:tc>
        <w:tc>
          <w:tcPr>
            <w:tcW w:w="2218" w:type="pct"/>
            <w:vAlign w:val="center"/>
          </w:tcPr>
          <w:p w14:paraId="650513AE" w14:textId="30840B4D" w:rsidR="00415799" w:rsidRPr="00A964FF" w:rsidRDefault="00415799" w:rsidP="008C1537">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采用</w:t>
            </w:r>
            <w:r w:rsidR="007A1186" w:rsidRPr="00A964FF">
              <w:rPr>
                <w:rFonts w:ascii="Calibri" w:hAnsi="Calibri" w:hint="eastAsia"/>
                <w:color w:val="auto"/>
                <w:sz w:val="21"/>
                <w:szCs w:val="21"/>
              </w:rPr>
              <w:t>调节池</w:t>
            </w:r>
            <w:r w:rsidR="007A1186" w:rsidRPr="00A964FF">
              <w:rPr>
                <w:rFonts w:ascii="Calibri" w:hAnsi="Calibri" w:hint="eastAsia"/>
                <w:color w:val="auto"/>
                <w:sz w:val="21"/>
                <w:szCs w:val="21"/>
              </w:rPr>
              <w:t>+</w:t>
            </w:r>
            <w:r w:rsidR="003A5258" w:rsidRPr="003A5258">
              <w:rPr>
                <w:rFonts w:ascii="Calibri" w:hAnsi="Calibri" w:hint="eastAsia"/>
                <w:color w:val="auto"/>
                <w:sz w:val="21"/>
                <w:szCs w:val="21"/>
              </w:rPr>
              <w:t>水解酸化</w:t>
            </w:r>
            <w:r w:rsidR="003A5258" w:rsidRPr="003A5258">
              <w:rPr>
                <w:rFonts w:ascii="Calibri" w:hAnsi="Calibri" w:hint="eastAsia"/>
                <w:color w:val="auto"/>
                <w:sz w:val="21"/>
                <w:szCs w:val="21"/>
              </w:rPr>
              <w:t>+A/O+</w:t>
            </w:r>
            <w:r w:rsidR="003A5258" w:rsidRPr="003A5258">
              <w:rPr>
                <w:rFonts w:ascii="Calibri" w:hAnsi="Calibri" w:hint="eastAsia"/>
                <w:color w:val="auto"/>
                <w:sz w:val="21"/>
                <w:szCs w:val="21"/>
              </w:rPr>
              <w:t>二沉池</w:t>
            </w:r>
            <w:r w:rsidRPr="00A964FF">
              <w:rPr>
                <w:rFonts w:ascii="Calibri" w:hAnsi="Calibri" w:hint="eastAsia"/>
                <w:color w:val="auto"/>
                <w:sz w:val="21"/>
                <w:szCs w:val="21"/>
              </w:rPr>
              <w:t>，设计规模</w:t>
            </w:r>
            <w:r w:rsidR="008C1537">
              <w:rPr>
                <w:rFonts w:ascii="Calibri" w:hAnsi="Calibri"/>
                <w:color w:val="auto"/>
                <w:sz w:val="21"/>
                <w:szCs w:val="21"/>
              </w:rPr>
              <w:t>100</w:t>
            </w:r>
            <w:r w:rsidR="007A1186" w:rsidRPr="00A964FF">
              <w:rPr>
                <w:rFonts w:ascii="Calibri" w:hAnsi="Calibri" w:hint="eastAsia"/>
                <w:color w:val="auto"/>
                <w:sz w:val="21"/>
                <w:szCs w:val="21"/>
              </w:rPr>
              <w:t>t/d</w:t>
            </w:r>
          </w:p>
        </w:tc>
        <w:tc>
          <w:tcPr>
            <w:tcW w:w="475" w:type="pct"/>
            <w:vAlign w:val="center"/>
          </w:tcPr>
          <w:p w14:paraId="0ED0D6CA" w14:textId="77777777" w:rsidR="00415799" w:rsidRPr="00A964FF" w:rsidRDefault="00415799" w:rsidP="007A1186">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1</w:t>
            </w:r>
            <w:r w:rsidR="007A1186" w:rsidRPr="00A964FF">
              <w:rPr>
                <w:rFonts w:ascii="Calibri" w:hAnsi="Calibri" w:hint="eastAsia"/>
                <w:color w:val="auto"/>
                <w:sz w:val="21"/>
                <w:szCs w:val="21"/>
              </w:rPr>
              <w:t>座</w:t>
            </w:r>
          </w:p>
        </w:tc>
        <w:tc>
          <w:tcPr>
            <w:tcW w:w="713" w:type="pct"/>
            <w:vAlign w:val="center"/>
          </w:tcPr>
          <w:p w14:paraId="7CCCB3A2" w14:textId="77777777" w:rsidR="00415799" w:rsidRPr="00A964FF" w:rsidRDefault="003A5258"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50</w:t>
            </w:r>
          </w:p>
        </w:tc>
        <w:tc>
          <w:tcPr>
            <w:tcW w:w="741" w:type="pct"/>
            <w:vAlign w:val="center"/>
          </w:tcPr>
          <w:p w14:paraId="54144D27" w14:textId="77777777" w:rsidR="00415799" w:rsidRPr="00A964FF" w:rsidRDefault="003A5258" w:rsidP="003E0795">
            <w:pPr>
              <w:pStyle w:val="00"/>
              <w:spacing w:line="240" w:lineRule="auto"/>
              <w:ind w:firstLine="0"/>
              <w:jc w:val="center"/>
              <w:rPr>
                <w:rFonts w:ascii="Calibri" w:hAnsi="Calibri"/>
                <w:color w:val="auto"/>
                <w:sz w:val="21"/>
                <w:szCs w:val="21"/>
              </w:rPr>
            </w:pPr>
            <w:r>
              <w:rPr>
                <w:rFonts w:ascii="Calibri" w:hAnsi="Calibri"/>
                <w:color w:val="auto"/>
                <w:sz w:val="21"/>
                <w:szCs w:val="21"/>
              </w:rPr>
              <w:t>5</w:t>
            </w:r>
          </w:p>
        </w:tc>
      </w:tr>
    </w:tbl>
    <w:p w14:paraId="2E8E150D" w14:textId="77777777" w:rsidR="003E0795" w:rsidRPr="00A964FF" w:rsidRDefault="00DE519A" w:rsidP="00DE519A">
      <w:pPr>
        <w:spacing w:line="520" w:lineRule="exact"/>
        <w:ind w:firstLine="482"/>
        <w:rPr>
          <w:rFonts w:ascii="Calibri"/>
          <w:bCs/>
          <w:color w:val="auto"/>
          <w:sz w:val="24"/>
        </w:rPr>
      </w:pPr>
      <w:r w:rsidRPr="00A964FF">
        <w:rPr>
          <w:rFonts w:ascii="Calibri" w:hint="eastAsia"/>
          <w:bCs/>
          <w:color w:val="auto"/>
          <w:sz w:val="24"/>
        </w:rPr>
        <w:lastRenderedPageBreak/>
        <w:t>本</w:t>
      </w:r>
      <w:r w:rsidR="003E0795" w:rsidRPr="00A964FF">
        <w:rPr>
          <w:rFonts w:ascii="Calibri" w:hint="eastAsia"/>
          <w:bCs/>
          <w:color w:val="auto"/>
          <w:sz w:val="24"/>
        </w:rPr>
        <w:t>项目废水</w:t>
      </w:r>
      <w:r w:rsidRPr="00A964FF">
        <w:rPr>
          <w:rFonts w:ascii="Calibri" w:hint="eastAsia"/>
          <w:bCs/>
          <w:color w:val="auto"/>
          <w:sz w:val="24"/>
        </w:rPr>
        <w:t>处理站</w:t>
      </w:r>
      <w:r w:rsidR="003E0795" w:rsidRPr="00A964FF">
        <w:rPr>
          <w:rFonts w:ascii="Calibri" w:hint="eastAsia"/>
          <w:bCs/>
          <w:color w:val="auto"/>
          <w:sz w:val="24"/>
        </w:rPr>
        <w:t>建设投资约</w:t>
      </w:r>
      <w:r w:rsidR="003A5258">
        <w:rPr>
          <w:rFonts w:ascii="Calibri"/>
          <w:bCs/>
          <w:color w:val="auto"/>
          <w:sz w:val="24"/>
        </w:rPr>
        <w:t>50</w:t>
      </w:r>
      <w:r w:rsidR="003E0795" w:rsidRPr="00A964FF">
        <w:rPr>
          <w:rFonts w:ascii="Calibri" w:hint="eastAsia"/>
          <w:bCs/>
          <w:color w:val="auto"/>
          <w:sz w:val="24"/>
        </w:rPr>
        <w:t>万元</w:t>
      </w:r>
      <w:r w:rsidRPr="00A964FF">
        <w:rPr>
          <w:rFonts w:ascii="Calibri" w:hint="eastAsia"/>
          <w:bCs/>
          <w:color w:val="auto"/>
          <w:sz w:val="24"/>
        </w:rPr>
        <w:t>，运行费用主要为治理设施的维修、折旧费、电费以及人工费等，共计</w:t>
      </w:r>
      <w:r w:rsidR="003A5258">
        <w:rPr>
          <w:rFonts w:ascii="Calibri"/>
          <w:bCs/>
          <w:color w:val="auto"/>
          <w:sz w:val="24"/>
        </w:rPr>
        <w:t>5</w:t>
      </w:r>
      <w:r w:rsidR="003E0795" w:rsidRPr="00A964FF">
        <w:rPr>
          <w:rFonts w:ascii="Calibri" w:hint="eastAsia"/>
          <w:bCs/>
          <w:color w:val="auto"/>
          <w:sz w:val="24"/>
        </w:rPr>
        <w:t>万元</w:t>
      </w:r>
      <w:r w:rsidR="003E0795" w:rsidRPr="00A964FF">
        <w:rPr>
          <w:rFonts w:ascii="Calibri" w:hint="eastAsia"/>
          <w:bCs/>
          <w:color w:val="auto"/>
          <w:sz w:val="24"/>
        </w:rPr>
        <w:t>/</w:t>
      </w:r>
      <w:r w:rsidR="003E0795" w:rsidRPr="00A964FF">
        <w:rPr>
          <w:rFonts w:ascii="Calibri" w:hint="eastAsia"/>
          <w:bCs/>
          <w:color w:val="auto"/>
          <w:sz w:val="24"/>
        </w:rPr>
        <w:t>年，企业具有良好的盈利能力，完全有能力承担该费用，废水治理措施在经济和技术上均可行。</w:t>
      </w:r>
    </w:p>
    <w:p w14:paraId="1BCA5955" w14:textId="77777777" w:rsidR="0055605A" w:rsidRPr="00A964FF" w:rsidRDefault="0055605A" w:rsidP="0055605A">
      <w:pPr>
        <w:pStyle w:val="3a"/>
      </w:pPr>
      <w:r w:rsidRPr="00A964FF">
        <w:rPr>
          <w:rFonts w:hint="eastAsia"/>
        </w:rPr>
        <w:t>5.2.3</w:t>
      </w:r>
      <w:r w:rsidRPr="00A964FF">
        <w:rPr>
          <w:rFonts w:hint="eastAsia"/>
        </w:rPr>
        <w:t>地下水环境污染的防范措施</w:t>
      </w:r>
    </w:p>
    <w:p w14:paraId="3CD1E1E7" w14:textId="77777777" w:rsidR="0055605A" w:rsidRPr="00A964FF" w:rsidRDefault="0055605A" w:rsidP="0055605A">
      <w:pPr>
        <w:pStyle w:val="00"/>
        <w:rPr>
          <w:rFonts w:ascii="Calibri"/>
          <w:b/>
          <w:color w:val="auto"/>
        </w:rPr>
      </w:pPr>
      <w:r w:rsidRPr="00A964FF">
        <w:rPr>
          <w:rFonts w:ascii="Calibri" w:hint="eastAsia"/>
          <w:b/>
          <w:color w:val="auto"/>
        </w:rPr>
        <w:t>1</w:t>
      </w:r>
      <w:r w:rsidRPr="00A964FF">
        <w:rPr>
          <w:rFonts w:ascii="Calibri" w:hint="eastAsia"/>
          <w:b/>
          <w:color w:val="auto"/>
        </w:rPr>
        <w:t>、源头上控制对地下水的污染</w:t>
      </w:r>
    </w:p>
    <w:p w14:paraId="5AD43475" w14:textId="77777777" w:rsidR="003E0795" w:rsidRPr="00A964FF" w:rsidRDefault="003E0795" w:rsidP="003E0795">
      <w:pPr>
        <w:pStyle w:val="00"/>
        <w:rPr>
          <w:rFonts w:ascii="Calibri"/>
          <w:color w:val="auto"/>
        </w:rPr>
      </w:pPr>
      <w:r w:rsidRPr="00A964FF">
        <w:rPr>
          <w:rFonts w:ascii="Calibri" w:hint="eastAsia"/>
          <w:color w:val="auto"/>
        </w:rPr>
        <w:t>为了保护地下水环境，采取措施从源头上控制对土壤及地下水的污染；从设计、管理中防止和减少污染物料的跑、冒、滴、漏而采取的各种措施，主要措施包括工艺、管道、设备、土建、给排水、总图布置等防止污染物泄漏的措施。</w:t>
      </w:r>
      <w:r w:rsidR="00DE519A" w:rsidRPr="00A964FF">
        <w:rPr>
          <w:rFonts w:ascii="Calibri" w:hint="eastAsia"/>
          <w:color w:val="auto"/>
        </w:rPr>
        <w:t>在贮存化学品和危险固废的所有区域设置防渗漏的地基并设置围堰，以确保任何物质的冒溢均能被回收，从而防止土壤和地下水污染。</w:t>
      </w:r>
      <w:r w:rsidR="00327A40" w:rsidRPr="00A964FF">
        <w:rPr>
          <w:rFonts w:ascii="Calibri" w:hint="eastAsia"/>
          <w:color w:val="auto"/>
        </w:rPr>
        <w:t>生产</w:t>
      </w:r>
      <w:r w:rsidR="00DE519A" w:rsidRPr="00A964FF">
        <w:rPr>
          <w:rFonts w:ascii="Calibri" w:hint="eastAsia"/>
          <w:color w:val="auto"/>
        </w:rPr>
        <w:t>区域的地基、地面均铺设防渗漏地基</w:t>
      </w:r>
      <w:r w:rsidR="00113FFA" w:rsidRPr="00A964FF">
        <w:rPr>
          <w:rFonts w:ascii="Calibri" w:hint="eastAsia"/>
          <w:color w:val="auto"/>
        </w:rPr>
        <w:t>，</w:t>
      </w:r>
      <w:r w:rsidR="00113FFA" w:rsidRPr="00A964FF">
        <w:rPr>
          <w:rStyle w:val="00Char"/>
          <w:rFonts w:ascii="Calibri" w:hAnsi="Calibri" w:hint="eastAsia"/>
          <w:color w:val="auto"/>
        </w:rPr>
        <w:t>严格按照《石油化工工程防渗技术规范》（</w:t>
      </w:r>
      <w:r w:rsidR="00113FFA" w:rsidRPr="00A964FF">
        <w:rPr>
          <w:rStyle w:val="00Char"/>
          <w:rFonts w:ascii="Calibri" w:hAnsi="Calibri" w:hint="eastAsia"/>
          <w:color w:val="auto"/>
        </w:rPr>
        <w:t>GB/T50934-2013</w:t>
      </w:r>
      <w:r w:rsidR="00113FFA" w:rsidRPr="00A964FF">
        <w:rPr>
          <w:rStyle w:val="00Char"/>
          <w:rFonts w:ascii="Calibri" w:hAnsi="Calibri" w:hint="eastAsia"/>
          <w:color w:val="auto"/>
        </w:rPr>
        <w:t>）进行设计和建设</w:t>
      </w:r>
      <w:r w:rsidR="00DE519A" w:rsidRPr="00A964FF">
        <w:rPr>
          <w:rFonts w:ascii="Calibri" w:hint="eastAsia"/>
          <w:color w:val="auto"/>
        </w:rPr>
        <w:t>。固废在厂内暂存期间，危险废物暂存间设置应符合《危险废物贮存污染控制标准》（</w:t>
      </w:r>
      <w:r w:rsidR="00DE519A" w:rsidRPr="00A964FF">
        <w:rPr>
          <w:rFonts w:ascii="Calibri" w:hint="eastAsia"/>
          <w:color w:val="auto"/>
        </w:rPr>
        <w:t>GB18597-2001</w:t>
      </w:r>
      <w:r w:rsidR="00DE519A" w:rsidRPr="00A964FF">
        <w:rPr>
          <w:rFonts w:ascii="Calibri" w:hint="eastAsia"/>
          <w:color w:val="auto"/>
        </w:rPr>
        <w:t>）中要求，并采用</w:t>
      </w:r>
      <w:r w:rsidR="00DE519A" w:rsidRPr="00A964FF">
        <w:rPr>
          <w:rFonts w:ascii="Calibri" w:hAnsi="Calibri" w:hint="eastAsia"/>
          <w:color w:val="auto"/>
        </w:rPr>
        <w:t>防风、防雨、防晒、防渗漏措施；</w:t>
      </w:r>
      <w:r w:rsidR="00DE519A" w:rsidRPr="00A964FF">
        <w:rPr>
          <w:rFonts w:ascii="Calibri" w:hint="eastAsia"/>
          <w:color w:val="auto"/>
        </w:rPr>
        <w:t>一般固废暂存间应采取防雨淋、防渗漏、防流失等措施，以免对地下水和土壤造成污染。</w:t>
      </w:r>
    </w:p>
    <w:p w14:paraId="19ED48AB" w14:textId="77777777" w:rsidR="003E0795" w:rsidRPr="00A964FF" w:rsidRDefault="00113FFA" w:rsidP="003E0795">
      <w:pPr>
        <w:pStyle w:val="00"/>
        <w:rPr>
          <w:rFonts w:ascii="Calibri"/>
          <w:color w:val="auto"/>
        </w:rPr>
      </w:pPr>
      <w:r w:rsidRPr="00A964FF">
        <w:rPr>
          <w:rFonts w:ascii="Calibri" w:hint="eastAsia"/>
          <w:color w:val="auto"/>
        </w:rPr>
        <w:t>本</w:t>
      </w:r>
      <w:r w:rsidR="00DE519A" w:rsidRPr="00A964FF">
        <w:rPr>
          <w:rFonts w:ascii="Calibri" w:hint="eastAsia"/>
          <w:color w:val="auto"/>
        </w:rPr>
        <w:t>项目营运</w:t>
      </w:r>
      <w:r w:rsidR="003E0795" w:rsidRPr="00A964FF">
        <w:rPr>
          <w:rFonts w:ascii="Calibri" w:hint="eastAsia"/>
          <w:color w:val="auto"/>
        </w:rPr>
        <w:t>期</w:t>
      </w:r>
      <w:r w:rsidR="00DE519A" w:rsidRPr="00A964FF">
        <w:rPr>
          <w:rFonts w:ascii="Calibri" w:hint="eastAsia"/>
          <w:color w:val="auto"/>
        </w:rPr>
        <w:t>应</w:t>
      </w:r>
      <w:r w:rsidR="003E0795" w:rsidRPr="00A964FF">
        <w:rPr>
          <w:rFonts w:ascii="Calibri" w:hint="eastAsia"/>
          <w:color w:val="auto"/>
        </w:rPr>
        <w:t>严格管理，加强巡检，及时发现污染物泄漏；一旦出现泄漏及时处理，检查检修设备，</w:t>
      </w:r>
      <w:r w:rsidR="00DE519A" w:rsidRPr="00A964FF">
        <w:rPr>
          <w:rFonts w:ascii="Calibri" w:hint="eastAsia"/>
          <w:color w:val="auto"/>
        </w:rPr>
        <w:t>将化学品、污染物泄漏的环境风险事故降到最低。</w:t>
      </w:r>
    </w:p>
    <w:p w14:paraId="3F098BA2" w14:textId="77777777" w:rsidR="0055605A" w:rsidRPr="00A964FF" w:rsidRDefault="0055605A" w:rsidP="0055605A">
      <w:pPr>
        <w:pStyle w:val="00"/>
        <w:ind w:firstLineChars="150" w:firstLine="361"/>
        <w:rPr>
          <w:rFonts w:ascii="Calibri"/>
          <w:b/>
          <w:color w:val="auto"/>
        </w:rPr>
      </w:pPr>
      <w:r w:rsidRPr="00A964FF">
        <w:rPr>
          <w:rFonts w:ascii="Calibri" w:hint="eastAsia"/>
          <w:b/>
          <w:color w:val="auto"/>
        </w:rPr>
        <w:t>2</w:t>
      </w:r>
      <w:r w:rsidRPr="00A964FF">
        <w:rPr>
          <w:rFonts w:ascii="Calibri" w:hint="eastAsia"/>
          <w:b/>
          <w:color w:val="auto"/>
        </w:rPr>
        <w:t>、分区防控措施</w:t>
      </w:r>
    </w:p>
    <w:p w14:paraId="6C3E9293" w14:textId="77777777" w:rsidR="003E0795" w:rsidRPr="00A964FF" w:rsidRDefault="003E0795" w:rsidP="003E0795">
      <w:pPr>
        <w:pStyle w:val="00"/>
        <w:rPr>
          <w:rFonts w:ascii="Calibri"/>
          <w:color w:val="auto"/>
        </w:rPr>
      </w:pPr>
      <w:r w:rsidRPr="00A964FF">
        <w:rPr>
          <w:rFonts w:ascii="Calibri" w:hint="eastAsia"/>
          <w:color w:val="auto"/>
        </w:rPr>
        <w:t>地下水污染防治措施按照“源头控制、分区防控、污染监控、应急响应”相结合的原则，对污染物的产生、漏渗、扩散、应急响应全阶段进行控制。</w:t>
      </w:r>
    </w:p>
    <w:p w14:paraId="378A119B" w14:textId="77777777" w:rsidR="003E0795" w:rsidRPr="00A964FF" w:rsidRDefault="003E0795" w:rsidP="003E0795">
      <w:pPr>
        <w:pStyle w:val="00"/>
        <w:rPr>
          <w:rFonts w:ascii="Calibri" w:hAnsi="Calibri"/>
          <w:color w:val="auto"/>
        </w:rPr>
      </w:pPr>
      <w:r w:rsidRPr="00A964FF">
        <w:rPr>
          <w:rFonts w:ascii="Calibri" w:hAnsi="Calibri"/>
          <w:color w:val="auto"/>
        </w:rPr>
        <w:t>（</w:t>
      </w:r>
      <w:r w:rsidRPr="00A964FF">
        <w:rPr>
          <w:rFonts w:ascii="Calibri" w:hAnsi="Calibri"/>
          <w:color w:val="auto"/>
        </w:rPr>
        <w:t>1</w:t>
      </w:r>
      <w:r w:rsidRPr="00A964FF">
        <w:rPr>
          <w:rFonts w:ascii="Calibri" w:hAnsi="Calibri"/>
          <w:color w:val="auto"/>
        </w:rPr>
        <w:t>）分区防控依据</w:t>
      </w:r>
    </w:p>
    <w:p w14:paraId="46D2390E" w14:textId="77777777" w:rsidR="003E0795" w:rsidRPr="00A964FF" w:rsidRDefault="003E0795" w:rsidP="003E0795">
      <w:pPr>
        <w:pStyle w:val="00"/>
        <w:rPr>
          <w:rFonts w:ascii="Calibri" w:hAnsi="Calibri"/>
          <w:color w:val="auto"/>
        </w:rPr>
      </w:pPr>
      <w:r w:rsidRPr="00A964FF">
        <w:rPr>
          <w:rFonts w:ascii="Calibri" w:hAnsi="Calibri"/>
          <w:color w:val="auto"/>
        </w:rPr>
        <w:t>根据建设项目场地天然包气带防污性能、污染控制难易程度和污染物特性，参照下表作为分区防控的依据。</w:t>
      </w:r>
    </w:p>
    <w:p w14:paraId="09E3AE73" w14:textId="77777777" w:rsidR="003E0795" w:rsidRPr="00A964FF" w:rsidRDefault="003E0795" w:rsidP="003E0795">
      <w:pPr>
        <w:pStyle w:val="00"/>
        <w:rPr>
          <w:rFonts w:ascii="Calibri" w:eastAsia="黑体" w:hAnsi="Calibri"/>
          <w:color w:val="auto"/>
        </w:rPr>
      </w:pPr>
      <w:r w:rsidRPr="00A964FF">
        <w:rPr>
          <w:rFonts w:ascii="Calibri" w:eastAsia="黑体" w:hAnsi="黑体"/>
          <w:color w:val="auto"/>
        </w:rPr>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hint="eastAsia"/>
          <w:color w:val="auto"/>
        </w:rPr>
        <w:t>-</w:t>
      </w:r>
      <w:r w:rsidR="00135AC8">
        <w:rPr>
          <w:rFonts w:ascii="Calibri" w:eastAsia="黑体" w:hAnsi="Calibri" w:hint="eastAsia"/>
          <w:color w:val="auto"/>
        </w:rPr>
        <w:t>6</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黑体"/>
          <w:color w:val="auto"/>
        </w:rPr>
        <w:t>污染控制难易程度分级参照表</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190"/>
        <w:gridCol w:w="6510"/>
      </w:tblGrid>
      <w:tr w:rsidR="003E0795" w:rsidRPr="00A964FF" w14:paraId="0616ECE0" w14:textId="77777777" w:rsidTr="003E0795">
        <w:trPr>
          <w:trHeight w:val="369"/>
        </w:trPr>
        <w:tc>
          <w:tcPr>
            <w:tcW w:w="2235" w:type="dxa"/>
            <w:vAlign w:val="center"/>
          </w:tcPr>
          <w:p w14:paraId="7EA81584"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污染控制难易程度</w:t>
            </w:r>
          </w:p>
        </w:tc>
        <w:tc>
          <w:tcPr>
            <w:tcW w:w="6662" w:type="dxa"/>
            <w:vAlign w:val="center"/>
          </w:tcPr>
          <w:p w14:paraId="114E5B72"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主要特征</w:t>
            </w:r>
          </w:p>
        </w:tc>
      </w:tr>
      <w:tr w:rsidR="003E0795" w:rsidRPr="00A964FF" w14:paraId="09AD4BD5" w14:textId="77777777" w:rsidTr="003E0795">
        <w:trPr>
          <w:trHeight w:val="369"/>
        </w:trPr>
        <w:tc>
          <w:tcPr>
            <w:tcW w:w="2235" w:type="dxa"/>
            <w:vAlign w:val="center"/>
          </w:tcPr>
          <w:p w14:paraId="3889F34A"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难</w:t>
            </w:r>
          </w:p>
        </w:tc>
        <w:tc>
          <w:tcPr>
            <w:tcW w:w="6662" w:type="dxa"/>
            <w:vAlign w:val="center"/>
          </w:tcPr>
          <w:p w14:paraId="1F473447"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对地下水环境有污染的物料或污染物泄漏后，不能及时发现和处理</w:t>
            </w:r>
          </w:p>
        </w:tc>
      </w:tr>
      <w:tr w:rsidR="003E0795" w:rsidRPr="00A964FF" w14:paraId="4B9D88C2" w14:textId="77777777" w:rsidTr="003E0795">
        <w:trPr>
          <w:trHeight w:val="369"/>
        </w:trPr>
        <w:tc>
          <w:tcPr>
            <w:tcW w:w="2235" w:type="dxa"/>
            <w:vAlign w:val="center"/>
          </w:tcPr>
          <w:p w14:paraId="5842DB28"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易</w:t>
            </w:r>
          </w:p>
        </w:tc>
        <w:tc>
          <w:tcPr>
            <w:tcW w:w="6662" w:type="dxa"/>
            <w:vAlign w:val="center"/>
          </w:tcPr>
          <w:p w14:paraId="17DE70E4"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对地下水环境有污染的物料和污染物泄漏后，可及时发现和处理</w:t>
            </w:r>
          </w:p>
        </w:tc>
      </w:tr>
    </w:tbl>
    <w:p w14:paraId="4194AEF2" w14:textId="77777777" w:rsidR="00FB4A29" w:rsidRDefault="00FB4A29" w:rsidP="003E0795">
      <w:pPr>
        <w:pStyle w:val="00"/>
        <w:rPr>
          <w:rFonts w:ascii="Calibri" w:eastAsia="黑体" w:hAnsi="黑体"/>
          <w:color w:val="auto"/>
        </w:rPr>
      </w:pPr>
    </w:p>
    <w:p w14:paraId="167B7CF2" w14:textId="6B734E6D" w:rsidR="003E0795" w:rsidRPr="00A964FF" w:rsidRDefault="003E0795" w:rsidP="003E0795">
      <w:pPr>
        <w:pStyle w:val="00"/>
        <w:rPr>
          <w:rFonts w:ascii="Calibri" w:eastAsia="黑体" w:hAnsi="Calibri"/>
          <w:color w:val="auto"/>
        </w:rPr>
      </w:pPr>
      <w:r w:rsidRPr="00A964FF">
        <w:rPr>
          <w:rFonts w:ascii="Calibri" w:eastAsia="黑体" w:hAnsi="黑体"/>
          <w:color w:val="auto"/>
        </w:rPr>
        <w:lastRenderedPageBreak/>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color w:val="auto"/>
        </w:rPr>
        <w:t>-</w:t>
      </w:r>
      <w:r w:rsidR="00135AC8">
        <w:rPr>
          <w:rFonts w:ascii="Calibri" w:eastAsia="黑体" w:hAnsi="Calibri" w:hint="eastAsia"/>
          <w:color w:val="auto"/>
        </w:rPr>
        <w:t>7</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黑体"/>
          <w:color w:val="auto"/>
        </w:rPr>
        <w:t>天然包气带防污性能分级参照表</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06"/>
        <w:gridCol w:w="7894"/>
      </w:tblGrid>
      <w:tr w:rsidR="003E0795" w:rsidRPr="00A964FF" w14:paraId="25DFC6DE" w14:textId="77777777" w:rsidTr="003E0795">
        <w:trPr>
          <w:trHeight w:val="340"/>
        </w:trPr>
        <w:tc>
          <w:tcPr>
            <w:tcW w:w="817" w:type="dxa"/>
            <w:vAlign w:val="center"/>
          </w:tcPr>
          <w:p w14:paraId="1A750E08"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分级</w:t>
            </w:r>
          </w:p>
        </w:tc>
        <w:tc>
          <w:tcPr>
            <w:tcW w:w="8080" w:type="dxa"/>
            <w:vAlign w:val="center"/>
          </w:tcPr>
          <w:p w14:paraId="17A812A3"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包气带岩土的渗透性能</w:t>
            </w:r>
          </w:p>
        </w:tc>
      </w:tr>
      <w:tr w:rsidR="003E0795" w:rsidRPr="00A964FF" w14:paraId="24DEA54D" w14:textId="77777777" w:rsidTr="003E0795">
        <w:trPr>
          <w:trHeight w:val="340"/>
        </w:trPr>
        <w:tc>
          <w:tcPr>
            <w:tcW w:w="817" w:type="dxa"/>
            <w:vAlign w:val="center"/>
          </w:tcPr>
          <w:p w14:paraId="14DCE959"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强</w:t>
            </w:r>
          </w:p>
        </w:tc>
        <w:tc>
          <w:tcPr>
            <w:tcW w:w="8080" w:type="dxa"/>
            <w:vAlign w:val="center"/>
          </w:tcPr>
          <w:p w14:paraId="79F0C5BC"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岩（土）层单层厚度</w:t>
            </w:r>
            <w:r w:rsidRPr="00A964FF">
              <w:rPr>
                <w:rFonts w:ascii="Calibri" w:hAnsi="Calibri"/>
                <w:color w:val="auto"/>
                <w:sz w:val="21"/>
                <w:szCs w:val="21"/>
              </w:rPr>
              <w:t>Mb≥1.0m</w:t>
            </w:r>
            <w:r w:rsidRPr="00A964FF">
              <w:rPr>
                <w:rFonts w:ascii="Calibri" w:hAnsi="Calibri"/>
                <w:color w:val="auto"/>
                <w:sz w:val="21"/>
                <w:szCs w:val="21"/>
              </w:rPr>
              <w:t>，渗透系数</w:t>
            </w:r>
            <w:r w:rsidRPr="00A964FF">
              <w:rPr>
                <w:rFonts w:ascii="Calibri" w:hAnsi="Calibri"/>
                <w:color w:val="auto"/>
                <w:sz w:val="21"/>
                <w:szCs w:val="21"/>
              </w:rPr>
              <w:t>K≤1×10</w:t>
            </w:r>
            <w:r w:rsidRPr="00A964FF">
              <w:rPr>
                <w:rFonts w:ascii="Calibri" w:hAnsi="Calibri"/>
                <w:color w:val="auto"/>
                <w:sz w:val="21"/>
                <w:szCs w:val="21"/>
                <w:vertAlign w:val="superscript"/>
              </w:rPr>
              <w:t>-6</w:t>
            </w:r>
            <w:r w:rsidRPr="00A964FF">
              <w:rPr>
                <w:rFonts w:ascii="Calibri" w:hAnsi="Calibri"/>
                <w:color w:val="auto"/>
                <w:sz w:val="21"/>
                <w:szCs w:val="21"/>
              </w:rPr>
              <w:t>cm/s</w:t>
            </w:r>
            <w:r w:rsidRPr="00A964FF">
              <w:rPr>
                <w:rFonts w:ascii="Calibri" w:hAnsi="Calibri"/>
                <w:color w:val="auto"/>
                <w:sz w:val="21"/>
                <w:szCs w:val="21"/>
              </w:rPr>
              <w:t>，且分布连续、稳定</w:t>
            </w:r>
          </w:p>
        </w:tc>
      </w:tr>
      <w:tr w:rsidR="003E0795" w:rsidRPr="00A964FF" w14:paraId="6B7BC816" w14:textId="77777777" w:rsidTr="003E0795">
        <w:trPr>
          <w:trHeight w:val="340"/>
        </w:trPr>
        <w:tc>
          <w:tcPr>
            <w:tcW w:w="817" w:type="dxa"/>
            <w:vAlign w:val="center"/>
          </w:tcPr>
          <w:p w14:paraId="0C7832F3"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中</w:t>
            </w:r>
          </w:p>
        </w:tc>
        <w:tc>
          <w:tcPr>
            <w:tcW w:w="8080" w:type="dxa"/>
            <w:vAlign w:val="center"/>
          </w:tcPr>
          <w:p w14:paraId="7A473BB0" w14:textId="77777777" w:rsidR="003E0795" w:rsidRPr="00A964FF" w:rsidRDefault="003E0795" w:rsidP="003E0795">
            <w:pPr>
              <w:pStyle w:val="00"/>
              <w:spacing w:line="240" w:lineRule="auto"/>
              <w:ind w:firstLine="0"/>
              <w:jc w:val="left"/>
              <w:rPr>
                <w:rFonts w:ascii="Calibri" w:hAnsi="Calibri"/>
                <w:color w:val="auto"/>
                <w:sz w:val="21"/>
                <w:szCs w:val="21"/>
              </w:rPr>
            </w:pPr>
            <w:r w:rsidRPr="00A964FF">
              <w:rPr>
                <w:rFonts w:ascii="Calibri" w:hAnsi="Calibri"/>
                <w:color w:val="auto"/>
                <w:sz w:val="21"/>
                <w:szCs w:val="21"/>
              </w:rPr>
              <w:t>岩（土）层单层厚度</w:t>
            </w:r>
            <w:r w:rsidRPr="00A964FF">
              <w:rPr>
                <w:rFonts w:ascii="Calibri" w:hAnsi="Calibri"/>
                <w:color w:val="auto"/>
                <w:sz w:val="21"/>
                <w:szCs w:val="21"/>
              </w:rPr>
              <w:t>0.5m≤Mb</w:t>
            </w:r>
            <w:r w:rsidRPr="00A964FF">
              <w:rPr>
                <w:rFonts w:ascii="Calibri" w:hAnsi="Calibri"/>
                <w:color w:val="auto"/>
                <w:sz w:val="21"/>
                <w:szCs w:val="21"/>
              </w:rPr>
              <w:t>＜</w:t>
            </w:r>
            <w:r w:rsidRPr="00A964FF">
              <w:rPr>
                <w:rFonts w:ascii="Calibri" w:hAnsi="Calibri"/>
                <w:color w:val="auto"/>
                <w:sz w:val="21"/>
                <w:szCs w:val="21"/>
              </w:rPr>
              <w:t>1.0m</w:t>
            </w:r>
            <w:r w:rsidRPr="00A964FF">
              <w:rPr>
                <w:rFonts w:ascii="Calibri" w:hAnsi="Calibri"/>
                <w:color w:val="auto"/>
                <w:sz w:val="21"/>
                <w:szCs w:val="21"/>
              </w:rPr>
              <w:t>，渗透系数</w:t>
            </w:r>
            <w:r w:rsidRPr="00A964FF">
              <w:rPr>
                <w:rFonts w:ascii="Calibri" w:hAnsi="Calibri"/>
                <w:color w:val="auto"/>
                <w:sz w:val="21"/>
                <w:szCs w:val="21"/>
              </w:rPr>
              <w:t>K≤1×10</w:t>
            </w:r>
            <w:r w:rsidRPr="00A964FF">
              <w:rPr>
                <w:rFonts w:ascii="Calibri" w:hAnsi="Calibri"/>
                <w:color w:val="auto"/>
                <w:sz w:val="21"/>
                <w:szCs w:val="21"/>
                <w:vertAlign w:val="superscript"/>
              </w:rPr>
              <w:t>-6</w:t>
            </w:r>
            <w:r w:rsidRPr="00A964FF">
              <w:rPr>
                <w:rFonts w:ascii="Calibri" w:hAnsi="Calibri"/>
                <w:color w:val="auto"/>
                <w:sz w:val="21"/>
                <w:szCs w:val="21"/>
              </w:rPr>
              <w:t>cm/s</w:t>
            </w:r>
            <w:r w:rsidRPr="00A964FF">
              <w:rPr>
                <w:rFonts w:ascii="Calibri" w:hAnsi="Calibri"/>
                <w:color w:val="auto"/>
                <w:sz w:val="21"/>
                <w:szCs w:val="21"/>
              </w:rPr>
              <w:t>，且分布连续、稳定。</w:t>
            </w:r>
          </w:p>
          <w:p w14:paraId="19C9BD9C" w14:textId="77777777" w:rsidR="003E0795" w:rsidRPr="00A964FF" w:rsidRDefault="003E0795" w:rsidP="003E0795">
            <w:pPr>
              <w:pStyle w:val="00"/>
              <w:spacing w:line="240" w:lineRule="auto"/>
              <w:ind w:firstLine="0"/>
              <w:jc w:val="left"/>
              <w:rPr>
                <w:rFonts w:ascii="Calibri" w:hAnsi="Calibri"/>
                <w:color w:val="auto"/>
                <w:sz w:val="21"/>
                <w:szCs w:val="21"/>
              </w:rPr>
            </w:pPr>
            <w:r w:rsidRPr="00A964FF">
              <w:rPr>
                <w:rFonts w:ascii="Calibri" w:hAnsi="Calibri"/>
                <w:color w:val="auto"/>
                <w:sz w:val="21"/>
                <w:szCs w:val="21"/>
              </w:rPr>
              <w:t>岩（土）层单层厚度</w:t>
            </w:r>
            <w:r w:rsidRPr="00A964FF">
              <w:rPr>
                <w:rFonts w:ascii="Calibri" w:hAnsi="Calibri"/>
                <w:color w:val="auto"/>
                <w:sz w:val="21"/>
                <w:szCs w:val="21"/>
              </w:rPr>
              <w:t>Mb≥1.0m</w:t>
            </w:r>
            <w:r w:rsidRPr="00A964FF">
              <w:rPr>
                <w:rFonts w:ascii="Calibri" w:hAnsi="Calibri"/>
                <w:color w:val="auto"/>
                <w:sz w:val="21"/>
                <w:szCs w:val="21"/>
              </w:rPr>
              <w:t>，渗透系数</w:t>
            </w:r>
            <w:r w:rsidRPr="00A964FF">
              <w:rPr>
                <w:rFonts w:ascii="Calibri" w:hAnsi="Calibri"/>
                <w:color w:val="auto"/>
                <w:sz w:val="21"/>
                <w:szCs w:val="21"/>
              </w:rPr>
              <w:t>1×10</w:t>
            </w:r>
            <w:r w:rsidRPr="00A964FF">
              <w:rPr>
                <w:rFonts w:ascii="Calibri" w:hAnsi="Calibri"/>
                <w:color w:val="auto"/>
                <w:sz w:val="21"/>
                <w:szCs w:val="21"/>
                <w:vertAlign w:val="superscript"/>
              </w:rPr>
              <w:t>-6</w:t>
            </w:r>
            <w:r w:rsidRPr="00A964FF">
              <w:rPr>
                <w:rFonts w:ascii="Calibri" w:hAnsi="Calibri"/>
                <w:color w:val="auto"/>
                <w:sz w:val="21"/>
                <w:szCs w:val="21"/>
              </w:rPr>
              <w:t>cm/s</w:t>
            </w:r>
            <w:r w:rsidRPr="00A964FF">
              <w:rPr>
                <w:rFonts w:ascii="Calibri" w:hAnsi="Calibri"/>
                <w:color w:val="auto"/>
                <w:sz w:val="21"/>
                <w:szCs w:val="21"/>
              </w:rPr>
              <w:t>＜</w:t>
            </w:r>
            <w:r w:rsidRPr="00A964FF">
              <w:rPr>
                <w:rFonts w:ascii="Calibri" w:hAnsi="Calibri"/>
                <w:color w:val="auto"/>
                <w:sz w:val="21"/>
                <w:szCs w:val="21"/>
              </w:rPr>
              <w:t>K≤1×10</w:t>
            </w:r>
            <w:r w:rsidRPr="00A964FF">
              <w:rPr>
                <w:rFonts w:ascii="Calibri" w:hAnsi="Calibri"/>
                <w:color w:val="auto"/>
                <w:sz w:val="21"/>
                <w:szCs w:val="21"/>
                <w:vertAlign w:val="superscript"/>
              </w:rPr>
              <w:t>-4</w:t>
            </w:r>
            <w:r w:rsidRPr="00A964FF">
              <w:rPr>
                <w:rFonts w:ascii="Calibri" w:hAnsi="Calibri"/>
                <w:color w:val="auto"/>
                <w:sz w:val="21"/>
                <w:szCs w:val="21"/>
              </w:rPr>
              <w:t>cm/s</w:t>
            </w:r>
            <w:r w:rsidRPr="00A964FF">
              <w:rPr>
                <w:rFonts w:ascii="Calibri" w:hAnsi="Calibri"/>
                <w:color w:val="auto"/>
                <w:sz w:val="21"/>
                <w:szCs w:val="21"/>
              </w:rPr>
              <w:t>，且分布连续、稳定</w:t>
            </w:r>
          </w:p>
        </w:tc>
      </w:tr>
      <w:tr w:rsidR="003E0795" w:rsidRPr="00A964FF" w14:paraId="2B355AF3" w14:textId="77777777" w:rsidTr="003E0795">
        <w:trPr>
          <w:trHeight w:val="340"/>
        </w:trPr>
        <w:tc>
          <w:tcPr>
            <w:tcW w:w="817" w:type="dxa"/>
            <w:vAlign w:val="center"/>
          </w:tcPr>
          <w:p w14:paraId="06B7D999" w14:textId="77777777" w:rsidR="003E0795" w:rsidRPr="00A964FF" w:rsidRDefault="003E0795" w:rsidP="003E0795">
            <w:pPr>
              <w:pStyle w:val="00"/>
              <w:spacing w:line="240" w:lineRule="auto"/>
              <w:ind w:firstLine="0"/>
              <w:jc w:val="center"/>
              <w:rPr>
                <w:rFonts w:ascii="Calibri" w:hAnsi="Calibri"/>
                <w:color w:val="auto"/>
                <w:sz w:val="21"/>
                <w:szCs w:val="21"/>
              </w:rPr>
            </w:pPr>
            <w:r w:rsidRPr="00A964FF">
              <w:rPr>
                <w:rFonts w:ascii="Calibri" w:hAnsi="Calibri"/>
                <w:color w:val="auto"/>
                <w:sz w:val="21"/>
                <w:szCs w:val="21"/>
              </w:rPr>
              <w:t>弱</w:t>
            </w:r>
          </w:p>
        </w:tc>
        <w:tc>
          <w:tcPr>
            <w:tcW w:w="8080" w:type="dxa"/>
            <w:vAlign w:val="center"/>
          </w:tcPr>
          <w:p w14:paraId="562381BF" w14:textId="77777777" w:rsidR="003E0795" w:rsidRPr="00A964FF" w:rsidRDefault="003E0795" w:rsidP="003E0795">
            <w:pPr>
              <w:pStyle w:val="00"/>
              <w:spacing w:line="240" w:lineRule="auto"/>
              <w:ind w:firstLine="0"/>
              <w:rPr>
                <w:rFonts w:ascii="Calibri" w:hAnsi="Calibri"/>
                <w:color w:val="auto"/>
                <w:sz w:val="21"/>
                <w:szCs w:val="21"/>
              </w:rPr>
            </w:pPr>
            <w:r w:rsidRPr="00A964FF">
              <w:rPr>
                <w:rFonts w:ascii="Calibri" w:hAnsi="Calibri"/>
                <w:color w:val="auto"/>
                <w:sz w:val="21"/>
                <w:szCs w:val="21"/>
              </w:rPr>
              <w:t>岩（土）层不满足</w:t>
            </w:r>
            <w:r w:rsidRPr="00A964FF">
              <w:rPr>
                <w:rFonts w:ascii="宋体"/>
                <w:color w:val="auto"/>
                <w:sz w:val="21"/>
                <w:szCs w:val="21"/>
              </w:rPr>
              <w:t>上述“强”和“中”条件</w:t>
            </w:r>
          </w:p>
        </w:tc>
      </w:tr>
    </w:tbl>
    <w:p w14:paraId="38EED898" w14:textId="77777777" w:rsidR="003E0795" w:rsidRPr="00A964FF" w:rsidRDefault="003E0795" w:rsidP="003E0795">
      <w:pPr>
        <w:pStyle w:val="00"/>
        <w:rPr>
          <w:rFonts w:ascii="Calibri" w:eastAsia="黑体" w:hAnsi="Calibri"/>
          <w:color w:val="auto"/>
        </w:rPr>
      </w:pPr>
      <w:r w:rsidRPr="00A964FF">
        <w:rPr>
          <w:rFonts w:ascii="Calibri" w:eastAsia="黑体" w:hAnsi="黑体"/>
          <w:color w:val="auto"/>
        </w:rPr>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color w:val="auto"/>
        </w:rPr>
        <w:t>-</w:t>
      </w:r>
      <w:r w:rsidR="00135AC8">
        <w:rPr>
          <w:rFonts w:ascii="Calibri" w:eastAsia="黑体" w:hAnsi="Calibri" w:hint="eastAsia"/>
          <w:color w:val="auto"/>
        </w:rPr>
        <w:t>8</w:t>
      </w:r>
      <w:r w:rsidR="00113FFA" w:rsidRPr="00A964FF">
        <w:rPr>
          <w:rFonts w:ascii="Calibri" w:eastAsia="黑体" w:hAnsi="Calibri"/>
          <w:color w:val="auto"/>
        </w:rPr>
        <w:t xml:space="preserve">             </w:t>
      </w:r>
      <w:r w:rsidRPr="00A964FF">
        <w:rPr>
          <w:rFonts w:ascii="Calibri" w:eastAsia="黑体" w:hAnsi="Calibri"/>
          <w:color w:val="auto"/>
        </w:rPr>
        <w:t xml:space="preserve">   </w:t>
      </w:r>
      <w:r w:rsidRPr="00A964FF">
        <w:rPr>
          <w:rFonts w:ascii="Calibri" w:eastAsia="黑体" w:hAnsi="黑体"/>
          <w:color w:val="auto"/>
        </w:rPr>
        <w:t>地下水污染防渗分区参照表</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663"/>
        <w:gridCol w:w="1663"/>
        <w:gridCol w:w="1664"/>
        <w:gridCol w:w="1671"/>
        <w:gridCol w:w="2039"/>
      </w:tblGrid>
      <w:tr w:rsidR="003E0795" w:rsidRPr="00A964FF" w14:paraId="1754881A" w14:textId="77777777" w:rsidTr="003E0795">
        <w:trPr>
          <w:trHeight w:val="340"/>
        </w:trPr>
        <w:tc>
          <w:tcPr>
            <w:tcW w:w="1705" w:type="dxa"/>
            <w:vAlign w:val="center"/>
          </w:tcPr>
          <w:p w14:paraId="3DF82186"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防渗分区</w:t>
            </w:r>
          </w:p>
        </w:tc>
        <w:tc>
          <w:tcPr>
            <w:tcW w:w="1705" w:type="dxa"/>
            <w:vAlign w:val="center"/>
          </w:tcPr>
          <w:p w14:paraId="732AF781"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天然包气带防污性能</w:t>
            </w:r>
          </w:p>
        </w:tc>
        <w:tc>
          <w:tcPr>
            <w:tcW w:w="1706" w:type="dxa"/>
            <w:vAlign w:val="center"/>
          </w:tcPr>
          <w:p w14:paraId="52660A4C"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污染控制难易程度</w:t>
            </w:r>
          </w:p>
        </w:tc>
        <w:tc>
          <w:tcPr>
            <w:tcW w:w="1706" w:type="dxa"/>
            <w:vAlign w:val="center"/>
          </w:tcPr>
          <w:p w14:paraId="2FA5D7F5"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污染物类型</w:t>
            </w:r>
          </w:p>
        </w:tc>
        <w:tc>
          <w:tcPr>
            <w:tcW w:w="2075" w:type="dxa"/>
            <w:vAlign w:val="center"/>
          </w:tcPr>
          <w:p w14:paraId="085A9D63"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防渗技术要求</w:t>
            </w:r>
          </w:p>
        </w:tc>
      </w:tr>
      <w:tr w:rsidR="003E0795" w:rsidRPr="00A964FF" w14:paraId="71968FF7" w14:textId="77777777" w:rsidTr="003E0795">
        <w:trPr>
          <w:trHeight w:val="340"/>
        </w:trPr>
        <w:tc>
          <w:tcPr>
            <w:tcW w:w="1705" w:type="dxa"/>
            <w:vMerge w:val="restart"/>
            <w:vAlign w:val="center"/>
          </w:tcPr>
          <w:p w14:paraId="20F61C92"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重点防渗区</w:t>
            </w:r>
          </w:p>
        </w:tc>
        <w:tc>
          <w:tcPr>
            <w:tcW w:w="1705" w:type="dxa"/>
            <w:vAlign w:val="center"/>
          </w:tcPr>
          <w:p w14:paraId="1CB2DFB0"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弱</w:t>
            </w:r>
          </w:p>
        </w:tc>
        <w:tc>
          <w:tcPr>
            <w:tcW w:w="1706" w:type="dxa"/>
            <w:vAlign w:val="center"/>
          </w:tcPr>
          <w:p w14:paraId="153C23D4"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难</w:t>
            </w:r>
          </w:p>
        </w:tc>
        <w:tc>
          <w:tcPr>
            <w:tcW w:w="1706" w:type="dxa"/>
            <w:vMerge w:val="restart"/>
            <w:vAlign w:val="center"/>
          </w:tcPr>
          <w:p w14:paraId="3F373B08"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重金属、持久性有机污染物</w:t>
            </w:r>
          </w:p>
        </w:tc>
        <w:tc>
          <w:tcPr>
            <w:tcW w:w="2075" w:type="dxa"/>
            <w:vMerge w:val="restart"/>
            <w:vAlign w:val="center"/>
          </w:tcPr>
          <w:p w14:paraId="44E07287"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等效黏土防渗层</w:t>
            </w:r>
            <w:r w:rsidRPr="00A964FF">
              <w:rPr>
                <w:rFonts w:ascii="Calibri" w:hint="eastAsia"/>
                <w:color w:val="auto"/>
                <w:sz w:val="21"/>
                <w:szCs w:val="21"/>
              </w:rPr>
              <w:t>Mb</w:t>
            </w:r>
            <w:r w:rsidRPr="00A964FF">
              <w:rPr>
                <w:rFonts w:ascii="Calibri" w:hint="eastAsia"/>
                <w:color w:val="auto"/>
                <w:sz w:val="21"/>
                <w:szCs w:val="21"/>
              </w:rPr>
              <w:t>≥</w:t>
            </w:r>
            <w:r w:rsidRPr="00A964FF">
              <w:rPr>
                <w:rFonts w:ascii="Calibri" w:hint="eastAsia"/>
                <w:color w:val="auto"/>
                <w:sz w:val="21"/>
                <w:szCs w:val="21"/>
              </w:rPr>
              <w:t>6m</w:t>
            </w:r>
            <w:r w:rsidRPr="00A964FF">
              <w:rPr>
                <w:rFonts w:ascii="Calibri" w:hint="eastAsia"/>
                <w:color w:val="auto"/>
                <w:sz w:val="21"/>
                <w:szCs w:val="21"/>
              </w:rPr>
              <w:t>，</w:t>
            </w:r>
            <w:r w:rsidRPr="00A964FF">
              <w:rPr>
                <w:rFonts w:ascii="Calibri" w:hint="eastAsia"/>
                <w:color w:val="auto"/>
                <w:sz w:val="21"/>
                <w:szCs w:val="21"/>
              </w:rPr>
              <w:t>K</w:t>
            </w:r>
            <w:r w:rsidRPr="00A964FF">
              <w:rPr>
                <w:rFonts w:ascii="Calibri" w:hint="eastAsia"/>
                <w:color w:val="auto"/>
                <w:sz w:val="21"/>
                <w:szCs w:val="21"/>
              </w:rPr>
              <w:t>≤</w:t>
            </w:r>
            <w:r w:rsidRPr="00A964FF">
              <w:rPr>
                <w:rFonts w:ascii="Calibri" w:hint="eastAsia"/>
                <w:color w:val="auto"/>
                <w:sz w:val="21"/>
                <w:szCs w:val="21"/>
              </w:rPr>
              <w:t>1</w:t>
            </w:r>
            <w:r w:rsidRPr="00A964FF">
              <w:rPr>
                <w:rFonts w:ascii="Calibri" w:hint="eastAsia"/>
                <w:color w:val="auto"/>
                <w:sz w:val="21"/>
                <w:szCs w:val="21"/>
              </w:rPr>
              <w:t>×</w:t>
            </w:r>
            <w:r w:rsidRPr="00A964FF">
              <w:rPr>
                <w:rFonts w:ascii="Calibri" w:hint="eastAsia"/>
                <w:color w:val="auto"/>
                <w:sz w:val="21"/>
                <w:szCs w:val="21"/>
              </w:rPr>
              <w:t>10</w:t>
            </w:r>
            <w:r w:rsidRPr="00A964FF">
              <w:rPr>
                <w:rFonts w:ascii="Calibri" w:hint="eastAsia"/>
                <w:color w:val="auto"/>
                <w:sz w:val="21"/>
                <w:szCs w:val="21"/>
                <w:vertAlign w:val="superscript"/>
              </w:rPr>
              <w:t>-7</w:t>
            </w:r>
            <w:r w:rsidR="00E33465" w:rsidRPr="00A964FF">
              <w:rPr>
                <w:rFonts w:ascii="Calibri" w:hint="eastAsia"/>
                <w:color w:val="auto"/>
                <w:sz w:val="21"/>
                <w:szCs w:val="21"/>
              </w:rPr>
              <w:t>cm/s</w:t>
            </w:r>
            <w:r w:rsidRPr="00A964FF">
              <w:rPr>
                <w:rFonts w:ascii="Calibri" w:hint="eastAsia"/>
                <w:color w:val="auto"/>
                <w:sz w:val="21"/>
                <w:szCs w:val="21"/>
              </w:rPr>
              <w:t>；或参照</w:t>
            </w:r>
            <w:r w:rsidRPr="00A964FF">
              <w:rPr>
                <w:rFonts w:ascii="Calibri" w:hint="eastAsia"/>
                <w:color w:val="auto"/>
                <w:sz w:val="21"/>
                <w:szCs w:val="21"/>
              </w:rPr>
              <w:t>GB18598</w:t>
            </w:r>
            <w:r w:rsidRPr="00A964FF">
              <w:rPr>
                <w:rFonts w:ascii="Calibri" w:hint="eastAsia"/>
                <w:color w:val="auto"/>
                <w:sz w:val="21"/>
                <w:szCs w:val="21"/>
              </w:rPr>
              <w:t>执行</w:t>
            </w:r>
          </w:p>
        </w:tc>
      </w:tr>
      <w:tr w:rsidR="003E0795" w:rsidRPr="00A964FF" w14:paraId="1650B20E" w14:textId="77777777" w:rsidTr="003E0795">
        <w:trPr>
          <w:trHeight w:val="340"/>
        </w:trPr>
        <w:tc>
          <w:tcPr>
            <w:tcW w:w="1705" w:type="dxa"/>
            <w:vMerge/>
            <w:vAlign w:val="center"/>
          </w:tcPr>
          <w:p w14:paraId="381DD84A" w14:textId="77777777" w:rsidR="003E0795" w:rsidRPr="00A964FF" w:rsidRDefault="003E0795" w:rsidP="003E0795">
            <w:pPr>
              <w:pStyle w:val="00"/>
              <w:spacing w:line="240" w:lineRule="auto"/>
              <w:ind w:firstLine="0"/>
              <w:jc w:val="center"/>
              <w:rPr>
                <w:rFonts w:ascii="Calibri"/>
                <w:color w:val="auto"/>
                <w:sz w:val="21"/>
                <w:szCs w:val="21"/>
              </w:rPr>
            </w:pPr>
          </w:p>
        </w:tc>
        <w:tc>
          <w:tcPr>
            <w:tcW w:w="1705" w:type="dxa"/>
            <w:vAlign w:val="center"/>
          </w:tcPr>
          <w:p w14:paraId="6BFF558A"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中—强</w:t>
            </w:r>
          </w:p>
        </w:tc>
        <w:tc>
          <w:tcPr>
            <w:tcW w:w="1706" w:type="dxa"/>
            <w:vAlign w:val="center"/>
          </w:tcPr>
          <w:p w14:paraId="3D8173FD"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难</w:t>
            </w:r>
          </w:p>
        </w:tc>
        <w:tc>
          <w:tcPr>
            <w:tcW w:w="1706" w:type="dxa"/>
            <w:vMerge/>
            <w:vAlign w:val="center"/>
          </w:tcPr>
          <w:p w14:paraId="2A4B7745" w14:textId="77777777" w:rsidR="003E0795" w:rsidRPr="00A964FF" w:rsidRDefault="003E0795" w:rsidP="003E0795">
            <w:pPr>
              <w:pStyle w:val="00"/>
              <w:spacing w:line="240" w:lineRule="auto"/>
              <w:ind w:firstLine="0"/>
              <w:jc w:val="center"/>
              <w:rPr>
                <w:rFonts w:ascii="Calibri"/>
                <w:color w:val="auto"/>
                <w:sz w:val="21"/>
                <w:szCs w:val="21"/>
              </w:rPr>
            </w:pPr>
          </w:p>
        </w:tc>
        <w:tc>
          <w:tcPr>
            <w:tcW w:w="2075" w:type="dxa"/>
            <w:vMerge/>
            <w:vAlign w:val="center"/>
          </w:tcPr>
          <w:p w14:paraId="2C2B5B0C" w14:textId="77777777" w:rsidR="003E0795" w:rsidRPr="00A964FF" w:rsidRDefault="003E0795" w:rsidP="003E0795">
            <w:pPr>
              <w:pStyle w:val="00"/>
              <w:spacing w:line="240" w:lineRule="auto"/>
              <w:ind w:firstLine="0"/>
              <w:jc w:val="center"/>
              <w:rPr>
                <w:rFonts w:ascii="Calibri"/>
                <w:color w:val="auto"/>
                <w:sz w:val="21"/>
                <w:szCs w:val="21"/>
              </w:rPr>
            </w:pPr>
          </w:p>
        </w:tc>
      </w:tr>
      <w:tr w:rsidR="003E0795" w:rsidRPr="00A964FF" w14:paraId="0305A3BE" w14:textId="77777777" w:rsidTr="003E0795">
        <w:trPr>
          <w:trHeight w:val="340"/>
        </w:trPr>
        <w:tc>
          <w:tcPr>
            <w:tcW w:w="1705" w:type="dxa"/>
            <w:vMerge/>
            <w:vAlign w:val="center"/>
          </w:tcPr>
          <w:p w14:paraId="30CB7CA2" w14:textId="77777777" w:rsidR="003E0795" w:rsidRPr="00A964FF" w:rsidRDefault="003E0795" w:rsidP="003E0795">
            <w:pPr>
              <w:pStyle w:val="00"/>
              <w:spacing w:line="240" w:lineRule="auto"/>
              <w:ind w:firstLine="0"/>
              <w:jc w:val="center"/>
              <w:rPr>
                <w:rFonts w:ascii="Calibri"/>
                <w:color w:val="auto"/>
                <w:sz w:val="21"/>
                <w:szCs w:val="21"/>
              </w:rPr>
            </w:pPr>
          </w:p>
        </w:tc>
        <w:tc>
          <w:tcPr>
            <w:tcW w:w="1705" w:type="dxa"/>
            <w:vAlign w:val="center"/>
          </w:tcPr>
          <w:p w14:paraId="09791983"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弱</w:t>
            </w:r>
          </w:p>
        </w:tc>
        <w:tc>
          <w:tcPr>
            <w:tcW w:w="1706" w:type="dxa"/>
            <w:vAlign w:val="center"/>
          </w:tcPr>
          <w:p w14:paraId="05D47515"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易</w:t>
            </w:r>
          </w:p>
        </w:tc>
        <w:tc>
          <w:tcPr>
            <w:tcW w:w="1706" w:type="dxa"/>
            <w:vMerge/>
            <w:vAlign w:val="center"/>
          </w:tcPr>
          <w:p w14:paraId="429C6CD6" w14:textId="77777777" w:rsidR="003E0795" w:rsidRPr="00A964FF" w:rsidRDefault="003E0795" w:rsidP="003E0795">
            <w:pPr>
              <w:pStyle w:val="00"/>
              <w:spacing w:line="240" w:lineRule="auto"/>
              <w:ind w:firstLine="0"/>
              <w:jc w:val="center"/>
              <w:rPr>
                <w:rFonts w:ascii="Calibri"/>
                <w:color w:val="auto"/>
                <w:sz w:val="21"/>
                <w:szCs w:val="21"/>
              </w:rPr>
            </w:pPr>
          </w:p>
        </w:tc>
        <w:tc>
          <w:tcPr>
            <w:tcW w:w="2075" w:type="dxa"/>
            <w:vMerge/>
            <w:vAlign w:val="center"/>
          </w:tcPr>
          <w:p w14:paraId="06082F27" w14:textId="77777777" w:rsidR="003E0795" w:rsidRPr="00A964FF" w:rsidRDefault="003E0795" w:rsidP="003E0795">
            <w:pPr>
              <w:pStyle w:val="00"/>
              <w:spacing w:line="240" w:lineRule="auto"/>
              <w:ind w:firstLine="0"/>
              <w:jc w:val="center"/>
              <w:rPr>
                <w:rFonts w:ascii="Calibri"/>
                <w:color w:val="auto"/>
                <w:sz w:val="21"/>
                <w:szCs w:val="21"/>
              </w:rPr>
            </w:pPr>
          </w:p>
        </w:tc>
      </w:tr>
      <w:tr w:rsidR="003E0795" w:rsidRPr="00A964FF" w14:paraId="1C41DD61" w14:textId="77777777" w:rsidTr="003E0795">
        <w:trPr>
          <w:trHeight w:val="340"/>
        </w:trPr>
        <w:tc>
          <w:tcPr>
            <w:tcW w:w="1705" w:type="dxa"/>
            <w:vMerge w:val="restart"/>
            <w:vAlign w:val="center"/>
          </w:tcPr>
          <w:p w14:paraId="0A6768D3"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一般防渗区</w:t>
            </w:r>
          </w:p>
        </w:tc>
        <w:tc>
          <w:tcPr>
            <w:tcW w:w="1705" w:type="dxa"/>
            <w:vAlign w:val="center"/>
          </w:tcPr>
          <w:p w14:paraId="3C2D0DFE"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弱</w:t>
            </w:r>
          </w:p>
        </w:tc>
        <w:tc>
          <w:tcPr>
            <w:tcW w:w="1706" w:type="dxa"/>
            <w:vAlign w:val="center"/>
          </w:tcPr>
          <w:p w14:paraId="277EA19B"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易—难</w:t>
            </w:r>
          </w:p>
        </w:tc>
        <w:tc>
          <w:tcPr>
            <w:tcW w:w="1706" w:type="dxa"/>
            <w:vMerge w:val="restart"/>
            <w:vAlign w:val="center"/>
          </w:tcPr>
          <w:p w14:paraId="400A87C8"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其他类型</w:t>
            </w:r>
          </w:p>
        </w:tc>
        <w:tc>
          <w:tcPr>
            <w:tcW w:w="2075" w:type="dxa"/>
            <w:vMerge w:val="restart"/>
            <w:vAlign w:val="center"/>
          </w:tcPr>
          <w:p w14:paraId="6F07E0A4"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等效黏土防渗层</w:t>
            </w:r>
            <w:r w:rsidRPr="00A964FF">
              <w:rPr>
                <w:rFonts w:ascii="Calibri" w:hint="eastAsia"/>
                <w:color w:val="auto"/>
                <w:sz w:val="21"/>
                <w:szCs w:val="21"/>
              </w:rPr>
              <w:t>Mb</w:t>
            </w:r>
            <w:r w:rsidRPr="00A964FF">
              <w:rPr>
                <w:rFonts w:ascii="Calibri" w:hint="eastAsia"/>
                <w:color w:val="auto"/>
                <w:sz w:val="21"/>
                <w:szCs w:val="21"/>
              </w:rPr>
              <w:t>≥</w:t>
            </w:r>
            <w:r w:rsidRPr="00A964FF">
              <w:rPr>
                <w:rFonts w:ascii="Calibri" w:hint="eastAsia"/>
                <w:color w:val="auto"/>
                <w:sz w:val="21"/>
                <w:szCs w:val="21"/>
              </w:rPr>
              <w:t>1.5m</w:t>
            </w:r>
            <w:r w:rsidRPr="00A964FF">
              <w:rPr>
                <w:rFonts w:ascii="Calibri" w:hint="eastAsia"/>
                <w:color w:val="auto"/>
                <w:sz w:val="21"/>
                <w:szCs w:val="21"/>
              </w:rPr>
              <w:t>，</w:t>
            </w:r>
            <w:r w:rsidRPr="00A964FF">
              <w:rPr>
                <w:rFonts w:ascii="Calibri" w:hint="eastAsia"/>
                <w:color w:val="auto"/>
                <w:sz w:val="21"/>
                <w:szCs w:val="21"/>
              </w:rPr>
              <w:t>K</w:t>
            </w:r>
            <w:r w:rsidRPr="00A964FF">
              <w:rPr>
                <w:rFonts w:ascii="Calibri" w:hint="eastAsia"/>
                <w:color w:val="auto"/>
                <w:sz w:val="21"/>
                <w:szCs w:val="21"/>
              </w:rPr>
              <w:t>≤</w:t>
            </w:r>
            <w:r w:rsidRPr="00A964FF">
              <w:rPr>
                <w:rFonts w:ascii="Calibri" w:hint="eastAsia"/>
                <w:color w:val="auto"/>
                <w:sz w:val="21"/>
                <w:szCs w:val="21"/>
              </w:rPr>
              <w:t>1</w:t>
            </w:r>
            <w:r w:rsidRPr="00A964FF">
              <w:rPr>
                <w:rFonts w:ascii="Calibri" w:hint="eastAsia"/>
                <w:color w:val="auto"/>
                <w:sz w:val="21"/>
                <w:szCs w:val="21"/>
              </w:rPr>
              <w:t>×</w:t>
            </w:r>
            <w:r w:rsidRPr="00A964FF">
              <w:rPr>
                <w:rFonts w:ascii="Calibri" w:hint="eastAsia"/>
                <w:color w:val="auto"/>
                <w:sz w:val="21"/>
                <w:szCs w:val="21"/>
              </w:rPr>
              <w:t>10</w:t>
            </w:r>
            <w:r w:rsidRPr="00A964FF">
              <w:rPr>
                <w:rFonts w:ascii="Calibri" w:hint="eastAsia"/>
                <w:color w:val="auto"/>
                <w:sz w:val="21"/>
                <w:szCs w:val="21"/>
                <w:vertAlign w:val="superscript"/>
              </w:rPr>
              <w:t>-7</w:t>
            </w:r>
            <w:r w:rsidR="00E33465" w:rsidRPr="00A964FF">
              <w:rPr>
                <w:rFonts w:ascii="Calibri" w:hint="eastAsia"/>
                <w:color w:val="auto"/>
                <w:sz w:val="21"/>
                <w:szCs w:val="21"/>
              </w:rPr>
              <w:t>cm/s</w:t>
            </w:r>
            <w:r w:rsidRPr="00A964FF">
              <w:rPr>
                <w:rFonts w:ascii="Calibri" w:hint="eastAsia"/>
                <w:color w:val="auto"/>
                <w:sz w:val="21"/>
                <w:szCs w:val="21"/>
              </w:rPr>
              <w:t>；或参照</w:t>
            </w:r>
            <w:r w:rsidRPr="00A964FF">
              <w:rPr>
                <w:rFonts w:ascii="Calibri" w:hint="eastAsia"/>
                <w:color w:val="auto"/>
                <w:sz w:val="21"/>
                <w:szCs w:val="21"/>
              </w:rPr>
              <w:t>GB16889</w:t>
            </w:r>
            <w:r w:rsidRPr="00A964FF">
              <w:rPr>
                <w:rFonts w:ascii="Calibri" w:hint="eastAsia"/>
                <w:color w:val="auto"/>
                <w:sz w:val="21"/>
                <w:szCs w:val="21"/>
              </w:rPr>
              <w:t>执行</w:t>
            </w:r>
          </w:p>
        </w:tc>
      </w:tr>
      <w:tr w:rsidR="003E0795" w:rsidRPr="00A964FF" w14:paraId="4A01E898" w14:textId="77777777" w:rsidTr="003E0795">
        <w:trPr>
          <w:trHeight w:val="340"/>
        </w:trPr>
        <w:tc>
          <w:tcPr>
            <w:tcW w:w="1705" w:type="dxa"/>
            <w:vMerge/>
            <w:vAlign w:val="center"/>
          </w:tcPr>
          <w:p w14:paraId="25D69800" w14:textId="77777777" w:rsidR="003E0795" w:rsidRPr="00A964FF" w:rsidRDefault="003E0795" w:rsidP="003E0795">
            <w:pPr>
              <w:pStyle w:val="00"/>
              <w:spacing w:line="240" w:lineRule="auto"/>
              <w:ind w:firstLine="0"/>
              <w:jc w:val="center"/>
              <w:rPr>
                <w:rFonts w:ascii="Calibri"/>
                <w:color w:val="auto"/>
                <w:sz w:val="21"/>
                <w:szCs w:val="21"/>
              </w:rPr>
            </w:pPr>
          </w:p>
        </w:tc>
        <w:tc>
          <w:tcPr>
            <w:tcW w:w="1705" w:type="dxa"/>
            <w:vAlign w:val="center"/>
          </w:tcPr>
          <w:p w14:paraId="3491EF99"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中—强</w:t>
            </w:r>
          </w:p>
        </w:tc>
        <w:tc>
          <w:tcPr>
            <w:tcW w:w="1706" w:type="dxa"/>
            <w:vAlign w:val="center"/>
          </w:tcPr>
          <w:p w14:paraId="5DA191E1"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难</w:t>
            </w:r>
          </w:p>
        </w:tc>
        <w:tc>
          <w:tcPr>
            <w:tcW w:w="1706" w:type="dxa"/>
            <w:vMerge/>
            <w:vAlign w:val="center"/>
          </w:tcPr>
          <w:p w14:paraId="1A6641A7" w14:textId="77777777" w:rsidR="003E0795" w:rsidRPr="00A964FF" w:rsidRDefault="003E0795" w:rsidP="003E0795">
            <w:pPr>
              <w:pStyle w:val="00"/>
              <w:spacing w:line="240" w:lineRule="auto"/>
              <w:ind w:firstLine="0"/>
              <w:jc w:val="center"/>
              <w:rPr>
                <w:rFonts w:ascii="Calibri"/>
                <w:color w:val="auto"/>
                <w:sz w:val="21"/>
                <w:szCs w:val="21"/>
              </w:rPr>
            </w:pPr>
          </w:p>
        </w:tc>
        <w:tc>
          <w:tcPr>
            <w:tcW w:w="2075" w:type="dxa"/>
            <w:vMerge/>
            <w:vAlign w:val="center"/>
          </w:tcPr>
          <w:p w14:paraId="5FF16022" w14:textId="77777777" w:rsidR="003E0795" w:rsidRPr="00A964FF" w:rsidRDefault="003E0795" w:rsidP="003E0795">
            <w:pPr>
              <w:pStyle w:val="00"/>
              <w:spacing w:line="240" w:lineRule="auto"/>
              <w:ind w:firstLine="0"/>
              <w:jc w:val="center"/>
              <w:rPr>
                <w:rFonts w:ascii="Calibri"/>
                <w:color w:val="auto"/>
                <w:sz w:val="21"/>
                <w:szCs w:val="21"/>
              </w:rPr>
            </w:pPr>
          </w:p>
        </w:tc>
      </w:tr>
      <w:tr w:rsidR="003E0795" w:rsidRPr="00A964FF" w14:paraId="6179CD49" w14:textId="77777777" w:rsidTr="003E0795">
        <w:trPr>
          <w:trHeight w:val="340"/>
        </w:trPr>
        <w:tc>
          <w:tcPr>
            <w:tcW w:w="1705" w:type="dxa"/>
            <w:vMerge/>
            <w:vAlign w:val="center"/>
          </w:tcPr>
          <w:p w14:paraId="4644ECCE" w14:textId="77777777" w:rsidR="003E0795" w:rsidRPr="00A964FF" w:rsidRDefault="003E0795" w:rsidP="003E0795">
            <w:pPr>
              <w:pStyle w:val="00"/>
              <w:spacing w:line="240" w:lineRule="auto"/>
              <w:ind w:firstLine="0"/>
              <w:jc w:val="center"/>
              <w:rPr>
                <w:rFonts w:ascii="Calibri"/>
                <w:color w:val="auto"/>
                <w:sz w:val="21"/>
                <w:szCs w:val="21"/>
              </w:rPr>
            </w:pPr>
          </w:p>
        </w:tc>
        <w:tc>
          <w:tcPr>
            <w:tcW w:w="1705" w:type="dxa"/>
            <w:vAlign w:val="center"/>
          </w:tcPr>
          <w:p w14:paraId="5D3D6FA7"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中</w:t>
            </w:r>
          </w:p>
        </w:tc>
        <w:tc>
          <w:tcPr>
            <w:tcW w:w="1706" w:type="dxa"/>
            <w:vAlign w:val="center"/>
          </w:tcPr>
          <w:p w14:paraId="18F14B30"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易</w:t>
            </w:r>
          </w:p>
        </w:tc>
        <w:tc>
          <w:tcPr>
            <w:tcW w:w="1706" w:type="dxa"/>
            <w:vMerge w:val="restart"/>
            <w:vAlign w:val="center"/>
          </w:tcPr>
          <w:p w14:paraId="7BDE2B07"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重金属、持久性有机污染物</w:t>
            </w:r>
          </w:p>
        </w:tc>
        <w:tc>
          <w:tcPr>
            <w:tcW w:w="2075" w:type="dxa"/>
            <w:vMerge/>
            <w:vAlign w:val="center"/>
          </w:tcPr>
          <w:p w14:paraId="1525AD66" w14:textId="77777777" w:rsidR="003E0795" w:rsidRPr="00A964FF" w:rsidRDefault="003E0795" w:rsidP="003E0795">
            <w:pPr>
              <w:pStyle w:val="00"/>
              <w:spacing w:line="240" w:lineRule="auto"/>
              <w:ind w:firstLine="0"/>
              <w:jc w:val="center"/>
              <w:rPr>
                <w:rFonts w:ascii="Calibri"/>
                <w:color w:val="auto"/>
                <w:sz w:val="21"/>
                <w:szCs w:val="21"/>
              </w:rPr>
            </w:pPr>
          </w:p>
        </w:tc>
      </w:tr>
      <w:tr w:rsidR="003E0795" w:rsidRPr="00A964FF" w14:paraId="1AF4D18A" w14:textId="77777777" w:rsidTr="003E0795">
        <w:trPr>
          <w:trHeight w:val="340"/>
        </w:trPr>
        <w:tc>
          <w:tcPr>
            <w:tcW w:w="1705" w:type="dxa"/>
            <w:vMerge/>
            <w:vAlign w:val="center"/>
          </w:tcPr>
          <w:p w14:paraId="18C5624F" w14:textId="77777777" w:rsidR="003E0795" w:rsidRPr="00A964FF" w:rsidRDefault="003E0795" w:rsidP="003E0795">
            <w:pPr>
              <w:pStyle w:val="00"/>
              <w:spacing w:line="240" w:lineRule="auto"/>
              <w:ind w:firstLine="0"/>
              <w:jc w:val="center"/>
              <w:rPr>
                <w:rFonts w:ascii="Calibri"/>
                <w:color w:val="auto"/>
                <w:sz w:val="21"/>
                <w:szCs w:val="21"/>
              </w:rPr>
            </w:pPr>
          </w:p>
        </w:tc>
        <w:tc>
          <w:tcPr>
            <w:tcW w:w="1705" w:type="dxa"/>
            <w:vAlign w:val="center"/>
          </w:tcPr>
          <w:p w14:paraId="67591CAE"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强</w:t>
            </w:r>
          </w:p>
        </w:tc>
        <w:tc>
          <w:tcPr>
            <w:tcW w:w="1706" w:type="dxa"/>
            <w:vAlign w:val="center"/>
          </w:tcPr>
          <w:p w14:paraId="60AE30F3"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易</w:t>
            </w:r>
          </w:p>
        </w:tc>
        <w:tc>
          <w:tcPr>
            <w:tcW w:w="1706" w:type="dxa"/>
            <w:vMerge/>
            <w:vAlign w:val="center"/>
          </w:tcPr>
          <w:p w14:paraId="1598D024" w14:textId="77777777" w:rsidR="003E0795" w:rsidRPr="00A964FF" w:rsidRDefault="003E0795" w:rsidP="003E0795">
            <w:pPr>
              <w:pStyle w:val="00"/>
              <w:spacing w:line="240" w:lineRule="auto"/>
              <w:ind w:firstLine="0"/>
              <w:jc w:val="center"/>
              <w:rPr>
                <w:rFonts w:ascii="Calibri"/>
                <w:color w:val="auto"/>
                <w:sz w:val="21"/>
                <w:szCs w:val="21"/>
              </w:rPr>
            </w:pPr>
          </w:p>
        </w:tc>
        <w:tc>
          <w:tcPr>
            <w:tcW w:w="2075" w:type="dxa"/>
            <w:vMerge/>
            <w:vAlign w:val="center"/>
          </w:tcPr>
          <w:p w14:paraId="2275C434" w14:textId="77777777" w:rsidR="003E0795" w:rsidRPr="00A964FF" w:rsidRDefault="003E0795" w:rsidP="003E0795">
            <w:pPr>
              <w:pStyle w:val="00"/>
              <w:spacing w:line="240" w:lineRule="auto"/>
              <w:ind w:firstLine="0"/>
              <w:jc w:val="center"/>
              <w:rPr>
                <w:rFonts w:ascii="Calibri"/>
                <w:color w:val="auto"/>
                <w:sz w:val="21"/>
                <w:szCs w:val="21"/>
              </w:rPr>
            </w:pPr>
          </w:p>
        </w:tc>
      </w:tr>
      <w:tr w:rsidR="003E0795" w:rsidRPr="00A964FF" w14:paraId="333313AE" w14:textId="77777777" w:rsidTr="003E0795">
        <w:trPr>
          <w:trHeight w:val="340"/>
        </w:trPr>
        <w:tc>
          <w:tcPr>
            <w:tcW w:w="1705" w:type="dxa"/>
            <w:vAlign w:val="center"/>
          </w:tcPr>
          <w:p w14:paraId="3D175C05"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简单防渗区</w:t>
            </w:r>
          </w:p>
        </w:tc>
        <w:tc>
          <w:tcPr>
            <w:tcW w:w="1705" w:type="dxa"/>
            <w:vAlign w:val="center"/>
          </w:tcPr>
          <w:p w14:paraId="44321132"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中—强</w:t>
            </w:r>
          </w:p>
        </w:tc>
        <w:tc>
          <w:tcPr>
            <w:tcW w:w="1706" w:type="dxa"/>
            <w:vAlign w:val="center"/>
          </w:tcPr>
          <w:p w14:paraId="4FCA7BC9"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易</w:t>
            </w:r>
          </w:p>
        </w:tc>
        <w:tc>
          <w:tcPr>
            <w:tcW w:w="1706" w:type="dxa"/>
            <w:vAlign w:val="center"/>
          </w:tcPr>
          <w:p w14:paraId="25FBB8F2"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其他类型</w:t>
            </w:r>
          </w:p>
        </w:tc>
        <w:tc>
          <w:tcPr>
            <w:tcW w:w="2075" w:type="dxa"/>
            <w:vAlign w:val="center"/>
          </w:tcPr>
          <w:p w14:paraId="44F2D71C"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一般地面硬化</w:t>
            </w:r>
          </w:p>
        </w:tc>
      </w:tr>
    </w:tbl>
    <w:p w14:paraId="4986D121" w14:textId="77777777" w:rsidR="00815F14" w:rsidRPr="00815F14" w:rsidRDefault="00DE519A" w:rsidP="00815F14">
      <w:pPr>
        <w:spacing w:line="520" w:lineRule="exact"/>
        <w:ind w:firstLineChars="200" w:firstLine="480"/>
        <w:rPr>
          <w:rFonts w:ascii="Calibri" w:hAnsi="Calibri"/>
          <w:color w:val="auto"/>
          <w:sz w:val="24"/>
        </w:rPr>
      </w:pPr>
      <w:r w:rsidRPr="00A964FF">
        <w:rPr>
          <w:rFonts w:ascii="Calibri" w:hAnsi="Calibri"/>
          <w:color w:val="auto"/>
          <w:sz w:val="24"/>
        </w:rPr>
        <w:t>根据当地地质勘查资料，其天然包气带防污性能为</w:t>
      </w:r>
      <w:r w:rsidRPr="00A964FF">
        <w:rPr>
          <w:rFonts w:ascii="Calibri" w:hAnsi="Calibri" w:hint="eastAsia"/>
          <w:color w:val="auto"/>
          <w:sz w:val="24"/>
        </w:rPr>
        <w:t>中，其中各生产废水处理设施污染控制难易程度为难，生产车间地面、</w:t>
      </w:r>
      <w:r w:rsidR="007A1186" w:rsidRPr="00A964FF">
        <w:rPr>
          <w:rFonts w:ascii="Calibri" w:hAnsi="Calibri" w:hint="eastAsia"/>
          <w:color w:val="auto"/>
          <w:sz w:val="24"/>
        </w:rPr>
        <w:t>危废</w:t>
      </w:r>
      <w:r w:rsidRPr="00A964FF">
        <w:rPr>
          <w:rFonts w:ascii="Calibri" w:hAnsi="Calibri" w:hint="eastAsia"/>
          <w:color w:val="auto"/>
          <w:sz w:val="24"/>
        </w:rPr>
        <w:t>暂存间、化学品仓库污染控制难易程度为易。</w:t>
      </w:r>
      <w:r w:rsidR="00815F14" w:rsidRPr="00A964FF">
        <w:rPr>
          <w:rFonts w:ascii="Calibri" w:hAnsi="Calibri" w:hint="eastAsia"/>
          <w:color w:val="auto"/>
          <w:sz w:val="24"/>
        </w:rPr>
        <w:t>本项目为</w:t>
      </w:r>
      <w:r w:rsidR="00815F14">
        <w:rPr>
          <w:rFonts w:ascii="Calibri" w:hAnsi="Calibri" w:hint="eastAsia"/>
          <w:color w:val="auto"/>
          <w:sz w:val="24"/>
        </w:rPr>
        <w:t>透明</w:t>
      </w:r>
      <w:r w:rsidR="00815F14">
        <w:rPr>
          <w:rFonts w:ascii="Calibri" w:hAnsi="Calibri"/>
          <w:color w:val="auto"/>
          <w:sz w:val="24"/>
        </w:rPr>
        <w:t>尼龙合成</w:t>
      </w:r>
      <w:r w:rsidR="00815F14">
        <w:rPr>
          <w:rFonts w:ascii="Calibri" w:hAnsi="Calibri" w:hint="eastAsia"/>
          <w:color w:val="auto"/>
          <w:sz w:val="24"/>
        </w:rPr>
        <w:t>制造</w:t>
      </w:r>
      <w:r w:rsidR="00815F14">
        <w:rPr>
          <w:rFonts w:ascii="Calibri" w:hAnsi="Calibri"/>
          <w:color w:val="auto"/>
          <w:sz w:val="24"/>
        </w:rPr>
        <w:t>项目</w:t>
      </w:r>
      <w:r w:rsidR="00815F14">
        <w:rPr>
          <w:rFonts w:ascii="Calibri" w:hAnsi="Calibri" w:hint="eastAsia"/>
          <w:color w:val="auto"/>
          <w:sz w:val="24"/>
        </w:rPr>
        <w:t>，属于</w:t>
      </w:r>
      <w:r w:rsidR="00815F14">
        <w:rPr>
          <w:rFonts w:ascii="Calibri" w:hAnsi="Calibri"/>
          <w:color w:val="auto"/>
          <w:sz w:val="24"/>
        </w:rPr>
        <w:t>合成材料制造</w:t>
      </w:r>
      <w:r w:rsidR="00113FFA" w:rsidRPr="00A964FF">
        <w:rPr>
          <w:rFonts w:ascii="Calibri" w:hAnsi="Calibri" w:hint="eastAsia"/>
          <w:color w:val="auto"/>
          <w:sz w:val="24"/>
        </w:rPr>
        <w:t>，</w:t>
      </w:r>
      <w:r w:rsidR="00815F14">
        <w:rPr>
          <w:rFonts w:ascii="Calibri" w:hAnsi="Calibri" w:hint="eastAsia"/>
          <w:color w:val="auto"/>
          <w:sz w:val="24"/>
        </w:rPr>
        <w:t>由于</w:t>
      </w:r>
      <w:r w:rsidR="00815F14">
        <w:rPr>
          <w:rFonts w:ascii="Calibri" w:hAnsi="Calibri"/>
          <w:color w:val="auto"/>
          <w:sz w:val="24"/>
        </w:rPr>
        <w:t>本项目</w:t>
      </w:r>
      <w:r w:rsidR="00815F14">
        <w:rPr>
          <w:rFonts w:ascii="Calibri" w:hAnsi="Calibri" w:hint="eastAsia"/>
          <w:color w:val="auto"/>
          <w:sz w:val="24"/>
        </w:rPr>
        <w:t>生产</w:t>
      </w:r>
      <w:r w:rsidR="00815F14">
        <w:rPr>
          <w:rFonts w:ascii="Calibri" w:hAnsi="Calibri"/>
          <w:color w:val="auto"/>
          <w:sz w:val="24"/>
        </w:rPr>
        <w:t>车间</w:t>
      </w:r>
      <w:r w:rsidR="00815F14">
        <w:rPr>
          <w:rFonts w:ascii="Calibri" w:hAnsi="Calibri" w:hint="eastAsia"/>
          <w:color w:val="auto"/>
          <w:sz w:val="24"/>
        </w:rPr>
        <w:t>一层</w:t>
      </w:r>
      <w:r w:rsidR="00815F14">
        <w:rPr>
          <w:rFonts w:ascii="Calibri" w:hAnsi="Calibri"/>
          <w:color w:val="auto"/>
          <w:sz w:val="24"/>
        </w:rPr>
        <w:t>仅涉及成品干燥</w:t>
      </w:r>
      <w:r w:rsidR="00815F14">
        <w:rPr>
          <w:rFonts w:ascii="Calibri" w:hAnsi="Calibri" w:hint="eastAsia"/>
          <w:color w:val="auto"/>
          <w:sz w:val="24"/>
        </w:rPr>
        <w:t>及包装</w:t>
      </w:r>
      <w:r w:rsidR="00815F14">
        <w:rPr>
          <w:rFonts w:ascii="Calibri" w:hAnsi="Calibri"/>
          <w:color w:val="auto"/>
          <w:sz w:val="24"/>
        </w:rPr>
        <w:t>，</w:t>
      </w:r>
      <w:r w:rsidR="00815F14">
        <w:rPr>
          <w:rFonts w:ascii="Calibri" w:hAnsi="Calibri" w:hint="eastAsia"/>
          <w:color w:val="auto"/>
          <w:sz w:val="24"/>
        </w:rPr>
        <w:t>其余生产</w:t>
      </w:r>
      <w:r w:rsidR="00815F14">
        <w:rPr>
          <w:rFonts w:ascii="Calibri" w:hAnsi="Calibri"/>
          <w:color w:val="auto"/>
          <w:sz w:val="24"/>
        </w:rPr>
        <w:t>工艺不直接</w:t>
      </w:r>
      <w:r w:rsidR="00815F14">
        <w:rPr>
          <w:rFonts w:ascii="Calibri" w:hAnsi="Calibri" w:hint="eastAsia"/>
          <w:color w:val="auto"/>
          <w:sz w:val="24"/>
        </w:rPr>
        <w:t>于</w:t>
      </w:r>
      <w:r w:rsidR="00815F14">
        <w:rPr>
          <w:rFonts w:ascii="Calibri" w:hAnsi="Calibri"/>
          <w:color w:val="auto"/>
          <w:sz w:val="24"/>
        </w:rPr>
        <w:t>地面接触，则生产车间不</w:t>
      </w:r>
      <w:r w:rsidR="00815F14">
        <w:rPr>
          <w:rFonts w:ascii="Calibri" w:hAnsi="Calibri" w:hint="eastAsia"/>
          <w:color w:val="auto"/>
          <w:sz w:val="24"/>
        </w:rPr>
        <w:t>在</w:t>
      </w:r>
      <w:r w:rsidR="00815F14">
        <w:rPr>
          <w:rFonts w:ascii="Calibri" w:hAnsi="Calibri"/>
          <w:color w:val="auto"/>
          <w:sz w:val="24"/>
        </w:rPr>
        <w:t>本项目</w:t>
      </w:r>
      <w:r w:rsidR="00815F14">
        <w:rPr>
          <w:rFonts w:ascii="Calibri" w:hAnsi="Calibri" w:hint="eastAsia"/>
          <w:color w:val="auto"/>
          <w:sz w:val="24"/>
        </w:rPr>
        <w:t>重点</w:t>
      </w:r>
      <w:r w:rsidR="00815F14">
        <w:rPr>
          <w:rFonts w:ascii="Calibri" w:hAnsi="Calibri"/>
          <w:color w:val="auto"/>
          <w:sz w:val="24"/>
        </w:rPr>
        <w:t>关注的防渗区域。</w:t>
      </w:r>
      <w:r w:rsidR="00113FFA" w:rsidRPr="00A964FF">
        <w:rPr>
          <w:rFonts w:ascii="Calibri" w:hAnsi="Calibri" w:hint="eastAsia"/>
          <w:color w:val="auto"/>
          <w:sz w:val="24"/>
        </w:rPr>
        <w:t>本项目</w:t>
      </w:r>
      <w:r w:rsidR="00815F14">
        <w:rPr>
          <w:rFonts w:ascii="Calibri" w:hAnsi="Calibri" w:hint="eastAsia"/>
          <w:color w:val="auto"/>
          <w:sz w:val="24"/>
        </w:rPr>
        <w:t>生产</w:t>
      </w:r>
      <w:r w:rsidR="00815F14">
        <w:rPr>
          <w:rFonts w:ascii="Calibri" w:hAnsi="Calibri"/>
          <w:color w:val="auto"/>
          <w:sz w:val="24"/>
        </w:rPr>
        <w:t>车间一层、</w:t>
      </w:r>
      <w:r w:rsidR="00AD4CB0" w:rsidRPr="00A964FF">
        <w:rPr>
          <w:rFonts w:ascii="Calibri" w:hAnsi="Calibri" w:hint="eastAsia"/>
          <w:color w:val="auto"/>
          <w:sz w:val="24"/>
        </w:rPr>
        <w:t>仓库、</w:t>
      </w:r>
      <w:r w:rsidR="007A1186" w:rsidRPr="00A964FF">
        <w:rPr>
          <w:rFonts w:ascii="Calibri" w:hAnsi="Calibri" w:hint="eastAsia"/>
          <w:color w:val="auto"/>
          <w:sz w:val="24"/>
        </w:rPr>
        <w:t>危废暂存间、</w:t>
      </w:r>
      <w:r w:rsidR="00113FFA" w:rsidRPr="00A964FF">
        <w:rPr>
          <w:rFonts w:ascii="Calibri" w:hAnsi="Calibri" w:hint="eastAsia"/>
          <w:color w:val="auto"/>
          <w:sz w:val="24"/>
        </w:rPr>
        <w:t>废水处理站、</w:t>
      </w:r>
      <w:r w:rsidR="007A1186" w:rsidRPr="00A964FF">
        <w:rPr>
          <w:rFonts w:ascii="Calibri" w:hAnsi="Calibri" w:hint="eastAsia"/>
          <w:color w:val="auto"/>
          <w:sz w:val="24"/>
        </w:rPr>
        <w:t>事故池、初期雨水收集池</w:t>
      </w:r>
      <w:r w:rsidRPr="00A964FF">
        <w:rPr>
          <w:rFonts w:ascii="Calibri" w:hAnsi="Calibri" w:hint="eastAsia"/>
          <w:color w:val="auto"/>
          <w:sz w:val="24"/>
        </w:rPr>
        <w:t>等</w:t>
      </w:r>
      <w:r w:rsidR="007A1186" w:rsidRPr="00A964FF">
        <w:rPr>
          <w:rFonts w:ascii="Calibri" w:hAnsi="Calibri" w:hint="eastAsia"/>
          <w:color w:val="auto"/>
          <w:sz w:val="24"/>
        </w:rPr>
        <w:t>区域</w:t>
      </w:r>
      <w:r w:rsidR="00113FFA" w:rsidRPr="00A964FF">
        <w:rPr>
          <w:rFonts w:ascii="Calibri" w:hAnsi="Calibri" w:hint="eastAsia"/>
          <w:color w:val="auto"/>
          <w:sz w:val="24"/>
        </w:rPr>
        <w:t>划分为</w:t>
      </w:r>
      <w:r w:rsidR="00815F14">
        <w:rPr>
          <w:rFonts w:ascii="Calibri" w:hAnsi="Calibri" w:hint="eastAsia"/>
          <w:color w:val="auto"/>
          <w:sz w:val="24"/>
        </w:rPr>
        <w:t>一般</w:t>
      </w:r>
      <w:r w:rsidR="00815F14">
        <w:rPr>
          <w:rFonts w:ascii="Calibri" w:hAnsi="Calibri"/>
          <w:color w:val="auto"/>
          <w:sz w:val="24"/>
        </w:rPr>
        <w:t>防渗</w:t>
      </w:r>
      <w:r w:rsidR="00815F14">
        <w:rPr>
          <w:rFonts w:ascii="Calibri" w:hAnsi="Calibri" w:hint="eastAsia"/>
          <w:color w:val="auto"/>
          <w:sz w:val="24"/>
        </w:rPr>
        <w:t>，其他区域</w:t>
      </w:r>
      <w:r w:rsidR="00815F14">
        <w:rPr>
          <w:rFonts w:ascii="Calibri" w:hAnsi="Calibri"/>
          <w:color w:val="auto"/>
          <w:sz w:val="24"/>
        </w:rPr>
        <w:t>均</w:t>
      </w:r>
      <w:r w:rsidR="00815F14">
        <w:rPr>
          <w:rFonts w:ascii="Calibri" w:hAnsi="Calibri" w:hint="eastAsia"/>
          <w:color w:val="auto"/>
          <w:sz w:val="24"/>
        </w:rPr>
        <w:t>按照</w:t>
      </w:r>
      <w:r w:rsidR="00815F14">
        <w:rPr>
          <w:rFonts w:ascii="Calibri" w:hAnsi="Calibri"/>
          <w:color w:val="auto"/>
          <w:sz w:val="24"/>
        </w:rPr>
        <w:t>为简单</w:t>
      </w:r>
      <w:r w:rsidR="00815F14">
        <w:rPr>
          <w:rFonts w:ascii="Calibri" w:hAnsi="Calibri" w:hint="eastAsia"/>
          <w:color w:val="auto"/>
          <w:sz w:val="24"/>
        </w:rPr>
        <w:t>防渗要求进行</w:t>
      </w:r>
      <w:r w:rsidR="00815F14">
        <w:rPr>
          <w:rFonts w:ascii="Calibri" w:hAnsi="Calibri"/>
          <w:color w:val="auto"/>
          <w:sz w:val="24"/>
        </w:rPr>
        <w:t>建设。</w:t>
      </w:r>
    </w:p>
    <w:p w14:paraId="5411AD70" w14:textId="77777777" w:rsidR="00455B57" w:rsidRPr="00AF6830" w:rsidRDefault="00DE519A" w:rsidP="00AF6830">
      <w:pPr>
        <w:spacing w:line="520" w:lineRule="exact"/>
        <w:ind w:firstLineChars="200" w:firstLine="480"/>
        <w:rPr>
          <w:rFonts w:ascii="Calibri" w:hAnsi="Calibri"/>
          <w:color w:val="auto"/>
          <w:sz w:val="24"/>
        </w:rPr>
      </w:pPr>
      <w:r w:rsidRPr="00A964FF">
        <w:rPr>
          <w:rFonts w:ascii="Calibri" w:hAnsi="Calibri" w:hint="eastAsia"/>
          <w:color w:val="auto"/>
          <w:sz w:val="24"/>
        </w:rPr>
        <w:t>本</w:t>
      </w:r>
      <w:r w:rsidR="003E0795" w:rsidRPr="00A964FF">
        <w:rPr>
          <w:rFonts w:ascii="Calibri" w:hAnsi="Calibri"/>
          <w:color w:val="auto"/>
          <w:sz w:val="24"/>
        </w:rPr>
        <w:t>项目厂区各部位防渗分区情况</w:t>
      </w:r>
      <w:r w:rsidR="0052157C" w:rsidRPr="00A964FF">
        <w:rPr>
          <w:rFonts w:ascii="Calibri" w:hAnsi="Calibri" w:hint="eastAsia"/>
          <w:color w:val="auto"/>
          <w:sz w:val="24"/>
        </w:rPr>
        <w:t>见表</w:t>
      </w:r>
      <w:r w:rsidR="0052157C" w:rsidRPr="00A964FF">
        <w:rPr>
          <w:rFonts w:ascii="Calibri" w:hAnsi="Calibri" w:hint="eastAsia"/>
          <w:color w:val="auto"/>
          <w:sz w:val="24"/>
        </w:rPr>
        <w:t>5</w:t>
      </w:r>
      <w:r w:rsidR="00ED3143" w:rsidRPr="00A964FF">
        <w:rPr>
          <w:rFonts w:ascii="Calibri" w:hAnsi="Calibri" w:hint="eastAsia"/>
          <w:color w:val="auto"/>
          <w:sz w:val="24"/>
        </w:rPr>
        <w:t>.2</w:t>
      </w:r>
      <w:r w:rsidR="0052157C" w:rsidRPr="00A964FF">
        <w:rPr>
          <w:rFonts w:ascii="Calibri" w:hAnsi="Calibri" w:hint="eastAsia"/>
          <w:color w:val="auto"/>
          <w:sz w:val="24"/>
        </w:rPr>
        <w:t>-</w:t>
      </w:r>
      <w:r w:rsidR="00135AC8">
        <w:rPr>
          <w:rFonts w:ascii="Calibri" w:hAnsi="Calibri" w:hint="eastAsia"/>
          <w:color w:val="auto"/>
          <w:sz w:val="24"/>
        </w:rPr>
        <w:t>9</w:t>
      </w:r>
      <w:r w:rsidR="0052157C" w:rsidRPr="00A964FF">
        <w:rPr>
          <w:rFonts w:ascii="Calibri" w:hAnsi="Calibri" w:hint="eastAsia"/>
          <w:color w:val="auto"/>
          <w:sz w:val="24"/>
        </w:rPr>
        <w:t>。</w:t>
      </w:r>
    </w:p>
    <w:p w14:paraId="45378258" w14:textId="77777777" w:rsidR="003E0795" w:rsidRPr="00A964FF" w:rsidRDefault="003E0795" w:rsidP="003E0795">
      <w:pPr>
        <w:pStyle w:val="00"/>
        <w:rPr>
          <w:rFonts w:ascii="Calibri" w:eastAsia="黑体" w:hAnsi="Calibri"/>
          <w:color w:val="auto"/>
        </w:rPr>
      </w:pPr>
      <w:r w:rsidRPr="00A964FF">
        <w:rPr>
          <w:rFonts w:ascii="Calibri" w:eastAsia="黑体" w:hAnsi="黑体"/>
          <w:color w:val="auto"/>
        </w:rPr>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color w:val="auto"/>
        </w:rPr>
        <w:t>-</w:t>
      </w:r>
      <w:r w:rsidR="00135AC8">
        <w:rPr>
          <w:rFonts w:ascii="Calibri" w:eastAsia="黑体" w:hAnsi="Calibri" w:hint="eastAsia"/>
          <w:color w:val="auto"/>
        </w:rPr>
        <w:t>9</w:t>
      </w:r>
      <w:r w:rsidRPr="00A964FF">
        <w:rPr>
          <w:rFonts w:ascii="Calibri" w:eastAsia="黑体" w:hAnsi="Calibri"/>
          <w:color w:val="auto"/>
        </w:rPr>
        <w:t xml:space="preserve">         </w:t>
      </w:r>
      <w:r w:rsidR="0052157C"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黑体"/>
          <w:color w:val="auto"/>
        </w:rPr>
        <w:t>厂区防渗分区划分要求</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354"/>
        <w:gridCol w:w="2491"/>
        <w:gridCol w:w="2094"/>
        <w:gridCol w:w="2761"/>
      </w:tblGrid>
      <w:tr w:rsidR="003E0795" w:rsidRPr="00A964FF" w14:paraId="298C3D79" w14:textId="77777777" w:rsidTr="007F65EB">
        <w:trPr>
          <w:trHeight w:val="340"/>
        </w:trPr>
        <w:tc>
          <w:tcPr>
            <w:tcW w:w="1354" w:type="dxa"/>
            <w:vAlign w:val="center"/>
          </w:tcPr>
          <w:p w14:paraId="7D904FF1"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防渗分区</w:t>
            </w:r>
          </w:p>
        </w:tc>
        <w:tc>
          <w:tcPr>
            <w:tcW w:w="2491" w:type="dxa"/>
            <w:tcBorders>
              <w:right w:val="single" w:sz="4" w:space="0" w:color="auto"/>
            </w:tcBorders>
            <w:vAlign w:val="center"/>
          </w:tcPr>
          <w:p w14:paraId="2457D8EC"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设施名称</w:t>
            </w:r>
          </w:p>
        </w:tc>
        <w:tc>
          <w:tcPr>
            <w:tcW w:w="2094" w:type="dxa"/>
            <w:tcBorders>
              <w:left w:val="single" w:sz="4" w:space="0" w:color="auto"/>
            </w:tcBorders>
            <w:vAlign w:val="center"/>
          </w:tcPr>
          <w:p w14:paraId="59299FB0"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防渗区域及部位</w:t>
            </w:r>
          </w:p>
        </w:tc>
        <w:tc>
          <w:tcPr>
            <w:tcW w:w="2761" w:type="dxa"/>
            <w:tcBorders>
              <w:left w:val="single" w:sz="4" w:space="0" w:color="auto"/>
            </w:tcBorders>
            <w:vAlign w:val="center"/>
          </w:tcPr>
          <w:p w14:paraId="2CE0077E"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防渗要求</w:t>
            </w:r>
          </w:p>
        </w:tc>
      </w:tr>
      <w:tr w:rsidR="0052157C" w:rsidRPr="007F65EB" w14:paraId="330EBDC5" w14:textId="77777777" w:rsidTr="007F65EB">
        <w:trPr>
          <w:trHeight w:val="340"/>
        </w:trPr>
        <w:tc>
          <w:tcPr>
            <w:tcW w:w="1354" w:type="dxa"/>
            <w:vAlign w:val="center"/>
          </w:tcPr>
          <w:p w14:paraId="041F167D" w14:textId="77777777" w:rsidR="0052157C" w:rsidRPr="00A964FF" w:rsidRDefault="0052157C"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一般防渗区</w:t>
            </w:r>
          </w:p>
        </w:tc>
        <w:tc>
          <w:tcPr>
            <w:tcW w:w="2491" w:type="dxa"/>
            <w:tcBorders>
              <w:right w:val="single" w:sz="4" w:space="0" w:color="auto"/>
            </w:tcBorders>
            <w:vAlign w:val="center"/>
          </w:tcPr>
          <w:p w14:paraId="37AE707C" w14:textId="77777777" w:rsidR="0052157C" w:rsidRPr="00A964FF" w:rsidRDefault="00815F14" w:rsidP="003A5258">
            <w:pPr>
              <w:pStyle w:val="00"/>
              <w:spacing w:line="240" w:lineRule="auto"/>
              <w:ind w:firstLine="0"/>
              <w:rPr>
                <w:rFonts w:ascii="Calibri"/>
                <w:color w:val="auto"/>
                <w:sz w:val="21"/>
                <w:szCs w:val="21"/>
              </w:rPr>
            </w:pPr>
            <w:r>
              <w:rPr>
                <w:rFonts w:ascii="Calibri" w:hint="eastAsia"/>
                <w:color w:val="auto"/>
                <w:sz w:val="21"/>
                <w:szCs w:val="21"/>
              </w:rPr>
              <w:t>车间</w:t>
            </w:r>
            <w:r>
              <w:rPr>
                <w:rFonts w:ascii="Calibri"/>
                <w:color w:val="auto"/>
                <w:sz w:val="21"/>
                <w:szCs w:val="21"/>
              </w:rPr>
              <w:t>一层</w:t>
            </w:r>
            <w:r w:rsidRPr="003A5258">
              <w:rPr>
                <w:rFonts w:ascii="Calibri" w:hint="eastAsia"/>
                <w:color w:val="auto"/>
                <w:sz w:val="21"/>
                <w:szCs w:val="21"/>
              </w:rPr>
              <w:t>原料仓库、危废暂存间、导热油站、事故应急池、污水处理站</w:t>
            </w:r>
            <w:r w:rsidR="003A5258">
              <w:rPr>
                <w:rFonts w:ascii="Calibri" w:hint="eastAsia"/>
                <w:color w:val="auto"/>
                <w:sz w:val="21"/>
                <w:szCs w:val="21"/>
              </w:rPr>
              <w:t>循环水站、动力站、消防水站</w:t>
            </w:r>
            <w:r w:rsidR="003A5258" w:rsidRPr="003A5258">
              <w:rPr>
                <w:rFonts w:ascii="Calibri" w:hint="eastAsia"/>
                <w:color w:val="auto"/>
                <w:sz w:val="21"/>
                <w:szCs w:val="21"/>
              </w:rPr>
              <w:t>及生产区道路</w:t>
            </w:r>
          </w:p>
        </w:tc>
        <w:tc>
          <w:tcPr>
            <w:tcW w:w="2094" w:type="dxa"/>
            <w:tcBorders>
              <w:left w:val="single" w:sz="4" w:space="0" w:color="auto"/>
            </w:tcBorders>
            <w:vAlign w:val="center"/>
          </w:tcPr>
          <w:p w14:paraId="3A1E0BEE" w14:textId="77777777" w:rsidR="0052157C" w:rsidRPr="00A964FF" w:rsidRDefault="00113FFA" w:rsidP="00113FFA">
            <w:pPr>
              <w:pStyle w:val="00"/>
              <w:spacing w:line="240" w:lineRule="auto"/>
              <w:ind w:firstLine="0"/>
              <w:jc w:val="center"/>
              <w:rPr>
                <w:rFonts w:ascii="Calibri"/>
                <w:color w:val="auto"/>
                <w:sz w:val="21"/>
                <w:szCs w:val="21"/>
              </w:rPr>
            </w:pPr>
            <w:r w:rsidRPr="00A964FF">
              <w:rPr>
                <w:rFonts w:ascii="Calibri" w:hint="eastAsia"/>
                <w:color w:val="auto"/>
                <w:sz w:val="21"/>
                <w:szCs w:val="21"/>
              </w:rPr>
              <w:t>站区地面及埋地构筑物池底和池壁</w:t>
            </w:r>
          </w:p>
        </w:tc>
        <w:tc>
          <w:tcPr>
            <w:tcW w:w="2761" w:type="dxa"/>
            <w:tcBorders>
              <w:left w:val="single" w:sz="4" w:space="0" w:color="auto"/>
            </w:tcBorders>
            <w:vAlign w:val="center"/>
          </w:tcPr>
          <w:p w14:paraId="2DBC7CDC" w14:textId="77777777" w:rsidR="0052157C" w:rsidRPr="00A964FF" w:rsidRDefault="0052157C"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等效黏土防渗层</w:t>
            </w:r>
            <w:r w:rsidRPr="00A964FF">
              <w:rPr>
                <w:rFonts w:ascii="Calibri" w:hint="eastAsia"/>
                <w:color w:val="auto"/>
                <w:sz w:val="21"/>
                <w:szCs w:val="21"/>
              </w:rPr>
              <w:t>Mb</w:t>
            </w:r>
            <w:r w:rsidRPr="00A964FF">
              <w:rPr>
                <w:rFonts w:ascii="Calibri" w:hint="eastAsia"/>
                <w:color w:val="auto"/>
                <w:sz w:val="21"/>
                <w:szCs w:val="21"/>
              </w:rPr>
              <w:t>≥</w:t>
            </w:r>
            <w:r w:rsidRPr="00A964FF">
              <w:rPr>
                <w:rFonts w:ascii="Calibri" w:hint="eastAsia"/>
                <w:color w:val="auto"/>
                <w:sz w:val="21"/>
                <w:szCs w:val="21"/>
              </w:rPr>
              <w:t>1.5m</w:t>
            </w:r>
            <w:r w:rsidRPr="00A964FF">
              <w:rPr>
                <w:rFonts w:ascii="Calibri" w:hint="eastAsia"/>
                <w:color w:val="auto"/>
                <w:sz w:val="21"/>
                <w:szCs w:val="21"/>
              </w:rPr>
              <w:t>，</w:t>
            </w:r>
            <w:r w:rsidRPr="00A964FF">
              <w:rPr>
                <w:rFonts w:ascii="Calibri" w:hint="eastAsia"/>
                <w:color w:val="auto"/>
                <w:sz w:val="21"/>
                <w:szCs w:val="21"/>
              </w:rPr>
              <w:t>K</w:t>
            </w:r>
            <w:r w:rsidRPr="00A964FF">
              <w:rPr>
                <w:rFonts w:ascii="Calibri" w:hint="eastAsia"/>
                <w:color w:val="auto"/>
                <w:sz w:val="21"/>
                <w:szCs w:val="21"/>
              </w:rPr>
              <w:t>≤</w:t>
            </w:r>
            <w:r w:rsidRPr="00A964FF">
              <w:rPr>
                <w:rFonts w:ascii="Calibri" w:hint="eastAsia"/>
                <w:color w:val="auto"/>
                <w:sz w:val="21"/>
                <w:szCs w:val="21"/>
              </w:rPr>
              <w:t>1</w:t>
            </w:r>
            <w:r w:rsidRPr="00A964FF">
              <w:rPr>
                <w:rFonts w:ascii="Calibri" w:hint="eastAsia"/>
                <w:color w:val="auto"/>
                <w:sz w:val="21"/>
                <w:szCs w:val="21"/>
              </w:rPr>
              <w:t>×</w:t>
            </w:r>
            <w:r w:rsidRPr="00A964FF">
              <w:rPr>
                <w:rFonts w:ascii="Calibri" w:hint="eastAsia"/>
                <w:color w:val="auto"/>
                <w:sz w:val="21"/>
                <w:szCs w:val="21"/>
              </w:rPr>
              <w:t>10</w:t>
            </w:r>
            <w:r w:rsidRPr="00A964FF">
              <w:rPr>
                <w:rFonts w:ascii="Calibri" w:hint="eastAsia"/>
                <w:color w:val="auto"/>
                <w:sz w:val="21"/>
                <w:szCs w:val="21"/>
                <w:vertAlign w:val="superscript"/>
              </w:rPr>
              <w:t>-7</w:t>
            </w:r>
            <w:r w:rsidRPr="00A964FF">
              <w:rPr>
                <w:rFonts w:ascii="Calibri" w:hint="eastAsia"/>
                <w:color w:val="auto"/>
                <w:sz w:val="21"/>
                <w:szCs w:val="21"/>
              </w:rPr>
              <w:t>cm/s</w:t>
            </w:r>
            <w:r w:rsidRPr="00A964FF">
              <w:rPr>
                <w:rFonts w:ascii="Calibri" w:hint="eastAsia"/>
                <w:color w:val="auto"/>
                <w:sz w:val="21"/>
                <w:szCs w:val="21"/>
              </w:rPr>
              <w:t>；或参照</w:t>
            </w:r>
            <w:r w:rsidRPr="00A964FF">
              <w:rPr>
                <w:rFonts w:ascii="Calibri" w:hint="eastAsia"/>
                <w:color w:val="auto"/>
                <w:sz w:val="21"/>
                <w:szCs w:val="21"/>
              </w:rPr>
              <w:t>GB16889</w:t>
            </w:r>
            <w:r w:rsidRPr="00A964FF">
              <w:rPr>
                <w:rFonts w:ascii="Calibri" w:hint="eastAsia"/>
                <w:color w:val="auto"/>
                <w:sz w:val="21"/>
                <w:szCs w:val="21"/>
              </w:rPr>
              <w:t>执行</w:t>
            </w:r>
          </w:p>
        </w:tc>
      </w:tr>
      <w:tr w:rsidR="003E0795" w:rsidRPr="00A964FF" w14:paraId="07F2DD7C" w14:textId="77777777" w:rsidTr="007F65EB">
        <w:trPr>
          <w:trHeight w:val="340"/>
        </w:trPr>
        <w:tc>
          <w:tcPr>
            <w:tcW w:w="1354" w:type="dxa"/>
            <w:vAlign w:val="center"/>
          </w:tcPr>
          <w:p w14:paraId="5792EABC"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简单防渗区</w:t>
            </w:r>
          </w:p>
        </w:tc>
        <w:tc>
          <w:tcPr>
            <w:tcW w:w="2491" w:type="dxa"/>
            <w:tcBorders>
              <w:right w:val="single" w:sz="4" w:space="0" w:color="auto"/>
            </w:tcBorders>
            <w:vAlign w:val="center"/>
          </w:tcPr>
          <w:p w14:paraId="3A4402AB" w14:textId="77777777" w:rsidR="003E0795" w:rsidRPr="00A964FF" w:rsidRDefault="003E0795" w:rsidP="00815F14">
            <w:pPr>
              <w:pStyle w:val="00"/>
              <w:spacing w:line="240" w:lineRule="auto"/>
              <w:ind w:firstLine="0"/>
              <w:jc w:val="center"/>
              <w:rPr>
                <w:rFonts w:ascii="Calibri"/>
                <w:color w:val="auto"/>
                <w:sz w:val="21"/>
                <w:szCs w:val="21"/>
              </w:rPr>
            </w:pPr>
            <w:r w:rsidRPr="00A964FF">
              <w:rPr>
                <w:rFonts w:ascii="Calibri" w:hint="eastAsia"/>
                <w:color w:val="auto"/>
                <w:sz w:val="21"/>
                <w:szCs w:val="21"/>
              </w:rPr>
              <w:t>办公</w:t>
            </w:r>
            <w:r w:rsidR="0052157C" w:rsidRPr="00A964FF">
              <w:rPr>
                <w:rFonts w:ascii="Calibri" w:hint="eastAsia"/>
                <w:color w:val="auto"/>
                <w:sz w:val="21"/>
                <w:szCs w:val="21"/>
              </w:rPr>
              <w:t>生活区</w:t>
            </w:r>
            <w:r w:rsidR="003A5258">
              <w:rPr>
                <w:rFonts w:ascii="Calibri" w:hint="eastAsia"/>
                <w:color w:val="auto"/>
                <w:sz w:val="21"/>
                <w:szCs w:val="21"/>
              </w:rPr>
              <w:t>、</w:t>
            </w:r>
            <w:r w:rsidR="003A5258">
              <w:rPr>
                <w:rFonts w:ascii="Calibri"/>
                <w:color w:val="auto"/>
                <w:sz w:val="21"/>
                <w:szCs w:val="21"/>
              </w:rPr>
              <w:t>科研综合楼</w:t>
            </w:r>
          </w:p>
        </w:tc>
        <w:tc>
          <w:tcPr>
            <w:tcW w:w="2094" w:type="dxa"/>
            <w:tcBorders>
              <w:left w:val="single" w:sz="4" w:space="0" w:color="auto"/>
            </w:tcBorders>
            <w:vAlign w:val="center"/>
          </w:tcPr>
          <w:p w14:paraId="5E2721D3"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地面</w:t>
            </w:r>
          </w:p>
        </w:tc>
        <w:tc>
          <w:tcPr>
            <w:tcW w:w="2761" w:type="dxa"/>
            <w:tcBorders>
              <w:left w:val="single" w:sz="4" w:space="0" w:color="auto"/>
            </w:tcBorders>
            <w:vAlign w:val="center"/>
          </w:tcPr>
          <w:p w14:paraId="1E499557" w14:textId="77777777" w:rsidR="003E0795" w:rsidRPr="00A964FF" w:rsidRDefault="003E0795" w:rsidP="003E0795">
            <w:pPr>
              <w:pStyle w:val="00"/>
              <w:spacing w:line="240" w:lineRule="auto"/>
              <w:ind w:firstLine="0"/>
              <w:jc w:val="center"/>
              <w:rPr>
                <w:rFonts w:ascii="Calibri"/>
                <w:color w:val="auto"/>
                <w:sz w:val="21"/>
                <w:szCs w:val="21"/>
              </w:rPr>
            </w:pPr>
            <w:r w:rsidRPr="00A964FF">
              <w:rPr>
                <w:rFonts w:ascii="Calibri" w:hint="eastAsia"/>
                <w:color w:val="auto"/>
                <w:sz w:val="21"/>
                <w:szCs w:val="21"/>
              </w:rPr>
              <w:t>一般地面硬化</w:t>
            </w:r>
          </w:p>
        </w:tc>
      </w:tr>
    </w:tbl>
    <w:p w14:paraId="0B279E57" w14:textId="77777777" w:rsidR="003E0795" w:rsidRPr="00A964FF" w:rsidRDefault="003E0795" w:rsidP="003E0795">
      <w:pPr>
        <w:pStyle w:val="00"/>
        <w:rPr>
          <w:rFonts w:ascii="Calibri"/>
          <w:color w:val="auto"/>
        </w:rPr>
      </w:pPr>
      <w:r w:rsidRPr="00A964FF">
        <w:rPr>
          <w:rFonts w:ascii="Calibri"/>
          <w:color w:val="auto"/>
        </w:rPr>
        <w:lastRenderedPageBreak/>
        <w:t>（</w:t>
      </w:r>
      <w:r w:rsidRPr="00A964FF">
        <w:rPr>
          <w:rFonts w:ascii="Calibri" w:hAnsi="Calibri"/>
          <w:color w:val="auto"/>
        </w:rPr>
        <w:t>2</w:t>
      </w:r>
      <w:r w:rsidRPr="00A964FF">
        <w:rPr>
          <w:rFonts w:ascii="Calibri"/>
          <w:color w:val="auto"/>
        </w:rPr>
        <w:t>）</w:t>
      </w:r>
      <w:r w:rsidRPr="00A964FF">
        <w:rPr>
          <w:rFonts w:ascii="Calibri" w:hint="eastAsia"/>
          <w:color w:val="auto"/>
        </w:rPr>
        <w:t>污染防治措施要求</w:t>
      </w:r>
    </w:p>
    <w:p w14:paraId="09F21D3E" w14:textId="77777777" w:rsidR="003A5258" w:rsidRPr="003A20B5" w:rsidRDefault="003A5258" w:rsidP="0008646C">
      <w:pPr>
        <w:spacing w:line="520" w:lineRule="exact"/>
        <w:ind w:firstLineChars="200" w:firstLine="480"/>
        <w:rPr>
          <w:rFonts w:asciiTheme="minorHAnsi" w:hAnsiTheme="minorHAnsi"/>
          <w:sz w:val="24"/>
        </w:rPr>
      </w:pPr>
      <w:r w:rsidRPr="003A20B5">
        <w:rPr>
          <w:rFonts w:asciiTheme="minorHAnsi" w:hAnsiTheme="minorHAnsi"/>
          <w:sz w:val="24"/>
        </w:rPr>
        <w:t>对于简单防治区，对地面进行硬化处理。</w:t>
      </w:r>
      <w:r w:rsidR="0008646C">
        <w:rPr>
          <w:rFonts w:asciiTheme="minorHAnsi" w:hAnsiTheme="minorHAnsi" w:hint="eastAsia"/>
          <w:sz w:val="24"/>
        </w:rPr>
        <w:t>危险固废</w:t>
      </w:r>
      <w:r w:rsidR="0008646C">
        <w:rPr>
          <w:rFonts w:asciiTheme="minorHAnsi" w:hAnsiTheme="minorHAnsi"/>
          <w:sz w:val="24"/>
        </w:rPr>
        <w:t>暂存间</w:t>
      </w:r>
      <w:r w:rsidRPr="003A20B5">
        <w:rPr>
          <w:rFonts w:asciiTheme="minorHAnsi" w:hAnsiTheme="minorHAnsi"/>
          <w:sz w:val="24"/>
        </w:rPr>
        <w:t>严格按照《危险废物贮存污染控制标准》（</w:t>
      </w:r>
      <w:r w:rsidRPr="003A20B5">
        <w:rPr>
          <w:rFonts w:asciiTheme="minorHAnsi" w:hAnsiTheme="minorHAnsi"/>
          <w:sz w:val="24"/>
        </w:rPr>
        <w:t>GB18597-2001</w:t>
      </w:r>
      <w:r w:rsidRPr="003A20B5">
        <w:rPr>
          <w:rFonts w:asciiTheme="minorHAnsi" w:hAnsiTheme="minorHAnsi"/>
          <w:sz w:val="24"/>
        </w:rPr>
        <w:t>）的有关要求设计。</w:t>
      </w:r>
    </w:p>
    <w:p w14:paraId="28587864" w14:textId="77777777" w:rsidR="003A5258" w:rsidRPr="003A5258" w:rsidRDefault="003A5258" w:rsidP="003A5258">
      <w:pPr>
        <w:spacing w:line="520" w:lineRule="exact"/>
        <w:ind w:firstLineChars="200" w:firstLine="480"/>
        <w:rPr>
          <w:sz w:val="24"/>
        </w:rPr>
      </w:pPr>
      <w:r w:rsidRPr="003A5258">
        <w:rPr>
          <w:sz w:val="24"/>
        </w:rPr>
        <w:t>根据地下水</w:t>
      </w:r>
      <w:r w:rsidR="0008646C">
        <w:rPr>
          <w:rFonts w:hint="eastAsia"/>
          <w:sz w:val="24"/>
        </w:rPr>
        <w:t>一般</w:t>
      </w:r>
      <w:r w:rsidRPr="003A5258">
        <w:rPr>
          <w:sz w:val="24"/>
        </w:rPr>
        <w:t>防渗要求，建设单位应采取以下措施：</w:t>
      </w:r>
    </w:p>
    <w:p w14:paraId="650F55E3" w14:textId="77777777" w:rsidR="003A5258" w:rsidRPr="006D7A78" w:rsidRDefault="006D7A78" w:rsidP="006D7A78">
      <w:pPr>
        <w:spacing w:line="520" w:lineRule="exact"/>
        <w:ind w:firstLineChars="200" w:firstLine="482"/>
        <w:rPr>
          <w:rFonts w:asciiTheme="minorHAnsi" w:hAnsiTheme="minorHAnsi"/>
          <w:b/>
          <w:sz w:val="24"/>
          <w:u w:val="single"/>
        </w:rPr>
      </w:pPr>
      <w:r w:rsidRPr="006D7A78">
        <w:rPr>
          <w:rFonts w:ascii="宋体" w:hAnsi="宋体" w:cs="宋体"/>
          <w:b/>
          <w:sz w:val="24"/>
          <w:u w:val="single"/>
        </w:rPr>
        <w:fldChar w:fldCharType="begin"/>
      </w:r>
      <w:r w:rsidRPr="006D7A78">
        <w:rPr>
          <w:rFonts w:ascii="宋体" w:hAnsi="宋体" w:cs="宋体"/>
          <w:b/>
          <w:sz w:val="24"/>
          <w:u w:val="single"/>
        </w:rPr>
        <w:instrText xml:space="preserve"> </w:instrText>
      </w:r>
      <w:r w:rsidRPr="006D7A78">
        <w:rPr>
          <w:rFonts w:ascii="宋体" w:hAnsi="宋体" w:cs="宋体" w:hint="eastAsia"/>
          <w:b/>
          <w:sz w:val="24"/>
          <w:u w:val="single"/>
        </w:rPr>
        <w:instrText>= 1 \* GB3</w:instrText>
      </w:r>
      <w:r w:rsidRPr="006D7A78">
        <w:rPr>
          <w:rFonts w:ascii="宋体" w:hAnsi="宋体" w:cs="宋体"/>
          <w:b/>
          <w:sz w:val="24"/>
          <w:u w:val="single"/>
        </w:rPr>
        <w:instrText xml:space="preserve"> </w:instrText>
      </w:r>
      <w:r w:rsidRPr="006D7A78">
        <w:rPr>
          <w:rFonts w:ascii="宋体" w:hAnsi="宋体" w:cs="宋体"/>
          <w:b/>
          <w:sz w:val="24"/>
          <w:u w:val="single"/>
        </w:rPr>
        <w:fldChar w:fldCharType="separate"/>
      </w:r>
      <w:r w:rsidRPr="006D7A78">
        <w:rPr>
          <w:rFonts w:ascii="宋体" w:hAnsi="宋体" w:cs="宋体" w:hint="eastAsia"/>
          <w:b/>
          <w:noProof/>
          <w:sz w:val="24"/>
          <w:u w:val="single"/>
        </w:rPr>
        <w:t>①</w:t>
      </w:r>
      <w:r w:rsidRPr="006D7A78">
        <w:rPr>
          <w:rFonts w:ascii="宋体" w:hAnsi="宋体" w:cs="宋体"/>
          <w:b/>
          <w:sz w:val="24"/>
          <w:u w:val="single"/>
        </w:rPr>
        <w:fldChar w:fldCharType="end"/>
      </w:r>
      <w:r w:rsidR="0008646C" w:rsidRPr="006D7A78">
        <w:rPr>
          <w:rFonts w:ascii="宋体" w:hAnsi="宋体" w:cs="宋体"/>
          <w:b/>
          <w:sz w:val="24"/>
          <w:u w:val="single"/>
        </w:rPr>
        <w:t>对</w:t>
      </w:r>
      <w:r w:rsidR="0008646C" w:rsidRPr="006D7A78">
        <w:rPr>
          <w:rFonts w:asciiTheme="minorHAnsi" w:hAnsiTheme="minorHAnsi"/>
          <w:b/>
          <w:sz w:val="24"/>
          <w:u w:val="single"/>
        </w:rPr>
        <w:t>聚合车间</w:t>
      </w:r>
      <w:r w:rsidR="0008646C" w:rsidRPr="006D7A78">
        <w:rPr>
          <w:rFonts w:asciiTheme="minorHAnsi" w:hAnsiTheme="minorHAnsi" w:hint="eastAsia"/>
          <w:b/>
          <w:sz w:val="24"/>
          <w:u w:val="single"/>
        </w:rPr>
        <w:t>一层</w:t>
      </w:r>
      <w:r w:rsidR="0008646C" w:rsidRPr="006D7A78">
        <w:rPr>
          <w:rFonts w:asciiTheme="minorHAnsi" w:hAnsiTheme="minorHAnsi"/>
          <w:b/>
          <w:sz w:val="24"/>
          <w:u w:val="single"/>
        </w:rPr>
        <w:t>、原料</w:t>
      </w:r>
      <w:r w:rsidRPr="006D7A78">
        <w:rPr>
          <w:rFonts w:asciiTheme="minorHAnsi" w:hAnsiTheme="minorHAnsi" w:hint="eastAsia"/>
          <w:b/>
          <w:sz w:val="24"/>
          <w:u w:val="single"/>
        </w:rPr>
        <w:t>、</w:t>
      </w:r>
      <w:r w:rsidRPr="006D7A78">
        <w:rPr>
          <w:rFonts w:asciiTheme="minorHAnsi" w:hAnsiTheme="minorHAnsi"/>
          <w:b/>
          <w:sz w:val="24"/>
          <w:u w:val="single"/>
        </w:rPr>
        <w:t>成品</w:t>
      </w:r>
      <w:r w:rsidR="0008646C" w:rsidRPr="006D7A78">
        <w:rPr>
          <w:rFonts w:asciiTheme="minorHAnsi" w:hAnsiTheme="minorHAnsi"/>
          <w:b/>
          <w:sz w:val="24"/>
          <w:u w:val="single"/>
        </w:rPr>
        <w:t>仓库、危废暂存间、导热油</w:t>
      </w:r>
      <w:r w:rsidRPr="006D7A78">
        <w:rPr>
          <w:rFonts w:asciiTheme="minorHAnsi" w:hAnsiTheme="minorHAnsi" w:hint="eastAsia"/>
          <w:b/>
          <w:sz w:val="24"/>
          <w:u w:val="single"/>
        </w:rPr>
        <w:t>炉存放间</w:t>
      </w:r>
      <w:r w:rsidR="0008646C" w:rsidRPr="006D7A78">
        <w:rPr>
          <w:rFonts w:asciiTheme="minorHAnsi" w:hAnsiTheme="minorHAnsi"/>
          <w:b/>
          <w:sz w:val="24"/>
          <w:u w:val="single"/>
        </w:rPr>
        <w:t>、事故应</w:t>
      </w:r>
      <w:r w:rsidR="0008646C" w:rsidRPr="006D7A78">
        <w:rPr>
          <w:rFonts w:ascii="宋体" w:hAnsi="宋体" w:cs="宋体"/>
          <w:b/>
          <w:sz w:val="24"/>
          <w:u w:val="single"/>
        </w:rPr>
        <w:t>急池、污水处理站</w:t>
      </w:r>
      <w:r w:rsidR="003A5258" w:rsidRPr="006D7A78">
        <w:rPr>
          <w:rFonts w:ascii="宋体" w:hAnsi="宋体" w:cs="宋体"/>
          <w:b/>
          <w:sz w:val="24"/>
          <w:u w:val="single"/>
        </w:rPr>
        <w:t>及生产区道路采取粘土铺底</w:t>
      </w:r>
      <w:r w:rsidR="003A5258" w:rsidRPr="006D7A78">
        <w:rPr>
          <w:rFonts w:asciiTheme="minorHAnsi" w:hAnsiTheme="minorHAnsi" w:cs="宋体"/>
          <w:b/>
          <w:sz w:val="24"/>
          <w:u w:val="single"/>
        </w:rPr>
        <w:t>，再在上层铺</w:t>
      </w:r>
      <w:r w:rsidR="003A5258" w:rsidRPr="006D7A78">
        <w:rPr>
          <w:rFonts w:asciiTheme="minorHAnsi" w:hAnsiTheme="minorHAnsi" w:cs="宋体"/>
          <w:b/>
          <w:sz w:val="24"/>
          <w:u w:val="single"/>
        </w:rPr>
        <w:t>25cm</w:t>
      </w:r>
      <w:r w:rsidR="003A5258" w:rsidRPr="006D7A78">
        <w:rPr>
          <w:rFonts w:asciiTheme="minorHAnsi" w:hAnsiTheme="minorHAnsi" w:cs="宋体"/>
          <w:b/>
          <w:sz w:val="24"/>
          <w:u w:val="single"/>
        </w:rPr>
        <w:t>的防渗混</w:t>
      </w:r>
      <w:r w:rsidR="003A5258" w:rsidRPr="006D7A78">
        <w:rPr>
          <w:rFonts w:asciiTheme="minorHAnsi" w:hAnsiTheme="minorHAnsi"/>
          <w:b/>
          <w:sz w:val="24"/>
          <w:u w:val="single"/>
        </w:rPr>
        <w:t>凝土进行硬化。通过上述措施可使一般污染区各单元防渗性能满足且大于</w:t>
      </w:r>
      <w:r w:rsidR="003A5258" w:rsidRPr="006D7A78">
        <w:rPr>
          <w:rFonts w:asciiTheme="minorHAnsi" w:hAnsiTheme="minorHAnsi"/>
          <w:b/>
          <w:sz w:val="24"/>
          <w:u w:val="single"/>
        </w:rPr>
        <w:t>1.5m</w:t>
      </w:r>
      <w:r w:rsidR="003A5258" w:rsidRPr="006D7A78">
        <w:rPr>
          <w:rFonts w:asciiTheme="minorHAnsi" w:hAnsiTheme="minorHAnsi"/>
          <w:b/>
          <w:sz w:val="24"/>
          <w:u w:val="single"/>
        </w:rPr>
        <w:t>厚渗透系数</w:t>
      </w:r>
      <w:r w:rsidR="003A5258" w:rsidRPr="006D7A78">
        <w:rPr>
          <w:rFonts w:asciiTheme="minorHAnsi" w:hAnsiTheme="minorHAnsi"/>
          <w:b/>
          <w:sz w:val="24"/>
          <w:u w:val="single"/>
        </w:rPr>
        <w:t>≤10</w:t>
      </w:r>
      <w:r w:rsidR="003A5258" w:rsidRPr="006D7A78">
        <w:rPr>
          <w:rFonts w:asciiTheme="minorHAnsi" w:hAnsiTheme="minorHAnsi"/>
          <w:b/>
          <w:sz w:val="24"/>
          <w:u w:val="single"/>
          <w:vertAlign w:val="superscript"/>
        </w:rPr>
        <w:t>-7</w:t>
      </w:r>
      <w:r w:rsidR="003A5258" w:rsidRPr="006D7A78">
        <w:rPr>
          <w:rFonts w:asciiTheme="minorHAnsi" w:hAnsiTheme="minorHAnsi"/>
          <w:b/>
          <w:sz w:val="24"/>
          <w:u w:val="single"/>
        </w:rPr>
        <w:t>cm/s</w:t>
      </w:r>
      <w:r w:rsidR="003A5258" w:rsidRPr="006D7A78">
        <w:rPr>
          <w:rFonts w:asciiTheme="minorHAnsi" w:hAnsiTheme="minorHAnsi"/>
          <w:b/>
          <w:sz w:val="24"/>
          <w:u w:val="single"/>
        </w:rPr>
        <w:t>。</w:t>
      </w:r>
    </w:p>
    <w:p w14:paraId="185EE332" w14:textId="77777777" w:rsidR="0008646C" w:rsidRPr="006D7A78" w:rsidRDefault="0008646C" w:rsidP="0008646C">
      <w:pPr>
        <w:spacing w:line="520" w:lineRule="exact"/>
        <w:ind w:firstLineChars="200" w:firstLine="482"/>
        <w:rPr>
          <w:b/>
          <w:sz w:val="24"/>
          <w:u w:val="single"/>
        </w:rPr>
      </w:pPr>
      <w:r w:rsidRPr="006D7A78">
        <w:rPr>
          <w:rFonts w:ascii="宋体" w:hAnsi="宋体" w:cs="宋体" w:hint="eastAsia"/>
          <w:b/>
          <w:sz w:val="24"/>
          <w:u w:val="single"/>
        </w:rPr>
        <w:t>②</w:t>
      </w:r>
      <w:r w:rsidRPr="006D7A78">
        <w:rPr>
          <w:b/>
          <w:sz w:val="24"/>
          <w:u w:val="single"/>
        </w:rPr>
        <w:t>各类输送系统等进行防渗漏处理；选用优质设备和管件，加强日常环境管理，管网维护、日常巡查、对易腐蚀的管网及附属设施等采取防腐蚀措施，严格控制设备和管道的跑、冒、滴、漏现象；</w:t>
      </w:r>
    </w:p>
    <w:p w14:paraId="0B3EC710" w14:textId="77777777" w:rsidR="0008646C" w:rsidRPr="003A5258" w:rsidRDefault="0008646C" w:rsidP="0008646C">
      <w:pPr>
        <w:spacing w:line="520" w:lineRule="exact"/>
        <w:ind w:firstLineChars="200" w:firstLine="480"/>
        <w:rPr>
          <w:sz w:val="24"/>
        </w:rPr>
      </w:pPr>
      <w:r w:rsidRPr="003A5258">
        <w:rPr>
          <w:rFonts w:ascii="宋体" w:hAnsi="宋体" w:cs="宋体" w:hint="eastAsia"/>
          <w:sz w:val="24"/>
        </w:rPr>
        <w:t>③</w:t>
      </w:r>
      <w:r w:rsidRPr="003A5258">
        <w:rPr>
          <w:sz w:val="24"/>
        </w:rPr>
        <w:t>危险废物存放于专门暂存库内，不设置露天堆场；</w:t>
      </w:r>
    </w:p>
    <w:p w14:paraId="026778BF" w14:textId="77777777" w:rsidR="0008646C" w:rsidRPr="003A5258" w:rsidRDefault="0008646C" w:rsidP="0008646C">
      <w:pPr>
        <w:spacing w:line="520" w:lineRule="exact"/>
        <w:ind w:firstLineChars="200" w:firstLine="480"/>
        <w:rPr>
          <w:sz w:val="24"/>
        </w:rPr>
      </w:pPr>
      <w:r w:rsidRPr="003A5258">
        <w:rPr>
          <w:rFonts w:ascii="宋体" w:hAnsi="宋体" w:cs="宋体" w:hint="eastAsia"/>
          <w:sz w:val="24"/>
        </w:rPr>
        <w:t>④</w:t>
      </w:r>
      <w:r w:rsidRPr="003A5258">
        <w:rPr>
          <w:sz w:val="24"/>
        </w:rPr>
        <w:t>管道、阀门防渗漏措施</w:t>
      </w:r>
    </w:p>
    <w:p w14:paraId="568FF93F" w14:textId="77777777" w:rsidR="0008646C" w:rsidRPr="006D7A78" w:rsidRDefault="0008646C" w:rsidP="0008646C">
      <w:pPr>
        <w:spacing w:line="520" w:lineRule="exact"/>
        <w:ind w:firstLineChars="200" w:firstLine="482"/>
        <w:rPr>
          <w:b/>
          <w:sz w:val="24"/>
          <w:u w:val="single"/>
        </w:rPr>
      </w:pPr>
      <w:r w:rsidRPr="006D7A78">
        <w:rPr>
          <w:b/>
          <w:sz w:val="24"/>
          <w:u w:val="single"/>
        </w:rPr>
        <w:t>阀门采用优质产品，对于地上管道、阀门派专人负责随时观察，如出现渗漏问题及时解决。对工艺要求必须地下走管的管道、阀门设专用防渗管沟，管沟上设活动观察顶盖，以便出现渗漏问题及时观察、解决，管沟与消防水池相连，并设计合理的排水坡度，便于废水排至消防水池。</w:t>
      </w:r>
    </w:p>
    <w:p w14:paraId="6C59D920" w14:textId="77777777" w:rsidR="0008646C" w:rsidRPr="003A5258" w:rsidRDefault="0008646C" w:rsidP="0008646C">
      <w:pPr>
        <w:spacing w:line="520" w:lineRule="exact"/>
        <w:ind w:firstLineChars="200" w:firstLine="480"/>
        <w:rPr>
          <w:sz w:val="24"/>
        </w:rPr>
      </w:pPr>
      <w:r w:rsidRPr="003A5258">
        <w:rPr>
          <w:rFonts w:ascii="宋体" w:hAnsi="宋体" w:cs="宋体" w:hint="eastAsia"/>
          <w:sz w:val="24"/>
        </w:rPr>
        <w:t>⑤</w:t>
      </w:r>
      <w:r w:rsidRPr="003A5258">
        <w:rPr>
          <w:sz w:val="24"/>
        </w:rPr>
        <w:t>生产厂区其他区域（除绿化用地之外）应全部进行硬化处理，实现厂区不裸露土层。</w:t>
      </w:r>
    </w:p>
    <w:p w14:paraId="4DEB9F67" w14:textId="77777777" w:rsidR="006D7A78" w:rsidRPr="003A5258" w:rsidRDefault="006D7A78" w:rsidP="006D7A78">
      <w:pPr>
        <w:spacing w:line="520" w:lineRule="exact"/>
        <w:ind w:firstLineChars="200" w:firstLine="480"/>
        <w:rPr>
          <w:sz w:val="24"/>
        </w:rPr>
      </w:pPr>
      <w:r w:rsidRPr="003A5258">
        <w:rPr>
          <w:sz w:val="24"/>
        </w:rPr>
        <w:t>由污染途径及对应措施分析可知，项目对可能产生地下水影响的各项途径均进行有效预防，在确保各项防渗措施得以落实，并加强维护和厂区环境管理的前提下，可有效控制项目产生的污染物下渗现象，避免污染地下水，因此项目不会对区域地下水环境产生明显影响。</w:t>
      </w:r>
    </w:p>
    <w:p w14:paraId="634F1925" w14:textId="77777777" w:rsidR="0008646C" w:rsidRPr="006D7A78" w:rsidRDefault="0008646C" w:rsidP="0008646C">
      <w:pPr>
        <w:spacing w:line="520" w:lineRule="exact"/>
        <w:ind w:firstLineChars="200" w:firstLine="480"/>
        <w:rPr>
          <w:rFonts w:asciiTheme="minorHAnsi" w:hAnsiTheme="minorHAnsi"/>
          <w:sz w:val="24"/>
        </w:rPr>
      </w:pPr>
    </w:p>
    <w:p w14:paraId="6C847B67" w14:textId="77777777" w:rsidR="0008646C" w:rsidRDefault="0008646C" w:rsidP="0008646C">
      <w:pPr>
        <w:spacing w:line="520" w:lineRule="exact"/>
        <w:ind w:firstLineChars="200" w:firstLine="480"/>
        <w:rPr>
          <w:rFonts w:asciiTheme="minorHAnsi" w:hAnsiTheme="minorHAnsi"/>
          <w:sz w:val="24"/>
        </w:rPr>
      </w:pPr>
    </w:p>
    <w:p w14:paraId="317F0BE4" w14:textId="77777777" w:rsidR="0008646C" w:rsidRPr="003A5258" w:rsidRDefault="0008646C" w:rsidP="0008646C">
      <w:pPr>
        <w:spacing w:line="520" w:lineRule="exact"/>
        <w:rPr>
          <w:rFonts w:asciiTheme="minorHAnsi" w:hAnsiTheme="minorHAnsi"/>
          <w:sz w:val="24"/>
        </w:rPr>
      </w:pPr>
    </w:p>
    <w:p w14:paraId="71F7EBD6" w14:textId="77777777" w:rsidR="003E0795" w:rsidRPr="00A964FF" w:rsidRDefault="003E0795" w:rsidP="003E0795">
      <w:pPr>
        <w:pStyle w:val="00"/>
        <w:rPr>
          <w:rFonts w:ascii="Calibri" w:hAnsi="Calibri"/>
          <w:b/>
          <w:color w:val="auto"/>
        </w:rPr>
      </w:pPr>
      <w:r w:rsidRPr="00A964FF">
        <w:rPr>
          <w:rFonts w:ascii="Calibri" w:hAnsi="Calibri" w:hint="eastAsia"/>
          <w:b/>
          <w:color w:val="auto"/>
        </w:rPr>
        <w:lastRenderedPageBreak/>
        <w:t>3</w:t>
      </w:r>
      <w:r w:rsidRPr="00A964FF">
        <w:rPr>
          <w:rFonts w:ascii="Calibri" w:hAnsi="Calibri" w:hint="eastAsia"/>
          <w:b/>
          <w:color w:val="auto"/>
        </w:rPr>
        <w:t>、环境管理</w:t>
      </w:r>
    </w:p>
    <w:p w14:paraId="4F1F71EB" w14:textId="77777777" w:rsidR="003E0795" w:rsidRPr="00A964FF" w:rsidRDefault="003E0795" w:rsidP="003E0795">
      <w:pPr>
        <w:pStyle w:val="00"/>
        <w:rPr>
          <w:rFonts w:ascii="Calibri" w:hAnsi="Calibri"/>
          <w:color w:val="auto"/>
        </w:rPr>
      </w:pPr>
      <w:r w:rsidRPr="00A964FF">
        <w:rPr>
          <w:rFonts w:ascii="Calibri" w:hAnsi="Calibri" w:hint="eastAsia"/>
          <w:color w:val="auto"/>
        </w:rPr>
        <w:t>加强危废收集、贮存和清运以及液态</w:t>
      </w:r>
      <w:r w:rsidR="00D921A0" w:rsidRPr="00A964FF">
        <w:rPr>
          <w:rFonts w:ascii="Calibri" w:hAnsi="Calibri" w:hint="eastAsia"/>
          <w:color w:val="auto"/>
        </w:rPr>
        <w:t>物料的储存、转运</w:t>
      </w:r>
      <w:r w:rsidRPr="00A964FF">
        <w:rPr>
          <w:rFonts w:ascii="Calibri" w:hAnsi="Calibri" w:hint="eastAsia"/>
          <w:color w:val="auto"/>
        </w:rPr>
        <w:t>和使用的管理，对盛装危废的容器应进行严格把关，容器材质应与危险废物本身相容（不相互反应）；加强</w:t>
      </w:r>
      <w:r w:rsidR="007A1186" w:rsidRPr="00A964FF">
        <w:rPr>
          <w:rFonts w:ascii="Calibri" w:hAnsi="Calibri" w:hint="eastAsia"/>
          <w:color w:val="auto"/>
        </w:rPr>
        <w:t>危险废物</w:t>
      </w:r>
      <w:r w:rsidRPr="00A964FF">
        <w:rPr>
          <w:rFonts w:ascii="Calibri" w:hAnsi="Calibri" w:hint="eastAsia"/>
          <w:color w:val="auto"/>
        </w:rPr>
        <w:t>、液态</w:t>
      </w:r>
      <w:r w:rsidR="00D921A0" w:rsidRPr="00A964FF">
        <w:rPr>
          <w:rFonts w:ascii="Calibri" w:hAnsi="Calibri" w:hint="eastAsia"/>
          <w:color w:val="auto"/>
        </w:rPr>
        <w:t>物料</w:t>
      </w:r>
      <w:r w:rsidRPr="00A964FF">
        <w:rPr>
          <w:rFonts w:ascii="Calibri" w:hAnsi="Calibri" w:hint="eastAsia"/>
          <w:color w:val="auto"/>
        </w:rPr>
        <w:t>的日常检查，保证容器的完好程度，对生产过程洒落、滴漏的少量污染物应及时收集处理。厂区内应常备收集装置，一旦发现盛装危废或原料容器发生破损，应立即将危废和</w:t>
      </w:r>
      <w:r w:rsidR="00D921A0" w:rsidRPr="00A964FF">
        <w:rPr>
          <w:rFonts w:ascii="Calibri" w:hAnsi="Calibri" w:hint="eastAsia"/>
          <w:color w:val="auto"/>
        </w:rPr>
        <w:t>物料</w:t>
      </w:r>
      <w:r w:rsidRPr="00A964FF">
        <w:rPr>
          <w:rFonts w:ascii="Calibri" w:hAnsi="Calibri" w:hint="eastAsia"/>
          <w:color w:val="auto"/>
        </w:rPr>
        <w:t>转移到完好的</w:t>
      </w:r>
      <w:r w:rsidR="0052157C" w:rsidRPr="00A964FF">
        <w:rPr>
          <w:rFonts w:ascii="Calibri" w:hAnsi="Calibri" w:hint="eastAsia"/>
          <w:color w:val="auto"/>
        </w:rPr>
        <w:t>收集装置</w:t>
      </w:r>
      <w:r w:rsidRPr="00A964FF">
        <w:rPr>
          <w:rFonts w:ascii="Calibri" w:hAnsi="Calibri" w:hint="eastAsia"/>
          <w:color w:val="auto"/>
        </w:rPr>
        <w:t>内进行存放，并对泄漏的污染物进行收集处理。</w:t>
      </w:r>
    </w:p>
    <w:p w14:paraId="046223E9" w14:textId="77777777" w:rsidR="003E0795" w:rsidRPr="00A964FF" w:rsidRDefault="003E0795" w:rsidP="003E0795">
      <w:pPr>
        <w:pStyle w:val="00"/>
        <w:rPr>
          <w:rFonts w:ascii="Calibri" w:hAnsi="Calibri"/>
          <w:b/>
          <w:color w:val="auto"/>
        </w:rPr>
      </w:pPr>
      <w:r w:rsidRPr="00A964FF">
        <w:rPr>
          <w:rFonts w:ascii="Calibri" w:hAnsi="Calibri" w:hint="eastAsia"/>
          <w:b/>
          <w:color w:val="auto"/>
        </w:rPr>
        <w:t>4</w:t>
      </w:r>
      <w:r w:rsidRPr="00A964FF">
        <w:rPr>
          <w:rFonts w:ascii="Calibri" w:hAnsi="Calibri" w:hint="eastAsia"/>
          <w:b/>
          <w:color w:val="auto"/>
        </w:rPr>
        <w:t>、跟踪监测</w:t>
      </w:r>
    </w:p>
    <w:p w14:paraId="44084576" w14:textId="77777777" w:rsidR="003E0795" w:rsidRPr="00A964FF" w:rsidRDefault="003E0795" w:rsidP="003E0795">
      <w:pPr>
        <w:pStyle w:val="00"/>
        <w:rPr>
          <w:rFonts w:ascii="Calibri"/>
          <w:color w:val="auto"/>
        </w:rPr>
      </w:pPr>
      <w:r w:rsidRPr="00A964FF">
        <w:rPr>
          <w:rFonts w:ascii="Calibri" w:hint="eastAsia"/>
          <w:color w:val="auto"/>
        </w:rPr>
        <w:t>跟踪监测工作主要针对项目运营期间的污染排放实施常规的和特征污染物的监测，监测各项污染物排放是否达标，判断污染治理设施是否有效运行，为环境管理和生产管理提供数据，有助于及时发现问题，尽快采取措施，消除事故</w:t>
      </w:r>
      <w:r w:rsidR="00F42D2E">
        <w:rPr>
          <w:rFonts w:ascii="Calibri" w:hint="eastAsia"/>
          <w:color w:val="auto"/>
        </w:rPr>
        <w:t>隐患</w:t>
      </w:r>
      <w:r w:rsidRPr="00A964FF">
        <w:rPr>
          <w:rFonts w:ascii="Calibri" w:hint="eastAsia"/>
          <w:color w:val="auto"/>
        </w:rPr>
        <w:t>。</w:t>
      </w:r>
    </w:p>
    <w:p w14:paraId="0C5D92F7" w14:textId="77777777" w:rsidR="003E0795" w:rsidRPr="00A964FF" w:rsidRDefault="003E0795" w:rsidP="00006552">
      <w:pPr>
        <w:pStyle w:val="00"/>
        <w:ind w:firstLineChars="200"/>
        <w:rPr>
          <w:rFonts w:ascii="Calibri"/>
          <w:color w:val="auto"/>
        </w:rPr>
      </w:pPr>
      <w:r w:rsidRPr="00A964FF">
        <w:rPr>
          <w:rFonts w:ascii="Calibri" w:hint="eastAsia"/>
          <w:color w:val="auto"/>
        </w:rPr>
        <w:t>根据项目实际情况，企业应在厂区设置</w:t>
      </w:r>
      <w:r w:rsidR="0052157C" w:rsidRPr="00A964FF">
        <w:rPr>
          <w:rFonts w:ascii="Calibri" w:hint="eastAsia"/>
          <w:color w:val="auto"/>
        </w:rPr>
        <w:t>3</w:t>
      </w:r>
      <w:r w:rsidRPr="00A964FF">
        <w:rPr>
          <w:rFonts w:ascii="Calibri" w:hint="eastAsia"/>
          <w:color w:val="auto"/>
        </w:rPr>
        <w:t>眼跟踪监测井，在生产运营过程中，应按照监测计划，及时开展跟踪监测。</w:t>
      </w:r>
    </w:p>
    <w:p w14:paraId="7CDBD210" w14:textId="77777777" w:rsidR="003E0795" w:rsidRPr="00A964FF" w:rsidRDefault="003E0795" w:rsidP="003E0795">
      <w:pPr>
        <w:pStyle w:val="00"/>
        <w:ind w:firstLineChars="150" w:firstLine="361"/>
        <w:rPr>
          <w:rFonts w:ascii="Calibri"/>
          <w:b/>
          <w:color w:val="auto"/>
        </w:rPr>
      </w:pPr>
      <w:r w:rsidRPr="00A964FF">
        <w:rPr>
          <w:rFonts w:ascii="Calibri" w:hint="eastAsia"/>
          <w:b/>
          <w:color w:val="auto"/>
        </w:rPr>
        <w:t>5</w:t>
      </w:r>
      <w:r w:rsidRPr="00A964FF">
        <w:rPr>
          <w:rFonts w:ascii="Calibri" w:hint="eastAsia"/>
          <w:b/>
          <w:color w:val="auto"/>
        </w:rPr>
        <w:t>、应急响应</w:t>
      </w:r>
    </w:p>
    <w:p w14:paraId="1816A2D5" w14:textId="77777777" w:rsidR="003E0795" w:rsidRPr="00A964FF" w:rsidRDefault="003E0795" w:rsidP="003E0795">
      <w:pPr>
        <w:pStyle w:val="00"/>
        <w:ind w:firstLineChars="200"/>
        <w:rPr>
          <w:rFonts w:ascii="Calibri"/>
          <w:color w:val="auto"/>
        </w:rPr>
      </w:pPr>
      <w:r w:rsidRPr="00A964FF">
        <w:rPr>
          <w:rFonts w:ascii="Calibri" w:hint="eastAsia"/>
          <w:color w:val="auto"/>
        </w:rPr>
        <w:t>企业应</w:t>
      </w:r>
      <w:r w:rsidR="00937409" w:rsidRPr="00A964FF">
        <w:rPr>
          <w:rFonts w:ascii="Calibri" w:hint="eastAsia"/>
          <w:color w:val="auto"/>
        </w:rPr>
        <w:t>制定</w:t>
      </w:r>
      <w:r w:rsidRPr="00A964FF">
        <w:rPr>
          <w:rFonts w:ascii="Calibri" w:hint="eastAsia"/>
          <w:color w:val="auto"/>
        </w:rPr>
        <w:t>地下水污染应急响应预案</w:t>
      </w:r>
      <w:r w:rsidR="00613DAD" w:rsidRPr="00A964FF">
        <w:rPr>
          <w:rFonts w:ascii="Calibri" w:hint="eastAsia"/>
          <w:color w:val="auto"/>
        </w:rPr>
        <w:t>，</w:t>
      </w:r>
      <w:r w:rsidRPr="00A964FF">
        <w:rPr>
          <w:rFonts w:ascii="Calibri" w:hint="eastAsia"/>
          <w:color w:val="auto"/>
        </w:rPr>
        <w:t>在地下水跟踪监测过程中，发现地下水受到污染，应立即启动应急响应预案，并上当地</w:t>
      </w:r>
      <w:r w:rsidR="0052157C" w:rsidRPr="00A964FF">
        <w:rPr>
          <w:rFonts w:ascii="Calibri" w:hint="eastAsia"/>
          <w:color w:val="auto"/>
        </w:rPr>
        <w:t>生态环境局</w:t>
      </w:r>
      <w:r w:rsidRPr="00A964FF">
        <w:rPr>
          <w:rFonts w:ascii="Calibri" w:hint="eastAsia"/>
          <w:color w:val="auto"/>
        </w:rPr>
        <w:t>及政府部门，公告当地居民。并根据污染特性，采取相应的控制污染源、切断污染途径等措施。</w:t>
      </w:r>
    </w:p>
    <w:p w14:paraId="377171F6" w14:textId="77777777" w:rsidR="00074492" w:rsidRPr="00A964FF" w:rsidRDefault="00D921A0" w:rsidP="00006552">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本</w:t>
      </w:r>
      <w:r w:rsidR="003E0795" w:rsidRPr="00A964FF">
        <w:rPr>
          <w:rFonts w:ascii="Calibri" w:eastAsia="宋体" w:hAnsi="Calibri" w:hint="eastAsia"/>
          <w:b w:val="0"/>
          <w:color w:val="auto"/>
          <w:sz w:val="24"/>
        </w:rPr>
        <w:t>项目地下水分区防范防渗及监测井布设投资估算为</w:t>
      </w:r>
      <w:r w:rsidR="00006552">
        <w:rPr>
          <w:rFonts w:ascii="Calibri" w:eastAsia="宋体" w:hAnsi="Calibri"/>
          <w:b w:val="0"/>
          <w:color w:val="auto"/>
          <w:sz w:val="24"/>
        </w:rPr>
        <w:t>15</w:t>
      </w:r>
      <w:r w:rsidRPr="00A964FF">
        <w:rPr>
          <w:rFonts w:ascii="Calibri" w:eastAsia="宋体" w:hAnsi="Calibri" w:hint="eastAsia"/>
          <w:b w:val="0"/>
          <w:color w:val="auto"/>
          <w:sz w:val="24"/>
        </w:rPr>
        <w:t>0</w:t>
      </w:r>
      <w:r w:rsidR="003E0795" w:rsidRPr="00A964FF">
        <w:rPr>
          <w:rFonts w:ascii="Calibri" w:eastAsia="宋体" w:hAnsi="Calibri" w:hint="eastAsia"/>
          <w:b w:val="0"/>
          <w:color w:val="auto"/>
          <w:sz w:val="24"/>
        </w:rPr>
        <w:t>万元，经济上具有可行性。</w:t>
      </w:r>
    </w:p>
    <w:p w14:paraId="162DC722" w14:textId="77777777" w:rsidR="0055605A" w:rsidRPr="00A964FF" w:rsidRDefault="0055605A" w:rsidP="0055605A">
      <w:pPr>
        <w:pStyle w:val="3a"/>
      </w:pPr>
      <w:r w:rsidRPr="00A964FF">
        <w:rPr>
          <w:rFonts w:hint="eastAsia"/>
        </w:rPr>
        <w:t>5</w:t>
      </w:r>
      <w:r w:rsidRPr="00A964FF">
        <w:t>.2.</w:t>
      </w:r>
      <w:r w:rsidRPr="00A964FF">
        <w:rPr>
          <w:rFonts w:hint="eastAsia"/>
        </w:rPr>
        <w:t>4</w:t>
      </w:r>
      <w:r w:rsidRPr="00A964FF">
        <w:t>噪声污染治理措施</w:t>
      </w:r>
    </w:p>
    <w:p w14:paraId="753D11E1" w14:textId="77777777" w:rsidR="00207D2C" w:rsidRDefault="0052157C" w:rsidP="00207D2C">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本项目营运后噪声污染源主要为</w:t>
      </w:r>
      <w:r w:rsidR="00B91D26" w:rsidRPr="00A964FF">
        <w:rPr>
          <w:rFonts w:ascii="Calibri" w:eastAsia="宋体" w:hAnsi="Calibri" w:hint="eastAsia"/>
          <w:b w:val="0"/>
          <w:color w:val="auto"/>
          <w:sz w:val="24"/>
        </w:rPr>
        <w:t>各类生产设备</w:t>
      </w:r>
      <w:r w:rsidR="00392BB9" w:rsidRPr="00A964FF">
        <w:rPr>
          <w:rFonts w:ascii="Calibri" w:eastAsia="宋体" w:hAnsi="Calibri" w:hint="eastAsia"/>
          <w:b w:val="0"/>
          <w:color w:val="auto"/>
          <w:sz w:val="24"/>
        </w:rPr>
        <w:t>、各类泵机、各类风机</w:t>
      </w:r>
      <w:r w:rsidRPr="00A964FF">
        <w:rPr>
          <w:rFonts w:ascii="Calibri" w:eastAsia="宋体" w:hAnsi="Calibri" w:hint="eastAsia"/>
          <w:b w:val="0"/>
          <w:color w:val="auto"/>
          <w:sz w:val="24"/>
        </w:rPr>
        <w:t>等，其噪声源强在</w:t>
      </w:r>
      <w:r w:rsidR="00207D2C">
        <w:rPr>
          <w:rFonts w:ascii="Calibri" w:eastAsia="宋体" w:hAnsi="Calibri"/>
          <w:b w:val="0"/>
          <w:color w:val="auto"/>
          <w:sz w:val="24"/>
        </w:rPr>
        <w:t>8</w:t>
      </w:r>
      <w:r w:rsidR="00074492">
        <w:rPr>
          <w:rFonts w:ascii="Calibri" w:eastAsia="宋体" w:hAnsi="Calibri" w:hint="eastAsia"/>
          <w:b w:val="0"/>
          <w:color w:val="auto"/>
          <w:sz w:val="24"/>
        </w:rPr>
        <w:t>5</w:t>
      </w:r>
      <w:r w:rsidRPr="00A964FF">
        <w:rPr>
          <w:rFonts w:ascii="Calibri" w:eastAsia="宋体" w:hAnsi="Calibri" w:hint="eastAsia"/>
          <w:b w:val="0"/>
          <w:color w:val="auto"/>
          <w:sz w:val="24"/>
        </w:rPr>
        <w:t>～</w:t>
      </w:r>
      <w:r w:rsidR="00910C85" w:rsidRPr="00A964FF">
        <w:rPr>
          <w:rFonts w:ascii="Calibri" w:eastAsia="宋体" w:hAnsi="Calibri" w:hint="eastAsia"/>
          <w:b w:val="0"/>
          <w:color w:val="auto"/>
          <w:sz w:val="24"/>
        </w:rPr>
        <w:t>9</w:t>
      </w:r>
      <w:r w:rsidR="00392BB9" w:rsidRPr="00A964FF">
        <w:rPr>
          <w:rFonts w:ascii="Calibri" w:eastAsia="宋体" w:hAnsi="Calibri" w:hint="eastAsia"/>
          <w:b w:val="0"/>
          <w:color w:val="auto"/>
          <w:sz w:val="24"/>
        </w:rPr>
        <w:t>0</w:t>
      </w:r>
      <w:r w:rsidRPr="00A964FF">
        <w:rPr>
          <w:rFonts w:ascii="Calibri" w:eastAsia="宋体" w:hAnsi="Calibri" w:hint="eastAsia"/>
          <w:b w:val="0"/>
          <w:color w:val="auto"/>
          <w:sz w:val="24"/>
        </w:rPr>
        <w:t>dB</w:t>
      </w:r>
      <w:r w:rsidR="00910C85" w:rsidRPr="00A964FF">
        <w:rPr>
          <w:rFonts w:ascii="Calibri" w:eastAsia="宋体" w:hAnsi="Calibri" w:hint="eastAsia"/>
          <w:b w:val="0"/>
          <w:color w:val="auto"/>
          <w:sz w:val="24"/>
        </w:rPr>
        <w:t>之间，</w:t>
      </w:r>
      <w:r w:rsidR="00207D2C">
        <w:rPr>
          <w:rFonts w:ascii="Calibri" w:eastAsia="宋体" w:hAnsi="Calibri" w:hint="eastAsia"/>
          <w:b w:val="0"/>
          <w:color w:val="auto"/>
          <w:sz w:val="24"/>
        </w:rPr>
        <w:t>坚持</w:t>
      </w:r>
      <w:r w:rsidR="00207D2C">
        <w:rPr>
          <w:rFonts w:ascii="Calibri" w:eastAsia="宋体" w:hAnsi="Calibri"/>
          <w:b w:val="0"/>
          <w:color w:val="auto"/>
          <w:sz w:val="24"/>
        </w:rPr>
        <w:t>统</w:t>
      </w:r>
      <w:r w:rsidR="00207D2C">
        <w:rPr>
          <w:rFonts w:ascii="Calibri" w:eastAsia="宋体" w:hAnsi="Calibri" w:hint="eastAsia"/>
          <w:b w:val="0"/>
          <w:color w:val="auto"/>
          <w:sz w:val="24"/>
        </w:rPr>
        <w:t>规划</w:t>
      </w:r>
      <w:r w:rsidR="00207D2C">
        <w:rPr>
          <w:rFonts w:ascii="Calibri" w:eastAsia="宋体" w:hAnsi="Calibri"/>
          <w:b w:val="0"/>
          <w:color w:val="auto"/>
          <w:sz w:val="24"/>
        </w:rPr>
        <w:t>、源头防控、分类管理、社会共治、损害担责的原则。</w:t>
      </w:r>
      <w:r w:rsidR="00207D2C" w:rsidRPr="00A964FF">
        <w:rPr>
          <w:rFonts w:ascii="Calibri" w:eastAsia="宋体" w:hAnsi="Calibri" w:hint="eastAsia"/>
          <w:b w:val="0"/>
          <w:color w:val="auto"/>
          <w:sz w:val="24"/>
        </w:rPr>
        <w:t>拟采取隔声、减振、消声等降噪措施，具体治理措施如下：</w:t>
      </w:r>
    </w:p>
    <w:p w14:paraId="42E3DD39"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1</w:t>
      </w:r>
      <w:r w:rsidRPr="00A964FF">
        <w:rPr>
          <w:rFonts w:ascii="Calibri" w:eastAsia="宋体" w:hAnsi="Calibri" w:hint="eastAsia"/>
          <w:b w:val="0"/>
          <w:color w:val="auto"/>
          <w:sz w:val="24"/>
        </w:rPr>
        <w:t>）从声源上降噪</w:t>
      </w:r>
    </w:p>
    <w:p w14:paraId="3AAAB08B"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根据本项目噪声源特征，建议在设计和设备采购阶段，在满足工艺设计的前提下，优先选用低噪声、低振动型号的设备，如低噪的设备，从而从声源上降低设备本</w:t>
      </w:r>
      <w:r w:rsidRPr="00A964FF">
        <w:rPr>
          <w:rFonts w:ascii="Calibri" w:eastAsia="宋体" w:hAnsi="Calibri" w:hint="eastAsia"/>
          <w:b w:val="0"/>
          <w:color w:val="auto"/>
          <w:sz w:val="24"/>
        </w:rPr>
        <w:lastRenderedPageBreak/>
        <w:t>身的噪声。</w:t>
      </w:r>
    </w:p>
    <w:p w14:paraId="4143A05C"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为防止振动产生的噪声污染，本项目各类噪声设备均设置</w:t>
      </w:r>
      <w:r w:rsidR="00392BB9" w:rsidRPr="00A964FF">
        <w:rPr>
          <w:rFonts w:ascii="Calibri" w:eastAsia="宋体" w:hAnsi="Calibri" w:hint="eastAsia"/>
          <w:b w:val="0"/>
          <w:color w:val="auto"/>
          <w:sz w:val="24"/>
        </w:rPr>
        <w:t>独立</w:t>
      </w:r>
      <w:r w:rsidRPr="00A964FF">
        <w:rPr>
          <w:rFonts w:ascii="Calibri" w:eastAsia="宋体" w:hAnsi="Calibri" w:hint="eastAsia"/>
          <w:b w:val="0"/>
          <w:color w:val="auto"/>
          <w:sz w:val="24"/>
        </w:rPr>
        <w:t>基础，并加设减振垫，以防治振动产生噪声。</w:t>
      </w:r>
    </w:p>
    <w:p w14:paraId="5A6BB76C"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2</w:t>
      </w:r>
      <w:r w:rsidRPr="00A964FF">
        <w:rPr>
          <w:rFonts w:ascii="Calibri" w:eastAsia="宋体" w:hAnsi="Calibri" w:hint="eastAsia"/>
          <w:b w:val="0"/>
          <w:color w:val="auto"/>
          <w:sz w:val="24"/>
        </w:rPr>
        <w:t>）从传播途径上降噪</w:t>
      </w:r>
    </w:p>
    <w:p w14:paraId="71688771"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综合降噪措施：除选择低</w:t>
      </w:r>
      <w:r w:rsidR="00613DAD" w:rsidRPr="00A964FF">
        <w:rPr>
          <w:rFonts w:ascii="Calibri" w:eastAsia="宋体" w:hAnsi="Calibri" w:hint="eastAsia"/>
          <w:b w:val="0"/>
          <w:color w:val="auto"/>
          <w:sz w:val="24"/>
        </w:rPr>
        <w:t>噪声</w:t>
      </w:r>
      <w:r w:rsidRPr="00A964FF">
        <w:rPr>
          <w:rFonts w:ascii="Calibri" w:eastAsia="宋体" w:hAnsi="Calibri" w:hint="eastAsia"/>
          <w:b w:val="0"/>
          <w:color w:val="auto"/>
          <w:sz w:val="24"/>
        </w:rPr>
        <w:t>设备外，在安装上注意到设备、风机本身应带减振底座，安装位置具有减振台基础，主排风管在风气出口要配置消声器，排风管道进出口加柔性软接头。</w:t>
      </w:r>
    </w:p>
    <w:p w14:paraId="5220F8C1"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建筑物隔声：本项目所有生产设备均在车间内，因此噪声源均封闭在室内。按照国家环保局发布的《隔声窗》标准，车间隔声窗的隔声量大于</w:t>
      </w:r>
      <w:r w:rsidRPr="00A964FF">
        <w:rPr>
          <w:rFonts w:ascii="Calibri" w:eastAsia="宋体" w:hAnsi="Calibri" w:hint="eastAsia"/>
          <w:b w:val="0"/>
          <w:color w:val="auto"/>
          <w:sz w:val="24"/>
        </w:rPr>
        <w:t>25dB</w:t>
      </w:r>
      <w:r w:rsidRPr="00A964FF">
        <w:rPr>
          <w:rFonts w:ascii="Calibri" w:eastAsia="宋体" w:hAnsi="Calibri" w:hint="eastAsia"/>
          <w:b w:val="0"/>
          <w:color w:val="auto"/>
          <w:sz w:val="24"/>
        </w:rPr>
        <w:t>（</w:t>
      </w:r>
      <w:r w:rsidRPr="00A964FF">
        <w:rPr>
          <w:rFonts w:ascii="Calibri" w:eastAsia="宋体" w:hAnsi="Calibri" w:hint="eastAsia"/>
          <w:b w:val="0"/>
          <w:color w:val="auto"/>
          <w:sz w:val="24"/>
        </w:rPr>
        <w:t>A</w:t>
      </w:r>
      <w:r w:rsidRPr="00A964FF">
        <w:rPr>
          <w:rFonts w:ascii="Calibri" w:eastAsia="宋体" w:hAnsi="Calibri" w:hint="eastAsia"/>
          <w:b w:val="0"/>
          <w:color w:val="auto"/>
          <w:sz w:val="24"/>
        </w:rPr>
        <w:t>）。</w:t>
      </w:r>
    </w:p>
    <w:p w14:paraId="55F3E3F2"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3</w:t>
      </w:r>
      <w:r w:rsidRPr="00A964FF">
        <w:rPr>
          <w:rFonts w:ascii="Calibri" w:eastAsia="宋体" w:hAnsi="Calibri" w:hint="eastAsia"/>
          <w:b w:val="0"/>
          <w:color w:val="auto"/>
          <w:sz w:val="24"/>
        </w:rPr>
        <w:t>）合理布局</w:t>
      </w:r>
    </w:p>
    <w:p w14:paraId="087CA0F8"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建议将主要高噪声生产设备布置在厂区中部</w:t>
      </w:r>
      <w:r w:rsidR="00613DAD" w:rsidRPr="00A964FF">
        <w:rPr>
          <w:rFonts w:ascii="Calibri" w:eastAsia="宋体" w:hAnsi="Calibri" w:hint="eastAsia"/>
          <w:b w:val="0"/>
          <w:color w:val="auto"/>
          <w:sz w:val="24"/>
        </w:rPr>
        <w:t>，</w:t>
      </w:r>
      <w:r w:rsidRPr="00A964FF">
        <w:rPr>
          <w:rFonts w:ascii="Calibri" w:eastAsia="宋体" w:hAnsi="Calibri" w:hint="eastAsia"/>
          <w:b w:val="0"/>
          <w:color w:val="auto"/>
          <w:sz w:val="24"/>
        </w:rPr>
        <w:t>采用“闹静分开”和合理布局的设置原则，尽量将高噪声源远离厂界。在车间、厂区周围建设一定高度的隔声屏障，如围墙，减少对车间外或厂区外声环境的影响。</w:t>
      </w:r>
    </w:p>
    <w:p w14:paraId="30380CB5" w14:textId="77777777" w:rsidR="0055605A"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4</w:t>
      </w:r>
      <w:r w:rsidRPr="00A964FF">
        <w:rPr>
          <w:rFonts w:ascii="Calibri" w:eastAsia="宋体" w:hAnsi="Calibri" w:hint="eastAsia"/>
          <w:b w:val="0"/>
          <w:color w:val="auto"/>
          <w:sz w:val="24"/>
        </w:rPr>
        <w:t>）加强管理</w:t>
      </w:r>
    </w:p>
    <w:p w14:paraId="714C4196" w14:textId="77777777" w:rsidR="00613DAD" w:rsidRPr="00A964FF"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平时加强对各噪声设备的保养、检修与润滑，保证设备良好运转，减轻运行噪声强度，杜绝因设备不正常运转时产生的高噪声现象。</w:t>
      </w:r>
    </w:p>
    <w:p w14:paraId="157CFC6C" w14:textId="77777777" w:rsidR="0055605A" w:rsidRDefault="0055605A" w:rsidP="0055605A">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经预测可知，项目在采取相应降噪措施后，厂界噪声</w:t>
      </w:r>
      <w:r w:rsidR="00910C85" w:rsidRPr="00A964FF">
        <w:rPr>
          <w:rFonts w:ascii="Calibri" w:eastAsia="宋体" w:hAnsi="Calibri" w:hint="eastAsia"/>
          <w:b w:val="0"/>
          <w:color w:val="auto"/>
          <w:sz w:val="24"/>
        </w:rPr>
        <w:t>满足《工业企业厂界环境噪声排放标准》（</w:t>
      </w:r>
      <w:r w:rsidR="00910C85" w:rsidRPr="00A964FF">
        <w:rPr>
          <w:rFonts w:ascii="Calibri" w:eastAsia="宋体" w:hAnsi="Calibri" w:hint="eastAsia"/>
          <w:b w:val="0"/>
          <w:color w:val="auto"/>
          <w:sz w:val="24"/>
        </w:rPr>
        <w:t>GB12348-2008</w:t>
      </w:r>
      <w:r w:rsidR="00910C85" w:rsidRPr="00A964FF">
        <w:rPr>
          <w:rFonts w:ascii="Calibri" w:eastAsia="宋体" w:hAnsi="Calibri" w:hint="eastAsia"/>
          <w:b w:val="0"/>
          <w:color w:val="auto"/>
          <w:sz w:val="24"/>
        </w:rPr>
        <w:t>）中</w:t>
      </w:r>
      <w:r w:rsidR="007372A7">
        <w:rPr>
          <w:rFonts w:ascii="Calibri" w:eastAsia="宋体" w:hAnsi="Calibri" w:hint="eastAsia"/>
          <w:b w:val="0"/>
          <w:color w:val="auto"/>
          <w:sz w:val="24"/>
        </w:rPr>
        <w:t>3</w:t>
      </w:r>
      <w:r w:rsidR="00910C85" w:rsidRPr="00A964FF">
        <w:rPr>
          <w:rFonts w:ascii="Calibri" w:eastAsia="宋体" w:hAnsi="Calibri" w:hint="eastAsia"/>
          <w:b w:val="0"/>
          <w:color w:val="auto"/>
          <w:sz w:val="24"/>
        </w:rPr>
        <w:t>类标准要求，</w:t>
      </w:r>
      <w:r w:rsidRPr="00A964FF">
        <w:rPr>
          <w:rFonts w:ascii="Calibri" w:eastAsia="宋体" w:hAnsi="Calibri" w:hint="eastAsia"/>
          <w:b w:val="0"/>
          <w:color w:val="auto"/>
          <w:sz w:val="24"/>
        </w:rPr>
        <w:t>可以</w:t>
      </w:r>
      <w:r w:rsidR="00910C85" w:rsidRPr="00A964FF">
        <w:rPr>
          <w:rFonts w:ascii="Calibri" w:eastAsia="宋体" w:hAnsi="Calibri" w:hint="eastAsia"/>
          <w:b w:val="0"/>
          <w:color w:val="auto"/>
          <w:sz w:val="24"/>
        </w:rPr>
        <w:t>实现</w:t>
      </w:r>
      <w:r w:rsidRPr="00A964FF">
        <w:rPr>
          <w:rFonts w:ascii="Calibri" w:eastAsia="宋体" w:hAnsi="Calibri" w:hint="eastAsia"/>
          <w:b w:val="0"/>
          <w:color w:val="auto"/>
          <w:sz w:val="24"/>
        </w:rPr>
        <w:t>达标排放，项目所采取的噪声污染防治措施是可行的。</w:t>
      </w:r>
    </w:p>
    <w:p w14:paraId="76EC887B" w14:textId="77777777" w:rsidR="00AF6830" w:rsidRPr="0008646C" w:rsidRDefault="00207D2C" w:rsidP="0008646C">
      <w:pPr>
        <w:pStyle w:val="ad"/>
        <w:ind w:firstLineChars="200" w:firstLine="480"/>
        <w:rPr>
          <w:rFonts w:ascii="Calibri" w:eastAsia="宋体" w:hAnsi="Calibri"/>
          <w:b w:val="0"/>
          <w:color w:val="auto"/>
          <w:sz w:val="24"/>
        </w:rPr>
      </w:pPr>
      <w:r w:rsidRPr="00AC451F">
        <w:rPr>
          <w:rFonts w:ascii="Calibri" w:eastAsia="宋体" w:hAnsi="Calibri" w:hint="eastAsia"/>
          <w:b w:val="0"/>
          <w:color w:val="auto"/>
          <w:sz w:val="24"/>
        </w:rPr>
        <w:t>本项目</w:t>
      </w:r>
      <w:r w:rsidRPr="00AC451F">
        <w:rPr>
          <w:rFonts w:ascii="Calibri" w:eastAsia="宋体" w:hAnsi="Calibri"/>
          <w:b w:val="0"/>
          <w:color w:val="auto"/>
          <w:sz w:val="24"/>
        </w:rPr>
        <w:t>噪声防治措施及投资见表</w:t>
      </w:r>
      <w:r w:rsidRPr="00AC451F">
        <w:rPr>
          <w:rFonts w:ascii="Calibri" w:eastAsia="宋体" w:hAnsi="Calibri" w:hint="eastAsia"/>
          <w:b w:val="0"/>
          <w:color w:val="auto"/>
          <w:sz w:val="24"/>
        </w:rPr>
        <w:t>5.2-9</w:t>
      </w:r>
      <w:r w:rsidRPr="00AC451F">
        <w:rPr>
          <w:rFonts w:ascii="Calibri" w:eastAsia="宋体" w:hAnsi="Calibri" w:hint="eastAsia"/>
          <w:b w:val="0"/>
          <w:color w:val="auto"/>
          <w:sz w:val="24"/>
        </w:rPr>
        <w:t>。</w:t>
      </w:r>
    </w:p>
    <w:p w14:paraId="6B3CE14C" w14:textId="77777777" w:rsidR="00207D2C" w:rsidRPr="00AC451F" w:rsidRDefault="00207D2C" w:rsidP="00AC451F">
      <w:pPr>
        <w:pStyle w:val="00"/>
        <w:ind w:leftChars="50" w:left="105" w:firstLineChars="200"/>
        <w:rPr>
          <w:rFonts w:ascii="黑体" w:eastAsia="黑体" w:hAnsi="黑体"/>
          <w:color w:val="auto"/>
        </w:rPr>
      </w:pPr>
      <w:r w:rsidRPr="00AC451F">
        <w:rPr>
          <w:rFonts w:ascii="黑体" w:eastAsia="黑体" w:hAnsi="黑体" w:hint="eastAsia"/>
          <w:color w:val="auto"/>
        </w:rPr>
        <w:t>表</w:t>
      </w:r>
      <w:r w:rsidRPr="00AC451F">
        <w:rPr>
          <w:rFonts w:asciiTheme="minorHAnsi" w:eastAsia="黑体" w:hAnsiTheme="minorHAnsi"/>
          <w:color w:val="auto"/>
        </w:rPr>
        <w:t xml:space="preserve">5.2-9 </w:t>
      </w:r>
      <w:r w:rsidRPr="00AC451F">
        <w:rPr>
          <w:rFonts w:ascii="黑体" w:eastAsia="黑体" w:hAnsi="黑体"/>
          <w:color w:val="auto"/>
        </w:rPr>
        <w:t xml:space="preserve">              </w:t>
      </w:r>
      <w:r w:rsidRPr="00AC451F">
        <w:rPr>
          <w:rFonts w:ascii="黑体" w:eastAsia="黑体" w:hAnsi="黑体" w:hint="eastAsia"/>
          <w:color w:val="auto"/>
        </w:rPr>
        <w:t>噪声防治措施</w:t>
      </w:r>
      <w:r w:rsidRPr="00AC451F">
        <w:rPr>
          <w:rFonts w:ascii="黑体" w:eastAsia="黑体" w:hAnsi="黑体"/>
          <w:color w:val="auto"/>
        </w:rPr>
        <w:t>及投资</w:t>
      </w:r>
      <w:r w:rsidRPr="00AC451F">
        <w:rPr>
          <w:rFonts w:ascii="黑体" w:eastAsia="黑体" w:hAnsi="黑体" w:hint="eastAsia"/>
          <w:color w:val="auto"/>
        </w:rPr>
        <w:t>表</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50"/>
        <w:gridCol w:w="1970"/>
        <w:gridCol w:w="3261"/>
        <w:gridCol w:w="1134"/>
        <w:gridCol w:w="1485"/>
      </w:tblGrid>
      <w:tr w:rsidR="00207D2C" w:rsidRPr="00F42D2E" w14:paraId="06FD2712" w14:textId="77777777" w:rsidTr="00F42D2E">
        <w:trPr>
          <w:trHeight w:val="340"/>
        </w:trPr>
        <w:tc>
          <w:tcPr>
            <w:tcW w:w="2820" w:type="dxa"/>
            <w:gridSpan w:val="2"/>
            <w:vAlign w:val="center"/>
          </w:tcPr>
          <w:p w14:paraId="199C2250" w14:textId="77777777" w:rsidR="00AC451F" w:rsidRPr="00F42D2E" w:rsidRDefault="00207D2C"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噪声防治</w:t>
            </w:r>
            <w:r w:rsidR="00AC451F" w:rsidRPr="00F42D2E">
              <w:rPr>
                <w:rFonts w:ascii="Calibri"/>
                <w:color w:val="auto"/>
                <w:sz w:val="21"/>
                <w:szCs w:val="21"/>
              </w:rPr>
              <w:t>措施</w:t>
            </w:r>
          </w:p>
          <w:p w14:paraId="15DD1ABA" w14:textId="77777777" w:rsidR="00207D2C" w:rsidRPr="00F42D2E" w:rsidRDefault="00207D2C" w:rsidP="00F42D2E">
            <w:pPr>
              <w:pStyle w:val="00"/>
              <w:spacing w:line="240" w:lineRule="auto"/>
              <w:ind w:firstLine="0"/>
              <w:jc w:val="center"/>
              <w:rPr>
                <w:rFonts w:ascii="Calibri"/>
                <w:color w:val="auto"/>
                <w:sz w:val="21"/>
                <w:szCs w:val="21"/>
              </w:rPr>
            </w:pPr>
            <w:r w:rsidRPr="00F42D2E">
              <w:rPr>
                <w:rFonts w:ascii="Calibri"/>
                <w:color w:val="auto"/>
                <w:sz w:val="21"/>
                <w:szCs w:val="21"/>
              </w:rPr>
              <w:t>（</w:t>
            </w:r>
            <w:r w:rsidRPr="00F42D2E">
              <w:rPr>
                <w:rFonts w:ascii="Calibri" w:hint="eastAsia"/>
                <w:color w:val="auto"/>
                <w:sz w:val="21"/>
                <w:szCs w:val="21"/>
              </w:rPr>
              <w:t>类型</w:t>
            </w:r>
            <w:r w:rsidRPr="00F42D2E">
              <w:rPr>
                <w:rFonts w:ascii="Calibri"/>
                <w:color w:val="auto"/>
                <w:sz w:val="21"/>
                <w:szCs w:val="21"/>
              </w:rPr>
              <w:t>）</w:t>
            </w:r>
          </w:p>
        </w:tc>
        <w:tc>
          <w:tcPr>
            <w:tcW w:w="3261" w:type="dxa"/>
            <w:tcBorders>
              <w:right w:val="single" w:sz="4" w:space="0" w:color="auto"/>
            </w:tcBorders>
            <w:vAlign w:val="center"/>
          </w:tcPr>
          <w:p w14:paraId="5E5705DE" w14:textId="77777777" w:rsidR="00207D2C" w:rsidRPr="00F42D2E" w:rsidRDefault="00207D2C"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噪声</w:t>
            </w:r>
            <w:r w:rsidRPr="00F42D2E">
              <w:rPr>
                <w:rFonts w:ascii="Calibri"/>
                <w:color w:val="auto"/>
                <w:sz w:val="21"/>
                <w:szCs w:val="21"/>
              </w:rPr>
              <w:t>防治措施规模</w:t>
            </w:r>
          </w:p>
        </w:tc>
        <w:tc>
          <w:tcPr>
            <w:tcW w:w="1134" w:type="dxa"/>
            <w:tcBorders>
              <w:left w:val="single" w:sz="4" w:space="0" w:color="auto"/>
            </w:tcBorders>
            <w:vAlign w:val="center"/>
          </w:tcPr>
          <w:p w14:paraId="4B890D9C" w14:textId="77777777" w:rsidR="00207D2C" w:rsidRPr="00F42D2E" w:rsidRDefault="00207D2C"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噪声</w:t>
            </w:r>
            <w:r w:rsidRPr="00F42D2E">
              <w:rPr>
                <w:rFonts w:ascii="Calibri"/>
                <w:color w:val="auto"/>
                <w:sz w:val="21"/>
                <w:szCs w:val="21"/>
              </w:rPr>
              <w:t>防治措施效果</w:t>
            </w:r>
          </w:p>
        </w:tc>
        <w:tc>
          <w:tcPr>
            <w:tcW w:w="1485" w:type="dxa"/>
            <w:tcBorders>
              <w:left w:val="single" w:sz="4" w:space="0" w:color="auto"/>
            </w:tcBorders>
            <w:vAlign w:val="center"/>
          </w:tcPr>
          <w:p w14:paraId="63DBEC17" w14:textId="77777777" w:rsidR="00207D2C" w:rsidRPr="00F42D2E" w:rsidRDefault="00207D2C"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噪声防治措施</w:t>
            </w:r>
            <w:r w:rsidRPr="00F42D2E">
              <w:rPr>
                <w:rFonts w:ascii="Calibri"/>
                <w:color w:val="auto"/>
                <w:sz w:val="21"/>
                <w:szCs w:val="21"/>
              </w:rPr>
              <w:t>投资</w:t>
            </w:r>
            <w:r w:rsidRPr="00F42D2E">
              <w:rPr>
                <w:rFonts w:ascii="Calibri" w:hint="eastAsia"/>
                <w:color w:val="auto"/>
                <w:sz w:val="21"/>
                <w:szCs w:val="21"/>
              </w:rPr>
              <w:t>/</w:t>
            </w:r>
            <w:r w:rsidRPr="00F42D2E">
              <w:rPr>
                <w:rFonts w:ascii="Calibri" w:hint="eastAsia"/>
                <w:color w:val="auto"/>
                <w:sz w:val="21"/>
                <w:szCs w:val="21"/>
              </w:rPr>
              <w:t>万元</w:t>
            </w:r>
          </w:p>
        </w:tc>
      </w:tr>
      <w:tr w:rsidR="003B02EF" w:rsidRPr="00F42D2E" w14:paraId="2090B4C4" w14:textId="77777777" w:rsidTr="00F42D2E">
        <w:trPr>
          <w:trHeight w:val="340"/>
        </w:trPr>
        <w:tc>
          <w:tcPr>
            <w:tcW w:w="850" w:type="dxa"/>
            <w:vAlign w:val="center"/>
          </w:tcPr>
          <w:p w14:paraId="38D0828E" w14:textId="77777777" w:rsidR="003B02EF" w:rsidRPr="00F42D2E" w:rsidRDefault="003B02EF"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室内</w:t>
            </w:r>
          </w:p>
        </w:tc>
        <w:tc>
          <w:tcPr>
            <w:tcW w:w="1970" w:type="dxa"/>
            <w:vAlign w:val="center"/>
          </w:tcPr>
          <w:p w14:paraId="322D5116" w14:textId="77777777" w:rsidR="003B02EF" w:rsidRPr="00F42D2E" w:rsidRDefault="00F42D2E"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减振</w:t>
            </w:r>
            <w:r w:rsidR="003B02EF" w:rsidRPr="00F42D2E">
              <w:rPr>
                <w:rFonts w:ascii="Calibri" w:hint="eastAsia"/>
                <w:color w:val="auto"/>
                <w:sz w:val="21"/>
                <w:szCs w:val="21"/>
              </w:rPr>
              <w:t>、隔声、消声</w:t>
            </w:r>
          </w:p>
        </w:tc>
        <w:tc>
          <w:tcPr>
            <w:tcW w:w="3261" w:type="dxa"/>
            <w:tcBorders>
              <w:right w:val="single" w:sz="4" w:space="0" w:color="auto"/>
            </w:tcBorders>
            <w:vAlign w:val="center"/>
          </w:tcPr>
          <w:p w14:paraId="0F8C881F" w14:textId="77777777" w:rsidR="003B02EF" w:rsidRPr="00F42D2E" w:rsidRDefault="003B02EF"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全部</w:t>
            </w:r>
            <w:r w:rsidRPr="00F42D2E">
              <w:rPr>
                <w:rFonts w:ascii="Calibri"/>
                <w:color w:val="auto"/>
                <w:sz w:val="21"/>
                <w:szCs w:val="21"/>
              </w:rPr>
              <w:t>高噪声设备置于车间内，</w:t>
            </w:r>
            <w:r w:rsidRPr="00F42D2E">
              <w:rPr>
                <w:rFonts w:ascii="Calibri" w:hint="eastAsia"/>
                <w:color w:val="auto"/>
                <w:sz w:val="21"/>
                <w:szCs w:val="21"/>
              </w:rPr>
              <w:t>车间</w:t>
            </w:r>
            <w:r w:rsidRPr="00F42D2E">
              <w:rPr>
                <w:rFonts w:ascii="Calibri"/>
                <w:color w:val="auto"/>
                <w:sz w:val="21"/>
                <w:szCs w:val="21"/>
              </w:rPr>
              <w:t>安装吸声材料，并采用基础减震，风机加装消声装置措施</w:t>
            </w:r>
          </w:p>
        </w:tc>
        <w:tc>
          <w:tcPr>
            <w:tcW w:w="1134" w:type="dxa"/>
            <w:vMerge w:val="restart"/>
            <w:tcBorders>
              <w:left w:val="single" w:sz="4" w:space="0" w:color="auto"/>
            </w:tcBorders>
            <w:vAlign w:val="center"/>
          </w:tcPr>
          <w:p w14:paraId="1D4EB98C" w14:textId="77777777" w:rsidR="003B02EF" w:rsidRPr="00F42D2E" w:rsidRDefault="003B02EF"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厂界</w:t>
            </w:r>
            <w:r w:rsidRPr="00F42D2E">
              <w:rPr>
                <w:rFonts w:ascii="Calibri"/>
                <w:color w:val="auto"/>
                <w:sz w:val="21"/>
                <w:szCs w:val="21"/>
              </w:rPr>
              <w:t>达标</w:t>
            </w:r>
          </w:p>
        </w:tc>
        <w:tc>
          <w:tcPr>
            <w:tcW w:w="1485" w:type="dxa"/>
            <w:vMerge w:val="restart"/>
            <w:tcBorders>
              <w:left w:val="single" w:sz="4" w:space="0" w:color="auto"/>
            </w:tcBorders>
            <w:vAlign w:val="center"/>
          </w:tcPr>
          <w:p w14:paraId="7030F0BF" w14:textId="77777777" w:rsidR="003B02EF" w:rsidRPr="00F42D2E" w:rsidRDefault="003B02EF" w:rsidP="00F42D2E">
            <w:pPr>
              <w:pStyle w:val="00"/>
              <w:spacing w:line="240" w:lineRule="auto"/>
              <w:ind w:firstLine="0"/>
              <w:jc w:val="center"/>
              <w:rPr>
                <w:rFonts w:ascii="Calibri"/>
                <w:color w:val="auto"/>
                <w:sz w:val="21"/>
                <w:szCs w:val="21"/>
              </w:rPr>
            </w:pPr>
            <w:r w:rsidRPr="00F42D2E">
              <w:rPr>
                <w:rFonts w:ascii="Calibri"/>
                <w:color w:val="auto"/>
                <w:sz w:val="21"/>
                <w:szCs w:val="21"/>
              </w:rPr>
              <w:t>20</w:t>
            </w:r>
          </w:p>
        </w:tc>
      </w:tr>
      <w:tr w:rsidR="003B02EF" w:rsidRPr="00F42D2E" w14:paraId="47BCF37E" w14:textId="77777777" w:rsidTr="00F42D2E">
        <w:trPr>
          <w:trHeight w:val="340"/>
        </w:trPr>
        <w:tc>
          <w:tcPr>
            <w:tcW w:w="850" w:type="dxa"/>
            <w:vAlign w:val="center"/>
          </w:tcPr>
          <w:p w14:paraId="6A7393E6" w14:textId="77777777" w:rsidR="003B02EF" w:rsidRPr="00F42D2E" w:rsidRDefault="003B02EF"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室外</w:t>
            </w:r>
          </w:p>
        </w:tc>
        <w:tc>
          <w:tcPr>
            <w:tcW w:w="1970" w:type="dxa"/>
            <w:vAlign w:val="center"/>
          </w:tcPr>
          <w:p w14:paraId="6EFDD071" w14:textId="77777777" w:rsidR="003B02EF" w:rsidRPr="00F42D2E" w:rsidRDefault="003B02EF"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减振</w:t>
            </w:r>
            <w:r w:rsidRPr="00F42D2E">
              <w:rPr>
                <w:rFonts w:ascii="Calibri"/>
                <w:color w:val="auto"/>
                <w:sz w:val="21"/>
                <w:szCs w:val="21"/>
              </w:rPr>
              <w:t>、消声</w:t>
            </w:r>
          </w:p>
        </w:tc>
        <w:tc>
          <w:tcPr>
            <w:tcW w:w="3261" w:type="dxa"/>
            <w:tcBorders>
              <w:right w:val="single" w:sz="4" w:space="0" w:color="auto"/>
            </w:tcBorders>
            <w:vAlign w:val="center"/>
          </w:tcPr>
          <w:p w14:paraId="1A3282DA" w14:textId="77777777" w:rsidR="003B02EF" w:rsidRPr="00F42D2E" w:rsidRDefault="003B02EF" w:rsidP="00F42D2E">
            <w:pPr>
              <w:pStyle w:val="00"/>
              <w:spacing w:line="240" w:lineRule="auto"/>
              <w:ind w:firstLine="0"/>
              <w:jc w:val="center"/>
              <w:rPr>
                <w:rFonts w:ascii="Calibri"/>
                <w:color w:val="auto"/>
                <w:sz w:val="21"/>
                <w:szCs w:val="21"/>
              </w:rPr>
            </w:pPr>
            <w:r w:rsidRPr="00F42D2E">
              <w:rPr>
                <w:rFonts w:ascii="Calibri" w:hint="eastAsia"/>
                <w:color w:val="auto"/>
                <w:sz w:val="21"/>
                <w:szCs w:val="21"/>
              </w:rPr>
              <w:t>管线</w:t>
            </w:r>
            <w:r w:rsidRPr="00F42D2E">
              <w:rPr>
                <w:rFonts w:ascii="Calibri"/>
                <w:color w:val="auto"/>
                <w:sz w:val="21"/>
                <w:szCs w:val="21"/>
              </w:rPr>
              <w:t>隔声</w:t>
            </w:r>
            <w:r w:rsidRPr="00F42D2E">
              <w:rPr>
                <w:rFonts w:ascii="Calibri" w:hint="eastAsia"/>
                <w:color w:val="auto"/>
                <w:sz w:val="21"/>
                <w:szCs w:val="21"/>
              </w:rPr>
              <w:t>包</w:t>
            </w:r>
            <w:r w:rsidRPr="00F42D2E">
              <w:rPr>
                <w:rFonts w:ascii="Calibri"/>
                <w:color w:val="auto"/>
                <w:sz w:val="21"/>
                <w:szCs w:val="21"/>
              </w:rPr>
              <w:t>扎、</w:t>
            </w:r>
            <w:r w:rsidRPr="00F42D2E">
              <w:rPr>
                <w:rFonts w:ascii="Calibri" w:hint="eastAsia"/>
                <w:color w:val="auto"/>
                <w:sz w:val="21"/>
                <w:szCs w:val="21"/>
              </w:rPr>
              <w:t>设备</w:t>
            </w:r>
            <w:r w:rsidRPr="00F42D2E">
              <w:rPr>
                <w:rFonts w:ascii="Calibri"/>
                <w:color w:val="auto"/>
                <w:sz w:val="21"/>
                <w:szCs w:val="21"/>
              </w:rPr>
              <w:t>安装</w:t>
            </w:r>
            <w:r w:rsidRPr="00F42D2E">
              <w:rPr>
                <w:rFonts w:ascii="Calibri" w:hint="eastAsia"/>
                <w:color w:val="auto"/>
                <w:sz w:val="21"/>
                <w:szCs w:val="21"/>
              </w:rPr>
              <w:t>减振垫、风机加装消声装置、厂区</w:t>
            </w:r>
            <w:r w:rsidRPr="00F42D2E">
              <w:rPr>
                <w:rFonts w:ascii="Calibri"/>
                <w:color w:val="auto"/>
                <w:sz w:val="21"/>
                <w:szCs w:val="21"/>
              </w:rPr>
              <w:t>周围墙体进行隔声</w:t>
            </w:r>
            <w:r w:rsidRPr="00F42D2E">
              <w:rPr>
                <w:rFonts w:ascii="Calibri" w:hint="eastAsia"/>
                <w:color w:val="auto"/>
                <w:sz w:val="21"/>
                <w:szCs w:val="21"/>
              </w:rPr>
              <w:t>等</w:t>
            </w:r>
            <w:r w:rsidRPr="00F42D2E">
              <w:rPr>
                <w:rFonts w:ascii="Calibri"/>
                <w:color w:val="auto"/>
                <w:sz w:val="21"/>
                <w:szCs w:val="21"/>
              </w:rPr>
              <w:t>措施</w:t>
            </w:r>
          </w:p>
        </w:tc>
        <w:tc>
          <w:tcPr>
            <w:tcW w:w="1134" w:type="dxa"/>
            <w:vMerge/>
            <w:tcBorders>
              <w:left w:val="single" w:sz="4" w:space="0" w:color="auto"/>
            </w:tcBorders>
            <w:vAlign w:val="center"/>
          </w:tcPr>
          <w:p w14:paraId="1ED2AC28" w14:textId="77777777" w:rsidR="003B02EF" w:rsidRPr="00F42D2E" w:rsidRDefault="003B02EF" w:rsidP="00F42D2E"/>
        </w:tc>
        <w:tc>
          <w:tcPr>
            <w:tcW w:w="1485" w:type="dxa"/>
            <w:vMerge/>
            <w:tcBorders>
              <w:left w:val="single" w:sz="4" w:space="0" w:color="auto"/>
            </w:tcBorders>
            <w:vAlign w:val="center"/>
          </w:tcPr>
          <w:p w14:paraId="13232E89" w14:textId="77777777" w:rsidR="003B02EF" w:rsidRPr="00F42D2E" w:rsidRDefault="003B02EF" w:rsidP="00F42D2E"/>
        </w:tc>
      </w:tr>
    </w:tbl>
    <w:p w14:paraId="36D60BAE" w14:textId="77777777" w:rsidR="0008646C" w:rsidRDefault="0008646C" w:rsidP="0055605A">
      <w:pPr>
        <w:pStyle w:val="3a"/>
      </w:pPr>
    </w:p>
    <w:p w14:paraId="4C8AE30F" w14:textId="77777777" w:rsidR="0055605A" w:rsidRPr="00A964FF" w:rsidRDefault="0055605A" w:rsidP="0055605A">
      <w:pPr>
        <w:pStyle w:val="3a"/>
        <w:rPr>
          <w:rFonts w:eastAsia="宋体"/>
          <w:sz w:val="24"/>
        </w:rPr>
      </w:pPr>
      <w:r w:rsidRPr="00A964FF">
        <w:rPr>
          <w:rFonts w:hint="eastAsia"/>
        </w:rPr>
        <w:lastRenderedPageBreak/>
        <w:t>5</w:t>
      </w:r>
      <w:r w:rsidRPr="00A964FF">
        <w:t>.2.</w:t>
      </w:r>
      <w:r w:rsidRPr="00A964FF">
        <w:rPr>
          <w:rFonts w:hint="eastAsia"/>
        </w:rPr>
        <w:t>5</w:t>
      </w:r>
      <w:r w:rsidRPr="00A964FF">
        <w:t>固体废物防治措施</w:t>
      </w:r>
    </w:p>
    <w:p w14:paraId="07358FEB" w14:textId="77777777" w:rsidR="00597B95" w:rsidRDefault="00597B95" w:rsidP="00C636CC">
      <w:pPr>
        <w:pStyle w:val="00"/>
        <w:rPr>
          <w:rFonts w:ascii="Calibri" w:hAnsi="Calibri"/>
          <w:color w:val="auto"/>
        </w:rPr>
      </w:pPr>
      <w:r w:rsidRPr="004E1825">
        <w:rPr>
          <w:rFonts w:ascii="Calibri" w:hAnsi="Calibri" w:hint="eastAsia"/>
          <w:color w:val="auto"/>
        </w:rPr>
        <w:t>本项目</w:t>
      </w:r>
      <w:r>
        <w:rPr>
          <w:rFonts w:ascii="Calibri" w:hAnsi="Calibri" w:hint="eastAsia"/>
          <w:color w:val="auto"/>
        </w:rPr>
        <w:t>工艺</w:t>
      </w:r>
      <w:r>
        <w:rPr>
          <w:rFonts w:ascii="Calibri" w:hAnsi="Calibri"/>
          <w:color w:val="auto"/>
        </w:rPr>
        <w:t>过程中不会产生固废</w:t>
      </w:r>
      <w:r>
        <w:rPr>
          <w:rFonts w:ascii="Calibri" w:hAnsi="Calibri" w:hint="eastAsia"/>
          <w:color w:val="auto"/>
        </w:rPr>
        <w:t>，本项目</w:t>
      </w:r>
      <w:r>
        <w:rPr>
          <w:rFonts w:ascii="Calibri" w:hAnsi="Calibri"/>
          <w:color w:val="auto"/>
        </w:rPr>
        <w:t>一期、二期</w:t>
      </w:r>
      <w:r>
        <w:rPr>
          <w:rFonts w:ascii="Calibri" w:hAnsi="Calibri" w:hint="eastAsia"/>
          <w:color w:val="auto"/>
        </w:rPr>
        <w:t>工程</w:t>
      </w:r>
      <w:r>
        <w:rPr>
          <w:rFonts w:ascii="Calibri" w:hAnsi="Calibri"/>
          <w:color w:val="auto"/>
        </w:rPr>
        <w:t>产物环节相同。</w:t>
      </w:r>
      <w:r w:rsidRPr="004E1825">
        <w:rPr>
          <w:rFonts w:ascii="Calibri" w:hAnsi="Calibri" w:hint="eastAsia"/>
          <w:color w:val="auto"/>
        </w:rPr>
        <w:t>固体废物主要为原料拆包产生的废包装材料、</w:t>
      </w:r>
      <w:r>
        <w:rPr>
          <w:rFonts w:ascii="Calibri" w:hAnsi="Calibri" w:hint="eastAsia"/>
          <w:color w:val="auto"/>
        </w:rPr>
        <w:t>废导热油、废机油</w:t>
      </w:r>
      <w:r>
        <w:rPr>
          <w:rFonts w:ascii="Calibri" w:hAnsi="Calibri"/>
          <w:color w:val="auto"/>
        </w:rPr>
        <w:t>、</w:t>
      </w:r>
      <w:r>
        <w:rPr>
          <w:rFonts w:ascii="Calibri" w:hAnsi="Calibri" w:hint="eastAsia"/>
          <w:color w:val="auto"/>
        </w:rPr>
        <w:t>污水站污泥、废气</w:t>
      </w:r>
      <w:r>
        <w:rPr>
          <w:rFonts w:ascii="Calibri" w:hAnsi="Calibri"/>
          <w:color w:val="auto"/>
        </w:rPr>
        <w:t>处理装置产生的</w:t>
      </w:r>
      <w:r>
        <w:rPr>
          <w:rFonts w:ascii="Calibri" w:hAnsi="Calibri" w:hint="eastAsia"/>
          <w:color w:val="auto"/>
        </w:rPr>
        <w:t>废灯管</w:t>
      </w:r>
      <w:r>
        <w:rPr>
          <w:rFonts w:ascii="Calibri" w:hAnsi="Calibri"/>
          <w:color w:val="auto"/>
        </w:rPr>
        <w:t>及活性炭</w:t>
      </w:r>
      <w:r>
        <w:rPr>
          <w:rFonts w:ascii="Calibri" w:hAnsi="Calibri" w:hint="eastAsia"/>
          <w:color w:val="auto"/>
        </w:rPr>
        <w:t>、</w:t>
      </w:r>
      <w:r w:rsidR="0092085C">
        <w:rPr>
          <w:rFonts w:ascii="Calibri" w:hAnsi="Calibri" w:hint="eastAsia"/>
          <w:color w:val="auto"/>
        </w:rPr>
        <w:t>品控中心</w:t>
      </w:r>
      <w:r>
        <w:rPr>
          <w:rFonts w:ascii="Calibri" w:hAnsi="Calibri"/>
          <w:color w:val="auto"/>
        </w:rPr>
        <w:t>废物、</w:t>
      </w:r>
      <w:r>
        <w:rPr>
          <w:rFonts w:ascii="Calibri" w:hAnsi="Calibri" w:hint="eastAsia"/>
          <w:color w:val="auto"/>
        </w:rPr>
        <w:t>员工生活垃圾</w:t>
      </w:r>
      <w:r w:rsidRPr="004E1825">
        <w:rPr>
          <w:rFonts w:ascii="Calibri" w:hAnsi="Calibri" w:hint="eastAsia"/>
          <w:color w:val="auto"/>
        </w:rPr>
        <w:t>等，其中</w:t>
      </w:r>
      <w:r w:rsidR="00C636CC">
        <w:rPr>
          <w:rFonts w:ascii="Calibri" w:hAnsi="Calibri" w:hint="eastAsia"/>
          <w:color w:val="auto"/>
        </w:rPr>
        <w:t>废导热油</w:t>
      </w:r>
      <w:r>
        <w:rPr>
          <w:rFonts w:ascii="Calibri" w:hAnsi="Calibri" w:hint="eastAsia"/>
          <w:color w:val="auto"/>
        </w:rPr>
        <w:t>、</w:t>
      </w:r>
      <w:r w:rsidR="00C636CC">
        <w:rPr>
          <w:rFonts w:ascii="Calibri" w:hAnsi="Calibri" w:hint="eastAsia"/>
          <w:color w:val="auto"/>
        </w:rPr>
        <w:t>废机油</w:t>
      </w:r>
      <w:r w:rsidR="00C636CC">
        <w:rPr>
          <w:rFonts w:ascii="Calibri" w:hAnsi="Calibri"/>
          <w:color w:val="auto"/>
        </w:rPr>
        <w:t>、</w:t>
      </w:r>
      <w:r>
        <w:rPr>
          <w:rFonts w:ascii="Calibri" w:hAnsi="Calibri"/>
          <w:color w:val="auto"/>
        </w:rPr>
        <w:t>废灯管</w:t>
      </w:r>
      <w:r>
        <w:rPr>
          <w:rFonts w:ascii="Calibri" w:hAnsi="Calibri" w:hint="eastAsia"/>
          <w:color w:val="auto"/>
        </w:rPr>
        <w:t>、</w:t>
      </w:r>
      <w:r>
        <w:rPr>
          <w:rFonts w:ascii="Calibri" w:hAnsi="Calibri"/>
          <w:color w:val="auto"/>
        </w:rPr>
        <w:t>废活性炭</w:t>
      </w:r>
      <w:r>
        <w:rPr>
          <w:rFonts w:ascii="Calibri" w:hAnsi="Calibri" w:hint="eastAsia"/>
          <w:color w:val="auto"/>
        </w:rPr>
        <w:t>、</w:t>
      </w:r>
      <w:r w:rsidR="0092085C">
        <w:rPr>
          <w:rFonts w:ascii="Calibri" w:hAnsi="Calibri" w:hint="eastAsia"/>
          <w:color w:val="auto"/>
        </w:rPr>
        <w:t>品控中心</w:t>
      </w:r>
      <w:r>
        <w:rPr>
          <w:rFonts w:ascii="Calibri" w:hAnsi="Calibri"/>
          <w:color w:val="auto"/>
        </w:rPr>
        <w:t>废物</w:t>
      </w:r>
      <w:r>
        <w:rPr>
          <w:rFonts w:ascii="Calibri" w:hAnsi="Calibri" w:hint="eastAsia"/>
          <w:color w:val="auto"/>
        </w:rPr>
        <w:t>为</w:t>
      </w:r>
      <w:r w:rsidRPr="004E1825">
        <w:rPr>
          <w:rFonts w:ascii="Calibri" w:hAnsi="Calibri" w:hint="eastAsia"/>
          <w:color w:val="auto"/>
        </w:rPr>
        <w:t>危险废物；纯水制备废</w:t>
      </w:r>
      <w:r>
        <w:rPr>
          <w:rFonts w:ascii="Calibri" w:hAnsi="Calibri" w:hint="eastAsia"/>
          <w:color w:val="auto"/>
        </w:rPr>
        <w:t>反渗透膜</w:t>
      </w:r>
      <w:r w:rsidRPr="004E1825">
        <w:rPr>
          <w:rFonts w:ascii="Calibri" w:hAnsi="Calibri" w:hint="eastAsia"/>
          <w:color w:val="auto"/>
        </w:rPr>
        <w:t>、</w:t>
      </w:r>
      <w:r w:rsidR="00C636CC">
        <w:rPr>
          <w:rFonts w:ascii="Calibri" w:hAnsi="Calibri" w:hint="eastAsia"/>
          <w:color w:val="auto"/>
        </w:rPr>
        <w:t>污水</w:t>
      </w:r>
      <w:r w:rsidR="00C636CC">
        <w:rPr>
          <w:rFonts w:ascii="Calibri" w:hAnsi="Calibri"/>
          <w:color w:val="auto"/>
        </w:rPr>
        <w:t>处理站污泥、</w:t>
      </w:r>
      <w:r w:rsidR="00C636CC" w:rsidRPr="004E1825">
        <w:rPr>
          <w:rFonts w:ascii="Calibri" w:hAnsi="Calibri" w:hint="eastAsia"/>
          <w:color w:val="auto"/>
        </w:rPr>
        <w:t>原料拆包产生的废包装材料</w:t>
      </w:r>
      <w:r w:rsidR="00C636CC">
        <w:rPr>
          <w:rFonts w:ascii="Calibri" w:hAnsi="Calibri" w:hint="eastAsia"/>
          <w:color w:val="auto"/>
        </w:rPr>
        <w:t>、</w:t>
      </w:r>
      <w:r w:rsidRPr="004E1825">
        <w:rPr>
          <w:rFonts w:ascii="Calibri" w:hAnsi="Calibri" w:hint="eastAsia"/>
          <w:color w:val="auto"/>
        </w:rPr>
        <w:t>员工生活垃圾为一般固废</w:t>
      </w:r>
      <w:r w:rsidR="00EA2872">
        <w:rPr>
          <w:rFonts w:ascii="Calibri" w:hAnsi="Calibri"/>
          <w:color w:val="auto"/>
        </w:rPr>
        <w:t>。</w:t>
      </w:r>
    </w:p>
    <w:p w14:paraId="2CDED934" w14:textId="77777777" w:rsidR="0018707D" w:rsidRPr="00A964FF" w:rsidRDefault="0018707D" w:rsidP="00285D5B">
      <w:pPr>
        <w:spacing w:line="520" w:lineRule="exact"/>
        <w:ind w:firstLineChars="200" w:firstLine="480"/>
        <w:rPr>
          <w:rFonts w:ascii="Calibri"/>
          <w:bCs/>
          <w:color w:val="auto"/>
          <w:sz w:val="24"/>
        </w:rPr>
      </w:pPr>
      <w:r w:rsidRPr="00A964FF">
        <w:rPr>
          <w:rFonts w:ascii="Calibri" w:hint="eastAsia"/>
          <w:bCs/>
          <w:color w:val="auto"/>
          <w:sz w:val="24"/>
        </w:rPr>
        <w:t>本项目营运后产生危险废物种类较多，企业拟采取严格的防治措施对危险</w:t>
      </w:r>
      <w:r w:rsidR="00E81A41" w:rsidRPr="00A964FF">
        <w:rPr>
          <w:rFonts w:ascii="Calibri" w:hint="eastAsia"/>
          <w:bCs/>
          <w:color w:val="auto"/>
          <w:sz w:val="24"/>
        </w:rPr>
        <w:t>废物</w:t>
      </w:r>
      <w:r w:rsidRPr="00A964FF">
        <w:rPr>
          <w:rFonts w:ascii="Calibri" w:hint="eastAsia"/>
          <w:bCs/>
          <w:color w:val="auto"/>
          <w:sz w:val="24"/>
        </w:rPr>
        <w:t>在收集、贮存、转运、处置和管理等环节进行控制。</w:t>
      </w:r>
    </w:p>
    <w:p w14:paraId="7C3F6785" w14:textId="77777777" w:rsidR="0018707D" w:rsidRPr="00A964FF" w:rsidRDefault="0018707D" w:rsidP="00C12CBB">
      <w:pPr>
        <w:spacing w:line="520" w:lineRule="exact"/>
        <w:ind w:firstLineChars="200" w:firstLine="480"/>
        <w:rPr>
          <w:rFonts w:ascii="Calibri"/>
          <w:bCs/>
          <w:color w:val="auto"/>
          <w:sz w:val="24"/>
        </w:rPr>
      </w:pPr>
      <w:r w:rsidRPr="00A964FF">
        <w:rPr>
          <w:rFonts w:ascii="Calibri" w:hint="eastAsia"/>
          <w:bCs/>
          <w:color w:val="auto"/>
          <w:sz w:val="24"/>
        </w:rPr>
        <w:t>（</w:t>
      </w:r>
      <w:r w:rsidRPr="00A964FF">
        <w:rPr>
          <w:rFonts w:ascii="Calibri" w:hint="eastAsia"/>
          <w:bCs/>
          <w:color w:val="auto"/>
          <w:sz w:val="24"/>
        </w:rPr>
        <w:t>1</w:t>
      </w:r>
      <w:r w:rsidRPr="00A964FF">
        <w:rPr>
          <w:rFonts w:ascii="Calibri" w:hint="eastAsia"/>
          <w:bCs/>
          <w:color w:val="auto"/>
          <w:sz w:val="24"/>
        </w:rPr>
        <w:t>）危险废物收集措施</w:t>
      </w:r>
    </w:p>
    <w:p w14:paraId="27734C09" w14:textId="77777777" w:rsidR="0018707D" w:rsidRPr="00A964FF" w:rsidRDefault="0018707D" w:rsidP="00597B95">
      <w:pPr>
        <w:spacing w:line="520" w:lineRule="exact"/>
        <w:ind w:firstLineChars="200" w:firstLine="480"/>
        <w:rPr>
          <w:rFonts w:ascii="Calibri"/>
          <w:bCs/>
          <w:color w:val="auto"/>
          <w:sz w:val="24"/>
        </w:rPr>
      </w:pPr>
      <w:r w:rsidRPr="00A964FF">
        <w:rPr>
          <w:rFonts w:ascii="Calibri"/>
          <w:bCs/>
          <w:color w:val="auto"/>
          <w:sz w:val="24"/>
        </w:rPr>
        <w:t>本项目产生的各类危险废物应采取分类收集的方式进行收集储存，其中，</w:t>
      </w:r>
      <w:r w:rsidR="00597B95" w:rsidRPr="00597B95">
        <w:rPr>
          <w:rFonts w:ascii="Calibri" w:hint="eastAsia"/>
          <w:bCs/>
          <w:color w:val="auto"/>
          <w:sz w:val="24"/>
        </w:rPr>
        <w:t>废导热油、废机油</w:t>
      </w:r>
      <w:r w:rsidRPr="00A964FF">
        <w:rPr>
          <w:rFonts w:ascii="Calibri"/>
          <w:bCs/>
          <w:color w:val="auto"/>
          <w:sz w:val="24"/>
        </w:rPr>
        <w:t>采用</w:t>
      </w:r>
      <w:r w:rsidR="00285D5B" w:rsidRPr="00A964FF">
        <w:rPr>
          <w:rFonts w:ascii="Calibri" w:hint="eastAsia"/>
          <w:bCs/>
          <w:color w:val="auto"/>
          <w:sz w:val="24"/>
        </w:rPr>
        <w:t>专用</w:t>
      </w:r>
      <w:r w:rsidR="00E81A41" w:rsidRPr="00A964FF">
        <w:rPr>
          <w:rFonts w:ascii="Calibri" w:hint="eastAsia"/>
          <w:bCs/>
          <w:color w:val="auto"/>
          <w:sz w:val="24"/>
        </w:rPr>
        <w:t>密闭</w:t>
      </w:r>
      <w:r w:rsidR="00285D5B" w:rsidRPr="00A964FF">
        <w:rPr>
          <w:rFonts w:ascii="Calibri" w:hint="eastAsia"/>
          <w:bCs/>
          <w:color w:val="auto"/>
          <w:sz w:val="24"/>
        </w:rPr>
        <w:t>储罐进行</w:t>
      </w:r>
      <w:r w:rsidRPr="00A964FF">
        <w:rPr>
          <w:rFonts w:ascii="Calibri"/>
          <w:bCs/>
          <w:color w:val="auto"/>
          <w:sz w:val="24"/>
        </w:rPr>
        <w:t>分类收集储存，并在每个储存单元设置围堰，防止废液在转运和</w:t>
      </w:r>
      <w:r w:rsidR="00285D5B" w:rsidRPr="00A964FF">
        <w:rPr>
          <w:rFonts w:ascii="Calibri" w:hint="eastAsia"/>
          <w:bCs/>
          <w:color w:val="auto"/>
          <w:sz w:val="24"/>
        </w:rPr>
        <w:t>暂存</w:t>
      </w:r>
      <w:r w:rsidR="003025E9" w:rsidRPr="00A964FF">
        <w:rPr>
          <w:rFonts w:ascii="Calibri"/>
          <w:bCs/>
          <w:color w:val="auto"/>
          <w:sz w:val="24"/>
        </w:rPr>
        <w:t>过程中抛洒，引起二次污染</w:t>
      </w:r>
      <w:r w:rsidR="003025E9" w:rsidRPr="00A964FF">
        <w:rPr>
          <w:rFonts w:ascii="Calibri" w:hint="eastAsia"/>
          <w:bCs/>
          <w:color w:val="auto"/>
          <w:sz w:val="24"/>
        </w:rPr>
        <w:t>；固态危险废物采</w:t>
      </w:r>
      <w:r w:rsidRPr="00A964FF">
        <w:rPr>
          <w:rFonts w:ascii="Calibri"/>
          <w:bCs/>
          <w:color w:val="auto"/>
          <w:sz w:val="24"/>
        </w:rPr>
        <w:t>用耐酸碱、耐腐蚀的密闭容器密封保存，并分区进行储存；另外无法装入常用容器的危险废物用防漏胶袋等盛装。以上各类装载液体、半固体危险废物的容器内须留足够空间，容器顶部与液体表面之间保留</w:t>
      </w:r>
      <w:r w:rsidRPr="00A964FF">
        <w:rPr>
          <w:rFonts w:ascii="Calibri"/>
          <w:bCs/>
          <w:color w:val="auto"/>
          <w:sz w:val="24"/>
        </w:rPr>
        <w:t>100mm</w:t>
      </w:r>
      <w:r w:rsidRPr="00A964FF">
        <w:rPr>
          <w:rFonts w:ascii="Calibri"/>
          <w:bCs/>
          <w:color w:val="auto"/>
          <w:sz w:val="24"/>
        </w:rPr>
        <w:t>以上的空间，防止转运过程中出现遗留和抛洒等现象发生。</w:t>
      </w:r>
    </w:p>
    <w:p w14:paraId="0D38AC58" w14:textId="77777777" w:rsidR="0018707D" w:rsidRPr="00A964FF" w:rsidRDefault="0018707D" w:rsidP="00C12CBB">
      <w:pPr>
        <w:spacing w:line="520" w:lineRule="exact"/>
        <w:ind w:firstLineChars="200" w:firstLine="480"/>
        <w:rPr>
          <w:rFonts w:ascii="Calibri"/>
          <w:bCs/>
          <w:color w:val="auto"/>
          <w:sz w:val="24"/>
        </w:rPr>
      </w:pPr>
      <w:r w:rsidRPr="00A964FF">
        <w:rPr>
          <w:rFonts w:ascii="Calibri"/>
          <w:bCs/>
          <w:color w:val="auto"/>
          <w:sz w:val="24"/>
        </w:rPr>
        <w:t>本项目生产过程产生的各类危险废物收集容器和贮存设施，应有危险废物识别标志、标明具体物质名称，并设置危险废物警示标志。</w:t>
      </w:r>
    </w:p>
    <w:p w14:paraId="523872DA" w14:textId="77777777" w:rsidR="0018707D" w:rsidRPr="00A964FF" w:rsidRDefault="0018707D" w:rsidP="00C12CB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2</w:t>
      </w:r>
      <w:r w:rsidRPr="00A964FF">
        <w:rPr>
          <w:rFonts w:ascii="Calibri" w:eastAsia="宋体" w:hAnsi="Calibri" w:hint="eastAsia"/>
          <w:b w:val="0"/>
          <w:color w:val="auto"/>
          <w:sz w:val="24"/>
        </w:rPr>
        <w:t>）危险废物贮存措施</w:t>
      </w:r>
    </w:p>
    <w:p w14:paraId="5A9AE897" w14:textId="77777777" w:rsidR="0018707D" w:rsidRPr="002A3A75" w:rsidRDefault="0018707D" w:rsidP="0018707D">
      <w:pPr>
        <w:spacing w:line="520" w:lineRule="exact"/>
        <w:ind w:firstLineChars="200" w:firstLine="482"/>
        <w:rPr>
          <w:rFonts w:ascii="Calibri"/>
          <w:b/>
          <w:bCs/>
          <w:color w:val="auto"/>
          <w:sz w:val="24"/>
          <w:u w:val="single"/>
        </w:rPr>
      </w:pPr>
      <w:r w:rsidRPr="002A3A75">
        <w:rPr>
          <w:rFonts w:ascii="Calibri" w:hint="eastAsia"/>
          <w:b/>
          <w:bCs/>
          <w:color w:val="auto"/>
          <w:sz w:val="24"/>
          <w:u w:val="single"/>
        </w:rPr>
        <w:t>建设单位拟在厂区建设单独的</w:t>
      </w:r>
      <w:r w:rsidR="003025E9" w:rsidRPr="002A3A75">
        <w:rPr>
          <w:rFonts w:ascii="Calibri" w:hint="eastAsia"/>
          <w:b/>
          <w:bCs/>
          <w:color w:val="auto"/>
          <w:sz w:val="24"/>
          <w:u w:val="single"/>
        </w:rPr>
        <w:t>危废暂存间</w:t>
      </w:r>
      <w:r w:rsidR="00E81A41" w:rsidRPr="002A3A75">
        <w:rPr>
          <w:rFonts w:ascii="Calibri" w:hint="eastAsia"/>
          <w:b/>
          <w:bCs/>
          <w:color w:val="auto"/>
          <w:sz w:val="24"/>
          <w:u w:val="single"/>
        </w:rPr>
        <w:t>1</w:t>
      </w:r>
      <w:r w:rsidR="00E81A41" w:rsidRPr="002A3A75">
        <w:rPr>
          <w:rFonts w:ascii="Calibri" w:hint="eastAsia"/>
          <w:b/>
          <w:bCs/>
          <w:color w:val="auto"/>
          <w:sz w:val="24"/>
          <w:u w:val="single"/>
        </w:rPr>
        <w:t>座</w:t>
      </w:r>
      <w:r w:rsidRPr="002A3A75">
        <w:rPr>
          <w:rFonts w:ascii="Calibri" w:hint="eastAsia"/>
          <w:b/>
          <w:bCs/>
          <w:color w:val="auto"/>
          <w:sz w:val="24"/>
          <w:u w:val="single"/>
        </w:rPr>
        <w:t>，建筑面积</w:t>
      </w:r>
      <w:r w:rsidR="00597B95" w:rsidRPr="002A3A75">
        <w:rPr>
          <w:rFonts w:ascii="Calibri"/>
          <w:b/>
          <w:bCs/>
          <w:color w:val="auto"/>
          <w:sz w:val="24"/>
          <w:u w:val="single"/>
        </w:rPr>
        <w:t>15</w:t>
      </w:r>
      <w:r w:rsidRPr="002A3A75">
        <w:rPr>
          <w:rFonts w:ascii="Calibri"/>
          <w:b/>
          <w:bCs/>
          <w:color w:val="auto"/>
          <w:sz w:val="24"/>
          <w:u w:val="single"/>
        </w:rPr>
        <w:t>m</w:t>
      </w:r>
      <w:r w:rsidRPr="002A3A75">
        <w:rPr>
          <w:rFonts w:ascii="Calibri"/>
          <w:b/>
          <w:bCs/>
          <w:color w:val="auto"/>
          <w:sz w:val="24"/>
          <w:u w:val="single"/>
          <w:vertAlign w:val="superscript"/>
        </w:rPr>
        <w:t>2</w:t>
      </w:r>
      <w:r w:rsidRPr="002A3A75">
        <w:rPr>
          <w:rFonts w:ascii="Calibri" w:hint="eastAsia"/>
          <w:b/>
          <w:bCs/>
          <w:color w:val="auto"/>
          <w:sz w:val="24"/>
          <w:u w:val="single"/>
        </w:rPr>
        <w:t>，</w:t>
      </w:r>
      <w:r w:rsidR="00285D5B" w:rsidRPr="002A3A75">
        <w:rPr>
          <w:rFonts w:ascii="Calibri" w:hint="eastAsia"/>
          <w:b/>
          <w:bCs/>
          <w:color w:val="auto"/>
          <w:sz w:val="24"/>
          <w:u w:val="single"/>
        </w:rPr>
        <w:t>暂存各类危险废物，</w:t>
      </w:r>
      <w:r w:rsidRPr="002A3A75">
        <w:rPr>
          <w:rFonts w:ascii="Calibri" w:hint="eastAsia"/>
          <w:b/>
          <w:bCs/>
          <w:color w:val="auto"/>
          <w:sz w:val="24"/>
          <w:u w:val="single"/>
        </w:rPr>
        <w:t>各类危险废物</w:t>
      </w:r>
      <w:r w:rsidR="00E81A41" w:rsidRPr="002A3A75">
        <w:rPr>
          <w:rFonts w:ascii="Calibri" w:hint="eastAsia"/>
          <w:b/>
          <w:bCs/>
          <w:color w:val="auto"/>
          <w:sz w:val="24"/>
          <w:u w:val="single"/>
        </w:rPr>
        <w:t>密闭储罐、</w:t>
      </w:r>
      <w:r w:rsidRPr="002A3A75">
        <w:rPr>
          <w:rFonts w:ascii="Calibri" w:hint="eastAsia"/>
          <w:b/>
          <w:bCs/>
          <w:color w:val="auto"/>
          <w:sz w:val="24"/>
          <w:u w:val="single"/>
        </w:rPr>
        <w:t>收集桶和容器在暂存间暂存后，定期送至有资质的单位进行安全处置。</w:t>
      </w:r>
    </w:p>
    <w:p w14:paraId="03D9C911" w14:textId="77777777" w:rsidR="0018707D" w:rsidRPr="00A964FF" w:rsidRDefault="0018707D" w:rsidP="0018707D">
      <w:pPr>
        <w:spacing w:line="520" w:lineRule="exact"/>
        <w:ind w:firstLineChars="200" w:firstLine="480"/>
        <w:rPr>
          <w:rFonts w:ascii="Calibri"/>
          <w:bCs/>
          <w:color w:val="auto"/>
          <w:sz w:val="24"/>
        </w:rPr>
      </w:pPr>
      <w:r w:rsidRPr="00A964FF">
        <w:rPr>
          <w:rFonts w:ascii="Calibri" w:hint="eastAsia"/>
          <w:bCs/>
          <w:color w:val="auto"/>
          <w:sz w:val="24"/>
        </w:rPr>
        <w:t>危险废物暂存区应严格按照环境保护部公告</w:t>
      </w:r>
      <w:r w:rsidRPr="00A964FF">
        <w:rPr>
          <w:rFonts w:ascii="Calibri" w:hint="eastAsia"/>
          <w:bCs/>
          <w:color w:val="auto"/>
          <w:sz w:val="24"/>
        </w:rPr>
        <w:t>2017</w:t>
      </w:r>
      <w:r w:rsidRPr="00A964FF">
        <w:rPr>
          <w:rFonts w:ascii="Calibri" w:hint="eastAsia"/>
          <w:bCs/>
          <w:color w:val="auto"/>
          <w:sz w:val="24"/>
        </w:rPr>
        <w:t>年第</w:t>
      </w:r>
      <w:r w:rsidRPr="00A964FF">
        <w:rPr>
          <w:rFonts w:ascii="Calibri" w:hint="eastAsia"/>
          <w:bCs/>
          <w:color w:val="auto"/>
          <w:sz w:val="24"/>
        </w:rPr>
        <w:t>43</w:t>
      </w:r>
      <w:r w:rsidRPr="00A964FF">
        <w:rPr>
          <w:rFonts w:ascii="Calibri" w:hint="eastAsia"/>
          <w:bCs/>
          <w:color w:val="auto"/>
          <w:sz w:val="24"/>
        </w:rPr>
        <w:t>号《建设项目危险废物环境影响评价指南》、《危险废物贮存污染控制标准》（</w:t>
      </w:r>
      <w:r w:rsidRPr="00A964FF">
        <w:rPr>
          <w:rFonts w:ascii="Calibri" w:hint="eastAsia"/>
          <w:bCs/>
          <w:color w:val="auto"/>
          <w:sz w:val="24"/>
        </w:rPr>
        <w:t>GB</w:t>
      </w:r>
      <w:r w:rsidR="00E81A41" w:rsidRPr="00A964FF">
        <w:rPr>
          <w:rFonts w:ascii="Calibri" w:hint="eastAsia"/>
          <w:bCs/>
          <w:color w:val="auto"/>
          <w:sz w:val="24"/>
        </w:rPr>
        <w:t>18597</w:t>
      </w:r>
      <w:r w:rsidRPr="00A964FF">
        <w:rPr>
          <w:rFonts w:ascii="Calibri" w:hint="eastAsia"/>
          <w:bCs/>
          <w:color w:val="auto"/>
          <w:sz w:val="24"/>
        </w:rPr>
        <w:t>-2001</w:t>
      </w:r>
      <w:r w:rsidRPr="00A964FF">
        <w:rPr>
          <w:rFonts w:ascii="Calibri" w:hint="eastAsia"/>
          <w:bCs/>
          <w:color w:val="auto"/>
          <w:sz w:val="24"/>
        </w:rPr>
        <w:t>）及其修改单中相关规定，做到“防风、防雨、防晒、防渗漏”四防要求；暂存区周围设计截流沟，防止暴雨季节，雨水进入储存间，暂存区内应配备通讯设备、照明设施、安全防护服装及工具，并设有应急防护设施。</w:t>
      </w:r>
    </w:p>
    <w:p w14:paraId="55034D58" w14:textId="77777777" w:rsidR="0018707D" w:rsidRPr="00A964FF" w:rsidRDefault="0018707D" w:rsidP="0018707D">
      <w:pPr>
        <w:spacing w:line="520" w:lineRule="exact"/>
        <w:ind w:firstLineChars="200" w:firstLine="480"/>
        <w:rPr>
          <w:rFonts w:ascii="Calibri"/>
          <w:bCs/>
          <w:color w:val="auto"/>
          <w:sz w:val="24"/>
        </w:rPr>
      </w:pPr>
      <w:r w:rsidRPr="00A964FF">
        <w:rPr>
          <w:rFonts w:ascii="Calibri" w:hint="eastAsia"/>
          <w:bCs/>
          <w:color w:val="auto"/>
          <w:sz w:val="24"/>
        </w:rPr>
        <w:lastRenderedPageBreak/>
        <w:t>危险废物暂存区地面与裙脚要用坚固、防渗的材料建造，防渗层为至少</w:t>
      </w:r>
      <w:r w:rsidRPr="00A964FF">
        <w:rPr>
          <w:rFonts w:ascii="Calibri" w:hint="eastAsia"/>
          <w:bCs/>
          <w:color w:val="auto"/>
          <w:sz w:val="24"/>
        </w:rPr>
        <w:t>1m</w:t>
      </w:r>
      <w:r w:rsidRPr="00A964FF">
        <w:rPr>
          <w:rFonts w:ascii="Calibri" w:hint="eastAsia"/>
          <w:bCs/>
          <w:color w:val="auto"/>
          <w:sz w:val="24"/>
        </w:rPr>
        <w:t>厚粘土层（渗透系数≤</w:t>
      </w:r>
      <w:r w:rsidRPr="00A964FF">
        <w:rPr>
          <w:rFonts w:ascii="Calibri" w:hint="eastAsia"/>
          <w:bCs/>
          <w:color w:val="auto"/>
          <w:sz w:val="24"/>
        </w:rPr>
        <w:t>10</w:t>
      </w:r>
      <w:r w:rsidRPr="00A964FF">
        <w:rPr>
          <w:rFonts w:ascii="Calibri" w:hint="eastAsia"/>
          <w:bCs/>
          <w:color w:val="auto"/>
          <w:sz w:val="24"/>
          <w:vertAlign w:val="superscript"/>
        </w:rPr>
        <w:t>-7</w:t>
      </w:r>
      <w:r w:rsidRPr="00A964FF">
        <w:rPr>
          <w:rFonts w:ascii="Calibri" w:hint="eastAsia"/>
          <w:bCs/>
          <w:color w:val="auto"/>
          <w:sz w:val="24"/>
        </w:rPr>
        <w:t>cm/s</w:t>
      </w:r>
      <w:r w:rsidRPr="00A964FF">
        <w:rPr>
          <w:rFonts w:ascii="Calibri" w:hint="eastAsia"/>
          <w:bCs/>
          <w:color w:val="auto"/>
          <w:sz w:val="24"/>
        </w:rPr>
        <w:t>），或</w:t>
      </w:r>
      <w:r w:rsidRPr="00A964FF">
        <w:rPr>
          <w:rFonts w:ascii="Calibri" w:hint="eastAsia"/>
          <w:bCs/>
          <w:color w:val="auto"/>
          <w:sz w:val="24"/>
        </w:rPr>
        <w:t>2mm</w:t>
      </w:r>
      <w:r w:rsidRPr="00A964FF">
        <w:rPr>
          <w:rFonts w:ascii="Calibri" w:hint="eastAsia"/>
          <w:bCs/>
          <w:color w:val="auto"/>
          <w:sz w:val="24"/>
        </w:rPr>
        <w:t>厚高度聚乙烯，或至少</w:t>
      </w:r>
      <w:r w:rsidRPr="00A964FF">
        <w:rPr>
          <w:rFonts w:ascii="Calibri" w:hint="eastAsia"/>
          <w:bCs/>
          <w:color w:val="auto"/>
          <w:sz w:val="24"/>
        </w:rPr>
        <w:t>2mm</w:t>
      </w:r>
      <w:r w:rsidRPr="00A964FF">
        <w:rPr>
          <w:rFonts w:ascii="Calibri" w:hint="eastAsia"/>
          <w:bCs/>
          <w:color w:val="auto"/>
          <w:sz w:val="24"/>
        </w:rPr>
        <w:t>厚的其它人工材料，渗透系数≤</w:t>
      </w:r>
      <w:r w:rsidRPr="00A964FF">
        <w:rPr>
          <w:rFonts w:ascii="Calibri" w:hint="eastAsia"/>
          <w:bCs/>
          <w:color w:val="auto"/>
          <w:sz w:val="24"/>
        </w:rPr>
        <w:t>10</w:t>
      </w:r>
      <w:r w:rsidRPr="00A964FF">
        <w:rPr>
          <w:rFonts w:ascii="Calibri" w:hint="eastAsia"/>
          <w:bCs/>
          <w:color w:val="auto"/>
          <w:sz w:val="24"/>
          <w:vertAlign w:val="superscript"/>
        </w:rPr>
        <w:t>-10</w:t>
      </w:r>
      <w:r w:rsidRPr="00A964FF">
        <w:rPr>
          <w:rFonts w:ascii="Calibri" w:hint="eastAsia"/>
          <w:bCs/>
          <w:color w:val="auto"/>
          <w:sz w:val="24"/>
        </w:rPr>
        <w:t>cm/s</w:t>
      </w:r>
      <w:r w:rsidRPr="00A964FF">
        <w:rPr>
          <w:rFonts w:ascii="Calibri" w:hint="eastAsia"/>
          <w:bCs/>
          <w:color w:val="auto"/>
          <w:sz w:val="24"/>
        </w:rPr>
        <w:t>；衬里要能够覆盖危险废物或其溶出物可能涉及到的范围，且衬里材料与堆放危险废物相容。各类不相容的危险废物必须分开存放，并设有隔离间隔断。</w:t>
      </w:r>
    </w:p>
    <w:p w14:paraId="7ABAFD56" w14:textId="77777777" w:rsidR="0018707D" w:rsidRPr="00A964FF" w:rsidRDefault="0018707D" w:rsidP="00C12CB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3</w:t>
      </w:r>
      <w:r w:rsidRPr="00A964FF">
        <w:rPr>
          <w:rFonts w:ascii="Calibri" w:eastAsia="宋体" w:hAnsi="Calibri" w:hint="eastAsia"/>
          <w:b w:val="0"/>
          <w:color w:val="auto"/>
          <w:sz w:val="24"/>
        </w:rPr>
        <w:t>）危险废物转运措施</w:t>
      </w:r>
    </w:p>
    <w:p w14:paraId="7295BA4F" w14:textId="77777777" w:rsidR="0018707D" w:rsidRPr="00A964FF" w:rsidRDefault="0018707D" w:rsidP="00C12CB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危险废物的转移应严格按照《危险废物转移联单管理办法》，在转移危险废物前，须按照国家有关规定报批危险废物转移计划，经批准后，应当向移出地环境保护行政主管部门申请领取联单。并在危险废物转移前三日内报告移出地环境保护行政主管部门，并同将预期到达时间报告接受地环境保护行政主管部。</w:t>
      </w:r>
    </w:p>
    <w:p w14:paraId="75196274" w14:textId="77777777" w:rsidR="0018707D" w:rsidRPr="00A964FF" w:rsidRDefault="0018707D" w:rsidP="00C12CB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危险废物在运输过程中还应使用专用运输车辆，并且运输车辆需有特殊标志。同时，本着尽量避免穿过环境敏感区及运距最小原则，对运输路线及时间进行合理设置，尽量减少本项目</w:t>
      </w:r>
      <w:r w:rsidR="003025E9" w:rsidRPr="00A964FF">
        <w:rPr>
          <w:rFonts w:ascii="Calibri" w:eastAsia="宋体" w:hAnsi="Calibri" w:hint="eastAsia"/>
          <w:b w:val="0"/>
          <w:color w:val="auto"/>
          <w:sz w:val="24"/>
        </w:rPr>
        <w:t>危险废物</w:t>
      </w:r>
      <w:r w:rsidRPr="00A964FF">
        <w:rPr>
          <w:rFonts w:ascii="Calibri" w:eastAsia="宋体" w:hAnsi="Calibri" w:hint="eastAsia"/>
          <w:b w:val="0"/>
          <w:color w:val="auto"/>
          <w:sz w:val="24"/>
        </w:rPr>
        <w:t>运输对外界环境的影响。</w:t>
      </w:r>
    </w:p>
    <w:p w14:paraId="69E302C9" w14:textId="77777777" w:rsidR="0018707D" w:rsidRPr="00A964FF" w:rsidRDefault="0018707D" w:rsidP="00C12CB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4</w:t>
      </w:r>
      <w:r w:rsidRPr="00A964FF">
        <w:rPr>
          <w:rFonts w:ascii="Calibri" w:eastAsia="宋体" w:hAnsi="Calibri" w:hint="eastAsia"/>
          <w:b w:val="0"/>
          <w:color w:val="auto"/>
          <w:sz w:val="24"/>
        </w:rPr>
        <w:t>）危险废物管理措施</w:t>
      </w:r>
    </w:p>
    <w:p w14:paraId="44EEC298" w14:textId="77777777" w:rsidR="0018707D" w:rsidRPr="00A964FF" w:rsidRDefault="0018707D" w:rsidP="00C12CB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危险废物的收集工作和转运工作，应制定详细的操作规程，明确操作程序、方法、专用设备和工具，转移和交接、安全保障和应急防护等，各类危险废物的种类、重量或者数量及去向等应如实记载，且经营情况记录簿应当保存三年。确定收集设备、转运车辆及现场工作人员等情况并确定相应作业区域，同时要设置作业界线标志和警示牌，设置危险废物收集专用通道和人员避险通道，进入储存间的人员、机动车辆和作业车辆，必须采取防火措施。</w:t>
      </w:r>
    </w:p>
    <w:p w14:paraId="16AC1870" w14:textId="77777777" w:rsidR="0018707D" w:rsidRPr="00A964FF" w:rsidRDefault="0018707D" w:rsidP="00C12CB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w:t>
      </w:r>
      <w:r w:rsidRPr="00A964FF">
        <w:rPr>
          <w:rFonts w:ascii="Calibri" w:eastAsia="宋体" w:hAnsi="Calibri" w:hint="eastAsia"/>
          <w:b w:val="0"/>
          <w:color w:val="auto"/>
          <w:sz w:val="24"/>
        </w:rPr>
        <w:t>5</w:t>
      </w:r>
      <w:r w:rsidRPr="00A964FF">
        <w:rPr>
          <w:rFonts w:ascii="Calibri" w:eastAsia="宋体" w:hAnsi="Calibri" w:hint="eastAsia"/>
          <w:b w:val="0"/>
          <w:color w:val="auto"/>
          <w:sz w:val="24"/>
        </w:rPr>
        <w:t>）危险废物委托处置措施</w:t>
      </w:r>
    </w:p>
    <w:p w14:paraId="633244A5" w14:textId="77777777" w:rsidR="0018707D" w:rsidRPr="00A964FF" w:rsidRDefault="0018707D" w:rsidP="0018707D">
      <w:pPr>
        <w:spacing w:line="520" w:lineRule="exact"/>
        <w:ind w:firstLineChars="200" w:firstLine="480"/>
        <w:rPr>
          <w:rFonts w:ascii="Calibri"/>
          <w:bCs/>
          <w:color w:val="auto"/>
          <w:sz w:val="24"/>
        </w:rPr>
      </w:pPr>
      <w:r w:rsidRPr="00A964FF">
        <w:rPr>
          <w:rFonts w:ascii="Calibri" w:hint="eastAsia"/>
          <w:bCs/>
          <w:color w:val="auto"/>
          <w:sz w:val="24"/>
        </w:rPr>
        <w:t>建设单位产生</w:t>
      </w:r>
      <w:r w:rsidR="003025E9" w:rsidRPr="00A964FF">
        <w:rPr>
          <w:rFonts w:ascii="Calibri" w:hint="eastAsia"/>
          <w:bCs/>
          <w:color w:val="auto"/>
          <w:sz w:val="24"/>
        </w:rPr>
        <w:t>的</w:t>
      </w:r>
      <w:r w:rsidRPr="00A964FF">
        <w:rPr>
          <w:rFonts w:ascii="Calibri" w:hint="eastAsia"/>
          <w:bCs/>
          <w:color w:val="auto"/>
          <w:sz w:val="24"/>
        </w:rPr>
        <w:t>危险废物</w:t>
      </w:r>
      <w:r w:rsidR="003025E9" w:rsidRPr="00A964FF">
        <w:rPr>
          <w:rFonts w:ascii="Calibri" w:hint="eastAsia"/>
          <w:bCs/>
          <w:color w:val="auto"/>
          <w:sz w:val="24"/>
        </w:rPr>
        <w:t>暂存至</w:t>
      </w:r>
      <w:r w:rsidRPr="00A964FF">
        <w:rPr>
          <w:rFonts w:ascii="Calibri" w:hint="eastAsia"/>
          <w:bCs/>
          <w:color w:val="auto"/>
          <w:sz w:val="24"/>
        </w:rPr>
        <w:t>厂区危废</w:t>
      </w:r>
      <w:r w:rsidR="00C12CBB" w:rsidRPr="00A964FF">
        <w:rPr>
          <w:rFonts w:ascii="Calibri" w:hint="eastAsia"/>
          <w:bCs/>
          <w:color w:val="auto"/>
          <w:sz w:val="24"/>
        </w:rPr>
        <w:t>暂存间</w:t>
      </w:r>
      <w:r w:rsidRPr="00A964FF">
        <w:rPr>
          <w:rFonts w:ascii="Calibri" w:hint="eastAsia"/>
          <w:bCs/>
          <w:color w:val="auto"/>
          <w:sz w:val="24"/>
        </w:rPr>
        <w:t>，</w:t>
      </w:r>
      <w:r w:rsidR="003025E9" w:rsidRPr="00A964FF">
        <w:rPr>
          <w:rFonts w:ascii="Calibri" w:hint="eastAsia"/>
          <w:bCs/>
          <w:color w:val="auto"/>
          <w:sz w:val="24"/>
        </w:rPr>
        <w:t>按废物</w:t>
      </w:r>
      <w:r w:rsidRPr="00A964FF">
        <w:rPr>
          <w:rFonts w:ascii="Calibri" w:hint="eastAsia"/>
          <w:bCs/>
          <w:color w:val="auto"/>
          <w:sz w:val="24"/>
        </w:rPr>
        <w:t>类</w:t>
      </w:r>
      <w:r w:rsidR="003025E9" w:rsidRPr="00A964FF">
        <w:rPr>
          <w:rFonts w:ascii="Calibri" w:hint="eastAsia"/>
          <w:bCs/>
          <w:color w:val="auto"/>
          <w:sz w:val="24"/>
        </w:rPr>
        <w:t>别委托</w:t>
      </w:r>
      <w:r w:rsidRPr="00A964FF">
        <w:rPr>
          <w:rFonts w:ascii="Calibri" w:hint="eastAsia"/>
          <w:bCs/>
          <w:color w:val="auto"/>
          <w:sz w:val="24"/>
        </w:rPr>
        <w:t>具有资质的危险废物处理单位进行回收利用或安全处置。项目建成后，建设单位应尽快与资质单位签订危废</w:t>
      </w:r>
      <w:r w:rsidR="003025E9" w:rsidRPr="00A964FF">
        <w:rPr>
          <w:rFonts w:ascii="Calibri" w:hint="eastAsia"/>
          <w:bCs/>
          <w:color w:val="auto"/>
          <w:sz w:val="24"/>
        </w:rPr>
        <w:t>处置</w:t>
      </w:r>
      <w:r w:rsidRPr="00A964FF">
        <w:rPr>
          <w:rFonts w:ascii="Calibri" w:hint="eastAsia"/>
          <w:bCs/>
          <w:color w:val="auto"/>
          <w:sz w:val="24"/>
        </w:rPr>
        <w:t>合同，且在委托运输和处理过程中，必须严格遵守危险废物的管理及处置处理规定。</w:t>
      </w:r>
    </w:p>
    <w:p w14:paraId="1A80647B" w14:textId="77777777" w:rsidR="00CD358F" w:rsidRPr="00A964FF" w:rsidRDefault="00CD358F" w:rsidP="00CD358F">
      <w:pPr>
        <w:spacing w:line="500" w:lineRule="exact"/>
        <w:ind w:firstLineChars="200" w:firstLine="480"/>
        <w:rPr>
          <w:rFonts w:ascii="Calibri"/>
          <w:bCs/>
          <w:color w:val="auto"/>
          <w:sz w:val="24"/>
        </w:rPr>
      </w:pPr>
      <w:r w:rsidRPr="00A964FF">
        <w:rPr>
          <w:rFonts w:ascii="Calibri" w:hint="eastAsia"/>
          <w:bCs/>
          <w:color w:val="auto"/>
          <w:sz w:val="24"/>
        </w:rPr>
        <w:t>本项目危险废物贮存场所基本情况见表</w:t>
      </w:r>
      <w:r w:rsidRPr="00A964FF">
        <w:rPr>
          <w:rFonts w:ascii="Calibri" w:hint="eastAsia"/>
          <w:bCs/>
          <w:color w:val="auto"/>
          <w:sz w:val="24"/>
        </w:rPr>
        <w:t>5</w:t>
      </w:r>
      <w:r w:rsidR="00ED3143" w:rsidRPr="00A964FF">
        <w:rPr>
          <w:rFonts w:ascii="Calibri" w:hint="eastAsia"/>
          <w:bCs/>
          <w:color w:val="auto"/>
          <w:sz w:val="24"/>
        </w:rPr>
        <w:t>.2</w:t>
      </w:r>
      <w:r w:rsidRPr="00A964FF">
        <w:rPr>
          <w:rFonts w:ascii="Calibri" w:hint="eastAsia"/>
          <w:bCs/>
          <w:color w:val="auto"/>
          <w:sz w:val="24"/>
        </w:rPr>
        <w:t>-</w:t>
      </w:r>
      <w:r w:rsidR="00135AC8">
        <w:rPr>
          <w:rFonts w:ascii="Calibri" w:hint="eastAsia"/>
          <w:bCs/>
          <w:color w:val="auto"/>
          <w:sz w:val="24"/>
        </w:rPr>
        <w:t>10</w:t>
      </w:r>
      <w:r w:rsidRPr="00A964FF">
        <w:rPr>
          <w:rFonts w:ascii="Calibri" w:hint="eastAsia"/>
          <w:bCs/>
          <w:color w:val="auto"/>
          <w:sz w:val="24"/>
        </w:rPr>
        <w:t>。</w:t>
      </w:r>
    </w:p>
    <w:p w14:paraId="4A9B83CC" w14:textId="77777777" w:rsidR="00597B95" w:rsidRPr="00597B95" w:rsidRDefault="00CD358F" w:rsidP="00597B95">
      <w:pPr>
        <w:spacing w:line="520" w:lineRule="exact"/>
        <w:ind w:firstLine="482"/>
        <w:jc w:val="left"/>
        <w:rPr>
          <w:rFonts w:ascii="Calibri" w:eastAsia="黑体" w:hAnsi="黑体"/>
          <w:bCs/>
          <w:color w:val="auto"/>
          <w:sz w:val="24"/>
        </w:rPr>
      </w:pPr>
      <w:r w:rsidRPr="00A964FF">
        <w:rPr>
          <w:rFonts w:ascii="Calibri" w:eastAsia="黑体" w:hAnsi="黑体"/>
          <w:bCs/>
          <w:color w:val="auto"/>
          <w:sz w:val="24"/>
        </w:rPr>
        <w:lastRenderedPageBreak/>
        <w:t>表</w:t>
      </w:r>
      <w:r w:rsidRPr="00A964FF">
        <w:rPr>
          <w:rFonts w:ascii="Calibri" w:eastAsia="黑体" w:hAnsi="Calibri"/>
          <w:bCs/>
          <w:color w:val="auto"/>
          <w:sz w:val="24"/>
        </w:rPr>
        <w:t>5</w:t>
      </w:r>
      <w:r w:rsidR="00ED3143" w:rsidRPr="00A964FF">
        <w:rPr>
          <w:rFonts w:ascii="Calibri" w:eastAsia="黑体" w:hAnsi="Calibri" w:hint="eastAsia"/>
          <w:bCs/>
          <w:color w:val="auto"/>
          <w:sz w:val="24"/>
        </w:rPr>
        <w:t>.2</w:t>
      </w:r>
      <w:r w:rsidRPr="00A964FF">
        <w:rPr>
          <w:rFonts w:ascii="Calibri" w:eastAsia="黑体" w:hAnsi="Calibri"/>
          <w:bCs/>
          <w:color w:val="auto"/>
          <w:sz w:val="24"/>
        </w:rPr>
        <w:t>-</w:t>
      </w:r>
      <w:r w:rsidR="00135AC8">
        <w:rPr>
          <w:rFonts w:ascii="Calibri" w:eastAsia="黑体" w:hAnsi="Calibri" w:hint="eastAsia"/>
          <w:bCs/>
          <w:color w:val="auto"/>
          <w:sz w:val="24"/>
        </w:rPr>
        <w:t>10</w:t>
      </w:r>
      <w:r w:rsidRPr="00A964FF">
        <w:rPr>
          <w:rFonts w:ascii="Calibri" w:eastAsia="黑体" w:hAnsi="Calibri"/>
          <w:bCs/>
          <w:color w:val="auto"/>
          <w:sz w:val="24"/>
        </w:rPr>
        <w:t xml:space="preserve">      </w:t>
      </w:r>
      <w:r w:rsidRPr="00A964FF">
        <w:rPr>
          <w:rFonts w:ascii="Calibri" w:eastAsia="黑体" w:hAnsi="Calibri" w:hint="eastAsia"/>
          <w:bCs/>
          <w:color w:val="auto"/>
          <w:sz w:val="24"/>
        </w:rPr>
        <w:t xml:space="preserve">   </w:t>
      </w:r>
      <w:r w:rsidRPr="00A964FF">
        <w:rPr>
          <w:rFonts w:ascii="Calibri" w:eastAsia="黑体" w:hAnsi="Calibri"/>
          <w:bCs/>
          <w:color w:val="auto"/>
          <w:sz w:val="24"/>
        </w:rPr>
        <w:t xml:space="preserve"> </w:t>
      </w:r>
      <w:r w:rsidRPr="00A964FF">
        <w:rPr>
          <w:rFonts w:ascii="Calibri" w:eastAsia="黑体" w:hAnsi="黑体"/>
          <w:bCs/>
          <w:color w:val="auto"/>
          <w:sz w:val="24"/>
        </w:rPr>
        <w:t>本项目危险废物贮存场所基本情况</w:t>
      </w:r>
    </w:p>
    <w:tbl>
      <w:tblPr>
        <w:tblW w:w="90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81"/>
        <w:gridCol w:w="1134"/>
        <w:gridCol w:w="1701"/>
        <w:gridCol w:w="1276"/>
        <w:gridCol w:w="567"/>
        <w:gridCol w:w="850"/>
        <w:gridCol w:w="1134"/>
        <w:gridCol w:w="851"/>
        <w:gridCol w:w="679"/>
      </w:tblGrid>
      <w:tr w:rsidR="00597B95" w:rsidRPr="002A3A75" w14:paraId="1F508DF8" w14:textId="77777777" w:rsidTr="00692A10">
        <w:trPr>
          <w:trHeight w:val="340"/>
          <w:jc w:val="center"/>
        </w:trPr>
        <w:tc>
          <w:tcPr>
            <w:tcW w:w="881" w:type="dxa"/>
            <w:vAlign w:val="center"/>
          </w:tcPr>
          <w:p w14:paraId="4B1BFD07"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贮存场所（设施）</w:t>
            </w:r>
          </w:p>
        </w:tc>
        <w:tc>
          <w:tcPr>
            <w:tcW w:w="1134" w:type="dxa"/>
            <w:vAlign w:val="center"/>
          </w:tcPr>
          <w:p w14:paraId="0BC6E02B"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危险废物名称</w:t>
            </w:r>
          </w:p>
        </w:tc>
        <w:tc>
          <w:tcPr>
            <w:tcW w:w="1701" w:type="dxa"/>
            <w:vAlign w:val="center"/>
          </w:tcPr>
          <w:p w14:paraId="6792974D"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危险废物类别</w:t>
            </w:r>
          </w:p>
        </w:tc>
        <w:tc>
          <w:tcPr>
            <w:tcW w:w="1276" w:type="dxa"/>
            <w:tcBorders>
              <w:bottom w:val="single" w:sz="2" w:space="0" w:color="auto"/>
            </w:tcBorders>
            <w:vAlign w:val="center"/>
          </w:tcPr>
          <w:p w14:paraId="7DC36253"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危险废物</w:t>
            </w:r>
          </w:p>
          <w:p w14:paraId="4BA005EF"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代码</w:t>
            </w:r>
          </w:p>
        </w:tc>
        <w:tc>
          <w:tcPr>
            <w:tcW w:w="567" w:type="dxa"/>
            <w:tcBorders>
              <w:bottom w:val="single" w:sz="2" w:space="0" w:color="auto"/>
            </w:tcBorders>
            <w:vAlign w:val="center"/>
          </w:tcPr>
          <w:p w14:paraId="55107E5C"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位置</w:t>
            </w:r>
          </w:p>
        </w:tc>
        <w:tc>
          <w:tcPr>
            <w:tcW w:w="850" w:type="dxa"/>
            <w:tcBorders>
              <w:bottom w:val="single" w:sz="2" w:space="0" w:color="auto"/>
            </w:tcBorders>
            <w:vAlign w:val="center"/>
          </w:tcPr>
          <w:p w14:paraId="74CC75C5"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建筑</w:t>
            </w:r>
          </w:p>
          <w:p w14:paraId="62CF0B6A"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面积</w:t>
            </w:r>
          </w:p>
        </w:tc>
        <w:tc>
          <w:tcPr>
            <w:tcW w:w="1134" w:type="dxa"/>
            <w:vAlign w:val="center"/>
          </w:tcPr>
          <w:p w14:paraId="3BF5BD4C"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贮存方式</w:t>
            </w:r>
          </w:p>
        </w:tc>
        <w:tc>
          <w:tcPr>
            <w:tcW w:w="851" w:type="dxa"/>
            <w:vAlign w:val="center"/>
          </w:tcPr>
          <w:p w14:paraId="5D6BD3A4"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贮存</w:t>
            </w:r>
          </w:p>
          <w:p w14:paraId="0CA31BEA"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能力</w:t>
            </w:r>
          </w:p>
        </w:tc>
        <w:tc>
          <w:tcPr>
            <w:tcW w:w="679" w:type="dxa"/>
            <w:vAlign w:val="center"/>
          </w:tcPr>
          <w:p w14:paraId="6872919C"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贮存</w:t>
            </w:r>
          </w:p>
          <w:p w14:paraId="0E48F0F5" w14:textId="77777777" w:rsidR="00597B95" w:rsidRPr="002A3A75" w:rsidRDefault="00597B95" w:rsidP="00EC2A80">
            <w:pPr>
              <w:jc w:val="center"/>
              <w:rPr>
                <w:rFonts w:asciiTheme="minorHAnsi" w:hAnsiTheme="minorHAnsi"/>
                <w:b/>
                <w:color w:val="auto"/>
                <w:szCs w:val="21"/>
                <w:u w:val="single"/>
              </w:rPr>
            </w:pPr>
            <w:r w:rsidRPr="002A3A75">
              <w:rPr>
                <w:rFonts w:asciiTheme="minorHAnsi" w:hAnsiTheme="minorHAnsi"/>
                <w:b/>
                <w:color w:val="auto"/>
                <w:szCs w:val="21"/>
                <w:u w:val="single"/>
              </w:rPr>
              <w:t>周期</w:t>
            </w:r>
          </w:p>
        </w:tc>
      </w:tr>
      <w:tr w:rsidR="00597B95" w:rsidRPr="002A3A75" w14:paraId="60FDB21B" w14:textId="77777777" w:rsidTr="00692A10">
        <w:trPr>
          <w:trHeight w:val="340"/>
          <w:jc w:val="center"/>
        </w:trPr>
        <w:tc>
          <w:tcPr>
            <w:tcW w:w="881" w:type="dxa"/>
            <w:vMerge w:val="restart"/>
            <w:vAlign w:val="center"/>
          </w:tcPr>
          <w:p w14:paraId="706327F3"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危废暂存间</w:t>
            </w:r>
          </w:p>
        </w:tc>
        <w:tc>
          <w:tcPr>
            <w:tcW w:w="1134" w:type="dxa"/>
            <w:vAlign w:val="center"/>
          </w:tcPr>
          <w:p w14:paraId="270092B6" w14:textId="77777777" w:rsidR="00597B95" w:rsidRPr="002A3A75" w:rsidRDefault="00597B95" w:rsidP="00597B95">
            <w:pPr>
              <w:rPr>
                <w:rFonts w:asciiTheme="minorHAnsi" w:hAnsiTheme="minorHAnsi"/>
                <w:b/>
                <w:u w:val="single"/>
              </w:rPr>
            </w:pPr>
            <w:r w:rsidRPr="002A3A75">
              <w:rPr>
                <w:rFonts w:asciiTheme="minorHAnsi" w:hAnsiTheme="minorHAnsi"/>
                <w:b/>
                <w:u w:val="single"/>
              </w:rPr>
              <w:t>废活性炭</w:t>
            </w:r>
          </w:p>
        </w:tc>
        <w:tc>
          <w:tcPr>
            <w:tcW w:w="1701" w:type="dxa"/>
            <w:vAlign w:val="center"/>
          </w:tcPr>
          <w:p w14:paraId="5C09064A" w14:textId="77777777" w:rsidR="00597B95" w:rsidRPr="002A3A75" w:rsidRDefault="00597B95" w:rsidP="00597B95">
            <w:pPr>
              <w:rPr>
                <w:rFonts w:asciiTheme="minorHAnsi" w:hAnsiTheme="minorHAnsi"/>
                <w:b/>
                <w:u w:val="single"/>
              </w:rPr>
            </w:pPr>
            <w:r w:rsidRPr="002A3A75">
              <w:rPr>
                <w:rFonts w:asciiTheme="minorHAnsi" w:hAnsiTheme="minorHAnsi"/>
                <w:b/>
                <w:u w:val="single"/>
              </w:rPr>
              <w:t>HW49</w:t>
            </w:r>
            <w:r w:rsidRPr="002A3A75">
              <w:rPr>
                <w:rFonts w:asciiTheme="minorHAnsi" w:hAnsiTheme="minorHAnsi"/>
                <w:b/>
                <w:u w:val="single"/>
              </w:rPr>
              <w:t>其他废物</w:t>
            </w:r>
          </w:p>
        </w:tc>
        <w:tc>
          <w:tcPr>
            <w:tcW w:w="1276" w:type="dxa"/>
            <w:vAlign w:val="center"/>
          </w:tcPr>
          <w:p w14:paraId="61432B3C" w14:textId="77777777" w:rsidR="00597B95" w:rsidRPr="002A3A75" w:rsidRDefault="00695D64" w:rsidP="00597B95">
            <w:pPr>
              <w:rPr>
                <w:rFonts w:asciiTheme="minorHAnsi" w:hAnsiTheme="minorHAnsi"/>
                <w:b/>
                <w:u w:val="single"/>
              </w:rPr>
            </w:pPr>
            <w:r w:rsidRPr="002A3A75">
              <w:rPr>
                <w:rFonts w:ascii="Calibri" w:hAnsi="Calibri"/>
                <w:b/>
                <w:color w:val="auto"/>
                <w:u w:val="single"/>
              </w:rPr>
              <w:t>900-039-49</w:t>
            </w:r>
          </w:p>
        </w:tc>
        <w:tc>
          <w:tcPr>
            <w:tcW w:w="567" w:type="dxa"/>
            <w:vMerge w:val="restart"/>
            <w:vAlign w:val="center"/>
          </w:tcPr>
          <w:p w14:paraId="68DE7B47"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生产区</w:t>
            </w:r>
          </w:p>
        </w:tc>
        <w:tc>
          <w:tcPr>
            <w:tcW w:w="850" w:type="dxa"/>
            <w:vMerge w:val="restart"/>
            <w:vAlign w:val="center"/>
          </w:tcPr>
          <w:p w14:paraId="3A2C54DF"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15m</w:t>
            </w:r>
            <w:r w:rsidRPr="002A3A75">
              <w:rPr>
                <w:rFonts w:asciiTheme="minorHAnsi" w:hAnsiTheme="minorHAnsi"/>
                <w:b/>
                <w:color w:val="auto"/>
                <w:szCs w:val="21"/>
                <w:u w:val="single"/>
                <w:vertAlign w:val="superscript"/>
              </w:rPr>
              <w:t>2</w:t>
            </w:r>
          </w:p>
        </w:tc>
        <w:tc>
          <w:tcPr>
            <w:tcW w:w="1134" w:type="dxa"/>
            <w:vAlign w:val="center"/>
          </w:tcPr>
          <w:p w14:paraId="51C0AF13"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密闭容器</w:t>
            </w:r>
          </w:p>
        </w:tc>
        <w:tc>
          <w:tcPr>
            <w:tcW w:w="851" w:type="dxa"/>
            <w:vAlign w:val="center"/>
          </w:tcPr>
          <w:p w14:paraId="6809515A" w14:textId="37698707" w:rsidR="00597B95" w:rsidRPr="002A3A75" w:rsidRDefault="00F93C22" w:rsidP="00EA2872">
            <w:pPr>
              <w:jc w:val="center"/>
              <w:rPr>
                <w:rFonts w:asciiTheme="minorHAnsi" w:hAnsiTheme="minorHAnsi"/>
                <w:b/>
                <w:color w:val="auto"/>
                <w:szCs w:val="21"/>
                <w:u w:val="single"/>
              </w:rPr>
            </w:pPr>
            <w:r w:rsidRPr="002A3A75">
              <w:rPr>
                <w:rFonts w:asciiTheme="minorHAnsi" w:hAnsiTheme="minorHAnsi"/>
                <w:b/>
                <w:color w:val="auto"/>
                <w:szCs w:val="21"/>
                <w:u w:val="single"/>
              </w:rPr>
              <w:t>2.5</w:t>
            </w:r>
            <w:r w:rsidR="00597B95" w:rsidRPr="002A3A75">
              <w:rPr>
                <w:rFonts w:asciiTheme="minorHAnsi" w:hAnsiTheme="minorHAnsi"/>
                <w:b/>
                <w:color w:val="auto"/>
                <w:szCs w:val="21"/>
                <w:u w:val="single"/>
              </w:rPr>
              <w:t>t</w:t>
            </w:r>
          </w:p>
        </w:tc>
        <w:tc>
          <w:tcPr>
            <w:tcW w:w="679" w:type="dxa"/>
            <w:vAlign w:val="center"/>
          </w:tcPr>
          <w:p w14:paraId="4882E7A6"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bCs/>
                <w:color w:val="auto"/>
                <w:szCs w:val="21"/>
                <w:u w:val="single"/>
              </w:rPr>
              <w:t>半年</w:t>
            </w:r>
          </w:p>
        </w:tc>
      </w:tr>
      <w:tr w:rsidR="00597B95" w:rsidRPr="002A3A75" w14:paraId="0E052BBD" w14:textId="77777777" w:rsidTr="00692A10">
        <w:trPr>
          <w:trHeight w:val="340"/>
          <w:jc w:val="center"/>
        </w:trPr>
        <w:tc>
          <w:tcPr>
            <w:tcW w:w="881" w:type="dxa"/>
            <w:vMerge/>
            <w:vAlign w:val="center"/>
          </w:tcPr>
          <w:p w14:paraId="7FA697BC"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35181703" w14:textId="77777777" w:rsidR="00597B95" w:rsidRPr="002A3A75" w:rsidRDefault="00597B95" w:rsidP="00597B95">
            <w:pPr>
              <w:rPr>
                <w:rFonts w:asciiTheme="minorHAnsi" w:hAnsiTheme="minorHAnsi"/>
                <w:b/>
                <w:u w:val="single"/>
              </w:rPr>
            </w:pPr>
            <w:r w:rsidRPr="002A3A75">
              <w:rPr>
                <w:rFonts w:asciiTheme="minorHAnsi" w:hAnsiTheme="minorHAnsi"/>
                <w:b/>
                <w:u w:val="single"/>
              </w:rPr>
              <w:t>废紫外灯管</w:t>
            </w:r>
          </w:p>
        </w:tc>
        <w:tc>
          <w:tcPr>
            <w:tcW w:w="1701" w:type="dxa"/>
            <w:vAlign w:val="center"/>
          </w:tcPr>
          <w:p w14:paraId="7837908C" w14:textId="77777777" w:rsidR="00597B95" w:rsidRPr="002A3A75" w:rsidRDefault="00597B95" w:rsidP="00597B95">
            <w:pPr>
              <w:rPr>
                <w:rFonts w:asciiTheme="minorHAnsi" w:hAnsiTheme="minorHAnsi"/>
                <w:b/>
                <w:u w:val="single"/>
              </w:rPr>
            </w:pPr>
            <w:r w:rsidRPr="002A3A75">
              <w:rPr>
                <w:rFonts w:asciiTheme="minorHAnsi" w:hAnsiTheme="minorHAnsi"/>
                <w:b/>
                <w:u w:val="single"/>
              </w:rPr>
              <w:t>HW29</w:t>
            </w:r>
            <w:r w:rsidRPr="002A3A75">
              <w:rPr>
                <w:rFonts w:asciiTheme="minorHAnsi" w:hAnsiTheme="minorHAnsi"/>
                <w:b/>
                <w:u w:val="single"/>
              </w:rPr>
              <w:t>（含汞废物）</w:t>
            </w:r>
          </w:p>
        </w:tc>
        <w:tc>
          <w:tcPr>
            <w:tcW w:w="1276" w:type="dxa"/>
            <w:vAlign w:val="center"/>
          </w:tcPr>
          <w:p w14:paraId="06B14F7C" w14:textId="77777777" w:rsidR="00597B95" w:rsidRPr="002A3A75" w:rsidRDefault="00597B95" w:rsidP="00597B95">
            <w:pPr>
              <w:rPr>
                <w:rFonts w:asciiTheme="minorHAnsi" w:hAnsiTheme="minorHAnsi"/>
                <w:b/>
                <w:u w:val="single"/>
              </w:rPr>
            </w:pPr>
            <w:r w:rsidRPr="002A3A75">
              <w:rPr>
                <w:rFonts w:asciiTheme="minorHAnsi" w:hAnsiTheme="minorHAnsi"/>
                <w:b/>
                <w:u w:val="single"/>
              </w:rPr>
              <w:t>900-023-29</w:t>
            </w:r>
          </w:p>
        </w:tc>
        <w:tc>
          <w:tcPr>
            <w:tcW w:w="567" w:type="dxa"/>
            <w:vMerge/>
            <w:vAlign w:val="center"/>
          </w:tcPr>
          <w:p w14:paraId="5B430F01" w14:textId="77777777" w:rsidR="00597B95" w:rsidRPr="002A3A75" w:rsidRDefault="00597B95" w:rsidP="00597B95">
            <w:pPr>
              <w:jc w:val="center"/>
              <w:rPr>
                <w:rFonts w:asciiTheme="minorHAnsi" w:hAnsiTheme="minorHAnsi"/>
                <w:b/>
                <w:color w:val="auto"/>
                <w:szCs w:val="21"/>
                <w:u w:val="single"/>
              </w:rPr>
            </w:pPr>
          </w:p>
        </w:tc>
        <w:tc>
          <w:tcPr>
            <w:tcW w:w="850" w:type="dxa"/>
            <w:vMerge/>
            <w:vAlign w:val="center"/>
          </w:tcPr>
          <w:p w14:paraId="36A373BA"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379B82A8"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密闭容器</w:t>
            </w:r>
          </w:p>
        </w:tc>
        <w:tc>
          <w:tcPr>
            <w:tcW w:w="851" w:type="dxa"/>
            <w:vAlign w:val="center"/>
          </w:tcPr>
          <w:p w14:paraId="63F049EF" w14:textId="77777777" w:rsidR="00597B95" w:rsidRPr="002A3A75" w:rsidRDefault="00692A10" w:rsidP="00597B95">
            <w:pPr>
              <w:jc w:val="center"/>
              <w:rPr>
                <w:rFonts w:asciiTheme="minorHAnsi" w:hAnsiTheme="minorHAnsi"/>
                <w:b/>
                <w:color w:val="auto"/>
                <w:szCs w:val="21"/>
                <w:u w:val="single"/>
              </w:rPr>
            </w:pPr>
            <w:r w:rsidRPr="002A3A75">
              <w:rPr>
                <w:rFonts w:asciiTheme="minorHAnsi" w:hAnsiTheme="minorHAnsi"/>
                <w:b/>
                <w:color w:val="auto"/>
                <w:szCs w:val="21"/>
                <w:u w:val="single"/>
              </w:rPr>
              <w:t>0.1</w:t>
            </w:r>
            <w:r w:rsidR="00597B95" w:rsidRPr="002A3A75">
              <w:rPr>
                <w:rFonts w:asciiTheme="minorHAnsi" w:hAnsiTheme="minorHAnsi"/>
                <w:b/>
                <w:color w:val="auto"/>
                <w:szCs w:val="21"/>
                <w:u w:val="single"/>
              </w:rPr>
              <w:t>t</w:t>
            </w:r>
          </w:p>
        </w:tc>
        <w:tc>
          <w:tcPr>
            <w:tcW w:w="679" w:type="dxa"/>
            <w:vAlign w:val="center"/>
          </w:tcPr>
          <w:p w14:paraId="14514D0A" w14:textId="2FCD6D38" w:rsidR="00597B95" w:rsidRPr="002A3A75" w:rsidRDefault="00F958D0" w:rsidP="00597B95">
            <w:pPr>
              <w:jc w:val="center"/>
              <w:rPr>
                <w:rFonts w:asciiTheme="minorHAnsi" w:hAnsiTheme="minorHAnsi" w:hint="eastAsia"/>
                <w:b/>
                <w:color w:val="auto"/>
                <w:szCs w:val="21"/>
                <w:u w:val="single"/>
              </w:rPr>
            </w:pPr>
            <w:r>
              <w:rPr>
                <w:rFonts w:asciiTheme="minorHAnsi" w:hAnsiTheme="minorHAnsi" w:hint="eastAsia"/>
                <w:b/>
                <w:bCs/>
                <w:color w:val="auto"/>
                <w:szCs w:val="21"/>
                <w:u w:val="single"/>
              </w:rPr>
              <w:t>1</w:t>
            </w:r>
            <w:r>
              <w:rPr>
                <w:rFonts w:asciiTheme="minorHAnsi" w:hAnsiTheme="minorHAnsi" w:hint="eastAsia"/>
                <w:b/>
                <w:bCs/>
                <w:color w:val="auto"/>
                <w:szCs w:val="21"/>
                <w:u w:val="single"/>
              </w:rPr>
              <w:t>年</w:t>
            </w:r>
          </w:p>
        </w:tc>
      </w:tr>
      <w:tr w:rsidR="00597B95" w:rsidRPr="002A3A75" w14:paraId="7154F971" w14:textId="77777777" w:rsidTr="00692A10">
        <w:trPr>
          <w:trHeight w:val="340"/>
          <w:jc w:val="center"/>
        </w:trPr>
        <w:tc>
          <w:tcPr>
            <w:tcW w:w="881" w:type="dxa"/>
            <w:vMerge/>
            <w:vAlign w:val="center"/>
          </w:tcPr>
          <w:p w14:paraId="776BA07D"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76F8C967" w14:textId="77777777" w:rsidR="00597B95" w:rsidRPr="002A3A75" w:rsidRDefault="00597B95" w:rsidP="00597B95">
            <w:pPr>
              <w:rPr>
                <w:rFonts w:asciiTheme="minorHAnsi" w:hAnsiTheme="minorHAnsi"/>
                <w:b/>
                <w:u w:val="single"/>
              </w:rPr>
            </w:pPr>
            <w:r w:rsidRPr="002A3A75">
              <w:rPr>
                <w:rFonts w:asciiTheme="minorHAnsi" w:hAnsiTheme="minorHAnsi"/>
                <w:b/>
                <w:u w:val="single"/>
              </w:rPr>
              <w:t>废机油</w:t>
            </w:r>
          </w:p>
        </w:tc>
        <w:tc>
          <w:tcPr>
            <w:tcW w:w="1701" w:type="dxa"/>
            <w:vAlign w:val="center"/>
          </w:tcPr>
          <w:p w14:paraId="41536722" w14:textId="77777777" w:rsidR="00597B95" w:rsidRPr="002A3A75" w:rsidRDefault="00597B95" w:rsidP="00597B95">
            <w:pPr>
              <w:rPr>
                <w:rFonts w:asciiTheme="minorHAnsi" w:hAnsiTheme="minorHAnsi"/>
                <w:b/>
                <w:u w:val="single"/>
              </w:rPr>
            </w:pPr>
            <w:r w:rsidRPr="002A3A75">
              <w:rPr>
                <w:rFonts w:asciiTheme="minorHAnsi" w:hAnsiTheme="minorHAnsi"/>
                <w:b/>
                <w:u w:val="single"/>
              </w:rPr>
              <w:t>HW08</w:t>
            </w:r>
            <w:r w:rsidRPr="002A3A75">
              <w:rPr>
                <w:rFonts w:asciiTheme="minorHAnsi" w:hAnsiTheme="minorHAnsi"/>
                <w:b/>
                <w:u w:val="single"/>
              </w:rPr>
              <w:t>废矿物油与含矿物油废物</w:t>
            </w:r>
          </w:p>
        </w:tc>
        <w:tc>
          <w:tcPr>
            <w:tcW w:w="1276" w:type="dxa"/>
            <w:vAlign w:val="center"/>
          </w:tcPr>
          <w:p w14:paraId="37A860CA" w14:textId="77777777" w:rsidR="00597B95" w:rsidRPr="002A3A75" w:rsidRDefault="00597B95" w:rsidP="00597B95">
            <w:pPr>
              <w:rPr>
                <w:rFonts w:asciiTheme="minorHAnsi" w:hAnsiTheme="minorHAnsi"/>
                <w:b/>
                <w:u w:val="single"/>
              </w:rPr>
            </w:pPr>
            <w:r w:rsidRPr="002A3A75">
              <w:rPr>
                <w:rFonts w:asciiTheme="minorHAnsi" w:hAnsiTheme="minorHAnsi"/>
                <w:b/>
                <w:u w:val="single"/>
              </w:rPr>
              <w:t>900-249-08</w:t>
            </w:r>
          </w:p>
        </w:tc>
        <w:tc>
          <w:tcPr>
            <w:tcW w:w="567" w:type="dxa"/>
            <w:vMerge/>
            <w:vAlign w:val="center"/>
          </w:tcPr>
          <w:p w14:paraId="5195EC44" w14:textId="77777777" w:rsidR="00597B95" w:rsidRPr="002A3A75" w:rsidRDefault="00597B95" w:rsidP="00597B95">
            <w:pPr>
              <w:jc w:val="center"/>
              <w:rPr>
                <w:rFonts w:asciiTheme="minorHAnsi" w:hAnsiTheme="minorHAnsi"/>
                <w:b/>
                <w:color w:val="auto"/>
                <w:szCs w:val="21"/>
                <w:u w:val="single"/>
              </w:rPr>
            </w:pPr>
          </w:p>
        </w:tc>
        <w:tc>
          <w:tcPr>
            <w:tcW w:w="850" w:type="dxa"/>
            <w:vMerge/>
            <w:vAlign w:val="center"/>
          </w:tcPr>
          <w:p w14:paraId="7F95C018"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2EF75F4B"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密闭桶</w:t>
            </w:r>
            <w:r w:rsidRPr="002A3A75">
              <w:rPr>
                <w:rFonts w:asciiTheme="minorHAnsi" w:hAnsiTheme="minorHAnsi"/>
                <w:b/>
                <w:color w:val="auto"/>
                <w:szCs w:val="21"/>
                <w:u w:val="single"/>
              </w:rPr>
              <w:t>+</w:t>
            </w:r>
            <w:r w:rsidRPr="002A3A75">
              <w:rPr>
                <w:rFonts w:asciiTheme="minorHAnsi" w:hAnsiTheme="minorHAnsi"/>
                <w:b/>
                <w:color w:val="auto"/>
                <w:szCs w:val="21"/>
                <w:u w:val="single"/>
              </w:rPr>
              <w:t>围堰</w:t>
            </w:r>
          </w:p>
        </w:tc>
        <w:tc>
          <w:tcPr>
            <w:tcW w:w="851" w:type="dxa"/>
            <w:vAlign w:val="center"/>
          </w:tcPr>
          <w:p w14:paraId="630F7C69" w14:textId="77777777" w:rsidR="00597B95" w:rsidRPr="002A3A75" w:rsidRDefault="00692A10" w:rsidP="00597B95">
            <w:pPr>
              <w:jc w:val="center"/>
              <w:rPr>
                <w:rFonts w:asciiTheme="minorHAnsi" w:hAnsiTheme="minorHAnsi"/>
                <w:b/>
                <w:color w:val="auto"/>
                <w:szCs w:val="21"/>
                <w:u w:val="single"/>
              </w:rPr>
            </w:pPr>
            <w:r w:rsidRPr="002A3A75">
              <w:rPr>
                <w:rFonts w:asciiTheme="minorHAnsi" w:hAnsiTheme="minorHAnsi"/>
                <w:b/>
                <w:color w:val="auto"/>
                <w:szCs w:val="21"/>
                <w:u w:val="single"/>
              </w:rPr>
              <w:t>0.5</w:t>
            </w:r>
            <w:r w:rsidR="00597B95" w:rsidRPr="002A3A75">
              <w:rPr>
                <w:rFonts w:asciiTheme="minorHAnsi" w:hAnsiTheme="minorHAnsi"/>
                <w:b/>
                <w:color w:val="auto"/>
                <w:szCs w:val="21"/>
                <w:u w:val="single"/>
              </w:rPr>
              <w:t>t</w:t>
            </w:r>
          </w:p>
        </w:tc>
        <w:tc>
          <w:tcPr>
            <w:tcW w:w="679" w:type="dxa"/>
            <w:vAlign w:val="center"/>
          </w:tcPr>
          <w:p w14:paraId="6424C2E0"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bCs/>
                <w:color w:val="auto"/>
                <w:szCs w:val="21"/>
                <w:u w:val="single"/>
              </w:rPr>
              <w:t>半年</w:t>
            </w:r>
          </w:p>
        </w:tc>
      </w:tr>
      <w:tr w:rsidR="00597B95" w:rsidRPr="002A3A75" w14:paraId="0C6816B5" w14:textId="77777777" w:rsidTr="00692A10">
        <w:trPr>
          <w:trHeight w:val="340"/>
          <w:jc w:val="center"/>
        </w:trPr>
        <w:tc>
          <w:tcPr>
            <w:tcW w:w="881" w:type="dxa"/>
            <w:vMerge/>
            <w:vAlign w:val="center"/>
          </w:tcPr>
          <w:p w14:paraId="63F25DBC"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6402CE89" w14:textId="77777777" w:rsidR="00597B95" w:rsidRPr="002A3A75" w:rsidRDefault="00597B95" w:rsidP="00597B95">
            <w:pPr>
              <w:rPr>
                <w:rFonts w:asciiTheme="minorHAnsi" w:hAnsiTheme="minorHAnsi"/>
                <w:b/>
                <w:u w:val="single"/>
              </w:rPr>
            </w:pPr>
            <w:r w:rsidRPr="002A3A75">
              <w:rPr>
                <w:rFonts w:asciiTheme="minorHAnsi" w:hAnsiTheme="minorHAnsi"/>
                <w:b/>
                <w:u w:val="single"/>
              </w:rPr>
              <w:t>废导热油</w:t>
            </w:r>
          </w:p>
        </w:tc>
        <w:tc>
          <w:tcPr>
            <w:tcW w:w="1701" w:type="dxa"/>
            <w:vAlign w:val="center"/>
          </w:tcPr>
          <w:p w14:paraId="5ABA446C" w14:textId="77777777" w:rsidR="00597B95" w:rsidRPr="002A3A75" w:rsidRDefault="00597B95" w:rsidP="00597B95">
            <w:pPr>
              <w:rPr>
                <w:rFonts w:asciiTheme="minorHAnsi" w:hAnsiTheme="minorHAnsi"/>
                <w:b/>
                <w:u w:val="single"/>
              </w:rPr>
            </w:pPr>
            <w:r w:rsidRPr="002A3A75">
              <w:rPr>
                <w:rFonts w:asciiTheme="minorHAnsi" w:hAnsiTheme="minorHAnsi"/>
                <w:b/>
                <w:u w:val="single"/>
              </w:rPr>
              <w:t>HW08</w:t>
            </w:r>
            <w:r w:rsidRPr="002A3A75">
              <w:rPr>
                <w:rFonts w:asciiTheme="minorHAnsi" w:hAnsiTheme="minorHAnsi"/>
                <w:b/>
                <w:u w:val="single"/>
              </w:rPr>
              <w:t>废矿物油与含矿物油废物</w:t>
            </w:r>
          </w:p>
        </w:tc>
        <w:tc>
          <w:tcPr>
            <w:tcW w:w="1276" w:type="dxa"/>
            <w:vAlign w:val="center"/>
          </w:tcPr>
          <w:p w14:paraId="36DFB73B" w14:textId="77777777" w:rsidR="00597B95" w:rsidRPr="002A3A75" w:rsidRDefault="00597B95" w:rsidP="00597B95">
            <w:pPr>
              <w:rPr>
                <w:rFonts w:asciiTheme="minorHAnsi" w:hAnsiTheme="minorHAnsi"/>
                <w:b/>
                <w:u w:val="single"/>
              </w:rPr>
            </w:pPr>
            <w:r w:rsidRPr="002A3A75">
              <w:rPr>
                <w:rFonts w:asciiTheme="minorHAnsi" w:hAnsiTheme="minorHAnsi"/>
                <w:b/>
                <w:u w:val="single"/>
              </w:rPr>
              <w:t>900-249-08</w:t>
            </w:r>
          </w:p>
        </w:tc>
        <w:tc>
          <w:tcPr>
            <w:tcW w:w="567" w:type="dxa"/>
            <w:vMerge/>
            <w:vAlign w:val="center"/>
          </w:tcPr>
          <w:p w14:paraId="3F851DA9" w14:textId="77777777" w:rsidR="00597B95" w:rsidRPr="002A3A75" w:rsidRDefault="00597B95" w:rsidP="00597B95">
            <w:pPr>
              <w:jc w:val="center"/>
              <w:rPr>
                <w:rFonts w:asciiTheme="minorHAnsi" w:hAnsiTheme="minorHAnsi"/>
                <w:b/>
                <w:color w:val="auto"/>
                <w:szCs w:val="21"/>
                <w:u w:val="single"/>
              </w:rPr>
            </w:pPr>
          </w:p>
        </w:tc>
        <w:tc>
          <w:tcPr>
            <w:tcW w:w="850" w:type="dxa"/>
            <w:vMerge/>
            <w:vAlign w:val="center"/>
          </w:tcPr>
          <w:p w14:paraId="70CFC451"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6DAB5527"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密闭桶</w:t>
            </w:r>
            <w:r w:rsidRPr="002A3A75">
              <w:rPr>
                <w:rFonts w:asciiTheme="minorHAnsi" w:hAnsiTheme="minorHAnsi"/>
                <w:b/>
                <w:color w:val="auto"/>
                <w:szCs w:val="21"/>
                <w:u w:val="single"/>
              </w:rPr>
              <w:t>+</w:t>
            </w:r>
            <w:r w:rsidRPr="002A3A75">
              <w:rPr>
                <w:rFonts w:asciiTheme="minorHAnsi" w:hAnsiTheme="minorHAnsi"/>
                <w:b/>
                <w:color w:val="auto"/>
                <w:szCs w:val="21"/>
                <w:u w:val="single"/>
              </w:rPr>
              <w:t>围堰</w:t>
            </w:r>
          </w:p>
        </w:tc>
        <w:tc>
          <w:tcPr>
            <w:tcW w:w="851" w:type="dxa"/>
            <w:vAlign w:val="center"/>
          </w:tcPr>
          <w:p w14:paraId="60EEB193" w14:textId="77777777" w:rsidR="00597B95" w:rsidRPr="002A3A75" w:rsidRDefault="00692A10" w:rsidP="00597B95">
            <w:pPr>
              <w:jc w:val="center"/>
              <w:rPr>
                <w:rFonts w:asciiTheme="minorHAnsi" w:hAnsiTheme="minorHAnsi"/>
                <w:b/>
                <w:color w:val="auto"/>
                <w:szCs w:val="21"/>
                <w:u w:val="single"/>
              </w:rPr>
            </w:pPr>
            <w:r w:rsidRPr="002A3A75">
              <w:rPr>
                <w:rFonts w:asciiTheme="minorHAnsi" w:hAnsiTheme="minorHAnsi"/>
                <w:b/>
                <w:color w:val="auto"/>
                <w:szCs w:val="21"/>
                <w:u w:val="single"/>
              </w:rPr>
              <w:t>15t</w:t>
            </w:r>
          </w:p>
        </w:tc>
        <w:tc>
          <w:tcPr>
            <w:tcW w:w="679" w:type="dxa"/>
            <w:vAlign w:val="center"/>
          </w:tcPr>
          <w:p w14:paraId="401F50B5" w14:textId="77777777" w:rsidR="00597B95" w:rsidRPr="002A3A75" w:rsidRDefault="00B83749" w:rsidP="00597B95">
            <w:pPr>
              <w:jc w:val="center"/>
              <w:rPr>
                <w:rFonts w:asciiTheme="minorHAnsi" w:hAnsiTheme="minorHAnsi"/>
                <w:b/>
                <w:bCs/>
                <w:color w:val="auto"/>
                <w:szCs w:val="21"/>
                <w:u w:val="single"/>
              </w:rPr>
            </w:pPr>
            <w:r w:rsidRPr="002A3A75">
              <w:rPr>
                <w:rFonts w:asciiTheme="minorHAnsi" w:hAnsiTheme="minorHAnsi"/>
                <w:b/>
                <w:bCs/>
                <w:color w:val="auto"/>
                <w:szCs w:val="21"/>
                <w:u w:val="single"/>
              </w:rPr>
              <w:t>1</w:t>
            </w:r>
            <w:r w:rsidRPr="002A3A75">
              <w:rPr>
                <w:rFonts w:asciiTheme="minorHAnsi" w:hAnsiTheme="minorHAnsi" w:hint="eastAsia"/>
                <w:b/>
                <w:bCs/>
                <w:color w:val="auto"/>
                <w:szCs w:val="21"/>
                <w:u w:val="single"/>
              </w:rPr>
              <w:t>个月</w:t>
            </w:r>
          </w:p>
        </w:tc>
      </w:tr>
      <w:tr w:rsidR="00597B95" w:rsidRPr="002A3A75" w14:paraId="5ACA19FF" w14:textId="77777777" w:rsidTr="00692A10">
        <w:trPr>
          <w:trHeight w:val="340"/>
          <w:jc w:val="center"/>
        </w:trPr>
        <w:tc>
          <w:tcPr>
            <w:tcW w:w="881" w:type="dxa"/>
            <w:vMerge/>
            <w:vAlign w:val="center"/>
          </w:tcPr>
          <w:p w14:paraId="103BE743"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6523B015" w14:textId="77777777" w:rsidR="00597B95" w:rsidRPr="002A3A75" w:rsidRDefault="0092085C" w:rsidP="00597B95">
            <w:pPr>
              <w:rPr>
                <w:rFonts w:asciiTheme="minorHAnsi" w:hAnsiTheme="minorHAnsi"/>
                <w:b/>
                <w:u w:val="single"/>
              </w:rPr>
            </w:pPr>
            <w:r w:rsidRPr="002A3A75">
              <w:rPr>
                <w:rFonts w:ascii="Calibri" w:hAnsi="Calibri" w:hint="eastAsia"/>
                <w:b/>
                <w:color w:val="auto"/>
                <w:u w:val="single"/>
              </w:rPr>
              <w:t>品控中心</w:t>
            </w:r>
            <w:r w:rsidR="00597B95" w:rsidRPr="002A3A75">
              <w:rPr>
                <w:rFonts w:asciiTheme="minorHAnsi" w:hAnsiTheme="minorHAnsi"/>
                <w:b/>
                <w:u w:val="single"/>
              </w:rPr>
              <w:t>废物</w:t>
            </w:r>
          </w:p>
        </w:tc>
        <w:tc>
          <w:tcPr>
            <w:tcW w:w="1701" w:type="dxa"/>
            <w:vAlign w:val="center"/>
          </w:tcPr>
          <w:p w14:paraId="2526FF0E" w14:textId="77777777" w:rsidR="00597B95" w:rsidRPr="002A3A75" w:rsidRDefault="00597B95" w:rsidP="00597B95">
            <w:pPr>
              <w:rPr>
                <w:rFonts w:asciiTheme="minorHAnsi" w:hAnsiTheme="minorHAnsi"/>
                <w:b/>
                <w:u w:val="single"/>
              </w:rPr>
            </w:pPr>
            <w:r w:rsidRPr="002A3A75">
              <w:rPr>
                <w:rFonts w:asciiTheme="minorHAnsi" w:hAnsiTheme="minorHAnsi"/>
                <w:b/>
                <w:u w:val="single"/>
              </w:rPr>
              <w:t>HW49</w:t>
            </w:r>
            <w:r w:rsidRPr="002A3A75">
              <w:rPr>
                <w:rFonts w:asciiTheme="minorHAnsi" w:hAnsiTheme="minorHAnsi"/>
                <w:b/>
                <w:u w:val="single"/>
              </w:rPr>
              <w:t>其他废物</w:t>
            </w:r>
          </w:p>
        </w:tc>
        <w:tc>
          <w:tcPr>
            <w:tcW w:w="1276" w:type="dxa"/>
            <w:vAlign w:val="center"/>
          </w:tcPr>
          <w:p w14:paraId="6413855D" w14:textId="77777777" w:rsidR="00597B95" w:rsidRPr="002A3A75" w:rsidRDefault="00597B95" w:rsidP="00597B95">
            <w:pPr>
              <w:rPr>
                <w:rFonts w:asciiTheme="minorHAnsi" w:hAnsiTheme="minorHAnsi"/>
                <w:b/>
                <w:u w:val="single"/>
              </w:rPr>
            </w:pPr>
            <w:r w:rsidRPr="002A3A75">
              <w:rPr>
                <w:rFonts w:asciiTheme="minorHAnsi" w:hAnsiTheme="minorHAnsi"/>
                <w:b/>
                <w:u w:val="single"/>
              </w:rPr>
              <w:t>900-047-49</w:t>
            </w:r>
          </w:p>
        </w:tc>
        <w:tc>
          <w:tcPr>
            <w:tcW w:w="567" w:type="dxa"/>
            <w:vMerge/>
            <w:vAlign w:val="center"/>
          </w:tcPr>
          <w:p w14:paraId="5BF03359" w14:textId="77777777" w:rsidR="00597B95" w:rsidRPr="002A3A75" w:rsidRDefault="00597B95" w:rsidP="00597B95">
            <w:pPr>
              <w:jc w:val="center"/>
              <w:rPr>
                <w:rFonts w:asciiTheme="minorHAnsi" w:hAnsiTheme="minorHAnsi"/>
                <w:b/>
                <w:color w:val="auto"/>
                <w:szCs w:val="21"/>
                <w:u w:val="single"/>
              </w:rPr>
            </w:pPr>
          </w:p>
        </w:tc>
        <w:tc>
          <w:tcPr>
            <w:tcW w:w="850" w:type="dxa"/>
            <w:vMerge/>
            <w:vAlign w:val="center"/>
          </w:tcPr>
          <w:p w14:paraId="28EED31F" w14:textId="77777777" w:rsidR="00597B95" w:rsidRPr="002A3A75" w:rsidRDefault="00597B95" w:rsidP="00597B95">
            <w:pPr>
              <w:jc w:val="center"/>
              <w:rPr>
                <w:rFonts w:asciiTheme="minorHAnsi" w:hAnsiTheme="minorHAnsi"/>
                <w:b/>
                <w:color w:val="auto"/>
                <w:szCs w:val="21"/>
                <w:u w:val="single"/>
              </w:rPr>
            </w:pPr>
          </w:p>
        </w:tc>
        <w:tc>
          <w:tcPr>
            <w:tcW w:w="1134" w:type="dxa"/>
            <w:vAlign w:val="center"/>
          </w:tcPr>
          <w:p w14:paraId="6D26146A" w14:textId="77777777" w:rsidR="00597B95" w:rsidRPr="002A3A75" w:rsidRDefault="00597B95" w:rsidP="00597B95">
            <w:pPr>
              <w:jc w:val="center"/>
              <w:rPr>
                <w:rFonts w:asciiTheme="minorHAnsi" w:hAnsiTheme="minorHAnsi"/>
                <w:b/>
                <w:color w:val="auto"/>
                <w:szCs w:val="21"/>
                <w:u w:val="single"/>
              </w:rPr>
            </w:pPr>
            <w:r w:rsidRPr="002A3A75">
              <w:rPr>
                <w:rFonts w:asciiTheme="minorHAnsi" w:hAnsiTheme="minorHAnsi"/>
                <w:b/>
                <w:color w:val="auto"/>
                <w:szCs w:val="21"/>
                <w:u w:val="single"/>
              </w:rPr>
              <w:t>密闭桶</w:t>
            </w:r>
            <w:r w:rsidRPr="002A3A75">
              <w:rPr>
                <w:rFonts w:asciiTheme="minorHAnsi" w:hAnsiTheme="minorHAnsi"/>
                <w:b/>
                <w:color w:val="auto"/>
                <w:szCs w:val="21"/>
                <w:u w:val="single"/>
              </w:rPr>
              <w:t>+</w:t>
            </w:r>
            <w:r w:rsidRPr="002A3A75">
              <w:rPr>
                <w:rFonts w:asciiTheme="minorHAnsi" w:hAnsiTheme="minorHAnsi"/>
                <w:b/>
                <w:color w:val="auto"/>
                <w:szCs w:val="21"/>
                <w:u w:val="single"/>
              </w:rPr>
              <w:t>围堰</w:t>
            </w:r>
          </w:p>
        </w:tc>
        <w:tc>
          <w:tcPr>
            <w:tcW w:w="851" w:type="dxa"/>
            <w:vAlign w:val="center"/>
          </w:tcPr>
          <w:p w14:paraId="68EA23A3" w14:textId="77777777" w:rsidR="00597B95" w:rsidRPr="002A3A75" w:rsidRDefault="00692A10" w:rsidP="00597B95">
            <w:pPr>
              <w:jc w:val="center"/>
              <w:rPr>
                <w:rFonts w:asciiTheme="minorHAnsi" w:hAnsiTheme="minorHAnsi"/>
                <w:b/>
                <w:color w:val="auto"/>
                <w:szCs w:val="21"/>
                <w:u w:val="single"/>
              </w:rPr>
            </w:pPr>
            <w:r w:rsidRPr="002A3A75">
              <w:rPr>
                <w:rFonts w:asciiTheme="minorHAnsi" w:hAnsiTheme="minorHAnsi"/>
                <w:b/>
                <w:color w:val="auto"/>
                <w:szCs w:val="21"/>
                <w:u w:val="single"/>
              </w:rPr>
              <w:t>0.2t</w:t>
            </w:r>
          </w:p>
        </w:tc>
        <w:tc>
          <w:tcPr>
            <w:tcW w:w="679" w:type="dxa"/>
            <w:vAlign w:val="center"/>
          </w:tcPr>
          <w:p w14:paraId="79660B3D" w14:textId="77777777" w:rsidR="00597B95" w:rsidRPr="002A3A75" w:rsidRDefault="00692A10" w:rsidP="00597B95">
            <w:pPr>
              <w:jc w:val="center"/>
              <w:rPr>
                <w:rFonts w:asciiTheme="minorHAnsi" w:hAnsiTheme="minorHAnsi"/>
                <w:b/>
                <w:bCs/>
                <w:color w:val="auto"/>
                <w:szCs w:val="21"/>
                <w:u w:val="single"/>
              </w:rPr>
            </w:pPr>
            <w:r w:rsidRPr="002A3A75">
              <w:rPr>
                <w:rFonts w:asciiTheme="minorHAnsi" w:hAnsiTheme="minorHAnsi"/>
                <w:b/>
                <w:bCs/>
                <w:color w:val="auto"/>
                <w:szCs w:val="21"/>
                <w:u w:val="single"/>
              </w:rPr>
              <w:t>半年</w:t>
            </w:r>
          </w:p>
        </w:tc>
      </w:tr>
    </w:tbl>
    <w:p w14:paraId="165428C7" w14:textId="77777777" w:rsidR="00C636CC" w:rsidRPr="00B83749" w:rsidRDefault="00CD358F" w:rsidP="00B83749">
      <w:pPr>
        <w:spacing w:line="500" w:lineRule="exact"/>
        <w:ind w:firstLineChars="200" w:firstLine="480"/>
        <w:rPr>
          <w:rFonts w:ascii="Calibri"/>
          <w:bCs/>
          <w:color w:val="auto"/>
          <w:sz w:val="24"/>
        </w:rPr>
      </w:pPr>
      <w:r w:rsidRPr="00A964FF">
        <w:rPr>
          <w:rFonts w:ascii="Calibri"/>
          <w:bCs/>
          <w:color w:val="auto"/>
          <w:sz w:val="24"/>
        </w:rPr>
        <w:t>根据河南省环境保护厅</w:t>
      </w:r>
      <w:r w:rsidRPr="00A964FF">
        <w:rPr>
          <w:rFonts w:ascii="Calibri"/>
          <w:bCs/>
          <w:color w:val="auto"/>
          <w:sz w:val="24"/>
        </w:rPr>
        <w:t>20</w:t>
      </w:r>
      <w:r w:rsidR="0068315A" w:rsidRPr="00A964FF">
        <w:rPr>
          <w:rFonts w:ascii="Calibri" w:hint="eastAsia"/>
          <w:bCs/>
          <w:color w:val="auto"/>
          <w:sz w:val="24"/>
        </w:rPr>
        <w:t>2</w:t>
      </w:r>
      <w:r w:rsidR="00692A10">
        <w:rPr>
          <w:rFonts w:ascii="Calibri"/>
          <w:bCs/>
          <w:color w:val="auto"/>
          <w:sz w:val="24"/>
        </w:rPr>
        <w:t>2</w:t>
      </w:r>
      <w:r w:rsidRPr="00A964FF">
        <w:rPr>
          <w:rFonts w:ascii="Calibri"/>
          <w:bCs/>
          <w:color w:val="auto"/>
          <w:sz w:val="24"/>
        </w:rPr>
        <w:t>年</w:t>
      </w:r>
      <w:r w:rsidR="009F235D">
        <w:rPr>
          <w:rFonts w:ascii="Calibri"/>
          <w:bCs/>
          <w:color w:val="auto"/>
          <w:sz w:val="24"/>
        </w:rPr>
        <w:t>4</w:t>
      </w:r>
      <w:r w:rsidRPr="00A964FF">
        <w:rPr>
          <w:rFonts w:ascii="Calibri"/>
          <w:bCs/>
          <w:color w:val="auto"/>
          <w:sz w:val="24"/>
        </w:rPr>
        <w:t>月</w:t>
      </w:r>
      <w:r w:rsidR="009F235D">
        <w:rPr>
          <w:rFonts w:ascii="Calibri"/>
          <w:bCs/>
          <w:color w:val="auto"/>
          <w:sz w:val="24"/>
        </w:rPr>
        <w:t>29</w:t>
      </w:r>
      <w:r w:rsidRPr="00A964FF">
        <w:rPr>
          <w:rFonts w:ascii="Calibri"/>
          <w:bCs/>
          <w:color w:val="auto"/>
          <w:sz w:val="24"/>
        </w:rPr>
        <w:t>号核准颁发具有危险废物处置资格的企业名单</w:t>
      </w:r>
      <w:r w:rsidRPr="00A964FF">
        <w:rPr>
          <w:rFonts w:ascii="Calibri" w:hint="eastAsia"/>
          <w:bCs/>
          <w:color w:val="auto"/>
          <w:sz w:val="24"/>
        </w:rPr>
        <w:t>，本项目危险固废建议委托的资质单位见表</w:t>
      </w:r>
      <w:r w:rsidRPr="00A964FF">
        <w:rPr>
          <w:rFonts w:ascii="Calibri" w:hint="eastAsia"/>
          <w:bCs/>
          <w:color w:val="auto"/>
          <w:sz w:val="24"/>
        </w:rPr>
        <w:t>5</w:t>
      </w:r>
      <w:r w:rsidR="00ED3143" w:rsidRPr="00A964FF">
        <w:rPr>
          <w:rFonts w:ascii="Calibri" w:hint="eastAsia"/>
          <w:bCs/>
          <w:color w:val="auto"/>
          <w:sz w:val="24"/>
        </w:rPr>
        <w:t>.2</w:t>
      </w:r>
      <w:r w:rsidRPr="00A964FF">
        <w:rPr>
          <w:rFonts w:ascii="Calibri" w:hint="eastAsia"/>
          <w:bCs/>
          <w:color w:val="auto"/>
          <w:sz w:val="24"/>
        </w:rPr>
        <w:t>-</w:t>
      </w:r>
      <w:r w:rsidR="007B3855" w:rsidRPr="00A964FF">
        <w:rPr>
          <w:rFonts w:ascii="Calibri" w:hint="eastAsia"/>
          <w:bCs/>
          <w:color w:val="auto"/>
          <w:sz w:val="24"/>
        </w:rPr>
        <w:t>1</w:t>
      </w:r>
      <w:r w:rsidR="00135AC8">
        <w:rPr>
          <w:rFonts w:ascii="Calibri" w:hint="eastAsia"/>
          <w:bCs/>
          <w:color w:val="auto"/>
          <w:sz w:val="24"/>
        </w:rPr>
        <w:t>1</w:t>
      </w:r>
      <w:r w:rsidRPr="00A964FF">
        <w:rPr>
          <w:rFonts w:ascii="Calibri" w:hint="eastAsia"/>
          <w:bCs/>
          <w:color w:val="auto"/>
          <w:sz w:val="24"/>
        </w:rPr>
        <w:t>。</w:t>
      </w:r>
    </w:p>
    <w:p w14:paraId="35AD054E" w14:textId="77777777" w:rsidR="00CD358F" w:rsidRPr="00A964FF" w:rsidRDefault="00CD358F" w:rsidP="00CD358F">
      <w:pPr>
        <w:pStyle w:val="00"/>
        <w:rPr>
          <w:rFonts w:ascii="Calibri" w:eastAsia="黑体" w:hAnsi="Calibri"/>
          <w:color w:val="auto"/>
        </w:rPr>
      </w:pPr>
      <w:r w:rsidRPr="00A964FF">
        <w:rPr>
          <w:rFonts w:ascii="Calibri" w:eastAsia="黑体" w:hAnsi="黑体"/>
          <w:color w:val="auto"/>
        </w:rPr>
        <w:t>表</w:t>
      </w:r>
      <w:r w:rsidRPr="00A964FF">
        <w:rPr>
          <w:rFonts w:ascii="Calibri" w:eastAsia="黑体" w:hAnsi="Calibri"/>
          <w:color w:val="auto"/>
        </w:rPr>
        <w:t>5</w:t>
      </w:r>
      <w:r w:rsidR="00ED3143" w:rsidRPr="00A964FF">
        <w:rPr>
          <w:rFonts w:ascii="Calibri" w:eastAsia="黑体" w:hAnsi="Calibri" w:hint="eastAsia"/>
          <w:color w:val="auto"/>
        </w:rPr>
        <w:t>.2</w:t>
      </w:r>
      <w:r w:rsidRPr="00A964FF">
        <w:rPr>
          <w:rFonts w:ascii="Calibri" w:eastAsia="黑体" w:hAnsi="Calibri"/>
          <w:color w:val="auto"/>
        </w:rPr>
        <w:t>-</w:t>
      </w:r>
      <w:r w:rsidR="007B3855" w:rsidRPr="00A964FF">
        <w:rPr>
          <w:rFonts w:ascii="Calibri" w:eastAsia="黑体" w:hAnsi="Calibri" w:hint="eastAsia"/>
          <w:color w:val="auto"/>
        </w:rPr>
        <w:t>1</w:t>
      </w:r>
      <w:r w:rsidR="00135AC8">
        <w:rPr>
          <w:rFonts w:ascii="Calibri" w:eastAsia="黑体" w:hAnsi="Calibri" w:hint="eastAsia"/>
          <w:color w:val="auto"/>
        </w:rPr>
        <w:t>1</w:t>
      </w:r>
      <w:r w:rsidRPr="00A964FF">
        <w:rPr>
          <w:rFonts w:ascii="Calibri" w:eastAsia="黑体" w:hAnsi="Calibri"/>
          <w:color w:val="auto"/>
        </w:rPr>
        <w:t xml:space="preserve">         </w:t>
      </w:r>
      <w:r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黑体"/>
          <w:color w:val="auto"/>
        </w:rPr>
        <w:t>本项目危险废物</w:t>
      </w:r>
      <w:r w:rsidRPr="00A964FF">
        <w:rPr>
          <w:rFonts w:ascii="Calibri" w:eastAsia="黑体" w:hAnsi="黑体" w:hint="eastAsia"/>
          <w:color w:val="auto"/>
        </w:rPr>
        <w:t>建议</w:t>
      </w:r>
      <w:r w:rsidRPr="00A964FF">
        <w:rPr>
          <w:rFonts w:ascii="Calibri" w:eastAsia="黑体" w:hAnsi="黑体"/>
          <w:color w:val="auto"/>
        </w:rPr>
        <w:t>委托</w:t>
      </w:r>
      <w:r w:rsidRPr="00A964FF">
        <w:rPr>
          <w:rFonts w:ascii="Calibri" w:eastAsia="黑体" w:hAnsi="黑体" w:hint="eastAsia"/>
          <w:color w:val="auto"/>
        </w:rPr>
        <w:t>资质单位</w:t>
      </w:r>
    </w:p>
    <w:tbl>
      <w:tblPr>
        <w:tblW w:w="5000" w:type="pct"/>
        <w:tblBorders>
          <w:top w:val="single" w:sz="12" w:space="0" w:color="auto"/>
          <w:left w:val="single" w:sz="12" w:space="0" w:color="auto"/>
          <w:bottom w:val="single" w:sz="12" w:space="0" w:color="000000"/>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449"/>
        <w:gridCol w:w="840"/>
        <w:gridCol w:w="562"/>
        <w:gridCol w:w="840"/>
        <w:gridCol w:w="980"/>
        <w:gridCol w:w="807"/>
        <w:gridCol w:w="2365"/>
        <w:gridCol w:w="1114"/>
        <w:gridCol w:w="743"/>
      </w:tblGrid>
      <w:tr w:rsidR="006D3FDF" w:rsidRPr="00A964FF" w14:paraId="3860CEC1" w14:textId="77777777" w:rsidTr="0068315A">
        <w:trPr>
          <w:trHeight w:val="312"/>
        </w:trPr>
        <w:tc>
          <w:tcPr>
            <w:tcW w:w="258" w:type="pct"/>
            <w:tcMar>
              <w:left w:w="28" w:type="dxa"/>
              <w:right w:w="28" w:type="dxa"/>
            </w:tcMar>
            <w:vAlign w:val="center"/>
          </w:tcPr>
          <w:p w14:paraId="49B13EDA" w14:textId="77777777" w:rsidR="006D3FDF" w:rsidRPr="00A964FF" w:rsidRDefault="006D3FDF" w:rsidP="009D401B">
            <w:pPr>
              <w:jc w:val="center"/>
              <w:rPr>
                <w:rFonts w:ascii="Calibri" w:hAnsi="Calibri"/>
                <w:color w:val="auto"/>
                <w:szCs w:val="21"/>
              </w:rPr>
            </w:pPr>
            <w:r w:rsidRPr="00A964FF">
              <w:rPr>
                <w:rFonts w:ascii="Calibri" w:hAnsi="Calibri" w:hint="eastAsia"/>
                <w:color w:val="auto"/>
                <w:szCs w:val="21"/>
              </w:rPr>
              <w:t>序号</w:t>
            </w:r>
          </w:p>
        </w:tc>
        <w:tc>
          <w:tcPr>
            <w:tcW w:w="483" w:type="pct"/>
            <w:tcMar>
              <w:left w:w="28" w:type="dxa"/>
              <w:right w:w="28" w:type="dxa"/>
            </w:tcMar>
            <w:vAlign w:val="center"/>
          </w:tcPr>
          <w:p w14:paraId="2FC50FE8" w14:textId="77777777" w:rsidR="006D3FDF" w:rsidRPr="00A964FF" w:rsidRDefault="006D3FDF" w:rsidP="009D401B">
            <w:pPr>
              <w:jc w:val="center"/>
              <w:rPr>
                <w:rFonts w:ascii="Calibri" w:hAnsi="Calibri"/>
                <w:color w:val="auto"/>
                <w:szCs w:val="21"/>
              </w:rPr>
            </w:pPr>
            <w:r w:rsidRPr="00A964FF">
              <w:rPr>
                <w:rFonts w:ascii="Calibri" w:hAnsi="Calibri" w:hint="eastAsia"/>
                <w:color w:val="auto"/>
                <w:szCs w:val="21"/>
              </w:rPr>
              <w:t>证书编号</w:t>
            </w:r>
          </w:p>
        </w:tc>
        <w:tc>
          <w:tcPr>
            <w:tcW w:w="323" w:type="pct"/>
            <w:tcMar>
              <w:left w:w="28" w:type="dxa"/>
              <w:right w:w="28" w:type="dxa"/>
            </w:tcMar>
            <w:vAlign w:val="center"/>
          </w:tcPr>
          <w:p w14:paraId="36000189" w14:textId="77777777" w:rsidR="006D3FDF" w:rsidRPr="00A964FF" w:rsidRDefault="006D3FDF" w:rsidP="009D401B">
            <w:pPr>
              <w:jc w:val="center"/>
              <w:rPr>
                <w:rFonts w:ascii="Calibri" w:hAnsi="Calibri"/>
                <w:color w:val="auto"/>
                <w:szCs w:val="21"/>
              </w:rPr>
            </w:pPr>
            <w:r w:rsidRPr="00A964FF">
              <w:rPr>
                <w:rFonts w:ascii="Calibri" w:hAnsi="Calibri" w:hint="eastAsia"/>
                <w:color w:val="auto"/>
                <w:szCs w:val="21"/>
              </w:rPr>
              <w:t>发证机关</w:t>
            </w:r>
          </w:p>
        </w:tc>
        <w:tc>
          <w:tcPr>
            <w:tcW w:w="483" w:type="pct"/>
            <w:tcMar>
              <w:left w:w="28" w:type="dxa"/>
              <w:right w:w="28" w:type="dxa"/>
            </w:tcMar>
            <w:vAlign w:val="center"/>
          </w:tcPr>
          <w:p w14:paraId="3947BED6" w14:textId="77777777" w:rsidR="006D3FDF" w:rsidRPr="00A964FF" w:rsidRDefault="0068315A" w:rsidP="009D401B">
            <w:pPr>
              <w:jc w:val="center"/>
              <w:rPr>
                <w:rFonts w:ascii="Calibri" w:hAnsi="Calibri"/>
                <w:color w:val="auto"/>
                <w:szCs w:val="21"/>
              </w:rPr>
            </w:pPr>
            <w:r w:rsidRPr="00A964FF">
              <w:rPr>
                <w:rFonts w:ascii="Calibri" w:hAnsi="Calibri" w:hint="eastAsia"/>
                <w:color w:val="auto"/>
                <w:szCs w:val="21"/>
              </w:rPr>
              <w:t>企业</w:t>
            </w:r>
          </w:p>
          <w:p w14:paraId="1070D7F5" w14:textId="77777777" w:rsidR="006D3FDF" w:rsidRPr="00A964FF" w:rsidRDefault="006D3FDF" w:rsidP="009D401B">
            <w:pPr>
              <w:jc w:val="center"/>
              <w:rPr>
                <w:rFonts w:ascii="Calibri" w:hAnsi="Calibri"/>
                <w:color w:val="auto"/>
                <w:szCs w:val="21"/>
              </w:rPr>
            </w:pPr>
            <w:r w:rsidRPr="00A964FF">
              <w:rPr>
                <w:rFonts w:ascii="Calibri" w:hAnsi="Calibri" w:hint="eastAsia"/>
                <w:color w:val="auto"/>
                <w:szCs w:val="21"/>
              </w:rPr>
              <w:t>名称</w:t>
            </w:r>
          </w:p>
        </w:tc>
        <w:tc>
          <w:tcPr>
            <w:tcW w:w="563" w:type="pct"/>
            <w:vAlign w:val="center"/>
          </w:tcPr>
          <w:p w14:paraId="54199F07" w14:textId="77777777" w:rsidR="006D3FDF" w:rsidRPr="00A964FF" w:rsidRDefault="006D3FDF" w:rsidP="00432793">
            <w:pPr>
              <w:jc w:val="center"/>
              <w:rPr>
                <w:rFonts w:ascii="Calibri" w:hAnsi="Calibri"/>
                <w:color w:val="auto"/>
                <w:szCs w:val="21"/>
              </w:rPr>
            </w:pPr>
            <w:r w:rsidRPr="00A964FF">
              <w:rPr>
                <w:rFonts w:ascii="Calibri" w:hAnsi="Calibri" w:hint="eastAsia"/>
                <w:color w:val="auto"/>
                <w:szCs w:val="21"/>
              </w:rPr>
              <w:t>经营设施地址</w:t>
            </w:r>
          </w:p>
        </w:tc>
        <w:tc>
          <w:tcPr>
            <w:tcW w:w="464" w:type="pct"/>
            <w:vAlign w:val="center"/>
          </w:tcPr>
          <w:p w14:paraId="75F6C541" w14:textId="77777777" w:rsidR="006D3FDF" w:rsidRPr="00A964FF" w:rsidRDefault="006D3FDF" w:rsidP="00432793">
            <w:pPr>
              <w:jc w:val="center"/>
              <w:rPr>
                <w:rFonts w:ascii="Calibri" w:hAnsi="Calibri"/>
                <w:color w:val="auto"/>
                <w:szCs w:val="21"/>
              </w:rPr>
            </w:pPr>
            <w:r w:rsidRPr="00A964FF">
              <w:rPr>
                <w:rFonts w:ascii="Calibri" w:hAnsi="Calibri" w:hint="eastAsia"/>
                <w:color w:val="auto"/>
                <w:szCs w:val="21"/>
              </w:rPr>
              <w:t>核准经营方式</w:t>
            </w:r>
          </w:p>
        </w:tc>
        <w:tc>
          <w:tcPr>
            <w:tcW w:w="1359" w:type="pct"/>
            <w:vAlign w:val="center"/>
          </w:tcPr>
          <w:p w14:paraId="16FA362B" w14:textId="77777777" w:rsidR="006D3FDF" w:rsidRPr="00A964FF" w:rsidRDefault="006D3FDF" w:rsidP="00432793">
            <w:pPr>
              <w:jc w:val="center"/>
              <w:rPr>
                <w:rFonts w:ascii="Calibri" w:hAnsi="Calibri"/>
                <w:color w:val="auto"/>
                <w:szCs w:val="21"/>
              </w:rPr>
            </w:pPr>
            <w:r w:rsidRPr="00A964FF">
              <w:rPr>
                <w:rFonts w:ascii="Calibri" w:hAnsi="Calibri" w:hint="eastAsia"/>
                <w:color w:val="auto"/>
                <w:szCs w:val="21"/>
              </w:rPr>
              <w:t>核准经营危险废物类别及代码</w:t>
            </w:r>
          </w:p>
        </w:tc>
        <w:tc>
          <w:tcPr>
            <w:tcW w:w="640" w:type="pct"/>
            <w:tcMar>
              <w:left w:w="28" w:type="dxa"/>
              <w:right w:w="28" w:type="dxa"/>
            </w:tcMar>
            <w:vAlign w:val="center"/>
          </w:tcPr>
          <w:p w14:paraId="17FCC44C" w14:textId="77777777" w:rsidR="006D3FDF" w:rsidRPr="00A964FF" w:rsidRDefault="006D3FDF" w:rsidP="00432793">
            <w:pPr>
              <w:jc w:val="center"/>
              <w:rPr>
                <w:rFonts w:ascii="Calibri" w:hAnsi="Calibri"/>
                <w:color w:val="auto"/>
                <w:szCs w:val="21"/>
              </w:rPr>
            </w:pPr>
            <w:r w:rsidRPr="00A964FF">
              <w:rPr>
                <w:rFonts w:ascii="Calibri" w:hAnsi="Calibri" w:hint="eastAsia"/>
                <w:color w:val="auto"/>
                <w:szCs w:val="21"/>
              </w:rPr>
              <w:t>核准经营规模</w:t>
            </w:r>
          </w:p>
        </w:tc>
        <w:tc>
          <w:tcPr>
            <w:tcW w:w="427" w:type="pct"/>
            <w:vAlign w:val="center"/>
          </w:tcPr>
          <w:p w14:paraId="570365AF" w14:textId="77777777" w:rsidR="006D3FDF" w:rsidRPr="00A964FF" w:rsidRDefault="006D3FDF" w:rsidP="00432793">
            <w:pPr>
              <w:jc w:val="center"/>
              <w:rPr>
                <w:rFonts w:ascii="Calibri" w:hAnsi="Calibri"/>
                <w:color w:val="auto"/>
                <w:szCs w:val="21"/>
              </w:rPr>
            </w:pPr>
            <w:r w:rsidRPr="00A964FF">
              <w:rPr>
                <w:rFonts w:ascii="Calibri" w:hAnsi="Calibri" w:hint="eastAsia"/>
                <w:color w:val="auto"/>
                <w:szCs w:val="21"/>
              </w:rPr>
              <w:t>许可证有效期</w:t>
            </w:r>
          </w:p>
        </w:tc>
      </w:tr>
      <w:tr w:rsidR="006D3FDF" w:rsidRPr="00A964FF" w14:paraId="52AF8CA5" w14:textId="77777777" w:rsidTr="0068315A">
        <w:trPr>
          <w:trHeight w:val="312"/>
        </w:trPr>
        <w:tc>
          <w:tcPr>
            <w:tcW w:w="258" w:type="pct"/>
            <w:tcMar>
              <w:left w:w="28" w:type="dxa"/>
              <w:right w:w="28" w:type="dxa"/>
            </w:tcMar>
            <w:vAlign w:val="center"/>
          </w:tcPr>
          <w:p w14:paraId="74E89654" w14:textId="77777777" w:rsidR="006D3FDF" w:rsidRPr="00A964FF" w:rsidRDefault="0068315A" w:rsidP="009D401B">
            <w:pPr>
              <w:jc w:val="center"/>
              <w:rPr>
                <w:rFonts w:ascii="Calibri" w:hAnsi="Calibri"/>
                <w:color w:val="auto"/>
                <w:szCs w:val="21"/>
              </w:rPr>
            </w:pPr>
            <w:r w:rsidRPr="00A964FF">
              <w:rPr>
                <w:rFonts w:ascii="Calibri" w:hAnsi="Calibri" w:hint="eastAsia"/>
                <w:color w:val="auto"/>
                <w:szCs w:val="21"/>
              </w:rPr>
              <w:t>1</w:t>
            </w:r>
          </w:p>
        </w:tc>
        <w:tc>
          <w:tcPr>
            <w:tcW w:w="483" w:type="pct"/>
            <w:tcMar>
              <w:left w:w="28" w:type="dxa"/>
              <w:right w:w="28" w:type="dxa"/>
            </w:tcMar>
            <w:vAlign w:val="center"/>
          </w:tcPr>
          <w:p w14:paraId="19DC1B04" w14:textId="77777777" w:rsidR="006D3FDF" w:rsidRPr="00A964FF" w:rsidRDefault="006D3FDF" w:rsidP="006D3FDF">
            <w:pPr>
              <w:jc w:val="center"/>
              <w:rPr>
                <w:rFonts w:ascii="Calibri" w:hAnsi="Calibri"/>
                <w:color w:val="auto"/>
                <w:szCs w:val="21"/>
              </w:rPr>
            </w:pPr>
            <w:r w:rsidRPr="00A964FF">
              <w:rPr>
                <w:rFonts w:ascii="Calibri" w:hAnsi="Calibri" w:hint="eastAsia"/>
                <w:color w:val="auto"/>
                <w:szCs w:val="21"/>
              </w:rPr>
              <w:t>豫环许可危废字</w:t>
            </w:r>
            <w:r w:rsidRPr="00A964FF">
              <w:rPr>
                <w:rFonts w:ascii="Calibri" w:hAnsi="Calibri" w:hint="eastAsia"/>
                <w:color w:val="auto"/>
                <w:szCs w:val="21"/>
              </w:rPr>
              <w:t>71</w:t>
            </w:r>
            <w:r w:rsidRPr="00A964FF">
              <w:rPr>
                <w:rFonts w:ascii="Calibri" w:hAnsi="Calibri" w:hint="eastAsia"/>
                <w:color w:val="auto"/>
                <w:szCs w:val="21"/>
              </w:rPr>
              <w:t>号</w:t>
            </w:r>
          </w:p>
        </w:tc>
        <w:tc>
          <w:tcPr>
            <w:tcW w:w="323" w:type="pct"/>
            <w:tcMar>
              <w:left w:w="28" w:type="dxa"/>
              <w:right w:w="28" w:type="dxa"/>
            </w:tcMar>
            <w:vAlign w:val="center"/>
          </w:tcPr>
          <w:p w14:paraId="2C051DBB" w14:textId="77777777" w:rsidR="006D3FDF" w:rsidRPr="00A964FF" w:rsidRDefault="00CA7D8F" w:rsidP="006D3FDF">
            <w:pPr>
              <w:jc w:val="center"/>
              <w:rPr>
                <w:rFonts w:ascii="Calibri" w:hAnsi="Calibri"/>
                <w:color w:val="auto"/>
                <w:szCs w:val="21"/>
              </w:rPr>
            </w:pPr>
            <w:r w:rsidRPr="00A964FF">
              <w:rPr>
                <w:rFonts w:ascii="Calibri" w:hAnsi="Calibri" w:hint="eastAsia"/>
                <w:color w:val="auto"/>
                <w:szCs w:val="21"/>
              </w:rPr>
              <w:t>河南省生态环境厅</w:t>
            </w:r>
          </w:p>
        </w:tc>
        <w:tc>
          <w:tcPr>
            <w:tcW w:w="483" w:type="pct"/>
            <w:tcMar>
              <w:left w:w="28" w:type="dxa"/>
              <w:right w:w="28" w:type="dxa"/>
            </w:tcMar>
            <w:vAlign w:val="center"/>
          </w:tcPr>
          <w:p w14:paraId="5B524807" w14:textId="77777777" w:rsidR="006D3FDF" w:rsidRPr="00A964FF" w:rsidRDefault="006D3FDF" w:rsidP="009D401B">
            <w:pPr>
              <w:jc w:val="center"/>
              <w:rPr>
                <w:rFonts w:ascii="Calibri" w:hAnsi="Calibri"/>
                <w:color w:val="auto"/>
                <w:szCs w:val="21"/>
              </w:rPr>
            </w:pPr>
            <w:r w:rsidRPr="00A964FF">
              <w:rPr>
                <w:rFonts w:ascii="Calibri" w:hAnsi="Calibri" w:hint="eastAsia"/>
                <w:color w:val="auto"/>
                <w:szCs w:val="21"/>
              </w:rPr>
              <w:t>河南中环信环保科技股份有限公司</w:t>
            </w:r>
          </w:p>
        </w:tc>
        <w:tc>
          <w:tcPr>
            <w:tcW w:w="563" w:type="pct"/>
            <w:vAlign w:val="center"/>
          </w:tcPr>
          <w:p w14:paraId="7EA21E1D" w14:textId="77777777" w:rsidR="006D3FDF" w:rsidRPr="00A964FF" w:rsidRDefault="0068315A" w:rsidP="0068315A">
            <w:pPr>
              <w:jc w:val="center"/>
              <w:rPr>
                <w:rFonts w:ascii="Calibri" w:hAnsi="Calibri"/>
                <w:color w:val="auto"/>
                <w:szCs w:val="21"/>
              </w:rPr>
            </w:pPr>
            <w:r w:rsidRPr="00A964FF">
              <w:rPr>
                <w:rFonts w:ascii="Calibri" w:hAnsi="Calibri" w:hint="eastAsia"/>
                <w:color w:val="auto"/>
                <w:szCs w:val="21"/>
              </w:rPr>
              <w:t>郑州市新郑市郭店镇轻工路北合欢路东</w:t>
            </w:r>
          </w:p>
        </w:tc>
        <w:tc>
          <w:tcPr>
            <w:tcW w:w="464" w:type="pct"/>
            <w:vAlign w:val="center"/>
          </w:tcPr>
          <w:p w14:paraId="2C6A3C1E" w14:textId="77777777" w:rsidR="006D3FDF" w:rsidRPr="00A964FF" w:rsidRDefault="006D3FDF" w:rsidP="006D3FDF">
            <w:pPr>
              <w:jc w:val="center"/>
              <w:rPr>
                <w:rFonts w:ascii="Calibri" w:hAnsi="Calibri"/>
                <w:color w:val="auto"/>
                <w:szCs w:val="21"/>
              </w:rPr>
            </w:pPr>
            <w:r w:rsidRPr="00A964FF">
              <w:rPr>
                <w:rFonts w:ascii="Calibri" w:hAnsi="Calibri" w:hint="eastAsia"/>
                <w:color w:val="auto"/>
                <w:szCs w:val="21"/>
              </w:rPr>
              <w:t>综合</w:t>
            </w:r>
          </w:p>
          <w:p w14:paraId="02910EDD" w14:textId="77777777" w:rsidR="006D3FDF" w:rsidRPr="00A964FF" w:rsidRDefault="006D3FDF" w:rsidP="006D3FDF">
            <w:pPr>
              <w:jc w:val="center"/>
              <w:rPr>
                <w:rFonts w:ascii="Calibri" w:hAnsi="Calibri"/>
                <w:color w:val="auto"/>
                <w:szCs w:val="21"/>
              </w:rPr>
            </w:pPr>
            <w:r w:rsidRPr="00A964FF">
              <w:rPr>
                <w:rFonts w:ascii="Calibri" w:hAnsi="Calibri" w:hint="eastAsia"/>
                <w:color w:val="auto"/>
                <w:szCs w:val="21"/>
              </w:rPr>
              <w:t>经营</w:t>
            </w:r>
          </w:p>
        </w:tc>
        <w:tc>
          <w:tcPr>
            <w:tcW w:w="1359" w:type="pct"/>
            <w:vAlign w:val="center"/>
          </w:tcPr>
          <w:p w14:paraId="11F3DE19" w14:textId="77777777" w:rsidR="00692A10" w:rsidRPr="00692A10" w:rsidRDefault="00692A10" w:rsidP="00692A10">
            <w:pPr>
              <w:jc w:val="center"/>
              <w:rPr>
                <w:rFonts w:ascii="Calibri" w:hAnsi="Calibri"/>
                <w:color w:val="auto"/>
                <w:szCs w:val="21"/>
              </w:rPr>
            </w:pPr>
            <w:r w:rsidRPr="00692A10">
              <w:rPr>
                <w:rFonts w:ascii="Calibri" w:hAnsi="Calibri" w:hint="eastAsia"/>
                <w:color w:val="auto"/>
                <w:szCs w:val="21"/>
              </w:rPr>
              <w:t>HW02</w:t>
            </w:r>
            <w:r w:rsidRPr="00692A10">
              <w:rPr>
                <w:rFonts w:ascii="Calibri" w:hAnsi="Calibri" w:hint="eastAsia"/>
                <w:color w:val="auto"/>
                <w:szCs w:val="21"/>
              </w:rPr>
              <w:t>、</w:t>
            </w:r>
            <w:r w:rsidRPr="00692A10">
              <w:rPr>
                <w:rFonts w:ascii="Calibri" w:hAnsi="Calibri" w:hint="eastAsia"/>
                <w:color w:val="auto"/>
                <w:szCs w:val="21"/>
              </w:rPr>
              <w:t>HW03</w:t>
            </w:r>
            <w:r w:rsidRPr="00692A10">
              <w:rPr>
                <w:rFonts w:ascii="Calibri" w:hAnsi="Calibri" w:hint="eastAsia"/>
                <w:color w:val="auto"/>
                <w:szCs w:val="21"/>
              </w:rPr>
              <w:t>、</w:t>
            </w:r>
            <w:r w:rsidRPr="00692A10">
              <w:rPr>
                <w:rFonts w:ascii="Calibri" w:hAnsi="Calibri" w:hint="eastAsia"/>
                <w:color w:val="auto"/>
                <w:szCs w:val="21"/>
              </w:rPr>
              <w:t>HW04</w:t>
            </w:r>
            <w:r w:rsidRPr="00692A10">
              <w:rPr>
                <w:rFonts w:ascii="Calibri" w:hAnsi="Calibri" w:hint="eastAsia"/>
                <w:color w:val="auto"/>
                <w:szCs w:val="21"/>
              </w:rPr>
              <w:t>、</w:t>
            </w:r>
            <w:r w:rsidRPr="00692A10">
              <w:rPr>
                <w:rFonts w:ascii="Calibri" w:hAnsi="Calibri" w:hint="eastAsia"/>
                <w:color w:val="auto"/>
                <w:szCs w:val="21"/>
              </w:rPr>
              <w:t>HW06</w:t>
            </w:r>
            <w:r w:rsidRPr="00692A10">
              <w:rPr>
                <w:rFonts w:ascii="Calibri" w:hAnsi="Calibri" w:hint="eastAsia"/>
                <w:color w:val="auto"/>
                <w:szCs w:val="21"/>
              </w:rPr>
              <w:t>、</w:t>
            </w:r>
            <w:r w:rsidRPr="00692A10">
              <w:rPr>
                <w:rFonts w:ascii="Calibri" w:hAnsi="Calibri" w:hint="eastAsia"/>
                <w:color w:val="auto"/>
                <w:szCs w:val="21"/>
              </w:rPr>
              <w:t>HW07</w:t>
            </w:r>
            <w:r w:rsidRPr="00692A10">
              <w:rPr>
                <w:rFonts w:ascii="Calibri" w:hAnsi="Calibri" w:hint="eastAsia"/>
                <w:color w:val="auto"/>
                <w:szCs w:val="21"/>
              </w:rPr>
              <w:t>、</w:t>
            </w:r>
            <w:r w:rsidRPr="00692A10">
              <w:rPr>
                <w:rFonts w:ascii="Calibri" w:hAnsi="Calibri" w:hint="eastAsia"/>
                <w:color w:val="auto"/>
                <w:szCs w:val="21"/>
              </w:rPr>
              <w:t>HW08</w:t>
            </w:r>
            <w:r w:rsidRPr="00692A10">
              <w:rPr>
                <w:rFonts w:ascii="Calibri" w:hAnsi="Calibri" w:hint="eastAsia"/>
                <w:color w:val="auto"/>
                <w:szCs w:val="21"/>
              </w:rPr>
              <w:t>、</w:t>
            </w:r>
            <w:r w:rsidRPr="00692A10">
              <w:rPr>
                <w:rFonts w:ascii="Calibri" w:hAnsi="Calibri" w:hint="eastAsia"/>
                <w:color w:val="auto"/>
                <w:szCs w:val="21"/>
              </w:rPr>
              <w:t>HW09</w:t>
            </w:r>
            <w:r w:rsidRPr="00692A10">
              <w:rPr>
                <w:rFonts w:ascii="Calibri" w:hAnsi="Calibri" w:hint="eastAsia"/>
                <w:color w:val="auto"/>
                <w:szCs w:val="21"/>
              </w:rPr>
              <w:t>、</w:t>
            </w:r>
            <w:r w:rsidRPr="00692A10">
              <w:rPr>
                <w:rFonts w:ascii="Calibri" w:hAnsi="Calibri" w:hint="eastAsia"/>
                <w:color w:val="auto"/>
                <w:szCs w:val="21"/>
              </w:rPr>
              <w:t>HW11</w:t>
            </w:r>
            <w:r w:rsidRPr="00692A10">
              <w:rPr>
                <w:rFonts w:ascii="Calibri" w:hAnsi="Calibri" w:hint="eastAsia"/>
                <w:color w:val="auto"/>
                <w:szCs w:val="21"/>
              </w:rPr>
              <w:t>、</w:t>
            </w:r>
            <w:r w:rsidRPr="00692A10">
              <w:rPr>
                <w:rFonts w:ascii="Calibri" w:hAnsi="Calibri" w:hint="eastAsia"/>
                <w:color w:val="auto"/>
                <w:szCs w:val="21"/>
              </w:rPr>
              <w:t>HW12</w:t>
            </w:r>
            <w:r w:rsidRPr="00692A10">
              <w:rPr>
                <w:rFonts w:ascii="Calibri" w:hAnsi="Calibri" w:hint="eastAsia"/>
                <w:color w:val="auto"/>
                <w:szCs w:val="21"/>
              </w:rPr>
              <w:t>、</w:t>
            </w:r>
            <w:r w:rsidRPr="00692A10">
              <w:rPr>
                <w:rFonts w:ascii="Calibri" w:hAnsi="Calibri" w:hint="eastAsia"/>
                <w:color w:val="auto"/>
                <w:szCs w:val="21"/>
              </w:rPr>
              <w:t>HW13</w:t>
            </w:r>
            <w:r w:rsidRPr="00692A10">
              <w:rPr>
                <w:rFonts w:ascii="Calibri" w:hAnsi="Calibri" w:hint="eastAsia"/>
                <w:color w:val="auto"/>
                <w:szCs w:val="21"/>
              </w:rPr>
              <w:t>、</w:t>
            </w:r>
            <w:r w:rsidRPr="00692A10">
              <w:rPr>
                <w:rFonts w:ascii="Calibri" w:hAnsi="Calibri" w:hint="eastAsia"/>
                <w:color w:val="auto"/>
                <w:szCs w:val="21"/>
              </w:rPr>
              <w:t>HW16</w:t>
            </w:r>
            <w:r w:rsidRPr="00692A10">
              <w:rPr>
                <w:rFonts w:ascii="Calibri" w:hAnsi="Calibri" w:hint="eastAsia"/>
                <w:color w:val="auto"/>
                <w:szCs w:val="21"/>
              </w:rPr>
              <w:t>、</w:t>
            </w:r>
            <w:r w:rsidRPr="00692A10">
              <w:rPr>
                <w:rFonts w:ascii="Calibri" w:hAnsi="Calibri" w:hint="eastAsia"/>
                <w:color w:val="auto"/>
                <w:szCs w:val="21"/>
              </w:rPr>
              <w:t>HW17</w:t>
            </w:r>
            <w:r w:rsidRPr="00692A10">
              <w:rPr>
                <w:rFonts w:ascii="Calibri" w:hAnsi="Calibri" w:hint="eastAsia"/>
                <w:color w:val="auto"/>
                <w:szCs w:val="21"/>
              </w:rPr>
              <w:t>、</w:t>
            </w:r>
          </w:p>
          <w:p w14:paraId="539C2632" w14:textId="77777777" w:rsidR="00692A10" w:rsidRPr="00692A10" w:rsidRDefault="00692A10" w:rsidP="00692A10">
            <w:pPr>
              <w:jc w:val="center"/>
              <w:rPr>
                <w:rFonts w:ascii="Calibri" w:hAnsi="Calibri"/>
                <w:color w:val="auto"/>
                <w:szCs w:val="21"/>
              </w:rPr>
            </w:pPr>
            <w:r w:rsidRPr="00692A10">
              <w:rPr>
                <w:rFonts w:ascii="Calibri" w:hAnsi="Calibri" w:hint="eastAsia"/>
                <w:color w:val="auto"/>
                <w:szCs w:val="21"/>
              </w:rPr>
              <w:t>HW18</w:t>
            </w:r>
            <w:r w:rsidRPr="00692A10">
              <w:rPr>
                <w:rFonts w:ascii="Calibri" w:hAnsi="Calibri" w:hint="eastAsia"/>
                <w:color w:val="auto"/>
                <w:szCs w:val="21"/>
              </w:rPr>
              <w:t>、</w:t>
            </w:r>
            <w:r w:rsidRPr="00692A10">
              <w:rPr>
                <w:rFonts w:ascii="Calibri" w:hAnsi="Calibri" w:hint="eastAsia"/>
                <w:color w:val="auto"/>
                <w:szCs w:val="21"/>
              </w:rPr>
              <w:t>HW19</w:t>
            </w:r>
            <w:r w:rsidRPr="00692A10">
              <w:rPr>
                <w:rFonts w:ascii="Calibri" w:hAnsi="Calibri" w:hint="eastAsia"/>
                <w:color w:val="auto"/>
                <w:szCs w:val="21"/>
              </w:rPr>
              <w:t>、</w:t>
            </w:r>
            <w:r w:rsidRPr="00692A10">
              <w:rPr>
                <w:rFonts w:ascii="Calibri" w:hAnsi="Calibri" w:hint="eastAsia"/>
                <w:color w:val="auto"/>
                <w:szCs w:val="21"/>
              </w:rPr>
              <w:t>HW20</w:t>
            </w:r>
            <w:r w:rsidRPr="00692A10">
              <w:rPr>
                <w:rFonts w:ascii="Calibri" w:hAnsi="Calibri" w:hint="eastAsia"/>
                <w:color w:val="auto"/>
                <w:szCs w:val="21"/>
              </w:rPr>
              <w:t>、</w:t>
            </w:r>
            <w:r w:rsidRPr="00692A10">
              <w:rPr>
                <w:rFonts w:ascii="Calibri" w:hAnsi="Calibri" w:hint="eastAsia"/>
                <w:color w:val="auto"/>
                <w:szCs w:val="21"/>
              </w:rPr>
              <w:t>HW21</w:t>
            </w:r>
            <w:r w:rsidRPr="00692A10">
              <w:rPr>
                <w:rFonts w:ascii="Calibri" w:hAnsi="Calibri" w:hint="eastAsia"/>
                <w:color w:val="auto"/>
                <w:szCs w:val="21"/>
              </w:rPr>
              <w:t>、</w:t>
            </w:r>
            <w:r w:rsidRPr="00692A10">
              <w:rPr>
                <w:rFonts w:ascii="Calibri" w:hAnsi="Calibri" w:hint="eastAsia"/>
                <w:color w:val="auto"/>
                <w:szCs w:val="21"/>
              </w:rPr>
              <w:t>HW22</w:t>
            </w:r>
            <w:r w:rsidRPr="00692A10">
              <w:rPr>
                <w:rFonts w:ascii="Calibri" w:hAnsi="Calibri" w:hint="eastAsia"/>
                <w:color w:val="auto"/>
                <w:szCs w:val="21"/>
              </w:rPr>
              <w:t>、</w:t>
            </w:r>
            <w:r w:rsidRPr="00692A10">
              <w:rPr>
                <w:rFonts w:ascii="Calibri" w:hAnsi="Calibri" w:hint="eastAsia"/>
                <w:color w:val="auto"/>
                <w:szCs w:val="21"/>
              </w:rPr>
              <w:t>HW23</w:t>
            </w:r>
            <w:r w:rsidRPr="00692A10">
              <w:rPr>
                <w:rFonts w:ascii="Calibri" w:hAnsi="Calibri" w:hint="eastAsia"/>
                <w:color w:val="auto"/>
                <w:szCs w:val="21"/>
              </w:rPr>
              <w:t>、</w:t>
            </w:r>
            <w:r w:rsidRPr="00692A10">
              <w:rPr>
                <w:rFonts w:ascii="Calibri" w:hAnsi="Calibri" w:hint="eastAsia"/>
                <w:color w:val="auto"/>
                <w:szCs w:val="21"/>
              </w:rPr>
              <w:t>HW24</w:t>
            </w:r>
            <w:r w:rsidRPr="00692A10">
              <w:rPr>
                <w:rFonts w:ascii="Calibri" w:hAnsi="Calibri" w:hint="eastAsia"/>
                <w:color w:val="auto"/>
                <w:szCs w:val="21"/>
              </w:rPr>
              <w:t>、</w:t>
            </w:r>
            <w:r w:rsidRPr="00692A10">
              <w:rPr>
                <w:rFonts w:ascii="Calibri" w:hAnsi="Calibri" w:hint="eastAsia"/>
                <w:color w:val="auto"/>
                <w:szCs w:val="21"/>
              </w:rPr>
              <w:t>HW25</w:t>
            </w:r>
            <w:r w:rsidRPr="00692A10">
              <w:rPr>
                <w:rFonts w:ascii="Calibri" w:hAnsi="Calibri" w:hint="eastAsia"/>
                <w:color w:val="auto"/>
                <w:szCs w:val="21"/>
              </w:rPr>
              <w:t>、</w:t>
            </w:r>
            <w:r w:rsidRPr="00692A10">
              <w:rPr>
                <w:rFonts w:ascii="Calibri" w:hAnsi="Calibri" w:hint="eastAsia"/>
                <w:color w:val="auto"/>
                <w:szCs w:val="21"/>
              </w:rPr>
              <w:t>HW26</w:t>
            </w:r>
            <w:r w:rsidRPr="00692A10">
              <w:rPr>
                <w:rFonts w:ascii="Calibri" w:hAnsi="Calibri" w:hint="eastAsia"/>
                <w:color w:val="auto"/>
                <w:szCs w:val="21"/>
              </w:rPr>
              <w:t>、</w:t>
            </w:r>
            <w:r w:rsidRPr="00692A10">
              <w:rPr>
                <w:rFonts w:ascii="Calibri" w:hAnsi="Calibri" w:hint="eastAsia"/>
                <w:color w:val="auto"/>
                <w:szCs w:val="21"/>
              </w:rPr>
              <w:t>HW27</w:t>
            </w:r>
            <w:r w:rsidRPr="00692A10">
              <w:rPr>
                <w:rFonts w:ascii="Calibri" w:hAnsi="Calibri" w:hint="eastAsia"/>
                <w:color w:val="auto"/>
                <w:szCs w:val="21"/>
              </w:rPr>
              <w:t>、</w:t>
            </w:r>
            <w:r w:rsidRPr="00692A10">
              <w:rPr>
                <w:rFonts w:ascii="Calibri" w:hAnsi="Calibri" w:hint="eastAsia"/>
                <w:color w:val="auto"/>
                <w:szCs w:val="21"/>
              </w:rPr>
              <w:t>HW28</w:t>
            </w:r>
            <w:r w:rsidRPr="00692A10">
              <w:rPr>
                <w:rFonts w:ascii="Calibri" w:hAnsi="Calibri" w:hint="eastAsia"/>
                <w:color w:val="auto"/>
                <w:szCs w:val="21"/>
              </w:rPr>
              <w:t>、</w:t>
            </w:r>
            <w:r w:rsidRPr="00692A10">
              <w:rPr>
                <w:rFonts w:ascii="Calibri" w:hAnsi="Calibri" w:hint="eastAsia"/>
                <w:color w:val="auto"/>
                <w:szCs w:val="21"/>
              </w:rPr>
              <w:t>HW30</w:t>
            </w:r>
            <w:r w:rsidRPr="00692A10">
              <w:rPr>
                <w:rFonts w:ascii="Calibri" w:hAnsi="Calibri" w:hint="eastAsia"/>
                <w:color w:val="auto"/>
                <w:szCs w:val="21"/>
              </w:rPr>
              <w:t>、</w:t>
            </w:r>
          </w:p>
          <w:p w14:paraId="28723717" w14:textId="77777777" w:rsidR="00692A10" w:rsidRPr="00692A10" w:rsidRDefault="00692A10" w:rsidP="00692A10">
            <w:pPr>
              <w:jc w:val="center"/>
              <w:rPr>
                <w:rFonts w:ascii="Calibri" w:hAnsi="Calibri"/>
                <w:color w:val="auto"/>
                <w:szCs w:val="21"/>
              </w:rPr>
            </w:pPr>
            <w:r w:rsidRPr="00692A10">
              <w:rPr>
                <w:rFonts w:ascii="Calibri" w:hAnsi="Calibri" w:hint="eastAsia"/>
                <w:color w:val="auto"/>
                <w:szCs w:val="21"/>
              </w:rPr>
              <w:t>HW31</w:t>
            </w:r>
            <w:r w:rsidRPr="00692A10">
              <w:rPr>
                <w:rFonts w:ascii="Calibri" w:hAnsi="Calibri" w:hint="eastAsia"/>
                <w:color w:val="auto"/>
                <w:szCs w:val="21"/>
              </w:rPr>
              <w:t>、</w:t>
            </w:r>
            <w:r w:rsidRPr="00692A10">
              <w:rPr>
                <w:rFonts w:ascii="Calibri" w:hAnsi="Calibri" w:hint="eastAsia"/>
                <w:color w:val="auto"/>
                <w:szCs w:val="21"/>
              </w:rPr>
              <w:t>HW32</w:t>
            </w:r>
            <w:r w:rsidRPr="00692A10">
              <w:rPr>
                <w:rFonts w:ascii="Calibri" w:hAnsi="Calibri" w:hint="eastAsia"/>
                <w:color w:val="auto"/>
                <w:szCs w:val="21"/>
              </w:rPr>
              <w:t>、</w:t>
            </w:r>
            <w:r w:rsidRPr="00692A10">
              <w:rPr>
                <w:rFonts w:ascii="Calibri" w:hAnsi="Calibri" w:hint="eastAsia"/>
                <w:color w:val="auto"/>
                <w:szCs w:val="21"/>
              </w:rPr>
              <w:t>HW33</w:t>
            </w:r>
            <w:r w:rsidRPr="00692A10">
              <w:rPr>
                <w:rFonts w:ascii="Calibri" w:hAnsi="Calibri" w:hint="eastAsia"/>
                <w:color w:val="auto"/>
                <w:szCs w:val="21"/>
              </w:rPr>
              <w:t>、</w:t>
            </w:r>
            <w:r w:rsidRPr="00692A10">
              <w:rPr>
                <w:rFonts w:ascii="Calibri" w:hAnsi="Calibri" w:hint="eastAsia"/>
                <w:color w:val="auto"/>
                <w:szCs w:val="21"/>
              </w:rPr>
              <w:t>HW34</w:t>
            </w:r>
            <w:r w:rsidRPr="00692A10">
              <w:rPr>
                <w:rFonts w:ascii="Calibri" w:hAnsi="Calibri" w:hint="eastAsia"/>
                <w:color w:val="auto"/>
                <w:szCs w:val="21"/>
              </w:rPr>
              <w:t>、</w:t>
            </w:r>
            <w:r w:rsidRPr="00692A10">
              <w:rPr>
                <w:rFonts w:ascii="Calibri" w:hAnsi="Calibri" w:hint="eastAsia"/>
                <w:color w:val="auto"/>
                <w:szCs w:val="21"/>
              </w:rPr>
              <w:t>HW35</w:t>
            </w:r>
            <w:r w:rsidRPr="00692A10">
              <w:rPr>
                <w:rFonts w:ascii="Calibri" w:hAnsi="Calibri" w:hint="eastAsia"/>
                <w:color w:val="auto"/>
                <w:szCs w:val="21"/>
              </w:rPr>
              <w:t>、</w:t>
            </w:r>
            <w:r w:rsidRPr="00692A10">
              <w:rPr>
                <w:rFonts w:ascii="Calibri" w:hAnsi="Calibri" w:hint="eastAsia"/>
                <w:color w:val="auto"/>
                <w:szCs w:val="21"/>
              </w:rPr>
              <w:t>HW36</w:t>
            </w:r>
            <w:r w:rsidRPr="00692A10">
              <w:rPr>
                <w:rFonts w:ascii="Calibri" w:hAnsi="Calibri" w:hint="eastAsia"/>
                <w:color w:val="auto"/>
                <w:szCs w:val="21"/>
              </w:rPr>
              <w:t>、</w:t>
            </w:r>
            <w:r w:rsidRPr="00692A10">
              <w:rPr>
                <w:rFonts w:ascii="Calibri" w:hAnsi="Calibri" w:hint="eastAsia"/>
                <w:color w:val="auto"/>
                <w:szCs w:val="21"/>
              </w:rPr>
              <w:t>HW37</w:t>
            </w:r>
            <w:r w:rsidRPr="00692A10">
              <w:rPr>
                <w:rFonts w:ascii="Calibri" w:hAnsi="Calibri" w:hint="eastAsia"/>
                <w:color w:val="auto"/>
                <w:szCs w:val="21"/>
              </w:rPr>
              <w:t>、</w:t>
            </w:r>
            <w:r w:rsidRPr="00692A10">
              <w:rPr>
                <w:rFonts w:ascii="Calibri" w:hAnsi="Calibri" w:hint="eastAsia"/>
                <w:color w:val="auto"/>
                <w:szCs w:val="21"/>
              </w:rPr>
              <w:t>HW38</w:t>
            </w:r>
            <w:r w:rsidRPr="00692A10">
              <w:rPr>
                <w:rFonts w:ascii="Calibri" w:hAnsi="Calibri" w:hint="eastAsia"/>
                <w:color w:val="auto"/>
                <w:szCs w:val="21"/>
              </w:rPr>
              <w:t>、</w:t>
            </w:r>
            <w:r w:rsidRPr="00692A10">
              <w:rPr>
                <w:rFonts w:ascii="Calibri" w:hAnsi="Calibri" w:hint="eastAsia"/>
                <w:color w:val="auto"/>
                <w:szCs w:val="21"/>
              </w:rPr>
              <w:t>HW39</w:t>
            </w:r>
            <w:r w:rsidRPr="00692A10">
              <w:rPr>
                <w:rFonts w:ascii="Calibri" w:hAnsi="Calibri" w:hint="eastAsia"/>
                <w:color w:val="auto"/>
                <w:szCs w:val="21"/>
              </w:rPr>
              <w:t>、</w:t>
            </w:r>
            <w:r w:rsidRPr="00692A10">
              <w:rPr>
                <w:rFonts w:ascii="Calibri" w:hAnsi="Calibri" w:hint="eastAsia"/>
                <w:color w:val="auto"/>
                <w:szCs w:val="21"/>
              </w:rPr>
              <w:t>HW40</w:t>
            </w:r>
            <w:r w:rsidRPr="00692A10">
              <w:rPr>
                <w:rFonts w:ascii="Calibri" w:hAnsi="Calibri" w:hint="eastAsia"/>
                <w:color w:val="auto"/>
                <w:szCs w:val="21"/>
              </w:rPr>
              <w:t>、</w:t>
            </w:r>
            <w:r w:rsidRPr="00692A10">
              <w:rPr>
                <w:rFonts w:ascii="Calibri" w:hAnsi="Calibri" w:hint="eastAsia"/>
                <w:color w:val="auto"/>
                <w:szCs w:val="21"/>
              </w:rPr>
              <w:t>HW45</w:t>
            </w:r>
            <w:r w:rsidRPr="00692A10">
              <w:rPr>
                <w:rFonts w:ascii="Calibri" w:hAnsi="Calibri" w:hint="eastAsia"/>
                <w:color w:val="auto"/>
                <w:szCs w:val="21"/>
              </w:rPr>
              <w:t>、</w:t>
            </w:r>
            <w:r w:rsidRPr="00692A10">
              <w:rPr>
                <w:rFonts w:ascii="Calibri" w:hAnsi="Calibri" w:hint="eastAsia"/>
                <w:color w:val="auto"/>
                <w:szCs w:val="21"/>
              </w:rPr>
              <w:t>HW46</w:t>
            </w:r>
            <w:r w:rsidRPr="00692A10">
              <w:rPr>
                <w:rFonts w:ascii="Calibri" w:hAnsi="Calibri" w:hint="eastAsia"/>
                <w:color w:val="auto"/>
                <w:szCs w:val="21"/>
              </w:rPr>
              <w:t>、</w:t>
            </w:r>
          </w:p>
          <w:p w14:paraId="40B8288D" w14:textId="77777777" w:rsidR="006D3FDF" w:rsidRPr="00A964FF" w:rsidRDefault="00692A10" w:rsidP="00692A10">
            <w:pPr>
              <w:jc w:val="center"/>
              <w:rPr>
                <w:rFonts w:ascii="Calibri" w:hAnsi="Calibri"/>
                <w:color w:val="auto"/>
                <w:szCs w:val="21"/>
              </w:rPr>
            </w:pPr>
            <w:r w:rsidRPr="00692A10">
              <w:rPr>
                <w:rFonts w:ascii="Calibri" w:hAnsi="Calibri" w:hint="eastAsia"/>
                <w:color w:val="auto"/>
                <w:szCs w:val="21"/>
              </w:rPr>
              <w:t>HW47</w:t>
            </w:r>
            <w:r w:rsidRPr="00692A10">
              <w:rPr>
                <w:rFonts w:ascii="Calibri" w:hAnsi="Calibri" w:hint="eastAsia"/>
                <w:color w:val="auto"/>
                <w:szCs w:val="21"/>
              </w:rPr>
              <w:t>、</w:t>
            </w:r>
            <w:r w:rsidRPr="00692A10">
              <w:rPr>
                <w:rFonts w:ascii="Calibri" w:hAnsi="Calibri" w:hint="eastAsia"/>
                <w:color w:val="auto"/>
                <w:szCs w:val="21"/>
              </w:rPr>
              <w:t>HW49</w:t>
            </w:r>
            <w:r w:rsidRPr="00692A10">
              <w:rPr>
                <w:rFonts w:ascii="Calibri" w:hAnsi="Calibri" w:hint="eastAsia"/>
                <w:color w:val="auto"/>
                <w:szCs w:val="21"/>
              </w:rPr>
              <w:t>、</w:t>
            </w:r>
            <w:r w:rsidRPr="00692A10">
              <w:rPr>
                <w:rFonts w:ascii="Calibri" w:hAnsi="Calibri" w:hint="eastAsia"/>
                <w:color w:val="auto"/>
                <w:szCs w:val="21"/>
              </w:rPr>
              <w:t>HW50</w:t>
            </w:r>
          </w:p>
        </w:tc>
        <w:tc>
          <w:tcPr>
            <w:tcW w:w="640" w:type="pct"/>
            <w:tcMar>
              <w:left w:w="28" w:type="dxa"/>
              <w:right w:w="28" w:type="dxa"/>
            </w:tcMar>
            <w:vAlign w:val="center"/>
          </w:tcPr>
          <w:p w14:paraId="73F86FBA" w14:textId="77777777" w:rsidR="006D3FDF" w:rsidRPr="00A964FF" w:rsidRDefault="0068315A" w:rsidP="0068315A">
            <w:pPr>
              <w:jc w:val="center"/>
              <w:rPr>
                <w:rFonts w:ascii="Calibri" w:hAnsi="Calibri"/>
                <w:color w:val="auto"/>
                <w:szCs w:val="21"/>
              </w:rPr>
            </w:pPr>
            <w:r w:rsidRPr="00A964FF">
              <w:rPr>
                <w:rFonts w:ascii="Calibri" w:hAnsi="Calibri" w:hint="eastAsia"/>
                <w:color w:val="auto"/>
                <w:szCs w:val="21"/>
              </w:rPr>
              <w:t>处置项目</w:t>
            </w:r>
            <w:r w:rsidRPr="00A964FF">
              <w:rPr>
                <w:rFonts w:ascii="Calibri" w:hAnsi="Calibri" w:hint="eastAsia"/>
                <w:color w:val="auto"/>
                <w:szCs w:val="21"/>
              </w:rPr>
              <w:t xml:space="preserve"> 119200</w:t>
            </w:r>
            <w:r w:rsidRPr="00A964FF">
              <w:rPr>
                <w:rFonts w:ascii="Calibri" w:hAnsi="Calibri" w:hint="eastAsia"/>
                <w:color w:val="auto"/>
                <w:szCs w:val="21"/>
              </w:rPr>
              <w:t>吨</w:t>
            </w:r>
            <w:r w:rsidRPr="00A964FF">
              <w:rPr>
                <w:rFonts w:ascii="Calibri" w:hAnsi="Calibri" w:hint="eastAsia"/>
                <w:color w:val="auto"/>
                <w:szCs w:val="21"/>
              </w:rPr>
              <w:t>/</w:t>
            </w:r>
            <w:r w:rsidRPr="00A964FF">
              <w:rPr>
                <w:rFonts w:ascii="Calibri" w:hAnsi="Calibri" w:hint="eastAsia"/>
                <w:color w:val="auto"/>
                <w:szCs w:val="21"/>
              </w:rPr>
              <w:t>年，包装桶利用项目</w:t>
            </w:r>
            <w:r w:rsidRPr="00A964FF">
              <w:rPr>
                <w:rFonts w:ascii="Calibri" w:hAnsi="Calibri" w:hint="eastAsia"/>
                <w:color w:val="auto"/>
                <w:szCs w:val="21"/>
              </w:rPr>
              <w:t xml:space="preserve"> 5500</w:t>
            </w:r>
            <w:r w:rsidRPr="00A964FF">
              <w:rPr>
                <w:rFonts w:ascii="Calibri" w:hAnsi="Calibri" w:hint="eastAsia"/>
                <w:color w:val="auto"/>
                <w:szCs w:val="21"/>
              </w:rPr>
              <w:t>吨</w:t>
            </w:r>
            <w:r w:rsidRPr="00A964FF">
              <w:rPr>
                <w:rFonts w:ascii="Calibri" w:hAnsi="Calibri" w:hint="eastAsia"/>
                <w:color w:val="auto"/>
                <w:szCs w:val="21"/>
              </w:rPr>
              <w:t>/</w:t>
            </w:r>
            <w:r w:rsidRPr="00A964FF">
              <w:rPr>
                <w:rFonts w:ascii="Calibri" w:hAnsi="Calibri" w:hint="eastAsia"/>
                <w:color w:val="auto"/>
                <w:szCs w:val="21"/>
              </w:rPr>
              <w:t>年</w:t>
            </w:r>
          </w:p>
        </w:tc>
        <w:tc>
          <w:tcPr>
            <w:tcW w:w="427" w:type="pct"/>
            <w:vAlign w:val="center"/>
          </w:tcPr>
          <w:p w14:paraId="1CE32FDA" w14:textId="77777777" w:rsidR="006D3FDF" w:rsidRPr="00A964FF" w:rsidRDefault="0068315A" w:rsidP="0080400E">
            <w:pPr>
              <w:jc w:val="center"/>
              <w:rPr>
                <w:rFonts w:ascii="Calibri" w:hAnsi="Calibri"/>
                <w:color w:val="auto"/>
                <w:szCs w:val="21"/>
              </w:rPr>
            </w:pPr>
            <w:r w:rsidRPr="00A964FF">
              <w:rPr>
                <w:rFonts w:ascii="Calibri" w:hAnsi="Calibri"/>
                <w:color w:val="auto"/>
                <w:szCs w:val="21"/>
              </w:rPr>
              <w:t>2026.8.11</w:t>
            </w:r>
          </w:p>
        </w:tc>
      </w:tr>
      <w:tr w:rsidR="0068315A" w:rsidRPr="00A964FF" w14:paraId="1EA8F86C" w14:textId="77777777" w:rsidTr="0068315A">
        <w:trPr>
          <w:trHeight w:val="312"/>
        </w:trPr>
        <w:tc>
          <w:tcPr>
            <w:tcW w:w="258" w:type="pct"/>
            <w:tcMar>
              <w:left w:w="28" w:type="dxa"/>
              <w:right w:w="28" w:type="dxa"/>
            </w:tcMar>
            <w:vAlign w:val="center"/>
          </w:tcPr>
          <w:p w14:paraId="33B3769A" w14:textId="77777777" w:rsidR="0068315A" w:rsidRPr="00A964FF" w:rsidRDefault="0068315A" w:rsidP="009D401B">
            <w:pPr>
              <w:jc w:val="center"/>
              <w:rPr>
                <w:rFonts w:ascii="Calibri" w:hAnsi="Calibri"/>
                <w:color w:val="auto"/>
                <w:szCs w:val="21"/>
              </w:rPr>
            </w:pPr>
            <w:r w:rsidRPr="00A964FF">
              <w:rPr>
                <w:rFonts w:ascii="Calibri" w:hAnsi="Calibri" w:hint="eastAsia"/>
                <w:color w:val="auto"/>
                <w:szCs w:val="21"/>
              </w:rPr>
              <w:t>2</w:t>
            </w:r>
          </w:p>
        </w:tc>
        <w:tc>
          <w:tcPr>
            <w:tcW w:w="483" w:type="pct"/>
            <w:tcMar>
              <w:left w:w="28" w:type="dxa"/>
              <w:right w:w="28" w:type="dxa"/>
            </w:tcMar>
            <w:vAlign w:val="center"/>
          </w:tcPr>
          <w:p w14:paraId="06D9B190"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t>豫环许可危废字</w:t>
            </w:r>
            <w:r w:rsidRPr="00A964FF">
              <w:rPr>
                <w:rFonts w:ascii="Calibri" w:hAnsi="Calibri" w:hint="eastAsia"/>
                <w:color w:val="auto"/>
                <w:szCs w:val="21"/>
              </w:rPr>
              <w:t>73</w:t>
            </w:r>
            <w:r w:rsidRPr="00A964FF">
              <w:rPr>
                <w:rFonts w:ascii="Calibri" w:hAnsi="Calibri" w:hint="eastAsia"/>
                <w:color w:val="auto"/>
                <w:szCs w:val="21"/>
              </w:rPr>
              <w:t>号</w:t>
            </w:r>
          </w:p>
        </w:tc>
        <w:tc>
          <w:tcPr>
            <w:tcW w:w="323" w:type="pct"/>
            <w:tcMar>
              <w:left w:w="28" w:type="dxa"/>
              <w:right w:w="28" w:type="dxa"/>
            </w:tcMar>
            <w:vAlign w:val="center"/>
          </w:tcPr>
          <w:p w14:paraId="687D9CF4" w14:textId="77777777" w:rsidR="0068315A" w:rsidRPr="00A964FF" w:rsidRDefault="00CA7D8F" w:rsidP="0068315A">
            <w:pPr>
              <w:jc w:val="center"/>
              <w:rPr>
                <w:rFonts w:ascii="Calibri" w:hAnsi="Calibri"/>
                <w:color w:val="auto"/>
                <w:szCs w:val="21"/>
              </w:rPr>
            </w:pPr>
            <w:r w:rsidRPr="00A964FF">
              <w:rPr>
                <w:rFonts w:ascii="Calibri" w:hAnsi="Calibri" w:hint="eastAsia"/>
                <w:color w:val="auto"/>
                <w:szCs w:val="21"/>
              </w:rPr>
              <w:t>河南省生态环境厅</w:t>
            </w:r>
          </w:p>
        </w:tc>
        <w:tc>
          <w:tcPr>
            <w:tcW w:w="483" w:type="pct"/>
            <w:tcMar>
              <w:left w:w="28" w:type="dxa"/>
              <w:right w:w="28" w:type="dxa"/>
            </w:tcMar>
            <w:vAlign w:val="center"/>
          </w:tcPr>
          <w:p w14:paraId="35FB2CF6" w14:textId="77777777" w:rsidR="0068315A" w:rsidRPr="00A964FF" w:rsidRDefault="0068315A" w:rsidP="00CA7D8F">
            <w:pPr>
              <w:jc w:val="center"/>
              <w:rPr>
                <w:rFonts w:ascii="Calibri" w:hAnsi="Calibri"/>
                <w:color w:val="auto"/>
                <w:szCs w:val="21"/>
              </w:rPr>
            </w:pPr>
            <w:r w:rsidRPr="00A964FF">
              <w:rPr>
                <w:rFonts w:ascii="Calibri" w:hAnsi="Calibri" w:hint="eastAsia"/>
                <w:color w:val="auto"/>
                <w:szCs w:val="21"/>
              </w:rPr>
              <w:t>中环信环保有限公司</w:t>
            </w:r>
          </w:p>
        </w:tc>
        <w:tc>
          <w:tcPr>
            <w:tcW w:w="563" w:type="pct"/>
            <w:vAlign w:val="center"/>
          </w:tcPr>
          <w:p w14:paraId="7FF8978E"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t>南阳市镇平县遮山镇</w:t>
            </w:r>
          </w:p>
        </w:tc>
        <w:tc>
          <w:tcPr>
            <w:tcW w:w="464" w:type="pct"/>
            <w:vAlign w:val="center"/>
          </w:tcPr>
          <w:p w14:paraId="7EDB19A5"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t>综合</w:t>
            </w:r>
          </w:p>
          <w:p w14:paraId="3673C0E9"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t>经营</w:t>
            </w:r>
          </w:p>
        </w:tc>
        <w:tc>
          <w:tcPr>
            <w:tcW w:w="1359" w:type="pct"/>
            <w:vAlign w:val="center"/>
          </w:tcPr>
          <w:p w14:paraId="11BC68C3"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t>HW02</w:t>
            </w:r>
            <w:r w:rsidRPr="00A964FF">
              <w:rPr>
                <w:rFonts w:ascii="Calibri" w:hAnsi="Calibri" w:hint="eastAsia"/>
                <w:color w:val="auto"/>
                <w:szCs w:val="21"/>
              </w:rPr>
              <w:t>、</w:t>
            </w:r>
            <w:r w:rsidRPr="00A964FF">
              <w:rPr>
                <w:rFonts w:ascii="Calibri" w:hAnsi="Calibri" w:hint="eastAsia"/>
                <w:color w:val="auto"/>
                <w:szCs w:val="21"/>
              </w:rPr>
              <w:t>HW03</w:t>
            </w:r>
            <w:r w:rsidRPr="00A964FF">
              <w:rPr>
                <w:rFonts w:ascii="Calibri" w:hAnsi="Calibri" w:hint="eastAsia"/>
                <w:color w:val="auto"/>
                <w:szCs w:val="21"/>
              </w:rPr>
              <w:t>、</w:t>
            </w:r>
            <w:r w:rsidRPr="00A964FF">
              <w:rPr>
                <w:rFonts w:ascii="Calibri" w:hAnsi="Calibri" w:hint="eastAsia"/>
                <w:color w:val="auto"/>
                <w:szCs w:val="21"/>
              </w:rPr>
              <w:t>HW04</w:t>
            </w:r>
          </w:p>
          <w:p w14:paraId="040BCA93"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t>、</w:t>
            </w:r>
            <w:r w:rsidRPr="00A964FF">
              <w:rPr>
                <w:rFonts w:ascii="Calibri" w:hAnsi="Calibri" w:hint="eastAsia"/>
                <w:color w:val="auto"/>
                <w:szCs w:val="21"/>
              </w:rPr>
              <w:t>HW05</w:t>
            </w:r>
            <w:r w:rsidRPr="00A964FF">
              <w:rPr>
                <w:rFonts w:ascii="Calibri" w:hAnsi="Calibri" w:hint="eastAsia"/>
                <w:color w:val="auto"/>
                <w:szCs w:val="21"/>
              </w:rPr>
              <w:t>、</w:t>
            </w:r>
            <w:r w:rsidRPr="00A964FF">
              <w:rPr>
                <w:rFonts w:ascii="Calibri" w:hAnsi="Calibri" w:hint="eastAsia"/>
                <w:color w:val="auto"/>
                <w:szCs w:val="21"/>
              </w:rPr>
              <w:t>HW06</w:t>
            </w:r>
            <w:r w:rsidRPr="00A964FF">
              <w:rPr>
                <w:rFonts w:ascii="Calibri" w:hAnsi="Calibri" w:hint="eastAsia"/>
                <w:color w:val="auto"/>
                <w:szCs w:val="21"/>
              </w:rPr>
              <w:t>、</w:t>
            </w:r>
            <w:r w:rsidRPr="00A964FF">
              <w:rPr>
                <w:rFonts w:ascii="Calibri" w:hAnsi="Calibri" w:hint="eastAsia"/>
                <w:color w:val="auto"/>
                <w:szCs w:val="21"/>
              </w:rPr>
              <w:t>HW08</w:t>
            </w:r>
            <w:r w:rsidRPr="00A964FF">
              <w:rPr>
                <w:rFonts w:ascii="Calibri" w:hAnsi="Calibri" w:hint="eastAsia"/>
                <w:color w:val="auto"/>
                <w:szCs w:val="21"/>
              </w:rPr>
              <w:t>、</w:t>
            </w:r>
            <w:r w:rsidRPr="00A964FF">
              <w:rPr>
                <w:rFonts w:ascii="Calibri" w:hAnsi="Calibri" w:hint="eastAsia"/>
                <w:color w:val="auto"/>
                <w:szCs w:val="21"/>
              </w:rPr>
              <w:t>HW09</w:t>
            </w:r>
            <w:r w:rsidRPr="00A964FF">
              <w:rPr>
                <w:rFonts w:ascii="Calibri" w:hAnsi="Calibri" w:hint="eastAsia"/>
                <w:color w:val="auto"/>
                <w:szCs w:val="21"/>
              </w:rPr>
              <w:t>、</w:t>
            </w:r>
            <w:r w:rsidRPr="00A964FF">
              <w:rPr>
                <w:rFonts w:ascii="Calibri" w:hAnsi="Calibri" w:hint="eastAsia"/>
                <w:color w:val="auto"/>
                <w:szCs w:val="21"/>
              </w:rPr>
              <w:t>HW11</w:t>
            </w:r>
            <w:r w:rsidRPr="00A964FF">
              <w:rPr>
                <w:rFonts w:ascii="Calibri" w:hAnsi="Calibri" w:hint="eastAsia"/>
                <w:color w:val="auto"/>
                <w:szCs w:val="21"/>
              </w:rPr>
              <w:t>、</w:t>
            </w:r>
            <w:r w:rsidRPr="00A964FF">
              <w:rPr>
                <w:rFonts w:ascii="Calibri" w:hAnsi="Calibri" w:hint="eastAsia"/>
                <w:color w:val="auto"/>
                <w:szCs w:val="21"/>
              </w:rPr>
              <w:t>HW12</w:t>
            </w:r>
            <w:r w:rsidRPr="00A964FF">
              <w:rPr>
                <w:rFonts w:ascii="Calibri" w:hAnsi="Calibri" w:hint="eastAsia"/>
                <w:color w:val="auto"/>
                <w:szCs w:val="21"/>
              </w:rPr>
              <w:t>、</w:t>
            </w:r>
            <w:r w:rsidRPr="00A964FF">
              <w:rPr>
                <w:rFonts w:ascii="Calibri" w:hAnsi="Calibri" w:hint="eastAsia"/>
                <w:color w:val="auto"/>
                <w:szCs w:val="21"/>
              </w:rPr>
              <w:t>HW13</w:t>
            </w:r>
            <w:r w:rsidRPr="00A964FF">
              <w:rPr>
                <w:rFonts w:ascii="Calibri" w:hAnsi="Calibri" w:hint="eastAsia"/>
                <w:color w:val="auto"/>
                <w:szCs w:val="21"/>
              </w:rPr>
              <w:t>、</w:t>
            </w:r>
            <w:r w:rsidRPr="00A964FF">
              <w:rPr>
                <w:rFonts w:ascii="Calibri" w:hAnsi="Calibri" w:hint="eastAsia"/>
                <w:color w:val="auto"/>
                <w:szCs w:val="21"/>
              </w:rPr>
              <w:t>HW14</w:t>
            </w:r>
            <w:r w:rsidRPr="00A964FF">
              <w:rPr>
                <w:rFonts w:ascii="Calibri" w:hAnsi="Calibri" w:hint="eastAsia"/>
                <w:color w:val="auto"/>
                <w:szCs w:val="21"/>
              </w:rPr>
              <w:t>、</w:t>
            </w:r>
            <w:r w:rsidRPr="00A964FF">
              <w:rPr>
                <w:rFonts w:ascii="Calibri" w:hAnsi="Calibri" w:hint="eastAsia"/>
                <w:color w:val="auto"/>
                <w:szCs w:val="21"/>
              </w:rPr>
              <w:t>HW16</w:t>
            </w:r>
            <w:r w:rsidRPr="00A964FF">
              <w:rPr>
                <w:rFonts w:ascii="Calibri" w:hAnsi="Calibri" w:hint="eastAsia"/>
                <w:color w:val="auto"/>
                <w:szCs w:val="21"/>
              </w:rPr>
              <w:t>、</w:t>
            </w:r>
            <w:r w:rsidRPr="00A964FF">
              <w:rPr>
                <w:rFonts w:ascii="Calibri" w:hAnsi="Calibri" w:hint="eastAsia"/>
                <w:color w:val="auto"/>
                <w:szCs w:val="21"/>
              </w:rPr>
              <w:t>HW17</w:t>
            </w:r>
            <w:r w:rsidRPr="00A964FF">
              <w:rPr>
                <w:rFonts w:ascii="Calibri" w:hAnsi="Calibri" w:hint="eastAsia"/>
                <w:color w:val="auto"/>
                <w:szCs w:val="21"/>
              </w:rPr>
              <w:t>、</w:t>
            </w:r>
            <w:r w:rsidRPr="00A964FF">
              <w:rPr>
                <w:rFonts w:ascii="Calibri" w:hAnsi="Calibri" w:hint="eastAsia"/>
                <w:color w:val="auto"/>
                <w:szCs w:val="21"/>
              </w:rPr>
              <w:t>HW18</w:t>
            </w:r>
            <w:r w:rsidRPr="00A964FF">
              <w:rPr>
                <w:rFonts w:ascii="Calibri" w:hAnsi="Calibri" w:hint="eastAsia"/>
                <w:color w:val="auto"/>
                <w:szCs w:val="21"/>
              </w:rPr>
              <w:t>、</w:t>
            </w:r>
            <w:r w:rsidRPr="00A964FF">
              <w:rPr>
                <w:rFonts w:ascii="Calibri" w:hAnsi="Calibri" w:hint="eastAsia"/>
                <w:color w:val="auto"/>
                <w:szCs w:val="21"/>
              </w:rPr>
              <w:t>HW21</w:t>
            </w:r>
            <w:r w:rsidRPr="00A964FF">
              <w:rPr>
                <w:rFonts w:ascii="Calibri" w:hAnsi="Calibri" w:hint="eastAsia"/>
                <w:color w:val="auto"/>
                <w:szCs w:val="21"/>
              </w:rPr>
              <w:t>、</w:t>
            </w:r>
          </w:p>
          <w:p w14:paraId="536712B0"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t>HW22</w:t>
            </w:r>
            <w:r w:rsidRPr="00A964FF">
              <w:rPr>
                <w:rFonts w:ascii="Calibri" w:hAnsi="Calibri" w:hint="eastAsia"/>
                <w:color w:val="auto"/>
                <w:szCs w:val="21"/>
              </w:rPr>
              <w:t>、</w:t>
            </w:r>
            <w:r w:rsidRPr="00A964FF">
              <w:rPr>
                <w:rFonts w:ascii="Calibri" w:hAnsi="Calibri" w:hint="eastAsia"/>
                <w:color w:val="auto"/>
                <w:szCs w:val="21"/>
              </w:rPr>
              <w:t>HW23</w:t>
            </w:r>
            <w:r w:rsidRPr="00A964FF">
              <w:rPr>
                <w:rFonts w:ascii="Calibri" w:hAnsi="Calibri" w:hint="eastAsia"/>
                <w:color w:val="auto"/>
                <w:szCs w:val="21"/>
              </w:rPr>
              <w:t>、</w:t>
            </w:r>
            <w:r w:rsidRPr="00A964FF">
              <w:rPr>
                <w:rFonts w:ascii="Calibri" w:hAnsi="Calibri" w:hint="eastAsia"/>
                <w:color w:val="auto"/>
                <w:szCs w:val="21"/>
              </w:rPr>
              <w:lastRenderedPageBreak/>
              <w:t>HW26</w:t>
            </w:r>
            <w:r w:rsidRPr="00A964FF">
              <w:rPr>
                <w:rFonts w:ascii="Calibri" w:hAnsi="Calibri" w:hint="eastAsia"/>
                <w:color w:val="auto"/>
                <w:szCs w:val="21"/>
              </w:rPr>
              <w:t>、</w:t>
            </w:r>
            <w:r w:rsidRPr="00A964FF">
              <w:rPr>
                <w:rFonts w:ascii="Calibri" w:hAnsi="Calibri" w:hint="eastAsia"/>
                <w:color w:val="auto"/>
                <w:szCs w:val="21"/>
              </w:rPr>
              <w:t>HW29</w:t>
            </w:r>
            <w:r w:rsidRPr="00A964FF">
              <w:rPr>
                <w:rFonts w:ascii="Calibri" w:hAnsi="Calibri" w:hint="eastAsia"/>
                <w:color w:val="auto"/>
                <w:szCs w:val="21"/>
              </w:rPr>
              <w:t>、</w:t>
            </w:r>
            <w:r w:rsidRPr="00A964FF">
              <w:rPr>
                <w:rFonts w:ascii="Calibri" w:hAnsi="Calibri" w:hint="eastAsia"/>
                <w:color w:val="auto"/>
                <w:szCs w:val="21"/>
              </w:rPr>
              <w:t>HW32</w:t>
            </w:r>
            <w:r w:rsidRPr="00A964FF">
              <w:rPr>
                <w:rFonts w:ascii="Calibri" w:hAnsi="Calibri" w:hint="eastAsia"/>
                <w:color w:val="auto"/>
                <w:szCs w:val="21"/>
              </w:rPr>
              <w:t>、</w:t>
            </w:r>
            <w:r w:rsidRPr="00A964FF">
              <w:rPr>
                <w:rFonts w:ascii="Calibri" w:hAnsi="Calibri" w:hint="eastAsia"/>
                <w:color w:val="auto"/>
                <w:szCs w:val="21"/>
              </w:rPr>
              <w:t>HW34</w:t>
            </w:r>
            <w:r w:rsidRPr="00A964FF">
              <w:rPr>
                <w:rFonts w:ascii="Calibri" w:hAnsi="Calibri" w:hint="eastAsia"/>
                <w:color w:val="auto"/>
                <w:szCs w:val="21"/>
              </w:rPr>
              <w:t>、</w:t>
            </w:r>
            <w:r w:rsidRPr="00A964FF">
              <w:rPr>
                <w:rFonts w:ascii="Calibri" w:hAnsi="Calibri" w:hint="eastAsia"/>
                <w:color w:val="auto"/>
                <w:szCs w:val="21"/>
              </w:rPr>
              <w:t>HW35</w:t>
            </w:r>
            <w:r w:rsidRPr="00A964FF">
              <w:rPr>
                <w:rFonts w:ascii="Calibri" w:hAnsi="Calibri" w:hint="eastAsia"/>
                <w:color w:val="auto"/>
                <w:szCs w:val="21"/>
              </w:rPr>
              <w:t>、</w:t>
            </w:r>
            <w:r w:rsidRPr="00A964FF">
              <w:rPr>
                <w:rFonts w:ascii="Calibri" w:hAnsi="Calibri" w:hint="eastAsia"/>
                <w:color w:val="auto"/>
                <w:szCs w:val="21"/>
              </w:rPr>
              <w:t>HW36</w:t>
            </w:r>
            <w:r w:rsidRPr="00A964FF">
              <w:rPr>
                <w:rFonts w:ascii="Calibri" w:hAnsi="Calibri" w:hint="eastAsia"/>
                <w:color w:val="auto"/>
                <w:szCs w:val="21"/>
              </w:rPr>
              <w:t>、</w:t>
            </w:r>
            <w:r w:rsidRPr="00A964FF">
              <w:rPr>
                <w:rFonts w:ascii="Calibri" w:hAnsi="Calibri" w:hint="eastAsia"/>
                <w:color w:val="auto"/>
                <w:szCs w:val="21"/>
              </w:rPr>
              <w:t>HW37</w:t>
            </w:r>
            <w:r w:rsidRPr="00A964FF">
              <w:rPr>
                <w:rFonts w:ascii="Calibri" w:hAnsi="Calibri" w:hint="eastAsia"/>
                <w:color w:val="auto"/>
                <w:szCs w:val="21"/>
              </w:rPr>
              <w:t>、</w:t>
            </w:r>
            <w:r w:rsidRPr="00A964FF">
              <w:rPr>
                <w:rFonts w:ascii="Calibri" w:hAnsi="Calibri" w:hint="eastAsia"/>
                <w:color w:val="auto"/>
                <w:szCs w:val="21"/>
              </w:rPr>
              <w:t>HW39</w:t>
            </w:r>
            <w:r w:rsidRPr="00A964FF">
              <w:rPr>
                <w:rFonts w:ascii="Calibri" w:hAnsi="Calibri" w:hint="eastAsia"/>
                <w:color w:val="auto"/>
                <w:szCs w:val="21"/>
              </w:rPr>
              <w:t>、</w:t>
            </w:r>
            <w:r w:rsidRPr="00A964FF">
              <w:rPr>
                <w:rFonts w:ascii="Calibri" w:hAnsi="Calibri" w:hint="eastAsia"/>
                <w:color w:val="auto"/>
                <w:szCs w:val="21"/>
              </w:rPr>
              <w:t>HW40</w:t>
            </w:r>
            <w:r w:rsidRPr="00A964FF">
              <w:rPr>
                <w:rFonts w:ascii="Calibri" w:hAnsi="Calibri" w:hint="eastAsia"/>
                <w:color w:val="auto"/>
                <w:szCs w:val="21"/>
              </w:rPr>
              <w:t>、</w:t>
            </w:r>
            <w:r w:rsidRPr="00A964FF">
              <w:rPr>
                <w:rFonts w:ascii="Calibri" w:hAnsi="Calibri" w:hint="eastAsia"/>
                <w:color w:val="auto"/>
                <w:szCs w:val="21"/>
              </w:rPr>
              <w:t>HW46</w:t>
            </w:r>
            <w:r w:rsidRPr="00A964FF">
              <w:rPr>
                <w:rFonts w:ascii="Calibri" w:hAnsi="Calibri" w:hint="eastAsia"/>
                <w:color w:val="auto"/>
                <w:szCs w:val="21"/>
              </w:rPr>
              <w:t>、</w:t>
            </w:r>
            <w:r w:rsidRPr="00A964FF">
              <w:rPr>
                <w:rFonts w:ascii="Calibri" w:hAnsi="Calibri" w:hint="eastAsia"/>
                <w:color w:val="auto"/>
                <w:szCs w:val="21"/>
              </w:rPr>
              <w:t>HW48</w:t>
            </w:r>
            <w:r w:rsidRPr="00A964FF">
              <w:rPr>
                <w:rFonts w:ascii="Calibri" w:hAnsi="Calibri" w:hint="eastAsia"/>
                <w:color w:val="auto"/>
                <w:szCs w:val="21"/>
              </w:rPr>
              <w:t>、</w:t>
            </w:r>
            <w:r w:rsidRPr="00A964FF">
              <w:rPr>
                <w:rFonts w:ascii="Calibri" w:hAnsi="Calibri" w:hint="eastAsia"/>
                <w:color w:val="auto"/>
                <w:szCs w:val="21"/>
              </w:rPr>
              <w:t>HW49</w:t>
            </w:r>
            <w:r w:rsidRPr="00A964FF">
              <w:rPr>
                <w:rFonts w:ascii="Calibri" w:hAnsi="Calibri" w:hint="eastAsia"/>
                <w:color w:val="auto"/>
                <w:szCs w:val="21"/>
              </w:rPr>
              <w:t>、</w:t>
            </w:r>
            <w:r w:rsidRPr="00A964FF">
              <w:rPr>
                <w:rFonts w:ascii="Calibri" w:hAnsi="Calibri" w:hint="eastAsia"/>
                <w:color w:val="auto"/>
                <w:szCs w:val="21"/>
              </w:rPr>
              <w:t>HW50</w:t>
            </w:r>
          </w:p>
        </w:tc>
        <w:tc>
          <w:tcPr>
            <w:tcW w:w="640" w:type="pct"/>
            <w:tcMar>
              <w:left w:w="28" w:type="dxa"/>
              <w:right w:w="28" w:type="dxa"/>
            </w:tcMar>
            <w:vAlign w:val="center"/>
          </w:tcPr>
          <w:p w14:paraId="3444C700" w14:textId="77777777" w:rsidR="0068315A" w:rsidRPr="00A964FF" w:rsidRDefault="0068315A" w:rsidP="0068315A">
            <w:pPr>
              <w:jc w:val="center"/>
              <w:rPr>
                <w:rFonts w:ascii="Calibri" w:hAnsi="Calibri"/>
                <w:color w:val="auto"/>
                <w:szCs w:val="21"/>
              </w:rPr>
            </w:pPr>
            <w:r w:rsidRPr="00A964FF">
              <w:rPr>
                <w:rFonts w:ascii="Calibri" w:hAnsi="Calibri" w:hint="eastAsia"/>
                <w:color w:val="auto"/>
                <w:szCs w:val="21"/>
              </w:rPr>
              <w:lastRenderedPageBreak/>
              <w:t>99840t/a</w:t>
            </w:r>
          </w:p>
        </w:tc>
        <w:tc>
          <w:tcPr>
            <w:tcW w:w="427" w:type="pct"/>
            <w:vAlign w:val="center"/>
          </w:tcPr>
          <w:p w14:paraId="4D931567" w14:textId="77777777" w:rsidR="0068315A" w:rsidRPr="00A964FF" w:rsidRDefault="0068315A" w:rsidP="0080400E">
            <w:pPr>
              <w:jc w:val="center"/>
              <w:rPr>
                <w:rFonts w:ascii="Calibri" w:hAnsi="Calibri"/>
                <w:color w:val="auto"/>
                <w:szCs w:val="21"/>
              </w:rPr>
            </w:pPr>
            <w:r w:rsidRPr="00A964FF">
              <w:rPr>
                <w:rFonts w:ascii="Calibri" w:hAnsi="Calibri"/>
                <w:color w:val="auto"/>
                <w:szCs w:val="21"/>
              </w:rPr>
              <w:t>2024.03.14</w:t>
            </w:r>
          </w:p>
        </w:tc>
      </w:tr>
      <w:tr w:rsidR="00CA7D8F" w:rsidRPr="00A964FF" w14:paraId="78BDFA21" w14:textId="77777777" w:rsidTr="0068315A">
        <w:trPr>
          <w:trHeight w:val="312"/>
        </w:trPr>
        <w:tc>
          <w:tcPr>
            <w:tcW w:w="258" w:type="pct"/>
            <w:tcMar>
              <w:left w:w="28" w:type="dxa"/>
              <w:right w:w="28" w:type="dxa"/>
            </w:tcMar>
            <w:vAlign w:val="center"/>
          </w:tcPr>
          <w:p w14:paraId="534EFF34" w14:textId="77777777" w:rsidR="00CA7D8F" w:rsidRPr="00A964FF" w:rsidRDefault="00CA7D8F" w:rsidP="009D401B">
            <w:pPr>
              <w:jc w:val="center"/>
              <w:rPr>
                <w:rFonts w:ascii="Calibri" w:hAnsi="Calibri"/>
                <w:color w:val="auto"/>
                <w:szCs w:val="21"/>
              </w:rPr>
            </w:pPr>
            <w:r w:rsidRPr="00A964FF">
              <w:rPr>
                <w:rFonts w:ascii="Calibri" w:hAnsi="Calibri" w:hint="eastAsia"/>
                <w:color w:val="auto"/>
                <w:szCs w:val="21"/>
              </w:rPr>
              <w:t>3</w:t>
            </w:r>
          </w:p>
        </w:tc>
        <w:tc>
          <w:tcPr>
            <w:tcW w:w="483" w:type="pct"/>
            <w:tcMar>
              <w:left w:w="28" w:type="dxa"/>
              <w:right w:w="28" w:type="dxa"/>
            </w:tcMar>
            <w:vAlign w:val="center"/>
          </w:tcPr>
          <w:p w14:paraId="18A16208" w14:textId="77777777" w:rsidR="00CA7D8F" w:rsidRPr="00A964FF" w:rsidRDefault="00CA7D8F" w:rsidP="00CA7D8F">
            <w:pPr>
              <w:jc w:val="center"/>
              <w:rPr>
                <w:rFonts w:ascii="Calibri" w:hAnsi="Calibri"/>
                <w:color w:val="auto"/>
                <w:szCs w:val="21"/>
              </w:rPr>
            </w:pPr>
            <w:r w:rsidRPr="00A964FF">
              <w:rPr>
                <w:rFonts w:ascii="Calibri" w:hAnsi="Calibri" w:hint="eastAsia"/>
                <w:color w:val="auto"/>
                <w:szCs w:val="21"/>
              </w:rPr>
              <w:t>豫环许可危废字</w:t>
            </w:r>
            <w:r w:rsidRPr="00A964FF">
              <w:rPr>
                <w:rFonts w:ascii="Calibri" w:hAnsi="Calibri" w:hint="eastAsia"/>
                <w:color w:val="auto"/>
                <w:szCs w:val="21"/>
              </w:rPr>
              <w:t>92</w:t>
            </w:r>
            <w:r w:rsidRPr="00A964FF">
              <w:rPr>
                <w:rFonts w:ascii="Calibri" w:hAnsi="Calibri" w:hint="eastAsia"/>
                <w:color w:val="auto"/>
                <w:szCs w:val="21"/>
              </w:rPr>
              <w:t>号</w:t>
            </w:r>
          </w:p>
        </w:tc>
        <w:tc>
          <w:tcPr>
            <w:tcW w:w="323" w:type="pct"/>
            <w:tcMar>
              <w:left w:w="28" w:type="dxa"/>
              <w:right w:w="28" w:type="dxa"/>
            </w:tcMar>
            <w:vAlign w:val="center"/>
          </w:tcPr>
          <w:p w14:paraId="023A9537" w14:textId="77777777" w:rsidR="00CA7D8F" w:rsidRPr="00A964FF" w:rsidRDefault="00CA7D8F" w:rsidP="00CA7D8F">
            <w:pPr>
              <w:jc w:val="center"/>
              <w:rPr>
                <w:rFonts w:ascii="Calibri" w:hAnsi="Calibri"/>
                <w:color w:val="auto"/>
                <w:szCs w:val="21"/>
              </w:rPr>
            </w:pPr>
            <w:r w:rsidRPr="00A964FF">
              <w:rPr>
                <w:rFonts w:ascii="Calibri" w:hAnsi="Calibri" w:hint="eastAsia"/>
                <w:color w:val="auto"/>
                <w:szCs w:val="21"/>
              </w:rPr>
              <w:t>河南省生态环境厅</w:t>
            </w:r>
          </w:p>
        </w:tc>
        <w:tc>
          <w:tcPr>
            <w:tcW w:w="483" w:type="pct"/>
            <w:tcMar>
              <w:left w:w="28" w:type="dxa"/>
              <w:right w:w="28" w:type="dxa"/>
            </w:tcMar>
            <w:vAlign w:val="center"/>
          </w:tcPr>
          <w:p w14:paraId="1C7B1D53" w14:textId="77777777" w:rsidR="00CA7D8F" w:rsidRPr="00A964FF" w:rsidRDefault="00CA7D8F" w:rsidP="00CA7D8F">
            <w:pPr>
              <w:jc w:val="center"/>
              <w:rPr>
                <w:rFonts w:ascii="Calibri" w:hAnsi="Calibri"/>
                <w:color w:val="auto"/>
                <w:szCs w:val="21"/>
              </w:rPr>
            </w:pPr>
            <w:r w:rsidRPr="00A964FF">
              <w:rPr>
                <w:rFonts w:ascii="Calibri" w:hAnsi="Calibri" w:hint="eastAsia"/>
                <w:color w:val="auto"/>
                <w:szCs w:val="21"/>
              </w:rPr>
              <w:t>河南富泉环境科技有限公司、河南省湖波灵威水泥集团有限责任公</w:t>
            </w:r>
          </w:p>
        </w:tc>
        <w:tc>
          <w:tcPr>
            <w:tcW w:w="563" w:type="pct"/>
            <w:vAlign w:val="center"/>
          </w:tcPr>
          <w:p w14:paraId="3A20B16D" w14:textId="77777777" w:rsidR="00CA7D8F" w:rsidRPr="00A964FF" w:rsidRDefault="00CA7D8F" w:rsidP="00CA7D8F">
            <w:pPr>
              <w:jc w:val="center"/>
              <w:rPr>
                <w:rFonts w:ascii="Calibri" w:hAnsi="Calibri"/>
                <w:color w:val="auto"/>
                <w:szCs w:val="21"/>
              </w:rPr>
            </w:pPr>
            <w:r w:rsidRPr="00A964FF">
              <w:rPr>
                <w:rFonts w:ascii="Calibri" w:hAnsi="Calibri" w:hint="eastAsia"/>
                <w:color w:val="auto"/>
                <w:szCs w:val="21"/>
              </w:rPr>
              <w:t>禹州市无梁镇井王村北</w:t>
            </w:r>
          </w:p>
        </w:tc>
        <w:tc>
          <w:tcPr>
            <w:tcW w:w="464" w:type="pct"/>
            <w:vAlign w:val="center"/>
          </w:tcPr>
          <w:p w14:paraId="13437CE4" w14:textId="77777777" w:rsidR="00CA7D8F" w:rsidRPr="00A964FF" w:rsidRDefault="00CA7D8F" w:rsidP="00CA7D8F">
            <w:pPr>
              <w:jc w:val="center"/>
              <w:rPr>
                <w:rFonts w:ascii="Calibri" w:hAnsi="Calibri"/>
                <w:color w:val="auto"/>
                <w:szCs w:val="21"/>
              </w:rPr>
            </w:pPr>
            <w:r w:rsidRPr="00A964FF">
              <w:rPr>
                <w:rFonts w:ascii="Calibri" w:hAnsi="Calibri" w:hint="eastAsia"/>
                <w:color w:val="auto"/>
                <w:szCs w:val="21"/>
              </w:rPr>
              <w:t>综合</w:t>
            </w:r>
          </w:p>
          <w:p w14:paraId="1F1AE596" w14:textId="77777777" w:rsidR="00CA7D8F" w:rsidRPr="00A964FF" w:rsidRDefault="00CA7D8F" w:rsidP="00CA7D8F">
            <w:pPr>
              <w:jc w:val="center"/>
              <w:rPr>
                <w:rFonts w:ascii="Calibri" w:hAnsi="Calibri"/>
                <w:color w:val="auto"/>
                <w:szCs w:val="21"/>
              </w:rPr>
            </w:pPr>
            <w:r w:rsidRPr="00A964FF">
              <w:rPr>
                <w:rFonts w:ascii="Calibri" w:hAnsi="Calibri" w:hint="eastAsia"/>
                <w:color w:val="auto"/>
                <w:szCs w:val="21"/>
              </w:rPr>
              <w:t>经营</w:t>
            </w:r>
          </w:p>
        </w:tc>
        <w:tc>
          <w:tcPr>
            <w:tcW w:w="1359" w:type="pct"/>
            <w:vAlign w:val="center"/>
          </w:tcPr>
          <w:p w14:paraId="65E66C27" w14:textId="77777777" w:rsidR="00CA7D8F" w:rsidRPr="00A964FF" w:rsidRDefault="00CA7D8F" w:rsidP="00CA7D8F">
            <w:pPr>
              <w:jc w:val="center"/>
              <w:rPr>
                <w:rFonts w:ascii="Calibri" w:hAnsi="Calibri"/>
                <w:color w:val="auto"/>
                <w:szCs w:val="21"/>
              </w:rPr>
            </w:pPr>
            <w:r w:rsidRPr="00A964FF">
              <w:rPr>
                <w:rFonts w:ascii="Calibri" w:hAnsi="Calibri" w:hint="eastAsia"/>
                <w:color w:val="auto"/>
                <w:szCs w:val="21"/>
              </w:rPr>
              <w:t>HW02</w:t>
            </w:r>
            <w:r w:rsidRPr="00A964FF">
              <w:rPr>
                <w:rFonts w:ascii="Calibri" w:hAnsi="Calibri" w:hint="eastAsia"/>
                <w:color w:val="auto"/>
                <w:szCs w:val="21"/>
              </w:rPr>
              <w:t>、</w:t>
            </w:r>
            <w:r w:rsidRPr="00A964FF">
              <w:rPr>
                <w:rFonts w:ascii="Calibri" w:hAnsi="Calibri" w:hint="eastAsia"/>
                <w:color w:val="auto"/>
                <w:szCs w:val="21"/>
              </w:rPr>
              <w:t>HW03</w:t>
            </w:r>
            <w:r w:rsidRPr="00A964FF">
              <w:rPr>
                <w:rFonts w:ascii="Calibri" w:hAnsi="Calibri" w:hint="eastAsia"/>
                <w:color w:val="auto"/>
                <w:szCs w:val="21"/>
              </w:rPr>
              <w:t>、</w:t>
            </w:r>
            <w:r w:rsidRPr="00A964FF">
              <w:rPr>
                <w:rFonts w:ascii="Calibri" w:hAnsi="Calibri" w:hint="eastAsia"/>
                <w:color w:val="auto"/>
                <w:szCs w:val="21"/>
              </w:rPr>
              <w:t>HW04</w:t>
            </w:r>
            <w:r w:rsidRPr="00A964FF">
              <w:rPr>
                <w:rFonts w:ascii="Calibri" w:hAnsi="Calibri" w:hint="eastAsia"/>
                <w:color w:val="auto"/>
                <w:szCs w:val="21"/>
              </w:rPr>
              <w:t>、</w:t>
            </w:r>
            <w:r w:rsidRPr="00A964FF">
              <w:rPr>
                <w:rFonts w:ascii="Calibri" w:hAnsi="Calibri" w:hint="eastAsia"/>
                <w:color w:val="auto"/>
                <w:szCs w:val="21"/>
              </w:rPr>
              <w:t>HW05</w:t>
            </w:r>
            <w:r w:rsidRPr="00A964FF">
              <w:rPr>
                <w:rFonts w:ascii="Calibri" w:hAnsi="Calibri" w:hint="eastAsia"/>
                <w:color w:val="auto"/>
                <w:szCs w:val="21"/>
              </w:rPr>
              <w:t>、</w:t>
            </w:r>
            <w:r w:rsidRPr="00A964FF">
              <w:rPr>
                <w:rFonts w:ascii="Calibri" w:hAnsi="Calibri" w:hint="eastAsia"/>
                <w:color w:val="auto"/>
                <w:szCs w:val="21"/>
              </w:rPr>
              <w:t>HW06</w:t>
            </w:r>
            <w:r w:rsidRPr="00A964FF">
              <w:rPr>
                <w:rFonts w:ascii="Calibri" w:hAnsi="Calibri" w:hint="eastAsia"/>
                <w:color w:val="auto"/>
                <w:szCs w:val="21"/>
              </w:rPr>
              <w:t>、</w:t>
            </w:r>
            <w:r w:rsidRPr="00A964FF">
              <w:rPr>
                <w:rFonts w:ascii="Calibri" w:hAnsi="Calibri" w:hint="eastAsia"/>
                <w:color w:val="auto"/>
                <w:szCs w:val="21"/>
              </w:rPr>
              <w:t>HW07</w:t>
            </w:r>
            <w:r w:rsidRPr="00A964FF">
              <w:rPr>
                <w:rFonts w:ascii="Calibri" w:hAnsi="Calibri" w:hint="eastAsia"/>
                <w:color w:val="auto"/>
                <w:szCs w:val="21"/>
              </w:rPr>
              <w:t>、</w:t>
            </w:r>
            <w:r w:rsidRPr="00A964FF">
              <w:rPr>
                <w:rFonts w:ascii="Calibri" w:hAnsi="Calibri" w:hint="eastAsia"/>
                <w:color w:val="auto"/>
                <w:szCs w:val="21"/>
              </w:rPr>
              <w:t>HW08</w:t>
            </w:r>
            <w:r w:rsidRPr="00A964FF">
              <w:rPr>
                <w:rFonts w:ascii="Calibri" w:hAnsi="Calibri" w:hint="eastAsia"/>
                <w:color w:val="auto"/>
                <w:szCs w:val="21"/>
              </w:rPr>
              <w:t>、</w:t>
            </w:r>
            <w:r w:rsidRPr="00A964FF">
              <w:rPr>
                <w:rFonts w:ascii="Calibri" w:hAnsi="Calibri" w:hint="eastAsia"/>
                <w:color w:val="auto"/>
                <w:szCs w:val="21"/>
              </w:rPr>
              <w:t>HW09</w:t>
            </w:r>
            <w:r w:rsidRPr="00A964FF">
              <w:rPr>
                <w:rFonts w:ascii="Calibri" w:hAnsi="Calibri" w:hint="eastAsia"/>
                <w:color w:val="auto"/>
                <w:szCs w:val="21"/>
              </w:rPr>
              <w:t>、</w:t>
            </w:r>
            <w:r w:rsidRPr="00A964FF">
              <w:rPr>
                <w:rFonts w:ascii="Calibri" w:hAnsi="Calibri" w:hint="eastAsia"/>
                <w:color w:val="auto"/>
                <w:szCs w:val="21"/>
              </w:rPr>
              <w:t>HW11</w:t>
            </w:r>
            <w:r w:rsidRPr="00A964FF">
              <w:rPr>
                <w:rFonts w:ascii="Calibri" w:hAnsi="Calibri" w:hint="eastAsia"/>
                <w:color w:val="auto"/>
                <w:szCs w:val="21"/>
              </w:rPr>
              <w:t>、</w:t>
            </w:r>
            <w:r w:rsidRPr="00A964FF">
              <w:rPr>
                <w:rFonts w:ascii="Calibri" w:hAnsi="Calibri" w:hint="eastAsia"/>
                <w:color w:val="auto"/>
                <w:szCs w:val="21"/>
              </w:rPr>
              <w:t>HW12</w:t>
            </w:r>
            <w:r w:rsidRPr="00A964FF">
              <w:rPr>
                <w:rFonts w:ascii="Calibri" w:hAnsi="Calibri" w:hint="eastAsia"/>
                <w:color w:val="auto"/>
                <w:szCs w:val="21"/>
              </w:rPr>
              <w:t>、</w:t>
            </w:r>
            <w:r w:rsidRPr="00A964FF">
              <w:rPr>
                <w:rFonts w:ascii="Calibri" w:hAnsi="Calibri" w:hint="eastAsia"/>
                <w:color w:val="auto"/>
                <w:szCs w:val="21"/>
              </w:rPr>
              <w:t>HW13</w:t>
            </w:r>
            <w:r w:rsidRPr="00A964FF">
              <w:rPr>
                <w:rFonts w:ascii="Calibri" w:hAnsi="Calibri" w:hint="eastAsia"/>
                <w:color w:val="auto"/>
                <w:szCs w:val="21"/>
              </w:rPr>
              <w:t>、</w:t>
            </w:r>
            <w:r w:rsidRPr="00A964FF">
              <w:rPr>
                <w:rFonts w:ascii="Calibri" w:hAnsi="Calibri" w:hint="eastAsia"/>
                <w:color w:val="auto"/>
                <w:szCs w:val="21"/>
              </w:rPr>
              <w:t>HW14</w:t>
            </w:r>
            <w:r w:rsidRPr="00A964FF">
              <w:rPr>
                <w:rFonts w:ascii="Calibri" w:hAnsi="Calibri" w:hint="eastAsia"/>
                <w:color w:val="auto"/>
                <w:szCs w:val="21"/>
              </w:rPr>
              <w:t>、</w:t>
            </w:r>
            <w:r w:rsidRPr="00A964FF">
              <w:rPr>
                <w:rFonts w:ascii="Calibri" w:hAnsi="Calibri" w:hint="eastAsia"/>
                <w:color w:val="auto"/>
                <w:szCs w:val="21"/>
              </w:rPr>
              <w:t>HW16</w:t>
            </w:r>
            <w:r w:rsidRPr="00A964FF">
              <w:rPr>
                <w:rFonts w:ascii="Calibri" w:hAnsi="Calibri" w:hint="eastAsia"/>
                <w:color w:val="auto"/>
                <w:szCs w:val="21"/>
              </w:rPr>
              <w:t>、</w:t>
            </w:r>
            <w:r w:rsidRPr="00A964FF">
              <w:rPr>
                <w:rFonts w:ascii="Calibri" w:hAnsi="Calibri" w:hint="eastAsia"/>
                <w:color w:val="auto"/>
                <w:szCs w:val="21"/>
              </w:rPr>
              <w:t>HW17</w:t>
            </w:r>
            <w:r w:rsidRPr="00A964FF">
              <w:rPr>
                <w:rFonts w:ascii="Calibri" w:hAnsi="Calibri" w:hint="eastAsia"/>
                <w:color w:val="auto"/>
                <w:szCs w:val="21"/>
              </w:rPr>
              <w:t>、</w:t>
            </w:r>
            <w:r w:rsidRPr="00A964FF">
              <w:rPr>
                <w:rFonts w:ascii="Calibri" w:hAnsi="Calibri" w:hint="eastAsia"/>
                <w:color w:val="auto"/>
                <w:szCs w:val="21"/>
              </w:rPr>
              <w:t>HW18</w:t>
            </w:r>
            <w:r w:rsidRPr="00A964FF">
              <w:rPr>
                <w:rFonts w:ascii="Calibri" w:hAnsi="Calibri" w:hint="eastAsia"/>
                <w:color w:val="auto"/>
                <w:szCs w:val="21"/>
              </w:rPr>
              <w:t>、</w:t>
            </w:r>
            <w:r w:rsidRPr="00A964FF">
              <w:rPr>
                <w:rFonts w:ascii="Calibri" w:hAnsi="Calibri" w:hint="eastAsia"/>
                <w:color w:val="auto"/>
                <w:szCs w:val="21"/>
              </w:rPr>
              <w:t>HW19</w:t>
            </w:r>
            <w:r w:rsidRPr="00A964FF">
              <w:rPr>
                <w:rFonts w:ascii="Calibri" w:hAnsi="Calibri" w:hint="eastAsia"/>
                <w:color w:val="auto"/>
                <w:szCs w:val="21"/>
              </w:rPr>
              <w:t>、</w:t>
            </w:r>
            <w:r w:rsidRPr="00A964FF">
              <w:rPr>
                <w:rFonts w:ascii="Calibri" w:hAnsi="Calibri" w:hint="eastAsia"/>
                <w:color w:val="auto"/>
                <w:szCs w:val="21"/>
              </w:rPr>
              <w:t>HW24</w:t>
            </w:r>
            <w:r w:rsidRPr="00A964FF">
              <w:rPr>
                <w:rFonts w:ascii="Calibri" w:hAnsi="Calibri" w:hint="eastAsia"/>
                <w:color w:val="auto"/>
                <w:szCs w:val="21"/>
              </w:rPr>
              <w:t>、</w:t>
            </w:r>
            <w:r w:rsidRPr="00A964FF">
              <w:rPr>
                <w:rFonts w:ascii="Calibri" w:hAnsi="Calibri" w:hint="eastAsia"/>
                <w:color w:val="auto"/>
                <w:szCs w:val="21"/>
              </w:rPr>
              <w:t>HW32</w:t>
            </w:r>
            <w:r w:rsidRPr="00A964FF">
              <w:rPr>
                <w:rFonts w:ascii="Calibri" w:hAnsi="Calibri" w:hint="eastAsia"/>
                <w:color w:val="auto"/>
                <w:szCs w:val="21"/>
              </w:rPr>
              <w:t>、</w:t>
            </w:r>
            <w:r w:rsidRPr="00A964FF">
              <w:rPr>
                <w:rFonts w:ascii="Calibri" w:hAnsi="Calibri" w:hint="eastAsia"/>
                <w:color w:val="auto"/>
                <w:szCs w:val="21"/>
              </w:rPr>
              <w:t>HW33</w:t>
            </w:r>
            <w:r w:rsidRPr="00A964FF">
              <w:rPr>
                <w:rFonts w:ascii="Calibri" w:hAnsi="Calibri" w:hint="eastAsia"/>
                <w:color w:val="auto"/>
                <w:szCs w:val="21"/>
              </w:rPr>
              <w:t>、</w:t>
            </w:r>
            <w:r w:rsidRPr="00A964FF">
              <w:rPr>
                <w:rFonts w:ascii="Calibri" w:hAnsi="Calibri" w:hint="eastAsia"/>
                <w:color w:val="auto"/>
                <w:szCs w:val="21"/>
              </w:rPr>
              <w:t>HW34</w:t>
            </w:r>
            <w:r w:rsidRPr="00A964FF">
              <w:rPr>
                <w:rFonts w:ascii="Calibri" w:hAnsi="Calibri" w:hint="eastAsia"/>
                <w:color w:val="auto"/>
                <w:szCs w:val="21"/>
              </w:rPr>
              <w:t>、</w:t>
            </w:r>
            <w:r w:rsidRPr="00A964FF">
              <w:rPr>
                <w:rFonts w:ascii="Calibri" w:hAnsi="Calibri" w:hint="eastAsia"/>
                <w:color w:val="auto"/>
                <w:szCs w:val="21"/>
              </w:rPr>
              <w:t>HW35</w:t>
            </w:r>
            <w:r w:rsidRPr="00A964FF">
              <w:rPr>
                <w:rFonts w:ascii="Calibri" w:hAnsi="Calibri" w:hint="eastAsia"/>
                <w:color w:val="auto"/>
                <w:szCs w:val="21"/>
              </w:rPr>
              <w:t>、</w:t>
            </w:r>
            <w:r w:rsidRPr="00A964FF">
              <w:rPr>
                <w:rFonts w:ascii="Calibri" w:hAnsi="Calibri" w:hint="eastAsia"/>
                <w:color w:val="auto"/>
                <w:szCs w:val="21"/>
              </w:rPr>
              <w:t>HW37</w:t>
            </w:r>
            <w:r w:rsidRPr="00A964FF">
              <w:rPr>
                <w:rFonts w:ascii="Calibri" w:hAnsi="Calibri" w:hint="eastAsia"/>
                <w:color w:val="auto"/>
                <w:szCs w:val="21"/>
              </w:rPr>
              <w:t>、</w:t>
            </w:r>
            <w:r w:rsidRPr="00A964FF">
              <w:rPr>
                <w:rFonts w:ascii="Calibri" w:hAnsi="Calibri" w:hint="eastAsia"/>
                <w:color w:val="auto"/>
                <w:szCs w:val="21"/>
              </w:rPr>
              <w:t>HW38</w:t>
            </w:r>
            <w:r w:rsidRPr="00A964FF">
              <w:rPr>
                <w:rFonts w:ascii="Calibri" w:hAnsi="Calibri" w:hint="eastAsia"/>
                <w:color w:val="auto"/>
                <w:szCs w:val="21"/>
              </w:rPr>
              <w:t>、</w:t>
            </w:r>
            <w:r w:rsidRPr="00A964FF">
              <w:rPr>
                <w:rFonts w:ascii="Calibri" w:hAnsi="Calibri" w:hint="eastAsia"/>
                <w:color w:val="auto"/>
                <w:szCs w:val="21"/>
              </w:rPr>
              <w:t>HW39</w:t>
            </w:r>
            <w:r w:rsidRPr="00A964FF">
              <w:rPr>
                <w:rFonts w:ascii="Calibri" w:hAnsi="Calibri" w:hint="eastAsia"/>
                <w:color w:val="auto"/>
                <w:szCs w:val="21"/>
              </w:rPr>
              <w:t>、</w:t>
            </w:r>
            <w:r w:rsidRPr="00A964FF">
              <w:rPr>
                <w:rFonts w:ascii="Calibri" w:hAnsi="Calibri" w:hint="eastAsia"/>
                <w:color w:val="auto"/>
                <w:szCs w:val="21"/>
              </w:rPr>
              <w:t>HW40</w:t>
            </w:r>
            <w:r w:rsidRPr="00A964FF">
              <w:rPr>
                <w:rFonts w:ascii="Calibri" w:hAnsi="Calibri" w:hint="eastAsia"/>
                <w:color w:val="auto"/>
                <w:szCs w:val="21"/>
              </w:rPr>
              <w:t>、</w:t>
            </w:r>
            <w:r w:rsidRPr="00A964FF">
              <w:rPr>
                <w:rFonts w:ascii="Calibri" w:hAnsi="Calibri" w:hint="eastAsia"/>
                <w:color w:val="auto"/>
                <w:szCs w:val="21"/>
              </w:rPr>
              <w:t>HW47</w:t>
            </w:r>
            <w:r w:rsidRPr="00A964FF">
              <w:rPr>
                <w:rFonts w:ascii="Calibri" w:hAnsi="Calibri" w:hint="eastAsia"/>
                <w:color w:val="auto"/>
                <w:szCs w:val="21"/>
              </w:rPr>
              <w:t>、</w:t>
            </w:r>
            <w:r w:rsidRPr="00A964FF">
              <w:rPr>
                <w:rFonts w:ascii="Calibri" w:hAnsi="Calibri" w:hint="eastAsia"/>
                <w:color w:val="auto"/>
                <w:szCs w:val="21"/>
              </w:rPr>
              <w:t>HW49</w:t>
            </w:r>
            <w:r w:rsidRPr="00A964FF">
              <w:rPr>
                <w:rFonts w:ascii="Calibri" w:hAnsi="Calibri" w:hint="eastAsia"/>
                <w:color w:val="auto"/>
                <w:szCs w:val="21"/>
              </w:rPr>
              <w:t>、</w:t>
            </w:r>
            <w:r w:rsidRPr="00A964FF">
              <w:rPr>
                <w:rFonts w:ascii="Calibri" w:hAnsi="Calibri" w:hint="eastAsia"/>
                <w:color w:val="auto"/>
                <w:szCs w:val="21"/>
              </w:rPr>
              <w:t>HW50</w:t>
            </w:r>
          </w:p>
        </w:tc>
        <w:tc>
          <w:tcPr>
            <w:tcW w:w="640" w:type="pct"/>
            <w:tcMar>
              <w:left w:w="28" w:type="dxa"/>
              <w:right w:w="28" w:type="dxa"/>
            </w:tcMar>
            <w:vAlign w:val="center"/>
          </w:tcPr>
          <w:p w14:paraId="53D00B01" w14:textId="77777777" w:rsidR="00CA7D8F" w:rsidRPr="00A964FF" w:rsidRDefault="00CA7D8F" w:rsidP="0068315A">
            <w:pPr>
              <w:jc w:val="center"/>
              <w:rPr>
                <w:rFonts w:ascii="Calibri" w:hAnsi="Calibri"/>
                <w:color w:val="auto"/>
                <w:szCs w:val="21"/>
              </w:rPr>
            </w:pPr>
            <w:r w:rsidRPr="00A964FF">
              <w:rPr>
                <w:rFonts w:ascii="Calibri" w:hAnsi="Calibri" w:hint="eastAsia"/>
                <w:color w:val="auto"/>
                <w:szCs w:val="21"/>
              </w:rPr>
              <w:t>30000t/a</w:t>
            </w:r>
          </w:p>
        </w:tc>
        <w:tc>
          <w:tcPr>
            <w:tcW w:w="427" w:type="pct"/>
            <w:vAlign w:val="center"/>
          </w:tcPr>
          <w:p w14:paraId="6F430259" w14:textId="77777777" w:rsidR="00CA7D8F" w:rsidRPr="00A964FF" w:rsidRDefault="00CA7D8F" w:rsidP="0080400E">
            <w:pPr>
              <w:jc w:val="center"/>
              <w:rPr>
                <w:rFonts w:ascii="Calibri" w:hAnsi="Calibri"/>
                <w:color w:val="auto"/>
                <w:szCs w:val="21"/>
              </w:rPr>
            </w:pPr>
            <w:r w:rsidRPr="00A964FF">
              <w:rPr>
                <w:rFonts w:ascii="Calibri" w:hAnsi="Calibri"/>
                <w:color w:val="auto"/>
                <w:szCs w:val="21"/>
              </w:rPr>
              <w:t>2024.08.20</w:t>
            </w:r>
          </w:p>
        </w:tc>
      </w:tr>
    </w:tbl>
    <w:p w14:paraId="2B31B01D" w14:textId="77777777" w:rsidR="00CD358F" w:rsidRPr="00A964FF" w:rsidRDefault="00CD358F" w:rsidP="00F94889">
      <w:pPr>
        <w:spacing w:line="500" w:lineRule="exact"/>
        <w:ind w:firstLineChars="200" w:firstLine="480"/>
        <w:rPr>
          <w:color w:val="auto"/>
          <w:sz w:val="24"/>
        </w:rPr>
      </w:pPr>
      <w:r w:rsidRPr="00A964FF">
        <w:rPr>
          <w:rFonts w:ascii="Calibri"/>
          <w:color w:val="auto"/>
          <w:sz w:val="24"/>
        </w:rPr>
        <w:t>上表仅为建议，供建设单位在选择危险废物处置单位进行参考，非强制要求，建设单位可自行委托具备有相应资质的单位安全处置。</w:t>
      </w:r>
      <w:r w:rsidR="00F94889" w:rsidRPr="00A964FF">
        <w:rPr>
          <w:rFonts w:ascii="Calibri" w:hint="eastAsia"/>
          <w:color w:val="auto"/>
          <w:sz w:val="24"/>
        </w:rPr>
        <w:t>企业营运后</w:t>
      </w:r>
      <w:r w:rsidRPr="00A964FF">
        <w:rPr>
          <w:rFonts w:hint="eastAsia"/>
          <w:color w:val="auto"/>
          <w:sz w:val="24"/>
        </w:rPr>
        <w:t>严格采取以上措施，</w:t>
      </w:r>
      <w:r w:rsidR="00F94889" w:rsidRPr="00A964FF">
        <w:rPr>
          <w:rFonts w:hint="eastAsia"/>
          <w:color w:val="auto"/>
          <w:sz w:val="24"/>
        </w:rPr>
        <w:t>危险固废</w:t>
      </w:r>
      <w:r w:rsidRPr="00A964FF">
        <w:rPr>
          <w:rFonts w:hint="eastAsia"/>
          <w:color w:val="auto"/>
          <w:sz w:val="24"/>
        </w:rPr>
        <w:t>能得到合理的处理处置，不会对环境产生危害，措施可行。</w:t>
      </w:r>
    </w:p>
    <w:p w14:paraId="2C3E0035" w14:textId="77777777" w:rsidR="009F235D" w:rsidRPr="00964557" w:rsidRDefault="009F235D" w:rsidP="009F235D">
      <w:pPr>
        <w:pStyle w:val="ad"/>
        <w:ind w:firstLineChars="200" w:firstLine="480"/>
        <w:rPr>
          <w:rFonts w:ascii="Calibri" w:eastAsia="宋体" w:hAnsi="Calibri"/>
          <w:b w:val="0"/>
          <w:color w:val="auto"/>
          <w:sz w:val="24"/>
        </w:rPr>
      </w:pPr>
      <w:r w:rsidRPr="00964557">
        <w:rPr>
          <w:rFonts w:ascii="Calibri" w:eastAsia="宋体" w:hAnsi="Calibri" w:hint="eastAsia"/>
          <w:b w:val="0"/>
          <w:color w:val="auto"/>
          <w:sz w:val="24"/>
        </w:rPr>
        <w:t>本项目营运后一般工业固废处理设施投资</w:t>
      </w:r>
      <w:r w:rsidRPr="00964557">
        <w:rPr>
          <w:rFonts w:ascii="Calibri" w:eastAsia="宋体" w:hAnsi="Calibri"/>
          <w:b w:val="0"/>
          <w:color w:val="auto"/>
          <w:sz w:val="24"/>
        </w:rPr>
        <w:t>2</w:t>
      </w:r>
      <w:r w:rsidRPr="00964557">
        <w:rPr>
          <w:rFonts w:ascii="Calibri" w:eastAsia="宋体" w:hAnsi="Calibri" w:hint="eastAsia"/>
          <w:b w:val="0"/>
          <w:color w:val="auto"/>
          <w:sz w:val="24"/>
        </w:rPr>
        <w:t>万元，危险固废处置投资</w:t>
      </w:r>
      <w:r w:rsidRPr="00964557">
        <w:rPr>
          <w:rFonts w:ascii="Calibri" w:eastAsia="宋体" w:hAnsi="Calibri"/>
          <w:b w:val="0"/>
          <w:color w:val="auto"/>
          <w:sz w:val="24"/>
        </w:rPr>
        <w:t>5</w:t>
      </w:r>
      <w:r w:rsidRPr="00964557">
        <w:rPr>
          <w:rFonts w:ascii="Calibri" w:eastAsia="宋体" w:hAnsi="Calibri" w:hint="eastAsia"/>
          <w:b w:val="0"/>
          <w:color w:val="auto"/>
          <w:sz w:val="24"/>
        </w:rPr>
        <w:t>万元。项目固废处理处置投资经济可行。</w:t>
      </w:r>
    </w:p>
    <w:p w14:paraId="619AC985" w14:textId="77777777" w:rsidR="00CB6720" w:rsidRPr="00A964FF" w:rsidRDefault="00CB6720" w:rsidP="00CB6720">
      <w:pPr>
        <w:pStyle w:val="3a"/>
        <w:rPr>
          <w:rFonts w:eastAsia="宋体"/>
          <w:sz w:val="24"/>
        </w:rPr>
      </w:pPr>
      <w:r w:rsidRPr="00A964FF">
        <w:rPr>
          <w:rFonts w:hint="eastAsia"/>
        </w:rPr>
        <w:t>5</w:t>
      </w:r>
      <w:r w:rsidRPr="00A964FF">
        <w:t>.2.</w:t>
      </w:r>
      <w:r w:rsidRPr="00A964FF">
        <w:rPr>
          <w:rFonts w:hint="eastAsia"/>
        </w:rPr>
        <w:t>6</w:t>
      </w:r>
      <w:r w:rsidRPr="00A964FF">
        <w:rPr>
          <w:rFonts w:hint="eastAsia"/>
        </w:rPr>
        <w:t>生态恢复措施</w:t>
      </w:r>
    </w:p>
    <w:p w14:paraId="0A31CC1C"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t>绿化是改善生态环境的重要途径。绿化有许多特殊的环境功能，如调节温度及湿度、改良气候、净化空气、防风固沙、保持水土、降低环境噪声等，另外还可以美化环境，给人们创造一个舒适的工作、生活区域。根据绿化设计方案，本项目平均绿化率可达到</w:t>
      </w:r>
      <w:r w:rsidRPr="00A964FF">
        <w:rPr>
          <w:rFonts w:ascii="Calibri" w:hAnsi="Calibri" w:hint="eastAsia"/>
          <w:color w:val="auto"/>
          <w:sz w:val="24"/>
        </w:rPr>
        <w:t>15</w:t>
      </w:r>
      <w:r w:rsidRPr="00A964FF">
        <w:rPr>
          <w:rFonts w:ascii="Calibri" w:hAnsi="Calibri"/>
          <w:color w:val="auto"/>
          <w:sz w:val="24"/>
        </w:rPr>
        <w:t>%</w:t>
      </w:r>
      <w:r w:rsidRPr="00A964FF">
        <w:rPr>
          <w:rFonts w:ascii="Calibri" w:hAnsi="Calibri" w:hint="eastAsia"/>
          <w:color w:val="auto"/>
          <w:sz w:val="24"/>
        </w:rPr>
        <w:t>以上，厂区绿化植物的选择本着“因地制宜、适地适树、适地适草、因害设防”的原则，并符合下列要求：</w:t>
      </w:r>
    </w:p>
    <w:p w14:paraId="33700B04"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1</w:t>
      </w:r>
      <w:r w:rsidRPr="00A964FF">
        <w:rPr>
          <w:rFonts w:ascii="Calibri" w:hAnsi="Calibri" w:hint="eastAsia"/>
          <w:color w:val="auto"/>
          <w:sz w:val="24"/>
        </w:rPr>
        <w:t>）根据工艺装置、生产车间或设施的生产特点、污染状况和环保要求，选择相应的抗污、净化、减噪或滞尘力强的植物。</w:t>
      </w:r>
    </w:p>
    <w:p w14:paraId="6C635ECF"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2</w:t>
      </w:r>
      <w:r w:rsidRPr="00A964FF">
        <w:rPr>
          <w:rFonts w:ascii="Calibri" w:hAnsi="Calibri" w:hint="eastAsia"/>
          <w:color w:val="auto"/>
          <w:sz w:val="24"/>
        </w:rPr>
        <w:t>）根据美化环境的要求，选择观赏性植物。</w:t>
      </w:r>
    </w:p>
    <w:p w14:paraId="3B391A8B"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3</w:t>
      </w:r>
      <w:r w:rsidRPr="00A964FF">
        <w:rPr>
          <w:rFonts w:ascii="Calibri" w:hAnsi="Calibri" w:hint="eastAsia"/>
          <w:color w:val="auto"/>
          <w:sz w:val="24"/>
        </w:rPr>
        <w:t>）选择易于成活、病虫害少及养护管理方便的植物。</w:t>
      </w:r>
    </w:p>
    <w:p w14:paraId="18BC1D57"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lastRenderedPageBreak/>
        <w:t>（</w:t>
      </w:r>
      <w:r w:rsidRPr="00A964FF">
        <w:rPr>
          <w:rFonts w:ascii="Calibri" w:hAnsi="Calibri" w:hint="eastAsia"/>
          <w:color w:val="auto"/>
          <w:sz w:val="24"/>
        </w:rPr>
        <w:t>4</w:t>
      </w:r>
      <w:r w:rsidRPr="00A964FF">
        <w:rPr>
          <w:rFonts w:ascii="Calibri" w:hAnsi="Calibri" w:hint="eastAsia"/>
          <w:color w:val="auto"/>
          <w:sz w:val="24"/>
        </w:rPr>
        <w:t>）根据当地土壤、气候条件和植物习性，选择乡土植物和苗木来源可靠、产地近、价格适宜的植物。</w:t>
      </w:r>
    </w:p>
    <w:p w14:paraId="03BE5A17"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t>本项目生产区的绿化，应以净化空气、减少噪声污染、改善职工环境为主。施工时要严格划定施工区域，要严格按照施工图施工，不能扩大范围；对于土壤侵蚀严重地区，采用场地绿化措施；在生产区要结合各种生产设施的特点，种植常绿植物与落叶植物，乔木与灌木，速生植物与慢生植物等，形成浓密隔离林带，防止污染扩散。道路的绿化以种植行道树为主，间种常绿树，形成沿道路的绿化带；厂区</w:t>
      </w:r>
      <w:r w:rsidR="006B7119" w:rsidRPr="00A964FF">
        <w:rPr>
          <w:rFonts w:ascii="Calibri" w:hAnsi="Calibri" w:hint="eastAsia"/>
          <w:color w:val="auto"/>
          <w:sz w:val="24"/>
        </w:rPr>
        <w:t>内</w:t>
      </w:r>
      <w:r w:rsidRPr="00A964FF">
        <w:rPr>
          <w:rFonts w:ascii="Calibri" w:hAnsi="Calibri" w:hint="eastAsia"/>
          <w:color w:val="auto"/>
          <w:sz w:val="24"/>
        </w:rPr>
        <w:t>常绿树与落叶树搭配种植，辅之以灌木和绿地草坪，形成多层次的绿色屏障。尽量做到点、线、面相结合，乔、灌、草相结合，在发挥林草防护和观赏等综合功能的前提下，尽可能结合生成，做到既能防污、防害，又能美观好看，并能取得一定是实用价值。</w:t>
      </w:r>
    </w:p>
    <w:p w14:paraId="3892E2C6"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t>本项目位于</w:t>
      </w:r>
      <w:r w:rsidRPr="00A964FF">
        <w:rPr>
          <w:rFonts w:ascii="Calibri" w:hAnsi="宋体" w:hint="eastAsia"/>
          <w:color w:val="auto"/>
          <w:sz w:val="24"/>
        </w:rPr>
        <w:t>平顶山尼龙新材料产业集聚区</w:t>
      </w:r>
      <w:r w:rsidRPr="00A964FF">
        <w:rPr>
          <w:rFonts w:ascii="Calibri" w:hAnsi="Calibri" w:hint="eastAsia"/>
          <w:color w:val="auto"/>
          <w:sz w:val="24"/>
        </w:rPr>
        <w:t>，建议项目在绿化时宜选择一些抗</w:t>
      </w:r>
      <w:r w:rsidR="005F69D5" w:rsidRPr="00A964FF">
        <w:rPr>
          <w:rFonts w:ascii="Calibri" w:hAnsi="Calibri" w:hint="eastAsia"/>
          <w:color w:val="auto"/>
          <w:sz w:val="24"/>
        </w:rPr>
        <w:t>氨气、氯气、二氧化氮</w:t>
      </w:r>
      <w:r w:rsidRPr="00A964FF">
        <w:rPr>
          <w:rFonts w:ascii="Calibri" w:hAnsi="Calibri" w:hint="eastAsia"/>
          <w:color w:val="auto"/>
          <w:sz w:val="24"/>
        </w:rPr>
        <w:t>污染较强</w:t>
      </w:r>
      <w:r w:rsidR="005F69D5" w:rsidRPr="00A964FF">
        <w:rPr>
          <w:rFonts w:ascii="Calibri" w:hAnsi="Calibri" w:hint="eastAsia"/>
          <w:color w:val="auto"/>
          <w:sz w:val="24"/>
        </w:rPr>
        <w:t>且防火</w:t>
      </w:r>
      <w:r w:rsidRPr="00A964FF">
        <w:rPr>
          <w:rFonts w:ascii="Calibri" w:hAnsi="Calibri" w:hint="eastAsia"/>
          <w:color w:val="auto"/>
          <w:sz w:val="24"/>
        </w:rPr>
        <w:t>的树种，如</w:t>
      </w:r>
      <w:r w:rsidR="005F69D5" w:rsidRPr="00A964FF">
        <w:rPr>
          <w:rFonts w:ascii="Calibri" w:hAnsi="Calibri" w:hint="eastAsia"/>
          <w:color w:val="auto"/>
          <w:sz w:val="24"/>
        </w:rPr>
        <w:t>冬青、银杏、女贞、木槿、合欢、广玉兰、女贞、夹竹桃、栎树</w:t>
      </w:r>
      <w:r w:rsidRPr="00A964FF">
        <w:rPr>
          <w:rFonts w:ascii="Calibri" w:hAnsi="Calibri" w:hint="eastAsia"/>
          <w:color w:val="auto"/>
          <w:sz w:val="24"/>
        </w:rPr>
        <w:t>等，尽可能选择乡土种。建议项目营运后配置必要的绿化技术人员，以保证厂区绿化地带植物正常成长。</w:t>
      </w:r>
    </w:p>
    <w:p w14:paraId="7612852B" w14:textId="77777777" w:rsidR="00CB6720" w:rsidRPr="00A964FF" w:rsidRDefault="00CB6720" w:rsidP="00CB6720">
      <w:pPr>
        <w:spacing w:line="520" w:lineRule="exact"/>
        <w:ind w:firstLineChars="200" w:firstLine="480"/>
        <w:rPr>
          <w:rFonts w:ascii="Calibri" w:hAnsi="Calibri"/>
          <w:color w:val="auto"/>
          <w:sz w:val="24"/>
        </w:rPr>
      </w:pPr>
      <w:r w:rsidRPr="00A964FF">
        <w:rPr>
          <w:rFonts w:ascii="Calibri" w:hAnsi="Calibri" w:hint="eastAsia"/>
          <w:color w:val="auto"/>
          <w:sz w:val="24"/>
        </w:rPr>
        <w:t>本项目营运后建设单位应加强对绿化工作重要性的认识，配备专职人员对绿化工作进行管理，逐年增加绿化投资，以保证绿化工作的长期开展。</w:t>
      </w:r>
    </w:p>
    <w:p w14:paraId="3F8BA826" w14:textId="77777777" w:rsidR="006102C0" w:rsidRPr="00A964FF" w:rsidRDefault="006102C0" w:rsidP="006102C0">
      <w:pPr>
        <w:pStyle w:val="2"/>
        <w:spacing w:before="200" w:after="100"/>
        <w:rPr>
          <w:rFonts w:ascii="Calibri" w:hAnsi="Calibri"/>
          <w:bCs/>
          <w:color w:val="auto"/>
          <w:szCs w:val="28"/>
        </w:rPr>
      </w:pPr>
      <w:bookmarkStart w:id="78" w:name="_Toc112999922"/>
      <w:r w:rsidRPr="00A964FF">
        <w:rPr>
          <w:rFonts w:ascii="Calibri" w:hAnsi="Calibri" w:hint="eastAsia"/>
          <w:bCs/>
          <w:color w:val="auto"/>
          <w:szCs w:val="28"/>
        </w:rPr>
        <w:t>5.3</w:t>
      </w:r>
      <w:r w:rsidR="003729FE" w:rsidRPr="00A964FF">
        <w:rPr>
          <w:rFonts w:ascii="Calibri" w:hAnsi="Calibri" w:hint="eastAsia"/>
          <w:bCs/>
          <w:color w:val="auto"/>
          <w:szCs w:val="28"/>
        </w:rPr>
        <w:t>环境风险防范措施</w:t>
      </w:r>
      <w:bookmarkEnd w:id="78"/>
    </w:p>
    <w:p w14:paraId="6BBE9870" w14:textId="77777777" w:rsidR="00E62FFE" w:rsidRPr="00A964FF" w:rsidRDefault="00E62FFE" w:rsidP="00E62FFE">
      <w:pPr>
        <w:spacing w:line="520" w:lineRule="exact"/>
        <w:ind w:firstLine="482"/>
        <w:rPr>
          <w:color w:val="auto"/>
          <w:sz w:val="24"/>
        </w:rPr>
      </w:pPr>
      <w:r w:rsidRPr="00A964FF">
        <w:rPr>
          <w:color w:val="auto"/>
          <w:sz w:val="24"/>
        </w:rPr>
        <w:t>风险事故应通过严格的生产管理和技术手段予以杜绝，制定防范事故发生的工作计划、消除事故隐患的措施等，从源头上制止风险事故的发生；一旦发生事故，应通过应急措施与预案，尽量减轻事故影响程度。</w:t>
      </w:r>
    </w:p>
    <w:p w14:paraId="09EAEA57" w14:textId="77777777" w:rsidR="003729FE" w:rsidRPr="00A964FF" w:rsidRDefault="003729FE" w:rsidP="003729FE">
      <w:pPr>
        <w:pStyle w:val="3a"/>
      </w:pPr>
      <w:r w:rsidRPr="00A964FF">
        <w:rPr>
          <w:rFonts w:hint="eastAsia"/>
        </w:rPr>
        <w:t>5</w:t>
      </w:r>
      <w:r w:rsidRPr="00A964FF">
        <w:t>.</w:t>
      </w:r>
      <w:r w:rsidRPr="00A964FF">
        <w:rPr>
          <w:rFonts w:hint="eastAsia"/>
        </w:rPr>
        <w:t>3.1</w:t>
      </w:r>
      <w:r w:rsidRPr="00A964FF">
        <w:rPr>
          <w:rFonts w:hint="eastAsia"/>
        </w:rPr>
        <w:t>大气环境风险防范措施</w:t>
      </w:r>
    </w:p>
    <w:p w14:paraId="142CC394" w14:textId="77777777" w:rsidR="002D450F" w:rsidRPr="00033D71" w:rsidRDefault="002D450F" w:rsidP="002D450F">
      <w:pPr>
        <w:spacing w:line="520" w:lineRule="exact"/>
        <w:ind w:firstLineChars="200" w:firstLine="480"/>
        <w:rPr>
          <w:snapToGrid w:val="0"/>
          <w:kern w:val="0"/>
          <w:sz w:val="24"/>
        </w:rPr>
      </w:pPr>
      <w:r w:rsidRPr="00033D71">
        <w:rPr>
          <w:snapToGrid w:val="0"/>
          <w:kern w:val="0"/>
          <w:sz w:val="24"/>
        </w:rPr>
        <w:t>（</w:t>
      </w:r>
      <w:r w:rsidRPr="00033D71">
        <w:rPr>
          <w:rFonts w:hint="eastAsia"/>
          <w:snapToGrid w:val="0"/>
          <w:kern w:val="0"/>
          <w:sz w:val="24"/>
        </w:rPr>
        <w:t>1</w:t>
      </w:r>
      <w:r w:rsidRPr="00033D71">
        <w:rPr>
          <w:snapToGrid w:val="0"/>
          <w:kern w:val="0"/>
          <w:sz w:val="24"/>
        </w:rPr>
        <w:t>）</w:t>
      </w:r>
      <w:r w:rsidRPr="00033D71">
        <w:rPr>
          <w:sz w:val="24"/>
        </w:rPr>
        <w:t>天然气（甲烷）管道泄漏大气风险防范措施：</w:t>
      </w:r>
      <w:r w:rsidRPr="00033D71">
        <w:rPr>
          <w:snapToGrid w:val="0"/>
          <w:kern w:val="0"/>
          <w:sz w:val="24"/>
        </w:rPr>
        <w:t>一旦发生天然气泄漏事故，迅速撤离泄漏污染区人员至上风处，隔离距离设</w:t>
      </w:r>
      <w:r w:rsidRPr="00EA2872">
        <w:rPr>
          <w:rFonts w:asciiTheme="minorHAnsi" w:hAnsiTheme="minorHAnsi"/>
          <w:snapToGrid w:val="0"/>
          <w:kern w:val="0"/>
          <w:sz w:val="24"/>
        </w:rPr>
        <w:t>定为</w:t>
      </w:r>
      <w:r w:rsidRPr="00EA2872">
        <w:rPr>
          <w:rFonts w:asciiTheme="minorHAnsi" w:hAnsiTheme="minorHAnsi"/>
          <w:snapToGrid w:val="0"/>
          <w:kern w:val="0"/>
          <w:sz w:val="24"/>
        </w:rPr>
        <w:t>50</w:t>
      </w:r>
      <w:r w:rsidRPr="00EA2872">
        <w:rPr>
          <w:rFonts w:asciiTheme="minorHAnsi" w:hAnsiTheme="minorHAnsi"/>
          <w:snapToGrid w:val="0"/>
          <w:kern w:val="0"/>
          <w:sz w:val="24"/>
        </w:rPr>
        <w:t>米，严格</w:t>
      </w:r>
      <w:r w:rsidRPr="00033D71">
        <w:rPr>
          <w:snapToGrid w:val="0"/>
          <w:kern w:val="0"/>
          <w:sz w:val="24"/>
        </w:rPr>
        <w:t>限制出入；建议应急处理人员戴自给正压式呼吸器，穿防护服，从上风处进入现场，尽可能切断泄漏源；构筑围堤或挖坑收容产生的大量废水；合理通风，加速扩散。</w:t>
      </w:r>
    </w:p>
    <w:p w14:paraId="1457D28B" w14:textId="77777777" w:rsidR="002D450F" w:rsidRDefault="002D450F" w:rsidP="002D450F">
      <w:pPr>
        <w:spacing w:line="520" w:lineRule="exact"/>
        <w:ind w:firstLineChars="200" w:firstLine="480"/>
        <w:rPr>
          <w:snapToGrid w:val="0"/>
          <w:kern w:val="0"/>
          <w:sz w:val="24"/>
        </w:rPr>
      </w:pPr>
      <w:r w:rsidRPr="00033D71">
        <w:rPr>
          <w:snapToGrid w:val="0"/>
          <w:kern w:val="0"/>
          <w:sz w:val="24"/>
        </w:rPr>
        <w:t>由于天然气属易燃性物质，因此在发生泄漏时，需在现场施放大量水蒸气，破坏</w:t>
      </w:r>
      <w:r w:rsidRPr="00033D71">
        <w:rPr>
          <w:snapToGrid w:val="0"/>
          <w:kern w:val="0"/>
          <w:sz w:val="24"/>
        </w:rPr>
        <w:lastRenderedPageBreak/>
        <w:t>燃烧条件，防止其发生火灾。</w:t>
      </w:r>
    </w:p>
    <w:p w14:paraId="0834E6CE" w14:textId="467BEC6D" w:rsidR="002D450F" w:rsidRPr="00F33A6D" w:rsidRDefault="002D450F" w:rsidP="00F33A6D">
      <w:pPr>
        <w:spacing w:line="520" w:lineRule="exact"/>
        <w:ind w:firstLineChars="200" w:firstLine="480"/>
        <w:rPr>
          <w:rFonts w:asciiTheme="minorHAnsi" w:hAnsiTheme="minorHAnsi"/>
          <w:sz w:val="24"/>
        </w:rPr>
      </w:pPr>
      <w:r w:rsidRPr="002D450F">
        <w:rPr>
          <w:rFonts w:asciiTheme="minorHAnsi" w:hAnsiTheme="minorHAnsi"/>
          <w:snapToGrid w:val="0"/>
          <w:kern w:val="0"/>
          <w:sz w:val="24"/>
        </w:rPr>
        <w:t>（</w:t>
      </w:r>
      <w:r w:rsidRPr="002D450F">
        <w:rPr>
          <w:rFonts w:asciiTheme="minorHAnsi" w:hAnsiTheme="minorHAnsi"/>
          <w:snapToGrid w:val="0"/>
          <w:kern w:val="0"/>
          <w:sz w:val="24"/>
        </w:rPr>
        <w:t>2</w:t>
      </w:r>
      <w:r w:rsidRPr="002D450F">
        <w:rPr>
          <w:rFonts w:asciiTheme="minorHAnsi" w:hAnsiTheme="minorHAnsi"/>
          <w:snapToGrid w:val="0"/>
          <w:kern w:val="0"/>
          <w:sz w:val="24"/>
        </w:rPr>
        <w:t>）</w:t>
      </w:r>
      <w:r w:rsidR="0075760C" w:rsidRPr="0075760C">
        <w:rPr>
          <w:rFonts w:asciiTheme="minorHAnsi" w:hAnsiTheme="minorHAnsi" w:hint="eastAsia"/>
          <w:snapToGrid w:val="0"/>
          <w:kern w:val="0"/>
          <w:sz w:val="24"/>
        </w:rPr>
        <w:t>水喷淋</w:t>
      </w:r>
      <w:r w:rsidR="0075760C" w:rsidRPr="0075760C">
        <w:rPr>
          <w:rFonts w:asciiTheme="minorHAnsi" w:hAnsiTheme="minorHAnsi" w:hint="eastAsia"/>
          <w:snapToGrid w:val="0"/>
          <w:kern w:val="0"/>
          <w:sz w:val="24"/>
        </w:rPr>
        <w:t>+</w:t>
      </w:r>
      <w:r w:rsidR="0075760C" w:rsidRPr="0075760C">
        <w:rPr>
          <w:rFonts w:asciiTheme="minorHAnsi" w:hAnsiTheme="minorHAnsi" w:hint="eastAsia"/>
          <w:snapToGrid w:val="0"/>
          <w:kern w:val="0"/>
          <w:sz w:val="24"/>
        </w:rPr>
        <w:t>活性炭吸附装置</w:t>
      </w:r>
      <w:r w:rsidRPr="002D450F">
        <w:rPr>
          <w:rFonts w:asciiTheme="minorHAnsi" w:hAnsiTheme="minorHAnsi"/>
          <w:snapToGrid w:val="0"/>
          <w:kern w:val="0"/>
          <w:sz w:val="24"/>
        </w:rPr>
        <w:t>非正常排放</w:t>
      </w:r>
      <w:r w:rsidRPr="002D450F">
        <w:rPr>
          <w:rFonts w:asciiTheme="minorHAnsi" w:hAnsiTheme="minorHAnsi"/>
          <w:sz w:val="24"/>
        </w:rPr>
        <w:t>大气风险防范措施：营运期严格按照操作规定进行废气处理，定期对治污设施进行检查，以杜绝污染物治理设施故障的发生，同时要求企业设计事故应急处理方案，将非正常排放工况控制在</w:t>
      </w:r>
      <w:r w:rsidRPr="002D450F">
        <w:rPr>
          <w:rFonts w:asciiTheme="minorHAnsi" w:hAnsiTheme="minorHAnsi"/>
          <w:sz w:val="24"/>
        </w:rPr>
        <w:t>10-30</w:t>
      </w:r>
      <w:r w:rsidRPr="002D450F">
        <w:rPr>
          <w:rFonts w:asciiTheme="minorHAnsi" w:hAnsiTheme="minorHAnsi"/>
          <w:sz w:val="24"/>
        </w:rPr>
        <w:t>分钟，一旦发生治污设施故障、突然断电等应急状况，立即维修，启动备用电源装置，将非正常时长控制在最短时间，以减少对周围地区环境空气质量造成的影响</w:t>
      </w:r>
      <w:r w:rsidRPr="002D450F">
        <w:rPr>
          <w:rFonts w:asciiTheme="minorHAnsi" w:hAnsiTheme="minorHAnsi"/>
          <w:snapToGrid w:val="0"/>
          <w:sz w:val="24"/>
        </w:rPr>
        <w:t>。</w:t>
      </w:r>
    </w:p>
    <w:p w14:paraId="70872B2C" w14:textId="77777777" w:rsidR="00F33A6D" w:rsidRPr="00F33A6D" w:rsidRDefault="00432793" w:rsidP="00F33A6D">
      <w:pPr>
        <w:pStyle w:val="3a"/>
      </w:pPr>
      <w:r w:rsidRPr="00A964FF">
        <w:rPr>
          <w:rFonts w:hint="eastAsia"/>
        </w:rPr>
        <w:t>5</w:t>
      </w:r>
      <w:r w:rsidRPr="00A964FF">
        <w:t>.</w:t>
      </w:r>
      <w:r w:rsidRPr="00A964FF">
        <w:rPr>
          <w:rFonts w:hint="eastAsia"/>
        </w:rPr>
        <w:t>3</w:t>
      </w:r>
      <w:r w:rsidRPr="00A964FF">
        <w:t>.</w:t>
      </w:r>
      <w:r w:rsidRPr="00A964FF">
        <w:rPr>
          <w:rFonts w:hint="eastAsia"/>
        </w:rPr>
        <w:t>2</w:t>
      </w:r>
      <w:r w:rsidRPr="00A964FF">
        <w:rPr>
          <w:rFonts w:hint="eastAsia"/>
        </w:rPr>
        <w:t>地表水风险防范措施</w:t>
      </w:r>
    </w:p>
    <w:p w14:paraId="0C903BFC" w14:textId="77777777" w:rsidR="0058773E" w:rsidRPr="00A964FF" w:rsidRDefault="0058773E" w:rsidP="00D055EC">
      <w:pPr>
        <w:spacing w:line="520" w:lineRule="exact"/>
        <w:ind w:firstLine="482"/>
        <w:rPr>
          <w:rFonts w:ascii="Calibri" w:hAnsi="Calibri"/>
          <w:b/>
          <w:color w:val="auto"/>
          <w:sz w:val="24"/>
        </w:rPr>
      </w:pPr>
      <w:r w:rsidRPr="00A964FF">
        <w:rPr>
          <w:rFonts w:ascii="Calibri" w:hAnsi="Calibri" w:hint="eastAsia"/>
          <w:b/>
          <w:color w:val="auto"/>
          <w:sz w:val="24"/>
        </w:rPr>
        <w:t>1</w:t>
      </w:r>
      <w:r w:rsidRPr="00A964FF">
        <w:rPr>
          <w:rFonts w:ascii="Calibri" w:hAnsi="Calibri" w:hint="eastAsia"/>
          <w:b/>
          <w:color w:val="auto"/>
          <w:sz w:val="24"/>
        </w:rPr>
        <w:t>、事故池设定</w:t>
      </w:r>
    </w:p>
    <w:p w14:paraId="1459F5E9" w14:textId="77777777" w:rsidR="0058773E" w:rsidRPr="00A964FF" w:rsidRDefault="0058773E" w:rsidP="0058773E">
      <w:pPr>
        <w:spacing w:line="520" w:lineRule="exact"/>
        <w:ind w:firstLineChars="200" w:firstLine="480"/>
        <w:rPr>
          <w:rFonts w:ascii="Calibri"/>
          <w:color w:val="auto"/>
          <w:sz w:val="24"/>
        </w:rPr>
      </w:pPr>
      <w:r w:rsidRPr="00A964FF">
        <w:rPr>
          <w:rFonts w:ascii="Calibri" w:hint="eastAsia"/>
          <w:color w:val="auto"/>
          <w:sz w:val="24"/>
        </w:rPr>
        <w:t>（</w:t>
      </w:r>
      <w:r w:rsidRPr="00A964FF">
        <w:rPr>
          <w:rFonts w:ascii="Calibri" w:hint="eastAsia"/>
          <w:color w:val="auto"/>
          <w:sz w:val="24"/>
        </w:rPr>
        <w:t>1</w:t>
      </w:r>
      <w:r w:rsidRPr="00A964FF">
        <w:rPr>
          <w:rFonts w:ascii="Calibri" w:hint="eastAsia"/>
          <w:color w:val="auto"/>
          <w:sz w:val="24"/>
        </w:rPr>
        <w:t>）核定事故池容积</w:t>
      </w:r>
    </w:p>
    <w:p w14:paraId="5A3BAA6F" w14:textId="77777777" w:rsidR="0058773E" w:rsidRPr="00A964FF" w:rsidRDefault="0058773E" w:rsidP="0058773E">
      <w:pPr>
        <w:pStyle w:val="00"/>
        <w:rPr>
          <w:rFonts w:ascii="Calibri"/>
          <w:color w:val="auto"/>
        </w:rPr>
      </w:pPr>
      <w:r w:rsidRPr="00A964FF">
        <w:rPr>
          <w:rFonts w:ascii="Calibri" w:hint="eastAsia"/>
          <w:color w:val="auto"/>
        </w:rPr>
        <w:t>本项目设置独立的事故池，消防废水以及事故废水均接入事故池，然后根据检测情况进行合理处理，严禁废水超标外排或不予处理直接排放。</w:t>
      </w:r>
    </w:p>
    <w:p w14:paraId="3E064668" w14:textId="77777777" w:rsidR="0058773E" w:rsidRPr="00A964FF" w:rsidRDefault="0058773E" w:rsidP="0058773E">
      <w:pPr>
        <w:pStyle w:val="00"/>
        <w:rPr>
          <w:rFonts w:ascii="Calibri" w:hAnsi="Calibri"/>
          <w:color w:val="auto"/>
        </w:rPr>
      </w:pPr>
      <w:r w:rsidRPr="00A964FF">
        <w:rPr>
          <w:rFonts w:ascii="Calibri"/>
          <w:color w:val="auto"/>
        </w:rPr>
        <w:t>参考《关于印</w:t>
      </w:r>
      <w:r w:rsidRPr="00A964FF">
        <w:rPr>
          <w:rFonts w:ascii="宋体"/>
          <w:color w:val="auto"/>
        </w:rPr>
        <w:t>发“水体污染防控紧急措施设计导则”的</w:t>
      </w:r>
      <w:r w:rsidRPr="00A964FF">
        <w:rPr>
          <w:rFonts w:ascii="Calibri"/>
          <w:color w:val="auto"/>
        </w:rPr>
        <w:t>通知》（中国石化建标【</w:t>
      </w:r>
      <w:r w:rsidRPr="00A964FF">
        <w:rPr>
          <w:rFonts w:ascii="Calibri" w:hAnsi="Calibri"/>
          <w:color w:val="auto"/>
        </w:rPr>
        <w:t>2006</w:t>
      </w:r>
      <w:r w:rsidRPr="00A964FF">
        <w:rPr>
          <w:rFonts w:ascii="Calibri"/>
          <w:color w:val="auto"/>
        </w:rPr>
        <w:t>】</w:t>
      </w:r>
      <w:r w:rsidRPr="00A964FF">
        <w:rPr>
          <w:rFonts w:ascii="Calibri" w:hAnsi="Calibri"/>
          <w:color w:val="auto"/>
        </w:rPr>
        <w:t>43</w:t>
      </w:r>
      <w:r w:rsidRPr="00A964FF">
        <w:rPr>
          <w:rFonts w:ascii="Calibri"/>
          <w:color w:val="auto"/>
        </w:rPr>
        <w:t>号）中相关要求，事故池有效容积计算：</w:t>
      </w:r>
    </w:p>
    <w:p w14:paraId="11C7D4B5" w14:textId="77777777" w:rsidR="0058773E" w:rsidRPr="00A964FF" w:rsidRDefault="0058773E" w:rsidP="0058773E">
      <w:pPr>
        <w:pStyle w:val="00"/>
        <w:ind w:firstLineChars="500" w:firstLine="1200"/>
        <w:rPr>
          <w:rFonts w:ascii="Calibri" w:hAnsi="Calibri"/>
          <w:color w:val="auto"/>
        </w:rPr>
      </w:pPr>
      <w:r w:rsidRPr="00A964FF">
        <w:rPr>
          <w:rFonts w:ascii="Calibri" w:hAnsi="Calibri"/>
          <w:color w:val="auto"/>
        </w:rPr>
        <w:t>V</w:t>
      </w:r>
      <w:r w:rsidRPr="00A964FF">
        <w:rPr>
          <w:rFonts w:ascii="Calibri"/>
          <w:color w:val="auto"/>
          <w:vertAlign w:val="subscript"/>
        </w:rPr>
        <w:t>总</w:t>
      </w:r>
      <w:r w:rsidRPr="00A964FF">
        <w:rPr>
          <w:rFonts w:ascii="Calibri" w:hAnsi="Calibri"/>
          <w:color w:val="auto"/>
        </w:rPr>
        <w:t>=</w:t>
      </w:r>
      <w:r w:rsidRPr="00A964FF">
        <w:rPr>
          <w:rFonts w:ascii="Calibri"/>
          <w:color w:val="auto"/>
        </w:rPr>
        <w:t>（</w:t>
      </w:r>
      <w:r w:rsidRPr="00A964FF">
        <w:rPr>
          <w:rFonts w:ascii="Calibri" w:hAnsi="Calibri"/>
          <w:color w:val="auto"/>
        </w:rPr>
        <w:t>V</w:t>
      </w:r>
      <w:r w:rsidRPr="00A964FF">
        <w:rPr>
          <w:rFonts w:ascii="Calibri" w:hAnsi="Calibri"/>
          <w:color w:val="auto"/>
          <w:vertAlign w:val="subscript"/>
        </w:rPr>
        <w:t>1</w:t>
      </w:r>
      <w:r w:rsidRPr="00A964FF">
        <w:rPr>
          <w:rFonts w:ascii="Calibri" w:hAnsi="Calibri"/>
          <w:color w:val="auto"/>
        </w:rPr>
        <w:t>+V</w:t>
      </w:r>
      <w:r w:rsidRPr="00A964FF">
        <w:rPr>
          <w:rFonts w:ascii="Calibri" w:hAnsi="Calibri"/>
          <w:color w:val="auto"/>
          <w:vertAlign w:val="subscript"/>
        </w:rPr>
        <w:t>2</w:t>
      </w:r>
      <w:r w:rsidRPr="00A964FF">
        <w:rPr>
          <w:rFonts w:ascii="Calibri" w:hAnsi="Calibri"/>
          <w:color w:val="auto"/>
        </w:rPr>
        <w:t>-V</w:t>
      </w:r>
      <w:r w:rsidRPr="00A964FF">
        <w:rPr>
          <w:rFonts w:ascii="Calibri" w:hAnsi="Calibri"/>
          <w:color w:val="auto"/>
          <w:vertAlign w:val="subscript"/>
        </w:rPr>
        <w:t>3</w:t>
      </w:r>
      <w:r w:rsidRPr="00A964FF">
        <w:rPr>
          <w:rFonts w:ascii="Calibri"/>
          <w:color w:val="auto"/>
        </w:rPr>
        <w:t>）</w:t>
      </w:r>
      <w:r w:rsidRPr="00A964FF">
        <w:rPr>
          <w:rFonts w:ascii="Calibri" w:hAnsi="Calibri"/>
          <w:color w:val="auto"/>
        </w:rPr>
        <w:t>max+V</w:t>
      </w:r>
      <w:r w:rsidRPr="00A964FF">
        <w:rPr>
          <w:rFonts w:ascii="Calibri" w:hAnsi="Calibri"/>
          <w:color w:val="auto"/>
          <w:vertAlign w:val="subscript"/>
        </w:rPr>
        <w:t>4</w:t>
      </w:r>
      <w:r w:rsidRPr="00A964FF">
        <w:rPr>
          <w:rFonts w:ascii="Calibri" w:hAnsi="Calibri"/>
          <w:color w:val="auto"/>
        </w:rPr>
        <w:t>+V</w:t>
      </w:r>
      <w:r w:rsidRPr="00A964FF">
        <w:rPr>
          <w:rFonts w:ascii="Calibri" w:hAnsi="Calibri"/>
          <w:color w:val="auto"/>
          <w:vertAlign w:val="subscript"/>
        </w:rPr>
        <w:t>5</w:t>
      </w:r>
    </w:p>
    <w:p w14:paraId="3A37DDD3" w14:textId="77777777" w:rsidR="0058773E" w:rsidRPr="00A964FF" w:rsidRDefault="0058773E" w:rsidP="0058773E">
      <w:pPr>
        <w:pStyle w:val="00"/>
        <w:rPr>
          <w:rFonts w:ascii="Calibri" w:hAnsi="Calibri"/>
          <w:color w:val="auto"/>
        </w:rPr>
      </w:pPr>
      <w:r w:rsidRPr="00A964FF">
        <w:rPr>
          <w:rFonts w:ascii="Calibri"/>
          <w:color w:val="auto"/>
        </w:rPr>
        <w:t>式中：（</w:t>
      </w:r>
      <w:r w:rsidRPr="00A964FF">
        <w:rPr>
          <w:rFonts w:ascii="Calibri" w:hAnsi="Calibri"/>
          <w:color w:val="auto"/>
        </w:rPr>
        <w:t>V</w:t>
      </w:r>
      <w:r w:rsidRPr="00A964FF">
        <w:rPr>
          <w:rFonts w:ascii="Calibri" w:hAnsi="Calibri"/>
          <w:color w:val="auto"/>
          <w:vertAlign w:val="subscript"/>
        </w:rPr>
        <w:t>1</w:t>
      </w:r>
      <w:r w:rsidRPr="00A964FF">
        <w:rPr>
          <w:rFonts w:ascii="Calibri" w:hAnsi="Calibri"/>
          <w:color w:val="auto"/>
        </w:rPr>
        <w:t>+V</w:t>
      </w:r>
      <w:r w:rsidRPr="00A964FF">
        <w:rPr>
          <w:rFonts w:ascii="Calibri" w:hAnsi="Calibri"/>
          <w:color w:val="auto"/>
          <w:vertAlign w:val="subscript"/>
        </w:rPr>
        <w:t>2</w:t>
      </w:r>
      <w:r w:rsidRPr="00A964FF">
        <w:rPr>
          <w:rFonts w:ascii="Calibri" w:hAnsi="Calibri"/>
          <w:color w:val="auto"/>
        </w:rPr>
        <w:t>-V</w:t>
      </w:r>
      <w:r w:rsidRPr="00A964FF">
        <w:rPr>
          <w:rFonts w:ascii="Calibri" w:hAnsi="Calibri"/>
          <w:color w:val="auto"/>
          <w:vertAlign w:val="subscript"/>
        </w:rPr>
        <w:t>3</w:t>
      </w:r>
      <w:r w:rsidRPr="00A964FF">
        <w:rPr>
          <w:rFonts w:ascii="Calibri"/>
          <w:color w:val="auto"/>
        </w:rPr>
        <w:t>）</w:t>
      </w:r>
      <w:r w:rsidRPr="00A964FF">
        <w:rPr>
          <w:rFonts w:ascii="Calibri" w:hAnsi="Calibri"/>
          <w:color w:val="auto"/>
        </w:rPr>
        <w:t>max</w:t>
      </w:r>
      <w:r w:rsidRPr="00A964FF">
        <w:rPr>
          <w:rFonts w:ascii="Calibri"/>
          <w:color w:val="auto"/>
        </w:rPr>
        <w:t>是指对收集系统范围内不同罐组或装置分别计算</w:t>
      </w:r>
      <w:r w:rsidRPr="00A964FF">
        <w:rPr>
          <w:rFonts w:ascii="Calibri" w:hAnsi="Calibri"/>
          <w:color w:val="auto"/>
        </w:rPr>
        <w:t>V</w:t>
      </w:r>
      <w:r w:rsidRPr="00A964FF">
        <w:rPr>
          <w:rFonts w:ascii="Calibri" w:hAnsi="Calibri"/>
          <w:color w:val="auto"/>
          <w:vertAlign w:val="subscript"/>
        </w:rPr>
        <w:t>1</w:t>
      </w:r>
      <w:r w:rsidRPr="00A964FF">
        <w:rPr>
          <w:rFonts w:ascii="Calibri" w:hAnsi="Calibri"/>
          <w:color w:val="auto"/>
        </w:rPr>
        <w:t>+V</w:t>
      </w:r>
      <w:r w:rsidRPr="00A964FF">
        <w:rPr>
          <w:rFonts w:ascii="Calibri" w:hAnsi="Calibri"/>
          <w:color w:val="auto"/>
          <w:vertAlign w:val="subscript"/>
        </w:rPr>
        <w:t>2</w:t>
      </w:r>
      <w:r w:rsidRPr="00A964FF">
        <w:rPr>
          <w:rFonts w:ascii="Calibri" w:hAnsi="Calibri"/>
          <w:color w:val="auto"/>
        </w:rPr>
        <w:t>-V</w:t>
      </w:r>
      <w:r w:rsidRPr="00A964FF">
        <w:rPr>
          <w:rFonts w:ascii="Calibri" w:hAnsi="Calibri"/>
          <w:color w:val="auto"/>
          <w:vertAlign w:val="subscript"/>
        </w:rPr>
        <w:t>3</w:t>
      </w:r>
      <w:r w:rsidRPr="00A964FF">
        <w:rPr>
          <w:rFonts w:ascii="Calibri"/>
          <w:color w:val="auto"/>
        </w:rPr>
        <w:t>，取其中最大值；</w:t>
      </w:r>
    </w:p>
    <w:p w14:paraId="0C45B8BA" w14:textId="77777777" w:rsidR="0058773E" w:rsidRPr="00A964FF" w:rsidRDefault="0058773E" w:rsidP="0058773E">
      <w:pPr>
        <w:pStyle w:val="00"/>
        <w:ind w:firstLineChars="500" w:firstLine="1200"/>
        <w:rPr>
          <w:rFonts w:ascii="Calibri" w:hAnsi="Calibri"/>
          <w:color w:val="auto"/>
        </w:rPr>
      </w:pPr>
      <w:r w:rsidRPr="00A964FF">
        <w:rPr>
          <w:rFonts w:ascii="Calibri" w:hAnsi="Calibri"/>
          <w:color w:val="auto"/>
        </w:rPr>
        <w:t>V1——</w:t>
      </w:r>
      <w:r w:rsidRPr="00A964FF">
        <w:rPr>
          <w:rFonts w:ascii="Calibri"/>
          <w:color w:val="auto"/>
        </w:rPr>
        <w:t>收集系统范围内发生事故的一个罐组或一套装置的物料量。储存相同物料的罐组按一个最大储罐计，装置物料量按存留最大物料量的一台反应器或中间储罐计，</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w:t>
      </w:r>
    </w:p>
    <w:p w14:paraId="69CC7F93" w14:textId="77777777" w:rsidR="0058773E" w:rsidRPr="00A964FF" w:rsidRDefault="0058773E" w:rsidP="0058773E">
      <w:pPr>
        <w:pStyle w:val="00"/>
        <w:ind w:firstLineChars="500" w:firstLine="1200"/>
        <w:rPr>
          <w:rFonts w:ascii="Calibri" w:hAnsi="Calibri"/>
          <w:color w:val="auto"/>
        </w:rPr>
      </w:pPr>
      <w:r w:rsidRPr="00A964FF">
        <w:rPr>
          <w:rFonts w:ascii="Calibri" w:hAnsi="Calibri"/>
          <w:color w:val="auto"/>
        </w:rPr>
        <w:t>V</w:t>
      </w:r>
      <w:r w:rsidRPr="00A964FF">
        <w:rPr>
          <w:rFonts w:ascii="Calibri" w:hAnsi="Calibri"/>
          <w:color w:val="auto"/>
          <w:vertAlign w:val="subscript"/>
        </w:rPr>
        <w:t>2</w:t>
      </w:r>
      <w:r w:rsidRPr="00A964FF">
        <w:rPr>
          <w:rFonts w:ascii="Calibri" w:hAnsi="Calibri"/>
          <w:color w:val="auto"/>
        </w:rPr>
        <w:t>——</w:t>
      </w:r>
      <w:r w:rsidRPr="00A964FF">
        <w:rPr>
          <w:rFonts w:ascii="Calibri"/>
          <w:color w:val="auto"/>
        </w:rPr>
        <w:t>发生事故的储罐或装置的消防水量，</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w:t>
      </w:r>
    </w:p>
    <w:p w14:paraId="65471998" w14:textId="77777777" w:rsidR="0058773E" w:rsidRPr="00A964FF" w:rsidRDefault="0058773E" w:rsidP="0058773E">
      <w:pPr>
        <w:pStyle w:val="00"/>
        <w:ind w:firstLineChars="500" w:firstLine="1200"/>
        <w:rPr>
          <w:rFonts w:ascii="Calibri" w:hAnsi="Calibri"/>
          <w:color w:val="auto"/>
        </w:rPr>
      </w:pPr>
      <w:r w:rsidRPr="00A964FF">
        <w:rPr>
          <w:rFonts w:ascii="Calibri" w:hAnsi="Calibri"/>
          <w:color w:val="auto"/>
        </w:rPr>
        <w:t>V</w:t>
      </w:r>
      <w:r w:rsidRPr="00A964FF">
        <w:rPr>
          <w:rFonts w:ascii="Calibri" w:hAnsi="Calibri"/>
          <w:color w:val="auto"/>
          <w:vertAlign w:val="subscript"/>
        </w:rPr>
        <w:t>3</w:t>
      </w:r>
      <w:r w:rsidRPr="00A964FF">
        <w:rPr>
          <w:rFonts w:ascii="Calibri" w:hAnsi="Calibri"/>
          <w:color w:val="auto"/>
        </w:rPr>
        <w:t>——</w:t>
      </w:r>
      <w:r w:rsidRPr="00A964FF">
        <w:rPr>
          <w:rFonts w:ascii="Calibri"/>
          <w:color w:val="auto"/>
        </w:rPr>
        <w:t>发生事故时可以转输到其他储存或处理设施的物料量，</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w:t>
      </w:r>
    </w:p>
    <w:p w14:paraId="73ADCB56" w14:textId="77777777" w:rsidR="0058773E" w:rsidRPr="00A964FF" w:rsidRDefault="0058773E" w:rsidP="0058773E">
      <w:pPr>
        <w:pStyle w:val="00"/>
        <w:ind w:firstLineChars="500" w:firstLine="1200"/>
        <w:rPr>
          <w:rFonts w:ascii="Calibri" w:hAnsi="Calibri"/>
          <w:color w:val="auto"/>
        </w:rPr>
      </w:pPr>
      <w:r w:rsidRPr="00A964FF">
        <w:rPr>
          <w:rFonts w:ascii="Calibri" w:hAnsi="Calibri"/>
          <w:color w:val="auto"/>
        </w:rPr>
        <w:t>V</w:t>
      </w:r>
      <w:r w:rsidRPr="00A964FF">
        <w:rPr>
          <w:rFonts w:ascii="Calibri" w:hAnsi="Calibri"/>
          <w:color w:val="auto"/>
          <w:vertAlign w:val="subscript"/>
        </w:rPr>
        <w:t>4</w:t>
      </w:r>
      <w:r w:rsidRPr="00A964FF">
        <w:rPr>
          <w:rFonts w:ascii="Calibri" w:hAnsi="Calibri"/>
          <w:color w:val="auto"/>
        </w:rPr>
        <w:t>——</w:t>
      </w:r>
      <w:r w:rsidRPr="00A964FF">
        <w:rPr>
          <w:rFonts w:ascii="Calibri"/>
          <w:color w:val="auto"/>
        </w:rPr>
        <w:t>发生事故时仍必须进入该收集系统的生产废水量，</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w:t>
      </w:r>
    </w:p>
    <w:p w14:paraId="6D5E8A64" w14:textId="77777777" w:rsidR="0058773E" w:rsidRPr="00A964FF" w:rsidRDefault="0058773E" w:rsidP="0058773E">
      <w:pPr>
        <w:pStyle w:val="00"/>
        <w:ind w:firstLineChars="500" w:firstLine="1200"/>
        <w:rPr>
          <w:rFonts w:ascii="Calibri" w:hAnsi="Calibri"/>
          <w:color w:val="auto"/>
        </w:rPr>
      </w:pPr>
      <w:r w:rsidRPr="00A964FF">
        <w:rPr>
          <w:rFonts w:ascii="Calibri" w:hAnsi="Calibri"/>
          <w:color w:val="auto"/>
        </w:rPr>
        <w:t>V</w:t>
      </w:r>
      <w:r w:rsidRPr="00A964FF">
        <w:rPr>
          <w:rFonts w:ascii="Calibri" w:hAnsi="Calibri"/>
          <w:color w:val="auto"/>
          <w:vertAlign w:val="subscript"/>
        </w:rPr>
        <w:t>5</w:t>
      </w:r>
      <w:r w:rsidRPr="00A964FF">
        <w:rPr>
          <w:rFonts w:ascii="Calibri" w:hAnsi="Calibri"/>
          <w:color w:val="auto"/>
        </w:rPr>
        <w:t>——</w:t>
      </w:r>
      <w:r w:rsidRPr="00A964FF">
        <w:rPr>
          <w:rFonts w:ascii="Calibri"/>
          <w:color w:val="auto"/>
        </w:rPr>
        <w:t>发生事故时可能进入该收集系统的降雨量，</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w:t>
      </w:r>
    </w:p>
    <w:p w14:paraId="5EF00ABF" w14:textId="77777777" w:rsidR="0058773E" w:rsidRPr="00A964FF" w:rsidRDefault="0058773E" w:rsidP="0058773E">
      <w:pPr>
        <w:pStyle w:val="00"/>
        <w:rPr>
          <w:rFonts w:ascii="Calibri" w:hAnsi="Calibri"/>
          <w:color w:val="auto"/>
        </w:rPr>
      </w:pPr>
      <w:r w:rsidRPr="00A964FF">
        <w:rPr>
          <w:rFonts w:ascii="Calibri"/>
          <w:color w:val="auto"/>
        </w:rPr>
        <w:t>①</w:t>
      </w:r>
      <w:r w:rsidRPr="00A964FF">
        <w:rPr>
          <w:rFonts w:ascii="Calibri" w:hAnsi="Calibri"/>
          <w:color w:val="auto"/>
        </w:rPr>
        <w:t xml:space="preserve"> </w:t>
      </w:r>
      <w:r w:rsidRPr="00A964FF">
        <w:rPr>
          <w:rFonts w:ascii="Calibri"/>
          <w:color w:val="auto"/>
        </w:rPr>
        <w:t>物料量（</w:t>
      </w:r>
      <w:r w:rsidRPr="00A964FF">
        <w:rPr>
          <w:rFonts w:ascii="Calibri" w:hAnsi="Calibri"/>
          <w:color w:val="auto"/>
        </w:rPr>
        <w:t>V</w:t>
      </w:r>
      <w:r w:rsidRPr="00A964FF">
        <w:rPr>
          <w:rFonts w:ascii="Calibri" w:hAnsi="Calibri"/>
          <w:color w:val="auto"/>
          <w:vertAlign w:val="subscript"/>
        </w:rPr>
        <w:t>1</w:t>
      </w:r>
      <w:r w:rsidRPr="00A964FF">
        <w:rPr>
          <w:rFonts w:ascii="Calibri"/>
          <w:color w:val="auto"/>
        </w:rPr>
        <w:t>）</w:t>
      </w:r>
    </w:p>
    <w:p w14:paraId="39D93B4C" w14:textId="77777777" w:rsidR="0058773E" w:rsidRPr="00A964FF" w:rsidRDefault="0058773E" w:rsidP="0058773E">
      <w:pPr>
        <w:pStyle w:val="00"/>
        <w:rPr>
          <w:rFonts w:ascii="Calibri" w:hAnsi="Calibri"/>
          <w:color w:val="auto"/>
        </w:rPr>
      </w:pPr>
      <w:r w:rsidRPr="00A964FF">
        <w:rPr>
          <w:rFonts w:ascii="Calibri"/>
          <w:color w:val="auto"/>
        </w:rPr>
        <w:t>选择本次最大液体储罐进行考虑，最大储存量</w:t>
      </w:r>
      <w:r w:rsidR="00034A89">
        <w:rPr>
          <w:rFonts w:ascii="Calibri" w:hAnsi="Calibri"/>
          <w:color w:val="auto"/>
        </w:rPr>
        <w:t>1</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w:t>
      </w:r>
    </w:p>
    <w:p w14:paraId="5DC49A64" w14:textId="77777777" w:rsidR="0058773E" w:rsidRPr="00A964FF" w:rsidRDefault="0058773E" w:rsidP="0058773E">
      <w:pPr>
        <w:pStyle w:val="00"/>
        <w:rPr>
          <w:rFonts w:ascii="Calibri" w:hAnsi="Calibri"/>
          <w:color w:val="auto"/>
        </w:rPr>
      </w:pPr>
      <w:r w:rsidRPr="00A964FF">
        <w:rPr>
          <w:rFonts w:ascii="Calibri"/>
          <w:color w:val="auto"/>
        </w:rPr>
        <w:t>②</w:t>
      </w:r>
      <w:r w:rsidRPr="00A964FF">
        <w:rPr>
          <w:rFonts w:ascii="Calibri" w:hAnsi="Calibri"/>
          <w:color w:val="auto"/>
        </w:rPr>
        <w:t xml:space="preserve"> </w:t>
      </w:r>
      <w:r w:rsidRPr="00A964FF">
        <w:rPr>
          <w:rFonts w:ascii="Calibri"/>
          <w:color w:val="auto"/>
        </w:rPr>
        <w:t>发生事故的储罐或装置的消防水量（</w:t>
      </w:r>
      <w:r w:rsidRPr="00A964FF">
        <w:rPr>
          <w:rFonts w:ascii="Calibri" w:hAnsi="Calibri"/>
          <w:color w:val="auto"/>
        </w:rPr>
        <w:t>V</w:t>
      </w:r>
      <w:r w:rsidRPr="00A964FF">
        <w:rPr>
          <w:rFonts w:ascii="Calibri" w:hAnsi="Calibri"/>
          <w:color w:val="auto"/>
          <w:vertAlign w:val="subscript"/>
        </w:rPr>
        <w:t>2</w:t>
      </w:r>
      <w:r w:rsidRPr="00A964FF">
        <w:rPr>
          <w:rFonts w:ascii="Calibri"/>
          <w:color w:val="auto"/>
        </w:rPr>
        <w:t>）</w:t>
      </w:r>
    </w:p>
    <w:p w14:paraId="5A63C89E" w14:textId="77777777" w:rsidR="0058773E" w:rsidRPr="00A964FF" w:rsidRDefault="0058773E" w:rsidP="0058773E">
      <w:pPr>
        <w:pStyle w:val="00"/>
        <w:rPr>
          <w:rFonts w:ascii="Calibri" w:hAnsi="Calibri"/>
          <w:color w:val="auto"/>
          <w:szCs w:val="21"/>
        </w:rPr>
      </w:pPr>
      <w:r w:rsidRPr="00A964FF">
        <w:rPr>
          <w:rFonts w:ascii="Calibri"/>
          <w:color w:val="auto"/>
        </w:rPr>
        <w:lastRenderedPageBreak/>
        <w:t>根据</w:t>
      </w:r>
      <w:r w:rsidRPr="00A964FF">
        <w:rPr>
          <w:rFonts w:ascii="Calibri"/>
          <w:color w:val="auto"/>
          <w:szCs w:val="21"/>
        </w:rPr>
        <w:t>《建筑设计防火规范</w:t>
      </w:r>
      <w:r w:rsidRPr="00A964FF">
        <w:rPr>
          <w:rFonts w:ascii="Calibri"/>
          <w:color w:val="auto"/>
        </w:rPr>
        <w:t>》（</w:t>
      </w:r>
      <w:r w:rsidR="003F49B0" w:rsidRPr="00A964FF">
        <w:rPr>
          <w:rFonts w:ascii="Calibri" w:hAnsi="Calibri"/>
          <w:color w:val="auto"/>
        </w:rPr>
        <w:t>GB</w:t>
      </w:r>
      <w:r w:rsidRPr="00A964FF">
        <w:rPr>
          <w:rFonts w:ascii="Calibri" w:hAnsi="Calibri"/>
          <w:color w:val="auto"/>
        </w:rPr>
        <w:t>50016-2014</w:t>
      </w:r>
      <w:r w:rsidRPr="00A964FF">
        <w:rPr>
          <w:rFonts w:ascii="Calibri"/>
          <w:color w:val="auto"/>
        </w:rPr>
        <w:t>（</w:t>
      </w:r>
      <w:r w:rsidRPr="00A964FF">
        <w:rPr>
          <w:rFonts w:ascii="Calibri" w:hAnsi="Calibri"/>
          <w:color w:val="auto"/>
        </w:rPr>
        <w:t>2018</w:t>
      </w:r>
      <w:r w:rsidRPr="00A964FF">
        <w:rPr>
          <w:rFonts w:ascii="Calibri"/>
          <w:color w:val="auto"/>
        </w:rPr>
        <w:t>年版））、</w:t>
      </w:r>
      <w:r w:rsidRPr="00A964FF">
        <w:rPr>
          <w:rFonts w:ascii="Calibri"/>
          <w:color w:val="auto"/>
          <w:szCs w:val="21"/>
        </w:rPr>
        <w:t>《石油化工企业设计防火标准》（</w:t>
      </w:r>
      <w:r w:rsidR="003F49B0" w:rsidRPr="00A964FF">
        <w:rPr>
          <w:rFonts w:ascii="Calibri" w:hAnsi="Calibri"/>
          <w:color w:val="auto"/>
          <w:szCs w:val="21"/>
        </w:rPr>
        <w:t>GB</w:t>
      </w:r>
      <w:r w:rsidRPr="00A964FF">
        <w:rPr>
          <w:rFonts w:ascii="Calibri" w:hAnsi="Calibri"/>
          <w:color w:val="auto"/>
          <w:szCs w:val="21"/>
        </w:rPr>
        <w:t>50160-2008</w:t>
      </w:r>
      <w:r w:rsidRPr="00A964FF">
        <w:rPr>
          <w:rFonts w:ascii="Calibri"/>
          <w:color w:val="auto"/>
          <w:szCs w:val="21"/>
        </w:rPr>
        <w:t>）</w:t>
      </w:r>
      <w:r w:rsidR="003F49B0" w:rsidRPr="00A964FF">
        <w:rPr>
          <w:rFonts w:ascii="Calibri"/>
          <w:color w:val="auto"/>
          <w:szCs w:val="21"/>
        </w:rPr>
        <w:t>（</w:t>
      </w:r>
      <w:r w:rsidR="003F49B0" w:rsidRPr="00A964FF">
        <w:rPr>
          <w:rFonts w:ascii="Calibri" w:hAnsi="Calibri"/>
          <w:color w:val="auto"/>
          <w:szCs w:val="21"/>
        </w:rPr>
        <w:t>2018</w:t>
      </w:r>
      <w:r w:rsidR="003F49B0" w:rsidRPr="00A964FF">
        <w:rPr>
          <w:rFonts w:ascii="Calibri"/>
          <w:color w:val="auto"/>
          <w:szCs w:val="21"/>
        </w:rPr>
        <w:t>年版）</w:t>
      </w:r>
      <w:r w:rsidRPr="00A964FF">
        <w:rPr>
          <w:rFonts w:ascii="Calibri"/>
          <w:color w:val="auto"/>
          <w:szCs w:val="21"/>
        </w:rPr>
        <w:t>，结合本项目生产装置区面积，室内外最大消防用水量为</w:t>
      </w:r>
      <w:r w:rsidR="00034A89">
        <w:rPr>
          <w:rFonts w:ascii="Calibri" w:hAnsi="Calibri"/>
          <w:color w:val="auto"/>
          <w:szCs w:val="21"/>
        </w:rPr>
        <w:t>3</w:t>
      </w:r>
      <w:r w:rsidR="00AF012E">
        <w:rPr>
          <w:rFonts w:ascii="Calibri" w:hAnsi="Calibri" w:hint="eastAsia"/>
          <w:color w:val="auto"/>
          <w:szCs w:val="21"/>
        </w:rPr>
        <w:t>0</w:t>
      </w:r>
      <w:r w:rsidRPr="00A964FF">
        <w:rPr>
          <w:rFonts w:ascii="Calibri" w:hAnsi="Calibri"/>
          <w:color w:val="auto"/>
          <w:szCs w:val="21"/>
        </w:rPr>
        <w:t>L/s</w:t>
      </w:r>
      <w:r w:rsidRPr="00A964FF">
        <w:rPr>
          <w:rFonts w:ascii="Calibri"/>
          <w:color w:val="auto"/>
          <w:szCs w:val="21"/>
        </w:rPr>
        <w:t>，灭火延续时间按</w:t>
      </w:r>
      <w:r w:rsidR="00034A89">
        <w:rPr>
          <w:rFonts w:ascii="Calibri" w:hAnsi="Calibri"/>
          <w:color w:val="auto"/>
          <w:szCs w:val="21"/>
        </w:rPr>
        <w:t>2</w:t>
      </w:r>
      <w:r w:rsidRPr="00A964FF">
        <w:rPr>
          <w:rFonts w:ascii="Calibri"/>
          <w:color w:val="auto"/>
          <w:szCs w:val="21"/>
        </w:rPr>
        <w:t>小时计；项目厂区一次最大消防用水量为</w:t>
      </w:r>
      <w:r w:rsidR="00034A89" w:rsidRPr="00034A89">
        <w:rPr>
          <w:rFonts w:ascii="Calibri" w:hAnsi="Calibri"/>
          <w:color w:val="auto"/>
          <w:szCs w:val="21"/>
        </w:rPr>
        <w:t>216</w:t>
      </w:r>
      <w:r w:rsidRPr="00A964FF">
        <w:rPr>
          <w:rFonts w:ascii="Calibri" w:hAnsi="Calibri"/>
          <w:color w:val="auto"/>
          <w:szCs w:val="21"/>
        </w:rPr>
        <w:t>m</w:t>
      </w:r>
      <w:r w:rsidRPr="00A964FF">
        <w:rPr>
          <w:rFonts w:ascii="Calibri" w:hAnsi="Calibri"/>
          <w:color w:val="auto"/>
          <w:szCs w:val="21"/>
          <w:vertAlign w:val="superscript"/>
        </w:rPr>
        <w:t>3</w:t>
      </w:r>
      <w:r w:rsidRPr="00A964FF">
        <w:rPr>
          <w:rFonts w:ascii="Calibri"/>
          <w:color w:val="auto"/>
          <w:szCs w:val="21"/>
        </w:rPr>
        <w:t>。</w:t>
      </w:r>
    </w:p>
    <w:p w14:paraId="41142A84" w14:textId="77777777" w:rsidR="0058773E" w:rsidRPr="00A964FF" w:rsidRDefault="0058773E" w:rsidP="0058773E">
      <w:pPr>
        <w:pStyle w:val="00"/>
        <w:rPr>
          <w:rFonts w:ascii="Calibri" w:hAnsi="Calibri"/>
          <w:color w:val="auto"/>
        </w:rPr>
      </w:pPr>
      <w:r w:rsidRPr="00A964FF">
        <w:rPr>
          <w:rFonts w:ascii="Calibri"/>
          <w:color w:val="auto"/>
        </w:rPr>
        <w:t>③</w:t>
      </w:r>
      <w:r w:rsidRPr="00A964FF">
        <w:rPr>
          <w:rFonts w:ascii="Calibri" w:hAnsi="Calibri"/>
          <w:color w:val="auto"/>
        </w:rPr>
        <w:t xml:space="preserve"> </w:t>
      </w:r>
      <w:r w:rsidRPr="00A964FF">
        <w:rPr>
          <w:rFonts w:ascii="Calibri"/>
          <w:color w:val="auto"/>
        </w:rPr>
        <w:t>发生事故时可以转输到其他储存或处理设施的物料量（</w:t>
      </w:r>
      <w:r w:rsidRPr="00A964FF">
        <w:rPr>
          <w:rFonts w:ascii="Calibri" w:hAnsi="Calibri"/>
          <w:color w:val="auto"/>
        </w:rPr>
        <w:t>V</w:t>
      </w:r>
      <w:r w:rsidRPr="00A964FF">
        <w:rPr>
          <w:rFonts w:ascii="Calibri" w:hAnsi="Calibri"/>
          <w:color w:val="auto"/>
          <w:vertAlign w:val="subscript"/>
        </w:rPr>
        <w:t>3</w:t>
      </w:r>
      <w:r w:rsidRPr="00A964FF">
        <w:rPr>
          <w:rFonts w:ascii="Calibri"/>
          <w:color w:val="auto"/>
        </w:rPr>
        <w:t>）</w:t>
      </w:r>
    </w:p>
    <w:p w14:paraId="3DAFF0FB" w14:textId="77777777" w:rsidR="0058773E" w:rsidRPr="00A964FF" w:rsidRDefault="0058773E" w:rsidP="0058773E">
      <w:pPr>
        <w:pStyle w:val="00"/>
        <w:rPr>
          <w:rFonts w:ascii="Calibri" w:hAnsi="Calibri"/>
          <w:color w:val="auto"/>
        </w:rPr>
      </w:pPr>
      <w:r w:rsidRPr="00A964FF">
        <w:rPr>
          <w:rFonts w:ascii="Calibri"/>
          <w:color w:val="auto"/>
        </w:rPr>
        <w:t>不考虑转输其他设施，取</w:t>
      </w:r>
      <w:r w:rsidRPr="00A964FF">
        <w:rPr>
          <w:rFonts w:ascii="Calibri" w:hAnsi="Calibri"/>
          <w:color w:val="auto"/>
        </w:rPr>
        <w:t>0</w:t>
      </w:r>
      <w:r w:rsidRPr="00A964FF">
        <w:rPr>
          <w:rFonts w:ascii="Calibri"/>
          <w:color w:val="auto"/>
        </w:rPr>
        <w:t>。</w:t>
      </w:r>
    </w:p>
    <w:p w14:paraId="21BC9DA9" w14:textId="77777777" w:rsidR="0058773E" w:rsidRPr="00A964FF" w:rsidRDefault="0058773E" w:rsidP="0058773E">
      <w:pPr>
        <w:pStyle w:val="00"/>
        <w:rPr>
          <w:rFonts w:ascii="Calibri" w:hAnsi="Calibri"/>
          <w:color w:val="auto"/>
        </w:rPr>
      </w:pPr>
      <w:r w:rsidRPr="00A964FF">
        <w:rPr>
          <w:rFonts w:ascii="Calibri"/>
          <w:color w:val="auto"/>
        </w:rPr>
        <w:t>④</w:t>
      </w:r>
      <w:r w:rsidRPr="00A964FF">
        <w:rPr>
          <w:rFonts w:ascii="Calibri" w:hAnsi="Calibri"/>
          <w:color w:val="auto"/>
        </w:rPr>
        <w:t xml:space="preserve"> </w:t>
      </w:r>
      <w:r w:rsidRPr="00A964FF">
        <w:rPr>
          <w:rFonts w:ascii="Calibri"/>
          <w:color w:val="auto"/>
        </w:rPr>
        <w:t>发生事故时仍必须进入该收集系统的生产废水量（</w:t>
      </w:r>
      <w:r w:rsidRPr="00A964FF">
        <w:rPr>
          <w:rFonts w:ascii="Calibri" w:hAnsi="Calibri"/>
          <w:color w:val="auto"/>
        </w:rPr>
        <w:t>V</w:t>
      </w:r>
      <w:r w:rsidRPr="00A964FF">
        <w:rPr>
          <w:rFonts w:ascii="Calibri" w:hAnsi="Calibri"/>
          <w:color w:val="auto"/>
          <w:vertAlign w:val="subscript"/>
        </w:rPr>
        <w:t>4</w:t>
      </w:r>
      <w:r w:rsidRPr="00A964FF">
        <w:rPr>
          <w:rFonts w:ascii="Calibri"/>
          <w:color w:val="auto"/>
        </w:rPr>
        <w:t>）</w:t>
      </w:r>
    </w:p>
    <w:p w14:paraId="5BF91304" w14:textId="77777777" w:rsidR="0058773E" w:rsidRPr="00A964FF" w:rsidRDefault="0058773E" w:rsidP="0058773E">
      <w:pPr>
        <w:pStyle w:val="00"/>
        <w:rPr>
          <w:rFonts w:ascii="Calibri" w:hAnsi="Calibri"/>
          <w:color w:val="auto"/>
        </w:rPr>
      </w:pPr>
      <w:r w:rsidRPr="00A964FF">
        <w:rPr>
          <w:rFonts w:ascii="Calibri"/>
          <w:color w:val="auto"/>
        </w:rPr>
        <w:t>污水可排入废水处理站调节池进行收集暂存处理，取值</w:t>
      </w:r>
      <w:r w:rsidRPr="00A964FF">
        <w:rPr>
          <w:rFonts w:ascii="Calibri" w:hAnsi="Calibri"/>
          <w:color w:val="auto"/>
        </w:rPr>
        <w:t>0</w:t>
      </w:r>
      <w:r w:rsidRPr="00A964FF">
        <w:rPr>
          <w:rFonts w:ascii="Calibri"/>
          <w:color w:val="auto"/>
        </w:rPr>
        <w:t>。</w:t>
      </w:r>
    </w:p>
    <w:p w14:paraId="7D5B6A40" w14:textId="77777777" w:rsidR="0058773E" w:rsidRPr="00A964FF" w:rsidRDefault="0058773E" w:rsidP="0058773E">
      <w:pPr>
        <w:pStyle w:val="00"/>
        <w:rPr>
          <w:rFonts w:ascii="Calibri" w:hAnsi="Calibri"/>
          <w:color w:val="auto"/>
        </w:rPr>
      </w:pPr>
      <w:r w:rsidRPr="00A964FF">
        <w:rPr>
          <w:rFonts w:ascii="Calibri"/>
          <w:color w:val="auto"/>
        </w:rPr>
        <w:t>⑤</w:t>
      </w:r>
      <w:r w:rsidRPr="00A964FF">
        <w:rPr>
          <w:rFonts w:ascii="Calibri" w:hAnsi="Calibri"/>
          <w:color w:val="auto"/>
        </w:rPr>
        <w:t xml:space="preserve"> </w:t>
      </w:r>
      <w:r w:rsidRPr="00A964FF">
        <w:rPr>
          <w:rFonts w:ascii="Calibri"/>
          <w:color w:val="auto"/>
        </w:rPr>
        <w:t>发生事故时可能进入该收集系统的降雨量（</w:t>
      </w:r>
      <w:r w:rsidRPr="00A964FF">
        <w:rPr>
          <w:rFonts w:ascii="Calibri" w:hAnsi="Calibri"/>
          <w:color w:val="auto"/>
        </w:rPr>
        <w:t>V</w:t>
      </w:r>
      <w:r w:rsidRPr="00A964FF">
        <w:rPr>
          <w:rFonts w:ascii="Calibri" w:hAnsi="Calibri"/>
          <w:color w:val="auto"/>
          <w:vertAlign w:val="subscript"/>
        </w:rPr>
        <w:t>5</w:t>
      </w:r>
      <w:r w:rsidRPr="00A964FF">
        <w:rPr>
          <w:rFonts w:ascii="Calibri"/>
          <w:color w:val="auto"/>
        </w:rPr>
        <w:t>）</w:t>
      </w:r>
    </w:p>
    <w:p w14:paraId="3708055F" w14:textId="77777777" w:rsidR="0058773E" w:rsidRPr="00AF012E" w:rsidRDefault="008C13EA" w:rsidP="00AF012E">
      <w:pPr>
        <w:pStyle w:val="00"/>
        <w:rPr>
          <w:rFonts w:ascii="Calibri"/>
          <w:color w:val="auto"/>
        </w:rPr>
      </w:pPr>
      <w:r>
        <w:rPr>
          <w:rFonts w:ascii="Calibri" w:hint="eastAsia"/>
          <w:color w:val="auto"/>
        </w:rPr>
        <w:t>V5</w:t>
      </w:r>
      <w:r>
        <w:rPr>
          <w:rFonts w:ascii="Calibri" w:hint="eastAsia"/>
          <w:color w:val="auto"/>
        </w:rPr>
        <w:t>计算公式为：</w:t>
      </w:r>
      <w:r>
        <w:rPr>
          <w:rFonts w:ascii="Calibri" w:hint="eastAsia"/>
          <w:color w:val="auto"/>
        </w:rPr>
        <w:t>V5=10qF</w:t>
      </w:r>
      <w:r>
        <w:rPr>
          <w:rFonts w:ascii="Calibri" w:hint="eastAsia"/>
          <w:color w:val="auto"/>
        </w:rPr>
        <w:t>，其中</w:t>
      </w:r>
      <w:r>
        <w:rPr>
          <w:rFonts w:ascii="Calibri" w:hint="eastAsia"/>
          <w:color w:val="auto"/>
        </w:rPr>
        <w:t>q</w:t>
      </w:r>
      <w:r>
        <w:rPr>
          <w:rFonts w:ascii="Calibri" w:hint="eastAsia"/>
          <w:color w:val="auto"/>
        </w:rPr>
        <w:t>为降雨强度，</w:t>
      </w:r>
      <w:r>
        <w:rPr>
          <w:rFonts w:ascii="Calibri" w:hint="eastAsia"/>
          <w:color w:val="auto"/>
        </w:rPr>
        <w:t>mm</w:t>
      </w:r>
      <w:r>
        <w:rPr>
          <w:rFonts w:ascii="Calibri" w:hint="eastAsia"/>
          <w:color w:val="auto"/>
        </w:rPr>
        <w:t>，按平均日降雨量计算，</w:t>
      </w:r>
      <w:r>
        <w:rPr>
          <w:rFonts w:ascii="Calibri" w:hint="eastAsia"/>
          <w:color w:val="auto"/>
        </w:rPr>
        <w:t>q=qa/n</w:t>
      </w:r>
      <w:r>
        <w:rPr>
          <w:rFonts w:ascii="Calibri" w:hint="eastAsia"/>
          <w:color w:val="auto"/>
        </w:rPr>
        <w:t>，</w:t>
      </w:r>
      <w:r>
        <w:rPr>
          <w:rFonts w:ascii="Calibri" w:hint="eastAsia"/>
          <w:color w:val="auto"/>
        </w:rPr>
        <w:t>qa</w:t>
      </w:r>
      <w:r>
        <w:rPr>
          <w:rFonts w:ascii="Calibri" w:hint="eastAsia"/>
          <w:color w:val="auto"/>
        </w:rPr>
        <w:t>为年均降雨量，</w:t>
      </w:r>
      <w:r>
        <w:rPr>
          <w:rFonts w:ascii="Calibri" w:hint="eastAsia"/>
          <w:color w:val="auto"/>
        </w:rPr>
        <w:t>mm</w:t>
      </w:r>
      <w:r>
        <w:rPr>
          <w:rFonts w:ascii="Calibri" w:hint="eastAsia"/>
          <w:color w:val="auto"/>
        </w:rPr>
        <w:t>，</w:t>
      </w:r>
      <w:r>
        <w:rPr>
          <w:rFonts w:ascii="Calibri" w:hint="eastAsia"/>
          <w:color w:val="auto"/>
        </w:rPr>
        <w:t>n</w:t>
      </w:r>
      <w:r>
        <w:rPr>
          <w:rFonts w:ascii="Calibri" w:hint="eastAsia"/>
          <w:color w:val="auto"/>
        </w:rPr>
        <w:t>为年平均降雨日数；</w:t>
      </w:r>
      <w:r>
        <w:rPr>
          <w:rFonts w:ascii="Calibri" w:hint="eastAsia"/>
          <w:color w:val="auto"/>
        </w:rPr>
        <w:t>F</w:t>
      </w:r>
      <w:r>
        <w:rPr>
          <w:rFonts w:ascii="Calibri" w:hint="eastAsia"/>
          <w:color w:val="auto"/>
        </w:rPr>
        <w:t>为必须进入事故废水收集系统的雨水汇水面积，</w:t>
      </w:r>
      <w:r>
        <w:rPr>
          <w:rFonts w:ascii="Calibri" w:hint="eastAsia"/>
          <w:color w:val="auto"/>
        </w:rPr>
        <w:t>ha</w:t>
      </w:r>
      <w:r>
        <w:rPr>
          <w:rFonts w:ascii="Calibri" w:hint="eastAsia"/>
          <w:color w:val="auto"/>
        </w:rPr>
        <w:t>。根据调查，</w:t>
      </w:r>
      <w:r w:rsidR="00AF012E">
        <w:rPr>
          <w:rFonts w:ascii="Calibri" w:hint="eastAsia"/>
          <w:color w:val="auto"/>
        </w:rPr>
        <w:t>叶县</w:t>
      </w:r>
      <w:r>
        <w:rPr>
          <w:rFonts w:ascii="Calibri" w:hint="eastAsia"/>
          <w:color w:val="auto"/>
        </w:rPr>
        <w:t>年平均降雨量为</w:t>
      </w:r>
      <w:r>
        <w:rPr>
          <w:rFonts w:ascii="Calibri" w:hint="eastAsia"/>
          <w:color w:val="auto"/>
        </w:rPr>
        <w:t>800mm</w:t>
      </w:r>
      <w:r>
        <w:rPr>
          <w:rFonts w:ascii="Calibri" w:hint="eastAsia"/>
          <w:color w:val="auto"/>
        </w:rPr>
        <w:t>，年平均降雨天数为</w:t>
      </w:r>
      <w:r>
        <w:rPr>
          <w:rFonts w:ascii="Calibri" w:hint="eastAsia"/>
          <w:color w:val="auto"/>
        </w:rPr>
        <w:t>68</w:t>
      </w:r>
      <w:r>
        <w:rPr>
          <w:rFonts w:ascii="Calibri" w:hint="eastAsia"/>
          <w:color w:val="auto"/>
        </w:rPr>
        <w:t>天</w:t>
      </w:r>
      <w:r w:rsidR="00EE3273">
        <w:rPr>
          <w:rFonts w:ascii="Calibri" w:hint="eastAsia"/>
          <w:color w:val="auto"/>
        </w:rPr>
        <w:t>，事故收集汇水面积为</w:t>
      </w:r>
      <w:r w:rsidR="00034A89">
        <w:rPr>
          <w:rFonts w:ascii="Calibri"/>
          <w:color w:val="auto"/>
        </w:rPr>
        <w:t>1.64</w:t>
      </w:r>
      <w:r w:rsidR="00EE3273">
        <w:rPr>
          <w:rFonts w:ascii="Calibri" w:hint="eastAsia"/>
          <w:color w:val="auto"/>
        </w:rPr>
        <w:t>ha</w:t>
      </w:r>
      <w:r w:rsidR="00EE3273">
        <w:rPr>
          <w:rFonts w:ascii="Calibri" w:hint="eastAsia"/>
          <w:color w:val="auto"/>
        </w:rPr>
        <w:t>，经核算事故时可能进入该收集系统的降雨量为</w:t>
      </w:r>
      <w:r w:rsidR="00034A89">
        <w:rPr>
          <w:rFonts w:ascii="Calibri"/>
          <w:color w:val="auto"/>
        </w:rPr>
        <w:t>194</w:t>
      </w:r>
      <w:r w:rsidR="00AF012E">
        <w:rPr>
          <w:rFonts w:ascii="Calibri" w:hint="eastAsia"/>
          <w:color w:val="auto"/>
        </w:rPr>
        <w:t>m</w:t>
      </w:r>
      <w:r w:rsidR="00AF012E" w:rsidRPr="00AF012E">
        <w:rPr>
          <w:rFonts w:ascii="Calibri" w:hint="eastAsia"/>
          <w:color w:val="auto"/>
          <w:vertAlign w:val="superscript"/>
        </w:rPr>
        <w:t>3</w:t>
      </w:r>
      <w:r w:rsidR="0058773E" w:rsidRPr="00A964FF">
        <w:rPr>
          <w:rFonts w:ascii="Calibri"/>
          <w:color w:val="auto"/>
        </w:rPr>
        <w:t>，因此，</w:t>
      </w:r>
      <w:r w:rsidR="0058773E" w:rsidRPr="00A964FF">
        <w:rPr>
          <w:rFonts w:ascii="Calibri" w:hAnsi="Calibri"/>
          <w:color w:val="auto"/>
        </w:rPr>
        <w:t>V</w:t>
      </w:r>
      <w:r w:rsidR="0058773E" w:rsidRPr="00A964FF">
        <w:rPr>
          <w:rFonts w:ascii="Calibri" w:hAnsi="Calibri"/>
          <w:color w:val="auto"/>
          <w:vertAlign w:val="subscript"/>
        </w:rPr>
        <w:t>5</w:t>
      </w:r>
      <w:r w:rsidR="0058773E" w:rsidRPr="00A964FF">
        <w:rPr>
          <w:rFonts w:ascii="Calibri"/>
          <w:color w:val="auto"/>
        </w:rPr>
        <w:t>取值为</w:t>
      </w:r>
      <w:r w:rsidR="00034A89" w:rsidRPr="00034A89">
        <w:rPr>
          <w:rFonts w:ascii="Calibri" w:hAnsi="Calibri"/>
          <w:color w:val="auto"/>
        </w:rPr>
        <w:t>194m</w:t>
      </w:r>
      <w:r w:rsidR="00034A89" w:rsidRPr="00034A89">
        <w:rPr>
          <w:rFonts w:ascii="Calibri" w:hAnsi="Calibri"/>
          <w:color w:val="auto"/>
          <w:vertAlign w:val="superscript"/>
        </w:rPr>
        <w:t>3</w:t>
      </w:r>
      <w:r w:rsidR="0058773E" w:rsidRPr="00A964FF">
        <w:rPr>
          <w:rFonts w:ascii="Calibri"/>
          <w:color w:val="auto"/>
        </w:rPr>
        <w:t>。</w:t>
      </w:r>
    </w:p>
    <w:p w14:paraId="49C2EB8C" w14:textId="77777777" w:rsidR="0058773E" w:rsidRPr="00A964FF" w:rsidRDefault="0058773E" w:rsidP="0058773E">
      <w:pPr>
        <w:pStyle w:val="00"/>
        <w:rPr>
          <w:rFonts w:ascii="Calibri" w:hAnsi="Calibri"/>
          <w:color w:val="auto"/>
        </w:rPr>
      </w:pPr>
      <w:r w:rsidRPr="00A964FF">
        <w:rPr>
          <w:rFonts w:ascii="Calibri"/>
          <w:color w:val="auto"/>
        </w:rPr>
        <w:t>⑥</w:t>
      </w:r>
      <w:r w:rsidRPr="00A964FF">
        <w:rPr>
          <w:rFonts w:ascii="Calibri" w:hAnsi="Calibri"/>
          <w:color w:val="auto"/>
        </w:rPr>
        <w:t xml:space="preserve"> </w:t>
      </w:r>
      <w:r w:rsidRPr="00A964FF">
        <w:rPr>
          <w:rFonts w:ascii="Calibri"/>
          <w:color w:val="auto"/>
        </w:rPr>
        <w:t>事故储存能力核算（</w:t>
      </w:r>
      <w:r w:rsidRPr="00A964FF">
        <w:rPr>
          <w:rFonts w:ascii="Calibri" w:hAnsi="Calibri"/>
          <w:color w:val="auto"/>
        </w:rPr>
        <w:t>V</w:t>
      </w:r>
      <w:r w:rsidRPr="00A964FF">
        <w:rPr>
          <w:rFonts w:ascii="Calibri"/>
          <w:color w:val="auto"/>
          <w:vertAlign w:val="subscript"/>
        </w:rPr>
        <w:t>总</w:t>
      </w:r>
      <w:r w:rsidRPr="00A964FF">
        <w:rPr>
          <w:rFonts w:ascii="Calibri"/>
          <w:color w:val="auto"/>
        </w:rPr>
        <w:t>）</w:t>
      </w:r>
    </w:p>
    <w:p w14:paraId="55D33220" w14:textId="77777777" w:rsidR="0058773E" w:rsidRPr="00A964FF" w:rsidRDefault="0058773E" w:rsidP="0058773E">
      <w:pPr>
        <w:pStyle w:val="00"/>
        <w:rPr>
          <w:rFonts w:ascii="Calibri" w:hAnsi="Calibri"/>
          <w:color w:val="auto"/>
        </w:rPr>
      </w:pPr>
      <w:r w:rsidRPr="00A964FF">
        <w:rPr>
          <w:rFonts w:ascii="Calibri"/>
          <w:color w:val="auto"/>
        </w:rPr>
        <w:t>本项目发生火灾事故时，所需事故池容积为</w:t>
      </w:r>
      <w:r w:rsidR="00034A89">
        <w:rPr>
          <w:rFonts w:ascii="Calibri" w:hAnsi="Calibri"/>
          <w:color w:val="auto"/>
        </w:rPr>
        <w:t>1</w:t>
      </w:r>
      <w:r w:rsidRPr="00A964FF">
        <w:rPr>
          <w:rFonts w:ascii="Calibri" w:hAnsi="Calibri"/>
          <w:color w:val="auto"/>
        </w:rPr>
        <w:t>+</w:t>
      </w:r>
      <w:r w:rsidR="00034A89">
        <w:rPr>
          <w:rFonts w:ascii="Calibri" w:hAnsi="Calibri"/>
          <w:color w:val="auto"/>
        </w:rPr>
        <w:t>216</w:t>
      </w:r>
      <w:r w:rsidR="00AF012E">
        <w:rPr>
          <w:rFonts w:ascii="Calibri" w:hAnsi="Calibri" w:hint="eastAsia"/>
          <w:color w:val="auto"/>
        </w:rPr>
        <w:t>+</w:t>
      </w:r>
      <w:r w:rsidR="00034A89">
        <w:rPr>
          <w:rFonts w:ascii="Calibri" w:hAnsi="Calibri"/>
          <w:color w:val="auto"/>
        </w:rPr>
        <w:t>194</w:t>
      </w:r>
      <w:r w:rsidRPr="00A964FF">
        <w:rPr>
          <w:rFonts w:ascii="Calibri" w:hAnsi="Calibri"/>
          <w:color w:val="auto"/>
        </w:rPr>
        <w:t>=</w:t>
      </w:r>
      <w:r w:rsidR="00034A89">
        <w:rPr>
          <w:rFonts w:ascii="Calibri" w:hAnsi="Calibri"/>
          <w:color w:val="auto"/>
        </w:rPr>
        <w:t>411</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。本项目设计事故水池</w:t>
      </w:r>
      <w:r w:rsidR="00034A89">
        <w:rPr>
          <w:rFonts w:ascii="Calibri" w:hAnsi="Calibri"/>
          <w:color w:val="auto"/>
        </w:rPr>
        <w:t>500</w:t>
      </w:r>
      <w:r w:rsidRPr="00A964FF">
        <w:rPr>
          <w:rFonts w:ascii="Calibri" w:hAnsi="Calibri"/>
          <w:color w:val="auto"/>
        </w:rPr>
        <w:t>m</w:t>
      </w:r>
      <w:r w:rsidRPr="00A964FF">
        <w:rPr>
          <w:rFonts w:ascii="Calibri" w:hAnsi="Calibri"/>
          <w:color w:val="auto"/>
          <w:vertAlign w:val="superscript"/>
        </w:rPr>
        <w:t>3</w:t>
      </w:r>
      <w:r w:rsidRPr="00A964FF">
        <w:rPr>
          <w:rFonts w:ascii="Calibri"/>
          <w:color w:val="auto"/>
        </w:rPr>
        <w:t>，因此，可满足事故废水的储存要求。</w:t>
      </w:r>
    </w:p>
    <w:p w14:paraId="2236CE6B" w14:textId="77777777" w:rsidR="0058773E" w:rsidRPr="00A964FF" w:rsidRDefault="0058773E" w:rsidP="0058773E">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w:t>
      </w:r>
      <w:r w:rsidRPr="00A964FF">
        <w:rPr>
          <w:rFonts w:ascii="Calibri" w:hAnsi="Calibri"/>
          <w:color w:val="auto"/>
        </w:rPr>
        <w:t>事故池设置要求</w:t>
      </w:r>
    </w:p>
    <w:p w14:paraId="2B999BB7" w14:textId="77777777" w:rsidR="0058773E" w:rsidRPr="00A964FF" w:rsidRDefault="0058773E" w:rsidP="0058773E">
      <w:pPr>
        <w:pStyle w:val="00"/>
        <w:rPr>
          <w:rFonts w:ascii="Calibri" w:hAnsi="Calibri"/>
          <w:color w:val="auto"/>
        </w:rPr>
      </w:pPr>
      <w:r w:rsidRPr="00A964FF">
        <w:rPr>
          <w:rFonts w:ascii="Calibri" w:hAnsi="Calibri" w:hint="eastAsia"/>
          <w:color w:val="auto"/>
        </w:rPr>
        <w:t>评价</w:t>
      </w:r>
      <w:r w:rsidRPr="00A964FF">
        <w:rPr>
          <w:rFonts w:ascii="Calibri" w:hAnsi="Calibri"/>
          <w:color w:val="auto"/>
        </w:rPr>
        <w:t>要求事故池作防腐防渗处理，在生产区设置导流槽，对泄漏的废液和事故废水进行收集，在装卸区周边设有地面冲洗水收集管道，兼作事故废水收集管道，初期雨水设置截留导流系统</w:t>
      </w:r>
      <w:r w:rsidRPr="00A964FF">
        <w:rPr>
          <w:rFonts w:ascii="Calibri" w:hAnsi="Calibri" w:hint="eastAsia"/>
          <w:color w:val="auto"/>
        </w:rPr>
        <w:t>并导流至雨水收集池</w:t>
      </w:r>
      <w:r w:rsidRPr="00A964FF">
        <w:rPr>
          <w:rFonts w:ascii="Calibri" w:hAnsi="Calibri"/>
          <w:color w:val="auto"/>
        </w:rPr>
        <w:t>，可保证事故废水有效收集并得到妥善处理，因此</w:t>
      </w:r>
      <w:r w:rsidRPr="00A964FF">
        <w:rPr>
          <w:rFonts w:ascii="Calibri" w:hAnsi="Calibri" w:hint="eastAsia"/>
          <w:color w:val="auto"/>
        </w:rPr>
        <w:t>，</w:t>
      </w:r>
      <w:r w:rsidRPr="00A964FF">
        <w:rPr>
          <w:rFonts w:ascii="Calibri" w:hAnsi="Calibri"/>
          <w:color w:val="auto"/>
        </w:rPr>
        <w:t>地表水环境风险事故发生概率较小。</w:t>
      </w:r>
    </w:p>
    <w:p w14:paraId="3EF781D7" w14:textId="77777777" w:rsidR="00D055EC" w:rsidRPr="00A964FF" w:rsidRDefault="003F49B0" w:rsidP="00D055EC">
      <w:pPr>
        <w:spacing w:line="520" w:lineRule="exact"/>
        <w:ind w:firstLine="482"/>
        <w:rPr>
          <w:rFonts w:ascii="Calibri" w:hAnsi="Calibri"/>
          <w:b/>
          <w:color w:val="auto"/>
          <w:sz w:val="24"/>
        </w:rPr>
      </w:pPr>
      <w:r w:rsidRPr="00A964FF">
        <w:rPr>
          <w:rFonts w:ascii="Calibri" w:hAnsi="Calibri" w:hint="eastAsia"/>
          <w:b/>
          <w:color w:val="auto"/>
          <w:sz w:val="24"/>
        </w:rPr>
        <w:t>2</w:t>
      </w:r>
      <w:r w:rsidR="00432793" w:rsidRPr="00A964FF">
        <w:rPr>
          <w:rFonts w:ascii="Calibri" w:hAnsi="Calibri" w:hint="eastAsia"/>
          <w:b/>
          <w:color w:val="auto"/>
          <w:sz w:val="24"/>
        </w:rPr>
        <w:t>、厂区三级预防与防控体系</w:t>
      </w:r>
    </w:p>
    <w:p w14:paraId="383CDE16" w14:textId="77777777" w:rsidR="00C76810" w:rsidRPr="00A964FF" w:rsidRDefault="00C76810" w:rsidP="00C76810">
      <w:pPr>
        <w:pStyle w:val="00"/>
        <w:ind w:firstLineChars="200"/>
        <w:rPr>
          <w:rFonts w:ascii="Calibri"/>
          <w:color w:val="auto"/>
        </w:rPr>
      </w:pPr>
      <w:r w:rsidRPr="00A964FF">
        <w:rPr>
          <w:rFonts w:ascii="Calibri" w:hint="eastAsia"/>
          <w:color w:val="auto"/>
        </w:rPr>
        <w:t>本项目以“预防为主、防控结合”的</w:t>
      </w:r>
      <w:r w:rsidR="002B08E2" w:rsidRPr="00A964FF">
        <w:rPr>
          <w:rFonts w:ascii="Calibri" w:hint="eastAsia"/>
          <w:color w:val="auto"/>
        </w:rPr>
        <w:t>指导</w:t>
      </w:r>
      <w:r w:rsidRPr="00A964FF">
        <w:rPr>
          <w:rFonts w:ascii="Calibri" w:hint="eastAsia"/>
          <w:color w:val="auto"/>
        </w:rPr>
        <w:t>思想，建立安全、及时、有效的污染综合预防与控制体系，确保事故状态下的污水全部处于受控状态，事故废水得到有效处理后达标排放，防止对周围地表水和地下水造成污染。本项目预防与防控体系划分为</w:t>
      </w:r>
      <w:r w:rsidRPr="00A964FF">
        <w:rPr>
          <w:rFonts w:ascii="Calibri" w:hint="eastAsia"/>
          <w:color w:val="auto"/>
        </w:rPr>
        <w:lastRenderedPageBreak/>
        <w:t>三级，分别为：</w:t>
      </w:r>
    </w:p>
    <w:p w14:paraId="1220C8B0" w14:textId="77777777" w:rsidR="00C76810" w:rsidRPr="00A964FF" w:rsidRDefault="00C76810" w:rsidP="00C76810">
      <w:pPr>
        <w:pStyle w:val="00"/>
        <w:ind w:firstLineChars="200"/>
        <w:rPr>
          <w:rFonts w:ascii="Calibri"/>
          <w:color w:val="auto"/>
        </w:rPr>
      </w:pPr>
      <w:r w:rsidRPr="00A964FF">
        <w:rPr>
          <w:rFonts w:ascii="Calibri" w:hint="eastAsia"/>
          <w:color w:val="auto"/>
        </w:rPr>
        <w:t>（</w:t>
      </w:r>
      <w:r w:rsidRPr="00A964FF">
        <w:rPr>
          <w:rFonts w:ascii="Calibri" w:hint="eastAsia"/>
          <w:color w:val="auto"/>
        </w:rPr>
        <w:t>1</w:t>
      </w:r>
      <w:r w:rsidRPr="00A964FF">
        <w:rPr>
          <w:rFonts w:ascii="Calibri" w:hint="eastAsia"/>
          <w:color w:val="auto"/>
        </w:rPr>
        <w:t>）一级预防与防控体系</w:t>
      </w:r>
    </w:p>
    <w:p w14:paraId="0EBFC17C" w14:textId="77777777" w:rsidR="00C76810" w:rsidRPr="00A964FF" w:rsidRDefault="00C76810" w:rsidP="00C76810">
      <w:pPr>
        <w:pStyle w:val="00"/>
        <w:ind w:firstLineChars="200"/>
        <w:rPr>
          <w:rFonts w:ascii="Calibri"/>
          <w:color w:val="auto"/>
        </w:rPr>
      </w:pPr>
      <w:r w:rsidRPr="00A964FF">
        <w:rPr>
          <w:rFonts w:ascii="Calibri" w:hint="eastAsia"/>
          <w:color w:val="auto"/>
        </w:rPr>
        <w:t>①防渗措施</w:t>
      </w:r>
    </w:p>
    <w:p w14:paraId="6D6E78B4" w14:textId="77777777" w:rsidR="00C76810" w:rsidRPr="00A964FF" w:rsidRDefault="00C76810" w:rsidP="00034A89">
      <w:pPr>
        <w:pStyle w:val="00"/>
        <w:ind w:firstLineChars="200"/>
        <w:rPr>
          <w:rFonts w:ascii="Calibri"/>
          <w:color w:val="auto"/>
        </w:rPr>
      </w:pPr>
      <w:r w:rsidRPr="00A964FF">
        <w:rPr>
          <w:rFonts w:ascii="Calibri" w:hint="eastAsia"/>
          <w:color w:val="auto"/>
        </w:rPr>
        <w:t>本项目一般防渗区域生产</w:t>
      </w:r>
      <w:r w:rsidR="003F49B0" w:rsidRPr="00A964FF">
        <w:rPr>
          <w:rFonts w:ascii="Calibri" w:hint="eastAsia"/>
          <w:color w:val="auto"/>
        </w:rPr>
        <w:t>装置区</w:t>
      </w:r>
      <w:r w:rsidRPr="00A964FF">
        <w:rPr>
          <w:rFonts w:ascii="Calibri" w:hint="eastAsia"/>
          <w:color w:val="auto"/>
        </w:rPr>
        <w:t>地面、</w:t>
      </w:r>
      <w:r w:rsidR="003F49B0" w:rsidRPr="00A964FF">
        <w:rPr>
          <w:rFonts w:ascii="Calibri" w:hint="eastAsia"/>
          <w:color w:val="auto"/>
        </w:rPr>
        <w:t>仓库</w:t>
      </w:r>
      <w:r w:rsidRPr="00A964FF">
        <w:rPr>
          <w:rFonts w:ascii="Calibri" w:hint="eastAsia"/>
          <w:color w:val="auto"/>
        </w:rPr>
        <w:t>地面等进行地面硬化后，再涂防渗涂层（环氧树脂漆等）</w:t>
      </w:r>
      <w:r w:rsidR="003F49B0" w:rsidRPr="00A964FF">
        <w:rPr>
          <w:rFonts w:ascii="Calibri" w:hint="eastAsia"/>
          <w:color w:val="auto"/>
        </w:rPr>
        <w:t>；</w:t>
      </w:r>
      <w:r w:rsidRPr="00A964FF">
        <w:rPr>
          <w:rFonts w:ascii="Calibri" w:hint="eastAsia"/>
          <w:color w:val="auto"/>
        </w:rPr>
        <w:t>污水处理站</w:t>
      </w:r>
      <w:r w:rsidR="003F49B0" w:rsidRPr="00A964FF">
        <w:rPr>
          <w:rFonts w:ascii="Calibri" w:hint="eastAsia"/>
          <w:color w:val="auto"/>
        </w:rPr>
        <w:t>构筑物</w:t>
      </w:r>
      <w:r w:rsidRPr="00A964FF">
        <w:rPr>
          <w:rFonts w:ascii="Calibri" w:hint="eastAsia"/>
          <w:color w:val="auto"/>
        </w:rPr>
        <w:t>、</w:t>
      </w:r>
      <w:r w:rsidR="003F49B0" w:rsidRPr="00A964FF">
        <w:rPr>
          <w:rFonts w:ascii="Calibri" w:hint="eastAsia"/>
          <w:color w:val="auto"/>
        </w:rPr>
        <w:t>事故池、</w:t>
      </w:r>
      <w:r w:rsidRPr="00A964FF">
        <w:rPr>
          <w:rFonts w:ascii="Calibri" w:hint="eastAsia"/>
          <w:color w:val="auto"/>
        </w:rPr>
        <w:t>初期雨水收集池等按照等效黏土防渗层</w:t>
      </w:r>
      <w:r w:rsidRPr="00A964FF">
        <w:rPr>
          <w:rFonts w:ascii="Calibri" w:hint="eastAsia"/>
          <w:color w:val="auto"/>
        </w:rPr>
        <w:t>Mb</w:t>
      </w:r>
      <w:r w:rsidRPr="00A964FF">
        <w:rPr>
          <w:rFonts w:ascii="Calibri" w:hint="eastAsia"/>
          <w:color w:val="auto"/>
        </w:rPr>
        <w:t>≥</w:t>
      </w:r>
      <w:r w:rsidRPr="00A964FF">
        <w:rPr>
          <w:rFonts w:ascii="Calibri" w:hint="eastAsia"/>
          <w:color w:val="auto"/>
        </w:rPr>
        <w:t>6m</w:t>
      </w:r>
      <w:r w:rsidRPr="00A964FF">
        <w:rPr>
          <w:rFonts w:ascii="Calibri" w:hint="eastAsia"/>
          <w:color w:val="auto"/>
        </w:rPr>
        <w:t>，</w:t>
      </w:r>
      <w:r w:rsidRPr="00A964FF">
        <w:rPr>
          <w:rFonts w:ascii="Calibri" w:hint="eastAsia"/>
          <w:color w:val="auto"/>
        </w:rPr>
        <w:t>K</w:t>
      </w:r>
      <w:r w:rsidRPr="00A964FF">
        <w:rPr>
          <w:rFonts w:ascii="Calibri" w:hint="eastAsia"/>
          <w:color w:val="auto"/>
        </w:rPr>
        <w:t>≤</w:t>
      </w:r>
      <w:r w:rsidRPr="00A964FF">
        <w:rPr>
          <w:rFonts w:ascii="Calibri" w:hint="eastAsia"/>
          <w:color w:val="auto"/>
        </w:rPr>
        <w:t>1</w:t>
      </w:r>
      <w:r w:rsidRPr="00A964FF">
        <w:rPr>
          <w:rFonts w:ascii="Calibri" w:hint="eastAsia"/>
          <w:color w:val="auto"/>
        </w:rPr>
        <w:t>×</w:t>
      </w:r>
      <w:r w:rsidRPr="00A964FF">
        <w:rPr>
          <w:rFonts w:ascii="Calibri" w:hint="eastAsia"/>
          <w:color w:val="auto"/>
        </w:rPr>
        <w:t>10</w:t>
      </w:r>
      <w:r w:rsidRPr="00A964FF">
        <w:rPr>
          <w:rFonts w:ascii="Calibri" w:hint="eastAsia"/>
          <w:color w:val="auto"/>
          <w:vertAlign w:val="superscript"/>
        </w:rPr>
        <w:t>-7</w:t>
      </w:r>
      <w:r w:rsidR="003F49B0" w:rsidRPr="00A964FF">
        <w:rPr>
          <w:rFonts w:ascii="Calibri" w:hint="eastAsia"/>
          <w:color w:val="auto"/>
        </w:rPr>
        <w:t>cm/s</w:t>
      </w:r>
      <w:r w:rsidR="003F49B0" w:rsidRPr="00A964FF">
        <w:rPr>
          <w:rFonts w:ascii="Calibri" w:hint="eastAsia"/>
          <w:color w:val="auto"/>
        </w:rPr>
        <w:t>，</w:t>
      </w:r>
      <w:r w:rsidRPr="00A964FF">
        <w:rPr>
          <w:rFonts w:ascii="Calibri" w:hint="eastAsia"/>
          <w:color w:val="auto"/>
        </w:rPr>
        <w:t>或参照</w:t>
      </w:r>
      <w:r w:rsidRPr="00A964FF">
        <w:rPr>
          <w:rFonts w:ascii="Calibri" w:hint="eastAsia"/>
          <w:color w:val="auto"/>
        </w:rPr>
        <w:t>GB18598</w:t>
      </w:r>
      <w:r w:rsidRPr="00A964FF">
        <w:rPr>
          <w:rFonts w:ascii="Calibri" w:hint="eastAsia"/>
          <w:color w:val="auto"/>
        </w:rPr>
        <w:t>执行。危废暂存间防渗应满足《危险废物贮存污染控制标准》（</w:t>
      </w:r>
      <w:r w:rsidRPr="00A964FF">
        <w:rPr>
          <w:rFonts w:ascii="Calibri" w:hint="eastAsia"/>
          <w:color w:val="auto"/>
        </w:rPr>
        <w:t>GB</w:t>
      </w:r>
      <w:r w:rsidR="00E81A41" w:rsidRPr="00A964FF">
        <w:rPr>
          <w:rFonts w:ascii="Calibri" w:hint="eastAsia"/>
          <w:color w:val="auto"/>
        </w:rPr>
        <w:t>18597</w:t>
      </w:r>
      <w:r w:rsidRPr="00A964FF">
        <w:rPr>
          <w:rFonts w:ascii="Calibri" w:hint="eastAsia"/>
          <w:color w:val="auto"/>
        </w:rPr>
        <w:t>-2001</w:t>
      </w:r>
      <w:r w:rsidRPr="00A964FF">
        <w:rPr>
          <w:rFonts w:ascii="Calibri" w:hint="eastAsia"/>
          <w:color w:val="auto"/>
        </w:rPr>
        <w:t>）及其修改单要求。</w:t>
      </w:r>
    </w:p>
    <w:p w14:paraId="4219763F" w14:textId="77777777" w:rsidR="00C76810" w:rsidRPr="00A964FF" w:rsidRDefault="00C76810" w:rsidP="00C76810">
      <w:pPr>
        <w:pStyle w:val="00"/>
        <w:ind w:firstLineChars="200"/>
        <w:rPr>
          <w:rFonts w:ascii="Calibri"/>
          <w:color w:val="auto"/>
        </w:rPr>
      </w:pPr>
      <w:r w:rsidRPr="00A964FF">
        <w:rPr>
          <w:rFonts w:ascii="Calibri" w:hint="eastAsia"/>
          <w:color w:val="auto"/>
        </w:rPr>
        <w:t>②围堰设置</w:t>
      </w:r>
    </w:p>
    <w:p w14:paraId="65DA153E" w14:textId="77777777" w:rsidR="00C76810" w:rsidRPr="00A964FF" w:rsidRDefault="00C76810" w:rsidP="00C76810">
      <w:pPr>
        <w:pStyle w:val="00"/>
        <w:ind w:firstLineChars="200"/>
        <w:rPr>
          <w:rFonts w:ascii="Calibri"/>
          <w:color w:val="auto"/>
        </w:rPr>
      </w:pPr>
      <w:r w:rsidRPr="00A964FF">
        <w:rPr>
          <w:rFonts w:ascii="Calibri" w:hint="eastAsia"/>
          <w:color w:val="auto"/>
        </w:rPr>
        <w:t>仓库液体储存区必须设置不低于</w:t>
      </w:r>
      <w:r w:rsidRPr="00A964FF">
        <w:rPr>
          <w:rFonts w:ascii="Calibri" w:hint="eastAsia"/>
          <w:color w:val="auto"/>
        </w:rPr>
        <w:t>50cm</w:t>
      </w:r>
      <w:r w:rsidRPr="00A964FF">
        <w:rPr>
          <w:rFonts w:ascii="Calibri" w:hint="eastAsia"/>
          <w:color w:val="auto"/>
        </w:rPr>
        <w:t>的围堰和导流设施，并按规定分区设置、分区存放。根据围堰内可能泄漏液体的特性，在围堰内设置集水沟槽、排水口作为导流设施，并在集水沟槽、排水口下游设置集水封井。围堰外设置阀门切换井，正常情况下雨水排水系统阀门关闭：初期雨水排入污水处理系统。清净雨水排入雨水排放系统。切换阀门操作设置在地面。</w:t>
      </w:r>
    </w:p>
    <w:p w14:paraId="7A6DDADD" w14:textId="77777777" w:rsidR="00432793" w:rsidRPr="00A964FF" w:rsidRDefault="00C76810" w:rsidP="00143EB3">
      <w:pPr>
        <w:pStyle w:val="00"/>
        <w:ind w:firstLineChars="200"/>
        <w:rPr>
          <w:rFonts w:ascii="Calibri"/>
          <w:color w:val="auto"/>
        </w:rPr>
      </w:pPr>
      <w:r w:rsidRPr="00A964FF">
        <w:rPr>
          <w:rFonts w:ascii="Calibri" w:hint="eastAsia"/>
          <w:color w:val="auto"/>
        </w:rPr>
        <w:t>厂区设置</w:t>
      </w:r>
      <w:r w:rsidRPr="00A964FF">
        <w:rPr>
          <w:rFonts w:ascii="Calibri" w:hint="eastAsia"/>
          <w:color w:val="auto"/>
        </w:rPr>
        <w:t>1</w:t>
      </w:r>
      <w:r w:rsidRPr="00A964FF">
        <w:rPr>
          <w:rFonts w:ascii="Calibri" w:hint="eastAsia"/>
          <w:color w:val="auto"/>
        </w:rPr>
        <w:t>座事故池</w:t>
      </w:r>
      <w:r w:rsidR="00432793" w:rsidRPr="00A964FF">
        <w:rPr>
          <w:rFonts w:ascii="Calibri" w:hint="eastAsia"/>
          <w:color w:val="auto"/>
        </w:rPr>
        <w:t>，并按照</w:t>
      </w:r>
      <w:r w:rsidR="00143EB3">
        <w:rPr>
          <w:rFonts w:ascii="Calibri" w:hint="eastAsia"/>
          <w:color w:val="auto"/>
        </w:rPr>
        <w:t>一般</w:t>
      </w:r>
      <w:r w:rsidR="00143EB3">
        <w:rPr>
          <w:rFonts w:ascii="Calibri"/>
          <w:color w:val="auto"/>
        </w:rPr>
        <w:t>防渗</w:t>
      </w:r>
      <w:r w:rsidR="00432793" w:rsidRPr="00A964FF">
        <w:rPr>
          <w:rFonts w:ascii="Calibri" w:hint="eastAsia"/>
          <w:color w:val="auto"/>
        </w:rPr>
        <w:t>要求严格防渗。</w:t>
      </w:r>
    </w:p>
    <w:p w14:paraId="63724D57" w14:textId="77777777" w:rsidR="00432793" w:rsidRPr="00A964FF" w:rsidRDefault="00432793" w:rsidP="00332ADB">
      <w:pPr>
        <w:pStyle w:val="00"/>
        <w:ind w:firstLineChars="200"/>
        <w:rPr>
          <w:rFonts w:ascii="Calibri"/>
          <w:color w:val="auto"/>
        </w:rPr>
      </w:pPr>
      <w:r w:rsidRPr="00A964FF">
        <w:rPr>
          <w:rFonts w:ascii="Calibri" w:hint="eastAsia"/>
          <w:color w:val="auto"/>
        </w:rPr>
        <w:t>③灭火系统</w:t>
      </w:r>
    </w:p>
    <w:p w14:paraId="330DE297" w14:textId="77777777" w:rsidR="00432793" w:rsidRPr="00A964FF" w:rsidRDefault="00432793" w:rsidP="00432793">
      <w:pPr>
        <w:pStyle w:val="00"/>
        <w:ind w:firstLineChars="200"/>
        <w:rPr>
          <w:rFonts w:ascii="Calibri"/>
          <w:color w:val="auto"/>
        </w:rPr>
      </w:pPr>
      <w:r w:rsidRPr="00A964FF">
        <w:rPr>
          <w:rFonts w:ascii="Calibri"/>
          <w:color w:val="auto"/>
        </w:rPr>
        <w:t>根据实际建设情况，若发生火灾爆炸情况，采用灭火系统，当事故发生时，消防水系统启用，关闭雨排水阀门，将消防</w:t>
      </w:r>
      <w:r w:rsidR="003F49B0" w:rsidRPr="00A964FF">
        <w:rPr>
          <w:rFonts w:ascii="Calibri" w:hint="eastAsia"/>
          <w:color w:val="auto"/>
        </w:rPr>
        <w:t>废水</w:t>
      </w:r>
      <w:r w:rsidRPr="00A964FF">
        <w:rPr>
          <w:rFonts w:ascii="Calibri"/>
          <w:color w:val="auto"/>
        </w:rPr>
        <w:t>引入事故池。</w:t>
      </w:r>
    </w:p>
    <w:p w14:paraId="36BA887B" w14:textId="77777777" w:rsidR="00432793" w:rsidRPr="00A964FF" w:rsidRDefault="00432793" w:rsidP="00332ADB">
      <w:pPr>
        <w:pStyle w:val="00"/>
        <w:ind w:firstLineChars="200"/>
        <w:rPr>
          <w:rFonts w:ascii="Calibri"/>
          <w:color w:val="auto"/>
        </w:rPr>
      </w:pPr>
      <w:r w:rsidRPr="00A964FF">
        <w:rPr>
          <w:rFonts w:ascii="Calibri" w:hint="eastAsia"/>
          <w:color w:val="auto"/>
        </w:rPr>
        <w:t>（</w:t>
      </w:r>
      <w:r w:rsidRPr="00A964FF">
        <w:rPr>
          <w:rFonts w:ascii="Calibri" w:hint="eastAsia"/>
          <w:color w:val="auto"/>
        </w:rPr>
        <w:t>2</w:t>
      </w:r>
      <w:r w:rsidRPr="00A964FF">
        <w:rPr>
          <w:rFonts w:ascii="Calibri" w:hint="eastAsia"/>
          <w:color w:val="auto"/>
        </w:rPr>
        <w:t>）二级预防与防控体系</w:t>
      </w:r>
    </w:p>
    <w:p w14:paraId="2D12B76B" w14:textId="77777777" w:rsidR="00432793" w:rsidRPr="00A964FF" w:rsidRDefault="00432793" w:rsidP="00432793">
      <w:pPr>
        <w:pStyle w:val="00"/>
        <w:ind w:firstLineChars="200"/>
        <w:rPr>
          <w:rFonts w:ascii="Calibri"/>
          <w:color w:val="auto"/>
        </w:rPr>
      </w:pPr>
      <w:r w:rsidRPr="00A964FF">
        <w:rPr>
          <w:rFonts w:ascii="Calibri" w:hint="eastAsia"/>
          <w:color w:val="auto"/>
        </w:rPr>
        <w:t>《化工建设项目环境保护设计规范》（</w:t>
      </w:r>
      <w:r w:rsidRPr="00A964FF">
        <w:rPr>
          <w:rFonts w:ascii="Calibri" w:hint="eastAsia"/>
          <w:color w:val="auto"/>
        </w:rPr>
        <w:t>GB50483</w:t>
      </w:r>
      <w:r w:rsidRPr="00A964FF">
        <w:rPr>
          <w:rFonts w:ascii="Calibri" w:hint="eastAsia"/>
          <w:color w:val="auto"/>
        </w:rPr>
        <w:t>）中规定：化工建设项目应设置应急事故水池。</w:t>
      </w:r>
    </w:p>
    <w:p w14:paraId="42134A74" w14:textId="77777777" w:rsidR="00432793" w:rsidRPr="00A964FF" w:rsidRDefault="00605422" w:rsidP="00432793">
      <w:pPr>
        <w:pStyle w:val="00"/>
        <w:ind w:firstLineChars="200"/>
        <w:rPr>
          <w:rFonts w:ascii="Calibri"/>
          <w:color w:val="auto"/>
        </w:rPr>
      </w:pPr>
      <w:r w:rsidRPr="00A964FF">
        <w:rPr>
          <w:rFonts w:ascii="Calibri" w:hint="eastAsia"/>
          <w:color w:val="auto"/>
        </w:rPr>
        <w:t>本</w:t>
      </w:r>
      <w:r w:rsidR="00432793" w:rsidRPr="00A964FF">
        <w:rPr>
          <w:rFonts w:ascii="Calibri" w:hint="eastAsia"/>
          <w:color w:val="auto"/>
        </w:rPr>
        <w:t>项目在厂区设置</w:t>
      </w:r>
      <w:r w:rsidR="00C76810" w:rsidRPr="00A964FF">
        <w:rPr>
          <w:rFonts w:ascii="Calibri" w:hint="eastAsia"/>
          <w:color w:val="auto"/>
        </w:rPr>
        <w:t>1</w:t>
      </w:r>
      <w:r w:rsidR="00C76810" w:rsidRPr="00A964FF">
        <w:rPr>
          <w:rFonts w:ascii="Calibri" w:hint="eastAsia"/>
          <w:color w:val="auto"/>
        </w:rPr>
        <w:t>座容积为</w:t>
      </w:r>
      <w:r w:rsidR="00034A89">
        <w:rPr>
          <w:rFonts w:ascii="Calibri"/>
          <w:color w:val="auto"/>
        </w:rPr>
        <w:t>500</w:t>
      </w:r>
      <w:r w:rsidR="00432793" w:rsidRPr="00A964FF">
        <w:rPr>
          <w:rFonts w:ascii="Calibri" w:hint="eastAsia"/>
          <w:color w:val="auto"/>
        </w:rPr>
        <w:t>m</w:t>
      </w:r>
      <w:r w:rsidR="00432793" w:rsidRPr="00A964FF">
        <w:rPr>
          <w:rFonts w:ascii="Calibri" w:hint="eastAsia"/>
          <w:color w:val="auto"/>
          <w:vertAlign w:val="superscript"/>
        </w:rPr>
        <w:t>3</w:t>
      </w:r>
      <w:r w:rsidR="00C76810" w:rsidRPr="00A964FF">
        <w:rPr>
          <w:rFonts w:ascii="Calibri" w:hint="eastAsia"/>
          <w:color w:val="auto"/>
        </w:rPr>
        <w:t>事故池和</w:t>
      </w:r>
      <w:r w:rsidR="00C76810" w:rsidRPr="00A964FF">
        <w:rPr>
          <w:rFonts w:ascii="Calibri" w:hint="eastAsia"/>
          <w:color w:val="auto"/>
        </w:rPr>
        <w:t>1</w:t>
      </w:r>
      <w:r w:rsidR="00C76810" w:rsidRPr="00A964FF">
        <w:rPr>
          <w:rFonts w:ascii="Calibri" w:hint="eastAsia"/>
          <w:color w:val="auto"/>
        </w:rPr>
        <w:t>座容积为</w:t>
      </w:r>
      <w:r w:rsidR="00034A89">
        <w:rPr>
          <w:rFonts w:ascii="Calibri"/>
          <w:color w:val="auto"/>
        </w:rPr>
        <w:t>580</w:t>
      </w:r>
      <w:r w:rsidR="00432793" w:rsidRPr="00A964FF">
        <w:rPr>
          <w:rFonts w:ascii="Calibri" w:hint="eastAsia"/>
          <w:color w:val="auto"/>
        </w:rPr>
        <w:t>m</w:t>
      </w:r>
      <w:r w:rsidR="00432793" w:rsidRPr="00A964FF">
        <w:rPr>
          <w:rFonts w:ascii="Calibri" w:hint="eastAsia"/>
          <w:color w:val="auto"/>
          <w:vertAlign w:val="superscript"/>
        </w:rPr>
        <w:t>3</w:t>
      </w:r>
      <w:r w:rsidR="00C76810" w:rsidRPr="00A964FF">
        <w:rPr>
          <w:rFonts w:ascii="Calibri" w:hint="eastAsia"/>
          <w:color w:val="auto"/>
        </w:rPr>
        <w:t>初期</w:t>
      </w:r>
      <w:r w:rsidR="00432793" w:rsidRPr="00A964FF">
        <w:rPr>
          <w:rFonts w:ascii="Calibri" w:hint="eastAsia"/>
          <w:color w:val="auto"/>
        </w:rPr>
        <w:t>雨水收集池，可满足事故状态下废水及初期雨水收集</w:t>
      </w:r>
      <w:r w:rsidR="00C76810" w:rsidRPr="00A964FF">
        <w:rPr>
          <w:rFonts w:ascii="Calibri" w:hint="eastAsia"/>
          <w:color w:val="auto"/>
        </w:rPr>
        <w:t>需要</w:t>
      </w:r>
      <w:r w:rsidR="00432793" w:rsidRPr="00A964FF">
        <w:rPr>
          <w:rFonts w:ascii="Calibri" w:hint="eastAsia"/>
          <w:color w:val="auto"/>
        </w:rPr>
        <w:t>。</w:t>
      </w:r>
    </w:p>
    <w:p w14:paraId="791C2206" w14:textId="77777777" w:rsidR="00C76810" w:rsidRPr="00A964FF" w:rsidRDefault="00C76810" w:rsidP="00C76810">
      <w:pPr>
        <w:pStyle w:val="00"/>
        <w:ind w:firstLineChars="200"/>
        <w:rPr>
          <w:rFonts w:ascii="Calibri"/>
          <w:color w:val="auto"/>
        </w:rPr>
      </w:pPr>
      <w:r w:rsidRPr="00A964FF">
        <w:rPr>
          <w:rFonts w:ascii="Calibri"/>
          <w:color w:val="auto"/>
        </w:rPr>
        <w:t>完善厂区的雨水及事故废水收集系统，雨水排放管与污水收集之间应设置切换装置，如发生装置泄漏或火灾事故，保证事故时的物料和消防废水不会通过雨水管网系统外排。</w:t>
      </w:r>
    </w:p>
    <w:p w14:paraId="475230DF" w14:textId="77777777" w:rsidR="003F49B0" w:rsidRPr="00A964FF" w:rsidRDefault="00C76810" w:rsidP="00C76810">
      <w:pPr>
        <w:pStyle w:val="00"/>
        <w:ind w:firstLineChars="200"/>
        <w:rPr>
          <w:rFonts w:ascii="Calibri"/>
          <w:color w:val="auto"/>
        </w:rPr>
      </w:pPr>
      <w:r w:rsidRPr="00A964FF">
        <w:rPr>
          <w:rFonts w:ascii="Calibri" w:hint="eastAsia"/>
          <w:color w:val="auto"/>
        </w:rPr>
        <w:t>事故状态下产生的废水、废液应收集到事故水池中，并设置消防废水收集系统收</w:t>
      </w:r>
      <w:r w:rsidRPr="00A964FF">
        <w:rPr>
          <w:rFonts w:ascii="Calibri" w:hint="eastAsia"/>
          <w:color w:val="auto"/>
        </w:rPr>
        <w:lastRenderedPageBreak/>
        <w:t>集消防水，同时应准备必要的设施，确保事故状态下能及时封堵厂区内外流地沟或流水沟，切断排放口与外部水体之间的联系，防止污染介质外流扩散造成水体、土壤大面积环境污染。</w:t>
      </w:r>
    </w:p>
    <w:p w14:paraId="3729BC0B"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3</w:t>
      </w:r>
      <w:r w:rsidRPr="00A964FF">
        <w:rPr>
          <w:rFonts w:ascii="Calibri" w:hint="eastAsia"/>
          <w:color w:val="auto"/>
        </w:rPr>
        <w:t>）</w:t>
      </w:r>
      <w:r w:rsidRPr="00A964FF">
        <w:rPr>
          <w:rFonts w:ascii="Calibri"/>
          <w:color w:val="auto"/>
        </w:rPr>
        <w:t>三级</w:t>
      </w:r>
      <w:r w:rsidRPr="00A964FF">
        <w:rPr>
          <w:rFonts w:ascii="Calibri" w:hint="eastAsia"/>
          <w:color w:val="auto"/>
        </w:rPr>
        <w:t>预防与防控体系</w:t>
      </w:r>
    </w:p>
    <w:p w14:paraId="571FD473" w14:textId="77777777" w:rsidR="003F49B0" w:rsidRPr="00A964FF" w:rsidRDefault="003F49B0" w:rsidP="003F49B0">
      <w:pPr>
        <w:pStyle w:val="00"/>
        <w:ind w:firstLineChars="200"/>
        <w:rPr>
          <w:rFonts w:ascii="Calibri"/>
          <w:color w:val="auto"/>
        </w:rPr>
      </w:pPr>
      <w:r w:rsidRPr="00A964FF">
        <w:rPr>
          <w:rFonts w:ascii="Calibri"/>
          <w:color w:val="auto"/>
        </w:rPr>
        <w:t>公司在厂区雨水排放口和污水排放口处设置总阀门，当厂区发生事故时，第一时间关闭阀门，截断废水外排途径。雨水排放口总阀门和污水排放口总阀门，可直接截断整个厂区废水外排途径，可作为厂区三级防控手段降低环境风险。</w:t>
      </w:r>
    </w:p>
    <w:p w14:paraId="7B26338A" w14:textId="77777777" w:rsidR="003F49B0" w:rsidRPr="00A964FF" w:rsidRDefault="003F49B0" w:rsidP="00034A89">
      <w:pPr>
        <w:pStyle w:val="00"/>
        <w:ind w:firstLineChars="200"/>
        <w:rPr>
          <w:rFonts w:ascii="Calibri"/>
          <w:color w:val="auto"/>
        </w:rPr>
      </w:pPr>
      <w:r w:rsidRPr="00A964FF">
        <w:rPr>
          <w:rFonts w:ascii="Calibri" w:hint="eastAsia"/>
          <w:color w:val="auto"/>
        </w:rPr>
        <w:t>本项目防止事故水进入外环境的控制、封堵系统图见图</w:t>
      </w:r>
      <w:r w:rsidRPr="00A964FF">
        <w:rPr>
          <w:rFonts w:ascii="Calibri" w:hint="eastAsia"/>
          <w:color w:val="auto"/>
        </w:rPr>
        <w:t>5.</w:t>
      </w:r>
      <w:r w:rsidR="00EC65D5" w:rsidRPr="00A964FF">
        <w:rPr>
          <w:rFonts w:ascii="Calibri" w:hint="eastAsia"/>
          <w:color w:val="auto"/>
        </w:rPr>
        <w:t>3</w:t>
      </w:r>
      <w:r w:rsidRPr="00A964FF">
        <w:rPr>
          <w:rFonts w:ascii="Calibri" w:hint="eastAsia"/>
          <w:color w:val="auto"/>
        </w:rPr>
        <w:t>-1</w:t>
      </w:r>
      <w:r w:rsidRPr="00A964FF">
        <w:rPr>
          <w:rFonts w:ascii="Calibri" w:hint="eastAsia"/>
          <w:color w:val="auto"/>
        </w:rPr>
        <w:t>。</w:t>
      </w:r>
    </w:p>
    <w:p w14:paraId="03942754" w14:textId="77777777" w:rsidR="008E4241" w:rsidRPr="00A964FF" w:rsidRDefault="00971B8B" w:rsidP="008E4241">
      <w:pPr>
        <w:pStyle w:val="00"/>
        <w:ind w:firstLineChars="200"/>
        <w:rPr>
          <w:rFonts w:ascii="Calibri" w:eastAsia="黑体" w:hAnsi="Calibri"/>
          <w:color w:val="auto"/>
        </w:rPr>
      </w:pPr>
      <w:r>
        <w:rPr>
          <w:rFonts w:ascii="Calibri" w:eastAsia="黑体" w:hAnsi="Calibri"/>
          <w:noProof/>
          <w:color w:val="auto"/>
        </w:rPr>
        <mc:AlternateContent>
          <mc:Choice Requires="wpc">
            <w:drawing>
              <wp:anchor distT="0" distB="0" distL="114300" distR="114300" simplePos="0" relativeHeight="251450880" behindDoc="0" locked="0" layoutInCell="1" allowOverlap="1" wp14:anchorId="009FF39C" wp14:editId="13514ECA">
                <wp:simplePos x="0" y="0"/>
                <wp:positionH relativeFrom="column">
                  <wp:posOffset>-42545</wp:posOffset>
                </wp:positionH>
                <wp:positionV relativeFrom="paragraph">
                  <wp:posOffset>67310</wp:posOffset>
                </wp:positionV>
                <wp:extent cx="5718810" cy="3319145"/>
                <wp:effectExtent l="0" t="635" r="635" b="4445"/>
                <wp:wrapTopAndBottom/>
                <wp:docPr id="14938" name="画布 149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14939"/>
                        <wps:cNvSpPr txBox="1">
                          <a:spLocks noChangeArrowheads="1"/>
                        </wps:cNvSpPr>
                        <wps:spPr bwMode="auto">
                          <a:xfrm>
                            <a:off x="49530" y="122555"/>
                            <a:ext cx="866140" cy="269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138E53" w14:textId="77777777" w:rsidR="00217891" w:rsidRDefault="00217891" w:rsidP="00605422">
                              <w:pPr>
                                <w:jc w:val="center"/>
                              </w:pPr>
                              <w:r>
                                <w:rPr>
                                  <w:rFonts w:hint="eastAsia"/>
                                </w:rPr>
                                <w:t>生产废水</w:t>
                              </w:r>
                            </w:p>
                          </w:txbxContent>
                        </wps:txbx>
                        <wps:bodyPr rot="0" vert="horz" wrap="square" lIns="91440" tIns="45720" rIns="91440" bIns="45720" anchor="t" anchorCtr="0" upright="1">
                          <a:noAutofit/>
                        </wps:bodyPr>
                      </wps:wsp>
                      <wps:wsp>
                        <wps:cNvPr id="4" name="AutoShape 14940"/>
                        <wps:cNvCnPr>
                          <a:cxnSpLocks noChangeShapeType="1"/>
                          <a:stCxn id="3" idx="3"/>
                        </wps:cNvCnPr>
                        <wps:spPr bwMode="auto">
                          <a:xfrm>
                            <a:off x="915670" y="257810"/>
                            <a:ext cx="516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14941"/>
                        <wps:cNvSpPr txBox="1">
                          <a:spLocks noChangeArrowheads="1"/>
                        </wps:cNvSpPr>
                        <wps:spPr bwMode="auto">
                          <a:xfrm>
                            <a:off x="1431925" y="122555"/>
                            <a:ext cx="1104900" cy="269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A7F71" w14:textId="77777777" w:rsidR="00217891" w:rsidRDefault="00217891" w:rsidP="00605422">
                              <w:pPr>
                                <w:jc w:val="center"/>
                              </w:pPr>
                              <w:r>
                                <w:rPr>
                                  <w:rFonts w:hint="eastAsia"/>
                                </w:rPr>
                                <w:t>废水收集系统</w:t>
                              </w:r>
                            </w:p>
                          </w:txbxContent>
                        </wps:txbx>
                        <wps:bodyPr rot="0" vert="horz" wrap="square" lIns="91440" tIns="45720" rIns="91440" bIns="45720" anchor="t" anchorCtr="0" upright="1">
                          <a:noAutofit/>
                        </wps:bodyPr>
                      </wps:wsp>
                      <wps:wsp>
                        <wps:cNvPr id="6" name="AutoShape 14942"/>
                        <wps:cNvCnPr>
                          <a:cxnSpLocks noChangeShapeType="1"/>
                        </wps:cNvCnPr>
                        <wps:spPr bwMode="auto">
                          <a:xfrm>
                            <a:off x="2536825" y="258445"/>
                            <a:ext cx="5168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14943"/>
                        <wps:cNvSpPr txBox="1">
                          <a:spLocks noChangeArrowheads="1"/>
                        </wps:cNvSpPr>
                        <wps:spPr bwMode="auto">
                          <a:xfrm>
                            <a:off x="3053715" y="123825"/>
                            <a:ext cx="1240790" cy="269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5FE65E" w14:textId="77777777" w:rsidR="00217891" w:rsidRDefault="00217891" w:rsidP="00605422">
                              <w:pPr>
                                <w:jc w:val="center"/>
                              </w:pPr>
                              <w:r>
                                <w:rPr>
                                  <w:rFonts w:hint="eastAsia"/>
                                </w:rPr>
                                <w:t>自建废水处理站</w:t>
                              </w:r>
                            </w:p>
                          </w:txbxContent>
                        </wps:txbx>
                        <wps:bodyPr rot="0" vert="horz" wrap="square" lIns="91440" tIns="45720" rIns="91440" bIns="45720" anchor="t" anchorCtr="0" upright="1">
                          <a:noAutofit/>
                        </wps:bodyPr>
                      </wps:wsp>
                      <wps:wsp>
                        <wps:cNvPr id="8" name="AutoShape 14944"/>
                        <wps:cNvCnPr>
                          <a:cxnSpLocks noChangeShapeType="1"/>
                        </wps:cNvCnPr>
                        <wps:spPr bwMode="auto">
                          <a:xfrm flipV="1">
                            <a:off x="4294505" y="257810"/>
                            <a:ext cx="51689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4945"/>
                        <wps:cNvSpPr txBox="1">
                          <a:spLocks noChangeArrowheads="1"/>
                        </wps:cNvSpPr>
                        <wps:spPr bwMode="auto">
                          <a:xfrm>
                            <a:off x="4756150" y="123825"/>
                            <a:ext cx="86614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A605" w14:textId="77777777" w:rsidR="00217891" w:rsidRDefault="00217891" w:rsidP="00605422">
                              <w:pPr>
                                <w:jc w:val="center"/>
                              </w:pPr>
                              <w:r>
                                <w:rPr>
                                  <w:rFonts w:hint="eastAsia"/>
                                </w:rPr>
                                <w:t>污水处理厂</w:t>
                              </w:r>
                            </w:p>
                          </w:txbxContent>
                        </wps:txbx>
                        <wps:bodyPr rot="0" vert="horz" wrap="square" lIns="91440" tIns="45720" rIns="91440" bIns="45720" anchor="t" anchorCtr="0" upright="1">
                          <a:noAutofit/>
                        </wps:bodyPr>
                      </wps:wsp>
                      <wps:wsp>
                        <wps:cNvPr id="10" name="Text Box 14946"/>
                        <wps:cNvSpPr txBox="1">
                          <a:spLocks noChangeArrowheads="1"/>
                        </wps:cNvSpPr>
                        <wps:spPr bwMode="auto">
                          <a:xfrm>
                            <a:off x="49530" y="815340"/>
                            <a:ext cx="1047750" cy="269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B6D2F1" w14:textId="77777777" w:rsidR="00217891" w:rsidRDefault="00217891" w:rsidP="00605422">
                              <w:pPr>
                                <w:jc w:val="center"/>
                              </w:pPr>
                              <w:r>
                                <w:rPr>
                                  <w:rFonts w:hint="eastAsia"/>
                                </w:rPr>
                                <w:t>仓储事故废水</w:t>
                              </w:r>
                            </w:p>
                          </w:txbxContent>
                        </wps:txbx>
                        <wps:bodyPr rot="0" vert="horz" wrap="square" lIns="91440" tIns="45720" rIns="91440" bIns="45720" anchor="t" anchorCtr="0" upright="1">
                          <a:noAutofit/>
                        </wps:bodyPr>
                      </wps:wsp>
                      <wps:wsp>
                        <wps:cNvPr id="11" name="AutoShape 14947"/>
                        <wps:cNvCnPr>
                          <a:cxnSpLocks noChangeShapeType="1"/>
                        </wps:cNvCnPr>
                        <wps:spPr bwMode="auto">
                          <a:xfrm>
                            <a:off x="1097280" y="950595"/>
                            <a:ext cx="19564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4948"/>
                        <wps:cNvSpPr txBox="1">
                          <a:spLocks noChangeArrowheads="1"/>
                        </wps:cNvSpPr>
                        <wps:spPr bwMode="auto">
                          <a:xfrm>
                            <a:off x="3053715" y="815340"/>
                            <a:ext cx="906780" cy="269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9D2592" w14:textId="77777777" w:rsidR="00217891" w:rsidRPr="00D57E5D" w:rsidRDefault="00217891" w:rsidP="00605422">
                              <w:pPr>
                                <w:jc w:val="center"/>
                                <w:rPr>
                                  <w:rFonts w:ascii="Calibri" w:hAnsi="Calibri"/>
                                </w:rPr>
                              </w:pPr>
                              <w:r w:rsidRPr="00D57E5D">
                                <w:rPr>
                                  <w:rFonts w:ascii="Calibri"/>
                                </w:rPr>
                                <w:t>事故池</w:t>
                              </w:r>
                            </w:p>
                          </w:txbxContent>
                        </wps:txbx>
                        <wps:bodyPr rot="0" vert="horz" wrap="square" lIns="91440" tIns="45720" rIns="91440" bIns="45720" anchor="t" anchorCtr="0" upright="1">
                          <a:noAutofit/>
                        </wps:bodyPr>
                      </wps:wsp>
                      <wps:wsp>
                        <wps:cNvPr id="13" name="AutoShape 14950"/>
                        <wps:cNvCnPr>
                          <a:cxnSpLocks noChangeShapeType="1"/>
                        </wps:cNvCnPr>
                        <wps:spPr bwMode="auto">
                          <a:xfrm flipV="1">
                            <a:off x="3482340" y="392430"/>
                            <a:ext cx="635"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4951"/>
                        <wps:cNvSpPr>
                          <a:spLocks noChangeArrowheads="1"/>
                        </wps:cNvSpPr>
                        <wps:spPr bwMode="auto">
                          <a:xfrm rot="5400000">
                            <a:off x="1976120" y="845185"/>
                            <a:ext cx="142240" cy="238125"/>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4952"/>
                        <wps:cNvCnPr>
                          <a:cxnSpLocks noChangeShapeType="1"/>
                        </wps:cNvCnPr>
                        <wps:spPr bwMode="auto">
                          <a:xfrm>
                            <a:off x="2005330" y="790575"/>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4953"/>
                        <wps:cNvCnPr>
                          <a:cxnSpLocks noChangeShapeType="1"/>
                        </wps:cNvCnPr>
                        <wps:spPr bwMode="auto">
                          <a:xfrm>
                            <a:off x="2044065" y="790575"/>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14954"/>
                        <wps:cNvSpPr txBox="1">
                          <a:spLocks noChangeArrowheads="1"/>
                        </wps:cNvSpPr>
                        <wps:spPr bwMode="auto">
                          <a:xfrm>
                            <a:off x="49530" y="1506855"/>
                            <a:ext cx="1047750" cy="269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18CB11" w14:textId="77777777" w:rsidR="00217891" w:rsidRDefault="00217891" w:rsidP="00605422">
                              <w:pPr>
                                <w:jc w:val="center"/>
                              </w:pPr>
                              <w:r>
                                <w:rPr>
                                  <w:rFonts w:hint="eastAsia"/>
                                </w:rPr>
                                <w:t>生产事故废水</w:t>
                              </w:r>
                            </w:p>
                          </w:txbxContent>
                        </wps:txbx>
                        <wps:bodyPr rot="0" vert="horz" wrap="square" lIns="91440" tIns="45720" rIns="91440" bIns="45720" anchor="t" anchorCtr="0" upright="1">
                          <a:noAutofit/>
                        </wps:bodyPr>
                      </wps:wsp>
                      <wps:wsp>
                        <wps:cNvPr id="18" name="AutoShape 14955"/>
                        <wps:cNvCnPr>
                          <a:cxnSpLocks noChangeShapeType="1"/>
                        </wps:cNvCnPr>
                        <wps:spPr bwMode="auto">
                          <a:xfrm>
                            <a:off x="1097280" y="1641475"/>
                            <a:ext cx="516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4956"/>
                        <wps:cNvSpPr txBox="1">
                          <a:spLocks noChangeArrowheads="1"/>
                        </wps:cNvSpPr>
                        <wps:spPr bwMode="auto">
                          <a:xfrm>
                            <a:off x="1613535" y="1506220"/>
                            <a:ext cx="1104900" cy="269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97E8BA" w14:textId="77777777" w:rsidR="00217891" w:rsidRPr="00D57E5D" w:rsidRDefault="00217891" w:rsidP="00605422">
                              <w:pPr>
                                <w:jc w:val="center"/>
                                <w:rPr>
                                  <w:rFonts w:ascii="Calibri" w:hAnsi="Calibri"/>
                                </w:rPr>
                              </w:pPr>
                              <w:r w:rsidRPr="00D57E5D">
                                <w:rPr>
                                  <w:rFonts w:ascii="Calibri"/>
                                </w:rPr>
                                <w:t>废水收集系统</w:t>
                              </w:r>
                            </w:p>
                          </w:txbxContent>
                        </wps:txbx>
                        <wps:bodyPr rot="0" vert="horz" wrap="square" lIns="91440" tIns="45720" rIns="91440" bIns="45720" anchor="t" anchorCtr="0" upright="1">
                          <a:noAutofit/>
                        </wps:bodyPr>
                      </wps:wsp>
                      <wps:wsp>
                        <wps:cNvPr id="22" name="AutoShape 14957"/>
                        <wps:cNvCnPr>
                          <a:cxnSpLocks noChangeShapeType="1"/>
                        </wps:cNvCnPr>
                        <wps:spPr bwMode="auto">
                          <a:xfrm flipV="1">
                            <a:off x="3355975" y="1084580"/>
                            <a:ext cx="635"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4958"/>
                        <wps:cNvCnPr>
                          <a:cxnSpLocks noChangeShapeType="1"/>
                          <a:stCxn id="20" idx="3"/>
                        </wps:cNvCnPr>
                        <wps:spPr bwMode="auto">
                          <a:xfrm>
                            <a:off x="2718435" y="1641475"/>
                            <a:ext cx="637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14959"/>
                        <wps:cNvSpPr txBox="1">
                          <a:spLocks noChangeArrowheads="1"/>
                        </wps:cNvSpPr>
                        <wps:spPr bwMode="auto">
                          <a:xfrm>
                            <a:off x="49530" y="2135505"/>
                            <a:ext cx="1047750" cy="269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F2F46" w14:textId="77777777" w:rsidR="00217891" w:rsidRDefault="00217891" w:rsidP="00605422">
                              <w:pPr>
                                <w:jc w:val="center"/>
                              </w:pPr>
                              <w:r>
                                <w:rPr>
                                  <w:rFonts w:hint="eastAsia"/>
                                </w:rPr>
                                <w:t>事故、消防废水</w:t>
                              </w:r>
                            </w:p>
                          </w:txbxContent>
                        </wps:txbx>
                        <wps:bodyPr rot="0" vert="horz" wrap="square" lIns="18000" tIns="45720" rIns="18000" bIns="45720" anchor="t" anchorCtr="0" upright="1">
                          <a:noAutofit/>
                        </wps:bodyPr>
                      </wps:wsp>
                      <wps:wsp>
                        <wps:cNvPr id="26" name="AutoShape 14961"/>
                        <wps:cNvCnPr>
                          <a:cxnSpLocks noChangeShapeType="1"/>
                        </wps:cNvCnPr>
                        <wps:spPr bwMode="auto">
                          <a:xfrm>
                            <a:off x="1097280" y="2270125"/>
                            <a:ext cx="516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4962"/>
                        <wps:cNvSpPr txBox="1">
                          <a:spLocks noChangeArrowheads="1"/>
                        </wps:cNvSpPr>
                        <wps:spPr bwMode="auto">
                          <a:xfrm>
                            <a:off x="1613535" y="2134870"/>
                            <a:ext cx="1104900" cy="269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905D8" w14:textId="77777777" w:rsidR="00217891" w:rsidRPr="00D57E5D" w:rsidRDefault="00217891" w:rsidP="00605422">
                              <w:pPr>
                                <w:jc w:val="center"/>
                                <w:rPr>
                                  <w:rFonts w:ascii="Calibri" w:hAnsi="Calibri"/>
                                </w:rPr>
                              </w:pPr>
                              <w:r w:rsidRPr="00D57E5D">
                                <w:rPr>
                                  <w:rFonts w:ascii="Calibri"/>
                                </w:rPr>
                                <w:t>废水收集系统</w:t>
                              </w:r>
                            </w:p>
                          </w:txbxContent>
                        </wps:txbx>
                        <wps:bodyPr rot="0" vert="horz" wrap="square" lIns="91440" tIns="45720" rIns="91440" bIns="45720" anchor="t" anchorCtr="0" upright="1">
                          <a:noAutofit/>
                        </wps:bodyPr>
                      </wps:wsp>
                      <wps:wsp>
                        <wps:cNvPr id="28" name="AutoShape 14963"/>
                        <wps:cNvCnPr>
                          <a:cxnSpLocks noChangeShapeType="1"/>
                        </wps:cNvCnPr>
                        <wps:spPr bwMode="auto">
                          <a:xfrm>
                            <a:off x="2718435" y="2270760"/>
                            <a:ext cx="10420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4964"/>
                        <wps:cNvCnPr>
                          <a:cxnSpLocks noChangeShapeType="1"/>
                        </wps:cNvCnPr>
                        <wps:spPr bwMode="auto">
                          <a:xfrm flipV="1">
                            <a:off x="3761105" y="1084580"/>
                            <a:ext cx="635" cy="1186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4965"/>
                        <wps:cNvSpPr txBox="1">
                          <a:spLocks noChangeArrowheads="1"/>
                        </wps:cNvSpPr>
                        <wps:spPr bwMode="auto">
                          <a:xfrm>
                            <a:off x="50800" y="2802890"/>
                            <a:ext cx="1047750" cy="269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020A49" w14:textId="77777777" w:rsidR="00217891" w:rsidRDefault="00217891" w:rsidP="00605422">
                              <w:pPr>
                                <w:jc w:val="center"/>
                              </w:pPr>
                              <w:r>
                                <w:rPr>
                                  <w:rFonts w:hint="eastAsia"/>
                                </w:rPr>
                                <w:t>雨水</w:t>
                              </w:r>
                            </w:p>
                          </w:txbxContent>
                        </wps:txbx>
                        <wps:bodyPr rot="0" vert="horz" wrap="square" lIns="91440" tIns="45720" rIns="91440" bIns="45720" anchor="t" anchorCtr="0" upright="1">
                          <a:noAutofit/>
                        </wps:bodyPr>
                      </wps:wsp>
                      <wps:wsp>
                        <wps:cNvPr id="31" name="AutoShape 14966"/>
                        <wps:cNvCnPr>
                          <a:cxnSpLocks noChangeShapeType="1"/>
                        </wps:cNvCnPr>
                        <wps:spPr bwMode="auto">
                          <a:xfrm>
                            <a:off x="1098550" y="2937510"/>
                            <a:ext cx="516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967"/>
                        <wps:cNvSpPr txBox="1">
                          <a:spLocks noChangeArrowheads="1"/>
                        </wps:cNvSpPr>
                        <wps:spPr bwMode="auto">
                          <a:xfrm>
                            <a:off x="1614805" y="2802255"/>
                            <a:ext cx="1104900" cy="269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A79CE" w14:textId="77777777" w:rsidR="00217891" w:rsidRPr="00D57E5D" w:rsidRDefault="00217891" w:rsidP="00605422">
                              <w:pPr>
                                <w:jc w:val="center"/>
                                <w:rPr>
                                  <w:rFonts w:ascii="Calibri" w:hAnsi="Calibri"/>
                                </w:rPr>
                              </w:pPr>
                              <w:r w:rsidRPr="00D57E5D">
                                <w:rPr>
                                  <w:rFonts w:ascii="Calibri"/>
                                </w:rPr>
                                <w:t>初期雨水收集池</w:t>
                              </w:r>
                            </w:p>
                          </w:txbxContent>
                        </wps:txbx>
                        <wps:bodyPr rot="0" vert="horz" wrap="square" lIns="18000" tIns="45720" rIns="18000" bIns="45720" anchor="t" anchorCtr="0" upright="1">
                          <a:noAutofit/>
                        </wps:bodyPr>
                      </wps:wsp>
                      <wps:wsp>
                        <wps:cNvPr id="46" name="AutoShape 14969"/>
                        <wps:cNvCnPr>
                          <a:cxnSpLocks noChangeShapeType="1"/>
                        </wps:cNvCnPr>
                        <wps:spPr bwMode="auto">
                          <a:xfrm>
                            <a:off x="2719705" y="2984500"/>
                            <a:ext cx="1733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4970"/>
                        <wps:cNvCnPr>
                          <a:cxnSpLocks noChangeShapeType="1"/>
                        </wps:cNvCnPr>
                        <wps:spPr bwMode="auto">
                          <a:xfrm flipV="1">
                            <a:off x="2618105" y="2611120"/>
                            <a:ext cx="63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14971"/>
                        <wps:cNvSpPr txBox="1">
                          <a:spLocks noChangeArrowheads="1"/>
                        </wps:cNvSpPr>
                        <wps:spPr bwMode="auto">
                          <a:xfrm>
                            <a:off x="4453255" y="2850515"/>
                            <a:ext cx="1216025" cy="269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FDA524" w14:textId="77777777" w:rsidR="00217891" w:rsidRDefault="00217891" w:rsidP="00605422">
                              <w:pPr>
                                <w:jc w:val="center"/>
                              </w:pPr>
                              <w:r>
                                <w:rPr>
                                  <w:rFonts w:hint="eastAsia"/>
                                </w:rPr>
                                <w:t>集聚区雨水管网</w:t>
                              </w:r>
                            </w:p>
                          </w:txbxContent>
                        </wps:txbx>
                        <wps:bodyPr rot="0" vert="horz" wrap="square" lIns="91440" tIns="45720" rIns="91440" bIns="45720" anchor="t" anchorCtr="0" upright="1">
                          <a:noAutofit/>
                        </wps:bodyPr>
                      </wps:wsp>
                      <wps:wsp>
                        <wps:cNvPr id="50" name="AutoShape 14972"/>
                        <wps:cNvCnPr>
                          <a:cxnSpLocks noChangeShapeType="1"/>
                        </wps:cNvCnPr>
                        <wps:spPr bwMode="auto">
                          <a:xfrm>
                            <a:off x="2618105" y="2611120"/>
                            <a:ext cx="1541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4973"/>
                        <wps:cNvCnPr>
                          <a:cxnSpLocks noChangeShapeType="1"/>
                        </wps:cNvCnPr>
                        <wps:spPr bwMode="auto">
                          <a:xfrm flipV="1">
                            <a:off x="4159885" y="392430"/>
                            <a:ext cx="635" cy="2218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4974"/>
                        <wps:cNvSpPr>
                          <a:spLocks noChangeArrowheads="1"/>
                        </wps:cNvSpPr>
                        <wps:spPr bwMode="auto">
                          <a:xfrm rot="5400000">
                            <a:off x="3293110" y="1370965"/>
                            <a:ext cx="142240" cy="238125"/>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14975"/>
                        <wps:cNvCnPr>
                          <a:cxnSpLocks noChangeShapeType="1"/>
                        </wps:cNvCnPr>
                        <wps:spPr bwMode="auto">
                          <a:xfrm>
                            <a:off x="3322320" y="1316355"/>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4976"/>
                        <wps:cNvCnPr>
                          <a:cxnSpLocks noChangeShapeType="1"/>
                        </wps:cNvCnPr>
                        <wps:spPr bwMode="auto">
                          <a:xfrm>
                            <a:off x="3361055" y="1316355"/>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4977"/>
                        <wps:cNvSpPr>
                          <a:spLocks noChangeArrowheads="1"/>
                        </wps:cNvSpPr>
                        <wps:spPr bwMode="auto">
                          <a:xfrm rot="5400000">
                            <a:off x="3701415" y="1696085"/>
                            <a:ext cx="142240" cy="238125"/>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14978"/>
                        <wps:cNvCnPr>
                          <a:cxnSpLocks noChangeShapeType="1"/>
                        </wps:cNvCnPr>
                        <wps:spPr bwMode="auto">
                          <a:xfrm>
                            <a:off x="3730625" y="1641475"/>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4979"/>
                        <wps:cNvCnPr>
                          <a:cxnSpLocks noChangeShapeType="1"/>
                        </wps:cNvCnPr>
                        <wps:spPr bwMode="auto">
                          <a:xfrm>
                            <a:off x="3769360" y="1641475"/>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4981"/>
                        <wps:cNvSpPr>
                          <a:spLocks noChangeArrowheads="1"/>
                        </wps:cNvSpPr>
                        <wps:spPr bwMode="auto">
                          <a:xfrm rot="5400000">
                            <a:off x="4104640" y="1473835"/>
                            <a:ext cx="142240" cy="238125"/>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14982"/>
                        <wps:cNvCnPr>
                          <a:cxnSpLocks noChangeShapeType="1"/>
                        </wps:cNvCnPr>
                        <wps:spPr bwMode="auto">
                          <a:xfrm>
                            <a:off x="4133850" y="1419225"/>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4983"/>
                        <wps:cNvCnPr>
                          <a:cxnSpLocks noChangeShapeType="1"/>
                        </wps:cNvCnPr>
                        <wps:spPr bwMode="auto">
                          <a:xfrm>
                            <a:off x="4172585" y="1419225"/>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4985"/>
                        <wps:cNvSpPr>
                          <a:spLocks noChangeArrowheads="1"/>
                        </wps:cNvSpPr>
                        <wps:spPr bwMode="auto">
                          <a:xfrm rot="5400000">
                            <a:off x="3627120" y="2856865"/>
                            <a:ext cx="142240" cy="238125"/>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AutoShape 14986"/>
                        <wps:cNvCnPr>
                          <a:cxnSpLocks noChangeShapeType="1"/>
                        </wps:cNvCnPr>
                        <wps:spPr bwMode="auto">
                          <a:xfrm>
                            <a:off x="3656330" y="2802255"/>
                            <a:ext cx="86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4987"/>
                        <wps:cNvCnPr>
                          <a:cxnSpLocks noChangeShapeType="1"/>
                        </wps:cNvCnPr>
                        <wps:spPr bwMode="auto">
                          <a:xfrm>
                            <a:off x="3695065" y="2802255"/>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14989"/>
                        <wps:cNvSpPr>
                          <a:spLocks noChangeArrowheads="1"/>
                        </wps:cNvSpPr>
                        <wps:spPr bwMode="auto">
                          <a:xfrm>
                            <a:off x="1852295" y="1080135"/>
                            <a:ext cx="4622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5925"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5</w:t>
                              </w:r>
                            </w:p>
                          </w:txbxContent>
                        </wps:txbx>
                        <wps:bodyPr rot="0" vert="horz" wrap="square" lIns="91440" tIns="45720" rIns="91440" bIns="45720" anchor="t" anchorCtr="0" upright="1">
                          <a:noAutofit/>
                        </wps:bodyPr>
                      </wps:wsp>
                      <wps:wsp>
                        <wps:cNvPr id="74" name="Rectangle 14990"/>
                        <wps:cNvSpPr>
                          <a:spLocks noChangeArrowheads="1"/>
                        </wps:cNvSpPr>
                        <wps:spPr bwMode="auto">
                          <a:xfrm>
                            <a:off x="2860040" y="1335405"/>
                            <a:ext cx="4622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4592"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4</w:t>
                              </w:r>
                            </w:p>
                          </w:txbxContent>
                        </wps:txbx>
                        <wps:bodyPr rot="0" vert="horz" wrap="square" lIns="91440" tIns="45720" rIns="91440" bIns="45720" anchor="t" anchorCtr="0" upright="1">
                          <a:noAutofit/>
                        </wps:bodyPr>
                      </wps:wsp>
                      <wps:wsp>
                        <wps:cNvPr id="75" name="Rectangle 14991"/>
                        <wps:cNvSpPr>
                          <a:spLocks noChangeArrowheads="1"/>
                        </wps:cNvSpPr>
                        <wps:spPr bwMode="auto">
                          <a:xfrm>
                            <a:off x="3194050" y="1744345"/>
                            <a:ext cx="4622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179C" w14:textId="77777777" w:rsidR="00217891" w:rsidRPr="00D57E5D" w:rsidRDefault="00217891">
                              <w:pPr>
                                <w:rPr>
                                  <w:rFonts w:ascii="Calibri" w:hAnsi="Calibri"/>
                                </w:rPr>
                              </w:pPr>
                              <w:r w:rsidRPr="00D57E5D">
                                <w:rPr>
                                  <w:rFonts w:ascii="Calibri" w:hAnsi="Calibri"/>
                                </w:rPr>
                                <w:t>V-3</w:t>
                              </w:r>
                            </w:p>
                          </w:txbxContent>
                        </wps:txbx>
                        <wps:bodyPr rot="0" vert="horz" wrap="square" lIns="91440" tIns="45720" rIns="91440" bIns="45720" anchor="t" anchorCtr="0" upright="1">
                          <a:noAutofit/>
                        </wps:bodyPr>
                      </wps:wsp>
                      <wps:wsp>
                        <wps:cNvPr id="78" name="Rectangle 14992"/>
                        <wps:cNvSpPr>
                          <a:spLocks noChangeArrowheads="1"/>
                        </wps:cNvSpPr>
                        <wps:spPr bwMode="auto">
                          <a:xfrm>
                            <a:off x="4294505" y="1468755"/>
                            <a:ext cx="4622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A4FB"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2</w:t>
                              </w:r>
                            </w:p>
                          </w:txbxContent>
                        </wps:txbx>
                        <wps:bodyPr rot="0" vert="horz" wrap="square" lIns="91440" tIns="45720" rIns="91440" bIns="45720" anchor="t" anchorCtr="0" upright="1">
                          <a:noAutofit/>
                        </wps:bodyPr>
                      </wps:wsp>
                      <wps:wsp>
                        <wps:cNvPr id="79" name="Rectangle 14993"/>
                        <wps:cNvSpPr>
                          <a:spLocks noChangeArrowheads="1"/>
                        </wps:cNvSpPr>
                        <wps:spPr bwMode="auto">
                          <a:xfrm>
                            <a:off x="3482975" y="2985135"/>
                            <a:ext cx="4622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8B9B"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9FF39C" id="画布 14938" o:spid="_x0000_s1647" editas="canvas" style="position:absolute;left:0;text-align:left;margin-left:-3.35pt;margin-top:5.3pt;width:450.3pt;height:261.35pt;z-index:251450880" coordsize="57188,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">
                <v:shape id="_x0000_s1648" type="#_x0000_t75" style="position:absolute;width:57188;height:33191;visibility:visible;mso-wrap-style:square">
                  <v:fill o:detectmouseclick="t"/>
                  <v:path o:connecttype="none"/>
                </v:shape>
                <v:shape id="Text Box 14939" o:spid="_x0000_s1649" type="#_x0000_t202" style="position:absolute;left:495;top:1225;width:86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" filled="f">
                  <v:textbox>
                    <w:txbxContent>
                      <w:p w14:paraId="64138E53" w14:textId="77777777" w:rsidR="00217891" w:rsidRDefault="00217891" w:rsidP="00605422">
                        <w:pPr>
                          <w:jc w:val="center"/>
                        </w:pPr>
                        <w:r>
                          <w:rPr>
                            <w:rFonts w:hint="eastAsia"/>
                          </w:rPr>
                          <w:t>生产废水</w:t>
                        </w:r>
                      </w:p>
                    </w:txbxContent>
                  </v:textbox>
                </v:shape>
                <v:shape id="AutoShape 14940" o:spid="_x0000_s1650" type="#_x0000_t32" style="position:absolute;left:9156;top:2578;width:51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Text Box 14941" o:spid="_x0000_s1651" type="#_x0000_t202" style="position:absolute;left:14319;top:1225;width:11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t7wAAAANoAAAAPAAAAZHJzL2Rvd25yZXYueG1sRE/LasJA&#10;FN0L/sNwC+7MpI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SGOLe8AAAADaAAAADwAAAAAA&#10;AAAAAAAAAAAHAgAAZHJzL2Rvd25yZXYueG1sUEsFBgAAAAADAAMAtwAAAPQCAAAAAA==&#10;" filled="f">
                  <v:textbox>
                    <w:txbxContent>
                      <w:p w14:paraId="2CAA7F71" w14:textId="77777777" w:rsidR="00217891" w:rsidRDefault="00217891" w:rsidP="00605422">
                        <w:pPr>
                          <w:jc w:val="center"/>
                        </w:pPr>
                        <w:r>
                          <w:rPr>
                            <w:rFonts w:hint="eastAsia"/>
                          </w:rPr>
                          <w:t>废水收集系统</w:t>
                        </w:r>
                      </w:p>
                    </w:txbxContent>
                  </v:textbox>
                </v:shape>
                <v:shape id="AutoShape 14942" o:spid="_x0000_s1652" type="#_x0000_t32" style="position:absolute;left:25368;top:2584;width:51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Text Box 14943" o:spid="_x0000_s1653" type="#_x0000_t202" style="position:absolute;left:30537;top:1238;width:1240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" filled="f">
                  <v:textbox>
                    <w:txbxContent>
                      <w:p w14:paraId="125FE65E" w14:textId="77777777" w:rsidR="00217891" w:rsidRDefault="00217891" w:rsidP="00605422">
                        <w:pPr>
                          <w:jc w:val="center"/>
                        </w:pPr>
                        <w:r>
                          <w:rPr>
                            <w:rFonts w:hint="eastAsia"/>
                          </w:rPr>
                          <w:t>自建废水处理站</w:t>
                        </w:r>
                      </w:p>
                    </w:txbxContent>
                  </v:textbox>
                </v:shape>
                <v:shape id="AutoShape 14944" o:spid="_x0000_s1654" type="#_x0000_t32" style="position:absolute;left:42945;top:2578;width:5168;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Text Box 14945" o:spid="_x0000_s1655" type="#_x0000_t202" style="position:absolute;left:47561;top:1238;width:866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1E0A605" w14:textId="77777777" w:rsidR="00217891" w:rsidRDefault="00217891" w:rsidP="00605422">
                        <w:pPr>
                          <w:jc w:val="center"/>
                        </w:pPr>
                        <w:r>
                          <w:rPr>
                            <w:rFonts w:hint="eastAsia"/>
                          </w:rPr>
                          <w:t>污水处理厂</w:t>
                        </w:r>
                      </w:p>
                    </w:txbxContent>
                  </v:textbox>
                </v:shape>
                <v:shape id="Text Box 14946" o:spid="_x0000_s1656" type="#_x0000_t202" style="position:absolute;left:495;top:8153;width:1047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14:paraId="63B6D2F1" w14:textId="77777777" w:rsidR="00217891" w:rsidRDefault="00217891" w:rsidP="00605422">
                        <w:pPr>
                          <w:jc w:val="center"/>
                        </w:pPr>
                        <w:r>
                          <w:rPr>
                            <w:rFonts w:hint="eastAsia"/>
                          </w:rPr>
                          <w:t>仓储事故废水</w:t>
                        </w:r>
                      </w:p>
                    </w:txbxContent>
                  </v:textbox>
                </v:shape>
                <v:shape id="AutoShape 14947" o:spid="_x0000_s1657" type="#_x0000_t32" style="position:absolute;left:10972;top:9505;width:1956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Text Box 14948" o:spid="_x0000_s1658" type="#_x0000_t202" style="position:absolute;left:30537;top:8153;width:906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" filled="f">
                  <v:textbox>
                    <w:txbxContent>
                      <w:p w14:paraId="329D2592" w14:textId="77777777" w:rsidR="00217891" w:rsidRPr="00D57E5D" w:rsidRDefault="00217891" w:rsidP="00605422">
                        <w:pPr>
                          <w:jc w:val="center"/>
                          <w:rPr>
                            <w:rFonts w:ascii="Calibri" w:hAnsi="Calibri"/>
                          </w:rPr>
                        </w:pPr>
                        <w:r w:rsidRPr="00D57E5D">
                          <w:rPr>
                            <w:rFonts w:ascii="Calibri"/>
                          </w:rPr>
                          <w:t>事故池</w:t>
                        </w:r>
                      </w:p>
                    </w:txbxContent>
                  </v:textbox>
                </v:shape>
                <v:shape id="AutoShape 14950" o:spid="_x0000_s1659" type="#_x0000_t32" style="position:absolute;left:34823;top:3924;width:6;height:4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type id="_x0000_t125" coordsize="21600,21600" o:spt="125" path="m21600,21600l,21600,21600,,,xe">
                  <v:stroke joinstyle="miter"/>
                  <v:path o:extrusionok="f" gradientshapeok="t" o:connecttype="custom" o:connectlocs="10800,0;10800,10800;10800,21600" textboxrect="5400,5400,16200,16200"/>
                </v:shapetype>
                <v:shape id="AutoShape 14951" o:spid="_x0000_s1660" type="#_x0000_t125" style="position:absolute;left:19761;top:8451;width:1422;height:23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"/>
                <v:shape id="AutoShape 14952" o:spid="_x0000_s1661" type="#_x0000_t32" style="position:absolute;left:20053;top:7905;width:86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14953" o:spid="_x0000_s1662" type="#_x0000_t32" style="position:absolute;left:20440;top:7905;width:7;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Text Box 14954" o:spid="_x0000_s1663" type="#_x0000_t202" style="position:absolute;left:495;top:15068;width:1047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" filled="f">
                  <v:textbox>
                    <w:txbxContent>
                      <w:p w14:paraId="7818CB11" w14:textId="77777777" w:rsidR="00217891" w:rsidRDefault="00217891" w:rsidP="00605422">
                        <w:pPr>
                          <w:jc w:val="center"/>
                        </w:pPr>
                        <w:r>
                          <w:rPr>
                            <w:rFonts w:hint="eastAsia"/>
                          </w:rPr>
                          <w:t>生产事故废水</w:t>
                        </w:r>
                      </w:p>
                    </w:txbxContent>
                  </v:textbox>
                </v:shape>
                <v:shape id="AutoShape 14955" o:spid="_x0000_s1664" type="#_x0000_t32" style="position:absolute;left:10972;top:16414;width:516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Text Box 14956" o:spid="_x0000_s1665" type="#_x0000_t202" style="position:absolute;left:16135;top:15062;width:1104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" filled="f">
                  <v:textbox>
                    <w:txbxContent>
                      <w:p w14:paraId="4B97E8BA" w14:textId="77777777" w:rsidR="00217891" w:rsidRPr="00D57E5D" w:rsidRDefault="00217891" w:rsidP="00605422">
                        <w:pPr>
                          <w:jc w:val="center"/>
                          <w:rPr>
                            <w:rFonts w:ascii="Calibri" w:hAnsi="Calibri"/>
                          </w:rPr>
                        </w:pPr>
                        <w:r w:rsidRPr="00D57E5D">
                          <w:rPr>
                            <w:rFonts w:ascii="Calibri"/>
                          </w:rPr>
                          <w:t>废水收集系统</w:t>
                        </w:r>
                      </w:p>
                    </w:txbxContent>
                  </v:textbox>
                </v:shape>
                <v:shape id="AutoShape 14957" o:spid="_x0000_s1666" type="#_x0000_t32" style="position:absolute;left:33559;top:10845;width:7;height:5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4958" o:spid="_x0000_s1667" type="#_x0000_t32" style="position:absolute;left:27184;top:16414;width:637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Text Box 14959" o:spid="_x0000_s1668" type="#_x0000_t202" style="position:absolute;left:495;top:21355;width:1047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" filled="f">
                  <v:textbox inset=".5mm,,.5mm">
                    <w:txbxContent>
                      <w:p w14:paraId="1F4F2F46" w14:textId="77777777" w:rsidR="00217891" w:rsidRDefault="00217891" w:rsidP="00605422">
                        <w:pPr>
                          <w:jc w:val="center"/>
                        </w:pPr>
                        <w:r>
                          <w:rPr>
                            <w:rFonts w:hint="eastAsia"/>
                          </w:rPr>
                          <w:t>事故、消防废水</w:t>
                        </w:r>
                      </w:p>
                    </w:txbxContent>
                  </v:textbox>
                </v:shape>
                <v:shape id="AutoShape 14961" o:spid="_x0000_s1669" type="#_x0000_t32" style="position:absolute;left:10972;top:22701;width:51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Text Box 14962" o:spid="_x0000_s1670" type="#_x0000_t202" style="position:absolute;left:16135;top:21348;width:11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" filled="f">
                  <v:textbox>
                    <w:txbxContent>
                      <w:p w14:paraId="003905D8" w14:textId="77777777" w:rsidR="00217891" w:rsidRPr="00D57E5D" w:rsidRDefault="00217891" w:rsidP="00605422">
                        <w:pPr>
                          <w:jc w:val="center"/>
                          <w:rPr>
                            <w:rFonts w:ascii="Calibri" w:hAnsi="Calibri"/>
                          </w:rPr>
                        </w:pPr>
                        <w:r w:rsidRPr="00D57E5D">
                          <w:rPr>
                            <w:rFonts w:ascii="Calibri"/>
                          </w:rPr>
                          <w:t>废水收集系统</w:t>
                        </w:r>
                      </w:p>
                    </w:txbxContent>
                  </v:textbox>
                </v:shape>
                <v:shape id="AutoShape 14963" o:spid="_x0000_s1671" type="#_x0000_t32" style="position:absolute;left:27184;top:22707;width:104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4964" o:spid="_x0000_s1672" type="#_x0000_t32" style="position:absolute;left:37611;top:10845;width:6;height:118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Text Box 14965" o:spid="_x0000_s1673" type="#_x0000_t202" style="position:absolute;left:508;top:28028;width:10477;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" filled="f">
                  <v:textbox>
                    <w:txbxContent>
                      <w:p w14:paraId="2C020A49" w14:textId="77777777" w:rsidR="00217891" w:rsidRDefault="00217891" w:rsidP="00605422">
                        <w:pPr>
                          <w:jc w:val="center"/>
                        </w:pPr>
                        <w:r>
                          <w:rPr>
                            <w:rFonts w:hint="eastAsia"/>
                          </w:rPr>
                          <w:t>雨水</w:t>
                        </w:r>
                      </w:p>
                    </w:txbxContent>
                  </v:textbox>
                </v:shape>
                <v:shape id="AutoShape 14966" o:spid="_x0000_s1674" type="#_x0000_t32" style="position:absolute;left:10985;top:29375;width:51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Text Box 14967" o:spid="_x0000_s1675" type="#_x0000_t202" style="position:absolute;left:16148;top:28022;width:110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" filled="f">
                  <v:textbox inset=".5mm,,.5mm">
                    <w:txbxContent>
                      <w:p w14:paraId="7F7A79CE" w14:textId="77777777" w:rsidR="00217891" w:rsidRPr="00D57E5D" w:rsidRDefault="00217891" w:rsidP="00605422">
                        <w:pPr>
                          <w:jc w:val="center"/>
                          <w:rPr>
                            <w:rFonts w:ascii="Calibri" w:hAnsi="Calibri"/>
                          </w:rPr>
                        </w:pPr>
                        <w:r w:rsidRPr="00D57E5D">
                          <w:rPr>
                            <w:rFonts w:ascii="Calibri"/>
                          </w:rPr>
                          <w:t>初期雨水收集池</w:t>
                        </w:r>
                      </w:p>
                    </w:txbxContent>
                  </v:textbox>
                </v:shape>
                <v:shape id="AutoShape 14969" o:spid="_x0000_s1676" type="#_x0000_t32" style="position:absolute;left:27197;top:29845;width:1733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4970" o:spid="_x0000_s1677" type="#_x0000_t32" style="position:absolute;left:26181;top:26111;width:6;height:1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v:shape id="Text Box 14971" o:spid="_x0000_s1678" type="#_x0000_t202" style="position:absolute;left:44532;top:28505;width:1216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" filled="f">
                  <v:textbox>
                    <w:txbxContent>
                      <w:p w14:paraId="47FDA524" w14:textId="77777777" w:rsidR="00217891" w:rsidRDefault="00217891" w:rsidP="00605422">
                        <w:pPr>
                          <w:jc w:val="center"/>
                        </w:pPr>
                        <w:r>
                          <w:rPr>
                            <w:rFonts w:hint="eastAsia"/>
                          </w:rPr>
                          <w:t>集聚区雨水管网</w:t>
                        </w:r>
                      </w:p>
                    </w:txbxContent>
                  </v:textbox>
                </v:shape>
                <v:shape id="AutoShape 14972" o:spid="_x0000_s1679" type="#_x0000_t32" style="position:absolute;left:26181;top:26111;width:1541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14973" o:spid="_x0000_s1680" type="#_x0000_t32" style="position:absolute;left:41598;top:3924;width:7;height:221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14974" o:spid="_x0000_s1681" type="#_x0000_t125" style="position:absolute;left:32931;top:13709;width:1422;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"/>
                <v:shape id="AutoShape 14975" o:spid="_x0000_s1682" type="#_x0000_t32" style="position:absolute;left:33223;top:13163;width:8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AutoShape 14976" o:spid="_x0000_s1683" type="#_x0000_t32" style="position:absolute;left:33610;top:13163;width: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shape id="AutoShape 14977" o:spid="_x0000_s1684" type="#_x0000_t125" style="position:absolute;left:37014;top:16960;width:1422;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"/>
                <v:shape id="AutoShape 14978" o:spid="_x0000_s1685" type="#_x0000_t32" style="position:absolute;left:37306;top:16414;width:86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14979" o:spid="_x0000_s1686" type="#_x0000_t32" style="position:absolute;left:37693;top:16414;width: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14981" o:spid="_x0000_s1687" type="#_x0000_t125" style="position:absolute;left:41045;top:14738;width:1423;height:23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"/>
                <v:shape id="AutoShape 14982" o:spid="_x0000_s1688" type="#_x0000_t32" style="position:absolute;left:41338;top:14192;width:86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14983" o:spid="_x0000_s1689" type="#_x0000_t32" style="position:absolute;left:41725;top:14192;width:7;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14985" o:spid="_x0000_s1690" type="#_x0000_t125" style="position:absolute;left:36271;top:28568;width:1422;height:23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"/>
                <v:shape id="AutoShape 14986" o:spid="_x0000_s1691" type="#_x0000_t32" style="position:absolute;left:36563;top:28022;width:8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14987" o:spid="_x0000_s1692" type="#_x0000_t32" style="position:absolute;left:36950;top:28022;width:7;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rect id="Rectangle 14989" o:spid="_x0000_s1693" style="position:absolute;left:18522;top:10801;width:462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07755925"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5</w:t>
                        </w:r>
                      </w:p>
                    </w:txbxContent>
                  </v:textbox>
                </v:rect>
                <v:rect id="Rectangle 14990" o:spid="_x0000_s1694" style="position:absolute;left:28600;top:13354;width:462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textbox>
                    <w:txbxContent>
                      <w:p w14:paraId="0BC54592"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4</w:t>
                        </w:r>
                      </w:p>
                    </w:txbxContent>
                  </v:textbox>
                </v:rect>
                <v:rect id="Rectangle 14991" o:spid="_x0000_s1695" style="position:absolute;left:31940;top:17443;width:462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7723179C" w14:textId="77777777" w:rsidR="00217891" w:rsidRPr="00D57E5D" w:rsidRDefault="00217891">
                        <w:pPr>
                          <w:rPr>
                            <w:rFonts w:ascii="Calibri" w:hAnsi="Calibri"/>
                          </w:rPr>
                        </w:pPr>
                        <w:r w:rsidRPr="00D57E5D">
                          <w:rPr>
                            <w:rFonts w:ascii="Calibri" w:hAnsi="Calibri"/>
                          </w:rPr>
                          <w:t>V-3</w:t>
                        </w:r>
                      </w:p>
                    </w:txbxContent>
                  </v:textbox>
                </v:rect>
                <v:rect id="Rectangle 14992" o:spid="_x0000_s1696" style="position:absolute;left:42945;top:14687;width:462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14:paraId="7A4FA4FB"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2</w:t>
                        </w:r>
                      </w:p>
                    </w:txbxContent>
                  </v:textbox>
                </v:rect>
                <v:rect id="Rectangle 14993" o:spid="_x0000_s1697" style="position:absolute;left:34829;top:29851;width:462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14:paraId="31348B9B" w14:textId="77777777" w:rsidR="00217891" w:rsidRPr="00D57E5D" w:rsidRDefault="00217891">
                        <w:pPr>
                          <w:rPr>
                            <w:rFonts w:ascii="Calibri" w:hAnsi="Calibri"/>
                          </w:rPr>
                        </w:pPr>
                        <w:r w:rsidRPr="00D57E5D">
                          <w:rPr>
                            <w:rFonts w:ascii="Calibri" w:hAnsi="Calibri"/>
                          </w:rPr>
                          <w:t>V-</w:t>
                        </w:r>
                        <w:r w:rsidRPr="00D57E5D">
                          <w:rPr>
                            <w:rFonts w:ascii="Calibri" w:hAnsi="Calibri" w:hint="eastAsia"/>
                          </w:rPr>
                          <w:t>1</w:t>
                        </w:r>
                      </w:p>
                    </w:txbxContent>
                  </v:textbox>
                </v:rect>
                <w10:wrap type="topAndBottom"/>
              </v:group>
            </w:pict>
          </mc:Fallback>
        </mc:AlternateContent>
      </w:r>
      <w:r w:rsidR="008E4241" w:rsidRPr="00A964FF">
        <w:rPr>
          <w:rFonts w:ascii="Calibri" w:eastAsia="黑体" w:hAnsi="黑体"/>
          <w:color w:val="auto"/>
        </w:rPr>
        <w:t>图</w:t>
      </w:r>
      <w:r w:rsidR="003F49B0" w:rsidRPr="00A964FF">
        <w:rPr>
          <w:rFonts w:ascii="Calibri" w:eastAsia="黑体" w:hAnsi="黑体" w:hint="eastAsia"/>
          <w:color w:val="auto"/>
        </w:rPr>
        <w:t>5.</w:t>
      </w:r>
      <w:r w:rsidR="00EC65D5" w:rsidRPr="00A964FF">
        <w:rPr>
          <w:rFonts w:ascii="Calibri" w:eastAsia="黑体" w:hAnsi="Calibri" w:hint="eastAsia"/>
          <w:color w:val="auto"/>
        </w:rPr>
        <w:t>3</w:t>
      </w:r>
      <w:r w:rsidR="008E4241" w:rsidRPr="00A964FF">
        <w:rPr>
          <w:rFonts w:ascii="Calibri" w:eastAsia="黑体" w:hAnsi="Calibri"/>
          <w:color w:val="auto"/>
        </w:rPr>
        <w:t>-</w:t>
      </w:r>
      <w:r w:rsidR="00EC65D5" w:rsidRPr="00A964FF">
        <w:rPr>
          <w:rFonts w:ascii="Calibri" w:eastAsia="黑体" w:hAnsi="Calibri" w:hint="eastAsia"/>
          <w:color w:val="auto"/>
        </w:rPr>
        <w:t>1</w:t>
      </w:r>
      <w:r w:rsidR="008E4241" w:rsidRPr="00A964FF">
        <w:rPr>
          <w:rFonts w:ascii="Calibri" w:eastAsia="黑体" w:hAnsi="Calibri"/>
          <w:color w:val="auto"/>
        </w:rPr>
        <w:t xml:space="preserve">        </w:t>
      </w:r>
      <w:r w:rsidR="003F49B0" w:rsidRPr="00A964FF">
        <w:rPr>
          <w:rFonts w:ascii="Calibri" w:eastAsia="黑体" w:hAnsi="Calibri"/>
          <w:color w:val="auto"/>
        </w:rPr>
        <w:t xml:space="preserve">  </w:t>
      </w:r>
      <w:r w:rsidR="003F49B0" w:rsidRPr="00A964FF">
        <w:rPr>
          <w:rFonts w:ascii="Calibri" w:eastAsia="黑体" w:hAnsi="黑体"/>
          <w:color w:val="auto"/>
        </w:rPr>
        <w:t>防止事故水进入外环境的控制、封堵系统图</w:t>
      </w:r>
    </w:p>
    <w:p w14:paraId="65B56E19" w14:textId="77777777" w:rsidR="00F84FAE" w:rsidRPr="00A964FF" w:rsidRDefault="00F84FAE" w:rsidP="00F84FAE">
      <w:pPr>
        <w:pStyle w:val="00"/>
        <w:ind w:firstLineChars="200"/>
        <w:rPr>
          <w:rFonts w:ascii="Calibri"/>
          <w:color w:val="auto"/>
        </w:rPr>
      </w:pPr>
      <w:r w:rsidRPr="00A964FF">
        <w:rPr>
          <w:rFonts w:ascii="Calibri" w:hint="eastAsia"/>
          <w:color w:val="auto"/>
        </w:rPr>
        <w:t>全厂实施雨污分流。正常生产情况下，阀门</w:t>
      </w:r>
      <w:r w:rsidRPr="00A964FF">
        <w:rPr>
          <w:rFonts w:ascii="Calibri" w:hint="eastAsia"/>
          <w:color w:val="auto"/>
        </w:rPr>
        <w:t>V-1</w:t>
      </w:r>
      <w:r w:rsidRPr="00A964FF">
        <w:rPr>
          <w:rFonts w:ascii="Calibri" w:hint="eastAsia"/>
          <w:color w:val="auto"/>
        </w:rPr>
        <w:t>开启，阀门</w:t>
      </w:r>
      <w:r w:rsidRPr="00A964FF">
        <w:rPr>
          <w:rFonts w:ascii="Calibri" w:hint="eastAsia"/>
          <w:color w:val="auto"/>
        </w:rPr>
        <w:t>V-2</w:t>
      </w:r>
      <w:r w:rsidRPr="00A964FF">
        <w:rPr>
          <w:rFonts w:ascii="Calibri" w:hint="eastAsia"/>
          <w:color w:val="auto"/>
        </w:rPr>
        <w:t>、</w:t>
      </w:r>
      <w:r w:rsidRPr="00A964FF">
        <w:rPr>
          <w:rFonts w:ascii="Calibri" w:hint="eastAsia"/>
          <w:color w:val="auto"/>
        </w:rPr>
        <w:t>V-3</w:t>
      </w:r>
      <w:r w:rsidRPr="00A964FF">
        <w:rPr>
          <w:rFonts w:ascii="Calibri" w:hint="eastAsia"/>
          <w:color w:val="auto"/>
        </w:rPr>
        <w:t>、</w:t>
      </w:r>
      <w:r w:rsidRPr="00A964FF">
        <w:rPr>
          <w:rFonts w:ascii="Calibri" w:hint="eastAsia"/>
          <w:color w:val="auto"/>
        </w:rPr>
        <w:t>V-4</w:t>
      </w:r>
      <w:r w:rsidRPr="00A964FF">
        <w:rPr>
          <w:rFonts w:ascii="Calibri" w:hint="eastAsia"/>
          <w:color w:val="auto"/>
        </w:rPr>
        <w:t>、</w:t>
      </w:r>
      <w:r w:rsidRPr="00A964FF">
        <w:rPr>
          <w:rFonts w:ascii="Calibri" w:hint="eastAsia"/>
          <w:color w:val="auto"/>
        </w:rPr>
        <w:t>V-5</w:t>
      </w:r>
      <w:r w:rsidRPr="00A964FF">
        <w:rPr>
          <w:rFonts w:ascii="Calibri" w:hint="eastAsia"/>
          <w:color w:val="auto"/>
        </w:rPr>
        <w:t>关闭。事故状态下，阀门</w:t>
      </w:r>
      <w:r w:rsidRPr="00A964FF">
        <w:rPr>
          <w:rFonts w:ascii="Calibri" w:hint="eastAsia"/>
          <w:color w:val="auto"/>
        </w:rPr>
        <w:t>V-1</w:t>
      </w:r>
      <w:r w:rsidRPr="00A964FF">
        <w:rPr>
          <w:rFonts w:ascii="Calibri" w:hint="eastAsia"/>
          <w:color w:val="auto"/>
        </w:rPr>
        <w:t>关闭，阀门</w:t>
      </w:r>
      <w:r w:rsidRPr="00A964FF">
        <w:rPr>
          <w:rFonts w:ascii="Calibri" w:hint="eastAsia"/>
          <w:color w:val="auto"/>
        </w:rPr>
        <w:t>V-2</w:t>
      </w:r>
      <w:r w:rsidRPr="00A964FF">
        <w:rPr>
          <w:rFonts w:ascii="Calibri" w:hint="eastAsia"/>
          <w:color w:val="auto"/>
        </w:rPr>
        <w:t>、</w:t>
      </w:r>
      <w:r w:rsidRPr="00A964FF">
        <w:rPr>
          <w:rFonts w:ascii="Calibri" w:hint="eastAsia"/>
          <w:color w:val="auto"/>
        </w:rPr>
        <w:t>V-3</w:t>
      </w:r>
      <w:r w:rsidRPr="00A964FF">
        <w:rPr>
          <w:rFonts w:ascii="Calibri" w:hint="eastAsia"/>
          <w:color w:val="auto"/>
        </w:rPr>
        <w:t>、</w:t>
      </w:r>
      <w:r w:rsidRPr="00A964FF">
        <w:rPr>
          <w:rFonts w:ascii="Calibri" w:hint="eastAsia"/>
          <w:color w:val="auto"/>
        </w:rPr>
        <w:t>V-4</w:t>
      </w:r>
      <w:r w:rsidRPr="00A964FF">
        <w:rPr>
          <w:rFonts w:ascii="Calibri" w:hint="eastAsia"/>
          <w:color w:val="auto"/>
        </w:rPr>
        <w:t>、</w:t>
      </w:r>
      <w:r w:rsidRPr="00A964FF">
        <w:rPr>
          <w:rFonts w:ascii="Calibri" w:hint="eastAsia"/>
          <w:color w:val="auto"/>
        </w:rPr>
        <w:t>V-5</w:t>
      </w:r>
      <w:r w:rsidRPr="00A964FF">
        <w:rPr>
          <w:rFonts w:ascii="Calibri" w:hint="eastAsia"/>
          <w:color w:val="auto"/>
        </w:rPr>
        <w:t>开启，</w:t>
      </w:r>
      <w:r w:rsidR="003F49B0" w:rsidRPr="00A964FF">
        <w:rPr>
          <w:rFonts w:ascii="Calibri" w:hint="eastAsia"/>
          <w:color w:val="auto"/>
        </w:rPr>
        <w:t>对初期雨水、消防废水、事故废水进行收集，收集的废水逐渐送厂区自建废水处理站处理，达到排放标准后外排至集聚区污水处理厂集中处理。</w:t>
      </w:r>
    </w:p>
    <w:p w14:paraId="7C4D91D7" w14:textId="77777777" w:rsidR="003F49B0" w:rsidRPr="00A964FF" w:rsidRDefault="003F49B0" w:rsidP="003F49B0">
      <w:pPr>
        <w:pStyle w:val="00"/>
        <w:ind w:firstLineChars="200"/>
        <w:rPr>
          <w:rFonts w:ascii="Calibri"/>
          <w:color w:val="auto"/>
        </w:rPr>
      </w:pPr>
      <w:r w:rsidRPr="00A964FF">
        <w:rPr>
          <w:rFonts w:ascii="Calibri" w:hint="eastAsia"/>
          <w:color w:val="auto"/>
        </w:rPr>
        <w:t>本项目作为新建工程，将严格按照三级防控系统原则，从生产装置区地沟及事故池或收集池、装置区至污水处理终端输送管道等方面加强废水三级防控，确保废水不出装置区，出装置情况不出厂区，将废水截留在厂界内，降低区域事故废水风险，同</w:t>
      </w:r>
      <w:r w:rsidRPr="00A964FF">
        <w:rPr>
          <w:rFonts w:ascii="Calibri" w:hint="eastAsia"/>
          <w:color w:val="auto"/>
        </w:rPr>
        <w:lastRenderedPageBreak/>
        <w:t>时本项目建成后应积极与园区三级防控系统进行衔接，确保废水处理达标后从关庙沟进入灰河；突发环境事故状态下，确保废水纳入园区设置的截污沟及暂存池，以保障地表水体安全。</w:t>
      </w:r>
    </w:p>
    <w:p w14:paraId="46E0E05D" w14:textId="77777777" w:rsidR="003F49B0" w:rsidRPr="00A964FF" w:rsidRDefault="003F49B0" w:rsidP="003F49B0">
      <w:pPr>
        <w:pStyle w:val="00"/>
        <w:ind w:firstLineChars="200"/>
        <w:rPr>
          <w:rFonts w:ascii="Calibri"/>
          <w:color w:val="auto"/>
        </w:rPr>
      </w:pPr>
      <w:r w:rsidRPr="00A964FF">
        <w:rPr>
          <w:rFonts w:ascii="Calibri"/>
          <w:color w:val="auto"/>
        </w:rPr>
        <w:t>综合以上分析，通过采取以上措施，可有效降低项目环境风险事故发生时事故废水对外环境的影响，</w:t>
      </w:r>
      <w:r w:rsidRPr="00A964FF">
        <w:rPr>
          <w:rFonts w:ascii="Calibri" w:hint="eastAsia"/>
          <w:color w:val="auto"/>
        </w:rPr>
        <w:t>切断废水外排途经，</w:t>
      </w:r>
      <w:r w:rsidRPr="00A964FF">
        <w:rPr>
          <w:rFonts w:ascii="Calibri"/>
          <w:color w:val="auto"/>
        </w:rPr>
        <w:t>确保环境安全。</w:t>
      </w:r>
    </w:p>
    <w:p w14:paraId="3C0C21FB" w14:textId="77777777" w:rsidR="003F49B0" w:rsidRPr="00A964FF" w:rsidRDefault="003F49B0" w:rsidP="003F49B0">
      <w:pPr>
        <w:pStyle w:val="00"/>
        <w:ind w:firstLineChars="200" w:firstLine="482"/>
        <w:rPr>
          <w:rFonts w:ascii="Calibri"/>
          <w:b/>
          <w:color w:val="auto"/>
        </w:rPr>
      </w:pPr>
      <w:r w:rsidRPr="00A964FF">
        <w:rPr>
          <w:rFonts w:ascii="Calibri" w:hint="eastAsia"/>
          <w:b/>
          <w:color w:val="auto"/>
        </w:rPr>
        <w:t>3</w:t>
      </w:r>
      <w:r w:rsidRPr="00A964FF">
        <w:rPr>
          <w:rFonts w:ascii="Calibri" w:hint="eastAsia"/>
          <w:b/>
          <w:color w:val="auto"/>
        </w:rPr>
        <w:t>、建立与园区对接、联动的风险防范体系</w:t>
      </w:r>
    </w:p>
    <w:p w14:paraId="38807DFD" w14:textId="77777777" w:rsidR="003F49B0" w:rsidRPr="00A964FF" w:rsidRDefault="003F49B0" w:rsidP="003F49B0">
      <w:pPr>
        <w:pStyle w:val="00"/>
        <w:ind w:firstLineChars="200"/>
        <w:rPr>
          <w:rFonts w:ascii="Calibri"/>
          <w:color w:val="auto"/>
        </w:rPr>
      </w:pPr>
      <w:r w:rsidRPr="00A964FF">
        <w:rPr>
          <w:rFonts w:ascii="Calibri" w:hint="eastAsia"/>
          <w:color w:val="auto"/>
        </w:rPr>
        <w:t>公司环境风险防范应建立与园区对接、联动的风险防范体系。可从以下几个方面进行建设：</w:t>
      </w:r>
    </w:p>
    <w:p w14:paraId="346E2AA7"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1</w:t>
      </w:r>
      <w:r w:rsidRPr="00A964FF">
        <w:rPr>
          <w:rFonts w:ascii="Calibri" w:hint="eastAsia"/>
          <w:color w:val="auto"/>
        </w:rPr>
        <w:t>）公司内应建立厂内各生产车间的联动体系，并在预案中予以体现。一旦某车间发生燃爆等事故，相邻车间乃至全厂可根据事故发生的性质、大小，决定是否需要立即停产，是否需要切断污染源、风险源，防止造成连锁反应。</w:t>
      </w:r>
    </w:p>
    <w:p w14:paraId="0167170C"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2</w:t>
      </w:r>
      <w:r w:rsidRPr="00A964FF">
        <w:rPr>
          <w:rFonts w:ascii="Calibri" w:hint="eastAsia"/>
          <w:color w:val="auto"/>
        </w:rPr>
        <w:t>）建设畅通的信息通道，公司应急指挥部必须</w:t>
      </w:r>
      <w:r w:rsidR="0012738D" w:rsidRPr="00A964FF">
        <w:rPr>
          <w:rFonts w:ascii="Calibri" w:hint="eastAsia"/>
          <w:color w:val="auto"/>
        </w:rPr>
        <w:t>与</w:t>
      </w:r>
      <w:r w:rsidRPr="00A964FF">
        <w:rPr>
          <w:rFonts w:ascii="Calibri" w:hint="eastAsia"/>
          <w:color w:val="auto"/>
        </w:rPr>
        <w:t>周边企业、集聚区管委会保持</w:t>
      </w:r>
      <w:r w:rsidRPr="00A964FF">
        <w:rPr>
          <w:rFonts w:ascii="Calibri" w:hint="eastAsia"/>
          <w:color w:val="auto"/>
        </w:rPr>
        <w:t>24</w:t>
      </w:r>
      <w:r w:rsidRPr="00A964FF">
        <w:rPr>
          <w:rFonts w:ascii="Calibri" w:hint="eastAsia"/>
          <w:color w:val="auto"/>
        </w:rPr>
        <w:t>小时的电话联系。一旦发生风险事故，可在第一时间组织居民疏散、撤离。</w:t>
      </w:r>
    </w:p>
    <w:p w14:paraId="6AEBDAAF"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3</w:t>
      </w:r>
      <w:r w:rsidRPr="00A964FF">
        <w:rPr>
          <w:rFonts w:ascii="Calibri" w:hint="eastAsia"/>
          <w:color w:val="auto"/>
        </w:rPr>
        <w:t>）厂区内所使用的化学品种类及数量应及时上报集聚区救援中心，并将可能发生的事故类型及对应的救援方案纳入园区风险管理体系。</w:t>
      </w:r>
    </w:p>
    <w:p w14:paraId="753155AC"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4</w:t>
      </w:r>
      <w:r w:rsidRPr="00A964FF">
        <w:rPr>
          <w:rFonts w:ascii="Calibri" w:hint="eastAsia"/>
          <w:color w:val="auto"/>
        </w:rPr>
        <w:t>）园区污水处理厂应设置应急事故暂存池，确保事故废水纳入暂存池，确保园区水环境风险防控到位。</w:t>
      </w:r>
    </w:p>
    <w:p w14:paraId="00B094A9"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5</w:t>
      </w:r>
      <w:r w:rsidRPr="00A964FF">
        <w:rPr>
          <w:rFonts w:ascii="Calibri" w:hint="eastAsia"/>
          <w:color w:val="auto"/>
        </w:rPr>
        <w:t>）集聚区救援中心应建立入园区企业事故类型、应急物资数据库，一旦园区内某一家企业发生风险事故，可立即调配其余的同类型救援物资进行救援，构筑“一家有难，集体联动”的防范体系。</w:t>
      </w:r>
    </w:p>
    <w:p w14:paraId="1143BD89"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6</w:t>
      </w:r>
      <w:r w:rsidRPr="00A964FF">
        <w:rPr>
          <w:rFonts w:ascii="Calibri" w:hint="eastAsia"/>
          <w:color w:val="auto"/>
        </w:rPr>
        <w:t>）集聚区已建立事故废水三级防控系统。一级防控系统为生产装置围堰，二级防控系统为各企业事故池，三级防控系统为第三污水处理厂事故池。建立应急指挥中心，具有指挥能力，并加强应急演练，提升指挥能力和应急物质、应急联合救援的协调性，及时有效性。</w:t>
      </w:r>
    </w:p>
    <w:p w14:paraId="6ECAF5B4" w14:textId="77777777" w:rsidR="003F49B0" w:rsidRPr="00A964FF" w:rsidRDefault="003F49B0" w:rsidP="003F49B0">
      <w:pPr>
        <w:pStyle w:val="00"/>
        <w:ind w:firstLineChars="200"/>
        <w:rPr>
          <w:rFonts w:ascii="Calibri"/>
          <w:color w:val="auto"/>
        </w:rPr>
      </w:pPr>
      <w:r w:rsidRPr="00A964FF">
        <w:rPr>
          <w:rFonts w:ascii="Calibri" w:hint="eastAsia"/>
          <w:color w:val="auto"/>
        </w:rPr>
        <w:t>（</w:t>
      </w:r>
      <w:r w:rsidRPr="00A964FF">
        <w:rPr>
          <w:rFonts w:ascii="Calibri" w:hint="eastAsia"/>
          <w:color w:val="auto"/>
        </w:rPr>
        <w:t>7</w:t>
      </w:r>
      <w:r w:rsidRPr="00A964FF">
        <w:rPr>
          <w:rFonts w:ascii="Calibri" w:hint="eastAsia"/>
          <w:color w:val="auto"/>
        </w:rPr>
        <w:t>）集聚区应设有专门的应急组织机构，应急处置工作由应急相应中心、消防队、医疗中心、</w:t>
      </w:r>
      <w:r w:rsidR="00974250" w:rsidRPr="00A964FF">
        <w:rPr>
          <w:rFonts w:ascii="Calibri" w:hint="eastAsia"/>
          <w:color w:val="auto"/>
        </w:rPr>
        <w:t>生态环境</w:t>
      </w:r>
      <w:r w:rsidRPr="00A964FF">
        <w:rPr>
          <w:rFonts w:ascii="Calibri" w:hint="eastAsia"/>
          <w:color w:val="auto"/>
        </w:rPr>
        <w:t>局、安监处、防汛等部门协同分担。一旦企业发生环境污染</w:t>
      </w:r>
      <w:r w:rsidRPr="00A964FF">
        <w:rPr>
          <w:rFonts w:ascii="Calibri" w:hint="eastAsia"/>
          <w:color w:val="auto"/>
        </w:rPr>
        <w:lastRenderedPageBreak/>
        <w:t>事件，企业立即实行自救，采取一切措施控制事态发展，及时向集聚区报告。当发生较大事故时，则需要启动区级别的应急预案，并且企业、集聚区以及平顶山市应急救援中心之间进行“三级联动”。</w:t>
      </w:r>
    </w:p>
    <w:p w14:paraId="7B40E3ED" w14:textId="77777777" w:rsidR="003F49B0" w:rsidRPr="00A964FF" w:rsidRDefault="003F49B0" w:rsidP="003F49B0">
      <w:pPr>
        <w:pStyle w:val="00"/>
        <w:ind w:firstLineChars="200"/>
        <w:rPr>
          <w:rFonts w:ascii="Calibri"/>
          <w:color w:val="auto"/>
        </w:rPr>
      </w:pPr>
      <w:r w:rsidRPr="00A964FF">
        <w:rPr>
          <w:rFonts w:ascii="Calibri" w:hint="eastAsia"/>
          <w:color w:val="auto"/>
        </w:rPr>
        <w:t>经调查，目前集聚区已经建设的风险防范防控措施：①建立了应急组织机构；②建立了风险管控制度；③集聚区污水处理厂设置了事故池，建立了三级防控系统。</w:t>
      </w:r>
    </w:p>
    <w:p w14:paraId="0374E221" w14:textId="77777777" w:rsidR="003F49B0" w:rsidRPr="00A964FF" w:rsidRDefault="003F49B0" w:rsidP="003F49B0">
      <w:pPr>
        <w:pStyle w:val="00"/>
        <w:ind w:firstLineChars="200"/>
        <w:rPr>
          <w:rFonts w:ascii="Calibri"/>
          <w:color w:val="auto"/>
        </w:rPr>
      </w:pPr>
      <w:r w:rsidRPr="00A964FF">
        <w:rPr>
          <w:rFonts w:ascii="Calibri" w:hint="eastAsia"/>
          <w:color w:val="auto"/>
        </w:rPr>
        <w:t>目前集聚区需要完善的风险防控措施：①编制集聚区突发环境事件应急预案；②组织企业联动综合应急演练和环境事故专项演练；③针对灰河水体设置封堵措施；④随着企业的增</w:t>
      </w:r>
      <w:r w:rsidR="00B05446" w:rsidRPr="00A964FF">
        <w:rPr>
          <w:rFonts w:ascii="Calibri" w:hint="eastAsia"/>
          <w:color w:val="auto"/>
        </w:rPr>
        <w:t>多</w:t>
      </w:r>
      <w:r w:rsidRPr="00A964FF">
        <w:rPr>
          <w:rFonts w:ascii="Calibri" w:hint="eastAsia"/>
          <w:color w:val="auto"/>
        </w:rPr>
        <w:t>对集聚区污水处理厂事故池定期进行扩容；⑤建议针对排水量、水污染事故风险大的重点单位实施配套专网将废水排入污水处理厂；⑥积极推进应急体系建设，加快推进国家化工园区有毒有害气体环境风险预警体系建设试点。</w:t>
      </w:r>
    </w:p>
    <w:p w14:paraId="3613B62D" w14:textId="77777777" w:rsidR="00BD2758" w:rsidRPr="00A964FF" w:rsidRDefault="00BD2758" w:rsidP="00BD2758">
      <w:pPr>
        <w:pStyle w:val="3a"/>
      </w:pPr>
      <w:r w:rsidRPr="00A964FF">
        <w:rPr>
          <w:rFonts w:hint="eastAsia"/>
        </w:rPr>
        <w:t>5</w:t>
      </w:r>
      <w:r w:rsidRPr="00A964FF">
        <w:t>.</w:t>
      </w:r>
      <w:r w:rsidRPr="00A964FF">
        <w:rPr>
          <w:rFonts w:hint="eastAsia"/>
        </w:rPr>
        <w:t>3.3</w:t>
      </w:r>
      <w:r w:rsidRPr="00A964FF">
        <w:rPr>
          <w:rFonts w:hint="eastAsia"/>
        </w:rPr>
        <w:t>地下水风险防范措施</w:t>
      </w:r>
    </w:p>
    <w:p w14:paraId="2D4099F1" w14:textId="77777777" w:rsidR="00BD2758" w:rsidRPr="00A964FF" w:rsidRDefault="00BD2758" w:rsidP="00BD2758">
      <w:pPr>
        <w:pStyle w:val="00"/>
        <w:ind w:firstLineChars="200"/>
        <w:rPr>
          <w:rFonts w:ascii="宋体"/>
          <w:color w:val="auto"/>
        </w:rPr>
      </w:pPr>
      <w:r w:rsidRPr="00A964FF">
        <w:rPr>
          <w:rFonts w:ascii="Calibri" w:hAnsi="Times New Roman" w:hint="eastAsia"/>
          <w:color w:val="auto"/>
        </w:rPr>
        <w:t>本</w:t>
      </w:r>
      <w:r w:rsidRPr="00A964FF">
        <w:rPr>
          <w:rFonts w:ascii="Calibri" w:hAnsi="Times New Roman"/>
          <w:color w:val="auto"/>
        </w:rPr>
        <w:t>项目发生地下水环境风险的事件为</w:t>
      </w:r>
      <w:r w:rsidR="008E4241" w:rsidRPr="00A964FF">
        <w:rPr>
          <w:rFonts w:ascii="Calibri" w:hAnsi="Times New Roman" w:hint="eastAsia"/>
          <w:color w:val="auto"/>
        </w:rPr>
        <w:t>生产装置区、</w:t>
      </w:r>
      <w:r w:rsidR="000E33B8" w:rsidRPr="00A964FF">
        <w:rPr>
          <w:rFonts w:ascii="Calibri" w:hAnsi="Times New Roman" w:hint="eastAsia"/>
          <w:color w:val="auto"/>
        </w:rPr>
        <w:t>危废</w:t>
      </w:r>
      <w:r w:rsidR="008E4241" w:rsidRPr="00A964FF">
        <w:rPr>
          <w:rFonts w:ascii="Calibri" w:hAnsi="Times New Roman" w:hint="eastAsia"/>
          <w:color w:val="auto"/>
        </w:rPr>
        <w:t>暂存间、仓库、废水处理站等物料</w:t>
      </w:r>
      <w:r w:rsidRPr="00A964FF">
        <w:rPr>
          <w:rFonts w:ascii="Calibri" w:hAnsi="Times New Roman"/>
          <w:color w:val="auto"/>
        </w:rPr>
        <w:t>泄漏后下渗对</w:t>
      </w:r>
      <w:r w:rsidR="008E4241" w:rsidRPr="00A964FF">
        <w:rPr>
          <w:rFonts w:ascii="Calibri" w:hAnsi="Times New Roman" w:hint="eastAsia"/>
          <w:color w:val="auto"/>
        </w:rPr>
        <w:t>区域</w:t>
      </w:r>
      <w:r w:rsidRPr="00A964FF">
        <w:rPr>
          <w:rFonts w:ascii="Calibri" w:hAnsi="Times New Roman"/>
          <w:color w:val="auto"/>
        </w:rPr>
        <w:t>地下水环境影响。本项目</w:t>
      </w:r>
      <w:r w:rsidRPr="00A964FF">
        <w:rPr>
          <w:rFonts w:ascii="Calibri" w:hAnsi="Times New Roman" w:hint="eastAsia"/>
          <w:color w:val="auto"/>
        </w:rPr>
        <w:t>地下水污染防治措施</w:t>
      </w:r>
      <w:r w:rsidRPr="00A964FF">
        <w:rPr>
          <w:rFonts w:ascii="Calibri" w:hAnsi="Times New Roman"/>
          <w:color w:val="auto"/>
        </w:rPr>
        <w:t>专章已经对工程废水下渗对附近地下水环境影响进行详细分析。</w:t>
      </w:r>
      <w:r w:rsidRPr="00A964FF">
        <w:rPr>
          <w:rFonts w:ascii="Calibri" w:hAnsi="Times New Roman" w:hint="eastAsia"/>
          <w:color w:val="auto"/>
        </w:rPr>
        <w:t>地下水风险防范措施</w:t>
      </w:r>
      <w:r w:rsidRPr="00A964FF">
        <w:rPr>
          <w:rFonts w:ascii="Calibri" w:hAnsi="Times New Roman"/>
          <w:color w:val="auto"/>
        </w:rPr>
        <w:t>根据《环境影响评价技术导则地下水环境》（</w:t>
      </w:r>
      <w:r w:rsidRPr="00A964FF">
        <w:rPr>
          <w:rFonts w:ascii="Calibri" w:hAnsi="Calibri"/>
          <w:color w:val="auto"/>
        </w:rPr>
        <w:t>HJ610-2016</w:t>
      </w:r>
      <w:r w:rsidRPr="00A964FF">
        <w:rPr>
          <w:rFonts w:ascii="Calibri" w:hAnsi="Times New Roman"/>
          <w:color w:val="auto"/>
        </w:rPr>
        <w:t>）内容，地下水环境保护措施与对策应按照</w:t>
      </w:r>
      <w:r w:rsidRPr="00A964FF">
        <w:rPr>
          <w:rFonts w:ascii="宋体"/>
          <w:color w:val="auto"/>
        </w:rPr>
        <w:t>“源头控制、分区防控、污染监控、应急响应，重点突出饮用水水水质安全的原则确定”</w:t>
      </w:r>
      <w:r w:rsidRPr="00A964FF">
        <w:rPr>
          <w:rFonts w:ascii="宋体" w:hint="eastAsia"/>
          <w:color w:val="auto"/>
        </w:rPr>
        <w:t>，详见地下水风险防范措施。</w:t>
      </w:r>
    </w:p>
    <w:p w14:paraId="225E71DE" w14:textId="77777777" w:rsidR="003F49B0" w:rsidRPr="00A964FF" w:rsidRDefault="003F49B0" w:rsidP="003F49B0">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一旦事故液态污染物进入地下水，应及时采取构筑围堤、挖坑收容和应急井抽注水。把液态污染物拦截住，并用抽吸软管移除液态污染物，回收或运至废物处理场处置。迅速将被污染的土壤收集，转移到安全地方，并进一步对污染区域环境作降解消除污染物处置。其中，主要采用应急井进行抽水，将污染物质及时抽出处理，提高地下水径流速度，加快污染物的流动，使得应急井能快速抽出全部污染物，形成小范围的阻水帷幕，提高应急处理的效果。另一方面，停止周边村民饮用地下水，以免抽水过程中加快地下水流动，使得地下水污染物快速扩散。</w:t>
      </w:r>
    </w:p>
    <w:p w14:paraId="1C4317C9" w14:textId="77777777" w:rsidR="00BD2758" w:rsidRPr="00A964FF" w:rsidRDefault="00BD2758" w:rsidP="00BD2758">
      <w:pPr>
        <w:pStyle w:val="00"/>
        <w:ind w:firstLineChars="200"/>
        <w:rPr>
          <w:rFonts w:ascii="宋体"/>
          <w:color w:val="auto"/>
        </w:rPr>
      </w:pPr>
      <w:r w:rsidRPr="00A964FF">
        <w:rPr>
          <w:rFonts w:ascii="宋体"/>
          <w:color w:val="auto"/>
        </w:rPr>
        <w:t>综上，在确保上述各项防渗防漏措施得以落实，并加强维护和厂区环境管理的前提下，</w:t>
      </w:r>
      <w:r w:rsidRPr="00A964FF">
        <w:rPr>
          <w:rFonts w:ascii="宋体" w:hint="eastAsia"/>
          <w:color w:val="auto"/>
        </w:rPr>
        <w:t>降低环境风险发生概率，</w:t>
      </w:r>
      <w:r w:rsidRPr="00A964FF">
        <w:rPr>
          <w:rFonts w:ascii="宋体"/>
          <w:color w:val="auto"/>
        </w:rPr>
        <w:t>项目运营不会对区域地下水环境产生较大影响。</w:t>
      </w:r>
    </w:p>
    <w:p w14:paraId="54F42E18" w14:textId="77777777" w:rsidR="003F49B0" w:rsidRPr="00A964FF" w:rsidRDefault="003F49B0" w:rsidP="003F49B0">
      <w:pPr>
        <w:pStyle w:val="3a"/>
      </w:pPr>
      <w:r w:rsidRPr="00A964FF">
        <w:rPr>
          <w:rFonts w:hint="eastAsia"/>
        </w:rPr>
        <w:lastRenderedPageBreak/>
        <w:t>5</w:t>
      </w:r>
      <w:r w:rsidRPr="00A964FF">
        <w:t>.</w:t>
      </w:r>
      <w:r w:rsidRPr="00A964FF">
        <w:rPr>
          <w:rFonts w:hint="eastAsia"/>
        </w:rPr>
        <w:t>3.4</w:t>
      </w:r>
      <w:r w:rsidRPr="00A964FF">
        <w:rPr>
          <w:rFonts w:hint="eastAsia"/>
        </w:rPr>
        <w:t>本项目环境风险防范与园区环境风险防控体系衔接分析</w:t>
      </w:r>
    </w:p>
    <w:p w14:paraId="369931C6" w14:textId="77777777" w:rsidR="003F49B0" w:rsidRPr="00A964FF" w:rsidRDefault="003F49B0" w:rsidP="003F49B0">
      <w:pPr>
        <w:pStyle w:val="00"/>
        <w:ind w:firstLineChars="200"/>
        <w:rPr>
          <w:rFonts w:ascii="宋体"/>
          <w:color w:val="auto"/>
        </w:rPr>
      </w:pPr>
      <w:r w:rsidRPr="00A964FF">
        <w:rPr>
          <w:rFonts w:ascii="宋体" w:hint="eastAsia"/>
          <w:color w:val="auto"/>
        </w:rPr>
        <w:t>目前，集聚区规划、规划环评已获批，园区拟设立应急救援中心，并建设应急监测预警和救援指挥系统，建立应急救援预案，统一协调和指挥产业园区内各种安全事故的应急救援和处理。</w:t>
      </w:r>
    </w:p>
    <w:p w14:paraId="2E1757B7" w14:textId="77777777" w:rsidR="003F49B0" w:rsidRPr="00A964FF" w:rsidRDefault="003F49B0" w:rsidP="003F49B0">
      <w:pPr>
        <w:pStyle w:val="00"/>
        <w:ind w:firstLineChars="200"/>
        <w:rPr>
          <w:rFonts w:ascii="宋体"/>
          <w:color w:val="auto"/>
        </w:rPr>
      </w:pPr>
      <w:r w:rsidRPr="00A964FF">
        <w:rPr>
          <w:rFonts w:ascii="宋体" w:hint="eastAsia"/>
          <w:color w:val="auto"/>
        </w:rPr>
        <w:t>本项目应为集聚区防控重点，建设单位应主动与集聚区防控系统结合，纳入集聚区应急防控体系建设，应急预案的编制应考虑园区应急救援预案总体内容，形成园区-企业预案的上下位衔接关系，确保园区环境风险处于可控水平。</w:t>
      </w:r>
    </w:p>
    <w:p w14:paraId="508CD8B4" w14:textId="77777777" w:rsidR="00BD2758" w:rsidRPr="00A964FF" w:rsidRDefault="00BD2758" w:rsidP="00BD2758">
      <w:pPr>
        <w:pStyle w:val="3a"/>
      </w:pPr>
      <w:r w:rsidRPr="00A964FF">
        <w:rPr>
          <w:rFonts w:hint="eastAsia"/>
        </w:rPr>
        <w:t>5</w:t>
      </w:r>
      <w:r w:rsidRPr="00A964FF">
        <w:t>.</w:t>
      </w:r>
      <w:r w:rsidRPr="00A964FF">
        <w:rPr>
          <w:rFonts w:hint="eastAsia"/>
        </w:rPr>
        <w:t>3.</w:t>
      </w:r>
      <w:r w:rsidR="003F49B0" w:rsidRPr="00A964FF">
        <w:rPr>
          <w:rFonts w:hint="eastAsia"/>
        </w:rPr>
        <w:t>5</w:t>
      </w:r>
      <w:r w:rsidRPr="00A964FF">
        <w:rPr>
          <w:rFonts w:hint="eastAsia"/>
        </w:rPr>
        <w:t>环境风险应急预案</w:t>
      </w:r>
    </w:p>
    <w:p w14:paraId="46624755" w14:textId="77777777" w:rsidR="008E4241" w:rsidRPr="00A964FF" w:rsidRDefault="008E4241" w:rsidP="008E4241">
      <w:pPr>
        <w:pStyle w:val="00"/>
        <w:rPr>
          <w:rFonts w:ascii="Calibri" w:hAnsi="Calibri"/>
          <w:color w:val="auto"/>
        </w:rPr>
      </w:pPr>
      <w:r w:rsidRPr="00A964FF">
        <w:rPr>
          <w:rFonts w:ascii="Calibri" w:hAnsi="Times New Roman"/>
          <w:color w:val="auto"/>
        </w:rPr>
        <w:t>制定风险事故应急预案的目的是为了在发生风险事故时，能以最快的速度发挥最大的效能，有序的实施救援，尽快控制事态的发展，降低事故造成的危害，减少事故造成的损失。风险事故应急预案的基本要求包括：科学性、实用性和权威性。风险事故的应急救援工作是一项科学性很强的工作，必须开展科学分析和论证，制定严密、统一、完整的应急预案；应急预案应符合项目的客观情况，具有实用、简单、易掌握等特性，便于实施；对事故处置过程中职责、权限、任务、工作标准、奖励与处罚做出明确规定，使之成为企业的一项制度，确保其权威性。</w:t>
      </w:r>
    </w:p>
    <w:p w14:paraId="43576ED5" w14:textId="77777777" w:rsidR="008E4241" w:rsidRPr="00A964FF" w:rsidRDefault="008E4241" w:rsidP="008E4241">
      <w:pPr>
        <w:pStyle w:val="00"/>
        <w:rPr>
          <w:rFonts w:ascii="Calibri" w:hAnsi="Calibri"/>
          <w:color w:val="auto"/>
        </w:rPr>
      </w:pPr>
      <w:r w:rsidRPr="00A964FF">
        <w:rPr>
          <w:rFonts w:ascii="Calibri" w:hAnsi="Times New Roman"/>
          <w:color w:val="auto"/>
        </w:rPr>
        <w:t>（</w:t>
      </w:r>
      <w:r w:rsidRPr="00A964FF">
        <w:rPr>
          <w:rFonts w:ascii="Calibri" w:hAnsi="Calibri"/>
          <w:color w:val="auto"/>
        </w:rPr>
        <w:t>1</w:t>
      </w:r>
      <w:r w:rsidRPr="00A964FF">
        <w:rPr>
          <w:rFonts w:ascii="Calibri" w:hAnsi="Times New Roman"/>
          <w:color w:val="auto"/>
        </w:rPr>
        <w:t>）根据企业生产过程可能发生的事故和非正常状况，制定一套完整、实用、有效、可行的公司生产事故应急预案，各关键岗位必须有现行版本，并组织人员按应急预案方案进行演习，使关键岗位人员掌握本岗位应急可能发生事故的本领；</w:t>
      </w:r>
    </w:p>
    <w:p w14:paraId="0C43AAE3" w14:textId="77777777" w:rsidR="008E4241" w:rsidRPr="00A964FF" w:rsidRDefault="008E4241" w:rsidP="008E4241">
      <w:pPr>
        <w:pStyle w:val="00"/>
        <w:rPr>
          <w:rFonts w:ascii="Calibri" w:hAnsi="Calibri"/>
          <w:color w:val="auto"/>
        </w:rPr>
      </w:pPr>
      <w:r w:rsidRPr="00A964FF">
        <w:rPr>
          <w:rFonts w:ascii="Calibri" w:hAnsi="Times New Roman"/>
          <w:color w:val="auto"/>
        </w:rPr>
        <w:t>（</w:t>
      </w:r>
      <w:r w:rsidRPr="00A964FF">
        <w:rPr>
          <w:rFonts w:ascii="Calibri" w:hAnsi="Calibri"/>
          <w:color w:val="auto"/>
        </w:rPr>
        <w:t>2</w:t>
      </w:r>
      <w:r w:rsidRPr="00A964FF">
        <w:rPr>
          <w:rFonts w:ascii="Calibri" w:hAnsi="Times New Roman"/>
          <w:color w:val="auto"/>
        </w:rPr>
        <w:t>）公司生产事故应急预案应包括可能发生的事故岗位、事故类型、事故大小、事故发生的原因、控制事故的措施、事故的危害及后果等，针对不同的事故制定完整有效的应急预案包括起动应急领导组、人员的组织、调动、使用的设备、来源、降低、控制和消除事故危害的程序、后果的反馈、事故的总结及上报等；</w:t>
      </w:r>
    </w:p>
    <w:p w14:paraId="1AFF8136" w14:textId="77777777" w:rsidR="008E4241" w:rsidRPr="00A964FF" w:rsidRDefault="008E4241" w:rsidP="008E4241">
      <w:pPr>
        <w:pStyle w:val="00"/>
        <w:rPr>
          <w:rFonts w:ascii="Calibri" w:hAnsi="Calibri"/>
          <w:color w:val="auto"/>
        </w:rPr>
      </w:pPr>
      <w:r w:rsidRPr="00A964FF">
        <w:rPr>
          <w:rFonts w:ascii="Calibri" w:hAnsi="Times New Roman"/>
          <w:color w:val="auto"/>
        </w:rPr>
        <w:t>（</w:t>
      </w:r>
      <w:r w:rsidRPr="00A964FF">
        <w:rPr>
          <w:rFonts w:ascii="Calibri" w:hAnsi="Calibri"/>
          <w:color w:val="auto"/>
        </w:rPr>
        <w:t>3</w:t>
      </w:r>
      <w:r w:rsidRPr="00A964FF">
        <w:rPr>
          <w:rFonts w:ascii="Calibri" w:hAnsi="Times New Roman"/>
          <w:color w:val="auto"/>
        </w:rPr>
        <w:t>）风险事故发生时，应急管理人员应各司其职，检查事故发生原因，按照公司生产事故应急预案的要求和操作内容，争取在最短的时间内排除故障；</w:t>
      </w:r>
    </w:p>
    <w:p w14:paraId="570CB7AD" w14:textId="77777777" w:rsidR="008E4241" w:rsidRPr="00A964FF" w:rsidRDefault="008E4241" w:rsidP="008E4241">
      <w:pPr>
        <w:pStyle w:val="00"/>
        <w:rPr>
          <w:rFonts w:ascii="Calibri" w:hAnsi="Calibri"/>
          <w:color w:val="auto"/>
        </w:rPr>
      </w:pPr>
      <w:r w:rsidRPr="00A964FF">
        <w:rPr>
          <w:rFonts w:ascii="Calibri" w:hAnsi="Times New Roman"/>
          <w:color w:val="auto"/>
        </w:rPr>
        <w:t>（</w:t>
      </w:r>
      <w:r w:rsidRPr="00A964FF">
        <w:rPr>
          <w:rFonts w:ascii="Calibri" w:hAnsi="Calibri"/>
          <w:color w:val="auto"/>
        </w:rPr>
        <w:t>4</w:t>
      </w:r>
      <w:r w:rsidRPr="00A964FF">
        <w:rPr>
          <w:rFonts w:ascii="Calibri" w:hAnsi="Times New Roman"/>
          <w:color w:val="auto"/>
        </w:rPr>
        <w:t>）发生严重事故时（如有毒害化学品大量泄漏），必须及时疏散人群，组织人员抢救，尽量缩小事故影响范围；</w:t>
      </w:r>
    </w:p>
    <w:p w14:paraId="1DEF577E" w14:textId="77777777" w:rsidR="008E4241" w:rsidRPr="00A964FF" w:rsidRDefault="008E4241" w:rsidP="008E4241">
      <w:pPr>
        <w:pStyle w:val="00"/>
        <w:rPr>
          <w:rFonts w:ascii="Calibri" w:hAnsi="Calibri"/>
          <w:color w:val="auto"/>
        </w:rPr>
      </w:pPr>
      <w:r w:rsidRPr="00A964FF">
        <w:rPr>
          <w:rFonts w:ascii="Calibri" w:hAnsi="Times New Roman"/>
          <w:color w:val="auto"/>
        </w:rPr>
        <w:lastRenderedPageBreak/>
        <w:t>（</w:t>
      </w:r>
      <w:r w:rsidRPr="00A964FF">
        <w:rPr>
          <w:rFonts w:ascii="Calibri" w:hAnsi="Calibri"/>
          <w:color w:val="auto"/>
        </w:rPr>
        <w:t>5</w:t>
      </w:r>
      <w:r w:rsidRPr="00A964FF">
        <w:rPr>
          <w:rFonts w:ascii="Calibri" w:hAnsi="Times New Roman"/>
          <w:color w:val="auto"/>
        </w:rPr>
        <w:t>）立即向单位领导、当地政府和环境主管部门的领导汇报。</w:t>
      </w:r>
    </w:p>
    <w:p w14:paraId="01FC48FB" w14:textId="77777777" w:rsidR="008E4241" w:rsidRPr="00A964FF" w:rsidRDefault="008E4241" w:rsidP="008E4241">
      <w:pPr>
        <w:pStyle w:val="00"/>
        <w:rPr>
          <w:rFonts w:ascii="Calibri" w:hAnsi="Calibri"/>
          <w:color w:val="auto"/>
        </w:rPr>
      </w:pPr>
      <w:r w:rsidRPr="00A964FF">
        <w:rPr>
          <w:rFonts w:ascii="Calibri" w:hAnsi="Times New Roman"/>
          <w:color w:val="auto"/>
        </w:rPr>
        <w:t>应急预案包括应急计划区的确定及分布、应急保护目标、应急组织、应急撤离、应急设施、通讯、应急处置、应急监测等方面。本</w:t>
      </w:r>
      <w:r w:rsidRPr="00A964FF">
        <w:rPr>
          <w:rFonts w:ascii="Calibri" w:hAnsi="Times New Roman" w:hint="eastAsia"/>
          <w:color w:val="auto"/>
        </w:rPr>
        <w:t>项目</w:t>
      </w:r>
      <w:r w:rsidRPr="00A964FF">
        <w:rPr>
          <w:rFonts w:ascii="Calibri" w:hAnsi="Times New Roman"/>
          <w:color w:val="auto"/>
        </w:rPr>
        <w:t>应急计划区主要为：物料储存区、车间生产区、环保处理设施。</w:t>
      </w:r>
    </w:p>
    <w:p w14:paraId="46886E3F" w14:textId="77777777" w:rsidR="008E4241" w:rsidRPr="00A964FF" w:rsidRDefault="008E4241" w:rsidP="008E4241">
      <w:pPr>
        <w:pStyle w:val="00"/>
        <w:rPr>
          <w:rFonts w:ascii="Calibri" w:hAnsi="Times New Roman"/>
          <w:color w:val="auto"/>
        </w:rPr>
      </w:pPr>
      <w:r w:rsidRPr="00A964FF">
        <w:rPr>
          <w:rFonts w:ascii="Calibri" w:hAnsi="Times New Roman"/>
          <w:color w:val="auto"/>
        </w:rPr>
        <w:t>企业应设立厂内应急救援指挥小组，制定相应的工作计划，在突发事故发生后，能及时采取措施，消除或减轻事故可能造成的环境危害和人身伤害，风险应急预案内容见下表，企业在生产后应根据自身实际情况及时更新并加以完善。</w:t>
      </w:r>
    </w:p>
    <w:p w14:paraId="7AFA2F0B" w14:textId="77777777" w:rsidR="003F49B0" w:rsidRPr="00A964FF" w:rsidRDefault="00BD2758" w:rsidP="003F49B0">
      <w:pPr>
        <w:spacing w:line="520" w:lineRule="exact"/>
        <w:ind w:firstLineChars="200" w:firstLine="480"/>
        <w:rPr>
          <w:rFonts w:ascii="Calibri" w:eastAsia="黑体" w:hAnsi="Calibri"/>
          <w:bCs/>
          <w:color w:val="auto"/>
        </w:rPr>
      </w:pPr>
      <w:r w:rsidRPr="00A964FF">
        <w:rPr>
          <w:rFonts w:ascii="Calibri" w:eastAsia="黑体"/>
          <w:color w:val="auto"/>
          <w:sz w:val="24"/>
        </w:rPr>
        <w:t>表</w:t>
      </w:r>
      <w:r w:rsidRPr="00A964FF">
        <w:rPr>
          <w:rFonts w:ascii="Calibri" w:eastAsia="黑体" w:hAnsi="Calibri"/>
          <w:color w:val="auto"/>
          <w:sz w:val="24"/>
        </w:rPr>
        <w:t>5</w:t>
      </w:r>
      <w:r w:rsidR="00EC65D5" w:rsidRPr="00A964FF">
        <w:rPr>
          <w:rFonts w:ascii="Calibri" w:eastAsia="黑体" w:hAnsi="Calibri" w:hint="eastAsia"/>
          <w:color w:val="auto"/>
          <w:sz w:val="24"/>
        </w:rPr>
        <w:t>.3</w:t>
      </w:r>
      <w:r w:rsidRPr="00A964FF">
        <w:rPr>
          <w:rFonts w:ascii="Calibri" w:eastAsia="黑体" w:hAnsi="Calibri" w:hint="eastAsia"/>
          <w:color w:val="auto"/>
          <w:sz w:val="24"/>
        </w:rPr>
        <w:t>-</w:t>
      </w:r>
      <w:r w:rsidR="00EC65D5" w:rsidRPr="00A964FF">
        <w:rPr>
          <w:rFonts w:ascii="Calibri" w:eastAsia="黑体" w:hAnsi="Calibri" w:hint="eastAsia"/>
          <w:color w:val="auto"/>
          <w:sz w:val="24"/>
        </w:rPr>
        <w:t>3</w:t>
      </w:r>
      <w:r w:rsidRPr="00A964FF">
        <w:rPr>
          <w:rFonts w:ascii="Calibri" w:eastAsia="黑体" w:hAnsi="Calibri" w:hint="eastAsia"/>
          <w:color w:val="auto"/>
          <w:sz w:val="24"/>
        </w:rPr>
        <w:t xml:space="preserve">                    </w:t>
      </w:r>
      <w:r w:rsidRPr="00A964FF">
        <w:rPr>
          <w:rFonts w:ascii="Calibri" w:eastAsia="黑体"/>
          <w:color w:val="auto"/>
          <w:sz w:val="24"/>
        </w:rPr>
        <w:t>风险事故应急预案</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1"/>
        <w:gridCol w:w="2161"/>
        <w:gridCol w:w="5838"/>
      </w:tblGrid>
      <w:tr w:rsidR="003F49B0" w:rsidRPr="00A964FF" w14:paraId="6174E98D" w14:textId="77777777" w:rsidTr="00B83749">
        <w:trPr>
          <w:cantSplit/>
          <w:trHeight w:val="340"/>
        </w:trPr>
        <w:tc>
          <w:tcPr>
            <w:tcW w:w="403" w:type="pct"/>
            <w:vAlign w:val="center"/>
          </w:tcPr>
          <w:p w14:paraId="6AEBA6C4"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序号</w:t>
            </w:r>
          </w:p>
        </w:tc>
        <w:tc>
          <w:tcPr>
            <w:tcW w:w="1242" w:type="pct"/>
            <w:vAlign w:val="center"/>
          </w:tcPr>
          <w:p w14:paraId="6D698B16" w14:textId="77777777" w:rsidR="003F49B0" w:rsidRPr="00A964FF" w:rsidRDefault="003F49B0" w:rsidP="00F357E7">
            <w:pPr>
              <w:tabs>
                <w:tab w:val="right" w:pos="8730"/>
              </w:tabs>
              <w:spacing w:line="300" w:lineRule="exact"/>
              <w:ind w:firstLineChars="200" w:firstLine="420"/>
              <w:jc w:val="center"/>
              <w:rPr>
                <w:rFonts w:ascii="Calibri" w:hAnsi="Calibri"/>
                <w:color w:val="auto"/>
              </w:rPr>
            </w:pPr>
            <w:r w:rsidRPr="00A964FF">
              <w:rPr>
                <w:rFonts w:ascii="Calibri"/>
                <w:color w:val="auto"/>
              </w:rPr>
              <w:t>项目</w:t>
            </w:r>
          </w:p>
        </w:tc>
        <w:tc>
          <w:tcPr>
            <w:tcW w:w="3355" w:type="pct"/>
            <w:vAlign w:val="center"/>
          </w:tcPr>
          <w:p w14:paraId="0509BBC3"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内容及要求</w:t>
            </w:r>
          </w:p>
        </w:tc>
      </w:tr>
      <w:tr w:rsidR="003F49B0" w:rsidRPr="00A964FF" w14:paraId="4AF8CAF0" w14:textId="77777777" w:rsidTr="00B83749">
        <w:trPr>
          <w:cantSplit/>
          <w:trHeight w:val="340"/>
        </w:trPr>
        <w:tc>
          <w:tcPr>
            <w:tcW w:w="403" w:type="pct"/>
            <w:vAlign w:val="center"/>
          </w:tcPr>
          <w:p w14:paraId="5D30AB86"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1</w:t>
            </w:r>
          </w:p>
        </w:tc>
        <w:tc>
          <w:tcPr>
            <w:tcW w:w="1242" w:type="pct"/>
            <w:vAlign w:val="center"/>
          </w:tcPr>
          <w:p w14:paraId="2F3123B3"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总则</w:t>
            </w:r>
          </w:p>
        </w:tc>
        <w:tc>
          <w:tcPr>
            <w:tcW w:w="3355" w:type="pct"/>
            <w:vAlign w:val="center"/>
          </w:tcPr>
          <w:p w14:paraId="0B3352B6"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int="eastAsia"/>
                <w:color w:val="auto"/>
              </w:rPr>
              <w:t>简述生产过程中涉及物料性质及可能产生的突发事故。</w:t>
            </w:r>
          </w:p>
        </w:tc>
      </w:tr>
      <w:tr w:rsidR="003F49B0" w:rsidRPr="00A964FF" w14:paraId="74B0981A" w14:textId="77777777" w:rsidTr="00B83749">
        <w:trPr>
          <w:cantSplit/>
          <w:trHeight w:val="340"/>
        </w:trPr>
        <w:tc>
          <w:tcPr>
            <w:tcW w:w="403" w:type="pct"/>
            <w:vAlign w:val="center"/>
          </w:tcPr>
          <w:p w14:paraId="458E2337"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2</w:t>
            </w:r>
          </w:p>
        </w:tc>
        <w:tc>
          <w:tcPr>
            <w:tcW w:w="1242" w:type="pct"/>
            <w:vAlign w:val="center"/>
          </w:tcPr>
          <w:p w14:paraId="78E9E080"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危险源概况</w:t>
            </w:r>
          </w:p>
        </w:tc>
        <w:tc>
          <w:tcPr>
            <w:tcW w:w="3355" w:type="pct"/>
            <w:vAlign w:val="center"/>
          </w:tcPr>
          <w:p w14:paraId="3F568171"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详述危险源类型、数量及其分布。</w:t>
            </w:r>
          </w:p>
        </w:tc>
      </w:tr>
      <w:tr w:rsidR="003F49B0" w:rsidRPr="00A964FF" w14:paraId="1EBC81BA" w14:textId="77777777" w:rsidTr="00B83749">
        <w:trPr>
          <w:cantSplit/>
          <w:trHeight w:val="340"/>
        </w:trPr>
        <w:tc>
          <w:tcPr>
            <w:tcW w:w="403" w:type="pct"/>
            <w:vAlign w:val="center"/>
          </w:tcPr>
          <w:p w14:paraId="35C8054C"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3</w:t>
            </w:r>
          </w:p>
        </w:tc>
        <w:tc>
          <w:tcPr>
            <w:tcW w:w="1242" w:type="pct"/>
            <w:vAlign w:val="center"/>
          </w:tcPr>
          <w:p w14:paraId="55800528"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应急计划区</w:t>
            </w:r>
          </w:p>
        </w:tc>
        <w:tc>
          <w:tcPr>
            <w:tcW w:w="3355" w:type="pct"/>
            <w:vAlign w:val="center"/>
          </w:tcPr>
          <w:p w14:paraId="2B52B37D"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厂区储罐区、装卸区及危化品的运输。</w:t>
            </w:r>
          </w:p>
        </w:tc>
      </w:tr>
      <w:tr w:rsidR="003F49B0" w:rsidRPr="00A964FF" w14:paraId="2ACF1761" w14:textId="77777777" w:rsidTr="00B83749">
        <w:trPr>
          <w:cantSplit/>
          <w:trHeight w:val="340"/>
        </w:trPr>
        <w:tc>
          <w:tcPr>
            <w:tcW w:w="403" w:type="pct"/>
            <w:vAlign w:val="center"/>
          </w:tcPr>
          <w:p w14:paraId="40C982B4"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4</w:t>
            </w:r>
          </w:p>
        </w:tc>
        <w:tc>
          <w:tcPr>
            <w:tcW w:w="1242" w:type="pct"/>
            <w:vAlign w:val="center"/>
          </w:tcPr>
          <w:p w14:paraId="0DA80DD5"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应急组织</w:t>
            </w:r>
          </w:p>
        </w:tc>
        <w:tc>
          <w:tcPr>
            <w:tcW w:w="3355" w:type="pct"/>
            <w:vAlign w:val="center"/>
          </w:tcPr>
          <w:p w14:paraId="03276113" w14:textId="77777777" w:rsidR="003F49B0" w:rsidRPr="00A964FF" w:rsidRDefault="003F49B0" w:rsidP="00F357E7">
            <w:pPr>
              <w:tabs>
                <w:tab w:val="right" w:pos="8730"/>
              </w:tabs>
              <w:spacing w:line="300" w:lineRule="exact"/>
              <w:jc w:val="center"/>
              <w:rPr>
                <w:rFonts w:ascii="Calibri"/>
                <w:color w:val="auto"/>
              </w:rPr>
            </w:pPr>
            <w:r w:rsidRPr="00A964FF">
              <w:rPr>
                <w:rFonts w:ascii="Calibri" w:hint="eastAsia"/>
                <w:color w:val="auto"/>
              </w:rPr>
              <w:t>公司：公司指挥部——负责全公司全面指挥；专业救援队伍——负责事故控制、救援善后处理</w:t>
            </w:r>
          </w:p>
          <w:p w14:paraId="18C3CE53" w14:textId="77777777" w:rsidR="003F49B0" w:rsidRPr="00A964FF" w:rsidRDefault="003F49B0" w:rsidP="00F357E7">
            <w:pPr>
              <w:tabs>
                <w:tab w:val="right" w:pos="8730"/>
              </w:tabs>
              <w:spacing w:line="300" w:lineRule="exact"/>
              <w:jc w:val="center"/>
              <w:rPr>
                <w:rFonts w:ascii="Calibri"/>
                <w:color w:val="auto"/>
              </w:rPr>
            </w:pPr>
            <w:r w:rsidRPr="00A964FF">
              <w:rPr>
                <w:rFonts w:ascii="Calibri" w:hint="eastAsia"/>
                <w:color w:val="auto"/>
              </w:rPr>
              <w:t>地区：地区指挥部——负责公司附近地区、全面指挥、救援疏散；专业救援队伍——负责对公司专业救援队伍支持。</w:t>
            </w:r>
          </w:p>
        </w:tc>
      </w:tr>
      <w:tr w:rsidR="003F49B0" w:rsidRPr="00A964FF" w14:paraId="32500DE2" w14:textId="77777777" w:rsidTr="00B83749">
        <w:trPr>
          <w:cantSplit/>
          <w:trHeight w:val="340"/>
        </w:trPr>
        <w:tc>
          <w:tcPr>
            <w:tcW w:w="403" w:type="pct"/>
            <w:vAlign w:val="center"/>
          </w:tcPr>
          <w:p w14:paraId="65C0AAD2"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5</w:t>
            </w:r>
          </w:p>
        </w:tc>
        <w:tc>
          <w:tcPr>
            <w:tcW w:w="1242" w:type="pct"/>
            <w:vAlign w:val="center"/>
          </w:tcPr>
          <w:p w14:paraId="2B66182D"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应急状态分类及应急响应程序</w:t>
            </w:r>
          </w:p>
        </w:tc>
        <w:tc>
          <w:tcPr>
            <w:tcW w:w="3355" w:type="pct"/>
            <w:vAlign w:val="center"/>
          </w:tcPr>
          <w:p w14:paraId="06BA40AE" w14:textId="77777777" w:rsidR="003F49B0" w:rsidRPr="00A964FF" w:rsidRDefault="003F49B0" w:rsidP="00F357E7">
            <w:pPr>
              <w:tabs>
                <w:tab w:val="right" w:pos="8730"/>
              </w:tabs>
              <w:spacing w:line="300" w:lineRule="exact"/>
              <w:jc w:val="center"/>
              <w:rPr>
                <w:rFonts w:ascii="Calibri"/>
                <w:color w:val="auto"/>
              </w:rPr>
            </w:pPr>
            <w:r w:rsidRPr="00A964FF">
              <w:rPr>
                <w:rFonts w:ascii="Calibri" w:hint="eastAsia"/>
                <w:color w:val="auto"/>
              </w:rPr>
              <w:t>规定事故的级别及相应的应急分类响应程度，项目与集聚区环境风险事故防控措施的衔接及联动。</w:t>
            </w:r>
          </w:p>
        </w:tc>
      </w:tr>
      <w:tr w:rsidR="003F49B0" w:rsidRPr="00A964FF" w14:paraId="10AB57D0" w14:textId="77777777" w:rsidTr="00B83749">
        <w:trPr>
          <w:cantSplit/>
          <w:trHeight w:val="340"/>
        </w:trPr>
        <w:tc>
          <w:tcPr>
            <w:tcW w:w="403" w:type="pct"/>
            <w:vAlign w:val="center"/>
          </w:tcPr>
          <w:p w14:paraId="44315332"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6</w:t>
            </w:r>
          </w:p>
        </w:tc>
        <w:tc>
          <w:tcPr>
            <w:tcW w:w="1242" w:type="pct"/>
            <w:vAlign w:val="center"/>
          </w:tcPr>
          <w:p w14:paraId="33517291"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应急设施、设备与材料</w:t>
            </w:r>
          </w:p>
        </w:tc>
        <w:tc>
          <w:tcPr>
            <w:tcW w:w="3355" w:type="pct"/>
            <w:vAlign w:val="center"/>
          </w:tcPr>
          <w:p w14:paraId="56A4F081" w14:textId="77777777" w:rsidR="003F49B0" w:rsidRPr="00A964FF" w:rsidRDefault="003F49B0" w:rsidP="00F357E7">
            <w:pPr>
              <w:tabs>
                <w:tab w:val="right" w:pos="8730"/>
              </w:tabs>
              <w:spacing w:line="300" w:lineRule="exact"/>
              <w:jc w:val="center"/>
              <w:rPr>
                <w:rFonts w:ascii="Calibri"/>
                <w:color w:val="auto"/>
              </w:rPr>
            </w:pPr>
            <w:r w:rsidRPr="00A964FF">
              <w:rPr>
                <w:rFonts w:ascii="Calibri" w:hint="eastAsia"/>
                <w:color w:val="auto"/>
              </w:rPr>
              <w:t>生产装置：①防火灾、防爆炸事故、防中毒应急设施、设备与材料，主要为消防器材，防毒面具和防护服装；②防止物料外溢、扩散。贮存区：①主要是消防器材，防毒面具和防护服装；②在储罐外建设围堰。</w:t>
            </w:r>
          </w:p>
        </w:tc>
      </w:tr>
      <w:tr w:rsidR="003F49B0" w:rsidRPr="00A964FF" w14:paraId="5E09A5B4" w14:textId="77777777" w:rsidTr="00B83749">
        <w:trPr>
          <w:cantSplit/>
          <w:trHeight w:val="340"/>
        </w:trPr>
        <w:tc>
          <w:tcPr>
            <w:tcW w:w="403" w:type="pct"/>
            <w:vAlign w:val="center"/>
          </w:tcPr>
          <w:p w14:paraId="18547CF7"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7</w:t>
            </w:r>
          </w:p>
        </w:tc>
        <w:tc>
          <w:tcPr>
            <w:tcW w:w="1242" w:type="pct"/>
            <w:vAlign w:val="center"/>
          </w:tcPr>
          <w:p w14:paraId="7C4ABE42"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应急通讯、通知和交通</w:t>
            </w:r>
          </w:p>
        </w:tc>
        <w:tc>
          <w:tcPr>
            <w:tcW w:w="3355" w:type="pct"/>
            <w:vAlign w:val="center"/>
          </w:tcPr>
          <w:p w14:paraId="5A71E276"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int="eastAsia"/>
                <w:color w:val="auto"/>
              </w:rPr>
              <w:t>规定应急状态下的通讯方式、通知方式和交通保障、管制措施。</w:t>
            </w:r>
          </w:p>
        </w:tc>
      </w:tr>
      <w:tr w:rsidR="003F49B0" w:rsidRPr="00A964FF" w14:paraId="78EA9E39" w14:textId="77777777" w:rsidTr="00B83749">
        <w:trPr>
          <w:cantSplit/>
          <w:trHeight w:val="340"/>
        </w:trPr>
        <w:tc>
          <w:tcPr>
            <w:tcW w:w="403" w:type="pct"/>
            <w:vAlign w:val="center"/>
          </w:tcPr>
          <w:p w14:paraId="3326C641"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8</w:t>
            </w:r>
          </w:p>
        </w:tc>
        <w:tc>
          <w:tcPr>
            <w:tcW w:w="1242" w:type="pct"/>
            <w:vAlign w:val="center"/>
          </w:tcPr>
          <w:p w14:paraId="7190799C"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应急环境监测及事故评估</w:t>
            </w:r>
          </w:p>
        </w:tc>
        <w:tc>
          <w:tcPr>
            <w:tcW w:w="3355" w:type="pct"/>
            <w:vAlign w:val="center"/>
          </w:tcPr>
          <w:p w14:paraId="4E96593F"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由专业队伍负责对事故现场进行调查监测，对事故性质、参数与后果进行评估，为指挥部门决策提供依据。</w:t>
            </w:r>
          </w:p>
        </w:tc>
      </w:tr>
      <w:tr w:rsidR="003F49B0" w:rsidRPr="00A964FF" w14:paraId="44E5D27A" w14:textId="77777777" w:rsidTr="00B83749">
        <w:trPr>
          <w:cantSplit/>
          <w:trHeight w:val="340"/>
        </w:trPr>
        <w:tc>
          <w:tcPr>
            <w:tcW w:w="403" w:type="pct"/>
            <w:vAlign w:val="center"/>
          </w:tcPr>
          <w:p w14:paraId="5BC4F6D4"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9</w:t>
            </w:r>
          </w:p>
        </w:tc>
        <w:tc>
          <w:tcPr>
            <w:tcW w:w="1242" w:type="pct"/>
            <w:vAlign w:val="center"/>
          </w:tcPr>
          <w:p w14:paraId="2E3E0240"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应急防护措施、消除泄漏措施方法和器材</w:t>
            </w:r>
          </w:p>
        </w:tc>
        <w:tc>
          <w:tcPr>
            <w:tcW w:w="3355" w:type="pct"/>
            <w:vAlign w:val="center"/>
          </w:tcPr>
          <w:p w14:paraId="1BE925EC"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事故现场：控制事故、防止扩大、蔓延及连锁反应</w:t>
            </w:r>
            <w:r w:rsidRPr="00A964FF">
              <w:rPr>
                <w:rFonts w:ascii="Calibri" w:hint="eastAsia"/>
                <w:color w:val="auto"/>
              </w:rPr>
              <w:t>、</w:t>
            </w:r>
            <w:r w:rsidRPr="00A964FF">
              <w:rPr>
                <w:rFonts w:ascii="Calibri"/>
                <w:color w:val="auto"/>
              </w:rPr>
              <w:t>消除现场泄漏物，降低危害</w:t>
            </w:r>
            <w:r w:rsidRPr="00A964FF">
              <w:rPr>
                <w:rFonts w:ascii="Calibri" w:hint="eastAsia"/>
                <w:color w:val="auto"/>
              </w:rPr>
              <w:t>；</w:t>
            </w:r>
            <w:r w:rsidRPr="00A964FF">
              <w:rPr>
                <w:rFonts w:ascii="Calibri"/>
                <w:color w:val="auto"/>
              </w:rPr>
              <w:t>相应的设施器材配备。</w:t>
            </w:r>
          </w:p>
          <w:p w14:paraId="5A608BF3"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邻近区域：</w:t>
            </w:r>
            <w:r w:rsidRPr="00A964FF">
              <w:rPr>
                <w:rFonts w:ascii="Calibri" w:hint="eastAsia"/>
                <w:color w:val="auto"/>
              </w:rPr>
              <w:t>控制火灾、有毒区域，控制和消除污染措施及相应设备配备</w:t>
            </w:r>
            <w:r w:rsidRPr="00A964FF">
              <w:rPr>
                <w:rFonts w:ascii="Calibri"/>
                <w:color w:val="auto"/>
              </w:rPr>
              <w:t>。</w:t>
            </w:r>
          </w:p>
        </w:tc>
      </w:tr>
      <w:tr w:rsidR="003F49B0" w:rsidRPr="00A964FF" w14:paraId="17A3339A" w14:textId="77777777" w:rsidTr="00B83749">
        <w:trPr>
          <w:cantSplit/>
          <w:trHeight w:val="340"/>
        </w:trPr>
        <w:tc>
          <w:tcPr>
            <w:tcW w:w="403" w:type="pct"/>
            <w:vAlign w:val="center"/>
          </w:tcPr>
          <w:p w14:paraId="3FC86D0F"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10</w:t>
            </w:r>
          </w:p>
        </w:tc>
        <w:tc>
          <w:tcPr>
            <w:tcW w:w="1242" w:type="pct"/>
            <w:vAlign w:val="center"/>
          </w:tcPr>
          <w:p w14:paraId="070CB105"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应急剂量控制、撤离组织计划、医疗救护与公众健康</w:t>
            </w:r>
          </w:p>
        </w:tc>
        <w:tc>
          <w:tcPr>
            <w:tcW w:w="3355" w:type="pct"/>
            <w:vAlign w:val="center"/>
          </w:tcPr>
          <w:p w14:paraId="0CEFB4C2"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事故现场：事故处理人员对化学品物质的应急剂量控制制定，现场及邻近装置人员撤离组织计划及救护；</w:t>
            </w:r>
          </w:p>
          <w:p w14:paraId="62F622D5"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工厂邻近区：受事故影响的邻近区域人员及公众对毒物应剂量应控制规定，撤离组织计划及救护。</w:t>
            </w:r>
          </w:p>
        </w:tc>
      </w:tr>
      <w:tr w:rsidR="003F49B0" w:rsidRPr="00A964FF" w14:paraId="5BF807A7" w14:textId="77777777" w:rsidTr="00B83749">
        <w:trPr>
          <w:cantSplit/>
          <w:trHeight w:val="340"/>
        </w:trPr>
        <w:tc>
          <w:tcPr>
            <w:tcW w:w="403" w:type="pct"/>
            <w:vAlign w:val="center"/>
          </w:tcPr>
          <w:p w14:paraId="6AFF55D6"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11</w:t>
            </w:r>
          </w:p>
        </w:tc>
        <w:tc>
          <w:tcPr>
            <w:tcW w:w="1242" w:type="pct"/>
            <w:vAlign w:val="center"/>
          </w:tcPr>
          <w:p w14:paraId="608CEA1A"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应急状态终止与恢复措施</w:t>
            </w:r>
          </w:p>
        </w:tc>
        <w:tc>
          <w:tcPr>
            <w:tcW w:w="3355" w:type="pct"/>
            <w:vAlign w:val="center"/>
          </w:tcPr>
          <w:p w14:paraId="18FDCEED" w14:textId="77777777" w:rsidR="003F49B0" w:rsidRPr="00A964FF" w:rsidRDefault="003F49B0" w:rsidP="00F357E7">
            <w:pPr>
              <w:tabs>
                <w:tab w:val="right" w:pos="8730"/>
              </w:tabs>
              <w:spacing w:line="300" w:lineRule="exact"/>
              <w:jc w:val="center"/>
              <w:rPr>
                <w:rFonts w:ascii="Calibri"/>
                <w:color w:val="auto"/>
              </w:rPr>
            </w:pPr>
            <w:r w:rsidRPr="00A964FF">
              <w:rPr>
                <w:rFonts w:ascii="Calibri" w:hint="eastAsia"/>
                <w:color w:val="auto"/>
              </w:rPr>
              <w:t>规定应急状态终止程度：事故善后处理，恢复措施，邻近区域解除事故警戒及善后恢复措施</w:t>
            </w:r>
          </w:p>
        </w:tc>
      </w:tr>
      <w:tr w:rsidR="003F49B0" w:rsidRPr="00A964FF" w14:paraId="3B8B128F" w14:textId="77777777" w:rsidTr="00B83749">
        <w:trPr>
          <w:cantSplit/>
          <w:trHeight w:val="340"/>
        </w:trPr>
        <w:tc>
          <w:tcPr>
            <w:tcW w:w="403" w:type="pct"/>
            <w:vAlign w:val="center"/>
          </w:tcPr>
          <w:p w14:paraId="554A7C4A"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12</w:t>
            </w:r>
          </w:p>
        </w:tc>
        <w:tc>
          <w:tcPr>
            <w:tcW w:w="1242" w:type="pct"/>
            <w:vAlign w:val="center"/>
          </w:tcPr>
          <w:p w14:paraId="258F0EEE"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人员培训与演练</w:t>
            </w:r>
          </w:p>
        </w:tc>
        <w:tc>
          <w:tcPr>
            <w:tcW w:w="3355" w:type="pct"/>
            <w:vAlign w:val="center"/>
          </w:tcPr>
          <w:p w14:paraId="7C3C9773"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int="eastAsia"/>
                <w:color w:val="auto"/>
              </w:rPr>
              <w:t>应急计划制定后，平时安排人员培训及演练。</w:t>
            </w:r>
          </w:p>
        </w:tc>
      </w:tr>
      <w:tr w:rsidR="003F49B0" w:rsidRPr="00A964FF" w14:paraId="10EF6BD9" w14:textId="77777777" w:rsidTr="00B83749">
        <w:trPr>
          <w:cantSplit/>
          <w:trHeight w:val="340"/>
        </w:trPr>
        <w:tc>
          <w:tcPr>
            <w:tcW w:w="403" w:type="pct"/>
            <w:vAlign w:val="center"/>
          </w:tcPr>
          <w:p w14:paraId="6153D47C"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13</w:t>
            </w:r>
          </w:p>
        </w:tc>
        <w:tc>
          <w:tcPr>
            <w:tcW w:w="1242" w:type="pct"/>
            <w:vAlign w:val="center"/>
          </w:tcPr>
          <w:p w14:paraId="680B7F66"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公众教育和信息</w:t>
            </w:r>
          </w:p>
        </w:tc>
        <w:tc>
          <w:tcPr>
            <w:tcW w:w="3355" w:type="pct"/>
            <w:vAlign w:val="center"/>
          </w:tcPr>
          <w:p w14:paraId="1C234A8B"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int="eastAsia"/>
                <w:color w:val="auto"/>
              </w:rPr>
              <w:t>对公司邻近地区开展公众教育、培训与发布相关信息。</w:t>
            </w:r>
          </w:p>
        </w:tc>
      </w:tr>
      <w:tr w:rsidR="003F49B0" w:rsidRPr="00A964FF" w14:paraId="00C20A36" w14:textId="77777777" w:rsidTr="00B83749">
        <w:trPr>
          <w:cantSplit/>
          <w:trHeight w:val="340"/>
        </w:trPr>
        <w:tc>
          <w:tcPr>
            <w:tcW w:w="403" w:type="pct"/>
            <w:vAlign w:val="center"/>
          </w:tcPr>
          <w:p w14:paraId="4C0923E5"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lastRenderedPageBreak/>
              <w:t>14</w:t>
            </w:r>
          </w:p>
        </w:tc>
        <w:tc>
          <w:tcPr>
            <w:tcW w:w="1242" w:type="pct"/>
            <w:vAlign w:val="center"/>
          </w:tcPr>
          <w:p w14:paraId="15B2EDA6"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记录和</w:t>
            </w:r>
            <w:r w:rsidRPr="00A964FF">
              <w:rPr>
                <w:rFonts w:ascii="Calibri" w:hint="eastAsia"/>
                <w:color w:val="auto"/>
              </w:rPr>
              <w:t>报告</w:t>
            </w:r>
          </w:p>
        </w:tc>
        <w:tc>
          <w:tcPr>
            <w:tcW w:w="3355" w:type="pct"/>
            <w:vAlign w:val="center"/>
          </w:tcPr>
          <w:p w14:paraId="0C53AA89"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设置应急事故专门记录，建立档案和专门报告制度，设专门部门并负责管理。</w:t>
            </w:r>
          </w:p>
        </w:tc>
      </w:tr>
      <w:tr w:rsidR="003F49B0" w:rsidRPr="00A964FF" w14:paraId="77632F27" w14:textId="77777777" w:rsidTr="00B83749">
        <w:trPr>
          <w:cantSplit/>
          <w:trHeight w:val="340"/>
        </w:trPr>
        <w:tc>
          <w:tcPr>
            <w:tcW w:w="403" w:type="pct"/>
            <w:vAlign w:val="center"/>
          </w:tcPr>
          <w:p w14:paraId="2F0E7530"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hAnsi="Calibri"/>
                <w:color w:val="auto"/>
              </w:rPr>
              <w:t>15</w:t>
            </w:r>
          </w:p>
        </w:tc>
        <w:tc>
          <w:tcPr>
            <w:tcW w:w="1242" w:type="pct"/>
            <w:vAlign w:val="center"/>
          </w:tcPr>
          <w:p w14:paraId="58B2756C"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附件</w:t>
            </w:r>
          </w:p>
        </w:tc>
        <w:tc>
          <w:tcPr>
            <w:tcW w:w="3355" w:type="pct"/>
            <w:vAlign w:val="center"/>
          </w:tcPr>
          <w:p w14:paraId="514FA469" w14:textId="77777777" w:rsidR="003F49B0" w:rsidRPr="00A964FF" w:rsidRDefault="003F49B0" w:rsidP="00F357E7">
            <w:pPr>
              <w:tabs>
                <w:tab w:val="right" w:pos="8730"/>
              </w:tabs>
              <w:spacing w:line="300" w:lineRule="exact"/>
              <w:jc w:val="center"/>
              <w:rPr>
                <w:rFonts w:ascii="Calibri" w:hAnsi="Calibri"/>
                <w:color w:val="auto"/>
              </w:rPr>
            </w:pPr>
            <w:r w:rsidRPr="00A964FF">
              <w:rPr>
                <w:rFonts w:ascii="Calibri"/>
                <w:color w:val="auto"/>
              </w:rPr>
              <w:t>与应急事故有关的多种附件、材料的准备和形成。</w:t>
            </w:r>
          </w:p>
        </w:tc>
      </w:tr>
    </w:tbl>
    <w:p w14:paraId="3314D14C" w14:textId="77777777" w:rsidR="00BD2758" w:rsidRPr="00A964FF" w:rsidRDefault="00BD2758" w:rsidP="003F49B0">
      <w:pPr>
        <w:pStyle w:val="3a"/>
      </w:pPr>
      <w:r w:rsidRPr="00A964FF">
        <w:rPr>
          <w:rFonts w:hint="eastAsia"/>
        </w:rPr>
        <w:t>5</w:t>
      </w:r>
      <w:r w:rsidRPr="00A964FF">
        <w:t>.</w:t>
      </w:r>
      <w:r w:rsidRPr="00A964FF">
        <w:rPr>
          <w:rFonts w:hint="eastAsia"/>
        </w:rPr>
        <w:t>3.</w:t>
      </w:r>
      <w:r w:rsidR="003F49B0" w:rsidRPr="00A964FF">
        <w:rPr>
          <w:rFonts w:hint="eastAsia"/>
        </w:rPr>
        <w:t>6</w:t>
      </w:r>
      <w:r w:rsidRPr="00A964FF">
        <w:rPr>
          <w:rFonts w:hint="eastAsia"/>
        </w:rPr>
        <w:t>环境应急监测</w:t>
      </w:r>
    </w:p>
    <w:p w14:paraId="40AE1A44" w14:textId="77777777" w:rsidR="003F49B0" w:rsidRPr="00A964FF" w:rsidRDefault="003F49B0" w:rsidP="003F49B0">
      <w:pPr>
        <w:pStyle w:val="00"/>
        <w:rPr>
          <w:rFonts w:ascii="Calibri" w:hAnsi="Calibri"/>
          <w:color w:val="auto"/>
        </w:rPr>
      </w:pPr>
      <w:r w:rsidRPr="00A964FF">
        <w:rPr>
          <w:rFonts w:ascii="Calibri" w:hAnsi="Calibri"/>
          <w:color w:val="auto"/>
        </w:rPr>
        <w:t>突发环境事件时，环境应急监测小组应迅速组织监测人员赶往现场，根据事件的实际情况，迅速确定监测方案，及时开展应急监测工作，在尽可能短的时间内做出判断，以便对事件及时正确进行处理。</w:t>
      </w:r>
    </w:p>
    <w:p w14:paraId="72326B61" w14:textId="77777777" w:rsidR="003F49B0" w:rsidRPr="00A964FF" w:rsidRDefault="003F49B0" w:rsidP="003F49B0">
      <w:pPr>
        <w:pStyle w:val="00"/>
        <w:rPr>
          <w:rFonts w:ascii="Calibri" w:hAnsi="Calibri"/>
          <w:color w:val="auto"/>
        </w:rPr>
      </w:pPr>
      <w:r w:rsidRPr="00A964FF">
        <w:rPr>
          <w:rFonts w:ascii="Calibri" w:hAnsi="Calibri"/>
          <w:color w:val="auto"/>
        </w:rPr>
        <w:t>本项目可能发生的风险主要为物料的泄漏引起的</w:t>
      </w:r>
      <w:r w:rsidRPr="00A964FF">
        <w:rPr>
          <w:rFonts w:ascii="Calibri" w:hAnsi="Calibri" w:hint="eastAsia"/>
          <w:color w:val="auto"/>
        </w:rPr>
        <w:t>物料挥发、</w:t>
      </w:r>
      <w:r w:rsidRPr="00A964FF">
        <w:rPr>
          <w:rFonts w:ascii="Calibri" w:hAnsi="Calibri"/>
          <w:color w:val="auto"/>
        </w:rPr>
        <w:t>火灾，因此在本项目发生事故火灾时，应委托当地环境监测站进行环境应急监测。</w:t>
      </w:r>
    </w:p>
    <w:p w14:paraId="134E6FC9" w14:textId="77777777" w:rsidR="003F49B0" w:rsidRPr="00A964FF" w:rsidRDefault="003F49B0" w:rsidP="003F49B0">
      <w:pPr>
        <w:pStyle w:val="00"/>
        <w:rPr>
          <w:rFonts w:ascii="Calibri" w:hAnsi="Calibri"/>
          <w:color w:val="auto"/>
        </w:rPr>
      </w:pPr>
      <w:r w:rsidRPr="00A964FF">
        <w:rPr>
          <w:rFonts w:ascii="Calibri" w:hAnsi="Calibri"/>
          <w:color w:val="auto"/>
        </w:rPr>
        <w:t>监测点布设：厂内生活区、环境空气敏感点</w:t>
      </w:r>
      <w:r w:rsidRPr="00A964FF">
        <w:rPr>
          <w:rFonts w:ascii="Calibri" w:hAnsi="Calibri" w:hint="eastAsia"/>
          <w:color w:val="auto"/>
        </w:rPr>
        <w:t>；废水处理站进出口。</w:t>
      </w:r>
    </w:p>
    <w:p w14:paraId="43233C20" w14:textId="77777777" w:rsidR="003F49B0" w:rsidRPr="00A964FF" w:rsidRDefault="003F49B0" w:rsidP="00034A89">
      <w:pPr>
        <w:pStyle w:val="00"/>
        <w:rPr>
          <w:rFonts w:ascii="Calibri" w:hAnsi="Calibri"/>
          <w:color w:val="auto"/>
        </w:rPr>
      </w:pPr>
      <w:r w:rsidRPr="00A964FF">
        <w:rPr>
          <w:rFonts w:ascii="Calibri" w:hAnsi="Calibri"/>
          <w:color w:val="auto"/>
        </w:rPr>
        <w:t>监测项目：</w:t>
      </w:r>
      <w:r w:rsidRPr="00A964FF">
        <w:rPr>
          <w:rFonts w:ascii="Calibri" w:hAnsi="Calibri" w:hint="eastAsia"/>
          <w:color w:val="auto"/>
        </w:rPr>
        <w:t>大气：</w:t>
      </w:r>
      <w:r w:rsidR="00034A89">
        <w:rPr>
          <w:rFonts w:ascii="Calibri" w:hAnsi="Calibri" w:hint="eastAsia"/>
          <w:color w:val="auto"/>
        </w:rPr>
        <w:t>非甲烷总烃</w:t>
      </w:r>
      <w:r w:rsidR="00034A89">
        <w:rPr>
          <w:rFonts w:ascii="Calibri" w:hAnsi="Calibri"/>
          <w:color w:val="auto"/>
        </w:rPr>
        <w:t>、</w:t>
      </w:r>
      <w:r w:rsidR="00034A89">
        <w:rPr>
          <w:rFonts w:ascii="Calibri" w:hAnsi="Calibri" w:hint="eastAsia"/>
          <w:color w:val="auto"/>
        </w:rPr>
        <w:t>氨</w:t>
      </w:r>
      <w:r w:rsidR="00034A89">
        <w:rPr>
          <w:rFonts w:ascii="Calibri" w:hAnsi="Calibri"/>
          <w:color w:val="auto"/>
        </w:rPr>
        <w:t>、</w:t>
      </w:r>
      <w:r w:rsidRPr="00A964FF">
        <w:rPr>
          <w:rFonts w:ascii="Calibri" w:hAnsi="Calibri" w:hint="eastAsia"/>
          <w:color w:val="auto"/>
        </w:rPr>
        <w:t>CO</w:t>
      </w:r>
      <w:r w:rsidRPr="00A964FF">
        <w:rPr>
          <w:rFonts w:ascii="Calibri" w:hAnsi="Calibri"/>
          <w:color w:val="auto"/>
        </w:rPr>
        <w:t>。</w:t>
      </w:r>
    </w:p>
    <w:p w14:paraId="39C663C1" w14:textId="77777777" w:rsidR="00E23B53" w:rsidRPr="00E23B53" w:rsidRDefault="003F49B0" w:rsidP="00E23B53">
      <w:pPr>
        <w:pStyle w:val="00"/>
        <w:rPr>
          <w:rFonts w:ascii="Calibri" w:hAnsi="Calibri"/>
          <w:color w:val="auto"/>
        </w:rPr>
      </w:pPr>
      <w:r w:rsidRPr="00A964FF">
        <w:rPr>
          <w:rFonts w:ascii="Calibri" w:hAnsi="Calibri" w:hint="eastAsia"/>
          <w:color w:val="auto"/>
        </w:rPr>
        <w:t xml:space="preserve">          </w:t>
      </w:r>
      <w:r w:rsidRPr="00A964FF">
        <w:rPr>
          <w:rFonts w:ascii="Calibri" w:hAnsi="Calibri" w:hint="eastAsia"/>
          <w:color w:val="auto"/>
        </w:rPr>
        <w:t>废水：</w:t>
      </w:r>
      <w:r w:rsidRPr="00A964FF">
        <w:rPr>
          <w:rFonts w:ascii="Calibri" w:hAnsi="Calibri" w:hint="eastAsia"/>
          <w:color w:val="auto"/>
        </w:rPr>
        <w:t>pH</w:t>
      </w:r>
      <w:r w:rsidRPr="00A964FF">
        <w:rPr>
          <w:rFonts w:ascii="Calibri" w:hAnsi="Calibri" w:hint="eastAsia"/>
          <w:color w:val="auto"/>
        </w:rPr>
        <w:t>、</w:t>
      </w:r>
      <w:r w:rsidR="00E23B53" w:rsidRPr="00A964FF">
        <w:rPr>
          <w:rFonts w:ascii="Calibri" w:hAnsi="Calibri" w:hint="eastAsia"/>
          <w:color w:val="auto"/>
        </w:rPr>
        <w:t>COD</w:t>
      </w:r>
      <w:r w:rsidR="00E23B53">
        <w:rPr>
          <w:rFonts w:ascii="Calibri" w:hAnsi="Calibri" w:hint="eastAsia"/>
          <w:color w:val="auto"/>
        </w:rPr>
        <w:t>、</w:t>
      </w:r>
      <w:r w:rsidR="00E23B53" w:rsidRPr="00A964FF">
        <w:rPr>
          <w:rFonts w:ascii="Calibri" w:hAnsi="Calibri" w:hint="eastAsia"/>
          <w:color w:val="auto"/>
        </w:rPr>
        <w:t>BOD</w:t>
      </w:r>
      <w:r w:rsidR="00E23B53" w:rsidRPr="00A964FF">
        <w:rPr>
          <w:rFonts w:ascii="Calibri" w:hAnsi="Calibri" w:hint="eastAsia"/>
          <w:color w:val="auto"/>
          <w:vertAlign w:val="subscript"/>
        </w:rPr>
        <w:t>5</w:t>
      </w:r>
      <w:r w:rsidR="00E23B53">
        <w:rPr>
          <w:rFonts w:ascii="Calibri" w:hAnsi="Calibri" w:hint="eastAsia"/>
          <w:color w:val="auto"/>
        </w:rPr>
        <w:t>、</w:t>
      </w:r>
      <w:r w:rsidR="00E23B53" w:rsidRPr="00A964FF">
        <w:rPr>
          <w:rFonts w:ascii="Calibri" w:hAnsi="Calibri" w:hint="eastAsia"/>
          <w:color w:val="auto"/>
        </w:rPr>
        <w:t>氨氮</w:t>
      </w:r>
      <w:r w:rsidR="00E23B53">
        <w:rPr>
          <w:rFonts w:ascii="Calibri" w:hAnsi="Calibri" w:hint="eastAsia"/>
          <w:color w:val="auto"/>
        </w:rPr>
        <w:t>、</w:t>
      </w:r>
      <w:r w:rsidR="00E23B53" w:rsidRPr="00A964FF">
        <w:rPr>
          <w:rFonts w:ascii="Calibri" w:hAnsi="Calibri" w:hint="eastAsia"/>
          <w:color w:val="auto"/>
        </w:rPr>
        <w:t>SS</w:t>
      </w:r>
      <w:r w:rsidR="00E23B53">
        <w:rPr>
          <w:rFonts w:ascii="Calibri" w:hAnsi="Calibri" w:hint="eastAsia"/>
          <w:color w:val="auto"/>
        </w:rPr>
        <w:t>。</w:t>
      </w:r>
    </w:p>
    <w:p w14:paraId="0AEDAB93" w14:textId="77777777" w:rsidR="003F49B0" w:rsidRPr="00A964FF" w:rsidRDefault="003F49B0" w:rsidP="003F49B0">
      <w:pPr>
        <w:pStyle w:val="00"/>
        <w:rPr>
          <w:rFonts w:ascii="Calibri" w:hAnsi="Calibri"/>
          <w:color w:val="auto"/>
        </w:rPr>
      </w:pPr>
      <w:r w:rsidRPr="00A964FF">
        <w:rPr>
          <w:rFonts w:ascii="Calibri" w:hAnsi="Calibri"/>
          <w:color w:val="auto"/>
        </w:rPr>
        <w:t>监测频次：事故发生时，实施</w:t>
      </w:r>
      <w:r w:rsidRPr="00A964FF">
        <w:rPr>
          <w:rFonts w:ascii="Calibri" w:hAnsi="Calibri"/>
          <w:color w:val="auto"/>
        </w:rPr>
        <w:t>24</w:t>
      </w:r>
      <w:r w:rsidRPr="00A964FF">
        <w:rPr>
          <w:rFonts w:ascii="Calibri" w:hAnsi="Calibri"/>
          <w:color w:val="auto"/>
        </w:rPr>
        <w:t>小时的连续监测；险情得到控制后则每</w:t>
      </w:r>
      <w:r w:rsidRPr="00A964FF">
        <w:rPr>
          <w:rFonts w:ascii="Calibri" w:hAnsi="Calibri"/>
          <w:color w:val="auto"/>
        </w:rPr>
        <w:t>3</w:t>
      </w:r>
      <w:r w:rsidRPr="00A964FF">
        <w:rPr>
          <w:rFonts w:ascii="Calibri" w:hAnsi="Calibri"/>
          <w:color w:val="auto"/>
        </w:rPr>
        <w:t>天进行一次监测，监测时间为</w:t>
      </w:r>
      <w:r w:rsidRPr="00A964FF">
        <w:rPr>
          <w:rFonts w:ascii="Calibri" w:hAnsi="Calibri"/>
          <w:color w:val="auto"/>
        </w:rPr>
        <w:t>02</w:t>
      </w:r>
      <w:r w:rsidRPr="00A964FF">
        <w:rPr>
          <w:rFonts w:ascii="Calibri" w:hAnsi="Calibri"/>
          <w:color w:val="auto"/>
        </w:rPr>
        <w:t>、</w:t>
      </w:r>
      <w:r w:rsidRPr="00A964FF">
        <w:rPr>
          <w:rFonts w:ascii="Calibri" w:hAnsi="Calibri"/>
          <w:color w:val="auto"/>
        </w:rPr>
        <w:t>07</w:t>
      </w:r>
      <w:r w:rsidRPr="00A964FF">
        <w:rPr>
          <w:rFonts w:ascii="Calibri" w:hAnsi="Calibri"/>
          <w:color w:val="auto"/>
        </w:rPr>
        <w:t>、</w:t>
      </w:r>
      <w:r w:rsidRPr="00A964FF">
        <w:rPr>
          <w:rFonts w:ascii="Calibri" w:hAnsi="Calibri"/>
          <w:color w:val="auto"/>
        </w:rPr>
        <w:t>14</w:t>
      </w:r>
      <w:r w:rsidRPr="00A964FF">
        <w:rPr>
          <w:rFonts w:ascii="Calibri" w:hAnsi="Calibri"/>
          <w:color w:val="auto"/>
        </w:rPr>
        <w:t>、</w:t>
      </w:r>
      <w:r w:rsidRPr="00A964FF">
        <w:rPr>
          <w:rFonts w:ascii="Calibri" w:hAnsi="Calibri"/>
          <w:color w:val="auto"/>
        </w:rPr>
        <w:t>19</w:t>
      </w:r>
      <w:r w:rsidRPr="00A964FF">
        <w:rPr>
          <w:rFonts w:ascii="Calibri" w:hAnsi="Calibri"/>
          <w:color w:val="auto"/>
        </w:rPr>
        <w:t>时，直至事故影响区内的环境空气质量恢复到事故前的水平为止</w:t>
      </w:r>
      <w:r w:rsidRPr="00A964FF">
        <w:rPr>
          <w:rFonts w:ascii="Calibri" w:hAnsi="Calibri" w:hint="eastAsia"/>
          <w:color w:val="auto"/>
        </w:rPr>
        <w:t>，废水处理站出水口废水达标排放为止</w:t>
      </w:r>
      <w:r w:rsidRPr="00A964FF">
        <w:rPr>
          <w:rFonts w:ascii="Calibri" w:hAnsi="Calibri"/>
          <w:color w:val="auto"/>
        </w:rPr>
        <w:t>。</w:t>
      </w:r>
    </w:p>
    <w:p w14:paraId="5ADBCC51" w14:textId="77777777" w:rsidR="003F49B0" w:rsidRPr="00A964FF" w:rsidRDefault="003F49B0" w:rsidP="003F49B0">
      <w:pPr>
        <w:pStyle w:val="affffffc"/>
        <w:spacing w:beforeLines="0" w:line="520" w:lineRule="exact"/>
        <w:ind w:firstLine="454"/>
        <w:rPr>
          <w:rFonts w:ascii="Calibri" w:hAnsi="Calibri"/>
        </w:rPr>
      </w:pPr>
      <w:r w:rsidRPr="00A964FF">
        <w:rPr>
          <w:rFonts w:ascii="Calibri" w:hAnsi="Calibri"/>
        </w:rPr>
        <w:t>监测采样及分析方法：《环境监测技术规范》、《空气和废气监测分析方法》</w:t>
      </w:r>
      <w:r w:rsidRPr="00A964FF">
        <w:rPr>
          <w:rFonts w:ascii="Calibri" w:hAnsi="Calibri" w:hint="eastAsia"/>
        </w:rPr>
        <w:t>、</w:t>
      </w:r>
      <w:r w:rsidRPr="00A964FF">
        <w:rPr>
          <w:rFonts w:hint="eastAsia"/>
          <w:szCs w:val="24"/>
        </w:rPr>
        <w:t>《地表水和污水监测技术规范》</w:t>
      </w:r>
      <w:r w:rsidRPr="00A964FF">
        <w:rPr>
          <w:rFonts w:ascii="Calibri" w:hAnsi="Calibri"/>
        </w:rPr>
        <w:t>。</w:t>
      </w:r>
    </w:p>
    <w:p w14:paraId="3D3A15D2" w14:textId="77777777" w:rsidR="00BD2758" w:rsidRPr="00A964FF" w:rsidRDefault="00BD2758" w:rsidP="00BD2758">
      <w:pPr>
        <w:pStyle w:val="3a"/>
      </w:pPr>
      <w:r w:rsidRPr="00A964FF">
        <w:rPr>
          <w:rFonts w:hint="eastAsia"/>
        </w:rPr>
        <w:t>5</w:t>
      </w:r>
      <w:r w:rsidRPr="00A964FF">
        <w:t>.</w:t>
      </w:r>
      <w:r w:rsidRPr="00A964FF">
        <w:rPr>
          <w:rFonts w:hint="eastAsia"/>
        </w:rPr>
        <w:t>3.</w:t>
      </w:r>
      <w:r w:rsidR="006060D0" w:rsidRPr="00A964FF">
        <w:rPr>
          <w:rFonts w:hint="eastAsia"/>
        </w:rPr>
        <w:t>7</w:t>
      </w:r>
      <w:r w:rsidRPr="00A964FF">
        <w:rPr>
          <w:rFonts w:hint="eastAsia"/>
        </w:rPr>
        <w:t>风险事故应急设施及投资估算</w:t>
      </w:r>
    </w:p>
    <w:p w14:paraId="7863DD52" w14:textId="77777777" w:rsidR="00B83749" w:rsidRPr="00143EB3" w:rsidRDefault="00BD2758" w:rsidP="00143EB3">
      <w:pPr>
        <w:pStyle w:val="affffffc"/>
        <w:spacing w:beforeLines="0" w:line="520" w:lineRule="exact"/>
        <w:ind w:firstLine="454"/>
        <w:rPr>
          <w:rFonts w:ascii="Calibri" w:hAnsi="Calibri"/>
        </w:rPr>
      </w:pPr>
      <w:r w:rsidRPr="00E23B53">
        <w:rPr>
          <w:rFonts w:ascii="Calibri" w:hAnsi="Calibri"/>
        </w:rPr>
        <w:t>本项目风险事故应急措施、设施及投资估算见</w:t>
      </w:r>
      <w:r w:rsidRPr="00E23B53">
        <w:rPr>
          <w:rFonts w:ascii="Calibri" w:hAnsi="Calibri" w:hint="eastAsia"/>
        </w:rPr>
        <w:t>表</w:t>
      </w:r>
      <w:r w:rsidRPr="00E23B53">
        <w:rPr>
          <w:rFonts w:ascii="Calibri" w:hAnsi="Calibri" w:hint="eastAsia"/>
        </w:rPr>
        <w:t>5</w:t>
      </w:r>
      <w:r w:rsidR="003F49B0" w:rsidRPr="00E23B53">
        <w:rPr>
          <w:rFonts w:ascii="Calibri" w:hAnsi="Calibri" w:hint="eastAsia"/>
        </w:rPr>
        <w:t>.3</w:t>
      </w:r>
      <w:r w:rsidRPr="00E23B53">
        <w:rPr>
          <w:rFonts w:ascii="Calibri" w:hAnsi="Calibri" w:hint="eastAsia"/>
        </w:rPr>
        <w:t>-</w:t>
      </w:r>
      <w:r w:rsidR="00EC65D5" w:rsidRPr="00E23B53">
        <w:rPr>
          <w:rFonts w:ascii="Calibri" w:hAnsi="Calibri" w:hint="eastAsia"/>
        </w:rPr>
        <w:t>4</w:t>
      </w:r>
      <w:r w:rsidRPr="00E23B53">
        <w:rPr>
          <w:rFonts w:ascii="Calibri" w:hAnsi="Calibri" w:hint="eastAsia"/>
        </w:rPr>
        <w:t>。</w:t>
      </w:r>
    </w:p>
    <w:p w14:paraId="2A2E904C" w14:textId="77777777" w:rsidR="003F49B0" w:rsidRPr="00E23B53" w:rsidRDefault="00BD2758" w:rsidP="00E23B53">
      <w:pPr>
        <w:spacing w:line="520" w:lineRule="exact"/>
        <w:ind w:firstLineChars="200" w:firstLine="480"/>
        <w:rPr>
          <w:rFonts w:ascii="Calibri" w:eastAsia="黑体"/>
          <w:color w:val="auto"/>
          <w:sz w:val="24"/>
        </w:rPr>
      </w:pPr>
      <w:r w:rsidRPr="00E23B53">
        <w:rPr>
          <w:rFonts w:ascii="Calibri" w:eastAsia="黑体"/>
          <w:color w:val="auto"/>
          <w:sz w:val="24"/>
        </w:rPr>
        <w:t>表</w:t>
      </w:r>
      <w:r w:rsidRPr="00E23B53">
        <w:rPr>
          <w:rFonts w:ascii="Calibri" w:eastAsia="黑体"/>
          <w:color w:val="auto"/>
          <w:sz w:val="24"/>
        </w:rPr>
        <w:t>5</w:t>
      </w:r>
      <w:r w:rsidR="003F49B0" w:rsidRPr="00E23B53">
        <w:rPr>
          <w:rFonts w:ascii="Calibri" w:eastAsia="黑体" w:hint="eastAsia"/>
          <w:color w:val="auto"/>
          <w:sz w:val="24"/>
        </w:rPr>
        <w:t>.3</w:t>
      </w:r>
      <w:r w:rsidR="007B3855" w:rsidRPr="00E23B53">
        <w:rPr>
          <w:rFonts w:ascii="Calibri" w:eastAsia="黑体" w:hint="eastAsia"/>
          <w:color w:val="auto"/>
          <w:sz w:val="24"/>
        </w:rPr>
        <w:t>-</w:t>
      </w:r>
      <w:r w:rsidR="00EC65D5" w:rsidRPr="00E23B53">
        <w:rPr>
          <w:rFonts w:ascii="Calibri" w:eastAsia="黑体" w:hint="eastAsia"/>
          <w:color w:val="auto"/>
          <w:sz w:val="24"/>
        </w:rPr>
        <w:t>4</w:t>
      </w:r>
      <w:r w:rsidRPr="00E23B53">
        <w:rPr>
          <w:rFonts w:ascii="Calibri" w:eastAsia="黑体" w:hint="eastAsia"/>
          <w:color w:val="auto"/>
          <w:sz w:val="24"/>
        </w:rPr>
        <w:t xml:space="preserve">                 </w:t>
      </w:r>
      <w:r w:rsidRPr="00E23B53">
        <w:rPr>
          <w:rFonts w:ascii="Calibri" w:eastAsia="黑体"/>
          <w:color w:val="auto"/>
          <w:sz w:val="24"/>
        </w:rPr>
        <w:t>风险事故应急措施</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95"/>
        <w:gridCol w:w="1291"/>
        <w:gridCol w:w="4141"/>
        <w:gridCol w:w="1178"/>
        <w:gridCol w:w="1295"/>
      </w:tblGrid>
      <w:tr w:rsidR="003F49B0" w:rsidRPr="00E23B53" w14:paraId="4F856A49" w14:textId="77777777" w:rsidTr="00F357E7">
        <w:trPr>
          <w:trHeight w:val="325"/>
        </w:trPr>
        <w:tc>
          <w:tcPr>
            <w:tcW w:w="457" w:type="pct"/>
            <w:vAlign w:val="center"/>
          </w:tcPr>
          <w:p w14:paraId="576270AD"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序号</w:t>
            </w:r>
          </w:p>
        </w:tc>
        <w:tc>
          <w:tcPr>
            <w:tcW w:w="742" w:type="pct"/>
            <w:vAlign w:val="center"/>
          </w:tcPr>
          <w:p w14:paraId="7689781B"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项目</w:t>
            </w:r>
          </w:p>
        </w:tc>
        <w:tc>
          <w:tcPr>
            <w:tcW w:w="2380" w:type="pct"/>
            <w:vAlign w:val="center"/>
          </w:tcPr>
          <w:p w14:paraId="12D1AD28"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主要设施</w:t>
            </w:r>
          </w:p>
        </w:tc>
        <w:tc>
          <w:tcPr>
            <w:tcW w:w="677" w:type="pct"/>
            <w:vAlign w:val="center"/>
          </w:tcPr>
          <w:p w14:paraId="10EC8910"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规模</w:t>
            </w:r>
          </w:p>
        </w:tc>
        <w:tc>
          <w:tcPr>
            <w:tcW w:w="744" w:type="pct"/>
            <w:vAlign w:val="center"/>
          </w:tcPr>
          <w:p w14:paraId="5D52E0C2"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pacing w:val="-21"/>
                <w:sz w:val="21"/>
                <w:szCs w:val="22"/>
              </w:rPr>
              <w:t>投资</w:t>
            </w:r>
            <w:r w:rsidRPr="00E23B53">
              <w:rPr>
                <w:rFonts w:asciiTheme="minorHAnsi" w:eastAsiaTheme="minorEastAsia" w:hAnsiTheme="minorEastAsia" w:cstheme="minorHAnsi"/>
                <w:color w:val="auto"/>
                <w:spacing w:val="-3"/>
                <w:sz w:val="21"/>
                <w:szCs w:val="22"/>
              </w:rPr>
              <w:t>（</w:t>
            </w:r>
            <w:r w:rsidRPr="00E23B53">
              <w:rPr>
                <w:rFonts w:asciiTheme="minorHAnsi" w:eastAsiaTheme="minorEastAsia" w:hAnsiTheme="minorEastAsia" w:cstheme="minorHAnsi"/>
                <w:color w:val="auto"/>
                <w:sz w:val="21"/>
                <w:szCs w:val="22"/>
              </w:rPr>
              <w:t>万元）</w:t>
            </w:r>
          </w:p>
        </w:tc>
      </w:tr>
      <w:tr w:rsidR="003F49B0" w:rsidRPr="00E23B53" w14:paraId="43CD023C" w14:textId="77777777" w:rsidTr="00F357E7">
        <w:trPr>
          <w:trHeight w:val="442"/>
        </w:trPr>
        <w:tc>
          <w:tcPr>
            <w:tcW w:w="457" w:type="pct"/>
            <w:vAlign w:val="center"/>
          </w:tcPr>
          <w:p w14:paraId="4C4B5D5E"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1</w:t>
            </w:r>
          </w:p>
        </w:tc>
        <w:tc>
          <w:tcPr>
            <w:tcW w:w="742" w:type="pct"/>
            <w:vMerge w:val="restart"/>
            <w:vAlign w:val="center"/>
          </w:tcPr>
          <w:p w14:paraId="0249B9BE"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应急设施</w:t>
            </w:r>
          </w:p>
        </w:tc>
        <w:tc>
          <w:tcPr>
            <w:tcW w:w="2380" w:type="pct"/>
            <w:vAlign w:val="center"/>
          </w:tcPr>
          <w:p w14:paraId="61675249"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事故池</w:t>
            </w:r>
            <w:r w:rsidRPr="00E23B53">
              <w:rPr>
                <w:rFonts w:asciiTheme="minorHAnsi" w:eastAsiaTheme="minorEastAsia" w:hAnsiTheme="minorHAnsi" w:cstheme="minorHAnsi"/>
                <w:color w:val="auto"/>
                <w:sz w:val="21"/>
                <w:szCs w:val="22"/>
              </w:rPr>
              <w:t>1</w:t>
            </w:r>
            <w:r w:rsidRPr="00E23B53">
              <w:rPr>
                <w:rFonts w:asciiTheme="minorHAnsi" w:eastAsiaTheme="minorEastAsia" w:hAnsiTheme="minorEastAsia" w:cstheme="minorHAnsi"/>
                <w:color w:val="auto"/>
                <w:sz w:val="21"/>
                <w:szCs w:val="22"/>
              </w:rPr>
              <w:t>座</w:t>
            </w:r>
          </w:p>
        </w:tc>
        <w:tc>
          <w:tcPr>
            <w:tcW w:w="677" w:type="pct"/>
            <w:vAlign w:val="center"/>
          </w:tcPr>
          <w:p w14:paraId="53CCB76D" w14:textId="77777777" w:rsidR="003F49B0" w:rsidRPr="00E23B53" w:rsidRDefault="00034A89" w:rsidP="00F357E7">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color w:val="auto"/>
                <w:sz w:val="21"/>
                <w:szCs w:val="22"/>
              </w:rPr>
              <w:t>500</w:t>
            </w:r>
            <w:r w:rsidR="003F49B0" w:rsidRPr="00E23B53">
              <w:rPr>
                <w:rFonts w:asciiTheme="minorHAnsi" w:eastAsiaTheme="minorEastAsia" w:hAnsiTheme="minorHAnsi" w:cstheme="minorHAnsi"/>
                <w:color w:val="auto"/>
                <w:sz w:val="21"/>
                <w:szCs w:val="22"/>
              </w:rPr>
              <w:t>m</w:t>
            </w:r>
            <w:r w:rsidR="003F49B0" w:rsidRPr="00E23B53">
              <w:rPr>
                <w:rFonts w:asciiTheme="minorHAnsi" w:eastAsiaTheme="minorEastAsia" w:hAnsiTheme="minorHAnsi" w:cstheme="minorHAnsi"/>
                <w:color w:val="auto"/>
                <w:sz w:val="21"/>
                <w:szCs w:val="22"/>
                <w:vertAlign w:val="superscript"/>
              </w:rPr>
              <w:t>3</w:t>
            </w:r>
          </w:p>
        </w:tc>
        <w:tc>
          <w:tcPr>
            <w:tcW w:w="744" w:type="pct"/>
            <w:vAlign w:val="center"/>
          </w:tcPr>
          <w:p w14:paraId="6FA5B992" w14:textId="77777777" w:rsidR="003F49B0" w:rsidRPr="00E23B53" w:rsidRDefault="00034A89" w:rsidP="00F357E7">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color w:val="auto"/>
                <w:sz w:val="21"/>
                <w:szCs w:val="22"/>
              </w:rPr>
              <w:t>30</w:t>
            </w:r>
          </w:p>
        </w:tc>
      </w:tr>
      <w:tr w:rsidR="003F49B0" w:rsidRPr="00E23B53" w14:paraId="047E2B10" w14:textId="77777777" w:rsidTr="00F357E7">
        <w:trPr>
          <w:trHeight w:val="442"/>
        </w:trPr>
        <w:tc>
          <w:tcPr>
            <w:tcW w:w="457" w:type="pct"/>
            <w:vAlign w:val="center"/>
          </w:tcPr>
          <w:p w14:paraId="2ADB9CBA"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2</w:t>
            </w:r>
          </w:p>
        </w:tc>
        <w:tc>
          <w:tcPr>
            <w:tcW w:w="742" w:type="pct"/>
            <w:vMerge/>
            <w:vAlign w:val="center"/>
          </w:tcPr>
          <w:p w14:paraId="461858BF"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p>
        </w:tc>
        <w:tc>
          <w:tcPr>
            <w:tcW w:w="2380" w:type="pct"/>
            <w:vAlign w:val="center"/>
          </w:tcPr>
          <w:p w14:paraId="2F1174AC"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初期雨水收集池</w:t>
            </w:r>
            <w:r w:rsidRPr="00E23B53">
              <w:rPr>
                <w:rFonts w:asciiTheme="minorHAnsi" w:eastAsiaTheme="minorEastAsia" w:hAnsiTheme="minorHAnsi" w:cstheme="minorHAnsi"/>
                <w:color w:val="auto"/>
                <w:sz w:val="21"/>
                <w:szCs w:val="22"/>
              </w:rPr>
              <w:t>1</w:t>
            </w:r>
            <w:r w:rsidRPr="00E23B53">
              <w:rPr>
                <w:rFonts w:asciiTheme="minorHAnsi" w:eastAsiaTheme="minorEastAsia" w:hAnsiTheme="minorEastAsia" w:cstheme="minorHAnsi"/>
                <w:color w:val="auto"/>
                <w:sz w:val="21"/>
                <w:szCs w:val="22"/>
              </w:rPr>
              <w:t>座</w:t>
            </w:r>
          </w:p>
        </w:tc>
        <w:tc>
          <w:tcPr>
            <w:tcW w:w="677" w:type="pct"/>
            <w:vAlign w:val="center"/>
          </w:tcPr>
          <w:p w14:paraId="4BB5C9CB" w14:textId="77777777" w:rsidR="003F49B0" w:rsidRPr="00E23B53" w:rsidRDefault="00034A89" w:rsidP="00F357E7">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color w:val="auto"/>
                <w:sz w:val="21"/>
                <w:szCs w:val="22"/>
              </w:rPr>
              <w:t>580</w:t>
            </w:r>
            <w:r w:rsidR="003F49B0" w:rsidRPr="00E23B53">
              <w:rPr>
                <w:rFonts w:asciiTheme="minorHAnsi" w:eastAsiaTheme="minorEastAsia" w:hAnsiTheme="minorHAnsi" w:cstheme="minorHAnsi"/>
                <w:color w:val="auto"/>
                <w:sz w:val="21"/>
                <w:szCs w:val="22"/>
              </w:rPr>
              <w:t>m</w:t>
            </w:r>
            <w:r w:rsidR="003F49B0" w:rsidRPr="00E23B53">
              <w:rPr>
                <w:rFonts w:asciiTheme="minorHAnsi" w:eastAsiaTheme="minorEastAsia" w:hAnsiTheme="minorHAnsi" w:cstheme="minorHAnsi"/>
                <w:color w:val="auto"/>
                <w:sz w:val="21"/>
                <w:szCs w:val="22"/>
                <w:vertAlign w:val="superscript"/>
              </w:rPr>
              <w:t>3</w:t>
            </w:r>
          </w:p>
        </w:tc>
        <w:tc>
          <w:tcPr>
            <w:tcW w:w="744" w:type="pct"/>
            <w:vAlign w:val="center"/>
          </w:tcPr>
          <w:p w14:paraId="180B4C63" w14:textId="77777777" w:rsidR="003F49B0" w:rsidRPr="00E23B53" w:rsidRDefault="00034A89" w:rsidP="00F357E7">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color w:val="auto"/>
                <w:sz w:val="21"/>
                <w:szCs w:val="22"/>
              </w:rPr>
              <w:t>35</w:t>
            </w:r>
          </w:p>
        </w:tc>
      </w:tr>
      <w:tr w:rsidR="003F49B0" w:rsidRPr="00E23B53" w14:paraId="17A035E9" w14:textId="77777777" w:rsidTr="00F357E7">
        <w:trPr>
          <w:trHeight w:val="440"/>
        </w:trPr>
        <w:tc>
          <w:tcPr>
            <w:tcW w:w="457" w:type="pct"/>
            <w:vAlign w:val="center"/>
          </w:tcPr>
          <w:p w14:paraId="7746C805"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3</w:t>
            </w:r>
          </w:p>
        </w:tc>
        <w:tc>
          <w:tcPr>
            <w:tcW w:w="742" w:type="pct"/>
            <w:vAlign w:val="center"/>
          </w:tcPr>
          <w:p w14:paraId="71746565"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防泄漏</w:t>
            </w:r>
          </w:p>
        </w:tc>
        <w:tc>
          <w:tcPr>
            <w:tcW w:w="2380" w:type="pct"/>
            <w:vAlign w:val="center"/>
          </w:tcPr>
          <w:p w14:paraId="1962BE04"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pacing w:val="-7"/>
                <w:sz w:val="21"/>
                <w:szCs w:val="22"/>
              </w:rPr>
              <w:t>化学品贮存区防范措施</w:t>
            </w:r>
            <w:r w:rsidRPr="00E23B53">
              <w:rPr>
                <w:rFonts w:asciiTheme="minorHAnsi" w:eastAsiaTheme="minorEastAsia" w:hAnsiTheme="minorEastAsia" w:cstheme="minorHAnsi"/>
                <w:color w:val="auto"/>
                <w:sz w:val="21"/>
                <w:szCs w:val="22"/>
              </w:rPr>
              <w:t>（</w:t>
            </w:r>
            <w:r w:rsidRPr="00E23B53">
              <w:rPr>
                <w:rFonts w:asciiTheme="minorHAnsi" w:eastAsiaTheme="minorEastAsia" w:hAnsiTheme="minorEastAsia" w:cstheme="minorHAnsi"/>
                <w:color w:val="auto"/>
                <w:spacing w:val="-3"/>
                <w:sz w:val="21"/>
                <w:szCs w:val="22"/>
              </w:rPr>
              <w:t>防流散围堰</w:t>
            </w:r>
            <w:r w:rsidRPr="00E23B53">
              <w:rPr>
                <w:rFonts w:asciiTheme="minorHAnsi" w:eastAsiaTheme="minorEastAsia" w:hAnsiTheme="minorEastAsia" w:cstheme="minorHAnsi"/>
                <w:color w:val="auto"/>
                <w:sz w:val="21"/>
                <w:szCs w:val="22"/>
              </w:rPr>
              <w:t>），厂区紧急切断隔离系统</w:t>
            </w:r>
          </w:p>
        </w:tc>
        <w:tc>
          <w:tcPr>
            <w:tcW w:w="677" w:type="pct"/>
            <w:vAlign w:val="center"/>
          </w:tcPr>
          <w:p w14:paraId="7C206FB3"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w:t>
            </w:r>
          </w:p>
        </w:tc>
        <w:tc>
          <w:tcPr>
            <w:tcW w:w="744" w:type="pct"/>
            <w:vAlign w:val="center"/>
          </w:tcPr>
          <w:p w14:paraId="036A147A" w14:textId="77777777" w:rsidR="003F49B0" w:rsidRPr="00E23B53" w:rsidRDefault="00034A89" w:rsidP="00F357E7">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color w:val="auto"/>
                <w:sz w:val="21"/>
                <w:szCs w:val="22"/>
              </w:rPr>
              <w:t>15</w:t>
            </w:r>
          </w:p>
        </w:tc>
      </w:tr>
      <w:tr w:rsidR="003F49B0" w:rsidRPr="00E23B53" w14:paraId="6FE43F0E" w14:textId="77777777" w:rsidTr="00F357E7">
        <w:trPr>
          <w:trHeight w:val="652"/>
        </w:trPr>
        <w:tc>
          <w:tcPr>
            <w:tcW w:w="457" w:type="pct"/>
            <w:vAlign w:val="center"/>
          </w:tcPr>
          <w:p w14:paraId="7840D7D9"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4</w:t>
            </w:r>
          </w:p>
        </w:tc>
        <w:tc>
          <w:tcPr>
            <w:tcW w:w="742" w:type="pct"/>
            <w:vAlign w:val="center"/>
          </w:tcPr>
          <w:p w14:paraId="6AA5A67A"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报警装置</w:t>
            </w:r>
          </w:p>
        </w:tc>
        <w:tc>
          <w:tcPr>
            <w:tcW w:w="2380" w:type="pct"/>
            <w:vAlign w:val="center"/>
          </w:tcPr>
          <w:p w14:paraId="6FF07FE4" w14:textId="77777777" w:rsidR="003F49B0" w:rsidRPr="00E23B53" w:rsidRDefault="003F49B0" w:rsidP="00034A89">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可燃气体泄漏报警仪</w:t>
            </w:r>
          </w:p>
        </w:tc>
        <w:tc>
          <w:tcPr>
            <w:tcW w:w="677" w:type="pct"/>
            <w:vAlign w:val="center"/>
          </w:tcPr>
          <w:p w14:paraId="78674B68"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w:t>
            </w:r>
          </w:p>
        </w:tc>
        <w:tc>
          <w:tcPr>
            <w:tcW w:w="744" w:type="pct"/>
            <w:vAlign w:val="center"/>
          </w:tcPr>
          <w:p w14:paraId="2DC4BF1B" w14:textId="77777777" w:rsidR="003F49B0" w:rsidRPr="00E23B53" w:rsidRDefault="00034A89" w:rsidP="00F357E7">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color w:val="auto"/>
                <w:sz w:val="21"/>
                <w:szCs w:val="22"/>
              </w:rPr>
              <w:t>5</w:t>
            </w:r>
          </w:p>
        </w:tc>
      </w:tr>
      <w:tr w:rsidR="003F49B0" w:rsidRPr="00E23B53" w14:paraId="1D449B6D" w14:textId="77777777" w:rsidTr="00F357E7">
        <w:trPr>
          <w:trHeight w:val="652"/>
        </w:trPr>
        <w:tc>
          <w:tcPr>
            <w:tcW w:w="457" w:type="pct"/>
            <w:vAlign w:val="center"/>
          </w:tcPr>
          <w:p w14:paraId="2253EA88"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5</w:t>
            </w:r>
          </w:p>
        </w:tc>
        <w:tc>
          <w:tcPr>
            <w:tcW w:w="742" w:type="pct"/>
            <w:vAlign w:val="center"/>
          </w:tcPr>
          <w:p w14:paraId="0859335C"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其他</w:t>
            </w:r>
          </w:p>
        </w:tc>
        <w:tc>
          <w:tcPr>
            <w:tcW w:w="2380" w:type="pct"/>
            <w:vAlign w:val="center"/>
          </w:tcPr>
          <w:p w14:paraId="6113FCA1" w14:textId="77777777" w:rsidR="003F49B0" w:rsidRPr="00E23B53" w:rsidRDefault="00A04C5A"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编制突发环境事件应急预案，加强演练</w:t>
            </w:r>
            <w:r w:rsidR="003F49B0" w:rsidRPr="00E23B53">
              <w:rPr>
                <w:rFonts w:asciiTheme="minorHAnsi" w:eastAsiaTheme="minorEastAsia" w:hAnsiTheme="minorEastAsia" w:cstheme="minorHAnsi"/>
                <w:color w:val="auto"/>
                <w:sz w:val="21"/>
                <w:szCs w:val="22"/>
              </w:rPr>
              <w:t>，</w:t>
            </w:r>
            <w:r w:rsidRPr="00E23B53">
              <w:rPr>
                <w:rFonts w:asciiTheme="minorHAnsi" w:eastAsiaTheme="minorEastAsia" w:hAnsiTheme="minorEastAsia" w:cstheme="minorHAnsi"/>
                <w:color w:val="auto"/>
                <w:sz w:val="21"/>
                <w:szCs w:val="22"/>
              </w:rPr>
              <w:t>进行</w:t>
            </w:r>
            <w:r w:rsidR="003F49B0" w:rsidRPr="00E23B53">
              <w:rPr>
                <w:rFonts w:asciiTheme="minorHAnsi" w:eastAsiaTheme="minorEastAsia" w:hAnsiTheme="minorEastAsia" w:cstheme="minorHAnsi"/>
                <w:color w:val="auto"/>
                <w:sz w:val="21"/>
                <w:szCs w:val="22"/>
              </w:rPr>
              <w:t>事故应急培训</w:t>
            </w:r>
            <w:r w:rsidRPr="00E23B53">
              <w:rPr>
                <w:rFonts w:asciiTheme="minorHAnsi" w:eastAsiaTheme="minorEastAsia" w:hAnsiTheme="minorEastAsia" w:cstheme="minorHAnsi"/>
                <w:color w:val="auto"/>
                <w:sz w:val="21"/>
                <w:szCs w:val="22"/>
              </w:rPr>
              <w:t>，配备应急物质</w:t>
            </w:r>
            <w:r w:rsidR="003F49B0" w:rsidRPr="00E23B53">
              <w:rPr>
                <w:rFonts w:asciiTheme="minorHAnsi" w:eastAsiaTheme="minorEastAsia" w:hAnsiTheme="minorEastAsia" w:cstheme="minorHAnsi"/>
                <w:color w:val="auto"/>
                <w:sz w:val="21"/>
                <w:szCs w:val="22"/>
              </w:rPr>
              <w:t>等</w:t>
            </w:r>
          </w:p>
        </w:tc>
        <w:tc>
          <w:tcPr>
            <w:tcW w:w="677" w:type="pct"/>
            <w:vAlign w:val="center"/>
          </w:tcPr>
          <w:p w14:paraId="56CF8CC5"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w:t>
            </w:r>
          </w:p>
        </w:tc>
        <w:tc>
          <w:tcPr>
            <w:tcW w:w="744" w:type="pct"/>
            <w:vAlign w:val="center"/>
          </w:tcPr>
          <w:p w14:paraId="73584B10" w14:textId="77777777" w:rsidR="003F49B0" w:rsidRPr="00E23B53" w:rsidRDefault="00E23B53" w:rsidP="00F357E7">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hint="eastAsia"/>
                <w:color w:val="auto"/>
                <w:sz w:val="21"/>
                <w:szCs w:val="22"/>
              </w:rPr>
              <w:t>10</w:t>
            </w:r>
          </w:p>
        </w:tc>
      </w:tr>
      <w:tr w:rsidR="003F49B0" w:rsidRPr="00E23B53" w14:paraId="3BDBE0D6" w14:textId="77777777" w:rsidTr="00F357E7">
        <w:trPr>
          <w:trHeight w:val="323"/>
        </w:trPr>
        <w:tc>
          <w:tcPr>
            <w:tcW w:w="1199" w:type="pct"/>
            <w:gridSpan w:val="2"/>
            <w:vAlign w:val="center"/>
          </w:tcPr>
          <w:p w14:paraId="6C0B6CC0"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EastAsia" w:cstheme="minorHAnsi"/>
                <w:color w:val="auto"/>
                <w:sz w:val="21"/>
                <w:szCs w:val="22"/>
              </w:rPr>
              <w:t>合计</w:t>
            </w:r>
          </w:p>
        </w:tc>
        <w:tc>
          <w:tcPr>
            <w:tcW w:w="2380" w:type="pct"/>
            <w:vAlign w:val="center"/>
          </w:tcPr>
          <w:p w14:paraId="0D57FEE2"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w:t>
            </w:r>
          </w:p>
        </w:tc>
        <w:tc>
          <w:tcPr>
            <w:tcW w:w="677" w:type="pct"/>
            <w:vAlign w:val="center"/>
          </w:tcPr>
          <w:p w14:paraId="03D9E4C5" w14:textId="77777777" w:rsidR="003F49B0" w:rsidRPr="00E23B53" w:rsidRDefault="003F49B0" w:rsidP="00F357E7">
            <w:pPr>
              <w:pStyle w:val="af1"/>
              <w:widowControl w:val="0"/>
              <w:autoSpaceDE w:val="0"/>
              <w:autoSpaceDN w:val="0"/>
              <w:jc w:val="center"/>
              <w:rPr>
                <w:rFonts w:asciiTheme="minorHAnsi" w:eastAsiaTheme="minorEastAsia" w:hAnsiTheme="minorHAnsi" w:cstheme="minorHAnsi"/>
                <w:color w:val="auto"/>
                <w:sz w:val="21"/>
                <w:szCs w:val="22"/>
              </w:rPr>
            </w:pPr>
            <w:r w:rsidRPr="00E23B53">
              <w:rPr>
                <w:rFonts w:asciiTheme="minorHAnsi" w:eastAsiaTheme="minorEastAsia" w:hAnsiTheme="minorHAnsi" w:cstheme="minorHAnsi"/>
                <w:color w:val="auto"/>
                <w:sz w:val="21"/>
                <w:szCs w:val="22"/>
              </w:rPr>
              <w:t>/</w:t>
            </w:r>
          </w:p>
        </w:tc>
        <w:tc>
          <w:tcPr>
            <w:tcW w:w="744" w:type="pct"/>
            <w:vAlign w:val="center"/>
          </w:tcPr>
          <w:p w14:paraId="592A03AD" w14:textId="77777777" w:rsidR="003F49B0" w:rsidRPr="00E23B53" w:rsidRDefault="00034A89" w:rsidP="00A04C5A">
            <w:pPr>
              <w:pStyle w:val="af1"/>
              <w:widowControl w:val="0"/>
              <w:autoSpaceDE w:val="0"/>
              <w:autoSpaceDN w:val="0"/>
              <w:jc w:val="center"/>
              <w:rPr>
                <w:rFonts w:asciiTheme="minorHAnsi" w:eastAsiaTheme="minorEastAsia" w:hAnsiTheme="minorHAnsi" w:cstheme="minorHAnsi"/>
                <w:color w:val="auto"/>
                <w:sz w:val="21"/>
                <w:szCs w:val="22"/>
              </w:rPr>
            </w:pPr>
            <w:r>
              <w:rPr>
                <w:rFonts w:asciiTheme="minorHAnsi" w:eastAsiaTheme="minorEastAsia" w:hAnsiTheme="minorHAnsi" w:cstheme="minorHAnsi"/>
                <w:color w:val="auto"/>
                <w:sz w:val="21"/>
                <w:szCs w:val="22"/>
              </w:rPr>
              <w:t>95</w:t>
            </w:r>
          </w:p>
        </w:tc>
      </w:tr>
    </w:tbl>
    <w:p w14:paraId="7D4D352D" w14:textId="77777777" w:rsidR="00BD2758" w:rsidRPr="00A964FF" w:rsidRDefault="00BD2758" w:rsidP="003F49B0">
      <w:pPr>
        <w:pStyle w:val="3a"/>
      </w:pPr>
      <w:r w:rsidRPr="00A964FF">
        <w:rPr>
          <w:rFonts w:hint="eastAsia"/>
        </w:rPr>
        <w:lastRenderedPageBreak/>
        <w:t>5</w:t>
      </w:r>
      <w:r w:rsidRPr="00A964FF">
        <w:t>.</w:t>
      </w:r>
      <w:r w:rsidRPr="00A964FF">
        <w:rPr>
          <w:rFonts w:hint="eastAsia"/>
        </w:rPr>
        <w:t>3.</w:t>
      </w:r>
      <w:r w:rsidR="006060D0" w:rsidRPr="00A964FF">
        <w:rPr>
          <w:rFonts w:hint="eastAsia"/>
        </w:rPr>
        <w:t>8</w:t>
      </w:r>
      <w:r w:rsidRPr="00A964FF">
        <w:rPr>
          <w:rFonts w:hint="eastAsia"/>
        </w:rPr>
        <w:t>环境风险评价结论</w:t>
      </w:r>
    </w:p>
    <w:p w14:paraId="15FDEB79" w14:textId="77777777" w:rsidR="007A3C0F" w:rsidRPr="00A964FF" w:rsidRDefault="007A3C0F" w:rsidP="007A3C0F">
      <w:pPr>
        <w:pStyle w:val="00"/>
        <w:rPr>
          <w:rFonts w:hAnsi="Times New Roman"/>
          <w:color w:val="auto"/>
        </w:rPr>
      </w:pPr>
      <w:r w:rsidRPr="00A964FF">
        <w:rPr>
          <w:rFonts w:hAnsi="Times New Roman"/>
          <w:color w:val="auto"/>
        </w:rPr>
        <w:t>本项目最大可信事故为</w:t>
      </w:r>
      <w:r w:rsidRPr="00A964FF">
        <w:rPr>
          <w:rFonts w:hAnsi="Times New Roman" w:hint="eastAsia"/>
          <w:color w:val="auto"/>
        </w:rPr>
        <w:t>仓库</w:t>
      </w:r>
      <w:r w:rsidR="00D213C2">
        <w:rPr>
          <w:rFonts w:hAnsi="Times New Roman" w:hint="eastAsia"/>
          <w:color w:val="auto"/>
        </w:rPr>
        <w:t>及</w:t>
      </w:r>
      <w:r w:rsidR="00D213C2">
        <w:rPr>
          <w:rFonts w:hAnsi="Times New Roman"/>
          <w:color w:val="auto"/>
        </w:rPr>
        <w:t>危废</w:t>
      </w:r>
      <w:r w:rsidRPr="00A964FF">
        <w:rPr>
          <w:rFonts w:hAnsi="Times New Roman" w:hint="eastAsia"/>
          <w:color w:val="auto"/>
        </w:rPr>
        <w:t>液体物料泄漏</w:t>
      </w:r>
      <w:r w:rsidRPr="00A964FF">
        <w:rPr>
          <w:rFonts w:hAnsi="Times New Roman"/>
          <w:color w:val="auto"/>
        </w:rPr>
        <w:t>引起的物质泄漏</w:t>
      </w:r>
      <w:r w:rsidRPr="00A964FF">
        <w:rPr>
          <w:rFonts w:hAnsi="Times New Roman" w:hint="eastAsia"/>
          <w:color w:val="auto"/>
        </w:rPr>
        <w:t>，易燃物质在泄漏后有引发火灾事故的可能性，</w:t>
      </w:r>
      <w:r w:rsidR="003F49B0" w:rsidRPr="00A964FF">
        <w:rPr>
          <w:rFonts w:hAnsi="Times New Roman" w:hint="eastAsia"/>
          <w:color w:val="auto"/>
        </w:rPr>
        <w:t>项目厂内应设置</w:t>
      </w:r>
      <w:r w:rsidR="009E7304" w:rsidRPr="00A964FF">
        <w:rPr>
          <w:rFonts w:hAnsi="Times New Roman" w:hint="eastAsia"/>
          <w:color w:val="auto"/>
        </w:rPr>
        <w:t>易燃</w:t>
      </w:r>
      <w:r w:rsidR="003F49B0" w:rsidRPr="00A964FF">
        <w:rPr>
          <w:rFonts w:hAnsi="Times New Roman" w:hint="eastAsia"/>
          <w:color w:val="auto"/>
        </w:rPr>
        <w:t>气体报警系统及喷淋等措施，设计上采取紧急停车及联锁安全保护系统，降低大气环境风险影响；</w:t>
      </w:r>
      <w:r w:rsidR="00D213C2">
        <w:rPr>
          <w:rFonts w:hAnsi="Times New Roman" w:hint="eastAsia"/>
          <w:color w:val="auto"/>
        </w:rPr>
        <w:t>液态</w:t>
      </w:r>
      <w:r w:rsidR="009E7304" w:rsidRPr="00A964FF">
        <w:rPr>
          <w:rFonts w:hAnsi="Times New Roman" w:hint="eastAsia"/>
          <w:color w:val="auto"/>
        </w:rPr>
        <w:t>原料</w:t>
      </w:r>
      <w:r w:rsidR="00D213C2">
        <w:rPr>
          <w:rFonts w:hAnsi="Times New Roman" w:hint="eastAsia"/>
          <w:color w:val="auto"/>
        </w:rPr>
        <w:t>及</w:t>
      </w:r>
      <w:r w:rsidR="00D213C2">
        <w:rPr>
          <w:rFonts w:hAnsi="Times New Roman"/>
          <w:color w:val="auto"/>
        </w:rPr>
        <w:t>危废</w:t>
      </w:r>
      <w:r w:rsidR="00D213C2">
        <w:rPr>
          <w:rFonts w:hAnsi="Times New Roman" w:hint="eastAsia"/>
          <w:color w:val="auto"/>
        </w:rPr>
        <w:t>存放区域</w:t>
      </w:r>
      <w:r w:rsidR="003F49B0" w:rsidRPr="00A964FF">
        <w:rPr>
          <w:rFonts w:hAnsi="Times New Roman" w:hint="eastAsia"/>
          <w:color w:val="auto"/>
        </w:rPr>
        <w:t>区设围堰、地沟、事故池、污水收集管网及拦挡系统，防止事故废水进行</w:t>
      </w:r>
      <w:r w:rsidR="009E7304" w:rsidRPr="00A964FF">
        <w:rPr>
          <w:rFonts w:hAnsi="Times New Roman" w:hint="eastAsia"/>
          <w:color w:val="auto"/>
        </w:rPr>
        <w:t>外环境；地下水采取源头控制、分区防渗、常规监测相结合措施，降低</w:t>
      </w:r>
      <w:r w:rsidR="003F49B0" w:rsidRPr="00A964FF">
        <w:rPr>
          <w:rFonts w:hAnsi="Times New Roman" w:hint="eastAsia"/>
          <w:color w:val="auto"/>
        </w:rPr>
        <w:t>水环境风险影响。</w:t>
      </w:r>
    </w:p>
    <w:p w14:paraId="493F38A1" w14:textId="77777777" w:rsidR="007A3C0F" w:rsidRPr="00A964FF" w:rsidRDefault="007A3C0F" w:rsidP="007A3C0F">
      <w:pPr>
        <w:pStyle w:val="00"/>
        <w:rPr>
          <w:rFonts w:hAnsi="Times New Roman"/>
          <w:color w:val="auto"/>
        </w:rPr>
      </w:pPr>
      <w:r w:rsidRPr="00A964FF">
        <w:rPr>
          <w:rFonts w:hAnsi="Times New Roman"/>
          <w:color w:val="auto"/>
        </w:rPr>
        <w:t>建设单位针对本项目可能发生的风险事故，制定应急预案，并加强应急演练；</w:t>
      </w:r>
      <w:r w:rsidR="003F49B0" w:rsidRPr="00A964FF">
        <w:rPr>
          <w:rFonts w:hAnsi="Times New Roman" w:hint="eastAsia"/>
          <w:color w:val="auto"/>
        </w:rPr>
        <w:t>应急预案应在园区事故风险应急预案大框架下进行编制，保持与园区应急预案的联动性，积极配合园区进行应急预案演练，构建区域环境风险联控机制。本项目营运后</w:t>
      </w:r>
      <w:r w:rsidRPr="00A964FF">
        <w:rPr>
          <w:rFonts w:hAnsi="Times New Roman"/>
          <w:color w:val="auto"/>
        </w:rPr>
        <w:t>实行全面安全的</w:t>
      </w:r>
      <w:r w:rsidR="003F49B0" w:rsidRPr="00A964FF">
        <w:rPr>
          <w:rFonts w:hAnsi="Times New Roman"/>
          <w:color w:val="auto"/>
        </w:rPr>
        <w:t>管理制度，一旦事故发生立即启动应急预案，可以有效减轻事故排放对</w:t>
      </w:r>
      <w:r w:rsidRPr="00A964FF">
        <w:rPr>
          <w:rFonts w:hAnsi="Times New Roman"/>
          <w:color w:val="auto"/>
        </w:rPr>
        <w:t>周围环境敏感点的影响。评价认为在采取了</w:t>
      </w:r>
      <w:r w:rsidRPr="00A964FF">
        <w:rPr>
          <w:rFonts w:hAnsi="Times New Roman" w:hint="eastAsia"/>
          <w:color w:val="auto"/>
        </w:rPr>
        <w:t>合理的风险防范措施及制定可行的环境风险应急预案</w:t>
      </w:r>
      <w:r w:rsidRPr="00A964FF">
        <w:rPr>
          <w:rFonts w:hAnsi="Times New Roman"/>
          <w:color w:val="auto"/>
        </w:rPr>
        <w:t>，项目的环境风险可以接受</w:t>
      </w:r>
      <w:r w:rsidRPr="00A964FF">
        <w:rPr>
          <w:rFonts w:hAnsi="Times New Roman" w:hint="eastAsia"/>
          <w:color w:val="auto"/>
        </w:rPr>
        <w:t>，不会对周围敏感点造成不可逆的影响</w:t>
      </w:r>
      <w:r w:rsidRPr="00A964FF">
        <w:rPr>
          <w:rFonts w:hAnsi="Times New Roman"/>
          <w:color w:val="auto"/>
        </w:rPr>
        <w:t>。</w:t>
      </w:r>
    </w:p>
    <w:p w14:paraId="196C50C2" w14:textId="77777777" w:rsidR="0055605A" w:rsidRPr="00A964FF" w:rsidRDefault="0055605A" w:rsidP="0055605A">
      <w:pPr>
        <w:pStyle w:val="2"/>
        <w:spacing w:before="200" w:after="100"/>
        <w:rPr>
          <w:rFonts w:ascii="Calibri" w:hAnsi="Calibri"/>
          <w:bCs/>
          <w:color w:val="auto"/>
          <w:szCs w:val="28"/>
        </w:rPr>
      </w:pPr>
      <w:bookmarkStart w:id="79" w:name="_Toc112999923"/>
      <w:r w:rsidRPr="00A964FF">
        <w:rPr>
          <w:rFonts w:ascii="Calibri" w:hAnsi="Calibri" w:hint="eastAsia"/>
          <w:bCs/>
          <w:color w:val="auto"/>
          <w:szCs w:val="28"/>
        </w:rPr>
        <w:t>5.</w:t>
      </w:r>
      <w:r w:rsidR="00B66A97" w:rsidRPr="00A964FF">
        <w:rPr>
          <w:rFonts w:ascii="Calibri" w:hAnsi="Calibri" w:hint="eastAsia"/>
          <w:bCs/>
          <w:color w:val="auto"/>
          <w:szCs w:val="28"/>
        </w:rPr>
        <w:t>4</w:t>
      </w:r>
      <w:r w:rsidR="00B66A97" w:rsidRPr="00A964FF">
        <w:rPr>
          <w:rFonts w:ascii="Calibri" w:hAnsi="Calibri" w:hint="eastAsia"/>
          <w:bCs/>
          <w:color w:val="auto"/>
          <w:szCs w:val="28"/>
        </w:rPr>
        <w:t>土壤环境影响防范措施</w:t>
      </w:r>
      <w:bookmarkEnd w:id="79"/>
    </w:p>
    <w:p w14:paraId="6B62D4E7" w14:textId="77777777" w:rsidR="009F235D" w:rsidRPr="009F235D" w:rsidRDefault="009F235D" w:rsidP="009F235D">
      <w:pPr>
        <w:spacing w:line="520" w:lineRule="exact"/>
        <w:ind w:firstLineChars="200" w:firstLine="480"/>
        <w:rPr>
          <w:rFonts w:asciiTheme="minorHAnsi" w:hAnsiTheme="minorHAnsi"/>
          <w:sz w:val="24"/>
        </w:rPr>
      </w:pPr>
      <w:r w:rsidRPr="009F235D">
        <w:rPr>
          <w:rFonts w:asciiTheme="minorHAnsi" w:hAnsiTheme="minorHAnsi"/>
          <w:sz w:val="24"/>
        </w:rPr>
        <w:t>根据评价期间土壤环境调查情况，项目厂区、厂外环境土壤环境质量现状能够满足《土壤环境质量建设用地土壤污染风险管控标准》（</w:t>
      </w:r>
      <w:r w:rsidRPr="009F235D">
        <w:rPr>
          <w:rFonts w:asciiTheme="minorHAnsi" w:hAnsiTheme="minorHAnsi"/>
          <w:sz w:val="24"/>
        </w:rPr>
        <w:t>GB36600-2018</w:t>
      </w:r>
      <w:r w:rsidRPr="009F235D">
        <w:rPr>
          <w:rFonts w:asciiTheme="minorHAnsi" w:hAnsiTheme="minorHAnsi"/>
          <w:sz w:val="24"/>
        </w:rPr>
        <w:t>）</w:t>
      </w:r>
      <w:r>
        <w:rPr>
          <w:rFonts w:asciiTheme="minorHAnsi" w:hAnsiTheme="minorHAnsi" w:hint="eastAsia"/>
          <w:sz w:val="24"/>
        </w:rPr>
        <w:t>及</w:t>
      </w:r>
      <w:r w:rsidRPr="00A964FF">
        <w:rPr>
          <w:rFonts w:ascii="Calibri" w:hAnsi="Calibri" w:cs="Times New Roman" w:hint="eastAsia"/>
          <w:color w:val="auto"/>
          <w:sz w:val="24"/>
        </w:rPr>
        <w:t>《土壤环境质量</w:t>
      </w:r>
      <w:r w:rsidRPr="00A964FF">
        <w:rPr>
          <w:rFonts w:ascii="Calibri" w:hAnsi="Calibri" w:cs="Times New Roman" w:hint="eastAsia"/>
          <w:color w:val="auto"/>
          <w:sz w:val="24"/>
        </w:rPr>
        <w:t xml:space="preserve"> </w:t>
      </w:r>
      <w:r w:rsidRPr="00A964FF">
        <w:rPr>
          <w:rFonts w:ascii="Calibri" w:hAnsi="Calibri" w:cs="Times New Roman" w:hint="eastAsia"/>
          <w:color w:val="auto"/>
          <w:sz w:val="24"/>
        </w:rPr>
        <w:t>农用地土壤污染风险管控标准（试行）》（</w:t>
      </w:r>
      <w:r w:rsidRPr="00A964FF">
        <w:rPr>
          <w:rFonts w:ascii="Calibri" w:hAnsi="Calibri" w:cs="Times New Roman" w:hint="eastAsia"/>
          <w:color w:val="auto"/>
          <w:sz w:val="24"/>
        </w:rPr>
        <w:t>GB15618-2018</w:t>
      </w:r>
      <w:r w:rsidRPr="00A964FF">
        <w:rPr>
          <w:rFonts w:ascii="Calibri" w:hAnsi="Calibri" w:cs="Times New Roman" w:hint="eastAsia"/>
          <w:color w:val="auto"/>
          <w:sz w:val="24"/>
        </w:rPr>
        <w:t>）</w:t>
      </w:r>
      <w:r w:rsidRPr="009F235D">
        <w:rPr>
          <w:rFonts w:asciiTheme="minorHAnsi" w:hAnsiTheme="minorHAnsi"/>
          <w:sz w:val="24"/>
        </w:rPr>
        <w:t>相关标准限值要求，土壤环境质量较好。运营期间需重视项目土壤污染预防工作。评价提出了源头控制、过程防控、跟踪监测三步土壤污染预防控制措施，具体如下：</w:t>
      </w:r>
    </w:p>
    <w:p w14:paraId="498E851F" w14:textId="77777777" w:rsidR="00B66A97" w:rsidRPr="00A964FF" w:rsidRDefault="00B66A97" w:rsidP="00B66A97">
      <w:pPr>
        <w:pStyle w:val="00"/>
        <w:rPr>
          <w:rFonts w:ascii="Calibri" w:hAnsi="Calibri"/>
          <w:b/>
          <w:color w:val="auto"/>
        </w:rPr>
      </w:pPr>
      <w:r w:rsidRPr="00A964FF">
        <w:rPr>
          <w:rFonts w:ascii="Calibri" w:hAnsi="Calibri" w:hint="eastAsia"/>
          <w:b/>
          <w:color w:val="auto"/>
        </w:rPr>
        <w:t>1</w:t>
      </w:r>
      <w:r w:rsidRPr="00A964FF">
        <w:rPr>
          <w:rFonts w:ascii="Calibri" w:hAnsi="Calibri" w:hint="eastAsia"/>
          <w:b/>
          <w:color w:val="auto"/>
        </w:rPr>
        <w:t>、源头控制措施</w:t>
      </w:r>
    </w:p>
    <w:p w14:paraId="7B95E2FB" w14:textId="77777777" w:rsidR="009F235D" w:rsidRPr="009F235D" w:rsidRDefault="009F235D" w:rsidP="009F235D">
      <w:pPr>
        <w:spacing w:line="520" w:lineRule="exact"/>
        <w:ind w:firstLineChars="200" w:firstLine="480"/>
        <w:rPr>
          <w:sz w:val="24"/>
        </w:rPr>
      </w:pPr>
      <w:r w:rsidRPr="009F235D">
        <w:rPr>
          <w:rFonts w:hint="eastAsia"/>
          <w:sz w:val="24"/>
        </w:rPr>
        <w:t>土壤污染需从建设项目污染源头控制，首先，保证项目废水、废气、固废的达标排放和总量控制；其次，从项目装置区、辅助生产区等地面分区防渗等角度入手，预防生产期间废水、固废污染迁移，杜绝废水长期下渗形成的污染，杜绝固废长期堆存期间产生浸出液污染；最后，根据当前环境管理大气污染排放标准，严格执行区域特别排放限值及超低排放，减缓大气降尘对土壤造成的污染。</w:t>
      </w:r>
    </w:p>
    <w:p w14:paraId="4031A687" w14:textId="77777777" w:rsidR="00B66A97" w:rsidRPr="00A964FF" w:rsidRDefault="00B66A97" w:rsidP="00B66A97">
      <w:pPr>
        <w:pStyle w:val="00"/>
        <w:rPr>
          <w:rFonts w:ascii="Calibri" w:hAnsi="Calibri"/>
          <w:b/>
          <w:color w:val="auto"/>
        </w:rPr>
      </w:pPr>
      <w:r w:rsidRPr="00A964FF">
        <w:rPr>
          <w:rFonts w:ascii="Calibri" w:hAnsi="Calibri" w:hint="eastAsia"/>
          <w:b/>
          <w:color w:val="auto"/>
        </w:rPr>
        <w:t>2</w:t>
      </w:r>
      <w:r w:rsidRPr="00A964FF">
        <w:rPr>
          <w:rFonts w:ascii="Calibri" w:hAnsi="Calibri" w:hint="eastAsia"/>
          <w:b/>
          <w:color w:val="auto"/>
        </w:rPr>
        <w:t>、过程防控措施</w:t>
      </w:r>
    </w:p>
    <w:p w14:paraId="4BCE5FE2" w14:textId="77777777" w:rsidR="009F235D" w:rsidRPr="009F235D" w:rsidRDefault="009F235D" w:rsidP="009F235D">
      <w:pPr>
        <w:spacing w:line="520" w:lineRule="exact"/>
        <w:ind w:firstLineChars="200" w:firstLine="480"/>
        <w:rPr>
          <w:sz w:val="24"/>
        </w:rPr>
      </w:pPr>
      <w:r w:rsidRPr="009F235D">
        <w:rPr>
          <w:rFonts w:hint="eastAsia"/>
          <w:sz w:val="24"/>
        </w:rPr>
        <w:t>主要体现在项目运行期间污染物收集、治理、安全处置全过程。项目运行期，建</w:t>
      </w:r>
      <w:r w:rsidRPr="009F235D">
        <w:rPr>
          <w:rFonts w:hint="eastAsia"/>
          <w:sz w:val="24"/>
        </w:rPr>
        <w:lastRenderedPageBreak/>
        <w:t>设单位应加强监控和巡检，各类工艺装置、各类废液废水储罐和构筑物处理装置，如果发生泄漏要及时处理，不得漫流到与土壤接触的地面。厂区内固废运送至具有三防措施的暂存堆场存放，不得直接接触土壤。各类危险废物应采用规范的容器包装，在室内分区堆放，储存地面采取防渗措施，经常检查发现包装渗漏等情况要及时处理。危废在从工艺装置中卸出、包装、暂存到按照管理要求装车转移过程，以及运输过程中，均不得接触土壤。各种原料、产品、中间产物在卸出、装车、转运过程中均要在经过防渗的场地进行，不得发生物料接触土壤的情况，如果有事故状态发生要及时处置，采取措施不得使车间内物料和车间冲洗废水漫流至车间外。厂区各事故废水池收集管线要畅通，保证在各种事故状态下废水废液排入，不进入到裸露的土壤中。确保废气处置过程环保措施的运行稳定，使废气污染物达标排放，最大程度降低废气入环境总量，降低大气沉降累积污染。</w:t>
      </w:r>
    </w:p>
    <w:p w14:paraId="47414EF2" w14:textId="77777777" w:rsidR="0055605A" w:rsidRPr="00A964FF" w:rsidRDefault="0055605A" w:rsidP="0055605A">
      <w:pPr>
        <w:pStyle w:val="2"/>
        <w:spacing w:before="200" w:after="100"/>
        <w:rPr>
          <w:rFonts w:ascii="Calibri" w:hAnsi="Calibri"/>
          <w:bCs/>
          <w:color w:val="auto"/>
          <w:szCs w:val="28"/>
        </w:rPr>
      </w:pPr>
      <w:bookmarkStart w:id="80" w:name="_Toc112999924"/>
      <w:r w:rsidRPr="00A964FF">
        <w:rPr>
          <w:rFonts w:ascii="Calibri" w:hAnsi="Calibri" w:hint="eastAsia"/>
          <w:bCs/>
          <w:color w:val="auto"/>
          <w:szCs w:val="28"/>
        </w:rPr>
        <w:t>5.</w:t>
      </w:r>
      <w:r w:rsidR="009F235D">
        <w:rPr>
          <w:rFonts w:ascii="Calibri" w:hAnsi="Calibri" w:hint="eastAsia"/>
          <w:bCs/>
          <w:color w:val="auto"/>
          <w:szCs w:val="28"/>
        </w:rPr>
        <w:t>5</w:t>
      </w:r>
      <w:r w:rsidRPr="00A964FF">
        <w:rPr>
          <w:rFonts w:ascii="Calibri" w:hAnsi="Calibri" w:hint="eastAsia"/>
          <w:bCs/>
          <w:color w:val="auto"/>
          <w:szCs w:val="28"/>
        </w:rPr>
        <w:t>环保投资及竣工验收</w:t>
      </w:r>
      <w:bookmarkEnd w:id="80"/>
    </w:p>
    <w:p w14:paraId="2F7E7EB2" w14:textId="64267E2C" w:rsidR="00B83749" w:rsidRPr="002A3A75" w:rsidRDefault="0055605A" w:rsidP="0028594C">
      <w:pPr>
        <w:pStyle w:val="00"/>
        <w:rPr>
          <w:rFonts w:ascii="Calibri" w:hAnsi="Calibri"/>
          <w:b/>
          <w:color w:val="FF0000"/>
          <w:u w:val="single"/>
        </w:rPr>
      </w:pPr>
      <w:r w:rsidRPr="002A3A75">
        <w:rPr>
          <w:rFonts w:ascii="Calibri" w:hAnsi="Calibri"/>
          <w:b/>
          <w:color w:val="auto"/>
          <w:u w:val="single"/>
        </w:rPr>
        <w:t>本项目总投资</w:t>
      </w:r>
      <w:r w:rsidR="00D213C2" w:rsidRPr="002A3A75">
        <w:rPr>
          <w:rFonts w:ascii="Calibri" w:hAnsi="Calibri"/>
          <w:b/>
          <w:caps/>
          <w:color w:val="auto"/>
          <w:u w:val="single"/>
        </w:rPr>
        <w:t>30461</w:t>
      </w:r>
      <w:r w:rsidR="00D213C2" w:rsidRPr="002A3A75">
        <w:rPr>
          <w:rFonts w:ascii="Calibri" w:hAnsi="Calibri"/>
          <w:b/>
          <w:caps/>
          <w:color w:val="auto"/>
          <w:u w:val="single"/>
        </w:rPr>
        <w:t>万元</w:t>
      </w:r>
      <w:r w:rsidRPr="002A3A75">
        <w:rPr>
          <w:rFonts w:ascii="Calibri" w:hAnsi="Calibri"/>
          <w:b/>
          <w:color w:val="auto"/>
          <w:u w:val="single"/>
        </w:rPr>
        <w:t>，</w:t>
      </w:r>
      <w:r w:rsidR="0028594C" w:rsidRPr="002A3A75">
        <w:rPr>
          <w:rFonts w:ascii="Calibri" w:hAnsi="Calibri" w:hint="eastAsia"/>
          <w:b/>
          <w:color w:val="auto"/>
          <w:u w:val="single"/>
        </w:rPr>
        <w:t>其中一期</w:t>
      </w:r>
      <w:r w:rsidR="0028594C" w:rsidRPr="002A3A75">
        <w:rPr>
          <w:rFonts w:ascii="Calibri" w:hAnsi="Calibri"/>
          <w:b/>
          <w:color w:val="auto"/>
          <w:u w:val="single"/>
        </w:rPr>
        <w:t>、二期工程总投资</w:t>
      </w:r>
      <w:r w:rsidR="0028594C" w:rsidRPr="002A3A75">
        <w:rPr>
          <w:rFonts w:ascii="Calibri" w:hAnsi="Calibri" w:hint="eastAsia"/>
          <w:b/>
          <w:color w:val="auto"/>
          <w:u w:val="single"/>
        </w:rPr>
        <w:t>25400</w:t>
      </w:r>
      <w:r w:rsidR="0028594C" w:rsidRPr="002A3A75">
        <w:rPr>
          <w:rFonts w:ascii="Calibri" w:hAnsi="Calibri" w:hint="eastAsia"/>
          <w:b/>
          <w:color w:val="auto"/>
          <w:u w:val="single"/>
        </w:rPr>
        <w:t>万元</w:t>
      </w:r>
      <w:r w:rsidR="0028594C" w:rsidRPr="002A3A75">
        <w:rPr>
          <w:rFonts w:ascii="Calibri" w:hAnsi="Calibri"/>
          <w:b/>
          <w:color w:val="auto"/>
          <w:u w:val="single"/>
        </w:rPr>
        <w:t>，</w:t>
      </w:r>
      <w:r w:rsidR="0028594C" w:rsidRPr="002A3A75">
        <w:rPr>
          <w:rFonts w:ascii="Calibri" w:hAnsi="Calibri" w:hint="eastAsia"/>
          <w:b/>
          <w:color w:val="auto"/>
          <w:u w:val="single"/>
        </w:rPr>
        <w:t>一期</w:t>
      </w:r>
      <w:r w:rsidR="0028594C" w:rsidRPr="002A3A75">
        <w:rPr>
          <w:rFonts w:ascii="Calibri" w:hAnsi="Calibri"/>
          <w:b/>
          <w:color w:val="auto"/>
          <w:u w:val="single"/>
        </w:rPr>
        <w:t>、二期工程</w:t>
      </w:r>
      <w:r w:rsidRPr="002A3A75">
        <w:rPr>
          <w:rFonts w:ascii="Calibri" w:hAnsi="Calibri"/>
          <w:b/>
          <w:color w:val="auto"/>
          <w:u w:val="single"/>
        </w:rPr>
        <w:t>环保投资</w:t>
      </w:r>
      <w:r w:rsidR="00392F43">
        <w:rPr>
          <w:rFonts w:ascii="Calibri" w:hAnsi="Calibri"/>
          <w:b/>
          <w:color w:val="auto"/>
          <w:u w:val="single"/>
        </w:rPr>
        <w:t>514</w:t>
      </w:r>
      <w:r w:rsidRPr="002A3A75">
        <w:rPr>
          <w:rFonts w:ascii="Calibri" w:hAnsi="Calibri"/>
          <w:b/>
          <w:color w:val="auto"/>
          <w:u w:val="single"/>
        </w:rPr>
        <w:t>万元，占总投资的</w:t>
      </w:r>
      <w:r w:rsidR="00392F43">
        <w:rPr>
          <w:rFonts w:ascii="Calibri" w:hAnsi="Calibri"/>
          <w:b/>
          <w:color w:val="auto"/>
          <w:u w:val="single"/>
        </w:rPr>
        <w:t>2.02</w:t>
      </w:r>
      <w:r w:rsidRPr="002A3A75">
        <w:rPr>
          <w:rFonts w:ascii="Calibri" w:hAnsi="Calibri"/>
          <w:b/>
          <w:color w:val="auto"/>
          <w:u w:val="single"/>
        </w:rPr>
        <w:t>%</w:t>
      </w:r>
      <w:r w:rsidRPr="002A3A75">
        <w:rPr>
          <w:rFonts w:ascii="Calibri" w:hAnsi="Calibri" w:hint="eastAsia"/>
          <w:b/>
          <w:color w:val="auto"/>
          <w:u w:val="single"/>
        </w:rPr>
        <w:t>，本项目运营期环保投资及竣工验收情况见表</w:t>
      </w:r>
      <w:r w:rsidRPr="002A3A75">
        <w:rPr>
          <w:rFonts w:ascii="Calibri" w:hAnsi="Calibri" w:hint="eastAsia"/>
          <w:b/>
          <w:color w:val="auto"/>
          <w:u w:val="single"/>
        </w:rPr>
        <w:t>5</w:t>
      </w:r>
      <w:r w:rsidR="00196D77" w:rsidRPr="002A3A75">
        <w:rPr>
          <w:rFonts w:ascii="Calibri" w:hAnsi="Calibri" w:hint="eastAsia"/>
          <w:b/>
          <w:color w:val="auto"/>
          <w:u w:val="single"/>
        </w:rPr>
        <w:t>.6</w:t>
      </w:r>
      <w:r w:rsidRPr="002A3A75">
        <w:rPr>
          <w:rFonts w:ascii="Calibri" w:hAnsi="Calibri" w:hint="eastAsia"/>
          <w:b/>
          <w:color w:val="auto"/>
          <w:u w:val="single"/>
        </w:rPr>
        <w:t>-</w:t>
      </w:r>
      <w:r w:rsidR="00196D77" w:rsidRPr="002A3A75">
        <w:rPr>
          <w:rFonts w:ascii="Calibri" w:hAnsi="Calibri" w:hint="eastAsia"/>
          <w:b/>
          <w:color w:val="auto"/>
          <w:u w:val="single"/>
        </w:rPr>
        <w:t>1</w:t>
      </w:r>
      <w:r w:rsidRPr="002A3A75">
        <w:rPr>
          <w:rFonts w:ascii="Calibri" w:hAnsi="Calibri" w:hint="eastAsia"/>
          <w:b/>
          <w:color w:val="auto"/>
          <w:u w:val="single"/>
        </w:rPr>
        <w:t>。</w:t>
      </w:r>
    </w:p>
    <w:p w14:paraId="22CF31E8" w14:textId="77777777" w:rsidR="00D213C2" w:rsidRPr="00D213C2" w:rsidRDefault="0055605A" w:rsidP="00D213C2">
      <w:pPr>
        <w:pStyle w:val="00"/>
        <w:ind w:firstLineChars="200"/>
        <w:rPr>
          <w:rFonts w:ascii="宋体"/>
          <w:color w:val="auto"/>
          <w:sz w:val="21"/>
          <w:szCs w:val="21"/>
        </w:rPr>
      </w:pPr>
      <w:r w:rsidRPr="00A964FF">
        <w:rPr>
          <w:rFonts w:ascii="Calibri" w:eastAsia="黑体" w:hAnsi="Calibri"/>
          <w:color w:val="auto"/>
        </w:rPr>
        <w:t>表</w:t>
      </w:r>
      <w:r w:rsidRPr="00A964FF">
        <w:rPr>
          <w:rFonts w:ascii="Calibri" w:eastAsia="黑体" w:hAnsi="Calibri" w:hint="eastAsia"/>
          <w:color w:val="auto"/>
        </w:rPr>
        <w:t>5</w:t>
      </w:r>
      <w:r w:rsidR="00196D77" w:rsidRPr="00A964FF">
        <w:rPr>
          <w:rFonts w:ascii="Calibri" w:eastAsia="黑体" w:hAnsi="Calibri" w:hint="eastAsia"/>
          <w:color w:val="auto"/>
        </w:rPr>
        <w:t>.6</w:t>
      </w:r>
      <w:r w:rsidRPr="00A964FF">
        <w:rPr>
          <w:rFonts w:ascii="Calibri" w:eastAsia="黑体" w:hAnsi="Calibri" w:hint="eastAsia"/>
          <w:color w:val="auto"/>
        </w:rPr>
        <w:t>-</w:t>
      </w:r>
      <w:r w:rsidR="00196D77" w:rsidRPr="00A964FF">
        <w:rPr>
          <w:rFonts w:ascii="Calibri" w:eastAsia="黑体" w:hAnsi="Calibri" w:hint="eastAsia"/>
          <w:color w:val="auto"/>
        </w:rPr>
        <w:t>1</w:t>
      </w:r>
      <w:r w:rsidRPr="00A964FF">
        <w:rPr>
          <w:rFonts w:ascii="Calibri" w:eastAsia="黑体" w:hAnsi="Calibri"/>
          <w:color w:val="auto"/>
        </w:rPr>
        <w:t xml:space="preserve"> </w:t>
      </w:r>
      <w:r w:rsidR="008C751B"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Calibri" w:eastAsia="黑体" w:hAnsi="Calibri" w:hint="eastAsia"/>
          <w:color w:val="auto"/>
        </w:rPr>
        <w:t>运营期</w:t>
      </w:r>
      <w:r w:rsidRPr="00A964FF">
        <w:rPr>
          <w:rFonts w:ascii="Calibri" w:eastAsia="黑体" w:hAnsi="Calibri"/>
          <w:color w:val="auto"/>
        </w:rPr>
        <w:t>环保投资及竣工验收一览表</w:t>
      </w:r>
      <w:r w:rsidRPr="00A964FF">
        <w:rPr>
          <w:rFonts w:ascii="Calibri" w:eastAsia="黑体" w:hAnsi="Calibri"/>
          <w:color w:val="auto"/>
        </w:rPr>
        <w:t xml:space="preserve">   </w:t>
      </w:r>
      <w:r w:rsidR="008C751B" w:rsidRPr="00A964FF">
        <w:rPr>
          <w:rFonts w:ascii="Calibri" w:eastAsia="黑体" w:hAnsi="Calibri" w:hint="eastAsia"/>
          <w:color w:val="auto"/>
        </w:rPr>
        <w:t xml:space="preserve"> </w:t>
      </w:r>
      <w:r w:rsidRPr="00A964FF">
        <w:rPr>
          <w:rFonts w:ascii="Calibri" w:eastAsia="黑体" w:hAnsi="Calibri"/>
          <w:color w:val="auto"/>
        </w:rPr>
        <w:t xml:space="preserve">       </w:t>
      </w:r>
      <w:r w:rsidRPr="00A964FF">
        <w:rPr>
          <w:rFonts w:ascii="宋体"/>
          <w:color w:val="auto"/>
          <w:sz w:val="21"/>
          <w:szCs w:val="21"/>
        </w:rPr>
        <w:t>单位：万元</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1"/>
        <w:gridCol w:w="1342"/>
        <w:gridCol w:w="2526"/>
        <w:gridCol w:w="562"/>
        <w:gridCol w:w="3113"/>
        <w:gridCol w:w="646"/>
      </w:tblGrid>
      <w:tr w:rsidR="00E13EDF" w:rsidRPr="00A964FF" w14:paraId="631B0F6D" w14:textId="77777777" w:rsidTr="00D213C2">
        <w:trPr>
          <w:trHeight w:val="340"/>
          <w:jc w:val="center"/>
        </w:trPr>
        <w:tc>
          <w:tcPr>
            <w:tcW w:w="294" w:type="pct"/>
            <w:tcMar>
              <w:top w:w="28" w:type="dxa"/>
              <w:left w:w="28" w:type="dxa"/>
              <w:bottom w:w="28" w:type="dxa"/>
              <w:right w:w="28" w:type="dxa"/>
            </w:tcMar>
            <w:vAlign w:val="center"/>
          </w:tcPr>
          <w:p w14:paraId="01BA5073" w14:textId="77777777" w:rsidR="009D401B" w:rsidRPr="00A964FF" w:rsidRDefault="009D401B" w:rsidP="009D401B">
            <w:pPr>
              <w:jc w:val="center"/>
              <w:rPr>
                <w:rFonts w:ascii="Calibri" w:hAnsi="Calibri"/>
                <w:color w:val="auto"/>
                <w:szCs w:val="21"/>
              </w:rPr>
            </w:pPr>
            <w:r w:rsidRPr="00A964FF">
              <w:rPr>
                <w:rFonts w:ascii="Calibri" w:hAnsi="宋体"/>
                <w:color w:val="auto"/>
                <w:szCs w:val="21"/>
              </w:rPr>
              <w:t>项目</w:t>
            </w:r>
          </w:p>
        </w:tc>
        <w:tc>
          <w:tcPr>
            <w:tcW w:w="771" w:type="pct"/>
            <w:tcMar>
              <w:top w:w="28" w:type="dxa"/>
              <w:left w:w="28" w:type="dxa"/>
              <w:bottom w:w="28" w:type="dxa"/>
              <w:right w:w="28" w:type="dxa"/>
            </w:tcMar>
            <w:vAlign w:val="center"/>
          </w:tcPr>
          <w:p w14:paraId="63AD03F9" w14:textId="77777777" w:rsidR="009D401B" w:rsidRPr="00A964FF" w:rsidRDefault="009D401B" w:rsidP="009D401B">
            <w:pPr>
              <w:jc w:val="center"/>
              <w:rPr>
                <w:rFonts w:ascii="Calibri" w:hAnsi="Calibri"/>
                <w:color w:val="auto"/>
                <w:szCs w:val="21"/>
              </w:rPr>
            </w:pPr>
            <w:r w:rsidRPr="00A964FF">
              <w:rPr>
                <w:rFonts w:ascii="Calibri" w:hAnsi="宋体"/>
                <w:color w:val="auto"/>
                <w:szCs w:val="21"/>
              </w:rPr>
              <w:t>污染源</w:t>
            </w:r>
          </w:p>
        </w:tc>
        <w:tc>
          <w:tcPr>
            <w:tcW w:w="1452" w:type="pct"/>
            <w:tcMar>
              <w:top w:w="28" w:type="dxa"/>
              <w:left w:w="28" w:type="dxa"/>
              <w:bottom w:w="28" w:type="dxa"/>
              <w:right w:w="28" w:type="dxa"/>
            </w:tcMar>
            <w:vAlign w:val="center"/>
          </w:tcPr>
          <w:p w14:paraId="7F7E4A23" w14:textId="77777777" w:rsidR="009D401B" w:rsidRPr="00A964FF" w:rsidRDefault="009D401B" w:rsidP="009D401B">
            <w:pPr>
              <w:jc w:val="center"/>
              <w:rPr>
                <w:rFonts w:ascii="Calibri" w:hAnsi="Calibri"/>
                <w:color w:val="auto"/>
                <w:szCs w:val="21"/>
              </w:rPr>
            </w:pPr>
            <w:r w:rsidRPr="00A964FF">
              <w:rPr>
                <w:rFonts w:ascii="Calibri" w:hAnsi="宋体"/>
                <w:color w:val="auto"/>
                <w:szCs w:val="21"/>
              </w:rPr>
              <w:t>采取的治理措施</w:t>
            </w:r>
          </w:p>
        </w:tc>
        <w:tc>
          <w:tcPr>
            <w:tcW w:w="323" w:type="pct"/>
            <w:tcBorders>
              <w:bottom w:val="single" w:sz="4" w:space="0" w:color="auto"/>
            </w:tcBorders>
            <w:tcMar>
              <w:top w:w="28" w:type="dxa"/>
              <w:left w:w="28" w:type="dxa"/>
              <w:bottom w:w="28" w:type="dxa"/>
              <w:right w:w="28" w:type="dxa"/>
            </w:tcMar>
            <w:vAlign w:val="center"/>
          </w:tcPr>
          <w:p w14:paraId="2AEF1A06" w14:textId="77777777" w:rsidR="009D401B" w:rsidRPr="00A964FF" w:rsidRDefault="009D401B" w:rsidP="009D401B">
            <w:pPr>
              <w:jc w:val="center"/>
              <w:rPr>
                <w:rFonts w:ascii="Calibri" w:hAnsi="Calibri"/>
                <w:color w:val="auto"/>
                <w:szCs w:val="21"/>
              </w:rPr>
            </w:pPr>
            <w:r w:rsidRPr="00A964FF">
              <w:rPr>
                <w:rFonts w:ascii="Calibri" w:hAnsi="宋体"/>
                <w:color w:val="auto"/>
                <w:szCs w:val="21"/>
              </w:rPr>
              <w:t>数量</w:t>
            </w:r>
          </w:p>
        </w:tc>
        <w:tc>
          <w:tcPr>
            <w:tcW w:w="1789" w:type="pct"/>
            <w:tcBorders>
              <w:bottom w:val="single" w:sz="4" w:space="0" w:color="auto"/>
            </w:tcBorders>
            <w:tcMar>
              <w:top w:w="28" w:type="dxa"/>
              <w:left w:w="28" w:type="dxa"/>
              <w:bottom w:w="28" w:type="dxa"/>
              <w:right w:w="28" w:type="dxa"/>
            </w:tcMar>
            <w:vAlign w:val="center"/>
          </w:tcPr>
          <w:p w14:paraId="31C63504" w14:textId="77777777" w:rsidR="009D401B" w:rsidRPr="00A964FF" w:rsidRDefault="009D401B" w:rsidP="00B75C97">
            <w:pPr>
              <w:jc w:val="center"/>
              <w:rPr>
                <w:rFonts w:ascii="Calibri" w:hAnsi="宋体"/>
                <w:color w:val="auto"/>
                <w:szCs w:val="21"/>
              </w:rPr>
            </w:pPr>
            <w:r w:rsidRPr="00A964FF">
              <w:rPr>
                <w:rFonts w:ascii="Calibri" w:hAnsi="宋体"/>
                <w:color w:val="auto"/>
                <w:szCs w:val="21"/>
              </w:rPr>
              <w:t>验收指标</w:t>
            </w:r>
          </w:p>
        </w:tc>
        <w:tc>
          <w:tcPr>
            <w:tcW w:w="371" w:type="pct"/>
            <w:tcBorders>
              <w:bottom w:val="single" w:sz="4" w:space="0" w:color="auto"/>
            </w:tcBorders>
            <w:tcMar>
              <w:top w:w="28" w:type="dxa"/>
              <w:left w:w="28" w:type="dxa"/>
              <w:bottom w:w="28" w:type="dxa"/>
              <w:right w:w="28" w:type="dxa"/>
            </w:tcMar>
            <w:vAlign w:val="center"/>
          </w:tcPr>
          <w:p w14:paraId="1BECB651" w14:textId="77777777" w:rsidR="009D401B" w:rsidRPr="00A964FF" w:rsidRDefault="009D401B" w:rsidP="00B75C97">
            <w:pPr>
              <w:jc w:val="center"/>
              <w:rPr>
                <w:rFonts w:ascii="Calibri" w:hAnsi="宋体"/>
                <w:color w:val="auto"/>
                <w:szCs w:val="21"/>
              </w:rPr>
            </w:pPr>
            <w:r w:rsidRPr="00A964FF">
              <w:rPr>
                <w:rFonts w:ascii="Calibri" w:hAnsi="宋体"/>
                <w:color w:val="auto"/>
                <w:szCs w:val="21"/>
              </w:rPr>
              <w:t>投资</w:t>
            </w:r>
          </w:p>
        </w:tc>
      </w:tr>
      <w:tr w:rsidR="002E118B" w:rsidRPr="00A964FF" w14:paraId="4BCED1C4" w14:textId="77777777" w:rsidTr="007E3F9E">
        <w:trPr>
          <w:trHeight w:val="1711"/>
          <w:jc w:val="center"/>
        </w:trPr>
        <w:tc>
          <w:tcPr>
            <w:tcW w:w="294" w:type="pct"/>
            <w:vMerge w:val="restart"/>
            <w:tcMar>
              <w:top w:w="28" w:type="dxa"/>
              <w:left w:w="28" w:type="dxa"/>
              <w:bottom w:w="28" w:type="dxa"/>
              <w:right w:w="28" w:type="dxa"/>
            </w:tcMar>
            <w:vAlign w:val="center"/>
          </w:tcPr>
          <w:p w14:paraId="202BA5D0" w14:textId="77777777" w:rsidR="002E118B" w:rsidRPr="00A964FF" w:rsidRDefault="002E118B" w:rsidP="009D401B">
            <w:pPr>
              <w:jc w:val="center"/>
              <w:rPr>
                <w:rFonts w:ascii="Calibri" w:hAnsi="Calibri"/>
                <w:color w:val="auto"/>
                <w:szCs w:val="21"/>
              </w:rPr>
            </w:pPr>
            <w:r w:rsidRPr="00A964FF">
              <w:rPr>
                <w:rFonts w:ascii="Calibri" w:hAnsi="Calibri"/>
                <w:color w:val="auto"/>
                <w:szCs w:val="21"/>
              </w:rPr>
              <w:t>废</w:t>
            </w:r>
          </w:p>
          <w:p w14:paraId="4584CE8A" w14:textId="77777777" w:rsidR="002E118B" w:rsidRPr="00A964FF" w:rsidRDefault="002E118B" w:rsidP="009D401B">
            <w:pPr>
              <w:jc w:val="center"/>
              <w:rPr>
                <w:rFonts w:ascii="Calibri" w:hAnsi="Calibri"/>
                <w:color w:val="auto"/>
                <w:szCs w:val="21"/>
              </w:rPr>
            </w:pPr>
            <w:r w:rsidRPr="00A964FF">
              <w:rPr>
                <w:rFonts w:ascii="Calibri" w:hAnsi="Calibri"/>
                <w:color w:val="auto"/>
                <w:szCs w:val="21"/>
              </w:rPr>
              <w:t>气</w:t>
            </w:r>
          </w:p>
        </w:tc>
        <w:tc>
          <w:tcPr>
            <w:tcW w:w="771" w:type="pct"/>
            <w:tcMar>
              <w:top w:w="28" w:type="dxa"/>
              <w:left w:w="28" w:type="dxa"/>
              <w:bottom w:w="28" w:type="dxa"/>
              <w:right w:w="28" w:type="dxa"/>
            </w:tcMar>
            <w:vAlign w:val="center"/>
          </w:tcPr>
          <w:p w14:paraId="12F463E5" w14:textId="77777777" w:rsidR="002E118B" w:rsidRPr="002A3A75" w:rsidRDefault="00A06A90" w:rsidP="009E196D">
            <w:pPr>
              <w:pStyle w:val="00"/>
              <w:spacing w:line="240" w:lineRule="auto"/>
              <w:ind w:firstLine="0"/>
              <w:jc w:val="center"/>
              <w:rPr>
                <w:rFonts w:ascii="黑体" w:eastAsia="黑体" w:hAnsi="黑体"/>
                <w:b/>
                <w:color w:val="auto"/>
                <w:sz w:val="21"/>
                <w:szCs w:val="21"/>
                <w:u w:val="single"/>
              </w:rPr>
            </w:pPr>
            <w:r w:rsidRPr="002A3A75">
              <w:rPr>
                <w:rFonts w:ascii="Calibri" w:hAnsi="Calibri" w:hint="eastAsia"/>
                <w:b/>
                <w:color w:val="auto"/>
                <w:sz w:val="21"/>
                <w:szCs w:val="21"/>
                <w:u w:val="single"/>
              </w:rPr>
              <w:t>聚合及聚合釜下料废气</w:t>
            </w:r>
          </w:p>
        </w:tc>
        <w:tc>
          <w:tcPr>
            <w:tcW w:w="1452" w:type="pct"/>
            <w:tcMar>
              <w:top w:w="28" w:type="dxa"/>
              <w:left w:w="28" w:type="dxa"/>
              <w:bottom w:w="28" w:type="dxa"/>
              <w:right w:w="28" w:type="dxa"/>
            </w:tcMar>
            <w:vAlign w:val="center"/>
          </w:tcPr>
          <w:p w14:paraId="44A900EA" w14:textId="318DAFEA" w:rsidR="002E118B" w:rsidRPr="002A3A75" w:rsidRDefault="00D213C2" w:rsidP="008C153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水喷淋</w:t>
            </w:r>
            <w:r w:rsidRPr="002A3A75">
              <w:rPr>
                <w:rFonts w:ascii="Calibri" w:hAnsi="Calibri"/>
                <w:b/>
                <w:color w:val="auto"/>
                <w:sz w:val="21"/>
                <w:szCs w:val="21"/>
                <w:u w:val="single"/>
              </w:rPr>
              <w:t>塔</w:t>
            </w:r>
            <w:r w:rsidRPr="002A3A75">
              <w:rPr>
                <w:rFonts w:ascii="Calibri" w:hAnsi="Calibri" w:hint="eastAsia"/>
                <w:b/>
                <w:color w:val="auto"/>
                <w:sz w:val="21"/>
                <w:szCs w:val="21"/>
                <w:u w:val="single"/>
              </w:rPr>
              <w:t>+</w:t>
            </w:r>
            <w:r w:rsidRPr="002A3A75">
              <w:rPr>
                <w:rFonts w:ascii="Calibri" w:hAnsi="Calibri" w:hint="eastAsia"/>
                <w:b/>
                <w:color w:val="auto"/>
                <w:sz w:val="21"/>
                <w:szCs w:val="21"/>
                <w:u w:val="single"/>
              </w:rPr>
              <w:t>活性炭</w:t>
            </w:r>
            <w:r w:rsidRPr="002A3A75">
              <w:rPr>
                <w:rFonts w:ascii="Calibri" w:hAnsi="Calibri"/>
                <w:b/>
                <w:color w:val="auto"/>
                <w:sz w:val="21"/>
                <w:szCs w:val="21"/>
                <w:u w:val="single"/>
              </w:rPr>
              <w:t>吸附装置</w:t>
            </w:r>
            <w:r w:rsidRPr="002A3A75">
              <w:rPr>
                <w:rFonts w:ascii="Calibri" w:hAnsi="Calibri" w:hint="eastAsia"/>
                <w:b/>
                <w:color w:val="auto"/>
                <w:sz w:val="21"/>
                <w:szCs w:val="21"/>
                <w:u w:val="single"/>
              </w:rPr>
              <w:t>+25</w:t>
            </w:r>
            <w:r w:rsidRPr="002A3A75">
              <w:rPr>
                <w:rFonts w:ascii="Calibri" w:hAnsi="Calibri"/>
                <w:b/>
                <w:color w:val="auto"/>
                <w:sz w:val="21"/>
                <w:szCs w:val="21"/>
                <w:u w:val="single"/>
              </w:rPr>
              <w:t>m</w:t>
            </w:r>
            <w:r w:rsidRPr="002A3A75">
              <w:rPr>
                <w:rFonts w:ascii="Calibri" w:hAnsi="Calibri"/>
                <w:b/>
                <w:color w:val="auto"/>
                <w:sz w:val="21"/>
                <w:szCs w:val="21"/>
                <w:u w:val="single"/>
              </w:rPr>
              <w:t>排</w:t>
            </w:r>
            <w:r w:rsidRPr="002A3A75">
              <w:rPr>
                <w:rFonts w:ascii="Calibri" w:hAnsi="Calibri" w:hint="eastAsia"/>
                <w:b/>
                <w:color w:val="auto"/>
                <w:sz w:val="21"/>
                <w:szCs w:val="21"/>
                <w:u w:val="single"/>
              </w:rPr>
              <w:t>气筒</w:t>
            </w:r>
          </w:p>
        </w:tc>
        <w:tc>
          <w:tcPr>
            <w:tcW w:w="323" w:type="pct"/>
            <w:tcMar>
              <w:top w:w="28" w:type="dxa"/>
              <w:left w:w="28" w:type="dxa"/>
              <w:bottom w:w="28" w:type="dxa"/>
              <w:right w:w="28" w:type="dxa"/>
            </w:tcMar>
            <w:vAlign w:val="center"/>
          </w:tcPr>
          <w:p w14:paraId="2294D7BE" w14:textId="77777777" w:rsidR="002E118B" w:rsidRPr="002A3A75" w:rsidRDefault="002E118B" w:rsidP="00B75C97">
            <w:pPr>
              <w:pStyle w:val="00"/>
              <w:spacing w:line="240" w:lineRule="auto"/>
              <w:ind w:firstLine="0"/>
              <w:jc w:val="center"/>
              <w:rPr>
                <w:rFonts w:ascii="Calibri" w:hAnsi="Calibri"/>
                <w:b/>
                <w:bCs/>
                <w:color w:val="auto"/>
                <w:sz w:val="21"/>
                <w:szCs w:val="21"/>
                <w:u w:val="single"/>
              </w:rPr>
            </w:pPr>
            <w:r w:rsidRPr="002A3A75">
              <w:rPr>
                <w:rFonts w:ascii="Calibri" w:hAnsi="Calibri" w:hint="eastAsia"/>
                <w:b/>
                <w:bCs/>
                <w:color w:val="auto"/>
                <w:sz w:val="21"/>
                <w:szCs w:val="21"/>
                <w:u w:val="single"/>
              </w:rPr>
              <w:t>1</w:t>
            </w:r>
            <w:r w:rsidRPr="002A3A75">
              <w:rPr>
                <w:rFonts w:ascii="Calibri" w:hAnsi="Calibri" w:hint="eastAsia"/>
                <w:b/>
                <w:bCs/>
                <w:color w:val="auto"/>
                <w:sz w:val="21"/>
                <w:szCs w:val="21"/>
                <w:u w:val="single"/>
              </w:rPr>
              <w:t>套</w:t>
            </w:r>
          </w:p>
        </w:tc>
        <w:tc>
          <w:tcPr>
            <w:tcW w:w="1789" w:type="pct"/>
            <w:tcMar>
              <w:top w:w="28" w:type="dxa"/>
              <w:left w:w="28" w:type="dxa"/>
              <w:bottom w:w="28" w:type="dxa"/>
              <w:right w:w="28" w:type="dxa"/>
            </w:tcMar>
            <w:vAlign w:val="center"/>
          </w:tcPr>
          <w:p w14:paraId="4325597B" w14:textId="77777777" w:rsidR="00D213C2" w:rsidRPr="002A3A75" w:rsidRDefault="00D213C2" w:rsidP="00D213C2">
            <w:pPr>
              <w:pStyle w:val="00"/>
              <w:ind w:firstLine="0"/>
              <w:rPr>
                <w:rFonts w:ascii="Calibri" w:hAnsi="Calibri"/>
                <w:b/>
                <w:bCs/>
                <w:color w:val="auto"/>
                <w:sz w:val="21"/>
                <w:szCs w:val="21"/>
                <w:u w:val="single"/>
              </w:rPr>
            </w:pPr>
            <w:r w:rsidRPr="002A3A75">
              <w:rPr>
                <w:rFonts w:ascii="Calibri" w:hAnsi="Calibri" w:hint="eastAsia"/>
                <w:b/>
                <w:bCs/>
                <w:color w:val="auto"/>
                <w:sz w:val="21"/>
                <w:szCs w:val="21"/>
                <w:u w:val="single"/>
              </w:rPr>
              <w:t>《合成树脂工业污染物排放标准》</w:t>
            </w:r>
          </w:p>
          <w:p w14:paraId="0AE6AC23" w14:textId="77777777" w:rsidR="002E118B" w:rsidRPr="002A3A75" w:rsidRDefault="00D213C2" w:rsidP="00D213C2">
            <w:pPr>
              <w:pStyle w:val="00"/>
              <w:spacing w:line="240" w:lineRule="auto"/>
              <w:ind w:firstLine="0"/>
              <w:rPr>
                <w:rFonts w:ascii="Calibri" w:hAnsi="Calibri"/>
                <w:b/>
                <w:bCs/>
                <w:color w:val="auto"/>
                <w:sz w:val="21"/>
                <w:szCs w:val="21"/>
                <w:u w:val="single"/>
              </w:rPr>
            </w:pPr>
            <w:r w:rsidRPr="002A3A75">
              <w:rPr>
                <w:rFonts w:ascii="Calibri" w:hAnsi="Calibri" w:hint="eastAsia"/>
                <w:b/>
                <w:bCs/>
                <w:color w:val="auto"/>
                <w:sz w:val="21"/>
                <w:szCs w:val="21"/>
                <w:u w:val="single"/>
              </w:rPr>
              <w:t>（</w:t>
            </w:r>
            <w:r w:rsidRPr="002A3A75">
              <w:rPr>
                <w:rFonts w:ascii="Calibri" w:hAnsi="Calibri" w:hint="eastAsia"/>
                <w:b/>
                <w:bCs/>
                <w:color w:val="auto"/>
                <w:sz w:val="21"/>
                <w:szCs w:val="21"/>
                <w:u w:val="single"/>
              </w:rPr>
              <w:t>GB31572-2015</w:t>
            </w:r>
            <w:r w:rsidRPr="002A3A75">
              <w:rPr>
                <w:rFonts w:ascii="Calibri" w:hAnsi="Calibri" w:hint="eastAsia"/>
                <w:b/>
                <w:bCs/>
                <w:color w:val="auto"/>
                <w:sz w:val="21"/>
                <w:szCs w:val="21"/>
                <w:u w:val="single"/>
              </w:rPr>
              <w:t>）表</w:t>
            </w:r>
            <w:r w:rsidRPr="002A3A75">
              <w:rPr>
                <w:rFonts w:ascii="Calibri" w:hAnsi="Calibri" w:hint="eastAsia"/>
                <w:b/>
                <w:bCs/>
                <w:color w:val="auto"/>
                <w:sz w:val="21"/>
                <w:szCs w:val="21"/>
                <w:u w:val="single"/>
              </w:rPr>
              <w:t>4</w:t>
            </w:r>
            <w:r w:rsidRPr="002A3A75">
              <w:rPr>
                <w:rFonts w:ascii="Calibri" w:hAnsi="Calibri" w:hint="eastAsia"/>
                <w:b/>
                <w:bCs/>
                <w:color w:val="auto"/>
                <w:sz w:val="21"/>
                <w:szCs w:val="21"/>
                <w:u w:val="single"/>
              </w:rPr>
              <w:t>、表</w:t>
            </w:r>
            <w:r w:rsidRPr="002A3A75">
              <w:rPr>
                <w:rFonts w:ascii="Calibri" w:hAnsi="Calibri" w:hint="eastAsia"/>
                <w:b/>
                <w:bCs/>
                <w:color w:val="auto"/>
                <w:sz w:val="21"/>
                <w:szCs w:val="21"/>
                <w:u w:val="single"/>
              </w:rPr>
              <w:t>9</w:t>
            </w:r>
            <w:r w:rsidRPr="002A3A75">
              <w:rPr>
                <w:rFonts w:ascii="Calibri" w:hAnsi="Calibri" w:hint="eastAsia"/>
                <w:b/>
                <w:bCs/>
                <w:color w:val="auto"/>
                <w:sz w:val="21"/>
                <w:szCs w:val="21"/>
                <w:u w:val="single"/>
              </w:rPr>
              <w:t>中标准及《关于全省开展工业企业挥发性有机物专项治理工作中排放建议值的通知》（豫环攻坚办【</w:t>
            </w:r>
            <w:r w:rsidRPr="002A3A75">
              <w:rPr>
                <w:rFonts w:ascii="Calibri" w:hAnsi="Calibri" w:hint="eastAsia"/>
                <w:b/>
                <w:bCs/>
                <w:color w:val="auto"/>
                <w:sz w:val="21"/>
                <w:szCs w:val="21"/>
                <w:u w:val="single"/>
              </w:rPr>
              <w:t>2017</w:t>
            </w:r>
            <w:r w:rsidRPr="002A3A75">
              <w:rPr>
                <w:rFonts w:ascii="Calibri" w:hAnsi="Calibri" w:hint="eastAsia"/>
                <w:b/>
                <w:bCs/>
                <w:color w:val="auto"/>
                <w:sz w:val="21"/>
                <w:szCs w:val="21"/>
                <w:u w:val="single"/>
              </w:rPr>
              <w:t>】</w:t>
            </w:r>
            <w:r w:rsidRPr="002A3A75">
              <w:rPr>
                <w:rFonts w:ascii="Calibri" w:hAnsi="Calibri" w:hint="eastAsia"/>
                <w:b/>
                <w:bCs/>
                <w:color w:val="auto"/>
                <w:sz w:val="21"/>
                <w:szCs w:val="21"/>
                <w:u w:val="single"/>
              </w:rPr>
              <w:t>162</w:t>
            </w:r>
            <w:r w:rsidRPr="002A3A75">
              <w:rPr>
                <w:rFonts w:ascii="Calibri" w:hAnsi="Calibri" w:hint="eastAsia"/>
                <w:b/>
                <w:bCs/>
                <w:color w:val="auto"/>
                <w:sz w:val="21"/>
                <w:szCs w:val="21"/>
                <w:u w:val="single"/>
              </w:rPr>
              <w:t>号）</w:t>
            </w:r>
          </w:p>
        </w:tc>
        <w:tc>
          <w:tcPr>
            <w:tcW w:w="371" w:type="pct"/>
            <w:tcMar>
              <w:top w:w="28" w:type="dxa"/>
              <w:left w:w="28" w:type="dxa"/>
              <w:bottom w:w="28" w:type="dxa"/>
              <w:right w:w="28" w:type="dxa"/>
            </w:tcMar>
            <w:vAlign w:val="center"/>
          </w:tcPr>
          <w:p w14:paraId="4E667622" w14:textId="77777777" w:rsidR="002E118B" w:rsidRPr="002E118B" w:rsidRDefault="007E3F9E" w:rsidP="00B75C97">
            <w:pPr>
              <w:pStyle w:val="00"/>
              <w:spacing w:line="240" w:lineRule="auto"/>
              <w:ind w:firstLine="0"/>
              <w:jc w:val="center"/>
              <w:rPr>
                <w:rFonts w:asciiTheme="minorHAnsi" w:eastAsia="黑体" w:hAnsiTheme="minorHAnsi" w:cstheme="minorHAnsi"/>
                <w:color w:val="auto"/>
                <w:sz w:val="21"/>
                <w:szCs w:val="21"/>
              </w:rPr>
            </w:pPr>
            <w:r>
              <w:rPr>
                <w:rFonts w:asciiTheme="minorHAnsi" w:eastAsia="黑体" w:hAnsiTheme="minorHAnsi" w:cstheme="minorHAnsi"/>
                <w:color w:val="auto"/>
                <w:sz w:val="21"/>
                <w:szCs w:val="21"/>
              </w:rPr>
              <w:t>60</w:t>
            </w:r>
          </w:p>
        </w:tc>
      </w:tr>
      <w:tr w:rsidR="00D213C2" w:rsidRPr="00A964FF" w14:paraId="7DF26FAE" w14:textId="77777777" w:rsidTr="00D213C2">
        <w:trPr>
          <w:jc w:val="center"/>
        </w:trPr>
        <w:tc>
          <w:tcPr>
            <w:tcW w:w="294" w:type="pct"/>
            <w:vMerge/>
            <w:tcMar>
              <w:top w:w="28" w:type="dxa"/>
              <w:left w:w="28" w:type="dxa"/>
              <w:bottom w:w="28" w:type="dxa"/>
              <w:right w:w="28" w:type="dxa"/>
            </w:tcMar>
            <w:vAlign w:val="center"/>
          </w:tcPr>
          <w:p w14:paraId="585216C1" w14:textId="77777777" w:rsidR="00D213C2" w:rsidRPr="00A964FF" w:rsidRDefault="00D213C2" w:rsidP="009D401B">
            <w:pPr>
              <w:jc w:val="center"/>
              <w:rPr>
                <w:rFonts w:ascii="Calibri" w:hAnsi="Calibri"/>
                <w:color w:val="auto"/>
                <w:szCs w:val="21"/>
              </w:rPr>
            </w:pPr>
          </w:p>
        </w:tc>
        <w:tc>
          <w:tcPr>
            <w:tcW w:w="771" w:type="pct"/>
            <w:tcMar>
              <w:top w:w="28" w:type="dxa"/>
              <w:left w:w="28" w:type="dxa"/>
              <w:bottom w:w="28" w:type="dxa"/>
              <w:right w:w="28" w:type="dxa"/>
            </w:tcMar>
            <w:vAlign w:val="center"/>
          </w:tcPr>
          <w:p w14:paraId="603FE00C" w14:textId="77777777" w:rsidR="00D213C2" w:rsidRPr="00A964FF" w:rsidRDefault="00D213C2" w:rsidP="00D213C2">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废水处理站</w:t>
            </w:r>
          </w:p>
        </w:tc>
        <w:tc>
          <w:tcPr>
            <w:tcW w:w="1452" w:type="pct"/>
            <w:tcMar>
              <w:top w:w="28" w:type="dxa"/>
              <w:left w:w="28" w:type="dxa"/>
              <w:bottom w:w="28" w:type="dxa"/>
              <w:right w:w="28" w:type="dxa"/>
            </w:tcMar>
            <w:vAlign w:val="center"/>
          </w:tcPr>
          <w:p w14:paraId="0D8328D2" w14:textId="77777777" w:rsidR="00D213C2" w:rsidRPr="00A964FF" w:rsidRDefault="00D213C2" w:rsidP="009E196D">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光氧催化</w:t>
            </w:r>
            <w:r w:rsidRPr="00A964FF">
              <w:rPr>
                <w:rFonts w:ascii="Calibri" w:hAnsi="Calibri" w:hint="eastAsia"/>
                <w:color w:val="auto"/>
                <w:sz w:val="21"/>
                <w:szCs w:val="21"/>
              </w:rPr>
              <w:t>+</w:t>
            </w:r>
            <w:r w:rsidRPr="00A964FF">
              <w:rPr>
                <w:rFonts w:ascii="Calibri" w:hAnsi="Calibri" w:hint="eastAsia"/>
                <w:color w:val="auto"/>
                <w:sz w:val="21"/>
                <w:szCs w:val="21"/>
              </w:rPr>
              <w:t>活性炭吸附装置</w:t>
            </w:r>
            <w:r w:rsidRPr="00A964FF">
              <w:rPr>
                <w:rFonts w:ascii="Calibri" w:hAnsi="Calibri" w:hint="eastAsia"/>
                <w:color w:val="auto"/>
                <w:sz w:val="21"/>
                <w:szCs w:val="21"/>
              </w:rPr>
              <w:t>+15m</w:t>
            </w:r>
            <w:r w:rsidRPr="00A964FF">
              <w:rPr>
                <w:rFonts w:ascii="Calibri" w:hAnsi="Calibri" w:hint="eastAsia"/>
                <w:color w:val="auto"/>
                <w:sz w:val="21"/>
                <w:szCs w:val="21"/>
              </w:rPr>
              <w:t>排气筒</w:t>
            </w:r>
          </w:p>
        </w:tc>
        <w:tc>
          <w:tcPr>
            <w:tcW w:w="323" w:type="pct"/>
            <w:tcMar>
              <w:top w:w="28" w:type="dxa"/>
              <w:left w:w="28" w:type="dxa"/>
              <w:bottom w:w="28" w:type="dxa"/>
              <w:right w:w="28" w:type="dxa"/>
            </w:tcMar>
            <w:vAlign w:val="center"/>
          </w:tcPr>
          <w:p w14:paraId="7BC1A873" w14:textId="77777777" w:rsidR="00D213C2" w:rsidRPr="00A964FF" w:rsidRDefault="00D213C2" w:rsidP="009D401B">
            <w:pPr>
              <w:jc w:val="center"/>
              <w:rPr>
                <w:rFonts w:ascii="Calibri"/>
                <w:color w:val="auto"/>
                <w:szCs w:val="21"/>
              </w:rPr>
            </w:pPr>
            <w:r w:rsidRPr="00A964FF">
              <w:rPr>
                <w:rFonts w:ascii="Calibri" w:hint="eastAsia"/>
                <w:color w:val="auto"/>
                <w:szCs w:val="21"/>
              </w:rPr>
              <w:t>1</w:t>
            </w:r>
            <w:r w:rsidRPr="00A964FF">
              <w:rPr>
                <w:rFonts w:ascii="Calibri" w:hint="eastAsia"/>
                <w:color w:val="auto"/>
                <w:szCs w:val="21"/>
              </w:rPr>
              <w:t>套</w:t>
            </w:r>
          </w:p>
        </w:tc>
        <w:tc>
          <w:tcPr>
            <w:tcW w:w="1789" w:type="pct"/>
            <w:tcMar>
              <w:top w:w="28" w:type="dxa"/>
              <w:left w:w="28" w:type="dxa"/>
              <w:bottom w:w="28" w:type="dxa"/>
              <w:right w:w="28" w:type="dxa"/>
            </w:tcMar>
            <w:vAlign w:val="center"/>
          </w:tcPr>
          <w:p w14:paraId="4F682B67" w14:textId="77777777" w:rsidR="00D213C2" w:rsidRPr="00A964FF" w:rsidRDefault="00D213C2" w:rsidP="00304EF6">
            <w:pPr>
              <w:jc w:val="center"/>
              <w:rPr>
                <w:rFonts w:ascii="Calibri"/>
                <w:color w:val="auto"/>
                <w:szCs w:val="21"/>
              </w:rPr>
            </w:pPr>
            <w:r w:rsidRPr="00D213C2">
              <w:rPr>
                <w:rFonts w:ascii="Calibri" w:hint="eastAsia"/>
                <w:color w:val="auto"/>
                <w:szCs w:val="21"/>
              </w:rPr>
              <w:t>《恶臭污染物排放标准》（</w:t>
            </w:r>
            <w:r w:rsidRPr="00D213C2">
              <w:rPr>
                <w:rFonts w:ascii="Calibri" w:hint="eastAsia"/>
                <w:color w:val="auto"/>
                <w:szCs w:val="21"/>
              </w:rPr>
              <w:t>GB14554-93</w:t>
            </w:r>
            <w:r w:rsidRPr="00D213C2">
              <w:rPr>
                <w:rFonts w:ascii="Calibri" w:hint="eastAsia"/>
                <w:color w:val="auto"/>
                <w:szCs w:val="21"/>
              </w:rPr>
              <w:t>）中二级标准</w:t>
            </w:r>
          </w:p>
        </w:tc>
        <w:tc>
          <w:tcPr>
            <w:tcW w:w="371" w:type="pct"/>
            <w:tcMar>
              <w:top w:w="28" w:type="dxa"/>
              <w:left w:w="28" w:type="dxa"/>
              <w:bottom w:w="28" w:type="dxa"/>
              <w:right w:w="28" w:type="dxa"/>
            </w:tcMar>
            <w:vAlign w:val="center"/>
          </w:tcPr>
          <w:p w14:paraId="6A55F059" w14:textId="77777777" w:rsidR="00D213C2" w:rsidRPr="00A964FF" w:rsidRDefault="00FB4005" w:rsidP="009E196D">
            <w:pPr>
              <w:pStyle w:val="00"/>
              <w:spacing w:line="240" w:lineRule="auto"/>
              <w:ind w:firstLine="0"/>
              <w:jc w:val="center"/>
              <w:rPr>
                <w:rFonts w:ascii="Calibri" w:hAnsi="Calibri"/>
                <w:color w:val="auto"/>
                <w:sz w:val="21"/>
                <w:szCs w:val="21"/>
              </w:rPr>
            </w:pPr>
            <w:r>
              <w:rPr>
                <w:rFonts w:ascii="Calibri" w:hAnsi="Calibri"/>
                <w:color w:val="auto"/>
                <w:sz w:val="21"/>
                <w:szCs w:val="21"/>
              </w:rPr>
              <w:t>25</w:t>
            </w:r>
          </w:p>
        </w:tc>
      </w:tr>
      <w:tr w:rsidR="00D213C2" w:rsidRPr="00A964FF" w14:paraId="16987AC0" w14:textId="77777777" w:rsidTr="00ED3143">
        <w:trPr>
          <w:trHeight w:val="590"/>
          <w:jc w:val="center"/>
        </w:trPr>
        <w:tc>
          <w:tcPr>
            <w:tcW w:w="294" w:type="pct"/>
            <w:vMerge/>
            <w:tcMar>
              <w:top w:w="28" w:type="dxa"/>
              <w:left w:w="28" w:type="dxa"/>
              <w:bottom w:w="28" w:type="dxa"/>
              <w:right w:w="28" w:type="dxa"/>
            </w:tcMar>
            <w:vAlign w:val="center"/>
          </w:tcPr>
          <w:p w14:paraId="58B34EE2" w14:textId="77777777" w:rsidR="00D213C2" w:rsidRPr="00A964FF" w:rsidRDefault="00D213C2" w:rsidP="009D401B">
            <w:pPr>
              <w:jc w:val="center"/>
              <w:rPr>
                <w:rFonts w:ascii="Calibri" w:hAnsi="Calibri"/>
                <w:color w:val="auto"/>
                <w:szCs w:val="21"/>
              </w:rPr>
            </w:pPr>
          </w:p>
        </w:tc>
        <w:tc>
          <w:tcPr>
            <w:tcW w:w="771" w:type="pct"/>
            <w:tcMar>
              <w:top w:w="28" w:type="dxa"/>
              <w:left w:w="28" w:type="dxa"/>
              <w:bottom w:w="28" w:type="dxa"/>
              <w:right w:w="28" w:type="dxa"/>
            </w:tcMar>
            <w:vAlign w:val="center"/>
          </w:tcPr>
          <w:p w14:paraId="71E62ADC" w14:textId="77777777" w:rsidR="00D213C2" w:rsidRPr="00A964FF" w:rsidRDefault="00D213C2" w:rsidP="00D213C2">
            <w:pPr>
              <w:pStyle w:val="00"/>
              <w:spacing w:line="240" w:lineRule="auto"/>
              <w:ind w:firstLine="0"/>
              <w:jc w:val="center"/>
              <w:rPr>
                <w:rFonts w:ascii="Calibri" w:hAnsi="Calibri"/>
                <w:color w:val="auto"/>
                <w:sz w:val="21"/>
                <w:szCs w:val="21"/>
              </w:rPr>
            </w:pPr>
            <w:r w:rsidRPr="00D213C2">
              <w:rPr>
                <w:rFonts w:ascii="Calibri" w:hAnsi="Calibri" w:hint="eastAsia"/>
                <w:color w:val="auto"/>
                <w:sz w:val="21"/>
                <w:szCs w:val="21"/>
              </w:rPr>
              <w:t>导热油炉废气</w:t>
            </w:r>
          </w:p>
        </w:tc>
        <w:tc>
          <w:tcPr>
            <w:tcW w:w="1452" w:type="pct"/>
            <w:tcMar>
              <w:top w:w="28" w:type="dxa"/>
              <w:left w:w="28" w:type="dxa"/>
              <w:bottom w:w="28" w:type="dxa"/>
              <w:right w:w="28" w:type="dxa"/>
            </w:tcMar>
            <w:vAlign w:val="center"/>
          </w:tcPr>
          <w:p w14:paraId="2607364E" w14:textId="77777777" w:rsidR="00D213C2" w:rsidRPr="00A964FF" w:rsidRDefault="00D213C2" w:rsidP="009E196D">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低氮</w:t>
            </w:r>
            <w:r>
              <w:rPr>
                <w:rFonts w:ascii="Calibri" w:hAnsi="Calibri"/>
                <w:color w:val="auto"/>
                <w:sz w:val="21"/>
                <w:szCs w:val="21"/>
              </w:rPr>
              <w:t>燃烧装置</w:t>
            </w:r>
          </w:p>
        </w:tc>
        <w:tc>
          <w:tcPr>
            <w:tcW w:w="323" w:type="pct"/>
            <w:tcMar>
              <w:top w:w="28" w:type="dxa"/>
              <w:left w:w="28" w:type="dxa"/>
              <w:bottom w:w="28" w:type="dxa"/>
              <w:right w:w="28" w:type="dxa"/>
            </w:tcMar>
            <w:vAlign w:val="center"/>
          </w:tcPr>
          <w:p w14:paraId="7DBB15E4" w14:textId="77777777" w:rsidR="00D213C2" w:rsidRPr="00A964FF" w:rsidRDefault="00D213C2" w:rsidP="009D401B">
            <w:pPr>
              <w:jc w:val="center"/>
              <w:rPr>
                <w:rFonts w:ascii="Calibri"/>
                <w:color w:val="auto"/>
                <w:szCs w:val="21"/>
              </w:rPr>
            </w:pPr>
            <w:r w:rsidRPr="00D213C2">
              <w:rPr>
                <w:rFonts w:ascii="Calibri" w:hint="eastAsia"/>
                <w:color w:val="auto"/>
                <w:szCs w:val="21"/>
              </w:rPr>
              <w:t>1</w:t>
            </w:r>
            <w:r w:rsidRPr="00D213C2">
              <w:rPr>
                <w:rFonts w:ascii="Calibri" w:hint="eastAsia"/>
                <w:color w:val="auto"/>
                <w:szCs w:val="21"/>
              </w:rPr>
              <w:t>套</w:t>
            </w:r>
          </w:p>
        </w:tc>
        <w:tc>
          <w:tcPr>
            <w:tcW w:w="1789" w:type="pct"/>
            <w:tcMar>
              <w:top w:w="28" w:type="dxa"/>
              <w:left w:w="28" w:type="dxa"/>
              <w:bottom w:w="28" w:type="dxa"/>
              <w:right w:w="28" w:type="dxa"/>
            </w:tcMar>
            <w:vAlign w:val="center"/>
          </w:tcPr>
          <w:p w14:paraId="0D43B794" w14:textId="77777777" w:rsidR="00D213C2" w:rsidRPr="00A964FF" w:rsidRDefault="00D213C2" w:rsidP="00304EF6">
            <w:pPr>
              <w:jc w:val="center"/>
              <w:rPr>
                <w:rFonts w:ascii="Calibri"/>
                <w:color w:val="auto"/>
                <w:szCs w:val="21"/>
              </w:rPr>
            </w:pPr>
            <w:r w:rsidRPr="00D213C2">
              <w:rPr>
                <w:rFonts w:ascii="Calibri" w:hint="eastAsia"/>
                <w:color w:val="auto"/>
                <w:szCs w:val="21"/>
              </w:rPr>
              <w:t>《锅炉大气污染物排放标准》（</w:t>
            </w:r>
            <w:r w:rsidRPr="00D213C2">
              <w:rPr>
                <w:rFonts w:ascii="Calibri" w:hint="eastAsia"/>
                <w:color w:val="auto"/>
                <w:szCs w:val="21"/>
              </w:rPr>
              <w:t>DB41/2089-2021</w:t>
            </w:r>
            <w:r w:rsidRPr="00D213C2">
              <w:rPr>
                <w:rFonts w:ascii="Calibri" w:hint="eastAsia"/>
                <w:color w:val="auto"/>
                <w:szCs w:val="21"/>
              </w:rPr>
              <w:t>）</w:t>
            </w:r>
          </w:p>
        </w:tc>
        <w:tc>
          <w:tcPr>
            <w:tcW w:w="371" w:type="pct"/>
            <w:tcMar>
              <w:top w:w="28" w:type="dxa"/>
              <w:left w:w="28" w:type="dxa"/>
              <w:bottom w:w="28" w:type="dxa"/>
              <w:right w:w="28" w:type="dxa"/>
            </w:tcMar>
            <w:vAlign w:val="center"/>
          </w:tcPr>
          <w:p w14:paraId="79E66408" w14:textId="479517FE" w:rsidR="00D213C2" w:rsidRPr="00A964FF" w:rsidRDefault="008B10D5" w:rsidP="008B10D5">
            <w:pPr>
              <w:pStyle w:val="00"/>
              <w:spacing w:line="240" w:lineRule="auto"/>
              <w:ind w:firstLine="0"/>
              <w:rPr>
                <w:rFonts w:ascii="Calibri" w:hAnsi="Calibri"/>
                <w:color w:val="auto"/>
                <w:sz w:val="21"/>
                <w:szCs w:val="21"/>
              </w:rPr>
            </w:pPr>
            <w:r>
              <w:rPr>
                <w:rFonts w:ascii="Calibri" w:hAnsi="Calibri"/>
                <w:color w:val="auto"/>
                <w:sz w:val="21"/>
                <w:szCs w:val="21"/>
              </w:rPr>
              <w:t xml:space="preserve"> 50</w:t>
            </w:r>
          </w:p>
        </w:tc>
      </w:tr>
      <w:tr w:rsidR="002E118B" w:rsidRPr="00A964FF" w14:paraId="75C1F1B6" w14:textId="77777777" w:rsidTr="00ED3143">
        <w:trPr>
          <w:trHeight w:val="340"/>
          <w:jc w:val="center"/>
        </w:trPr>
        <w:tc>
          <w:tcPr>
            <w:tcW w:w="294" w:type="pct"/>
            <w:vMerge/>
            <w:tcMar>
              <w:top w:w="28" w:type="dxa"/>
              <w:left w:w="28" w:type="dxa"/>
              <w:bottom w:w="28" w:type="dxa"/>
              <w:right w:w="28" w:type="dxa"/>
            </w:tcMar>
            <w:vAlign w:val="center"/>
          </w:tcPr>
          <w:p w14:paraId="72A9C454" w14:textId="77777777" w:rsidR="002E118B" w:rsidRPr="00A964FF" w:rsidRDefault="002E118B" w:rsidP="009D401B">
            <w:pPr>
              <w:jc w:val="center"/>
              <w:rPr>
                <w:rFonts w:ascii="Calibri" w:hAnsi="Calibri"/>
                <w:color w:val="auto"/>
                <w:szCs w:val="21"/>
              </w:rPr>
            </w:pPr>
          </w:p>
        </w:tc>
        <w:tc>
          <w:tcPr>
            <w:tcW w:w="771" w:type="pct"/>
            <w:tcMar>
              <w:top w:w="28" w:type="dxa"/>
              <w:left w:w="28" w:type="dxa"/>
              <w:bottom w:w="28" w:type="dxa"/>
              <w:right w:w="28" w:type="dxa"/>
            </w:tcMar>
            <w:vAlign w:val="center"/>
          </w:tcPr>
          <w:p w14:paraId="75DDCDA3" w14:textId="77777777" w:rsidR="002E118B" w:rsidRPr="00A964FF" w:rsidRDefault="0092085C" w:rsidP="009E196D">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品控中心</w:t>
            </w:r>
          </w:p>
        </w:tc>
        <w:tc>
          <w:tcPr>
            <w:tcW w:w="1452" w:type="pct"/>
            <w:tcMar>
              <w:top w:w="28" w:type="dxa"/>
              <w:left w:w="28" w:type="dxa"/>
              <w:bottom w:w="28" w:type="dxa"/>
              <w:right w:w="28" w:type="dxa"/>
            </w:tcMar>
            <w:vAlign w:val="center"/>
          </w:tcPr>
          <w:p w14:paraId="5926E19F" w14:textId="77777777" w:rsidR="002E118B" w:rsidRPr="00A964FF" w:rsidRDefault="002E118B" w:rsidP="009E196D">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通风厨收集排至活性炭吸附装置，高空排放</w:t>
            </w:r>
          </w:p>
        </w:tc>
        <w:tc>
          <w:tcPr>
            <w:tcW w:w="323" w:type="pct"/>
            <w:tcMar>
              <w:top w:w="28" w:type="dxa"/>
              <w:left w:w="28" w:type="dxa"/>
              <w:bottom w:w="28" w:type="dxa"/>
              <w:right w:w="28" w:type="dxa"/>
            </w:tcMar>
            <w:vAlign w:val="center"/>
          </w:tcPr>
          <w:p w14:paraId="43AA70E5" w14:textId="77777777" w:rsidR="002E118B" w:rsidRPr="00A964FF" w:rsidRDefault="002E118B" w:rsidP="009D401B">
            <w:pPr>
              <w:jc w:val="center"/>
              <w:rPr>
                <w:rFonts w:ascii="Calibri"/>
                <w:color w:val="auto"/>
                <w:szCs w:val="21"/>
              </w:rPr>
            </w:pPr>
            <w:r w:rsidRPr="00A964FF">
              <w:rPr>
                <w:rFonts w:ascii="Calibri" w:hint="eastAsia"/>
                <w:color w:val="auto"/>
                <w:szCs w:val="21"/>
              </w:rPr>
              <w:t>1</w:t>
            </w:r>
            <w:r w:rsidRPr="00A964FF">
              <w:rPr>
                <w:rFonts w:ascii="Calibri" w:hint="eastAsia"/>
                <w:color w:val="auto"/>
                <w:szCs w:val="21"/>
              </w:rPr>
              <w:t>套</w:t>
            </w:r>
          </w:p>
        </w:tc>
        <w:tc>
          <w:tcPr>
            <w:tcW w:w="1789" w:type="pct"/>
            <w:tcMar>
              <w:top w:w="28" w:type="dxa"/>
              <w:left w:w="28" w:type="dxa"/>
              <w:bottom w:w="28" w:type="dxa"/>
              <w:right w:w="28" w:type="dxa"/>
            </w:tcMar>
            <w:vAlign w:val="center"/>
          </w:tcPr>
          <w:p w14:paraId="7CB9DCC0" w14:textId="77777777" w:rsidR="002E118B" w:rsidRPr="00A964FF" w:rsidRDefault="00D213C2" w:rsidP="00B15B85">
            <w:pPr>
              <w:jc w:val="center"/>
              <w:rPr>
                <w:rFonts w:ascii="Calibri"/>
                <w:color w:val="auto"/>
                <w:szCs w:val="21"/>
              </w:rPr>
            </w:pPr>
            <w:r>
              <w:rPr>
                <w:rFonts w:ascii="Calibri" w:hint="eastAsia"/>
                <w:color w:val="auto"/>
                <w:szCs w:val="21"/>
              </w:rPr>
              <w:t>达标</w:t>
            </w:r>
            <w:r>
              <w:rPr>
                <w:rFonts w:ascii="Calibri"/>
                <w:color w:val="auto"/>
                <w:szCs w:val="21"/>
              </w:rPr>
              <w:t>排放</w:t>
            </w:r>
          </w:p>
        </w:tc>
        <w:tc>
          <w:tcPr>
            <w:tcW w:w="371" w:type="pct"/>
            <w:tcMar>
              <w:top w:w="28" w:type="dxa"/>
              <w:left w:w="28" w:type="dxa"/>
              <w:bottom w:w="28" w:type="dxa"/>
              <w:right w:w="28" w:type="dxa"/>
            </w:tcMar>
            <w:vAlign w:val="center"/>
          </w:tcPr>
          <w:p w14:paraId="0156B09C" w14:textId="77777777" w:rsidR="002E118B" w:rsidRPr="00A964FF" w:rsidRDefault="00FB4005" w:rsidP="009E196D">
            <w:pPr>
              <w:pStyle w:val="00"/>
              <w:spacing w:line="240" w:lineRule="auto"/>
              <w:ind w:firstLine="0"/>
              <w:jc w:val="center"/>
              <w:rPr>
                <w:rFonts w:ascii="Calibri" w:hAnsi="Calibri"/>
                <w:color w:val="auto"/>
                <w:sz w:val="21"/>
                <w:szCs w:val="21"/>
              </w:rPr>
            </w:pPr>
            <w:r>
              <w:rPr>
                <w:rFonts w:ascii="Calibri" w:hAnsi="Calibri"/>
                <w:color w:val="auto"/>
                <w:sz w:val="21"/>
                <w:szCs w:val="21"/>
              </w:rPr>
              <w:t>5</w:t>
            </w:r>
          </w:p>
        </w:tc>
      </w:tr>
      <w:tr w:rsidR="002E118B" w:rsidRPr="00A964FF" w14:paraId="779C12C5" w14:textId="77777777" w:rsidTr="00ED3143">
        <w:trPr>
          <w:trHeight w:val="340"/>
          <w:jc w:val="center"/>
        </w:trPr>
        <w:tc>
          <w:tcPr>
            <w:tcW w:w="294" w:type="pct"/>
            <w:vMerge/>
            <w:tcMar>
              <w:top w:w="28" w:type="dxa"/>
              <w:left w:w="28" w:type="dxa"/>
              <w:bottom w:w="28" w:type="dxa"/>
              <w:right w:w="28" w:type="dxa"/>
            </w:tcMar>
            <w:vAlign w:val="center"/>
          </w:tcPr>
          <w:p w14:paraId="2C62D74B" w14:textId="77777777" w:rsidR="002E118B" w:rsidRPr="00A964FF" w:rsidRDefault="002E118B" w:rsidP="009D401B">
            <w:pPr>
              <w:jc w:val="center"/>
              <w:rPr>
                <w:rFonts w:ascii="Calibri" w:hAnsi="Calibri"/>
                <w:color w:val="auto"/>
                <w:szCs w:val="21"/>
              </w:rPr>
            </w:pPr>
          </w:p>
        </w:tc>
        <w:tc>
          <w:tcPr>
            <w:tcW w:w="771" w:type="pct"/>
            <w:tcMar>
              <w:top w:w="28" w:type="dxa"/>
              <w:left w:w="28" w:type="dxa"/>
              <w:bottom w:w="28" w:type="dxa"/>
              <w:right w:w="28" w:type="dxa"/>
            </w:tcMar>
            <w:vAlign w:val="center"/>
          </w:tcPr>
          <w:p w14:paraId="66EA2725" w14:textId="77777777" w:rsidR="002E118B" w:rsidRDefault="002E118B" w:rsidP="009E196D">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无组织废气</w:t>
            </w:r>
          </w:p>
        </w:tc>
        <w:tc>
          <w:tcPr>
            <w:tcW w:w="1452" w:type="pct"/>
            <w:tcMar>
              <w:top w:w="28" w:type="dxa"/>
              <w:left w:w="28" w:type="dxa"/>
              <w:bottom w:w="28" w:type="dxa"/>
              <w:right w:w="28" w:type="dxa"/>
            </w:tcMar>
            <w:vAlign w:val="center"/>
          </w:tcPr>
          <w:p w14:paraId="3FEC9A8C" w14:textId="77777777" w:rsidR="002E118B" w:rsidRDefault="002E118B" w:rsidP="009E196D">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生产装置密闭，选用密闭管道输送物料，开展泄漏检测与修复（</w:t>
            </w:r>
            <w:r>
              <w:rPr>
                <w:rFonts w:ascii="Calibri" w:hAnsi="Calibri" w:hint="eastAsia"/>
                <w:color w:val="auto"/>
                <w:sz w:val="21"/>
                <w:szCs w:val="21"/>
              </w:rPr>
              <w:t>LDAR</w:t>
            </w:r>
            <w:r>
              <w:rPr>
                <w:rFonts w:ascii="Calibri" w:hAnsi="Calibri" w:hint="eastAsia"/>
                <w:color w:val="auto"/>
                <w:sz w:val="21"/>
                <w:szCs w:val="21"/>
              </w:rPr>
              <w:t>）等</w:t>
            </w:r>
          </w:p>
        </w:tc>
        <w:tc>
          <w:tcPr>
            <w:tcW w:w="323" w:type="pct"/>
            <w:tcMar>
              <w:top w:w="28" w:type="dxa"/>
              <w:left w:w="28" w:type="dxa"/>
              <w:bottom w:w="28" w:type="dxa"/>
              <w:right w:w="28" w:type="dxa"/>
            </w:tcMar>
            <w:vAlign w:val="center"/>
          </w:tcPr>
          <w:p w14:paraId="72F1BA1C" w14:textId="77777777" w:rsidR="002E118B" w:rsidRPr="002E118B" w:rsidRDefault="002E118B" w:rsidP="009D401B">
            <w:pPr>
              <w:jc w:val="center"/>
              <w:rPr>
                <w:rFonts w:ascii="Calibri"/>
                <w:color w:val="auto"/>
                <w:szCs w:val="21"/>
              </w:rPr>
            </w:pPr>
            <w:r>
              <w:rPr>
                <w:rFonts w:ascii="Calibri" w:hint="eastAsia"/>
                <w:color w:val="auto"/>
                <w:szCs w:val="21"/>
              </w:rPr>
              <w:t>/</w:t>
            </w:r>
          </w:p>
        </w:tc>
        <w:tc>
          <w:tcPr>
            <w:tcW w:w="1789" w:type="pct"/>
            <w:tcMar>
              <w:top w:w="28" w:type="dxa"/>
              <w:left w:w="28" w:type="dxa"/>
              <w:bottom w:w="28" w:type="dxa"/>
              <w:right w:w="28" w:type="dxa"/>
            </w:tcMar>
            <w:vAlign w:val="center"/>
          </w:tcPr>
          <w:p w14:paraId="3E7DA86D" w14:textId="77777777" w:rsidR="002E118B" w:rsidRPr="00A964FF" w:rsidRDefault="00D213C2" w:rsidP="00B15B85">
            <w:pPr>
              <w:jc w:val="center"/>
              <w:rPr>
                <w:rFonts w:ascii="Calibri"/>
                <w:color w:val="auto"/>
                <w:szCs w:val="21"/>
              </w:rPr>
            </w:pPr>
            <w:r w:rsidRPr="00D213C2">
              <w:rPr>
                <w:rFonts w:ascii="Calibri" w:hint="eastAsia"/>
                <w:color w:val="auto"/>
                <w:szCs w:val="21"/>
              </w:rPr>
              <w:t>《挥发性有机物无组织排放控制标准》（</w:t>
            </w:r>
            <w:r w:rsidRPr="00D213C2">
              <w:rPr>
                <w:rFonts w:ascii="Calibri" w:hint="eastAsia"/>
                <w:color w:val="auto"/>
                <w:szCs w:val="21"/>
              </w:rPr>
              <w:t>GB37822-2019</w:t>
            </w:r>
            <w:r w:rsidRPr="00D213C2">
              <w:rPr>
                <w:rFonts w:ascii="Calibri" w:hint="eastAsia"/>
                <w:color w:val="auto"/>
                <w:szCs w:val="21"/>
              </w:rPr>
              <w:t>）</w:t>
            </w:r>
          </w:p>
        </w:tc>
        <w:tc>
          <w:tcPr>
            <w:tcW w:w="371" w:type="pct"/>
            <w:tcMar>
              <w:top w:w="28" w:type="dxa"/>
              <w:left w:w="28" w:type="dxa"/>
              <w:bottom w:w="28" w:type="dxa"/>
              <w:right w:w="28" w:type="dxa"/>
            </w:tcMar>
            <w:vAlign w:val="center"/>
          </w:tcPr>
          <w:p w14:paraId="75B338EF" w14:textId="77777777" w:rsidR="002E118B" w:rsidRPr="00A964FF" w:rsidRDefault="00FB4005" w:rsidP="009E196D">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w:t>
            </w:r>
          </w:p>
        </w:tc>
      </w:tr>
      <w:tr w:rsidR="00304EF6" w:rsidRPr="00A964FF" w14:paraId="2648D90A" w14:textId="77777777" w:rsidTr="00ED3143">
        <w:trPr>
          <w:trHeight w:val="340"/>
          <w:jc w:val="center"/>
        </w:trPr>
        <w:tc>
          <w:tcPr>
            <w:tcW w:w="294" w:type="pct"/>
            <w:vMerge/>
            <w:tcMar>
              <w:top w:w="28" w:type="dxa"/>
              <w:left w:w="28" w:type="dxa"/>
              <w:bottom w:w="28" w:type="dxa"/>
              <w:right w:w="28" w:type="dxa"/>
            </w:tcMar>
            <w:vAlign w:val="center"/>
          </w:tcPr>
          <w:p w14:paraId="398909C6" w14:textId="77777777" w:rsidR="00304EF6" w:rsidRPr="00A964FF" w:rsidRDefault="00304EF6" w:rsidP="009D401B">
            <w:pPr>
              <w:jc w:val="center"/>
              <w:rPr>
                <w:rFonts w:ascii="Calibri" w:hAnsi="Calibri"/>
                <w:color w:val="auto"/>
                <w:szCs w:val="21"/>
              </w:rPr>
            </w:pPr>
          </w:p>
        </w:tc>
        <w:tc>
          <w:tcPr>
            <w:tcW w:w="771" w:type="pct"/>
            <w:tcMar>
              <w:top w:w="28" w:type="dxa"/>
              <w:left w:w="28" w:type="dxa"/>
              <w:bottom w:w="28" w:type="dxa"/>
              <w:right w:w="28" w:type="dxa"/>
            </w:tcMar>
            <w:vAlign w:val="center"/>
          </w:tcPr>
          <w:p w14:paraId="5948D4A8" w14:textId="77777777" w:rsidR="00304EF6" w:rsidRPr="00A964FF" w:rsidRDefault="00304EF6" w:rsidP="009E196D">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职工食堂</w:t>
            </w:r>
          </w:p>
        </w:tc>
        <w:tc>
          <w:tcPr>
            <w:tcW w:w="1452" w:type="pct"/>
            <w:tcMar>
              <w:top w:w="28" w:type="dxa"/>
              <w:left w:w="28" w:type="dxa"/>
              <w:bottom w:w="28" w:type="dxa"/>
              <w:right w:w="28" w:type="dxa"/>
            </w:tcMar>
            <w:vAlign w:val="center"/>
          </w:tcPr>
          <w:p w14:paraId="5A13282A" w14:textId="77777777" w:rsidR="00304EF6" w:rsidRPr="00A964FF" w:rsidRDefault="00304EF6" w:rsidP="009E196D">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安装油烟净化装置</w:t>
            </w:r>
          </w:p>
        </w:tc>
        <w:tc>
          <w:tcPr>
            <w:tcW w:w="323" w:type="pct"/>
            <w:tcMar>
              <w:top w:w="28" w:type="dxa"/>
              <w:left w:w="28" w:type="dxa"/>
              <w:bottom w:w="28" w:type="dxa"/>
              <w:right w:w="28" w:type="dxa"/>
            </w:tcMar>
            <w:vAlign w:val="center"/>
          </w:tcPr>
          <w:p w14:paraId="2BF8CC1E" w14:textId="77777777" w:rsidR="00304EF6" w:rsidRPr="00A964FF" w:rsidRDefault="00304EF6" w:rsidP="009E196D">
            <w:pPr>
              <w:jc w:val="center"/>
              <w:rPr>
                <w:rFonts w:ascii="Calibri"/>
                <w:color w:val="auto"/>
                <w:szCs w:val="21"/>
              </w:rPr>
            </w:pPr>
            <w:r w:rsidRPr="00A964FF">
              <w:rPr>
                <w:rFonts w:ascii="Calibri" w:hint="eastAsia"/>
                <w:color w:val="auto"/>
                <w:szCs w:val="21"/>
              </w:rPr>
              <w:t>1</w:t>
            </w:r>
            <w:r w:rsidRPr="00A964FF">
              <w:rPr>
                <w:rFonts w:ascii="Calibri" w:hint="eastAsia"/>
                <w:color w:val="auto"/>
                <w:szCs w:val="21"/>
              </w:rPr>
              <w:t>套</w:t>
            </w:r>
          </w:p>
        </w:tc>
        <w:tc>
          <w:tcPr>
            <w:tcW w:w="1789" w:type="pct"/>
            <w:tcMar>
              <w:top w:w="28" w:type="dxa"/>
              <w:left w:w="28" w:type="dxa"/>
              <w:bottom w:w="28" w:type="dxa"/>
              <w:right w:w="28" w:type="dxa"/>
            </w:tcMar>
            <w:vAlign w:val="center"/>
          </w:tcPr>
          <w:p w14:paraId="02BB7438" w14:textId="77777777" w:rsidR="00304EF6" w:rsidRPr="00A964FF" w:rsidRDefault="00304EF6" w:rsidP="009E196D">
            <w:pPr>
              <w:jc w:val="center"/>
              <w:rPr>
                <w:rFonts w:ascii="Calibri"/>
                <w:color w:val="auto"/>
                <w:szCs w:val="21"/>
              </w:rPr>
            </w:pPr>
            <w:r w:rsidRPr="00A964FF">
              <w:rPr>
                <w:rFonts w:ascii="Calibri" w:hint="eastAsia"/>
                <w:color w:val="auto"/>
                <w:szCs w:val="21"/>
              </w:rPr>
              <w:t>满足《餐饮业油烟污染物排放标准》（</w:t>
            </w:r>
            <w:r w:rsidRPr="00A964FF">
              <w:rPr>
                <w:rFonts w:ascii="Calibri" w:hint="eastAsia"/>
                <w:color w:val="auto"/>
                <w:szCs w:val="21"/>
              </w:rPr>
              <w:t>DB41/1604-2018</w:t>
            </w:r>
            <w:r w:rsidRPr="00A964FF">
              <w:rPr>
                <w:rFonts w:ascii="Calibri" w:hint="eastAsia"/>
                <w:color w:val="auto"/>
                <w:szCs w:val="21"/>
              </w:rPr>
              <w:t>）</w:t>
            </w:r>
          </w:p>
        </w:tc>
        <w:tc>
          <w:tcPr>
            <w:tcW w:w="371" w:type="pct"/>
            <w:tcMar>
              <w:top w:w="28" w:type="dxa"/>
              <w:left w:w="28" w:type="dxa"/>
              <w:bottom w:w="28" w:type="dxa"/>
              <w:right w:w="28" w:type="dxa"/>
            </w:tcMar>
            <w:vAlign w:val="center"/>
          </w:tcPr>
          <w:p w14:paraId="6C66293C" w14:textId="77777777" w:rsidR="00304EF6" w:rsidRPr="00A964FF" w:rsidRDefault="00FB4005" w:rsidP="009E196D">
            <w:pPr>
              <w:pStyle w:val="00"/>
              <w:spacing w:line="240" w:lineRule="auto"/>
              <w:ind w:firstLine="0"/>
              <w:jc w:val="center"/>
              <w:rPr>
                <w:rFonts w:ascii="Calibri" w:hAnsi="Calibri"/>
                <w:color w:val="auto"/>
                <w:sz w:val="21"/>
                <w:szCs w:val="21"/>
              </w:rPr>
            </w:pPr>
            <w:r>
              <w:rPr>
                <w:rFonts w:ascii="Calibri" w:hAnsi="Calibri"/>
                <w:color w:val="auto"/>
                <w:sz w:val="21"/>
                <w:szCs w:val="21"/>
              </w:rPr>
              <w:t>2</w:t>
            </w:r>
          </w:p>
        </w:tc>
      </w:tr>
      <w:tr w:rsidR="00304EF6" w:rsidRPr="00A964FF" w14:paraId="130230A2" w14:textId="77777777" w:rsidTr="00ED3143">
        <w:trPr>
          <w:trHeight w:val="340"/>
          <w:jc w:val="center"/>
        </w:trPr>
        <w:tc>
          <w:tcPr>
            <w:tcW w:w="294" w:type="pct"/>
            <w:vMerge w:val="restart"/>
            <w:tcMar>
              <w:top w:w="28" w:type="dxa"/>
              <w:left w:w="28" w:type="dxa"/>
              <w:bottom w:w="28" w:type="dxa"/>
              <w:right w:w="28" w:type="dxa"/>
            </w:tcMar>
            <w:vAlign w:val="center"/>
          </w:tcPr>
          <w:p w14:paraId="53BB10F3" w14:textId="77777777" w:rsidR="00304EF6" w:rsidRPr="00A964FF" w:rsidRDefault="00304EF6" w:rsidP="009D401B">
            <w:pPr>
              <w:jc w:val="center"/>
              <w:rPr>
                <w:rFonts w:ascii="Calibri" w:hAnsi="Calibri"/>
                <w:color w:val="auto"/>
                <w:szCs w:val="21"/>
              </w:rPr>
            </w:pPr>
            <w:r w:rsidRPr="00A964FF">
              <w:rPr>
                <w:rFonts w:ascii="Calibri" w:hAnsi="Calibri"/>
                <w:color w:val="auto"/>
                <w:szCs w:val="21"/>
              </w:rPr>
              <w:t>废</w:t>
            </w:r>
          </w:p>
          <w:p w14:paraId="4A861C95" w14:textId="77777777" w:rsidR="00304EF6" w:rsidRPr="00A964FF" w:rsidRDefault="00304EF6" w:rsidP="009D401B">
            <w:pPr>
              <w:jc w:val="center"/>
              <w:rPr>
                <w:rFonts w:ascii="Calibri" w:hAnsi="Calibri"/>
                <w:color w:val="auto"/>
                <w:szCs w:val="21"/>
              </w:rPr>
            </w:pPr>
            <w:r w:rsidRPr="00A964FF">
              <w:rPr>
                <w:rFonts w:ascii="Calibri" w:hAnsi="Calibri"/>
                <w:color w:val="auto"/>
                <w:szCs w:val="21"/>
              </w:rPr>
              <w:t>水</w:t>
            </w:r>
          </w:p>
        </w:tc>
        <w:tc>
          <w:tcPr>
            <w:tcW w:w="771" w:type="pct"/>
            <w:tcMar>
              <w:top w:w="28" w:type="dxa"/>
              <w:left w:w="28" w:type="dxa"/>
              <w:bottom w:w="28" w:type="dxa"/>
              <w:right w:w="28" w:type="dxa"/>
            </w:tcMar>
            <w:vAlign w:val="center"/>
          </w:tcPr>
          <w:p w14:paraId="160365F6" w14:textId="77777777" w:rsidR="00304EF6" w:rsidRPr="002A3A75" w:rsidRDefault="00D213C2" w:rsidP="00AB29C8">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生产生活废水</w:t>
            </w:r>
          </w:p>
        </w:tc>
        <w:tc>
          <w:tcPr>
            <w:tcW w:w="1452" w:type="pct"/>
            <w:tcMar>
              <w:top w:w="28" w:type="dxa"/>
              <w:left w:w="28" w:type="dxa"/>
              <w:bottom w:w="28" w:type="dxa"/>
              <w:right w:w="28" w:type="dxa"/>
            </w:tcMar>
            <w:vAlign w:val="center"/>
          </w:tcPr>
          <w:p w14:paraId="1B6B3C13" w14:textId="5C867B1A" w:rsidR="00304EF6" w:rsidRPr="002A3A75" w:rsidRDefault="00304EF6" w:rsidP="008C1537">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采用调节池</w:t>
            </w:r>
            <w:r w:rsidRPr="002A3A75">
              <w:rPr>
                <w:rFonts w:ascii="Calibri" w:hAnsi="Calibri" w:hint="eastAsia"/>
                <w:b/>
                <w:color w:val="auto"/>
                <w:sz w:val="21"/>
                <w:szCs w:val="21"/>
                <w:u w:val="single"/>
              </w:rPr>
              <w:t>+</w:t>
            </w:r>
            <w:r w:rsidR="00D213C2" w:rsidRPr="002A3A75">
              <w:rPr>
                <w:rFonts w:ascii="Calibri" w:hAnsi="Calibri" w:hint="eastAsia"/>
                <w:b/>
                <w:color w:val="auto"/>
                <w:sz w:val="21"/>
                <w:szCs w:val="21"/>
                <w:u w:val="single"/>
              </w:rPr>
              <w:t>水解酸化</w:t>
            </w:r>
            <w:r w:rsidR="00D213C2" w:rsidRPr="002A3A75">
              <w:rPr>
                <w:rFonts w:ascii="Calibri" w:hAnsi="Calibri" w:hint="eastAsia"/>
                <w:b/>
                <w:color w:val="auto"/>
                <w:sz w:val="21"/>
                <w:szCs w:val="21"/>
                <w:u w:val="single"/>
              </w:rPr>
              <w:t>+A/O+</w:t>
            </w:r>
            <w:r w:rsidR="00D213C2" w:rsidRPr="002A3A75">
              <w:rPr>
                <w:rFonts w:ascii="Calibri" w:hAnsi="Calibri" w:hint="eastAsia"/>
                <w:b/>
                <w:color w:val="auto"/>
                <w:sz w:val="21"/>
                <w:szCs w:val="21"/>
                <w:u w:val="single"/>
              </w:rPr>
              <w:t>沉淀</w:t>
            </w:r>
            <w:r w:rsidRPr="002A3A75">
              <w:rPr>
                <w:rFonts w:ascii="Calibri" w:hAnsi="Calibri" w:hint="eastAsia"/>
                <w:b/>
                <w:color w:val="auto"/>
                <w:sz w:val="21"/>
                <w:szCs w:val="21"/>
                <w:u w:val="single"/>
              </w:rPr>
              <w:t>，设计规模</w:t>
            </w:r>
            <w:r w:rsidR="008C1537">
              <w:rPr>
                <w:rFonts w:ascii="Calibri" w:hAnsi="Calibri"/>
                <w:b/>
                <w:color w:val="auto"/>
                <w:sz w:val="21"/>
                <w:szCs w:val="21"/>
                <w:u w:val="single"/>
              </w:rPr>
              <w:t>100</w:t>
            </w:r>
            <w:r w:rsidRPr="002A3A75">
              <w:rPr>
                <w:rFonts w:ascii="Calibri" w:hAnsi="Calibri" w:hint="eastAsia"/>
                <w:b/>
                <w:color w:val="auto"/>
                <w:sz w:val="21"/>
                <w:szCs w:val="21"/>
                <w:u w:val="single"/>
              </w:rPr>
              <w:t>t/d</w:t>
            </w:r>
          </w:p>
        </w:tc>
        <w:tc>
          <w:tcPr>
            <w:tcW w:w="323" w:type="pct"/>
            <w:tcMar>
              <w:top w:w="28" w:type="dxa"/>
              <w:left w:w="28" w:type="dxa"/>
              <w:bottom w:w="28" w:type="dxa"/>
              <w:right w:w="28" w:type="dxa"/>
            </w:tcMar>
            <w:vAlign w:val="center"/>
          </w:tcPr>
          <w:p w14:paraId="7BEC7718" w14:textId="77777777" w:rsidR="00304EF6" w:rsidRPr="002A3A75" w:rsidRDefault="00304EF6" w:rsidP="009D401B">
            <w:pPr>
              <w:jc w:val="center"/>
              <w:rPr>
                <w:rFonts w:ascii="Calibri"/>
                <w:b/>
                <w:color w:val="auto"/>
                <w:szCs w:val="21"/>
                <w:u w:val="single"/>
              </w:rPr>
            </w:pPr>
            <w:r w:rsidRPr="002A3A75">
              <w:rPr>
                <w:rFonts w:ascii="Calibri" w:hint="eastAsia"/>
                <w:b/>
                <w:color w:val="auto"/>
                <w:szCs w:val="21"/>
                <w:u w:val="single"/>
              </w:rPr>
              <w:t>1</w:t>
            </w:r>
            <w:r w:rsidRPr="002A3A75">
              <w:rPr>
                <w:rFonts w:ascii="Calibri" w:hint="eastAsia"/>
                <w:b/>
                <w:color w:val="auto"/>
                <w:szCs w:val="21"/>
                <w:u w:val="single"/>
              </w:rPr>
              <w:t>座</w:t>
            </w:r>
          </w:p>
        </w:tc>
        <w:tc>
          <w:tcPr>
            <w:tcW w:w="1789" w:type="pct"/>
            <w:tcMar>
              <w:top w:w="28" w:type="dxa"/>
              <w:left w:w="28" w:type="dxa"/>
              <w:bottom w:w="28" w:type="dxa"/>
              <w:right w:w="28" w:type="dxa"/>
            </w:tcMar>
            <w:vAlign w:val="center"/>
          </w:tcPr>
          <w:p w14:paraId="39A1DDE3" w14:textId="77777777" w:rsidR="00304EF6" w:rsidRPr="002A3A75" w:rsidRDefault="00362658" w:rsidP="00E13EDF">
            <w:pPr>
              <w:pStyle w:val="00"/>
              <w:spacing w:line="240" w:lineRule="auto"/>
              <w:ind w:firstLine="0"/>
              <w:jc w:val="center"/>
              <w:rPr>
                <w:rFonts w:ascii="Calibri" w:hAnsi="Calibri"/>
                <w:b/>
                <w:color w:val="auto"/>
                <w:sz w:val="21"/>
                <w:szCs w:val="21"/>
                <w:u w:val="single"/>
              </w:rPr>
            </w:pPr>
            <w:r w:rsidRPr="002A3A75">
              <w:rPr>
                <w:rFonts w:ascii="Calibri" w:hAnsi="Calibri" w:hint="eastAsia"/>
                <w:b/>
                <w:color w:val="auto"/>
                <w:sz w:val="21"/>
                <w:szCs w:val="21"/>
                <w:u w:val="single"/>
              </w:rPr>
              <w:t>《合成树脂工业污染物排放标准》（</w:t>
            </w:r>
            <w:r w:rsidRPr="002A3A75">
              <w:rPr>
                <w:rFonts w:ascii="Calibri" w:hAnsi="Calibri" w:hint="eastAsia"/>
                <w:b/>
                <w:color w:val="auto"/>
                <w:sz w:val="21"/>
                <w:szCs w:val="21"/>
                <w:u w:val="single"/>
              </w:rPr>
              <w:t>GB31571-2015</w:t>
            </w:r>
            <w:r w:rsidRPr="002A3A75">
              <w:rPr>
                <w:rFonts w:ascii="Calibri" w:hAnsi="Calibri" w:hint="eastAsia"/>
                <w:b/>
                <w:color w:val="auto"/>
                <w:sz w:val="21"/>
                <w:szCs w:val="21"/>
                <w:u w:val="single"/>
              </w:rPr>
              <w:t>）表</w:t>
            </w:r>
            <w:r w:rsidRPr="002A3A75">
              <w:rPr>
                <w:rFonts w:ascii="Calibri" w:hAnsi="Calibri" w:hint="eastAsia"/>
                <w:b/>
                <w:color w:val="auto"/>
                <w:sz w:val="21"/>
                <w:szCs w:val="21"/>
                <w:u w:val="single"/>
              </w:rPr>
              <w:t>1</w:t>
            </w:r>
            <w:r w:rsidRPr="002A3A75">
              <w:rPr>
                <w:rFonts w:ascii="Calibri" w:hAnsi="Calibri" w:hint="eastAsia"/>
                <w:b/>
                <w:color w:val="auto"/>
                <w:sz w:val="21"/>
                <w:szCs w:val="21"/>
                <w:u w:val="single"/>
              </w:rPr>
              <w:t>标间接排放标准、《化工行业水污染物间接排放标准》（</w:t>
            </w:r>
            <w:r w:rsidRPr="002A3A75">
              <w:rPr>
                <w:rFonts w:ascii="Calibri" w:hAnsi="Calibri" w:hint="eastAsia"/>
                <w:b/>
                <w:color w:val="auto"/>
                <w:sz w:val="21"/>
                <w:szCs w:val="21"/>
                <w:u w:val="single"/>
              </w:rPr>
              <w:t>DB41/1135-2016</w:t>
            </w:r>
            <w:r w:rsidRPr="002A3A75">
              <w:rPr>
                <w:rFonts w:ascii="Calibri" w:hAnsi="Calibri" w:hint="eastAsia"/>
                <w:b/>
                <w:color w:val="auto"/>
                <w:sz w:val="21"/>
                <w:szCs w:val="21"/>
                <w:u w:val="single"/>
              </w:rPr>
              <w:t>）和产业集聚区污水处理厂（平顶山第三污水处理厂）进水水质</w:t>
            </w:r>
          </w:p>
        </w:tc>
        <w:tc>
          <w:tcPr>
            <w:tcW w:w="371" w:type="pct"/>
            <w:tcMar>
              <w:top w:w="28" w:type="dxa"/>
              <w:left w:w="28" w:type="dxa"/>
              <w:bottom w:w="28" w:type="dxa"/>
              <w:right w:w="28" w:type="dxa"/>
            </w:tcMar>
            <w:vAlign w:val="center"/>
          </w:tcPr>
          <w:p w14:paraId="11CA2536" w14:textId="77777777" w:rsidR="00304EF6" w:rsidRPr="00A964FF" w:rsidRDefault="00FB4005" w:rsidP="00CA7CFF">
            <w:pPr>
              <w:jc w:val="center"/>
              <w:rPr>
                <w:rFonts w:ascii="Calibri"/>
                <w:color w:val="auto"/>
                <w:szCs w:val="21"/>
              </w:rPr>
            </w:pPr>
            <w:r>
              <w:rPr>
                <w:rFonts w:ascii="Calibri"/>
                <w:color w:val="auto"/>
                <w:szCs w:val="21"/>
              </w:rPr>
              <w:t>50</w:t>
            </w:r>
          </w:p>
        </w:tc>
      </w:tr>
      <w:tr w:rsidR="00304EF6" w:rsidRPr="00A964FF" w14:paraId="01F97874" w14:textId="77777777" w:rsidTr="00ED3143">
        <w:trPr>
          <w:trHeight w:val="340"/>
          <w:jc w:val="center"/>
        </w:trPr>
        <w:tc>
          <w:tcPr>
            <w:tcW w:w="294" w:type="pct"/>
            <w:vMerge/>
            <w:tcMar>
              <w:top w:w="28" w:type="dxa"/>
              <w:left w:w="28" w:type="dxa"/>
              <w:bottom w:w="28" w:type="dxa"/>
              <w:right w:w="28" w:type="dxa"/>
            </w:tcMar>
            <w:vAlign w:val="center"/>
          </w:tcPr>
          <w:p w14:paraId="56106A2D" w14:textId="77777777" w:rsidR="00304EF6" w:rsidRPr="00A964FF" w:rsidRDefault="00304EF6" w:rsidP="009D401B">
            <w:pPr>
              <w:jc w:val="center"/>
              <w:rPr>
                <w:rFonts w:ascii="Calibri" w:hAnsi="Calibri"/>
                <w:color w:val="auto"/>
                <w:szCs w:val="21"/>
              </w:rPr>
            </w:pPr>
          </w:p>
        </w:tc>
        <w:tc>
          <w:tcPr>
            <w:tcW w:w="771" w:type="pct"/>
            <w:tcMar>
              <w:top w:w="28" w:type="dxa"/>
              <w:left w:w="28" w:type="dxa"/>
              <w:bottom w:w="28" w:type="dxa"/>
              <w:right w:w="28" w:type="dxa"/>
            </w:tcMar>
            <w:vAlign w:val="center"/>
          </w:tcPr>
          <w:p w14:paraId="4EC62A72" w14:textId="77777777" w:rsidR="00304EF6" w:rsidRPr="00A964FF" w:rsidRDefault="00304EF6" w:rsidP="009D401B">
            <w:pPr>
              <w:jc w:val="center"/>
              <w:rPr>
                <w:rFonts w:ascii="Calibri" w:hAnsi="Calibri"/>
                <w:color w:val="auto"/>
                <w:szCs w:val="21"/>
              </w:rPr>
            </w:pPr>
            <w:r w:rsidRPr="00A964FF">
              <w:rPr>
                <w:rFonts w:ascii="Calibri" w:hAnsi="Calibri" w:hint="eastAsia"/>
                <w:color w:val="auto"/>
                <w:szCs w:val="21"/>
              </w:rPr>
              <w:t>地下水和土壤</w:t>
            </w:r>
          </w:p>
          <w:p w14:paraId="2357390C" w14:textId="77777777" w:rsidR="00304EF6" w:rsidRPr="00A964FF" w:rsidRDefault="00304EF6" w:rsidP="009D401B">
            <w:pPr>
              <w:jc w:val="center"/>
              <w:rPr>
                <w:rFonts w:ascii="Calibri" w:hAnsi="Calibri"/>
                <w:color w:val="auto"/>
                <w:szCs w:val="21"/>
              </w:rPr>
            </w:pPr>
            <w:r w:rsidRPr="00A964FF">
              <w:rPr>
                <w:rFonts w:ascii="Calibri" w:hAnsi="Calibri" w:hint="eastAsia"/>
                <w:color w:val="auto"/>
                <w:szCs w:val="21"/>
              </w:rPr>
              <w:t>保护</w:t>
            </w:r>
          </w:p>
        </w:tc>
        <w:tc>
          <w:tcPr>
            <w:tcW w:w="1452" w:type="pct"/>
            <w:tcMar>
              <w:top w:w="28" w:type="dxa"/>
              <w:left w:w="28" w:type="dxa"/>
              <w:bottom w:w="28" w:type="dxa"/>
              <w:right w:w="28" w:type="dxa"/>
            </w:tcMar>
            <w:vAlign w:val="center"/>
          </w:tcPr>
          <w:p w14:paraId="64344ED5" w14:textId="77777777" w:rsidR="00304EF6" w:rsidRPr="00A964FF" w:rsidRDefault="00143EB3" w:rsidP="00143EB3">
            <w:pPr>
              <w:spacing w:line="240" w:lineRule="exact"/>
              <w:jc w:val="center"/>
              <w:rPr>
                <w:rFonts w:ascii="Calibri" w:hAnsi="Calibri"/>
                <w:bCs/>
                <w:color w:val="auto"/>
                <w:szCs w:val="21"/>
              </w:rPr>
            </w:pPr>
            <w:r>
              <w:rPr>
                <w:rFonts w:ascii="Calibri" w:hAnsi="Calibri"/>
                <w:bCs/>
                <w:color w:val="auto"/>
                <w:szCs w:val="21"/>
              </w:rPr>
              <w:t>分区防渗，简单防渗区一般地面硬化；一般防渗区等效黏土防渗</w:t>
            </w:r>
            <w:r w:rsidR="00304EF6" w:rsidRPr="00A964FF">
              <w:rPr>
                <w:rFonts w:ascii="Calibri" w:hAnsi="Calibri"/>
                <w:bCs/>
                <w:color w:val="auto"/>
                <w:szCs w:val="21"/>
              </w:rPr>
              <w:t>Mb≥1.5m</w:t>
            </w:r>
            <w:r w:rsidR="00304EF6" w:rsidRPr="00A964FF">
              <w:rPr>
                <w:rFonts w:ascii="Calibri" w:hAnsi="Calibri"/>
                <w:bCs/>
                <w:color w:val="auto"/>
                <w:szCs w:val="21"/>
              </w:rPr>
              <w:t>，</w:t>
            </w:r>
            <w:r w:rsidR="00304EF6" w:rsidRPr="00A964FF">
              <w:rPr>
                <w:rFonts w:ascii="Calibri" w:hAnsi="Calibri"/>
                <w:bCs/>
                <w:color w:val="auto"/>
                <w:szCs w:val="21"/>
              </w:rPr>
              <w:t>K≤1×10</w:t>
            </w:r>
            <w:r w:rsidR="00304EF6" w:rsidRPr="00A964FF">
              <w:rPr>
                <w:rFonts w:ascii="Calibri" w:hAnsi="Calibri"/>
                <w:bCs/>
                <w:color w:val="auto"/>
                <w:szCs w:val="21"/>
                <w:vertAlign w:val="superscript"/>
              </w:rPr>
              <w:t>-7</w:t>
            </w:r>
            <w:r w:rsidR="00304EF6" w:rsidRPr="00A964FF">
              <w:rPr>
                <w:rFonts w:ascii="Calibri" w:hAnsi="Calibri"/>
                <w:color w:val="auto"/>
                <w:szCs w:val="21"/>
              </w:rPr>
              <w:t>cm/s</w:t>
            </w:r>
            <w:r w:rsidR="00304EF6" w:rsidRPr="00A964FF">
              <w:rPr>
                <w:rFonts w:ascii="Calibri" w:hAnsi="Calibri" w:hint="eastAsia"/>
                <w:bCs/>
                <w:color w:val="auto"/>
                <w:szCs w:val="21"/>
              </w:rPr>
              <w:t>；</w:t>
            </w:r>
            <w:r w:rsidR="00304EF6" w:rsidRPr="00A964FF">
              <w:rPr>
                <w:rFonts w:ascii="Calibri" w:hAnsi="Calibri"/>
                <w:bCs/>
                <w:color w:val="auto"/>
                <w:szCs w:val="21"/>
              </w:rPr>
              <w:t>并</w:t>
            </w:r>
            <w:r w:rsidR="00304EF6" w:rsidRPr="00A964FF">
              <w:rPr>
                <w:rFonts w:ascii="Calibri" w:hAnsi="Calibri"/>
                <w:noProof/>
                <w:color w:val="auto"/>
              </w:rPr>
              <w:t>设置地下水</w:t>
            </w:r>
            <w:r w:rsidR="00304EF6" w:rsidRPr="00A964FF">
              <w:rPr>
                <w:rFonts w:ascii="Calibri" w:hAnsi="Calibri"/>
                <w:color w:val="auto"/>
              </w:rPr>
              <w:t>跟踪监测井</w:t>
            </w:r>
          </w:p>
        </w:tc>
        <w:tc>
          <w:tcPr>
            <w:tcW w:w="323" w:type="pct"/>
            <w:tcMar>
              <w:top w:w="28" w:type="dxa"/>
              <w:left w:w="28" w:type="dxa"/>
              <w:bottom w:w="28" w:type="dxa"/>
              <w:right w:w="28" w:type="dxa"/>
            </w:tcMar>
            <w:vAlign w:val="center"/>
          </w:tcPr>
          <w:p w14:paraId="45C13A8A" w14:textId="77777777" w:rsidR="00304EF6" w:rsidRPr="00A964FF" w:rsidRDefault="00304EF6" w:rsidP="009D401B">
            <w:pPr>
              <w:spacing w:line="240" w:lineRule="exact"/>
              <w:jc w:val="center"/>
              <w:rPr>
                <w:rFonts w:ascii="Calibri" w:hAnsi="Calibri"/>
                <w:bCs/>
                <w:color w:val="auto"/>
                <w:szCs w:val="21"/>
              </w:rPr>
            </w:pPr>
            <w:r w:rsidRPr="00A964FF">
              <w:rPr>
                <w:rFonts w:ascii="Calibri" w:hAnsi="Calibri" w:hint="eastAsia"/>
                <w:bCs/>
                <w:color w:val="auto"/>
                <w:szCs w:val="21"/>
              </w:rPr>
              <w:t>/</w:t>
            </w:r>
          </w:p>
        </w:tc>
        <w:tc>
          <w:tcPr>
            <w:tcW w:w="1789" w:type="pct"/>
            <w:tcMar>
              <w:top w:w="28" w:type="dxa"/>
              <w:left w:w="28" w:type="dxa"/>
              <w:bottom w:w="28" w:type="dxa"/>
              <w:right w:w="28" w:type="dxa"/>
            </w:tcMar>
            <w:vAlign w:val="center"/>
          </w:tcPr>
          <w:p w14:paraId="20EF8EF6" w14:textId="77777777" w:rsidR="00304EF6" w:rsidRPr="00A964FF" w:rsidRDefault="00304EF6" w:rsidP="009D401B">
            <w:pPr>
              <w:spacing w:line="240" w:lineRule="exact"/>
              <w:jc w:val="center"/>
              <w:rPr>
                <w:rFonts w:ascii="Calibri" w:hAnsi="Calibri"/>
                <w:bCs/>
                <w:color w:val="auto"/>
                <w:szCs w:val="21"/>
              </w:rPr>
            </w:pPr>
            <w:r w:rsidRPr="00A964FF">
              <w:rPr>
                <w:rFonts w:ascii="Calibri" w:hAnsi="Calibri" w:hint="eastAsia"/>
                <w:bCs/>
                <w:color w:val="auto"/>
                <w:szCs w:val="21"/>
              </w:rPr>
              <w:t>按照分区防控要求进行防渗设计施工，确保污染物不会渗入土壤污染地下水</w:t>
            </w:r>
          </w:p>
        </w:tc>
        <w:tc>
          <w:tcPr>
            <w:tcW w:w="371" w:type="pct"/>
            <w:tcMar>
              <w:top w:w="28" w:type="dxa"/>
              <w:left w:w="28" w:type="dxa"/>
              <w:bottom w:w="28" w:type="dxa"/>
              <w:right w:w="28" w:type="dxa"/>
            </w:tcMar>
            <w:vAlign w:val="center"/>
          </w:tcPr>
          <w:p w14:paraId="214C2A24" w14:textId="77777777" w:rsidR="00304EF6" w:rsidRPr="00A964FF" w:rsidRDefault="00FB4005" w:rsidP="009D401B">
            <w:pPr>
              <w:jc w:val="center"/>
              <w:rPr>
                <w:rFonts w:ascii="黑体" w:eastAsia="黑体" w:hAnsi="黑体"/>
                <w:b/>
                <w:color w:val="auto"/>
                <w:szCs w:val="21"/>
                <w:u w:val="single"/>
              </w:rPr>
            </w:pPr>
            <w:r>
              <w:rPr>
                <w:rFonts w:ascii="Calibri" w:hAnsi="宋体"/>
                <w:color w:val="auto"/>
                <w:szCs w:val="21"/>
              </w:rPr>
              <w:t>150</w:t>
            </w:r>
          </w:p>
        </w:tc>
      </w:tr>
      <w:tr w:rsidR="00304EF6" w:rsidRPr="00A964FF" w14:paraId="090EFB21" w14:textId="77777777" w:rsidTr="00ED3143">
        <w:trPr>
          <w:trHeight w:val="340"/>
          <w:jc w:val="center"/>
        </w:trPr>
        <w:tc>
          <w:tcPr>
            <w:tcW w:w="294" w:type="pct"/>
            <w:vMerge w:val="restart"/>
            <w:tcMar>
              <w:top w:w="28" w:type="dxa"/>
              <w:left w:w="28" w:type="dxa"/>
              <w:bottom w:w="28" w:type="dxa"/>
              <w:right w:w="28" w:type="dxa"/>
            </w:tcMar>
            <w:vAlign w:val="center"/>
          </w:tcPr>
          <w:p w14:paraId="5A8EB7A8" w14:textId="77777777" w:rsidR="00304EF6" w:rsidRPr="00A964FF" w:rsidRDefault="00304EF6" w:rsidP="009D401B">
            <w:pPr>
              <w:jc w:val="center"/>
              <w:rPr>
                <w:rFonts w:ascii="Calibri" w:hAnsi="Calibri"/>
                <w:color w:val="auto"/>
                <w:szCs w:val="21"/>
              </w:rPr>
            </w:pPr>
            <w:r w:rsidRPr="00A964FF">
              <w:rPr>
                <w:rFonts w:ascii="Calibri" w:hAnsi="Calibri"/>
                <w:color w:val="auto"/>
                <w:szCs w:val="21"/>
              </w:rPr>
              <w:t>固</w:t>
            </w:r>
          </w:p>
          <w:p w14:paraId="302886BF" w14:textId="77777777" w:rsidR="00304EF6" w:rsidRPr="00A964FF" w:rsidRDefault="00304EF6" w:rsidP="009D401B">
            <w:pPr>
              <w:jc w:val="center"/>
              <w:rPr>
                <w:rFonts w:ascii="Calibri" w:hAnsi="Calibri"/>
                <w:color w:val="auto"/>
                <w:szCs w:val="21"/>
              </w:rPr>
            </w:pPr>
            <w:r w:rsidRPr="00A964FF">
              <w:rPr>
                <w:rFonts w:ascii="Calibri" w:hAnsi="Calibri"/>
                <w:color w:val="auto"/>
                <w:szCs w:val="21"/>
              </w:rPr>
              <w:t>废</w:t>
            </w:r>
          </w:p>
        </w:tc>
        <w:tc>
          <w:tcPr>
            <w:tcW w:w="771" w:type="pct"/>
            <w:shd w:val="clear" w:color="auto" w:fill="auto"/>
            <w:tcMar>
              <w:top w:w="28" w:type="dxa"/>
              <w:left w:w="28" w:type="dxa"/>
              <w:bottom w:w="28" w:type="dxa"/>
              <w:right w:w="28" w:type="dxa"/>
            </w:tcMar>
            <w:vAlign w:val="center"/>
          </w:tcPr>
          <w:p w14:paraId="1DC60848" w14:textId="77777777" w:rsidR="00304EF6" w:rsidRPr="00A964FF" w:rsidRDefault="00304EF6" w:rsidP="00E13EDF">
            <w:pPr>
              <w:jc w:val="center"/>
              <w:rPr>
                <w:rFonts w:ascii="Calibri"/>
                <w:color w:val="auto"/>
                <w:szCs w:val="21"/>
              </w:rPr>
            </w:pPr>
            <w:r w:rsidRPr="00A964FF">
              <w:rPr>
                <w:rFonts w:ascii="Calibri" w:hint="eastAsia"/>
                <w:color w:val="auto"/>
                <w:szCs w:val="21"/>
              </w:rPr>
              <w:t>危险废物</w:t>
            </w:r>
          </w:p>
        </w:tc>
        <w:tc>
          <w:tcPr>
            <w:tcW w:w="1452" w:type="pct"/>
            <w:shd w:val="clear" w:color="auto" w:fill="auto"/>
            <w:tcMar>
              <w:top w:w="28" w:type="dxa"/>
              <w:left w:w="28" w:type="dxa"/>
              <w:bottom w:w="28" w:type="dxa"/>
              <w:right w:w="28" w:type="dxa"/>
            </w:tcMar>
            <w:vAlign w:val="center"/>
          </w:tcPr>
          <w:p w14:paraId="51388327" w14:textId="77777777" w:rsidR="00304EF6" w:rsidRPr="00A964FF" w:rsidRDefault="00304EF6" w:rsidP="00D213C2">
            <w:pPr>
              <w:jc w:val="center"/>
              <w:rPr>
                <w:rFonts w:ascii="Calibri" w:hAnsi="Calibri"/>
                <w:color w:val="auto"/>
                <w:szCs w:val="21"/>
              </w:rPr>
            </w:pPr>
            <w:r w:rsidRPr="00A964FF">
              <w:rPr>
                <w:rFonts w:ascii="Calibri" w:hAnsi="Calibri" w:hint="eastAsia"/>
                <w:color w:val="auto"/>
                <w:szCs w:val="21"/>
              </w:rPr>
              <w:t>设置危废暂存间</w:t>
            </w:r>
            <w:r w:rsidRPr="00A964FF">
              <w:rPr>
                <w:rFonts w:ascii="Calibri" w:hAnsi="Calibri" w:hint="eastAsia"/>
                <w:color w:val="auto"/>
                <w:szCs w:val="21"/>
              </w:rPr>
              <w:t>1</w:t>
            </w:r>
            <w:r w:rsidRPr="00A964FF">
              <w:rPr>
                <w:rFonts w:ascii="Calibri" w:hAnsi="Calibri" w:hint="eastAsia"/>
                <w:color w:val="auto"/>
                <w:szCs w:val="21"/>
              </w:rPr>
              <w:t>座，建筑面积</w:t>
            </w:r>
            <w:r w:rsidR="00D213C2">
              <w:rPr>
                <w:rFonts w:ascii="Calibri" w:hAnsi="Calibri"/>
                <w:color w:val="auto"/>
                <w:szCs w:val="21"/>
              </w:rPr>
              <w:t>15</w:t>
            </w:r>
            <w:r w:rsidRPr="00A964FF">
              <w:rPr>
                <w:rFonts w:ascii="Calibri" w:hAnsi="Calibri" w:hint="eastAsia"/>
                <w:color w:val="auto"/>
                <w:szCs w:val="21"/>
              </w:rPr>
              <w:t>m</w:t>
            </w:r>
            <w:r w:rsidRPr="00A964FF">
              <w:rPr>
                <w:rFonts w:ascii="Calibri" w:hAnsi="Calibri" w:hint="eastAsia"/>
                <w:color w:val="auto"/>
                <w:szCs w:val="21"/>
                <w:vertAlign w:val="superscript"/>
              </w:rPr>
              <w:t>2</w:t>
            </w:r>
            <w:r w:rsidRPr="00A964FF">
              <w:rPr>
                <w:rFonts w:ascii="Calibri" w:hAnsi="Calibri" w:hint="eastAsia"/>
                <w:color w:val="auto"/>
                <w:szCs w:val="21"/>
              </w:rPr>
              <w:t>，危险固废分类收集，分区分单元储暂存各类危险废物，液态危险废物采用密闭储罐暂存，其他危险废物采用密闭容器盛装，危废暂存区满足“防风、防雨、防晒、防渗漏”要求</w:t>
            </w:r>
          </w:p>
        </w:tc>
        <w:tc>
          <w:tcPr>
            <w:tcW w:w="323" w:type="pct"/>
            <w:tcMar>
              <w:top w:w="28" w:type="dxa"/>
              <w:left w:w="28" w:type="dxa"/>
              <w:bottom w:w="28" w:type="dxa"/>
              <w:right w:w="28" w:type="dxa"/>
            </w:tcMar>
            <w:vAlign w:val="center"/>
          </w:tcPr>
          <w:p w14:paraId="000C5693" w14:textId="77777777" w:rsidR="00304EF6" w:rsidRPr="00A964FF" w:rsidRDefault="00304EF6" w:rsidP="00E13EDF">
            <w:pPr>
              <w:jc w:val="center"/>
              <w:rPr>
                <w:rFonts w:ascii="Calibri" w:hAnsi="Calibri"/>
                <w:color w:val="auto"/>
                <w:szCs w:val="21"/>
              </w:rPr>
            </w:pPr>
            <w:r w:rsidRPr="00A964FF">
              <w:rPr>
                <w:rFonts w:ascii="Calibri" w:hAnsi="Calibri" w:hint="eastAsia"/>
                <w:color w:val="auto"/>
                <w:szCs w:val="21"/>
              </w:rPr>
              <w:t>1</w:t>
            </w:r>
            <w:r w:rsidRPr="00A964FF">
              <w:rPr>
                <w:rFonts w:ascii="Calibri" w:hAnsi="Calibri" w:hint="eastAsia"/>
                <w:color w:val="auto"/>
                <w:szCs w:val="21"/>
              </w:rPr>
              <w:t>座</w:t>
            </w:r>
          </w:p>
        </w:tc>
        <w:tc>
          <w:tcPr>
            <w:tcW w:w="1789" w:type="pct"/>
            <w:shd w:val="clear" w:color="auto" w:fill="auto"/>
            <w:tcMar>
              <w:top w:w="28" w:type="dxa"/>
              <w:left w:w="28" w:type="dxa"/>
              <w:bottom w:w="28" w:type="dxa"/>
              <w:right w:w="28" w:type="dxa"/>
            </w:tcMar>
            <w:vAlign w:val="center"/>
          </w:tcPr>
          <w:p w14:paraId="7461EBFD" w14:textId="77777777" w:rsidR="00304EF6" w:rsidRPr="00A964FF" w:rsidRDefault="00304EF6" w:rsidP="00EF449E">
            <w:pPr>
              <w:jc w:val="center"/>
              <w:rPr>
                <w:rFonts w:ascii="Calibri" w:hAnsi="Calibri"/>
                <w:color w:val="auto"/>
                <w:szCs w:val="21"/>
              </w:rPr>
            </w:pPr>
            <w:r w:rsidRPr="00A964FF">
              <w:rPr>
                <w:rFonts w:ascii="Calibri" w:hAnsi="Calibri" w:hint="eastAsia"/>
                <w:color w:val="auto"/>
                <w:szCs w:val="21"/>
              </w:rPr>
              <w:t>委托资质单位进行安全处置</w:t>
            </w:r>
          </w:p>
        </w:tc>
        <w:tc>
          <w:tcPr>
            <w:tcW w:w="371" w:type="pct"/>
            <w:tcMar>
              <w:top w:w="28" w:type="dxa"/>
              <w:left w:w="28" w:type="dxa"/>
              <w:bottom w:w="28" w:type="dxa"/>
              <w:right w:w="28" w:type="dxa"/>
            </w:tcMar>
            <w:vAlign w:val="center"/>
          </w:tcPr>
          <w:p w14:paraId="6BA737A7" w14:textId="77777777" w:rsidR="00304EF6" w:rsidRPr="00A964FF" w:rsidRDefault="00FB4005" w:rsidP="00E13EDF">
            <w:pPr>
              <w:jc w:val="center"/>
              <w:rPr>
                <w:rFonts w:ascii="Calibri" w:hAnsi="Calibri"/>
                <w:color w:val="auto"/>
                <w:szCs w:val="21"/>
              </w:rPr>
            </w:pPr>
            <w:r>
              <w:rPr>
                <w:rFonts w:ascii="Calibri" w:hAnsi="Calibri"/>
                <w:color w:val="auto"/>
                <w:szCs w:val="21"/>
              </w:rPr>
              <w:t>5</w:t>
            </w:r>
          </w:p>
        </w:tc>
      </w:tr>
      <w:tr w:rsidR="00304EF6" w:rsidRPr="00A964FF" w14:paraId="2DA55A67" w14:textId="77777777" w:rsidTr="00ED3143">
        <w:trPr>
          <w:trHeight w:val="340"/>
          <w:jc w:val="center"/>
        </w:trPr>
        <w:tc>
          <w:tcPr>
            <w:tcW w:w="294" w:type="pct"/>
            <w:vMerge/>
            <w:tcMar>
              <w:top w:w="28" w:type="dxa"/>
              <w:left w:w="28" w:type="dxa"/>
              <w:bottom w:w="28" w:type="dxa"/>
              <w:right w:w="28" w:type="dxa"/>
            </w:tcMar>
            <w:vAlign w:val="center"/>
          </w:tcPr>
          <w:p w14:paraId="1EC4E566" w14:textId="77777777" w:rsidR="00304EF6" w:rsidRPr="00A964FF" w:rsidRDefault="00304EF6" w:rsidP="009D401B">
            <w:pPr>
              <w:jc w:val="center"/>
              <w:rPr>
                <w:rFonts w:ascii="Calibri" w:hAnsi="Calibri"/>
                <w:color w:val="auto"/>
                <w:szCs w:val="21"/>
              </w:rPr>
            </w:pPr>
          </w:p>
        </w:tc>
        <w:tc>
          <w:tcPr>
            <w:tcW w:w="771" w:type="pct"/>
            <w:shd w:val="clear" w:color="auto" w:fill="auto"/>
            <w:tcMar>
              <w:top w:w="28" w:type="dxa"/>
              <w:left w:w="28" w:type="dxa"/>
              <w:bottom w:w="28" w:type="dxa"/>
              <w:right w:w="28" w:type="dxa"/>
            </w:tcMar>
            <w:vAlign w:val="center"/>
          </w:tcPr>
          <w:p w14:paraId="02A14DAE" w14:textId="77777777" w:rsidR="00304EF6" w:rsidRPr="00A964FF" w:rsidRDefault="00304EF6" w:rsidP="009D401B">
            <w:pPr>
              <w:jc w:val="center"/>
              <w:rPr>
                <w:rFonts w:ascii="Calibri" w:hAnsi="Calibri"/>
                <w:color w:val="auto"/>
                <w:szCs w:val="21"/>
              </w:rPr>
            </w:pPr>
            <w:r w:rsidRPr="00A964FF">
              <w:rPr>
                <w:rFonts w:ascii="Calibri" w:hint="eastAsia"/>
                <w:color w:val="auto"/>
                <w:szCs w:val="21"/>
              </w:rPr>
              <w:t>生活垃圾</w:t>
            </w:r>
          </w:p>
        </w:tc>
        <w:tc>
          <w:tcPr>
            <w:tcW w:w="1452" w:type="pct"/>
            <w:shd w:val="clear" w:color="auto" w:fill="auto"/>
            <w:tcMar>
              <w:top w:w="28" w:type="dxa"/>
              <w:left w:w="28" w:type="dxa"/>
              <w:bottom w:w="28" w:type="dxa"/>
              <w:right w:w="28" w:type="dxa"/>
            </w:tcMar>
            <w:vAlign w:val="center"/>
          </w:tcPr>
          <w:p w14:paraId="012DB49A" w14:textId="77777777" w:rsidR="00304EF6" w:rsidRPr="00A964FF" w:rsidRDefault="00304EF6" w:rsidP="005E115F">
            <w:pPr>
              <w:jc w:val="center"/>
              <w:rPr>
                <w:rFonts w:ascii="Calibri" w:hAnsi="Calibri"/>
                <w:color w:val="auto"/>
                <w:szCs w:val="21"/>
              </w:rPr>
            </w:pPr>
            <w:r w:rsidRPr="00A964FF">
              <w:rPr>
                <w:rFonts w:ascii="Calibri"/>
                <w:color w:val="auto"/>
                <w:szCs w:val="21"/>
              </w:rPr>
              <w:t>设置</w:t>
            </w:r>
            <w:r w:rsidRPr="00A964FF">
              <w:rPr>
                <w:rFonts w:ascii="Calibri" w:hint="eastAsia"/>
                <w:color w:val="auto"/>
                <w:szCs w:val="21"/>
              </w:rPr>
              <w:t>生活</w:t>
            </w:r>
            <w:r w:rsidRPr="00A964FF">
              <w:rPr>
                <w:rFonts w:ascii="Calibri"/>
                <w:color w:val="auto"/>
                <w:szCs w:val="21"/>
              </w:rPr>
              <w:t>垃圾收集装置</w:t>
            </w:r>
            <w:r w:rsidRPr="00A964FF">
              <w:rPr>
                <w:rFonts w:ascii="Calibri" w:hint="eastAsia"/>
                <w:color w:val="auto"/>
                <w:szCs w:val="21"/>
              </w:rPr>
              <w:t>，送集聚区垃圾中转站</w:t>
            </w:r>
          </w:p>
        </w:tc>
        <w:tc>
          <w:tcPr>
            <w:tcW w:w="323" w:type="pct"/>
            <w:tcMar>
              <w:top w:w="28" w:type="dxa"/>
              <w:left w:w="28" w:type="dxa"/>
              <w:bottom w:w="28" w:type="dxa"/>
              <w:right w:w="28" w:type="dxa"/>
            </w:tcMar>
            <w:vAlign w:val="center"/>
          </w:tcPr>
          <w:p w14:paraId="517627C0" w14:textId="77777777" w:rsidR="00304EF6" w:rsidRPr="00A964FF" w:rsidRDefault="00304EF6" w:rsidP="009D401B">
            <w:pPr>
              <w:jc w:val="center"/>
              <w:rPr>
                <w:rFonts w:ascii="Calibri" w:hAnsi="Calibri"/>
                <w:color w:val="auto"/>
                <w:szCs w:val="21"/>
              </w:rPr>
            </w:pPr>
            <w:r w:rsidRPr="00A964FF">
              <w:rPr>
                <w:rFonts w:ascii="Calibri"/>
                <w:color w:val="auto"/>
                <w:szCs w:val="21"/>
              </w:rPr>
              <w:t>若干</w:t>
            </w:r>
          </w:p>
        </w:tc>
        <w:tc>
          <w:tcPr>
            <w:tcW w:w="1789" w:type="pct"/>
            <w:shd w:val="clear" w:color="auto" w:fill="auto"/>
            <w:tcMar>
              <w:top w:w="28" w:type="dxa"/>
              <w:left w:w="28" w:type="dxa"/>
              <w:bottom w:w="28" w:type="dxa"/>
              <w:right w:w="28" w:type="dxa"/>
            </w:tcMar>
            <w:vAlign w:val="center"/>
          </w:tcPr>
          <w:p w14:paraId="3CDFDD3E" w14:textId="77777777" w:rsidR="00304EF6" w:rsidRPr="00A964FF" w:rsidRDefault="00304EF6" w:rsidP="009D401B">
            <w:pPr>
              <w:jc w:val="center"/>
              <w:rPr>
                <w:rFonts w:ascii="Calibri" w:hAnsi="Calibri"/>
                <w:color w:val="auto"/>
                <w:szCs w:val="21"/>
              </w:rPr>
            </w:pPr>
            <w:r w:rsidRPr="00A964FF">
              <w:rPr>
                <w:rFonts w:ascii="Calibri"/>
                <w:color w:val="auto"/>
                <w:szCs w:val="21"/>
              </w:rPr>
              <w:t>环卫部门集中处置，不外排</w:t>
            </w:r>
          </w:p>
        </w:tc>
        <w:tc>
          <w:tcPr>
            <w:tcW w:w="371" w:type="pct"/>
            <w:tcMar>
              <w:top w:w="28" w:type="dxa"/>
              <w:left w:w="28" w:type="dxa"/>
              <w:bottom w:w="28" w:type="dxa"/>
              <w:right w:w="28" w:type="dxa"/>
            </w:tcMar>
            <w:vAlign w:val="center"/>
          </w:tcPr>
          <w:p w14:paraId="73375ADA" w14:textId="77777777" w:rsidR="00304EF6" w:rsidRPr="00A964FF" w:rsidRDefault="00304EF6" w:rsidP="009D401B">
            <w:pPr>
              <w:jc w:val="center"/>
              <w:rPr>
                <w:rFonts w:ascii="Calibri"/>
                <w:color w:val="auto"/>
                <w:szCs w:val="21"/>
              </w:rPr>
            </w:pPr>
            <w:r w:rsidRPr="00A964FF">
              <w:rPr>
                <w:rFonts w:ascii="Calibri" w:hint="eastAsia"/>
                <w:color w:val="auto"/>
                <w:szCs w:val="21"/>
              </w:rPr>
              <w:t>2</w:t>
            </w:r>
          </w:p>
        </w:tc>
      </w:tr>
      <w:tr w:rsidR="00304EF6" w:rsidRPr="00A964FF" w14:paraId="78DA5694" w14:textId="77777777" w:rsidTr="00ED3143">
        <w:trPr>
          <w:trHeight w:val="340"/>
          <w:jc w:val="center"/>
        </w:trPr>
        <w:tc>
          <w:tcPr>
            <w:tcW w:w="294" w:type="pct"/>
            <w:tcMar>
              <w:top w:w="28" w:type="dxa"/>
              <w:left w:w="28" w:type="dxa"/>
              <w:bottom w:w="28" w:type="dxa"/>
              <w:right w:w="28" w:type="dxa"/>
            </w:tcMar>
            <w:vAlign w:val="center"/>
          </w:tcPr>
          <w:p w14:paraId="3B89E8FA" w14:textId="77777777" w:rsidR="00304EF6" w:rsidRPr="00A964FF" w:rsidRDefault="00304EF6" w:rsidP="009D401B">
            <w:pPr>
              <w:jc w:val="center"/>
              <w:rPr>
                <w:rFonts w:ascii="Calibri" w:hAnsi="Calibri"/>
                <w:color w:val="auto"/>
                <w:szCs w:val="21"/>
              </w:rPr>
            </w:pPr>
            <w:r w:rsidRPr="00A964FF">
              <w:rPr>
                <w:rFonts w:ascii="Calibri" w:hAnsi="Calibri"/>
                <w:color w:val="auto"/>
                <w:szCs w:val="21"/>
              </w:rPr>
              <w:t>噪</w:t>
            </w:r>
          </w:p>
          <w:p w14:paraId="34BB8434" w14:textId="77777777" w:rsidR="00304EF6" w:rsidRPr="00A964FF" w:rsidRDefault="00304EF6" w:rsidP="009D401B">
            <w:pPr>
              <w:jc w:val="center"/>
              <w:rPr>
                <w:rFonts w:ascii="Calibri"/>
                <w:color w:val="auto"/>
                <w:szCs w:val="21"/>
              </w:rPr>
            </w:pPr>
            <w:r w:rsidRPr="00A964FF">
              <w:rPr>
                <w:rFonts w:ascii="Calibri" w:hAnsi="Calibri"/>
                <w:color w:val="auto"/>
                <w:szCs w:val="21"/>
              </w:rPr>
              <w:t>声</w:t>
            </w:r>
          </w:p>
        </w:tc>
        <w:tc>
          <w:tcPr>
            <w:tcW w:w="771" w:type="pct"/>
            <w:tcMar>
              <w:top w:w="28" w:type="dxa"/>
              <w:left w:w="28" w:type="dxa"/>
              <w:bottom w:w="28" w:type="dxa"/>
              <w:right w:w="28" w:type="dxa"/>
            </w:tcMar>
            <w:vAlign w:val="center"/>
          </w:tcPr>
          <w:p w14:paraId="18CBA060" w14:textId="77777777" w:rsidR="00304EF6" w:rsidRPr="00A964FF" w:rsidRDefault="00304EF6" w:rsidP="009D401B">
            <w:pPr>
              <w:jc w:val="center"/>
              <w:rPr>
                <w:rFonts w:ascii="Calibri"/>
                <w:color w:val="auto"/>
                <w:szCs w:val="21"/>
              </w:rPr>
            </w:pPr>
            <w:r w:rsidRPr="00A964FF">
              <w:rPr>
                <w:rFonts w:ascii="Calibri" w:hint="eastAsia"/>
                <w:color w:val="auto"/>
                <w:szCs w:val="21"/>
              </w:rPr>
              <w:t>设备噪声</w:t>
            </w:r>
          </w:p>
        </w:tc>
        <w:tc>
          <w:tcPr>
            <w:tcW w:w="1452" w:type="pct"/>
            <w:shd w:val="clear" w:color="auto" w:fill="auto"/>
            <w:tcMar>
              <w:top w:w="28" w:type="dxa"/>
              <w:left w:w="28" w:type="dxa"/>
              <w:bottom w:w="28" w:type="dxa"/>
              <w:right w:w="28" w:type="dxa"/>
            </w:tcMar>
            <w:vAlign w:val="center"/>
          </w:tcPr>
          <w:p w14:paraId="56D4426A" w14:textId="77777777" w:rsidR="00304EF6" w:rsidRPr="00A964FF" w:rsidRDefault="00304EF6" w:rsidP="009D401B">
            <w:pPr>
              <w:jc w:val="center"/>
              <w:rPr>
                <w:rFonts w:ascii="Calibri"/>
                <w:color w:val="auto"/>
                <w:szCs w:val="21"/>
              </w:rPr>
            </w:pPr>
            <w:r w:rsidRPr="00A964FF">
              <w:rPr>
                <w:rFonts w:ascii="Calibri"/>
                <w:color w:val="auto"/>
                <w:szCs w:val="21"/>
              </w:rPr>
              <w:t>采取基础减振、隔声，风机加装消声器等降噪措施</w:t>
            </w:r>
          </w:p>
        </w:tc>
        <w:tc>
          <w:tcPr>
            <w:tcW w:w="323" w:type="pct"/>
            <w:tcMar>
              <w:top w:w="28" w:type="dxa"/>
              <w:left w:w="28" w:type="dxa"/>
              <w:bottom w:w="28" w:type="dxa"/>
              <w:right w:w="28" w:type="dxa"/>
            </w:tcMar>
            <w:vAlign w:val="center"/>
          </w:tcPr>
          <w:p w14:paraId="2804B78C" w14:textId="77777777" w:rsidR="00304EF6" w:rsidRPr="00A964FF" w:rsidRDefault="00304EF6" w:rsidP="009D401B">
            <w:pPr>
              <w:jc w:val="center"/>
              <w:rPr>
                <w:rFonts w:ascii="Calibri"/>
                <w:color w:val="auto"/>
                <w:szCs w:val="21"/>
              </w:rPr>
            </w:pPr>
            <w:r w:rsidRPr="00A964FF">
              <w:rPr>
                <w:rFonts w:ascii="Calibri" w:hint="eastAsia"/>
                <w:color w:val="auto"/>
                <w:szCs w:val="21"/>
              </w:rPr>
              <w:t>/</w:t>
            </w:r>
          </w:p>
        </w:tc>
        <w:tc>
          <w:tcPr>
            <w:tcW w:w="1789" w:type="pct"/>
            <w:shd w:val="clear" w:color="auto" w:fill="auto"/>
            <w:tcMar>
              <w:top w:w="28" w:type="dxa"/>
              <w:left w:w="28" w:type="dxa"/>
              <w:bottom w:w="28" w:type="dxa"/>
              <w:right w:w="28" w:type="dxa"/>
            </w:tcMar>
            <w:vAlign w:val="center"/>
          </w:tcPr>
          <w:p w14:paraId="580243EF" w14:textId="77777777" w:rsidR="00304EF6" w:rsidRPr="00A964FF" w:rsidRDefault="00304EF6" w:rsidP="002E118B">
            <w:pPr>
              <w:jc w:val="center"/>
              <w:rPr>
                <w:rFonts w:ascii="Calibri" w:hAnsi="Calibri"/>
                <w:color w:val="auto"/>
                <w:szCs w:val="21"/>
              </w:rPr>
            </w:pPr>
            <w:r w:rsidRPr="00A964FF">
              <w:rPr>
                <w:rFonts w:ascii="Calibri" w:hAnsi="Calibri" w:hint="eastAsia"/>
                <w:color w:val="auto"/>
                <w:szCs w:val="21"/>
              </w:rPr>
              <w:t>厂界</w:t>
            </w:r>
            <w:r w:rsidRPr="00A964FF">
              <w:rPr>
                <w:rFonts w:ascii="Calibri" w:hAnsi="Calibri"/>
                <w:color w:val="auto"/>
                <w:szCs w:val="21"/>
              </w:rPr>
              <w:t>满足《工业企业厂界环境噪声排放标准》（</w:t>
            </w:r>
            <w:r w:rsidRPr="00A964FF">
              <w:rPr>
                <w:rFonts w:ascii="Calibri" w:hAnsi="Calibri"/>
                <w:color w:val="auto"/>
                <w:szCs w:val="21"/>
              </w:rPr>
              <w:t>GB</w:t>
            </w:r>
            <w:r w:rsidRPr="00A964FF">
              <w:rPr>
                <w:rFonts w:ascii="Calibri" w:hAnsi="Calibri" w:hint="eastAsia"/>
                <w:color w:val="auto"/>
                <w:szCs w:val="21"/>
              </w:rPr>
              <w:t>12348</w:t>
            </w:r>
            <w:r w:rsidRPr="00A964FF">
              <w:rPr>
                <w:rFonts w:ascii="Calibri" w:hAnsi="Calibri"/>
                <w:color w:val="auto"/>
                <w:szCs w:val="21"/>
              </w:rPr>
              <w:t>-2008</w:t>
            </w:r>
            <w:r w:rsidRPr="00A964FF">
              <w:rPr>
                <w:rFonts w:ascii="Calibri" w:hAnsi="Calibri"/>
                <w:color w:val="auto"/>
                <w:szCs w:val="21"/>
              </w:rPr>
              <w:t>）</w:t>
            </w:r>
            <w:r w:rsidR="002E118B">
              <w:rPr>
                <w:rFonts w:ascii="Calibri" w:hAnsi="Calibri" w:hint="eastAsia"/>
                <w:color w:val="auto"/>
                <w:szCs w:val="21"/>
              </w:rPr>
              <w:t>3</w:t>
            </w:r>
            <w:r w:rsidRPr="00A964FF">
              <w:rPr>
                <w:rFonts w:ascii="Calibri" w:hAnsi="Calibri" w:hint="eastAsia"/>
                <w:color w:val="auto"/>
                <w:szCs w:val="21"/>
              </w:rPr>
              <w:t>类</w:t>
            </w:r>
            <w:r w:rsidRPr="00A964FF">
              <w:rPr>
                <w:rFonts w:ascii="Calibri" w:hAnsi="Calibri"/>
                <w:color w:val="auto"/>
                <w:szCs w:val="21"/>
              </w:rPr>
              <w:t>标准</w:t>
            </w:r>
          </w:p>
        </w:tc>
        <w:tc>
          <w:tcPr>
            <w:tcW w:w="371" w:type="pct"/>
            <w:tcMar>
              <w:top w:w="28" w:type="dxa"/>
              <w:left w:w="28" w:type="dxa"/>
              <w:bottom w:w="28" w:type="dxa"/>
              <w:right w:w="28" w:type="dxa"/>
            </w:tcMar>
            <w:vAlign w:val="center"/>
          </w:tcPr>
          <w:p w14:paraId="69F50C00" w14:textId="77777777" w:rsidR="00304EF6" w:rsidRPr="00A964FF" w:rsidRDefault="00FB4005" w:rsidP="009D401B">
            <w:pPr>
              <w:jc w:val="center"/>
              <w:rPr>
                <w:rFonts w:ascii="Calibri"/>
                <w:color w:val="auto"/>
                <w:szCs w:val="21"/>
              </w:rPr>
            </w:pPr>
            <w:r>
              <w:rPr>
                <w:rFonts w:ascii="Calibri"/>
                <w:color w:val="auto"/>
                <w:szCs w:val="21"/>
              </w:rPr>
              <w:t>20</w:t>
            </w:r>
          </w:p>
        </w:tc>
      </w:tr>
      <w:tr w:rsidR="00304EF6" w:rsidRPr="00A964FF" w14:paraId="24338F34" w14:textId="77777777" w:rsidTr="00ED3143">
        <w:trPr>
          <w:trHeight w:val="340"/>
          <w:jc w:val="center"/>
        </w:trPr>
        <w:tc>
          <w:tcPr>
            <w:tcW w:w="1065" w:type="pct"/>
            <w:gridSpan w:val="2"/>
            <w:tcMar>
              <w:top w:w="28" w:type="dxa"/>
              <w:left w:w="28" w:type="dxa"/>
              <w:bottom w:w="28" w:type="dxa"/>
              <w:right w:w="28" w:type="dxa"/>
            </w:tcMar>
            <w:vAlign w:val="center"/>
          </w:tcPr>
          <w:p w14:paraId="6B387242" w14:textId="77777777" w:rsidR="00304EF6" w:rsidRPr="00A964FF" w:rsidRDefault="00304EF6" w:rsidP="00BD3BDB">
            <w:pPr>
              <w:jc w:val="center"/>
              <w:rPr>
                <w:rFonts w:ascii="Calibri" w:hAnsi="宋体"/>
                <w:color w:val="auto"/>
                <w:szCs w:val="21"/>
              </w:rPr>
            </w:pPr>
            <w:r w:rsidRPr="00A964FF">
              <w:rPr>
                <w:rFonts w:ascii="Calibri" w:hAnsi="宋体" w:hint="eastAsia"/>
                <w:color w:val="auto"/>
                <w:szCs w:val="21"/>
              </w:rPr>
              <w:t>生态</w:t>
            </w:r>
          </w:p>
        </w:tc>
        <w:tc>
          <w:tcPr>
            <w:tcW w:w="1452" w:type="pct"/>
            <w:shd w:val="clear" w:color="auto" w:fill="auto"/>
            <w:tcMar>
              <w:top w:w="28" w:type="dxa"/>
              <w:left w:w="28" w:type="dxa"/>
              <w:bottom w:w="28" w:type="dxa"/>
              <w:right w:w="28" w:type="dxa"/>
            </w:tcMar>
            <w:vAlign w:val="center"/>
          </w:tcPr>
          <w:p w14:paraId="6F844FF9" w14:textId="77777777" w:rsidR="00304EF6" w:rsidRPr="00A964FF" w:rsidRDefault="00304EF6" w:rsidP="00CE1786">
            <w:pPr>
              <w:jc w:val="center"/>
              <w:rPr>
                <w:rFonts w:ascii="Calibri" w:hAnsi="Calibri"/>
                <w:color w:val="auto"/>
                <w:szCs w:val="21"/>
              </w:rPr>
            </w:pPr>
            <w:r w:rsidRPr="00A964FF">
              <w:rPr>
                <w:rFonts w:ascii="Calibri" w:hAnsi="宋体" w:hint="eastAsia"/>
                <w:bCs/>
                <w:color w:val="auto"/>
                <w:szCs w:val="21"/>
              </w:rPr>
              <w:t>加强绿化，植树种草</w:t>
            </w:r>
            <w:r w:rsidRPr="00A964FF">
              <w:rPr>
                <w:rFonts w:ascii="Calibri" w:hAnsi="Calibri" w:hint="eastAsia"/>
                <w:color w:val="auto"/>
                <w:szCs w:val="21"/>
              </w:rPr>
              <w:t xml:space="preserve"> </w:t>
            </w:r>
          </w:p>
        </w:tc>
        <w:tc>
          <w:tcPr>
            <w:tcW w:w="323" w:type="pct"/>
            <w:tcMar>
              <w:top w:w="28" w:type="dxa"/>
              <w:left w:w="28" w:type="dxa"/>
              <w:bottom w:w="28" w:type="dxa"/>
              <w:right w:w="28" w:type="dxa"/>
            </w:tcMar>
            <w:vAlign w:val="center"/>
          </w:tcPr>
          <w:p w14:paraId="41FD095B" w14:textId="77777777" w:rsidR="00304EF6" w:rsidRPr="00A964FF" w:rsidRDefault="00304EF6" w:rsidP="00BD3BDB">
            <w:pPr>
              <w:jc w:val="center"/>
              <w:rPr>
                <w:rFonts w:ascii="Calibri" w:hAnsi="Calibri"/>
                <w:color w:val="auto"/>
                <w:szCs w:val="21"/>
              </w:rPr>
            </w:pPr>
            <w:r w:rsidRPr="00A964FF">
              <w:rPr>
                <w:rFonts w:ascii="Calibri" w:hAnsi="Calibri" w:hint="eastAsia"/>
                <w:color w:val="auto"/>
                <w:szCs w:val="21"/>
              </w:rPr>
              <w:t>/</w:t>
            </w:r>
          </w:p>
        </w:tc>
        <w:tc>
          <w:tcPr>
            <w:tcW w:w="1789" w:type="pct"/>
            <w:shd w:val="clear" w:color="auto" w:fill="auto"/>
            <w:tcMar>
              <w:top w:w="28" w:type="dxa"/>
              <w:left w:w="28" w:type="dxa"/>
              <w:bottom w:w="28" w:type="dxa"/>
              <w:right w:w="28" w:type="dxa"/>
            </w:tcMar>
            <w:vAlign w:val="center"/>
          </w:tcPr>
          <w:p w14:paraId="235CB251" w14:textId="77777777" w:rsidR="00304EF6" w:rsidRPr="00A964FF" w:rsidRDefault="00304EF6" w:rsidP="00CE1786">
            <w:pPr>
              <w:jc w:val="center"/>
              <w:rPr>
                <w:rFonts w:ascii="Calibri" w:hAnsi="宋体"/>
                <w:color w:val="auto"/>
                <w:szCs w:val="21"/>
              </w:rPr>
            </w:pPr>
            <w:r w:rsidRPr="00A964FF">
              <w:rPr>
                <w:rFonts w:ascii="Calibri" w:hAnsi="Calibri" w:hint="eastAsia"/>
                <w:color w:val="auto"/>
                <w:szCs w:val="21"/>
              </w:rPr>
              <w:t>厂区绿化率大于</w:t>
            </w:r>
            <w:r w:rsidRPr="00A964FF">
              <w:rPr>
                <w:rFonts w:ascii="Calibri" w:hAnsi="Calibri" w:hint="eastAsia"/>
                <w:color w:val="auto"/>
                <w:szCs w:val="21"/>
              </w:rPr>
              <w:t>15</w:t>
            </w:r>
            <w:r w:rsidRPr="00A964FF">
              <w:rPr>
                <w:rFonts w:ascii="Calibri" w:hAnsi="Calibri"/>
                <w:color w:val="auto"/>
                <w:szCs w:val="21"/>
              </w:rPr>
              <w:t>%</w:t>
            </w:r>
          </w:p>
        </w:tc>
        <w:tc>
          <w:tcPr>
            <w:tcW w:w="371" w:type="pct"/>
            <w:tcMar>
              <w:top w:w="28" w:type="dxa"/>
              <w:left w:w="28" w:type="dxa"/>
              <w:bottom w:w="28" w:type="dxa"/>
              <w:right w:w="28" w:type="dxa"/>
            </w:tcMar>
            <w:vAlign w:val="center"/>
          </w:tcPr>
          <w:p w14:paraId="36318121" w14:textId="77777777" w:rsidR="00304EF6" w:rsidRPr="00A964FF" w:rsidRDefault="00304EF6" w:rsidP="009D401B">
            <w:pPr>
              <w:jc w:val="center"/>
              <w:rPr>
                <w:rFonts w:ascii="Calibri"/>
                <w:color w:val="auto"/>
                <w:szCs w:val="21"/>
              </w:rPr>
            </w:pPr>
            <w:r w:rsidRPr="00A964FF">
              <w:rPr>
                <w:rFonts w:ascii="Calibri" w:hint="eastAsia"/>
                <w:color w:val="auto"/>
                <w:szCs w:val="21"/>
              </w:rPr>
              <w:t>50</w:t>
            </w:r>
          </w:p>
        </w:tc>
      </w:tr>
      <w:tr w:rsidR="00304EF6" w:rsidRPr="00A964FF" w14:paraId="66761020" w14:textId="77777777" w:rsidTr="00ED3143">
        <w:trPr>
          <w:trHeight w:val="340"/>
          <w:jc w:val="center"/>
        </w:trPr>
        <w:tc>
          <w:tcPr>
            <w:tcW w:w="1065" w:type="pct"/>
            <w:gridSpan w:val="2"/>
            <w:vMerge w:val="restart"/>
            <w:tcMar>
              <w:top w:w="28" w:type="dxa"/>
              <w:left w:w="28" w:type="dxa"/>
              <w:bottom w:w="28" w:type="dxa"/>
              <w:right w:w="28" w:type="dxa"/>
            </w:tcMar>
            <w:vAlign w:val="center"/>
          </w:tcPr>
          <w:p w14:paraId="69098AEA" w14:textId="77777777" w:rsidR="00304EF6" w:rsidRPr="00A964FF" w:rsidRDefault="00304EF6" w:rsidP="009D401B">
            <w:pPr>
              <w:jc w:val="center"/>
              <w:rPr>
                <w:rFonts w:ascii="Calibri" w:hAnsi="Calibri"/>
                <w:color w:val="auto"/>
                <w:szCs w:val="21"/>
              </w:rPr>
            </w:pPr>
            <w:r w:rsidRPr="00A964FF">
              <w:rPr>
                <w:rFonts w:ascii="Calibri" w:hint="eastAsia"/>
                <w:color w:val="auto"/>
                <w:szCs w:val="21"/>
              </w:rPr>
              <w:t>环境风险</w:t>
            </w:r>
          </w:p>
        </w:tc>
        <w:tc>
          <w:tcPr>
            <w:tcW w:w="1452" w:type="pct"/>
            <w:shd w:val="clear" w:color="auto" w:fill="auto"/>
            <w:tcMar>
              <w:top w:w="28" w:type="dxa"/>
              <w:left w:w="28" w:type="dxa"/>
              <w:bottom w:w="28" w:type="dxa"/>
              <w:right w:w="28" w:type="dxa"/>
            </w:tcMar>
            <w:vAlign w:val="center"/>
          </w:tcPr>
          <w:p w14:paraId="2E2328B9" w14:textId="77777777" w:rsidR="00304EF6" w:rsidRPr="002E118B" w:rsidRDefault="00304EF6" w:rsidP="00D213C2">
            <w:pPr>
              <w:jc w:val="center"/>
              <w:rPr>
                <w:rFonts w:ascii="Calibri" w:hAnsi="Calibri"/>
                <w:bCs/>
                <w:color w:val="auto"/>
                <w:szCs w:val="21"/>
              </w:rPr>
            </w:pPr>
            <w:r w:rsidRPr="002E118B">
              <w:rPr>
                <w:rFonts w:ascii="Calibri" w:hAnsi="Calibri" w:hint="eastAsia"/>
                <w:bCs/>
                <w:color w:val="auto"/>
                <w:szCs w:val="21"/>
              </w:rPr>
              <w:t>厂区设置</w:t>
            </w:r>
            <w:r w:rsidRPr="002E118B">
              <w:rPr>
                <w:rFonts w:ascii="Calibri" w:hAnsi="Calibri" w:hint="eastAsia"/>
                <w:bCs/>
                <w:color w:val="auto"/>
                <w:szCs w:val="21"/>
              </w:rPr>
              <w:t>1</w:t>
            </w:r>
            <w:r w:rsidRPr="002E118B">
              <w:rPr>
                <w:rFonts w:ascii="Calibri" w:hAnsi="Calibri" w:hint="eastAsia"/>
                <w:bCs/>
                <w:color w:val="auto"/>
                <w:szCs w:val="21"/>
              </w:rPr>
              <w:t>座容积为</w:t>
            </w:r>
            <w:r w:rsidR="00D213C2">
              <w:rPr>
                <w:rFonts w:ascii="Calibri" w:hAnsi="Calibri"/>
                <w:bCs/>
                <w:color w:val="auto"/>
                <w:szCs w:val="21"/>
              </w:rPr>
              <w:t>500</w:t>
            </w:r>
            <w:r w:rsidRPr="002E118B">
              <w:rPr>
                <w:rFonts w:ascii="Calibri" w:hAnsi="Calibri" w:hint="eastAsia"/>
                <w:bCs/>
                <w:color w:val="auto"/>
                <w:szCs w:val="21"/>
              </w:rPr>
              <w:t>m</w:t>
            </w:r>
            <w:r w:rsidRPr="00DE50C9">
              <w:rPr>
                <w:rFonts w:ascii="Calibri" w:hAnsi="Calibri" w:hint="eastAsia"/>
                <w:bCs/>
                <w:color w:val="auto"/>
                <w:szCs w:val="21"/>
                <w:vertAlign w:val="superscript"/>
              </w:rPr>
              <w:t>3</w:t>
            </w:r>
            <w:r w:rsidRPr="002E118B">
              <w:rPr>
                <w:rFonts w:ascii="Calibri" w:hAnsi="Calibri" w:hint="eastAsia"/>
                <w:bCs/>
                <w:color w:val="auto"/>
                <w:szCs w:val="21"/>
              </w:rPr>
              <w:t>事故池，并防渗</w:t>
            </w:r>
          </w:p>
        </w:tc>
        <w:tc>
          <w:tcPr>
            <w:tcW w:w="323" w:type="pct"/>
            <w:tcMar>
              <w:top w:w="28" w:type="dxa"/>
              <w:left w:w="28" w:type="dxa"/>
              <w:bottom w:w="28" w:type="dxa"/>
              <w:right w:w="28" w:type="dxa"/>
            </w:tcMar>
            <w:vAlign w:val="center"/>
          </w:tcPr>
          <w:p w14:paraId="15DE0266" w14:textId="77777777" w:rsidR="00304EF6" w:rsidRPr="002E118B" w:rsidRDefault="00304EF6" w:rsidP="009D401B">
            <w:pPr>
              <w:jc w:val="center"/>
              <w:rPr>
                <w:rFonts w:ascii="Calibri" w:hAnsi="Calibri"/>
                <w:bCs/>
                <w:color w:val="auto"/>
                <w:szCs w:val="21"/>
              </w:rPr>
            </w:pPr>
            <w:r w:rsidRPr="002E118B">
              <w:rPr>
                <w:rFonts w:ascii="Calibri" w:hAnsi="Calibri" w:hint="eastAsia"/>
                <w:bCs/>
                <w:color w:val="auto"/>
                <w:szCs w:val="21"/>
              </w:rPr>
              <w:t>1</w:t>
            </w:r>
            <w:r w:rsidRPr="002E118B">
              <w:rPr>
                <w:rFonts w:ascii="Calibri" w:hAnsi="Calibri" w:hint="eastAsia"/>
                <w:bCs/>
                <w:color w:val="auto"/>
                <w:szCs w:val="21"/>
              </w:rPr>
              <w:t>座</w:t>
            </w:r>
          </w:p>
        </w:tc>
        <w:tc>
          <w:tcPr>
            <w:tcW w:w="1789" w:type="pct"/>
            <w:vMerge w:val="restart"/>
            <w:shd w:val="clear" w:color="auto" w:fill="auto"/>
            <w:tcMar>
              <w:top w:w="28" w:type="dxa"/>
              <w:left w:w="28" w:type="dxa"/>
              <w:bottom w:w="28" w:type="dxa"/>
              <w:right w:w="28" w:type="dxa"/>
            </w:tcMar>
            <w:vAlign w:val="center"/>
          </w:tcPr>
          <w:p w14:paraId="010EB795" w14:textId="77777777" w:rsidR="00304EF6" w:rsidRPr="002E118B" w:rsidRDefault="00304EF6" w:rsidP="00CE1786">
            <w:pPr>
              <w:jc w:val="center"/>
              <w:rPr>
                <w:rFonts w:ascii="Calibri" w:hAnsi="Calibri"/>
                <w:bCs/>
                <w:color w:val="auto"/>
                <w:szCs w:val="21"/>
              </w:rPr>
            </w:pPr>
            <w:r w:rsidRPr="002E118B">
              <w:rPr>
                <w:rFonts w:ascii="Calibri" w:hAnsi="Calibri"/>
                <w:bCs/>
                <w:color w:val="auto"/>
                <w:szCs w:val="21"/>
              </w:rPr>
              <w:t>收集</w:t>
            </w:r>
            <w:r w:rsidRPr="002E118B">
              <w:rPr>
                <w:rFonts w:ascii="Calibri" w:hAnsi="Calibri" w:hint="eastAsia"/>
                <w:bCs/>
                <w:color w:val="auto"/>
                <w:szCs w:val="21"/>
              </w:rPr>
              <w:t>事故产生的物料、废水，确保不进入水体，降低环境风险</w:t>
            </w:r>
          </w:p>
        </w:tc>
        <w:tc>
          <w:tcPr>
            <w:tcW w:w="371" w:type="pct"/>
            <w:tcMar>
              <w:top w:w="28" w:type="dxa"/>
              <w:left w:w="28" w:type="dxa"/>
              <w:bottom w:w="28" w:type="dxa"/>
              <w:right w:w="28" w:type="dxa"/>
            </w:tcMar>
            <w:vAlign w:val="center"/>
          </w:tcPr>
          <w:p w14:paraId="2CA58F45" w14:textId="77777777" w:rsidR="00304EF6" w:rsidRPr="002E118B" w:rsidRDefault="00FB4005" w:rsidP="00CE1786">
            <w:pPr>
              <w:jc w:val="center"/>
              <w:rPr>
                <w:rFonts w:ascii="Calibri" w:hAnsi="Calibri"/>
                <w:bCs/>
                <w:color w:val="auto"/>
                <w:szCs w:val="21"/>
              </w:rPr>
            </w:pPr>
            <w:r>
              <w:rPr>
                <w:rFonts w:ascii="Calibri" w:hAnsi="Calibri"/>
                <w:bCs/>
                <w:color w:val="auto"/>
                <w:szCs w:val="21"/>
              </w:rPr>
              <w:t>30</w:t>
            </w:r>
          </w:p>
        </w:tc>
      </w:tr>
      <w:tr w:rsidR="00304EF6" w:rsidRPr="00A964FF" w14:paraId="2AAB9395" w14:textId="77777777" w:rsidTr="00ED3143">
        <w:trPr>
          <w:trHeight w:val="340"/>
          <w:jc w:val="center"/>
        </w:trPr>
        <w:tc>
          <w:tcPr>
            <w:tcW w:w="1065" w:type="pct"/>
            <w:gridSpan w:val="2"/>
            <w:vMerge/>
            <w:tcMar>
              <w:top w:w="28" w:type="dxa"/>
              <w:left w:w="28" w:type="dxa"/>
              <w:bottom w:w="28" w:type="dxa"/>
              <w:right w:w="28" w:type="dxa"/>
            </w:tcMar>
            <w:vAlign w:val="center"/>
          </w:tcPr>
          <w:p w14:paraId="5A557A98" w14:textId="77777777" w:rsidR="00304EF6" w:rsidRPr="00A964FF" w:rsidRDefault="00304EF6" w:rsidP="009D401B">
            <w:pPr>
              <w:jc w:val="center"/>
              <w:rPr>
                <w:rFonts w:ascii="Calibri"/>
                <w:color w:val="auto"/>
                <w:szCs w:val="21"/>
              </w:rPr>
            </w:pPr>
          </w:p>
        </w:tc>
        <w:tc>
          <w:tcPr>
            <w:tcW w:w="1452" w:type="pct"/>
            <w:shd w:val="clear" w:color="auto" w:fill="auto"/>
            <w:tcMar>
              <w:top w:w="28" w:type="dxa"/>
              <w:left w:w="28" w:type="dxa"/>
              <w:bottom w:w="28" w:type="dxa"/>
              <w:right w:w="28" w:type="dxa"/>
            </w:tcMar>
            <w:vAlign w:val="center"/>
          </w:tcPr>
          <w:p w14:paraId="1C4D0F02" w14:textId="77777777" w:rsidR="00304EF6" w:rsidRPr="002E118B" w:rsidRDefault="00304EF6" w:rsidP="00D213C2">
            <w:pPr>
              <w:jc w:val="center"/>
              <w:rPr>
                <w:rFonts w:ascii="Calibri" w:hAnsi="Calibri"/>
                <w:bCs/>
                <w:color w:val="auto"/>
                <w:szCs w:val="21"/>
              </w:rPr>
            </w:pPr>
            <w:r w:rsidRPr="002E118B">
              <w:rPr>
                <w:rFonts w:ascii="Calibri" w:hAnsi="Calibri" w:hint="eastAsia"/>
                <w:bCs/>
                <w:color w:val="auto"/>
                <w:szCs w:val="21"/>
              </w:rPr>
              <w:t>厂区设置</w:t>
            </w:r>
            <w:r w:rsidRPr="002E118B">
              <w:rPr>
                <w:rFonts w:ascii="Calibri" w:hAnsi="Calibri" w:hint="eastAsia"/>
                <w:bCs/>
                <w:color w:val="auto"/>
                <w:szCs w:val="21"/>
              </w:rPr>
              <w:t>1</w:t>
            </w:r>
            <w:r w:rsidRPr="002E118B">
              <w:rPr>
                <w:rFonts w:ascii="Calibri" w:hAnsi="Calibri" w:hint="eastAsia"/>
                <w:bCs/>
                <w:color w:val="auto"/>
                <w:szCs w:val="21"/>
              </w:rPr>
              <w:t>座容积为</w:t>
            </w:r>
            <w:r w:rsidR="00D213C2">
              <w:rPr>
                <w:rFonts w:ascii="Calibri" w:hAnsi="Calibri"/>
                <w:bCs/>
                <w:color w:val="auto"/>
                <w:szCs w:val="21"/>
              </w:rPr>
              <w:t>580</w:t>
            </w:r>
            <w:r w:rsidRPr="002E118B">
              <w:rPr>
                <w:rFonts w:ascii="Calibri" w:hAnsi="Calibri" w:hint="eastAsia"/>
                <w:bCs/>
                <w:color w:val="auto"/>
                <w:szCs w:val="21"/>
              </w:rPr>
              <w:t>m</w:t>
            </w:r>
            <w:r w:rsidRPr="00DE50C9">
              <w:rPr>
                <w:rFonts w:ascii="Calibri" w:hAnsi="Calibri" w:hint="eastAsia"/>
                <w:bCs/>
                <w:color w:val="auto"/>
                <w:szCs w:val="21"/>
                <w:vertAlign w:val="superscript"/>
              </w:rPr>
              <w:t>3</w:t>
            </w:r>
            <w:r w:rsidRPr="002E118B">
              <w:rPr>
                <w:rFonts w:ascii="Calibri" w:hAnsi="Calibri" w:hint="eastAsia"/>
                <w:bCs/>
                <w:color w:val="auto"/>
                <w:szCs w:val="21"/>
              </w:rPr>
              <w:t>初期雨水收集池，并防渗</w:t>
            </w:r>
          </w:p>
        </w:tc>
        <w:tc>
          <w:tcPr>
            <w:tcW w:w="323" w:type="pct"/>
            <w:tcMar>
              <w:top w:w="28" w:type="dxa"/>
              <w:left w:w="28" w:type="dxa"/>
              <w:bottom w:w="28" w:type="dxa"/>
              <w:right w:w="28" w:type="dxa"/>
            </w:tcMar>
            <w:vAlign w:val="center"/>
          </w:tcPr>
          <w:p w14:paraId="534587E2" w14:textId="77777777" w:rsidR="00304EF6" w:rsidRPr="002E118B" w:rsidRDefault="00304EF6" w:rsidP="009D401B">
            <w:pPr>
              <w:jc w:val="center"/>
              <w:rPr>
                <w:rFonts w:ascii="Calibri" w:hAnsi="Calibri"/>
                <w:bCs/>
                <w:color w:val="auto"/>
                <w:szCs w:val="21"/>
              </w:rPr>
            </w:pPr>
            <w:r w:rsidRPr="002E118B">
              <w:rPr>
                <w:rFonts w:ascii="Calibri" w:hAnsi="Calibri" w:hint="eastAsia"/>
                <w:bCs/>
                <w:color w:val="auto"/>
                <w:szCs w:val="21"/>
              </w:rPr>
              <w:t>1</w:t>
            </w:r>
            <w:r w:rsidRPr="002E118B">
              <w:rPr>
                <w:rFonts w:ascii="Calibri" w:hAnsi="Calibri" w:hint="eastAsia"/>
                <w:bCs/>
                <w:color w:val="auto"/>
                <w:szCs w:val="21"/>
              </w:rPr>
              <w:t>座</w:t>
            </w:r>
          </w:p>
        </w:tc>
        <w:tc>
          <w:tcPr>
            <w:tcW w:w="1789" w:type="pct"/>
            <w:vMerge/>
            <w:shd w:val="clear" w:color="auto" w:fill="auto"/>
            <w:tcMar>
              <w:top w:w="28" w:type="dxa"/>
              <w:left w:w="28" w:type="dxa"/>
              <w:bottom w:w="28" w:type="dxa"/>
              <w:right w:w="28" w:type="dxa"/>
            </w:tcMar>
            <w:vAlign w:val="center"/>
          </w:tcPr>
          <w:p w14:paraId="2D7ABFDF" w14:textId="77777777" w:rsidR="00304EF6" w:rsidRPr="002E118B" w:rsidRDefault="00304EF6" w:rsidP="009D401B">
            <w:pPr>
              <w:jc w:val="center"/>
              <w:rPr>
                <w:rFonts w:ascii="Calibri" w:hAnsi="Calibri"/>
                <w:bCs/>
                <w:color w:val="auto"/>
                <w:szCs w:val="21"/>
              </w:rPr>
            </w:pPr>
          </w:p>
        </w:tc>
        <w:tc>
          <w:tcPr>
            <w:tcW w:w="371" w:type="pct"/>
            <w:tcMar>
              <w:top w:w="28" w:type="dxa"/>
              <w:left w:w="28" w:type="dxa"/>
              <w:bottom w:w="28" w:type="dxa"/>
              <w:right w:w="28" w:type="dxa"/>
            </w:tcMar>
            <w:vAlign w:val="center"/>
          </w:tcPr>
          <w:p w14:paraId="591F8E86" w14:textId="77777777" w:rsidR="00304EF6" w:rsidRPr="002E118B" w:rsidRDefault="00FB4005" w:rsidP="009D401B">
            <w:pPr>
              <w:jc w:val="center"/>
              <w:rPr>
                <w:rFonts w:ascii="Calibri" w:hAnsi="Calibri"/>
                <w:bCs/>
                <w:color w:val="auto"/>
                <w:szCs w:val="21"/>
              </w:rPr>
            </w:pPr>
            <w:r>
              <w:rPr>
                <w:rFonts w:ascii="Calibri" w:hAnsi="Calibri"/>
                <w:bCs/>
                <w:color w:val="auto"/>
                <w:szCs w:val="21"/>
              </w:rPr>
              <w:t>35</w:t>
            </w:r>
          </w:p>
        </w:tc>
      </w:tr>
      <w:tr w:rsidR="00304EF6" w:rsidRPr="00A964FF" w14:paraId="2AA2E85B" w14:textId="77777777" w:rsidTr="00ED3143">
        <w:trPr>
          <w:trHeight w:val="340"/>
          <w:jc w:val="center"/>
        </w:trPr>
        <w:tc>
          <w:tcPr>
            <w:tcW w:w="1065" w:type="pct"/>
            <w:gridSpan w:val="2"/>
            <w:vMerge/>
            <w:tcMar>
              <w:top w:w="28" w:type="dxa"/>
              <w:left w:w="28" w:type="dxa"/>
              <w:bottom w:w="28" w:type="dxa"/>
              <w:right w:w="28" w:type="dxa"/>
            </w:tcMar>
            <w:vAlign w:val="center"/>
          </w:tcPr>
          <w:p w14:paraId="134979FF" w14:textId="77777777" w:rsidR="00304EF6" w:rsidRPr="00A964FF" w:rsidRDefault="00304EF6" w:rsidP="009D401B">
            <w:pPr>
              <w:jc w:val="center"/>
              <w:rPr>
                <w:rFonts w:ascii="Calibri"/>
                <w:color w:val="auto"/>
                <w:szCs w:val="21"/>
              </w:rPr>
            </w:pPr>
          </w:p>
        </w:tc>
        <w:tc>
          <w:tcPr>
            <w:tcW w:w="1452" w:type="pct"/>
            <w:shd w:val="clear" w:color="auto" w:fill="auto"/>
            <w:tcMar>
              <w:top w:w="28" w:type="dxa"/>
              <w:left w:w="28" w:type="dxa"/>
              <w:bottom w:w="28" w:type="dxa"/>
              <w:right w:w="28" w:type="dxa"/>
            </w:tcMar>
            <w:vAlign w:val="center"/>
          </w:tcPr>
          <w:p w14:paraId="04D9EE54" w14:textId="77777777" w:rsidR="00304EF6" w:rsidRPr="002E118B" w:rsidRDefault="00304EF6" w:rsidP="00D213C2">
            <w:pPr>
              <w:jc w:val="center"/>
              <w:rPr>
                <w:rFonts w:ascii="Calibri" w:hAnsi="Calibri"/>
                <w:bCs/>
                <w:color w:val="auto"/>
                <w:szCs w:val="21"/>
              </w:rPr>
            </w:pPr>
            <w:r w:rsidRPr="002E118B">
              <w:rPr>
                <w:rFonts w:ascii="Calibri" w:hAnsi="Calibri" w:hint="eastAsia"/>
                <w:bCs/>
                <w:color w:val="auto"/>
                <w:szCs w:val="21"/>
              </w:rPr>
              <w:t>设置围堰，安装可燃</w:t>
            </w:r>
            <w:r w:rsidRPr="002E118B">
              <w:rPr>
                <w:rFonts w:ascii="Calibri" w:hAnsi="Calibri"/>
                <w:bCs/>
                <w:color w:val="auto"/>
                <w:szCs w:val="21"/>
              </w:rPr>
              <w:t>气体泄漏报警仪</w:t>
            </w:r>
            <w:r w:rsidRPr="002E118B">
              <w:rPr>
                <w:rFonts w:ascii="Calibri" w:hAnsi="Calibri" w:hint="eastAsia"/>
                <w:bCs/>
                <w:color w:val="auto"/>
                <w:szCs w:val="21"/>
              </w:rPr>
              <w:t>；编制应急预案，加强演练</w:t>
            </w:r>
            <w:r w:rsidRPr="002E118B">
              <w:rPr>
                <w:rFonts w:ascii="Calibri" w:hAnsi="Calibri"/>
                <w:bCs/>
                <w:color w:val="auto"/>
                <w:szCs w:val="21"/>
              </w:rPr>
              <w:t>等</w:t>
            </w:r>
          </w:p>
        </w:tc>
        <w:tc>
          <w:tcPr>
            <w:tcW w:w="323" w:type="pct"/>
            <w:tcMar>
              <w:top w:w="28" w:type="dxa"/>
              <w:left w:w="28" w:type="dxa"/>
              <w:bottom w:w="28" w:type="dxa"/>
              <w:right w:w="28" w:type="dxa"/>
            </w:tcMar>
            <w:vAlign w:val="center"/>
          </w:tcPr>
          <w:p w14:paraId="3798B2F4" w14:textId="77777777" w:rsidR="00304EF6" w:rsidRPr="002E118B" w:rsidRDefault="00304EF6" w:rsidP="009D401B">
            <w:pPr>
              <w:jc w:val="center"/>
              <w:rPr>
                <w:rFonts w:ascii="Calibri" w:hAnsi="Calibri"/>
                <w:bCs/>
                <w:color w:val="auto"/>
                <w:szCs w:val="21"/>
              </w:rPr>
            </w:pPr>
            <w:r w:rsidRPr="002E118B">
              <w:rPr>
                <w:rFonts w:ascii="Calibri" w:hAnsi="Calibri" w:hint="eastAsia"/>
                <w:bCs/>
                <w:color w:val="auto"/>
                <w:szCs w:val="21"/>
              </w:rPr>
              <w:t>/</w:t>
            </w:r>
          </w:p>
        </w:tc>
        <w:tc>
          <w:tcPr>
            <w:tcW w:w="1789" w:type="pct"/>
            <w:vMerge/>
            <w:shd w:val="clear" w:color="auto" w:fill="auto"/>
            <w:tcMar>
              <w:top w:w="28" w:type="dxa"/>
              <w:left w:w="28" w:type="dxa"/>
              <w:bottom w:w="28" w:type="dxa"/>
              <w:right w:w="28" w:type="dxa"/>
            </w:tcMar>
            <w:vAlign w:val="center"/>
          </w:tcPr>
          <w:p w14:paraId="78161B72" w14:textId="77777777" w:rsidR="00304EF6" w:rsidRPr="002E118B" w:rsidRDefault="00304EF6" w:rsidP="009D401B">
            <w:pPr>
              <w:jc w:val="center"/>
              <w:rPr>
                <w:rFonts w:ascii="Calibri" w:hAnsi="Calibri"/>
                <w:bCs/>
                <w:color w:val="auto"/>
                <w:szCs w:val="21"/>
              </w:rPr>
            </w:pPr>
          </w:p>
        </w:tc>
        <w:tc>
          <w:tcPr>
            <w:tcW w:w="371" w:type="pct"/>
            <w:tcMar>
              <w:top w:w="28" w:type="dxa"/>
              <w:left w:w="28" w:type="dxa"/>
              <w:bottom w:w="28" w:type="dxa"/>
              <w:right w:w="28" w:type="dxa"/>
            </w:tcMar>
            <w:vAlign w:val="center"/>
          </w:tcPr>
          <w:p w14:paraId="0327D855" w14:textId="77777777" w:rsidR="00304EF6" w:rsidRPr="002E118B" w:rsidRDefault="00FB4005" w:rsidP="008A64C5">
            <w:pPr>
              <w:jc w:val="center"/>
              <w:rPr>
                <w:rFonts w:ascii="Calibri" w:hAnsi="Calibri"/>
                <w:bCs/>
                <w:color w:val="auto"/>
                <w:szCs w:val="21"/>
              </w:rPr>
            </w:pPr>
            <w:r>
              <w:rPr>
                <w:rFonts w:ascii="Calibri" w:hAnsi="Calibri"/>
                <w:bCs/>
                <w:color w:val="auto"/>
                <w:szCs w:val="21"/>
              </w:rPr>
              <w:t>30</w:t>
            </w:r>
          </w:p>
        </w:tc>
      </w:tr>
      <w:tr w:rsidR="00304EF6" w:rsidRPr="00A964FF" w14:paraId="762E137F" w14:textId="77777777" w:rsidTr="00464579">
        <w:trPr>
          <w:trHeight w:val="340"/>
          <w:jc w:val="center"/>
        </w:trPr>
        <w:tc>
          <w:tcPr>
            <w:tcW w:w="2517" w:type="pct"/>
            <w:gridSpan w:val="3"/>
            <w:tcMar>
              <w:top w:w="28" w:type="dxa"/>
              <w:left w:w="28" w:type="dxa"/>
              <w:bottom w:w="28" w:type="dxa"/>
              <w:right w:w="28" w:type="dxa"/>
            </w:tcMar>
            <w:vAlign w:val="center"/>
          </w:tcPr>
          <w:p w14:paraId="46B8BCBC" w14:textId="77777777" w:rsidR="00304EF6" w:rsidRPr="00A964FF" w:rsidRDefault="00304EF6" w:rsidP="009D401B">
            <w:pPr>
              <w:jc w:val="center"/>
              <w:rPr>
                <w:rFonts w:ascii="Calibri" w:hAnsi="Calibri"/>
                <w:color w:val="auto"/>
                <w:szCs w:val="21"/>
              </w:rPr>
            </w:pPr>
            <w:r w:rsidRPr="00A964FF">
              <w:rPr>
                <w:rFonts w:ascii="Calibri" w:hAnsi="Calibri" w:hint="eastAsia"/>
                <w:color w:val="auto"/>
                <w:szCs w:val="21"/>
              </w:rPr>
              <w:t>总计</w:t>
            </w:r>
          </w:p>
        </w:tc>
        <w:tc>
          <w:tcPr>
            <w:tcW w:w="323" w:type="pct"/>
            <w:tcMar>
              <w:top w:w="28" w:type="dxa"/>
              <w:left w:w="28" w:type="dxa"/>
              <w:bottom w:w="28" w:type="dxa"/>
              <w:right w:w="28" w:type="dxa"/>
            </w:tcMar>
            <w:vAlign w:val="center"/>
          </w:tcPr>
          <w:p w14:paraId="382D4254" w14:textId="77777777" w:rsidR="00304EF6" w:rsidRPr="00A964FF" w:rsidRDefault="00304EF6" w:rsidP="009D401B">
            <w:pPr>
              <w:jc w:val="center"/>
              <w:rPr>
                <w:rFonts w:ascii="Calibri" w:hAnsi="Calibri"/>
                <w:color w:val="auto"/>
                <w:szCs w:val="21"/>
              </w:rPr>
            </w:pPr>
            <w:r w:rsidRPr="00A964FF">
              <w:rPr>
                <w:rFonts w:ascii="Calibri" w:hAnsi="Calibri" w:hint="eastAsia"/>
                <w:color w:val="auto"/>
                <w:szCs w:val="21"/>
              </w:rPr>
              <w:t>/</w:t>
            </w:r>
          </w:p>
        </w:tc>
        <w:tc>
          <w:tcPr>
            <w:tcW w:w="1789" w:type="pct"/>
            <w:shd w:val="clear" w:color="auto" w:fill="auto"/>
            <w:tcMar>
              <w:top w:w="28" w:type="dxa"/>
              <w:left w:w="28" w:type="dxa"/>
              <w:bottom w:w="28" w:type="dxa"/>
              <w:right w:w="28" w:type="dxa"/>
            </w:tcMar>
            <w:vAlign w:val="center"/>
          </w:tcPr>
          <w:p w14:paraId="3B5655AD" w14:textId="77777777" w:rsidR="00304EF6" w:rsidRPr="00A964FF" w:rsidRDefault="00304EF6" w:rsidP="009D401B">
            <w:pPr>
              <w:jc w:val="center"/>
              <w:rPr>
                <w:rFonts w:ascii="Calibri" w:eastAsia="黑体" w:hAnsi="Calibri"/>
                <w:b/>
                <w:color w:val="auto"/>
                <w:szCs w:val="21"/>
              </w:rPr>
            </w:pPr>
            <w:r w:rsidRPr="00A964FF">
              <w:rPr>
                <w:rFonts w:ascii="Calibri" w:hAnsi="Calibri" w:hint="eastAsia"/>
                <w:color w:val="auto"/>
                <w:szCs w:val="21"/>
              </w:rPr>
              <w:t>/</w:t>
            </w:r>
          </w:p>
        </w:tc>
        <w:tc>
          <w:tcPr>
            <w:tcW w:w="371" w:type="pct"/>
            <w:tcMar>
              <w:top w:w="28" w:type="dxa"/>
              <w:left w:w="28" w:type="dxa"/>
              <w:bottom w:w="28" w:type="dxa"/>
              <w:right w:w="28" w:type="dxa"/>
            </w:tcMar>
            <w:vAlign w:val="center"/>
          </w:tcPr>
          <w:p w14:paraId="7A219A6C" w14:textId="4DAC9106" w:rsidR="00304EF6" w:rsidRPr="00A964FF" w:rsidRDefault="00392F43" w:rsidP="009D401B">
            <w:pPr>
              <w:jc w:val="center"/>
              <w:rPr>
                <w:rFonts w:ascii="Calibri"/>
                <w:color w:val="auto"/>
                <w:szCs w:val="21"/>
              </w:rPr>
            </w:pPr>
            <w:r>
              <w:rPr>
                <w:rFonts w:ascii="Calibri"/>
                <w:color w:val="auto"/>
                <w:szCs w:val="21"/>
              </w:rPr>
              <w:t>514</w:t>
            </w:r>
          </w:p>
        </w:tc>
      </w:tr>
    </w:tbl>
    <w:p w14:paraId="60AEEF7D" w14:textId="77777777" w:rsidR="0055605A" w:rsidRPr="00A964FF" w:rsidRDefault="0055605A" w:rsidP="009D401B">
      <w:pPr>
        <w:pStyle w:val="1"/>
        <w:spacing w:line="240" w:lineRule="auto"/>
        <w:jc w:val="center"/>
        <w:rPr>
          <w:rFonts w:ascii="Calibri" w:hAnsi="Calibri"/>
          <w:color w:val="auto"/>
        </w:rPr>
      </w:pPr>
      <w:r w:rsidRPr="00A964FF">
        <w:rPr>
          <w:rFonts w:ascii="Calibri"/>
          <w:bCs w:val="0"/>
          <w:color w:val="auto"/>
        </w:rPr>
        <w:br w:type="page"/>
      </w:r>
      <w:bookmarkStart w:id="81" w:name="_Toc447804134"/>
      <w:bookmarkStart w:id="82" w:name="_Toc112999925"/>
      <w:r w:rsidRPr="00A964FF">
        <w:rPr>
          <w:rFonts w:ascii="Calibri" w:hAnsi="Calibri"/>
          <w:color w:val="auto"/>
        </w:rPr>
        <w:lastRenderedPageBreak/>
        <w:t>第</w:t>
      </w:r>
      <w:r w:rsidRPr="00A964FF">
        <w:rPr>
          <w:rFonts w:ascii="Calibri" w:hAnsi="Calibri" w:hint="eastAsia"/>
          <w:color w:val="auto"/>
        </w:rPr>
        <w:t>六</w:t>
      </w:r>
      <w:r w:rsidRPr="00A964FF">
        <w:rPr>
          <w:rFonts w:ascii="Calibri" w:hAnsi="Calibri"/>
          <w:color w:val="auto"/>
        </w:rPr>
        <w:t>章</w:t>
      </w:r>
      <w:r w:rsidRPr="00A964FF">
        <w:rPr>
          <w:rFonts w:ascii="Calibri" w:hAnsi="Calibri"/>
          <w:color w:val="auto"/>
        </w:rPr>
        <w:t xml:space="preserve">   </w:t>
      </w:r>
      <w:bookmarkEnd w:id="81"/>
      <w:r w:rsidRPr="00A964FF">
        <w:rPr>
          <w:rFonts w:ascii="Calibri" w:hAnsi="Calibri" w:hint="eastAsia"/>
          <w:color w:val="auto"/>
        </w:rPr>
        <w:t>环境经济损益分析</w:t>
      </w:r>
      <w:bookmarkEnd w:id="82"/>
    </w:p>
    <w:p w14:paraId="32266E18" w14:textId="77777777" w:rsidR="0055605A" w:rsidRPr="00A964FF" w:rsidRDefault="0055605A" w:rsidP="0055605A">
      <w:pPr>
        <w:pStyle w:val="00"/>
        <w:rPr>
          <w:rFonts w:ascii="Calibri" w:hAnsi="Calibri"/>
          <w:color w:val="auto"/>
        </w:rPr>
      </w:pPr>
      <w:bookmarkStart w:id="83" w:name="_Toc447804135"/>
      <w:r w:rsidRPr="00A964FF">
        <w:rPr>
          <w:rFonts w:ascii="Calibri" w:hAnsi="Calibri" w:hint="eastAsia"/>
          <w:color w:val="auto"/>
        </w:rPr>
        <w:t>环境经济损益分析是建设项目环境影响评价的一个重要组成部分，是综合评价、判断建设项目的环保投资是否能够补偿或多大程度上补偿由于污染造成环境损失的重要依据。环境经济损益分析除了需计算用于治理、控制污染所需的投资和费用外，还要同时核算可能收到的环境经济效益、社会环境效益和环境污染损失。</w:t>
      </w:r>
    </w:p>
    <w:p w14:paraId="075A66D7" w14:textId="77777777" w:rsidR="0055605A" w:rsidRPr="00A964FF" w:rsidRDefault="0055605A" w:rsidP="0055605A">
      <w:pPr>
        <w:pStyle w:val="00"/>
        <w:rPr>
          <w:rFonts w:ascii="Calibri" w:hAnsi="Calibri"/>
          <w:color w:val="auto"/>
        </w:rPr>
      </w:pPr>
      <w:r w:rsidRPr="00A964FF">
        <w:rPr>
          <w:rFonts w:ascii="Calibri" w:hAnsi="Calibri" w:hint="eastAsia"/>
          <w:color w:val="auto"/>
        </w:rPr>
        <w:t>环境经济损益分析的主要任务是衡量建设项目环保投资及所能收到的环境保护效果，通过环保设施技术可行性和经济合理性的论证分析及评价，更合理地选择环保设施，从而促进建设项目更好地实现环境效益、经济效益与社会效益的统一。</w:t>
      </w:r>
    </w:p>
    <w:p w14:paraId="3227EA99" w14:textId="77777777" w:rsidR="00F1209B" w:rsidRPr="00A964FF" w:rsidRDefault="0055605A" w:rsidP="00F1209B">
      <w:pPr>
        <w:pStyle w:val="2"/>
        <w:spacing w:before="200" w:after="100"/>
        <w:rPr>
          <w:rFonts w:ascii="Calibri" w:hAnsi="Calibri"/>
          <w:bCs/>
          <w:color w:val="auto"/>
          <w:szCs w:val="28"/>
        </w:rPr>
      </w:pPr>
      <w:bookmarkStart w:id="84" w:name="_Toc112999926"/>
      <w:r w:rsidRPr="00A964FF">
        <w:rPr>
          <w:rFonts w:ascii="Calibri" w:hAnsi="Calibri" w:hint="eastAsia"/>
          <w:bCs/>
          <w:color w:val="auto"/>
          <w:szCs w:val="28"/>
        </w:rPr>
        <w:t>6</w:t>
      </w:r>
      <w:r w:rsidRPr="00A964FF">
        <w:rPr>
          <w:rFonts w:ascii="Calibri" w:hAnsi="Calibri"/>
          <w:bCs/>
          <w:color w:val="auto"/>
          <w:szCs w:val="28"/>
        </w:rPr>
        <w:t>.1</w:t>
      </w:r>
      <w:bookmarkEnd w:id="83"/>
      <w:r w:rsidRPr="00A964FF">
        <w:rPr>
          <w:rFonts w:ascii="Calibri" w:hAnsi="Calibri" w:hint="eastAsia"/>
          <w:bCs/>
          <w:color w:val="auto"/>
          <w:szCs w:val="28"/>
        </w:rPr>
        <w:t>经济效益分析</w:t>
      </w:r>
      <w:bookmarkEnd w:id="84"/>
    </w:p>
    <w:p w14:paraId="405FB4AB" w14:textId="60B4C362" w:rsidR="00EF449E" w:rsidRPr="006B5543" w:rsidRDefault="0055605A" w:rsidP="006B5543">
      <w:pPr>
        <w:pStyle w:val="00"/>
        <w:rPr>
          <w:rFonts w:ascii="Calibri" w:hAnsi="Calibri"/>
          <w:color w:val="auto"/>
        </w:rPr>
      </w:pPr>
      <w:r w:rsidRPr="00A964FF">
        <w:rPr>
          <w:rFonts w:ascii="Calibri" w:hAnsi="Calibri"/>
          <w:color w:val="auto"/>
        </w:rPr>
        <w:t>本项目总投资为</w:t>
      </w:r>
      <w:r w:rsidR="00F01D48" w:rsidRPr="00F01D48">
        <w:rPr>
          <w:rFonts w:ascii="Calibri" w:hAnsi="Calibri"/>
          <w:caps/>
          <w:color w:val="auto"/>
        </w:rPr>
        <w:t>30461</w:t>
      </w:r>
      <w:r w:rsidR="00F9518A" w:rsidRPr="00F9518A">
        <w:rPr>
          <w:rFonts w:ascii="Calibri" w:hAnsi="Calibri"/>
          <w:caps/>
          <w:color w:val="auto"/>
        </w:rPr>
        <w:t>万元，</w:t>
      </w:r>
      <w:bookmarkStart w:id="85" w:name="_Toc471772616"/>
      <w:r w:rsidR="00F01D48">
        <w:rPr>
          <w:rFonts w:asciiTheme="minorHAnsi" w:hAnsi="Calibri" w:cstheme="minorHAnsi" w:hint="eastAsia"/>
          <w:color w:val="auto"/>
        </w:rPr>
        <w:t>本项目</w:t>
      </w:r>
      <w:r w:rsidR="00F01D48">
        <w:rPr>
          <w:rFonts w:asciiTheme="minorHAnsi" w:hAnsi="Calibri" w:cstheme="minorHAnsi"/>
          <w:color w:val="auto"/>
        </w:rPr>
        <w:t>分三期建设，</w:t>
      </w:r>
      <w:r w:rsidR="006B5543">
        <w:rPr>
          <w:rFonts w:asciiTheme="minorHAnsi" w:hAnsi="Calibri" w:cstheme="minorHAnsi"/>
          <w:color w:val="auto"/>
        </w:rPr>
        <w:t>其中</w:t>
      </w:r>
      <w:r w:rsidR="006B5543">
        <w:rPr>
          <w:rFonts w:asciiTheme="minorHAnsi" w:hAnsi="Calibri" w:cstheme="minorHAnsi" w:hint="eastAsia"/>
          <w:color w:val="auto"/>
        </w:rPr>
        <w:t>一期</w:t>
      </w:r>
      <w:r w:rsidR="006B5543" w:rsidRPr="006B5543">
        <w:rPr>
          <w:rFonts w:asciiTheme="minorHAnsi" w:hAnsi="Calibri" w:cstheme="minorHAnsi" w:hint="eastAsia"/>
          <w:color w:val="auto"/>
        </w:rPr>
        <w:t>投资</w:t>
      </w:r>
      <w:r w:rsidR="006B5543" w:rsidRPr="006B5543">
        <w:rPr>
          <w:rFonts w:asciiTheme="minorHAnsi" w:hAnsi="Calibri" w:cstheme="minorHAnsi" w:hint="eastAsia"/>
          <w:color w:val="auto"/>
        </w:rPr>
        <w:t>18000</w:t>
      </w:r>
      <w:r w:rsidR="006B5543" w:rsidRPr="006B5543">
        <w:rPr>
          <w:rFonts w:asciiTheme="minorHAnsi" w:hAnsi="Calibri" w:cstheme="minorHAnsi" w:hint="eastAsia"/>
          <w:color w:val="auto"/>
        </w:rPr>
        <w:t>万元，二期投资</w:t>
      </w:r>
      <w:r w:rsidR="006B5543" w:rsidRPr="006B5543">
        <w:rPr>
          <w:rFonts w:asciiTheme="minorHAnsi" w:hAnsi="Calibri" w:cstheme="minorHAnsi" w:hint="eastAsia"/>
          <w:color w:val="auto"/>
        </w:rPr>
        <w:t>7400</w:t>
      </w:r>
      <w:r w:rsidR="006B5543" w:rsidRPr="006B5543">
        <w:rPr>
          <w:rFonts w:asciiTheme="minorHAnsi" w:hAnsi="Calibri" w:cstheme="minorHAnsi" w:hint="eastAsia"/>
          <w:color w:val="auto"/>
        </w:rPr>
        <w:t>万元</w:t>
      </w:r>
      <w:r w:rsidR="006B5543">
        <w:rPr>
          <w:rFonts w:asciiTheme="minorHAnsi" w:hAnsi="Calibri" w:cstheme="minorHAnsi" w:hint="eastAsia"/>
          <w:color w:val="auto"/>
        </w:rPr>
        <w:t>，一期、</w:t>
      </w:r>
      <w:r w:rsidR="006B5543">
        <w:rPr>
          <w:rFonts w:asciiTheme="minorHAnsi" w:hAnsi="Calibri" w:cstheme="minorHAnsi"/>
          <w:color w:val="auto"/>
        </w:rPr>
        <w:t>二期</w:t>
      </w:r>
      <w:r w:rsidR="006B5543">
        <w:rPr>
          <w:rFonts w:asciiTheme="minorHAnsi" w:hAnsi="Calibri" w:cstheme="minorHAnsi" w:hint="eastAsia"/>
          <w:color w:val="auto"/>
        </w:rPr>
        <w:t>工程</w:t>
      </w:r>
      <w:r w:rsidR="00CA205D" w:rsidRPr="00A964FF">
        <w:rPr>
          <w:rFonts w:ascii="Calibri" w:hAnsi="Calibri"/>
          <w:color w:val="auto"/>
        </w:rPr>
        <w:t>建成</w:t>
      </w:r>
      <w:r w:rsidR="00EF449E" w:rsidRPr="00A964FF">
        <w:rPr>
          <w:rFonts w:ascii="Calibri" w:hAnsi="Calibri" w:hint="eastAsia"/>
          <w:color w:val="auto"/>
        </w:rPr>
        <w:t>投产后</w:t>
      </w:r>
      <w:r w:rsidR="006B5543">
        <w:rPr>
          <w:rFonts w:ascii="Calibri" w:hAnsi="Calibri" w:hint="eastAsia"/>
          <w:color w:val="auto"/>
        </w:rPr>
        <w:t>年销售</w:t>
      </w:r>
      <w:r w:rsidR="006B5543">
        <w:rPr>
          <w:rFonts w:ascii="Calibri" w:hAnsi="Calibri"/>
          <w:color w:val="auto"/>
        </w:rPr>
        <w:t>收入</w:t>
      </w:r>
      <w:r w:rsidR="00F9518A" w:rsidRPr="00F9518A">
        <w:rPr>
          <w:rFonts w:ascii="Calibri" w:hAnsi="Calibri" w:hint="eastAsia"/>
          <w:color w:val="auto"/>
        </w:rPr>
        <w:t>满负荷生产</w:t>
      </w:r>
      <w:r w:rsidR="00F9518A" w:rsidRPr="00F9518A">
        <w:rPr>
          <w:rFonts w:ascii="Calibri" w:hAnsi="Calibri"/>
          <w:color w:val="auto"/>
        </w:rPr>
        <w:t>年产值</w:t>
      </w:r>
      <w:r w:rsidR="0028594C">
        <w:rPr>
          <w:rFonts w:ascii="Calibri" w:hAnsi="Calibri"/>
          <w:color w:val="auto"/>
        </w:rPr>
        <w:t>11903.45</w:t>
      </w:r>
      <w:r w:rsidR="00F9518A" w:rsidRPr="00F9518A">
        <w:rPr>
          <w:rFonts w:ascii="Calibri" w:hAnsi="Calibri"/>
          <w:color w:val="auto"/>
        </w:rPr>
        <w:t>万元，</w:t>
      </w:r>
      <w:r w:rsidR="00F01D48" w:rsidRPr="00F01D48">
        <w:rPr>
          <w:rFonts w:ascii="Calibri" w:hAnsi="Calibri" w:hint="eastAsia"/>
          <w:color w:val="auto"/>
        </w:rPr>
        <w:t>年均所得税</w:t>
      </w:r>
      <w:r w:rsidR="00A80A17">
        <w:rPr>
          <w:rFonts w:ascii="Calibri" w:hAnsi="Calibri"/>
          <w:color w:val="auto"/>
        </w:rPr>
        <w:t>2033.3</w:t>
      </w:r>
      <w:r w:rsidR="00F01D48" w:rsidRPr="00F01D48">
        <w:rPr>
          <w:rFonts w:ascii="Calibri" w:hAnsi="Calibri" w:hint="eastAsia"/>
          <w:color w:val="auto"/>
        </w:rPr>
        <w:t>万元，年利润总额</w:t>
      </w:r>
      <w:r w:rsidR="00F9518A" w:rsidRPr="00F9518A">
        <w:rPr>
          <w:rFonts w:ascii="Calibri" w:hAnsi="Calibri"/>
          <w:color w:val="auto"/>
        </w:rPr>
        <w:t>为</w:t>
      </w:r>
      <w:r w:rsidR="00A80A17">
        <w:rPr>
          <w:rFonts w:ascii="Calibri" w:hAnsi="Calibri"/>
          <w:color w:val="auto"/>
        </w:rPr>
        <w:t>3087.56</w:t>
      </w:r>
      <w:r w:rsidR="00F9518A" w:rsidRPr="00F9518A">
        <w:rPr>
          <w:rFonts w:ascii="Calibri" w:hAnsi="Calibri"/>
          <w:color w:val="auto"/>
        </w:rPr>
        <w:t>万元</w:t>
      </w:r>
      <w:r w:rsidR="006B5543">
        <w:rPr>
          <w:rFonts w:ascii="Calibri" w:hAnsi="Calibri" w:hint="eastAsia"/>
          <w:color w:val="auto"/>
        </w:rPr>
        <w:t>，静态</w:t>
      </w:r>
      <w:r w:rsidR="006B5543">
        <w:rPr>
          <w:rFonts w:ascii="Calibri" w:hAnsi="Calibri"/>
          <w:color w:val="auto"/>
        </w:rPr>
        <w:t>投资回收期</w:t>
      </w:r>
      <w:r w:rsidR="006B5543">
        <w:rPr>
          <w:rFonts w:ascii="Calibri" w:hAnsi="Calibri" w:hint="eastAsia"/>
          <w:color w:val="auto"/>
        </w:rPr>
        <w:t>8.</w:t>
      </w:r>
      <w:r w:rsidR="006B5543">
        <w:rPr>
          <w:rFonts w:ascii="Calibri" w:hAnsi="Calibri"/>
          <w:color w:val="auto"/>
        </w:rPr>
        <w:t>2</w:t>
      </w:r>
      <w:r w:rsidR="006B5543">
        <w:rPr>
          <w:rFonts w:ascii="Calibri" w:hAnsi="Calibri" w:hint="eastAsia"/>
          <w:color w:val="auto"/>
        </w:rPr>
        <w:t>年</w:t>
      </w:r>
      <w:r w:rsidR="006B5543">
        <w:rPr>
          <w:rFonts w:ascii="Calibri" w:hAnsi="Calibri"/>
          <w:color w:val="auto"/>
        </w:rPr>
        <w:t>。</w:t>
      </w:r>
    </w:p>
    <w:p w14:paraId="32A2C9BB" w14:textId="77777777" w:rsidR="00EF449E" w:rsidRPr="00A964FF" w:rsidRDefault="00EF449E" w:rsidP="00EF449E">
      <w:pPr>
        <w:pStyle w:val="00"/>
        <w:rPr>
          <w:rFonts w:ascii="Calibri" w:hAnsi="Calibri"/>
          <w:color w:val="auto"/>
        </w:rPr>
      </w:pPr>
      <w:r w:rsidRPr="00A964FF">
        <w:rPr>
          <w:rFonts w:ascii="Calibri" w:hAnsi="Calibri" w:hint="eastAsia"/>
          <w:color w:val="auto"/>
        </w:rPr>
        <w:t>从项目投资主要财务指标情况分析，本项目收益情况较好，投资回收期短，具有良好的经济效益，</w:t>
      </w:r>
      <w:r w:rsidRPr="00A964FF">
        <w:rPr>
          <w:rFonts w:hint="eastAsia"/>
          <w:color w:val="auto"/>
        </w:rPr>
        <w:t>在经济上是可行的。</w:t>
      </w:r>
    </w:p>
    <w:p w14:paraId="2A21DAF5" w14:textId="77777777" w:rsidR="0055605A" w:rsidRPr="00A964FF" w:rsidRDefault="0055605A" w:rsidP="00A228CC">
      <w:pPr>
        <w:pStyle w:val="2"/>
        <w:spacing w:before="200" w:after="100"/>
        <w:rPr>
          <w:rFonts w:ascii="Calibri" w:hAnsi="Calibri"/>
          <w:bCs/>
          <w:color w:val="auto"/>
          <w:szCs w:val="28"/>
        </w:rPr>
      </w:pPr>
      <w:bookmarkStart w:id="86" w:name="_Toc112999927"/>
      <w:r w:rsidRPr="00A964FF">
        <w:rPr>
          <w:rFonts w:ascii="Calibri" w:hAnsi="Calibri"/>
          <w:bCs/>
          <w:color w:val="auto"/>
          <w:szCs w:val="28"/>
        </w:rPr>
        <w:t>6.2</w:t>
      </w:r>
      <w:r w:rsidRPr="00A964FF">
        <w:rPr>
          <w:rFonts w:ascii="Calibri" w:hAnsi="Calibri"/>
          <w:bCs/>
          <w:color w:val="auto"/>
          <w:szCs w:val="28"/>
        </w:rPr>
        <w:t>社会效益分析</w:t>
      </w:r>
      <w:bookmarkEnd w:id="85"/>
      <w:bookmarkEnd w:id="86"/>
    </w:p>
    <w:p w14:paraId="6FD9C28A" w14:textId="77777777" w:rsidR="00F9518A" w:rsidRPr="00F9518A" w:rsidRDefault="00F9518A" w:rsidP="00F9518A">
      <w:pPr>
        <w:pStyle w:val="00"/>
        <w:rPr>
          <w:rFonts w:ascii="Calibri" w:hAnsi="Calibri"/>
          <w:color w:val="auto"/>
        </w:rPr>
      </w:pPr>
      <w:bookmarkStart w:id="87" w:name="_Toc471772617"/>
      <w:r>
        <w:rPr>
          <w:rFonts w:ascii="Calibri" w:hAnsi="Calibri" w:hint="eastAsia"/>
          <w:color w:val="auto"/>
        </w:rPr>
        <w:t>本</w:t>
      </w:r>
      <w:r w:rsidRPr="00F9518A">
        <w:rPr>
          <w:rFonts w:ascii="Calibri" w:hAnsi="Calibri" w:hint="eastAsia"/>
          <w:color w:val="auto"/>
        </w:rPr>
        <w:t>项目的建设不仅具有环境效益和经济效益，而且具有一定的社会效益。</w:t>
      </w:r>
    </w:p>
    <w:p w14:paraId="10092AA9" w14:textId="77777777" w:rsidR="00F9518A" w:rsidRPr="00F9518A" w:rsidRDefault="00F9518A" w:rsidP="00F9518A">
      <w:pPr>
        <w:pStyle w:val="00"/>
        <w:rPr>
          <w:rFonts w:ascii="Calibri" w:hAnsi="Calibri"/>
          <w:color w:val="auto"/>
        </w:rPr>
      </w:pPr>
      <w:r w:rsidRPr="00F9518A">
        <w:rPr>
          <w:rFonts w:ascii="Calibri" w:hAnsi="Calibri" w:hint="eastAsia"/>
          <w:color w:val="auto"/>
        </w:rPr>
        <w:t>（</w:t>
      </w:r>
      <w:r w:rsidRPr="00F9518A">
        <w:rPr>
          <w:rFonts w:ascii="Calibri" w:hAnsi="Calibri" w:hint="eastAsia"/>
          <w:color w:val="auto"/>
        </w:rPr>
        <w:t>1</w:t>
      </w:r>
      <w:r w:rsidRPr="00F9518A">
        <w:rPr>
          <w:rFonts w:ascii="Calibri" w:hAnsi="Calibri" w:hint="eastAsia"/>
          <w:color w:val="auto"/>
        </w:rPr>
        <w:t>）</w:t>
      </w:r>
      <w:r>
        <w:rPr>
          <w:rFonts w:ascii="Calibri" w:hAnsi="Calibri" w:hint="eastAsia"/>
          <w:color w:val="auto"/>
        </w:rPr>
        <w:t>本</w:t>
      </w:r>
      <w:r w:rsidRPr="00F9518A">
        <w:rPr>
          <w:rFonts w:ascii="Calibri" w:hAnsi="Calibri" w:hint="eastAsia"/>
          <w:color w:val="auto"/>
        </w:rPr>
        <w:t>项目为</w:t>
      </w:r>
      <w:r w:rsidR="00F01D48">
        <w:rPr>
          <w:rFonts w:ascii="Calibri" w:hAnsi="Calibri"/>
          <w:caps/>
        </w:rPr>
        <w:t>透明</w:t>
      </w:r>
      <w:r w:rsidR="00F01D48">
        <w:rPr>
          <w:rFonts w:ascii="Calibri" w:hAnsi="Calibri" w:hint="eastAsia"/>
          <w:caps/>
        </w:rPr>
        <w:t>尼龙</w:t>
      </w:r>
      <w:r w:rsidR="00F01D48">
        <w:rPr>
          <w:rFonts w:ascii="Calibri" w:hAnsi="Calibri"/>
          <w:caps/>
        </w:rPr>
        <w:t>合成制造项目</w:t>
      </w:r>
      <w:r w:rsidRPr="00F9518A">
        <w:rPr>
          <w:rFonts w:ascii="Calibri" w:hAnsi="Calibri" w:hint="eastAsia"/>
          <w:color w:val="auto"/>
        </w:rPr>
        <w:t>，产品应用广泛，市场需求巨大。</w:t>
      </w:r>
    </w:p>
    <w:p w14:paraId="4AB6590E" w14:textId="77777777" w:rsidR="00F9518A" w:rsidRPr="00F9518A" w:rsidRDefault="00F9518A" w:rsidP="00F9518A">
      <w:pPr>
        <w:pStyle w:val="00"/>
        <w:rPr>
          <w:rFonts w:ascii="Calibri" w:hAnsi="Calibri"/>
          <w:color w:val="auto"/>
        </w:rPr>
      </w:pPr>
      <w:r w:rsidRPr="00F9518A">
        <w:rPr>
          <w:rFonts w:ascii="Calibri" w:hAnsi="Calibri" w:hint="eastAsia"/>
          <w:color w:val="auto"/>
        </w:rPr>
        <w:t>（</w:t>
      </w:r>
      <w:r w:rsidRPr="00F9518A">
        <w:rPr>
          <w:rFonts w:ascii="Calibri" w:hAnsi="Calibri" w:hint="eastAsia"/>
          <w:color w:val="auto"/>
        </w:rPr>
        <w:t>2</w:t>
      </w:r>
      <w:r w:rsidRPr="00F9518A">
        <w:rPr>
          <w:rFonts w:ascii="Calibri" w:hAnsi="Calibri" w:hint="eastAsia"/>
          <w:color w:val="auto"/>
        </w:rPr>
        <w:t>）拟建项目新增劳动定员可增加就业机会，项目所需人员中管理人员、技术人员由公司招聘部分大、中专毕业生；生产工人由公司在当地招收，培训合格后上岗，根据岗位性质和岗位需要优先安排下岗工人和社会伤残人员，对缓解日益增长的社会就业压力和当地社会稳定起到积极作用。</w:t>
      </w:r>
    </w:p>
    <w:p w14:paraId="508348C0" w14:textId="77777777" w:rsidR="00F9518A" w:rsidRPr="00F9518A" w:rsidRDefault="00F9518A" w:rsidP="00F9518A">
      <w:pPr>
        <w:pStyle w:val="00"/>
        <w:rPr>
          <w:rFonts w:ascii="Calibri" w:hAnsi="Calibri"/>
          <w:color w:val="auto"/>
        </w:rPr>
      </w:pPr>
      <w:r w:rsidRPr="00F9518A">
        <w:rPr>
          <w:rFonts w:ascii="Calibri" w:hAnsi="Calibri" w:hint="eastAsia"/>
          <w:color w:val="auto"/>
        </w:rPr>
        <w:t>（</w:t>
      </w:r>
      <w:r w:rsidRPr="00F9518A">
        <w:rPr>
          <w:rFonts w:ascii="Calibri" w:hAnsi="Calibri" w:hint="eastAsia"/>
          <w:color w:val="auto"/>
        </w:rPr>
        <w:t>3</w:t>
      </w:r>
      <w:r w:rsidRPr="00F9518A">
        <w:rPr>
          <w:rFonts w:ascii="Calibri" w:hAnsi="Calibri" w:hint="eastAsia"/>
          <w:color w:val="auto"/>
        </w:rPr>
        <w:t>）有利于</w:t>
      </w:r>
      <w:r w:rsidRPr="00B1625A">
        <w:rPr>
          <w:rFonts w:ascii="Calibri" w:hAnsi="Calibri" w:hint="eastAsia"/>
          <w:color w:val="auto"/>
        </w:rPr>
        <w:t>平顶山尼龙新材料产业集聚区</w:t>
      </w:r>
      <w:r w:rsidRPr="00F9518A">
        <w:rPr>
          <w:rFonts w:ascii="Calibri" w:hAnsi="Calibri" w:hint="eastAsia"/>
          <w:color w:val="auto"/>
        </w:rPr>
        <w:t>的发展，项目的建设可增加地方财政收入，提高当地人民收入和生活水平，促进当地经济较快的发展。</w:t>
      </w:r>
    </w:p>
    <w:p w14:paraId="578ABF59" w14:textId="77777777" w:rsidR="00F9518A" w:rsidRDefault="00F9518A" w:rsidP="00F9518A">
      <w:pPr>
        <w:pStyle w:val="00"/>
        <w:rPr>
          <w:rFonts w:ascii="Calibri" w:hAnsi="Calibri"/>
          <w:color w:val="auto"/>
        </w:rPr>
      </w:pPr>
      <w:r w:rsidRPr="00F9518A">
        <w:rPr>
          <w:rFonts w:ascii="Calibri" w:hAnsi="Calibri" w:hint="eastAsia"/>
          <w:color w:val="auto"/>
        </w:rPr>
        <w:t>（</w:t>
      </w:r>
      <w:r w:rsidRPr="00F9518A">
        <w:rPr>
          <w:rFonts w:ascii="Calibri" w:hAnsi="Calibri" w:hint="eastAsia"/>
          <w:color w:val="auto"/>
        </w:rPr>
        <w:t>4</w:t>
      </w:r>
      <w:r w:rsidRPr="00F9518A">
        <w:rPr>
          <w:rFonts w:ascii="Calibri" w:hAnsi="Calibri" w:hint="eastAsia"/>
          <w:color w:val="auto"/>
        </w:rPr>
        <w:t>）拟建项目建成投产后将成为园区重要经济增长点，对提高园区形象、增强</w:t>
      </w:r>
      <w:r w:rsidRPr="00F9518A">
        <w:rPr>
          <w:rFonts w:ascii="Calibri" w:hAnsi="Calibri" w:hint="eastAsia"/>
          <w:color w:val="auto"/>
        </w:rPr>
        <w:lastRenderedPageBreak/>
        <w:t>企业发展后劲具有重要作用，也为该系列产品上下游进一步开发奠定了基础。</w:t>
      </w:r>
    </w:p>
    <w:p w14:paraId="00DB8BC2" w14:textId="77777777" w:rsidR="00A228CC" w:rsidRPr="00A964FF" w:rsidRDefault="00A228CC" w:rsidP="00C12CBB">
      <w:pPr>
        <w:pStyle w:val="00"/>
        <w:rPr>
          <w:rFonts w:ascii="Calibri" w:hAnsi="Calibri"/>
          <w:color w:val="auto"/>
        </w:rPr>
      </w:pPr>
      <w:r w:rsidRPr="00A964FF">
        <w:rPr>
          <w:rFonts w:ascii="Calibri" w:hAnsi="Calibri" w:hint="eastAsia"/>
          <w:color w:val="auto"/>
        </w:rPr>
        <w:t>综上所述，本项目具有较高的社会效益。</w:t>
      </w:r>
    </w:p>
    <w:p w14:paraId="018D3D77" w14:textId="77777777" w:rsidR="0055605A" w:rsidRPr="00A964FF" w:rsidRDefault="0055605A" w:rsidP="003F0808">
      <w:pPr>
        <w:pStyle w:val="2"/>
        <w:spacing w:before="200" w:after="100"/>
        <w:rPr>
          <w:rFonts w:ascii="Calibri" w:hAnsi="Calibri"/>
          <w:bCs/>
          <w:color w:val="auto"/>
          <w:szCs w:val="28"/>
        </w:rPr>
      </w:pPr>
      <w:bookmarkStart w:id="88" w:name="_Toc112999928"/>
      <w:r w:rsidRPr="00A964FF">
        <w:rPr>
          <w:rFonts w:ascii="Calibri" w:hAnsi="Calibri"/>
          <w:bCs/>
          <w:color w:val="auto"/>
          <w:szCs w:val="28"/>
        </w:rPr>
        <w:t>6.3</w:t>
      </w:r>
      <w:r w:rsidRPr="00A964FF">
        <w:rPr>
          <w:rFonts w:ascii="Calibri" w:hAnsi="Calibri"/>
          <w:bCs/>
          <w:color w:val="auto"/>
          <w:szCs w:val="28"/>
        </w:rPr>
        <w:t>环境损益分析</w:t>
      </w:r>
      <w:bookmarkEnd w:id="87"/>
      <w:bookmarkEnd w:id="88"/>
    </w:p>
    <w:p w14:paraId="227BA340" w14:textId="77777777" w:rsidR="0055605A" w:rsidRPr="00A964FF" w:rsidRDefault="0055605A" w:rsidP="0055605A">
      <w:pPr>
        <w:pStyle w:val="00"/>
        <w:rPr>
          <w:rFonts w:ascii="Calibri" w:hAnsi="Calibri"/>
          <w:color w:val="auto"/>
        </w:rPr>
      </w:pPr>
      <w:r w:rsidRPr="00A964FF">
        <w:rPr>
          <w:rFonts w:ascii="Calibri" w:hAnsi="Calibri" w:hint="eastAsia"/>
          <w:color w:val="auto"/>
        </w:rPr>
        <w:t>根据对建设项目的工程分析，本项目建成投产后，所产生的废水、废气</w:t>
      </w:r>
      <w:r w:rsidR="00AA0C2D" w:rsidRPr="00A964FF">
        <w:rPr>
          <w:rFonts w:ascii="Calibri" w:hAnsi="Calibri" w:hint="eastAsia"/>
          <w:color w:val="auto"/>
        </w:rPr>
        <w:t>、</w:t>
      </w:r>
      <w:r w:rsidRPr="00A964FF">
        <w:rPr>
          <w:rFonts w:ascii="Calibri" w:hAnsi="Calibri" w:hint="eastAsia"/>
          <w:color w:val="auto"/>
        </w:rPr>
        <w:t>噪声</w:t>
      </w:r>
      <w:r w:rsidR="00AA0C2D" w:rsidRPr="00A964FF">
        <w:rPr>
          <w:rFonts w:ascii="Calibri" w:hAnsi="Calibri" w:hint="eastAsia"/>
          <w:color w:val="auto"/>
        </w:rPr>
        <w:t>、固废</w:t>
      </w:r>
      <w:r w:rsidRPr="00A964FF">
        <w:rPr>
          <w:rFonts w:ascii="Calibri" w:hAnsi="Calibri" w:hint="eastAsia"/>
          <w:color w:val="auto"/>
        </w:rPr>
        <w:t>等会对环境产生一定影响，因此必须采取相应的环保治理措施，以保证建设项目对环境的影响降低到最小程度，满足建设项目环境保护管理的要求。</w:t>
      </w:r>
    </w:p>
    <w:p w14:paraId="7C3282E2" w14:textId="098A4B72" w:rsidR="0055605A" w:rsidRPr="00A964FF" w:rsidRDefault="00AA0C2D" w:rsidP="00F01D48">
      <w:pPr>
        <w:pStyle w:val="00"/>
        <w:rPr>
          <w:rFonts w:ascii="Calibri" w:hAnsi="Calibri"/>
          <w:color w:val="auto"/>
        </w:rPr>
      </w:pPr>
      <w:r w:rsidRPr="00A964FF">
        <w:rPr>
          <w:rFonts w:ascii="Calibri" w:hAnsi="Calibri" w:hint="eastAsia"/>
          <w:color w:val="auto"/>
        </w:rPr>
        <w:t>通过对</w:t>
      </w:r>
      <w:r w:rsidR="0055605A" w:rsidRPr="00A964FF">
        <w:rPr>
          <w:rFonts w:ascii="Calibri" w:hAnsi="Calibri" w:hint="eastAsia"/>
          <w:color w:val="auto"/>
        </w:rPr>
        <w:t>项目拟采取的环保措施进行估算，</w:t>
      </w:r>
      <w:r w:rsidR="00F01D48" w:rsidRPr="00A964FF">
        <w:rPr>
          <w:rFonts w:ascii="Calibri" w:hAnsi="Calibri"/>
          <w:color w:val="auto"/>
        </w:rPr>
        <w:t>本项目</w:t>
      </w:r>
      <w:r w:rsidR="00F01D48">
        <w:rPr>
          <w:rFonts w:ascii="Calibri" w:hAnsi="Calibri" w:hint="eastAsia"/>
          <w:color w:val="auto"/>
        </w:rPr>
        <w:t>用于</w:t>
      </w:r>
      <w:r w:rsidR="00F01D48" w:rsidRPr="00FB4005">
        <w:rPr>
          <w:rFonts w:ascii="Calibri" w:hAnsi="Calibri"/>
          <w:color w:val="auto"/>
        </w:rPr>
        <w:t>环保</w:t>
      </w:r>
      <w:r w:rsidR="00F01D48">
        <w:rPr>
          <w:rFonts w:ascii="Calibri" w:hAnsi="Calibri" w:hint="eastAsia"/>
          <w:color w:val="auto"/>
        </w:rPr>
        <w:t>方面</w:t>
      </w:r>
      <w:r w:rsidR="00F01D48">
        <w:rPr>
          <w:rFonts w:ascii="Calibri" w:hAnsi="Calibri"/>
          <w:color w:val="auto"/>
        </w:rPr>
        <w:t>的</w:t>
      </w:r>
      <w:r w:rsidR="00F01D48" w:rsidRPr="00FB4005">
        <w:rPr>
          <w:rFonts w:ascii="Calibri" w:hAnsi="Calibri"/>
          <w:color w:val="auto"/>
        </w:rPr>
        <w:t>投资</w:t>
      </w:r>
      <w:r w:rsidR="00392F43">
        <w:rPr>
          <w:rFonts w:ascii="Calibri" w:hAnsi="Calibri"/>
          <w:color w:val="auto"/>
        </w:rPr>
        <w:t>514</w:t>
      </w:r>
      <w:r w:rsidR="00F01D48" w:rsidRPr="00FB4005">
        <w:rPr>
          <w:rFonts w:ascii="Calibri" w:hAnsi="Calibri"/>
          <w:color w:val="auto"/>
        </w:rPr>
        <w:t>万元，占总投资的</w:t>
      </w:r>
      <w:r w:rsidR="00392F43">
        <w:rPr>
          <w:rFonts w:ascii="Calibri" w:hAnsi="Calibri"/>
          <w:color w:val="auto"/>
        </w:rPr>
        <w:t>2.02</w:t>
      </w:r>
      <w:r w:rsidR="00F01D48" w:rsidRPr="00FB4005">
        <w:rPr>
          <w:rFonts w:ascii="Calibri" w:hAnsi="Calibri"/>
          <w:color w:val="auto"/>
        </w:rPr>
        <w:t>%</w:t>
      </w:r>
      <w:r w:rsidR="00F9518A" w:rsidRPr="00A964FF">
        <w:rPr>
          <w:rFonts w:ascii="Calibri" w:hAnsi="Calibri" w:hint="eastAsia"/>
          <w:color w:val="auto"/>
        </w:rPr>
        <w:t>，</w:t>
      </w:r>
      <w:r w:rsidR="0055605A" w:rsidRPr="00A964FF">
        <w:rPr>
          <w:rFonts w:ascii="Calibri" w:hAnsi="Calibri" w:hint="eastAsia"/>
          <w:color w:val="auto"/>
        </w:rPr>
        <w:t>与国内其他</w:t>
      </w:r>
      <w:r w:rsidR="008E60DB" w:rsidRPr="00A964FF">
        <w:rPr>
          <w:rFonts w:ascii="Calibri" w:hAnsi="Calibri" w:hint="eastAsia"/>
          <w:color w:val="auto"/>
        </w:rPr>
        <w:t>同类企业</w:t>
      </w:r>
      <w:r w:rsidR="0055605A" w:rsidRPr="00A964FF">
        <w:rPr>
          <w:rFonts w:ascii="Calibri" w:hAnsi="Calibri" w:hint="eastAsia"/>
          <w:color w:val="auto"/>
        </w:rPr>
        <w:t>的环保投资比例相比，环保投资较为合理，环保措施可达到相关要求。</w:t>
      </w:r>
      <w:r w:rsidR="0055605A" w:rsidRPr="00A964FF">
        <w:rPr>
          <w:rFonts w:ascii="Calibri" w:hAnsi="Calibri"/>
          <w:color w:val="auto"/>
        </w:rPr>
        <w:t>同时本项目在环境保护方面采取了一系列有效的治理措施，主要包括：</w:t>
      </w:r>
    </w:p>
    <w:p w14:paraId="38D4053C" w14:textId="7C8909B8" w:rsidR="0055605A" w:rsidRPr="00A964FF" w:rsidRDefault="00A228CC" w:rsidP="0028594C">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w:t>
      </w:r>
      <w:r w:rsidR="00F1209B" w:rsidRPr="00A964FF">
        <w:rPr>
          <w:rFonts w:ascii="Calibri" w:hAnsi="Calibri" w:hint="eastAsia"/>
          <w:color w:val="auto"/>
        </w:rPr>
        <w:t>厂区</w:t>
      </w:r>
      <w:r w:rsidR="0055605A" w:rsidRPr="00A964FF">
        <w:rPr>
          <w:rFonts w:ascii="Calibri" w:hAnsi="Calibri"/>
          <w:color w:val="auto"/>
        </w:rPr>
        <w:t>采用</w:t>
      </w:r>
      <w:r w:rsidR="0055605A" w:rsidRPr="00A964FF">
        <w:rPr>
          <w:rFonts w:ascii="宋体"/>
          <w:color w:val="auto"/>
        </w:rPr>
        <w:t>“雨污分流</w:t>
      </w:r>
      <w:r w:rsidR="00EF449E" w:rsidRPr="00A964FF">
        <w:rPr>
          <w:rFonts w:ascii="宋体" w:hint="eastAsia"/>
          <w:color w:val="auto"/>
        </w:rPr>
        <w:t>、清污分流</w:t>
      </w:r>
      <w:r w:rsidR="0055605A" w:rsidRPr="00A964FF">
        <w:rPr>
          <w:rFonts w:ascii="宋体"/>
          <w:color w:val="auto"/>
        </w:rPr>
        <w:t>”制，</w:t>
      </w:r>
      <w:r w:rsidR="0055605A" w:rsidRPr="00A964FF">
        <w:rPr>
          <w:rFonts w:ascii="宋体" w:hint="eastAsia"/>
          <w:color w:val="auto"/>
        </w:rPr>
        <w:t>初期</w:t>
      </w:r>
      <w:r w:rsidRPr="00A964FF">
        <w:rPr>
          <w:rFonts w:ascii="Calibri" w:hAnsi="Calibri" w:hint="eastAsia"/>
          <w:color w:val="auto"/>
        </w:rPr>
        <w:t>雨水收集后进入雨水收集池，经废水处理站处理达标后排入</w:t>
      </w:r>
      <w:r w:rsidR="00F1209B" w:rsidRPr="00A964FF">
        <w:rPr>
          <w:rFonts w:ascii="Calibri" w:hAnsi="Calibri" w:hint="eastAsia"/>
          <w:color w:val="auto"/>
        </w:rPr>
        <w:t>集聚区</w:t>
      </w:r>
      <w:r w:rsidRPr="00A964FF">
        <w:rPr>
          <w:rFonts w:ascii="Calibri" w:hAnsi="Calibri" w:hint="eastAsia"/>
          <w:color w:val="auto"/>
        </w:rPr>
        <w:t>污水处理厂集中处理</w:t>
      </w:r>
      <w:r w:rsidR="0055605A" w:rsidRPr="00A964FF">
        <w:rPr>
          <w:rFonts w:ascii="Calibri" w:hAnsi="Calibri" w:hint="eastAsia"/>
          <w:color w:val="auto"/>
        </w:rPr>
        <w:t>；</w:t>
      </w:r>
      <w:r w:rsidRPr="00A964FF">
        <w:rPr>
          <w:rFonts w:ascii="Calibri" w:hAnsi="Calibri" w:hint="eastAsia"/>
          <w:color w:val="auto"/>
        </w:rPr>
        <w:t>工艺废水和</w:t>
      </w:r>
      <w:r w:rsidR="0055605A" w:rsidRPr="00A964FF">
        <w:rPr>
          <w:rFonts w:ascii="Calibri" w:hAnsi="Calibri" w:hint="eastAsia"/>
          <w:color w:val="auto"/>
        </w:rPr>
        <w:t>生活污水</w:t>
      </w:r>
      <w:r w:rsidRPr="00A964FF">
        <w:rPr>
          <w:rFonts w:ascii="Calibri" w:hAnsi="Calibri" w:hint="eastAsia"/>
          <w:color w:val="auto"/>
        </w:rPr>
        <w:t>收集后进入厂区自建废水处理站，经处理达标后排入</w:t>
      </w:r>
      <w:r w:rsidR="0028594C">
        <w:rPr>
          <w:rFonts w:ascii="Calibri" w:hAnsi="Calibri" w:hint="eastAsia"/>
          <w:color w:val="auto"/>
        </w:rPr>
        <w:t>平顶山</w:t>
      </w:r>
      <w:r w:rsidR="0028594C">
        <w:rPr>
          <w:rFonts w:ascii="Calibri" w:hAnsi="Calibri"/>
          <w:color w:val="auto"/>
        </w:rPr>
        <w:t>第三污水处理厂</w:t>
      </w:r>
      <w:r w:rsidRPr="00A964FF">
        <w:rPr>
          <w:rFonts w:ascii="Calibri" w:hAnsi="Calibri" w:hint="eastAsia"/>
          <w:color w:val="auto"/>
        </w:rPr>
        <w:t>集中处理</w:t>
      </w:r>
      <w:r w:rsidR="0055605A" w:rsidRPr="00A964FF">
        <w:rPr>
          <w:rFonts w:ascii="Calibri" w:hAnsi="Calibri" w:hint="eastAsia"/>
          <w:color w:val="auto"/>
          <w:szCs w:val="21"/>
        </w:rPr>
        <w:t>。</w:t>
      </w:r>
    </w:p>
    <w:p w14:paraId="38D9AB09" w14:textId="0A95A0AC" w:rsidR="00F01D48" w:rsidRPr="0075760C" w:rsidRDefault="00A228CC" w:rsidP="0075760C">
      <w:pPr>
        <w:spacing w:line="520" w:lineRule="exact"/>
        <w:ind w:firstLineChars="200" w:firstLine="420"/>
        <w:rPr>
          <w:rFonts w:asciiTheme="minorHAnsi" w:hAnsiTheme="minorHAnsi"/>
          <w:sz w:val="24"/>
        </w:rPr>
      </w:pPr>
      <w:r w:rsidRPr="00A964FF">
        <w:rPr>
          <w:rFonts w:ascii="Calibri" w:hAnsi="Calibri" w:hint="eastAsia"/>
          <w:color w:val="auto"/>
        </w:rPr>
        <w:t>（</w:t>
      </w:r>
      <w:r w:rsidRPr="00F01D48">
        <w:rPr>
          <w:rFonts w:ascii="Calibri" w:hAnsi="Calibri" w:hint="eastAsia"/>
          <w:color w:val="auto"/>
          <w:sz w:val="24"/>
        </w:rPr>
        <w:t>2</w:t>
      </w:r>
      <w:r w:rsidRPr="00F01D48">
        <w:rPr>
          <w:rFonts w:ascii="Calibri" w:hAnsi="Calibri" w:hint="eastAsia"/>
          <w:color w:val="auto"/>
          <w:sz w:val="24"/>
        </w:rPr>
        <w:t>）</w:t>
      </w:r>
      <w:r w:rsidR="00F1209B" w:rsidRPr="00F01D48">
        <w:rPr>
          <w:rFonts w:ascii="Calibri" w:hAnsi="Calibri" w:hint="eastAsia"/>
          <w:color w:val="auto"/>
          <w:sz w:val="24"/>
        </w:rPr>
        <w:t>根据产品工艺特点，</w:t>
      </w:r>
      <w:r w:rsidR="00F01D48">
        <w:rPr>
          <w:rFonts w:asciiTheme="minorHAnsi" w:hAnsiTheme="minorHAnsi" w:hint="eastAsia"/>
          <w:sz w:val="24"/>
        </w:rPr>
        <w:t>本项目</w:t>
      </w:r>
      <w:r w:rsidR="00A06A90" w:rsidRPr="00A06A90">
        <w:rPr>
          <w:rFonts w:asciiTheme="minorHAnsi" w:hAnsiTheme="minorHAnsi" w:hint="eastAsia"/>
          <w:sz w:val="24"/>
        </w:rPr>
        <w:t>聚合及聚合釜下料废气</w:t>
      </w:r>
      <w:r w:rsidR="00F01D48">
        <w:rPr>
          <w:rFonts w:asciiTheme="minorHAnsi" w:hAnsiTheme="minorHAnsi" w:hint="eastAsia"/>
          <w:sz w:val="24"/>
        </w:rPr>
        <w:t>引至</w:t>
      </w:r>
      <w:r w:rsidR="00F01D48" w:rsidRPr="00387105">
        <w:rPr>
          <w:rFonts w:asciiTheme="minorHAnsi" w:hAnsiTheme="minorHAnsi" w:hint="eastAsia"/>
          <w:sz w:val="24"/>
        </w:rPr>
        <w:t>排气</w:t>
      </w:r>
      <w:r w:rsidR="00AB0983">
        <w:rPr>
          <w:rFonts w:asciiTheme="minorHAnsi" w:hAnsiTheme="minorHAnsi" w:hint="eastAsia"/>
          <w:sz w:val="24"/>
        </w:rPr>
        <w:t>水喷淋</w:t>
      </w:r>
      <w:r w:rsidR="0075760C">
        <w:rPr>
          <w:rFonts w:asciiTheme="minorHAnsi" w:hAnsiTheme="minorHAnsi" w:hint="eastAsia"/>
          <w:sz w:val="24"/>
        </w:rPr>
        <w:t>+</w:t>
      </w:r>
      <w:r w:rsidR="00F01D48" w:rsidRPr="00387105">
        <w:rPr>
          <w:rFonts w:asciiTheme="minorHAnsi" w:hAnsiTheme="minorHAnsi" w:hint="eastAsia"/>
          <w:sz w:val="24"/>
        </w:rPr>
        <w:t>活性炭</w:t>
      </w:r>
      <w:r w:rsidR="00F01D48" w:rsidRPr="00387105">
        <w:rPr>
          <w:rFonts w:asciiTheme="minorHAnsi" w:hAnsiTheme="minorHAnsi"/>
          <w:sz w:val="24"/>
        </w:rPr>
        <w:t>吸附装置</w:t>
      </w:r>
      <w:r w:rsidR="00F01D48">
        <w:rPr>
          <w:rFonts w:asciiTheme="minorHAnsi" w:hAnsiTheme="minorHAnsi" w:hint="eastAsia"/>
          <w:sz w:val="24"/>
        </w:rPr>
        <w:t>，</w:t>
      </w:r>
      <w:r w:rsidR="00A06A90" w:rsidRPr="00A06A90">
        <w:rPr>
          <w:rFonts w:asciiTheme="minorHAnsi" w:hAnsiTheme="minorHAnsi" w:hint="eastAsia"/>
          <w:sz w:val="24"/>
        </w:rPr>
        <w:t>聚合及聚合釜下料废气</w:t>
      </w:r>
      <w:r w:rsidR="00F01D48">
        <w:rPr>
          <w:rFonts w:asciiTheme="minorHAnsi" w:hAnsiTheme="minorHAnsi" w:hint="eastAsia"/>
          <w:sz w:val="24"/>
        </w:rPr>
        <w:t>处理后</w:t>
      </w:r>
      <w:r w:rsidR="00F01D48">
        <w:rPr>
          <w:rFonts w:asciiTheme="minorHAnsi" w:hAnsiTheme="minorHAnsi"/>
          <w:sz w:val="24"/>
        </w:rPr>
        <w:t>经</w:t>
      </w:r>
      <w:r w:rsidR="00F01D48">
        <w:rPr>
          <w:rFonts w:asciiTheme="minorHAnsi" w:hAnsiTheme="minorHAnsi" w:hint="eastAsia"/>
          <w:sz w:val="24"/>
        </w:rPr>
        <w:t>25</w:t>
      </w:r>
      <w:r w:rsidR="00F01D48">
        <w:rPr>
          <w:rFonts w:asciiTheme="minorHAnsi" w:hAnsiTheme="minorHAnsi"/>
          <w:sz w:val="24"/>
        </w:rPr>
        <w:t>m</w:t>
      </w:r>
      <w:r w:rsidR="00F01D48">
        <w:rPr>
          <w:rFonts w:asciiTheme="minorHAnsi" w:hAnsiTheme="minorHAnsi"/>
          <w:sz w:val="24"/>
        </w:rPr>
        <w:t>高</w:t>
      </w:r>
      <w:r w:rsidR="00F01D48">
        <w:rPr>
          <w:rFonts w:ascii="Calibri" w:hAnsi="Calibri" w:hint="eastAsia"/>
          <w:bCs/>
          <w:color w:val="auto"/>
          <w:sz w:val="24"/>
        </w:rPr>
        <w:t>排气筒排放；污水处理站废气主要来自自建污水处理站，主要污染物为</w:t>
      </w:r>
      <w:r w:rsidR="00F01D48">
        <w:rPr>
          <w:rFonts w:ascii="Calibri" w:hAnsi="Calibri" w:hint="eastAsia"/>
          <w:bCs/>
          <w:color w:val="auto"/>
          <w:sz w:val="24"/>
        </w:rPr>
        <w:t>NH</w:t>
      </w:r>
      <w:r w:rsidR="00F01D48" w:rsidRPr="00286833">
        <w:rPr>
          <w:rFonts w:ascii="Calibri" w:hAnsi="Calibri" w:hint="eastAsia"/>
          <w:bCs/>
          <w:color w:val="auto"/>
          <w:sz w:val="24"/>
          <w:vertAlign w:val="subscript"/>
        </w:rPr>
        <w:t>3</w:t>
      </w:r>
      <w:r w:rsidR="00F01D48">
        <w:rPr>
          <w:rFonts w:ascii="Calibri" w:hAnsi="Calibri" w:hint="eastAsia"/>
          <w:bCs/>
          <w:color w:val="auto"/>
          <w:sz w:val="24"/>
        </w:rPr>
        <w:t>、</w:t>
      </w:r>
      <w:r w:rsidR="00F01D48">
        <w:rPr>
          <w:rFonts w:ascii="Calibri" w:hAnsi="Calibri" w:hint="eastAsia"/>
          <w:bCs/>
          <w:color w:val="auto"/>
          <w:sz w:val="24"/>
        </w:rPr>
        <w:t>H</w:t>
      </w:r>
      <w:r w:rsidR="00F01D48" w:rsidRPr="00286833">
        <w:rPr>
          <w:rFonts w:ascii="Calibri" w:hAnsi="Calibri" w:hint="eastAsia"/>
          <w:bCs/>
          <w:color w:val="auto"/>
          <w:sz w:val="24"/>
          <w:vertAlign w:val="subscript"/>
        </w:rPr>
        <w:t>2</w:t>
      </w:r>
      <w:r w:rsidR="00F01D48">
        <w:rPr>
          <w:rFonts w:ascii="Calibri" w:hAnsi="Calibri" w:hint="eastAsia"/>
          <w:bCs/>
          <w:color w:val="auto"/>
          <w:sz w:val="24"/>
        </w:rPr>
        <w:t>S</w:t>
      </w:r>
      <w:r w:rsidR="00F01D48">
        <w:rPr>
          <w:rFonts w:ascii="Calibri" w:hAnsi="Calibri" w:hint="eastAsia"/>
          <w:bCs/>
          <w:color w:val="auto"/>
          <w:sz w:val="24"/>
        </w:rPr>
        <w:t>和</w:t>
      </w:r>
      <w:r w:rsidR="007E3F9E">
        <w:rPr>
          <w:rFonts w:ascii="Calibri" w:hAnsi="Calibri" w:hint="eastAsia"/>
          <w:bCs/>
          <w:color w:val="auto"/>
          <w:sz w:val="24"/>
        </w:rPr>
        <w:t>非甲烷</w:t>
      </w:r>
      <w:r w:rsidR="007E3F9E">
        <w:rPr>
          <w:rFonts w:ascii="Calibri" w:hAnsi="Calibri"/>
          <w:bCs/>
          <w:color w:val="auto"/>
          <w:sz w:val="24"/>
        </w:rPr>
        <w:t>总烃</w:t>
      </w:r>
      <w:r w:rsidR="00F01D48">
        <w:rPr>
          <w:rFonts w:ascii="Calibri" w:hAnsi="Calibri" w:hint="eastAsia"/>
          <w:bCs/>
          <w:color w:val="auto"/>
          <w:sz w:val="24"/>
        </w:rPr>
        <w:t>，废气</w:t>
      </w:r>
      <w:r w:rsidR="00F01D48" w:rsidRPr="00C60F45">
        <w:rPr>
          <w:rFonts w:ascii="Calibri" w:hAnsi="Calibri" w:hint="eastAsia"/>
          <w:bCs/>
          <w:color w:val="auto"/>
          <w:sz w:val="24"/>
        </w:rPr>
        <w:t>采用光氧催化</w:t>
      </w:r>
      <w:r w:rsidR="00F01D48" w:rsidRPr="00C60F45">
        <w:rPr>
          <w:rFonts w:ascii="Calibri" w:hAnsi="Calibri" w:hint="eastAsia"/>
          <w:bCs/>
          <w:color w:val="auto"/>
          <w:sz w:val="24"/>
        </w:rPr>
        <w:t>+</w:t>
      </w:r>
      <w:r w:rsidR="00F01D48" w:rsidRPr="00C60F45">
        <w:rPr>
          <w:rFonts w:ascii="Calibri" w:hAnsi="Calibri" w:hint="eastAsia"/>
          <w:bCs/>
          <w:color w:val="auto"/>
          <w:sz w:val="24"/>
        </w:rPr>
        <w:t>活性吸附装置进行处理</w:t>
      </w:r>
      <w:r w:rsidR="00F01D48">
        <w:rPr>
          <w:rFonts w:ascii="Calibri" w:hAnsi="Calibri" w:hint="eastAsia"/>
          <w:bCs/>
          <w:color w:val="auto"/>
          <w:sz w:val="24"/>
        </w:rPr>
        <w:t>后经</w:t>
      </w:r>
      <w:r w:rsidR="00F01D48">
        <w:rPr>
          <w:rFonts w:ascii="Calibri" w:hAnsi="Calibri" w:hint="eastAsia"/>
          <w:bCs/>
          <w:color w:val="auto"/>
          <w:sz w:val="24"/>
        </w:rPr>
        <w:t>15m</w:t>
      </w:r>
      <w:r w:rsidR="00F01D48">
        <w:rPr>
          <w:rFonts w:ascii="Calibri" w:hAnsi="Calibri" w:hint="eastAsia"/>
          <w:bCs/>
          <w:color w:val="auto"/>
          <w:sz w:val="24"/>
        </w:rPr>
        <w:t>高排气筒排放；</w:t>
      </w:r>
      <w:r w:rsidR="00F01D48" w:rsidRPr="00A964FF">
        <w:rPr>
          <w:rFonts w:ascii="Calibri" w:hAnsi="Calibri" w:hint="eastAsia"/>
          <w:bCs/>
          <w:color w:val="auto"/>
          <w:sz w:val="24"/>
        </w:rPr>
        <w:t>导热油炉以天然气为燃料，采用低氮燃烧技术；</w:t>
      </w:r>
      <w:r w:rsidR="0028594C">
        <w:rPr>
          <w:rFonts w:ascii="Calibri" w:hAnsi="Calibri" w:hint="eastAsia"/>
          <w:bCs/>
          <w:color w:val="auto"/>
          <w:sz w:val="24"/>
        </w:rPr>
        <w:t>品控中心</w:t>
      </w:r>
      <w:r w:rsidR="00F01D48">
        <w:rPr>
          <w:rFonts w:ascii="Calibri" w:hAnsi="Calibri" w:hint="eastAsia"/>
          <w:bCs/>
          <w:color w:val="auto"/>
          <w:sz w:val="24"/>
        </w:rPr>
        <w:t>主要污染物为</w:t>
      </w:r>
      <w:r w:rsidR="007E3F9E">
        <w:rPr>
          <w:rFonts w:ascii="Calibri" w:hAnsi="Calibri" w:hint="eastAsia"/>
          <w:bCs/>
          <w:color w:val="auto"/>
          <w:sz w:val="24"/>
        </w:rPr>
        <w:t>有机废气</w:t>
      </w:r>
      <w:r w:rsidR="00F01D48">
        <w:rPr>
          <w:rFonts w:ascii="Calibri" w:hAnsi="Calibri" w:hint="eastAsia"/>
          <w:bCs/>
          <w:color w:val="auto"/>
          <w:sz w:val="24"/>
        </w:rPr>
        <w:t>及</w:t>
      </w:r>
      <w:r w:rsidR="00F01D48">
        <w:rPr>
          <w:rFonts w:ascii="Calibri" w:hAnsi="Calibri"/>
          <w:bCs/>
          <w:color w:val="auto"/>
          <w:sz w:val="24"/>
        </w:rPr>
        <w:t>酸性气体</w:t>
      </w:r>
      <w:r w:rsidR="00F01D48">
        <w:rPr>
          <w:rFonts w:ascii="Calibri" w:hAnsi="Calibri" w:hint="eastAsia"/>
          <w:bCs/>
          <w:color w:val="auto"/>
          <w:sz w:val="24"/>
        </w:rPr>
        <w:t>，废气量较少，</w:t>
      </w:r>
      <w:r w:rsidR="00F01D48" w:rsidRPr="00472A50">
        <w:rPr>
          <w:rFonts w:ascii="Calibri" w:hAnsi="Calibri" w:hint="eastAsia"/>
          <w:color w:val="auto"/>
          <w:sz w:val="24"/>
        </w:rPr>
        <w:t>设置通风系统，通风换气引至楼顶</w:t>
      </w:r>
      <w:r w:rsidR="00F01D48">
        <w:rPr>
          <w:rFonts w:ascii="Calibri" w:hAnsi="Calibri" w:hint="eastAsia"/>
          <w:color w:val="auto"/>
          <w:sz w:val="24"/>
        </w:rPr>
        <w:t>的活性炭吸附装置处理后排放</w:t>
      </w:r>
      <w:r w:rsidR="00F01D48" w:rsidRPr="00472A50">
        <w:rPr>
          <w:rFonts w:ascii="Calibri" w:hAnsi="Calibri" w:hint="eastAsia"/>
          <w:color w:val="auto"/>
          <w:sz w:val="24"/>
        </w:rPr>
        <w:t>。</w:t>
      </w:r>
      <w:r w:rsidR="00F01D48" w:rsidRPr="00A964FF">
        <w:rPr>
          <w:rFonts w:ascii="Calibri" w:hAnsi="Calibri" w:hint="eastAsia"/>
          <w:bCs/>
          <w:color w:val="auto"/>
          <w:sz w:val="24"/>
        </w:rPr>
        <w:t>对于无组织废气通过选用密闭设备、密闭容器储存物料，加强生产期间</w:t>
      </w:r>
      <w:r w:rsidR="00F01D48" w:rsidRPr="00A964FF">
        <w:rPr>
          <w:rFonts w:ascii="Calibri" w:hAnsi="Calibri" w:hint="eastAsia"/>
          <w:bCs/>
          <w:color w:val="auto"/>
          <w:sz w:val="24"/>
        </w:rPr>
        <w:t>VOCs</w:t>
      </w:r>
      <w:r w:rsidR="00F01D48" w:rsidRPr="00A964FF">
        <w:rPr>
          <w:rFonts w:ascii="Calibri" w:hAnsi="Calibri" w:hint="eastAsia"/>
          <w:bCs/>
          <w:color w:val="auto"/>
          <w:sz w:val="24"/>
        </w:rPr>
        <w:t>排放源的定期</w:t>
      </w:r>
      <w:r w:rsidR="00F01D48" w:rsidRPr="00A964FF">
        <w:rPr>
          <w:rFonts w:ascii="Calibri" w:hAnsi="Calibri"/>
          <w:color w:val="auto"/>
          <w:sz w:val="24"/>
        </w:rPr>
        <w:t>泄漏检测与修复（</w:t>
      </w:r>
      <w:r w:rsidR="00F01D48" w:rsidRPr="00A964FF">
        <w:rPr>
          <w:rFonts w:ascii="Calibri" w:hAnsi="Calibri"/>
          <w:color w:val="auto"/>
          <w:sz w:val="24"/>
        </w:rPr>
        <w:t>LDAR</w:t>
      </w:r>
      <w:r w:rsidR="00F01D48" w:rsidRPr="00A964FF">
        <w:rPr>
          <w:rFonts w:ascii="Calibri" w:hAnsi="Calibri"/>
          <w:color w:val="auto"/>
          <w:sz w:val="24"/>
        </w:rPr>
        <w:t>）</w:t>
      </w:r>
      <w:r w:rsidR="00F01D48" w:rsidRPr="00A964FF">
        <w:rPr>
          <w:rFonts w:ascii="Calibri" w:hAnsi="Calibri" w:hint="eastAsia"/>
          <w:bCs/>
          <w:color w:val="auto"/>
          <w:sz w:val="24"/>
        </w:rPr>
        <w:t>等措施，降低污染物无组织排放量。食堂油烟通过安装油烟净化装置，保证油烟废气达标排放。</w:t>
      </w:r>
    </w:p>
    <w:p w14:paraId="118342C0" w14:textId="77777777" w:rsidR="00A228CC" w:rsidRPr="00A964FF" w:rsidRDefault="00F1209B" w:rsidP="0055605A">
      <w:pPr>
        <w:pStyle w:val="00"/>
        <w:rPr>
          <w:color w:val="auto"/>
          <w:szCs w:val="21"/>
        </w:rPr>
      </w:pPr>
      <w:r w:rsidRPr="00A964FF">
        <w:rPr>
          <w:rFonts w:ascii="Calibri" w:hAnsi="Calibri" w:hint="eastAsia"/>
          <w:color w:val="auto"/>
        </w:rPr>
        <w:t>（</w:t>
      </w:r>
      <w:r w:rsidRPr="00A964FF">
        <w:rPr>
          <w:rFonts w:ascii="Calibri" w:hAnsi="Calibri" w:hint="eastAsia"/>
          <w:color w:val="auto"/>
        </w:rPr>
        <w:t>3</w:t>
      </w:r>
      <w:r w:rsidRPr="00A964FF">
        <w:rPr>
          <w:rFonts w:ascii="Calibri" w:hAnsi="Calibri" w:hint="eastAsia"/>
          <w:color w:val="auto"/>
        </w:rPr>
        <w:t>）</w:t>
      </w:r>
      <w:r w:rsidR="00A228CC" w:rsidRPr="00A964FF">
        <w:rPr>
          <w:rFonts w:ascii="Calibri" w:hAnsi="Calibri" w:hint="eastAsia"/>
          <w:color w:val="auto"/>
        </w:rPr>
        <w:t>生产过程加强无组织废气的控制，制定</w:t>
      </w:r>
      <w:r w:rsidR="00A228CC" w:rsidRPr="00A964FF">
        <w:rPr>
          <w:rFonts w:ascii="Calibri" w:hAnsi="Calibri"/>
          <w:color w:val="auto"/>
          <w:szCs w:val="21"/>
        </w:rPr>
        <w:t>LDAR</w:t>
      </w:r>
      <w:r w:rsidR="00EF449E" w:rsidRPr="00A964FF">
        <w:rPr>
          <w:rFonts w:ascii="Calibri" w:hAnsi="Calibri" w:hint="eastAsia"/>
          <w:color w:val="auto"/>
          <w:szCs w:val="21"/>
        </w:rPr>
        <w:t>方案，</w:t>
      </w:r>
      <w:r w:rsidRPr="00A964FF">
        <w:rPr>
          <w:rFonts w:ascii="Calibri" w:hAnsi="Calibri" w:hint="eastAsia"/>
          <w:color w:val="auto"/>
          <w:szCs w:val="21"/>
        </w:rPr>
        <w:t>减小无组织废气排放</w:t>
      </w:r>
      <w:r w:rsidR="00A228CC" w:rsidRPr="00A964FF">
        <w:rPr>
          <w:rFonts w:hint="eastAsia"/>
          <w:color w:val="auto"/>
          <w:szCs w:val="21"/>
        </w:rPr>
        <w:t>。</w:t>
      </w:r>
    </w:p>
    <w:p w14:paraId="73A4885A" w14:textId="77777777" w:rsidR="0055605A" w:rsidRPr="00A964FF" w:rsidRDefault="00A228CC" w:rsidP="0055605A">
      <w:pPr>
        <w:pStyle w:val="00"/>
        <w:rPr>
          <w:rFonts w:ascii="Calibri" w:hAnsi="Calibri"/>
          <w:color w:val="auto"/>
        </w:rPr>
      </w:pPr>
      <w:r w:rsidRPr="00A964FF">
        <w:rPr>
          <w:rFonts w:ascii="Calibri" w:hAnsi="Calibri" w:hint="eastAsia"/>
          <w:color w:val="auto"/>
        </w:rPr>
        <w:t>（</w:t>
      </w:r>
      <w:r w:rsidR="00F1209B" w:rsidRPr="00A964FF">
        <w:rPr>
          <w:rFonts w:ascii="Calibri" w:hAnsi="Calibri" w:hint="eastAsia"/>
          <w:color w:val="auto"/>
        </w:rPr>
        <w:t>4</w:t>
      </w:r>
      <w:r w:rsidRPr="00A964FF">
        <w:rPr>
          <w:rFonts w:ascii="Calibri" w:hAnsi="Calibri" w:hint="eastAsia"/>
          <w:color w:val="auto"/>
        </w:rPr>
        <w:t>）</w:t>
      </w:r>
      <w:r w:rsidR="0055605A" w:rsidRPr="00A964FF">
        <w:rPr>
          <w:rFonts w:ascii="Calibri" w:hAnsi="Calibri" w:hint="eastAsia"/>
          <w:color w:val="auto"/>
        </w:rPr>
        <w:t>项目高噪声设备采取相应的隔声、减振、消声等措施治理后，厂界噪声可以实现达标排放。</w:t>
      </w:r>
    </w:p>
    <w:p w14:paraId="0A0FE547" w14:textId="77777777" w:rsidR="0055605A" w:rsidRPr="00A964FF" w:rsidRDefault="00EF449E" w:rsidP="0055605A">
      <w:pPr>
        <w:pStyle w:val="00"/>
        <w:rPr>
          <w:rFonts w:ascii="Calibri" w:hAnsi="Calibri"/>
          <w:color w:val="auto"/>
        </w:rPr>
      </w:pPr>
      <w:r w:rsidRPr="00A964FF">
        <w:rPr>
          <w:rFonts w:ascii="Calibri" w:hAnsi="Calibri" w:hint="eastAsia"/>
          <w:color w:val="auto"/>
        </w:rPr>
        <w:t>（</w:t>
      </w:r>
      <w:r w:rsidR="00AA0C2D" w:rsidRPr="00A964FF">
        <w:rPr>
          <w:rFonts w:ascii="Calibri" w:hAnsi="Calibri" w:hint="eastAsia"/>
          <w:color w:val="auto"/>
        </w:rPr>
        <w:t>5</w:t>
      </w:r>
      <w:r w:rsidRPr="00A964FF">
        <w:rPr>
          <w:rFonts w:ascii="Calibri" w:hAnsi="Calibri" w:hint="eastAsia"/>
          <w:color w:val="auto"/>
        </w:rPr>
        <w:t>）</w:t>
      </w:r>
      <w:r w:rsidR="0055605A" w:rsidRPr="00A964FF">
        <w:rPr>
          <w:rFonts w:ascii="Calibri" w:hAnsi="Calibri" w:hint="eastAsia"/>
          <w:color w:val="auto"/>
        </w:rPr>
        <w:t>各类固废根据性质不同进行分类收集</w:t>
      </w:r>
      <w:r w:rsidR="00F1209B" w:rsidRPr="00A964FF">
        <w:rPr>
          <w:rFonts w:ascii="Calibri" w:hAnsi="Calibri" w:hint="eastAsia"/>
          <w:color w:val="auto"/>
        </w:rPr>
        <w:t>储存</w:t>
      </w:r>
      <w:r w:rsidR="0055605A" w:rsidRPr="00A964FF">
        <w:rPr>
          <w:rFonts w:ascii="Calibri" w:hAnsi="Calibri" w:hint="eastAsia"/>
          <w:color w:val="auto"/>
        </w:rPr>
        <w:t>，</w:t>
      </w:r>
      <w:r w:rsidRPr="00A964FF">
        <w:rPr>
          <w:rFonts w:ascii="Calibri" w:hAnsi="Calibri" w:hint="eastAsia"/>
          <w:color w:val="auto"/>
        </w:rPr>
        <w:t>厂区设置</w:t>
      </w:r>
      <w:r w:rsidR="00F1209B" w:rsidRPr="00A964FF">
        <w:rPr>
          <w:rFonts w:ascii="Calibri" w:hAnsi="Calibri" w:hint="eastAsia"/>
          <w:color w:val="auto"/>
        </w:rPr>
        <w:t>1</w:t>
      </w:r>
      <w:r w:rsidR="00F1209B" w:rsidRPr="00A964FF">
        <w:rPr>
          <w:rFonts w:ascii="Calibri" w:hAnsi="Calibri" w:hint="eastAsia"/>
          <w:color w:val="auto"/>
        </w:rPr>
        <w:t>座</w:t>
      </w:r>
      <w:r w:rsidRPr="00A964FF">
        <w:rPr>
          <w:rFonts w:ascii="Calibri" w:hAnsi="Calibri" w:hint="eastAsia"/>
          <w:color w:val="auto"/>
        </w:rPr>
        <w:t>危废暂存间，</w:t>
      </w:r>
      <w:r w:rsidR="00F1209B" w:rsidRPr="00A964FF">
        <w:rPr>
          <w:rFonts w:ascii="Calibri" w:hAnsi="Calibri" w:hint="eastAsia"/>
          <w:color w:val="auto"/>
          <w:szCs w:val="21"/>
        </w:rPr>
        <w:t>并</w:t>
      </w:r>
      <w:r w:rsidRPr="00A964FF">
        <w:rPr>
          <w:rFonts w:ascii="Calibri" w:hAnsi="Calibri" w:hint="eastAsia"/>
          <w:color w:val="auto"/>
          <w:szCs w:val="21"/>
        </w:rPr>
        <w:lastRenderedPageBreak/>
        <w:t>委托资质单位进行安全处置</w:t>
      </w:r>
      <w:r w:rsidR="0055605A" w:rsidRPr="00A964FF">
        <w:rPr>
          <w:rFonts w:ascii="Calibri" w:hAnsi="Calibri" w:hint="eastAsia"/>
          <w:color w:val="auto"/>
        </w:rPr>
        <w:t>。</w:t>
      </w:r>
    </w:p>
    <w:p w14:paraId="1EDB7C95" w14:textId="77777777" w:rsidR="0055605A" w:rsidRPr="00A964FF" w:rsidRDefault="0055605A" w:rsidP="0055605A">
      <w:pPr>
        <w:pStyle w:val="00"/>
        <w:rPr>
          <w:rFonts w:ascii="Calibri" w:hAnsi="Calibri"/>
          <w:color w:val="auto"/>
        </w:rPr>
      </w:pPr>
      <w:r w:rsidRPr="00A964FF">
        <w:rPr>
          <w:rFonts w:ascii="Calibri" w:hAnsi="Calibri" w:hint="eastAsia"/>
          <w:color w:val="auto"/>
        </w:rPr>
        <w:t>本项目营运期环保设施运营支出包括环保设备的运行费、折旧费、管理费等。</w:t>
      </w:r>
    </w:p>
    <w:p w14:paraId="654724E9"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）环保设施运行费</w:t>
      </w:r>
      <w:r w:rsidRPr="00A964FF">
        <w:rPr>
          <w:rFonts w:ascii="Calibri" w:hAnsi="Calibri" w:hint="eastAsia"/>
          <w:color w:val="auto"/>
        </w:rPr>
        <w:t>C</w:t>
      </w:r>
      <w:r w:rsidRPr="00A964FF">
        <w:rPr>
          <w:rFonts w:ascii="Calibri" w:hAnsi="Calibri" w:hint="eastAsia"/>
          <w:color w:val="auto"/>
          <w:vertAlign w:val="subscript"/>
        </w:rPr>
        <w:t>1</w:t>
      </w:r>
    </w:p>
    <w:p w14:paraId="755FF51A" w14:textId="51C8E175" w:rsidR="0055605A" w:rsidRPr="00A964FF" w:rsidRDefault="0055605A" w:rsidP="0055605A">
      <w:pPr>
        <w:pStyle w:val="00"/>
        <w:rPr>
          <w:rFonts w:ascii="Calibri" w:hAnsi="Calibri"/>
          <w:color w:val="auto"/>
        </w:rPr>
      </w:pPr>
      <w:r w:rsidRPr="00A964FF">
        <w:rPr>
          <w:rFonts w:ascii="Calibri" w:hAnsi="Calibri" w:hint="eastAsia"/>
          <w:color w:val="auto"/>
        </w:rPr>
        <w:t>项目污染防治措施主要的运行费用为废气治理和废水处理的费用。根据环境保护措施及其可行性论证相关内容，确定本项目废气治理和废水处理设施年运行费用为</w:t>
      </w:r>
      <w:r w:rsidR="00392F43">
        <w:rPr>
          <w:rFonts w:ascii="Calibri" w:hAnsi="Calibri"/>
          <w:color w:val="auto"/>
        </w:rPr>
        <w:t>24</w:t>
      </w:r>
      <w:r w:rsidRPr="00A964FF">
        <w:rPr>
          <w:rFonts w:ascii="Calibri" w:hAnsi="Calibri" w:hint="eastAsia"/>
          <w:color w:val="auto"/>
        </w:rPr>
        <w:t>万元。</w:t>
      </w:r>
    </w:p>
    <w:p w14:paraId="7D4AED50"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）环保设施折旧费</w:t>
      </w:r>
      <w:r w:rsidRPr="00A964FF">
        <w:rPr>
          <w:rFonts w:ascii="Calibri" w:hAnsi="Calibri" w:hint="eastAsia"/>
          <w:color w:val="auto"/>
        </w:rPr>
        <w:t>C</w:t>
      </w:r>
      <w:r w:rsidRPr="00A964FF">
        <w:rPr>
          <w:rFonts w:ascii="Calibri" w:hAnsi="Calibri" w:hint="eastAsia"/>
          <w:color w:val="auto"/>
          <w:vertAlign w:val="subscript"/>
        </w:rPr>
        <w:t>2</w:t>
      </w:r>
    </w:p>
    <w:p w14:paraId="3E7F1478" w14:textId="03F0F450" w:rsidR="0055605A" w:rsidRPr="00A964FF" w:rsidRDefault="0055605A" w:rsidP="0055605A">
      <w:pPr>
        <w:pStyle w:val="00"/>
        <w:ind w:firstLineChars="500" w:firstLine="1200"/>
        <w:rPr>
          <w:rFonts w:ascii="Calibri" w:hAnsi="Calibri"/>
          <w:color w:val="auto"/>
        </w:rPr>
      </w:pPr>
      <w:r w:rsidRPr="00A964FF">
        <w:rPr>
          <w:rFonts w:ascii="Calibri" w:hAnsi="Calibri" w:hint="eastAsia"/>
          <w:color w:val="auto"/>
        </w:rPr>
        <w:t>C</w:t>
      </w:r>
      <w:r w:rsidRPr="00A964FF">
        <w:rPr>
          <w:rFonts w:ascii="Calibri" w:hAnsi="Calibri" w:hint="eastAsia"/>
          <w:color w:val="auto"/>
          <w:vertAlign w:val="subscript"/>
        </w:rPr>
        <w:t>2</w:t>
      </w:r>
      <w:r w:rsidRPr="00A964FF">
        <w:rPr>
          <w:rFonts w:ascii="Calibri" w:hAnsi="Calibri" w:hint="eastAsia"/>
          <w:color w:val="auto"/>
        </w:rPr>
        <w:t>=a</w:t>
      </w:r>
      <w:r w:rsidRPr="00A964FF">
        <w:rPr>
          <w:rFonts w:ascii="Calibri" w:hAnsi="Calibri" w:hint="eastAsia"/>
          <w:color w:val="auto"/>
        </w:rPr>
        <w:t>×</w:t>
      </w:r>
      <w:r w:rsidRPr="00A964FF">
        <w:rPr>
          <w:rFonts w:ascii="Calibri" w:hAnsi="Calibri" w:hint="eastAsia"/>
          <w:color w:val="auto"/>
        </w:rPr>
        <w:t>C</w:t>
      </w:r>
      <w:r w:rsidRPr="00A964FF">
        <w:rPr>
          <w:rFonts w:ascii="Calibri" w:hAnsi="Calibri" w:hint="eastAsia"/>
          <w:color w:val="auto"/>
          <w:vertAlign w:val="subscript"/>
        </w:rPr>
        <w:t>0</w:t>
      </w:r>
      <w:r w:rsidRPr="00A964FF">
        <w:rPr>
          <w:rFonts w:ascii="Calibri" w:hAnsi="Calibri" w:hint="eastAsia"/>
          <w:color w:val="auto"/>
        </w:rPr>
        <w:t>/n=0.9</w:t>
      </w:r>
      <w:r w:rsidRPr="00A964FF">
        <w:rPr>
          <w:rFonts w:ascii="Calibri" w:hAnsi="Calibri" w:hint="eastAsia"/>
          <w:color w:val="auto"/>
        </w:rPr>
        <w:t>×</w:t>
      </w:r>
      <w:r w:rsidR="00392F43">
        <w:rPr>
          <w:rFonts w:ascii="Calibri" w:hAnsi="Calibri"/>
          <w:color w:val="auto"/>
        </w:rPr>
        <w:t>514</w:t>
      </w:r>
      <w:r w:rsidRPr="00A964FF">
        <w:rPr>
          <w:rFonts w:ascii="Calibri" w:hAnsi="Calibri" w:hint="eastAsia"/>
          <w:color w:val="auto"/>
        </w:rPr>
        <w:t>/12=</w:t>
      </w:r>
      <w:r w:rsidR="00392F43">
        <w:rPr>
          <w:rFonts w:ascii="Calibri" w:hAnsi="Calibri"/>
          <w:color w:val="auto"/>
        </w:rPr>
        <w:t>38.55</w:t>
      </w:r>
      <w:r w:rsidRPr="00A964FF">
        <w:rPr>
          <w:rFonts w:ascii="Calibri" w:hAnsi="Calibri" w:hint="eastAsia"/>
          <w:color w:val="auto"/>
        </w:rPr>
        <w:t>万元</w:t>
      </w:r>
      <w:r w:rsidRPr="00A964FF">
        <w:rPr>
          <w:rFonts w:ascii="Calibri" w:hAnsi="Calibri" w:hint="eastAsia"/>
          <w:color w:val="auto"/>
        </w:rPr>
        <w:t>/</w:t>
      </w:r>
      <w:r w:rsidRPr="00A964FF">
        <w:rPr>
          <w:rFonts w:ascii="Calibri" w:hAnsi="Calibri" w:hint="eastAsia"/>
          <w:color w:val="auto"/>
        </w:rPr>
        <w:t>年</w:t>
      </w:r>
    </w:p>
    <w:p w14:paraId="2C41038E" w14:textId="77777777" w:rsidR="0055605A" w:rsidRPr="00A964FF" w:rsidRDefault="0055605A" w:rsidP="0055605A">
      <w:pPr>
        <w:pStyle w:val="00"/>
        <w:rPr>
          <w:rFonts w:ascii="Calibri" w:hAnsi="Calibri"/>
          <w:color w:val="auto"/>
        </w:rPr>
      </w:pPr>
      <w:r w:rsidRPr="00A964FF">
        <w:rPr>
          <w:rFonts w:ascii="Calibri" w:hAnsi="Calibri" w:hint="eastAsia"/>
          <w:color w:val="auto"/>
        </w:rPr>
        <w:t>式中：</w:t>
      </w:r>
      <w:r w:rsidRPr="00A964FF">
        <w:rPr>
          <w:rFonts w:ascii="Calibri" w:hAnsi="Calibri" w:hint="eastAsia"/>
          <w:color w:val="auto"/>
        </w:rPr>
        <w:t>a</w:t>
      </w:r>
      <w:r w:rsidRPr="00A964FF">
        <w:rPr>
          <w:rFonts w:ascii="Calibri" w:hAnsi="Calibri" w:hint="eastAsia"/>
          <w:color w:val="auto"/>
        </w:rPr>
        <w:t>——固定资产形成率；取</w:t>
      </w:r>
      <w:r w:rsidRPr="00A964FF">
        <w:rPr>
          <w:rFonts w:ascii="Calibri" w:hAnsi="Calibri" w:hint="eastAsia"/>
          <w:color w:val="auto"/>
        </w:rPr>
        <w:t>90%</w:t>
      </w:r>
      <w:r w:rsidRPr="00A964FF">
        <w:rPr>
          <w:rFonts w:ascii="Calibri" w:hAnsi="Calibri" w:hint="eastAsia"/>
          <w:color w:val="auto"/>
        </w:rPr>
        <w:t>；</w:t>
      </w:r>
    </w:p>
    <w:p w14:paraId="55322EC2" w14:textId="77777777" w:rsidR="0055605A" w:rsidRPr="00A964FF" w:rsidRDefault="0055605A" w:rsidP="0055605A">
      <w:pPr>
        <w:pStyle w:val="00"/>
        <w:rPr>
          <w:rFonts w:ascii="Calibri" w:hAnsi="Calibri"/>
          <w:color w:val="auto"/>
        </w:rPr>
      </w:pPr>
      <w:r w:rsidRPr="00A964FF">
        <w:rPr>
          <w:rFonts w:ascii="Calibri" w:hAnsi="Calibri" w:hint="eastAsia"/>
          <w:color w:val="auto"/>
        </w:rPr>
        <w:t xml:space="preserve">      </w:t>
      </w:r>
      <w:r w:rsidRPr="00A964FF">
        <w:rPr>
          <w:rFonts w:ascii="Calibri" w:hAnsi="Calibri"/>
          <w:color w:val="auto"/>
        </w:rPr>
        <w:t>n</w:t>
      </w:r>
      <w:r w:rsidRPr="00A964FF">
        <w:rPr>
          <w:rFonts w:ascii="Calibri" w:hAnsi="Calibri" w:hint="eastAsia"/>
          <w:color w:val="auto"/>
        </w:rPr>
        <w:t>——折旧年限，取</w:t>
      </w:r>
      <w:r w:rsidRPr="00A964FF">
        <w:rPr>
          <w:rFonts w:ascii="Calibri" w:hAnsi="Calibri" w:hint="eastAsia"/>
          <w:color w:val="auto"/>
        </w:rPr>
        <w:t>12</w:t>
      </w:r>
      <w:r w:rsidRPr="00A964FF">
        <w:rPr>
          <w:rFonts w:ascii="Calibri" w:hAnsi="Calibri" w:hint="eastAsia"/>
          <w:color w:val="auto"/>
        </w:rPr>
        <w:t>年；</w:t>
      </w:r>
    </w:p>
    <w:p w14:paraId="0138AFF5" w14:textId="77777777" w:rsidR="0055605A" w:rsidRPr="00A964FF" w:rsidRDefault="0055605A" w:rsidP="0055605A">
      <w:pPr>
        <w:pStyle w:val="00"/>
        <w:rPr>
          <w:rFonts w:ascii="Calibri" w:hAnsi="Calibri"/>
          <w:color w:val="auto"/>
        </w:rPr>
      </w:pPr>
      <w:r w:rsidRPr="00A964FF">
        <w:rPr>
          <w:rFonts w:ascii="Calibri" w:hAnsi="Calibri" w:hint="eastAsia"/>
          <w:color w:val="auto"/>
        </w:rPr>
        <w:t xml:space="preserve">      C</w:t>
      </w:r>
      <w:r w:rsidRPr="00A964FF">
        <w:rPr>
          <w:rFonts w:ascii="Calibri" w:hAnsi="Calibri" w:hint="eastAsia"/>
          <w:color w:val="auto"/>
          <w:vertAlign w:val="subscript"/>
        </w:rPr>
        <w:t>0</w:t>
      </w:r>
      <w:r w:rsidRPr="00A964FF">
        <w:rPr>
          <w:rFonts w:ascii="Calibri" w:hAnsi="Calibri" w:hint="eastAsia"/>
          <w:color w:val="auto"/>
        </w:rPr>
        <w:t>——环保投资，万元。</w:t>
      </w:r>
    </w:p>
    <w:p w14:paraId="76C2F78F"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3</w:t>
      </w:r>
      <w:r w:rsidRPr="00A964FF">
        <w:rPr>
          <w:rFonts w:ascii="Calibri" w:hAnsi="Calibri" w:hint="eastAsia"/>
          <w:color w:val="auto"/>
        </w:rPr>
        <w:t>）环保管理费</w:t>
      </w:r>
      <w:r w:rsidRPr="00A964FF">
        <w:rPr>
          <w:rFonts w:ascii="Calibri" w:hAnsi="Calibri" w:hint="eastAsia"/>
          <w:color w:val="auto"/>
        </w:rPr>
        <w:t>C</w:t>
      </w:r>
      <w:r w:rsidRPr="00A964FF">
        <w:rPr>
          <w:rFonts w:ascii="Calibri" w:hAnsi="Calibri" w:hint="eastAsia"/>
          <w:color w:val="auto"/>
          <w:vertAlign w:val="subscript"/>
        </w:rPr>
        <w:t>3</w:t>
      </w:r>
    </w:p>
    <w:p w14:paraId="30A01393" w14:textId="77777777" w:rsidR="0055605A" w:rsidRPr="00A964FF" w:rsidRDefault="0055605A" w:rsidP="0055605A">
      <w:pPr>
        <w:pStyle w:val="00"/>
        <w:rPr>
          <w:rFonts w:ascii="Calibri" w:hAnsi="Calibri"/>
          <w:color w:val="auto"/>
        </w:rPr>
      </w:pPr>
      <w:r w:rsidRPr="00A964FF">
        <w:rPr>
          <w:rFonts w:ascii="Calibri" w:hAnsi="Calibri" w:hint="eastAsia"/>
          <w:color w:val="auto"/>
        </w:rPr>
        <w:t>环保管理费用包括管理部门的办公费、检测费和技术咨询费等，按环保设施投资折旧费用与运行费用的</w:t>
      </w:r>
      <w:r w:rsidRPr="00A964FF">
        <w:rPr>
          <w:rFonts w:ascii="Calibri" w:hAnsi="Calibri" w:hint="eastAsia"/>
          <w:color w:val="auto"/>
        </w:rPr>
        <w:t>5%</w:t>
      </w:r>
      <w:r w:rsidRPr="00A964FF">
        <w:rPr>
          <w:rFonts w:ascii="Calibri" w:hAnsi="Calibri" w:hint="eastAsia"/>
          <w:color w:val="auto"/>
        </w:rPr>
        <w:t>计算。</w:t>
      </w:r>
    </w:p>
    <w:p w14:paraId="081BBFB4" w14:textId="6A98E0AC" w:rsidR="0055605A" w:rsidRPr="00A964FF" w:rsidRDefault="0055605A" w:rsidP="0055605A">
      <w:pPr>
        <w:pStyle w:val="00"/>
        <w:ind w:firstLineChars="500" w:firstLine="1200"/>
        <w:rPr>
          <w:rFonts w:ascii="Calibri" w:hAnsi="Calibri"/>
          <w:color w:val="auto"/>
        </w:rPr>
      </w:pPr>
      <w:r w:rsidRPr="00A964FF">
        <w:rPr>
          <w:rFonts w:ascii="Calibri" w:hAnsi="Calibri" w:hint="eastAsia"/>
          <w:color w:val="auto"/>
        </w:rPr>
        <w:t>C</w:t>
      </w:r>
      <w:r w:rsidRPr="00A964FF">
        <w:rPr>
          <w:rFonts w:ascii="Calibri" w:hAnsi="Calibri" w:hint="eastAsia"/>
          <w:color w:val="auto"/>
          <w:vertAlign w:val="subscript"/>
        </w:rPr>
        <w:t>3</w:t>
      </w:r>
      <w:r w:rsidRPr="00A964FF">
        <w:rPr>
          <w:rFonts w:ascii="Calibri" w:hAnsi="Calibri" w:hint="eastAsia"/>
          <w:color w:val="auto"/>
        </w:rPr>
        <w:t>=</w:t>
      </w:r>
      <w:r w:rsidRPr="00A964FF">
        <w:rPr>
          <w:rFonts w:ascii="Calibri" w:hAnsi="Calibri" w:hint="eastAsia"/>
          <w:color w:val="auto"/>
        </w:rPr>
        <w:t>（</w:t>
      </w:r>
      <w:r w:rsidRPr="00A964FF">
        <w:rPr>
          <w:rFonts w:ascii="Calibri" w:hAnsi="Calibri" w:hint="eastAsia"/>
          <w:color w:val="auto"/>
        </w:rPr>
        <w:t>C</w:t>
      </w:r>
      <w:r w:rsidRPr="00A964FF">
        <w:rPr>
          <w:rFonts w:ascii="Calibri" w:hAnsi="Calibri" w:hint="eastAsia"/>
          <w:color w:val="auto"/>
          <w:vertAlign w:val="subscript"/>
        </w:rPr>
        <w:t>1</w:t>
      </w:r>
      <w:r w:rsidRPr="00A964FF">
        <w:rPr>
          <w:rFonts w:ascii="Calibri" w:hAnsi="Calibri" w:hint="eastAsia"/>
          <w:color w:val="auto"/>
        </w:rPr>
        <w:t>+C</w:t>
      </w:r>
      <w:r w:rsidRPr="00A964FF">
        <w:rPr>
          <w:rFonts w:ascii="Calibri" w:hAnsi="Calibri" w:hint="eastAsia"/>
          <w:color w:val="auto"/>
          <w:vertAlign w:val="subscript"/>
        </w:rPr>
        <w:t>2</w:t>
      </w:r>
      <w:r w:rsidRPr="00A964FF">
        <w:rPr>
          <w:rFonts w:ascii="Calibri" w:hAnsi="Calibri" w:hint="eastAsia"/>
          <w:color w:val="auto"/>
        </w:rPr>
        <w:t>）×</w:t>
      </w:r>
      <w:r w:rsidRPr="00A964FF">
        <w:rPr>
          <w:rFonts w:ascii="Calibri" w:hAnsi="Calibri" w:hint="eastAsia"/>
          <w:color w:val="auto"/>
        </w:rPr>
        <w:t>5%=</w:t>
      </w:r>
      <w:r w:rsidRPr="00A964FF">
        <w:rPr>
          <w:rFonts w:ascii="Calibri" w:hAnsi="Calibri" w:hint="eastAsia"/>
          <w:color w:val="auto"/>
        </w:rPr>
        <w:t>（</w:t>
      </w:r>
      <w:r w:rsidR="0079359B">
        <w:rPr>
          <w:rFonts w:ascii="Calibri" w:hAnsi="Calibri"/>
          <w:color w:val="auto"/>
        </w:rPr>
        <w:t>2</w:t>
      </w:r>
      <w:r w:rsidR="00392F43">
        <w:rPr>
          <w:rFonts w:ascii="Calibri" w:hAnsi="Calibri"/>
          <w:color w:val="auto"/>
        </w:rPr>
        <w:t>4</w:t>
      </w:r>
      <w:r w:rsidRPr="00A964FF">
        <w:rPr>
          <w:rFonts w:ascii="Calibri" w:hAnsi="Calibri" w:hint="eastAsia"/>
          <w:color w:val="auto"/>
        </w:rPr>
        <w:t>+</w:t>
      </w:r>
      <w:r w:rsidR="00392F43">
        <w:rPr>
          <w:rFonts w:ascii="Calibri" w:hAnsi="Calibri"/>
          <w:color w:val="auto"/>
        </w:rPr>
        <w:t>38.55</w:t>
      </w:r>
      <w:r w:rsidRPr="00A964FF">
        <w:rPr>
          <w:rFonts w:ascii="Calibri" w:hAnsi="Calibri" w:hint="eastAsia"/>
          <w:color w:val="auto"/>
        </w:rPr>
        <w:t>）×</w:t>
      </w:r>
      <w:r w:rsidRPr="00A964FF">
        <w:rPr>
          <w:rFonts w:ascii="Calibri" w:hAnsi="Calibri" w:hint="eastAsia"/>
          <w:color w:val="auto"/>
        </w:rPr>
        <w:t>5%=</w:t>
      </w:r>
      <w:r w:rsidR="00392F43">
        <w:rPr>
          <w:rFonts w:ascii="Calibri" w:hAnsi="Calibri"/>
          <w:color w:val="auto"/>
        </w:rPr>
        <w:t>3.13</w:t>
      </w:r>
      <w:r w:rsidRPr="00A964FF">
        <w:rPr>
          <w:rFonts w:ascii="Calibri" w:hAnsi="Calibri" w:hint="eastAsia"/>
          <w:color w:val="auto"/>
        </w:rPr>
        <w:t>万元</w:t>
      </w:r>
      <w:r w:rsidRPr="00A964FF">
        <w:rPr>
          <w:rFonts w:ascii="Calibri" w:hAnsi="Calibri" w:hint="eastAsia"/>
          <w:color w:val="auto"/>
        </w:rPr>
        <w:t>/</w:t>
      </w:r>
      <w:r w:rsidRPr="00A964FF">
        <w:rPr>
          <w:rFonts w:ascii="Calibri" w:hAnsi="Calibri" w:hint="eastAsia"/>
          <w:color w:val="auto"/>
        </w:rPr>
        <w:t>年。</w:t>
      </w:r>
    </w:p>
    <w:p w14:paraId="2B9612F1"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4</w:t>
      </w:r>
      <w:r w:rsidRPr="00A964FF">
        <w:rPr>
          <w:rFonts w:ascii="Calibri" w:hAnsi="Calibri" w:hint="eastAsia"/>
          <w:color w:val="auto"/>
        </w:rPr>
        <w:t>）环保运行支出费用</w:t>
      </w:r>
    </w:p>
    <w:p w14:paraId="37616405" w14:textId="15BF7EE1" w:rsidR="0055605A" w:rsidRPr="00A964FF" w:rsidRDefault="0055605A" w:rsidP="00392F43">
      <w:pPr>
        <w:pStyle w:val="00"/>
        <w:ind w:firstLineChars="500" w:firstLine="1200"/>
        <w:rPr>
          <w:rFonts w:ascii="Calibri" w:hAnsi="Calibri"/>
          <w:color w:val="auto"/>
        </w:rPr>
      </w:pPr>
      <w:r w:rsidRPr="00A964FF">
        <w:rPr>
          <w:rFonts w:ascii="Calibri" w:hAnsi="Calibri" w:hint="eastAsia"/>
          <w:color w:val="auto"/>
        </w:rPr>
        <w:t>C=C</w:t>
      </w:r>
      <w:r w:rsidRPr="00A964FF">
        <w:rPr>
          <w:rFonts w:ascii="Calibri" w:hAnsi="Calibri" w:hint="eastAsia"/>
          <w:color w:val="auto"/>
          <w:vertAlign w:val="subscript"/>
        </w:rPr>
        <w:t>1</w:t>
      </w:r>
      <w:r w:rsidRPr="00A964FF">
        <w:rPr>
          <w:rFonts w:ascii="Calibri" w:hAnsi="Calibri" w:hint="eastAsia"/>
          <w:color w:val="auto"/>
        </w:rPr>
        <w:t>+C</w:t>
      </w:r>
      <w:r w:rsidRPr="00A964FF">
        <w:rPr>
          <w:rFonts w:ascii="Calibri" w:hAnsi="Calibri" w:hint="eastAsia"/>
          <w:color w:val="auto"/>
          <w:vertAlign w:val="subscript"/>
        </w:rPr>
        <w:t>2</w:t>
      </w:r>
      <w:r w:rsidRPr="00A964FF">
        <w:rPr>
          <w:rFonts w:ascii="Calibri" w:hAnsi="Calibri" w:hint="eastAsia"/>
          <w:color w:val="auto"/>
        </w:rPr>
        <w:t>+C</w:t>
      </w:r>
      <w:r w:rsidRPr="00A964FF">
        <w:rPr>
          <w:rFonts w:ascii="Calibri" w:hAnsi="Calibri" w:hint="eastAsia"/>
          <w:color w:val="auto"/>
          <w:vertAlign w:val="subscript"/>
        </w:rPr>
        <w:t>3</w:t>
      </w:r>
      <w:r w:rsidRPr="00A964FF">
        <w:rPr>
          <w:rFonts w:ascii="Calibri" w:hAnsi="Calibri" w:hint="eastAsia"/>
          <w:color w:val="auto"/>
        </w:rPr>
        <w:t>=</w:t>
      </w:r>
      <w:r w:rsidR="00392F43">
        <w:rPr>
          <w:rFonts w:ascii="Calibri" w:hAnsi="Calibri"/>
          <w:color w:val="auto"/>
        </w:rPr>
        <w:t>24</w:t>
      </w:r>
      <w:r w:rsidR="00392F43" w:rsidRPr="00A964FF">
        <w:rPr>
          <w:rFonts w:ascii="Calibri" w:hAnsi="Calibri" w:hint="eastAsia"/>
          <w:color w:val="auto"/>
        </w:rPr>
        <w:t>+</w:t>
      </w:r>
      <w:r w:rsidR="00392F43">
        <w:rPr>
          <w:rFonts w:ascii="Calibri" w:hAnsi="Calibri"/>
          <w:color w:val="auto"/>
        </w:rPr>
        <w:t>38.55</w:t>
      </w:r>
      <w:r w:rsidRPr="00A964FF">
        <w:rPr>
          <w:rFonts w:ascii="Calibri" w:hAnsi="Calibri" w:hint="eastAsia"/>
          <w:color w:val="auto"/>
        </w:rPr>
        <w:t>+</w:t>
      </w:r>
      <w:r w:rsidR="00392F43">
        <w:rPr>
          <w:rFonts w:ascii="Calibri" w:hAnsi="Calibri"/>
          <w:color w:val="auto"/>
        </w:rPr>
        <w:t>3.13</w:t>
      </w:r>
      <w:r w:rsidRPr="00A964FF">
        <w:rPr>
          <w:rFonts w:ascii="Calibri" w:hAnsi="Calibri" w:hint="eastAsia"/>
          <w:color w:val="auto"/>
        </w:rPr>
        <w:t>=</w:t>
      </w:r>
      <w:r w:rsidR="00392F43">
        <w:rPr>
          <w:rFonts w:ascii="Calibri" w:hAnsi="Calibri"/>
          <w:color w:val="auto"/>
        </w:rPr>
        <w:t>65.68</w:t>
      </w:r>
      <w:r w:rsidRPr="00A964FF">
        <w:rPr>
          <w:rFonts w:ascii="Calibri" w:hAnsi="Calibri" w:hint="eastAsia"/>
          <w:color w:val="auto"/>
        </w:rPr>
        <w:t>万元</w:t>
      </w:r>
      <w:r w:rsidRPr="00A964FF">
        <w:rPr>
          <w:rFonts w:ascii="Calibri" w:hAnsi="Calibri" w:hint="eastAsia"/>
          <w:color w:val="auto"/>
        </w:rPr>
        <w:t>/</w:t>
      </w:r>
      <w:r w:rsidRPr="00A964FF">
        <w:rPr>
          <w:rFonts w:ascii="Calibri" w:hAnsi="Calibri" w:hint="eastAsia"/>
          <w:color w:val="auto"/>
        </w:rPr>
        <w:t>年。</w:t>
      </w:r>
    </w:p>
    <w:p w14:paraId="2E46DDB2" w14:textId="73ACDDEE" w:rsidR="0055605A" w:rsidRPr="00A964FF" w:rsidRDefault="0055605A" w:rsidP="0055605A">
      <w:pPr>
        <w:pStyle w:val="00"/>
        <w:rPr>
          <w:rFonts w:ascii="Calibri" w:hAnsi="Calibri"/>
          <w:color w:val="auto"/>
        </w:rPr>
      </w:pPr>
      <w:r w:rsidRPr="00A964FF">
        <w:rPr>
          <w:rFonts w:ascii="Calibri" w:hAnsi="Calibri" w:hint="eastAsia"/>
          <w:color w:val="auto"/>
        </w:rPr>
        <w:t>由此可知，本项目营运后环保设施运营支出费用为</w:t>
      </w:r>
      <w:r w:rsidR="00392F43">
        <w:rPr>
          <w:rFonts w:ascii="Calibri" w:hAnsi="Calibri"/>
          <w:color w:val="auto"/>
        </w:rPr>
        <w:t>65.68</w:t>
      </w:r>
      <w:r w:rsidRPr="00A964FF">
        <w:rPr>
          <w:rFonts w:ascii="Calibri" w:hAnsi="Calibri" w:hint="eastAsia"/>
          <w:color w:val="auto"/>
        </w:rPr>
        <w:t>万元。</w:t>
      </w:r>
    </w:p>
    <w:p w14:paraId="6FB3D33F" w14:textId="77777777" w:rsidR="0055605A" w:rsidRPr="00A964FF" w:rsidRDefault="0055605A" w:rsidP="003F0808">
      <w:pPr>
        <w:pStyle w:val="2"/>
        <w:spacing w:before="200" w:after="100"/>
        <w:rPr>
          <w:rFonts w:ascii="Calibri" w:hAnsi="Calibri"/>
          <w:bCs/>
          <w:color w:val="auto"/>
          <w:szCs w:val="28"/>
        </w:rPr>
      </w:pPr>
      <w:bookmarkStart w:id="89" w:name="_Toc112999929"/>
      <w:r w:rsidRPr="00A964FF">
        <w:rPr>
          <w:rFonts w:ascii="Calibri" w:hAnsi="Calibri"/>
          <w:bCs/>
          <w:color w:val="auto"/>
          <w:szCs w:val="28"/>
        </w:rPr>
        <w:t>6.</w:t>
      </w:r>
      <w:r w:rsidRPr="00A964FF">
        <w:rPr>
          <w:rFonts w:ascii="Calibri" w:hAnsi="Calibri" w:hint="eastAsia"/>
          <w:bCs/>
          <w:color w:val="auto"/>
          <w:szCs w:val="28"/>
        </w:rPr>
        <w:t>4</w:t>
      </w:r>
      <w:r w:rsidRPr="00A964FF">
        <w:rPr>
          <w:rFonts w:ascii="Calibri" w:hAnsi="Calibri"/>
          <w:bCs/>
          <w:color w:val="auto"/>
          <w:szCs w:val="28"/>
        </w:rPr>
        <w:t>环境</w:t>
      </w:r>
      <w:r w:rsidRPr="00A964FF">
        <w:rPr>
          <w:rFonts w:ascii="Calibri" w:hAnsi="Calibri" w:hint="eastAsia"/>
          <w:bCs/>
          <w:color w:val="auto"/>
          <w:szCs w:val="28"/>
        </w:rPr>
        <w:t>经济效益</w:t>
      </w:r>
      <w:r w:rsidRPr="00A964FF">
        <w:rPr>
          <w:rFonts w:ascii="Calibri" w:hAnsi="Calibri"/>
          <w:bCs/>
          <w:color w:val="auto"/>
          <w:szCs w:val="28"/>
        </w:rPr>
        <w:t>分析</w:t>
      </w:r>
      <w:bookmarkEnd w:id="89"/>
    </w:p>
    <w:p w14:paraId="60BC1311"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）环保建设费用占建设投资比例</w:t>
      </w:r>
    </w:p>
    <w:p w14:paraId="2A3464B2" w14:textId="44F70A4C" w:rsidR="0055605A" w:rsidRPr="00A964FF" w:rsidRDefault="0055605A" w:rsidP="0055605A">
      <w:pPr>
        <w:pStyle w:val="00"/>
        <w:rPr>
          <w:rFonts w:ascii="Calibri" w:hAnsi="Calibri"/>
          <w:color w:val="auto"/>
        </w:rPr>
      </w:pPr>
      <w:r w:rsidRPr="00A964FF">
        <w:rPr>
          <w:rFonts w:ascii="Calibri" w:hAnsi="Calibri" w:hint="eastAsia"/>
          <w:color w:val="auto"/>
        </w:rPr>
        <w:t>环保建设费用</w:t>
      </w:r>
      <w:r w:rsidRPr="00A964FF">
        <w:rPr>
          <w:rFonts w:ascii="Calibri" w:hAnsi="Calibri" w:hint="eastAsia"/>
          <w:color w:val="auto"/>
        </w:rPr>
        <w:t>/</w:t>
      </w:r>
      <w:r w:rsidRPr="00A964FF">
        <w:rPr>
          <w:rFonts w:ascii="Calibri" w:hAnsi="Calibri" w:hint="eastAsia"/>
          <w:color w:val="auto"/>
        </w:rPr>
        <w:t>总投资</w:t>
      </w:r>
      <w:r w:rsidRPr="00A964FF">
        <w:rPr>
          <w:rFonts w:ascii="Calibri" w:hAnsi="Calibri" w:hint="eastAsia"/>
          <w:color w:val="auto"/>
        </w:rPr>
        <w:t>=</w:t>
      </w:r>
      <w:r w:rsidR="00392F43">
        <w:rPr>
          <w:rFonts w:ascii="Calibri" w:hAnsi="Calibri"/>
          <w:color w:val="auto"/>
        </w:rPr>
        <w:t>514</w:t>
      </w:r>
      <w:r w:rsidR="00F55CB1" w:rsidRPr="00A964FF">
        <w:rPr>
          <w:rFonts w:ascii="Calibri" w:hAnsi="Calibri" w:hint="eastAsia"/>
          <w:color w:val="auto"/>
        </w:rPr>
        <w:t>/</w:t>
      </w:r>
      <w:r w:rsidR="0028594C">
        <w:rPr>
          <w:rFonts w:ascii="Calibri" w:hAnsi="Calibri"/>
          <w:caps/>
          <w:color w:val="auto"/>
        </w:rPr>
        <w:t>25400</w:t>
      </w:r>
      <w:r w:rsidRPr="00A964FF">
        <w:rPr>
          <w:rFonts w:ascii="Calibri" w:hAnsi="Calibri" w:hint="eastAsia"/>
          <w:color w:val="auto"/>
        </w:rPr>
        <w:t>×</w:t>
      </w:r>
      <w:r w:rsidRPr="00A964FF">
        <w:rPr>
          <w:rFonts w:ascii="Calibri" w:hAnsi="Calibri" w:hint="eastAsia"/>
          <w:color w:val="auto"/>
        </w:rPr>
        <w:t>100%=</w:t>
      </w:r>
      <w:r w:rsidR="00392F43">
        <w:rPr>
          <w:rFonts w:ascii="Calibri" w:hAnsi="Calibri"/>
          <w:color w:val="auto"/>
        </w:rPr>
        <w:t>2.02</w:t>
      </w:r>
      <w:r w:rsidRPr="00A964FF">
        <w:rPr>
          <w:rFonts w:ascii="Calibri" w:hAnsi="Calibri" w:hint="eastAsia"/>
          <w:color w:val="auto"/>
        </w:rPr>
        <w:t>%</w:t>
      </w:r>
    </w:p>
    <w:p w14:paraId="3707BB42"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）环境成本率</w:t>
      </w:r>
    </w:p>
    <w:p w14:paraId="3EA7AE77" w14:textId="77777777" w:rsidR="0055605A" w:rsidRPr="00A964FF" w:rsidRDefault="0055605A" w:rsidP="0055605A">
      <w:pPr>
        <w:pStyle w:val="00"/>
        <w:rPr>
          <w:rFonts w:ascii="Calibri" w:hAnsi="Calibri"/>
          <w:color w:val="auto"/>
        </w:rPr>
      </w:pPr>
      <w:r w:rsidRPr="00A964FF">
        <w:rPr>
          <w:rFonts w:ascii="Calibri" w:hAnsi="Calibri" w:hint="eastAsia"/>
          <w:color w:val="auto"/>
        </w:rPr>
        <w:t>环境成本是指工程单位经济效益所需的环保运营支出。</w:t>
      </w:r>
    </w:p>
    <w:p w14:paraId="41DCDCC1" w14:textId="77777777" w:rsidR="0055605A" w:rsidRPr="00A964FF" w:rsidRDefault="0055605A" w:rsidP="0055605A">
      <w:pPr>
        <w:pStyle w:val="00"/>
        <w:rPr>
          <w:rFonts w:ascii="Calibri" w:hAnsi="Calibri"/>
          <w:color w:val="auto"/>
        </w:rPr>
      </w:pPr>
      <w:r w:rsidRPr="00A964FF">
        <w:rPr>
          <w:rFonts w:ascii="Calibri" w:hAnsi="Calibri" w:hint="eastAsia"/>
          <w:color w:val="auto"/>
        </w:rPr>
        <w:t>环境成本率</w:t>
      </w:r>
      <w:r w:rsidRPr="00A964FF">
        <w:rPr>
          <w:rFonts w:ascii="Calibri" w:hAnsi="Calibri" w:hint="eastAsia"/>
          <w:color w:val="auto"/>
        </w:rPr>
        <w:t>=</w:t>
      </w:r>
      <w:r w:rsidRPr="00A964FF">
        <w:rPr>
          <w:rFonts w:ascii="Calibri" w:hAnsi="Calibri" w:hint="eastAsia"/>
          <w:color w:val="auto"/>
        </w:rPr>
        <w:t>环保运营支出</w:t>
      </w:r>
      <w:r w:rsidRPr="00A964FF">
        <w:rPr>
          <w:rFonts w:ascii="Calibri" w:hAnsi="Calibri" w:hint="eastAsia"/>
          <w:color w:val="auto"/>
        </w:rPr>
        <w:t>/</w:t>
      </w:r>
      <w:r w:rsidRPr="00A964FF">
        <w:rPr>
          <w:rFonts w:ascii="Calibri" w:hAnsi="Calibri" w:hint="eastAsia"/>
          <w:color w:val="auto"/>
        </w:rPr>
        <w:t>工程总经济效益×</w:t>
      </w:r>
      <w:r w:rsidRPr="00A964FF">
        <w:rPr>
          <w:rFonts w:ascii="Calibri" w:hAnsi="Calibri" w:hint="eastAsia"/>
          <w:color w:val="auto"/>
        </w:rPr>
        <w:t>100%</w:t>
      </w:r>
    </w:p>
    <w:p w14:paraId="510DA391" w14:textId="7CB8ADEA" w:rsidR="0055605A" w:rsidRPr="00A964FF" w:rsidRDefault="0055605A" w:rsidP="0055605A">
      <w:pPr>
        <w:pStyle w:val="00"/>
        <w:rPr>
          <w:rFonts w:ascii="Calibri" w:hAnsi="Calibri"/>
          <w:color w:val="auto"/>
        </w:rPr>
      </w:pPr>
      <w:r w:rsidRPr="00A964FF">
        <w:rPr>
          <w:rFonts w:ascii="Calibri" w:hAnsi="Calibri" w:hint="eastAsia"/>
          <w:color w:val="auto"/>
        </w:rPr>
        <w:t xml:space="preserve">          =</w:t>
      </w:r>
      <w:r w:rsidR="00392F43">
        <w:rPr>
          <w:rFonts w:ascii="Calibri" w:hAnsi="Calibri"/>
          <w:color w:val="auto"/>
        </w:rPr>
        <w:t>65.68</w:t>
      </w:r>
      <w:r w:rsidRPr="00A964FF">
        <w:rPr>
          <w:rFonts w:ascii="Calibri" w:hAnsi="Calibri" w:hint="eastAsia"/>
          <w:color w:val="auto"/>
        </w:rPr>
        <w:t>/</w:t>
      </w:r>
      <w:r w:rsidR="0028594C">
        <w:rPr>
          <w:rFonts w:ascii="Calibri" w:hAnsi="Calibri"/>
          <w:color w:val="auto"/>
        </w:rPr>
        <w:t>3087.56</w:t>
      </w:r>
      <w:r w:rsidRPr="00A964FF">
        <w:rPr>
          <w:rFonts w:ascii="Calibri" w:hAnsi="Calibri" w:hint="eastAsia"/>
          <w:color w:val="auto"/>
        </w:rPr>
        <w:t>×</w:t>
      </w:r>
      <w:r w:rsidRPr="00A964FF">
        <w:rPr>
          <w:rFonts w:ascii="Calibri" w:hAnsi="Calibri" w:hint="eastAsia"/>
          <w:color w:val="auto"/>
        </w:rPr>
        <w:t>100%=</w:t>
      </w:r>
      <w:r w:rsidR="0028594C">
        <w:rPr>
          <w:rFonts w:ascii="Calibri" w:hAnsi="Calibri"/>
          <w:color w:val="auto"/>
        </w:rPr>
        <w:t>2</w:t>
      </w:r>
      <w:r w:rsidR="00392F43">
        <w:rPr>
          <w:rFonts w:ascii="Calibri" w:hAnsi="Calibri"/>
          <w:color w:val="auto"/>
        </w:rPr>
        <w:t>.13</w:t>
      </w:r>
      <w:r w:rsidRPr="00A964FF">
        <w:rPr>
          <w:rFonts w:ascii="Calibri" w:hAnsi="Calibri" w:hint="eastAsia"/>
          <w:color w:val="auto"/>
        </w:rPr>
        <w:t>%</w:t>
      </w:r>
    </w:p>
    <w:p w14:paraId="1348C825"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3</w:t>
      </w:r>
      <w:r w:rsidRPr="00A964FF">
        <w:rPr>
          <w:rFonts w:ascii="Calibri" w:hAnsi="Calibri" w:hint="eastAsia"/>
          <w:color w:val="auto"/>
        </w:rPr>
        <w:t>）环境系数</w:t>
      </w:r>
    </w:p>
    <w:p w14:paraId="6A32FE71" w14:textId="77777777" w:rsidR="0055605A" w:rsidRPr="00A964FF" w:rsidRDefault="0055605A" w:rsidP="0055605A">
      <w:pPr>
        <w:pStyle w:val="00"/>
        <w:rPr>
          <w:rFonts w:ascii="Calibri" w:hAnsi="Calibri"/>
          <w:color w:val="auto"/>
        </w:rPr>
      </w:pPr>
      <w:r w:rsidRPr="00A964FF">
        <w:rPr>
          <w:rFonts w:ascii="Calibri" w:hAnsi="Calibri" w:hint="eastAsia"/>
          <w:color w:val="auto"/>
        </w:rPr>
        <w:lastRenderedPageBreak/>
        <w:t>环境系数是指工程单位产值所需的环保运营支出。</w:t>
      </w:r>
    </w:p>
    <w:p w14:paraId="41582E6F" w14:textId="77777777" w:rsidR="0055605A" w:rsidRPr="00A964FF" w:rsidRDefault="0055605A" w:rsidP="0055605A">
      <w:pPr>
        <w:pStyle w:val="00"/>
        <w:rPr>
          <w:rFonts w:ascii="Calibri" w:hAnsi="Calibri"/>
          <w:color w:val="auto"/>
        </w:rPr>
      </w:pPr>
      <w:r w:rsidRPr="00A964FF">
        <w:rPr>
          <w:rFonts w:ascii="Calibri" w:hAnsi="Calibri" w:hint="eastAsia"/>
          <w:color w:val="auto"/>
        </w:rPr>
        <w:t>环境系数</w:t>
      </w:r>
      <w:r w:rsidRPr="00A964FF">
        <w:rPr>
          <w:rFonts w:ascii="Calibri" w:hAnsi="Calibri" w:hint="eastAsia"/>
          <w:color w:val="auto"/>
        </w:rPr>
        <w:t>=</w:t>
      </w:r>
      <w:r w:rsidRPr="00A964FF">
        <w:rPr>
          <w:rFonts w:ascii="Calibri" w:hAnsi="Calibri" w:hint="eastAsia"/>
          <w:color w:val="auto"/>
        </w:rPr>
        <w:t>环保运营支出</w:t>
      </w:r>
      <w:r w:rsidRPr="00A964FF">
        <w:rPr>
          <w:rFonts w:ascii="Calibri" w:hAnsi="Calibri" w:hint="eastAsia"/>
          <w:color w:val="auto"/>
        </w:rPr>
        <w:t>/</w:t>
      </w:r>
      <w:r w:rsidRPr="00A964FF">
        <w:rPr>
          <w:rFonts w:ascii="Calibri" w:hAnsi="Calibri" w:hint="eastAsia"/>
          <w:color w:val="auto"/>
        </w:rPr>
        <w:t>总产值×</w:t>
      </w:r>
      <w:r w:rsidRPr="00A964FF">
        <w:rPr>
          <w:rFonts w:ascii="Calibri" w:hAnsi="Calibri" w:hint="eastAsia"/>
          <w:color w:val="auto"/>
        </w:rPr>
        <w:t>100%</w:t>
      </w:r>
    </w:p>
    <w:p w14:paraId="6EFA3C0D" w14:textId="2768626A" w:rsidR="0055605A" w:rsidRPr="00A964FF" w:rsidRDefault="0055605A" w:rsidP="0055605A">
      <w:pPr>
        <w:pStyle w:val="00"/>
        <w:ind w:firstLineChars="600" w:firstLine="1440"/>
        <w:rPr>
          <w:rFonts w:ascii="Calibri" w:hAnsi="Calibri"/>
          <w:color w:val="auto"/>
        </w:rPr>
      </w:pPr>
      <w:r w:rsidRPr="00A964FF">
        <w:rPr>
          <w:rFonts w:ascii="Calibri" w:hAnsi="Calibri" w:hint="eastAsia"/>
          <w:color w:val="auto"/>
        </w:rPr>
        <w:t>=</w:t>
      </w:r>
      <w:r w:rsidR="00392F43">
        <w:rPr>
          <w:rFonts w:ascii="Calibri" w:hAnsi="Calibri"/>
          <w:color w:val="auto"/>
        </w:rPr>
        <w:t>65.68</w:t>
      </w:r>
      <w:r w:rsidRPr="00A964FF">
        <w:rPr>
          <w:rFonts w:ascii="Calibri" w:hAnsi="Calibri" w:hint="eastAsia"/>
          <w:color w:val="auto"/>
        </w:rPr>
        <w:t>/</w:t>
      </w:r>
      <w:r w:rsidR="0028594C">
        <w:rPr>
          <w:rFonts w:ascii="Calibri" w:hAnsi="Calibri"/>
          <w:color w:val="auto"/>
        </w:rPr>
        <w:t>11903.45</w:t>
      </w:r>
      <w:r w:rsidRPr="00A964FF">
        <w:rPr>
          <w:rFonts w:ascii="Calibri" w:hAnsi="Calibri" w:hint="eastAsia"/>
          <w:color w:val="auto"/>
        </w:rPr>
        <w:t>×</w:t>
      </w:r>
      <w:r w:rsidRPr="00A964FF">
        <w:rPr>
          <w:rFonts w:ascii="Calibri" w:hAnsi="Calibri" w:hint="eastAsia"/>
          <w:color w:val="auto"/>
        </w:rPr>
        <w:t>100%=</w:t>
      </w:r>
      <w:r w:rsidR="00EC2A80">
        <w:rPr>
          <w:rFonts w:ascii="Calibri" w:hAnsi="Calibri"/>
          <w:color w:val="auto"/>
        </w:rPr>
        <w:t>0.</w:t>
      </w:r>
      <w:r w:rsidR="00392F43">
        <w:rPr>
          <w:rFonts w:ascii="Calibri" w:hAnsi="Calibri"/>
          <w:color w:val="auto"/>
        </w:rPr>
        <w:t>55</w:t>
      </w:r>
      <w:r w:rsidRPr="00A964FF">
        <w:rPr>
          <w:rFonts w:ascii="Calibri" w:hAnsi="Calibri" w:hint="eastAsia"/>
          <w:color w:val="auto"/>
        </w:rPr>
        <w:t>%</w:t>
      </w:r>
    </w:p>
    <w:p w14:paraId="10DEB5DD" w14:textId="77777777" w:rsidR="0055605A" w:rsidRPr="00A964FF" w:rsidRDefault="0055605A" w:rsidP="0055605A">
      <w:pPr>
        <w:pStyle w:val="00"/>
        <w:ind w:firstLineChars="200"/>
        <w:rPr>
          <w:rFonts w:ascii="Calibri" w:hAnsi="Calibri"/>
          <w:color w:val="auto"/>
        </w:rPr>
      </w:pPr>
      <w:r w:rsidRPr="00A964FF">
        <w:rPr>
          <w:rFonts w:ascii="Calibri" w:hAnsi="Calibri" w:hint="eastAsia"/>
          <w:color w:val="auto"/>
        </w:rPr>
        <w:t>（</w:t>
      </w:r>
      <w:r w:rsidRPr="00A964FF">
        <w:rPr>
          <w:rFonts w:ascii="Calibri" w:hAnsi="Calibri" w:hint="eastAsia"/>
          <w:color w:val="auto"/>
        </w:rPr>
        <w:t>4</w:t>
      </w:r>
      <w:r w:rsidRPr="00A964FF">
        <w:rPr>
          <w:rFonts w:ascii="Calibri" w:hAnsi="Calibri" w:hint="eastAsia"/>
          <w:color w:val="auto"/>
        </w:rPr>
        <w:t>）项目环境经济总体效益</w:t>
      </w:r>
    </w:p>
    <w:p w14:paraId="4AF38B91" w14:textId="77777777" w:rsidR="0055605A" w:rsidRPr="00A964FF" w:rsidRDefault="0055605A" w:rsidP="0055605A">
      <w:pPr>
        <w:pStyle w:val="00"/>
        <w:ind w:firstLineChars="200"/>
        <w:rPr>
          <w:rFonts w:ascii="Calibri" w:hAnsi="Calibri"/>
          <w:color w:val="auto"/>
        </w:rPr>
      </w:pPr>
      <w:r w:rsidRPr="00A964FF">
        <w:rPr>
          <w:rFonts w:ascii="Calibri" w:hAnsi="Calibri" w:hint="eastAsia"/>
          <w:color w:val="auto"/>
        </w:rPr>
        <w:t>本项目环境经济总体效益</w:t>
      </w:r>
      <w:r w:rsidRPr="00A964FF">
        <w:rPr>
          <w:rFonts w:ascii="Calibri" w:hAnsi="Calibri" w:hint="eastAsia"/>
          <w:color w:val="auto"/>
        </w:rPr>
        <w:t>=</w:t>
      </w:r>
      <w:r w:rsidRPr="00A964FF">
        <w:rPr>
          <w:rFonts w:ascii="Calibri" w:hAnsi="Calibri" w:hint="eastAsia"/>
          <w:color w:val="auto"/>
        </w:rPr>
        <w:t>工程总经济效益</w:t>
      </w:r>
      <w:r w:rsidRPr="00A964FF">
        <w:rPr>
          <w:rFonts w:ascii="Calibri" w:hAnsi="Calibri" w:hint="eastAsia"/>
          <w:color w:val="auto"/>
        </w:rPr>
        <w:t>-</w:t>
      </w:r>
      <w:r w:rsidRPr="00A964FF">
        <w:rPr>
          <w:rFonts w:ascii="Calibri" w:hAnsi="Calibri" w:hint="eastAsia"/>
          <w:color w:val="auto"/>
        </w:rPr>
        <w:t>环保运营支出</w:t>
      </w:r>
    </w:p>
    <w:p w14:paraId="7C3E20EC" w14:textId="16BEB0B1" w:rsidR="0055605A" w:rsidRPr="00A964FF" w:rsidRDefault="0055605A" w:rsidP="0055605A">
      <w:pPr>
        <w:pStyle w:val="00"/>
        <w:ind w:firstLineChars="200"/>
        <w:rPr>
          <w:rFonts w:ascii="Calibri" w:hAnsi="Calibri"/>
          <w:color w:val="auto"/>
        </w:rPr>
      </w:pPr>
      <w:r w:rsidRPr="00A964FF">
        <w:rPr>
          <w:rFonts w:ascii="Calibri" w:hAnsi="Calibri" w:hint="eastAsia"/>
          <w:color w:val="auto"/>
        </w:rPr>
        <w:t xml:space="preserve">                      =</w:t>
      </w:r>
      <w:r w:rsidR="0028594C">
        <w:rPr>
          <w:rFonts w:ascii="Calibri" w:hAnsi="Calibri"/>
          <w:color w:val="auto"/>
        </w:rPr>
        <w:t>3087.56</w:t>
      </w:r>
      <w:r w:rsidRPr="00A964FF">
        <w:rPr>
          <w:rFonts w:ascii="Calibri" w:hAnsi="Calibri" w:hint="eastAsia"/>
          <w:color w:val="auto"/>
        </w:rPr>
        <w:t>-</w:t>
      </w:r>
      <w:r w:rsidR="00392F43">
        <w:rPr>
          <w:rFonts w:ascii="Calibri" w:hAnsi="Calibri"/>
          <w:color w:val="auto"/>
        </w:rPr>
        <w:t>65.68</w:t>
      </w:r>
      <w:r w:rsidRPr="00A964FF">
        <w:rPr>
          <w:rFonts w:ascii="Calibri" w:hAnsi="Calibri" w:hint="eastAsia"/>
          <w:color w:val="auto"/>
        </w:rPr>
        <w:t>=</w:t>
      </w:r>
      <w:r w:rsidR="0028594C">
        <w:rPr>
          <w:rFonts w:ascii="Calibri" w:hAnsi="Calibri"/>
          <w:color w:val="auto"/>
        </w:rPr>
        <w:t>302</w:t>
      </w:r>
      <w:r w:rsidR="00392F43">
        <w:rPr>
          <w:rFonts w:ascii="Calibri" w:hAnsi="Calibri"/>
          <w:color w:val="auto"/>
        </w:rPr>
        <w:t>1</w:t>
      </w:r>
      <w:r w:rsidR="0028594C">
        <w:rPr>
          <w:rFonts w:ascii="Calibri" w:hAnsi="Calibri"/>
          <w:color w:val="auto"/>
        </w:rPr>
        <w:t>.</w:t>
      </w:r>
      <w:r w:rsidR="00392F43">
        <w:rPr>
          <w:rFonts w:ascii="Calibri" w:hAnsi="Calibri"/>
          <w:color w:val="auto"/>
        </w:rPr>
        <w:t>88</w:t>
      </w:r>
      <w:r w:rsidRPr="00A964FF">
        <w:rPr>
          <w:rFonts w:ascii="Calibri" w:hAnsi="Calibri" w:hint="eastAsia"/>
          <w:color w:val="auto"/>
        </w:rPr>
        <w:t>万元</w:t>
      </w:r>
    </w:p>
    <w:p w14:paraId="76820979" w14:textId="77777777" w:rsidR="0055605A" w:rsidRPr="00A964FF" w:rsidRDefault="0055605A" w:rsidP="0055605A">
      <w:pPr>
        <w:pStyle w:val="00"/>
        <w:ind w:firstLineChars="200"/>
        <w:rPr>
          <w:rFonts w:ascii="Calibri" w:hAnsi="Calibri"/>
          <w:color w:val="auto"/>
        </w:rPr>
      </w:pPr>
      <w:r w:rsidRPr="00A964FF">
        <w:rPr>
          <w:rFonts w:ascii="Calibri" w:hAnsi="Calibri" w:hint="eastAsia"/>
          <w:color w:val="auto"/>
        </w:rPr>
        <w:t>由此可知，本项目营运后具有较高的环境经济效益。</w:t>
      </w:r>
    </w:p>
    <w:p w14:paraId="75B25E04" w14:textId="77777777" w:rsidR="0055605A" w:rsidRPr="00A964FF" w:rsidRDefault="0055605A" w:rsidP="003F0808">
      <w:pPr>
        <w:pStyle w:val="2"/>
        <w:spacing w:before="200" w:after="100"/>
        <w:rPr>
          <w:rFonts w:ascii="Calibri" w:hAnsi="Calibri"/>
          <w:bCs/>
          <w:color w:val="auto"/>
          <w:szCs w:val="28"/>
        </w:rPr>
      </w:pPr>
      <w:bookmarkStart w:id="90" w:name="_Toc112999930"/>
      <w:r w:rsidRPr="00A964FF">
        <w:rPr>
          <w:rFonts w:ascii="Calibri" w:hAnsi="Calibri"/>
          <w:bCs/>
          <w:color w:val="auto"/>
          <w:szCs w:val="28"/>
        </w:rPr>
        <w:t>6.</w:t>
      </w:r>
      <w:r w:rsidRPr="00A964FF">
        <w:rPr>
          <w:rFonts w:ascii="Calibri" w:hAnsi="Calibri" w:hint="eastAsia"/>
          <w:bCs/>
          <w:color w:val="auto"/>
          <w:szCs w:val="28"/>
        </w:rPr>
        <w:t>5</w:t>
      </w:r>
      <w:r w:rsidRPr="00A964FF">
        <w:rPr>
          <w:rFonts w:ascii="Calibri" w:hAnsi="Calibri" w:hint="eastAsia"/>
          <w:bCs/>
          <w:color w:val="auto"/>
          <w:szCs w:val="28"/>
        </w:rPr>
        <w:t>环境经济损益分析结论</w:t>
      </w:r>
      <w:bookmarkEnd w:id="90"/>
    </w:p>
    <w:p w14:paraId="56CDB16B" w14:textId="77777777" w:rsidR="00F55CB1" w:rsidRPr="00A964FF" w:rsidRDefault="00F55CB1" w:rsidP="00F55CB1">
      <w:pPr>
        <w:pStyle w:val="00"/>
        <w:ind w:firstLineChars="200"/>
        <w:rPr>
          <w:rFonts w:ascii="Calibri" w:hAnsi="Calibri"/>
          <w:color w:val="auto"/>
        </w:rPr>
      </w:pPr>
      <w:r w:rsidRPr="00A964FF">
        <w:rPr>
          <w:rFonts w:ascii="Calibri" w:hAnsi="Calibri" w:hint="eastAsia"/>
          <w:color w:val="auto"/>
        </w:rPr>
        <w:t>本项目的建设符合国家当前产业政策和环保政策，通过选择合理、有效的废水、废气治理措施，达到节约原料、降低成本、减少污染的目的。项目实施后可促进地方经济发展，增加当地财政收入，同时给当地人民提供了一定的就业机会，具有良好的社会效益和经济效益。在确保环保投资落实到位的情况下，环境效益明显。综上所述，从环境与经济分析情况来看，本项目是可行的。</w:t>
      </w:r>
    </w:p>
    <w:p w14:paraId="2C1C3A5A" w14:textId="77777777" w:rsidR="0055605A" w:rsidRPr="00A964FF" w:rsidRDefault="0055605A" w:rsidP="0055605A">
      <w:pPr>
        <w:pStyle w:val="1"/>
        <w:spacing w:line="240" w:lineRule="auto"/>
        <w:jc w:val="center"/>
        <w:rPr>
          <w:rFonts w:ascii="Calibri" w:hAnsi="Calibri"/>
          <w:color w:val="auto"/>
        </w:rPr>
      </w:pPr>
      <w:r w:rsidRPr="00A964FF">
        <w:rPr>
          <w:color w:val="auto"/>
        </w:rPr>
        <w:br w:type="page"/>
      </w:r>
      <w:bookmarkStart w:id="91" w:name="_Toc447804139"/>
      <w:bookmarkStart w:id="92" w:name="_Toc112999931"/>
      <w:r w:rsidRPr="00A964FF">
        <w:rPr>
          <w:rFonts w:ascii="Calibri" w:hAnsi="Calibri"/>
          <w:color w:val="auto"/>
        </w:rPr>
        <w:lastRenderedPageBreak/>
        <w:t>第</w:t>
      </w:r>
      <w:r w:rsidRPr="00A964FF">
        <w:rPr>
          <w:rFonts w:ascii="Calibri" w:hAnsi="Calibri" w:hint="eastAsia"/>
          <w:color w:val="auto"/>
        </w:rPr>
        <w:t>七</w:t>
      </w:r>
      <w:r w:rsidRPr="00A964FF">
        <w:rPr>
          <w:rFonts w:ascii="Calibri" w:hAnsi="Calibri"/>
          <w:color w:val="auto"/>
        </w:rPr>
        <w:t>章</w:t>
      </w:r>
      <w:r w:rsidRPr="00A964FF">
        <w:rPr>
          <w:rFonts w:ascii="Calibri" w:hAnsi="Calibri"/>
          <w:color w:val="auto"/>
        </w:rPr>
        <w:t xml:space="preserve">  </w:t>
      </w:r>
      <w:bookmarkEnd w:id="91"/>
      <w:r w:rsidRPr="00A964FF">
        <w:rPr>
          <w:rFonts w:ascii="Calibri" w:hAnsi="Calibri" w:hint="eastAsia"/>
          <w:color w:val="auto"/>
        </w:rPr>
        <w:t>环境管理与监测计划</w:t>
      </w:r>
      <w:bookmarkEnd w:id="92"/>
    </w:p>
    <w:p w14:paraId="51F7586D" w14:textId="77777777" w:rsidR="009058A1" w:rsidRPr="00A964FF" w:rsidRDefault="009058A1" w:rsidP="009058A1">
      <w:pPr>
        <w:pStyle w:val="00"/>
        <w:rPr>
          <w:rFonts w:ascii="Calibri" w:hAnsi="Calibri"/>
          <w:noProof/>
          <w:color w:val="auto"/>
        </w:rPr>
      </w:pPr>
      <w:bookmarkStart w:id="93" w:name="_Toc447804140"/>
      <w:r w:rsidRPr="00A964FF">
        <w:rPr>
          <w:rFonts w:ascii="Calibri" w:hAnsi="Calibri" w:hint="eastAsia"/>
          <w:noProof/>
          <w:color w:val="auto"/>
        </w:rPr>
        <w:t>环境管理是企业管理中一项重要的专业管理。加强环境监督、管理力度，是实现社会效益，经济效益、环境效益协调发展和走可持续发展道路的重要措施。环境监测是工业污染防治的依据和环境管理的基本手段和信息基础。加强项目污染监控工作，是了解和掌握企业排污特征，研究污染发展趋势，保证环保设施正常运行和提高能源综合利用的有效途径。</w:t>
      </w:r>
    </w:p>
    <w:p w14:paraId="19081D40" w14:textId="77777777" w:rsidR="0055605A" w:rsidRPr="00A964FF" w:rsidRDefault="0055605A" w:rsidP="0055605A">
      <w:pPr>
        <w:pStyle w:val="2"/>
        <w:spacing w:before="200" w:after="100"/>
        <w:rPr>
          <w:rFonts w:ascii="Calibri" w:hAnsi="Calibri"/>
          <w:bCs/>
          <w:color w:val="auto"/>
          <w:szCs w:val="28"/>
        </w:rPr>
      </w:pPr>
      <w:bookmarkStart w:id="94" w:name="_Toc112999932"/>
      <w:r w:rsidRPr="004B4EAC">
        <w:rPr>
          <w:rFonts w:ascii="Calibri" w:hAnsi="Calibri" w:hint="eastAsia"/>
          <w:bCs/>
          <w:color w:val="auto"/>
          <w:szCs w:val="28"/>
        </w:rPr>
        <w:t>7.1</w:t>
      </w:r>
      <w:bookmarkEnd w:id="93"/>
      <w:r w:rsidRPr="004B4EAC">
        <w:rPr>
          <w:rFonts w:ascii="Calibri" w:hAnsi="Calibri" w:hint="eastAsia"/>
          <w:bCs/>
          <w:color w:val="auto"/>
          <w:szCs w:val="28"/>
        </w:rPr>
        <w:t>环境管理</w:t>
      </w:r>
      <w:bookmarkEnd w:id="94"/>
    </w:p>
    <w:p w14:paraId="6756D6F2" w14:textId="77777777" w:rsidR="00F55CB1" w:rsidRPr="00A964FF" w:rsidRDefault="0055605A" w:rsidP="0055605A">
      <w:pPr>
        <w:pStyle w:val="00"/>
        <w:rPr>
          <w:rFonts w:ascii="Calibri" w:hAnsi="Calibri"/>
          <w:noProof/>
          <w:color w:val="auto"/>
        </w:rPr>
      </w:pPr>
      <w:r w:rsidRPr="00A964FF">
        <w:rPr>
          <w:rFonts w:ascii="Calibri" w:hAnsi="Calibri" w:hint="eastAsia"/>
          <w:noProof/>
          <w:color w:val="auto"/>
        </w:rPr>
        <w:t>环境管理是以环境科学理论为基础，运用经济、法律、技术、行政、教育等手段对经济、社会发展过程中施加给环境的污染和破坏影响进行调节控制，实现经济、社会和环境效益的和谐统一。</w:t>
      </w:r>
    </w:p>
    <w:p w14:paraId="0980F2AF" w14:textId="77777777" w:rsidR="00F55CB1" w:rsidRPr="00A964FF" w:rsidRDefault="00F55CB1" w:rsidP="00F55CB1">
      <w:pPr>
        <w:pStyle w:val="00"/>
        <w:rPr>
          <w:rFonts w:ascii="Calibri" w:hAnsi="Calibri"/>
          <w:color w:val="auto"/>
        </w:rPr>
      </w:pPr>
      <w:r w:rsidRPr="00A964FF">
        <w:rPr>
          <w:rFonts w:ascii="Calibri" w:hAnsi="Calibri" w:hint="eastAsia"/>
          <w:color w:val="auto"/>
        </w:rPr>
        <w:t>为尽可能削减项目生产运行期对环境造成的不良影响，在采取环保治理工程措施降低建设项目环境影响的同时，必须制定全面的企业环境管理计划，以确保企业环境保护的制度化和系统化，保证企业环保工作持久开展以及企业的持续发展。同时按照园区环境管理的要求，做好本项目相应的环境管理。</w:t>
      </w:r>
    </w:p>
    <w:p w14:paraId="32EAE536" w14:textId="77777777" w:rsidR="009058A1" w:rsidRPr="00A964FF" w:rsidRDefault="0055605A" w:rsidP="009058A1">
      <w:pPr>
        <w:pStyle w:val="00"/>
        <w:rPr>
          <w:rFonts w:ascii="Calibri" w:hAnsi="Calibri"/>
          <w:b/>
          <w:noProof/>
          <w:color w:val="auto"/>
        </w:rPr>
      </w:pPr>
      <w:r w:rsidRPr="004B4EAC">
        <w:rPr>
          <w:rFonts w:ascii="Calibri" w:hAnsi="Calibri" w:hint="eastAsia"/>
          <w:b/>
          <w:noProof/>
          <w:color w:val="auto"/>
        </w:rPr>
        <w:t>1</w:t>
      </w:r>
      <w:r w:rsidRPr="004B4EAC">
        <w:rPr>
          <w:rFonts w:ascii="Calibri" w:hAnsi="Calibri" w:hint="eastAsia"/>
          <w:b/>
          <w:noProof/>
          <w:color w:val="auto"/>
        </w:rPr>
        <w:t>、</w:t>
      </w:r>
      <w:r w:rsidR="009058A1" w:rsidRPr="004B4EAC">
        <w:rPr>
          <w:rFonts w:ascii="Calibri" w:hAnsi="Calibri" w:hint="eastAsia"/>
          <w:b/>
          <w:noProof/>
          <w:color w:val="auto"/>
        </w:rPr>
        <w:t>不同阶段环境管理要求</w:t>
      </w:r>
    </w:p>
    <w:p w14:paraId="786826F3" w14:textId="77777777" w:rsidR="009058A1" w:rsidRPr="00A964FF" w:rsidRDefault="009058A1" w:rsidP="009058A1">
      <w:pPr>
        <w:pStyle w:val="00"/>
        <w:rPr>
          <w:rFonts w:ascii="Calibri" w:hAnsi="Calibri"/>
          <w:noProof/>
          <w:color w:val="auto"/>
        </w:rPr>
      </w:pPr>
      <w:r w:rsidRPr="00A964FF">
        <w:rPr>
          <w:rFonts w:ascii="Calibri" w:hAnsi="Calibri" w:hint="eastAsia"/>
          <w:noProof/>
          <w:color w:val="auto"/>
        </w:rPr>
        <w:t>环境管理应贯穿于建设项目从筹备到运行的整个过程，并针对建设项目的不同阶段制定相应的环保管理制度，规定不同阶段的环保内容，明确不同阶段各岗位的工作职责。</w:t>
      </w:r>
    </w:p>
    <w:p w14:paraId="4EAB2C6A" w14:textId="77777777" w:rsidR="009058A1" w:rsidRPr="00A964FF" w:rsidRDefault="009058A1" w:rsidP="009058A1">
      <w:pPr>
        <w:pStyle w:val="00"/>
        <w:rPr>
          <w:rFonts w:ascii="Calibri" w:hAnsi="Calibri"/>
          <w:noProof/>
          <w:color w:val="auto"/>
        </w:rPr>
      </w:pPr>
      <w:r w:rsidRPr="00A964FF">
        <w:rPr>
          <w:rFonts w:ascii="Calibri" w:hAnsi="Calibri" w:hint="eastAsia"/>
          <w:noProof/>
          <w:color w:val="auto"/>
        </w:rPr>
        <w:t>针对该项目的特点，本次评价提出中各个阶段的具体环境管理要求见表</w:t>
      </w:r>
      <w:r w:rsidRPr="00A964FF">
        <w:rPr>
          <w:rFonts w:ascii="Calibri" w:hAnsi="Calibri" w:hint="eastAsia"/>
          <w:noProof/>
          <w:color w:val="auto"/>
        </w:rPr>
        <w:t>7.1-1</w:t>
      </w:r>
      <w:r w:rsidRPr="00A964FF">
        <w:rPr>
          <w:rFonts w:ascii="Calibri" w:hAnsi="Calibri" w:hint="eastAsia"/>
          <w:noProof/>
          <w:color w:val="auto"/>
        </w:rPr>
        <w:t>。</w:t>
      </w:r>
    </w:p>
    <w:p w14:paraId="17D3CD54" w14:textId="77777777" w:rsidR="009058A1" w:rsidRPr="00A964FF" w:rsidRDefault="009058A1" w:rsidP="009058A1">
      <w:pPr>
        <w:pStyle w:val="00"/>
        <w:rPr>
          <w:rFonts w:ascii="Calibri" w:hAnsi="Calibri"/>
          <w:noProof/>
          <w:color w:val="auto"/>
        </w:rPr>
      </w:pPr>
    </w:p>
    <w:p w14:paraId="3378DBCB" w14:textId="77777777" w:rsidR="009058A1" w:rsidRPr="00A964FF" w:rsidRDefault="009058A1" w:rsidP="009058A1">
      <w:pPr>
        <w:pStyle w:val="00"/>
        <w:rPr>
          <w:rFonts w:ascii="Calibri" w:hAnsi="Calibri"/>
          <w:noProof/>
          <w:color w:val="auto"/>
        </w:rPr>
      </w:pPr>
    </w:p>
    <w:p w14:paraId="3E94D124" w14:textId="77777777" w:rsidR="009058A1" w:rsidRPr="00A964FF" w:rsidRDefault="009058A1" w:rsidP="009058A1">
      <w:pPr>
        <w:pStyle w:val="00"/>
        <w:rPr>
          <w:rFonts w:ascii="Calibri" w:hAnsi="Calibri"/>
          <w:noProof/>
          <w:color w:val="auto"/>
        </w:rPr>
      </w:pPr>
    </w:p>
    <w:p w14:paraId="6E28161C" w14:textId="77777777" w:rsidR="009058A1" w:rsidRPr="00A964FF" w:rsidRDefault="009058A1" w:rsidP="009058A1">
      <w:pPr>
        <w:pStyle w:val="00"/>
        <w:rPr>
          <w:rFonts w:ascii="Calibri" w:hAnsi="Calibri"/>
          <w:noProof/>
          <w:color w:val="auto"/>
        </w:rPr>
      </w:pPr>
    </w:p>
    <w:p w14:paraId="12E52DAE" w14:textId="77777777" w:rsidR="009058A1" w:rsidRPr="00A964FF" w:rsidRDefault="009058A1" w:rsidP="009058A1">
      <w:pPr>
        <w:pStyle w:val="00"/>
        <w:rPr>
          <w:rFonts w:ascii="Calibri" w:hAnsi="Calibri"/>
          <w:noProof/>
          <w:color w:val="auto"/>
        </w:rPr>
      </w:pPr>
    </w:p>
    <w:p w14:paraId="7D162946" w14:textId="77777777" w:rsidR="009058A1" w:rsidRPr="00A964FF" w:rsidRDefault="009058A1" w:rsidP="009058A1">
      <w:pPr>
        <w:pStyle w:val="00"/>
        <w:rPr>
          <w:rFonts w:ascii="Calibri" w:hAnsi="Calibri"/>
          <w:noProof/>
          <w:color w:val="auto"/>
        </w:rPr>
      </w:pPr>
    </w:p>
    <w:p w14:paraId="563A640E" w14:textId="77777777" w:rsidR="009058A1" w:rsidRPr="00A964FF" w:rsidRDefault="009058A1" w:rsidP="009058A1">
      <w:pPr>
        <w:spacing w:line="520" w:lineRule="exact"/>
        <w:ind w:firstLine="573"/>
        <w:rPr>
          <w:rFonts w:ascii="Calibri" w:eastAsia="黑体" w:hAnsi="Calibri"/>
          <w:color w:val="auto"/>
          <w:sz w:val="24"/>
        </w:rPr>
      </w:pPr>
      <w:r w:rsidRPr="00A964FF">
        <w:rPr>
          <w:rFonts w:ascii="Calibri" w:eastAsia="黑体" w:hAnsi="黑体"/>
          <w:color w:val="auto"/>
          <w:sz w:val="24"/>
        </w:rPr>
        <w:lastRenderedPageBreak/>
        <w:t>表</w:t>
      </w:r>
      <w:r w:rsidR="00B57A09" w:rsidRPr="00A964FF">
        <w:rPr>
          <w:rFonts w:ascii="Calibri" w:eastAsia="黑体" w:hAnsi="Calibri" w:hint="eastAsia"/>
          <w:color w:val="auto"/>
          <w:sz w:val="24"/>
        </w:rPr>
        <w:t>7</w:t>
      </w:r>
      <w:r w:rsidRPr="00A964FF">
        <w:rPr>
          <w:rFonts w:ascii="Calibri" w:eastAsia="黑体" w:hAnsi="Calibri" w:hint="eastAsia"/>
          <w:color w:val="auto"/>
          <w:sz w:val="24"/>
        </w:rPr>
        <w:t>.1</w:t>
      </w:r>
      <w:r w:rsidRPr="00A964FF">
        <w:rPr>
          <w:rFonts w:ascii="Calibri" w:eastAsia="黑体" w:hAnsi="Calibri"/>
          <w:color w:val="auto"/>
          <w:sz w:val="24"/>
        </w:rPr>
        <w:t xml:space="preserve">-1            </w:t>
      </w:r>
      <w:r w:rsidRPr="00A964FF">
        <w:rPr>
          <w:rFonts w:ascii="Calibri" w:eastAsia="黑体" w:hAnsi="黑体"/>
          <w:color w:val="auto"/>
          <w:sz w:val="24"/>
        </w:rPr>
        <w:t>项目建设各阶段的环境管理要求</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90"/>
        <w:gridCol w:w="426"/>
        <w:gridCol w:w="7584"/>
      </w:tblGrid>
      <w:tr w:rsidR="009058A1" w:rsidRPr="00A964FF" w14:paraId="211C8066" w14:textId="77777777" w:rsidTr="00C4311A">
        <w:trPr>
          <w:trHeight w:val="340"/>
        </w:trPr>
        <w:tc>
          <w:tcPr>
            <w:tcW w:w="638" w:type="pct"/>
            <w:gridSpan w:val="2"/>
            <w:vAlign w:val="center"/>
          </w:tcPr>
          <w:p w14:paraId="191D5038" w14:textId="77777777" w:rsidR="009058A1" w:rsidRPr="00A964FF" w:rsidRDefault="009058A1" w:rsidP="00C4311A">
            <w:pPr>
              <w:jc w:val="center"/>
              <w:rPr>
                <w:rFonts w:ascii="Calibri" w:hAnsi="Calibri"/>
                <w:color w:val="auto"/>
                <w:szCs w:val="21"/>
              </w:rPr>
            </w:pPr>
            <w:r w:rsidRPr="00A964FF">
              <w:rPr>
                <w:rFonts w:ascii="Calibri" w:hAnsi="宋体"/>
                <w:color w:val="auto"/>
                <w:szCs w:val="21"/>
              </w:rPr>
              <w:t>实施阶段</w:t>
            </w:r>
          </w:p>
        </w:tc>
        <w:tc>
          <w:tcPr>
            <w:tcW w:w="4362" w:type="pct"/>
            <w:vAlign w:val="center"/>
          </w:tcPr>
          <w:p w14:paraId="149B33BC" w14:textId="77777777" w:rsidR="009058A1" w:rsidRPr="00A964FF" w:rsidRDefault="009058A1" w:rsidP="00C4311A">
            <w:pPr>
              <w:jc w:val="center"/>
              <w:rPr>
                <w:rFonts w:ascii="Calibri" w:hAnsi="Calibri"/>
                <w:color w:val="auto"/>
                <w:szCs w:val="21"/>
              </w:rPr>
            </w:pPr>
            <w:r w:rsidRPr="00A964FF">
              <w:rPr>
                <w:rFonts w:ascii="Calibri" w:hAnsi="宋体"/>
                <w:color w:val="auto"/>
                <w:szCs w:val="21"/>
              </w:rPr>
              <w:t>环境管理要求</w:t>
            </w:r>
          </w:p>
        </w:tc>
      </w:tr>
      <w:tr w:rsidR="009058A1" w:rsidRPr="00A964FF" w14:paraId="15B0A669" w14:textId="77777777" w:rsidTr="00C4311A">
        <w:trPr>
          <w:trHeight w:val="340"/>
        </w:trPr>
        <w:tc>
          <w:tcPr>
            <w:tcW w:w="638" w:type="pct"/>
            <w:gridSpan w:val="2"/>
            <w:vAlign w:val="center"/>
          </w:tcPr>
          <w:p w14:paraId="5D769F5F" w14:textId="77777777" w:rsidR="009058A1" w:rsidRPr="00A964FF" w:rsidRDefault="009058A1" w:rsidP="00C4311A">
            <w:pPr>
              <w:adjustRightInd w:val="0"/>
              <w:snapToGrid w:val="0"/>
              <w:spacing w:line="280" w:lineRule="exact"/>
              <w:jc w:val="center"/>
              <w:rPr>
                <w:rFonts w:ascii="Calibri" w:hAnsi="Calibri"/>
                <w:color w:val="auto"/>
                <w:szCs w:val="21"/>
              </w:rPr>
            </w:pPr>
            <w:r w:rsidRPr="00A964FF">
              <w:rPr>
                <w:rFonts w:ascii="Calibri" w:hAnsi="宋体"/>
                <w:color w:val="auto"/>
                <w:szCs w:val="21"/>
              </w:rPr>
              <w:t>筹备期</w:t>
            </w:r>
          </w:p>
        </w:tc>
        <w:tc>
          <w:tcPr>
            <w:tcW w:w="4362" w:type="pct"/>
            <w:vAlign w:val="center"/>
          </w:tcPr>
          <w:p w14:paraId="2ACCE2F1" w14:textId="77777777" w:rsidR="009058A1" w:rsidRPr="00A964FF" w:rsidRDefault="009058A1" w:rsidP="00C4311A">
            <w:pPr>
              <w:adjustRightInd w:val="0"/>
              <w:snapToGrid w:val="0"/>
              <w:spacing w:line="260" w:lineRule="exact"/>
              <w:rPr>
                <w:rFonts w:ascii="Calibri" w:hAnsi="Calibri" w:cs="Times New Roman"/>
                <w:color w:val="auto"/>
                <w:szCs w:val="21"/>
              </w:rPr>
            </w:pPr>
            <w:r w:rsidRPr="00A964FF">
              <w:rPr>
                <w:rFonts w:ascii="Calibri" w:hAnsi="Calibri"/>
                <w:color w:val="auto"/>
                <w:szCs w:val="21"/>
              </w:rPr>
              <w:t>1</w:t>
            </w:r>
            <w:r w:rsidRPr="00A964FF">
              <w:rPr>
                <w:rFonts w:ascii="Calibri" w:hAnsi="宋体"/>
                <w:color w:val="auto"/>
                <w:szCs w:val="21"/>
              </w:rPr>
              <w:t>、熟悉环保法律法规；</w:t>
            </w:r>
          </w:p>
          <w:p w14:paraId="112B12D1" w14:textId="77777777" w:rsidR="009058A1" w:rsidRPr="00A964FF" w:rsidRDefault="009058A1" w:rsidP="00C4311A">
            <w:pPr>
              <w:adjustRightInd w:val="0"/>
              <w:snapToGrid w:val="0"/>
              <w:spacing w:line="260" w:lineRule="exact"/>
              <w:rPr>
                <w:rFonts w:ascii="Calibri" w:hAnsi="Calibri"/>
                <w:color w:val="auto"/>
                <w:szCs w:val="21"/>
              </w:rPr>
            </w:pPr>
            <w:r w:rsidRPr="00A964FF">
              <w:rPr>
                <w:rFonts w:ascii="Calibri" w:hAnsi="Calibri"/>
                <w:color w:val="auto"/>
                <w:szCs w:val="21"/>
              </w:rPr>
              <w:t>2</w:t>
            </w:r>
            <w:r w:rsidRPr="00A964FF">
              <w:rPr>
                <w:rFonts w:ascii="Calibri" w:hAnsi="宋体"/>
                <w:color w:val="auto"/>
                <w:szCs w:val="21"/>
              </w:rPr>
              <w:t>、审核项目准入条件，确定项目是否符合国家产业政策和环保准入条件；</w:t>
            </w:r>
          </w:p>
          <w:p w14:paraId="3C7D988B" w14:textId="77777777" w:rsidR="009058A1" w:rsidRPr="00A964FF" w:rsidRDefault="009058A1" w:rsidP="00C4311A">
            <w:pPr>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3</w:t>
            </w:r>
            <w:r w:rsidRPr="00A964FF">
              <w:rPr>
                <w:rFonts w:ascii="Calibri" w:hAnsi="宋体"/>
                <w:color w:val="auto"/>
                <w:szCs w:val="21"/>
              </w:rPr>
              <w:t>、向环保管理部门申报建设项目，内容包括产品规模、生产工艺、采用设备、建设地点等；</w:t>
            </w:r>
          </w:p>
          <w:p w14:paraId="3951E450" w14:textId="77777777" w:rsidR="009058A1" w:rsidRPr="00A964FF" w:rsidRDefault="009058A1" w:rsidP="00C4311A">
            <w:pPr>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4</w:t>
            </w:r>
            <w:r w:rsidRPr="00A964FF">
              <w:rPr>
                <w:rFonts w:ascii="Calibri" w:hAnsi="宋体"/>
                <w:color w:val="auto"/>
                <w:szCs w:val="21"/>
              </w:rPr>
              <w:t>、开展可行性研究和初步设计，进行建设项目环境影响评价，待管理部门批准后进行建设。</w:t>
            </w:r>
          </w:p>
        </w:tc>
      </w:tr>
      <w:tr w:rsidR="009058A1" w:rsidRPr="00A964FF" w14:paraId="0776227A" w14:textId="77777777" w:rsidTr="00C4311A">
        <w:trPr>
          <w:trHeight w:val="340"/>
        </w:trPr>
        <w:tc>
          <w:tcPr>
            <w:tcW w:w="638" w:type="pct"/>
            <w:gridSpan w:val="2"/>
            <w:vAlign w:val="center"/>
          </w:tcPr>
          <w:p w14:paraId="34ECB95A" w14:textId="77777777" w:rsidR="009058A1" w:rsidRPr="00A964FF" w:rsidRDefault="009058A1" w:rsidP="00C4311A">
            <w:pPr>
              <w:adjustRightInd w:val="0"/>
              <w:snapToGrid w:val="0"/>
              <w:spacing w:line="280" w:lineRule="exact"/>
              <w:jc w:val="center"/>
              <w:rPr>
                <w:rFonts w:ascii="Calibri" w:hAnsi="Calibri"/>
                <w:color w:val="auto"/>
                <w:szCs w:val="21"/>
              </w:rPr>
            </w:pPr>
            <w:r w:rsidRPr="00A964FF">
              <w:rPr>
                <w:rFonts w:ascii="Calibri" w:hAnsi="宋体"/>
                <w:color w:val="auto"/>
                <w:szCs w:val="21"/>
              </w:rPr>
              <w:t>建设期</w:t>
            </w:r>
          </w:p>
        </w:tc>
        <w:tc>
          <w:tcPr>
            <w:tcW w:w="4362" w:type="pct"/>
            <w:vAlign w:val="center"/>
          </w:tcPr>
          <w:p w14:paraId="788F75CD" w14:textId="77777777" w:rsidR="009058A1" w:rsidRPr="00A964FF" w:rsidRDefault="009058A1" w:rsidP="00C4311A">
            <w:pPr>
              <w:adjustRightInd w:val="0"/>
              <w:snapToGrid w:val="0"/>
              <w:spacing w:line="260" w:lineRule="exact"/>
              <w:ind w:left="210" w:hangingChars="100" w:hanging="210"/>
              <w:rPr>
                <w:rFonts w:ascii="Calibri" w:hAnsi="Calibri" w:cs="Times New Roman"/>
                <w:color w:val="auto"/>
                <w:szCs w:val="21"/>
              </w:rPr>
            </w:pPr>
            <w:r w:rsidRPr="00A964FF">
              <w:rPr>
                <w:rFonts w:ascii="Calibri" w:hAnsi="Calibri"/>
                <w:color w:val="auto"/>
                <w:szCs w:val="21"/>
              </w:rPr>
              <w:t>1</w:t>
            </w:r>
            <w:r w:rsidRPr="00A964FF">
              <w:rPr>
                <w:rFonts w:ascii="Calibri" w:hAnsi="宋体"/>
                <w:color w:val="auto"/>
                <w:szCs w:val="21"/>
              </w:rPr>
              <w:t>、请有资质的正规单位按照设计图纸进行规范施工和全过程的施工监理、环境监理，认真执行环评提出的建设期污染治理措施；</w:t>
            </w:r>
          </w:p>
          <w:p w14:paraId="32A73DF2" w14:textId="77777777" w:rsidR="009058A1" w:rsidRPr="008700BF" w:rsidRDefault="009058A1" w:rsidP="00C4311A">
            <w:pPr>
              <w:adjustRightInd w:val="0"/>
              <w:snapToGrid w:val="0"/>
              <w:spacing w:line="260" w:lineRule="exact"/>
              <w:rPr>
                <w:rFonts w:ascii="Calibri" w:hAnsi="宋体"/>
                <w:color w:val="auto"/>
                <w:szCs w:val="21"/>
              </w:rPr>
            </w:pPr>
            <w:r w:rsidRPr="00A964FF">
              <w:rPr>
                <w:rFonts w:ascii="Calibri" w:hAnsi="Calibri"/>
                <w:color w:val="auto"/>
                <w:szCs w:val="21"/>
              </w:rPr>
              <w:t>2</w:t>
            </w:r>
            <w:r w:rsidRPr="00A964FF">
              <w:rPr>
                <w:rFonts w:ascii="Calibri" w:hAnsi="宋体"/>
                <w:color w:val="auto"/>
                <w:szCs w:val="21"/>
              </w:rPr>
              <w:t>、根据环评及批复的污染防治措施和</w:t>
            </w:r>
            <w:r w:rsidR="008700BF">
              <w:rPr>
                <w:rFonts w:ascii="Calibri" w:hAnsi="宋体" w:hint="eastAsia"/>
                <w:color w:val="auto"/>
                <w:szCs w:val="21"/>
              </w:rPr>
              <w:t>“</w:t>
            </w:r>
            <w:r w:rsidR="008700BF" w:rsidRPr="00A964FF">
              <w:rPr>
                <w:rFonts w:ascii="Calibri" w:hAnsi="宋体"/>
                <w:color w:val="auto"/>
                <w:szCs w:val="21"/>
              </w:rPr>
              <w:t>三同时</w:t>
            </w:r>
            <w:r w:rsidR="008700BF">
              <w:rPr>
                <w:rFonts w:ascii="Calibri" w:hAnsi="宋体" w:hint="eastAsia"/>
                <w:color w:val="auto"/>
                <w:szCs w:val="21"/>
              </w:rPr>
              <w:t>”</w:t>
            </w:r>
            <w:r w:rsidRPr="00A964FF">
              <w:rPr>
                <w:rFonts w:ascii="Calibri" w:hAnsi="宋体"/>
                <w:color w:val="auto"/>
                <w:szCs w:val="21"/>
              </w:rPr>
              <w:t>原则落实环保设施的建设；</w:t>
            </w:r>
          </w:p>
          <w:p w14:paraId="55004C26" w14:textId="77777777" w:rsidR="009058A1" w:rsidRPr="00A964FF" w:rsidRDefault="009058A1" w:rsidP="00C4311A">
            <w:pPr>
              <w:adjustRightInd w:val="0"/>
              <w:snapToGrid w:val="0"/>
              <w:spacing w:line="260" w:lineRule="exact"/>
              <w:rPr>
                <w:rFonts w:ascii="Calibri" w:hAnsi="Calibri"/>
                <w:color w:val="auto"/>
                <w:szCs w:val="21"/>
              </w:rPr>
            </w:pPr>
            <w:r w:rsidRPr="00A964FF">
              <w:rPr>
                <w:rFonts w:ascii="Calibri" w:hAnsi="Calibri"/>
                <w:color w:val="auto"/>
                <w:szCs w:val="21"/>
              </w:rPr>
              <w:t>3</w:t>
            </w:r>
            <w:r w:rsidRPr="00A964FF">
              <w:rPr>
                <w:rFonts w:ascii="Calibri" w:hAnsi="宋体"/>
                <w:color w:val="auto"/>
                <w:szCs w:val="21"/>
              </w:rPr>
              <w:t>、在工程投入试运行前，检查施工现场恢复情况，未恢复的及时恢复。</w:t>
            </w:r>
          </w:p>
        </w:tc>
      </w:tr>
      <w:tr w:rsidR="009058A1" w:rsidRPr="00A964FF" w14:paraId="506BF8EA" w14:textId="77777777" w:rsidTr="00C4311A">
        <w:trPr>
          <w:trHeight w:val="340"/>
        </w:trPr>
        <w:tc>
          <w:tcPr>
            <w:tcW w:w="638" w:type="pct"/>
            <w:gridSpan w:val="2"/>
            <w:vAlign w:val="center"/>
          </w:tcPr>
          <w:p w14:paraId="5A155F89" w14:textId="77777777" w:rsidR="009058A1" w:rsidRPr="00A964FF" w:rsidRDefault="009058A1" w:rsidP="00C4311A">
            <w:pPr>
              <w:adjustRightInd w:val="0"/>
              <w:snapToGrid w:val="0"/>
              <w:spacing w:line="280" w:lineRule="exact"/>
              <w:jc w:val="center"/>
              <w:rPr>
                <w:rFonts w:ascii="Calibri" w:hAnsi="Calibri" w:cs="Times New Roman"/>
                <w:color w:val="auto"/>
                <w:szCs w:val="21"/>
              </w:rPr>
            </w:pPr>
            <w:r w:rsidRPr="00A964FF">
              <w:rPr>
                <w:rFonts w:ascii="Calibri" w:hAnsi="宋体"/>
                <w:color w:val="auto"/>
                <w:szCs w:val="21"/>
              </w:rPr>
              <w:t>竣工</w:t>
            </w:r>
          </w:p>
          <w:p w14:paraId="00FEF3F9" w14:textId="77777777" w:rsidR="009058A1" w:rsidRPr="00A964FF" w:rsidRDefault="009058A1" w:rsidP="00C4311A">
            <w:pPr>
              <w:adjustRightInd w:val="0"/>
              <w:snapToGrid w:val="0"/>
              <w:spacing w:line="280" w:lineRule="exact"/>
              <w:jc w:val="center"/>
              <w:rPr>
                <w:rFonts w:ascii="Calibri" w:hAnsi="Calibri"/>
                <w:color w:val="auto"/>
                <w:szCs w:val="21"/>
              </w:rPr>
            </w:pPr>
            <w:r w:rsidRPr="00A964FF">
              <w:rPr>
                <w:rFonts w:ascii="Calibri" w:hAnsi="宋体"/>
                <w:color w:val="auto"/>
                <w:szCs w:val="21"/>
              </w:rPr>
              <w:t>验收期</w:t>
            </w:r>
          </w:p>
        </w:tc>
        <w:tc>
          <w:tcPr>
            <w:tcW w:w="4362" w:type="pct"/>
            <w:vAlign w:val="center"/>
          </w:tcPr>
          <w:p w14:paraId="4FE24BD5" w14:textId="77777777" w:rsidR="009058A1" w:rsidRPr="008700BF" w:rsidRDefault="009058A1" w:rsidP="008700BF">
            <w:pPr>
              <w:adjustRightInd w:val="0"/>
              <w:snapToGrid w:val="0"/>
              <w:spacing w:line="260" w:lineRule="exact"/>
              <w:ind w:left="210" w:hangingChars="100" w:hanging="210"/>
              <w:rPr>
                <w:rFonts w:ascii="Calibri" w:hAnsi="宋体"/>
                <w:color w:val="auto"/>
                <w:szCs w:val="21"/>
              </w:rPr>
            </w:pPr>
            <w:r w:rsidRPr="00A964FF">
              <w:rPr>
                <w:rFonts w:ascii="Calibri" w:hAnsi="Calibri"/>
                <w:color w:val="auto"/>
                <w:szCs w:val="21"/>
              </w:rPr>
              <w:t>1</w:t>
            </w:r>
            <w:r w:rsidRPr="00A964FF">
              <w:rPr>
                <w:rFonts w:ascii="Calibri" w:hAnsi="宋体"/>
                <w:color w:val="auto"/>
                <w:szCs w:val="21"/>
              </w:rPr>
              <w:t>、项目建成后，汇同施工单位、设计单位检查环保设施是否符合</w:t>
            </w:r>
            <w:r w:rsidR="008700BF">
              <w:rPr>
                <w:rFonts w:ascii="Calibri" w:hAnsi="宋体" w:hint="eastAsia"/>
                <w:color w:val="auto"/>
                <w:szCs w:val="21"/>
              </w:rPr>
              <w:t>“</w:t>
            </w:r>
            <w:r w:rsidR="008700BF" w:rsidRPr="00A964FF">
              <w:rPr>
                <w:rFonts w:ascii="Calibri" w:hAnsi="宋体"/>
                <w:color w:val="auto"/>
                <w:szCs w:val="21"/>
              </w:rPr>
              <w:t>三同时</w:t>
            </w:r>
            <w:r w:rsidR="008700BF">
              <w:rPr>
                <w:rFonts w:ascii="Calibri" w:hAnsi="宋体" w:hint="eastAsia"/>
                <w:color w:val="auto"/>
                <w:szCs w:val="21"/>
              </w:rPr>
              <w:t>”</w:t>
            </w:r>
            <w:r w:rsidRPr="00A964FF">
              <w:rPr>
                <w:rFonts w:ascii="Calibri" w:hAnsi="宋体"/>
                <w:color w:val="auto"/>
                <w:szCs w:val="21"/>
              </w:rPr>
              <w:t>原则；</w:t>
            </w:r>
          </w:p>
          <w:p w14:paraId="378402F2" w14:textId="77777777" w:rsidR="009058A1" w:rsidRPr="00A964FF" w:rsidRDefault="009058A1" w:rsidP="00C4311A">
            <w:pPr>
              <w:adjustRightInd w:val="0"/>
              <w:snapToGrid w:val="0"/>
              <w:spacing w:line="260" w:lineRule="exact"/>
              <w:rPr>
                <w:rFonts w:ascii="Calibri" w:hAnsi="Calibri"/>
                <w:color w:val="auto"/>
                <w:szCs w:val="21"/>
              </w:rPr>
            </w:pPr>
            <w:r w:rsidRPr="00A964FF">
              <w:rPr>
                <w:rFonts w:ascii="Calibri" w:hAnsi="Calibri"/>
                <w:color w:val="auto"/>
                <w:szCs w:val="21"/>
              </w:rPr>
              <w:t>2</w:t>
            </w:r>
            <w:r w:rsidRPr="00A964FF">
              <w:rPr>
                <w:rFonts w:ascii="Calibri" w:hAnsi="宋体"/>
                <w:color w:val="auto"/>
                <w:szCs w:val="21"/>
              </w:rPr>
              <w:t>、监测环保设施运行效率与效果；</w:t>
            </w:r>
          </w:p>
          <w:p w14:paraId="5E71D7AD" w14:textId="77777777" w:rsidR="009058A1" w:rsidRPr="00A964FF" w:rsidRDefault="009058A1" w:rsidP="00C4311A">
            <w:pPr>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3</w:t>
            </w:r>
            <w:r w:rsidRPr="00A964FF">
              <w:rPr>
                <w:rFonts w:ascii="Calibri" w:hAnsi="宋体"/>
                <w:color w:val="auto"/>
                <w:szCs w:val="21"/>
              </w:rPr>
              <w:t>、按照建设项目竣工环境保护验收暂行办法开展自主验收工作。</w:t>
            </w:r>
          </w:p>
        </w:tc>
      </w:tr>
      <w:tr w:rsidR="009058A1" w:rsidRPr="00A964FF" w14:paraId="475A7725" w14:textId="77777777" w:rsidTr="00C4311A">
        <w:trPr>
          <w:trHeight w:val="340"/>
        </w:trPr>
        <w:tc>
          <w:tcPr>
            <w:tcW w:w="400" w:type="pct"/>
            <w:vMerge w:val="restart"/>
            <w:vAlign w:val="center"/>
          </w:tcPr>
          <w:p w14:paraId="59390684" w14:textId="77777777" w:rsidR="009058A1" w:rsidRPr="00A964FF" w:rsidRDefault="009058A1" w:rsidP="00C4311A">
            <w:pPr>
              <w:adjustRightInd w:val="0"/>
              <w:snapToGrid w:val="0"/>
              <w:spacing w:line="280" w:lineRule="exact"/>
              <w:jc w:val="center"/>
              <w:rPr>
                <w:rFonts w:ascii="Calibri" w:hAnsi="Calibri"/>
                <w:color w:val="auto"/>
                <w:szCs w:val="21"/>
              </w:rPr>
            </w:pPr>
            <w:r w:rsidRPr="00A964FF">
              <w:rPr>
                <w:rFonts w:ascii="Calibri" w:hAnsi="宋体"/>
                <w:color w:val="auto"/>
                <w:szCs w:val="21"/>
              </w:rPr>
              <w:t>运行期</w:t>
            </w:r>
          </w:p>
        </w:tc>
        <w:tc>
          <w:tcPr>
            <w:tcW w:w="238" w:type="pct"/>
            <w:vAlign w:val="center"/>
          </w:tcPr>
          <w:p w14:paraId="7BBBEA2A" w14:textId="77777777" w:rsidR="009058A1" w:rsidRPr="00A964FF" w:rsidRDefault="009058A1" w:rsidP="00C4311A">
            <w:pPr>
              <w:adjustRightInd w:val="0"/>
              <w:snapToGrid w:val="0"/>
              <w:spacing w:line="280" w:lineRule="exact"/>
              <w:jc w:val="center"/>
              <w:rPr>
                <w:rFonts w:ascii="Calibri" w:hAnsi="Calibri"/>
                <w:color w:val="auto"/>
                <w:szCs w:val="21"/>
              </w:rPr>
            </w:pPr>
            <w:r w:rsidRPr="00A964FF">
              <w:rPr>
                <w:rFonts w:ascii="Calibri" w:hAnsi="宋体"/>
                <w:color w:val="auto"/>
                <w:szCs w:val="21"/>
              </w:rPr>
              <w:t>正常工况</w:t>
            </w:r>
          </w:p>
        </w:tc>
        <w:tc>
          <w:tcPr>
            <w:tcW w:w="4362" w:type="pct"/>
            <w:vAlign w:val="center"/>
          </w:tcPr>
          <w:p w14:paraId="731342E4" w14:textId="77777777" w:rsidR="009058A1" w:rsidRPr="00A964FF" w:rsidRDefault="009058A1" w:rsidP="00C4311A">
            <w:pPr>
              <w:tabs>
                <w:tab w:val="left" w:pos="540"/>
                <w:tab w:val="left" w:pos="720"/>
              </w:tabs>
              <w:adjustRightInd w:val="0"/>
              <w:snapToGrid w:val="0"/>
              <w:spacing w:line="260" w:lineRule="exact"/>
              <w:rPr>
                <w:rFonts w:ascii="Calibri" w:hAnsi="Calibri" w:cs="Times New Roman"/>
                <w:color w:val="auto"/>
                <w:szCs w:val="21"/>
              </w:rPr>
            </w:pPr>
            <w:r w:rsidRPr="00A964FF">
              <w:rPr>
                <w:rFonts w:ascii="Calibri" w:hAnsi="Calibri"/>
                <w:color w:val="auto"/>
                <w:szCs w:val="21"/>
              </w:rPr>
              <w:t>1</w:t>
            </w:r>
            <w:r w:rsidRPr="00A964FF">
              <w:rPr>
                <w:rFonts w:ascii="Calibri" w:hAnsi="宋体"/>
                <w:color w:val="auto"/>
                <w:szCs w:val="21"/>
              </w:rPr>
              <w:t>、制定切实可行的环保管理制度和条例。组织开展环保宣传教育培训；</w:t>
            </w:r>
          </w:p>
          <w:p w14:paraId="44FA2BED" w14:textId="77777777" w:rsidR="009058A1" w:rsidRPr="008700BF" w:rsidRDefault="009058A1" w:rsidP="008700BF">
            <w:pPr>
              <w:tabs>
                <w:tab w:val="left" w:pos="540"/>
                <w:tab w:val="left" w:pos="720"/>
              </w:tabs>
              <w:adjustRightInd w:val="0"/>
              <w:snapToGrid w:val="0"/>
              <w:spacing w:line="260" w:lineRule="exact"/>
              <w:ind w:left="210" w:hangingChars="100" w:hanging="210"/>
              <w:rPr>
                <w:rFonts w:ascii="Calibri" w:hAnsi="宋体"/>
                <w:color w:val="auto"/>
                <w:szCs w:val="21"/>
              </w:rPr>
            </w:pPr>
            <w:r w:rsidRPr="00A964FF">
              <w:rPr>
                <w:rFonts w:ascii="Calibri" w:hAnsi="Calibri"/>
                <w:color w:val="auto"/>
                <w:szCs w:val="21"/>
              </w:rPr>
              <w:t>2</w:t>
            </w:r>
            <w:r w:rsidRPr="00A964FF">
              <w:rPr>
                <w:rFonts w:ascii="Calibri" w:hAnsi="宋体"/>
                <w:color w:val="auto"/>
                <w:szCs w:val="21"/>
              </w:rPr>
              <w:t>、把污染源监督和</w:t>
            </w:r>
            <w:r w:rsidR="008700BF">
              <w:rPr>
                <w:rFonts w:ascii="Calibri" w:hAnsi="宋体" w:hint="eastAsia"/>
                <w:color w:val="auto"/>
                <w:szCs w:val="21"/>
              </w:rPr>
              <w:t>“</w:t>
            </w:r>
            <w:r w:rsidR="008700BF" w:rsidRPr="00A964FF">
              <w:rPr>
                <w:rFonts w:ascii="Calibri" w:hAnsi="宋体"/>
                <w:color w:val="auto"/>
                <w:szCs w:val="21"/>
              </w:rPr>
              <w:t>三废</w:t>
            </w:r>
            <w:r w:rsidR="008700BF">
              <w:rPr>
                <w:rFonts w:ascii="Calibri" w:hAnsi="宋体" w:hint="eastAsia"/>
                <w:color w:val="auto"/>
                <w:szCs w:val="21"/>
              </w:rPr>
              <w:t>”</w:t>
            </w:r>
            <w:r w:rsidRPr="00A964FF">
              <w:rPr>
                <w:rFonts w:ascii="Calibri" w:hAnsi="宋体"/>
                <w:color w:val="auto"/>
                <w:szCs w:val="21"/>
              </w:rPr>
              <w:t>排放纳入日常管理工作，并落实到车间班组和岗位，进行全方位管理；</w:t>
            </w:r>
          </w:p>
          <w:p w14:paraId="4C73E9C1" w14:textId="77777777" w:rsidR="009058A1" w:rsidRPr="008700BF" w:rsidRDefault="009058A1" w:rsidP="008700BF">
            <w:pPr>
              <w:tabs>
                <w:tab w:val="left" w:pos="540"/>
                <w:tab w:val="left" w:pos="720"/>
              </w:tabs>
              <w:adjustRightInd w:val="0"/>
              <w:snapToGrid w:val="0"/>
              <w:spacing w:line="260" w:lineRule="exact"/>
              <w:ind w:left="210" w:hangingChars="100" w:hanging="210"/>
              <w:jc w:val="left"/>
              <w:rPr>
                <w:rFonts w:ascii="Calibri" w:hAnsi="宋体"/>
                <w:color w:val="auto"/>
                <w:szCs w:val="21"/>
              </w:rPr>
            </w:pPr>
            <w:r w:rsidRPr="00A964FF">
              <w:rPr>
                <w:rFonts w:ascii="Calibri" w:hAnsi="Calibri"/>
                <w:color w:val="auto"/>
                <w:szCs w:val="21"/>
              </w:rPr>
              <w:t>3</w:t>
            </w:r>
            <w:r w:rsidRPr="00A964FF">
              <w:rPr>
                <w:rFonts w:ascii="Calibri" w:hAnsi="宋体"/>
                <w:color w:val="auto"/>
                <w:szCs w:val="21"/>
              </w:rPr>
              <w:t>、实施有效的</w:t>
            </w:r>
            <w:r w:rsidR="008700BF">
              <w:rPr>
                <w:rFonts w:ascii="Calibri" w:hAnsi="宋体" w:hint="eastAsia"/>
                <w:color w:val="auto"/>
                <w:szCs w:val="21"/>
              </w:rPr>
              <w:t>“</w:t>
            </w:r>
            <w:r w:rsidR="008700BF" w:rsidRPr="00A964FF">
              <w:rPr>
                <w:rFonts w:ascii="Calibri" w:hAnsi="宋体"/>
                <w:color w:val="auto"/>
                <w:szCs w:val="21"/>
              </w:rPr>
              <w:t>三废</w:t>
            </w:r>
            <w:r w:rsidR="008700BF">
              <w:rPr>
                <w:rFonts w:ascii="Calibri" w:hAnsi="宋体" w:hint="eastAsia"/>
                <w:color w:val="auto"/>
                <w:szCs w:val="21"/>
              </w:rPr>
              <w:t>”</w:t>
            </w:r>
            <w:r w:rsidRPr="00A964FF">
              <w:rPr>
                <w:rFonts w:ascii="Calibri" w:hAnsi="宋体"/>
                <w:color w:val="auto"/>
                <w:szCs w:val="21"/>
              </w:rPr>
              <w:t>综合利用开发措施。收集整理和推广环保技术经验，及时解决运行中出现的环保问题；</w:t>
            </w:r>
          </w:p>
          <w:p w14:paraId="15DB75F8" w14:textId="77777777" w:rsidR="009058A1" w:rsidRPr="00A964FF" w:rsidRDefault="009058A1" w:rsidP="00C4311A">
            <w:pPr>
              <w:tabs>
                <w:tab w:val="left" w:pos="540"/>
                <w:tab w:val="left" w:pos="720"/>
              </w:tabs>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4</w:t>
            </w:r>
            <w:r w:rsidRPr="00A964FF">
              <w:rPr>
                <w:rFonts w:ascii="Calibri" w:hAnsi="宋体"/>
                <w:color w:val="auto"/>
                <w:szCs w:val="21"/>
              </w:rPr>
              <w:t>、按照责、权、利实施奖罚制度，对违反法规和制度的行为根据情节给与处罚，对有功者给与奖励；</w:t>
            </w:r>
          </w:p>
          <w:p w14:paraId="1F49714E" w14:textId="77777777" w:rsidR="009058A1" w:rsidRPr="00A964FF" w:rsidRDefault="009058A1" w:rsidP="00C4311A">
            <w:pPr>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5</w:t>
            </w:r>
            <w:r w:rsidRPr="00A964FF">
              <w:rPr>
                <w:rFonts w:ascii="Calibri" w:hAnsi="宋体"/>
                <w:color w:val="auto"/>
                <w:szCs w:val="21"/>
              </w:rPr>
              <w:t>、配合当地和上级环保主管部门，认真落实国家环保法规和行政主管部门的规定。接受生态环境管理部门的监督检查和管理；</w:t>
            </w:r>
          </w:p>
          <w:p w14:paraId="5F8C7861" w14:textId="77777777" w:rsidR="009058A1" w:rsidRPr="00A964FF" w:rsidRDefault="009058A1" w:rsidP="00C4311A">
            <w:pPr>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6</w:t>
            </w:r>
            <w:r w:rsidRPr="00A964FF">
              <w:rPr>
                <w:rFonts w:ascii="Calibri" w:hAnsi="宋体"/>
                <w:color w:val="auto"/>
                <w:szCs w:val="21"/>
              </w:rPr>
              <w:t>、经常性地组织对企业职工进行清洁生产教育和培训，根据企业发展状况，推进清洁生产审核；</w:t>
            </w:r>
          </w:p>
          <w:p w14:paraId="2AF3002D" w14:textId="77777777" w:rsidR="009058A1" w:rsidRPr="00A964FF" w:rsidRDefault="009058A1" w:rsidP="00C4311A">
            <w:pPr>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7</w:t>
            </w:r>
            <w:r w:rsidRPr="00A964FF">
              <w:rPr>
                <w:rFonts w:ascii="Calibri" w:hAnsi="宋体"/>
                <w:color w:val="auto"/>
                <w:szCs w:val="21"/>
              </w:rPr>
              <w:t>、按照环评及批复要求制订全厂环境监测计划，定期进行污染源和环境监测，整理分析各项监测资料，填报环境监测统计报表、环境指标考核资料，建立环保档案，掌握污染排放情况，分析变化规律。</w:t>
            </w:r>
          </w:p>
        </w:tc>
      </w:tr>
      <w:tr w:rsidR="009058A1" w:rsidRPr="00A964FF" w14:paraId="0983F7D1" w14:textId="77777777" w:rsidTr="00C4311A">
        <w:trPr>
          <w:trHeight w:val="340"/>
        </w:trPr>
        <w:tc>
          <w:tcPr>
            <w:tcW w:w="400" w:type="pct"/>
            <w:vMerge/>
            <w:vAlign w:val="center"/>
          </w:tcPr>
          <w:p w14:paraId="74999424" w14:textId="77777777" w:rsidR="009058A1" w:rsidRPr="00A964FF" w:rsidRDefault="009058A1" w:rsidP="00C4311A">
            <w:pPr>
              <w:adjustRightInd w:val="0"/>
              <w:snapToGrid w:val="0"/>
              <w:spacing w:line="280" w:lineRule="exact"/>
              <w:jc w:val="center"/>
              <w:rPr>
                <w:rFonts w:ascii="Calibri" w:hAnsi="Calibri"/>
                <w:color w:val="auto"/>
                <w:szCs w:val="21"/>
              </w:rPr>
            </w:pPr>
          </w:p>
        </w:tc>
        <w:tc>
          <w:tcPr>
            <w:tcW w:w="238" w:type="pct"/>
            <w:vAlign w:val="center"/>
          </w:tcPr>
          <w:p w14:paraId="42D510C7" w14:textId="77777777" w:rsidR="009058A1" w:rsidRPr="00A964FF" w:rsidRDefault="009058A1" w:rsidP="00C4311A">
            <w:pPr>
              <w:adjustRightInd w:val="0"/>
              <w:snapToGrid w:val="0"/>
              <w:spacing w:line="280" w:lineRule="exact"/>
              <w:jc w:val="center"/>
              <w:rPr>
                <w:rFonts w:ascii="Calibri" w:hAnsi="Calibri"/>
                <w:color w:val="auto"/>
                <w:szCs w:val="21"/>
              </w:rPr>
            </w:pPr>
            <w:r w:rsidRPr="00A964FF">
              <w:rPr>
                <w:rFonts w:ascii="Calibri" w:hAnsi="宋体"/>
                <w:color w:val="auto"/>
                <w:szCs w:val="21"/>
              </w:rPr>
              <w:t>非正常工况</w:t>
            </w:r>
          </w:p>
        </w:tc>
        <w:tc>
          <w:tcPr>
            <w:tcW w:w="4362" w:type="pct"/>
            <w:vAlign w:val="center"/>
          </w:tcPr>
          <w:p w14:paraId="02F18B1F" w14:textId="77777777" w:rsidR="009058A1" w:rsidRPr="00A964FF" w:rsidRDefault="009058A1" w:rsidP="00C4311A">
            <w:pPr>
              <w:tabs>
                <w:tab w:val="left" w:pos="540"/>
                <w:tab w:val="left" w:pos="720"/>
              </w:tabs>
              <w:adjustRightInd w:val="0"/>
              <w:snapToGrid w:val="0"/>
              <w:spacing w:line="260" w:lineRule="exact"/>
              <w:ind w:left="210" w:hangingChars="100" w:hanging="210"/>
              <w:rPr>
                <w:rFonts w:ascii="Calibri" w:hAnsi="Calibri" w:cs="Times New Roman"/>
                <w:color w:val="auto"/>
                <w:szCs w:val="21"/>
              </w:rPr>
            </w:pPr>
            <w:r w:rsidRPr="00A964FF">
              <w:rPr>
                <w:rFonts w:ascii="Calibri" w:hAnsi="Calibri"/>
                <w:color w:val="auto"/>
                <w:szCs w:val="21"/>
              </w:rPr>
              <w:t>1</w:t>
            </w:r>
            <w:r w:rsidRPr="00A964FF">
              <w:rPr>
                <w:rFonts w:ascii="Calibri" w:hAnsi="宋体"/>
                <w:color w:val="auto"/>
                <w:szCs w:val="21"/>
              </w:rPr>
              <w:t>、加强对企业废气、废水排放的非正常工况的监督管理，一旦发生环保设备设施运行不正常，应进行</w:t>
            </w:r>
            <w:r w:rsidR="00997BB7" w:rsidRPr="00A964FF">
              <w:rPr>
                <w:rFonts w:ascii="Calibri" w:hAnsi="宋体" w:hint="eastAsia"/>
                <w:color w:val="auto"/>
                <w:szCs w:val="21"/>
              </w:rPr>
              <w:t>提前</w:t>
            </w:r>
            <w:r w:rsidRPr="00A964FF">
              <w:rPr>
                <w:rFonts w:ascii="Calibri" w:hAnsi="宋体"/>
                <w:color w:val="auto"/>
                <w:szCs w:val="21"/>
              </w:rPr>
              <w:t>检修或者维护，保证废气、废水污染物实现达标排放。</w:t>
            </w:r>
          </w:p>
          <w:p w14:paraId="0772DC29" w14:textId="77777777" w:rsidR="009058A1" w:rsidRPr="008700BF" w:rsidRDefault="009058A1" w:rsidP="008700BF">
            <w:pPr>
              <w:tabs>
                <w:tab w:val="left" w:pos="540"/>
                <w:tab w:val="left" w:pos="720"/>
              </w:tabs>
              <w:adjustRightInd w:val="0"/>
              <w:snapToGrid w:val="0"/>
              <w:spacing w:line="260" w:lineRule="exact"/>
              <w:ind w:left="210" w:hangingChars="100" w:hanging="210"/>
              <w:rPr>
                <w:rFonts w:ascii="Calibri" w:hAnsi="宋体"/>
                <w:color w:val="auto"/>
                <w:szCs w:val="21"/>
              </w:rPr>
            </w:pPr>
            <w:r w:rsidRPr="00A964FF">
              <w:rPr>
                <w:rFonts w:ascii="Calibri" w:hAnsi="Calibri"/>
                <w:color w:val="auto"/>
                <w:szCs w:val="21"/>
              </w:rPr>
              <w:t>2</w:t>
            </w:r>
            <w:r w:rsidRPr="00A964FF">
              <w:rPr>
                <w:rFonts w:ascii="Calibri" w:hAnsi="宋体"/>
                <w:color w:val="auto"/>
                <w:szCs w:val="21"/>
              </w:rPr>
              <w:t>、制定针对本项目的环境风险应急预案，并定期进行演练</w:t>
            </w:r>
            <w:r w:rsidR="009D0BBD">
              <w:rPr>
                <w:rFonts w:ascii="Calibri" w:hAnsi="宋体" w:hint="eastAsia"/>
                <w:color w:val="auto"/>
                <w:szCs w:val="21"/>
              </w:rPr>
              <w:t>，</w:t>
            </w:r>
            <w:r w:rsidRPr="00A964FF">
              <w:rPr>
                <w:rFonts w:ascii="Calibri" w:hAnsi="宋体"/>
                <w:color w:val="auto"/>
                <w:szCs w:val="21"/>
              </w:rPr>
              <w:t>确保事故状态下的合理有序处置，避免造成环境污染事故。</w:t>
            </w:r>
          </w:p>
          <w:p w14:paraId="5C74D7B4" w14:textId="77777777" w:rsidR="009058A1" w:rsidRPr="00A964FF" w:rsidRDefault="009058A1" w:rsidP="00C4311A">
            <w:pPr>
              <w:adjustRightInd w:val="0"/>
              <w:snapToGrid w:val="0"/>
              <w:spacing w:line="260" w:lineRule="exact"/>
              <w:ind w:left="210" w:hangingChars="100" w:hanging="210"/>
              <w:rPr>
                <w:rFonts w:ascii="Calibri" w:hAnsi="Calibri"/>
                <w:color w:val="auto"/>
                <w:szCs w:val="21"/>
              </w:rPr>
            </w:pPr>
            <w:r w:rsidRPr="00A964FF">
              <w:rPr>
                <w:rFonts w:ascii="Calibri" w:hAnsi="Calibri"/>
                <w:color w:val="auto"/>
                <w:szCs w:val="21"/>
              </w:rPr>
              <w:t>3</w:t>
            </w:r>
            <w:r w:rsidRPr="00A964FF">
              <w:rPr>
                <w:rFonts w:ascii="Calibri" w:hAnsi="宋体"/>
                <w:color w:val="auto"/>
                <w:szCs w:val="21"/>
              </w:rPr>
              <w:t>、针对废水处理站的运行情况应制定相关的管理制度，加强对废水处理站的监控，发现异常及时处理，如遇不能及时处理应依托事故池进行暂存，不得直接排放。</w:t>
            </w:r>
          </w:p>
        </w:tc>
      </w:tr>
    </w:tbl>
    <w:p w14:paraId="26C6B28B" w14:textId="77777777" w:rsidR="009058A1" w:rsidRPr="00A964FF" w:rsidRDefault="009058A1" w:rsidP="007E3F9E">
      <w:pPr>
        <w:pStyle w:val="00"/>
        <w:ind w:firstLine="482"/>
        <w:rPr>
          <w:rFonts w:ascii="Calibri" w:hAnsi="Calibri"/>
          <w:noProof/>
          <w:color w:val="auto"/>
        </w:rPr>
      </w:pPr>
      <w:r w:rsidRPr="00A964FF">
        <w:rPr>
          <w:rFonts w:ascii="Calibri"/>
          <w:noProof/>
          <w:color w:val="auto"/>
        </w:rPr>
        <w:t>根据本项目特点，公司拟制定一系列行之有效的环境保护管理规章制度，并编制公司突发环境事件应急预案，建立环境监测报表、台账等。评价建议每年制定环境保护资金计划，拨付足额的资金，确保全厂各项环境保护设施高效运转，污染物能稳定达标排放。</w:t>
      </w:r>
    </w:p>
    <w:p w14:paraId="2FBC3904" w14:textId="77777777" w:rsidR="009058A1" w:rsidRPr="00A964FF" w:rsidRDefault="009058A1" w:rsidP="009058A1">
      <w:pPr>
        <w:pStyle w:val="00"/>
        <w:rPr>
          <w:rFonts w:ascii="Calibri" w:hAnsi="Calibri"/>
          <w:b/>
          <w:noProof/>
          <w:color w:val="auto"/>
        </w:rPr>
      </w:pPr>
      <w:r w:rsidRPr="00A964FF">
        <w:rPr>
          <w:rFonts w:ascii="Calibri" w:hAnsi="Calibri" w:hint="eastAsia"/>
          <w:b/>
          <w:noProof/>
          <w:color w:val="auto"/>
        </w:rPr>
        <w:t>2</w:t>
      </w:r>
      <w:r w:rsidRPr="00A964FF">
        <w:rPr>
          <w:rFonts w:ascii="Calibri" w:hAnsi="Calibri" w:hint="eastAsia"/>
          <w:b/>
          <w:noProof/>
          <w:color w:val="auto"/>
        </w:rPr>
        <w:t>、污染物排放清单及排放管理要求</w:t>
      </w:r>
    </w:p>
    <w:p w14:paraId="62E422F8" w14:textId="77777777" w:rsidR="009058A1" w:rsidRPr="00A964FF" w:rsidRDefault="009058A1" w:rsidP="009058A1">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）项目污染物排放清单</w:t>
      </w:r>
    </w:p>
    <w:p w14:paraId="651E8019" w14:textId="77777777" w:rsidR="009058A1" w:rsidRPr="00A964FF" w:rsidRDefault="009058A1" w:rsidP="009058A1">
      <w:pPr>
        <w:pStyle w:val="00"/>
        <w:rPr>
          <w:rFonts w:ascii="Calibri" w:hAnsi="Calibri"/>
          <w:noProof/>
          <w:color w:val="auto"/>
        </w:rPr>
      </w:pPr>
      <w:r w:rsidRPr="00A964FF">
        <w:rPr>
          <w:rFonts w:ascii="Calibri" w:hAnsi="Calibri" w:hint="eastAsia"/>
          <w:noProof/>
          <w:color w:val="auto"/>
        </w:rPr>
        <w:t>①</w:t>
      </w:r>
      <w:r w:rsidRPr="00A964FF">
        <w:rPr>
          <w:rFonts w:ascii="Calibri" w:hAnsi="Calibri" w:hint="eastAsia"/>
          <w:noProof/>
          <w:color w:val="auto"/>
        </w:rPr>
        <w:t xml:space="preserve"> </w:t>
      </w:r>
      <w:r w:rsidRPr="00A964FF">
        <w:rPr>
          <w:rFonts w:ascii="Calibri" w:hAnsi="Calibri" w:hint="eastAsia"/>
          <w:noProof/>
          <w:color w:val="auto"/>
        </w:rPr>
        <w:t>废气污染物排放清单</w:t>
      </w:r>
    </w:p>
    <w:p w14:paraId="5E253086" w14:textId="77777777" w:rsidR="009058A1" w:rsidRPr="00A964FF" w:rsidRDefault="009058A1" w:rsidP="009058A1">
      <w:pPr>
        <w:spacing w:line="520" w:lineRule="exact"/>
        <w:ind w:firstLine="573"/>
        <w:rPr>
          <w:rFonts w:ascii="Calibri" w:hAnsi="Calibri"/>
          <w:noProof/>
          <w:color w:val="auto"/>
          <w:sz w:val="24"/>
        </w:rPr>
      </w:pPr>
      <w:r w:rsidRPr="00A964FF">
        <w:rPr>
          <w:rFonts w:ascii="Calibri" w:hAnsi="Calibri" w:hint="eastAsia"/>
          <w:noProof/>
          <w:color w:val="auto"/>
          <w:sz w:val="24"/>
        </w:rPr>
        <w:t>本项目大气污染物有组织排放量核算见表</w:t>
      </w:r>
      <w:r w:rsidR="00B57A09" w:rsidRPr="00A964FF">
        <w:rPr>
          <w:rFonts w:ascii="Calibri" w:hAnsi="Calibri" w:hint="eastAsia"/>
          <w:noProof/>
          <w:color w:val="auto"/>
          <w:sz w:val="24"/>
        </w:rPr>
        <w:t>7</w:t>
      </w:r>
      <w:r w:rsidRPr="00A964FF">
        <w:rPr>
          <w:rFonts w:ascii="Calibri" w:hAnsi="Calibri" w:hint="eastAsia"/>
          <w:noProof/>
          <w:color w:val="auto"/>
          <w:sz w:val="24"/>
        </w:rPr>
        <w:t>.1-2</w:t>
      </w:r>
      <w:r w:rsidRPr="00A964FF">
        <w:rPr>
          <w:rFonts w:ascii="Calibri" w:hAnsi="Calibri" w:hint="eastAsia"/>
          <w:noProof/>
          <w:color w:val="auto"/>
          <w:sz w:val="24"/>
        </w:rPr>
        <w:t>。</w:t>
      </w:r>
    </w:p>
    <w:p w14:paraId="53C35EAB" w14:textId="77777777" w:rsidR="00EC2A80" w:rsidRPr="00A964FF" w:rsidRDefault="009058A1" w:rsidP="00EC2A80">
      <w:pPr>
        <w:spacing w:line="520" w:lineRule="exact"/>
        <w:ind w:firstLine="573"/>
        <w:rPr>
          <w:rFonts w:ascii="Calibri" w:eastAsia="黑体" w:hAnsi="Calibri"/>
          <w:color w:val="auto"/>
          <w:sz w:val="24"/>
        </w:rPr>
      </w:pPr>
      <w:r w:rsidRPr="00A964FF">
        <w:rPr>
          <w:rFonts w:ascii="Calibri" w:eastAsia="黑体" w:hAnsi="Calibri"/>
          <w:color w:val="auto"/>
          <w:sz w:val="24"/>
        </w:rPr>
        <w:lastRenderedPageBreak/>
        <w:t>表</w:t>
      </w:r>
      <w:r w:rsidR="00B57A09" w:rsidRPr="00A964FF">
        <w:rPr>
          <w:rFonts w:ascii="Calibri" w:eastAsia="黑体" w:hAnsi="Calibri" w:hint="eastAsia"/>
          <w:color w:val="auto"/>
          <w:sz w:val="24"/>
        </w:rPr>
        <w:t>7</w:t>
      </w:r>
      <w:r w:rsidRPr="00A964FF">
        <w:rPr>
          <w:rFonts w:ascii="Calibri" w:eastAsia="黑体" w:hAnsi="Calibri" w:hint="eastAsia"/>
          <w:color w:val="auto"/>
          <w:sz w:val="24"/>
        </w:rPr>
        <w:t>.1</w:t>
      </w:r>
      <w:r w:rsidRPr="00A964FF">
        <w:rPr>
          <w:rFonts w:ascii="Calibri" w:eastAsia="黑体" w:hAnsi="Calibri"/>
          <w:color w:val="auto"/>
          <w:sz w:val="24"/>
        </w:rPr>
        <w:t>-</w:t>
      </w:r>
      <w:r w:rsidRPr="00A964FF">
        <w:rPr>
          <w:rFonts w:ascii="Calibri" w:eastAsia="黑体" w:hAnsi="Calibri" w:hint="eastAsia"/>
          <w:color w:val="auto"/>
          <w:sz w:val="24"/>
        </w:rPr>
        <w:t>2</w:t>
      </w:r>
      <w:r w:rsidRPr="00A964FF">
        <w:rPr>
          <w:rFonts w:ascii="Calibri" w:eastAsia="黑体" w:hAnsi="Calibri"/>
          <w:color w:val="auto"/>
          <w:sz w:val="24"/>
        </w:rPr>
        <w:t xml:space="preserve">            </w:t>
      </w:r>
      <w:r w:rsidRPr="00A964FF">
        <w:rPr>
          <w:rFonts w:ascii="Calibri" w:eastAsia="黑体" w:hAnsi="Calibri" w:hint="eastAsia"/>
          <w:color w:val="auto"/>
          <w:sz w:val="24"/>
        </w:rPr>
        <w:t>大气污染物有组织排放量核算表</w:t>
      </w:r>
    </w:p>
    <w:tbl>
      <w:tblPr>
        <w:tblW w:w="89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1"/>
        <w:gridCol w:w="2281"/>
        <w:gridCol w:w="1450"/>
        <w:gridCol w:w="1544"/>
        <w:gridCol w:w="1402"/>
        <w:gridCol w:w="1589"/>
      </w:tblGrid>
      <w:tr w:rsidR="009058A1" w:rsidRPr="00A964FF" w14:paraId="1BA3198A" w14:textId="77777777" w:rsidTr="00C9037E">
        <w:trPr>
          <w:trHeight w:val="369"/>
          <w:jc w:val="center"/>
        </w:trPr>
        <w:tc>
          <w:tcPr>
            <w:tcW w:w="671" w:type="dxa"/>
            <w:vAlign w:val="center"/>
          </w:tcPr>
          <w:p w14:paraId="0913A5BC"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序号</w:t>
            </w:r>
          </w:p>
        </w:tc>
        <w:tc>
          <w:tcPr>
            <w:tcW w:w="2281" w:type="dxa"/>
            <w:vAlign w:val="center"/>
          </w:tcPr>
          <w:p w14:paraId="51C9C815"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排放口编号</w:t>
            </w:r>
          </w:p>
        </w:tc>
        <w:tc>
          <w:tcPr>
            <w:tcW w:w="1450" w:type="dxa"/>
            <w:vAlign w:val="center"/>
          </w:tcPr>
          <w:p w14:paraId="450D9C9A"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污染物</w:t>
            </w:r>
          </w:p>
        </w:tc>
        <w:tc>
          <w:tcPr>
            <w:tcW w:w="1544" w:type="dxa"/>
            <w:vAlign w:val="center"/>
          </w:tcPr>
          <w:p w14:paraId="363DAB05"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核算排放浓度</w:t>
            </w:r>
          </w:p>
          <w:p w14:paraId="76D6A7F2"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w:t>
            </w:r>
            <w:r w:rsidRPr="00A964FF">
              <w:rPr>
                <w:rFonts w:ascii="Calibri" w:hAnsi="Calibri"/>
                <w:color w:val="auto"/>
                <w:szCs w:val="21"/>
              </w:rPr>
              <w:t>mg/m</w:t>
            </w:r>
            <w:r w:rsidRPr="00A964FF">
              <w:rPr>
                <w:rFonts w:ascii="Calibri" w:hAnsi="Calibri"/>
                <w:color w:val="auto"/>
                <w:szCs w:val="21"/>
                <w:vertAlign w:val="superscript"/>
              </w:rPr>
              <w:t>3</w:t>
            </w:r>
            <w:r w:rsidRPr="00A964FF">
              <w:rPr>
                <w:rFonts w:ascii="Calibri" w:hAnsi="Calibri"/>
                <w:color w:val="auto"/>
                <w:szCs w:val="21"/>
              </w:rPr>
              <w:t>）</w:t>
            </w:r>
          </w:p>
        </w:tc>
        <w:tc>
          <w:tcPr>
            <w:tcW w:w="1402" w:type="dxa"/>
            <w:vAlign w:val="center"/>
          </w:tcPr>
          <w:p w14:paraId="23F5D38B"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核算排放速率（</w:t>
            </w:r>
            <w:r w:rsidRPr="00A964FF">
              <w:rPr>
                <w:rFonts w:ascii="Calibri" w:hAnsi="Calibri"/>
                <w:color w:val="auto"/>
                <w:szCs w:val="21"/>
              </w:rPr>
              <w:t>kg/h</w:t>
            </w:r>
            <w:r w:rsidRPr="00A964FF">
              <w:rPr>
                <w:rFonts w:ascii="Calibri" w:hAnsi="Calibri"/>
                <w:color w:val="auto"/>
                <w:szCs w:val="21"/>
              </w:rPr>
              <w:t>）</w:t>
            </w:r>
          </w:p>
        </w:tc>
        <w:tc>
          <w:tcPr>
            <w:tcW w:w="1589" w:type="dxa"/>
            <w:vAlign w:val="center"/>
          </w:tcPr>
          <w:p w14:paraId="28C1533D"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核算年排放量（</w:t>
            </w:r>
            <w:r w:rsidRPr="00A964FF">
              <w:rPr>
                <w:rFonts w:ascii="Calibri" w:hAnsi="Calibri"/>
                <w:color w:val="auto"/>
                <w:szCs w:val="21"/>
              </w:rPr>
              <w:t>t/a</w:t>
            </w:r>
            <w:r w:rsidRPr="00A964FF">
              <w:rPr>
                <w:rFonts w:ascii="Calibri" w:hAnsi="Calibri"/>
                <w:color w:val="auto"/>
                <w:szCs w:val="21"/>
              </w:rPr>
              <w:t>）</w:t>
            </w:r>
          </w:p>
        </w:tc>
      </w:tr>
      <w:tr w:rsidR="009058A1" w:rsidRPr="00A964FF" w14:paraId="2E28509B" w14:textId="77777777" w:rsidTr="00C9037E">
        <w:trPr>
          <w:trHeight w:val="369"/>
          <w:jc w:val="center"/>
        </w:trPr>
        <w:tc>
          <w:tcPr>
            <w:tcW w:w="8937" w:type="dxa"/>
            <w:gridSpan w:val="6"/>
            <w:vAlign w:val="center"/>
          </w:tcPr>
          <w:p w14:paraId="5B177675" w14:textId="77777777" w:rsidR="009058A1" w:rsidRPr="00A964FF" w:rsidRDefault="009058A1" w:rsidP="00C4311A">
            <w:pPr>
              <w:jc w:val="center"/>
              <w:rPr>
                <w:rFonts w:ascii="Calibri" w:hAnsi="Calibri"/>
                <w:color w:val="auto"/>
                <w:szCs w:val="21"/>
              </w:rPr>
            </w:pPr>
            <w:r w:rsidRPr="00A964FF">
              <w:rPr>
                <w:rFonts w:ascii="Calibri" w:hAnsi="Calibri"/>
                <w:color w:val="auto"/>
                <w:szCs w:val="21"/>
              </w:rPr>
              <w:t>一般排放口</w:t>
            </w:r>
          </w:p>
        </w:tc>
      </w:tr>
      <w:tr w:rsidR="00921255" w:rsidRPr="00A964FF" w14:paraId="1F9D1D45" w14:textId="77777777" w:rsidTr="00C9037E">
        <w:trPr>
          <w:trHeight w:val="369"/>
          <w:jc w:val="center"/>
        </w:trPr>
        <w:tc>
          <w:tcPr>
            <w:tcW w:w="671" w:type="dxa"/>
            <w:vMerge w:val="restart"/>
            <w:vAlign w:val="center"/>
          </w:tcPr>
          <w:p w14:paraId="5BA90593" w14:textId="77777777" w:rsidR="00921255" w:rsidRPr="00A964FF" w:rsidRDefault="00921255" w:rsidP="00921255">
            <w:pPr>
              <w:jc w:val="center"/>
              <w:rPr>
                <w:rFonts w:ascii="Calibri" w:hAnsi="Calibri"/>
                <w:color w:val="auto"/>
                <w:szCs w:val="21"/>
              </w:rPr>
            </w:pPr>
            <w:r w:rsidRPr="00A964FF">
              <w:rPr>
                <w:rFonts w:ascii="Calibri" w:hAnsi="Calibri"/>
                <w:color w:val="auto"/>
                <w:szCs w:val="21"/>
              </w:rPr>
              <w:t>1</w:t>
            </w:r>
          </w:p>
        </w:tc>
        <w:tc>
          <w:tcPr>
            <w:tcW w:w="2281" w:type="dxa"/>
            <w:vMerge w:val="restart"/>
            <w:vAlign w:val="center"/>
          </w:tcPr>
          <w:p w14:paraId="7E47CC3D" w14:textId="77777777" w:rsidR="00921255" w:rsidRPr="00A964FF" w:rsidRDefault="00921255" w:rsidP="00921255">
            <w:pPr>
              <w:jc w:val="center"/>
              <w:rPr>
                <w:rFonts w:ascii="Calibri" w:hAnsi="Calibri"/>
                <w:color w:val="auto"/>
                <w:szCs w:val="21"/>
              </w:rPr>
            </w:pPr>
            <w:r>
              <w:rPr>
                <w:rFonts w:ascii="Calibri" w:hAnsi="Calibri"/>
                <w:color w:val="auto"/>
                <w:szCs w:val="21"/>
              </w:rPr>
              <w:t>DA</w:t>
            </w:r>
            <w:r w:rsidRPr="00A964FF">
              <w:rPr>
                <w:rFonts w:ascii="Calibri" w:hAnsi="Calibri"/>
                <w:color w:val="auto"/>
                <w:szCs w:val="21"/>
              </w:rPr>
              <w:t>001</w:t>
            </w:r>
          </w:p>
          <w:p w14:paraId="23733952" w14:textId="77777777" w:rsidR="00921255" w:rsidRPr="00A964FF" w:rsidRDefault="00921255" w:rsidP="00921255">
            <w:pPr>
              <w:jc w:val="center"/>
              <w:rPr>
                <w:rFonts w:ascii="Calibri" w:hAnsi="Calibri"/>
                <w:color w:val="auto"/>
                <w:szCs w:val="21"/>
              </w:rPr>
            </w:pPr>
            <w:r w:rsidRPr="00A06A90">
              <w:rPr>
                <w:rFonts w:ascii="Calibri" w:hAnsi="Calibri" w:hint="eastAsia"/>
                <w:szCs w:val="21"/>
              </w:rPr>
              <w:t>聚合及聚合釜下料废气</w:t>
            </w:r>
          </w:p>
        </w:tc>
        <w:tc>
          <w:tcPr>
            <w:tcW w:w="1450" w:type="dxa"/>
            <w:vAlign w:val="center"/>
          </w:tcPr>
          <w:p w14:paraId="166ACDB1" w14:textId="77777777" w:rsidR="00921255" w:rsidRPr="00EC2A80" w:rsidRDefault="00921255" w:rsidP="00921255">
            <w:pPr>
              <w:jc w:val="center"/>
              <w:rPr>
                <w:rFonts w:ascii="Calibri" w:hAnsi="Calibri"/>
                <w:color w:val="auto"/>
                <w:szCs w:val="21"/>
              </w:rPr>
            </w:pPr>
            <w:r w:rsidRPr="00EC2A80">
              <w:rPr>
                <w:rFonts w:ascii="Calibri" w:hAnsi="Calibri" w:hint="eastAsia"/>
                <w:color w:val="auto"/>
                <w:szCs w:val="21"/>
              </w:rPr>
              <w:t>己二胺</w:t>
            </w:r>
          </w:p>
        </w:tc>
        <w:tc>
          <w:tcPr>
            <w:tcW w:w="1544" w:type="dxa"/>
            <w:vAlign w:val="center"/>
          </w:tcPr>
          <w:p w14:paraId="1A61BD0B" w14:textId="6D7DC54B" w:rsidR="00921255" w:rsidRPr="00C9037E" w:rsidRDefault="00921255" w:rsidP="00921255">
            <w:pPr>
              <w:jc w:val="center"/>
              <w:rPr>
                <w:rFonts w:ascii="Calibri" w:hAnsi="Calibri"/>
                <w:color w:val="auto"/>
                <w:szCs w:val="21"/>
              </w:rPr>
            </w:pPr>
            <w:r w:rsidRPr="00CE1FD8">
              <w:rPr>
                <w:rFonts w:asciiTheme="minorHAnsi" w:hAnsiTheme="minorHAnsi" w:cstheme="minorHAnsi"/>
                <w:b/>
                <w:color w:val="auto"/>
                <w:szCs w:val="21"/>
                <w:u w:val="single"/>
              </w:rPr>
              <w:t>9.80</w:t>
            </w:r>
          </w:p>
        </w:tc>
        <w:tc>
          <w:tcPr>
            <w:tcW w:w="1402" w:type="dxa"/>
            <w:vAlign w:val="center"/>
          </w:tcPr>
          <w:p w14:paraId="329E1C40" w14:textId="5622C671" w:rsidR="00921255" w:rsidRPr="00C9037E" w:rsidRDefault="00921255" w:rsidP="00921255">
            <w:pPr>
              <w:jc w:val="center"/>
              <w:rPr>
                <w:rFonts w:ascii="Calibri" w:hAnsi="Calibri"/>
                <w:color w:val="auto"/>
                <w:szCs w:val="21"/>
              </w:rPr>
            </w:pPr>
            <w:r w:rsidRPr="00CE1FD8">
              <w:rPr>
                <w:rFonts w:ascii="Calibri" w:hAnsi="Calibri"/>
                <w:b/>
                <w:color w:val="auto"/>
                <w:szCs w:val="21"/>
                <w:u w:val="single"/>
              </w:rPr>
              <w:t>0.049</w:t>
            </w:r>
          </w:p>
        </w:tc>
        <w:tc>
          <w:tcPr>
            <w:tcW w:w="1589" w:type="dxa"/>
            <w:vAlign w:val="center"/>
          </w:tcPr>
          <w:p w14:paraId="76AE8123" w14:textId="692BEEFD" w:rsidR="00921255" w:rsidRPr="00C9037E" w:rsidRDefault="00921255" w:rsidP="00921255">
            <w:pPr>
              <w:jc w:val="center"/>
              <w:rPr>
                <w:rFonts w:ascii="Calibri" w:hAnsi="Calibri"/>
                <w:color w:val="auto"/>
                <w:szCs w:val="21"/>
              </w:rPr>
            </w:pPr>
            <w:r w:rsidRPr="00CE1FD8">
              <w:rPr>
                <w:rFonts w:ascii="Calibri" w:hAnsi="Calibri"/>
                <w:b/>
                <w:color w:val="auto"/>
                <w:szCs w:val="21"/>
                <w:u w:val="single"/>
              </w:rPr>
              <w:t>0.35</w:t>
            </w:r>
          </w:p>
        </w:tc>
      </w:tr>
      <w:tr w:rsidR="00921255" w:rsidRPr="00A964FF" w14:paraId="7ED6F80F" w14:textId="77777777" w:rsidTr="00C9037E">
        <w:trPr>
          <w:trHeight w:val="369"/>
          <w:jc w:val="center"/>
        </w:trPr>
        <w:tc>
          <w:tcPr>
            <w:tcW w:w="671" w:type="dxa"/>
            <w:vMerge/>
            <w:vAlign w:val="center"/>
          </w:tcPr>
          <w:p w14:paraId="6B932479" w14:textId="77777777" w:rsidR="00921255" w:rsidRPr="00A964FF" w:rsidRDefault="00921255" w:rsidP="00921255">
            <w:pPr>
              <w:jc w:val="center"/>
              <w:rPr>
                <w:rFonts w:ascii="Calibri" w:hAnsi="Calibri"/>
                <w:color w:val="auto"/>
                <w:szCs w:val="21"/>
              </w:rPr>
            </w:pPr>
          </w:p>
        </w:tc>
        <w:tc>
          <w:tcPr>
            <w:tcW w:w="2281" w:type="dxa"/>
            <w:vMerge/>
            <w:vAlign w:val="center"/>
          </w:tcPr>
          <w:p w14:paraId="06EB2FDF" w14:textId="77777777" w:rsidR="00921255" w:rsidRDefault="00921255" w:rsidP="00921255">
            <w:pPr>
              <w:jc w:val="center"/>
              <w:rPr>
                <w:rFonts w:ascii="Calibri" w:hAnsi="Calibri"/>
                <w:color w:val="auto"/>
                <w:szCs w:val="21"/>
              </w:rPr>
            </w:pPr>
          </w:p>
        </w:tc>
        <w:tc>
          <w:tcPr>
            <w:tcW w:w="1450" w:type="dxa"/>
            <w:vAlign w:val="center"/>
          </w:tcPr>
          <w:p w14:paraId="07981F82" w14:textId="02E959B6" w:rsidR="00921255" w:rsidRPr="00EC2A80" w:rsidRDefault="00921255" w:rsidP="00921255">
            <w:pPr>
              <w:jc w:val="center"/>
              <w:rPr>
                <w:rFonts w:ascii="Calibri" w:hAnsi="Calibri"/>
                <w:color w:val="auto"/>
                <w:szCs w:val="21"/>
              </w:rPr>
            </w:pPr>
            <w:r>
              <w:rPr>
                <w:rFonts w:ascii="Calibri" w:hAnsi="Calibri"/>
                <w:color w:val="auto"/>
                <w:szCs w:val="21"/>
              </w:rPr>
              <w:t>己二酸</w:t>
            </w:r>
          </w:p>
        </w:tc>
        <w:tc>
          <w:tcPr>
            <w:tcW w:w="1544" w:type="dxa"/>
            <w:vAlign w:val="center"/>
          </w:tcPr>
          <w:p w14:paraId="71FD791E" w14:textId="1C35D01A" w:rsidR="00921255" w:rsidRDefault="00921255" w:rsidP="00921255">
            <w:pPr>
              <w:jc w:val="center"/>
              <w:rPr>
                <w:rFonts w:ascii="Calibri" w:hAnsi="Calibri"/>
                <w:color w:val="auto"/>
                <w:szCs w:val="21"/>
              </w:rPr>
            </w:pPr>
            <w:r w:rsidRPr="00CE1FD8">
              <w:rPr>
                <w:rFonts w:asciiTheme="minorHAnsi" w:hAnsiTheme="minorHAnsi" w:cstheme="minorHAnsi" w:hint="eastAsia"/>
                <w:b/>
                <w:color w:val="auto"/>
                <w:szCs w:val="21"/>
                <w:u w:val="single"/>
              </w:rPr>
              <w:t>1.52</w:t>
            </w:r>
          </w:p>
        </w:tc>
        <w:tc>
          <w:tcPr>
            <w:tcW w:w="1402" w:type="dxa"/>
            <w:vAlign w:val="center"/>
          </w:tcPr>
          <w:p w14:paraId="241C6B43" w14:textId="7A40F8C1" w:rsidR="00921255" w:rsidRDefault="00921255" w:rsidP="00921255">
            <w:pPr>
              <w:jc w:val="center"/>
              <w:rPr>
                <w:rFonts w:ascii="Calibri" w:hAnsi="Calibri"/>
                <w:color w:val="auto"/>
                <w:szCs w:val="21"/>
              </w:rPr>
            </w:pPr>
            <w:r w:rsidRPr="00CE1FD8">
              <w:rPr>
                <w:rFonts w:ascii="Calibri" w:hAnsi="Calibri" w:hint="eastAsia"/>
                <w:b/>
                <w:color w:val="auto"/>
                <w:szCs w:val="21"/>
                <w:u w:val="single"/>
              </w:rPr>
              <w:t>0.0076</w:t>
            </w:r>
          </w:p>
        </w:tc>
        <w:tc>
          <w:tcPr>
            <w:tcW w:w="1589" w:type="dxa"/>
            <w:vAlign w:val="center"/>
          </w:tcPr>
          <w:p w14:paraId="714BAA73" w14:textId="2BC1A86B" w:rsidR="00921255" w:rsidRDefault="00921255" w:rsidP="00921255">
            <w:pPr>
              <w:jc w:val="center"/>
              <w:rPr>
                <w:rFonts w:ascii="Calibri" w:hAnsi="Calibri"/>
                <w:color w:val="auto"/>
                <w:szCs w:val="21"/>
              </w:rPr>
            </w:pPr>
            <w:r w:rsidRPr="00CE1FD8">
              <w:rPr>
                <w:rFonts w:ascii="Calibri" w:hAnsi="Calibri" w:hint="eastAsia"/>
                <w:b/>
                <w:color w:val="auto"/>
                <w:szCs w:val="21"/>
                <w:u w:val="single"/>
              </w:rPr>
              <w:t>0.055</w:t>
            </w:r>
          </w:p>
        </w:tc>
      </w:tr>
      <w:tr w:rsidR="00921255" w:rsidRPr="00A964FF" w14:paraId="481FE574" w14:textId="77777777" w:rsidTr="00C9037E">
        <w:trPr>
          <w:trHeight w:val="369"/>
          <w:jc w:val="center"/>
        </w:trPr>
        <w:tc>
          <w:tcPr>
            <w:tcW w:w="671" w:type="dxa"/>
            <w:vMerge/>
            <w:vAlign w:val="center"/>
          </w:tcPr>
          <w:p w14:paraId="697895CA" w14:textId="77777777" w:rsidR="00921255" w:rsidRPr="00A964FF" w:rsidRDefault="00921255" w:rsidP="00921255">
            <w:pPr>
              <w:jc w:val="center"/>
              <w:rPr>
                <w:rFonts w:ascii="Calibri" w:hAnsi="Calibri"/>
                <w:color w:val="auto"/>
                <w:szCs w:val="21"/>
              </w:rPr>
            </w:pPr>
          </w:p>
        </w:tc>
        <w:tc>
          <w:tcPr>
            <w:tcW w:w="2281" w:type="dxa"/>
            <w:vMerge/>
            <w:vAlign w:val="center"/>
          </w:tcPr>
          <w:p w14:paraId="5217494A" w14:textId="77777777" w:rsidR="00921255" w:rsidRPr="00A964FF" w:rsidRDefault="00921255" w:rsidP="00921255">
            <w:pPr>
              <w:jc w:val="center"/>
              <w:rPr>
                <w:rFonts w:ascii="Calibri" w:hAnsi="Calibri"/>
                <w:color w:val="auto"/>
                <w:szCs w:val="21"/>
              </w:rPr>
            </w:pPr>
          </w:p>
        </w:tc>
        <w:tc>
          <w:tcPr>
            <w:tcW w:w="1450" w:type="dxa"/>
            <w:vAlign w:val="center"/>
          </w:tcPr>
          <w:p w14:paraId="62636CBB" w14:textId="77777777" w:rsidR="00921255" w:rsidRPr="00EC2A80" w:rsidRDefault="00921255" w:rsidP="00921255">
            <w:pPr>
              <w:jc w:val="center"/>
              <w:rPr>
                <w:rFonts w:ascii="Calibri" w:hAnsi="Calibri"/>
                <w:color w:val="auto"/>
                <w:szCs w:val="21"/>
              </w:rPr>
            </w:pPr>
            <w:r w:rsidRPr="00EC2A80">
              <w:rPr>
                <w:rFonts w:ascii="Calibri" w:hAnsi="Calibri" w:hint="eastAsia"/>
                <w:color w:val="auto"/>
                <w:szCs w:val="21"/>
              </w:rPr>
              <w:t>非甲烷总烃</w:t>
            </w:r>
          </w:p>
        </w:tc>
        <w:tc>
          <w:tcPr>
            <w:tcW w:w="1544" w:type="dxa"/>
            <w:vAlign w:val="center"/>
          </w:tcPr>
          <w:p w14:paraId="1B4F1B67" w14:textId="65E8EC18" w:rsidR="00921255" w:rsidRPr="00C9037E" w:rsidRDefault="00921255" w:rsidP="00921255">
            <w:pPr>
              <w:jc w:val="center"/>
              <w:rPr>
                <w:rFonts w:ascii="Calibri" w:hAnsi="Calibri"/>
                <w:color w:val="auto"/>
                <w:szCs w:val="21"/>
              </w:rPr>
            </w:pPr>
            <w:r w:rsidRPr="00CE1FD8">
              <w:rPr>
                <w:rFonts w:asciiTheme="minorHAnsi" w:hAnsiTheme="minorHAnsi" w:cstheme="minorHAnsi"/>
                <w:b/>
                <w:color w:val="auto"/>
                <w:szCs w:val="21"/>
                <w:u w:val="single"/>
              </w:rPr>
              <w:t>14.8</w:t>
            </w:r>
          </w:p>
        </w:tc>
        <w:tc>
          <w:tcPr>
            <w:tcW w:w="1402" w:type="dxa"/>
            <w:vAlign w:val="center"/>
          </w:tcPr>
          <w:p w14:paraId="44DAED40" w14:textId="739A2247" w:rsidR="00921255" w:rsidRPr="00C9037E" w:rsidRDefault="00921255" w:rsidP="00921255">
            <w:pPr>
              <w:jc w:val="center"/>
              <w:rPr>
                <w:rFonts w:ascii="Calibri" w:hAnsi="Calibri"/>
                <w:color w:val="auto"/>
                <w:szCs w:val="21"/>
              </w:rPr>
            </w:pPr>
            <w:r w:rsidRPr="00CE1FD8">
              <w:rPr>
                <w:rFonts w:ascii="Calibri" w:hAnsi="Calibri"/>
                <w:b/>
                <w:color w:val="auto"/>
                <w:szCs w:val="21"/>
                <w:u w:val="single"/>
              </w:rPr>
              <w:t>0.074</w:t>
            </w:r>
          </w:p>
        </w:tc>
        <w:tc>
          <w:tcPr>
            <w:tcW w:w="1589" w:type="dxa"/>
            <w:vAlign w:val="center"/>
          </w:tcPr>
          <w:p w14:paraId="1DCC77E2" w14:textId="5E513D0A" w:rsidR="00921255" w:rsidRPr="00C9037E" w:rsidRDefault="00921255" w:rsidP="00921255">
            <w:pPr>
              <w:jc w:val="center"/>
              <w:rPr>
                <w:rFonts w:ascii="Calibri" w:hAnsi="Calibri"/>
                <w:color w:val="auto"/>
                <w:szCs w:val="21"/>
              </w:rPr>
            </w:pPr>
            <w:r w:rsidRPr="00CE1FD8">
              <w:rPr>
                <w:rFonts w:ascii="Calibri" w:hAnsi="Calibri"/>
                <w:b/>
                <w:color w:val="auto"/>
                <w:szCs w:val="21"/>
                <w:u w:val="single"/>
              </w:rPr>
              <w:t>0.53</w:t>
            </w:r>
          </w:p>
        </w:tc>
      </w:tr>
      <w:tr w:rsidR="00921255" w:rsidRPr="00A964FF" w14:paraId="59484DE9" w14:textId="77777777" w:rsidTr="00C9037E">
        <w:trPr>
          <w:trHeight w:val="369"/>
          <w:jc w:val="center"/>
        </w:trPr>
        <w:tc>
          <w:tcPr>
            <w:tcW w:w="671" w:type="dxa"/>
            <w:vMerge/>
            <w:vAlign w:val="center"/>
          </w:tcPr>
          <w:p w14:paraId="0AB27081" w14:textId="77777777" w:rsidR="00921255" w:rsidRPr="00A964FF" w:rsidRDefault="00921255" w:rsidP="00921255">
            <w:pPr>
              <w:jc w:val="center"/>
              <w:rPr>
                <w:rFonts w:ascii="Calibri" w:hAnsi="Calibri"/>
                <w:color w:val="auto"/>
                <w:szCs w:val="21"/>
              </w:rPr>
            </w:pPr>
          </w:p>
        </w:tc>
        <w:tc>
          <w:tcPr>
            <w:tcW w:w="2281" w:type="dxa"/>
            <w:vMerge/>
            <w:vAlign w:val="center"/>
          </w:tcPr>
          <w:p w14:paraId="7A92C4C6" w14:textId="77777777" w:rsidR="00921255" w:rsidRPr="00A964FF" w:rsidRDefault="00921255" w:rsidP="00921255">
            <w:pPr>
              <w:jc w:val="center"/>
              <w:rPr>
                <w:rFonts w:ascii="Calibri" w:hAnsi="Calibri"/>
                <w:color w:val="auto"/>
                <w:szCs w:val="21"/>
              </w:rPr>
            </w:pPr>
          </w:p>
        </w:tc>
        <w:tc>
          <w:tcPr>
            <w:tcW w:w="1450" w:type="dxa"/>
            <w:vAlign w:val="center"/>
          </w:tcPr>
          <w:p w14:paraId="6B93DDCF" w14:textId="77777777" w:rsidR="00921255" w:rsidRPr="00EC2A80" w:rsidRDefault="00921255" w:rsidP="00921255">
            <w:pPr>
              <w:jc w:val="center"/>
              <w:rPr>
                <w:rFonts w:ascii="Calibri" w:hAnsi="Calibri"/>
                <w:color w:val="auto"/>
                <w:szCs w:val="21"/>
              </w:rPr>
            </w:pPr>
            <w:r w:rsidRPr="00EC2A80">
              <w:rPr>
                <w:rFonts w:ascii="Calibri" w:hAnsi="Calibri" w:hint="eastAsia"/>
                <w:color w:val="auto"/>
                <w:szCs w:val="21"/>
              </w:rPr>
              <w:t>氨</w:t>
            </w:r>
          </w:p>
        </w:tc>
        <w:tc>
          <w:tcPr>
            <w:tcW w:w="1544" w:type="dxa"/>
            <w:vAlign w:val="center"/>
          </w:tcPr>
          <w:p w14:paraId="22B12E09" w14:textId="1E8D88E7" w:rsidR="00921255" w:rsidRPr="00C9037E" w:rsidRDefault="00921255" w:rsidP="00921255">
            <w:pPr>
              <w:jc w:val="center"/>
              <w:rPr>
                <w:rFonts w:ascii="Calibri" w:hAnsi="Calibri"/>
                <w:color w:val="auto"/>
                <w:szCs w:val="21"/>
              </w:rPr>
            </w:pPr>
            <w:r w:rsidRPr="00CE1FD8">
              <w:rPr>
                <w:rFonts w:asciiTheme="minorHAnsi" w:hAnsiTheme="minorHAnsi" w:cstheme="minorHAnsi"/>
                <w:b/>
                <w:color w:val="auto"/>
                <w:szCs w:val="21"/>
                <w:u w:val="single"/>
              </w:rPr>
              <w:t>0.13</w:t>
            </w:r>
          </w:p>
        </w:tc>
        <w:tc>
          <w:tcPr>
            <w:tcW w:w="1402" w:type="dxa"/>
            <w:vAlign w:val="center"/>
          </w:tcPr>
          <w:p w14:paraId="023FCF0A" w14:textId="76A3094A" w:rsidR="00921255" w:rsidRPr="00C9037E" w:rsidRDefault="00921255" w:rsidP="00921255">
            <w:pPr>
              <w:jc w:val="center"/>
              <w:rPr>
                <w:rFonts w:ascii="Calibri" w:hAnsi="Calibri"/>
                <w:color w:val="auto"/>
                <w:szCs w:val="21"/>
              </w:rPr>
            </w:pPr>
            <w:r w:rsidRPr="00CE1FD8">
              <w:rPr>
                <w:rFonts w:ascii="Calibri" w:hAnsi="Calibri" w:hint="eastAsia"/>
                <w:b/>
                <w:color w:val="auto"/>
                <w:szCs w:val="21"/>
                <w:u w:val="single"/>
              </w:rPr>
              <w:t>0.00067</w:t>
            </w:r>
          </w:p>
        </w:tc>
        <w:tc>
          <w:tcPr>
            <w:tcW w:w="1589" w:type="dxa"/>
            <w:vAlign w:val="center"/>
          </w:tcPr>
          <w:p w14:paraId="64F655D9" w14:textId="3D2174EF" w:rsidR="00921255" w:rsidRPr="00C9037E" w:rsidRDefault="00921255" w:rsidP="00921255">
            <w:pPr>
              <w:jc w:val="center"/>
              <w:rPr>
                <w:rFonts w:ascii="Calibri" w:hAnsi="Calibri"/>
                <w:color w:val="auto"/>
                <w:szCs w:val="21"/>
              </w:rPr>
            </w:pPr>
            <w:r w:rsidRPr="00CE1FD8">
              <w:rPr>
                <w:rFonts w:ascii="Calibri" w:hAnsi="Calibri" w:hint="eastAsia"/>
                <w:b/>
                <w:color w:val="auto"/>
                <w:szCs w:val="21"/>
                <w:u w:val="single"/>
              </w:rPr>
              <w:t>0.0048</w:t>
            </w:r>
          </w:p>
        </w:tc>
      </w:tr>
      <w:tr w:rsidR="00EC2A80" w:rsidRPr="00A964FF" w14:paraId="205FB3F3" w14:textId="77777777" w:rsidTr="00C9037E">
        <w:trPr>
          <w:trHeight w:val="369"/>
          <w:jc w:val="center"/>
        </w:trPr>
        <w:tc>
          <w:tcPr>
            <w:tcW w:w="671" w:type="dxa"/>
            <w:vMerge w:val="restart"/>
            <w:vAlign w:val="center"/>
          </w:tcPr>
          <w:p w14:paraId="45E1B996" w14:textId="77777777" w:rsidR="00EC2A80" w:rsidRPr="00A964FF" w:rsidRDefault="007E3F9E" w:rsidP="00EC2A80">
            <w:pPr>
              <w:jc w:val="center"/>
              <w:rPr>
                <w:rFonts w:ascii="Calibri" w:hAnsi="Calibri"/>
                <w:color w:val="auto"/>
                <w:szCs w:val="21"/>
              </w:rPr>
            </w:pPr>
            <w:r>
              <w:rPr>
                <w:rFonts w:ascii="Calibri" w:hAnsi="Calibri"/>
                <w:color w:val="auto"/>
                <w:szCs w:val="21"/>
              </w:rPr>
              <w:t>2</w:t>
            </w:r>
          </w:p>
        </w:tc>
        <w:tc>
          <w:tcPr>
            <w:tcW w:w="2281" w:type="dxa"/>
            <w:vMerge w:val="restart"/>
            <w:vAlign w:val="center"/>
          </w:tcPr>
          <w:p w14:paraId="7F999671" w14:textId="77777777" w:rsidR="00EC2A80" w:rsidRPr="00A964FF" w:rsidRDefault="00EC2A80" w:rsidP="00EC2A80">
            <w:pPr>
              <w:jc w:val="center"/>
              <w:rPr>
                <w:rFonts w:ascii="Calibri" w:hAnsi="Calibri"/>
                <w:color w:val="auto"/>
                <w:szCs w:val="21"/>
              </w:rPr>
            </w:pPr>
            <w:r>
              <w:rPr>
                <w:rFonts w:ascii="Calibri" w:hAnsi="Calibri"/>
                <w:color w:val="auto"/>
                <w:szCs w:val="21"/>
              </w:rPr>
              <w:t>DA</w:t>
            </w:r>
            <w:r w:rsidRPr="00A964FF">
              <w:rPr>
                <w:rFonts w:ascii="Calibri" w:hAnsi="Calibri"/>
                <w:color w:val="auto"/>
                <w:szCs w:val="21"/>
              </w:rPr>
              <w:t>00</w:t>
            </w:r>
            <w:r w:rsidR="008C0B3F">
              <w:rPr>
                <w:rFonts w:ascii="Calibri" w:hAnsi="Calibri"/>
                <w:color w:val="auto"/>
                <w:szCs w:val="21"/>
              </w:rPr>
              <w:t>2</w:t>
            </w:r>
          </w:p>
          <w:p w14:paraId="422D5CEB" w14:textId="77777777" w:rsidR="00EC2A80" w:rsidRPr="00A964FF" w:rsidRDefault="00EC2A80" w:rsidP="00EC2A80">
            <w:pPr>
              <w:jc w:val="center"/>
              <w:rPr>
                <w:rFonts w:ascii="Calibri" w:hAnsi="Calibri"/>
                <w:color w:val="auto"/>
                <w:szCs w:val="21"/>
              </w:rPr>
            </w:pPr>
            <w:r w:rsidRPr="00EC2A80">
              <w:rPr>
                <w:rFonts w:ascii="Calibri" w:hAnsi="Calibri" w:hint="eastAsia"/>
                <w:kern w:val="0"/>
                <w:szCs w:val="21"/>
              </w:rPr>
              <w:t>导热油炉</w:t>
            </w:r>
            <w:r>
              <w:rPr>
                <w:rFonts w:ascii="Calibri" w:hAnsi="Calibri" w:hint="eastAsia"/>
                <w:kern w:val="0"/>
                <w:szCs w:val="21"/>
              </w:rPr>
              <w:t>废气</w:t>
            </w:r>
          </w:p>
        </w:tc>
        <w:tc>
          <w:tcPr>
            <w:tcW w:w="1450" w:type="dxa"/>
            <w:vAlign w:val="center"/>
          </w:tcPr>
          <w:p w14:paraId="6152848D" w14:textId="77777777" w:rsidR="00EC2A80" w:rsidRPr="00EC2A80" w:rsidRDefault="00EC2A80" w:rsidP="00EC2A80">
            <w:pPr>
              <w:jc w:val="center"/>
              <w:rPr>
                <w:rFonts w:ascii="Calibri" w:hAnsi="Calibri"/>
                <w:color w:val="auto"/>
                <w:szCs w:val="21"/>
              </w:rPr>
            </w:pPr>
            <w:r w:rsidRPr="00EC2A80">
              <w:rPr>
                <w:rFonts w:ascii="Calibri" w:hAnsi="Calibri"/>
                <w:color w:val="auto"/>
                <w:szCs w:val="21"/>
              </w:rPr>
              <w:t>SO</w:t>
            </w:r>
            <w:r w:rsidRPr="00EC2A80">
              <w:rPr>
                <w:rFonts w:ascii="Calibri" w:hAnsi="Calibri"/>
                <w:color w:val="auto"/>
                <w:szCs w:val="21"/>
                <w:vertAlign w:val="subscript"/>
              </w:rPr>
              <w:t>2</w:t>
            </w:r>
          </w:p>
        </w:tc>
        <w:tc>
          <w:tcPr>
            <w:tcW w:w="1544" w:type="dxa"/>
            <w:vAlign w:val="center"/>
          </w:tcPr>
          <w:p w14:paraId="35B4059E" w14:textId="77777777" w:rsidR="00EC2A80" w:rsidRPr="00C9037E" w:rsidRDefault="00EC2A80" w:rsidP="00C9037E">
            <w:pPr>
              <w:jc w:val="center"/>
              <w:rPr>
                <w:rFonts w:ascii="Calibri" w:hAnsi="Calibri"/>
                <w:color w:val="auto"/>
                <w:szCs w:val="21"/>
              </w:rPr>
            </w:pPr>
            <w:r w:rsidRPr="00C9037E">
              <w:rPr>
                <w:rFonts w:ascii="Calibri" w:hAnsi="Calibri"/>
                <w:color w:val="auto"/>
                <w:szCs w:val="21"/>
              </w:rPr>
              <w:t>3.70</w:t>
            </w:r>
          </w:p>
        </w:tc>
        <w:tc>
          <w:tcPr>
            <w:tcW w:w="1402" w:type="dxa"/>
            <w:vAlign w:val="center"/>
          </w:tcPr>
          <w:p w14:paraId="5648438E" w14:textId="77777777" w:rsidR="00EC2A80" w:rsidRPr="00C9037E" w:rsidRDefault="00EC2A80" w:rsidP="00C9037E">
            <w:pPr>
              <w:jc w:val="center"/>
              <w:rPr>
                <w:rFonts w:ascii="Calibri" w:hAnsi="Calibri"/>
                <w:color w:val="auto"/>
                <w:szCs w:val="21"/>
              </w:rPr>
            </w:pPr>
            <w:r w:rsidRPr="00C9037E">
              <w:rPr>
                <w:rFonts w:ascii="Calibri" w:hAnsi="Calibri"/>
                <w:color w:val="auto"/>
                <w:szCs w:val="21"/>
              </w:rPr>
              <w:t>0.0093</w:t>
            </w:r>
          </w:p>
        </w:tc>
        <w:tc>
          <w:tcPr>
            <w:tcW w:w="1589" w:type="dxa"/>
            <w:vAlign w:val="center"/>
          </w:tcPr>
          <w:p w14:paraId="2D549187" w14:textId="77777777" w:rsidR="00EC2A80" w:rsidRPr="00C9037E" w:rsidRDefault="00EC2A80" w:rsidP="00C9037E">
            <w:pPr>
              <w:jc w:val="center"/>
              <w:rPr>
                <w:rFonts w:ascii="Calibri" w:hAnsi="Calibri"/>
                <w:color w:val="auto"/>
                <w:szCs w:val="21"/>
              </w:rPr>
            </w:pPr>
            <w:r w:rsidRPr="00C9037E">
              <w:rPr>
                <w:rFonts w:ascii="Calibri" w:hAnsi="Calibri"/>
                <w:color w:val="auto"/>
                <w:szCs w:val="21"/>
              </w:rPr>
              <w:t>0.067</w:t>
            </w:r>
          </w:p>
        </w:tc>
      </w:tr>
      <w:tr w:rsidR="00EC2A80" w:rsidRPr="00A964FF" w14:paraId="283C2F40" w14:textId="77777777" w:rsidTr="00C9037E">
        <w:trPr>
          <w:trHeight w:val="369"/>
          <w:jc w:val="center"/>
        </w:trPr>
        <w:tc>
          <w:tcPr>
            <w:tcW w:w="671" w:type="dxa"/>
            <w:vMerge/>
            <w:vAlign w:val="center"/>
          </w:tcPr>
          <w:p w14:paraId="128724D5" w14:textId="77777777" w:rsidR="00EC2A80" w:rsidRPr="00A964FF" w:rsidRDefault="00EC2A80" w:rsidP="00EC2A80">
            <w:pPr>
              <w:jc w:val="center"/>
              <w:rPr>
                <w:rFonts w:ascii="Calibri" w:hAnsi="Calibri"/>
                <w:color w:val="auto"/>
                <w:szCs w:val="21"/>
              </w:rPr>
            </w:pPr>
          </w:p>
        </w:tc>
        <w:tc>
          <w:tcPr>
            <w:tcW w:w="2281" w:type="dxa"/>
            <w:vMerge/>
            <w:vAlign w:val="center"/>
          </w:tcPr>
          <w:p w14:paraId="659CB1A7" w14:textId="77777777" w:rsidR="00EC2A80" w:rsidRPr="00A964FF" w:rsidRDefault="00EC2A80" w:rsidP="00EC2A80">
            <w:pPr>
              <w:jc w:val="center"/>
              <w:rPr>
                <w:rFonts w:ascii="Calibri" w:hAnsi="Calibri"/>
                <w:color w:val="auto"/>
                <w:szCs w:val="21"/>
              </w:rPr>
            </w:pPr>
          </w:p>
        </w:tc>
        <w:tc>
          <w:tcPr>
            <w:tcW w:w="1450" w:type="dxa"/>
            <w:vAlign w:val="center"/>
          </w:tcPr>
          <w:p w14:paraId="47584F4D" w14:textId="77777777" w:rsidR="00EC2A80" w:rsidRPr="00EC2A80" w:rsidRDefault="00EC2A80" w:rsidP="00EC2A80">
            <w:pPr>
              <w:jc w:val="center"/>
              <w:rPr>
                <w:rFonts w:ascii="Calibri" w:hAnsi="Calibri"/>
                <w:color w:val="auto"/>
                <w:szCs w:val="21"/>
              </w:rPr>
            </w:pPr>
            <w:r w:rsidRPr="00EC2A80">
              <w:rPr>
                <w:rFonts w:ascii="Calibri" w:hAnsi="Calibri"/>
                <w:color w:val="auto"/>
                <w:szCs w:val="21"/>
              </w:rPr>
              <w:t>NOx</w:t>
            </w:r>
          </w:p>
        </w:tc>
        <w:tc>
          <w:tcPr>
            <w:tcW w:w="1544" w:type="dxa"/>
            <w:vAlign w:val="center"/>
          </w:tcPr>
          <w:p w14:paraId="21E70B93" w14:textId="77777777" w:rsidR="00EC2A80" w:rsidRPr="00C9037E" w:rsidRDefault="00EC2A80" w:rsidP="00C9037E">
            <w:pPr>
              <w:jc w:val="center"/>
              <w:rPr>
                <w:rFonts w:ascii="Calibri" w:hAnsi="Calibri"/>
                <w:color w:val="auto"/>
                <w:szCs w:val="21"/>
              </w:rPr>
            </w:pPr>
            <w:r w:rsidRPr="00C9037E">
              <w:rPr>
                <w:rFonts w:ascii="Calibri" w:hAnsi="Calibri"/>
                <w:color w:val="auto"/>
                <w:szCs w:val="21"/>
              </w:rPr>
              <w:t>28.20</w:t>
            </w:r>
          </w:p>
        </w:tc>
        <w:tc>
          <w:tcPr>
            <w:tcW w:w="1402" w:type="dxa"/>
            <w:vAlign w:val="center"/>
          </w:tcPr>
          <w:p w14:paraId="37B3CEA2" w14:textId="77777777" w:rsidR="00EC2A80" w:rsidRPr="00C9037E" w:rsidRDefault="00EC2A80" w:rsidP="00C9037E">
            <w:pPr>
              <w:jc w:val="center"/>
              <w:rPr>
                <w:rFonts w:ascii="Calibri" w:hAnsi="Calibri"/>
                <w:color w:val="auto"/>
                <w:szCs w:val="21"/>
              </w:rPr>
            </w:pPr>
            <w:r w:rsidRPr="00C9037E">
              <w:rPr>
                <w:rFonts w:ascii="Calibri" w:hAnsi="Calibri"/>
                <w:color w:val="auto"/>
                <w:szCs w:val="21"/>
              </w:rPr>
              <w:t>0.071</w:t>
            </w:r>
          </w:p>
        </w:tc>
        <w:tc>
          <w:tcPr>
            <w:tcW w:w="1589" w:type="dxa"/>
            <w:vAlign w:val="center"/>
          </w:tcPr>
          <w:p w14:paraId="080AFA97" w14:textId="77777777" w:rsidR="00EC2A80" w:rsidRPr="00C9037E" w:rsidRDefault="00EC2A80" w:rsidP="00C9037E">
            <w:pPr>
              <w:jc w:val="center"/>
              <w:rPr>
                <w:rFonts w:ascii="Calibri" w:hAnsi="Calibri"/>
                <w:color w:val="auto"/>
                <w:szCs w:val="21"/>
              </w:rPr>
            </w:pPr>
            <w:r w:rsidRPr="00C9037E">
              <w:rPr>
                <w:rFonts w:ascii="Calibri" w:hAnsi="Calibri"/>
                <w:color w:val="auto"/>
                <w:szCs w:val="21"/>
              </w:rPr>
              <w:t>0.51</w:t>
            </w:r>
          </w:p>
        </w:tc>
      </w:tr>
      <w:tr w:rsidR="00EC2A80" w:rsidRPr="00A964FF" w14:paraId="627CEF3A" w14:textId="77777777" w:rsidTr="00C9037E">
        <w:trPr>
          <w:trHeight w:val="369"/>
          <w:jc w:val="center"/>
        </w:trPr>
        <w:tc>
          <w:tcPr>
            <w:tcW w:w="671" w:type="dxa"/>
            <w:vMerge/>
            <w:vAlign w:val="center"/>
          </w:tcPr>
          <w:p w14:paraId="27ED6D2A" w14:textId="77777777" w:rsidR="00EC2A80" w:rsidRPr="00A964FF" w:rsidRDefault="00EC2A80" w:rsidP="00EC2A80">
            <w:pPr>
              <w:jc w:val="center"/>
              <w:rPr>
                <w:rFonts w:ascii="Calibri" w:hAnsi="Calibri"/>
                <w:color w:val="auto"/>
                <w:szCs w:val="21"/>
              </w:rPr>
            </w:pPr>
          </w:p>
        </w:tc>
        <w:tc>
          <w:tcPr>
            <w:tcW w:w="2281" w:type="dxa"/>
            <w:vMerge/>
            <w:vAlign w:val="center"/>
          </w:tcPr>
          <w:p w14:paraId="5A819F9A" w14:textId="77777777" w:rsidR="00EC2A80" w:rsidRPr="00A964FF" w:rsidRDefault="00EC2A80" w:rsidP="00EC2A80">
            <w:pPr>
              <w:jc w:val="center"/>
              <w:rPr>
                <w:rFonts w:ascii="Calibri" w:hAnsi="Calibri"/>
                <w:color w:val="auto"/>
                <w:szCs w:val="21"/>
              </w:rPr>
            </w:pPr>
          </w:p>
        </w:tc>
        <w:tc>
          <w:tcPr>
            <w:tcW w:w="1450" w:type="dxa"/>
            <w:vAlign w:val="center"/>
          </w:tcPr>
          <w:p w14:paraId="39D4AB64" w14:textId="77777777" w:rsidR="00EC2A80" w:rsidRPr="00EC2A80" w:rsidRDefault="00EC2A80" w:rsidP="00EC2A80">
            <w:pPr>
              <w:jc w:val="center"/>
              <w:rPr>
                <w:rFonts w:ascii="Calibri" w:hAnsi="Calibri"/>
                <w:color w:val="auto"/>
                <w:szCs w:val="21"/>
              </w:rPr>
            </w:pPr>
            <w:r w:rsidRPr="00EC2A80">
              <w:rPr>
                <w:rFonts w:ascii="Calibri" w:hAnsi="Calibri" w:hint="eastAsia"/>
                <w:color w:val="auto"/>
                <w:szCs w:val="21"/>
              </w:rPr>
              <w:t>颗粒物</w:t>
            </w:r>
          </w:p>
        </w:tc>
        <w:tc>
          <w:tcPr>
            <w:tcW w:w="1544" w:type="dxa"/>
            <w:vAlign w:val="center"/>
          </w:tcPr>
          <w:p w14:paraId="2EBFEA01" w14:textId="77777777" w:rsidR="00EC2A80" w:rsidRPr="00C9037E" w:rsidRDefault="00EC2A80" w:rsidP="00C9037E">
            <w:pPr>
              <w:jc w:val="center"/>
              <w:rPr>
                <w:rFonts w:ascii="Calibri" w:hAnsi="Calibri"/>
                <w:color w:val="auto"/>
                <w:szCs w:val="21"/>
              </w:rPr>
            </w:pPr>
            <w:r w:rsidRPr="00C9037E">
              <w:rPr>
                <w:rFonts w:ascii="Calibri" w:hAnsi="Calibri"/>
                <w:color w:val="auto"/>
                <w:szCs w:val="21"/>
              </w:rPr>
              <w:t>2.45</w:t>
            </w:r>
          </w:p>
        </w:tc>
        <w:tc>
          <w:tcPr>
            <w:tcW w:w="1402" w:type="dxa"/>
            <w:vAlign w:val="center"/>
          </w:tcPr>
          <w:p w14:paraId="1380F791" w14:textId="77777777" w:rsidR="00EC2A80" w:rsidRPr="00C9037E" w:rsidRDefault="00EC2A80" w:rsidP="00AD0BDD">
            <w:pPr>
              <w:jc w:val="center"/>
              <w:rPr>
                <w:rFonts w:ascii="Calibri" w:hAnsi="Calibri"/>
                <w:color w:val="auto"/>
                <w:szCs w:val="21"/>
              </w:rPr>
            </w:pPr>
            <w:r w:rsidRPr="00C9037E">
              <w:rPr>
                <w:rFonts w:ascii="Calibri" w:hAnsi="Calibri"/>
                <w:color w:val="auto"/>
                <w:szCs w:val="21"/>
              </w:rPr>
              <w:t>0.00</w:t>
            </w:r>
            <w:r w:rsidR="00AD0BDD">
              <w:rPr>
                <w:rFonts w:ascii="Calibri" w:hAnsi="Calibri"/>
                <w:color w:val="auto"/>
                <w:szCs w:val="21"/>
              </w:rPr>
              <w:t>6</w:t>
            </w:r>
          </w:p>
        </w:tc>
        <w:tc>
          <w:tcPr>
            <w:tcW w:w="1589" w:type="dxa"/>
            <w:vAlign w:val="center"/>
          </w:tcPr>
          <w:p w14:paraId="55A628ED" w14:textId="77777777" w:rsidR="00EC2A80" w:rsidRPr="00C9037E" w:rsidRDefault="00EC2A80" w:rsidP="00AD0BDD">
            <w:pPr>
              <w:jc w:val="center"/>
              <w:rPr>
                <w:rFonts w:ascii="Calibri" w:hAnsi="Calibri"/>
                <w:color w:val="auto"/>
                <w:szCs w:val="21"/>
              </w:rPr>
            </w:pPr>
            <w:r w:rsidRPr="00C9037E">
              <w:rPr>
                <w:rFonts w:ascii="Calibri" w:hAnsi="Calibri"/>
                <w:color w:val="auto"/>
                <w:szCs w:val="21"/>
              </w:rPr>
              <w:t>0.0</w:t>
            </w:r>
            <w:r w:rsidR="00AD0BDD">
              <w:rPr>
                <w:rFonts w:ascii="Calibri" w:hAnsi="Calibri"/>
                <w:color w:val="auto"/>
                <w:szCs w:val="21"/>
              </w:rPr>
              <w:t>44</w:t>
            </w:r>
          </w:p>
        </w:tc>
      </w:tr>
      <w:tr w:rsidR="00921255" w:rsidRPr="00A964FF" w14:paraId="567531F0" w14:textId="77777777" w:rsidTr="00C9037E">
        <w:trPr>
          <w:trHeight w:val="369"/>
          <w:jc w:val="center"/>
        </w:trPr>
        <w:tc>
          <w:tcPr>
            <w:tcW w:w="671" w:type="dxa"/>
            <w:vMerge w:val="restart"/>
            <w:vAlign w:val="center"/>
          </w:tcPr>
          <w:p w14:paraId="6DF269D2" w14:textId="77777777" w:rsidR="00921255" w:rsidRPr="00A964FF" w:rsidRDefault="00921255" w:rsidP="00921255">
            <w:pPr>
              <w:jc w:val="center"/>
              <w:rPr>
                <w:rFonts w:ascii="Calibri" w:hAnsi="Calibri"/>
                <w:color w:val="auto"/>
                <w:szCs w:val="21"/>
              </w:rPr>
            </w:pPr>
            <w:r>
              <w:rPr>
                <w:rFonts w:ascii="Calibri" w:hAnsi="Calibri"/>
                <w:color w:val="auto"/>
                <w:szCs w:val="21"/>
              </w:rPr>
              <w:t>3</w:t>
            </w:r>
          </w:p>
        </w:tc>
        <w:tc>
          <w:tcPr>
            <w:tcW w:w="2281" w:type="dxa"/>
            <w:vMerge w:val="restart"/>
            <w:vAlign w:val="center"/>
          </w:tcPr>
          <w:p w14:paraId="07D290C2" w14:textId="77777777" w:rsidR="00921255" w:rsidRDefault="00921255" w:rsidP="00921255">
            <w:pPr>
              <w:jc w:val="center"/>
              <w:rPr>
                <w:rFonts w:ascii="Calibri" w:hAnsi="Calibri"/>
                <w:color w:val="auto"/>
                <w:szCs w:val="21"/>
              </w:rPr>
            </w:pPr>
            <w:r>
              <w:rPr>
                <w:rFonts w:ascii="Calibri" w:hAnsi="Calibri" w:hint="eastAsia"/>
                <w:szCs w:val="21"/>
              </w:rPr>
              <w:t>DA</w:t>
            </w:r>
            <w:r w:rsidRPr="00A964FF">
              <w:rPr>
                <w:rFonts w:ascii="Calibri" w:hAnsi="Calibri" w:hint="eastAsia"/>
                <w:szCs w:val="21"/>
              </w:rPr>
              <w:t>0</w:t>
            </w:r>
            <w:r>
              <w:rPr>
                <w:rFonts w:ascii="Calibri" w:hAnsi="Calibri" w:hint="eastAsia"/>
                <w:szCs w:val="21"/>
              </w:rPr>
              <w:t>0</w:t>
            </w:r>
            <w:r>
              <w:rPr>
                <w:rFonts w:ascii="Calibri" w:hAnsi="Calibri"/>
                <w:szCs w:val="21"/>
              </w:rPr>
              <w:t>3</w:t>
            </w:r>
          </w:p>
          <w:p w14:paraId="34081282" w14:textId="77777777" w:rsidR="00921255" w:rsidRPr="00A964FF" w:rsidRDefault="00921255" w:rsidP="00921255">
            <w:pPr>
              <w:jc w:val="center"/>
              <w:rPr>
                <w:rFonts w:ascii="Calibri" w:hAnsi="Calibri"/>
                <w:color w:val="auto"/>
                <w:szCs w:val="21"/>
              </w:rPr>
            </w:pPr>
            <w:r w:rsidRPr="00EC2A80">
              <w:rPr>
                <w:rFonts w:ascii="Calibri" w:hAnsi="Calibri" w:hint="eastAsia"/>
                <w:color w:val="auto"/>
                <w:szCs w:val="21"/>
              </w:rPr>
              <w:t>废水处理站废气</w:t>
            </w:r>
          </w:p>
        </w:tc>
        <w:tc>
          <w:tcPr>
            <w:tcW w:w="1450" w:type="dxa"/>
            <w:vAlign w:val="center"/>
          </w:tcPr>
          <w:p w14:paraId="34BAC943" w14:textId="77777777" w:rsidR="00921255" w:rsidRPr="00EC2A80" w:rsidRDefault="00921255" w:rsidP="00921255">
            <w:pPr>
              <w:jc w:val="center"/>
              <w:rPr>
                <w:rFonts w:ascii="Calibri" w:hAnsi="Calibri"/>
                <w:color w:val="auto"/>
                <w:szCs w:val="21"/>
              </w:rPr>
            </w:pPr>
            <w:r w:rsidRPr="00EC2A80">
              <w:rPr>
                <w:rFonts w:ascii="Calibri" w:hAnsi="Calibri" w:hint="eastAsia"/>
                <w:color w:val="auto"/>
                <w:szCs w:val="21"/>
              </w:rPr>
              <w:t>氨</w:t>
            </w:r>
          </w:p>
        </w:tc>
        <w:tc>
          <w:tcPr>
            <w:tcW w:w="1544" w:type="dxa"/>
            <w:vAlign w:val="center"/>
          </w:tcPr>
          <w:p w14:paraId="7CC7E67A" w14:textId="1DCF488D" w:rsidR="00921255" w:rsidRPr="00EC2A80" w:rsidRDefault="00921255" w:rsidP="00921255">
            <w:pPr>
              <w:jc w:val="center"/>
              <w:rPr>
                <w:rFonts w:ascii="Calibri" w:hAnsi="Calibri"/>
                <w:color w:val="auto"/>
                <w:szCs w:val="21"/>
              </w:rPr>
            </w:pPr>
            <w:r>
              <w:rPr>
                <w:rFonts w:ascii="Calibri" w:hAnsi="Calibri"/>
                <w:b/>
                <w:szCs w:val="21"/>
                <w:u w:val="single"/>
              </w:rPr>
              <w:t>0.60</w:t>
            </w:r>
          </w:p>
        </w:tc>
        <w:tc>
          <w:tcPr>
            <w:tcW w:w="1402" w:type="dxa"/>
            <w:vAlign w:val="center"/>
          </w:tcPr>
          <w:p w14:paraId="1BE1E00B" w14:textId="26A5901C" w:rsidR="00921255" w:rsidRPr="00C9037E" w:rsidRDefault="00921255" w:rsidP="00921255">
            <w:pPr>
              <w:jc w:val="center"/>
              <w:rPr>
                <w:rFonts w:ascii="Calibri" w:hAnsi="Calibri"/>
                <w:color w:val="auto"/>
                <w:szCs w:val="21"/>
              </w:rPr>
            </w:pPr>
            <w:r w:rsidRPr="00126090">
              <w:rPr>
                <w:rFonts w:ascii="Calibri" w:hAnsi="Calibri"/>
                <w:b/>
                <w:szCs w:val="21"/>
                <w:u w:val="single"/>
              </w:rPr>
              <w:t>0.00</w:t>
            </w:r>
            <w:r>
              <w:rPr>
                <w:rFonts w:ascii="Calibri" w:hAnsi="Calibri"/>
                <w:b/>
                <w:szCs w:val="21"/>
                <w:u w:val="single"/>
              </w:rPr>
              <w:t>12</w:t>
            </w:r>
          </w:p>
        </w:tc>
        <w:tc>
          <w:tcPr>
            <w:tcW w:w="1589" w:type="dxa"/>
            <w:vAlign w:val="center"/>
          </w:tcPr>
          <w:p w14:paraId="435CB414" w14:textId="7ADBF631" w:rsidR="00921255" w:rsidRPr="00C9037E" w:rsidRDefault="00921255" w:rsidP="00921255">
            <w:pPr>
              <w:jc w:val="center"/>
              <w:rPr>
                <w:rFonts w:ascii="Calibri" w:hAnsi="Calibri"/>
                <w:color w:val="auto"/>
                <w:szCs w:val="21"/>
              </w:rPr>
            </w:pPr>
            <w:r w:rsidRPr="00126090">
              <w:rPr>
                <w:rFonts w:ascii="Calibri" w:hAnsi="Calibri"/>
                <w:b/>
                <w:szCs w:val="21"/>
                <w:u w:val="single"/>
              </w:rPr>
              <w:t>0.00</w:t>
            </w:r>
            <w:r>
              <w:rPr>
                <w:rFonts w:ascii="Calibri" w:hAnsi="Calibri"/>
                <w:b/>
                <w:szCs w:val="21"/>
                <w:u w:val="single"/>
              </w:rPr>
              <w:t>84</w:t>
            </w:r>
          </w:p>
        </w:tc>
      </w:tr>
      <w:tr w:rsidR="00921255" w:rsidRPr="00A964FF" w14:paraId="4FC9E014" w14:textId="77777777" w:rsidTr="00C9037E">
        <w:trPr>
          <w:trHeight w:val="369"/>
          <w:jc w:val="center"/>
        </w:trPr>
        <w:tc>
          <w:tcPr>
            <w:tcW w:w="671" w:type="dxa"/>
            <w:vMerge/>
            <w:vAlign w:val="center"/>
          </w:tcPr>
          <w:p w14:paraId="6909B9BF" w14:textId="77777777" w:rsidR="00921255" w:rsidRPr="00A964FF" w:rsidRDefault="00921255" w:rsidP="00921255">
            <w:pPr>
              <w:jc w:val="center"/>
              <w:rPr>
                <w:rFonts w:ascii="Calibri" w:hAnsi="Calibri"/>
                <w:color w:val="auto"/>
                <w:szCs w:val="21"/>
              </w:rPr>
            </w:pPr>
          </w:p>
        </w:tc>
        <w:tc>
          <w:tcPr>
            <w:tcW w:w="2281" w:type="dxa"/>
            <w:vMerge/>
            <w:vAlign w:val="center"/>
          </w:tcPr>
          <w:p w14:paraId="3527D45D" w14:textId="77777777" w:rsidR="00921255" w:rsidRPr="00A964FF" w:rsidRDefault="00921255" w:rsidP="00921255">
            <w:pPr>
              <w:jc w:val="center"/>
              <w:rPr>
                <w:rFonts w:ascii="Calibri" w:hAnsi="Calibri"/>
                <w:color w:val="auto"/>
                <w:szCs w:val="21"/>
              </w:rPr>
            </w:pPr>
          </w:p>
        </w:tc>
        <w:tc>
          <w:tcPr>
            <w:tcW w:w="1450" w:type="dxa"/>
            <w:vAlign w:val="center"/>
          </w:tcPr>
          <w:p w14:paraId="540AD6EA" w14:textId="77777777" w:rsidR="00921255" w:rsidRPr="00EC2A80" w:rsidRDefault="00921255" w:rsidP="00921255">
            <w:pPr>
              <w:jc w:val="center"/>
              <w:rPr>
                <w:rFonts w:ascii="Calibri" w:hAnsi="Calibri"/>
                <w:color w:val="auto"/>
                <w:szCs w:val="21"/>
              </w:rPr>
            </w:pPr>
            <w:r w:rsidRPr="00EC2A80">
              <w:rPr>
                <w:rFonts w:ascii="Calibri" w:hAnsi="Calibri"/>
                <w:color w:val="auto"/>
                <w:szCs w:val="21"/>
              </w:rPr>
              <w:t>H</w:t>
            </w:r>
            <w:r w:rsidRPr="00EC2A80">
              <w:rPr>
                <w:rFonts w:ascii="Calibri" w:hAnsi="Calibri"/>
                <w:color w:val="auto"/>
                <w:szCs w:val="21"/>
                <w:vertAlign w:val="subscript"/>
              </w:rPr>
              <w:t>2</w:t>
            </w:r>
            <w:r w:rsidRPr="00EC2A80">
              <w:rPr>
                <w:rFonts w:ascii="Calibri" w:hAnsi="Calibri"/>
                <w:color w:val="auto"/>
                <w:szCs w:val="21"/>
              </w:rPr>
              <w:t>S</w:t>
            </w:r>
          </w:p>
        </w:tc>
        <w:tc>
          <w:tcPr>
            <w:tcW w:w="1544" w:type="dxa"/>
            <w:vAlign w:val="center"/>
          </w:tcPr>
          <w:p w14:paraId="3EE3B4C3" w14:textId="58F33737" w:rsidR="00921255" w:rsidRPr="00EC2A80" w:rsidRDefault="00921255" w:rsidP="00921255">
            <w:pPr>
              <w:jc w:val="center"/>
              <w:rPr>
                <w:rFonts w:ascii="Calibri" w:hAnsi="Calibri"/>
                <w:color w:val="auto"/>
                <w:szCs w:val="21"/>
              </w:rPr>
            </w:pPr>
            <w:r w:rsidRPr="00126090">
              <w:rPr>
                <w:rFonts w:ascii="Calibri" w:hAnsi="Calibri" w:hint="eastAsia"/>
                <w:b/>
                <w:szCs w:val="21"/>
                <w:u w:val="single"/>
              </w:rPr>
              <w:t>0.0</w:t>
            </w:r>
            <w:r>
              <w:rPr>
                <w:rFonts w:ascii="Calibri" w:hAnsi="Calibri"/>
                <w:b/>
                <w:szCs w:val="21"/>
                <w:u w:val="single"/>
              </w:rPr>
              <w:t>22</w:t>
            </w:r>
          </w:p>
        </w:tc>
        <w:tc>
          <w:tcPr>
            <w:tcW w:w="1402" w:type="dxa"/>
            <w:vAlign w:val="center"/>
          </w:tcPr>
          <w:p w14:paraId="409A69F1" w14:textId="06AAC79B" w:rsidR="00921255" w:rsidRPr="00C9037E" w:rsidRDefault="00921255" w:rsidP="00921255">
            <w:pPr>
              <w:jc w:val="center"/>
              <w:rPr>
                <w:rFonts w:ascii="Calibri" w:hAnsi="Calibri"/>
                <w:color w:val="auto"/>
                <w:szCs w:val="21"/>
              </w:rPr>
            </w:pPr>
            <w:r w:rsidRPr="00126090">
              <w:rPr>
                <w:rFonts w:ascii="Calibri" w:hAnsi="Calibri"/>
                <w:b/>
                <w:szCs w:val="21"/>
                <w:u w:val="single"/>
              </w:rPr>
              <w:t>0.0000</w:t>
            </w:r>
            <w:r>
              <w:rPr>
                <w:rFonts w:ascii="Calibri" w:hAnsi="Calibri"/>
                <w:b/>
                <w:szCs w:val="21"/>
                <w:u w:val="single"/>
              </w:rPr>
              <w:t>44</w:t>
            </w:r>
          </w:p>
        </w:tc>
        <w:tc>
          <w:tcPr>
            <w:tcW w:w="1589" w:type="dxa"/>
            <w:vAlign w:val="center"/>
          </w:tcPr>
          <w:p w14:paraId="7EDF18DD" w14:textId="17391F41" w:rsidR="00921255" w:rsidRPr="00C9037E" w:rsidRDefault="00921255" w:rsidP="00921255">
            <w:pPr>
              <w:jc w:val="center"/>
              <w:rPr>
                <w:rFonts w:ascii="Calibri" w:hAnsi="Calibri"/>
                <w:color w:val="auto"/>
                <w:szCs w:val="21"/>
              </w:rPr>
            </w:pPr>
            <w:r w:rsidRPr="00126090">
              <w:rPr>
                <w:rFonts w:ascii="Calibri" w:hAnsi="Calibri"/>
                <w:b/>
                <w:szCs w:val="21"/>
                <w:u w:val="single"/>
              </w:rPr>
              <w:t>0.000</w:t>
            </w:r>
            <w:r>
              <w:rPr>
                <w:rFonts w:ascii="Calibri" w:hAnsi="Calibri"/>
                <w:b/>
                <w:szCs w:val="21"/>
                <w:u w:val="single"/>
              </w:rPr>
              <w:t>32</w:t>
            </w:r>
          </w:p>
        </w:tc>
      </w:tr>
      <w:tr w:rsidR="00921255" w:rsidRPr="00A964FF" w14:paraId="751A8EF8" w14:textId="77777777" w:rsidTr="00C9037E">
        <w:trPr>
          <w:trHeight w:val="369"/>
          <w:jc w:val="center"/>
        </w:trPr>
        <w:tc>
          <w:tcPr>
            <w:tcW w:w="671" w:type="dxa"/>
            <w:vMerge/>
            <w:vAlign w:val="center"/>
          </w:tcPr>
          <w:p w14:paraId="0EA63A9B" w14:textId="77777777" w:rsidR="00921255" w:rsidRPr="00A964FF" w:rsidRDefault="00921255" w:rsidP="00921255">
            <w:pPr>
              <w:jc w:val="center"/>
              <w:rPr>
                <w:rFonts w:ascii="Calibri" w:hAnsi="Calibri"/>
                <w:color w:val="auto"/>
                <w:szCs w:val="21"/>
              </w:rPr>
            </w:pPr>
          </w:p>
        </w:tc>
        <w:tc>
          <w:tcPr>
            <w:tcW w:w="2281" w:type="dxa"/>
            <w:vMerge/>
            <w:vAlign w:val="center"/>
          </w:tcPr>
          <w:p w14:paraId="1A230FE6" w14:textId="77777777" w:rsidR="00921255" w:rsidRPr="00A964FF" w:rsidRDefault="00921255" w:rsidP="00921255">
            <w:pPr>
              <w:jc w:val="center"/>
              <w:rPr>
                <w:rFonts w:ascii="Calibri" w:hAnsi="Calibri"/>
                <w:color w:val="auto"/>
                <w:szCs w:val="21"/>
              </w:rPr>
            </w:pPr>
          </w:p>
        </w:tc>
        <w:tc>
          <w:tcPr>
            <w:tcW w:w="1450" w:type="dxa"/>
            <w:vAlign w:val="center"/>
          </w:tcPr>
          <w:p w14:paraId="4E2597E3" w14:textId="77777777" w:rsidR="00921255" w:rsidRPr="00EC2A80" w:rsidRDefault="00921255" w:rsidP="00921255">
            <w:pPr>
              <w:jc w:val="center"/>
              <w:rPr>
                <w:rFonts w:ascii="Calibri" w:hAnsi="Calibri"/>
                <w:color w:val="auto"/>
                <w:szCs w:val="21"/>
              </w:rPr>
            </w:pPr>
            <w:r w:rsidRPr="00EC2A80">
              <w:rPr>
                <w:rFonts w:ascii="Calibri" w:hAnsi="Calibri" w:hint="eastAsia"/>
                <w:color w:val="auto"/>
                <w:szCs w:val="21"/>
              </w:rPr>
              <w:t>非甲烷总烃</w:t>
            </w:r>
          </w:p>
        </w:tc>
        <w:tc>
          <w:tcPr>
            <w:tcW w:w="1544" w:type="dxa"/>
            <w:vAlign w:val="center"/>
          </w:tcPr>
          <w:p w14:paraId="1340B530" w14:textId="50913E54" w:rsidR="00921255" w:rsidRPr="00EC2A80" w:rsidRDefault="00921255" w:rsidP="00921255">
            <w:pPr>
              <w:jc w:val="center"/>
              <w:rPr>
                <w:rFonts w:ascii="Calibri" w:hAnsi="Calibri"/>
                <w:color w:val="auto"/>
                <w:szCs w:val="21"/>
              </w:rPr>
            </w:pPr>
            <w:r>
              <w:rPr>
                <w:rFonts w:ascii="Calibri" w:hAnsi="Calibri"/>
                <w:b/>
                <w:szCs w:val="21"/>
                <w:u w:val="single"/>
              </w:rPr>
              <w:t>0.70</w:t>
            </w:r>
          </w:p>
        </w:tc>
        <w:tc>
          <w:tcPr>
            <w:tcW w:w="1402" w:type="dxa"/>
            <w:vAlign w:val="center"/>
          </w:tcPr>
          <w:p w14:paraId="34739E1F" w14:textId="78633741" w:rsidR="00921255" w:rsidRPr="00C9037E" w:rsidRDefault="00921255" w:rsidP="00921255">
            <w:pPr>
              <w:jc w:val="center"/>
              <w:rPr>
                <w:rFonts w:ascii="Calibri" w:hAnsi="Calibri"/>
                <w:color w:val="auto"/>
                <w:szCs w:val="21"/>
              </w:rPr>
            </w:pPr>
            <w:r w:rsidRPr="00126090">
              <w:rPr>
                <w:rFonts w:ascii="Calibri" w:hAnsi="Calibri"/>
                <w:b/>
                <w:szCs w:val="21"/>
                <w:u w:val="single"/>
              </w:rPr>
              <w:t>0.00</w:t>
            </w:r>
            <w:r>
              <w:rPr>
                <w:rFonts w:ascii="Calibri" w:hAnsi="Calibri"/>
                <w:b/>
                <w:szCs w:val="21"/>
                <w:u w:val="single"/>
              </w:rPr>
              <w:t>14</w:t>
            </w:r>
          </w:p>
        </w:tc>
        <w:tc>
          <w:tcPr>
            <w:tcW w:w="1589" w:type="dxa"/>
            <w:vAlign w:val="center"/>
          </w:tcPr>
          <w:p w14:paraId="5285E121" w14:textId="1F8E0C3B" w:rsidR="00921255" w:rsidRPr="00C9037E" w:rsidRDefault="00921255" w:rsidP="00921255">
            <w:pPr>
              <w:jc w:val="center"/>
              <w:rPr>
                <w:rFonts w:ascii="Calibri" w:hAnsi="Calibri"/>
                <w:color w:val="auto"/>
                <w:szCs w:val="21"/>
              </w:rPr>
            </w:pPr>
            <w:r w:rsidRPr="00126090">
              <w:rPr>
                <w:rFonts w:ascii="Calibri" w:hAnsi="Calibri"/>
                <w:b/>
                <w:szCs w:val="21"/>
                <w:u w:val="single"/>
              </w:rPr>
              <w:t>0.0</w:t>
            </w:r>
            <w:r>
              <w:rPr>
                <w:rFonts w:ascii="Calibri" w:hAnsi="Calibri"/>
                <w:b/>
                <w:szCs w:val="21"/>
                <w:u w:val="single"/>
              </w:rPr>
              <w:t>10</w:t>
            </w:r>
          </w:p>
        </w:tc>
      </w:tr>
      <w:tr w:rsidR="00615889" w:rsidRPr="00A964FF" w14:paraId="6B686A5C" w14:textId="77777777" w:rsidTr="00C9037E">
        <w:trPr>
          <w:trHeight w:val="369"/>
          <w:jc w:val="center"/>
        </w:trPr>
        <w:tc>
          <w:tcPr>
            <w:tcW w:w="8937" w:type="dxa"/>
            <w:gridSpan w:val="6"/>
            <w:vAlign w:val="center"/>
          </w:tcPr>
          <w:p w14:paraId="16EBB416" w14:textId="77777777" w:rsidR="00615889" w:rsidRPr="00A964FF" w:rsidRDefault="00615889" w:rsidP="00C4311A">
            <w:pPr>
              <w:jc w:val="center"/>
              <w:rPr>
                <w:rFonts w:ascii="Calibri" w:hAnsi="Calibri"/>
                <w:color w:val="auto"/>
                <w:szCs w:val="21"/>
              </w:rPr>
            </w:pPr>
            <w:r w:rsidRPr="00A964FF">
              <w:rPr>
                <w:rFonts w:ascii="Calibri" w:hAnsi="Calibri"/>
                <w:color w:val="auto"/>
                <w:szCs w:val="21"/>
              </w:rPr>
              <w:t>有组织排放总计</w:t>
            </w:r>
          </w:p>
        </w:tc>
      </w:tr>
      <w:tr w:rsidR="00921255" w:rsidRPr="00A964FF" w14:paraId="79ED058B" w14:textId="77777777" w:rsidTr="00C9037E">
        <w:trPr>
          <w:trHeight w:val="369"/>
          <w:jc w:val="center"/>
        </w:trPr>
        <w:tc>
          <w:tcPr>
            <w:tcW w:w="2952" w:type="dxa"/>
            <w:gridSpan w:val="2"/>
            <w:vMerge w:val="restart"/>
            <w:vAlign w:val="center"/>
          </w:tcPr>
          <w:p w14:paraId="1FC5385F" w14:textId="77777777" w:rsidR="00921255" w:rsidRPr="00A964FF" w:rsidRDefault="00921255" w:rsidP="00921255">
            <w:pPr>
              <w:jc w:val="center"/>
              <w:rPr>
                <w:rFonts w:ascii="Calibri" w:hAnsi="Calibri"/>
                <w:color w:val="auto"/>
                <w:szCs w:val="21"/>
              </w:rPr>
            </w:pPr>
            <w:r w:rsidRPr="00A964FF">
              <w:rPr>
                <w:rFonts w:ascii="Calibri" w:hAnsi="Calibri"/>
                <w:color w:val="auto"/>
                <w:szCs w:val="21"/>
              </w:rPr>
              <w:t>有组织排放合计</w:t>
            </w:r>
          </w:p>
        </w:tc>
        <w:tc>
          <w:tcPr>
            <w:tcW w:w="4396" w:type="dxa"/>
            <w:gridSpan w:val="3"/>
            <w:vAlign w:val="center"/>
          </w:tcPr>
          <w:p w14:paraId="6C104C2E" w14:textId="77777777" w:rsidR="00921255" w:rsidRPr="00C9037E" w:rsidRDefault="00921255" w:rsidP="00921255">
            <w:pPr>
              <w:jc w:val="center"/>
              <w:rPr>
                <w:rFonts w:ascii="Calibri" w:hAnsi="Calibri"/>
                <w:color w:val="auto"/>
                <w:szCs w:val="21"/>
              </w:rPr>
            </w:pPr>
            <w:r w:rsidRPr="00C9037E">
              <w:rPr>
                <w:rFonts w:ascii="Calibri" w:hAnsi="Calibri" w:hint="eastAsia"/>
                <w:color w:val="auto"/>
                <w:szCs w:val="21"/>
              </w:rPr>
              <w:t>己二胺</w:t>
            </w:r>
          </w:p>
        </w:tc>
        <w:tc>
          <w:tcPr>
            <w:tcW w:w="1589" w:type="dxa"/>
            <w:vAlign w:val="center"/>
          </w:tcPr>
          <w:p w14:paraId="48477F57" w14:textId="7EF85A41" w:rsidR="00921255" w:rsidRPr="00C9037E" w:rsidRDefault="00921255" w:rsidP="00921255">
            <w:pPr>
              <w:jc w:val="center"/>
              <w:rPr>
                <w:rFonts w:ascii="Calibri" w:hAnsi="Calibri"/>
                <w:color w:val="auto"/>
                <w:szCs w:val="21"/>
              </w:rPr>
            </w:pPr>
            <w:r w:rsidRPr="00CE1FD8">
              <w:rPr>
                <w:rFonts w:ascii="Calibri" w:hAnsi="Calibri"/>
                <w:b/>
                <w:color w:val="auto"/>
                <w:szCs w:val="21"/>
                <w:u w:val="single"/>
              </w:rPr>
              <w:t>0.35</w:t>
            </w:r>
          </w:p>
        </w:tc>
      </w:tr>
      <w:tr w:rsidR="00921255" w:rsidRPr="00A964FF" w14:paraId="215F2807" w14:textId="77777777" w:rsidTr="00C9037E">
        <w:trPr>
          <w:trHeight w:val="369"/>
          <w:jc w:val="center"/>
        </w:trPr>
        <w:tc>
          <w:tcPr>
            <w:tcW w:w="2952" w:type="dxa"/>
            <w:gridSpan w:val="2"/>
            <w:vMerge/>
            <w:vAlign w:val="center"/>
          </w:tcPr>
          <w:p w14:paraId="1F7A3501" w14:textId="77777777" w:rsidR="00921255" w:rsidRPr="00A964FF" w:rsidRDefault="00921255" w:rsidP="00921255">
            <w:pPr>
              <w:jc w:val="center"/>
              <w:rPr>
                <w:rFonts w:ascii="Calibri" w:hAnsi="Calibri"/>
                <w:color w:val="auto"/>
                <w:szCs w:val="21"/>
              </w:rPr>
            </w:pPr>
          </w:p>
        </w:tc>
        <w:tc>
          <w:tcPr>
            <w:tcW w:w="4396" w:type="dxa"/>
            <w:gridSpan w:val="3"/>
            <w:vAlign w:val="center"/>
          </w:tcPr>
          <w:p w14:paraId="2E5026F1" w14:textId="700499C0" w:rsidR="00921255" w:rsidRPr="00C9037E" w:rsidRDefault="00921255" w:rsidP="00921255">
            <w:pPr>
              <w:jc w:val="center"/>
              <w:rPr>
                <w:rFonts w:ascii="Calibri" w:hAnsi="Calibri"/>
                <w:color w:val="auto"/>
                <w:szCs w:val="21"/>
              </w:rPr>
            </w:pPr>
            <w:r>
              <w:rPr>
                <w:rFonts w:ascii="Calibri" w:hAnsi="Calibri"/>
                <w:color w:val="auto"/>
                <w:szCs w:val="21"/>
              </w:rPr>
              <w:t>己二酸</w:t>
            </w:r>
          </w:p>
        </w:tc>
        <w:tc>
          <w:tcPr>
            <w:tcW w:w="1589" w:type="dxa"/>
            <w:vAlign w:val="center"/>
          </w:tcPr>
          <w:p w14:paraId="53F2B6E4" w14:textId="18AB7DE8" w:rsidR="00921255" w:rsidRDefault="00921255" w:rsidP="00921255">
            <w:pPr>
              <w:jc w:val="center"/>
              <w:rPr>
                <w:rFonts w:ascii="Calibri" w:hAnsi="Calibri"/>
                <w:color w:val="auto"/>
                <w:szCs w:val="21"/>
              </w:rPr>
            </w:pPr>
            <w:r w:rsidRPr="00CE1FD8">
              <w:rPr>
                <w:rFonts w:ascii="Calibri" w:hAnsi="Calibri" w:hint="eastAsia"/>
                <w:b/>
                <w:color w:val="auto"/>
                <w:szCs w:val="21"/>
                <w:u w:val="single"/>
              </w:rPr>
              <w:t>0.055</w:t>
            </w:r>
          </w:p>
        </w:tc>
      </w:tr>
      <w:tr w:rsidR="00C9037E" w:rsidRPr="00A964FF" w14:paraId="4CB12B45" w14:textId="77777777" w:rsidTr="00C9037E">
        <w:trPr>
          <w:trHeight w:val="369"/>
          <w:jc w:val="center"/>
        </w:trPr>
        <w:tc>
          <w:tcPr>
            <w:tcW w:w="2952" w:type="dxa"/>
            <w:gridSpan w:val="2"/>
            <w:vMerge/>
            <w:vAlign w:val="center"/>
          </w:tcPr>
          <w:p w14:paraId="14FA96A4" w14:textId="77777777" w:rsidR="00C9037E" w:rsidRPr="00A964FF" w:rsidRDefault="00C9037E" w:rsidP="00C9037E">
            <w:pPr>
              <w:jc w:val="center"/>
              <w:rPr>
                <w:rFonts w:ascii="Calibri" w:hAnsi="Calibri"/>
                <w:color w:val="auto"/>
                <w:szCs w:val="21"/>
              </w:rPr>
            </w:pPr>
          </w:p>
        </w:tc>
        <w:tc>
          <w:tcPr>
            <w:tcW w:w="4396" w:type="dxa"/>
            <w:gridSpan w:val="3"/>
            <w:vAlign w:val="center"/>
          </w:tcPr>
          <w:p w14:paraId="6C71CFD7"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非甲烷总烃</w:t>
            </w:r>
          </w:p>
        </w:tc>
        <w:tc>
          <w:tcPr>
            <w:tcW w:w="1589" w:type="dxa"/>
            <w:vAlign w:val="center"/>
          </w:tcPr>
          <w:p w14:paraId="653F6922" w14:textId="67AF5943" w:rsidR="00C9037E" w:rsidRPr="00C9037E" w:rsidRDefault="00921255" w:rsidP="00C9037E">
            <w:pPr>
              <w:jc w:val="center"/>
              <w:rPr>
                <w:rFonts w:ascii="Calibri" w:hAnsi="Calibri"/>
                <w:color w:val="auto"/>
                <w:szCs w:val="21"/>
              </w:rPr>
            </w:pPr>
            <w:r>
              <w:rPr>
                <w:rFonts w:ascii="Calibri" w:hAnsi="Calibri"/>
                <w:color w:val="auto"/>
                <w:szCs w:val="21"/>
              </w:rPr>
              <w:t>0.54</w:t>
            </w:r>
          </w:p>
        </w:tc>
      </w:tr>
      <w:tr w:rsidR="00C9037E" w:rsidRPr="00A964FF" w14:paraId="043E6B99" w14:textId="77777777" w:rsidTr="00C9037E">
        <w:trPr>
          <w:trHeight w:val="369"/>
          <w:jc w:val="center"/>
        </w:trPr>
        <w:tc>
          <w:tcPr>
            <w:tcW w:w="2952" w:type="dxa"/>
            <w:gridSpan w:val="2"/>
            <w:vMerge/>
            <w:vAlign w:val="center"/>
          </w:tcPr>
          <w:p w14:paraId="43D5E1D0" w14:textId="77777777" w:rsidR="00C9037E" w:rsidRPr="00A964FF" w:rsidRDefault="00C9037E" w:rsidP="00C9037E">
            <w:pPr>
              <w:jc w:val="center"/>
              <w:rPr>
                <w:rFonts w:ascii="Calibri" w:hAnsi="Calibri"/>
                <w:color w:val="auto"/>
                <w:szCs w:val="21"/>
              </w:rPr>
            </w:pPr>
          </w:p>
        </w:tc>
        <w:tc>
          <w:tcPr>
            <w:tcW w:w="4396" w:type="dxa"/>
            <w:gridSpan w:val="3"/>
            <w:vAlign w:val="center"/>
          </w:tcPr>
          <w:p w14:paraId="7F44CA0A"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氨</w:t>
            </w:r>
          </w:p>
        </w:tc>
        <w:tc>
          <w:tcPr>
            <w:tcW w:w="1589" w:type="dxa"/>
            <w:vAlign w:val="center"/>
          </w:tcPr>
          <w:p w14:paraId="0D07EDE7" w14:textId="40B796BF" w:rsidR="00C9037E" w:rsidRPr="00C9037E" w:rsidRDefault="007E62BE" w:rsidP="00CE7805">
            <w:pPr>
              <w:jc w:val="center"/>
              <w:rPr>
                <w:rFonts w:ascii="Calibri" w:hAnsi="Calibri"/>
                <w:color w:val="auto"/>
                <w:szCs w:val="21"/>
              </w:rPr>
            </w:pPr>
            <w:r>
              <w:rPr>
                <w:rFonts w:ascii="Calibri" w:hAnsi="Calibri"/>
                <w:color w:val="auto"/>
                <w:szCs w:val="21"/>
              </w:rPr>
              <w:t>0.0132</w:t>
            </w:r>
          </w:p>
        </w:tc>
      </w:tr>
      <w:tr w:rsidR="004B4EAC" w:rsidRPr="00A964FF" w14:paraId="15454410" w14:textId="77777777" w:rsidTr="00C9037E">
        <w:trPr>
          <w:trHeight w:val="369"/>
          <w:jc w:val="center"/>
        </w:trPr>
        <w:tc>
          <w:tcPr>
            <w:tcW w:w="2952" w:type="dxa"/>
            <w:gridSpan w:val="2"/>
            <w:vMerge/>
            <w:vAlign w:val="center"/>
          </w:tcPr>
          <w:p w14:paraId="69B2744B" w14:textId="77777777" w:rsidR="004B4EAC" w:rsidRPr="00A964FF" w:rsidRDefault="004B4EAC" w:rsidP="00C4311A">
            <w:pPr>
              <w:jc w:val="center"/>
              <w:rPr>
                <w:rFonts w:ascii="Calibri" w:hAnsi="Calibri"/>
                <w:color w:val="auto"/>
                <w:szCs w:val="21"/>
              </w:rPr>
            </w:pPr>
          </w:p>
        </w:tc>
        <w:tc>
          <w:tcPr>
            <w:tcW w:w="4396" w:type="dxa"/>
            <w:gridSpan w:val="3"/>
            <w:vAlign w:val="center"/>
          </w:tcPr>
          <w:p w14:paraId="7E24456C" w14:textId="77777777" w:rsidR="004B4EAC" w:rsidRPr="00C9037E" w:rsidRDefault="00C9037E" w:rsidP="004B4EAC">
            <w:pPr>
              <w:jc w:val="center"/>
              <w:rPr>
                <w:rFonts w:ascii="Calibri" w:hAnsi="Calibri"/>
                <w:color w:val="auto"/>
                <w:szCs w:val="21"/>
              </w:rPr>
            </w:pPr>
            <w:r w:rsidRPr="00C9037E">
              <w:rPr>
                <w:rFonts w:ascii="Calibri" w:hAnsi="Calibri" w:hint="eastAsia"/>
                <w:color w:val="auto"/>
                <w:szCs w:val="21"/>
              </w:rPr>
              <w:t>颗粒物</w:t>
            </w:r>
          </w:p>
        </w:tc>
        <w:tc>
          <w:tcPr>
            <w:tcW w:w="1589" w:type="dxa"/>
            <w:vAlign w:val="center"/>
          </w:tcPr>
          <w:p w14:paraId="50883AD1" w14:textId="77777777" w:rsidR="004B4EAC" w:rsidRPr="00C9037E" w:rsidRDefault="007E3F9E" w:rsidP="00AD0BDD">
            <w:pPr>
              <w:jc w:val="center"/>
              <w:rPr>
                <w:rFonts w:ascii="Calibri" w:hAnsi="Calibri"/>
                <w:color w:val="auto"/>
                <w:szCs w:val="21"/>
              </w:rPr>
            </w:pPr>
            <w:r w:rsidRPr="00C9037E">
              <w:rPr>
                <w:rFonts w:ascii="Calibri" w:hAnsi="Calibri"/>
                <w:color w:val="auto"/>
                <w:szCs w:val="21"/>
              </w:rPr>
              <w:t>0.0</w:t>
            </w:r>
            <w:r w:rsidR="00AD0BDD">
              <w:rPr>
                <w:rFonts w:ascii="Calibri" w:hAnsi="Calibri"/>
                <w:color w:val="auto"/>
                <w:szCs w:val="21"/>
              </w:rPr>
              <w:t>44</w:t>
            </w:r>
          </w:p>
        </w:tc>
      </w:tr>
      <w:tr w:rsidR="00C9037E" w:rsidRPr="00A964FF" w14:paraId="00FC42B7" w14:textId="77777777" w:rsidTr="00C9037E">
        <w:trPr>
          <w:trHeight w:val="369"/>
          <w:jc w:val="center"/>
        </w:trPr>
        <w:tc>
          <w:tcPr>
            <w:tcW w:w="2952" w:type="dxa"/>
            <w:gridSpan w:val="2"/>
            <w:vMerge/>
            <w:vAlign w:val="center"/>
          </w:tcPr>
          <w:p w14:paraId="1D50CF04" w14:textId="77777777" w:rsidR="00C9037E" w:rsidRPr="00A964FF" w:rsidRDefault="00C9037E" w:rsidP="00C9037E">
            <w:pPr>
              <w:jc w:val="center"/>
              <w:rPr>
                <w:rFonts w:ascii="Calibri" w:hAnsi="Calibri"/>
                <w:color w:val="auto"/>
                <w:szCs w:val="21"/>
              </w:rPr>
            </w:pPr>
          </w:p>
        </w:tc>
        <w:tc>
          <w:tcPr>
            <w:tcW w:w="4396" w:type="dxa"/>
            <w:gridSpan w:val="3"/>
            <w:vAlign w:val="center"/>
          </w:tcPr>
          <w:p w14:paraId="40227E95" w14:textId="77777777" w:rsidR="00C9037E" w:rsidRPr="00C9037E" w:rsidRDefault="00C9037E" w:rsidP="00C9037E">
            <w:pPr>
              <w:jc w:val="center"/>
              <w:rPr>
                <w:rFonts w:ascii="Calibri" w:hAnsi="Calibri"/>
                <w:color w:val="auto"/>
                <w:szCs w:val="21"/>
              </w:rPr>
            </w:pPr>
            <w:r w:rsidRPr="00C9037E">
              <w:rPr>
                <w:rFonts w:ascii="Calibri" w:hAnsi="Calibri"/>
                <w:color w:val="auto"/>
                <w:szCs w:val="21"/>
              </w:rPr>
              <w:t>SO</w:t>
            </w:r>
            <w:r w:rsidRPr="00C9037E">
              <w:rPr>
                <w:rFonts w:ascii="Calibri" w:hAnsi="Calibri"/>
                <w:color w:val="auto"/>
                <w:szCs w:val="21"/>
                <w:vertAlign w:val="subscript"/>
              </w:rPr>
              <w:t>2</w:t>
            </w:r>
          </w:p>
        </w:tc>
        <w:tc>
          <w:tcPr>
            <w:tcW w:w="1589" w:type="dxa"/>
            <w:vAlign w:val="center"/>
          </w:tcPr>
          <w:p w14:paraId="065EE177" w14:textId="77777777" w:rsidR="00C9037E" w:rsidRPr="00C9037E" w:rsidRDefault="00C9037E" w:rsidP="00C9037E">
            <w:pPr>
              <w:jc w:val="center"/>
              <w:rPr>
                <w:rFonts w:ascii="Calibri" w:hAnsi="Calibri"/>
                <w:color w:val="auto"/>
                <w:szCs w:val="21"/>
              </w:rPr>
            </w:pPr>
            <w:r w:rsidRPr="00C9037E">
              <w:rPr>
                <w:rFonts w:ascii="Calibri" w:hAnsi="Calibri"/>
                <w:color w:val="auto"/>
                <w:szCs w:val="21"/>
              </w:rPr>
              <w:t>0.067</w:t>
            </w:r>
          </w:p>
        </w:tc>
      </w:tr>
      <w:tr w:rsidR="00C9037E" w:rsidRPr="00A964FF" w14:paraId="700B2FEB" w14:textId="77777777" w:rsidTr="00C9037E">
        <w:trPr>
          <w:trHeight w:val="369"/>
          <w:jc w:val="center"/>
        </w:trPr>
        <w:tc>
          <w:tcPr>
            <w:tcW w:w="2952" w:type="dxa"/>
            <w:gridSpan w:val="2"/>
            <w:vMerge/>
            <w:vAlign w:val="center"/>
          </w:tcPr>
          <w:p w14:paraId="68980799" w14:textId="77777777" w:rsidR="00C9037E" w:rsidRPr="00A964FF" w:rsidRDefault="00C9037E" w:rsidP="00C9037E">
            <w:pPr>
              <w:jc w:val="center"/>
              <w:rPr>
                <w:rFonts w:ascii="Calibri" w:hAnsi="Calibri"/>
                <w:color w:val="auto"/>
                <w:szCs w:val="21"/>
              </w:rPr>
            </w:pPr>
          </w:p>
        </w:tc>
        <w:tc>
          <w:tcPr>
            <w:tcW w:w="4396" w:type="dxa"/>
            <w:gridSpan w:val="3"/>
            <w:vAlign w:val="center"/>
          </w:tcPr>
          <w:p w14:paraId="2B685D5D" w14:textId="77777777" w:rsidR="00C9037E" w:rsidRPr="00C9037E" w:rsidRDefault="00C9037E" w:rsidP="00C9037E">
            <w:pPr>
              <w:jc w:val="center"/>
              <w:rPr>
                <w:rFonts w:ascii="Calibri" w:hAnsi="Calibri"/>
                <w:color w:val="auto"/>
                <w:szCs w:val="21"/>
              </w:rPr>
            </w:pPr>
            <w:r w:rsidRPr="00C9037E">
              <w:rPr>
                <w:rFonts w:ascii="Calibri" w:hAnsi="Calibri"/>
                <w:color w:val="auto"/>
                <w:szCs w:val="21"/>
              </w:rPr>
              <w:t>NOx</w:t>
            </w:r>
          </w:p>
        </w:tc>
        <w:tc>
          <w:tcPr>
            <w:tcW w:w="1589" w:type="dxa"/>
            <w:vAlign w:val="center"/>
          </w:tcPr>
          <w:p w14:paraId="5DD2837D" w14:textId="77777777" w:rsidR="00C9037E" w:rsidRPr="00C9037E" w:rsidRDefault="00C9037E" w:rsidP="00C9037E">
            <w:pPr>
              <w:jc w:val="center"/>
              <w:rPr>
                <w:rFonts w:ascii="Calibri" w:hAnsi="Calibri"/>
                <w:color w:val="auto"/>
                <w:szCs w:val="21"/>
              </w:rPr>
            </w:pPr>
            <w:r w:rsidRPr="00C9037E">
              <w:rPr>
                <w:rFonts w:ascii="Calibri" w:hAnsi="Calibri"/>
                <w:color w:val="auto"/>
                <w:szCs w:val="21"/>
              </w:rPr>
              <w:t>0.51</w:t>
            </w:r>
          </w:p>
        </w:tc>
      </w:tr>
      <w:tr w:rsidR="007E62BE" w:rsidRPr="00A964FF" w14:paraId="7353B1DD" w14:textId="77777777" w:rsidTr="00C9037E">
        <w:trPr>
          <w:trHeight w:val="369"/>
          <w:jc w:val="center"/>
        </w:trPr>
        <w:tc>
          <w:tcPr>
            <w:tcW w:w="2952" w:type="dxa"/>
            <w:gridSpan w:val="2"/>
            <w:vMerge/>
            <w:vAlign w:val="center"/>
          </w:tcPr>
          <w:p w14:paraId="783A3E95" w14:textId="77777777" w:rsidR="007E62BE" w:rsidRPr="00A964FF" w:rsidRDefault="007E62BE" w:rsidP="007E62BE">
            <w:pPr>
              <w:jc w:val="center"/>
              <w:rPr>
                <w:rFonts w:ascii="Calibri" w:hAnsi="Calibri"/>
                <w:color w:val="auto"/>
                <w:szCs w:val="21"/>
              </w:rPr>
            </w:pPr>
          </w:p>
        </w:tc>
        <w:tc>
          <w:tcPr>
            <w:tcW w:w="4396" w:type="dxa"/>
            <w:gridSpan w:val="3"/>
            <w:vAlign w:val="center"/>
          </w:tcPr>
          <w:p w14:paraId="6D7FCFD7" w14:textId="77777777" w:rsidR="007E62BE" w:rsidRPr="00C9037E" w:rsidRDefault="007E62BE" w:rsidP="007E62BE">
            <w:pPr>
              <w:jc w:val="center"/>
              <w:rPr>
                <w:rFonts w:ascii="Calibri" w:hAnsi="Calibri"/>
                <w:color w:val="auto"/>
                <w:szCs w:val="21"/>
              </w:rPr>
            </w:pPr>
            <w:r w:rsidRPr="00C9037E">
              <w:rPr>
                <w:rFonts w:ascii="Calibri" w:hAnsi="Calibri"/>
                <w:color w:val="auto"/>
                <w:szCs w:val="21"/>
              </w:rPr>
              <w:t>H</w:t>
            </w:r>
            <w:r w:rsidRPr="00C9037E">
              <w:rPr>
                <w:rFonts w:ascii="Calibri" w:hAnsi="Calibri"/>
                <w:color w:val="auto"/>
                <w:szCs w:val="21"/>
                <w:vertAlign w:val="subscript"/>
              </w:rPr>
              <w:t>2</w:t>
            </w:r>
            <w:r w:rsidRPr="00C9037E">
              <w:rPr>
                <w:rFonts w:ascii="Calibri" w:hAnsi="Calibri"/>
                <w:color w:val="auto"/>
                <w:szCs w:val="21"/>
              </w:rPr>
              <w:t>S</w:t>
            </w:r>
          </w:p>
        </w:tc>
        <w:tc>
          <w:tcPr>
            <w:tcW w:w="1589" w:type="dxa"/>
            <w:vAlign w:val="center"/>
          </w:tcPr>
          <w:p w14:paraId="5B5552BB" w14:textId="64FCBA3F" w:rsidR="007E62BE" w:rsidRPr="00C9037E" w:rsidRDefault="007E62BE" w:rsidP="007E62BE">
            <w:pPr>
              <w:jc w:val="center"/>
              <w:rPr>
                <w:rFonts w:ascii="Calibri" w:hAnsi="Calibri"/>
                <w:color w:val="auto"/>
                <w:szCs w:val="21"/>
              </w:rPr>
            </w:pPr>
            <w:r w:rsidRPr="00126090">
              <w:rPr>
                <w:rFonts w:ascii="Calibri" w:hAnsi="Calibri"/>
                <w:b/>
                <w:szCs w:val="21"/>
                <w:u w:val="single"/>
              </w:rPr>
              <w:t>0.000</w:t>
            </w:r>
            <w:r>
              <w:rPr>
                <w:rFonts w:ascii="Calibri" w:hAnsi="Calibri"/>
                <w:b/>
                <w:szCs w:val="21"/>
                <w:u w:val="single"/>
              </w:rPr>
              <w:t>32</w:t>
            </w:r>
          </w:p>
        </w:tc>
      </w:tr>
    </w:tbl>
    <w:p w14:paraId="6CDB54A2" w14:textId="77777777" w:rsidR="009058A1" w:rsidRPr="00A964FF" w:rsidRDefault="009058A1" w:rsidP="009058A1">
      <w:pPr>
        <w:spacing w:line="520" w:lineRule="exact"/>
        <w:ind w:firstLine="573"/>
        <w:rPr>
          <w:rFonts w:ascii="Calibri" w:hAnsi="Calibri"/>
          <w:noProof/>
          <w:color w:val="auto"/>
          <w:sz w:val="24"/>
        </w:rPr>
      </w:pPr>
      <w:r w:rsidRPr="00A964FF">
        <w:rPr>
          <w:rFonts w:ascii="Calibri" w:hAnsi="Calibri" w:hint="eastAsia"/>
          <w:noProof/>
          <w:color w:val="auto"/>
          <w:sz w:val="24"/>
        </w:rPr>
        <w:t>本项目大气污染物无组织排放量核算见表</w:t>
      </w:r>
      <w:r w:rsidR="00B57A09" w:rsidRPr="00A964FF">
        <w:rPr>
          <w:rFonts w:ascii="Calibri" w:hAnsi="Calibri" w:hint="eastAsia"/>
          <w:noProof/>
          <w:color w:val="auto"/>
          <w:sz w:val="24"/>
        </w:rPr>
        <w:t>7</w:t>
      </w:r>
      <w:r w:rsidRPr="00A964FF">
        <w:rPr>
          <w:rFonts w:ascii="Calibri" w:hAnsi="Calibri" w:hint="eastAsia"/>
          <w:noProof/>
          <w:color w:val="auto"/>
          <w:sz w:val="24"/>
        </w:rPr>
        <w:t>.1-3</w:t>
      </w:r>
      <w:r w:rsidRPr="00A964FF">
        <w:rPr>
          <w:rFonts w:ascii="Calibri" w:hAnsi="Calibri" w:hint="eastAsia"/>
          <w:noProof/>
          <w:color w:val="auto"/>
          <w:sz w:val="24"/>
        </w:rPr>
        <w:t>。</w:t>
      </w:r>
    </w:p>
    <w:p w14:paraId="354AB3AD" w14:textId="77777777" w:rsidR="009058A1" w:rsidRPr="00A964FF" w:rsidRDefault="009058A1" w:rsidP="009058A1">
      <w:pPr>
        <w:spacing w:line="520" w:lineRule="exact"/>
        <w:ind w:firstLine="573"/>
        <w:rPr>
          <w:rFonts w:ascii="Calibri" w:eastAsia="黑体" w:hAnsi="Calibri"/>
          <w:color w:val="auto"/>
          <w:sz w:val="24"/>
        </w:rPr>
      </w:pPr>
      <w:r w:rsidRPr="00A964FF">
        <w:rPr>
          <w:rFonts w:ascii="Calibri" w:eastAsia="黑体" w:hAnsi="Calibri"/>
          <w:color w:val="auto"/>
          <w:sz w:val="24"/>
        </w:rPr>
        <w:t>表</w:t>
      </w:r>
      <w:r w:rsidR="00B57A09" w:rsidRPr="00A964FF">
        <w:rPr>
          <w:rFonts w:ascii="Calibri" w:eastAsia="黑体" w:hAnsi="Calibri" w:hint="eastAsia"/>
          <w:color w:val="auto"/>
          <w:sz w:val="24"/>
        </w:rPr>
        <w:t>7</w:t>
      </w:r>
      <w:r w:rsidRPr="00A964FF">
        <w:rPr>
          <w:rFonts w:ascii="Calibri" w:eastAsia="黑体" w:hAnsi="Calibri" w:hint="eastAsia"/>
          <w:color w:val="auto"/>
          <w:sz w:val="24"/>
        </w:rPr>
        <w:t>.1</w:t>
      </w:r>
      <w:r w:rsidRPr="00A964FF">
        <w:rPr>
          <w:rFonts w:ascii="Calibri" w:eastAsia="黑体" w:hAnsi="Calibri"/>
          <w:color w:val="auto"/>
          <w:sz w:val="24"/>
        </w:rPr>
        <w:t>-</w:t>
      </w:r>
      <w:r w:rsidRPr="00A964FF">
        <w:rPr>
          <w:rFonts w:ascii="Calibri" w:eastAsia="黑体" w:hAnsi="Calibri" w:hint="eastAsia"/>
          <w:color w:val="auto"/>
          <w:sz w:val="24"/>
        </w:rPr>
        <w:t>3</w:t>
      </w:r>
      <w:r w:rsidRPr="00A964FF">
        <w:rPr>
          <w:rFonts w:ascii="Calibri" w:eastAsia="黑体" w:hAnsi="Calibri"/>
          <w:color w:val="auto"/>
          <w:sz w:val="24"/>
        </w:rPr>
        <w:t xml:space="preserve">             </w:t>
      </w:r>
      <w:r w:rsidRPr="00A964FF">
        <w:rPr>
          <w:rFonts w:ascii="Calibri" w:eastAsia="黑体" w:hAnsi="Calibri"/>
          <w:color w:val="auto"/>
          <w:sz w:val="24"/>
        </w:rPr>
        <w:t>大气污染物无组织排放量核算表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35"/>
        <w:gridCol w:w="1082"/>
        <w:gridCol w:w="1665"/>
        <w:gridCol w:w="1817"/>
        <w:gridCol w:w="2020"/>
        <w:gridCol w:w="1481"/>
      </w:tblGrid>
      <w:tr w:rsidR="004B4EAC" w:rsidRPr="00A964FF" w14:paraId="7123A3F8" w14:textId="77777777" w:rsidTr="004B4EAC">
        <w:trPr>
          <w:trHeight w:val="340"/>
          <w:jc w:val="center"/>
        </w:trPr>
        <w:tc>
          <w:tcPr>
            <w:tcW w:w="365" w:type="pct"/>
            <w:vMerge w:val="restart"/>
            <w:vAlign w:val="center"/>
          </w:tcPr>
          <w:p w14:paraId="0DDBD230" w14:textId="77777777" w:rsidR="004B4EAC" w:rsidRPr="00A964FF" w:rsidRDefault="004B4EAC" w:rsidP="00C4311A">
            <w:pPr>
              <w:jc w:val="center"/>
              <w:rPr>
                <w:rFonts w:ascii="Calibri" w:hAnsi="Calibri"/>
                <w:color w:val="auto"/>
                <w:szCs w:val="21"/>
              </w:rPr>
            </w:pPr>
            <w:r w:rsidRPr="00A964FF">
              <w:rPr>
                <w:rFonts w:ascii="Calibri" w:hAnsi="Calibri"/>
                <w:color w:val="auto"/>
                <w:szCs w:val="21"/>
              </w:rPr>
              <w:t>序号</w:t>
            </w:r>
          </w:p>
        </w:tc>
        <w:tc>
          <w:tcPr>
            <w:tcW w:w="622" w:type="pct"/>
            <w:vMerge w:val="restart"/>
            <w:vAlign w:val="center"/>
          </w:tcPr>
          <w:p w14:paraId="451B22DA" w14:textId="77777777" w:rsidR="004B4EAC" w:rsidRPr="00A964FF" w:rsidRDefault="004B4EAC" w:rsidP="00C4311A">
            <w:pPr>
              <w:jc w:val="center"/>
              <w:rPr>
                <w:rFonts w:ascii="Calibri" w:hAnsi="Calibri"/>
                <w:color w:val="auto"/>
                <w:szCs w:val="21"/>
              </w:rPr>
            </w:pPr>
            <w:r w:rsidRPr="00A964FF">
              <w:rPr>
                <w:rFonts w:ascii="Calibri" w:hAnsi="Calibri"/>
                <w:color w:val="auto"/>
                <w:szCs w:val="21"/>
              </w:rPr>
              <w:t>排放口编号</w:t>
            </w:r>
          </w:p>
        </w:tc>
        <w:tc>
          <w:tcPr>
            <w:tcW w:w="957" w:type="pct"/>
            <w:vMerge w:val="restart"/>
            <w:vAlign w:val="center"/>
          </w:tcPr>
          <w:p w14:paraId="3D14CD80" w14:textId="77777777" w:rsidR="004B4EAC" w:rsidRPr="00A964FF" w:rsidRDefault="004B4EAC" w:rsidP="00C4311A">
            <w:pPr>
              <w:jc w:val="center"/>
              <w:rPr>
                <w:rFonts w:ascii="Calibri" w:hAnsi="Calibri"/>
                <w:color w:val="auto"/>
                <w:szCs w:val="21"/>
              </w:rPr>
            </w:pPr>
            <w:r w:rsidRPr="00A964FF">
              <w:rPr>
                <w:rFonts w:ascii="Calibri" w:hAnsi="Calibri"/>
                <w:color w:val="auto"/>
                <w:szCs w:val="21"/>
              </w:rPr>
              <w:t>产污</w:t>
            </w:r>
          </w:p>
          <w:p w14:paraId="621C8C34" w14:textId="77777777" w:rsidR="004B4EAC" w:rsidRPr="00A964FF" w:rsidRDefault="004B4EAC" w:rsidP="00C4311A">
            <w:pPr>
              <w:jc w:val="center"/>
              <w:rPr>
                <w:rFonts w:ascii="Calibri" w:hAnsi="Calibri"/>
                <w:color w:val="auto"/>
                <w:szCs w:val="21"/>
              </w:rPr>
            </w:pPr>
            <w:r w:rsidRPr="00A964FF">
              <w:rPr>
                <w:rFonts w:ascii="Calibri" w:hAnsi="Calibri"/>
                <w:color w:val="auto"/>
                <w:szCs w:val="21"/>
              </w:rPr>
              <w:t>环节</w:t>
            </w:r>
          </w:p>
        </w:tc>
        <w:tc>
          <w:tcPr>
            <w:tcW w:w="1044" w:type="pct"/>
            <w:vMerge w:val="restart"/>
            <w:vAlign w:val="center"/>
          </w:tcPr>
          <w:p w14:paraId="7C3B8586" w14:textId="77777777" w:rsidR="004B4EAC" w:rsidRPr="00A964FF" w:rsidRDefault="004B4EAC" w:rsidP="00C4311A">
            <w:pPr>
              <w:jc w:val="center"/>
              <w:rPr>
                <w:rFonts w:ascii="Calibri" w:hAnsi="Calibri"/>
                <w:color w:val="auto"/>
                <w:szCs w:val="21"/>
              </w:rPr>
            </w:pPr>
            <w:r w:rsidRPr="00A964FF">
              <w:rPr>
                <w:rFonts w:ascii="Calibri" w:hAnsi="Calibri"/>
                <w:color w:val="auto"/>
                <w:szCs w:val="21"/>
              </w:rPr>
              <w:t>污染物</w:t>
            </w:r>
          </w:p>
        </w:tc>
        <w:tc>
          <w:tcPr>
            <w:tcW w:w="1161" w:type="pct"/>
            <w:vMerge w:val="restart"/>
            <w:vAlign w:val="center"/>
          </w:tcPr>
          <w:p w14:paraId="127E4F55" w14:textId="77777777" w:rsidR="004B4EAC" w:rsidRPr="00A964FF" w:rsidRDefault="004B4EAC" w:rsidP="00C4311A">
            <w:pPr>
              <w:jc w:val="center"/>
              <w:rPr>
                <w:rFonts w:ascii="Calibri" w:hAnsi="Calibri"/>
                <w:color w:val="auto"/>
                <w:szCs w:val="21"/>
              </w:rPr>
            </w:pPr>
            <w:r w:rsidRPr="00A964FF">
              <w:rPr>
                <w:rFonts w:ascii="Calibri" w:hAnsi="Calibri"/>
                <w:color w:val="auto"/>
                <w:szCs w:val="21"/>
              </w:rPr>
              <w:t>主要污染防治措施</w:t>
            </w:r>
          </w:p>
        </w:tc>
        <w:tc>
          <w:tcPr>
            <w:tcW w:w="851" w:type="pct"/>
            <w:vMerge w:val="restart"/>
            <w:vAlign w:val="center"/>
          </w:tcPr>
          <w:p w14:paraId="12B627DA" w14:textId="77777777" w:rsidR="004B4EAC" w:rsidRPr="00A964FF" w:rsidRDefault="004B4EAC" w:rsidP="00C4311A">
            <w:pPr>
              <w:jc w:val="center"/>
              <w:rPr>
                <w:rFonts w:ascii="Calibri" w:hAnsi="Calibri"/>
                <w:color w:val="auto"/>
                <w:szCs w:val="21"/>
              </w:rPr>
            </w:pPr>
            <w:r w:rsidRPr="00A964FF">
              <w:rPr>
                <w:rFonts w:ascii="Calibri" w:hAnsi="Calibri"/>
                <w:color w:val="auto"/>
                <w:szCs w:val="21"/>
              </w:rPr>
              <w:t>年排放量（</w:t>
            </w:r>
            <w:r w:rsidRPr="00A964FF">
              <w:rPr>
                <w:rFonts w:ascii="Calibri" w:hAnsi="Calibri"/>
                <w:color w:val="auto"/>
                <w:szCs w:val="21"/>
              </w:rPr>
              <w:t>t/a</w:t>
            </w:r>
            <w:r w:rsidRPr="00A964FF">
              <w:rPr>
                <w:rFonts w:ascii="Calibri" w:hAnsi="Calibri"/>
                <w:color w:val="auto"/>
                <w:szCs w:val="21"/>
              </w:rPr>
              <w:t>）</w:t>
            </w:r>
          </w:p>
        </w:tc>
      </w:tr>
      <w:tr w:rsidR="004B4EAC" w:rsidRPr="00A964FF" w14:paraId="34DE9EAC" w14:textId="77777777" w:rsidTr="004B4EAC">
        <w:trPr>
          <w:trHeight w:val="340"/>
          <w:jc w:val="center"/>
        </w:trPr>
        <w:tc>
          <w:tcPr>
            <w:tcW w:w="365" w:type="pct"/>
            <w:vMerge/>
            <w:vAlign w:val="center"/>
          </w:tcPr>
          <w:p w14:paraId="7F564FC2" w14:textId="77777777" w:rsidR="004B4EAC" w:rsidRPr="00A964FF" w:rsidRDefault="004B4EAC" w:rsidP="00C4311A">
            <w:pPr>
              <w:jc w:val="center"/>
              <w:rPr>
                <w:rFonts w:ascii="Calibri" w:hAnsi="Calibri"/>
                <w:color w:val="auto"/>
                <w:szCs w:val="21"/>
              </w:rPr>
            </w:pPr>
          </w:p>
        </w:tc>
        <w:tc>
          <w:tcPr>
            <w:tcW w:w="622" w:type="pct"/>
            <w:vMerge/>
            <w:vAlign w:val="center"/>
          </w:tcPr>
          <w:p w14:paraId="2D3ED09F" w14:textId="77777777" w:rsidR="004B4EAC" w:rsidRPr="00A964FF" w:rsidRDefault="004B4EAC" w:rsidP="00C4311A">
            <w:pPr>
              <w:jc w:val="center"/>
              <w:rPr>
                <w:rFonts w:ascii="Calibri" w:hAnsi="Calibri"/>
                <w:color w:val="auto"/>
                <w:szCs w:val="21"/>
              </w:rPr>
            </w:pPr>
          </w:p>
        </w:tc>
        <w:tc>
          <w:tcPr>
            <w:tcW w:w="957" w:type="pct"/>
            <w:vMerge/>
            <w:vAlign w:val="center"/>
          </w:tcPr>
          <w:p w14:paraId="5DD62313" w14:textId="77777777" w:rsidR="004B4EAC" w:rsidRPr="00A964FF" w:rsidRDefault="004B4EAC" w:rsidP="00C4311A">
            <w:pPr>
              <w:jc w:val="center"/>
              <w:rPr>
                <w:rFonts w:ascii="Calibri" w:hAnsi="Calibri"/>
                <w:color w:val="auto"/>
                <w:szCs w:val="21"/>
              </w:rPr>
            </w:pPr>
          </w:p>
        </w:tc>
        <w:tc>
          <w:tcPr>
            <w:tcW w:w="1044" w:type="pct"/>
            <w:vMerge/>
            <w:vAlign w:val="center"/>
          </w:tcPr>
          <w:p w14:paraId="7B0C7C65" w14:textId="77777777" w:rsidR="004B4EAC" w:rsidRPr="00A964FF" w:rsidRDefault="004B4EAC" w:rsidP="00C4311A">
            <w:pPr>
              <w:jc w:val="center"/>
              <w:rPr>
                <w:rFonts w:ascii="Calibri" w:hAnsi="Calibri"/>
                <w:color w:val="auto"/>
                <w:szCs w:val="21"/>
              </w:rPr>
            </w:pPr>
          </w:p>
        </w:tc>
        <w:tc>
          <w:tcPr>
            <w:tcW w:w="1161" w:type="pct"/>
            <w:vMerge/>
            <w:vAlign w:val="center"/>
          </w:tcPr>
          <w:p w14:paraId="290D2F7F" w14:textId="77777777" w:rsidR="004B4EAC" w:rsidRPr="00A964FF" w:rsidRDefault="004B4EAC" w:rsidP="00C4311A">
            <w:pPr>
              <w:jc w:val="center"/>
              <w:rPr>
                <w:rFonts w:ascii="Calibri" w:hAnsi="Calibri"/>
                <w:color w:val="auto"/>
                <w:szCs w:val="21"/>
              </w:rPr>
            </w:pPr>
          </w:p>
        </w:tc>
        <w:tc>
          <w:tcPr>
            <w:tcW w:w="851" w:type="pct"/>
            <w:vMerge/>
            <w:vAlign w:val="center"/>
          </w:tcPr>
          <w:p w14:paraId="79E3D7E6" w14:textId="77777777" w:rsidR="004B4EAC" w:rsidRPr="00A964FF" w:rsidRDefault="004B4EAC" w:rsidP="00C4311A">
            <w:pPr>
              <w:jc w:val="center"/>
              <w:rPr>
                <w:rFonts w:ascii="Calibri" w:hAnsi="Calibri"/>
                <w:color w:val="auto"/>
                <w:szCs w:val="21"/>
              </w:rPr>
            </w:pPr>
          </w:p>
        </w:tc>
      </w:tr>
      <w:tr w:rsidR="00C9037E" w:rsidRPr="00A964FF" w14:paraId="6AAE4C9A" w14:textId="77777777" w:rsidTr="0002141E">
        <w:trPr>
          <w:trHeight w:val="340"/>
          <w:jc w:val="center"/>
        </w:trPr>
        <w:tc>
          <w:tcPr>
            <w:tcW w:w="365" w:type="pct"/>
            <w:vMerge w:val="restart"/>
            <w:vAlign w:val="center"/>
          </w:tcPr>
          <w:p w14:paraId="5B79F9BC" w14:textId="77777777" w:rsidR="00C9037E" w:rsidRPr="00A964FF" w:rsidRDefault="00C9037E" w:rsidP="00C9037E">
            <w:pPr>
              <w:jc w:val="center"/>
              <w:rPr>
                <w:rFonts w:ascii="Calibri" w:hAnsi="Calibri"/>
                <w:color w:val="auto"/>
                <w:szCs w:val="21"/>
              </w:rPr>
            </w:pPr>
            <w:r w:rsidRPr="00A964FF">
              <w:rPr>
                <w:rFonts w:ascii="Calibri" w:hAnsi="Calibri"/>
                <w:color w:val="auto"/>
                <w:szCs w:val="21"/>
              </w:rPr>
              <w:t>1</w:t>
            </w:r>
          </w:p>
        </w:tc>
        <w:tc>
          <w:tcPr>
            <w:tcW w:w="622" w:type="pct"/>
            <w:vMerge w:val="restart"/>
            <w:vAlign w:val="center"/>
          </w:tcPr>
          <w:p w14:paraId="716E858C" w14:textId="77777777" w:rsidR="00C9037E" w:rsidRPr="00A964FF" w:rsidRDefault="00C9037E" w:rsidP="00C9037E">
            <w:pPr>
              <w:jc w:val="center"/>
              <w:rPr>
                <w:rFonts w:ascii="Calibri" w:hAnsi="Calibri"/>
                <w:color w:val="auto"/>
                <w:szCs w:val="21"/>
              </w:rPr>
            </w:pPr>
            <w:r w:rsidRPr="00A964FF">
              <w:rPr>
                <w:rFonts w:ascii="Calibri" w:hAnsi="Calibri"/>
                <w:color w:val="auto"/>
                <w:szCs w:val="21"/>
              </w:rPr>
              <w:t>/</w:t>
            </w:r>
          </w:p>
        </w:tc>
        <w:tc>
          <w:tcPr>
            <w:tcW w:w="957" w:type="pct"/>
            <w:vMerge w:val="restart"/>
            <w:vAlign w:val="center"/>
          </w:tcPr>
          <w:p w14:paraId="38064D69" w14:textId="77777777" w:rsidR="00C9037E" w:rsidRPr="00A964FF" w:rsidRDefault="00C9037E" w:rsidP="00C9037E">
            <w:pPr>
              <w:jc w:val="center"/>
              <w:rPr>
                <w:rFonts w:ascii="Calibri" w:hAnsi="Calibri"/>
                <w:color w:val="auto"/>
                <w:szCs w:val="21"/>
              </w:rPr>
            </w:pPr>
            <w:r w:rsidRPr="00A964FF">
              <w:rPr>
                <w:rFonts w:ascii="Calibri" w:hAnsi="Calibri" w:hint="eastAsia"/>
                <w:color w:val="auto"/>
                <w:szCs w:val="21"/>
              </w:rPr>
              <w:t>生产区</w:t>
            </w:r>
          </w:p>
        </w:tc>
        <w:tc>
          <w:tcPr>
            <w:tcW w:w="1044" w:type="pct"/>
          </w:tcPr>
          <w:p w14:paraId="64D4913B"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颗粒物</w:t>
            </w:r>
          </w:p>
        </w:tc>
        <w:tc>
          <w:tcPr>
            <w:tcW w:w="1161" w:type="pct"/>
            <w:vMerge w:val="restart"/>
            <w:vAlign w:val="center"/>
          </w:tcPr>
          <w:p w14:paraId="49D46757" w14:textId="77777777" w:rsidR="00C9037E" w:rsidRPr="00A964FF" w:rsidRDefault="00C9037E" w:rsidP="00C9037E">
            <w:pPr>
              <w:jc w:val="center"/>
              <w:rPr>
                <w:rFonts w:ascii="Calibri" w:hAnsi="Calibri"/>
                <w:color w:val="auto"/>
                <w:szCs w:val="21"/>
              </w:rPr>
            </w:pPr>
            <w:r>
              <w:rPr>
                <w:rFonts w:ascii="Calibri" w:hAnsi="Calibri" w:hint="eastAsia"/>
                <w:color w:val="auto"/>
                <w:szCs w:val="21"/>
              </w:rPr>
              <w:t>选用密闭设备、密闭容器储存物料</w:t>
            </w:r>
            <w:r w:rsidRPr="00A964FF">
              <w:rPr>
                <w:rFonts w:ascii="Calibri" w:hAnsi="Calibri" w:hint="eastAsia"/>
                <w:color w:val="auto"/>
                <w:szCs w:val="21"/>
              </w:rPr>
              <w:t>，加强生产期间</w:t>
            </w:r>
            <w:r w:rsidRPr="00A964FF">
              <w:rPr>
                <w:rFonts w:ascii="Calibri" w:hAnsi="Calibri" w:hint="eastAsia"/>
                <w:color w:val="auto"/>
                <w:szCs w:val="21"/>
              </w:rPr>
              <w:t>VOCs</w:t>
            </w:r>
            <w:r w:rsidRPr="00A964FF">
              <w:rPr>
                <w:rFonts w:ascii="Calibri" w:hAnsi="Calibri" w:hint="eastAsia"/>
                <w:color w:val="auto"/>
                <w:szCs w:val="21"/>
              </w:rPr>
              <w:t>排放源的定期泄漏检测</w:t>
            </w:r>
          </w:p>
        </w:tc>
        <w:tc>
          <w:tcPr>
            <w:tcW w:w="851" w:type="pct"/>
            <w:vAlign w:val="center"/>
          </w:tcPr>
          <w:p w14:paraId="748D4573" w14:textId="77777777" w:rsidR="00C9037E" w:rsidRPr="002A03FA" w:rsidRDefault="007E3F9E" w:rsidP="00C9037E">
            <w:pPr>
              <w:jc w:val="center"/>
              <w:rPr>
                <w:rFonts w:ascii="Calibri" w:hAnsi="Calibri"/>
                <w:snapToGrid w:val="0"/>
                <w:szCs w:val="21"/>
              </w:rPr>
            </w:pPr>
            <w:r>
              <w:rPr>
                <w:rFonts w:ascii="Calibri" w:hAnsi="Calibri"/>
                <w:snapToGrid w:val="0"/>
                <w:szCs w:val="21"/>
              </w:rPr>
              <w:t>0.000012</w:t>
            </w:r>
          </w:p>
        </w:tc>
      </w:tr>
      <w:tr w:rsidR="00C9037E" w:rsidRPr="00A964FF" w14:paraId="16F65F8E" w14:textId="77777777" w:rsidTr="0002141E">
        <w:trPr>
          <w:trHeight w:val="340"/>
          <w:jc w:val="center"/>
        </w:trPr>
        <w:tc>
          <w:tcPr>
            <w:tcW w:w="365" w:type="pct"/>
            <w:vMerge/>
            <w:vAlign w:val="center"/>
          </w:tcPr>
          <w:p w14:paraId="61CFAA81" w14:textId="77777777" w:rsidR="00C9037E" w:rsidRPr="00A964FF" w:rsidRDefault="00C9037E" w:rsidP="00C9037E">
            <w:pPr>
              <w:jc w:val="center"/>
              <w:rPr>
                <w:rFonts w:ascii="Calibri" w:hAnsi="Calibri"/>
                <w:color w:val="auto"/>
                <w:szCs w:val="21"/>
              </w:rPr>
            </w:pPr>
          </w:p>
        </w:tc>
        <w:tc>
          <w:tcPr>
            <w:tcW w:w="622" w:type="pct"/>
            <w:vMerge/>
            <w:vAlign w:val="center"/>
          </w:tcPr>
          <w:p w14:paraId="76CD035B" w14:textId="77777777" w:rsidR="00C9037E" w:rsidRPr="00A964FF" w:rsidRDefault="00C9037E" w:rsidP="00C9037E">
            <w:pPr>
              <w:jc w:val="center"/>
              <w:rPr>
                <w:rFonts w:ascii="Calibri" w:hAnsi="Calibri"/>
                <w:color w:val="auto"/>
                <w:szCs w:val="21"/>
              </w:rPr>
            </w:pPr>
          </w:p>
        </w:tc>
        <w:tc>
          <w:tcPr>
            <w:tcW w:w="957" w:type="pct"/>
            <w:vMerge/>
            <w:vAlign w:val="center"/>
          </w:tcPr>
          <w:p w14:paraId="3206BADD" w14:textId="77777777" w:rsidR="00C9037E" w:rsidRPr="00A964FF" w:rsidRDefault="00C9037E" w:rsidP="00C9037E">
            <w:pPr>
              <w:jc w:val="center"/>
              <w:rPr>
                <w:rFonts w:ascii="Calibri" w:hAnsi="Calibri"/>
                <w:color w:val="auto"/>
                <w:szCs w:val="21"/>
              </w:rPr>
            </w:pPr>
          </w:p>
        </w:tc>
        <w:tc>
          <w:tcPr>
            <w:tcW w:w="1044" w:type="pct"/>
          </w:tcPr>
          <w:p w14:paraId="473B6D0D"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非甲烷总烃</w:t>
            </w:r>
          </w:p>
        </w:tc>
        <w:tc>
          <w:tcPr>
            <w:tcW w:w="1161" w:type="pct"/>
            <w:vMerge/>
            <w:vAlign w:val="center"/>
          </w:tcPr>
          <w:p w14:paraId="4DD3717A" w14:textId="77777777" w:rsidR="00C9037E" w:rsidRPr="00A964FF" w:rsidRDefault="00C9037E" w:rsidP="00C9037E">
            <w:pPr>
              <w:jc w:val="center"/>
              <w:rPr>
                <w:rFonts w:ascii="Calibri" w:hAnsi="Calibri"/>
                <w:color w:val="auto"/>
                <w:szCs w:val="21"/>
              </w:rPr>
            </w:pPr>
          </w:p>
        </w:tc>
        <w:tc>
          <w:tcPr>
            <w:tcW w:w="851" w:type="pct"/>
            <w:vAlign w:val="center"/>
          </w:tcPr>
          <w:p w14:paraId="43B5226C" w14:textId="77777777" w:rsidR="00C9037E" w:rsidRDefault="00C9037E" w:rsidP="00C9037E">
            <w:pPr>
              <w:jc w:val="center"/>
              <w:rPr>
                <w:rFonts w:ascii="Calibri" w:hAnsi="Calibri"/>
                <w:szCs w:val="21"/>
              </w:rPr>
            </w:pPr>
            <w:r>
              <w:rPr>
                <w:rFonts w:ascii="Calibri" w:hAnsi="Calibri"/>
                <w:szCs w:val="21"/>
              </w:rPr>
              <w:t>0.43</w:t>
            </w:r>
          </w:p>
        </w:tc>
      </w:tr>
      <w:tr w:rsidR="007E62BE" w:rsidRPr="00A964FF" w14:paraId="115B4B87" w14:textId="77777777" w:rsidTr="004B4EAC">
        <w:trPr>
          <w:trHeight w:val="340"/>
          <w:jc w:val="center"/>
        </w:trPr>
        <w:tc>
          <w:tcPr>
            <w:tcW w:w="365" w:type="pct"/>
            <w:vMerge w:val="restart"/>
            <w:vAlign w:val="center"/>
          </w:tcPr>
          <w:p w14:paraId="04BC87A8" w14:textId="77777777" w:rsidR="007E62BE" w:rsidRPr="00A964FF" w:rsidRDefault="007E62BE" w:rsidP="007E62BE">
            <w:pPr>
              <w:jc w:val="center"/>
              <w:rPr>
                <w:rFonts w:ascii="Calibri" w:hAnsi="Calibri"/>
                <w:color w:val="auto"/>
                <w:szCs w:val="21"/>
              </w:rPr>
            </w:pPr>
            <w:r>
              <w:rPr>
                <w:rFonts w:ascii="Calibri" w:hAnsi="Calibri"/>
                <w:color w:val="auto"/>
                <w:szCs w:val="21"/>
              </w:rPr>
              <w:t>2</w:t>
            </w:r>
          </w:p>
        </w:tc>
        <w:tc>
          <w:tcPr>
            <w:tcW w:w="622" w:type="pct"/>
            <w:vMerge/>
            <w:vAlign w:val="center"/>
          </w:tcPr>
          <w:p w14:paraId="4FACECEE" w14:textId="77777777" w:rsidR="007E62BE" w:rsidRPr="00A964FF" w:rsidRDefault="007E62BE" w:rsidP="007E62BE">
            <w:pPr>
              <w:jc w:val="center"/>
              <w:rPr>
                <w:rFonts w:ascii="Calibri" w:hAnsi="Calibri"/>
                <w:color w:val="auto"/>
                <w:szCs w:val="21"/>
              </w:rPr>
            </w:pPr>
          </w:p>
        </w:tc>
        <w:tc>
          <w:tcPr>
            <w:tcW w:w="957" w:type="pct"/>
            <w:vMerge w:val="restart"/>
            <w:vAlign w:val="center"/>
          </w:tcPr>
          <w:p w14:paraId="380A4971" w14:textId="77777777" w:rsidR="007E62BE" w:rsidRPr="00A964FF" w:rsidRDefault="007E62BE" w:rsidP="007E62BE">
            <w:pPr>
              <w:jc w:val="center"/>
              <w:rPr>
                <w:rFonts w:ascii="Calibri" w:hAnsi="Calibri"/>
                <w:color w:val="auto"/>
                <w:szCs w:val="21"/>
              </w:rPr>
            </w:pPr>
            <w:r>
              <w:rPr>
                <w:rFonts w:ascii="Calibri" w:hAnsi="Calibri" w:hint="eastAsia"/>
                <w:kern w:val="0"/>
                <w:szCs w:val="21"/>
              </w:rPr>
              <w:t>污水处理站</w:t>
            </w:r>
          </w:p>
        </w:tc>
        <w:tc>
          <w:tcPr>
            <w:tcW w:w="1044" w:type="pct"/>
            <w:vAlign w:val="center"/>
          </w:tcPr>
          <w:p w14:paraId="7DB04BDD" w14:textId="77777777" w:rsidR="007E62BE" w:rsidRPr="00C9037E" w:rsidRDefault="007E62BE" w:rsidP="007E62BE">
            <w:pPr>
              <w:jc w:val="center"/>
              <w:rPr>
                <w:rFonts w:ascii="Calibri" w:hAnsi="Calibri"/>
                <w:color w:val="auto"/>
                <w:szCs w:val="21"/>
              </w:rPr>
            </w:pPr>
            <w:r w:rsidRPr="00C9037E">
              <w:rPr>
                <w:rFonts w:ascii="Calibri" w:hAnsi="Calibri" w:hint="eastAsia"/>
                <w:color w:val="auto"/>
                <w:szCs w:val="21"/>
              </w:rPr>
              <w:t>氨</w:t>
            </w:r>
          </w:p>
        </w:tc>
        <w:tc>
          <w:tcPr>
            <w:tcW w:w="1161" w:type="pct"/>
            <w:vMerge/>
            <w:vAlign w:val="center"/>
          </w:tcPr>
          <w:p w14:paraId="6F5B58FD" w14:textId="77777777" w:rsidR="007E62BE" w:rsidRPr="00A964FF" w:rsidRDefault="007E62BE" w:rsidP="007E62BE">
            <w:pPr>
              <w:jc w:val="center"/>
              <w:rPr>
                <w:rFonts w:ascii="Calibri" w:hAnsi="Calibri"/>
                <w:color w:val="auto"/>
                <w:szCs w:val="21"/>
              </w:rPr>
            </w:pPr>
          </w:p>
        </w:tc>
        <w:tc>
          <w:tcPr>
            <w:tcW w:w="851" w:type="pct"/>
            <w:vAlign w:val="center"/>
          </w:tcPr>
          <w:p w14:paraId="1E71DDEB" w14:textId="629E7EBA" w:rsidR="007E62BE" w:rsidRPr="007A2AD4" w:rsidRDefault="007E62BE" w:rsidP="007E62BE">
            <w:pPr>
              <w:jc w:val="center"/>
              <w:rPr>
                <w:rFonts w:ascii="Calibri" w:hAnsi="Calibri"/>
              </w:rPr>
            </w:pPr>
            <w:r>
              <w:rPr>
                <w:rFonts w:ascii="Calibri" w:hAnsi="Calibri"/>
              </w:rPr>
              <w:t>0.002</w:t>
            </w:r>
          </w:p>
        </w:tc>
      </w:tr>
      <w:tr w:rsidR="007E62BE" w:rsidRPr="00A964FF" w14:paraId="46E89026" w14:textId="77777777" w:rsidTr="004B4EAC">
        <w:trPr>
          <w:trHeight w:val="340"/>
          <w:jc w:val="center"/>
        </w:trPr>
        <w:tc>
          <w:tcPr>
            <w:tcW w:w="365" w:type="pct"/>
            <w:vMerge/>
            <w:vAlign w:val="center"/>
          </w:tcPr>
          <w:p w14:paraId="766D34A2" w14:textId="77777777" w:rsidR="007E62BE" w:rsidRPr="00A964FF" w:rsidRDefault="007E62BE" w:rsidP="007E62BE">
            <w:pPr>
              <w:jc w:val="center"/>
              <w:rPr>
                <w:rFonts w:ascii="Calibri" w:hAnsi="Calibri"/>
                <w:color w:val="auto"/>
                <w:szCs w:val="21"/>
              </w:rPr>
            </w:pPr>
          </w:p>
        </w:tc>
        <w:tc>
          <w:tcPr>
            <w:tcW w:w="622" w:type="pct"/>
            <w:vMerge/>
            <w:vAlign w:val="center"/>
          </w:tcPr>
          <w:p w14:paraId="56892CB4" w14:textId="77777777" w:rsidR="007E62BE" w:rsidRPr="00A964FF" w:rsidRDefault="007E62BE" w:rsidP="007E62BE">
            <w:pPr>
              <w:jc w:val="center"/>
              <w:rPr>
                <w:rFonts w:ascii="Calibri" w:hAnsi="Calibri"/>
                <w:color w:val="auto"/>
                <w:szCs w:val="21"/>
              </w:rPr>
            </w:pPr>
          </w:p>
        </w:tc>
        <w:tc>
          <w:tcPr>
            <w:tcW w:w="957" w:type="pct"/>
            <w:vMerge/>
            <w:vAlign w:val="center"/>
          </w:tcPr>
          <w:p w14:paraId="6784C6FC" w14:textId="77777777" w:rsidR="007E62BE" w:rsidRPr="00A964FF" w:rsidRDefault="007E62BE" w:rsidP="007E62BE">
            <w:pPr>
              <w:jc w:val="center"/>
              <w:rPr>
                <w:rFonts w:ascii="Calibri" w:hAnsi="Calibri"/>
                <w:color w:val="auto"/>
                <w:szCs w:val="21"/>
              </w:rPr>
            </w:pPr>
          </w:p>
        </w:tc>
        <w:tc>
          <w:tcPr>
            <w:tcW w:w="1044" w:type="pct"/>
            <w:vAlign w:val="center"/>
          </w:tcPr>
          <w:p w14:paraId="6BD2AA54" w14:textId="77777777" w:rsidR="007E62BE" w:rsidRPr="00C9037E" w:rsidRDefault="007E62BE" w:rsidP="007E62BE">
            <w:pPr>
              <w:jc w:val="center"/>
              <w:rPr>
                <w:rFonts w:ascii="Calibri" w:hAnsi="Calibri"/>
                <w:color w:val="auto"/>
                <w:szCs w:val="21"/>
              </w:rPr>
            </w:pPr>
            <w:r w:rsidRPr="00C9037E">
              <w:rPr>
                <w:rFonts w:ascii="Calibri" w:hAnsi="Calibri" w:hint="eastAsia"/>
                <w:color w:val="auto"/>
                <w:szCs w:val="21"/>
              </w:rPr>
              <w:t>硫化氢</w:t>
            </w:r>
          </w:p>
        </w:tc>
        <w:tc>
          <w:tcPr>
            <w:tcW w:w="1161" w:type="pct"/>
            <w:vMerge/>
            <w:vAlign w:val="center"/>
          </w:tcPr>
          <w:p w14:paraId="0BDD513B" w14:textId="77777777" w:rsidR="007E62BE" w:rsidRPr="00A964FF" w:rsidRDefault="007E62BE" w:rsidP="007E62BE">
            <w:pPr>
              <w:jc w:val="center"/>
              <w:rPr>
                <w:rFonts w:ascii="Calibri" w:hAnsi="Calibri"/>
                <w:color w:val="auto"/>
                <w:szCs w:val="21"/>
              </w:rPr>
            </w:pPr>
          </w:p>
        </w:tc>
        <w:tc>
          <w:tcPr>
            <w:tcW w:w="851" w:type="pct"/>
            <w:vAlign w:val="center"/>
          </w:tcPr>
          <w:p w14:paraId="4481E986" w14:textId="7AAECFF7" w:rsidR="007E62BE" w:rsidRPr="007A2AD4" w:rsidRDefault="007E62BE" w:rsidP="007E62BE">
            <w:pPr>
              <w:jc w:val="center"/>
              <w:rPr>
                <w:rFonts w:ascii="Calibri" w:hAnsi="Calibri"/>
              </w:rPr>
            </w:pPr>
            <w:r>
              <w:rPr>
                <w:rFonts w:ascii="Calibri" w:hAnsi="Calibri"/>
              </w:rPr>
              <w:t>0.0001</w:t>
            </w:r>
          </w:p>
        </w:tc>
      </w:tr>
      <w:tr w:rsidR="007E62BE" w:rsidRPr="00A964FF" w14:paraId="51953CFA" w14:textId="77777777" w:rsidTr="004B4EAC">
        <w:trPr>
          <w:trHeight w:val="340"/>
          <w:jc w:val="center"/>
        </w:trPr>
        <w:tc>
          <w:tcPr>
            <w:tcW w:w="365" w:type="pct"/>
            <w:vMerge/>
            <w:vAlign w:val="center"/>
          </w:tcPr>
          <w:p w14:paraId="62EECCCE" w14:textId="77777777" w:rsidR="007E62BE" w:rsidRPr="00A964FF" w:rsidRDefault="007E62BE" w:rsidP="007E62BE">
            <w:pPr>
              <w:jc w:val="center"/>
              <w:rPr>
                <w:rFonts w:ascii="Calibri" w:hAnsi="Calibri"/>
                <w:color w:val="auto"/>
                <w:szCs w:val="21"/>
              </w:rPr>
            </w:pPr>
          </w:p>
        </w:tc>
        <w:tc>
          <w:tcPr>
            <w:tcW w:w="622" w:type="pct"/>
            <w:vMerge/>
            <w:vAlign w:val="center"/>
          </w:tcPr>
          <w:p w14:paraId="7E33F437" w14:textId="77777777" w:rsidR="007E62BE" w:rsidRPr="00A964FF" w:rsidRDefault="007E62BE" w:rsidP="007E62BE">
            <w:pPr>
              <w:jc w:val="center"/>
              <w:rPr>
                <w:rFonts w:ascii="Calibri" w:hAnsi="Calibri"/>
                <w:color w:val="auto"/>
                <w:szCs w:val="21"/>
              </w:rPr>
            </w:pPr>
          </w:p>
        </w:tc>
        <w:tc>
          <w:tcPr>
            <w:tcW w:w="957" w:type="pct"/>
            <w:vMerge/>
            <w:vAlign w:val="center"/>
          </w:tcPr>
          <w:p w14:paraId="2A2CEC13" w14:textId="77777777" w:rsidR="007E62BE" w:rsidRPr="00A964FF" w:rsidRDefault="007E62BE" w:rsidP="007E62BE">
            <w:pPr>
              <w:jc w:val="center"/>
              <w:rPr>
                <w:rFonts w:ascii="Calibri" w:hAnsi="Calibri"/>
                <w:color w:val="auto"/>
                <w:szCs w:val="21"/>
              </w:rPr>
            </w:pPr>
          </w:p>
        </w:tc>
        <w:tc>
          <w:tcPr>
            <w:tcW w:w="1044" w:type="pct"/>
            <w:vAlign w:val="center"/>
          </w:tcPr>
          <w:p w14:paraId="186965C1" w14:textId="77777777" w:rsidR="007E62BE" w:rsidRPr="00C9037E" w:rsidRDefault="007E62BE" w:rsidP="007E62BE">
            <w:pPr>
              <w:jc w:val="center"/>
              <w:rPr>
                <w:rFonts w:ascii="Calibri" w:hAnsi="Calibri"/>
                <w:color w:val="auto"/>
                <w:szCs w:val="21"/>
              </w:rPr>
            </w:pPr>
            <w:r>
              <w:rPr>
                <w:rFonts w:ascii="Calibri" w:hAnsi="Calibri" w:hint="eastAsia"/>
                <w:color w:val="auto"/>
                <w:szCs w:val="21"/>
              </w:rPr>
              <w:t>非甲烷</w:t>
            </w:r>
            <w:r>
              <w:rPr>
                <w:rFonts w:ascii="Calibri" w:hAnsi="Calibri"/>
                <w:color w:val="auto"/>
                <w:szCs w:val="21"/>
              </w:rPr>
              <w:t>总烃</w:t>
            </w:r>
          </w:p>
        </w:tc>
        <w:tc>
          <w:tcPr>
            <w:tcW w:w="1161" w:type="pct"/>
            <w:vMerge/>
            <w:vAlign w:val="center"/>
          </w:tcPr>
          <w:p w14:paraId="1E715037" w14:textId="77777777" w:rsidR="007E62BE" w:rsidRPr="00A964FF" w:rsidRDefault="007E62BE" w:rsidP="007E62BE">
            <w:pPr>
              <w:jc w:val="center"/>
              <w:rPr>
                <w:rFonts w:ascii="Calibri" w:hAnsi="Calibri"/>
                <w:color w:val="auto"/>
                <w:szCs w:val="21"/>
              </w:rPr>
            </w:pPr>
          </w:p>
        </w:tc>
        <w:tc>
          <w:tcPr>
            <w:tcW w:w="851" w:type="pct"/>
            <w:vAlign w:val="center"/>
          </w:tcPr>
          <w:p w14:paraId="7C1F232C" w14:textId="3A2C543B" w:rsidR="007E62BE" w:rsidRPr="007A2AD4" w:rsidRDefault="007E62BE" w:rsidP="007E62BE">
            <w:pPr>
              <w:jc w:val="center"/>
              <w:rPr>
                <w:rFonts w:ascii="Calibri" w:hAnsi="Calibri"/>
              </w:rPr>
            </w:pPr>
            <w:r>
              <w:rPr>
                <w:rFonts w:ascii="Calibri" w:hAnsi="Calibri"/>
              </w:rPr>
              <w:t>0.004</w:t>
            </w:r>
          </w:p>
        </w:tc>
      </w:tr>
    </w:tbl>
    <w:p w14:paraId="65513589" w14:textId="77777777" w:rsidR="004B4EAC" w:rsidRPr="00A964FF" w:rsidRDefault="009058A1" w:rsidP="004B4EAC">
      <w:pPr>
        <w:pStyle w:val="00"/>
        <w:rPr>
          <w:rFonts w:ascii="Calibri" w:hAnsi="Calibri"/>
          <w:noProof/>
          <w:color w:val="auto"/>
        </w:rPr>
      </w:pPr>
      <w:r w:rsidRPr="00A964FF">
        <w:rPr>
          <w:rFonts w:ascii="Calibri" w:hAnsi="Calibri" w:hint="eastAsia"/>
          <w:noProof/>
          <w:color w:val="auto"/>
        </w:rPr>
        <w:t>本项目大气污染物年排放量核算见表</w:t>
      </w:r>
      <w:r w:rsidR="00B57A09" w:rsidRPr="00A964FF">
        <w:rPr>
          <w:rFonts w:ascii="Calibri" w:hAnsi="Calibri" w:hint="eastAsia"/>
          <w:noProof/>
          <w:color w:val="auto"/>
        </w:rPr>
        <w:t>7</w:t>
      </w:r>
      <w:r w:rsidRPr="00A964FF">
        <w:rPr>
          <w:rFonts w:ascii="Calibri" w:hAnsi="Calibri" w:hint="eastAsia"/>
          <w:noProof/>
          <w:color w:val="auto"/>
        </w:rPr>
        <w:t>.1-4</w:t>
      </w:r>
      <w:r w:rsidRPr="00A964FF">
        <w:rPr>
          <w:rFonts w:ascii="Calibri" w:hAnsi="Calibri" w:hint="eastAsia"/>
          <w:noProof/>
          <w:color w:val="auto"/>
        </w:rPr>
        <w:t>。</w:t>
      </w:r>
    </w:p>
    <w:p w14:paraId="777FA621" w14:textId="77777777" w:rsidR="00C9037E" w:rsidRDefault="00C9037E" w:rsidP="009058A1">
      <w:pPr>
        <w:spacing w:line="520" w:lineRule="exact"/>
        <w:ind w:firstLine="573"/>
        <w:rPr>
          <w:rFonts w:ascii="Calibri" w:eastAsia="黑体" w:hAnsi="Calibri"/>
          <w:color w:val="auto"/>
          <w:sz w:val="24"/>
        </w:rPr>
      </w:pPr>
    </w:p>
    <w:p w14:paraId="77152643" w14:textId="77777777" w:rsidR="00C9037E" w:rsidRDefault="00C9037E" w:rsidP="009058A1">
      <w:pPr>
        <w:spacing w:line="520" w:lineRule="exact"/>
        <w:ind w:firstLine="573"/>
        <w:rPr>
          <w:rFonts w:ascii="Calibri" w:eastAsia="黑体" w:hAnsi="Calibri"/>
          <w:color w:val="auto"/>
          <w:sz w:val="24"/>
        </w:rPr>
      </w:pPr>
    </w:p>
    <w:p w14:paraId="544EE21F" w14:textId="77777777" w:rsidR="009058A1" w:rsidRPr="00A964FF" w:rsidRDefault="009058A1" w:rsidP="00CE7805">
      <w:pPr>
        <w:spacing w:line="520" w:lineRule="exact"/>
        <w:ind w:firstLineChars="450" w:firstLine="1080"/>
        <w:rPr>
          <w:rFonts w:ascii="Calibri" w:eastAsia="黑体" w:hAnsi="Calibri"/>
          <w:color w:val="auto"/>
          <w:sz w:val="24"/>
        </w:rPr>
      </w:pPr>
      <w:r w:rsidRPr="00A964FF">
        <w:rPr>
          <w:rFonts w:ascii="Calibri" w:eastAsia="黑体" w:hAnsi="Calibri"/>
          <w:color w:val="auto"/>
          <w:sz w:val="24"/>
        </w:rPr>
        <w:lastRenderedPageBreak/>
        <w:t>表</w:t>
      </w:r>
      <w:r w:rsidR="00B57A09" w:rsidRPr="00A964FF">
        <w:rPr>
          <w:rFonts w:ascii="Calibri" w:eastAsia="黑体" w:hAnsi="Calibri" w:hint="eastAsia"/>
          <w:color w:val="auto"/>
          <w:sz w:val="24"/>
        </w:rPr>
        <w:t>7</w:t>
      </w:r>
      <w:r w:rsidRPr="00A964FF">
        <w:rPr>
          <w:rFonts w:ascii="Calibri" w:eastAsia="黑体" w:hAnsi="Calibri" w:hint="eastAsia"/>
          <w:color w:val="auto"/>
          <w:sz w:val="24"/>
        </w:rPr>
        <w:t>.1</w:t>
      </w:r>
      <w:r w:rsidRPr="00A964FF">
        <w:rPr>
          <w:rFonts w:ascii="Calibri" w:eastAsia="黑体" w:hAnsi="Calibri"/>
          <w:color w:val="auto"/>
          <w:sz w:val="24"/>
        </w:rPr>
        <w:t>-</w:t>
      </w:r>
      <w:r w:rsidRPr="00A964FF">
        <w:rPr>
          <w:rFonts w:ascii="Calibri" w:eastAsia="黑体" w:hAnsi="Calibri" w:hint="eastAsia"/>
          <w:color w:val="auto"/>
          <w:sz w:val="24"/>
        </w:rPr>
        <w:t>4</w:t>
      </w:r>
      <w:r w:rsidRPr="00A964FF">
        <w:rPr>
          <w:rFonts w:ascii="Calibri" w:eastAsia="黑体" w:hAnsi="Calibri"/>
          <w:color w:val="auto"/>
          <w:sz w:val="24"/>
        </w:rPr>
        <w:t xml:space="preserve">             </w:t>
      </w:r>
      <w:r w:rsidRPr="00A964FF">
        <w:rPr>
          <w:rFonts w:ascii="Calibri" w:eastAsia="黑体" w:hAnsi="Calibri" w:hint="eastAsia"/>
          <w:color w:val="auto"/>
          <w:sz w:val="24"/>
        </w:rPr>
        <w:t>大气污染物年排放量核算表</w:t>
      </w:r>
    </w:p>
    <w:tbl>
      <w:tblPr>
        <w:tblW w:w="90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07"/>
        <w:gridCol w:w="3118"/>
        <w:gridCol w:w="3774"/>
      </w:tblGrid>
      <w:tr w:rsidR="009058A1" w:rsidRPr="00A964FF" w14:paraId="5393CB22" w14:textId="77777777" w:rsidTr="00CE7805">
        <w:trPr>
          <w:trHeight w:val="340"/>
          <w:jc w:val="center"/>
        </w:trPr>
        <w:tc>
          <w:tcPr>
            <w:tcW w:w="2207" w:type="dxa"/>
            <w:vAlign w:val="center"/>
          </w:tcPr>
          <w:p w14:paraId="7145A829" w14:textId="77777777" w:rsidR="009058A1" w:rsidRPr="00A964FF" w:rsidRDefault="009058A1" w:rsidP="00C4311A">
            <w:pPr>
              <w:jc w:val="center"/>
              <w:rPr>
                <w:rFonts w:ascii="Calibri" w:hAnsi="Calibri"/>
                <w:color w:val="auto"/>
                <w:szCs w:val="21"/>
              </w:rPr>
            </w:pPr>
            <w:r w:rsidRPr="00A964FF">
              <w:rPr>
                <w:rFonts w:ascii="Calibri" w:hAnsi="Calibri" w:hint="eastAsia"/>
                <w:color w:val="auto"/>
                <w:szCs w:val="21"/>
              </w:rPr>
              <w:t>序号</w:t>
            </w:r>
          </w:p>
        </w:tc>
        <w:tc>
          <w:tcPr>
            <w:tcW w:w="3118" w:type="dxa"/>
            <w:vAlign w:val="center"/>
          </w:tcPr>
          <w:p w14:paraId="18511D97" w14:textId="77777777" w:rsidR="009058A1" w:rsidRPr="00A964FF" w:rsidRDefault="009058A1" w:rsidP="00C4311A">
            <w:pPr>
              <w:jc w:val="center"/>
              <w:rPr>
                <w:rFonts w:ascii="Calibri" w:hAnsi="Calibri"/>
                <w:color w:val="auto"/>
                <w:szCs w:val="21"/>
              </w:rPr>
            </w:pPr>
            <w:r w:rsidRPr="00A964FF">
              <w:rPr>
                <w:rFonts w:ascii="Calibri" w:hAnsi="Calibri" w:hint="eastAsia"/>
                <w:color w:val="auto"/>
                <w:szCs w:val="21"/>
              </w:rPr>
              <w:t>污染物</w:t>
            </w:r>
          </w:p>
        </w:tc>
        <w:tc>
          <w:tcPr>
            <w:tcW w:w="3774" w:type="dxa"/>
            <w:vAlign w:val="center"/>
          </w:tcPr>
          <w:p w14:paraId="7AE8E485" w14:textId="77777777" w:rsidR="009058A1" w:rsidRPr="00A964FF" w:rsidRDefault="009058A1" w:rsidP="00C4311A">
            <w:pPr>
              <w:jc w:val="center"/>
              <w:rPr>
                <w:rFonts w:ascii="Calibri" w:hAnsi="Calibri"/>
                <w:color w:val="auto"/>
                <w:szCs w:val="21"/>
              </w:rPr>
            </w:pPr>
            <w:r w:rsidRPr="00A964FF">
              <w:rPr>
                <w:rFonts w:ascii="Calibri" w:hAnsi="Calibri" w:hint="eastAsia"/>
                <w:color w:val="auto"/>
                <w:szCs w:val="21"/>
              </w:rPr>
              <w:t>年排放量（</w:t>
            </w:r>
            <w:r w:rsidRPr="00A964FF">
              <w:rPr>
                <w:rFonts w:ascii="Calibri" w:hAnsi="Calibri" w:hint="eastAsia"/>
                <w:color w:val="auto"/>
                <w:szCs w:val="21"/>
              </w:rPr>
              <w:t>t/a</w:t>
            </w:r>
            <w:r w:rsidRPr="00A964FF">
              <w:rPr>
                <w:rFonts w:ascii="Calibri" w:hAnsi="Calibri" w:hint="eastAsia"/>
                <w:color w:val="auto"/>
                <w:szCs w:val="21"/>
              </w:rPr>
              <w:t>）</w:t>
            </w:r>
          </w:p>
        </w:tc>
      </w:tr>
      <w:tr w:rsidR="00C9037E" w:rsidRPr="00A964FF" w14:paraId="5B33001E" w14:textId="77777777" w:rsidTr="00CE7805">
        <w:trPr>
          <w:trHeight w:val="340"/>
          <w:jc w:val="center"/>
        </w:trPr>
        <w:tc>
          <w:tcPr>
            <w:tcW w:w="2207" w:type="dxa"/>
            <w:vAlign w:val="center"/>
          </w:tcPr>
          <w:p w14:paraId="67E4CB43" w14:textId="77777777" w:rsidR="00C9037E" w:rsidRPr="00A964FF" w:rsidRDefault="00C9037E" w:rsidP="00C9037E">
            <w:pPr>
              <w:jc w:val="center"/>
              <w:rPr>
                <w:rFonts w:ascii="Calibri" w:hAnsi="Calibri"/>
                <w:color w:val="auto"/>
                <w:szCs w:val="21"/>
              </w:rPr>
            </w:pPr>
            <w:r w:rsidRPr="00A964FF">
              <w:rPr>
                <w:rFonts w:ascii="Calibri" w:hAnsi="Calibri" w:hint="eastAsia"/>
                <w:color w:val="auto"/>
                <w:szCs w:val="21"/>
              </w:rPr>
              <w:t>1</w:t>
            </w:r>
          </w:p>
        </w:tc>
        <w:tc>
          <w:tcPr>
            <w:tcW w:w="3118" w:type="dxa"/>
            <w:vAlign w:val="center"/>
          </w:tcPr>
          <w:p w14:paraId="4F56C977"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己二胺</w:t>
            </w:r>
          </w:p>
        </w:tc>
        <w:tc>
          <w:tcPr>
            <w:tcW w:w="3774" w:type="dxa"/>
            <w:vAlign w:val="center"/>
          </w:tcPr>
          <w:p w14:paraId="4F7BCB4C" w14:textId="049E588C" w:rsidR="00C9037E" w:rsidRPr="00CE7805" w:rsidRDefault="007E62BE" w:rsidP="00C9037E">
            <w:pPr>
              <w:jc w:val="center"/>
              <w:rPr>
                <w:rFonts w:ascii="Calibri" w:hAnsi="Calibri"/>
                <w:color w:val="auto"/>
                <w:szCs w:val="21"/>
              </w:rPr>
            </w:pPr>
            <w:r w:rsidRPr="007E62BE">
              <w:rPr>
                <w:rFonts w:ascii="Calibri" w:hAnsi="Calibri"/>
                <w:color w:val="auto"/>
                <w:szCs w:val="21"/>
              </w:rPr>
              <w:t>0.35</w:t>
            </w:r>
          </w:p>
        </w:tc>
      </w:tr>
      <w:tr w:rsidR="00C9037E" w:rsidRPr="00A964FF" w14:paraId="6D2FE6AA" w14:textId="77777777" w:rsidTr="00CE7805">
        <w:trPr>
          <w:trHeight w:val="340"/>
          <w:jc w:val="center"/>
        </w:trPr>
        <w:tc>
          <w:tcPr>
            <w:tcW w:w="2207" w:type="dxa"/>
            <w:tcBorders>
              <w:bottom w:val="single" w:sz="4" w:space="0" w:color="auto"/>
            </w:tcBorders>
            <w:vAlign w:val="center"/>
          </w:tcPr>
          <w:p w14:paraId="4E98731D" w14:textId="77777777" w:rsidR="00C9037E" w:rsidRPr="00A964FF" w:rsidRDefault="00C9037E" w:rsidP="00C9037E">
            <w:pPr>
              <w:jc w:val="center"/>
              <w:rPr>
                <w:rFonts w:ascii="Calibri" w:hAnsi="Calibri"/>
                <w:color w:val="auto"/>
                <w:szCs w:val="21"/>
              </w:rPr>
            </w:pPr>
            <w:r w:rsidRPr="00A964FF">
              <w:rPr>
                <w:rFonts w:ascii="Calibri" w:hAnsi="Calibri" w:hint="eastAsia"/>
                <w:color w:val="auto"/>
                <w:szCs w:val="21"/>
              </w:rPr>
              <w:t>2</w:t>
            </w:r>
          </w:p>
        </w:tc>
        <w:tc>
          <w:tcPr>
            <w:tcW w:w="3118" w:type="dxa"/>
            <w:vAlign w:val="center"/>
          </w:tcPr>
          <w:p w14:paraId="4984EECF"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非甲烷总烃</w:t>
            </w:r>
          </w:p>
        </w:tc>
        <w:tc>
          <w:tcPr>
            <w:tcW w:w="3774" w:type="dxa"/>
            <w:vAlign w:val="center"/>
          </w:tcPr>
          <w:p w14:paraId="0BCA5BC9" w14:textId="7226BD2D" w:rsidR="00C9037E" w:rsidRPr="00CE7805" w:rsidRDefault="007E62BE" w:rsidP="00C9037E">
            <w:pPr>
              <w:jc w:val="center"/>
              <w:rPr>
                <w:rFonts w:ascii="Calibri" w:hAnsi="Calibri"/>
                <w:color w:val="auto"/>
                <w:szCs w:val="21"/>
              </w:rPr>
            </w:pPr>
            <w:r>
              <w:rPr>
                <w:rFonts w:ascii="Calibri" w:hAnsi="Calibri"/>
                <w:color w:val="auto"/>
                <w:szCs w:val="21"/>
              </w:rPr>
              <w:t>0.97</w:t>
            </w:r>
          </w:p>
        </w:tc>
      </w:tr>
      <w:tr w:rsidR="00C9037E" w:rsidRPr="00A964FF" w14:paraId="1725F6BC" w14:textId="77777777" w:rsidTr="00CE7805">
        <w:trPr>
          <w:trHeight w:val="340"/>
          <w:jc w:val="center"/>
        </w:trPr>
        <w:tc>
          <w:tcPr>
            <w:tcW w:w="2207" w:type="dxa"/>
            <w:tcBorders>
              <w:top w:val="single" w:sz="4" w:space="0" w:color="auto"/>
            </w:tcBorders>
            <w:vAlign w:val="center"/>
          </w:tcPr>
          <w:p w14:paraId="61B0EDE2" w14:textId="77777777" w:rsidR="00C9037E" w:rsidRPr="00A964FF" w:rsidRDefault="00C9037E" w:rsidP="00C9037E">
            <w:pPr>
              <w:jc w:val="center"/>
              <w:rPr>
                <w:rFonts w:ascii="Calibri" w:hAnsi="Calibri"/>
                <w:color w:val="auto"/>
                <w:szCs w:val="21"/>
              </w:rPr>
            </w:pPr>
            <w:r w:rsidRPr="00A964FF">
              <w:rPr>
                <w:rFonts w:ascii="Calibri" w:hAnsi="Calibri" w:hint="eastAsia"/>
                <w:color w:val="auto"/>
                <w:szCs w:val="21"/>
              </w:rPr>
              <w:t>3</w:t>
            </w:r>
          </w:p>
        </w:tc>
        <w:tc>
          <w:tcPr>
            <w:tcW w:w="3118" w:type="dxa"/>
            <w:vAlign w:val="center"/>
          </w:tcPr>
          <w:p w14:paraId="5BA2E71E"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氨</w:t>
            </w:r>
          </w:p>
        </w:tc>
        <w:tc>
          <w:tcPr>
            <w:tcW w:w="3774" w:type="dxa"/>
            <w:vAlign w:val="center"/>
          </w:tcPr>
          <w:p w14:paraId="138958F2" w14:textId="59A7613F" w:rsidR="00C9037E" w:rsidRPr="00CE7805" w:rsidRDefault="007E62BE" w:rsidP="00CE7805">
            <w:pPr>
              <w:jc w:val="center"/>
              <w:rPr>
                <w:rFonts w:ascii="Calibri" w:hAnsi="Calibri"/>
                <w:color w:val="auto"/>
                <w:szCs w:val="21"/>
              </w:rPr>
            </w:pPr>
            <w:r>
              <w:rPr>
                <w:rFonts w:ascii="Calibri" w:hAnsi="Calibri"/>
                <w:color w:val="auto"/>
                <w:szCs w:val="21"/>
              </w:rPr>
              <w:t>0.0152</w:t>
            </w:r>
          </w:p>
        </w:tc>
      </w:tr>
      <w:tr w:rsidR="00C9037E" w:rsidRPr="00A964FF" w14:paraId="51B06D80" w14:textId="77777777" w:rsidTr="00CE7805">
        <w:trPr>
          <w:trHeight w:val="340"/>
          <w:jc w:val="center"/>
        </w:trPr>
        <w:tc>
          <w:tcPr>
            <w:tcW w:w="2207" w:type="dxa"/>
            <w:vAlign w:val="center"/>
          </w:tcPr>
          <w:p w14:paraId="26775454" w14:textId="77777777" w:rsidR="00C9037E" w:rsidRPr="00A964FF" w:rsidRDefault="00C9037E" w:rsidP="00C9037E">
            <w:pPr>
              <w:jc w:val="center"/>
              <w:rPr>
                <w:rFonts w:ascii="Calibri" w:hAnsi="Calibri"/>
                <w:color w:val="auto"/>
                <w:szCs w:val="21"/>
              </w:rPr>
            </w:pPr>
            <w:r w:rsidRPr="00A964FF">
              <w:rPr>
                <w:rFonts w:ascii="Calibri" w:hAnsi="Calibri" w:hint="eastAsia"/>
                <w:color w:val="auto"/>
                <w:szCs w:val="21"/>
              </w:rPr>
              <w:t>4</w:t>
            </w:r>
          </w:p>
        </w:tc>
        <w:tc>
          <w:tcPr>
            <w:tcW w:w="3118" w:type="dxa"/>
            <w:vAlign w:val="center"/>
          </w:tcPr>
          <w:p w14:paraId="4AEADFAD" w14:textId="77777777" w:rsidR="00C9037E" w:rsidRPr="00C9037E" w:rsidRDefault="00C9037E" w:rsidP="00C9037E">
            <w:pPr>
              <w:jc w:val="center"/>
              <w:rPr>
                <w:rFonts w:ascii="Calibri" w:hAnsi="Calibri"/>
                <w:color w:val="auto"/>
                <w:szCs w:val="21"/>
              </w:rPr>
            </w:pPr>
            <w:r w:rsidRPr="00C9037E">
              <w:rPr>
                <w:rFonts w:ascii="Calibri" w:hAnsi="Calibri" w:hint="eastAsia"/>
                <w:color w:val="auto"/>
                <w:szCs w:val="21"/>
              </w:rPr>
              <w:t>颗粒物</w:t>
            </w:r>
          </w:p>
        </w:tc>
        <w:tc>
          <w:tcPr>
            <w:tcW w:w="3774" w:type="dxa"/>
            <w:vAlign w:val="center"/>
          </w:tcPr>
          <w:p w14:paraId="2F93BC6D" w14:textId="77777777" w:rsidR="00C9037E" w:rsidRPr="00CE7805" w:rsidRDefault="00CE7805" w:rsidP="00AD0BDD">
            <w:pPr>
              <w:jc w:val="center"/>
              <w:rPr>
                <w:rFonts w:ascii="Calibri" w:hAnsi="Calibri"/>
                <w:color w:val="auto"/>
                <w:szCs w:val="21"/>
              </w:rPr>
            </w:pPr>
            <w:r w:rsidRPr="00CE7805">
              <w:rPr>
                <w:rFonts w:ascii="Calibri" w:hAnsi="Calibri"/>
                <w:color w:val="auto"/>
                <w:szCs w:val="21"/>
              </w:rPr>
              <w:t>0.0</w:t>
            </w:r>
            <w:r w:rsidR="00AD0BDD">
              <w:rPr>
                <w:rFonts w:ascii="Calibri" w:hAnsi="Calibri"/>
                <w:color w:val="auto"/>
                <w:szCs w:val="21"/>
              </w:rPr>
              <w:t>44</w:t>
            </w:r>
          </w:p>
        </w:tc>
      </w:tr>
      <w:tr w:rsidR="00CE7805" w:rsidRPr="00C9037E" w14:paraId="28398A73" w14:textId="77777777" w:rsidTr="00CE7805">
        <w:trPr>
          <w:trHeight w:val="340"/>
          <w:jc w:val="center"/>
        </w:trPr>
        <w:tc>
          <w:tcPr>
            <w:tcW w:w="2207" w:type="dxa"/>
            <w:vAlign w:val="center"/>
          </w:tcPr>
          <w:p w14:paraId="7865A169" w14:textId="77777777" w:rsidR="00CE7805" w:rsidRPr="00CE7805" w:rsidRDefault="00CE7805" w:rsidP="00CE7805">
            <w:pPr>
              <w:jc w:val="center"/>
              <w:rPr>
                <w:rFonts w:ascii="Calibri"/>
                <w:color w:val="auto"/>
                <w:szCs w:val="21"/>
              </w:rPr>
            </w:pPr>
            <w:r w:rsidRPr="00CE7805">
              <w:rPr>
                <w:rFonts w:ascii="Calibri" w:hint="eastAsia"/>
                <w:color w:val="auto"/>
                <w:szCs w:val="21"/>
              </w:rPr>
              <w:t>5</w:t>
            </w:r>
          </w:p>
        </w:tc>
        <w:tc>
          <w:tcPr>
            <w:tcW w:w="3118" w:type="dxa"/>
            <w:vAlign w:val="center"/>
          </w:tcPr>
          <w:p w14:paraId="6DEE3825" w14:textId="77777777" w:rsidR="00CE7805" w:rsidRPr="00CE7805" w:rsidRDefault="00CE7805" w:rsidP="00CE7805">
            <w:pPr>
              <w:jc w:val="center"/>
              <w:rPr>
                <w:rFonts w:ascii="Calibri" w:hAnsi="Calibri"/>
                <w:color w:val="auto"/>
                <w:szCs w:val="21"/>
              </w:rPr>
            </w:pPr>
            <w:r w:rsidRPr="00CE7805">
              <w:rPr>
                <w:rFonts w:ascii="Calibri" w:hAnsi="Calibri"/>
                <w:color w:val="auto"/>
                <w:szCs w:val="21"/>
              </w:rPr>
              <w:t>SO</w:t>
            </w:r>
            <w:r w:rsidRPr="00CE7805">
              <w:rPr>
                <w:rFonts w:ascii="Calibri" w:hAnsi="Calibri"/>
                <w:color w:val="auto"/>
                <w:szCs w:val="21"/>
                <w:vertAlign w:val="subscript"/>
              </w:rPr>
              <w:t>2</w:t>
            </w:r>
          </w:p>
        </w:tc>
        <w:tc>
          <w:tcPr>
            <w:tcW w:w="3774" w:type="dxa"/>
            <w:vAlign w:val="center"/>
          </w:tcPr>
          <w:p w14:paraId="66ECDF25" w14:textId="77777777" w:rsidR="00CE7805" w:rsidRPr="00C9037E" w:rsidRDefault="00CE7805" w:rsidP="00CE7805">
            <w:pPr>
              <w:jc w:val="center"/>
              <w:rPr>
                <w:rFonts w:ascii="Calibri" w:hAnsi="Calibri"/>
                <w:color w:val="auto"/>
                <w:szCs w:val="21"/>
              </w:rPr>
            </w:pPr>
            <w:r w:rsidRPr="00C9037E">
              <w:rPr>
                <w:rFonts w:ascii="Calibri" w:hAnsi="Calibri"/>
                <w:color w:val="auto"/>
                <w:szCs w:val="21"/>
              </w:rPr>
              <w:t>0.067</w:t>
            </w:r>
          </w:p>
        </w:tc>
      </w:tr>
      <w:tr w:rsidR="00CE7805" w:rsidRPr="00C9037E" w14:paraId="4BA709BE" w14:textId="77777777" w:rsidTr="00CE7805">
        <w:trPr>
          <w:trHeight w:val="340"/>
          <w:jc w:val="center"/>
        </w:trPr>
        <w:tc>
          <w:tcPr>
            <w:tcW w:w="2207" w:type="dxa"/>
            <w:vAlign w:val="center"/>
          </w:tcPr>
          <w:p w14:paraId="428128DB" w14:textId="77777777" w:rsidR="00CE7805" w:rsidRPr="00CE7805" w:rsidRDefault="00CE7805" w:rsidP="00CE7805">
            <w:pPr>
              <w:jc w:val="center"/>
              <w:rPr>
                <w:rFonts w:ascii="Calibri"/>
                <w:color w:val="auto"/>
                <w:szCs w:val="21"/>
              </w:rPr>
            </w:pPr>
            <w:r w:rsidRPr="00CE7805">
              <w:rPr>
                <w:rFonts w:ascii="Calibri" w:hint="eastAsia"/>
                <w:color w:val="auto"/>
                <w:szCs w:val="21"/>
              </w:rPr>
              <w:t>6</w:t>
            </w:r>
          </w:p>
        </w:tc>
        <w:tc>
          <w:tcPr>
            <w:tcW w:w="3118" w:type="dxa"/>
            <w:vAlign w:val="center"/>
          </w:tcPr>
          <w:p w14:paraId="7009338B" w14:textId="77777777" w:rsidR="00CE7805" w:rsidRPr="00CE7805" w:rsidRDefault="00CE7805" w:rsidP="00CE7805">
            <w:pPr>
              <w:jc w:val="center"/>
              <w:rPr>
                <w:rFonts w:ascii="Calibri" w:hAnsi="Calibri"/>
                <w:color w:val="auto"/>
                <w:szCs w:val="21"/>
              </w:rPr>
            </w:pPr>
            <w:r w:rsidRPr="00CE7805">
              <w:rPr>
                <w:rFonts w:ascii="Calibri" w:hAnsi="Calibri"/>
                <w:color w:val="auto"/>
                <w:szCs w:val="21"/>
              </w:rPr>
              <w:t>NOx</w:t>
            </w:r>
          </w:p>
        </w:tc>
        <w:tc>
          <w:tcPr>
            <w:tcW w:w="3774" w:type="dxa"/>
            <w:vAlign w:val="center"/>
          </w:tcPr>
          <w:p w14:paraId="2C0B6178" w14:textId="77777777" w:rsidR="00CE7805" w:rsidRPr="00C9037E" w:rsidRDefault="00CE7805" w:rsidP="00CE7805">
            <w:pPr>
              <w:jc w:val="center"/>
              <w:rPr>
                <w:rFonts w:ascii="Calibri" w:hAnsi="Calibri"/>
                <w:color w:val="auto"/>
                <w:szCs w:val="21"/>
              </w:rPr>
            </w:pPr>
            <w:r w:rsidRPr="00C9037E">
              <w:rPr>
                <w:rFonts w:ascii="Calibri" w:hAnsi="Calibri"/>
                <w:color w:val="auto"/>
                <w:szCs w:val="21"/>
              </w:rPr>
              <w:t>0.51</w:t>
            </w:r>
          </w:p>
        </w:tc>
      </w:tr>
      <w:tr w:rsidR="00C9037E" w:rsidRPr="00C9037E" w14:paraId="08A36D85" w14:textId="77777777" w:rsidTr="00CE7805">
        <w:trPr>
          <w:trHeight w:val="340"/>
          <w:jc w:val="center"/>
        </w:trPr>
        <w:tc>
          <w:tcPr>
            <w:tcW w:w="2207" w:type="dxa"/>
            <w:vAlign w:val="center"/>
          </w:tcPr>
          <w:p w14:paraId="622D8CFF" w14:textId="77777777" w:rsidR="00C9037E" w:rsidRPr="00CE7805" w:rsidRDefault="00C9037E" w:rsidP="00C9037E">
            <w:pPr>
              <w:jc w:val="center"/>
              <w:rPr>
                <w:rFonts w:ascii="Calibri"/>
                <w:color w:val="auto"/>
                <w:szCs w:val="21"/>
              </w:rPr>
            </w:pPr>
            <w:r w:rsidRPr="00CE7805">
              <w:rPr>
                <w:rFonts w:ascii="Calibri" w:hint="eastAsia"/>
                <w:color w:val="auto"/>
                <w:szCs w:val="21"/>
              </w:rPr>
              <w:t>7</w:t>
            </w:r>
          </w:p>
        </w:tc>
        <w:tc>
          <w:tcPr>
            <w:tcW w:w="3118" w:type="dxa"/>
            <w:vAlign w:val="center"/>
          </w:tcPr>
          <w:p w14:paraId="0886FDB7" w14:textId="77777777" w:rsidR="00C9037E" w:rsidRPr="00CE7805" w:rsidRDefault="00C9037E" w:rsidP="00C9037E">
            <w:pPr>
              <w:jc w:val="center"/>
              <w:rPr>
                <w:rFonts w:ascii="Calibri" w:hAnsi="Calibri"/>
                <w:color w:val="auto"/>
                <w:szCs w:val="21"/>
              </w:rPr>
            </w:pPr>
            <w:r w:rsidRPr="00CE7805">
              <w:rPr>
                <w:rFonts w:ascii="Calibri" w:hAnsi="Calibri"/>
                <w:color w:val="auto"/>
                <w:szCs w:val="21"/>
              </w:rPr>
              <w:t>H</w:t>
            </w:r>
            <w:r w:rsidRPr="00CE7805">
              <w:rPr>
                <w:rFonts w:ascii="Calibri" w:hAnsi="Calibri"/>
                <w:color w:val="auto"/>
                <w:szCs w:val="21"/>
                <w:vertAlign w:val="subscript"/>
              </w:rPr>
              <w:t>2</w:t>
            </w:r>
            <w:r w:rsidRPr="00CE7805">
              <w:rPr>
                <w:rFonts w:ascii="Calibri" w:hAnsi="Calibri"/>
                <w:color w:val="auto"/>
                <w:szCs w:val="21"/>
              </w:rPr>
              <w:t>S</w:t>
            </w:r>
          </w:p>
        </w:tc>
        <w:tc>
          <w:tcPr>
            <w:tcW w:w="3774" w:type="dxa"/>
            <w:vAlign w:val="center"/>
          </w:tcPr>
          <w:p w14:paraId="3DBFF83F" w14:textId="2323A5A7" w:rsidR="00C9037E" w:rsidRPr="00CE7805" w:rsidRDefault="007E62BE" w:rsidP="007E62BE">
            <w:pPr>
              <w:jc w:val="center"/>
              <w:rPr>
                <w:rFonts w:ascii="Calibri" w:hAnsi="Calibri"/>
                <w:color w:val="auto"/>
                <w:szCs w:val="21"/>
              </w:rPr>
            </w:pPr>
            <w:r w:rsidRPr="007E62BE">
              <w:rPr>
                <w:rFonts w:ascii="Calibri" w:hAnsi="Calibri"/>
                <w:color w:val="auto"/>
                <w:szCs w:val="21"/>
              </w:rPr>
              <w:t>0.00042</w:t>
            </w:r>
          </w:p>
        </w:tc>
      </w:tr>
    </w:tbl>
    <w:p w14:paraId="00AD38A0" w14:textId="77777777" w:rsidR="00271ACD" w:rsidRPr="00C9037E" w:rsidRDefault="00271ACD" w:rsidP="00C9037E">
      <w:pPr>
        <w:jc w:val="center"/>
        <w:rPr>
          <w:rFonts w:ascii="Calibri"/>
          <w:color w:val="FF0000"/>
          <w:szCs w:val="21"/>
        </w:rPr>
      </w:pPr>
    </w:p>
    <w:p w14:paraId="1061F32C" w14:textId="77777777" w:rsidR="009058A1" w:rsidRPr="00A964FF" w:rsidRDefault="009058A1" w:rsidP="009058A1">
      <w:pPr>
        <w:pStyle w:val="00"/>
        <w:rPr>
          <w:rFonts w:ascii="Calibri" w:hAnsi="Calibri"/>
          <w:noProof/>
          <w:color w:val="auto"/>
        </w:rPr>
      </w:pPr>
      <w:r w:rsidRPr="00A964FF">
        <w:rPr>
          <w:rFonts w:ascii="Calibri" w:hAnsi="Calibri" w:hint="eastAsia"/>
          <w:noProof/>
          <w:color w:val="auto"/>
        </w:rPr>
        <w:t>②</w:t>
      </w:r>
      <w:r w:rsidRPr="00A964FF">
        <w:rPr>
          <w:rFonts w:ascii="Calibri" w:hAnsi="Calibri" w:hint="eastAsia"/>
          <w:noProof/>
          <w:color w:val="auto"/>
        </w:rPr>
        <w:t xml:space="preserve"> </w:t>
      </w:r>
      <w:r w:rsidRPr="00A964FF">
        <w:rPr>
          <w:rFonts w:ascii="Calibri" w:hAnsi="Calibri" w:hint="eastAsia"/>
          <w:noProof/>
          <w:color w:val="auto"/>
        </w:rPr>
        <w:t>废水</w:t>
      </w:r>
      <w:r w:rsidR="005C500B" w:rsidRPr="00A964FF">
        <w:rPr>
          <w:rFonts w:ascii="Calibri" w:hAnsi="Calibri" w:hint="eastAsia"/>
          <w:noProof/>
          <w:color w:val="auto"/>
        </w:rPr>
        <w:t>污染物</w:t>
      </w:r>
      <w:r w:rsidRPr="00A964FF">
        <w:rPr>
          <w:rFonts w:ascii="Calibri" w:hAnsi="Calibri" w:hint="eastAsia"/>
          <w:noProof/>
          <w:color w:val="auto"/>
        </w:rPr>
        <w:t>排放清单</w:t>
      </w:r>
    </w:p>
    <w:p w14:paraId="18BA966F" w14:textId="77777777" w:rsidR="005C500B" w:rsidRPr="00A964FF" w:rsidRDefault="005C500B" w:rsidP="005C500B">
      <w:pPr>
        <w:pStyle w:val="00"/>
        <w:rPr>
          <w:rFonts w:ascii="Calibri" w:hAnsi="Calibri"/>
          <w:noProof/>
          <w:color w:val="auto"/>
        </w:rPr>
      </w:pPr>
      <w:r w:rsidRPr="00A964FF">
        <w:rPr>
          <w:rFonts w:ascii="Calibri" w:hAnsi="Calibri" w:hint="eastAsia"/>
          <w:noProof/>
          <w:color w:val="auto"/>
        </w:rPr>
        <w:t>本项目废水污染物排放情况见表</w:t>
      </w:r>
      <w:r w:rsidRPr="00A964FF">
        <w:rPr>
          <w:rFonts w:ascii="Calibri" w:hAnsi="Calibri" w:hint="eastAsia"/>
          <w:noProof/>
          <w:color w:val="auto"/>
        </w:rPr>
        <w:t>7.1-5</w:t>
      </w:r>
      <w:r w:rsidRPr="00A964FF">
        <w:rPr>
          <w:rFonts w:ascii="Calibri" w:hAnsi="Calibri" w:hint="eastAsia"/>
          <w:noProof/>
          <w:color w:val="auto"/>
        </w:rPr>
        <w:t>。</w:t>
      </w:r>
    </w:p>
    <w:p w14:paraId="4929EF30" w14:textId="77777777" w:rsidR="005C500B" w:rsidRPr="00A964FF" w:rsidRDefault="005C500B" w:rsidP="005C500B">
      <w:pPr>
        <w:widowControl/>
        <w:spacing w:line="520" w:lineRule="exact"/>
        <w:ind w:firstLineChars="200" w:firstLine="480"/>
        <w:rPr>
          <w:rFonts w:ascii="Calibri" w:hAnsi="Calibri"/>
          <w:color w:val="auto"/>
          <w:szCs w:val="21"/>
        </w:rPr>
      </w:pPr>
      <w:r w:rsidRPr="00A964FF">
        <w:rPr>
          <w:rFonts w:ascii="Calibri" w:eastAsia="黑体" w:hAnsi="Calibri"/>
          <w:noProof/>
          <w:color w:val="auto"/>
          <w:sz w:val="24"/>
        </w:rPr>
        <w:t>表</w:t>
      </w:r>
      <w:r w:rsidRPr="00A964FF">
        <w:rPr>
          <w:rFonts w:ascii="Calibri" w:eastAsia="黑体" w:hAnsi="Calibri" w:hint="eastAsia"/>
          <w:noProof/>
          <w:color w:val="auto"/>
          <w:sz w:val="24"/>
        </w:rPr>
        <w:t>7.1</w:t>
      </w:r>
      <w:r w:rsidRPr="00A964FF">
        <w:rPr>
          <w:rFonts w:ascii="Calibri" w:eastAsia="黑体" w:hAnsi="Calibri"/>
          <w:noProof/>
          <w:color w:val="auto"/>
          <w:sz w:val="24"/>
        </w:rPr>
        <w:t>-</w:t>
      </w:r>
      <w:r w:rsidRPr="00A964FF">
        <w:rPr>
          <w:rFonts w:ascii="Calibri" w:eastAsia="黑体" w:hAnsi="Calibri" w:hint="eastAsia"/>
          <w:noProof/>
          <w:color w:val="auto"/>
          <w:sz w:val="24"/>
        </w:rPr>
        <w:t>5</w:t>
      </w:r>
      <w:r w:rsidRPr="00A964FF">
        <w:rPr>
          <w:rFonts w:ascii="Calibri" w:eastAsia="黑体" w:hAnsi="Calibri"/>
          <w:noProof/>
          <w:color w:val="auto"/>
          <w:sz w:val="24"/>
        </w:rPr>
        <w:t xml:space="preserve">       </w:t>
      </w:r>
      <w:r w:rsidR="00AA575B" w:rsidRPr="00A964FF">
        <w:rPr>
          <w:rFonts w:ascii="Calibri" w:eastAsia="黑体" w:hAnsi="Calibri" w:hint="eastAsia"/>
          <w:noProof/>
          <w:color w:val="auto"/>
          <w:sz w:val="24"/>
        </w:rPr>
        <w:t xml:space="preserve">     </w:t>
      </w:r>
      <w:r w:rsidRPr="00A964FF">
        <w:rPr>
          <w:rFonts w:ascii="Calibri" w:eastAsia="黑体" w:hAnsi="Calibri"/>
          <w:noProof/>
          <w:color w:val="auto"/>
          <w:sz w:val="24"/>
        </w:rPr>
        <w:t xml:space="preserve">   </w:t>
      </w:r>
      <w:r w:rsidR="00AA575B" w:rsidRPr="00A964FF">
        <w:rPr>
          <w:rFonts w:ascii="Calibri" w:eastAsia="黑体" w:hAnsi="Calibri" w:hint="eastAsia"/>
          <w:noProof/>
          <w:color w:val="auto"/>
          <w:sz w:val="24"/>
        </w:rPr>
        <w:t>废水</w:t>
      </w:r>
      <w:r w:rsidRPr="00A964FF">
        <w:rPr>
          <w:rFonts w:ascii="Calibri" w:eastAsia="黑体" w:hAnsi="Calibri"/>
          <w:noProof/>
          <w:color w:val="auto"/>
          <w:sz w:val="24"/>
        </w:rPr>
        <w:t>污染物</w:t>
      </w:r>
      <w:r w:rsidRPr="00A964FF">
        <w:rPr>
          <w:rFonts w:ascii="Calibri" w:eastAsia="黑体" w:hAnsi="Calibri" w:hint="eastAsia"/>
          <w:noProof/>
          <w:color w:val="auto"/>
          <w:sz w:val="24"/>
        </w:rPr>
        <w:t>排放</w:t>
      </w:r>
      <w:r w:rsidRPr="00A964FF">
        <w:rPr>
          <w:rFonts w:ascii="Calibri" w:eastAsia="黑体" w:hAnsi="Calibri"/>
          <w:noProof/>
          <w:color w:val="auto"/>
          <w:sz w:val="24"/>
        </w:rPr>
        <w:t>情况汇总表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4"/>
        <w:gridCol w:w="2051"/>
        <w:gridCol w:w="1517"/>
        <w:gridCol w:w="1486"/>
        <w:gridCol w:w="1486"/>
        <w:gridCol w:w="1486"/>
      </w:tblGrid>
      <w:tr w:rsidR="00AA575B" w:rsidRPr="00A964FF" w14:paraId="51C8822B" w14:textId="77777777" w:rsidTr="00AA575B">
        <w:trPr>
          <w:trHeight w:val="369"/>
          <w:jc w:val="center"/>
        </w:trPr>
        <w:tc>
          <w:tcPr>
            <w:tcW w:w="387" w:type="pct"/>
            <w:tcMar>
              <w:top w:w="0" w:type="dxa"/>
              <w:bottom w:w="0" w:type="dxa"/>
            </w:tcMar>
            <w:vAlign w:val="center"/>
          </w:tcPr>
          <w:p w14:paraId="68C9D1E0" w14:textId="77777777" w:rsidR="00AA575B" w:rsidRPr="00A964FF" w:rsidRDefault="00AA575B" w:rsidP="001A4177">
            <w:pPr>
              <w:pStyle w:val="af6"/>
              <w:rPr>
                <w:rFonts w:ascii="Calibri" w:hAnsi="Calibri"/>
                <w:color w:val="auto"/>
              </w:rPr>
            </w:pPr>
            <w:r w:rsidRPr="00A964FF">
              <w:rPr>
                <w:rFonts w:ascii="Calibri" w:hAnsi="Calibri"/>
                <w:color w:val="auto"/>
              </w:rPr>
              <w:t>类别</w:t>
            </w:r>
          </w:p>
        </w:tc>
        <w:tc>
          <w:tcPr>
            <w:tcW w:w="1179" w:type="pct"/>
            <w:tcMar>
              <w:top w:w="0" w:type="dxa"/>
              <w:bottom w:w="0" w:type="dxa"/>
            </w:tcMar>
            <w:vAlign w:val="center"/>
          </w:tcPr>
          <w:p w14:paraId="218560D5" w14:textId="77777777" w:rsidR="00AA575B" w:rsidRPr="00A964FF" w:rsidRDefault="00AA575B" w:rsidP="001A4177">
            <w:pPr>
              <w:pStyle w:val="af6"/>
              <w:rPr>
                <w:rFonts w:ascii="Calibri" w:hAnsi="Calibri"/>
                <w:color w:val="auto"/>
              </w:rPr>
            </w:pPr>
            <w:r w:rsidRPr="00A964FF">
              <w:rPr>
                <w:rFonts w:ascii="Calibri" w:hAnsi="Calibri" w:hint="eastAsia"/>
                <w:color w:val="auto"/>
              </w:rPr>
              <w:t>排污口编号</w:t>
            </w:r>
          </w:p>
        </w:tc>
        <w:tc>
          <w:tcPr>
            <w:tcW w:w="872" w:type="pct"/>
            <w:tcMar>
              <w:top w:w="0" w:type="dxa"/>
              <w:bottom w:w="0" w:type="dxa"/>
            </w:tcMar>
            <w:vAlign w:val="center"/>
          </w:tcPr>
          <w:p w14:paraId="14E098C8" w14:textId="77777777" w:rsidR="00AA575B" w:rsidRPr="00A964FF" w:rsidRDefault="00AA575B" w:rsidP="001A4177">
            <w:pPr>
              <w:pStyle w:val="af6"/>
              <w:rPr>
                <w:rFonts w:ascii="Calibri" w:hAnsi="Calibri"/>
                <w:color w:val="auto"/>
              </w:rPr>
            </w:pPr>
            <w:r w:rsidRPr="00A964FF">
              <w:rPr>
                <w:rFonts w:ascii="Calibri" w:hAnsi="Calibri"/>
                <w:color w:val="auto"/>
              </w:rPr>
              <w:t>污染因子</w:t>
            </w:r>
          </w:p>
        </w:tc>
        <w:tc>
          <w:tcPr>
            <w:tcW w:w="854" w:type="pct"/>
            <w:tcMar>
              <w:top w:w="0" w:type="dxa"/>
              <w:bottom w:w="0" w:type="dxa"/>
            </w:tcMar>
            <w:vAlign w:val="center"/>
          </w:tcPr>
          <w:p w14:paraId="0751FC7D" w14:textId="77777777" w:rsidR="00AA575B" w:rsidRPr="00A964FF" w:rsidRDefault="00AA575B" w:rsidP="001A4177">
            <w:pPr>
              <w:jc w:val="center"/>
              <w:rPr>
                <w:rFonts w:ascii="Calibri" w:hAnsi="Calibri"/>
                <w:color w:val="auto"/>
                <w:szCs w:val="21"/>
              </w:rPr>
            </w:pPr>
            <w:r w:rsidRPr="00A964FF">
              <w:rPr>
                <w:rFonts w:ascii="Calibri" w:hAnsi="Calibri"/>
                <w:color w:val="auto"/>
                <w:szCs w:val="21"/>
              </w:rPr>
              <w:t>排放浓度</w:t>
            </w:r>
          </w:p>
          <w:p w14:paraId="6F4FF3FD" w14:textId="77777777" w:rsidR="00AA575B" w:rsidRPr="00A964FF" w:rsidRDefault="00AA575B" w:rsidP="001A4177">
            <w:pPr>
              <w:jc w:val="center"/>
              <w:rPr>
                <w:rFonts w:ascii="Calibri" w:hAnsi="Calibri"/>
                <w:color w:val="auto"/>
                <w:szCs w:val="21"/>
              </w:rPr>
            </w:pPr>
            <w:r w:rsidRPr="00A964FF">
              <w:rPr>
                <w:rFonts w:ascii="Calibri" w:hAnsi="Calibri"/>
                <w:color w:val="auto"/>
                <w:szCs w:val="21"/>
              </w:rPr>
              <w:t>（</w:t>
            </w:r>
            <w:r w:rsidRPr="00A964FF">
              <w:rPr>
                <w:rFonts w:ascii="Calibri" w:hAnsi="Calibri"/>
                <w:color w:val="auto"/>
                <w:szCs w:val="21"/>
              </w:rPr>
              <w:t>mg/L</w:t>
            </w:r>
            <w:r w:rsidRPr="00A964FF">
              <w:rPr>
                <w:rFonts w:ascii="Calibri" w:hAnsi="Calibri"/>
                <w:color w:val="auto"/>
                <w:szCs w:val="21"/>
              </w:rPr>
              <w:t>）</w:t>
            </w:r>
          </w:p>
        </w:tc>
        <w:tc>
          <w:tcPr>
            <w:tcW w:w="854" w:type="pct"/>
            <w:tcMar>
              <w:top w:w="0" w:type="dxa"/>
              <w:bottom w:w="0" w:type="dxa"/>
            </w:tcMar>
            <w:vAlign w:val="center"/>
          </w:tcPr>
          <w:p w14:paraId="69503408" w14:textId="77777777" w:rsidR="00AA575B" w:rsidRPr="00A964FF" w:rsidRDefault="00AA575B" w:rsidP="001A4177">
            <w:pPr>
              <w:jc w:val="center"/>
              <w:rPr>
                <w:rFonts w:ascii="Calibri" w:hAnsi="Calibri"/>
                <w:color w:val="auto"/>
                <w:szCs w:val="21"/>
              </w:rPr>
            </w:pPr>
            <w:r w:rsidRPr="00A964FF">
              <w:rPr>
                <w:rFonts w:ascii="Calibri" w:hAnsi="Calibri"/>
                <w:color w:val="auto"/>
                <w:szCs w:val="21"/>
              </w:rPr>
              <w:t>日排放量</w:t>
            </w:r>
          </w:p>
          <w:p w14:paraId="44E91250" w14:textId="77777777" w:rsidR="00AA575B" w:rsidRPr="00A964FF" w:rsidRDefault="00AA575B" w:rsidP="00AA575B">
            <w:pPr>
              <w:jc w:val="center"/>
              <w:rPr>
                <w:rFonts w:ascii="Calibri" w:hAnsi="Calibri"/>
                <w:color w:val="auto"/>
                <w:szCs w:val="21"/>
              </w:rPr>
            </w:pPr>
            <w:r w:rsidRPr="00A964FF">
              <w:rPr>
                <w:rFonts w:ascii="Calibri" w:hAnsi="Calibri"/>
                <w:color w:val="auto"/>
                <w:szCs w:val="21"/>
              </w:rPr>
              <w:t>（</w:t>
            </w:r>
            <w:r w:rsidRPr="00A964FF">
              <w:rPr>
                <w:rFonts w:ascii="Calibri" w:hAnsi="Calibri" w:hint="eastAsia"/>
                <w:color w:val="auto"/>
                <w:szCs w:val="21"/>
              </w:rPr>
              <w:t>t</w:t>
            </w:r>
            <w:r w:rsidRPr="00A964FF">
              <w:rPr>
                <w:rFonts w:ascii="Calibri" w:hAnsi="Calibri"/>
                <w:color w:val="auto"/>
                <w:szCs w:val="21"/>
              </w:rPr>
              <w:t>/d</w:t>
            </w:r>
            <w:r w:rsidRPr="00A964FF">
              <w:rPr>
                <w:rFonts w:ascii="Calibri" w:hAnsi="Calibri"/>
                <w:color w:val="auto"/>
                <w:szCs w:val="21"/>
              </w:rPr>
              <w:t>）</w:t>
            </w:r>
          </w:p>
        </w:tc>
        <w:tc>
          <w:tcPr>
            <w:tcW w:w="854" w:type="pct"/>
            <w:tcMar>
              <w:top w:w="0" w:type="dxa"/>
              <w:bottom w:w="0" w:type="dxa"/>
            </w:tcMar>
            <w:vAlign w:val="center"/>
          </w:tcPr>
          <w:p w14:paraId="3C70671F" w14:textId="77777777" w:rsidR="00AA575B" w:rsidRPr="00A964FF" w:rsidRDefault="00AA575B" w:rsidP="001A4177">
            <w:pPr>
              <w:pStyle w:val="af6"/>
              <w:rPr>
                <w:rFonts w:ascii="Calibri" w:hAnsi="Calibri"/>
                <w:color w:val="auto"/>
                <w:szCs w:val="21"/>
              </w:rPr>
            </w:pPr>
            <w:r w:rsidRPr="00A964FF">
              <w:rPr>
                <w:rFonts w:ascii="Calibri" w:hAnsi="Calibri"/>
                <w:color w:val="auto"/>
                <w:szCs w:val="21"/>
              </w:rPr>
              <w:t>年排放量</w:t>
            </w:r>
          </w:p>
          <w:p w14:paraId="3F30E4DB" w14:textId="77777777" w:rsidR="00AA575B" w:rsidRPr="00A964FF" w:rsidRDefault="00AA575B" w:rsidP="001A4177">
            <w:pPr>
              <w:pStyle w:val="af6"/>
              <w:rPr>
                <w:rFonts w:ascii="Calibri" w:hAnsi="Calibri"/>
                <w:color w:val="auto"/>
              </w:rPr>
            </w:pPr>
            <w:r w:rsidRPr="00A964FF">
              <w:rPr>
                <w:rFonts w:ascii="Calibri" w:hAnsi="Calibri"/>
                <w:color w:val="auto"/>
                <w:szCs w:val="21"/>
              </w:rPr>
              <w:t>（</w:t>
            </w:r>
            <w:r w:rsidRPr="00A964FF">
              <w:rPr>
                <w:rFonts w:ascii="Calibri" w:hAnsi="Calibri"/>
                <w:color w:val="auto"/>
                <w:szCs w:val="21"/>
              </w:rPr>
              <w:t>t/a</w:t>
            </w:r>
            <w:r w:rsidRPr="00A964FF">
              <w:rPr>
                <w:rFonts w:ascii="Calibri" w:hAnsi="Calibri"/>
                <w:color w:val="auto"/>
                <w:szCs w:val="21"/>
              </w:rPr>
              <w:t>）</w:t>
            </w:r>
          </w:p>
        </w:tc>
      </w:tr>
      <w:tr w:rsidR="00921255" w:rsidRPr="00A964FF" w14:paraId="32842A18" w14:textId="77777777" w:rsidTr="00AA575B">
        <w:trPr>
          <w:trHeight w:val="369"/>
          <w:jc w:val="center"/>
        </w:trPr>
        <w:tc>
          <w:tcPr>
            <w:tcW w:w="387" w:type="pct"/>
            <w:vMerge w:val="restart"/>
            <w:tcMar>
              <w:top w:w="0" w:type="dxa"/>
              <w:bottom w:w="0" w:type="dxa"/>
            </w:tcMar>
            <w:vAlign w:val="center"/>
          </w:tcPr>
          <w:p w14:paraId="143698F2" w14:textId="77777777" w:rsidR="00921255" w:rsidRPr="00A964FF" w:rsidRDefault="00921255" w:rsidP="001A4177">
            <w:pPr>
              <w:tabs>
                <w:tab w:val="left" w:pos="567"/>
              </w:tabs>
              <w:snapToGrid w:val="0"/>
              <w:jc w:val="center"/>
              <w:rPr>
                <w:rFonts w:ascii="Calibri" w:hAnsi="Calibri"/>
                <w:color w:val="auto"/>
                <w:szCs w:val="21"/>
              </w:rPr>
            </w:pPr>
            <w:r w:rsidRPr="00A964FF">
              <w:rPr>
                <w:rFonts w:ascii="Calibri" w:hAnsi="Calibri"/>
                <w:color w:val="auto"/>
                <w:szCs w:val="21"/>
              </w:rPr>
              <w:t>废水</w:t>
            </w:r>
          </w:p>
        </w:tc>
        <w:tc>
          <w:tcPr>
            <w:tcW w:w="1179" w:type="pct"/>
            <w:vMerge w:val="restart"/>
            <w:tcMar>
              <w:top w:w="0" w:type="dxa"/>
              <w:bottom w:w="0" w:type="dxa"/>
            </w:tcMar>
            <w:vAlign w:val="center"/>
          </w:tcPr>
          <w:p w14:paraId="0D962FEB" w14:textId="77777777" w:rsidR="00921255" w:rsidRPr="00A964FF" w:rsidRDefault="00921255" w:rsidP="001A4177">
            <w:pPr>
              <w:tabs>
                <w:tab w:val="left" w:pos="567"/>
              </w:tabs>
              <w:snapToGrid w:val="0"/>
              <w:jc w:val="center"/>
              <w:rPr>
                <w:rFonts w:ascii="Calibri" w:hAnsi="Calibri"/>
                <w:color w:val="auto"/>
                <w:kern w:val="0"/>
                <w:szCs w:val="21"/>
              </w:rPr>
            </w:pPr>
            <w:r>
              <w:rPr>
                <w:rFonts w:ascii="Calibri" w:hint="eastAsia"/>
                <w:color w:val="auto"/>
              </w:rPr>
              <w:t>DW</w:t>
            </w:r>
            <w:r w:rsidRPr="00A964FF">
              <w:rPr>
                <w:rFonts w:ascii="Calibri" w:hint="eastAsia"/>
                <w:color w:val="auto"/>
              </w:rPr>
              <w:t>001</w:t>
            </w:r>
          </w:p>
          <w:p w14:paraId="55B90018" w14:textId="77777777" w:rsidR="00921255" w:rsidRPr="00A964FF" w:rsidRDefault="00921255" w:rsidP="00930417">
            <w:pPr>
              <w:tabs>
                <w:tab w:val="left" w:pos="567"/>
              </w:tabs>
              <w:snapToGrid w:val="0"/>
              <w:jc w:val="center"/>
              <w:rPr>
                <w:rFonts w:ascii="Calibri" w:hAnsi="Calibri"/>
                <w:color w:val="auto"/>
                <w:kern w:val="0"/>
                <w:szCs w:val="21"/>
              </w:rPr>
            </w:pPr>
            <w:r w:rsidRPr="00A964FF">
              <w:rPr>
                <w:rFonts w:ascii="Calibri" w:hAnsi="Calibri" w:hint="eastAsia"/>
                <w:color w:val="auto"/>
                <w:kern w:val="0"/>
                <w:szCs w:val="21"/>
              </w:rPr>
              <w:t>废水总排放口</w:t>
            </w:r>
          </w:p>
        </w:tc>
        <w:tc>
          <w:tcPr>
            <w:tcW w:w="872" w:type="pct"/>
            <w:tcMar>
              <w:top w:w="0" w:type="dxa"/>
              <w:bottom w:w="0" w:type="dxa"/>
            </w:tcMar>
            <w:vAlign w:val="center"/>
          </w:tcPr>
          <w:p w14:paraId="35457BA0" w14:textId="77777777" w:rsidR="00921255" w:rsidRPr="00A964FF" w:rsidRDefault="00921255" w:rsidP="001A4177">
            <w:pPr>
              <w:autoSpaceDE w:val="0"/>
              <w:autoSpaceDN w:val="0"/>
              <w:adjustRightInd w:val="0"/>
              <w:jc w:val="center"/>
              <w:rPr>
                <w:rFonts w:ascii="Calibri" w:hAnsi="Calibri"/>
                <w:color w:val="auto"/>
                <w:szCs w:val="21"/>
              </w:rPr>
            </w:pPr>
            <w:r w:rsidRPr="00A964FF">
              <w:rPr>
                <w:rFonts w:ascii="Calibri" w:hAnsi="Calibri"/>
                <w:color w:val="auto"/>
                <w:szCs w:val="21"/>
              </w:rPr>
              <w:t>废水量</w:t>
            </w:r>
          </w:p>
        </w:tc>
        <w:tc>
          <w:tcPr>
            <w:tcW w:w="854" w:type="pct"/>
            <w:tcMar>
              <w:top w:w="0" w:type="dxa"/>
              <w:bottom w:w="0" w:type="dxa"/>
            </w:tcMar>
            <w:vAlign w:val="center"/>
          </w:tcPr>
          <w:p w14:paraId="45A479F9" w14:textId="77777777" w:rsidR="00921255" w:rsidRPr="00A964FF" w:rsidRDefault="00921255" w:rsidP="001A4177">
            <w:pPr>
              <w:autoSpaceDE w:val="0"/>
              <w:autoSpaceDN w:val="0"/>
              <w:adjustRightInd w:val="0"/>
              <w:jc w:val="center"/>
              <w:rPr>
                <w:rFonts w:ascii="Calibri" w:hAnsi="Calibri"/>
                <w:color w:val="auto"/>
                <w:szCs w:val="21"/>
              </w:rPr>
            </w:pPr>
            <w:r w:rsidRPr="00A964FF">
              <w:rPr>
                <w:rFonts w:ascii="Calibri" w:hAnsi="Calibri" w:hint="eastAsia"/>
                <w:color w:val="auto"/>
                <w:szCs w:val="21"/>
              </w:rPr>
              <w:t>/</w:t>
            </w:r>
          </w:p>
        </w:tc>
        <w:tc>
          <w:tcPr>
            <w:tcW w:w="854" w:type="pct"/>
            <w:tcMar>
              <w:top w:w="0" w:type="dxa"/>
              <w:bottom w:w="0" w:type="dxa"/>
            </w:tcMar>
            <w:vAlign w:val="center"/>
          </w:tcPr>
          <w:p w14:paraId="51E81EEC" w14:textId="2D10EC68" w:rsidR="00921255" w:rsidRPr="00A964FF" w:rsidRDefault="00921255" w:rsidP="001A4177">
            <w:pPr>
              <w:jc w:val="center"/>
              <w:rPr>
                <w:rFonts w:ascii="Calibri" w:hAnsi="Calibri"/>
                <w:snapToGrid w:val="0"/>
                <w:color w:val="auto"/>
                <w:szCs w:val="21"/>
              </w:rPr>
            </w:pPr>
            <w:r>
              <w:rPr>
                <w:rFonts w:ascii="Calibri"/>
              </w:rPr>
              <w:t>51.30</w:t>
            </w:r>
          </w:p>
        </w:tc>
        <w:tc>
          <w:tcPr>
            <w:tcW w:w="854" w:type="pct"/>
            <w:tcMar>
              <w:top w:w="0" w:type="dxa"/>
              <w:bottom w:w="0" w:type="dxa"/>
            </w:tcMar>
            <w:vAlign w:val="center"/>
          </w:tcPr>
          <w:p w14:paraId="50F718ED" w14:textId="7D163ACA" w:rsidR="00921255" w:rsidRPr="00921255" w:rsidRDefault="00921255" w:rsidP="00921255">
            <w:pPr>
              <w:autoSpaceDE w:val="0"/>
              <w:autoSpaceDN w:val="0"/>
              <w:adjustRightInd w:val="0"/>
              <w:jc w:val="center"/>
              <w:rPr>
                <w:rFonts w:asciiTheme="minorHAnsi" w:hAnsiTheme="minorHAnsi"/>
                <w:kern w:val="0"/>
                <w:szCs w:val="21"/>
              </w:rPr>
            </w:pPr>
            <w:r w:rsidRPr="00921255">
              <w:rPr>
                <w:rFonts w:asciiTheme="minorHAnsi" w:hAnsiTheme="minorHAnsi"/>
                <w:kern w:val="0"/>
                <w:szCs w:val="21"/>
              </w:rPr>
              <w:t>15394.855</w:t>
            </w:r>
          </w:p>
        </w:tc>
      </w:tr>
      <w:tr w:rsidR="00921255" w:rsidRPr="00A964FF" w14:paraId="0C500E9D" w14:textId="77777777" w:rsidTr="00AA575B">
        <w:trPr>
          <w:trHeight w:val="369"/>
          <w:jc w:val="center"/>
        </w:trPr>
        <w:tc>
          <w:tcPr>
            <w:tcW w:w="387" w:type="pct"/>
            <w:vMerge/>
            <w:tcMar>
              <w:top w:w="0" w:type="dxa"/>
              <w:bottom w:w="0" w:type="dxa"/>
            </w:tcMar>
            <w:vAlign w:val="center"/>
          </w:tcPr>
          <w:p w14:paraId="134FA713" w14:textId="77777777" w:rsidR="00921255" w:rsidRPr="00A964FF" w:rsidRDefault="00921255" w:rsidP="001A4177">
            <w:pPr>
              <w:tabs>
                <w:tab w:val="left" w:pos="567"/>
              </w:tabs>
              <w:snapToGrid w:val="0"/>
              <w:jc w:val="center"/>
              <w:rPr>
                <w:rFonts w:ascii="Calibri" w:hAnsi="Calibri"/>
                <w:color w:val="auto"/>
                <w:szCs w:val="21"/>
              </w:rPr>
            </w:pPr>
          </w:p>
        </w:tc>
        <w:tc>
          <w:tcPr>
            <w:tcW w:w="1179" w:type="pct"/>
            <w:vMerge/>
            <w:tcMar>
              <w:top w:w="0" w:type="dxa"/>
              <w:bottom w:w="0" w:type="dxa"/>
            </w:tcMar>
            <w:vAlign w:val="center"/>
          </w:tcPr>
          <w:p w14:paraId="71C93AE6" w14:textId="77777777" w:rsidR="00921255" w:rsidRPr="00A964FF" w:rsidRDefault="00921255" w:rsidP="001A4177">
            <w:pPr>
              <w:tabs>
                <w:tab w:val="left" w:pos="567"/>
              </w:tabs>
              <w:snapToGrid w:val="0"/>
              <w:jc w:val="center"/>
              <w:rPr>
                <w:rFonts w:ascii="Calibri" w:hAnsi="Calibri"/>
                <w:color w:val="auto"/>
                <w:szCs w:val="21"/>
              </w:rPr>
            </w:pPr>
          </w:p>
        </w:tc>
        <w:tc>
          <w:tcPr>
            <w:tcW w:w="872" w:type="pct"/>
            <w:tcMar>
              <w:top w:w="0" w:type="dxa"/>
              <w:bottom w:w="0" w:type="dxa"/>
            </w:tcMar>
            <w:vAlign w:val="center"/>
          </w:tcPr>
          <w:p w14:paraId="4FE56FD5" w14:textId="77777777" w:rsidR="00921255" w:rsidRPr="00A964FF" w:rsidRDefault="00921255" w:rsidP="001A4177">
            <w:pPr>
              <w:jc w:val="center"/>
              <w:rPr>
                <w:rFonts w:ascii="Calibri" w:hAnsi="Calibri"/>
                <w:color w:val="auto"/>
                <w:szCs w:val="21"/>
              </w:rPr>
            </w:pPr>
            <w:r w:rsidRPr="00A964FF">
              <w:rPr>
                <w:rFonts w:ascii="Calibri" w:hAnsi="Calibri" w:hint="eastAsia"/>
                <w:color w:val="auto"/>
                <w:szCs w:val="21"/>
              </w:rPr>
              <w:t>COD</w:t>
            </w:r>
          </w:p>
        </w:tc>
        <w:tc>
          <w:tcPr>
            <w:tcW w:w="854" w:type="pct"/>
            <w:tcMar>
              <w:top w:w="0" w:type="dxa"/>
              <w:bottom w:w="0" w:type="dxa"/>
            </w:tcMar>
            <w:vAlign w:val="center"/>
          </w:tcPr>
          <w:p w14:paraId="300015F9" w14:textId="5C0C3B3A" w:rsidR="00921255" w:rsidRPr="00A964FF" w:rsidRDefault="00921255" w:rsidP="001A4177">
            <w:pPr>
              <w:autoSpaceDE w:val="0"/>
              <w:autoSpaceDN w:val="0"/>
              <w:adjustRightInd w:val="0"/>
              <w:jc w:val="center"/>
              <w:rPr>
                <w:rFonts w:ascii="Calibri" w:hAnsi="Calibri"/>
                <w:color w:val="auto"/>
                <w:szCs w:val="21"/>
              </w:rPr>
            </w:pPr>
            <w:r>
              <w:rPr>
                <w:rFonts w:asciiTheme="minorHAnsi" w:hAnsiTheme="minorHAnsi"/>
                <w:kern w:val="0"/>
                <w:szCs w:val="21"/>
              </w:rPr>
              <w:t>191.72</w:t>
            </w:r>
          </w:p>
        </w:tc>
        <w:tc>
          <w:tcPr>
            <w:tcW w:w="854" w:type="pct"/>
            <w:tcMar>
              <w:top w:w="0" w:type="dxa"/>
              <w:bottom w:w="0" w:type="dxa"/>
            </w:tcMar>
            <w:vAlign w:val="center"/>
          </w:tcPr>
          <w:p w14:paraId="0E57B1E6" w14:textId="4AF4B7FF" w:rsidR="00921255" w:rsidRPr="00A964FF" w:rsidRDefault="00921255" w:rsidP="00AD0BDD">
            <w:pPr>
              <w:autoSpaceDE w:val="0"/>
              <w:autoSpaceDN w:val="0"/>
              <w:adjustRightInd w:val="0"/>
              <w:jc w:val="center"/>
              <w:rPr>
                <w:rFonts w:ascii="Calibri" w:hAnsi="Calibri"/>
                <w:color w:val="auto"/>
                <w:szCs w:val="21"/>
              </w:rPr>
            </w:pPr>
            <w:r>
              <w:rPr>
                <w:rFonts w:ascii="Calibri" w:hAnsi="Calibri" w:hint="eastAsia"/>
                <w:color w:val="auto"/>
                <w:szCs w:val="21"/>
              </w:rPr>
              <w:t>0</w:t>
            </w:r>
            <w:r>
              <w:rPr>
                <w:rFonts w:ascii="Calibri" w:hAnsi="Calibri"/>
                <w:color w:val="auto"/>
                <w:szCs w:val="21"/>
              </w:rPr>
              <w:t>.0098</w:t>
            </w:r>
          </w:p>
        </w:tc>
        <w:tc>
          <w:tcPr>
            <w:tcW w:w="854" w:type="pct"/>
            <w:tcMar>
              <w:top w:w="0" w:type="dxa"/>
              <w:bottom w:w="0" w:type="dxa"/>
            </w:tcMar>
            <w:vAlign w:val="center"/>
          </w:tcPr>
          <w:p w14:paraId="5550801F" w14:textId="0E6DFF57" w:rsidR="00921255" w:rsidRPr="00921255" w:rsidRDefault="00921255" w:rsidP="001A4177">
            <w:pPr>
              <w:autoSpaceDE w:val="0"/>
              <w:autoSpaceDN w:val="0"/>
              <w:adjustRightInd w:val="0"/>
              <w:jc w:val="center"/>
              <w:rPr>
                <w:rFonts w:asciiTheme="minorHAnsi" w:hAnsiTheme="minorHAnsi"/>
                <w:kern w:val="0"/>
                <w:szCs w:val="21"/>
              </w:rPr>
            </w:pPr>
            <w:r w:rsidRPr="00921255">
              <w:rPr>
                <w:rFonts w:asciiTheme="minorHAnsi" w:hAnsiTheme="minorHAnsi"/>
                <w:kern w:val="0"/>
                <w:szCs w:val="21"/>
              </w:rPr>
              <w:t>2.95145</w:t>
            </w:r>
          </w:p>
        </w:tc>
      </w:tr>
      <w:tr w:rsidR="00921255" w:rsidRPr="00A964FF" w14:paraId="74E5F39E" w14:textId="77777777" w:rsidTr="00AA575B">
        <w:trPr>
          <w:trHeight w:val="369"/>
          <w:jc w:val="center"/>
        </w:trPr>
        <w:tc>
          <w:tcPr>
            <w:tcW w:w="387" w:type="pct"/>
            <w:vMerge/>
            <w:tcMar>
              <w:top w:w="0" w:type="dxa"/>
              <w:bottom w:w="0" w:type="dxa"/>
            </w:tcMar>
            <w:vAlign w:val="center"/>
          </w:tcPr>
          <w:p w14:paraId="764D5F58" w14:textId="77777777" w:rsidR="00921255" w:rsidRPr="00A964FF" w:rsidRDefault="00921255" w:rsidP="001A4177">
            <w:pPr>
              <w:tabs>
                <w:tab w:val="left" w:pos="567"/>
              </w:tabs>
              <w:snapToGrid w:val="0"/>
              <w:jc w:val="center"/>
              <w:rPr>
                <w:rFonts w:ascii="Calibri" w:hAnsi="Calibri"/>
                <w:color w:val="auto"/>
                <w:szCs w:val="21"/>
              </w:rPr>
            </w:pPr>
          </w:p>
        </w:tc>
        <w:tc>
          <w:tcPr>
            <w:tcW w:w="1179" w:type="pct"/>
            <w:vMerge/>
            <w:tcMar>
              <w:top w:w="0" w:type="dxa"/>
              <w:bottom w:w="0" w:type="dxa"/>
            </w:tcMar>
            <w:vAlign w:val="center"/>
          </w:tcPr>
          <w:p w14:paraId="114FA9A9" w14:textId="77777777" w:rsidR="00921255" w:rsidRPr="00A964FF" w:rsidRDefault="00921255" w:rsidP="001A4177">
            <w:pPr>
              <w:jc w:val="center"/>
              <w:rPr>
                <w:rFonts w:ascii="Calibri" w:hAnsi="Calibri"/>
                <w:color w:val="auto"/>
                <w:kern w:val="0"/>
                <w:szCs w:val="21"/>
              </w:rPr>
            </w:pPr>
          </w:p>
        </w:tc>
        <w:tc>
          <w:tcPr>
            <w:tcW w:w="872" w:type="pct"/>
            <w:tcMar>
              <w:top w:w="0" w:type="dxa"/>
              <w:bottom w:w="0" w:type="dxa"/>
            </w:tcMar>
            <w:vAlign w:val="center"/>
          </w:tcPr>
          <w:p w14:paraId="382C6115" w14:textId="77777777" w:rsidR="00921255" w:rsidRPr="00A964FF" w:rsidRDefault="00921255" w:rsidP="001A4177">
            <w:pPr>
              <w:autoSpaceDE w:val="0"/>
              <w:autoSpaceDN w:val="0"/>
              <w:adjustRightInd w:val="0"/>
              <w:jc w:val="center"/>
              <w:rPr>
                <w:rFonts w:ascii="Calibri" w:hAnsi="Calibri"/>
                <w:color w:val="auto"/>
                <w:szCs w:val="21"/>
              </w:rPr>
            </w:pPr>
            <w:r w:rsidRPr="00A964FF">
              <w:rPr>
                <w:rFonts w:ascii="Calibri" w:hAnsi="Calibri" w:hint="eastAsia"/>
                <w:color w:val="auto"/>
                <w:szCs w:val="21"/>
              </w:rPr>
              <w:t>BOD</w:t>
            </w:r>
            <w:r w:rsidRPr="00A964FF">
              <w:rPr>
                <w:rFonts w:ascii="Calibri" w:hAnsi="Calibri" w:hint="eastAsia"/>
                <w:color w:val="auto"/>
                <w:szCs w:val="21"/>
                <w:vertAlign w:val="subscript"/>
              </w:rPr>
              <w:t>5</w:t>
            </w:r>
          </w:p>
        </w:tc>
        <w:tc>
          <w:tcPr>
            <w:tcW w:w="854" w:type="pct"/>
            <w:tcMar>
              <w:top w:w="0" w:type="dxa"/>
              <w:bottom w:w="0" w:type="dxa"/>
            </w:tcMar>
            <w:vAlign w:val="center"/>
          </w:tcPr>
          <w:p w14:paraId="19952E4F" w14:textId="10DC059D" w:rsidR="00921255" w:rsidRPr="00A964FF" w:rsidRDefault="00921255" w:rsidP="001A4177">
            <w:pPr>
              <w:autoSpaceDE w:val="0"/>
              <w:autoSpaceDN w:val="0"/>
              <w:adjustRightInd w:val="0"/>
              <w:jc w:val="center"/>
              <w:rPr>
                <w:rFonts w:ascii="Calibri" w:hAnsi="Calibri"/>
                <w:color w:val="auto"/>
                <w:szCs w:val="21"/>
              </w:rPr>
            </w:pPr>
            <w:r>
              <w:rPr>
                <w:rFonts w:ascii="Calibri" w:hAnsi="Calibri"/>
                <w:snapToGrid w:val="0"/>
                <w:szCs w:val="21"/>
              </w:rPr>
              <w:t>102.95</w:t>
            </w:r>
          </w:p>
        </w:tc>
        <w:tc>
          <w:tcPr>
            <w:tcW w:w="854" w:type="pct"/>
            <w:tcMar>
              <w:top w:w="0" w:type="dxa"/>
              <w:bottom w:w="0" w:type="dxa"/>
            </w:tcMar>
            <w:vAlign w:val="center"/>
          </w:tcPr>
          <w:p w14:paraId="0B1E51B6" w14:textId="6D37602A" w:rsidR="00921255" w:rsidRPr="00A964FF" w:rsidRDefault="00921255" w:rsidP="001A4177">
            <w:pPr>
              <w:autoSpaceDE w:val="0"/>
              <w:autoSpaceDN w:val="0"/>
              <w:adjustRightInd w:val="0"/>
              <w:jc w:val="center"/>
              <w:rPr>
                <w:rFonts w:ascii="Calibri" w:hAnsi="Calibri"/>
                <w:color w:val="auto"/>
                <w:szCs w:val="21"/>
              </w:rPr>
            </w:pPr>
            <w:r>
              <w:rPr>
                <w:rFonts w:ascii="Calibri" w:hAnsi="Calibri" w:hint="eastAsia"/>
                <w:color w:val="auto"/>
                <w:szCs w:val="21"/>
              </w:rPr>
              <w:t>0</w:t>
            </w:r>
            <w:r>
              <w:rPr>
                <w:rFonts w:ascii="Calibri" w:hAnsi="Calibri"/>
                <w:color w:val="auto"/>
                <w:szCs w:val="21"/>
              </w:rPr>
              <w:t>.0053</w:t>
            </w:r>
          </w:p>
        </w:tc>
        <w:tc>
          <w:tcPr>
            <w:tcW w:w="854" w:type="pct"/>
            <w:tcMar>
              <w:top w:w="0" w:type="dxa"/>
              <w:bottom w:w="0" w:type="dxa"/>
            </w:tcMar>
            <w:vAlign w:val="center"/>
          </w:tcPr>
          <w:p w14:paraId="253171C2" w14:textId="53088943" w:rsidR="00921255" w:rsidRPr="00921255" w:rsidRDefault="00921255" w:rsidP="001A4177">
            <w:pPr>
              <w:autoSpaceDE w:val="0"/>
              <w:autoSpaceDN w:val="0"/>
              <w:adjustRightInd w:val="0"/>
              <w:jc w:val="center"/>
              <w:rPr>
                <w:rFonts w:asciiTheme="minorHAnsi" w:hAnsiTheme="minorHAnsi"/>
                <w:kern w:val="0"/>
                <w:szCs w:val="21"/>
              </w:rPr>
            </w:pPr>
            <w:r w:rsidRPr="00921255">
              <w:rPr>
                <w:rFonts w:asciiTheme="minorHAnsi" w:hAnsiTheme="minorHAnsi"/>
                <w:kern w:val="0"/>
                <w:szCs w:val="21"/>
              </w:rPr>
              <w:t>1.58</w:t>
            </w:r>
          </w:p>
        </w:tc>
      </w:tr>
      <w:tr w:rsidR="00921255" w:rsidRPr="00A964FF" w14:paraId="5262CFB5" w14:textId="77777777" w:rsidTr="00AA575B">
        <w:trPr>
          <w:trHeight w:val="369"/>
          <w:jc w:val="center"/>
        </w:trPr>
        <w:tc>
          <w:tcPr>
            <w:tcW w:w="387" w:type="pct"/>
            <w:vMerge/>
            <w:tcMar>
              <w:top w:w="0" w:type="dxa"/>
              <w:bottom w:w="0" w:type="dxa"/>
            </w:tcMar>
            <w:vAlign w:val="center"/>
          </w:tcPr>
          <w:p w14:paraId="34BFF3ED" w14:textId="77777777" w:rsidR="00921255" w:rsidRPr="00A964FF" w:rsidRDefault="00921255" w:rsidP="001A4177">
            <w:pPr>
              <w:tabs>
                <w:tab w:val="left" w:pos="567"/>
              </w:tabs>
              <w:snapToGrid w:val="0"/>
              <w:jc w:val="center"/>
              <w:rPr>
                <w:rFonts w:ascii="Calibri" w:hAnsi="Calibri"/>
                <w:color w:val="auto"/>
                <w:szCs w:val="21"/>
              </w:rPr>
            </w:pPr>
          </w:p>
        </w:tc>
        <w:tc>
          <w:tcPr>
            <w:tcW w:w="1179" w:type="pct"/>
            <w:vMerge/>
            <w:tcMar>
              <w:top w:w="0" w:type="dxa"/>
              <w:bottom w:w="0" w:type="dxa"/>
            </w:tcMar>
            <w:vAlign w:val="center"/>
          </w:tcPr>
          <w:p w14:paraId="42FDAAEE" w14:textId="77777777" w:rsidR="00921255" w:rsidRPr="00A964FF" w:rsidRDefault="00921255" w:rsidP="001A4177">
            <w:pPr>
              <w:jc w:val="center"/>
              <w:rPr>
                <w:rFonts w:ascii="Calibri" w:hAnsi="Calibri"/>
                <w:color w:val="auto"/>
                <w:kern w:val="0"/>
                <w:szCs w:val="21"/>
              </w:rPr>
            </w:pPr>
          </w:p>
        </w:tc>
        <w:tc>
          <w:tcPr>
            <w:tcW w:w="872" w:type="pct"/>
            <w:tcMar>
              <w:top w:w="0" w:type="dxa"/>
              <w:bottom w:w="0" w:type="dxa"/>
            </w:tcMar>
            <w:vAlign w:val="center"/>
          </w:tcPr>
          <w:p w14:paraId="18935284" w14:textId="77777777" w:rsidR="00921255" w:rsidRPr="00A964FF" w:rsidRDefault="00921255" w:rsidP="001A4177">
            <w:pPr>
              <w:autoSpaceDE w:val="0"/>
              <w:autoSpaceDN w:val="0"/>
              <w:adjustRightInd w:val="0"/>
              <w:jc w:val="center"/>
              <w:rPr>
                <w:rFonts w:ascii="Calibri" w:hAnsi="Calibri"/>
                <w:color w:val="auto"/>
                <w:szCs w:val="21"/>
              </w:rPr>
            </w:pPr>
            <w:r w:rsidRPr="00A964FF">
              <w:rPr>
                <w:rFonts w:ascii="Calibri" w:hAnsi="Calibri" w:hint="eastAsia"/>
                <w:color w:val="auto"/>
                <w:szCs w:val="21"/>
              </w:rPr>
              <w:t>SS</w:t>
            </w:r>
          </w:p>
        </w:tc>
        <w:tc>
          <w:tcPr>
            <w:tcW w:w="854" w:type="pct"/>
            <w:tcMar>
              <w:top w:w="0" w:type="dxa"/>
              <w:bottom w:w="0" w:type="dxa"/>
            </w:tcMar>
            <w:vAlign w:val="center"/>
          </w:tcPr>
          <w:p w14:paraId="66D15490" w14:textId="5A20A4F6" w:rsidR="00921255" w:rsidRPr="00A964FF" w:rsidRDefault="00921255" w:rsidP="001A4177">
            <w:pPr>
              <w:autoSpaceDE w:val="0"/>
              <w:autoSpaceDN w:val="0"/>
              <w:adjustRightInd w:val="0"/>
              <w:jc w:val="center"/>
              <w:rPr>
                <w:rFonts w:ascii="Calibri" w:hAnsi="Calibri"/>
                <w:color w:val="auto"/>
                <w:szCs w:val="21"/>
              </w:rPr>
            </w:pPr>
            <w:r>
              <w:rPr>
                <w:rFonts w:ascii="Calibri" w:hAnsi="Calibri"/>
                <w:snapToGrid w:val="0"/>
                <w:szCs w:val="21"/>
              </w:rPr>
              <w:t>25.82</w:t>
            </w:r>
          </w:p>
        </w:tc>
        <w:tc>
          <w:tcPr>
            <w:tcW w:w="854" w:type="pct"/>
            <w:tcMar>
              <w:top w:w="0" w:type="dxa"/>
              <w:bottom w:w="0" w:type="dxa"/>
            </w:tcMar>
            <w:vAlign w:val="center"/>
          </w:tcPr>
          <w:p w14:paraId="07A60483" w14:textId="0F8A675B" w:rsidR="00921255" w:rsidRPr="00A964FF" w:rsidRDefault="00921255" w:rsidP="00AD0BDD">
            <w:pPr>
              <w:autoSpaceDE w:val="0"/>
              <w:autoSpaceDN w:val="0"/>
              <w:adjustRightInd w:val="0"/>
              <w:jc w:val="center"/>
              <w:rPr>
                <w:rFonts w:ascii="Calibri" w:hAnsi="Calibri"/>
                <w:color w:val="auto"/>
                <w:szCs w:val="21"/>
              </w:rPr>
            </w:pPr>
            <w:r>
              <w:rPr>
                <w:rFonts w:ascii="Calibri" w:hAnsi="Calibri" w:hint="eastAsia"/>
                <w:color w:val="auto"/>
                <w:szCs w:val="21"/>
              </w:rPr>
              <w:t>0</w:t>
            </w:r>
            <w:r>
              <w:rPr>
                <w:rFonts w:ascii="Calibri" w:hAnsi="Calibri"/>
                <w:color w:val="auto"/>
                <w:szCs w:val="21"/>
              </w:rPr>
              <w:t>.0013</w:t>
            </w:r>
          </w:p>
        </w:tc>
        <w:tc>
          <w:tcPr>
            <w:tcW w:w="854" w:type="pct"/>
            <w:tcMar>
              <w:top w:w="0" w:type="dxa"/>
              <w:bottom w:w="0" w:type="dxa"/>
            </w:tcMar>
            <w:vAlign w:val="center"/>
          </w:tcPr>
          <w:p w14:paraId="0707D429" w14:textId="7861C69A" w:rsidR="00921255" w:rsidRPr="00921255" w:rsidRDefault="00921255" w:rsidP="001A4177">
            <w:pPr>
              <w:autoSpaceDE w:val="0"/>
              <w:autoSpaceDN w:val="0"/>
              <w:adjustRightInd w:val="0"/>
              <w:jc w:val="center"/>
              <w:rPr>
                <w:rFonts w:asciiTheme="minorHAnsi" w:hAnsiTheme="minorHAnsi"/>
                <w:kern w:val="0"/>
                <w:szCs w:val="21"/>
              </w:rPr>
            </w:pPr>
            <w:r w:rsidRPr="00921255">
              <w:rPr>
                <w:rFonts w:asciiTheme="minorHAnsi" w:hAnsiTheme="minorHAnsi"/>
                <w:kern w:val="0"/>
                <w:szCs w:val="21"/>
              </w:rPr>
              <w:t>0.39745</w:t>
            </w:r>
          </w:p>
        </w:tc>
      </w:tr>
      <w:tr w:rsidR="00921255" w:rsidRPr="00A964FF" w14:paraId="7A867A23" w14:textId="77777777" w:rsidTr="00AA575B">
        <w:trPr>
          <w:trHeight w:val="369"/>
          <w:jc w:val="center"/>
        </w:trPr>
        <w:tc>
          <w:tcPr>
            <w:tcW w:w="387" w:type="pct"/>
            <w:vMerge/>
            <w:tcMar>
              <w:top w:w="0" w:type="dxa"/>
              <w:bottom w:w="0" w:type="dxa"/>
            </w:tcMar>
            <w:vAlign w:val="center"/>
          </w:tcPr>
          <w:p w14:paraId="33C7300A" w14:textId="77777777" w:rsidR="00921255" w:rsidRPr="00A964FF" w:rsidRDefault="00921255" w:rsidP="001A4177">
            <w:pPr>
              <w:tabs>
                <w:tab w:val="left" w:pos="567"/>
              </w:tabs>
              <w:snapToGrid w:val="0"/>
              <w:jc w:val="center"/>
              <w:rPr>
                <w:rFonts w:ascii="Calibri" w:hAnsi="Calibri"/>
                <w:color w:val="auto"/>
                <w:szCs w:val="21"/>
              </w:rPr>
            </w:pPr>
          </w:p>
        </w:tc>
        <w:tc>
          <w:tcPr>
            <w:tcW w:w="1179" w:type="pct"/>
            <w:vMerge/>
            <w:tcMar>
              <w:top w:w="0" w:type="dxa"/>
              <w:bottom w:w="0" w:type="dxa"/>
            </w:tcMar>
            <w:vAlign w:val="center"/>
          </w:tcPr>
          <w:p w14:paraId="7B8ACEF0" w14:textId="77777777" w:rsidR="00921255" w:rsidRPr="00A964FF" w:rsidRDefault="00921255" w:rsidP="001A4177">
            <w:pPr>
              <w:jc w:val="center"/>
              <w:rPr>
                <w:rFonts w:ascii="Calibri" w:hAnsi="Calibri"/>
                <w:color w:val="auto"/>
                <w:kern w:val="0"/>
                <w:szCs w:val="21"/>
              </w:rPr>
            </w:pPr>
          </w:p>
        </w:tc>
        <w:tc>
          <w:tcPr>
            <w:tcW w:w="872" w:type="pct"/>
            <w:tcMar>
              <w:top w:w="0" w:type="dxa"/>
              <w:bottom w:w="0" w:type="dxa"/>
            </w:tcMar>
            <w:vAlign w:val="center"/>
          </w:tcPr>
          <w:p w14:paraId="1731CF31" w14:textId="77777777" w:rsidR="00921255" w:rsidRPr="00A964FF" w:rsidRDefault="00921255" w:rsidP="001A4177">
            <w:pPr>
              <w:autoSpaceDE w:val="0"/>
              <w:autoSpaceDN w:val="0"/>
              <w:adjustRightInd w:val="0"/>
              <w:jc w:val="center"/>
              <w:rPr>
                <w:rFonts w:ascii="Calibri" w:hAnsi="Calibri"/>
                <w:color w:val="auto"/>
                <w:szCs w:val="21"/>
              </w:rPr>
            </w:pPr>
            <w:r w:rsidRPr="00A964FF">
              <w:rPr>
                <w:rFonts w:ascii="Calibri" w:hAnsi="Calibri" w:hint="eastAsia"/>
                <w:color w:val="auto"/>
                <w:szCs w:val="21"/>
              </w:rPr>
              <w:t>NH</w:t>
            </w:r>
            <w:r w:rsidRPr="00A964FF">
              <w:rPr>
                <w:rFonts w:ascii="Calibri" w:hAnsi="Calibri" w:hint="eastAsia"/>
                <w:color w:val="auto"/>
                <w:szCs w:val="21"/>
                <w:vertAlign w:val="subscript"/>
              </w:rPr>
              <w:t>3</w:t>
            </w:r>
            <w:r w:rsidRPr="00A964FF">
              <w:rPr>
                <w:rFonts w:ascii="Calibri" w:hAnsi="Calibri" w:hint="eastAsia"/>
                <w:color w:val="auto"/>
                <w:szCs w:val="21"/>
              </w:rPr>
              <w:t>-N</w:t>
            </w:r>
          </w:p>
        </w:tc>
        <w:tc>
          <w:tcPr>
            <w:tcW w:w="854" w:type="pct"/>
            <w:tcMar>
              <w:top w:w="0" w:type="dxa"/>
              <w:bottom w:w="0" w:type="dxa"/>
            </w:tcMar>
            <w:vAlign w:val="center"/>
          </w:tcPr>
          <w:p w14:paraId="6CE643F8" w14:textId="4030FCDB" w:rsidR="00921255" w:rsidRPr="00A964FF" w:rsidRDefault="00921255" w:rsidP="001A4177">
            <w:pPr>
              <w:autoSpaceDE w:val="0"/>
              <w:autoSpaceDN w:val="0"/>
              <w:adjustRightInd w:val="0"/>
              <w:jc w:val="center"/>
              <w:rPr>
                <w:rFonts w:ascii="Calibri" w:hAnsi="Calibri"/>
                <w:color w:val="auto"/>
                <w:szCs w:val="21"/>
              </w:rPr>
            </w:pPr>
            <w:r>
              <w:rPr>
                <w:rFonts w:ascii="Calibri" w:hAnsi="Calibri"/>
                <w:snapToGrid w:val="0"/>
                <w:szCs w:val="21"/>
              </w:rPr>
              <w:t>23.63</w:t>
            </w:r>
          </w:p>
        </w:tc>
        <w:tc>
          <w:tcPr>
            <w:tcW w:w="854" w:type="pct"/>
            <w:tcMar>
              <w:top w:w="0" w:type="dxa"/>
              <w:bottom w:w="0" w:type="dxa"/>
            </w:tcMar>
            <w:vAlign w:val="center"/>
          </w:tcPr>
          <w:p w14:paraId="58CA71A3" w14:textId="3517FF73" w:rsidR="00921255" w:rsidRPr="00A964FF" w:rsidRDefault="00921255" w:rsidP="00AD0BDD">
            <w:pPr>
              <w:autoSpaceDE w:val="0"/>
              <w:autoSpaceDN w:val="0"/>
              <w:adjustRightInd w:val="0"/>
              <w:jc w:val="center"/>
              <w:rPr>
                <w:rFonts w:ascii="Calibri" w:hAnsi="Calibri"/>
                <w:color w:val="auto"/>
                <w:szCs w:val="21"/>
              </w:rPr>
            </w:pPr>
            <w:r>
              <w:rPr>
                <w:rFonts w:ascii="Calibri" w:hAnsi="Calibri" w:hint="eastAsia"/>
                <w:color w:val="auto"/>
                <w:szCs w:val="21"/>
              </w:rPr>
              <w:t>0</w:t>
            </w:r>
            <w:r>
              <w:rPr>
                <w:rFonts w:ascii="Calibri" w:hAnsi="Calibri"/>
                <w:color w:val="auto"/>
                <w:szCs w:val="21"/>
              </w:rPr>
              <w:t>.0012</w:t>
            </w:r>
          </w:p>
        </w:tc>
        <w:tc>
          <w:tcPr>
            <w:tcW w:w="854" w:type="pct"/>
            <w:tcMar>
              <w:top w:w="0" w:type="dxa"/>
              <w:bottom w:w="0" w:type="dxa"/>
            </w:tcMar>
            <w:vAlign w:val="center"/>
          </w:tcPr>
          <w:p w14:paraId="69764D75" w14:textId="0F85F517" w:rsidR="00921255" w:rsidRPr="00921255" w:rsidRDefault="00921255" w:rsidP="001A4177">
            <w:pPr>
              <w:autoSpaceDE w:val="0"/>
              <w:autoSpaceDN w:val="0"/>
              <w:adjustRightInd w:val="0"/>
              <w:jc w:val="center"/>
              <w:rPr>
                <w:rFonts w:asciiTheme="minorHAnsi" w:hAnsiTheme="minorHAnsi"/>
                <w:kern w:val="0"/>
                <w:szCs w:val="21"/>
              </w:rPr>
            </w:pPr>
            <w:r w:rsidRPr="00921255">
              <w:rPr>
                <w:rFonts w:asciiTheme="minorHAnsi" w:hAnsiTheme="minorHAnsi"/>
                <w:kern w:val="0"/>
                <w:szCs w:val="21"/>
              </w:rPr>
              <w:t>0.36</w:t>
            </w:r>
          </w:p>
        </w:tc>
      </w:tr>
      <w:tr w:rsidR="00921255" w:rsidRPr="00A964FF" w14:paraId="23D28E36" w14:textId="77777777" w:rsidTr="00AA575B">
        <w:trPr>
          <w:trHeight w:val="369"/>
          <w:jc w:val="center"/>
        </w:trPr>
        <w:tc>
          <w:tcPr>
            <w:tcW w:w="387" w:type="pct"/>
            <w:vMerge/>
            <w:tcMar>
              <w:top w:w="0" w:type="dxa"/>
              <w:bottom w:w="0" w:type="dxa"/>
            </w:tcMar>
            <w:vAlign w:val="center"/>
          </w:tcPr>
          <w:p w14:paraId="7CD5B569" w14:textId="77777777" w:rsidR="00921255" w:rsidRPr="00A964FF" w:rsidRDefault="00921255" w:rsidP="001A4177">
            <w:pPr>
              <w:tabs>
                <w:tab w:val="left" w:pos="567"/>
              </w:tabs>
              <w:snapToGrid w:val="0"/>
              <w:jc w:val="center"/>
              <w:rPr>
                <w:rFonts w:ascii="Calibri" w:hAnsi="Calibri"/>
                <w:color w:val="auto"/>
                <w:szCs w:val="21"/>
              </w:rPr>
            </w:pPr>
          </w:p>
        </w:tc>
        <w:tc>
          <w:tcPr>
            <w:tcW w:w="1179" w:type="pct"/>
            <w:vMerge/>
            <w:tcMar>
              <w:top w:w="0" w:type="dxa"/>
              <w:bottom w:w="0" w:type="dxa"/>
            </w:tcMar>
            <w:vAlign w:val="center"/>
          </w:tcPr>
          <w:p w14:paraId="2D9D74E2" w14:textId="77777777" w:rsidR="00921255" w:rsidRPr="00A964FF" w:rsidRDefault="00921255" w:rsidP="001A4177">
            <w:pPr>
              <w:jc w:val="center"/>
              <w:rPr>
                <w:rFonts w:ascii="Calibri" w:hAnsi="Calibri"/>
                <w:color w:val="auto"/>
                <w:kern w:val="0"/>
                <w:szCs w:val="21"/>
              </w:rPr>
            </w:pPr>
          </w:p>
        </w:tc>
        <w:tc>
          <w:tcPr>
            <w:tcW w:w="872" w:type="pct"/>
            <w:tcMar>
              <w:top w:w="0" w:type="dxa"/>
              <w:bottom w:w="0" w:type="dxa"/>
            </w:tcMar>
            <w:vAlign w:val="center"/>
          </w:tcPr>
          <w:p w14:paraId="0C99BFC5" w14:textId="266B4192" w:rsidR="00921255" w:rsidRPr="00A964FF" w:rsidRDefault="00921255" w:rsidP="001A4177">
            <w:pPr>
              <w:autoSpaceDE w:val="0"/>
              <w:autoSpaceDN w:val="0"/>
              <w:adjustRightInd w:val="0"/>
              <w:jc w:val="center"/>
              <w:rPr>
                <w:rFonts w:ascii="Calibri" w:hAnsi="Calibri"/>
                <w:color w:val="auto"/>
                <w:szCs w:val="21"/>
              </w:rPr>
            </w:pPr>
            <w:r>
              <w:rPr>
                <w:rFonts w:ascii="Calibri" w:hAnsi="Calibri" w:hint="eastAsia"/>
                <w:color w:val="auto"/>
                <w:szCs w:val="21"/>
              </w:rPr>
              <w:t>T</w:t>
            </w:r>
            <w:r>
              <w:rPr>
                <w:rFonts w:ascii="Calibri" w:hAnsi="Calibri"/>
                <w:color w:val="auto"/>
                <w:szCs w:val="21"/>
              </w:rPr>
              <w:t>N</w:t>
            </w:r>
          </w:p>
        </w:tc>
        <w:tc>
          <w:tcPr>
            <w:tcW w:w="854" w:type="pct"/>
            <w:tcMar>
              <w:top w:w="0" w:type="dxa"/>
              <w:bottom w:w="0" w:type="dxa"/>
            </w:tcMar>
            <w:vAlign w:val="center"/>
          </w:tcPr>
          <w:p w14:paraId="015EAEDA" w14:textId="060A180B" w:rsidR="00921255" w:rsidRDefault="00921255" w:rsidP="001A4177">
            <w:pPr>
              <w:autoSpaceDE w:val="0"/>
              <w:autoSpaceDN w:val="0"/>
              <w:adjustRightInd w:val="0"/>
              <w:jc w:val="center"/>
              <w:rPr>
                <w:rFonts w:ascii="Calibri" w:hAnsi="Calibri"/>
                <w:snapToGrid w:val="0"/>
                <w:szCs w:val="21"/>
              </w:rPr>
            </w:pPr>
            <w:r w:rsidRPr="0036124D">
              <w:rPr>
                <w:rFonts w:asciiTheme="minorHAnsi" w:hAnsiTheme="minorHAnsi" w:cs="宋体" w:hint="eastAsia"/>
                <w:kern w:val="0"/>
                <w:szCs w:val="21"/>
              </w:rPr>
              <w:t>21.33</w:t>
            </w:r>
          </w:p>
        </w:tc>
        <w:tc>
          <w:tcPr>
            <w:tcW w:w="854" w:type="pct"/>
            <w:tcMar>
              <w:top w:w="0" w:type="dxa"/>
              <w:bottom w:w="0" w:type="dxa"/>
            </w:tcMar>
            <w:vAlign w:val="center"/>
          </w:tcPr>
          <w:p w14:paraId="2866A335" w14:textId="0942CE16" w:rsidR="00921255" w:rsidRDefault="00921255" w:rsidP="00AD0BDD">
            <w:pPr>
              <w:autoSpaceDE w:val="0"/>
              <w:autoSpaceDN w:val="0"/>
              <w:adjustRightInd w:val="0"/>
              <w:jc w:val="center"/>
              <w:rPr>
                <w:rFonts w:ascii="Calibri" w:hAnsi="Calibri"/>
                <w:color w:val="auto"/>
                <w:szCs w:val="21"/>
              </w:rPr>
            </w:pPr>
            <w:r>
              <w:rPr>
                <w:rFonts w:ascii="Calibri" w:hAnsi="Calibri" w:hint="eastAsia"/>
                <w:color w:val="auto"/>
                <w:szCs w:val="21"/>
              </w:rPr>
              <w:t>0</w:t>
            </w:r>
            <w:r>
              <w:rPr>
                <w:rFonts w:ascii="Calibri" w:hAnsi="Calibri"/>
                <w:color w:val="auto"/>
                <w:szCs w:val="21"/>
              </w:rPr>
              <w:t>.0011</w:t>
            </w:r>
          </w:p>
        </w:tc>
        <w:tc>
          <w:tcPr>
            <w:tcW w:w="854" w:type="pct"/>
            <w:tcMar>
              <w:top w:w="0" w:type="dxa"/>
              <w:bottom w:w="0" w:type="dxa"/>
            </w:tcMar>
            <w:vAlign w:val="center"/>
          </w:tcPr>
          <w:p w14:paraId="04900312" w14:textId="1E5EF395" w:rsidR="00921255" w:rsidRPr="00921255" w:rsidRDefault="00921255" w:rsidP="001A4177">
            <w:pPr>
              <w:autoSpaceDE w:val="0"/>
              <w:autoSpaceDN w:val="0"/>
              <w:adjustRightInd w:val="0"/>
              <w:jc w:val="center"/>
              <w:rPr>
                <w:rFonts w:asciiTheme="minorHAnsi" w:hAnsiTheme="minorHAnsi"/>
                <w:kern w:val="0"/>
                <w:szCs w:val="21"/>
              </w:rPr>
            </w:pPr>
            <w:r w:rsidRPr="00921255">
              <w:rPr>
                <w:rFonts w:asciiTheme="minorHAnsi" w:hAnsiTheme="minorHAnsi" w:hint="eastAsia"/>
                <w:kern w:val="0"/>
                <w:szCs w:val="21"/>
              </w:rPr>
              <w:t>0</w:t>
            </w:r>
            <w:r w:rsidRPr="00921255">
              <w:rPr>
                <w:rFonts w:asciiTheme="minorHAnsi" w:hAnsiTheme="minorHAnsi"/>
                <w:kern w:val="0"/>
                <w:szCs w:val="21"/>
              </w:rPr>
              <w:t>.33</w:t>
            </w:r>
          </w:p>
        </w:tc>
      </w:tr>
    </w:tbl>
    <w:p w14:paraId="14087B7E" w14:textId="77777777" w:rsidR="00AA575B" w:rsidRPr="00A964FF" w:rsidRDefault="00AA575B" w:rsidP="00930417">
      <w:pPr>
        <w:spacing w:line="520" w:lineRule="exact"/>
        <w:ind w:firstLineChars="200" w:firstLine="480"/>
        <w:rPr>
          <w:rFonts w:ascii="Calibri"/>
          <w:color w:val="auto"/>
          <w:sz w:val="24"/>
        </w:rPr>
      </w:pPr>
      <w:r w:rsidRPr="00A964FF">
        <w:rPr>
          <w:rFonts w:ascii="Calibri"/>
          <w:color w:val="auto"/>
          <w:sz w:val="24"/>
        </w:rPr>
        <w:t>本项目废水排放方式为</w:t>
      </w:r>
      <w:r w:rsidRPr="00A964FF">
        <w:rPr>
          <w:rFonts w:ascii="Calibri" w:hint="eastAsia"/>
          <w:color w:val="auto"/>
          <w:sz w:val="24"/>
        </w:rPr>
        <w:t>间接</w:t>
      </w:r>
      <w:r w:rsidRPr="00A964FF">
        <w:rPr>
          <w:rFonts w:ascii="Calibri"/>
          <w:color w:val="auto"/>
          <w:sz w:val="24"/>
        </w:rPr>
        <w:t>排放，排放去向为</w:t>
      </w:r>
      <w:r w:rsidRPr="00A964FF">
        <w:rPr>
          <w:rFonts w:ascii="Calibri" w:hint="eastAsia"/>
          <w:color w:val="auto"/>
          <w:sz w:val="24"/>
        </w:rPr>
        <w:t>聚集区污水处理厂</w:t>
      </w:r>
      <w:r w:rsidRPr="00A964FF">
        <w:rPr>
          <w:rFonts w:ascii="Calibri"/>
          <w:color w:val="auto"/>
          <w:sz w:val="24"/>
        </w:rPr>
        <w:t>，排放规律为连续排放。本项目营运后厂区设置</w:t>
      </w:r>
      <w:r w:rsidRPr="00A964FF">
        <w:rPr>
          <w:rFonts w:ascii="Calibri" w:hAnsi="Calibri"/>
          <w:color w:val="auto"/>
          <w:sz w:val="24"/>
        </w:rPr>
        <w:t>1</w:t>
      </w:r>
      <w:r w:rsidRPr="00A964FF">
        <w:rPr>
          <w:rFonts w:ascii="Calibri"/>
          <w:color w:val="auto"/>
          <w:sz w:val="24"/>
        </w:rPr>
        <w:t>个废水排放口，其基本情况见表</w:t>
      </w:r>
      <w:r w:rsidRPr="00A964FF">
        <w:rPr>
          <w:rFonts w:ascii="Calibri" w:hAnsi="Calibri" w:hint="eastAsia"/>
          <w:color w:val="auto"/>
          <w:sz w:val="24"/>
        </w:rPr>
        <w:t>7.1-6</w:t>
      </w:r>
      <w:r w:rsidRPr="00A964FF">
        <w:rPr>
          <w:rFonts w:ascii="Calibri"/>
          <w:color w:val="auto"/>
          <w:sz w:val="24"/>
        </w:rPr>
        <w:t>。</w:t>
      </w:r>
    </w:p>
    <w:p w14:paraId="24763E1B" w14:textId="77777777" w:rsidR="00AA575B" w:rsidRPr="00A964FF" w:rsidRDefault="00AA575B" w:rsidP="00AA575B">
      <w:pPr>
        <w:pStyle w:val="af1"/>
        <w:widowControl w:val="0"/>
        <w:spacing w:line="520" w:lineRule="exact"/>
        <w:ind w:firstLineChars="196" w:firstLine="470"/>
        <w:jc w:val="both"/>
        <w:rPr>
          <w:rFonts w:ascii="Calibri" w:eastAsia="黑体" w:hAnsi="Calibri" w:cs="Calibri"/>
          <w:color w:val="auto"/>
        </w:rPr>
      </w:pPr>
      <w:r w:rsidRPr="00A964FF">
        <w:rPr>
          <w:rFonts w:ascii="Calibri" w:eastAsia="黑体" w:hAnsi="Calibri" w:cs="Calibri"/>
          <w:color w:val="auto"/>
          <w:kern w:val="2"/>
        </w:rPr>
        <w:t>表</w:t>
      </w:r>
      <w:r w:rsidRPr="00A964FF">
        <w:rPr>
          <w:rFonts w:ascii="Calibri" w:eastAsia="黑体" w:hAnsi="Calibri" w:cs="Calibri" w:hint="eastAsia"/>
          <w:color w:val="auto"/>
          <w:kern w:val="2"/>
        </w:rPr>
        <w:t>7.1-6</w:t>
      </w:r>
      <w:r w:rsidRPr="00A964FF">
        <w:rPr>
          <w:rFonts w:ascii="Calibri" w:eastAsia="黑体" w:hAnsi="Calibri" w:cs="Calibri"/>
          <w:color w:val="auto"/>
          <w:kern w:val="2"/>
        </w:rPr>
        <w:t xml:space="preserve">         </w:t>
      </w:r>
      <w:r w:rsidRPr="00A964FF">
        <w:rPr>
          <w:rFonts w:ascii="Calibri" w:eastAsia="黑体" w:hAnsi="Calibri" w:cs="Calibri" w:hint="eastAsia"/>
          <w:color w:val="auto"/>
          <w:kern w:val="2"/>
        </w:rPr>
        <w:t xml:space="preserve">  </w:t>
      </w:r>
      <w:r w:rsidRPr="00A964FF">
        <w:rPr>
          <w:rFonts w:ascii="Calibri" w:eastAsia="黑体" w:hAnsi="Calibri" w:cs="Calibri"/>
          <w:color w:val="auto"/>
          <w:kern w:val="2"/>
        </w:rPr>
        <w:t xml:space="preserve">    </w:t>
      </w:r>
      <w:r w:rsidRPr="00A964FF">
        <w:rPr>
          <w:rFonts w:ascii="Calibri" w:eastAsia="黑体" w:hAnsi="Calibri" w:cs="Calibri"/>
          <w:color w:val="auto"/>
          <w:kern w:val="2"/>
        </w:rPr>
        <w:t>废水排放口</w:t>
      </w:r>
      <w:r w:rsidRPr="00A964FF">
        <w:rPr>
          <w:rFonts w:ascii="Calibri" w:eastAsia="黑体" w:hAnsi="Calibri" w:cs="Calibri" w:hint="eastAsia"/>
          <w:color w:val="auto"/>
          <w:kern w:val="2"/>
        </w:rPr>
        <w:t>（间接排放）</w:t>
      </w:r>
      <w:r w:rsidRPr="00A964FF">
        <w:rPr>
          <w:rFonts w:ascii="Calibri" w:eastAsia="黑体" w:hAnsi="Calibri" w:cs="Calibri"/>
          <w:color w:val="auto"/>
          <w:kern w:val="2"/>
        </w:rPr>
        <w:t>基本情况</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ayout w:type="fixed"/>
        <w:tblLook w:val="0000" w:firstRow="0" w:lastRow="0" w:firstColumn="0" w:lastColumn="0" w:noHBand="0" w:noVBand="0"/>
      </w:tblPr>
      <w:tblGrid>
        <w:gridCol w:w="907"/>
        <w:gridCol w:w="907"/>
        <w:gridCol w:w="1604"/>
        <w:gridCol w:w="828"/>
        <w:gridCol w:w="827"/>
        <w:gridCol w:w="687"/>
        <w:gridCol w:w="964"/>
        <w:gridCol w:w="828"/>
        <w:gridCol w:w="1148"/>
      </w:tblGrid>
      <w:tr w:rsidR="00AA575B" w:rsidRPr="00A964FF" w14:paraId="737E582B" w14:textId="77777777" w:rsidTr="007E575F">
        <w:trPr>
          <w:cantSplit/>
          <w:trHeight w:val="369"/>
          <w:jc w:val="center"/>
        </w:trPr>
        <w:tc>
          <w:tcPr>
            <w:tcW w:w="521" w:type="pct"/>
            <w:vMerge w:val="restart"/>
            <w:vAlign w:val="center"/>
          </w:tcPr>
          <w:p w14:paraId="67396786" w14:textId="77777777" w:rsidR="00AA575B" w:rsidRPr="00A964FF" w:rsidRDefault="00AA575B" w:rsidP="001A4177">
            <w:pPr>
              <w:jc w:val="center"/>
              <w:rPr>
                <w:rFonts w:ascii="Calibri" w:hAnsi="Calibri"/>
                <w:color w:val="auto"/>
                <w:szCs w:val="21"/>
              </w:rPr>
            </w:pPr>
            <w:r w:rsidRPr="00A964FF">
              <w:rPr>
                <w:rFonts w:ascii="Calibri"/>
                <w:color w:val="auto"/>
                <w:szCs w:val="21"/>
              </w:rPr>
              <w:t>编号</w:t>
            </w:r>
          </w:p>
        </w:tc>
        <w:tc>
          <w:tcPr>
            <w:tcW w:w="521" w:type="pct"/>
            <w:vMerge w:val="restart"/>
            <w:vAlign w:val="center"/>
          </w:tcPr>
          <w:p w14:paraId="20457817" w14:textId="77777777" w:rsidR="00AA575B" w:rsidRPr="00A964FF" w:rsidRDefault="00AA575B" w:rsidP="001A4177">
            <w:pPr>
              <w:jc w:val="center"/>
              <w:rPr>
                <w:rFonts w:ascii="Calibri" w:hAnsi="Calibri"/>
                <w:color w:val="auto"/>
                <w:szCs w:val="21"/>
              </w:rPr>
            </w:pPr>
            <w:r w:rsidRPr="00A964FF">
              <w:rPr>
                <w:rFonts w:ascii="Calibri"/>
                <w:color w:val="auto"/>
                <w:szCs w:val="21"/>
              </w:rPr>
              <w:t>名称</w:t>
            </w:r>
          </w:p>
        </w:tc>
        <w:tc>
          <w:tcPr>
            <w:tcW w:w="922" w:type="pct"/>
            <w:vMerge w:val="restart"/>
            <w:vAlign w:val="center"/>
          </w:tcPr>
          <w:p w14:paraId="241CE03A" w14:textId="77777777" w:rsidR="00AA575B" w:rsidRPr="00A964FF" w:rsidRDefault="00AA575B" w:rsidP="001A4177">
            <w:pPr>
              <w:jc w:val="center"/>
              <w:rPr>
                <w:rFonts w:ascii="Calibri" w:hAnsi="Calibri"/>
                <w:color w:val="auto"/>
                <w:szCs w:val="21"/>
              </w:rPr>
            </w:pPr>
            <w:r w:rsidRPr="00A964FF">
              <w:rPr>
                <w:rFonts w:ascii="Calibri"/>
                <w:color w:val="auto"/>
                <w:szCs w:val="21"/>
              </w:rPr>
              <w:t>地理坐标</w:t>
            </w:r>
          </w:p>
        </w:tc>
        <w:tc>
          <w:tcPr>
            <w:tcW w:w="476" w:type="pct"/>
            <w:vMerge w:val="restart"/>
            <w:vAlign w:val="center"/>
          </w:tcPr>
          <w:p w14:paraId="02D2CAB2" w14:textId="77777777" w:rsidR="00AA575B" w:rsidRPr="00A964FF" w:rsidRDefault="00AA575B" w:rsidP="001A4177">
            <w:pPr>
              <w:jc w:val="center"/>
              <w:rPr>
                <w:rFonts w:ascii="Calibri"/>
                <w:color w:val="auto"/>
                <w:szCs w:val="21"/>
              </w:rPr>
            </w:pPr>
            <w:r w:rsidRPr="00A964FF">
              <w:rPr>
                <w:rFonts w:ascii="Calibri" w:hint="eastAsia"/>
                <w:color w:val="auto"/>
                <w:szCs w:val="21"/>
              </w:rPr>
              <w:t>废水</w:t>
            </w:r>
          </w:p>
          <w:p w14:paraId="6BB6B5ED" w14:textId="77777777" w:rsidR="00AA575B" w:rsidRPr="00A964FF" w:rsidRDefault="00AA575B" w:rsidP="001A4177">
            <w:pPr>
              <w:jc w:val="center"/>
              <w:rPr>
                <w:rFonts w:ascii="Calibri"/>
                <w:color w:val="auto"/>
                <w:szCs w:val="21"/>
              </w:rPr>
            </w:pPr>
            <w:r w:rsidRPr="00A964FF">
              <w:rPr>
                <w:rFonts w:ascii="Calibri" w:hint="eastAsia"/>
                <w:color w:val="auto"/>
                <w:szCs w:val="21"/>
              </w:rPr>
              <w:t>排放量</w:t>
            </w:r>
          </w:p>
          <w:p w14:paraId="5B6E25D5" w14:textId="77777777" w:rsidR="00AA575B" w:rsidRPr="00A964FF" w:rsidRDefault="00AA575B" w:rsidP="001A4177">
            <w:pPr>
              <w:jc w:val="center"/>
              <w:rPr>
                <w:rFonts w:ascii="Calibri" w:hAnsi="Calibri"/>
                <w:color w:val="auto"/>
                <w:szCs w:val="21"/>
              </w:rPr>
            </w:pPr>
            <w:r w:rsidRPr="00A964FF">
              <w:rPr>
                <w:rFonts w:ascii="Calibri" w:hint="eastAsia"/>
                <w:color w:val="auto"/>
                <w:szCs w:val="21"/>
              </w:rPr>
              <w:t>（万</w:t>
            </w:r>
            <w:r w:rsidRPr="00A964FF">
              <w:rPr>
                <w:rFonts w:ascii="Calibri" w:hint="eastAsia"/>
                <w:color w:val="auto"/>
                <w:szCs w:val="21"/>
              </w:rPr>
              <w:t>t/a</w:t>
            </w:r>
            <w:r w:rsidRPr="00A964FF">
              <w:rPr>
                <w:rFonts w:ascii="Calibri" w:hint="eastAsia"/>
                <w:color w:val="auto"/>
                <w:szCs w:val="21"/>
              </w:rPr>
              <w:t>）</w:t>
            </w:r>
          </w:p>
        </w:tc>
        <w:tc>
          <w:tcPr>
            <w:tcW w:w="475" w:type="pct"/>
            <w:vMerge w:val="restart"/>
            <w:vAlign w:val="center"/>
          </w:tcPr>
          <w:p w14:paraId="2BAE39F7" w14:textId="77777777" w:rsidR="00AA575B" w:rsidRPr="00A964FF" w:rsidRDefault="00AA575B" w:rsidP="001A4177">
            <w:pPr>
              <w:jc w:val="center"/>
              <w:rPr>
                <w:rFonts w:ascii="Calibri" w:hAnsi="Calibri"/>
                <w:color w:val="auto"/>
                <w:szCs w:val="21"/>
              </w:rPr>
            </w:pPr>
            <w:r w:rsidRPr="00A964FF">
              <w:rPr>
                <w:rFonts w:ascii="Calibri"/>
                <w:color w:val="auto"/>
                <w:szCs w:val="21"/>
              </w:rPr>
              <w:t>排放</w:t>
            </w:r>
          </w:p>
          <w:p w14:paraId="55F28D8C" w14:textId="77777777" w:rsidR="00AA575B" w:rsidRPr="00A964FF" w:rsidRDefault="00AA575B" w:rsidP="001A4177">
            <w:pPr>
              <w:jc w:val="center"/>
              <w:rPr>
                <w:rFonts w:ascii="Calibri" w:hAnsi="Calibri"/>
                <w:color w:val="auto"/>
                <w:szCs w:val="21"/>
              </w:rPr>
            </w:pPr>
            <w:r w:rsidRPr="00A964FF">
              <w:rPr>
                <w:rFonts w:ascii="Calibri" w:hint="eastAsia"/>
                <w:color w:val="auto"/>
                <w:szCs w:val="21"/>
              </w:rPr>
              <w:t>去向</w:t>
            </w:r>
          </w:p>
        </w:tc>
        <w:tc>
          <w:tcPr>
            <w:tcW w:w="395" w:type="pct"/>
            <w:vMerge w:val="restart"/>
            <w:vAlign w:val="center"/>
          </w:tcPr>
          <w:p w14:paraId="552D2560" w14:textId="77777777" w:rsidR="00AA575B" w:rsidRPr="00A964FF" w:rsidRDefault="00AA575B" w:rsidP="001A4177">
            <w:pPr>
              <w:jc w:val="center"/>
              <w:rPr>
                <w:rFonts w:ascii="Calibri"/>
                <w:color w:val="auto"/>
                <w:szCs w:val="21"/>
              </w:rPr>
            </w:pPr>
            <w:r w:rsidRPr="00A964FF">
              <w:rPr>
                <w:rFonts w:ascii="Calibri"/>
                <w:color w:val="auto"/>
                <w:szCs w:val="21"/>
              </w:rPr>
              <w:t>排放</w:t>
            </w:r>
          </w:p>
          <w:p w14:paraId="3FFFB4D5" w14:textId="77777777" w:rsidR="00AA575B" w:rsidRPr="00A964FF" w:rsidRDefault="00AA575B" w:rsidP="001A4177">
            <w:pPr>
              <w:jc w:val="center"/>
              <w:rPr>
                <w:rFonts w:ascii="Calibri" w:hAnsi="Calibri"/>
                <w:color w:val="auto"/>
                <w:szCs w:val="21"/>
              </w:rPr>
            </w:pPr>
            <w:r w:rsidRPr="00A964FF">
              <w:rPr>
                <w:rFonts w:ascii="Calibri"/>
                <w:color w:val="auto"/>
                <w:szCs w:val="21"/>
              </w:rPr>
              <w:t>规律</w:t>
            </w:r>
          </w:p>
        </w:tc>
        <w:tc>
          <w:tcPr>
            <w:tcW w:w="1690" w:type="pct"/>
            <w:gridSpan w:val="3"/>
            <w:vAlign w:val="center"/>
          </w:tcPr>
          <w:p w14:paraId="4FC92ADE" w14:textId="77777777" w:rsidR="00AA575B" w:rsidRPr="00A964FF" w:rsidRDefault="00AA575B" w:rsidP="001A4177">
            <w:pPr>
              <w:jc w:val="center"/>
              <w:rPr>
                <w:rFonts w:ascii="Calibri" w:hAnsi="Calibri"/>
                <w:color w:val="auto"/>
                <w:szCs w:val="21"/>
              </w:rPr>
            </w:pPr>
            <w:r w:rsidRPr="00A964FF">
              <w:rPr>
                <w:rFonts w:ascii="Calibri" w:hint="eastAsia"/>
                <w:color w:val="auto"/>
                <w:szCs w:val="21"/>
              </w:rPr>
              <w:t>受纳污水处理厂信息</w:t>
            </w:r>
          </w:p>
        </w:tc>
      </w:tr>
      <w:tr w:rsidR="00AA575B" w:rsidRPr="00A964FF" w14:paraId="658A5387" w14:textId="77777777" w:rsidTr="007E575F">
        <w:trPr>
          <w:cantSplit/>
          <w:trHeight w:val="369"/>
          <w:jc w:val="center"/>
        </w:trPr>
        <w:tc>
          <w:tcPr>
            <w:tcW w:w="521" w:type="pct"/>
            <w:vMerge/>
            <w:vAlign w:val="center"/>
          </w:tcPr>
          <w:p w14:paraId="51095B70" w14:textId="77777777" w:rsidR="00AA575B" w:rsidRPr="00A964FF" w:rsidRDefault="00AA575B" w:rsidP="001A4177">
            <w:pPr>
              <w:jc w:val="center"/>
              <w:rPr>
                <w:rFonts w:ascii="Calibri" w:hAnsi="Calibri"/>
                <w:color w:val="auto"/>
                <w:szCs w:val="21"/>
              </w:rPr>
            </w:pPr>
          </w:p>
        </w:tc>
        <w:tc>
          <w:tcPr>
            <w:tcW w:w="521" w:type="pct"/>
            <w:vMerge/>
            <w:vAlign w:val="center"/>
          </w:tcPr>
          <w:p w14:paraId="6F05AE3A" w14:textId="77777777" w:rsidR="00AA575B" w:rsidRPr="00A964FF" w:rsidRDefault="00AA575B" w:rsidP="001A4177">
            <w:pPr>
              <w:jc w:val="center"/>
              <w:rPr>
                <w:rFonts w:ascii="Calibri" w:hAnsi="Calibri"/>
                <w:color w:val="auto"/>
                <w:szCs w:val="21"/>
              </w:rPr>
            </w:pPr>
          </w:p>
        </w:tc>
        <w:tc>
          <w:tcPr>
            <w:tcW w:w="922" w:type="pct"/>
            <w:vMerge/>
            <w:vAlign w:val="center"/>
          </w:tcPr>
          <w:p w14:paraId="47F9DF68" w14:textId="77777777" w:rsidR="00AA575B" w:rsidRPr="00A964FF" w:rsidRDefault="00AA575B" w:rsidP="001A4177">
            <w:pPr>
              <w:jc w:val="center"/>
              <w:rPr>
                <w:rFonts w:ascii="Calibri" w:hAnsi="Calibri"/>
                <w:color w:val="auto"/>
                <w:szCs w:val="21"/>
              </w:rPr>
            </w:pPr>
          </w:p>
        </w:tc>
        <w:tc>
          <w:tcPr>
            <w:tcW w:w="476" w:type="pct"/>
            <w:vMerge/>
            <w:vAlign w:val="center"/>
          </w:tcPr>
          <w:p w14:paraId="57FC67D4" w14:textId="77777777" w:rsidR="00AA575B" w:rsidRPr="00A964FF" w:rsidRDefault="00AA575B" w:rsidP="001A4177">
            <w:pPr>
              <w:jc w:val="center"/>
              <w:rPr>
                <w:rFonts w:ascii="Calibri" w:hAnsi="Calibri"/>
                <w:color w:val="auto"/>
                <w:szCs w:val="21"/>
              </w:rPr>
            </w:pPr>
          </w:p>
        </w:tc>
        <w:tc>
          <w:tcPr>
            <w:tcW w:w="475" w:type="pct"/>
            <w:vMerge/>
            <w:vAlign w:val="center"/>
          </w:tcPr>
          <w:p w14:paraId="0928220F" w14:textId="77777777" w:rsidR="00AA575B" w:rsidRPr="00A964FF" w:rsidRDefault="00AA575B" w:rsidP="001A4177">
            <w:pPr>
              <w:jc w:val="center"/>
              <w:rPr>
                <w:rFonts w:ascii="Calibri" w:hAnsi="Calibri"/>
                <w:color w:val="auto"/>
                <w:szCs w:val="21"/>
              </w:rPr>
            </w:pPr>
          </w:p>
        </w:tc>
        <w:tc>
          <w:tcPr>
            <w:tcW w:w="395" w:type="pct"/>
            <w:vMerge/>
            <w:vAlign w:val="center"/>
          </w:tcPr>
          <w:p w14:paraId="63AF5E75" w14:textId="77777777" w:rsidR="00AA575B" w:rsidRPr="00A964FF" w:rsidRDefault="00AA575B" w:rsidP="001A4177">
            <w:pPr>
              <w:jc w:val="center"/>
              <w:rPr>
                <w:rFonts w:ascii="Calibri" w:hAnsi="Calibri"/>
                <w:color w:val="auto"/>
                <w:szCs w:val="21"/>
              </w:rPr>
            </w:pPr>
          </w:p>
        </w:tc>
        <w:tc>
          <w:tcPr>
            <w:tcW w:w="554" w:type="pct"/>
            <w:vAlign w:val="center"/>
          </w:tcPr>
          <w:p w14:paraId="59C79382" w14:textId="77777777" w:rsidR="00AA575B" w:rsidRPr="00A964FF" w:rsidRDefault="00AA575B" w:rsidP="001A4177">
            <w:pPr>
              <w:jc w:val="center"/>
              <w:rPr>
                <w:rFonts w:ascii="Calibri" w:hAnsi="Calibri"/>
                <w:color w:val="auto"/>
                <w:szCs w:val="21"/>
              </w:rPr>
            </w:pPr>
            <w:r w:rsidRPr="00A964FF">
              <w:rPr>
                <w:rFonts w:ascii="Calibri"/>
                <w:color w:val="auto"/>
                <w:szCs w:val="21"/>
              </w:rPr>
              <w:t>名称</w:t>
            </w:r>
          </w:p>
        </w:tc>
        <w:tc>
          <w:tcPr>
            <w:tcW w:w="476" w:type="pct"/>
            <w:vAlign w:val="center"/>
          </w:tcPr>
          <w:p w14:paraId="5872B65F" w14:textId="77777777" w:rsidR="00AA575B" w:rsidRPr="00A964FF" w:rsidRDefault="00AA575B" w:rsidP="001A4177">
            <w:pPr>
              <w:jc w:val="center"/>
              <w:rPr>
                <w:rFonts w:ascii="Calibri" w:hAnsi="Calibri"/>
                <w:color w:val="auto"/>
                <w:szCs w:val="21"/>
              </w:rPr>
            </w:pPr>
            <w:r w:rsidRPr="00A964FF">
              <w:rPr>
                <w:rFonts w:ascii="Calibri" w:hAnsi="Calibri" w:hint="eastAsia"/>
                <w:color w:val="auto"/>
                <w:szCs w:val="21"/>
              </w:rPr>
              <w:t>污染物种类</w:t>
            </w:r>
          </w:p>
        </w:tc>
        <w:tc>
          <w:tcPr>
            <w:tcW w:w="660" w:type="pct"/>
            <w:vAlign w:val="center"/>
          </w:tcPr>
          <w:p w14:paraId="43CB33AD" w14:textId="77777777" w:rsidR="00AA575B" w:rsidRPr="00A964FF" w:rsidRDefault="00AA575B" w:rsidP="001A4177">
            <w:pPr>
              <w:jc w:val="center"/>
              <w:rPr>
                <w:rFonts w:ascii="Calibri" w:hAnsi="Calibri"/>
                <w:color w:val="auto"/>
                <w:szCs w:val="21"/>
              </w:rPr>
            </w:pPr>
            <w:r w:rsidRPr="00A964FF">
              <w:rPr>
                <w:rFonts w:ascii="Calibri" w:hAnsi="Calibri" w:hint="eastAsia"/>
                <w:color w:val="auto"/>
                <w:szCs w:val="21"/>
              </w:rPr>
              <w:t>标准限值（</w:t>
            </w:r>
            <w:r w:rsidRPr="00A964FF">
              <w:rPr>
                <w:rFonts w:ascii="Calibri" w:hAnsi="Calibri" w:hint="eastAsia"/>
                <w:color w:val="auto"/>
                <w:szCs w:val="21"/>
              </w:rPr>
              <w:t>mg/L</w:t>
            </w:r>
            <w:r w:rsidRPr="00A964FF">
              <w:rPr>
                <w:rFonts w:ascii="Calibri" w:hAnsi="Calibri" w:hint="eastAsia"/>
                <w:color w:val="auto"/>
                <w:szCs w:val="21"/>
              </w:rPr>
              <w:t>）</w:t>
            </w:r>
          </w:p>
        </w:tc>
      </w:tr>
      <w:tr w:rsidR="00F40F2B" w:rsidRPr="00A964FF" w14:paraId="41E43BE8" w14:textId="77777777" w:rsidTr="007E575F">
        <w:trPr>
          <w:cantSplit/>
          <w:trHeight w:val="369"/>
          <w:jc w:val="center"/>
        </w:trPr>
        <w:tc>
          <w:tcPr>
            <w:tcW w:w="521" w:type="pct"/>
            <w:vMerge w:val="restart"/>
            <w:vAlign w:val="center"/>
          </w:tcPr>
          <w:p w14:paraId="06B36087" w14:textId="77777777" w:rsidR="00F40F2B" w:rsidRPr="00A964FF" w:rsidRDefault="00F40F2B" w:rsidP="001A4177">
            <w:pPr>
              <w:jc w:val="center"/>
              <w:rPr>
                <w:rFonts w:ascii="Calibri" w:hAnsi="Calibri"/>
                <w:color w:val="auto"/>
                <w:szCs w:val="21"/>
              </w:rPr>
            </w:pPr>
            <w:r>
              <w:rPr>
                <w:rFonts w:ascii="Calibri" w:hAnsi="Calibri"/>
                <w:color w:val="auto"/>
                <w:szCs w:val="21"/>
              </w:rPr>
              <w:t>DW</w:t>
            </w:r>
            <w:r w:rsidRPr="00A964FF">
              <w:rPr>
                <w:rFonts w:ascii="Calibri" w:hAnsi="Calibri"/>
                <w:color w:val="auto"/>
                <w:szCs w:val="21"/>
              </w:rPr>
              <w:t>001</w:t>
            </w:r>
          </w:p>
        </w:tc>
        <w:tc>
          <w:tcPr>
            <w:tcW w:w="521" w:type="pct"/>
            <w:vMerge w:val="restart"/>
            <w:vAlign w:val="center"/>
          </w:tcPr>
          <w:p w14:paraId="2A8ABF89" w14:textId="77777777" w:rsidR="00F40F2B" w:rsidRPr="00A964FF" w:rsidRDefault="00F40F2B" w:rsidP="001A4177">
            <w:pPr>
              <w:jc w:val="center"/>
              <w:rPr>
                <w:rFonts w:ascii="Calibri" w:hAnsi="Calibri"/>
                <w:color w:val="auto"/>
                <w:szCs w:val="21"/>
              </w:rPr>
            </w:pPr>
            <w:r w:rsidRPr="00A964FF">
              <w:rPr>
                <w:rFonts w:ascii="Calibri"/>
                <w:color w:val="auto"/>
                <w:szCs w:val="21"/>
              </w:rPr>
              <w:t>废水排放口</w:t>
            </w:r>
          </w:p>
        </w:tc>
        <w:tc>
          <w:tcPr>
            <w:tcW w:w="922" w:type="pct"/>
            <w:vMerge w:val="restart"/>
            <w:vAlign w:val="center"/>
          </w:tcPr>
          <w:p w14:paraId="27E2AFDB" w14:textId="77777777" w:rsidR="007E575F" w:rsidRDefault="00F40F2B" w:rsidP="00AA575B">
            <w:pPr>
              <w:jc w:val="center"/>
              <w:rPr>
                <w:rFonts w:ascii="Calibri" w:hAnsi="Calibri"/>
                <w:color w:val="auto"/>
                <w:szCs w:val="21"/>
              </w:rPr>
            </w:pPr>
            <w:r w:rsidRPr="00A964FF">
              <w:rPr>
                <w:rFonts w:ascii="Calibri" w:hAnsi="Calibri"/>
                <w:color w:val="auto"/>
                <w:szCs w:val="21"/>
              </w:rPr>
              <w:t>E</w:t>
            </w:r>
            <w:r w:rsidR="007E575F" w:rsidRPr="007E575F">
              <w:rPr>
                <w:rFonts w:ascii="Calibri" w:hAnsi="Calibri"/>
                <w:color w:val="auto"/>
                <w:szCs w:val="21"/>
              </w:rPr>
              <w:t>113.44633323</w:t>
            </w:r>
          </w:p>
          <w:p w14:paraId="3E812A2B" w14:textId="77777777" w:rsidR="00F40F2B" w:rsidRPr="00A964FF" w:rsidRDefault="00F40F2B" w:rsidP="00AA575B">
            <w:pPr>
              <w:jc w:val="center"/>
              <w:rPr>
                <w:rFonts w:ascii="Calibri" w:hAnsi="Calibri"/>
                <w:color w:val="auto"/>
                <w:szCs w:val="21"/>
              </w:rPr>
            </w:pPr>
            <w:r w:rsidRPr="00A964FF">
              <w:rPr>
                <w:rFonts w:ascii="Calibri" w:hAnsi="Calibri"/>
                <w:color w:val="auto"/>
                <w:szCs w:val="21"/>
              </w:rPr>
              <w:t>N</w:t>
            </w:r>
            <w:r w:rsidR="007E575F" w:rsidRPr="007E575F">
              <w:rPr>
                <w:rFonts w:ascii="Calibri" w:hAnsi="Calibri"/>
                <w:color w:val="auto"/>
                <w:szCs w:val="21"/>
              </w:rPr>
              <w:t>33.679640154</w:t>
            </w:r>
          </w:p>
        </w:tc>
        <w:tc>
          <w:tcPr>
            <w:tcW w:w="476" w:type="pct"/>
            <w:vMerge w:val="restart"/>
            <w:vAlign w:val="center"/>
          </w:tcPr>
          <w:p w14:paraId="7C3B83A4" w14:textId="77777777" w:rsidR="00F40F2B" w:rsidRPr="00A964FF" w:rsidRDefault="00F40F2B" w:rsidP="00AD0BDD">
            <w:pPr>
              <w:jc w:val="center"/>
              <w:rPr>
                <w:rFonts w:ascii="Calibri" w:hAnsi="Calibri"/>
                <w:color w:val="auto"/>
                <w:szCs w:val="21"/>
              </w:rPr>
            </w:pPr>
            <w:r>
              <w:rPr>
                <w:rFonts w:ascii="Calibri" w:hint="eastAsia"/>
                <w:color w:val="auto"/>
                <w:szCs w:val="21"/>
              </w:rPr>
              <w:t>1.</w:t>
            </w:r>
            <w:r w:rsidR="007E575F">
              <w:rPr>
                <w:rFonts w:ascii="Calibri"/>
                <w:color w:val="auto"/>
                <w:szCs w:val="21"/>
              </w:rPr>
              <w:t>0</w:t>
            </w:r>
            <w:r w:rsidR="00AD0BDD">
              <w:rPr>
                <w:rFonts w:ascii="Calibri"/>
                <w:color w:val="auto"/>
                <w:szCs w:val="21"/>
              </w:rPr>
              <w:t>219</w:t>
            </w:r>
          </w:p>
        </w:tc>
        <w:tc>
          <w:tcPr>
            <w:tcW w:w="475" w:type="pct"/>
            <w:vMerge w:val="restart"/>
            <w:vAlign w:val="center"/>
          </w:tcPr>
          <w:p w14:paraId="12362A7C" w14:textId="77777777" w:rsidR="00F40F2B" w:rsidRPr="00A964FF" w:rsidRDefault="00F40F2B" w:rsidP="001A4177">
            <w:pPr>
              <w:jc w:val="center"/>
              <w:rPr>
                <w:rFonts w:ascii="Calibri" w:hAnsi="Calibri"/>
                <w:color w:val="auto"/>
                <w:szCs w:val="21"/>
              </w:rPr>
            </w:pPr>
            <w:r w:rsidRPr="00A964FF">
              <w:rPr>
                <w:rFonts w:ascii="Calibri" w:hint="eastAsia"/>
                <w:color w:val="auto"/>
                <w:szCs w:val="21"/>
              </w:rPr>
              <w:t>集聚区污水处理厂</w:t>
            </w:r>
          </w:p>
        </w:tc>
        <w:tc>
          <w:tcPr>
            <w:tcW w:w="395" w:type="pct"/>
            <w:vMerge w:val="restart"/>
            <w:vAlign w:val="center"/>
          </w:tcPr>
          <w:p w14:paraId="43088CEC" w14:textId="77777777" w:rsidR="00F40F2B" w:rsidRPr="00A964FF" w:rsidRDefault="00F40F2B" w:rsidP="001A4177">
            <w:pPr>
              <w:jc w:val="center"/>
              <w:rPr>
                <w:rFonts w:ascii="Calibri" w:hAnsi="Calibri"/>
                <w:color w:val="auto"/>
                <w:szCs w:val="21"/>
              </w:rPr>
            </w:pPr>
            <w:r w:rsidRPr="00A964FF">
              <w:rPr>
                <w:rFonts w:ascii="Calibri"/>
                <w:color w:val="auto"/>
                <w:szCs w:val="21"/>
              </w:rPr>
              <w:t>连续</w:t>
            </w:r>
          </w:p>
        </w:tc>
        <w:tc>
          <w:tcPr>
            <w:tcW w:w="554" w:type="pct"/>
            <w:vMerge w:val="restart"/>
            <w:vAlign w:val="center"/>
          </w:tcPr>
          <w:p w14:paraId="3A130437" w14:textId="77777777" w:rsidR="00F40F2B" w:rsidRPr="00A964FF" w:rsidRDefault="00F40F2B" w:rsidP="001A4177">
            <w:pPr>
              <w:jc w:val="center"/>
              <w:rPr>
                <w:rFonts w:ascii="Calibri" w:hAnsi="Calibri"/>
                <w:color w:val="auto"/>
                <w:szCs w:val="21"/>
              </w:rPr>
            </w:pPr>
            <w:r w:rsidRPr="00A964FF">
              <w:rPr>
                <w:rFonts w:ascii="Calibri" w:hint="eastAsia"/>
                <w:color w:val="auto"/>
                <w:szCs w:val="21"/>
              </w:rPr>
              <w:t>平顶山第三污水处理厂</w:t>
            </w:r>
          </w:p>
        </w:tc>
        <w:tc>
          <w:tcPr>
            <w:tcW w:w="476" w:type="pct"/>
            <w:vAlign w:val="center"/>
          </w:tcPr>
          <w:p w14:paraId="06957A97" w14:textId="77777777" w:rsidR="00F40F2B" w:rsidRPr="00A964FF" w:rsidRDefault="00F40F2B" w:rsidP="00147D63">
            <w:pPr>
              <w:jc w:val="center"/>
              <w:rPr>
                <w:rFonts w:ascii="Calibri" w:hAnsi="Calibri"/>
                <w:color w:val="auto"/>
                <w:szCs w:val="21"/>
              </w:rPr>
            </w:pPr>
            <w:r w:rsidRPr="00A964FF">
              <w:rPr>
                <w:rFonts w:ascii="Calibri" w:hAnsi="Calibri" w:hint="eastAsia"/>
                <w:color w:val="auto"/>
                <w:szCs w:val="21"/>
              </w:rPr>
              <w:t>COD</w:t>
            </w:r>
          </w:p>
        </w:tc>
        <w:tc>
          <w:tcPr>
            <w:tcW w:w="660" w:type="pct"/>
            <w:vAlign w:val="center"/>
          </w:tcPr>
          <w:p w14:paraId="2F8CA6B5" w14:textId="77777777" w:rsidR="00F40F2B" w:rsidRPr="00A964FF" w:rsidRDefault="00F40F2B" w:rsidP="001A4177">
            <w:pPr>
              <w:jc w:val="center"/>
              <w:rPr>
                <w:rFonts w:ascii="Calibri" w:hAnsi="Calibri"/>
                <w:color w:val="auto"/>
                <w:szCs w:val="21"/>
              </w:rPr>
            </w:pPr>
            <w:r>
              <w:rPr>
                <w:rFonts w:ascii="Calibri" w:hAnsi="Calibri" w:hint="eastAsia"/>
                <w:color w:val="auto"/>
                <w:szCs w:val="21"/>
              </w:rPr>
              <w:t>400</w:t>
            </w:r>
          </w:p>
        </w:tc>
      </w:tr>
      <w:tr w:rsidR="00F40F2B" w:rsidRPr="00A964FF" w14:paraId="253F6026" w14:textId="77777777" w:rsidTr="007E575F">
        <w:trPr>
          <w:cantSplit/>
          <w:trHeight w:val="369"/>
          <w:jc w:val="center"/>
        </w:trPr>
        <w:tc>
          <w:tcPr>
            <w:tcW w:w="521" w:type="pct"/>
            <w:vMerge/>
            <w:vAlign w:val="center"/>
          </w:tcPr>
          <w:p w14:paraId="6BDAF810" w14:textId="77777777" w:rsidR="00F40F2B" w:rsidRPr="00A964FF" w:rsidRDefault="00F40F2B" w:rsidP="001A4177">
            <w:pPr>
              <w:jc w:val="center"/>
              <w:rPr>
                <w:rFonts w:ascii="Calibri" w:hAnsi="Calibri"/>
                <w:color w:val="auto"/>
                <w:szCs w:val="21"/>
              </w:rPr>
            </w:pPr>
          </w:p>
        </w:tc>
        <w:tc>
          <w:tcPr>
            <w:tcW w:w="521" w:type="pct"/>
            <w:vMerge/>
            <w:vAlign w:val="center"/>
          </w:tcPr>
          <w:p w14:paraId="4A6B7446" w14:textId="77777777" w:rsidR="00F40F2B" w:rsidRPr="00A964FF" w:rsidRDefault="00F40F2B" w:rsidP="001A4177">
            <w:pPr>
              <w:jc w:val="center"/>
              <w:rPr>
                <w:rFonts w:ascii="Calibri"/>
                <w:color w:val="auto"/>
                <w:szCs w:val="21"/>
              </w:rPr>
            </w:pPr>
          </w:p>
        </w:tc>
        <w:tc>
          <w:tcPr>
            <w:tcW w:w="922" w:type="pct"/>
            <w:vMerge/>
            <w:vAlign w:val="center"/>
          </w:tcPr>
          <w:p w14:paraId="17588204" w14:textId="77777777" w:rsidR="00F40F2B" w:rsidRPr="00A964FF" w:rsidRDefault="00F40F2B" w:rsidP="00AA575B">
            <w:pPr>
              <w:jc w:val="center"/>
              <w:rPr>
                <w:rFonts w:ascii="Calibri" w:hAnsi="Calibri"/>
                <w:color w:val="auto"/>
                <w:szCs w:val="21"/>
              </w:rPr>
            </w:pPr>
          </w:p>
        </w:tc>
        <w:tc>
          <w:tcPr>
            <w:tcW w:w="476" w:type="pct"/>
            <w:vMerge/>
            <w:vAlign w:val="center"/>
          </w:tcPr>
          <w:p w14:paraId="39808C1A" w14:textId="77777777" w:rsidR="00F40F2B" w:rsidRPr="00A964FF" w:rsidRDefault="00F40F2B" w:rsidP="001A4177">
            <w:pPr>
              <w:jc w:val="center"/>
              <w:rPr>
                <w:rFonts w:ascii="Calibri"/>
                <w:color w:val="auto"/>
                <w:szCs w:val="21"/>
              </w:rPr>
            </w:pPr>
          </w:p>
        </w:tc>
        <w:tc>
          <w:tcPr>
            <w:tcW w:w="475" w:type="pct"/>
            <w:vMerge/>
            <w:vAlign w:val="center"/>
          </w:tcPr>
          <w:p w14:paraId="138B8136" w14:textId="77777777" w:rsidR="00F40F2B" w:rsidRPr="00A964FF" w:rsidRDefault="00F40F2B" w:rsidP="001A4177">
            <w:pPr>
              <w:jc w:val="center"/>
              <w:rPr>
                <w:rFonts w:ascii="Calibri"/>
                <w:color w:val="auto"/>
                <w:szCs w:val="21"/>
              </w:rPr>
            </w:pPr>
          </w:p>
        </w:tc>
        <w:tc>
          <w:tcPr>
            <w:tcW w:w="395" w:type="pct"/>
            <w:vMerge/>
            <w:vAlign w:val="center"/>
          </w:tcPr>
          <w:p w14:paraId="69E8BE32" w14:textId="77777777" w:rsidR="00F40F2B" w:rsidRPr="00A964FF" w:rsidRDefault="00F40F2B" w:rsidP="001A4177">
            <w:pPr>
              <w:jc w:val="center"/>
              <w:rPr>
                <w:rFonts w:ascii="Calibri"/>
                <w:color w:val="auto"/>
                <w:szCs w:val="21"/>
              </w:rPr>
            </w:pPr>
          </w:p>
        </w:tc>
        <w:tc>
          <w:tcPr>
            <w:tcW w:w="554" w:type="pct"/>
            <w:vMerge/>
            <w:vAlign w:val="center"/>
          </w:tcPr>
          <w:p w14:paraId="20D56C3E" w14:textId="77777777" w:rsidR="00F40F2B" w:rsidRPr="00A964FF" w:rsidRDefault="00F40F2B" w:rsidP="001A4177">
            <w:pPr>
              <w:jc w:val="center"/>
              <w:rPr>
                <w:rFonts w:ascii="Calibri"/>
                <w:color w:val="auto"/>
                <w:szCs w:val="21"/>
              </w:rPr>
            </w:pPr>
          </w:p>
        </w:tc>
        <w:tc>
          <w:tcPr>
            <w:tcW w:w="476" w:type="pct"/>
            <w:vAlign w:val="center"/>
          </w:tcPr>
          <w:p w14:paraId="36A64577" w14:textId="77777777" w:rsidR="00F40F2B" w:rsidRPr="00A964FF" w:rsidRDefault="00F40F2B" w:rsidP="00147D63">
            <w:pPr>
              <w:autoSpaceDE w:val="0"/>
              <w:autoSpaceDN w:val="0"/>
              <w:adjustRightInd w:val="0"/>
              <w:jc w:val="center"/>
              <w:rPr>
                <w:rFonts w:ascii="Calibri" w:hAnsi="Calibri"/>
                <w:color w:val="auto"/>
                <w:szCs w:val="21"/>
              </w:rPr>
            </w:pPr>
            <w:r w:rsidRPr="00A964FF">
              <w:rPr>
                <w:rFonts w:ascii="Calibri" w:hAnsi="Calibri" w:hint="eastAsia"/>
                <w:color w:val="auto"/>
                <w:szCs w:val="21"/>
              </w:rPr>
              <w:t>BOD</w:t>
            </w:r>
            <w:r w:rsidRPr="00A964FF">
              <w:rPr>
                <w:rFonts w:ascii="Calibri" w:hAnsi="Calibri" w:hint="eastAsia"/>
                <w:color w:val="auto"/>
                <w:szCs w:val="21"/>
                <w:vertAlign w:val="subscript"/>
              </w:rPr>
              <w:t>5</w:t>
            </w:r>
          </w:p>
        </w:tc>
        <w:tc>
          <w:tcPr>
            <w:tcW w:w="660" w:type="pct"/>
            <w:vAlign w:val="center"/>
          </w:tcPr>
          <w:p w14:paraId="23C3AFE3" w14:textId="77777777" w:rsidR="00F40F2B" w:rsidRPr="00A964FF" w:rsidRDefault="00F40F2B" w:rsidP="001A4177">
            <w:pPr>
              <w:jc w:val="center"/>
              <w:rPr>
                <w:rFonts w:ascii="Calibri" w:hAnsi="Calibri"/>
                <w:color w:val="auto"/>
                <w:szCs w:val="21"/>
              </w:rPr>
            </w:pPr>
            <w:r>
              <w:rPr>
                <w:rFonts w:ascii="Calibri" w:hAnsi="Calibri" w:hint="eastAsia"/>
                <w:color w:val="auto"/>
                <w:szCs w:val="21"/>
              </w:rPr>
              <w:t>150</w:t>
            </w:r>
          </w:p>
        </w:tc>
      </w:tr>
      <w:tr w:rsidR="00F40F2B" w:rsidRPr="00A964FF" w14:paraId="539CEF3D" w14:textId="77777777" w:rsidTr="007E575F">
        <w:trPr>
          <w:cantSplit/>
          <w:trHeight w:val="369"/>
          <w:jc w:val="center"/>
        </w:trPr>
        <w:tc>
          <w:tcPr>
            <w:tcW w:w="521" w:type="pct"/>
            <w:vMerge/>
            <w:vAlign w:val="center"/>
          </w:tcPr>
          <w:p w14:paraId="0B584CA0" w14:textId="77777777" w:rsidR="00F40F2B" w:rsidRPr="00A964FF" w:rsidRDefault="00F40F2B" w:rsidP="001A4177">
            <w:pPr>
              <w:jc w:val="center"/>
              <w:rPr>
                <w:rFonts w:ascii="Calibri" w:hAnsi="Calibri"/>
                <w:color w:val="auto"/>
                <w:szCs w:val="21"/>
              </w:rPr>
            </w:pPr>
          </w:p>
        </w:tc>
        <w:tc>
          <w:tcPr>
            <w:tcW w:w="521" w:type="pct"/>
            <w:vMerge/>
            <w:vAlign w:val="center"/>
          </w:tcPr>
          <w:p w14:paraId="55806027" w14:textId="77777777" w:rsidR="00F40F2B" w:rsidRPr="00A964FF" w:rsidRDefault="00F40F2B" w:rsidP="001A4177">
            <w:pPr>
              <w:jc w:val="center"/>
              <w:rPr>
                <w:rFonts w:ascii="Calibri"/>
                <w:color w:val="auto"/>
                <w:szCs w:val="21"/>
              </w:rPr>
            </w:pPr>
          </w:p>
        </w:tc>
        <w:tc>
          <w:tcPr>
            <w:tcW w:w="922" w:type="pct"/>
            <w:vMerge/>
            <w:vAlign w:val="center"/>
          </w:tcPr>
          <w:p w14:paraId="38F5A3B1" w14:textId="77777777" w:rsidR="00F40F2B" w:rsidRPr="00A964FF" w:rsidRDefault="00F40F2B" w:rsidP="00AA575B">
            <w:pPr>
              <w:jc w:val="center"/>
              <w:rPr>
                <w:rFonts w:ascii="Calibri" w:hAnsi="Calibri"/>
                <w:color w:val="auto"/>
                <w:szCs w:val="21"/>
              </w:rPr>
            </w:pPr>
          </w:p>
        </w:tc>
        <w:tc>
          <w:tcPr>
            <w:tcW w:w="476" w:type="pct"/>
            <w:vMerge/>
            <w:vAlign w:val="center"/>
          </w:tcPr>
          <w:p w14:paraId="429589E1" w14:textId="77777777" w:rsidR="00F40F2B" w:rsidRPr="00A964FF" w:rsidRDefault="00F40F2B" w:rsidP="001A4177">
            <w:pPr>
              <w:jc w:val="center"/>
              <w:rPr>
                <w:rFonts w:ascii="Calibri"/>
                <w:color w:val="auto"/>
                <w:szCs w:val="21"/>
              </w:rPr>
            </w:pPr>
          </w:p>
        </w:tc>
        <w:tc>
          <w:tcPr>
            <w:tcW w:w="475" w:type="pct"/>
            <w:vMerge/>
            <w:vAlign w:val="center"/>
          </w:tcPr>
          <w:p w14:paraId="7DD748A3" w14:textId="77777777" w:rsidR="00F40F2B" w:rsidRPr="00A964FF" w:rsidRDefault="00F40F2B" w:rsidP="001A4177">
            <w:pPr>
              <w:jc w:val="center"/>
              <w:rPr>
                <w:rFonts w:ascii="Calibri"/>
                <w:color w:val="auto"/>
                <w:szCs w:val="21"/>
              </w:rPr>
            </w:pPr>
          </w:p>
        </w:tc>
        <w:tc>
          <w:tcPr>
            <w:tcW w:w="395" w:type="pct"/>
            <w:vMerge/>
            <w:vAlign w:val="center"/>
          </w:tcPr>
          <w:p w14:paraId="470A957E" w14:textId="77777777" w:rsidR="00F40F2B" w:rsidRPr="00A964FF" w:rsidRDefault="00F40F2B" w:rsidP="001A4177">
            <w:pPr>
              <w:jc w:val="center"/>
              <w:rPr>
                <w:rFonts w:ascii="Calibri"/>
                <w:color w:val="auto"/>
                <w:szCs w:val="21"/>
              </w:rPr>
            </w:pPr>
          </w:p>
        </w:tc>
        <w:tc>
          <w:tcPr>
            <w:tcW w:w="554" w:type="pct"/>
            <w:vMerge/>
            <w:vAlign w:val="center"/>
          </w:tcPr>
          <w:p w14:paraId="7C15DB69" w14:textId="77777777" w:rsidR="00F40F2B" w:rsidRPr="00A964FF" w:rsidRDefault="00F40F2B" w:rsidP="001A4177">
            <w:pPr>
              <w:jc w:val="center"/>
              <w:rPr>
                <w:rFonts w:ascii="Calibri"/>
                <w:color w:val="auto"/>
                <w:szCs w:val="21"/>
              </w:rPr>
            </w:pPr>
          </w:p>
        </w:tc>
        <w:tc>
          <w:tcPr>
            <w:tcW w:w="476" w:type="pct"/>
            <w:vAlign w:val="center"/>
          </w:tcPr>
          <w:p w14:paraId="6D8F46C6" w14:textId="77777777" w:rsidR="00F40F2B" w:rsidRPr="00A964FF" w:rsidRDefault="00F40F2B" w:rsidP="00147D63">
            <w:pPr>
              <w:autoSpaceDE w:val="0"/>
              <w:autoSpaceDN w:val="0"/>
              <w:adjustRightInd w:val="0"/>
              <w:jc w:val="center"/>
              <w:rPr>
                <w:rFonts w:ascii="Calibri" w:hAnsi="Calibri"/>
                <w:color w:val="auto"/>
                <w:szCs w:val="21"/>
              </w:rPr>
            </w:pPr>
            <w:r w:rsidRPr="00A964FF">
              <w:rPr>
                <w:rFonts w:ascii="Calibri" w:hAnsi="Calibri" w:hint="eastAsia"/>
                <w:color w:val="auto"/>
                <w:szCs w:val="21"/>
              </w:rPr>
              <w:t>SS</w:t>
            </w:r>
          </w:p>
        </w:tc>
        <w:tc>
          <w:tcPr>
            <w:tcW w:w="660" w:type="pct"/>
            <w:vAlign w:val="center"/>
          </w:tcPr>
          <w:p w14:paraId="2C9B0F0B" w14:textId="77777777" w:rsidR="00F40F2B" w:rsidRPr="00A964FF" w:rsidRDefault="00F40F2B" w:rsidP="001A4177">
            <w:pPr>
              <w:jc w:val="center"/>
              <w:rPr>
                <w:rFonts w:ascii="Calibri" w:hAnsi="Calibri"/>
                <w:color w:val="auto"/>
                <w:szCs w:val="21"/>
              </w:rPr>
            </w:pPr>
            <w:r>
              <w:rPr>
                <w:rFonts w:ascii="Calibri" w:hAnsi="Calibri" w:hint="eastAsia"/>
                <w:color w:val="auto"/>
                <w:szCs w:val="21"/>
              </w:rPr>
              <w:t>300</w:t>
            </w:r>
          </w:p>
        </w:tc>
      </w:tr>
      <w:tr w:rsidR="00F40F2B" w:rsidRPr="00A964FF" w14:paraId="71F35650" w14:textId="77777777" w:rsidTr="007E575F">
        <w:trPr>
          <w:cantSplit/>
          <w:trHeight w:val="369"/>
          <w:jc w:val="center"/>
        </w:trPr>
        <w:tc>
          <w:tcPr>
            <w:tcW w:w="521" w:type="pct"/>
            <w:vMerge/>
            <w:vAlign w:val="center"/>
          </w:tcPr>
          <w:p w14:paraId="4692D39F" w14:textId="77777777" w:rsidR="00F40F2B" w:rsidRPr="00A964FF" w:rsidRDefault="00F40F2B" w:rsidP="001A4177">
            <w:pPr>
              <w:jc w:val="center"/>
              <w:rPr>
                <w:rFonts w:ascii="Calibri" w:hAnsi="Calibri"/>
                <w:color w:val="auto"/>
                <w:szCs w:val="21"/>
              </w:rPr>
            </w:pPr>
          </w:p>
        </w:tc>
        <w:tc>
          <w:tcPr>
            <w:tcW w:w="521" w:type="pct"/>
            <w:vMerge/>
            <w:vAlign w:val="center"/>
          </w:tcPr>
          <w:p w14:paraId="09CD5A26" w14:textId="77777777" w:rsidR="00F40F2B" w:rsidRPr="00A964FF" w:rsidRDefault="00F40F2B" w:rsidP="001A4177">
            <w:pPr>
              <w:jc w:val="center"/>
              <w:rPr>
                <w:rFonts w:ascii="Calibri"/>
                <w:color w:val="auto"/>
                <w:szCs w:val="21"/>
              </w:rPr>
            </w:pPr>
          </w:p>
        </w:tc>
        <w:tc>
          <w:tcPr>
            <w:tcW w:w="922" w:type="pct"/>
            <w:vMerge/>
            <w:vAlign w:val="center"/>
          </w:tcPr>
          <w:p w14:paraId="2608200D" w14:textId="77777777" w:rsidR="00F40F2B" w:rsidRPr="00A964FF" w:rsidRDefault="00F40F2B" w:rsidP="00AA575B">
            <w:pPr>
              <w:jc w:val="center"/>
              <w:rPr>
                <w:rFonts w:ascii="Calibri" w:hAnsi="Calibri"/>
                <w:color w:val="auto"/>
                <w:szCs w:val="21"/>
              </w:rPr>
            </w:pPr>
          </w:p>
        </w:tc>
        <w:tc>
          <w:tcPr>
            <w:tcW w:w="476" w:type="pct"/>
            <w:vMerge/>
            <w:vAlign w:val="center"/>
          </w:tcPr>
          <w:p w14:paraId="20C247B3" w14:textId="77777777" w:rsidR="00F40F2B" w:rsidRPr="00A964FF" w:rsidRDefault="00F40F2B" w:rsidP="001A4177">
            <w:pPr>
              <w:jc w:val="center"/>
              <w:rPr>
                <w:rFonts w:ascii="Calibri"/>
                <w:color w:val="auto"/>
                <w:szCs w:val="21"/>
              </w:rPr>
            </w:pPr>
          </w:p>
        </w:tc>
        <w:tc>
          <w:tcPr>
            <w:tcW w:w="475" w:type="pct"/>
            <w:vMerge/>
            <w:vAlign w:val="center"/>
          </w:tcPr>
          <w:p w14:paraId="5845619D" w14:textId="77777777" w:rsidR="00F40F2B" w:rsidRPr="00A964FF" w:rsidRDefault="00F40F2B" w:rsidP="001A4177">
            <w:pPr>
              <w:jc w:val="center"/>
              <w:rPr>
                <w:rFonts w:ascii="Calibri"/>
                <w:color w:val="auto"/>
                <w:szCs w:val="21"/>
              </w:rPr>
            </w:pPr>
          </w:p>
        </w:tc>
        <w:tc>
          <w:tcPr>
            <w:tcW w:w="395" w:type="pct"/>
            <w:vMerge/>
            <w:vAlign w:val="center"/>
          </w:tcPr>
          <w:p w14:paraId="78BE97BA" w14:textId="77777777" w:rsidR="00F40F2B" w:rsidRPr="00A964FF" w:rsidRDefault="00F40F2B" w:rsidP="001A4177">
            <w:pPr>
              <w:jc w:val="center"/>
              <w:rPr>
                <w:rFonts w:ascii="Calibri"/>
                <w:color w:val="auto"/>
                <w:szCs w:val="21"/>
              </w:rPr>
            </w:pPr>
          </w:p>
        </w:tc>
        <w:tc>
          <w:tcPr>
            <w:tcW w:w="554" w:type="pct"/>
            <w:vMerge/>
            <w:vAlign w:val="center"/>
          </w:tcPr>
          <w:p w14:paraId="42CFB6A7" w14:textId="77777777" w:rsidR="00F40F2B" w:rsidRPr="00A964FF" w:rsidRDefault="00F40F2B" w:rsidP="001A4177">
            <w:pPr>
              <w:jc w:val="center"/>
              <w:rPr>
                <w:rFonts w:ascii="Calibri"/>
                <w:color w:val="auto"/>
                <w:szCs w:val="21"/>
              </w:rPr>
            </w:pPr>
          </w:p>
        </w:tc>
        <w:tc>
          <w:tcPr>
            <w:tcW w:w="476" w:type="pct"/>
            <w:vAlign w:val="center"/>
          </w:tcPr>
          <w:p w14:paraId="359EF6B7" w14:textId="77777777" w:rsidR="00F40F2B" w:rsidRPr="00A964FF" w:rsidRDefault="00F40F2B" w:rsidP="00147D63">
            <w:pPr>
              <w:autoSpaceDE w:val="0"/>
              <w:autoSpaceDN w:val="0"/>
              <w:adjustRightInd w:val="0"/>
              <w:jc w:val="center"/>
              <w:rPr>
                <w:rFonts w:ascii="Calibri" w:hAnsi="Calibri"/>
                <w:color w:val="auto"/>
                <w:szCs w:val="21"/>
              </w:rPr>
            </w:pPr>
            <w:r w:rsidRPr="00A964FF">
              <w:rPr>
                <w:rFonts w:ascii="Calibri" w:hAnsi="Calibri" w:hint="eastAsia"/>
                <w:color w:val="auto"/>
                <w:szCs w:val="21"/>
              </w:rPr>
              <w:t>NH</w:t>
            </w:r>
            <w:r w:rsidRPr="00A964FF">
              <w:rPr>
                <w:rFonts w:ascii="Calibri" w:hAnsi="Calibri" w:hint="eastAsia"/>
                <w:color w:val="auto"/>
                <w:szCs w:val="21"/>
                <w:vertAlign w:val="subscript"/>
              </w:rPr>
              <w:t>3</w:t>
            </w:r>
            <w:r w:rsidRPr="00A964FF">
              <w:rPr>
                <w:rFonts w:ascii="Calibri" w:hAnsi="Calibri" w:hint="eastAsia"/>
                <w:color w:val="auto"/>
                <w:szCs w:val="21"/>
              </w:rPr>
              <w:t>-N</w:t>
            </w:r>
          </w:p>
        </w:tc>
        <w:tc>
          <w:tcPr>
            <w:tcW w:w="660" w:type="pct"/>
            <w:vAlign w:val="center"/>
          </w:tcPr>
          <w:p w14:paraId="2E6BA05A" w14:textId="77777777" w:rsidR="00F40F2B" w:rsidRPr="00A964FF" w:rsidRDefault="00F40F2B" w:rsidP="001A4177">
            <w:pPr>
              <w:jc w:val="center"/>
              <w:rPr>
                <w:rFonts w:ascii="Calibri" w:hAnsi="Calibri"/>
                <w:color w:val="auto"/>
                <w:szCs w:val="21"/>
              </w:rPr>
            </w:pPr>
            <w:r>
              <w:rPr>
                <w:rFonts w:ascii="Calibri" w:hAnsi="Calibri" w:hint="eastAsia"/>
                <w:color w:val="auto"/>
                <w:szCs w:val="21"/>
              </w:rPr>
              <w:t>35</w:t>
            </w:r>
          </w:p>
        </w:tc>
      </w:tr>
    </w:tbl>
    <w:p w14:paraId="1F432F0E" w14:textId="77777777" w:rsidR="005C500B" w:rsidRPr="00A964FF" w:rsidRDefault="005C500B" w:rsidP="009058A1">
      <w:pPr>
        <w:pStyle w:val="00"/>
        <w:rPr>
          <w:rFonts w:ascii="Calibri" w:hAnsi="Calibri"/>
          <w:noProof/>
          <w:color w:val="auto"/>
        </w:rPr>
      </w:pPr>
      <w:r w:rsidRPr="00A964FF">
        <w:rPr>
          <w:rFonts w:ascii="Calibri" w:hAnsi="Calibri" w:hint="eastAsia"/>
          <w:noProof/>
          <w:color w:val="auto"/>
        </w:rPr>
        <w:t>③</w:t>
      </w:r>
      <w:r w:rsidRPr="00A964FF">
        <w:rPr>
          <w:rFonts w:ascii="Calibri" w:hAnsi="Calibri" w:hint="eastAsia"/>
          <w:noProof/>
          <w:color w:val="auto"/>
        </w:rPr>
        <w:t xml:space="preserve"> </w:t>
      </w:r>
      <w:r w:rsidRPr="00A964FF">
        <w:rPr>
          <w:rFonts w:ascii="Calibri" w:hAnsi="Calibri" w:hint="eastAsia"/>
          <w:noProof/>
          <w:color w:val="auto"/>
        </w:rPr>
        <w:t>噪声、固废排放清单</w:t>
      </w:r>
    </w:p>
    <w:p w14:paraId="5945DD16" w14:textId="39015EA2" w:rsidR="00163385" w:rsidRPr="00921255" w:rsidRDefault="009058A1" w:rsidP="00921255">
      <w:pPr>
        <w:pStyle w:val="00"/>
        <w:rPr>
          <w:rFonts w:ascii="Calibri" w:hAnsi="Calibri"/>
          <w:noProof/>
          <w:color w:val="auto"/>
        </w:rPr>
      </w:pPr>
      <w:r w:rsidRPr="00A964FF">
        <w:rPr>
          <w:rFonts w:ascii="Calibri" w:hAnsi="Calibri" w:hint="eastAsia"/>
          <w:noProof/>
          <w:color w:val="auto"/>
        </w:rPr>
        <w:t>本项目噪声和固废排放情况见表</w:t>
      </w:r>
      <w:r w:rsidR="00B57A09" w:rsidRPr="00A964FF">
        <w:rPr>
          <w:rFonts w:ascii="Calibri" w:hAnsi="Calibri" w:hint="eastAsia"/>
          <w:noProof/>
          <w:color w:val="auto"/>
        </w:rPr>
        <w:t>7</w:t>
      </w:r>
      <w:r w:rsidRPr="00A964FF">
        <w:rPr>
          <w:rFonts w:ascii="Calibri" w:hAnsi="Calibri" w:hint="eastAsia"/>
          <w:noProof/>
          <w:color w:val="auto"/>
        </w:rPr>
        <w:t>.1-</w:t>
      </w:r>
      <w:r w:rsidR="00AA575B" w:rsidRPr="00A964FF">
        <w:rPr>
          <w:rFonts w:ascii="Calibri" w:hAnsi="Calibri" w:hint="eastAsia"/>
          <w:noProof/>
          <w:color w:val="auto"/>
        </w:rPr>
        <w:t>7</w:t>
      </w:r>
      <w:r w:rsidRPr="00A964FF">
        <w:rPr>
          <w:rFonts w:ascii="Calibri" w:hAnsi="Calibri" w:hint="eastAsia"/>
          <w:noProof/>
          <w:color w:val="auto"/>
        </w:rPr>
        <w:t>。</w:t>
      </w:r>
    </w:p>
    <w:p w14:paraId="683F7306" w14:textId="77777777" w:rsidR="00FC0738" w:rsidRDefault="009058A1" w:rsidP="00FC0738">
      <w:pPr>
        <w:widowControl/>
        <w:spacing w:line="520" w:lineRule="exact"/>
        <w:ind w:firstLineChars="200" w:firstLine="480"/>
        <w:rPr>
          <w:rFonts w:ascii="Calibri" w:eastAsia="黑体" w:hAnsi="Calibri"/>
          <w:noProof/>
          <w:color w:val="auto"/>
          <w:sz w:val="24"/>
        </w:rPr>
      </w:pPr>
      <w:r w:rsidRPr="00A964FF">
        <w:rPr>
          <w:rFonts w:ascii="Calibri" w:eastAsia="黑体" w:hAnsi="Calibri"/>
          <w:noProof/>
          <w:color w:val="auto"/>
          <w:sz w:val="24"/>
        </w:rPr>
        <w:lastRenderedPageBreak/>
        <w:t>表</w:t>
      </w:r>
      <w:r w:rsidR="00B57A09" w:rsidRPr="00A964FF">
        <w:rPr>
          <w:rFonts w:ascii="Calibri" w:eastAsia="黑体" w:hAnsi="Calibri" w:hint="eastAsia"/>
          <w:noProof/>
          <w:color w:val="auto"/>
          <w:sz w:val="24"/>
        </w:rPr>
        <w:t>7</w:t>
      </w:r>
      <w:r w:rsidRPr="00A964FF">
        <w:rPr>
          <w:rFonts w:ascii="Calibri" w:eastAsia="黑体" w:hAnsi="Calibri" w:hint="eastAsia"/>
          <w:noProof/>
          <w:color w:val="auto"/>
          <w:sz w:val="24"/>
        </w:rPr>
        <w:t>.1</w:t>
      </w:r>
      <w:r w:rsidRPr="00A964FF">
        <w:rPr>
          <w:rFonts w:ascii="Calibri" w:eastAsia="黑体" w:hAnsi="Calibri"/>
          <w:noProof/>
          <w:color w:val="auto"/>
          <w:sz w:val="24"/>
        </w:rPr>
        <w:t>-</w:t>
      </w:r>
      <w:r w:rsidR="00AA575B" w:rsidRPr="00A964FF">
        <w:rPr>
          <w:rFonts w:ascii="Calibri" w:eastAsia="黑体" w:hAnsi="Calibri" w:hint="eastAsia"/>
          <w:noProof/>
          <w:color w:val="auto"/>
          <w:sz w:val="24"/>
        </w:rPr>
        <w:t>7</w:t>
      </w:r>
      <w:r w:rsidRPr="00A964FF">
        <w:rPr>
          <w:rFonts w:ascii="Calibri" w:eastAsia="黑体" w:hAnsi="Calibri"/>
          <w:noProof/>
          <w:color w:val="auto"/>
          <w:sz w:val="24"/>
        </w:rPr>
        <w:t xml:space="preserve">           </w:t>
      </w:r>
      <w:r w:rsidRPr="00A964FF">
        <w:rPr>
          <w:rFonts w:ascii="Calibri" w:eastAsia="黑体" w:hAnsi="Calibri"/>
          <w:noProof/>
          <w:color w:val="auto"/>
          <w:sz w:val="24"/>
        </w:rPr>
        <w:t>本项目</w:t>
      </w:r>
      <w:r w:rsidR="00C60D02" w:rsidRPr="00A964FF">
        <w:rPr>
          <w:rFonts w:ascii="Calibri" w:eastAsia="黑体" w:hAnsi="Calibri" w:hint="eastAsia"/>
          <w:noProof/>
          <w:color w:val="auto"/>
          <w:sz w:val="24"/>
        </w:rPr>
        <w:t>其他</w:t>
      </w:r>
      <w:r w:rsidRPr="00A964FF">
        <w:rPr>
          <w:rFonts w:ascii="Calibri" w:eastAsia="黑体" w:hAnsi="Calibri"/>
          <w:noProof/>
          <w:color w:val="auto"/>
          <w:sz w:val="24"/>
        </w:rPr>
        <w:t>污染物</w:t>
      </w:r>
      <w:r w:rsidRPr="00A964FF">
        <w:rPr>
          <w:rFonts w:ascii="Calibri" w:eastAsia="黑体" w:hAnsi="Calibri" w:hint="eastAsia"/>
          <w:noProof/>
          <w:color w:val="auto"/>
          <w:sz w:val="24"/>
        </w:rPr>
        <w:t>排放</w:t>
      </w:r>
      <w:r w:rsidRPr="00A964FF">
        <w:rPr>
          <w:rFonts w:ascii="Calibri" w:eastAsia="黑体" w:hAnsi="Calibri"/>
          <w:noProof/>
          <w:color w:val="auto"/>
          <w:sz w:val="24"/>
        </w:rPr>
        <w:t>情况汇总表</w:t>
      </w:r>
    </w:p>
    <w:tbl>
      <w:tblPr>
        <w:tblW w:w="540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8"/>
        <w:gridCol w:w="698"/>
        <w:gridCol w:w="1671"/>
        <w:gridCol w:w="21"/>
        <w:gridCol w:w="78"/>
        <w:gridCol w:w="1497"/>
        <w:gridCol w:w="1134"/>
        <w:gridCol w:w="1258"/>
        <w:gridCol w:w="2343"/>
      </w:tblGrid>
      <w:tr w:rsidR="00633D32" w:rsidRPr="00A964FF" w14:paraId="70CECCDF" w14:textId="77777777" w:rsidTr="007E62BE">
        <w:trPr>
          <w:trHeight w:val="340"/>
        </w:trPr>
        <w:tc>
          <w:tcPr>
            <w:tcW w:w="698" w:type="dxa"/>
            <w:vAlign w:val="center"/>
          </w:tcPr>
          <w:p w14:paraId="652CABCE" w14:textId="77777777" w:rsidR="00633D32" w:rsidRPr="007E5D31" w:rsidRDefault="00633D32" w:rsidP="00517F10">
            <w:pPr>
              <w:jc w:val="center"/>
              <w:rPr>
                <w:rFonts w:ascii="Calibri" w:hAnsi="Calibri"/>
                <w:color w:val="auto"/>
                <w:szCs w:val="21"/>
              </w:rPr>
            </w:pPr>
            <w:r>
              <w:rPr>
                <w:rFonts w:ascii="Calibri" w:hAnsi="Calibri" w:hint="eastAsia"/>
                <w:color w:val="auto"/>
                <w:szCs w:val="21"/>
              </w:rPr>
              <w:t>类别</w:t>
            </w:r>
          </w:p>
        </w:tc>
        <w:tc>
          <w:tcPr>
            <w:tcW w:w="698" w:type="dxa"/>
            <w:vAlign w:val="center"/>
          </w:tcPr>
          <w:p w14:paraId="7DC7FCFC" w14:textId="77777777" w:rsidR="00633D32" w:rsidRPr="007E5D31" w:rsidRDefault="00633D32" w:rsidP="00517F10">
            <w:pPr>
              <w:jc w:val="center"/>
              <w:rPr>
                <w:rFonts w:ascii="Calibri" w:hAnsi="Calibri"/>
                <w:color w:val="auto"/>
                <w:szCs w:val="21"/>
              </w:rPr>
            </w:pPr>
            <w:r w:rsidRPr="007E5D31">
              <w:rPr>
                <w:rFonts w:ascii="Calibri" w:hAnsi="Calibri"/>
                <w:color w:val="auto"/>
                <w:szCs w:val="21"/>
              </w:rPr>
              <w:t>序号</w:t>
            </w:r>
          </w:p>
        </w:tc>
        <w:tc>
          <w:tcPr>
            <w:tcW w:w="1692" w:type="dxa"/>
            <w:gridSpan w:val="2"/>
            <w:vAlign w:val="center"/>
          </w:tcPr>
          <w:p w14:paraId="7C41591D" w14:textId="77777777" w:rsidR="00633D32" w:rsidRPr="007E5D31" w:rsidRDefault="00633D32" w:rsidP="00517F10">
            <w:pPr>
              <w:jc w:val="center"/>
              <w:rPr>
                <w:rFonts w:ascii="Calibri" w:hAnsi="Calibri"/>
                <w:color w:val="auto"/>
                <w:szCs w:val="21"/>
              </w:rPr>
            </w:pPr>
            <w:r w:rsidRPr="007E5D31">
              <w:rPr>
                <w:rFonts w:ascii="Calibri" w:hAnsi="Calibri"/>
                <w:color w:val="auto"/>
                <w:szCs w:val="21"/>
              </w:rPr>
              <w:t>固废名称</w:t>
            </w:r>
          </w:p>
        </w:tc>
        <w:tc>
          <w:tcPr>
            <w:tcW w:w="1575" w:type="dxa"/>
            <w:gridSpan w:val="2"/>
            <w:vAlign w:val="center"/>
          </w:tcPr>
          <w:p w14:paraId="72049A41" w14:textId="77777777" w:rsidR="00633D32" w:rsidRPr="007E5D31" w:rsidRDefault="00633D32" w:rsidP="00517F10">
            <w:pPr>
              <w:jc w:val="center"/>
              <w:rPr>
                <w:rFonts w:ascii="Calibri" w:hAnsi="Calibri"/>
                <w:color w:val="auto"/>
                <w:szCs w:val="21"/>
              </w:rPr>
            </w:pPr>
            <w:r w:rsidRPr="007E5D31">
              <w:rPr>
                <w:rFonts w:ascii="Calibri" w:hAnsi="Calibri"/>
                <w:color w:val="auto"/>
                <w:szCs w:val="21"/>
              </w:rPr>
              <w:t>来源</w:t>
            </w:r>
          </w:p>
        </w:tc>
        <w:tc>
          <w:tcPr>
            <w:tcW w:w="1134" w:type="dxa"/>
            <w:vAlign w:val="center"/>
          </w:tcPr>
          <w:p w14:paraId="359E9F08" w14:textId="77777777" w:rsidR="00633D32" w:rsidRPr="007E5D31" w:rsidRDefault="00633D32" w:rsidP="00517F10">
            <w:pPr>
              <w:jc w:val="center"/>
              <w:rPr>
                <w:rFonts w:ascii="Calibri" w:hAnsi="Calibri"/>
                <w:color w:val="auto"/>
                <w:szCs w:val="21"/>
              </w:rPr>
            </w:pPr>
            <w:r w:rsidRPr="007E5D31">
              <w:rPr>
                <w:rFonts w:ascii="Calibri" w:hAnsi="Calibri"/>
                <w:color w:val="auto"/>
                <w:szCs w:val="21"/>
              </w:rPr>
              <w:t>产生量</w:t>
            </w:r>
          </w:p>
          <w:p w14:paraId="2147D3A5" w14:textId="77777777" w:rsidR="00633D32" w:rsidRPr="007E5D31" w:rsidRDefault="00633D32" w:rsidP="00517F10">
            <w:pPr>
              <w:jc w:val="center"/>
              <w:rPr>
                <w:rFonts w:ascii="Calibri" w:hAnsi="Calibri"/>
                <w:color w:val="auto"/>
                <w:szCs w:val="21"/>
              </w:rPr>
            </w:pPr>
            <w:r w:rsidRPr="007E5D31">
              <w:rPr>
                <w:rFonts w:ascii="Calibri" w:hAnsi="Calibri"/>
                <w:color w:val="auto"/>
                <w:szCs w:val="21"/>
              </w:rPr>
              <w:t>（</w:t>
            </w:r>
            <w:r w:rsidRPr="007E5D31">
              <w:rPr>
                <w:rFonts w:ascii="Calibri" w:hAnsi="Calibri"/>
                <w:color w:val="auto"/>
                <w:szCs w:val="21"/>
              </w:rPr>
              <w:t>t/a</w:t>
            </w:r>
            <w:r w:rsidRPr="007E5D31">
              <w:rPr>
                <w:rFonts w:ascii="Calibri" w:hAnsi="Calibri"/>
                <w:color w:val="auto"/>
                <w:szCs w:val="21"/>
              </w:rPr>
              <w:t>）</w:t>
            </w:r>
          </w:p>
        </w:tc>
        <w:tc>
          <w:tcPr>
            <w:tcW w:w="1258" w:type="dxa"/>
            <w:vAlign w:val="center"/>
          </w:tcPr>
          <w:p w14:paraId="5B8F1D55" w14:textId="77777777" w:rsidR="00633D32" w:rsidRPr="007E5D31" w:rsidRDefault="00633D32" w:rsidP="00517F10">
            <w:pPr>
              <w:jc w:val="center"/>
              <w:rPr>
                <w:rFonts w:ascii="Calibri" w:hAnsi="Calibri"/>
                <w:color w:val="auto"/>
                <w:szCs w:val="21"/>
              </w:rPr>
            </w:pPr>
            <w:r w:rsidRPr="007E5D31">
              <w:rPr>
                <w:rFonts w:ascii="Calibri" w:hAnsi="Calibri"/>
                <w:color w:val="auto"/>
                <w:szCs w:val="21"/>
              </w:rPr>
              <w:t>固废类别</w:t>
            </w:r>
          </w:p>
        </w:tc>
        <w:tc>
          <w:tcPr>
            <w:tcW w:w="2343" w:type="dxa"/>
            <w:vAlign w:val="center"/>
          </w:tcPr>
          <w:p w14:paraId="1C652F28" w14:textId="77777777" w:rsidR="00633D32" w:rsidRPr="007E5D31" w:rsidRDefault="00633D32" w:rsidP="00517F10">
            <w:pPr>
              <w:jc w:val="center"/>
              <w:rPr>
                <w:rFonts w:ascii="Calibri" w:hAnsi="Calibri"/>
                <w:color w:val="auto"/>
                <w:szCs w:val="21"/>
              </w:rPr>
            </w:pPr>
            <w:r w:rsidRPr="007E5D31">
              <w:rPr>
                <w:rFonts w:ascii="Calibri" w:hAnsi="Calibri"/>
                <w:color w:val="auto"/>
                <w:szCs w:val="21"/>
              </w:rPr>
              <w:t>处置措施</w:t>
            </w:r>
          </w:p>
        </w:tc>
      </w:tr>
      <w:tr w:rsidR="00633D32" w:rsidRPr="00A964FF" w14:paraId="61E5B2F7" w14:textId="77777777" w:rsidTr="00633D32">
        <w:trPr>
          <w:trHeight w:val="340"/>
        </w:trPr>
        <w:tc>
          <w:tcPr>
            <w:tcW w:w="698" w:type="dxa"/>
            <w:vMerge w:val="restart"/>
            <w:vAlign w:val="center"/>
          </w:tcPr>
          <w:p w14:paraId="489681D2" w14:textId="77777777" w:rsidR="00633D32" w:rsidRPr="007E5D31" w:rsidRDefault="00633D32" w:rsidP="00517F10">
            <w:pPr>
              <w:jc w:val="center"/>
              <w:rPr>
                <w:rFonts w:ascii="Calibri" w:hAnsi="Calibri"/>
                <w:color w:val="auto"/>
                <w:szCs w:val="21"/>
              </w:rPr>
            </w:pPr>
            <w:r>
              <w:rPr>
                <w:rFonts w:ascii="Calibri" w:hAnsi="Calibri" w:hint="eastAsia"/>
                <w:color w:val="auto"/>
                <w:szCs w:val="21"/>
              </w:rPr>
              <w:t>固废</w:t>
            </w:r>
          </w:p>
        </w:tc>
        <w:tc>
          <w:tcPr>
            <w:tcW w:w="698" w:type="dxa"/>
            <w:vAlign w:val="center"/>
          </w:tcPr>
          <w:p w14:paraId="50FF240A" w14:textId="77777777" w:rsidR="00633D32" w:rsidRPr="007E5D31" w:rsidRDefault="00633D32" w:rsidP="00517F10">
            <w:pPr>
              <w:jc w:val="center"/>
              <w:rPr>
                <w:rFonts w:ascii="Calibri" w:hAnsi="Calibri"/>
                <w:color w:val="auto"/>
                <w:szCs w:val="21"/>
              </w:rPr>
            </w:pPr>
            <w:r w:rsidRPr="007E5D31">
              <w:rPr>
                <w:rFonts w:ascii="Calibri" w:hAnsi="Calibri" w:hint="eastAsia"/>
                <w:color w:val="auto"/>
                <w:szCs w:val="21"/>
              </w:rPr>
              <w:t>一</w:t>
            </w:r>
          </w:p>
        </w:tc>
        <w:tc>
          <w:tcPr>
            <w:tcW w:w="8002" w:type="dxa"/>
            <w:gridSpan w:val="7"/>
            <w:vAlign w:val="center"/>
          </w:tcPr>
          <w:p w14:paraId="671669CC" w14:textId="77777777" w:rsidR="00633D32" w:rsidRPr="007E5D31" w:rsidRDefault="00633D32" w:rsidP="00517F10">
            <w:pPr>
              <w:jc w:val="center"/>
              <w:rPr>
                <w:rFonts w:ascii="Calibri" w:hAnsi="Calibri"/>
                <w:color w:val="auto"/>
                <w:szCs w:val="21"/>
              </w:rPr>
            </w:pPr>
            <w:r w:rsidRPr="007E5D31">
              <w:rPr>
                <w:rFonts w:ascii="Calibri" w:hAnsi="Calibri" w:hint="eastAsia"/>
                <w:color w:val="auto"/>
                <w:szCs w:val="21"/>
              </w:rPr>
              <w:t>一期工程</w:t>
            </w:r>
          </w:p>
        </w:tc>
      </w:tr>
      <w:tr w:rsidR="007E62BE" w:rsidRPr="00A964FF" w14:paraId="37F27D9D" w14:textId="77777777" w:rsidTr="007E62BE">
        <w:trPr>
          <w:trHeight w:val="340"/>
        </w:trPr>
        <w:tc>
          <w:tcPr>
            <w:tcW w:w="698" w:type="dxa"/>
            <w:vMerge/>
            <w:vAlign w:val="center"/>
          </w:tcPr>
          <w:p w14:paraId="440F913C" w14:textId="77777777" w:rsidR="007E62BE" w:rsidRPr="007E5D31" w:rsidRDefault="007E62BE" w:rsidP="007E62BE">
            <w:pPr>
              <w:jc w:val="center"/>
              <w:rPr>
                <w:rFonts w:ascii="Calibri" w:hAnsi="Calibri"/>
                <w:color w:val="auto"/>
                <w:szCs w:val="21"/>
              </w:rPr>
            </w:pPr>
          </w:p>
        </w:tc>
        <w:tc>
          <w:tcPr>
            <w:tcW w:w="698" w:type="dxa"/>
            <w:vAlign w:val="center"/>
          </w:tcPr>
          <w:p w14:paraId="24438D08" w14:textId="77777777" w:rsidR="007E62BE" w:rsidRPr="007E5D31" w:rsidRDefault="007E62BE" w:rsidP="007E62BE">
            <w:pPr>
              <w:jc w:val="center"/>
              <w:rPr>
                <w:rFonts w:ascii="Calibri" w:hAnsi="Calibri"/>
                <w:color w:val="auto"/>
                <w:szCs w:val="21"/>
              </w:rPr>
            </w:pPr>
            <w:r w:rsidRPr="007E5D31">
              <w:rPr>
                <w:rFonts w:ascii="Calibri" w:hAnsi="Calibri"/>
                <w:color w:val="auto"/>
                <w:szCs w:val="21"/>
              </w:rPr>
              <w:t>1</w:t>
            </w:r>
          </w:p>
        </w:tc>
        <w:tc>
          <w:tcPr>
            <w:tcW w:w="1692" w:type="dxa"/>
            <w:gridSpan w:val="2"/>
            <w:vAlign w:val="center"/>
          </w:tcPr>
          <w:p w14:paraId="4E862467" w14:textId="77777777" w:rsidR="007E62BE" w:rsidRPr="007E5D31" w:rsidRDefault="007E62BE" w:rsidP="007E62BE">
            <w:pPr>
              <w:jc w:val="center"/>
              <w:rPr>
                <w:rFonts w:ascii="Calibri" w:hAnsi="Calibri"/>
                <w:color w:val="auto"/>
                <w:szCs w:val="21"/>
              </w:rPr>
            </w:pPr>
            <w:r w:rsidRPr="00CC103D">
              <w:rPr>
                <w:rFonts w:ascii="Calibri" w:hAnsi="Calibri" w:hint="eastAsia"/>
                <w:color w:val="auto"/>
                <w:szCs w:val="21"/>
              </w:rPr>
              <w:t>废原料包装物</w:t>
            </w:r>
          </w:p>
        </w:tc>
        <w:tc>
          <w:tcPr>
            <w:tcW w:w="1575" w:type="dxa"/>
            <w:gridSpan w:val="2"/>
            <w:vAlign w:val="center"/>
          </w:tcPr>
          <w:p w14:paraId="0B2F5B9D"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原辅材料拆包</w:t>
            </w:r>
          </w:p>
        </w:tc>
        <w:tc>
          <w:tcPr>
            <w:tcW w:w="1134" w:type="dxa"/>
            <w:vAlign w:val="center"/>
          </w:tcPr>
          <w:p w14:paraId="32DA417F" w14:textId="5FBA6128"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0.2</w:t>
            </w:r>
          </w:p>
        </w:tc>
        <w:tc>
          <w:tcPr>
            <w:tcW w:w="1258" w:type="dxa"/>
            <w:vAlign w:val="center"/>
          </w:tcPr>
          <w:p w14:paraId="7A0F6619"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一般固废</w:t>
            </w:r>
          </w:p>
        </w:tc>
        <w:tc>
          <w:tcPr>
            <w:tcW w:w="2343" w:type="dxa"/>
            <w:vAlign w:val="center"/>
          </w:tcPr>
          <w:p w14:paraId="3BCCB96E" w14:textId="77777777" w:rsidR="007E62BE" w:rsidRPr="007E5D31" w:rsidRDefault="007E62BE" w:rsidP="007E62BE">
            <w:pPr>
              <w:jc w:val="center"/>
              <w:rPr>
                <w:rFonts w:ascii="Calibri" w:hAnsi="Calibri"/>
                <w:color w:val="auto"/>
                <w:szCs w:val="21"/>
              </w:rPr>
            </w:pPr>
            <w:r w:rsidRPr="00633D32">
              <w:rPr>
                <w:rFonts w:ascii="Calibri" w:hAnsi="Calibri" w:hint="eastAsia"/>
                <w:color w:val="auto"/>
                <w:szCs w:val="21"/>
              </w:rPr>
              <w:t>由废品回收公司处理</w:t>
            </w:r>
          </w:p>
        </w:tc>
      </w:tr>
      <w:tr w:rsidR="007E62BE" w:rsidRPr="00A964FF" w14:paraId="5F7E4DD6" w14:textId="77777777" w:rsidTr="007E62BE">
        <w:trPr>
          <w:trHeight w:val="340"/>
        </w:trPr>
        <w:tc>
          <w:tcPr>
            <w:tcW w:w="698" w:type="dxa"/>
            <w:vMerge/>
            <w:vAlign w:val="center"/>
          </w:tcPr>
          <w:p w14:paraId="6CC9C2E7" w14:textId="77777777" w:rsidR="007E62BE" w:rsidRPr="007E5D31" w:rsidRDefault="007E62BE" w:rsidP="007E62BE">
            <w:pPr>
              <w:jc w:val="center"/>
              <w:rPr>
                <w:rFonts w:ascii="Calibri" w:hAnsi="Calibri"/>
                <w:color w:val="auto"/>
                <w:szCs w:val="21"/>
              </w:rPr>
            </w:pPr>
          </w:p>
        </w:tc>
        <w:tc>
          <w:tcPr>
            <w:tcW w:w="698" w:type="dxa"/>
            <w:vAlign w:val="center"/>
          </w:tcPr>
          <w:p w14:paraId="13471414" w14:textId="77777777" w:rsidR="007E62BE" w:rsidRPr="007E5D31" w:rsidRDefault="007E62BE" w:rsidP="007E62BE">
            <w:pPr>
              <w:jc w:val="center"/>
              <w:rPr>
                <w:rFonts w:ascii="Calibri" w:hAnsi="Calibri"/>
                <w:color w:val="auto"/>
                <w:szCs w:val="21"/>
              </w:rPr>
            </w:pPr>
            <w:r w:rsidRPr="007E5D31">
              <w:rPr>
                <w:rFonts w:ascii="Calibri" w:hAnsi="Calibri"/>
                <w:color w:val="auto"/>
                <w:szCs w:val="21"/>
              </w:rPr>
              <w:t>2</w:t>
            </w:r>
          </w:p>
        </w:tc>
        <w:tc>
          <w:tcPr>
            <w:tcW w:w="1692" w:type="dxa"/>
            <w:gridSpan w:val="2"/>
            <w:vAlign w:val="center"/>
          </w:tcPr>
          <w:p w14:paraId="28D9F5FE"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废机油</w:t>
            </w:r>
          </w:p>
        </w:tc>
        <w:tc>
          <w:tcPr>
            <w:tcW w:w="1575" w:type="dxa"/>
            <w:gridSpan w:val="2"/>
            <w:vAlign w:val="center"/>
          </w:tcPr>
          <w:p w14:paraId="4CBEE9FD"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设备维护和检修</w:t>
            </w:r>
          </w:p>
        </w:tc>
        <w:tc>
          <w:tcPr>
            <w:tcW w:w="1134" w:type="dxa"/>
            <w:vAlign w:val="center"/>
          </w:tcPr>
          <w:p w14:paraId="53236B25" w14:textId="630FDFFA"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0.15</w:t>
            </w:r>
          </w:p>
        </w:tc>
        <w:tc>
          <w:tcPr>
            <w:tcW w:w="1258" w:type="dxa"/>
            <w:vAlign w:val="center"/>
          </w:tcPr>
          <w:p w14:paraId="10D25B49"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危险固废</w:t>
            </w:r>
          </w:p>
        </w:tc>
        <w:tc>
          <w:tcPr>
            <w:tcW w:w="2343" w:type="dxa"/>
            <w:vAlign w:val="center"/>
          </w:tcPr>
          <w:p w14:paraId="7104C81F"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委托资质单位安全处置</w:t>
            </w:r>
          </w:p>
        </w:tc>
      </w:tr>
      <w:tr w:rsidR="007E62BE" w:rsidRPr="00A964FF" w14:paraId="5F056140" w14:textId="77777777" w:rsidTr="007E62BE">
        <w:trPr>
          <w:trHeight w:val="340"/>
        </w:trPr>
        <w:tc>
          <w:tcPr>
            <w:tcW w:w="698" w:type="dxa"/>
            <w:vMerge/>
            <w:vAlign w:val="center"/>
          </w:tcPr>
          <w:p w14:paraId="0B7CFF42" w14:textId="77777777" w:rsidR="007E62BE" w:rsidRPr="007E5D31" w:rsidRDefault="007E62BE" w:rsidP="007E62BE">
            <w:pPr>
              <w:jc w:val="center"/>
              <w:rPr>
                <w:rFonts w:ascii="Calibri" w:hAnsi="Calibri"/>
                <w:color w:val="auto"/>
                <w:szCs w:val="21"/>
              </w:rPr>
            </w:pPr>
          </w:p>
        </w:tc>
        <w:tc>
          <w:tcPr>
            <w:tcW w:w="698" w:type="dxa"/>
            <w:vAlign w:val="center"/>
          </w:tcPr>
          <w:p w14:paraId="55594BC2"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3</w:t>
            </w:r>
          </w:p>
        </w:tc>
        <w:tc>
          <w:tcPr>
            <w:tcW w:w="1692" w:type="dxa"/>
            <w:gridSpan w:val="2"/>
            <w:vAlign w:val="center"/>
          </w:tcPr>
          <w:p w14:paraId="5DBC47F0"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废水</w:t>
            </w:r>
            <w:r>
              <w:rPr>
                <w:rFonts w:ascii="Calibri" w:hAnsi="Calibri"/>
                <w:color w:val="auto"/>
                <w:szCs w:val="21"/>
              </w:rPr>
              <w:t>处理站污泥</w:t>
            </w:r>
          </w:p>
        </w:tc>
        <w:tc>
          <w:tcPr>
            <w:tcW w:w="1575" w:type="dxa"/>
            <w:gridSpan w:val="2"/>
            <w:vAlign w:val="center"/>
          </w:tcPr>
          <w:p w14:paraId="1B20A2B3"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废水处理站</w:t>
            </w:r>
          </w:p>
        </w:tc>
        <w:tc>
          <w:tcPr>
            <w:tcW w:w="1134" w:type="dxa"/>
            <w:vAlign w:val="center"/>
          </w:tcPr>
          <w:p w14:paraId="4E0E5EB4" w14:textId="58E13877"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16.60</w:t>
            </w:r>
          </w:p>
        </w:tc>
        <w:tc>
          <w:tcPr>
            <w:tcW w:w="1258" w:type="dxa"/>
            <w:vAlign w:val="center"/>
          </w:tcPr>
          <w:p w14:paraId="185409A4"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一般固废</w:t>
            </w:r>
          </w:p>
        </w:tc>
        <w:tc>
          <w:tcPr>
            <w:tcW w:w="2343" w:type="dxa"/>
            <w:vAlign w:val="center"/>
          </w:tcPr>
          <w:p w14:paraId="6B02A1C8" w14:textId="77777777" w:rsidR="007E62BE" w:rsidRPr="007E5D31" w:rsidRDefault="007E62BE" w:rsidP="007E62BE">
            <w:pPr>
              <w:rPr>
                <w:rFonts w:ascii="Calibri" w:hAnsi="Calibri"/>
                <w:color w:val="auto"/>
                <w:szCs w:val="21"/>
              </w:rPr>
            </w:pPr>
            <w:r>
              <w:rPr>
                <w:rFonts w:ascii="Calibri" w:hAnsi="Calibri" w:hint="eastAsia"/>
                <w:color w:val="auto"/>
                <w:szCs w:val="21"/>
              </w:rPr>
              <w:t>进入</w:t>
            </w:r>
            <w:r w:rsidRPr="00CC103D">
              <w:rPr>
                <w:rFonts w:ascii="Calibri" w:hAnsi="Calibri" w:hint="eastAsia"/>
                <w:color w:val="auto"/>
                <w:szCs w:val="21"/>
              </w:rPr>
              <w:t>叶县</w:t>
            </w:r>
            <w:r w:rsidRPr="00CC103D">
              <w:rPr>
                <w:rFonts w:ascii="Calibri" w:hAnsi="Calibri"/>
                <w:color w:val="auto"/>
                <w:szCs w:val="21"/>
              </w:rPr>
              <w:t>生活垃圾焚烧发电厂处理</w:t>
            </w:r>
          </w:p>
        </w:tc>
      </w:tr>
      <w:tr w:rsidR="007E62BE" w:rsidRPr="00A964FF" w14:paraId="4E692F31" w14:textId="77777777" w:rsidTr="007E62BE">
        <w:trPr>
          <w:trHeight w:val="340"/>
        </w:trPr>
        <w:tc>
          <w:tcPr>
            <w:tcW w:w="698" w:type="dxa"/>
            <w:vMerge/>
            <w:vAlign w:val="center"/>
          </w:tcPr>
          <w:p w14:paraId="6C70CE28" w14:textId="77777777" w:rsidR="007E62BE" w:rsidRPr="007E5D31" w:rsidRDefault="007E62BE" w:rsidP="007E62BE">
            <w:pPr>
              <w:jc w:val="center"/>
              <w:rPr>
                <w:rFonts w:ascii="Calibri" w:hAnsi="Calibri"/>
                <w:color w:val="auto"/>
                <w:szCs w:val="21"/>
              </w:rPr>
            </w:pPr>
          </w:p>
        </w:tc>
        <w:tc>
          <w:tcPr>
            <w:tcW w:w="698" w:type="dxa"/>
            <w:vAlign w:val="center"/>
          </w:tcPr>
          <w:p w14:paraId="3EA1C2AD"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4</w:t>
            </w:r>
          </w:p>
        </w:tc>
        <w:tc>
          <w:tcPr>
            <w:tcW w:w="1692" w:type="dxa"/>
            <w:gridSpan w:val="2"/>
            <w:vAlign w:val="center"/>
          </w:tcPr>
          <w:p w14:paraId="5EB64149"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废活性炭</w:t>
            </w:r>
          </w:p>
        </w:tc>
        <w:tc>
          <w:tcPr>
            <w:tcW w:w="1575" w:type="dxa"/>
            <w:gridSpan w:val="2"/>
            <w:vAlign w:val="center"/>
          </w:tcPr>
          <w:p w14:paraId="10F37094"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废气治理</w:t>
            </w:r>
          </w:p>
        </w:tc>
        <w:tc>
          <w:tcPr>
            <w:tcW w:w="1134" w:type="dxa"/>
            <w:vAlign w:val="center"/>
          </w:tcPr>
          <w:p w14:paraId="6632962F" w14:textId="5B19C6AD"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3.16</w:t>
            </w:r>
          </w:p>
        </w:tc>
        <w:tc>
          <w:tcPr>
            <w:tcW w:w="1258" w:type="dxa"/>
            <w:vAlign w:val="center"/>
          </w:tcPr>
          <w:p w14:paraId="3DB880A9"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危险固废</w:t>
            </w:r>
          </w:p>
        </w:tc>
        <w:tc>
          <w:tcPr>
            <w:tcW w:w="2343" w:type="dxa"/>
            <w:vAlign w:val="center"/>
          </w:tcPr>
          <w:p w14:paraId="6A2CA956"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委托资质单位安全处置</w:t>
            </w:r>
          </w:p>
        </w:tc>
      </w:tr>
      <w:tr w:rsidR="007E62BE" w:rsidRPr="00A964FF" w14:paraId="7EB9023F" w14:textId="77777777" w:rsidTr="007E62BE">
        <w:trPr>
          <w:trHeight w:val="340"/>
        </w:trPr>
        <w:tc>
          <w:tcPr>
            <w:tcW w:w="698" w:type="dxa"/>
            <w:vMerge/>
            <w:vAlign w:val="center"/>
          </w:tcPr>
          <w:p w14:paraId="34445AAB" w14:textId="77777777" w:rsidR="007E62BE" w:rsidRPr="007E5D31" w:rsidRDefault="007E62BE" w:rsidP="007E62BE">
            <w:pPr>
              <w:jc w:val="center"/>
              <w:rPr>
                <w:rFonts w:ascii="Calibri" w:hAnsi="Calibri"/>
                <w:color w:val="auto"/>
                <w:szCs w:val="21"/>
              </w:rPr>
            </w:pPr>
          </w:p>
        </w:tc>
        <w:tc>
          <w:tcPr>
            <w:tcW w:w="698" w:type="dxa"/>
            <w:vAlign w:val="center"/>
          </w:tcPr>
          <w:p w14:paraId="3D57333B"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5</w:t>
            </w:r>
          </w:p>
        </w:tc>
        <w:tc>
          <w:tcPr>
            <w:tcW w:w="1692" w:type="dxa"/>
            <w:gridSpan w:val="2"/>
            <w:vAlign w:val="center"/>
          </w:tcPr>
          <w:p w14:paraId="5555217E" w14:textId="77777777" w:rsidR="007E62BE" w:rsidRPr="007E5D31" w:rsidRDefault="007E62BE" w:rsidP="007E62BE">
            <w:pPr>
              <w:jc w:val="center"/>
              <w:rPr>
                <w:rFonts w:ascii="Calibri" w:hAnsi="Calibri"/>
                <w:color w:val="auto"/>
                <w:szCs w:val="21"/>
              </w:rPr>
            </w:pPr>
            <w:r w:rsidRPr="00535728">
              <w:rPr>
                <w:rFonts w:ascii="Calibri" w:hint="eastAsia"/>
                <w:color w:val="auto"/>
                <w:szCs w:val="20"/>
              </w:rPr>
              <w:t>废</w:t>
            </w:r>
            <w:r>
              <w:rPr>
                <w:rFonts w:ascii="Calibri" w:hint="eastAsia"/>
                <w:color w:val="auto"/>
                <w:szCs w:val="20"/>
              </w:rPr>
              <w:t>紫外灯管</w:t>
            </w:r>
          </w:p>
        </w:tc>
        <w:tc>
          <w:tcPr>
            <w:tcW w:w="1575" w:type="dxa"/>
            <w:gridSpan w:val="2"/>
            <w:vAlign w:val="center"/>
          </w:tcPr>
          <w:p w14:paraId="3DF2CE6B"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废气治理</w:t>
            </w:r>
          </w:p>
        </w:tc>
        <w:tc>
          <w:tcPr>
            <w:tcW w:w="1134" w:type="dxa"/>
            <w:vAlign w:val="center"/>
          </w:tcPr>
          <w:p w14:paraId="26E5AB13" w14:textId="01761C57"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0.001</w:t>
            </w:r>
          </w:p>
        </w:tc>
        <w:tc>
          <w:tcPr>
            <w:tcW w:w="1258" w:type="dxa"/>
            <w:vAlign w:val="center"/>
          </w:tcPr>
          <w:p w14:paraId="53E0C753"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危险固废</w:t>
            </w:r>
          </w:p>
        </w:tc>
        <w:tc>
          <w:tcPr>
            <w:tcW w:w="2343" w:type="dxa"/>
            <w:vAlign w:val="center"/>
          </w:tcPr>
          <w:p w14:paraId="714BA9AB"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委托资质单位安全处置</w:t>
            </w:r>
          </w:p>
        </w:tc>
      </w:tr>
      <w:tr w:rsidR="007E62BE" w:rsidRPr="00A964FF" w14:paraId="515FC21E" w14:textId="77777777" w:rsidTr="007E62BE">
        <w:trPr>
          <w:trHeight w:val="340"/>
        </w:trPr>
        <w:tc>
          <w:tcPr>
            <w:tcW w:w="698" w:type="dxa"/>
            <w:vMerge/>
            <w:vAlign w:val="center"/>
          </w:tcPr>
          <w:p w14:paraId="1A983847" w14:textId="77777777" w:rsidR="007E62BE" w:rsidRDefault="007E62BE" w:rsidP="007E62BE">
            <w:pPr>
              <w:jc w:val="center"/>
              <w:rPr>
                <w:rFonts w:ascii="Calibri" w:hAnsi="Calibri"/>
                <w:color w:val="auto"/>
                <w:szCs w:val="21"/>
              </w:rPr>
            </w:pPr>
          </w:p>
        </w:tc>
        <w:tc>
          <w:tcPr>
            <w:tcW w:w="698" w:type="dxa"/>
            <w:vAlign w:val="center"/>
          </w:tcPr>
          <w:p w14:paraId="5CB3CC57"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6</w:t>
            </w:r>
          </w:p>
        </w:tc>
        <w:tc>
          <w:tcPr>
            <w:tcW w:w="1692" w:type="dxa"/>
            <w:gridSpan w:val="2"/>
            <w:vAlign w:val="center"/>
          </w:tcPr>
          <w:p w14:paraId="78B3098F" w14:textId="77777777" w:rsidR="007E62BE" w:rsidRPr="007E5D31" w:rsidRDefault="007E62BE" w:rsidP="007E62BE">
            <w:pPr>
              <w:jc w:val="center"/>
              <w:rPr>
                <w:rFonts w:ascii="Calibri" w:hAnsi="Calibri"/>
                <w:color w:val="auto"/>
                <w:szCs w:val="21"/>
              </w:rPr>
            </w:pPr>
            <w:r w:rsidRPr="00CC103D">
              <w:rPr>
                <w:rFonts w:ascii="Calibri" w:hint="eastAsia"/>
                <w:color w:val="auto"/>
                <w:szCs w:val="20"/>
              </w:rPr>
              <w:t>废反渗透膜</w:t>
            </w:r>
          </w:p>
        </w:tc>
        <w:tc>
          <w:tcPr>
            <w:tcW w:w="1575" w:type="dxa"/>
            <w:gridSpan w:val="2"/>
            <w:vAlign w:val="center"/>
          </w:tcPr>
          <w:p w14:paraId="078298A1"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纯水</w:t>
            </w:r>
            <w:r>
              <w:rPr>
                <w:rFonts w:ascii="Calibri" w:hAnsi="Calibri"/>
                <w:color w:val="auto"/>
                <w:szCs w:val="21"/>
              </w:rPr>
              <w:t>制备</w:t>
            </w:r>
          </w:p>
        </w:tc>
        <w:tc>
          <w:tcPr>
            <w:tcW w:w="1134" w:type="dxa"/>
            <w:vAlign w:val="center"/>
          </w:tcPr>
          <w:p w14:paraId="38261EB2" w14:textId="7F6CF87E" w:rsidR="007E62BE" w:rsidRPr="007E5D31" w:rsidRDefault="007E62BE" w:rsidP="007E62BE">
            <w:pPr>
              <w:jc w:val="center"/>
              <w:rPr>
                <w:rFonts w:ascii="Calibri" w:hAnsi="Calibri"/>
                <w:color w:val="auto"/>
                <w:szCs w:val="21"/>
              </w:rPr>
            </w:pPr>
            <w:r w:rsidRPr="006E3216">
              <w:rPr>
                <w:rFonts w:ascii="Calibri" w:hAnsi="Calibri" w:hint="eastAsia"/>
                <w:b/>
                <w:color w:val="auto"/>
                <w:szCs w:val="21"/>
                <w:u w:val="single"/>
              </w:rPr>
              <w:t>0.2</w:t>
            </w:r>
            <w:r w:rsidRPr="006E3216">
              <w:rPr>
                <w:rFonts w:ascii="Calibri" w:hAnsi="Calibri"/>
                <w:b/>
                <w:color w:val="auto"/>
                <w:szCs w:val="21"/>
                <w:u w:val="single"/>
              </w:rPr>
              <w:t>t/3a</w:t>
            </w:r>
          </w:p>
        </w:tc>
        <w:tc>
          <w:tcPr>
            <w:tcW w:w="1258" w:type="dxa"/>
            <w:vAlign w:val="center"/>
          </w:tcPr>
          <w:p w14:paraId="29747413"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一般固废</w:t>
            </w:r>
          </w:p>
        </w:tc>
        <w:tc>
          <w:tcPr>
            <w:tcW w:w="2343" w:type="dxa"/>
            <w:vAlign w:val="center"/>
          </w:tcPr>
          <w:p w14:paraId="7395B578" w14:textId="77777777" w:rsidR="007E62BE" w:rsidRPr="007E5D31" w:rsidRDefault="007E62BE" w:rsidP="007E62BE">
            <w:pPr>
              <w:jc w:val="center"/>
              <w:rPr>
                <w:rFonts w:ascii="Calibri" w:hAnsi="Calibri"/>
                <w:color w:val="auto"/>
                <w:szCs w:val="21"/>
              </w:rPr>
            </w:pPr>
            <w:r w:rsidRPr="00A964FF">
              <w:rPr>
                <w:rFonts w:ascii="Calibri"/>
                <w:color w:val="auto"/>
                <w:szCs w:val="20"/>
              </w:rPr>
              <w:t>由供货厂家回收再利用</w:t>
            </w:r>
          </w:p>
        </w:tc>
      </w:tr>
      <w:tr w:rsidR="007E62BE" w:rsidRPr="00A964FF" w14:paraId="115BB637" w14:textId="77777777" w:rsidTr="007E62BE">
        <w:trPr>
          <w:trHeight w:val="340"/>
        </w:trPr>
        <w:tc>
          <w:tcPr>
            <w:tcW w:w="698" w:type="dxa"/>
            <w:vMerge/>
            <w:vAlign w:val="center"/>
          </w:tcPr>
          <w:p w14:paraId="61A6C6BF" w14:textId="77777777" w:rsidR="007E62BE" w:rsidRDefault="007E62BE" w:rsidP="007E62BE">
            <w:pPr>
              <w:jc w:val="center"/>
              <w:rPr>
                <w:rFonts w:ascii="Calibri" w:hAnsi="Calibri"/>
                <w:color w:val="auto"/>
                <w:szCs w:val="21"/>
              </w:rPr>
            </w:pPr>
          </w:p>
        </w:tc>
        <w:tc>
          <w:tcPr>
            <w:tcW w:w="698" w:type="dxa"/>
            <w:vAlign w:val="center"/>
          </w:tcPr>
          <w:p w14:paraId="56238306"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7</w:t>
            </w:r>
          </w:p>
        </w:tc>
        <w:tc>
          <w:tcPr>
            <w:tcW w:w="1692" w:type="dxa"/>
            <w:gridSpan w:val="2"/>
            <w:vAlign w:val="center"/>
          </w:tcPr>
          <w:p w14:paraId="2B665DC4" w14:textId="77777777" w:rsidR="007E62BE" w:rsidRPr="00CC103D" w:rsidRDefault="007E62BE" w:rsidP="007E62BE">
            <w:pPr>
              <w:jc w:val="center"/>
              <w:rPr>
                <w:rFonts w:ascii="Calibri"/>
                <w:color w:val="auto"/>
                <w:szCs w:val="20"/>
              </w:rPr>
            </w:pPr>
            <w:r w:rsidRPr="00CC103D">
              <w:rPr>
                <w:rFonts w:ascii="Calibri" w:hint="eastAsia"/>
                <w:color w:val="auto"/>
                <w:szCs w:val="20"/>
              </w:rPr>
              <w:t>废导热油</w:t>
            </w:r>
          </w:p>
        </w:tc>
        <w:tc>
          <w:tcPr>
            <w:tcW w:w="1575" w:type="dxa"/>
            <w:gridSpan w:val="2"/>
            <w:vAlign w:val="center"/>
          </w:tcPr>
          <w:p w14:paraId="1127E0DA" w14:textId="77777777" w:rsidR="007E62BE" w:rsidRPr="00CC103D" w:rsidRDefault="007E62BE" w:rsidP="007E62BE">
            <w:pPr>
              <w:jc w:val="center"/>
              <w:rPr>
                <w:rFonts w:ascii="Calibri"/>
                <w:color w:val="auto"/>
                <w:szCs w:val="20"/>
              </w:rPr>
            </w:pPr>
            <w:r w:rsidRPr="00CC103D">
              <w:rPr>
                <w:rFonts w:ascii="Calibri" w:hint="eastAsia"/>
                <w:color w:val="auto"/>
                <w:szCs w:val="20"/>
              </w:rPr>
              <w:t>导热油炉</w:t>
            </w:r>
          </w:p>
        </w:tc>
        <w:tc>
          <w:tcPr>
            <w:tcW w:w="1134" w:type="dxa"/>
            <w:vAlign w:val="center"/>
          </w:tcPr>
          <w:p w14:paraId="41E9CAF6" w14:textId="37232112" w:rsidR="007E62BE" w:rsidRPr="00CC103D" w:rsidRDefault="007E62BE" w:rsidP="007E62BE">
            <w:pPr>
              <w:jc w:val="center"/>
              <w:rPr>
                <w:rFonts w:ascii="Calibri"/>
                <w:color w:val="auto"/>
                <w:szCs w:val="20"/>
              </w:rPr>
            </w:pPr>
            <w:r w:rsidRPr="006E3216">
              <w:rPr>
                <w:rFonts w:ascii="Calibri"/>
                <w:b/>
                <w:color w:val="auto"/>
                <w:szCs w:val="20"/>
                <w:u w:val="single"/>
              </w:rPr>
              <w:t>14</w:t>
            </w:r>
            <w:r w:rsidRPr="006E3216">
              <w:rPr>
                <w:rFonts w:ascii="Calibri" w:hint="eastAsia"/>
                <w:b/>
                <w:color w:val="auto"/>
                <w:szCs w:val="20"/>
                <w:u w:val="single"/>
              </w:rPr>
              <w:t>t/</w:t>
            </w:r>
            <w:r w:rsidRPr="006E3216">
              <w:rPr>
                <w:rFonts w:ascii="Calibri"/>
                <w:b/>
                <w:color w:val="auto"/>
                <w:szCs w:val="20"/>
                <w:u w:val="single"/>
              </w:rPr>
              <w:t>10</w:t>
            </w:r>
            <w:r w:rsidRPr="006E3216">
              <w:rPr>
                <w:rFonts w:ascii="Calibri" w:hint="eastAsia"/>
                <w:b/>
                <w:color w:val="auto"/>
                <w:szCs w:val="20"/>
                <w:u w:val="single"/>
              </w:rPr>
              <w:t>a</w:t>
            </w:r>
          </w:p>
        </w:tc>
        <w:tc>
          <w:tcPr>
            <w:tcW w:w="1258" w:type="dxa"/>
            <w:vAlign w:val="center"/>
          </w:tcPr>
          <w:p w14:paraId="411C08F2" w14:textId="77777777" w:rsidR="007E62BE" w:rsidRPr="00CC103D" w:rsidRDefault="007E62BE" w:rsidP="007E62BE">
            <w:pPr>
              <w:jc w:val="center"/>
              <w:rPr>
                <w:rFonts w:ascii="Calibri"/>
                <w:color w:val="auto"/>
                <w:szCs w:val="20"/>
              </w:rPr>
            </w:pPr>
            <w:r w:rsidRPr="00CC103D">
              <w:rPr>
                <w:rFonts w:ascii="Calibri" w:hint="eastAsia"/>
                <w:color w:val="auto"/>
                <w:szCs w:val="20"/>
              </w:rPr>
              <w:t>危险固废</w:t>
            </w:r>
          </w:p>
        </w:tc>
        <w:tc>
          <w:tcPr>
            <w:tcW w:w="2343" w:type="dxa"/>
            <w:vAlign w:val="center"/>
          </w:tcPr>
          <w:p w14:paraId="6B9013FD" w14:textId="77777777" w:rsidR="007E62BE" w:rsidRPr="00CC103D" w:rsidRDefault="007E62BE" w:rsidP="007E62BE">
            <w:pPr>
              <w:jc w:val="center"/>
              <w:rPr>
                <w:rFonts w:ascii="Calibri"/>
                <w:color w:val="auto"/>
                <w:szCs w:val="20"/>
              </w:rPr>
            </w:pPr>
            <w:r w:rsidRPr="00CC103D">
              <w:rPr>
                <w:rFonts w:ascii="Calibri" w:hint="eastAsia"/>
                <w:color w:val="auto"/>
                <w:szCs w:val="20"/>
              </w:rPr>
              <w:t>委托资质单位安全处置</w:t>
            </w:r>
          </w:p>
        </w:tc>
      </w:tr>
      <w:tr w:rsidR="007E62BE" w:rsidRPr="00A964FF" w14:paraId="5D087E3E" w14:textId="77777777" w:rsidTr="007E62BE">
        <w:trPr>
          <w:trHeight w:val="340"/>
        </w:trPr>
        <w:tc>
          <w:tcPr>
            <w:tcW w:w="698" w:type="dxa"/>
            <w:vMerge/>
            <w:vAlign w:val="center"/>
          </w:tcPr>
          <w:p w14:paraId="066A25A4" w14:textId="77777777" w:rsidR="007E62BE" w:rsidRDefault="007E62BE" w:rsidP="007E62BE">
            <w:pPr>
              <w:jc w:val="center"/>
              <w:rPr>
                <w:rFonts w:ascii="Calibri" w:hAnsi="Calibri"/>
                <w:color w:val="auto"/>
                <w:szCs w:val="21"/>
              </w:rPr>
            </w:pPr>
          </w:p>
        </w:tc>
        <w:tc>
          <w:tcPr>
            <w:tcW w:w="698" w:type="dxa"/>
            <w:vAlign w:val="center"/>
          </w:tcPr>
          <w:p w14:paraId="3132A6E6" w14:textId="77777777" w:rsidR="007E62BE" w:rsidRDefault="007E62BE" w:rsidP="007E62BE">
            <w:pPr>
              <w:jc w:val="center"/>
              <w:rPr>
                <w:rFonts w:ascii="Calibri" w:hAnsi="Calibri"/>
                <w:color w:val="auto"/>
                <w:szCs w:val="21"/>
              </w:rPr>
            </w:pPr>
            <w:r>
              <w:rPr>
                <w:rFonts w:ascii="Calibri" w:hAnsi="Calibri" w:hint="eastAsia"/>
                <w:color w:val="auto"/>
                <w:szCs w:val="21"/>
              </w:rPr>
              <w:t>8</w:t>
            </w:r>
          </w:p>
        </w:tc>
        <w:tc>
          <w:tcPr>
            <w:tcW w:w="1692" w:type="dxa"/>
            <w:gridSpan w:val="2"/>
            <w:vAlign w:val="center"/>
          </w:tcPr>
          <w:p w14:paraId="7F39805F" w14:textId="77777777" w:rsidR="007E62BE" w:rsidRPr="007E5D31" w:rsidRDefault="007E62BE" w:rsidP="007E62BE">
            <w:pPr>
              <w:jc w:val="center"/>
              <w:rPr>
                <w:rFonts w:ascii="Calibri" w:hAnsi="Calibri"/>
                <w:color w:val="auto"/>
                <w:szCs w:val="21"/>
              </w:rPr>
            </w:pPr>
            <w:r>
              <w:rPr>
                <w:rFonts w:ascii="Calibri" w:hAnsi="Calibri" w:hint="eastAsia"/>
                <w:color w:val="auto"/>
              </w:rPr>
              <w:t>品控中心</w:t>
            </w:r>
            <w:r>
              <w:rPr>
                <w:rFonts w:ascii="Calibri" w:hAnsi="Calibri"/>
                <w:color w:val="auto"/>
                <w:szCs w:val="21"/>
              </w:rPr>
              <w:t>废物</w:t>
            </w:r>
          </w:p>
        </w:tc>
        <w:tc>
          <w:tcPr>
            <w:tcW w:w="1575" w:type="dxa"/>
            <w:gridSpan w:val="2"/>
            <w:vAlign w:val="center"/>
          </w:tcPr>
          <w:p w14:paraId="5BFEACE7" w14:textId="77777777" w:rsidR="007E62BE" w:rsidRPr="007E5D31" w:rsidRDefault="007E62BE" w:rsidP="007E62BE">
            <w:pPr>
              <w:jc w:val="center"/>
              <w:rPr>
                <w:rFonts w:ascii="Calibri" w:hAnsi="Calibri"/>
                <w:color w:val="auto"/>
                <w:szCs w:val="21"/>
              </w:rPr>
            </w:pPr>
            <w:r>
              <w:rPr>
                <w:rFonts w:ascii="Calibri" w:hAnsi="Calibri" w:hint="eastAsia"/>
                <w:color w:val="auto"/>
                <w:szCs w:val="21"/>
              </w:rPr>
              <w:t>研究</w:t>
            </w:r>
            <w:r>
              <w:rPr>
                <w:rFonts w:ascii="Calibri" w:hAnsi="Calibri"/>
                <w:color w:val="auto"/>
                <w:szCs w:val="21"/>
              </w:rPr>
              <w:t>活动</w:t>
            </w:r>
          </w:p>
        </w:tc>
        <w:tc>
          <w:tcPr>
            <w:tcW w:w="1134" w:type="dxa"/>
            <w:vAlign w:val="center"/>
          </w:tcPr>
          <w:p w14:paraId="543C0570" w14:textId="1430E5CE" w:rsidR="007E62BE" w:rsidRDefault="007E62BE" w:rsidP="007E62BE">
            <w:pPr>
              <w:jc w:val="center"/>
              <w:rPr>
                <w:rFonts w:ascii="Calibri" w:hAnsi="Calibri"/>
                <w:color w:val="auto"/>
                <w:szCs w:val="21"/>
              </w:rPr>
            </w:pPr>
            <w:r w:rsidRPr="006E3216">
              <w:rPr>
                <w:rFonts w:ascii="Calibri" w:hAnsi="Calibri" w:hint="eastAsia"/>
                <w:b/>
                <w:color w:val="auto"/>
                <w:szCs w:val="21"/>
                <w:u w:val="single"/>
              </w:rPr>
              <w:t>0.1</w:t>
            </w:r>
          </w:p>
        </w:tc>
        <w:tc>
          <w:tcPr>
            <w:tcW w:w="1258" w:type="dxa"/>
            <w:vAlign w:val="center"/>
          </w:tcPr>
          <w:p w14:paraId="1DA98CA1" w14:textId="77777777" w:rsidR="007E62BE" w:rsidRPr="007E5D31" w:rsidRDefault="007E62BE" w:rsidP="007E62BE">
            <w:pPr>
              <w:jc w:val="center"/>
              <w:rPr>
                <w:rFonts w:ascii="Calibri" w:hAnsi="Calibri"/>
                <w:color w:val="auto"/>
                <w:szCs w:val="21"/>
              </w:rPr>
            </w:pPr>
            <w:r w:rsidRPr="00CC103D">
              <w:rPr>
                <w:rFonts w:ascii="Calibri" w:hint="eastAsia"/>
                <w:color w:val="auto"/>
                <w:szCs w:val="20"/>
              </w:rPr>
              <w:t>危险固废</w:t>
            </w:r>
          </w:p>
        </w:tc>
        <w:tc>
          <w:tcPr>
            <w:tcW w:w="2343" w:type="dxa"/>
            <w:vAlign w:val="center"/>
          </w:tcPr>
          <w:p w14:paraId="0C84C865" w14:textId="77777777" w:rsidR="007E62BE" w:rsidRPr="007E5D31" w:rsidRDefault="007E62BE" w:rsidP="007E62BE">
            <w:pPr>
              <w:jc w:val="center"/>
              <w:rPr>
                <w:rFonts w:ascii="Calibri" w:hAnsi="Calibri"/>
                <w:color w:val="auto"/>
                <w:szCs w:val="21"/>
              </w:rPr>
            </w:pPr>
            <w:r w:rsidRPr="00CC103D">
              <w:rPr>
                <w:rFonts w:ascii="Calibri" w:hint="eastAsia"/>
                <w:color w:val="auto"/>
                <w:szCs w:val="20"/>
              </w:rPr>
              <w:t>委托资质单位安全处置</w:t>
            </w:r>
          </w:p>
        </w:tc>
      </w:tr>
      <w:tr w:rsidR="007E62BE" w:rsidRPr="00A964FF" w14:paraId="45264B57" w14:textId="77777777" w:rsidTr="007E62BE">
        <w:trPr>
          <w:trHeight w:val="340"/>
        </w:trPr>
        <w:tc>
          <w:tcPr>
            <w:tcW w:w="698" w:type="dxa"/>
            <w:vMerge/>
            <w:vAlign w:val="center"/>
          </w:tcPr>
          <w:p w14:paraId="29DFE92A" w14:textId="77777777" w:rsidR="007E62BE" w:rsidRDefault="007E62BE" w:rsidP="007E62BE">
            <w:pPr>
              <w:jc w:val="center"/>
              <w:rPr>
                <w:rFonts w:ascii="Calibri" w:hAnsi="Calibri"/>
                <w:color w:val="auto"/>
                <w:szCs w:val="21"/>
              </w:rPr>
            </w:pPr>
          </w:p>
        </w:tc>
        <w:tc>
          <w:tcPr>
            <w:tcW w:w="698" w:type="dxa"/>
            <w:vAlign w:val="center"/>
          </w:tcPr>
          <w:p w14:paraId="0E00C588" w14:textId="77777777" w:rsidR="007E62BE" w:rsidRPr="007E5D31" w:rsidRDefault="007E62BE" w:rsidP="007E62BE">
            <w:pPr>
              <w:jc w:val="center"/>
              <w:rPr>
                <w:rFonts w:ascii="Calibri" w:hAnsi="Calibri"/>
                <w:color w:val="auto"/>
                <w:szCs w:val="21"/>
              </w:rPr>
            </w:pPr>
            <w:r>
              <w:rPr>
                <w:rFonts w:ascii="Calibri" w:hAnsi="Calibri"/>
                <w:color w:val="auto"/>
                <w:szCs w:val="21"/>
              </w:rPr>
              <w:t>9</w:t>
            </w:r>
          </w:p>
        </w:tc>
        <w:tc>
          <w:tcPr>
            <w:tcW w:w="1692" w:type="dxa"/>
            <w:gridSpan w:val="2"/>
            <w:vAlign w:val="center"/>
          </w:tcPr>
          <w:p w14:paraId="4EA69AA4"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生活垃圾</w:t>
            </w:r>
          </w:p>
        </w:tc>
        <w:tc>
          <w:tcPr>
            <w:tcW w:w="1575" w:type="dxa"/>
            <w:gridSpan w:val="2"/>
            <w:vAlign w:val="center"/>
          </w:tcPr>
          <w:p w14:paraId="6887742C"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职工生活</w:t>
            </w:r>
          </w:p>
        </w:tc>
        <w:tc>
          <w:tcPr>
            <w:tcW w:w="1134" w:type="dxa"/>
            <w:vAlign w:val="center"/>
          </w:tcPr>
          <w:p w14:paraId="2F8099B9" w14:textId="42B6E716"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13.5</w:t>
            </w:r>
          </w:p>
        </w:tc>
        <w:tc>
          <w:tcPr>
            <w:tcW w:w="1258" w:type="dxa"/>
            <w:vAlign w:val="center"/>
          </w:tcPr>
          <w:p w14:paraId="73960A99"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一般固废</w:t>
            </w:r>
          </w:p>
        </w:tc>
        <w:tc>
          <w:tcPr>
            <w:tcW w:w="2343" w:type="dxa"/>
            <w:vAlign w:val="center"/>
          </w:tcPr>
          <w:p w14:paraId="5E2178DB"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送集聚区垃圾中转站</w:t>
            </w:r>
          </w:p>
        </w:tc>
      </w:tr>
      <w:tr w:rsidR="007E62BE" w:rsidRPr="00A964FF" w14:paraId="45E80D94" w14:textId="77777777" w:rsidTr="007E62BE">
        <w:trPr>
          <w:trHeight w:val="340"/>
        </w:trPr>
        <w:tc>
          <w:tcPr>
            <w:tcW w:w="698" w:type="dxa"/>
            <w:vMerge/>
            <w:vAlign w:val="center"/>
          </w:tcPr>
          <w:p w14:paraId="69252404" w14:textId="77777777" w:rsidR="007E62BE" w:rsidRPr="007E5D31" w:rsidRDefault="007E62BE" w:rsidP="007E62BE">
            <w:pPr>
              <w:jc w:val="center"/>
              <w:rPr>
                <w:rFonts w:ascii="Calibri" w:hAnsi="Calibri"/>
                <w:color w:val="auto"/>
                <w:szCs w:val="21"/>
              </w:rPr>
            </w:pPr>
          </w:p>
        </w:tc>
        <w:tc>
          <w:tcPr>
            <w:tcW w:w="698" w:type="dxa"/>
            <w:vMerge w:val="restart"/>
            <w:vAlign w:val="center"/>
          </w:tcPr>
          <w:p w14:paraId="50E39E5F"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小计</w:t>
            </w:r>
          </w:p>
        </w:tc>
        <w:tc>
          <w:tcPr>
            <w:tcW w:w="3267" w:type="dxa"/>
            <w:gridSpan w:val="4"/>
            <w:vAlign w:val="center"/>
          </w:tcPr>
          <w:p w14:paraId="473F7216"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一期工程</w:t>
            </w:r>
          </w:p>
        </w:tc>
        <w:tc>
          <w:tcPr>
            <w:tcW w:w="1134" w:type="dxa"/>
            <w:vAlign w:val="center"/>
          </w:tcPr>
          <w:p w14:paraId="68088C15" w14:textId="54665EEF"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33.711</w:t>
            </w:r>
          </w:p>
        </w:tc>
        <w:tc>
          <w:tcPr>
            <w:tcW w:w="3601" w:type="dxa"/>
            <w:gridSpan w:val="2"/>
            <w:vMerge w:val="restart"/>
            <w:vAlign w:val="center"/>
          </w:tcPr>
          <w:p w14:paraId="2AF2F685" w14:textId="14FD0006" w:rsidR="007E62BE" w:rsidRPr="007E5D31" w:rsidRDefault="007E62BE" w:rsidP="007E62BE">
            <w:pPr>
              <w:jc w:val="center"/>
              <w:rPr>
                <w:rFonts w:ascii="Calibri" w:hAnsi="Calibri"/>
                <w:color w:val="auto"/>
                <w:szCs w:val="21"/>
              </w:rPr>
            </w:pPr>
            <w:r w:rsidRPr="007E62BE">
              <w:rPr>
                <w:rFonts w:ascii="Calibri" w:hAnsi="Calibri" w:hint="eastAsia"/>
                <w:color w:val="auto"/>
                <w:szCs w:val="21"/>
              </w:rPr>
              <w:t>废反渗透膜、废导热油因产生周期较长，不计入核算数据</w:t>
            </w:r>
          </w:p>
        </w:tc>
      </w:tr>
      <w:tr w:rsidR="007E62BE" w:rsidRPr="00A964FF" w14:paraId="104CEF48" w14:textId="77777777" w:rsidTr="007E62BE">
        <w:trPr>
          <w:trHeight w:val="340"/>
        </w:trPr>
        <w:tc>
          <w:tcPr>
            <w:tcW w:w="698" w:type="dxa"/>
            <w:vMerge/>
            <w:vAlign w:val="center"/>
          </w:tcPr>
          <w:p w14:paraId="725DC89F" w14:textId="77777777" w:rsidR="007E62BE" w:rsidRPr="007E5D31" w:rsidRDefault="007E62BE" w:rsidP="007E62BE">
            <w:pPr>
              <w:jc w:val="center"/>
              <w:rPr>
                <w:rFonts w:ascii="Calibri" w:hAnsi="Calibri"/>
                <w:color w:val="auto"/>
                <w:szCs w:val="21"/>
              </w:rPr>
            </w:pPr>
          </w:p>
        </w:tc>
        <w:tc>
          <w:tcPr>
            <w:tcW w:w="698" w:type="dxa"/>
            <w:vMerge/>
            <w:vAlign w:val="center"/>
          </w:tcPr>
          <w:p w14:paraId="12E65E25" w14:textId="77777777" w:rsidR="007E62BE" w:rsidRPr="007E5D31" w:rsidRDefault="007E62BE" w:rsidP="007E62BE">
            <w:pPr>
              <w:jc w:val="center"/>
              <w:rPr>
                <w:rFonts w:ascii="Calibri" w:hAnsi="Calibri"/>
                <w:color w:val="auto"/>
                <w:szCs w:val="21"/>
              </w:rPr>
            </w:pPr>
          </w:p>
        </w:tc>
        <w:tc>
          <w:tcPr>
            <w:tcW w:w="1692" w:type="dxa"/>
            <w:gridSpan w:val="2"/>
            <w:vAlign w:val="center"/>
          </w:tcPr>
          <w:p w14:paraId="2AB677F3"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其中</w:t>
            </w:r>
          </w:p>
        </w:tc>
        <w:tc>
          <w:tcPr>
            <w:tcW w:w="1575" w:type="dxa"/>
            <w:gridSpan w:val="2"/>
            <w:vAlign w:val="center"/>
          </w:tcPr>
          <w:p w14:paraId="35247C32" w14:textId="77777777" w:rsidR="007E62BE" w:rsidRPr="007E5D31" w:rsidRDefault="007E62BE" w:rsidP="007E62BE">
            <w:pPr>
              <w:jc w:val="center"/>
              <w:rPr>
                <w:rFonts w:ascii="Calibri" w:hAnsi="Calibri"/>
                <w:color w:val="auto"/>
                <w:szCs w:val="21"/>
              </w:rPr>
            </w:pPr>
            <w:r w:rsidRPr="007E5D31">
              <w:rPr>
                <w:rFonts w:ascii="Calibri" w:hAnsi="Calibri" w:hint="eastAsia"/>
                <w:color w:val="auto"/>
                <w:szCs w:val="21"/>
              </w:rPr>
              <w:t>危险固废</w:t>
            </w:r>
          </w:p>
        </w:tc>
        <w:tc>
          <w:tcPr>
            <w:tcW w:w="1134" w:type="dxa"/>
            <w:vAlign w:val="center"/>
          </w:tcPr>
          <w:p w14:paraId="53BD589D" w14:textId="790A56C3" w:rsidR="007E62BE" w:rsidRPr="007E5D31" w:rsidRDefault="007E62BE" w:rsidP="007E62BE">
            <w:pPr>
              <w:jc w:val="center"/>
              <w:rPr>
                <w:rFonts w:ascii="Calibri" w:hAnsi="Calibri"/>
                <w:color w:val="auto"/>
                <w:szCs w:val="21"/>
              </w:rPr>
            </w:pPr>
            <w:r w:rsidRPr="006E3216">
              <w:rPr>
                <w:rFonts w:ascii="Calibri" w:hAnsi="Calibri"/>
                <w:b/>
                <w:color w:val="auto"/>
                <w:szCs w:val="21"/>
                <w:u w:val="single"/>
              </w:rPr>
              <w:t>3.411</w:t>
            </w:r>
          </w:p>
        </w:tc>
        <w:tc>
          <w:tcPr>
            <w:tcW w:w="3601" w:type="dxa"/>
            <w:gridSpan w:val="2"/>
            <w:vMerge/>
            <w:vAlign w:val="center"/>
          </w:tcPr>
          <w:p w14:paraId="21FD5FB2" w14:textId="77777777" w:rsidR="007E62BE" w:rsidRPr="007E5D31" w:rsidRDefault="007E62BE" w:rsidP="007E62BE">
            <w:pPr>
              <w:jc w:val="center"/>
              <w:rPr>
                <w:rFonts w:ascii="Calibri" w:hAnsi="Calibri"/>
                <w:color w:val="auto"/>
                <w:szCs w:val="21"/>
              </w:rPr>
            </w:pPr>
          </w:p>
        </w:tc>
      </w:tr>
      <w:tr w:rsidR="00633D32" w:rsidRPr="00A964FF" w14:paraId="66C864BC" w14:textId="77777777" w:rsidTr="00633D32">
        <w:trPr>
          <w:trHeight w:val="340"/>
        </w:trPr>
        <w:tc>
          <w:tcPr>
            <w:tcW w:w="698" w:type="dxa"/>
            <w:vMerge/>
            <w:vAlign w:val="center"/>
          </w:tcPr>
          <w:p w14:paraId="728458CC" w14:textId="77777777" w:rsidR="00633D32" w:rsidRPr="007E5D31" w:rsidRDefault="00633D32" w:rsidP="00633D32">
            <w:pPr>
              <w:jc w:val="center"/>
              <w:rPr>
                <w:rFonts w:ascii="Calibri" w:hAnsi="Calibri"/>
                <w:color w:val="auto"/>
                <w:szCs w:val="21"/>
              </w:rPr>
            </w:pPr>
          </w:p>
        </w:tc>
        <w:tc>
          <w:tcPr>
            <w:tcW w:w="698" w:type="dxa"/>
            <w:vAlign w:val="center"/>
          </w:tcPr>
          <w:p w14:paraId="5A4F7A6D"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二</w:t>
            </w:r>
          </w:p>
        </w:tc>
        <w:tc>
          <w:tcPr>
            <w:tcW w:w="8002" w:type="dxa"/>
            <w:gridSpan w:val="7"/>
            <w:vAlign w:val="center"/>
          </w:tcPr>
          <w:p w14:paraId="36188C3A"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二期工程</w:t>
            </w:r>
          </w:p>
        </w:tc>
      </w:tr>
      <w:tr w:rsidR="00633D32" w:rsidRPr="00A964FF" w14:paraId="64630CD2" w14:textId="77777777" w:rsidTr="007E62BE">
        <w:trPr>
          <w:trHeight w:val="340"/>
        </w:trPr>
        <w:tc>
          <w:tcPr>
            <w:tcW w:w="698" w:type="dxa"/>
            <w:vMerge/>
            <w:vAlign w:val="center"/>
          </w:tcPr>
          <w:p w14:paraId="30CD6E11" w14:textId="77777777" w:rsidR="00633D32" w:rsidRPr="007E5D31" w:rsidRDefault="00633D32" w:rsidP="00633D32">
            <w:pPr>
              <w:jc w:val="center"/>
              <w:rPr>
                <w:rFonts w:ascii="Calibri" w:hAnsi="Calibri"/>
                <w:color w:val="auto"/>
                <w:szCs w:val="21"/>
              </w:rPr>
            </w:pPr>
          </w:p>
        </w:tc>
        <w:tc>
          <w:tcPr>
            <w:tcW w:w="698" w:type="dxa"/>
            <w:vAlign w:val="center"/>
          </w:tcPr>
          <w:p w14:paraId="54045FFC" w14:textId="77777777" w:rsidR="00633D32" w:rsidRPr="007E5D31" w:rsidRDefault="00633D32" w:rsidP="00633D32">
            <w:pPr>
              <w:jc w:val="center"/>
              <w:rPr>
                <w:rFonts w:ascii="Calibri" w:hAnsi="Calibri"/>
                <w:color w:val="auto"/>
                <w:szCs w:val="21"/>
              </w:rPr>
            </w:pPr>
            <w:r w:rsidRPr="007E5D31">
              <w:rPr>
                <w:rFonts w:ascii="Calibri" w:hAnsi="Calibri"/>
                <w:color w:val="auto"/>
                <w:szCs w:val="21"/>
              </w:rPr>
              <w:t>1</w:t>
            </w:r>
          </w:p>
        </w:tc>
        <w:tc>
          <w:tcPr>
            <w:tcW w:w="1692" w:type="dxa"/>
            <w:gridSpan w:val="2"/>
            <w:vAlign w:val="center"/>
          </w:tcPr>
          <w:p w14:paraId="46E33045" w14:textId="77777777" w:rsidR="00633D32" w:rsidRPr="00CC103D" w:rsidRDefault="00633D32" w:rsidP="00633D32">
            <w:pPr>
              <w:jc w:val="center"/>
              <w:rPr>
                <w:rFonts w:ascii="Calibri"/>
                <w:color w:val="auto"/>
                <w:szCs w:val="20"/>
              </w:rPr>
            </w:pPr>
            <w:r w:rsidRPr="00CC103D">
              <w:rPr>
                <w:rFonts w:ascii="Calibri" w:hint="eastAsia"/>
                <w:color w:val="auto"/>
                <w:szCs w:val="20"/>
              </w:rPr>
              <w:t>废原料包装物</w:t>
            </w:r>
          </w:p>
        </w:tc>
        <w:tc>
          <w:tcPr>
            <w:tcW w:w="1575" w:type="dxa"/>
            <w:gridSpan w:val="2"/>
            <w:vAlign w:val="center"/>
          </w:tcPr>
          <w:p w14:paraId="14BFAC39" w14:textId="77777777" w:rsidR="00633D32" w:rsidRPr="00CC103D" w:rsidRDefault="00633D32" w:rsidP="00633D32">
            <w:pPr>
              <w:jc w:val="center"/>
              <w:rPr>
                <w:rFonts w:ascii="Calibri"/>
                <w:color w:val="auto"/>
                <w:szCs w:val="20"/>
              </w:rPr>
            </w:pPr>
            <w:r w:rsidRPr="00CC103D">
              <w:rPr>
                <w:rFonts w:ascii="Calibri" w:hint="eastAsia"/>
                <w:color w:val="auto"/>
                <w:szCs w:val="20"/>
              </w:rPr>
              <w:t>原辅材料拆包</w:t>
            </w:r>
          </w:p>
        </w:tc>
        <w:tc>
          <w:tcPr>
            <w:tcW w:w="1134" w:type="dxa"/>
            <w:vAlign w:val="center"/>
          </w:tcPr>
          <w:p w14:paraId="183EC26D" w14:textId="77777777" w:rsidR="00633D32" w:rsidRPr="00CC103D" w:rsidRDefault="00633D32" w:rsidP="00633D32">
            <w:pPr>
              <w:jc w:val="center"/>
              <w:rPr>
                <w:rFonts w:ascii="Calibri"/>
                <w:color w:val="auto"/>
                <w:szCs w:val="20"/>
              </w:rPr>
            </w:pPr>
            <w:r>
              <w:rPr>
                <w:rFonts w:ascii="Calibri"/>
                <w:color w:val="auto"/>
                <w:szCs w:val="20"/>
              </w:rPr>
              <w:t>0.1</w:t>
            </w:r>
          </w:p>
        </w:tc>
        <w:tc>
          <w:tcPr>
            <w:tcW w:w="1258" w:type="dxa"/>
            <w:vAlign w:val="center"/>
          </w:tcPr>
          <w:p w14:paraId="3AB5A085" w14:textId="77777777" w:rsidR="00633D32" w:rsidRPr="00CC103D" w:rsidRDefault="00633D32" w:rsidP="00633D32">
            <w:pPr>
              <w:jc w:val="center"/>
              <w:rPr>
                <w:rFonts w:ascii="Calibri"/>
                <w:color w:val="auto"/>
                <w:szCs w:val="20"/>
              </w:rPr>
            </w:pPr>
            <w:r w:rsidRPr="007E5D31">
              <w:rPr>
                <w:rFonts w:ascii="Calibri" w:hAnsi="Calibri" w:hint="eastAsia"/>
                <w:color w:val="auto"/>
                <w:szCs w:val="21"/>
              </w:rPr>
              <w:t>一般固废</w:t>
            </w:r>
          </w:p>
        </w:tc>
        <w:tc>
          <w:tcPr>
            <w:tcW w:w="2343" w:type="dxa"/>
            <w:vAlign w:val="center"/>
          </w:tcPr>
          <w:p w14:paraId="64DBEEBF" w14:textId="77777777" w:rsidR="00633D32" w:rsidRPr="007E5D31" w:rsidRDefault="00633D32" w:rsidP="00633D32">
            <w:pPr>
              <w:jc w:val="center"/>
              <w:rPr>
                <w:rFonts w:ascii="Calibri" w:hAnsi="Calibri"/>
                <w:color w:val="auto"/>
                <w:szCs w:val="21"/>
              </w:rPr>
            </w:pPr>
            <w:r w:rsidRPr="00633D32">
              <w:rPr>
                <w:rFonts w:ascii="Calibri" w:hAnsi="Calibri" w:hint="eastAsia"/>
                <w:color w:val="auto"/>
                <w:szCs w:val="21"/>
              </w:rPr>
              <w:t>由废品回收公司处理</w:t>
            </w:r>
          </w:p>
        </w:tc>
      </w:tr>
      <w:tr w:rsidR="00633D32" w:rsidRPr="00A964FF" w14:paraId="59407148" w14:textId="77777777" w:rsidTr="007E62BE">
        <w:trPr>
          <w:trHeight w:val="340"/>
        </w:trPr>
        <w:tc>
          <w:tcPr>
            <w:tcW w:w="698" w:type="dxa"/>
            <w:vMerge/>
            <w:vAlign w:val="center"/>
          </w:tcPr>
          <w:p w14:paraId="46EFC2A9" w14:textId="77777777" w:rsidR="00633D32" w:rsidRPr="007E5D31" w:rsidRDefault="00633D32" w:rsidP="00633D32">
            <w:pPr>
              <w:jc w:val="center"/>
              <w:rPr>
                <w:rFonts w:ascii="Calibri" w:hAnsi="Calibri"/>
                <w:color w:val="auto"/>
                <w:szCs w:val="21"/>
              </w:rPr>
            </w:pPr>
          </w:p>
        </w:tc>
        <w:tc>
          <w:tcPr>
            <w:tcW w:w="698" w:type="dxa"/>
            <w:vAlign w:val="center"/>
          </w:tcPr>
          <w:p w14:paraId="770B9639" w14:textId="77777777" w:rsidR="00633D32" w:rsidRPr="007E5D31" w:rsidRDefault="00633D32" w:rsidP="00633D32">
            <w:pPr>
              <w:jc w:val="center"/>
              <w:rPr>
                <w:rFonts w:ascii="Calibri" w:hAnsi="Calibri"/>
                <w:color w:val="auto"/>
                <w:szCs w:val="21"/>
              </w:rPr>
            </w:pPr>
            <w:r w:rsidRPr="007E5D31">
              <w:rPr>
                <w:rFonts w:ascii="Calibri" w:hAnsi="Calibri"/>
                <w:color w:val="auto"/>
                <w:szCs w:val="21"/>
              </w:rPr>
              <w:t>2</w:t>
            </w:r>
          </w:p>
        </w:tc>
        <w:tc>
          <w:tcPr>
            <w:tcW w:w="1692" w:type="dxa"/>
            <w:gridSpan w:val="2"/>
            <w:vAlign w:val="center"/>
          </w:tcPr>
          <w:p w14:paraId="128EF7D4" w14:textId="77777777" w:rsidR="00633D32" w:rsidRPr="00CC103D" w:rsidRDefault="00633D32" w:rsidP="00633D32">
            <w:pPr>
              <w:jc w:val="center"/>
              <w:rPr>
                <w:rFonts w:ascii="Calibri"/>
                <w:color w:val="auto"/>
                <w:szCs w:val="20"/>
              </w:rPr>
            </w:pPr>
            <w:r w:rsidRPr="00CC103D">
              <w:rPr>
                <w:rFonts w:ascii="Calibri" w:hint="eastAsia"/>
                <w:color w:val="auto"/>
                <w:szCs w:val="20"/>
              </w:rPr>
              <w:t>废机油</w:t>
            </w:r>
          </w:p>
        </w:tc>
        <w:tc>
          <w:tcPr>
            <w:tcW w:w="1575" w:type="dxa"/>
            <w:gridSpan w:val="2"/>
            <w:vAlign w:val="center"/>
          </w:tcPr>
          <w:p w14:paraId="11C641E1" w14:textId="77777777" w:rsidR="00633D32" w:rsidRPr="00CC103D" w:rsidRDefault="00633D32" w:rsidP="00633D32">
            <w:pPr>
              <w:jc w:val="center"/>
              <w:rPr>
                <w:rFonts w:ascii="Calibri"/>
                <w:color w:val="auto"/>
                <w:szCs w:val="20"/>
              </w:rPr>
            </w:pPr>
            <w:r w:rsidRPr="00CC103D">
              <w:rPr>
                <w:rFonts w:ascii="Calibri" w:hint="eastAsia"/>
                <w:color w:val="auto"/>
                <w:szCs w:val="20"/>
              </w:rPr>
              <w:t>设备维护和检修</w:t>
            </w:r>
          </w:p>
        </w:tc>
        <w:tc>
          <w:tcPr>
            <w:tcW w:w="1134" w:type="dxa"/>
            <w:vAlign w:val="center"/>
          </w:tcPr>
          <w:p w14:paraId="7DDA219C" w14:textId="77777777" w:rsidR="00633D32" w:rsidRPr="00CC103D" w:rsidRDefault="006D7A78" w:rsidP="00633D32">
            <w:pPr>
              <w:jc w:val="center"/>
              <w:rPr>
                <w:rFonts w:ascii="Calibri"/>
                <w:color w:val="auto"/>
                <w:szCs w:val="20"/>
              </w:rPr>
            </w:pPr>
            <w:r>
              <w:rPr>
                <w:rFonts w:ascii="Calibri"/>
                <w:color w:val="auto"/>
                <w:szCs w:val="20"/>
              </w:rPr>
              <w:t>0.1</w:t>
            </w:r>
          </w:p>
        </w:tc>
        <w:tc>
          <w:tcPr>
            <w:tcW w:w="1258" w:type="dxa"/>
            <w:vAlign w:val="center"/>
          </w:tcPr>
          <w:p w14:paraId="34486BD0" w14:textId="77777777" w:rsidR="00633D32" w:rsidRPr="00CC103D" w:rsidRDefault="00633D32" w:rsidP="00633D32">
            <w:pPr>
              <w:jc w:val="center"/>
              <w:rPr>
                <w:rFonts w:ascii="Calibri"/>
                <w:color w:val="auto"/>
                <w:szCs w:val="20"/>
              </w:rPr>
            </w:pPr>
            <w:r w:rsidRPr="00CC103D">
              <w:rPr>
                <w:rFonts w:ascii="Calibri" w:hint="eastAsia"/>
                <w:color w:val="auto"/>
                <w:szCs w:val="20"/>
              </w:rPr>
              <w:t>危险固废</w:t>
            </w:r>
          </w:p>
        </w:tc>
        <w:tc>
          <w:tcPr>
            <w:tcW w:w="2343" w:type="dxa"/>
            <w:vAlign w:val="center"/>
          </w:tcPr>
          <w:p w14:paraId="595CD411" w14:textId="77777777" w:rsidR="00633D32" w:rsidRPr="00CC103D" w:rsidRDefault="00633D32" w:rsidP="00633D32">
            <w:pPr>
              <w:jc w:val="center"/>
              <w:rPr>
                <w:rFonts w:ascii="Calibri"/>
                <w:color w:val="auto"/>
                <w:szCs w:val="20"/>
              </w:rPr>
            </w:pPr>
            <w:r w:rsidRPr="00CC103D">
              <w:rPr>
                <w:rFonts w:ascii="Calibri" w:hint="eastAsia"/>
                <w:color w:val="auto"/>
                <w:szCs w:val="20"/>
              </w:rPr>
              <w:t>委托资质单位安全处置</w:t>
            </w:r>
          </w:p>
        </w:tc>
      </w:tr>
      <w:tr w:rsidR="00633D32" w:rsidRPr="00A964FF" w14:paraId="0238BAB4" w14:textId="77777777" w:rsidTr="007E62BE">
        <w:trPr>
          <w:trHeight w:val="340"/>
        </w:trPr>
        <w:tc>
          <w:tcPr>
            <w:tcW w:w="698" w:type="dxa"/>
            <w:vMerge/>
            <w:vAlign w:val="center"/>
          </w:tcPr>
          <w:p w14:paraId="1846C095" w14:textId="77777777" w:rsidR="00633D32" w:rsidRPr="00CC103D" w:rsidRDefault="00633D32" w:rsidP="00633D32">
            <w:pPr>
              <w:jc w:val="center"/>
              <w:rPr>
                <w:rFonts w:ascii="Calibri"/>
                <w:color w:val="auto"/>
                <w:szCs w:val="20"/>
              </w:rPr>
            </w:pPr>
          </w:p>
        </w:tc>
        <w:tc>
          <w:tcPr>
            <w:tcW w:w="698" w:type="dxa"/>
            <w:vAlign w:val="center"/>
          </w:tcPr>
          <w:p w14:paraId="6D56DD68" w14:textId="77777777" w:rsidR="00633D32" w:rsidRPr="00CC103D" w:rsidRDefault="00633D32" w:rsidP="00633D32">
            <w:pPr>
              <w:jc w:val="center"/>
              <w:rPr>
                <w:rFonts w:ascii="Calibri"/>
                <w:color w:val="auto"/>
                <w:szCs w:val="20"/>
              </w:rPr>
            </w:pPr>
            <w:r w:rsidRPr="00CC103D">
              <w:rPr>
                <w:rFonts w:ascii="Calibri" w:hint="eastAsia"/>
                <w:color w:val="auto"/>
                <w:szCs w:val="20"/>
              </w:rPr>
              <w:t>3</w:t>
            </w:r>
          </w:p>
        </w:tc>
        <w:tc>
          <w:tcPr>
            <w:tcW w:w="1692" w:type="dxa"/>
            <w:gridSpan w:val="2"/>
            <w:vAlign w:val="center"/>
          </w:tcPr>
          <w:p w14:paraId="3878D159" w14:textId="77777777" w:rsidR="00633D32" w:rsidRPr="00CC103D" w:rsidRDefault="00633D32" w:rsidP="00633D32">
            <w:pPr>
              <w:jc w:val="center"/>
              <w:rPr>
                <w:rFonts w:ascii="Calibri"/>
                <w:color w:val="auto"/>
                <w:szCs w:val="20"/>
              </w:rPr>
            </w:pPr>
            <w:r w:rsidRPr="00CC103D">
              <w:rPr>
                <w:rFonts w:ascii="Calibri" w:hint="eastAsia"/>
                <w:color w:val="auto"/>
                <w:szCs w:val="20"/>
              </w:rPr>
              <w:t>废水处理站污泥</w:t>
            </w:r>
          </w:p>
        </w:tc>
        <w:tc>
          <w:tcPr>
            <w:tcW w:w="1575" w:type="dxa"/>
            <w:gridSpan w:val="2"/>
            <w:vAlign w:val="center"/>
          </w:tcPr>
          <w:p w14:paraId="0E0412D6" w14:textId="77777777" w:rsidR="00633D32" w:rsidRPr="00CC103D" w:rsidRDefault="00633D32" w:rsidP="00633D32">
            <w:pPr>
              <w:jc w:val="center"/>
              <w:rPr>
                <w:rFonts w:ascii="Calibri"/>
                <w:color w:val="auto"/>
                <w:szCs w:val="20"/>
              </w:rPr>
            </w:pPr>
            <w:r w:rsidRPr="00CC103D">
              <w:rPr>
                <w:rFonts w:ascii="Calibri" w:hint="eastAsia"/>
                <w:color w:val="auto"/>
                <w:szCs w:val="20"/>
              </w:rPr>
              <w:t>废水处理站</w:t>
            </w:r>
          </w:p>
        </w:tc>
        <w:tc>
          <w:tcPr>
            <w:tcW w:w="1134" w:type="dxa"/>
            <w:vAlign w:val="center"/>
          </w:tcPr>
          <w:p w14:paraId="4D534481" w14:textId="13288768" w:rsidR="00633D32" w:rsidRPr="00CC103D" w:rsidRDefault="007E62BE" w:rsidP="00633D32">
            <w:pPr>
              <w:jc w:val="center"/>
              <w:rPr>
                <w:rFonts w:ascii="Calibri"/>
                <w:color w:val="auto"/>
                <w:szCs w:val="20"/>
              </w:rPr>
            </w:pPr>
            <w:r w:rsidRPr="006E3216">
              <w:rPr>
                <w:rFonts w:ascii="Calibri"/>
                <w:b/>
                <w:color w:val="auto"/>
                <w:szCs w:val="20"/>
                <w:u w:val="single"/>
              </w:rPr>
              <w:t>8.65</w:t>
            </w:r>
          </w:p>
        </w:tc>
        <w:tc>
          <w:tcPr>
            <w:tcW w:w="1258" w:type="dxa"/>
            <w:vAlign w:val="center"/>
          </w:tcPr>
          <w:p w14:paraId="0E77DB83"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一般固废</w:t>
            </w:r>
          </w:p>
        </w:tc>
        <w:tc>
          <w:tcPr>
            <w:tcW w:w="2343" w:type="dxa"/>
            <w:vAlign w:val="center"/>
          </w:tcPr>
          <w:p w14:paraId="272CF17B" w14:textId="77777777" w:rsidR="00633D32" w:rsidRPr="007E5D31" w:rsidRDefault="00633D32" w:rsidP="00633D32">
            <w:pPr>
              <w:jc w:val="center"/>
              <w:rPr>
                <w:rFonts w:ascii="Calibri" w:hAnsi="Calibri"/>
                <w:color w:val="auto"/>
                <w:szCs w:val="21"/>
              </w:rPr>
            </w:pPr>
            <w:r>
              <w:rPr>
                <w:rFonts w:ascii="Calibri" w:hAnsi="Calibri" w:hint="eastAsia"/>
                <w:color w:val="auto"/>
                <w:szCs w:val="21"/>
              </w:rPr>
              <w:t>进入</w:t>
            </w:r>
            <w:r w:rsidRPr="00CC103D">
              <w:rPr>
                <w:rFonts w:ascii="Calibri" w:hAnsi="Calibri" w:hint="eastAsia"/>
                <w:color w:val="auto"/>
                <w:szCs w:val="21"/>
              </w:rPr>
              <w:t>叶县</w:t>
            </w:r>
            <w:r w:rsidRPr="00CC103D">
              <w:rPr>
                <w:rFonts w:ascii="Calibri" w:hAnsi="Calibri"/>
                <w:color w:val="auto"/>
                <w:szCs w:val="21"/>
              </w:rPr>
              <w:t>生活垃圾焚烧发电厂处理</w:t>
            </w:r>
          </w:p>
        </w:tc>
      </w:tr>
      <w:tr w:rsidR="00633D32" w:rsidRPr="00A964FF" w14:paraId="7E40FE59" w14:textId="77777777" w:rsidTr="007E62BE">
        <w:trPr>
          <w:trHeight w:val="340"/>
        </w:trPr>
        <w:tc>
          <w:tcPr>
            <w:tcW w:w="698" w:type="dxa"/>
            <w:vMerge/>
            <w:vAlign w:val="center"/>
          </w:tcPr>
          <w:p w14:paraId="555F35A6" w14:textId="77777777" w:rsidR="00633D32" w:rsidRPr="007E5D31" w:rsidRDefault="00633D32" w:rsidP="00633D32">
            <w:pPr>
              <w:jc w:val="center"/>
              <w:rPr>
                <w:rFonts w:ascii="Calibri" w:hAnsi="Calibri"/>
                <w:color w:val="auto"/>
                <w:szCs w:val="21"/>
              </w:rPr>
            </w:pPr>
          </w:p>
        </w:tc>
        <w:tc>
          <w:tcPr>
            <w:tcW w:w="698" w:type="dxa"/>
            <w:vAlign w:val="center"/>
          </w:tcPr>
          <w:p w14:paraId="409A0C3B"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4</w:t>
            </w:r>
          </w:p>
        </w:tc>
        <w:tc>
          <w:tcPr>
            <w:tcW w:w="1692" w:type="dxa"/>
            <w:gridSpan w:val="2"/>
            <w:vAlign w:val="center"/>
          </w:tcPr>
          <w:p w14:paraId="70D405A1" w14:textId="77777777" w:rsidR="00633D32" w:rsidRPr="00CC103D" w:rsidRDefault="00633D32" w:rsidP="00633D32">
            <w:pPr>
              <w:jc w:val="center"/>
              <w:rPr>
                <w:rFonts w:ascii="Calibri"/>
                <w:color w:val="auto"/>
                <w:szCs w:val="20"/>
              </w:rPr>
            </w:pPr>
            <w:r w:rsidRPr="00CC103D">
              <w:rPr>
                <w:rFonts w:ascii="Calibri" w:hint="eastAsia"/>
                <w:color w:val="auto"/>
                <w:szCs w:val="20"/>
              </w:rPr>
              <w:t>废活性炭</w:t>
            </w:r>
          </w:p>
        </w:tc>
        <w:tc>
          <w:tcPr>
            <w:tcW w:w="1575" w:type="dxa"/>
            <w:gridSpan w:val="2"/>
            <w:vAlign w:val="center"/>
          </w:tcPr>
          <w:p w14:paraId="10E8D54C" w14:textId="77777777" w:rsidR="00633D32" w:rsidRPr="00CC103D" w:rsidRDefault="00633D32" w:rsidP="00633D32">
            <w:pPr>
              <w:jc w:val="center"/>
              <w:rPr>
                <w:rFonts w:ascii="Calibri"/>
                <w:color w:val="auto"/>
                <w:szCs w:val="20"/>
              </w:rPr>
            </w:pPr>
            <w:r w:rsidRPr="00CC103D">
              <w:rPr>
                <w:rFonts w:ascii="Calibri" w:hint="eastAsia"/>
                <w:color w:val="auto"/>
                <w:szCs w:val="20"/>
              </w:rPr>
              <w:t>废气治理</w:t>
            </w:r>
          </w:p>
        </w:tc>
        <w:tc>
          <w:tcPr>
            <w:tcW w:w="1134" w:type="dxa"/>
            <w:vAlign w:val="center"/>
          </w:tcPr>
          <w:p w14:paraId="4F4B75FD" w14:textId="2CB54748" w:rsidR="00633D32" w:rsidRPr="00CC103D" w:rsidRDefault="007E62BE" w:rsidP="00633D32">
            <w:pPr>
              <w:jc w:val="center"/>
              <w:rPr>
                <w:rFonts w:ascii="Calibri"/>
                <w:color w:val="auto"/>
                <w:szCs w:val="20"/>
              </w:rPr>
            </w:pPr>
            <w:r w:rsidRPr="006E3216">
              <w:rPr>
                <w:rFonts w:ascii="Calibri"/>
                <w:b/>
                <w:color w:val="auto"/>
                <w:szCs w:val="20"/>
                <w:u w:val="single"/>
              </w:rPr>
              <w:t>1.80</w:t>
            </w:r>
          </w:p>
        </w:tc>
        <w:tc>
          <w:tcPr>
            <w:tcW w:w="1258" w:type="dxa"/>
            <w:vAlign w:val="center"/>
          </w:tcPr>
          <w:p w14:paraId="1CFA394A" w14:textId="77777777" w:rsidR="00633D32" w:rsidRPr="00CC103D" w:rsidRDefault="00633D32" w:rsidP="00633D32">
            <w:pPr>
              <w:jc w:val="center"/>
              <w:rPr>
                <w:rFonts w:ascii="Calibri"/>
                <w:color w:val="auto"/>
                <w:szCs w:val="20"/>
              </w:rPr>
            </w:pPr>
            <w:r w:rsidRPr="00CC103D">
              <w:rPr>
                <w:rFonts w:ascii="Calibri" w:hint="eastAsia"/>
                <w:color w:val="auto"/>
                <w:szCs w:val="20"/>
              </w:rPr>
              <w:t>危险固废</w:t>
            </w:r>
          </w:p>
        </w:tc>
        <w:tc>
          <w:tcPr>
            <w:tcW w:w="2343" w:type="dxa"/>
            <w:vAlign w:val="center"/>
          </w:tcPr>
          <w:p w14:paraId="46747F35" w14:textId="77777777" w:rsidR="00633D32" w:rsidRPr="00CC103D" w:rsidRDefault="00633D32" w:rsidP="00633D32">
            <w:pPr>
              <w:jc w:val="center"/>
              <w:rPr>
                <w:rFonts w:ascii="Calibri"/>
                <w:color w:val="auto"/>
                <w:szCs w:val="20"/>
              </w:rPr>
            </w:pPr>
            <w:r w:rsidRPr="00CC103D">
              <w:rPr>
                <w:rFonts w:ascii="Calibri" w:hint="eastAsia"/>
                <w:color w:val="auto"/>
                <w:szCs w:val="20"/>
              </w:rPr>
              <w:t>委托资质单位安全处置</w:t>
            </w:r>
          </w:p>
        </w:tc>
      </w:tr>
      <w:tr w:rsidR="00633D32" w:rsidRPr="00A964FF" w14:paraId="57BECE52" w14:textId="77777777" w:rsidTr="007E62BE">
        <w:trPr>
          <w:trHeight w:val="340"/>
        </w:trPr>
        <w:tc>
          <w:tcPr>
            <w:tcW w:w="698" w:type="dxa"/>
            <w:vMerge/>
            <w:vAlign w:val="center"/>
          </w:tcPr>
          <w:p w14:paraId="1E6AA454" w14:textId="77777777" w:rsidR="00633D32" w:rsidRDefault="00633D32" w:rsidP="00633D32">
            <w:pPr>
              <w:jc w:val="center"/>
              <w:rPr>
                <w:rFonts w:ascii="Calibri" w:hAnsi="Calibri"/>
                <w:color w:val="auto"/>
                <w:szCs w:val="21"/>
              </w:rPr>
            </w:pPr>
          </w:p>
        </w:tc>
        <w:tc>
          <w:tcPr>
            <w:tcW w:w="698" w:type="dxa"/>
            <w:vAlign w:val="center"/>
          </w:tcPr>
          <w:p w14:paraId="7C2EF810" w14:textId="77777777" w:rsidR="00633D32" w:rsidRPr="007E5D31" w:rsidRDefault="00633D32" w:rsidP="00633D32">
            <w:pPr>
              <w:jc w:val="center"/>
              <w:rPr>
                <w:rFonts w:ascii="Calibri" w:hAnsi="Calibri"/>
                <w:color w:val="auto"/>
                <w:szCs w:val="21"/>
              </w:rPr>
            </w:pPr>
            <w:r>
              <w:rPr>
                <w:rFonts w:ascii="Calibri" w:hAnsi="Calibri" w:hint="eastAsia"/>
                <w:color w:val="auto"/>
                <w:szCs w:val="21"/>
              </w:rPr>
              <w:t>5</w:t>
            </w:r>
          </w:p>
        </w:tc>
        <w:tc>
          <w:tcPr>
            <w:tcW w:w="1692" w:type="dxa"/>
            <w:gridSpan w:val="2"/>
            <w:vAlign w:val="center"/>
          </w:tcPr>
          <w:p w14:paraId="30EF7DF1"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生活垃圾</w:t>
            </w:r>
          </w:p>
        </w:tc>
        <w:tc>
          <w:tcPr>
            <w:tcW w:w="1575" w:type="dxa"/>
            <w:gridSpan w:val="2"/>
            <w:vAlign w:val="center"/>
          </w:tcPr>
          <w:p w14:paraId="6EBF5167"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职工生活</w:t>
            </w:r>
          </w:p>
        </w:tc>
        <w:tc>
          <w:tcPr>
            <w:tcW w:w="1134" w:type="dxa"/>
            <w:vAlign w:val="center"/>
          </w:tcPr>
          <w:p w14:paraId="3CA2C7DE" w14:textId="77777777" w:rsidR="00633D32" w:rsidRPr="007E5D31" w:rsidRDefault="00633D32" w:rsidP="00633D32">
            <w:pPr>
              <w:jc w:val="center"/>
              <w:rPr>
                <w:rFonts w:ascii="Calibri" w:hAnsi="Calibri"/>
                <w:color w:val="auto"/>
                <w:szCs w:val="21"/>
              </w:rPr>
            </w:pPr>
            <w:r>
              <w:rPr>
                <w:rFonts w:ascii="Calibri" w:hAnsi="Calibri"/>
                <w:color w:val="auto"/>
                <w:szCs w:val="21"/>
              </w:rPr>
              <w:t>4.5</w:t>
            </w:r>
          </w:p>
        </w:tc>
        <w:tc>
          <w:tcPr>
            <w:tcW w:w="1258" w:type="dxa"/>
            <w:vAlign w:val="center"/>
          </w:tcPr>
          <w:p w14:paraId="4BDA5568" w14:textId="77777777" w:rsidR="00633D32" w:rsidRPr="00CC103D" w:rsidRDefault="00DD5619" w:rsidP="00633D32">
            <w:pPr>
              <w:jc w:val="center"/>
              <w:rPr>
                <w:rFonts w:ascii="Calibri"/>
                <w:color w:val="auto"/>
                <w:szCs w:val="20"/>
              </w:rPr>
            </w:pPr>
            <w:r w:rsidRPr="007E5D31">
              <w:rPr>
                <w:rFonts w:ascii="Calibri" w:hAnsi="Calibri" w:hint="eastAsia"/>
                <w:color w:val="auto"/>
                <w:szCs w:val="21"/>
              </w:rPr>
              <w:t>一般固废</w:t>
            </w:r>
          </w:p>
        </w:tc>
        <w:tc>
          <w:tcPr>
            <w:tcW w:w="2343" w:type="dxa"/>
            <w:vAlign w:val="center"/>
          </w:tcPr>
          <w:p w14:paraId="120B54BF" w14:textId="77777777" w:rsidR="00633D32" w:rsidRPr="00CC103D" w:rsidRDefault="00DD5619" w:rsidP="00633D32">
            <w:pPr>
              <w:jc w:val="center"/>
              <w:rPr>
                <w:rFonts w:ascii="Calibri"/>
                <w:color w:val="auto"/>
                <w:szCs w:val="20"/>
              </w:rPr>
            </w:pPr>
            <w:r w:rsidRPr="007E5D31">
              <w:rPr>
                <w:rFonts w:ascii="Calibri" w:hAnsi="Calibri" w:hint="eastAsia"/>
                <w:color w:val="auto"/>
                <w:szCs w:val="21"/>
              </w:rPr>
              <w:t>送集聚区垃圾中转站</w:t>
            </w:r>
          </w:p>
        </w:tc>
      </w:tr>
      <w:tr w:rsidR="00633D32" w:rsidRPr="00A964FF" w14:paraId="399D0238" w14:textId="77777777" w:rsidTr="007E62BE">
        <w:trPr>
          <w:trHeight w:val="340"/>
        </w:trPr>
        <w:tc>
          <w:tcPr>
            <w:tcW w:w="698" w:type="dxa"/>
            <w:vMerge/>
            <w:vAlign w:val="center"/>
          </w:tcPr>
          <w:p w14:paraId="4DFDFCB3" w14:textId="77777777" w:rsidR="00633D32" w:rsidRPr="007E5D31" w:rsidRDefault="00633D32" w:rsidP="00633D32">
            <w:pPr>
              <w:jc w:val="center"/>
              <w:rPr>
                <w:rFonts w:ascii="Calibri" w:hAnsi="Calibri"/>
                <w:color w:val="auto"/>
                <w:szCs w:val="21"/>
              </w:rPr>
            </w:pPr>
          </w:p>
        </w:tc>
        <w:tc>
          <w:tcPr>
            <w:tcW w:w="698" w:type="dxa"/>
            <w:vMerge w:val="restart"/>
            <w:vAlign w:val="center"/>
          </w:tcPr>
          <w:p w14:paraId="23D441DC"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小计</w:t>
            </w:r>
          </w:p>
        </w:tc>
        <w:tc>
          <w:tcPr>
            <w:tcW w:w="3267" w:type="dxa"/>
            <w:gridSpan w:val="4"/>
            <w:vAlign w:val="center"/>
          </w:tcPr>
          <w:p w14:paraId="20EF5ECE"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二期工程</w:t>
            </w:r>
          </w:p>
        </w:tc>
        <w:tc>
          <w:tcPr>
            <w:tcW w:w="1134" w:type="dxa"/>
            <w:vAlign w:val="center"/>
          </w:tcPr>
          <w:p w14:paraId="1A14BC10" w14:textId="0AA39C8A" w:rsidR="00633D32" w:rsidRPr="007E5D31" w:rsidRDefault="007E62BE" w:rsidP="00633D32">
            <w:pPr>
              <w:jc w:val="center"/>
              <w:rPr>
                <w:rFonts w:ascii="Calibri" w:hAnsi="Calibri"/>
                <w:color w:val="auto"/>
                <w:szCs w:val="21"/>
              </w:rPr>
            </w:pPr>
            <w:r w:rsidRPr="006E3216">
              <w:rPr>
                <w:rFonts w:ascii="Calibri" w:hAnsi="Calibri"/>
                <w:b/>
                <w:color w:val="auto"/>
                <w:szCs w:val="21"/>
                <w:u w:val="single"/>
              </w:rPr>
              <w:t>15.15</w:t>
            </w:r>
          </w:p>
        </w:tc>
        <w:tc>
          <w:tcPr>
            <w:tcW w:w="3601" w:type="dxa"/>
            <w:gridSpan w:val="2"/>
            <w:vMerge w:val="restart"/>
            <w:vAlign w:val="center"/>
          </w:tcPr>
          <w:p w14:paraId="287F6045" w14:textId="77777777" w:rsidR="00633D32" w:rsidRPr="007E5D31" w:rsidRDefault="00633D32" w:rsidP="00633D32">
            <w:pPr>
              <w:jc w:val="center"/>
              <w:rPr>
                <w:rFonts w:ascii="Calibri" w:hAnsi="Calibri"/>
                <w:color w:val="auto"/>
                <w:szCs w:val="21"/>
              </w:rPr>
            </w:pPr>
            <w:r>
              <w:rPr>
                <w:rFonts w:ascii="Calibri" w:hAnsi="Calibri" w:hint="eastAsia"/>
                <w:color w:val="auto"/>
                <w:szCs w:val="21"/>
              </w:rPr>
              <w:t>/</w:t>
            </w:r>
          </w:p>
        </w:tc>
      </w:tr>
      <w:tr w:rsidR="00633D32" w:rsidRPr="00A964FF" w14:paraId="1E502D67" w14:textId="77777777" w:rsidTr="007E62BE">
        <w:trPr>
          <w:trHeight w:val="340"/>
        </w:trPr>
        <w:tc>
          <w:tcPr>
            <w:tcW w:w="698" w:type="dxa"/>
            <w:vMerge/>
            <w:vAlign w:val="center"/>
          </w:tcPr>
          <w:p w14:paraId="576AFF4D" w14:textId="77777777" w:rsidR="00633D32" w:rsidRPr="007E5D31" w:rsidRDefault="00633D32" w:rsidP="00633D32">
            <w:pPr>
              <w:jc w:val="center"/>
              <w:rPr>
                <w:rFonts w:ascii="Calibri" w:hAnsi="Calibri"/>
                <w:color w:val="auto"/>
                <w:szCs w:val="21"/>
              </w:rPr>
            </w:pPr>
          </w:p>
        </w:tc>
        <w:tc>
          <w:tcPr>
            <w:tcW w:w="698" w:type="dxa"/>
            <w:vMerge/>
            <w:vAlign w:val="center"/>
          </w:tcPr>
          <w:p w14:paraId="3ED10876" w14:textId="77777777" w:rsidR="00633D32" w:rsidRPr="007E5D31" w:rsidRDefault="00633D32" w:rsidP="00633D32">
            <w:pPr>
              <w:jc w:val="center"/>
              <w:rPr>
                <w:rFonts w:ascii="Calibri" w:hAnsi="Calibri"/>
                <w:color w:val="auto"/>
                <w:szCs w:val="21"/>
              </w:rPr>
            </w:pPr>
          </w:p>
        </w:tc>
        <w:tc>
          <w:tcPr>
            <w:tcW w:w="1671" w:type="dxa"/>
            <w:vAlign w:val="center"/>
          </w:tcPr>
          <w:p w14:paraId="743E6863"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其中</w:t>
            </w:r>
          </w:p>
        </w:tc>
        <w:tc>
          <w:tcPr>
            <w:tcW w:w="1596" w:type="dxa"/>
            <w:gridSpan w:val="3"/>
            <w:vAlign w:val="center"/>
          </w:tcPr>
          <w:p w14:paraId="19378FC9" w14:textId="77777777" w:rsidR="00633D32" w:rsidRPr="00CC103D" w:rsidRDefault="00633D32" w:rsidP="00633D32">
            <w:pPr>
              <w:jc w:val="center"/>
              <w:rPr>
                <w:rFonts w:ascii="Calibri"/>
                <w:color w:val="auto"/>
                <w:szCs w:val="20"/>
              </w:rPr>
            </w:pPr>
            <w:r w:rsidRPr="00CC103D">
              <w:rPr>
                <w:rFonts w:ascii="Calibri" w:hint="eastAsia"/>
                <w:color w:val="auto"/>
                <w:szCs w:val="20"/>
              </w:rPr>
              <w:t>危险固废</w:t>
            </w:r>
          </w:p>
        </w:tc>
        <w:tc>
          <w:tcPr>
            <w:tcW w:w="1134" w:type="dxa"/>
            <w:vAlign w:val="center"/>
          </w:tcPr>
          <w:p w14:paraId="0393C234" w14:textId="19DF2273" w:rsidR="00633D32" w:rsidRPr="007E5D31" w:rsidRDefault="007E62BE" w:rsidP="00633D32">
            <w:pPr>
              <w:jc w:val="center"/>
              <w:rPr>
                <w:rFonts w:ascii="Calibri" w:hAnsi="Calibri"/>
                <w:color w:val="auto"/>
                <w:szCs w:val="21"/>
              </w:rPr>
            </w:pPr>
            <w:r w:rsidRPr="006E3216">
              <w:rPr>
                <w:rFonts w:ascii="Calibri" w:hAnsi="Calibri"/>
                <w:b/>
                <w:color w:val="auto"/>
                <w:szCs w:val="21"/>
                <w:u w:val="single"/>
              </w:rPr>
              <w:t>1.90</w:t>
            </w:r>
          </w:p>
        </w:tc>
        <w:tc>
          <w:tcPr>
            <w:tcW w:w="3601" w:type="dxa"/>
            <w:gridSpan w:val="2"/>
            <w:vMerge/>
            <w:vAlign w:val="center"/>
          </w:tcPr>
          <w:p w14:paraId="568DF07F" w14:textId="77777777" w:rsidR="00633D32" w:rsidRPr="007E5D31" w:rsidRDefault="00633D32" w:rsidP="00633D32">
            <w:pPr>
              <w:jc w:val="center"/>
              <w:rPr>
                <w:rFonts w:ascii="Calibri" w:hAnsi="Calibri"/>
                <w:color w:val="auto"/>
                <w:szCs w:val="21"/>
              </w:rPr>
            </w:pPr>
          </w:p>
        </w:tc>
      </w:tr>
      <w:tr w:rsidR="00633D32" w:rsidRPr="00A964FF" w14:paraId="3D227ADA" w14:textId="77777777" w:rsidTr="00633D32">
        <w:trPr>
          <w:trHeight w:val="340"/>
        </w:trPr>
        <w:tc>
          <w:tcPr>
            <w:tcW w:w="698" w:type="dxa"/>
            <w:vMerge/>
            <w:vAlign w:val="center"/>
          </w:tcPr>
          <w:p w14:paraId="04EA862A" w14:textId="77777777" w:rsidR="00633D32" w:rsidRPr="007E5D31" w:rsidRDefault="00633D32" w:rsidP="00633D32">
            <w:pPr>
              <w:jc w:val="center"/>
              <w:rPr>
                <w:rFonts w:ascii="Calibri" w:hAnsi="Calibri"/>
                <w:color w:val="auto"/>
                <w:szCs w:val="21"/>
              </w:rPr>
            </w:pPr>
          </w:p>
        </w:tc>
        <w:tc>
          <w:tcPr>
            <w:tcW w:w="698" w:type="dxa"/>
            <w:vAlign w:val="center"/>
          </w:tcPr>
          <w:p w14:paraId="3429A026"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三</w:t>
            </w:r>
          </w:p>
        </w:tc>
        <w:tc>
          <w:tcPr>
            <w:tcW w:w="8002" w:type="dxa"/>
            <w:gridSpan w:val="7"/>
            <w:vAlign w:val="center"/>
          </w:tcPr>
          <w:p w14:paraId="3BF18FB2"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全厂固废</w:t>
            </w:r>
          </w:p>
        </w:tc>
      </w:tr>
      <w:tr w:rsidR="00633D32" w:rsidRPr="00A964FF" w14:paraId="3DB088D4" w14:textId="77777777" w:rsidTr="007E62BE">
        <w:trPr>
          <w:trHeight w:val="340"/>
        </w:trPr>
        <w:tc>
          <w:tcPr>
            <w:tcW w:w="698" w:type="dxa"/>
            <w:vMerge/>
            <w:vAlign w:val="center"/>
          </w:tcPr>
          <w:p w14:paraId="6ECFD934" w14:textId="77777777" w:rsidR="00633D32" w:rsidRDefault="00633D32" w:rsidP="00633D32">
            <w:pPr>
              <w:jc w:val="center"/>
              <w:rPr>
                <w:rFonts w:ascii="Calibri" w:hAnsi="Calibri"/>
                <w:color w:val="auto"/>
                <w:szCs w:val="21"/>
              </w:rPr>
            </w:pPr>
          </w:p>
        </w:tc>
        <w:tc>
          <w:tcPr>
            <w:tcW w:w="698" w:type="dxa"/>
            <w:vMerge w:val="restart"/>
            <w:vAlign w:val="center"/>
          </w:tcPr>
          <w:p w14:paraId="36CCA231" w14:textId="77777777" w:rsidR="00633D32" w:rsidRPr="007E5D31" w:rsidRDefault="00633D32" w:rsidP="00633D32">
            <w:pPr>
              <w:jc w:val="center"/>
              <w:rPr>
                <w:rFonts w:ascii="Calibri" w:hAnsi="Calibri"/>
                <w:color w:val="auto"/>
                <w:szCs w:val="21"/>
              </w:rPr>
            </w:pPr>
            <w:r>
              <w:rPr>
                <w:rFonts w:ascii="Calibri" w:hAnsi="Calibri" w:hint="eastAsia"/>
                <w:color w:val="auto"/>
                <w:szCs w:val="21"/>
              </w:rPr>
              <w:t>一期、</w:t>
            </w:r>
            <w:r>
              <w:rPr>
                <w:rFonts w:ascii="Calibri" w:hAnsi="Calibri"/>
                <w:color w:val="auto"/>
                <w:szCs w:val="21"/>
              </w:rPr>
              <w:t>二期固废</w:t>
            </w:r>
          </w:p>
        </w:tc>
        <w:tc>
          <w:tcPr>
            <w:tcW w:w="3267" w:type="dxa"/>
            <w:gridSpan w:val="4"/>
            <w:vAlign w:val="center"/>
          </w:tcPr>
          <w:p w14:paraId="637706D8"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全厂固废</w:t>
            </w:r>
          </w:p>
        </w:tc>
        <w:tc>
          <w:tcPr>
            <w:tcW w:w="1134" w:type="dxa"/>
            <w:vAlign w:val="center"/>
          </w:tcPr>
          <w:p w14:paraId="684E6C86" w14:textId="69C59347" w:rsidR="00633D32" w:rsidRPr="007E5D31" w:rsidRDefault="007E62BE" w:rsidP="00633D32">
            <w:pPr>
              <w:jc w:val="center"/>
              <w:rPr>
                <w:rFonts w:ascii="Calibri" w:hAnsi="Calibri"/>
                <w:color w:val="auto"/>
                <w:szCs w:val="21"/>
              </w:rPr>
            </w:pPr>
            <w:r w:rsidRPr="006E3216">
              <w:rPr>
                <w:rFonts w:ascii="Calibri" w:hAnsi="Calibri"/>
                <w:b/>
                <w:color w:val="auto"/>
                <w:szCs w:val="21"/>
                <w:u w:val="single"/>
              </w:rPr>
              <w:t>48.861</w:t>
            </w:r>
          </w:p>
        </w:tc>
        <w:tc>
          <w:tcPr>
            <w:tcW w:w="3601" w:type="dxa"/>
            <w:gridSpan w:val="2"/>
            <w:vMerge w:val="restart"/>
            <w:vAlign w:val="center"/>
          </w:tcPr>
          <w:p w14:paraId="23A64BA4" w14:textId="77777777" w:rsidR="00633D32" w:rsidRPr="007E5D31" w:rsidRDefault="00633D32" w:rsidP="00633D32">
            <w:pPr>
              <w:jc w:val="center"/>
              <w:rPr>
                <w:rFonts w:ascii="Calibri" w:hAnsi="Calibri"/>
                <w:color w:val="auto"/>
                <w:szCs w:val="21"/>
              </w:rPr>
            </w:pPr>
            <w:r w:rsidRPr="00CC103D">
              <w:rPr>
                <w:rFonts w:ascii="Calibri" w:hAnsi="Calibri" w:hint="eastAsia"/>
                <w:color w:val="auto"/>
                <w:szCs w:val="21"/>
              </w:rPr>
              <w:t>废反渗透膜、废导热油因产生周期较长，不计入核算数据</w:t>
            </w:r>
          </w:p>
        </w:tc>
      </w:tr>
      <w:tr w:rsidR="00633D32" w:rsidRPr="00A964FF" w14:paraId="010D7CB7" w14:textId="77777777" w:rsidTr="007E62BE">
        <w:trPr>
          <w:trHeight w:val="340"/>
        </w:trPr>
        <w:tc>
          <w:tcPr>
            <w:tcW w:w="698" w:type="dxa"/>
            <w:vMerge/>
            <w:vAlign w:val="center"/>
          </w:tcPr>
          <w:p w14:paraId="387DF3F9" w14:textId="77777777" w:rsidR="00633D32" w:rsidRPr="007E5D31" w:rsidRDefault="00633D32" w:rsidP="00633D32">
            <w:pPr>
              <w:jc w:val="center"/>
              <w:rPr>
                <w:rFonts w:ascii="Calibri" w:hAnsi="Calibri"/>
                <w:color w:val="auto"/>
                <w:szCs w:val="21"/>
              </w:rPr>
            </w:pPr>
          </w:p>
        </w:tc>
        <w:tc>
          <w:tcPr>
            <w:tcW w:w="698" w:type="dxa"/>
            <w:vMerge/>
            <w:vAlign w:val="center"/>
          </w:tcPr>
          <w:p w14:paraId="530571D2" w14:textId="77777777" w:rsidR="00633D32" w:rsidRPr="007E5D31" w:rsidRDefault="00633D32" w:rsidP="00633D32">
            <w:pPr>
              <w:jc w:val="center"/>
              <w:rPr>
                <w:rFonts w:ascii="Calibri" w:hAnsi="Calibri"/>
                <w:color w:val="auto"/>
                <w:szCs w:val="21"/>
              </w:rPr>
            </w:pPr>
          </w:p>
        </w:tc>
        <w:tc>
          <w:tcPr>
            <w:tcW w:w="1770" w:type="dxa"/>
            <w:gridSpan w:val="3"/>
            <w:vAlign w:val="center"/>
          </w:tcPr>
          <w:p w14:paraId="12EC6161"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其中</w:t>
            </w:r>
          </w:p>
        </w:tc>
        <w:tc>
          <w:tcPr>
            <w:tcW w:w="1497" w:type="dxa"/>
            <w:vAlign w:val="center"/>
          </w:tcPr>
          <w:p w14:paraId="116082C9" w14:textId="77777777" w:rsidR="00633D32" w:rsidRPr="007E5D31" w:rsidRDefault="00633D32" w:rsidP="00633D32">
            <w:pPr>
              <w:jc w:val="center"/>
              <w:rPr>
                <w:rFonts w:ascii="Calibri" w:hAnsi="Calibri"/>
                <w:color w:val="auto"/>
                <w:szCs w:val="21"/>
              </w:rPr>
            </w:pPr>
            <w:r w:rsidRPr="007E5D31">
              <w:rPr>
                <w:rFonts w:ascii="Calibri" w:hAnsi="Calibri" w:hint="eastAsia"/>
                <w:color w:val="auto"/>
                <w:szCs w:val="21"/>
              </w:rPr>
              <w:t>危险固废</w:t>
            </w:r>
          </w:p>
        </w:tc>
        <w:tc>
          <w:tcPr>
            <w:tcW w:w="1134" w:type="dxa"/>
            <w:vAlign w:val="center"/>
          </w:tcPr>
          <w:p w14:paraId="3E860381" w14:textId="765B8DE3" w:rsidR="00633D32" w:rsidRPr="007E5D31" w:rsidRDefault="007E62BE" w:rsidP="00633D32">
            <w:pPr>
              <w:jc w:val="center"/>
              <w:rPr>
                <w:rFonts w:ascii="Calibri" w:hAnsi="Calibri"/>
                <w:color w:val="auto"/>
                <w:szCs w:val="21"/>
              </w:rPr>
            </w:pPr>
            <w:r w:rsidRPr="006E3216">
              <w:rPr>
                <w:rFonts w:ascii="Calibri" w:hAnsi="Calibri"/>
                <w:b/>
                <w:color w:val="auto"/>
                <w:szCs w:val="21"/>
                <w:u w:val="single"/>
              </w:rPr>
              <w:t>5.311</w:t>
            </w:r>
          </w:p>
        </w:tc>
        <w:tc>
          <w:tcPr>
            <w:tcW w:w="3601" w:type="dxa"/>
            <w:gridSpan w:val="2"/>
            <w:vMerge/>
            <w:vAlign w:val="center"/>
          </w:tcPr>
          <w:p w14:paraId="36414554" w14:textId="77777777" w:rsidR="00633D32" w:rsidRPr="00A964FF" w:rsidRDefault="00633D32" w:rsidP="00633D32">
            <w:pPr>
              <w:jc w:val="center"/>
              <w:rPr>
                <w:rFonts w:ascii="黑体" w:eastAsia="黑体" w:hAnsi="黑体"/>
                <w:b/>
                <w:color w:val="auto"/>
                <w:szCs w:val="21"/>
                <w:u w:val="single"/>
              </w:rPr>
            </w:pPr>
          </w:p>
        </w:tc>
      </w:tr>
      <w:tr w:rsidR="00633D32" w:rsidRPr="00A964FF" w14:paraId="330FEA12" w14:textId="77777777" w:rsidTr="007E62BE">
        <w:trPr>
          <w:trHeight w:val="340"/>
        </w:trPr>
        <w:tc>
          <w:tcPr>
            <w:tcW w:w="698" w:type="dxa"/>
            <w:vAlign w:val="center"/>
          </w:tcPr>
          <w:p w14:paraId="7D7619BF" w14:textId="77777777" w:rsidR="00633D32" w:rsidRPr="007E5D31" w:rsidRDefault="00633D32" w:rsidP="00633D32">
            <w:pPr>
              <w:jc w:val="center"/>
              <w:rPr>
                <w:rFonts w:ascii="Calibri" w:hAnsi="Calibri"/>
                <w:color w:val="auto"/>
                <w:szCs w:val="21"/>
              </w:rPr>
            </w:pPr>
            <w:r>
              <w:rPr>
                <w:rFonts w:ascii="Calibri" w:hAnsi="Calibri" w:hint="eastAsia"/>
                <w:color w:val="auto"/>
                <w:szCs w:val="21"/>
              </w:rPr>
              <w:t>噪声</w:t>
            </w:r>
          </w:p>
        </w:tc>
        <w:tc>
          <w:tcPr>
            <w:tcW w:w="5099" w:type="dxa"/>
            <w:gridSpan w:val="6"/>
            <w:vAlign w:val="center"/>
          </w:tcPr>
          <w:p w14:paraId="36C6A71B" w14:textId="77777777" w:rsidR="00633D32" w:rsidRDefault="00633D32" w:rsidP="00633D32">
            <w:pPr>
              <w:jc w:val="center"/>
              <w:rPr>
                <w:rFonts w:ascii="Calibri" w:hAnsi="Calibri"/>
                <w:color w:val="auto"/>
                <w:szCs w:val="21"/>
              </w:rPr>
            </w:pPr>
            <w:r>
              <w:rPr>
                <w:rFonts w:ascii="Calibri" w:hAnsi="Calibri" w:hint="eastAsia"/>
                <w:color w:val="auto"/>
                <w:szCs w:val="21"/>
              </w:rPr>
              <w:t>设备</w:t>
            </w:r>
            <w:r>
              <w:rPr>
                <w:rFonts w:ascii="Calibri" w:hAnsi="Calibri"/>
                <w:color w:val="auto"/>
                <w:szCs w:val="21"/>
              </w:rPr>
              <w:t>噪声</w:t>
            </w:r>
          </w:p>
        </w:tc>
        <w:tc>
          <w:tcPr>
            <w:tcW w:w="3601" w:type="dxa"/>
            <w:gridSpan w:val="2"/>
            <w:vAlign w:val="center"/>
          </w:tcPr>
          <w:p w14:paraId="7E05796B" w14:textId="77777777" w:rsidR="00633D32" w:rsidRPr="00A964FF" w:rsidRDefault="00633D32" w:rsidP="00633D32">
            <w:pPr>
              <w:jc w:val="center"/>
              <w:rPr>
                <w:rFonts w:ascii="黑体" w:eastAsia="黑体" w:hAnsi="黑体"/>
                <w:b/>
                <w:color w:val="auto"/>
                <w:szCs w:val="21"/>
                <w:u w:val="single"/>
              </w:rPr>
            </w:pPr>
            <w:r w:rsidRPr="00A964FF">
              <w:rPr>
                <w:rFonts w:hAnsi="Calibri" w:hint="eastAsia"/>
                <w:color w:val="auto"/>
              </w:rPr>
              <w:t>主要为</w:t>
            </w:r>
            <w:r w:rsidRPr="00A964FF">
              <w:rPr>
                <w:rFonts w:ascii="Calibri" w:hAnsi="Calibri" w:hint="eastAsia"/>
                <w:color w:val="auto"/>
              </w:rPr>
              <w:t>各类生产设备、各类泵机和各类风机等</w:t>
            </w:r>
            <w:r w:rsidRPr="00A964FF">
              <w:rPr>
                <w:rFonts w:hAnsi="Calibri" w:hint="eastAsia"/>
                <w:color w:val="auto"/>
              </w:rPr>
              <w:t>，</w:t>
            </w:r>
            <w:r w:rsidRPr="00A964FF">
              <w:rPr>
                <w:rFonts w:ascii="Calibri" w:hAnsi="Calibri"/>
                <w:color w:val="auto"/>
              </w:rPr>
              <w:t>源强为</w:t>
            </w:r>
            <w:r>
              <w:rPr>
                <w:rFonts w:ascii="Calibri" w:hAnsi="Calibri"/>
                <w:color w:val="auto"/>
              </w:rPr>
              <w:t>85</w:t>
            </w:r>
            <w:r w:rsidRPr="00A964FF">
              <w:rPr>
                <w:rFonts w:ascii="Calibri" w:hAnsi="Calibri"/>
                <w:color w:val="auto"/>
              </w:rPr>
              <w:t>～</w:t>
            </w:r>
            <w:r w:rsidRPr="00A964FF">
              <w:rPr>
                <w:rFonts w:ascii="Calibri" w:hAnsi="Calibri" w:hint="eastAsia"/>
                <w:color w:val="auto"/>
              </w:rPr>
              <w:t>9</w:t>
            </w:r>
            <w:r>
              <w:rPr>
                <w:rFonts w:ascii="Calibri" w:hAnsi="Calibri" w:hint="eastAsia"/>
                <w:color w:val="auto"/>
              </w:rPr>
              <w:t>0</w:t>
            </w:r>
            <w:r w:rsidRPr="00A964FF">
              <w:rPr>
                <w:rFonts w:ascii="Calibri" w:hAnsi="Calibri"/>
                <w:color w:val="auto"/>
              </w:rPr>
              <w:t>dB</w:t>
            </w:r>
            <w:r w:rsidRPr="00A964FF">
              <w:rPr>
                <w:rFonts w:ascii="Calibri" w:hAnsi="Calibri" w:hint="eastAsia"/>
                <w:color w:val="auto"/>
              </w:rPr>
              <w:t>，采取车间隔声、基础减振、风机加装消声装置等降噪措施</w:t>
            </w:r>
          </w:p>
        </w:tc>
      </w:tr>
    </w:tbl>
    <w:p w14:paraId="0493731C" w14:textId="77777777" w:rsidR="009058A1" w:rsidRPr="00A964FF" w:rsidRDefault="009058A1" w:rsidP="009058A1">
      <w:pPr>
        <w:pStyle w:val="00"/>
        <w:rPr>
          <w:rFonts w:ascii="Calibri"/>
          <w:noProof/>
          <w:color w:val="auto"/>
        </w:rPr>
      </w:pPr>
      <w:r w:rsidRPr="00A964FF">
        <w:rPr>
          <w:rFonts w:ascii="Calibri" w:hint="eastAsia"/>
          <w:noProof/>
          <w:color w:val="auto"/>
        </w:rPr>
        <w:t>（</w:t>
      </w:r>
      <w:r w:rsidRPr="00A964FF">
        <w:rPr>
          <w:rFonts w:ascii="Calibri" w:hint="eastAsia"/>
          <w:noProof/>
          <w:color w:val="auto"/>
        </w:rPr>
        <w:t>2</w:t>
      </w:r>
      <w:r w:rsidRPr="00A964FF">
        <w:rPr>
          <w:rFonts w:ascii="Calibri" w:hint="eastAsia"/>
          <w:noProof/>
          <w:color w:val="auto"/>
        </w:rPr>
        <w:t>）项目污染物治理措施</w:t>
      </w:r>
    </w:p>
    <w:p w14:paraId="27B39FFD" w14:textId="77777777" w:rsidR="00163385" w:rsidRPr="00163385" w:rsidRDefault="009058A1" w:rsidP="00163385">
      <w:pPr>
        <w:pStyle w:val="00"/>
        <w:rPr>
          <w:rFonts w:ascii="Calibri"/>
          <w:noProof/>
          <w:color w:val="auto"/>
        </w:rPr>
      </w:pPr>
      <w:r w:rsidRPr="00A964FF">
        <w:rPr>
          <w:rFonts w:ascii="Calibri" w:hint="eastAsia"/>
          <w:noProof/>
          <w:color w:val="auto"/>
        </w:rPr>
        <w:t>本</w:t>
      </w:r>
      <w:r w:rsidRPr="00A964FF">
        <w:rPr>
          <w:rFonts w:ascii="Calibri"/>
          <w:noProof/>
          <w:color w:val="auto"/>
        </w:rPr>
        <w:t>项目运营期产生的污染物应采取相应的治理措施，达到国家相关标准要求。项目各污染物治理措施及治理效果见表</w:t>
      </w:r>
      <w:r w:rsidR="002C3863" w:rsidRPr="00A964FF">
        <w:rPr>
          <w:rFonts w:ascii="Calibri" w:hAnsi="Calibri" w:hint="eastAsia"/>
          <w:noProof/>
          <w:color w:val="auto"/>
        </w:rPr>
        <w:t>7</w:t>
      </w:r>
      <w:r w:rsidRPr="00A964FF">
        <w:rPr>
          <w:rFonts w:ascii="Calibri" w:hAnsi="Calibri" w:hint="eastAsia"/>
          <w:noProof/>
          <w:color w:val="auto"/>
        </w:rPr>
        <w:t>.1</w:t>
      </w:r>
      <w:r w:rsidRPr="00A964FF">
        <w:rPr>
          <w:rFonts w:ascii="Calibri" w:hAnsi="Calibri"/>
          <w:noProof/>
          <w:color w:val="auto"/>
        </w:rPr>
        <w:t>-</w:t>
      </w:r>
      <w:r w:rsidR="00AA575B" w:rsidRPr="00A964FF">
        <w:rPr>
          <w:rFonts w:ascii="Calibri" w:hAnsi="Calibri" w:hint="eastAsia"/>
          <w:noProof/>
          <w:color w:val="auto"/>
        </w:rPr>
        <w:t>8</w:t>
      </w:r>
      <w:r w:rsidRPr="00A964FF">
        <w:rPr>
          <w:rFonts w:ascii="Calibri"/>
          <w:noProof/>
          <w:color w:val="auto"/>
        </w:rPr>
        <w:t>。</w:t>
      </w:r>
    </w:p>
    <w:p w14:paraId="310D63D5" w14:textId="77777777" w:rsidR="00633D32" w:rsidRDefault="00633D32" w:rsidP="00163385">
      <w:pPr>
        <w:widowControl/>
        <w:spacing w:line="520" w:lineRule="exact"/>
        <w:ind w:firstLineChars="200" w:firstLine="480"/>
        <w:rPr>
          <w:rFonts w:ascii="Calibri" w:eastAsia="黑体" w:hAnsi="Calibri"/>
          <w:noProof/>
          <w:color w:val="auto"/>
          <w:sz w:val="24"/>
        </w:rPr>
      </w:pPr>
    </w:p>
    <w:p w14:paraId="69BBC1AF" w14:textId="77777777" w:rsidR="00633D32" w:rsidRDefault="00633D32" w:rsidP="00163385">
      <w:pPr>
        <w:widowControl/>
        <w:spacing w:line="520" w:lineRule="exact"/>
        <w:ind w:firstLineChars="200" w:firstLine="480"/>
        <w:rPr>
          <w:rFonts w:ascii="Calibri" w:eastAsia="黑体" w:hAnsi="Calibri"/>
          <w:noProof/>
          <w:color w:val="auto"/>
          <w:sz w:val="24"/>
        </w:rPr>
      </w:pPr>
    </w:p>
    <w:p w14:paraId="63025893" w14:textId="77777777" w:rsidR="00633D32" w:rsidRDefault="00633D32" w:rsidP="00163385">
      <w:pPr>
        <w:widowControl/>
        <w:spacing w:line="520" w:lineRule="exact"/>
        <w:ind w:firstLineChars="200" w:firstLine="480"/>
        <w:rPr>
          <w:rFonts w:ascii="Calibri" w:eastAsia="黑体" w:hAnsi="Calibri"/>
          <w:noProof/>
          <w:color w:val="auto"/>
          <w:sz w:val="24"/>
        </w:rPr>
      </w:pPr>
    </w:p>
    <w:p w14:paraId="6C0CDEDC" w14:textId="77777777" w:rsidR="009058A1" w:rsidRDefault="009058A1" w:rsidP="00163385">
      <w:pPr>
        <w:widowControl/>
        <w:spacing w:line="520" w:lineRule="exact"/>
        <w:ind w:firstLineChars="200" w:firstLine="480"/>
        <w:rPr>
          <w:rFonts w:ascii="Calibri" w:eastAsia="黑体" w:hAnsi="Calibri"/>
          <w:noProof/>
          <w:color w:val="auto"/>
          <w:sz w:val="24"/>
        </w:rPr>
      </w:pPr>
      <w:r w:rsidRPr="00163385">
        <w:rPr>
          <w:rFonts w:ascii="Calibri" w:eastAsia="黑体" w:hAnsi="Calibri"/>
          <w:noProof/>
          <w:color w:val="auto"/>
          <w:sz w:val="24"/>
        </w:rPr>
        <w:lastRenderedPageBreak/>
        <w:t>表</w:t>
      </w:r>
      <w:r w:rsidR="002C3863" w:rsidRPr="00163385">
        <w:rPr>
          <w:rFonts w:ascii="Calibri" w:eastAsia="黑体" w:hAnsi="Calibri" w:hint="eastAsia"/>
          <w:noProof/>
          <w:color w:val="auto"/>
          <w:sz w:val="24"/>
        </w:rPr>
        <w:t>7</w:t>
      </w:r>
      <w:r w:rsidRPr="00163385">
        <w:rPr>
          <w:rFonts w:ascii="Calibri" w:eastAsia="黑体" w:hAnsi="Calibri" w:hint="eastAsia"/>
          <w:noProof/>
          <w:color w:val="auto"/>
          <w:sz w:val="24"/>
        </w:rPr>
        <w:t>.1</w:t>
      </w:r>
      <w:r w:rsidRPr="00163385">
        <w:rPr>
          <w:rFonts w:ascii="Calibri" w:eastAsia="黑体" w:hAnsi="Calibri"/>
          <w:noProof/>
          <w:color w:val="auto"/>
          <w:sz w:val="24"/>
        </w:rPr>
        <w:t>-</w:t>
      </w:r>
      <w:r w:rsidR="00AA575B" w:rsidRPr="00163385">
        <w:rPr>
          <w:rFonts w:ascii="Calibri" w:eastAsia="黑体" w:hAnsi="Calibri" w:hint="eastAsia"/>
          <w:noProof/>
          <w:color w:val="auto"/>
          <w:sz w:val="24"/>
        </w:rPr>
        <w:t>8</w:t>
      </w:r>
      <w:r w:rsidRPr="00163385">
        <w:rPr>
          <w:rFonts w:ascii="Calibri" w:eastAsia="黑体" w:hAnsi="Calibri"/>
          <w:noProof/>
          <w:color w:val="auto"/>
          <w:sz w:val="24"/>
        </w:rPr>
        <w:t xml:space="preserve">        </w:t>
      </w:r>
      <w:r w:rsidRPr="00163385">
        <w:rPr>
          <w:rFonts w:ascii="Calibri" w:eastAsia="黑体" w:hAnsi="Calibri" w:hint="eastAsia"/>
          <w:noProof/>
          <w:color w:val="auto"/>
          <w:sz w:val="24"/>
        </w:rPr>
        <w:t xml:space="preserve"> </w:t>
      </w:r>
      <w:r w:rsidRPr="00163385">
        <w:rPr>
          <w:rFonts w:ascii="Calibri" w:eastAsia="黑体" w:hAnsi="Calibri"/>
          <w:noProof/>
          <w:color w:val="auto"/>
          <w:sz w:val="24"/>
        </w:rPr>
        <w:t xml:space="preserve">    </w:t>
      </w:r>
      <w:r w:rsidRPr="00163385">
        <w:rPr>
          <w:rFonts w:ascii="Calibri" w:eastAsia="黑体" w:hAnsi="Calibri"/>
          <w:noProof/>
          <w:color w:val="auto"/>
          <w:sz w:val="24"/>
        </w:rPr>
        <w:t>运营期主要污染物治理措施及治理效果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1"/>
        <w:gridCol w:w="1342"/>
        <w:gridCol w:w="2526"/>
        <w:gridCol w:w="562"/>
        <w:gridCol w:w="3113"/>
        <w:gridCol w:w="646"/>
      </w:tblGrid>
      <w:tr w:rsidR="007E575F" w:rsidRPr="00A964FF" w14:paraId="3CD57B10" w14:textId="77777777" w:rsidTr="0002141E">
        <w:trPr>
          <w:trHeight w:val="340"/>
          <w:jc w:val="center"/>
        </w:trPr>
        <w:tc>
          <w:tcPr>
            <w:tcW w:w="294" w:type="pct"/>
            <w:tcMar>
              <w:top w:w="28" w:type="dxa"/>
              <w:left w:w="28" w:type="dxa"/>
              <w:bottom w:w="28" w:type="dxa"/>
              <w:right w:w="28" w:type="dxa"/>
            </w:tcMar>
            <w:vAlign w:val="center"/>
          </w:tcPr>
          <w:p w14:paraId="44CE877F" w14:textId="77777777" w:rsidR="007E575F" w:rsidRPr="00A964FF" w:rsidRDefault="007E575F" w:rsidP="0002141E">
            <w:pPr>
              <w:jc w:val="center"/>
              <w:rPr>
                <w:rFonts w:ascii="Calibri" w:hAnsi="Calibri"/>
                <w:color w:val="auto"/>
                <w:szCs w:val="21"/>
              </w:rPr>
            </w:pPr>
            <w:r w:rsidRPr="00A964FF">
              <w:rPr>
                <w:rFonts w:ascii="Calibri" w:hAnsi="宋体"/>
                <w:color w:val="auto"/>
                <w:szCs w:val="21"/>
              </w:rPr>
              <w:t>项目</w:t>
            </w:r>
          </w:p>
        </w:tc>
        <w:tc>
          <w:tcPr>
            <w:tcW w:w="771" w:type="pct"/>
            <w:tcMar>
              <w:top w:w="28" w:type="dxa"/>
              <w:left w:w="28" w:type="dxa"/>
              <w:bottom w:w="28" w:type="dxa"/>
              <w:right w:w="28" w:type="dxa"/>
            </w:tcMar>
            <w:vAlign w:val="center"/>
          </w:tcPr>
          <w:p w14:paraId="4230EA6E" w14:textId="77777777" w:rsidR="007E575F" w:rsidRPr="00A964FF" w:rsidRDefault="007E575F" w:rsidP="0002141E">
            <w:pPr>
              <w:jc w:val="center"/>
              <w:rPr>
                <w:rFonts w:ascii="Calibri" w:hAnsi="Calibri"/>
                <w:color w:val="auto"/>
                <w:szCs w:val="21"/>
              </w:rPr>
            </w:pPr>
            <w:r w:rsidRPr="00A964FF">
              <w:rPr>
                <w:rFonts w:ascii="Calibri" w:hAnsi="宋体"/>
                <w:color w:val="auto"/>
                <w:szCs w:val="21"/>
              </w:rPr>
              <w:t>污染源</w:t>
            </w:r>
          </w:p>
        </w:tc>
        <w:tc>
          <w:tcPr>
            <w:tcW w:w="1452" w:type="pct"/>
            <w:tcMar>
              <w:top w:w="28" w:type="dxa"/>
              <w:left w:w="28" w:type="dxa"/>
              <w:bottom w:w="28" w:type="dxa"/>
              <w:right w:w="28" w:type="dxa"/>
            </w:tcMar>
            <w:vAlign w:val="center"/>
          </w:tcPr>
          <w:p w14:paraId="699E48E3" w14:textId="77777777" w:rsidR="007E575F" w:rsidRPr="00A964FF" w:rsidRDefault="007E575F" w:rsidP="0002141E">
            <w:pPr>
              <w:jc w:val="center"/>
              <w:rPr>
                <w:rFonts w:ascii="Calibri" w:hAnsi="Calibri"/>
                <w:color w:val="auto"/>
                <w:szCs w:val="21"/>
              </w:rPr>
            </w:pPr>
            <w:r w:rsidRPr="00A964FF">
              <w:rPr>
                <w:rFonts w:ascii="Calibri" w:hAnsi="宋体"/>
                <w:color w:val="auto"/>
                <w:szCs w:val="21"/>
              </w:rPr>
              <w:t>采取的治理措施</w:t>
            </w:r>
          </w:p>
        </w:tc>
        <w:tc>
          <w:tcPr>
            <w:tcW w:w="323" w:type="pct"/>
            <w:tcBorders>
              <w:bottom w:val="single" w:sz="4" w:space="0" w:color="auto"/>
            </w:tcBorders>
            <w:tcMar>
              <w:top w:w="28" w:type="dxa"/>
              <w:left w:w="28" w:type="dxa"/>
              <w:bottom w:w="28" w:type="dxa"/>
              <w:right w:w="28" w:type="dxa"/>
            </w:tcMar>
            <w:vAlign w:val="center"/>
          </w:tcPr>
          <w:p w14:paraId="785F1EE1" w14:textId="77777777" w:rsidR="007E575F" w:rsidRPr="00A964FF" w:rsidRDefault="007E575F" w:rsidP="0002141E">
            <w:pPr>
              <w:jc w:val="center"/>
              <w:rPr>
                <w:rFonts w:ascii="Calibri" w:hAnsi="Calibri"/>
                <w:color w:val="auto"/>
                <w:szCs w:val="21"/>
              </w:rPr>
            </w:pPr>
            <w:r w:rsidRPr="00A964FF">
              <w:rPr>
                <w:rFonts w:ascii="Calibri" w:hAnsi="宋体"/>
                <w:color w:val="auto"/>
                <w:szCs w:val="21"/>
              </w:rPr>
              <w:t>数量</w:t>
            </w:r>
          </w:p>
        </w:tc>
        <w:tc>
          <w:tcPr>
            <w:tcW w:w="1789" w:type="pct"/>
            <w:tcBorders>
              <w:bottom w:val="single" w:sz="4" w:space="0" w:color="auto"/>
            </w:tcBorders>
            <w:tcMar>
              <w:top w:w="28" w:type="dxa"/>
              <w:left w:w="28" w:type="dxa"/>
              <w:bottom w:w="28" w:type="dxa"/>
              <w:right w:w="28" w:type="dxa"/>
            </w:tcMar>
            <w:vAlign w:val="center"/>
          </w:tcPr>
          <w:p w14:paraId="74308596" w14:textId="77777777" w:rsidR="007E575F" w:rsidRPr="00A964FF" w:rsidRDefault="007E575F" w:rsidP="0002141E">
            <w:pPr>
              <w:jc w:val="center"/>
              <w:rPr>
                <w:rFonts w:ascii="Calibri" w:hAnsi="宋体"/>
                <w:color w:val="auto"/>
                <w:szCs w:val="21"/>
              </w:rPr>
            </w:pPr>
            <w:r w:rsidRPr="00A964FF">
              <w:rPr>
                <w:rFonts w:ascii="Calibri" w:hAnsi="宋体"/>
                <w:color w:val="auto"/>
                <w:szCs w:val="21"/>
              </w:rPr>
              <w:t>验收指标</w:t>
            </w:r>
          </w:p>
        </w:tc>
        <w:tc>
          <w:tcPr>
            <w:tcW w:w="371" w:type="pct"/>
            <w:tcBorders>
              <w:bottom w:val="single" w:sz="4" w:space="0" w:color="auto"/>
            </w:tcBorders>
            <w:tcMar>
              <w:top w:w="28" w:type="dxa"/>
              <w:left w:w="28" w:type="dxa"/>
              <w:bottom w:w="28" w:type="dxa"/>
              <w:right w:w="28" w:type="dxa"/>
            </w:tcMar>
            <w:vAlign w:val="center"/>
          </w:tcPr>
          <w:p w14:paraId="0481C268" w14:textId="77777777" w:rsidR="007E575F" w:rsidRPr="00A964FF" w:rsidRDefault="007E575F" w:rsidP="007E575F">
            <w:pPr>
              <w:jc w:val="center"/>
              <w:rPr>
                <w:rFonts w:ascii="Calibri" w:hAnsi="Calibri"/>
                <w:color w:val="auto"/>
                <w:szCs w:val="21"/>
              </w:rPr>
            </w:pPr>
            <w:r w:rsidRPr="00A964FF">
              <w:rPr>
                <w:rFonts w:ascii="Calibri" w:hAnsi="Calibri"/>
                <w:color w:val="auto"/>
                <w:szCs w:val="21"/>
              </w:rPr>
              <w:t>治理</w:t>
            </w:r>
          </w:p>
          <w:p w14:paraId="010BCD74" w14:textId="77777777" w:rsidR="007E575F" w:rsidRPr="00A964FF" w:rsidRDefault="007E575F" w:rsidP="007E575F">
            <w:pPr>
              <w:jc w:val="center"/>
              <w:rPr>
                <w:rFonts w:ascii="Calibri" w:hAnsi="宋体"/>
                <w:color w:val="auto"/>
                <w:szCs w:val="21"/>
              </w:rPr>
            </w:pPr>
            <w:r w:rsidRPr="00A964FF">
              <w:rPr>
                <w:rFonts w:ascii="Calibri" w:hAnsi="Calibri"/>
                <w:color w:val="auto"/>
                <w:szCs w:val="21"/>
              </w:rPr>
              <w:t>效果</w:t>
            </w:r>
          </w:p>
        </w:tc>
      </w:tr>
      <w:tr w:rsidR="007E575F" w:rsidRPr="00A964FF" w14:paraId="48448059" w14:textId="77777777" w:rsidTr="0002141E">
        <w:trPr>
          <w:trHeight w:val="904"/>
          <w:jc w:val="center"/>
        </w:trPr>
        <w:tc>
          <w:tcPr>
            <w:tcW w:w="294" w:type="pct"/>
            <w:vMerge w:val="restart"/>
            <w:tcMar>
              <w:top w:w="28" w:type="dxa"/>
              <w:left w:w="28" w:type="dxa"/>
              <w:bottom w:w="28" w:type="dxa"/>
              <w:right w:w="28" w:type="dxa"/>
            </w:tcMar>
            <w:vAlign w:val="center"/>
          </w:tcPr>
          <w:p w14:paraId="64DED6D3" w14:textId="77777777" w:rsidR="007E575F" w:rsidRPr="00A964FF" w:rsidRDefault="007E575F" w:rsidP="0002141E">
            <w:pPr>
              <w:jc w:val="center"/>
              <w:rPr>
                <w:rFonts w:ascii="Calibri" w:hAnsi="Calibri"/>
                <w:color w:val="auto"/>
                <w:szCs w:val="21"/>
              </w:rPr>
            </w:pPr>
            <w:r w:rsidRPr="00A964FF">
              <w:rPr>
                <w:rFonts w:ascii="Calibri" w:hAnsi="Calibri"/>
                <w:color w:val="auto"/>
                <w:szCs w:val="21"/>
              </w:rPr>
              <w:t>废</w:t>
            </w:r>
          </w:p>
          <w:p w14:paraId="53E442EE" w14:textId="77777777" w:rsidR="007E575F" w:rsidRPr="00A964FF" w:rsidRDefault="007E575F" w:rsidP="0002141E">
            <w:pPr>
              <w:jc w:val="center"/>
              <w:rPr>
                <w:rFonts w:ascii="Calibri" w:hAnsi="Calibri"/>
                <w:color w:val="auto"/>
                <w:szCs w:val="21"/>
              </w:rPr>
            </w:pPr>
            <w:r w:rsidRPr="00A964FF">
              <w:rPr>
                <w:rFonts w:ascii="Calibri" w:hAnsi="Calibri"/>
                <w:color w:val="auto"/>
                <w:szCs w:val="21"/>
              </w:rPr>
              <w:t>气</w:t>
            </w:r>
          </w:p>
        </w:tc>
        <w:tc>
          <w:tcPr>
            <w:tcW w:w="771" w:type="pct"/>
            <w:tcMar>
              <w:top w:w="28" w:type="dxa"/>
              <w:left w:w="28" w:type="dxa"/>
              <w:bottom w:w="28" w:type="dxa"/>
              <w:right w:w="28" w:type="dxa"/>
            </w:tcMar>
            <w:vAlign w:val="center"/>
          </w:tcPr>
          <w:p w14:paraId="76E87BF9" w14:textId="77777777" w:rsidR="007E575F" w:rsidRPr="00A964FF" w:rsidRDefault="00A06A90" w:rsidP="0002141E">
            <w:pPr>
              <w:pStyle w:val="00"/>
              <w:spacing w:line="240" w:lineRule="auto"/>
              <w:ind w:firstLine="0"/>
              <w:jc w:val="center"/>
              <w:rPr>
                <w:rFonts w:ascii="黑体" w:eastAsia="黑体" w:hAnsi="黑体"/>
                <w:b/>
                <w:color w:val="auto"/>
                <w:sz w:val="21"/>
                <w:szCs w:val="21"/>
                <w:u w:val="single"/>
              </w:rPr>
            </w:pPr>
            <w:r w:rsidRPr="00A06A90">
              <w:rPr>
                <w:rFonts w:ascii="Calibri" w:hAnsi="Calibri" w:hint="eastAsia"/>
                <w:color w:val="auto"/>
                <w:sz w:val="21"/>
                <w:szCs w:val="21"/>
              </w:rPr>
              <w:t>聚合及聚合釜下料废气</w:t>
            </w:r>
          </w:p>
        </w:tc>
        <w:tc>
          <w:tcPr>
            <w:tcW w:w="1452" w:type="pct"/>
            <w:tcMar>
              <w:top w:w="28" w:type="dxa"/>
              <w:left w:w="28" w:type="dxa"/>
              <w:bottom w:w="28" w:type="dxa"/>
              <w:right w:w="28" w:type="dxa"/>
            </w:tcMar>
            <w:vAlign w:val="center"/>
          </w:tcPr>
          <w:p w14:paraId="4FE905A7" w14:textId="4BC0FDE4" w:rsidR="007E575F" w:rsidRPr="007E62BE" w:rsidRDefault="0075760C" w:rsidP="008C1537">
            <w:pPr>
              <w:pStyle w:val="00"/>
              <w:spacing w:line="240" w:lineRule="auto"/>
              <w:ind w:firstLine="0"/>
              <w:jc w:val="center"/>
              <w:rPr>
                <w:rFonts w:ascii="Calibri" w:hAnsi="Calibri"/>
                <w:b/>
                <w:color w:val="auto"/>
                <w:sz w:val="21"/>
                <w:szCs w:val="21"/>
                <w:u w:val="single"/>
              </w:rPr>
            </w:pPr>
            <w:r w:rsidRPr="007E62BE">
              <w:rPr>
                <w:rFonts w:ascii="Calibri" w:hAnsi="Calibri" w:hint="eastAsia"/>
                <w:b/>
                <w:color w:val="auto"/>
                <w:sz w:val="21"/>
                <w:szCs w:val="21"/>
                <w:u w:val="single"/>
              </w:rPr>
              <w:t>水喷淋</w:t>
            </w:r>
            <w:r w:rsidRPr="007E62BE">
              <w:rPr>
                <w:rFonts w:ascii="Calibri" w:hAnsi="Calibri" w:hint="eastAsia"/>
                <w:b/>
                <w:color w:val="auto"/>
                <w:sz w:val="21"/>
                <w:szCs w:val="21"/>
                <w:u w:val="single"/>
              </w:rPr>
              <w:t>+</w:t>
            </w:r>
            <w:r w:rsidRPr="007E62BE">
              <w:rPr>
                <w:rFonts w:ascii="Calibri" w:hAnsi="Calibri" w:hint="eastAsia"/>
                <w:b/>
                <w:color w:val="auto"/>
                <w:sz w:val="21"/>
                <w:szCs w:val="21"/>
                <w:u w:val="single"/>
              </w:rPr>
              <w:t>活性炭吸附装置</w:t>
            </w:r>
            <w:r w:rsidR="007E575F" w:rsidRPr="007E62BE">
              <w:rPr>
                <w:rFonts w:ascii="Calibri" w:hAnsi="Calibri" w:hint="eastAsia"/>
                <w:b/>
                <w:color w:val="auto"/>
                <w:sz w:val="21"/>
                <w:szCs w:val="21"/>
                <w:u w:val="single"/>
              </w:rPr>
              <w:t>+25</w:t>
            </w:r>
            <w:r w:rsidR="007E575F" w:rsidRPr="007E62BE">
              <w:rPr>
                <w:rFonts w:ascii="Calibri" w:hAnsi="Calibri"/>
                <w:b/>
                <w:color w:val="auto"/>
                <w:sz w:val="21"/>
                <w:szCs w:val="21"/>
                <w:u w:val="single"/>
              </w:rPr>
              <w:t>m</w:t>
            </w:r>
            <w:r w:rsidR="007E575F" w:rsidRPr="007E62BE">
              <w:rPr>
                <w:rFonts w:ascii="Calibri" w:hAnsi="Calibri"/>
                <w:b/>
                <w:color w:val="auto"/>
                <w:sz w:val="21"/>
                <w:szCs w:val="21"/>
                <w:u w:val="single"/>
              </w:rPr>
              <w:t>排</w:t>
            </w:r>
            <w:r w:rsidR="007E575F" w:rsidRPr="007E62BE">
              <w:rPr>
                <w:rFonts w:ascii="Calibri" w:hAnsi="Calibri" w:hint="eastAsia"/>
                <w:b/>
                <w:color w:val="auto"/>
                <w:sz w:val="21"/>
                <w:szCs w:val="21"/>
                <w:u w:val="single"/>
              </w:rPr>
              <w:t>气筒</w:t>
            </w:r>
          </w:p>
        </w:tc>
        <w:tc>
          <w:tcPr>
            <w:tcW w:w="323" w:type="pct"/>
            <w:tcMar>
              <w:top w:w="28" w:type="dxa"/>
              <w:left w:w="28" w:type="dxa"/>
              <w:bottom w:w="28" w:type="dxa"/>
              <w:right w:w="28" w:type="dxa"/>
            </w:tcMar>
            <w:vAlign w:val="center"/>
          </w:tcPr>
          <w:p w14:paraId="398ABDCC" w14:textId="77777777" w:rsidR="007E575F" w:rsidRPr="007E62BE" w:rsidRDefault="007E575F" w:rsidP="0002141E">
            <w:pPr>
              <w:pStyle w:val="00"/>
              <w:spacing w:line="240" w:lineRule="auto"/>
              <w:ind w:firstLine="0"/>
              <w:jc w:val="center"/>
              <w:rPr>
                <w:rFonts w:ascii="Calibri" w:hAnsi="Calibri"/>
                <w:b/>
                <w:bCs/>
                <w:color w:val="auto"/>
                <w:sz w:val="21"/>
                <w:szCs w:val="21"/>
                <w:u w:val="single"/>
              </w:rPr>
            </w:pPr>
            <w:r w:rsidRPr="007E62BE">
              <w:rPr>
                <w:rFonts w:ascii="Calibri" w:hAnsi="Calibri" w:hint="eastAsia"/>
                <w:b/>
                <w:bCs/>
                <w:color w:val="auto"/>
                <w:sz w:val="21"/>
                <w:szCs w:val="21"/>
                <w:u w:val="single"/>
              </w:rPr>
              <w:t>1</w:t>
            </w:r>
            <w:r w:rsidRPr="007E62BE">
              <w:rPr>
                <w:rFonts w:ascii="Calibri" w:hAnsi="Calibri" w:hint="eastAsia"/>
                <w:b/>
                <w:bCs/>
                <w:color w:val="auto"/>
                <w:sz w:val="21"/>
                <w:szCs w:val="21"/>
                <w:u w:val="single"/>
              </w:rPr>
              <w:t>套</w:t>
            </w:r>
          </w:p>
        </w:tc>
        <w:tc>
          <w:tcPr>
            <w:tcW w:w="1789" w:type="pct"/>
            <w:tcMar>
              <w:top w:w="28" w:type="dxa"/>
              <w:left w:w="28" w:type="dxa"/>
              <w:bottom w:w="28" w:type="dxa"/>
              <w:right w:w="28" w:type="dxa"/>
            </w:tcMar>
            <w:vAlign w:val="center"/>
          </w:tcPr>
          <w:p w14:paraId="1AA004B1" w14:textId="77777777" w:rsidR="007E575F" w:rsidRPr="007E62BE" w:rsidRDefault="007E575F" w:rsidP="0002141E">
            <w:pPr>
              <w:pStyle w:val="00"/>
              <w:ind w:firstLine="0"/>
              <w:rPr>
                <w:rFonts w:ascii="Calibri" w:hAnsi="Calibri"/>
                <w:b/>
                <w:bCs/>
                <w:color w:val="auto"/>
                <w:sz w:val="21"/>
                <w:szCs w:val="21"/>
                <w:u w:val="single"/>
              </w:rPr>
            </w:pPr>
            <w:r w:rsidRPr="007E62BE">
              <w:rPr>
                <w:rFonts w:ascii="Calibri" w:hAnsi="Calibri" w:hint="eastAsia"/>
                <w:b/>
                <w:bCs/>
                <w:color w:val="auto"/>
                <w:sz w:val="21"/>
                <w:szCs w:val="21"/>
                <w:u w:val="single"/>
              </w:rPr>
              <w:t>《合成树脂工业污染物排放标准》</w:t>
            </w:r>
          </w:p>
          <w:p w14:paraId="07E0BC04" w14:textId="77777777" w:rsidR="007E575F" w:rsidRPr="007E62BE" w:rsidRDefault="007E575F" w:rsidP="0002141E">
            <w:pPr>
              <w:pStyle w:val="00"/>
              <w:spacing w:line="240" w:lineRule="auto"/>
              <w:ind w:firstLine="0"/>
              <w:rPr>
                <w:rFonts w:ascii="Calibri" w:hAnsi="Calibri"/>
                <w:b/>
                <w:bCs/>
                <w:color w:val="auto"/>
                <w:sz w:val="21"/>
                <w:szCs w:val="21"/>
                <w:u w:val="single"/>
              </w:rPr>
            </w:pPr>
            <w:r w:rsidRPr="007E62BE">
              <w:rPr>
                <w:rFonts w:ascii="Calibri" w:hAnsi="Calibri" w:hint="eastAsia"/>
                <w:b/>
                <w:bCs/>
                <w:color w:val="auto"/>
                <w:sz w:val="21"/>
                <w:szCs w:val="21"/>
                <w:u w:val="single"/>
              </w:rPr>
              <w:t>（</w:t>
            </w:r>
            <w:r w:rsidRPr="007E62BE">
              <w:rPr>
                <w:rFonts w:ascii="Calibri" w:hAnsi="Calibri" w:hint="eastAsia"/>
                <w:b/>
                <w:bCs/>
                <w:color w:val="auto"/>
                <w:sz w:val="21"/>
                <w:szCs w:val="21"/>
                <w:u w:val="single"/>
              </w:rPr>
              <w:t>GB31572-2015</w:t>
            </w:r>
            <w:r w:rsidRPr="007E62BE">
              <w:rPr>
                <w:rFonts w:ascii="Calibri" w:hAnsi="Calibri" w:hint="eastAsia"/>
                <w:b/>
                <w:bCs/>
                <w:color w:val="auto"/>
                <w:sz w:val="21"/>
                <w:szCs w:val="21"/>
                <w:u w:val="single"/>
              </w:rPr>
              <w:t>）表</w:t>
            </w:r>
            <w:r w:rsidRPr="007E62BE">
              <w:rPr>
                <w:rFonts w:ascii="Calibri" w:hAnsi="Calibri" w:hint="eastAsia"/>
                <w:b/>
                <w:bCs/>
                <w:color w:val="auto"/>
                <w:sz w:val="21"/>
                <w:szCs w:val="21"/>
                <w:u w:val="single"/>
              </w:rPr>
              <w:t>4</w:t>
            </w:r>
            <w:r w:rsidRPr="007E62BE">
              <w:rPr>
                <w:rFonts w:ascii="Calibri" w:hAnsi="Calibri" w:hint="eastAsia"/>
                <w:b/>
                <w:bCs/>
                <w:color w:val="auto"/>
                <w:sz w:val="21"/>
                <w:szCs w:val="21"/>
                <w:u w:val="single"/>
              </w:rPr>
              <w:t>、表</w:t>
            </w:r>
            <w:r w:rsidRPr="007E62BE">
              <w:rPr>
                <w:rFonts w:ascii="Calibri" w:hAnsi="Calibri" w:hint="eastAsia"/>
                <w:b/>
                <w:bCs/>
                <w:color w:val="auto"/>
                <w:sz w:val="21"/>
                <w:szCs w:val="21"/>
                <w:u w:val="single"/>
              </w:rPr>
              <w:t>9</w:t>
            </w:r>
            <w:r w:rsidRPr="007E62BE">
              <w:rPr>
                <w:rFonts w:ascii="Calibri" w:hAnsi="Calibri" w:hint="eastAsia"/>
                <w:b/>
                <w:bCs/>
                <w:color w:val="auto"/>
                <w:sz w:val="21"/>
                <w:szCs w:val="21"/>
                <w:u w:val="single"/>
              </w:rPr>
              <w:t>中标准及《关于全省开展工业企业挥发性有机物专项治理工作中排放建议值的通知》（豫环攻坚办【</w:t>
            </w:r>
            <w:r w:rsidRPr="007E62BE">
              <w:rPr>
                <w:rFonts w:ascii="Calibri" w:hAnsi="Calibri" w:hint="eastAsia"/>
                <w:b/>
                <w:bCs/>
                <w:color w:val="auto"/>
                <w:sz w:val="21"/>
                <w:szCs w:val="21"/>
                <w:u w:val="single"/>
              </w:rPr>
              <w:t>2017</w:t>
            </w:r>
            <w:r w:rsidRPr="007E62BE">
              <w:rPr>
                <w:rFonts w:ascii="Calibri" w:hAnsi="Calibri" w:hint="eastAsia"/>
                <w:b/>
                <w:bCs/>
                <w:color w:val="auto"/>
                <w:sz w:val="21"/>
                <w:szCs w:val="21"/>
                <w:u w:val="single"/>
              </w:rPr>
              <w:t>】</w:t>
            </w:r>
            <w:r w:rsidRPr="007E62BE">
              <w:rPr>
                <w:rFonts w:ascii="Calibri" w:hAnsi="Calibri" w:hint="eastAsia"/>
                <w:b/>
                <w:bCs/>
                <w:color w:val="auto"/>
                <w:sz w:val="21"/>
                <w:szCs w:val="21"/>
                <w:u w:val="single"/>
              </w:rPr>
              <w:t>162</w:t>
            </w:r>
            <w:r w:rsidRPr="007E62BE">
              <w:rPr>
                <w:rFonts w:ascii="Calibri" w:hAnsi="Calibri" w:hint="eastAsia"/>
                <w:b/>
                <w:bCs/>
                <w:color w:val="auto"/>
                <w:sz w:val="21"/>
                <w:szCs w:val="21"/>
                <w:u w:val="single"/>
              </w:rPr>
              <w:t>号）</w:t>
            </w:r>
          </w:p>
        </w:tc>
        <w:tc>
          <w:tcPr>
            <w:tcW w:w="371" w:type="pct"/>
            <w:tcMar>
              <w:top w:w="28" w:type="dxa"/>
              <w:left w:w="28" w:type="dxa"/>
              <w:bottom w:w="28" w:type="dxa"/>
              <w:right w:w="28" w:type="dxa"/>
            </w:tcMar>
            <w:vAlign w:val="center"/>
          </w:tcPr>
          <w:p w14:paraId="5399A464" w14:textId="77777777" w:rsidR="007E575F" w:rsidRPr="001238C2" w:rsidRDefault="001238C2" w:rsidP="0002141E">
            <w:pPr>
              <w:pStyle w:val="00"/>
              <w:spacing w:line="240" w:lineRule="auto"/>
              <w:ind w:firstLine="0"/>
              <w:jc w:val="center"/>
              <w:rPr>
                <w:rFonts w:ascii="Calibri" w:hAnsi="Calibri"/>
                <w:color w:val="auto"/>
                <w:sz w:val="21"/>
                <w:szCs w:val="21"/>
              </w:rPr>
            </w:pPr>
            <w:r w:rsidRPr="003B2345">
              <w:rPr>
                <w:rFonts w:asciiTheme="minorEastAsia" w:eastAsiaTheme="minorEastAsia" w:hAnsiTheme="minorEastAsia" w:cstheme="minorHAnsi" w:hint="eastAsia"/>
                <w:color w:val="auto"/>
                <w:sz w:val="21"/>
                <w:szCs w:val="21"/>
              </w:rPr>
              <w:t>达标排放</w:t>
            </w:r>
          </w:p>
        </w:tc>
      </w:tr>
      <w:tr w:rsidR="007E575F" w:rsidRPr="00A964FF" w14:paraId="26F0192C" w14:textId="77777777" w:rsidTr="0002141E">
        <w:trPr>
          <w:jc w:val="center"/>
        </w:trPr>
        <w:tc>
          <w:tcPr>
            <w:tcW w:w="294" w:type="pct"/>
            <w:vMerge/>
            <w:tcMar>
              <w:top w:w="28" w:type="dxa"/>
              <w:left w:w="28" w:type="dxa"/>
              <w:bottom w:w="28" w:type="dxa"/>
              <w:right w:w="28" w:type="dxa"/>
            </w:tcMar>
            <w:vAlign w:val="center"/>
          </w:tcPr>
          <w:p w14:paraId="06FC9F04" w14:textId="77777777" w:rsidR="007E575F" w:rsidRPr="00A964FF" w:rsidRDefault="007E575F" w:rsidP="0002141E">
            <w:pPr>
              <w:jc w:val="center"/>
              <w:rPr>
                <w:rFonts w:ascii="Calibri" w:hAnsi="Calibri"/>
                <w:color w:val="auto"/>
                <w:szCs w:val="21"/>
              </w:rPr>
            </w:pPr>
          </w:p>
        </w:tc>
        <w:tc>
          <w:tcPr>
            <w:tcW w:w="771" w:type="pct"/>
            <w:tcMar>
              <w:top w:w="28" w:type="dxa"/>
              <w:left w:w="28" w:type="dxa"/>
              <w:bottom w:w="28" w:type="dxa"/>
              <w:right w:w="28" w:type="dxa"/>
            </w:tcMar>
            <w:vAlign w:val="center"/>
          </w:tcPr>
          <w:p w14:paraId="246D1746" w14:textId="77777777" w:rsidR="007E575F" w:rsidRPr="00A964FF" w:rsidRDefault="007E575F" w:rsidP="0002141E">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废水处理站</w:t>
            </w:r>
          </w:p>
        </w:tc>
        <w:tc>
          <w:tcPr>
            <w:tcW w:w="1452" w:type="pct"/>
            <w:tcMar>
              <w:top w:w="28" w:type="dxa"/>
              <w:left w:w="28" w:type="dxa"/>
              <w:bottom w:w="28" w:type="dxa"/>
              <w:right w:w="28" w:type="dxa"/>
            </w:tcMar>
            <w:vAlign w:val="center"/>
          </w:tcPr>
          <w:p w14:paraId="0822A276" w14:textId="77777777" w:rsidR="007E575F" w:rsidRPr="00A964FF" w:rsidRDefault="007E575F" w:rsidP="0002141E">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光氧催化</w:t>
            </w:r>
            <w:r w:rsidRPr="00A964FF">
              <w:rPr>
                <w:rFonts w:ascii="Calibri" w:hAnsi="Calibri" w:hint="eastAsia"/>
                <w:color w:val="auto"/>
                <w:sz w:val="21"/>
                <w:szCs w:val="21"/>
              </w:rPr>
              <w:t>+</w:t>
            </w:r>
            <w:r w:rsidRPr="00A964FF">
              <w:rPr>
                <w:rFonts w:ascii="Calibri" w:hAnsi="Calibri" w:hint="eastAsia"/>
                <w:color w:val="auto"/>
                <w:sz w:val="21"/>
                <w:szCs w:val="21"/>
              </w:rPr>
              <w:t>活性炭吸附装置</w:t>
            </w:r>
            <w:r w:rsidRPr="00A964FF">
              <w:rPr>
                <w:rFonts w:ascii="Calibri" w:hAnsi="Calibri" w:hint="eastAsia"/>
                <w:color w:val="auto"/>
                <w:sz w:val="21"/>
                <w:szCs w:val="21"/>
              </w:rPr>
              <w:t>+15m</w:t>
            </w:r>
            <w:r w:rsidRPr="00A964FF">
              <w:rPr>
                <w:rFonts w:ascii="Calibri" w:hAnsi="Calibri" w:hint="eastAsia"/>
                <w:color w:val="auto"/>
                <w:sz w:val="21"/>
                <w:szCs w:val="21"/>
              </w:rPr>
              <w:t>排气筒</w:t>
            </w:r>
          </w:p>
        </w:tc>
        <w:tc>
          <w:tcPr>
            <w:tcW w:w="323" w:type="pct"/>
            <w:tcMar>
              <w:top w:w="28" w:type="dxa"/>
              <w:left w:w="28" w:type="dxa"/>
              <w:bottom w:w="28" w:type="dxa"/>
              <w:right w:w="28" w:type="dxa"/>
            </w:tcMar>
            <w:vAlign w:val="center"/>
          </w:tcPr>
          <w:p w14:paraId="33BF4E07" w14:textId="77777777" w:rsidR="007E575F" w:rsidRPr="00A964FF" w:rsidRDefault="007E575F" w:rsidP="0002141E">
            <w:pPr>
              <w:jc w:val="center"/>
              <w:rPr>
                <w:rFonts w:ascii="Calibri"/>
                <w:color w:val="auto"/>
                <w:szCs w:val="21"/>
              </w:rPr>
            </w:pPr>
            <w:r w:rsidRPr="00A964FF">
              <w:rPr>
                <w:rFonts w:ascii="Calibri" w:hint="eastAsia"/>
                <w:color w:val="auto"/>
                <w:szCs w:val="21"/>
              </w:rPr>
              <w:t>1</w:t>
            </w:r>
            <w:r w:rsidRPr="00A964FF">
              <w:rPr>
                <w:rFonts w:ascii="Calibri" w:hint="eastAsia"/>
                <w:color w:val="auto"/>
                <w:szCs w:val="21"/>
              </w:rPr>
              <w:t>套</w:t>
            </w:r>
          </w:p>
        </w:tc>
        <w:tc>
          <w:tcPr>
            <w:tcW w:w="1789" w:type="pct"/>
            <w:tcMar>
              <w:top w:w="28" w:type="dxa"/>
              <w:left w:w="28" w:type="dxa"/>
              <w:bottom w:w="28" w:type="dxa"/>
              <w:right w:w="28" w:type="dxa"/>
            </w:tcMar>
            <w:vAlign w:val="center"/>
          </w:tcPr>
          <w:p w14:paraId="4D212F1F" w14:textId="77777777" w:rsidR="007E575F" w:rsidRPr="00A964FF" w:rsidRDefault="007E575F" w:rsidP="0002141E">
            <w:pPr>
              <w:jc w:val="center"/>
              <w:rPr>
                <w:rFonts w:ascii="Calibri"/>
                <w:color w:val="auto"/>
                <w:szCs w:val="21"/>
              </w:rPr>
            </w:pPr>
            <w:r w:rsidRPr="00D213C2">
              <w:rPr>
                <w:rFonts w:ascii="Calibri" w:hint="eastAsia"/>
                <w:color w:val="auto"/>
                <w:szCs w:val="21"/>
              </w:rPr>
              <w:t>《恶臭污染物排放标准》（</w:t>
            </w:r>
            <w:r w:rsidRPr="00D213C2">
              <w:rPr>
                <w:rFonts w:ascii="Calibri" w:hint="eastAsia"/>
                <w:color w:val="auto"/>
                <w:szCs w:val="21"/>
              </w:rPr>
              <w:t>GB14554-93</w:t>
            </w:r>
            <w:r w:rsidRPr="00D213C2">
              <w:rPr>
                <w:rFonts w:ascii="Calibri" w:hint="eastAsia"/>
                <w:color w:val="auto"/>
                <w:szCs w:val="21"/>
              </w:rPr>
              <w:t>）中二级标准</w:t>
            </w:r>
          </w:p>
        </w:tc>
        <w:tc>
          <w:tcPr>
            <w:tcW w:w="371" w:type="pct"/>
            <w:tcMar>
              <w:top w:w="28" w:type="dxa"/>
              <w:left w:w="28" w:type="dxa"/>
              <w:bottom w:w="28" w:type="dxa"/>
              <w:right w:w="28" w:type="dxa"/>
            </w:tcMar>
            <w:vAlign w:val="center"/>
          </w:tcPr>
          <w:p w14:paraId="0D19842B" w14:textId="77777777" w:rsidR="007E575F" w:rsidRPr="00A964FF" w:rsidRDefault="001238C2" w:rsidP="0002141E">
            <w:pPr>
              <w:pStyle w:val="00"/>
              <w:spacing w:line="240" w:lineRule="auto"/>
              <w:ind w:firstLine="0"/>
              <w:jc w:val="center"/>
              <w:rPr>
                <w:rFonts w:ascii="Calibri" w:hAnsi="Calibri"/>
                <w:color w:val="auto"/>
                <w:sz w:val="21"/>
                <w:szCs w:val="21"/>
              </w:rPr>
            </w:pPr>
            <w:r w:rsidRPr="003B2345">
              <w:rPr>
                <w:rFonts w:asciiTheme="minorEastAsia" w:eastAsiaTheme="minorEastAsia" w:hAnsiTheme="minorEastAsia" w:cstheme="minorHAnsi" w:hint="eastAsia"/>
                <w:color w:val="auto"/>
                <w:sz w:val="21"/>
                <w:szCs w:val="21"/>
              </w:rPr>
              <w:t>达标排放</w:t>
            </w:r>
          </w:p>
        </w:tc>
      </w:tr>
      <w:tr w:rsidR="007E575F" w:rsidRPr="00A964FF" w14:paraId="7BF0A087" w14:textId="77777777" w:rsidTr="0002141E">
        <w:trPr>
          <w:trHeight w:val="590"/>
          <w:jc w:val="center"/>
        </w:trPr>
        <w:tc>
          <w:tcPr>
            <w:tcW w:w="294" w:type="pct"/>
            <w:vMerge/>
            <w:tcMar>
              <w:top w:w="28" w:type="dxa"/>
              <w:left w:w="28" w:type="dxa"/>
              <w:bottom w:w="28" w:type="dxa"/>
              <w:right w:w="28" w:type="dxa"/>
            </w:tcMar>
            <w:vAlign w:val="center"/>
          </w:tcPr>
          <w:p w14:paraId="6402859F" w14:textId="77777777" w:rsidR="007E575F" w:rsidRPr="00A964FF" w:rsidRDefault="007E575F" w:rsidP="0002141E">
            <w:pPr>
              <w:jc w:val="center"/>
              <w:rPr>
                <w:rFonts w:ascii="Calibri" w:hAnsi="Calibri"/>
                <w:color w:val="auto"/>
                <w:szCs w:val="21"/>
              </w:rPr>
            </w:pPr>
          </w:p>
        </w:tc>
        <w:tc>
          <w:tcPr>
            <w:tcW w:w="771" w:type="pct"/>
            <w:tcMar>
              <w:top w:w="28" w:type="dxa"/>
              <w:left w:w="28" w:type="dxa"/>
              <w:bottom w:w="28" w:type="dxa"/>
              <w:right w:w="28" w:type="dxa"/>
            </w:tcMar>
            <w:vAlign w:val="center"/>
          </w:tcPr>
          <w:p w14:paraId="4FCD2065" w14:textId="77777777" w:rsidR="007E575F" w:rsidRPr="00A964FF" w:rsidRDefault="007E575F" w:rsidP="0002141E">
            <w:pPr>
              <w:pStyle w:val="00"/>
              <w:spacing w:line="240" w:lineRule="auto"/>
              <w:ind w:firstLine="0"/>
              <w:jc w:val="center"/>
              <w:rPr>
                <w:rFonts w:ascii="Calibri" w:hAnsi="Calibri"/>
                <w:color w:val="auto"/>
                <w:sz w:val="21"/>
                <w:szCs w:val="21"/>
              </w:rPr>
            </w:pPr>
            <w:r w:rsidRPr="00D213C2">
              <w:rPr>
                <w:rFonts w:ascii="Calibri" w:hAnsi="Calibri" w:hint="eastAsia"/>
                <w:color w:val="auto"/>
                <w:sz w:val="21"/>
                <w:szCs w:val="21"/>
              </w:rPr>
              <w:t>导热油炉废气</w:t>
            </w:r>
          </w:p>
        </w:tc>
        <w:tc>
          <w:tcPr>
            <w:tcW w:w="1452" w:type="pct"/>
            <w:tcMar>
              <w:top w:w="28" w:type="dxa"/>
              <w:left w:w="28" w:type="dxa"/>
              <w:bottom w:w="28" w:type="dxa"/>
              <w:right w:w="28" w:type="dxa"/>
            </w:tcMar>
            <w:vAlign w:val="center"/>
          </w:tcPr>
          <w:p w14:paraId="0B60914B" w14:textId="77777777" w:rsidR="007E575F" w:rsidRPr="00A964FF" w:rsidRDefault="007E575F" w:rsidP="0002141E">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低氮</w:t>
            </w:r>
            <w:r>
              <w:rPr>
                <w:rFonts w:ascii="Calibri" w:hAnsi="Calibri"/>
                <w:color w:val="auto"/>
                <w:sz w:val="21"/>
                <w:szCs w:val="21"/>
              </w:rPr>
              <w:t>燃烧装置</w:t>
            </w:r>
          </w:p>
        </w:tc>
        <w:tc>
          <w:tcPr>
            <w:tcW w:w="323" w:type="pct"/>
            <w:tcMar>
              <w:top w:w="28" w:type="dxa"/>
              <w:left w:w="28" w:type="dxa"/>
              <w:bottom w:w="28" w:type="dxa"/>
              <w:right w:w="28" w:type="dxa"/>
            </w:tcMar>
            <w:vAlign w:val="center"/>
          </w:tcPr>
          <w:p w14:paraId="12B2B27B" w14:textId="77777777" w:rsidR="007E575F" w:rsidRPr="00A964FF" w:rsidRDefault="007E575F" w:rsidP="0002141E">
            <w:pPr>
              <w:jc w:val="center"/>
              <w:rPr>
                <w:rFonts w:ascii="Calibri"/>
                <w:color w:val="auto"/>
                <w:szCs w:val="21"/>
              </w:rPr>
            </w:pPr>
            <w:r w:rsidRPr="00D213C2">
              <w:rPr>
                <w:rFonts w:ascii="Calibri" w:hint="eastAsia"/>
                <w:color w:val="auto"/>
                <w:szCs w:val="21"/>
              </w:rPr>
              <w:t>1</w:t>
            </w:r>
            <w:r w:rsidRPr="00D213C2">
              <w:rPr>
                <w:rFonts w:ascii="Calibri" w:hint="eastAsia"/>
                <w:color w:val="auto"/>
                <w:szCs w:val="21"/>
              </w:rPr>
              <w:t>套</w:t>
            </w:r>
          </w:p>
        </w:tc>
        <w:tc>
          <w:tcPr>
            <w:tcW w:w="1789" w:type="pct"/>
            <w:tcMar>
              <w:top w:w="28" w:type="dxa"/>
              <w:left w:w="28" w:type="dxa"/>
              <w:bottom w:w="28" w:type="dxa"/>
              <w:right w:w="28" w:type="dxa"/>
            </w:tcMar>
            <w:vAlign w:val="center"/>
          </w:tcPr>
          <w:p w14:paraId="6C75D00E" w14:textId="77777777" w:rsidR="007E575F" w:rsidRPr="00A964FF" w:rsidRDefault="007E575F" w:rsidP="0002141E">
            <w:pPr>
              <w:jc w:val="center"/>
              <w:rPr>
                <w:rFonts w:ascii="Calibri"/>
                <w:color w:val="auto"/>
                <w:szCs w:val="21"/>
              </w:rPr>
            </w:pPr>
            <w:r w:rsidRPr="00D213C2">
              <w:rPr>
                <w:rFonts w:ascii="Calibri" w:hint="eastAsia"/>
                <w:color w:val="auto"/>
                <w:szCs w:val="21"/>
              </w:rPr>
              <w:t>《锅炉大气污染物排放标准》（</w:t>
            </w:r>
            <w:r w:rsidRPr="00D213C2">
              <w:rPr>
                <w:rFonts w:ascii="Calibri" w:hint="eastAsia"/>
                <w:color w:val="auto"/>
                <w:szCs w:val="21"/>
              </w:rPr>
              <w:t>DB41/2089-2021</w:t>
            </w:r>
            <w:r w:rsidRPr="00D213C2">
              <w:rPr>
                <w:rFonts w:ascii="Calibri" w:hint="eastAsia"/>
                <w:color w:val="auto"/>
                <w:szCs w:val="21"/>
              </w:rPr>
              <w:t>）</w:t>
            </w:r>
          </w:p>
        </w:tc>
        <w:tc>
          <w:tcPr>
            <w:tcW w:w="371" w:type="pct"/>
            <w:tcMar>
              <w:top w:w="28" w:type="dxa"/>
              <w:left w:w="28" w:type="dxa"/>
              <w:bottom w:w="28" w:type="dxa"/>
              <w:right w:w="28" w:type="dxa"/>
            </w:tcMar>
            <w:vAlign w:val="center"/>
          </w:tcPr>
          <w:p w14:paraId="7EBB8BD7" w14:textId="77777777" w:rsidR="007E575F" w:rsidRPr="00A964FF" w:rsidRDefault="001238C2" w:rsidP="0002141E">
            <w:pPr>
              <w:pStyle w:val="00"/>
              <w:spacing w:line="240" w:lineRule="auto"/>
              <w:ind w:firstLine="0"/>
              <w:rPr>
                <w:rFonts w:ascii="Calibri" w:hAnsi="Calibri"/>
                <w:color w:val="auto"/>
                <w:sz w:val="21"/>
                <w:szCs w:val="21"/>
              </w:rPr>
            </w:pPr>
            <w:r w:rsidRPr="003B2345">
              <w:rPr>
                <w:rFonts w:asciiTheme="minorEastAsia" w:eastAsiaTheme="minorEastAsia" w:hAnsiTheme="minorEastAsia" w:cstheme="minorHAnsi" w:hint="eastAsia"/>
                <w:color w:val="auto"/>
                <w:sz w:val="21"/>
                <w:szCs w:val="21"/>
              </w:rPr>
              <w:t>达标排放</w:t>
            </w:r>
          </w:p>
        </w:tc>
      </w:tr>
      <w:tr w:rsidR="007E575F" w:rsidRPr="00A964FF" w14:paraId="3C9E4253" w14:textId="77777777" w:rsidTr="0002141E">
        <w:trPr>
          <w:trHeight w:val="340"/>
          <w:jc w:val="center"/>
        </w:trPr>
        <w:tc>
          <w:tcPr>
            <w:tcW w:w="294" w:type="pct"/>
            <w:vMerge/>
            <w:tcMar>
              <w:top w:w="28" w:type="dxa"/>
              <w:left w:w="28" w:type="dxa"/>
              <w:bottom w:w="28" w:type="dxa"/>
              <w:right w:w="28" w:type="dxa"/>
            </w:tcMar>
            <w:vAlign w:val="center"/>
          </w:tcPr>
          <w:p w14:paraId="594B4AC3" w14:textId="77777777" w:rsidR="007E575F" w:rsidRPr="00A964FF" w:rsidRDefault="007E575F" w:rsidP="0002141E">
            <w:pPr>
              <w:jc w:val="center"/>
              <w:rPr>
                <w:rFonts w:ascii="Calibri" w:hAnsi="Calibri"/>
                <w:color w:val="auto"/>
                <w:szCs w:val="21"/>
              </w:rPr>
            </w:pPr>
          </w:p>
        </w:tc>
        <w:tc>
          <w:tcPr>
            <w:tcW w:w="771" w:type="pct"/>
            <w:tcMar>
              <w:top w:w="28" w:type="dxa"/>
              <w:left w:w="28" w:type="dxa"/>
              <w:bottom w:w="28" w:type="dxa"/>
              <w:right w:w="28" w:type="dxa"/>
            </w:tcMar>
            <w:vAlign w:val="center"/>
          </w:tcPr>
          <w:p w14:paraId="387FEE16" w14:textId="77777777" w:rsidR="007E575F" w:rsidRPr="00A964FF" w:rsidRDefault="0092085C" w:rsidP="0002141E">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品控中心</w:t>
            </w:r>
          </w:p>
        </w:tc>
        <w:tc>
          <w:tcPr>
            <w:tcW w:w="1452" w:type="pct"/>
            <w:tcMar>
              <w:top w:w="28" w:type="dxa"/>
              <w:left w:w="28" w:type="dxa"/>
              <w:bottom w:w="28" w:type="dxa"/>
              <w:right w:w="28" w:type="dxa"/>
            </w:tcMar>
            <w:vAlign w:val="center"/>
          </w:tcPr>
          <w:p w14:paraId="1EDD9444" w14:textId="77777777" w:rsidR="007E575F" w:rsidRPr="00A964FF" w:rsidRDefault="007E575F" w:rsidP="0002141E">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通风厨收集排至活性炭吸附装置，高空排放</w:t>
            </w:r>
          </w:p>
        </w:tc>
        <w:tc>
          <w:tcPr>
            <w:tcW w:w="323" w:type="pct"/>
            <w:tcMar>
              <w:top w:w="28" w:type="dxa"/>
              <w:left w:w="28" w:type="dxa"/>
              <w:bottom w:w="28" w:type="dxa"/>
              <w:right w:w="28" w:type="dxa"/>
            </w:tcMar>
            <w:vAlign w:val="center"/>
          </w:tcPr>
          <w:p w14:paraId="358DB91D" w14:textId="77777777" w:rsidR="007E575F" w:rsidRPr="00A964FF" w:rsidRDefault="007E575F" w:rsidP="0002141E">
            <w:pPr>
              <w:jc w:val="center"/>
              <w:rPr>
                <w:rFonts w:ascii="Calibri"/>
                <w:color w:val="auto"/>
                <w:szCs w:val="21"/>
              </w:rPr>
            </w:pPr>
            <w:r w:rsidRPr="00A964FF">
              <w:rPr>
                <w:rFonts w:ascii="Calibri" w:hint="eastAsia"/>
                <w:color w:val="auto"/>
                <w:szCs w:val="21"/>
              </w:rPr>
              <w:t>1</w:t>
            </w:r>
            <w:r w:rsidRPr="00A964FF">
              <w:rPr>
                <w:rFonts w:ascii="Calibri" w:hint="eastAsia"/>
                <w:color w:val="auto"/>
                <w:szCs w:val="21"/>
              </w:rPr>
              <w:t>套</w:t>
            </w:r>
          </w:p>
        </w:tc>
        <w:tc>
          <w:tcPr>
            <w:tcW w:w="1789" w:type="pct"/>
            <w:tcMar>
              <w:top w:w="28" w:type="dxa"/>
              <w:left w:w="28" w:type="dxa"/>
              <w:bottom w:w="28" w:type="dxa"/>
              <w:right w:w="28" w:type="dxa"/>
            </w:tcMar>
            <w:vAlign w:val="center"/>
          </w:tcPr>
          <w:p w14:paraId="19036128" w14:textId="77777777" w:rsidR="007E575F" w:rsidRPr="00A964FF" w:rsidRDefault="007E575F" w:rsidP="0002141E">
            <w:pPr>
              <w:jc w:val="center"/>
              <w:rPr>
                <w:rFonts w:ascii="Calibri"/>
                <w:color w:val="auto"/>
                <w:szCs w:val="21"/>
              </w:rPr>
            </w:pPr>
            <w:r>
              <w:rPr>
                <w:rFonts w:ascii="Calibri" w:hint="eastAsia"/>
                <w:color w:val="auto"/>
                <w:szCs w:val="21"/>
              </w:rPr>
              <w:t>达标</w:t>
            </w:r>
            <w:r>
              <w:rPr>
                <w:rFonts w:ascii="Calibri"/>
                <w:color w:val="auto"/>
                <w:szCs w:val="21"/>
              </w:rPr>
              <w:t>排放</w:t>
            </w:r>
          </w:p>
        </w:tc>
        <w:tc>
          <w:tcPr>
            <w:tcW w:w="371" w:type="pct"/>
            <w:tcMar>
              <w:top w:w="28" w:type="dxa"/>
              <w:left w:w="28" w:type="dxa"/>
              <w:bottom w:w="28" w:type="dxa"/>
              <w:right w:w="28" w:type="dxa"/>
            </w:tcMar>
            <w:vAlign w:val="center"/>
          </w:tcPr>
          <w:p w14:paraId="31B30A48" w14:textId="77777777" w:rsidR="007E575F" w:rsidRPr="00A964FF" w:rsidRDefault="001238C2" w:rsidP="0002141E">
            <w:pPr>
              <w:pStyle w:val="00"/>
              <w:spacing w:line="240" w:lineRule="auto"/>
              <w:ind w:firstLine="0"/>
              <w:jc w:val="center"/>
              <w:rPr>
                <w:rFonts w:ascii="Calibri" w:hAnsi="Calibri"/>
                <w:color w:val="auto"/>
                <w:sz w:val="21"/>
                <w:szCs w:val="21"/>
              </w:rPr>
            </w:pPr>
            <w:r w:rsidRPr="003B2345">
              <w:rPr>
                <w:rFonts w:asciiTheme="minorEastAsia" w:eastAsiaTheme="minorEastAsia" w:hAnsiTheme="minorEastAsia" w:cstheme="minorHAnsi" w:hint="eastAsia"/>
                <w:color w:val="auto"/>
                <w:sz w:val="21"/>
                <w:szCs w:val="21"/>
              </w:rPr>
              <w:t>达标排放</w:t>
            </w:r>
          </w:p>
        </w:tc>
      </w:tr>
      <w:tr w:rsidR="007E575F" w:rsidRPr="00A964FF" w14:paraId="23058318" w14:textId="77777777" w:rsidTr="0002141E">
        <w:trPr>
          <w:trHeight w:val="340"/>
          <w:jc w:val="center"/>
        </w:trPr>
        <w:tc>
          <w:tcPr>
            <w:tcW w:w="294" w:type="pct"/>
            <w:vMerge/>
            <w:tcMar>
              <w:top w:w="28" w:type="dxa"/>
              <w:left w:w="28" w:type="dxa"/>
              <w:bottom w:w="28" w:type="dxa"/>
              <w:right w:w="28" w:type="dxa"/>
            </w:tcMar>
            <w:vAlign w:val="center"/>
          </w:tcPr>
          <w:p w14:paraId="1E633FA6" w14:textId="77777777" w:rsidR="007E575F" w:rsidRPr="00A964FF" w:rsidRDefault="007E575F" w:rsidP="0002141E">
            <w:pPr>
              <w:jc w:val="center"/>
              <w:rPr>
                <w:rFonts w:ascii="Calibri" w:hAnsi="Calibri"/>
                <w:color w:val="auto"/>
                <w:szCs w:val="21"/>
              </w:rPr>
            </w:pPr>
          </w:p>
        </w:tc>
        <w:tc>
          <w:tcPr>
            <w:tcW w:w="771" w:type="pct"/>
            <w:tcMar>
              <w:top w:w="28" w:type="dxa"/>
              <w:left w:w="28" w:type="dxa"/>
              <w:bottom w:w="28" w:type="dxa"/>
              <w:right w:w="28" w:type="dxa"/>
            </w:tcMar>
            <w:vAlign w:val="center"/>
          </w:tcPr>
          <w:p w14:paraId="608D8072" w14:textId="77777777" w:rsidR="007E575F" w:rsidRDefault="007E575F" w:rsidP="0002141E">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无组织废气</w:t>
            </w:r>
          </w:p>
        </w:tc>
        <w:tc>
          <w:tcPr>
            <w:tcW w:w="1452" w:type="pct"/>
            <w:tcMar>
              <w:top w:w="28" w:type="dxa"/>
              <w:left w:w="28" w:type="dxa"/>
              <w:bottom w:w="28" w:type="dxa"/>
              <w:right w:w="28" w:type="dxa"/>
            </w:tcMar>
            <w:vAlign w:val="center"/>
          </w:tcPr>
          <w:p w14:paraId="2F8577A5" w14:textId="77777777" w:rsidR="007E575F" w:rsidRDefault="007E575F" w:rsidP="0002141E">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生产装置密闭，选用密闭管道输送物料，开展泄漏检测与修复（</w:t>
            </w:r>
            <w:r>
              <w:rPr>
                <w:rFonts w:ascii="Calibri" w:hAnsi="Calibri" w:hint="eastAsia"/>
                <w:color w:val="auto"/>
                <w:sz w:val="21"/>
                <w:szCs w:val="21"/>
              </w:rPr>
              <w:t>LDAR</w:t>
            </w:r>
            <w:r>
              <w:rPr>
                <w:rFonts w:ascii="Calibri" w:hAnsi="Calibri" w:hint="eastAsia"/>
                <w:color w:val="auto"/>
                <w:sz w:val="21"/>
                <w:szCs w:val="21"/>
              </w:rPr>
              <w:t>）等</w:t>
            </w:r>
          </w:p>
        </w:tc>
        <w:tc>
          <w:tcPr>
            <w:tcW w:w="323" w:type="pct"/>
            <w:tcMar>
              <w:top w:w="28" w:type="dxa"/>
              <w:left w:w="28" w:type="dxa"/>
              <w:bottom w:w="28" w:type="dxa"/>
              <w:right w:w="28" w:type="dxa"/>
            </w:tcMar>
            <w:vAlign w:val="center"/>
          </w:tcPr>
          <w:p w14:paraId="2E4BD3CD" w14:textId="77777777" w:rsidR="007E575F" w:rsidRPr="002E118B" w:rsidRDefault="007E575F" w:rsidP="0002141E">
            <w:pPr>
              <w:jc w:val="center"/>
              <w:rPr>
                <w:rFonts w:ascii="Calibri"/>
                <w:color w:val="auto"/>
                <w:szCs w:val="21"/>
              </w:rPr>
            </w:pPr>
            <w:r>
              <w:rPr>
                <w:rFonts w:ascii="Calibri" w:hint="eastAsia"/>
                <w:color w:val="auto"/>
                <w:szCs w:val="21"/>
              </w:rPr>
              <w:t>/</w:t>
            </w:r>
          </w:p>
        </w:tc>
        <w:tc>
          <w:tcPr>
            <w:tcW w:w="1789" w:type="pct"/>
            <w:tcMar>
              <w:top w:w="28" w:type="dxa"/>
              <w:left w:w="28" w:type="dxa"/>
              <w:bottom w:w="28" w:type="dxa"/>
              <w:right w:w="28" w:type="dxa"/>
            </w:tcMar>
            <w:vAlign w:val="center"/>
          </w:tcPr>
          <w:p w14:paraId="2E0937AA" w14:textId="77777777" w:rsidR="007E575F" w:rsidRPr="00A964FF" w:rsidRDefault="007E575F" w:rsidP="0002141E">
            <w:pPr>
              <w:jc w:val="center"/>
              <w:rPr>
                <w:rFonts w:ascii="Calibri"/>
                <w:color w:val="auto"/>
                <w:szCs w:val="21"/>
              </w:rPr>
            </w:pPr>
            <w:r w:rsidRPr="00D213C2">
              <w:rPr>
                <w:rFonts w:ascii="Calibri" w:hint="eastAsia"/>
                <w:color w:val="auto"/>
                <w:szCs w:val="21"/>
              </w:rPr>
              <w:t>《挥发性有机物无组织排放控制标准》（</w:t>
            </w:r>
            <w:r w:rsidRPr="00D213C2">
              <w:rPr>
                <w:rFonts w:ascii="Calibri" w:hint="eastAsia"/>
                <w:color w:val="auto"/>
                <w:szCs w:val="21"/>
              </w:rPr>
              <w:t>GB37822-2019</w:t>
            </w:r>
            <w:r w:rsidRPr="00D213C2">
              <w:rPr>
                <w:rFonts w:ascii="Calibri" w:hint="eastAsia"/>
                <w:color w:val="auto"/>
                <w:szCs w:val="21"/>
              </w:rPr>
              <w:t>）</w:t>
            </w:r>
          </w:p>
        </w:tc>
        <w:tc>
          <w:tcPr>
            <w:tcW w:w="371" w:type="pct"/>
            <w:tcMar>
              <w:top w:w="28" w:type="dxa"/>
              <w:left w:w="28" w:type="dxa"/>
              <w:bottom w:w="28" w:type="dxa"/>
              <w:right w:w="28" w:type="dxa"/>
            </w:tcMar>
            <w:vAlign w:val="center"/>
          </w:tcPr>
          <w:p w14:paraId="32A94695" w14:textId="77777777" w:rsidR="007E575F" w:rsidRPr="00A964FF" w:rsidRDefault="001238C2" w:rsidP="0002141E">
            <w:pPr>
              <w:pStyle w:val="00"/>
              <w:spacing w:line="240" w:lineRule="auto"/>
              <w:ind w:firstLine="0"/>
              <w:jc w:val="center"/>
              <w:rPr>
                <w:rFonts w:ascii="Calibri" w:hAnsi="Calibri"/>
                <w:color w:val="auto"/>
                <w:sz w:val="21"/>
                <w:szCs w:val="21"/>
              </w:rPr>
            </w:pPr>
            <w:r w:rsidRPr="003B2345">
              <w:rPr>
                <w:rFonts w:asciiTheme="minorEastAsia" w:eastAsiaTheme="minorEastAsia" w:hAnsiTheme="minorEastAsia" w:cstheme="minorHAnsi" w:hint="eastAsia"/>
                <w:color w:val="auto"/>
                <w:sz w:val="21"/>
                <w:szCs w:val="21"/>
              </w:rPr>
              <w:t>达标排放</w:t>
            </w:r>
          </w:p>
        </w:tc>
      </w:tr>
      <w:tr w:rsidR="007E575F" w:rsidRPr="00A964FF" w14:paraId="50333E5B" w14:textId="77777777" w:rsidTr="0002141E">
        <w:trPr>
          <w:trHeight w:val="340"/>
          <w:jc w:val="center"/>
        </w:trPr>
        <w:tc>
          <w:tcPr>
            <w:tcW w:w="294" w:type="pct"/>
            <w:vMerge/>
            <w:tcMar>
              <w:top w:w="28" w:type="dxa"/>
              <w:left w:w="28" w:type="dxa"/>
              <w:bottom w:w="28" w:type="dxa"/>
              <w:right w:w="28" w:type="dxa"/>
            </w:tcMar>
            <w:vAlign w:val="center"/>
          </w:tcPr>
          <w:p w14:paraId="2582F5B4" w14:textId="77777777" w:rsidR="007E575F" w:rsidRPr="00A964FF" w:rsidRDefault="007E575F" w:rsidP="0002141E">
            <w:pPr>
              <w:jc w:val="center"/>
              <w:rPr>
                <w:rFonts w:ascii="Calibri" w:hAnsi="Calibri"/>
                <w:color w:val="auto"/>
                <w:szCs w:val="21"/>
              </w:rPr>
            </w:pPr>
          </w:p>
        </w:tc>
        <w:tc>
          <w:tcPr>
            <w:tcW w:w="771" w:type="pct"/>
            <w:tcMar>
              <w:top w:w="28" w:type="dxa"/>
              <w:left w:w="28" w:type="dxa"/>
              <w:bottom w:w="28" w:type="dxa"/>
              <w:right w:w="28" w:type="dxa"/>
            </w:tcMar>
            <w:vAlign w:val="center"/>
          </w:tcPr>
          <w:p w14:paraId="2C18C6E5" w14:textId="77777777" w:rsidR="007E575F" w:rsidRPr="00A964FF" w:rsidRDefault="007E575F" w:rsidP="0002141E">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职工食堂</w:t>
            </w:r>
          </w:p>
        </w:tc>
        <w:tc>
          <w:tcPr>
            <w:tcW w:w="1452" w:type="pct"/>
            <w:tcMar>
              <w:top w:w="28" w:type="dxa"/>
              <w:left w:w="28" w:type="dxa"/>
              <w:bottom w:w="28" w:type="dxa"/>
              <w:right w:w="28" w:type="dxa"/>
            </w:tcMar>
            <w:vAlign w:val="center"/>
          </w:tcPr>
          <w:p w14:paraId="4D930420" w14:textId="77777777" w:rsidR="007E575F" w:rsidRPr="00A964FF" w:rsidRDefault="007E575F" w:rsidP="0002141E">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安装油烟净化装置</w:t>
            </w:r>
          </w:p>
        </w:tc>
        <w:tc>
          <w:tcPr>
            <w:tcW w:w="323" w:type="pct"/>
            <w:tcMar>
              <w:top w:w="28" w:type="dxa"/>
              <w:left w:w="28" w:type="dxa"/>
              <w:bottom w:w="28" w:type="dxa"/>
              <w:right w:w="28" w:type="dxa"/>
            </w:tcMar>
            <w:vAlign w:val="center"/>
          </w:tcPr>
          <w:p w14:paraId="1C121DAA" w14:textId="77777777" w:rsidR="007E575F" w:rsidRPr="00A964FF" w:rsidRDefault="007E575F" w:rsidP="0002141E">
            <w:pPr>
              <w:jc w:val="center"/>
              <w:rPr>
                <w:rFonts w:ascii="Calibri"/>
                <w:color w:val="auto"/>
                <w:szCs w:val="21"/>
              </w:rPr>
            </w:pPr>
            <w:r w:rsidRPr="00A964FF">
              <w:rPr>
                <w:rFonts w:ascii="Calibri" w:hint="eastAsia"/>
                <w:color w:val="auto"/>
                <w:szCs w:val="21"/>
              </w:rPr>
              <w:t>1</w:t>
            </w:r>
            <w:r w:rsidRPr="00A964FF">
              <w:rPr>
                <w:rFonts w:ascii="Calibri" w:hint="eastAsia"/>
                <w:color w:val="auto"/>
                <w:szCs w:val="21"/>
              </w:rPr>
              <w:t>套</w:t>
            </w:r>
          </w:p>
        </w:tc>
        <w:tc>
          <w:tcPr>
            <w:tcW w:w="1789" w:type="pct"/>
            <w:tcMar>
              <w:top w:w="28" w:type="dxa"/>
              <w:left w:w="28" w:type="dxa"/>
              <w:bottom w:w="28" w:type="dxa"/>
              <w:right w:w="28" w:type="dxa"/>
            </w:tcMar>
            <w:vAlign w:val="center"/>
          </w:tcPr>
          <w:p w14:paraId="7E08B4A8" w14:textId="77777777" w:rsidR="007E575F" w:rsidRPr="00A964FF" w:rsidRDefault="007E575F" w:rsidP="0002141E">
            <w:pPr>
              <w:jc w:val="center"/>
              <w:rPr>
                <w:rFonts w:ascii="Calibri"/>
                <w:color w:val="auto"/>
                <w:szCs w:val="21"/>
              </w:rPr>
            </w:pPr>
            <w:r w:rsidRPr="00A964FF">
              <w:rPr>
                <w:rFonts w:ascii="Calibri" w:hint="eastAsia"/>
                <w:color w:val="auto"/>
                <w:szCs w:val="21"/>
              </w:rPr>
              <w:t>满足《餐饮业油烟污染物排放标准》（</w:t>
            </w:r>
            <w:r w:rsidRPr="00A964FF">
              <w:rPr>
                <w:rFonts w:ascii="Calibri" w:hint="eastAsia"/>
                <w:color w:val="auto"/>
                <w:szCs w:val="21"/>
              </w:rPr>
              <w:t>DB41/1604-2018</w:t>
            </w:r>
            <w:r w:rsidRPr="00A964FF">
              <w:rPr>
                <w:rFonts w:ascii="Calibri" w:hint="eastAsia"/>
                <w:color w:val="auto"/>
                <w:szCs w:val="21"/>
              </w:rPr>
              <w:t>）</w:t>
            </w:r>
          </w:p>
        </w:tc>
        <w:tc>
          <w:tcPr>
            <w:tcW w:w="371" w:type="pct"/>
            <w:tcMar>
              <w:top w:w="28" w:type="dxa"/>
              <w:left w:w="28" w:type="dxa"/>
              <w:bottom w:w="28" w:type="dxa"/>
              <w:right w:w="28" w:type="dxa"/>
            </w:tcMar>
            <w:vAlign w:val="center"/>
          </w:tcPr>
          <w:p w14:paraId="2F079030" w14:textId="77777777" w:rsidR="007E575F" w:rsidRPr="00A964FF" w:rsidRDefault="001238C2" w:rsidP="0002141E">
            <w:pPr>
              <w:pStyle w:val="00"/>
              <w:spacing w:line="240" w:lineRule="auto"/>
              <w:ind w:firstLine="0"/>
              <w:jc w:val="center"/>
              <w:rPr>
                <w:rFonts w:ascii="Calibri" w:hAnsi="Calibri"/>
                <w:color w:val="auto"/>
                <w:sz w:val="21"/>
                <w:szCs w:val="21"/>
              </w:rPr>
            </w:pPr>
            <w:r w:rsidRPr="003B2345">
              <w:rPr>
                <w:rFonts w:asciiTheme="minorEastAsia" w:eastAsiaTheme="minorEastAsia" w:hAnsiTheme="minorEastAsia" w:cstheme="minorHAnsi" w:hint="eastAsia"/>
                <w:color w:val="auto"/>
                <w:sz w:val="21"/>
                <w:szCs w:val="21"/>
              </w:rPr>
              <w:t>达标排放</w:t>
            </w:r>
          </w:p>
        </w:tc>
      </w:tr>
      <w:tr w:rsidR="007E575F" w:rsidRPr="00A964FF" w14:paraId="35C618A3" w14:textId="77777777" w:rsidTr="0002141E">
        <w:trPr>
          <w:trHeight w:val="340"/>
          <w:jc w:val="center"/>
        </w:trPr>
        <w:tc>
          <w:tcPr>
            <w:tcW w:w="294" w:type="pct"/>
            <w:vMerge w:val="restart"/>
            <w:tcMar>
              <w:top w:w="28" w:type="dxa"/>
              <w:left w:w="28" w:type="dxa"/>
              <w:bottom w:w="28" w:type="dxa"/>
              <w:right w:w="28" w:type="dxa"/>
            </w:tcMar>
            <w:vAlign w:val="center"/>
          </w:tcPr>
          <w:p w14:paraId="58EBF662" w14:textId="77777777" w:rsidR="007E575F" w:rsidRPr="00A964FF" w:rsidRDefault="007E575F" w:rsidP="0002141E">
            <w:pPr>
              <w:jc w:val="center"/>
              <w:rPr>
                <w:rFonts w:ascii="Calibri" w:hAnsi="Calibri"/>
                <w:color w:val="auto"/>
                <w:szCs w:val="21"/>
              </w:rPr>
            </w:pPr>
            <w:r w:rsidRPr="00A964FF">
              <w:rPr>
                <w:rFonts w:ascii="Calibri" w:hAnsi="Calibri"/>
                <w:color w:val="auto"/>
                <w:szCs w:val="21"/>
              </w:rPr>
              <w:t>废</w:t>
            </w:r>
          </w:p>
          <w:p w14:paraId="6F57F8D2" w14:textId="77777777" w:rsidR="007E575F" w:rsidRPr="00A964FF" w:rsidRDefault="007E575F" w:rsidP="0002141E">
            <w:pPr>
              <w:jc w:val="center"/>
              <w:rPr>
                <w:rFonts w:ascii="Calibri" w:hAnsi="Calibri"/>
                <w:color w:val="auto"/>
                <w:szCs w:val="21"/>
              </w:rPr>
            </w:pPr>
            <w:r w:rsidRPr="00A964FF">
              <w:rPr>
                <w:rFonts w:ascii="Calibri" w:hAnsi="Calibri"/>
                <w:color w:val="auto"/>
                <w:szCs w:val="21"/>
              </w:rPr>
              <w:t>水</w:t>
            </w:r>
          </w:p>
        </w:tc>
        <w:tc>
          <w:tcPr>
            <w:tcW w:w="771" w:type="pct"/>
            <w:tcMar>
              <w:top w:w="28" w:type="dxa"/>
              <w:left w:w="28" w:type="dxa"/>
              <w:bottom w:w="28" w:type="dxa"/>
              <w:right w:w="28" w:type="dxa"/>
            </w:tcMar>
            <w:vAlign w:val="center"/>
          </w:tcPr>
          <w:p w14:paraId="1CF18DB9" w14:textId="77777777" w:rsidR="007E575F" w:rsidRPr="00A964FF" w:rsidRDefault="007E575F" w:rsidP="0002141E">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生产生活废水</w:t>
            </w:r>
          </w:p>
        </w:tc>
        <w:tc>
          <w:tcPr>
            <w:tcW w:w="1452" w:type="pct"/>
            <w:tcMar>
              <w:top w:w="28" w:type="dxa"/>
              <w:left w:w="28" w:type="dxa"/>
              <w:bottom w:w="28" w:type="dxa"/>
              <w:right w:w="28" w:type="dxa"/>
            </w:tcMar>
            <w:vAlign w:val="center"/>
          </w:tcPr>
          <w:p w14:paraId="79D6A861" w14:textId="1C74DEBB" w:rsidR="007E575F" w:rsidRPr="00A964FF" w:rsidRDefault="007E575F" w:rsidP="008C1537">
            <w:pPr>
              <w:pStyle w:val="00"/>
              <w:spacing w:line="240" w:lineRule="auto"/>
              <w:ind w:firstLine="0"/>
              <w:jc w:val="center"/>
              <w:rPr>
                <w:rFonts w:ascii="Calibri" w:hAnsi="Calibri"/>
                <w:color w:val="auto"/>
                <w:sz w:val="21"/>
                <w:szCs w:val="21"/>
              </w:rPr>
            </w:pPr>
            <w:r w:rsidRPr="00A964FF">
              <w:rPr>
                <w:rFonts w:ascii="Calibri" w:hAnsi="Calibri" w:hint="eastAsia"/>
                <w:color w:val="auto"/>
                <w:sz w:val="21"/>
                <w:szCs w:val="21"/>
              </w:rPr>
              <w:t>采用调节池</w:t>
            </w:r>
            <w:r w:rsidRPr="00A964FF">
              <w:rPr>
                <w:rFonts w:ascii="Calibri" w:hAnsi="Calibri" w:hint="eastAsia"/>
                <w:color w:val="auto"/>
                <w:sz w:val="21"/>
                <w:szCs w:val="21"/>
              </w:rPr>
              <w:t>+</w:t>
            </w:r>
            <w:r w:rsidRPr="00D213C2">
              <w:rPr>
                <w:rFonts w:ascii="Calibri" w:hAnsi="Calibri" w:hint="eastAsia"/>
                <w:color w:val="auto"/>
                <w:sz w:val="21"/>
                <w:szCs w:val="21"/>
              </w:rPr>
              <w:t>水解酸化</w:t>
            </w:r>
            <w:r w:rsidRPr="00D213C2">
              <w:rPr>
                <w:rFonts w:ascii="Calibri" w:hAnsi="Calibri" w:hint="eastAsia"/>
                <w:color w:val="auto"/>
                <w:sz w:val="21"/>
                <w:szCs w:val="21"/>
              </w:rPr>
              <w:t>+A/O+</w:t>
            </w:r>
            <w:r w:rsidRPr="00D213C2">
              <w:rPr>
                <w:rFonts w:ascii="Calibri" w:hAnsi="Calibri" w:hint="eastAsia"/>
                <w:color w:val="auto"/>
                <w:sz w:val="21"/>
                <w:szCs w:val="21"/>
              </w:rPr>
              <w:t>混凝沉淀</w:t>
            </w:r>
            <w:r w:rsidRPr="00A964FF">
              <w:rPr>
                <w:rFonts w:ascii="Calibri" w:hAnsi="Calibri" w:hint="eastAsia"/>
                <w:color w:val="auto"/>
                <w:sz w:val="21"/>
                <w:szCs w:val="21"/>
              </w:rPr>
              <w:t>，设计规模</w:t>
            </w:r>
            <w:r w:rsidR="008C1537">
              <w:rPr>
                <w:rFonts w:ascii="Calibri" w:hAnsi="Calibri"/>
                <w:color w:val="auto"/>
                <w:sz w:val="21"/>
                <w:szCs w:val="21"/>
              </w:rPr>
              <w:t>100</w:t>
            </w:r>
            <w:r w:rsidRPr="00A964FF">
              <w:rPr>
                <w:rFonts w:ascii="Calibri" w:hAnsi="Calibri" w:hint="eastAsia"/>
                <w:color w:val="auto"/>
                <w:sz w:val="21"/>
                <w:szCs w:val="21"/>
              </w:rPr>
              <w:t>t/d</w:t>
            </w:r>
          </w:p>
        </w:tc>
        <w:tc>
          <w:tcPr>
            <w:tcW w:w="323" w:type="pct"/>
            <w:tcMar>
              <w:top w:w="28" w:type="dxa"/>
              <w:left w:w="28" w:type="dxa"/>
              <w:bottom w:w="28" w:type="dxa"/>
              <w:right w:w="28" w:type="dxa"/>
            </w:tcMar>
            <w:vAlign w:val="center"/>
          </w:tcPr>
          <w:p w14:paraId="3B067797" w14:textId="77777777" w:rsidR="007E575F" w:rsidRPr="00A964FF" w:rsidRDefault="007E575F" w:rsidP="0002141E">
            <w:pPr>
              <w:jc w:val="center"/>
              <w:rPr>
                <w:rFonts w:ascii="Calibri"/>
                <w:color w:val="auto"/>
                <w:szCs w:val="21"/>
              </w:rPr>
            </w:pPr>
            <w:r w:rsidRPr="00A964FF">
              <w:rPr>
                <w:rFonts w:ascii="Calibri" w:hint="eastAsia"/>
                <w:color w:val="auto"/>
                <w:szCs w:val="21"/>
              </w:rPr>
              <w:t>1</w:t>
            </w:r>
            <w:r w:rsidRPr="00A964FF">
              <w:rPr>
                <w:rFonts w:ascii="Calibri" w:hint="eastAsia"/>
                <w:color w:val="auto"/>
                <w:szCs w:val="21"/>
              </w:rPr>
              <w:t>座</w:t>
            </w:r>
          </w:p>
        </w:tc>
        <w:tc>
          <w:tcPr>
            <w:tcW w:w="1789" w:type="pct"/>
            <w:tcMar>
              <w:top w:w="28" w:type="dxa"/>
              <w:left w:w="28" w:type="dxa"/>
              <w:bottom w:w="28" w:type="dxa"/>
              <w:right w:w="28" w:type="dxa"/>
            </w:tcMar>
            <w:vAlign w:val="center"/>
          </w:tcPr>
          <w:p w14:paraId="0226BA7E" w14:textId="77777777" w:rsidR="007E575F" w:rsidRPr="00A964FF" w:rsidRDefault="00633D32" w:rsidP="0002141E">
            <w:pPr>
              <w:pStyle w:val="00"/>
              <w:spacing w:line="240" w:lineRule="auto"/>
              <w:ind w:firstLine="0"/>
              <w:jc w:val="center"/>
              <w:rPr>
                <w:rFonts w:ascii="Calibri" w:hAnsi="Calibri"/>
                <w:color w:val="auto"/>
                <w:sz w:val="21"/>
                <w:szCs w:val="21"/>
              </w:rPr>
            </w:pPr>
            <w:r w:rsidRPr="00362658">
              <w:rPr>
                <w:rFonts w:ascii="Calibri" w:hAnsi="Calibri" w:hint="eastAsia"/>
                <w:color w:val="auto"/>
                <w:sz w:val="21"/>
                <w:szCs w:val="21"/>
              </w:rPr>
              <w:t>《合成树脂工业污染物排放标准》（</w:t>
            </w:r>
            <w:r w:rsidRPr="00362658">
              <w:rPr>
                <w:rFonts w:ascii="Calibri" w:hAnsi="Calibri" w:hint="eastAsia"/>
                <w:color w:val="auto"/>
                <w:sz w:val="21"/>
                <w:szCs w:val="21"/>
              </w:rPr>
              <w:t>GB31571-2015</w:t>
            </w:r>
            <w:r w:rsidRPr="00362658">
              <w:rPr>
                <w:rFonts w:ascii="Calibri" w:hAnsi="Calibri" w:hint="eastAsia"/>
                <w:color w:val="auto"/>
                <w:sz w:val="21"/>
                <w:szCs w:val="21"/>
              </w:rPr>
              <w:t>）表</w:t>
            </w:r>
            <w:r w:rsidRPr="00362658">
              <w:rPr>
                <w:rFonts w:ascii="Calibri" w:hAnsi="Calibri" w:hint="eastAsia"/>
                <w:color w:val="auto"/>
                <w:sz w:val="21"/>
                <w:szCs w:val="21"/>
              </w:rPr>
              <w:t>1</w:t>
            </w:r>
            <w:r w:rsidRPr="00362658">
              <w:rPr>
                <w:rFonts w:ascii="Calibri" w:hAnsi="Calibri" w:hint="eastAsia"/>
                <w:color w:val="auto"/>
                <w:sz w:val="21"/>
                <w:szCs w:val="21"/>
              </w:rPr>
              <w:t>标间接排放标准、《化工行业水污染物间接排放标准》（</w:t>
            </w:r>
            <w:r w:rsidRPr="00362658">
              <w:rPr>
                <w:rFonts w:ascii="Calibri" w:hAnsi="Calibri" w:hint="eastAsia"/>
                <w:color w:val="auto"/>
                <w:sz w:val="21"/>
                <w:szCs w:val="21"/>
              </w:rPr>
              <w:t>DB41/1135-2016</w:t>
            </w:r>
            <w:r w:rsidRPr="00362658">
              <w:rPr>
                <w:rFonts w:ascii="Calibri" w:hAnsi="Calibri" w:hint="eastAsia"/>
                <w:color w:val="auto"/>
                <w:sz w:val="21"/>
                <w:szCs w:val="21"/>
              </w:rPr>
              <w:t>）和产业集聚区污水处理厂（平顶山第三污水处理厂）进水水质</w:t>
            </w:r>
          </w:p>
        </w:tc>
        <w:tc>
          <w:tcPr>
            <w:tcW w:w="371" w:type="pct"/>
            <w:tcMar>
              <w:top w:w="28" w:type="dxa"/>
              <w:left w:w="28" w:type="dxa"/>
              <w:bottom w:w="28" w:type="dxa"/>
              <w:right w:w="28" w:type="dxa"/>
            </w:tcMar>
            <w:vAlign w:val="center"/>
          </w:tcPr>
          <w:p w14:paraId="22CD3710" w14:textId="77777777" w:rsidR="007E575F" w:rsidRPr="00A964FF" w:rsidRDefault="001238C2" w:rsidP="0002141E">
            <w:pPr>
              <w:jc w:val="center"/>
              <w:rPr>
                <w:rFonts w:ascii="Calibri"/>
                <w:color w:val="auto"/>
                <w:szCs w:val="21"/>
              </w:rPr>
            </w:pPr>
            <w:r>
              <w:rPr>
                <w:rFonts w:ascii="Calibri" w:hint="eastAsia"/>
                <w:color w:val="auto"/>
                <w:szCs w:val="21"/>
              </w:rPr>
              <w:t>达标</w:t>
            </w:r>
            <w:r>
              <w:rPr>
                <w:rFonts w:ascii="Calibri"/>
                <w:color w:val="auto"/>
                <w:szCs w:val="21"/>
              </w:rPr>
              <w:t>排放</w:t>
            </w:r>
          </w:p>
        </w:tc>
      </w:tr>
      <w:tr w:rsidR="007E575F" w:rsidRPr="00A964FF" w14:paraId="6D4E66A1" w14:textId="77777777" w:rsidTr="0002141E">
        <w:trPr>
          <w:trHeight w:val="340"/>
          <w:jc w:val="center"/>
        </w:trPr>
        <w:tc>
          <w:tcPr>
            <w:tcW w:w="294" w:type="pct"/>
            <w:vMerge/>
            <w:tcMar>
              <w:top w:w="28" w:type="dxa"/>
              <w:left w:w="28" w:type="dxa"/>
              <w:bottom w:w="28" w:type="dxa"/>
              <w:right w:w="28" w:type="dxa"/>
            </w:tcMar>
            <w:vAlign w:val="center"/>
          </w:tcPr>
          <w:p w14:paraId="0BABFC0F" w14:textId="77777777" w:rsidR="007E575F" w:rsidRPr="00A964FF" w:rsidRDefault="007E575F" w:rsidP="0002141E">
            <w:pPr>
              <w:jc w:val="center"/>
              <w:rPr>
                <w:rFonts w:ascii="Calibri" w:hAnsi="Calibri"/>
                <w:color w:val="auto"/>
                <w:szCs w:val="21"/>
              </w:rPr>
            </w:pPr>
          </w:p>
        </w:tc>
        <w:tc>
          <w:tcPr>
            <w:tcW w:w="771" w:type="pct"/>
            <w:tcMar>
              <w:top w:w="28" w:type="dxa"/>
              <w:left w:w="28" w:type="dxa"/>
              <w:bottom w:w="28" w:type="dxa"/>
              <w:right w:w="28" w:type="dxa"/>
            </w:tcMar>
            <w:vAlign w:val="center"/>
          </w:tcPr>
          <w:p w14:paraId="5FF192EE" w14:textId="77777777" w:rsidR="007E575F" w:rsidRPr="00A964FF" w:rsidRDefault="007E575F" w:rsidP="0002141E">
            <w:pPr>
              <w:jc w:val="center"/>
              <w:rPr>
                <w:rFonts w:ascii="Calibri" w:hAnsi="Calibri"/>
                <w:color w:val="auto"/>
                <w:szCs w:val="21"/>
              </w:rPr>
            </w:pPr>
            <w:r w:rsidRPr="00A964FF">
              <w:rPr>
                <w:rFonts w:ascii="Calibri" w:hAnsi="Calibri" w:hint="eastAsia"/>
                <w:color w:val="auto"/>
                <w:szCs w:val="21"/>
              </w:rPr>
              <w:t>地下水和土壤</w:t>
            </w:r>
          </w:p>
          <w:p w14:paraId="519E993D" w14:textId="77777777" w:rsidR="007E575F" w:rsidRPr="00A964FF" w:rsidRDefault="007E575F" w:rsidP="0002141E">
            <w:pPr>
              <w:jc w:val="center"/>
              <w:rPr>
                <w:rFonts w:ascii="Calibri" w:hAnsi="Calibri"/>
                <w:color w:val="auto"/>
                <w:szCs w:val="21"/>
              </w:rPr>
            </w:pPr>
            <w:r w:rsidRPr="00A964FF">
              <w:rPr>
                <w:rFonts w:ascii="Calibri" w:hAnsi="Calibri" w:hint="eastAsia"/>
                <w:color w:val="auto"/>
                <w:szCs w:val="21"/>
              </w:rPr>
              <w:t>保护</w:t>
            </w:r>
          </w:p>
        </w:tc>
        <w:tc>
          <w:tcPr>
            <w:tcW w:w="1452" w:type="pct"/>
            <w:tcMar>
              <w:top w:w="28" w:type="dxa"/>
              <w:left w:w="28" w:type="dxa"/>
              <w:bottom w:w="28" w:type="dxa"/>
              <w:right w:w="28" w:type="dxa"/>
            </w:tcMar>
            <w:vAlign w:val="center"/>
          </w:tcPr>
          <w:p w14:paraId="4C699EC3" w14:textId="77777777" w:rsidR="007E575F" w:rsidRPr="00A964FF" w:rsidRDefault="00143EB3" w:rsidP="00143EB3">
            <w:pPr>
              <w:spacing w:line="240" w:lineRule="exact"/>
              <w:jc w:val="center"/>
              <w:rPr>
                <w:rFonts w:ascii="Calibri" w:hAnsi="Calibri"/>
                <w:bCs/>
                <w:color w:val="auto"/>
                <w:szCs w:val="21"/>
              </w:rPr>
            </w:pPr>
            <w:r>
              <w:rPr>
                <w:rFonts w:ascii="Calibri" w:hAnsi="Calibri"/>
                <w:bCs/>
                <w:color w:val="auto"/>
                <w:szCs w:val="21"/>
              </w:rPr>
              <w:t>分区防渗，简单防渗区一般地面硬化；一般防渗区等效黏土防渗</w:t>
            </w:r>
            <w:r w:rsidR="007E575F" w:rsidRPr="00A964FF">
              <w:rPr>
                <w:rFonts w:ascii="Calibri" w:hAnsi="Calibri"/>
                <w:bCs/>
                <w:color w:val="auto"/>
                <w:szCs w:val="21"/>
              </w:rPr>
              <w:t>Mb≥1.5m</w:t>
            </w:r>
            <w:r w:rsidR="007E575F" w:rsidRPr="00A964FF">
              <w:rPr>
                <w:rFonts w:ascii="Calibri" w:hAnsi="Calibri"/>
                <w:bCs/>
                <w:color w:val="auto"/>
                <w:szCs w:val="21"/>
              </w:rPr>
              <w:t>，</w:t>
            </w:r>
            <w:r w:rsidR="007E575F" w:rsidRPr="00A964FF">
              <w:rPr>
                <w:rFonts w:ascii="Calibri" w:hAnsi="Calibri"/>
                <w:bCs/>
                <w:color w:val="auto"/>
                <w:szCs w:val="21"/>
              </w:rPr>
              <w:t>K≤1×10</w:t>
            </w:r>
            <w:r w:rsidR="007E575F" w:rsidRPr="00A964FF">
              <w:rPr>
                <w:rFonts w:ascii="Calibri" w:hAnsi="Calibri"/>
                <w:bCs/>
                <w:color w:val="auto"/>
                <w:szCs w:val="21"/>
                <w:vertAlign w:val="superscript"/>
              </w:rPr>
              <w:t>-7</w:t>
            </w:r>
            <w:r w:rsidR="007E575F" w:rsidRPr="00A964FF">
              <w:rPr>
                <w:rFonts w:ascii="Calibri" w:hAnsi="Calibri"/>
                <w:color w:val="auto"/>
                <w:szCs w:val="21"/>
              </w:rPr>
              <w:t>cm/s</w:t>
            </w:r>
            <w:r w:rsidR="007E575F" w:rsidRPr="00A964FF">
              <w:rPr>
                <w:rFonts w:ascii="Calibri" w:hAnsi="Calibri" w:hint="eastAsia"/>
                <w:bCs/>
                <w:color w:val="auto"/>
                <w:szCs w:val="21"/>
              </w:rPr>
              <w:t>；</w:t>
            </w:r>
            <w:r w:rsidR="007E575F" w:rsidRPr="00A964FF">
              <w:rPr>
                <w:rFonts w:ascii="Calibri" w:hAnsi="Calibri"/>
                <w:bCs/>
                <w:color w:val="auto"/>
                <w:szCs w:val="21"/>
              </w:rPr>
              <w:t>并</w:t>
            </w:r>
            <w:r w:rsidR="007E575F" w:rsidRPr="00A964FF">
              <w:rPr>
                <w:rFonts w:ascii="Calibri" w:hAnsi="Calibri"/>
                <w:noProof/>
                <w:color w:val="auto"/>
              </w:rPr>
              <w:t>设置地下水</w:t>
            </w:r>
            <w:r w:rsidR="007E575F" w:rsidRPr="00A964FF">
              <w:rPr>
                <w:rFonts w:ascii="Calibri" w:hAnsi="Calibri"/>
                <w:color w:val="auto"/>
              </w:rPr>
              <w:t>跟踪监测井</w:t>
            </w:r>
          </w:p>
        </w:tc>
        <w:tc>
          <w:tcPr>
            <w:tcW w:w="323" w:type="pct"/>
            <w:tcMar>
              <w:top w:w="28" w:type="dxa"/>
              <w:left w:w="28" w:type="dxa"/>
              <w:bottom w:w="28" w:type="dxa"/>
              <w:right w:w="28" w:type="dxa"/>
            </w:tcMar>
            <w:vAlign w:val="center"/>
          </w:tcPr>
          <w:p w14:paraId="0AFC845F" w14:textId="77777777" w:rsidR="007E575F" w:rsidRPr="00A964FF" w:rsidRDefault="007E575F" w:rsidP="0002141E">
            <w:pPr>
              <w:spacing w:line="240" w:lineRule="exact"/>
              <w:jc w:val="center"/>
              <w:rPr>
                <w:rFonts w:ascii="Calibri" w:hAnsi="Calibri"/>
                <w:bCs/>
                <w:color w:val="auto"/>
                <w:szCs w:val="21"/>
              </w:rPr>
            </w:pPr>
            <w:r w:rsidRPr="00A964FF">
              <w:rPr>
                <w:rFonts w:ascii="Calibri" w:hAnsi="Calibri" w:hint="eastAsia"/>
                <w:bCs/>
                <w:color w:val="auto"/>
                <w:szCs w:val="21"/>
              </w:rPr>
              <w:t>/</w:t>
            </w:r>
          </w:p>
        </w:tc>
        <w:tc>
          <w:tcPr>
            <w:tcW w:w="1789" w:type="pct"/>
            <w:tcMar>
              <w:top w:w="28" w:type="dxa"/>
              <w:left w:w="28" w:type="dxa"/>
              <w:bottom w:w="28" w:type="dxa"/>
              <w:right w:w="28" w:type="dxa"/>
            </w:tcMar>
            <w:vAlign w:val="center"/>
          </w:tcPr>
          <w:p w14:paraId="146EE8B6" w14:textId="77777777" w:rsidR="007E575F" w:rsidRPr="00A964FF" w:rsidRDefault="007E575F" w:rsidP="0002141E">
            <w:pPr>
              <w:spacing w:line="240" w:lineRule="exact"/>
              <w:jc w:val="center"/>
              <w:rPr>
                <w:rFonts w:ascii="Calibri" w:hAnsi="Calibri"/>
                <w:bCs/>
                <w:color w:val="auto"/>
                <w:szCs w:val="21"/>
              </w:rPr>
            </w:pPr>
            <w:r w:rsidRPr="00A964FF">
              <w:rPr>
                <w:rFonts w:ascii="Calibri" w:hAnsi="Calibri" w:hint="eastAsia"/>
                <w:bCs/>
                <w:color w:val="auto"/>
                <w:szCs w:val="21"/>
              </w:rPr>
              <w:t>按照分区防控要求进行防渗设计施工，确保污染物不会渗入土壤污染地下水</w:t>
            </w:r>
          </w:p>
        </w:tc>
        <w:tc>
          <w:tcPr>
            <w:tcW w:w="371" w:type="pct"/>
            <w:tcMar>
              <w:top w:w="28" w:type="dxa"/>
              <w:left w:w="28" w:type="dxa"/>
              <w:bottom w:w="28" w:type="dxa"/>
              <w:right w:w="28" w:type="dxa"/>
            </w:tcMar>
            <w:vAlign w:val="center"/>
          </w:tcPr>
          <w:p w14:paraId="7DE24A6E" w14:textId="77777777" w:rsidR="007E575F" w:rsidRPr="00A964FF" w:rsidRDefault="001238C2" w:rsidP="0002141E">
            <w:pPr>
              <w:jc w:val="center"/>
              <w:rPr>
                <w:rFonts w:ascii="黑体" w:eastAsia="黑体" w:hAnsi="黑体"/>
                <w:b/>
                <w:color w:val="auto"/>
                <w:szCs w:val="21"/>
                <w:u w:val="single"/>
              </w:rPr>
            </w:pPr>
            <w:r w:rsidRPr="00A964FF">
              <w:rPr>
                <w:rFonts w:ascii="Calibri" w:hAnsi="宋体"/>
                <w:color w:val="auto"/>
                <w:szCs w:val="21"/>
              </w:rPr>
              <w:t>不得对地下水</w:t>
            </w:r>
            <w:r w:rsidRPr="00A964FF">
              <w:rPr>
                <w:rFonts w:ascii="Calibri" w:hAnsi="宋体" w:hint="eastAsia"/>
                <w:color w:val="auto"/>
                <w:szCs w:val="21"/>
              </w:rPr>
              <w:t>、土壤</w:t>
            </w:r>
            <w:r w:rsidRPr="00A964FF">
              <w:rPr>
                <w:rFonts w:ascii="Calibri" w:hAnsi="宋体"/>
                <w:color w:val="auto"/>
                <w:szCs w:val="21"/>
              </w:rPr>
              <w:t>造成影响</w:t>
            </w:r>
          </w:p>
        </w:tc>
      </w:tr>
      <w:tr w:rsidR="007E575F" w:rsidRPr="00A964FF" w14:paraId="22DDDF0E" w14:textId="77777777" w:rsidTr="0002141E">
        <w:trPr>
          <w:trHeight w:val="340"/>
          <w:jc w:val="center"/>
        </w:trPr>
        <w:tc>
          <w:tcPr>
            <w:tcW w:w="294" w:type="pct"/>
            <w:vMerge w:val="restart"/>
            <w:tcMar>
              <w:top w:w="28" w:type="dxa"/>
              <w:left w:w="28" w:type="dxa"/>
              <w:bottom w:w="28" w:type="dxa"/>
              <w:right w:w="28" w:type="dxa"/>
            </w:tcMar>
            <w:vAlign w:val="center"/>
          </w:tcPr>
          <w:p w14:paraId="73C41450" w14:textId="77777777" w:rsidR="007E575F" w:rsidRPr="00A964FF" w:rsidRDefault="007E575F" w:rsidP="0002141E">
            <w:pPr>
              <w:jc w:val="center"/>
              <w:rPr>
                <w:rFonts w:ascii="Calibri" w:hAnsi="Calibri"/>
                <w:color w:val="auto"/>
                <w:szCs w:val="21"/>
              </w:rPr>
            </w:pPr>
            <w:r w:rsidRPr="00A964FF">
              <w:rPr>
                <w:rFonts w:ascii="Calibri" w:hAnsi="Calibri"/>
                <w:color w:val="auto"/>
                <w:szCs w:val="21"/>
              </w:rPr>
              <w:t>固</w:t>
            </w:r>
          </w:p>
          <w:p w14:paraId="444C3B92" w14:textId="77777777" w:rsidR="007E575F" w:rsidRPr="00A964FF" w:rsidRDefault="007E575F" w:rsidP="0002141E">
            <w:pPr>
              <w:jc w:val="center"/>
              <w:rPr>
                <w:rFonts w:ascii="Calibri" w:hAnsi="Calibri"/>
                <w:color w:val="auto"/>
                <w:szCs w:val="21"/>
              </w:rPr>
            </w:pPr>
            <w:r w:rsidRPr="00A964FF">
              <w:rPr>
                <w:rFonts w:ascii="Calibri" w:hAnsi="Calibri"/>
                <w:color w:val="auto"/>
                <w:szCs w:val="21"/>
              </w:rPr>
              <w:t>废</w:t>
            </w:r>
          </w:p>
        </w:tc>
        <w:tc>
          <w:tcPr>
            <w:tcW w:w="771" w:type="pct"/>
            <w:shd w:val="clear" w:color="auto" w:fill="auto"/>
            <w:tcMar>
              <w:top w:w="28" w:type="dxa"/>
              <w:left w:w="28" w:type="dxa"/>
              <w:bottom w:w="28" w:type="dxa"/>
              <w:right w:w="28" w:type="dxa"/>
            </w:tcMar>
            <w:vAlign w:val="center"/>
          </w:tcPr>
          <w:p w14:paraId="3B962947" w14:textId="77777777" w:rsidR="007E575F" w:rsidRPr="00A964FF" w:rsidRDefault="007E575F" w:rsidP="0002141E">
            <w:pPr>
              <w:jc w:val="center"/>
              <w:rPr>
                <w:rFonts w:ascii="Calibri"/>
                <w:color w:val="auto"/>
                <w:szCs w:val="21"/>
              </w:rPr>
            </w:pPr>
            <w:r w:rsidRPr="00A964FF">
              <w:rPr>
                <w:rFonts w:ascii="Calibri" w:hint="eastAsia"/>
                <w:color w:val="auto"/>
                <w:szCs w:val="21"/>
              </w:rPr>
              <w:t>危险废物</w:t>
            </w:r>
          </w:p>
        </w:tc>
        <w:tc>
          <w:tcPr>
            <w:tcW w:w="1452" w:type="pct"/>
            <w:shd w:val="clear" w:color="auto" w:fill="auto"/>
            <w:tcMar>
              <w:top w:w="28" w:type="dxa"/>
              <w:left w:w="28" w:type="dxa"/>
              <w:bottom w:w="28" w:type="dxa"/>
              <w:right w:w="28" w:type="dxa"/>
            </w:tcMar>
            <w:vAlign w:val="center"/>
          </w:tcPr>
          <w:p w14:paraId="0ABA6F73" w14:textId="77777777" w:rsidR="007E575F" w:rsidRPr="00A964FF" w:rsidRDefault="007E575F" w:rsidP="0002141E">
            <w:pPr>
              <w:jc w:val="center"/>
              <w:rPr>
                <w:rFonts w:ascii="Calibri" w:hAnsi="Calibri"/>
                <w:color w:val="auto"/>
                <w:szCs w:val="21"/>
              </w:rPr>
            </w:pPr>
            <w:r w:rsidRPr="00A964FF">
              <w:rPr>
                <w:rFonts w:ascii="Calibri" w:hAnsi="Calibri" w:hint="eastAsia"/>
                <w:color w:val="auto"/>
                <w:szCs w:val="21"/>
              </w:rPr>
              <w:t>设置危废暂存间</w:t>
            </w:r>
            <w:r w:rsidRPr="00A964FF">
              <w:rPr>
                <w:rFonts w:ascii="Calibri" w:hAnsi="Calibri" w:hint="eastAsia"/>
                <w:color w:val="auto"/>
                <w:szCs w:val="21"/>
              </w:rPr>
              <w:t>1</w:t>
            </w:r>
            <w:r w:rsidRPr="00A964FF">
              <w:rPr>
                <w:rFonts w:ascii="Calibri" w:hAnsi="Calibri" w:hint="eastAsia"/>
                <w:color w:val="auto"/>
                <w:szCs w:val="21"/>
              </w:rPr>
              <w:t>座，建筑面积</w:t>
            </w:r>
            <w:r>
              <w:rPr>
                <w:rFonts w:ascii="Calibri" w:hAnsi="Calibri"/>
                <w:color w:val="auto"/>
                <w:szCs w:val="21"/>
              </w:rPr>
              <w:t>15</w:t>
            </w:r>
            <w:r w:rsidRPr="00A964FF">
              <w:rPr>
                <w:rFonts w:ascii="Calibri" w:hAnsi="Calibri" w:hint="eastAsia"/>
                <w:color w:val="auto"/>
                <w:szCs w:val="21"/>
              </w:rPr>
              <w:t>m</w:t>
            </w:r>
            <w:r w:rsidRPr="00A964FF">
              <w:rPr>
                <w:rFonts w:ascii="Calibri" w:hAnsi="Calibri" w:hint="eastAsia"/>
                <w:color w:val="auto"/>
                <w:szCs w:val="21"/>
                <w:vertAlign w:val="superscript"/>
              </w:rPr>
              <w:t>2</w:t>
            </w:r>
            <w:r w:rsidRPr="00A964FF">
              <w:rPr>
                <w:rFonts w:ascii="Calibri" w:hAnsi="Calibri" w:hint="eastAsia"/>
                <w:color w:val="auto"/>
                <w:szCs w:val="21"/>
              </w:rPr>
              <w:t>，危险固废分类收集，分区分单元储暂存各类危险废物，液态危险废物采用密闭储罐暂存，其他危险废物采用密闭容器盛装，危废暂存区满足“防风、防雨、防晒、防渗漏”要求</w:t>
            </w:r>
          </w:p>
        </w:tc>
        <w:tc>
          <w:tcPr>
            <w:tcW w:w="323" w:type="pct"/>
            <w:tcMar>
              <w:top w:w="28" w:type="dxa"/>
              <w:left w:w="28" w:type="dxa"/>
              <w:bottom w:w="28" w:type="dxa"/>
              <w:right w:w="28" w:type="dxa"/>
            </w:tcMar>
            <w:vAlign w:val="center"/>
          </w:tcPr>
          <w:p w14:paraId="2D523C69" w14:textId="77777777" w:rsidR="007E575F" w:rsidRPr="00A964FF" w:rsidRDefault="007E575F" w:rsidP="0002141E">
            <w:pPr>
              <w:jc w:val="center"/>
              <w:rPr>
                <w:rFonts w:ascii="Calibri" w:hAnsi="Calibri"/>
                <w:color w:val="auto"/>
                <w:szCs w:val="21"/>
              </w:rPr>
            </w:pPr>
            <w:r w:rsidRPr="00A964FF">
              <w:rPr>
                <w:rFonts w:ascii="Calibri" w:hAnsi="Calibri" w:hint="eastAsia"/>
                <w:color w:val="auto"/>
                <w:szCs w:val="21"/>
              </w:rPr>
              <w:t>1</w:t>
            </w:r>
            <w:r w:rsidRPr="00A964FF">
              <w:rPr>
                <w:rFonts w:ascii="Calibri" w:hAnsi="Calibri" w:hint="eastAsia"/>
                <w:color w:val="auto"/>
                <w:szCs w:val="21"/>
              </w:rPr>
              <w:t>座</w:t>
            </w:r>
          </w:p>
        </w:tc>
        <w:tc>
          <w:tcPr>
            <w:tcW w:w="1789" w:type="pct"/>
            <w:shd w:val="clear" w:color="auto" w:fill="auto"/>
            <w:tcMar>
              <w:top w:w="28" w:type="dxa"/>
              <w:left w:w="28" w:type="dxa"/>
              <w:bottom w:w="28" w:type="dxa"/>
              <w:right w:w="28" w:type="dxa"/>
            </w:tcMar>
            <w:vAlign w:val="center"/>
          </w:tcPr>
          <w:p w14:paraId="46E4535F" w14:textId="77777777" w:rsidR="007E575F" w:rsidRPr="00A964FF" w:rsidRDefault="007E575F" w:rsidP="0002141E">
            <w:pPr>
              <w:jc w:val="center"/>
              <w:rPr>
                <w:rFonts w:ascii="Calibri" w:hAnsi="Calibri"/>
                <w:color w:val="auto"/>
                <w:szCs w:val="21"/>
              </w:rPr>
            </w:pPr>
            <w:r w:rsidRPr="00A964FF">
              <w:rPr>
                <w:rFonts w:ascii="Calibri" w:hAnsi="Calibri" w:hint="eastAsia"/>
                <w:color w:val="auto"/>
                <w:szCs w:val="21"/>
              </w:rPr>
              <w:t>委托资质单位进行安全处置</w:t>
            </w:r>
          </w:p>
        </w:tc>
        <w:tc>
          <w:tcPr>
            <w:tcW w:w="371" w:type="pct"/>
            <w:tcMar>
              <w:top w:w="28" w:type="dxa"/>
              <w:left w:w="28" w:type="dxa"/>
              <w:bottom w:w="28" w:type="dxa"/>
              <w:right w:w="28" w:type="dxa"/>
            </w:tcMar>
            <w:vAlign w:val="center"/>
          </w:tcPr>
          <w:p w14:paraId="405F4B70" w14:textId="77777777" w:rsidR="007E575F" w:rsidRPr="00A964FF" w:rsidRDefault="001238C2" w:rsidP="0002141E">
            <w:pPr>
              <w:jc w:val="center"/>
              <w:rPr>
                <w:rFonts w:ascii="Calibri" w:hAnsi="Calibri"/>
                <w:color w:val="auto"/>
                <w:szCs w:val="21"/>
              </w:rPr>
            </w:pPr>
            <w:r>
              <w:rPr>
                <w:rFonts w:ascii="Calibri" w:hAnsi="Calibri" w:hint="eastAsia"/>
                <w:color w:val="auto"/>
                <w:szCs w:val="21"/>
              </w:rPr>
              <w:t>安全</w:t>
            </w:r>
            <w:r>
              <w:rPr>
                <w:rFonts w:ascii="Calibri" w:hAnsi="Calibri"/>
                <w:color w:val="auto"/>
                <w:szCs w:val="21"/>
              </w:rPr>
              <w:t>处置</w:t>
            </w:r>
          </w:p>
        </w:tc>
      </w:tr>
      <w:tr w:rsidR="007E575F" w:rsidRPr="00A964FF" w14:paraId="64370C04" w14:textId="77777777" w:rsidTr="0002141E">
        <w:trPr>
          <w:trHeight w:val="340"/>
          <w:jc w:val="center"/>
        </w:trPr>
        <w:tc>
          <w:tcPr>
            <w:tcW w:w="294" w:type="pct"/>
            <w:vMerge/>
            <w:tcMar>
              <w:top w:w="28" w:type="dxa"/>
              <w:left w:w="28" w:type="dxa"/>
              <w:bottom w:w="28" w:type="dxa"/>
              <w:right w:w="28" w:type="dxa"/>
            </w:tcMar>
            <w:vAlign w:val="center"/>
          </w:tcPr>
          <w:p w14:paraId="34C2EDFC" w14:textId="77777777" w:rsidR="007E575F" w:rsidRPr="00A964FF" w:rsidRDefault="007E575F" w:rsidP="0002141E">
            <w:pPr>
              <w:jc w:val="center"/>
              <w:rPr>
                <w:rFonts w:ascii="Calibri" w:hAnsi="Calibri"/>
                <w:color w:val="auto"/>
                <w:szCs w:val="21"/>
              </w:rPr>
            </w:pPr>
          </w:p>
        </w:tc>
        <w:tc>
          <w:tcPr>
            <w:tcW w:w="771" w:type="pct"/>
            <w:shd w:val="clear" w:color="auto" w:fill="auto"/>
            <w:tcMar>
              <w:top w:w="28" w:type="dxa"/>
              <w:left w:w="28" w:type="dxa"/>
              <w:bottom w:w="28" w:type="dxa"/>
              <w:right w:w="28" w:type="dxa"/>
            </w:tcMar>
            <w:vAlign w:val="center"/>
          </w:tcPr>
          <w:p w14:paraId="3530A47B" w14:textId="77777777" w:rsidR="007E575F" w:rsidRPr="00A964FF" w:rsidRDefault="007E575F" w:rsidP="0002141E">
            <w:pPr>
              <w:jc w:val="center"/>
              <w:rPr>
                <w:rFonts w:ascii="Calibri" w:hAnsi="Calibri"/>
                <w:color w:val="auto"/>
                <w:szCs w:val="21"/>
              </w:rPr>
            </w:pPr>
            <w:r w:rsidRPr="00A964FF">
              <w:rPr>
                <w:rFonts w:ascii="Calibri" w:hint="eastAsia"/>
                <w:color w:val="auto"/>
                <w:szCs w:val="21"/>
              </w:rPr>
              <w:t>生活垃圾</w:t>
            </w:r>
          </w:p>
        </w:tc>
        <w:tc>
          <w:tcPr>
            <w:tcW w:w="1452" w:type="pct"/>
            <w:shd w:val="clear" w:color="auto" w:fill="auto"/>
            <w:tcMar>
              <w:top w:w="28" w:type="dxa"/>
              <w:left w:w="28" w:type="dxa"/>
              <w:bottom w:w="28" w:type="dxa"/>
              <w:right w:w="28" w:type="dxa"/>
            </w:tcMar>
            <w:vAlign w:val="center"/>
          </w:tcPr>
          <w:p w14:paraId="2622C48C" w14:textId="77777777" w:rsidR="007E575F" w:rsidRPr="00A964FF" w:rsidRDefault="007E575F" w:rsidP="0002141E">
            <w:pPr>
              <w:jc w:val="center"/>
              <w:rPr>
                <w:rFonts w:ascii="Calibri" w:hAnsi="Calibri"/>
                <w:color w:val="auto"/>
                <w:szCs w:val="21"/>
              </w:rPr>
            </w:pPr>
            <w:r w:rsidRPr="00A964FF">
              <w:rPr>
                <w:rFonts w:ascii="Calibri"/>
                <w:color w:val="auto"/>
                <w:szCs w:val="21"/>
              </w:rPr>
              <w:t>设置</w:t>
            </w:r>
            <w:r w:rsidRPr="00A964FF">
              <w:rPr>
                <w:rFonts w:ascii="Calibri" w:hint="eastAsia"/>
                <w:color w:val="auto"/>
                <w:szCs w:val="21"/>
              </w:rPr>
              <w:t>生活</w:t>
            </w:r>
            <w:r w:rsidRPr="00A964FF">
              <w:rPr>
                <w:rFonts w:ascii="Calibri"/>
                <w:color w:val="auto"/>
                <w:szCs w:val="21"/>
              </w:rPr>
              <w:t>垃圾收集装置</w:t>
            </w:r>
            <w:r w:rsidRPr="00A964FF">
              <w:rPr>
                <w:rFonts w:ascii="Calibri" w:hint="eastAsia"/>
                <w:color w:val="auto"/>
                <w:szCs w:val="21"/>
              </w:rPr>
              <w:t>，送集聚区垃圾中转站</w:t>
            </w:r>
          </w:p>
        </w:tc>
        <w:tc>
          <w:tcPr>
            <w:tcW w:w="323" w:type="pct"/>
            <w:tcMar>
              <w:top w:w="28" w:type="dxa"/>
              <w:left w:w="28" w:type="dxa"/>
              <w:bottom w:w="28" w:type="dxa"/>
              <w:right w:w="28" w:type="dxa"/>
            </w:tcMar>
            <w:vAlign w:val="center"/>
          </w:tcPr>
          <w:p w14:paraId="1EDAFBBD" w14:textId="77777777" w:rsidR="007E575F" w:rsidRPr="00A964FF" w:rsidRDefault="007E575F" w:rsidP="0002141E">
            <w:pPr>
              <w:jc w:val="center"/>
              <w:rPr>
                <w:rFonts w:ascii="Calibri" w:hAnsi="Calibri"/>
                <w:color w:val="auto"/>
                <w:szCs w:val="21"/>
              </w:rPr>
            </w:pPr>
            <w:r w:rsidRPr="00A964FF">
              <w:rPr>
                <w:rFonts w:ascii="Calibri"/>
                <w:color w:val="auto"/>
                <w:szCs w:val="21"/>
              </w:rPr>
              <w:t>若干</w:t>
            </w:r>
          </w:p>
        </w:tc>
        <w:tc>
          <w:tcPr>
            <w:tcW w:w="1789" w:type="pct"/>
            <w:shd w:val="clear" w:color="auto" w:fill="auto"/>
            <w:tcMar>
              <w:top w:w="28" w:type="dxa"/>
              <w:left w:w="28" w:type="dxa"/>
              <w:bottom w:w="28" w:type="dxa"/>
              <w:right w:w="28" w:type="dxa"/>
            </w:tcMar>
            <w:vAlign w:val="center"/>
          </w:tcPr>
          <w:p w14:paraId="51F84312" w14:textId="77777777" w:rsidR="007E575F" w:rsidRPr="00A964FF" w:rsidRDefault="007E575F" w:rsidP="0002141E">
            <w:pPr>
              <w:jc w:val="center"/>
              <w:rPr>
                <w:rFonts w:ascii="Calibri" w:hAnsi="Calibri"/>
                <w:color w:val="auto"/>
                <w:szCs w:val="21"/>
              </w:rPr>
            </w:pPr>
            <w:r w:rsidRPr="00A964FF">
              <w:rPr>
                <w:rFonts w:ascii="Calibri"/>
                <w:color w:val="auto"/>
                <w:szCs w:val="21"/>
              </w:rPr>
              <w:t>环卫部门集中处置，不外排</w:t>
            </w:r>
          </w:p>
        </w:tc>
        <w:tc>
          <w:tcPr>
            <w:tcW w:w="371" w:type="pct"/>
            <w:tcMar>
              <w:top w:w="28" w:type="dxa"/>
              <w:left w:w="28" w:type="dxa"/>
              <w:bottom w:w="28" w:type="dxa"/>
              <w:right w:w="28" w:type="dxa"/>
            </w:tcMar>
            <w:vAlign w:val="center"/>
          </w:tcPr>
          <w:p w14:paraId="3C31F955" w14:textId="77777777" w:rsidR="007E575F" w:rsidRPr="00A964FF" w:rsidRDefault="001238C2" w:rsidP="0002141E">
            <w:pPr>
              <w:jc w:val="center"/>
              <w:rPr>
                <w:rFonts w:ascii="Calibri"/>
                <w:color w:val="auto"/>
                <w:szCs w:val="21"/>
              </w:rPr>
            </w:pPr>
            <w:r>
              <w:rPr>
                <w:rFonts w:ascii="Calibri" w:hint="eastAsia"/>
                <w:color w:val="auto"/>
                <w:szCs w:val="21"/>
              </w:rPr>
              <w:t>合理</w:t>
            </w:r>
            <w:r>
              <w:rPr>
                <w:rFonts w:ascii="Calibri"/>
                <w:color w:val="auto"/>
                <w:szCs w:val="21"/>
              </w:rPr>
              <w:t>处置</w:t>
            </w:r>
          </w:p>
        </w:tc>
      </w:tr>
      <w:tr w:rsidR="007E575F" w:rsidRPr="00A964FF" w14:paraId="22F7FA56" w14:textId="77777777" w:rsidTr="0002141E">
        <w:trPr>
          <w:trHeight w:val="340"/>
          <w:jc w:val="center"/>
        </w:trPr>
        <w:tc>
          <w:tcPr>
            <w:tcW w:w="294" w:type="pct"/>
            <w:tcMar>
              <w:top w:w="28" w:type="dxa"/>
              <w:left w:w="28" w:type="dxa"/>
              <w:bottom w:w="28" w:type="dxa"/>
              <w:right w:w="28" w:type="dxa"/>
            </w:tcMar>
            <w:vAlign w:val="center"/>
          </w:tcPr>
          <w:p w14:paraId="2ED4E300" w14:textId="77777777" w:rsidR="007E575F" w:rsidRPr="00A964FF" w:rsidRDefault="007E575F" w:rsidP="0002141E">
            <w:pPr>
              <w:jc w:val="center"/>
              <w:rPr>
                <w:rFonts w:ascii="Calibri" w:hAnsi="Calibri"/>
                <w:color w:val="auto"/>
                <w:szCs w:val="21"/>
              </w:rPr>
            </w:pPr>
            <w:r w:rsidRPr="00A964FF">
              <w:rPr>
                <w:rFonts w:ascii="Calibri" w:hAnsi="Calibri"/>
                <w:color w:val="auto"/>
                <w:szCs w:val="21"/>
              </w:rPr>
              <w:t>噪</w:t>
            </w:r>
          </w:p>
          <w:p w14:paraId="38153FE8" w14:textId="77777777" w:rsidR="007E575F" w:rsidRPr="00A964FF" w:rsidRDefault="007E575F" w:rsidP="0002141E">
            <w:pPr>
              <w:jc w:val="center"/>
              <w:rPr>
                <w:rFonts w:ascii="Calibri"/>
                <w:color w:val="auto"/>
                <w:szCs w:val="21"/>
              </w:rPr>
            </w:pPr>
            <w:r w:rsidRPr="00A964FF">
              <w:rPr>
                <w:rFonts w:ascii="Calibri" w:hAnsi="Calibri"/>
                <w:color w:val="auto"/>
                <w:szCs w:val="21"/>
              </w:rPr>
              <w:t>声</w:t>
            </w:r>
          </w:p>
        </w:tc>
        <w:tc>
          <w:tcPr>
            <w:tcW w:w="771" w:type="pct"/>
            <w:tcMar>
              <w:top w:w="28" w:type="dxa"/>
              <w:left w:w="28" w:type="dxa"/>
              <w:bottom w:w="28" w:type="dxa"/>
              <w:right w:w="28" w:type="dxa"/>
            </w:tcMar>
            <w:vAlign w:val="center"/>
          </w:tcPr>
          <w:p w14:paraId="22417702" w14:textId="77777777" w:rsidR="007E575F" w:rsidRPr="00A964FF" w:rsidRDefault="007E575F" w:rsidP="0002141E">
            <w:pPr>
              <w:jc w:val="center"/>
              <w:rPr>
                <w:rFonts w:ascii="Calibri"/>
                <w:color w:val="auto"/>
                <w:szCs w:val="21"/>
              </w:rPr>
            </w:pPr>
            <w:r w:rsidRPr="00A964FF">
              <w:rPr>
                <w:rFonts w:ascii="Calibri" w:hint="eastAsia"/>
                <w:color w:val="auto"/>
                <w:szCs w:val="21"/>
              </w:rPr>
              <w:t>设备噪声</w:t>
            </w:r>
          </w:p>
        </w:tc>
        <w:tc>
          <w:tcPr>
            <w:tcW w:w="1452" w:type="pct"/>
            <w:shd w:val="clear" w:color="auto" w:fill="auto"/>
            <w:tcMar>
              <w:top w:w="28" w:type="dxa"/>
              <w:left w:w="28" w:type="dxa"/>
              <w:bottom w:w="28" w:type="dxa"/>
              <w:right w:w="28" w:type="dxa"/>
            </w:tcMar>
            <w:vAlign w:val="center"/>
          </w:tcPr>
          <w:p w14:paraId="447F4565" w14:textId="77777777" w:rsidR="007E575F" w:rsidRPr="00A964FF" w:rsidRDefault="007E575F" w:rsidP="0002141E">
            <w:pPr>
              <w:jc w:val="center"/>
              <w:rPr>
                <w:rFonts w:ascii="Calibri"/>
                <w:color w:val="auto"/>
                <w:szCs w:val="21"/>
              </w:rPr>
            </w:pPr>
            <w:r w:rsidRPr="00A964FF">
              <w:rPr>
                <w:rFonts w:ascii="Calibri"/>
                <w:color w:val="auto"/>
                <w:szCs w:val="21"/>
              </w:rPr>
              <w:t>采取基础减振、隔声，风机加装消声器等降噪措施</w:t>
            </w:r>
          </w:p>
        </w:tc>
        <w:tc>
          <w:tcPr>
            <w:tcW w:w="323" w:type="pct"/>
            <w:tcMar>
              <w:top w:w="28" w:type="dxa"/>
              <w:left w:w="28" w:type="dxa"/>
              <w:bottom w:w="28" w:type="dxa"/>
              <w:right w:w="28" w:type="dxa"/>
            </w:tcMar>
            <w:vAlign w:val="center"/>
          </w:tcPr>
          <w:p w14:paraId="6195F9F9" w14:textId="77777777" w:rsidR="007E575F" w:rsidRPr="00A964FF" w:rsidRDefault="007E575F" w:rsidP="0002141E">
            <w:pPr>
              <w:jc w:val="center"/>
              <w:rPr>
                <w:rFonts w:ascii="Calibri"/>
                <w:color w:val="auto"/>
                <w:szCs w:val="21"/>
              </w:rPr>
            </w:pPr>
            <w:r w:rsidRPr="00A964FF">
              <w:rPr>
                <w:rFonts w:ascii="Calibri" w:hint="eastAsia"/>
                <w:color w:val="auto"/>
                <w:szCs w:val="21"/>
              </w:rPr>
              <w:t>/</w:t>
            </w:r>
          </w:p>
        </w:tc>
        <w:tc>
          <w:tcPr>
            <w:tcW w:w="1789" w:type="pct"/>
            <w:shd w:val="clear" w:color="auto" w:fill="auto"/>
            <w:tcMar>
              <w:top w:w="28" w:type="dxa"/>
              <w:left w:w="28" w:type="dxa"/>
              <w:bottom w:w="28" w:type="dxa"/>
              <w:right w:w="28" w:type="dxa"/>
            </w:tcMar>
            <w:vAlign w:val="center"/>
          </w:tcPr>
          <w:p w14:paraId="51A3ADD5" w14:textId="77777777" w:rsidR="007E575F" w:rsidRPr="00A964FF" w:rsidRDefault="007E575F" w:rsidP="0002141E">
            <w:pPr>
              <w:jc w:val="center"/>
              <w:rPr>
                <w:rFonts w:ascii="Calibri" w:hAnsi="Calibri"/>
                <w:color w:val="auto"/>
                <w:szCs w:val="21"/>
              </w:rPr>
            </w:pPr>
            <w:r w:rsidRPr="00A964FF">
              <w:rPr>
                <w:rFonts w:ascii="Calibri" w:hAnsi="Calibri" w:hint="eastAsia"/>
                <w:color w:val="auto"/>
                <w:szCs w:val="21"/>
              </w:rPr>
              <w:t>厂界</w:t>
            </w:r>
            <w:r w:rsidRPr="00A964FF">
              <w:rPr>
                <w:rFonts w:ascii="Calibri" w:hAnsi="Calibri"/>
                <w:color w:val="auto"/>
                <w:szCs w:val="21"/>
              </w:rPr>
              <w:t>满足《工业企业厂界环境噪声排放标准》（</w:t>
            </w:r>
            <w:r w:rsidRPr="00A964FF">
              <w:rPr>
                <w:rFonts w:ascii="Calibri" w:hAnsi="Calibri"/>
                <w:color w:val="auto"/>
                <w:szCs w:val="21"/>
              </w:rPr>
              <w:t>GB</w:t>
            </w:r>
            <w:r w:rsidRPr="00A964FF">
              <w:rPr>
                <w:rFonts w:ascii="Calibri" w:hAnsi="Calibri" w:hint="eastAsia"/>
                <w:color w:val="auto"/>
                <w:szCs w:val="21"/>
              </w:rPr>
              <w:t>12348</w:t>
            </w:r>
            <w:r w:rsidRPr="00A964FF">
              <w:rPr>
                <w:rFonts w:ascii="Calibri" w:hAnsi="Calibri"/>
                <w:color w:val="auto"/>
                <w:szCs w:val="21"/>
              </w:rPr>
              <w:t>-2008</w:t>
            </w:r>
            <w:r w:rsidRPr="00A964FF">
              <w:rPr>
                <w:rFonts w:ascii="Calibri" w:hAnsi="Calibri"/>
                <w:color w:val="auto"/>
                <w:szCs w:val="21"/>
              </w:rPr>
              <w:t>）</w:t>
            </w:r>
            <w:r>
              <w:rPr>
                <w:rFonts w:ascii="Calibri" w:hAnsi="Calibri" w:hint="eastAsia"/>
                <w:color w:val="auto"/>
                <w:szCs w:val="21"/>
              </w:rPr>
              <w:t>3</w:t>
            </w:r>
            <w:r w:rsidRPr="00A964FF">
              <w:rPr>
                <w:rFonts w:ascii="Calibri" w:hAnsi="Calibri" w:hint="eastAsia"/>
                <w:color w:val="auto"/>
                <w:szCs w:val="21"/>
              </w:rPr>
              <w:lastRenderedPageBreak/>
              <w:t>类</w:t>
            </w:r>
            <w:r w:rsidRPr="00A964FF">
              <w:rPr>
                <w:rFonts w:ascii="Calibri" w:hAnsi="Calibri"/>
                <w:color w:val="auto"/>
                <w:szCs w:val="21"/>
              </w:rPr>
              <w:t>标准</w:t>
            </w:r>
          </w:p>
        </w:tc>
        <w:tc>
          <w:tcPr>
            <w:tcW w:w="371" w:type="pct"/>
            <w:tcMar>
              <w:top w:w="28" w:type="dxa"/>
              <w:left w:w="28" w:type="dxa"/>
              <w:bottom w:w="28" w:type="dxa"/>
              <w:right w:w="28" w:type="dxa"/>
            </w:tcMar>
            <w:vAlign w:val="center"/>
          </w:tcPr>
          <w:p w14:paraId="0F509F32" w14:textId="77777777" w:rsidR="007E575F" w:rsidRPr="00A964FF" w:rsidRDefault="001238C2" w:rsidP="0002141E">
            <w:pPr>
              <w:jc w:val="center"/>
              <w:rPr>
                <w:rFonts w:ascii="Calibri"/>
                <w:color w:val="auto"/>
                <w:szCs w:val="21"/>
              </w:rPr>
            </w:pPr>
            <w:r>
              <w:rPr>
                <w:rFonts w:ascii="Calibri" w:hint="eastAsia"/>
                <w:color w:val="auto"/>
                <w:szCs w:val="21"/>
              </w:rPr>
              <w:lastRenderedPageBreak/>
              <w:t>达标</w:t>
            </w:r>
            <w:r>
              <w:rPr>
                <w:rFonts w:ascii="Calibri"/>
                <w:color w:val="auto"/>
                <w:szCs w:val="21"/>
              </w:rPr>
              <w:t>排放</w:t>
            </w:r>
          </w:p>
        </w:tc>
      </w:tr>
      <w:tr w:rsidR="007E575F" w:rsidRPr="00A964FF" w14:paraId="1B6D3104" w14:textId="77777777" w:rsidTr="0002141E">
        <w:trPr>
          <w:trHeight w:val="340"/>
          <w:jc w:val="center"/>
        </w:trPr>
        <w:tc>
          <w:tcPr>
            <w:tcW w:w="1065" w:type="pct"/>
            <w:gridSpan w:val="2"/>
            <w:tcMar>
              <w:top w:w="28" w:type="dxa"/>
              <w:left w:w="28" w:type="dxa"/>
              <w:bottom w:w="28" w:type="dxa"/>
              <w:right w:w="28" w:type="dxa"/>
            </w:tcMar>
            <w:vAlign w:val="center"/>
          </w:tcPr>
          <w:p w14:paraId="1E4B7F6C" w14:textId="77777777" w:rsidR="007E575F" w:rsidRPr="00A964FF" w:rsidRDefault="007E575F" w:rsidP="0002141E">
            <w:pPr>
              <w:jc w:val="center"/>
              <w:rPr>
                <w:rFonts w:ascii="Calibri" w:hAnsi="宋体"/>
                <w:color w:val="auto"/>
                <w:szCs w:val="21"/>
              </w:rPr>
            </w:pPr>
            <w:r w:rsidRPr="00A964FF">
              <w:rPr>
                <w:rFonts w:ascii="Calibri" w:hAnsi="宋体" w:hint="eastAsia"/>
                <w:color w:val="auto"/>
                <w:szCs w:val="21"/>
              </w:rPr>
              <w:t>生态</w:t>
            </w:r>
          </w:p>
        </w:tc>
        <w:tc>
          <w:tcPr>
            <w:tcW w:w="1452" w:type="pct"/>
            <w:shd w:val="clear" w:color="auto" w:fill="auto"/>
            <w:tcMar>
              <w:top w:w="28" w:type="dxa"/>
              <w:left w:w="28" w:type="dxa"/>
              <w:bottom w:w="28" w:type="dxa"/>
              <w:right w:w="28" w:type="dxa"/>
            </w:tcMar>
            <w:vAlign w:val="center"/>
          </w:tcPr>
          <w:p w14:paraId="51642554" w14:textId="77777777" w:rsidR="007E575F" w:rsidRPr="00A964FF" w:rsidRDefault="007E575F" w:rsidP="0002141E">
            <w:pPr>
              <w:jc w:val="center"/>
              <w:rPr>
                <w:rFonts w:ascii="Calibri" w:hAnsi="Calibri"/>
                <w:color w:val="auto"/>
                <w:szCs w:val="21"/>
              </w:rPr>
            </w:pPr>
            <w:r w:rsidRPr="00A964FF">
              <w:rPr>
                <w:rFonts w:ascii="Calibri" w:hAnsi="宋体" w:hint="eastAsia"/>
                <w:bCs/>
                <w:color w:val="auto"/>
                <w:szCs w:val="21"/>
              </w:rPr>
              <w:t>加强绿化，植树种草</w:t>
            </w:r>
            <w:r w:rsidRPr="00A964FF">
              <w:rPr>
                <w:rFonts w:ascii="Calibri" w:hAnsi="Calibri" w:hint="eastAsia"/>
                <w:color w:val="auto"/>
                <w:szCs w:val="21"/>
              </w:rPr>
              <w:t xml:space="preserve"> </w:t>
            </w:r>
          </w:p>
        </w:tc>
        <w:tc>
          <w:tcPr>
            <w:tcW w:w="323" w:type="pct"/>
            <w:tcMar>
              <w:top w:w="28" w:type="dxa"/>
              <w:left w:w="28" w:type="dxa"/>
              <w:bottom w:w="28" w:type="dxa"/>
              <w:right w:w="28" w:type="dxa"/>
            </w:tcMar>
            <w:vAlign w:val="center"/>
          </w:tcPr>
          <w:p w14:paraId="09F8F238" w14:textId="77777777" w:rsidR="007E575F" w:rsidRPr="00A964FF" w:rsidRDefault="007E575F" w:rsidP="0002141E">
            <w:pPr>
              <w:jc w:val="center"/>
              <w:rPr>
                <w:rFonts w:ascii="Calibri" w:hAnsi="Calibri"/>
                <w:color w:val="auto"/>
                <w:szCs w:val="21"/>
              </w:rPr>
            </w:pPr>
            <w:r w:rsidRPr="00A964FF">
              <w:rPr>
                <w:rFonts w:ascii="Calibri" w:hAnsi="Calibri" w:hint="eastAsia"/>
                <w:color w:val="auto"/>
                <w:szCs w:val="21"/>
              </w:rPr>
              <w:t>/</w:t>
            </w:r>
          </w:p>
        </w:tc>
        <w:tc>
          <w:tcPr>
            <w:tcW w:w="1789" w:type="pct"/>
            <w:shd w:val="clear" w:color="auto" w:fill="auto"/>
            <w:tcMar>
              <w:top w:w="28" w:type="dxa"/>
              <w:left w:w="28" w:type="dxa"/>
              <w:bottom w:w="28" w:type="dxa"/>
              <w:right w:w="28" w:type="dxa"/>
            </w:tcMar>
            <w:vAlign w:val="center"/>
          </w:tcPr>
          <w:p w14:paraId="2E70F4A2" w14:textId="77777777" w:rsidR="007E575F" w:rsidRPr="00A964FF" w:rsidRDefault="007E575F" w:rsidP="0002141E">
            <w:pPr>
              <w:jc w:val="center"/>
              <w:rPr>
                <w:rFonts w:ascii="Calibri" w:hAnsi="宋体"/>
                <w:color w:val="auto"/>
                <w:szCs w:val="21"/>
              </w:rPr>
            </w:pPr>
            <w:r w:rsidRPr="00A964FF">
              <w:rPr>
                <w:rFonts w:ascii="Calibri" w:hAnsi="Calibri" w:hint="eastAsia"/>
                <w:color w:val="auto"/>
                <w:szCs w:val="21"/>
              </w:rPr>
              <w:t>厂区绿化率大于</w:t>
            </w:r>
            <w:r w:rsidRPr="00A964FF">
              <w:rPr>
                <w:rFonts w:ascii="Calibri" w:hAnsi="Calibri" w:hint="eastAsia"/>
                <w:color w:val="auto"/>
                <w:szCs w:val="21"/>
              </w:rPr>
              <w:t>15</w:t>
            </w:r>
            <w:r w:rsidRPr="00A964FF">
              <w:rPr>
                <w:rFonts w:ascii="Calibri" w:hAnsi="Calibri"/>
                <w:color w:val="auto"/>
                <w:szCs w:val="21"/>
              </w:rPr>
              <w:t>%</w:t>
            </w:r>
          </w:p>
        </w:tc>
        <w:tc>
          <w:tcPr>
            <w:tcW w:w="371" w:type="pct"/>
            <w:tcMar>
              <w:top w:w="28" w:type="dxa"/>
              <w:left w:w="28" w:type="dxa"/>
              <w:bottom w:w="28" w:type="dxa"/>
              <w:right w:w="28" w:type="dxa"/>
            </w:tcMar>
            <w:vAlign w:val="center"/>
          </w:tcPr>
          <w:p w14:paraId="3E65BDB9" w14:textId="77777777" w:rsidR="001238C2" w:rsidRPr="00A964FF" w:rsidRDefault="001238C2" w:rsidP="001238C2">
            <w:pPr>
              <w:jc w:val="center"/>
              <w:rPr>
                <w:rFonts w:ascii="Calibri"/>
                <w:color w:val="auto"/>
                <w:szCs w:val="21"/>
              </w:rPr>
            </w:pPr>
            <w:r w:rsidRPr="00A964FF">
              <w:rPr>
                <w:rFonts w:ascii="Calibri" w:hint="eastAsia"/>
                <w:color w:val="auto"/>
                <w:szCs w:val="21"/>
              </w:rPr>
              <w:t>满足</w:t>
            </w:r>
          </w:p>
          <w:p w14:paraId="602C3800" w14:textId="77777777" w:rsidR="007E575F" w:rsidRPr="00A964FF" w:rsidRDefault="001238C2" w:rsidP="001238C2">
            <w:pPr>
              <w:jc w:val="center"/>
              <w:rPr>
                <w:rFonts w:ascii="Calibri"/>
                <w:color w:val="auto"/>
                <w:szCs w:val="21"/>
              </w:rPr>
            </w:pPr>
            <w:r w:rsidRPr="00A964FF">
              <w:rPr>
                <w:rFonts w:ascii="Calibri" w:hint="eastAsia"/>
                <w:color w:val="auto"/>
                <w:szCs w:val="21"/>
              </w:rPr>
              <w:t>设计</w:t>
            </w:r>
          </w:p>
        </w:tc>
      </w:tr>
      <w:tr w:rsidR="001238C2" w:rsidRPr="00A964FF" w14:paraId="00CA549F" w14:textId="77777777" w:rsidTr="0002141E">
        <w:trPr>
          <w:trHeight w:val="340"/>
          <w:jc w:val="center"/>
        </w:trPr>
        <w:tc>
          <w:tcPr>
            <w:tcW w:w="1065" w:type="pct"/>
            <w:gridSpan w:val="2"/>
            <w:vMerge w:val="restart"/>
            <w:tcMar>
              <w:top w:w="28" w:type="dxa"/>
              <w:left w:w="28" w:type="dxa"/>
              <w:bottom w:w="28" w:type="dxa"/>
              <w:right w:w="28" w:type="dxa"/>
            </w:tcMar>
            <w:vAlign w:val="center"/>
          </w:tcPr>
          <w:p w14:paraId="46FE3833" w14:textId="77777777" w:rsidR="001238C2" w:rsidRPr="00A964FF" w:rsidRDefault="001238C2" w:rsidP="0002141E">
            <w:pPr>
              <w:jc w:val="center"/>
              <w:rPr>
                <w:rFonts w:ascii="Calibri" w:hAnsi="Calibri"/>
                <w:color w:val="auto"/>
                <w:szCs w:val="21"/>
              </w:rPr>
            </w:pPr>
            <w:r w:rsidRPr="00A964FF">
              <w:rPr>
                <w:rFonts w:ascii="Calibri" w:hint="eastAsia"/>
                <w:color w:val="auto"/>
                <w:szCs w:val="21"/>
              </w:rPr>
              <w:t>环境风险</w:t>
            </w:r>
          </w:p>
        </w:tc>
        <w:tc>
          <w:tcPr>
            <w:tcW w:w="1452" w:type="pct"/>
            <w:shd w:val="clear" w:color="auto" w:fill="auto"/>
            <w:tcMar>
              <w:top w:w="28" w:type="dxa"/>
              <w:left w:w="28" w:type="dxa"/>
              <w:bottom w:w="28" w:type="dxa"/>
              <w:right w:w="28" w:type="dxa"/>
            </w:tcMar>
            <w:vAlign w:val="center"/>
          </w:tcPr>
          <w:p w14:paraId="21BEDCE3" w14:textId="77777777" w:rsidR="001238C2" w:rsidRPr="002E118B" w:rsidRDefault="001238C2" w:rsidP="0002141E">
            <w:pPr>
              <w:jc w:val="center"/>
              <w:rPr>
                <w:rFonts w:ascii="Calibri" w:hAnsi="Calibri"/>
                <w:bCs/>
                <w:color w:val="auto"/>
                <w:szCs w:val="21"/>
              </w:rPr>
            </w:pPr>
            <w:r w:rsidRPr="002E118B">
              <w:rPr>
                <w:rFonts w:ascii="Calibri" w:hAnsi="Calibri" w:hint="eastAsia"/>
                <w:bCs/>
                <w:color w:val="auto"/>
                <w:szCs w:val="21"/>
              </w:rPr>
              <w:t>厂区设置</w:t>
            </w:r>
            <w:r w:rsidRPr="002E118B">
              <w:rPr>
                <w:rFonts w:ascii="Calibri" w:hAnsi="Calibri" w:hint="eastAsia"/>
                <w:bCs/>
                <w:color w:val="auto"/>
                <w:szCs w:val="21"/>
              </w:rPr>
              <w:t>1</w:t>
            </w:r>
            <w:r w:rsidRPr="002E118B">
              <w:rPr>
                <w:rFonts w:ascii="Calibri" w:hAnsi="Calibri" w:hint="eastAsia"/>
                <w:bCs/>
                <w:color w:val="auto"/>
                <w:szCs w:val="21"/>
              </w:rPr>
              <w:t>座容积为</w:t>
            </w:r>
            <w:r>
              <w:rPr>
                <w:rFonts w:ascii="Calibri" w:hAnsi="Calibri"/>
                <w:bCs/>
                <w:color w:val="auto"/>
                <w:szCs w:val="21"/>
              </w:rPr>
              <w:t>500</w:t>
            </w:r>
            <w:r w:rsidRPr="002E118B">
              <w:rPr>
                <w:rFonts w:ascii="Calibri" w:hAnsi="Calibri" w:hint="eastAsia"/>
                <w:bCs/>
                <w:color w:val="auto"/>
                <w:szCs w:val="21"/>
              </w:rPr>
              <w:t>m</w:t>
            </w:r>
            <w:r w:rsidRPr="00DE50C9">
              <w:rPr>
                <w:rFonts w:ascii="Calibri" w:hAnsi="Calibri" w:hint="eastAsia"/>
                <w:bCs/>
                <w:color w:val="auto"/>
                <w:szCs w:val="21"/>
                <w:vertAlign w:val="superscript"/>
              </w:rPr>
              <w:t>3</w:t>
            </w:r>
            <w:r w:rsidRPr="002E118B">
              <w:rPr>
                <w:rFonts w:ascii="Calibri" w:hAnsi="Calibri" w:hint="eastAsia"/>
                <w:bCs/>
                <w:color w:val="auto"/>
                <w:szCs w:val="21"/>
              </w:rPr>
              <w:t>事故池，并防渗</w:t>
            </w:r>
          </w:p>
        </w:tc>
        <w:tc>
          <w:tcPr>
            <w:tcW w:w="323" w:type="pct"/>
            <w:tcMar>
              <w:top w:w="28" w:type="dxa"/>
              <w:left w:w="28" w:type="dxa"/>
              <w:bottom w:w="28" w:type="dxa"/>
              <w:right w:w="28" w:type="dxa"/>
            </w:tcMar>
            <w:vAlign w:val="center"/>
          </w:tcPr>
          <w:p w14:paraId="322CBA92" w14:textId="77777777" w:rsidR="001238C2" w:rsidRPr="002E118B" w:rsidRDefault="001238C2" w:rsidP="0002141E">
            <w:pPr>
              <w:jc w:val="center"/>
              <w:rPr>
                <w:rFonts w:ascii="Calibri" w:hAnsi="Calibri"/>
                <w:bCs/>
                <w:color w:val="auto"/>
                <w:szCs w:val="21"/>
              </w:rPr>
            </w:pPr>
            <w:r w:rsidRPr="002E118B">
              <w:rPr>
                <w:rFonts w:ascii="Calibri" w:hAnsi="Calibri" w:hint="eastAsia"/>
                <w:bCs/>
                <w:color w:val="auto"/>
                <w:szCs w:val="21"/>
              </w:rPr>
              <w:t>1</w:t>
            </w:r>
            <w:r w:rsidRPr="002E118B">
              <w:rPr>
                <w:rFonts w:ascii="Calibri" w:hAnsi="Calibri" w:hint="eastAsia"/>
                <w:bCs/>
                <w:color w:val="auto"/>
                <w:szCs w:val="21"/>
              </w:rPr>
              <w:t>座</w:t>
            </w:r>
          </w:p>
        </w:tc>
        <w:tc>
          <w:tcPr>
            <w:tcW w:w="1789" w:type="pct"/>
            <w:vMerge w:val="restart"/>
            <w:shd w:val="clear" w:color="auto" w:fill="auto"/>
            <w:tcMar>
              <w:top w:w="28" w:type="dxa"/>
              <w:left w:w="28" w:type="dxa"/>
              <w:bottom w:w="28" w:type="dxa"/>
              <w:right w:w="28" w:type="dxa"/>
            </w:tcMar>
            <w:vAlign w:val="center"/>
          </w:tcPr>
          <w:p w14:paraId="78FE3F2A" w14:textId="77777777" w:rsidR="001238C2" w:rsidRPr="002E118B" w:rsidRDefault="001238C2" w:rsidP="0002141E">
            <w:pPr>
              <w:jc w:val="center"/>
              <w:rPr>
                <w:rFonts w:ascii="Calibri" w:hAnsi="Calibri"/>
                <w:bCs/>
                <w:color w:val="auto"/>
                <w:szCs w:val="21"/>
              </w:rPr>
            </w:pPr>
            <w:r w:rsidRPr="002E118B">
              <w:rPr>
                <w:rFonts w:ascii="Calibri" w:hAnsi="Calibri"/>
                <w:bCs/>
                <w:color w:val="auto"/>
                <w:szCs w:val="21"/>
              </w:rPr>
              <w:t>收集</w:t>
            </w:r>
            <w:r w:rsidRPr="002E118B">
              <w:rPr>
                <w:rFonts w:ascii="Calibri" w:hAnsi="Calibri" w:hint="eastAsia"/>
                <w:bCs/>
                <w:color w:val="auto"/>
                <w:szCs w:val="21"/>
              </w:rPr>
              <w:t>事故产生的物料、废水，确保不进入水体，降低环境风险</w:t>
            </w:r>
          </w:p>
        </w:tc>
        <w:tc>
          <w:tcPr>
            <w:tcW w:w="371" w:type="pct"/>
            <w:vMerge w:val="restart"/>
            <w:tcMar>
              <w:top w:w="28" w:type="dxa"/>
              <w:left w:w="28" w:type="dxa"/>
              <w:bottom w:w="28" w:type="dxa"/>
              <w:right w:w="28" w:type="dxa"/>
            </w:tcMar>
            <w:vAlign w:val="center"/>
          </w:tcPr>
          <w:p w14:paraId="4CCA1D14" w14:textId="77777777" w:rsidR="001238C2" w:rsidRPr="002E118B" w:rsidRDefault="001238C2" w:rsidP="0002141E">
            <w:pPr>
              <w:jc w:val="center"/>
              <w:rPr>
                <w:rFonts w:ascii="Calibri" w:hAnsi="Calibri"/>
                <w:bCs/>
                <w:color w:val="auto"/>
                <w:szCs w:val="21"/>
              </w:rPr>
            </w:pPr>
            <w:r w:rsidRPr="00A964FF">
              <w:rPr>
                <w:rFonts w:ascii="Calibri" w:hAnsi="宋体"/>
                <w:color w:val="auto"/>
                <w:szCs w:val="21"/>
              </w:rPr>
              <w:t>风险处在可接受水平</w:t>
            </w:r>
          </w:p>
        </w:tc>
      </w:tr>
      <w:tr w:rsidR="001238C2" w:rsidRPr="00A964FF" w14:paraId="1FF10083" w14:textId="77777777" w:rsidTr="0002141E">
        <w:trPr>
          <w:trHeight w:val="340"/>
          <w:jc w:val="center"/>
        </w:trPr>
        <w:tc>
          <w:tcPr>
            <w:tcW w:w="1065" w:type="pct"/>
            <w:gridSpan w:val="2"/>
            <w:vMerge/>
            <w:tcMar>
              <w:top w:w="28" w:type="dxa"/>
              <w:left w:w="28" w:type="dxa"/>
              <w:bottom w:w="28" w:type="dxa"/>
              <w:right w:w="28" w:type="dxa"/>
            </w:tcMar>
            <w:vAlign w:val="center"/>
          </w:tcPr>
          <w:p w14:paraId="6D1D0EC2" w14:textId="77777777" w:rsidR="001238C2" w:rsidRPr="00A964FF" w:rsidRDefault="001238C2" w:rsidP="0002141E">
            <w:pPr>
              <w:jc w:val="center"/>
              <w:rPr>
                <w:rFonts w:ascii="Calibri"/>
                <w:color w:val="auto"/>
                <w:szCs w:val="21"/>
              </w:rPr>
            </w:pPr>
          </w:p>
        </w:tc>
        <w:tc>
          <w:tcPr>
            <w:tcW w:w="1452" w:type="pct"/>
            <w:shd w:val="clear" w:color="auto" w:fill="auto"/>
            <w:tcMar>
              <w:top w:w="28" w:type="dxa"/>
              <w:left w:w="28" w:type="dxa"/>
              <w:bottom w:w="28" w:type="dxa"/>
              <w:right w:w="28" w:type="dxa"/>
            </w:tcMar>
            <w:vAlign w:val="center"/>
          </w:tcPr>
          <w:p w14:paraId="0ECC0EC2" w14:textId="77777777" w:rsidR="001238C2" w:rsidRPr="002E118B" w:rsidRDefault="001238C2" w:rsidP="0002141E">
            <w:pPr>
              <w:jc w:val="center"/>
              <w:rPr>
                <w:rFonts w:ascii="Calibri" w:hAnsi="Calibri"/>
                <w:bCs/>
                <w:color w:val="auto"/>
                <w:szCs w:val="21"/>
              </w:rPr>
            </w:pPr>
            <w:r w:rsidRPr="002E118B">
              <w:rPr>
                <w:rFonts w:ascii="Calibri" w:hAnsi="Calibri" w:hint="eastAsia"/>
                <w:bCs/>
                <w:color w:val="auto"/>
                <w:szCs w:val="21"/>
              </w:rPr>
              <w:t>厂区设置</w:t>
            </w:r>
            <w:r w:rsidRPr="002E118B">
              <w:rPr>
                <w:rFonts w:ascii="Calibri" w:hAnsi="Calibri" w:hint="eastAsia"/>
                <w:bCs/>
                <w:color w:val="auto"/>
                <w:szCs w:val="21"/>
              </w:rPr>
              <w:t>1</w:t>
            </w:r>
            <w:r w:rsidRPr="002E118B">
              <w:rPr>
                <w:rFonts w:ascii="Calibri" w:hAnsi="Calibri" w:hint="eastAsia"/>
                <w:bCs/>
                <w:color w:val="auto"/>
                <w:szCs w:val="21"/>
              </w:rPr>
              <w:t>座容积为</w:t>
            </w:r>
            <w:r>
              <w:rPr>
                <w:rFonts w:ascii="Calibri" w:hAnsi="Calibri"/>
                <w:bCs/>
                <w:color w:val="auto"/>
                <w:szCs w:val="21"/>
              </w:rPr>
              <w:t>580</w:t>
            </w:r>
            <w:r w:rsidRPr="002E118B">
              <w:rPr>
                <w:rFonts w:ascii="Calibri" w:hAnsi="Calibri" w:hint="eastAsia"/>
                <w:bCs/>
                <w:color w:val="auto"/>
                <w:szCs w:val="21"/>
              </w:rPr>
              <w:t>m</w:t>
            </w:r>
            <w:r w:rsidRPr="00DE50C9">
              <w:rPr>
                <w:rFonts w:ascii="Calibri" w:hAnsi="Calibri" w:hint="eastAsia"/>
                <w:bCs/>
                <w:color w:val="auto"/>
                <w:szCs w:val="21"/>
                <w:vertAlign w:val="superscript"/>
              </w:rPr>
              <w:t>3</w:t>
            </w:r>
            <w:r w:rsidRPr="002E118B">
              <w:rPr>
                <w:rFonts w:ascii="Calibri" w:hAnsi="Calibri" w:hint="eastAsia"/>
                <w:bCs/>
                <w:color w:val="auto"/>
                <w:szCs w:val="21"/>
              </w:rPr>
              <w:t>初期雨水收集池，并防渗</w:t>
            </w:r>
          </w:p>
        </w:tc>
        <w:tc>
          <w:tcPr>
            <w:tcW w:w="323" w:type="pct"/>
            <w:tcMar>
              <w:top w:w="28" w:type="dxa"/>
              <w:left w:w="28" w:type="dxa"/>
              <w:bottom w:w="28" w:type="dxa"/>
              <w:right w:w="28" w:type="dxa"/>
            </w:tcMar>
            <w:vAlign w:val="center"/>
          </w:tcPr>
          <w:p w14:paraId="455EE53E" w14:textId="77777777" w:rsidR="001238C2" w:rsidRPr="002E118B" w:rsidRDefault="001238C2" w:rsidP="0002141E">
            <w:pPr>
              <w:jc w:val="center"/>
              <w:rPr>
                <w:rFonts w:ascii="Calibri" w:hAnsi="Calibri"/>
                <w:bCs/>
                <w:color w:val="auto"/>
                <w:szCs w:val="21"/>
              </w:rPr>
            </w:pPr>
            <w:r w:rsidRPr="002E118B">
              <w:rPr>
                <w:rFonts w:ascii="Calibri" w:hAnsi="Calibri" w:hint="eastAsia"/>
                <w:bCs/>
                <w:color w:val="auto"/>
                <w:szCs w:val="21"/>
              </w:rPr>
              <w:t>1</w:t>
            </w:r>
            <w:r w:rsidRPr="002E118B">
              <w:rPr>
                <w:rFonts w:ascii="Calibri" w:hAnsi="Calibri" w:hint="eastAsia"/>
                <w:bCs/>
                <w:color w:val="auto"/>
                <w:szCs w:val="21"/>
              </w:rPr>
              <w:t>座</w:t>
            </w:r>
          </w:p>
        </w:tc>
        <w:tc>
          <w:tcPr>
            <w:tcW w:w="1789" w:type="pct"/>
            <w:vMerge/>
            <w:shd w:val="clear" w:color="auto" w:fill="auto"/>
            <w:tcMar>
              <w:top w:w="28" w:type="dxa"/>
              <w:left w:w="28" w:type="dxa"/>
              <w:bottom w:w="28" w:type="dxa"/>
              <w:right w:w="28" w:type="dxa"/>
            </w:tcMar>
            <w:vAlign w:val="center"/>
          </w:tcPr>
          <w:p w14:paraId="648D6146" w14:textId="77777777" w:rsidR="001238C2" w:rsidRPr="002E118B" w:rsidRDefault="001238C2" w:rsidP="0002141E">
            <w:pPr>
              <w:jc w:val="center"/>
              <w:rPr>
                <w:rFonts w:ascii="Calibri" w:hAnsi="Calibri"/>
                <w:bCs/>
                <w:color w:val="auto"/>
                <w:szCs w:val="21"/>
              </w:rPr>
            </w:pPr>
          </w:p>
        </w:tc>
        <w:tc>
          <w:tcPr>
            <w:tcW w:w="371" w:type="pct"/>
            <w:vMerge/>
            <w:tcMar>
              <w:top w:w="28" w:type="dxa"/>
              <w:left w:w="28" w:type="dxa"/>
              <w:bottom w:w="28" w:type="dxa"/>
              <w:right w:w="28" w:type="dxa"/>
            </w:tcMar>
            <w:vAlign w:val="center"/>
          </w:tcPr>
          <w:p w14:paraId="1ED9ADE6" w14:textId="77777777" w:rsidR="001238C2" w:rsidRPr="002E118B" w:rsidRDefault="001238C2" w:rsidP="0002141E">
            <w:pPr>
              <w:jc w:val="center"/>
              <w:rPr>
                <w:rFonts w:ascii="Calibri" w:hAnsi="Calibri"/>
                <w:bCs/>
                <w:color w:val="auto"/>
                <w:szCs w:val="21"/>
              </w:rPr>
            </w:pPr>
          </w:p>
        </w:tc>
      </w:tr>
      <w:tr w:rsidR="001238C2" w:rsidRPr="00A964FF" w14:paraId="0394462D" w14:textId="77777777" w:rsidTr="0002141E">
        <w:trPr>
          <w:trHeight w:val="340"/>
          <w:jc w:val="center"/>
        </w:trPr>
        <w:tc>
          <w:tcPr>
            <w:tcW w:w="1065" w:type="pct"/>
            <w:gridSpan w:val="2"/>
            <w:vMerge/>
            <w:tcMar>
              <w:top w:w="28" w:type="dxa"/>
              <w:left w:w="28" w:type="dxa"/>
              <w:bottom w:w="28" w:type="dxa"/>
              <w:right w:w="28" w:type="dxa"/>
            </w:tcMar>
            <w:vAlign w:val="center"/>
          </w:tcPr>
          <w:p w14:paraId="7BAD5EA7" w14:textId="77777777" w:rsidR="001238C2" w:rsidRPr="00A964FF" w:rsidRDefault="001238C2" w:rsidP="0002141E">
            <w:pPr>
              <w:jc w:val="center"/>
              <w:rPr>
                <w:rFonts w:ascii="Calibri"/>
                <w:color w:val="auto"/>
                <w:szCs w:val="21"/>
              </w:rPr>
            </w:pPr>
          </w:p>
        </w:tc>
        <w:tc>
          <w:tcPr>
            <w:tcW w:w="1452" w:type="pct"/>
            <w:shd w:val="clear" w:color="auto" w:fill="auto"/>
            <w:tcMar>
              <w:top w:w="28" w:type="dxa"/>
              <w:left w:w="28" w:type="dxa"/>
              <w:bottom w:w="28" w:type="dxa"/>
              <w:right w:w="28" w:type="dxa"/>
            </w:tcMar>
            <w:vAlign w:val="center"/>
          </w:tcPr>
          <w:p w14:paraId="45152E4B" w14:textId="77777777" w:rsidR="001238C2" w:rsidRPr="002E118B" w:rsidRDefault="001238C2" w:rsidP="0002141E">
            <w:pPr>
              <w:jc w:val="center"/>
              <w:rPr>
                <w:rFonts w:ascii="Calibri" w:hAnsi="Calibri"/>
                <w:bCs/>
                <w:color w:val="auto"/>
                <w:szCs w:val="21"/>
              </w:rPr>
            </w:pPr>
            <w:r w:rsidRPr="002E118B">
              <w:rPr>
                <w:rFonts w:ascii="Calibri" w:hAnsi="Calibri" w:hint="eastAsia"/>
                <w:bCs/>
                <w:color w:val="auto"/>
                <w:szCs w:val="21"/>
              </w:rPr>
              <w:t>设置围堰，安装可燃</w:t>
            </w:r>
            <w:r w:rsidRPr="002E118B">
              <w:rPr>
                <w:rFonts w:ascii="Calibri" w:hAnsi="Calibri"/>
                <w:bCs/>
                <w:color w:val="auto"/>
                <w:szCs w:val="21"/>
              </w:rPr>
              <w:t>气体泄漏报警仪</w:t>
            </w:r>
            <w:r w:rsidRPr="002E118B">
              <w:rPr>
                <w:rFonts w:ascii="Calibri" w:hAnsi="Calibri" w:hint="eastAsia"/>
                <w:bCs/>
                <w:color w:val="auto"/>
                <w:szCs w:val="21"/>
              </w:rPr>
              <w:t>；编制应急预案，加强演练</w:t>
            </w:r>
            <w:r w:rsidRPr="002E118B">
              <w:rPr>
                <w:rFonts w:ascii="Calibri" w:hAnsi="Calibri"/>
                <w:bCs/>
                <w:color w:val="auto"/>
                <w:szCs w:val="21"/>
              </w:rPr>
              <w:t>等</w:t>
            </w:r>
          </w:p>
        </w:tc>
        <w:tc>
          <w:tcPr>
            <w:tcW w:w="323" w:type="pct"/>
            <w:tcMar>
              <w:top w:w="28" w:type="dxa"/>
              <w:left w:w="28" w:type="dxa"/>
              <w:bottom w:w="28" w:type="dxa"/>
              <w:right w:w="28" w:type="dxa"/>
            </w:tcMar>
            <w:vAlign w:val="center"/>
          </w:tcPr>
          <w:p w14:paraId="589DD660" w14:textId="77777777" w:rsidR="001238C2" w:rsidRPr="002E118B" w:rsidRDefault="001238C2" w:rsidP="0002141E">
            <w:pPr>
              <w:jc w:val="center"/>
              <w:rPr>
                <w:rFonts w:ascii="Calibri" w:hAnsi="Calibri"/>
                <w:bCs/>
                <w:color w:val="auto"/>
                <w:szCs w:val="21"/>
              </w:rPr>
            </w:pPr>
            <w:r w:rsidRPr="002E118B">
              <w:rPr>
                <w:rFonts w:ascii="Calibri" w:hAnsi="Calibri" w:hint="eastAsia"/>
                <w:bCs/>
                <w:color w:val="auto"/>
                <w:szCs w:val="21"/>
              </w:rPr>
              <w:t>/</w:t>
            </w:r>
          </w:p>
        </w:tc>
        <w:tc>
          <w:tcPr>
            <w:tcW w:w="1789" w:type="pct"/>
            <w:vMerge/>
            <w:shd w:val="clear" w:color="auto" w:fill="auto"/>
            <w:tcMar>
              <w:top w:w="28" w:type="dxa"/>
              <w:left w:w="28" w:type="dxa"/>
              <w:bottom w:w="28" w:type="dxa"/>
              <w:right w:w="28" w:type="dxa"/>
            </w:tcMar>
            <w:vAlign w:val="center"/>
          </w:tcPr>
          <w:p w14:paraId="3A3606A1" w14:textId="77777777" w:rsidR="001238C2" w:rsidRPr="002E118B" w:rsidRDefault="001238C2" w:rsidP="0002141E">
            <w:pPr>
              <w:jc w:val="center"/>
              <w:rPr>
                <w:rFonts w:ascii="Calibri" w:hAnsi="Calibri"/>
                <w:bCs/>
                <w:color w:val="auto"/>
                <w:szCs w:val="21"/>
              </w:rPr>
            </w:pPr>
          </w:p>
        </w:tc>
        <w:tc>
          <w:tcPr>
            <w:tcW w:w="371" w:type="pct"/>
            <w:vMerge/>
            <w:tcMar>
              <w:top w:w="28" w:type="dxa"/>
              <w:left w:w="28" w:type="dxa"/>
              <w:bottom w:w="28" w:type="dxa"/>
              <w:right w:w="28" w:type="dxa"/>
            </w:tcMar>
            <w:vAlign w:val="center"/>
          </w:tcPr>
          <w:p w14:paraId="45A91B97" w14:textId="77777777" w:rsidR="001238C2" w:rsidRPr="002E118B" w:rsidRDefault="001238C2" w:rsidP="0002141E">
            <w:pPr>
              <w:jc w:val="center"/>
              <w:rPr>
                <w:rFonts w:ascii="Calibri" w:hAnsi="Calibri"/>
                <w:bCs/>
                <w:color w:val="auto"/>
                <w:szCs w:val="21"/>
              </w:rPr>
            </w:pPr>
          </w:p>
        </w:tc>
      </w:tr>
    </w:tbl>
    <w:p w14:paraId="6A54E969" w14:textId="77777777" w:rsidR="009058A1" w:rsidRPr="003B2345" w:rsidRDefault="009058A1" w:rsidP="001238C2">
      <w:pPr>
        <w:pStyle w:val="00"/>
        <w:ind w:firstLineChars="200"/>
        <w:rPr>
          <w:rFonts w:ascii="Calibri"/>
          <w:noProof/>
          <w:color w:val="auto"/>
        </w:rPr>
      </w:pPr>
      <w:r w:rsidRPr="003B2345">
        <w:rPr>
          <w:rFonts w:ascii="Calibri" w:hint="eastAsia"/>
          <w:noProof/>
          <w:color w:val="auto"/>
        </w:rPr>
        <w:t>（</w:t>
      </w:r>
      <w:r w:rsidRPr="003B2345">
        <w:rPr>
          <w:rFonts w:ascii="Calibri" w:hint="eastAsia"/>
          <w:noProof/>
          <w:color w:val="auto"/>
        </w:rPr>
        <w:t>3</w:t>
      </w:r>
      <w:r w:rsidRPr="003B2345">
        <w:rPr>
          <w:rFonts w:ascii="Calibri" w:hint="eastAsia"/>
          <w:noProof/>
          <w:color w:val="auto"/>
        </w:rPr>
        <w:t>）社会公开信息内容</w:t>
      </w:r>
    </w:p>
    <w:p w14:paraId="568B62C5" w14:textId="77777777" w:rsidR="009058A1" w:rsidRPr="00A964FF" w:rsidRDefault="009058A1" w:rsidP="009058A1">
      <w:pPr>
        <w:pStyle w:val="00"/>
        <w:rPr>
          <w:rFonts w:ascii="Calibri" w:hAnsi="Calibri"/>
          <w:noProof/>
          <w:color w:val="auto"/>
        </w:rPr>
      </w:pPr>
      <w:r w:rsidRPr="00A964FF">
        <w:rPr>
          <w:rFonts w:ascii="Calibri" w:hAnsi="Calibri" w:hint="eastAsia"/>
          <w:noProof/>
          <w:color w:val="auto"/>
        </w:rPr>
        <w:t>企业建成后应该按照环境保护部文件环发【</w:t>
      </w:r>
      <w:r w:rsidRPr="00A964FF">
        <w:rPr>
          <w:rFonts w:ascii="Calibri" w:hAnsi="Calibri" w:hint="eastAsia"/>
          <w:noProof/>
          <w:color w:val="auto"/>
        </w:rPr>
        <w:t>2015</w:t>
      </w:r>
      <w:r w:rsidRPr="00A964FF">
        <w:rPr>
          <w:rFonts w:ascii="Calibri" w:hAnsi="Calibri" w:hint="eastAsia"/>
          <w:noProof/>
          <w:color w:val="auto"/>
        </w:rPr>
        <w:t>】</w:t>
      </w:r>
      <w:r w:rsidRPr="00A964FF">
        <w:rPr>
          <w:rFonts w:ascii="Calibri" w:hAnsi="Calibri" w:hint="eastAsia"/>
          <w:noProof/>
          <w:color w:val="auto"/>
        </w:rPr>
        <w:t>162</w:t>
      </w:r>
      <w:r w:rsidRPr="00A964FF">
        <w:rPr>
          <w:rFonts w:ascii="Calibri" w:hAnsi="Calibri" w:hint="eastAsia"/>
          <w:noProof/>
          <w:color w:val="auto"/>
        </w:rPr>
        <w:t>号《建设项目环境影响评价信息公开机制方案》和河南省环境保护厅公告</w:t>
      </w:r>
      <w:r w:rsidRPr="00A964FF">
        <w:rPr>
          <w:rFonts w:ascii="Calibri" w:hAnsi="Calibri" w:hint="eastAsia"/>
          <w:noProof/>
          <w:color w:val="auto"/>
        </w:rPr>
        <w:t>2016</w:t>
      </w:r>
      <w:r w:rsidRPr="00A964FF">
        <w:rPr>
          <w:rFonts w:ascii="Calibri" w:hAnsi="Calibri" w:hint="eastAsia"/>
          <w:noProof/>
          <w:color w:val="auto"/>
        </w:rPr>
        <w:t>年第</w:t>
      </w:r>
      <w:r w:rsidRPr="00A964FF">
        <w:rPr>
          <w:rFonts w:ascii="Calibri" w:hAnsi="Calibri" w:hint="eastAsia"/>
          <w:noProof/>
          <w:color w:val="auto"/>
        </w:rPr>
        <w:t>7</w:t>
      </w:r>
      <w:r w:rsidRPr="00A964FF">
        <w:rPr>
          <w:rFonts w:ascii="Calibri" w:hAnsi="Calibri" w:hint="eastAsia"/>
          <w:noProof/>
          <w:color w:val="auto"/>
        </w:rPr>
        <w:t>号《关于加强建设项目环境影响评价信息公开工作的公告》的要求向社会公开项目的信息内容，主要内容见表</w:t>
      </w:r>
      <w:r w:rsidR="002C3863" w:rsidRPr="00A964FF">
        <w:rPr>
          <w:rFonts w:ascii="Calibri" w:hAnsi="Calibri" w:hint="eastAsia"/>
          <w:noProof/>
          <w:color w:val="auto"/>
        </w:rPr>
        <w:t>7</w:t>
      </w:r>
      <w:r w:rsidRPr="00A964FF">
        <w:rPr>
          <w:rFonts w:ascii="Calibri" w:hAnsi="Calibri" w:hint="eastAsia"/>
          <w:noProof/>
          <w:color w:val="auto"/>
        </w:rPr>
        <w:t>.1-</w:t>
      </w:r>
      <w:r w:rsidR="00AA575B" w:rsidRPr="00A964FF">
        <w:rPr>
          <w:rFonts w:ascii="Calibri" w:hAnsi="Calibri" w:hint="eastAsia"/>
          <w:noProof/>
          <w:color w:val="auto"/>
        </w:rPr>
        <w:t>9</w:t>
      </w:r>
      <w:r w:rsidRPr="00A964FF">
        <w:rPr>
          <w:rFonts w:ascii="Calibri" w:hAnsi="Calibri" w:hint="eastAsia"/>
          <w:noProof/>
          <w:color w:val="auto"/>
        </w:rPr>
        <w:t>。</w:t>
      </w:r>
    </w:p>
    <w:p w14:paraId="3C59028C" w14:textId="77777777" w:rsidR="009058A1" w:rsidRPr="00A964FF" w:rsidRDefault="009058A1" w:rsidP="009058A1">
      <w:pPr>
        <w:pStyle w:val="00"/>
        <w:rPr>
          <w:rFonts w:asciiTheme="minorHAnsi" w:eastAsia="黑体" w:hAnsiTheme="minorHAnsi"/>
          <w:color w:val="auto"/>
        </w:rPr>
      </w:pPr>
      <w:r w:rsidRPr="00A964FF">
        <w:rPr>
          <w:rFonts w:asciiTheme="minorHAnsi" w:eastAsia="黑体" w:hAnsi="黑体"/>
          <w:color w:val="auto"/>
        </w:rPr>
        <w:t>表</w:t>
      </w:r>
      <w:r w:rsidR="002C3863" w:rsidRPr="00A964FF">
        <w:rPr>
          <w:rFonts w:asciiTheme="minorHAnsi" w:eastAsia="黑体" w:hAnsiTheme="minorHAnsi"/>
          <w:color w:val="auto"/>
        </w:rPr>
        <w:t>7</w:t>
      </w:r>
      <w:r w:rsidRPr="00A964FF">
        <w:rPr>
          <w:rFonts w:asciiTheme="minorHAnsi" w:eastAsia="黑体" w:hAnsiTheme="minorHAnsi"/>
          <w:color w:val="auto"/>
        </w:rPr>
        <w:t>.1-</w:t>
      </w:r>
      <w:r w:rsidR="00AA575B" w:rsidRPr="00A964FF">
        <w:rPr>
          <w:rFonts w:asciiTheme="minorHAnsi" w:eastAsia="黑体" w:hAnsiTheme="minorHAnsi" w:hint="eastAsia"/>
          <w:color w:val="auto"/>
        </w:rPr>
        <w:t>9</w:t>
      </w:r>
      <w:r w:rsidRPr="00A964FF">
        <w:rPr>
          <w:rFonts w:asciiTheme="minorHAnsi" w:eastAsia="黑体" w:hAnsiTheme="minorHAnsi"/>
          <w:color w:val="auto"/>
        </w:rPr>
        <w:t xml:space="preserve">             </w:t>
      </w:r>
      <w:r w:rsidRPr="00A964FF">
        <w:rPr>
          <w:rFonts w:asciiTheme="minorHAnsi" w:eastAsia="黑体" w:hAnsi="黑体"/>
          <w:color w:val="auto"/>
        </w:rPr>
        <w:t>企业应向社会公开信息内容一览表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30"/>
        <w:gridCol w:w="1122"/>
        <w:gridCol w:w="1966"/>
        <w:gridCol w:w="4882"/>
      </w:tblGrid>
      <w:tr w:rsidR="009058A1" w:rsidRPr="00A964FF" w14:paraId="09D9935F" w14:textId="77777777" w:rsidTr="00271ACD">
        <w:trPr>
          <w:trHeight w:val="255"/>
          <w:jc w:val="center"/>
        </w:trPr>
        <w:tc>
          <w:tcPr>
            <w:tcW w:w="419" w:type="pct"/>
            <w:tcMar>
              <w:top w:w="28" w:type="dxa"/>
              <w:left w:w="28" w:type="dxa"/>
              <w:bottom w:w="28" w:type="dxa"/>
              <w:right w:w="28" w:type="dxa"/>
            </w:tcMar>
            <w:vAlign w:val="center"/>
          </w:tcPr>
          <w:p w14:paraId="3DC38CAD" w14:textId="77777777" w:rsidR="009058A1" w:rsidRPr="00A964FF" w:rsidRDefault="009058A1" w:rsidP="00271ACD">
            <w:pPr>
              <w:jc w:val="center"/>
              <w:rPr>
                <w:rFonts w:ascii="Calibri"/>
                <w:color w:val="auto"/>
                <w:szCs w:val="21"/>
              </w:rPr>
            </w:pPr>
            <w:r w:rsidRPr="00A964FF">
              <w:rPr>
                <w:rFonts w:ascii="Calibri"/>
                <w:color w:val="auto"/>
                <w:szCs w:val="21"/>
              </w:rPr>
              <w:t>序号</w:t>
            </w:r>
          </w:p>
        </w:tc>
        <w:tc>
          <w:tcPr>
            <w:tcW w:w="4581" w:type="pct"/>
            <w:gridSpan w:val="3"/>
            <w:tcMar>
              <w:top w:w="28" w:type="dxa"/>
              <w:left w:w="28" w:type="dxa"/>
              <w:bottom w:w="28" w:type="dxa"/>
              <w:right w:w="28" w:type="dxa"/>
            </w:tcMar>
            <w:vAlign w:val="center"/>
          </w:tcPr>
          <w:p w14:paraId="11F89E32" w14:textId="77777777" w:rsidR="009058A1" w:rsidRPr="00A964FF" w:rsidRDefault="009058A1" w:rsidP="00271ACD">
            <w:pPr>
              <w:jc w:val="center"/>
              <w:rPr>
                <w:rFonts w:ascii="Calibri"/>
                <w:color w:val="auto"/>
                <w:szCs w:val="21"/>
              </w:rPr>
            </w:pPr>
            <w:r w:rsidRPr="00A964FF">
              <w:rPr>
                <w:rFonts w:ascii="Calibri"/>
                <w:color w:val="auto"/>
                <w:szCs w:val="21"/>
              </w:rPr>
              <w:t>企业信息公开内容</w:t>
            </w:r>
          </w:p>
        </w:tc>
      </w:tr>
      <w:tr w:rsidR="009058A1" w:rsidRPr="00A964FF" w14:paraId="000535A1" w14:textId="77777777" w:rsidTr="00271ACD">
        <w:trPr>
          <w:trHeight w:val="255"/>
          <w:jc w:val="center"/>
        </w:trPr>
        <w:tc>
          <w:tcPr>
            <w:tcW w:w="419" w:type="pct"/>
            <w:vMerge w:val="restart"/>
            <w:tcMar>
              <w:top w:w="28" w:type="dxa"/>
              <w:left w:w="28" w:type="dxa"/>
              <w:bottom w:w="28" w:type="dxa"/>
              <w:right w:w="28" w:type="dxa"/>
            </w:tcMar>
            <w:vAlign w:val="center"/>
          </w:tcPr>
          <w:p w14:paraId="7AF7679E" w14:textId="77777777" w:rsidR="009058A1" w:rsidRPr="00A964FF" w:rsidRDefault="009058A1" w:rsidP="00271ACD">
            <w:pPr>
              <w:jc w:val="center"/>
              <w:rPr>
                <w:rFonts w:ascii="Calibri"/>
                <w:color w:val="auto"/>
                <w:szCs w:val="21"/>
              </w:rPr>
            </w:pPr>
            <w:r w:rsidRPr="00A964FF">
              <w:rPr>
                <w:rFonts w:ascii="Calibri"/>
                <w:color w:val="auto"/>
                <w:szCs w:val="21"/>
              </w:rPr>
              <w:t>1</w:t>
            </w:r>
          </w:p>
        </w:tc>
        <w:tc>
          <w:tcPr>
            <w:tcW w:w="645" w:type="pct"/>
            <w:vMerge w:val="restart"/>
            <w:tcMar>
              <w:top w:w="28" w:type="dxa"/>
              <w:left w:w="28" w:type="dxa"/>
              <w:bottom w:w="28" w:type="dxa"/>
              <w:right w:w="28" w:type="dxa"/>
            </w:tcMar>
            <w:vAlign w:val="center"/>
          </w:tcPr>
          <w:p w14:paraId="004F1CE0"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排污单位</w:t>
            </w:r>
          </w:p>
          <w:p w14:paraId="7613763E"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基本情况</w:t>
            </w:r>
          </w:p>
        </w:tc>
        <w:tc>
          <w:tcPr>
            <w:tcW w:w="1130" w:type="pct"/>
            <w:tcMar>
              <w:top w:w="28" w:type="dxa"/>
              <w:left w:w="28" w:type="dxa"/>
              <w:bottom w:w="28" w:type="dxa"/>
              <w:right w:w="28" w:type="dxa"/>
            </w:tcMar>
            <w:vAlign w:val="center"/>
          </w:tcPr>
          <w:p w14:paraId="63AC238E"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排污单位基本信息</w:t>
            </w:r>
          </w:p>
        </w:tc>
        <w:tc>
          <w:tcPr>
            <w:tcW w:w="2806" w:type="pct"/>
            <w:tcMar>
              <w:top w:w="28" w:type="dxa"/>
              <w:left w:w="28" w:type="dxa"/>
              <w:bottom w:w="28" w:type="dxa"/>
              <w:right w:w="28" w:type="dxa"/>
            </w:tcMar>
            <w:vAlign w:val="center"/>
          </w:tcPr>
          <w:p w14:paraId="5DDCF08D"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公司名称、行业类别、投产日期</w:t>
            </w:r>
          </w:p>
        </w:tc>
      </w:tr>
      <w:tr w:rsidR="009058A1" w:rsidRPr="00A964FF" w14:paraId="13D9F27A" w14:textId="77777777" w:rsidTr="00271ACD">
        <w:trPr>
          <w:trHeight w:val="255"/>
          <w:jc w:val="center"/>
        </w:trPr>
        <w:tc>
          <w:tcPr>
            <w:tcW w:w="419" w:type="pct"/>
            <w:vMerge/>
            <w:tcMar>
              <w:top w:w="28" w:type="dxa"/>
              <w:left w:w="28" w:type="dxa"/>
              <w:bottom w:w="28" w:type="dxa"/>
              <w:right w:w="28" w:type="dxa"/>
            </w:tcMar>
            <w:vAlign w:val="center"/>
          </w:tcPr>
          <w:p w14:paraId="62E7243F" w14:textId="77777777" w:rsidR="009058A1" w:rsidRPr="00A964FF" w:rsidRDefault="009058A1" w:rsidP="00271ACD">
            <w:pPr>
              <w:jc w:val="center"/>
              <w:rPr>
                <w:rFonts w:ascii="Calibri"/>
                <w:color w:val="auto"/>
                <w:szCs w:val="21"/>
              </w:rPr>
            </w:pPr>
          </w:p>
        </w:tc>
        <w:tc>
          <w:tcPr>
            <w:tcW w:w="645" w:type="pct"/>
            <w:vMerge/>
            <w:tcMar>
              <w:top w:w="28" w:type="dxa"/>
              <w:left w:w="28" w:type="dxa"/>
              <w:bottom w:w="28" w:type="dxa"/>
              <w:right w:w="28" w:type="dxa"/>
            </w:tcMar>
            <w:vAlign w:val="center"/>
          </w:tcPr>
          <w:p w14:paraId="58667F05" w14:textId="77777777" w:rsidR="009058A1" w:rsidRPr="00A964FF" w:rsidRDefault="009058A1" w:rsidP="00271ACD">
            <w:pPr>
              <w:widowControl/>
              <w:jc w:val="center"/>
              <w:rPr>
                <w:rFonts w:ascii="Calibri"/>
                <w:color w:val="auto"/>
                <w:szCs w:val="21"/>
              </w:rPr>
            </w:pPr>
          </w:p>
        </w:tc>
        <w:tc>
          <w:tcPr>
            <w:tcW w:w="1130" w:type="pct"/>
            <w:tcMar>
              <w:top w:w="28" w:type="dxa"/>
              <w:left w:w="28" w:type="dxa"/>
              <w:bottom w:w="28" w:type="dxa"/>
              <w:right w:w="28" w:type="dxa"/>
            </w:tcMar>
            <w:vAlign w:val="center"/>
          </w:tcPr>
          <w:p w14:paraId="6F23CD5D"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主要产品及产能</w:t>
            </w:r>
          </w:p>
        </w:tc>
        <w:tc>
          <w:tcPr>
            <w:tcW w:w="2806" w:type="pct"/>
            <w:tcMar>
              <w:top w:w="28" w:type="dxa"/>
              <w:left w:w="28" w:type="dxa"/>
              <w:bottom w:w="28" w:type="dxa"/>
              <w:right w:w="28" w:type="dxa"/>
            </w:tcMar>
            <w:vAlign w:val="center"/>
          </w:tcPr>
          <w:p w14:paraId="4B8A4DDD"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主要生产工艺、生产设施名称、生产设施参数、产品名称、生产能力和计量单位等</w:t>
            </w:r>
          </w:p>
        </w:tc>
      </w:tr>
      <w:tr w:rsidR="009058A1" w:rsidRPr="00A964FF" w14:paraId="66246405" w14:textId="77777777" w:rsidTr="00271ACD">
        <w:trPr>
          <w:trHeight w:val="255"/>
          <w:jc w:val="center"/>
        </w:trPr>
        <w:tc>
          <w:tcPr>
            <w:tcW w:w="419" w:type="pct"/>
            <w:vMerge/>
            <w:tcMar>
              <w:top w:w="28" w:type="dxa"/>
              <w:left w:w="28" w:type="dxa"/>
              <w:bottom w:w="28" w:type="dxa"/>
              <w:right w:w="28" w:type="dxa"/>
            </w:tcMar>
            <w:vAlign w:val="center"/>
          </w:tcPr>
          <w:p w14:paraId="2B37E7F8" w14:textId="77777777" w:rsidR="009058A1" w:rsidRPr="00A964FF" w:rsidRDefault="009058A1" w:rsidP="00271ACD">
            <w:pPr>
              <w:jc w:val="center"/>
              <w:rPr>
                <w:rFonts w:ascii="Calibri"/>
                <w:color w:val="auto"/>
                <w:szCs w:val="21"/>
              </w:rPr>
            </w:pPr>
          </w:p>
        </w:tc>
        <w:tc>
          <w:tcPr>
            <w:tcW w:w="645" w:type="pct"/>
            <w:vMerge/>
            <w:tcMar>
              <w:top w:w="28" w:type="dxa"/>
              <w:left w:w="28" w:type="dxa"/>
              <w:bottom w:w="28" w:type="dxa"/>
              <w:right w:w="28" w:type="dxa"/>
            </w:tcMar>
            <w:vAlign w:val="center"/>
          </w:tcPr>
          <w:p w14:paraId="1ACAF109" w14:textId="77777777" w:rsidR="009058A1" w:rsidRPr="00A964FF" w:rsidRDefault="009058A1" w:rsidP="00271ACD">
            <w:pPr>
              <w:widowControl/>
              <w:jc w:val="center"/>
              <w:rPr>
                <w:rFonts w:ascii="Calibri"/>
                <w:color w:val="auto"/>
                <w:szCs w:val="21"/>
              </w:rPr>
            </w:pPr>
          </w:p>
        </w:tc>
        <w:tc>
          <w:tcPr>
            <w:tcW w:w="1130" w:type="pct"/>
            <w:tcMar>
              <w:top w:w="28" w:type="dxa"/>
              <w:left w:w="28" w:type="dxa"/>
              <w:bottom w:w="28" w:type="dxa"/>
              <w:right w:w="28" w:type="dxa"/>
            </w:tcMar>
            <w:vAlign w:val="center"/>
          </w:tcPr>
          <w:p w14:paraId="768D94DF"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主要原辅材料及燃料</w:t>
            </w:r>
          </w:p>
        </w:tc>
        <w:tc>
          <w:tcPr>
            <w:tcW w:w="2806" w:type="pct"/>
            <w:tcMar>
              <w:top w:w="28" w:type="dxa"/>
              <w:left w:w="28" w:type="dxa"/>
              <w:bottom w:w="28" w:type="dxa"/>
              <w:right w:w="28" w:type="dxa"/>
            </w:tcMar>
            <w:vAlign w:val="center"/>
          </w:tcPr>
          <w:p w14:paraId="30952E77"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原辅材料和燃料用量、规格等</w:t>
            </w:r>
          </w:p>
        </w:tc>
      </w:tr>
      <w:tr w:rsidR="009058A1" w:rsidRPr="00A964FF" w14:paraId="56B704D7" w14:textId="77777777" w:rsidTr="00271ACD">
        <w:trPr>
          <w:trHeight w:val="255"/>
          <w:jc w:val="center"/>
        </w:trPr>
        <w:tc>
          <w:tcPr>
            <w:tcW w:w="419" w:type="pct"/>
            <w:vMerge/>
            <w:tcMar>
              <w:top w:w="28" w:type="dxa"/>
              <w:left w:w="28" w:type="dxa"/>
              <w:bottom w:w="28" w:type="dxa"/>
              <w:right w:w="28" w:type="dxa"/>
            </w:tcMar>
            <w:vAlign w:val="center"/>
          </w:tcPr>
          <w:p w14:paraId="1D1DF706" w14:textId="77777777" w:rsidR="009058A1" w:rsidRPr="00A964FF" w:rsidRDefault="009058A1" w:rsidP="00271ACD">
            <w:pPr>
              <w:jc w:val="center"/>
              <w:rPr>
                <w:rFonts w:ascii="Calibri"/>
                <w:color w:val="auto"/>
                <w:szCs w:val="21"/>
              </w:rPr>
            </w:pPr>
          </w:p>
        </w:tc>
        <w:tc>
          <w:tcPr>
            <w:tcW w:w="645" w:type="pct"/>
            <w:vMerge/>
            <w:tcMar>
              <w:top w:w="28" w:type="dxa"/>
              <w:left w:w="28" w:type="dxa"/>
              <w:bottom w:w="28" w:type="dxa"/>
              <w:right w:w="28" w:type="dxa"/>
            </w:tcMar>
            <w:vAlign w:val="center"/>
          </w:tcPr>
          <w:p w14:paraId="219A678A" w14:textId="77777777" w:rsidR="009058A1" w:rsidRPr="00A964FF" w:rsidRDefault="009058A1" w:rsidP="00271ACD">
            <w:pPr>
              <w:widowControl/>
              <w:jc w:val="center"/>
              <w:rPr>
                <w:rFonts w:ascii="Calibri"/>
                <w:color w:val="auto"/>
                <w:szCs w:val="21"/>
              </w:rPr>
            </w:pPr>
          </w:p>
        </w:tc>
        <w:tc>
          <w:tcPr>
            <w:tcW w:w="1130" w:type="pct"/>
            <w:tcMar>
              <w:top w:w="28" w:type="dxa"/>
              <w:left w:w="28" w:type="dxa"/>
              <w:bottom w:w="28" w:type="dxa"/>
              <w:right w:w="28" w:type="dxa"/>
            </w:tcMar>
            <w:vAlign w:val="center"/>
          </w:tcPr>
          <w:p w14:paraId="3B82E21D"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产排污节点污染物</w:t>
            </w:r>
          </w:p>
          <w:p w14:paraId="2729493B"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及治理措施</w:t>
            </w:r>
          </w:p>
        </w:tc>
        <w:tc>
          <w:tcPr>
            <w:tcW w:w="2806" w:type="pct"/>
            <w:tcMar>
              <w:top w:w="28" w:type="dxa"/>
              <w:left w:w="28" w:type="dxa"/>
              <w:bottom w:w="28" w:type="dxa"/>
              <w:right w:w="28" w:type="dxa"/>
            </w:tcMar>
            <w:vAlign w:val="center"/>
          </w:tcPr>
          <w:p w14:paraId="75EB15FA"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给出生产设施名称、产排污节点、污染物种类、名称排放形式等</w:t>
            </w:r>
          </w:p>
        </w:tc>
      </w:tr>
      <w:tr w:rsidR="009058A1" w:rsidRPr="00A964FF" w14:paraId="5DFD5C32" w14:textId="77777777" w:rsidTr="00271ACD">
        <w:trPr>
          <w:trHeight w:val="255"/>
          <w:jc w:val="center"/>
        </w:trPr>
        <w:tc>
          <w:tcPr>
            <w:tcW w:w="419" w:type="pct"/>
            <w:vMerge w:val="restart"/>
            <w:tcMar>
              <w:top w:w="28" w:type="dxa"/>
              <w:left w:w="28" w:type="dxa"/>
              <w:bottom w:w="28" w:type="dxa"/>
              <w:right w:w="28" w:type="dxa"/>
            </w:tcMar>
            <w:vAlign w:val="center"/>
          </w:tcPr>
          <w:p w14:paraId="46419109" w14:textId="77777777" w:rsidR="009058A1" w:rsidRPr="00A964FF" w:rsidRDefault="009058A1" w:rsidP="00271ACD">
            <w:pPr>
              <w:jc w:val="center"/>
              <w:rPr>
                <w:rFonts w:ascii="Calibri"/>
                <w:color w:val="auto"/>
                <w:szCs w:val="21"/>
              </w:rPr>
            </w:pPr>
            <w:r w:rsidRPr="00A964FF">
              <w:rPr>
                <w:rFonts w:ascii="Calibri"/>
                <w:color w:val="auto"/>
                <w:szCs w:val="21"/>
              </w:rPr>
              <w:t>2</w:t>
            </w:r>
          </w:p>
        </w:tc>
        <w:tc>
          <w:tcPr>
            <w:tcW w:w="645" w:type="pct"/>
            <w:vMerge w:val="restart"/>
            <w:tcMar>
              <w:top w:w="28" w:type="dxa"/>
              <w:left w:w="28" w:type="dxa"/>
              <w:bottom w:w="28" w:type="dxa"/>
              <w:right w:w="28" w:type="dxa"/>
            </w:tcMar>
            <w:vAlign w:val="center"/>
          </w:tcPr>
          <w:p w14:paraId="5C65D372"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大气污染物</w:t>
            </w:r>
          </w:p>
          <w:p w14:paraId="496D99B3"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排放信息</w:t>
            </w:r>
          </w:p>
        </w:tc>
        <w:tc>
          <w:tcPr>
            <w:tcW w:w="1130" w:type="pct"/>
            <w:tcMar>
              <w:top w:w="28" w:type="dxa"/>
              <w:left w:w="28" w:type="dxa"/>
              <w:bottom w:w="28" w:type="dxa"/>
              <w:right w:w="28" w:type="dxa"/>
            </w:tcMar>
            <w:vAlign w:val="center"/>
          </w:tcPr>
          <w:p w14:paraId="0CAE4757"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有组织排放</w:t>
            </w:r>
          </w:p>
        </w:tc>
        <w:tc>
          <w:tcPr>
            <w:tcW w:w="2806" w:type="pct"/>
            <w:tcMar>
              <w:top w:w="28" w:type="dxa"/>
              <w:left w:w="28" w:type="dxa"/>
              <w:bottom w:w="28" w:type="dxa"/>
              <w:right w:w="28" w:type="dxa"/>
            </w:tcMar>
            <w:vAlign w:val="center"/>
          </w:tcPr>
          <w:p w14:paraId="14F389E2"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排放口地理坐标、排气筒出口内径、污染物排放量、执行标准等</w:t>
            </w:r>
          </w:p>
        </w:tc>
      </w:tr>
      <w:tr w:rsidR="009058A1" w:rsidRPr="00A964FF" w14:paraId="0F0A45E1" w14:textId="77777777" w:rsidTr="00271ACD">
        <w:trPr>
          <w:trHeight w:val="255"/>
          <w:jc w:val="center"/>
        </w:trPr>
        <w:tc>
          <w:tcPr>
            <w:tcW w:w="419" w:type="pct"/>
            <w:vMerge/>
            <w:tcMar>
              <w:top w:w="28" w:type="dxa"/>
              <w:left w:w="28" w:type="dxa"/>
              <w:bottom w:w="28" w:type="dxa"/>
              <w:right w:w="28" w:type="dxa"/>
            </w:tcMar>
            <w:vAlign w:val="center"/>
          </w:tcPr>
          <w:p w14:paraId="5BC6D3BD" w14:textId="77777777" w:rsidR="009058A1" w:rsidRPr="00A964FF" w:rsidRDefault="009058A1" w:rsidP="00271ACD">
            <w:pPr>
              <w:jc w:val="center"/>
              <w:rPr>
                <w:rFonts w:ascii="Calibri"/>
                <w:color w:val="auto"/>
                <w:szCs w:val="21"/>
              </w:rPr>
            </w:pPr>
          </w:p>
        </w:tc>
        <w:tc>
          <w:tcPr>
            <w:tcW w:w="645" w:type="pct"/>
            <w:vMerge/>
            <w:tcMar>
              <w:top w:w="28" w:type="dxa"/>
              <w:left w:w="28" w:type="dxa"/>
              <w:bottom w:w="28" w:type="dxa"/>
              <w:right w:w="28" w:type="dxa"/>
            </w:tcMar>
            <w:vAlign w:val="center"/>
          </w:tcPr>
          <w:p w14:paraId="75B5D0E0" w14:textId="77777777" w:rsidR="009058A1" w:rsidRPr="00A964FF" w:rsidRDefault="009058A1" w:rsidP="00271ACD">
            <w:pPr>
              <w:widowControl/>
              <w:jc w:val="center"/>
              <w:rPr>
                <w:rFonts w:ascii="Calibri"/>
                <w:color w:val="auto"/>
                <w:szCs w:val="21"/>
              </w:rPr>
            </w:pPr>
          </w:p>
        </w:tc>
        <w:tc>
          <w:tcPr>
            <w:tcW w:w="1130" w:type="pct"/>
            <w:tcMar>
              <w:top w:w="28" w:type="dxa"/>
              <w:left w:w="28" w:type="dxa"/>
              <w:bottom w:w="28" w:type="dxa"/>
              <w:right w:w="28" w:type="dxa"/>
            </w:tcMar>
            <w:vAlign w:val="center"/>
          </w:tcPr>
          <w:p w14:paraId="5B1B0BB2"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无组织排放</w:t>
            </w:r>
          </w:p>
        </w:tc>
        <w:tc>
          <w:tcPr>
            <w:tcW w:w="2806" w:type="pct"/>
            <w:tcMar>
              <w:top w:w="28" w:type="dxa"/>
              <w:left w:w="28" w:type="dxa"/>
              <w:bottom w:w="28" w:type="dxa"/>
              <w:right w:w="28" w:type="dxa"/>
            </w:tcMar>
            <w:vAlign w:val="center"/>
          </w:tcPr>
          <w:p w14:paraId="379CA247"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产污环节、污染物种类、排放量等</w:t>
            </w:r>
          </w:p>
        </w:tc>
      </w:tr>
      <w:tr w:rsidR="009058A1" w:rsidRPr="00A964FF" w14:paraId="0DBA1D4F" w14:textId="77777777" w:rsidTr="00271ACD">
        <w:trPr>
          <w:trHeight w:val="255"/>
          <w:jc w:val="center"/>
        </w:trPr>
        <w:tc>
          <w:tcPr>
            <w:tcW w:w="419" w:type="pct"/>
            <w:vMerge/>
            <w:tcMar>
              <w:top w:w="28" w:type="dxa"/>
              <w:left w:w="28" w:type="dxa"/>
              <w:bottom w:w="28" w:type="dxa"/>
              <w:right w:w="28" w:type="dxa"/>
            </w:tcMar>
            <w:vAlign w:val="center"/>
          </w:tcPr>
          <w:p w14:paraId="1827722D" w14:textId="77777777" w:rsidR="009058A1" w:rsidRPr="00A964FF" w:rsidRDefault="009058A1" w:rsidP="00271ACD">
            <w:pPr>
              <w:jc w:val="center"/>
              <w:rPr>
                <w:rFonts w:ascii="Calibri"/>
                <w:color w:val="auto"/>
                <w:szCs w:val="21"/>
              </w:rPr>
            </w:pPr>
          </w:p>
        </w:tc>
        <w:tc>
          <w:tcPr>
            <w:tcW w:w="645" w:type="pct"/>
            <w:vMerge/>
            <w:tcMar>
              <w:top w:w="28" w:type="dxa"/>
              <w:left w:w="28" w:type="dxa"/>
              <w:bottom w:w="28" w:type="dxa"/>
              <w:right w:w="28" w:type="dxa"/>
            </w:tcMar>
            <w:vAlign w:val="center"/>
          </w:tcPr>
          <w:p w14:paraId="3C53ECFC" w14:textId="77777777" w:rsidR="009058A1" w:rsidRPr="00A964FF" w:rsidRDefault="009058A1" w:rsidP="00271ACD">
            <w:pPr>
              <w:widowControl/>
              <w:jc w:val="center"/>
              <w:rPr>
                <w:rFonts w:ascii="Calibri"/>
                <w:color w:val="auto"/>
                <w:szCs w:val="21"/>
              </w:rPr>
            </w:pPr>
          </w:p>
        </w:tc>
        <w:tc>
          <w:tcPr>
            <w:tcW w:w="1130" w:type="pct"/>
            <w:tcMar>
              <w:top w:w="28" w:type="dxa"/>
              <w:left w:w="28" w:type="dxa"/>
              <w:bottom w:w="28" w:type="dxa"/>
              <w:right w:w="28" w:type="dxa"/>
            </w:tcMar>
            <w:vAlign w:val="center"/>
          </w:tcPr>
          <w:p w14:paraId="7AB741B5"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许可排放总量</w:t>
            </w:r>
          </w:p>
        </w:tc>
        <w:tc>
          <w:tcPr>
            <w:tcW w:w="2806" w:type="pct"/>
            <w:tcMar>
              <w:top w:w="28" w:type="dxa"/>
              <w:left w:w="28" w:type="dxa"/>
              <w:bottom w:w="28" w:type="dxa"/>
              <w:right w:w="28" w:type="dxa"/>
            </w:tcMar>
            <w:vAlign w:val="center"/>
          </w:tcPr>
          <w:p w14:paraId="6360A580"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全厂排污总量情况</w:t>
            </w:r>
          </w:p>
        </w:tc>
      </w:tr>
      <w:tr w:rsidR="009058A1" w:rsidRPr="00A964FF" w14:paraId="42AE5BE2" w14:textId="77777777" w:rsidTr="00271ACD">
        <w:trPr>
          <w:trHeight w:val="255"/>
          <w:jc w:val="center"/>
        </w:trPr>
        <w:tc>
          <w:tcPr>
            <w:tcW w:w="419" w:type="pct"/>
            <w:vMerge w:val="restart"/>
            <w:tcMar>
              <w:top w:w="28" w:type="dxa"/>
              <w:left w:w="28" w:type="dxa"/>
              <w:bottom w:w="28" w:type="dxa"/>
              <w:right w:w="28" w:type="dxa"/>
            </w:tcMar>
            <w:vAlign w:val="center"/>
          </w:tcPr>
          <w:p w14:paraId="38031234" w14:textId="77777777" w:rsidR="009058A1" w:rsidRPr="00A964FF" w:rsidRDefault="009058A1" w:rsidP="00271ACD">
            <w:pPr>
              <w:jc w:val="center"/>
              <w:rPr>
                <w:rFonts w:ascii="Calibri"/>
                <w:color w:val="auto"/>
                <w:szCs w:val="21"/>
              </w:rPr>
            </w:pPr>
            <w:r w:rsidRPr="00A964FF">
              <w:rPr>
                <w:rFonts w:ascii="Calibri"/>
                <w:color w:val="auto"/>
                <w:szCs w:val="21"/>
              </w:rPr>
              <w:t>3</w:t>
            </w:r>
          </w:p>
        </w:tc>
        <w:tc>
          <w:tcPr>
            <w:tcW w:w="645" w:type="pct"/>
            <w:vMerge w:val="restart"/>
            <w:tcMar>
              <w:top w:w="28" w:type="dxa"/>
              <w:left w:w="28" w:type="dxa"/>
              <w:bottom w:w="28" w:type="dxa"/>
              <w:right w:w="28" w:type="dxa"/>
            </w:tcMar>
            <w:vAlign w:val="center"/>
          </w:tcPr>
          <w:p w14:paraId="68DE18B3"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水污染物</w:t>
            </w:r>
          </w:p>
          <w:p w14:paraId="2B6673A1"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排放信息</w:t>
            </w:r>
          </w:p>
        </w:tc>
        <w:tc>
          <w:tcPr>
            <w:tcW w:w="1130" w:type="pct"/>
            <w:tcMar>
              <w:top w:w="28" w:type="dxa"/>
              <w:left w:w="28" w:type="dxa"/>
              <w:bottom w:w="28" w:type="dxa"/>
              <w:right w:w="28" w:type="dxa"/>
            </w:tcMar>
            <w:vAlign w:val="center"/>
          </w:tcPr>
          <w:p w14:paraId="146EB0D9" w14:textId="77777777" w:rsidR="009058A1" w:rsidRPr="00A964FF" w:rsidRDefault="00914289" w:rsidP="00271ACD">
            <w:pPr>
              <w:spacing w:line="280" w:lineRule="exact"/>
              <w:jc w:val="center"/>
              <w:rPr>
                <w:rFonts w:ascii="Calibri"/>
                <w:color w:val="auto"/>
                <w:szCs w:val="21"/>
              </w:rPr>
            </w:pPr>
            <w:r>
              <w:rPr>
                <w:rFonts w:ascii="Calibri" w:hint="eastAsia"/>
                <w:color w:val="auto"/>
                <w:szCs w:val="21"/>
              </w:rPr>
              <w:t>间接排放</w:t>
            </w:r>
          </w:p>
        </w:tc>
        <w:tc>
          <w:tcPr>
            <w:tcW w:w="2806" w:type="pct"/>
            <w:tcMar>
              <w:top w:w="28" w:type="dxa"/>
              <w:left w:w="28" w:type="dxa"/>
              <w:bottom w:w="28" w:type="dxa"/>
              <w:right w:w="28" w:type="dxa"/>
            </w:tcMar>
            <w:vAlign w:val="center"/>
          </w:tcPr>
          <w:p w14:paraId="758321A3"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排污口信息、执行标准、受纳水体等信息</w:t>
            </w:r>
          </w:p>
        </w:tc>
      </w:tr>
      <w:tr w:rsidR="009058A1" w:rsidRPr="00A964FF" w14:paraId="57D73195" w14:textId="77777777" w:rsidTr="00271ACD">
        <w:trPr>
          <w:trHeight w:val="255"/>
          <w:jc w:val="center"/>
        </w:trPr>
        <w:tc>
          <w:tcPr>
            <w:tcW w:w="419" w:type="pct"/>
            <w:vMerge/>
            <w:tcMar>
              <w:top w:w="28" w:type="dxa"/>
              <w:left w:w="28" w:type="dxa"/>
              <w:bottom w:w="28" w:type="dxa"/>
              <w:right w:w="28" w:type="dxa"/>
            </w:tcMar>
            <w:vAlign w:val="center"/>
          </w:tcPr>
          <w:p w14:paraId="3607B5B5" w14:textId="77777777" w:rsidR="009058A1" w:rsidRPr="00A964FF" w:rsidRDefault="009058A1" w:rsidP="00271ACD">
            <w:pPr>
              <w:jc w:val="center"/>
              <w:rPr>
                <w:rFonts w:ascii="Calibri"/>
                <w:color w:val="auto"/>
                <w:szCs w:val="21"/>
              </w:rPr>
            </w:pPr>
          </w:p>
        </w:tc>
        <w:tc>
          <w:tcPr>
            <w:tcW w:w="645" w:type="pct"/>
            <w:vMerge/>
            <w:tcMar>
              <w:top w:w="28" w:type="dxa"/>
              <w:left w:w="28" w:type="dxa"/>
              <w:bottom w:w="28" w:type="dxa"/>
              <w:right w:w="28" w:type="dxa"/>
            </w:tcMar>
            <w:vAlign w:val="center"/>
          </w:tcPr>
          <w:p w14:paraId="60D2BAF7" w14:textId="77777777" w:rsidR="009058A1" w:rsidRPr="00A964FF" w:rsidRDefault="009058A1" w:rsidP="00271ACD">
            <w:pPr>
              <w:widowControl/>
              <w:jc w:val="center"/>
              <w:rPr>
                <w:rFonts w:ascii="Calibri"/>
                <w:color w:val="auto"/>
                <w:szCs w:val="21"/>
              </w:rPr>
            </w:pPr>
          </w:p>
        </w:tc>
        <w:tc>
          <w:tcPr>
            <w:tcW w:w="1130" w:type="pct"/>
            <w:tcMar>
              <w:top w:w="28" w:type="dxa"/>
              <w:left w:w="28" w:type="dxa"/>
              <w:bottom w:w="28" w:type="dxa"/>
              <w:right w:w="28" w:type="dxa"/>
            </w:tcMar>
            <w:vAlign w:val="center"/>
          </w:tcPr>
          <w:p w14:paraId="0F5B8A3F"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排入污水处理厂</w:t>
            </w:r>
          </w:p>
        </w:tc>
        <w:tc>
          <w:tcPr>
            <w:tcW w:w="2806" w:type="pct"/>
            <w:tcMar>
              <w:top w:w="28" w:type="dxa"/>
              <w:left w:w="28" w:type="dxa"/>
              <w:bottom w:w="28" w:type="dxa"/>
              <w:right w:w="28" w:type="dxa"/>
            </w:tcMar>
            <w:vAlign w:val="center"/>
          </w:tcPr>
          <w:p w14:paraId="45D357AC"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排污口信息、执行标准、受纳水体等信息</w:t>
            </w:r>
          </w:p>
        </w:tc>
      </w:tr>
      <w:tr w:rsidR="009058A1" w:rsidRPr="00A964FF" w14:paraId="4EF144E6" w14:textId="77777777" w:rsidTr="00271ACD">
        <w:trPr>
          <w:trHeight w:val="255"/>
          <w:jc w:val="center"/>
        </w:trPr>
        <w:tc>
          <w:tcPr>
            <w:tcW w:w="419" w:type="pct"/>
            <w:vMerge/>
            <w:tcMar>
              <w:top w:w="28" w:type="dxa"/>
              <w:left w:w="28" w:type="dxa"/>
              <w:bottom w:w="28" w:type="dxa"/>
              <w:right w:w="28" w:type="dxa"/>
            </w:tcMar>
            <w:vAlign w:val="center"/>
          </w:tcPr>
          <w:p w14:paraId="759601A2" w14:textId="77777777" w:rsidR="009058A1" w:rsidRPr="00A964FF" w:rsidRDefault="009058A1" w:rsidP="00271ACD">
            <w:pPr>
              <w:jc w:val="center"/>
              <w:rPr>
                <w:rFonts w:ascii="Calibri"/>
                <w:color w:val="auto"/>
                <w:szCs w:val="21"/>
              </w:rPr>
            </w:pPr>
          </w:p>
        </w:tc>
        <w:tc>
          <w:tcPr>
            <w:tcW w:w="645" w:type="pct"/>
            <w:vMerge/>
            <w:tcMar>
              <w:top w:w="28" w:type="dxa"/>
              <w:left w:w="28" w:type="dxa"/>
              <w:bottom w:w="28" w:type="dxa"/>
              <w:right w:w="28" w:type="dxa"/>
            </w:tcMar>
            <w:vAlign w:val="center"/>
          </w:tcPr>
          <w:p w14:paraId="16C9A242" w14:textId="77777777" w:rsidR="009058A1" w:rsidRPr="00A964FF" w:rsidRDefault="009058A1" w:rsidP="00271ACD">
            <w:pPr>
              <w:widowControl/>
              <w:jc w:val="center"/>
              <w:rPr>
                <w:rFonts w:ascii="Calibri"/>
                <w:color w:val="auto"/>
                <w:szCs w:val="21"/>
              </w:rPr>
            </w:pPr>
          </w:p>
        </w:tc>
        <w:tc>
          <w:tcPr>
            <w:tcW w:w="1130" w:type="pct"/>
            <w:tcMar>
              <w:top w:w="28" w:type="dxa"/>
              <w:left w:w="28" w:type="dxa"/>
              <w:bottom w:w="28" w:type="dxa"/>
              <w:right w:w="28" w:type="dxa"/>
            </w:tcMar>
            <w:vAlign w:val="center"/>
          </w:tcPr>
          <w:p w14:paraId="506281F0"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许可排放总量</w:t>
            </w:r>
          </w:p>
        </w:tc>
        <w:tc>
          <w:tcPr>
            <w:tcW w:w="2806" w:type="pct"/>
            <w:tcMar>
              <w:top w:w="28" w:type="dxa"/>
              <w:left w:w="28" w:type="dxa"/>
              <w:bottom w:w="28" w:type="dxa"/>
              <w:right w:w="28" w:type="dxa"/>
            </w:tcMar>
            <w:vAlign w:val="center"/>
          </w:tcPr>
          <w:p w14:paraId="6E1FA45C"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全厂排污总量情况</w:t>
            </w:r>
          </w:p>
        </w:tc>
      </w:tr>
      <w:tr w:rsidR="009058A1" w:rsidRPr="00A964FF" w14:paraId="413DBCCE" w14:textId="77777777" w:rsidTr="00271ACD">
        <w:trPr>
          <w:trHeight w:val="255"/>
          <w:jc w:val="center"/>
        </w:trPr>
        <w:tc>
          <w:tcPr>
            <w:tcW w:w="419" w:type="pct"/>
            <w:tcMar>
              <w:top w:w="28" w:type="dxa"/>
              <w:left w:w="28" w:type="dxa"/>
              <w:bottom w:w="28" w:type="dxa"/>
              <w:right w:w="28" w:type="dxa"/>
            </w:tcMar>
            <w:vAlign w:val="center"/>
          </w:tcPr>
          <w:p w14:paraId="18ECFF8D" w14:textId="77777777" w:rsidR="009058A1" w:rsidRPr="00A964FF" w:rsidRDefault="009058A1" w:rsidP="00271ACD">
            <w:pPr>
              <w:jc w:val="center"/>
              <w:rPr>
                <w:rFonts w:ascii="Calibri"/>
                <w:color w:val="auto"/>
                <w:szCs w:val="21"/>
              </w:rPr>
            </w:pPr>
            <w:r w:rsidRPr="00A964FF">
              <w:rPr>
                <w:rFonts w:ascii="Calibri"/>
                <w:color w:val="auto"/>
                <w:szCs w:val="21"/>
              </w:rPr>
              <w:t>4</w:t>
            </w:r>
          </w:p>
        </w:tc>
        <w:tc>
          <w:tcPr>
            <w:tcW w:w="645" w:type="pct"/>
            <w:tcMar>
              <w:top w:w="28" w:type="dxa"/>
              <w:left w:w="28" w:type="dxa"/>
              <w:bottom w:w="28" w:type="dxa"/>
              <w:right w:w="28" w:type="dxa"/>
            </w:tcMar>
            <w:vAlign w:val="center"/>
          </w:tcPr>
          <w:p w14:paraId="57148F73" w14:textId="77777777" w:rsidR="009058A1" w:rsidRPr="00A964FF" w:rsidRDefault="009058A1" w:rsidP="00271ACD">
            <w:pPr>
              <w:jc w:val="center"/>
              <w:rPr>
                <w:rFonts w:ascii="Calibri"/>
                <w:color w:val="auto"/>
                <w:szCs w:val="21"/>
              </w:rPr>
            </w:pPr>
            <w:r w:rsidRPr="00A964FF">
              <w:rPr>
                <w:rFonts w:ascii="Calibri"/>
                <w:color w:val="auto"/>
                <w:szCs w:val="21"/>
              </w:rPr>
              <w:t>固废污染物</w:t>
            </w:r>
          </w:p>
          <w:p w14:paraId="4AD016B4" w14:textId="77777777" w:rsidR="009058A1" w:rsidRPr="00A964FF" w:rsidRDefault="009058A1" w:rsidP="00271ACD">
            <w:pPr>
              <w:jc w:val="center"/>
              <w:rPr>
                <w:rFonts w:ascii="Calibri"/>
                <w:color w:val="auto"/>
                <w:szCs w:val="21"/>
              </w:rPr>
            </w:pPr>
            <w:r w:rsidRPr="00A964FF">
              <w:rPr>
                <w:rFonts w:ascii="Calibri"/>
                <w:color w:val="auto"/>
                <w:szCs w:val="21"/>
              </w:rPr>
              <w:t>排放信息</w:t>
            </w:r>
          </w:p>
        </w:tc>
        <w:tc>
          <w:tcPr>
            <w:tcW w:w="1130" w:type="pct"/>
            <w:tcMar>
              <w:top w:w="28" w:type="dxa"/>
              <w:left w:w="28" w:type="dxa"/>
              <w:bottom w:w="28" w:type="dxa"/>
              <w:right w:w="28" w:type="dxa"/>
            </w:tcMar>
            <w:vAlign w:val="center"/>
          </w:tcPr>
          <w:p w14:paraId="2C03CEC2"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固废分类</w:t>
            </w:r>
          </w:p>
        </w:tc>
        <w:tc>
          <w:tcPr>
            <w:tcW w:w="2806" w:type="pct"/>
            <w:tcMar>
              <w:top w:w="28" w:type="dxa"/>
              <w:left w:w="28" w:type="dxa"/>
              <w:bottom w:w="28" w:type="dxa"/>
              <w:right w:w="28" w:type="dxa"/>
            </w:tcMar>
            <w:vAlign w:val="center"/>
          </w:tcPr>
          <w:p w14:paraId="291FBA60"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危险废物和一般固废分类处置最终去向、管理要求</w:t>
            </w:r>
          </w:p>
        </w:tc>
      </w:tr>
      <w:tr w:rsidR="009058A1" w:rsidRPr="00A964FF" w14:paraId="63D91590" w14:textId="77777777" w:rsidTr="00271ACD">
        <w:trPr>
          <w:trHeight w:val="255"/>
          <w:jc w:val="center"/>
        </w:trPr>
        <w:tc>
          <w:tcPr>
            <w:tcW w:w="419" w:type="pct"/>
            <w:tcMar>
              <w:top w:w="28" w:type="dxa"/>
              <w:left w:w="28" w:type="dxa"/>
              <w:bottom w:w="28" w:type="dxa"/>
              <w:right w:w="28" w:type="dxa"/>
            </w:tcMar>
            <w:vAlign w:val="center"/>
          </w:tcPr>
          <w:p w14:paraId="7881130F" w14:textId="77777777" w:rsidR="009058A1" w:rsidRPr="00A964FF" w:rsidRDefault="009058A1" w:rsidP="00271ACD">
            <w:pPr>
              <w:jc w:val="center"/>
              <w:rPr>
                <w:rFonts w:ascii="Calibri"/>
                <w:color w:val="auto"/>
                <w:szCs w:val="21"/>
              </w:rPr>
            </w:pPr>
            <w:r w:rsidRPr="00A964FF">
              <w:rPr>
                <w:rFonts w:ascii="Calibri"/>
                <w:color w:val="auto"/>
                <w:szCs w:val="21"/>
              </w:rPr>
              <w:t>5</w:t>
            </w:r>
          </w:p>
        </w:tc>
        <w:tc>
          <w:tcPr>
            <w:tcW w:w="645" w:type="pct"/>
            <w:tcMar>
              <w:top w:w="28" w:type="dxa"/>
              <w:left w:w="28" w:type="dxa"/>
              <w:bottom w:w="28" w:type="dxa"/>
              <w:right w:w="28" w:type="dxa"/>
            </w:tcMar>
            <w:vAlign w:val="center"/>
          </w:tcPr>
          <w:p w14:paraId="0AC519B1"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环境风险防</w:t>
            </w:r>
          </w:p>
          <w:p w14:paraId="46775CDD"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范相关信息</w:t>
            </w:r>
          </w:p>
        </w:tc>
        <w:tc>
          <w:tcPr>
            <w:tcW w:w="3936" w:type="pct"/>
            <w:gridSpan w:val="2"/>
            <w:tcMar>
              <w:top w:w="28" w:type="dxa"/>
              <w:left w:w="28" w:type="dxa"/>
              <w:bottom w:w="28" w:type="dxa"/>
              <w:right w:w="28" w:type="dxa"/>
            </w:tcMar>
            <w:vAlign w:val="center"/>
          </w:tcPr>
          <w:p w14:paraId="6C3261A6" w14:textId="77777777" w:rsidR="009058A1" w:rsidRPr="00A964FF" w:rsidRDefault="009058A1" w:rsidP="00271ACD">
            <w:pPr>
              <w:spacing w:line="280" w:lineRule="exact"/>
              <w:jc w:val="center"/>
              <w:rPr>
                <w:rFonts w:ascii="Calibri"/>
                <w:color w:val="auto"/>
                <w:szCs w:val="21"/>
              </w:rPr>
            </w:pPr>
            <w:r w:rsidRPr="00A964FF">
              <w:rPr>
                <w:rFonts w:ascii="Calibri"/>
                <w:color w:val="auto"/>
                <w:szCs w:val="21"/>
              </w:rPr>
              <w:t>事故风险的防范措施建设情况</w:t>
            </w:r>
          </w:p>
        </w:tc>
      </w:tr>
    </w:tbl>
    <w:p w14:paraId="1A1D23AF" w14:textId="77777777" w:rsidR="009058A1" w:rsidRPr="00A964FF" w:rsidRDefault="009058A1" w:rsidP="009058A1">
      <w:pPr>
        <w:spacing w:line="500" w:lineRule="exact"/>
        <w:ind w:firstLineChars="200" w:firstLine="480"/>
        <w:rPr>
          <w:rFonts w:ascii="Calibri" w:hAnsi="Calibri"/>
          <w:color w:val="auto"/>
          <w:sz w:val="24"/>
        </w:rPr>
      </w:pPr>
      <w:r w:rsidRPr="00A964FF">
        <w:rPr>
          <w:rFonts w:ascii="Calibri" w:hAnsi="宋体"/>
          <w:color w:val="auto"/>
          <w:sz w:val="24"/>
        </w:rPr>
        <w:t>根据上表的相关内容，企业建成后应按照国家管理要求申请排污许可证，并向社会公开公司建设基本情况和污染物排放清单等相关信息，接受社会监督。</w:t>
      </w:r>
    </w:p>
    <w:p w14:paraId="6AEEB967" w14:textId="77777777" w:rsidR="002C3863" w:rsidRPr="00A964FF" w:rsidRDefault="002C3863" w:rsidP="002C3863">
      <w:pPr>
        <w:pStyle w:val="00"/>
        <w:rPr>
          <w:rFonts w:ascii="Calibri" w:hAnsi="Calibri"/>
          <w:b/>
          <w:noProof/>
          <w:color w:val="auto"/>
        </w:rPr>
      </w:pPr>
      <w:r w:rsidRPr="003B2345">
        <w:rPr>
          <w:rFonts w:ascii="Calibri" w:hAnsi="Calibri" w:hint="eastAsia"/>
          <w:b/>
          <w:noProof/>
          <w:color w:val="auto"/>
        </w:rPr>
        <w:lastRenderedPageBreak/>
        <w:t>3</w:t>
      </w:r>
      <w:r w:rsidRPr="003B2345">
        <w:rPr>
          <w:rFonts w:ascii="Calibri" w:hAnsi="Calibri" w:hint="eastAsia"/>
          <w:b/>
          <w:noProof/>
          <w:color w:val="auto"/>
        </w:rPr>
        <w:t>、环境管理组织机构</w:t>
      </w:r>
    </w:p>
    <w:p w14:paraId="634B9389"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）环境管理组织机构</w:t>
      </w:r>
    </w:p>
    <w:p w14:paraId="6567D6FE"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本项目</w:t>
      </w:r>
      <w:r w:rsidR="00250532" w:rsidRPr="00A964FF">
        <w:rPr>
          <w:rFonts w:ascii="Calibri" w:hAnsi="Calibri" w:hint="eastAsia"/>
          <w:noProof/>
          <w:color w:val="auto"/>
        </w:rPr>
        <w:t>营运后应</w:t>
      </w:r>
      <w:r w:rsidRPr="00A964FF">
        <w:rPr>
          <w:rFonts w:ascii="Calibri" w:hAnsi="Calibri" w:hint="eastAsia"/>
          <w:noProof/>
          <w:color w:val="auto"/>
        </w:rPr>
        <w:t>设置专门环境管理机构，并配备</w:t>
      </w:r>
      <w:r w:rsidRPr="00A964FF">
        <w:rPr>
          <w:rFonts w:ascii="Calibri" w:hAnsi="Calibri" w:hint="eastAsia"/>
          <w:noProof/>
          <w:color w:val="auto"/>
        </w:rPr>
        <w:t>3</w:t>
      </w:r>
      <w:r w:rsidRPr="00A964FF">
        <w:rPr>
          <w:rFonts w:ascii="Calibri" w:hAnsi="Calibri" w:hint="eastAsia"/>
          <w:noProof/>
          <w:color w:val="auto"/>
        </w:rPr>
        <w:t>～</w:t>
      </w:r>
      <w:r w:rsidRPr="00A964FF">
        <w:rPr>
          <w:rFonts w:ascii="Calibri" w:hAnsi="Calibri" w:hint="eastAsia"/>
          <w:noProof/>
          <w:color w:val="auto"/>
        </w:rPr>
        <w:t>5</w:t>
      </w:r>
      <w:r w:rsidRPr="00A964FF">
        <w:rPr>
          <w:rFonts w:ascii="Calibri" w:hAnsi="Calibri" w:hint="eastAsia"/>
          <w:noProof/>
          <w:color w:val="auto"/>
        </w:rPr>
        <w:t>名专职环保人员，主要负责项目建设及生产的环境管理，对建设项目执行有关环保规章制度的情况进行监督检查，协同有关部门解决生产中出现的环境问题，并接受当地生态环境主管部门的技术指导和监督。该部门还负责建立公司环保档案和日常监督管理，针对工程特点，环境管理应遵循生产全过程管理要求，通过严格控制过程参数和处理流程，尽可能减少生产过程中的污染物排放。</w:t>
      </w:r>
    </w:p>
    <w:p w14:paraId="5BAFC183"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2</w:t>
      </w:r>
      <w:r w:rsidRPr="00A964FF">
        <w:rPr>
          <w:rFonts w:ascii="Calibri" w:hAnsi="Calibri" w:hint="eastAsia"/>
          <w:noProof/>
          <w:color w:val="auto"/>
        </w:rPr>
        <w:t>）环境管理组织机构的职责</w:t>
      </w:r>
    </w:p>
    <w:p w14:paraId="009FA65F"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①</w:t>
      </w:r>
      <w:r w:rsidRPr="00A964FF">
        <w:rPr>
          <w:rFonts w:ascii="Calibri" w:hAnsi="Calibri" w:hint="eastAsia"/>
          <w:noProof/>
          <w:color w:val="auto"/>
        </w:rPr>
        <w:t xml:space="preserve"> </w:t>
      </w:r>
      <w:r w:rsidRPr="00A964FF">
        <w:rPr>
          <w:rFonts w:ascii="Calibri" w:hAnsi="Calibri" w:hint="eastAsia"/>
          <w:noProof/>
          <w:color w:val="auto"/>
        </w:rPr>
        <w:t>全面贯彻落实“保护和改善生产环境与生态环境，防治污染和其它公害”等环保方面的要求，认真、全面地做好工程项目环境污染防治和当地生态环境保护的工作。</w:t>
      </w:r>
    </w:p>
    <w:p w14:paraId="07BE2D95"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②</w:t>
      </w:r>
      <w:r w:rsidRPr="00A964FF">
        <w:rPr>
          <w:rFonts w:ascii="Calibri" w:hAnsi="Calibri" w:hint="eastAsia"/>
          <w:noProof/>
          <w:color w:val="auto"/>
        </w:rPr>
        <w:t xml:space="preserve"> </w:t>
      </w:r>
      <w:r w:rsidRPr="00A964FF">
        <w:rPr>
          <w:rFonts w:ascii="Calibri" w:hAnsi="Calibri" w:hint="eastAsia"/>
          <w:noProof/>
          <w:color w:val="auto"/>
        </w:rPr>
        <w:t>按照环境保护部门给本企业下达的环境保护目标责任书，结合企业实际情况，制定出本企业的环境保护目标和实施措施，落实到企业年度计划，并作为评定企业指标完成情况的依据之一。</w:t>
      </w:r>
    </w:p>
    <w:p w14:paraId="25E760E8"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③</w:t>
      </w:r>
      <w:r w:rsidRPr="00A964FF">
        <w:rPr>
          <w:rFonts w:ascii="Calibri" w:hAnsi="Calibri" w:hint="eastAsia"/>
          <w:noProof/>
          <w:color w:val="auto"/>
        </w:rPr>
        <w:t xml:space="preserve"> </w:t>
      </w:r>
      <w:r w:rsidRPr="00A964FF">
        <w:rPr>
          <w:rFonts w:ascii="Calibri" w:hAnsi="Calibri" w:hint="eastAsia"/>
          <w:noProof/>
          <w:color w:val="auto"/>
        </w:rPr>
        <w:t>做好环保设施运行管理和维修工作，保证各项环保设施正常运行，确保治理效果。建立并管理好环保设施的档案资料。</w:t>
      </w:r>
    </w:p>
    <w:p w14:paraId="387D76F7"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④</w:t>
      </w:r>
      <w:r w:rsidRPr="00A964FF">
        <w:rPr>
          <w:rFonts w:ascii="Calibri" w:hAnsi="Calibri" w:hint="eastAsia"/>
          <w:noProof/>
          <w:color w:val="auto"/>
        </w:rPr>
        <w:t xml:space="preserve"> </w:t>
      </w:r>
      <w:r w:rsidRPr="00A964FF">
        <w:rPr>
          <w:rFonts w:ascii="Calibri" w:hAnsi="Calibri" w:hint="eastAsia"/>
          <w:noProof/>
          <w:color w:val="auto"/>
        </w:rPr>
        <w:t>负责建立和健全企业内部环境保护目标责任制度和考核制度，严格考核各环保处理设施的处理效果，要有相应的奖惩制度。</w:t>
      </w:r>
    </w:p>
    <w:p w14:paraId="4049B949"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⑤</w:t>
      </w:r>
      <w:r w:rsidRPr="00A964FF">
        <w:rPr>
          <w:rFonts w:ascii="Calibri" w:hAnsi="Calibri" w:hint="eastAsia"/>
          <w:noProof/>
          <w:color w:val="auto"/>
        </w:rPr>
        <w:t xml:space="preserve"> </w:t>
      </w:r>
      <w:r w:rsidRPr="00A964FF">
        <w:rPr>
          <w:rFonts w:ascii="Calibri" w:hAnsi="Calibri" w:hint="eastAsia"/>
          <w:noProof/>
          <w:color w:val="auto"/>
        </w:rPr>
        <w:t>搞好项目废水、废气、噪声污染防治和固体废物的综合利用工作；负责监督项目污染防治措施的日常运行、污染事故的防范和应急措施的落实及演练。</w:t>
      </w:r>
    </w:p>
    <w:p w14:paraId="6755F5B1"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⑥</w:t>
      </w:r>
      <w:r w:rsidRPr="00A964FF">
        <w:rPr>
          <w:rFonts w:ascii="Calibri" w:hAnsi="Calibri" w:hint="eastAsia"/>
          <w:noProof/>
          <w:color w:val="auto"/>
        </w:rPr>
        <w:t xml:space="preserve"> </w:t>
      </w:r>
      <w:r w:rsidRPr="00A964FF">
        <w:rPr>
          <w:rFonts w:ascii="Calibri" w:hAnsi="Calibri" w:hint="eastAsia"/>
          <w:noProof/>
          <w:color w:val="auto"/>
        </w:rPr>
        <w:t>定期委托当地环境监测部门开展厂区环境监测；对环境监测结果进行统计分析，了解掌握工艺中的排污动态，发现异常要及时查找原因并及时改正，确保企业能够按国家和地方法规标准合格排放，并反馈给生产部门，防止污染事故发生。</w:t>
      </w:r>
    </w:p>
    <w:p w14:paraId="67BF6EC6"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⑦</w:t>
      </w:r>
      <w:r w:rsidRPr="00A964FF">
        <w:rPr>
          <w:rFonts w:ascii="Calibri" w:hAnsi="Calibri" w:hint="eastAsia"/>
          <w:noProof/>
          <w:color w:val="auto"/>
        </w:rPr>
        <w:t xml:space="preserve"> </w:t>
      </w:r>
      <w:r w:rsidRPr="00A964FF">
        <w:rPr>
          <w:rFonts w:ascii="Calibri" w:hAnsi="Calibri" w:hint="eastAsia"/>
          <w:noProof/>
          <w:color w:val="auto"/>
        </w:rPr>
        <w:t>每年有计划地拨出环保经费用于环保管理和技术人员培训，并做好普及环境保护基本知识和环境法律知识的宣传教育工作。</w:t>
      </w:r>
    </w:p>
    <w:p w14:paraId="36099C37" w14:textId="77777777" w:rsidR="002C3863" w:rsidRPr="00A964FF" w:rsidRDefault="002C3863" w:rsidP="002C3863">
      <w:pPr>
        <w:pStyle w:val="00"/>
        <w:rPr>
          <w:color w:val="auto"/>
          <w:szCs w:val="28"/>
        </w:rPr>
      </w:pPr>
      <w:r w:rsidRPr="00A964FF">
        <w:rPr>
          <w:rFonts w:ascii="Calibri" w:hAnsi="Calibri" w:hint="eastAsia"/>
          <w:noProof/>
          <w:color w:val="auto"/>
        </w:rPr>
        <w:lastRenderedPageBreak/>
        <w:t>⑧</w:t>
      </w:r>
      <w:r w:rsidRPr="00A964FF">
        <w:rPr>
          <w:rFonts w:ascii="Calibri" w:hAnsi="Calibri" w:hint="eastAsia"/>
          <w:noProof/>
          <w:color w:val="auto"/>
        </w:rPr>
        <w:t xml:space="preserve"> </w:t>
      </w:r>
      <w:r w:rsidRPr="00A964FF">
        <w:rPr>
          <w:rFonts w:hint="eastAsia"/>
          <w:color w:val="auto"/>
          <w:szCs w:val="28"/>
        </w:rPr>
        <w:t>建立环保档案，包括环评报告、环保工程验收报告、污染源监测报告、环保设施及运行记录以及其他环境统计资料。</w:t>
      </w:r>
    </w:p>
    <w:p w14:paraId="29BAAE3E" w14:textId="77777777" w:rsidR="002C3863" w:rsidRPr="00A964FF" w:rsidRDefault="002C3863" w:rsidP="002C3863">
      <w:pPr>
        <w:pStyle w:val="00"/>
        <w:rPr>
          <w:rFonts w:ascii="Calibri" w:hAnsi="Calibri"/>
          <w:b/>
          <w:noProof/>
          <w:color w:val="auto"/>
        </w:rPr>
      </w:pPr>
      <w:r w:rsidRPr="003B2345">
        <w:rPr>
          <w:rFonts w:ascii="Calibri" w:hAnsi="Calibri"/>
          <w:b/>
          <w:color w:val="auto"/>
          <w:szCs w:val="28"/>
        </w:rPr>
        <w:t>4</w:t>
      </w:r>
      <w:r w:rsidRPr="003B2345">
        <w:rPr>
          <w:rFonts w:ascii="Calibri" w:hAnsi="Calibri"/>
          <w:b/>
          <w:color w:val="auto"/>
          <w:szCs w:val="28"/>
        </w:rPr>
        <w:t>、环境管理制度</w:t>
      </w:r>
    </w:p>
    <w:p w14:paraId="79BB4634"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）贯彻执行“三同时”制度</w:t>
      </w:r>
    </w:p>
    <w:p w14:paraId="2081363F"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项目建设过程中必须认真贯彻执行“三同时”制度。设计单位必须将本报告所确定的环境保护设施与主体工程同时设计，工程建设单位必须保证防治污染与主体工程项目同时施工、同时投入运行，工程竣工后，应提交有环保内容的竣工验收报告或专项竣工验收报告，经环保主管部门验收合格后，方可投入运行。</w:t>
      </w:r>
    </w:p>
    <w:p w14:paraId="180AE462"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2</w:t>
      </w:r>
      <w:r w:rsidRPr="00A964FF">
        <w:rPr>
          <w:rFonts w:ascii="Calibri" w:hAnsi="Calibri" w:hint="eastAsia"/>
          <w:noProof/>
          <w:color w:val="auto"/>
        </w:rPr>
        <w:t>）执行排污申报登记</w:t>
      </w:r>
    </w:p>
    <w:p w14:paraId="74E840BD"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按照国家和地方环境保护规定，企业应及时向当地环境保护主管部门申报登记污染物排放情况。经环保部门批准后，方可按分配的指标排放。</w:t>
      </w:r>
    </w:p>
    <w:p w14:paraId="0D089B42"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3</w:t>
      </w:r>
      <w:r w:rsidRPr="00A964FF">
        <w:rPr>
          <w:rFonts w:ascii="Calibri" w:hAnsi="Calibri" w:hint="eastAsia"/>
          <w:noProof/>
          <w:color w:val="auto"/>
        </w:rPr>
        <w:t>）环保设施运行管理制度</w:t>
      </w:r>
    </w:p>
    <w:p w14:paraId="1E38EB8D"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应建立环保设施定期检查制度和污染治理措施岗位责任制，实行污染治理岗位运行记录制度，以确保污染治理设施稳定高效运行。当污染治理设施发生故障时，应及时组织抢修，并根据实际情况采取相应措施（包括减产和停止生产），防止污染事故的发生。</w:t>
      </w:r>
    </w:p>
    <w:p w14:paraId="08B13906"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4</w:t>
      </w:r>
      <w:r w:rsidRPr="00A964FF">
        <w:rPr>
          <w:rFonts w:ascii="Calibri" w:hAnsi="Calibri" w:hint="eastAsia"/>
          <w:noProof/>
          <w:color w:val="auto"/>
        </w:rPr>
        <w:t>）执行排污申报登记</w:t>
      </w:r>
    </w:p>
    <w:p w14:paraId="11E54285"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按照国家和地方环境保护规定，企业应及时向当地环境保护主管部门申报登记污染物排放情况。经环保部门批准后，方可按分配的指标排放。</w:t>
      </w:r>
    </w:p>
    <w:p w14:paraId="2335A9A8"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5</w:t>
      </w:r>
      <w:r w:rsidRPr="00A964FF">
        <w:rPr>
          <w:rFonts w:ascii="Calibri" w:hAnsi="Calibri" w:hint="eastAsia"/>
          <w:noProof/>
          <w:color w:val="auto"/>
        </w:rPr>
        <w:t>）建立企业环保档案</w:t>
      </w:r>
    </w:p>
    <w:p w14:paraId="5CBA547E" w14:textId="77777777" w:rsidR="002C3863" w:rsidRPr="00A964FF" w:rsidRDefault="002C3863" w:rsidP="002C3863">
      <w:pPr>
        <w:pStyle w:val="00"/>
        <w:rPr>
          <w:rFonts w:ascii="Calibri" w:hAnsi="Calibri"/>
          <w:color w:val="auto"/>
        </w:rPr>
      </w:pPr>
      <w:r w:rsidRPr="00A964FF">
        <w:rPr>
          <w:rFonts w:ascii="Calibri" w:hAnsi="Calibri" w:hint="eastAsia"/>
          <w:color w:val="auto"/>
        </w:rPr>
        <w:t>企业应对废水、废气处理设施等进行定期监测，建立污染源档案，发现污染物非正常排放时，应分析原因并及时采取相应措施，以控制污染影响的范围和程度。</w:t>
      </w:r>
    </w:p>
    <w:p w14:paraId="73484408"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6</w:t>
      </w:r>
      <w:r w:rsidRPr="00A964FF">
        <w:rPr>
          <w:rFonts w:ascii="Calibri" w:hAnsi="Calibri" w:hint="eastAsia"/>
          <w:noProof/>
          <w:color w:val="auto"/>
        </w:rPr>
        <w:t>）危险废物管理制度</w:t>
      </w:r>
    </w:p>
    <w:p w14:paraId="3666D414"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应设置危险废物专用场地对危险废物进行管理，加强管理，危险废物储存点不得放置其它物品，应配备相关的消防器材及危险废物标示，同时，应保持储存点场地的清洁，危险废物堆放整洁。跟踪记录危险废物在生产单位内部运转的整个流程，与生</w:t>
      </w:r>
      <w:r w:rsidRPr="00A964FF">
        <w:rPr>
          <w:rFonts w:ascii="Calibri" w:hAnsi="Calibri" w:hint="eastAsia"/>
          <w:noProof/>
          <w:color w:val="auto"/>
        </w:rPr>
        <w:lastRenderedPageBreak/>
        <w:t>产记录相结合，建立危险废物台账，如实记载产生危险废物的种类、数量、利用、贮存、处置、流向等信息。制定危险废物事故报告制度及环境保护岗位责任制，如出现危险废物事故应及时上报，报告有关确切数据、事故发生的原因、过程及采取的应急措施、处理事故的措施、过程和结果，事故潜在或间接的危害、社会影响、处理后的遗留问题、参加处理工作的有关部门和工作内容、出具有关危害与损失的证明文件等详细情况；组织制定、修订并完善本企业职业安全卫生管理制度和安全技术规程、各项环境保护制度，编制安全（环保）技术措施计划，并监督检查执行情况，确保环境保护责任到人。</w:t>
      </w:r>
    </w:p>
    <w:p w14:paraId="21E2CFC5"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7</w:t>
      </w:r>
      <w:r w:rsidRPr="00A964FF">
        <w:rPr>
          <w:rFonts w:ascii="Calibri" w:hAnsi="Calibri" w:hint="eastAsia"/>
          <w:noProof/>
          <w:color w:val="auto"/>
        </w:rPr>
        <w:t>）制定各类环保规章制度</w:t>
      </w:r>
    </w:p>
    <w:p w14:paraId="15497D81"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制定全公司的环境方针、环境管理手册及一系列作业指导书以促进全公司的环境保护工作，使环境保护工作规范化和程序化，通过重要环境因素识别、提出持续改进措施，将全公司环境污染的影响逐年降低。制定各类环保规章制度包括：环境保护职责管理条例、建设项目“三同时”管理制度、排污情况报告制度、污染事故处理制度、地下排水管网管理制度、环保教育制度、固体废弃物的管理与处置制度。</w:t>
      </w:r>
    </w:p>
    <w:p w14:paraId="3F607589" w14:textId="77777777" w:rsidR="002C3863" w:rsidRPr="00A964FF" w:rsidRDefault="002C3863" w:rsidP="002C3863">
      <w:pPr>
        <w:pStyle w:val="00"/>
        <w:rPr>
          <w:rFonts w:ascii="Calibri"/>
          <w:b/>
          <w:color w:val="auto"/>
        </w:rPr>
      </w:pPr>
      <w:r w:rsidRPr="003B2345">
        <w:rPr>
          <w:rFonts w:ascii="Calibri" w:hAnsi="Calibri" w:hint="eastAsia"/>
          <w:b/>
          <w:noProof/>
          <w:color w:val="auto"/>
        </w:rPr>
        <w:t>5</w:t>
      </w:r>
      <w:r w:rsidRPr="003B2345">
        <w:rPr>
          <w:rFonts w:ascii="Calibri" w:hAnsi="Calibri" w:hint="eastAsia"/>
          <w:b/>
          <w:noProof/>
          <w:color w:val="auto"/>
        </w:rPr>
        <w:t>、</w:t>
      </w:r>
      <w:r w:rsidRPr="003B2345">
        <w:rPr>
          <w:rFonts w:ascii="Calibri" w:hint="eastAsia"/>
          <w:b/>
          <w:color w:val="auto"/>
        </w:rPr>
        <w:t>环境管理台账要求</w:t>
      </w:r>
    </w:p>
    <w:p w14:paraId="7289E108" w14:textId="77777777" w:rsidR="002C3863" w:rsidRPr="00A964FF" w:rsidRDefault="002C3863" w:rsidP="002C3863">
      <w:pPr>
        <w:pStyle w:val="00"/>
        <w:rPr>
          <w:rFonts w:ascii="Calibri" w:hAnsi="Calibri"/>
          <w:color w:val="auto"/>
        </w:rPr>
      </w:pPr>
      <w:r w:rsidRPr="00A964FF">
        <w:rPr>
          <w:rFonts w:ascii="Calibri"/>
          <w:color w:val="auto"/>
        </w:rPr>
        <w:t>环境管理应贯穿于建设项目全过程，深入到生产过程的各个环节，建设单位应编制并实施环境管理手册和程序文件，完善环境管理台账。</w:t>
      </w:r>
    </w:p>
    <w:p w14:paraId="2E8AEF10" w14:textId="77777777" w:rsidR="002C3863" w:rsidRPr="00A964FF" w:rsidRDefault="002C3863" w:rsidP="002C3863">
      <w:pPr>
        <w:pStyle w:val="00"/>
        <w:rPr>
          <w:rFonts w:ascii="Calibri" w:hAnsi="Calibri"/>
          <w:color w:val="auto"/>
        </w:rPr>
      </w:pPr>
      <w:r w:rsidRPr="00A964FF">
        <w:rPr>
          <w:rFonts w:ascii="Calibri" w:hint="eastAsia"/>
          <w:color w:val="auto"/>
        </w:rPr>
        <w:t>本</w:t>
      </w:r>
      <w:r w:rsidRPr="00A964FF">
        <w:rPr>
          <w:rFonts w:ascii="Calibri"/>
          <w:color w:val="auto"/>
        </w:rPr>
        <w:t>项目</w:t>
      </w:r>
      <w:r w:rsidRPr="00A964FF">
        <w:rPr>
          <w:rFonts w:ascii="Calibri" w:hint="eastAsia"/>
          <w:color w:val="auto"/>
        </w:rPr>
        <w:t>营运</w:t>
      </w:r>
      <w:r w:rsidRPr="00A964FF">
        <w:rPr>
          <w:rFonts w:ascii="Calibri"/>
          <w:color w:val="auto"/>
        </w:rPr>
        <w:t>后应建立各主要污染种类、数量、浓度、排放方式、排放去向、达标情况的台帐，并按环保部门要求及时上报，具体按照《环境保护档案管理规范</w:t>
      </w:r>
      <w:r w:rsidRPr="00A964FF">
        <w:rPr>
          <w:rFonts w:ascii="Calibri" w:hAnsi="Calibri"/>
          <w:color w:val="auto"/>
        </w:rPr>
        <w:t>-</w:t>
      </w:r>
      <w:r w:rsidRPr="00A964FF">
        <w:rPr>
          <w:rFonts w:ascii="Calibri"/>
          <w:color w:val="auto"/>
        </w:rPr>
        <w:t>建设项目环境保护管理》执行。</w:t>
      </w:r>
    </w:p>
    <w:p w14:paraId="2301F5BB" w14:textId="77777777" w:rsidR="002C3863" w:rsidRPr="00A964FF" w:rsidRDefault="002C3863" w:rsidP="002C3863">
      <w:pPr>
        <w:pStyle w:val="00"/>
        <w:rPr>
          <w:rFonts w:ascii="Calibri" w:hAnsi="Calibri"/>
          <w:color w:val="auto"/>
        </w:rPr>
      </w:pPr>
      <w:r w:rsidRPr="00A964FF">
        <w:rPr>
          <w:rFonts w:ascii="Calibri"/>
          <w:color w:val="auto"/>
        </w:rPr>
        <w:t>本项目环境管理程序及台账应包含以下方面：</w:t>
      </w:r>
    </w:p>
    <w:p w14:paraId="1D3CD443" w14:textId="77777777" w:rsidR="002C3863" w:rsidRPr="00A964FF" w:rsidRDefault="002C3863" w:rsidP="002C3863">
      <w:pPr>
        <w:pStyle w:val="00"/>
        <w:rPr>
          <w:rFonts w:ascii="Calibri" w:hAnsi="Calibri"/>
          <w:color w:val="auto"/>
        </w:rPr>
      </w:pPr>
      <w:r w:rsidRPr="00A964FF">
        <w:rPr>
          <w:rFonts w:ascii="Calibri"/>
          <w:color w:val="auto"/>
        </w:rPr>
        <w:t>（</w:t>
      </w:r>
      <w:r w:rsidRPr="00A964FF">
        <w:rPr>
          <w:rFonts w:ascii="Calibri" w:hAnsi="Calibri"/>
          <w:color w:val="auto"/>
        </w:rPr>
        <w:t>1</w:t>
      </w:r>
      <w:r w:rsidRPr="00A964FF">
        <w:rPr>
          <w:rFonts w:ascii="Calibri"/>
          <w:color w:val="auto"/>
        </w:rPr>
        <w:t>）</w:t>
      </w:r>
      <w:r w:rsidRPr="00A964FF">
        <w:rPr>
          <w:rFonts w:ascii="Calibri" w:hint="eastAsia"/>
          <w:color w:val="auto"/>
        </w:rPr>
        <w:t>原辅材料</w:t>
      </w:r>
      <w:r w:rsidRPr="00A964FF">
        <w:rPr>
          <w:rFonts w:ascii="Calibri"/>
          <w:color w:val="auto"/>
        </w:rPr>
        <w:t>来源检查、存放台账；</w:t>
      </w:r>
    </w:p>
    <w:p w14:paraId="41A7D333" w14:textId="77777777" w:rsidR="002C3863" w:rsidRPr="00A964FF" w:rsidRDefault="002C3863" w:rsidP="002C3863">
      <w:pPr>
        <w:pStyle w:val="00"/>
        <w:rPr>
          <w:rFonts w:ascii="Calibri" w:hAnsi="Calibri"/>
          <w:color w:val="auto"/>
        </w:rPr>
      </w:pPr>
      <w:r w:rsidRPr="00A964FF">
        <w:rPr>
          <w:rFonts w:ascii="Calibri" w:hAnsi="Calibri"/>
          <w:color w:val="auto"/>
        </w:rPr>
        <w:t>（</w:t>
      </w:r>
      <w:r w:rsidRPr="00A964FF">
        <w:rPr>
          <w:rFonts w:ascii="Calibri" w:hAnsi="Calibri"/>
          <w:color w:val="auto"/>
        </w:rPr>
        <w:t>2</w:t>
      </w:r>
      <w:r w:rsidRPr="00A964FF">
        <w:rPr>
          <w:rFonts w:ascii="Calibri" w:hAnsi="Calibri"/>
          <w:color w:val="auto"/>
        </w:rPr>
        <w:t>）废气及其污染治理设施管理程序及台账；</w:t>
      </w:r>
    </w:p>
    <w:p w14:paraId="5E5E2298" w14:textId="77777777" w:rsidR="002C3863" w:rsidRPr="00A964FF" w:rsidRDefault="002C3863" w:rsidP="002C3863">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3</w:t>
      </w:r>
      <w:r w:rsidRPr="00A964FF">
        <w:rPr>
          <w:rFonts w:ascii="Calibri" w:hAnsi="Calibri" w:hint="eastAsia"/>
          <w:color w:val="auto"/>
        </w:rPr>
        <w:t>）废水处理设施管理程序及台账；</w:t>
      </w:r>
    </w:p>
    <w:p w14:paraId="5C61FD9B" w14:textId="77777777" w:rsidR="002C3863" w:rsidRPr="00A964FF" w:rsidRDefault="002C3863" w:rsidP="002C3863">
      <w:pPr>
        <w:pStyle w:val="00"/>
        <w:rPr>
          <w:rFonts w:ascii="Calibri" w:hAnsi="Calibri"/>
          <w:color w:val="auto"/>
        </w:rPr>
      </w:pPr>
      <w:r w:rsidRPr="00A964FF">
        <w:rPr>
          <w:rFonts w:ascii="Calibri" w:hAnsi="Calibri"/>
          <w:color w:val="auto"/>
        </w:rPr>
        <w:t>（</w:t>
      </w:r>
      <w:r w:rsidRPr="00A964FF">
        <w:rPr>
          <w:rFonts w:ascii="Calibri" w:hAnsi="Calibri" w:hint="eastAsia"/>
          <w:color w:val="auto"/>
        </w:rPr>
        <w:t>4</w:t>
      </w:r>
      <w:r w:rsidRPr="00A964FF">
        <w:rPr>
          <w:rFonts w:ascii="Calibri" w:hAnsi="Calibri"/>
          <w:color w:val="auto"/>
        </w:rPr>
        <w:t>）环境噪声污染防治管理程序及台账；</w:t>
      </w:r>
    </w:p>
    <w:p w14:paraId="364AFBBA" w14:textId="77777777" w:rsidR="002C3863" w:rsidRPr="00A964FF" w:rsidRDefault="002C3863" w:rsidP="002C3863">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5</w:t>
      </w:r>
      <w:r w:rsidRPr="00A964FF">
        <w:rPr>
          <w:rFonts w:ascii="Calibri" w:hAnsi="Calibri" w:hint="eastAsia"/>
          <w:color w:val="auto"/>
        </w:rPr>
        <w:t>）固废储存及台账；</w:t>
      </w:r>
    </w:p>
    <w:p w14:paraId="75A7CEEE" w14:textId="77777777" w:rsidR="002C3863" w:rsidRPr="00A964FF" w:rsidRDefault="002C3863" w:rsidP="002C3863">
      <w:pPr>
        <w:pStyle w:val="00"/>
        <w:rPr>
          <w:rFonts w:ascii="Calibri" w:hAnsi="Calibri"/>
          <w:color w:val="auto"/>
        </w:rPr>
      </w:pPr>
      <w:r w:rsidRPr="00A964FF">
        <w:rPr>
          <w:rFonts w:ascii="Calibri" w:hAnsi="Calibri"/>
          <w:color w:val="auto"/>
        </w:rPr>
        <w:lastRenderedPageBreak/>
        <w:t>（</w:t>
      </w:r>
      <w:r w:rsidRPr="00A964FF">
        <w:rPr>
          <w:rFonts w:ascii="Calibri" w:hAnsi="Calibri" w:hint="eastAsia"/>
          <w:color w:val="auto"/>
        </w:rPr>
        <w:t>6</w:t>
      </w:r>
      <w:r w:rsidRPr="00A964FF">
        <w:rPr>
          <w:rFonts w:ascii="Calibri" w:hAnsi="Calibri"/>
          <w:color w:val="auto"/>
        </w:rPr>
        <w:t>）突发性环境污染事故管理程序及台账；</w:t>
      </w:r>
    </w:p>
    <w:p w14:paraId="41BA81CA" w14:textId="77777777" w:rsidR="002C3863" w:rsidRPr="00A964FF" w:rsidRDefault="002C3863" w:rsidP="002C3863">
      <w:pPr>
        <w:pStyle w:val="00"/>
        <w:rPr>
          <w:rFonts w:ascii="Calibri" w:hAnsi="Calibri"/>
          <w:color w:val="auto"/>
        </w:rPr>
      </w:pPr>
      <w:r w:rsidRPr="00A964FF">
        <w:rPr>
          <w:rFonts w:ascii="Calibri" w:hAnsi="Calibri"/>
          <w:color w:val="auto"/>
        </w:rPr>
        <w:t>（</w:t>
      </w:r>
      <w:r w:rsidRPr="00A964FF">
        <w:rPr>
          <w:rFonts w:ascii="Calibri" w:hAnsi="Calibri" w:hint="eastAsia"/>
          <w:color w:val="auto"/>
        </w:rPr>
        <w:t>7</w:t>
      </w:r>
      <w:r w:rsidRPr="00A964FF">
        <w:rPr>
          <w:rFonts w:ascii="Calibri" w:hAnsi="Calibri"/>
          <w:color w:val="auto"/>
        </w:rPr>
        <w:t>）环境保护档案及公众环保意见反馈管理程序及台账；</w:t>
      </w:r>
    </w:p>
    <w:p w14:paraId="2B11E9A4" w14:textId="77777777" w:rsidR="002C3863" w:rsidRPr="00A964FF" w:rsidRDefault="002C3863" w:rsidP="002C3863">
      <w:pPr>
        <w:pStyle w:val="00"/>
        <w:rPr>
          <w:rFonts w:ascii="Calibri" w:hAnsi="Calibri"/>
          <w:color w:val="auto"/>
        </w:rPr>
      </w:pPr>
      <w:r w:rsidRPr="00A964FF">
        <w:rPr>
          <w:rFonts w:ascii="Calibri" w:hAnsi="Calibri"/>
          <w:color w:val="auto"/>
        </w:rPr>
        <w:t>（</w:t>
      </w:r>
      <w:r w:rsidRPr="00A964FF">
        <w:rPr>
          <w:rFonts w:ascii="Calibri" w:hAnsi="Calibri" w:hint="eastAsia"/>
          <w:color w:val="auto"/>
        </w:rPr>
        <w:t>8</w:t>
      </w:r>
      <w:r w:rsidRPr="00A964FF">
        <w:rPr>
          <w:rFonts w:ascii="Calibri" w:hAnsi="Calibri"/>
          <w:color w:val="auto"/>
        </w:rPr>
        <w:t>）环保工作自检及持续改进管理程序及台账；</w:t>
      </w:r>
    </w:p>
    <w:p w14:paraId="693D0873" w14:textId="77777777" w:rsidR="002C3863" w:rsidRPr="00A964FF" w:rsidRDefault="002C3863" w:rsidP="002C3863">
      <w:pPr>
        <w:pStyle w:val="00"/>
        <w:rPr>
          <w:rFonts w:ascii="Calibri" w:hAnsi="Calibri"/>
          <w:color w:val="auto"/>
        </w:rPr>
      </w:pPr>
      <w:r w:rsidRPr="00A964FF">
        <w:rPr>
          <w:rFonts w:ascii="Calibri" w:hAnsi="Calibri"/>
          <w:color w:val="auto"/>
        </w:rPr>
        <w:t>（</w:t>
      </w:r>
      <w:r w:rsidRPr="00A964FF">
        <w:rPr>
          <w:rFonts w:ascii="Calibri" w:hAnsi="Calibri" w:hint="eastAsia"/>
          <w:color w:val="auto"/>
        </w:rPr>
        <w:t>9</w:t>
      </w:r>
      <w:r w:rsidRPr="00A964FF">
        <w:rPr>
          <w:rFonts w:ascii="Calibri" w:hAnsi="Calibri"/>
          <w:color w:val="auto"/>
        </w:rPr>
        <w:t>）污染源及环境质量监控管理程序及台账。</w:t>
      </w:r>
    </w:p>
    <w:p w14:paraId="657A15BE" w14:textId="77777777" w:rsidR="003B2345" w:rsidRPr="001238C2" w:rsidRDefault="002C3863" w:rsidP="001238C2">
      <w:pPr>
        <w:pStyle w:val="00"/>
        <w:rPr>
          <w:rFonts w:ascii="Calibri"/>
          <w:color w:val="auto"/>
        </w:rPr>
      </w:pPr>
      <w:r w:rsidRPr="00A964FF">
        <w:rPr>
          <w:rFonts w:ascii="Calibri"/>
          <w:color w:val="auto"/>
        </w:rPr>
        <w:t>本项目环保管理应按各自职责和</w:t>
      </w:r>
      <w:r w:rsidRPr="00A964FF">
        <w:rPr>
          <w:rFonts w:ascii="Calibri" w:hAnsi="Calibri"/>
          <w:color w:val="auto"/>
        </w:rPr>
        <w:t>ISO14001</w:t>
      </w:r>
      <w:r w:rsidRPr="00A964FF">
        <w:rPr>
          <w:rFonts w:ascii="Calibri"/>
          <w:color w:val="auto"/>
        </w:rPr>
        <w:t>管理程序进行运作，保障项目环境管理的有效实行。</w:t>
      </w:r>
    </w:p>
    <w:p w14:paraId="17A0FE6E" w14:textId="77777777" w:rsidR="002C3863" w:rsidRPr="00A964FF" w:rsidRDefault="002C3863" w:rsidP="002C3863">
      <w:pPr>
        <w:pStyle w:val="00"/>
        <w:rPr>
          <w:rFonts w:ascii="Calibri" w:hAnsi="Calibri"/>
          <w:b/>
          <w:noProof/>
          <w:color w:val="auto"/>
        </w:rPr>
      </w:pPr>
      <w:r w:rsidRPr="00A964FF">
        <w:rPr>
          <w:rFonts w:ascii="Calibri" w:hAnsi="Calibri" w:hint="eastAsia"/>
          <w:b/>
          <w:noProof/>
          <w:color w:val="auto"/>
        </w:rPr>
        <w:t>6</w:t>
      </w:r>
      <w:r w:rsidRPr="00A964FF">
        <w:rPr>
          <w:rFonts w:ascii="Calibri" w:hAnsi="Calibri" w:hint="eastAsia"/>
          <w:b/>
          <w:noProof/>
          <w:color w:val="auto"/>
        </w:rPr>
        <w:t>、总量控制指标</w:t>
      </w:r>
    </w:p>
    <w:p w14:paraId="164D84BA" w14:textId="77777777" w:rsidR="002C3863" w:rsidRPr="00A964FF" w:rsidRDefault="002C3863" w:rsidP="002C3863">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）总量控制因子</w:t>
      </w:r>
    </w:p>
    <w:p w14:paraId="36E980FA" w14:textId="77777777" w:rsidR="002C3863" w:rsidRPr="00A964FF" w:rsidRDefault="002C3863" w:rsidP="002C3863">
      <w:pPr>
        <w:pStyle w:val="00"/>
        <w:rPr>
          <w:rFonts w:ascii="Calibri" w:hAnsi="Calibri"/>
          <w:color w:val="auto"/>
        </w:rPr>
      </w:pPr>
      <w:r w:rsidRPr="00A964FF">
        <w:rPr>
          <w:rFonts w:ascii="Calibri" w:hAnsi="Calibri" w:hint="eastAsia"/>
          <w:noProof/>
          <w:color w:val="auto"/>
        </w:rPr>
        <w:t>总量控制是国家环保部对我国各个地市污染物控制的一项指令性指标，总量控制制度对我国污染物排放的限制起了一定作用。国家环保部根据实际污染物排放情况在每一个“五年”计划下达不同的污染物总量控制指标。现行总量控制指标为</w:t>
      </w:r>
      <w:r w:rsidRPr="00A964FF">
        <w:rPr>
          <w:rFonts w:ascii="Calibri" w:hAnsi="Calibri" w:hint="eastAsia"/>
          <w:noProof/>
          <w:color w:val="auto"/>
        </w:rPr>
        <w:t>COD</w:t>
      </w:r>
      <w:r w:rsidRPr="00A964FF">
        <w:rPr>
          <w:rFonts w:ascii="Calibri" w:hAnsi="Calibri" w:hint="eastAsia"/>
          <w:noProof/>
          <w:color w:val="auto"/>
        </w:rPr>
        <w:t>、</w:t>
      </w:r>
      <w:r w:rsidRPr="00A964FF">
        <w:rPr>
          <w:rFonts w:ascii="Calibri" w:hAnsi="Calibri" w:hint="eastAsia"/>
          <w:noProof/>
          <w:color w:val="auto"/>
        </w:rPr>
        <w:t>NH</w:t>
      </w:r>
      <w:r w:rsidRPr="00A964FF">
        <w:rPr>
          <w:rFonts w:ascii="Calibri" w:hAnsi="Calibri" w:hint="eastAsia"/>
          <w:noProof/>
          <w:color w:val="auto"/>
          <w:vertAlign w:val="subscript"/>
        </w:rPr>
        <w:t>3</w:t>
      </w:r>
      <w:r w:rsidRPr="00A964FF">
        <w:rPr>
          <w:rFonts w:ascii="Calibri" w:hAnsi="Calibri" w:hint="eastAsia"/>
          <w:noProof/>
          <w:color w:val="auto"/>
        </w:rPr>
        <w:t>-N</w:t>
      </w:r>
      <w:r w:rsidRPr="00A964FF">
        <w:rPr>
          <w:rFonts w:ascii="Calibri" w:hAnsi="Calibri" w:hint="eastAsia"/>
          <w:noProof/>
          <w:color w:val="auto"/>
        </w:rPr>
        <w:t>、</w:t>
      </w:r>
      <w:r w:rsidRPr="00A964FF">
        <w:rPr>
          <w:rFonts w:ascii="Calibri" w:hAnsi="Calibri" w:hint="eastAsia"/>
          <w:noProof/>
          <w:color w:val="auto"/>
        </w:rPr>
        <w:t>SO</w:t>
      </w:r>
      <w:r w:rsidRPr="00A964FF">
        <w:rPr>
          <w:rFonts w:ascii="Calibri" w:hAnsi="Calibri" w:hint="eastAsia"/>
          <w:noProof/>
          <w:color w:val="auto"/>
          <w:vertAlign w:val="subscript"/>
        </w:rPr>
        <w:t>2</w:t>
      </w:r>
      <w:r w:rsidRPr="00A964FF">
        <w:rPr>
          <w:rFonts w:ascii="Calibri" w:hAnsi="Calibri" w:hint="eastAsia"/>
          <w:noProof/>
          <w:color w:val="auto"/>
        </w:rPr>
        <w:t>和</w:t>
      </w:r>
      <w:r w:rsidRPr="00A964FF">
        <w:rPr>
          <w:rFonts w:ascii="Calibri" w:hAnsi="Calibri" w:hint="eastAsia"/>
          <w:noProof/>
          <w:color w:val="auto"/>
        </w:rPr>
        <w:t>NOx</w:t>
      </w:r>
      <w:r w:rsidRPr="00A964FF">
        <w:rPr>
          <w:rFonts w:ascii="Calibri" w:hAnsi="Calibri" w:hint="eastAsia"/>
          <w:noProof/>
          <w:color w:val="auto"/>
        </w:rPr>
        <w:t>，</w:t>
      </w:r>
      <w:r w:rsidRPr="00A964FF">
        <w:rPr>
          <w:rFonts w:ascii="Calibri" w:hAnsi="Calibri" w:hint="eastAsia"/>
          <w:color w:val="auto"/>
        </w:rPr>
        <w:t>当地环保部门要求总量控制指标为颗粒物和</w:t>
      </w:r>
      <w:r w:rsidRPr="00A964FF">
        <w:rPr>
          <w:rFonts w:ascii="Calibri" w:hAnsi="Calibri" w:hint="eastAsia"/>
          <w:color w:val="auto"/>
        </w:rPr>
        <w:t>VOCs</w:t>
      </w:r>
      <w:r w:rsidRPr="00A964FF">
        <w:rPr>
          <w:rFonts w:ascii="Calibri" w:hAnsi="Calibri" w:hint="eastAsia"/>
          <w:color w:val="auto"/>
        </w:rPr>
        <w:t>。</w:t>
      </w:r>
    </w:p>
    <w:p w14:paraId="3705D382" w14:textId="4A8F5D39" w:rsidR="001238C2" w:rsidRDefault="001238C2" w:rsidP="00851183">
      <w:pPr>
        <w:pStyle w:val="00"/>
        <w:rPr>
          <w:rFonts w:ascii="Calibri" w:hAnsi="Calibri"/>
          <w:color w:val="auto"/>
        </w:rPr>
      </w:pPr>
      <w:r w:rsidRPr="00A964FF">
        <w:rPr>
          <w:rFonts w:ascii="Calibri" w:hAnsi="Calibri" w:hint="eastAsia"/>
          <w:color w:val="auto"/>
        </w:rPr>
        <w:t>本项目生产过程中产生颗粒物、</w:t>
      </w:r>
      <w:r w:rsidRPr="00A964FF">
        <w:rPr>
          <w:rFonts w:ascii="Calibri" w:hAnsi="Calibri" w:hint="eastAsia"/>
          <w:color w:val="auto"/>
        </w:rPr>
        <w:t>SO</w:t>
      </w:r>
      <w:r w:rsidRPr="00A964FF">
        <w:rPr>
          <w:rFonts w:ascii="Calibri" w:hAnsi="Calibri" w:hint="eastAsia"/>
          <w:color w:val="auto"/>
          <w:vertAlign w:val="subscript"/>
        </w:rPr>
        <w:t>2</w:t>
      </w:r>
      <w:r w:rsidRPr="00A964FF">
        <w:rPr>
          <w:rFonts w:ascii="Calibri" w:hAnsi="Calibri" w:hint="eastAsia"/>
          <w:color w:val="auto"/>
        </w:rPr>
        <w:t>、</w:t>
      </w:r>
      <w:r w:rsidRPr="00A964FF">
        <w:rPr>
          <w:rFonts w:ascii="Calibri" w:hAnsi="Calibri" w:hint="eastAsia"/>
          <w:color w:val="auto"/>
        </w:rPr>
        <w:t>NOx</w:t>
      </w:r>
      <w:r w:rsidRPr="00A964FF">
        <w:rPr>
          <w:rFonts w:ascii="Calibri" w:hAnsi="Calibri" w:hint="eastAsia"/>
          <w:color w:val="auto"/>
        </w:rPr>
        <w:t>、</w:t>
      </w:r>
      <w:r>
        <w:rPr>
          <w:rFonts w:ascii="Calibri" w:hAnsi="Calibri" w:hint="eastAsia"/>
          <w:color w:val="auto"/>
        </w:rPr>
        <w:t>非甲烷总烃</w:t>
      </w:r>
      <w:r w:rsidRPr="00A964FF">
        <w:rPr>
          <w:rFonts w:ascii="Calibri" w:hAnsi="Calibri" w:hint="eastAsia"/>
          <w:color w:val="auto"/>
        </w:rPr>
        <w:t>废气污染物，属于大气污染物总量控制因子。本项目厂区自建废水处理</w:t>
      </w:r>
      <w:r>
        <w:rPr>
          <w:rFonts w:ascii="Calibri" w:hAnsi="Calibri" w:hint="eastAsia"/>
          <w:color w:val="auto"/>
        </w:rPr>
        <w:t>处理设施，</w:t>
      </w:r>
      <w:r w:rsidRPr="00A964FF">
        <w:rPr>
          <w:rFonts w:ascii="Calibri" w:hAnsi="Calibri" w:hint="eastAsia"/>
          <w:color w:val="auto"/>
        </w:rPr>
        <w:t>对生产</w:t>
      </w:r>
      <w:r>
        <w:rPr>
          <w:rFonts w:ascii="Calibri" w:hAnsi="Calibri" w:hint="eastAsia"/>
          <w:color w:val="auto"/>
        </w:rPr>
        <w:t>及</w:t>
      </w:r>
      <w:r>
        <w:rPr>
          <w:rFonts w:ascii="Calibri" w:hAnsi="Calibri"/>
          <w:color w:val="auto"/>
        </w:rPr>
        <w:t>生活</w:t>
      </w:r>
      <w:r w:rsidR="00851183">
        <w:rPr>
          <w:rFonts w:ascii="Calibri" w:hAnsi="Calibri" w:hint="eastAsia"/>
          <w:color w:val="auto"/>
        </w:rPr>
        <w:t>过程中产生的废水进行处理达标后排入平顶山</w:t>
      </w:r>
      <w:r w:rsidR="00851183">
        <w:rPr>
          <w:rFonts w:ascii="Calibri" w:hAnsi="Calibri"/>
          <w:color w:val="auto"/>
        </w:rPr>
        <w:t>第三污水处理厂</w:t>
      </w:r>
      <w:r w:rsidRPr="00A964FF">
        <w:rPr>
          <w:rFonts w:ascii="Calibri" w:hAnsi="Calibri" w:hint="eastAsia"/>
          <w:color w:val="auto"/>
        </w:rPr>
        <w:t>集中处理，总量控制指标为水污染物</w:t>
      </w:r>
      <w:r w:rsidRPr="00A964FF">
        <w:rPr>
          <w:rFonts w:ascii="Calibri" w:hAnsi="Calibri" w:hint="eastAsia"/>
          <w:color w:val="auto"/>
        </w:rPr>
        <w:t>COD</w:t>
      </w:r>
      <w:r w:rsidRPr="00A964FF">
        <w:rPr>
          <w:rFonts w:ascii="Calibri" w:hAnsi="Calibri" w:hint="eastAsia"/>
          <w:color w:val="auto"/>
        </w:rPr>
        <w:t>和</w:t>
      </w:r>
      <w:r w:rsidRPr="00A964FF">
        <w:rPr>
          <w:rFonts w:ascii="Calibri" w:hAnsi="Calibri" w:hint="eastAsia"/>
          <w:color w:val="auto"/>
        </w:rPr>
        <w:t>NH</w:t>
      </w:r>
      <w:r w:rsidRPr="00A964FF">
        <w:rPr>
          <w:rFonts w:ascii="Calibri" w:hAnsi="Calibri" w:hint="eastAsia"/>
          <w:color w:val="auto"/>
          <w:vertAlign w:val="subscript"/>
        </w:rPr>
        <w:t>3</w:t>
      </w:r>
      <w:r w:rsidRPr="00A964FF">
        <w:rPr>
          <w:rFonts w:ascii="Calibri" w:hAnsi="Calibri" w:hint="eastAsia"/>
          <w:color w:val="auto"/>
        </w:rPr>
        <w:t>-N</w:t>
      </w:r>
      <w:r w:rsidRPr="00A964FF">
        <w:rPr>
          <w:rFonts w:ascii="Calibri" w:hAnsi="Calibri" w:hint="eastAsia"/>
          <w:color w:val="auto"/>
        </w:rPr>
        <w:t>。</w:t>
      </w:r>
    </w:p>
    <w:p w14:paraId="758FF026" w14:textId="77777777" w:rsidR="002C3863" w:rsidRPr="00A964FF" w:rsidRDefault="002C3863" w:rsidP="002C3863">
      <w:pPr>
        <w:pStyle w:val="00"/>
        <w:rPr>
          <w:rFonts w:ascii="Calibri" w:hAnsi="Calibri"/>
          <w:bCs/>
          <w:noProof/>
          <w:color w:val="auto"/>
        </w:rPr>
      </w:pPr>
      <w:r w:rsidRPr="00A964FF">
        <w:rPr>
          <w:rFonts w:ascii="Calibri" w:hAnsi="Calibri" w:hint="eastAsia"/>
          <w:noProof/>
          <w:color w:val="auto"/>
        </w:rPr>
        <w:t>（</w:t>
      </w:r>
      <w:r w:rsidRPr="00A964FF">
        <w:rPr>
          <w:rFonts w:ascii="Calibri" w:hAnsi="Calibri" w:hint="eastAsia"/>
          <w:noProof/>
          <w:color w:val="auto"/>
        </w:rPr>
        <w:t>2</w:t>
      </w:r>
      <w:r w:rsidRPr="00A964FF">
        <w:rPr>
          <w:rFonts w:ascii="Calibri" w:hAnsi="Calibri" w:hint="eastAsia"/>
          <w:noProof/>
          <w:color w:val="auto"/>
        </w:rPr>
        <w:t>）</w:t>
      </w:r>
      <w:r w:rsidRPr="00A964FF">
        <w:rPr>
          <w:rFonts w:ascii="Calibri" w:hAnsi="Calibri" w:hint="eastAsia"/>
          <w:bCs/>
          <w:noProof/>
          <w:color w:val="auto"/>
        </w:rPr>
        <w:t>总量控制指标</w:t>
      </w:r>
    </w:p>
    <w:p w14:paraId="2DFCDE69" w14:textId="77777777" w:rsidR="002C3863" w:rsidRPr="00A964FF" w:rsidRDefault="002C3863" w:rsidP="002C3863">
      <w:pPr>
        <w:pStyle w:val="00"/>
        <w:rPr>
          <w:rFonts w:ascii="Calibri" w:hAnsi="Calibri"/>
          <w:color w:val="auto"/>
        </w:rPr>
      </w:pPr>
      <w:r w:rsidRPr="00A964FF">
        <w:rPr>
          <w:rFonts w:ascii="Calibri" w:hAnsi="Calibri" w:hint="eastAsia"/>
          <w:bCs/>
          <w:color w:val="auto"/>
        </w:rPr>
        <w:t>根据原国家环保部《关于印发〈建设项目主要污染物排放总量控制指标审核及管理暂行办法〉的通知》（环发【</w:t>
      </w:r>
      <w:r w:rsidRPr="00A964FF">
        <w:rPr>
          <w:rFonts w:ascii="Calibri" w:hAnsi="Calibri" w:hint="eastAsia"/>
          <w:bCs/>
          <w:color w:val="auto"/>
        </w:rPr>
        <w:t>2014</w:t>
      </w:r>
      <w:r w:rsidRPr="00A964FF">
        <w:rPr>
          <w:rFonts w:ascii="Calibri" w:hAnsi="Calibri" w:hint="eastAsia"/>
          <w:bCs/>
          <w:color w:val="auto"/>
        </w:rPr>
        <w:t>】</w:t>
      </w:r>
      <w:r w:rsidRPr="00A964FF">
        <w:rPr>
          <w:rFonts w:ascii="Calibri" w:hAnsi="Calibri" w:hint="eastAsia"/>
          <w:bCs/>
          <w:color w:val="auto"/>
        </w:rPr>
        <w:t>197</w:t>
      </w:r>
      <w:r w:rsidRPr="00A964FF">
        <w:rPr>
          <w:rFonts w:ascii="Calibri" w:hAnsi="Calibri" w:hint="eastAsia"/>
          <w:bCs/>
          <w:color w:val="auto"/>
        </w:rPr>
        <w:t>号），对项目排放污染物进行总量控制。本项目属于化工行业，不属于</w:t>
      </w:r>
      <w:r w:rsidRPr="00A964FF">
        <w:rPr>
          <w:rFonts w:ascii="Calibri" w:hAnsi="Calibri" w:hint="eastAsia"/>
          <w:color w:val="auto"/>
        </w:rPr>
        <w:t>火电、钢铁、水泥、造纸、印染行业，污染物排放总量控制指标按排放预测量进行控制。</w:t>
      </w:r>
    </w:p>
    <w:p w14:paraId="58ED3EAE" w14:textId="77777777" w:rsidR="00ED39DD" w:rsidRPr="00DC3375" w:rsidRDefault="00ED39DD" w:rsidP="00ED39DD">
      <w:pPr>
        <w:pStyle w:val="00"/>
        <w:rPr>
          <w:rFonts w:ascii="Calibri" w:eastAsiaTheme="minorEastAsia" w:hAnsi="Calibri"/>
          <w:color w:val="auto"/>
        </w:rPr>
      </w:pPr>
      <w:r w:rsidRPr="009B7BCD">
        <w:rPr>
          <w:rFonts w:asciiTheme="minorEastAsia" w:eastAsiaTheme="minorEastAsia" w:hAnsiTheme="minorEastAsia"/>
          <w:color w:val="auto"/>
        </w:rPr>
        <w:t>①</w:t>
      </w:r>
      <w:r w:rsidRPr="00DC3375">
        <w:rPr>
          <w:rFonts w:ascii="Calibri" w:eastAsiaTheme="minorEastAsia" w:hAnsi="Calibri"/>
          <w:color w:val="auto"/>
        </w:rPr>
        <w:t xml:space="preserve"> </w:t>
      </w:r>
      <w:r w:rsidRPr="00DC3375">
        <w:rPr>
          <w:rFonts w:ascii="Calibri" w:eastAsiaTheme="minorEastAsia" w:hAnsi="Calibri"/>
          <w:color w:val="auto"/>
        </w:rPr>
        <w:t>废气污染物排放量</w:t>
      </w:r>
    </w:p>
    <w:p w14:paraId="208A7F91" w14:textId="77777777" w:rsidR="00ED39DD" w:rsidRDefault="00ED39DD" w:rsidP="00ED39DD">
      <w:pPr>
        <w:pStyle w:val="00"/>
        <w:rPr>
          <w:rFonts w:ascii="Calibri" w:eastAsiaTheme="minorEastAsia" w:hAnsi="Calibri"/>
          <w:color w:val="auto"/>
        </w:rPr>
      </w:pPr>
      <w:r w:rsidRPr="00DC3375">
        <w:rPr>
          <w:rFonts w:ascii="Calibri" w:eastAsiaTheme="minorEastAsia" w:hAnsi="Calibri"/>
          <w:color w:val="auto"/>
        </w:rPr>
        <w:t>根据工程分析，预测本项目废气污染物总量控制指标见表</w:t>
      </w:r>
      <w:r w:rsidRPr="00DC3375">
        <w:rPr>
          <w:rFonts w:ascii="Calibri" w:eastAsiaTheme="minorEastAsia" w:hAnsi="Calibri"/>
          <w:color w:val="auto"/>
        </w:rPr>
        <w:t>7.1-10</w:t>
      </w:r>
      <w:r w:rsidRPr="00DC3375">
        <w:rPr>
          <w:rFonts w:ascii="Calibri" w:eastAsiaTheme="minorEastAsia" w:hAnsi="Calibri"/>
          <w:color w:val="auto"/>
        </w:rPr>
        <w:t>。</w:t>
      </w:r>
    </w:p>
    <w:p w14:paraId="7C4C95CB" w14:textId="77777777" w:rsidR="00ED39DD" w:rsidRDefault="00ED39DD" w:rsidP="00ED39DD">
      <w:pPr>
        <w:pStyle w:val="00"/>
        <w:ind w:firstLine="0"/>
        <w:rPr>
          <w:rFonts w:ascii="Calibri" w:hAnsi="Calibri"/>
          <w:color w:val="auto"/>
        </w:rPr>
      </w:pPr>
    </w:p>
    <w:p w14:paraId="211B8ED3" w14:textId="77777777" w:rsidR="00633D32" w:rsidRDefault="00633D32" w:rsidP="003B2345">
      <w:pPr>
        <w:pStyle w:val="00"/>
        <w:ind w:firstLineChars="500" w:firstLine="1200"/>
        <w:rPr>
          <w:rFonts w:asciiTheme="minorHAnsi" w:eastAsia="黑体" w:hAnsi="黑体" w:cstheme="minorHAnsi"/>
          <w:color w:val="auto"/>
        </w:rPr>
      </w:pPr>
    </w:p>
    <w:p w14:paraId="3942F4B7" w14:textId="77777777" w:rsidR="00633D32" w:rsidRDefault="00633D32" w:rsidP="003B2345">
      <w:pPr>
        <w:pStyle w:val="00"/>
        <w:ind w:firstLineChars="500" w:firstLine="1200"/>
        <w:rPr>
          <w:rFonts w:asciiTheme="minorHAnsi" w:eastAsia="黑体" w:hAnsi="黑体" w:cstheme="minorHAnsi"/>
          <w:color w:val="auto"/>
        </w:rPr>
      </w:pPr>
    </w:p>
    <w:p w14:paraId="58B2F5EF" w14:textId="77777777" w:rsidR="002C3863" w:rsidRDefault="002C3863" w:rsidP="003B2345">
      <w:pPr>
        <w:pStyle w:val="00"/>
        <w:ind w:firstLineChars="500" w:firstLine="1200"/>
        <w:rPr>
          <w:rFonts w:asciiTheme="minorHAnsi" w:eastAsia="黑体" w:hAnsi="黑体" w:cstheme="minorHAnsi"/>
          <w:color w:val="auto"/>
        </w:rPr>
      </w:pPr>
      <w:r w:rsidRPr="003B2345">
        <w:rPr>
          <w:rFonts w:asciiTheme="minorHAnsi" w:eastAsia="黑体" w:hAnsi="黑体" w:cstheme="minorHAnsi"/>
          <w:color w:val="auto"/>
        </w:rPr>
        <w:lastRenderedPageBreak/>
        <w:t>表</w:t>
      </w:r>
      <w:r w:rsidRPr="003B2345">
        <w:rPr>
          <w:rFonts w:asciiTheme="minorHAnsi" w:eastAsia="黑体" w:hAnsiTheme="minorHAnsi" w:cstheme="minorHAnsi"/>
          <w:color w:val="auto"/>
        </w:rPr>
        <w:t>7.1-</w:t>
      </w:r>
      <w:r w:rsidR="00AA575B" w:rsidRPr="003B2345">
        <w:rPr>
          <w:rFonts w:asciiTheme="minorHAnsi" w:eastAsia="黑体" w:hAnsiTheme="minorHAnsi" w:cstheme="minorHAnsi"/>
          <w:color w:val="auto"/>
        </w:rPr>
        <w:t>10</w:t>
      </w:r>
      <w:r w:rsidRPr="003B2345">
        <w:rPr>
          <w:rFonts w:asciiTheme="minorHAnsi" w:eastAsia="黑体" w:hAnsiTheme="minorHAnsi" w:cstheme="minorHAnsi"/>
          <w:color w:val="auto"/>
        </w:rPr>
        <w:t xml:space="preserve">           </w:t>
      </w:r>
      <w:r w:rsidRPr="003B2345">
        <w:rPr>
          <w:rFonts w:asciiTheme="minorHAnsi" w:eastAsia="黑体" w:hAnsi="黑体" w:cstheme="minorHAnsi"/>
          <w:color w:val="auto"/>
        </w:rPr>
        <w:t>本项目废气污染物总量核算表</w:t>
      </w:r>
    </w:p>
    <w:tbl>
      <w:tblPr>
        <w:tblW w:w="4948"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27"/>
        <w:gridCol w:w="2660"/>
        <w:gridCol w:w="1073"/>
        <w:gridCol w:w="1068"/>
        <w:gridCol w:w="1543"/>
        <w:gridCol w:w="1539"/>
      </w:tblGrid>
      <w:tr w:rsidR="001238C2" w:rsidRPr="00DC3375" w14:paraId="0D38206D" w14:textId="77777777" w:rsidTr="008C0B3F">
        <w:trPr>
          <w:trHeight w:val="341"/>
          <w:jc w:val="center"/>
        </w:trPr>
        <w:tc>
          <w:tcPr>
            <w:tcW w:w="422" w:type="pct"/>
            <w:vAlign w:val="center"/>
          </w:tcPr>
          <w:p w14:paraId="6491A96A"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序号</w:t>
            </w:r>
          </w:p>
        </w:tc>
        <w:tc>
          <w:tcPr>
            <w:tcW w:w="1545" w:type="pct"/>
            <w:vAlign w:val="center"/>
          </w:tcPr>
          <w:p w14:paraId="431D2E4F"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产污点位</w:t>
            </w:r>
          </w:p>
        </w:tc>
        <w:tc>
          <w:tcPr>
            <w:tcW w:w="623" w:type="pct"/>
            <w:tcMar>
              <w:left w:w="0" w:type="dxa"/>
              <w:right w:w="0" w:type="dxa"/>
            </w:tcMar>
            <w:vAlign w:val="center"/>
          </w:tcPr>
          <w:p w14:paraId="51866EA1"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污染物</w:t>
            </w:r>
          </w:p>
        </w:tc>
        <w:tc>
          <w:tcPr>
            <w:tcW w:w="620" w:type="pct"/>
            <w:vAlign w:val="center"/>
          </w:tcPr>
          <w:p w14:paraId="2D4EFFD7" w14:textId="77777777" w:rsidR="001238C2" w:rsidRPr="00DC3375" w:rsidRDefault="001238C2" w:rsidP="0002141E">
            <w:pPr>
              <w:snapToGrid w:val="0"/>
              <w:spacing w:line="240" w:lineRule="atLeast"/>
              <w:jc w:val="center"/>
              <w:rPr>
                <w:rFonts w:ascii="Calibri" w:eastAsiaTheme="minorEastAsia" w:hAnsi="Calibri"/>
                <w:color w:val="auto"/>
                <w:szCs w:val="21"/>
              </w:rPr>
            </w:pPr>
            <w:r w:rsidRPr="00DC3375">
              <w:rPr>
                <w:rFonts w:ascii="Calibri" w:eastAsiaTheme="minorEastAsia" w:hAnsi="Calibri"/>
                <w:color w:val="auto"/>
                <w:szCs w:val="21"/>
              </w:rPr>
              <w:t>废气量</w:t>
            </w:r>
          </w:p>
          <w:p w14:paraId="4AB99D6B"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w:t>
            </w:r>
            <w:r w:rsidRPr="00DC3375">
              <w:rPr>
                <w:rFonts w:ascii="Calibri" w:eastAsiaTheme="minorEastAsia" w:hAnsi="Calibri"/>
                <w:color w:val="auto"/>
                <w:szCs w:val="21"/>
              </w:rPr>
              <w:t>m</w:t>
            </w:r>
            <w:r w:rsidRPr="00DC3375">
              <w:rPr>
                <w:rFonts w:ascii="Calibri" w:eastAsiaTheme="minorEastAsia" w:hAnsi="Calibri"/>
                <w:color w:val="auto"/>
                <w:szCs w:val="21"/>
                <w:vertAlign w:val="superscript"/>
              </w:rPr>
              <w:t>3</w:t>
            </w:r>
            <w:r w:rsidRPr="00DC3375">
              <w:rPr>
                <w:rFonts w:ascii="Calibri" w:eastAsiaTheme="minorEastAsia" w:hAnsi="Calibri"/>
                <w:color w:val="auto"/>
                <w:szCs w:val="21"/>
              </w:rPr>
              <w:t>/h</w:t>
            </w:r>
            <w:r w:rsidRPr="00DC3375">
              <w:rPr>
                <w:rFonts w:ascii="Calibri" w:eastAsiaTheme="minorEastAsia" w:hAnsi="Calibri"/>
                <w:color w:val="auto"/>
                <w:szCs w:val="21"/>
              </w:rPr>
              <w:t>）</w:t>
            </w:r>
          </w:p>
        </w:tc>
        <w:tc>
          <w:tcPr>
            <w:tcW w:w="896" w:type="pct"/>
            <w:tcMar>
              <w:left w:w="0" w:type="dxa"/>
              <w:right w:w="0" w:type="dxa"/>
            </w:tcMar>
            <w:vAlign w:val="center"/>
          </w:tcPr>
          <w:p w14:paraId="4DD8E232"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预测排放浓度</w:t>
            </w:r>
          </w:p>
          <w:p w14:paraId="146A6737" w14:textId="77777777" w:rsidR="001238C2" w:rsidRPr="00DC3375" w:rsidRDefault="001238C2" w:rsidP="0002141E">
            <w:pPr>
              <w:snapToGrid w:val="0"/>
              <w:spacing w:line="240" w:lineRule="atLeast"/>
              <w:jc w:val="center"/>
              <w:rPr>
                <w:rFonts w:ascii="Calibri" w:eastAsiaTheme="minorEastAsia" w:hAnsi="Calibri"/>
                <w:color w:val="auto"/>
                <w:szCs w:val="21"/>
              </w:rPr>
            </w:pPr>
            <w:r w:rsidRPr="00DC3375">
              <w:rPr>
                <w:rFonts w:ascii="Calibri" w:eastAsiaTheme="minorEastAsia" w:hAnsi="Calibri"/>
                <w:color w:val="auto"/>
                <w:szCs w:val="21"/>
              </w:rPr>
              <w:t>（</w:t>
            </w:r>
            <w:r w:rsidRPr="00DC3375">
              <w:rPr>
                <w:rFonts w:ascii="Calibri" w:eastAsiaTheme="minorEastAsia" w:hAnsi="Calibri"/>
                <w:color w:val="auto"/>
                <w:szCs w:val="21"/>
              </w:rPr>
              <w:t>mg/m</w:t>
            </w:r>
            <w:r w:rsidRPr="00DC3375">
              <w:rPr>
                <w:rFonts w:ascii="Calibri" w:eastAsiaTheme="minorEastAsia" w:hAnsi="Calibri"/>
                <w:color w:val="auto"/>
                <w:szCs w:val="21"/>
                <w:vertAlign w:val="superscript"/>
              </w:rPr>
              <w:t>3</w:t>
            </w:r>
            <w:r w:rsidRPr="00DC3375">
              <w:rPr>
                <w:rFonts w:ascii="Calibri" w:eastAsiaTheme="minorEastAsia" w:hAnsi="Calibri"/>
                <w:color w:val="auto"/>
                <w:szCs w:val="21"/>
              </w:rPr>
              <w:t>）</w:t>
            </w:r>
          </w:p>
        </w:tc>
        <w:tc>
          <w:tcPr>
            <w:tcW w:w="894" w:type="pct"/>
            <w:vAlign w:val="center"/>
          </w:tcPr>
          <w:p w14:paraId="510674A8" w14:textId="77777777" w:rsidR="001238C2" w:rsidRPr="00DC3375" w:rsidRDefault="001238C2" w:rsidP="0002141E">
            <w:pPr>
              <w:snapToGrid w:val="0"/>
              <w:spacing w:line="240" w:lineRule="atLeast"/>
              <w:jc w:val="center"/>
              <w:rPr>
                <w:rFonts w:ascii="Calibri" w:eastAsiaTheme="minorEastAsia" w:hAnsi="Calibri"/>
                <w:color w:val="auto"/>
                <w:szCs w:val="21"/>
              </w:rPr>
            </w:pPr>
            <w:r w:rsidRPr="00DC3375">
              <w:rPr>
                <w:rFonts w:ascii="Calibri" w:eastAsiaTheme="minorEastAsia" w:hAnsi="Calibri"/>
                <w:color w:val="auto"/>
                <w:szCs w:val="21"/>
              </w:rPr>
              <w:t>年预测排放量</w:t>
            </w:r>
          </w:p>
          <w:p w14:paraId="7FB63C66" w14:textId="77777777" w:rsidR="001238C2" w:rsidRPr="00DC3375" w:rsidRDefault="001238C2" w:rsidP="0002141E">
            <w:pPr>
              <w:snapToGrid w:val="0"/>
              <w:spacing w:line="240" w:lineRule="atLeast"/>
              <w:jc w:val="center"/>
              <w:rPr>
                <w:rFonts w:ascii="Calibri" w:eastAsiaTheme="minorEastAsia" w:hAnsi="Calibri"/>
                <w:color w:val="auto"/>
                <w:szCs w:val="21"/>
              </w:rPr>
            </w:pPr>
            <w:r w:rsidRPr="00DC3375">
              <w:rPr>
                <w:rFonts w:ascii="Calibri" w:eastAsiaTheme="minorEastAsia" w:hAnsi="Calibri"/>
                <w:color w:val="auto"/>
                <w:szCs w:val="21"/>
              </w:rPr>
              <w:t>（</w:t>
            </w:r>
            <w:r w:rsidRPr="00DC3375">
              <w:rPr>
                <w:rFonts w:ascii="Calibri" w:eastAsiaTheme="minorEastAsia" w:hAnsi="Calibri"/>
                <w:color w:val="auto"/>
                <w:szCs w:val="21"/>
              </w:rPr>
              <w:t>t/a</w:t>
            </w:r>
            <w:r w:rsidRPr="00DC3375">
              <w:rPr>
                <w:rFonts w:ascii="Calibri" w:eastAsiaTheme="minorEastAsia" w:hAnsi="Calibri"/>
                <w:color w:val="auto"/>
                <w:szCs w:val="21"/>
              </w:rPr>
              <w:t>）</w:t>
            </w:r>
          </w:p>
        </w:tc>
      </w:tr>
      <w:tr w:rsidR="001238C2" w:rsidRPr="00DC3375" w14:paraId="12CBA975" w14:textId="77777777" w:rsidTr="008C0B3F">
        <w:trPr>
          <w:trHeight w:val="361"/>
          <w:jc w:val="center"/>
        </w:trPr>
        <w:tc>
          <w:tcPr>
            <w:tcW w:w="422" w:type="pct"/>
            <w:vAlign w:val="center"/>
          </w:tcPr>
          <w:p w14:paraId="3D40A361"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1</w:t>
            </w:r>
          </w:p>
        </w:tc>
        <w:tc>
          <w:tcPr>
            <w:tcW w:w="1545" w:type="pct"/>
            <w:vAlign w:val="center"/>
          </w:tcPr>
          <w:p w14:paraId="73C89966" w14:textId="77777777" w:rsidR="001238C2" w:rsidRPr="00DC3375" w:rsidRDefault="001238C2" w:rsidP="001238C2">
            <w:pPr>
              <w:jc w:val="center"/>
              <w:rPr>
                <w:rFonts w:ascii="Calibri" w:eastAsiaTheme="minorEastAsia" w:hAnsi="Calibri"/>
                <w:color w:val="auto"/>
                <w:szCs w:val="21"/>
              </w:rPr>
            </w:pPr>
            <w:r>
              <w:rPr>
                <w:rFonts w:ascii="Calibri" w:hAnsi="Calibri" w:hint="eastAsia"/>
                <w:color w:val="auto"/>
                <w:szCs w:val="21"/>
              </w:rPr>
              <w:t>一期工程</w:t>
            </w:r>
            <w:r w:rsidR="00A06A90" w:rsidRPr="00A06A90">
              <w:rPr>
                <w:rFonts w:ascii="Calibri" w:hAnsi="Calibri" w:hint="eastAsia"/>
                <w:color w:val="auto"/>
                <w:szCs w:val="21"/>
              </w:rPr>
              <w:t>聚合及聚合釜下料废气</w:t>
            </w:r>
          </w:p>
        </w:tc>
        <w:tc>
          <w:tcPr>
            <w:tcW w:w="623" w:type="pct"/>
            <w:tcMar>
              <w:left w:w="0" w:type="dxa"/>
              <w:right w:w="0" w:type="dxa"/>
            </w:tcMar>
            <w:vAlign w:val="center"/>
          </w:tcPr>
          <w:p w14:paraId="71B1E419" w14:textId="77777777" w:rsidR="001238C2" w:rsidRPr="00DC3375" w:rsidRDefault="001238C2" w:rsidP="0002141E">
            <w:pPr>
              <w:jc w:val="center"/>
              <w:rPr>
                <w:rFonts w:ascii="Calibri" w:eastAsiaTheme="minorEastAsia" w:hAnsi="Calibri"/>
                <w:color w:val="auto"/>
                <w:szCs w:val="21"/>
              </w:rPr>
            </w:pPr>
            <w:r>
              <w:rPr>
                <w:rFonts w:ascii="Calibri" w:eastAsiaTheme="minorEastAsia" w:hAnsi="Calibri" w:hint="eastAsia"/>
                <w:color w:val="auto"/>
                <w:szCs w:val="21"/>
              </w:rPr>
              <w:t>非甲烷总烃</w:t>
            </w:r>
          </w:p>
        </w:tc>
        <w:tc>
          <w:tcPr>
            <w:tcW w:w="620" w:type="pct"/>
            <w:vAlign w:val="center"/>
          </w:tcPr>
          <w:p w14:paraId="508891A3" w14:textId="77777777" w:rsidR="001238C2" w:rsidRPr="00DC3375" w:rsidRDefault="008C0B3F" w:rsidP="0002141E">
            <w:pPr>
              <w:snapToGrid w:val="0"/>
              <w:jc w:val="center"/>
              <w:rPr>
                <w:rFonts w:ascii="Calibri" w:eastAsiaTheme="minorEastAsia" w:hAnsi="Calibri"/>
                <w:color w:val="auto"/>
                <w:szCs w:val="21"/>
              </w:rPr>
            </w:pPr>
            <w:r>
              <w:rPr>
                <w:rFonts w:ascii="Calibri" w:eastAsiaTheme="minorEastAsia" w:hAnsi="Calibri"/>
                <w:color w:val="auto"/>
                <w:szCs w:val="21"/>
              </w:rPr>
              <w:t>3000</w:t>
            </w:r>
          </w:p>
        </w:tc>
        <w:tc>
          <w:tcPr>
            <w:tcW w:w="896" w:type="pct"/>
            <w:tcMar>
              <w:left w:w="0" w:type="dxa"/>
              <w:right w:w="0" w:type="dxa"/>
            </w:tcMar>
            <w:vAlign w:val="center"/>
          </w:tcPr>
          <w:p w14:paraId="2247EC1D" w14:textId="0F4BE2E4" w:rsidR="001238C2" w:rsidRPr="00DC3375" w:rsidRDefault="0028594C" w:rsidP="0002141E">
            <w:pPr>
              <w:jc w:val="center"/>
              <w:rPr>
                <w:rFonts w:ascii="Calibri" w:eastAsiaTheme="minorEastAsia" w:hAnsi="Calibri"/>
                <w:color w:val="auto"/>
                <w:szCs w:val="21"/>
              </w:rPr>
            </w:pPr>
            <w:r w:rsidRPr="00CE1FD8">
              <w:rPr>
                <w:rFonts w:asciiTheme="minorHAnsi" w:hAnsiTheme="minorHAnsi" w:cstheme="minorHAnsi"/>
                <w:b/>
                <w:color w:val="auto"/>
                <w:szCs w:val="21"/>
                <w:u w:val="single"/>
              </w:rPr>
              <w:t>15.28</w:t>
            </w:r>
          </w:p>
        </w:tc>
        <w:tc>
          <w:tcPr>
            <w:tcW w:w="894" w:type="pct"/>
            <w:vAlign w:val="center"/>
          </w:tcPr>
          <w:p w14:paraId="3C39DC78" w14:textId="3B443E5F" w:rsidR="001238C2" w:rsidRPr="00DC3375" w:rsidRDefault="0028594C" w:rsidP="008C0B3F">
            <w:pPr>
              <w:snapToGrid w:val="0"/>
              <w:jc w:val="center"/>
              <w:rPr>
                <w:rFonts w:ascii="Calibri" w:eastAsiaTheme="minorEastAsia" w:hAnsi="Calibri"/>
                <w:color w:val="auto"/>
                <w:szCs w:val="21"/>
              </w:rPr>
            </w:pPr>
            <w:r w:rsidRPr="00CE1FD8">
              <w:rPr>
                <w:rFonts w:ascii="Calibri" w:hAnsi="Calibri"/>
                <w:b/>
                <w:color w:val="auto"/>
                <w:szCs w:val="21"/>
                <w:u w:val="single"/>
              </w:rPr>
              <w:t>0.33</w:t>
            </w:r>
          </w:p>
        </w:tc>
      </w:tr>
      <w:tr w:rsidR="001238C2" w:rsidRPr="00DC3375" w14:paraId="7045E4DB" w14:textId="77777777" w:rsidTr="008C0B3F">
        <w:trPr>
          <w:trHeight w:val="361"/>
          <w:jc w:val="center"/>
        </w:trPr>
        <w:tc>
          <w:tcPr>
            <w:tcW w:w="422" w:type="pct"/>
            <w:vAlign w:val="center"/>
          </w:tcPr>
          <w:p w14:paraId="2A30BA62" w14:textId="77777777" w:rsidR="001238C2" w:rsidRPr="00DC3375" w:rsidRDefault="00AD0BDD" w:rsidP="0002141E">
            <w:pPr>
              <w:snapToGrid w:val="0"/>
              <w:jc w:val="center"/>
              <w:rPr>
                <w:rFonts w:ascii="Calibri" w:eastAsiaTheme="minorEastAsia" w:hAnsi="Calibri"/>
                <w:color w:val="auto"/>
                <w:szCs w:val="21"/>
              </w:rPr>
            </w:pPr>
            <w:r>
              <w:rPr>
                <w:rFonts w:ascii="Calibri" w:eastAsiaTheme="minorEastAsia" w:hAnsi="Calibri"/>
                <w:color w:val="auto"/>
                <w:szCs w:val="21"/>
              </w:rPr>
              <w:t>3</w:t>
            </w:r>
          </w:p>
        </w:tc>
        <w:tc>
          <w:tcPr>
            <w:tcW w:w="1545" w:type="pct"/>
            <w:vAlign w:val="center"/>
          </w:tcPr>
          <w:p w14:paraId="2A6B0304" w14:textId="77777777" w:rsidR="001238C2" w:rsidRPr="00DC3375" w:rsidRDefault="001238C2" w:rsidP="0002141E">
            <w:pPr>
              <w:jc w:val="center"/>
              <w:rPr>
                <w:rFonts w:ascii="Calibri" w:eastAsiaTheme="minorEastAsia" w:hAnsi="Calibri"/>
                <w:color w:val="auto"/>
                <w:szCs w:val="21"/>
              </w:rPr>
            </w:pPr>
            <w:r>
              <w:rPr>
                <w:rFonts w:ascii="Calibri" w:hAnsi="Calibri" w:hint="eastAsia"/>
                <w:color w:val="auto"/>
                <w:szCs w:val="21"/>
              </w:rPr>
              <w:t>二期</w:t>
            </w:r>
            <w:r>
              <w:rPr>
                <w:rFonts w:ascii="Calibri" w:hAnsi="Calibri"/>
                <w:color w:val="auto"/>
                <w:szCs w:val="21"/>
              </w:rPr>
              <w:t>工程</w:t>
            </w:r>
            <w:r w:rsidR="00A06A90" w:rsidRPr="00A06A90">
              <w:rPr>
                <w:rFonts w:ascii="Calibri" w:hAnsi="Calibri" w:hint="eastAsia"/>
                <w:color w:val="auto"/>
                <w:szCs w:val="21"/>
              </w:rPr>
              <w:t>聚合及聚合釜下料废气</w:t>
            </w:r>
          </w:p>
        </w:tc>
        <w:tc>
          <w:tcPr>
            <w:tcW w:w="623" w:type="pct"/>
            <w:tcMar>
              <w:left w:w="0" w:type="dxa"/>
              <w:right w:w="0" w:type="dxa"/>
            </w:tcMar>
            <w:vAlign w:val="center"/>
          </w:tcPr>
          <w:p w14:paraId="665F79E1" w14:textId="77777777" w:rsidR="001238C2" w:rsidRPr="00DC3375" w:rsidRDefault="001238C2" w:rsidP="0002141E">
            <w:pPr>
              <w:jc w:val="center"/>
              <w:rPr>
                <w:rFonts w:ascii="Calibri" w:eastAsiaTheme="minorEastAsia" w:hAnsi="Calibri"/>
                <w:color w:val="auto"/>
                <w:szCs w:val="21"/>
              </w:rPr>
            </w:pPr>
            <w:r w:rsidRPr="001238C2">
              <w:rPr>
                <w:rFonts w:ascii="Calibri" w:eastAsiaTheme="minorEastAsia" w:hAnsi="Calibri" w:hint="eastAsia"/>
                <w:color w:val="auto"/>
                <w:szCs w:val="21"/>
              </w:rPr>
              <w:t>非甲烷总烃</w:t>
            </w:r>
          </w:p>
        </w:tc>
        <w:tc>
          <w:tcPr>
            <w:tcW w:w="620" w:type="pct"/>
            <w:vAlign w:val="center"/>
          </w:tcPr>
          <w:p w14:paraId="77D3AD3D" w14:textId="77777777" w:rsidR="001238C2" w:rsidRPr="00DC3375" w:rsidRDefault="001238C2" w:rsidP="0002141E">
            <w:pPr>
              <w:snapToGrid w:val="0"/>
              <w:jc w:val="center"/>
              <w:rPr>
                <w:rFonts w:ascii="Calibri" w:eastAsiaTheme="minorEastAsia" w:hAnsi="Calibri"/>
                <w:color w:val="auto"/>
                <w:szCs w:val="21"/>
              </w:rPr>
            </w:pPr>
            <w:r>
              <w:rPr>
                <w:rFonts w:ascii="Calibri" w:eastAsiaTheme="minorEastAsia" w:hAnsi="Calibri"/>
                <w:color w:val="auto"/>
                <w:szCs w:val="21"/>
              </w:rPr>
              <w:t>2000</w:t>
            </w:r>
          </w:p>
        </w:tc>
        <w:tc>
          <w:tcPr>
            <w:tcW w:w="896" w:type="pct"/>
            <w:tcMar>
              <w:left w:w="0" w:type="dxa"/>
              <w:right w:w="0" w:type="dxa"/>
            </w:tcMar>
            <w:vAlign w:val="center"/>
          </w:tcPr>
          <w:p w14:paraId="0EA9EAB5" w14:textId="6DFCA558" w:rsidR="001238C2" w:rsidRPr="00DC3375" w:rsidRDefault="0028594C" w:rsidP="0002141E">
            <w:pPr>
              <w:jc w:val="center"/>
              <w:rPr>
                <w:rFonts w:ascii="Calibri" w:eastAsiaTheme="minorEastAsia" w:hAnsi="Calibri"/>
                <w:color w:val="auto"/>
                <w:szCs w:val="21"/>
              </w:rPr>
            </w:pPr>
            <w:r w:rsidRPr="00CE1FD8">
              <w:rPr>
                <w:rFonts w:asciiTheme="minorHAnsi" w:hAnsiTheme="minorHAnsi" w:cstheme="minorHAnsi"/>
                <w:b/>
                <w:color w:val="auto"/>
                <w:szCs w:val="21"/>
                <w:u w:val="single"/>
              </w:rPr>
              <w:t>13.82</w:t>
            </w:r>
          </w:p>
        </w:tc>
        <w:tc>
          <w:tcPr>
            <w:tcW w:w="894" w:type="pct"/>
            <w:vAlign w:val="center"/>
          </w:tcPr>
          <w:p w14:paraId="279DEAD0" w14:textId="2DEC1F28" w:rsidR="001238C2" w:rsidRPr="00DC3375" w:rsidRDefault="0028594C" w:rsidP="008C0B3F">
            <w:pPr>
              <w:snapToGrid w:val="0"/>
              <w:jc w:val="center"/>
              <w:rPr>
                <w:rFonts w:ascii="Calibri" w:eastAsiaTheme="minorEastAsia" w:hAnsi="Calibri"/>
                <w:color w:val="auto"/>
                <w:szCs w:val="21"/>
              </w:rPr>
            </w:pPr>
            <w:r w:rsidRPr="00CE1FD8">
              <w:rPr>
                <w:rFonts w:ascii="Calibri" w:hAnsi="Calibri"/>
                <w:b/>
                <w:color w:val="auto"/>
                <w:szCs w:val="21"/>
                <w:u w:val="single"/>
              </w:rPr>
              <w:t>0.20</w:t>
            </w:r>
          </w:p>
        </w:tc>
      </w:tr>
      <w:tr w:rsidR="001238C2" w:rsidRPr="00DC3375" w14:paraId="7BA36F35" w14:textId="77777777" w:rsidTr="008C0B3F">
        <w:trPr>
          <w:trHeight w:val="360"/>
          <w:jc w:val="center"/>
        </w:trPr>
        <w:tc>
          <w:tcPr>
            <w:tcW w:w="422" w:type="pct"/>
            <w:vAlign w:val="center"/>
          </w:tcPr>
          <w:p w14:paraId="4469A7B6" w14:textId="77777777" w:rsidR="001238C2" w:rsidRPr="00DC3375" w:rsidRDefault="00AD0BDD" w:rsidP="0002141E">
            <w:pPr>
              <w:snapToGrid w:val="0"/>
              <w:jc w:val="center"/>
              <w:rPr>
                <w:rFonts w:ascii="Calibri" w:eastAsiaTheme="minorEastAsia" w:hAnsi="Calibri"/>
                <w:color w:val="auto"/>
                <w:szCs w:val="21"/>
              </w:rPr>
            </w:pPr>
            <w:r>
              <w:rPr>
                <w:rFonts w:ascii="Calibri" w:eastAsiaTheme="minorEastAsia" w:hAnsi="Calibri"/>
                <w:color w:val="auto"/>
                <w:szCs w:val="21"/>
              </w:rPr>
              <w:t>3</w:t>
            </w:r>
          </w:p>
        </w:tc>
        <w:tc>
          <w:tcPr>
            <w:tcW w:w="1545" w:type="pct"/>
            <w:vAlign w:val="center"/>
          </w:tcPr>
          <w:p w14:paraId="2453B83A" w14:textId="77777777" w:rsidR="001238C2" w:rsidRPr="00DC3375" w:rsidRDefault="001238C2" w:rsidP="0002141E">
            <w:pPr>
              <w:jc w:val="center"/>
              <w:rPr>
                <w:rFonts w:ascii="Calibri" w:eastAsiaTheme="minorEastAsia" w:hAnsi="Calibri"/>
                <w:color w:val="auto"/>
                <w:szCs w:val="21"/>
              </w:rPr>
            </w:pPr>
            <w:r>
              <w:rPr>
                <w:rFonts w:ascii="Calibri" w:eastAsiaTheme="minorEastAsia" w:hAnsi="Calibri" w:hint="eastAsia"/>
                <w:color w:val="auto"/>
                <w:kern w:val="0"/>
                <w:szCs w:val="21"/>
              </w:rPr>
              <w:t>废水处理站</w:t>
            </w:r>
          </w:p>
        </w:tc>
        <w:tc>
          <w:tcPr>
            <w:tcW w:w="623" w:type="pct"/>
            <w:tcMar>
              <w:left w:w="0" w:type="dxa"/>
              <w:right w:w="0" w:type="dxa"/>
            </w:tcMar>
            <w:vAlign w:val="center"/>
          </w:tcPr>
          <w:p w14:paraId="3ACF4B02" w14:textId="77777777" w:rsidR="001238C2" w:rsidRPr="00DC3375" w:rsidRDefault="001238C2" w:rsidP="0002141E">
            <w:pPr>
              <w:snapToGrid w:val="0"/>
              <w:jc w:val="center"/>
              <w:rPr>
                <w:rFonts w:ascii="Calibri" w:eastAsiaTheme="minorEastAsia" w:hAnsi="Calibri"/>
                <w:color w:val="auto"/>
                <w:szCs w:val="21"/>
              </w:rPr>
            </w:pPr>
            <w:r w:rsidRPr="001238C2">
              <w:rPr>
                <w:rFonts w:ascii="Calibri" w:eastAsiaTheme="minorEastAsia" w:hAnsi="Calibri" w:hint="eastAsia"/>
                <w:color w:val="auto"/>
                <w:szCs w:val="21"/>
              </w:rPr>
              <w:t>非甲烷总烃</w:t>
            </w:r>
          </w:p>
        </w:tc>
        <w:tc>
          <w:tcPr>
            <w:tcW w:w="620" w:type="pct"/>
            <w:vAlign w:val="center"/>
          </w:tcPr>
          <w:p w14:paraId="3D7D5F92" w14:textId="77777777" w:rsidR="001238C2" w:rsidRPr="00DC3375" w:rsidRDefault="001238C2" w:rsidP="0002141E">
            <w:pPr>
              <w:snapToGrid w:val="0"/>
              <w:jc w:val="center"/>
              <w:rPr>
                <w:rFonts w:ascii="Calibri" w:eastAsiaTheme="minorEastAsia" w:hAnsi="Calibri"/>
                <w:color w:val="auto"/>
                <w:szCs w:val="21"/>
              </w:rPr>
            </w:pPr>
            <w:r>
              <w:rPr>
                <w:rFonts w:ascii="Calibri" w:eastAsiaTheme="minorEastAsia" w:hAnsi="Calibri"/>
                <w:color w:val="auto"/>
                <w:szCs w:val="21"/>
              </w:rPr>
              <w:t>2</w:t>
            </w:r>
            <w:r>
              <w:rPr>
                <w:rFonts w:ascii="Calibri" w:eastAsiaTheme="minorEastAsia" w:hAnsi="Calibri" w:hint="eastAsia"/>
                <w:color w:val="auto"/>
                <w:szCs w:val="21"/>
              </w:rPr>
              <w:t>000</w:t>
            </w:r>
          </w:p>
        </w:tc>
        <w:tc>
          <w:tcPr>
            <w:tcW w:w="896" w:type="pct"/>
            <w:tcMar>
              <w:left w:w="0" w:type="dxa"/>
              <w:right w:w="0" w:type="dxa"/>
            </w:tcMar>
            <w:vAlign w:val="center"/>
          </w:tcPr>
          <w:p w14:paraId="0DC847B2" w14:textId="5FB67546" w:rsidR="001238C2" w:rsidRPr="00DC3375" w:rsidRDefault="0028594C" w:rsidP="0002141E">
            <w:pPr>
              <w:jc w:val="center"/>
              <w:rPr>
                <w:rFonts w:ascii="Calibri" w:eastAsiaTheme="minorEastAsia" w:hAnsi="Calibri"/>
                <w:color w:val="auto"/>
                <w:szCs w:val="21"/>
              </w:rPr>
            </w:pPr>
            <w:r>
              <w:rPr>
                <w:rFonts w:ascii="Calibri" w:eastAsiaTheme="minorEastAsia" w:hAnsi="Calibri"/>
                <w:color w:val="auto"/>
                <w:szCs w:val="21"/>
              </w:rPr>
              <w:t>0.70</w:t>
            </w:r>
          </w:p>
        </w:tc>
        <w:tc>
          <w:tcPr>
            <w:tcW w:w="894" w:type="pct"/>
            <w:vAlign w:val="center"/>
          </w:tcPr>
          <w:p w14:paraId="57734178" w14:textId="4DD1BE10" w:rsidR="001238C2" w:rsidRPr="00DC3375" w:rsidRDefault="00364EBD" w:rsidP="008C0B3F">
            <w:pPr>
              <w:snapToGrid w:val="0"/>
              <w:jc w:val="center"/>
              <w:rPr>
                <w:rFonts w:ascii="Calibri" w:eastAsiaTheme="minorEastAsia" w:hAnsi="Calibri"/>
                <w:color w:val="auto"/>
                <w:szCs w:val="21"/>
              </w:rPr>
            </w:pPr>
            <w:r>
              <w:rPr>
                <w:rFonts w:ascii="Calibri" w:eastAsiaTheme="minorEastAsia" w:hAnsi="Calibri"/>
                <w:color w:val="auto"/>
                <w:szCs w:val="21"/>
              </w:rPr>
              <w:t>0.010</w:t>
            </w:r>
          </w:p>
        </w:tc>
      </w:tr>
      <w:tr w:rsidR="00ED39DD" w:rsidRPr="00DC3375" w14:paraId="19ED08BA" w14:textId="77777777" w:rsidTr="008C0B3F">
        <w:trPr>
          <w:trHeight w:val="360"/>
          <w:jc w:val="center"/>
        </w:trPr>
        <w:tc>
          <w:tcPr>
            <w:tcW w:w="422" w:type="pct"/>
            <w:vMerge w:val="restart"/>
            <w:vAlign w:val="center"/>
          </w:tcPr>
          <w:p w14:paraId="47EE438F" w14:textId="77777777" w:rsidR="00ED39DD" w:rsidRPr="00DC3375" w:rsidRDefault="00AD0BDD" w:rsidP="00ED39DD">
            <w:pPr>
              <w:snapToGrid w:val="0"/>
              <w:jc w:val="center"/>
              <w:rPr>
                <w:rFonts w:ascii="Calibri" w:eastAsiaTheme="minorEastAsia" w:hAnsi="Calibri"/>
                <w:color w:val="auto"/>
                <w:szCs w:val="21"/>
              </w:rPr>
            </w:pPr>
            <w:r>
              <w:rPr>
                <w:rFonts w:ascii="Calibri" w:eastAsiaTheme="minorEastAsia" w:hAnsi="Calibri"/>
                <w:color w:val="auto"/>
                <w:szCs w:val="21"/>
              </w:rPr>
              <w:t>4</w:t>
            </w:r>
          </w:p>
        </w:tc>
        <w:tc>
          <w:tcPr>
            <w:tcW w:w="1545" w:type="pct"/>
            <w:vMerge w:val="restart"/>
            <w:vAlign w:val="center"/>
          </w:tcPr>
          <w:p w14:paraId="1AA28FCE" w14:textId="77777777" w:rsidR="00ED39DD" w:rsidRPr="00DC3375" w:rsidRDefault="00ED39DD" w:rsidP="00ED39DD">
            <w:pPr>
              <w:jc w:val="center"/>
              <w:rPr>
                <w:rFonts w:ascii="Calibri" w:eastAsiaTheme="minorEastAsia" w:hAnsi="Calibri"/>
                <w:color w:val="auto"/>
                <w:kern w:val="0"/>
                <w:szCs w:val="21"/>
              </w:rPr>
            </w:pPr>
            <w:r w:rsidRPr="00DC3375">
              <w:rPr>
                <w:rFonts w:ascii="Calibri" w:eastAsiaTheme="minorEastAsia" w:hAnsi="Calibri"/>
                <w:color w:val="auto"/>
                <w:kern w:val="0"/>
                <w:szCs w:val="21"/>
              </w:rPr>
              <w:t>导热油炉</w:t>
            </w:r>
          </w:p>
        </w:tc>
        <w:tc>
          <w:tcPr>
            <w:tcW w:w="623" w:type="pct"/>
            <w:tcMar>
              <w:left w:w="0" w:type="dxa"/>
              <w:right w:w="0" w:type="dxa"/>
            </w:tcMar>
            <w:vAlign w:val="center"/>
          </w:tcPr>
          <w:p w14:paraId="697396EB" w14:textId="77777777" w:rsidR="00ED39DD" w:rsidRPr="00DC3375" w:rsidRDefault="00ED39DD" w:rsidP="00ED39DD">
            <w:pPr>
              <w:jc w:val="center"/>
              <w:rPr>
                <w:rFonts w:ascii="Calibri" w:eastAsiaTheme="minorEastAsia" w:hAnsi="Calibri"/>
                <w:color w:val="auto"/>
                <w:szCs w:val="21"/>
              </w:rPr>
            </w:pPr>
            <w:r w:rsidRPr="00DC3375">
              <w:rPr>
                <w:rFonts w:ascii="Calibri" w:eastAsiaTheme="minorEastAsia" w:hAnsi="Calibri"/>
                <w:color w:val="auto"/>
                <w:szCs w:val="21"/>
              </w:rPr>
              <w:t>SO</w:t>
            </w:r>
            <w:r w:rsidRPr="00DC3375">
              <w:rPr>
                <w:rFonts w:ascii="Calibri" w:eastAsiaTheme="minorEastAsia" w:hAnsi="Calibri"/>
                <w:color w:val="auto"/>
                <w:szCs w:val="21"/>
                <w:vertAlign w:val="subscript"/>
              </w:rPr>
              <w:t>2</w:t>
            </w:r>
          </w:p>
        </w:tc>
        <w:tc>
          <w:tcPr>
            <w:tcW w:w="620" w:type="pct"/>
            <w:vMerge w:val="restart"/>
            <w:vAlign w:val="center"/>
          </w:tcPr>
          <w:p w14:paraId="1271A159" w14:textId="77777777" w:rsidR="00ED39DD" w:rsidRPr="00DC3375" w:rsidRDefault="00ED39DD" w:rsidP="00ED39DD">
            <w:pPr>
              <w:snapToGrid w:val="0"/>
              <w:jc w:val="center"/>
              <w:rPr>
                <w:rFonts w:ascii="Calibri" w:eastAsiaTheme="minorEastAsia" w:hAnsi="Calibri"/>
                <w:color w:val="auto"/>
                <w:szCs w:val="21"/>
              </w:rPr>
            </w:pPr>
            <w:r>
              <w:rPr>
                <w:rFonts w:ascii="Calibri" w:eastAsiaTheme="minorEastAsia" w:hAnsi="Calibri"/>
                <w:color w:val="auto"/>
                <w:szCs w:val="21"/>
              </w:rPr>
              <w:t>2514</w:t>
            </w:r>
          </w:p>
        </w:tc>
        <w:tc>
          <w:tcPr>
            <w:tcW w:w="896" w:type="pct"/>
            <w:tcMar>
              <w:left w:w="0" w:type="dxa"/>
              <w:right w:w="0" w:type="dxa"/>
            </w:tcMar>
            <w:vAlign w:val="center"/>
          </w:tcPr>
          <w:p w14:paraId="2C477CFE" w14:textId="77777777" w:rsidR="00ED39DD" w:rsidRPr="00ED39DD" w:rsidRDefault="00ED39DD" w:rsidP="00ED39DD">
            <w:pPr>
              <w:jc w:val="center"/>
              <w:rPr>
                <w:rFonts w:ascii="Calibri" w:eastAsiaTheme="minorEastAsia" w:hAnsi="Calibri"/>
                <w:color w:val="auto"/>
                <w:szCs w:val="21"/>
              </w:rPr>
            </w:pPr>
            <w:r w:rsidRPr="00ED39DD">
              <w:rPr>
                <w:rFonts w:ascii="Calibri" w:eastAsiaTheme="minorEastAsia" w:hAnsi="Calibri"/>
                <w:color w:val="auto"/>
                <w:szCs w:val="21"/>
              </w:rPr>
              <w:t>3.70</w:t>
            </w:r>
          </w:p>
        </w:tc>
        <w:tc>
          <w:tcPr>
            <w:tcW w:w="894" w:type="pct"/>
            <w:vAlign w:val="center"/>
          </w:tcPr>
          <w:p w14:paraId="4D92F5D0" w14:textId="77777777" w:rsidR="00ED39DD" w:rsidRPr="00ED39DD" w:rsidRDefault="00ED39DD" w:rsidP="008C0B3F">
            <w:pPr>
              <w:snapToGrid w:val="0"/>
              <w:jc w:val="center"/>
              <w:rPr>
                <w:rFonts w:ascii="Calibri" w:eastAsiaTheme="minorEastAsia" w:hAnsi="Calibri"/>
                <w:color w:val="auto"/>
                <w:szCs w:val="21"/>
              </w:rPr>
            </w:pPr>
            <w:r w:rsidRPr="00ED39DD">
              <w:rPr>
                <w:rFonts w:ascii="Calibri" w:eastAsiaTheme="minorEastAsia" w:hAnsi="Calibri"/>
                <w:color w:val="auto"/>
                <w:szCs w:val="21"/>
              </w:rPr>
              <w:t>0.067</w:t>
            </w:r>
          </w:p>
        </w:tc>
      </w:tr>
      <w:tr w:rsidR="00ED39DD" w:rsidRPr="00DC3375" w14:paraId="68C16D78" w14:textId="77777777" w:rsidTr="008C0B3F">
        <w:trPr>
          <w:trHeight w:val="360"/>
          <w:jc w:val="center"/>
        </w:trPr>
        <w:tc>
          <w:tcPr>
            <w:tcW w:w="422" w:type="pct"/>
            <w:vMerge/>
            <w:vAlign w:val="center"/>
          </w:tcPr>
          <w:p w14:paraId="35748B15" w14:textId="77777777" w:rsidR="00ED39DD" w:rsidRPr="00DC3375" w:rsidRDefault="00ED39DD" w:rsidP="00ED39DD">
            <w:pPr>
              <w:snapToGrid w:val="0"/>
              <w:jc w:val="center"/>
              <w:rPr>
                <w:rFonts w:ascii="Calibri" w:eastAsiaTheme="minorEastAsia" w:hAnsi="Calibri"/>
                <w:color w:val="auto"/>
                <w:szCs w:val="21"/>
              </w:rPr>
            </w:pPr>
          </w:p>
        </w:tc>
        <w:tc>
          <w:tcPr>
            <w:tcW w:w="1545" w:type="pct"/>
            <w:vMerge/>
            <w:vAlign w:val="center"/>
          </w:tcPr>
          <w:p w14:paraId="5308715B" w14:textId="77777777" w:rsidR="00ED39DD" w:rsidRPr="00DC3375" w:rsidRDefault="00ED39DD" w:rsidP="00ED39DD">
            <w:pPr>
              <w:jc w:val="center"/>
              <w:rPr>
                <w:rFonts w:ascii="Calibri" w:eastAsiaTheme="minorEastAsia" w:hAnsi="Calibri"/>
                <w:color w:val="auto"/>
                <w:kern w:val="0"/>
                <w:szCs w:val="21"/>
              </w:rPr>
            </w:pPr>
          </w:p>
        </w:tc>
        <w:tc>
          <w:tcPr>
            <w:tcW w:w="623" w:type="pct"/>
            <w:tcMar>
              <w:left w:w="0" w:type="dxa"/>
              <w:right w:w="0" w:type="dxa"/>
            </w:tcMar>
            <w:vAlign w:val="center"/>
          </w:tcPr>
          <w:p w14:paraId="05F189E7" w14:textId="77777777" w:rsidR="00ED39DD" w:rsidRPr="00DC3375" w:rsidRDefault="00ED39DD" w:rsidP="00ED39DD">
            <w:pPr>
              <w:jc w:val="center"/>
              <w:rPr>
                <w:rFonts w:ascii="Calibri" w:eastAsiaTheme="minorEastAsia" w:hAnsi="Calibri"/>
                <w:color w:val="auto"/>
                <w:szCs w:val="21"/>
              </w:rPr>
            </w:pPr>
            <w:r w:rsidRPr="00DC3375">
              <w:rPr>
                <w:rFonts w:ascii="Calibri" w:eastAsiaTheme="minorEastAsia" w:hAnsi="Calibri"/>
                <w:color w:val="auto"/>
                <w:szCs w:val="21"/>
              </w:rPr>
              <w:t>NOx</w:t>
            </w:r>
          </w:p>
        </w:tc>
        <w:tc>
          <w:tcPr>
            <w:tcW w:w="620" w:type="pct"/>
            <w:vMerge/>
            <w:vAlign w:val="center"/>
          </w:tcPr>
          <w:p w14:paraId="1E440E3B" w14:textId="77777777" w:rsidR="00ED39DD" w:rsidRPr="00DC3375" w:rsidRDefault="00ED39DD" w:rsidP="00ED39DD">
            <w:pPr>
              <w:snapToGrid w:val="0"/>
              <w:jc w:val="center"/>
              <w:rPr>
                <w:rFonts w:ascii="Calibri" w:eastAsiaTheme="minorEastAsia" w:hAnsi="Calibri"/>
                <w:color w:val="auto"/>
                <w:szCs w:val="21"/>
              </w:rPr>
            </w:pPr>
          </w:p>
        </w:tc>
        <w:tc>
          <w:tcPr>
            <w:tcW w:w="896" w:type="pct"/>
            <w:tcMar>
              <w:left w:w="0" w:type="dxa"/>
              <w:right w:w="0" w:type="dxa"/>
            </w:tcMar>
            <w:vAlign w:val="center"/>
          </w:tcPr>
          <w:p w14:paraId="33E2A076" w14:textId="77777777" w:rsidR="00ED39DD" w:rsidRPr="00ED39DD" w:rsidRDefault="00ED39DD" w:rsidP="00ED39DD">
            <w:pPr>
              <w:jc w:val="center"/>
              <w:rPr>
                <w:rFonts w:ascii="Calibri" w:eastAsiaTheme="minorEastAsia" w:hAnsi="Calibri"/>
                <w:color w:val="auto"/>
                <w:szCs w:val="21"/>
              </w:rPr>
            </w:pPr>
            <w:r w:rsidRPr="00ED39DD">
              <w:rPr>
                <w:rFonts w:ascii="Calibri" w:eastAsiaTheme="minorEastAsia" w:hAnsi="Calibri"/>
                <w:color w:val="auto"/>
                <w:szCs w:val="21"/>
              </w:rPr>
              <w:t>28.20</w:t>
            </w:r>
          </w:p>
        </w:tc>
        <w:tc>
          <w:tcPr>
            <w:tcW w:w="894" w:type="pct"/>
            <w:vAlign w:val="center"/>
          </w:tcPr>
          <w:p w14:paraId="18329D18" w14:textId="77777777" w:rsidR="00ED39DD" w:rsidRPr="00ED39DD" w:rsidRDefault="00ED39DD" w:rsidP="008C0B3F">
            <w:pPr>
              <w:snapToGrid w:val="0"/>
              <w:jc w:val="center"/>
              <w:rPr>
                <w:rFonts w:ascii="Calibri" w:eastAsiaTheme="minorEastAsia" w:hAnsi="Calibri"/>
                <w:color w:val="auto"/>
                <w:szCs w:val="21"/>
              </w:rPr>
            </w:pPr>
            <w:r w:rsidRPr="00ED39DD">
              <w:rPr>
                <w:rFonts w:ascii="Calibri" w:eastAsiaTheme="minorEastAsia" w:hAnsi="Calibri"/>
                <w:color w:val="auto"/>
                <w:szCs w:val="21"/>
              </w:rPr>
              <w:t>0.51</w:t>
            </w:r>
          </w:p>
        </w:tc>
      </w:tr>
      <w:tr w:rsidR="00ED39DD" w:rsidRPr="00DC3375" w14:paraId="35ED7398" w14:textId="77777777" w:rsidTr="008C0B3F">
        <w:trPr>
          <w:trHeight w:val="360"/>
          <w:jc w:val="center"/>
        </w:trPr>
        <w:tc>
          <w:tcPr>
            <w:tcW w:w="422" w:type="pct"/>
            <w:vMerge/>
            <w:vAlign w:val="center"/>
          </w:tcPr>
          <w:p w14:paraId="5F9186EF" w14:textId="77777777" w:rsidR="00ED39DD" w:rsidRPr="00DC3375" w:rsidRDefault="00ED39DD" w:rsidP="00ED39DD">
            <w:pPr>
              <w:snapToGrid w:val="0"/>
              <w:jc w:val="center"/>
              <w:rPr>
                <w:rFonts w:ascii="Calibri" w:eastAsiaTheme="minorEastAsia" w:hAnsi="Calibri"/>
                <w:color w:val="auto"/>
                <w:szCs w:val="21"/>
              </w:rPr>
            </w:pPr>
          </w:p>
        </w:tc>
        <w:tc>
          <w:tcPr>
            <w:tcW w:w="1545" w:type="pct"/>
            <w:vMerge/>
            <w:vAlign w:val="center"/>
          </w:tcPr>
          <w:p w14:paraId="6CF25FB4" w14:textId="77777777" w:rsidR="00ED39DD" w:rsidRPr="00DC3375" w:rsidRDefault="00ED39DD" w:rsidP="00ED39DD">
            <w:pPr>
              <w:jc w:val="center"/>
              <w:rPr>
                <w:rFonts w:ascii="Calibri" w:eastAsiaTheme="minorEastAsia" w:hAnsi="Calibri"/>
                <w:color w:val="auto"/>
                <w:kern w:val="0"/>
                <w:szCs w:val="21"/>
              </w:rPr>
            </w:pPr>
          </w:p>
        </w:tc>
        <w:tc>
          <w:tcPr>
            <w:tcW w:w="623" w:type="pct"/>
            <w:tcMar>
              <w:left w:w="0" w:type="dxa"/>
              <w:right w:w="0" w:type="dxa"/>
            </w:tcMar>
            <w:vAlign w:val="center"/>
          </w:tcPr>
          <w:p w14:paraId="294E7746" w14:textId="77777777" w:rsidR="00ED39DD" w:rsidRPr="00DC3375" w:rsidRDefault="00ED39DD" w:rsidP="00ED39DD">
            <w:pPr>
              <w:jc w:val="center"/>
              <w:rPr>
                <w:rFonts w:ascii="Calibri" w:eastAsiaTheme="minorEastAsia" w:hAnsi="Calibri"/>
                <w:color w:val="auto"/>
                <w:szCs w:val="21"/>
              </w:rPr>
            </w:pPr>
            <w:r w:rsidRPr="00DC3375">
              <w:rPr>
                <w:rFonts w:ascii="Calibri" w:eastAsiaTheme="minorEastAsia" w:hAnsi="Calibri"/>
                <w:color w:val="auto"/>
                <w:szCs w:val="21"/>
              </w:rPr>
              <w:t>颗粒物</w:t>
            </w:r>
          </w:p>
        </w:tc>
        <w:tc>
          <w:tcPr>
            <w:tcW w:w="620" w:type="pct"/>
            <w:vMerge/>
            <w:vAlign w:val="center"/>
          </w:tcPr>
          <w:p w14:paraId="42428E13" w14:textId="77777777" w:rsidR="00ED39DD" w:rsidRPr="00DC3375" w:rsidRDefault="00ED39DD" w:rsidP="00ED39DD">
            <w:pPr>
              <w:snapToGrid w:val="0"/>
              <w:jc w:val="center"/>
              <w:rPr>
                <w:rFonts w:ascii="Calibri" w:eastAsiaTheme="minorEastAsia" w:hAnsi="Calibri"/>
                <w:color w:val="auto"/>
                <w:szCs w:val="21"/>
              </w:rPr>
            </w:pPr>
          </w:p>
        </w:tc>
        <w:tc>
          <w:tcPr>
            <w:tcW w:w="896" w:type="pct"/>
            <w:tcMar>
              <w:left w:w="0" w:type="dxa"/>
              <w:right w:w="0" w:type="dxa"/>
            </w:tcMar>
            <w:vAlign w:val="center"/>
          </w:tcPr>
          <w:p w14:paraId="0E5139FC" w14:textId="77777777" w:rsidR="00ED39DD" w:rsidRPr="00ED39DD" w:rsidRDefault="00ED39DD" w:rsidP="00ED39DD">
            <w:pPr>
              <w:jc w:val="center"/>
              <w:rPr>
                <w:rFonts w:ascii="Calibri" w:eastAsiaTheme="minorEastAsia" w:hAnsi="Calibri"/>
                <w:color w:val="auto"/>
                <w:szCs w:val="21"/>
              </w:rPr>
            </w:pPr>
            <w:r w:rsidRPr="00ED39DD">
              <w:rPr>
                <w:rFonts w:ascii="Calibri" w:eastAsiaTheme="minorEastAsia" w:hAnsi="Calibri"/>
                <w:color w:val="auto"/>
                <w:szCs w:val="21"/>
              </w:rPr>
              <w:t>2.45</w:t>
            </w:r>
          </w:p>
        </w:tc>
        <w:tc>
          <w:tcPr>
            <w:tcW w:w="894" w:type="pct"/>
            <w:vAlign w:val="center"/>
          </w:tcPr>
          <w:p w14:paraId="5D2A2C2C" w14:textId="77777777" w:rsidR="00ED39DD" w:rsidRPr="00ED39DD" w:rsidRDefault="00ED39DD" w:rsidP="008C0B3F">
            <w:pPr>
              <w:snapToGrid w:val="0"/>
              <w:jc w:val="center"/>
              <w:rPr>
                <w:rFonts w:ascii="Calibri" w:eastAsiaTheme="minorEastAsia" w:hAnsi="Calibri"/>
                <w:color w:val="auto"/>
                <w:szCs w:val="21"/>
              </w:rPr>
            </w:pPr>
            <w:r w:rsidRPr="00ED39DD">
              <w:rPr>
                <w:rFonts w:ascii="Calibri" w:eastAsiaTheme="minorEastAsia" w:hAnsi="Calibri"/>
                <w:color w:val="auto"/>
                <w:szCs w:val="21"/>
              </w:rPr>
              <w:t>0.0</w:t>
            </w:r>
            <w:r w:rsidR="008C0B3F">
              <w:rPr>
                <w:rFonts w:ascii="Calibri" w:eastAsiaTheme="minorEastAsia" w:hAnsi="Calibri"/>
                <w:color w:val="auto"/>
                <w:szCs w:val="21"/>
              </w:rPr>
              <w:t>44</w:t>
            </w:r>
          </w:p>
        </w:tc>
      </w:tr>
      <w:tr w:rsidR="001238C2" w:rsidRPr="00DC3375" w14:paraId="17B39E27" w14:textId="77777777" w:rsidTr="008C0B3F">
        <w:trPr>
          <w:trHeight w:val="341"/>
          <w:jc w:val="center"/>
        </w:trPr>
        <w:tc>
          <w:tcPr>
            <w:tcW w:w="1967" w:type="pct"/>
            <w:gridSpan w:val="2"/>
            <w:vMerge w:val="restart"/>
            <w:vAlign w:val="center"/>
          </w:tcPr>
          <w:p w14:paraId="71785F5D" w14:textId="77777777" w:rsidR="001238C2" w:rsidRPr="00DC3375" w:rsidRDefault="001238C2" w:rsidP="0002141E">
            <w:pPr>
              <w:jc w:val="center"/>
              <w:rPr>
                <w:rFonts w:ascii="Calibri" w:eastAsiaTheme="minorEastAsia" w:hAnsi="Calibri"/>
                <w:color w:val="auto"/>
                <w:szCs w:val="21"/>
              </w:rPr>
            </w:pPr>
            <w:r w:rsidRPr="00DC3375">
              <w:rPr>
                <w:rFonts w:ascii="Calibri" w:eastAsiaTheme="minorEastAsia" w:hAnsi="Calibri"/>
                <w:color w:val="auto"/>
                <w:szCs w:val="21"/>
              </w:rPr>
              <w:t>合计</w:t>
            </w:r>
          </w:p>
        </w:tc>
        <w:tc>
          <w:tcPr>
            <w:tcW w:w="623" w:type="pct"/>
            <w:tcMar>
              <w:left w:w="0" w:type="dxa"/>
              <w:right w:w="0" w:type="dxa"/>
            </w:tcMar>
            <w:vAlign w:val="center"/>
          </w:tcPr>
          <w:p w14:paraId="31EF6820"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颗粒物</w:t>
            </w:r>
          </w:p>
        </w:tc>
        <w:tc>
          <w:tcPr>
            <w:tcW w:w="620" w:type="pct"/>
            <w:vAlign w:val="center"/>
          </w:tcPr>
          <w:p w14:paraId="487A587C"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6" w:type="pct"/>
            <w:tcMar>
              <w:left w:w="0" w:type="dxa"/>
              <w:right w:w="0" w:type="dxa"/>
            </w:tcMar>
            <w:vAlign w:val="center"/>
          </w:tcPr>
          <w:p w14:paraId="18A1641E" w14:textId="77777777" w:rsidR="001238C2" w:rsidRPr="00DC3375" w:rsidRDefault="001238C2" w:rsidP="0002141E">
            <w:pPr>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4" w:type="pct"/>
            <w:vAlign w:val="center"/>
          </w:tcPr>
          <w:p w14:paraId="028A88ED" w14:textId="77777777" w:rsidR="001238C2" w:rsidRPr="00DC3375" w:rsidRDefault="008C0B3F" w:rsidP="008C0B3F">
            <w:pPr>
              <w:snapToGrid w:val="0"/>
              <w:jc w:val="center"/>
              <w:rPr>
                <w:rFonts w:ascii="Calibri" w:eastAsiaTheme="minorEastAsia" w:hAnsi="Calibri"/>
                <w:color w:val="auto"/>
                <w:szCs w:val="21"/>
              </w:rPr>
            </w:pPr>
            <w:r>
              <w:rPr>
                <w:rFonts w:ascii="Calibri" w:eastAsiaTheme="minorEastAsia" w:hAnsi="Calibri"/>
                <w:color w:val="auto"/>
                <w:szCs w:val="21"/>
              </w:rPr>
              <w:t>0.044</w:t>
            </w:r>
          </w:p>
        </w:tc>
      </w:tr>
      <w:tr w:rsidR="00ED39DD" w:rsidRPr="00DC3375" w14:paraId="49BC10F3" w14:textId="77777777" w:rsidTr="008C0B3F">
        <w:trPr>
          <w:trHeight w:val="341"/>
          <w:jc w:val="center"/>
        </w:trPr>
        <w:tc>
          <w:tcPr>
            <w:tcW w:w="1967" w:type="pct"/>
            <w:gridSpan w:val="2"/>
            <w:vMerge/>
            <w:vAlign w:val="center"/>
          </w:tcPr>
          <w:p w14:paraId="60C6FE88" w14:textId="77777777" w:rsidR="00ED39DD" w:rsidRPr="00DC3375" w:rsidRDefault="00ED39DD" w:rsidP="00ED39DD">
            <w:pPr>
              <w:jc w:val="center"/>
              <w:rPr>
                <w:rFonts w:ascii="Calibri" w:eastAsiaTheme="minorEastAsia" w:hAnsi="Calibri"/>
                <w:color w:val="auto"/>
                <w:szCs w:val="21"/>
              </w:rPr>
            </w:pPr>
          </w:p>
        </w:tc>
        <w:tc>
          <w:tcPr>
            <w:tcW w:w="623" w:type="pct"/>
            <w:tcMar>
              <w:left w:w="0" w:type="dxa"/>
              <w:right w:w="0" w:type="dxa"/>
            </w:tcMar>
            <w:vAlign w:val="center"/>
          </w:tcPr>
          <w:p w14:paraId="4D1F995F" w14:textId="77777777" w:rsidR="00ED39DD" w:rsidRPr="00DC3375" w:rsidRDefault="00ED39DD" w:rsidP="00ED39DD">
            <w:pPr>
              <w:snapToGrid w:val="0"/>
              <w:jc w:val="center"/>
              <w:rPr>
                <w:rFonts w:ascii="Calibri" w:eastAsiaTheme="minorEastAsia" w:hAnsi="Calibri"/>
                <w:color w:val="auto"/>
                <w:szCs w:val="21"/>
              </w:rPr>
            </w:pPr>
            <w:r w:rsidRPr="00DC3375">
              <w:rPr>
                <w:rFonts w:ascii="Calibri" w:eastAsiaTheme="minorEastAsia" w:hAnsi="Calibri"/>
                <w:color w:val="auto"/>
                <w:szCs w:val="21"/>
              </w:rPr>
              <w:t>SO</w:t>
            </w:r>
            <w:r w:rsidRPr="00DC3375">
              <w:rPr>
                <w:rFonts w:ascii="Calibri" w:eastAsiaTheme="minorEastAsia" w:hAnsi="Calibri"/>
                <w:color w:val="auto"/>
                <w:szCs w:val="21"/>
                <w:vertAlign w:val="subscript"/>
              </w:rPr>
              <w:t>2</w:t>
            </w:r>
          </w:p>
        </w:tc>
        <w:tc>
          <w:tcPr>
            <w:tcW w:w="620" w:type="pct"/>
            <w:vAlign w:val="center"/>
          </w:tcPr>
          <w:p w14:paraId="504BB5EA" w14:textId="77777777" w:rsidR="00ED39DD" w:rsidRPr="00DC3375" w:rsidRDefault="00ED39DD" w:rsidP="00ED39DD">
            <w:pPr>
              <w:snapToGrid w:val="0"/>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6" w:type="pct"/>
            <w:tcMar>
              <w:left w:w="0" w:type="dxa"/>
              <w:right w:w="0" w:type="dxa"/>
            </w:tcMar>
            <w:vAlign w:val="center"/>
          </w:tcPr>
          <w:p w14:paraId="038EBB23" w14:textId="77777777" w:rsidR="00ED39DD" w:rsidRPr="00DC3375" w:rsidRDefault="00ED39DD" w:rsidP="00ED39DD">
            <w:pPr>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4" w:type="pct"/>
            <w:vAlign w:val="center"/>
          </w:tcPr>
          <w:p w14:paraId="15ADDB20" w14:textId="77777777" w:rsidR="00ED39DD" w:rsidRPr="00ED39DD" w:rsidRDefault="00ED39DD" w:rsidP="008C0B3F">
            <w:pPr>
              <w:snapToGrid w:val="0"/>
              <w:jc w:val="center"/>
              <w:rPr>
                <w:rFonts w:ascii="Calibri" w:eastAsiaTheme="minorEastAsia" w:hAnsi="Calibri"/>
                <w:color w:val="auto"/>
                <w:szCs w:val="21"/>
              </w:rPr>
            </w:pPr>
            <w:r w:rsidRPr="00ED39DD">
              <w:rPr>
                <w:rFonts w:ascii="Calibri" w:eastAsiaTheme="minorEastAsia" w:hAnsi="Calibri"/>
                <w:color w:val="auto"/>
                <w:szCs w:val="21"/>
              </w:rPr>
              <w:t>0.067</w:t>
            </w:r>
          </w:p>
        </w:tc>
      </w:tr>
      <w:tr w:rsidR="00ED39DD" w:rsidRPr="00DC3375" w14:paraId="57C8E26F" w14:textId="77777777" w:rsidTr="008C0B3F">
        <w:trPr>
          <w:trHeight w:val="341"/>
          <w:jc w:val="center"/>
        </w:trPr>
        <w:tc>
          <w:tcPr>
            <w:tcW w:w="1967" w:type="pct"/>
            <w:gridSpan w:val="2"/>
            <w:vMerge/>
            <w:vAlign w:val="center"/>
          </w:tcPr>
          <w:p w14:paraId="4EE30834" w14:textId="77777777" w:rsidR="00ED39DD" w:rsidRPr="00DC3375" w:rsidRDefault="00ED39DD" w:rsidP="00ED39DD">
            <w:pPr>
              <w:jc w:val="center"/>
              <w:rPr>
                <w:rFonts w:ascii="Calibri" w:eastAsiaTheme="minorEastAsia" w:hAnsi="Calibri"/>
                <w:color w:val="auto"/>
                <w:szCs w:val="21"/>
              </w:rPr>
            </w:pPr>
          </w:p>
        </w:tc>
        <w:tc>
          <w:tcPr>
            <w:tcW w:w="623" w:type="pct"/>
            <w:tcMar>
              <w:left w:w="0" w:type="dxa"/>
              <w:right w:w="0" w:type="dxa"/>
            </w:tcMar>
            <w:vAlign w:val="center"/>
          </w:tcPr>
          <w:p w14:paraId="76BE8921" w14:textId="77777777" w:rsidR="00ED39DD" w:rsidRPr="00DC3375" w:rsidRDefault="00ED39DD" w:rsidP="00ED39DD">
            <w:pPr>
              <w:snapToGrid w:val="0"/>
              <w:jc w:val="center"/>
              <w:rPr>
                <w:rFonts w:ascii="Calibri" w:eastAsiaTheme="minorEastAsia" w:hAnsi="Calibri"/>
                <w:color w:val="auto"/>
                <w:szCs w:val="21"/>
              </w:rPr>
            </w:pPr>
            <w:r w:rsidRPr="00DC3375">
              <w:rPr>
                <w:rFonts w:ascii="Calibri" w:eastAsiaTheme="minorEastAsia" w:hAnsi="Calibri"/>
                <w:color w:val="auto"/>
                <w:szCs w:val="21"/>
              </w:rPr>
              <w:t>NOx</w:t>
            </w:r>
          </w:p>
        </w:tc>
        <w:tc>
          <w:tcPr>
            <w:tcW w:w="620" w:type="pct"/>
            <w:vAlign w:val="center"/>
          </w:tcPr>
          <w:p w14:paraId="069FB9D1" w14:textId="77777777" w:rsidR="00ED39DD" w:rsidRPr="00DC3375" w:rsidRDefault="00ED39DD" w:rsidP="00ED39DD">
            <w:pPr>
              <w:snapToGrid w:val="0"/>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6" w:type="pct"/>
            <w:tcMar>
              <w:left w:w="0" w:type="dxa"/>
              <w:right w:w="0" w:type="dxa"/>
            </w:tcMar>
            <w:vAlign w:val="center"/>
          </w:tcPr>
          <w:p w14:paraId="38A84019" w14:textId="77777777" w:rsidR="00ED39DD" w:rsidRPr="00DC3375" w:rsidRDefault="00ED39DD" w:rsidP="00ED39DD">
            <w:pPr>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4" w:type="pct"/>
            <w:vAlign w:val="center"/>
          </w:tcPr>
          <w:p w14:paraId="29AFC943" w14:textId="77777777" w:rsidR="00ED39DD" w:rsidRPr="00ED39DD" w:rsidRDefault="00ED39DD" w:rsidP="008C0B3F">
            <w:pPr>
              <w:snapToGrid w:val="0"/>
              <w:jc w:val="center"/>
              <w:rPr>
                <w:rFonts w:ascii="Calibri" w:eastAsiaTheme="minorEastAsia" w:hAnsi="Calibri"/>
                <w:color w:val="auto"/>
                <w:szCs w:val="21"/>
              </w:rPr>
            </w:pPr>
            <w:r w:rsidRPr="00ED39DD">
              <w:rPr>
                <w:rFonts w:ascii="Calibri" w:eastAsiaTheme="minorEastAsia" w:hAnsi="Calibri"/>
                <w:color w:val="auto"/>
                <w:szCs w:val="21"/>
              </w:rPr>
              <w:t>0.51</w:t>
            </w:r>
          </w:p>
        </w:tc>
      </w:tr>
      <w:tr w:rsidR="001238C2" w:rsidRPr="00DC3375" w14:paraId="03819FD7" w14:textId="77777777" w:rsidTr="008C0B3F">
        <w:trPr>
          <w:trHeight w:val="341"/>
          <w:jc w:val="center"/>
        </w:trPr>
        <w:tc>
          <w:tcPr>
            <w:tcW w:w="1967" w:type="pct"/>
            <w:gridSpan w:val="2"/>
            <w:vMerge/>
            <w:vAlign w:val="center"/>
          </w:tcPr>
          <w:p w14:paraId="50A3A705" w14:textId="77777777" w:rsidR="001238C2" w:rsidRPr="00DC3375" w:rsidRDefault="001238C2" w:rsidP="0002141E">
            <w:pPr>
              <w:jc w:val="center"/>
              <w:rPr>
                <w:rFonts w:ascii="Calibri" w:eastAsiaTheme="minorEastAsia" w:hAnsi="Calibri"/>
                <w:color w:val="auto"/>
                <w:szCs w:val="21"/>
              </w:rPr>
            </w:pPr>
          </w:p>
        </w:tc>
        <w:tc>
          <w:tcPr>
            <w:tcW w:w="623" w:type="pct"/>
            <w:tcMar>
              <w:left w:w="0" w:type="dxa"/>
              <w:right w:w="0" w:type="dxa"/>
            </w:tcMar>
            <w:vAlign w:val="center"/>
          </w:tcPr>
          <w:p w14:paraId="314B5DD5" w14:textId="77777777" w:rsidR="001238C2" w:rsidRPr="00DC3375" w:rsidRDefault="00ED39DD" w:rsidP="0002141E">
            <w:pPr>
              <w:snapToGrid w:val="0"/>
              <w:jc w:val="center"/>
              <w:rPr>
                <w:rFonts w:ascii="Calibri" w:eastAsiaTheme="minorEastAsia" w:hAnsi="Calibri"/>
                <w:color w:val="auto"/>
                <w:szCs w:val="21"/>
              </w:rPr>
            </w:pPr>
            <w:r w:rsidRPr="00ED39DD">
              <w:rPr>
                <w:rFonts w:ascii="Calibri" w:eastAsiaTheme="minorEastAsia" w:hAnsi="Calibri" w:hint="eastAsia"/>
                <w:color w:val="auto"/>
                <w:szCs w:val="21"/>
              </w:rPr>
              <w:t>非甲烷总烃</w:t>
            </w:r>
          </w:p>
        </w:tc>
        <w:tc>
          <w:tcPr>
            <w:tcW w:w="620" w:type="pct"/>
            <w:vAlign w:val="center"/>
          </w:tcPr>
          <w:p w14:paraId="335B8740" w14:textId="77777777" w:rsidR="001238C2" w:rsidRPr="00DC3375" w:rsidRDefault="001238C2" w:rsidP="0002141E">
            <w:pPr>
              <w:snapToGrid w:val="0"/>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6" w:type="pct"/>
            <w:tcMar>
              <w:left w:w="0" w:type="dxa"/>
              <w:right w:w="0" w:type="dxa"/>
            </w:tcMar>
            <w:vAlign w:val="center"/>
          </w:tcPr>
          <w:p w14:paraId="5960780B" w14:textId="77777777" w:rsidR="001238C2" w:rsidRPr="00DC3375" w:rsidRDefault="001238C2" w:rsidP="0002141E">
            <w:pPr>
              <w:jc w:val="center"/>
              <w:rPr>
                <w:rFonts w:ascii="Calibri" w:eastAsiaTheme="minorEastAsia" w:hAnsi="Calibri"/>
                <w:color w:val="auto"/>
                <w:szCs w:val="21"/>
              </w:rPr>
            </w:pPr>
            <w:r w:rsidRPr="00DC3375">
              <w:rPr>
                <w:rFonts w:ascii="Calibri" w:eastAsiaTheme="minorEastAsia" w:hAnsi="Calibri"/>
                <w:color w:val="auto"/>
                <w:szCs w:val="21"/>
              </w:rPr>
              <w:t>/</w:t>
            </w:r>
          </w:p>
        </w:tc>
        <w:tc>
          <w:tcPr>
            <w:tcW w:w="894" w:type="pct"/>
            <w:vAlign w:val="center"/>
          </w:tcPr>
          <w:p w14:paraId="64EA1702" w14:textId="4BC6CADA" w:rsidR="001238C2" w:rsidRPr="00DC3375" w:rsidRDefault="00364EBD" w:rsidP="008C0B3F">
            <w:pPr>
              <w:snapToGrid w:val="0"/>
              <w:jc w:val="center"/>
              <w:rPr>
                <w:rFonts w:ascii="Calibri" w:eastAsiaTheme="minorEastAsia" w:hAnsi="Calibri"/>
                <w:color w:val="auto"/>
                <w:szCs w:val="21"/>
              </w:rPr>
            </w:pPr>
            <w:r>
              <w:rPr>
                <w:rFonts w:ascii="Calibri" w:eastAsiaTheme="minorEastAsia" w:hAnsi="Calibri"/>
                <w:color w:val="auto"/>
                <w:szCs w:val="21"/>
              </w:rPr>
              <w:t>0.54</w:t>
            </w:r>
          </w:p>
        </w:tc>
      </w:tr>
    </w:tbl>
    <w:p w14:paraId="1EDDB51A" w14:textId="5CCC6868" w:rsidR="003B2345" w:rsidRPr="00364EBD" w:rsidRDefault="003B2345" w:rsidP="00ED39DD">
      <w:pPr>
        <w:pStyle w:val="00"/>
        <w:ind w:firstLineChars="200" w:firstLine="482"/>
        <w:rPr>
          <w:rFonts w:ascii="Calibri" w:hAnsi="Calibri"/>
          <w:b/>
          <w:color w:val="auto"/>
          <w:u w:val="single"/>
        </w:rPr>
      </w:pPr>
      <w:r w:rsidRPr="00364EBD">
        <w:rPr>
          <w:rFonts w:ascii="Calibri" w:hAnsi="Calibri"/>
          <w:b/>
          <w:color w:val="auto"/>
          <w:u w:val="single"/>
        </w:rPr>
        <w:t>由上表可知，本项目营运后建议总量控制指标为：</w:t>
      </w:r>
      <w:r w:rsidRPr="00364EBD">
        <w:rPr>
          <w:rFonts w:ascii="Calibri" w:hAnsi="Calibri" w:hint="eastAsia"/>
          <w:b/>
          <w:color w:val="auto"/>
          <w:u w:val="single"/>
        </w:rPr>
        <w:t>颗粒物</w:t>
      </w:r>
      <w:r w:rsidR="008C0B3F" w:rsidRPr="00364EBD">
        <w:rPr>
          <w:rFonts w:ascii="Calibri" w:eastAsiaTheme="minorEastAsia" w:hAnsi="Calibri"/>
          <w:b/>
          <w:color w:val="auto"/>
          <w:szCs w:val="21"/>
          <w:u w:val="single"/>
        </w:rPr>
        <w:t>0.044</w:t>
      </w:r>
      <w:r w:rsidRPr="00364EBD">
        <w:rPr>
          <w:rFonts w:ascii="Calibri" w:hAnsi="Calibri" w:hint="eastAsia"/>
          <w:b/>
          <w:color w:val="auto"/>
          <w:u w:val="single"/>
        </w:rPr>
        <w:t>t/a</w:t>
      </w:r>
      <w:r w:rsidRPr="00364EBD">
        <w:rPr>
          <w:rFonts w:ascii="Calibri" w:hAnsi="Calibri" w:hint="eastAsia"/>
          <w:b/>
          <w:color w:val="auto"/>
          <w:u w:val="single"/>
        </w:rPr>
        <w:t>、</w:t>
      </w:r>
      <w:r w:rsidR="00ED39DD" w:rsidRPr="00364EBD">
        <w:rPr>
          <w:rFonts w:ascii="Calibri" w:hAnsi="Calibri" w:hint="eastAsia"/>
          <w:b/>
          <w:color w:val="auto"/>
          <w:u w:val="single"/>
        </w:rPr>
        <w:t>非甲烷总烃</w:t>
      </w:r>
      <w:r w:rsidRPr="00364EBD">
        <w:rPr>
          <w:rFonts w:ascii="Calibri" w:hAnsi="Calibri"/>
          <w:b/>
          <w:color w:val="auto"/>
          <w:u w:val="single"/>
        </w:rPr>
        <w:t>：</w:t>
      </w:r>
      <w:r w:rsidR="00364EBD" w:rsidRPr="00364EBD">
        <w:rPr>
          <w:rFonts w:ascii="Calibri" w:hAnsi="Calibri"/>
          <w:b/>
          <w:color w:val="auto"/>
          <w:u w:val="single"/>
        </w:rPr>
        <w:t>0.54</w:t>
      </w:r>
      <w:r w:rsidRPr="00364EBD">
        <w:rPr>
          <w:rFonts w:ascii="Calibri" w:hAnsi="Calibri"/>
          <w:b/>
          <w:color w:val="auto"/>
          <w:u w:val="single"/>
        </w:rPr>
        <w:t>t/a</w:t>
      </w:r>
      <w:r w:rsidRPr="00364EBD">
        <w:rPr>
          <w:rFonts w:ascii="Calibri" w:hAnsi="Calibri"/>
          <w:b/>
          <w:color w:val="auto"/>
          <w:u w:val="single"/>
        </w:rPr>
        <w:t>，</w:t>
      </w:r>
      <w:r w:rsidRPr="00364EBD">
        <w:rPr>
          <w:rFonts w:ascii="Calibri" w:hAnsi="Calibri"/>
          <w:b/>
          <w:color w:val="auto"/>
          <w:u w:val="single"/>
        </w:rPr>
        <w:t>SO</w:t>
      </w:r>
      <w:r w:rsidRPr="00364EBD">
        <w:rPr>
          <w:rFonts w:ascii="Calibri" w:hAnsi="Calibri"/>
          <w:b/>
          <w:color w:val="auto"/>
          <w:u w:val="single"/>
          <w:vertAlign w:val="subscript"/>
        </w:rPr>
        <w:t>2</w:t>
      </w:r>
      <w:r w:rsidRPr="00364EBD">
        <w:rPr>
          <w:rFonts w:ascii="Calibri" w:hAnsi="Calibri"/>
          <w:b/>
          <w:color w:val="auto"/>
          <w:u w:val="single"/>
        </w:rPr>
        <w:t>：</w:t>
      </w:r>
      <w:r w:rsidR="00ED39DD" w:rsidRPr="00364EBD">
        <w:rPr>
          <w:rFonts w:ascii="Calibri" w:hAnsi="Calibri"/>
          <w:b/>
          <w:color w:val="auto"/>
          <w:u w:val="single"/>
        </w:rPr>
        <w:t>0.067</w:t>
      </w:r>
      <w:r w:rsidRPr="00364EBD">
        <w:rPr>
          <w:rFonts w:ascii="Calibri" w:hAnsi="Calibri"/>
          <w:b/>
          <w:color w:val="auto"/>
          <w:u w:val="single"/>
        </w:rPr>
        <w:t>t/a</w:t>
      </w:r>
      <w:r w:rsidRPr="00364EBD">
        <w:rPr>
          <w:rFonts w:ascii="Calibri" w:hAnsi="Calibri"/>
          <w:b/>
          <w:color w:val="auto"/>
          <w:u w:val="single"/>
        </w:rPr>
        <w:t>，</w:t>
      </w:r>
      <w:r w:rsidR="00ED39DD" w:rsidRPr="00364EBD">
        <w:rPr>
          <w:rFonts w:ascii="Calibri" w:eastAsiaTheme="minorEastAsia" w:hAnsi="Calibri"/>
          <w:b/>
          <w:color w:val="auto"/>
          <w:szCs w:val="21"/>
          <w:u w:val="single"/>
        </w:rPr>
        <w:t>NOx</w:t>
      </w:r>
      <w:r w:rsidR="00ED39DD" w:rsidRPr="00364EBD">
        <w:rPr>
          <w:rFonts w:ascii="Calibri" w:eastAsiaTheme="minorEastAsia" w:hAnsi="Calibri" w:hint="eastAsia"/>
          <w:b/>
          <w:color w:val="auto"/>
          <w:szCs w:val="21"/>
          <w:u w:val="single"/>
        </w:rPr>
        <w:t>：</w:t>
      </w:r>
      <w:r w:rsidR="00ED39DD" w:rsidRPr="00364EBD">
        <w:rPr>
          <w:rFonts w:ascii="Calibri" w:eastAsiaTheme="minorEastAsia" w:hAnsi="Calibri" w:hint="eastAsia"/>
          <w:b/>
          <w:color w:val="auto"/>
          <w:szCs w:val="21"/>
          <w:u w:val="single"/>
        </w:rPr>
        <w:t>0.51</w:t>
      </w:r>
      <w:r w:rsidR="00ED39DD" w:rsidRPr="00364EBD">
        <w:rPr>
          <w:rFonts w:ascii="Calibri" w:eastAsiaTheme="minorEastAsia" w:hAnsi="Calibri"/>
          <w:b/>
          <w:color w:val="auto"/>
          <w:szCs w:val="21"/>
          <w:u w:val="single"/>
        </w:rPr>
        <w:t>t/a</w:t>
      </w:r>
      <w:r w:rsidRPr="00364EBD">
        <w:rPr>
          <w:rFonts w:ascii="Calibri" w:hAnsi="Calibri"/>
          <w:b/>
          <w:color w:val="auto"/>
          <w:u w:val="single"/>
        </w:rPr>
        <w:t>。</w:t>
      </w:r>
    </w:p>
    <w:p w14:paraId="3A79708D" w14:textId="77777777" w:rsidR="00ED39DD" w:rsidRPr="00DC3375" w:rsidRDefault="00ED39DD" w:rsidP="00ED39DD">
      <w:pPr>
        <w:pStyle w:val="00"/>
        <w:rPr>
          <w:rFonts w:ascii="Calibri" w:eastAsiaTheme="minorEastAsia" w:hAnsi="Calibri"/>
          <w:color w:val="auto"/>
        </w:rPr>
      </w:pPr>
      <w:r w:rsidRPr="009B7BCD">
        <w:rPr>
          <w:rFonts w:asciiTheme="minorEastAsia" w:eastAsiaTheme="minorEastAsia" w:hAnsiTheme="minorEastAsia"/>
          <w:color w:val="auto"/>
        </w:rPr>
        <w:t xml:space="preserve">② </w:t>
      </w:r>
      <w:r w:rsidRPr="00DC3375">
        <w:rPr>
          <w:rFonts w:ascii="Calibri" w:eastAsiaTheme="minorEastAsia" w:hAnsi="Calibri"/>
          <w:color w:val="auto"/>
        </w:rPr>
        <w:t>废水污染物排放总量</w:t>
      </w:r>
    </w:p>
    <w:p w14:paraId="5FDF9D59" w14:textId="77777777" w:rsidR="00ED39DD" w:rsidRPr="00ED39DD" w:rsidRDefault="00ED39DD" w:rsidP="00ED39DD">
      <w:pPr>
        <w:pStyle w:val="00"/>
        <w:rPr>
          <w:rFonts w:ascii="Calibri" w:hAnsi="Calibri"/>
          <w:color w:val="auto"/>
        </w:rPr>
      </w:pPr>
      <w:r>
        <w:rPr>
          <w:rFonts w:ascii="Calibri" w:hAnsi="Calibri"/>
          <w:color w:val="auto"/>
        </w:rPr>
        <w:t>本项目废水排放至平顶山第三污水处理厂，排入外环境的总量计算按照污水处理厂出厂口计，</w:t>
      </w:r>
      <w:r>
        <w:rPr>
          <w:rFonts w:ascii="Calibri" w:hAnsi="Calibri" w:hint="eastAsia"/>
          <w:color w:val="auto"/>
        </w:rPr>
        <w:t>根据河南省生态环境厅关于《平顶山尼龙新材料产业集聚区总体发展规划（</w:t>
      </w:r>
      <w:r>
        <w:rPr>
          <w:rFonts w:ascii="Calibri" w:hAnsi="Calibri" w:hint="eastAsia"/>
          <w:color w:val="auto"/>
        </w:rPr>
        <w:t>2021-2030</w:t>
      </w:r>
      <w:r>
        <w:rPr>
          <w:rFonts w:ascii="Calibri" w:hAnsi="Calibri" w:hint="eastAsia"/>
          <w:color w:val="auto"/>
        </w:rPr>
        <w:t>）》环境影响报告书的审查意见可知，</w:t>
      </w:r>
      <w:r>
        <w:rPr>
          <w:rFonts w:ascii="Calibri" w:hAnsi="Calibri"/>
          <w:bCs/>
          <w:color w:val="auto"/>
        </w:rPr>
        <w:t>平顶山第三污水处理厂</w:t>
      </w:r>
      <w:r>
        <w:rPr>
          <w:rFonts w:ascii="Calibri" w:hAnsi="Calibri" w:hint="eastAsia"/>
          <w:bCs/>
          <w:color w:val="auto"/>
        </w:rPr>
        <w:t>外排地表水水质中</w:t>
      </w:r>
      <w:r w:rsidRPr="00EB3B5A">
        <w:rPr>
          <w:rFonts w:ascii="Calibri" w:hAnsi="Calibri" w:hint="eastAsia"/>
          <w:color w:val="auto"/>
        </w:rPr>
        <w:t>COD</w:t>
      </w:r>
      <w:r w:rsidRPr="00EB3B5A">
        <w:rPr>
          <w:rFonts w:ascii="Calibri" w:hAnsi="Calibri" w:hint="eastAsia"/>
          <w:color w:val="auto"/>
        </w:rPr>
        <w:t>≤</w:t>
      </w:r>
      <w:r w:rsidRPr="00EB3B5A">
        <w:rPr>
          <w:rFonts w:ascii="Calibri" w:hAnsi="Calibri" w:hint="eastAsia"/>
          <w:color w:val="auto"/>
        </w:rPr>
        <w:t>30mg/L</w:t>
      </w:r>
      <w:r w:rsidRPr="00EB3B5A">
        <w:rPr>
          <w:rFonts w:ascii="Calibri" w:hAnsi="Calibri" w:hint="eastAsia"/>
          <w:color w:val="auto"/>
        </w:rPr>
        <w:t>，氨氮≤</w:t>
      </w:r>
      <w:r w:rsidRPr="00EB3B5A">
        <w:rPr>
          <w:rFonts w:ascii="Calibri" w:hAnsi="Calibri" w:hint="eastAsia"/>
          <w:color w:val="auto"/>
        </w:rPr>
        <w:t>1.5mg/L</w:t>
      </w:r>
      <w:r w:rsidRPr="00EB3B5A">
        <w:rPr>
          <w:rFonts w:ascii="Calibri" w:hAnsi="Calibri"/>
          <w:color w:val="auto"/>
        </w:rPr>
        <w:t>。</w:t>
      </w:r>
      <w:r w:rsidRPr="00DC3375">
        <w:rPr>
          <w:rFonts w:ascii="Calibri" w:eastAsiaTheme="minorEastAsia" w:hAnsi="Calibri"/>
          <w:color w:val="auto"/>
          <w:szCs w:val="21"/>
        </w:rPr>
        <w:t>因此，</w:t>
      </w:r>
      <w:r w:rsidRPr="00DC3375">
        <w:rPr>
          <w:rFonts w:ascii="Calibri" w:eastAsiaTheme="minorEastAsia" w:hAnsi="Calibri"/>
          <w:color w:val="auto"/>
        </w:rPr>
        <w:t>本项目废水污染物总量控制指标见表</w:t>
      </w:r>
      <w:r w:rsidRPr="00DC3375">
        <w:rPr>
          <w:rFonts w:ascii="Calibri" w:eastAsiaTheme="minorEastAsia" w:hAnsi="Calibri"/>
          <w:color w:val="auto"/>
        </w:rPr>
        <w:t>7.1-11</w:t>
      </w:r>
      <w:r w:rsidRPr="00DC3375">
        <w:rPr>
          <w:rFonts w:ascii="Calibri" w:eastAsiaTheme="minorEastAsia" w:hAnsi="Calibri"/>
          <w:color w:val="auto"/>
        </w:rPr>
        <w:t>。</w:t>
      </w:r>
    </w:p>
    <w:p w14:paraId="20A44E27" w14:textId="77777777" w:rsidR="00ED39DD" w:rsidRPr="00DC3375" w:rsidRDefault="00ED39DD" w:rsidP="00ED39DD">
      <w:pPr>
        <w:pStyle w:val="00"/>
        <w:ind w:firstLineChars="200"/>
        <w:rPr>
          <w:rFonts w:ascii="Calibri" w:eastAsia="黑体" w:hAnsi="Calibri"/>
          <w:color w:val="auto"/>
        </w:rPr>
      </w:pPr>
      <w:r w:rsidRPr="00DC3375">
        <w:rPr>
          <w:rFonts w:ascii="Calibri" w:eastAsia="黑体" w:hAnsi="Calibri"/>
          <w:color w:val="auto"/>
        </w:rPr>
        <w:t>表</w:t>
      </w:r>
      <w:r w:rsidRPr="00DC3375">
        <w:rPr>
          <w:rFonts w:ascii="Calibri" w:eastAsia="黑体" w:hAnsi="Calibri"/>
          <w:color w:val="auto"/>
        </w:rPr>
        <w:t xml:space="preserve">7.1-11               </w:t>
      </w:r>
      <w:r w:rsidRPr="00DC3375">
        <w:rPr>
          <w:rFonts w:ascii="Calibri" w:eastAsia="黑体" w:hAnsi="Calibri"/>
          <w:color w:val="auto"/>
        </w:rPr>
        <w:t>本项目废水污染物总量核算表</w:t>
      </w:r>
    </w:p>
    <w:tbl>
      <w:tblPr>
        <w:tblW w:w="4948"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8"/>
        <w:gridCol w:w="2411"/>
        <w:gridCol w:w="1205"/>
        <w:gridCol w:w="1434"/>
        <w:gridCol w:w="1434"/>
        <w:gridCol w:w="1428"/>
      </w:tblGrid>
      <w:tr w:rsidR="00ED39DD" w:rsidRPr="00A964FF" w14:paraId="75D16A35" w14:textId="77777777" w:rsidTr="0002141E">
        <w:trPr>
          <w:trHeight w:val="341"/>
          <w:jc w:val="center"/>
        </w:trPr>
        <w:tc>
          <w:tcPr>
            <w:tcW w:w="405" w:type="pct"/>
            <w:vAlign w:val="center"/>
          </w:tcPr>
          <w:p w14:paraId="5A56FA72"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序号</w:t>
            </w:r>
          </w:p>
        </w:tc>
        <w:tc>
          <w:tcPr>
            <w:tcW w:w="1400" w:type="pct"/>
            <w:tcBorders>
              <w:right w:val="single" w:sz="4" w:space="0" w:color="auto"/>
            </w:tcBorders>
            <w:vAlign w:val="center"/>
          </w:tcPr>
          <w:p w14:paraId="55D2BDCE" w14:textId="77777777" w:rsidR="00ED39DD" w:rsidRPr="00D75F03" w:rsidRDefault="00ED39DD" w:rsidP="0002141E">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废水</w:t>
            </w:r>
            <w:r>
              <w:rPr>
                <w:rFonts w:ascii="Calibri" w:hAnsi="Times New Roman"/>
                <w:color w:val="auto"/>
                <w:sz w:val="21"/>
                <w:szCs w:val="21"/>
              </w:rPr>
              <w:t>来源</w:t>
            </w:r>
          </w:p>
        </w:tc>
        <w:tc>
          <w:tcPr>
            <w:tcW w:w="700" w:type="pct"/>
            <w:tcBorders>
              <w:left w:val="single" w:sz="4" w:space="0" w:color="auto"/>
            </w:tcBorders>
            <w:vAlign w:val="center"/>
          </w:tcPr>
          <w:p w14:paraId="10C8723D" w14:textId="77777777" w:rsidR="00ED39DD" w:rsidRPr="00D75F03" w:rsidRDefault="00ED39DD" w:rsidP="0002141E">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污染物</w:t>
            </w:r>
          </w:p>
        </w:tc>
        <w:tc>
          <w:tcPr>
            <w:tcW w:w="833" w:type="pct"/>
            <w:vAlign w:val="center"/>
          </w:tcPr>
          <w:p w14:paraId="74D33EF0"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废水量</w:t>
            </w:r>
          </w:p>
          <w:p w14:paraId="6722608A"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w:t>
            </w:r>
            <w:r w:rsidRPr="00D75F03">
              <w:rPr>
                <w:rFonts w:ascii="Calibri" w:hAnsi="Times New Roman"/>
                <w:color w:val="auto"/>
                <w:sz w:val="21"/>
                <w:szCs w:val="21"/>
              </w:rPr>
              <w:t>t/a</w:t>
            </w:r>
            <w:r w:rsidRPr="00D75F03">
              <w:rPr>
                <w:rFonts w:ascii="Calibri" w:hAnsi="Times New Roman"/>
                <w:color w:val="auto"/>
                <w:sz w:val="21"/>
                <w:szCs w:val="21"/>
              </w:rPr>
              <w:t>）</w:t>
            </w:r>
          </w:p>
        </w:tc>
        <w:tc>
          <w:tcPr>
            <w:tcW w:w="833" w:type="pct"/>
            <w:tcMar>
              <w:left w:w="0" w:type="dxa"/>
              <w:right w:w="0" w:type="dxa"/>
            </w:tcMar>
            <w:vAlign w:val="center"/>
          </w:tcPr>
          <w:p w14:paraId="2CDE88F1"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预测排放浓度</w:t>
            </w:r>
          </w:p>
          <w:p w14:paraId="70385439"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w:t>
            </w:r>
            <w:r w:rsidRPr="00D75F03">
              <w:rPr>
                <w:rFonts w:ascii="Calibri" w:hAnsi="Times New Roman"/>
                <w:color w:val="auto"/>
                <w:sz w:val="21"/>
                <w:szCs w:val="21"/>
              </w:rPr>
              <w:t>mg/L</w:t>
            </w:r>
            <w:r w:rsidRPr="00D75F03">
              <w:rPr>
                <w:rFonts w:ascii="Calibri" w:hAnsi="Times New Roman"/>
                <w:color w:val="auto"/>
                <w:sz w:val="21"/>
                <w:szCs w:val="21"/>
              </w:rPr>
              <w:t>）</w:t>
            </w:r>
          </w:p>
        </w:tc>
        <w:tc>
          <w:tcPr>
            <w:tcW w:w="829" w:type="pct"/>
            <w:vAlign w:val="center"/>
          </w:tcPr>
          <w:p w14:paraId="3C040445"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年预测排放量</w:t>
            </w:r>
          </w:p>
          <w:p w14:paraId="0124A4C2"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w:t>
            </w:r>
            <w:r w:rsidRPr="00D75F03">
              <w:rPr>
                <w:rFonts w:ascii="Calibri" w:hAnsi="Times New Roman"/>
                <w:color w:val="auto"/>
                <w:sz w:val="21"/>
                <w:szCs w:val="21"/>
              </w:rPr>
              <w:t>t/a</w:t>
            </w:r>
            <w:r w:rsidRPr="00D75F03">
              <w:rPr>
                <w:rFonts w:ascii="Calibri" w:hAnsi="Times New Roman"/>
                <w:color w:val="auto"/>
                <w:sz w:val="21"/>
                <w:szCs w:val="21"/>
              </w:rPr>
              <w:t>）</w:t>
            </w:r>
          </w:p>
        </w:tc>
      </w:tr>
      <w:tr w:rsidR="00ED39DD" w:rsidRPr="00A964FF" w14:paraId="29B3C89B" w14:textId="77777777" w:rsidTr="0002141E">
        <w:trPr>
          <w:trHeight w:val="341"/>
          <w:jc w:val="center"/>
        </w:trPr>
        <w:tc>
          <w:tcPr>
            <w:tcW w:w="405" w:type="pct"/>
            <w:vMerge w:val="restart"/>
            <w:vAlign w:val="center"/>
          </w:tcPr>
          <w:p w14:paraId="7DE47B3F" w14:textId="77777777" w:rsidR="00ED39DD" w:rsidRPr="00D75F03" w:rsidRDefault="00ED39DD" w:rsidP="0002141E">
            <w:pPr>
              <w:pStyle w:val="00"/>
              <w:spacing w:line="240" w:lineRule="auto"/>
              <w:ind w:firstLine="0"/>
              <w:jc w:val="center"/>
              <w:rPr>
                <w:rFonts w:ascii="Calibri" w:hAnsi="Times New Roman"/>
                <w:color w:val="auto"/>
                <w:sz w:val="21"/>
                <w:szCs w:val="21"/>
              </w:rPr>
            </w:pPr>
            <w:r>
              <w:rPr>
                <w:rFonts w:ascii="Calibri" w:hAnsi="Times New Roman" w:hint="eastAsia"/>
                <w:color w:val="auto"/>
                <w:sz w:val="21"/>
                <w:szCs w:val="21"/>
              </w:rPr>
              <w:t>1</w:t>
            </w:r>
          </w:p>
        </w:tc>
        <w:tc>
          <w:tcPr>
            <w:tcW w:w="1400" w:type="pct"/>
            <w:vMerge w:val="restart"/>
            <w:tcBorders>
              <w:right w:val="single" w:sz="4" w:space="0" w:color="auto"/>
            </w:tcBorders>
            <w:vAlign w:val="center"/>
          </w:tcPr>
          <w:p w14:paraId="41591F57" w14:textId="77777777" w:rsidR="00ED39DD" w:rsidRPr="00A964FF" w:rsidRDefault="00ED39DD" w:rsidP="0002141E">
            <w:pPr>
              <w:pStyle w:val="00"/>
              <w:spacing w:line="240" w:lineRule="auto"/>
              <w:ind w:firstLine="0"/>
              <w:jc w:val="center"/>
              <w:rPr>
                <w:rFonts w:ascii="Calibri" w:hAnsi="Calibri"/>
                <w:color w:val="auto"/>
                <w:sz w:val="21"/>
                <w:szCs w:val="21"/>
              </w:rPr>
            </w:pPr>
            <w:r>
              <w:rPr>
                <w:rFonts w:ascii="Calibri" w:hAnsi="Calibri" w:hint="eastAsia"/>
                <w:color w:val="auto"/>
                <w:sz w:val="21"/>
                <w:szCs w:val="21"/>
              </w:rPr>
              <w:t>生产及</w:t>
            </w:r>
            <w:r>
              <w:rPr>
                <w:rFonts w:ascii="Calibri" w:hAnsi="Calibri"/>
                <w:color w:val="auto"/>
                <w:sz w:val="21"/>
                <w:szCs w:val="21"/>
              </w:rPr>
              <w:t>生活废水</w:t>
            </w:r>
          </w:p>
        </w:tc>
        <w:tc>
          <w:tcPr>
            <w:tcW w:w="700" w:type="pct"/>
            <w:tcBorders>
              <w:left w:val="single" w:sz="4" w:space="0" w:color="auto"/>
            </w:tcBorders>
            <w:vAlign w:val="center"/>
          </w:tcPr>
          <w:p w14:paraId="13142566"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COD</w:t>
            </w:r>
          </w:p>
        </w:tc>
        <w:tc>
          <w:tcPr>
            <w:tcW w:w="833" w:type="pct"/>
            <w:vMerge w:val="restart"/>
            <w:vAlign w:val="center"/>
          </w:tcPr>
          <w:p w14:paraId="06EB76E6" w14:textId="13562717" w:rsidR="00ED39DD" w:rsidRPr="00D75F03" w:rsidRDefault="00364EBD" w:rsidP="0002141E">
            <w:pPr>
              <w:pStyle w:val="00"/>
              <w:spacing w:line="240" w:lineRule="auto"/>
              <w:ind w:firstLine="0"/>
              <w:jc w:val="center"/>
              <w:rPr>
                <w:rFonts w:ascii="Calibri" w:hAnsi="Times New Roman"/>
                <w:color w:val="auto"/>
                <w:sz w:val="21"/>
                <w:szCs w:val="21"/>
              </w:rPr>
            </w:pPr>
            <w:r w:rsidRPr="00364EBD">
              <w:rPr>
                <w:rFonts w:ascii="Calibri" w:hAnsi="Times New Roman"/>
                <w:color w:val="auto"/>
                <w:sz w:val="21"/>
                <w:szCs w:val="21"/>
              </w:rPr>
              <w:t>15394.855</w:t>
            </w:r>
          </w:p>
        </w:tc>
        <w:tc>
          <w:tcPr>
            <w:tcW w:w="833" w:type="pct"/>
            <w:tcMar>
              <w:left w:w="0" w:type="dxa"/>
              <w:right w:w="0" w:type="dxa"/>
            </w:tcMar>
            <w:vAlign w:val="center"/>
          </w:tcPr>
          <w:p w14:paraId="123D1BEA" w14:textId="77777777" w:rsidR="00ED39DD" w:rsidRPr="00D75F03" w:rsidRDefault="00ED39DD" w:rsidP="0002141E">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30</w:t>
            </w:r>
          </w:p>
        </w:tc>
        <w:tc>
          <w:tcPr>
            <w:tcW w:w="829" w:type="pct"/>
            <w:vAlign w:val="center"/>
          </w:tcPr>
          <w:p w14:paraId="4D64A8FD" w14:textId="2ACE60CF" w:rsidR="00ED39DD" w:rsidRPr="00D75F03" w:rsidRDefault="00364EBD" w:rsidP="0002141E">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0.46</w:t>
            </w:r>
          </w:p>
        </w:tc>
      </w:tr>
      <w:tr w:rsidR="00ED39DD" w:rsidRPr="00A964FF" w14:paraId="1E5D6542" w14:textId="77777777" w:rsidTr="0002141E">
        <w:trPr>
          <w:trHeight w:val="341"/>
          <w:jc w:val="center"/>
        </w:trPr>
        <w:tc>
          <w:tcPr>
            <w:tcW w:w="405" w:type="pct"/>
            <w:vMerge/>
            <w:vAlign w:val="center"/>
          </w:tcPr>
          <w:p w14:paraId="71239BDA" w14:textId="77777777" w:rsidR="00ED39DD" w:rsidRPr="00D75F03" w:rsidRDefault="00ED39DD" w:rsidP="0002141E">
            <w:pPr>
              <w:pStyle w:val="00"/>
              <w:spacing w:line="240" w:lineRule="auto"/>
              <w:ind w:firstLine="0"/>
              <w:jc w:val="center"/>
              <w:rPr>
                <w:rFonts w:ascii="Calibri" w:hAnsi="Times New Roman"/>
                <w:color w:val="auto"/>
                <w:sz w:val="21"/>
                <w:szCs w:val="21"/>
              </w:rPr>
            </w:pPr>
          </w:p>
        </w:tc>
        <w:tc>
          <w:tcPr>
            <w:tcW w:w="1400" w:type="pct"/>
            <w:vMerge/>
            <w:tcBorders>
              <w:right w:val="single" w:sz="4" w:space="0" w:color="auto"/>
            </w:tcBorders>
            <w:vAlign w:val="center"/>
          </w:tcPr>
          <w:p w14:paraId="7E1EE736" w14:textId="77777777" w:rsidR="00ED39DD" w:rsidRPr="00AF00AE" w:rsidRDefault="00ED39DD" w:rsidP="0002141E">
            <w:pPr>
              <w:pStyle w:val="00"/>
              <w:spacing w:line="240" w:lineRule="auto"/>
              <w:ind w:firstLine="0"/>
              <w:jc w:val="center"/>
              <w:rPr>
                <w:rFonts w:ascii="Calibri" w:hAnsi="Calibri"/>
                <w:color w:val="auto"/>
                <w:sz w:val="21"/>
                <w:szCs w:val="21"/>
              </w:rPr>
            </w:pPr>
          </w:p>
        </w:tc>
        <w:tc>
          <w:tcPr>
            <w:tcW w:w="700" w:type="pct"/>
            <w:tcBorders>
              <w:left w:val="single" w:sz="4" w:space="0" w:color="auto"/>
            </w:tcBorders>
            <w:vAlign w:val="center"/>
          </w:tcPr>
          <w:p w14:paraId="02990DEA" w14:textId="77777777" w:rsidR="00ED39DD" w:rsidRPr="00D75F03" w:rsidRDefault="00ED39DD"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NH</w:t>
            </w:r>
            <w:r w:rsidRPr="009B7BCD">
              <w:rPr>
                <w:rFonts w:ascii="Calibri" w:hAnsi="Times New Roman"/>
                <w:color w:val="auto"/>
                <w:sz w:val="21"/>
                <w:szCs w:val="21"/>
                <w:vertAlign w:val="subscript"/>
              </w:rPr>
              <w:t>3</w:t>
            </w:r>
            <w:r w:rsidRPr="00D75F03">
              <w:rPr>
                <w:rFonts w:ascii="Calibri" w:hAnsi="Times New Roman"/>
                <w:color w:val="auto"/>
                <w:sz w:val="21"/>
                <w:szCs w:val="21"/>
              </w:rPr>
              <w:t>-N</w:t>
            </w:r>
          </w:p>
        </w:tc>
        <w:tc>
          <w:tcPr>
            <w:tcW w:w="833" w:type="pct"/>
            <w:vMerge/>
            <w:vAlign w:val="center"/>
          </w:tcPr>
          <w:p w14:paraId="44B770E5" w14:textId="77777777" w:rsidR="00ED39DD" w:rsidRPr="00D75F03" w:rsidRDefault="00ED39DD" w:rsidP="0002141E">
            <w:pPr>
              <w:pStyle w:val="00"/>
              <w:spacing w:line="240" w:lineRule="auto"/>
              <w:ind w:firstLine="0"/>
              <w:jc w:val="center"/>
              <w:rPr>
                <w:rFonts w:ascii="Calibri" w:hAnsi="Times New Roman"/>
                <w:color w:val="auto"/>
                <w:sz w:val="21"/>
                <w:szCs w:val="21"/>
              </w:rPr>
            </w:pPr>
          </w:p>
        </w:tc>
        <w:tc>
          <w:tcPr>
            <w:tcW w:w="833" w:type="pct"/>
            <w:tcMar>
              <w:left w:w="0" w:type="dxa"/>
              <w:right w:w="0" w:type="dxa"/>
            </w:tcMar>
            <w:vAlign w:val="center"/>
          </w:tcPr>
          <w:p w14:paraId="4C72E573" w14:textId="77777777" w:rsidR="00ED39DD" w:rsidRPr="00D75F03" w:rsidRDefault="00ED39DD" w:rsidP="0002141E">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1.5</w:t>
            </w:r>
          </w:p>
        </w:tc>
        <w:tc>
          <w:tcPr>
            <w:tcW w:w="829" w:type="pct"/>
            <w:vAlign w:val="center"/>
          </w:tcPr>
          <w:p w14:paraId="6ED9389A" w14:textId="4FC219F9" w:rsidR="00ED39DD" w:rsidRPr="00D75F03" w:rsidRDefault="0002141E" w:rsidP="00364EBD">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0.0</w:t>
            </w:r>
            <w:r w:rsidR="00364EBD">
              <w:rPr>
                <w:rFonts w:ascii="Calibri" w:hAnsi="Times New Roman"/>
                <w:color w:val="auto"/>
                <w:sz w:val="21"/>
                <w:szCs w:val="21"/>
              </w:rPr>
              <w:t>23</w:t>
            </w:r>
          </w:p>
        </w:tc>
      </w:tr>
    </w:tbl>
    <w:p w14:paraId="00024B74" w14:textId="2DDCC27A" w:rsidR="00ED39DD" w:rsidRPr="009B7BCD" w:rsidRDefault="00ED39DD" w:rsidP="00ED39DD">
      <w:pPr>
        <w:pStyle w:val="00"/>
        <w:rPr>
          <w:rFonts w:ascii="Calibri" w:eastAsiaTheme="minorEastAsia" w:hAnsi="Calibri"/>
          <w:color w:val="auto"/>
        </w:rPr>
      </w:pPr>
      <w:r w:rsidRPr="009B7BCD">
        <w:rPr>
          <w:rFonts w:ascii="Calibri" w:eastAsiaTheme="minorEastAsia" w:hAnsi="Calibri"/>
          <w:color w:val="auto"/>
        </w:rPr>
        <w:t>由上表可知，本项目营运后水污染物总量控制指标为：</w:t>
      </w:r>
      <w:r w:rsidRPr="009B7BCD">
        <w:rPr>
          <w:rFonts w:ascii="Calibri" w:eastAsiaTheme="minorEastAsia" w:hAnsi="Calibri"/>
          <w:color w:val="auto"/>
        </w:rPr>
        <w:t>COD</w:t>
      </w:r>
      <w:r w:rsidRPr="009B7BCD">
        <w:rPr>
          <w:rFonts w:ascii="Calibri" w:eastAsiaTheme="minorEastAsia" w:hAnsi="Calibri"/>
          <w:color w:val="auto"/>
        </w:rPr>
        <w:t>：</w:t>
      </w:r>
      <w:r w:rsidR="00364EBD">
        <w:rPr>
          <w:rFonts w:ascii="Calibri" w:eastAsiaTheme="minorEastAsia" w:hAnsi="Calibri"/>
          <w:color w:val="auto"/>
        </w:rPr>
        <w:t>0.46</w:t>
      </w:r>
      <w:r w:rsidRPr="009B7BCD">
        <w:rPr>
          <w:rFonts w:ascii="Calibri" w:eastAsiaTheme="minorEastAsia" w:hAnsi="Calibri"/>
          <w:color w:val="auto"/>
        </w:rPr>
        <w:t>t/a</w:t>
      </w:r>
      <w:r w:rsidRPr="009B7BCD">
        <w:rPr>
          <w:rFonts w:ascii="Calibri" w:eastAsiaTheme="minorEastAsia" w:hAnsi="Calibri"/>
          <w:color w:val="auto"/>
        </w:rPr>
        <w:t>，</w:t>
      </w:r>
      <w:r w:rsidRPr="009B7BCD">
        <w:rPr>
          <w:rFonts w:ascii="Calibri" w:eastAsiaTheme="minorEastAsia" w:hAnsi="Calibri"/>
          <w:color w:val="auto"/>
        </w:rPr>
        <w:t>NH</w:t>
      </w:r>
      <w:r w:rsidRPr="00B87944">
        <w:rPr>
          <w:rFonts w:ascii="Calibri" w:eastAsiaTheme="minorEastAsia" w:hAnsi="Calibri"/>
          <w:color w:val="auto"/>
          <w:vertAlign w:val="subscript"/>
        </w:rPr>
        <w:t>3</w:t>
      </w:r>
      <w:r w:rsidRPr="009B7BCD">
        <w:rPr>
          <w:rFonts w:ascii="Calibri" w:eastAsiaTheme="minorEastAsia" w:hAnsi="Calibri"/>
          <w:color w:val="auto"/>
        </w:rPr>
        <w:t>-N</w:t>
      </w:r>
      <w:r w:rsidRPr="009B7BCD">
        <w:rPr>
          <w:rFonts w:ascii="Calibri" w:eastAsiaTheme="minorEastAsia" w:hAnsi="Calibri"/>
          <w:color w:val="auto"/>
        </w:rPr>
        <w:t>：</w:t>
      </w:r>
      <w:r w:rsidR="0002141E">
        <w:rPr>
          <w:rFonts w:ascii="Calibri" w:eastAsiaTheme="minorEastAsia" w:hAnsi="Calibri"/>
          <w:color w:val="auto"/>
        </w:rPr>
        <w:t>0.0</w:t>
      </w:r>
      <w:r w:rsidR="00364EBD">
        <w:rPr>
          <w:rFonts w:ascii="Calibri" w:eastAsiaTheme="minorEastAsia" w:hAnsi="Calibri"/>
          <w:color w:val="auto"/>
        </w:rPr>
        <w:t>23</w:t>
      </w:r>
      <w:r w:rsidRPr="009B7BCD">
        <w:rPr>
          <w:rFonts w:ascii="Calibri" w:eastAsiaTheme="minorEastAsia" w:hAnsi="Calibri"/>
          <w:color w:val="auto"/>
        </w:rPr>
        <w:t>t/a</w:t>
      </w:r>
      <w:r w:rsidRPr="009B7BCD">
        <w:rPr>
          <w:rFonts w:ascii="Calibri" w:eastAsiaTheme="minorEastAsia" w:hAnsi="Calibri"/>
          <w:color w:val="auto"/>
        </w:rPr>
        <w:t>。</w:t>
      </w:r>
    </w:p>
    <w:p w14:paraId="731556A3" w14:textId="77777777" w:rsidR="0002141E" w:rsidRPr="009B7BCD" w:rsidRDefault="0002141E" w:rsidP="0002141E">
      <w:pPr>
        <w:pStyle w:val="00"/>
        <w:rPr>
          <w:rFonts w:ascii="Calibri" w:eastAsiaTheme="minorEastAsia" w:hAnsi="Calibri"/>
          <w:color w:val="auto"/>
        </w:rPr>
      </w:pPr>
      <w:r w:rsidRPr="009B7BCD">
        <w:rPr>
          <w:rFonts w:asciiTheme="minorEastAsia" w:eastAsiaTheme="minorEastAsia" w:hAnsiTheme="minorEastAsia"/>
          <w:color w:val="auto"/>
        </w:rPr>
        <w:t>③ 本</w:t>
      </w:r>
      <w:r w:rsidRPr="009B7BCD">
        <w:rPr>
          <w:rFonts w:ascii="Calibri" w:eastAsiaTheme="minorEastAsia" w:hAnsi="Calibri"/>
          <w:color w:val="auto"/>
        </w:rPr>
        <w:t>项目总量控制指标</w:t>
      </w:r>
    </w:p>
    <w:p w14:paraId="14A99F95" w14:textId="77777777" w:rsidR="0002141E" w:rsidRDefault="0002141E" w:rsidP="0002141E">
      <w:pPr>
        <w:pStyle w:val="00"/>
        <w:rPr>
          <w:rFonts w:ascii="Calibri" w:eastAsiaTheme="minorEastAsia" w:hAnsi="Calibri"/>
          <w:color w:val="auto"/>
        </w:rPr>
      </w:pPr>
      <w:r w:rsidRPr="009B7BCD">
        <w:rPr>
          <w:rFonts w:ascii="Calibri" w:eastAsiaTheme="minorEastAsia" w:hAnsi="Calibri"/>
          <w:color w:val="auto"/>
        </w:rPr>
        <w:t>本项目总量控制污染物排放量见表</w:t>
      </w:r>
      <w:r w:rsidRPr="009B7BCD">
        <w:rPr>
          <w:rFonts w:ascii="Calibri" w:eastAsiaTheme="minorEastAsia" w:hAnsi="Calibri" w:hint="eastAsia"/>
          <w:color w:val="auto"/>
        </w:rPr>
        <w:t>7</w:t>
      </w:r>
      <w:r w:rsidRPr="009B7BCD">
        <w:rPr>
          <w:rFonts w:ascii="Calibri" w:eastAsiaTheme="minorEastAsia" w:hAnsi="Calibri"/>
          <w:color w:val="auto"/>
        </w:rPr>
        <w:t>.1-1</w:t>
      </w:r>
      <w:r w:rsidRPr="009B7BCD">
        <w:rPr>
          <w:rFonts w:ascii="Calibri" w:eastAsiaTheme="minorEastAsia" w:hAnsi="Calibri" w:hint="eastAsia"/>
          <w:color w:val="auto"/>
        </w:rPr>
        <w:t>2</w:t>
      </w:r>
      <w:r w:rsidRPr="009B7BCD">
        <w:rPr>
          <w:rFonts w:ascii="Calibri" w:eastAsiaTheme="minorEastAsia" w:hAnsi="Calibri"/>
          <w:color w:val="auto"/>
        </w:rPr>
        <w:t>。</w:t>
      </w:r>
    </w:p>
    <w:p w14:paraId="4A5BDBD6" w14:textId="77777777" w:rsidR="008C0B3F" w:rsidRDefault="008C0B3F" w:rsidP="0002141E">
      <w:pPr>
        <w:pStyle w:val="00"/>
        <w:ind w:firstLineChars="200"/>
        <w:rPr>
          <w:rFonts w:ascii="Calibri" w:eastAsia="黑体" w:hAnsi="Calibri"/>
          <w:color w:val="auto"/>
        </w:rPr>
      </w:pPr>
    </w:p>
    <w:p w14:paraId="410D903C" w14:textId="77777777" w:rsidR="0002141E" w:rsidRPr="00DC3375" w:rsidRDefault="0002141E" w:rsidP="0002141E">
      <w:pPr>
        <w:pStyle w:val="00"/>
        <w:ind w:firstLineChars="200"/>
        <w:rPr>
          <w:rFonts w:ascii="Calibri" w:eastAsia="黑体" w:hAnsi="Calibri"/>
          <w:color w:val="auto"/>
        </w:rPr>
      </w:pPr>
      <w:r w:rsidRPr="00DC3375">
        <w:rPr>
          <w:rFonts w:ascii="Calibri" w:eastAsia="黑体" w:hAnsi="Calibri"/>
          <w:color w:val="auto"/>
        </w:rPr>
        <w:lastRenderedPageBreak/>
        <w:t>表</w:t>
      </w:r>
      <w:r w:rsidRPr="00DC3375">
        <w:rPr>
          <w:rFonts w:ascii="Calibri" w:eastAsia="黑体" w:hAnsi="Calibri" w:hint="eastAsia"/>
          <w:color w:val="auto"/>
        </w:rPr>
        <w:t>7</w:t>
      </w:r>
      <w:r w:rsidRPr="00DC3375">
        <w:rPr>
          <w:rFonts w:ascii="Calibri" w:eastAsia="黑体" w:hAnsi="Calibri"/>
          <w:color w:val="auto"/>
        </w:rPr>
        <w:t>.1-1</w:t>
      </w:r>
      <w:r w:rsidRPr="00DC3375">
        <w:rPr>
          <w:rFonts w:ascii="Calibri" w:eastAsia="黑体" w:hAnsi="Calibri" w:hint="eastAsia"/>
          <w:color w:val="auto"/>
        </w:rPr>
        <w:t>2</w:t>
      </w:r>
      <w:r w:rsidRPr="00DC3375">
        <w:rPr>
          <w:rFonts w:ascii="Calibri" w:eastAsia="黑体" w:hAnsi="Calibri"/>
          <w:color w:val="auto"/>
        </w:rPr>
        <w:t xml:space="preserve">           </w:t>
      </w:r>
      <w:r w:rsidRPr="00DC3375">
        <w:rPr>
          <w:rFonts w:ascii="Calibri" w:eastAsia="黑体" w:hAnsi="Calibri"/>
          <w:color w:val="auto"/>
        </w:rPr>
        <w:t>本项目总量控制各污染物预测排放总量</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192"/>
        <w:gridCol w:w="1935"/>
        <w:gridCol w:w="2067"/>
        <w:gridCol w:w="3506"/>
      </w:tblGrid>
      <w:tr w:rsidR="0002141E" w:rsidRPr="00A964FF" w14:paraId="5E9364E8" w14:textId="77777777" w:rsidTr="0002141E">
        <w:trPr>
          <w:trHeight w:val="341"/>
          <w:jc w:val="center"/>
        </w:trPr>
        <w:tc>
          <w:tcPr>
            <w:tcW w:w="685" w:type="pct"/>
            <w:tcBorders>
              <w:top w:val="single" w:sz="12" w:space="0" w:color="auto"/>
            </w:tcBorders>
            <w:vAlign w:val="center"/>
          </w:tcPr>
          <w:p w14:paraId="4063326D" w14:textId="77777777" w:rsidR="0002141E" w:rsidRPr="00D75F03" w:rsidRDefault="0002141E"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序号</w:t>
            </w:r>
          </w:p>
        </w:tc>
        <w:tc>
          <w:tcPr>
            <w:tcW w:w="1112" w:type="pct"/>
            <w:tcBorders>
              <w:top w:val="single" w:sz="12" w:space="0" w:color="auto"/>
            </w:tcBorders>
            <w:vAlign w:val="center"/>
          </w:tcPr>
          <w:p w14:paraId="38925744" w14:textId="77777777" w:rsidR="0002141E" w:rsidRPr="00D75F03" w:rsidRDefault="0002141E"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类别</w:t>
            </w:r>
          </w:p>
        </w:tc>
        <w:tc>
          <w:tcPr>
            <w:tcW w:w="1188" w:type="pct"/>
            <w:tcBorders>
              <w:top w:val="single" w:sz="12" w:space="0" w:color="auto"/>
            </w:tcBorders>
            <w:tcMar>
              <w:left w:w="0" w:type="dxa"/>
              <w:right w:w="0" w:type="dxa"/>
            </w:tcMar>
            <w:vAlign w:val="center"/>
          </w:tcPr>
          <w:p w14:paraId="612A931C" w14:textId="77777777" w:rsidR="0002141E" w:rsidRPr="00D75F03" w:rsidRDefault="0002141E"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污染物</w:t>
            </w:r>
          </w:p>
        </w:tc>
        <w:tc>
          <w:tcPr>
            <w:tcW w:w="2015" w:type="pct"/>
            <w:tcBorders>
              <w:top w:val="single" w:sz="12" w:space="0" w:color="auto"/>
            </w:tcBorders>
            <w:tcMar>
              <w:left w:w="0" w:type="dxa"/>
              <w:right w:w="0" w:type="dxa"/>
            </w:tcMar>
            <w:vAlign w:val="center"/>
          </w:tcPr>
          <w:p w14:paraId="395A76FC" w14:textId="77777777" w:rsidR="0002141E" w:rsidRPr="00D75F03" w:rsidRDefault="0002141E" w:rsidP="0002141E">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预测污染物排放量（</w:t>
            </w:r>
            <w:r w:rsidRPr="00D75F03">
              <w:rPr>
                <w:rFonts w:ascii="Calibri" w:hAnsi="Times New Roman"/>
                <w:color w:val="auto"/>
                <w:sz w:val="21"/>
                <w:szCs w:val="21"/>
              </w:rPr>
              <w:t>t/a</w:t>
            </w:r>
            <w:r w:rsidRPr="00D75F03">
              <w:rPr>
                <w:rFonts w:ascii="Calibri" w:hAnsi="Times New Roman"/>
                <w:color w:val="auto"/>
                <w:sz w:val="21"/>
                <w:szCs w:val="21"/>
              </w:rPr>
              <w:t>）</w:t>
            </w:r>
          </w:p>
        </w:tc>
      </w:tr>
      <w:tr w:rsidR="00364EBD" w:rsidRPr="00A964FF" w14:paraId="62F57BB9" w14:textId="77777777" w:rsidTr="0002141E">
        <w:trPr>
          <w:trHeight w:val="361"/>
          <w:jc w:val="center"/>
        </w:trPr>
        <w:tc>
          <w:tcPr>
            <w:tcW w:w="685" w:type="pct"/>
            <w:vMerge w:val="restart"/>
            <w:vAlign w:val="center"/>
          </w:tcPr>
          <w:p w14:paraId="5792FD6F"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1</w:t>
            </w:r>
          </w:p>
        </w:tc>
        <w:tc>
          <w:tcPr>
            <w:tcW w:w="1112" w:type="pct"/>
            <w:vMerge w:val="restart"/>
            <w:vAlign w:val="center"/>
          </w:tcPr>
          <w:p w14:paraId="3D116D68"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废气污染物</w:t>
            </w:r>
          </w:p>
        </w:tc>
        <w:tc>
          <w:tcPr>
            <w:tcW w:w="1188" w:type="pct"/>
            <w:tcBorders>
              <w:bottom w:val="single" w:sz="4" w:space="0" w:color="auto"/>
            </w:tcBorders>
            <w:tcMar>
              <w:left w:w="0" w:type="dxa"/>
              <w:right w:w="0" w:type="dxa"/>
            </w:tcMar>
            <w:vAlign w:val="center"/>
          </w:tcPr>
          <w:p w14:paraId="609EFFB4"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颗粒物</w:t>
            </w:r>
          </w:p>
        </w:tc>
        <w:tc>
          <w:tcPr>
            <w:tcW w:w="2015" w:type="pct"/>
            <w:tcBorders>
              <w:bottom w:val="single" w:sz="4" w:space="0" w:color="auto"/>
            </w:tcBorders>
            <w:tcMar>
              <w:left w:w="0" w:type="dxa"/>
              <w:right w:w="0" w:type="dxa"/>
            </w:tcMar>
            <w:vAlign w:val="center"/>
          </w:tcPr>
          <w:p w14:paraId="4EC47CD3" w14:textId="697C6214" w:rsidR="00364EBD" w:rsidRPr="00DC3375" w:rsidRDefault="00364EBD" w:rsidP="00364EBD">
            <w:pPr>
              <w:snapToGrid w:val="0"/>
              <w:jc w:val="center"/>
              <w:rPr>
                <w:rFonts w:ascii="Calibri" w:eastAsiaTheme="minorEastAsia" w:hAnsi="Calibri"/>
                <w:color w:val="auto"/>
                <w:szCs w:val="21"/>
              </w:rPr>
            </w:pPr>
            <w:r>
              <w:rPr>
                <w:rFonts w:ascii="Calibri" w:eastAsiaTheme="minorEastAsia" w:hAnsi="Calibri"/>
                <w:color w:val="auto"/>
                <w:szCs w:val="21"/>
              </w:rPr>
              <w:t>0.044</w:t>
            </w:r>
          </w:p>
        </w:tc>
      </w:tr>
      <w:tr w:rsidR="00364EBD" w:rsidRPr="00A964FF" w14:paraId="3CDB919A" w14:textId="77777777" w:rsidTr="0002141E">
        <w:trPr>
          <w:trHeight w:val="361"/>
          <w:jc w:val="center"/>
        </w:trPr>
        <w:tc>
          <w:tcPr>
            <w:tcW w:w="685" w:type="pct"/>
            <w:vMerge/>
            <w:vAlign w:val="center"/>
          </w:tcPr>
          <w:p w14:paraId="7E985693"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12" w:type="pct"/>
            <w:vMerge/>
            <w:vAlign w:val="center"/>
          </w:tcPr>
          <w:p w14:paraId="353E3499"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88" w:type="pct"/>
            <w:tcBorders>
              <w:bottom w:val="single" w:sz="4" w:space="0" w:color="auto"/>
            </w:tcBorders>
            <w:tcMar>
              <w:left w:w="0" w:type="dxa"/>
              <w:right w:w="0" w:type="dxa"/>
            </w:tcMar>
            <w:vAlign w:val="center"/>
          </w:tcPr>
          <w:p w14:paraId="2E749A57"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SO</w:t>
            </w:r>
            <w:r w:rsidRPr="009B7BCD">
              <w:rPr>
                <w:rFonts w:ascii="Calibri" w:hAnsi="Times New Roman"/>
                <w:color w:val="auto"/>
                <w:sz w:val="21"/>
                <w:szCs w:val="21"/>
                <w:vertAlign w:val="subscript"/>
              </w:rPr>
              <w:t>2</w:t>
            </w:r>
          </w:p>
        </w:tc>
        <w:tc>
          <w:tcPr>
            <w:tcW w:w="2015" w:type="pct"/>
            <w:tcBorders>
              <w:bottom w:val="single" w:sz="4" w:space="0" w:color="auto"/>
            </w:tcBorders>
            <w:tcMar>
              <w:left w:w="0" w:type="dxa"/>
              <w:right w:w="0" w:type="dxa"/>
            </w:tcMar>
            <w:vAlign w:val="center"/>
          </w:tcPr>
          <w:p w14:paraId="4A51BD64" w14:textId="1297FB9E" w:rsidR="00364EBD" w:rsidRPr="00ED39DD" w:rsidRDefault="00364EBD" w:rsidP="00364EBD">
            <w:pPr>
              <w:snapToGrid w:val="0"/>
              <w:jc w:val="center"/>
              <w:rPr>
                <w:rFonts w:ascii="Calibri" w:eastAsiaTheme="minorEastAsia" w:hAnsi="Calibri"/>
                <w:color w:val="auto"/>
                <w:szCs w:val="21"/>
              </w:rPr>
            </w:pPr>
            <w:r w:rsidRPr="00ED39DD">
              <w:rPr>
                <w:rFonts w:ascii="Calibri" w:eastAsiaTheme="minorEastAsia" w:hAnsi="Calibri"/>
                <w:color w:val="auto"/>
                <w:szCs w:val="21"/>
              </w:rPr>
              <w:t>0.067</w:t>
            </w:r>
          </w:p>
        </w:tc>
      </w:tr>
      <w:tr w:rsidR="00364EBD" w:rsidRPr="00A964FF" w14:paraId="52728ECC" w14:textId="77777777" w:rsidTr="0002141E">
        <w:trPr>
          <w:trHeight w:val="361"/>
          <w:jc w:val="center"/>
        </w:trPr>
        <w:tc>
          <w:tcPr>
            <w:tcW w:w="685" w:type="pct"/>
            <w:vMerge/>
            <w:vAlign w:val="center"/>
          </w:tcPr>
          <w:p w14:paraId="4E6D867A"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12" w:type="pct"/>
            <w:vMerge/>
            <w:vAlign w:val="center"/>
          </w:tcPr>
          <w:p w14:paraId="5ACCE5BD"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88" w:type="pct"/>
            <w:tcBorders>
              <w:bottom w:val="single" w:sz="4" w:space="0" w:color="auto"/>
            </w:tcBorders>
            <w:tcMar>
              <w:left w:w="0" w:type="dxa"/>
              <w:right w:w="0" w:type="dxa"/>
            </w:tcMar>
            <w:vAlign w:val="center"/>
          </w:tcPr>
          <w:p w14:paraId="01966153"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NOx</w:t>
            </w:r>
          </w:p>
        </w:tc>
        <w:tc>
          <w:tcPr>
            <w:tcW w:w="2015" w:type="pct"/>
            <w:tcBorders>
              <w:bottom w:val="single" w:sz="4" w:space="0" w:color="auto"/>
            </w:tcBorders>
            <w:tcMar>
              <w:left w:w="0" w:type="dxa"/>
              <w:right w:w="0" w:type="dxa"/>
            </w:tcMar>
            <w:vAlign w:val="center"/>
          </w:tcPr>
          <w:p w14:paraId="01206295" w14:textId="70879333" w:rsidR="00364EBD" w:rsidRPr="00ED39DD" w:rsidRDefault="00364EBD" w:rsidP="00364EBD">
            <w:pPr>
              <w:snapToGrid w:val="0"/>
              <w:jc w:val="center"/>
              <w:rPr>
                <w:rFonts w:ascii="Calibri" w:eastAsiaTheme="minorEastAsia" w:hAnsi="Calibri"/>
                <w:color w:val="auto"/>
                <w:szCs w:val="21"/>
              </w:rPr>
            </w:pPr>
            <w:r w:rsidRPr="00ED39DD">
              <w:rPr>
                <w:rFonts w:ascii="Calibri" w:eastAsiaTheme="minorEastAsia" w:hAnsi="Calibri"/>
                <w:color w:val="auto"/>
                <w:szCs w:val="21"/>
              </w:rPr>
              <w:t>0.51</w:t>
            </w:r>
          </w:p>
        </w:tc>
      </w:tr>
      <w:tr w:rsidR="00364EBD" w:rsidRPr="00A964FF" w14:paraId="5CD2E8FA" w14:textId="77777777" w:rsidTr="0002141E">
        <w:trPr>
          <w:trHeight w:val="360"/>
          <w:jc w:val="center"/>
        </w:trPr>
        <w:tc>
          <w:tcPr>
            <w:tcW w:w="685" w:type="pct"/>
            <w:vMerge/>
            <w:vAlign w:val="center"/>
          </w:tcPr>
          <w:p w14:paraId="0FDD14F2"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12" w:type="pct"/>
            <w:vMerge/>
            <w:vAlign w:val="center"/>
          </w:tcPr>
          <w:p w14:paraId="2F793133"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88" w:type="pct"/>
            <w:tcBorders>
              <w:top w:val="single" w:sz="4" w:space="0" w:color="auto"/>
            </w:tcBorders>
            <w:tcMar>
              <w:left w:w="0" w:type="dxa"/>
              <w:right w:w="0" w:type="dxa"/>
            </w:tcMar>
            <w:vAlign w:val="center"/>
          </w:tcPr>
          <w:p w14:paraId="57614E96"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有机废气</w:t>
            </w:r>
          </w:p>
        </w:tc>
        <w:tc>
          <w:tcPr>
            <w:tcW w:w="2015" w:type="pct"/>
            <w:tcBorders>
              <w:top w:val="single" w:sz="4" w:space="0" w:color="auto"/>
            </w:tcBorders>
            <w:tcMar>
              <w:left w:w="0" w:type="dxa"/>
              <w:right w:w="0" w:type="dxa"/>
            </w:tcMar>
            <w:vAlign w:val="center"/>
          </w:tcPr>
          <w:p w14:paraId="4B10C142" w14:textId="1ED1EF83" w:rsidR="00364EBD" w:rsidRPr="00DC3375" w:rsidRDefault="00364EBD" w:rsidP="00364EBD">
            <w:pPr>
              <w:snapToGrid w:val="0"/>
              <w:jc w:val="center"/>
              <w:rPr>
                <w:rFonts w:ascii="Calibri" w:eastAsiaTheme="minorEastAsia" w:hAnsi="Calibri"/>
                <w:color w:val="auto"/>
                <w:szCs w:val="21"/>
              </w:rPr>
            </w:pPr>
            <w:r>
              <w:rPr>
                <w:rFonts w:ascii="Calibri" w:eastAsiaTheme="minorEastAsia" w:hAnsi="Calibri"/>
                <w:color w:val="auto"/>
                <w:szCs w:val="21"/>
              </w:rPr>
              <w:t>0.54</w:t>
            </w:r>
          </w:p>
        </w:tc>
      </w:tr>
      <w:tr w:rsidR="00364EBD" w:rsidRPr="00A964FF" w14:paraId="63CF69CF" w14:textId="77777777" w:rsidTr="0002141E">
        <w:trPr>
          <w:trHeight w:val="341"/>
          <w:jc w:val="center"/>
        </w:trPr>
        <w:tc>
          <w:tcPr>
            <w:tcW w:w="685" w:type="pct"/>
            <w:vMerge w:val="restart"/>
            <w:vAlign w:val="center"/>
          </w:tcPr>
          <w:p w14:paraId="22409D28"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2</w:t>
            </w:r>
          </w:p>
        </w:tc>
        <w:tc>
          <w:tcPr>
            <w:tcW w:w="1112" w:type="pct"/>
            <w:vMerge w:val="restart"/>
            <w:vAlign w:val="center"/>
          </w:tcPr>
          <w:p w14:paraId="23D9D54F"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废水污染物</w:t>
            </w:r>
          </w:p>
        </w:tc>
        <w:tc>
          <w:tcPr>
            <w:tcW w:w="1188" w:type="pct"/>
            <w:tcMar>
              <w:left w:w="0" w:type="dxa"/>
              <w:right w:w="0" w:type="dxa"/>
            </w:tcMar>
            <w:vAlign w:val="center"/>
          </w:tcPr>
          <w:p w14:paraId="76D90001"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COD</w:t>
            </w:r>
          </w:p>
        </w:tc>
        <w:tc>
          <w:tcPr>
            <w:tcW w:w="2015" w:type="pct"/>
            <w:tcMar>
              <w:left w:w="0" w:type="dxa"/>
              <w:right w:w="0" w:type="dxa"/>
            </w:tcMar>
            <w:vAlign w:val="center"/>
          </w:tcPr>
          <w:p w14:paraId="7DE20B10" w14:textId="1D336E0D" w:rsidR="00364EBD" w:rsidRPr="0002141E" w:rsidRDefault="00364EBD" w:rsidP="00364EBD">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0.46</w:t>
            </w:r>
          </w:p>
        </w:tc>
      </w:tr>
      <w:tr w:rsidR="00364EBD" w:rsidRPr="00A964FF" w14:paraId="5F74FB16" w14:textId="77777777" w:rsidTr="0002141E">
        <w:trPr>
          <w:trHeight w:val="341"/>
          <w:jc w:val="center"/>
        </w:trPr>
        <w:tc>
          <w:tcPr>
            <w:tcW w:w="685" w:type="pct"/>
            <w:vMerge/>
            <w:tcBorders>
              <w:bottom w:val="single" w:sz="12" w:space="0" w:color="auto"/>
            </w:tcBorders>
            <w:vAlign w:val="center"/>
          </w:tcPr>
          <w:p w14:paraId="271B13ED"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12" w:type="pct"/>
            <w:vMerge/>
            <w:tcBorders>
              <w:bottom w:val="single" w:sz="12" w:space="0" w:color="auto"/>
            </w:tcBorders>
            <w:vAlign w:val="center"/>
          </w:tcPr>
          <w:p w14:paraId="54D829E3" w14:textId="77777777" w:rsidR="00364EBD" w:rsidRPr="00D75F03" w:rsidRDefault="00364EBD" w:rsidP="00364EBD">
            <w:pPr>
              <w:pStyle w:val="00"/>
              <w:spacing w:line="240" w:lineRule="auto"/>
              <w:ind w:firstLine="0"/>
              <w:jc w:val="center"/>
              <w:rPr>
                <w:rFonts w:ascii="Calibri" w:hAnsi="Times New Roman"/>
                <w:color w:val="auto"/>
                <w:sz w:val="21"/>
                <w:szCs w:val="21"/>
              </w:rPr>
            </w:pPr>
          </w:p>
        </w:tc>
        <w:tc>
          <w:tcPr>
            <w:tcW w:w="1188" w:type="pct"/>
            <w:tcBorders>
              <w:bottom w:val="single" w:sz="12" w:space="0" w:color="auto"/>
            </w:tcBorders>
            <w:tcMar>
              <w:left w:w="0" w:type="dxa"/>
              <w:right w:w="0" w:type="dxa"/>
            </w:tcMar>
            <w:vAlign w:val="center"/>
          </w:tcPr>
          <w:p w14:paraId="03CBCB8D" w14:textId="77777777" w:rsidR="00364EBD" w:rsidRPr="00D75F03" w:rsidRDefault="00364EBD" w:rsidP="00364EBD">
            <w:pPr>
              <w:pStyle w:val="00"/>
              <w:spacing w:line="240" w:lineRule="auto"/>
              <w:ind w:firstLine="0"/>
              <w:jc w:val="center"/>
              <w:rPr>
                <w:rFonts w:ascii="Calibri" w:hAnsi="Times New Roman"/>
                <w:color w:val="auto"/>
                <w:sz w:val="21"/>
                <w:szCs w:val="21"/>
              </w:rPr>
            </w:pPr>
            <w:r w:rsidRPr="00D75F03">
              <w:rPr>
                <w:rFonts w:ascii="Calibri" w:hAnsi="Times New Roman"/>
                <w:color w:val="auto"/>
                <w:sz w:val="21"/>
                <w:szCs w:val="21"/>
              </w:rPr>
              <w:t>NH</w:t>
            </w:r>
            <w:r w:rsidRPr="00B87944">
              <w:rPr>
                <w:rFonts w:ascii="Calibri" w:hAnsi="Times New Roman"/>
                <w:color w:val="auto"/>
                <w:sz w:val="21"/>
                <w:szCs w:val="21"/>
                <w:vertAlign w:val="subscript"/>
              </w:rPr>
              <w:t>3</w:t>
            </w:r>
            <w:r w:rsidRPr="00D75F03">
              <w:rPr>
                <w:rFonts w:ascii="Calibri" w:hAnsi="Times New Roman"/>
                <w:color w:val="auto"/>
                <w:sz w:val="21"/>
                <w:szCs w:val="21"/>
              </w:rPr>
              <w:t>-N</w:t>
            </w:r>
          </w:p>
        </w:tc>
        <w:tc>
          <w:tcPr>
            <w:tcW w:w="2015" w:type="pct"/>
            <w:tcBorders>
              <w:bottom w:val="single" w:sz="12" w:space="0" w:color="auto"/>
            </w:tcBorders>
            <w:tcMar>
              <w:left w:w="0" w:type="dxa"/>
              <w:right w:w="0" w:type="dxa"/>
            </w:tcMar>
            <w:vAlign w:val="center"/>
          </w:tcPr>
          <w:p w14:paraId="3C4C8AC8" w14:textId="16DB1D16" w:rsidR="00364EBD" w:rsidRPr="0002141E" w:rsidRDefault="00364EBD" w:rsidP="00364EBD">
            <w:pPr>
              <w:pStyle w:val="00"/>
              <w:spacing w:line="240" w:lineRule="auto"/>
              <w:ind w:firstLine="0"/>
              <w:jc w:val="center"/>
              <w:rPr>
                <w:rFonts w:ascii="Calibri" w:hAnsi="Times New Roman"/>
                <w:color w:val="auto"/>
                <w:sz w:val="21"/>
                <w:szCs w:val="21"/>
              </w:rPr>
            </w:pPr>
            <w:r>
              <w:rPr>
                <w:rFonts w:ascii="Calibri" w:hAnsi="Times New Roman"/>
                <w:color w:val="auto"/>
                <w:sz w:val="21"/>
                <w:szCs w:val="21"/>
              </w:rPr>
              <w:t>0.023</w:t>
            </w:r>
          </w:p>
        </w:tc>
      </w:tr>
    </w:tbl>
    <w:p w14:paraId="25D1726E" w14:textId="5D0CBAAA" w:rsidR="0002141E" w:rsidRPr="00D75F03" w:rsidRDefault="0002141E" w:rsidP="0002141E">
      <w:pPr>
        <w:pStyle w:val="00"/>
        <w:rPr>
          <w:rFonts w:ascii="Calibri" w:hAnsi="Calibri"/>
          <w:color w:val="auto"/>
        </w:rPr>
      </w:pPr>
      <w:r w:rsidRPr="00D75F03">
        <w:rPr>
          <w:rFonts w:ascii="Calibri" w:hAnsi="Calibri"/>
          <w:color w:val="auto"/>
        </w:rPr>
        <w:t>由上表可知，本项目营运后建议总量控制指标为：</w:t>
      </w:r>
      <w:r w:rsidR="008C0B3F">
        <w:rPr>
          <w:rFonts w:ascii="Calibri" w:hAnsi="Calibri" w:hint="eastAsia"/>
          <w:color w:val="auto"/>
        </w:rPr>
        <w:t>颗粒物</w:t>
      </w:r>
      <w:r w:rsidR="008C0B3F">
        <w:rPr>
          <w:rFonts w:ascii="Calibri" w:eastAsiaTheme="minorEastAsia" w:hAnsi="Calibri"/>
          <w:color w:val="auto"/>
          <w:szCs w:val="21"/>
        </w:rPr>
        <w:t>0.044</w:t>
      </w:r>
      <w:r w:rsidR="008C0B3F">
        <w:rPr>
          <w:rFonts w:ascii="Calibri" w:hAnsi="Calibri" w:hint="eastAsia"/>
          <w:color w:val="auto"/>
        </w:rPr>
        <w:t>t/a</w:t>
      </w:r>
      <w:r w:rsidR="008C0B3F">
        <w:rPr>
          <w:rFonts w:ascii="Calibri" w:hAnsi="Calibri" w:hint="eastAsia"/>
          <w:color w:val="auto"/>
        </w:rPr>
        <w:t>、非甲烷总烃</w:t>
      </w:r>
      <w:r w:rsidR="008C0B3F">
        <w:rPr>
          <w:rFonts w:ascii="Calibri" w:hAnsi="Calibri"/>
          <w:color w:val="auto"/>
        </w:rPr>
        <w:t>：</w:t>
      </w:r>
      <w:r w:rsidR="008C0B3F">
        <w:rPr>
          <w:rFonts w:ascii="Calibri" w:hAnsi="Calibri"/>
          <w:color w:val="auto"/>
        </w:rPr>
        <w:t>0.</w:t>
      </w:r>
      <w:r w:rsidR="00364EBD">
        <w:rPr>
          <w:rFonts w:ascii="Calibri" w:hAnsi="Calibri"/>
          <w:color w:val="auto"/>
        </w:rPr>
        <w:t>54</w:t>
      </w:r>
      <w:r w:rsidR="008C0B3F">
        <w:rPr>
          <w:rFonts w:ascii="Calibri" w:hAnsi="Calibri"/>
          <w:color w:val="auto"/>
        </w:rPr>
        <w:t>t/a</w:t>
      </w:r>
      <w:r w:rsidR="008C0B3F">
        <w:rPr>
          <w:rFonts w:ascii="Calibri" w:hAnsi="Calibri"/>
          <w:color w:val="auto"/>
        </w:rPr>
        <w:t>，</w:t>
      </w:r>
      <w:r w:rsidR="008C0B3F">
        <w:rPr>
          <w:rFonts w:ascii="Calibri" w:hAnsi="Calibri"/>
          <w:color w:val="auto"/>
        </w:rPr>
        <w:t>SO</w:t>
      </w:r>
      <w:r w:rsidR="008C0B3F">
        <w:rPr>
          <w:rFonts w:ascii="Calibri" w:hAnsi="Calibri"/>
          <w:color w:val="auto"/>
          <w:vertAlign w:val="subscript"/>
        </w:rPr>
        <w:t>2</w:t>
      </w:r>
      <w:r w:rsidR="008C0B3F">
        <w:rPr>
          <w:rFonts w:ascii="Calibri" w:hAnsi="Calibri"/>
          <w:color w:val="auto"/>
        </w:rPr>
        <w:t>：</w:t>
      </w:r>
      <w:r w:rsidR="008C0B3F">
        <w:rPr>
          <w:rFonts w:ascii="Calibri" w:hAnsi="Calibri"/>
          <w:color w:val="auto"/>
        </w:rPr>
        <w:t>0.067t/a</w:t>
      </w:r>
      <w:r w:rsidR="008C0B3F">
        <w:rPr>
          <w:rFonts w:ascii="Calibri" w:hAnsi="Calibri"/>
          <w:color w:val="auto"/>
        </w:rPr>
        <w:t>，</w:t>
      </w:r>
      <w:r w:rsidR="008C0B3F" w:rsidRPr="00DC3375">
        <w:rPr>
          <w:rFonts w:ascii="Calibri" w:eastAsiaTheme="minorEastAsia" w:hAnsi="Calibri"/>
          <w:color w:val="auto"/>
          <w:szCs w:val="21"/>
        </w:rPr>
        <w:t>NOx</w:t>
      </w:r>
      <w:r w:rsidR="008C0B3F">
        <w:rPr>
          <w:rFonts w:ascii="Calibri" w:eastAsiaTheme="minorEastAsia" w:hAnsi="Calibri" w:hint="eastAsia"/>
          <w:color w:val="auto"/>
          <w:szCs w:val="21"/>
        </w:rPr>
        <w:t>：</w:t>
      </w:r>
      <w:r w:rsidR="008C0B3F">
        <w:rPr>
          <w:rFonts w:ascii="Calibri" w:eastAsiaTheme="minorEastAsia" w:hAnsi="Calibri" w:hint="eastAsia"/>
          <w:color w:val="auto"/>
          <w:szCs w:val="21"/>
        </w:rPr>
        <w:t>0.51</w:t>
      </w:r>
      <w:r w:rsidR="008C0B3F">
        <w:rPr>
          <w:rFonts w:ascii="Calibri" w:eastAsiaTheme="minorEastAsia" w:hAnsi="Calibri"/>
          <w:color w:val="auto"/>
          <w:szCs w:val="21"/>
        </w:rPr>
        <w:t>t/a</w:t>
      </w:r>
      <w:r w:rsidRPr="00D75F03">
        <w:rPr>
          <w:rFonts w:ascii="Calibri" w:hAnsi="Calibri" w:hint="eastAsia"/>
          <w:color w:val="auto"/>
        </w:rPr>
        <w:t>；</w:t>
      </w:r>
      <w:r w:rsidRPr="00D75F03">
        <w:rPr>
          <w:rFonts w:ascii="Calibri" w:hAnsi="Calibri"/>
          <w:color w:val="auto"/>
        </w:rPr>
        <w:t>COD</w:t>
      </w:r>
      <w:r w:rsidRPr="00D75F03">
        <w:rPr>
          <w:rFonts w:ascii="Calibri" w:hAnsi="Calibri"/>
          <w:color w:val="auto"/>
        </w:rPr>
        <w:t>：</w:t>
      </w:r>
      <w:r>
        <w:rPr>
          <w:rFonts w:ascii="Calibri" w:hAnsi="Calibri"/>
          <w:color w:val="auto"/>
        </w:rPr>
        <w:t>0.</w:t>
      </w:r>
      <w:r w:rsidR="00364EBD">
        <w:rPr>
          <w:rFonts w:ascii="Calibri" w:hAnsi="Calibri"/>
          <w:color w:val="auto"/>
        </w:rPr>
        <w:t>46</w:t>
      </w:r>
      <w:r w:rsidRPr="00D75F03">
        <w:rPr>
          <w:rFonts w:ascii="Calibri" w:hAnsi="Calibri"/>
          <w:color w:val="auto"/>
        </w:rPr>
        <w:t>t/a</w:t>
      </w:r>
      <w:r w:rsidRPr="00D75F03">
        <w:rPr>
          <w:rFonts w:ascii="Calibri" w:hAnsi="Calibri"/>
          <w:color w:val="auto"/>
        </w:rPr>
        <w:t>，</w:t>
      </w:r>
      <w:r w:rsidRPr="00D75F03">
        <w:rPr>
          <w:rFonts w:ascii="Calibri" w:hAnsi="Calibri"/>
          <w:color w:val="auto"/>
        </w:rPr>
        <w:t>NH</w:t>
      </w:r>
      <w:r w:rsidRPr="00D75F03">
        <w:rPr>
          <w:rFonts w:ascii="Calibri" w:hAnsi="Calibri"/>
          <w:color w:val="auto"/>
          <w:vertAlign w:val="subscript"/>
        </w:rPr>
        <w:t>3</w:t>
      </w:r>
      <w:r w:rsidRPr="00D75F03">
        <w:rPr>
          <w:rFonts w:ascii="Calibri" w:hAnsi="Calibri"/>
          <w:color w:val="auto"/>
        </w:rPr>
        <w:t>-N</w:t>
      </w:r>
      <w:r w:rsidRPr="00D75F03">
        <w:rPr>
          <w:rFonts w:ascii="Calibri" w:hAnsi="Calibri"/>
          <w:color w:val="auto"/>
        </w:rPr>
        <w:t>：</w:t>
      </w:r>
      <w:r>
        <w:rPr>
          <w:rFonts w:ascii="Calibri" w:hAnsi="Calibri"/>
          <w:color w:val="auto"/>
        </w:rPr>
        <w:t>0.0</w:t>
      </w:r>
      <w:r w:rsidR="00364EBD">
        <w:rPr>
          <w:rFonts w:ascii="Calibri" w:hAnsi="Calibri"/>
          <w:color w:val="auto"/>
        </w:rPr>
        <w:t>23</w:t>
      </w:r>
      <w:r w:rsidRPr="00D75F03">
        <w:rPr>
          <w:rFonts w:ascii="Calibri" w:hAnsi="Calibri"/>
          <w:color w:val="auto"/>
        </w:rPr>
        <w:t>t/a</w:t>
      </w:r>
      <w:r w:rsidRPr="00D75F03">
        <w:rPr>
          <w:rFonts w:ascii="Calibri" w:hAnsi="Calibri"/>
          <w:color w:val="auto"/>
        </w:rPr>
        <w:t>。</w:t>
      </w:r>
    </w:p>
    <w:p w14:paraId="6F1FADF7" w14:textId="77777777" w:rsidR="0002141E" w:rsidRPr="00D75F03" w:rsidRDefault="0002141E" w:rsidP="0002141E">
      <w:pPr>
        <w:pStyle w:val="00"/>
        <w:rPr>
          <w:rFonts w:ascii="Calibri" w:hAnsi="Calibri"/>
          <w:color w:val="auto"/>
        </w:rPr>
      </w:pPr>
      <w:r w:rsidRPr="00D75F03">
        <w:rPr>
          <w:rFonts w:ascii="Calibri" w:hAnsi="Calibri" w:hint="eastAsia"/>
          <w:color w:val="auto"/>
        </w:rPr>
        <w:t>（</w:t>
      </w:r>
      <w:r w:rsidRPr="00D75F03">
        <w:rPr>
          <w:rFonts w:ascii="Calibri" w:hAnsi="Calibri" w:hint="eastAsia"/>
          <w:color w:val="auto"/>
        </w:rPr>
        <w:t>3</w:t>
      </w:r>
      <w:r w:rsidRPr="00D75F03">
        <w:rPr>
          <w:rFonts w:ascii="Calibri" w:hAnsi="Calibri" w:hint="eastAsia"/>
          <w:color w:val="auto"/>
        </w:rPr>
        <w:t>）项目污染物总量指标来源</w:t>
      </w:r>
    </w:p>
    <w:p w14:paraId="2D61CBED" w14:textId="77777777" w:rsidR="0002141E" w:rsidRPr="00D75F03" w:rsidRDefault="0002141E" w:rsidP="0002141E">
      <w:pPr>
        <w:pStyle w:val="00"/>
        <w:rPr>
          <w:rFonts w:ascii="Calibri" w:hAnsi="Calibri"/>
          <w:color w:val="auto"/>
        </w:rPr>
      </w:pPr>
      <w:r w:rsidRPr="00D75F03">
        <w:rPr>
          <w:rFonts w:ascii="Calibri" w:hAnsi="Calibri" w:hint="eastAsia"/>
          <w:color w:val="auto"/>
        </w:rPr>
        <w:t>①废水污染物总量指标来源</w:t>
      </w:r>
    </w:p>
    <w:p w14:paraId="296A9801" w14:textId="09B9A7E6" w:rsidR="00C53868" w:rsidRDefault="0002141E" w:rsidP="00C53868">
      <w:pPr>
        <w:pStyle w:val="00"/>
        <w:rPr>
          <w:rFonts w:ascii="Calibri" w:hAnsi="Calibri"/>
          <w:color w:val="auto"/>
        </w:rPr>
      </w:pPr>
      <w:r w:rsidRPr="00D75F03">
        <w:rPr>
          <w:rFonts w:ascii="Calibri" w:hAnsi="Calibri" w:hint="eastAsia"/>
          <w:color w:val="auto"/>
        </w:rPr>
        <w:t>本项目位于</w:t>
      </w:r>
      <w:r w:rsidRPr="0002141E">
        <w:rPr>
          <w:rFonts w:ascii="Calibri" w:hAnsi="Calibri" w:hint="eastAsia"/>
          <w:color w:val="auto"/>
        </w:rPr>
        <w:t>平顶山尼龙新材料产业集聚区</w:t>
      </w:r>
      <w:r>
        <w:rPr>
          <w:rFonts w:ascii="Calibri" w:hAnsi="Calibri" w:hint="eastAsia"/>
          <w:color w:val="auto"/>
        </w:rPr>
        <w:t>，项目废水最终</w:t>
      </w:r>
      <w:r>
        <w:rPr>
          <w:rFonts w:ascii="Calibri" w:hAnsi="Calibri"/>
          <w:color w:val="auto"/>
        </w:rPr>
        <w:t>进入</w:t>
      </w:r>
      <w:r w:rsidRPr="00A964FF">
        <w:rPr>
          <w:rFonts w:ascii="Calibri" w:hint="eastAsia"/>
          <w:color w:val="auto"/>
          <w:szCs w:val="21"/>
        </w:rPr>
        <w:t>平顶山第三污水处理厂</w:t>
      </w:r>
      <w:r w:rsidRPr="00D75F03">
        <w:rPr>
          <w:rFonts w:ascii="Calibri" w:hAnsi="Calibri" w:hint="eastAsia"/>
          <w:color w:val="auto"/>
        </w:rPr>
        <w:t>集中处理，处理达标后排入</w:t>
      </w:r>
      <w:r>
        <w:rPr>
          <w:rFonts w:ascii="Calibri" w:hAnsi="Calibri" w:hint="eastAsia"/>
          <w:color w:val="auto"/>
        </w:rPr>
        <w:t>灰河</w:t>
      </w:r>
      <w:r w:rsidRPr="00D75F03">
        <w:rPr>
          <w:rFonts w:ascii="Calibri" w:hAnsi="Calibri" w:hint="eastAsia"/>
          <w:color w:val="auto"/>
        </w:rPr>
        <w:t>。</w:t>
      </w:r>
      <w:r w:rsidR="00C53868" w:rsidRPr="00C53868">
        <w:rPr>
          <w:rFonts w:ascii="Calibri" w:hAnsi="Calibri" w:hint="eastAsia"/>
          <w:color w:val="auto"/>
        </w:rPr>
        <w:t>叶县</w:t>
      </w:r>
      <w:r w:rsidR="00C53868" w:rsidRPr="00C53868">
        <w:rPr>
          <w:rFonts w:ascii="Calibri" w:hAnsi="Calibri" w:hint="eastAsia"/>
          <w:color w:val="auto"/>
        </w:rPr>
        <w:t>2021</w:t>
      </w:r>
      <w:r w:rsidR="00C53868" w:rsidRPr="00C53868">
        <w:rPr>
          <w:rFonts w:ascii="Calibri" w:hAnsi="Calibri" w:hint="eastAsia"/>
          <w:color w:val="auto"/>
        </w:rPr>
        <w:t>年水环境质量达标，故水主要污染物不需双倍替代。本项目涉及排放的水污染物主要为</w:t>
      </w:r>
      <w:r w:rsidR="00C53868" w:rsidRPr="00C53868">
        <w:rPr>
          <w:rFonts w:ascii="Calibri" w:hAnsi="Calibri" w:hint="eastAsia"/>
          <w:color w:val="auto"/>
        </w:rPr>
        <w:t>COD</w:t>
      </w:r>
      <w:r w:rsidR="00C53868" w:rsidRPr="00C53868">
        <w:rPr>
          <w:rFonts w:ascii="Calibri" w:hAnsi="Calibri" w:hint="eastAsia"/>
          <w:color w:val="auto"/>
        </w:rPr>
        <w:t>、</w:t>
      </w:r>
      <w:r w:rsidR="00C53868" w:rsidRPr="00C53868">
        <w:rPr>
          <w:rFonts w:ascii="Calibri" w:hAnsi="Calibri" w:hint="eastAsia"/>
          <w:color w:val="auto"/>
        </w:rPr>
        <w:t>NH</w:t>
      </w:r>
      <w:r w:rsidR="00C53868" w:rsidRPr="00C53868">
        <w:rPr>
          <w:rFonts w:ascii="Calibri" w:hAnsi="Calibri" w:hint="eastAsia"/>
          <w:color w:val="auto"/>
          <w:vertAlign w:val="subscript"/>
        </w:rPr>
        <w:t>3</w:t>
      </w:r>
      <w:r w:rsidR="00C53868" w:rsidRPr="00C53868">
        <w:rPr>
          <w:rFonts w:ascii="Calibri" w:hAnsi="Calibri" w:hint="eastAsia"/>
          <w:color w:val="auto"/>
        </w:rPr>
        <w:t>-N</w:t>
      </w:r>
      <w:r w:rsidR="00C53868" w:rsidRPr="00C53868">
        <w:rPr>
          <w:rFonts w:ascii="Calibri" w:hAnsi="Calibri" w:hint="eastAsia"/>
          <w:color w:val="auto"/>
        </w:rPr>
        <w:t>。经环评测算，该项目建成后主要控制污染物排放总量：</w:t>
      </w:r>
      <w:r w:rsidR="00C53868" w:rsidRPr="00C53868">
        <w:rPr>
          <w:rFonts w:ascii="Calibri" w:hAnsi="Calibri" w:hint="eastAsia"/>
          <w:color w:val="auto"/>
        </w:rPr>
        <w:t>COD</w:t>
      </w:r>
      <w:r w:rsidR="00C53868" w:rsidRPr="00C53868">
        <w:rPr>
          <w:rFonts w:ascii="Calibri" w:hAnsi="Calibri" w:hint="eastAsia"/>
          <w:color w:val="auto"/>
        </w:rPr>
        <w:t>：</w:t>
      </w:r>
      <w:r w:rsidR="00C53868" w:rsidRPr="00C53868">
        <w:rPr>
          <w:rFonts w:ascii="Calibri" w:hAnsi="Calibri" w:hint="eastAsia"/>
          <w:color w:val="auto"/>
        </w:rPr>
        <w:t>0.46t/a</w:t>
      </w:r>
      <w:r w:rsidR="00C53868" w:rsidRPr="00C53868">
        <w:rPr>
          <w:rFonts w:ascii="Calibri" w:hAnsi="Calibri" w:hint="eastAsia"/>
          <w:color w:val="auto"/>
        </w:rPr>
        <w:t>，</w:t>
      </w:r>
      <w:r w:rsidR="00C53868" w:rsidRPr="00C53868">
        <w:rPr>
          <w:rFonts w:ascii="Calibri" w:hAnsi="Calibri" w:hint="eastAsia"/>
          <w:color w:val="auto"/>
        </w:rPr>
        <w:t>NH</w:t>
      </w:r>
      <w:r w:rsidR="00C53868" w:rsidRPr="00C53868">
        <w:rPr>
          <w:rFonts w:ascii="Calibri" w:hAnsi="Calibri" w:hint="eastAsia"/>
          <w:color w:val="auto"/>
          <w:vertAlign w:val="subscript"/>
        </w:rPr>
        <w:t>3</w:t>
      </w:r>
      <w:r w:rsidR="00C53868" w:rsidRPr="00C53868">
        <w:rPr>
          <w:rFonts w:ascii="Calibri" w:hAnsi="Calibri" w:hint="eastAsia"/>
          <w:color w:val="auto"/>
        </w:rPr>
        <w:t>-N</w:t>
      </w:r>
      <w:r w:rsidR="00C53868" w:rsidRPr="00C53868">
        <w:rPr>
          <w:rFonts w:ascii="Calibri" w:hAnsi="Calibri" w:hint="eastAsia"/>
          <w:color w:val="auto"/>
        </w:rPr>
        <w:t>：</w:t>
      </w:r>
      <w:r w:rsidR="00C53868" w:rsidRPr="00C53868">
        <w:rPr>
          <w:rFonts w:ascii="Calibri" w:hAnsi="Calibri" w:hint="eastAsia"/>
          <w:color w:val="auto"/>
        </w:rPr>
        <w:t>0.023t/a</w:t>
      </w:r>
      <w:r w:rsidR="00C53868">
        <w:rPr>
          <w:rFonts w:ascii="Calibri" w:hAnsi="Calibri" w:hint="eastAsia"/>
          <w:color w:val="auto"/>
        </w:rPr>
        <w:t>；</w:t>
      </w:r>
      <w:r w:rsidR="00C53868" w:rsidRPr="00C53868">
        <w:rPr>
          <w:rFonts w:ascii="Calibri" w:hAnsi="Calibri" w:hint="eastAsia"/>
          <w:color w:val="auto"/>
        </w:rPr>
        <w:t>该项目</w:t>
      </w:r>
      <w:r w:rsidR="00C53868" w:rsidRPr="00C53868">
        <w:rPr>
          <w:rFonts w:ascii="Calibri" w:hAnsi="Calibri" w:hint="eastAsia"/>
          <w:color w:val="auto"/>
        </w:rPr>
        <w:t>COD</w:t>
      </w:r>
      <w:r w:rsidR="00C53868" w:rsidRPr="00C53868">
        <w:rPr>
          <w:rFonts w:ascii="Calibri" w:hAnsi="Calibri" w:hint="eastAsia"/>
          <w:color w:val="auto"/>
        </w:rPr>
        <w:t>、</w:t>
      </w:r>
      <w:r w:rsidR="00C53868" w:rsidRPr="00C53868">
        <w:rPr>
          <w:rFonts w:ascii="Calibri" w:hAnsi="Calibri" w:hint="eastAsia"/>
          <w:color w:val="auto"/>
        </w:rPr>
        <w:t>NH</w:t>
      </w:r>
      <w:r w:rsidR="00C53868" w:rsidRPr="00C53868">
        <w:rPr>
          <w:rFonts w:ascii="Calibri" w:hAnsi="Calibri" w:hint="eastAsia"/>
          <w:color w:val="auto"/>
          <w:vertAlign w:val="subscript"/>
        </w:rPr>
        <w:t>3</w:t>
      </w:r>
      <w:r w:rsidR="00C53868" w:rsidRPr="00C53868">
        <w:rPr>
          <w:rFonts w:ascii="Calibri" w:hAnsi="Calibri" w:hint="eastAsia"/>
          <w:color w:val="auto"/>
        </w:rPr>
        <w:t>-N</w:t>
      </w:r>
      <w:r w:rsidR="00C53868" w:rsidRPr="00C53868">
        <w:rPr>
          <w:rFonts w:ascii="Calibri" w:hAnsi="Calibri" w:hint="eastAsia"/>
          <w:color w:val="auto"/>
        </w:rPr>
        <w:t>通过我县叶廉路黑臭水体减排余量可满足该项目</w:t>
      </w:r>
      <w:r w:rsidR="00C53868" w:rsidRPr="00C53868">
        <w:rPr>
          <w:rFonts w:ascii="Calibri" w:hAnsi="Calibri" w:hint="eastAsia"/>
          <w:color w:val="auto"/>
        </w:rPr>
        <w:t>COD</w:t>
      </w:r>
      <w:r w:rsidR="00C53868" w:rsidRPr="00C53868">
        <w:rPr>
          <w:rFonts w:ascii="Calibri" w:hAnsi="Calibri" w:hint="eastAsia"/>
          <w:color w:val="auto"/>
        </w:rPr>
        <w:t>：</w:t>
      </w:r>
      <w:r w:rsidR="00C53868" w:rsidRPr="00C53868">
        <w:rPr>
          <w:rFonts w:ascii="Calibri" w:hAnsi="Calibri" w:hint="eastAsia"/>
          <w:color w:val="auto"/>
        </w:rPr>
        <w:t>0.46t/a</w:t>
      </w:r>
      <w:r w:rsidR="00C53868" w:rsidRPr="00C53868">
        <w:rPr>
          <w:rFonts w:ascii="Calibri" w:hAnsi="Calibri" w:hint="eastAsia"/>
          <w:color w:val="auto"/>
        </w:rPr>
        <w:t>，</w:t>
      </w:r>
      <w:r w:rsidR="00C53868" w:rsidRPr="00C53868">
        <w:rPr>
          <w:rFonts w:ascii="Calibri" w:hAnsi="Calibri" w:hint="eastAsia"/>
          <w:color w:val="auto"/>
        </w:rPr>
        <w:t>NH</w:t>
      </w:r>
      <w:r w:rsidR="00C53868" w:rsidRPr="00C53868">
        <w:rPr>
          <w:rFonts w:ascii="Calibri" w:hAnsi="Calibri" w:hint="eastAsia"/>
          <w:color w:val="auto"/>
          <w:vertAlign w:val="subscript"/>
        </w:rPr>
        <w:t>3</w:t>
      </w:r>
      <w:r w:rsidR="00C53868" w:rsidRPr="00C53868">
        <w:rPr>
          <w:rFonts w:ascii="Calibri" w:hAnsi="Calibri" w:hint="eastAsia"/>
          <w:color w:val="auto"/>
        </w:rPr>
        <w:t>-N</w:t>
      </w:r>
      <w:r w:rsidR="00C53868" w:rsidRPr="00C53868">
        <w:rPr>
          <w:rFonts w:ascii="Calibri" w:hAnsi="Calibri" w:hint="eastAsia"/>
          <w:color w:val="auto"/>
        </w:rPr>
        <w:t>：</w:t>
      </w:r>
      <w:r w:rsidR="00C53868" w:rsidRPr="00C53868">
        <w:rPr>
          <w:rFonts w:ascii="Calibri" w:hAnsi="Calibri" w:hint="eastAsia"/>
          <w:color w:val="auto"/>
        </w:rPr>
        <w:t>0.023t/a</w:t>
      </w:r>
      <w:r w:rsidR="00C53868" w:rsidRPr="00C53868">
        <w:rPr>
          <w:rFonts w:ascii="Calibri" w:hAnsi="Calibri" w:hint="eastAsia"/>
          <w:color w:val="auto"/>
        </w:rPr>
        <w:t>替代需要。</w:t>
      </w:r>
    </w:p>
    <w:p w14:paraId="70A89258" w14:textId="77777777" w:rsidR="0002141E" w:rsidRPr="00D75F03" w:rsidRDefault="0008646C" w:rsidP="0002141E">
      <w:pPr>
        <w:pStyle w:val="00"/>
        <w:rPr>
          <w:rFonts w:ascii="Calibri" w:hAnsi="Calibri"/>
          <w:color w:val="auto"/>
        </w:rPr>
      </w:pPr>
      <w:r w:rsidRPr="0008646C">
        <w:rPr>
          <w:rFonts w:ascii="Calibri" w:hAnsi="Calibri" w:hint="eastAsia"/>
          <w:color w:val="auto"/>
        </w:rPr>
        <w:t>②</w:t>
      </w:r>
      <w:r w:rsidR="0002141E" w:rsidRPr="00D75F03">
        <w:rPr>
          <w:rFonts w:ascii="Calibri" w:hAnsi="Calibri" w:hint="eastAsia"/>
          <w:color w:val="auto"/>
        </w:rPr>
        <w:t>废气污染物总量指标来源</w:t>
      </w:r>
    </w:p>
    <w:p w14:paraId="7516878A" w14:textId="0CFC22CE" w:rsidR="00C53868" w:rsidRDefault="00C53868" w:rsidP="00C53868">
      <w:pPr>
        <w:pStyle w:val="00"/>
        <w:ind w:firstLineChars="200"/>
        <w:rPr>
          <w:rFonts w:ascii="Calibri" w:hAnsi="Calibri"/>
          <w:color w:val="auto"/>
        </w:rPr>
      </w:pPr>
      <w:r w:rsidRPr="00C53868">
        <w:rPr>
          <w:rFonts w:ascii="Calibri" w:hAnsi="Calibri" w:hint="eastAsia"/>
          <w:color w:val="auto"/>
        </w:rPr>
        <w:t>叶县</w:t>
      </w:r>
      <w:r w:rsidRPr="00C53868">
        <w:rPr>
          <w:rFonts w:ascii="Calibri" w:hAnsi="Calibri" w:hint="eastAsia"/>
          <w:color w:val="auto"/>
        </w:rPr>
        <w:t>2021</w:t>
      </w:r>
      <w:r w:rsidRPr="00C53868">
        <w:rPr>
          <w:rFonts w:ascii="Calibri" w:hAnsi="Calibri" w:hint="eastAsia"/>
          <w:color w:val="auto"/>
        </w:rPr>
        <w:t>年大气环境质量超标，故大气主要污染物需双倍替代。本项目涉及排放的大气污染物主要为颗粒物</w:t>
      </w:r>
      <w:r>
        <w:rPr>
          <w:rFonts w:ascii="Calibri" w:hAnsi="Calibri" w:hint="eastAsia"/>
          <w:color w:val="auto"/>
        </w:rPr>
        <w:t>、</w:t>
      </w:r>
      <w:r w:rsidRPr="00C53868">
        <w:rPr>
          <w:rFonts w:ascii="Calibri" w:hAnsi="Calibri" w:hint="eastAsia"/>
          <w:color w:val="auto"/>
        </w:rPr>
        <w:t>SO</w:t>
      </w:r>
      <w:r w:rsidRPr="00C53868">
        <w:rPr>
          <w:rFonts w:ascii="Calibri" w:hAnsi="Calibri" w:hint="eastAsia"/>
          <w:color w:val="auto"/>
          <w:vertAlign w:val="subscript"/>
        </w:rPr>
        <w:t>2</w:t>
      </w:r>
      <w:r w:rsidRPr="00C53868">
        <w:rPr>
          <w:rFonts w:ascii="Calibri" w:hAnsi="Calibri" w:hint="eastAsia"/>
          <w:color w:val="auto"/>
        </w:rPr>
        <w:t>、</w:t>
      </w:r>
      <w:r w:rsidRPr="00C53868">
        <w:rPr>
          <w:rFonts w:ascii="Calibri" w:hAnsi="Calibri" w:hint="eastAsia"/>
          <w:color w:val="auto"/>
        </w:rPr>
        <w:t>NOx</w:t>
      </w:r>
      <w:r w:rsidRPr="00C53868">
        <w:rPr>
          <w:rFonts w:ascii="Calibri" w:hAnsi="Calibri" w:hint="eastAsia"/>
          <w:color w:val="auto"/>
        </w:rPr>
        <w:t>、非甲烷总烃，经环评测算，该项目建成后主要控制污染排放总量：颗粒物</w:t>
      </w:r>
      <w:r w:rsidRPr="00C53868">
        <w:rPr>
          <w:rFonts w:ascii="Calibri" w:hAnsi="Calibri" w:hint="eastAsia"/>
          <w:color w:val="auto"/>
        </w:rPr>
        <w:t>0.044t/a</w:t>
      </w:r>
      <w:r w:rsidRPr="00C53868">
        <w:rPr>
          <w:rFonts w:ascii="Calibri" w:hAnsi="Calibri" w:hint="eastAsia"/>
          <w:color w:val="auto"/>
        </w:rPr>
        <w:t>、非甲烷总烃：</w:t>
      </w:r>
      <w:r w:rsidRPr="00C53868">
        <w:rPr>
          <w:rFonts w:ascii="Calibri" w:hAnsi="Calibri" w:hint="eastAsia"/>
          <w:color w:val="auto"/>
        </w:rPr>
        <w:t>0.54t/a</w:t>
      </w:r>
      <w:r w:rsidRPr="00C53868">
        <w:rPr>
          <w:rFonts w:ascii="Calibri" w:hAnsi="Calibri" w:hint="eastAsia"/>
          <w:color w:val="auto"/>
        </w:rPr>
        <w:t>，</w:t>
      </w:r>
      <w:r w:rsidRPr="00C53868">
        <w:rPr>
          <w:rFonts w:ascii="Calibri" w:hAnsi="Calibri" w:hint="eastAsia"/>
          <w:color w:val="auto"/>
        </w:rPr>
        <w:t>SO</w:t>
      </w:r>
      <w:r w:rsidRPr="00C53868">
        <w:rPr>
          <w:rFonts w:ascii="Calibri" w:hAnsi="Calibri" w:hint="eastAsia"/>
          <w:color w:val="auto"/>
          <w:vertAlign w:val="subscript"/>
        </w:rPr>
        <w:t>2</w:t>
      </w:r>
      <w:r w:rsidRPr="00C53868">
        <w:rPr>
          <w:rFonts w:ascii="Calibri" w:hAnsi="Calibri" w:hint="eastAsia"/>
          <w:color w:val="auto"/>
        </w:rPr>
        <w:t>：</w:t>
      </w:r>
      <w:r w:rsidRPr="00C53868">
        <w:rPr>
          <w:rFonts w:ascii="Calibri" w:hAnsi="Calibri" w:hint="eastAsia"/>
          <w:color w:val="auto"/>
        </w:rPr>
        <w:t>0.067t/a</w:t>
      </w:r>
      <w:r w:rsidRPr="00C53868">
        <w:rPr>
          <w:rFonts w:ascii="Calibri" w:hAnsi="Calibri" w:hint="eastAsia"/>
          <w:color w:val="auto"/>
        </w:rPr>
        <w:t>，</w:t>
      </w:r>
      <w:r w:rsidRPr="00C53868">
        <w:rPr>
          <w:rFonts w:ascii="Calibri" w:hAnsi="Calibri" w:hint="eastAsia"/>
          <w:color w:val="auto"/>
        </w:rPr>
        <w:t>NOx</w:t>
      </w:r>
      <w:r w:rsidRPr="00C53868">
        <w:rPr>
          <w:rFonts w:ascii="Calibri" w:hAnsi="Calibri" w:hint="eastAsia"/>
          <w:color w:val="auto"/>
        </w:rPr>
        <w:t>：</w:t>
      </w:r>
      <w:r w:rsidRPr="00C53868">
        <w:rPr>
          <w:rFonts w:ascii="Calibri" w:hAnsi="Calibri" w:hint="eastAsia"/>
          <w:color w:val="auto"/>
        </w:rPr>
        <w:t>0.51t/a</w:t>
      </w:r>
      <w:r w:rsidRPr="00C53868">
        <w:rPr>
          <w:rFonts w:ascii="Calibri" w:hAnsi="Calibri" w:hint="eastAsia"/>
          <w:color w:val="auto"/>
        </w:rPr>
        <w:t>；需双倍替代的污染物量为：颗粒物：</w:t>
      </w:r>
      <w:r w:rsidRPr="00C53868">
        <w:rPr>
          <w:rFonts w:ascii="Calibri" w:hAnsi="Calibri" w:hint="eastAsia"/>
          <w:color w:val="auto"/>
        </w:rPr>
        <w:t>0.088t/a</w:t>
      </w:r>
      <w:r w:rsidRPr="00C53868">
        <w:rPr>
          <w:rFonts w:ascii="Calibri" w:hAnsi="Calibri" w:hint="eastAsia"/>
          <w:color w:val="auto"/>
        </w:rPr>
        <w:t>、非甲烷总烃：</w:t>
      </w:r>
      <w:r w:rsidRPr="00C53868">
        <w:rPr>
          <w:rFonts w:ascii="Calibri" w:hAnsi="Calibri" w:hint="eastAsia"/>
          <w:color w:val="auto"/>
        </w:rPr>
        <w:t>1.08t/a</w:t>
      </w:r>
      <w:r w:rsidRPr="00C53868">
        <w:rPr>
          <w:rFonts w:ascii="Calibri" w:hAnsi="Calibri" w:hint="eastAsia"/>
          <w:color w:val="auto"/>
        </w:rPr>
        <w:t>，</w:t>
      </w:r>
      <w:r w:rsidRPr="00C53868">
        <w:rPr>
          <w:rFonts w:ascii="Calibri" w:hAnsi="Calibri" w:hint="eastAsia"/>
          <w:color w:val="auto"/>
        </w:rPr>
        <w:t>SO</w:t>
      </w:r>
      <w:r w:rsidRPr="00C53868">
        <w:rPr>
          <w:rFonts w:ascii="Calibri" w:hAnsi="Calibri" w:hint="eastAsia"/>
          <w:color w:val="auto"/>
          <w:vertAlign w:val="subscript"/>
        </w:rPr>
        <w:t>2</w:t>
      </w:r>
      <w:r w:rsidRPr="00C53868">
        <w:rPr>
          <w:rFonts w:ascii="Calibri" w:hAnsi="Calibri" w:hint="eastAsia"/>
          <w:color w:val="auto"/>
        </w:rPr>
        <w:t>：</w:t>
      </w:r>
      <w:r w:rsidRPr="00C53868">
        <w:rPr>
          <w:rFonts w:ascii="Calibri" w:hAnsi="Calibri" w:hint="eastAsia"/>
          <w:color w:val="auto"/>
        </w:rPr>
        <w:t>0.134t/a</w:t>
      </w:r>
      <w:r w:rsidRPr="00C53868">
        <w:rPr>
          <w:rFonts w:ascii="Calibri" w:hAnsi="Calibri" w:hint="eastAsia"/>
          <w:color w:val="auto"/>
        </w:rPr>
        <w:t>，</w:t>
      </w:r>
      <w:r w:rsidRPr="00C53868">
        <w:rPr>
          <w:rFonts w:ascii="Calibri" w:hAnsi="Calibri" w:hint="eastAsia"/>
          <w:color w:val="auto"/>
        </w:rPr>
        <w:t>NOx</w:t>
      </w:r>
      <w:r w:rsidRPr="00C53868">
        <w:rPr>
          <w:rFonts w:ascii="Calibri" w:hAnsi="Calibri" w:hint="eastAsia"/>
          <w:color w:val="auto"/>
        </w:rPr>
        <w:t>：</w:t>
      </w:r>
      <w:r w:rsidRPr="00C53868">
        <w:rPr>
          <w:rFonts w:ascii="Calibri" w:hAnsi="Calibri" w:hint="eastAsia"/>
          <w:color w:val="auto"/>
        </w:rPr>
        <w:t>1.02t/a</w:t>
      </w:r>
      <w:r w:rsidRPr="00C53868">
        <w:rPr>
          <w:rFonts w:ascii="Calibri" w:hAnsi="Calibri" w:hint="eastAsia"/>
          <w:color w:val="auto"/>
        </w:rPr>
        <w:t>。</w:t>
      </w:r>
      <w:r>
        <w:rPr>
          <w:rFonts w:ascii="Calibri" w:hAnsi="Calibri" w:hint="eastAsia"/>
          <w:color w:val="auto"/>
        </w:rPr>
        <w:t>叶县</w:t>
      </w:r>
      <w:r w:rsidRPr="00C53868">
        <w:rPr>
          <w:rFonts w:ascii="Calibri" w:hAnsi="Calibri" w:hint="eastAsia"/>
          <w:color w:val="auto"/>
        </w:rPr>
        <w:t>平顶山盈润环保科技有限公司拆除排污许可证注销减排余量：颗粒物：</w:t>
      </w:r>
      <w:r w:rsidRPr="00C53868">
        <w:rPr>
          <w:rFonts w:ascii="Calibri" w:hAnsi="Calibri" w:hint="eastAsia"/>
          <w:color w:val="auto"/>
        </w:rPr>
        <w:t>381.192t/a</w:t>
      </w:r>
      <w:r w:rsidRPr="00C53868">
        <w:rPr>
          <w:rFonts w:ascii="Calibri" w:hAnsi="Calibri" w:hint="eastAsia"/>
          <w:color w:val="auto"/>
        </w:rPr>
        <w:t>，</w:t>
      </w:r>
      <w:r w:rsidRPr="00C53868">
        <w:rPr>
          <w:rFonts w:ascii="Calibri" w:hAnsi="Calibri" w:hint="eastAsia"/>
          <w:color w:val="auto"/>
        </w:rPr>
        <w:t xml:space="preserve"> SO2</w:t>
      </w:r>
      <w:r w:rsidRPr="00C53868">
        <w:rPr>
          <w:rFonts w:ascii="Calibri" w:hAnsi="Calibri" w:hint="eastAsia"/>
          <w:color w:val="auto"/>
        </w:rPr>
        <w:t>：</w:t>
      </w:r>
      <w:r w:rsidRPr="00C53868">
        <w:rPr>
          <w:rFonts w:ascii="Calibri" w:hAnsi="Calibri" w:hint="eastAsia"/>
          <w:color w:val="auto"/>
        </w:rPr>
        <w:t>5.582t/a</w:t>
      </w:r>
      <w:r w:rsidRPr="00C53868">
        <w:rPr>
          <w:rFonts w:ascii="Calibri" w:hAnsi="Calibri" w:hint="eastAsia"/>
          <w:color w:val="auto"/>
        </w:rPr>
        <w:t>，</w:t>
      </w:r>
      <w:r w:rsidRPr="00C53868">
        <w:rPr>
          <w:rFonts w:ascii="Calibri" w:hAnsi="Calibri" w:hint="eastAsia"/>
          <w:color w:val="auto"/>
        </w:rPr>
        <w:t>NOx</w:t>
      </w:r>
      <w:r w:rsidRPr="00C53868">
        <w:rPr>
          <w:rFonts w:ascii="Calibri" w:hAnsi="Calibri" w:hint="eastAsia"/>
          <w:color w:val="auto"/>
        </w:rPr>
        <w:t>：</w:t>
      </w:r>
      <w:r w:rsidRPr="00C53868">
        <w:rPr>
          <w:rFonts w:ascii="Calibri" w:hAnsi="Calibri" w:hint="eastAsia"/>
          <w:color w:val="auto"/>
        </w:rPr>
        <w:t>1.902t/a</w:t>
      </w:r>
      <w:r w:rsidRPr="00C53868">
        <w:rPr>
          <w:rFonts w:ascii="Calibri" w:hAnsi="Calibri" w:hint="eastAsia"/>
          <w:color w:val="auto"/>
        </w:rPr>
        <w:t>，可满足该项目颗粒物：</w:t>
      </w:r>
      <w:r w:rsidRPr="00C53868">
        <w:rPr>
          <w:rFonts w:ascii="Calibri" w:hAnsi="Calibri" w:hint="eastAsia"/>
          <w:color w:val="auto"/>
        </w:rPr>
        <w:t>0.088t/a</w:t>
      </w:r>
      <w:r w:rsidRPr="00C53868">
        <w:rPr>
          <w:rFonts w:ascii="Calibri" w:hAnsi="Calibri" w:hint="eastAsia"/>
          <w:color w:val="auto"/>
        </w:rPr>
        <w:t>、</w:t>
      </w:r>
      <w:r w:rsidRPr="00C53868">
        <w:rPr>
          <w:rFonts w:ascii="Calibri" w:hAnsi="Calibri" w:hint="eastAsia"/>
          <w:color w:val="auto"/>
        </w:rPr>
        <w:t>SO</w:t>
      </w:r>
      <w:r w:rsidRPr="00C53868">
        <w:rPr>
          <w:rFonts w:ascii="Calibri" w:hAnsi="Calibri" w:hint="eastAsia"/>
          <w:color w:val="auto"/>
          <w:vertAlign w:val="subscript"/>
        </w:rPr>
        <w:t>2</w:t>
      </w:r>
      <w:r w:rsidRPr="00C53868">
        <w:rPr>
          <w:rFonts w:ascii="Calibri" w:hAnsi="Calibri" w:hint="eastAsia"/>
          <w:color w:val="auto"/>
        </w:rPr>
        <w:t>：</w:t>
      </w:r>
      <w:r w:rsidRPr="00C53868">
        <w:rPr>
          <w:rFonts w:ascii="Calibri" w:hAnsi="Calibri" w:hint="eastAsia"/>
          <w:color w:val="auto"/>
        </w:rPr>
        <w:t>0.134t/a</w:t>
      </w:r>
      <w:r w:rsidRPr="00C53868">
        <w:rPr>
          <w:rFonts w:ascii="Calibri" w:hAnsi="Calibri" w:hint="eastAsia"/>
          <w:color w:val="auto"/>
        </w:rPr>
        <w:t>、</w:t>
      </w:r>
      <w:r w:rsidRPr="00C53868">
        <w:rPr>
          <w:rFonts w:ascii="Calibri" w:hAnsi="Calibri" w:hint="eastAsia"/>
          <w:color w:val="auto"/>
        </w:rPr>
        <w:t>NOx</w:t>
      </w:r>
      <w:r w:rsidRPr="00C53868">
        <w:rPr>
          <w:rFonts w:ascii="Calibri" w:hAnsi="Calibri" w:hint="eastAsia"/>
          <w:color w:val="auto"/>
        </w:rPr>
        <w:t>：</w:t>
      </w:r>
      <w:r w:rsidRPr="00C53868">
        <w:rPr>
          <w:rFonts w:ascii="Calibri" w:hAnsi="Calibri" w:hint="eastAsia"/>
          <w:color w:val="auto"/>
        </w:rPr>
        <w:t>1.02t/a</w:t>
      </w:r>
      <w:r w:rsidRPr="00C53868">
        <w:rPr>
          <w:rFonts w:ascii="Calibri" w:hAnsi="Calibri" w:hint="eastAsia"/>
          <w:color w:val="auto"/>
        </w:rPr>
        <w:t>替代需要。</w:t>
      </w:r>
      <w:r>
        <w:rPr>
          <w:rFonts w:ascii="Calibri" w:hAnsi="Calibri" w:hint="eastAsia"/>
          <w:color w:val="auto"/>
        </w:rPr>
        <w:t>叶县</w:t>
      </w:r>
      <w:r w:rsidRPr="00C53868">
        <w:rPr>
          <w:rFonts w:ascii="Calibri" w:hAnsi="Calibri" w:hint="eastAsia"/>
          <w:color w:val="auto"/>
        </w:rPr>
        <w:t>河南力帆树民车业有限公司源头替代削减量余量</w:t>
      </w:r>
      <w:r w:rsidRPr="00C53868">
        <w:rPr>
          <w:rFonts w:ascii="Calibri" w:hAnsi="Calibri" w:hint="eastAsia"/>
          <w:color w:val="auto"/>
        </w:rPr>
        <w:t>VOCs</w:t>
      </w:r>
      <w:r w:rsidRPr="00C53868">
        <w:rPr>
          <w:rFonts w:ascii="Calibri" w:hAnsi="Calibri" w:hint="eastAsia"/>
          <w:color w:val="auto"/>
        </w:rPr>
        <w:t>：</w:t>
      </w:r>
      <w:r w:rsidRPr="00C53868">
        <w:rPr>
          <w:rFonts w:ascii="Calibri" w:hAnsi="Calibri" w:hint="eastAsia"/>
          <w:color w:val="auto"/>
        </w:rPr>
        <w:t>267.008t/a</w:t>
      </w:r>
      <w:r w:rsidRPr="00C53868">
        <w:rPr>
          <w:rFonts w:ascii="Calibri" w:hAnsi="Calibri" w:hint="eastAsia"/>
          <w:color w:val="auto"/>
        </w:rPr>
        <w:t>，可满足该项目非甲烷总烃：</w:t>
      </w:r>
      <w:r w:rsidRPr="00C53868">
        <w:rPr>
          <w:rFonts w:ascii="Calibri" w:hAnsi="Calibri" w:hint="eastAsia"/>
          <w:color w:val="auto"/>
        </w:rPr>
        <w:t>1.08t/a</w:t>
      </w:r>
      <w:r w:rsidRPr="00C53868">
        <w:rPr>
          <w:rFonts w:ascii="Calibri" w:hAnsi="Calibri" w:hint="eastAsia"/>
          <w:color w:val="auto"/>
        </w:rPr>
        <w:t>替代需要。</w:t>
      </w:r>
    </w:p>
    <w:p w14:paraId="29DEDE22" w14:textId="77777777" w:rsidR="00256D61" w:rsidRPr="00A964FF" w:rsidRDefault="00256D61" w:rsidP="00B57A09">
      <w:pPr>
        <w:pStyle w:val="00"/>
        <w:rPr>
          <w:rFonts w:ascii="Calibri" w:hAnsi="Calibri"/>
          <w:b/>
          <w:noProof/>
          <w:color w:val="auto"/>
        </w:rPr>
      </w:pPr>
      <w:r w:rsidRPr="003B2345">
        <w:rPr>
          <w:rFonts w:ascii="Calibri" w:hAnsi="Calibri" w:hint="eastAsia"/>
          <w:b/>
          <w:noProof/>
          <w:color w:val="auto"/>
        </w:rPr>
        <w:lastRenderedPageBreak/>
        <w:t>7</w:t>
      </w:r>
      <w:r w:rsidR="00B57A09" w:rsidRPr="003B2345">
        <w:rPr>
          <w:rFonts w:ascii="Calibri" w:hAnsi="Calibri" w:hint="eastAsia"/>
          <w:b/>
          <w:noProof/>
          <w:color w:val="auto"/>
        </w:rPr>
        <w:t>、</w:t>
      </w:r>
      <w:r w:rsidRPr="003B2345">
        <w:rPr>
          <w:rFonts w:ascii="Calibri" w:hAnsi="Calibri" w:hint="eastAsia"/>
          <w:b/>
          <w:noProof/>
          <w:color w:val="auto"/>
        </w:rPr>
        <w:t>排污口规范化设置</w:t>
      </w:r>
    </w:p>
    <w:p w14:paraId="65FC8E5F" w14:textId="77777777" w:rsidR="00AA575B" w:rsidRPr="00A964FF" w:rsidRDefault="00256D61" w:rsidP="00AA575B">
      <w:pPr>
        <w:pStyle w:val="00"/>
        <w:rPr>
          <w:rFonts w:ascii="Calibri" w:hAnsi="Calibri"/>
          <w:color w:val="auto"/>
        </w:rPr>
      </w:pPr>
      <w:r w:rsidRPr="00A964FF">
        <w:rPr>
          <w:rFonts w:ascii="Calibri" w:hAnsi="Calibri" w:hint="eastAsia"/>
          <w:color w:val="auto"/>
        </w:rPr>
        <w:t>根据国家对于排污口规范化设置的要求，废气、废水排放口应进行规范化设计，具备采样、监测条件，排放口附近树立环保图形标志牌。排污口应符合“一明显、二合理、三便于”的要求，即环保标志明显，排污口设置合理，排污去向合理，便于采集样品，便于监测计量，便于公众监督管理。按照国家环境保护部制定的《〈环境保护图形标志〉实施细则（试行）》（环监【</w:t>
      </w:r>
      <w:r w:rsidRPr="00A964FF">
        <w:rPr>
          <w:rFonts w:ascii="Calibri" w:hAnsi="Calibri" w:hint="eastAsia"/>
          <w:color w:val="auto"/>
        </w:rPr>
        <w:t>1996</w:t>
      </w:r>
      <w:r w:rsidRPr="00A964FF">
        <w:rPr>
          <w:rFonts w:ascii="Calibri" w:hAnsi="Calibri" w:hint="eastAsia"/>
          <w:color w:val="auto"/>
        </w:rPr>
        <w:t>】</w:t>
      </w:r>
      <w:r w:rsidRPr="00A964FF">
        <w:rPr>
          <w:rFonts w:ascii="Calibri" w:hAnsi="Calibri" w:hint="eastAsia"/>
          <w:color w:val="auto"/>
        </w:rPr>
        <w:t>463</w:t>
      </w:r>
      <w:r w:rsidRPr="00A964FF">
        <w:rPr>
          <w:rFonts w:ascii="Calibri" w:hAnsi="Calibri" w:hint="eastAsia"/>
          <w:color w:val="auto"/>
        </w:rPr>
        <w:t>号）的规定，在各排污口设立相应的环境保护图形标志牌。</w:t>
      </w:r>
    </w:p>
    <w:p w14:paraId="24EED26B" w14:textId="77777777" w:rsidR="00256D61" w:rsidRPr="00A964FF" w:rsidRDefault="00B57A09" w:rsidP="00AA575B">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1</w:t>
      </w:r>
      <w:r w:rsidRPr="00A964FF">
        <w:rPr>
          <w:rFonts w:ascii="Calibri" w:hAnsi="Calibri" w:hint="eastAsia"/>
          <w:color w:val="auto"/>
        </w:rPr>
        <w:t>）</w:t>
      </w:r>
      <w:r w:rsidR="00256D61" w:rsidRPr="00A964FF">
        <w:rPr>
          <w:rFonts w:ascii="Calibri" w:hAnsi="Calibri" w:hint="eastAsia"/>
          <w:color w:val="auto"/>
        </w:rPr>
        <w:t>污水排放口规范化</w:t>
      </w:r>
    </w:p>
    <w:p w14:paraId="790B08AB" w14:textId="77777777" w:rsidR="00B57A09" w:rsidRPr="00A964FF" w:rsidRDefault="00B57A09" w:rsidP="00B57A09">
      <w:pPr>
        <w:pStyle w:val="00"/>
        <w:rPr>
          <w:rFonts w:ascii="Calibri" w:hAnsi="Calibri"/>
          <w:color w:val="auto"/>
        </w:rPr>
      </w:pPr>
      <w:r w:rsidRPr="00A964FF">
        <w:rPr>
          <w:rFonts w:ascii="Calibri" w:hAnsi="Calibri" w:hint="eastAsia"/>
          <w:color w:val="auto"/>
        </w:rPr>
        <w:t>①</w:t>
      </w:r>
      <w:r w:rsidRPr="00A964FF">
        <w:rPr>
          <w:rFonts w:ascii="Calibri" w:hAnsi="Calibri" w:hint="eastAsia"/>
          <w:color w:val="auto"/>
        </w:rPr>
        <w:t xml:space="preserve"> </w:t>
      </w:r>
      <w:r w:rsidRPr="00A964FF">
        <w:rPr>
          <w:rFonts w:ascii="Calibri" w:hAnsi="Calibri" w:hint="eastAsia"/>
          <w:color w:val="auto"/>
        </w:rPr>
        <w:t>按照清污分流、雨污分流的原则，只设“污水”和“雨水”排放口各一个。</w:t>
      </w:r>
    </w:p>
    <w:p w14:paraId="375871FF" w14:textId="77777777" w:rsidR="00B57A09" w:rsidRPr="00A964FF" w:rsidRDefault="00B57A09" w:rsidP="00B57A09">
      <w:pPr>
        <w:pStyle w:val="00"/>
        <w:rPr>
          <w:rFonts w:ascii="Calibri" w:hAnsi="Calibri"/>
          <w:color w:val="auto"/>
        </w:rPr>
      </w:pPr>
      <w:r w:rsidRPr="00A964FF">
        <w:rPr>
          <w:rFonts w:ascii="Calibri" w:hAnsi="Calibri" w:hint="eastAsia"/>
          <w:color w:val="auto"/>
        </w:rPr>
        <w:t>②</w:t>
      </w:r>
      <w:r w:rsidRPr="00A964FF">
        <w:rPr>
          <w:rFonts w:ascii="Calibri" w:hAnsi="Calibri" w:hint="eastAsia"/>
          <w:color w:val="auto"/>
        </w:rPr>
        <w:t xml:space="preserve"> </w:t>
      </w:r>
      <w:r w:rsidRPr="00A964FF">
        <w:rPr>
          <w:rFonts w:ascii="Calibri" w:hAnsi="Calibri" w:hint="eastAsia"/>
          <w:color w:val="auto"/>
        </w:rPr>
        <w:t>污水排放口位置应根据实际地形和排放污染物的种类情况确定，原则应设置一段长度不小于</w:t>
      </w:r>
      <w:r w:rsidRPr="00A964FF">
        <w:rPr>
          <w:rFonts w:ascii="Calibri" w:hAnsi="Calibri" w:hint="eastAsia"/>
          <w:color w:val="auto"/>
        </w:rPr>
        <w:t>1m</w:t>
      </w:r>
      <w:r w:rsidRPr="00A964FF">
        <w:rPr>
          <w:rFonts w:ascii="Calibri" w:hAnsi="Calibri" w:hint="eastAsia"/>
          <w:color w:val="auto"/>
        </w:rPr>
        <w:t>长的明渠。</w:t>
      </w:r>
    </w:p>
    <w:p w14:paraId="571A1070" w14:textId="77777777" w:rsidR="00B57A09" w:rsidRPr="00A964FF" w:rsidRDefault="00B57A09" w:rsidP="00B57A09">
      <w:pPr>
        <w:pStyle w:val="00"/>
        <w:rPr>
          <w:rFonts w:ascii="Calibri" w:hAnsi="Calibri"/>
          <w:color w:val="auto"/>
        </w:rPr>
      </w:pPr>
      <w:r w:rsidRPr="00A964FF">
        <w:rPr>
          <w:rFonts w:ascii="Calibri" w:hAnsi="Calibri" w:hint="eastAsia"/>
          <w:color w:val="auto"/>
        </w:rPr>
        <w:t>③</w:t>
      </w:r>
      <w:r w:rsidRPr="00A964FF">
        <w:rPr>
          <w:rFonts w:ascii="Calibri" w:hAnsi="Calibri" w:hint="eastAsia"/>
          <w:color w:val="auto"/>
        </w:rPr>
        <w:t xml:space="preserve"> </w:t>
      </w:r>
      <w:r w:rsidRPr="00A964FF">
        <w:rPr>
          <w:rFonts w:ascii="Calibri" w:hAnsi="Calibri" w:hint="eastAsia"/>
          <w:color w:val="auto"/>
        </w:rPr>
        <w:t>排污口须满足采样监测要求。经环保部门批准允许用暗管或暗渠排污的，要设置能满足采样条件的采样井或采样渠。压力管道式排污口应安装取样阀门。</w:t>
      </w:r>
    </w:p>
    <w:p w14:paraId="1DF5797F" w14:textId="77777777" w:rsidR="00B57A09" w:rsidRPr="00A964FF" w:rsidRDefault="00B57A09" w:rsidP="00B57A09">
      <w:pPr>
        <w:pStyle w:val="00"/>
        <w:rPr>
          <w:rFonts w:ascii="Calibri" w:hAnsi="Calibri"/>
          <w:color w:val="auto"/>
        </w:rPr>
      </w:pPr>
      <w:r w:rsidRPr="00A964FF">
        <w:rPr>
          <w:rFonts w:ascii="Calibri" w:hAnsi="Calibri" w:hint="eastAsia"/>
          <w:color w:val="auto"/>
        </w:rPr>
        <w:t>本项目选址位于平顶山尼龙新材料产业集聚区，项目营运后全厂设置</w:t>
      </w:r>
      <w:r w:rsidRPr="00A964FF">
        <w:rPr>
          <w:rFonts w:ascii="Calibri" w:hAnsi="Calibri" w:hint="eastAsia"/>
          <w:color w:val="auto"/>
        </w:rPr>
        <w:t>1</w:t>
      </w:r>
      <w:r w:rsidRPr="00A964FF">
        <w:rPr>
          <w:rFonts w:ascii="Calibri" w:hAnsi="Calibri" w:hint="eastAsia"/>
          <w:color w:val="auto"/>
        </w:rPr>
        <w:t>个废水排放口，</w:t>
      </w:r>
      <w:r w:rsidRPr="00A964FF">
        <w:rPr>
          <w:rFonts w:ascii="Calibri" w:hAnsi="Calibri" w:hint="eastAsia"/>
          <w:color w:val="auto"/>
        </w:rPr>
        <w:t>1</w:t>
      </w:r>
      <w:r w:rsidRPr="00A964FF">
        <w:rPr>
          <w:rFonts w:ascii="Calibri" w:hAnsi="Calibri" w:hint="eastAsia"/>
          <w:color w:val="auto"/>
        </w:rPr>
        <w:t>个雨水排放口。</w:t>
      </w:r>
    </w:p>
    <w:p w14:paraId="6D42CAAF" w14:textId="77777777" w:rsidR="00256D61" w:rsidRPr="00A964FF" w:rsidRDefault="00B57A09" w:rsidP="00C12CBB">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2</w:t>
      </w:r>
      <w:r w:rsidRPr="00A964FF">
        <w:rPr>
          <w:rFonts w:ascii="Calibri" w:hAnsi="Calibri" w:hint="eastAsia"/>
          <w:color w:val="auto"/>
        </w:rPr>
        <w:t>）</w:t>
      </w:r>
      <w:r w:rsidR="00256D61" w:rsidRPr="00A964FF">
        <w:rPr>
          <w:rFonts w:ascii="Calibri" w:hAnsi="Calibri" w:hint="eastAsia"/>
          <w:color w:val="auto"/>
        </w:rPr>
        <w:t>废气排放口规范化设置</w:t>
      </w:r>
    </w:p>
    <w:p w14:paraId="36669BB4" w14:textId="77777777" w:rsidR="00B57A09" w:rsidRPr="00A964FF" w:rsidRDefault="00B57A09" w:rsidP="00B57A09">
      <w:pPr>
        <w:pStyle w:val="00"/>
        <w:rPr>
          <w:rFonts w:ascii="Calibri" w:hAnsi="Calibri"/>
          <w:color w:val="auto"/>
        </w:rPr>
      </w:pPr>
      <w:r w:rsidRPr="00A964FF">
        <w:rPr>
          <w:rFonts w:ascii="Calibri" w:hAnsi="Calibri" w:hint="eastAsia"/>
          <w:color w:val="auto"/>
        </w:rPr>
        <w:t>①</w:t>
      </w:r>
      <w:r w:rsidRPr="00A964FF">
        <w:rPr>
          <w:rFonts w:ascii="Calibri" w:hAnsi="Calibri" w:hint="eastAsia"/>
          <w:color w:val="auto"/>
        </w:rPr>
        <w:t xml:space="preserve"> </w:t>
      </w:r>
      <w:r w:rsidRPr="00A964FF">
        <w:rPr>
          <w:rFonts w:ascii="Calibri" w:hAnsi="Calibri" w:hint="eastAsia"/>
          <w:color w:val="auto"/>
        </w:rPr>
        <w:t>排放同类污染物的两个或两个以上的排污口（不论其是否属同一生产设备），在不影响生产、技术上可行的条件下，应合并成一个排污口。</w:t>
      </w:r>
    </w:p>
    <w:p w14:paraId="1970133F" w14:textId="77777777" w:rsidR="00B57A09" w:rsidRPr="00A964FF" w:rsidRDefault="00B57A09" w:rsidP="00B57A09">
      <w:pPr>
        <w:pStyle w:val="00"/>
        <w:rPr>
          <w:rFonts w:ascii="Calibri" w:hAnsi="Calibri"/>
          <w:color w:val="auto"/>
        </w:rPr>
      </w:pPr>
      <w:r w:rsidRPr="00A964FF">
        <w:rPr>
          <w:rFonts w:ascii="Calibri" w:hAnsi="Calibri" w:hint="eastAsia"/>
          <w:color w:val="auto"/>
        </w:rPr>
        <w:t>②</w:t>
      </w:r>
      <w:r w:rsidRPr="00A964FF">
        <w:rPr>
          <w:rFonts w:ascii="Calibri" w:hAnsi="Calibri" w:hint="eastAsia"/>
          <w:color w:val="auto"/>
        </w:rPr>
        <w:t xml:space="preserve"> </w:t>
      </w:r>
      <w:r w:rsidRPr="00A964FF">
        <w:rPr>
          <w:rFonts w:ascii="Calibri" w:hAnsi="Calibri" w:hint="eastAsia"/>
          <w:color w:val="auto"/>
        </w:rPr>
        <w:t>有组织排放废气的排气筒（烟囱）高度应符合国家大气污染物综合排放标准的有关规定。</w:t>
      </w:r>
    </w:p>
    <w:p w14:paraId="7B9F1CF8" w14:textId="77777777" w:rsidR="00B57A09" w:rsidRPr="00A964FF" w:rsidRDefault="00B57A09" w:rsidP="00B57A09">
      <w:pPr>
        <w:pStyle w:val="00"/>
        <w:rPr>
          <w:rFonts w:ascii="Calibri" w:hAnsi="Calibri"/>
          <w:color w:val="auto"/>
        </w:rPr>
      </w:pPr>
      <w:r w:rsidRPr="00A964FF">
        <w:rPr>
          <w:rFonts w:ascii="Calibri" w:hAnsi="Calibri" w:hint="eastAsia"/>
          <w:color w:val="auto"/>
        </w:rPr>
        <w:t>③</w:t>
      </w:r>
      <w:r w:rsidRPr="00A964FF">
        <w:rPr>
          <w:rFonts w:ascii="Calibri" w:hAnsi="Calibri" w:hint="eastAsia"/>
          <w:color w:val="auto"/>
        </w:rPr>
        <w:t xml:space="preserve"> </w:t>
      </w:r>
      <w:r w:rsidRPr="00A964FF">
        <w:rPr>
          <w:rFonts w:ascii="Calibri" w:hAnsi="Calibri" w:hint="eastAsia"/>
          <w:color w:val="auto"/>
        </w:rPr>
        <w:t>排气筒（烟囱）应设置便于采样、监测的采样口和采样监测平台。有净化设施的，应在其进出口分别设置采样口及采样监测平台。采样孔、点数目和位置应按《固定污染源排气中颗粒物测定与气态污染物采样方法》（</w:t>
      </w:r>
      <w:r w:rsidRPr="00A964FF">
        <w:rPr>
          <w:rFonts w:ascii="Calibri" w:hAnsi="Calibri" w:hint="eastAsia"/>
          <w:color w:val="auto"/>
        </w:rPr>
        <w:t>GB/T16157-1996</w:t>
      </w:r>
      <w:r w:rsidRPr="00A964FF">
        <w:rPr>
          <w:rFonts w:ascii="Calibri" w:hAnsi="Calibri" w:hint="eastAsia"/>
          <w:color w:val="auto"/>
        </w:rPr>
        <w:t>）和《污染源监测技术规范》的规定设置。采样口位置无法满足规定要求的，必须报环保部门认可。</w:t>
      </w:r>
    </w:p>
    <w:p w14:paraId="22274211" w14:textId="77777777" w:rsidR="00B57A09" w:rsidRPr="00A964FF" w:rsidRDefault="00B57A09" w:rsidP="00B57A09">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3</w:t>
      </w:r>
      <w:r w:rsidRPr="00A964FF">
        <w:rPr>
          <w:rFonts w:ascii="Calibri" w:hAnsi="Calibri" w:hint="eastAsia"/>
          <w:color w:val="auto"/>
        </w:rPr>
        <w:t>）固体废物贮存（处置）场所规范化设置</w:t>
      </w:r>
    </w:p>
    <w:p w14:paraId="571E5646" w14:textId="77777777" w:rsidR="00B57A09" w:rsidRPr="00A964FF" w:rsidRDefault="00B57A09" w:rsidP="00B57A09">
      <w:pPr>
        <w:pStyle w:val="00"/>
        <w:rPr>
          <w:rFonts w:ascii="Calibri" w:hAnsi="Calibri"/>
          <w:color w:val="auto"/>
        </w:rPr>
      </w:pPr>
      <w:r w:rsidRPr="00A964FF">
        <w:rPr>
          <w:rFonts w:ascii="Calibri" w:hAnsi="Calibri" w:hint="eastAsia"/>
          <w:color w:val="auto"/>
        </w:rPr>
        <w:lastRenderedPageBreak/>
        <w:t>产生或处置固体废物的单位的固体废物贮存处置场所应符合</w:t>
      </w:r>
      <w:r w:rsidR="00333928" w:rsidRPr="00A964FF">
        <w:rPr>
          <w:rFonts w:ascii="Calibri" w:hint="eastAsia"/>
          <w:bCs/>
          <w:color w:val="auto"/>
        </w:rPr>
        <w:t>《一般工业固体废物贮存和填埋污染控制标准》（</w:t>
      </w:r>
      <w:r w:rsidR="00333928" w:rsidRPr="00A964FF">
        <w:rPr>
          <w:rFonts w:ascii="Calibri" w:hint="eastAsia"/>
          <w:bCs/>
          <w:color w:val="auto"/>
        </w:rPr>
        <w:t>GB18599-2020</w:t>
      </w:r>
      <w:r w:rsidR="00333928" w:rsidRPr="00A964FF">
        <w:rPr>
          <w:rFonts w:ascii="Calibri" w:hint="eastAsia"/>
          <w:bCs/>
          <w:color w:val="auto"/>
        </w:rPr>
        <w:t>）</w:t>
      </w:r>
      <w:r w:rsidRPr="00A964FF">
        <w:rPr>
          <w:rFonts w:ascii="Calibri" w:hAnsi="Calibri" w:hint="eastAsia"/>
          <w:color w:val="auto"/>
        </w:rPr>
        <w:t>或《危险废物贮存污染控制标准》（</w:t>
      </w:r>
      <w:r w:rsidRPr="00A964FF">
        <w:rPr>
          <w:rFonts w:ascii="Calibri" w:hAnsi="Calibri" w:hint="eastAsia"/>
          <w:color w:val="auto"/>
        </w:rPr>
        <w:t>GB18597-2001</w:t>
      </w:r>
      <w:r w:rsidRPr="00A964FF">
        <w:rPr>
          <w:rFonts w:ascii="Calibri" w:hAnsi="Calibri" w:hint="eastAsia"/>
          <w:color w:val="auto"/>
        </w:rPr>
        <w:t>）及修改单的要求。</w:t>
      </w:r>
    </w:p>
    <w:p w14:paraId="41E09BF0" w14:textId="77777777" w:rsidR="00B57A09" w:rsidRPr="00A964FF" w:rsidRDefault="00B57A09" w:rsidP="00B57A09">
      <w:pPr>
        <w:pStyle w:val="00"/>
        <w:rPr>
          <w:rFonts w:ascii="Calibri" w:hAnsi="Calibri"/>
          <w:color w:val="auto"/>
        </w:rPr>
      </w:pPr>
      <w:r w:rsidRPr="00A964FF">
        <w:rPr>
          <w:rFonts w:ascii="Calibri" w:hAnsi="Calibri" w:hint="eastAsia"/>
          <w:color w:val="auto"/>
        </w:rPr>
        <w:t>固体废物堆放场所，必须有防火、防腐蚀、防流失、防渗等措施，并应设置标志牌。建设项目周围防火距离范围内必须有明显的防火标志。</w:t>
      </w:r>
    </w:p>
    <w:p w14:paraId="60CB1E3A" w14:textId="77777777" w:rsidR="00B57A09" w:rsidRPr="00A964FF" w:rsidRDefault="00B57A09" w:rsidP="00B57A09">
      <w:pPr>
        <w:pStyle w:val="00"/>
        <w:rPr>
          <w:rFonts w:ascii="Calibri" w:hAnsi="Calibri"/>
          <w:color w:val="auto"/>
        </w:rPr>
      </w:pPr>
      <w:bookmarkStart w:id="95" w:name="_Toc484097061"/>
      <w:r w:rsidRPr="00A964FF">
        <w:rPr>
          <w:rFonts w:ascii="Calibri" w:hAnsi="Calibri" w:hint="eastAsia"/>
          <w:color w:val="auto"/>
        </w:rPr>
        <w:t>（</w:t>
      </w:r>
      <w:r w:rsidRPr="00A964FF">
        <w:rPr>
          <w:rFonts w:ascii="Calibri" w:hAnsi="Calibri" w:hint="eastAsia"/>
          <w:color w:val="auto"/>
        </w:rPr>
        <w:t>4</w:t>
      </w:r>
      <w:r w:rsidRPr="00A964FF">
        <w:rPr>
          <w:rFonts w:ascii="Calibri" w:hAnsi="Calibri" w:hint="eastAsia"/>
          <w:color w:val="auto"/>
        </w:rPr>
        <w:t>）排污口标志牌设置与制作</w:t>
      </w:r>
    </w:p>
    <w:p w14:paraId="6B538151" w14:textId="77777777" w:rsidR="00B57A09" w:rsidRPr="00A964FF" w:rsidRDefault="00B57A09" w:rsidP="00B57A09">
      <w:pPr>
        <w:pStyle w:val="00"/>
        <w:rPr>
          <w:rFonts w:ascii="Calibri" w:hAnsi="Calibri"/>
          <w:color w:val="auto"/>
        </w:rPr>
      </w:pPr>
      <w:r w:rsidRPr="00A964FF">
        <w:rPr>
          <w:rFonts w:ascii="Calibri" w:hAnsi="Calibri" w:hint="eastAsia"/>
          <w:color w:val="auto"/>
        </w:rPr>
        <w:t>1</w:t>
      </w:r>
      <w:r w:rsidRPr="00A964FF">
        <w:rPr>
          <w:rFonts w:ascii="Calibri" w:hAnsi="Calibri" w:hint="eastAsia"/>
          <w:color w:val="auto"/>
        </w:rPr>
        <w:t>）排污口标志设置的基本要求。</w:t>
      </w:r>
    </w:p>
    <w:p w14:paraId="7D94EFFE" w14:textId="77777777" w:rsidR="00B57A09" w:rsidRPr="00A964FF" w:rsidRDefault="00B57A09" w:rsidP="00B57A09">
      <w:pPr>
        <w:pStyle w:val="00"/>
        <w:rPr>
          <w:rFonts w:ascii="Calibri" w:hAnsi="Calibri"/>
          <w:color w:val="auto"/>
        </w:rPr>
      </w:pPr>
      <w:r w:rsidRPr="00A964FF">
        <w:rPr>
          <w:rFonts w:ascii="Calibri" w:hAnsi="Calibri" w:hint="eastAsia"/>
          <w:color w:val="auto"/>
        </w:rPr>
        <w:t>①</w:t>
      </w:r>
      <w:r w:rsidRPr="00A964FF">
        <w:rPr>
          <w:rFonts w:ascii="Calibri" w:hAnsi="Calibri" w:hint="eastAsia"/>
          <w:color w:val="auto"/>
        </w:rPr>
        <w:t xml:space="preserve"> </w:t>
      </w:r>
      <w:r w:rsidRPr="00A964FF">
        <w:rPr>
          <w:rFonts w:ascii="Calibri" w:hAnsi="Calibri" w:hint="eastAsia"/>
          <w:color w:val="auto"/>
        </w:rPr>
        <w:t>一切排污者的排污口（源）和固体废物贮存、处置场所，必须按照国家标准《环境保护图形标志》（</w:t>
      </w:r>
      <w:r w:rsidRPr="00A964FF">
        <w:rPr>
          <w:rFonts w:ascii="Calibri" w:hAnsi="Calibri" w:hint="eastAsia"/>
          <w:color w:val="auto"/>
        </w:rPr>
        <w:t>GB15562.1-1995</w:t>
      </w:r>
      <w:r w:rsidRPr="00A964FF">
        <w:rPr>
          <w:rFonts w:ascii="Calibri" w:hAnsi="Calibri" w:hint="eastAsia"/>
          <w:color w:val="auto"/>
        </w:rPr>
        <w:t>、</w:t>
      </w:r>
      <w:r w:rsidRPr="00A964FF">
        <w:rPr>
          <w:rFonts w:ascii="Calibri" w:hAnsi="Calibri" w:hint="eastAsia"/>
          <w:color w:val="auto"/>
        </w:rPr>
        <w:t>GB15562.2-1995</w:t>
      </w:r>
      <w:r w:rsidRPr="00A964FF">
        <w:rPr>
          <w:rFonts w:ascii="Calibri" w:hAnsi="Calibri" w:hint="eastAsia"/>
          <w:color w:val="auto"/>
        </w:rPr>
        <w:t>）的规定，设置与之相适应的环境保护图形标志牌。标志牌按标准制作，各地可按管理需求设置辅助内容，辅助内容由当地环保部门规定。</w:t>
      </w:r>
    </w:p>
    <w:p w14:paraId="55C7CEF2" w14:textId="77777777" w:rsidR="00B57A09" w:rsidRPr="00A964FF" w:rsidRDefault="00B57A09" w:rsidP="00B57A09">
      <w:pPr>
        <w:pStyle w:val="00"/>
        <w:rPr>
          <w:rFonts w:ascii="Calibri" w:hAnsi="Calibri"/>
          <w:color w:val="auto"/>
        </w:rPr>
      </w:pPr>
      <w:r w:rsidRPr="00A964FF">
        <w:rPr>
          <w:rFonts w:ascii="Calibri" w:hAnsi="Calibri" w:hint="eastAsia"/>
          <w:color w:val="auto"/>
        </w:rPr>
        <w:t>②</w:t>
      </w:r>
      <w:r w:rsidRPr="00A964FF">
        <w:rPr>
          <w:rFonts w:ascii="Calibri" w:hAnsi="Calibri" w:hint="eastAsia"/>
          <w:color w:val="auto"/>
        </w:rPr>
        <w:t xml:space="preserve"> </w:t>
      </w:r>
      <w:r w:rsidRPr="00A964FF">
        <w:rPr>
          <w:rFonts w:ascii="Calibri" w:hAnsi="Calibri" w:hint="eastAsia"/>
          <w:color w:val="auto"/>
        </w:rPr>
        <w:t>环境保护图形标志牌应设置在距排污口（源）及固体废物贮存（处置）场所或采样点较近且醒目处，并能长久保留。设置高度一般为：环境保护图形标志牌上缘距离地面</w:t>
      </w:r>
      <w:r w:rsidRPr="00A964FF">
        <w:rPr>
          <w:rFonts w:ascii="Calibri" w:hAnsi="Calibri" w:hint="eastAsia"/>
          <w:color w:val="auto"/>
        </w:rPr>
        <w:t>2m</w:t>
      </w:r>
      <w:r w:rsidRPr="00A964FF">
        <w:rPr>
          <w:rFonts w:ascii="Calibri" w:hAnsi="Calibri" w:hint="eastAsia"/>
          <w:color w:val="auto"/>
        </w:rPr>
        <w:t>。</w:t>
      </w:r>
    </w:p>
    <w:p w14:paraId="6D5AF480" w14:textId="77777777" w:rsidR="00B57A09" w:rsidRPr="00A964FF" w:rsidRDefault="00B57A09" w:rsidP="00B57A09">
      <w:pPr>
        <w:pStyle w:val="00"/>
        <w:rPr>
          <w:rFonts w:ascii="Calibri" w:hAnsi="Calibri"/>
          <w:color w:val="auto"/>
        </w:rPr>
      </w:pPr>
      <w:r w:rsidRPr="00A964FF">
        <w:rPr>
          <w:rFonts w:ascii="Calibri" w:hAnsi="Calibri" w:hint="eastAsia"/>
          <w:color w:val="auto"/>
        </w:rPr>
        <w:t>2</w:t>
      </w:r>
      <w:r w:rsidRPr="00A964FF">
        <w:rPr>
          <w:rFonts w:ascii="Calibri" w:hAnsi="Calibri" w:hint="eastAsia"/>
          <w:color w:val="auto"/>
        </w:rPr>
        <w:t>）排污口标志设置的特别要求</w:t>
      </w:r>
    </w:p>
    <w:p w14:paraId="5562C37E" w14:textId="77777777" w:rsidR="00B57A09" w:rsidRPr="00A964FF" w:rsidRDefault="00B57A09" w:rsidP="00B57A09">
      <w:pPr>
        <w:pStyle w:val="00"/>
        <w:rPr>
          <w:rFonts w:ascii="Calibri" w:hAnsi="Calibri"/>
          <w:color w:val="auto"/>
        </w:rPr>
      </w:pPr>
      <w:r w:rsidRPr="00A964FF">
        <w:rPr>
          <w:rFonts w:ascii="Calibri" w:hAnsi="Calibri" w:hint="eastAsia"/>
          <w:color w:val="auto"/>
        </w:rPr>
        <w:t>①</w:t>
      </w:r>
      <w:r w:rsidRPr="00A964FF">
        <w:rPr>
          <w:rFonts w:ascii="Calibri" w:hAnsi="Calibri" w:hint="eastAsia"/>
          <w:color w:val="auto"/>
        </w:rPr>
        <w:t xml:space="preserve"> </w:t>
      </w:r>
      <w:r w:rsidRPr="00A964FF">
        <w:rPr>
          <w:rFonts w:ascii="Calibri" w:hAnsi="Calibri" w:hint="eastAsia"/>
          <w:color w:val="auto"/>
        </w:rPr>
        <w:t>噪声排放源的标志牌应设置在距选定监测点较近且醒目处。固定噪声污染源对边界影响最大处，须按《工业企业厂界噪声测量方法》（</w:t>
      </w:r>
      <w:r w:rsidRPr="00A964FF">
        <w:rPr>
          <w:rFonts w:ascii="Calibri" w:hAnsi="Calibri" w:hint="eastAsia"/>
          <w:color w:val="auto"/>
        </w:rPr>
        <w:t>GB12349</w:t>
      </w:r>
      <w:r w:rsidRPr="00A964FF">
        <w:rPr>
          <w:rFonts w:ascii="Calibri" w:hAnsi="Calibri" w:hint="eastAsia"/>
          <w:color w:val="auto"/>
        </w:rPr>
        <w:t>）的规定，设置环境噪声监测点，并在该处附近醒目处设置环境保护图形标志牌。边界上有若干个在声环境中相对独立的固定噪声污染源，应分别设置环境噪声监测点和环境保护图形标志牌。</w:t>
      </w:r>
    </w:p>
    <w:p w14:paraId="48F28F51" w14:textId="77777777" w:rsidR="00B57A09" w:rsidRPr="00A964FF" w:rsidRDefault="00B57A09" w:rsidP="00B57A09">
      <w:pPr>
        <w:pStyle w:val="00"/>
        <w:rPr>
          <w:rFonts w:ascii="Calibri" w:hAnsi="Calibri"/>
          <w:color w:val="auto"/>
        </w:rPr>
      </w:pPr>
      <w:r w:rsidRPr="00A964FF">
        <w:rPr>
          <w:rFonts w:ascii="Calibri" w:hAnsi="Calibri" w:hint="eastAsia"/>
          <w:color w:val="auto"/>
        </w:rPr>
        <w:t>②</w:t>
      </w:r>
      <w:r w:rsidRPr="00A964FF">
        <w:rPr>
          <w:rFonts w:ascii="Calibri" w:hAnsi="Calibri" w:hint="eastAsia"/>
          <w:color w:val="auto"/>
        </w:rPr>
        <w:t xml:space="preserve"> </w:t>
      </w:r>
      <w:r w:rsidRPr="00A964FF">
        <w:rPr>
          <w:rFonts w:ascii="Calibri" w:hAnsi="Calibri" w:hint="eastAsia"/>
          <w:color w:val="auto"/>
        </w:rPr>
        <w:t>一般固体废物贮存（处置）场所占用土地面积面积大于</w:t>
      </w:r>
      <w:r w:rsidRPr="00A964FF">
        <w:rPr>
          <w:rFonts w:ascii="Calibri" w:hAnsi="Calibri" w:hint="eastAsia"/>
          <w:color w:val="auto"/>
        </w:rPr>
        <w:t>100m</w:t>
      </w:r>
      <w:r w:rsidRPr="00A964FF">
        <w:rPr>
          <w:rFonts w:ascii="Calibri" w:hAnsi="Calibri" w:hint="eastAsia"/>
          <w:color w:val="auto"/>
          <w:vertAlign w:val="superscript"/>
        </w:rPr>
        <w:t>2</w:t>
      </w:r>
      <w:r w:rsidRPr="00A964FF">
        <w:rPr>
          <w:rFonts w:ascii="Calibri" w:hAnsi="Calibri" w:hint="eastAsia"/>
          <w:color w:val="auto"/>
        </w:rPr>
        <w:t>、小于</w:t>
      </w:r>
      <w:r w:rsidRPr="00A964FF">
        <w:rPr>
          <w:rFonts w:ascii="Calibri" w:hAnsi="Calibri" w:hint="eastAsia"/>
          <w:color w:val="auto"/>
        </w:rPr>
        <w:t>1km</w:t>
      </w:r>
      <w:r w:rsidRPr="00A964FF">
        <w:rPr>
          <w:rFonts w:ascii="Calibri" w:hAnsi="Calibri" w:hint="eastAsia"/>
          <w:color w:val="auto"/>
          <w:vertAlign w:val="superscript"/>
        </w:rPr>
        <w:t>2</w:t>
      </w:r>
      <w:r w:rsidRPr="00A964FF">
        <w:rPr>
          <w:rFonts w:ascii="Calibri" w:hAnsi="Calibri" w:hint="eastAsia"/>
          <w:color w:val="auto"/>
        </w:rPr>
        <w:t>的，应在其边界主要路口设置标志牌。危险废物贮存（处置）场所，无论面积大小，其边界都应采用墙体或铁丝网封闭，并在其边界各进出路口设置标志牌。</w:t>
      </w:r>
    </w:p>
    <w:p w14:paraId="1C70E866" w14:textId="77777777" w:rsidR="0002141E" w:rsidRPr="0002141E" w:rsidRDefault="00B57A09" w:rsidP="0002141E">
      <w:pPr>
        <w:spacing w:line="520" w:lineRule="exact"/>
        <w:ind w:firstLineChars="200" w:firstLine="480"/>
        <w:rPr>
          <w:rFonts w:asciiTheme="minorHAnsi" w:hAnsiTheme="minorHAnsi"/>
          <w:color w:val="0D0D0D"/>
          <w:sz w:val="24"/>
        </w:rPr>
      </w:pPr>
      <w:r w:rsidRPr="0002141E">
        <w:rPr>
          <w:rFonts w:ascii="Calibri" w:hAnsi="Calibri" w:hint="eastAsia"/>
          <w:color w:val="auto"/>
          <w:sz w:val="24"/>
        </w:rPr>
        <w:t>③</w:t>
      </w:r>
      <w:r w:rsidRPr="0002141E">
        <w:rPr>
          <w:rFonts w:ascii="Calibri" w:hAnsi="Calibri" w:hint="eastAsia"/>
          <w:color w:val="auto"/>
          <w:sz w:val="24"/>
        </w:rPr>
        <w:t xml:space="preserve"> </w:t>
      </w:r>
      <w:r w:rsidRPr="0002141E">
        <w:rPr>
          <w:rFonts w:ascii="Calibri" w:hAnsi="Calibri" w:hint="eastAsia"/>
          <w:color w:val="auto"/>
          <w:sz w:val="24"/>
        </w:rPr>
        <w:t>一般性污染物排污口（源）或固体废物贮存、处置场所，设置提示性环境保护图形标志牌。排放剧毒、致癌物及对人体有严重危害物质的排污口（源）或危险废物贮存、处置场所，设置警告性环境保护图形标志牌。</w:t>
      </w:r>
      <w:r w:rsidR="0002141E" w:rsidRPr="0002141E">
        <w:rPr>
          <w:color w:val="0D0D0D"/>
          <w:sz w:val="24"/>
        </w:rPr>
        <w:t>环境保护图形标志的形状及颜</w:t>
      </w:r>
      <w:r w:rsidR="0002141E" w:rsidRPr="0002141E">
        <w:rPr>
          <w:rFonts w:asciiTheme="minorHAnsi" w:hAnsiTheme="minorHAnsi"/>
          <w:color w:val="0D0D0D"/>
          <w:sz w:val="24"/>
        </w:rPr>
        <w:lastRenderedPageBreak/>
        <w:t>色见表</w:t>
      </w:r>
      <w:r w:rsidR="0002141E" w:rsidRPr="0002141E">
        <w:rPr>
          <w:rFonts w:asciiTheme="minorHAnsi" w:hAnsiTheme="minorHAnsi"/>
          <w:color w:val="0D0D0D"/>
          <w:sz w:val="24"/>
        </w:rPr>
        <w:t>7.1-13</w:t>
      </w:r>
      <w:r w:rsidR="0002141E" w:rsidRPr="0002141E">
        <w:rPr>
          <w:rFonts w:asciiTheme="minorHAnsi" w:hAnsiTheme="minorHAnsi"/>
          <w:color w:val="0D0D0D"/>
          <w:sz w:val="24"/>
        </w:rPr>
        <w:t>，环境保护图形符号见表</w:t>
      </w:r>
      <w:r w:rsidR="0002141E" w:rsidRPr="0002141E">
        <w:rPr>
          <w:rFonts w:asciiTheme="minorHAnsi" w:hAnsiTheme="minorHAnsi"/>
          <w:color w:val="0D0D0D"/>
          <w:sz w:val="24"/>
        </w:rPr>
        <w:t>7.1-14</w:t>
      </w:r>
      <w:r w:rsidR="0002141E" w:rsidRPr="0002141E">
        <w:rPr>
          <w:rFonts w:asciiTheme="minorHAnsi" w:hAnsiTheme="minorHAnsi"/>
          <w:color w:val="0D0D0D"/>
          <w:sz w:val="24"/>
        </w:rPr>
        <w:t>。</w:t>
      </w:r>
    </w:p>
    <w:p w14:paraId="32905FF5" w14:textId="77777777" w:rsidR="0002141E" w:rsidRPr="006E7D95" w:rsidRDefault="0002141E" w:rsidP="0002141E">
      <w:pPr>
        <w:spacing w:line="520" w:lineRule="exact"/>
        <w:ind w:firstLineChars="200" w:firstLine="480"/>
        <w:jc w:val="center"/>
        <w:rPr>
          <w:rFonts w:eastAsia="黑体"/>
          <w:bCs/>
          <w:color w:val="0D0D0D"/>
          <w:sz w:val="24"/>
        </w:rPr>
      </w:pPr>
      <w:r w:rsidRPr="0002141E">
        <w:rPr>
          <w:rFonts w:asciiTheme="minorHAnsi" w:eastAsia="黑体" w:hAnsiTheme="minorHAnsi"/>
          <w:bCs/>
          <w:color w:val="0D0D0D"/>
          <w:sz w:val="24"/>
        </w:rPr>
        <w:t>表</w:t>
      </w:r>
      <w:r w:rsidRPr="0002141E">
        <w:rPr>
          <w:rFonts w:asciiTheme="minorHAnsi" w:hAnsiTheme="minorHAnsi"/>
          <w:color w:val="0D0D0D"/>
          <w:sz w:val="24"/>
        </w:rPr>
        <w:t>7.1-13</w:t>
      </w:r>
      <w:r w:rsidRPr="0002141E">
        <w:rPr>
          <w:rFonts w:asciiTheme="minorHAnsi" w:eastAsia="黑体" w:hAnsiTheme="minorHAnsi"/>
          <w:bCs/>
          <w:color w:val="0D0D0D"/>
          <w:sz w:val="24"/>
        </w:rPr>
        <w:t xml:space="preserve"> </w:t>
      </w:r>
      <w:r w:rsidRPr="006E7D95">
        <w:rPr>
          <w:rFonts w:eastAsia="黑体"/>
          <w:bCs/>
          <w:color w:val="0D0D0D"/>
          <w:sz w:val="24"/>
        </w:rPr>
        <w:t>环境保护图形标志的形状及颜色表</w:t>
      </w:r>
    </w:p>
    <w:tbl>
      <w:tblPr>
        <w:tblW w:w="86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78"/>
        <w:gridCol w:w="1557"/>
        <w:gridCol w:w="2378"/>
        <w:gridCol w:w="2378"/>
      </w:tblGrid>
      <w:tr w:rsidR="0002141E" w14:paraId="3DE8AE69" w14:textId="77777777" w:rsidTr="00D17E97">
        <w:trPr>
          <w:trHeight w:val="397"/>
          <w:jc w:val="center"/>
        </w:trPr>
        <w:tc>
          <w:tcPr>
            <w:tcW w:w="2378" w:type="dxa"/>
            <w:vAlign w:val="center"/>
          </w:tcPr>
          <w:p w14:paraId="67BDF7BE" w14:textId="77777777" w:rsidR="0002141E" w:rsidRPr="00C50ECF" w:rsidRDefault="0002141E" w:rsidP="0002141E">
            <w:pPr>
              <w:adjustRightInd w:val="0"/>
              <w:snapToGrid w:val="0"/>
              <w:jc w:val="center"/>
              <w:rPr>
                <w:color w:val="0D0D0D"/>
                <w:kern w:val="18"/>
                <w:szCs w:val="21"/>
              </w:rPr>
            </w:pPr>
            <w:r w:rsidRPr="00C50ECF">
              <w:rPr>
                <w:color w:val="0D0D0D"/>
                <w:kern w:val="18"/>
                <w:szCs w:val="21"/>
              </w:rPr>
              <w:t>标志名称</w:t>
            </w:r>
          </w:p>
        </w:tc>
        <w:tc>
          <w:tcPr>
            <w:tcW w:w="1557" w:type="dxa"/>
            <w:vAlign w:val="center"/>
          </w:tcPr>
          <w:p w14:paraId="7DD627A2" w14:textId="77777777" w:rsidR="0002141E" w:rsidRPr="00C50ECF" w:rsidRDefault="0002141E" w:rsidP="0002141E">
            <w:pPr>
              <w:adjustRightInd w:val="0"/>
              <w:snapToGrid w:val="0"/>
              <w:jc w:val="center"/>
              <w:rPr>
                <w:color w:val="0D0D0D"/>
                <w:kern w:val="18"/>
                <w:szCs w:val="21"/>
              </w:rPr>
            </w:pPr>
            <w:r w:rsidRPr="00C50ECF">
              <w:rPr>
                <w:color w:val="0D0D0D"/>
                <w:kern w:val="18"/>
                <w:szCs w:val="21"/>
              </w:rPr>
              <w:t>形状</w:t>
            </w:r>
          </w:p>
        </w:tc>
        <w:tc>
          <w:tcPr>
            <w:tcW w:w="2378" w:type="dxa"/>
            <w:vAlign w:val="center"/>
          </w:tcPr>
          <w:p w14:paraId="1BBB7C79" w14:textId="77777777" w:rsidR="0002141E" w:rsidRPr="00C50ECF" w:rsidRDefault="0002141E" w:rsidP="0002141E">
            <w:pPr>
              <w:adjustRightInd w:val="0"/>
              <w:snapToGrid w:val="0"/>
              <w:jc w:val="center"/>
              <w:rPr>
                <w:color w:val="0D0D0D"/>
                <w:kern w:val="18"/>
                <w:szCs w:val="21"/>
              </w:rPr>
            </w:pPr>
            <w:r w:rsidRPr="00C50ECF">
              <w:rPr>
                <w:color w:val="0D0D0D"/>
                <w:kern w:val="18"/>
                <w:szCs w:val="21"/>
              </w:rPr>
              <w:t>背景颜色</w:t>
            </w:r>
          </w:p>
        </w:tc>
        <w:tc>
          <w:tcPr>
            <w:tcW w:w="2378" w:type="dxa"/>
            <w:vAlign w:val="center"/>
          </w:tcPr>
          <w:p w14:paraId="02A2E2EF" w14:textId="77777777" w:rsidR="0002141E" w:rsidRPr="00C50ECF" w:rsidRDefault="0002141E" w:rsidP="0002141E">
            <w:pPr>
              <w:adjustRightInd w:val="0"/>
              <w:snapToGrid w:val="0"/>
              <w:jc w:val="center"/>
              <w:rPr>
                <w:color w:val="0D0D0D"/>
                <w:kern w:val="18"/>
                <w:szCs w:val="21"/>
              </w:rPr>
            </w:pPr>
            <w:r w:rsidRPr="00C50ECF">
              <w:rPr>
                <w:color w:val="0D0D0D"/>
                <w:kern w:val="18"/>
                <w:szCs w:val="21"/>
              </w:rPr>
              <w:t>图形颜色</w:t>
            </w:r>
          </w:p>
        </w:tc>
      </w:tr>
      <w:tr w:rsidR="0002141E" w14:paraId="69B36D6C" w14:textId="77777777" w:rsidTr="00D17E97">
        <w:trPr>
          <w:trHeight w:val="397"/>
          <w:jc w:val="center"/>
        </w:trPr>
        <w:tc>
          <w:tcPr>
            <w:tcW w:w="2378" w:type="dxa"/>
            <w:vAlign w:val="center"/>
          </w:tcPr>
          <w:p w14:paraId="2277C5D8"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警告标志</w:t>
            </w:r>
          </w:p>
        </w:tc>
        <w:tc>
          <w:tcPr>
            <w:tcW w:w="1557" w:type="dxa"/>
            <w:vAlign w:val="center"/>
          </w:tcPr>
          <w:p w14:paraId="67EDB5D3"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三角形边框</w:t>
            </w:r>
          </w:p>
        </w:tc>
        <w:tc>
          <w:tcPr>
            <w:tcW w:w="2378" w:type="dxa"/>
            <w:vAlign w:val="center"/>
          </w:tcPr>
          <w:p w14:paraId="25654EFF"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黄色</w:t>
            </w:r>
          </w:p>
        </w:tc>
        <w:tc>
          <w:tcPr>
            <w:tcW w:w="2378" w:type="dxa"/>
            <w:vAlign w:val="center"/>
          </w:tcPr>
          <w:p w14:paraId="3A946354"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黑色</w:t>
            </w:r>
          </w:p>
        </w:tc>
      </w:tr>
      <w:tr w:rsidR="0002141E" w14:paraId="3B8EA3AC" w14:textId="77777777" w:rsidTr="00D17E97">
        <w:trPr>
          <w:trHeight w:val="397"/>
          <w:jc w:val="center"/>
        </w:trPr>
        <w:tc>
          <w:tcPr>
            <w:tcW w:w="2378" w:type="dxa"/>
            <w:vAlign w:val="center"/>
          </w:tcPr>
          <w:p w14:paraId="2379B542"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提示标志</w:t>
            </w:r>
          </w:p>
        </w:tc>
        <w:tc>
          <w:tcPr>
            <w:tcW w:w="1557" w:type="dxa"/>
            <w:vAlign w:val="center"/>
          </w:tcPr>
          <w:p w14:paraId="0F2B6378"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正方形边框</w:t>
            </w:r>
          </w:p>
        </w:tc>
        <w:tc>
          <w:tcPr>
            <w:tcW w:w="2378" w:type="dxa"/>
            <w:vAlign w:val="center"/>
          </w:tcPr>
          <w:p w14:paraId="0E93B8CE"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绿色</w:t>
            </w:r>
          </w:p>
        </w:tc>
        <w:tc>
          <w:tcPr>
            <w:tcW w:w="2378" w:type="dxa"/>
            <w:vAlign w:val="center"/>
          </w:tcPr>
          <w:p w14:paraId="542571E1" w14:textId="77777777" w:rsidR="0002141E" w:rsidRPr="006E7D95" w:rsidRDefault="0002141E" w:rsidP="0002141E">
            <w:pPr>
              <w:adjustRightInd w:val="0"/>
              <w:snapToGrid w:val="0"/>
              <w:jc w:val="center"/>
              <w:rPr>
                <w:color w:val="0D0D0D"/>
                <w:kern w:val="18"/>
                <w:szCs w:val="21"/>
              </w:rPr>
            </w:pPr>
            <w:r w:rsidRPr="006E7D95">
              <w:rPr>
                <w:color w:val="0D0D0D"/>
                <w:kern w:val="18"/>
                <w:szCs w:val="21"/>
              </w:rPr>
              <w:t>白色</w:t>
            </w:r>
          </w:p>
        </w:tc>
      </w:tr>
    </w:tbl>
    <w:p w14:paraId="1C033436" w14:textId="77777777" w:rsidR="0008646C" w:rsidRPr="0002141E" w:rsidRDefault="0002141E" w:rsidP="0008646C">
      <w:pPr>
        <w:spacing w:beforeLines="50" w:before="120"/>
        <w:ind w:firstLineChars="400" w:firstLine="960"/>
        <w:rPr>
          <w:rFonts w:asciiTheme="minorHAnsi" w:eastAsia="黑体" w:hAnsiTheme="minorHAnsi"/>
          <w:bCs/>
          <w:color w:val="0D0D0D"/>
          <w:sz w:val="24"/>
        </w:rPr>
      </w:pPr>
      <w:r w:rsidRPr="0002141E">
        <w:rPr>
          <w:rFonts w:asciiTheme="minorHAnsi" w:eastAsia="黑体" w:hAnsiTheme="minorHAnsi"/>
          <w:bCs/>
          <w:color w:val="0D0D0D"/>
          <w:sz w:val="24"/>
        </w:rPr>
        <w:t>表</w:t>
      </w:r>
      <w:r w:rsidRPr="0002141E">
        <w:rPr>
          <w:rFonts w:asciiTheme="minorHAnsi" w:hAnsiTheme="minorHAnsi"/>
          <w:color w:val="0D0D0D"/>
          <w:sz w:val="24"/>
        </w:rPr>
        <w:t>7.1-14</w:t>
      </w:r>
      <w:r w:rsidRPr="0002141E">
        <w:rPr>
          <w:rFonts w:asciiTheme="minorHAnsi" w:eastAsia="黑体" w:hAnsiTheme="minorHAnsi"/>
          <w:bCs/>
          <w:color w:val="0D0D0D"/>
          <w:sz w:val="24"/>
        </w:rPr>
        <w:t xml:space="preserve"> </w:t>
      </w:r>
      <w:r>
        <w:rPr>
          <w:rFonts w:asciiTheme="minorHAnsi" w:eastAsia="黑体" w:hAnsiTheme="minorHAnsi"/>
          <w:bCs/>
          <w:color w:val="0D0D0D"/>
          <w:sz w:val="24"/>
        </w:rPr>
        <w:t xml:space="preserve">         </w:t>
      </w:r>
      <w:r w:rsidR="0008646C">
        <w:rPr>
          <w:rFonts w:asciiTheme="minorHAnsi" w:eastAsia="黑体" w:hAnsiTheme="minorHAnsi"/>
          <w:bCs/>
          <w:color w:val="0D0D0D"/>
          <w:sz w:val="24"/>
        </w:rPr>
        <w:t xml:space="preserve"> </w:t>
      </w:r>
      <w:r w:rsidRPr="0002141E">
        <w:rPr>
          <w:rFonts w:asciiTheme="minorHAnsi" w:eastAsia="黑体" w:hAnsiTheme="minorHAnsi"/>
          <w:bCs/>
          <w:color w:val="0D0D0D"/>
          <w:sz w:val="24"/>
        </w:rPr>
        <w:t>环境保护图形符号一览表</w:t>
      </w:r>
    </w:p>
    <w:tbl>
      <w:tblPr>
        <w:tblW w:w="86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4"/>
        <w:gridCol w:w="1813"/>
        <w:gridCol w:w="1860"/>
        <w:gridCol w:w="1757"/>
        <w:gridCol w:w="2387"/>
      </w:tblGrid>
      <w:tr w:rsidR="0002141E" w:rsidRPr="0002141E" w14:paraId="338D93A9" w14:textId="77777777" w:rsidTr="00D17E97">
        <w:trPr>
          <w:trHeight w:val="397"/>
          <w:jc w:val="center"/>
        </w:trPr>
        <w:tc>
          <w:tcPr>
            <w:tcW w:w="844" w:type="dxa"/>
            <w:vAlign w:val="center"/>
          </w:tcPr>
          <w:p w14:paraId="41F6B9F5" w14:textId="77777777" w:rsidR="0002141E" w:rsidRPr="0002141E" w:rsidRDefault="0002141E" w:rsidP="0002141E">
            <w:pPr>
              <w:jc w:val="center"/>
              <w:rPr>
                <w:rFonts w:asciiTheme="minorHAnsi" w:hAnsiTheme="minorHAnsi"/>
                <w:b/>
                <w:color w:val="0D0D0D"/>
                <w:szCs w:val="21"/>
              </w:rPr>
            </w:pPr>
            <w:r w:rsidRPr="0002141E">
              <w:rPr>
                <w:rFonts w:asciiTheme="minorHAnsi" w:hAnsiTheme="minorHAnsi"/>
                <w:b/>
                <w:color w:val="0D0D0D"/>
                <w:szCs w:val="21"/>
              </w:rPr>
              <w:t>序号</w:t>
            </w:r>
          </w:p>
        </w:tc>
        <w:tc>
          <w:tcPr>
            <w:tcW w:w="1813" w:type="dxa"/>
            <w:vAlign w:val="center"/>
          </w:tcPr>
          <w:p w14:paraId="3148CAA4" w14:textId="77777777" w:rsidR="0002141E" w:rsidRPr="0002141E" w:rsidRDefault="0002141E" w:rsidP="0002141E">
            <w:pPr>
              <w:jc w:val="center"/>
              <w:rPr>
                <w:rFonts w:asciiTheme="minorHAnsi" w:hAnsiTheme="minorHAnsi"/>
                <w:b/>
                <w:color w:val="0D0D0D"/>
                <w:szCs w:val="21"/>
              </w:rPr>
            </w:pPr>
            <w:r w:rsidRPr="0002141E">
              <w:rPr>
                <w:rFonts w:asciiTheme="minorHAnsi" w:hAnsiTheme="minorHAnsi"/>
                <w:b/>
                <w:color w:val="0D0D0D"/>
                <w:szCs w:val="21"/>
              </w:rPr>
              <w:t>提示图形符号</w:t>
            </w:r>
          </w:p>
        </w:tc>
        <w:tc>
          <w:tcPr>
            <w:tcW w:w="1860" w:type="dxa"/>
            <w:vAlign w:val="center"/>
          </w:tcPr>
          <w:p w14:paraId="5092B8DD" w14:textId="77777777" w:rsidR="0002141E" w:rsidRPr="0002141E" w:rsidRDefault="0002141E" w:rsidP="0002141E">
            <w:pPr>
              <w:jc w:val="center"/>
              <w:rPr>
                <w:rFonts w:asciiTheme="minorHAnsi" w:hAnsiTheme="minorHAnsi"/>
                <w:b/>
                <w:color w:val="0D0D0D"/>
                <w:szCs w:val="21"/>
              </w:rPr>
            </w:pPr>
            <w:r w:rsidRPr="0002141E">
              <w:rPr>
                <w:rFonts w:asciiTheme="minorHAnsi" w:hAnsiTheme="minorHAnsi"/>
                <w:b/>
                <w:color w:val="0D0D0D"/>
                <w:szCs w:val="21"/>
              </w:rPr>
              <w:t>警告图形符号</w:t>
            </w:r>
          </w:p>
        </w:tc>
        <w:tc>
          <w:tcPr>
            <w:tcW w:w="1757" w:type="dxa"/>
            <w:vAlign w:val="center"/>
          </w:tcPr>
          <w:p w14:paraId="27CAD479" w14:textId="77777777" w:rsidR="0002141E" w:rsidRPr="0002141E" w:rsidRDefault="0002141E" w:rsidP="0002141E">
            <w:pPr>
              <w:jc w:val="center"/>
              <w:rPr>
                <w:rFonts w:asciiTheme="minorHAnsi" w:hAnsiTheme="minorHAnsi"/>
                <w:b/>
                <w:color w:val="0D0D0D"/>
                <w:szCs w:val="21"/>
              </w:rPr>
            </w:pPr>
            <w:r w:rsidRPr="0002141E">
              <w:rPr>
                <w:rFonts w:asciiTheme="minorHAnsi" w:hAnsiTheme="minorHAnsi"/>
                <w:b/>
                <w:color w:val="0D0D0D"/>
                <w:szCs w:val="21"/>
              </w:rPr>
              <w:t>名称</w:t>
            </w:r>
          </w:p>
        </w:tc>
        <w:tc>
          <w:tcPr>
            <w:tcW w:w="2387" w:type="dxa"/>
            <w:vAlign w:val="center"/>
          </w:tcPr>
          <w:p w14:paraId="2B45E5CC" w14:textId="77777777" w:rsidR="0002141E" w:rsidRPr="0002141E" w:rsidRDefault="0002141E" w:rsidP="0002141E">
            <w:pPr>
              <w:jc w:val="center"/>
              <w:rPr>
                <w:rFonts w:asciiTheme="minorHAnsi" w:hAnsiTheme="minorHAnsi"/>
                <w:b/>
                <w:color w:val="0D0D0D"/>
                <w:szCs w:val="21"/>
              </w:rPr>
            </w:pPr>
            <w:r w:rsidRPr="0002141E">
              <w:rPr>
                <w:rFonts w:asciiTheme="minorHAnsi" w:hAnsiTheme="minorHAnsi"/>
                <w:b/>
                <w:color w:val="0D0D0D"/>
                <w:szCs w:val="21"/>
              </w:rPr>
              <w:t>功能</w:t>
            </w:r>
          </w:p>
        </w:tc>
      </w:tr>
      <w:tr w:rsidR="0002141E" w:rsidRPr="0002141E" w14:paraId="545EB8D3" w14:textId="77777777" w:rsidTr="00D17E97">
        <w:trPr>
          <w:trHeight w:val="397"/>
          <w:jc w:val="center"/>
        </w:trPr>
        <w:tc>
          <w:tcPr>
            <w:tcW w:w="844" w:type="dxa"/>
            <w:vAlign w:val="center"/>
          </w:tcPr>
          <w:p w14:paraId="596677FC"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1</w:t>
            </w:r>
          </w:p>
        </w:tc>
        <w:tc>
          <w:tcPr>
            <w:tcW w:w="1813" w:type="dxa"/>
            <w:vAlign w:val="center"/>
          </w:tcPr>
          <w:p w14:paraId="4B15E439"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314847D1" wp14:editId="3CF7F741">
                  <wp:extent cx="838200" cy="831850"/>
                  <wp:effectExtent l="0" t="0" r="0" b="6350"/>
                  <wp:docPr id="27159" name="图片 27159"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未标题-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8200" cy="831850"/>
                          </a:xfrm>
                          <a:prstGeom prst="rect">
                            <a:avLst/>
                          </a:prstGeom>
                          <a:noFill/>
                          <a:ln>
                            <a:noFill/>
                          </a:ln>
                        </pic:spPr>
                      </pic:pic>
                    </a:graphicData>
                  </a:graphic>
                </wp:inline>
              </w:drawing>
            </w:r>
          </w:p>
        </w:tc>
        <w:tc>
          <w:tcPr>
            <w:tcW w:w="1860" w:type="dxa"/>
            <w:vAlign w:val="center"/>
          </w:tcPr>
          <w:p w14:paraId="21E14B35"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0FD53E0A" wp14:editId="02B9B118">
                  <wp:extent cx="838200" cy="838200"/>
                  <wp:effectExtent l="0" t="0" r="0" b="0"/>
                  <wp:docPr id="27158" name="图片 27158" descr="说明: 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未标题-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1757" w:type="dxa"/>
            <w:vAlign w:val="center"/>
          </w:tcPr>
          <w:p w14:paraId="5B0EE454"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废水排放口</w:t>
            </w:r>
          </w:p>
        </w:tc>
        <w:tc>
          <w:tcPr>
            <w:tcW w:w="2387" w:type="dxa"/>
            <w:vAlign w:val="center"/>
          </w:tcPr>
          <w:p w14:paraId="655A4D92"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废水向水体（或污水收集管网）排放</w:t>
            </w:r>
          </w:p>
        </w:tc>
      </w:tr>
      <w:tr w:rsidR="0002141E" w:rsidRPr="0002141E" w14:paraId="5677F369" w14:textId="77777777" w:rsidTr="00D17E97">
        <w:trPr>
          <w:trHeight w:val="397"/>
          <w:jc w:val="center"/>
        </w:trPr>
        <w:tc>
          <w:tcPr>
            <w:tcW w:w="844" w:type="dxa"/>
            <w:vAlign w:val="center"/>
          </w:tcPr>
          <w:p w14:paraId="50E547E0"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2</w:t>
            </w:r>
          </w:p>
        </w:tc>
        <w:tc>
          <w:tcPr>
            <w:tcW w:w="1813" w:type="dxa"/>
            <w:vAlign w:val="center"/>
          </w:tcPr>
          <w:p w14:paraId="07033252"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28CBA6AF" wp14:editId="27C64D90">
                  <wp:extent cx="838200" cy="838200"/>
                  <wp:effectExtent l="0" t="0" r="0" b="0"/>
                  <wp:docPr id="27156" name="图片 27156" descr="说明: 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未标题-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1860" w:type="dxa"/>
            <w:vAlign w:val="center"/>
          </w:tcPr>
          <w:p w14:paraId="20AE3461"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7D9A4A73" wp14:editId="23272660">
                  <wp:extent cx="838200" cy="882650"/>
                  <wp:effectExtent l="0" t="0" r="0" b="0"/>
                  <wp:docPr id="27154" name="图片 27154" descr="说明: 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未标题-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38200" cy="882650"/>
                          </a:xfrm>
                          <a:prstGeom prst="rect">
                            <a:avLst/>
                          </a:prstGeom>
                          <a:noFill/>
                          <a:ln>
                            <a:noFill/>
                          </a:ln>
                        </pic:spPr>
                      </pic:pic>
                    </a:graphicData>
                  </a:graphic>
                </wp:inline>
              </w:drawing>
            </w:r>
          </w:p>
        </w:tc>
        <w:tc>
          <w:tcPr>
            <w:tcW w:w="1757" w:type="dxa"/>
            <w:vAlign w:val="center"/>
          </w:tcPr>
          <w:p w14:paraId="561C36BE"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废气排放口</w:t>
            </w:r>
          </w:p>
        </w:tc>
        <w:tc>
          <w:tcPr>
            <w:tcW w:w="2387" w:type="dxa"/>
            <w:vAlign w:val="center"/>
          </w:tcPr>
          <w:p w14:paraId="136CF822"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废气向大气环境排放</w:t>
            </w:r>
          </w:p>
        </w:tc>
      </w:tr>
      <w:tr w:rsidR="0002141E" w:rsidRPr="0002141E" w14:paraId="4BD0C9E0" w14:textId="77777777" w:rsidTr="00D17E97">
        <w:trPr>
          <w:trHeight w:val="397"/>
          <w:jc w:val="center"/>
        </w:trPr>
        <w:tc>
          <w:tcPr>
            <w:tcW w:w="844" w:type="dxa"/>
            <w:vAlign w:val="center"/>
          </w:tcPr>
          <w:p w14:paraId="52C1F2C9"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3</w:t>
            </w:r>
          </w:p>
        </w:tc>
        <w:tc>
          <w:tcPr>
            <w:tcW w:w="1813" w:type="dxa"/>
            <w:vAlign w:val="center"/>
          </w:tcPr>
          <w:p w14:paraId="758BFB95"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2FF7E972" wp14:editId="54C39992">
                  <wp:extent cx="838200" cy="819150"/>
                  <wp:effectExtent l="0" t="0" r="0" b="0"/>
                  <wp:docPr id="27153" name="图片 27153" descr="说明: 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未标题-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1860" w:type="dxa"/>
            <w:vAlign w:val="center"/>
          </w:tcPr>
          <w:p w14:paraId="163F78EB"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6EE76A1A" wp14:editId="3EDE4F25">
                  <wp:extent cx="838200" cy="800100"/>
                  <wp:effectExtent l="0" t="0" r="0" b="0"/>
                  <wp:docPr id="27150" name="图片 27150" descr="说明: 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未标题-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757" w:type="dxa"/>
            <w:vAlign w:val="center"/>
          </w:tcPr>
          <w:p w14:paraId="1C0E9788"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一般</w:t>
            </w:r>
          </w:p>
          <w:p w14:paraId="76D7ECCF"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固体废物</w:t>
            </w:r>
          </w:p>
        </w:tc>
        <w:tc>
          <w:tcPr>
            <w:tcW w:w="2387" w:type="dxa"/>
            <w:vAlign w:val="center"/>
          </w:tcPr>
          <w:p w14:paraId="54A4A813"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一般固体废物贮存、处置场</w:t>
            </w:r>
          </w:p>
        </w:tc>
      </w:tr>
      <w:tr w:rsidR="0002141E" w:rsidRPr="0002141E" w14:paraId="36054400" w14:textId="77777777" w:rsidTr="00D17E97">
        <w:trPr>
          <w:trHeight w:val="397"/>
          <w:jc w:val="center"/>
        </w:trPr>
        <w:tc>
          <w:tcPr>
            <w:tcW w:w="844" w:type="dxa"/>
            <w:vAlign w:val="center"/>
          </w:tcPr>
          <w:p w14:paraId="23DD8293"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4</w:t>
            </w:r>
          </w:p>
        </w:tc>
        <w:tc>
          <w:tcPr>
            <w:tcW w:w="1813" w:type="dxa"/>
            <w:vAlign w:val="center"/>
          </w:tcPr>
          <w:p w14:paraId="03E6FFF9"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718F2743" wp14:editId="1BE239F7">
                  <wp:extent cx="838200" cy="831850"/>
                  <wp:effectExtent l="0" t="0" r="0" b="6350"/>
                  <wp:docPr id="27139" name="图片 27139" descr="说明: 未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未标题-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8200" cy="831850"/>
                          </a:xfrm>
                          <a:prstGeom prst="rect">
                            <a:avLst/>
                          </a:prstGeom>
                          <a:noFill/>
                          <a:ln>
                            <a:noFill/>
                          </a:ln>
                        </pic:spPr>
                      </pic:pic>
                    </a:graphicData>
                  </a:graphic>
                </wp:inline>
              </w:drawing>
            </w:r>
          </w:p>
        </w:tc>
        <w:tc>
          <w:tcPr>
            <w:tcW w:w="1860" w:type="dxa"/>
            <w:vAlign w:val="center"/>
          </w:tcPr>
          <w:p w14:paraId="4FF69A45"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noProof/>
                <w:color w:val="0D0D0D"/>
                <w:szCs w:val="21"/>
              </w:rPr>
              <w:drawing>
                <wp:inline distT="0" distB="0" distL="0" distR="0" wp14:anchorId="50D67FB0" wp14:editId="4FED5D4D">
                  <wp:extent cx="838200" cy="762000"/>
                  <wp:effectExtent l="0" t="0" r="0" b="0"/>
                  <wp:docPr id="27137" name="图片 27137" descr="说明: 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未标题-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c>
        <w:tc>
          <w:tcPr>
            <w:tcW w:w="1757" w:type="dxa"/>
            <w:vAlign w:val="center"/>
          </w:tcPr>
          <w:p w14:paraId="4289265A"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噪声排放源</w:t>
            </w:r>
          </w:p>
        </w:tc>
        <w:tc>
          <w:tcPr>
            <w:tcW w:w="2387" w:type="dxa"/>
            <w:vAlign w:val="center"/>
          </w:tcPr>
          <w:p w14:paraId="22912A02"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噪声向外环境排放</w:t>
            </w:r>
          </w:p>
        </w:tc>
      </w:tr>
      <w:tr w:rsidR="0002141E" w:rsidRPr="0002141E" w14:paraId="5587BF77" w14:textId="77777777" w:rsidTr="00D17E97">
        <w:trPr>
          <w:trHeight w:val="397"/>
          <w:jc w:val="center"/>
        </w:trPr>
        <w:tc>
          <w:tcPr>
            <w:tcW w:w="844" w:type="dxa"/>
            <w:vAlign w:val="center"/>
          </w:tcPr>
          <w:p w14:paraId="030E9376"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5</w:t>
            </w:r>
          </w:p>
        </w:tc>
        <w:tc>
          <w:tcPr>
            <w:tcW w:w="1813" w:type="dxa"/>
            <w:vAlign w:val="center"/>
          </w:tcPr>
          <w:p w14:paraId="613BD913"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w:t>
            </w:r>
          </w:p>
        </w:tc>
        <w:tc>
          <w:tcPr>
            <w:tcW w:w="1860" w:type="dxa"/>
            <w:vAlign w:val="center"/>
          </w:tcPr>
          <w:p w14:paraId="5003AB7C" w14:textId="77777777" w:rsidR="0002141E" w:rsidRPr="0002141E" w:rsidRDefault="008C0B3F" w:rsidP="0002141E">
            <w:pPr>
              <w:jc w:val="center"/>
              <w:rPr>
                <w:rFonts w:asciiTheme="minorHAnsi" w:hAnsiTheme="minorHAnsi"/>
                <w:color w:val="0D0D0D"/>
                <w:szCs w:val="21"/>
              </w:rPr>
            </w:pPr>
            <w:r>
              <w:rPr>
                <w:noProof/>
              </w:rPr>
              <w:drawing>
                <wp:inline distT="0" distB="0" distL="0" distR="0" wp14:anchorId="60212F0F" wp14:editId="7417355A">
                  <wp:extent cx="929640" cy="846515"/>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34576" cy="851009"/>
                          </a:xfrm>
                          <a:prstGeom prst="rect">
                            <a:avLst/>
                          </a:prstGeom>
                        </pic:spPr>
                      </pic:pic>
                    </a:graphicData>
                  </a:graphic>
                </wp:inline>
              </w:drawing>
            </w:r>
          </w:p>
        </w:tc>
        <w:tc>
          <w:tcPr>
            <w:tcW w:w="1757" w:type="dxa"/>
            <w:vAlign w:val="center"/>
          </w:tcPr>
          <w:p w14:paraId="37D68F03"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危险废物</w:t>
            </w:r>
          </w:p>
        </w:tc>
        <w:tc>
          <w:tcPr>
            <w:tcW w:w="2387" w:type="dxa"/>
            <w:vAlign w:val="center"/>
          </w:tcPr>
          <w:p w14:paraId="3D392D33" w14:textId="77777777" w:rsidR="0002141E" w:rsidRPr="0002141E" w:rsidRDefault="0002141E" w:rsidP="0002141E">
            <w:pPr>
              <w:jc w:val="center"/>
              <w:rPr>
                <w:rFonts w:asciiTheme="minorHAnsi" w:hAnsiTheme="minorHAnsi"/>
                <w:color w:val="0D0D0D"/>
                <w:szCs w:val="21"/>
              </w:rPr>
            </w:pPr>
            <w:r w:rsidRPr="0002141E">
              <w:rPr>
                <w:rFonts w:asciiTheme="minorHAnsi" w:hAnsiTheme="minorHAnsi"/>
                <w:color w:val="0D0D0D"/>
                <w:szCs w:val="21"/>
              </w:rPr>
              <w:t>危险废物贮存、处置场</w:t>
            </w:r>
          </w:p>
        </w:tc>
      </w:tr>
    </w:tbl>
    <w:p w14:paraId="53C90C13" w14:textId="77777777" w:rsidR="0055605A" w:rsidRPr="00A964FF" w:rsidRDefault="0055605A" w:rsidP="0055605A">
      <w:pPr>
        <w:pStyle w:val="2"/>
        <w:spacing w:before="200" w:after="100"/>
        <w:rPr>
          <w:rFonts w:ascii="Calibri" w:hAnsi="Calibri"/>
          <w:bCs/>
          <w:color w:val="auto"/>
          <w:szCs w:val="28"/>
        </w:rPr>
      </w:pPr>
      <w:bookmarkStart w:id="96" w:name="_Toc112999933"/>
      <w:bookmarkEnd w:id="95"/>
      <w:r w:rsidRPr="00A964FF">
        <w:rPr>
          <w:rFonts w:ascii="Calibri" w:hAnsi="Calibri" w:hint="eastAsia"/>
          <w:bCs/>
          <w:color w:val="auto"/>
          <w:szCs w:val="28"/>
        </w:rPr>
        <w:t>7</w:t>
      </w:r>
      <w:r w:rsidRPr="00A964FF">
        <w:rPr>
          <w:rFonts w:ascii="Calibri" w:hAnsi="Calibri"/>
          <w:bCs/>
          <w:color w:val="auto"/>
          <w:szCs w:val="28"/>
        </w:rPr>
        <w:t>.</w:t>
      </w:r>
      <w:r w:rsidR="00B57A09" w:rsidRPr="00A964FF">
        <w:rPr>
          <w:rFonts w:ascii="Calibri" w:hAnsi="Calibri" w:hint="eastAsia"/>
          <w:bCs/>
          <w:color w:val="auto"/>
          <w:szCs w:val="28"/>
        </w:rPr>
        <w:t>2</w:t>
      </w:r>
      <w:r w:rsidRPr="00A964FF">
        <w:rPr>
          <w:rFonts w:ascii="Calibri" w:hAnsi="Calibri" w:hint="eastAsia"/>
          <w:bCs/>
          <w:color w:val="auto"/>
          <w:szCs w:val="28"/>
        </w:rPr>
        <w:t>环境监测</w:t>
      </w:r>
      <w:bookmarkEnd w:id="96"/>
    </w:p>
    <w:p w14:paraId="62E1188E" w14:textId="77777777" w:rsidR="0055605A" w:rsidRPr="00A964FF" w:rsidRDefault="0055605A" w:rsidP="0055605A">
      <w:pPr>
        <w:pStyle w:val="ad"/>
        <w:rPr>
          <w:rFonts w:ascii="Calibri" w:hAnsi="Calibri"/>
          <w:noProof/>
          <w:color w:val="auto"/>
        </w:rPr>
      </w:pPr>
      <w:r w:rsidRPr="003B2345">
        <w:rPr>
          <w:rFonts w:ascii="Calibri" w:hAnsi="Calibri" w:hint="eastAsia"/>
          <w:color w:val="auto"/>
        </w:rPr>
        <w:t>7.</w:t>
      </w:r>
      <w:r w:rsidR="00B57A09" w:rsidRPr="003B2345">
        <w:rPr>
          <w:rFonts w:ascii="Calibri" w:hAnsi="Calibri" w:hint="eastAsia"/>
          <w:color w:val="auto"/>
        </w:rPr>
        <w:t>2</w:t>
      </w:r>
      <w:r w:rsidRPr="003B2345">
        <w:rPr>
          <w:rFonts w:ascii="Calibri" w:hAnsi="Calibri" w:hint="eastAsia"/>
          <w:color w:val="auto"/>
        </w:rPr>
        <w:t>.1</w:t>
      </w:r>
      <w:r w:rsidRPr="003B2345">
        <w:rPr>
          <w:rFonts w:ascii="Calibri" w:hAnsi="Calibri" w:hint="eastAsia"/>
          <w:color w:val="auto"/>
        </w:rPr>
        <w:t>环境监测的目的</w:t>
      </w:r>
    </w:p>
    <w:p w14:paraId="7077EFC0" w14:textId="77777777" w:rsidR="005E499E" w:rsidRPr="00A964FF" w:rsidRDefault="005E499E" w:rsidP="005E499E">
      <w:pPr>
        <w:pStyle w:val="00"/>
        <w:rPr>
          <w:rFonts w:ascii="Calibri" w:hAnsi="Calibri"/>
          <w:noProof/>
          <w:color w:val="auto"/>
        </w:rPr>
      </w:pPr>
      <w:r w:rsidRPr="00A964FF">
        <w:rPr>
          <w:rFonts w:ascii="Calibri" w:hAnsi="Calibri"/>
          <w:noProof/>
          <w:color w:val="auto"/>
        </w:rPr>
        <w:t>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14:paraId="443595BB" w14:textId="77777777" w:rsidR="0055605A" w:rsidRPr="00A964FF" w:rsidRDefault="0055605A" w:rsidP="0055605A">
      <w:pPr>
        <w:pStyle w:val="ad"/>
        <w:rPr>
          <w:rFonts w:ascii="Calibri" w:hAnsi="Calibri"/>
          <w:noProof/>
          <w:color w:val="auto"/>
        </w:rPr>
      </w:pPr>
      <w:r w:rsidRPr="003B2345">
        <w:rPr>
          <w:rFonts w:ascii="Calibri" w:hAnsi="Calibri" w:hint="eastAsia"/>
          <w:color w:val="auto"/>
        </w:rPr>
        <w:t>7.</w:t>
      </w:r>
      <w:r w:rsidR="00B57A09" w:rsidRPr="003B2345">
        <w:rPr>
          <w:rFonts w:ascii="Calibri" w:hAnsi="Calibri" w:hint="eastAsia"/>
          <w:color w:val="auto"/>
        </w:rPr>
        <w:t>2</w:t>
      </w:r>
      <w:r w:rsidRPr="003B2345">
        <w:rPr>
          <w:rFonts w:ascii="Calibri" w:hAnsi="Calibri" w:hint="eastAsia"/>
          <w:color w:val="auto"/>
        </w:rPr>
        <w:t>.2</w:t>
      </w:r>
      <w:r w:rsidRPr="003B2345">
        <w:rPr>
          <w:rFonts w:ascii="Calibri" w:hAnsi="Calibri" w:hint="eastAsia"/>
          <w:color w:val="auto"/>
        </w:rPr>
        <w:t>环境监测机构</w:t>
      </w:r>
    </w:p>
    <w:p w14:paraId="56BDFFDF" w14:textId="77777777" w:rsidR="0055605A" w:rsidRPr="00A964FF" w:rsidRDefault="0055605A" w:rsidP="0055605A">
      <w:pPr>
        <w:pStyle w:val="00"/>
        <w:rPr>
          <w:rFonts w:ascii="Calibri" w:hAnsi="Calibri"/>
          <w:noProof/>
          <w:color w:val="auto"/>
        </w:rPr>
      </w:pPr>
      <w:r w:rsidRPr="00A964FF">
        <w:rPr>
          <w:rFonts w:ascii="Calibri" w:hAnsi="Calibri" w:hint="eastAsia"/>
          <w:noProof/>
          <w:color w:val="auto"/>
        </w:rPr>
        <w:t>根据工程污染因素特点，结合建设单位实际情况，本次评价建议废气、</w:t>
      </w:r>
      <w:r w:rsidR="00256D61" w:rsidRPr="00A964FF">
        <w:rPr>
          <w:rFonts w:ascii="Calibri" w:hAnsi="Calibri" w:hint="eastAsia"/>
          <w:noProof/>
          <w:color w:val="auto"/>
        </w:rPr>
        <w:t>废水、</w:t>
      </w:r>
      <w:r w:rsidRPr="00A964FF">
        <w:rPr>
          <w:rFonts w:ascii="Calibri" w:hAnsi="Calibri" w:hint="eastAsia"/>
          <w:noProof/>
          <w:color w:val="auto"/>
        </w:rPr>
        <w:t>噪</w:t>
      </w:r>
      <w:r w:rsidRPr="00A964FF">
        <w:rPr>
          <w:rFonts w:ascii="Calibri" w:hAnsi="Calibri" w:hint="eastAsia"/>
          <w:noProof/>
          <w:color w:val="auto"/>
        </w:rPr>
        <w:lastRenderedPageBreak/>
        <w:t>声委托当地环境监测机构进行监测。</w:t>
      </w:r>
    </w:p>
    <w:p w14:paraId="520DFF27" w14:textId="77777777" w:rsidR="0055605A" w:rsidRPr="00A964FF" w:rsidRDefault="0055605A" w:rsidP="0055605A">
      <w:pPr>
        <w:pStyle w:val="ad"/>
        <w:rPr>
          <w:rFonts w:ascii="Calibri" w:hAnsi="Calibri"/>
          <w:noProof/>
          <w:color w:val="auto"/>
        </w:rPr>
      </w:pPr>
      <w:r w:rsidRPr="00A964FF">
        <w:rPr>
          <w:rFonts w:ascii="Calibri" w:hAnsi="Calibri" w:hint="eastAsia"/>
          <w:color w:val="auto"/>
        </w:rPr>
        <w:t>7.</w:t>
      </w:r>
      <w:r w:rsidR="00B57A09" w:rsidRPr="00A964FF">
        <w:rPr>
          <w:rFonts w:ascii="Calibri" w:hAnsi="Calibri" w:hint="eastAsia"/>
          <w:color w:val="auto"/>
        </w:rPr>
        <w:t>2</w:t>
      </w:r>
      <w:r w:rsidRPr="00A964FF">
        <w:rPr>
          <w:rFonts w:ascii="Calibri" w:hAnsi="Calibri" w:hint="eastAsia"/>
          <w:color w:val="auto"/>
        </w:rPr>
        <w:t>.3</w:t>
      </w:r>
      <w:r w:rsidRPr="00A964FF">
        <w:rPr>
          <w:rFonts w:ascii="Calibri" w:hAnsi="Calibri" w:hint="eastAsia"/>
          <w:color w:val="auto"/>
        </w:rPr>
        <w:t>环境监测计划</w:t>
      </w:r>
    </w:p>
    <w:p w14:paraId="7E025FA5" w14:textId="77777777" w:rsidR="00C12E37" w:rsidRPr="0079485B" w:rsidRDefault="00B57A09" w:rsidP="0079485B">
      <w:pPr>
        <w:pStyle w:val="00"/>
        <w:rPr>
          <w:rFonts w:ascii="Calibri"/>
          <w:noProof/>
          <w:color w:val="auto"/>
        </w:rPr>
      </w:pPr>
      <w:r w:rsidRPr="00A964FF">
        <w:rPr>
          <w:rFonts w:ascii="Calibri" w:hAnsi="Calibri" w:hint="eastAsia"/>
          <w:noProof/>
          <w:color w:val="auto"/>
        </w:rPr>
        <w:t>本项目正常运营过程中，应对“三废”治理设施运转情况进行定期监测，监测内容包括：废气处理设施的运行情况；废水处理设施的运行情况；厂界噪声的达标情况</w:t>
      </w:r>
      <w:r w:rsidRPr="00A964FF">
        <w:rPr>
          <w:rFonts w:ascii="Calibri"/>
          <w:noProof/>
          <w:color w:val="auto"/>
        </w:rPr>
        <w:t>；厂区地下水环境质量情况</w:t>
      </w:r>
      <w:r w:rsidRPr="00A964FF">
        <w:rPr>
          <w:rFonts w:ascii="Calibri" w:hAnsi="Calibri" w:hint="eastAsia"/>
          <w:noProof/>
          <w:color w:val="auto"/>
        </w:rPr>
        <w:t>。</w:t>
      </w:r>
      <w:r w:rsidRPr="00A964FF">
        <w:rPr>
          <w:rFonts w:ascii="Calibri" w:hint="eastAsia"/>
          <w:noProof/>
          <w:color w:val="auto"/>
        </w:rPr>
        <w:t>根据</w:t>
      </w:r>
      <w:r w:rsidR="0002141E" w:rsidRPr="0002141E">
        <w:rPr>
          <w:rFonts w:ascii="Calibri" w:hAnsi="Calibri" w:hint="eastAsia"/>
          <w:noProof/>
          <w:color w:val="auto"/>
        </w:rPr>
        <w:t>《排污单位自行监测技术指南</w:t>
      </w:r>
      <w:r w:rsidR="0002141E" w:rsidRPr="0002141E">
        <w:rPr>
          <w:rFonts w:ascii="Calibri" w:hAnsi="Calibri" w:hint="eastAsia"/>
          <w:noProof/>
          <w:color w:val="auto"/>
        </w:rPr>
        <w:t xml:space="preserve"> </w:t>
      </w:r>
      <w:r w:rsidR="0002141E" w:rsidRPr="0002141E">
        <w:rPr>
          <w:rFonts w:ascii="Calibri" w:hAnsi="Calibri" w:hint="eastAsia"/>
          <w:noProof/>
          <w:color w:val="auto"/>
        </w:rPr>
        <w:t>总则》（</w:t>
      </w:r>
      <w:r w:rsidR="0002141E" w:rsidRPr="0002141E">
        <w:rPr>
          <w:rFonts w:ascii="Calibri" w:hAnsi="Calibri"/>
          <w:noProof/>
          <w:color w:val="auto"/>
        </w:rPr>
        <w:t>HJ 819-2017</w:t>
      </w:r>
      <w:r w:rsidR="0002141E" w:rsidRPr="0002141E">
        <w:rPr>
          <w:rFonts w:ascii="Calibri" w:hAnsi="Calibri" w:hint="eastAsia"/>
          <w:noProof/>
          <w:color w:val="auto"/>
        </w:rPr>
        <w:t>）、《</w:t>
      </w:r>
      <w:r w:rsidR="000C62DB">
        <w:rPr>
          <w:rFonts w:ascii="Calibri" w:hAnsi="Calibri" w:hint="eastAsia"/>
          <w:noProof/>
          <w:color w:val="auto"/>
        </w:rPr>
        <w:t>排污</w:t>
      </w:r>
      <w:r w:rsidR="000C62DB">
        <w:rPr>
          <w:rFonts w:ascii="Calibri" w:hAnsi="Calibri"/>
          <w:noProof/>
          <w:color w:val="auto"/>
        </w:rPr>
        <w:t>许可证申请与</w:t>
      </w:r>
      <w:r w:rsidR="000C62DB">
        <w:rPr>
          <w:rFonts w:ascii="Calibri" w:hAnsi="Calibri" w:hint="eastAsia"/>
          <w:noProof/>
          <w:color w:val="auto"/>
        </w:rPr>
        <w:t>核发</w:t>
      </w:r>
      <w:r w:rsidR="000C62DB">
        <w:rPr>
          <w:rFonts w:ascii="Calibri" w:hAnsi="Calibri"/>
          <w:noProof/>
          <w:color w:val="auto"/>
        </w:rPr>
        <w:t>技术规范</w:t>
      </w:r>
      <w:r w:rsidR="000C62DB">
        <w:rPr>
          <w:rFonts w:ascii="Calibri" w:hAnsi="Calibri" w:hint="eastAsia"/>
          <w:noProof/>
          <w:color w:val="auto"/>
        </w:rPr>
        <w:t xml:space="preserve">  </w:t>
      </w:r>
      <w:r w:rsidR="000C62DB">
        <w:rPr>
          <w:rFonts w:ascii="Calibri" w:hAnsi="Calibri" w:hint="eastAsia"/>
          <w:noProof/>
          <w:color w:val="auto"/>
        </w:rPr>
        <w:t>聚氯</w:t>
      </w:r>
      <w:r w:rsidR="000C62DB">
        <w:rPr>
          <w:rFonts w:ascii="Calibri" w:hAnsi="Calibri"/>
          <w:noProof/>
          <w:color w:val="auto"/>
        </w:rPr>
        <w:t>乙烯工业</w:t>
      </w:r>
      <w:r w:rsidR="000C62DB">
        <w:rPr>
          <w:rFonts w:ascii="Calibri" w:hAnsi="Calibri" w:hint="eastAsia"/>
          <w:noProof/>
          <w:color w:val="auto"/>
        </w:rPr>
        <w:t>》</w:t>
      </w:r>
      <w:r w:rsidR="0002141E" w:rsidRPr="0002141E">
        <w:rPr>
          <w:rFonts w:ascii="Calibri" w:hAnsi="Calibri" w:hint="eastAsia"/>
          <w:noProof/>
          <w:color w:val="auto"/>
        </w:rPr>
        <w:t>（</w:t>
      </w:r>
      <w:r w:rsidR="0002141E" w:rsidRPr="0002141E">
        <w:rPr>
          <w:rFonts w:ascii="Calibri" w:hAnsi="Calibri" w:hint="eastAsia"/>
          <w:noProof/>
          <w:color w:val="auto"/>
        </w:rPr>
        <w:t>HJ</w:t>
      </w:r>
      <w:r w:rsidR="000C62DB">
        <w:rPr>
          <w:rFonts w:ascii="Calibri" w:hAnsi="Calibri"/>
          <w:noProof/>
          <w:color w:val="auto"/>
        </w:rPr>
        <w:t>1036</w:t>
      </w:r>
      <w:r w:rsidR="0002141E" w:rsidRPr="0002141E">
        <w:rPr>
          <w:rFonts w:ascii="Calibri" w:hAnsi="Calibri" w:hint="eastAsia"/>
          <w:noProof/>
          <w:color w:val="auto"/>
        </w:rPr>
        <w:t>-20</w:t>
      </w:r>
      <w:r w:rsidR="000C62DB">
        <w:rPr>
          <w:rFonts w:ascii="Calibri" w:hAnsi="Calibri"/>
          <w:noProof/>
          <w:color w:val="auto"/>
        </w:rPr>
        <w:t>19</w:t>
      </w:r>
      <w:r w:rsidR="0002141E" w:rsidRPr="0002141E">
        <w:rPr>
          <w:rFonts w:ascii="Calibri" w:hAnsi="Calibri" w:hint="eastAsia"/>
          <w:noProof/>
          <w:color w:val="auto"/>
        </w:rPr>
        <w:t>）</w:t>
      </w:r>
      <w:r w:rsidR="00C12E37">
        <w:rPr>
          <w:rFonts w:ascii="Calibri" w:hAnsi="Calibri" w:hint="eastAsia"/>
          <w:noProof/>
          <w:color w:val="auto"/>
        </w:rPr>
        <w:t>、</w:t>
      </w:r>
      <w:r w:rsidR="00C12E37" w:rsidRPr="00C12E37">
        <w:rPr>
          <w:rFonts w:ascii="Calibri" w:hAnsi="Calibri" w:hint="eastAsia"/>
          <w:noProof/>
          <w:color w:val="auto"/>
        </w:rPr>
        <w:t>《排污单位自行监测技术指南</w:t>
      </w:r>
      <w:r w:rsidR="00C12E37" w:rsidRPr="00C12E37">
        <w:rPr>
          <w:rFonts w:ascii="Calibri" w:hAnsi="Calibri" w:hint="eastAsia"/>
          <w:noProof/>
          <w:color w:val="auto"/>
        </w:rPr>
        <w:t xml:space="preserve"> </w:t>
      </w:r>
      <w:r w:rsidR="00C12E37" w:rsidRPr="00C12E37">
        <w:rPr>
          <w:rFonts w:ascii="Calibri" w:hAnsi="Calibri" w:hint="eastAsia"/>
          <w:noProof/>
          <w:color w:val="auto"/>
        </w:rPr>
        <w:t>橡胶和塑料制品》（</w:t>
      </w:r>
      <w:r w:rsidR="00C12E37" w:rsidRPr="00C12E37">
        <w:rPr>
          <w:rFonts w:ascii="Calibri" w:hAnsi="Calibri" w:hint="eastAsia"/>
          <w:noProof/>
          <w:color w:val="auto"/>
        </w:rPr>
        <w:t>HJ1207-2021</w:t>
      </w:r>
      <w:r w:rsidR="00C12E37" w:rsidRPr="00C12E37">
        <w:rPr>
          <w:rFonts w:ascii="Calibri" w:hAnsi="Calibri" w:hint="eastAsia"/>
          <w:noProof/>
          <w:color w:val="auto"/>
        </w:rPr>
        <w:t>）</w:t>
      </w:r>
      <w:r w:rsidR="0079485B">
        <w:rPr>
          <w:rFonts w:ascii="Calibri" w:hint="eastAsia"/>
          <w:noProof/>
          <w:color w:val="auto"/>
        </w:rPr>
        <w:t>及《排污</w:t>
      </w:r>
      <w:r w:rsidR="0079485B">
        <w:rPr>
          <w:rFonts w:ascii="Calibri"/>
          <w:noProof/>
          <w:color w:val="auto"/>
        </w:rPr>
        <w:t>单位自行监测技术指南</w:t>
      </w:r>
      <w:r w:rsidR="0079485B">
        <w:rPr>
          <w:rFonts w:ascii="Calibri" w:hint="eastAsia"/>
          <w:noProof/>
          <w:color w:val="auto"/>
        </w:rPr>
        <w:t xml:space="preserve">  </w:t>
      </w:r>
      <w:r w:rsidR="0079485B">
        <w:rPr>
          <w:rFonts w:ascii="Calibri" w:hint="eastAsia"/>
          <w:noProof/>
          <w:color w:val="auto"/>
        </w:rPr>
        <w:t>火力</w:t>
      </w:r>
      <w:r w:rsidR="0079485B">
        <w:rPr>
          <w:rFonts w:ascii="Calibri"/>
          <w:noProof/>
          <w:color w:val="auto"/>
        </w:rPr>
        <w:t>发电</w:t>
      </w:r>
      <w:r w:rsidR="0079485B">
        <w:rPr>
          <w:rFonts w:ascii="Calibri" w:hint="eastAsia"/>
          <w:noProof/>
          <w:color w:val="auto"/>
        </w:rPr>
        <w:t>及</w:t>
      </w:r>
      <w:r w:rsidR="0079485B">
        <w:rPr>
          <w:rFonts w:ascii="Calibri"/>
          <w:noProof/>
          <w:color w:val="auto"/>
        </w:rPr>
        <w:t>锅炉</w:t>
      </w:r>
      <w:r w:rsidR="0079485B">
        <w:rPr>
          <w:rFonts w:ascii="Calibri" w:hint="eastAsia"/>
          <w:noProof/>
          <w:color w:val="auto"/>
        </w:rPr>
        <w:t>》（</w:t>
      </w:r>
      <w:r w:rsidR="0079485B">
        <w:rPr>
          <w:rFonts w:ascii="Calibri" w:hint="eastAsia"/>
          <w:noProof/>
          <w:color w:val="auto"/>
        </w:rPr>
        <w:t>HJ820-2017</w:t>
      </w:r>
      <w:r w:rsidR="0079485B">
        <w:rPr>
          <w:rFonts w:ascii="Calibri" w:hint="eastAsia"/>
          <w:noProof/>
          <w:color w:val="auto"/>
        </w:rPr>
        <w:t>）</w:t>
      </w:r>
      <w:r w:rsidRPr="00A964FF">
        <w:rPr>
          <w:rFonts w:ascii="Calibri" w:hint="eastAsia"/>
          <w:noProof/>
          <w:color w:val="auto"/>
        </w:rPr>
        <w:t>相关规定</w:t>
      </w:r>
      <w:r w:rsidR="00DA2E77">
        <w:rPr>
          <w:rFonts w:ascii="Calibri" w:hint="eastAsia"/>
          <w:noProof/>
          <w:color w:val="auto"/>
        </w:rPr>
        <w:t>及</w:t>
      </w:r>
      <w:r w:rsidR="00DA2E77" w:rsidRPr="00DA2E77">
        <w:rPr>
          <w:rFonts w:ascii="Calibri" w:hint="eastAsia"/>
          <w:noProof/>
          <w:color w:val="auto"/>
        </w:rPr>
        <w:t>《工业企业土壤和地下水自行监测技术指南（试行）》（</w:t>
      </w:r>
      <w:r w:rsidR="00DA2E77" w:rsidRPr="00DA2E77">
        <w:rPr>
          <w:rFonts w:ascii="Calibri" w:hint="eastAsia"/>
          <w:noProof/>
          <w:color w:val="auto"/>
        </w:rPr>
        <w:t>HJ1209-2021</w:t>
      </w:r>
      <w:r w:rsidR="00DA2E77" w:rsidRPr="00DA2E77">
        <w:rPr>
          <w:rFonts w:ascii="Calibri" w:hint="eastAsia"/>
          <w:noProof/>
          <w:color w:val="auto"/>
        </w:rPr>
        <w:t>）</w:t>
      </w:r>
      <w:r w:rsidRPr="00A964FF">
        <w:rPr>
          <w:rFonts w:ascii="Calibri" w:hint="eastAsia"/>
          <w:noProof/>
          <w:color w:val="auto"/>
        </w:rPr>
        <w:t>，并结合企业实际情况，</w:t>
      </w:r>
      <w:r w:rsidRPr="00A964FF">
        <w:rPr>
          <w:rFonts w:ascii="Calibri" w:hAnsi="Calibri" w:hint="eastAsia"/>
          <w:noProof/>
          <w:color w:val="auto"/>
        </w:rPr>
        <w:t>提出项目监测计划见表</w:t>
      </w:r>
      <w:r w:rsidRPr="00A964FF">
        <w:rPr>
          <w:rFonts w:ascii="Calibri" w:hAnsi="Calibri" w:hint="eastAsia"/>
          <w:noProof/>
          <w:color w:val="auto"/>
        </w:rPr>
        <w:t>7.2-1</w:t>
      </w:r>
      <w:r w:rsidRPr="00A964FF">
        <w:rPr>
          <w:rFonts w:ascii="Calibri" w:hAnsi="Calibri" w:hint="eastAsia"/>
          <w:noProof/>
          <w:color w:val="auto"/>
        </w:rPr>
        <w:t>。</w:t>
      </w:r>
    </w:p>
    <w:p w14:paraId="3C1C2D09" w14:textId="77777777" w:rsidR="00B57A09" w:rsidRPr="00A964FF" w:rsidRDefault="00B57A09" w:rsidP="00C50ECF">
      <w:pPr>
        <w:spacing w:line="520" w:lineRule="exact"/>
        <w:ind w:firstLineChars="250" w:firstLine="600"/>
        <w:rPr>
          <w:rFonts w:ascii="Calibri" w:eastAsia="黑体" w:hAnsi="Calibri"/>
          <w:color w:val="auto"/>
          <w:sz w:val="24"/>
        </w:rPr>
      </w:pPr>
      <w:r w:rsidRPr="00271ACD">
        <w:rPr>
          <w:rFonts w:ascii="Calibri" w:eastAsia="黑体" w:hAnsi="黑体"/>
          <w:color w:val="auto"/>
          <w:sz w:val="24"/>
        </w:rPr>
        <w:t>表</w:t>
      </w:r>
      <w:r w:rsidRPr="00271ACD">
        <w:rPr>
          <w:rFonts w:ascii="Calibri" w:eastAsia="黑体" w:hAnsi="Calibri" w:hint="eastAsia"/>
          <w:color w:val="auto"/>
          <w:sz w:val="24"/>
        </w:rPr>
        <w:t>7.2</w:t>
      </w:r>
      <w:r w:rsidR="0079485B">
        <w:rPr>
          <w:rFonts w:ascii="Calibri" w:eastAsia="黑体" w:hAnsi="Calibri"/>
          <w:color w:val="auto"/>
          <w:sz w:val="24"/>
        </w:rPr>
        <w:t xml:space="preserve">-1             </w:t>
      </w:r>
      <w:r w:rsidRPr="00271ACD">
        <w:rPr>
          <w:rFonts w:ascii="Calibri" w:eastAsia="黑体" w:hAnsi="黑体"/>
          <w:color w:val="auto"/>
          <w:sz w:val="24"/>
        </w:rPr>
        <w:t>营运期环境监测内容及监测频率</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457"/>
        <w:gridCol w:w="543"/>
        <w:gridCol w:w="1963"/>
        <w:gridCol w:w="1702"/>
        <w:gridCol w:w="1134"/>
        <w:gridCol w:w="1982"/>
        <w:gridCol w:w="919"/>
      </w:tblGrid>
      <w:tr w:rsidR="00A37141" w:rsidRPr="00A964FF" w14:paraId="747561F9" w14:textId="77777777" w:rsidTr="00A37141">
        <w:trPr>
          <w:trHeight w:val="369"/>
        </w:trPr>
        <w:tc>
          <w:tcPr>
            <w:tcW w:w="575" w:type="pct"/>
            <w:gridSpan w:val="2"/>
            <w:tcMar>
              <w:top w:w="28" w:type="dxa"/>
              <w:bottom w:w="28" w:type="dxa"/>
            </w:tcMar>
            <w:vAlign w:val="center"/>
          </w:tcPr>
          <w:p w14:paraId="1FF881EC" w14:textId="77777777" w:rsidR="00A37141" w:rsidRPr="00A964FF" w:rsidRDefault="00A37141" w:rsidP="00AE4424">
            <w:pPr>
              <w:pStyle w:val="af6"/>
              <w:rPr>
                <w:rFonts w:ascii="Calibri" w:hAnsi="Calibri"/>
                <w:color w:val="auto"/>
              </w:rPr>
            </w:pPr>
            <w:r w:rsidRPr="00A964FF">
              <w:rPr>
                <w:rFonts w:ascii="Calibri" w:hAnsi="宋体"/>
                <w:color w:val="auto"/>
              </w:rPr>
              <w:t>项目</w:t>
            </w:r>
          </w:p>
        </w:tc>
        <w:tc>
          <w:tcPr>
            <w:tcW w:w="1128" w:type="pct"/>
            <w:tcMar>
              <w:top w:w="28" w:type="dxa"/>
              <w:bottom w:w="28" w:type="dxa"/>
            </w:tcMar>
            <w:vAlign w:val="center"/>
          </w:tcPr>
          <w:p w14:paraId="1B9CF16F" w14:textId="77777777" w:rsidR="00A37141" w:rsidRPr="00A964FF" w:rsidRDefault="00A37141" w:rsidP="00AE4424">
            <w:pPr>
              <w:pStyle w:val="af6"/>
              <w:rPr>
                <w:rFonts w:ascii="Calibri" w:hAnsi="Calibri"/>
                <w:color w:val="auto"/>
              </w:rPr>
            </w:pPr>
            <w:r w:rsidRPr="00A964FF">
              <w:rPr>
                <w:rFonts w:ascii="Calibri" w:hAnsi="宋体"/>
                <w:color w:val="auto"/>
              </w:rPr>
              <w:t>监测位置</w:t>
            </w:r>
          </w:p>
        </w:tc>
        <w:tc>
          <w:tcPr>
            <w:tcW w:w="978" w:type="pct"/>
            <w:tcMar>
              <w:top w:w="28" w:type="dxa"/>
              <w:bottom w:w="28" w:type="dxa"/>
            </w:tcMar>
            <w:vAlign w:val="center"/>
          </w:tcPr>
          <w:p w14:paraId="6EE6F9BA" w14:textId="77777777" w:rsidR="00A37141" w:rsidRPr="00A964FF" w:rsidRDefault="00A37141" w:rsidP="00AE4424">
            <w:pPr>
              <w:pStyle w:val="af6"/>
              <w:rPr>
                <w:rFonts w:ascii="Calibri" w:hAnsi="Calibri"/>
                <w:color w:val="auto"/>
              </w:rPr>
            </w:pPr>
            <w:r w:rsidRPr="00A964FF">
              <w:rPr>
                <w:rFonts w:ascii="Calibri" w:hAnsi="宋体"/>
                <w:color w:val="auto"/>
              </w:rPr>
              <w:t>监测项目</w:t>
            </w:r>
          </w:p>
        </w:tc>
        <w:tc>
          <w:tcPr>
            <w:tcW w:w="652" w:type="pct"/>
            <w:tcMar>
              <w:top w:w="28" w:type="dxa"/>
              <w:bottom w:w="28" w:type="dxa"/>
            </w:tcMar>
            <w:vAlign w:val="center"/>
          </w:tcPr>
          <w:p w14:paraId="2E073C92" w14:textId="77777777" w:rsidR="00A37141" w:rsidRPr="00A964FF" w:rsidRDefault="00A37141" w:rsidP="00AE4424">
            <w:pPr>
              <w:pStyle w:val="af6"/>
              <w:rPr>
                <w:rFonts w:ascii="Calibri" w:hAnsi="Calibri"/>
                <w:color w:val="auto"/>
              </w:rPr>
            </w:pPr>
            <w:r w:rsidRPr="00A964FF">
              <w:rPr>
                <w:rFonts w:ascii="Calibri" w:hAnsi="宋体"/>
                <w:color w:val="auto"/>
              </w:rPr>
              <w:t>监测频率</w:t>
            </w:r>
          </w:p>
        </w:tc>
        <w:tc>
          <w:tcPr>
            <w:tcW w:w="1139" w:type="pct"/>
            <w:vAlign w:val="center"/>
          </w:tcPr>
          <w:p w14:paraId="66AB8B5F" w14:textId="77777777" w:rsidR="00A37141" w:rsidRPr="00A964FF" w:rsidRDefault="00A37141" w:rsidP="00AE4424">
            <w:pPr>
              <w:pStyle w:val="af6"/>
              <w:rPr>
                <w:rFonts w:ascii="Calibri" w:hAnsi="宋体"/>
                <w:color w:val="auto"/>
              </w:rPr>
            </w:pPr>
            <w:r w:rsidRPr="0027245E">
              <w:rPr>
                <w:rFonts w:hint="eastAsia"/>
                <w:szCs w:val="21"/>
              </w:rPr>
              <w:t>控制目标</w:t>
            </w:r>
          </w:p>
        </w:tc>
        <w:tc>
          <w:tcPr>
            <w:tcW w:w="528" w:type="pct"/>
            <w:tcMar>
              <w:top w:w="28" w:type="dxa"/>
              <w:bottom w:w="28" w:type="dxa"/>
            </w:tcMar>
            <w:vAlign w:val="center"/>
          </w:tcPr>
          <w:p w14:paraId="5E0EAFA6" w14:textId="77777777" w:rsidR="00A37141" w:rsidRPr="00A964FF" w:rsidRDefault="00A37141" w:rsidP="00AE4424">
            <w:pPr>
              <w:pStyle w:val="af6"/>
              <w:rPr>
                <w:rFonts w:ascii="Calibri" w:hAnsi="Calibri"/>
                <w:color w:val="auto"/>
              </w:rPr>
            </w:pPr>
            <w:r w:rsidRPr="00A964FF">
              <w:rPr>
                <w:rFonts w:ascii="Calibri" w:hAnsi="宋体"/>
                <w:color w:val="auto"/>
              </w:rPr>
              <w:t>备注</w:t>
            </w:r>
          </w:p>
        </w:tc>
      </w:tr>
      <w:tr w:rsidR="00A37141" w:rsidRPr="00A964FF" w14:paraId="271ABDB2" w14:textId="77777777" w:rsidTr="00A37141">
        <w:trPr>
          <w:trHeight w:val="369"/>
        </w:trPr>
        <w:tc>
          <w:tcPr>
            <w:tcW w:w="4472" w:type="pct"/>
            <w:gridSpan w:val="6"/>
            <w:tcBorders>
              <w:right w:val="single" w:sz="2" w:space="0" w:color="auto"/>
            </w:tcBorders>
            <w:tcMar>
              <w:top w:w="28" w:type="dxa"/>
              <w:bottom w:w="28" w:type="dxa"/>
            </w:tcMar>
            <w:vAlign w:val="center"/>
          </w:tcPr>
          <w:p w14:paraId="563C7229" w14:textId="77777777" w:rsidR="00A37141" w:rsidRPr="00A964FF" w:rsidRDefault="00A37141" w:rsidP="00AE4424">
            <w:pPr>
              <w:pStyle w:val="af6"/>
              <w:rPr>
                <w:rFonts w:ascii="Calibri" w:hAnsi="宋体"/>
                <w:color w:val="auto"/>
              </w:rPr>
            </w:pPr>
            <w:r w:rsidRPr="00A964FF">
              <w:rPr>
                <w:rFonts w:ascii="Calibri" w:hAnsi="宋体"/>
                <w:color w:val="auto"/>
              </w:rPr>
              <w:t>污染源监测计划</w:t>
            </w:r>
          </w:p>
        </w:tc>
        <w:tc>
          <w:tcPr>
            <w:tcW w:w="528" w:type="pct"/>
            <w:vMerge w:val="restart"/>
            <w:tcBorders>
              <w:left w:val="single" w:sz="2" w:space="0" w:color="auto"/>
            </w:tcBorders>
            <w:vAlign w:val="center"/>
          </w:tcPr>
          <w:p w14:paraId="67F46D87" w14:textId="77777777" w:rsidR="00A37141" w:rsidRPr="00A964FF" w:rsidRDefault="00A37141" w:rsidP="00AE4424">
            <w:pPr>
              <w:pStyle w:val="af6"/>
              <w:rPr>
                <w:rFonts w:ascii="Calibri" w:hAnsi="Calibri"/>
                <w:color w:val="auto"/>
              </w:rPr>
            </w:pPr>
            <w:r w:rsidRPr="00A964FF">
              <w:rPr>
                <w:rFonts w:ascii="Calibri" w:hAnsi="宋体"/>
                <w:color w:val="auto"/>
              </w:rPr>
              <w:t>委托有监测资质的单位实施监测</w:t>
            </w:r>
          </w:p>
        </w:tc>
      </w:tr>
      <w:tr w:rsidR="00A37141" w:rsidRPr="00C12E37" w14:paraId="5FC2F456" w14:textId="77777777" w:rsidTr="00A37141">
        <w:trPr>
          <w:trHeight w:val="369"/>
        </w:trPr>
        <w:tc>
          <w:tcPr>
            <w:tcW w:w="263" w:type="pct"/>
            <w:vMerge w:val="restart"/>
            <w:tcBorders>
              <w:right w:val="single" w:sz="2" w:space="0" w:color="auto"/>
            </w:tcBorders>
            <w:tcMar>
              <w:top w:w="28" w:type="dxa"/>
              <w:bottom w:w="28" w:type="dxa"/>
            </w:tcMar>
            <w:vAlign w:val="center"/>
          </w:tcPr>
          <w:p w14:paraId="47EC0D7C" w14:textId="77777777" w:rsidR="00A37141" w:rsidRPr="00A964FF" w:rsidRDefault="00A37141" w:rsidP="00C12E37">
            <w:pPr>
              <w:pStyle w:val="af6"/>
              <w:rPr>
                <w:rFonts w:ascii="Calibri" w:hAnsi="Calibri"/>
                <w:color w:val="auto"/>
              </w:rPr>
            </w:pPr>
            <w:r w:rsidRPr="00A964FF">
              <w:rPr>
                <w:rFonts w:ascii="Calibri" w:hAnsi="宋体"/>
                <w:color w:val="auto"/>
              </w:rPr>
              <w:t>污染源监测</w:t>
            </w:r>
          </w:p>
        </w:tc>
        <w:tc>
          <w:tcPr>
            <w:tcW w:w="312" w:type="pct"/>
            <w:vMerge w:val="restart"/>
            <w:tcBorders>
              <w:left w:val="single" w:sz="2" w:space="0" w:color="auto"/>
            </w:tcBorders>
            <w:tcMar>
              <w:top w:w="28" w:type="dxa"/>
              <w:bottom w:w="28" w:type="dxa"/>
            </w:tcMar>
            <w:vAlign w:val="center"/>
          </w:tcPr>
          <w:p w14:paraId="45CE3440" w14:textId="77777777" w:rsidR="00A37141" w:rsidRPr="00A964FF" w:rsidRDefault="00A37141" w:rsidP="00C12E37">
            <w:pPr>
              <w:pStyle w:val="af6"/>
              <w:rPr>
                <w:rFonts w:ascii="Calibri" w:hAnsi="Calibri"/>
                <w:color w:val="auto"/>
              </w:rPr>
            </w:pPr>
            <w:r w:rsidRPr="00A964FF">
              <w:rPr>
                <w:rFonts w:ascii="Calibri" w:hAnsi="宋体"/>
                <w:color w:val="auto"/>
              </w:rPr>
              <w:t>废气</w:t>
            </w:r>
          </w:p>
        </w:tc>
        <w:tc>
          <w:tcPr>
            <w:tcW w:w="1128" w:type="pct"/>
            <w:tcBorders>
              <w:bottom w:val="single" w:sz="4" w:space="0" w:color="auto"/>
            </w:tcBorders>
            <w:tcMar>
              <w:top w:w="28" w:type="dxa"/>
              <w:bottom w:w="28" w:type="dxa"/>
            </w:tcMar>
            <w:vAlign w:val="center"/>
          </w:tcPr>
          <w:p w14:paraId="12B74BCD" w14:textId="77777777" w:rsidR="00A37141" w:rsidRPr="00A964FF" w:rsidRDefault="00A37141" w:rsidP="00C12E37">
            <w:pPr>
              <w:pStyle w:val="af6"/>
              <w:rPr>
                <w:rFonts w:ascii="Calibri" w:hAnsi="Calibri"/>
                <w:color w:val="auto"/>
              </w:rPr>
            </w:pPr>
            <w:r w:rsidRPr="00A06A90">
              <w:rPr>
                <w:rFonts w:ascii="Calibri" w:hAnsi="Calibri" w:hint="eastAsia"/>
                <w:color w:val="auto"/>
              </w:rPr>
              <w:t>聚合及聚合釜下料废气</w:t>
            </w:r>
          </w:p>
        </w:tc>
        <w:tc>
          <w:tcPr>
            <w:tcW w:w="978" w:type="pct"/>
            <w:tcBorders>
              <w:bottom w:val="single" w:sz="4" w:space="0" w:color="auto"/>
            </w:tcBorders>
            <w:tcMar>
              <w:top w:w="28" w:type="dxa"/>
              <w:bottom w:w="28" w:type="dxa"/>
            </w:tcMar>
            <w:vAlign w:val="center"/>
          </w:tcPr>
          <w:p w14:paraId="1CE3B511" w14:textId="77777777" w:rsidR="00A37141" w:rsidRPr="00C12E37" w:rsidRDefault="00A37141" w:rsidP="00C12E37">
            <w:pPr>
              <w:pStyle w:val="af6"/>
              <w:rPr>
                <w:rFonts w:ascii="Calibri" w:hAnsi="宋体"/>
                <w:color w:val="auto"/>
              </w:rPr>
            </w:pPr>
            <w:r w:rsidRPr="00C12E37">
              <w:rPr>
                <w:rFonts w:ascii="Calibri" w:hAnsi="宋体"/>
                <w:color w:val="auto"/>
              </w:rPr>
              <w:t>非甲烷总烃、氨</w:t>
            </w:r>
          </w:p>
        </w:tc>
        <w:tc>
          <w:tcPr>
            <w:tcW w:w="652" w:type="pct"/>
            <w:tcBorders>
              <w:right w:val="single" w:sz="2" w:space="0" w:color="auto"/>
            </w:tcBorders>
            <w:tcMar>
              <w:top w:w="28" w:type="dxa"/>
              <w:bottom w:w="28" w:type="dxa"/>
            </w:tcMar>
            <w:vAlign w:val="center"/>
          </w:tcPr>
          <w:p w14:paraId="66A60C7D" w14:textId="77777777" w:rsidR="00A37141" w:rsidRPr="00C12E37" w:rsidRDefault="00A37141" w:rsidP="00C12E37">
            <w:pPr>
              <w:pStyle w:val="af6"/>
              <w:rPr>
                <w:rFonts w:ascii="Calibri" w:hAnsi="Calibri"/>
                <w:color w:val="auto"/>
              </w:rPr>
            </w:pPr>
            <w:r w:rsidRPr="00C12E37">
              <w:rPr>
                <w:rFonts w:ascii="Calibri" w:hAnsi="Calibri"/>
                <w:color w:val="auto"/>
              </w:rPr>
              <w:t>1</w:t>
            </w:r>
            <w:r w:rsidRPr="00C12E37">
              <w:rPr>
                <w:rFonts w:ascii="Calibri" w:hAnsi="Calibri"/>
                <w:color w:val="auto"/>
              </w:rPr>
              <w:t>次</w:t>
            </w:r>
            <w:r w:rsidRPr="00C12E37">
              <w:rPr>
                <w:rFonts w:ascii="Calibri" w:hAnsi="Calibri"/>
                <w:color w:val="auto"/>
              </w:rPr>
              <w:t>/</w:t>
            </w:r>
            <w:r w:rsidRPr="00C12E37">
              <w:rPr>
                <w:rFonts w:ascii="Calibri" w:hAnsi="Calibri" w:hint="eastAsia"/>
                <w:color w:val="auto"/>
              </w:rPr>
              <w:t>半年</w:t>
            </w:r>
          </w:p>
        </w:tc>
        <w:tc>
          <w:tcPr>
            <w:tcW w:w="1139" w:type="pct"/>
            <w:tcBorders>
              <w:right w:val="single" w:sz="2" w:space="0" w:color="auto"/>
            </w:tcBorders>
            <w:vAlign w:val="center"/>
          </w:tcPr>
          <w:p w14:paraId="4BB4B5B8" w14:textId="639D11B7" w:rsidR="00A37141" w:rsidRPr="00A37141" w:rsidRDefault="00A37141" w:rsidP="008C1537">
            <w:pPr>
              <w:pStyle w:val="af6"/>
              <w:jc w:val="both"/>
              <w:rPr>
                <w:rFonts w:ascii="Calibri" w:hAnsi="Calibri"/>
                <w:color w:val="auto"/>
              </w:rPr>
            </w:pPr>
            <w:r w:rsidRPr="00A37141">
              <w:rPr>
                <w:rFonts w:ascii="Calibri" w:hAnsi="Calibri" w:hint="eastAsia"/>
                <w:color w:val="auto"/>
              </w:rPr>
              <w:t>非甲烷总烃：</w:t>
            </w:r>
            <w:r w:rsidRPr="00A37141">
              <w:rPr>
                <w:rFonts w:ascii="Calibri" w:hAnsi="Calibri" w:hint="eastAsia"/>
                <w:color w:val="auto"/>
              </w:rPr>
              <w:t>40</w:t>
            </w:r>
            <w:r w:rsidRPr="00A37141">
              <w:rPr>
                <w:rFonts w:ascii="Calibri" w:hAnsi="Calibri"/>
                <w:color w:val="auto"/>
              </w:rPr>
              <w:t>mg/m</w:t>
            </w:r>
            <w:r w:rsidRPr="00A37141">
              <w:rPr>
                <w:rFonts w:ascii="Calibri" w:hAnsi="Calibri"/>
                <w:color w:val="auto"/>
                <w:vertAlign w:val="superscript"/>
              </w:rPr>
              <w:t>3</w:t>
            </w:r>
            <w:r w:rsidRPr="00A37141">
              <w:rPr>
                <w:rFonts w:ascii="Calibri" w:hAnsi="Calibri" w:hint="eastAsia"/>
                <w:color w:val="auto"/>
              </w:rPr>
              <w:t>、</w:t>
            </w:r>
            <w:r w:rsidR="008C1537">
              <w:rPr>
                <w:rFonts w:ascii="Calibri" w:hAnsi="Calibri" w:hint="eastAsia"/>
                <w:color w:val="auto"/>
              </w:rPr>
              <w:t>氨</w:t>
            </w:r>
            <w:r w:rsidRPr="00A37141">
              <w:rPr>
                <w:rFonts w:ascii="Calibri" w:hAnsi="Calibri" w:hint="eastAsia"/>
                <w:color w:val="auto"/>
              </w:rPr>
              <w:t>：</w:t>
            </w:r>
            <w:r w:rsidR="008C1537">
              <w:rPr>
                <w:rFonts w:ascii="Calibri" w:hAnsi="Calibri"/>
                <w:color w:val="auto"/>
              </w:rPr>
              <w:t>30</w:t>
            </w:r>
            <w:r w:rsidRPr="00A37141">
              <w:rPr>
                <w:rFonts w:ascii="Calibri" w:hAnsi="Calibri" w:hint="eastAsia"/>
                <w:color w:val="auto"/>
              </w:rPr>
              <w:t>mg/m</w:t>
            </w:r>
            <w:r w:rsidRPr="00A37141">
              <w:rPr>
                <w:rFonts w:ascii="Calibri" w:hAnsi="Calibri" w:hint="eastAsia"/>
                <w:color w:val="auto"/>
                <w:vertAlign w:val="superscript"/>
              </w:rPr>
              <w:t>3</w:t>
            </w:r>
          </w:p>
        </w:tc>
        <w:tc>
          <w:tcPr>
            <w:tcW w:w="528" w:type="pct"/>
            <w:vMerge/>
            <w:tcBorders>
              <w:left w:val="single" w:sz="2" w:space="0" w:color="auto"/>
            </w:tcBorders>
            <w:tcMar>
              <w:top w:w="28" w:type="dxa"/>
              <w:bottom w:w="28" w:type="dxa"/>
            </w:tcMar>
            <w:vAlign w:val="center"/>
          </w:tcPr>
          <w:p w14:paraId="6EAC36E5" w14:textId="77777777" w:rsidR="00A37141" w:rsidRPr="00C12E37" w:rsidRDefault="00A37141" w:rsidP="00C12E37">
            <w:pPr>
              <w:pStyle w:val="af6"/>
              <w:rPr>
                <w:rFonts w:ascii="Calibri" w:hAnsi="宋体"/>
                <w:color w:val="auto"/>
              </w:rPr>
            </w:pPr>
          </w:p>
        </w:tc>
      </w:tr>
      <w:tr w:rsidR="00A37141" w:rsidRPr="00C12E37" w14:paraId="30614DE5" w14:textId="77777777" w:rsidTr="00A37141">
        <w:trPr>
          <w:trHeight w:val="369"/>
        </w:trPr>
        <w:tc>
          <w:tcPr>
            <w:tcW w:w="263" w:type="pct"/>
            <w:vMerge/>
            <w:tcBorders>
              <w:right w:val="single" w:sz="2" w:space="0" w:color="auto"/>
            </w:tcBorders>
            <w:tcMar>
              <w:top w:w="28" w:type="dxa"/>
              <w:bottom w:w="28" w:type="dxa"/>
            </w:tcMar>
            <w:vAlign w:val="center"/>
          </w:tcPr>
          <w:p w14:paraId="55247EE7" w14:textId="77777777" w:rsidR="00A37141" w:rsidRPr="00A964FF" w:rsidRDefault="00A37141" w:rsidP="00C12E37">
            <w:pPr>
              <w:pStyle w:val="af6"/>
              <w:rPr>
                <w:rFonts w:ascii="Calibri" w:hAnsi="宋体"/>
                <w:color w:val="auto"/>
              </w:rPr>
            </w:pPr>
          </w:p>
        </w:tc>
        <w:tc>
          <w:tcPr>
            <w:tcW w:w="312" w:type="pct"/>
            <w:vMerge/>
            <w:tcBorders>
              <w:left w:val="single" w:sz="2" w:space="0" w:color="auto"/>
            </w:tcBorders>
            <w:tcMar>
              <w:top w:w="28" w:type="dxa"/>
              <w:bottom w:w="28" w:type="dxa"/>
            </w:tcMar>
            <w:vAlign w:val="center"/>
          </w:tcPr>
          <w:p w14:paraId="742540D4" w14:textId="77777777" w:rsidR="00A37141" w:rsidRPr="00A964FF" w:rsidRDefault="00A37141" w:rsidP="00C12E37">
            <w:pPr>
              <w:pStyle w:val="af6"/>
              <w:rPr>
                <w:rFonts w:ascii="Calibri" w:hAnsi="宋体"/>
                <w:color w:val="auto"/>
              </w:rPr>
            </w:pPr>
          </w:p>
        </w:tc>
        <w:tc>
          <w:tcPr>
            <w:tcW w:w="1128" w:type="pct"/>
            <w:tcMar>
              <w:top w:w="28" w:type="dxa"/>
              <w:bottom w:w="28" w:type="dxa"/>
            </w:tcMar>
            <w:vAlign w:val="center"/>
          </w:tcPr>
          <w:p w14:paraId="5434E7D8" w14:textId="77777777" w:rsidR="00A37141" w:rsidRPr="00A964FF" w:rsidRDefault="00A37141" w:rsidP="00C12E37">
            <w:pPr>
              <w:pStyle w:val="af6"/>
              <w:rPr>
                <w:rFonts w:ascii="Calibri" w:hAnsi="Calibri"/>
                <w:color w:val="auto"/>
              </w:rPr>
            </w:pPr>
            <w:r>
              <w:rPr>
                <w:rFonts w:hint="eastAsia"/>
                <w:color w:val="auto"/>
              </w:rPr>
              <w:t>污水处理站</w:t>
            </w:r>
          </w:p>
        </w:tc>
        <w:tc>
          <w:tcPr>
            <w:tcW w:w="978" w:type="pct"/>
            <w:tcMar>
              <w:top w:w="28" w:type="dxa"/>
              <w:bottom w:w="28" w:type="dxa"/>
            </w:tcMar>
            <w:vAlign w:val="center"/>
          </w:tcPr>
          <w:p w14:paraId="0CAF39CA" w14:textId="77777777" w:rsidR="00A37141" w:rsidRPr="00C12E37" w:rsidRDefault="00A37141" w:rsidP="00C12E37">
            <w:pPr>
              <w:pStyle w:val="af6"/>
              <w:rPr>
                <w:rFonts w:ascii="Calibri" w:hAnsi="宋体"/>
                <w:color w:val="auto"/>
              </w:rPr>
            </w:pPr>
            <w:r w:rsidRPr="00C12E37">
              <w:rPr>
                <w:rFonts w:ascii="Calibri" w:hAnsi="宋体" w:hint="eastAsia"/>
                <w:color w:val="auto"/>
              </w:rPr>
              <w:t>NH</w:t>
            </w:r>
            <w:r w:rsidRPr="00C12E37">
              <w:rPr>
                <w:rFonts w:ascii="Calibri" w:hAnsi="宋体" w:hint="eastAsia"/>
                <w:color w:val="auto"/>
                <w:vertAlign w:val="subscript"/>
              </w:rPr>
              <w:t>3</w:t>
            </w:r>
            <w:r w:rsidRPr="00C12E37">
              <w:rPr>
                <w:rFonts w:ascii="Calibri" w:hAnsi="宋体" w:hint="eastAsia"/>
                <w:color w:val="auto"/>
              </w:rPr>
              <w:t>、</w:t>
            </w:r>
            <w:r w:rsidRPr="00C12E37">
              <w:rPr>
                <w:rFonts w:ascii="Calibri" w:hAnsi="宋体" w:hint="eastAsia"/>
                <w:color w:val="auto"/>
              </w:rPr>
              <w:t>H</w:t>
            </w:r>
            <w:r w:rsidRPr="00C12E37">
              <w:rPr>
                <w:rFonts w:ascii="Calibri" w:hAnsi="宋体" w:hint="eastAsia"/>
                <w:color w:val="auto"/>
                <w:vertAlign w:val="subscript"/>
              </w:rPr>
              <w:t>2</w:t>
            </w:r>
            <w:r>
              <w:rPr>
                <w:rFonts w:ascii="Calibri" w:hAnsi="宋体" w:hint="eastAsia"/>
                <w:color w:val="auto"/>
              </w:rPr>
              <w:t>S</w:t>
            </w:r>
            <w:r w:rsidRPr="00C12E37">
              <w:rPr>
                <w:rFonts w:ascii="Calibri" w:hAnsi="宋体" w:hint="eastAsia"/>
                <w:color w:val="auto"/>
              </w:rPr>
              <w:t>、</w:t>
            </w:r>
            <w:r w:rsidRPr="00C12E37">
              <w:rPr>
                <w:rFonts w:ascii="Calibri" w:hAnsi="宋体"/>
                <w:color w:val="auto"/>
              </w:rPr>
              <w:t>非甲烷总烃</w:t>
            </w:r>
          </w:p>
        </w:tc>
        <w:tc>
          <w:tcPr>
            <w:tcW w:w="652" w:type="pct"/>
            <w:tcBorders>
              <w:right w:val="single" w:sz="2" w:space="0" w:color="auto"/>
            </w:tcBorders>
            <w:tcMar>
              <w:top w:w="28" w:type="dxa"/>
              <w:bottom w:w="28" w:type="dxa"/>
            </w:tcMar>
            <w:vAlign w:val="center"/>
          </w:tcPr>
          <w:p w14:paraId="3948B893" w14:textId="77777777" w:rsidR="00A37141" w:rsidRPr="00C12E37" w:rsidRDefault="00A37141" w:rsidP="00C12E37">
            <w:pPr>
              <w:pStyle w:val="af6"/>
              <w:rPr>
                <w:rFonts w:ascii="Calibri" w:hAnsi="Calibri"/>
                <w:color w:val="auto"/>
              </w:rPr>
            </w:pPr>
            <w:r w:rsidRPr="00C12E37">
              <w:rPr>
                <w:rFonts w:ascii="Calibri" w:hAnsi="Calibri"/>
                <w:color w:val="auto"/>
              </w:rPr>
              <w:t>1</w:t>
            </w:r>
            <w:r w:rsidRPr="00C12E37">
              <w:rPr>
                <w:rFonts w:ascii="Calibri" w:hAnsi="Calibri"/>
                <w:color w:val="auto"/>
              </w:rPr>
              <w:t>次</w:t>
            </w:r>
            <w:r w:rsidRPr="00C12E37">
              <w:rPr>
                <w:rFonts w:ascii="Calibri" w:hAnsi="Calibri"/>
                <w:color w:val="auto"/>
              </w:rPr>
              <w:t>/</w:t>
            </w:r>
            <w:r w:rsidRPr="00C12E37">
              <w:rPr>
                <w:rFonts w:ascii="Calibri" w:hAnsi="Calibri" w:hint="eastAsia"/>
                <w:color w:val="auto"/>
              </w:rPr>
              <w:t>半年</w:t>
            </w:r>
          </w:p>
        </w:tc>
        <w:tc>
          <w:tcPr>
            <w:tcW w:w="1139" w:type="pct"/>
            <w:tcBorders>
              <w:right w:val="single" w:sz="2" w:space="0" w:color="auto"/>
            </w:tcBorders>
            <w:vAlign w:val="center"/>
          </w:tcPr>
          <w:p w14:paraId="35DDB01A" w14:textId="3AED56D4" w:rsidR="00A37141" w:rsidRPr="00A37141" w:rsidRDefault="00A37141" w:rsidP="00C12E37">
            <w:pPr>
              <w:pStyle w:val="af6"/>
              <w:rPr>
                <w:rFonts w:asciiTheme="minorHAnsi" w:hAnsiTheme="minorHAnsi"/>
                <w:color w:val="auto"/>
              </w:rPr>
            </w:pPr>
            <w:r w:rsidRPr="00A37141">
              <w:rPr>
                <w:rFonts w:asciiTheme="minorHAnsi" w:hAnsiTheme="minorHAnsi"/>
                <w:szCs w:val="21"/>
              </w:rPr>
              <w:t>NH</w:t>
            </w:r>
            <w:r w:rsidRPr="00A37141">
              <w:rPr>
                <w:rFonts w:asciiTheme="minorHAnsi" w:hAnsiTheme="minorHAnsi"/>
                <w:szCs w:val="21"/>
                <w:vertAlign w:val="subscript"/>
              </w:rPr>
              <w:t>3</w:t>
            </w:r>
            <w:r w:rsidRPr="00A37141">
              <w:rPr>
                <w:rFonts w:asciiTheme="minorHAnsi" w:hAnsiTheme="minorHAnsi" w:hint="eastAsia"/>
                <w:szCs w:val="21"/>
              </w:rPr>
              <w:t>：</w:t>
            </w:r>
            <w:r w:rsidRPr="00A37141">
              <w:rPr>
                <w:rFonts w:asciiTheme="minorHAnsi" w:hAnsiTheme="minorHAnsi"/>
                <w:szCs w:val="21"/>
              </w:rPr>
              <w:t>4.9kg/h</w:t>
            </w:r>
            <w:r w:rsidRPr="00A37141">
              <w:rPr>
                <w:rFonts w:asciiTheme="minorHAnsi" w:hAnsiTheme="minorHAnsi"/>
                <w:szCs w:val="21"/>
              </w:rPr>
              <w:t>、</w:t>
            </w:r>
            <w:r w:rsidRPr="00A37141">
              <w:rPr>
                <w:rFonts w:asciiTheme="minorHAnsi" w:hAnsiTheme="minorHAnsi"/>
                <w:szCs w:val="21"/>
              </w:rPr>
              <w:t>H</w:t>
            </w:r>
            <w:r w:rsidRPr="00A37141">
              <w:rPr>
                <w:rFonts w:asciiTheme="minorHAnsi" w:hAnsiTheme="minorHAnsi"/>
                <w:szCs w:val="21"/>
                <w:vertAlign w:val="subscript"/>
              </w:rPr>
              <w:t>2</w:t>
            </w:r>
            <w:r w:rsidRPr="00A37141">
              <w:rPr>
                <w:rFonts w:asciiTheme="minorHAnsi" w:hAnsiTheme="minorHAnsi"/>
                <w:szCs w:val="21"/>
              </w:rPr>
              <w:t>S</w:t>
            </w:r>
            <w:r w:rsidRPr="00A37141">
              <w:rPr>
                <w:rFonts w:asciiTheme="minorHAnsi" w:hAnsiTheme="minorHAnsi" w:hint="eastAsia"/>
                <w:szCs w:val="21"/>
              </w:rPr>
              <w:t>：</w:t>
            </w:r>
            <w:r w:rsidRPr="00A37141">
              <w:rPr>
                <w:rFonts w:asciiTheme="minorHAnsi" w:hAnsiTheme="minorHAnsi"/>
                <w:szCs w:val="21"/>
              </w:rPr>
              <w:t>0.33kg/h</w:t>
            </w:r>
            <w:r w:rsidR="00C53868">
              <w:rPr>
                <w:rFonts w:asciiTheme="minorHAnsi" w:hAnsiTheme="minorHAnsi" w:hint="eastAsia"/>
                <w:szCs w:val="21"/>
              </w:rPr>
              <w:t>、非甲烷总烃</w:t>
            </w:r>
            <w:r w:rsidR="00C53868" w:rsidRPr="00C53868">
              <w:rPr>
                <w:rFonts w:asciiTheme="minorHAnsi" w:hAnsiTheme="minorHAnsi" w:hint="eastAsia"/>
                <w:szCs w:val="21"/>
              </w:rPr>
              <w:t>40mg/m</w:t>
            </w:r>
            <w:r w:rsidR="00C53868" w:rsidRPr="00C53868">
              <w:rPr>
                <w:rFonts w:asciiTheme="minorHAnsi" w:hAnsiTheme="minorHAnsi" w:hint="eastAsia"/>
                <w:szCs w:val="21"/>
                <w:vertAlign w:val="superscript"/>
              </w:rPr>
              <w:t>3</w:t>
            </w:r>
          </w:p>
        </w:tc>
        <w:tc>
          <w:tcPr>
            <w:tcW w:w="528" w:type="pct"/>
            <w:vMerge/>
            <w:tcBorders>
              <w:left w:val="single" w:sz="2" w:space="0" w:color="auto"/>
            </w:tcBorders>
            <w:tcMar>
              <w:top w:w="28" w:type="dxa"/>
              <w:bottom w:w="28" w:type="dxa"/>
            </w:tcMar>
            <w:vAlign w:val="center"/>
          </w:tcPr>
          <w:p w14:paraId="14B9A0FA" w14:textId="77777777" w:rsidR="00A37141" w:rsidRPr="00C12E37" w:rsidRDefault="00A37141" w:rsidP="00C12E37">
            <w:pPr>
              <w:pStyle w:val="af6"/>
              <w:rPr>
                <w:rFonts w:ascii="Calibri" w:hAnsi="宋体"/>
                <w:color w:val="auto"/>
              </w:rPr>
            </w:pPr>
          </w:p>
        </w:tc>
      </w:tr>
      <w:tr w:rsidR="00A37141" w:rsidRPr="00C12E37" w14:paraId="0BC49464" w14:textId="77777777" w:rsidTr="00A37141">
        <w:trPr>
          <w:trHeight w:val="369"/>
        </w:trPr>
        <w:tc>
          <w:tcPr>
            <w:tcW w:w="263" w:type="pct"/>
            <w:vMerge/>
            <w:tcBorders>
              <w:right w:val="single" w:sz="2" w:space="0" w:color="auto"/>
            </w:tcBorders>
            <w:tcMar>
              <w:top w:w="28" w:type="dxa"/>
              <w:bottom w:w="28" w:type="dxa"/>
            </w:tcMar>
            <w:vAlign w:val="center"/>
          </w:tcPr>
          <w:p w14:paraId="1FF61113" w14:textId="77777777" w:rsidR="00A37141" w:rsidRPr="00A964FF" w:rsidRDefault="00A37141" w:rsidP="00C12E37">
            <w:pPr>
              <w:pStyle w:val="af6"/>
              <w:rPr>
                <w:rFonts w:ascii="Calibri" w:hAnsi="宋体"/>
                <w:color w:val="auto"/>
              </w:rPr>
            </w:pPr>
          </w:p>
        </w:tc>
        <w:tc>
          <w:tcPr>
            <w:tcW w:w="312" w:type="pct"/>
            <w:vMerge/>
            <w:tcBorders>
              <w:left w:val="single" w:sz="2" w:space="0" w:color="auto"/>
            </w:tcBorders>
            <w:tcMar>
              <w:top w:w="28" w:type="dxa"/>
              <w:bottom w:w="28" w:type="dxa"/>
            </w:tcMar>
            <w:vAlign w:val="center"/>
          </w:tcPr>
          <w:p w14:paraId="3DF9D94C" w14:textId="77777777" w:rsidR="00A37141" w:rsidRPr="00A964FF" w:rsidRDefault="00A37141" w:rsidP="00C12E37">
            <w:pPr>
              <w:pStyle w:val="af6"/>
              <w:rPr>
                <w:rFonts w:ascii="Calibri" w:hAnsi="宋体"/>
                <w:color w:val="auto"/>
              </w:rPr>
            </w:pPr>
          </w:p>
        </w:tc>
        <w:tc>
          <w:tcPr>
            <w:tcW w:w="1128" w:type="pct"/>
            <w:vMerge w:val="restart"/>
            <w:tcMar>
              <w:top w:w="28" w:type="dxa"/>
              <w:bottom w:w="28" w:type="dxa"/>
            </w:tcMar>
            <w:vAlign w:val="center"/>
          </w:tcPr>
          <w:p w14:paraId="351218D1" w14:textId="77777777" w:rsidR="00A37141" w:rsidRPr="00473A37" w:rsidRDefault="00A37141" w:rsidP="00C12E37">
            <w:r w:rsidRPr="00473A37">
              <w:rPr>
                <w:rFonts w:hint="eastAsia"/>
              </w:rPr>
              <w:t>导热油炉废气排气筒</w:t>
            </w:r>
          </w:p>
        </w:tc>
        <w:tc>
          <w:tcPr>
            <w:tcW w:w="978" w:type="pct"/>
            <w:tcMar>
              <w:top w:w="28" w:type="dxa"/>
              <w:bottom w:w="28" w:type="dxa"/>
            </w:tcMar>
            <w:vAlign w:val="center"/>
          </w:tcPr>
          <w:p w14:paraId="124EEC76" w14:textId="77777777" w:rsidR="00A37141" w:rsidRPr="00C12E37" w:rsidRDefault="00A37141" w:rsidP="00C12E37">
            <w:pPr>
              <w:pStyle w:val="af6"/>
              <w:rPr>
                <w:rFonts w:ascii="Calibri" w:hAnsi="宋体"/>
                <w:color w:val="auto"/>
              </w:rPr>
            </w:pPr>
            <w:r w:rsidRPr="00C12E37">
              <w:rPr>
                <w:rFonts w:ascii="Calibri" w:hAnsi="宋体" w:hint="eastAsia"/>
                <w:color w:val="auto"/>
              </w:rPr>
              <w:t>NOx</w:t>
            </w:r>
          </w:p>
        </w:tc>
        <w:tc>
          <w:tcPr>
            <w:tcW w:w="652" w:type="pct"/>
            <w:tcBorders>
              <w:right w:val="single" w:sz="2" w:space="0" w:color="auto"/>
            </w:tcBorders>
            <w:tcMar>
              <w:top w:w="28" w:type="dxa"/>
              <w:bottom w:w="28" w:type="dxa"/>
            </w:tcMar>
            <w:vAlign w:val="center"/>
          </w:tcPr>
          <w:p w14:paraId="78D218DF" w14:textId="77777777" w:rsidR="00A37141" w:rsidRPr="00C12E37" w:rsidRDefault="00A37141" w:rsidP="00C12E37">
            <w:pPr>
              <w:pStyle w:val="af6"/>
              <w:rPr>
                <w:rFonts w:ascii="Calibri" w:hAnsi="Calibri"/>
                <w:color w:val="auto"/>
              </w:rPr>
            </w:pPr>
            <w:r w:rsidRPr="00C12E37">
              <w:rPr>
                <w:rFonts w:ascii="Calibri" w:hAnsi="宋体" w:hint="eastAsia"/>
                <w:color w:val="auto"/>
              </w:rPr>
              <w:t>1</w:t>
            </w:r>
            <w:r w:rsidRPr="00C12E37">
              <w:rPr>
                <w:rFonts w:ascii="Calibri" w:hAnsi="宋体" w:hint="eastAsia"/>
                <w:color w:val="auto"/>
              </w:rPr>
              <w:t>次</w:t>
            </w:r>
            <w:r w:rsidRPr="00C12E37">
              <w:rPr>
                <w:rFonts w:ascii="Calibri" w:hAnsi="宋体" w:hint="eastAsia"/>
                <w:color w:val="auto"/>
              </w:rPr>
              <w:t>/</w:t>
            </w:r>
            <w:r w:rsidRPr="00C12E37">
              <w:rPr>
                <w:rFonts w:ascii="Calibri" w:hAnsi="宋体" w:hint="eastAsia"/>
                <w:color w:val="auto"/>
              </w:rPr>
              <w:t>月</w:t>
            </w:r>
          </w:p>
        </w:tc>
        <w:tc>
          <w:tcPr>
            <w:tcW w:w="1139" w:type="pct"/>
            <w:vMerge w:val="restart"/>
            <w:tcBorders>
              <w:right w:val="single" w:sz="2" w:space="0" w:color="auto"/>
            </w:tcBorders>
            <w:vAlign w:val="center"/>
          </w:tcPr>
          <w:p w14:paraId="2F111115" w14:textId="77777777" w:rsidR="00A37141" w:rsidRPr="00C12E37" w:rsidRDefault="00A37141" w:rsidP="00C12E37">
            <w:pPr>
              <w:pStyle w:val="af6"/>
              <w:rPr>
                <w:rFonts w:ascii="Calibri" w:hAnsi="宋体"/>
                <w:color w:val="auto"/>
              </w:rPr>
            </w:pPr>
            <w:r w:rsidRPr="00A37141">
              <w:rPr>
                <w:rFonts w:ascii="Calibri" w:hAnsi="宋体" w:hint="eastAsia"/>
                <w:color w:val="auto"/>
              </w:rPr>
              <w:t>颗粒物</w:t>
            </w:r>
            <w:r w:rsidRPr="00A37141">
              <w:rPr>
                <w:rFonts w:ascii="Calibri" w:hAnsi="宋体" w:hint="eastAsia"/>
                <w:color w:val="auto"/>
              </w:rPr>
              <w:t>5mg/m</w:t>
            </w:r>
            <w:r w:rsidRPr="00A37141">
              <w:rPr>
                <w:rFonts w:ascii="Calibri" w:hAnsi="宋体" w:hint="eastAsia"/>
                <w:color w:val="auto"/>
                <w:vertAlign w:val="superscript"/>
              </w:rPr>
              <w:t>3</w:t>
            </w:r>
            <w:r w:rsidRPr="00A37141">
              <w:rPr>
                <w:rFonts w:ascii="Calibri" w:hAnsi="宋体" w:hint="eastAsia"/>
                <w:color w:val="auto"/>
              </w:rPr>
              <w:t>、</w:t>
            </w:r>
            <w:r w:rsidRPr="00A37141">
              <w:rPr>
                <w:rFonts w:ascii="Calibri" w:hAnsi="宋体" w:hint="eastAsia"/>
                <w:color w:val="auto"/>
              </w:rPr>
              <w:t>SO</w:t>
            </w:r>
            <w:r w:rsidRPr="00A37141">
              <w:rPr>
                <w:rFonts w:ascii="Calibri" w:hAnsi="宋体" w:hint="eastAsia"/>
                <w:color w:val="auto"/>
                <w:vertAlign w:val="subscript"/>
              </w:rPr>
              <w:t>2</w:t>
            </w:r>
            <w:r w:rsidRPr="00A37141">
              <w:rPr>
                <w:rFonts w:ascii="Calibri" w:hAnsi="宋体" w:hint="eastAsia"/>
                <w:color w:val="auto"/>
              </w:rPr>
              <w:t>10mg/m</w:t>
            </w:r>
            <w:r w:rsidRPr="00A37141">
              <w:rPr>
                <w:rFonts w:ascii="Calibri" w:hAnsi="宋体" w:hint="eastAsia"/>
                <w:color w:val="auto"/>
                <w:vertAlign w:val="superscript"/>
              </w:rPr>
              <w:t>3</w:t>
            </w:r>
            <w:r w:rsidRPr="00A37141">
              <w:rPr>
                <w:rFonts w:ascii="Calibri" w:hAnsi="宋体" w:hint="eastAsia"/>
                <w:color w:val="auto"/>
              </w:rPr>
              <w:t>、</w:t>
            </w:r>
            <w:r w:rsidRPr="00A37141">
              <w:rPr>
                <w:rFonts w:ascii="Calibri" w:hAnsi="宋体" w:hint="eastAsia"/>
                <w:color w:val="auto"/>
              </w:rPr>
              <w:t>NOx30mg/m</w:t>
            </w:r>
            <w:r w:rsidRPr="00A37141">
              <w:rPr>
                <w:rFonts w:ascii="Calibri" w:hAnsi="宋体" w:hint="eastAsia"/>
                <w:color w:val="auto"/>
                <w:vertAlign w:val="superscript"/>
              </w:rPr>
              <w:t>3</w:t>
            </w:r>
          </w:p>
        </w:tc>
        <w:tc>
          <w:tcPr>
            <w:tcW w:w="528" w:type="pct"/>
            <w:vMerge/>
            <w:tcBorders>
              <w:left w:val="single" w:sz="2" w:space="0" w:color="auto"/>
            </w:tcBorders>
            <w:tcMar>
              <w:top w:w="28" w:type="dxa"/>
              <w:bottom w:w="28" w:type="dxa"/>
            </w:tcMar>
            <w:vAlign w:val="center"/>
          </w:tcPr>
          <w:p w14:paraId="3CC92606" w14:textId="77777777" w:rsidR="00A37141" w:rsidRPr="00C12E37" w:rsidRDefault="00A37141" w:rsidP="00C12E37">
            <w:pPr>
              <w:pStyle w:val="af6"/>
              <w:rPr>
                <w:rFonts w:ascii="Calibri" w:hAnsi="宋体"/>
                <w:color w:val="auto"/>
              </w:rPr>
            </w:pPr>
          </w:p>
        </w:tc>
      </w:tr>
      <w:tr w:rsidR="00A37141" w:rsidRPr="00C12E37" w14:paraId="7C8576AF" w14:textId="77777777" w:rsidTr="00A37141">
        <w:trPr>
          <w:trHeight w:val="369"/>
        </w:trPr>
        <w:tc>
          <w:tcPr>
            <w:tcW w:w="263" w:type="pct"/>
            <w:vMerge/>
            <w:tcBorders>
              <w:right w:val="single" w:sz="2" w:space="0" w:color="auto"/>
            </w:tcBorders>
            <w:tcMar>
              <w:top w:w="28" w:type="dxa"/>
              <w:bottom w:w="28" w:type="dxa"/>
            </w:tcMar>
            <w:vAlign w:val="center"/>
          </w:tcPr>
          <w:p w14:paraId="0F7D7C80" w14:textId="77777777" w:rsidR="00A37141" w:rsidRPr="00A964FF" w:rsidRDefault="00A37141" w:rsidP="00C12E37">
            <w:pPr>
              <w:pStyle w:val="af6"/>
              <w:rPr>
                <w:rFonts w:ascii="Calibri" w:hAnsi="宋体"/>
                <w:color w:val="auto"/>
              </w:rPr>
            </w:pPr>
          </w:p>
        </w:tc>
        <w:tc>
          <w:tcPr>
            <w:tcW w:w="312" w:type="pct"/>
            <w:vMerge/>
            <w:tcBorders>
              <w:left w:val="single" w:sz="2" w:space="0" w:color="auto"/>
            </w:tcBorders>
            <w:tcMar>
              <w:top w:w="28" w:type="dxa"/>
              <w:bottom w:w="28" w:type="dxa"/>
            </w:tcMar>
            <w:vAlign w:val="center"/>
          </w:tcPr>
          <w:p w14:paraId="5C1DE881" w14:textId="77777777" w:rsidR="00A37141" w:rsidRPr="00A964FF" w:rsidRDefault="00A37141" w:rsidP="00C12E37">
            <w:pPr>
              <w:pStyle w:val="af6"/>
              <w:rPr>
                <w:rFonts w:ascii="Calibri" w:hAnsi="宋体"/>
                <w:color w:val="auto"/>
              </w:rPr>
            </w:pPr>
          </w:p>
        </w:tc>
        <w:tc>
          <w:tcPr>
            <w:tcW w:w="1128" w:type="pct"/>
            <w:vMerge/>
            <w:tcMar>
              <w:top w:w="28" w:type="dxa"/>
              <w:bottom w:w="28" w:type="dxa"/>
            </w:tcMar>
            <w:vAlign w:val="center"/>
          </w:tcPr>
          <w:p w14:paraId="026D8AF0" w14:textId="77777777" w:rsidR="00A37141" w:rsidRPr="00473A37" w:rsidRDefault="00A37141" w:rsidP="00C12E37"/>
        </w:tc>
        <w:tc>
          <w:tcPr>
            <w:tcW w:w="978" w:type="pct"/>
            <w:tcMar>
              <w:top w:w="28" w:type="dxa"/>
              <w:bottom w:w="28" w:type="dxa"/>
            </w:tcMar>
            <w:vAlign w:val="center"/>
          </w:tcPr>
          <w:p w14:paraId="3F77C625" w14:textId="77777777" w:rsidR="00A37141" w:rsidRPr="00C12E37" w:rsidRDefault="00A37141" w:rsidP="00C12E37">
            <w:pPr>
              <w:pStyle w:val="af6"/>
              <w:rPr>
                <w:rFonts w:ascii="Calibri" w:hAnsi="宋体"/>
                <w:color w:val="auto"/>
              </w:rPr>
            </w:pPr>
            <w:r w:rsidRPr="00C12E37">
              <w:rPr>
                <w:rFonts w:ascii="Calibri" w:hAnsi="宋体" w:hint="eastAsia"/>
                <w:color w:val="auto"/>
              </w:rPr>
              <w:t>SO</w:t>
            </w:r>
            <w:r w:rsidRPr="00C12E37">
              <w:rPr>
                <w:rFonts w:ascii="Calibri" w:hAnsi="宋体" w:hint="eastAsia"/>
                <w:color w:val="auto"/>
                <w:vertAlign w:val="subscript"/>
              </w:rPr>
              <w:t>2</w:t>
            </w:r>
            <w:r w:rsidRPr="00C12E37">
              <w:rPr>
                <w:rFonts w:ascii="Calibri" w:hAnsi="宋体" w:hint="eastAsia"/>
                <w:color w:val="auto"/>
              </w:rPr>
              <w:t>、颗粒物</w:t>
            </w:r>
          </w:p>
        </w:tc>
        <w:tc>
          <w:tcPr>
            <w:tcW w:w="652" w:type="pct"/>
            <w:tcBorders>
              <w:right w:val="single" w:sz="2" w:space="0" w:color="auto"/>
            </w:tcBorders>
            <w:tcMar>
              <w:top w:w="28" w:type="dxa"/>
              <w:bottom w:w="28" w:type="dxa"/>
            </w:tcMar>
            <w:vAlign w:val="center"/>
          </w:tcPr>
          <w:p w14:paraId="70F952AE" w14:textId="77777777" w:rsidR="00A37141" w:rsidRPr="00C12E37" w:rsidRDefault="00A37141" w:rsidP="0079485B">
            <w:pPr>
              <w:pStyle w:val="af6"/>
              <w:rPr>
                <w:rFonts w:ascii="Calibri" w:hAnsi="Calibri"/>
                <w:color w:val="auto"/>
              </w:rPr>
            </w:pPr>
            <w:r w:rsidRPr="00C12E37">
              <w:rPr>
                <w:rFonts w:ascii="Calibri" w:hAnsi="Calibri"/>
                <w:color w:val="auto"/>
              </w:rPr>
              <w:t>1</w:t>
            </w:r>
            <w:r w:rsidRPr="00C12E37">
              <w:rPr>
                <w:rFonts w:ascii="Calibri" w:hAnsi="Calibri"/>
                <w:color w:val="auto"/>
              </w:rPr>
              <w:t>次</w:t>
            </w:r>
            <w:r w:rsidRPr="00C12E37">
              <w:rPr>
                <w:rFonts w:ascii="Calibri" w:hAnsi="Calibri"/>
                <w:color w:val="auto"/>
              </w:rPr>
              <w:t>/</w:t>
            </w:r>
            <w:r>
              <w:rPr>
                <w:rFonts w:ascii="Calibri" w:hAnsi="Calibri" w:hint="eastAsia"/>
                <w:color w:val="auto"/>
              </w:rPr>
              <w:t>年</w:t>
            </w:r>
          </w:p>
        </w:tc>
        <w:tc>
          <w:tcPr>
            <w:tcW w:w="1139" w:type="pct"/>
            <w:vMerge/>
            <w:tcBorders>
              <w:right w:val="single" w:sz="2" w:space="0" w:color="auto"/>
            </w:tcBorders>
            <w:vAlign w:val="center"/>
          </w:tcPr>
          <w:p w14:paraId="27E5DADE" w14:textId="77777777" w:rsidR="00A37141" w:rsidRPr="00C12E37" w:rsidRDefault="00A37141" w:rsidP="00C12E37">
            <w:pPr>
              <w:pStyle w:val="af6"/>
              <w:rPr>
                <w:rFonts w:ascii="Calibri" w:hAnsi="宋体"/>
                <w:color w:val="auto"/>
              </w:rPr>
            </w:pPr>
          </w:p>
        </w:tc>
        <w:tc>
          <w:tcPr>
            <w:tcW w:w="528" w:type="pct"/>
            <w:vMerge/>
            <w:tcBorders>
              <w:left w:val="single" w:sz="2" w:space="0" w:color="auto"/>
            </w:tcBorders>
            <w:tcMar>
              <w:top w:w="28" w:type="dxa"/>
              <w:bottom w:w="28" w:type="dxa"/>
            </w:tcMar>
            <w:vAlign w:val="center"/>
          </w:tcPr>
          <w:p w14:paraId="380A41A7" w14:textId="77777777" w:rsidR="00A37141" w:rsidRPr="00C12E37" w:rsidRDefault="00A37141" w:rsidP="00C12E37">
            <w:pPr>
              <w:pStyle w:val="af6"/>
              <w:rPr>
                <w:rFonts w:ascii="Calibri" w:hAnsi="宋体"/>
                <w:color w:val="auto"/>
              </w:rPr>
            </w:pPr>
          </w:p>
        </w:tc>
      </w:tr>
      <w:tr w:rsidR="00A37141" w:rsidRPr="00C12E37" w14:paraId="4876A22F" w14:textId="77777777" w:rsidTr="00A37141">
        <w:trPr>
          <w:trHeight w:val="369"/>
        </w:trPr>
        <w:tc>
          <w:tcPr>
            <w:tcW w:w="263" w:type="pct"/>
            <w:vMerge/>
            <w:tcBorders>
              <w:right w:val="single" w:sz="2" w:space="0" w:color="auto"/>
            </w:tcBorders>
            <w:tcMar>
              <w:top w:w="28" w:type="dxa"/>
              <w:bottom w:w="28" w:type="dxa"/>
            </w:tcMar>
            <w:vAlign w:val="center"/>
          </w:tcPr>
          <w:p w14:paraId="272721AB" w14:textId="77777777" w:rsidR="00A37141" w:rsidRPr="00A964FF" w:rsidRDefault="00A37141" w:rsidP="00AE4424">
            <w:pPr>
              <w:pStyle w:val="af6"/>
              <w:rPr>
                <w:rFonts w:ascii="Calibri" w:hAnsi="Calibri"/>
                <w:color w:val="auto"/>
              </w:rPr>
            </w:pPr>
          </w:p>
        </w:tc>
        <w:tc>
          <w:tcPr>
            <w:tcW w:w="312" w:type="pct"/>
            <w:vMerge/>
            <w:tcBorders>
              <w:left w:val="single" w:sz="2" w:space="0" w:color="auto"/>
            </w:tcBorders>
            <w:tcMar>
              <w:top w:w="28" w:type="dxa"/>
              <w:bottom w:w="28" w:type="dxa"/>
            </w:tcMar>
            <w:vAlign w:val="center"/>
          </w:tcPr>
          <w:p w14:paraId="23436DF9" w14:textId="77777777" w:rsidR="00A37141" w:rsidRPr="00A964FF" w:rsidRDefault="00A37141" w:rsidP="00AE4424">
            <w:pPr>
              <w:pStyle w:val="af6"/>
              <w:rPr>
                <w:rFonts w:ascii="Calibri" w:hAnsi="Calibri"/>
                <w:color w:val="auto"/>
              </w:rPr>
            </w:pPr>
          </w:p>
        </w:tc>
        <w:tc>
          <w:tcPr>
            <w:tcW w:w="1128" w:type="pct"/>
            <w:tcMar>
              <w:top w:w="28" w:type="dxa"/>
              <w:bottom w:w="28" w:type="dxa"/>
            </w:tcMar>
            <w:vAlign w:val="center"/>
          </w:tcPr>
          <w:p w14:paraId="6CDE9C8E" w14:textId="77777777" w:rsidR="00A37141" w:rsidRPr="00A964FF" w:rsidRDefault="00A37141" w:rsidP="00AE4424">
            <w:pPr>
              <w:pStyle w:val="af6"/>
              <w:rPr>
                <w:rFonts w:ascii="Calibri" w:hAnsi="Calibri"/>
                <w:color w:val="auto"/>
              </w:rPr>
            </w:pPr>
            <w:r w:rsidRPr="00A964FF">
              <w:rPr>
                <w:rFonts w:ascii="Calibri" w:hAnsi="宋体"/>
                <w:color w:val="auto"/>
              </w:rPr>
              <w:t>厂界外</w:t>
            </w:r>
            <w:r w:rsidRPr="00A964FF">
              <w:rPr>
                <w:rFonts w:ascii="Calibri" w:hAnsi="Calibri"/>
                <w:color w:val="auto"/>
              </w:rPr>
              <w:t>10m</w:t>
            </w:r>
            <w:r w:rsidRPr="00A964FF">
              <w:rPr>
                <w:rFonts w:ascii="Calibri" w:hAnsi="宋体"/>
                <w:color w:val="auto"/>
              </w:rPr>
              <w:t>范围内</w:t>
            </w:r>
          </w:p>
          <w:p w14:paraId="3328EF25" w14:textId="77777777" w:rsidR="00A37141" w:rsidRPr="00A964FF" w:rsidRDefault="00A37141" w:rsidP="00AE4424">
            <w:pPr>
              <w:pStyle w:val="af6"/>
              <w:rPr>
                <w:rFonts w:ascii="Calibri" w:hAnsi="Calibri"/>
                <w:color w:val="auto"/>
              </w:rPr>
            </w:pPr>
            <w:r w:rsidRPr="00A964FF">
              <w:rPr>
                <w:rFonts w:ascii="Calibri" w:hAnsi="宋体"/>
                <w:color w:val="auto"/>
              </w:rPr>
              <w:t>（无组织废气）</w:t>
            </w:r>
          </w:p>
        </w:tc>
        <w:tc>
          <w:tcPr>
            <w:tcW w:w="978" w:type="pct"/>
            <w:tcMar>
              <w:top w:w="28" w:type="dxa"/>
              <w:bottom w:w="28" w:type="dxa"/>
            </w:tcMar>
            <w:vAlign w:val="center"/>
          </w:tcPr>
          <w:p w14:paraId="446B2626" w14:textId="77777777" w:rsidR="00A37141" w:rsidRPr="00C12E37" w:rsidRDefault="00A37141" w:rsidP="0002141E">
            <w:pPr>
              <w:pStyle w:val="af6"/>
              <w:rPr>
                <w:rFonts w:ascii="Calibri" w:hAnsi="宋体"/>
                <w:color w:val="auto"/>
              </w:rPr>
            </w:pPr>
            <w:r w:rsidRPr="00C12E37">
              <w:rPr>
                <w:rFonts w:ascii="Calibri" w:hAnsi="宋体" w:hint="eastAsia"/>
                <w:color w:val="auto"/>
              </w:rPr>
              <w:t>颗粒物、非甲烷总烃、</w:t>
            </w:r>
            <w:r w:rsidRPr="00C12E37">
              <w:rPr>
                <w:rFonts w:ascii="Calibri" w:hAnsi="宋体" w:hint="eastAsia"/>
                <w:color w:val="auto"/>
              </w:rPr>
              <w:t>NH</w:t>
            </w:r>
            <w:r w:rsidRPr="00C12E37">
              <w:rPr>
                <w:rFonts w:ascii="Calibri" w:hAnsi="宋体" w:hint="eastAsia"/>
                <w:color w:val="auto"/>
                <w:vertAlign w:val="subscript"/>
              </w:rPr>
              <w:t>3</w:t>
            </w:r>
            <w:r w:rsidRPr="00C12E37">
              <w:rPr>
                <w:rFonts w:ascii="Calibri" w:hAnsi="宋体" w:hint="eastAsia"/>
                <w:color w:val="auto"/>
              </w:rPr>
              <w:t>、</w:t>
            </w:r>
            <w:r w:rsidRPr="00C12E37">
              <w:rPr>
                <w:rFonts w:ascii="Calibri" w:hAnsi="宋体" w:hint="eastAsia"/>
                <w:color w:val="auto"/>
              </w:rPr>
              <w:t>H</w:t>
            </w:r>
            <w:r w:rsidRPr="00C12E37">
              <w:rPr>
                <w:rFonts w:ascii="Calibri" w:hAnsi="宋体" w:hint="eastAsia"/>
                <w:color w:val="auto"/>
                <w:vertAlign w:val="subscript"/>
              </w:rPr>
              <w:t>2</w:t>
            </w:r>
            <w:r w:rsidRPr="00C12E37">
              <w:rPr>
                <w:rFonts w:ascii="Calibri" w:hAnsi="宋体" w:hint="eastAsia"/>
                <w:color w:val="auto"/>
              </w:rPr>
              <w:t>S</w:t>
            </w:r>
          </w:p>
        </w:tc>
        <w:tc>
          <w:tcPr>
            <w:tcW w:w="652" w:type="pct"/>
            <w:tcBorders>
              <w:right w:val="single" w:sz="2" w:space="0" w:color="auto"/>
            </w:tcBorders>
            <w:tcMar>
              <w:top w:w="28" w:type="dxa"/>
              <w:bottom w:w="28" w:type="dxa"/>
            </w:tcMar>
            <w:vAlign w:val="center"/>
          </w:tcPr>
          <w:p w14:paraId="5DA35320" w14:textId="77777777" w:rsidR="00A37141" w:rsidRPr="00C12E37" w:rsidRDefault="00A37141" w:rsidP="00271ACD">
            <w:pPr>
              <w:pStyle w:val="af6"/>
              <w:rPr>
                <w:rFonts w:ascii="Calibri" w:hAnsi="Calibri"/>
                <w:color w:val="auto"/>
              </w:rPr>
            </w:pPr>
            <w:r w:rsidRPr="00C12E37">
              <w:rPr>
                <w:rFonts w:ascii="Calibri" w:hAnsi="Calibri"/>
                <w:color w:val="auto"/>
              </w:rPr>
              <w:t>1</w:t>
            </w:r>
            <w:r w:rsidRPr="00C12E37">
              <w:rPr>
                <w:rFonts w:ascii="Calibri" w:hAnsi="Calibri"/>
                <w:color w:val="auto"/>
              </w:rPr>
              <w:t>次</w:t>
            </w:r>
            <w:r w:rsidRPr="00C12E37">
              <w:rPr>
                <w:rFonts w:ascii="Calibri" w:hAnsi="Calibri"/>
                <w:color w:val="auto"/>
              </w:rPr>
              <w:t>/</w:t>
            </w:r>
            <w:r w:rsidRPr="00C12E37">
              <w:rPr>
                <w:rFonts w:ascii="Calibri" w:hAnsi="Calibri" w:hint="eastAsia"/>
                <w:color w:val="auto"/>
              </w:rPr>
              <w:t>半年</w:t>
            </w:r>
          </w:p>
        </w:tc>
        <w:tc>
          <w:tcPr>
            <w:tcW w:w="1139" w:type="pct"/>
            <w:tcBorders>
              <w:right w:val="single" w:sz="2" w:space="0" w:color="auto"/>
            </w:tcBorders>
            <w:vAlign w:val="center"/>
          </w:tcPr>
          <w:p w14:paraId="5DB8CBDD" w14:textId="77777777" w:rsidR="00A37141" w:rsidRPr="00A37141" w:rsidRDefault="00A37141" w:rsidP="00AE4424">
            <w:pPr>
              <w:pStyle w:val="af6"/>
              <w:rPr>
                <w:rFonts w:asciiTheme="minorHAnsi" w:hAnsiTheme="minorHAnsi"/>
                <w:color w:val="auto"/>
              </w:rPr>
            </w:pPr>
            <w:r w:rsidRPr="00A37141">
              <w:rPr>
                <w:rFonts w:asciiTheme="minorHAnsi" w:hAnsiTheme="minorHAnsi"/>
                <w:szCs w:val="21"/>
              </w:rPr>
              <w:t>颗粒物企业边界浓度</w:t>
            </w:r>
            <w:r w:rsidRPr="00A37141">
              <w:rPr>
                <w:rFonts w:asciiTheme="minorHAnsi" w:hAnsiTheme="minorHAnsi"/>
                <w:szCs w:val="21"/>
              </w:rPr>
              <w:t>1.0mg/m</w:t>
            </w:r>
            <w:r w:rsidRPr="00A37141">
              <w:rPr>
                <w:rFonts w:asciiTheme="minorHAnsi" w:hAnsiTheme="minorHAnsi"/>
                <w:szCs w:val="21"/>
                <w:vertAlign w:val="superscript"/>
              </w:rPr>
              <w:t>3</w:t>
            </w:r>
            <w:r w:rsidRPr="00A37141">
              <w:rPr>
                <w:rFonts w:asciiTheme="minorHAnsi" w:hAnsiTheme="minorHAnsi"/>
                <w:szCs w:val="21"/>
              </w:rPr>
              <w:t>、非甲烷总烃企业边界浓度</w:t>
            </w:r>
            <w:r w:rsidRPr="00A37141">
              <w:rPr>
                <w:rFonts w:asciiTheme="minorHAnsi" w:hAnsiTheme="minorHAnsi"/>
                <w:szCs w:val="21"/>
              </w:rPr>
              <w:t>2.0mg/m</w:t>
            </w:r>
            <w:r w:rsidRPr="00A37141">
              <w:rPr>
                <w:rFonts w:asciiTheme="minorHAnsi" w:hAnsiTheme="minorHAnsi"/>
                <w:szCs w:val="21"/>
                <w:vertAlign w:val="superscript"/>
              </w:rPr>
              <w:t>3</w:t>
            </w:r>
            <w:r w:rsidRPr="00A37141">
              <w:rPr>
                <w:rFonts w:asciiTheme="minorHAnsi" w:hAnsiTheme="minorHAnsi"/>
                <w:szCs w:val="21"/>
              </w:rPr>
              <w:t>、</w:t>
            </w:r>
            <w:r w:rsidRPr="00A37141">
              <w:rPr>
                <w:rFonts w:asciiTheme="minorHAnsi" w:hAnsiTheme="minorHAnsi"/>
                <w:szCs w:val="21"/>
              </w:rPr>
              <w:t>NH</w:t>
            </w:r>
            <w:r w:rsidRPr="00A37141">
              <w:rPr>
                <w:rFonts w:asciiTheme="minorHAnsi" w:hAnsiTheme="minorHAnsi"/>
                <w:szCs w:val="21"/>
                <w:vertAlign w:val="subscript"/>
              </w:rPr>
              <w:t>3</w:t>
            </w:r>
            <w:r w:rsidRPr="00A37141">
              <w:rPr>
                <w:rFonts w:asciiTheme="minorHAnsi" w:hAnsiTheme="minorHAnsi"/>
                <w:szCs w:val="21"/>
              </w:rPr>
              <w:t>厂界标准</w:t>
            </w:r>
            <w:r w:rsidRPr="00A37141">
              <w:rPr>
                <w:rFonts w:asciiTheme="minorHAnsi" w:hAnsiTheme="minorHAnsi"/>
                <w:szCs w:val="21"/>
              </w:rPr>
              <w:t>1.5mg/m</w:t>
            </w:r>
            <w:r w:rsidRPr="00A37141">
              <w:rPr>
                <w:rFonts w:asciiTheme="minorHAnsi" w:hAnsiTheme="minorHAnsi"/>
                <w:szCs w:val="21"/>
                <w:vertAlign w:val="superscript"/>
              </w:rPr>
              <w:t>3</w:t>
            </w:r>
            <w:r w:rsidRPr="00A37141">
              <w:rPr>
                <w:rFonts w:asciiTheme="minorHAnsi" w:hAnsiTheme="minorHAnsi"/>
                <w:szCs w:val="21"/>
              </w:rPr>
              <w:t>、</w:t>
            </w:r>
            <w:r w:rsidRPr="00A37141">
              <w:rPr>
                <w:rFonts w:asciiTheme="minorHAnsi" w:hAnsiTheme="minorHAnsi"/>
                <w:szCs w:val="21"/>
              </w:rPr>
              <w:t>H</w:t>
            </w:r>
            <w:r w:rsidRPr="00A37141">
              <w:rPr>
                <w:rFonts w:asciiTheme="minorHAnsi" w:hAnsiTheme="minorHAnsi"/>
                <w:szCs w:val="21"/>
                <w:vertAlign w:val="subscript"/>
              </w:rPr>
              <w:t>2</w:t>
            </w:r>
            <w:r w:rsidRPr="00A37141">
              <w:rPr>
                <w:rFonts w:asciiTheme="minorHAnsi" w:hAnsiTheme="minorHAnsi"/>
                <w:szCs w:val="21"/>
              </w:rPr>
              <w:t>S</w:t>
            </w:r>
            <w:r w:rsidRPr="00A37141">
              <w:rPr>
                <w:rFonts w:asciiTheme="minorHAnsi" w:hAnsiTheme="minorHAnsi"/>
                <w:szCs w:val="21"/>
              </w:rPr>
              <w:t>厂界标准</w:t>
            </w:r>
            <w:r w:rsidRPr="00A37141">
              <w:rPr>
                <w:rFonts w:asciiTheme="minorHAnsi" w:hAnsiTheme="minorHAnsi"/>
                <w:szCs w:val="21"/>
              </w:rPr>
              <w:t>0.06mg/m</w:t>
            </w:r>
            <w:r w:rsidRPr="00A37141">
              <w:rPr>
                <w:rFonts w:asciiTheme="minorHAnsi" w:hAnsiTheme="minorHAnsi"/>
                <w:szCs w:val="21"/>
                <w:vertAlign w:val="superscript"/>
              </w:rPr>
              <w:t>3</w:t>
            </w:r>
          </w:p>
        </w:tc>
        <w:tc>
          <w:tcPr>
            <w:tcW w:w="528" w:type="pct"/>
            <w:vMerge/>
            <w:tcBorders>
              <w:left w:val="single" w:sz="2" w:space="0" w:color="auto"/>
            </w:tcBorders>
            <w:tcMar>
              <w:top w:w="28" w:type="dxa"/>
              <w:bottom w:w="28" w:type="dxa"/>
            </w:tcMar>
            <w:vAlign w:val="center"/>
          </w:tcPr>
          <w:p w14:paraId="1571C3F1" w14:textId="77777777" w:rsidR="00A37141" w:rsidRPr="00C12E37" w:rsidRDefault="00A37141" w:rsidP="00AE4424">
            <w:pPr>
              <w:pStyle w:val="af6"/>
              <w:rPr>
                <w:rFonts w:ascii="Calibri" w:hAnsi="宋体"/>
                <w:color w:val="auto"/>
              </w:rPr>
            </w:pPr>
          </w:p>
        </w:tc>
      </w:tr>
      <w:tr w:rsidR="00A37141" w:rsidRPr="00C12E37" w14:paraId="61D9CC02" w14:textId="77777777" w:rsidTr="00A37141">
        <w:trPr>
          <w:trHeight w:val="467"/>
        </w:trPr>
        <w:tc>
          <w:tcPr>
            <w:tcW w:w="263" w:type="pct"/>
            <w:vMerge/>
            <w:tcBorders>
              <w:right w:val="single" w:sz="2" w:space="0" w:color="auto"/>
            </w:tcBorders>
            <w:tcMar>
              <w:top w:w="28" w:type="dxa"/>
              <w:bottom w:w="28" w:type="dxa"/>
            </w:tcMar>
            <w:vAlign w:val="center"/>
          </w:tcPr>
          <w:p w14:paraId="0A38B04E" w14:textId="77777777" w:rsidR="00A37141" w:rsidRPr="00A964FF" w:rsidRDefault="00A37141" w:rsidP="00AE4424">
            <w:pPr>
              <w:pStyle w:val="af6"/>
              <w:rPr>
                <w:rFonts w:ascii="Calibri" w:hAnsi="Calibri"/>
                <w:color w:val="auto"/>
              </w:rPr>
            </w:pPr>
          </w:p>
        </w:tc>
        <w:tc>
          <w:tcPr>
            <w:tcW w:w="312" w:type="pct"/>
            <w:vMerge w:val="restart"/>
            <w:tcBorders>
              <w:left w:val="single" w:sz="2" w:space="0" w:color="auto"/>
            </w:tcBorders>
            <w:tcMar>
              <w:top w:w="28" w:type="dxa"/>
              <w:bottom w:w="28" w:type="dxa"/>
            </w:tcMar>
            <w:vAlign w:val="center"/>
          </w:tcPr>
          <w:p w14:paraId="3BD061E6" w14:textId="77777777" w:rsidR="00A37141" w:rsidRPr="00A964FF" w:rsidRDefault="00A37141" w:rsidP="00AE4424">
            <w:pPr>
              <w:pStyle w:val="af6"/>
              <w:rPr>
                <w:rFonts w:ascii="Calibri" w:hAnsi="Calibri"/>
                <w:color w:val="auto"/>
              </w:rPr>
            </w:pPr>
            <w:r w:rsidRPr="00A964FF">
              <w:rPr>
                <w:rFonts w:ascii="Calibri" w:hAnsi="宋体"/>
                <w:color w:val="auto"/>
              </w:rPr>
              <w:t>废水</w:t>
            </w:r>
          </w:p>
        </w:tc>
        <w:tc>
          <w:tcPr>
            <w:tcW w:w="1128" w:type="pct"/>
            <w:tcMar>
              <w:top w:w="28" w:type="dxa"/>
              <w:bottom w:w="28" w:type="dxa"/>
            </w:tcMar>
            <w:vAlign w:val="center"/>
          </w:tcPr>
          <w:p w14:paraId="44488BEC" w14:textId="77777777" w:rsidR="00A37141" w:rsidRPr="00A964FF" w:rsidRDefault="00A37141" w:rsidP="00AE4424">
            <w:pPr>
              <w:pStyle w:val="af6"/>
              <w:rPr>
                <w:rFonts w:ascii="Calibri" w:hAnsi="Calibri"/>
                <w:color w:val="auto"/>
              </w:rPr>
            </w:pPr>
            <w:r w:rsidRPr="00A964FF">
              <w:rPr>
                <w:rFonts w:ascii="Calibri" w:hAnsi="宋体"/>
                <w:color w:val="auto"/>
              </w:rPr>
              <w:t>厂区废水总排放口</w:t>
            </w:r>
          </w:p>
        </w:tc>
        <w:tc>
          <w:tcPr>
            <w:tcW w:w="978" w:type="pct"/>
            <w:tcMar>
              <w:top w:w="28" w:type="dxa"/>
              <w:bottom w:w="28" w:type="dxa"/>
            </w:tcMar>
            <w:vAlign w:val="center"/>
          </w:tcPr>
          <w:p w14:paraId="2E2CAEA2" w14:textId="201A40FF" w:rsidR="00A37141" w:rsidRPr="00C12E37" w:rsidRDefault="00A37141" w:rsidP="00C50ECF">
            <w:pPr>
              <w:pStyle w:val="af6"/>
              <w:rPr>
                <w:rFonts w:ascii="Calibri" w:hAnsi="宋体"/>
                <w:color w:val="auto"/>
              </w:rPr>
            </w:pPr>
            <w:r w:rsidRPr="00C12E37">
              <w:rPr>
                <w:rFonts w:ascii="Calibri" w:hAnsi="宋体" w:hint="eastAsia"/>
                <w:color w:val="auto"/>
              </w:rPr>
              <w:t>COD</w:t>
            </w:r>
            <w:r w:rsidRPr="00C12E37">
              <w:rPr>
                <w:rFonts w:ascii="Calibri" w:hAnsi="宋体" w:hint="eastAsia"/>
                <w:color w:val="auto"/>
              </w:rPr>
              <w:t>、</w:t>
            </w:r>
            <w:r w:rsidRPr="00C12E37">
              <w:rPr>
                <w:rFonts w:ascii="Calibri" w:hAnsi="宋体" w:hint="eastAsia"/>
                <w:color w:val="auto"/>
              </w:rPr>
              <w:t>BOD</w:t>
            </w:r>
            <w:r w:rsidRPr="00C12E37">
              <w:rPr>
                <w:rFonts w:ascii="Calibri" w:hAnsi="宋体" w:hint="eastAsia"/>
                <w:color w:val="auto"/>
                <w:vertAlign w:val="subscript"/>
              </w:rPr>
              <w:t>5</w:t>
            </w:r>
            <w:r w:rsidRPr="00C12E37">
              <w:rPr>
                <w:rFonts w:ascii="Calibri" w:hAnsi="宋体" w:hint="eastAsia"/>
                <w:color w:val="auto"/>
              </w:rPr>
              <w:t>、</w:t>
            </w:r>
            <w:r w:rsidRPr="00C12E37">
              <w:rPr>
                <w:rFonts w:ascii="Calibri" w:hAnsi="宋体" w:hint="eastAsia"/>
                <w:color w:val="auto"/>
              </w:rPr>
              <w:t>SS</w:t>
            </w:r>
            <w:r w:rsidRPr="00C12E37">
              <w:rPr>
                <w:rFonts w:ascii="Calibri" w:hAnsi="宋体" w:hint="eastAsia"/>
                <w:color w:val="auto"/>
              </w:rPr>
              <w:t>、</w:t>
            </w:r>
            <w:r w:rsidRPr="00C12E37">
              <w:rPr>
                <w:rFonts w:ascii="Calibri" w:hAnsi="宋体" w:hint="eastAsia"/>
                <w:color w:val="auto"/>
              </w:rPr>
              <w:t>NH</w:t>
            </w:r>
            <w:r w:rsidRPr="00C12E37">
              <w:rPr>
                <w:rFonts w:ascii="Calibri" w:hAnsi="宋体" w:hint="eastAsia"/>
                <w:color w:val="auto"/>
                <w:vertAlign w:val="subscript"/>
              </w:rPr>
              <w:t>3</w:t>
            </w:r>
            <w:r w:rsidRPr="00C12E37">
              <w:rPr>
                <w:rFonts w:ascii="Calibri" w:hAnsi="宋体" w:hint="eastAsia"/>
                <w:color w:val="auto"/>
              </w:rPr>
              <w:t>-N</w:t>
            </w:r>
            <w:r w:rsidR="00364EBD">
              <w:rPr>
                <w:rFonts w:ascii="Calibri" w:hAnsi="宋体" w:hint="eastAsia"/>
                <w:color w:val="auto"/>
              </w:rPr>
              <w:t>、</w:t>
            </w:r>
            <w:r w:rsidR="00364EBD">
              <w:rPr>
                <w:rFonts w:ascii="Calibri" w:hAnsi="宋体" w:hint="eastAsia"/>
                <w:color w:val="auto"/>
              </w:rPr>
              <w:t>TN</w:t>
            </w:r>
          </w:p>
        </w:tc>
        <w:tc>
          <w:tcPr>
            <w:tcW w:w="652" w:type="pct"/>
            <w:tcBorders>
              <w:right w:val="single" w:sz="2" w:space="0" w:color="auto"/>
            </w:tcBorders>
            <w:tcMar>
              <w:top w:w="28" w:type="dxa"/>
              <w:bottom w:w="28" w:type="dxa"/>
            </w:tcMar>
            <w:vAlign w:val="center"/>
          </w:tcPr>
          <w:p w14:paraId="033444C9" w14:textId="77777777" w:rsidR="00A37141" w:rsidRPr="00C12E37" w:rsidRDefault="00A37141" w:rsidP="00AE4424">
            <w:pPr>
              <w:pStyle w:val="af6"/>
              <w:rPr>
                <w:rFonts w:ascii="Calibri" w:hAnsi="Calibri"/>
                <w:color w:val="auto"/>
              </w:rPr>
            </w:pPr>
            <w:r w:rsidRPr="00C12E37">
              <w:rPr>
                <w:rFonts w:ascii="Calibri" w:hAnsi="Calibri"/>
                <w:color w:val="auto"/>
              </w:rPr>
              <w:t>1</w:t>
            </w:r>
            <w:r w:rsidRPr="00C12E37">
              <w:rPr>
                <w:rFonts w:ascii="Calibri" w:hAnsi="Calibri"/>
                <w:color w:val="auto"/>
              </w:rPr>
              <w:t>次</w:t>
            </w:r>
            <w:r w:rsidRPr="00C12E37">
              <w:rPr>
                <w:rFonts w:ascii="Calibri" w:hAnsi="Calibri"/>
                <w:color w:val="auto"/>
              </w:rPr>
              <w:t>/</w:t>
            </w:r>
            <w:r w:rsidRPr="00C12E37">
              <w:rPr>
                <w:rFonts w:ascii="Calibri" w:hAnsi="Calibri" w:hint="eastAsia"/>
                <w:color w:val="auto"/>
              </w:rPr>
              <w:t>半年</w:t>
            </w:r>
          </w:p>
        </w:tc>
        <w:tc>
          <w:tcPr>
            <w:tcW w:w="1139" w:type="pct"/>
            <w:tcBorders>
              <w:right w:val="single" w:sz="2" w:space="0" w:color="auto"/>
            </w:tcBorders>
            <w:vAlign w:val="center"/>
          </w:tcPr>
          <w:p w14:paraId="073F94E3" w14:textId="77777777" w:rsidR="00A37141" w:rsidRPr="00A37141" w:rsidRDefault="00A37141" w:rsidP="00A37141">
            <w:pPr>
              <w:spacing w:line="320" w:lineRule="exact"/>
              <w:jc w:val="center"/>
              <w:rPr>
                <w:rFonts w:asciiTheme="minorHAnsi" w:hAnsiTheme="minorHAnsi"/>
                <w:szCs w:val="21"/>
              </w:rPr>
            </w:pPr>
            <w:r w:rsidRPr="00A37141">
              <w:rPr>
                <w:rFonts w:asciiTheme="minorHAnsi" w:hAnsiTheme="minorHAnsi"/>
                <w:szCs w:val="21"/>
              </w:rPr>
              <w:t>COD</w:t>
            </w:r>
            <w:r w:rsidRPr="00A37141">
              <w:rPr>
                <w:rFonts w:asciiTheme="minorHAnsi" w:hAnsiTheme="minorHAnsi"/>
                <w:szCs w:val="21"/>
              </w:rPr>
              <w:t>：</w:t>
            </w:r>
            <w:r w:rsidRPr="00A37141">
              <w:rPr>
                <w:rFonts w:asciiTheme="minorHAnsi" w:hAnsiTheme="minorHAnsi"/>
                <w:szCs w:val="21"/>
              </w:rPr>
              <w:t>300mg/L</w:t>
            </w:r>
            <w:r w:rsidRPr="00A37141">
              <w:rPr>
                <w:rFonts w:asciiTheme="minorHAnsi" w:hAnsiTheme="minorHAnsi"/>
                <w:szCs w:val="21"/>
              </w:rPr>
              <w:t>、</w:t>
            </w:r>
          </w:p>
          <w:p w14:paraId="2D3F6EFB" w14:textId="77777777" w:rsidR="00A37141" w:rsidRPr="00A37141" w:rsidRDefault="00A37141" w:rsidP="00A37141">
            <w:pPr>
              <w:spacing w:line="320" w:lineRule="exact"/>
              <w:jc w:val="center"/>
              <w:rPr>
                <w:rFonts w:asciiTheme="minorHAnsi" w:hAnsiTheme="minorHAnsi"/>
                <w:szCs w:val="21"/>
              </w:rPr>
            </w:pPr>
            <w:r w:rsidRPr="00A37141">
              <w:rPr>
                <w:rFonts w:asciiTheme="minorHAnsi" w:hAnsiTheme="minorHAnsi"/>
                <w:szCs w:val="21"/>
              </w:rPr>
              <w:t>BOD</w:t>
            </w:r>
            <w:r w:rsidRPr="00A37141">
              <w:rPr>
                <w:rFonts w:asciiTheme="minorHAnsi" w:hAnsiTheme="minorHAnsi"/>
                <w:szCs w:val="21"/>
                <w:vertAlign w:val="subscript"/>
              </w:rPr>
              <w:t>5</w:t>
            </w:r>
            <w:r w:rsidRPr="00A37141">
              <w:rPr>
                <w:rFonts w:asciiTheme="minorHAnsi" w:hAnsiTheme="minorHAnsi"/>
                <w:szCs w:val="21"/>
              </w:rPr>
              <w:t>：</w:t>
            </w:r>
            <w:r w:rsidRPr="00A37141">
              <w:rPr>
                <w:rFonts w:asciiTheme="minorHAnsi" w:hAnsiTheme="minorHAnsi"/>
                <w:szCs w:val="21"/>
              </w:rPr>
              <w:t>150mg/L</w:t>
            </w:r>
            <w:r w:rsidRPr="00A37141">
              <w:rPr>
                <w:rFonts w:asciiTheme="minorHAnsi" w:hAnsiTheme="minorHAnsi"/>
                <w:szCs w:val="21"/>
              </w:rPr>
              <w:t>、</w:t>
            </w:r>
          </w:p>
          <w:p w14:paraId="75916B96" w14:textId="77777777" w:rsidR="00A37141" w:rsidRPr="00A37141" w:rsidRDefault="00A37141" w:rsidP="00A37141">
            <w:pPr>
              <w:spacing w:line="320" w:lineRule="exact"/>
              <w:jc w:val="center"/>
              <w:rPr>
                <w:rFonts w:asciiTheme="minorHAnsi" w:hAnsiTheme="minorHAnsi"/>
                <w:szCs w:val="21"/>
              </w:rPr>
            </w:pPr>
            <w:r w:rsidRPr="00A37141">
              <w:rPr>
                <w:rFonts w:asciiTheme="minorHAnsi" w:hAnsiTheme="minorHAnsi"/>
                <w:szCs w:val="21"/>
              </w:rPr>
              <w:t>NH</w:t>
            </w:r>
            <w:r w:rsidRPr="00A37141">
              <w:rPr>
                <w:rFonts w:asciiTheme="minorHAnsi" w:hAnsiTheme="minorHAnsi"/>
                <w:szCs w:val="21"/>
                <w:vertAlign w:val="subscript"/>
              </w:rPr>
              <w:t>3</w:t>
            </w:r>
            <w:r w:rsidRPr="00A37141">
              <w:rPr>
                <w:rFonts w:asciiTheme="minorHAnsi" w:hAnsiTheme="minorHAnsi"/>
                <w:szCs w:val="21"/>
              </w:rPr>
              <w:t>-N</w:t>
            </w:r>
            <w:r w:rsidRPr="00A37141">
              <w:rPr>
                <w:rFonts w:asciiTheme="minorHAnsi" w:hAnsiTheme="minorHAnsi"/>
                <w:szCs w:val="21"/>
              </w:rPr>
              <w:t>：</w:t>
            </w:r>
            <w:r w:rsidRPr="00A37141">
              <w:rPr>
                <w:rFonts w:asciiTheme="minorHAnsi" w:hAnsiTheme="minorHAnsi"/>
                <w:szCs w:val="21"/>
              </w:rPr>
              <w:t>30mg/L</w:t>
            </w:r>
            <w:r w:rsidRPr="00A37141">
              <w:rPr>
                <w:rFonts w:asciiTheme="minorHAnsi" w:hAnsiTheme="minorHAnsi"/>
                <w:szCs w:val="21"/>
              </w:rPr>
              <w:t>、</w:t>
            </w:r>
          </w:p>
          <w:p w14:paraId="66D95755" w14:textId="3AADDFA3" w:rsidR="00A37141" w:rsidRPr="00C12E37" w:rsidRDefault="00A37141" w:rsidP="00026202">
            <w:pPr>
              <w:pStyle w:val="af6"/>
              <w:rPr>
                <w:rFonts w:ascii="Calibri" w:hAnsi="宋体" w:hint="eastAsia"/>
                <w:color w:val="auto"/>
              </w:rPr>
            </w:pPr>
            <w:r w:rsidRPr="00A37141">
              <w:rPr>
                <w:rFonts w:asciiTheme="minorHAnsi" w:hAnsiTheme="minorHAnsi"/>
                <w:szCs w:val="21"/>
              </w:rPr>
              <w:t>SS</w:t>
            </w:r>
            <w:r w:rsidRPr="00A37141">
              <w:rPr>
                <w:rFonts w:asciiTheme="minorHAnsi" w:hAnsiTheme="minorHAnsi"/>
                <w:szCs w:val="21"/>
              </w:rPr>
              <w:t>：</w:t>
            </w:r>
            <w:r w:rsidRPr="00A37141">
              <w:rPr>
                <w:rFonts w:asciiTheme="minorHAnsi" w:hAnsiTheme="minorHAnsi"/>
                <w:bCs/>
                <w:szCs w:val="21"/>
              </w:rPr>
              <w:t>150mg/L</w:t>
            </w:r>
            <w:r w:rsidR="00026202">
              <w:rPr>
                <w:rFonts w:asciiTheme="minorHAnsi" w:hAnsiTheme="minorHAnsi" w:hint="eastAsia"/>
                <w:bCs/>
                <w:szCs w:val="21"/>
              </w:rPr>
              <w:t>、</w:t>
            </w:r>
            <w:r w:rsidR="00026202">
              <w:rPr>
                <w:rFonts w:asciiTheme="minorHAnsi" w:hAnsiTheme="minorHAnsi"/>
                <w:szCs w:val="21"/>
              </w:rPr>
              <w:t>TN</w:t>
            </w:r>
            <w:r w:rsidR="00026202" w:rsidRPr="00A37141">
              <w:rPr>
                <w:rFonts w:asciiTheme="minorHAnsi" w:hAnsiTheme="minorHAnsi"/>
                <w:szCs w:val="21"/>
              </w:rPr>
              <w:t>：</w:t>
            </w:r>
            <w:r w:rsidR="00026202">
              <w:rPr>
                <w:rFonts w:asciiTheme="minorHAnsi" w:hAnsiTheme="minorHAnsi"/>
                <w:szCs w:val="21"/>
              </w:rPr>
              <w:t>50</w:t>
            </w:r>
            <w:r w:rsidR="00026202" w:rsidRPr="00A37141">
              <w:rPr>
                <w:rFonts w:asciiTheme="minorHAnsi" w:hAnsiTheme="minorHAnsi"/>
                <w:szCs w:val="21"/>
              </w:rPr>
              <w:t>mg/L</w:t>
            </w:r>
          </w:p>
        </w:tc>
        <w:tc>
          <w:tcPr>
            <w:tcW w:w="528" w:type="pct"/>
            <w:vMerge/>
            <w:tcBorders>
              <w:left w:val="single" w:sz="2" w:space="0" w:color="auto"/>
            </w:tcBorders>
            <w:tcMar>
              <w:top w:w="28" w:type="dxa"/>
              <w:bottom w:w="28" w:type="dxa"/>
            </w:tcMar>
            <w:vAlign w:val="center"/>
          </w:tcPr>
          <w:p w14:paraId="3AF84773" w14:textId="77777777" w:rsidR="00A37141" w:rsidRPr="00C12E37" w:rsidRDefault="00A37141" w:rsidP="00AE4424">
            <w:pPr>
              <w:pStyle w:val="af6"/>
              <w:rPr>
                <w:rFonts w:ascii="Calibri" w:hAnsi="宋体"/>
                <w:color w:val="auto"/>
              </w:rPr>
            </w:pPr>
          </w:p>
        </w:tc>
      </w:tr>
      <w:tr w:rsidR="00A37141" w:rsidRPr="00C12E37" w14:paraId="721EA39B" w14:textId="77777777" w:rsidTr="00A37141">
        <w:trPr>
          <w:trHeight w:val="369"/>
        </w:trPr>
        <w:tc>
          <w:tcPr>
            <w:tcW w:w="263" w:type="pct"/>
            <w:vMerge/>
            <w:tcBorders>
              <w:right w:val="single" w:sz="2" w:space="0" w:color="auto"/>
            </w:tcBorders>
            <w:tcMar>
              <w:top w:w="28" w:type="dxa"/>
              <w:bottom w:w="28" w:type="dxa"/>
            </w:tcMar>
            <w:vAlign w:val="center"/>
          </w:tcPr>
          <w:p w14:paraId="7B7462A2" w14:textId="77777777" w:rsidR="00A37141" w:rsidRPr="00A964FF" w:rsidRDefault="00A37141" w:rsidP="00AE4424">
            <w:pPr>
              <w:pStyle w:val="af6"/>
              <w:rPr>
                <w:rFonts w:ascii="Calibri" w:hAnsi="Calibri"/>
                <w:color w:val="auto"/>
              </w:rPr>
            </w:pPr>
          </w:p>
        </w:tc>
        <w:tc>
          <w:tcPr>
            <w:tcW w:w="312" w:type="pct"/>
            <w:vMerge/>
            <w:tcBorders>
              <w:left w:val="single" w:sz="2" w:space="0" w:color="auto"/>
            </w:tcBorders>
            <w:tcMar>
              <w:top w:w="28" w:type="dxa"/>
              <w:bottom w:w="28" w:type="dxa"/>
            </w:tcMar>
            <w:vAlign w:val="center"/>
          </w:tcPr>
          <w:p w14:paraId="3AF8CEFF" w14:textId="77777777" w:rsidR="00A37141" w:rsidRPr="00A964FF" w:rsidRDefault="00A37141" w:rsidP="00AE4424">
            <w:pPr>
              <w:pStyle w:val="af6"/>
              <w:rPr>
                <w:rFonts w:ascii="Calibri" w:hAnsi="Calibri"/>
                <w:color w:val="auto"/>
              </w:rPr>
            </w:pPr>
          </w:p>
        </w:tc>
        <w:tc>
          <w:tcPr>
            <w:tcW w:w="1128" w:type="pct"/>
            <w:tcMar>
              <w:top w:w="28" w:type="dxa"/>
              <w:bottom w:w="28" w:type="dxa"/>
            </w:tcMar>
            <w:vAlign w:val="center"/>
          </w:tcPr>
          <w:p w14:paraId="7629E712" w14:textId="77777777" w:rsidR="00A37141" w:rsidRPr="00A964FF" w:rsidRDefault="00A37141" w:rsidP="00AE4424">
            <w:pPr>
              <w:pStyle w:val="af6"/>
              <w:rPr>
                <w:rFonts w:ascii="Calibri" w:hAnsi="Calibri"/>
                <w:color w:val="auto"/>
              </w:rPr>
            </w:pPr>
            <w:r w:rsidRPr="00A964FF">
              <w:rPr>
                <w:rFonts w:ascii="Calibri" w:hAnsi="宋体"/>
                <w:color w:val="auto"/>
              </w:rPr>
              <w:t>雨水排放口</w:t>
            </w:r>
          </w:p>
        </w:tc>
        <w:tc>
          <w:tcPr>
            <w:tcW w:w="978" w:type="pct"/>
            <w:tcMar>
              <w:top w:w="28" w:type="dxa"/>
              <w:bottom w:w="28" w:type="dxa"/>
            </w:tcMar>
            <w:vAlign w:val="center"/>
          </w:tcPr>
          <w:p w14:paraId="4092A6F5" w14:textId="77777777" w:rsidR="00A37141" w:rsidRPr="00C12E37" w:rsidRDefault="00A37141" w:rsidP="000C62DB">
            <w:pPr>
              <w:pStyle w:val="af6"/>
              <w:rPr>
                <w:rFonts w:ascii="Calibri" w:hAnsi="宋体"/>
                <w:color w:val="auto"/>
              </w:rPr>
            </w:pPr>
            <w:r w:rsidRPr="00C12E37">
              <w:rPr>
                <w:rFonts w:ascii="Calibri" w:hAnsi="宋体"/>
                <w:color w:val="auto"/>
              </w:rPr>
              <w:t>pH</w:t>
            </w:r>
            <w:r w:rsidRPr="00A964FF">
              <w:rPr>
                <w:rFonts w:ascii="Calibri" w:hAnsi="宋体"/>
                <w:color w:val="auto"/>
              </w:rPr>
              <w:t>、</w:t>
            </w:r>
            <w:r w:rsidRPr="00C12E37">
              <w:rPr>
                <w:rFonts w:ascii="Calibri" w:hAnsi="宋体"/>
                <w:color w:val="auto"/>
              </w:rPr>
              <w:t>COD</w:t>
            </w:r>
            <w:r w:rsidRPr="00A964FF">
              <w:rPr>
                <w:rFonts w:ascii="Calibri" w:hAnsi="宋体"/>
                <w:color w:val="auto"/>
              </w:rPr>
              <w:t>、</w:t>
            </w:r>
            <w:r w:rsidRPr="00C12E37">
              <w:rPr>
                <w:rFonts w:ascii="Calibri" w:hAnsi="宋体" w:hint="eastAsia"/>
                <w:color w:val="auto"/>
              </w:rPr>
              <w:t>石油类</w:t>
            </w:r>
          </w:p>
        </w:tc>
        <w:tc>
          <w:tcPr>
            <w:tcW w:w="652" w:type="pct"/>
            <w:tcBorders>
              <w:right w:val="single" w:sz="2" w:space="0" w:color="auto"/>
            </w:tcBorders>
            <w:tcMar>
              <w:top w:w="28" w:type="dxa"/>
              <w:bottom w:w="28" w:type="dxa"/>
            </w:tcMar>
            <w:vAlign w:val="center"/>
          </w:tcPr>
          <w:p w14:paraId="551BE3F0" w14:textId="77777777" w:rsidR="00A37141" w:rsidRPr="00C12E37" w:rsidRDefault="00A37141" w:rsidP="00C12E37">
            <w:pPr>
              <w:pStyle w:val="af6"/>
              <w:rPr>
                <w:rFonts w:ascii="Calibri" w:hAnsi="宋体"/>
                <w:color w:val="auto"/>
              </w:rPr>
            </w:pPr>
            <w:r w:rsidRPr="00C12E37">
              <w:rPr>
                <w:rFonts w:ascii="Calibri" w:hAnsi="宋体" w:hint="eastAsia"/>
                <w:color w:val="auto"/>
              </w:rPr>
              <w:t>1</w:t>
            </w:r>
            <w:r w:rsidRPr="00C12E37">
              <w:rPr>
                <w:rFonts w:ascii="Calibri" w:hAnsi="宋体" w:hint="eastAsia"/>
                <w:color w:val="auto"/>
              </w:rPr>
              <w:t>次</w:t>
            </w:r>
            <w:r w:rsidRPr="00C12E37">
              <w:rPr>
                <w:rFonts w:ascii="Calibri" w:hAnsi="宋体" w:hint="eastAsia"/>
                <w:color w:val="auto"/>
              </w:rPr>
              <w:t>/</w:t>
            </w:r>
            <w:r w:rsidRPr="00C12E37">
              <w:rPr>
                <w:rFonts w:ascii="Calibri" w:hAnsi="宋体" w:hint="eastAsia"/>
                <w:color w:val="auto"/>
              </w:rPr>
              <w:t>月</w:t>
            </w:r>
          </w:p>
        </w:tc>
        <w:tc>
          <w:tcPr>
            <w:tcW w:w="1139" w:type="pct"/>
            <w:tcBorders>
              <w:right w:val="single" w:sz="2" w:space="0" w:color="auto"/>
            </w:tcBorders>
            <w:vAlign w:val="center"/>
          </w:tcPr>
          <w:p w14:paraId="2A044D59" w14:textId="77777777" w:rsidR="00A37141" w:rsidRPr="00A37141" w:rsidRDefault="00A37141" w:rsidP="00AE4424">
            <w:pPr>
              <w:pStyle w:val="af6"/>
              <w:rPr>
                <w:rFonts w:asciiTheme="minorHAnsi" w:hAnsiTheme="minorHAnsi"/>
                <w:color w:val="auto"/>
              </w:rPr>
            </w:pPr>
            <w:r w:rsidRPr="00A37141">
              <w:rPr>
                <w:rFonts w:asciiTheme="minorHAnsi" w:hAnsiTheme="minorHAnsi"/>
                <w:szCs w:val="21"/>
              </w:rPr>
              <w:t>/</w:t>
            </w:r>
          </w:p>
        </w:tc>
        <w:tc>
          <w:tcPr>
            <w:tcW w:w="528" w:type="pct"/>
            <w:vMerge/>
            <w:tcBorders>
              <w:left w:val="single" w:sz="2" w:space="0" w:color="auto"/>
            </w:tcBorders>
            <w:tcMar>
              <w:top w:w="28" w:type="dxa"/>
              <w:bottom w:w="28" w:type="dxa"/>
            </w:tcMar>
            <w:vAlign w:val="center"/>
          </w:tcPr>
          <w:p w14:paraId="02181D09" w14:textId="77777777" w:rsidR="00A37141" w:rsidRPr="00C12E37" w:rsidRDefault="00A37141" w:rsidP="00AE4424">
            <w:pPr>
              <w:pStyle w:val="af6"/>
              <w:rPr>
                <w:rFonts w:ascii="Calibri" w:hAnsi="宋体"/>
                <w:color w:val="auto"/>
              </w:rPr>
            </w:pPr>
          </w:p>
        </w:tc>
      </w:tr>
      <w:tr w:rsidR="00A37141" w:rsidRPr="00C12E37" w14:paraId="670B998F" w14:textId="77777777" w:rsidTr="00A37141">
        <w:trPr>
          <w:trHeight w:val="369"/>
        </w:trPr>
        <w:tc>
          <w:tcPr>
            <w:tcW w:w="263" w:type="pct"/>
            <w:vMerge/>
            <w:tcBorders>
              <w:right w:val="single" w:sz="2" w:space="0" w:color="auto"/>
            </w:tcBorders>
            <w:tcMar>
              <w:top w:w="28" w:type="dxa"/>
              <w:bottom w:w="28" w:type="dxa"/>
            </w:tcMar>
            <w:vAlign w:val="center"/>
          </w:tcPr>
          <w:p w14:paraId="1C775A23" w14:textId="77777777" w:rsidR="00A37141" w:rsidRPr="00A964FF" w:rsidRDefault="00A37141" w:rsidP="00AE4424">
            <w:pPr>
              <w:pStyle w:val="af6"/>
              <w:rPr>
                <w:rFonts w:ascii="Calibri" w:hAnsi="Calibri"/>
                <w:color w:val="auto"/>
              </w:rPr>
            </w:pPr>
          </w:p>
        </w:tc>
        <w:tc>
          <w:tcPr>
            <w:tcW w:w="312" w:type="pct"/>
            <w:tcBorders>
              <w:left w:val="single" w:sz="2" w:space="0" w:color="auto"/>
            </w:tcBorders>
            <w:tcMar>
              <w:top w:w="28" w:type="dxa"/>
              <w:bottom w:w="28" w:type="dxa"/>
            </w:tcMar>
            <w:vAlign w:val="center"/>
          </w:tcPr>
          <w:p w14:paraId="29C9BF9E" w14:textId="77777777" w:rsidR="00A37141" w:rsidRPr="00A964FF" w:rsidRDefault="00A37141" w:rsidP="00AE4424">
            <w:pPr>
              <w:pStyle w:val="af6"/>
              <w:rPr>
                <w:rFonts w:ascii="Calibri" w:hAnsi="Calibri"/>
                <w:color w:val="auto"/>
              </w:rPr>
            </w:pPr>
            <w:r w:rsidRPr="00A964FF">
              <w:rPr>
                <w:rFonts w:ascii="Calibri" w:hAnsi="宋体"/>
                <w:color w:val="auto"/>
              </w:rPr>
              <w:t>噪声</w:t>
            </w:r>
          </w:p>
        </w:tc>
        <w:tc>
          <w:tcPr>
            <w:tcW w:w="1128" w:type="pct"/>
            <w:tcMar>
              <w:top w:w="28" w:type="dxa"/>
              <w:bottom w:w="28" w:type="dxa"/>
            </w:tcMar>
            <w:vAlign w:val="center"/>
          </w:tcPr>
          <w:p w14:paraId="3BC8CE24" w14:textId="77777777" w:rsidR="00A37141" w:rsidRPr="00A964FF" w:rsidRDefault="00A37141" w:rsidP="00AE4424">
            <w:pPr>
              <w:pStyle w:val="af6"/>
              <w:rPr>
                <w:rFonts w:ascii="Calibri" w:hAnsi="Calibri"/>
                <w:color w:val="auto"/>
              </w:rPr>
            </w:pPr>
            <w:r w:rsidRPr="00A964FF">
              <w:rPr>
                <w:rFonts w:ascii="Calibri" w:hAnsi="宋体"/>
                <w:color w:val="auto"/>
              </w:rPr>
              <w:t>厂界外</w:t>
            </w:r>
            <w:r w:rsidRPr="00A964FF">
              <w:rPr>
                <w:rFonts w:ascii="Calibri" w:hAnsi="Calibri"/>
                <w:color w:val="auto"/>
              </w:rPr>
              <w:t>1m</w:t>
            </w:r>
          </w:p>
        </w:tc>
        <w:tc>
          <w:tcPr>
            <w:tcW w:w="978" w:type="pct"/>
            <w:tcMar>
              <w:top w:w="28" w:type="dxa"/>
              <w:bottom w:w="28" w:type="dxa"/>
            </w:tcMar>
            <w:vAlign w:val="center"/>
          </w:tcPr>
          <w:p w14:paraId="21990855" w14:textId="77777777" w:rsidR="00A37141" w:rsidRPr="00C12E37" w:rsidRDefault="00A37141" w:rsidP="00AE4424">
            <w:pPr>
              <w:pStyle w:val="af6"/>
              <w:rPr>
                <w:rFonts w:ascii="Calibri" w:hAnsi="宋体"/>
                <w:color w:val="auto"/>
              </w:rPr>
            </w:pPr>
            <w:r w:rsidRPr="00A964FF">
              <w:rPr>
                <w:rFonts w:ascii="Calibri" w:hAnsi="宋体"/>
                <w:color w:val="auto"/>
              </w:rPr>
              <w:t>昼间、夜间</w:t>
            </w:r>
            <w:r w:rsidRPr="00C12E37">
              <w:rPr>
                <w:rFonts w:ascii="Calibri" w:hAnsi="宋体"/>
                <w:color w:val="auto"/>
              </w:rPr>
              <w:t>Leq</w:t>
            </w:r>
            <w:r w:rsidRPr="00A964FF">
              <w:rPr>
                <w:rFonts w:ascii="Calibri" w:hAnsi="宋体"/>
                <w:color w:val="auto"/>
              </w:rPr>
              <w:t>（</w:t>
            </w:r>
            <w:r w:rsidRPr="00C12E37">
              <w:rPr>
                <w:rFonts w:ascii="Calibri" w:hAnsi="宋体"/>
                <w:color w:val="auto"/>
              </w:rPr>
              <w:t>A</w:t>
            </w:r>
            <w:r w:rsidRPr="00A964FF">
              <w:rPr>
                <w:rFonts w:ascii="Calibri" w:hAnsi="宋体"/>
                <w:color w:val="auto"/>
              </w:rPr>
              <w:t>）</w:t>
            </w:r>
          </w:p>
        </w:tc>
        <w:tc>
          <w:tcPr>
            <w:tcW w:w="652" w:type="pct"/>
            <w:tcBorders>
              <w:right w:val="single" w:sz="2" w:space="0" w:color="auto"/>
            </w:tcBorders>
            <w:tcMar>
              <w:top w:w="28" w:type="dxa"/>
              <w:bottom w:w="28" w:type="dxa"/>
            </w:tcMar>
            <w:vAlign w:val="center"/>
          </w:tcPr>
          <w:p w14:paraId="06E162C6" w14:textId="77777777" w:rsidR="00A37141" w:rsidRPr="00C12E37" w:rsidRDefault="00A37141" w:rsidP="00AE4424">
            <w:pPr>
              <w:pStyle w:val="af6"/>
              <w:rPr>
                <w:rFonts w:ascii="Calibri" w:hAnsi="宋体"/>
                <w:color w:val="auto"/>
              </w:rPr>
            </w:pPr>
            <w:r w:rsidRPr="00A964FF">
              <w:rPr>
                <w:rFonts w:ascii="Calibri" w:hAnsi="宋体"/>
                <w:color w:val="auto"/>
              </w:rPr>
              <w:t>每季度</w:t>
            </w:r>
            <w:r w:rsidRPr="00C12E37">
              <w:rPr>
                <w:rFonts w:ascii="Calibri" w:hAnsi="宋体"/>
                <w:color w:val="auto"/>
              </w:rPr>
              <w:t>1</w:t>
            </w:r>
            <w:r w:rsidRPr="00A964FF">
              <w:rPr>
                <w:rFonts w:ascii="Calibri" w:hAnsi="宋体"/>
                <w:color w:val="auto"/>
              </w:rPr>
              <w:t>次，昼夜各一次</w:t>
            </w:r>
          </w:p>
        </w:tc>
        <w:tc>
          <w:tcPr>
            <w:tcW w:w="1139" w:type="pct"/>
            <w:tcBorders>
              <w:right w:val="single" w:sz="2" w:space="0" w:color="auto"/>
            </w:tcBorders>
            <w:vAlign w:val="center"/>
          </w:tcPr>
          <w:p w14:paraId="0F96FAC2" w14:textId="77777777" w:rsidR="00A37141" w:rsidRPr="00A37141" w:rsidRDefault="00A37141" w:rsidP="00A37141">
            <w:pPr>
              <w:pStyle w:val="af6"/>
              <w:rPr>
                <w:rFonts w:asciiTheme="minorHAnsi" w:hAnsiTheme="minorHAnsi"/>
                <w:color w:val="auto"/>
              </w:rPr>
            </w:pPr>
            <w:r w:rsidRPr="00A37141">
              <w:rPr>
                <w:rFonts w:asciiTheme="minorHAnsi" w:hAnsiTheme="minorHAnsi"/>
                <w:kern w:val="0"/>
                <w:szCs w:val="21"/>
              </w:rPr>
              <w:t>《工业企业厂界环境噪声排放标准》</w:t>
            </w:r>
            <w:r>
              <w:rPr>
                <w:rFonts w:asciiTheme="minorHAnsi" w:hAnsiTheme="minorHAnsi" w:hint="eastAsia"/>
                <w:kern w:val="0"/>
                <w:szCs w:val="21"/>
              </w:rPr>
              <w:t>（</w:t>
            </w:r>
            <w:r w:rsidRPr="00A37141">
              <w:rPr>
                <w:rFonts w:asciiTheme="minorHAnsi" w:hAnsiTheme="minorHAnsi"/>
                <w:kern w:val="0"/>
                <w:szCs w:val="21"/>
              </w:rPr>
              <w:t>GB12348-2008</w:t>
            </w:r>
            <w:r>
              <w:rPr>
                <w:rFonts w:asciiTheme="minorHAnsi" w:hAnsiTheme="minorHAnsi" w:hint="eastAsia"/>
                <w:kern w:val="0"/>
                <w:szCs w:val="21"/>
              </w:rPr>
              <w:t>）</w:t>
            </w:r>
            <w:r>
              <w:rPr>
                <w:rFonts w:asciiTheme="minorHAnsi" w:hAnsiTheme="minorHAnsi"/>
                <w:kern w:val="0"/>
                <w:szCs w:val="21"/>
              </w:rPr>
              <w:lastRenderedPageBreak/>
              <w:t>3</w:t>
            </w:r>
            <w:r w:rsidRPr="00A37141">
              <w:rPr>
                <w:rFonts w:asciiTheme="minorHAnsi" w:hAnsiTheme="minorHAnsi"/>
                <w:kern w:val="0"/>
                <w:szCs w:val="21"/>
              </w:rPr>
              <w:t>类</w:t>
            </w:r>
          </w:p>
        </w:tc>
        <w:tc>
          <w:tcPr>
            <w:tcW w:w="528" w:type="pct"/>
            <w:vMerge/>
            <w:tcBorders>
              <w:left w:val="single" w:sz="2" w:space="0" w:color="auto"/>
            </w:tcBorders>
            <w:tcMar>
              <w:top w:w="28" w:type="dxa"/>
              <w:bottom w:w="28" w:type="dxa"/>
            </w:tcMar>
            <w:vAlign w:val="center"/>
          </w:tcPr>
          <w:p w14:paraId="2E1E9A20" w14:textId="77777777" w:rsidR="00A37141" w:rsidRPr="00C12E37" w:rsidRDefault="00A37141" w:rsidP="00AE4424">
            <w:pPr>
              <w:pStyle w:val="af6"/>
              <w:rPr>
                <w:rFonts w:ascii="Calibri" w:hAnsi="宋体"/>
                <w:color w:val="auto"/>
              </w:rPr>
            </w:pPr>
          </w:p>
        </w:tc>
      </w:tr>
      <w:tr w:rsidR="00A37141" w:rsidRPr="00C12E37" w14:paraId="76B3662E" w14:textId="77777777" w:rsidTr="00A37141">
        <w:trPr>
          <w:trHeight w:val="369"/>
        </w:trPr>
        <w:tc>
          <w:tcPr>
            <w:tcW w:w="263" w:type="pct"/>
            <w:vMerge/>
            <w:tcBorders>
              <w:right w:val="single" w:sz="2" w:space="0" w:color="auto"/>
            </w:tcBorders>
            <w:tcMar>
              <w:top w:w="28" w:type="dxa"/>
              <w:bottom w:w="28" w:type="dxa"/>
            </w:tcMar>
            <w:vAlign w:val="center"/>
          </w:tcPr>
          <w:p w14:paraId="430EFE48" w14:textId="77777777" w:rsidR="00A37141" w:rsidRPr="00A964FF" w:rsidRDefault="00A37141" w:rsidP="00AE4424">
            <w:pPr>
              <w:pStyle w:val="af6"/>
              <w:rPr>
                <w:rFonts w:ascii="Calibri" w:hAnsi="Calibri"/>
                <w:color w:val="auto"/>
              </w:rPr>
            </w:pPr>
          </w:p>
        </w:tc>
        <w:tc>
          <w:tcPr>
            <w:tcW w:w="4209" w:type="pct"/>
            <w:gridSpan w:val="5"/>
            <w:tcBorders>
              <w:left w:val="single" w:sz="2" w:space="0" w:color="auto"/>
              <w:right w:val="single" w:sz="2" w:space="0" w:color="auto"/>
            </w:tcBorders>
            <w:tcMar>
              <w:top w:w="28" w:type="dxa"/>
              <w:bottom w:w="28" w:type="dxa"/>
            </w:tcMar>
            <w:vAlign w:val="center"/>
          </w:tcPr>
          <w:p w14:paraId="313DE93F" w14:textId="77777777" w:rsidR="00A37141" w:rsidRPr="00C12E37" w:rsidRDefault="00A37141" w:rsidP="00AE4424">
            <w:pPr>
              <w:pStyle w:val="af6"/>
              <w:rPr>
                <w:rFonts w:ascii="Calibri" w:hAnsi="宋体"/>
                <w:color w:val="auto"/>
              </w:rPr>
            </w:pPr>
            <w:r w:rsidRPr="00A964FF">
              <w:rPr>
                <w:rFonts w:ascii="Calibri" w:hAnsi="宋体"/>
                <w:color w:val="auto"/>
              </w:rPr>
              <w:t>环境质量监测计划</w:t>
            </w:r>
          </w:p>
        </w:tc>
        <w:tc>
          <w:tcPr>
            <w:tcW w:w="528" w:type="pct"/>
            <w:vMerge/>
            <w:tcBorders>
              <w:left w:val="single" w:sz="2" w:space="0" w:color="auto"/>
            </w:tcBorders>
            <w:tcMar>
              <w:top w:w="28" w:type="dxa"/>
              <w:bottom w:w="28" w:type="dxa"/>
            </w:tcMar>
            <w:vAlign w:val="center"/>
          </w:tcPr>
          <w:p w14:paraId="2F29EE9A" w14:textId="77777777" w:rsidR="00A37141" w:rsidRPr="00C12E37" w:rsidRDefault="00A37141" w:rsidP="00AE4424">
            <w:pPr>
              <w:pStyle w:val="af6"/>
              <w:rPr>
                <w:rFonts w:ascii="Calibri" w:hAnsi="宋体"/>
                <w:color w:val="auto"/>
              </w:rPr>
            </w:pPr>
          </w:p>
        </w:tc>
      </w:tr>
      <w:tr w:rsidR="00A37141" w:rsidRPr="00C12E37" w14:paraId="7AB8379E" w14:textId="77777777" w:rsidTr="00A37141">
        <w:trPr>
          <w:trHeight w:val="369"/>
        </w:trPr>
        <w:tc>
          <w:tcPr>
            <w:tcW w:w="263" w:type="pct"/>
            <w:vMerge/>
            <w:tcBorders>
              <w:right w:val="single" w:sz="2" w:space="0" w:color="auto"/>
            </w:tcBorders>
            <w:tcMar>
              <w:top w:w="28" w:type="dxa"/>
              <w:bottom w:w="28" w:type="dxa"/>
            </w:tcMar>
            <w:vAlign w:val="center"/>
          </w:tcPr>
          <w:p w14:paraId="5B63E38D" w14:textId="77777777" w:rsidR="00A37141" w:rsidRPr="00A964FF" w:rsidRDefault="00A37141" w:rsidP="00AE4424">
            <w:pPr>
              <w:pStyle w:val="af6"/>
              <w:rPr>
                <w:rFonts w:ascii="Calibri" w:hAnsi="Calibri"/>
                <w:color w:val="auto"/>
              </w:rPr>
            </w:pPr>
          </w:p>
        </w:tc>
        <w:tc>
          <w:tcPr>
            <w:tcW w:w="312" w:type="pct"/>
            <w:tcBorders>
              <w:left w:val="single" w:sz="2" w:space="0" w:color="auto"/>
            </w:tcBorders>
            <w:tcMar>
              <w:top w:w="28" w:type="dxa"/>
              <w:bottom w:w="28" w:type="dxa"/>
            </w:tcMar>
            <w:vAlign w:val="center"/>
          </w:tcPr>
          <w:p w14:paraId="221D8758" w14:textId="77777777" w:rsidR="00A37141" w:rsidRPr="00A964FF" w:rsidRDefault="00A37141" w:rsidP="00AE4424">
            <w:pPr>
              <w:pStyle w:val="af6"/>
              <w:rPr>
                <w:rFonts w:ascii="Calibri" w:hAnsi="Calibri"/>
                <w:color w:val="auto"/>
              </w:rPr>
            </w:pPr>
            <w:r w:rsidRPr="00A964FF">
              <w:rPr>
                <w:rFonts w:ascii="Calibri" w:hAnsi="宋体"/>
                <w:color w:val="auto"/>
              </w:rPr>
              <w:t>地下水</w:t>
            </w:r>
          </w:p>
        </w:tc>
        <w:tc>
          <w:tcPr>
            <w:tcW w:w="1128" w:type="pct"/>
            <w:tcMar>
              <w:top w:w="28" w:type="dxa"/>
              <w:bottom w:w="28" w:type="dxa"/>
            </w:tcMar>
            <w:vAlign w:val="center"/>
          </w:tcPr>
          <w:p w14:paraId="61DDFCC1" w14:textId="77777777" w:rsidR="00A37141" w:rsidRPr="00A964FF" w:rsidRDefault="00A37141" w:rsidP="00AE4424">
            <w:pPr>
              <w:pStyle w:val="af6"/>
              <w:rPr>
                <w:rFonts w:ascii="Calibri" w:hAnsi="Calibri"/>
                <w:color w:val="auto"/>
              </w:rPr>
            </w:pPr>
            <w:r w:rsidRPr="00A964FF">
              <w:rPr>
                <w:rFonts w:ascii="Calibri" w:hAnsi="Calibri"/>
                <w:color w:val="auto"/>
              </w:rPr>
              <w:t>3</w:t>
            </w:r>
            <w:r w:rsidRPr="00A964FF">
              <w:rPr>
                <w:rFonts w:ascii="Calibri" w:hAnsi="宋体"/>
                <w:color w:val="auto"/>
              </w:rPr>
              <w:t>个监测井</w:t>
            </w:r>
          </w:p>
        </w:tc>
        <w:tc>
          <w:tcPr>
            <w:tcW w:w="978" w:type="pct"/>
            <w:tcMar>
              <w:top w:w="28" w:type="dxa"/>
              <w:bottom w:w="28" w:type="dxa"/>
            </w:tcMar>
            <w:vAlign w:val="center"/>
          </w:tcPr>
          <w:p w14:paraId="1C366463" w14:textId="77777777" w:rsidR="00A37141" w:rsidRPr="00C12E37" w:rsidRDefault="00A37141" w:rsidP="00C50ECF">
            <w:pPr>
              <w:pStyle w:val="af6"/>
              <w:rPr>
                <w:rFonts w:ascii="Calibri" w:hAnsi="宋体"/>
                <w:color w:val="auto"/>
              </w:rPr>
            </w:pPr>
            <w:r w:rsidRPr="00C12E37">
              <w:rPr>
                <w:rFonts w:ascii="Calibri" w:hAnsi="宋体"/>
                <w:color w:val="auto"/>
              </w:rPr>
              <w:t>pH</w:t>
            </w:r>
            <w:r w:rsidRPr="00A964FF">
              <w:rPr>
                <w:rFonts w:ascii="Calibri" w:hAnsi="宋体"/>
                <w:color w:val="auto"/>
              </w:rPr>
              <w:t>、氨氮、硝酸盐、亚硝酸盐、挥发性酚类、氰化物、砷、汞、铬（六价）、总硬度、铅、氟、镉、铁、锰、溶解性总固体、耗氧量、硫酸盐、氯化物、总大肠菌群、细菌总数</w:t>
            </w:r>
            <w:r>
              <w:rPr>
                <w:rFonts w:ascii="Calibri" w:hAnsi="宋体" w:hint="eastAsia"/>
                <w:color w:val="auto"/>
              </w:rPr>
              <w:t>、石油类</w:t>
            </w:r>
          </w:p>
        </w:tc>
        <w:tc>
          <w:tcPr>
            <w:tcW w:w="652" w:type="pct"/>
            <w:tcBorders>
              <w:right w:val="single" w:sz="2" w:space="0" w:color="auto"/>
            </w:tcBorders>
            <w:tcMar>
              <w:top w:w="28" w:type="dxa"/>
              <w:bottom w:w="28" w:type="dxa"/>
            </w:tcMar>
            <w:vAlign w:val="center"/>
          </w:tcPr>
          <w:p w14:paraId="6DB5EF7F" w14:textId="77777777" w:rsidR="00A37141" w:rsidRPr="00C12E37" w:rsidRDefault="00A37141" w:rsidP="00C60D02">
            <w:pPr>
              <w:pStyle w:val="af6"/>
              <w:rPr>
                <w:rFonts w:ascii="Calibri" w:hAnsi="宋体"/>
                <w:color w:val="auto"/>
              </w:rPr>
            </w:pPr>
            <w:r w:rsidRPr="00C12E37">
              <w:rPr>
                <w:rFonts w:ascii="Calibri" w:hAnsi="宋体"/>
                <w:color w:val="auto"/>
              </w:rPr>
              <w:t>1</w:t>
            </w:r>
            <w:r w:rsidRPr="00C12E37">
              <w:rPr>
                <w:rFonts w:ascii="Calibri" w:hAnsi="宋体"/>
                <w:color w:val="auto"/>
              </w:rPr>
              <w:t>次</w:t>
            </w:r>
            <w:r w:rsidRPr="00C12E37">
              <w:rPr>
                <w:rFonts w:ascii="Calibri" w:hAnsi="宋体"/>
                <w:color w:val="auto"/>
              </w:rPr>
              <w:t>/</w:t>
            </w:r>
            <w:r w:rsidRPr="00C12E37">
              <w:rPr>
                <w:rFonts w:ascii="Calibri" w:hAnsi="宋体" w:hint="eastAsia"/>
                <w:color w:val="auto"/>
              </w:rPr>
              <w:t>年</w:t>
            </w:r>
          </w:p>
        </w:tc>
        <w:tc>
          <w:tcPr>
            <w:tcW w:w="1139" w:type="pct"/>
            <w:tcBorders>
              <w:right w:val="single" w:sz="2" w:space="0" w:color="auto"/>
            </w:tcBorders>
            <w:vAlign w:val="center"/>
          </w:tcPr>
          <w:p w14:paraId="77B1CA8D" w14:textId="77777777" w:rsidR="00A37141" w:rsidRPr="00A37141" w:rsidRDefault="00A37141" w:rsidP="00A37141">
            <w:pPr>
              <w:pStyle w:val="af6"/>
              <w:rPr>
                <w:rFonts w:asciiTheme="minorHAnsi" w:hAnsiTheme="minorHAnsi"/>
                <w:color w:val="auto"/>
              </w:rPr>
            </w:pPr>
            <w:r w:rsidRPr="00A37141">
              <w:rPr>
                <w:rFonts w:asciiTheme="minorHAnsi" w:hAnsiTheme="minorHAnsi"/>
                <w:szCs w:val="21"/>
              </w:rPr>
              <w:t>《地下水质量标准》（</w:t>
            </w:r>
            <w:r w:rsidRPr="00A37141">
              <w:rPr>
                <w:rFonts w:asciiTheme="minorHAnsi" w:hAnsiTheme="minorHAnsi"/>
                <w:szCs w:val="21"/>
              </w:rPr>
              <w:t>GB/T14848-2017</w:t>
            </w:r>
            <w:r w:rsidRPr="00A37141">
              <w:rPr>
                <w:rFonts w:asciiTheme="minorHAnsi" w:hAnsiTheme="minorHAnsi"/>
                <w:szCs w:val="21"/>
              </w:rPr>
              <w:t>）</w:t>
            </w:r>
            <w:r w:rsidRPr="00A37141">
              <w:rPr>
                <w:rFonts w:asciiTheme="minorHAnsi" w:hAnsiTheme="minorHAnsi"/>
                <w:szCs w:val="21"/>
              </w:rPr>
              <w:fldChar w:fldCharType="begin"/>
            </w:r>
            <w:r w:rsidRPr="00A37141">
              <w:rPr>
                <w:rFonts w:asciiTheme="minorHAnsi" w:hAnsiTheme="minorHAnsi"/>
                <w:szCs w:val="21"/>
              </w:rPr>
              <w:instrText xml:space="preserve"> = 3 \* ROMAN </w:instrText>
            </w:r>
            <w:r w:rsidRPr="00A37141">
              <w:rPr>
                <w:rFonts w:asciiTheme="minorHAnsi" w:hAnsiTheme="minorHAnsi"/>
                <w:szCs w:val="21"/>
              </w:rPr>
              <w:fldChar w:fldCharType="separate"/>
            </w:r>
            <w:r w:rsidRPr="00A37141">
              <w:rPr>
                <w:rFonts w:asciiTheme="minorHAnsi" w:hAnsiTheme="minorHAnsi"/>
                <w:noProof/>
                <w:szCs w:val="21"/>
              </w:rPr>
              <w:t>III</w:t>
            </w:r>
            <w:r w:rsidRPr="00A37141">
              <w:rPr>
                <w:rFonts w:asciiTheme="minorHAnsi" w:hAnsiTheme="minorHAnsi"/>
                <w:szCs w:val="21"/>
              </w:rPr>
              <w:fldChar w:fldCharType="end"/>
            </w:r>
            <w:r w:rsidRPr="00A37141">
              <w:rPr>
                <w:rFonts w:asciiTheme="minorHAnsi" w:hAnsiTheme="minorHAnsi"/>
                <w:szCs w:val="21"/>
              </w:rPr>
              <w:t>类</w:t>
            </w:r>
          </w:p>
        </w:tc>
        <w:tc>
          <w:tcPr>
            <w:tcW w:w="528" w:type="pct"/>
            <w:vMerge/>
            <w:tcBorders>
              <w:left w:val="single" w:sz="2" w:space="0" w:color="auto"/>
            </w:tcBorders>
            <w:tcMar>
              <w:top w:w="28" w:type="dxa"/>
              <w:bottom w:w="28" w:type="dxa"/>
            </w:tcMar>
            <w:vAlign w:val="center"/>
          </w:tcPr>
          <w:p w14:paraId="7AB48751" w14:textId="77777777" w:rsidR="00A37141" w:rsidRPr="00C12E37" w:rsidRDefault="00A37141" w:rsidP="00AE4424">
            <w:pPr>
              <w:pStyle w:val="af6"/>
              <w:rPr>
                <w:rFonts w:ascii="Calibri" w:hAnsi="宋体"/>
                <w:color w:val="auto"/>
              </w:rPr>
            </w:pPr>
          </w:p>
        </w:tc>
      </w:tr>
      <w:tr w:rsidR="00A37141" w:rsidRPr="00C12E37" w14:paraId="69E1147E" w14:textId="77777777" w:rsidTr="00A37141">
        <w:trPr>
          <w:trHeight w:val="369"/>
        </w:trPr>
        <w:tc>
          <w:tcPr>
            <w:tcW w:w="263" w:type="pct"/>
            <w:vMerge/>
            <w:tcBorders>
              <w:right w:val="single" w:sz="2" w:space="0" w:color="auto"/>
            </w:tcBorders>
            <w:tcMar>
              <w:top w:w="28" w:type="dxa"/>
              <w:bottom w:w="28" w:type="dxa"/>
            </w:tcMar>
            <w:vAlign w:val="center"/>
          </w:tcPr>
          <w:p w14:paraId="083A98B8" w14:textId="77777777" w:rsidR="00A37141" w:rsidRPr="00A964FF" w:rsidRDefault="00A37141" w:rsidP="00AE4424">
            <w:pPr>
              <w:pStyle w:val="af6"/>
              <w:rPr>
                <w:rFonts w:ascii="Calibri" w:hAnsi="Calibri"/>
                <w:color w:val="auto"/>
              </w:rPr>
            </w:pPr>
          </w:p>
        </w:tc>
        <w:tc>
          <w:tcPr>
            <w:tcW w:w="312" w:type="pct"/>
            <w:tcBorders>
              <w:left w:val="single" w:sz="2" w:space="0" w:color="auto"/>
            </w:tcBorders>
            <w:tcMar>
              <w:top w:w="28" w:type="dxa"/>
              <w:bottom w:w="28" w:type="dxa"/>
            </w:tcMar>
            <w:vAlign w:val="center"/>
          </w:tcPr>
          <w:p w14:paraId="4B01891C" w14:textId="77777777" w:rsidR="00A37141" w:rsidRPr="00A964FF" w:rsidRDefault="00A37141" w:rsidP="00AE4424">
            <w:pPr>
              <w:pStyle w:val="af6"/>
              <w:rPr>
                <w:rFonts w:ascii="Calibri" w:hAnsi="Calibri"/>
                <w:color w:val="auto"/>
              </w:rPr>
            </w:pPr>
            <w:r w:rsidRPr="00A964FF">
              <w:rPr>
                <w:rFonts w:ascii="Calibri" w:hAnsi="宋体"/>
                <w:color w:val="auto"/>
              </w:rPr>
              <w:t>土壤</w:t>
            </w:r>
          </w:p>
        </w:tc>
        <w:tc>
          <w:tcPr>
            <w:tcW w:w="1128" w:type="pct"/>
            <w:tcMar>
              <w:top w:w="28" w:type="dxa"/>
              <w:bottom w:w="28" w:type="dxa"/>
            </w:tcMar>
            <w:vAlign w:val="center"/>
          </w:tcPr>
          <w:p w14:paraId="14F5CED7" w14:textId="77777777" w:rsidR="00A37141" w:rsidRPr="00A964FF" w:rsidRDefault="00A37141" w:rsidP="00C50ECF">
            <w:pPr>
              <w:pStyle w:val="af6"/>
              <w:rPr>
                <w:rFonts w:ascii="Calibri" w:hAnsi="Calibri"/>
                <w:color w:val="auto"/>
                <w:szCs w:val="21"/>
              </w:rPr>
            </w:pPr>
            <w:r w:rsidRPr="00A964FF">
              <w:rPr>
                <w:rFonts w:ascii="Calibri" w:hAnsi="宋体"/>
                <w:color w:val="auto"/>
              </w:rPr>
              <w:t>厂区内和厂址</w:t>
            </w:r>
            <w:r>
              <w:rPr>
                <w:rFonts w:ascii="Calibri" w:hAnsi="宋体" w:hint="eastAsia"/>
                <w:color w:val="auto"/>
              </w:rPr>
              <w:t>北</w:t>
            </w:r>
            <w:r w:rsidRPr="00A964FF">
              <w:rPr>
                <w:rFonts w:ascii="Calibri" w:hAnsi="宋体"/>
                <w:color w:val="auto"/>
              </w:rPr>
              <w:t>侧、</w:t>
            </w:r>
            <w:r>
              <w:rPr>
                <w:rFonts w:ascii="Calibri" w:hAnsi="宋体" w:hint="eastAsia"/>
                <w:color w:val="auto"/>
              </w:rPr>
              <w:t>西</w:t>
            </w:r>
            <w:r w:rsidRPr="00A964FF">
              <w:rPr>
                <w:rFonts w:ascii="Calibri" w:hAnsi="宋体"/>
                <w:color w:val="auto"/>
              </w:rPr>
              <w:t>侧</w:t>
            </w:r>
          </w:p>
        </w:tc>
        <w:tc>
          <w:tcPr>
            <w:tcW w:w="978" w:type="pct"/>
            <w:tcMar>
              <w:top w:w="28" w:type="dxa"/>
              <w:bottom w:w="28" w:type="dxa"/>
            </w:tcMar>
            <w:vAlign w:val="center"/>
          </w:tcPr>
          <w:p w14:paraId="350CD583" w14:textId="77777777" w:rsidR="00A37141" w:rsidRPr="00C12E37" w:rsidRDefault="00A37141" w:rsidP="00C50ECF">
            <w:pPr>
              <w:pStyle w:val="af6"/>
              <w:rPr>
                <w:rFonts w:ascii="Calibri" w:hAnsi="宋体"/>
                <w:color w:val="auto"/>
              </w:rPr>
            </w:pPr>
            <w:r w:rsidRPr="00C12E37">
              <w:rPr>
                <w:rFonts w:ascii="Calibri" w:hAnsi="宋体"/>
                <w:color w:val="auto"/>
              </w:rPr>
              <w:t>pH</w:t>
            </w:r>
            <w:r w:rsidRPr="00C12E37">
              <w:rPr>
                <w:rFonts w:ascii="Calibri" w:hAnsi="宋体"/>
                <w:color w:val="auto"/>
              </w:rPr>
              <w:t>、石油烃</w:t>
            </w:r>
          </w:p>
        </w:tc>
        <w:tc>
          <w:tcPr>
            <w:tcW w:w="652" w:type="pct"/>
            <w:tcBorders>
              <w:right w:val="single" w:sz="2" w:space="0" w:color="auto"/>
            </w:tcBorders>
            <w:tcMar>
              <w:top w:w="28" w:type="dxa"/>
              <w:bottom w:w="28" w:type="dxa"/>
            </w:tcMar>
            <w:vAlign w:val="center"/>
          </w:tcPr>
          <w:p w14:paraId="4867E066" w14:textId="77777777" w:rsidR="00A37141" w:rsidRPr="00C12E37" w:rsidRDefault="00A37141" w:rsidP="00AE4424">
            <w:pPr>
              <w:pStyle w:val="af6"/>
              <w:rPr>
                <w:rFonts w:ascii="Calibri" w:hAnsi="宋体"/>
                <w:color w:val="auto"/>
              </w:rPr>
            </w:pPr>
            <w:r w:rsidRPr="00C12E37">
              <w:rPr>
                <w:rFonts w:ascii="Calibri" w:hAnsi="宋体"/>
                <w:color w:val="auto"/>
              </w:rPr>
              <w:t>1</w:t>
            </w:r>
            <w:r w:rsidRPr="00C12E37">
              <w:rPr>
                <w:rFonts w:ascii="Calibri" w:hAnsi="宋体"/>
                <w:color w:val="auto"/>
              </w:rPr>
              <w:t>次</w:t>
            </w:r>
            <w:r w:rsidRPr="00C12E37">
              <w:rPr>
                <w:rFonts w:ascii="Calibri" w:hAnsi="宋体"/>
                <w:color w:val="auto"/>
              </w:rPr>
              <w:t>/</w:t>
            </w:r>
            <w:r w:rsidRPr="00C12E37">
              <w:rPr>
                <w:rFonts w:ascii="Calibri" w:hAnsi="宋体" w:hint="eastAsia"/>
                <w:color w:val="auto"/>
              </w:rPr>
              <w:t>年</w:t>
            </w:r>
          </w:p>
        </w:tc>
        <w:tc>
          <w:tcPr>
            <w:tcW w:w="1139" w:type="pct"/>
            <w:tcBorders>
              <w:right w:val="single" w:sz="2" w:space="0" w:color="auto"/>
            </w:tcBorders>
            <w:vAlign w:val="center"/>
          </w:tcPr>
          <w:p w14:paraId="541892C7" w14:textId="77777777" w:rsidR="00A37141" w:rsidRPr="00A37141" w:rsidRDefault="00A37141" w:rsidP="00AE4424">
            <w:pPr>
              <w:pStyle w:val="af6"/>
              <w:rPr>
                <w:rFonts w:asciiTheme="minorHAnsi" w:hAnsiTheme="minorHAnsi"/>
                <w:color w:val="auto"/>
              </w:rPr>
            </w:pPr>
            <w:r w:rsidRPr="00A37141">
              <w:rPr>
                <w:rFonts w:asciiTheme="minorHAnsi" w:hAnsiTheme="minorHAnsi"/>
                <w:kern w:val="0"/>
                <w:szCs w:val="21"/>
              </w:rPr>
              <w:t>《土壤环境质量标准</w:t>
            </w:r>
            <w:r w:rsidRPr="00A37141">
              <w:rPr>
                <w:rFonts w:asciiTheme="minorHAnsi" w:hAnsiTheme="minorHAnsi"/>
                <w:kern w:val="0"/>
                <w:szCs w:val="21"/>
              </w:rPr>
              <w:t xml:space="preserve"> </w:t>
            </w:r>
            <w:r w:rsidRPr="00A37141">
              <w:rPr>
                <w:rFonts w:asciiTheme="minorHAnsi" w:hAnsiTheme="minorHAnsi"/>
                <w:kern w:val="0"/>
                <w:szCs w:val="21"/>
              </w:rPr>
              <w:t>建设用地土壤污染风险管控标准（试行）》（</w:t>
            </w:r>
            <w:r w:rsidRPr="00A37141">
              <w:rPr>
                <w:rFonts w:asciiTheme="minorHAnsi" w:hAnsiTheme="minorHAnsi"/>
                <w:kern w:val="0"/>
                <w:szCs w:val="21"/>
              </w:rPr>
              <w:t>GB36600-2018</w:t>
            </w:r>
            <w:r w:rsidRPr="00A37141">
              <w:rPr>
                <w:rFonts w:asciiTheme="minorHAnsi" w:hAnsiTheme="minorHAnsi"/>
                <w:kern w:val="0"/>
                <w:szCs w:val="21"/>
              </w:rPr>
              <w:t>）筛选值标准</w:t>
            </w:r>
          </w:p>
        </w:tc>
        <w:tc>
          <w:tcPr>
            <w:tcW w:w="528" w:type="pct"/>
            <w:vMerge/>
            <w:tcBorders>
              <w:left w:val="single" w:sz="2" w:space="0" w:color="auto"/>
            </w:tcBorders>
            <w:tcMar>
              <w:top w:w="28" w:type="dxa"/>
              <w:bottom w:w="28" w:type="dxa"/>
            </w:tcMar>
            <w:vAlign w:val="center"/>
          </w:tcPr>
          <w:p w14:paraId="4DC3C172" w14:textId="77777777" w:rsidR="00A37141" w:rsidRPr="00C12E37" w:rsidRDefault="00A37141" w:rsidP="00AE4424">
            <w:pPr>
              <w:pStyle w:val="af6"/>
              <w:rPr>
                <w:rFonts w:ascii="Calibri" w:hAnsi="宋体"/>
                <w:color w:val="auto"/>
              </w:rPr>
            </w:pPr>
          </w:p>
        </w:tc>
      </w:tr>
      <w:tr w:rsidR="00A37141" w:rsidRPr="00A964FF" w14:paraId="4982B740" w14:textId="77777777" w:rsidTr="00A37141">
        <w:trPr>
          <w:trHeight w:val="369"/>
        </w:trPr>
        <w:tc>
          <w:tcPr>
            <w:tcW w:w="575" w:type="pct"/>
            <w:gridSpan w:val="2"/>
            <w:tcMar>
              <w:top w:w="28" w:type="dxa"/>
              <w:bottom w:w="28" w:type="dxa"/>
            </w:tcMar>
            <w:vAlign w:val="center"/>
          </w:tcPr>
          <w:p w14:paraId="7ADC1D0E" w14:textId="77777777" w:rsidR="00A37141" w:rsidRPr="00A964FF" w:rsidRDefault="00A37141" w:rsidP="00AE4424">
            <w:pPr>
              <w:pStyle w:val="af6"/>
              <w:rPr>
                <w:rFonts w:ascii="Calibri" w:hAnsi="宋体"/>
                <w:color w:val="auto"/>
              </w:rPr>
            </w:pPr>
            <w:r w:rsidRPr="00C50ECF">
              <w:rPr>
                <w:rFonts w:ascii="Calibri" w:hAnsi="宋体" w:hint="eastAsia"/>
                <w:color w:val="auto"/>
              </w:rPr>
              <w:t>应急报告</w:t>
            </w:r>
          </w:p>
        </w:tc>
        <w:tc>
          <w:tcPr>
            <w:tcW w:w="4425" w:type="pct"/>
            <w:gridSpan w:val="5"/>
            <w:vAlign w:val="center"/>
          </w:tcPr>
          <w:p w14:paraId="6953A8E1" w14:textId="77777777" w:rsidR="00A37141" w:rsidRPr="00A964FF" w:rsidRDefault="00A37141" w:rsidP="00C50ECF">
            <w:pPr>
              <w:pStyle w:val="af6"/>
              <w:jc w:val="left"/>
              <w:rPr>
                <w:rFonts w:ascii="Calibri" w:hAnsi="Calibri"/>
                <w:color w:val="auto"/>
              </w:rPr>
            </w:pPr>
            <w:r w:rsidRPr="00C50ECF">
              <w:rPr>
                <w:rFonts w:ascii="Calibri" w:hAnsi="Calibri" w:hint="eastAsia"/>
                <w:color w:val="auto"/>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排放的污水可能危及城镇排水与污水处理设施安全运行的，应当立即采取措施消除危害，并及时向城镇排水主管部门和环境保护主管部门等有关部门报告。</w:t>
            </w:r>
          </w:p>
        </w:tc>
      </w:tr>
    </w:tbl>
    <w:p w14:paraId="36BCE13A" w14:textId="77777777" w:rsidR="00271ACD" w:rsidRPr="00C12E37" w:rsidRDefault="00B57A09" w:rsidP="00C12E37">
      <w:pPr>
        <w:pStyle w:val="00"/>
        <w:rPr>
          <w:rFonts w:ascii="Calibri" w:hAnsi="Calibri"/>
          <w:noProof/>
          <w:color w:val="auto"/>
        </w:rPr>
      </w:pPr>
      <w:r w:rsidRPr="00A964FF">
        <w:rPr>
          <w:rFonts w:ascii="Calibri" w:hAnsi="Calibri"/>
          <w:noProof/>
          <w:color w:val="auto"/>
        </w:rPr>
        <w:t>在监测单位出具环境监测报告之后，企业应当将监测数据归类、归档，妥善保存。对于监测结果所反映的环保问题应及时采取措施，及时纠正，确保污</w:t>
      </w:r>
      <w:r w:rsidR="005B5C6C" w:rsidRPr="00A964FF">
        <w:rPr>
          <w:rFonts w:ascii="Calibri" w:hAnsi="Calibri"/>
          <w:noProof/>
          <w:color w:val="auto"/>
        </w:rPr>
        <w:t>染物排放达标。对于项目涉及的废水、废气特征污染物监测数据及</w:t>
      </w:r>
      <w:r w:rsidR="005B5C6C" w:rsidRPr="00A964FF">
        <w:rPr>
          <w:rFonts w:ascii="Calibri" w:hAnsi="Calibri" w:hint="eastAsia"/>
          <w:noProof/>
          <w:color w:val="auto"/>
        </w:rPr>
        <w:t>噪声、地下水、土壤</w:t>
      </w:r>
      <w:r w:rsidRPr="00A964FF">
        <w:rPr>
          <w:rFonts w:ascii="Calibri" w:hAnsi="Calibri"/>
          <w:noProof/>
          <w:color w:val="auto"/>
        </w:rPr>
        <w:t>监测数据应向社会公开。</w:t>
      </w:r>
      <w:r w:rsidR="0055605A" w:rsidRPr="00A964FF">
        <w:rPr>
          <w:rFonts w:ascii="Calibri" w:eastAsia="黑体"/>
          <w:color w:val="auto"/>
        </w:rPr>
        <w:br w:type="page"/>
      </w:r>
      <w:bookmarkStart w:id="97" w:name="_Toc447804145"/>
    </w:p>
    <w:p w14:paraId="071932C9" w14:textId="77777777" w:rsidR="0055605A" w:rsidRPr="00A964FF" w:rsidRDefault="0055605A" w:rsidP="0055605A">
      <w:pPr>
        <w:pStyle w:val="1"/>
        <w:spacing w:line="240" w:lineRule="auto"/>
        <w:jc w:val="center"/>
        <w:rPr>
          <w:rFonts w:ascii="Calibri" w:hAnsi="Calibri"/>
          <w:color w:val="auto"/>
        </w:rPr>
      </w:pPr>
      <w:bookmarkStart w:id="98" w:name="_Toc112999934"/>
      <w:r w:rsidRPr="00A964FF">
        <w:rPr>
          <w:rFonts w:ascii="Calibri" w:hAnsi="Calibri"/>
          <w:color w:val="auto"/>
        </w:rPr>
        <w:lastRenderedPageBreak/>
        <w:t>第</w:t>
      </w:r>
      <w:r w:rsidRPr="00A964FF">
        <w:rPr>
          <w:rFonts w:ascii="Calibri" w:hAnsi="Calibri" w:hint="eastAsia"/>
          <w:color w:val="auto"/>
        </w:rPr>
        <w:t>八</w:t>
      </w:r>
      <w:r w:rsidRPr="00A964FF">
        <w:rPr>
          <w:rFonts w:ascii="Calibri" w:hAnsi="Calibri"/>
          <w:color w:val="auto"/>
        </w:rPr>
        <w:t>章</w:t>
      </w:r>
      <w:r w:rsidRPr="00A964FF">
        <w:rPr>
          <w:rFonts w:ascii="Calibri" w:hAnsi="Calibri"/>
          <w:color w:val="auto"/>
        </w:rPr>
        <w:t xml:space="preserve">    </w:t>
      </w:r>
      <w:bookmarkEnd w:id="97"/>
      <w:r w:rsidRPr="00A964FF">
        <w:rPr>
          <w:rFonts w:ascii="Calibri" w:hAnsi="Calibri" w:hint="eastAsia"/>
          <w:color w:val="auto"/>
        </w:rPr>
        <w:t>环境影响评价结论</w:t>
      </w:r>
      <w:bookmarkEnd w:id="98"/>
    </w:p>
    <w:p w14:paraId="6CBDEBC9" w14:textId="77777777" w:rsidR="0055605A" w:rsidRPr="00A964FF" w:rsidRDefault="0055605A" w:rsidP="0055605A">
      <w:pPr>
        <w:pStyle w:val="2"/>
        <w:spacing w:before="200" w:after="100"/>
        <w:rPr>
          <w:rFonts w:ascii="Calibri" w:hAnsi="Calibri"/>
          <w:bCs/>
          <w:color w:val="auto"/>
          <w:szCs w:val="28"/>
        </w:rPr>
      </w:pPr>
      <w:bookmarkStart w:id="99" w:name="_Toc447804146"/>
      <w:bookmarkStart w:id="100" w:name="_Toc112999935"/>
      <w:r w:rsidRPr="00A964FF">
        <w:rPr>
          <w:rFonts w:ascii="Calibri" w:hAnsi="Calibri"/>
          <w:bCs/>
          <w:color w:val="auto"/>
          <w:szCs w:val="28"/>
        </w:rPr>
        <w:t>8.1</w:t>
      </w:r>
      <w:bookmarkEnd w:id="99"/>
      <w:r w:rsidRPr="00A964FF">
        <w:rPr>
          <w:rFonts w:ascii="Calibri" w:hAnsi="Calibri" w:hint="eastAsia"/>
          <w:bCs/>
          <w:color w:val="auto"/>
          <w:szCs w:val="28"/>
        </w:rPr>
        <w:t>项目概况</w:t>
      </w:r>
      <w:bookmarkEnd w:id="100"/>
    </w:p>
    <w:p w14:paraId="4D0B62A6" w14:textId="77770250" w:rsidR="00AC555A" w:rsidRDefault="00AC555A" w:rsidP="00364EBD">
      <w:pPr>
        <w:pStyle w:val="00"/>
        <w:rPr>
          <w:rFonts w:ascii="Calibri" w:hAnsi="Calibri"/>
          <w:color w:val="auto"/>
        </w:rPr>
      </w:pPr>
      <w:r>
        <w:rPr>
          <w:rFonts w:ascii="Calibri" w:hAnsi="Calibri" w:hint="eastAsia"/>
          <w:caps/>
        </w:rPr>
        <w:t>平顶山倍</w:t>
      </w:r>
      <w:r>
        <w:rPr>
          <w:rFonts w:ascii="Calibri" w:hAnsi="Calibri"/>
          <w:caps/>
        </w:rPr>
        <w:t>安德塑化</w:t>
      </w:r>
      <w:r>
        <w:rPr>
          <w:rFonts w:ascii="Calibri" w:hAnsi="Calibri" w:hint="eastAsia"/>
          <w:caps/>
        </w:rPr>
        <w:t>有限公司年产</w:t>
      </w:r>
      <w:r>
        <w:rPr>
          <w:rFonts w:ascii="Calibri" w:hAnsi="Calibri" w:hint="eastAsia"/>
          <w:caps/>
        </w:rPr>
        <w:t>5000</w:t>
      </w:r>
      <w:r>
        <w:rPr>
          <w:rFonts w:ascii="Calibri" w:hAnsi="Calibri" w:hint="eastAsia"/>
          <w:caps/>
        </w:rPr>
        <w:t>吨</w:t>
      </w:r>
      <w:r>
        <w:rPr>
          <w:rFonts w:ascii="Calibri" w:hAnsi="Calibri"/>
          <w:caps/>
        </w:rPr>
        <w:t>透明</w:t>
      </w:r>
      <w:r>
        <w:rPr>
          <w:rFonts w:ascii="Calibri" w:hAnsi="Calibri" w:hint="eastAsia"/>
          <w:caps/>
        </w:rPr>
        <w:t>尼龙</w:t>
      </w:r>
      <w:r>
        <w:rPr>
          <w:rFonts w:ascii="Calibri" w:hAnsi="Calibri"/>
          <w:caps/>
        </w:rPr>
        <w:t>合成制造项目</w:t>
      </w:r>
      <w:r w:rsidR="0055605A" w:rsidRPr="00A964FF">
        <w:rPr>
          <w:rFonts w:ascii="Calibri" w:hAnsi="Calibri"/>
          <w:color w:val="auto"/>
        </w:rPr>
        <w:t>选址</w:t>
      </w:r>
      <w:r w:rsidR="008C7A91" w:rsidRPr="00A964FF">
        <w:rPr>
          <w:rFonts w:ascii="Calibri" w:hAnsi="Calibri"/>
          <w:color w:val="auto"/>
        </w:rPr>
        <w:t>位于平顶山尼龙新材料产业集聚区</w:t>
      </w:r>
      <w:r w:rsidR="0091080A" w:rsidRPr="00A964FF">
        <w:rPr>
          <w:rFonts w:ascii="Calibri" w:hAnsi="Calibri"/>
          <w:color w:val="auto"/>
        </w:rPr>
        <w:t>，</w:t>
      </w:r>
      <w:r w:rsidR="0055605A" w:rsidRPr="00A964FF">
        <w:rPr>
          <w:rFonts w:ascii="Calibri" w:hAnsi="Calibri"/>
          <w:color w:val="auto"/>
        </w:rPr>
        <w:t>总投资</w:t>
      </w:r>
      <w:r w:rsidRPr="00AC555A">
        <w:rPr>
          <w:rFonts w:ascii="Calibri" w:hAnsi="Calibri"/>
          <w:caps/>
          <w:color w:val="auto"/>
        </w:rPr>
        <w:t>30461</w:t>
      </w:r>
      <w:r w:rsidR="006D0FB3" w:rsidRPr="00A964FF">
        <w:rPr>
          <w:rFonts w:ascii="Calibri" w:hAnsi="Calibri"/>
          <w:color w:val="auto"/>
        </w:rPr>
        <w:t>万元</w:t>
      </w:r>
      <w:r w:rsidR="0055605A" w:rsidRPr="00A964FF">
        <w:rPr>
          <w:rFonts w:ascii="Calibri" w:hAnsi="Calibri"/>
          <w:color w:val="auto"/>
        </w:rPr>
        <w:t>，</w:t>
      </w:r>
      <w:r w:rsidR="00364EBD">
        <w:rPr>
          <w:rFonts w:ascii="Calibri" w:hAnsi="Calibri" w:hint="eastAsia"/>
          <w:color w:val="auto"/>
        </w:rPr>
        <w:t>其中</w:t>
      </w:r>
      <w:r w:rsidR="00364EBD">
        <w:rPr>
          <w:rFonts w:ascii="Calibri" w:hAnsi="Calibri"/>
          <w:color w:val="auto"/>
        </w:rPr>
        <w:t>一期、二期工程总投资为</w:t>
      </w:r>
      <w:r w:rsidR="00364EBD">
        <w:rPr>
          <w:rFonts w:ascii="Calibri" w:hAnsi="Calibri" w:hint="eastAsia"/>
          <w:color w:val="auto"/>
        </w:rPr>
        <w:t>25400</w:t>
      </w:r>
      <w:r w:rsidR="00364EBD">
        <w:rPr>
          <w:rFonts w:ascii="Calibri" w:hAnsi="Calibri" w:hint="eastAsia"/>
          <w:color w:val="auto"/>
        </w:rPr>
        <w:t>万元</w:t>
      </w:r>
      <w:r w:rsidR="00364EBD">
        <w:rPr>
          <w:rFonts w:ascii="Calibri" w:hAnsi="Calibri"/>
          <w:color w:val="auto"/>
        </w:rPr>
        <w:t>，</w:t>
      </w:r>
      <w:r>
        <w:rPr>
          <w:rFonts w:ascii="Calibri"/>
          <w:color w:val="auto"/>
        </w:rPr>
        <w:t>总占地</w:t>
      </w:r>
      <w:r>
        <w:rPr>
          <w:rFonts w:ascii="Calibri" w:hint="eastAsia"/>
          <w:color w:val="auto"/>
        </w:rPr>
        <w:t>78033.8</w:t>
      </w:r>
      <w:r>
        <w:rPr>
          <w:rFonts w:ascii="Calibri"/>
          <w:color w:val="auto"/>
        </w:rPr>
        <w:t>m</w:t>
      </w:r>
      <w:r w:rsidRPr="00F74D79">
        <w:rPr>
          <w:rFonts w:ascii="Calibri"/>
          <w:color w:val="auto"/>
          <w:vertAlign w:val="superscript"/>
        </w:rPr>
        <w:t>2</w:t>
      </w:r>
      <w:r>
        <w:rPr>
          <w:rFonts w:ascii="Calibri" w:hint="eastAsia"/>
          <w:color w:val="auto"/>
        </w:rPr>
        <w:t>。</w:t>
      </w:r>
      <w:r w:rsidRPr="009274EB">
        <w:rPr>
          <w:rFonts w:asciiTheme="minorHAnsi" w:hAnsi="Calibri" w:cstheme="minorHAnsi" w:hint="eastAsia"/>
          <w:color w:val="auto"/>
        </w:rPr>
        <w:t>根据项目备案内容，</w:t>
      </w:r>
      <w:r>
        <w:rPr>
          <w:rFonts w:asciiTheme="minorHAnsi" w:hAnsi="Calibri" w:cstheme="minorHAnsi" w:hint="eastAsia"/>
          <w:color w:val="auto"/>
        </w:rPr>
        <w:t>本项目</w:t>
      </w:r>
      <w:r>
        <w:rPr>
          <w:rFonts w:asciiTheme="minorHAnsi" w:hAnsi="Calibri" w:cstheme="minorHAnsi"/>
          <w:color w:val="auto"/>
        </w:rPr>
        <w:t>分三期建设，</w:t>
      </w:r>
      <w:r>
        <w:rPr>
          <w:rFonts w:asciiTheme="minorHAnsi" w:hAnsi="Calibri" w:cstheme="minorHAnsi" w:hint="eastAsia"/>
          <w:color w:val="auto"/>
        </w:rPr>
        <w:t>总规模</w:t>
      </w:r>
      <w:r>
        <w:rPr>
          <w:rFonts w:asciiTheme="minorHAnsi" w:hAnsi="Calibri" w:cstheme="minorHAnsi"/>
          <w:color w:val="auto"/>
        </w:rPr>
        <w:t>为年产</w:t>
      </w:r>
      <w:r w:rsidRPr="009274EB">
        <w:rPr>
          <w:rFonts w:asciiTheme="minorHAnsi" w:hAnsi="Calibri" w:cstheme="minorHAnsi" w:hint="eastAsia"/>
          <w:color w:val="auto"/>
        </w:rPr>
        <w:t>透明尼龙</w:t>
      </w:r>
      <w:r w:rsidRPr="009274EB">
        <w:rPr>
          <w:rFonts w:asciiTheme="minorHAnsi" w:hAnsi="Calibri" w:cstheme="minorHAnsi" w:hint="eastAsia"/>
          <w:color w:val="auto"/>
        </w:rPr>
        <w:t>5000</w:t>
      </w:r>
      <w:r w:rsidRPr="009274EB">
        <w:rPr>
          <w:rFonts w:asciiTheme="minorHAnsi" w:hAnsi="Calibri" w:cstheme="minorHAnsi" w:hint="eastAsia"/>
          <w:color w:val="auto"/>
        </w:rPr>
        <w:t>吨</w:t>
      </w:r>
      <w:r>
        <w:rPr>
          <w:rFonts w:asciiTheme="minorHAnsi" w:hAnsi="Calibri" w:cstheme="minorHAnsi" w:hint="eastAsia"/>
          <w:color w:val="auto"/>
        </w:rPr>
        <w:t>，其中一期</w:t>
      </w:r>
      <w:r>
        <w:rPr>
          <w:rFonts w:asciiTheme="minorHAnsi" w:hAnsi="Calibri" w:cstheme="minorHAnsi"/>
          <w:color w:val="auto"/>
        </w:rPr>
        <w:t>年产</w:t>
      </w:r>
      <w:r w:rsidRPr="009274EB">
        <w:rPr>
          <w:rFonts w:asciiTheme="minorHAnsi" w:hAnsi="Calibri" w:cstheme="minorHAnsi" w:hint="eastAsia"/>
          <w:color w:val="auto"/>
        </w:rPr>
        <w:t>透明尼龙</w:t>
      </w:r>
      <w:r>
        <w:rPr>
          <w:rFonts w:asciiTheme="minorHAnsi" w:hAnsi="Calibri" w:cstheme="minorHAnsi" w:hint="eastAsia"/>
          <w:color w:val="auto"/>
        </w:rPr>
        <w:t>25</w:t>
      </w:r>
      <w:r>
        <w:rPr>
          <w:rFonts w:asciiTheme="minorHAnsi" w:hAnsi="Calibri" w:cstheme="minorHAnsi"/>
          <w:color w:val="auto"/>
        </w:rPr>
        <w:t>00</w:t>
      </w:r>
      <w:r>
        <w:rPr>
          <w:rFonts w:asciiTheme="minorHAnsi" w:hAnsi="Calibri" w:cstheme="minorHAnsi" w:hint="eastAsia"/>
          <w:color w:val="auto"/>
        </w:rPr>
        <w:t>吨；二期</w:t>
      </w:r>
      <w:r>
        <w:rPr>
          <w:rFonts w:asciiTheme="minorHAnsi" w:hAnsi="Calibri" w:cstheme="minorHAnsi"/>
          <w:color w:val="auto"/>
        </w:rPr>
        <w:t>年</w:t>
      </w:r>
      <w:r w:rsidRPr="009274EB">
        <w:rPr>
          <w:rFonts w:asciiTheme="minorHAnsi" w:hAnsi="Calibri" w:cstheme="minorHAnsi" w:hint="eastAsia"/>
          <w:color w:val="auto"/>
        </w:rPr>
        <w:t>产透明尼龙</w:t>
      </w:r>
      <w:r>
        <w:rPr>
          <w:rFonts w:asciiTheme="minorHAnsi" w:hAnsi="Calibri" w:cstheme="minorHAnsi"/>
          <w:color w:val="auto"/>
        </w:rPr>
        <w:t>1</w:t>
      </w:r>
      <w:r w:rsidRPr="009274EB">
        <w:rPr>
          <w:rFonts w:asciiTheme="minorHAnsi" w:hAnsi="Calibri" w:cstheme="minorHAnsi" w:hint="eastAsia"/>
          <w:color w:val="auto"/>
        </w:rPr>
        <w:t>500</w:t>
      </w:r>
      <w:r w:rsidRPr="009274EB">
        <w:rPr>
          <w:rFonts w:asciiTheme="minorHAnsi" w:hAnsi="Calibri" w:cstheme="minorHAnsi" w:hint="eastAsia"/>
          <w:color w:val="auto"/>
        </w:rPr>
        <w:t>吨</w:t>
      </w:r>
      <w:r>
        <w:rPr>
          <w:rFonts w:asciiTheme="minorHAnsi" w:hAnsi="Calibri" w:cstheme="minorHAnsi" w:hint="eastAsia"/>
          <w:color w:val="auto"/>
        </w:rPr>
        <w:t>；三期</w:t>
      </w:r>
      <w:r w:rsidRPr="009274EB">
        <w:rPr>
          <w:rFonts w:asciiTheme="minorHAnsi" w:hAnsi="Calibri" w:cstheme="minorHAnsi" w:hint="eastAsia"/>
          <w:color w:val="auto"/>
        </w:rPr>
        <w:t>年产透明尼龙</w:t>
      </w:r>
      <w:r>
        <w:rPr>
          <w:rFonts w:asciiTheme="minorHAnsi" w:hAnsi="Calibri" w:cstheme="minorHAnsi"/>
          <w:color w:val="auto"/>
        </w:rPr>
        <w:t>10</w:t>
      </w:r>
      <w:r w:rsidRPr="009274EB">
        <w:rPr>
          <w:rFonts w:asciiTheme="minorHAnsi" w:hAnsi="Calibri" w:cstheme="minorHAnsi" w:hint="eastAsia"/>
          <w:color w:val="auto"/>
        </w:rPr>
        <w:t>00</w:t>
      </w:r>
      <w:r w:rsidRPr="009274EB">
        <w:rPr>
          <w:rFonts w:asciiTheme="minorHAnsi" w:hAnsi="Calibri" w:cstheme="minorHAnsi" w:hint="eastAsia"/>
          <w:color w:val="auto"/>
        </w:rPr>
        <w:t>吨</w:t>
      </w:r>
      <w:r>
        <w:rPr>
          <w:rFonts w:asciiTheme="minorHAnsi" w:hAnsi="Calibri" w:cstheme="minorHAnsi" w:hint="eastAsia"/>
          <w:color w:val="auto"/>
        </w:rPr>
        <w:t>，</w:t>
      </w:r>
      <w:r>
        <w:rPr>
          <w:rFonts w:asciiTheme="minorHAnsi" w:hAnsi="Calibri" w:cstheme="minorHAnsi"/>
          <w:color w:val="auto"/>
        </w:rPr>
        <w:t>本次仅针对一期、二期进行评价</w:t>
      </w:r>
      <w:r>
        <w:rPr>
          <w:rFonts w:asciiTheme="minorHAnsi" w:hAnsi="Calibri" w:cstheme="minorHAnsi" w:hint="eastAsia"/>
          <w:color w:val="auto"/>
        </w:rPr>
        <w:t>。</w:t>
      </w:r>
    </w:p>
    <w:p w14:paraId="48D4520C" w14:textId="77777777" w:rsidR="0055605A" w:rsidRPr="00A964FF" w:rsidRDefault="0055605A" w:rsidP="0055605A">
      <w:pPr>
        <w:pStyle w:val="2"/>
        <w:spacing w:before="200" w:after="100"/>
        <w:rPr>
          <w:rFonts w:ascii="Calibri" w:hAnsi="Calibri"/>
          <w:bCs/>
          <w:color w:val="auto"/>
          <w:szCs w:val="28"/>
        </w:rPr>
      </w:pPr>
      <w:bookmarkStart w:id="101" w:name="_Toc112999936"/>
      <w:r w:rsidRPr="00A964FF">
        <w:rPr>
          <w:rFonts w:ascii="Calibri" w:hAnsi="Calibri"/>
          <w:bCs/>
          <w:color w:val="auto"/>
          <w:szCs w:val="28"/>
        </w:rPr>
        <w:t>8.</w:t>
      </w:r>
      <w:r w:rsidRPr="00A964FF">
        <w:rPr>
          <w:rFonts w:ascii="Calibri" w:hAnsi="Calibri" w:hint="eastAsia"/>
          <w:bCs/>
          <w:color w:val="auto"/>
          <w:szCs w:val="28"/>
        </w:rPr>
        <w:t>2</w:t>
      </w:r>
      <w:r w:rsidRPr="00A964FF">
        <w:rPr>
          <w:rFonts w:ascii="Calibri" w:hAnsi="Calibri" w:hint="eastAsia"/>
          <w:bCs/>
          <w:color w:val="auto"/>
          <w:szCs w:val="28"/>
        </w:rPr>
        <w:t>选址及产业政策结论</w:t>
      </w:r>
      <w:bookmarkEnd w:id="101"/>
    </w:p>
    <w:p w14:paraId="145C64BD" w14:textId="77777777" w:rsidR="0055605A" w:rsidRPr="00A964FF" w:rsidRDefault="0055605A" w:rsidP="0055605A">
      <w:pPr>
        <w:spacing w:line="520" w:lineRule="exact"/>
        <w:ind w:firstLineChars="200" w:firstLine="482"/>
        <w:rPr>
          <w:rFonts w:ascii="Calibri" w:hAnsi="Calibri"/>
          <w:b/>
          <w:color w:val="auto"/>
          <w:sz w:val="24"/>
        </w:rPr>
      </w:pPr>
      <w:r w:rsidRPr="00A964FF">
        <w:rPr>
          <w:rFonts w:ascii="Calibri" w:hAnsi="Calibri" w:hint="eastAsia"/>
          <w:b/>
          <w:color w:val="auto"/>
          <w:sz w:val="24"/>
        </w:rPr>
        <w:t>1</w:t>
      </w:r>
      <w:r w:rsidRPr="00A964FF">
        <w:rPr>
          <w:rFonts w:ascii="Calibri" w:hAnsi="Calibri" w:hint="eastAsia"/>
          <w:b/>
          <w:color w:val="auto"/>
          <w:sz w:val="24"/>
        </w:rPr>
        <w:t>、</w:t>
      </w:r>
      <w:r w:rsidRPr="00A964FF">
        <w:rPr>
          <w:rFonts w:ascii="Calibri" w:hAnsi="Calibri"/>
          <w:b/>
          <w:color w:val="auto"/>
          <w:sz w:val="24"/>
        </w:rPr>
        <w:t>选址合理性分析</w:t>
      </w:r>
    </w:p>
    <w:p w14:paraId="379159FD" w14:textId="53C1FD80" w:rsidR="00D2545B" w:rsidRPr="00AC555A" w:rsidRDefault="00D04D8A" w:rsidP="00026202">
      <w:pPr>
        <w:spacing w:line="520" w:lineRule="exact"/>
        <w:ind w:firstLineChars="200" w:firstLine="480"/>
        <w:jc w:val="left"/>
        <w:rPr>
          <w:rFonts w:ascii="Calibri" w:hAnsi="Calibri"/>
          <w:bCs/>
          <w:color w:val="auto"/>
          <w:sz w:val="24"/>
        </w:rPr>
      </w:pPr>
      <w:r w:rsidRPr="00AC555A">
        <w:rPr>
          <w:rFonts w:ascii="Calibri" w:hAnsi="Calibri" w:hint="eastAsia"/>
          <w:bCs/>
          <w:color w:val="auto"/>
          <w:sz w:val="24"/>
        </w:rPr>
        <w:t>本项目选址位于平顶山尼龙新材料产业集聚区，</w:t>
      </w:r>
      <w:r w:rsidR="00AC555A" w:rsidRPr="00AC555A">
        <w:rPr>
          <w:rFonts w:asciiTheme="minorEastAsia" w:eastAsiaTheme="minorEastAsia" w:hAnsiTheme="minorEastAsia" w:hint="eastAsia"/>
          <w:color w:val="auto"/>
          <w:sz w:val="24"/>
        </w:rPr>
        <w:t>本项目</w:t>
      </w:r>
      <w:r w:rsidR="00AC555A" w:rsidRPr="00AC555A">
        <w:rPr>
          <w:rFonts w:ascii="Calibri" w:hAnsi="Calibri" w:hint="eastAsia"/>
          <w:bCs/>
          <w:color w:val="auto"/>
          <w:sz w:val="24"/>
        </w:rPr>
        <w:t>所用地块</w:t>
      </w:r>
      <w:r w:rsidR="00026202" w:rsidRPr="00026202">
        <w:rPr>
          <w:rFonts w:ascii="Calibri" w:hAnsi="Calibri" w:hint="eastAsia"/>
          <w:bCs/>
          <w:color w:val="auto"/>
          <w:sz w:val="24"/>
        </w:rPr>
        <w:t>平顶山倍安德塑化有限公司</w:t>
      </w:r>
      <w:r w:rsidR="00AC555A" w:rsidRPr="00AC555A">
        <w:rPr>
          <w:rFonts w:ascii="Calibri" w:hAnsi="Calibri" w:hint="eastAsia"/>
          <w:bCs/>
          <w:color w:val="auto"/>
          <w:sz w:val="24"/>
        </w:rPr>
        <w:t>已经办理了国有土地使用证（豫</w:t>
      </w:r>
      <w:r w:rsidR="00AC555A" w:rsidRPr="00AC555A">
        <w:rPr>
          <w:rFonts w:ascii="Calibri" w:hAnsi="Calibri"/>
          <w:bCs/>
          <w:color w:val="auto"/>
          <w:sz w:val="24"/>
        </w:rPr>
        <w:t>（</w:t>
      </w:r>
      <w:r w:rsidR="00AC555A" w:rsidRPr="00AC555A">
        <w:rPr>
          <w:rFonts w:ascii="Calibri" w:hAnsi="Calibri" w:hint="eastAsia"/>
          <w:bCs/>
          <w:color w:val="auto"/>
          <w:sz w:val="24"/>
        </w:rPr>
        <w:t>2022</w:t>
      </w:r>
      <w:r w:rsidR="00AC555A" w:rsidRPr="00AC555A">
        <w:rPr>
          <w:rFonts w:ascii="Calibri" w:hAnsi="Calibri"/>
          <w:bCs/>
          <w:color w:val="auto"/>
          <w:sz w:val="24"/>
        </w:rPr>
        <w:t>）</w:t>
      </w:r>
      <w:r w:rsidR="00AC555A" w:rsidRPr="00AC555A">
        <w:rPr>
          <w:rFonts w:ascii="Calibri" w:hAnsi="Calibri" w:hint="eastAsia"/>
          <w:bCs/>
          <w:color w:val="auto"/>
          <w:sz w:val="24"/>
        </w:rPr>
        <w:t>叶县</w:t>
      </w:r>
      <w:r w:rsidR="00AC555A" w:rsidRPr="00AC555A">
        <w:rPr>
          <w:rFonts w:ascii="Calibri" w:hAnsi="Calibri"/>
          <w:bCs/>
          <w:color w:val="auto"/>
          <w:sz w:val="24"/>
        </w:rPr>
        <w:t>不动产权第</w:t>
      </w:r>
      <w:r w:rsidR="00AC555A" w:rsidRPr="00AC555A">
        <w:rPr>
          <w:rFonts w:ascii="Calibri" w:hAnsi="Calibri" w:hint="eastAsia"/>
          <w:bCs/>
          <w:color w:val="auto"/>
          <w:sz w:val="24"/>
        </w:rPr>
        <w:t>0009196</w:t>
      </w:r>
      <w:r w:rsidR="00AC555A" w:rsidRPr="00AC555A">
        <w:rPr>
          <w:rFonts w:ascii="Calibri" w:hAnsi="Calibri" w:hint="eastAsia"/>
          <w:bCs/>
          <w:color w:val="auto"/>
          <w:sz w:val="24"/>
        </w:rPr>
        <w:t>号），地类用途为工业用地，项目用地符合叶县土地利用总体规划及城市总体规划</w:t>
      </w:r>
      <w:r w:rsidR="00AC555A">
        <w:rPr>
          <w:rFonts w:ascii="Calibri" w:hAnsi="Calibri" w:hint="eastAsia"/>
          <w:bCs/>
          <w:color w:val="auto"/>
          <w:sz w:val="24"/>
        </w:rPr>
        <w:t>，</w:t>
      </w:r>
      <w:r w:rsidR="00D2545B" w:rsidRPr="00AC555A">
        <w:rPr>
          <w:rFonts w:ascii="Calibri" w:hAnsi="Calibri" w:hint="eastAsia"/>
          <w:bCs/>
          <w:color w:val="auto"/>
          <w:sz w:val="24"/>
        </w:rPr>
        <w:t>符合平顶山尼龙新材料产业集聚区总体规划。</w:t>
      </w:r>
    </w:p>
    <w:p w14:paraId="5E3602A5" w14:textId="77777777" w:rsidR="0055605A" w:rsidRPr="00A964FF" w:rsidRDefault="0055605A" w:rsidP="0024137C">
      <w:pPr>
        <w:spacing w:line="520" w:lineRule="exact"/>
        <w:ind w:firstLineChars="200" w:firstLine="480"/>
        <w:rPr>
          <w:rFonts w:ascii="Calibri" w:hAnsi="Calibri"/>
          <w:bCs/>
          <w:color w:val="auto"/>
          <w:sz w:val="24"/>
        </w:rPr>
      </w:pPr>
      <w:r w:rsidRPr="00A964FF">
        <w:rPr>
          <w:rFonts w:ascii="Calibri" w:hAnsi="Calibri"/>
          <w:color w:val="auto"/>
          <w:sz w:val="24"/>
        </w:rPr>
        <w:t>由此可见，本项目选址合理，建设内容可行。</w:t>
      </w:r>
    </w:p>
    <w:p w14:paraId="59105592" w14:textId="77777777" w:rsidR="0055605A" w:rsidRPr="00A964FF" w:rsidRDefault="0055605A" w:rsidP="00D04D8A">
      <w:pPr>
        <w:spacing w:line="520" w:lineRule="exact"/>
        <w:ind w:firstLineChars="200" w:firstLine="482"/>
        <w:rPr>
          <w:rFonts w:ascii="Calibri" w:hAnsi="Calibri"/>
          <w:b/>
          <w:color w:val="auto"/>
          <w:sz w:val="24"/>
        </w:rPr>
      </w:pPr>
      <w:r w:rsidRPr="00A964FF">
        <w:rPr>
          <w:rFonts w:ascii="Calibri" w:hAnsi="Calibri"/>
          <w:b/>
          <w:color w:val="auto"/>
          <w:sz w:val="24"/>
        </w:rPr>
        <w:t>2</w:t>
      </w:r>
      <w:r w:rsidRPr="00A964FF">
        <w:rPr>
          <w:rFonts w:ascii="Calibri" w:hAnsi="Calibri"/>
          <w:b/>
          <w:color w:val="auto"/>
          <w:sz w:val="24"/>
        </w:rPr>
        <w:t>、产业政策符合性分析</w:t>
      </w:r>
    </w:p>
    <w:p w14:paraId="62AFB5E0" w14:textId="557B5654" w:rsidR="0024137C" w:rsidRPr="00A964FF" w:rsidRDefault="0024137C" w:rsidP="00866AB5">
      <w:pPr>
        <w:pStyle w:val="00"/>
        <w:rPr>
          <w:rFonts w:ascii="Calibri" w:hAnsi="Calibri"/>
          <w:color w:val="auto"/>
        </w:rPr>
      </w:pPr>
      <w:r w:rsidRPr="00A964FF">
        <w:rPr>
          <w:rFonts w:ascii="Calibri" w:hAnsi="Calibri"/>
          <w:color w:val="auto"/>
        </w:rPr>
        <w:t>根据《产业结构调整指导目录（</w:t>
      </w:r>
      <w:r w:rsidRPr="00A964FF">
        <w:rPr>
          <w:rFonts w:ascii="Calibri" w:hAnsi="Calibri"/>
          <w:color w:val="auto"/>
        </w:rPr>
        <w:t>2019</w:t>
      </w:r>
      <w:r w:rsidRPr="00A964FF">
        <w:rPr>
          <w:rFonts w:ascii="Calibri" w:hAnsi="Calibri"/>
          <w:color w:val="auto"/>
        </w:rPr>
        <w:t>年本）》，</w:t>
      </w:r>
      <w:r w:rsidR="00D2545B" w:rsidRPr="00A964FF">
        <w:rPr>
          <w:rFonts w:ascii="Calibri" w:hAnsi="Calibri"/>
          <w:color w:val="auto"/>
        </w:rPr>
        <w:t>本项目</w:t>
      </w:r>
      <w:r w:rsidR="00D2545B">
        <w:rPr>
          <w:rFonts w:ascii="Calibri" w:hAnsi="Calibri" w:hint="eastAsia"/>
          <w:color w:val="auto"/>
        </w:rPr>
        <w:t>属于鼓励类</w:t>
      </w:r>
      <w:r w:rsidR="00866AB5">
        <w:rPr>
          <w:rFonts w:ascii="Calibri" w:hAnsi="Calibri" w:hint="eastAsia"/>
          <w:color w:val="auto"/>
        </w:rPr>
        <w:t>中第十一条</w:t>
      </w:r>
      <w:r w:rsidR="00866AB5">
        <w:rPr>
          <w:rFonts w:ascii="Calibri" w:hAnsi="Calibri"/>
          <w:color w:val="auto"/>
        </w:rPr>
        <w:t>，第</w:t>
      </w:r>
      <w:r w:rsidR="00866AB5">
        <w:rPr>
          <w:rFonts w:ascii="Calibri" w:hAnsi="Calibri" w:hint="eastAsia"/>
          <w:color w:val="auto"/>
        </w:rPr>
        <w:t>10</w:t>
      </w:r>
      <w:r w:rsidR="00866AB5">
        <w:rPr>
          <w:rFonts w:ascii="Calibri" w:hAnsi="Calibri" w:hint="eastAsia"/>
          <w:color w:val="auto"/>
        </w:rPr>
        <w:t>款“</w:t>
      </w:r>
      <w:r w:rsidR="00866AB5" w:rsidRPr="009448F0">
        <w:rPr>
          <w:rFonts w:ascii="Calibri" w:hAnsi="Calibri" w:hint="eastAsia"/>
          <w:color w:val="auto"/>
        </w:rPr>
        <w:t>长碳链尼龙、耐高温尼龙等新型聚酰胺开发与生产</w:t>
      </w:r>
      <w:r w:rsidR="00866AB5">
        <w:rPr>
          <w:rFonts w:ascii="Calibri" w:hAnsi="Calibri" w:hint="eastAsia"/>
          <w:color w:val="auto"/>
        </w:rPr>
        <w:t>”项目</w:t>
      </w:r>
      <w:r w:rsidR="00D2545B" w:rsidRPr="00A964FF">
        <w:rPr>
          <w:rFonts w:ascii="Calibri" w:hAnsi="Calibri"/>
          <w:color w:val="auto"/>
        </w:rPr>
        <w:t>，</w:t>
      </w:r>
      <w:r w:rsidRPr="00A964FF">
        <w:rPr>
          <w:rFonts w:ascii="Calibri" w:hAnsi="Calibri"/>
          <w:color w:val="auto"/>
        </w:rPr>
        <w:t>且该项目已经通过平顶山尼龙新材料产业集聚区管理委员会备案，备案代码为</w:t>
      </w:r>
      <w:r w:rsidR="00AC555A">
        <w:rPr>
          <w:rFonts w:ascii="Calibri" w:hAnsi="Calibri"/>
          <w:color w:val="auto"/>
        </w:rPr>
        <w:t>2112</w:t>
      </w:r>
      <w:r w:rsidR="00D2545B">
        <w:rPr>
          <w:rFonts w:ascii="Calibri" w:hAnsi="Calibri" w:hint="eastAsia"/>
          <w:color w:val="auto"/>
        </w:rPr>
        <w:t>-410422-04-01-</w:t>
      </w:r>
      <w:r w:rsidR="00AC555A">
        <w:rPr>
          <w:rFonts w:ascii="Calibri" w:hAnsi="Calibri"/>
          <w:color w:val="auto"/>
        </w:rPr>
        <w:t>510771</w:t>
      </w:r>
      <w:r w:rsidRPr="00A964FF">
        <w:rPr>
          <w:rFonts w:ascii="Calibri" w:hAnsi="Calibri"/>
          <w:color w:val="auto"/>
        </w:rPr>
        <w:t>；由此可知，本项目建设符合国家当前产业政策。</w:t>
      </w:r>
    </w:p>
    <w:p w14:paraId="09E14B8A" w14:textId="77777777" w:rsidR="0055605A" w:rsidRPr="00A964FF" w:rsidRDefault="0055605A" w:rsidP="00D04D8A">
      <w:pPr>
        <w:pStyle w:val="2"/>
        <w:keepNext w:val="0"/>
        <w:keepLines w:val="0"/>
        <w:spacing w:before="200" w:after="100"/>
        <w:rPr>
          <w:rFonts w:ascii="Calibri" w:hAnsi="Calibri"/>
          <w:bCs/>
          <w:color w:val="auto"/>
          <w:szCs w:val="28"/>
        </w:rPr>
      </w:pPr>
      <w:bookmarkStart w:id="102" w:name="_Toc112999937"/>
      <w:r w:rsidRPr="00A964FF">
        <w:rPr>
          <w:rFonts w:ascii="Calibri" w:hAnsi="Calibri"/>
          <w:bCs/>
          <w:color w:val="auto"/>
          <w:szCs w:val="28"/>
        </w:rPr>
        <w:t>8.</w:t>
      </w:r>
      <w:r w:rsidRPr="00A964FF">
        <w:rPr>
          <w:rFonts w:ascii="Calibri" w:hAnsi="Calibri" w:hint="eastAsia"/>
          <w:bCs/>
          <w:color w:val="auto"/>
          <w:szCs w:val="28"/>
        </w:rPr>
        <w:t>3</w:t>
      </w:r>
      <w:r w:rsidRPr="00A964FF">
        <w:rPr>
          <w:rFonts w:ascii="Calibri" w:hAnsi="Calibri" w:hint="eastAsia"/>
          <w:bCs/>
          <w:color w:val="auto"/>
          <w:szCs w:val="28"/>
        </w:rPr>
        <w:t>环境质量现状结论</w:t>
      </w:r>
      <w:bookmarkEnd w:id="102"/>
    </w:p>
    <w:p w14:paraId="231B9599" w14:textId="77777777" w:rsidR="0055605A" w:rsidRPr="00A964FF" w:rsidRDefault="0055605A" w:rsidP="0055605A">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）环境空气</w:t>
      </w:r>
    </w:p>
    <w:p w14:paraId="7446C55A" w14:textId="77777777" w:rsidR="0091080A" w:rsidRPr="00A964FF" w:rsidRDefault="0091080A" w:rsidP="0091080A">
      <w:pPr>
        <w:pStyle w:val="00"/>
        <w:rPr>
          <w:rFonts w:ascii="Calibri" w:hAnsi="Calibri"/>
          <w:color w:val="auto"/>
        </w:rPr>
      </w:pPr>
      <w:r w:rsidRPr="00A964FF">
        <w:rPr>
          <w:rFonts w:ascii="Calibri" w:hAnsi="Calibri"/>
          <w:color w:val="auto"/>
        </w:rPr>
        <w:t>本项目所在区域为环境空气质量二类区，根据</w:t>
      </w:r>
      <w:r w:rsidR="001A2EB7" w:rsidRPr="00A964FF">
        <w:rPr>
          <w:rFonts w:ascii="Calibri" w:hAnsi="Calibri" w:hint="eastAsia"/>
          <w:color w:val="auto"/>
        </w:rPr>
        <w:t>2020</w:t>
      </w:r>
      <w:r w:rsidR="00D2545B">
        <w:rPr>
          <w:rFonts w:ascii="Calibri" w:hAnsi="Calibri" w:hint="eastAsia"/>
          <w:color w:val="auto"/>
        </w:rPr>
        <w:t>及</w:t>
      </w:r>
      <w:r w:rsidR="00D2545B">
        <w:rPr>
          <w:rFonts w:ascii="Calibri" w:hAnsi="Calibri" w:hint="eastAsia"/>
          <w:color w:val="auto"/>
        </w:rPr>
        <w:t>2021</w:t>
      </w:r>
      <w:r w:rsidR="00D2545B" w:rsidRPr="00A964FF">
        <w:rPr>
          <w:rFonts w:ascii="Calibri" w:hAnsi="Calibri"/>
          <w:color w:val="auto"/>
        </w:rPr>
        <w:t>年</w:t>
      </w:r>
      <w:r w:rsidR="00AE4424" w:rsidRPr="00A964FF">
        <w:rPr>
          <w:rFonts w:ascii="Calibri" w:hAnsi="Calibri"/>
          <w:color w:val="auto"/>
        </w:rPr>
        <w:t>度</w:t>
      </w:r>
      <w:r w:rsidR="00D04D8A" w:rsidRPr="00A964FF">
        <w:rPr>
          <w:rFonts w:ascii="Calibri" w:hAnsi="Calibri"/>
          <w:color w:val="auto"/>
        </w:rPr>
        <w:t>叶县</w:t>
      </w:r>
      <w:r w:rsidRPr="00A964FF">
        <w:rPr>
          <w:rFonts w:ascii="Calibri" w:hAnsi="Calibri"/>
          <w:color w:val="auto"/>
        </w:rPr>
        <w:t>环境空气质量监测网中评价基准年的监测数据，区域环境空气质量除</w:t>
      </w:r>
      <w:r w:rsidRPr="00A964FF">
        <w:rPr>
          <w:rFonts w:ascii="Calibri" w:hAnsi="Calibri"/>
          <w:color w:val="auto"/>
        </w:rPr>
        <w:t>PM</w:t>
      </w:r>
      <w:r w:rsidRPr="00A964FF">
        <w:rPr>
          <w:rFonts w:ascii="Calibri" w:hAnsi="Calibri"/>
          <w:color w:val="auto"/>
          <w:vertAlign w:val="subscript"/>
        </w:rPr>
        <w:t>10</w:t>
      </w:r>
      <w:r w:rsidRPr="00A964FF">
        <w:rPr>
          <w:rFonts w:ascii="Calibri" w:hAnsi="Calibri"/>
          <w:color w:val="auto"/>
        </w:rPr>
        <w:t>、</w:t>
      </w:r>
      <w:r w:rsidRPr="00A964FF">
        <w:rPr>
          <w:rFonts w:ascii="Calibri" w:hAnsi="Calibri"/>
          <w:color w:val="auto"/>
        </w:rPr>
        <w:t>PM</w:t>
      </w:r>
      <w:r w:rsidRPr="00A964FF">
        <w:rPr>
          <w:rFonts w:ascii="Calibri" w:hAnsi="Calibri"/>
          <w:color w:val="auto"/>
          <w:vertAlign w:val="subscript"/>
        </w:rPr>
        <w:t>2.5</w:t>
      </w:r>
      <w:r w:rsidRPr="00A964FF">
        <w:rPr>
          <w:rFonts w:ascii="Calibri" w:hAnsi="Calibri"/>
          <w:color w:val="auto"/>
        </w:rPr>
        <w:t>超标外，其余各监测因子均</w:t>
      </w:r>
      <w:r w:rsidRPr="00A964FF">
        <w:rPr>
          <w:rFonts w:ascii="Calibri" w:hAnsi="Calibri"/>
          <w:noProof/>
          <w:color w:val="auto"/>
        </w:rPr>
        <w:t>满足《环境空气质量标准》（</w:t>
      </w:r>
      <w:r w:rsidRPr="00A964FF">
        <w:rPr>
          <w:rFonts w:ascii="Calibri" w:hAnsi="Calibri"/>
          <w:noProof/>
          <w:color w:val="auto"/>
        </w:rPr>
        <w:t>GB3095-2012</w:t>
      </w:r>
      <w:r w:rsidRPr="00A964FF">
        <w:rPr>
          <w:rFonts w:ascii="Calibri" w:hAnsi="Calibri"/>
          <w:noProof/>
          <w:color w:val="auto"/>
        </w:rPr>
        <w:t>）二级标准限值</w:t>
      </w:r>
      <w:r w:rsidR="00852DCA">
        <w:rPr>
          <w:rFonts w:ascii="Calibri" w:hAnsi="Calibri" w:hint="eastAsia"/>
          <w:noProof/>
          <w:color w:val="auto"/>
        </w:rPr>
        <w:t>及</w:t>
      </w:r>
      <w:r w:rsidR="00852DCA">
        <w:rPr>
          <w:rFonts w:ascii="Calibri" w:hAnsi="Calibri"/>
          <w:noProof/>
          <w:color w:val="auto"/>
        </w:rPr>
        <w:t>修改单</w:t>
      </w:r>
      <w:r w:rsidRPr="00A964FF">
        <w:rPr>
          <w:rFonts w:ascii="Calibri" w:hAnsi="Calibri"/>
          <w:color w:val="auto"/>
        </w:rPr>
        <w:t>。由此可知</w:t>
      </w:r>
      <w:r w:rsidR="00AE4424" w:rsidRPr="00A964FF">
        <w:rPr>
          <w:rFonts w:ascii="Calibri" w:hAnsi="Calibri"/>
          <w:color w:val="auto"/>
        </w:rPr>
        <w:t>，</w:t>
      </w:r>
      <w:r w:rsidR="00D04D8A" w:rsidRPr="00A964FF">
        <w:rPr>
          <w:rFonts w:ascii="Calibri" w:hAnsi="Calibri"/>
          <w:color w:val="auto"/>
        </w:rPr>
        <w:t>叶县</w:t>
      </w:r>
      <w:r w:rsidRPr="00A964FF">
        <w:rPr>
          <w:rFonts w:ascii="Calibri" w:hAnsi="Calibri"/>
          <w:color w:val="auto"/>
        </w:rPr>
        <w:t>区域属于不达标区域。</w:t>
      </w:r>
      <w:r w:rsidRPr="00A964FF">
        <w:rPr>
          <w:rFonts w:ascii="Calibri" w:hAnsi="Calibri"/>
          <w:noProof/>
          <w:color w:val="auto"/>
        </w:rPr>
        <w:t>通过</w:t>
      </w:r>
      <w:r w:rsidR="00D04D8A" w:rsidRPr="00A964FF">
        <w:rPr>
          <w:rFonts w:ascii="Calibri" w:hAnsi="Calibri"/>
          <w:noProof/>
          <w:color w:val="auto"/>
        </w:rPr>
        <w:t>对特征因子的</w:t>
      </w:r>
      <w:r w:rsidRPr="00A964FF">
        <w:rPr>
          <w:rFonts w:ascii="Calibri" w:hAnsi="Calibri"/>
          <w:noProof/>
          <w:color w:val="auto"/>
        </w:rPr>
        <w:t>补充检测，</w:t>
      </w:r>
      <w:r w:rsidR="00D2545B" w:rsidRPr="005A0896">
        <w:rPr>
          <w:rFonts w:ascii="Calibri" w:hAnsi="Calibri" w:hint="eastAsia"/>
          <w:color w:val="auto"/>
        </w:rPr>
        <w:t>氨、硫化氢、非</w:t>
      </w:r>
      <w:r w:rsidR="00D2545B" w:rsidRPr="005A0896">
        <w:rPr>
          <w:rFonts w:ascii="Calibri" w:hAnsi="Calibri" w:hint="eastAsia"/>
          <w:color w:val="auto"/>
        </w:rPr>
        <w:lastRenderedPageBreak/>
        <w:t>甲烷总烃小时浓度均值均满足相关质量标准限值。</w:t>
      </w:r>
    </w:p>
    <w:p w14:paraId="5A0E056E" w14:textId="77777777" w:rsidR="0055605A" w:rsidRPr="00A964FF" w:rsidRDefault="0055605A" w:rsidP="0055605A">
      <w:pPr>
        <w:pStyle w:val="00"/>
        <w:rPr>
          <w:rFonts w:ascii="Calibri" w:hAnsi="Calibri"/>
          <w:noProof/>
          <w:color w:val="auto"/>
        </w:rPr>
      </w:pPr>
      <w:r w:rsidRPr="00D2545B">
        <w:rPr>
          <w:rFonts w:ascii="Calibri" w:hAnsi="Calibri"/>
          <w:noProof/>
          <w:color w:val="auto"/>
        </w:rPr>
        <w:t>（</w:t>
      </w:r>
      <w:r w:rsidRPr="00D2545B">
        <w:rPr>
          <w:rFonts w:ascii="Calibri" w:hAnsi="Calibri"/>
          <w:noProof/>
          <w:color w:val="auto"/>
        </w:rPr>
        <w:t>2</w:t>
      </w:r>
      <w:r w:rsidRPr="00D2545B">
        <w:rPr>
          <w:rFonts w:ascii="Calibri" w:hAnsi="Calibri"/>
          <w:noProof/>
          <w:color w:val="auto"/>
        </w:rPr>
        <w:t>）地表水</w:t>
      </w:r>
    </w:p>
    <w:p w14:paraId="66F330FD" w14:textId="77777777" w:rsidR="00AE4424" w:rsidRPr="00DD4CAB" w:rsidRDefault="00AE4424" w:rsidP="00431878">
      <w:pPr>
        <w:spacing w:line="520" w:lineRule="atLeast"/>
        <w:ind w:firstLineChars="200" w:firstLine="480"/>
        <w:rPr>
          <w:rFonts w:ascii="Calibri"/>
          <w:color w:val="auto"/>
          <w:sz w:val="24"/>
        </w:rPr>
      </w:pPr>
      <w:r w:rsidRPr="00A964FF">
        <w:rPr>
          <w:rFonts w:ascii="Calibri"/>
          <w:color w:val="auto"/>
          <w:sz w:val="24"/>
        </w:rPr>
        <w:t>根据</w:t>
      </w:r>
      <w:r w:rsidRPr="00A964FF">
        <w:rPr>
          <w:rFonts w:ascii="Calibri" w:hAnsi="Calibri"/>
          <w:color w:val="auto"/>
          <w:sz w:val="24"/>
        </w:rPr>
        <w:t>202</w:t>
      </w:r>
      <w:r w:rsidR="00AC555A">
        <w:rPr>
          <w:rFonts w:ascii="Calibri" w:hAnsi="Calibri"/>
          <w:color w:val="auto"/>
          <w:sz w:val="24"/>
        </w:rPr>
        <w:t>1</w:t>
      </w:r>
      <w:r w:rsidRPr="00A964FF">
        <w:rPr>
          <w:rFonts w:ascii="Calibri"/>
          <w:color w:val="auto"/>
          <w:sz w:val="24"/>
        </w:rPr>
        <w:t>年度</w:t>
      </w:r>
      <w:r w:rsidR="00DD4CAB">
        <w:rPr>
          <w:rFonts w:ascii="Calibri"/>
          <w:color w:val="auto"/>
          <w:sz w:val="24"/>
        </w:rPr>
        <w:t>平顶山</w:t>
      </w:r>
      <w:r w:rsidR="00431878">
        <w:rPr>
          <w:rFonts w:ascii="Calibri" w:hint="eastAsia"/>
          <w:color w:val="auto"/>
          <w:sz w:val="24"/>
        </w:rPr>
        <w:t>生态</w:t>
      </w:r>
      <w:r w:rsidR="00431878">
        <w:rPr>
          <w:rFonts w:ascii="Calibri"/>
          <w:color w:val="auto"/>
          <w:sz w:val="24"/>
        </w:rPr>
        <w:t>环保部门发布的</w:t>
      </w:r>
      <w:r w:rsidRPr="00A964FF">
        <w:rPr>
          <w:rFonts w:ascii="Calibri"/>
          <w:color w:val="auto"/>
          <w:sz w:val="24"/>
        </w:rPr>
        <w:t>叶县灰河水寨屈庄断面的监测数据，</w:t>
      </w:r>
      <w:r w:rsidRPr="00A964FF">
        <w:rPr>
          <w:rFonts w:ascii="Calibri" w:hAnsi="Calibri"/>
          <w:color w:val="auto"/>
          <w:sz w:val="24"/>
        </w:rPr>
        <w:t>各监测因子均满足《地表水环境质量标准》（</w:t>
      </w:r>
      <w:r w:rsidRPr="00A964FF">
        <w:rPr>
          <w:rFonts w:ascii="Calibri" w:hAnsi="Calibri"/>
          <w:color w:val="auto"/>
          <w:sz w:val="24"/>
        </w:rPr>
        <w:t>GB3838-2002</w:t>
      </w:r>
      <w:r w:rsidRPr="00A964FF">
        <w:rPr>
          <w:rFonts w:ascii="Calibri" w:hAnsi="Calibri"/>
          <w:color w:val="auto"/>
          <w:sz w:val="24"/>
        </w:rPr>
        <w:t>）</w:t>
      </w:r>
      <w:r w:rsidR="00CD4191" w:rsidRPr="00A964FF">
        <w:rPr>
          <w:rFonts w:ascii="Calibri" w:hAnsi="Calibri" w:hint="eastAsia"/>
          <w:color w:val="auto"/>
          <w:sz w:val="24"/>
        </w:rPr>
        <w:t>IV</w:t>
      </w:r>
      <w:r w:rsidRPr="00A964FF">
        <w:rPr>
          <w:rFonts w:ascii="Calibri" w:hAnsi="Calibri"/>
          <w:color w:val="auto"/>
          <w:sz w:val="24"/>
        </w:rPr>
        <w:t>类标准。</w:t>
      </w:r>
    </w:p>
    <w:p w14:paraId="1AAB468F" w14:textId="77777777" w:rsidR="00AE4424" w:rsidRPr="00A964FF" w:rsidRDefault="00AE4424" w:rsidP="00AE4424">
      <w:pPr>
        <w:spacing w:line="520" w:lineRule="atLeast"/>
        <w:ind w:firstLineChars="200" w:firstLine="480"/>
        <w:rPr>
          <w:rFonts w:ascii="Calibri" w:hAnsi="Calibri"/>
          <w:color w:val="auto"/>
          <w:sz w:val="24"/>
        </w:rPr>
      </w:pPr>
      <w:r w:rsidRPr="00A964FF">
        <w:rPr>
          <w:rFonts w:ascii="Calibri"/>
          <w:color w:val="auto"/>
          <w:sz w:val="24"/>
        </w:rPr>
        <w:t>根据</w:t>
      </w:r>
      <w:r w:rsidRPr="00A964FF">
        <w:rPr>
          <w:rFonts w:ascii="Calibri" w:hAnsi="Calibri"/>
          <w:color w:val="auto"/>
          <w:sz w:val="24"/>
        </w:rPr>
        <w:t>202</w:t>
      </w:r>
      <w:r w:rsidR="00AC555A">
        <w:rPr>
          <w:rFonts w:ascii="Calibri" w:hAnsi="Calibri"/>
          <w:color w:val="auto"/>
          <w:sz w:val="24"/>
        </w:rPr>
        <w:t>1</w:t>
      </w:r>
      <w:r w:rsidRPr="00A964FF">
        <w:rPr>
          <w:rFonts w:ascii="Calibri"/>
          <w:color w:val="auto"/>
          <w:sz w:val="24"/>
        </w:rPr>
        <w:t>年度</w:t>
      </w:r>
      <w:r w:rsidR="00431878" w:rsidRPr="00431878">
        <w:rPr>
          <w:rFonts w:ascii="Calibri" w:hint="eastAsia"/>
          <w:color w:val="auto"/>
          <w:sz w:val="24"/>
        </w:rPr>
        <w:t>平顶山生态环保部门发布的</w:t>
      </w:r>
      <w:r w:rsidRPr="00A964FF">
        <w:rPr>
          <w:rFonts w:ascii="Calibri"/>
          <w:color w:val="auto"/>
          <w:sz w:val="24"/>
        </w:rPr>
        <w:t>沙河舞阳马湾断面的监测数据，</w:t>
      </w:r>
      <w:r w:rsidRPr="00A964FF">
        <w:rPr>
          <w:rFonts w:ascii="Calibri" w:hAnsi="Calibri"/>
          <w:color w:val="auto"/>
          <w:sz w:val="24"/>
        </w:rPr>
        <w:t>各监测因子均满足《地表水环境质量标准》（</w:t>
      </w:r>
      <w:r w:rsidRPr="00A964FF">
        <w:rPr>
          <w:rFonts w:ascii="Calibri" w:hAnsi="Calibri"/>
          <w:color w:val="auto"/>
          <w:sz w:val="24"/>
        </w:rPr>
        <w:t>GB3838-2002</w:t>
      </w:r>
      <w:r w:rsidRPr="00A964FF">
        <w:rPr>
          <w:rFonts w:ascii="Calibri" w:hAnsi="Calibri"/>
          <w:color w:val="auto"/>
          <w:sz w:val="24"/>
        </w:rPr>
        <w:t>）</w:t>
      </w:r>
      <w:r w:rsidRPr="00A964FF">
        <w:rPr>
          <w:rFonts w:ascii="Calibri" w:hAnsi="Calibri"/>
          <w:color w:val="auto"/>
          <w:sz w:val="24"/>
        </w:rPr>
        <w:t>III</w:t>
      </w:r>
      <w:r w:rsidRPr="00A964FF">
        <w:rPr>
          <w:rFonts w:ascii="Calibri" w:hAnsi="Calibri"/>
          <w:color w:val="auto"/>
          <w:sz w:val="24"/>
        </w:rPr>
        <w:t>类标准</w:t>
      </w:r>
      <w:r w:rsidRPr="00A964FF">
        <w:rPr>
          <w:rFonts w:ascii="Calibri"/>
          <w:color w:val="auto"/>
          <w:sz w:val="24"/>
        </w:rPr>
        <w:t>。</w:t>
      </w:r>
    </w:p>
    <w:p w14:paraId="37BE9DF6" w14:textId="77777777" w:rsidR="0055605A" w:rsidRPr="00A964FF" w:rsidRDefault="0055605A" w:rsidP="00D04D8A">
      <w:pPr>
        <w:spacing w:line="520" w:lineRule="exact"/>
        <w:ind w:firstLineChars="200" w:firstLine="480"/>
        <w:rPr>
          <w:rFonts w:asciiTheme="minorHAnsi" w:hAnsiTheme="minorHAnsi"/>
          <w:color w:val="auto"/>
          <w:sz w:val="24"/>
        </w:rPr>
      </w:pPr>
      <w:r w:rsidRPr="00A964FF">
        <w:rPr>
          <w:rFonts w:asciiTheme="minorHAnsi" w:hAnsi="Calibri"/>
          <w:color w:val="auto"/>
          <w:sz w:val="24"/>
        </w:rPr>
        <w:t>（</w:t>
      </w:r>
      <w:r w:rsidRPr="00A964FF">
        <w:rPr>
          <w:rFonts w:asciiTheme="minorHAnsi" w:hAnsiTheme="minorHAnsi"/>
          <w:color w:val="auto"/>
          <w:sz w:val="24"/>
        </w:rPr>
        <w:t>3</w:t>
      </w:r>
      <w:r w:rsidRPr="00A964FF">
        <w:rPr>
          <w:rFonts w:asciiTheme="minorHAnsi" w:hAnsi="Calibri"/>
          <w:color w:val="auto"/>
          <w:sz w:val="24"/>
        </w:rPr>
        <w:t>）地下水</w:t>
      </w:r>
    </w:p>
    <w:p w14:paraId="26BEC12F" w14:textId="77777777" w:rsidR="00033968" w:rsidRPr="003F72B9" w:rsidRDefault="00033968" w:rsidP="00033968">
      <w:pPr>
        <w:spacing w:line="520" w:lineRule="atLeast"/>
        <w:ind w:firstLineChars="200" w:firstLine="480"/>
        <w:rPr>
          <w:rFonts w:ascii="Calibri" w:hAnsi="Calibri"/>
          <w:color w:val="auto"/>
          <w:sz w:val="24"/>
        </w:rPr>
      </w:pPr>
      <w:r w:rsidRPr="003F72B9">
        <w:rPr>
          <w:rFonts w:ascii="Calibri" w:hAnsi="Calibri"/>
          <w:color w:val="auto"/>
          <w:sz w:val="24"/>
        </w:rPr>
        <w:t>根据现状检测数据，各项检测因子</w:t>
      </w:r>
      <w:r>
        <w:rPr>
          <w:rFonts w:ascii="Calibri" w:hAnsi="Calibri" w:hint="eastAsia"/>
          <w:color w:val="auto"/>
          <w:sz w:val="24"/>
        </w:rPr>
        <w:t>除</w:t>
      </w:r>
      <w:r w:rsidRPr="00033968">
        <w:rPr>
          <w:rFonts w:ascii="Calibri" w:hAnsi="Calibri" w:hint="eastAsia"/>
          <w:color w:val="auto"/>
          <w:sz w:val="24"/>
        </w:rPr>
        <w:t>坡宋村</w:t>
      </w:r>
      <w:r>
        <w:rPr>
          <w:rFonts w:ascii="Calibri" w:hAnsi="Calibri" w:hint="eastAsia"/>
          <w:color w:val="auto"/>
          <w:sz w:val="24"/>
        </w:rPr>
        <w:t>（遗留</w:t>
      </w:r>
      <w:r>
        <w:rPr>
          <w:rFonts w:ascii="Calibri" w:hAnsi="Calibri"/>
          <w:color w:val="auto"/>
          <w:sz w:val="24"/>
        </w:rPr>
        <w:t>水井</w:t>
      </w:r>
      <w:r>
        <w:rPr>
          <w:rFonts w:ascii="Calibri" w:hAnsi="Calibri" w:hint="eastAsia"/>
          <w:color w:val="auto"/>
          <w:sz w:val="24"/>
        </w:rPr>
        <w:t>）</w:t>
      </w:r>
      <w:r w:rsidRPr="003F72B9">
        <w:rPr>
          <w:rFonts w:ascii="Calibri" w:hAnsi="Calibri" w:hint="eastAsia"/>
          <w:color w:val="auto"/>
          <w:sz w:val="24"/>
        </w:rPr>
        <w:t>总硬度超标外，其余各检测因子</w:t>
      </w:r>
      <w:r w:rsidRPr="003F72B9">
        <w:rPr>
          <w:rFonts w:ascii="Calibri" w:hAnsi="Calibri"/>
          <w:color w:val="auto"/>
          <w:sz w:val="24"/>
        </w:rPr>
        <w:t>均满足《地下水质量标准》（</w:t>
      </w:r>
      <w:r w:rsidRPr="003F72B9">
        <w:rPr>
          <w:rFonts w:ascii="Calibri" w:hAnsi="Calibri"/>
          <w:color w:val="auto"/>
          <w:sz w:val="24"/>
        </w:rPr>
        <w:t>GB/T14848-2017</w:t>
      </w:r>
      <w:r w:rsidRPr="003F72B9">
        <w:rPr>
          <w:rFonts w:ascii="Calibri" w:hAnsi="Calibri"/>
          <w:color w:val="auto"/>
          <w:sz w:val="24"/>
        </w:rPr>
        <w:t>）</w:t>
      </w:r>
      <w:r w:rsidRPr="003F72B9">
        <w:rPr>
          <w:rFonts w:ascii="Calibri" w:hAnsi="Calibri"/>
          <w:color w:val="auto"/>
          <w:sz w:val="24"/>
        </w:rPr>
        <w:t>III</w:t>
      </w:r>
      <w:r w:rsidRPr="003F72B9">
        <w:rPr>
          <w:rFonts w:ascii="Calibri" w:hAnsi="Calibri"/>
          <w:color w:val="auto"/>
          <w:sz w:val="24"/>
        </w:rPr>
        <w:t>类标准</w:t>
      </w:r>
      <w:r w:rsidRPr="003F72B9">
        <w:rPr>
          <w:rFonts w:ascii="Calibri" w:hAnsi="Calibri" w:hint="eastAsia"/>
          <w:color w:val="auto"/>
          <w:sz w:val="24"/>
        </w:rPr>
        <w:t>。</w:t>
      </w:r>
    </w:p>
    <w:p w14:paraId="7F05E13E" w14:textId="77777777" w:rsidR="0055605A" w:rsidRPr="00A964FF" w:rsidRDefault="0055605A" w:rsidP="0055605A">
      <w:pPr>
        <w:pStyle w:val="00"/>
        <w:rPr>
          <w:rFonts w:asciiTheme="minorHAnsi" w:hAnsiTheme="minorHAnsi"/>
          <w:noProof/>
          <w:color w:val="auto"/>
        </w:rPr>
      </w:pPr>
      <w:r w:rsidRPr="00A964FF">
        <w:rPr>
          <w:rFonts w:asciiTheme="minorHAnsi" w:hAnsi="Calibri"/>
          <w:noProof/>
          <w:color w:val="auto"/>
        </w:rPr>
        <w:t>（</w:t>
      </w:r>
      <w:r w:rsidRPr="00A964FF">
        <w:rPr>
          <w:rFonts w:asciiTheme="minorHAnsi" w:hAnsiTheme="minorHAnsi"/>
          <w:noProof/>
          <w:color w:val="auto"/>
        </w:rPr>
        <w:t>4</w:t>
      </w:r>
      <w:r w:rsidRPr="00A964FF">
        <w:rPr>
          <w:rFonts w:asciiTheme="minorHAnsi" w:hAnsi="Calibri"/>
          <w:noProof/>
          <w:color w:val="auto"/>
        </w:rPr>
        <w:t>）声环境</w:t>
      </w:r>
    </w:p>
    <w:p w14:paraId="1F9EF811" w14:textId="77777777" w:rsidR="0055605A" w:rsidRPr="00A964FF" w:rsidRDefault="0055605A" w:rsidP="00C12CBB">
      <w:pPr>
        <w:pStyle w:val="00"/>
        <w:rPr>
          <w:rFonts w:asciiTheme="minorHAnsi" w:hAnsiTheme="minorHAnsi"/>
          <w:noProof/>
          <w:color w:val="auto"/>
        </w:rPr>
      </w:pPr>
      <w:r w:rsidRPr="00A964FF">
        <w:rPr>
          <w:rFonts w:asciiTheme="minorHAnsi" w:hAnsi="Calibri"/>
          <w:noProof/>
          <w:color w:val="auto"/>
        </w:rPr>
        <w:t>根据现状检测数据，</w:t>
      </w:r>
      <w:r w:rsidR="00AE4424" w:rsidRPr="00A964FF">
        <w:rPr>
          <w:rFonts w:asciiTheme="minorHAnsi" w:hAnsiTheme="minorHAnsi"/>
          <w:color w:val="auto"/>
        </w:rPr>
        <w:t>项目东、南、西、北厂界昼夜间噪声均可以满足《声环境质量标准》（</w:t>
      </w:r>
      <w:r w:rsidR="00AE4424" w:rsidRPr="00A964FF">
        <w:rPr>
          <w:rFonts w:asciiTheme="minorHAnsi" w:hAnsiTheme="minorHAnsi"/>
          <w:color w:val="auto"/>
        </w:rPr>
        <w:t>GB3096-2008</w:t>
      </w:r>
      <w:r w:rsidR="00AE4424" w:rsidRPr="00A964FF">
        <w:rPr>
          <w:rFonts w:asciiTheme="minorHAnsi" w:hAnsiTheme="minorHAnsi"/>
          <w:color w:val="auto"/>
        </w:rPr>
        <w:t>）中</w:t>
      </w:r>
      <w:r w:rsidR="00D2545B">
        <w:rPr>
          <w:rFonts w:asciiTheme="minorHAnsi" w:hAnsiTheme="minorHAnsi"/>
          <w:color w:val="auto"/>
        </w:rPr>
        <w:t>3</w:t>
      </w:r>
      <w:r w:rsidR="00AE4424" w:rsidRPr="00A964FF">
        <w:rPr>
          <w:rFonts w:asciiTheme="minorHAnsi" w:hAnsiTheme="minorHAnsi"/>
          <w:color w:val="auto"/>
        </w:rPr>
        <w:t>类标准，说明项目区域声环境质量现状较好。</w:t>
      </w:r>
    </w:p>
    <w:p w14:paraId="309F776C" w14:textId="77777777" w:rsidR="00D657F1" w:rsidRPr="00A964FF" w:rsidRDefault="00D657F1" w:rsidP="00C12CBB">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5</w:t>
      </w:r>
      <w:r w:rsidRPr="00A964FF">
        <w:rPr>
          <w:rFonts w:ascii="Calibri" w:hAnsi="Calibri" w:hint="eastAsia"/>
          <w:noProof/>
          <w:color w:val="auto"/>
        </w:rPr>
        <w:t>）土壤</w:t>
      </w:r>
    </w:p>
    <w:p w14:paraId="70B53C81" w14:textId="77777777" w:rsidR="00D2545B" w:rsidRPr="00DD4CAB" w:rsidRDefault="00DD4CAB" w:rsidP="00DD4CAB">
      <w:pPr>
        <w:spacing w:line="520" w:lineRule="exact"/>
        <w:ind w:firstLineChars="200" w:firstLine="480"/>
        <w:rPr>
          <w:rFonts w:ascii="Calibri" w:hAnsi="Calibri" w:cs="Times New Roman"/>
          <w:color w:val="auto"/>
          <w:sz w:val="24"/>
        </w:rPr>
      </w:pPr>
      <w:r w:rsidRPr="00A964FF">
        <w:rPr>
          <w:rFonts w:ascii="Calibri" w:hAnsi="Calibri" w:hint="eastAsia"/>
          <w:color w:val="auto"/>
          <w:sz w:val="24"/>
        </w:rPr>
        <w:t>根据现状检测数据，</w:t>
      </w:r>
      <w:r>
        <w:rPr>
          <w:rFonts w:ascii="Calibri" w:hAnsi="Calibri" w:cs="Times New Roman" w:hint="eastAsia"/>
          <w:color w:val="auto"/>
          <w:sz w:val="24"/>
        </w:rPr>
        <w:t>厂区内各测点待建设用地</w:t>
      </w:r>
      <w:r w:rsidRPr="00A964FF">
        <w:rPr>
          <w:rFonts w:ascii="Calibri" w:hAnsi="Calibri" w:cs="Times New Roman" w:hint="eastAsia"/>
          <w:color w:val="auto"/>
          <w:sz w:val="24"/>
        </w:rPr>
        <w:t>各土壤检测因子均未超过《土壤环境质量</w:t>
      </w:r>
      <w:r w:rsidRPr="00A964FF">
        <w:rPr>
          <w:rFonts w:ascii="Calibri" w:hAnsi="Calibri" w:cs="Times New Roman" w:hint="eastAsia"/>
          <w:color w:val="auto"/>
          <w:sz w:val="24"/>
        </w:rPr>
        <w:t xml:space="preserve"> </w:t>
      </w:r>
      <w:r w:rsidRPr="00A964FF">
        <w:rPr>
          <w:rFonts w:ascii="Calibri" w:hAnsi="Calibri" w:cs="Times New Roman" w:hint="eastAsia"/>
          <w:color w:val="auto"/>
          <w:sz w:val="24"/>
        </w:rPr>
        <w:t>建设用地土壤污染风险管控标准（试行）》（</w:t>
      </w:r>
      <w:r w:rsidRPr="00A964FF">
        <w:rPr>
          <w:rFonts w:ascii="Calibri" w:hAnsi="Calibri" w:cs="Times New Roman" w:hint="eastAsia"/>
          <w:color w:val="auto"/>
          <w:sz w:val="24"/>
        </w:rPr>
        <w:t>GB36600-2018</w:t>
      </w:r>
      <w:r w:rsidRPr="00A964FF">
        <w:rPr>
          <w:rFonts w:ascii="Calibri" w:hAnsi="Calibri" w:cs="Times New Roman" w:hint="eastAsia"/>
          <w:color w:val="auto"/>
          <w:sz w:val="24"/>
        </w:rPr>
        <w:t>）表</w:t>
      </w:r>
      <w:r w:rsidRPr="00A964FF">
        <w:rPr>
          <w:rFonts w:ascii="Calibri" w:hAnsi="Calibri" w:cs="Times New Roman" w:hint="eastAsia"/>
          <w:color w:val="auto"/>
          <w:sz w:val="24"/>
        </w:rPr>
        <w:t>1</w:t>
      </w:r>
      <w:r w:rsidRPr="00A964FF">
        <w:rPr>
          <w:rFonts w:ascii="Calibri" w:hAnsi="Calibri" w:cs="Times New Roman" w:hint="eastAsia"/>
          <w:color w:val="auto"/>
          <w:sz w:val="24"/>
        </w:rPr>
        <w:t>中第二类用地</w:t>
      </w:r>
      <w:r>
        <w:rPr>
          <w:rFonts w:ascii="Calibri" w:hAnsi="Calibri" w:cs="Times New Roman" w:hint="eastAsia"/>
          <w:color w:val="auto"/>
          <w:sz w:val="24"/>
        </w:rPr>
        <w:t>风险</w:t>
      </w:r>
      <w:r w:rsidRPr="00A964FF">
        <w:rPr>
          <w:rFonts w:ascii="Calibri" w:hAnsi="Calibri" w:cs="Times New Roman" w:hint="eastAsia"/>
          <w:color w:val="auto"/>
          <w:sz w:val="24"/>
        </w:rPr>
        <w:t>筛选值</w:t>
      </w:r>
      <w:r>
        <w:rPr>
          <w:rFonts w:ascii="Calibri" w:hAnsi="Calibri" w:cs="Times New Roman" w:hint="eastAsia"/>
          <w:color w:val="auto"/>
          <w:sz w:val="24"/>
        </w:rPr>
        <w:t>；</w:t>
      </w:r>
      <w:r w:rsidRPr="00A964FF">
        <w:rPr>
          <w:rFonts w:ascii="Calibri" w:hAnsi="Calibri" w:cs="Times New Roman" w:hint="eastAsia"/>
          <w:color w:val="auto"/>
          <w:sz w:val="24"/>
        </w:rPr>
        <w:t>厂区</w:t>
      </w:r>
      <w:r>
        <w:rPr>
          <w:rFonts w:ascii="Calibri" w:hAnsi="Calibri" w:cs="Times New Roman" w:hint="eastAsia"/>
          <w:color w:val="auto"/>
          <w:sz w:val="24"/>
        </w:rPr>
        <w:t>外现状</w:t>
      </w:r>
      <w:r w:rsidRPr="00A964FF">
        <w:rPr>
          <w:rFonts w:ascii="Calibri" w:hAnsi="Calibri" w:cs="Times New Roman" w:hint="eastAsia"/>
          <w:color w:val="auto"/>
          <w:sz w:val="24"/>
        </w:rPr>
        <w:t>农田</w:t>
      </w:r>
      <w:r>
        <w:rPr>
          <w:rFonts w:ascii="Calibri" w:hAnsi="Calibri" w:cs="Times New Roman" w:hint="eastAsia"/>
          <w:color w:val="auto"/>
          <w:sz w:val="24"/>
        </w:rPr>
        <w:t>各测点</w:t>
      </w:r>
      <w:r w:rsidRPr="00A964FF">
        <w:rPr>
          <w:rFonts w:ascii="Calibri" w:hAnsi="Calibri" w:cs="Times New Roman" w:hint="eastAsia"/>
          <w:color w:val="auto"/>
          <w:sz w:val="24"/>
        </w:rPr>
        <w:t>各检测因子均未超过《土壤环境质量</w:t>
      </w:r>
      <w:r w:rsidRPr="00A964FF">
        <w:rPr>
          <w:rFonts w:ascii="Calibri" w:hAnsi="Calibri" w:cs="Times New Roman" w:hint="eastAsia"/>
          <w:color w:val="auto"/>
          <w:sz w:val="24"/>
        </w:rPr>
        <w:t xml:space="preserve"> </w:t>
      </w:r>
      <w:r w:rsidRPr="00A964FF">
        <w:rPr>
          <w:rFonts w:ascii="Calibri" w:hAnsi="Calibri" w:cs="Times New Roman" w:hint="eastAsia"/>
          <w:color w:val="auto"/>
          <w:sz w:val="24"/>
        </w:rPr>
        <w:t>农用地土壤污染风险管控标准（试行）》（</w:t>
      </w:r>
      <w:r w:rsidRPr="00A964FF">
        <w:rPr>
          <w:rFonts w:ascii="Calibri" w:hAnsi="Calibri" w:cs="Times New Roman" w:hint="eastAsia"/>
          <w:color w:val="auto"/>
          <w:sz w:val="24"/>
        </w:rPr>
        <w:t>GB15618-2018</w:t>
      </w:r>
      <w:r w:rsidRPr="00A964FF">
        <w:rPr>
          <w:rFonts w:ascii="Calibri" w:hAnsi="Calibri" w:cs="Times New Roman" w:hint="eastAsia"/>
          <w:color w:val="auto"/>
          <w:sz w:val="24"/>
        </w:rPr>
        <w:t>）（试行）表</w:t>
      </w:r>
      <w:r w:rsidRPr="00A964FF">
        <w:rPr>
          <w:rFonts w:ascii="Calibri" w:hAnsi="Calibri" w:cs="Times New Roman" w:hint="eastAsia"/>
          <w:color w:val="auto"/>
          <w:sz w:val="24"/>
        </w:rPr>
        <w:t>1</w:t>
      </w:r>
      <w:r w:rsidRPr="00A964FF">
        <w:rPr>
          <w:rFonts w:ascii="Calibri" w:hAnsi="Calibri" w:cs="Times New Roman" w:hint="eastAsia"/>
          <w:color w:val="auto"/>
          <w:sz w:val="24"/>
        </w:rPr>
        <w:t>中风险</w:t>
      </w:r>
      <w:r>
        <w:rPr>
          <w:rFonts w:ascii="Calibri" w:hAnsi="Calibri" w:cs="Times New Roman" w:hint="eastAsia"/>
          <w:color w:val="auto"/>
          <w:sz w:val="24"/>
        </w:rPr>
        <w:t>筛选值，</w:t>
      </w:r>
      <w:r w:rsidRPr="00F06F4A">
        <w:rPr>
          <w:rFonts w:ascii="Calibri" w:hAnsi="Calibri" w:cs="Times New Roman" w:hint="eastAsia"/>
          <w:color w:val="auto"/>
          <w:sz w:val="24"/>
        </w:rPr>
        <w:t>特征因子均未超过《土壤环境质量</w:t>
      </w:r>
      <w:r w:rsidRPr="00F06F4A">
        <w:rPr>
          <w:rFonts w:ascii="Calibri" w:hAnsi="Calibri" w:cs="Times New Roman" w:hint="eastAsia"/>
          <w:color w:val="auto"/>
          <w:sz w:val="24"/>
        </w:rPr>
        <w:t xml:space="preserve"> </w:t>
      </w:r>
      <w:r w:rsidRPr="00F06F4A">
        <w:rPr>
          <w:rFonts w:ascii="Calibri" w:hAnsi="Calibri" w:cs="Times New Roman" w:hint="eastAsia"/>
          <w:color w:val="auto"/>
          <w:sz w:val="24"/>
        </w:rPr>
        <w:t>建设用地土壤污染风险管控标准（试行）》（</w:t>
      </w:r>
      <w:r w:rsidRPr="00F06F4A">
        <w:rPr>
          <w:rFonts w:ascii="Calibri" w:hAnsi="Calibri" w:cs="Times New Roman" w:hint="eastAsia"/>
          <w:color w:val="auto"/>
          <w:sz w:val="24"/>
        </w:rPr>
        <w:t>GB36600-2018</w:t>
      </w:r>
      <w:r w:rsidRPr="00F06F4A">
        <w:rPr>
          <w:rFonts w:ascii="Calibri" w:hAnsi="Calibri" w:cs="Times New Roman" w:hint="eastAsia"/>
          <w:color w:val="auto"/>
          <w:sz w:val="24"/>
        </w:rPr>
        <w:t>）表</w:t>
      </w:r>
      <w:r w:rsidRPr="00F06F4A">
        <w:rPr>
          <w:rFonts w:ascii="Calibri" w:hAnsi="Calibri" w:cs="Times New Roman" w:hint="eastAsia"/>
          <w:color w:val="auto"/>
          <w:sz w:val="24"/>
        </w:rPr>
        <w:t>1</w:t>
      </w:r>
      <w:r w:rsidRPr="00F06F4A">
        <w:rPr>
          <w:rFonts w:ascii="Calibri" w:hAnsi="Calibri" w:cs="Times New Roman" w:hint="eastAsia"/>
          <w:color w:val="auto"/>
          <w:sz w:val="24"/>
        </w:rPr>
        <w:t>中第二类用地风险筛选值；</w:t>
      </w:r>
      <w:r w:rsidRPr="00F06F4A">
        <w:rPr>
          <w:rFonts w:ascii="Calibri" w:hAnsi="Calibri" w:cs="Times New Roman"/>
          <w:color w:val="auto"/>
          <w:sz w:val="24"/>
        </w:rPr>
        <w:t>说明项目区域土壤</w:t>
      </w:r>
      <w:r w:rsidRPr="00F06F4A">
        <w:rPr>
          <w:rFonts w:ascii="Calibri" w:hAnsi="Calibri" w:cs="Times New Roman" w:hint="eastAsia"/>
          <w:color w:val="auto"/>
          <w:sz w:val="24"/>
        </w:rPr>
        <w:t>质量</w:t>
      </w:r>
      <w:r w:rsidRPr="00F06F4A">
        <w:rPr>
          <w:rFonts w:ascii="Calibri" w:hAnsi="Calibri" w:cs="Times New Roman"/>
          <w:color w:val="auto"/>
          <w:sz w:val="24"/>
        </w:rPr>
        <w:t>现状较好。</w:t>
      </w:r>
    </w:p>
    <w:p w14:paraId="73DF0BA2" w14:textId="77777777" w:rsidR="0055605A" w:rsidRPr="00A964FF" w:rsidRDefault="0055605A" w:rsidP="0055605A">
      <w:pPr>
        <w:pStyle w:val="2"/>
        <w:spacing w:before="200" w:after="100"/>
        <w:rPr>
          <w:rFonts w:ascii="Calibri" w:hAnsi="Calibri"/>
          <w:bCs/>
          <w:color w:val="auto"/>
          <w:szCs w:val="28"/>
        </w:rPr>
      </w:pPr>
      <w:bookmarkStart w:id="103" w:name="_Toc112999938"/>
      <w:r w:rsidRPr="00A964FF">
        <w:rPr>
          <w:rFonts w:ascii="Calibri" w:hAnsi="Calibri"/>
          <w:bCs/>
          <w:color w:val="auto"/>
          <w:szCs w:val="28"/>
        </w:rPr>
        <w:t>8.</w:t>
      </w:r>
      <w:r w:rsidRPr="00A964FF">
        <w:rPr>
          <w:rFonts w:ascii="Calibri" w:hAnsi="Calibri" w:hint="eastAsia"/>
          <w:bCs/>
          <w:color w:val="auto"/>
          <w:szCs w:val="28"/>
        </w:rPr>
        <w:t>4</w:t>
      </w:r>
      <w:r w:rsidRPr="00A964FF">
        <w:rPr>
          <w:rFonts w:ascii="Calibri" w:hAnsi="Calibri" w:hint="eastAsia"/>
          <w:bCs/>
          <w:color w:val="auto"/>
          <w:szCs w:val="28"/>
        </w:rPr>
        <w:t>主要环境影响结论</w:t>
      </w:r>
      <w:bookmarkEnd w:id="103"/>
    </w:p>
    <w:p w14:paraId="4ECE3FE9" w14:textId="77777777" w:rsidR="0055605A" w:rsidRPr="00A964FF" w:rsidRDefault="0055605A" w:rsidP="0055605A">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1</w:t>
      </w:r>
      <w:r w:rsidRPr="00A964FF">
        <w:rPr>
          <w:rFonts w:ascii="Calibri" w:hAnsi="Calibri" w:hint="eastAsia"/>
          <w:noProof/>
          <w:color w:val="auto"/>
        </w:rPr>
        <w:t>）</w:t>
      </w:r>
      <w:r w:rsidRPr="00A964FF">
        <w:rPr>
          <w:rFonts w:ascii="Calibri" w:hAnsi="Calibri" w:hint="eastAsia"/>
          <w:color w:val="auto"/>
        </w:rPr>
        <w:t>环境空气影响预测结论</w:t>
      </w:r>
    </w:p>
    <w:p w14:paraId="5976A370" w14:textId="77777777" w:rsidR="00DD4CAB" w:rsidRPr="00DD4CAB" w:rsidRDefault="00DD4CAB" w:rsidP="00DD4CAB">
      <w:pPr>
        <w:pStyle w:val="00"/>
        <w:rPr>
          <w:rFonts w:asciiTheme="minorHAnsi" w:hAnsiTheme="minorHAnsi"/>
          <w:bCs/>
          <w:color w:val="000000" w:themeColor="text1"/>
        </w:rPr>
      </w:pPr>
      <w:r w:rsidRPr="00DD4CAB">
        <w:rPr>
          <w:rFonts w:ascii="Calibri" w:hAnsi="Calibri" w:hint="eastAsia"/>
          <w:color w:val="auto"/>
        </w:rPr>
        <w:t>根据大气影响预测内容可知，</w:t>
      </w:r>
      <w:r w:rsidRPr="007A31F6">
        <w:rPr>
          <w:rFonts w:ascii="Calibri" w:hAnsi="Calibri"/>
          <w:color w:val="auto"/>
        </w:rPr>
        <w:t>本项目</w:t>
      </w:r>
      <w:r w:rsidRPr="007A31F6">
        <w:rPr>
          <w:rFonts w:ascii="Calibri" w:hAnsi="Calibri"/>
          <w:color w:val="auto"/>
        </w:rPr>
        <w:t>Pmax</w:t>
      </w:r>
      <w:r w:rsidRPr="007A31F6">
        <w:rPr>
          <w:rFonts w:ascii="Calibri" w:hAnsi="Calibri"/>
          <w:color w:val="auto"/>
        </w:rPr>
        <w:t>最大值出现为导热油炉排放的</w:t>
      </w:r>
      <w:r w:rsidRPr="007A31F6">
        <w:rPr>
          <w:rFonts w:ascii="Calibri" w:hAnsi="Calibri"/>
          <w:color w:val="auto"/>
        </w:rPr>
        <w:t>NOxPmax</w:t>
      </w:r>
      <w:r w:rsidRPr="007A31F6">
        <w:rPr>
          <w:rFonts w:ascii="Calibri" w:hAnsi="Calibri"/>
          <w:color w:val="auto"/>
        </w:rPr>
        <w:t>值为</w:t>
      </w:r>
      <w:r w:rsidRPr="007A31F6">
        <w:rPr>
          <w:rFonts w:ascii="Calibri" w:hAnsi="Calibri"/>
          <w:color w:val="auto"/>
        </w:rPr>
        <w:t>0.8032%</w:t>
      </w:r>
      <w:r w:rsidRPr="007A31F6">
        <w:rPr>
          <w:rFonts w:ascii="Calibri" w:hAnsi="Calibri"/>
          <w:color w:val="auto"/>
        </w:rPr>
        <w:t>，</w:t>
      </w:r>
      <w:r w:rsidRPr="007A31F6">
        <w:rPr>
          <w:rFonts w:ascii="Calibri" w:hAnsi="Calibri"/>
          <w:color w:val="auto"/>
        </w:rPr>
        <w:t>Cmax</w:t>
      </w:r>
      <w:r w:rsidRPr="007A31F6">
        <w:rPr>
          <w:rFonts w:ascii="Calibri" w:hAnsi="Calibri"/>
          <w:color w:val="auto"/>
        </w:rPr>
        <w:t>为</w:t>
      </w:r>
      <w:r w:rsidRPr="007A31F6">
        <w:rPr>
          <w:rFonts w:ascii="Calibri" w:hAnsi="Calibri"/>
          <w:color w:val="auto"/>
        </w:rPr>
        <w:t>2.008μg/m³</w:t>
      </w:r>
      <w:r w:rsidRPr="007A31F6">
        <w:rPr>
          <w:rFonts w:ascii="Calibri" w:hAnsi="Calibri"/>
          <w:color w:val="auto"/>
        </w:rPr>
        <w:t>。根据《环境影响评价技术导则</w:t>
      </w:r>
      <w:r w:rsidRPr="007A31F6">
        <w:rPr>
          <w:rFonts w:ascii="Calibri" w:hAnsi="Calibri"/>
          <w:color w:val="auto"/>
        </w:rPr>
        <w:t xml:space="preserve"> </w:t>
      </w:r>
      <w:r w:rsidRPr="007A31F6">
        <w:rPr>
          <w:rFonts w:ascii="Calibri" w:hAnsi="Calibri"/>
          <w:color w:val="auto"/>
        </w:rPr>
        <w:t>大气环境》（</w:t>
      </w:r>
      <w:r w:rsidRPr="007A31F6">
        <w:rPr>
          <w:rFonts w:ascii="Calibri" w:hAnsi="Calibri"/>
          <w:color w:val="auto"/>
        </w:rPr>
        <w:t>HJ2.2-2018</w:t>
      </w:r>
      <w:r w:rsidRPr="007A31F6">
        <w:rPr>
          <w:rFonts w:ascii="Calibri" w:hAnsi="Calibri"/>
          <w:color w:val="auto"/>
        </w:rPr>
        <w:t>）分级判据，本项目大气环境影响评价工作等级为三级。</w:t>
      </w:r>
      <w:r>
        <w:rPr>
          <w:rFonts w:ascii="Calibri" w:hAnsi="Calibri" w:hint="eastAsia"/>
          <w:color w:val="auto"/>
        </w:rPr>
        <w:t>但</w:t>
      </w:r>
      <w:r>
        <w:rPr>
          <w:rFonts w:ascii="Calibri" w:hAnsi="Calibri"/>
          <w:color w:val="auto"/>
        </w:rPr>
        <w:t>由于本项目属于化工，并且编制报告书，本项目评价</w:t>
      </w:r>
      <w:r>
        <w:rPr>
          <w:rFonts w:ascii="Calibri" w:hAnsi="Calibri" w:hint="eastAsia"/>
          <w:color w:val="auto"/>
        </w:rPr>
        <w:t>等级</w:t>
      </w:r>
      <w:r>
        <w:rPr>
          <w:rFonts w:ascii="Calibri" w:hAnsi="Calibri"/>
          <w:color w:val="auto"/>
        </w:rPr>
        <w:t>需要提高一级，则</w:t>
      </w:r>
      <w:r w:rsidRPr="007A31F6">
        <w:rPr>
          <w:rFonts w:ascii="Calibri" w:hAnsi="Calibri"/>
          <w:color w:val="auto"/>
        </w:rPr>
        <w:t>确定</w:t>
      </w:r>
      <w:r w:rsidRPr="00F9700F">
        <w:rPr>
          <w:rFonts w:ascii="Calibri" w:hAnsi="Calibri"/>
          <w:color w:val="auto"/>
        </w:rPr>
        <w:t>本项目大气环境影响评价工作等级为</w:t>
      </w:r>
      <w:r>
        <w:rPr>
          <w:rFonts w:ascii="Calibri" w:hAnsi="Calibri" w:hint="eastAsia"/>
          <w:color w:val="auto"/>
        </w:rPr>
        <w:t>二</w:t>
      </w:r>
      <w:r w:rsidRPr="00F9700F">
        <w:rPr>
          <w:rFonts w:ascii="Calibri" w:hAnsi="Calibri"/>
          <w:color w:val="auto"/>
        </w:rPr>
        <w:t>级</w:t>
      </w:r>
      <w:r>
        <w:rPr>
          <w:rFonts w:ascii="Calibri" w:hAnsi="Calibri" w:hint="eastAsia"/>
          <w:color w:val="auto"/>
        </w:rPr>
        <w:t>，</w:t>
      </w:r>
      <w:r>
        <w:rPr>
          <w:rFonts w:ascii="Calibri" w:hAnsi="Calibri" w:hint="eastAsia"/>
        </w:rPr>
        <w:t>可不进行进一步的预测与评价。</w:t>
      </w:r>
      <w:r>
        <w:rPr>
          <w:rFonts w:asciiTheme="minorHAnsi" w:hAnsiTheme="minorHAnsi"/>
          <w:bCs/>
          <w:color w:val="000000" w:themeColor="text1"/>
        </w:rPr>
        <w:t>本项目无组织废气</w:t>
      </w:r>
      <w:r>
        <w:rPr>
          <w:rFonts w:asciiTheme="minorHAnsi" w:hAnsiTheme="minorHAnsi" w:hint="eastAsia"/>
          <w:bCs/>
          <w:color w:val="000000" w:themeColor="text1"/>
        </w:rPr>
        <w:t>颗</w:t>
      </w:r>
      <w:r>
        <w:rPr>
          <w:rFonts w:asciiTheme="minorHAnsi" w:hAnsiTheme="minorHAnsi" w:hint="eastAsia"/>
          <w:bCs/>
          <w:color w:val="000000" w:themeColor="text1"/>
        </w:rPr>
        <w:lastRenderedPageBreak/>
        <w:t>粒物和</w:t>
      </w:r>
      <w:r>
        <w:rPr>
          <w:rFonts w:asciiTheme="minorHAnsi" w:hAnsiTheme="minorHAnsi"/>
          <w:bCs/>
          <w:color w:val="000000" w:themeColor="text1"/>
        </w:rPr>
        <w:t>非甲烷总烃在厂界监控点的预测浓度值均能满足相应标准要求，故本项目无组织排放对四周厂界影响较小。本项目不再设置大气环境防护距离。</w:t>
      </w:r>
    </w:p>
    <w:p w14:paraId="3768D8B4" w14:textId="77777777" w:rsidR="0055605A" w:rsidRPr="00A964FF" w:rsidRDefault="0055605A" w:rsidP="00DE26A3">
      <w:pPr>
        <w:pStyle w:val="00"/>
        <w:ind w:firstLineChars="2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2</w:t>
      </w:r>
      <w:r w:rsidRPr="00A964FF">
        <w:rPr>
          <w:rFonts w:ascii="Calibri" w:hAnsi="Calibri" w:hint="eastAsia"/>
          <w:noProof/>
          <w:color w:val="auto"/>
        </w:rPr>
        <w:t>）</w:t>
      </w:r>
      <w:r w:rsidRPr="00A964FF">
        <w:rPr>
          <w:rFonts w:ascii="Calibri" w:hAnsi="Calibri" w:hint="eastAsia"/>
          <w:color w:val="auto"/>
        </w:rPr>
        <w:t>水环境影响预测结论</w:t>
      </w:r>
    </w:p>
    <w:p w14:paraId="4C4E4323" w14:textId="56F67E1C" w:rsidR="00DD4CAB" w:rsidRPr="00DD4CAB" w:rsidRDefault="009E233B" w:rsidP="00DD4CAB">
      <w:pPr>
        <w:pStyle w:val="00"/>
        <w:rPr>
          <w:rFonts w:asciiTheme="minorHAnsi" w:hAnsiTheme="minorHAnsi"/>
          <w:color w:val="000000" w:themeColor="text1"/>
        </w:rPr>
      </w:pPr>
      <w:r w:rsidRPr="00A964FF">
        <w:rPr>
          <w:rFonts w:ascii="Calibri" w:hAnsi="Calibri" w:hint="eastAsia"/>
          <w:color w:val="auto"/>
        </w:rPr>
        <w:t>根据本项目废水特性，建设单位</w:t>
      </w:r>
      <w:r w:rsidR="00DE26A3" w:rsidRPr="00A964FF">
        <w:rPr>
          <w:rFonts w:ascii="Calibri" w:hAnsi="Calibri" w:hint="eastAsia"/>
          <w:color w:val="auto"/>
        </w:rPr>
        <w:t>拟自建</w:t>
      </w:r>
      <w:r w:rsidR="00DE26A3" w:rsidRPr="00A964FF">
        <w:rPr>
          <w:rFonts w:ascii="Calibri" w:hAnsi="Calibri" w:hint="eastAsia"/>
          <w:color w:val="auto"/>
        </w:rPr>
        <w:t>1</w:t>
      </w:r>
      <w:r w:rsidR="00DE26A3" w:rsidRPr="00A964FF">
        <w:rPr>
          <w:rFonts w:ascii="Calibri" w:hAnsi="Calibri" w:hint="eastAsia"/>
          <w:color w:val="auto"/>
        </w:rPr>
        <w:t>座废水处理站，</w:t>
      </w:r>
      <w:r w:rsidR="00DD4CAB" w:rsidRPr="00154297">
        <w:rPr>
          <w:rFonts w:asciiTheme="minorHAnsi" w:hAnsiTheme="minorHAnsi"/>
          <w:color w:val="auto"/>
        </w:rPr>
        <w:t>本项目废水主要包括聚合工序冷凝液，</w:t>
      </w:r>
      <w:r w:rsidR="00AB0983">
        <w:rPr>
          <w:rFonts w:asciiTheme="minorHAnsi" w:hAnsiTheme="minorHAnsi" w:hint="eastAsia"/>
          <w:color w:val="auto"/>
        </w:rPr>
        <w:t>水喷淋</w:t>
      </w:r>
      <w:r w:rsidR="00DD4CAB" w:rsidRPr="00154297">
        <w:rPr>
          <w:rFonts w:asciiTheme="minorHAnsi" w:hAnsiTheme="minorHAnsi"/>
          <w:color w:val="auto"/>
        </w:rPr>
        <w:t>塔废水，制粒废水，真空系统废水，循环冷却水系统废水，</w:t>
      </w:r>
      <w:r w:rsidR="009305BC">
        <w:rPr>
          <w:rFonts w:asciiTheme="minorHAnsi" w:hAnsiTheme="minorHAnsi" w:hint="eastAsia"/>
          <w:color w:val="auto"/>
        </w:rPr>
        <w:t>纯</w:t>
      </w:r>
      <w:r w:rsidR="00DD4CAB" w:rsidRPr="00154297">
        <w:rPr>
          <w:rFonts w:asciiTheme="minorHAnsi" w:hAnsiTheme="minorHAnsi"/>
          <w:color w:val="auto"/>
        </w:rPr>
        <w:t>水制备废水，车间地面冲洗废水及生活污水。主要含有有机物，无重金属。</w:t>
      </w:r>
      <w:r w:rsidR="00DD4CAB" w:rsidRPr="00154297">
        <w:rPr>
          <w:rFonts w:asciiTheme="minorHAnsi" w:hAnsiTheme="minorHAnsi"/>
        </w:rPr>
        <w:t>废水中主要污染物为</w:t>
      </w:r>
      <w:r w:rsidR="00DD4CAB" w:rsidRPr="00154297">
        <w:rPr>
          <w:rFonts w:asciiTheme="minorHAnsi" w:hAnsiTheme="minorHAnsi"/>
        </w:rPr>
        <w:t>pH</w:t>
      </w:r>
      <w:r w:rsidR="00DD4CAB" w:rsidRPr="00154297">
        <w:rPr>
          <w:rFonts w:asciiTheme="minorHAnsi" w:hAnsiTheme="minorHAnsi"/>
        </w:rPr>
        <w:t>、</w:t>
      </w:r>
      <w:r w:rsidR="00DD4CAB" w:rsidRPr="00154297">
        <w:rPr>
          <w:rFonts w:asciiTheme="minorHAnsi" w:hAnsiTheme="minorHAnsi"/>
        </w:rPr>
        <w:t>SS</w:t>
      </w:r>
      <w:r w:rsidR="00DD4CAB" w:rsidRPr="00154297">
        <w:rPr>
          <w:rFonts w:asciiTheme="minorHAnsi" w:hAnsiTheme="minorHAnsi"/>
        </w:rPr>
        <w:t>、</w:t>
      </w:r>
      <w:r w:rsidR="00DD4CAB" w:rsidRPr="00154297">
        <w:rPr>
          <w:rFonts w:asciiTheme="minorHAnsi" w:hAnsiTheme="minorHAnsi"/>
        </w:rPr>
        <w:t>CODcr</w:t>
      </w:r>
      <w:r w:rsidR="00DD4CAB" w:rsidRPr="00154297">
        <w:rPr>
          <w:rFonts w:asciiTheme="minorHAnsi" w:hAnsiTheme="minorHAnsi"/>
        </w:rPr>
        <w:t>、</w:t>
      </w:r>
      <w:r w:rsidR="00DD4CAB" w:rsidRPr="00154297">
        <w:rPr>
          <w:rFonts w:asciiTheme="minorHAnsi" w:hAnsiTheme="minorHAnsi"/>
        </w:rPr>
        <w:t>BOD</w:t>
      </w:r>
      <w:r w:rsidR="00DD4CAB" w:rsidRPr="00154297">
        <w:rPr>
          <w:rFonts w:asciiTheme="minorHAnsi" w:hAnsiTheme="minorHAnsi"/>
          <w:vertAlign w:val="subscript"/>
        </w:rPr>
        <w:t>5</w:t>
      </w:r>
      <w:r w:rsidR="00DD4CAB" w:rsidRPr="00154297">
        <w:rPr>
          <w:rFonts w:asciiTheme="minorHAnsi" w:hAnsiTheme="minorHAnsi"/>
        </w:rPr>
        <w:t>、氨氮</w:t>
      </w:r>
      <w:r w:rsidR="00C27DB8">
        <w:rPr>
          <w:rFonts w:asciiTheme="minorHAnsi" w:hAnsiTheme="minorHAnsi" w:hint="eastAsia"/>
        </w:rPr>
        <w:t>、</w:t>
      </w:r>
      <w:r w:rsidR="00C27DB8">
        <w:rPr>
          <w:rFonts w:asciiTheme="minorHAnsi" w:hAnsiTheme="minorHAnsi"/>
        </w:rPr>
        <w:t>总氮</w:t>
      </w:r>
      <w:r w:rsidR="00DD4CAB" w:rsidRPr="00154297">
        <w:rPr>
          <w:rFonts w:asciiTheme="minorHAnsi" w:hAnsiTheme="minorHAnsi"/>
        </w:rPr>
        <w:t>。</w:t>
      </w:r>
      <w:r w:rsidR="00DD4CAB" w:rsidRPr="00154297">
        <w:rPr>
          <w:rFonts w:asciiTheme="minorHAnsi" w:hAnsiTheme="minorHAnsi"/>
          <w:color w:val="auto"/>
        </w:rPr>
        <w:t>本项目</w:t>
      </w:r>
      <w:r w:rsidR="00DD4CAB" w:rsidRPr="00154297">
        <w:rPr>
          <w:rFonts w:asciiTheme="minorHAnsi" w:hAnsiTheme="minorHAnsi"/>
        </w:rPr>
        <w:t>厂区实施雨污分流、污污分流、清污分流排水制。</w:t>
      </w:r>
      <w:r w:rsidR="009305BC">
        <w:rPr>
          <w:rFonts w:asciiTheme="minorHAnsi" w:hAnsiTheme="minorHAnsi" w:hint="eastAsia"/>
        </w:rPr>
        <w:t>纯</w:t>
      </w:r>
      <w:r w:rsidR="00DD4CAB" w:rsidRPr="00154297">
        <w:rPr>
          <w:rFonts w:asciiTheme="minorHAnsi" w:hAnsiTheme="minorHAnsi"/>
        </w:rPr>
        <w:t>水制备废水及循环水站废水于厂区总排口排放</w:t>
      </w:r>
      <w:r w:rsidR="00DD4CAB">
        <w:rPr>
          <w:rFonts w:asciiTheme="minorHAnsi" w:hAnsiTheme="minorHAnsi" w:hint="eastAsia"/>
        </w:rPr>
        <w:t>，</w:t>
      </w:r>
      <w:r w:rsidR="00DD4CAB" w:rsidRPr="00154297">
        <w:rPr>
          <w:rFonts w:asciiTheme="minorHAnsi" w:hAnsiTheme="minorHAnsi"/>
        </w:rPr>
        <w:t>生产废水和</w:t>
      </w:r>
      <w:r w:rsidR="00E01926">
        <w:rPr>
          <w:rFonts w:asciiTheme="minorHAnsi" w:hAnsiTheme="minorHAnsi"/>
        </w:rPr>
        <w:t>职工生活污水经厂区污水处理站处理后通过集聚区污水管网进入平顶山</w:t>
      </w:r>
      <w:r w:rsidR="00DD4CAB" w:rsidRPr="00154297">
        <w:rPr>
          <w:rFonts w:asciiTheme="minorHAnsi" w:hAnsiTheme="minorHAnsi"/>
        </w:rPr>
        <w:t>第三污水处理厂再次处理达标后排放</w:t>
      </w:r>
      <w:r w:rsidR="00DD4CAB">
        <w:rPr>
          <w:rFonts w:asciiTheme="minorHAnsi" w:hAnsiTheme="minorHAnsi" w:hint="eastAsia"/>
        </w:rPr>
        <w:t>，</w:t>
      </w:r>
      <w:r w:rsidR="00DD4CAB">
        <w:rPr>
          <w:rFonts w:asciiTheme="minorHAnsi" w:hAnsiTheme="minorHAnsi"/>
          <w:color w:val="000000" w:themeColor="text1"/>
        </w:rPr>
        <w:t>不直接对水体排放，对周围地表水环境影响较小。经调查，</w:t>
      </w:r>
      <w:r w:rsidR="00E01926">
        <w:rPr>
          <w:rFonts w:asciiTheme="minorHAnsi" w:hAnsiTheme="minorHAnsi"/>
        </w:rPr>
        <w:t>平顶山</w:t>
      </w:r>
      <w:r w:rsidR="00DD4CAB" w:rsidRPr="00154297">
        <w:rPr>
          <w:rFonts w:asciiTheme="minorHAnsi" w:hAnsiTheme="minorHAnsi"/>
        </w:rPr>
        <w:t>第三污水处理厂</w:t>
      </w:r>
      <w:r w:rsidR="00DD4CAB">
        <w:rPr>
          <w:rFonts w:asciiTheme="minorHAnsi" w:hAnsiTheme="minorHAnsi"/>
          <w:color w:val="000000" w:themeColor="text1"/>
        </w:rPr>
        <w:t>有接纳能力，不会对其造成冲击。</w:t>
      </w:r>
    </w:p>
    <w:p w14:paraId="71727612"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3</w:t>
      </w:r>
      <w:r w:rsidRPr="00A964FF">
        <w:rPr>
          <w:rFonts w:ascii="Calibri" w:hAnsi="Calibri" w:hint="eastAsia"/>
          <w:color w:val="auto"/>
        </w:rPr>
        <w:t>）地下水环境影响预测结论</w:t>
      </w:r>
    </w:p>
    <w:p w14:paraId="4F288101" w14:textId="77777777" w:rsidR="00DD4CAB" w:rsidRPr="00A964FF" w:rsidRDefault="00D657F1" w:rsidP="00DD4CAB">
      <w:pPr>
        <w:spacing w:line="520" w:lineRule="exact"/>
        <w:ind w:firstLineChars="200" w:firstLine="480"/>
        <w:rPr>
          <w:rFonts w:ascii="Calibri" w:hAnsi="Calibri"/>
          <w:color w:val="auto"/>
          <w:sz w:val="24"/>
        </w:rPr>
      </w:pPr>
      <w:r w:rsidRPr="00A964FF">
        <w:rPr>
          <w:rFonts w:ascii="Calibri" w:hAnsi="Calibri" w:hint="eastAsia"/>
          <w:color w:val="auto"/>
          <w:sz w:val="24"/>
        </w:rPr>
        <w:t>本次地下水环境影响预测因子为</w:t>
      </w:r>
      <w:r w:rsidR="00A5232B" w:rsidRPr="00A5232B">
        <w:rPr>
          <w:rFonts w:ascii="Calibri" w:hAnsi="Calibri" w:hint="eastAsia"/>
          <w:color w:val="auto"/>
          <w:sz w:val="24"/>
        </w:rPr>
        <w:t>COD</w:t>
      </w:r>
      <w:r w:rsidR="00A5232B" w:rsidRPr="00A5232B">
        <w:rPr>
          <w:rFonts w:ascii="Calibri" w:hAnsi="Calibri" w:hint="eastAsia"/>
          <w:color w:val="auto"/>
          <w:sz w:val="24"/>
        </w:rPr>
        <w:t>、氨氮、石油类</w:t>
      </w:r>
      <w:r w:rsidR="001046DF" w:rsidRPr="00A964FF">
        <w:rPr>
          <w:rFonts w:ascii="Calibri" w:hAnsi="Calibri" w:hint="eastAsia"/>
          <w:color w:val="auto"/>
          <w:sz w:val="24"/>
        </w:rPr>
        <w:t>。</w:t>
      </w:r>
      <w:r w:rsidR="00DD4CAB" w:rsidRPr="00A964FF">
        <w:rPr>
          <w:rFonts w:ascii="Calibri" w:hAnsi="Calibri" w:hint="eastAsia"/>
          <w:color w:val="auto"/>
          <w:sz w:val="24"/>
        </w:rPr>
        <w:t>本项目危废暂存间为地上结构，发生事故的情况下污染物均可以及时发现及时控制，因此造成污染地下水的几率较小。而根据同类发生事故企业对事故的控制及处理时间一般不超过</w:t>
      </w:r>
      <w:r w:rsidR="00DD4CAB" w:rsidRPr="00A964FF">
        <w:rPr>
          <w:rFonts w:ascii="Calibri" w:hAnsi="Calibri"/>
          <w:color w:val="auto"/>
          <w:sz w:val="24"/>
        </w:rPr>
        <w:t>24h</w:t>
      </w:r>
      <w:r w:rsidR="00DD4CAB" w:rsidRPr="00A964FF">
        <w:rPr>
          <w:rFonts w:ascii="Calibri" w:hAnsi="Calibri" w:hint="eastAsia"/>
          <w:color w:val="auto"/>
          <w:sz w:val="24"/>
        </w:rPr>
        <w:t>，实际生产危废暂存间发生泄漏后各污染物对地下水的贡献值要远小于理论计算值。废水处理站为半地下式，泄漏后较难发现，但影响范围局限在厂区内。本项目区域地下水流向为</w:t>
      </w:r>
      <w:r w:rsidR="00DD4CAB">
        <w:rPr>
          <w:rFonts w:ascii="Calibri" w:hAnsi="Calibri" w:hint="eastAsia"/>
          <w:color w:val="auto"/>
          <w:sz w:val="24"/>
        </w:rPr>
        <w:t>西南向东北</w:t>
      </w:r>
      <w:r w:rsidR="00DD4CAB" w:rsidRPr="00A964FF">
        <w:rPr>
          <w:rFonts w:ascii="Calibri" w:hAnsi="Calibri" w:hint="eastAsia"/>
          <w:color w:val="auto"/>
          <w:sz w:val="24"/>
        </w:rPr>
        <w:t>，下游方向影响距离范围内主要为集聚区待建设用地，无村庄和居民区等采用地下水作为饮用水源的敏感点，因此对地下水影响较小。但在非正常状况下，污染物预测浓度较高，因此建设单位应加强管理，严格控制突发环境事件的发生。</w:t>
      </w:r>
    </w:p>
    <w:p w14:paraId="5FE9F5ED" w14:textId="77777777" w:rsidR="00DD4CAB" w:rsidRPr="00A964FF" w:rsidRDefault="00DD4CAB" w:rsidP="00DD4CAB">
      <w:pPr>
        <w:pStyle w:val="ad"/>
        <w:ind w:firstLineChars="200" w:firstLine="480"/>
        <w:rPr>
          <w:rFonts w:ascii="Calibri" w:eastAsia="宋体" w:hAnsi="Calibri"/>
          <w:b w:val="0"/>
          <w:color w:val="auto"/>
          <w:sz w:val="24"/>
        </w:rPr>
      </w:pPr>
      <w:r w:rsidRPr="00A964FF">
        <w:rPr>
          <w:rFonts w:ascii="Calibri" w:eastAsia="宋体" w:hAnsi="Calibri" w:hint="eastAsia"/>
          <w:b w:val="0"/>
          <w:color w:val="auto"/>
          <w:sz w:val="24"/>
        </w:rPr>
        <w:t>为减轻本项目对地下水环境的影响，本次评价要求对建设单位</w:t>
      </w:r>
      <w:r>
        <w:rPr>
          <w:rFonts w:ascii="Calibri" w:eastAsia="宋体" w:hAnsi="Calibri" w:hint="eastAsia"/>
          <w:b w:val="0"/>
          <w:color w:val="auto"/>
          <w:sz w:val="24"/>
        </w:rPr>
        <w:t>原料</w:t>
      </w:r>
      <w:r w:rsidRPr="00A964FF">
        <w:rPr>
          <w:rFonts w:ascii="Calibri" w:eastAsia="宋体" w:hAnsi="Calibri" w:hint="eastAsia"/>
          <w:b w:val="0"/>
          <w:color w:val="auto"/>
          <w:sz w:val="24"/>
        </w:rPr>
        <w:t>仓库、危废暂存间、事故池、初期雨水收集池、废水处理站各类构筑物等严格进行防腐、防渗漏处理。因此，在落实本次评价提出的各项污染防治措施后，本项目的建设对区域地下水环境影响较小。</w:t>
      </w:r>
    </w:p>
    <w:p w14:paraId="2D8C7AE3" w14:textId="77777777" w:rsidR="0055605A" w:rsidRPr="00A964FF" w:rsidRDefault="0055605A" w:rsidP="00DD4CAB">
      <w:pPr>
        <w:pStyle w:val="00"/>
        <w:rPr>
          <w:rFonts w:ascii="Calibri" w:hAnsi="Calibri"/>
          <w:noProof/>
          <w:color w:val="auto"/>
        </w:rPr>
      </w:pPr>
      <w:r w:rsidRPr="00A964FF">
        <w:rPr>
          <w:rFonts w:ascii="Calibri" w:hAnsi="Calibri"/>
          <w:color w:val="auto"/>
        </w:rPr>
        <w:t>（</w:t>
      </w:r>
      <w:r w:rsidRPr="00A964FF">
        <w:rPr>
          <w:rFonts w:ascii="Calibri" w:hAnsi="Calibri"/>
          <w:color w:val="auto"/>
        </w:rPr>
        <w:t>4</w:t>
      </w:r>
      <w:r w:rsidRPr="00A964FF">
        <w:rPr>
          <w:rFonts w:ascii="Calibri" w:hAnsi="Calibri"/>
          <w:color w:val="auto"/>
        </w:rPr>
        <w:t>）声环境影响预测结论</w:t>
      </w:r>
    </w:p>
    <w:p w14:paraId="01531EA0" w14:textId="77777777" w:rsidR="0055605A" w:rsidRPr="00A964FF" w:rsidRDefault="0055605A" w:rsidP="0055605A">
      <w:pPr>
        <w:pStyle w:val="00"/>
        <w:rPr>
          <w:rFonts w:ascii="Calibri" w:hAnsi="Calibri"/>
          <w:noProof/>
          <w:color w:val="auto"/>
        </w:rPr>
      </w:pPr>
      <w:r w:rsidRPr="00A964FF">
        <w:rPr>
          <w:rFonts w:ascii="Calibri" w:hAnsi="Calibri"/>
          <w:noProof/>
          <w:color w:val="auto"/>
        </w:rPr>
        <w:t>根据预测结果可知，本项目营运期昼夜间各厂界噪声均能满足《工业企业厂界环</w:t>
      </w:r>
      <w:r w:rsidRPr="00A964FF">
        <w:rPr>
          <w:rFonts w:ascii="Calibri" w:hAnsi="Calibri"/>
          <w:noProof/>
          <w:color w:val="auto"/>
        </w:rPr>
        <w:lastRenderedPageBreak/>
        <w:t>境噪声排放标准》（</w:t>
      </w:r>
      <w:r w:rsidRPr="00A964FF">
        <w:rPr>
          <w:rFonts w:ascii="Calibri" w:hAnsi="Calibri"/>
          <w:noProof/>
          <w:color w:val="auto"/>
        </w:rPr>
        <w:t>GB12348-2008</w:t>
      </w:r>
      <w:r w:rsidRPr="00A964FF">
        <w:rPr>
          <w:rFonts w:ascii="Calibri" w:hAnsi="Calibri"/>
          <w:noProof/>
          <w:color w:val="auto"/>
        </w:rPr>
        <w:t>）</w:t>
      </w:r>
      <w:r w:rsidR="008E60DB" w:rsidRPr="00A964FF">
        <w:rPr>
          <w:rFonts w:ascii="Calibri" w:hAnsi="Calibri" w:hint="eastAsia"/>
          <w:noProof/>
          <w:color w:val="auto"/>
        </w:rPr>
        <w:t>中</w:t>
      </w:r>
      <w:r w:rsidR="0059590E">
        <w:rPr>
          <w:rFonts w:ascii="Calibri" w:hAnsi="Calibri"/>
          <w:noProof/>
          <w:color w:val="auto"/>
        </w:rPr>
        <w:t>3</w:t>
      </w:r>
      <w:r w:rsidRPr="00A964FF">
        <w:rPr>
          <w:rFonts w:ascii="Calibri" w:hAnsi="Calibri"/>
          <w:noProof/>
          <w:color w:val="auto"/>
        </w:rPr>
        <w:t>类标准要求，厂界噪声可实现达标排放，不会对</w:t>
      </w:r>
      <w:r w:rsidRPr="00A964FF">
        <w:rPr>
          <w:rFonts w:ascii="Calibri" w:hAnsi="Calibri" w:hint="eastAsia"/>
          <w:noProof/>
          <w:color w:val="auto"/>
        </w:rPr>
        <w:t>区域</w:t>
      </w:r>
      <w:r w:rsidRPr="00A964FF">
        <w:rPr>
          <w:rFonts w:ascii="Calibri" w:hAnsi="Calibri"/>
          <w:noProof/>
          <w:color w:val="auto"/>
        </w:rPr>
        <w:t>声环境状况产生大的影响。</w:t>
      </w:r>
    </w:p>
    <w:p w14:paraId="6CCA9087" w14:textId="77777777" w:rsidR="0055605A" w:rsidRPr="00A964FF" w:rsidRDefault="0055605A" w:rsidP="0055605A">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5</w:t>
      </w:r>
      <w:r w:rsidRPr="00A964FF">
        <w:rPr>
          <w:rFonts w:ascii="Calibri" w:hAnsi="Calibri" w:hint="eastAsia"/>
          <w:noProof/>
          <w:color w:val="auto"/>
        </w:rPr>
        <w:t>）固废环境影响预测结论</w:t>
      </w:r>
    </w:p>
    <w:p w14:paraId="321771EC" w14:textId="77777777" w:rsidR="00DD4CAB" w:rsidRDefault="0055605A" w:rsidP="00633D32">
      <w:pPr>
        <w:pStyle w:val="00"/>
        <w:rPr>
          <w:rFonts w:ascii="Calibri" w:hAnsi="Calibri"/>
          <w:color w:val="auto"/>
        </w:rPr>
      </w:pPr>
      <w:r w:rsidRPr="00A964FF">
        <w:rPr>
          <w:rFonts w:ascii="Calibri" w:hAnsi="Calibri" w:hint="eastAsia"/>
          <w:noProof/>
          <w:color w:val="auto"/>
        </w:rPr>
        <w:t>本项目营运后对厂区产的各类固废进行分类收集和处置，</w:t>
      </w:r>
      <w:r w:rsidR="00DD4CAB" w:rsidRPr="004E1825">
        <w:rPr>
          <w:rFonts w:ascii="Calibri" w:hAnsi="Calibri" w:hint="eastAsia"/>
          <w:color w:val="auto"/>
        </w:rPr>
        <w:t>本项目</w:t>
      </w:r>
      <w:r w:rsidR="00DD4CAB">
        <w:rPr>
          <w:rFonts w:ascii="Calibri" w:hAnsi="Calibri" w:hint="eastAsia"/>
          <w:color w:val="auto"/>
        </w:rPr>
        <w:t>工艺</w:t>
      </w:r>
      <w:r w:rsidR="00DD4CAB">
        <w:rPr>
          <w:rFonts w:ascii="Calibri" w:hAnsi="Calibri"/>
          <w:color w:val="auto"/>
        </w:rPr>
        <w:t>过程中不会产生固废</w:t>
      </w:r>
      <w:r w:rsidR="00DD4CAB">
        <w:rPr>
          <w:rFonts w:ascii="Calibri" w:hAnsi="Calibri" w:hint="eastAsia"/>
          <w:color w:val="auto"/>
        </w:rPr>
        <w:t>，本项目</w:t>
      </w:r>
      <w:r w:rsidR="00DD4CAB">
        <w:rPr>
          <w:rFonts w:ascii="Calibri" w:hAnsi="Calibri"/>
          <w:color w:val="auto"/>
        </w:rPr>
        <w:t>一期、二期</w:t>
      </w:r>
      <w:r w:rsidR="00DD4CAB">
        <w:rPr>
          <w:rFonts w:ascii="Calibri" w:hAnsi="Calibri" w:hint="eastAsia"/>
          <w:color w:val="auto"/>
        </w:rPr>
        <w:t>工程</w:t>
      </w:r>
      <w:r w:rsidR="00DD4CAB">
        <w:rPr>
          <w:rFonts w:ascii="Calibri" w:hAnsi="Calibri"/>
          <w:color w:val="auto"/>
        </w:rPr>
        <w:t>产物环节相同。</w:t>
      </w:r>
      <w:r w:rsidR="00DD4CAB" w:rsidRPr="004E1825">
        <w:rPr>
          <w:rFonts w:ascii="Calibri" w:hAnsi="Calibri" w:hint="eastAsia"/>
          <w:color w:val="auto"/>
        </w:rPr>
        <w:t>固体废物主要为原料拆包产生的废包装材料、</w:t>
      </w:r>
      <w:r w:rsidR="00DD4CAB">
        <w:rPr>
          <w:rFonts w:ascii="Calibri" w:hAnsi="Calibri" w:hint="eastAsia"/>
          <w:color w:val="auto"/>
        </w:rPr>
        <w:t>废导热油、废机油</w:t>
      </w:r>
      <w:r w:rsidR="00DD4CAB">
        <w:rPr>
          <w:rFonts w:ascii="Calibri" w:hAnsi="Calibri"/>
          <w:color w:val="auto"/>
        </w:rPr>
        <w:t>、</w:t>
      </w:r>
      <w:r w:rsidR="00DD4CAB">
        <w:rPr>
          <w:rFonts w:ascii="Calibri" w:hAnsi="Calibri" w:hint="eastAsia"/>
          <w:color w:val="auto"/>
        </w:rPr>
        <w:t>污水站污泥、废气</w:t>
      </w:r>
      <w:r w:rsidR="00DD4CAB">
        <w:rPr>
          <w:rFonts w:ascii="Calibri" w:hAnsi="Calibri"/>
          <w:color w:val="auto"/>
        </w:rPr>
        <w:t>处理装置产生的</w:t>
      </w:r>
      <w:r w:rsidR="00DD4CAB">
        <w:rPr>
          <w:rFonts w:ascii="Calibri" w:hAnsi="Calibri" w:hint="eastAsia"/>
          <w:color w:val="auto"/>
        </w:rPr>
        <w:t>废灯管</w:t>
      </w:r>
      <w:r w:rsidR="00DD4CAB">
        <w:rPr>
          <w:rFonts w:ascii="Calibri" w:hAnsi="Calibri"/>
          <w:color w:val="auto"/>
        </w:rPr>
        <w:t>及活性炭</w:t>
      </w:r>
      <w:r w:rsidR="00DD4CAB">
        <w:rPr>
          <w:rFonts w:ascii="Calibri" w:hAnsi="Calibri" w:hint="eastAsia"/>
          <w:color w:val="auto"/>
        </w:rPr>
        <w:t>、</w:t>
      </w:r>
      <w:r w:rsidR="0092085C">
        <w:rPr>
          <w:rFonts w:ascii="Calibri" w:hAnsi="Calibri" w:hint="eastAsia"/>
          <w:color w:val="auto"/>
        </w:rPr>
        <w:t>品控中心</w:t>
      </w:r>
      <w:r w:rsidR="00DD4CAB">
        <w:rPr>
          <w:rFonts w:ascii="Calibri" w:hAnsi="Calibri"/>
          <w:color w:val="auto"/>
        </w:rPr>
        <w:t>废物、</w:t>
      </w:r>
      <w:r w:rsidR="00DD4CAB">
        <w:rPr>
          <w:rFonts w:ascii="Calibri" w:hAnsi="Calibri" w:hint="eastAsia"/>
          <w:color w:val="auto"/>
        </w:rPr>
        <w:t>员工生活垃圾</w:t>
      </w:r>
      <w:r w:rsidR="00DD4CAB" w:rsidRPr="004E1825">
        <w:rPr>
          <w:rFonts w:ascii="Calibri" w:hAnsi="Calibri" w:hint="eastAsia"/>
          <w:color w:val="auto"/>
        </w:rPr>
        <w:t>等，其中</w:t>
      </w:r>
      <w:r w:rsidR="00633D32">
        <w:rPr>
          <w:rFonts w:ascii="Calibri" w:hAnsi="Calibri" w:hint="eastAsia"/>
          <w:color w:val="auto"/>
        </w:rPr>
        <w:t>废导热油</w:t>
      </w:r>
      <w:r w:rsidR="00DD4CAB">
        <w:rPr>
          <w:rFonts w:ascii="Calibri" w:hAnsi="Calibri" w:hint="eastAsia"/>
          <w:color w:val="auto"/>
        </w:rPr>
        <w:t>、</w:t>
      </w:r>
      <w:r w:rsidR="00633D32">
        <w:rPr>
          <w:rFonts w:ascii="Calibri" w:hAnsi="Calibri" w:hint="eastAsia"/>
          <w:color w:val="auto"/>
        </w:rPr>
        <w:t>废机油</w:t>
      </w:r>
      <w:r w:rsidR="00633D32">
        <w:rPr>
          <w:rFonts w:ascii="Calibri" w:hAnsi="Calibri"/>
          <w:color w:val="auto"/>
        </w:rPr>
        <w:t>、</w:t>
      </w:r>
      <w:r w:rsidR="00DD4CAB">
        <w:rPr>
          <w:rFonts w:ascii="Calibri" w:hAnsi="Calibri"/>
          <w:color w:val="auto"/>
        </w:rPr>
        <w:t>废灯管</w:t>
      </w:r>
      <w:r w:rsidR="00DD4CAB">
        <w:rPr>
          <w:rFonts w:ascii="Calibri" w:hAnsi="Calibri" w:hint="eastAsia"/>
          <w:color w:val="auto"/>
        </w:rPr>
        <w:t>、</w:t>
      </w:r>
      <w:r w:rsidR="00DD4CAB">
        <w:rPr>
          <w:rFonts w:ascii="Calibri" w:hAnsi="Calibri"/>
          <w:color w:val="auto"/>
        </w:rPr>
        <w:t>废活性炭</w:t>
      </w:r>
      <w:r w:rsidR="00DD4CAB">
        <w:rPr>
          <w:rFonts w:ascii="Calibri" w:hAnsi="Calibri" w:hint="eastAsia"/>
          <w:color w:val="auto"/>
        </w:rPr>
        <w:t>、</w:t>
      </w:r>
      <w:r w:rsidR="0092085C">
        <w:rPr>
          <w:rFonts w:ascii="Calibri" w:hAnsi="Calibri" w:hint="eastAsia"/>
          <w:color w:val="auto"/>
        </w:rPr>
        <w:t>品控中心</w:t>
      </w:r>
      <w:r w:rsidR="00DD4CAB">
        <w:rPr>
          <w:rFonts w:ascii="Calibri" w:hAnsi="Calibri"/>
          <w:color w:val="auto"/>
        </w:rPr>
        <w:t>废物</w:t>
      </w:r>
      <w:r w:rsidR="00DD4CAB">
        <w:rPr>
          <w:rFonts w:ascii="Calibri" w:hAnsi="Calibri" w:hint="eastAsia"/>
          <w:color w:val="auto"/>
        </w:rPr>
        <w:t>为</w:t>
      </w:r>
      <w:r w:rsidR="00DD4CAB" w:rsidRPr="004E1825">
        <w:rPr>
          <w:rFonts w:ascii="Calibri" w:hAnsi="Calibri" w:hint="eastAsia"/>
          <w:color w:val="auto"/>
        </w:rPr>
        <w:t>危险废物；纯水制备废</w:t>
      </w:r>
      <w:r w:rsidR="00DD4CAB">
        <w:rPr>
          <w:rFonts w:ascii="Calibri" w:hAnsi="Calibri" w:hint="eastAsia"/>
          <w:color w:val="auto"/>
        </w:rPr>
        <w:t>反渗透膜</w:t>
      </w:r>
      <w:r w:rsidR="00DD4CAB" w:rsidRPr="004E1825">
        <w:rPr>
          <w:rFonts w:ascii="Calibri" w:hAnsi="Calibri" w:hint="eastAsia"/>
          <w:color w:val="auto"/>
        </w:rPr>
        <w:t>、</w:t>
      </w:r>
      <w:r w:rsidR="00633D32" w:rsidRPr="004E1825">
        <w:rPr>
          <w:rFonts w:ascii="Calibri" w:hAnsi="Calibri" w:hint="eastAsia"/>
          <w:color w:val="auto"/>
        </w:rPr>
        <w:t>原料拆包产生的废包装材料</w:t>
      </w:r>
      <w:r w:rsidR="00633D32">
        <w:rPr>
          <w:rFonts w:ascii="Calibri" w:hAnsi="Calibri" w:hint="eastAsia"/>
          <w:color w:val="auto"/>
        </w:rPr>
        <w:t>、</w:t>
      </w:r>
      <w:r w:rsidR="00633D32">
        <w:rPr>
          <w:rFonts w:ascii="Calibri" w:hAnsi="Calibri"/>
          <w:color w:val="auto"/>
        </w:rPr>
        <w:t>污水处理站污泥</w:t>
      </w:r>
      <w:r w:rsidR="00633D32">
        <w:rPr>
          <w:rFonts w:ascii="Calibri" w:hAnsi="Calibri" w:hint="eastAsia"/>
          <w:color w:val="auto"/>
        </w:rPr>
        <w:t>、</w:t>
      </w:r>
      <w:r w:rsidR="00DD4CAB" w:rsidRPr="004E1825">
        <w:rPr>
          <w:rFonts w:ascii="Calibri" w:hAnsi="Calibri" w:hint="eastAsia"/>
          <w:color w:val="auto"/>
        </w:rPr>
        <w:t>员工生活垃圾为一般固废。</w:t>
      </w:r>
    </w:p>
    <w:p w14:paraId="487A38E2" w14:textId="77777777" w:rsidR="00DD4CAB" w:rsidRPr="00A964FF" w:rsidRDefault="00DD4CAB" w:rsidP="00DD4CAB">
      <w:pPr>
        <w:spacing w:line="520" w:lineRule="exact"/>
        <w:ind w:firstLineChars="200" w:firstLine="480"/>
        <w:rPr>
          <w:rFonts w:ascii="Calibri"/>
          <w:bCs/>
          <w:color w:val="auto"/>
          <w:sz w:val="24"/>
        </w:rPr>
      </w:pPr>
      <w:r w:rsidRPr="00A964FF">
        <w:rPr>
          <w:rFonts w:ascii="Calibri" w:hint="eastAsia"/>
          <w:bCs/>
          <w:color w:val="auto"/>
          <w:sz w:val="24"/>
        </w:rPr>
        <w:t>本项目营运后产生危险废物种类较多，企业拟采取严格的防治措施对危险废物在收集、贮存、转运、处置和管理等环节进行控制。</w:t>
      </w:r>
    </w:p>
    <w:p w14:paraId="13E52141" w14:textId="77777777" w:rsidR="00C437C4" w:rsidRPr="00A964FF" w:rsidRDefault="00C437C4" w:rsidP="00C12CBB">
      <w:pPr>
        <w:pStyle w:val="00"/>
        <w:rPr>
          <w:rFonts w:ascii="Calibri" w:hAnsi="Calibri"/>
          <w:noProof/>
          <w:color w:val="auto"/>
        </w:rPr>
      </w:pPr>
      <w:r w:rsidRPr="00A964FF">
        <w:rPr>
          <w:rFonts w:ascii="Calibri" w:hAnsi="Calibri" w:hint="eastAsia"/>
          <w:noProof/>
          <w:color w:val="auto"/>
        </w:rPr>
        <w:t>（</w:t>
      </w:r>
      <w:r w:rsidRPr="00A964FF">
        <w:rPr>
          <w:rFonts w:ascii="Calibri" w:hAnsi="Calibri" w:hint="eastAsia"/>
          <w:noProof/>
          <w:color w:val="auto"/>
        </w:rPr>
        <w:t>6</w:t>
      </w:r>
      <w:r w:rsidRPr="00A964FF">
        <w:rPr>
          <w:rFonts w:ascii="Calibri" w:hAnsi="Calibri" w:hint="eastAsia"/>
          <w:noProof/>
          <w:color w:val="auto"/>
        </w:rPr>
        <w:t>）风险环境影响预测结论</w:t>
      </w:r>
    </w:p>
    <w:p w14:paraId="58396459" w14:textId="77777777" w:rsidR="00DD4CAB" w:rsidRPr="00633D32" w:rsidRDefault="00DD4CAB" w:rsidP="00633D32">
      <w:pPr>
        <w:spacing w:line="520" w:lineRule="exact"/>
        <w:ind w:firstLineChars="200" w:firstLine="480"/>
        <w:rPr>
          <w:rFonts w:ascii="Calibri"/>
          <w:bCs/>
          <w:color w:val="auto"/>
          <w:sz w:val="24"/>
        </w:rPr>
      </w:pPr>
      <w:r w:rsidRPr="00DD4CAB">
        <w:rPr>
          <w:rFonts w:ascii="Calibri"/>
          <w:bCs/>
          <w:color w:val="auto"/>
          <w:sz w:val="24"/>
        </w:rPr>
        <w:t>项目生产过程中涉及到的危险化学品有</w:t>
      </w:r>
      <w:r w:rsidR="00633D32" w:rsidRPr="00C23368">
        <w:rPr>
          <w:rFonts w:ascii="Calibri" w:hAnsi="Calibri"/>
          <w:color w:val="auto"/>
          <w:sz w:val="24"/>
        </w:rPr>
        <w:t>管道天然气、导热油、</w:t>
      </w:r>
      <w:r w:rsidR="00633D32">
        <w:rPr>
          <w:rFonts w:ascii="Calibri" w:hAnsi="Calibri" w:hint="eastAsia"/>
          <w:color w:val="auto"/>
          <w:sz w:val="24"/>
        </w:rPr>
        <w:t>机油、甲酸、</w:t>
      </w:r>
      <w:r w:rsidR="00633D32">
        <w:rPr>
          <w:rFonts w:ascii="Calibri" w:hAnsi="Calibri"/>
          <w:color w:val="auto"/>
          <w:sz w:val="24"/>
        </w:rPr>
        <w:t>盐酸</w:t>
      </w:r>
      <w:r w:rsidRPr="00DD4CAB">
        <w:rPr>
          <w:rFonts w:ascii="Calibri"/>
          <w:bCs/>
          <w:color w:val="auto"/>
          <w:sz w:val="24"/>
        </w:rPr>
        <w:t>等。经计算，企业</w:t>
      </w:r>
      <w:r w:rsidRPr="00DD4CAB">
        <w:rPr>
          <w:rFonts w:ascii="Calibri"/>
          <w:bCs/>
          <w:color w:val="auto"/>
          <w:sz w:val="24"/>
        </w:rPr>
        <w:t>Q</w:t>
      </w:r>
      <w:r w:rsidRPr="00DD4CAB">
        <w:rPr>
          <w:rFonts w:ascii="Calibri"/>
          <w:bCs/>
          <w:color w:val="auto"/>
          <w:sz w:val="24"/>
        </w:rPr>
        <w:t>值</w:t>
      </w:r>
      <w:r w:rsidRPr="00DD4CAB">
        <w:rPr>
          <w:rFonts w:ascii="Calibri" w:hint="eastAsia"/>
          <w:bCs/>
          <w:color w:val="auto"/>
          <w:sz w:val="24"/>
        </w:rPr>
        <w:t>小于</w:t>
      </w:r>
      <w:r w:rsidRPr="00DD4CAB">
        <w:rPr>
          <w:rFonts w:ascii="Calibri"/>
          <w:bCs/>
          <w:color w:val="auto"/>
          <w:sz w:val="24"/>
        </w:rPr>
        <w:t>1</w:t>
      </w:r>
      <w:r w:rsidRPr="00DD4CAB">
        <w:rPr>
          <w:rFonts w:ascii="Calibri"/>
          <w:bCs/>
          <w:color w:val="auto"/>
          <w:sz w:val="24"/>
        </w:rPr>
        <w:t>，该项目风险潜势为</w:t>
      </w:r>
      <w:r w:rsidRPr="00DD4CAB">
        <w:rPr>
          <w:rFonts w:ascii="Calibri"/>
          <w:bCs/>
          <w:color w:val="auto"/>
          <w:sz w:val="24"/>
        </w:rPr>
        <w:t>I</w:t>
      </w:r>
      <w:r w:rsidRPr="00DD4CAB">
        <w:rPr>
          <w:rFonts w:ascii="Calibri"/>
          <w:bCs/>
          <w:color w:val="auto"/>
          <w:sz w:val="24"/>
        </w:rPr>
        <w:t>，厂区整体风险较低。</w:t>
      </w:r>
    </w:p>
    <w:p w14:paraId="2CCB8AD7" w14:textId="77777777" w:rsidR="00DD4CAB" w:rsidRDefault="00DD4CAB" w:rsidP="00DD4CAB">
      <w:pPr>
        <w:spacing w:line="520" w:lineRule="exact"/>
        <w:ind w:firstLineChars="200" w:firstLine="480"/>
        <w:rPr>
          <w:sz w:val="24"/>
        </w:rPr>
      </w:pPr>
      <w:r w:rsidRPr="00004CED">
        <w:rPr>
          <w:rFonts w:hint="eastAsia"/>
          <w:sz w:val="24"/>
        </w:rPr>
        <w:t>本项目存在管道天然气的泄漏风险和污水站停运风险，</w:t>
      </w:r>
      <w:r>
        <w:rPr>
          <w:rFonts w:hint="eastAsia"/>
          <w:sz w:val="24"/>
        </w:rPr>
        <w:t>本项目使用</w:t>
      </w:r>
      <w:r w:rsidRPr="00004CED">
        <w:rPr>
          <w:rFonts w:hint="eastAsia"/>
          <w:sz w:val="24"/>
        </w:rPr>
        <w:t>设计规范及安全要求进行厂房设计、设备布局和生产管理，完善环保设施建设等多方面防护措施，加强风险管理，通过相应的技术手段降低风险发生概率，并在风险事故发生后，及时采取风险防范措施及应急预案，可以使风险事故对环境的危害得到有效控制。因此，在确保各项风险防范措施得到有效实施的情况下，本项目环境风险处于可接受水平，从环境风险角度而言是可行的。</w:t>
      </w:r>
    </w:p>
    <w:p w14:paraId="179A3226" w14:textId="77777777" w:rsidR="00C437C4" w:rsidRPr="00A964FF" w:rsidRDefault="00C437C4" w:rsidP="00C437C4">
      <w:pPr>
        <w:pStyle w:val="00"/>
        <w:rPr>
          <w:rFonts w:ascii="Calibri" w:hAnsi="Calibri"/>
          <w:color w:val="auto"/>
        </w:rPr>
      </w:pPr>
      <w:r w:rsidRPr="00A964FF">
        <w:rPr>
          <w:rFonts w:ascii="Calibri" w:hAnsi="Calibri"/>
          <w:color w:val="auto"/>
        </w:rPr>
        <w:t>本项目运营期</w:t>
      </w:r>
      <w:r w:rsidR="000E1844" w:rsidRPr="00A964FF">
        <w:rPr>
          <w:rFonts w:ascii="Calibri" w:hAnsi="Calibri" w:hint="eastAsia"/>
          <w:color w:val="auto"/>
        </w:rPr>
        <w:t>企业</w:t>
      </w:r>
      <w:r w:rsidRPr="00A964FF">
        <w:rPr>
          <w:rFonts w:ascii="Calibri" w:hAnsi="Calibri" w:hint="eastAsia"/>
          <w:color w:val="auto"/>
        </w:rPr>
        <w:t>自建废水</w:t>
      </w:r>
      <w:r w:rsidRPr="00A964FF">
        <w:rPr>
          <w:rFonts w:ascii="Calibri" w:hAnsi="Calibri"/>
          <w:color w:val="auto"/>
        </w:rPr>
        <w:t>处理站</w:t>
      </w:r>
      <w:r w:rsidR="000E1844" w:rsidRPr="00A964FF">
        <w:rPr>
          <w:rFonts w:ascii="Calibri" w:hAnsi="Calibri" w:hint="eastAsia"/>
          <w:color w:val="auto"/>
        </w:rPr>
        <w:t>，厂区废水经废水处理站处理达标后</w:t>
      </w:r>
      <w:r w:rsidRPr="00A964FF">
        <w:rPr>
          <w:rFonts w:ascii="Calibri" w:hAnsi="Calibri"/>
          <w:color w:val="auto"/>
        </w:rPr>
        <w:t>排入</w:t>
      </w:r>
      <w:r w:rsidR="00B12363" w:rsidRPr="00A964FF">
        <w:rPr>
          <w:rFonts w:ascii="Calibri" w:hAnsi="Calibri" w:hint="eastAsia"/>
          <w:color w:val="auto"/>
        </w:rPr>
        <w:t>集聚区</w:t>
      </w:r>
      <w:r w:rsidRPr="00A964FF">
        <w:rPr>
          <w:rFonts w:ascii="Calibri" w:hAnsi="Calibri"/>
          <w:color w:val="auto"/>
        </w:rPr>
        <w:t>处理厂</w:t>
      </w:r>
      <w:r w:rsidRPr="00A964FF">
        <w:rPr>
          <w:rFonts w:ascii="Calibri" w:hAnsi="Calibri" w:hint="eastAsia"/>
          <w:color w:val="auto"/>
        </w:rPr>
        <w:t>集中处理</w:t>
      </w:r>
      <w:r w:rsidRPr="00A964FF">
        <w:rPr>
          <w:rFonts w:ascii="Calibri" w:hAnsi="Calibri"/>
          <w:color w:val="auto"/>
        </w:rPr>
        <w:t>。本项目</w:t>
      </w:r>
      <w:r w:rsidR="000E1844" w:rsidRPr="00A964FF">
        <w:rPr>
          <w:rFonts w:ascii="Calibri" w:hAnsi="Calibri" w:hint="eastAsia"/>
          <w:color w:val="auto"/>
        </w:rPr>
        <w:t>设计事故</w:t>
      </w:r>
      <w:r w:rsidRPr="00A964FF">
        <w:rPr>
          <w:rFonts w:ascii="Calibri" w:hAnsi="Calibri" w:hint="eastAsia"/>
          <w:color w:val="auto"/>
        </w:rPr>
        <w:t>池</w:t>
      </w:r>
      <w:r w:rsidR="00DD4CAB">
        <w:rPr>
          <w:rFonts w:ascii="Calibri" w:hAnsi="Calibri"/>
          <w:color w:val="auto"/>
        </w:rPr>
        <w:t>500</w:t>
      </w:r>
      <w:r w:rsidRPr="00A964FF">
        <w:rPr>
          <w:rFonts w:ascii="Calibri" w:hAnsi="Calibri"/>
          <w:color w:val="auto"/>
        </w:rPr>
        <w:t>m</w:t>
      </w:r>
      <w:r w:rsidRPr="00A964FF">
        <w:rPr>
          <w:rFonts w:ascii="Calibri" w:hAnsi="Calibri"/>
          <w:color w:val="auto"/>
          <w:vertAlign w:val="superscript"/>
        </w:rPr>
        <w:t>3</w:t>
      </w:r>
      <w:r w:rsidRPr="00A964FF">
        <w:rPr>
          <w:rFonts w:ascii="Calibri" w:hAnsi="Calibri"/>
          <w:color w:val="auto"/>
        </w:rPr>
        <w:t>，可满足事故</w:t>
      </w:r>
      <w:r w:rsidR="000E1844" w:rsidRPr="00A964FF">
        <w:rPr>
          <w:rFonts w:ascii="Calibri" w:hAnsi="Calibri" w:hint="eastAsia"/>
          <w:color w:val="auto"/>
        </w:rPr>
        <w:t>废水</w:t>
      </w:r>
      <w:r w:rsidRPr="00A964FF">
        <w:rPr>
          <w:rFonts w:ascii="Calibri" w:hAnsi="Calibri"/>
          <w:color w:val="auto"/>
        </w:rPr>
        <w:t>的</w:t>
      </w:r>
      <w:r w:rsidR="000E1844" w:rsidRPr="00A964FF">
        <w:rPr>
          <w:rFonts w:ascii="Calibri" w:hAnsi="Calibri" w:hint="eastAsia"/>
          <w:color w:val="auto"/>
        </w:rPr>
        <w:t>收集和</w:t>
      </w:r>
      <w:r w:rsidRPr="00A964FF">
        <w:rPr>
          <w:rFonts w:ascii="Calibri" w:hAnsi="Calibri"/>
          <w:color w:val="auto"/>
        </w:rPr>
        <w:t>储存要求。</w:t>
      </w:r>
      <w:r w:rsidR="000E1844" w:rsidRPr="00A964FF">
        <w:rPr>
          <w:rFonts w:ascii="Calibri" w:hAnsi="Calibri" w:hint="eastAsia"/>
          <w:color w:val="auto"/>
        </w:rPr>
        <w:t>评价</w:t>
      </w:r>
      <w:r w:rsidRPr="00A964FF">
        <w:rPr>
          <w:rFonts w:ascii="Calibri" w:hAnsi="Calibri"/>
          <w:color w:val="auto"/>
        </w:rPr>
        <w:t>要求事故池作防腐防渗处理，在生产区和</w:t>
      </w:r>
      <w:r w:rsidR="00DD4CAB">
        <w:rPr>
          <w:rFonts w:ascii="Calibri" w:hAnsi="Calibri" w:hint="eastAsia"/>
          <w:color w:val="auto"/>
        </w:rPr>
        <w:t>液体原料</w:t>
      </w:r>
      <w:r w:rsidR="00DD4CAB">
        <w:rPr>
          <w:rFonts w:ascii="Calibri" w:hAnsi="Calibri"/>
          <w:color w:val="auto"/>
        </w:rPr>
        <w:t>储罐区</w:t>
      </w:r>
      <w:r w:rsidRPr="00A964FF">
        <w:rPr>
          <w:rFonts w:ascii="Calibri" w:hAnsi="Calibri"/>
          <w:color w:val="auto"/>
        </w:rPr>
        <w:t>设置导流槽，对泄漏的废液和事故废水进行收集，在装卸区周边设有地面冲洗水收集管道，兼作事故废水收集管道，初期雨水设置截留导流系统，可保证事故废水有效收集并得到妥善处理，因此地表水环境风险事故发生概率较小。</w:t>
      </w:r>
    </w:p>
    <w:p w14:paraId="11829FB1" w14:textId="77777777" w:rsidR="00C437C4" w:rsidRPr="00A964FF" w:rsidRDefault="00C437C4" w:rsidP="0055605A">
      <w:pPr>
        <w:pStyle w:val="00"/>
        <w:rPr>
          <w:rFonts w:ascii="Calibri" w:hAnsi="Calibri"/>
          <w:noProof/>
          <w:color w:val="auto"/>
        </w:rPr>
      </w:pPr>
      <w:r w:rsidRPr="00A964FF">
        <w:rPr>
          <w:rFonts w:ascii="Calibri" w:hAnsi="Calibri" w:hint="eastAsia"/>
          <w:noProof/>
          <w:color w:val="auto"/>
        </w:rPr>
        <w:lastRenderedPageBreak/>
        <w:t>（</w:t>
      </w:r>
      <w:r w:rsidRPr="00A964FF">
        <w:rPr>
          <w:rFonts w:ascii="Calibri" w:hAnsi="Calibri" w:hint="eastAsia"/>
          <w:noProof/>
          <w:color w:val="auto"/>
        </w:rPr>
        <w:t>7</w:t>
      </w:r>
      <w:r w:rsidRPr="00A964FF">
        <w:rPr>
          <w:rFonts w:ascii="Calibri" w:hAnsi="Calibri" w:hint="eastAsia"/>
          <w:noProof/>
          <w:color w:val="auto"/>
        </w:rPr>
        <w:t>）土壤影响预测结论</w:t>
      </w:r>
    </w:p>
    <w:p w14:paraId="5B351281" w14:textId="77777777" w:rsidR="00C437C4" w:rsidRPr="00A964FF" w:rsidRDefault="00C437C4" w:rsidP="00DD4CAB">
      <w:pPr>
        <w:pStyle w:val="00"/>
        <w:rPr>
          <w:rFonts w:ascii="Calibri" w:hAnsi="Calibri"/>
          <w:color w:val="auto"/>
        </w:rPr>
      </w:pPr>
      <w:r w:rsidRPr="00A964FF">
        <w:rPr>
          <w:rFonts w:ascii="Calibri" w:hAnsi="Calibri" w:hint="eastAsia"/>
          <w:color w:val="auto"/>
        </w:rPr>
        <w:t>根据土壤预测可知，</w:t>
      </w:r>
      <w:r w:rsidR="00DD4CAB">
        <w:rPr>
          <w:rFonts w:ascii="Calibri" w:hAnsi="Calibri" w:hint="eastAsia"/>
          <w:color w:val="auto"/>
        </w:rPr>
        <w:t>本项目</w:t>
      </w:r>
      <w:r w:rsidR="00DD4CAB">
        <w:rPr>
          <w:rFonts w:ascii="Calibri" w:hAnsi="Calibri"/>
          <w:color w:val="auto"/>
        </w:rPr>
        <w:t>不涉及大气沉降，仅涉及</w:t>
      </w:r>
      <w:r w:rsidR="00DD4CAB">
        <w:rPr>
          <w:rFonts w:ascii="Calibri" w:hAnsi="Calibri" w:hint="eastAsia"/>
          <w:color w:val="auto"/>
        </w:rPr>
        <w:t>垂直</w:t>
      </w:r>
      <w:r w:rsidR="000E1844" w:rsidRPr="00A964FF">
        <w:rPr>
          <w:rFonts w:ascii="Calibri" w:hAnsi="Calibri" w:hint="eastAsia"/>
          <w:color w:val="auto"/>
        </w:rPr>
        <w:t>入渗污染物</w:t>
      </w:r>
      <w:r w:rsidR="0059590E" w:rsidRPr="00A964FF">
        <w:rPr>
          <w:rFonts w:ascii="Calibri" w:hAnsi="Times New Roman" w:hint="eastAsia"/>
          <w:color w:val="auto"/>
        </w:rPr>
        <w:t>石油烃</w:t>
      </w:r>
      <w:r w:rsidR="000E1844" w:rsidRPr="00A964FF">
        <w:rPr>
          <w:rFonts w:ascii="Calibri" w:hAnsi="Calibri" w:hint="eastAsia"/>
          <w:color w:val="auto"/>
        </w:rPr>
        <w:t>，经过</w:t>
      </w:r>
      <w:r w:rsidR="000E1844" w:rsidRPr="00A964FF">
        <w:rPr>
          <w:rFonts w:ascii="Calibri" w:hAnsi="Calibri" w:hint="eastAsia"/>
          <w:color w:val="auto"/>
        </w:rPr>
        <w:t>20</w:t>
      </w:r>
      <w:r w:rsidR="000E1844" w:rsidRPr="00A964FF">
        <w:rPr>
          <w:rFonts w:ascii="Calibri" w:hAnsi="Calibri" w:hint="eastAsia"/>
          <w:color w:val="auto"/>
        </w:rPr>
        <w:t>年的积累，对建设项目周边土壤的贡献增量很小，</w:t>
      </w:r>
      <w:r w:rsidR="00B12363" w:rsidRPr="00A964FF">
        <w:rPr>
          <w:rFonts w:ascii="Calibri" w:hAnsi="Calibri" w:hint="eastAsia"/>
          <w:color w:val="auto"/>
        </w:rPr>
        <w:t>预测值</w:t>
      </w:r>
      <w:r w:rsidR="000E1844" w:rsidRPr="00A964FF">
        <w:rPr>
          <w:rFonts w:ascii="Calibri" w:hAnsi="Calibri" w:hint="eastAsia"/>
          <w:color w:val="auto"/>
        </w:rPr>
        <w:t>可以满足《土壤环境质量</w:t>
      </w:r>
      <w:r w:rsidR="000E1844" w:rsidRPr="00A964FF">
        <w:rPr>
          <w:rFonts w:ascii="Calibri" w:hAnsi="Calibri" w:hint="eastAsia"/>
          <w:color w:val="auto"/>
        </w:rPr>
        <w:t xml:space="preserve">  </w:t>
      </w:r>
      <w:r w:rsidR="000E1844" w:rsidRPr="00A964FF">
        <w:rPr>
          <w:rFonts w:ascii="Calibri" w:hAnsi="Calibri" w:hint="eastAsia"/>
          <w:color w:val="auto"/>
        </w:rPr>
        <w:t>建设用地土壤污染风险管控标准（试行）》（</w:t>
      </w:r>
      <w:r w:rsidR="000E1844" w:rsidRPr="00A964FF">
        <w:rPr>
          <w:rFonts w:ascii="Calibri" w:hAnsi="Calibri" w:hint="eastAsia"/>
          <w:color w:val="auto"/>
        </w:rPr>
        <w:t>GB36600-2018</w:t>
      </w:r>
      <w:r w:rsidR="000E1844" w:rsidRPr="00A964FF">
        <w:rPr>
          <w:rFonts w:ascii="Calibri" w:hAnsi="Calibri" w:hint="eastAsia"/>
          <w:color w:val="auto"/>
        </w:rPr>
        <w:t>）</w:t>
      </w:r>
      <w:r w:rsidR="00B12363" w:rsidRPr="00A964FF">
        <w:rPr>
          <w:rFonts w:ascii="Calibri" w:hAnsi="Calibri" w:hint="eastAsia"/>
          <w:color w:val="auto"/>
        </w:rPr>
        <w:t>中</w:t>
      </w:r>
      <w:r w:rsidR="000E1844" w:rsidRPr="00A964FF">
        <w:rPr>
          <w:rFonts w:ascii="Calibri" w:hAnsi="Calibri" w:hint="eastAsia"/>
          <w:color w:val="auto"/>
        </w:rPr>
        <w:t>筛选值标准限值要求，项目对土壤环境影响可接受。</w:t>
      </w:r>
    </w:p>
    <w:p w14:paraId="1E13CA76" w14:textId="77777777" w:rsidR="0055605A" w:rsidRPr="00A964FF" w:rsidRDefault="0055605A" w:rsidP="0055605A">
      <w:pPr>
        <w:pStyle w:val="2"/>
        <w:spacing w:before="200" w:after="100"/>
        <w:rPr>
          <w:rFonts w:ascii="Calibri" w:hAnsi="Calibri"/>
          <w:bCs/>
          <w:color w:val="auto"/>
          <w:szCs w:val="28"/>
        </w:rPr>
      </w:pPr>
      <w:bookmarkStart w:id="104" w:name="_Toc112999939"/>
      <w:r w:rsidRPr="00A964FF">
        <w:rPr>
          <w:rFonts w:ascii="Calibri" w:hAnsi="Calibri"/>
          <w:bCs/>
          <w:color w:val="auto"/>
          <w:szCs w:val="28"/>
        </w:rPr>
        <w:t>8.</w:t>
      </w:r>
      <w:r w:rsidRPr="00A964FF">
        <w:rPr>
          <w:rFonts w:ascii="Calibri" w:hAnsi="Calibri" w:hint="eastAsia"/>
          <w:bCs/>
          <w:color w:val="auto"/>
          <w:szCs w:val="28"/>
        </w:rPr>
        <w:t>5</w:t>
      </w:r>
      <w:r w:rsidRPr="00A964FF">
        <w:rPr>
          <w:rFonts w:ascii="Calibri" w:hAnsi="Calibri" w:hint="eastAsia"/>
          <w:bCs/>
          <w:color w:val="auto"/>
          <w:szCs w:val="28"/>
        </w:rPr>
        <w:t>环境保护措施结论</w:t>
      </w:r>
      <w:bookmarkEnd w:id="104"/>
    </w:p>
    <w:p w14:paraId="784AE469"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color w:val="auto"/>
        </w:rPr>
        <w:t>1</w:t>
      </w:r>
      <w:r w:rsidRPr="00A964FF">
        <w:rPr>
          <w:rFonts w:ascii="Calibri" w:hAnsi="Calibri"/>
          <w:color w:val="auto"/>
        </w:rPr>
        <w:t>）废气污染防治措施</w:t>
      </w:r>
    </w:p>
    <w:p w14:paraId="76DCBB0B" w14:textId="1CF88139" w:rsidR="00364EBD" w:rsidRPr="00364EBD" w:rsidRDefault="00A06A90" w:rsidP="00364EBD">
      <w:pPr>
        <w:pStyle w:val="00"/>
        <w:ind w:firstLineChars="250" w:firstLine="600"/>
        <w:rPr>
          <w:rFonts w:ascii="Calibri" w:hAnsi="Calibri"/>
        </w:rPr>
      </w:pPr>
      <w:r w:rsidRPr="00A06A90">
        <w:rPr>
          <w:rFonts w:asciiTheme="minorHAnsi" w:hAnsiTheme="minorHAnsi" w:hint="eastAsia"/>
          <w:szCs w:val="28"/>
        </w:rPr>
        <w:t>聚合及聚合釜下料废气</w:t>
      </w:r>
      <w:r w:rsidR="00DD4CAB" w:rsidRPr="00DD4CAB">
        <w:rPr>
          <w:rFonts w:asciiTheme="minorHAnsi" w:hAnsiTheme="minorHAnsi"/>
          <w:szCs w:val="28"/>
        </w:rPr>
        <w:t>：</w:t>
      </w:r>
      <w:r w:rsidR="00364EBD" w:rsidRPr="00364EBD">
        <w:rPr>
          <w:rFonts w:ascii="Calibri" w:hAnsi="Calibri" w:hint="eastAsia"/>
          <w:color w:val="auto"/>
        </w:rPr>
        <w:t>本项目</w:t>
      </w:r>
      <w:r w:rsidR="00364EBD" w:rsidRPr="00364EBD">
        <w:rPr>
          <w:rFonts w:ascii="Calibri" w:hAnsi="Calibri"/>
          <w:color w:val="auto"/>
        </w:rPr>
        <w:t>一期工程</w:t>
      </w:r>
      <w:r w:rsidR="00364EBD" w:rsidRPr="00364EBD">
        <w:rPr>
          <w:rFonts w:ascii="Calibri" w:hAnsi="Calibri" w:hint="eastAsia"/>
          <w:color w:val="auto"/>
        </w:rPr>
        <w:t>引至水喷淋</w:t>
      </w:r>
      <w:r w:rsidR="00364EBD" w:rsidRPr="00364EBD">
        <w:rPr>
          <w:rFonts w:ascii="Calibri" w:hAnsi="Calibri" w:hint="eastAsia"/>
          <w:color w:val="auto"/>
        </w:rPr>
        <w:t>+</w:t>
      </w:r>
      <w:r w:rsidR="00364EBD" w:rsidRPr="00364EBD">
        <w:rPr>
          <w:rFonts w:ascii="Calibri" w:hAnsi="Calibri" w:hint="eastAsia"/>
          <w:color w:val="auto"/>
        </w:rPr>
        <w:t>活性炭吸附装置，</w:t>
      </w:r>
      <w:r w:rsidR="00364EBD" w:rsidRPr="00364EBD">
        <w:rPr>
          <w:rFonts w:ascii="Calibri" w:hAnsi="Calibri"/>
          <w:color w:val="auto"/>
        </w:rPr>
        <w:t>该</w:t>
      </w:r>
      <w:r w:rsidR="00364EBD" w:rsidRPr="00364EBD">
        <w:rPr>
          <w:rFonts w:ascii="Calibri" w:hAnsi="Calibri" w:hint="eastAsia"/>
          <w:color w:val="auto"/>
        </w:rPr>
        <w:t>装置风机</w:t>
      </w:r>
      <w:r w:rsidR="00364EBD" w:rsidRPr="00364EBD">
        <w:rPr>
          <w:rFonts w:ascii="Calibri" w:hAnsi="Calibri"/>
          <w:color w:val="auto"/>
        </w:rPr>
        <w:t>风量为</w:t>
      </w:r>
      <w:r w:rsidR="00364EBD" w:rsidRPr="00364EBD">
        <w:rPr>
          <w:rFonts w:ascii="Calibri" w:hAnsi="Calibri"/>
          <w:color w:val="auto"/>
        </w:rPr>
        <w:t>3000m</w:t>
      </w:r>
      <w:r w:rsidR="00364EBD" w:rsidRPr="00026202">
        <w:rPr>
          <w:rFonts w:ascii="Calibri" w:hAnsi="Calibri"/>
          <w:color w:val="auto"/>
          <w:vertAlign w:val="superscript"/>
        </w:rPr>
        <w:t>3</w:t>
      </w:r>
      <w:r w:rsidR="00364EBD" w:rsidRPr="00364EBD">
        <w:rPr>
          <w:rFonts w:ascii="Calibri" w:hAnsi="Calibri"/>
          <w:color w:val="auto"/>
        </w:rPr>
        <w:t>/h</w:t>
      </w:r>
      <w:r w:rsidR="00364EBD" w:rsidRPr="00364EBD">
        <w:rPr>
          <w:rFonts w:ascii="Calibri" w:hAnsi="Calibri" w:hint="eastAsia"/>
          <w:color w:val="auto"/>
        </w:rPr>
        <w:t>，对</w:t>
      </w:r>
      <w:r w:rsidR="00364EBD" w:rsidRPr="00364EBD">
        <w:rPr>
          <w:rFonts w:ascii="Calibri" w:hAnsi="Calibri"/>
          <w:color w:val="auto"/>
        </w:rPr>
        <w:t>己二胺</w:t>
      </w:r>
      <w:r w:rsidR="00364EBD" w:rsidRPr="00364EBD">
        <w:rPr>
          <w:rFonts w:ascii="Calibri" w:hAnsi="Calibri" w:hint="eastAsia"/>
          <w:color w:val="auto"/>
        </w:rPr>
        <w:t>去除效率</w:t>
      </w:r>
      <w:r w:rsidR="00364EBD" w:rsidRPr="00364EBD">
        <w:rPr>
          <w:rFonts w:ascii="Calibri" w:hAnsi="Calibri"/>
          <w:color w:val="auto"/>
        </w:rPr>
        <w:t>为</w:t>
      </w:r>
      <w:r w:rsidR="00364EBD" w:rsidRPr="00364EBD">
        <w:rPr>
          <w:rFonts w:ascii="Calibri" w:hAnsi="Calibri" w:hint="eastAsia"/>
          <w:color w:val="auto"/>
        </w:rPr>
        <w:t>90%</w:t>
      </w:r>
      <w:r w:rsidR="00364EBD" w:rsidRPr="00364EBD">
        <w:rPr>
          <w:rFonts w:ascii="Calibri" w:hAnsi="Calibri" w:hint="eastAsia"/>
          <w:color w:val="auto"/>
        </w:rPr>
        <w:t>，己二酸</w:t>
      </w:r>
      <w:r w:rsidR="00364EBD" w:rsidRPr="00364EBD">
        <w:rPr>
          <w:rFonts w:ascii="Calibri" w:hAnsi="Calibri"/>
          <w:color w:val="auto"/>
        </w:rPr>
        <w:t>去除</w:t>
      </w:r>
      <w:r w:rsidR="00364EBD" w:rsidRPr="00364EBD">
        <w:rPr>
          <w:rFonts w:ascii="Calibri" w:hAnsi="Calibri" w:hint="eastAsia"/>
          <w:color w:val="auto"/>
        </w:rPr>
        <w:t>效率</w:t>
      </w:r>
      <w:r w:rsidR="00364EBD" w:rsidRPr="00364EBD">
        <w:rPr>
          <w:rFonts w:ascii="Calibri" w:hAnsi="Calibri"/>
          <w:color w:val="auto"/>
        </w:rPr>
        <w:t>为</w:t>
      </w:r>
      <w:r w:rsidR="00364EBD" w:rsidRPr="00364EBD">
        <w:rPr>
          <w:rFonts w:ascii="Calibri" w:hAnsi="Calibri" w:hint="eastAsia"/>
          <w:color w:val="auto"/>
        </w:rPr>
        <w:t>90%</w:t>
      </w:r>
      <w:r w:rsidR="00364EBD" w:rsidRPr="00364EBD">
        <w:rPr>
          <w:rFonts w:ascii="Calibri" w:hAnsi="Calibri" w:hint="eastAsia"/>
          <w:color w:val="auto"/>
        </w:rPr>
        <w:t>，对</w:t>
      </w:r>
      <w:r w:rsidR="00364EBD" w:rsidRPr="00364EBD">
        <w:rPr>
          <w:rFonts w:ascii="Calibri" w:hAnsi="Calibri"/>
          <w:color w:val="auto"/>
        </w:rPr>
        <w:t>非甲烷</w:t>
      </w:r>
      <w:r w:rsidR="00364EBD" w:rsidRPr="00364EBD">
        <w:rPr>
          <w:rFonts w:ascii="Calibri" w:hAnsi="Calibri" w:hint="eastAsia"/>
          <w:color w:val="auto"/>
        </w:rPr>
        <w:t>总烃</w:t>
      </w:r>
      <w:r w:rsidR="00364EBD" w:rsidRPr="00364EBD">
        <w:rPr>
          <w:rFonts w:ascii="Calibri" w:hAnsi="Calibri"/>
          <w:color w:val="auto"/>
        </w:rPr>
        <w:t>去除效率</w:t>
      </w:r>
      <w:r w:rsidR="00364EBD" w:rsidRPr="00364EBD">
        <w:rPr>
          <w:rFonts w:ascii="Calibri" w:hAnsi="Calibri" w:hint="eastAsia"/>
          <w:color w:val="auto"/>
        </w:rPr>
        <w:t>90%</w:t>
      </w:r>
      <w:r w:rsidR="00364EBD" w:rsidRPr="00364EBD">
        <w:rPr>
          <w:rFonts w:ascii="Calibri" w:hAnsi="Calibri" w:hint="eastAsia"/>
          <w:color w:val="auto"/>
        </w:rPr>
        <w:t>，</w:t>
      </w:r>
      <w:r w:rsidR="00364EBD" w:rsidRPr="00364EBD">
        <w:rPr>
          <w:rFonts w:ascii="Calibri" w:hAnsi="Calibri"/>
          <w:color w:val="auto"/>
        </w:rPr>
        <w:t>对氨气去除效率</w:t>
      </w:r>
      <w:r w:rsidR="00364EBD" w:rsidRPr="00364EBD">
        <w:rPr>
          <w:rFonts w:ascii="Calibri" w:hAnsi="Calibri" w:hint="eastAsia"/>
          <w:color w:val="auto"/>
        </w:rPr>
        <w:t>70%</w:t>
      </w:r>
      <w:r w:rsidR="00364EBD" w:rsidRPr="00364EBD">
        <w:rPr>
          <w:rFonts w:ascii="Calibri" w:hAnsi="Calibri" w:hint="eastAsia"/>
          <w:color w:val="auto"/>
        </w:rPr>
        <w:t>，</w:t>
      </w:r>
      <w:r w:rsidR="00364EBD" w:rsidRPr="00364EBD">
        <w:rPr>
          <w:rFonts w:ascii="Calibri" w:hAnsi="Calibri"/>
          <w:color w:val="auto"/>
        </w:rPr>
        <w:t>经处理后</w:t>
      </w:r>
      <w:r w:rsidR="00364EBD" w:rsidRPr="00364EBD">
        <w:rPr>
          <w:rFonts w:ascii="Calibri" w:hAnsi="Calibri" w:hint="eastAsia"/>
          <w:color w:val="auto"/>
        </w:rPr>
        <w:t>己二胺排放浓度为</w:t>
      </w:r>
      <w:r w:rsidR="00364EBD" w:rsidRPr="00364EBD">
        <w:rPr>
          <w:rFonts w:ascii="Calibri" w:hAnsi="Calibri"/>
          <w:color w:val="auto"/>
        </w:rPr>
        <w:t>10.14mg/m</w:t>
      </w:r>
      <w:r w:rsidR="00364EBD" w:rsidRPr="00364EBD">
        <w:rPr>
          <w:rFonts w:ascii="Calibri" w:hAnsi="Calibri"/>
          <w:color w:val="auto"/>
          <w:vertAlign w:val="superscript"/>
        </w:rPr>
        <w:t>3</w:t>
      </w:r>
      <w:r w:rsidR="00364EBD" w:rsidRPr="00364EBD">
        <w:rPr>
          <w:rFonts w:ascii="Calibri" w:hAnsi="Calibri" w:hint="eastAsia"/>
          <w:color w:val="auto"/>
        </w:rPr>
        <w:t>，己二酸排放浓度为</w:t>
      </w:r>
      <w:r w:rsidR="00364EBD" w:rsidRPr="00364EBD">
        <w:rPr>
          <w:rFonts w:ascii="Calibri" w:hAnsi="Calibri"/>
          <w:color w:val="auto"/>
        </w:rPr>
        <w:t>1.57mg/m</w:t>
      </w:r>
      <w:r w:rsidR="00364EBD" w:rsidRPr="00364EBD">
        <w:rPr>
          <w:rFonts w:ascii="Calibri" w:hAnsi="Calibri"/>
          <w:color w:val="auto"/>
          <w:vertAlign w:val="superscript"/>
        </w:rPr>
        <w:t>3</w:t>
      </w:r>
      <w:r w:rsidR="00364EBD" w:rsidRPr="00364EBD">
        <w:rPr>
          <w:rFonts w:ascii="Calibri" w:hAnsi="Calibri" w:hint="eastAsia"/>
          <w:color w:val="auto"/>
        </w:rPr>
        <w:t>，非甲烷</w:t>
      </w:r>
      <w:r w:rsidR="00364EBD" w:rsidRPr="00364EBD">
        <w:rPr>
          <w:rFonts w:ascii="Calibri" w:hAnsi="Calibri"/>
          <w:color w:val="auto"/>
        </w:rPr>
        <w:t>总烃</w:t>
      </w:r>
      <w:r w:rsidR="00364EBD" w:rsidRPr="00364EBD">
        <w:rPr>
          <w:rFonts w:ascii="Calibri" w:hAnsi="Calibri" w:hint="eastAsia"/>
          <w:color w:val="auto"/>
        </w:rPr>
        <w:t>排放</w:t>
      </w:r>
      <w:r w:rsidR="00364EBD" w:rsidRPr="00364EBD">
        <w:rPr>
          <w:rFonts w:ascii="Calibri" w:hAnsi="Calibri"/>
          <w:color w:val="auto"/>
        </w:rPr>
        <w:t>浓度为</w:t>
      </w:r>
      <w:r w:rsidR="00364EBD" w:rsidRPr="00364EBD">
        <w:rPr>
          <w:rFonts w:ascii="Calibri" w:hAnsi="Calibri"/>
          <w:color w:val="auto"/>
        </w:rPr>
        <w:t>15.28mg/m</w:t>
      </w:r>
      <w:r w:rsidR="00364EBD" w:rsidRPr="00364EBD">
        <w:rPr>
          <w:rFonts w:ascii="Calibri" w:hAnsi="Calibri"/>
          <w:color w:val="auto"/>
          <w:vertAlign w:val="superscript"/>
        </w:rPr>
        <w:t>3</w:t>
      </w:r>
      <w:r w:rsidR="00364EBD" w:rsidRPr="00364EBD">
        <w:rPr>
          <w:rFonts w:ascii="Calibri" w:hAnsi="Calibri" w:hint="eastAsia"/>
          <w:color w:val="auto"/>
        </w:rPr>
        <w:t>，氨气</w:t>
      </w:r>
      <w:r w:rsidR="00364EBD" w:rsidRPr="00364EBD">
        <w:rPr>
          <w:rFonts w:ascii="Calibri" w:hAnsi="Calibri"/>
          <w:color w:val="auto"/>
        </w:rPr>
        <w:t>排放浓度为</w:t>
      </w:r>
      <w:r w:rsidR="00364EBD" w:rsidRPr="00364EBD">
        <w:rPr>
          <w:rFonts w:ascii="Calibri" w:hAnsi="Calibri" w:hint="eastAsia"/>
          <w:color w:val="auto"/>
        </w:rPr>
        <w:t>0.</w:t>
      </w:r>
      <w:r w:rsidR="00364EBD" w:rsidRPr="00364EBD">
        <w:rPr>
          <w:rFonts w:ascii="Calibri" w:hAnsi="Calibri"/>
          <w:color w:val="auto"/>
        </w:rPr>
        <w:t>14mg/m</w:t>
      </w:r>
      <w:r w:rsidR="00364EBD" w:rsidRPr="00364EBD">
        <w:rPr>
          <w:rFonts w:ascii="Calibri" w:hAnsi="Calibri"/>
          <w:color w:val="auto"/>
          <w:vertAlign w:val="superscript"/>
        </w:rPr>
        <w:t>3</w:t>
      </w:r>
      <w:r w:rsidR="00364EBD" w:rsidRPr="00364EBD">
        <w:rPr>
          <w:rFonts w:ascii="Calibri" w:hAnsi="Calibri" w:hint="eastAsia"/>
          <w:color w:val="auto"/>
        </w:rPr>
        <w:t>；二期</w:t>
      </w:r>
      <w:r w:rsidR="00364EBD" w:rsidRPr="00364EBD">
        <w:rPr>
          <w:rFonts w:ascii="Calibri" w:hAnsi="Calibri"/>
          <w:color w:val="auto"/>
        </w:rPr>
        <w:t>工程</w:t>
      </w:r>
      <w:r w:rsidR="00364EBD" w:rsidRPr="00364EBD">
        <w:rPr>
          <w:rFonts w:ascii="Calibri" w:hAnsi="Calibri" w:hint="eastAsia"/>
          <w:color w:val="auto"/>
        </w:rPr>
        <w:t>和一期</w:t>
      </w:r>
      <w:r w:rsidR="00364EBD" w:rsidRPr="00364EBD">
        <w:rPr>
          <w:rFonts w:ascii="Calibri" w:hAnsi="Calibri"/>
          <w:color w:val="auto"/>
        </w:rPr>
        <w:t>工程</w:t>
      </w:r>
      <w:r w:rsidR="00364EBD" w:rsidRPr="00364EBD">
        <w:rPr>
          <w:rFonts w:ascii="Calibri" w:hAnsi="Calibri" w:hint="eastAsia"/>
          <w:color w:val="auto"/>
        </w:rPr>
        <w:t>共用一套</w:t>
      </w:r>
      <w:r w:rsidR="00364EBD" w:rsidRPr="00364EBD">
        <w:rPr>
          <w:rFonts w:ascii="Calibri" w:hAnsi="Calibri"/>
          <w:color w:val="auto"/>
        </w:rPr>
        <w:t>废气</w:t>
      </w:r>
      <w:r w:rsidR="00364EBD" w:rsidRPr="00364EBD">
        <w:rPr>
          <w:rFonts w:ascii="Calibri" w:hAnsi="Calibri" w:hint="eastAsia"/>
          <w:color w:val="auto"/>
        </w:rPr>
        <w:t>处理设施</w:t>
      </w:r>
      <w:r w:rsidR="00364EBD" w:rsidRPr="00364EBD">
        <w:rPr>
          <w:rFonts w:ascii="Calibri" w:hAnsi="Calibri"/>
          <w:color w:val="auto"/>
        </w:rPr>
        <w:t>，</w:t>
      </w:r>
      <w:r w:rsidR="00364EBD" w:rsidRPr="00364EBD">
        <w:rPr>
          <w:rFonts w:ascii="Calibri" w:hAnsi="Calibri" w:hint="eastAsia"/>
          <w:color w:val="auto"/>
        </w:rPr>
        <w:t>二期</w:t>
      </w:r>
      <w:r w:rsidR="00364EBD" w:rsidRPr="00364EBD">
        <w:rPr>
          <w:rFonts w:ascii="Calibri" w:hAnsi="Calibri"/>
          <w:color w:val="auto"/>
        </w:rPr>
        <w:t>工程设计风机风量为</w:t>
      </w:r>
      <w:r w:rsidR="00364EBD" w:rsidRPr="00364EBD">
        <w:rPr>
          <w:rFonts w:ascii="Calibri" w:hAnsi="Calibri" w:hint="eastAsia"/>
          <w:color w:val="auto"/>
        </w:rPr>
        <w:t>2000m</w:t>
      </w:r>
      <w:r w:rsidR="00364EBD" w:rsidRPr="00364EBD">
        <w:rPr>
          <w:rFonts w:ascii="Calibri" w:hAnsi="Calibri" w:hint="eastAsia"/>
          <w:color w:val="auto"/>
          <w:vertAlign w:val="superscript"/>
        </w:rPr>
        <w:t>3</w:t>
      </w:r>
      <w:r w:rsidR="00364EBD" w:rsidRPr="00364EBD">
        <w:rPr>
          <w:rFonts w:ascii="Calibri" w:hAnsi="Calibri" w:hint="eastAsia"/>
          <w:color w:val="auto"/>
        </w:rPr>
        <w:t>/h</w:t>
      </w:r>
      <w:r w:rsidR="00364EBD" w:rsidRPr="00364EBD">
        <w:rPr>
          <w:rFonts w:ascii="Calibri" w:hAnsi="Calibri" w:hint="eastAsia"/>
          <w:color w:val="auto"/>
        </w:rPr>
        <w:t>，对己二胺去除效率为</w:t>
      </w:r>
      <w:r w:rsidR="00364EBD" w:rsidRPr="00364EBD">
        <w:rPr>
          <w:rFonts w:ascii="Calibri" w:hAnsi="Calibri" w:hint="eastAsia"/>
          <w:color w:val="auto"/>
        </w:rPr>
        <w:t>90%</w:t>
      </w:r>
      <w:r w:rsidR="00364EBD" w:rsidRPr="00364EBD">
        <w:rPr>
          <w:rFonts w:ascii="Calibri" w:hAnsi="Calibri" w:hint="eastAsia"/>
          <w:color w:val="auto"/>
        </w:rPr>
        <w:t>，对非甲烷总烃去除效率</w:t>
      </w:r>
      <w:r w:rsidR="00364EBD" w:rsidRPr="00364EBD">
        <w:rPr>
          <w:rFonts w:ascii="Calibri" w:hAnsi="Calibri" w:hint="eastAsia"/>
          <w:color w:val="auto"/>
        </w:rPr>
        <w:t>90%</w:t>
      </w:r>
      <w:r w:rsidR="00364EBD" w:rsidRPr="00364EBD">
        <w:rPr>
          <w:rFonts w:ascii="Calibri" w:hAnsi="Calibri" w:hint="eastAsia"/>
          <w:color w:val="auto"/>
        </w:rPr>
        <w:t>，对氨气去除效率</w:t>
      </w:r>
      <w:r w:rsidR="00364EBD" w:rsidRPr="00364EBD">
        <w:rPr>
          <w:rFonts w:ascii="Calibri" w:hAnsi="Calibri" w:hint="eastAsia"/>
          <w:color w:val="auto"/>
        </w:rPr>
        <w:t>70%</w:t>
      </w:r>
      <w:r w:rsidR="00364EBD" w:rsidRPr="00364EBD">
        <w:rPr>
          <w:rFonts w:ascii="Calibri" w:hAnsi="Calibri" w:hint="eastAsia"/>
          <w:color w:val="auto"/>
        </w:rPr>
        <w:t>，经处理后己二胺排放浓度为</w:t>
      </w:r>
      <w:r w:rsidR="00364EBD" w:rsidRPr="00364EBD">
        <w:rPr>
          <w:rFonts w:ascii="Calibri" w:hAnsi="Calibri"/>
          <w:color w:val="auto"/>
        </w:rPr>
        <w:t>9.17</w:t>
      </w:r>
      <w:r w:rsidR="00364EBD" w:rsidRPr="00364EBD">
        <w:rPr>
          <w:rFonts w:ascii="Calibri" w:hAnsi="Calibri" w:hint="eastAsia"/>
          <w:color w:val="auto"/>
        </w:rPr>
        <w:t>mg/m</w:t>
      </w:r>
      <w:r w:rsidR="00364EBD" w:rsidRPr="00364EBD">
        <w:rPr>
          <w:rFonts w:ascii="Calibri" w:hAnsi="Calibri" w:hint="eastAsia"/>
          <w:color w:val="auto"/>
          <w:vertAlign w:val="superscript"/>
        </w:rPr>
        <w:t>3</w:t>
      </w:r>
      <w:r w:rsidR="00364EBD" w:rsidRPr="00364EBD">
        <w:rPr>
          <w:rFonts w:ascii="Calibri" w:hAnsi="Calibri" w:hint="eastAsia"/>
          <w:color w:val="auto"/>
        </w:rPr>
        <w:t>，己二酸排放浓度为</w:t>
      </w:r>
      <w:r w:rsidR="00364EBD" w:rsidRPr="00364EBD">
        <w:rPr>
          <w:rFonts w:ascii="Calibri" w:hAnsi="Calibri"/>
          <w:color w:val="auto"/>
        </w:rPr>
        <w:t>1.46mg/m</w:t>
      </w:r>
      <w:r w:rsidR="00364EBD" w:rsidRPr="00364EBD">
        <w:rPr>
          <w:rFonts w:ascii="Calibri" w:hAnsi="Calibri"/>
          <w:color w:val="auto"/>
          <w:vertAlign w:val="superscript"/>
        </w:rPr>
        <w:t>3</w:t>
      </w:r>
      <w:r w:rsidR="00364EBD" w:rsidRPr="00364EBD">
        <w:rPr>
          <w:rFonts w:ascii="Calibri" w:hAnsi="Calibri" w:hint="eastAsia"/>
          <w:color w:val="auto"/>
        </w:rPr>
        <w:t>，非甲烷总烃排放浓度为</w:t>
      </w:r>
      <w:r w:rsidR="00364EBD" w:rsidRPr="00364EBD">
        <w:rPr>
          <w:rFonts w:ascii="Calibri" w:hAnsi="Calibri"/>
          <w:color w:val="auto"/>
        </w:rPr>
        <w:t>13.82</w:t>
      </w:r>
      <w:r w:rsidR="00364EBD" w:rsidRPr="00364EBD">
        <w:rPr>
          <w:rFonts w:ascii="Calibri" w:hAnsi="Calibri" w:hint="eastAsia"/>
          <w:color w:val="auto"/>
        </w:rPr>
        <w:t>mg/m</w:t>
      </w:r>
      <w:r w:rsidR="00364EBD" w:rsidRPr="00364EBD">
        <w:rPr>
          <w:rFonts w:ascii="Calibri" w:hAnsi="Calibri" w:hint="eastAsia"/>
          <w:color w:val="auto"/>
          <w:vertAlign w:val="superscript"/>
        </w:rPr>
        <w:t>3</w:t>
      </w:r>
      <w:r w:rsidR="00364EBD" w:rsidRPr="00364EBD">
        <w:rPr>
          <w:rFonts w:ascii="Calibri" w:hAnsi="Calibri" w:hint="eastAsia"/>
          <w:color w:val="auto"/>
        </w:rPr>
        <w:t>，氨气排放浓度为</w:t>
      </w:r>
      <w:r w:rsidR="00364EBD" w:rsidRPr="00364EBD">
        <w:rPr>
          <w:rFonts w:ascii="Calibri" w:hAnsi="Calibri" w:hint="eastAsia"/>
          <w:color w:val="auto"/>
        </w:rPr>
        <w:t>0.</w:t>
      </w:r>
      <w:r w:rsidR="00364EBD" w:rsidRPr="00364EBD">
        <w:rPr>
          <w:rFonts w:ascii="Calibri" w:hAnsi="Calibri"/>
          <w:color w:val="auto"/>
        </w:rPr>
        <w:t>13</w:t>
      </w:r>
      <w:r w:rsidR="00364EBD" w:rsidRPr="00364EBD">
        <w:rPr>
          <w:rFonts w:ascii="Calibri" w:hAnsi="Calibri" w:hint="eastAsia"/>
          <w:color w:val="auto"/>
        </w:rPr>
        <w:t>mg/m</w:t>
      </w:r>
      <w:r w:rsidR="00364EBD" w:rsidRPr="00364EBD">
        <w:rPr>
          <w:rFonts w:ascii="Calibri" w:hAnsi="Calibri" w:hint="eastAsia"/>
          <w:color w:val="auto"/>
          <w:vertAlign w:val="superscript"/>
        </w:rPr>
        <w:t>3</w:t>
      </w:r>
      <w:r w:rsidR="00364EBD" w:rsidRPr="00364EBD">
        <w:rPr>
          <w:rFonts w:ascii="Calibri" w:hAnsi="Calibri" w:hint="eastAsia"/>
          <w:color w:val="auto"/>
        </w:rPr>
        <w:t>；全厂</w:t>
      </w:r>
      <w:r w:rsidR="00364EBD" w:rsidRPr="00364EBD">
        <w:rPr>
          <w:rFonts w:ascii="Calibri" w:hAnsi="Calibri"/>
          <w:color w:val="auto"/>
        </w:rPr>
        <w:t>（</w:t>
      </w:r>
      <w:r w:rsidR="00364EBD" w:rsidRPr="00364EBD">
        <w:rPr>
          <w:rFonts w:ascii="Calibri" w:hAnsi="Calibri" w:hint="eastAsia"/>
          <w:color w:val="auto"/>
        </w:rPr>
        <w:t>一期、</w:t>
      </w:r>
      <w:r w:rsidR="00364EBD" w:rsidRPr="00364EBD">
        <w:rPr>
          <w:rFonts w:ascii="Calibri" w:hAnsi="Calibri"/>
          <w:color w:val="auto"/>
        </w:rPr>
        <w:t>二期工程）</w:t>
      </w:r>
      <w:r w:rsidR="00364EBD" w:rsidRPr="00364EBD">
        <w:rPr>
          <w:rFonts w:ascii="Calibri" w:hAnsi="Calibri" w:hint="eastAsia"/>
          <w:color w:val="auto"/>
        </w:rPr>
        <w:t>废气</w:t>
      </w:r>
      <w:r w:rsidR="00364EBD" w:rsidRPr="00364EBD">
        <w:rPr>
          <w:rFonts w:ascii="Calibri" w:hAnsi="Calibri"/>
          <w:color w:val="auto"/>
        </w:rPr>
        <w:t>经处理后</w:t>
      </w:r>
      <w:r w:rsidR="00364EBD" w:rsidRPr="00364EBD">
        <w:rPr>
          <w:rFonts w:ascii="Calibri" w:hAnsi="Calibri" w:hint="eastAsia"/>
          <w:color w:val="auto"/>
        </w:rPr>
        <w:t>己二胺排放浓度为</w:t>
      </w:r>
      <w:r w:rsidR="00364EBD" w:rsidRPr="00364EBD">
        <w:rPr>
          <w:rFonts w:ascii="Calibri" w:hAnsi="Calibri"/>
          <w:color w:val="auto"/>
        </w:rPr>
        <w:t>9.80mg/m</w:t>
      </w:r>
      <w:r w:rsidR="00364EBD" w:rsidRPr="00364EBD">
        <w:rPr>
          <w:rFonts w:ascii="Calibri" w:hAnsi="Calibri"/>
          <w:color w:val="auto"/>
          <w:vertAlign w:val="superscript"/>
        </w:rPr>
        <w:t>3</w:t>
      </w:r>
      <w:r w:rsidR="00364EBD" w:rsidRPr="00364EBD">
        <w:rPr>
          <w:rFonts w:ascii="Calibri" w:hAnsi="Calibri" w:hint="eastAsia"/>
          <w:color w:val="auto"/>
        </w:rPr>
        <w:t>，己二酸排放浓度为</w:t>
      </w:r>
      <w:r w:rsidR="00364EBD" w:rsidRPr="00364EBD">
        <w:rPr>
          <w:rFonts w:ascii="Calibri" w:hAnsi="Calibri"/>
          <w:color w:val="auto"/>
        </w:rPr>
        <w:t>1.52mg/m</w:t>
      </w:r>
      <w:r w:rsidR="00364EBD" w:rsidRPr="00364EBD">
        <w:rPr>
          <w:rFonts w:ascii="Calibri" w:hAnsi="Calibri"/>
          <w:color w:val="auto"/>
          <w:vertAlign w:val="superscript"/>
        </w:rPr>
        <w:t>3</w:t>
      </w:r>
      <w:r w:rsidR="00364EBD" w:rsidRPr="00364EBD">
        <w:rPr>
          <w:rFonts w:ascii="Calibri" w:hAnsi="Calibri" w:hint="eastAsia"/>
          <w:color w:val="auto"/>
        </w:rPr>
        <w:t>，非甲烷总烃排放浓度为</w:t>
      </w:r>
      <w:r w:rsidR="00364EBD" w:rsidRPr="00364EBD">
        <w:rPr>
          <w:rFonts w:ascii="Calibri" w:hAnsi="Calibri"/>
          <w:color w:val="auto"/>
        </w:rPr>
        <w:t>14.8</w:t>
      </w:r>
      <w:r w:rsidR="00364EBD" w:rsidRPr="00364EBD">
        <w:rPr>
          <w:rFonts w:ascii="Calibri" w:hAnsi="Calibri" w:hint="eastAsia"/>
          <w:color w:val="auto"/>
        </w:rPr>
        <w:t>mg/m</w:t>
      </w:r>
      <w:r w:rsidR="00364EBD" w:rsidRPr="00364EBD">
        <w:rPr>
          <w:rFonts w:ascii="Calibri" w:hAnsi="Calibri" w:hint="eastAsia"/>
          <w:color w:val="auto"/>
          <w:vertAlign w:val="superscript"/>
        </w:rPr>
        <w:t>3</w:t>
      </w:r>
      <w:r w:rsidR="00364EBD" w:rsidRPr="00364EBD">
        <w:rPr>
          <w:rFonts w:ascii="Calibri" w:hAnsi="Calibri" w:hint="eastAsia"/>
          <w:color w:val="auto"/>
        </w:rPr>
        <w:t>，氨气排放浓度为</w:t>
      </w:r>
      <w:r w:rsidR="00364EBD" w:rsidRPr="00364EBD">
        <w:rPr>
          <w:rFonts w:ascii="Calibri" w:hAnsi="Calibri" w:hint="eastAsia"/>
          <w:color w:val="auto"/>
        </w:rPr>
        <w:t>0.</w:t>
      </w:r>
      <w:r w:rsidR="00364EBD" w:rsidRPr="00364EBD">
        <w:rPr>
          <w:rFonts w:ascii="Calibri" w:hAnsi="Calibri"/>
          <w:color w:val="auto"/>
        </w:rPr>
        <w:t>13</w:t>
      </w:r>
      <w:r w:rsidR="00364EBD" w:rsidRPr="00364EBD">
        <w:rPr>
          <w:rFonts w:ascii="Calibri" w:hAnsi="Calibri" w:hint="eastAsia"/>
          <w:color w:val="auto"/>
        </w:rPr>
        <w:t>mg/m</w:t>
      </w:r>
      <w:r w:rsidR="00364EBD" w:rsidRPr="00364EBD">
        <w:rPr>
          <w:rFonts w:ascii="Calibri" w:hAnsi="Calibri" w:hint="eastAsia"/>
          <w:color w:val="auto"/>
          <w:vertAlign w:val="superscript"/>
        </w:rPr>
        <w:t>3</w:t>
      </w:r>
      <w:r w:rsidR="00364EBD" w:rsidRPr="00364EBD">
        <w:rPr>
          <w:rFonts w:ascii="Calibri" w:hAnsi="Calibri"/>
          <w:color w:val="auto"/>
        </w:rPr>
        <w:t>。综上分析可知，一期、二期及全厂非甲烷总烃、氨气排放浓度均满足《合成树脂工业污染物排放标准》（</w:t>
      </w:r>
      <w:r w:rsidR="00364EBD" w:rsidRPr="00364EBD">
        <w:rPr>
          <w:rFonts w:ascii="Calibri" w:hAnsi="Calibri"/>
          <w:color w:val="auto"/>
        </w:rPr>
        <w:t>GB31572-2015</w:t>
      </w:r>
      <w:r w:rsidR="00364EBD" w:rsidRPr="00364EBD">
        <w:rPr>
          <w:rFonts w:ascii="Calibri" w:hAnsi="Calibri"/>
          <w:color w:val="auto"/>
        </w:rPr>
        <w:t>）表</w:t>
      </w:r>
      <w:r w:rsidR="00364EBD" w:rsidRPr="00364EBD">
        <w:rPr>
          <w:rFonts w:ascii="Calibri" w:hAnsi="Calibri"/>
          <w:color w:val="auto"/>
        </w:rPr>
        <w:t>4</w:t>
      </w:r>
      <w:r w:rsidR="00364EBD" w:rsidRPr="00364EBD">
        <w:rPr>
          <w:rFonts w:ascii="Calibri" w:hAnsi="Calibri"/>
          <w:color w:val="auto"/>
        </w:rPr>
        <w:t>要求，同时非甲烷总烃浓度满足《关于全省开展工业企业挥发性有机物专项治理工作中排放建议值的通知》豫环攻坚办</w:t>
      </w:r>
      <w:r w:rsidR="00364EBD" w:rsidRPr="00364EBD">
        <w:rPr>
          <w:rFonts w:ascii="Calibri" w:hAnsi="Calibri" w:hint="eastAsia"/>
          <w:color w:val="auto"/>
        </w:rPr>
        <w:t>【</w:t>
      </w:r>
      <w:r w:rsidR="00364EBD" w:rsidRPr="00364EBD">
        <w:rPr>
          <w:rFonts w:ascii="Calibri" w:hAnsi="Calibri" w:hint="eastAsia"/>
          <w:color w:val="auto"/>
        </w:rPr>
        <w:t>2017</w:t>
      </w:r>
      <w:r w:rsidR="00364EBD" w:rsidRPr="00364EBD">
        <w:rPr>
          <w:rFonts w:ascii="Calibri" w:hAnsi="Calibri" w:hint="eastAsia"/>
          <w:color w:val="auto"/>
        </w:rPr>
        <w:t>】</w:t>
      </w:r>
      <w:r w:rsidR="00364EBD" w:rsidRPr="00364EBD">
        <w:rPr>
          <w:rFonts w:ascii="Calibri" w:hAnsi="Calibri"/>
          <w:color w:val="auto"/>
        </w:rPr>
        <w:t>162</w:t>
      </w:r>
      <w:r w:rsidR="00364EBD" w:rsidRPr="00364EBD">
        <w:rPr>
          <w:rFonts w:ascii="Calibri" w:hAnsi="Calibri"/>
          <w:color w:val="auto"/>
        </w:rPr>
        <w:t>号文中要求及</w:t>
      </w:r>
      <w:r w:rsidR="00364EBD" w:rsidRPr="00364EBD">
        <w:rPr>
          <w:rFonts w:ascii="Calibri" w:hAnsi="Calibri" w:hint="eastAsia"/>
          <w:color w:val="auto"/>
        </w:rPr>
        <w:t>《平顶山市</w:t>
      </w:r>
      <w:r w:rsidR="00364EBD" w:rsidRPr="00364EBD">
        <w:rPr>
          <w:rFonts w:ascii="Calibri" w:hAnsi="Calibri" w:hint="eastAsia"/>
          <w:color w:val="auto"/>
        </w:rPr>
        <w:t>2021</w:t>
      </w:r>
      <w:r w:rsidR="00364EBD" w:rsidRPr="00364EBD">
        <w:rPr>
          <w:rFonts w:ascii="Calibri" w:hAnsi="Calibri" w:hint="eastAsia"/>
          <w:color w:val="auto"/>
        </w:rPr>
        <w:t>年重污染天气通用行业应急减排措施制定技术指南（试行）》中“绩效</w:t>
      </w:r>
      <w:r w:rsidR="00364EBD" w:rsidRPr="00364EBD">
        <w:rPr>
          <w:rFonts w:ascii="Calibri" w:hAnsi="Calibri"/>
          <w:color w:val="auto"/>
        </w:rPr>
        <w:t>B</w:t>
      </w:r>
      <w:r w:rsidR="00364EBD" w:rsidRPr="00364EBD">
        <w:rPr>
          <w:rFonts w:ascii="Calibri" w:hAnsi="Calibri"/>
          <w:color w:val="auto"/>
        </w:rPr>
        <w:t>级</w:t>
      </w:r>
      <w:r w:rsidR="00364EBD" w:rsidRPr="00364EBD">
        <w:rPr>
          <w:rFonts w:ascii="Calibri" w:hAnsi="Calibri" w:hint="eastAsia"/>
          <w:color w:val="auto"/>
        </w:rPr>
        <w:t>”企业非甲烷总烃</w:t>
      </w:r>
      <w:r w:rsidR="00364EBD" w:rsidRPr="00364EBD">
        <w:rPr>
          <w:rFonts w:ascii="Calibri" w:hAnsi="Calibri"/>
          <w:color w:val="auto"/>
        </w:rPr>
        <w:t>40</w:t>
      </w:r>
      <w:r w:rsidR="00364EBD" w:rsidRPr="00364EBD">
        <w:rPr>
          <w:rFonts w:ascii="Calibri" w:hAnsi="Calibri" w:hint="eastAsia"/>
          <w:color w:val="auto"/>
        </w:rPr>
        <w:t>mg/m</w:t>
      </w:r>
      <w:r w:rsidR="00364EBD" w:rsidRPr="00364EBD">
        <w:rPr>
          <w:rFonts w:ascii="Calibri" w:hAnsi="Calibri" w:hint="eastAsia"/>
          <w:color w:val="auto"/>
          <w:vertAlign w:val="superscript"/>
        </w:rPr>
        <w:t>3</w:t>
      </w:r>
      <w:r w:rsidR="00364EBD" w:rsidRPr="00364EBD">
        <w:rPr>
          <w:rFonts w:ascii="Calibri" w:hAnsi="Calibri"/>
          <w:color w:val="auto"/>
        </w:rPr>
        <w:t>管控要求</w:t>
      </w:r>
      <w:r w:rsidR="00364EBD" w:rsidRPr="00364EBD">
        <w:rPr>
          <w:rFonts w:ascii="Calibri" w:hAnsi="Calibri" w:hint="eastAsia"/>
          <w:color w:val="auto"/>
        </w:rPr>
        <w:t>，己二胺、</w:t>
      </w:r>
      <w:r w:rsidR="00364EBD" w:rsidRPr="00364EBD">
        <w:rPr>
          <w:rFonts w:ascii="Calibri" w:hAnsi="Calibri"/>
          <w:color w:val="auto"/>
        </w:rPr>
        <w:t>己二酸废气排放浓度</w:t>
      </w:r>
      <w:r w:rsidR="00364EBD" w:rsidRPr="00364EBD">
        <w:rPr>
          <w:rFonts w:ascii="Calibri" w:hAnsi="Calibri" w:hint="eastAsia"/>
          <w:color w:val="auto"/>
        </w:rPr>
        <w:t>满足上海《大气污染物综合排放标准》（</w:t>
      </w:r>
      <w:r w:rsidR="00364EBD" w:rsidRPr="00364EBD">
        <w:rPr>
          <w:rFonts w:ascii="Calibri" w:hAnsi="Calibri" w:hint="eastAsia"/>
          <w:color w:val="auto"/>
        </w:rPr>
        <w:t>DB31/933-2015</w:t>
      </w:r>
      <w:r w:rsidR="00364EBD" w:rsidRPr="00364EBD">
        <w:rPr>
          <w:rFonts w:ascii="Calibri" w:hAnsi="Calibri" w:hint="eastAsia"/>
          <w:color w:val="auto"/>
        </w:rPr>
        <w:t>）。各污染物均可以实现达标排放，最终经</w:t>
      </w:r>
      <w:r w:rsidR="00364EBD" w:rsidRPr="00364EBD">
        <w:rPr>
          <w:rFonts w:ascii="Calibri" w:hAnsi="Calibri"/>
          <w:color w:val="auto"/>
        </w:rPr>
        <w:t>25</w:t>
      </w:r>
      <w:r w:rsidR="00364EBD" w:rsidRPr="00364EBD">
        <w:rPr>
          <w:rFonts w:ascii="Calibri" w:hAnsi="Calibri" w:hint="eastAsia"/>
          <w:color w:val="auto"/>
        </w:rPr>
        <w:t>m</w:t>
      </w:r>
      <w:r w:rsidR="00364EBD" w:rsidRPr="00364EBD">
        <w:rPr>
          <w:rFonts w:ascii="Calibri" w:hAnsi="Calibri" w:hint="eastAsia"/>
          <w:color w:val="auto"/>
        </w:rPr>
        <w:t>排气筒排放，对周围环境空气影响不大。由此可知，该环节废气处理措施可行。</w:t>
      </w:r>
    </w:p>
    <w:p w14:paraId="012C2BBE" w14:textId="1C567CD6" w:rsidR="00364EBD" w:rsidRPr="00364EBD" w:rsidRDefault="00364EBD" w:rsidP="00364EBD">
      <w:pPr>
        <w:spacing w:line="520" w:lineRule="exact"/>
        <w:rPr>
          <w:rFonts w:asciiTheme="minorHAnsi" w:hAnsiTheme="minorHAnsi"/>
          <w:sz w:val="24"/>
          <w:szCs w:val="28"/>
        </w:rPr>
      </w:pPr>
    </w:p>
    <w:p w14:paraId="7C26A280" w14:textId="2CE6BBBF" w:rsidR="00364EBD" w:rsidRPr="00364EBD" w:rsidRDefault="0059590E" w:rsidP="00364EBD">
      <w:pPr>
        <w:pStyle w:val="00"/>
        <w:rPr>
          <w:rFonts w:asciiTheme="minorHAnsi" w:hAnsiTheme="minorHAnsi"/>
          <w:color w:val="auto"/>
        </w:rPr>
      </w:pPr>
      <w:r>
        <w:rPr>
          <w:rFonts w:ascii="Calibri" w:hAnsi="Calibri" w:hint="eastAsia"/>
          <w:bCs/>
          <w:color w:val="auto"/>
        </w:rPr>
        <w:lastRenderedPageBreak/>
        <w:t>废水</w:t>
      </w:r>
      <w:r>
        <w:rPr>
          <w:rFonts w:ascii="Calibri" w:hAnsi="Calibri"/>
          <w:bCs/>
          <w:color w:val="auto"/>
        </w:rPr>
        <w:t>处理站废气</w:t>
      </w:r>
      <w:r w:rsidRPr="00135AC8">
        <w:rPr>
          <w:rFonts w:ascii="Calibri" w:hAnsi="Calibri" w:hint="eastAsia"/>
          <w:bCs/>
          <w:color w:val="auto"/>
          <w:szCs w:val="20"/>
        </w:rPr>
        <w:t>经光氧催化</w:t>
      </w:r>
      <w:r w:rsidRPr="00135AC8">
        <w:rPr>
          <w:rFonts w:ascii="Calibri" w:hAnsi="Calibri"/>
          <w:bCs/>
          <w:color w:val="auto"/>
          <w:szCs w:val="20"/>
        </w:rPr>
        <w:t>+</w:t>
      </w:r>
      <w:r w:rsidRPr="00135AC8">
        <w:rPr>
          <w:rFonts w:ascii="Calibri" w:hAnsi="Calibri" w:hint="eastAsia"/>
          <w:bCs/>
          <w:color w:val="auto"/>
          <w:szCs w:val="20"/>
        </w:rPr>
        <w:t>活性炭吸附装置处理后，</w:t>
      </w:r>
      <w:r w:rsidR="00364EBD" w:rsidRPr="00A964FF">
        <w:rPr>
          <w:rFonts w:ascii="Calibri" w:hAnsi="Calibri" w:hint="eastAsia"/>
          <w:color w:val="auto"/>
        </w:rPr>
        <w:t>氨</w:t>
      </w:r>
      <w:r w:rsidR="00364EBD" w:rsidRPr="00A964FF">
        <w:rPr>
          <w:rFonts w:ascii="Calibri" w:hAnsi="Calibri" w:hint="eastAsia"/>
          <w:bCs/>
          <w:color w:val="auto"/>
        </w:rPr>
        <w:t>的排放速率为</w:t>
      </w:r>
      <w:r w:rsidR="00364EBD" w:rsidRPr="0067318A">
        <w:rPr>
          <w:rFonts w:ascii="Calibri" w:hAnsi="Calibri"/>
          <w:szCs w:val="21"/>
        </w:rPr>
        <w:t>0.0012</w:t>
      </w:r>
      <w:r w:rsidR="00364EBD" w:rsidRPr="00A964FF">
        <w:rPr>
          <w:rFonts w:ascii="Calibri" w:hAnsi="Calibri" w:hint="eastAsia"/>
          <w:bCs/>
          <w:color w:val="auto"/>
        </w:rPr>
        <w:t>kg/h</w:t>
      </w:r>
      <w:r w:rsidR="00364EBD" w:rsidRPr="00A964FF">
        <w:rPr>
          <w:rFonts w:ascii="Calibri" w:hAnsi="Calibri" w:hint="eastAsia"/>
          <w:bCs/>
          <w:color w:val="auto"/>
        </w:rPr>
        <w:t>，排放量为</w:t>
      </w:r>
      <w:r w:rsidR="00364EBD" w:rsidRPr="0067318A">
        <w:rPr>
          <w:rFonts w:ascii="Calibri" w:hAnsi="Calibri"/>
          <w:szCs w:val="21"/>
        </w:rPr>
        <w:t>0.0084</w:t>
      </w:r>
      <w:r w:rsidR="00364EBD" w:rsidRPr="00A964FF">
        <w:rPr>
          <w:rFonts w:ascii="Calibri" w:hAnsi="Calibri" w:hint="eastAsia"/>
          <w:bCs/>
          <w:color w:val="auto"/>
        </w:rPr>
        <w:t>t/a</w:t>
      </w:r>
      <w:r w:rsidR="00364EBD" w:rsidRPr="00A964FF">
        <w:rPr>
          <w:rFonts w:ascii="Calibri" w:hAnsi="Calibri" w:hint="eastAsia"/>
          <w:bCs/>
          <w:color w:val="auto"/>
        </w:rPr>
        <w:t>；硫化氢的排放速率为</w:t>
      </w:r>
      <w:r w:rsidR="00364EBD" w:rsidRPr="0067318A">
        <w:rPr>
          <w:rFonts w:ascii="Calibri" w:hAnsi="Calibri"/>
          <w:szCs w:val="21"/>
        </w:rPr>
        <w:t>0.000044</w:t>
      </w:r>
      <w:r w:rsidR="00364EBD" w:rsidRPr="00A964FF">
        <w:rPr>
          <w:rFonts w:ascii="Calibri" w:hAnsi="Calibri" w:hint="eastAsia"/>
          <w:bCs/>
          <w:color w:val="auto"/>
        </w:rPr>
        <w:t>kg/h</w:t>
      </w:r>
      <w:r w:rsidR="00364EBD" w:rsidRPr="00A964FF">
        <w:rPr>
          <w:rFonts w:ascii="Calibri" w:hAnsi="Calibri" w:hint="eastAsia"/>
          <w:bCs/>
          <w:color w:val="auto"/>
        </w:rPr>
        <w:t>，排放量为</w:t>
      </w:r>
      <w:r w:rsidR="00364EBD" w:rsidRPr="0067318A">
        <w:rPr>
          <w:rFonts w:ascii="Calibri" w:hAnsi="Calibri"/>
          <w:szCs w:val="21"/>
        </w:rPr>
        <w:t>0.00032</w:t>
      </w:r>
      <w:r w:rsidR="00364EBD" w:rsidRPr="00A964FF">
        <w:rPr>
          <w:rFonts w:ascii="Calibri" w:hAnsi="Calibri" w:hint="eastAsia"/>
          <w:bCs/>
          <w:color w:val="auto"/>
        </w:rPr>
        <w:t>t/a</w:t>
      </w:r>
      <w:r w:rsidR="00364EBD" w:rsidRPr="00A964FF">
        <w:rPr>
          <w:rFonts w:ascii="Calibri" w:hAnsi="Calibri" w:hint="eastAsia"/>
          <w:bCs/>
          <w:color w:val="auto"/>
        </w:rPr>
        <w:t>；</w:t>
      </w:r>
      <w:r w:rsidR="00364EBD">
        <w:rPr>
          <w:rFonts w:ascii="Calibri" w:hAnsi="Calibri" w:hint="eastAsia"/>
          <w:bCs/>
          <w:color w:val="auto"/>
        </w:rPr>
        <w:t>非甲烷总烃</w:t>
      </w:r>
      <w:r w:rsidR="00364EBD" w:rsidRPr="00A964FF">
        <w:rPr>
          <w:rFonts w:ascii="Calibri" w:hAnsi="Calibri" w:hint="eastAsia"/>
          <w:bCs/>
          <w:color w:val="auto"/>
        </w:rPr>
        <w:t>排放速率为</w:t>
      </w:r>
      <w:r w:rsidR="00364EBD" w:rsidRPr="0067318A">
        <w:rPr>
          <w:rFonts w:ascii="Calibri" w:hAnsi="Calibri"/>
          <w:szCs w:val="21"/>
        </w:rPr>
        <w:t>0.0014</w:t>
      </w:r>
      <w:r w:rsidR="00364EBD" w:rsidRPr="00A964FF">
        <w:rPr>
          <w:rFonts w:ascii="Calibri" w:hAnsi="Calibri" w:hint="eastAsia"/>
          <w:bCs/>
          <w:color w:val="auto"/>
        </w:rPr>
        <w:t>kg/h</w:t>
      </w:r>
      <w:r w:rsidR="00364EBD" w:rsidRPr="00A964FF">
        <w:rPr>
          <w:rFonts w:ascii="Calibri" w:hAnsi="Calibri" w:hint="eastAsia"/>
          <w:bCs/>
          <w:color w:val="auto"/>
        </w:rPr>
        <w:t>，排放量为</w:t>
      </w:r>
      <w:r w:rsidR="00364EBD" w:rsidRPr="0067318A">
        <w:rPr>
          <w:rFonts w:ascii="Calibri" w:hAnsi="Calibri"/>
          <w:szCs w:val="21"/>
        </w:rPr>
        <w:t>0.010</w:t>
      </w:r>
      <w:r w:rsidR="00364EBD" w:rsidRPr="00A964FF">
        <w:rPr>
          <w:rFonts w:ascii="Calibri" w:hAnsi="Calibri" w:hint="eastAsia"/>
          <w:bCs/>
          <w:color w:val="auto"/>
        </w:rPr>
        <w:t>t/a</w:t>
      </w:r>
      <w:r w:rsidR="00364EBD" w:rsidRPr="00A964FF">
        <w:rPr>
          <w:rFonts w:ascii="Calibri" w:hAnsi="Calibri" w:hint="eastAsia"/>
          <w:bCs/>
          <w:color w:val="auto"/>
        </w:rPr>
        <w:t>；</w:t>
      </w:r>
      <w:r w:rsidR="00364EBD" w:rsidRPr="006A0344">
        <w:rPr>
          <w:rFonts w:asciiTheme="minorHAnsi" w:hAnsiTheme="minorHAnsi"/>
          <w:color w:val="auto"/>
        </w:rPr>
        <w:t>氨和硫化氢排放浓度均满足</w:t>
      </w:r>
      <w:r w:rsidR="00364EBD" w:rsidRPr="006A0344">
        <w:rPr>
          <w:rFonts w:asciiTheme="minorHAnsi" w:hAnsiTheme="minorHAnsi"/>
        </w:rPr>
        <w:t>《恶臭污染物排放标准》（</w:t>
      </w:r>
      <w:r w:rsidR="00364EBD" w:rsidRPr="006A0344">
        <w:rPr>
          <w:rFonts w:asciiTheme="minorHAnsi" w:hAnsiTheme="minorHAnsi"/>
        </w:rPr>
        <w:t>GB14554-93</w:t>
      </w:r>
      <w:r w:rsidR="00364EBD" w:rsidRPr="006A0344">
        <w:rPr>
          <w:rFonts w:asciiTheme="minorHAnsi" w:hAnsiTheme="minorHAnsi"/>
        </w:rPr>
        <w:t>）表</w:t>
      </w:r>
      <w:r w:rsidR="00364EBD" w:rsidRPr="006A0344">
        <w:rPr>
          <w:rFonts w:asciiTheme="minorHAnsi" w:hAnsiTheme="minorHAnsi"/>
        </w:rPr>
        <w:t>1</w:t>
      </w:r>
      <w:r w:rsidR="00364EBD" w:rsidRPr="006A0344">
        <w:rPr>
          <w:rFonts w:asciiTheme="minorHAnsi" w:hAnsiTheme="minorHAnsi"/>
        </w:rPr>
        <w:t>、</w:t>
      </w:r>
      <w:r w:rsidR="00364EBD" w:rsidRPr="006A0344">
        <w:rPr>
          <w:rFonts w:asciiTheme="minorHAnsi" w:hAnsiTheme="minorHAnsi"/>
        </w:rPr>
        <w:t>2</w:t>
      </w:r>
      <w:r w:rsidR="00364EBD" w:rsidRPr="006A0344">
        <w:rPr>
          <w:rFonts w:asciiTheme="minorHAnsi" w:hAnsiTheme="minorHAnsi"/>
        </w:rPr>
        <w:t>中</w:t>
      </w:r>
      <w:r w:rsidR="00364EBD" w:rsidRPr="006A0344">
        <w:rPr>
          <w:rFonts w:asciiTheme="minorHAnsi" w:hAnsiTheme="minorHAnsi"/>
        </w:rPr>
        <w:t>15m</w:t>
      </w:r>
      <w:r w:rsidR="00364EBD" w:rsidRPr="006A0344">
        <w:rPr>
          <w:rFonts w:asciiTheme="minorHAnsi" w:hAnsiTheme="minorHAnsi"/>
        </w:rPr>
        <w:t>高排气筒</w:t>
      </w:r>
      <w:r w:rsidR="00364EBD" w:rsidRPr="006A0344">
        <w:rPr>
          <w:rFonts w:asciiTheme="minorHAnsi" w:hAnsiTheme="minorHAnsi"/>
        </w:rPr>
        <w:t>NH</w:t>
      </w:r>
      <w:r w:rsidR="00364EBD" w:rsidRPr="006A0344">
        <w:rPr>
          <w:rFonts w:asciiTheme="minorHAnsi" w:hAnsiTheme="minorHAnsi"/>
          <w:vertAlign w:val="subscript"/>
        </w:rPr>
        <w:t>3</w:t>
      </w:r>
      <w:r w:rsidR="00364EBD" w:rsidRPr="006A0344">
        <w:rPr>
          <w:rFonts w:asciiTheme="minorHAnsi" w:hAnsiTheme="minorHAnsi"/>
        </w:rPr>
        <w:t>排放速率</w:t>
      </w:r>
      <w:r w:rsidR="00364EBD" w:rsidRPr="006A0344">
        <w:rPr>
          <w:rFonts w:asciiTheme="minorHAnsi" w:hAnsiTheme="minorHAnsi"/>
        </w:rPr>
        <w:t>4.9kg/h</w:t>
      </w:r>
      <w:r w:rsidR="00364EBD" w:rsidRPr="006A0344">
        <w:rPr>
          <w:rFonts w:asciiTheme="minorHAnsi" w:hAnsiTheme="minorHAnsi"/>
        </w:rPr>
        <w:t>、</w:t>
      </w:r>
      <w:r w:rsidR="00364EBD" w:rsidRPr="006A0344">
        <w:rPr>
          <w:rFonts w:asciiTheme="minorHAnsi" w:hAnsiTheme="minorHAnsi"/>
        </w:rPr>
        <w:t>H</w:t>
      </w:r>
      <w:r w:rsidR="00364EBD" w:rsidRPr="006A0344">
        <w:rPr>
          <w:rFonts w:asciiTheme="minorHAnsi" w:hAnsiTheme="minorHAnsi"/>
          <w:vertAlign w:val="subscript"/>
        </w:rPr>
        <w:t>2</w:t>
      </w:r>
      <w:r w:rsidR="00364EBD" w:rsidRPr="006A0344">
        <w:rPr>
          <w:rFonts w:asciiTheme="minorHAnsi" w:hAnsiTheme="minorHAnsi"/>
        </w:rPr>
        <w:t>S</w:t>
      </w:r>
      <w:r w:rsidR="00364EBD" w:rsidRPr="006A0344">
        <w:rPr>
          <w:rFonts w:asciiTheme="minorHAnsi" w:hAnsiTheme="minorHAnsi"/>
        </w:rPr>
        <w:t>排放速率</w:t>
      </w:r>
      <w:r w:rsidR="00364EBD" w:rsidRPr="006A0344">
        <w:rPr>
          <w:rFonts w:asciiTheme="minorHAnsi" w:hAnsiTheme="minorHAnsi"/>
        </w:rPr>
        <w:t>0.33kg/h</w:t>
      </w:r>
      <w:r w:rsidR="00364EBD" w:rsidRPr="006A0344">
        <w:rPr>
          <w:rFonts w:asciiTheme="minorHAnsi" w:hAnsiTheme="minorHAnsi"/>
        </w:rPr>
        <w:t>的标准要求</w:t>
      </w:r>
      <w:r w:rsidR="00364EBD">
        <w:rPr>
          <w:rFonts w:asciiTheme="minorHAnsi" w:hAnsiTheme="minorHAnsi" w:hint="eastAsia"/>
        </w:rPr>
        <w:t>，</w:t>
      </w:r>
      <w:r w:rsidR="00364EBD" w:rsidRPr="006A0344">
        <w:rPr>
          <w:rFonts w:asciiTheme="minorHAnsi" w:hAnsiTheme="minorHAnsi"/>
        </w:rPr>
        <w:t>非甲烷总烃</w:t>
      </w:r>
      <w:r w:rsidR="00364EBD" w:rsidRPr="006A0344">
        <w:rPr>
          <w:rFonts w:asciiTheme="minorHAnsi" w:hAnsiTheme="minorHAnsi"/>
          <w:color w:val="auto"/>
        </w:rPr>
        <w:t>满足《合成树脂工业污染物排放标准》（</w:t>
      </w:r>
      <w:r w:rsidR="00364EBD" w:rsidRPr="006A0344">
        <w:rPr>
          <w:rFonts w:asciiTheme="minorHAnsi" w:hAnsiTheme="minorHAnsi"/>
          <w:color w:val="auto"/>
        </w:rPr>
        <w:t>GB31572-2015</w:t>
      </w:r>
      <w:r w:rsidR="00364EBD" w:rsidRPr="006A0344">
        <w:rPr>
          <w:rFonts w:asciiTheme="minorHAnsi" w:hAnsiTheme="minorHAnsi"/>
          <w:color w:val="auto"/>
        </w:rPr>
        <w:t>）的排放限值。</w:t>
      </w:r>
      <w:r w:rsidR="00364EBD" w:rsidRPr="00A964FF">
        <w:rPr>
          <w:rFonts w:ascii="Calibri" w:hint="eastAsia"/>
          <w:bCs/>
          <w:color w:val="auto"/>
        </w:rPr>
        <w:t>各污染物均</w:t>
      </w:r>
      <w:r w:rsidR="00364EBD" w:rsidRPr="00A964FF">
        <w:rPr>
          <w:rFonts w:ascii="Calibri" w:hAnsi="Calibri" w:hint="eastAsia"/>
          <w:bCs/>
          <w:color w:val="auto"/>
        </w:rPr>
        <w:t>可以实现达标排放，最终经</w:t>
      </w:r>
      <w:r w:rsidR="00364EBD" w:rsidRPr="00A964FF">
        <w:rPr>
          <w:rFonts w:ascii="Calibri" w:hAnsi="Calibri" w:hint="eastAsia"/>
          <w:bCs/>
          <w:color w:val="auto"/>
        </w:rPr>
        <w:t>15m</w:t>
      </w:r>
      <w:r w:rsidR="00364EBD" w:rsidRPr="00A964FF">
        <w:rPr>
          <w:rFonts w:ascii="Calibri" w:hAnsi="Calibri" w:hint="eastAsia"/>
          <w:bCs/>
          <w:color w:val="auto"/>
        </w:rPr>
        <w:t>排气筒排放，对周围环境空气影响不大。由此可知，该环节废气处理措施可行。</w:t>
      </w:r>
    </w:p>
    <w:p w14:paraId="112BA7EC" w14:textId="77777777" w:rsidR="00033968" w:rsidRPr="00A964FF" w:rsidRDefault="00033968" w:rsidP="00033968">
      <w:pPr>
        <w:pStyle w:val="00"/>
        <w:ind w:firstLineChars="200"/>
        <w:rPr>
          <w:rFonts w:ascii="Calibri" w:hAnsi="Calibri"/>
          <w:color w:val="auto"/>
        </w:rPr>
      </w:pPr>
      <w:r w:rsidRPr="00A964FF">
        <w:rPr>
          <w:rFonts w:ascii="Calibri" w:hAnsi="Calibri" w:hint="eastAsia"/>
          <w:color w:val="auto"/>
        </w:rPr>
        <w:t>本项目</w:t>
      </w:r>
      <w:r>
        <w:rPr>
          <w:rFonts w:ascii="Calibri" w:hAnsi="Calibri" w:hint="eastAsia"/>
          <w:color w:val="auto"/>
        </w:rPr>
        <w:t>一期</w:t>
      </w:r>
      <w:r>
        <w:rPr>
          <w:rFonts w:ascii="Calibri" w:hAnsi="Calibri"/>
          <w:color w:val="auto"/>
        </w:rPr>
        <w:t>工程</w:t>
      </w:r>
      <w:r w:rsidRPr="00A964FF">
        <w:rPr>
          <w:rFonts w:ascii="Calibri" w:hAnsi="Calibri" w:hint="eastAsia"/>
          <w:color w:val="auto"/>
        </w:rPr>
        <w:t>导热油炉燃料废气中颗粒物</w:t>
      </w:r>
      <w:r w:rsidRPr="00A964FF">
        <w:rPr>
          <w:rFonts w:ascii="Calibri" w:hAnsi="Calibri" w:hint="eastAsia"/>
          <w:bCs/>
          <w:color w:val="auto"/>
        </w:rPr>
        <w:t>的排放浓度为</w:t>
      </w:r>
      <w:r>
        <w:rPr>
          <w:rFonts w:ascii="Calibri" w:hAnsi="Calibri"/>
          <w:bCs/>
          <w:color w:val="auto"/>
        </w:rPr>
        <w:t>2.45</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0.027</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SO</w:t>
      </w:r>
      <w:r w:rsidRPr="00A964FF">
        <w:rPr>
          <w:rFonts w:ascii="Calibri" w:hAnsi="Calibri" w:hint="eastAsia"/>
          <w:bCs/>
          <w:color w:val="auto"/>
          <w:vertAlign w:val="subscript"/>
        </w:rPr>
        <w:t>2</w:t>
      </w:r>
      <w:r w:rsidRPr="00A964FF">
        <w:rPr>
          <w:rFonts w:ascii="Calibri" w:hAnsi="Calibri" w:hint="eastAsia"/>
          <w:bCs/>
          <w:color w:val="auto"/>
        </w:rPr>
        <w:t>的排放浓度为</w:t>
      </w:r>
      <w:r>
        <w:rPr>
          <w:rFonts w:ascii="Calibri" w:hAnsi="Calibri"/>
          <w:bCs/>
          <w:color w:val="auto"/>
        </w:rPr>
        <w:t>3.70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0.042</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NOx</w:t>
      </w:r>
      <w:r w:rsidRPr="00A964FF">
        <w:rPr>
          <w:rFonts w:ascii="Calibri" w:hAnsi="Calibri" w:hint="eastAsia"/>
          <w:bCs/>
          <w:color w:val="auto"/>
        </w:rPr>
        <w:t>的排放浓度为</w:t>
      </w:r>
      <w:r>
        <w:rPr>
          <w:rFonts w:ascii="Calibri" w:hAnsi="Calibri"/>
          <w:bCs/>
          <w:color w:val="auto"/>
        </w:rPr>
        <w:t>28.30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0.32</w:t>
      </w:r>
      <w:r w:rsidRPr="00A964FF">
        <w:rPr>
          <w:rFonts w:ascii="Calibri" w:hAnsi="Calibri" w:hint="eastAsia"/>
          <w:bCs/>
          <w:color w:val="auto"/>
        </w:rPr>
        <w:t>t/a</w:t>
      </w:r>
      <w:r w:rsidRPr="00A964FF">
        <w:rPr>
          <w:rFonts w:ascii="Calibri" w:hAnsi="Calibri" w:hint="eastAsia"/>
          <w:bCs/>
          <w:color w:val="auto"/>
        </w:rPr>
        <w:t>；各污染物排放浓度均满足</w:t>
      </w:r>
      <w:r w:rsidRPr="00A964FF">
        <w:rPr>
          <w:rFonts w:ascii="Calibri" w:hAnsi="Calibri" w:hint="eastAsia"/>
          <w:color w:val="auto"/>
        </w:rPr>
        <w:t>《锅炉大气污染物排放标准》（</w:t>
      </w:r>
      <w:r w:rsidRPr="00A964FF">
        <w:rPr>
          <w:rFonts w:ascii="Calibri" w:hAnsi="Calibri" w:hint="eastAsia"/>
          <w:color w:val="auto"/>
        </w:rPr>
        <w:t>DB41/2089-2021</w:t>
      </w:r>
      <w:r w:rsidRPr="00A964FF">
        <w:rPr>
          <w:rFonts w:ascii="Calibri" w:hAnsi="Calibri" w:hint="eastAsia"/>
          <w:color w:val="auto"/>
        </w:rPr>
        <w:t>）中排放标准限值，可以实现达标排放，</w:t>
      </w:r>
      <w:r w:rsidRPr="00A964FF">
        <w:rPr>
          <w:rFonts w:ascii="Calibri" w:hAnsi="Calibri" w:hint="eastAsia"/>
          <w:bCs/>
          <w:color w:val="auto"/>
        </w:rPr>
        <w:t>对周围环境空气影响不大。</w:t>
      </w:r>
      <w:r>
        <w:rPr>
          <w:rFonts w:ascii="Calibri" w:hAnsi="Calibri" w:hint="eastAsia"/>
          <w:color w:val="auto"/>
        </w:rPr>
        <w:t>二期</w:t>
      </w:r>
      <w:r>
        <w:rPr>
          <w:rFonts w:ascii="Calibri" w:hAnsi="Calibri"/>
          <w:color w:val="auto"/>
        </w:rPr>
        <w:t>工程</w:t>
      </w:r>
      <w:r w:rsidRPr="00A964FF">
        <w:rPr>
          <w:rFonts w:ascii="Calibri" w:hAnsi="Calibri" w:hint="eastAsia"/>
          <w:color w:val="auto"/>
        </w:rPr>
        <w:t>导热油炉燃料废气中颗粒物</w:t>
      </w:r>
      <w:r w:rsidRPr="00A964FF">
        <w:rPr>
          <w:rFonts w:ascii="Calibri" w:hAnsi="Calibri" w:hint="eastAsia"/>
          <w:bCs/>
          <w:color w:val="auto"/>
        </w:rPr>
        <w:t>的排放浓度为</w:t>
      </w:r>
      <w:r>
        <w:rPr>
          <w:rFonts w:ascii="Calibri" w:hAnsi="Calibri"/>
          <w:bCs/>
          <w:color w:val="auto"/>
        </w:rPr>
        <w:t>2.45</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0.017</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SO</w:t>
      </w:r>
      <w:r w:rsidRPr="00A964FF">
        <w:rPr>
          <w:rFonts w:ascii="Calibri" w:hAnsi="Calibri" w:hint="eastAsia"/>
          <w:bCs/>
          <w:color w:val="auto"/>
          <w:vertAlign w:val="subscript"/>
        </w:rPr>
        <w:t>2</w:t>
      </w:r>
      <w:r w:rsidRPr="00A964FF">
        <w:rPr>
          <w:rFonts w:ascii="Calibri" w:hAnsi="Calibri" w:hint="eastAsia"/>
          <w:bCs/>
          <w:color w:val="auto"/>
        </w:rPr>
        <w:t>的排放浓度为</w:t>
      </w:r>
      <w:r>
        <w:rPr>
          <w:rFonts w:ascii="Calibri" w:hAnsi="Calibri"/>
          <w:bCs/>
          <w:color w:val="auto"/>
        </w:rPr>
        <w:t>3.70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0.025</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NOx</w:t>
      </w:r>
      <w:r w:rsidRPr="00A964FF">
        <w:rPr>
          <w:rFonts w:ascii="Calibri" w:hAnsi="Calibri" w:hint="eastAsia"/>
          <w:bCs/>
          <w:color w:val="auto"/>
        </w:rPr>
        <w:t>的排放浓度为</w:t>
      </w:r>
      <w:r>
        <w:rPr>
          <w:rFonts w:ascii="Calibri" w:hAnsi="Calibri"/>
          <w:bCs/>
          <w:color w:val="auto"/>
        </w:rPr>
        <w:t>27.90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0.19</w:t>
      </w:r>
      <w:r w:rsidRPr="00A964FF">
        <w:rPr>
          <w:rFonts w:ascii="Calibri" w:hAnsi="Calibri" w:hint="eastAsia"/>
          <w:bCs/>
          <w:color w:val="auto"/>
        </w:rPr>
        <w:t>t/a</w:t>
      </w:r>
      <w:r w:rsidRPr="00A964FF">
        <w:rPr>
          <w:rFonts w:ascii="Calibri" w:hAnsi="Calibri" w:hint="eastAsia"/>
          <w:bCs/>
          <w:color w:val="auto"/>
        </w:rPr>
        <w:t>；各污染物排放浓度均满足</w:t>
      </w:r>
      <w:r w:rsidRPr="00A964FF">
        <w:rPr>
          <w:rFonts w:ascii="Calibri" w:hAnsi="Calibri" w:hint="eastAsia"/>
          <w:color w:val="auto"/>
        </w:rPr>
        <w:t>《锅炉大气污染物排放标准》（</w:t>
      </w:r>
      <w:r w:rsidRPr="00A964FF">
        <w:rPr>
          <w:rFonts w:ascii="Calibri" w:hAnsi="Calibri" w:hint="eastAsia"/>
          <w:color w:val="auto"/>
        </w:rPr>
        <w:t>DB41/2089-2021</w:t>
      </w:r>
      <w:r w:rsidRPr="00A964FF">
        <w:rPr>
          <w:rFonts w:ascii="Calibri" w:hAnsi="Calibri" w:hint="eastAsia"/>
          <w:color w:val="auto"/>
        </w:rPr>
        <w:t>）中排放标准限值，可以实现达标排放，</w:t>
      </w:r>
      <w:r w:rsidRPr="00A964FF">
        <w:rPr>
          <w:rFonts w:ascii="Calibri" w:hAnsi="Calibri" w:hint="eastAsia"/>
          <w:bCs/>
          <w:color w:val="auto"/>
        </w:rPr>
        <w:t>对周围环境空气影响不大。</w:t>
      </w:r>
      <w:r>
        <w:rPr>
          <w:rFonts w:ascii="Calibri" w:hAnsi="Calibri" w:hint="eastAsia"/>
          <w:color w:val="auto"/>
        </w:rPr>
        <w:t>一期、</w:t>
      </w:r>
      <w:r>
        <w:rPr>
          <w:rFonts w:ascii="Calibri" w:hAnsi="Calibri"/>
          <w:color w:val="auto"/>
        </w:rPr>
        <w:t>二期工程同时运行</w:t>
      </w:r>
      <w:r w:rsidRPr="00A964FF">
        <w:rPr>
          <w:rFonts w:ascii="Calibri" w:hAnsi="Calibri" w:hint="eastAsia"/>
          <w:color w:val="auto"/>
        </w:rPr>
        <w:t>导热油炉燃料废气中颗粒物</w:t>
      </w:r>
      <w:r w:rsidRPr="00A964FF">
        <w:rPr>
          <w:rFonts w:ascii="Calibri" w:hAnsi="Calibri" w:hint="eastAsia"/>
          <w:bCs/>
          <w:color w:val="auto"/>
        </w:rPr>
        <w:t>的排放浓度为</w:t>
      </w:r>
      <w:r>
        <w:rPr>
          <w:rFonts w:ascii="Calibri" w:hAnsi="Calibri"/>
          <w:bCs/>
          <w:color w:val="auto"/>
        </w:rPr>
        <w:t>2.45</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0.044</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SO</w:t>
      </w:r>
      <w:r w:rsidRPr="00A964FF">
        <w:rPr>
          <w:rFonts w:ascii="Calibri" w:hAnsi="Calibri" w:hint="eastAsia"/>
          <w:bCs/>
          <w:color w:val="auto"/>
          <w:vertAlign w:val="subscript"/>
        </w:rPr>
        <w:t>2</w:t>
      </w:r>
      <w:r w:rsidRPr="00A964FF">
        <w:rPr>
          <w:rFonts w:ascii="Calibri" w:hAnsi="Calibri" w:hint="eastAsia"/>
          <w:bCs/>
          <w:color w:val="auto"/>
        </w:rPr>
        <w:t>的排放浓度为</w:t>
      </w:r>
      <w:r>
        <w:rPr>
          <w:rFonts w:ascii="Calibri" w:hAnsi="Calibri"/>
          <w:bCs/>
          <w:color w:val="auto"/>
        </w:rPr>
        <w:t>3.70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0.067</w:t>
      </w:r>
      <w:r w:rsidRPr="00A964FF">
        <w:rPr>
          <w:rFonts w:ascii="Calibri" w:hAnsi="Calibri" w:hint="eastAsia"/>
          <w:bCs/>
          <w:color w:val="auto"/>
        </w:rPr>
        <w:t>t/a</w:t>
      </w:r>
      <w:r w:rsidRPr="00A964FF">
        <w:rPr>
          <w:rFonts w:ascii="Calibri" w:hAnsi="Calibri" w:hint="eastAsia"/>
          <w:bCs/>
          <w:color w:val="auto"/>
        </w:rPr>
        <w:t>；</w:t>
      </w:r>
      <w:r w:rsidRPr="00A964FF">
        <w:rPr>
          <w:rFonts w:ascii="Calibri" w:hAnsi="Calibri" w:hint="eastAsia"/>
          <w:bCs/>
          <w:color w:val="auto"/>
        </w:rPr>
        <w:t>NOx</w:t>
      </w:r>
      <w:r w:rsidRPr="00A964FF">
        <w:rPr>
          <w:rFonts w:ascii="Calibri" w:hAnsi="Calibri" w:hint="eastAsia"/>
          <w:bCs/>
          <w:color w:val="auto"/>
        </w:rPr>
        <w:t>的排放浓度为</w:t>
      </w:r>
      <w:r>
        <w:rPr>
          <w:rFonts w:ascii="Calibri" w:hAnsi="Calibri"/>
          <w:bCs/>
          <w:color w:val="auto"/>
        </w:rPr>
        <w:t>28.20</w:t>
      </w:r>
      <w:r w:rsidRPr="00A964FF">
        <w:rPr>
          <w:rFonts w:ascii="Calibri" w:hAnsi="Calibri" w:hint="eastAsia"/>
          <w:bCs/>
          <w:color w:val="auto"/>
        </w:rPr>
        <w:t>mg/m</w:t>
      </w:r>
      <w:r w:rsidRPr="00A964FF">
        <w:rPr>
          <w:rFonts w:ascii="Calibri" w:hAnsi="Calibri" w:hint="eastAsia"/>
          <w:bCs/>
          <w:color w:val="auto"/>
          <w:vertAlign w:val="superscript"/>
        </w:rPr>
        <w:t>3</w:t>
      </w:r>
      <w:r w:rsidRPr="00A964FF">
        <w:rPr>
          <w:rFonts w:ascii="Calibri" w:hAnsi="Calibri" w:hint="eastAsia"/>
          <w:bCs/>
          <w:color w:val="auto"/>
        </w:rPr>
        <w:t>，排放量为</w:t>
      </w:r>
      <w:r>
        <w:rPr>
          <w:rFonts w:ascii="Calibri" w:hAnsi="Calibri"/>
          <w:bCs/>
          <w:color w:val="auto"/>
        </w:rPr>
        <w:t>0.51</w:t>
      </w:r>
      <w:r w:rsidRPr="00A964FF">
        <w:rPr>
          <w:rFonts w:ascii="Calibri" w:hAnsi="Calibri" w:hint="eastAsia"/>
          <w:bCs/>
          <w:color w:val="auto"/>
        </w:rPr>
        <w:t>t/a</w:t>
      </w:r>
      <w:r w:rsidRPr="00A964FF">
        <w:rPr>
          <w:rFonts w:ascii="Calibri" w:hAnsi="Calibri" w:hint="eastAsia"/>
          <w:bCs/>
          <w:color w:val="auto"/>
        </w:rPr>
        <w:t>；各污染物排放浓度均满足</w:t>
      </w:r>
      <w:r w:rsidRPr="00A964FF">
        <w:rPr>
          <w:rFonts w:ascii="Calibri" w:hAnsi="Calibri" w:hint="eastAsia"/>
          <w:color w:val="auto"/>
        </w:rPr>
        <w:t>《锅炉大气污染物排放标准》（</w:t>
      </w:r>
      <w:r w:rsidRPr="00A964FF">
        <w:rPr>
          <w:rFonts w:ascii="Calibri" w:hAnsi="Calibri" w:hint="eastAsia"/>
          <w:color w:val="auto"/>
        </w:rPr>
        <w:t>DB41/2089-2021</w:t>
      </w:r>
      <w:r w:rsidRPr="00A964FF">
        <w:rPr>
          <w:rFonts w:ascii="Calibri" w:hAnsi="Calibri" w:hint="eastAsia"/>
          <w:color w:val="auto"/>
        </w:rPr>
        <w:t>）中排放标准限值，可以实现达标排放，</w:t>
      </w:r>
      <w:r w:rsidRPr="00A964FF">
        <w:rPr>
          <w:rFonts w:ascii="Calibri" w:hAnsi="Calibri" w:hint="eastAsia"/>
          <w:bCs/>
          <w:color w:val="auto"/>
        </w:rPr>
        <w:t>对周围环境空气影响不大。</w:t>
      </w:r>
    </w:p>
    <w:p w14:paraId="52D5C81F" w14:textId="77777777" w:rsidR="00DD4CAB" w:rsidRPr="00DD4CAB" w:rsidRDefault="00DD4CAB" w:rsidP="00DD4CAB">
      <w:pPr>
        <w:spacing w:line="520" w:lineRule="exact"/>
        <w:ind w:firstLine="482"/>
        <w:rPr>
          <w:rFonts w:ascii="Calibri" w:hAnsi="Calibri"/>
          <w:bCs/>
          <w:color w:val="auto"/>
          <w:sz w:val="24"/>
        </w:rPr>
      </w:pPr>
      <w:r w:rsidRPr="00A964FF">
        <w:rPr>
          <w:rFonts w:ascii="Calibri" w:hAnsi="Calibri" w:hint="eastAsia"/>
          <w:bCs/>
          <w:color w:val="auto"/>
          <w:sz w:val="24"/>
        </w:rPr>
        <w:t>本项目营运后食堂油烟产生量为</w:t>
      </w:r>
      <w:r>
        <w:rPr>
          <w:rFonts w:ascii="Calibri" w:hAnsi="Calibri"/>
          <w:bCs/>
          <w:color w:val="auto"/>
          <w:sz w:val="24"/>
        </w:rPr>
        <w:t>0.13</w:t>
      </w:r>
      <w:r w:rsidRPr="00A964FF">
        <w:rPr>
          <w:rFonts w:ascii="Calibri" w:hAnsi="Calibri" w:hint="eastAsia"/>
          <w:bCs/>
          <w:color w:val="auto"/>
          <w:sz w:val="24"/>
        </w:rPr>
        <w:t>t/a</w:t>
      </w:r>
      <w:r w:rsidRPr="00A964FF">
        <w:rPr>
          <w:rFonts w:ascii="Calibri" w:hAnsi="Calibri" w:hint="eastAsia"/>
          <w:bCs/>
          <w:color w:val="auto"/>
          <w:sz w:val="24"/>
        </w:rPr>
        <w:t>，产生浓度为</w:t>
      </w:r>
      <w:r w:rsidRPr="00A964FF">
        <w:rPr>
          <w:rFonts w:ascii="Calibri" w:hAnsi="Calibri" w:hint="eastAsia"/>
          <w:color w:val="auto"/>
          <w:sz w:val="24"/>
        </w:rPr>
        <w:t>12mg/m</w:t>
      </w:r>
      <w:r w:rsidRPr="00A964FF">
        <w:rPr>
          <w:rFonts w:ascii="Calibri" w:hAnsi="Calibri" w:hint="eastAsia"/>
          <w:color w:val="auto"/>
          <w:sz w:val="24"/>
          <w:vertAlign w:val="superscript"/>
        </w:rPr>
        <w:t>3</w:t>
      </w:r>
      <w:r w:rsidRPr="00A964FF">
        <w:rPr>
          <w:rFonts w:ascii="Calibri" w:hAnsi="Calibri" w:hint="eastAsia"/>
          <w:color w:val="auto"/>
          <w:sz w:val="24"/>
        </w:rPr>
        <w:t>；非甲烷总烃产生量为</w:t>
      </w:r>
      <w:r>
        <w:rPr>
          <w:rFonts w:ascii="Calibri" w:hAnsi="Calibri"/>
          <w:color w:val="auto"/>
          <w:sz w:val="24"/>
        </w:rPr>
        <w:t>0.22</w:t>
      </w:r>
      <w:r w:rsidRPr="00A964FF">
        <w:rPr>
          <w:rFonts w:ascii="Calibri" w:hAnsi="Calibri" w:hint="eastAsia"/>
          <w:color w:val="auto"/>
          <w:sz w:val="24"/>
        </w:rPr>
        <w:t>t/a</w:t>
      </w:r>
      <w:r w:rsidRPr="00A964FF">
        <w:rPr>
          <w:rFonts w:ascii="Calibri" w:hAnsi="Calibri" w:hint="eastAsia"/>
          <w:color w:val="auto"/>
          <w:sz w:val="24"/>
        </w:rPr>
        <w:t>，产生浓度为</w:t>
      </w:r>
      <w:r w:rsidRPr="00A964FF">
        <w:rPr>
          <w:rFonts w:ascii="Calibri" w:hAnsi="Calibri" w:hint="eastAsia"/>
          <w:color w:val="auto"/>
          <w:sz w:val="24"/>
        </w:rPr>
        <w:t>20.23mg/m</w:t>
      </w:r>
      <w:r w:rsidRPr="00A964FF">
        <w:rPr>
          <w:rFonts w:ascii="Calibri" w:hAnsi="Calibri" w:hint="eastAsia"/>
          <w:color w:val="auto"/>
          <w:sz w:val="24"/>
          <w:vertAlign w:val="superscript"/>
        </w:rPr>
        <w:t>3</w:t>
      </w:r>
      <w:r w:rsidRPr="00A964FF">
        <w:rPr>
          <w:rFonts w:ascii="Calibri" w:hAnsi="Calibri" w:hint="eastAsia"/>
          <w:color w:val="auto"/>
          <w:sz w:val="24"/>
        </w:rPr>
        <w:t>；</w:t>
      </w:r>
      <w:r w:rsidRPr="00A964FF">
        <w:rPr>
          <w:rFonts w:ascii="Calibri" w:hAnsi="Calibri" w:hint="eastAsia"/>
          <w:bCs/>
          <w:color w:val="auto"/>
          <w:sz w:val="24"/>
        </w:rPr>
        <w:t>经风量为</w:t>
      </w:r>
      <w:r>
        <w:rPr>
          <w:rFonts w:ascii="Calibri" w:hAnsi="Calibri"/>
          <w:bCs/>
          <w:color w:val="auto"/>
          <w:sz w:val="24"/>
        </w:rPr>
        <w:t>6</w:t>
      </w:r>
      <w:r w:rsidRPr="00A964FF">
        <w:rPr>
          <w:rFonts w:ascii="Calibri" w:hAnsi="Calibri" w:hint="eastAsia"/>
          <w:bCs/>
          <w:color w:val="auto"/>
          <w:sz w:val="24"/>
        </w:rPr>
        <w:t>000m</w:t>
      </w:r>
      <w:r w:rsidRPr="00A964FF">
        <w:rPr>
          <w:rFonts w:ascii="Calibri" w:hAnsi="Calibri" w:hint="eastAsia"/>
          <w:bCs/>
          <w:color w:val="auto"/>
          <w:sz w:val="24"/>
          <w:vertAlign w:val="superscript"/>
        </w:rPr>
        <w:t>3</w:t>
      </w:r>
      <w:r w:rsidRPr="00A964FF">
        <w:rPr>
          <w:rFonts w:ascii="Calibri" w:hAnsi="Calibri" w:hint="eastAsia"/>
          <w:bCs/>
          <w:color w:val="auto"/>
          <w:sz w:val="24"/>
        </w:rPr>
        <w:t>/h</w:t>
      </w:r>
      <w:r w:rsidRPr="00A964FF">
        <w:rPr>
          <w:rFonts w:ascii="Calibri" w:hAnsi="Calibri" w:hint="eastAsia"/>
          <w:bCs/>
          <w:color w:val="auto"/>
          <w:sz w:val="24"/>
        </w:rPr>
        <w:t>、油烟去除率为</w:t>
      </w:r>
      <w:r w:rsidRPr="00A964FF">
        <w:rPr>
          <w:rFonts w:ascii="Calibri" w:hAnsi="Calibri" w:hint="eastAsia"/>
          <w:bCs/>
          <w:color w:val="auto"/>
          <w:sz w:val="24"/>
        </w:rPr>
        <w:t>9</w:t>
      </w:r>
      <w:r>
        <w:rPr>
          <w:rFonts w:ascii="Calibri" w:hAnsi="Calibri"/>
          <w:bCs/>
          <w:color w:val="auto"/>
          <w:sz w:val="24"/>
        </w:rPr>
        <w:t>0</w:t>
      </w:r>
      <w:r w:rsidRPr="00A964FF">
        <w:rPr>
          <w:rFonts w:ascii="Calibri" w:hAnsi="Calibri" w:hint="eastAsia"/>
          <w:bCs/>
          <w:color w:val="auto"/>
          <w:sz w:val="24"/>
        </w:rPr>
        <w:t>%</w:t>
      </w:r>
      <w:r w:rsidRPr="00A964FF">
        <w:rPr>
          <w:rFonts w:ascii="Calibri" w:hAnsi="Calibri" w:hint="eastAsia"/>
          <w:bCs/>
          <w:color w:val="auto"/>
          <w:sz w:val="24"/>
        </w:rPr>
        <w:t>、非甲烷总烃去除率为</w:t>
      </w:r>
      <w:r w:rsidRPr="00A964FF">
        <w:rPr>
          <w:rFonts w:ascii="Calibri" w:hAnsi="Calibri" w:hint="eastAsia"/>
          <w:bCs/>
          <w:color w:val="auto"/>
          <w:sz w:val="24"/>
        </w:rPr>
        <w:t>8</w:t>
      </w:r>
      <w:r>
        <w:rPr>
          <w:rFonts w:ascii="Calibri" w:hAnsi="Calibri"/>
          <w:bCs/>
          <w:color w:val="auto"/>
          <w:sz w:val="24"/>
        </w:rPr>
        <w:t>0</w:t>
      </w:r>
      <w:r w:rsidRPr="00A964FF">
        <w:rPr>
          <w:rFonts w:ascii="Calibri" w:hAnsi="Calibri" w:hint="eastAsia"/>
          <w:bCs/>
          <w:color w:val="auto"/>
          <w:sz w:val="24"/>
        </w:rPr>
        <w:t>%</w:t>
      </w:r>
      <w:r w:rsidRPr="00A964FF">
        <w:rPr>
          <w:rFonts w:ascii="Calibri" w:hAnsi="Calibri" w:hint="eastAsia"/>
          <w:bCs/>
          <w:color w:val="auto"/>
          <w:sz w:val="24"/>
        </w:rPr>
        <w:t>的油烟净化装置处理后，油烟排放量为</w:t>
      </w:r>
      <w:r>
        <w:rPr>
          <w:rFonts w:ascii="Calibri" w:hAnsi="Calibri"/>
          <w:bCs/>
          <w:color w:val="auto"/>
          <w:sz w:val="24"/>
        </w:rPr>
        <w:t>0.013</w:t>
      </w:r>
      <w:r w:rsidRPr="00A964FF">
        <w:rPr>
          <w:rFonts w:ascii="Calibri" w:hAnsi="Calibri" w:hint="eastAsia"/>
          <w:bCs/>
          <w:color w:val="auto"/>
          <w:sz w:val="24"/>
        </w:rPr>
        <w:t>t/a</w:t>
      </w:r>
      <w:r w:rsidRPr="00A964FF">
        <w:rPr>
          <w:rFonts w:ascii="Calibri" w:hAnsi="Calibri" w:hint="eastAsia"/>
          <w:bCs/>
          <w:color w:val="auto"/>
          <w:sz w:val="24"/>
        </w:rPr>
        <w:t>，排放浓度为</w:t>
      </w:r>
      <w:r>
        <w:rPr>
          <w:rFonts w:ascii="Calibri" w:hAnsi="Calibri"/>
          <w:bCs/>
          <w:color w:val="auto"/>
          <w:sz w:val="24"/>
        </w:rPr>
        <w:t>1.20</w:t>
      </w:r>
      <w:r w:rsidRPr="00A964FF">
        <w:rPr>
          <w:rFonts w:ascii="Calibri" w:hAnsi="Calibri" w:hint="eastAsia"/>
          <w:color w:val="auto"/>
          <w:sz w:val="24"/>
        </w:rPr>
        <w:t>mg/m</w:t>
      </w:r>
      <w:r w:rsidRPr="00A964FF">
        <w:rPr>
          <w:rFonts w:ascii="Calibri" w:hAnsi="Calibri" w:hint="eastAsia"/>
          <w:color w:val="auto"/>
          <w:sz w:val="24"/>
          <w:vertAlign w:val="superscript"/>
        </w:rPr>
        <w:t>3</w:t>
      </w:r>
      <w:r w:rsidRPr="00A964FF">
        <w:rPr>
          <w:rFonts w:ascii="Calibri" w:hAnsi="Calibri" w:hint="eastAsia"/>
          <w:color w:val="auto"/>
          <w:sz w:val="24"/>
        </w:rPr>
        <w:t>；非甲烷总烃</w:t>
      </w:r>
      <w:r w:rsidRPr="00A964FF">
        <w:rPr>
          <w:rFonts w:ascii="Calibri" w:hAnsi="Calibri" w:hint="eastAsia"/>
          <w:bCs/>
          <w:color w:val="auto"/>
          <w:sz w:val="24"/>
        </w:rPr>
        <w:t>排放量为</w:t>
      </w:r>
      <w:r>
        <w:rPr>
          <w:rFonts w:ascii="Calibri" w:hAnsi="Calibri"/>
          <w:bCs/>
          <w:color w:val="auto"/>
          <w:sz w:val="24"/>
        </w:rPr>
        <w:t>0.044</w:t>
      </w:r>
      <w:r w:rsidRPr="00A964FF">
        <w:rPr>
          <w:rFonts w:ascii="Calibri" w:hAnsi="Calibri" w:hint="eastAsia"/>
          <w:bCs/>
          <w:color w:val="auto"/>
          <w:sz w:val="24"/>
        </w:rPr>
        <w:t>t/a</w:t>
      </w:r>
      <w:r w:rsidRPr="00A964FF">
        <w:rPr>
          <w:rFonts w:ascii="Calibri" w:hAnsi="Calibri" w:hint="eastAsia"/>
          <w:bCs/>
          <w:color w:val="auto"/>
          <w:sz w:val="24"/>
        </w:rPr>
        <w:t>，排放浓度为</w:t>
      </w:r>
      <w:r>
        <w:rPr>
          <w:rFonts w:ascii="Calibri" w:hAnsi="Calibri"/>
          <w:bCs/>
          <w:color w:val="auto"/>
          <w:sz w:val="24"/>
        </w:rPr>
        <w:t>4.05</w:t>
      </w:r>
      <w:r w:rsidRPr="00A964FF">
        <w:rPr>
          <w:rFonts w:ascii="Calibri" w:hAnsi="Calibri" w:hint="eastAsia"/>
          <w:color w:val="auto"/>
          <w:sz w:val="24"/>
        </w:rPr>
        <w:t>mg/m</w:t>
      </w:r>
      <w:r w:rsidRPr="00A964FF">
        <w:rPr>
          <w:rFonts w:ascii="Calibri" w:hAnsi="Calibri" w:hint="eastAsia"/>
          <w:color w:val="auto"/>
          <w:sz w:val="24"/>
          <w:vertAlign w:val="superscript"/>
        </w:rPr>
        <w:t>3</w:t>
      </w:r>
      <w:r w:rsidRPr="00A964FF">
        <w:rPr>
          <w:rFonts w:ascii="Calibri" w:hAnsi="Calibri" w:hint="eastAsia"/>
          <w:color w:val="auto"/>
          <w:sz w:val="24"/>
        </w:rPr>
        <w:t>；满足</w:t>
      </w:r>
      <w:r w:rsidRPr="00A964FF">
        <w:rPr>
          <w:rFonts w:ascii="Calibri" w:hAnsi="Calibri"/>
          <w:color w:val="auto"/>
          <w:sz w:val="24"/>
        </w:rPr>
        <w:t>《餐饮业油烟污染物排放标准》（</w:t>
      </w:r>
      <w:r w:rsidRPr="00A964FF">
        <w:rPr>
          <w:rFonts w:ascii="Calibri" w:hAnsi="Calibri"/>
          <w:color w:val="auto"/>
          <w:sz w:val="24"/>
        </w:rPr>
        <w:t>DB41/1604-2018</w:t>
      </w:r>
      <w:r w:rsidRPr="00A964FF">
        <w:rPr>
          <w:rFonts w:ascii="Calibri" w:hAnsi="Calibri"/>
          <w:color w:val="auto"/>
          <w:sz w:val="24"/>
        </w:rPr>
        <w:t>）</w:t>
      </w:r>
      <w:r w:rsidRPr="00A964FF">
        <w:rPr>
          <w:rFonts w:ascii="Calibri" w:hAnsi="Calibri" w:hint="eastAsia"/>
          <w:color w:val="auto"/>
          <w:sz w:val="24"/>
        </w:rPr>
        <w:t>中</w:t>
      </w:r>
      <w:r w:rsidRPr="00A964FF">
        <w:rPr>
          <w:rFonts w:ascii="Calibri" w:hAnsi="Calibri"/>
          <w:color w:val="auto"/>
          <w:sz w:val="24"/>
        </w:rPr>
        <w:t>标准</w:t>
      </w:r>
      <w:r w:rsidRPr="00A964FF">
        <w:rPr>
          <w:rFonts w:ascii="Calibri" w:hAnsi="Calibri" w:hint="eastAsia"/>
          <w:color w:val="auto"/>
          <w:sz w:val="24"/>
        </w:rPr>
        <w:t>限值，</w:t>
      </w:r>
      <w:r w:rsidRPr="00A964FF">
        <w:rPr>
          <w:rFonts w:ascii="Calibri" w:hAnsi="Calibri"/>
          <w:color w:val="auto"/>
          <w:sz w:val="24"/>
        </w:rPr>
        <w:t>经</w:t>
      </w:r>
      <w:r w:rsidRPr="00A964FF">
        <w:rPr>
          <w:rFonts w:ascii="Calibri" w:hAnsi="Calibri" w:hint="eastAsia"/>
          <w:color w:val="auto"/>
          <w:sz w:val="24"/>
        </w:rPr>
        <w:t>专用</w:t>
      </w:r>
      <w:r w:rsidRPr="00A964FF">
        <w:rPr>
          <w:rFonts w:ascii="Calibri" w:hAnsi="Calibri"/>
          <w:color w:val="auto"/>
          <w:sz w:val="24"/>
        </w:rPr>
        <w:t>排烟管道</w:t>
      </w:r>
      <w:r w:rsidRPr="00A964FF">
        <w:rPr>
          <w:rFonts w:ascii="Calibri" w:hAnsi="Calibri" w:hint="eastAsia"/>
          <w:color w:val="auto"/>
          <w:sz w:val="24"/>
        </w:rPr>
        <w:t>引至室外</w:t>
      </w:r>
      <w:r w:rsidRPr="00A964FF">
        <w:rPr>
          <w:rFonts w:ascii="Calibri" w:hAnsi="Calibri"/>
          <w:color w:val="auto"/>
          <w:sz w:val="24"/>
        </w:rPr>
        <w:lastRenderedPageBreak/>
        <w:t>排放，对周围环境</w:t>
      </w:r>
      <w:r w:rsidRPr="00A964FF">
        <w:rPr>
          <w:rFonts w:ascii="Calibri" w:hAnsi="Calibri" w:hint="eastAsia"/>
          <w:color w:val="auto"/>
          <w:sz w:val="24"/>
        </w:rPr>
        <w:t>空气</w:t>
      </w:r>
      <w:r w:rsidRPr="00A964FF">
        <w:rPr>
          <w:rFonts w:ascii="Calibri" w:hAnsi="Calibri"/>
          <w:color w:val="auto"/>
          <w:sz w:val="24"/>
        </w:rPr>
        <w:t>影响较小。</w:t>
      </w:r>
    </w:p>
    <w:p w14:paraId="6E6B40B9" w14:textId="77777777" w:rsidR="00DD4CAB" w:rsidRDefault="00B91D26" w:rsidP="00DD4CAB">
      <w:pPr>
        <w:spacing w:line="520" w:lineRule="exact"/>
        <w:ind w:firstLine="482"/>
        <w:rPr>
          <w:rFonts w:ascii="Calibri" w:hAnsi="Calibri"/>
          <w:color w:val="auto"/>
          <w:sz w:val="24"/>
        </w:rPr>
      </w:pPr>
      <w:r w:rsidRPr="0059590E">
        <w:rPr>
          <w:rFonts w:ascii="Calibri" w:hAnsi="Calibri" w:hint="eastAsia"/>
          <w:color w:val="auto"/>
          <w:sz w:val="24"/>
        </w:rPr>
        <w:t>无组织排放贯穿于化工生产始终，正常生产情况下，近距离厂界周围浓度主要由无组织排放源强控制。</w:t>
      </w:r>
      <w:r w:rsidRPr="0059590E">
        <w:rPr>
          <w:rFonts w:ascii="Calibri" w:hAnsi="Calibri"/>
          <w:color w:val="auto"/>
          <w:sz w:val="24"/>
        </w:rPr>
        <w:t>为减少各环节物料挥发对环境的污染，</w:t>
      </w:r>
      <w:r w:rsidR="00DE26A3" w:rsidRPr="0059590E">
        <w:rPr>
          <w:rFonts w:ascii="Calibri" w:hAnsi="Calibri" w:hint="eastAsia"/>
          <w:color w:val="auto"/>
          <w:sz w:val="24"/>
        </w:rPr>
        <w:t>建设单位应</w:t>
      </w:r>
      <w:r w:rsidRPr="0059590E">
        <w:rPr>
          <w:rFonts w:ascii="Calibri" w:hAnsi="Calibri"/>
          <w:color w:val="auto"/>
          <w:sz w:val="24"/>
        </w:rPr>
        <w:t>加强生产管理和设备</w:t>
      </w:r>
      <w:r w:rsidRPr="0059590E">
        <w:rPr>
          <w:rFonts w:ascii="Calibri" w:hAnsi="Calibri" w:hint="eastAsia"/>
          <w:color w:val="auto"/>
          <w:sz w:val="24"/>
        </w:rPr>
        <w:t>维护</w:t>
      </w:r>
      <w:r w:rsidRPr="0059590E">
        <w:rPr>
          <w:rFonts w:ascii="Calibri" w:hAnsi="Calibri"/>
          <w:color w:val="auto"/>
          <w:sz w:val="24"/>
        </w:rPr>
        <w:t>，</w:t>
      </w:r>
      <w:r w:rsidRPr="0059590E">
        <w:rPr>
          <w:rFonts w:ascii="Calibri" w:hAnsi="Calibri" w:hint="eastAsia"/>
          <w:color w:val="auto"/>
          <w:sz w:val="24"/>
        </w:rPr>
        <w:t>及时维修、更换破损的管道、机泵、阀门及污染治理设备，防止和减小生产过程中的跑、冒、滴、漏和事故性排放，</w:t>
      </w:r>
      <w:r w:rsidR="00DE26A3" w:rsidRPr="0059590E">
        <w:rPr>
          <w:rFonts w:ascii="Calibri" w:hAnsi="Calibri" w:hint="eastAsia"/>
          <w:color w:val="auto"/>
          <w:sz w:val="24"/>
        </w:rPr>
        <w:t>营运期</w:t>
      </w:r>
      <w:r w:rsidRPr="0059590E">
        <w:rPr>
          <w:rFonts w:ascii="Calibri" w:hAnsi="Calibri"/>
          <w:color w:val="auto"/>
          <w:sz w:val="24"/>
        </w:rPr>
        <w:t>严格按照</w:t>
      </w:r>
      <w:r w:rsidRPr="0059590E">
        <w:rPr>
          <w:rFonts w:ascii="Calibri" w:hAnsi="Calibri" w:hint="eastAsia"/>
          <w:color w:val="auto"/>
          <w:sz w:val="24"/>
        </w:rPr>
        <w:t>《挥发性有机物无组织排放控制标准》（</w:t>
      </w:r>
      <w:r w:rsidRPr="0059590E">
        <w:rPr>
          <w:rFonts w:ascii="Calibri" w:hAnsi="Calibri" w:hint="eastAsia"/>
          <w:color w:val="auto"/>
          <w:sz w:val="24"/>
        </w:rPr>
        <w:t>GB37822-2019</w:t>
      </w:r>
      <w:r w:rsidRPr="0059590E">
        <w:rPr>
          <w:rFonts w:ascii="Calibri" w:hAnsi="Calibri" w:hint="eastAsia"/>
          <w:color w:val="auto"/>
          <w:sz w:val="24"/>
        </w:rPr>
        <w:t>）标准进行操作，最大程度的降低无组织废气产生及排放量。</w:t>
      </w:r>
    </w:p>
    <w:p w14:paraId="239EF5E4" w14:textId="77777777" w:rsidR="0055605A" w:rsidRPr="00A964FF" w:rsidRDefault="0055605A" w:rsidP="0055605A">
      <w:pPr>
        <w:pStyle w:val="00"/>
        <w:rPr>
          <w:rFonts w:ascii="Calibri" w:hAnsi="Calibri"/>
          <w:color w:val="auto"/>
        </w:rPr>
      </w:pPr>
      <w:r w:rsidRPr="00A964FF">
        <w:rPr>
          <w:rFonts w:ascii="Calibri" w:hAnsi="Calibri"/>
          <w:color w:val="auto"/>
        </w:rPr>
        <w:t>（</w:t>
      </w:r>
      <w:r w:rsidRPr="00A964FF">
        <w:rPr>
          <w:rFonts w:ascii="Calibri" w:hAnsi="Calibri"/>
          <w:color w:val="auto"/>
        </w:rPr>
        <w:t>2</w:t>
      </w:r>
      <w:r w:rsidRPr="00A964FF">
        <w:rPr>
          <w:rFonts w:ascii="Calibri" w:hAnsi="Calibri"/>
          <w:color w:val="auto"/>
        </w:rPr>
        <w:t>）废水污染防治措施</w:t>
      </w:r>
    </w:p>
    <w:p w14:paraId="3BCA8B17" w14:textId="46E67487" w:rsidR="00C27DB8" w:rsidRDefault="00C27DB8" w:rsidP="00C27DB8">
      <w:pPr>
        <w:spacing w:line="500" w:lineRule="exact"/>
        <w:ind w:firstLineChars="200" w:firstLine="480"/>
        <w:rPr>
          <w:rFonts w:ascii="Calibri"/>
          <w:color w:val="auto"/>
          <w:sz w:val="24"/>
        </w:rPr>
      </w:pPr>
      <w:r>
        <w:rPr>
          <w:rFonts w:ascii="Calibri" w:hint="eastAsia"/>
          <w:color w:val="auto"/>
          <w:sz w:val="24"/>
        </w:rPr>
        <w:t>本项目营运后厂区总用水量为</w:t>
      </w:r>
      <w:r w:rsidRPr="00E01926">
        <w:rPr>
          <w:rFonts w:ascii="Calibri" w:hint="eastAsia"/>
          <w:color w:val="auto"/>
          <w:sz w:val="24"/>
        </w:rPr>
        <w:t>48.91t/d</w:t>
      </w:r>
      <w:r w:rsidRPr="00E01926">
        <w:rPr>
          <w:rFonts w:ascii="Calibri" w:hint="eastAsia"/>
          <w:color w:val="auto"/>
          <w:sz w:val="24"/>
        </w:rPr>
        <w:t>，</w:t>
      </w:r>
      <w:r w:rsidRPr="00E01926">
        <w:rPr>
          <w:rFonts w:ascii="Calibri" w:hint="eastAsia"/>
          <w:color w:val="auto"/>
          <w:sz w:val="24"/>
        </w:rPr>
        <w:t>14675.72t/a</w:t>
      </w:r>
      <w:r>
        <w:rPr>
          <w:rFonts w:ascii="Calibri" w:hint="eastAsia"/>
          <w:color w:val="auto"/>
          <w:sz w:val="24"/>
        </w:rPr>
        <w:t>，总废水量为</w:t>
      </w:r>
      <w:r w:rsidRPr="007D0738">
        <w:rPr>
          <w:rFonts w:ascii="Calibri"/>
          <w:color w:val="auto"/>
          <w:sz w:val="24"/>
        </w:rPr>
        <w:t>51.3</w:t>
      </w:r>
      <w:r>
        <w:rPr>
          <w:rFonts w:ascii="Calibri"/>
          <w:color w:val="auto"/>
          <w:sz w:val="24"/>
        </w:rPr>
        <w:t>0</w:t>
      </w:r>
      <w:r>
        <w:rPr>
          <w:rFonts w:ascii="Calibri" w:hint="eastAsia"/>
          <w:color w:val="auto"/>
          <w:sz w:val="24"/>
        </w:rPr>
        <w:t>t/d</w:t>
      </w:r>
      <w:r>
        <w:rPr>
          <w:rFonts w:ascii="Calibri" w:hint="eastAsia"/>
          <w:color w:val="auto"/>
          <w:sz w:val="24"/>
        </w:rPr>
        <w:t>（其中</w:t>
      </w:r>
      <w:r>
        <w:rPr>
          <w:rFonts w:ascii="Calibri"/>
          <w:color w:val="auto"/>
          <w:sz w:val="24"/>
        </w:rPr>
        <w:t>进入污水处理站</w:t>
      </w:r>
      <w:r w:rsidRPr="00E01926">
        <w:rPr>
          <w:rFonts w:ascii="Calibri"/>
          <w:color w:val="auto"/>
          <w:sz w:val="24"/>
        </w:rPr>
        <w:t>47.88</w:t>
      </w:r>
      <w:r>
        <w:rPr>
          <w:rFonts w:ascii="Calibri"/>
          <w:color w:val="auto"/>
          <w:sz w:val="24"/>
        </w:rPr>
        <w:t>t/d</w:t>
      </w:r>
      <w:r>
        <w:rPr>
          <w:rFonts w:ascii="Calibri" w:hint="eastAsia"/>
          <w:color w:val="auto"/>
          <w:sz w:val="24"/>
        </w:rPr>
        <w:t>，</w:t>
      </w:r>
      <w:r>
        <w:rPr>
          <w:rFonts w:ascii="Calibri"/>
          <w:color w:val="auto"/>
          <w:sz w:val="24"/>
        </w:rPr>
        <w:t>直接进入总排口</w:t>
      </w:r>
      <w:r>
        <w:rPr>
          <w:rFonts w:ascii="Calibri" w:hint="eastAsia"/>
          <w:color w:val="auto"/>
          <w:sz w:val="24"/>
        </w:rPr>
        <w:t>3.42</w:t>
      </w:r>
      <w:r>
        <w:rPr>
          <w:rFonts w:ascii="Calibri"/>
          <w:color w:val="auto"/>
          <w:sz w:val="24"/>
        </w:rPr>
        <w:t>t/d</w:t>
      </w:r>
      <w:r>
        <w:rPr>
          <w:rFonts w:ascii="Calibri" w:hint="eastAsia"/>
          <w:color w:val="auto"/>
          <w:sz w:val="24"/>
        </w:rPr>
        <w:t>），</w:t>
      </w:r>
      <w:r w:rsidRPr="00E01926">
        <w:rPr>
          <w:rFonts w:ascii="Calibri"/>
          <w:color w:val="auto"/>
          <w:sz w:val="24"/>
        </w:rPr>
        <w:t>15394.855</w:t>
      </w:r>
      <w:r>
        <w:rPr>
          <w:rFonts w:ascii="Calibri" w:hint="eastAsia"/>
          <w:color w:val="auto"/>
          <w:sz w:val="24"/>
        </w:rPr>
        <w:t>t/a</w:t>
      </w:r>
      <w:r>
        <w:rPr>
          <w:rFonts w:ascii="Calibri" w:hint="eastAsia"/>
          <w:color w:val="auto"/>
          <w:sz w:val="24"/>
        </w:rPr>
        <w:t>（其中进入污水处理站</w:t>
      </w:r>
      <w:r w:rsidRPr="00E01926">
        <w:rPr>
          <w:rFonts w:ascii="Calibri"/>
          <w:color w:val="auto"/>
          <w:sz w:val="24"/>
        </w:rPr>
        <w:t>14365.035</w:t>
      </w:r>
      <w:r>
        <w:rPr>
          <w:rFonts w:ascii="Calibri" w:hint="eastAsia"/>
          <w:color w:val="auto"/>
          <w:sz w:val="24"/>
        </w:rPr>
        <w:t>t/a</w:t>
      </w:r>
      <w:r>
        <w:rPr>
          <w:rFonts w:ascii="Calibri" w:hint="eastAsia"/>
          <w:color w:val="auto"/>
          <w:sz w:val="24"/>
        </w:rPr>
        <w:t>，直接进入总排口</w:t>
      </w:r>
      <w:r w:rsidRPr="00E01926">
        <w:rPr>
          <w:rFonts w:ascii="Calibri"/>
          <w:color w:val="auto"/>
          <w:sz w:val="24"/>
        </w:rPr>
        <w:t>1029.82</w:t>
      </w:r>
      <w:r>
        <w:rPr>
          <w:rFonts w:ascii="Calibri" w:hint="eastAsia"/>
          <w:color w:val="auto"/>
          <w:sz w:val="24"/>
        </w:rPr>
        <w:t>t/a</w:t>
      </w:r>
      <w:r>
        <w:rPr>
          <w:rFonts w:ascii="Calibri" w:hint="eastAsia"/>
          <w:color w:val="auto"/>
          <w:sz w:val="24"/>
        </w:rPr>
        <w:t>）；</w:t>
      </w:r>
      <w:r w:rsidRPr="00E01926">
        <w:rPr>
          <w:rFonts w:ascii="Calibri" w:hint="eastAsia"/>
          <w:color w:val="auto"/>
          <w:sz w:val="24"/>
        </w:rPr>
        <w:t>其中一期工程用水量为</w:t>
      </w:r>
      <w:r w:rsidRPr="00E01926">
        <w:rPr>
          <w:rFonts w:ascii="Calibri" w:hint="eastAsia"/>
          <w:color w:val="auto"/>
          <w:sz w:val="24"/>
        </w:rPr>
        <w:t>42.18t/d</w:t>
      </w:r>
      <w:r w:rsidRPr="00E01926">
        <w:rPr>
          <w:rFonts w:ascii="Calibri" w:hint="eastAsia"/>
          <w:color w:val="auto"/>
          <w:sz w:val="24"/>
        </w:rPr>
        <w:t>，</w:t>
      </w:r>
      <w:r w:rsidRPr="00E01926">
        <w:rPr>
          <w:rFonts w:ascii="Calibri" w:hint="eastAsia"/>
          <w:color w:val="auto"/>
          <w:sz w:val="24"/>
        </w:rPr>
        <w:t>12655.29t/a</w:t>
      </w:r>
      <w:r w:rsidRPr="00E01926">
        <w:rPr>
          <w:rFonts w:ascii="Calibri" w:hint="eastAsia"/>
          <w:color w:val="auto"/>
          <w:sz w:val="24"/>
        </w:rPr>
        <w:t>，废水量为</w:t>
      </w:r>
      <w:r w:rsidRPr="00E01926">
        <w:rPr>
          <w:rFonts w:ascii="Calibri" w:hint="eastAsia"/>
          <w:color w:val="auto"/>
          <w:sz w:val="24"/>
        </w:rPr>
        <w:t>42.421t/d</w:t>
      </w:r>
      <w:r w:rsidRPr="00E01926">
        <w:rPr>
          <w:rFonts w:ascii="Calibri" w:hint="eastAsia"/>
          <w:color w:val="auto"/>
          <w:sz w:val="24"/>
        </w:rPr>
        <w:t>，</w:t>
      </w:r>
      <w:r w:rsidRPr="00E01926">
        <w:rPr>
          <w:rFonts w:ascii="Calibri" w:hint="eastAsia"/>
          <w:color w:val="auto"/>
          <w:sz w:val="24"/>
        </w:rPr>
        <w:t>12726.96t/a</w:t>
      </w:r>
      <w:r w:rsidRPr="00E01926">
        <w:rPr>
          <w:rFonts w:ascii="Calibri" w:hint="eastAsia"/>
          <w:color w:val="auto"/>
          <w:sz w:val="24"/>
        </w:rPr>
        <w:t>；二期工程用水量为</w:t>
      </w:r>
      <w:r w:rsidRPr="00E01926">
        <w:rPr>
          <w:rFonts w:ascii="Calibri" w:hint="eastAsia"/>
          <w:color w:val="auto"/>
          <w:sz w:val="24"/>
        </w:rPr>
        <w:t>6.73t/d</w:t>
      </w:r>
      <w:r w:rsidRPr="00E01926">
        <w:rPr>
          <w:rFonts w:ascii="Calibri" w:hint="eastAsia"/>
          <w:color w:val="auto"/>
          <w:sz w:val="24"/>
        </w:rPr>
        <w:t>，</w:t>
      </w:r>
      <w:r w:rsidRPr="00E01926">
        <w:rPr>
          <w:rFonts w:ascii="Calibri" w:hint="eastAsia"/>
          <w:color w:val="auto"/>
          <w:sz w:val="24"/>
        </w:rPr>
        <w:t>2020.43t/a</w:t>
      </w:r>
      <w:r w:rsidRPr="00E01926">
        <w:rPr>
          <w:rFonts w:ascii="Calibri" w:hint="eastAsia"/>
          <w:color w:val="auto"/>
          <w:sz w:val="24"/>
        </w:rPr>
        <w:t>，废水量为</w:t>
      </w:r>
      <w:r w:rsidRPr="00E01926">
        <w:rPr>
          <w:rFonts w:ascii="Calibri" w:hint="eastAsia"/>
          <w:color w:val="auto"/>
          <w:sz w:val="24"/>
        </w:rPr>
        <w:t>8.889t/d</w:t>
      </w:r>
      <w:r w:rsidRPr="00E01926">
        <w:rPr>
          <w:rFonts w:ascii="Calibri" w:hint="eastAsia"/>
          <w:color w:val="auto"/>
          <w:sz w:val="24"/>
        </w:rPr>
        <w:t>，</w:t>
      </w:r>
      <w:r w:rsidRPr="00E01926">
        <w:rPr>
          <w:rFonts w:ascii="Calibri" w:hint="eastAsia"/>
          <w:color w:val="auto"/>
          <w:sz w:val="24"/>
        </w:rPr>
        <w:t>2667.895t/a</w:t>
      </w:r>
      <w:r w:rsidRPr="00E01926">
        <w:rPr>
          <w:rFonts w:ascii="Calibri" w:hint="eastAsia"/>
          <w:color w:val="auto"/>
          <w:sz w:val="24"/>
        </w:rPr>
        <w:t>。</w:t>
      </w:r>
      <w:r w:rsidRPr="00643331">
        <w:rPr>
          <w:rFonts w:ascii="Calibri" w:hint="eastAsia"/>
          <w:color w:val="auto"/>
          <w:sz w:val="24"/>
        </w:rPr>
        <w:t>循环水系统、纯水制备排水</w:t>
      </w:r>
      <w:r>
        <w:rPr>
          <w:rFonts w:ascii="Calibri" w:hint="eastAsia"/>
          <w:color w:val="auto"/>
          <w:sz w:val="24"/>
        </w:rPr>
        <w:t>与废水处理站出水一起通过厂区总排放口排入集聚区市政污水管网，进入平顶山</w:t>
      </w:r>
      <w:r>
        <w:rPr>
          <w:rFonts w:ascii="Calibri"/>
          <w:color w:val="auto"/>
          <w:sz w:val="24"/>
        </w:rPr>
        <w:t>第三污水处理厂</w:t>
      </w:r>
      <w:r>
        <w:rPr>
          <w:rFonts w:ascii="Calibri" w:hint="eastAsia"/>
          <w:color w:val="auto"/>
          <w:sz w:val="24"/>
        </w:rPr>
        <w:t>集中处理。</w:t>
      </w:r>
    </w:p>
    <w:p w14:paraId="0F327475" w14:textId="6CF95A71" w:rsidR="00033968" w:rsidRPr="00C27DB8" w:rsidRDefault="00033968" w:rsidP="00C27DB8">
      <w:pPr>
        <w:spacing w:line="520" w:lineRule="exact"/>
        <w:ind w:firstLineChars="200" w:firstLine="480"/>
        <w:rPr>
          <w:rFonts w:asciiTheme="minorHAnsi" w:hAnsiTheme="minorHAnsi"/>
          <w:sz w:val="24"/>
        </w:rPr>
      </w:pPr>
      <w:r>
        <w:rPr>
          <w:rFonts w:asciiTheme="minorHAnsi" w:hAnsiTheme="minorHAnsi" w:hint="eastAsia"/>
          <w:sz w:val="24"/>
        </w:rPr>
        <w:t>水喷淋塔废水</w:t>
      </w:r>
      <w:r>
        <w:rPr>
          <w:rFonts w:asciiTheme="minorHAnsi" w:hAnsiTheme="minorHAnsi"/>
          <w:sz w:val="24"/>
        </w:rPr>
        <w:t>、</w:t>
      </w:r>
      <w:r>
        <w:rPr>
          <w:rFonts w:asciiTheme="minorHAnsi" w:hAnsiTheme="minorHAnsi" w:hint="eastAsia"/>
          <w:sz w:val="24"/>
        </w:rPr>
        <w:t>聚合冷凝</w:t>
      </w:r>
      <w:r>
        <w:rPr>
          <w:rFonts w:asciiTheme="minorHAnsi" w:hAnsiTheme="minorHAnsi"/>
          <w:sz w:val="24"/>
        </w:rPr>
        <w:t>废水、制粒系统冷却水、真空系统排水、</w:t>
      </w:r>
      <w:r w:rsidR="0092085C">
        <w:rPr>
          <w:rFonts w:asciiTheme="minorHAnsi" w:hAnsiTheme="minorHAnsi" w:hint="eastAsia"/>
          <w:sz w:val="24"/>
        </w:rPr>
        <w:t>品控中心</w:t>
      </w:r>
      <w:r>
        <w:rPr>
          <w:rFonts w:asciiTheme="minorHAnsi" w:hAnsiTheme="minorHAnsi"/>
          <w:sz w:val="24"/>
        </w:rPr>
        <w:t>排水、车间地面冲洗废水</w:t>
      </w:r>
      <w:r>
        <w:rPr>
          <w:rFonts w:asciiTheme="minorHAnsi" w:hAnsiTheme="minorHAnsi" w:hint="eastAsia"/>
          <w:sz w:val="24"/>
        </w:rPr>
        <w:t>、</w:t>
      </w:r>
      <w:r>
        <w:rPr>
          <w:rFonts w:asciiTheme="minorHAnsi" w:hAnsiTheme="minorHAnsi"/>
          <w:sz w:val="24"/>
        </w:rPr>
        <w:t>生活污水，</w:t>
      </w:r>
      <w:r>
        <w:rPr>
          <w:rFonts w:asciiTheme="minorHAnsi" w:hAnsiTheme="minorHAnsi"/>
          <w:sz w:val="24"/>
          <w:szCs w:val="28"/>
        </w:rPr>
        <w:t>共计产生</w:t>
      </w:r>
      <w:r>
        <w:rPr>
          <w:rFonts w:asciiTheme="minorHAnsi" w:hAnsiTheme="minorHAnsi"/>
          <w:sz w:val="24"/>
        </w:rPr>
        <w:t>量</w:t>
      </w:r>
      <w:r w:rsidR="00C27DB8" w:rsidRPr="00E01926">
        <w:rPr>
          <w:rFonts w:ascii="Calibri"/>
          <w:color w:val="auto"/>
          <w:sz w:val="24"/>
        </w:rPr>
        <w:t>14365.035</w:t>
      </w:r>
      <w:r>
        <w:rPr>
          <w:rFonts w:asciiTheme="minorHAnsi" w:hAnsiTheme="minorHAnsi"/>
          <w:sz w:val="24"/>
        </w:rPr>
        <w:t>m</w:t>
      </w:r>
      <w:r>
        <w:rPr>
          <w:rFonts w:asciiTheme="minorHAnsi" w:hAnsiTheme="minorHAnsi"/>
          <w:sz w:val="24"/>
          <w:vertAlign w:val="superscript"/>
        </w:rPr>
        <w:t>3</w:t>
      </w:r>
      <w:r>
        <w:rPr>
          <w:rFonts w:asciiTheme="minorHAnsi" w:hAnsiTheme="minorHAnsi"/>
          <w:sz w:val="24"/>
        </w:rPr>
        <w:t>/a</w:t>
      </w:r>
      <w:r>
        <w:rPr>
          <w:rFonts w:asciiTheme="minorHAnsi" w:hAnsiTheme="minorHAnsi"/>
          <w:sz w:val="24"/>
        </w:rPr>
        <w:t>，最大日产生量</w:t>
      </w:r>
      <w:r w:rsidR="00C27DB8" w:rsidRPr="00C27DB8">
        <w:rPr>
          <w:rFonts w:asciiTheme="minorHAnsi" w:hAnsiTheme="minorHAnsi"/>
          <w:sz w:val="24"/>
        </w:rPr>
        <w:t>47.88</w:t>
      </w:r>
      <w:r>
        <w:rPr>
          <w:rFonts w:asciiTheme="minorHAnsi" w:hAnsiTheme="minorHAnsi"/>
          <w:sz w:val="24"/>
        </w:rPr>
        <w:t>m</w:t>
      </w:r>
      <w:r>
        <w:rPr>
          <w:rFonts w:asciiTheme="minorHAnsi" w:hAnsiTheme="minorHAnsi"/>
          <w:sz w:val="24"/>
          <w:vertAlign w:val="superscript"/>
        </w:rPr>
        <w:t>3</w:t>
      </w:r>
      <w:r>
        <w:rPr>
          <w:rFonts w:asciiTheme="minorHAnsi" w:hAnsiTheme="minorHAnsi"/>
          <w:sz w:val="24"/>
        </w:rPr>
        <w:t>/d</w:t>
      </w:r>
      <w:r>
        <w:rPr>
          <w:rFonts w:asciiTheme="minorHAnsi" w:hAnsiTheme="minorHAnsi"/>
          <w:sz w:val="24"/>
        </w:rPr>
        <w:t>，废水水质约为</w:t>
      </w:r>
      <w:r>
        <w:rPr>
          <w:rFonts w:asciiTheme="minorHAnsi" w:hAnsiTheme="minorHAnsi"/>
          <w:sz w:val="24"/>
        </w:rPr>
        <w:t>COD</w:t>
      </w:r>
      <w:r w:rsidRPr="00EF2B6E">
        <w:rPr>
          <w:rFonts w:asciiTheme="minorHAnsi" w:hAnsiTheme="minorHAnsi"/>
          <w:sz w:val="24"/>
        </w:rPr>
        <w:t>：</w:t>
      </w:r>
      <w:r w:rsidR="00C27DB8" w:rsidRPr="00C27DB8">
        <w:rPr>
          <w:rFonts w:ascii="Calibri" w:hAnsi="Calibri"/>
          <w:snapToGrid w:val="0"/>
          <w:sz w:val="24"/>
        </w:rPr>
        <w:t>2211.34</w:t>
      </w:r>
      <w:r w:rsidRPr="00EF2B6E">
        <w:rPr>
          <w:rFonts w:asciiTheme="minorHAnsi" w:hAnsiTheme="minorHAnsi"/>
          <w:sz w:val="24"/>
        </w:rPr>
        <w:t>mg/</w:t>
      </w:r>
      <w:r>
        <w:rPr>
          <w:rFonts w:asciiTheme="minorHAnsi" w:hAnsiTheme="minorHAnsi"/>
          <w:sz w:val="24"/>
        </w:rPr>
        <w:t>L</w:t>
      </w:r>
      <w:r>
        <w:rPr>
          <w:rFonts w:asciiTheme="minorHAnsi" w:hAnsiTheme="minorHAnsi"/>
          <w:sz w:val="24"/>
        </w:rPr>
        <w:t>、</w:t>
      </w:r>
      <w:r>
        <w:rPr>
          <w:rFonts w:asciiTheme="minorHAnsi" w:hAnsiTheme="minorHAnsi"/>
          <w:sz w:val="24"/>
        </w:rPr>
        <w:t>BOD</w:t>
      </w:r>
      <w:r>
        <w:rPr>
          <w:rFonts w:asciiTheme="minorHAnsi" w:hAnsiTheme="minorHAnsi"/>
          <w:sz w:val="24"/>
          <w:vertAlign w:val="subscript"/>
        </w:rPr>
        <w:t>5</w:t>
      </w:r>
      <w:r>
        <w:rPr>
          <w:rFonts w:asciiTheme="minorHAnsi" w:hAnsiTheme="minorHAnsi"/>
          <w:sz w:val="24"/>
        </w:rPr>
        <w:t>：</w:t>
      </w:r>
      <w:r w:rsidR="00C27DB8" w:rsidRPr="00C27DB8">
        <w:rPr>
          <w:rFonts w:asciiTheme="minorHAnsi" w:hAnsiTheme="minorHAnsi"/>
          <w:sz w:val="24"/>
        </w:rPr>
        <w:t>1102.95</w:t>
      </w:r>
      <w:r>
        <w:rPr>
          <w:rFonts w:asciiTheme="minorHAnsi" w:hAnsiTheme="minorHAnsi"/>
          <w:sz w:val="24"/>
        </w:rPr>
        <w:t>mg/L</w:t>
      </w:r>
      <w:r>
        <w:rPr>
          <w:rFonts w:asciiTheme="minorHAnsi" w:hAnsiTheme="minorHAnsi"/>
          <w:sz w:val="24"/>
        </w:rPr>
        <w:t>、</w:t>
      </w:r>
      <w:r>
        <w:rPr>
          <w:rFonts w:asciiTheme="minorHAnsi" w:hAnsiTheme="minorHAnsi"/>
          <w:sz w:val="24"/>
        </w:rPr>
        <w:t>NH</w:t>
      </w:r>
      <w:r w:rsidRPr="00EF2B6E">
        <w:rPr>
          <w:rFonts w:asciiTheme="minorHAnsi" w:hAnsiTheme="minorHAnsi"/>
          <w:sz w:val="24"/>
          <w:vertAlign w:val="subscript"/>
        </w:rPr>
        <w:t>3</w:t>
      </w:r>
      <w:r>
        <w:rPr>
          <w:rFonts w:asciiTheme="minorHAnsi" w:hAnsiTheme="minorHAnsi"/>
          <w:sz w:val="24"/>
        </w:rPr>
        <w:t>-N</w:t>
      </w:r>
      <w:r>
        <w:rPr>
          <w:rFonts w:asciiTheme="minorHAnsi" w:hAnsiTheme="minorHAnsi"/>
          <w:sz w:val="24"/>
        </w:rPr>
        <w:t>：</w:t>
      </w:r>
      <w:r w:rsidR="00C27DB8" w:rsidRPr="00C27DB8">
        <w:rPr>
          <w:rFonts w:asciiTheme="minorHAnsi" w:hAnsiTheme="minorHAnsi"/>
          <w:sz w:val="24"/>
        </w:rPr>
        <w:t>148.97</w:t>
      </w:r>
      <w:r>
        <w:rPr>
          <w:rFonts w:asciiTheme="minorHAnsi" w:hAnsiTheme="minorHAnsi"/>
          <w:sz w:val="24"/>
        </w:rPr>
        <w:t>mg/L</w:t>
      </w:r>
      <w:r>
        <w:rPr>
          <w:rFonts w:asciiTheme="minorHAnsi" w:hAnsiTheme="minorHAnsi"/>
          <w:sz w:val="24"/>
        </w:rPr>
        <w:t>、</w:t>
      </w:r>
      <w:r w:rsidR="00C27DB8">
        <w:rPr>
          <w:rFonts w:asciiTheme="minorHAnsi" w:hAnsiTheme="minorHAnsi" w:hint="eastAsia"/>
          <w:sz w:val="24"/>
        </w:rPr>
        <w:t>TN</w:t>
      </w:r>
      <w:r w:rsidR="00C27DB8">
        <w:rPr>
          <w:rFonts w:asciiTheme="minorHAnsi" w:hAnsiTheme="minorHAnsi"/>
          <w:sz w:val="24"/>
        </w:rPr>
        <w:t>：</w:t>
      </w:r>
      <w:r w:rsidR="00C27DB8" w:rsidRPr="00C27DB8">
        <w:rPr>
          <w:rFonts w:asciiTheme="minorHAnsi" w:hAnsiTheme="minorHAnsi"/>
          <w:sz w:val="24"/>
        </w:rPr>
        <w:t>134.49</w:t>
      </w:r>
      <w:r w:rsidR="00C27DB8">
        <w:rPr>
          <w:rFonts w:asciiTheme="minorHAnsi" w:hAnsiTheme="minorHAnsi"/>
          <w:sz w:val="24"/>
        </w:rPr>
        <w:t>mg/L</w:t>
      </w:r>
      <w:r w:rsidR="00C27DB8">
        <w:rPr>
          <w:rFonts w:asciiTheme="minorHAnsi" w:hAnsiTheme="minorHAnsi"/>
          <w:sz w:val="24"/>
        </w:rPr>
        <w:t>、</w:t>
      </w:r>
      <w:r>
        <w:rPr>
          <w:rFonts w:asciiTheme="minorHAnsi" w:hAnsiTheme="minorHAnsi"/>
          <w:sz w:val="24"/>
        </w:rPr>
        <w:t>SS</w:t>
      </w:r>
      <w:r>
        <w:rPr>
          <w:rFonts w:asciiTheme="minorHAnsi" w:hAnsiTheme="minorHAnsi"/>
          <w:sz w:val="24"/>
        </w:rPr>
        <w:t>：</w:t>
      </w:r>
      <w:r w:rsidR="00C27DB8" w:rsidRPr="00C27DB8">
        <w:rPr>
          <w:rFonts w:asciiTheme="minorHAnsi" w:hAnsiTheme="minorHAnsi"/>
          <w:sz w:val="24"/>
        </w:rPr>
        <w:t>120.45</w:t>
      </w:r>
      <w:r>
        <w:rPr>
          <w:rFonts w:asciiTheme="minorHAnsi" w:hAnsiTheme="minorHAnsi"/>
          <w:sz w:val="24"/>
        </w:rPr>
        <w:t>mg/L</w:t>
      </w:r>
      <w:r>
        <w:rPr>
          <w:rFonts w:asciiTheme="minorHAnsi" w:hAnsiTheme="minorHAnsi"/>
          <w:sz w:val="24"/>
        </w:rPr>
        <w:t>。该部分</w:t>
      </w:r>
      <w:r w:rsidR="00E01926">
        <w:rPr>
          <w:rFonts w:asciiTheme="minorHAnsi" w:hAnsiTheme="minorHAnsi"/>
          <w:sz w:val="24"/>
          <w:szCs w:val="28"/>
        </w:rPr>
        <w:t>经厂内污水处理站处理后，进入平顶山</w:t>
      </w:r>
      <w:r>
        <w:rPr>
          <w:rFonts w:asciiTheme="minorHAnsi" w:hAnsiTheme="minorHAnsi"/>
          <w:sz w:val="24"/>
          <w:szCs w:val="28"/>
        </w:rPr>
        <w:t>第三污水处理厂进行处理，处理达标后汇入关庙沟</w:t>
      </w:r>
      <w:r>
        <w:rPr>
          <w:rFonts w:asciiTheme="minorHAnsi" w:hAnsiTheme="minorHAnsi"/>
          <w:sz w:val="24"/>
          <w:szCs w:val="28"/>
        </w:rPr>
        <w:t>-</w:t>
      </w:r>
      <w:r>
        <w:rPr>
          <w:rFonts w:asciiTheme="minorHAnsi" w:hAnsiTheme="minorHAnsi"/>
          <w:sz w:val="24"/>
          <w:szCs w:val="28"/>
        </w:rPr>
        <w:t>灰河。</w:t>
      </w:r>
    </w:p>
    <w:p w14:paraId="71DF4A1A" w14:textId="54879595" w:rsidR="00C27DB8" w:rsidRDefault="00C27DB8" w:rsidP="00364EBD">
      <w:pPr>
        <w:pStyle w:val="00"/>
        <w:ind w:firstLineChars="200"/>
        <w:rPr>
          <w:rFonts w:ascii="Calibri"/>
          <w:color w:val="auto"/>
        </w:rPr>
      </w:pPr>
      <w:r w:rsidRPr="00C27DB8">
        <w:rPr>
          <w:rFonts w:ascii="Calibri" w:hint="eastAsia"/>
          <w:color w:val="auto"/>
        </w:rPr>
        <w:t>废水处理站出水与循环水系统、纯水</w:t>
      </w:r>
      <w:r w:rsidRPr="00C27DB8">
        <w:rPr>
          <w:rFonts w:ascii="Calibri"/>
          <w:color w:val="auto"/>
        </w:rPr>
        <w:t>制备</w:t>
      </w:r>
      <w:r w:rsidRPr="00C27DB8">
        <w:rPr>
          <w:rFonts w:ascii="Calibri" w:hint="eastAsia"/>
          <w:color w:val="auto"/>
        </w:rPr>
        <w:t>排水混合后在厂区废水总排放口水质情况为：</w:t>
      </w:r>
      <w:r w:rsidRPr="00C27DB8">
        <w:rPr>
          <w:rFonts w:ascii="Calibri" w:hint="eastAsia"/>
          <w:color w:val="auto"/>
        </w:rPr>
        <w:t>COD</w:t>
      </w:r>
      <w:r w:rsidRPr="00C27DB8">
        <w:rPr>
          <w:rFonts w:ascii="Calibri" w:hint="eastAsia"/>
          <w:color w:val="auto"/>
        </w:rPr>
        <w:t>：</w:t>
      </w:r>
      <w:r w:rsidRPr="00C27DB8">
        <w:rPr>
          <w:rFonts w:ascii="Calibri"/>
          <w:color w:val="auto"/>
        </w:rPr>
        <w:t>191.72mg/L</w:t>
      </w:r>
      <w:r w:rsidRPr="00C27DB8">
        <w:rPr>
          <w:rFonts w:ascii="Calibri" w:hint="eastAsia"/>
          <w:color w:val="auto"/>
        </w:rPr>
        <w:t>，</w:t>
      </w:r>
      <w:r w:rsidRPr="00C27DB8">
        <w:rPr>
          <w:rFonts w:ascii="Calibri" w:hint="eastAsia"/>
          <w:color w:val="auto"/>
        </w:rPr>
        <w:t>BOD</w:t>
      </w:r>
      <w:r w:rsidRPr="00364EBD">
        <w:rPr>
          <w:rFonts w:ascii="Calibri" w:hint="eastAsia"/>
          <w:color w:val="auto"/>
          <w:vertAlign w:val="subscript"/>
        </w:rPr>
        <w:t>5</w:t>
      </w:r>
      <w:r w:rsidRPr="00C27DB8">
        <w:rPr>
          <w:rFonts w:ascii="Calibri" w:hint="eastAsia"/>
          <w:color w:val="auto"/>
        </w:rPr>
        <w:t>：</w:t>
      </w:r>
      <w:r w:rsidRPr="00C27DB8">
        <w:rPr>
          <w:rFonts w:ascii="Calibri"/>
          <w:color w:val="auto"/>
        </w:rPr>
        <w:t>102.95</w:t>
      </w:r>
      <w:r w:rsidRPr="00C27DB8">
        <w:rPr>
          <w:rFonts w:ascii="Calibri" w:hint="eastAsia"/>
          <w:color w:val="auto"/>
        </w:rPr>
        <w:t>mg/L</w:t>
      </w:r>
      <w:r w:rsidRPr="00C27DB8">
        <w:rPr>
          <w:rFonts w:ascii="Calibri" w:hint="eastAsia"/>
          <w:color w:val="auto"/>
        </w:rPr>
        <w:t>，氨氮：</w:t>
      </w:r>
      <w:r w:rsidRPr="00C27DB8">
        <w:rPr>
          <w:rFonts w:ascii="Calibri"/>
          <w:color w:val="auto"/>
        </w:rPr>
        <w:t>23.63</w:t>
      </w:r>
      <w:r w:rsidRPr="00C27DB8">
        <w:rPr>
          <w:rFonts w:ascii="Calibri" w:hint="eastAsia"/>
          <w:color w:val="auto"/>
        </w:rPr>
        <w:t>mg/L</w:t>
      </w:r>
      <w:r w:rsidRPr="00C27DB8">
        <w:rPr>
          <w:rFonts w:ascii="Calibri" w:hint="eastAsia"/>
          <w:color w:val="auto"/>
        </w:rPr>
        <w:t>，总氮</w:t>
      </w:r>
      <w:r w:rsidRPr="00C27DB8">
        <w:rPr>
          <w:rFonts w:ascii="Calibri"/>
          <w:color w:val="auto"/>
        </w:rPr>
        <w:t>：</w:t>
      </w:r>
      <w:r w:rsidRPr="00C27DB8">
        <w:rPr>
          <w:rFonts w:ascii="Calibri" w:hint="eastAsia"/>
          <w:color w:val="auto"/>
        </w:rPr>
        <w:t>21.33mg/L</w:t>
      </w:r>
      <w:r w:rsidRPr="00C27DB8">
        <w:rPr>
          <w:rFonts w:ascii="Calibri" w:hint="eastAsia"/>
          <w:color w:val="auto"/>
        </w:rPr>
        <w:t>，</w:t>
      </w:r>
      <w:r w:rsidRPr="00C27DB8">
        <w:rPr>
          <w:rFonts w:ascii="Calibri" w:hint="eastAsia"/>
          <w:color w:val="auto"/>
        </w:rPr>
        <w:t>SS</w:t>
      </w:r>
      <w:r w:rsidRPr="00C27DB8">
        <w:rPr>
          <w:rFonts w:ascii="Calibri" w:hint="eastAsia"/>
          <w:color w:val="auto"/>
        </w:rPr>
        <w:t>：</w:t>
      </w:r>
      <w:r w:rsidRPr="00C27DB8">
        <w:rPr>
          <w:rFonts w:ascii="Calibri"/>
          <w:color w:val="auto"/>
        </w:rPr>
        <w:t>25.82</w:t>
      </w:r>
      <w:r w:rsidRPr="00C27DB8">
        <w:rPr>
          <w:rFonts w:ascii="Calibri" w:hint="eastAsia"/>
          <w:color w:val="auto"/>
        </w:rPr>
        <w:t>mg/L</w:t>
      </w:r>
      <w:r w:rsidRPr="00C27DB8">
        <w:rPr>
          <w:rFonts w:ascii="Calibri" w:hint="eastAsia"/>
          <w:color w:val="auto"/>
        </w:rPr>
        <w:t>；各污染物排放浓度均满足《合成树脂工业污染物排放标准》（</w:t>
      </w:r>
      <w:r w:rsidRPr="00C27DB8">
        <w:rPr>
          <w:rFonts w:ascii="Calibri" w:hint="eastAsia"/>
          <w:color w:val="auto"/>
        </w:rPr>
        <w:t>GB31571-2015</w:t>
      </w:r>
      <w:r w:rsidRPr="00C27DB8">
        <w:rPr>
          <w:rFonts w:ascii="Calibri" w:hint="eastAsia"/>
          <w:color w:val="auto"/>
        </w:rPr>
        <w:t>）表</w:t>
      </w:r>
      <w:r w:rsidRPr="00C27DB8">
        <w:rPr>
          <w:rFonts w:ascii="Calibri" w:hint="eastAsia"/>
          <w:color w:val="auto"/>
        </w:rPr>
        <w:t>1</w:t>
      </w:r>
      <w:r w:rsidRPr="00C27DB8">
        <w:rPr>
          <w:rFonts w:ascii="Calibri" w:hint="eastAsia"/>
          <w:color w:val="auto"/>
        </w:rPr>
        <w:t>标间接排放标准及《化工行业水污染物间接排放标准》（</w:t>
      </w:r>
      <w:r w:rsidRPr="00C27DB8">
        <w:rPr>
          <w:rFonts w:ascii="Calibri" w:hint="eastAsia"/>
          <w:color w:val="auto"/>
        </w:rPr>
        <w:t>DB41/1135-2016</w:t>
      </w:r>
      <w:r w:rsidRPr="00C27DB8">
        <w:rPr>
          <w:rFonts w:ascii="Calibri" w:hint="eastAsia"/>
          <w:color w:val="auto"/>
        </w:rPr>
        <w:t>），同时满足集聚区污水处理厂设计进水指标，可以实现达标排放，且集聚区污水处理厂设计出水指标</w:t>
      </w:r>
      <w:r w:rsidRPr="00C27DB8">
        <w:rPr>
          <w:rFonts w:ascii="Calibri" w:hint="eastAsia"/>
          <w:color w:val="auto"/>
        </w:rPr>
        <w:t>COD</w:t>
      </w:r>
      <w:r w:rsidRPr="00C27DB8">
        <w:rPr>
          <w:rFonts w:ascii="Calibri" w:hint="eastAsia"/>
          <w:color w:val="auto"/>
        </w:rPr>
        <w:t>≤</w:t>
      </w:r>
      <w:r w:rsidRPr="00C27DB8">
        <w:rPr>
          <w:rFonts w:ascii="Calibri" w:hint="eastAsia"/>
          <w:color w:val="auto"/>
        </w:rPr>
        <w:t>30mg/L</w:t>
      </w:r>
      <w:r w:rsidRPr="00C27DB8">
        <w:rPr>
          <w:rFonts w:ascii="Calibri" w:hint="eastAsia"/>
          <w:color w:val="auto"/>
        </w:rPr>
        <w:t>，氨氮≤</w:t>
      </w:r>
      <w:r w:rsidRPr="00C27DB8">
        <w:rPr>
          <w:rFonts w:ascii="Calibri" w:hint="eastAsia"/>
          <w:color w:val="auto"/>
        </w:rPr>
        <w:t>1.5mg/L</w:t>
      </w:r>
      <w:r w:rsidRPr="00C27DB8">
        <w:rPr>
          <w:rFonts w:ascii="Calibri" w:hint="eastAsia"/>
          <w:color w:val="auto"/>
        </w:rPr>
        <w:t>，总磷≤</w:t>
      </w:r>
      <w:r w:rsidRPr="00C27DB8">
        <w:rPr>
          <w:rFonts w:ascii="Calibri" w:hint="eastAsia"/>
          <w:color w:val="auto"/>
        </w:rPr>
        <w:t>0.3mg/L</w:t>
      </w:r>
      <w:r w:rsidRPr="00C27DB8">
        <w:rPr>
          <w:rFonts w:ascii="Calibri" w:hint="eastAsia"/>
          <w:color w:val="auto"/>
        </w:rPr>
        <w:t>，其他污染物满足《城镇污水处理厂污染物排放标准》（</w:t>
      </w:r>
      <w:r w:rsidRPr="00C27DB8">
        <w:rPr>
          <w:rFonts w:ascii="Calibri" w:hint="eastAsia"/>
          <w:color w:val="auto"/>
        </w:rPr>
        <w:t>GB18918-2002</w:t>
      </w:r>
      <w:r w:rsidRPr="00C27DB8">
        <w:rPr>
          <w:rFonts w:ascii="Calibri" w:hint="eastAsia"/>
          <w:color w:val="auto"/>
        </w:rPr>
        <w:t>）一级</w:t>
      </w:r>
      <w:r w:rsidRPr="00C27DB8">
        <w:rPr>
          <w:rFonts w:ascii="Calibri" w:hint="eastAsia"/>
          <w:color w:val="auto"/>
        </w:rPr>
        <w:t>A</w:t>
      </w:r>
      <w:r w:rsidRPr="00C27DB8">
        <w:rPr>
          <w:rFonts w:ascii="Calibri" w:hint="eastAsia"/>
          <w:color w:val="auto"/>
        </w:rPr>
        <w:t>标准，由此可知，本项目废水在厂区自建废水处理站和集聚区污水处理厂双重处理下，各污染物排放浓度较低，</w:t>
      </w:r>
      <w:r w:rsidRPr="00C27DB8">
        <w:rPr>
          <w:rFonts w:ascii="Calibri" w:hint="eastAsia"/>
          <w:color w:val="auto"/>
        </w:rPr>
        <w:lastRenderedPageBreak/>
        <w:t>对当地地表水环境影响不大。</w:t>
      </w:r>
    </w:p>
    <w:p w14:paraId="2D8FA214" w14:textId="77777777" w:rsidR="0055605A" w:rsidRPr="00A964FF" w:rsidRDefault="0055605A" w:rsidP="0055605A">
      <w:pPr>
        <w:pStyle w:val="00"/>
        <w:rPr>
          <w:rFonts w:ascii="Calibri"/>
          <w:color w:val="auto"/>
        </w:rPr>
      </w:pPr>
      <w:r w:rsidRPr="00A964FF">
        <w:rPr>
          <w:rFonts w:ascii="Calibri" w:hint="eastAsia"/>
          <w:color w:val="auto"/>
        </w:rPr>
        <w:t>（</w:t>
      </w:r>
      <w:r w:rsidRPr="00A964FF">
        <w:rPr>
          <w:rFonts w:ascii="Calibri" w:hint="eastAsia"/>
          <w:color w:val="auto"/>
        </w:rPr>
        <w:t>3</w:t>
      </w:r>
      <w:r w:rsidRPr="00A964FF">
        <w:rPr>
          <w:rFonts w:ascii="Calibri" w:hint="eastAsia"/>
          <w:color w:val="auto"/>
        </w:rPr>
        <w:t>）地下水污染防治措施</w:t>
      </w:r>
    </w:p>
    <w:p w14:paraId="7A49AE9B" w14:textId="77777777" w:rsidR="007046E8" w:rsidRPr="00A964FF" w:rsidRDefault="00FD3089" w:rsidP="0008646C">
      <w:pPr>
        <w:pStyle w:val="00"/>
        <w:rPr>
          <w:rFonts w:ascii="Calibri"/>
          <w:color w:val="auto"/>
        </w:rPr>
      </w:pPr>
      <w:r w:rsidRPr="00A964FF">
        <w:rPr>
          <w:rFonts w:ascii="Calibri" w:hint="eastAsia"/>
          <w:color w:val="auto"/>
        </w:rPr>
        <w:t>企业应</w:t>
      </w:r>
      <w:r w:rsidR="00073EF0" w:rsidRPr="00A964FF">
        <w:rPr>
          <w:rFonts w:ascii="Calibri" w:hint="eastAsia"/>
          <w:color w:val="auto"/>
        </w:rPr>
        <w:t>在做好厂区</w:t>
      </w:r>
      <w:r w:rsidR="007046E8" w:rsidRPr="00A964FF">
        <w:rPr>
          <w:rFonts w:ascii="Calibri" w:hint="eastAsia"/>
          <w:color w:val="auto"/>
        </w:rPr>
        <w:t>生产装置区</w:t>
      </w:r>
      <w:r w:rsidR="0008646C">
        <w:rPr>
          <w:rFonts w:ascii="Calibri" w:hint="eastAsia"/>
          <w:color w:val="auto"/>
        </w:rPr>
        <w:t>一层</w:t>
      </w:r>
      <w:r w:rsidR="007046E8" w:rsidRPr="00A964FF">
        <w:rPr>
          <w:rFonts w:ascii="Calibri" w:hint="eastAsia"/>
          <w:color w:val="auto"/>
        </w:rPr>
        <w:t>、仓库、废水处理站、危废暂存间</w:t>
      </w:r>
      <w:r w:rsidR="0008646C">
        <w:rPr>
          <w:rFonts w:ascii="Calibri" w:hint="eastAsia"/>
          <w:color w:val="auto"/>
        </w:rPr>
        <w:t>、</w:t>
      </w:r>
      <w:r w:rsidR="007046E8" w:rsidRPr="00A964FF">
        <w:rPr>
          <w:rFonts w:ascii="Calibri" w:hint="eastAsia"/>
          <w:color w:val="auto"/>
        </w:rPr>
        <w:t>事故池、初期雨水收集池等</w:t>
      </w:r>
      <w:r w:rsidR="0008646C">
        <w:rPr>
          <w:rFonts w:ascii="Calibri" w:hint="eastAsia"/>
          <w:color w:val="auto"/>
        </w:rPr>
        <w:t>进行</w:t>
      </w:r>
      <w:r w:rsidR="0008646C">
        <w:rPr>
          <w:rFonts w:ascii="Calibri"/>
          <w:color w:val="auto"/>
        </w:rPr>
        <w:t>一般防渗</w:t>
      </w:r>
      <w:r w:rsidR="007046E8" w:rsidRPr="00A964FF">
        <w:rPr>
          <w:rFonts w:ascii="Calibri" w:hint="eastAsia"/>
          <w:color w:val="auto"/>
        </w:rPr>
        <w:t>处理和维护管理</w:t>
      </w:r>
      <w:r w:rsidR="0008646C">
        <w:rPr>
          <w:rFonts w:ascii="Calibri" w:hint="eastAsia"/>
          <w:color w:val="auto"/>
        </w:rPr>
        <w:t>。</w:t>
      </w:r>
      <w:r w:rsidR="007046E8" w:rsidRPr="00A964FF">
        <w:rPr>
          <w:rFonts w:ascii="Calibri" w:hint="eastAsia"/>
          <w:color w:val="auto"/>
        </w:rPr>
        <w:t>在采取完善的防渗防腐措施，大大降低了污染物泄漏的几率，本项目正常生产对周边地下水影响不大。厂区设置</w:t>
      </w:r>
      <w:r w:rsidR="007046E8" w:rsidRPr="00A964FF">
        <w:rPr>
          <w:rFonts w:ascii="Calibri" w:hint="eastAsia"/>
          <w:color w:val="auto"/>
        </w:rPr>
        <w:t>3</w:t>
      </w:r>
      <w:r w:rsidR="007046E8" w:rsidRPr="00A964FF">
        <w:rPr>
          <w:rFonts w:ascii="Calibri" w:hint="eastAsia"/>
          <w:color w:val="auto"/>
        </w:rPr>
        <w:t>眼跟踪监测井，在生产运营过程中，应按照监测计划，及时开展跟踪监测。企业制定相应的地下水污染应急响应预案，在地下水跟踪监测过程中，发现地下水受到污染，应立即启动应急响应预案。</w:t>
      </w:r>
    </w:p>
    <w:p w14:paraId="77BC6C3D" w14:textId="77777777" w:rsidR="007046E8" w:rsidRPr="00A964FF" w:rsidRDefault="007046E8" w:rsidP="007046E8">
      <w:pPr>
        <w:pStyle w:val="00"/>
        <w:rPr>
          <w:rFonts w:ascii="Calibri"/>
          <w:color w:val="auto"/>
        </w:rPr>
      </w:pPr>
      <w:r w:rsidRPr="00A964FF">
        <w:rPr>
          <w:rFonts w:ascii="Calibri" w:hint="eastAsia"/>
          <w:color w:val="auto"/>
        </w:rPr>
        <w:t>（</w:t>
      </w:r>
      <w:r w:rsidRPr="00A964FF">
        <w:rPr>
          <w:rFonts w:ascii="Calibri" w:hint="eastAsia"/>
          <w:color w:val="auto"/>
        </w:rPr>
        <w:t>4</w:t>
      </w:r>
      <w:r w:rsidRPr="00A964FF">
        <w:rPr>
          <w:rFonts w:ascii="Calibri" w:hint="eastAsia"/>
          <w:color w:val="auto"/>
        </w:rPr>
        <w:t>）</w:t>
      </w:r>
      <w:r w:rsidRPr="00A964FF">
        <w:rPr>
          <w:rFonts w:ascii="Calibri"/>
          <w:color w:val="auto"/>
        </w:rPr>
        <w:t>噪声</w:t>
      </w:r>
      <w:r w:rsidRPr="00A964FF">
        <w:rPr>
          <w:rFonts w:ascii="Calibri" w:hint="eastAsia"/>
          <w:color w:val="auto"/>
        </w:rPr>
        <w:t>污染防治措施</w:t>
      </w:r>
    </w:p>
    <w:p w14:paraId="12914AC9" w14:textId="77777777" w:rsidR="0055605A" w:rsidRPr="00A964FF" w:rsidRDefault="00073EF0" w:rsidP="0055605A">
      <w:pPr>
        <w:pStyle w:val="00"/>
        <w:rPr>
          <w:rFonts w:ascii="Calibri"/>
          <w:color w:val="auto"/>
        </w:rPr>
      </w:pPr>
      <w:r w:rsidRPr="00A964FF">
        <w:rPr>
          <w:rFonts w:ascii="Calibri" w:hint="eastAsia"/>
          <w:color w:val="auto"/>
        </w:rPr>
        <w:t>本</w:t>
      </w:r>
      <w:r w:rsidR="0055605A" w:rsidRPr="00A964FF">
        <w:rPr>
          <w:rFonts w:ascii="Calibri"/>
          <w:color w:val="auto"/>
        </w:rPr>
        <w:t>项目运营后</w:t>
      </w:r>
      <w:r w:rsidR="0055605A" w:rsidRPr="00A964FF">
        <w:rPr>
          <w:rFonts w:ascii="Calibri" w:hint="eastAsia"/>
          <w:color w:val="auto"/>
        </w:rPr>
        <w:t>高噪声设备</w:t>
      </w:r>
      <w:r w:rsidR="00FD3089" w:rsidRPr="00A964FF">
        <w:rPr>
          <w:rFonts w:ascii="Calibri" w:hint="eastAsia"/>
          <w:color w:val="auto"/>
        </w:rPr>
        <w:t>主要有</w:t>
      </w:r>
      <w:r w:rsidR="00136408" w:rsidRPr="00A964FF">
        <w:rPr>
          <w:rFonts w:ascii="Calibri" w:hint="eastAsia"/>
          <w:color w:val="auto"/>
        </w:rPr>
        <w:t>各类生产</w:t>
      </w:r>
      <w:r w:rsidR="00B91D26" w:rsidRPr="00A964FF">
        <w:rPr>
          <w:rFonts w:ascii="Calibri" w:hAnsi="Calibri" w:hint="eastAsia"/>
          <w:color w:val="auto"/>
        </w:rPr>
        <w:t>设备、</w:t>
      </w:r>
      <w:r w:rsidR="007046E8" w:rsidRPr="00A964FF">
        <w:rPr>
          <w:rFonts w:ascii="Calibri" w:hAnsi="Calibri" w:hint="eastAsia"/>
          <w:color w:val="auto"/>
        </w:rPr>
        <w:t>各类泵机、各类风机等</w:t>
      </w:r>
      <w:r w:rsidR="0055605A" w:rsidRPr="00A964FF">
        <w:rPr>
          <w:rFonts w:ascii="Calibri" w:hint="eastAsia"/>
          <w:color w:val="auto"/>
        </w:rPr>
        <w:t>，噪声源强为</w:t>
      </w:r>
      <w:r w:rsidR="007046E8" w:rsidRPr="00A964FF">
        <w:rPr>
          <w:rFonts w:ascii="Calibri" w:hint="eastAsia"/>
          <w:color w:val="auto"/>
        </w:rPr>
        <w:t>8</w:t>
      </w:r>
      <w:r w:rsidR="00DD4CAB">
        <w:rPr>
          <w:rFonts w:ascii="Calibri"/>
          <w:color w:val="auto"/>
        </w:rPr>
        <w:t>5</w:t>
      </w:r>
      <w:r w:rsidR="0055605A" w:rsidRPr="00A964FF">
        <w:rPr>
          <w:rFonts w:ascii="Calibri" w:hint="eastAsia"/>
          <w:color w:val="auto"/>
        </w:rPr>
        <w:t>～</w:t>
      </w:r>
      <w:r w:rsidR="00FD3089" w:rsidRPr="00A964FF">
        <w:rPr>
          <w:rFonts w:ascii="Calibri" w:hint="eastAsia"/>
          <w:color w:val="auto"/>
        </w:rPr>
        <w:t>9</w:t>
      </w:r>
      <w:r w:rsidR="00DD4CAB">
        <w:rPr>
          <w:rFonts w:ascii="Calibri"/>
          <w:color w:val="auto"/>
        </w:rPr>
        <w:t>0</w:t>
      </w:r>
      <w:r w:rsidR="0055605A" w:rsidRPr="00A964FF">
        <w:rPr>
          <w:rFonts w:ascii="Calibri"/>
          <w:bCs/>
          <w:color w:val="auto"/>
        </w:rPr>
        <w:t>dB</w:t>
      </w:r>
      <w:r w:rsidR="0055605A" w:rsidRPr="00A964FF">
        <w:rPr>
          <w:rFonts w:ascii="Calibri" w:hint="eastAsia"/>
          <w:bCs/>
          <w:color w:val="auto"/>
        </w:rPr>
        <w:t>，</w:t>
      </w:r>
      <w:r w:rsidR="0055605A" w:rsidRPr="00A964FF">
        <w:rPr>
          <w:rFonts w:ascii="Calibri"/>
          <w:color w:val="auto"/>
        </w:rPr>
        <w:t>采用</w:t>
      </w:r>
      <w:r w:rsidR="0055605A" w:rsidRPr="00A964FF">
        <w:rPr>
          <w:rFonts w:ascii="Calibri" w:hint="eastAsia"/>
          <w:color w:val="auto"/>
        </w:rPr>
        <w:t>隔声、减振及</w:t>
      </w:r>
      <w:r w:rsidR="0055605A" w:rsidRPr="00A964FF">
        <w:rPr>
          <w:rFonts w:ascii="Calibri"/>
          <w:color w:val="auto"/>
        </w:rPr>
        <w:t>声学材料护围屏蔽噪声，</w:t>
      </w:r>
      <w:r w:rsidR="00136408" w:rsidRPr="00A964FF">
        <w:rPr>
          <w:rFonts w:ascii="Calibri" w:hint="eastAsia"/>
          <w:color w:val="auto"/>
        </w:rPr>
        <w:t>风机加装消声装置等</w:t>
      </w:r>
      <w:r w:rsidR="00184C54" w:rsidRPr="00A964FF">
        <w:rPr>
          <w:rFonts w:ascii="Calibri" w:hint="eastAsia"/>
          <w:color w:val="auto"/>
        </w:rPr>
        <w:t>降噪措施</w:t>
      </w:r>
      <w:r w:rsidR="00136408" w:rsidRPr="00A964FF">
        <w:rPr>
          <w:rFonts w:ascii="Calibri" w:hint="eastAsia"/>
          <w:color w:val="auto"/>
        </w:rPr>
        <w:t>，</w:t>
      </w:r>
      <w:r w:rsidR="0055605A" w:rsidRPr="00A964FF">
        <w:rPr>
          <w:rFonts w:ascii="Calibri"/>
          <w:color w:val="auto"/>
        </w:rPr>
        <w:t>其隔声量能达到</w:t>
      </w:r>
      <w:r w:rsidR="00FD3089" w:rsidRPr="00A964FF">
        <w:rPr>
          <w:rFonts w:ascii="Calibri" w:hAnsi="Calibri" w:hint="eastAsia"/>
          <w:color w:val="auto"/>
        </w:rPr>
        <w:t>25</w:t>
      </w:r>
      <w:r w:rsidR="0055605A" w:rsidRPr="00A964FF">
        <w:rPr>
          <w:rFonts w:ascii="Calibri" w:hAnsi="Calibri"/>
          <w:color w:val="auto"/>
        </w:rPr>
        <w:t>dB</w:t>
      </w:r>
      <w:r w:rsidR="0055605A" w:rsidRPr="00A964FF">
        <w:rPr>
          <w:rFonts w:ascii="Calibri" w:hAnsi="Calibri" w:hint="eastAsia"/>
          <w:color w:val="auto"/>
        </w:rPr>
        <w:t>（</w:t>
      </w:r>
      <w:r w:rsidR="0055605A" w:rsidRPr="00A964FF">
        <w:rPr>
          <w:rFonts w:ascii="Calibri" w:hAnsi="Calibri" w:hint="eastAsia"/>
          <w:color w:val="auto"/>
        </w:rPr>
        <w:t>A</w:t>
      </w:r>
      <w:r w:rsidR="0055605A" w:rsidRPr="00A964FF">
        <w:rPr>
          <w:rFonts w:ascii="Calibri" w:hAnsi="Calibri" w:hint="eastAsia"/>
          <w:color w:val="auto"/>
        </w:rPr>
        <w:t>）</w:t>
      </w:r>
      <w:r w:rsidR="0055605A" w:rsidRPr="00A964FF">
        <w:rPr>
          <w:rFonts w:ascii="Calibri"/>
          <w:color w:val="auto"/>
        </w:rPr>
        <w:t>以上。本项目各噪声设备</w:t>
      </w:r>
      <w:r w:rsidR="0055605A" w:rsidRPr="00A964FF">
        <w:rPr>
          <w:rFonts w:ascii="Calibri" w:hint="eastAsia"/>
          <w:color w:val="auto"/>
        </w:rPr>
        <w:t>经采取降噪措施并</w:t>
      </w:r>
      <w:r w:rsidR="0055605A" w:rsidRPr="00A964FF">
        <w:rPr>
          <w:rFonts w:ascii="Calibri"/>
          <w:color w:val="auto"/>
        </w:rPr>
        <w:t>通过</w:t>
      </w:r>
      <w:r w:rsidR="0055605A" w:rsidRPr="00A964FF">
        <w:rPr>
          <w:rFonts w:ascii="Calibri" w:hint="eastAsia"/>
          <w:color w:val="auto"/>
        </w:rPr>
        <w:t>一定</w:t>
      </w:r>
      <w:r w:rsidR="0055605A" w:rsidRPr="00A964FF">
        <w:rPr>
          <w:rFonts w:ascii="Calibri"/>
          <w:color w:val="auto"/>
        </w:rPr>
        <w:t>距离衰减到达各</w:t>
      </w:r>
      <w:r w:rsidR="0055605A" w:rsidRPr="00A964FF">
        <w:rPr>
          <w:rFonts w:ascii="Calibri" w:hint="eastAsia"/>
          <w:color w:val="auto"/>
        </w:rPr>
        <w:t>厂界</w:t>
      </w:r>
      <w:r w:rsidR="000A21B8" w:rsidRPr="00A964FF">
        <w:rPr>
          <w:rFonts w:ascii="Calibri"/>
          <w:color w:val="auto"/>
        </w:rPr>
        <w:t>处</w:t>
      </w:r>
      <w:r w:rsidR="000A21B8" w:rsidRPr="00A964FF">
        <w:rPr>
          <w:rFonts w:ascii="Calibri" w:hint="eastAsia"/>
          <w:color w:val="auto"/>
        </w:rPr>
        <w:t>满足</w:t>
      </w:r>
      <w:r w:rsidR="000A21B8" w:rsidRPr="00A964FF">
        <w:rPr>
          <w:rFonts w:ascii="Calibri"/>
          <w:color w:val="auto"/>
        </w:rPr>
        <w:t>《工业企业厂界环境噪声噪声标准》（</w:t>
      </w:r>
      <w:r w:rsidR="000A21B8" w:rsidRPr="00A964FF">
        <w:rPr>
          <w:rFonts w:ascii="Calibri" w:hAnsi="Calibri"/>
          <w:color w:val="auto"/>
        </w:rPr>
        <w:t>GB1234</w:t>
      </w:r>
      <w:r w:rsidR="000A21B8" w:rsidRPr="00A964FF">
        <w:rPr>
          <w:rFonts w:ascii="Calibri" w:hAnsi="Calibri" w:hint="eastAsia"/>
          <w:color w:val="auto"/>
        </w:rPr>
        <w:t>8</w:t>
      </w:r>
      <w:r w:rsidR="000A21B8" w:rsidRPr="00A964FF">
        <w:rPr>
          <w:rFonts w:ascii="Calibri" w:hAnsi="Calibri"/>
          <w:color w:val="auto"/>
        </w:rPr>
        <w:t>-2008</w:t>
      </w:r>
      <w:r w:rsidR="000A21B8" w:rsidRPr="00A964FF">
        <w:rPr>
          <w:rFonts w:ascii="Calibri"/>
          <w:color w:val="auto"/>
        </w:rPr>
        <w:t>）</w:t>
      </w:r>
      <w:r w:rsidR="000A21B8" w:rsidRPr="00A964FF">
        <w:rPr>
          <w:rFonts w:ascii="Calibri" w:hint="eastAsia"/>
          <w:color w:val="auto"/>
        </w:rPr>
        <w:t>中</w:t>
      </w:r>
      <w:r w:rsidR="0059590E">
        <w:rPr>
          <w:rFonts w:ascii="Calibri"/>
          <w:color w:val="auto"/>
        </w:rPr>
        <w:t>3</w:t>
      </w:r>
      <w:r w:rsidR="000A21B8" w:rsidRPr="00A964FF">
        <w:rPr>
          <w:rFonts w:ascii="Calibri" w:hint="eastAsia"/>
          <w:color w:val="auto"/>
        </w:rPr>
        <w:t>类</w:t>
      </w:r>
      <w:r w:rsidR="000A21B8" w:rsidRPr="00A964FF">
        <w:rPr>
          <w:rFonts w:ascii="Calibri"/>
          <w:color w:val="auto"/>
        </w:rPr>
        <w:t>标准限值</w:t>
      </w:r>
      <w:r w:rsidR="000A21B8" w:rsidRPr="00A964FF">
        <w:rPr>
          <w:rFonts w:ascii="Calibri" w:hint="eastAsia"/>
          <w:color w:val="auto"/>
        </w:rPr>
        <w:t>，</w:t>
      </w:r>
      <w:r w:rsidR="00FD3089" w:rsidRPr="00A964FF">
        <w:rPr>
          <w:rFonts w:ascii="Calibri" w:hint="eastAsia"/>
          <w:color w:val="auto"/>
        </w:rPr>
        <w:t>可以实现达标排放，</w:t>
      </w:r>
      <w:r w:rsidR="000A21B8" w:rsidRPr="00A964FF">
        <w:rPr>
          <w:rFonts w:ascii="Calibri" w:hint="eastAsia"/>
          <w:color w:val="auto"/>
        </w:rPr>
        <w:t>对周围声环境影响不大</w:t>
      </w:r>
      <w:r w:rsidR="000A21B8" w:rsidRPr="00A964FF">
        <w:rPr>
          <w:rFonts w:ascii="Calibri"/>
          <w:color w:val="auto"/>
        </w:rPr>
        <w:t>。</w:t>
      </w:r>
    </w:p>
    <w:p w14:paraId="6AEEC6C7"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5</w:t>
      </w:r>
      <w:r w:rsidRPr="00A964FF">
        <w:rPr>
          <w:rFonts w:ascii="Calibri" w:hAnsi="Calibri" w:hint="eastAsia"/>
          <w:color w:val="auto"/>
        </w:rPr>
        <w:t>）</w:t>
      </w:r>
      <w:r w:rsidRPr="00A964FF">
        <w:rPr>
          <w:rFonts w:ascii="Calibri"/>
          <w:color w:val="auto"/>
        </w:rPr>
        <w:t>固体废物</w:t>
      </w:r>
      <w:r w:rsidRPr="00A964FF">
        <w:rPr>
          <w:rFonts w:ascii="Calibri" w:hint="eastAsia"/>
          <w:color w:val="auto"/>
        </w:rPr>
        <w:t>污染防治措施</w:t>
      </w:r>
    </w:p>
    <w:p w14:paraId="654C9E40" w14:textId="77777777" w:rsidR="00DD4CAB" w:rsidRPr="00DD4CAB" w:rsidRDefault="00FD3089" w:rsidP="00DA2F07">
      <w:pPr>
        <w:pStyle w:val="00"/>
        <w:rPr>
          <w:rFonts w:ascii="Calibri" w:hAnsi="Calibri"/>
          <w:color w:val="auto"/>
        </w:rPr>
      </w:pPr>
      <w:r w:rsidRPr="00A964FF">
        <w:rPr>
          <w:rFonts w:ascii="Calibri" w:hint="eastAsia"/>
          <w:color w:val="auto"/>
        </w:rPr>
        <w:t>本项目营运后产生的</w:t>
      </w:r>
      <w:r w:rsidR="00184C54" w:rsidRPr="00A964FF">
        <w:rPr>
          <w:rFonts w:ascii="Calibri" w:hint="eastAsia"/>
          <w:color w:val="auto"/>
        </w:rPr>
        <w:t>固废</w:t>
      </w:r>
      <w:r w:rsidR="007046E8" w:rsidRPr="00A964FF">
        <w:rPr>
          <w:rFonts w:ascii="Calibri" w:hint="eastAsia"/>
          <w:color w:val="auto"/>
        </w:rPr>
        <w:t>主要为危险固废，对各类危险固废进行分类收集后和储存，</w:t>
      </w:r>
      <w:r w:rsidR="007046E8" w:rsidRPr="00A964FF">
        <w:rPr>
          <w:rFonts w:ascii="Calibri" w:hAnsi="Calibri" w:hint="eastAsia"/>
          <w:color w:val="auto"/>
          <w:szCs w:val="21"/>
        </w:rPr>
        <w:t>并</w:t>
      </w:r>
      <w:r w:rsidR="00136408" w:rsidRPr="00A964FF">
        <w:rPr>
          <w:rFonts w:ascii="Calibri" w:hAnsi="Calibri" w:hint="eastAsia"/>
          <w:color w:val="auto"/>
          <w:szCs w:val="21"/>
        </w:rPr>
        <w:t>委托资质单位</w:t>
      </w:r>
      <w:r w:rsidR="00184C54" w:rsidRPr="00A964FF">
        <w:rPr>
          <w:rFonts w:ascii="Calibri" w:hAnsi="Calibri" w:hint="eastAsia"/>
          <w:color w:val="auto"/>
          <w:szCs w:val="21"/>
        </w:rPr>
        <w:t>进行</w:t>
      </w:r>
      <w:r w:rsidR="00136408" w:rsidRPr="00A964FF">
        <w:rPr>
          <w:rFonts w:ascii="Calibri" w:hAnsi="Calibri" w:hint="eastAsia"/>
          <w:color w:val="auto"/>
          <w:szCs w:val="21"/>
        </w:rPr>
        <w:t>安全处置</w:t>
      </w:r>
      <w:r w:rsidR="007046E8" w:rsidRPr="00A964FF">
        <w:rPr>
          <w:rFonts w:ascii="Calibri" w:hAnsi="Calibri" w:hint="eastAsia"/>
          <w:color w:val="auto"/>
          <w:szCs w:val="21"/>
        </w:rPr>
        <w:t>；</w:t>
      </w:r>
      <w:r w:rsidR="00DD4CAB" w:rsidRPr="00A964FF">
        <w:rPr>
          <w:rFonts w:ascii="Calibri" w:hAnsi="Calibri" w:hint="eastAsia"/>
          <w:color w:val="auto"/>
        </w:rPr>
        <w:t>本项目</w:t>
      </w:r>
      <w:r w:rsidR="00643331">
        <w:rPr>
          <w:rFonts w:ascii="Calibri" w:hAnsi="Calibri" w:hint="eastAsia"/>
          <w:color w:val="auto"/>
        </w:rPr>
        <w:t>纯水</w:t>
      </w:r>
      <w:r w:rsidR="00643331">
        <w:rPr>
          <w:rFonts w:ascii="Calibri" w:hAnsi="Calibri"/>
          <w:color w:val="auto"/>
        </w:rPr>
        <w:t>制备</w:t>
      </w:r>
      <w:r w:rsidR="00643331">
        <w:rPr>
          <w:rFonts w:ascii="Calibri" w:hAnsi="Calibri" w:hint="eastAsia"/>
          <w:color w:val="auto"/>
        </w:rPr>
        <w:t>设备</w:t>
      </w:r>
      <w:r w:rsidR="00DD4CAB" w:rsidRPr="00A964FF">
        <w:rPr>
          <w:rFonts w:ascii="Calibri" w:hAnsi="Calibri" w:hint="eastAsia"/>
          <w:color w:val="auto"/>
        </w:rPr>
        <w:t>定期更换的废反渗透膜，定期更换后由供货厂家回收再利用</w:t>
      </w:r>
      <w:r w:rsidR="00DD4CAB">
        <w:rPr>
          <w:rFonts w:ascii="Calibri" w:hAnsi="Calibri" w:hint="eastAsia"/>
          <w:color w:val="auto"/>
        </w:rPr>
        <w:t>；</w:t>
      </w:r>
      <w:r w:rsidR="00DA2F07">
        <w:rPr>
          <w:rFonts w:ascii="Calibri" w:hAnsi="Calibri" w:hint="eastAsia"/>
          <w:color w:val="auto"/>
        </w:rPr>
        <w:t>原料</w:t>
      </w:r>
      <w:r w:rsidR="00DA2F07">
        <w:rPr>
          <w:rFonts w:ascii="Calibri" w:hAnsi="Calibri"/>
          <w:color w:val="auto"/>
        </w:rPr>
        <w:t>包装材料由废品回收公司回收处理；</w:t>
      </w:r>
      <w:r w:rsidR="00DD4CAB">
        <w:rPr>
          <w:rFonts w:ascii="Calibri" w:hAnsi="Calibri" w:hint="eastAsia"/>
          <w:color w:val="auto"/>
        </w:rPr>
        <w:t>本项目污水</w:t>
      </w:r>
      <w:r w:rsidR="00DD4CAB">
        <w:rPr>
          <w:rFonts w:ascii="Calibri" w:hAnsi="Calibri"/>
          <w:color w:val="auto"/>
        </w:rPr>
        <w:t>处理站污泥</w:t>
      </w:r>
      <w:r w:rsidR="00DD4CAB">
        <w:rPr>
          <w:rFonts w:ascii="Calibri" w:hAnsi="Calibri" w:hint="eastAsia"/>
          <w:color w:val="auto"/>
        </w:rPr>
        <w:t>在</w:t>
      </w:r>
      <w:r w:rsidR="00DD4CAB">
        <w:rPr>
          <w:rFonts w:ascii="Calibri" w:hAnsi="Calibri"/>
          <w:color w:val="auto"/>
        </w:rPr>
        <w:t>厂区暂存后</w:t>
      </w:r>
      <w:r w:rsidR="00DD4CAB" w:rsidRPr="000856DD">
        <w:rPr>
          <w:rFonts w:ascii="Calibri" w:hAnsi="Calibri" w:hint="eastAsia"/>
          <w:color w:val="auto"/>
        </w:rPr>
        <w:t>交由叶县生活垃圾焚烧发电厂处理</w:t>
      </w:r>
      <w:r w:rsidR="00DD4CAB">
        <w:rPr>
          <w:rFonts w:ascii="Calibri" w:hAnsi="Calibri" w:hint="eastAsia"/>
          <w:color w:val="auto"/>
        </w:rPr>
        <w:t>；</w:t>
      </w:r>
      <w:r w:rsidR="00DD4CAB" w:rsidRPr="00A964FF">
        <w:rPr>
          <w:rFonts w:ascii="Calibri" w:hAnsi="Calibri" w:hint="eastAsia"/>
          <w:color w:val="auto"/>
        </w:rPr>
        <w:t>本项目职工生活产生的生活垃圾通过厂区分类垃圾桶收集后，送集聚区垃圾中转站，由环卫部门集中清运并合理处置，对周围环境影响较小。</w:t>
      </w:r>
    </w:p>
    <w:p w14:paraId="475FF50F" w14:textId="77777777" w:rsidR="0055605A" w:rsidRPr="00A964FF" w:rsidRDefault="0055605A" w:rsidP="0055605A">
      <w:pPr>
        <w:pStyle w:val="00"/>
        <w:rPr>
          <w:rFonts w:ascii="Calibri" w:hAnsi="Calibri"/>
          <w:color w:val="auto"/>
        </w:rPr>
      </w:pPr>
      <w:r w:rsidRPr="00A964FF">
        <w:rPr>
          <w:rFonts w:ascii="Calibri" w:hAnsi="Calibri" w:hint="eastAsia"/>
          <w:color w:val="auto"/>
        </w:rPr>
        <w:t>（</w:t>
      </w:r>
      <w:r w:rsidRPr="00A964FF">
        <w:rPr>
          <w:rFonts w:ascii="Calibri" w:hAnsi="Calibri" w:hint="eastAsia"/>
          <w:color w:val="auto"/>
        </w:rPr>
        <w:t>6</w:t>
      </w:r>
      <w:r w:rsidRPr="00A964FF">
        <w:rPr>
          <w:rFonts w:ascii="Calibri" w:hAnsi="Calibri" w:hint="eastAsia"/>
          <w:color w:val="auto"/>
        </w:rPr>
        <w:t>）风险防范措施</w:t>
      </w:r>
    </w:p>
    <w:p w14:paraId="47492B4C" w14:textId="77777777" w:rsidR="00FD3089" w:rsidRPr="00A964FF" w:rsidRDefault="00FD3089" w:rsidP="0059590E">
      <w:pPr>
        <w:pStyle w:val="00"/>
        <w:rPr>
          <w:rFonts w:ascii="Calibri"/>
          <w:color w:val="auto"/>
        </w:rPr>
      </w:pPr>
      <w:r w:rsidRPr="00A964FF">
        <w:rPr>
          <w:rFonts w:ascii="Calibri" w:hint="eastAsia"/>
          <w:color w:val="auto"/>
        </w:rPr>
        <w:t>本项目在生产及贮运过程中存在一定的潜在风险。建设单位必须依照风险管理要求，建立完善的风险防范措施和应急预案。建设单位的安全生产应以安全使用为主，</w:t>
      </w:r>
      <w:r w:rsidR="00136408" w:rsidRPr="00A964FF">
        <w:rPr>
          <w:rFonts w:ascii="Calibri" w:hint="eastAsia"/>
          <w:color w:val="auto"/>
        </w:rPr>
        <w:t>在运输、贮存、使用、消防安全等各个环节规范管理、严密防范，确保风险应急设施正常运行，加强员工培训，熟悉应急预案</w:t>
      </w:r>
      <w:r w:rsidR="00CD4191" w:rsidRPr="00A964FF">
        <w:rPr>
          <w:rFonts w:ascii="Calibri" w:hint="eastAsia"/>
          <w:color w:val="auto"/>
        </w:rPr>
        <w:t>，加强演练</w:t>
      </w:r>
      <w:r w:rsidR="00136408" w:rsidRPr="00A964FF">
        <w:rPr>
          <w:rFonts w:ascii="Calibri" w:hint="eastAsia"/>
          <w:color w:val="auto"/>
        </w:rPr>
        <w:t>，本项目的安全生产将得到</w:t>
      </w:r>
      <w:r w:rsidR="00136408" w:rsidRPr="00A964FF">
        <w:rPr>
          <w:rFonts w:ascii="Calibri" w:hint="eastAsia"/>
          <w:color w:val="auto"/>
        </w:rPr>
        <w:lastRenderedPageBreak/>
        <w:t>有效保证，最大可能的降低发生环境风险事故的可能性，也可将发生风险事故时对周围敏感点的影响可能性大大降低，其环境风险值较小，环境风险处在可接受范围内。</w:t>
      </w:r>
    </w:p>
    <w:p w14:paraId="5D0EDD32" w14:textId="77777777" w:rsidR="00752FD7" w:rsidRPr="00A964FF" w:rsidRDefault="00752FD7" w:rsidP="00752FD7">
      <w:pPr>
        <w:pStyle w:val="af1"/>
        <w:widowControl w:val="0"/>
        <w:spacing w:line="520" w:lineRule="exact"/>
        <w:ind w:firstLine="480"/>
        <w:jc w:val="both"/>
        <w:rPr>
          <w:rFonts w:ascii="Calibri" w:hAnsi="Times New Roman"/>
          <w:color w:val="auto"/>
          <w:kern w:val="2"/>
        </w:rPr>
      </w:pPr>
      <w:r w:rsidRPr="00A964FF">
        <w:rPr>
          <w:rFonts w:ascii="Calibri" w:hAnsi="Times New Roman" w:hint="eastAsia"/>
          <w:color w:val="auto"/>
          <w:kern w:val="2"/>
        </w:rPr>
        <w:t>（</w:t>
      </w:r>
      <w:r w:rsidRPr="00A964FF">
        <w:rPr>
          <w:rFonts w:ascii="Calibri" w:hAnsi="Times New Roman" w:hint="eastAsia"/>
          <w:color w:val="auto"/>
          <w:kern w:val="2"/>
        </w:rPr>
        <w:t>7</w:t>
      </w:r>
      <w:r w:rsidRPr="00A964FF">
        <w:rPr>
          <w:rFonts w:ascii="Calibri" w:hAnsi="Times New Roman" w:hint="eastAsia"/>
          <w:color w:val="auto"/>
          <w:kern w:val="2"/>
        </w:rPr>
        <w:t>）</w:t>
      </w:r>
      <w:r w:rsidRPr="00A964FF">
        <w:rPr>
          <w:rFonts w:ascii="Calibri" w:hAnsi="Times New Roman"/>
          <w:color w:val="auto"/>
          <w:kern w:val="2"/>
        </w:rPr>
        <w:t>土壤环境防护措施</w:t>
      </w:r>
    </w:p>
    <w:p w14:paraId="1E48B829" w14:textId="77777777" w:rsidR="00752FD7" w:rsidRPr="00A964FF" w:rsidRDefault="00752FD7" w:rsidP="00752FD7">
      <w:pPr>
        <w:pStyle w:val="af1"/>
        <w:widowControl w:val="0"/>
        <w:spacing w:line="520" w:lineRule="exact"/>
        <w:ind w:firstLine="480"/>
        <w:jc w:val="both"/>
        <w:rPr>
          <w:rFonts w:ascii="Calibri" w:hAnsi="Times New Roman"/>
          <w:color w:val="auto"/>
          <w:kern w:val="2"/>
        </w:rPr>
      </w:pPr>
      <w:r w:rsidRPr="00A964FF">
        <w:rPr>
          <w:rFonts w:ascii="Calibri" w:hAnsi="Times New Roman" w:hint="eastAsia"/>
          <w:color w:val="auto"/>
          <w:kern w:val="2"/>
        </w:rPr>
        <w:t>本项目</w:t>
      </w:r>
      <w:r w:rsidRPr="00A964FF">
        <w:rPr>
          <w:rFonts w:ascii="Calibri" w:hAnsi="Times New Roman"/>
          <w:color w:val="auto"/>
          <w:kern w:val="2"/>
        </w:rPr>
        <w:t>运营期做好土壤预防措施，生产</w:t>
      </w:r>
      <w:r w:rsidR="007046E8" w:rsidRPr="00A964FF">
        <w:rPr>
          <w:rFonts w:ascii="Calibri" w:hAnsi="Times New Roman" w:hint="eastAsia"/>
          <w:color w:val="auto"/>
          <w:kern w:val="2"/>
        </w:rPr>
        <w:t>装置区</w:t>
      </w:r>
      <w:r w:rsidRPr="00A964FF">
        <w:rPr>
          <w:rFonts w:ascii="Calibri" w:hAnsi="Times New Roman"/>
          <w:color w:val="auto"/>
          <w:kern w:val="2"/>
        </w:rPr>
        <w:t>、</w:t>
      </w:r>
      <w:r w:rsidR="00DD4CAB">
        <w:rPr>
          <w:rFonts w:ascii="Calibri" w:hAnsi="Times New Roman" w:hint="eastAsia"/>
          <w:color w:val="auto"/>
          <w:kern w:val="2"/>
        </w:rPr>
        <w:t>原料</w:t>
      </w:r>
      <w:r w:rsidR="007046E8" w:rsidRPr="00A964FF">
        <w:rPr>
          <w:rFonts w:ascii="Calibri" w:hAnsi="Times New Roman" w:hint="eastAsia"/>
          <w:color w:val="auto"/>
          <w:kern w:val="2"/>
        </w:rPr>
        <w:t>仓库</w:t>
      </w:r>
      <w:r w:rsidRPr="00A964FF">
        <w:rPr>
          <w:rFonts w:ascii="Calibri" w:hAnsi="Times New Roman" w:hint="eastAsia"/>
          <w:color w:val="auto"/>
          <w:kern w:val="2"/>
        </w:rPr>
        <w:t>、</w:t>
      </w:r>
      <w:r w:rsidR="007046E8" w:rsidRPr="00A964FF">
        <w:rPr>
          <w:rFonts w:ascii="Calibri" w:hAnsi="Times New Roman" w:hint="eastAsia"/>
          <w:color w:val="auto"/>
          <w:kern w:val="2"/>
        </w:rPr>
        <w:t>事故池、初期雨水收集池、</w:t>
      </w:r>
      <w:r w:rsidR="00136408" w:rsidRPr="00A964FF">
        <w:rPr>
          <w:rFonts w:ascii="Calibri" w:hAnsi="Times New Roman" w:hint="eastAsia"/>
          <w:color w:val="auto"/>
          <w:kern w:val="2"/>
        </w:rPr>
        <w:t>危废</w:t>
      </w:r>
      <w:r w:rsidRPr="00A964FF">
        <w:rPr>
          <w:rFonts w:ascii="Calibri" w:hAnsi="Times New Roman" w:hint="eastAsia"/>
          <w:color w:val="auto"/>
          <w:kern w:val="2"/>
        </w:rPr>
        <w:t>暂存间、废水处理站</w:t>
      </w:r>
      <w:r w:rsidR="007046E8" w:rsidRPr="00A964FF">
        <w:rPr>
          <w:rFonts w:ascii="Calibri" w:hAnsi="Times New Roman" w:hint="eastAsia"/>
          <w:color w:val="auto"/>
          <w:kern w:val="2"/>
        </w:rPr>
        <w:t>各类构筑物</w:t>
      </w:r>
      <w:r w:rsidRPr="00A964FF">
        <w:rPr>
          <w:rFonts w:ascii="Calibri" w:hAnsi="Times New Roman"/>
          <w:color w:val="auto"/>
          <w:kern w:val="2"/>
        </w:rPr>
        <w:t>等均</w:t>
      </w:r>
      <w:r w:rsidR="007046E8" w:rsidRPr="00A964FF">
        <w:rPr>
          <w:rFonts w:ascii="Calibri" w:hAnsi="Times New Roman" w:hint="eastAsia"/>
          <w:color w:val="auto"/>
          <w:kern w:val="2"/>
        </w:rPr>
        <w:t>应</w:t>
      </w:r>
      <w:r w:rsidRPr="00A964FF">
        <w:rPr>
          <w:rFonts w:ascii="Calibri" w:hAnsi="Times New Roman"/>
          <w:color w:val="auto"/>
          <w:kern w:val="2"/>
        </w:rPr>
        <w:t>采取严格的防渗措施，从源头上降低土壤环境污染事故发生，同时设置跟踪监测点位，制</w:t>
      </w:r>
      <w:r w:rsidR="002E48A3" w:rsidRPr="00A964FF">
        <w:rPr>
          <w:rFonts w:ascii="Calibri" w:hAnsi="Times New Roman" w:hint="eastAsia"/>
          <w:color w:val="auto"/>
          <w:kern w:val="2"/>
        </w:rPr>
        <w:t>定</w:t>
      </w:r>
      <w:r w:rsidRPr="00A964FF">
        <w:rPr>
          <w:rFonts w:ascii="Calibri" w:hAnsi="Times New Roman"/>
          <w:color w:val="auto"/>
          <w:kern w:val="2"/>
        </w:rPr>
        <w:t>土壤跟踪监测计划。</w:t>
      </w:r>
    </w:p>
    <w:p w14:paraId="66CDAD12" w14:textId="77777777" w:rsidR="0055605A" w:rsidRPr="00A964FF" w:rsidRDefault="0055605A" w:rsidP="0055605A">
      <w:pPr>
        <w:pStyle w:val="2"/>
        <w:spacing w:before="200" w:after="100"/>
        <w:rPr>
          <w:rFonts w:ascii="Calibri" w:hAnsi="Calibri"/>
          <w:bCs/>
          <w:color w:val="auto"/>
          <w:szCs w:val="28"/>
        </w:rPr>
      </w:pPr>
      <w:bookmarkStart w:id="105" w:name="_Toc112999940"/>
      <w:r w:rsidRPr="0059590E">
        <w:rPr>
          <w:rFonts w:ascii="Calibri" w:hAnsi="Calibri"/>
          <w:bCs/>
          <w:color w:val="auto"/>
          <w:szCs w:val="28"/>
        </w:rPr>
        <w:t>8.</w:t>
      </w:r>
      <w:r w:rsidR="003F0808" w:rsidRPr="0059590E">
        <w:rPr>
          <w:rFonts w:ascii="Calibri" w:hAnsi="Calibri" w:hint="eastAsia"/>
          <w:bCs/>
          <w:color w:val="auto"/>
          <w:szCs w:val="28"/>
        </w:rPr>
        <w:t>6</w:t>
      </w:r>
      <w:r w:rsidRPr="0059590E">
        <w:rPr>
          <w:rFonts w:ascii="Calibri" w:hAnsi="Calibri" w:hint="eastAsia"/>
          <w:bCs/>
          <w:color w:val="auto"/>
          <w:szCs w:val="28"/>
        </w:rPr>
        <w:t>环境影响经济损益分析结论</w:t>
      </w:r>
      <w:bookmarkEnd w:id="105"/>
    </w:p>
    <w:p w14:paraId="7B7583DF" w14:textId="77777777" w:rsidR="00752FD7" w:rsidRPr="00A964FF" w:rsidRDefault="00752FD7" w:rsidP="00752FD7">
      <w:pPr>
        <w:pStyle w:val="00"/>
        <w:rPr>
          <w:rFonts w:ascii="Calibri"/>
          <w:color w:val="auto"/>
        </w:rPr>
      </w:pPr>
      <w:r w:rsidRPr="00A964FF">
        <w:rPr>
          <w:rFonts w:ascii="Calibri" w:hint="eastAsia"/>
          <w:color w:val="auto"/>
        </w:rPr>
        <w:t>本项目的建设符合国家产业政策和环保政策，通过选择合理、有效的废水、废气治理措施，达到节约原料、降低成本、减少污染的目的。项目实施后可促进地方经济发展，增加当地财政收入，同时给当地人民提供了一定的就业机会，具有良好的社会效益和经济效益。在确保环保投资落实到位的情况下，环境效益明显。综上所述，从环境与经济分析情况来看，本项目是可行的。</w:t>
      </w:r>
    </w:p>
    <w:p w14:paraId="6650F746" w14:textId="77777777" w:rsidR="0055605A" w:rsidRPr="00A964FF" w:rsidRDefault="0055605A" w:rsidP="0055605A">
      <w:pPr>
        <w:pStyle w:val="2"/>
        <w:spacing w:before="200" w:after="100"/>
        <w:rPr>
          <w:rFonts w:ascii="Calibri" w:hAnsi="Calibri"/>
          <w:bCs/>
          <w:color w:val="auto"/>
          <w:szCs w:val="28"/>
        </w:rPr>
      </w:pPr>
      <w:bookmarkStart w:id="106" w:name="_Toc112999941"/>
      <w:r w:rsidRPr="00A964FF">
        <w:rPr>
          <w:rFonts w:ascii="Calibri" w:hAnsi="Calibri"/>
          <w:bCs/>
          <w:color w:val="auto"/>
          <w:szCs w:val="28"/>
        </w:rPr>
        <w:t>8.</w:t>
      </w:r>
      <w:r w:rsidR="003F0808" w:rsidRPr="00A964FF">
        <w:rPr>
          <w:rFonts w:ascii="Calibri" w:hAnsi="Calibri" w:hint="eastAsia"/>
          <w:bCs/>
          <w:color w:val="auto"/>
          <w:szCs w:val="28"/>
        </w:rPr>
        <w:t>7</w:t>
      </w:r>
      <w:r w:rsidRPr="00A964FF">
        <w:rPr>
          <w:rFonts w:ascii="Calibri" w:hAnsi="Calibri" w:hint="eastAsia"/>
          <w:bCs/>
          <w:color w:val="auto"/>
          <w:szCs w:val="28"/>
        </w:rPr>
        <w:t>环境管理与监测计划</w:t>
      </w:r>
      <w:bookmarkEnd w:id="106"/>
    </w:p>
    <w:p w14:paraId="4B2B1C9C" w14:textId="77777777" w:rsidR="000A21B8" w:rsidRPr="00A964FF" w:rsidRDefault="000A21B8" w:rsidP="000A21B8">
      <w:pPr>
        <w:pStyle w:val="00"/>
        <w:rPr>
          <w:rFonts w:ascii="Calibri" w:hAnsi="Calibri"/>
          <w:noProof/>
          <w:color w:val="auto"/>
        </w:rPr>
      </w:pPr>
      <w:r w:rsidRPr="00A964FF">
        <w:rPr>
          <w:rFonts w:ascii="Calibri" w:hAnsi="Calibri" w:hint="eastAsia"/>
          <w:noProof/>
          <w:color w:val="auto"/>
        </w:rPr>
        <w:t>本项目建成后，建设单位应按地方</w:t>
      </w:r>
      <w:r w:rsidR="002E48A3" w:rsidRPr="00A964FF">
        <w:rPr>
          <w:rFonts w:ascii="Calibri" w:hAnsi="Calibri" w:hint="eastAsia"/>
          <w:noProof/>
          <w:color w:val="auto"/>
        </w:rPr>
        <w:t>生态环境</w:t>
      </w:r>
      <w:r w:rsidR="00752FD7" w:rsidRPr="00A964FF">
        <w:rPr>
          <w:rFonts w:ascii="Calibri" w:hAnsi="Calibri" w:hint="eastAsia"/>
          <w:noProof/>
          <w:color w:val="auto"/>
        </w:rPr>
        <w:t>部门</w:t>
      </w:r>
      <w:r w:rsidRPr="00A964FF">
        <w:rPr>
          <w:rFonts w:ascii="Calibri" w:hAnsi="Calibri" w:hint="eastAsia"/>
          <w:noProof/>
          <w:color w:val="auto"/>
        </w:rPr>
        <w:t>的要求加强对企业的环境管理，建立健全企业的环保监督、管理制度。设置环境管理机构，配备专业环保管理人员，建立管理制度体系，明确环境管理机构职责，按照环境管理总体规划，将</w:t>
      </w:r>
      <w:r w:rsidRPr="00A964FF">
        <w:rPr>
          <w:rFonts w:ascii="Calibri"/>
          <w:color w:val="auto"/>
        </w:rPr>
        <w:t>环境管理应贯穿于建设项目从立项到运行的整个过程</w:t>
      </w:r>
      <w:r w:rsidRPr="00A964FF">
        <w:rPr>
          <w:rFonts w:ascii="Calibri" w:hint="eastAsia"/>
          <w:color w:val="auto"/>
        </w:rPr>
        <w:t>。废气、废水排放口</w:t>
      </w:r>
      <w:r w:rsidRPr="00A964FF">
        <w:rPr>
          <w:rFonts w:ascii="Calibri" w:hAnsi="Calibri" w:hint="eastAsia"/>
          <w:noProof/>
          <w:color w:val="auto"/>
        </w:rPr>
        <w:t>应按国家规定要求进行规范化设计。对于生产期间向环保部门报告的常规监测，公司应委托有资质的环境监测单位负责分析工作，并及时向环境保护主管部门汇报，按时完成环境监控计划规定的各项监测任务，并将主要污染物监测情况、地下水水质监测结果向社会公开。</w:t>
      </w:r>
    </w:p>
    <w:p w14:paraId="1B8D1527" w14:textId="327DC898" w:rsidR="00F93C22" w:rsidRPr="00D75F03" w:rsidRDefault="00752FD7" w:rsidP="00F93C22">
      <w:pPr>
        <w:pStyle w:val="00"/>
        <w:rPr>
          <w:rFonts w:ascii="Calibri" w:hAnsi="Calibri"/>
          <w:color w:val="auto"/>
        </w:rPr>
      </w:pPr>
      <w:r w:rsidRPr="0059590E">
        <w:rPr>
          <w:rFonts w:ascii="Calibri" w:hAnsi="Calibri" w:hint="eastAsia"/>
          <w:noProof/>
          <w:color w:val="auto"/>
        </w:rPr>
        <w:t>本项目营运后建议总量控制指标为</w:t>
      </w:r>
      <w:r w:rsidR="008502C7" w:rsidRPr="0059590E">
        <w:rPr>
          <w:rFonts w:ascii="Calibri" w:hAnsi="Calibri" w:hint="eastAsia"/>
          <w:noProof/>
          <w:color w:val="auto"/>
        </w:rPr>
        <w:t>：</w:t>
      </w:r>
      <w:r w:rsidR="00F93C22">
        <w:rPr>
          <w:rFonts w:ascii="Calibri" w:hAnsi="Calibri" w:hint="eastAsia"/>
          <w:color w:val="auto"/>
        </w:rPr>
        <w:t>颗粒物</w:t>
      </w:r>
      <w:r w:rsidR="00F93C22">
        <w:rPr>
          <w:rFonts w:ascii="Calibri" w:eastAsiaTheme="minorEastAsia" w:hAnsi="Calibri"/>
          <w:color w:val="auto"/>
          <w:szCs w:val="21"/>
        </w:rPr>
        <w:t>0.044</w:t>
      </w:r>
      <w:r w:rsidR="00F93C22">
        <w:rPr>
          <w:rFonts w:ascii="Calibri" w:hAnsi="Calibri" w:hint="eastAsia"/>
          <w:color w:val="auto"/>
        </w:rPr>
        <w:t>t/a</w:t>
      </w:r>
      <w:r w:rsidR="00F93C22">
        <w:rPr>
          <w:rFonts w:ascii="Calibri" w:hAnsi="Calibri" w:hint="eastAsia"/>
          <w:color w:val="auto"/>
        </w:rPr>
        <w:t>、非甲烷总烃</w:t>
      </w:r>
      <w:r w:rsidR="00F93C22">
        <w:rPr>
          <w:rFonts w:ascii="Calibri" w:hAnsi="Calibri"/>
          <w:color w:val="auto"/>
        </w:rPr>
        <w:t>：</w:t>
      </w:r>
      <w:r w:rsidR="00F93C22">
        <w:rPr>
          <w:rFonts w:ascii="Calibri" w:hAnsi="Calibri"/>
          <w:color w:val="auto"/>
        </w:rPr>
        <w:t>0.54t/a</w:t>
      </w:r>
      <w:r w:rsidR="00F93C22">
        <w:rPr>
          <w:rFonts w:ascii="Calibri" w:hAnsi="Calibri"/>
          <w:color w:val="auto"/>
        </w:rPr>
        <w:t>，</w:t>
      </w:r>
      <w:r w:rsidR="00F93C22">
        <w:rPr>
          <w:rFonts w:ascii="Calibri" w:hAnsi="Calibri"/>
          <w:color w:val="auto"/>
        </w:rPr>
        <w:t>SO</w:t>
      </w:r>
      <w:r w:rsidR="00F93C22">
        <w:rPr>
          <w:rFonts w:ascii="Calibri" w:hAnsi="Calibri"/>
          <w:color w:val="auto"/>
          <w:vertAlign w:val="subscript"/>
        </w:rPr>
        <w:t>2</w:t>
      </w:r>
      <w:r w:rsidR="00F93C22">
        <w:rPr>
          <w:rFonts w:ascii="Calibri" w:hAnsi="Calibri"/>
          <w:color w:val="auto"/>
        </w:rPr>
        <w:t>：</w:t>
      </w:r>
      <w:r w:rsidR="00F93C22">
        <w:rPr>
          <w:rFonts w:ascii="Calibri" w:hAnsi="Calibri"/>
          <w:color w:val="auto"/>
        </w:rPr>
        <w:t>0.067t/a</w:t>
      </w:r>
      <w:r w:rsidR="00F93C22">
        <w:rPr>
          <w:rFonts w:ascii="Calibri" w:hAnsi="Calibri"/>
          <w:color w:val="auto"/>
        </w:rPr>
        <w:t>，</w:t>
      </w:r>
      <w:r w:rsidR="00F93C22" w:rsidRPr="00DC3375">
        <w:rPr>
          <w:rFonts w:ascii="Calibri" w:eastAsiaTheme="minorEastAsia" w:hAnsi="Calibri"/>
          <w:color w:val="auto"/>
          <w:szCs w:val="21"/>
        </w:rPr>
        <w:t>NOx</w:t>
      </w:r>
      <w:r w:rsidR="00F93C22">
        <w:rPr>
          <w:rFonts w:ascii="Calibri" w:eastAsiaTheme="minorEastAsia" w:hAnsi="Calibri" w:hint="eastAsia"/>
          <w:color w:val="auto"/>
          <w:szCs w:val="21"/>
        </w:rPr>
        <w:t>：</w:t>
      </w:r>
      <w:r w:rsidR="00F93C22">
        <w:rPr>
          <w:rFonts w:ascii="Calibri" w:eastAsiaTheme="minorEastAsia" w:hAnsi="Calibri" w:hint="eastAsia"/>
          <w:color w:val="auto"/>
          <w:szCs w:val="21"/>
        </w:rPr>
        <w:t>0.51</w:t>
      </w:r>
      <w:r w:rsidR="00F93C22">
        <w:rPr>
          <w:rFonts w:ascii="Calibri" w:eastAsiaTheme="minorEastAsia" w:hAnsi="Calibri"/>
          <w:color w:val="auto"/>
          <w:szCs w:val="21"/>
        </w:rPr>
        <w:t>t/a</w:t>
      </w:r>
      <w:r w:rsidR="00F93C22" w:rsidRPr="00D75F03">
        <w:rPr>
          <w:rFonts w:ascii="Calibri" w:hAnsi="Calibri" w:hint="eastAsia"/>
          <w:color w:val="auto"/>
        </w:rPr>
        <w:t>；</w:t>
      </w:r>
      <w:r w:rsidR="00F93C22" w:rsidRPr="00D75F03">
        <w:rPr>
          <w:rFonts w:ascii="Calibri" w:hAnsi="Calibri"/>
          <w:color w:val="auto"/>
        </w:rPr>
        <w:t>COD</w:t>
      </w:r>
      <w:r w:rsidR="00F93C22" w:rsidRPr="00D75F03">
        <w:rPr>
          <w:rFonts w:ascii="Calibri" w:hAnsi="Calibri"/>
          <w:color w:val="auto"/>
        </w:rPr>
        <w:t>：</w:t>
      </w:r>
      <w:r w:rsidR="00F93C22">
        <w:rPr>
          <w:rFonts w:ascii="Calibri" w:hAnsi="Calibri"/>
          <w:color w:val="auto"/>
        </w:rPr>
        <w:t>0.46</w:t>
      </w:r>
      <w:r w:rsidR="00F93C22" w:rsidRPr="00D75F03">
        <w:rPr>
          <w:rFonts w:ascii="Calibri" w:hAnsi="Calibri"/>
          <w:color w:val="auto"/>
        </w:rPr>
        <w:t>t/a</w:t>
      </w:r>
      <w:r w:rsidR="00F93C22" w:rsidRPr="00D75F03">
        <w:rPr>
          <w:rFonts w:ascii="Calibri" w:hAnsi="Calibri"/>
          <w:color w:val="auto"/>
        </w:rPr>
        <w:t>，</w:t>
      </w:r>
      <w:r w:rsidR="00F93C22" w:rsidRPr="00D75F03">
        <w:rPr>
          <w:rFonts w:ascii="Calibri" w:hAnsi="Calibri"/>
          <w:color w:val="auto"/>
        </w:rPr>
        <w:t>NH</w:t>
      </w:r>
      <w:r w:rsidR="00F93C22" w:rsidRPr="00D75F03">
        <w:rPr>
          <w:rFonts w:ascii="Calibri" w:hAnsi="Calibri"/>
          <w:color w:val="auto"/>
          <w:vertAlign w:val="subscript"/>
        </w:rPr>
        <w:t>3</w:t>
      </w:r>
      <w:r w:rsidR="00F93C22" w:rsidRPr="00D75F03">
        <w:rPr>
          <w:rFonts w:ascii="Calibri" w:hAnsi="Calibri"/>
          <w:color w:val="auto"/>
        </w:rPr>
        <w:t>-N</w:t>
      </w:r>
      <w:r w:rsidR="00F93C22" w:rsidRPr="00D75F03">
        <w:rPr>
          <w:rFonts w:ascii="Calibri" w:hAnsi="Calibri"/>
          <w:color w:val="auto"/>
        </w:rPr>
        <w:t>：</w:t>
      </w:r>
      <w:r w:rsidR="00F93C22">
        <w:rPr>
          <w:rFonts w:ascii="Calibri" w:hAnsi="Calibri"/>
          <w:color w:val="auto"/>
        </w:rPr>
        <w:t>0.023</w:t>
      </w:r>
      <w:r w:rsidR="00F93C22" w:rsidRPr="00D75F03">
        <w:rPr>
          <w:rFonts w:ascii="Calibri" w:hAnsi="Calibri"/>
          <w:color w:val="auto"/>
        </w:rPr>
        <w:t>t/a</w:t>
      </w:r>
      <w:r w:rsidR="00F93C22" w:rsidRPr="00D75F03">
        <w:rPr>
          <w:rFonts w:ascii="Calibri" w:hAnsi="Calibri"/>
          <w:color w:val="auto"/>
        </w:rPr>
        <w:t>。</w:t>
      </w:r>
    </w:p>
    <w:p w14:paraId="4FF560E4" w14:textId="0FE8AE8D" w:rsidR="00752FD7" w:rsidRPr="00A964FF" w:rsidRDefault="004B6A5D" w:rsidP="00033968">
      <w:pPr>
        <w:pStyle w:val="00"/>
        <w:rPr>
          <w:rFonts w:ascii="Calibri" w:hAnsi="Calibri"/>
          <w:noProof/>
          <w:color w:val="auto"/>
        </w:rPr>
      </w:pPr>
      <w:r w:rsidRPr="0059590E">
        <w:rPr>
          <w:rFonts w:ascii="Calibri" w:hAnsi="Calibri" w:hint="eastAsia"/>
          <w:noProof/>
          <w:color w:val="auto"/>
        </w:rPr>
        <w:t>本项目</w:t>
      </w:r>
      <w:r w:rsidR="00393CC1" w:rsidRPr="0059590E">
        <w:rPr>
          <w:rFonts w:ascii="Calibri" w:hAnsi="Calibri" w:hint="eastAsia"/>
          <w:noProof/>
          <w:color w:val="auto"/>
        </w:rPr>
        <w:t>废气污染物总量指标可以从叶县当地总量指标中倍量替代，区域不增加污染物</w:t>
      </w:r>
      <w:r w:rsidR="00033968">
        <w:rPr>
          <w:rFonts w:ascii="Calibri" w:hAnsi="Calibri" w:hint="eastAsia"/>
          <w:noProof/>
          <w:color w:val="auto"/>
        </w:rPr>
        <w:t>；</w:t>
      </w:r>
      <w:r w:rsidR="00033968">
        <w:rPr>
          <w:rFonts w:ascii="Calibri" w:hAnsi="Calibri"/>
          <w:noProof/>
          <w:color w:val="auto"/>
        </w:rPr>
        <w:t>废水污水染污</w:t>
      </w:r>
      <w:r w:rsidR="00033968" w:rsidRPr="0059590E">
        <w:rPr>
          <w:rFonts w:ascii="Calibri" w:hAnsi="Calibri" w:hint="eastAsia"/>
          <w:noProof/>
          <w:color w:val="auto"/>
        </w:rPr>
        <w:t>可以从叶县当地总量指标中</w:t>
      </w:r>
      <w:r w:rsidR="00033968">
        <w:rPr>
          <w:rFonts w:ascii="Calibri" w:hAnsi="Calibri" w:hint="eastAsia"/>
          <w:noProof/>
          <w:color w:val="auto"/>
        </w:rPr>
        <w:t>等</w:t>
      </w:r>
      <w:r w:rsidR="00033968" w:rsidRPr="0059590E">
        <w:rPr>
          <w:rFonts w:ascii="Calibri" w:hAnsi="Calibri" w:hint="eastAsia"/>
          <w:noProof/>
          <w:color w:val="auto"/>
        </w:rPr>
        <w:t>量替代，区域不增加污染物</w:t>
      </w:r>
      <w:r w:rsidRPr="0059590E">
        <w:rPr>
          <w:rFonts w:ascii="Calibri" w:hAnsi="Calibri" w:hint="eastAsia"/>
          <w:noProof/>
          <w:color w:val="auto"/>
        </w:rPr>
        <w:t>。</w:t>
      </w:r>
    </w:p>
    <w:p w14:paraId="1392EAF7" w14:textId="77777777" w:rsidR="00FE4DEA" w:rsidRPr="00A964FF" w:rsidRDefault="00FE4DEA" w:rsidP="00FE4DEA">
      <w:pPr>
        <w:pStyle w:val="2"/>
        <w:spacing w:before="200" w:after="100"/>
        <w:rPr>
          <w:rFonts w:ascii="Calibri" w:hAnsi="Calibri"/>
          <w:bCs/>
          <w:color w:val="auto"/>
          <w:szCs w:val="28"/>
        </w:rPr>
      </w:pPr>
      <w:bookmarkStart w:id="107" w:name="_Toc15996028"/>
      <w:bookmarkStart w:id="108" w:name="_Toc24615874"/>
      <w:bookmarkStart w:id="109" w:name="_Toc112999942"/>
      <w:r w:rsidRPr="00A964FF">
        <w:rPr>
          <w:rFonts w:ascii="Calibri" w:hAnsi="Calibri"/>
          <w:bCs/>
          <w:color w:val="auto"/>
          <w:szCs w:val="28"/>
        </w:rPr>
        <w:lastRenderedPageBreak/>
        <w:t>8.</w:t>
      </w:r>
      <w:r w:rsidRPr="00A964FF">
        <w:rPr>
          <w:rFonts w:ascii="Calibri" w:hAnsi="Calibri" w:hint="eastAsia"/>
          <w:bCs/>
          <w:color w:val="auto"/>
          <w:szCs w:val="28"/>
        </w:rPr>
        <w:t>8</w:t>
      </w:r>
      <w:r w:rsidRPr="00A964FF">
        <w:rPr>
          <w:rFonts w:ascii="Calibri" w:hAnsi="Calibri" w:hint="eastAsia"/>
          <w:bCs/>
          <w:color w:val="auto"/>
          <w:szCs w:val="28"/>
        </w:rPr>
        <w:t>公众意见采纳情况</w:t>
      </w:r>
      <w:bookmarkEnd w:id="107"/>
      <w:bookmarkEnd w:id="108"/>
      <w:bookmarkEnd w:id="109"/>
    </w:p>
    <w:p w14:paraId="064CBAEF" w14:textId="62D7527E" w:rsidR="00FE4DEA" w:rsidRDefault="00FE4DEA" w:rsidP="00FE4DEA">
      <w:pPr>
        <w:pStyle w:val="00"/>
        <w:spacing w:before="240" w:after="120"/>
        <w:ind w:firstLineChars="200"/>
        <w:rPr>
          <w:rFonts w:ascii="Calibri" w:hAnsi="Calibri"/>
          <w:color w:val="auto"/>
        </w:rPr>
      </w:pPr>
      <w:r w:rsidRPr="00A964FF">
        <w:rPr>
          <w:rFonts w:ascii="Calibri" w:hAnsi="Calibri" w:hint="eastAsia"/>
          <w:color w:val="auto"/>
        </w:rPr>
        <w:t>根据《环境影响评价公众参与办法》（生态环境部令第</w:t>
      </w:r>
      <w:r w:rsidRPr="00A964FF">
        <w:rPr>
          <w:rFonts w:ascii="Calibri" w:hAnsi="Calibri" w:hint="eastAsia"/>
          <w:color w:val="auto"/>
        </w:rPr>
        <w:t>4</w:t>
      </w:r>
      <w:r w:rsidRPr="00A964FF">
        <w:rPr>
          <w:rFonts w:ascii="Calibri" w:hAnsi="Calibri" w:hint="eastAsia"/>
          <w:color w:val="auto"/>
        </w:rPr>
        <w:t>号）中规定，在项目环境影响报告书编制过程中采取网络平台、报纸公开的方式向环境影响评价范围内及环境影响评价范围外的公民、法人和其他组织征求与环境影响评价相关的意见</w:t>
      </w:r>
      <w:r w:rsidR="0054099F" w:rsidRPr="00A964FF">
        <w:rPr>
          <w:rFonts w:ascii="Calibri" w:hAnsi="Calibri" w:hint="eastAsia"/>
          <w:color w:val="auto"/>
        </w:rPr>
        <w:t>，网络平台和报纸公开的时间为</w:t>
      </w:r>
      <w:r w:rsidR="0054099F" w:rsidRPr="008448B0">
        <w:rPr>
          <w:rFonts w:ascii="Calibri" w:hAnsi="Calibri" w:hint="eastAsia"/>
          <w:color w:val="auto"/>
        </w:rPr>
        <w:t>202</w:t>
      </w:r>
      <w:r w:rsidR="0059590E" w:rsidRPr="008448B0">
        <w:rPr>
          <w:rFonts w:ascii="Calibri" w:hAnsi="Calibri"/>
          <w:color w:val="auto"/>
        </w:rPr>
        <w:t>2</w:t>
      </w:r>
      <w:r w:rsidR="0054099F" w:rsidRPr="008448B0">
        <w:rPr>
          <w:rFonts w:ascii="Calibri" w:hAnsi="Calibri" w:hint="eastAsia"/>
          <w:color w:val="auto"/>
        </w:rPr>
        <w:t>年</w:t>
      </w:r>
      <w:r w:rsidR="008448B0" w:rsidRPr="008448B0">
        <w:rPr>
          <w:rFonts w:ascii="Calibri" w:hAnsi="Calibri"/>
          <w:color w:val="auto"/>
        </w:rPr>
        <w:t>8</w:t>
      </w:r>
      <w:r w:rsidR="0054099F" w:rsidRPr="008448B0">
        <w:rPr>
          <w:rFonts w:ascii="Calibri" w:hAnsi="Calibri" w:hint="eastAsia"/>
          <w:color w:val="auto"/>
        </w:rPr>
        <w:t>月</w:t>
      </w:r>
      <w:r w:rsidR="008448B0" w:rsidRPr="008448B0">
        <w:rPr>
          <w:rFonts w:ascii="Calibri" w:hAnsi="Calibri"/>
          <w:color w:val="auto"/>
        </w:rPr>
        <w:t>10</w:t>
      </w:r>
      <w:r w:rsidR="0054099F" w:rsidRPr="008448B0">
        <w:rPr>
          <w:rFonts w:ascii="Calibri" w:hAnsi="Calibri" w:hint="eastAsia"/>
          <w:color w:val="auto"/>
        </w:rPr>
        <w:t>日～</w:t>
      </w:r>
      <w:r w:rsidR="0054099F" w:rsidRPr="008448B0">
        <w:rPr>
          <w:rFonts w:ascii="Calibri" w:hAnsi="Calibri" w:hint="eastAsia"/>
          <w:color w:val="auto"/>
        </w:rPr>
        <w:t>202</w:t>
      </w:r>
      <w:r w:rsidR="0059590E" w:rsidRPr="008448B0">
        <w:rPr>
          <w:rFonts w:ascii="Calibri" w:hAnsi="Calibri"/>
          <w:color w:val="auto"/>
        </w:rPr>
        <w:t>2</w:t>
      </w:r>
      <w:r w:rsidR="0054099F" w:rsidRPr="008448B0">
        <w:rPr>
          <w:rFonts w:ascii="Calibri" w:hAnsi="Calibri" w:hint="eastAsia"/>
          <w:color w:val="auto"/>
        </w:rPr>
        <w:t>年</w:t>
      </w:r>
      <w:r w:rsidR="008448B0" w:rsidRPr="008448B0">
        <w:rPr>
          <w:rFonts w:ascii="Calibri" w:hAnsi="Calibri"/>
          <w:color w:val="auto"/>
        </w:rPr>
        <w:t>8</w:t>
      </w:r>
      <w:r w:rsidR="0054099F" w:rsidRPr="008448B0">
        <w:rPr>
          <w:rFonts w:ascii="Calibri" w:hAnsi="Calibri" w:hint="eastAsia"/>
          <w:color w:val="auto"/>
        </w:rPr>
        <w:t>月</w:t>
      </w:r>
      <w:r w:rsidR="008448B0" w:rsidRPr="008448B0">
        <w:rPr>
          <w:rFonts w:ascii="Calibri" w:hAnsi="Calibri"/>
          <w:color w:val="auto"/>
        </w:rPr>
        <w:t>16</w:t>
      </w:r>
      <w:r w:rsidR="0054099F" w:rsidRPr="008448B0">
        <w:rPr>
          <w:rFonts w:ascii="Calibri" w:hAnsi="Calibri" w:hint="eastAsia"/>
          <w:color w:val="auto"/>
        </w:rPr>
        <w:t>日，共计</w:t>
      </w:r>
      <w:r w:rsidR="0054099F" w:rsidRPr="008448B0">
        <w:rPr>
          <w:rFonts w:ascii="Calibri" w:hAnsi="Calibri" w:hint="eastAsia"/>
          <w:color w:val="auto"/>
        </w:rPr>
        <w:t>5</w:t>
      </w:r>
      <w:r w:rsidR="0054099F" w:rsidRPr="008448B0">
        <w:rPr>
          <w:rFonts w:ascii="Calibri" w:hAnsi="Calibri" w:hint="eastAsia"/>
          <w:color w:val="auto"/>
        </w:rPr>
        <w:t>个工作日，</w:t>
      </w:r>
      <w:r w:rsidR="0054099F" w:rsidRPr="00A964FF">
        <w:rPr>
          <w:rFonts w:ascii="Calibri" w:hAnsi="Calibri" w:hint="eastAsia"/>
          <w:color w:val="auto"/>
        </w:rPr>
        <w:t>其中报纸选用河南日报</w:t>
      </w:r>
      <w:r w:rsidRPr="00A964FF">
        <w:rPr>
          <w:rFonts w:ascii="Calibri" w:hAnsi="Calibri" w:hint="eastAsia"/>
          <w:color w:val="auto"/>
        </w:rPr>
        <w:t>。项目公示期间提供了公众反馈意见的调查表格式及相关途径，在项目公示期间未收到周边可能受影响企事业单位、群众关于本项目环境问题的相关意见，表明项目所在地的周边企事业单位、群众均支持项目建设，目前阶段无反对意见。</w:t>
      </w:r>
    </w:p>
    <w:p w14:paraId="6D1DF5E5" w14:textId="1E1DC0A1" w:rsidR="00547D4F" w:rsidRPr="00A964FF" w:rsidRDefault="00547D4F" w:rsidP="00547D4F">
      <w:pPr>
        <w:pStyle w:val="00"/>
        <w:ind w:firstLineChars="200"/>
        <w:rPr>
          <w:rFonts w:ascii="Calibri" w:hAnsi="Calibri"/>
          <w:color w:val="auto"/>
        </w:rPr>
      </w:pPr>
      <w:r w:rsidRPr="00A3718C">
        <w:rPr>
          <w:rFonts w:ascii="Calibri" w:hAnsi="Calibri" w:hint="eastAsia"/>
          <w:color w:val="auto"/>
        </w:rPr>
        <w:t>202</w:t>
      </w:r>
      <w:r>
        <w:rPr>
          <w:rFonts w:ascii="Calibri" w:hAnsi="Calibri"/>
          <w:color w:val="auto"/>
        </w:rPr>
        <w:t>2</w:t>
      </w:r>
      <w:r w:rsidRPr="00A3718C">
        <w:rPr>
          <w:rFonts w:ascii="Calibri" w:hAnsi="Calibri" w:hint="eastAsia"/>
          <w:color w:val="auto"/>
        </w:rPr>
        <w:t>年</w:t>
      </w:r>
      <w:r>
        <w:rPr>
          <w:rFonts w:ascii="Calibri" w:hAnsi="Calibri"/>
          <w:color w:val="auto"/>
        </w:rPr>
        <w:t>9</w:t>
      </w:r>
      <w:r w:rsidRPr="00A3718C">
        <w:rPr>
          <w:rFonts w:ascii="Calibri" w:hAnsi="Calibri" w:hint="eastAsia"/>
          <w:color w:val="auto"/>
        </w:rPr>
        <w:t>月</w:t>
      </w:r>
      <w:r>
        <w:rPr>
          <w:rFonts w:ascii="Calibri" w:hAnsi="Calibri"/>
          <w:color w:val="auto"/>
        </w:rPr>
        <w:t>7</w:t>
      </w:r>
      <w:r w:rsidRPr="00A3718C">
        <w:rPr>
          <w:rFonts w:ascii="Calibri" w:hAnsi="Calibri" w:hint="eastAsia"/>
          <w:color w:val="auto"/>
        </w:rPr>
        <w:t>日，项目环评报告书技术评审会召开。评价单位按照专家提出的意见进行了修改，形成了《</w:t>
      </w:r>
      <w:r w:rsidRPr="00547D4F">
        <w:rPr>
          <w:rFonts w:hint="eastAsia"/>
        </w:rPr>
        <w:t>平顶山倍安德塑化有限公司年产</w:t>
      </w:r>
      <w:r w:rsidRPr="00547D4F">
        <w:rPr>
          <w:rFonts w:hint="eastAsia"/>
        </w:rPr>
        <w:t>5000</w:t>
      </w:r>
      <w:r w:rsidRPr="00547D4F">
        <w:rPr>
          <w:rFonts w:hint="eastAsia"/>
        </w:rPr>
        <w:t>吨透明尼龙合成制造项目</w:t>
      </w:r>
      <w:r w:rsidRPr="00EA4FDD">
        <w:rPr>
          <w:rFonts w:hint="eastAsia"/>
        </w:rPr>
        <w:t>环境影响报告书</w:t>
      </w:r>
      <w:r w:rsidRPr="00A3718C">
        <w:rPr>
          <w:rFonts w:ascii="Calibri" w:hAnsi="Calibri" w:hint="eastAsia"/>
          <w:color w:val="auto"/>
        </w:rPr>
        <w:t>》（报批版）。</w:t>
      </w:r>
      <w:r w:rsidRPr="00A3718C">
        <w:rPr>
          <w:rFonts w:ascii="Calibri" w:hAnsi="Calibri" w:hint="eastAsia"/>
          <w:color w:val="auto"/>
        </w:rPr>
        <w:t>202</w:t>
      </w:r>
      <w:r>
        <w:rPr>
          <w:rFonts w:ascii="Calibri" w:hAnsi="Calibri"/>
          <w:color w:val="auto"/>
        </w:rPr>
        <w:t>2</w:t>
      </w:r>
      <w:r w:rsidRPr="00A3718C">
        <w:rPr>
          <w:rFonts w:ascii="Calibri" w:hAnsi="Calibri" w:hint="eastAsia"/>
          <w:color w:val="auto"/>
        </w:rPr>
        <w:t>年</w:t>
      </w:r>
      <w:r>
        <w:rPr>
          <w:rFonts w:ascii="Calibri" w:hAnsi="Calibri"/>
          <w:color w:val="auto"/>
        </w:rPr>
        <w:t>9</w:t>
      </w:r>
      <w:r w:rsidRPr="00A3718C">
        <w:rPr>
          <w:rFonts w:ascii="Calibri" w:hAnsi="Calibri" w:hint="eastAsia"/>
          <w:color w:val="auto"/>
        </w:rPr>
        <w:t>月</w:t>
      </w:r>
      <w:r>
        <w:rPr>
          <w:rFonts w:ascii="Calibri" w:hAnsi="Calibri"/>
          <w:color w:val="auto"/>
        </w:rPr>
        <w:t>28</w:t>
      </w:r>
      <w:r w:rsidRPr="00A3718C">
        <w:rPr>
          <w:rFonts w:ascii="Calibri" w:hAnsi="Calibri" w:hint="eastAsia"/>
          <w:color w:val="auto"/>
        </w:rPr>
        <w:t>日，在向</w:t>
      </w:r>
      <w:r w:rsidRPr="00613D2D">
        <w:rPr>
          <w:rFonts w:hint="eastAsia"/>
        </w:rPr>
        <w:t>平顶山市生态环境局叶县分局</w:t>
      </w:r>
      <w:r w:rsidRPr="00A3718C">
        <w:rPr>
          <w:rFonts w:ascii="Calibri" w:hAnsi="Calibri" w:hint="eastAsia"/>
          <w:color w:val="auto"/>
        </w:rPr>
        <w:t>报批之前，在</w:t>
      </w:r>
      <w:r w:rsidRPr="00547D4F">
        <w:rPr>
          <w:rFonts w:ascii="Calibri" w:hAnsi="Calibri" w:hint="eastAsia"/>
          <w:color w:val="auto"/>
        </w:rPr>
        <w:t>环评互联网网站</w:t>
      </w:r>
      <w:r w:rsidRPr="00A3718C">
        <w:rPr>
          <w:rFonts w:ascii="Calibri" w:hAnsi="Calibri" w:hint="eastAsia"/>
          <w:color w:val="auto"/>
        </w:rPr>
        <w:t>进行了公开。公开内容主要包括报批版、公众参与篇章说明全文的网络链接。在项目送审、报批公示期间未收到项目周边可能受影响企事业单位、群众的任何反对意见，表明项目所在地的周边企事业单位、群众均支持项目建设，目前阶段无反对意见。建设单位依据实际情况编制了公众参与说明。</w:t>
      </w:r>
    </w:p>
    <w:p w14:paraId="48AC14F3" w14:textId="77777777" w:rsidR="0055605A" w:rsidRPr="00A964FF" w:rsidRDefault="0055605A" w:rsidP="00547D4F">
      <w:pPr>
        <w:pStyle w:val="2"/>
        <w:spacing w:before="200" w:after="100"/>
        <w:rPr>
          <w:rFonts w:ascii="Calibri" w:hAnsi="Calibri"/>
          <w:bCs/>
          <w:color w:val="auto"/>
          <w:szCs w:val="28"/>
        </w:rPr>
      </w:pPr>
      <w:bookmarkStart w:id="110" w:name="_Toc112999943"/>
      <w:r w:rsidRPr="00B66817">
        <w:rPr>
          <w:rFonts w:ascii="Calibri" w:hAnsi="Calibri"/>
          <w:bCs/>
          <w:color w:val="auto"/>
          <w:szCs w:val="28"/>
        </w:rPr>
        <w:t>8.</w:t>
      </w:r>
      <w:r w:rsidR="00FE4DEA" w:rsidRPr="00B66817">
        <w:rPr>
          <w:rFonts w:ascii="Calibri" w:hAnsi="Calibri" w:hint="eastAsia"/>
          <w:bCs/>
          <w:color w:val="auto"/>
          <w:szCs w:val="28"/>
        </w:rPr>
        <w:t>9</w:t>
      </w:r>
      <w:r w:rsidRPr="00B66817">
        <w:rPr>
          <w:rFonts w:ascii="Calibri" w:hAnsi="Calibri" w:hint="eastAsia"/>
          <w:bCs/>
          <w:color w:val="auto"/>
          <w:szCs w:val="28"/>
        </w:rPr>
        <w:t>建议</w:t>
      </w:r>
      <w:bookmarkEnd w:id="110"/>
    </w:p>
    <w:p w14:paraId="0CAC9BFA" w14:textId="77777777" w:rsidR="000A21B8" w:rsidRPr="00A964FF" w:rsidRDefault="000A21B8" w:rsidP="000A21B8">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1</w:t>
      </w:r>
      <w:r w:rsidRPr="00A964FF">
        <w:rPr>
          <w:rFonts w:ascii="Calibri" w:hAnsi="Calibri" w:hint="eastAsia"/>
          <w:color w:val="auto"/>
          <w:sz w:val="24"/>
        </w:rPr>
        <w:t>）</w:t>
      </w:r>
      <w:r w:rsidRPr="00A964FF">
        <w:rPr>
          <w:rFonts w:ascii="Calibri" w:hAnsi="Calibri"/>
          <w:color w:val="auto"/>
          <w:sz w:val="24"/>
        </w:rPr>
        <w:t>项目建设过程中严格</w:t>
      </w:r>
      <w:r w:rsidRPr="00A964FF">
        <w:rPr>
          <w:rFonts w:ascii="宋体" w:hAnsi="宋体"/>
          <w:color w:val="auto"/>
          <w:sz w:val="24"/>
        </w:rPr>
        <w:t>遵守“三同时”制度</w:t>
      </w:r>
      <w:r w:rsidRPr="00A964FF">
        <w:rPr>
          <w:rFonts w:ascii="Calibri" w:hAnsi="Calibri"/>
          <w:color w:val="auto"/>
          <w:sz w:val="24"/>
        </w:rPr>
        <w:t>，建设项目中的环境保护设施必须与主体工程同时设计，同时施工，同时投产使用。</w:t>
      </w:r>
    </w:p>
    <w:p w14:paraId="54E8764C" w14:textId="77777777" w:rsidR="000A21B8" w:rsidRPr="00A964FF" w:rsidRDefault="000A21B8" w:rsidP="000A21B8">
      <w:pPr>
        <w:spacing w:line="520" w:lineRule="exact"/>
        <w:ind w:firstLine="482"/>
        <w:rPr>
          <w:rFonts w:ascii="Calibri" w:hAnsi="Calibri"/>
          <w:color w:val="auto"/>
          <w:sz w:val="24"/>
        </w:rPr>
      </w:pPr>
      <w:r w:rsidRPr="00A964FF">
        <w:rPr>
          <w:rFonts w:ascii="Calibri" w:hAnsi="Calibri" w:hint="eastAsia"/>
          <w:color w:val="auto"/>
          <w:sz w:val="24"/>
        </w:rPr>
        <w:t>（</w:t>
      </w:r>
      <w:r w:rsidRPr="00A964FF">
        <w:rPr>
          <w:rFonts w:ascii="Calibri" w:hAnsi="Calibri" w:hint="eastAsia"/>
          <w:color w:val="auto"/>
          <w:sz w:val="24"/>
        </w:rPr>
        <w:t>2</w:t>
      </w:r>
      <w:r w:rsidRPr="00A964FF">
        <w:rPr>
          <w:rFonts w:ascii="Calibri" w:hAnsi="Calibri" w:hint="eastAsia"/>
          <w:color w:val="auto"/>
          <w:sz w:val="24"/>
        </w:rPr>
        <w:t>）严格控制各污染物达标排放，保持环保设施良好运行，落实环境管理规章制度，认真执行环境监测计划。</w:t>
      </w:r>
    </w:p>
    <w:p w14:paraId="750F2F74" w14:textId="77777777" w:rsidR="000A21B8" w:rsidRPr="00A964FF" w:rsidRDefault="000A21B8" w:rsidP="000A21B8">
      <w:pPr>
        <w:pStyle w:val="00"/>
        <w:rPr>
          <w:rFonts w:ascii="Calibri"/>
          <w:color w:val="auto"/>
        </w:rPr>
      </w:pPr>
      <w:r w:rsidRPr="00A964FF">
        <w:rPr>
          <w:rFonts w:ascii="Calibri" w:hint="eastAsia"/>
          <w:color w:val="auto"/>
        </w:rPr>
        <w:t>（</w:t>
      </w:r>
      <w:r w:rsidRPr="00A964FF">
        <w:rPr>
          <w:rFonts w:ascii="Calibri" w:hint="eastAsia"/>
          <w:color w:val="auto"/>
        </w:rPr>
        <w:t>3</w:t>
      </w:r>
      <w:r w:rsidRPr="00A964FF">
        <w:rPr>
          <w:rFonts w:ascii="Calibri" w:hint="eastAsia"/>
          <w:color w:val="auto"/>
        </w:rPr>
        <w:t>）</w:t>
      </w:r>
      <w:r w:rsidR="00752FD7" w:rsidRPr="00A964FF">
        <w:rPr>
          <w:rFonts w:ascii="Calibri" w:hint="eastAsia"/>
          <w:color w:val="auto"/>
        </w:rPr>
        <w:t>加强环境管理和监测工作，保证废水处理设施、废气治理设施的稳定运行以及</w:t>
      </w:r>
      <w:r w:rsidR="00827578" w:rsidRPr="00A964FF">
        <w:rPr>
          <w:rFonts w:ascii="Calibri" w:hint="eastAsia"/>
          <w:color w:val="auto"/>
        </w:rPr>
        <w:t>固废</w:t>
      </w:r>
      <w:r w:rsidR="00752FD7" w:rsidRPr="00A964FF">
        <w:rPr>
          <w:rFonts w:ascii="Calibri" w:hint="eastAsia"/>
          <w:color w:val="auto"/>
        </w:rPr>
        <w:t>的妥善处理处置。</w:t>
      </w:r>
      <w:r w:rsidR="00752FD7" w:rsidRPr="00A964FF">
        <w:rPr>
          <w:rFonts w:ascii="Calibri"/>
          <w:color w:val="auto"/>
        </w:rPr>
        <w:t>并定期对环保设备的运行情况进行检查，一旦设施出现问题，要及时解决，并在恢复之前暂停生产。</w:t>
      </w:r>
    </w:p>
    <w:p w14:paraId="629C59EB" w14:textId="77777777" w:rsidR="000A21B8" w:rsidRPr="00A964FF" w:rsidRDefault="000A21B8" w:rsidP="000A21B8">
      <w:pPr>
        <w:spacing w:line="520" w:lineRule="exact"/>
        <w:ind w:firstLine="482"/>
        <w:rPr>
          <w:rFonts w:ascii="Calibri" w:hAnsi="Calibri"/>
          <w:color w:val="auto"/>
          <w:sz w:val="24"/>
        </w:rPr>
      </w:pPr>
      <w:r w:rsidRPr="00A964FF">
        <w:rPr>
          <w:rFonts w:ascii="Calibri" w:hAnsi="Calibri" w:hint="eastAsia"/>
          <w:color w:val="auto"/>
          <w:sz w:val="24"/>
        </w:rPr>
        <w:t>（</w:t>
      </w:r>
      <w:r w:rsidR="00752FD7" w:rsidRPr="00A964FF">
        <w:rPr>
          <w:rFonts w:ascii="Calibri" w:hAnsi="Calibri" w:hint="eastAsia"/>
          <w:color w:val="auto"/>
          <w:sz w:val="24"/>
        </w:rPr>
        <w:t>4</w:t>
      </w:r>
      <w:r w:rsidRPr="00A964FF">
        <w:rPr>
          <w:rFonts w:ascii="Calibri" w:hAnsi="Calibri" w:hint="eastAsia"/>
          <w:color w:val="auto"/>
          <w:sz w:val="24"/>
        </w:rPr>
        <w:t>）</w:t>
      </w:r>
      <w:r w:rsidRPr="00A964FF">
        <w:rPr>
          <w:rFonts w:ascii="Calibri" w:hAnsi="Calibri"/>
          <w:color w:val="auto"/>
          <w:sz w:val="24"/>
        </w:rPr>
        <w:t>设备选型选用质量好低噪声设备，噪声较大的设备，需加设减振装置及建筑隔声设施，以减轻对</w:t>
      </w:r>
      <w:r w:rsidR="00993538" w:rsidRPr="00A964FF">
        <w:rPr>
          <w:rFonts w:ascii="Calibri" w:hAnsi="Calibri" w:hint="eastAsia"/>
          <w:color w:val="auto"/>
          <w:sz w:val="24"/>
        </w:rPr>
        <w:t>周围</w:t>
      </w:r>
      <w:r w:rsidRPr="00A964FF">
        <w:rPr>
          <w:rFonts w:ascii="Calibri" w:hAnsi="Calibri" w:hint="eastAsia"/>
          <w:color w:val="auto"/>
          <w:sz w:val="24"/>
        </w:rPr>
        <w:t>环境</w:t>
      </w:r>
      <w:r w:rsidRPr="00A964FF">
        <w:rPr>
          <w:rFonts w:ascii="Calibri" w:hAnsi="Calibri"/>
          <w:color w:val="auto"/>
          <w:sz w:val="24"/>
        </w:rPr>
        <w:t>的影响</w:t>
      </w:r>
      <w:r w:rsidRPr="00A964FF">
        <w:rPr>
          <w:rFonts w:ascii="Calibri" w:hAnsi="Calibri" w:hint="eastAsia"/>
          <w:color w:val="auto"/>
          <w:sz w:val="24"/>
        </w:rPr>
        <w:t>。</w:t>
      </w:r>
    </w:p>
    <w:p w14:paraId="2332720D" w14:textId="77777777" w:rsidR="000A21B8" w:rsidRPr="00A964FF" w:rsidRDefault="000A21B8" w:rsidP="000A21B8">
      <w:pPr>
        <w:pStyle w:val="00"/>
        <w:rPr>
          <w:rFonts w:ascii="Calibri"/>
          <w:color w:val="auto"/>
        </w:rPr>
      </w:pPr>
      <w:r w:rsidRPr="00A964FF">
        <w:rPr>
          <w:rFonts w:ascii="Calibri" w:hint="eastAsia"/>
          <w:color w:val="auto"/>
        </w:rPr>
        <w:lastRenderedPageBreak/>
        <w:t>（</w:t>
      </w:r>
      <w:r w:rsidR="00752FD7" w:rsidRPr="00A964FF">
        <w:rPr>
          <w:rFonts w:ascii="Calibri" w:hint="eastAsia"/>
          <w:color w:val="auto"/>
        </w:rPr>
        <w:t>5</w:t>
      </w:r>
      <w:r w:rsidRPr="00A964FF">
        <w:rPr>
          <w:rFonts w:ascii="Calibri" w:hint="eastAsia"/>
          <w:color w:val="auto"/>
        </w:rPr>
        <w:t>）</w:t>
      </w:r>
      <w:r w:rsidR="00752FD7" w:rsidRPr="00A964FF">
        <w:rPr>
          <w:rFonts w:ascii="Calibri" w:hint="eastAsia"/>
          <w:color w:val="auto"/>
        </w:rPr>
        <w:t>建立和完善环境风险防控体系，制订切实可靠的事故应急预案，并定期进行应急演练，确保事故发生后将损失降低到最低。</w:t>
      </w:r>
    </w:p>
    <w:p w14:paraId="614E22DB" w14:textId="77777777" w:rsidR="000A21B8" w:rsidRPr="00A964FF" w:rsidRDefault="000A21B8" w:rsidP="000A21B8">
      <w:pPr>
        <w:pStyle w:val="00"/>
        <w:rPr>
          <w:rFonts w:ascii="Calibri"/>
          <w:color w:val="auto"/>
        </w:rPr>
      </w:pPr>
      <w:r w:rsidRPr="00A964FF">
        <w:rPr>
          <w:rFonts w:ascii="Calibri" w:hint="eastAsia"/>
          <w:color w:val="auto"/>
        </w:rPr>
        <w:t>（</w:t>
      </w:r>
      <w:r w:rsidR="00752FD7" w:rsidRPr="00A964FF">
        <w:rPr>
          <w:rFonts w:ascii="Calibri" w:hint="eastAsia"/>
          <w:color w:val="auto"/>
        </w:rPr>
        <w:t>6</w:t>
      </w:r>
      <w:r w:rsidRPr="00A964FF">
        <w:rPr>
          <w:rFonts w:ascii="Calibri" w:hint="eastAsia"/>
          <w:color w:val="auto"/>
        </w:rPr>
        <w:t>）建设单位在投入生产前应与危废处置单位签署完善委托处置协议，确保项目产生的所有危险废物均可得到有效处理。</w:t>
      </w:r>
    </w:p>
    <w:p w14:paraId="0D9C0600" w14:textId="77777777" w:rsidR="00752FD7" w:rsidRPr="00A964FF" w:rsidRDefault="00752FD7" w:rsidP="00752FD7">
      <w:pPr>
        <w:pStyle w:val="00"/>
        <w:rPr>
          <w:rFonts w:ascii="Calibri"/>
          <w:color w:val="auto"/>
        </w:rPr>
      </w:pPr>
      <w:r w:rsidRPr="00A964FF">
        <w:rPr>
          <w:rFonts w:ascii="Calibri" w:hint="eastAsia"/>
          <w:color w:val="auto"/>
        </w:rPr>
        <w:t>（</w:t>
      </w:r>
      <w:r w:rsidRPr="00A964FF">
        <w:rPr>
          <w:rFonts w:ascii="Calibri" w:hint="eastAsia"/>
          <w:color w:val="auto"/>
        </w:rPr>
        <w:t>7</w:t>
      </w:r>
      <w:r w:rsidRPr="00A964FF">
        <w:rPr>
          <w:rFonts w:ascii="Calibri" w:hint="eastAsia"/>
          <w:color w:val="auto"/>
        </w:rPr>
        <w:t>）节约水资源，增加水的循环利用</w:t>
      </w:r>
      <w:r w:rsidR="00827578" w:rsidRPr="00A964FF">
        <w:rPr>
          <w:rFonts w:ascii="Calibri" w:hint="eastAsia"/>
          <w:color w:val="auto"/>
        </w:rPr>
        <w:t>率</w:t>
      </w:r>
      <w:r w:rsidRPr="00A964FF">
        <w:rPr>
          <w:rFonts w:ascii="Calibri" w:hint="eastAsia"/>
          <w:color w:val="auto"/>
        </w:rPr>
        <w:t>，尽量减少废水排放量。</w:t>
      </w:r>
    </w:p>
    <w:p w14:paraId="359EEAB1" w14:textId="77777777" w:rsidR="00752FD7" w:rsidRPr="00A964FF" w:rsidRDefault="00752FD7" w:rsidP="000A21B8">
      <w:pPr>
        <w:pStyle w:val="00"/>
        <w:rPr>
          <w:rFonts w:ascii="Calibri"/>
          <w:color w:val="auto"/>
        </w:rPr>
      </w:pPr>
      <w:r w:rsidRPr="00A964FF">
        <w:rPr>
          <w:rFonts w:ascii="Calibri" w:hint="eastAsia"/>
          <w:color w:val="auto"/>
        </w:rPr>
        <w:t>（</w:t>
      </w:r>
      <w:r w:rsidRPr="00A964FF">
        <w:rPr>
          <w:rFonts w:ascii="Calibri" w:hint="eastAsia"/>
          <w:color w:val="auto"/>
        </w:rPr>
        <w:t>8</w:t>
      </w:r>
      <w:r w:rsidRPr="00A964FF">
        <w:rPr>
          <w:rFonts w:ascii="Calibri" w:hint="eastAsia"/>
          <w:color w:val="auto"/>
        </w:rPr>
        <w:t>）加强职工清洁生产意识教育，在日常操作过程中要树立清洁生产意识，减少污染物排放量和提高资源的利用率。</w:t>
      </w:r>
    </w:p>
    <w:p w14:paraId="2C9E6716" w14:textId="77777777" w:rsidR="000A21B8" w:rsidRPr="00A964FF" w:rsidRDefault="000A21B8" w:rsidP="000A21B8">
      <w:pPr>
        <w:spacing w:line="520" w:lineRule="exact"/>
        <w:ind w:firstLineChars="200" w:firstLine="480"/>
        <w:rPr>
          <w:rFonts w:ascii="Calibri" w:hAnsi="Calibri"/>
          <w:color w:val="auto"/>
          <w:sz w:val="24"/>
        </w:rPr>
      </w:pPr>
      <w:r w:rsidRPr="00A964FF">
        <w:rPr>
          <w:rFonts w:ascii="Calibri" w:hAnsi="Calibri"/>
          <w:color w:val="auto"/>
          <w:sz w:val="24"/>
        </w:rPr>
        <w:t>（</w:t>
      </w:r>
      <w:r w:rsidR="00752FD7" w:rsidRPr="00A964FF">
        <w:rPr>
          <w:rFonts w:ascii="Calibri" w:hAnsi="Calibri" w:hint="eastAsia"/>
          <w:color w:val="auto"/>
          <w:sz w:val="24"/>
        </w:rPr>
        <w:t>9</w:t>
      </w:r>
      <w:r w:rsidRPr="00A964FF">
        <w:rPr>
          <w:rFonts w:ascii="Calibri" w:hAnsi="Calibri"/>
          <w:color w:val="auto"/>
          <w:sz w:val="24"/>
        </w:rPr>
        <w:t>）执行国家建设项目环境管理的有关规定，做好环保设施管理和维修监督工作，建立并管理好环保设施的档案，保证环保设施按照设计要求运行，杜绝擅自拆除和闲置环保设施的现象发生。</w:t>
      </w:r>
    </w:p>
    <w:p w14:paraId="53E58837" w14:textId="77777777" w:rsidR="0055605A" w:rsidRPr="00A964FF" w:rsidRDefault="0055605A" w:rsidP="0055605A">
      <w:pPr>
        <w:pStyle w:val="2"/>
        <w:spacing w:before="200" w:after="100"/>
        <w:rPr>
          <w:rFonts w:ascii="Calibri" w:hAnsi="Calibri"/>
          <w:bCs/>
          <w:color w:val="auto"/>
          <w:szCs w:val="28"/>
        </w:rPr>
      </w:pPr>
      <w:bookmarkStart w:id="111" w:name="_Toc112999944"/>
      <w:r w:rsidRPr="00A964FF">
        <w:rPr>
          <w:rFonts w:ascii="Calibri" w:hAnsi="Calibri"/>
          <w:bCs/>
          <w:color w:val="auto"/>
          <w:szCs w:val="28"/>
        </w:rPr>
        <w:t>8.</w:t>
      </w:r>
      <w:r w:rsidR="00FE4DEA" w:rsidRPr="00A964FF">
        <w:rPr>
          <w:rFonts w:ascii="Calibri" w:hAnsi="Calibri" w:hint="eastAsia"/>
          <w:bCs/>
          <w:color w:val="auto"/>
          <w:szCs w:val="28"/>
        </w:rPr>
        <w:t>10</w:t>
      </w:r>
      <w:r w:rsidRPr="00A964FF">
        <w:rPr>
          <w:rFonts w:ascii="Calibri" w:hAnsi="Calibri" w:hint="eastAsia"/>
          <w:bCs/>
          <w:color w:val="auto"/>
          <w:szCs w:val="28"/>
        </w:rPr>
        <w:t>环评总结论</w:t>
      </w:r>
      <w:bookmarkEnd w:id="111"/>
    </w:p>
    <w:p w14:paraId="27A77BED" w14:textId="77777777" w:rsidR="0055605A" w:rsidRPr="00A964FF" w:rsidRDefault="0055605A" w:rsidP="00DD4CAB">
      <w:pPr>
        <w:pStyle w:val="00"/>
        <w:rPr>
          <w:rFonts w:ascii="Calibri"/>
          <w:color w:val="auto"/>
        </w:rPr>
      </w:pPr>
      <w:r w:rsidRPr="00A964FF">
        <w:rPr>
          <w:rFonts w:ascii="Calibri" w:hint="eastAsia"/>
          <w:color w:val="auto"/>
        </w:rPr>
        <w:t>本项目为</w:t>
      </w:r>
      <w:r w:rsidR="00DD4CAB">
        <w:rPr>
          <w:rFonts w:ascii="Calibri" w:hAnsi="Calibri" w:hint="eastAsia"/>
          <w:caps/>
        </w:rPr>
        <w:t>平顶山倍</w:t>
      </w:r>
      <w:r w:rsidR="00DD4CAB">
        <w:rPr>
          <w:rFonts w:ascii="Calibri" w:hAnsi="Calibri"/>
          <w:caps/>
        </w:rPr>
        <w:t>安德塑化</w:t>
      </w:r>
      <w:r w:rsidR="00DD4CAB">
        <w:rPr>
          <w:rFonts w:ascii="Calibri" w:hAnsi="Calibri" w:hint="eastAsia"/>
          <w:caps/>
        </w:rPr>
        <w:t>有限公司年产</w:t>
      </w:r>
      <w:r w:rsidR="00DD4CAB">
        <w:rPr>
          <w:rFonts w:ascii="Calibri" w:hAnsi="Calibri" w:hint="eastAsia"/>
          <w:caps/>
        </w:rPr>
        <w:t>5000</w:t>
      </w:r>
      <w:r w:rsidR="00DD4CAB">
        <w:rPr>
          <w:rFonts w:ascii="Calibri" w:hAnsi="Calibri" w:hint="eastAsia"/>
          <w:caps/>
        </w:rPr>
        <w:t>吨</w:t>
      </w:r>
      <w:r w:rsidR="00DD4CAB">
        <w:rPr>
          <w:rFonts w:ascii="Calibri" w:hAnsi="Calibri"/>
          <w:caps/>
        </w:rPr>
        <w:t>透明</w:t>
      </w:r>
      <w:r w:rsidR="00DD4CAB">
        <w:rPr>
          <w:rFonts w:ascii="Calibri" w:hAnsi="Calibri" w:hint="eastAsia"/>
          <w:caps/>
        </w:rPr>
        <w:t>尼龙</w:t>
      </w:r>
      <w:r w:rsidR="00DD4CAB">
        <w:rPr>
          <w:rFonts w:ascii="Calibri" w:hAnsi="Calibri"/>
          <w:caps/>
        </w:rPr>
        <w:t>合成制造项目</w:t>
      </w:r>
      <w:r w:rsidR="00752FD7" w:rsidRPr="00A964FF">
        <w:rPr>
          <w:rFonts w:ascii="Calibri" w:hint="eastAsia"/>
          <w:color w:val="auto"/>
        </w:rPr>
        <w:t>，选址位于</w:t>
      </w:r>
      <w:r w:rsidR="00E12BF5" w:rsidRPr="00A964FF">
        <w:rPr>
          <w:rFonts w:ascii="Calibri" w:hint="eastAsia"/>
          <w:color w:val="auto"/>
        </w:rPr>
        <w:t>平顶山</w:t>
      </w:r>
      <w:r w:rsidR="00827578" w:rsidRPr="00A964FF">
        <w:rPr>
          <w:rFonts w:ascii="Calibri" w:hint="eastAsia"/>
          <w:color w:val="auto"/>
        </w:rPr>
        <w:t>尼龙新材料产业集聚区</w:t>
      </w:r>
      <w:r w:rsidRPr="00A964FF">
        <w:rPr>
          <w:rFonts w:ascii="Calibri" w:hint="eastAsia"/>
          <w:color w:val="auto"/>
        </w:rPr>
        <w:t>，</w:t>
      </w:r>
      <w:r w:rsidR="000A21B8" w:rsidRPr="00A964FF">
        <w:rPr>
          <w:rFonts w:ascii="Calibri" w:hint="eastAsia"/>
          <w:color w:val="auto"/>
        </w:rPr>
        <w:t>现已经通过</w:t>
      </w:r>
      <w:r w:rsidR="003B048A" w:rsidRPr="00A964FF">
        <w:rPr>
          <w:rFonts w:ascii="Calibri" w:hint="eastAsia"/>
          <w:color w:val="auto"/>
        </w:rPr>
        <w:t>平顶山尼龙新材料产业集聚区</w:t>
      </w:r>
      <w:r w:rsidR="000A21B8" w:rsidRPr="00A964FF">
        <w:rPr>
          <w:rFonts w:ascii="Calibri" w:hint="eastAsia"/>
          <w:color w:val="auto"/>
        </w:rPr>
        <w:t>备案，</w:t>
      </w:r>
      <w:r w:rsidR="00B66817">
        <w:rPr>
          <w:rFonts w:ascii="Calibri" w:hAnsi="Calibri" w:hint="eastAsia"/>
          <w:caps/>
        </w:rPr>
        <w:t>符合叶县土地利用总体规划及平顶山尼龙新材料产业集聚区总体规划，</w:t>
      </w:r>
      <w:r w:rsidR="00A40A35" w:rsidRPr="00A964FF">
        <w:rPr>
          <w:rFonts w:ascii="Calibri" w:hint="eastAsia"/>
          <w:color w:val="auto"/>
        </w:rPr>
        <w:t>符合</w:t>
      </w:r>
      <w:r w:rsidR="00D73BCD" w:rsidRPr="00A964FF">
        <w:rPr>
          <w:rFonts w:ascii="Calibri" w:hAnsi="Calibri" w:hint="eastAsia"/>
          <w:color w:val="auto"/>
        </w:rPr>
        <w:t>河南省生态环境分区管控总体要求</w:t>
      </w:r>
      <w:r w:rsidR="00D73BCD">
        <w:rPr>
          <w:rFonts w:ascii="Calibri" w:hAnsi="Calibri" w:hint="eastAsia"/>
          <w:color w:val="auto"/>
        </w:rPr>
        <w:t>和叶县</w:t>
      </w:r>
      <w:r w:rsidR="00D73BCD" w:rsidRPr="00A964FF">
        <w:rPr>
          <w:rFonts w:ascii="Calibri" w:hAnsi="Calibri" w:hint="eastAsia"/>
          <w:color w:val="auto"/>
        </w:rPr>
        <w:t>“三线一单”管控要求</w:t>
      </w:r>
      <w:r w:rsidRPr="00A964FF">
        <w:rPr>
          <w:rFonts w:ascii="Calibri" w:hint="eastAsia"/>
          <w:color w:val="auto"/>
        </w:rPr>
        <w:t>。</w:t>
      </w:r>
    </w:p>
    <w:p w14:paraId="5F49F3AF" w14:textId="77777777" w:rsidR="0055605A" w:rsidRPr="00A964FF" w:rsidRDefault="0055605A" w:rsidP="0055605A">
      <w:pPr>
        <w:pStyle w:val="00"/>
        <w:rPr>
          <w:rFonts w:ascii="Calibri"/>
          <w:color w:val="auto"/>
        </w:rPr>
      </w:pPr>
      <w:r w:rsidRPr="00A964FF">
        <w:rPr>
          <w:rFonts w:ascii="Calibri"/>
          <w:color w:val="auto"/>
        </w:rPr>
        <w:t>本项目具有较明显的社会、经济、环境综合效益</w:t>
      </w:r>
      <w:r w:rsidRPr="00A964FF">
        <w:rPr>
          <w:rFonts w:ascii="Calibri" w:hint="eastAsia"/>
          <w:color w:val="auto"/>
        </w:rPr>
        <w:t>其</w:t>
      </w:r>
      <w:r w:rsidRPr="00A964FF">
        <w:rPr>
          <w:rFonts w:ascii="Calibri"/>
          <w:color w:val="auto"/>
        </w:rPr>
        <w:t>建成投入使用后，在采取相应的治理措施后，可满足相应的国家排放标准；项目实施后能满足区域环境质量与环境功能的要求。建设</w:t>
      </w:r>
      <w:r w:rsidRPr="00A964FF">
        <w:rPr>
          <w:rFonts w:ascii="Calibri" w:hint="eastAsia"/>
          <w:color w:val="auto"/>
        </w:rPr>
        <w:t>单位</w:t>
      </w:r>
      <w:r w:rsidRPr="00A964FF">
        <w:rPr>
          <w:rFonts w:ascii="Calibri"/>
          <w:color w:val="auto"/>
        </w:rPr>
        <w:t>在施工期、运营期应当在执行“三同时”原则的基础上，严格执行国家的环保法律法规，切实落实本环评中提出的各项污染防治措施，将对周围环境的影响降低到可接受的程度，从环保角度</w:t>
      </w:r>
      <w:r w:rsidRPr="00A964FF">
        <w:rPr>
          <w:rFonts w:ascii="Calibri" w:hint="eastAsia"/>
          <w:color w:val="auto"/>
        </w:rPr>
        <w:t>出发</w:t>
      </w:r>
      <w:r w:rsidRPr="00A964FF">
        <w:rPr>
          <w:rFonts w:ascii="Calibri"/>
          <w:color w:val="auto"/>
        </w:rPr>
        <w:t>，</w:t>
      </w:r>
      <w:r w:rsidR="00827578" w:rsidRPr="00A964FF">
        <w:rPr>
          <w:rFonts w:ascii="Calibri" w:hint="eastAsia"/>
          <w:color w:val="auto"/>
        </w:rPr>
        <w:t>在当前环保政策前提下，</w:t>
      </w:r>
      <w:r w:rsidR="00E253B7" w:rsidRPr="00A964FF">
        <w:rPr>
          <w:rFonts w:ascii="Calibri"/>
          <w:color w:val="auto"/>
        </w:rPr>
        <w:t>本项目</w:t>
      </w:r>
      <w:r w:rsidRPr="00A964FF">
        <w:rPr>
          <w:rFonts w:ascii="Calibri"/>
          <w:color w:val="auto"/>
        </w:rPr>
        <w:t>建设可行。</w:t>
      </w:r>
    </w:p>
    <w:p w14:paraId="33167071" w14:textId="77777777" w:rsidR="006E6A63" w:rsidRPr="00A964FF" w:rsidRDefault="006E6A63" w:rsidP="00B96336">
      <w:pPr>
        <w:pStyle w:val="00"/>
        <w:rPr>
          <w:rFonts w:ascii="Calibri"/>
          <w:color w:val="auto"/>
        </w:rPr>
      </w:pPr>
    </w:p>
    <w:p w14:paraId="7EE48028" w14:textId="1F194ACB" w:rsidR="005619A3" w:rsidRPr="00A964FF" w:rsidRDefault="005619A3">
      <w:pPr>
        <w:pStyle w:val="00"/>
        <w:rPr>
          <w:rFonts w:ascii="Calibri"/>
          <w:color w:val="auto"/>
        </w:rPr>
      </w:pPr>
    </w:p>
    <w:sectPr w:rsidR="005619A3" w:rsidRPr="00A964FF" w:rsidSect="0055299D">
      <w:pgSz w:w="11906" w:h="16838" w:code="9"/>
      <w:pgMar w:top="1440" w:right="1588" w:bottom="1440" w:left="158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6C0F1" w14:textId="77777777" w:rsidR="009073C0" w:rsidRDefault="009073C0">
      <w:r>
        <w:separator/>
      </w:r>
    </w:p>
  </w:endnote>
  <w:endnote w:type="continuationSeparator" w:id="0">
    <w:p w14:paraId="3AB7E997" w14:textId="77777777" w:rsidR="009073C0" w:rsidRDefault="00907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tim">
    <w:altName w:val="Times New Roman"/>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00"/>
    <w:family w:val="roman"/>
    <w:pitch w:val="default"/>
  </w:font>
  <w:font w:name="TT54AB0ED3tCID">
    <w:altName w:val="Times New Roman"/>
    <w:charset w:val="00"/>
    <w:family w:val="roman"/>
    <w:pitch w:val="default"/>
    <w:sig w:usb0="00000000" w:usb1="00000000" w:usb2="00000000" w:usb3="00000000" w:csb0="00040001" w:csb1="00000000"/>
  </w:font>
  <w:font w:name="??">
    <w:altName w:val="Times New Roman"/>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top w:w="72" w:type="dxa"/>
        <w:left w:w="115" w:type="dxa"/>
        <w:bottom w:w="72" w:type="dxa"/>
        <w:right w:w="115" w:type="dxa"/>
      </w:tblCellMar>
      <w:tblLook w:val="0000" w:firstRow="0" w:lastRow="0" w:firstColumn="0" w:lastColumn="0" w:noHBand="0" w:noVBand="0"/>
    </w:tblPr>
    <w:tblGrid>
      <w:gridCol w:w="858"/>
      <w:gridCol w:w="7726"/>
    </w:tblGrid>
    <w:tr w:rsidR="00217891" w14:paraId="35D24DE1" w14:textId="77777777" w:rsidTr="00495FDF">
      <w:trPr>
        <w:trHeight w:val="253"/>
      </w:trPr>
      <w:tc>
        <w:tcPr>
          <w:tcW w:w="858" w:type="dxa"/>
          <w:tcBorders>
            <w:top w:val="single" w:sz="4" w:space="0" w:color="943634"/>
            <w:bottom w:val="single" w:sz="4" w:space="0" w:color="auto"/>
          </w:tcBorders>
          <w:shd w:val="clear" w:color="auto" w:fill="auto"/>
        </w:tcPr>
        <w:p w14:paraId="0BA0F9B8" w14:textId="77777777" w:rsidR="00217891" w:rsidRPr="00495FDF" w:rsidRDefault="00217891" w:rsidP="006D5BC4">
          <w:pPr>
            <w:pStyle w:val="a6"/>
            <w:ind w:right="180"/>
            <w:jc w:val="center"/>
            <w:rPr>
              <w:rFonts w:ascii="Calibri" w:hAnsi="Calibri"/>
              <w:b/>
            </w:rPr>
          </w:pPr>
          <w:r w:rsidRPr="00495FDF">
            <w:rPr>
              <w:rFonts w:ascii="Calibri" w:hAnsi="Calibri"/>
            </w:rPr>
            <w:fldChar w:fldCharType="begin"/>
          </w:r>
          <w:r w:rsidRPr="00495FDF">
            <w:rPr>
              <w:rFonts w:ascii="Calibri" w:hAnsi="Calibri"/>
            </w:rPr>
            <w:instrText xml:space="preserve"> PAGE   \* MERGEFORMAT </w:instrText>
          </w:r>
          <w:r w:rsidRPr="00495FDF">
            <w:rPr>
              <w:rFonts w:ascii="Calibri" w:hAnsi="Calibri"/>
            </w:rPr>
            <w:fldChar w:fldCharType="separate"/>
          </w:r>
          <w:r w:rsidRPr="004C243D">
            <w:rPr>
              <w:rFonts w:ascii="Calibri" w:hAnsi="Calibri"/>
              <w:noProof/>
              <w:lang w:val="zh-CN"/>
            </w:rPr>
            <w:t>2</w:t>
          </w:r>
          <w:r w:rsidRPr="00495FDF">
            <w:rPr>
              <w:rFonts w:ascii="Calibri" w:hAnsi="Calibri"/>
            </w:rPr>
            <w:fldChar w:fldCharType="end"/>
          </w:r>
        </w:p>
      </w:tc>
      <w:tc>
        <w:tcPr>
          <w:tcW w:w="7726" w:type="dxa"/>
          <w:tcBorders>
            <w:top w:val="single" w:sz="4" w:space="0" w:color="auto"/>
          </w:tcBorders>
        </w:tcPr>
        <w:p w14:paraId="3998CBE1" w14:textId="77777777" w:rsidR="00217891" w:rsidRDefault="00217891" w:rsidP="00AB2940">
          <w:pPr>
            <w:pStyle w:val="a6"/>
            <w:ind w:rightChars="171" w:right="359" w:firstLineChars="50" w:firstLine="90"/>
            <w:jc w:val="both"/>
          </w:pPr>
        </w:p>
      </w:tc>
    </w:tr>
  </w:tbl>
  <w:p w14:paraId="60029417" w14:textId="77777777" w:rsidR="00217891" w:rsidRDefault="00217891">
    <w:pPr>
      <w:pStyle w:val="a6"/>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D2732" w14:textId="4932F904" w:rsidR="00217891" w:rsidRPr="004C243D" w:rsidRDefault="00217891">
    <w:pPr>
      <w:pStyle w:val="a6"/>
      <w:jc w:val="center"/>
      <w:rPr>
        <w:rFonts w:ascii="Calibri" w:hAnsi="Calibri"/>
        <w:sz w:val="21"/>
        <w:szCs w:val="21"/>
      </w:rPr>
    </w:pPr>
    <w:r w:rsidRPr="004C243D">
      <w:rPr>
        <w:rFonts w:ascii="Calibri" w:hAnsi="Calibri"/>
        <w:sz w:val="21"/>
        <w:szCs w:val="21"/>
      </w:rPr>
      <w:fldChar w:fldCharType="begin"/>
    </w:r>
    <w:r w:rsidRPr="004C243D">
      <w:rPr>
        <w:rFonts w:ascii="Calibri" w:hAnsi="Calibri"/>
        <w:sz w:val="21"/>
        <w:szCs w:val="21"/>
      </w:rPr>
      <w:instrText xml:space="preserve"> PAGE   \* MERGEFORMAT </w:instrText>
    </w:r>
    <w:r w:rsidRPr="004C243D">
      <w:rPr>
        <w:rFonts w:ascii="Calibri" w:hAnsi="Calibri"/>
        <w:sz w:val="21"/>
        <w:szCs w:val="21"/>
      </w:rPr>
      <w:fldChar w:fldCharType="separate"/>
    </w:r>
    <w:r w:rsidR="006E18F7" w:rsidRPr="006E18F7">
      <w:rPr>
        <w:rFonts w:ascii="Calibri" w:hAnsi="Calibri"/>
        <w:noProof/>
        <w:sz w:val="21"/>
        <w:szCs w:val="21"/>
        <w:lang w:val="zh-CN"/>
      </w:rPr>
      <w:t>III</w:t>
    </w:r>
    <w:r w:rsidRPr="004C243D">
      <w:rPr>
        <w:rFonts w:ascii="Calibri" w:hAnsi="Calibri"/>
        <w:sz w:val="21"/>
        <w:szCs w:val="21"/>
      </w:rPr>
      <w:fldChar w:fldCharType="end"/>
    </w:r>
  </w:p>
  <w:p w14:paraId="7D555A3D" w14:textId="77777777" w:rsidR="00217891" w:rsidRDefault="00217891">
    <w:pPr>
      <w:pStyle w:val="a6"/>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FE0F" w14:textId="77777777" w:rsidR="00217891" w:rsidRDefault="00217891">
    <w:pPr>
      <w:pStyle w:val="a6"/>
      <w:spacing w:before="24" w:after="24"/>
      <w:jc w:val="both"/>
    </w:pPr>
    <w:r>
      <w:rPr>
        <w:noProof/>
      </w:rPr>
      <mc:AlternateContent>
        <mc:Choice Requires="wps">
          <w:drawing>
            <wp:anchor distT="0" distB="0" distL="114300" distR="114300" simplePos="0" relativeHeight="251657728" behindDoc="0" locked="0" layoutInCell="1" allowOverlap="1" wp14:anchorId="5385C536" wp14:editId="4DEB945D">
              <wp:simplePos x="0" y="0"/>
              <wp:positionH relativeFrom="margin">
                <wp:align>center</wp:align>
              </wp:positionH>
              <wp:positionV relativeFrom="paragraph">
                <wp:posOffset>0</wp:posOffset>
              </wp:positionV>
              <wp:extent cx="1828800" cy="1828800"/>
              <wp:effectExtent l="0" t="0"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013D37B9" w14:textId="77777777" w:rsidR="00217891" w:rsidRDefault="00217891">
                          <w:pPr>
                            <w:pStyle w:val="a6"/>
                            <w:spacing w:before="24" w:after="24"/>
                            <w:jc w:val="center"/>
                          </w:pPr>
                          <w:r>
                            <w:fldChar w:fldCharType="begin"/>
                          </w:r>
                          <w:r>
                            <w:instrText xml:space="preserve"> PAGE   \* MERGEFORMAT </w:instrText>
                          </w:r>
                          <w:r>
                            <w:fldChar w:fldCharType="separate"/>
                          </w:r>
                          <w:r>
                            <w:rPr>
                              <w:lang w:val="zh-CN"/>
                            </w:rPr>
                            <w:t>20</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385C536" id="_x0000_t202" coordsize="21600,21600" o:spt="202" path="m,l,21600r21600,l21600,xe">
              <v:stroke joinstyle="miter"/>
              <v:path gradientshapeok="t" o:connecttype="rect"/>
            </v:shapetype>
            <v:shape id="文本框 39" o:spid="_x0000_s1698" type="#_x0000_t202" style="position:absolute;left:0;text-align:left;margin-left:0;margin-top:0;width:2in;height:2in;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" filled="f" stroked="f" strokeweight=".5pt">
              <v:path arrowok="t"/>
              <v:textbox style="mso-fit-shape-to-text:t" inset="0,0,0,0">
                <w:txbxContent>
                  <w:p w14:paraId="013D37B9" w14:textId="77777777" w:rsidR="00217891" w:rsidRDefault="00217891">
                    <w:pPr>
                      <w:pStyle w:val="a6"/>
                      <w:spacing w:before="24" w:after="24"/>
                      <w:jc w:val="center"/>
                    </w:pPr>
                    <w:r>
                      <w:fldChar w:fldCharType="begin"/>
                    </w:r>
                    <w:r>
                      <w:instrText xml:space="preserve"> PAGE   \* MERGEFORMAT </w:instrText>
                    </w:r>
                    <w:r>
                      <w:fldChar w:fldCharType="separate"/>
                    </w:r>
                    <w:r>
                      <w:rPr>
                        <w:lang w:val="zh-CN"/>
                      </w:rPr>
                      <w:t>20</w:t>
                    </w:r>
                    <w:r>
                      <w:rPr>
                        <w:lang w:val="zh-CN"/>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52E58" w14:textId="6B2183A0" w:rsidR="00217891" w:rsidRPr="00A15F3C" w:rsidRDefault="00217891">
    <w:pPr>
      <w:pStyle w:val="a6"/>
      <w:jc w:val="center"/>
      <w:rPr>
        <w:rFonts w:ascii="Calibri" w:hAnsi="Calibri"/>
        <w:sz w:val="21"/>
        <w:szCs w:val="21"/>
      </w:rPr>
    </w:pPr>
    <w:r w:rsidRPr="00A15F3C">
      <w:rPr>
        <w:rFonts w:ascii="Calibri" w:hAnsi="Calibri"/>
        <w:sz w:val="21"/>
        <w:szCs w:val="21"/>
      </w:rPr>
      <w:fldChar w:fldCharType="begin"/>
    </w:r>
    <w:r w:rsidRPr="00A15F3C">
      <w:rPr>
        <w:rFonts w:ascii="Calibri" w:hAnsi="Calibri"/>
        <w:sz w:val="21"/>
        <w:szCs w:val="21"/>
      </w:rPr>
      <w:instrText xml:space="preserve"> PAGE   \* MERGEFORMAT </w:instrText>
    </w:r>
    <w:r w:rsidRPr="00A15F3C">
      <w:rPr>
        <w:rFonts w:ascii="Calibri" w:hAnsi="Calibri"/>
        <w:sz w:val="21"/>
        <w:szCs w:val="21"/>
      </w:rPr>
      <w:fldChar w:fldCharType="separate"/>
    </w:r>
    <w:r w:rsidR="006E18F7" w:rsidRPr="006E18F7">
      <w:rPr>
        <w:rFonts w:ascii="Calibri" w:hAnsi="Calibri"/>
        <w:noProof/>
        <w:sz w:val="21"/>
        <w:szCs w:val="21"/>
        <w:lang w:val="zh-CN"/>
      </w:rPr>
      <w:t>5</w:t>
    </w:r>
    <w:r w:rsidRPr="00A15F3C">
      <w:rPr>
        <w:rFonts w:ascii="Calibri" w:hAnsi="Calibri"/>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top w:w="72" w:type="dxa"/>
        <w:left w:w="115" w:type="dxa"/>
        <w:bottom w:w="72" w:type="dxa"/>
        <w:right w:w="115" w:type="dxa"/>
      </w:tblCellMar>
      <w:tblLook w:val="0000" w:firstRow="0" w:lastRow="0" w:firstColumn="0" w:lastColumn="0" w:noHBand="0" w:noVBand="0"/>
    </w:tblPr>
    <w:tblGrid>
      <w:gridCol w:w="858"/>
      <w:gridCol w:w="7726"/>
    </w:tblGrid>
    <w:tr w:rsidR="00217891" w14:paraId="067EEFED" w14:textId="77777777" w:rsidTr="00495FDF">
      <w:trPr>
        <w:trHeight w:val="253"/>
      </w:trPr>
      <w:tc>
        <w:tcPr>
          <w:tcW w:w="858" w:type="dxa"/>
          <w:tcBorders>
            <w:top w:val="single" w:sz="4" w:space="0" w:color="943634"/>
            <w:bottom w:val="single" w:sz="4" w:space="0" w:color="auto"/>
          </w:tcBorders>
          <w:shd w:val="clear" w:color="auto" w:fill="auto"/>
        </w:tcPr>
        <w:p w14:paraId="369D202A" w14:textId="77777777" w:rsidR="00217891" w:rsidRPr="00495FDF" w:rsidRDefault="00217891" w:rsidP="006D5BC4">
          <w:pPr>
            <w:pStyle w:val="a6"/>
            <w:ind w:right="180"/>
            <w:jc w:val="center"/>
            <w:rPr>
              <w:rFonts w:ascii="Calibri" w:hAnsi="Calibri"/>
              <w:b/>
            </w:rPr>
          </w:pPr>
          <w:r w:rsidRPr="00495FDF">
            <w:rPr>
              <w:rFonts w:ascii="Calibri" w:hAnsi="Calibri"/>
            </w:rPr>
            <w:fldChar w:fldCharType="begin"/>
          </w:r>
          <w:r w:rsidRPr="00495FDF">
            <w:rPr>
              <w:rFonts w:ascii="Calibri" w:hAnsi="Calibri"/>
            </w:rPr>
            <w:instrText xml:space="preserve"> PAGE   \* MERGEFORMAT </w:instrText>
          </w:r>
          <w:r w:rsidRPr="00495FDF">
            <w:rPr>
              <w:rFonts w:ascii="Calibri" w:hAnsi="Calibri"/>
            </w:rPr>
            <w:fldChar w:fldCharType="separate"/>
          </w:r>
          <w:r w:rsidRPr="004C243D">
            <w:rPr>
              <w:rFonts w:ascii="Calibri" w:hAnsi="Calibri"/>
              <w:noProof/>
              <w:lang w:val="zh-CN"/>
            </w:rPr>
            <w:t>2</w:t>
          </w:r>
          <w:r w:rsidRPr="00495FDF">
            <w:rPr>
              <w:rFonts w:ascii="Calibri" w:hAnsi="Calibri"/>
            </w:rPr>
            <w:fldChar w:fldCharType="end"/>
          </w:r>
        </w:p>
      </w:tc>
      <w:tc>
        <w:tcPr>
          <w:tcW w:w="7726" w:type="dxa"/>
          <w:tcBorders>
            <w:top w:val="single" w:sz="4" w:space="0" w:color="auto"/>
          </w:tcBorders>
        </w:tcPr>
        <w:p w14:paraId="44E7AA59" w14:textId="77777777" w:rsidR="00217891" w:rsidRDefault="00217891" w:rsidP="00AB2940">
          <w:pPr>
            <w:pStyle w:val="a6"/>
            <w:ind w:rightChars="171" w:right="359" w:firstLineChars="50" w:firstLine="90"/>
            <w:jc w:val="both"/>
          </w:pPr>
        </w:p>
      </w:tc>
    </w:tr>
  </w:tbl>
  <w:p w14:paraId="4EC71789" w14:textId="77777777" w:rsidR="00217891" w:rsidRDefault="00217891">
    <w:pPr>
      <w:pStyle w:val="a6"/>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F060" w14:textId="1862DBFD" w:rsidR="00217891" w:rsidRPr="004C243D" w:rsidRDefault="00217891">
    <w:pPr>
      <w:pStyle w:val="a6"/>
      <w:jc w:val="center"/>
      <w:rPr>
        <w:rFonts w:ascii="Calibri" w:hAnsi="Calibri"/>
        <w:sz w:val="21"/>
        <w:szCs w:val="21"/>
      </w:rPr>
    </w:pPr>
    <w:r w:rsidRPr="004C243D">
      <w:rPr>
        <w:rFonts w:ascii="Calibri" w:hAnsi="Calibri"/>
        <w:sz w:val="21"/>
        <w:szCs w:val="21"/>
      </w:rPr>
      <w:fldChar w:fldCharType="begin"/>
    </w:r>
    <w:r w:rsidRPr="004C243D">
      <w:rPr>
        <w:rFonts w:ascii="Calibri" w:hAnsi="Calibri"/>
        <w:sz w:val="21"/>
        <w:szCs w:val="21"/>
      </w:rPr>
      <w:instrText xml:space="preserve"> PAGE   \* MERGEFORMAT </w:instrText>
    </w:r>
    <w:r w:rsidRPr="004C243D">
      <w:rPr>
        <w:rFonts w:ascii="Calibri" w:hAnsi="Calibri"/>
        <w:sz w:val="21"/>
        <w:szCs w:val="21"/>
      </w:rPr>
      <w:fldChar w:fldCharType="separate"/>
    </w:r>
    <w:r w:rsidR="006E18F7" w:rsidRPr="006E18F7">
      <w:rPr>
        <w:rFonts w:ascii="Calibri" w:hAnsi="Calibri"/>
        <w:noProof/>
        <w:sz w:val="21"/>
        <w:szCs w:val="21"/>
        <w:lang w:val="zh-CN"/>
      </w:rPr>
      <w:t>223</w:t>
    </w:r>
    <w:r w:rsidRPr="004C243D">
      <w:rPr>
        <w:rFonts w:ascii="Calibri" w:hAnsi="Calibri"/>
        <w:sz w:val="21"/>
        <w:szCs w:val="21"/>
      </w:rPr>
      <w:fldChar w:fldCharType="end"/>
    </w:r>
  </w:p>
  <w:p w14:paraId="360E7B8D" w14:textId="77777777" w:rsidR="00217891" w:rsidRDefault="00217891">
    <w:pPr>
      <w:pStyle w:val="a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58CBE" w14:textId="77777777" w:rsidR="009073C0" w:rsidRDefault="009073C0">
      <w:r>
        <w:separator/>
      </w:r>
    </w:p>
  </w:footnote>
  <w:footnote w:type="continuationSeparator" w:id="0">
    <w:p w14:paraId="65ABAE3B" w14:textId="77777777" w:rsidR="009073C0" w:rsidRDefault="00907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2A125" w14:textId="77777777" w:rsidR="00217891" w:rsidRDefault="00217891">
    <w:pPr>
      <w:pStyle w:val="a8"/>
    </w:pPr>
    <w:r w:rsidRPr="00F70077">
      <w:rPr>
        <w:rFonts w:ascii="Calibri" w:hint="eastAsia"/>
      </w:rPr>
      <w:t>鲁山县中医院康复病房楼建设项目</w:t>
    </w:r>
    <w:r>
      <w:rPr>
        <w:rFonts w:hint="eastAsia"/>
      </w:rPr>
      <w:t>环境影响报告书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36B47" w14:textId="77777777" w:rsidR="00217891" w:rsidRPr="00D54801" w:rsidRDefault="00217891" w:rsidP="00875A4D">
    <w:pPr>
      <w:pStyle w:val="a8"/>
      <w:pBdr>
        <w:bottom w:val="single" w:sz="6" w:space="0" w:color="auto"/>
      </w:pBdr>
      <w:rPr>
        <w:rFonts w:ascii="Calibri" w:hAnsi="Calibri"/>
        <w:caps/>
      </w:rPr>
    </w:pPr>
    <w:r>
      <w:rPr>
        <w:rFonts w:ascii="Calibri" w:hAnsi="Calibri" w:hint="eastAsia"/>
        <w:caps/>
      </w:rPr>
      <w:t>平顶山倍</w:t>
    </w:r>
    <w:r>
      <w:rPr>
        <w:rFonts w:ascii="Calibri" w:hAnsi="Calibri"/>
        <w:caps/>
      </w:rPr>
      <w:t>安德塑化</w:t>
    </w:r>
    <w:r>
      <w:rPr>
        <w:rFonts w:ascii="Calibri" w:hAnsi="Calibri" w:hint="eastAsia"/>
        <w:caps/>
      </w:rPr>
      <w:t>有限公司年产</w:t>
    </w:r>
    <w:r>
      <w:rPr>
        <w:rFonts w:ascii="Calibri" w:hAnsi="Calibri" w:hint="eastAsia"/>
        <w:caps/>
      </w:rPr>
      <w:t>5000</w:t>
    </w:r>
    <w:r>
      <w:rPr>
        <w:rFonts w:ascii="Calibri" w:hAnsi="Calibri" w:hint="eastAsia"/>
        <w:caps/>
      </w:rPr>
      <w:t>吨</w:t>
    </w:r>
    <w:r>
      <w:rPr>
        <w:rFonts w:ascii="Calibri" w:hAnsi="Calibri"/>
        <w:caps/>
      </w:rPr>
      <w:t>透明</w:t>
    </w:r>
    <w:r>
      <w:rPr>
        <w:rFonts w:ascii="Calibri" w:hAnsi="Calibri" w:hint="eastAsia"/>
        <w:caps/>
      </w:rPr>
      <w:t>尼龙</w:t>
    </w:r>
    <w:r>
      <w:rPr>
        <w:rFonts w:ascii="Calibri" w:hAnsi="Calibri"/>
        <w:caps/>
      </w:rPr>
      <w:t>合成制造项目</w:t>
    </w:r>
    <w:r w:rsidRPr="00D54801">
      <w:rPr>
        <w:rFonts w:ascii="Calibri" w:hAnsi="Calibri"/>
        <w:caps/>
      </w:rPr>
      <w:t>环境影响报告书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E214A" w14:textId="77777777" w:rsidR="00217891" w:rsidRDefault="00217891">
    <w:pPr>
      <w:pStyle w:val="a8"/>
    </w:pPr>
    <w:r>
      <w:rPr>
        <w:rFonts w:ascii="Calibri" w:hAnsi="Calibri" w:hint="eastAsia"/>
        <w:caps/>
      </w:rPr>
      <w:t>年产</w:t>
    </w:r>
    <w:r>
      <w:rPr>
        <w:rFonts w:ascii="Calibri" w:hAnsi="Calibri" w:hint="eastAsia"/>
        <w:caps/>
      </w:rPr>
      <w:t>2</w:t>
    </w:r>
    <w:r>
      <w:rPr>
        <w:rFonts w:ascii="Calibri" w:hAnsi="Calibri" w:hint="eastAsia"/>
        <w:caps/>
      </w:rPr>
      <w:t>万吨钢铁助剂项目环境影响评价报告书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D491" w14:textId="77777777" w:rsidR="00217891" w:rsidRPr="00D42517" w:rsidRDefault="00217891" w:rsidP="00D42517">
    <w:pPr>
      <w:pStyle w:val="a8"/>
      <w:rPr>
        <w:rFonts w:ascii="Calibri" w:hAnsi="Calibri"/>
        <w:caps/>
      </w:rPr>
    </w:pPr>
    <w:r w:rsidRPr="0088215F">
      <w:rPr>
        <w:rFonts w:ascii="Calibri" w:hAnsi="Calibri" w:hint="eastAsia"/>
        <w:caps/>
      </w:rPr>
      <w:t>平顶山倍安德塑化有限公司年产</w:t>
    </w:r>
    <w:r w:rsidRPr="0088215F">
      <w:rPr>
        <w:rFonts w:ascii="Calibri" w:hAnsi="Calibri" w:hint="eastAsia"/>
        <w:caps/>
      </w:rPr>
      <w:t>5000</w:t>
    </w:r>
    <w:r w:rsidRPr="0088215F">
      <w:rPr>
        <w:rFonts w:ascii="Calibri" w:hAnsi="Calibri" w:hint="eastAsia"/>
        <w:caps/>
      </w:rPr>
      <w:t>吨透明尼龙合成制造项目</w:t>
    </w:r>
    <w:r w:rsidRPr="00D54801">
      <w:rPr>
        <w:rFonts w:ascii="Calibri" w:hAnsi="Calibri"/>
        <w:caps/>
      </w:rPr>
      <w:t>环境影响</w:t>
    </w:r>
    <w:r>
      <w:rPr>
        <w:rFonts w:ascii="Calibri" w:hAnsi="Calibri" w:hint="eastAsia"/>
        <w:caps/>
      </w:rPr>
      <w:t>报告书</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4A180" w14:textId="77777777" w:rsidR="00217891" w:rsidRDefault="00217891">
    <w:pPr>
      <w:pStyle w:val="a8"/>
    </w:pPr>
    <w:r w:rsidRPr="00F70077">
      <w:rPr>
        <w:rFonts w:ascii="Calibri" w:hint="eastAsia"/>
      </w:rPr>
      <w:t>鲁山县中医院康复病房楼建设项目</w:t>
    </w:r>
    <w:r>
      <w:rPr>
        <w:rFonts w:hint="eastAsia"/>
      </w:rPr>
      <w:t>环境影响报告书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36AE" w14:textId="77777777" w:rsidR="00217891" w:rsidRPr="00FD68E2" w:rsidRDefault="00217891" w:rsidP="00875A4D">
    <w:pPr>
      <w:pStyle w:val="a8"/>
      <w:pBdr>
        <w:bottom w:val="single" w:sz="6" w:space="0" w:color="auto"/>
      </w:pBdr>
      <w:rPr>
        <w:rFonts w:ascii="Calibri" w:hAnsi="Calibri"/>
      </w:rPr>
    </w:pPr>
    <w:r>
      <w:rPr>
        <w:rFonts w:ascii="Calibri" w:hAnsi="Calibri" w:hint="eastAsia"/>
        <w:caps/>
      </w:rPr>
      <w:t>平顶山倍</w:t>
    </w:r>
    <w:r>
      <w:rPr>
        <w:rFonts w:ascii="Calibri" w:hAnsi="Calibri"/>
        <w:caps/>
      </w:rPr>
      <w:t>安德塑化</w:t>
    </w:r>
    <w:r>
      <w:rPr>
        <w:rFonts w:ascii="Calibri" w:hAnsi="Calibri" w:hint="eastAsia"/>
        <w:caps/>
      </w:rPr>
      <w:t>有限公司年产</w:t>
    </w:r>
    <w:r>
      <w:rPr>
        <w:rFonts w:ascii="Calibri" w:hAnsi="Calibri" w:hint="eastAsia"/>
        <w:caps/>
      </w:rPr>
      <w:t>5000</w:t>
    </w:r>
    <w:r>
      <w:rPr>
        <w:rFonts w:ascii="Calibri" w:hAnsi="Calibri" w:hint="eastAsia"/>
        <w:caps/>
      </w:rPr>
      <w:t>吨</w:t>
    </w:r>
    <w:r>
      <w:rPr>
        <w:rFonts w:ascii="Calibri" w:hAnsi="Calibri"/>
        <w:caps/>
      </w:rPr>
      <w:t>透明</w:t>
    </w:r>
    <w:r>
      <w:rPr>
        <w:rFonts w:ascii="Calibri" w:hAnsi="Calibri" w:hint="eastAsia"/>
        <w:caps/>
      </w:rPr>
      <w:t>尼龙</w:t>
    </w:r>
    <w:r>
      <w:rPr>
        <w:rFonts w:ascii="Calibri" w:hAnsi="Calibri"/>
        <w:caps/>
      </w:rPr>
      <w:t>合成制造项目</w:t>
    </w:r>
    <w:r w:rsidRPr="00D54801">
      <w:rPr>
        <w:rFonts w:ascii="Calibri" w:hAnsi="Calibri"/>
        <w:caps/>
      </w:rPr>
      <w:t>环境影响</w:t>
    </w:r>
    <w:r w:rsidRPr="00FD68E2">
      <w:rPr>
        <w:rFonts w:ascii="Calibri"/>
      </w:rPr>
      <w:t>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1pt;height:15pt;visibility:visible" o:bullet="t">
        <v:imagedata r:id="rId1" o:title=""/>
      </v:shape>
    </w:pict>
  </w:numPicBullet>
  <w:abstractNum w:abstractNumId="0" w15:restartNumberingAfterBreak="0">
    <w:nsid w:val="802A177C"/>
    <w:multiLevelType w:val="singleLevel"/>
    <w:tmpl w:val="802A177C"/>
    <w:lvl w:ilvl="0">
      <w:start w:val="1"/>
      <w:numFmt w:val="decimal"/>
      <w:suff w:val="nothing"/>
      <w:lvlText w:val="%1、"/>
      <w:lvlJc w:val="left"/>
    </w:lvl>
  </w:abstractNum>
  <w:abstractNum w:abstractNumId="1" w15:restartNumberingAfterBreak="0">
    <w:nsid w:val="828398C9"/>
    <w:multiLevelType w:val="singleLevel"/>
    <w:tmpl w:val="828398C9"/>
    <w:lvl w:ilvl="0">
      <w:start w:val="2"/>
      <w:numFmt w:val="decimal"/>
      <w:suff w:val="nothing"/>
      <w:lvlText w:val="（%1）"/>
      <w:lvlJc w:val="left"/>
    </w:lvl>
  </w:abstractNum>
  <w:abstractNum w:abstractNumId="2" w15:restartNumberingAfterBreak="0">
    <w:nsid w:val="890C209A"/>
    <w:multiLevelType w:val="singleLevel"/>
    <w:tmpl w:val="890C209A"/>
    <w:lvl w:ilvl="0">
      <w:start w:val="5"/>
      <w:numFmt w:val="decimal"/>
      <w:suff w:val="nothing"/>
      <w:lvlText w:val="%1-"/>
      <w:lvlJc w:val="left"/>
    </w:lvl>
  </w:abstractNum>
  <w:abstractNum w:abstractNumId="3" w15:restartNumberingAfterBreak="0">
    <w:nsid w:val="8923244B"/>
    <w:multiLevelType w:val="singleLevel"/>
    <w:tmpl w:val="8923244B"/>
    <w:lvl w:ilvl="0">
      <w:start w:val="1"/>
      <w:numFmt w:val="decimal"/>
      <w:suff w:val="nothing"/>
      <w:lvlText w:val="%1）"/>
      <w:lvlJc w:val="left"/>
    </w:lvl>
  </w:abstractNum>
  <w:abstractNum w:abstractNumId="4" w15:restartNumberingAfterBreak="0">
    <w:nsid w:val="9DB46DD3"/>
    <w:multiLevelType w:val="singleLevel"/>
    <w:tmpl w:val="9DB46DD3"/>
    <w:lvl w:ilvl="0">
      <w:start w:val="1"/>
      <w:numFmt w:val="decimal"/>
      <w:suff w:val="nothing"/>
      <w:lvlText w:val="%1、"/>
      <w:lvlJc w:val="left"/>
    </w:lvl>
  </w:abstractNum>
  <w:abstractNum w:abstractNumId="5" w15:restartNumberingAfterBreak="0">
    <w:nsid w:val="A39BEC38"/>
    <w:multiLevelType w:val="singleLevel"/>
    <w:tmpl w:val="A39BEC38"/>
    <w:lvl w:ilvl="0">
      <w:start w:val="1"/>
      <w:numFmt w:val="decimal"/>
      <w:suff w:val="nothing"/>
      <w:lvlText w:val="%1、"/>
      <w:lvlJc w:val="left"/>
    </w:lvl>
  </w:abstractNum>
  <w:abstractNum w:abstractNumId="6" w15:restartNumberingAfterBreak="0">
    <w:nsid w:val="B2D5FA9A"/>
    <w:multiLevelType w:val="singleLevel"/>
    <w:tmpl w:val="B2D5FA9A"/>
    <w:lvl w:ilvl="0">
      <w:start w:val="1"/>
      <w:numFmt w:val="decimal"/>
      <w:suff w:val="nothing"/>
      <w:lvlText w:val="%1、"/>
      <w:lvlJc w:val="left"/>
    </w:lvl>
  </w:abstractNum>
  <w:abstractNum w:abstractNumId="7" w15:restartNumberingAfterBreak="0">
    <w:nsid w:val="B9572B4F"/>
    <w:multiLevelType w:val="singleLevel"/>
    <w:tmpl w:val="B9572B4F"/>
    <w:lvl w:ilvl="0">
      <w:start w:val="2"/>
      <w:numFmt w:val="decimal"/>
      <w:suff w:val="space"/>
      <w:lvlText w:val="%1."/>
      <w:lvlJc w:val="left"/>
    </w:lvl>
  </w:abstractNum>
  <w:abstractNum w:abstractNumId="8" w15:restartNumberingAfterBreak="0">
    <w:nsid w:val="BB3AD48A"/>
    <w:multiLevelType w:val="singleLevel"/>
    <w:tmpl w:val="BB3AD48A"/>
    <w:lvl w:ilvl="0">
      <w:start w:val="1"/>
      <w:numFmt w:val="decimal"/>
      <w:suff w:val="nothing"/>
      <w:lvlText w:val="（%1）"/>
      <w:lvlJc w:val="left"/>
    </w:lvl>
  </w:abstractNum>
  <w:abstractNum w:abstractNumId="9" w15:restartNumberingAfterBreak="0">
    <w:nsid w:val="CB8BFFD8"/>
    <w:multiLevelType w:val="singleLevel"/>
    <w:tmpl w:val="CB8BFFD8"/>
    <w:lvl w:ilvl="0">
      <w:start w:val="5"/>
      <w:numFmt w:val="decimal"/>
      <w:suff w:val="nothing"/>
      <w:lvlText w:val="%1、"/>
      <w:lvlJc w:val="left"/>
    </w:lvl>
  </w:abstractNum>
  <w:abstractNum w:abstractNumId="10" w15:restartNumberingAfterBreak="0">
    <w:nsid w:val="DC595178"/>
    <w:multiLevelType w:val="singleLevel"/>
    <w:tmpl w:val="DC595178"/>
    <w:lvl w:ilvl="0">
      <w:start w:val="30"/>
      <w:numFmt w:val="decimal"/>
      <w:suff w:val="space"/>
      <w:lvlText w:val="%1."/>
      <w:lvlJc w:val="left"/>
    </w:lvl>
  </w:abstractNum>
  <w:abstractNum w:abstractNumId="11" w15:restartNumberingAfterBreak="0">
    <w:nsid w:val="E56D92D4"/>
    <w:multiLevelType w:val="singleLevel"/>
    <w:tmpl w:val="E56D92D4"/>
    <w:lvl w:ilvl="0">
      <w:start w:val="1"/>
      <w:numFmt w:val="bullet"/>
      <w:lvlText w:val=""/>
      <w:lvlJc w:val="left"/>
      <w:pPr>
        <w:tabs>
          <w:tab w:val="num" w:pos="2040"/>
        </w:tabs>
        <w:ind w:left="2040" w:hanging="360"/>
      </w:pPr>
      <w:rPr>
        <w:rFonts w:ascii="Wingdings" w:hAnsi="Wingdings" w:hint="default"/>
      </w:rPr>
    </w:lvl>
  </w:abstractNum>
  <w:abstractNum w:abstractNumId="12" w15:restartNumberingAfterBreak="0">
    <w:nsid w:val="E7EB007D"/>
    <w:multiLevelType w:val="singleLevel"/>
    <w:tmpl w:val="E7EB007D"/>
    <w:lvl w:ilvl="0">
      <w:start w:val="1"/>
      <w:numFmt w:val="decimal"/>
      <w:suff w:val="nothing"/>
      <w:lvlText w:val="（%1）"/>
      <w:lvlJc w:val="left"/>
    </w:lvl>
  </w:abstractNum>
  <w:abstractNum w:abstractNumId="13" w15:restartNumberingAfterBreak="0">
    <w:nsid w:val="EA317C85"/>
    <w:multiLevelType w:val="multilevel"/>
    <w:tmpl w:val="EA317C85"/>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FB249BAE"/>
    <w:multiLevelType w:val="singleLevel"/>
    <w:tmpl w:val="FB249BAE"/>
    <w:lvl w:ilvl="0">
      <w:start w:val="5"/>
      <w:numFmt w:val="decimal"/>
      <w:suff w:val="nothing"/>
      <w:lvlText w:val="%1-"/>
      <w:lvlJc w:val="left"/>
    </w:lvl>
  </w:abstractNum>
  <w:abstractNum w:abstractNumId="15" w15:restartNumberingAfterBreak="0">
    <w:nsid w:val="FFFFFF89"/>
    <w:multiLevelType w:val="singleLevel"/>
    <w:tmpl w:val="FBC661E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6" w15:restartNumberingAfterBreak="0">
    <w:nsid w:val="077F4B50"/>
    <w:multiLevelType w:val="hybridMultilevel"/>
    <w:tmpl w:val="D7DC9020"/>
    <w:lvl w:ilvl="0" w:tplc="83C6E6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10931BC5"/>
    <w:multiLevelType w:val="hybridMultilevel"/>
    <w:tmpl w:val="6ACC9D76"/>
    <w:lvl w:ilvl="0" w:tplc="5AEEE574">
      <w:start w:val="1"/>
      <w:numFmt w:val="decimalEnclosedCircle"/>
      <w:lvlText w:val="%1"/>
      <w:lvlJc w:val="left"/>
      <w:pPr>
        <w:ind w:left="1069" w:hanging="360"/>
      </w:pPr>
      <w:rPr>
        <w:rFonts w:asciiTheme="minorEastAsia" w:eastAsiaTheme="minorEastAsia" w:hAnsiTheme="minorEastAsia"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8" w15:restartNumberingAfterBreak="0">
    <w:nsid w:val="141E0900"/>
    <w:multiLevelType w:val="hybridMultilevel"/>
    <w:tmpl w:val="944E165E"/>
    <w:lvl w:ilvl="0" w:tplc="DFEE455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1694A81C"/>
    <w:multiLevelType w:val="singleLevel"/>
    <w:tmpl w:val="1694A81C"/>
    <w:lvl w:ilvl="0">
      <w:start w:val="1"/>
      <w:numFmt w:val="decimal"/>
      <w:suff w:val="nothing"/>
      <w:lvlText w:val="（%1）"/>
      <w:lvlJc w:val="left"/>
    </w:lvl>
  </w:abstractNum>
  <w:abstractNum w:abstractNumId="20" w15:restartNumberingAfterBreak="0">
    <w:nsid w:val="252367F8"/>
    <w:multiLevelType w:val="hybridMultilevel"/>
    <w:tmpl w:val="949A493C"/>
    <w:lvl w:ilvl="0" w:tplc="62A82F5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81A1E97"/>
    <w:multiLevelType w:val="hybridMultilevel"/>
    <w:tmpl w:val="A63CEC06"/>
    <w:lvl w:ilvl="0" w:tplc="A68818B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29E27E14"/>
    <w:multiLevelType w:val="hybridMultilevel"/>
    <w:tmpl w:val="2C6C9802"/>
    <w:lvl w:ilvl="0" w:tplc="16FAEFD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2ABD81B9"/>
    <w:multiLevelType w:val="singleLevel"/>
    <w:tmpl w:val="2ABD81B9"/>
    <w:lvl w:ilvl="0">
      <w:start w:val="5"/>
      <w:numFmt w:val="decimal"/>
      <w:suff w:val="nothing"/>
      <w:lvlText w:val="（%1）"/>
      <w:lvlJc w:val="left"/>
    </w:lvl>
  </w:abstractNum>
  <w:abstractNum w:abstractNumId="24" w15:restartNumberingAfterBreak="0">
    <w:nsid w:val="2CA9C833"/>
    <w:multiLevelType w:val="singleLevel"/>
    <w:tmpl w:val="2CA9C833"/>
    <w:lvl w:ilvl="0">
      <w:start w:val="6"/>
      <w:numFmt w:val="decimal"/>
      <w:suff w:val="nothing"/>
      <w:lvlText w:val="（%1）"/>
      <w:lvlJc w:val="left"/>
    </w:lvl>
  </w:abstractNum>
  <w:abstractNum w:abstractNumId="25" w15:restartNumberingAfterBreak="0">
    <w:nsid w:val="3BF31ACD"/>
    <w:multiLevelType w:val="hybridMultilevel"/>
    <w:tmpl w:val="3DA09E1A"/>
    <w:lvl w:ilvl="0" w:tplc="D50255CC">
      <w:start w:val="1"/>
      <w:numFmt w:val="decimalEnclosedCircle"/>
      <w:lvlText w:val="%1"/>
      <w:lvlJc w:val="left"/>
      <w:pPr>
        <w:ind w:left="785" w:hanging="360"/>
      </w:pPr>
      <w:rPr>
        <w:rFonts w:asciiTheme="minorEastAsia" w:eastAsiaTheme="minorEastAsia" w:hAnsiTheme="minorEastAsia"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6" w15:restartNumberingAfterBreak="0">
    <w:nsid w:val="3D619DC1"/>
    <w:multiLevelType w:val="singleLevel"/>
    <w:tmpl w:val="3D619DC1"/>
    <w:lvl w:ilvl="0">
      <w:start w:val="1"/>
      <w:numFmt w:val="decimal"/>
      <w:lvlText w:val="%1."/>
      <w:lvlJc w:val="left"/>
      <w:pPr>
        <w:tabs>
          <w:tab w:val="num" w:pos="312"/>
        </w:tabs>
      </w:pPr>
    </w:lvl>
  </w:abstractNum>
  <w:abstractNum w:abstractNumId="27" w15:restartNumberingAfterBreak="0">
    <w:nsid w:val="3F031F16"/>
    <w:multiLevelType w:val="hybridMultilevel"/>
    <w:tmpl w:val="E9B0BA76"/>
    <w:lvl w:ilvl="0" w:tplc="4828856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3E446D8"/>
    <w:multiLevelType w:val="hybridMultilevel"/>
    <w:tmpl w:val="22AA3B48"/>
    <w:lvl w:ilvl="0" w:tplc="35AEE6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4DCAF1D"/>
    <w:multiLevelType w:val="singleLevel"/>
    <w:tmpl w:val="44DCAF1D"/>
    <w:lvl w:ilvl="0">
      <w:start w:val="4"/>
      <w:numFmt w:val="decimal"/>
      <w:suff w:val="nothing"/>
      <w:lvlText w:val="（%1）"/>
      <w:lvlJc w:val="left"/>
    </w:lvl>
  </w:abstractNum>
  <w:abstractNum w:abstractNumId="30" w15:restartNumberingAfterBreak="0">
    <w:nsid w:val="4B5660C6"/>
    <w:multiLevelType w:val="hybridMultilevel"/>
    <w:tmpl w:val="AF34FCE6"/>
    <w:lvl w:ilvl="0" w:tplc="9EB88E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BD908C3"/>
    <w:multiLevelType w:val="hybridMultilevel"/>
    <w:tmpl w:val="70CA6B02"/>
    <w:lvl w:ilvl="0" w:tplc="15E42CC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53E9C989"/>
    <w:multiLevelType w:val="singleLevel"/>
    <w:tmpl w:val="53E9C989"/>
    <w:lvl w:ilvl="0">
      <w:start w:val="1"/>
      <w:numFmt w:val="decimal"/>
      <w:lvlText w:val="%1."/>
      <w:lvlJc w:val="left"/>
      <w:pPr>
        <w:ind w:left="420" w:hanging="420"/>
      </w:pPr>
    </w:lvl>
  </w:abstractNum>
  <w:abstractNum w:abstractNumId="33" w15:restartNumberingAfterBreak="0">
    <w:nsid w:val="54241E19"/>
    <w:multiLevelType w:val="hybridMultilevel"/>
    <w:tmpl w:val="A17A3F4A"/>
    <w:lvl w:ilvl="0" w:tplc="EA463E6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55F257EF"/>
    <w:multiLevelType w:val="singleLevel"/>
    <w:tmpl w:val="55F257EF"/>
    <w:lvl w:ilvl="0">
      <w:start w:val="5"/>
      <w:numFmt w:val="decimal"/>
      <w:suff w:val="nothing"/>
      <w:lvlText w:val="%1）"/>
      <w:lvlJc w:val="left"/>
    </w:lvl>
  </w:abstractNum>
  <w:abstractNum w:abstractNumId="35" w15:restartNumberingAfterBreak="0">
    <w:nsid w:val="56217B9F"/>
    <w:multiLevelType w:val="hybridMultilevel"/>
    <w:tmpl w:val="12CC756A"/>
    <w:lvl w:ilvl="0" w:tplc="8DE4D85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57B20ED4"/>
    <w:multiLevelType w:val="hybridMultilevel"/>
    <w:tmpl w:val="9E06E6D2"/>
    <w:lvl w:ilvl="0" w:tplc="B2B44C8A">
      <w:start w:val="1"/>
      <w:numFmt w:val="decimalEnclosedCircle"/>
      <w:lvlText w:val="%1"/>
      <w:lvlJc w:val="left"/>
      <w:pPr>
        <w:ind w:left="780" w:hanging="360"/>
      </w:pPr>
      <w:rPr>
        <w:rFonts w:hint="default"/>
        <w:color w:val="000000"/>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5C584C0E"/>
    <w:multiLevelType w:val="singleLevel"/>
    <w:tmpl w:val="5C584C0E"/>
    <w:lvl w:ilvl="0">
      <w:start w:val="1"/>
      <w:numFmt w:val="decimal"/>
      <w:suff w:val="nothing"/>
      <w:lvlText w:val="（%1）"/>
      <w:lvlJc w:val="left"/>
    </w:lvl>
  </w:abstractNum>
  <w:abstractNum w:abstractNumId="38" w15:restartNumberingAfterBreak="0">
    <w:nsid w:val="5CF02914"/>
    <w:multiLevelType w:val="hybridMultilevel"/>
    <w:tmpl w:val="188C38DA"/>
    <w:lvl w:ilvl="0" w:tplc="CA583AF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61444308"/>
    <w:multiLevelType w:val="hybridMultilevel"/>
    <w:tmpl w:val="ADBCACA6"/>
    <w:lvl w:ilvl="0" w:tplc="68E8F67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3BA1AFC"/>
    <w:multiLevelType w:val="hybridMultilevel"/>
    <w:tmpl w:val="EAA2F334"/>
    <w:lvl w:ilvl="0" w:tplc="E4645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488721A"/>
    <w:multiLevelType w:val="hybridMultilevel"/>
    <w:tmpl w:val="6B24E1EE"/>
    <w:lvl w:ilvl="0" w:tplc="9C54AF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5692788"/>
    <w:multiLevelType w:val="hybridMultilevel"/>
    <w:tmpl w:val="C3007AF4"/>
    <w:lvl w:ilvl="0" w:tplc="155A5FC0">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3" w15:restartNumberingAfterBreak="0">
    <w:nsid w:val="6C8A26F7"/>
    <w:multiLevelType w:val="hybridMultilevel"/>
    <w:tmpl w:val="A0D82392"/>
    <w:lvl w:ilvl="0" w:tplc="30C699E0">
      <w:start w:val="2"/>
      <w:numFmt w:val="decimalEnclosedCircle"/>
      <w:lvlText w:val="%1"/>
      <w:lvlJc w:val="left"/>
      <w:pPr>
        <w:ind w:left="840" w:hanging="360"/>
      </w:pPr>
      <w:rPr>
        <w:rFonts w:ascii="Calibri" w:hAnsi="Calibr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710F2E92"/>
    <w:multiLevelType w:val="hybridMultilevel"/>
    <w:tmpl w:val="4B22A47E"/>
    <w:lvl w:ilvl="0" w:tplc="EEC4934E">
      <w:start w:val="1"/>
      <w:numFmt w:val="decimalEnclosedCircle"/>
      <w:lvlText w:val="%1"/>
      <w:lvlJc w:val="left"/>
      <w:pPr>
        <w:ind w:left="842" w:hanging="360"/>
      </w:pPr>
      <w:rPr>
        <w:rFonts w:asciiTheme="minorEastAsia" w:eastAsiaTheme="minorEastAsia" w:hAnsiTheme="minorEastAsia"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5" w15:restartNumberingAfterBreak="0">
    <w:nsid w:val="7CF6331F"/>
    <w:multiLevelType w:val="hybridMultilevel"/>
    <w:tmpl w:val="B894863E"/>
    <w:lvl w:ilvl="0" w:tplc="F9B0850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15:restartNumberingAfterBreak="0">
    <w:nsid w:val="7D6631B9"/>
    <w:multiLevelType w:val="singleLevel"/>
    <w:tmpl w:val="7D6631B9"/>
    <w:lvl w:ilvl="0">
      <w:start w:val="2"/>
      <w:numFmt w:val="decimal"/>
      <w:suff w:val="nothing"/>
      <w:lvlText w:val="（%1）"/>
      <w:lvlJc w:val="left"/>
    </w:lvl>
  </w:abstractNum>
  <w:abstractNum w:abstractNumId="47" w15:restartNumberingAfterBreak="0">
    <w:nsid w:val="7D763D22"/>
    <w:multiLevelType w:val="singleLevel"/>
    <w:tmpl w:val="7D763D22"/>
    <w:lvl w:ilvl="0">
      <w:start w:val="1"/>
      <w:numFmt w:val="decimal"/>
      <w:suff w:val="nothing"/>
      <w:lvlText w:val="（%1）"/>
      <w:lvlJc w:val="left"/>
    </w:lvl>
  </w:abstractNum>
  <w:abstractNum w:abstractNumId="48" w15:restartNumberingAfterBreak="0">
    <w:nsid w:val="7DC23FD6"/>
    <w:multiLevelType w:val="hybridMultilevel"/>
    <w:tmpl w:val="2C6C945C"/>
    <w:lvl w:ilvl="0" w:tplc="54546E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5"/>
  </w:num>
  <w:num w:numId="2">
    <w:abstractNumId w:val="23"/>
  </w:num>
  <w:num w:numId="3">
    <w:abstractNumId w:val="9"/>
  </w:num>
  <w:num w:numId="4">
    <w:abstractNumId w:val="46"/>
  </w:num>
  <w:num w:numId="5">
    <w:abstractNumId w:val="1"/>
  </w:num>
  <w:num w:numId="6">
    <w:abstractNumId w:val="30"/>
  </w:num>
  <w:num w:numId="7">
    <w:abstractNumId w:val="26"/>
  </w:num>
  <w:num w:numId="8">
    <w:abstractNumId w:val="7"/>
  </w:num>
  <w:num w:numId="9">
    <w:abstractNumId w:val="10"/>
  </w:num>
  <w:num w:numId="10">
    <w:abstractNumId w:val="5"/>
  </w:num>
  <w:num w:numId="11">
    <w:abstractNumId w:val="19"/>
  </w:num>
  <w:num w:numId="12">
    <w:abstractNumId w:val="6"/>
  </w:num>
  <w:num w:numId="13">
    <w:abstractNumId w:val="3"/>
  </w:num>
  <w:num w:numId="14">
    <w:abstractNumId w:val="34"/>
  </w:num>
  <w:num w:numId="15">
    <w:abstractNumId w:val="2"/>
  </w:num>
  <w:num w:numId="16">
    <w:abstractNumId w:val="14"/>
  </w:num>
  <w:num w:numId="17">
    <w:abstractNumId w:val="8"/>
  </w:num>
  <w:num w:numId="18">
    <w:abstractNumId w:val="12"/>
  </w:num>
  <w:num w:numId="19">
    <w:abstractNumId w:val="4"/>
  </w:num>
  <w:num w:numId="20">
    <w:abstractNumId w:val="29"/>
  </w:num>
  <w:num w:numId="21">
    <w:abstractNumId w:val="0"/>
  </w:num>
  <w:num w:numId="22">
    <w:abstractNumId w:val="47"/>
  </w:num>
  <w:num w:numId="23">
    <w:abstractNumId w:val="37"/>
  </w:num>
  <w:num w:numId="24">
    <w:abstractNumId w:val="24"/>
  </w:num>
  <w:num w:numId="25">
    <w:abstractNumId w:val="13"/>
  </w:num>
  <w:num w:numId="26">
    <w:abstractNumId w:val="11"/>
  </w:num>
  <w:num w:numId="27">
    <w:abstractNumId w:val="38"/>
  </w:num>
  <w:num w:numId="28">
    <w:abstractNumId w:val="20"/>
  </w:num>
  <w:num w:numId="29">
    <w:abstractNumId w:val="33"/>
  </w:num>
  <w:num w:numId="30">
    <w:abstractNumId w:val="32"/>
  </w:num>
  <w:num w:numId="31">
    <w:abstractNumId w:val="18"/>
  </w:num>
  <w:num w:numId="32">
    <w:abstractNumId w:val="27"/>
  </w:num>
  <w:num w:numId="33">
    <w:abstractNumId w:val="42"/>
  </w:num>
  <w:num w:numId="34">
    <w:abstractNumId w:val="21"/>
  </w:num>
  <w:num w:numId="35">
    <w:abstractNumId w:val="36"/>
  </w:num>
  <w:num w:numId="36">
    <w:abstractNumId w:val="31"/>
  </w:num>
  <w:num w:numId="37">
    <w:abstractNumId w:val="16"/>
  </w:num>
  <w:num w:numId="38">
    <w:abstractNumId w:val="22"/>
  </w:num>
  <w:num w:numId="39">
    <w:abstractNumId w:val="43"/>
  </w:num>
  <w:num w:numId="40">
    <w:abstractNumId w:val="25"/>
  </w:num>
  <w:num w:numId="41">
    <w:abstractNumId w:val="48"/>
  </w:num>
  <w:num w:numId="42">
    <w:abstractNumId w:val="35"/>
  </w:num>
  <w:num w:numId="43">
    <w:abstractNumId w:val="40"/>
  </w:num>
  <w:num w:numId="44">
    <w:abstractNumId w:val="41"/>
  </w:num>
  <w:num w:numId="45">
    <w:abstractNumId w:val="44"/>
  </w:num>
  <w:num w:numId="46">
    <w:abstractNumId w:val="17"/>
  </w:num>
  <w:num w:numId="47">
    <w:abstractNumId w:val="45"/>
  </w:num>
  <w:num w:numId="48">
    <w:abstractNumId w:val="39"/>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zh-CN" w:vendorID="64" w:dllVersion="5" w:nlCheck="1" w:checkStyle="0"/>
  <w:activeWritingStyle w:appName="MSWord" w:lang="en-US" w:vendorID="64" w:dllVersion="6" w:nlCheck="1" w:checkStyle="0"/>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3138" fill="f" fillcolor="white">
      <v:fill color="white" on="f"/>
      <o:colormru v:ext="edit" colors="#c0f,#36f,blue,white,#93f,#f06,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09C"/>
    <w:rsid w:val="00000024"/>
    <w:rsid w:val="000005E4"/>
    <w:rsid w:val="00000D2F"/>
    <w:rsid w:val="00000D62"/>
    <w:rsid w:val="00000E51"/>
    <w:rsid w:val="0000119A"/>
    <w:rsid w:val="000016DE"/>
    <w:rsid w:val="000018B5"/>
    <w:rsid w:val="000019BF"/>
    <w:rsid w:val="00001B36"/>
    <w:rsid w:val="00001B9C"/>
    <w:rsid w:val="00001C46"/>
    <w:rsid w:val="000020B0"/>
    <w:rsid w:val="000022E8"/>
    <w:rsid w:val="000025A9"/>
    <w:rsid w:val="000029ED"/>
    <w:rsid w:val="00002A5A"/>
    <w:rsid w:val="00002B3B"/>
    <w:rsid w:val="00002C63"/>
    <w:rsid w:val="0000306F"/>
    <w:rsid w:val="00003188"/>
    <w:rsid w:val="0000352B"/>
    <w:rsid w:val="00003570"/>
    <w:rsid w:val="00003670"/>
    <w:rsid w:val="00003675"/>
    <w:rsid w:val="000038FE"/>
    <w:rsid w:val="00003E46"/>
    <w:rsid w:val="00003F42"/>
    <w:rsid w:val="00003FBF"/>
    <w:rsid w:val="000041B2"/>
    <w:rsid w:val="0000443E"/>
    <w:rsid w:val="00004838"/>
    <w:rsid w:val="00004A0D"/>
    <w:rsid w:val="00004C44"/>
    <w:rsid w:val="00004C8E"/>
    <w:rsid w:val="00004CA0"/>
    <w:rsid w:val="00004DA7"/>
    <w:rsid w:val="00004E31"/>
    <w:rsid w:val="000056C1"/>
    <w:rsid w:val="00005793"/>
    <w:rsid w:val="000059E5"/>
    <w:rsid w:val="00005A77"/>
    <w:rsid w:val="00005C20"/>
    <w:rsid w:val="00005D27"/>
    <w:rsid w:val="00005E3D"/>
    <w:rsid w:val="00006048"/>
    <w:rsid w:val="00006552"/>
    <w:rsid w:val="00006EC2"/>
    <w:rsid w:val="0000732D"/>
    <w:rsid w:val="00007676"/>
    <w:rsid w:val="0000786E"/>
    <w:rsid w:val="00007AD4"/>
    <w:rsid w:val="00007BA8"/>
    <w:rsid w:val="00007F9F"/>
    <w:rsid w:val="00010007"/>
    <w:rsid w:val="000101B0"/>
    <w:rsid w:val="00010269"/>
    <w:rsid w:val="0001030D"/>
    <w:rsid w:val="000106E0"/>
    <w:rsid w:val="000107CB"/>
    <w:rsid w:val="00010AB3"/>
    <w:rsid w:val="00010BC7"/>
    <w:rsid w:val="00010E0A"/>
    <w:rsid w:val="00010FCC"/>
    <w:rsid w:val="000110C1"/>
    <w:rsid w:val="00011151"/>
    <w:rsid w:val="0001121E"/>
    <w:rsid w:val="00011289"/>
    <w:rsid w:val="00011B87"/>
    <w:rsid w:val="00011EDE"/>
    <w:rsid w:val="00011F86"/>
    <w:rsid w:val="00012575"/>
    <w:rsid w:val="00012CE4"/>
    <w:rsid w:val="00012CE5"/>
    <w:rsid w:val="00012F62"/>
    <w:rsid w:val="000130BA"/>
    <w:rsid w:val="00013A5F"/>
    <w:rsid w:val="00013C84"/>
    <w:rsid w:val="00014036"/>
    <w:rsid w:val="00014552"/>
    <w:rsid w:val="00014589"/>
    <w:rsid w:val="000148DE"/>
    <w:rsid w:val="00014904"/>
    <w:rsid w:val="00014BA9"/>
    <w:rsid w:val="00014FD7"/>
    <w:rsid w:val="000151E7"/>
    <w:rsid w:val="00015639"/>
    <w:rsid w:val="000156C3"/>
    <w:rsid w:val="000156E0"/>
    <w:rsid w:val="000156F0"/>
    <w:rsid w:val="0001583E"/>
    <w:rsid w:val="00015869"/>
    <w:rsid w:val="00015C2E"/>
    <w:rsid w:val="00015D1F"/>
    <w:rsid w:val="00015E75"/>
    <w:rsid w:val="00015EE7"/>
    <w:rsid w:val="00015FA8"/>
    <w:rsid w:val="000164CC"/>
    <w:rsid w:val="00016682"/>
    <w:rsid w:val="00016AF6"/>
    <w:rsid w:val="00016C4F"/>
    <w:rsid w:val="00016D79"/>
    <w:rsid w:val="00017378"/>
    <w:rsid w:val="000173B8"/>
    <w:rsid w:val="00017459"/>
    <w:rsid w:val="0001746C"/>
    <w:rsid w:val="000174BB"/>
    <w:rsid w:val="0001768C"/>
    <w:rsid w:val="000177BB"/>
    <w:rsid w:val="00017C1E"/>
    <w:rsid w:val="00017DB7"/>
    <w:rsid w:val="00017E8F"/>
    <w:rsid w:val="00020501"/>
    <w:rsid w:val="000208A1"/>
    <w:rsid w:val="000208C9"/>
    <w:rsid w:val="00020921"/>
    <w:rsid w:val="00020A2D"/>
    <w:rsid w:val="00020B0D"/>
    <w:rsid w:val="00020C67"/>
    <w:rsid w:val="0002141E"/>
    <w:rsid w:val="000215DB"/>
    <w:rsid w:val="00021A69"/>
    <w:rsid w:val="000220A0"/>
    <w:rsid w:val="0002289A"/>
    <w:rsid w:val="000228C7"/>
    <w:rsid w:val="00022C54"/>
    <w:rsid w:val="00023071"/>
    <w:rsid w:val="0002308D"/>
    <w:rsid w:val="0002335B"/>
    <w:rsid w:val="00023622"/>
    <w:rsid w:val="0002368C"/>
    <w:rsid w:val="0002373E"/>
    <w:rsid w:val="00023A46"/>
    <w:rsid w:val="00023D2E"/>
    <w:rsid w:val="00023E30"/>
    <w:rsid w:val="00023F1B"/>
    <w:rsid w:val="00023F84"/>
    <w:rsid w:val="00023FBC"/>
    <w:rsid w:val="00024091"/>
    <w:rsid w:val="00024136"/>
    <w:rsid w:val="0002471F"/>
    <w:rsid w:val="000248E9"/>
    <w:rsid w:val="000249E6"/>
    <w:rsid w:val="00024B84"/>
    <w:rsid w:val="00024C7F"/>
    <w:rsid w:val="00025067"/>
    <w:rsid w:val="0002512D"/>
    <w:rsid w:val="00025217"/>
    <w:rsid w:val="0002522E"/>
    <w:rsid w:val="000255BF"/>
    <w:rsid w:val="0002591C"/>
    <w:rsid w:val="0002593A"/>
    <w:rsid w:val="00025C5C"/>
    <w:rsid w:val="00025C80"/>
    <w:rsid w:val="000260CB"/>
    <w:rsid w:val="0002616D"/>
    <w:rsid w:val="00026202"/>
    <w:rsid w:val="00026275"/>
    <w:rsid w:val="00026277"/>
    <w:rsid w:val="00026397"/>
    <w:rsid w:val="000268BD"/>
    <w:rsid w:val="00026C14"/>
    <w:rsid w:val="0002727D"/>
    <w:rsid w:val="0002746C"/>
    <w:rsid w:val="000276DF"/>
    <w:rsid w:val="00027944"/>
    <w:rsid w:val="00027DFD"/>
    <w:rsid w:val="0003002F"/>
    <w:rsid w:val="000301F0"/>
    <w:rsid w:val="00030487"/>
    <w:rsid w:val="000306F4"/>
    <w:rsid w:val="00030780"/>
    <w:rsid w:val="0003094C"/>
    <w:rsid w:val="00030BA5"/>
    <w:rsid w:val="0003110C"/>
    <w:rsid w:val="00031627"/>
    <w:rsid w:val="000317DE"/>
    <w:rsid w:val="00031A5A"/>
    <w:rsid w:val="00031A77"/>
    <w:rsid w:val="00031AAB"/>
    <w:rsid w:val="00031CC0"/>
    <w:rsid w:val="00032557"/>
    <w:rsid w:val="000325CB"/>
    <w:rsid w:val="000326E5"/>
    <w:rsid w:val="00032865"/>
    <w:rsid w:val="00032A23"/>
    <w:rsid w:val="00032D7F"/>
    <w:rsid w:val="00032E11"/>
    <w:rsid w:val="00032E6D"/>
    <w:rsid w:val="00032ECD"/>
    <w:rsid w:val="000331F9"/>
    <w:rsid w:val="00033478"/>
    <w:rsid w:val="000336A4"/>
    <w:rsid w:val="000337CA"/>
    <w:rsid w:val="00033968"/>
    <w:rsid w:val="00033CA6"/>
    <w:rsid w:val="00033D91"/>
    <w:rsid w:val="00033F9B"/>
    <w:rsid w:val="0003424C"/>
    <w:rsid w:val="00034783"/>
    <w:rsid w:val="00034A89"/>
    <w:rsid w:val="00034B7B"/>
    <w:rsid w:val="00034D81"/>
    <w:rsid w:val="000353AB"/>
    <w:rsid w:val="000353CB"/>
    <w:rsid w:val="00035A30"/>
    <w:rsid w:val="00035D98"/>
    <w:rsid w:val="00035ED7"/>
    <w:rsid w:val="000360D5"/>
    <w:rsid w:val="00036604"/>
    <w:rsid w:val="000369E8"/>
    <w:rsid w:val="00036B2B"/>
    <w:rsid w:val="00036C17"/>
    <w:rsid w:val="00037064"/>
    <w:rsid w:val="00037103"/>
    <w:rsid w:val="000371B2"/>
    <w:rsid w:val="00037422"/>
    <w:rsid w:val="0003785A"/>
    <w:rsid w:val="00037EB0"/>
    <w:rsid w:val="00040302"/>
    <w:rsid w:val="0004069D"/>
    <w:rsid w:val="000406EC"/>
    <w:rsid w:val="000407E6"/>
    <w:rsid w:val="000407F8"/>
    <w:rsid w:val="00040838"/>
    <w:rsid w:val="00040A38"/>
    <w:rsid w:val="00040BEE"/>
    <w:rsid w:val="00040EF4"/>
    <w:rsid w:val="000410B5"/>
    <w:rsid w:val="00041607"/>
    <w:rsid w:val="000416AC"/>
    <w:rsid w:val="000417A8"/>
    <w:rsid w:val="000418F1"/>
    <w:rsid w:val="00041AE5"/>
    <w:rsid w:val="00041B5B"/>
    <w:rsid w:val="00041CDB"/>
    <w:rsid w:val="0004202E"/>
    <w:rsid w:val="000422D4"/>
    <w:rsid w:val="000425B9"/>
    <w:rsid w:val="00042893"/>
    <w:rsid w:val="00042B5A"/>
    <w:rsid w:val="00042CE5"/>
    <w:rsid w:val="00042F9A"/>
    <w:rsid w:val="00043092"/>
    <w:rsid w:val="0004361E"/>
    <w:rsid w:val="00043921"/>
    <w:rsid w:val="000439E9"/>
    <w:rsid w:val="00043C76"/>
    <w:rsid w:val="00043CBA"/>
    <w:rsid w:val="00043E16"/>
    <w:rsid w:val="00044494"/>
    <w:rsid w:val="000444CD"/>
    <w:rsid w:val="0004451D"/>
    <w:rsid w:val="000445F3"/>
    <w:rsid w:val="00044637"/>
    <w:rsid w:val="00044973"/>
    <w:rsid w:val="00044B20"/>
    <w:rsid w:val="00044D0C"/>
    <w:rsid w:val="00044E01"/>
    <w:rsid w:val="00045276"/>
    <w:rsid w:val="0004538D"/>
    <w:rsid w:val="00045399"/>
    <w:rsid w:val="000453FC"/>
    <w:rsid w:val="00045499"/>
    <w:rsid w:val="0004564E"/>
    <w:rsid w:val="00045A16"/>
    <w:rsid w:val="00045C1A"/>
    <w:rsid w:val="00045DB1"/>
    <w:rsid w:val="000461B1"/>
    <w:rsid w:val="00046217"/>
    <w:rsid w:val="0004643A"/>
    <w:rsid w:val="0004647C"/>
    <w:rsid w:val="000465B3"/>
    <w:rsid w:val="000466C6"/>
    <w:rsid w:val="00046821"/>
    <w:rsid w:val="00046C54"/>
    <w:rsid w:val="00046FB7"/>
    <w:rsid w:val="00047245"/>
    <w:rsid w:val="000473C3"/>
    <w:rsid w:val="000473E2"/>
    <w:rsid w:val="00047BB1"/>
    <w:rsid w:val="00047C36"/>
    <w:rsid w:val="00047CC6"/>
    <w:rsid w:val="00047D5E"/>
    <w:rsid w:val="000502B6"/>
    <w:rsid w:val="0005071F"/>
    <w:rsid w:val="000507DA"/>
    <w:rsid w:val="000509A0"/>
    <w:rsid w:val="00050B47"/>
    <w:rsid w:val="00050E3F"/>
    <w:rsid w:val="00050F5E"/>
    <w:rsid w:val="000512A0"/>
    <w:rsid w:val="00051887"/>
    <w:rsid w:val="000518BB"/>
    <w:rsid w:val="00051968"/>
    <w:rsid w:val="00051996"/>
    <w:rsid w:val="00051CA8"/>
    <w:rsid w:val="00051D92"/>
    <w:rsid w:val="0005209E"/>
    <w:rsid w:val="000522CA"/>
    <w:rsid w:val="0005230F"/>
    <w:rsid w:val="00052804"/>
    <w:rsid w:val="0005289B"/>
    <w:rsid w:val="00052F27"/>
    <w:rsid w:val="00052F68"/>
    <w:rsid w:val="000533FF"/>
    <w:rsid w:val="0005349E"/>
    <w:rsid w:val="000534D6"/>
    <w:rsid w:val="00053ACC"/>
    <w:rsid w:val="00053E85"/>
    <w:rsid w:val="0005411D"/>
    <w:rsid w:val="0005461B"/>
    <w:rsid w:val="000548FE"/>
    <w:rsid w:val="00054D92"/>
    <w:rsid w:val="00054DD5"/>
    <w:rsid w:val="00054DDA"/>
    <w:rsid w:val="00054ECD"/>
    <w:rsid w:val="00055246"/>
    <w:rsid w:val="00055383"/>
    <w:rsid w:val="0005583E"/>
    <w:rsid w:val="0005589E"/>
    <w:rsid w:val="000558D5"/>
    <w:rsid w:val="00055B45"/>
    <w:rsid w:val="00055B7D"/>
    <w:rsid w:val="00055CE1"/>
    <w:rsid w:val="0005624A"/>
    <w:rsid w:val="00056953"/>
    <w:rsid w:val="00056D2C"/>
    <w:rsid w:val="00056ED6"/>
    <w:rsid w:val="00057144"/>
    <w:rsid w:val="0005717E"/>
    <w:rsid w:val="000574DA"/>
    <w:rsid w:val="00057AB8"/>
    <w:rsid w:val="00057AC0"/>
    <w:rsid w:val="00057AF1"/>
    <w:rsid w:val="0006041A"/>
    <w:rsid w:val="00060892"/>
    <w:rsid w:val="00060BE6"/>
    <w:rsid w:val="0006123C"/>
    <w:rsid w:val="00061640"/>
    <w:rsid w:val="000616BB"/>
    <w:rsid w:val="00061901"/>
    <w:rsid w:val="00061B22"/>
    <w:rsid w:val="00061C87"/>
    <w:rsid w:val="00061CAF"/>
    <w:rsid w:val="00061D5C"/>
    <w:rsid w:val="00061E1B"/>
    <w:rsid w:val="00062164"/>
    <w:rsid w:val="00062494"/>
    <w:rsid w:val="00062640"/>
    <w:rsid w:val="00062E2E"/>
    <w:rsid w:val="000631BC"/>
    <w:rsid w:val="0006325C"/>
    <w:rsid w:val="00063454"/>
    <w:rsid w:val="00063964"/>
    <w:rsid w:val="00064155"/>
    <w:rsid w:val="000649C0"/>
    <w:rsid w:val="00064A85"/>
    <w:rsid w:val="00064B4F"/>
    <w:rsid w:val="00064B78"/>
    <w:rsid w:val="00064CDE"/>
    <w:rsid w:val="00064DB2"/>
    <w:rsid w:val="00064F43"/>
    <w:rsid w:val="00065062"/>
    <w:rsid w:val="000650A1"/>
    <w:rsid w:val="000654E4"/>
    <w:rsid w:val="000654E8"/>
    <w:rsid w:val="0006562F"/>
    <w:rsid w:val="000657DF"/>
    <w:rsid w:val="0006599C"/>
    <w:rsid w:val="00065DE3"/>
    <w:rsid w:val="000666C9"/>
    <w:rsid w:val="000667CF"/>
    <w:rsid w:val="00066B4C"/>
    <w:rsid w:val="00066C5A"/>
    <w:rsid w:val="00066DBD"/>
    <w:rsid w:val="00066F48"/>
    <w:rsid w:val="00067594"/>
    <w:rsid w:val="000678FD"/>
    <w:rsid w:val="00067A55"/>
    <w:rsid w:val="00067DEB"/>
    <w:rsid w:val="000701D2"/>
    <w:rsid w:val="0007020C"/>
    <w:rsid w:val="00070254"/>
    <w:rsid w:val="000702DF"/>
    <w:rsid w:val="0007040B"/>
    <w:rsid w:val="0007043C"/>
    <w:rsid w:val="000706C3"/>
    <w:rsid w:val="00070A5E"/>
    <w:rsid w:val="00070FEC"/>
    <w:rsid w:val="0007105B"/>
    <w:rsid w:val="00071155"/>
    <w:rsid w:val="0007116C"/>
    <w:rsid w:val="000712B6"/>
    <w:rsid w:val="00071575"/>
    <w:rsid w:val="00071617"/>
    <w:rsid w:val="0007172D"/>
    <w:rsid w:val="00072045"/>
    <w:rsid w:val="000727D3"/>
    <w:rsid w:val="00072815"/>
    <w:rsid w:val="0007293A"/>
    <w:rsid w:val="00072972"/>
    <w:rsid w:val="000729EA"/>
    <w:rsid w:val="00072A1A"/>
    <w:rsid w:val="00072BB3"/>
    <w:rsid w:val="00073061"/>
    <w:rsid w:val="00073117"/>
    <w:rsid w:val="000732AF"/>
    <w:rsid w:val="0007362E"/>
    <w:rsid w:val="00073662"/>
    <w:rsid w:val="000739BC"/>
    <w:rsid w:val="00073CEF"/>
    <w:rsid w:val="00073EF0"/>
    <w:rsid w:val="000743DF"/>
    <w:rsid w:val="00074404"/>
    <w:rsid w:val="00074492"/>
    <w:rsid w:val="0007472D"/>
    <w:rsid w:val="00074B65"/>
    <w:rsid w:val="00074CF5"/>
    <w:rsid w:val="00074DB7"/>
    <w:rsid w:val="00074E84"/>
    <w:rsid w:val="00074EA5"/>
    <w:rsid w:val="00074F39"/>
    <w:rsid w:val="00075359"/>
    <w:rsid w:val="000758CD"/>
    <w:rsid w:val="0007594A"/>
    <w:rsid w:val="00075A8C"/>
    <w:rsid w:val="00075C85"/>
    <w:rsid w:val="00075DC0"/>
    <w:rsid w:val="00075F2B"/>
    <w:rsid w:val="00075FBA"/>
    <w:rsid w:val="00076167"/>
    <w:rsid w:val="00076315"/>
    <w:rsid w:val="000764E7"/>
    <w:rsid w:val="00076A4F"/>
    <w:rsid w:val="00077237"/>
    <w:rsid w:val="000772F8"/>
    <w:rsid w:val="00077329"/>
    <w:rsid w:val="000774C6"/>
    <w:rsid w:val="00077512"/>
    <w:rsid w:val="00077673"/>
    <w:rsid w:val="000776C2"/>
    <w:rsid w:val="0007771B"/>
    <w:rsid w:val="00077B77"/>
    <w:rsid w:val="00080228"/>
    <w:rsid w:val="000807C6"/>
    <w:rsid w:val="0008094A"/>
    <w:rsid w:val="00080BEA"/>
    <w:rsid w:val="00080C7B"/>
    <w:rsid w:val="00080CFA"/>
    <w:rsid w:val="00080FB0"/>
    <w:rsid w:val="0008137F"/>
    <w:rsid w:val="00082105"/>
    <w:rsid w:val="0008226D"/>
    <w:rsid w:val="0008249A"/>
    <w:rsid w:val="0008252D"/>
    <w:rsid w:val="0008254B"/>
    <w:rsid w:val="000826CC"/>
    <w:rsid w:val="000826E0"/>
    <w:rsid w:val="00083218"/>
    <w:rsid w:val="00083243"/>
    <w:rsid w:val="00083D7B"/>
    <w:rsid w:val="00083E08"/>
    <w:rsid w:val="0008405B"/>
    <w:rsid w:val="0008424C"/>
    <w:rsid w:val="00084266"/>
    <w:rsid w:val="000844D1"/>
    <w:rsid w:val="0008481B"/>
    <w:rsid w:val="0008493E"/>
    <w:rsid w:val="00084B83"/>
    <w:rsid w:val="00084BAD"/>
    <w:rsid w:val="00084DD9"/>
    <w:rsid w:val="00084DDE"/>
    <w:rsid w:val="00084EC1"/>
    <w:rsid w:val="000850C0"/>
    <w:rsid w:val="000850D2"/>
    <w:rsid w:val="00085183"/>
    <w:rsid w:val="000851A2"/>
    <w:rsid w:val="000851C5"/>
    <w:rsid w:val="000851DC"/>
    <w:rsid w:val="000854AB"/>
    <w:rsid w:val="0008565D"/>
    <w:rsid w:val="000856DD"/>
    <w:rsid w:val="00085739"/>
    <w:rsid w:val="00085BCC"/>
    <w:rsid w:val="00085D6F"/>
    <w:rsid w:val="00085E18"/>
    <w:rsid w:val="00085E6A"/>
    <w:rsid w:val="00086101"/>
    <w:rsid w:val="000863BA"/>
    <w:rsid w:val="0008646C"/>
    <w:rsid w:val="000864D9"/>
    <w:rsid w:val="00086A01"/>
    <w:rsid w:val="00086C21"/>
    <w:rsid w:val="00086D1A"/>
    <w:rsid w:val="00086DD5"/>
    <w:rsid w:val="00086DEB"/>
    <w:rsid w:val="00086EA5"/>
    <w:rsid w:val="000871FA"/>
    <w:rsid w:val="00087429"/>
    <w:rsid w:val="000879EA"/>
    <w:rsid w:val="00087D3D"/>
    <w:rsid w:val="00087E83"/>
    <w:rsid w:val="00087FA0"/>
    <w:rsid w:val="00090202"/>
    <w:rsid w:val="00090297"/>
    <w:rsid w:val="000903BA"/>
    <w:rsid w:val="00090497"/>
    <w:rsid w:val="0009074A"/>
    <w:rsid w:val="000908F0"/>
    <w:rsid w:val="00090DDA"/>
    <w:rsid w:val="00091187"/>
    <w:rsid w:val="000911FC"/>
    <w:rsid w:val="00091895"/>
    <w:rsid w:val="00091A50"/>
    <w:rsid w:val="00091CC1"/>
    <w:rsid w:val="00091EF9"/>
    <w:rsid w:val="00091F57"/>
    <w:rsid w:val="000924C2"/>
    <w:rsid w:val="00092613"/>
    <w:rsid w:val="00092774"/>
    <w:rsid w:val="00092848"/>
    <w:rsid w:val="000928D9"/>
    <w:rsid w:val="00092A3B"/>
    <w:rsid w:val="00092C18"/>
    <w:rsid w:val="00092DBC"/>
    <w:rsid w:val="00092E4B"/>
    <w:rsid w:val="00092FFB"/>
    <w:rsid w:val="000936A7"/>
    <w:rsid w:val="000937CD"/>
    <w:rsid w:val="00093815"/>
    <w:rsid w:val="00093822"/>
    <w:rsid w:val="00093854"/>
    <w:rsid w:val="000938C9"/>
    <w:rsid w:val="00093980"/>
    <w:rsid w:val="00093A1A"/>
    <w:rsid w:val="00093A89"/>
    <w:rsid w:val="00093D6A"/>
    <w:rsid w:val="00094580"/>
    <w:rsid w:val="000948B0"/>
    <w:rsid w:val="00094C28"/>
    <w:rsid w:val="00094C48"/>
    <w:rsid w:val="00094CC9"/>
    <w:rsid w:val="000952A9"/>
    <w:rsid w:val="000953CC"/>
    <w:rsid w:val="00095475"/>
    <w:rsid w:val="00095994"/>
    <w:rsid w:val="00095C45"/>
    <w:rsid w:val="00095CE4"/>
    <w:rsid w:val="00095E64"/>
    <w:rsid w:val="00095E7F"/>
    <w:rsid w:val="00095F50"/>
    <w:rsid w:val="00095F85"/>
    <w:rsid w:val="00096515"/>
    <w:rsid w:val="00096755"/>
    <w:rsid w:val="000969F0"/>
    <w:rsid w:val="00096A61"/>
    <w:rsid w:val="00096B31"/>
    <w:rsid w:val="00096C30"/>
    <w:rsid w:val="00096CDF"/>
    <w:rsid w:val="00096D71"/>
    <w:rsid w:val="00096E4A"/>
    <w:rsid w:val="000971BD"/>
    <w:rsid w:val="000972BA"/>
    <w:rsid w:val="00097421"/>
    <w:rsid w:val="0009780D"/>
    <w:rsid w:val="00097D2F"/>
    <w:rsid w:val="00097DF4"/>
    <w:rsid w:val="00097E77"/>
    <w:rsid w:val="000A0585"/>
    <w:rsid w:val="000A0B5C"/>
    <w:rsid w:val="000A0BD0"/>
    <w:rsid w:val="000A1038"/>
    <w:rsid w:val="000A103C"/>
    <w:rsid w:val="000A111A"/>
    <w:rsid w:val="000A114F"/>
    <w:rsid w:val="000A1310"/>
    <w:rsid w:val="000A1397"/>
    <w:rsid w:val="000A17BD"/>
    <w:rsid w:val="000A1827"/>
    <w:rsid w:val="000A1862"/>
    <w:rsid w:val="000A194A"/>
    <w:rsid w:val="000A1A0D"/>
    <w:rsid w:val="000A1A38"/>
    <w:rsid w:val="000A1B0C"/>
    <w:rsid w:val="000A1D5C"/>
    <w:rsid w:val="000A2111"/>
    <w:rsid w:val="000A2155"/>
    <w:rsid w:val="000A21B8"/>
    <w:rsid w:val="000A2242"/>
    <w:rsid w:val="000A23AF"/>
    <w:rsid w:val="000A2573"/>
    <w:rsid w:val="000A3083"/>
    <w:rsid w:val="000A319A"/>
    <w:rsid w:val="000A32EE"/>
    <w:rsid w:val="000A39B5"/>
    <w:rsid w:val="000A3AE3"/>
    <w:rsid w:val="000A3BCE"/>
    <w:rsid w:val="000A3D48"/>
    <w:rsid w:val="000A3DD5"/>
    <w:rsid w:val="000A3F66"/>
    <w:rsid w:val="000A3FA2"/>
    <w:rsid w:val="000A407B"/>
    <w:rsid w:val="000A4338"/>
    <w:rsid w:val="000A44E6"/>
    <w:rsid w:val="000A489F"/>
    <w:rsid w:val="000A497A"/>
    <w:rsid w:val="000A4DFE"/>
    <w:rsid w:val="000A4EB0"/>
    <w:rsid w:val="000A4EC0"/>
    <w:rsid w:val="000A5116"/>
    <w:rsid w:val="000A513D"/>
    <w:rsid w:val="000A54B8"/>
    <w:rsid w:val="000A54D3"/>
    <w:rsid w:val="000A58A7"/>
    <w:rsid w:val="000A5A1E"/>
    <w:rsid w:val="000A5F98"/>
    <w:rsid w:val="000A66CC"/>
    <w:rsid w:val="000A69F7"/>
    <w:rsid w:val="000A76C7"/>
    <w:rsid w:val="000A76CE"/>
    <w:rsid w:val="000A773A"/>
    <w:rsid w:val="000A7852"/>
    <w:rsid w:val="000A7882"/>
    <w:rsid w:val="000A78AD"/>
    <w:rsid w:val="000A7BF2"/>
    <w:rsid w:val="000A7F18"/>
    <w:rsid w:val="000A7F35"/>
    <w:rsid w:val="000B019A"/>
    <w:rsid w:val="000B0239"/>
    <w:rsid w:val="000B0444"/>
    <w:rsid w:val="000B05F9"/>
    <w:rsid w:val="000B095C"/>
    <w:rsid w:val="000B0F65"/>
    <w:rsid w:val="000B1017"/>
    <w:rsid w:val="000B1235"/>
    <w:rsid w:val="000B12C4"/>
    <w:rsid w:val="000B1390"/>
    <w:rsid w:val="000B159C"/>
    <w:rsid w:val="000B173D"/>
    <w:rsid w:val="000B1844"/>
    <w:rsid w:val="000B1A7B"/>
    <w:rsid w:val="000B1C13"/>
    <w:rsid w:val="000B1D49"/>
    <w:rsid w:val="000B1F1F"/>
    <w:rsid w:val="000B205B"/>
    <w:rsid w:val="000B20E7"/>
    <w:rsid w:val="000B2275"/>
    <w:rsid w:val="000B23BB"/>
    <w:rsid w:val="000B23FE"/>
    <w:rsid w:val="000B26AC"/>
    <w:rsid w:val="000B27D4"/>
    <w:rsid w:val="000B2C7D"/>
    <w:rsid w:val="000B2CD4"/>
    <w:rsid w:val="000B2EC9"/>
    <w:rsid w:val="000B2F79"/>
    <w:rsid w:val="000B2FB8"/>
    <w:rsid w:val="000B31F0"/>
    <w:rsid w:val="000B3363"/>
    <w:rsid w:val="000B3527"/>
    <w:rsid w:val="000B3ADB"/>
    <w:rsid w:val="000B3BA9"/>
    <w:rsid w:val="000B3FC2"/>
    <w:rsid w:val="000B432C"/>
    <w:rsid w:val="000B483F"/>
    <w:rsid w:val="000B493B"/>
    <w:rsid w:val="000B4BAE"/>
    <w:rsid w:val="000B4BC4"/>
    <w:rsid w:val="000B4EDE"/>
    <w:rsid w:val="000B56F0"/>
    <w:rsid w:val="000B577D"/>
    <w:rsid w:val="000B593B"/>
    <w:rsid w:val="000B5C76"/>
    <w:rsid w:val="000B5E4B"/>
    <w:rsid w:val="000B5FF6"/>
    <w:rsid w:val="000B625F"/>
    <w:rsid w:val="000B6352"/>
    <w:rsid w:val="000B6AA0"/>
    <w:rsid w:val="000B6BE9"/>
    <w:rsid w:val="000B6E47"/>
    <w:rsid w:val="000B6E6A"/>
    <w:rsid w:val="000B6EC4"/>
    <w:rsid w:val="000B7069"/>
    <w:rsid w:val="000B74A4"/>
    <w:rsid w:val="000B7D70"/>
    <w:rsid w:val="000B7E6B"/>
    <w:rsid w:val="000C0061"/>
    <w:rsid w:val="000C0265"/>
    <w:rsid w:val="000C076D"/>
    <w:rsid w:val="000C0BA9"/>
    <w:rsid w:val="000C0D6B"/>
    <w:rsid w:val="000C0E8B"/>
    <w:rsid w:val="000C10D0"/>
    <w:rsid w:val="000C1144"/>
    <w:rsid w:val="000C11E8"/>
    <w:rsid w:val="000C1267"/>
    <w:rsid w:val="000C1417"/>
    <w:rsid w:val="000C1425"/>
    <w:rsid w:val="000C18F9"/>
    <w:rsid w:val="000C1A45"/>
    <w:rsid w:val="000C1D6B"/>
    <w:rsid w:val="000C2017"/>
    <w:rsid w:val="000C2317"/>
    <w:rsid w:val="000C2465"/>
    <w:rsid w:val="000C28DF"/>
    <w:rsid w:val="000C29C9"/>
    <w:rsid w:val="000C2A54"/>
    <w:rsid w:val="000C2F0E"/>
    <w:rsid w:val="000C3452"/>
    <w:rsid w:val="000C3A40"/>
    <w:rsid w:val="000C3BC3"/>
    <w:rsid w:val="000C3DF1"/>
    <w:rsid w:val="000C3F07"/>
    <w:rsid w:val="000C436C"/>
    <w:rsid w:val="000C4419"/>
    <w:rsid w:val="000C4A4B"/>
    <w:rsid w:val="000C4CA6"/>
    <w:rsid w:val="000C5191"/>
    <w:rsid w:val="000C5806"/>
    <w:rsid w:val="000C5F4E"/>
    <w:rsid w:val="000C62DB"/>
    <w:rsid w:val="000C6418"/>
    <w:rsid w:val="000C6463"/>
    <w:rsid w:val="000C6588"/>
    <w:rsid w:val="000C68B2"/>
    <w:rsid w:val="000C6C37"/>
    <w:rsid w:val="000C6DF2"/>
    <w:rsid w:val="000C6E57"/>
    <w:rsid w:val="000C775F"/>
    <w:rsid w:val="000C783D"/>
    <w:rsid w:val="000C7942"/>
    <w:rsid w:val="000C7A4E"/>
    <w:rsid w:val="000C7D1B"/>
    <w:rsid w:val="000C7E66"/>
    <w:rsid w:val="000D0200"/>
    <w:rsid w:val="000D0780"/>
    <w:rsid w:val="000D087A"/>
    <w:rsid w:val="000D08AC"/>
    <w:rsid w:val="000D0E1C"/>
    <w:rsid w:val="000D0E31"/>
    <w:rsid w:val="000D0FA4"/>
    <w:rsid w:val="000D1092"/>
    <w:rsid w:val="000D110E"/>
    <w:rsid w:val="000D12DA"/>
    <w:rsid w:val="000D1566"/>
    <w:rsid w:val="000D1690"/>
    <w:rsid w:val="000D1A20"/>
    <w:rsid w:val="000D1A9A"/>
    <w:rsid w:val="000D1CF6"/>
    <w:rsid w:val="000D20E1"/>
    <w:rsid w:val="000D215A"/>
    <w:rsid w:val="000D2221"/>
    <w:rsid w:val="000D24EE"/>
    <w:rsid w:val="000D2512"/>
    <w:rsid w:val="000D2CD1"/>
    <w:rsid w:val="000D2F8D"/>
    <w:rsid w:val="000D2FC4"/>
    <w:rsid w:val="000D33B8"/>
    <w:rsid w:val="000D3419"/>
    <w:rsid w:val="000D3653"/>
    <w:rsid w:val="000D3655"/>
    <w:rsid w:val="000D3C5A"/>
    <w:rsid w:val="000D3C5C"/>
    <w:rsid w:val="000D3D60"/>
    <w:rsid w:val="000D406F"/>
    <w:rsid w:val="000D4220"/>
    <w:rsid w:val="000D4416"/>
    <w:rsid w:val="000D4418"/>
    <w:rsid w:val="000D4753"/>
    <w:rsid w:val="000D480E"/>
    <w:rsid w:val="000D4A11"/>
    <w:rsid w:val="000D4D35"/>
    <w:rsid w:val="000D4F56"/>
    <w:rsid w:val="000D5019"/>
    <w:rsid w:val="000D52CB"/>
    <w:rsid w:val="000D5330"/>
    <w:rsid w:val="000D53E8"/>
    <w:rsid w:val="000D5494"/>
    <w:rsid w:val="000D552A"/>
    <w:rsid w:val="000D560D"/>
    <w:rsid w:val="000D5674"/>
    <w:rsid w:val="000D5867"/>
    <w:rsid w:val="000D58A0"/>
    <w:rsid w:val="000D5A91"/>
    <w:rsid w:val="000D6176"/>
    <w:rsid w:val="000D62BC"/>
    <w:rsid w:val="000D6397"/>
    <w:rsid w:val="000D6571"/>
    <w:rsid w:val="000D65D3"/>
    <w:rsid w:val="000D696A"/>
    <w:rsid w:val="000D6C37"/>
    <w:rsid w:val="000D6CE6"/>
    <w:rsid w:val="000D6DC9"/>
    <w:rsid w:val="000D6FBE"/>
    <w:rsid w:val="000D703C"/>
    <w:rsid w:val="000D7263"/>
    <w:rsid w:val="000D7404"/>
    <w:rsid w:val="000D7429"/>
    <w:rsid w:val="000D785A"/>
    <w:rsid w:val="000D7991"/>
    <w:rsid w:val="000D7B53"/>
    <w:rsid w:val="000D7D35"/>
    <w:rsid w:val="000D7D5C"/>
    <w:rsid w:val="000E004F"/>
    <w:rsid w:val="000E006B"/>
    <w:rsid w:val="000E0101"/>
    <w:rsid w:val="000E0230"/>
    <w:rsid w:val="000E0606"/>
    <w:rsid w:val="000E0663"/>
    <w:rsid w:val="000E0A46"/>
    <w:rsid w:val="000E0C78"/>
    <w:rsid w:val="000E0C7C"/>
    <w:rsid w:val="000E0DFE"/>
    <w:rsid w:val="000E0F13"/>
    <w:rsid w:val="000E115D"/>
    <w:rsid w:val="000E1294"/>
    <w:rsid w:val="000E1353"/>
    <w:rsid w:val="000E15DB"/>
    <w:rsid w:val="000E15EB"/>
    <w:rsid w:val="000E1844"/>
    <w:rsid w:val="000E1B42"/>
    <w:rsid w:val="000E1FAE"/>
    <w:rsid w:val="000E2276"/>
    <w:rsid w:val="000E2282"/>
    <w:rsid w:val="000E27E0"/>
    <w:rsid w:val="000E27F7"/>
    <w:rsid w:val="000E2A06"/>
    <w:rsid w:val="000E2B3D"/>
    <w:rsid w:val="000E2CCB"/>
    <w:rsid w:val="000E2D10"/>
    <w:rsid w:val="000E2D23"/>
    <w:rsid w:val="000E2D6C"/>
    <w:rsid w:val="000E2F9C"/>
    <w:rsid w:val="000E3031"/>
    <w:rsid w:val="000E32C2"/>
    <w:rsid w:val="000E33B8"/>
    <w:rsid w:val="000E340D"/>
    <w:rsid w:val="000E348E"/>
    <w:rsid w:val="000E3628"/>
    <w:rsid w:val="000E3F38"/>
    <w:rsid w:val="000E45D5"/>
    <w:rsid w:val="000E47CB"/>
    <w:rsid w:val="000E49E6"/>
    <w:rsid w:val="000E4A70"/>
    <w:rsid w:val="000E4A97"/>
    <w:rsid w:val="000E4AA2"/>
    <w:rsid w:val="000E4B7E"/>
    <w:rsid w:val="000E4BA8"/>
    <w:rsid w:val="000E4DC2"/>
    <w:rsid w:val="000E4DE6"/>
    <w:rsid w:val="000E4F03"/>
    <w:rsid w:val="000E504E"/>
    <w:rsid w:val="000E54E0"/>
    <w:rsid w:val="000E5B4D"/>
    <w:rsid w:val="000E5B81"/>
    <w:rsid w:val="000E5BC2"/>
    <w:rsid w:val="000E5F50"/>
    <w:rsid w:val="000E6022"/>
    <w:rsid w:val="000E603F"/>
    <w:rsid w:val="000E64FA"/>
    <w:rsid w:val="000E6800"/>
    <w:rsid w:val="000E69CC"/>
    <w:rsid w:val="000E6E79"/>
    <w:rsid w:val="000E700F"/>
    <w:rsid w:val="000E7121"/>
    <w:rsid w:val="000E76BA"/>
    <w:rsid w:val="000E77D8"/>
    <w:rsid w:val="000E7897"/>
    <w:rsid w:val="000E7E5D"/>
    <w:rsid w:val="000E7F73"/>
    <w:rsid w:val="000E7FB0"/>
    <w:rsid w:val="000F03B9"/>
    <w:rsid w:val="000F04F3"/>
    <w:rsid w:val="000F064C"/>
    <w:rsid w:val="000F07B4"/>
    <w:rsid w:val="000F0AAC"/>
    <w:rsid w:val="000F0DC1"/>
    <w:rsid w:val="000F1191"/>
    <w:rsid w:val="000F1340"/>
    <w:rsid w:val="000F1495"/>
    <w:rsid w:val="000F17F0"/>
    <w:rsid w:val="000F1913"/>
    <w:rsid w:val="000F1C6C"/>
    <w:rsid w:val="000F1D6D"/>
    <w:rsid w:val="000F1DB1"/>
    <w:rsid w:val="000F2289"/>
    <w:rsid w:val="000F256B"/>
    <w:rsid w:val="000F2614"/>
    <w:rsid w:val="000F27AF"/>
    <w:rsid w:val="000F2E0E"/>
    <w:rsid w:val="000F307A"/>
    <w:rsid w:val="000F3132"/>
    <w:rsid w:val="000F329F"/>
    <w:rsid w:val="000F351C"/>
    <w:rsid w:val="000F35FF"/>
    <w:rsid w:val="000F375E"/>
    <w:rsid w:val="000F3B5F"/>
    <w:rsid w:val="000F3C00"/>
    <w:rsid w:val="000F3F39"/>
    <w:rsid w:val="000F3FA2"/>
    <w:rsid w:val="000F3FAC"/>
    <w:rsid w:val="000F40CC"/>
    <w:rsid w:val="000F4138"/>
    <w:rsid w:val="000F4233"/>
    <w:rsid w:val="000F445F"/>
    <w:rsid w:val="000F45D4"/>
    <w:rsid w:val="000F49A5"/>
    <w:rsid w:val="000F4A28"/>
    <w:rsid w:val="000F4AB0"/>
    <w:rsid w:val="000F4CC8"/>
    <w:rsid w:val="000F4E07"/>
    <w:rsid w:val="000F4E5B"/>
    <w:rsid w:val="000F517E"/>
    <w:rsid w:val="000F5422"/>
    <w:rsid w:val="000F570A"/>
    <w:rsid w:val="000F5854"/>
    <w:rsid w:val="000F59D3"/>
    <w:rsid w:val="000F5BB0"/>
    <w:rsid w:val="000F60AC"/>
    <w:rsid w:val="000F62E4"/>
    <w:rsid w:val="000F6705"/>
    <w:rsid w:val="000F6864"/>
    <w:rsid w:val="000F6C86"/>
    <w:rsid w:val="000F6D36"/>
    <w:rsid w:val="000F720F"/>
    <w:rsid w:val="000F7213"/>
    <w:rsid w:val="000F735A"/>
    <w:rsid w:val="000F76F4"/>
    <w:rsid w:val="000F77E1"/>
    <w:rsid w:val="000F785F"/>
    <w:rsid w:val="000F7983"/>
    <w:rsid w:val="000F7BB5"/>
    <w:rsid w:val="000F7DE7"/>
    <w:rsid w:val="000F7EBF"/>
    <w:rsid w:val="000F7ECE"/>
    <w:rsid w:val="00100354"/>
    <w:rsid w:val="0010039D"/>
    <w:rsid w:val="00100546"/>
    <w:rsid w:val="001009FF"/>
    <w:rsid w:val="00100A43"/>
    <w:rsid w:val="00100A58"/>
    <w:rsid w:val="00100AAD"/>
    <w:rsid w:val="00100B0B"/>
    <w:rsid w:val="00100B5E"/>
    <w:rsid w:val="00100F20"/>
    <w:rsid w:val="001010AA"/>
    <w:rsid w:val="00101250"/>
    <w:rsid w:val="001014AB"/>
    <w:rsid w:val="00101904"/>
    <w:rsid w:val="00101933"/>
    <w:rsid w:val="00101BD4"/>
    <w:rsid w:val="00101F31"/>
    <w:rsid w:val="001021EF"/>
    <w:rsid w:val="001024DA"/>
    <w:rsid w:val="00102738"/>
    <w:rsid w:val="00102766"/>
    <w:rsid w:val="00102E16"/>
    <w:rsid w:val="00102FC7"/>
    <w:rsid w:val="001030D3"/>
    <w:rsid w:val="00103135"/>
    <w:rsid w:val="00103173"/>
    <w:rsid w:val="001035CB"/>
    <w:rsid w:val="00103B9B"/>
    <w:rsid w:val="00103D3D"/>
    <w:rsid w:val="00103E56"/>
    <w:rsid w:val="0010451C"/>
    <w:rsid w:val="001046DF"/>
    <w:rsid w:val="001049D0"/>
    <w:rsid w:val="00104A13"/>
    <w:rsid w:val="00104C2D"/>
    <w:rsid w:val="00104EA1"/>
    <w:rsid w:val="0010554B"/>
    <w:rsid w:val="001056E8"/>
    <w:rsid w:val="0010592A"/>
    <w:rsid w:val="00105A40"/>
    <w:rsid w:val="00105EB9"/>
    <w:rsid w:val="00106538"/>
    <w:rsid w:val="001065E9"/>
    <w:rsid w:val="00107026"/>
    <w:rsid w:val="00107045"/>
    <w:rsid w:val="001073F7"/>
    <w:rsid w:val="0010750F"/>
    <w:rsid w:val="00110082"/>
    <w:rsid w:val="001101B9"/>
    <w:rsid w:val="0011037A"/>
    <w:rsid w:val="001103CD"/>
    <w:rsid w:val="00110445"/>
    <w:rsid w:val="0011069E"/>
    <w:rsid w:val="00110990"/>
    <w:rsid w:val="00110E73"/>
    <w:rsid w:val="00111245"/>
    <w:rsid w:val="001116CB"/>
    <w:rsid w:val="001118E9"/>
    <w:rsid w:val="00111C8F"/>
    <w:rsid w:val="00111CDB"/>
    <w:rsid w:val="00111D81"/>
    <w:rsid w:val="00111D9F"/>
    <w:rsid w:val="00112463"/>
    <w:rsid w:val="00112494"/>
    <w:rsid w:val="0011254F"/>
    <w:rsid w:val="00112821"/>
    <w:rsid w:val="0011288D"/>
    <w:rsid w:val="00112C2C"/>
    <w:rsid w:val="00112E64"/>
    <w:rsid w:val="00113049"/>
    <w:rsid w:val="001131C5"/>
    <w:rsid w:val="00113240"/>
    <w:rsid w:val="001134B4"/>
    <w:rsid w:val="001137A3"/>
    <w:rsid w:val="001137EE"/>
    <w:rsid w:val="00113A8C"/>
    <w:rsid w:val="00113AE7"/>
    <w:rsid w:val="00113FFA"/>
    <w:rsid w:val="00114000"/>
    <w:rsid w:val="0011428F"/>
    <w:rsid w:val="001143AD"/>
    <w:rsid w:val="0011440B"/>
    <w:rsid w:val="001144A1"/>
    <w:rsid w:val="001145A3"/>
    <w:rsid w:val="001146F3"/>
    <w:rsid w:val="00114765"/>
    <w:rsid w:val="00114A29"/>
    <w:rsid w:val="00114B78"/>
    <w:rsid w:val="00114F5B"/>
    <w:rsid w:val="00114FCF"/>
    <w:rsid w:val="00115057"/>
    <w:rsid w:val="0011510B"/>
    <w:rsid w:val="00115149"/>
    <w:rsid w:val="001151F9"/>
    <w:rsid w:val="001152F0"/>
    <w:rsid w:val="001155F7"/>
    <w:rsid w:val="00115799"/>
    <w:rsid w:val="00115C7E"/>
    <w:rsid w:val="00115D60"/>
    <w:rsid w:val="00115D7E"/>
    <w:rsid w:val="00116387"/>
    <w:rsid w:val="001163C1"/>
    <w:rsid w:val="001166F1"/>
    <w:rsid w:val="00116922"/>
    <w:rsid w:val="001169E2"/>
    <w:rsid w:val="00117095"/>
    <w:rsid w:val="001171D4"/>
    <w:rsid w:val="001173CA"/>
    <w:rsid w:val="00117460"/>
    <w:rsid w:val="00117755"/>
    <w:rsid w:val="00117B38"/>
    <w:rsid w:val="00117D0F"/>
    <w:rsid w:val="00117DB4"/>
    <w:rsid w:val="00117DB7"/>
    <w:rsid w:val="00117E98"/>
    <w:rsid w:val="00120199"/>
    <w:rsid w:val="001203FB"/>
    <w:rsid w:val="001204AF"/>
    <w:rsid w:val="00120A5C"/>
    <w:rsid w:val="00120A78"/>
    <w:rsid w:val="00120B01"/>
    <w:rsid w:val="00120C63"/>
    <w:rsid w:val="00120F85"/>
    <w:rsid w:val="00120F8D"/>
    <w:rsid w:val="00121383"/>
    <w:rsid w:val="001215F5"/>
    <w:rsid w:val="001217A4"/>
    <w:rsid w:val="0012196F"/>
    <w:rsid w:val="00121983"/>
    <w:rsid w:val="00121BE0"/>
    <w:rsid w:val="00121D26"/>
    <w:rsid w:val="00121E19"/>
    <w:rsid w:val="0012224E"/>
    <w:rsid w:val="001222F0"/>
    <w:rsid w:val="00122345"/>
    <w:rsid w:val="001223A9"/>
    <w:rsid w:val="00122C9B"/>
    <w:rsid w:val="00123150"/>
    <w:rsid w:val="00123226"/>
    <w:rsid w:val="001232F8"/>
    <w:rsid w:val="00123414"/>
    <w:rsid w:val="00123866"/>
    <w:rsid w:val="001238C2"/>
    <w:rsid w:val="00123ABB"/>
    <w:rsid w:val="00123BEC"/>
    <w:rsid w:val="00123C48"/>
    <w:rsid w:val="00123C75"/>
    <w:rsid w:val="001242FA"/>
    <w:rsid w:val="00124376"/>
    <w:rsid w:val="00124845"/>
    <w:rsid w:val="001249D8"/>
    <w:rsid w:val="00124AC4"/>
    <w:rsid w:val="00124F53"/>
    <w:rsid w:val="00125510"/>
    <w:rsid w:val="001255DD"/>
    <w:rsid w:val="00125921"/>
    <w:rsid w:val="0012599C"/>
    <w:rsid w:val="001259FF"/>
    <w:rsid w:val="00125A3E"/>
    <w:rsid w:val="00125CF3"/>
    <w:rsid w:val="00125DB9"/>
    <w:rsid w:val="00125E29"/>
    <w:rsid w:val="00125FF3"/>
    <w:rsid w:val="00126090"/>
    <w:rsid w:val="0012611E"/>
    <w:rsid w:val="00126248"/>
    <w:rsid w:val="0012679D"/>
    <w:rsid w:val="0012703D"/>
    <w:rsid w:val="0012738D"/>
    <w:rsid w:val="00127840"/>
    <w:rsid w:val="00127ADD"/>
    <w:rsid w:val="00127B4D"/>
    <w:rsid w:val="001300E2"/>
    <w:rsid w:val="0013011C"/>
    <w:rsid w:val="00130210"/>
    <w:rsid w:val="00130271"/>
    <w:rsid w:val="0013041E"/>
    <w:rsid w:val="0013042C"/>
    <w:rsid w:val="00130729"/>
    <w:rsid w:val="0013080C"/>
    <w:rsid w:val="001309B4"/>
    <w:rsid w:val="00130A05"/>
    <w:rsid w:val="00130B46"/>
    <w:rsid w:val="00130CE7"/>
    <w:rsid w:val="00130D02"/>
    <w:rsid w:val="00131180"/>
    <w:rsid w:val="00131207"/>
    <w:rsid w:val="001312D3"/>
    <w:rsid w:val="001314D3"/>
    <w:rsid w:val="001314DE"/>
    <w:rsid w:val="0013185F"/>
    <w:rsid w:val="00131962"/>
    <w:rsid w:val="00131C82"/>
    <w:rsid w:val="00131D05"/>
    <w:rsid w:val="00131D20"/>
    <w:rsid w:val="00131D53"/>
    <w:rsid w:val="00131FB6"/>
    <w:rsid w:val="001323A5"/>
    <w:rsid w:val="00132418"/>
    <w:rsid w:val="0013244B"/>
    <w:rsid w:val="0013248E"/>
    <w:rsid w:val="001327F2"/>
    <w:rsid w:val="00132831"/>
    <w:rsid w:val="0013291F"/>
    <w:rsid w:val="0013303B"/>
    <w:rsid w:val="0013320D"/>
    <w:rsid w:val="001333FA"/>
    <w:rsid w:val="001334D8"/>
    <w:rsid w:val="001335FF"/>
    <w:rsid w:val="00133642"/>
    <w:rsid w:val="00133BBB"/>
    <w:rsid w:val="00133CE6"/>
    <w:rsid w:val="00134135"/>
    <w:rsid w:val="0013447D"/>
    <w:rsid w:val="00134672"/>
    <w:rsid w:val="00134721"/>
    <w:rsid w:val="00134CE8"/>
    <w:rsid w:val="00134FB0"/>
    <w:rsid w:val="00134FCE"/>
    <w:rsid w:val="0013501A"/>
    <w:rsid w:val="00135266"/>
    <w:rsid w:val="00135358"/>
    <w:rsid w:val="0013575A"/>
    <w:rsid w:val="00135A01"/>
    <w:rsid w:val="00135AC8"/>
    <w:rsid w:val="00135B02"/>
    <w:rsid w:val="00135D64"/>
    <w:rsid w:val="001360AC"/>
    <w:rsid w:val="001363D7"/>
    <w:rsid w:val="00136408"/>
    <w:rsid w:val="00136756"/>
    <w:rsid w:val="00136A73"/>
    <w:rsid w:val="00136A89"/>
    <w:rsid w:val="00136AA4"/>
    <w:rsid w:val="00136AA7"/>
    <w:rsid w:val="00136B5A"/>
    <w:rsid w:val="00136F74"/>
    <w:rsid w:val="00137014"/>
    <w:rsid w:val="001372AB"/>
    <w:rsid w:val="001373E9"/>
    <w:rsid w:val="00137A37"/>
    <w:rsid w:val="00137C21"/>
    <w:rsid w:val="00137E14"/>
    <w:rsid w:val="00137F25"/>
    <w:rsid w:val="00137FAE"/>
    <w:rsid w:val="00140210"/>
    <w:rsid w:val="00140274"/>
    <w:rsid w:val="00140806"/>
    <w:rsid w:val="0014099E"/>
    <w:rsid w:val="00140C17"/>
    <w:rsid w:val="00141206"/>
    <w:rsid w:val="001415C8"/>
    <w:rsid w:val="001415D6"/>
    <w:rsid w:val="0014179B"/>
    <w:rsid w:val="00141923"/>
    <w:rsid w:val="001419B6"/>
    <w:rsid w:val="00141B4F"/>
    <w:rsid w:val="00141CEF"/>
    <w:rsid w:val="00141E16"/>
    <w:rsid w:val="00141E8D"/>
    <w:rsid w:val="00142274"/>
    <w:rsid w:val="001425A9"/>
    <w:rsid w:val="00142B69"/>
    <w:rsid w:val="00142D93"/>
    <w:rsid w:val="00143217"/>
    <w:rsid w:val="00143EB3"/>
    <w:rsid w:val="00144100"/>
    <w:rsid w:val="00144101"/>
    <w:rsid w:val="00144319"/>
    <w:rsid w:val="00144CCF"/>
    <w:rsid w:val="00144EF6"/>
    <w:rsid w:val="0014520D"/>
    <w:rsid w:val="00145738"/>
    <w:rsid w:val="001457B6"/>
    <w:rsid w:val="00145BE5"/>
    <w:rsid w:val="00145DC7"/>
    <w:rsid w:val="00145EBB"/>
    <w:rsid w:val="0014619F"/>
    <w:rsid w:val="001462DA"/>
    <w:rsid w:val="00146337"/>
    <w:rsid w:val="001465EE"/>
    <w:rsid w:val="00146740"/>
    <w:rsid w:val="00146785"/>
    <w:rsid w:val="00146A78"/>
    <w:rsid w:val="00146B31"/>
    <w:rsid w:val="00146B81"/>
    <w:rsid w:val="00146C5E"/>
    <w:rsid w:val="00146C9A"/>
    <w:rsid w:val="00146D6F"/>
    <w:rsid w:val="00146E7F"/>
    <w:rsid w:val="00146EB2"/>
    <w:rsid w:val="001470DC"/>
    <w:rsid w:val="0014728B"/>
    <w:rsid w:val="00147432"/>
    <w:rsid w:val="00147519"/>
    <w:rsid w:val="001477FB"/>
    <w:rsid w:val="00147CF1"/>
    <w:rsid w:val="00147D63"/>
    <w:rsid w:val="00147DD1"/>
    <w:rsid w:val="001509A3"/>
    <w:rsid w:val="00150A80"/>
    <w:rsid w:val="00151793"/>
    <w:rsid w:val="001519FE"/>
    <w:rsid w:val="00151A9D"/>
    <w:rsid w:val="00151B4C"/>
    <w:rsid w:val="00151BDC"/>
    <w:rsid w:val="00151C62"/>
    <w:rsid w:val="00151DE0"/>
    <w:rsid w:val="00152513"/>
    <w:rsid w:val="0015278E"/>
    <w:rsid w:val="00152919"/>
    <w:rsid w:val="00152B92"/>
    <w:rsid w:val="00152E15"/>
    <w:rsid w:val="00153241"/>
    <w:rsid w:val="00153642"/>
    <w:rsid w:val="001539C9"/>
    <w:rsid w:val="00153CB7"/>
    <w:rsid w:val="00153EE6"/>
    <w:rsid w:val="00153FDA"/>
    <w:rsid w:val="0015402C"/>
    <w:rsid w:val="00154075"/>
    <w:rsid w:val="00154293"/>
    <w:rsid w:val="00154297"/>
    <w:rsid w:val="001545B6"/>
    <w:rsid w:val="00154CF0"/>
    <w:rsid w:val="00155017"/>
    <w:rsid w:val="00155096"/>
    <w:rsid w:val="0015533C"/>
    <w:rsid w:val="00155445"/>
    <w:rsid w:val="001558CC"/>
    <w:rsid w:val="0015598A"/>
    <w:rsid w:val="00155A8C"/>
    <w:rsid w:val="00155A8D"/>
    <w:rsid w:val="00155FBB"/>
    <w:rsid w:val="00156126"/>
    <w:rsid w:val="00156345"/>
    <w:rsid w:val="001563D2"/>
    <w:rsid w:val="0015642F"/>
    <w:rsid w:val="00156675"/>
    <w:rsid w:val="001568E1"/>
    <w:rsid w:val="00156944"/>
    <w:rsid w:val="00156E22"/>
    <w:rsid w:val="00156E4F"/>
    <w:rsid w:val="00156FE6"/>
    <w:rsid w:val="001573DC"/>
    <w:rsid w:val="001573E9"/>
    <w:rsid w:val="001575EE"/>
    <w:rsid w:val="001576DF"/>
    <w:rsid w:val="00157727"/>
    <w:rsid w:val="00157951"/>
    <w:rsid w:val="0015799C"/>
    <w:rsid w:val="00157F5D"/>
    <w:rsid w:val="00160029"/>
    <w:rsid w:val="001600C1"/>
    <w:rsid w:val="001601A7"/>
    <w:rsid w:val="001604C5"/>
    <w:rsid w:val="00160598"/>
    <w:rsid w:val="0016088D"/>
    <w:rsid w:val="00160A7A"/>
    <w:rsid w:val="00160AD8"/>
    <w:rsid w:val="00160ED3"/>
    <w:rsid w:val="001612CA"/>
    <w:rsid w:val="00162031"/>
    <w:rsid w:val="001620E5"/>
    <w:rsid w:val="0016230B"/>
    <w:rsid w:val="0016264F"/>
    <w:rsid w:val="001626E8"/>
    <w:rsid w:val="0016273A"/>
    <w:rsid w:val="00162927"/>
    <w:rsid w:val="00162B22"/>
    <w:rsid w:val="00163049"/>
    <w:rsid w:val="001630D8"/>
    <w:rsid w:val="001631DF"/>
    <w:rsid w:val="00163385"/>
    <w:rsid w:val="001635DF"/>
    <w:rsid w:val="00163722"/>
    <w:rsid w:val="00163A8B"/>
    <w:rsid w:val="00163BDA"/>
    <w:rsid w:val="00163C4E"/>
    <w:rsid w:val="00164144"/>
    <w:rsid w:val="0016443F"/>
    <w:rsid w:val="00164B34"/>
    <w:rsid w:val="0016558E"/>
    <w:rsid w:val="001655E0"/>
    <w:rsid w:val="00165717"/>
    <w:rsid w:val="001658A6"/>
    <w:rsid w:val="00165A9E"/>
    <w:rsid w:val="00165ACC"/>
    <w:rsid w:val="001665C0"/>
    <w:rsid w:val="001665EF"/>
    <w:rsid w:val="00166723"/>
    <w:rsid w:val="001667C0"/>
    <w:rsid w:val="00166E6D"/>
    <w:rsid w:val="00166EFA"/>
    <w:rsid w:val="00166F4F"/>
    <w:rsid w:val="001671B5"/>
    <w:rsid w:val="00167235"/>
    <w:rsid w:val="00167CBF"/>
    <w:rsid w:val="00167E7A"/>
    <w:rsid w:val="00167E89"/>
    <w:rsid w:val="00167FE2"/>
    <w:rsid w:val="0017014D"/>
    <w:rsid w:val="001702E1"/>
    <w:rsid w:val="00170301"/>
    <w:rsid w:val="00170423"/>
    <w:rsid w:val="00170D4D"/>
    <w:rsid w:val="001710F5"/>
    <w:rsid w:val="001712D5"/>
    <w:rsid w:val="001715C1"/>
    <w:rsid w:val="0017166E"/>
    <w:rsid w:val="001716FE"/>
    <w:rsid w:val="001717B7"/>
    <w:rsid w:val="0017189C"/>
    <w:rsid w:val="001718A3"/>
    <w:rsid w:val="0017198B"/>
    <w:rsid w:val="001719CB"/>
    <w:rsid w:val="00171A96"/>
    <w:rsid w:val="00171BA9"/>
    <w:rsid w:val="00171C3A"/>
    <w:rsid w:val="00172096"/>
    <w:rsid w:val="0017231D"/>
    <w:rsid w:val="00172674"/>
    <w:rsid w:val="001729AF"/>
    <w:rsid w:val="00172F8C"/>
    <w:rsid w:val="00172FD7"/>
    <w:rsid w:val="001731E7"/>
    <w:rsid w:val="0017368D"/>
    <w:rsid w:val="00173801"/>
    <w:rsid w:val="0017381A"/>
    <w:rsid w:val="00173ADD"/>
    <w:rsid w:val="00173C02"/>
    <w:rsid w:val="00173DCC"/>
    <w:rsid w:val="00173EA4"/>
    <w:rsid w:val="00173EC7"/>
    <w:rsid w:val="001745F6"/>
    <w:rsid w:val="001749F0"/>
    <w:rsid w:val="00174B41"/>
    <w:rsid w:val="00174C18"/>
    <w:rsid w:val="00175933"/>
    <w:rsid w:val="00175A12"/>
    <w:rsid w:val="00175E33"/>
    <w:rsid w:val="00175E99"/>
    <w:rsid w:val="0017609F"/>
    <w:rsid w:val="0017621D"/>
    <w:rsid w:val="00176A8F"/>
    <w:rsid w:val="00176B09"/>
    <w:rsid w:val="00176CB6"/>
    <w:rsid w:val="00176FBA"/>
    <w:rsid w:val="00176FD4"/>
    <w:rsid w:val="001776BB"/>
    <w:rsid w:val="00177831"/>
    <w:rsid w:val="001778C5"/>
    <w:rsid w:val="00177A69"/>
    <w:rsid w:val="00177A90"/>
    <w:rsid w:val="00177C85"/>
    <w:rsid w:val="00177CCE"/>
    <w:rsid w:val="00177DCE"/>
    <w:rsid w:val="001803FC"/>
    <w:rsid w:val="001804DB"/>
    <w:rsid w:val="0018057F"/>
    <w:rsid w:val="0018068E"/>
    <w:rsid w:val="00180755"/>
    <w:rsid w:val="00180D6D"/>
    <w:rsid w:val="00180F7D"/>
    <w:rsid w:val="001810F7"/>
    <w:rsid w:val="00181366"/>
    <w:rsid w:val="001813E6"/>
    <w:rsid w:val="001813FD"/>
    <w:rsid w:val="00181486"/>
    <w:rsid w:val="0018163B"/>
    <w:rsid w:val="00181939"/>
    <w:rsid w:val="00181A30"/>
    <w:rsid w:val="00181A9B"/>
    <w:rsid w:val="00181F1F"/>
    <w:rsid w:val="00181FFD"/>
    <w:rsid w:val="0018200F"/>
    <w:rsid w:val="0018219B"/>
    <w:rsid w:val="001822E2"/>
    <w:rsid w:val="001823E7"/>
    <w:rsid w:val="001824DE"/>
    <w:rsid w:val="001826AA"/>
    <w:rsid w:val="00182AEB"/>
    <w:rsid w:val="00182B0E"/>
    <w:rsid w:val="00182BD2"/>
    <w:rsid w:val="00182C44"/>
    <w:rsid w:val="00182E9A"/>
    <w:rsid w:val="00182F4B"/>
    <w:rsid w:val="001833EA"/>
    <w:rsid w:val="00183736"/>
    <w:rsid w:val="001837A6"/>
    <w:rsid w:val="00183874"/>
    <w:rsid w:val="00183B8B"/>
    <w:rsid w:val="00183E95"/>
    <w:rsid w:val="00184059"/>
    <w:rsid w:val="001841C6"/>
    <w:rsid w:val="00184301"/>
    <w:rsid w:val="0018461D"/>
    <w:rsid w:val="00184646"/>
    <w:rsid w:val="0018476D"/>
    <w:rsid w:val="00184822"/>
    <w:rsid w:val="00184992"/>
    <w:rsid w:val="001849B8"/>
    <w:rsid w:val="00184AD9"/>
    <w:rsid w:val="00184B21"/>
    <w:rsid w:val="00184C54"/>
    <w:rsid w:val="00184D51"/>
    <w:rsid w:val="00184D67"/>
    <w:rsid w:val="00184E53"/>
    <w:rsid w:val="00184E92"/>
    <w:rsid w:val="001852FC"/>
    <w:rsid w:val="00185645"/>
    <w:rsid w:val="00185781"/>
    <w:rsid w:val="001857CE"/>
    <w:rsid w:val="001858C1"/>
    <w:rsid w:val="00185E80"/>
    <w:rsid w:val="00186009"/>
    <w:rsid w:val="001864BE"/>
    <w:rsid w:val="001864DD"/>
    <w:rsid w:val="0018679A"/>
    <w:rsid w:val="001867EA"/>
    <w:rsid w:val="00186BB0"/>
    <w:rsid w:val="00186C21"/>
    <w:rsid w:val="0018707D"/>
    <w:rsid w:val="0018757C"/>
    <w:rsid w:val="001879AA"/>
    <w:rsid w:val="00187ACC"/>
    <w:rsid w:val="00187C65"/>
    <w:rsid w:val="00187DA4"/>
    <w:rsid w:val="00187DB7"/>
    <w:rsid w:val="00187E1C"/>
    <w:rsid w:val="001901C0"/>
    <w:rsid w:val="001901E7"/>
    <w:rsid w:val="001901EF"/>
    <w:rsid w:val="00190428"/>
    <w:rsid w:val="001904BD"/>
    <w:rsid w:val="001906B1"/>
    <w:rsid w:val="001907AD"/>
    <w:rsid w:val="00190AFA"/>
    <w:rsid w:val="00190B94"/>
    <w:rsid w:val="00190E3B"/>
    <w:rsid w:val="00190F54"/>
    <w:rsid w:val="00190F56"/>
    <w:rsid w:val="0019101C"/>
    <w:rsid w:val="001910CF"/>
    <w:rsid w:val="0019156F"/>
    <w:rsid w:val="001915DE"/>
    <w:rsid w:val="00191D86"/>
    <w:rsid w:val="00192379"/>
    <w:rsid w:val="00192949"/>
    <w:rsid w:val="00192A75"/>
    <w:rsid w:val="00192A90"/>
    <w:rsid w:val="00192AD2"/>
    <w:rsid w:val="00192D93"/>
    <w:rsid w:val="00193152"/>
    <w:rsid w:val="001932CC"/>
    <w:rsid w:val="001933DF"/>
    <w:rsid w:val="001935E9"/>
    <w:rsid w:val="00193747"/>
    <w:rsid w:val="00193786"/>
    <w:rsid w:val="001938B7"/>
    <w:rsid w:val="00193941"/>
    <w:rsid w:val="001942D0"/>
    <w:rsid w:val="0019443B"/>
    <w:rsid w:val="001947A6"/>
    <w:rsid w:val="001947E0"/>
    <w:rsid w:val="00194883"/>
    <w:rsid w:val="00194A29"/>
    <w:rsid w:val="00194B75"/>
    <w:rsid w:val="00194C67"/>
    <w:rsid w:val="00194EAB"/>
    <w:rsid w:val="00194FB7"/>
    <w:rsid w:val="0019511C"/>
    <w:rsid w:val="0019538C"/>
    <w:rsid w:val="001955B1"/>
    <w:rsid w:val="001958B0"/>
    <w:rsid w:val="001958DE"/>
    <w:rsid w:val="00195DE5"/>
    <w:rsid w:val="00195EED"/>
    <w:rsid w:val="00196242"/>
    <w:rsid w:val="00196413"/>
    <w:rsid w:val="00196525"/>
    <w:rsid w:val="00196727"/>
    <w:rsid w:val="00196AAB"/>
    <w:rsid w:val="00196B42"/>
    <w:rsid w:val="00196D5E"/>
    <w:rsid w:val="00196D77"/>
    <w:rsid w:val="00197041"/>
    <w:rsid w:val="001971FE"/>
    <w:rsid w:val="0019748B"/>
    <w:rsid w:val="001975D1"/>
    <w:rsid w:val="00197775"/>
    <w:rsid w:val="00197B9A"/>
    <w:rsid w:val="00197C77"/>
    <w:rsid w:val="00197CA2"/>
    <w:rsid w:val="00197E76"/>
    <w:rsid w:val="00197F45"/>
    <w:rsid w:val="001A04B6"/>
    <w:rsid w:val="001A05AE"/>
    <w:rsid w:val="001A0DD6"/>
    <w:rsid w:val="001A104A"/>
    <w:rsid w:val="001A15EB"/>
    <w:rsid w:val="001A17E6"/>
    <w:rsid w:val="001A17EF"/>
    <w:rsid w:val="001A1B01"/>
    <w:rsid w:val="001A1CFE"/>
    <w:rsid w:val="001A1ED4"/>
    <w:rsid w:val="001A20FE"/>
    <w:rsid w:val="001A237C"/>
    <w:rsid w:val="001A23A0"/>
    <w:rsid w:val="001A2481"/>
    <w:rsid w:val="001A28A1"/>
    <w:rsid w:val="001A2911"/>
    <w:rsid w:val="001A2EB7"/>
    <w:rsid w:val="001A2F9C"/>
    <w:rsid w:val="001A3077"/>
    <w:rsid w:val="001A3431"/>
    <w:rsid w:val="001A3708"/>
    <w:rsid w:val="001A381B"/>
    <w:rsid w:val="001A3998"/>
    <w:rsid w:val="001A3A4C"/>
    <w:rsid w:val="001A3B7B"/>
    <w:rsid w:val="001A3D4B"/>
    <w:rsid w:val="001A3F06"/>
    <w:rsid w:val="001A4177"/>
    <w:rsid w:val="001A4183"/>
    <w:rsid w:val="001A41EE"/>
    <w:rsid w:val="001A4388"/>
    <w:rsid w:val="001A4571"/>
    <w:rsid w:val="001A485D"/>
    <w:rsid w:val="001A4912"/>
    <w:rsid w:val="001A4AAF"/>
    <w:rsid w:val="001A4CCA"/>
    <w:rsid w:val="001A4D76"/>
    <w:rsid w:val="001A4F20"/>
    <w:rsid w:val="001A508F"/>
    <w:rsid w:val="001A524F"/>
    <w:rsid w:val="001A52C5"/>
    <w:rsid w:val="001A558E"/>
    <w:rsid w:val="001A5767"/>
    <w:rsid w:val="001A5EC6"/>
    <w:rsid w:val="001A5FD7"/>
    <w:rsid w:val="001A662B"/>
    <w:rsid w:val="001A6724"/>
    <w:rsid w:val="001A6911"/>
    <w:rsid w:val="001A69CC"/>
    <w:rsid w:val="001A722A"/>
    <w:rsid w:val="001A73BD"/>
    <w:rsid w:val="001A74F5"/>
    <w:rsid w:val="001A765B"/>
    <w:rsid w:val="001A7925"/>
    <w:rsid w:val="001A7A7B"/>
    <w:rsid w:val="001B02C8"/>
    <w:rsid w:val="001B05A5"/>
    <w:rsid w:val="001B0678"/>
    <w:rsid w:val="001B09B6"/>
    <w:rsid w:val="001B0A49"/>
    <w:rsid w:val="001B112B"/>
    <w:rsid w:val="001B1492"/>
    <w:rsid w:val="001B160A"/>
    <w:rsid w:val="001B1717"/>
    <w:rsid w:val="001B1872"/>
    <w:rsid w:val="001B1DCF"/>
    <w:rsid w:val="001B2197"/>
    <w:rsid w:val="001B25B0"/>
    <w:rsid w:val="001B264B"/>
    <w:rsid w:val="001B2725"/>
    <w:rsid w:val="001B29D8"/>
    <w:rsid w:val="001B2C77"/>
    <w:rsid w:val="001B34CE"/>
    <w:rsid w:val="001B3657"/>
    <w:rsid w:val="001B3845"/>
    <w:rsid w:val="001B39FD"/>
    <w:rsid w:val="001B3A51"/>
    <w:rsid w:val="001B3D3D"/>
    <w:rsid w:val="001B3D42"/>
    <w:rsid w:val="001B419B"/>
    <w:rsid w:val="001B41A2"/>
    <w:rsid w:val="001B431A"/>
    <w:rsid w:val="001B46A4"/>
    <w:rsid w:val="001B477D"/>
    <w:rsid w:val="001B4A20"/>
    <w:rsid w:val="001B4BFF"/>
    <w:rsid w:val="001B4E20"/>
    <w:rsid w:val="001B4F81"/>
    <w:rsid w:val="001B4FFD"/>
    <w:rsid w:val="001B5314"/>
    <w:rsid w:val="001B5331"/>
    <w:rsid w:val="001B5769"/>
    <w:rsid w:val="001B5891"/>
    <w:rsid w:val="001B59E3"/>
    <w:rsid w:val="001B5FAC"/>
    <w:rsid w:val="001B6036"/>
    <w:rsid w:val="001B60CE"/>
    <w:rsid w:val="001B60D4"/>
    <w:rsid w:val="001B619C"/>
    <w:rsid w:val="001B6549"/>
    <w:rsid w:val="001B65DC"/>
    <w:rsid w:val="001B6925"/>
    <w:rsid w:val="001B69F8"/>
    <w:rsid w:val="001B6A66"/>
    <w:rsid w:val="001B6D9A"/>
    <w:rsid w:val="001B6FDA"/>
    <w:rsid w:val="001B78EE"/>
    <w:rsid w:val="001B7A38"/>
    <w:rsid w:val="001B7A9D"/>
    <w:rsid w:val="001B7D90"/>
    <w:rsid w:val="001B7FC8"/>
    <w:rsid w:val="001C00C6"/>
    <w:rsid w:val="001C01C5"/>
    <w:rsid w:val="001C06AD"/>
    <w:rsid w:val="001C0765"/>
    <w:rsid w:val="001C0BDD"/>
    <w:rsid w:val="001C0CA9"/>
    <w:rsid w:val="001C0DF9"/>
    <w:rsid w:val="001C0EAF"/>
    <w:rsid w:val="001C0F24"/>
    <w:rsid w:val="001C102D"/>
    <w:rsid w:val="001C1041"/>
    <w:rsid w:val="001C11E4"/>
    <w:rsid w:val="001C135D"/>
    <w:rsid w:val="001C167B"/>
    <w:rsid w:val="001C1807"/>
    <w:rsid w:val="001C1BCC"/>
    <w:rsid w:val="001C1D99"/>
    <w:rsid w:val="001C1DC5"/>
    <w:rsid w:val="001C2193"/>
    <w:rsid w:val="001C21C7"/>
    <w:rsid w:val="001C24B2"/>
    <w:rsid w:val="001C2E46"/>
    <w:rsid w:val="001C2ED4"/>
    <w:rsid w:val="001C2F52"/>
    <w:rsid w:val="001C3373"/>
    <w:rsid w:val="001C371B"/>
    <w:rsid w:val="001C39C1"/>
    <w:rsid w:val="001C3D04"/>
    <w:rsid w:val="001C3DE5"/>
    <w:rsid w:val="001C42C5"/>
    <w:rsid w:val="001C4300"/>
    <w:rsid w:val="001C4485"/>
    <w:rsid w:val="001C47D0"/>
    <w:rsid w:val="001C47EF"/>
    <w:rsid w:val="001C490D"/>
    <w:rsid w:val="001C4ACF"/>
    <w:rsid w:val="001C4BFD"/>
    <w:rsid w:val="001C4FE0"/>
    <w:rsid w:val="001C5038"/>
    <w:rsid w:val="001C54B5"/>
    <w:rsid w:val="001C5673"/>
    <w:rsid w:val="001C5708"/>
    <w:rsid w:val="001C5730"/>
    <w:rsid w:val="001C5996"/>
    <w:rsid w:val="001C5AAB"/>
    <w:rsid w:val="001C5DCC"/>
    <w:rsid w:val="001C5E8A"/>
    <w:rsid w:val="001C5E8C"/>
    <w:rsid w:val="001C60A3"/>
    <w:rsid w:val="001C623F"/>
    <w:rsid w:val="001C6426"/>
    <w:rsid w:val="001C6701"/>
    <w:rsid w:val="001C685A"/>
    <w:rsid w:val="001C708B"/>
    <w:rsid w:val="001C7103"/>
    <w:rsid w:val="001C732F"/>
    <w:rsid w:val="001C7378"/>
    <w:rsid w:val="001C75DE"/>
    <w:rsid w:val="001C797E"/>
    <w:rsid w:val="001D0036"/>
    <w:rsid w:val="001D02F2"/>
    <w:rsid w:val="001D03A1"/>
    <w:rsid w:val="001D0455"/>
    <w:rsid w:val="001D0B2E"/>
    <w:rsid w:val="001D0D18"/>
    <w:rsid w:val="001D0F38"/>
    <w:rsid w:val="001D106B"/>
    <w:rsid w:val="001D11FB"/>
    <w:rsid w:val="001D1273"/>
    <w:rsid w:val="001D1584"/>
    <w:rsid w:val="001D1848"/>
    <w:rsid w:val="001D1914"/>
    <w:rsid w:val="001D2271"/>
    <w:rsid w:val="001D2446"/>
    <w:rsid w:val="001D28C4"/>
    <w:rsid w:val="001D2A72"/>
    <w:rsid w:val="001D2AA5"/>
    <w:rsid w:val="001D2CAA"/>
    <w:rsid w:val="001D2E34"/>
    <w:rsid w:val="001D2F9E"/>
    <w:rsid w:val="001D2FB1"/>
    <w:rsid w:val="001D30BE"/>
    <w:rsid w:val="001D33DE"/>
    <w:rsid w:val="001D368E"/>
    <w:rsid w:val="001D3703"/>
    <w:rsid w:val="001D3867"/>
    <w:rsid w:val="001D3D21"/>
    <w:rsid w:val="001D3D30"/>
    <w:rsid w:val="001D3F02"/>
    <w:rsid w:val="001D4083"/>
    <w:rsid w:val="001D40EE"/>
    <w:rsid w:val="001D4377"/>
    <w:rsid w:val="001D46F5"/>
    <w:rsid w:val="001D4A36"/>
    <w:rsid w:val="001D4C29"/>
    <w:rsid w:val="001D4F32"/>
    <w:rsid w:val="001D4FC2"/>
    <w:rsid w:val="001D5638"/>
    <w:rsid w:val="001D57B5"/>
    <w:rsid w:val="001D5B75"/>
    <w:rsid w:val="001D5B8D"/>
    <w:rsid w:val="001D5B96"/>
    <w:rsid w:val="001D5CEB"/>
    <w:rsid w:val="001D5F85"/>
    <w:rsid w:val="001D6062"/>
    <w:rsid w:val="001D636A"/>
    <w:rsid w:val="001D64EA"/>
    <w:rsid w:val="001D67EA"/>
    <w:rsid w:val="001D6805"/>
    <w:rsid w:val="001D6858"/>
    <w:rsid w:val="001D6A03"/>
    <w:rsid w:val="001D6A72"/>
    <w:rsid w:val="001D6ACD"/>
    <w:rsid w:val="001D6BAF"/>
    <w:rsid w:val="001D6D85"/>
    <w:rsid w:val="001D70B1"/>
    <w:rsid w:val="001D7239"/>
    <w:rsid w:val="001D72A5"/>
    <w:rsid w:val="001D72AA"/>
    <w:rsid w:val="001D7508"/>
    <w:rsid w:val="001D75D7"/>
    <w:rsid w:val="001D7832"/>
    <w:rsid w:val="001D7961"/>
    <w:rsid w:val="001D7A20"/>
    <w:rsid w:val="001D7C72"/>
    <w:rsid w:val="001D7EEB"/>
    <w:rsid w:val="001E0004"/>
    <w:rsid w:val="001E0252"/>
    <w:rsid w:val="001E0314"/>
    <w:rsid w:val="001E0489"/>
    <w:rsid w:val="001E0566"/>
    <w:rsid w:val="001E057D"/>
    <w:rsid w:val="001E0903"/>
    <w:rsid w:val="001E0BBA"/>
    <w:rsid w:val="001E0F4F"/>
    <w:rsid w:val="001E0F8A"/>
    <w:rsid w:val="001E114C"/>
    <w:rsid w:val="001E1439"/>
    <w:rsid w:val="001E163D"/>
    <w:rsid w:val="001E1754"/>
    <w:rsid w:val="001E17CF"/>
    <w:rsid w:val="001E1DD5"/>
    <w:rsid w:val="001E1FFE"/>
    <w:rsid w:val="001E227F"/>
    <w:rsid w:val="001E2351"/>
    <w:rsid w:val="001E23A1"/>
    <w:rsid w:val="001E24A2"/>
    <w:rsid w:val="001E252F"/>
    <w:rsid w:val="001E25CF"/>
    <w:rsid w:val="001E263A"/>
    <w:rsid w:val="001E290B"/>
    <w:rsid w:val="001E2AFE"/>
    <w:rsid w:val="001E308F"/>
    <w:rsid w:val="001E31F8"/>
    <w:rsid w:val="001E3318"/>
    <w:rsid w:val="001E3377"/>
    <w:rsid w:val="001E3536"/>
    <w:rsid w:val="001E3788"/>
    <w:rsid w:val="001E385A"/>
    <w:rsid w:val="001E3918"/>
    <w:rsid w:val="001E391A"/>
    <w:rsid w:val="001E39CB"/>
    <w:rsid w:val="001E3A2F"/>
    <w:rsid w:val="001E3A9B"/>
    <w:rsid w:val="001E3D95"/>
    <w:rsid w:val="001E3E77"/>
    <w:rsid w:val="001E3FE9"/>
    <w:rsid w:val="001E4210"/>
    <w:rsid w:val="001E4212"/>
    <w:rsid w:val="001E4618"/>
    <w:rsid w:val="001E4871"/>
    <w:rsid w:val="001E4D07"/>
    <w:rsid w:val="001E4E17"/>
    <w:rsid w:val="001E4EA7"/>
    <w:rsid w:val="001E5247"/>
    <w:rsid w:val="001E53DC"/>
    <w:rsid w:val="001E5572"/>
    <w:rsid w:val="001E55C8"/>
    <w:rsid w:val="001E5955"/>
    <w:rsid w:val="001E5B1B"/>
    <w:rsid w:val="001E5F0D"/>
    <w:rsid w:val="001E6092"/>
    <w:rsid w:val="001E60D6"/>
    <w:rsid w:val="001E60F3"/>
    <w:rsid w:val="001E64E5"/>
    <w:rsid w:val="001E6756"/>
    <w:rsid w:val="001E67EA"/>
    <w:rsid w:val="001E694D"/>
    <w:rsid w:val="001E6C73"/>
    <w:rsid w:val="001E6D0A"/>
    <w:rsid w:val="001E6E13"/>
    <w:rsid w:val="001E70A3"/>
    <w:rsid w:val="001E71A3"/>
    <w:rsid w:val="001E71D4"/>
    <w:rsid w:val="001E75BF"/>
    <w:rsid w:val="001E775E"/>
    <w:rsid w:val="001E79E3"/>
    <w:rsid w:val="001E7DAD"/>
    <w:rsid w:val="001F025C"/>
    <w:rsid w:val="001F02CD"/>
    <w:rsid w:val="001F05E6"/>
    <w:rsid w:val="001F0622"/>
    <w:rsid w:val="001F08C5"/>
    <w:rsid w:val="001F0EAD"/>
    <w:rsid w:val="001F114E"/>
    <w:rsid w:val="001F137C"/>
    <w:rsid w:val="001F147C"/>
    <w:rsid w:val="001F190D"/>
    <w:rsid w:val="001F1910"/>
    <w:rsid w:val="001F19AF"/>
    <w:rsid w:val="001F1B1A"/>
    <w:rsid w:val="001F1D3A"/>
    <w:rsid w:val="001F212E"/>
    <w:rsid w:val="001F2195"/>
    <w:rsid w:val="001F24DB"/>
    <w:rsid w:val="001F25EB"/>
    <w:rsid w:val="001F2679"/>
    <w:rsid w:val="001F2802"/>
    <w:rsid w:val="001F2AC6"/>
    <w:rsid w:val="001F2D89"/>
    <w:rsid w:val="001F2E59"/>
    <w:rsid w:val="001F301F"/>
    <w:rsid w:val="001F309C"/>
    <w:rsid w:val="001F3117"/>
    <w:rsid w:val="001F3375"/>
    <w:rsid w:val="001F3810"/>
    <w:rsid w:val="001F39AF"/>
    <w:rsid w:val="001F3A1B"/>
    <w:rsid w:val="001F3D0E"/>
    <w:rsid w:val="001F3FA1"/>
    <w:rsid w:val="001F49ED"/>
    <w:rsid w:val="001F4A9E"/>
    <w:rsid w:val="001F4B0C"/>
    <w:rsid w:val="001F4C5C"/>
    <w:rsid w:val="001F4D26"/>
    <w:rsid w:val="001F4EB8"/>
    <w:rsid w:val="001F51A8"/>
    <w:rsid w:val="001F51C8"/>
    <w:rsid w:val="001F5260"/>
    <w:rsid w:val="001F53FD"/>
    <w:rsid w:val="001F5734"/>
    <w:rsid w:val="001F5889"/>
    <w:rsid w:val="001F5924"/>
    <w:rsid w:val="001F5E06"/>
    <w:rsid w:val="001F5E1C"/>
    <w:rsid w:val="001F6083"/>
    <w:rsid w:val="001F6348"/>
    <w:rsid w:val="001F67F0"/>
    <w:rsid w:val="001F68C8"/>
    <w:rsid w:val="001F68F5"/>
    <w:rsid w:val="001F6A12"/>
    <w:rsid w:val="001F6D37"/>
    <w:rsid w:val="001F6DB6"/>
    <w:rsid w:val="001F6E88"/>
    <w:rsid w:val="001F6E94"/>
    <w:rsid w:val="001F6F2E"/>
    <w:rsid w:val="001F7130"/>
    <w:rsid w:val="001F7143"/>
    <w:rsid w:val="001F7283"/>
    <w:rsid w:val="001F732D"/>
    <w:rsid w:val="001F7585"/>
    <w:rsid w:val="001F7604"/>
    <w:rsid w:val="001F76E3"/>
    <w:rsid w:val="001F7706"/>
    <w:rsid w:val="001F778F"/>
    <w:rsid w:val="001F7884"/>
    <w:rsid w:val="001F7B8C"/>
    <w:rsid w:val="001F7E1B"/>
    <w:rsid w:val="002000F1"/>
    <w:rsid w:val="0020018E"/>
    <w:rsid w:val="002001C6"/>
    <w:rsid w:val="00200664"/>
    <w:rsid w:val="00200717"/>
    <w:rsid w:val="00200B0A"/>
    <w:rsid w:val="00200D40"/>
    <w:rsid w:val="00200F91"/>
    <w:rsid w:val="0020132A"/>
    <w:rsid w:val="002015D7"/>
    <w:rsid w:val="0020161F"/>
    <w:rsid w:val="002016DB"/>
    <w:rsid w:val="00201921"/>
    <w:rsid w:val="002019E7"/>
    <w:rsid w:val="00201E53"/>
    <w:rsid w:val="00202688"/>
    <w:rsid w:val="002026D7"/>
    <w:rsid w:val="00202A22"/>
    <w:rsid w:val="00203454"/>
    <w:rsid w:val="00204028"/>
    <w:rsid w:val="00204077"/>
    <w:rsid w:val="00204248"/>
    <w:rsid w:val="00204393"/>
    <w:rsid w:val="0020440A"/>
    <w:rsid w:val="0020457F"/>
    <w:rsid w:val="00204783"/>
    <w:rsid w:val="002048E3"/>
    <w:rsid w:val="00204B5A"/>
    <w:rsid w:val="00204BC6"/>
    <w:rsid w:val="00204DFF"/>
    <w:rsid w:val="00205014"/>
    <w:rsid w:val="002052B9"/>
    <w:rsid w:val="00205369"/>
    <w:rsid w:val="00205691"/>
    <w:rsid w:val="002056F2"/>
    <w:rsid w:val="00205728"/>
    <w:rsid w:val="002059EF"/>
    <w:rsid w:val="00205AD5"/>
    <w:rsid w:val="00205CCA"/>
    <w:rsid w:val="00205E64"/>
    <w:rsid w:val="00205F4B"/>
    <w:rsid w:val="002067C8"/>
    <w:rsid w:val="00206855"/>
    <w:rsid w:val="00206954"/>
    <w:rsid w:val="00206983"/>
    <w:rsid w:val="00206A75"/>
    <w:rsid w:val="00206DD1"/>
    <w:rsid w:val="00206F2E"/>
    <w:rsid w:val="0020741A"/>
    <w:rsid w:val="00207930"/>
    <w:rsid w:val="00207B1E"/>
    <w:rsid w:val="00207D2C"/>
    <w:rsid w:val="0021009C"/>
    <w:rsid w:val="00210379"/>
    <w:rsid w:val="0021084F"/>
    <w:rsid w:val="00210C92"/>
    <w:rsid w:val="00210F0D"/>
    <w:rsid w:val="00211169"/>
    <w:rsid w:val="002112DF"/>
    <w:rsid w:val="00211A1F"/>
    <w:rsid w:val="00211C50"/>
    <w:rsid w:val="00211FEE"/>
    <w:rsid w:val="00212133"/>
    <w:rsid w:val="0021216B"/>
    <w:rsid w:val="00212365"/>
    <w:rsid w:val="00212752"/>
    <w:rsid w:val="00212817"/>
    <w:rsid w:val="00212976"/>
    <w:rsid w:val="00212B8B"/>
    <w:rsid w:val="00212D6F"/>
    <w:rsid w:val="00212EB9"/>
    <w:rsid w:val="002130D1"/>
    <w:rsid w:val="0021319F"/>
    <w:rsid w:val="002131F0"/>
    <w:rsid w:val="002131FB"/>
    <w:rsid w:val="002133E2"/>
    <w:rsid w:val="00213720"/>
    <w:rsid w:val="00213794"/>
    <w:rsid w:val="00213927"/>
    <w:rsid w:val="00213C38"/>
    <w:rsid w:val="00213D35"/>
    <w:rsid w:val="00213DBE"/>
    <w:rsid w:val="0021430E"/>
    <w:rsid w:val="0021437D"/>
    <w:rsid w:val="00214D51"/>
    <w:rsid w:val="00215317"/>
    <w:rsid w:val="0021567D"/>
    <w:rsid w:val="0021586A"/>
    <w:rsid w:val="00215B81"/>
    <w:rsid w:val="00216552"/>
    <w:rsid w:val="00216555"/>
    <w:rsid w:val="002168B6"/>
    <w:rsid w:val="00216D5F"/>
    <w:rsid w:val="00216FC9"/>
    <w:rsid w:val="002173F7"/>
    <w:rsid w:val="0021760D"/>
    <w:rsid w:val="00217680"/>
    <w:rsid w:val="00217891"/>
    <w:rsid w:val="00217A69"/>
    <w:rsid w:val="00217CE5"/>
    <w:rsid w:val="00217FAD"/>
    <w:rsid w:val="002204E1"/>
    <w:rsid w:val="00220568"/>
    <w:rsid w:val="00220572"/>
    <w:rsid w:val="002205C7"/>
    <w:rsid w:val="00220C57"/>
    <w:rsid w:val="00220D2F"/>
    <w:rsid w:val="00220D78"/>
    <w:rsid w:val="002215EA"/>
    <w:rsid w:val="002216BC"/>
    <w:rsid w:val="00221794"/>
    <w:rsid w:val="00222116"/>
    <w:rsid w:val="0022239E"/>
    <w:rsid w:val="002223D6"/>
    <w:rsid w:val="00222520"/>
    <w:rsid w:val="002225F7"/>
    <w:rsid w:val="00222702"/>
    <w:rsid w:val="002227C1"/>
    <w:rsid w:val="00222C98"/>
    <w:rsid w:val="00222C9F"/>
    <w:rsid w:val="00222DFB"/>
    <w:rsid w:val="0022304F"/>
    <w:rsid w:val="00223087"/>
    <w:rsid w:val="002232C7"/>
    <w:rsid w:val="0022391C"/>
    <w:rsid w:val="00223AFB"/>
    <w:rsid w:val="00223B15"/>
    <w:rsid w:val="00223C77"/>
    <w:rsid w:val="00223CF3"/>
    <w:rsid w:val="00223E03"/>
    <w:rsid w:val="00224343"/>
    <w:rsid w:val="00224365"/>
    <w:rsid w:val="002247CD"/>
    <w:rsid w:val="00224B48"/>
    <w:rsid w:val="00224D1D"/>
    <w:rsid w:val="00224D97"/>
    <w:rsid w:val="0022525C"/>
    <w:rsid w:val="002252FE"/>
    <w:rsid w:val="00225767"/>
    <w:rsid w:val="00225790"/>
    <w:rsid w:val="00225B80"/>
    <w:rsid w:val="00225E52"/>
    <w:rsid w:val="00226372"/>
    <w:rsid w:val="00226BC4"/>
    <w:rsid w:val="00227261"/>
    <w:rsid w:val="002274D6"/>
    <w:rsid w:val="0022754D"/>
    <w:rsid w:val="002275AF"/>
    <w:rsid w:val="00227625"/>
    <w:rsid w:val="00227A1C"/>
    <w:rsid w:val="00227F50"/>
    <w:rsid w:val="00227F72"/>
    <w:rsid w:val="00230165"/>
    <w:rsid w:val="00230419"/>
    <w:rsid w:val="00230608"/>
    <w:rsid w:val="00230701"/>
    <w:rsid w:val="00230894"/>
    <w:rsid w:val="002309FD"/>
    <w:rsid w:val="00230B08"/>
    <w:rsid w:val="00230EB2"/>
    <w:rsid w:val="00230F23"/>
    <w:rsid w:val="00230FD6"/>
    <w:rsid w:val="002310EB"/>
    <w:rsid w:val="0023135B"/>
    <w:rsid w:val="002314A0"/>
    <w:rsid w:val="00231D91"/>
    <w:rsid w:val="00231EE4"/>
    <w:rsid w:val="002322CC"/>
    <w:rsid w:val="002322E5"/>
    <w:rsid w:val="0023231B"/>
    <w:rsid w:val="00232735"/>
    <w:rsid w:val="002327CB"/>
    <w:rsid w:val="00232870"/>
    <w:rsid w:val="00232937"/>
    <w:rsid w:val="00232CB6"/>
    <w:rsid w:val="00232EE5"/>
    <w:rsid w:val="00232EF7"/>
    <w:rsid w:val="00233243"/>
    <w:rsid w:val="00233389"/>
    <w:rsid w:val="00233882"/>
    <w:rsid w:val="00233D65"/>
    <w:rsid w:val="00233DF7"/>
    <w:rsid w:val="002340A3"/>
    <w:rsid w:val="00234294"/>
    <w:rsid w:val="002343C9"/>
    <w:rsid w:val="0023481B"/>
    <w:rsid w:val="00234CC0"/>
    <w:rsid w:val="00234F4C"/>
    <w:rsid w:val="002351DB"/>
    <w:rsid w:val="002357A3"/>
    <w:rsid w:val="0023597B"/>
    <w:rsid w:val="0023598F"/>
    <w:rsid w:val="002359D6"/>
    <w:rsid w:val="00235E09"/>
    <w:rsid w:val="00235E8C"/>
    <w:rsid w:val="00235EDB"/>
    <w:rsid w:val="00236105"/>
    <w:rsid w:val="002366C4"/>
    <w:rsid w:val="002366EC"/>
    <w:rsid w:val="00236815"/>
    <w:rsid w:val="00236834"/>
    <w:rsid w:val="00236BDE"/>
    <w:rsid w:val="00236E92"/>
    <w:rsid w:val="00236F90"/>
    <w:rsid w:val="00237271"/>
    <w:rsid w:val="002378B7"/>
    <w:rsid w:val="00237D11"/>
    <w:rsid w:val="00237F93"/>
    <w:rsid w:val="0024099A"/>
    <w:rsid w:val="00240A51"/>
    <w:rsid w:val="00240E70"/>
    <w:rsid w:val="002412BC"/>
    <w:rsid w:val="00241343"/>
    <w:rsid w:val="0024137C"/>
    <w:rsid w:val="0024152A"/>
    <w:rsid w:val="00241B77"/>
    <w:rsid w:val="00241E49"/>
    <w:rsid w:val="00241EB1"/>
    <w:rsid w:val="00242073"/>
    <w:rsid w:val="00242144"/>
    <w:rsid w:val="00242623"/>
    <w:rsid w:val="002427FE"/>
    <w:rsid w:val="0024297B"/>
    <w:rsid w:val="00242B54"/>
    <w:rsid w:val="00242C55"/>
    <w:rsid w:val="00243114"/>
    <w:rsid w:val="0024318F"/>
    <w:rsid w:val="00243C55"/>
    <w:rsid w:val="00243DC1"/>
    <w:rsid w:val="00243ED1"/>
    <w:rsid w:val="00243FFA"/>
    <w:rsid w:val="00244048"/>
    <w:rsid w:val="002441EA"/>
    <w:rsid w:val="00244213"/>
    <w:rsid w:val="00244598"/>
    <w:rsid w:val="002445F5"/>
    <w:rsid w:val="00244D7B"/>
    <w:rsid w:val="002451FD"/>
    <w:rsid w:val="002455C9"/>
    <w:rsid w:val="002459BE"/>
    <w:rsid w:val="00245BCA"/>
    <w:rsid w:val="00245E09"/>
    <w:rsid w:val="00245E13"/>
    <w:rsid w:val="002460B9"/>
    <w:rsid w:val="002461B1"/>
    <w:rsid w:val="0024633B"/>
    <w:rsid w:val="00246431"/>
    <w:rsid w:val="00246665"/>
    <w:rsid w:val="00246675"/>
    <w:rsid w:val="002466DA"/>
    <w:rsid w:val="00246858"/>
    <w:rsid w:val="00246870"/>
    <w:rsid w:val="0024691D"/>
    <w:rsid w:val="00246AC9"/>
    <w:rsid w:val="00246AFB"/>
    <w:rsid w:val="00246B5D"/>
    <w:rsid w:val="00246E19"/>
    <w:rsid w:val="00246F01"/>
    <w:rsid w:val="00246F71"/>
    <w:rsid w:val="00247042"/>
    <w:rsid w:val="002471F0"/>
    <w:rsid w:val="00247313"/>
    <w:rsid w:val="002477CE"/>
    <w:rsid w:val="002479A7"/>
    <w:rsid w:val="00247A09"/>
    <w:rsid w:val="00250028"/>
    <w:rsid w:val="00250065"/>
    <w:rsid w:val="002501DB"/>
    <w:rsid w:val="002501FB"/>
    <w:rsid w:val="0025043D"/>
    <w:rsid w:val="00250532"/>
    <w:rsid w:val="00250569"/>
    <w:rsid w:val="00250859"/>
    <w:rsid w:val="002508C1"/>
    <w:rsid w:val="00250D3E"/>
    <w:rsid w:val="0025132C"/>
    <w:rsid w:val="00251738"/>
    <w:rsid w:val="0025175C"/>
    <w:rsid w:val="002517BB"/>
    <w:rsid w:val="00251867"/>
    <w:rsid w:val="00251C2E"/>
    <w:rsid w:val="00251CF1"/>
    <w:rsid w:val="00251D58"/>
    <w:rsid w:val="00251EEC"/>
    <w:rsid w:val="00251F19"/>
    <w:rsid w:val="00251F55"/>
    <w:rsid w:val="002520CC"/>
    <w:rsid w:val="002520DA"/>
    <w:rsid w:val="0025228B"/>
    <w:rsid w:val="00252293"/>
    <w:rsid w:val="0025233B"/>
    <w:rsid w:val="002523D2"/>
    <w:rsid w:val="0025282A"/>
    <w:rsid w:val="0025295D"/>
    <w:rsid w:val="002529DA"/>
    <w:rsid w:val="002529E2"/>
    <w:rsid w:val="00252B50"/>
    <w:rsid w:val="00252EC2"/>
    <w:rsid w:val="00252F63"/>
    <w:rsid w:val="00253521"/>
    <w:rsid w:val="00253674"/>
    <w:rsid w:val="00253977"/>
    <w:rsid w:val="00253B43"/>
    <w:rsid w:val="00253D21"/>
    <w:rsid w:val="00253E17"/>
    <w:rsid w:val="00253ED3"/>
    <w:rsid w:val="002548AE"/>
    <w:rsid w:val="002548BC"/>
    <w:rsid w:val="00254E1E"/>
    <w:rsid w:val="00254E5D"/>
    <w:rsid w:val="00254FBA"/>
    <w:rsid w:val="002550A3"/>
    <w:rsid w:val="002555AB"/>
    <w:rsid w:val="00255A48"/>
    <w:rsid w:val="00255C44"/>
    <w:rsid w:val="00255CCA"/>
    <w:rsid w:val="00255F53"/>
    <w:rsid w:val="0025624E"/>
    <w:rsid w:val="00256386"/>
    <w:rsid w:val="002564D7"/>
    <w:rsid w:val="002567ED"/>
    <w:rsid w:val="00256A9F"/>
    <w:rsid w:val="00256C86"/>
    <w:rsid w:val="00256D5B"/>
    <w:rsid w:val="00256D61"/>
    <w:rsid w:val="00257061"/>
    <w:rsid w:val="00257120"/>
    <w:rsid w:val="00257325"/>
    <w:rsid w:val="00257723"/>
    <w:rsid w:val="0025791B"/>
    <w:rsid w:val="00257978"/>
    <w:rsid w:val="00257BCD"/>
    <w:rsid w:val="00257D31"/>
    <w:rsid w:val="00257D59"/>
    <w:rsid w:val="002602CB"/>
    <w:rsid w:val="0026035B"/>
    <w:rsid w:val="0026062E"/>
    <w:rsid w:val="00260988"/>
    <w:rsid w:val="00260C0C"/>
    <w:rsid w:val="00260CDA"/>
    <w:rsid w:val="00260D8E"/>
    <w:rsid w:val="00260FFF"/>
    <w:rsid w:val="0026124B"/>
    <w:rsid w:val="002612F4"/>
    <w:rsid w:val="00261466"/>
    <w:rsid w:val="002616F3"/>
    <w:rsid w:val="00261709"/>
    <w:rsid w:val="00261948"/>
    <w:rsid w:val="00261AB5"/>
    <w:rsid w:val="00261F43"/>
    <w:rsid w:val="00262441"/>
    <w:rsid w:val="0026268F"/>
    <w:rsid w:val="00262810"/>
    <w:rsid w:val="0026284E"/>
    <w:rsid w:val="00262C23"/>
    <w:rsid w:val="00262F6D"/>
    <w:rsid w:val="002638ED"/>
    <w:rsid w:val="0026396C"/>
    <w:rsid w:val="00263978"/>
    <w:rsid w:val="002639F8"/>
    <w:rsid w:val="00264834"/>
    <w:rsid w:val="00264ACC"/>
    <w:rsid w:val="00264F98"/>
    <w:rsid w:val="00265261"/>
    <w:rsid w:val="002652F8"/>
    <w:rsid w:val="0026542D"/>
    <w:rsid w:val="00265442"/>
    <w:rsid w:val="002658D5"/>
    <w:rsid w:val="00265D89"/>
    <w:rsid w:val="00266067"/>
    <w:rsid w:val="00266122"/>
    <w:rsid w:val="002664D4"/>
    <w:rsid w:val="002664E1"/>
    <w:rsid w:val="00266631"/>
    <w:rsid w:val="00266682"/>
    <w:rsid w:val="00266774"/>
    <w:rsid w:val="00266983"/>
    <w:rsid w:val="00266CCF"/>
    <w:rsid w:val="00266D0B"/>
    <w:rsid w:val="0026728E"/>
    <w:rsid w:val="0026740E"/>
    <w:rsid w:val="00267655"/>
    <w:rsid w:val="002678E2"/>
    <w:rsid w:val="00267BE3"/>
    <w:rsid w:val="00267FAF"/>
    <w:rsid w:val="00270018"/>
    <w:rsid w:val="002700BF"/>
    <w:rsid w:val="00270187"/>
    <w:rsid w:val="002702A2"/>
    <w:rsid w:val="002702B7"/>
    <w:rsid w:val="00270301"/>
    <w:rsid w:val="00270356"/>
    <w:rsid w:val="00270445"/>
    <w:rsid w:val="002704F0"/>
    <w:rsid w:val="00270974"/>
    <w:rsid w:val="00270C84"/>
    <w:rsid w:val="00270C8B"/>
    <w:rsid w:val="00271424"/>
    <w:rsid w:val="00271A16"/>
    <w:rsid w:val="00271ACD"/>
    <w:rsid w:val="00271F1A"/>
    <w:rsid w:val="00272005"/>
    <w:rsid w:val="00272067"/>
    <w:rsid w:val="002728A8"/>
    <w:rsid w:val="002728E2"/>
    <w:rsid w:val="0027293F"/>
    <w:rsid w:val="00272A69"/>
    <w:rsid w:val="00272C45"/>
    <w:rsid w:val="00272D59"/>
    <w:rsid w:val="00272F3C"/>
    <w:rsid w:val="00273027"/>
    <w:rsid w:val="00273277"/>
    <w:rsid w:val="00273647"/>
    <w:rsid w:val="00273AAB"/>
    <w:rsid w:val="00273D54"/>
    <w:rsid w:val="00273EDF"/>
    <w:rsid w:val="00273EEA"/>
    <w:rsid w:val="00273F87"/>
    <w:rsid w:val="00274134"/>
    <w:rsid w:val="0027415C"/>
    <w:rsid w:val="00274409"/>
    <w:rsid w:val="002745AE"/>
    <w:rsid w:val="0027480A"/>
    <w:rsid w:val="00274B60"/>
    <w:rsid w:val="002755C9"/>
    <w:rsid w:val="0027599E"/>
    <w:rsid w:val="00275C27"/>
    <w:rsid w:val="00275E80"/>
    <w:rsid w:val="0027605E"/>
    <w:rsid w:val="002765F5"/>
    <w:rsid w:val="002766D9"/>
    <w:rsid w:val="002766DF"/>
    <w:rsid w:val="002767EC"/>
    <w:rsid w:val="00276825"/>
    <w:rsid w:val="0027689F"/>
    <w:rsid w:val="002769CC"/>
    <w:rsid w:val="00276CE0"/>
    <w:rsid w:val="00276D0F"/>
    <w:rsid w:val="00276E8E"/>
    <w:rsid w:val="00276EAE"/>
    <w:rsid w:val="00276EE9"/>
    <w:rsid w:val="00276FA4"/>
    <w:rsid w:val="00277074"/>
    <w:rsid w:val="00277289"/>
    <w:rsid w:val="0027729A"/>
    <w:rsid w:val="002772B4"/>
    <w:rsid w:val="00277374"/>
    <w:rsid w:val="002774A5"/>
    <w:rsid w:val="002775F3"/>
    <w:rsid w:val="00277614"/>
    <w:rsid w:val="00277826"/>
    <w:rsid w:val="00277A40"/>
    <w:rsid w:val="00277A98"/>
    <w:rsid w:val="00277E25"/>
    <w:rsid w:val="0028004A"/>
    <w:rsid w:val="002800EB"/>
    <w:rsid w:val="0028035A"/>
    <w:rsid w:val="002803C7"/>
    <w:rsid w:val="002805A0"/>
    <w:rsid w:val="00280A40"/>
    <w:rsid w:val="00280A64"/>
    <w:rsid w:val="00280BE8"/>
    <w:rsid w:val="00280C69"/>
    <w:rsid w:val="00280D5E"/>
    <w:rsid w:val="00280E63"/>
    <w:rsid w:val="00281223"/>
    <w:rsid w:val="002815FE"/>
    <w:rsid w:val="00281648"/>
    <w:rsid w:val="0028198D"/>
    <w:rsid w:val="00281A21"/>
    <w:rsid w:val="00282402"/>
    <w:rsid w:val="002824BC"/>
    <w:rsid w:val="00282941"/>
    <w:rsid w:val="00282A32"/>
    <w:rsid w:val="00282BDA"/>
    <w:rsid w:val="00282CB5"/>
    <w:rsid w:val="00282DE2"/>
    <w:rsid w:val="00282E46"/>
    <w:rsid w:val="002831C7"/>
    <w:rsid w:val="002831D4"/>
    <w:rsid w:val="00283434"/>
    <w:rsid w:val="00283438"/>
    <w:rsid w:val="00283581"/>
    <w:rsid w:val="00283DAF"/>
    <w:rsid w:val="00284136"/>
    <w:rsid w:val="0028448E"/>
    <w:rsid w:val="0028451C"/>
    <w:rsid w:val="002848B0"/>
    <w:rsid w:val="00284B18"/>
    <w:rsid w:val="00284D17"/>
    <w:rsid w:val="00284EDE"/>
    <w:rsid w:val="00285172"/>
    <w:rsid w:val="00285346"/>
    <w:rsid w:val="00285375"/>
    <w:rsid w:val="002854FB"/>
    <w:rsid w:val="002854FE"/>
    <w:rsid w:val="002855AC"/>
    <w:rsid w:val="0028567B"/>
    <w:rsid w:val="0028594C"/>
    <w:rsid w:val="00285964"/>
    <w:rsid w:val="00285D5B"/>
    <w:rsid w:val="00285DB0"/>
    <w:rsid w:val="00285E72"/>
    <w:rsid w:val="00285F8D"/>
    <w:rsid w:val="00286187"/>
    <w:rsid w:val="0028682C"/>
    <w:rsid w:val="00286833"/>
    <w:rsid w:val="002868BC"/>
    <w:rsid w:val="00286AD0"/>
    <w:rsid w:val="00286D76"/>
    <w:rsid w:val="00286FA2"/>
    <w:rsid w:val="0028717D"/>
    <w:rsid w:val="00287221"/>
    <w:rsid w:val="0028722E"/>
    <w:rsid w:val="00287270"/>
    <w:rsid w:val="002878BD"/>
    <w:rsid w:val="00287A37"/>
    <w:rsid w:val="00287B94"/>
    <w:rsid w:val="00290094"/>
    <w:rsid w:val="002900E2"/>
    <w:rsid w:val="002903F0"/>
    <w:rsid w:val="00290436"/>
    <w:rsid w:val="00290737"/>
    <w:rsid w:val="00290B14"/>
    <w:rsid w:val="00290DF9"/>
    <w:rsid w:val="00290F82"/>
    <w:rsid w:val="00291212"/>
    <w:rsid w:val="002917C6"/>
    <w:rsid w:val="00291E75"/>
    <w:rsid w:val="00293235"/>
    <w:rsid w:val="0029341B"/>
    <w:rsid w:val="00293520"/>
    <w:rsid w:val="002936B6"/>
    <w:rsid w:val="0029372A"/>
    <w:rsid w:val="00293EF6"/>
    <w:rsid w:val="00293F30"/>
    <w:rsid w:val="00294323"/>
    <w:rsid w:val="00294470"/>
    <w:rsid w:val="0029478D"/>
    <w:rsid w:val="002947AB"/>
    <w:rsid w:val="002948D4"/>
    <w:rsid w:val="00294BD0"/>
    <w:rsid w:val="00294C3E"/>
    <w:rsid w:val="00294D23"/>
    <w:rsid w:val="00294DDF"/>
    <w:rsid w:val="00294F53"/>
    <w:rsid w:val="002950EC"/>
    <w:rsid w:val="0029521A"/>
    <w:rsid w:val="002953A5"/>
    <w:rsid w:val="0029593A"/>
    <w:rsid w:val="00295BF7"/>
    <w:rsid w:val="002960F2"/>
    <w:rsid w:val="0029623C"/>
    <w:rsid w:val="00296367"/>
    <w:rsid w:val="0029682C"/>
    <w:rsid w:val="0029691B"/>
    <w:rsid w:val="00296DC0"/>
    <w:rsid w:val="0029709F"/>
    <w:rsid w:val="00297202"/>
    <w:rsid w:val="00297513"/>
    <w:rsid w:val="0029784A"/>
    <w:rsid w:val="00297A61"/>
    <w:rsid w:val="00297F40"/>
    <w:rsid w:val="002A0184"/>
    <w:rsid w:val="002A0277"/>
    <w:rsid w:val="002A034D"/>
    <w:rsid w:val="002A035A"/>
    <w:rsid w:val="002A03DC"/>
    <w:rsid w:val="002A09B1"/>
    <w:rsid w:val="002A0A40"/>
    <w:rsid w:val="002A0FFC"/>
    <w:rsid w:val="002A175F"/>
    <w:rsid w:val="002A189B"/>
    <w:rsid w:val="002A1C54"/>
    <w:rsid w:val="002A1D2C"/>
    <w:rsid w:val="002A1E0F"/>
    <w:rsid w:val="002A1E3E"/>
    <w:rsid w:val="002A1F40"/>
    <w:rsid w:val="002A1FBE"/>
    <w:rsid w:val="002A2252"/>
    <w:rsid w:val="002A3125"/>
    <w:rsid w:val="002A3438"/>
    <w:rsid w:val="002A376E"/>
    <w:rsid w:val="002A3A14"/>
    <w:rsid w:val="002A3A21"/>
    <w:rsid w:val="002A3A75"/>
    <w:rsid w:val="002A3C52"/>
    <w:rsid w:val="002A3DB3"/>
    <w:rsid w:val="002A3DFC"/>
    <w:rsid w:val="002A41A5"/>
    <w:rsid w:val="002A4712"/>
    <w:rsid w:val="002A494F"/>
    <w:rsid w:val="002A515C"/>
    <w:rsid w:val="002A52CF"/>
    <w:rsid w:val="002A5454"/>
    <w:rsid w:val="002A54A5"/>
    <w:rsid w:val="002A579A"/>
    <w:rsid w:val="002A641C"/>
    <w:rsid w:val="002A67B9"/>
    <w:rsid w:val="002A680F"/>
    <w:rsid w:val="002A69EA"/>
    <w:rsid w:val="002A6F36"/>
    <w:rsid w:val="002A6FC1"/>
    <w:rsid w:val="002A71F0"/>
    <w:rsid w:val="002A7556"/>
    <w:rsid w:val="002A789E"/>
    <w:rsid w:val="002A7CCD"/>
    <w:rsid w:val="002B00DB"/>
    <w:rsid w:val="002B028F"/>
    <w:rsid w:val="002B04BD"/>
    <w:rsid w:val="002B04D2"/>
    <w:rsid w:val="002B063E"/>
    <w:rsid w:val="002B08E2"/>
    <w:rsid w:val="002B0912"/>
    <w:rsid w:val="002B0B9D"/>
    <w:rsid w:val="002B1020"/>
    <w:rsid w:val="002B1262"/>
    <w:rsid w:val="002B180B"/>
    <w:rsid w:val="002B1986"/>
    <w:rsid w:val="002B1BF9"/>
    <w:rsid w:val="002B2877"/>
    <w:rsid w:val="002B2962"/>
    <w:rsid w:val="002B2A85"/>
    <w:rsid w:val="002B2AAB"/>
    <w:rsid w:val="002B2B1E"/>
    <w:rsid w:val="002B2BE7"/>
    <w:rsid w:val="002B2CD7"/>
    <w:rsid w:val="002B3552"/>
    <w:rsid w:val="002B35A5"/>
    <w:rsid w:val="002B3795"/>
    <w:rsid w:val="002B37B0"/>
    <w:rsid w:val="002B3A92"/>
    <w:rsid w:val="002B3A9F"/>
    <w:rsid w:val="002B3B8B"/>
    <w:rsid w:val="002B4669"/>
    <w:rsid w:val="002B4684"/>
    <w:rsid w:val="002B4788"/>
    <w:rsid w:val="002B4882"/>
    <w:rsid w:val="002B4EEB"/>
    <w:rsid w:val="002B527D"/>
    <w:rsid w:val="002B5413"/>
    <w:rsid w:val="002B5BD9"/>
    <w:rsid w:val="002B5BF2"/>
    <w:rsid w:val="002B5C8D"/>
    <w:rsid w:val="002B5F23"/>
    <w:rsid w:val="002B5FB1"/>
    <w:rsid w:val="002B5FE4"/>
    <w:rsid w:val="002B6072"/>
    <w:rsid w:val="002B6889"/>
    <w:rsid w:val="002B6919"/>
    <w:rsid w:val="002B6B72"/>
    <w:rsid w:val="002B6F5E"/>
    <w:rsid w:val="002B7309"/>
    <w:rsid w:val="002B73FE"/>
    <w:rsid w:val="002B7554"/>
    <w:rsid w:val="002B7B51"/>
    <w:rsid w:val="002B7EE1"/>
    <w:rsid w:val="002C0152"/>
    <w:rsid w:val="002C02AD"/>
    <w:rsid w:val="002C0338"/>
    <w:rsid w:val="002C0455"/>
    <w:rsid w:val="002C047E"/>
    <w:rsid w:val="002C08FD"/>
    <w:rsid w:val="002C0952"/>
    <w:rsid w:val="002C0A1C"/>
    <w:rsid w:val="002C0C3C"/>
    <w:rsid w:val="002C103A"/>
    <w:rsid w:val="002C120A"/>
    <w:rsid w:val="002C16DE"/>
    <w:rsid w:val="002C188F"/>
    <w:rsid w:val="002C1B07"/>
    <w:rsid w:val="002C1B70"/>
    <w:rsid w:val="002C1E2D"/>
    <w:rsid w:val="002C2064"/>
    <w:rsid w:val="002C279F"/>
    <w:rsid w:val="002C28F1"/>
    <w:rsid w:val="002C299C"/>
    <w:rsid w:val="002C2E24"/>
    <w:rsid w:val="002C2FD2"/>
    <w:rsid w:val="002C3104"/>
    <w:rsid w:val="002C3863"/>
    <w:rsid w:val="002C3B8E"/>
    <w:rsid w:val="002C3BDF"/>
    <w:rsid w:val="002C3E18"/>
    <w:rsid w:val="002C3F70"/>
    <w:rsid w:val="002C4519"/>
    <w:rsid w:val="002C45AC"/>
    <w:rsid w:val="002C4625"/>
    <w:rsid w:val="002C46C1"/>
    <w:rsid w:val="002C4D9A"/>
    <w:rsid w:val="002C4FB1"/>
    <w:rsid w:val="002C50BE"/>
    <w:rsid w:val="002C53C6"/>
    <w:rsid w:val="002C54C3"/>
    <w:rsid w:val="002C5509"/>
    <w:rsid w:val="002C5808"/>
    <w:rsid w:val="002C5DEA"/>
    <w:rsid w:val="002C6076"/>
    <w:rsid w:val="002C60D3"/>
    <w:rsid w:val="002C6259"/>
    <w:rsid w:val="002C629E"/>
    <w:rsid w:val="002C647F"/>
    <w:rsid w:val="002C69C8"/>
    <w:rsid w:val="002C6FD7"/>
    <w:rsid w:val="002C6FDF"/>
    <w:rsid w:val="002C767A"/>
    <w:rsid w:val="002C7822"/>
    <w:rsid w:val="002C7A5F"/>
    <w:rsid w:val="002C7A73"/>
    <w:rsid w:val="002C7F6A"/>
    <w:rsid w:val="002D0241"/>
    <w:rsid w:val="002D04A8"/>
    <w:rsid w:val="002D04D3"/>
    <w:rsid w:val="002D06D9"/>
    <w:rsid w:val="002D078E"/>
    <w:rsid w:val="002D0C1E"/>
    <w:rsid w:val="002D0D1C"/>
    <w:rsid w:val="002D0D82"/>
    <w:rsid w:val="002D0F43"/>
    <w:rsid w:val="002D0F79"/>
    <w:rsid w:val="002D1276"/>
    <w:rsid w:val="002D1A32"/>
    <w:rsid w:val="002D1BAA"/>
    <w:rsid w:val="002D2092"/>
    <w:rsid w:val="002D2322"/>
    <w:rsid w:val="002D280A"/>
    <w:rsid w:val="002D29E5"/>
    <w:rsid w:val="002D2D59"/>
    <w:rsid w:val="002D2EF5"/>
    <w:rsid w:val="002D2F0E"/>
    <w:rsid w:val="002D30B5"/>
    <w:rsid w:val="002D3293"/>
    <w:rsid w:val="002D3387"/>
    <w:rsid w:val="002D3D23"/>
    <w:rsid w:val="002D3ED3"/>
    <w:rsid w:val="002D41F7"/>
    <w:rsid w:val="002D425A"/>
    <w:rsid w:val="002D44B0"/>
    <w:rsid w:val="002D450F"/>
    <w:rsid w:val="002D481B"/>
    <w:rsid w:val="002D4953"/>
    <w:rsid w:val="002D4B4E"/>
    <w:rsid w:val="002D4EFA"/>
    <w:rsid w:val="002D5234"/>
    <w:rsid w:val="002D52E3"/>
    <w:rsid w:val="002D5487"/>
    <w:rsid w:val="002D5CCF"/>
    <w:rsid w:val="002D5D6B"/>
    <w:rsid w:val="002D5FAC"/>
    <w:rsid w:val="002D611E"/>
    <w:rsid w:val="002D620C"/>
    <w:rsid w:val="002D62C7"/>
    <w:rsid w:val="002D6406"/>
    <w:rsid w:val="002D65C9"/>
    <w:rsid w:val="002D6615"/>
    <w:rsid w:val="002D6736"/>
    <w:rsid w:val="002D6781"/>
    <w:rsid w:val="002D67CA"/>
    <w:rsid w:val="002D688B"/>
    <w:rsid w:val="002D698B"/>
    <w:rsid w:val="002D6A0A"/>
    <w:rsid w:val="002D6A4D"/>
    <w:rsid w:val="002D6A65"/>
    <w:rsid w:val="002D6D33"/>
    <w:rsid w:val="002D6DDF"/>
    <w:rsid w:val="002D7054"/>
    <w:rsid w:val="002D7BB5"/>
    <w:rsid w:val="002D7D10"/>
    <w:rsid w:val="002D7D19"/>
    <w:rsid w:val="002D7EEE"/>
    <w:rsid w:val="002E01BF"/>
    <w:rsid w:val="002E01C4"/>
    <w:rsid w:val="002E0662"/>
    <w:rsid w:val="002E0AC7"/>
    <w:rsid w:val="002E0DF0"/>
    <w:rsid w:val="002E118B"/>
    <w:rsid w:val="002E1828"/>
    <w:rsid w:val="002E1B8E"/>
    <w:rsid w:val="002E1C7C"/>
    <w:rsid w:val="002E2062"/>
    <w:rsid w:val="002E278E"/>
    <w:rsid w:val="002E2B9D"/>
    <w:rsid w:val="002E2F7E"/>
    <w:rsid w:val="002E3143"/>
    <w:rsid w:val="002E3250"/>
    <w:rsid w:val="002E3362"/>
    <w:rsid w:val="002E33F9"/>
    <w:rsid w:val="002E349F"/>
    <w:rsid w:val="002E358C"/>
    <w:rsid w:val="002E37AA"/>
    <w:rsid w:val="002E3CD4"/>
    <w:rsid w:val="002E3DCF"/>
    <w:rsid w:val="002E3E4A"/>
    <w:rsid w:val="002E3F14"/>
    <w:rsid w:val="002E451D"/>
    <w:rsid w:val="002E470B"/>
    <w:rsid w:val="002E48A3"/>
    <w:rsid w:val="002E49AE"/>
    <w:rsid w:val="002E4A05"/>
    <w:rsid w:val="002E4B52"/>
    <w:rsid w:val="002E4BC3"/>
    <w:rsid w:val="002E4CAA"/>
    <w:rsid w:val="002E4D01"/>
    <w:rsid w:val="002E4D41"/>
    <w:rsid w:val="002E4E7B"/>
    <w:rsid w:val="002E579F"/>
    <w:rsid w:val="002E5945"/>
    <w:rsid w:val="002E5AF4"/>
    <w:rsid w:val="002E5DE6"/>
    <w:rsid w:val="002E60AE"/>
    <w:rsid w:val="002E6190"/>
    <w:rsid w:val="002E6347"/>
    <w:rsid w:val="002E64EB"/>
    <w:rsid w:val="002E6CF0"/>
    <w:rsid w:val="002E6FB6"/>
    <w:rsid w:val="002E7043"/>
    <w:rsid w:val="002E70DB"/>
    <w:rsid w:val="002E7279"/>
    <w:rsid w:val="002E7943"/>
    <w:rsid w:val="002E7992"/>
    <w:rsid w:val="002E7A8F"/>
    <w:rsid w:val="002E7CB9"/>
    <w:rsid w:val="002E7D8F"/>
    <w:rsid w:val="002F0525"/>
    <w:rsid w:val="002F07F7"/>
    <w:rsid w:val="002F080B"/>
    <w:rsid w:val="002F0AB6"/>
    <w:rsid w:val="002F1301"/>
    <w:rsid w:val="002F1428"/>
    <w:rsid w:val="002F1468"/>
    <w:rsid w:val="002F163E"/>
    <w:rsid w:val="002F1726"/>
    <w:rsid w:val="002F1897"/>
    <w:rsid w:val="002F190B"/>
    <w:rsid w:val="002F1A3E"/>
    <w:rsid w:val="002F1BB1"/>
    <w:rsid w:val="002F1EF8"/>
    <w:rsid w:val="002F232B"/>
    <w:rsid w:val="002F256C"/>
    <w:rsid w:val="002F2B0E"/>
    <w:rsid w:val="002F2D65"/>
    <w:rsid w:val="002F2E6F"/>
    <w:rsid w:val="002F301F"/>
    <w:rsid w:val="002F3096"/>
    <w:rsid w:val="002F309A"/>
    <w:rsid w:val="002F35B4"/>
    <w:rsid w:val="002F37D7"/>
    <w:rsid w:val="002F3891"/>
    <w:rsid w:val="002F3EFA"/>
    <w:rsid w:val="002F4659"/>
    <w:rsid w:val="002F4738"/>
    <w:rsid w:val="002F49C8"/>
    <w:rsid w:val="002F4F30"/>
    <w:rsid w:val="002F4F63"/>
    <w:rsid w:val="002F5046"/>
    <w:rsid w:val="002F5133"/>
    <w:rsid w:val="002F54F6"/>
    <w:rsid w:val="002F556F"/>
    <w:rsid w:val="002F5676"/>
    <w:rsid w:val="002F5DAF"/>
    <w:rsid w:val="002F5F67"/>
    <w:rsid w:val="002F60A6"/>
    <w:rsid w:val="002F6127"/>
    <w:rsid w:val="002F6534"/>
    <w:rsid w:val="002F6983"/>
    <w:rsid w:val="002F6B2F"/>
    <w:rsid w:val="002F6BCB"/>
    <w:rsid w:val="002F6C8B"/>
    <w:rsid w:val="002F6E32"/>
    <w:rsid w:val="002F70B7"/>
    <w:rsid w:val="002F711B"/>
    <w:rsid w:val="002F7436"/>
    <w:rsid w:val="002F769D"/>
    <w:rsid w:val="002F7C5B"/>
    <w:rsid w:val="002F7DE1"/>
    <w:rsid w:val="0030007F"/>
    <w:rsid w:val="00300779"/>
    <w:rsid w:val="003007DD"/>
    <w:rsid w:val="00300826"/>
    <w:rsid w:val="00300A48"/>
    <w:rsid w:val="00300AF8"/>
    <w:rsid w:val="00300CEA"/>
    <w:rsid w:val="00300D5F"/>
    <w:rsid w:val="003010A0"/>
    <w:rsid w:val="00301176"/>
    <w:rsid w:val="00301330"/>
    <w:rsid w:val="00301E7D"/>
    <w:rsid w:val="00302194"/>
    <w:rsid w:val="003025E9"/>
    <w:rsid w:val="0030291C"/>
    <w:rsid w:val="00302E26"/>
    <w:rsid w:val="00302E8B"/>
    <w:rsid w:val="003036B7"/>
    <w:rsid w:val="00303946"/>
    <w:rsid w:val="00303E2A"/>
    <w:rsid w:val="00304548"/>
    <w:rsid w:val="00304662"/>
    <w:rsid w:val="003048B7"/>
    <w:rsid w:val="00304A27"/>
    <w:rsid w:val="00304B8E"/>
    <w:rsid w:val="00304CFB"/>
    <w:rsid w:val="00304EF6"/>
    <w:rsid w:val="00305269"/>
    <w:rsid w:val="0030535E"/>
    <w:rsid w:val="00305583"/>
    <w:rsid w:val="00305748"/>
    <w:rsid w:val="00305749"/>
    <w:rsid w:val="00305836"/>
    <w:rsid w:val="00305C69"/>
    <w:rsid w:val="00306057"/>
    <w:rsid w:val="00306280"/>
    <w:rsid w:val="003064E0"/>
    <w:rsid w:val="00306A92"/>
    <w:rsid w:val="00306E6E"/>
    <w:rsid w:val="00306FDD"/>
    <w:rsid w:val="00307250"/>
    <w:rsid w:val="0030779F"/>
    <w:rsid w:val="003078F8"/>
    <w:rsid w:val="003079DA"/>
    <w:rsid w:val="00307BDD"/>
    <w:rsid w:val="00307E63"/>
    <w:rsid w:val="00307EFB"/>
    <w:rsid w:val="00307F43"/>
    <w:rsid w:val="00307F6E"/>
    <w:rsid w:val="00310021"/>
    <w:rsid w:val="00310125"/>
    <w:rsid w:val="00310249"/>
    <w:rsid w:val="00310308"/>
    <w:rsid w:val="00310748"/>
    <w:rsid w:val="003107E2"/>
    <w:rsid w:val="00310E51"/>
    <w:rsid w:val="00310F66"/>
    <w:rsid w:val="00311406"/>
    <w:rsid w:val="0031144B"/>
    <w:rsid w:val="003114C5"/>
    <w:rsid w:val="0031176F"/>
    <w:rsid w:val="0031188B"/>
    <w:rsid w:val="00311C25"/>
    <w:rsid w:val="00311DC2"/>
    <w:rsid w:val="00311E10"/>
    <w:rsid w:val="0031204E"/>
    <w:rsid w:val="003122B2"/>
    <w:rsid w:val="003122D0"/>
    <w:rsid w:val="0031251C"/>
    <w:rsid w:val="003125C6"/>
    <w:rsid w:val="003125F2"/>
    <w:rsid w:val="00312609"/>
    <w:rsid w:val="00312E0F"/>
    <w:rsid w:val="00313331"/>
    <w:rsid w:val="00313721"/>
    <w:rsid w:val="0031375C"/>
    <w:rsid w:val="00313D8B"/>
    <w:rsid w:val="00313FE3"/>
    <w:rsid w:val="00314065"/>
    <w:rsid w:val="003140A1"/>
    <w:rsid w:val="00314243"/>
    <w:rsid w:val="00315035"/>
    <w:rsid w:val="00315092"/>
    <w:rsid w:val="0031552F"/>
    <w:rsid w:val="00315595"/>
    <w:rsid w:val="00315673"/>
    <w:rsid w:val="00315A2C"/>
    <w:rsid w:val="00315B30"/>
    <w:rsid w:val="00315C50"/>
    <w:rsid w:val="00315E29"/>
    <w:rsid w:val="003160AE"/>
    <w:rsid w:val="003162E2"/>
    <w:rsid w:val="003162FB"/>
    <w:rsid w:val="003164A2"/>
    <w:rsid w:val="00316A2A"/>
    <w:rsid w:val="00316BBC"/>
    <w:rsid w:val="00316EBB"/>
    <w:rsid w:val="00316ED9"/>
    <w:rsid w:val="00316EF5"/>
    <w:rsid w:val="0031704D"/>
    <w:rsid w:val="00317672"/>
    <w:rsid w:val="0031789A"/>
    <w:rsid w:val="00317A8F"/>
    <w:rsid w:val="00320155"/>
    <w:rsid w:val="00320387"/>
    <w:rsid w:val="0032043F"/>
    <w:rsid w:val="003205D1"/>
    <w:rsid w:val="003207AC"/>
    <w:rsid w:val="003208CF"/>
    <w:rsid w:val="003208D6"/>
    <w:rsid w:val="003208F6"/>
    <w:rsid w:val="00321040"/>
    <w:rsid w:val="003210FE"/>
    <w:rsid w:val="003212CF"/>
    <w:rsid w:val="00321AB7"/>
    <w:rsid w:val="00321BCF"/>
    <w:rsid w:val="00321C47"/>
    <w:rsid w:val="00321D07"/>
    <w:rsid w:val="00321D11"/>
    <w:rsid w:val="003220AF"/>
    <w:rsid w:val="003220FD"/>
    <w:rsid w:val="00322109"/>
    <w:rsid w:val="0032239B"/>
    <w:rsid w:val="00322403"/>
    <w:rsid w:val="00322578"/>
    <w:rsid w:val="003229FE"/>
    <w:rsid w:val="00322A56"/>
    <w:rsid w:val="00322E27"/>
    <w:rsid w:val="00322E4A"/>
    <w:rsid w:val="003233C9"/>
    <w:rsid w:val="0032349B"/>
    <w:rsid w:val="0032385E"/>
    <w:rsid w:val="00323B3E"/>
    <w:rsid w:val="003243E0"/>
    <w:rsid w:val="00324624"/>
    <w:rsid w:val="00324633"/>
    <w:rsid w:val="00324C97"/>
    <w:rsid w:val="00324CC0"/>
    <w:rsid w:val="00324D9B"/>
    <w:rsid w:val="00325052"/>
    <w:rsid w:val="0032505F"/>
    <w:rsid w:val="0032523F"/>
    <w:rsid w:val="00325449"/>
    <w:rsid w:val="00325706"/>
    <w:rsid w:val="0032577A"/>
    <w:rsid w:val="00325CE8"/>
    <w:rsid w:val="00325D51"/>
    <w:rsid w:val="00325EA2"/>
    <w:rsid w:val="00326034"/>
    <w:rsid w:val="00326348"/>
    <w:rsid w:val="00326835"/>
    <w:rsid w:val="00326A68"/>
    <w:rsid w:val="00326BDC"/>
    <w:rsid w:val="00326EC9"/>
    <w:rsid w:val="003274E4"/>
    <w:rsid w:val="00327679"/>
    <w:rsid w:val="00327A40"/>
    <w:rsid w:val="00327A6F"/>
    <w:rsid w:val="00327AB0"/>
    <w:rsid w:val="00327BA3"/>
    <w:rsid w:val="00327C49"/>
    <w:rsid w:val="00327E54"/>
    <w:rsid w:val="00330101"/>
    <w:rsid w:val="00330186"/>
    <w:rsid w:val="003307CD"/>
    <w:rsid w:val="00330837"/>
    <w:rsid w:val="00330954"/>
    <w:rsid w:val="00330A4A"/>
    <w:rsid w:val="00330F17"/>
    <w:rsid w:val="00331236"/>
    <w:rsid w:val="003314AA"/>
    <w:rsid w:val="003316FC"/>
    <w:rsid w:val="00331D9F"/>
    <w:rsid w:val="00331DF4"/>
    <w:rsid w:val="00331EE2"/>
    <w:rsid w:val="003322F0"/>
    <w:rsid w:val="0033238B"/>
    <w:rsid w:val="003324C3"/>
    <w:rsid w:val="003326A7"/>
    <w:rsid w:val="0033279B"/>
    <w:rsid w:val="00332ADB"/>
    <w:rsid w:val="00332DE7"/>
    <w:rsid w:val="003334D5"/>
    <w:rsid w:val="00333856"/>
    <w:rsid w:val="00333928"/>
    <w:rsid w:val="00333A85"/>
    <w:rsid w:val="00333BCC"/>
    <w:rsid w:val="00333C35"/>
    <w:rsid w:val="00333E84"/>
    <w:rsid w:val="00333EDE"/>
    <w:rsid w:val="00333F13"/>
    <w:rsid w:val="00333F2A"/>
    <w:rsid w:val="003341EF"/>
    <w:rsid w:val="003344B7"/>
    <w:rsid w:val="003345E3"/>
    <w:rsid w:val="00334763"/>
    <w:rsid w:val="00334813"/>
    <w:rsid w:val="00334C10"/>
    <w:rsid w:val="00334CC0"/>
    <w:rsid w:val="00334CD4"/>
    <w:rsid w:val="00334D84"/>
    <w:rsid w:val="00334DD2"/>
    <w:rsid w:val="00334ED9"/>
    <w:rsid w:val="00334EEC"/>
    <w:rsid w:val="003350DE"/>
    <w:rsid w:val="003352A3"/>
    <w:rsid w:val="003353BA"/>
    <w:rsid w:val="00335779"/>
    <w:rsid w:val="00335867"/>
    <w:rsid w:val="00336080"/>
    <w:rsid w:val="00336289"/>
    <w:rsid w:val="00336299"/>
    <w:rsid w:val="0033643E"/>
    <w:rsid w:val="0033652A"/>
    <w:rsid w:val="003366CB"/>
    <w:rsid w:val="003367A5"/>
    <w:rsid w:val="00336EA4"/>
    <w:rsid w:val="00336ED3"/>
    <w:rsid w:val="00336F5A"/>
    <w:rsid w:val="00336FA3"/>
    <w:rsid w:val="00337089"/>
    <w:rsid w:val="00337449"/>
    <w:rsid w:val="00337589"/>
    <w:rsid w:val="003375CC"/>
    <w:rsid w:val="00337803"/>
    <w:rsid w:val="003378D6"/>
    <w:rsid w:val="00337D3E"/>
    <w:rsid w:val="00337EE1"/>
    <w:rsid w:val="00337F9A"/>
    <w:rsid w:val="00337FDC"/>
    <w:rsid w:val="00340437"/>
    <w:rsid w:val="0034081D"/>
    <w:rsid w:val="003408AA"/>
    <w:rsid w:val="00340C52"/>
    <w:rsid w:val="00340DA4"/>
    <w:rsid w:val="00341007"/>
    <w:rsid w:val="003410B9"/>
    <w:rsid w:val="003414F8"/>
    <w:rsid w:val="0034150F"/>
    <w:rsid w:val="00341A27"/>
    <w:rsid w:val="00341DF4"/>
    <w:rsid w:val="00342044"/>
    <w:rsid w:val="0034209D"/>
    <w:rsid w:val="003420FF"/>
    <w:rsid w:val="003426FB"/>
    <w:rsid w:val="00342CAA"/>
    <w:rsid w:val="00342E93"/>
    <w:rsid w:val="00342F5B"/>
    <w:rsid w:val="0034334B"/>
    <w:rsid w:val="00343376"/>
    <w:rsid w:val="00343536"/>
    <w:rsid w:val="00343947"/>
    <w:rsid w:val="00343E1A"/>
    <w:rsid w:val="00343E85"/>
    <w:rsid w:val="003440E4"/>
    <w:rsid w:val="00344256"/>
    <w:rsid w:val="003445F8"/>
    <w:rsid w:val="003447D5"/>
    <w:rsid w:val="00344A7C"/>
    <w:rsid w:val="0034503D"/>
    <w:rsid w:val="003450A6"/>
    <w:rsid w:val="003450FB"/>
    <w:rsid w:val="00345388"/>
    <w:rsid w:val="0034566A"/>
    <w:rsid w:val="00345811"/>
    <w:rsid w:val="00345A26"/>
    <w:rsid w:val="00345A40"/>
    <w:rsid w:val="00345D7A"/>
    <w:rsid w:val="0034615C"/>
    <w:rsid w:val="0034654B"/>
    <w:rsid w:val="00346A3D"/>
    <w:rsid w:val="00346C29"/>
    <w:rsid w:val="00346E61"/>
    <w:rsid w:val="00346F09"/>
    <w:rsid w:val="00347340"/>
    <w:rsid w:val="003473EC"/>
    <w:rsid w:val="0034789B"/>
    <w:rsid w:val="00347CF7"/>
    <w:rsid w:val="00347D6E"/>
    <w:rsid w:val="00347EBC"/>
    <w:rsid w:val="00350083"/>
    <w:rsid w:val="00350267"/>
    <w:rsid w:val="003506E7"/>
    <w:rsid w:val="00350728"/>
    <w:rsid w:val="00350AF6"/>
    <w:rsid w:val="00351059"/>
    <w:rsid w:val="003511BD"/>
    <w:rsid w:val="0035148C"/>
    <w:rsid w:val="00351587"/>
    <w:rsid w:val="003516EF"/>
    <w:rsid w:val="00351CBB"/>
    <w:rsid w:val="00351D48"/>
    <w:rsid w:val="00351DCE"/>
    <w:rsid w:val="00351DD3"/>
    <w:rsid w:val="00352403"/>
    <w:rsid w:val="003525D8"/>
    <w:rsid w:val="003526A4"/>
    <w:rsid w:val="003529DB"/>
    <w:rsid w:val="00352ACA"/>
    <w:rsid w:val="00352B89"/>
    <w:rsid w:val="00352F9A"/>
    <w:rsid w:val="00353177"/>
    <w:rsid w:val="0035325B"/>
    <w:rsid w:val="00353C01"/>
    <w:rsid w:val="00353DA0"/>
    <w:rsid w:val="00353F70"/>
    <w:rsid w:val="0035420A"/>
    <w:rsid w:val="00354600"/>
    <w:rsid w:val="00354774"/>
    <w:rsid w:val="00354C59"/>
    <w:rsid w:val="00355026"/>
    <w:rsid w:val="00355057"/>
    <w:rsid w:val="0035506C"/>
    <w:rsid w:val="003550C9"/>
    <w:rsid w:val="00355BAC"/>
    <w:rsid w:val="00355ED3"/>
    <w:rsid w:val="0035600F"/>
    <w:rsid w:val="00356334"/>
    <w:rsid w:val="0035649A"/>
    <w:rsid w:val="00356506"/>
    <w:rsid w:val="00356671"/>
    <w:rsid w:val="0035684F"/>
    <w:rsid w:val="00356A78"/>
    <w:rsid w:val="00356CF7"/>
    <w:rsid w:val="00356E8C"/>
    <w:rsid w:val="00357070"/>
    <w:rsid w:val="003570E7"/>
    <w:rsid w:val="00357161"/>
    <w:rsid w:val="003572CE"/>
    <w:rsid w:val="003574DC"/>
    <w:rsid w:val="003577AD"/>
    <w:rsid w:val="00360151"/>
    <w:rsid w:val="003601CD"/>
    <w:rsid w:val="0036046F"/>
    <w:rsid w:val="003605AC"/>
    <w:rsid w:val="00360628"/>
    <w:rsid w:val="00360A0C"/>
    <w:rsid w:val="00360A0D"/>
    <w:rsid w:val="00360AF7"/>
    <w:rsid w:val="0036124D"/>
    <w:rsid w:val="00361314"/>
    <w:rsid w:val="00361477"/>
    <w:rsid w:val="003616F0"/>
    <w:rsid w:val="003618C6"/>
    <w:rsid w:val="00361A75"/>
    <w:rsid w:val="00361CE2"/>
    <w:rsid w:val="00361ED5"/>
    <w:rsid w:val="00361F8C"/>
    <w:rsid w:val="0036203A"/>
    <w:rsid w:val="0036203B"/>
    <w:rsid w:val="00362150"/>
    <w:rsid w:val="003625B0"/>
    <w:rsid w:val="00362658"/>
    <w:rsid w:val="003628CA"/>
    <w:rsid w:val="00362AAB"/>
    <w:rsid w:val="00362FC3"/>
    <w:rsid w:val="00363161"/>
    <w:rsid w:val="00363634"/>
    <w:rsid w:val="003636D6"/>
    <w:rsid w:val="00363842"/>
    <w:rsid w:val="00363A97"/>
    <w:rsid w:val="00363C05"/>
    <w:rsid w:val="00363CE3"/>
    <w:rsid w:val="00363D5E"/>
    <w:rsid w:val="00363D7B"/>
    <w:rsid w:val="00363F63"/>
    <w:rsid w:val="00363FC9"/>
    <w:rsid w:val="00364453"/>
    <w:rsid w:val="00364739"/>
    <w:rsid w:val="003647FD"/>
    <w:rsid w:val="00364818"/>
    <w:rsid w:val="00364A6B"/>
    <w:rsid w:val="00364AFA"/>
    <w:rsid w:val="00364C10"/>
    <w:rsid w:val="00364EBD"/>
    <w:rsid w:val="00364EC8"/>
    <w:rsid w:val="00364F61"/>
    <w:rsid w:val="0036562C"/>
    <w:rsid w:val="00365A64"/>
    <w:rsid w:val="0036661E"/>
    <w:rsid w:val="003667C3"/>
    <w:rsid w:val="00366B6D"/>
    <w:rsid w:val="00366BA6"/>
    <w:rsid w:val="00366C1D"/>
    <w:rsid w:val="00366D4A"/>
    <w:rsid w:val="00366E06"/>
    <w:rsid w:val="00366FA2"/>
    <w:rsid w:val="00366FA7"/>
    <w:rsid w:val="00367124"/>
    <w:rsid w:val="003673DA"/>
    <w:rsid w:val="0036782B"/>
    <w:rsid w:val="00367AD8"/>
    <w:rsid w:val="00367B19"/>
    <w:rsid w:val="003700B5"/>
    <w:rsid w:val="00370642"/>
    <w:rsid w:val="00370869"/>
    <w:rsid w:val="0037087B"/>
    <w:rsid w:val="00370CD5"/>
    <w:rsid w:val="00370D65"/>
    <w:rsid w:val="00371069"/>
    <w:rsid w:val="00371134"/>
    <w:rsid w:val="00371575"/>
    <w:rsid w:val="003716AE"/>
    <w:rsid w:val="0037182C"/>
    <w:rsid w:val="00371AE1"/>
    <w:rsid w:val="00371B87"/>
    <w:rsid w:val="00371E02"/>
    <w:rsid w:val="00371EDD"/>
    <w:rsid w:val="00371F6E"/>
    <w:rsid w:val="003723B2"/>
    <w:rsid w:val="00372874"/>
    <w:rsid w:val="003729FE"/>
    <w:rsid w:val="00372CBA"/>
    <w:rsid w:val="0037319B"/>
    <w:rsid w:val="003732D3"/>
    <w:rsid w:val="003735E6"/>
    <w:rsid w:val="0037365E"/>
    <w:rsid w:val="0037388A"/>
    <w:rsid w:val="00373D35"/>
    <w:rsid w:val="0037405B"/>
    <w:rsid w:val="003740EF"/>
    <w:rsid w:val="00374406"/>
    <w:rsid w:val="0037442E"/>
    <w:rsid w:val="003744EF"/>
    <w:rsid w:val="0037454A"/>
    <w:rsid w:val="00374665"/>
    <w:rsid w:val="00374AF0"/>
    <w:rsid w:val="00374E72"/>
    <w:rsid w:val="003751D8"/>
    <w:rsid w:val="003753D7"/>
    <w:rsid w:val="003755C2"/>
    <w:rsid w:val="0037581D"/>
    <w:rsid w:val="003758D3"/>
    <w:rsid w:val="00375B13"/>
    <w:rsid w:val="00375B3B"/>
    <w:rsid w:val="00375B58"/>
    <w:rsid w:val="00375D8B"/>
    <w:rsid w:val="00376059"/>
    <w:rsid w:val="003761F4"/>
    <w:rsid w:val="0037644D"/>
    <w:rsid w:val="003764E3"/>
    <w:rsid w:val="003766DB"/>
    <w:rsid w:val="0037686C"/>
    <w:rsid w:val="00376AC9"/>
    <w:rsid w:val="00376B7F"/>
    <w:rsid w:val="003770F6"/>
    <w:rsid w:val="00377413"/>
    <w:rsid w:val="00377494"/>
    <w:rsid w:val="003775D7"/>
    <w:rsid w:val="00377C36"/>
    <w:rsid w:val="00380078"/>
    <w:rsid w:val="003800A5"/>
    <w:rsid w:val="003801B7"/>
    <w:rsid w:val="00380360"/>
    <w:rsid w:val="00380471"/>
    <w:rsid w:val="003804C8"/>
    <w:rsid w:val="00380514"/>
    <w:rsid w:val="003805F3"/>
    <w:rsid w:val="00381415"/>
    <w:rsid w:val="003816ED"/>
    <w:rsid w:val="00381BA8"/>
    <w:rsid w:val="00381BC2"/>
    <w:rsid w:val="00381C9F"/>
    <w:rsid w:val="00381D7B"/>
    <w:rsid w:val="00381EC0"/>
    <w:rsid w:val="00382247"/>
    <w:rsid w:val="00382255"/>
    <w:rsid w:val="0038247F"/>
    <w:rsid w:val="0038253D"/>
    <w:rsid w:val="00383321"/>
    <w:rsid w:val="00383797"/>
    <w:rsid w:val="003837DD"/>
    <w:rsid w:val="003837F5"/>
    <w:rsid w:val="00383A49"/>
    <w:rsid w:val="00383AD7"/>
    <w:rsid w:val="003841DB"/>
    <w:rsid w:val="00384352"/>
    <w:rsid w:val="00384444"/>
    <w:rsid w:val="00384487"/>
    <w:rsid w:val="003844B6"/>
    <w:rsid w:val="0038461A"/>
    <w:rsid w:val="0038474E"/>
    <w:rsid w:val="003847AD"/>
    <w:rsid w:val="0038481D"/>
    <w:rsid w:val="00384D2A"/>
    <w:rsid w:val="003851D3"/>
    <w:rsid w:val="00385232"/>
    <w:rsid w:val="003852E9"/>
    <w:rsid w:val="00385A0C"/>
    <w:rsid w:val="00385A80"/>
    <w:rsid w:val="00385DFE"/>
    <w:rsid w:val="00386027"/>
    <w:rsid w:val="0038602F"/>
    <w:rsid w:val="0038695D"/>
    <w:rsid w:val="00386D76"/>
    <w:rsid w:val="00387073"/>
    <w:rsid w:val="00387105"/>
    <w:rsid w:val="00387347"/>
    <w:rsid w:val="00387350"/>
    <w:rsid w:val="00387595"/>
    <w:rsid w:val="003875C9"/>
    <w:rsid w:val="00387A86"/>
    <w:rsid w:val="0039043C"/>
    <w:rsid w:val="0039043F"/>
    <w:rsid w:val="003905F0"/>
    <w:rsid w:val="00390835"/>
    <w:rsid w:val="003908D4"/>
    <w:rsid w:val="003908DE"/>
    <w:rsid w:val="003909B8"/>
    <w:rsid w:val="00390BA7"/>
    <w:rsid w:val="003912AC"/>
    <w:rsid w:val="00391458"/>
    <w:rsid w:val="003914C0"/>
    <w:rsid w:val="003918C2"/>
    <w:rsid w:val="003919C1"/>
    <w:rsid w:val="00391AEE"/>
    <w:rsid w:val="00391BC4"/>
    <w:rsid w:val="00391CC2"/>
    <w:rsid w:val="00391D72"/>
    <w:rsid w:val="003920EE"/>
    <w:rsid w:val="0039241B"/>
    <w:rsid w:val="00392734"/>
    <w:rsid w:val="003927DB"/>
    <w:rsid w:val="0039290E"/>
    <w:rsid w:val="0039295D"/>
    <w:rsid w:val="00392987"/>
    <w:rsid w:val="003929DF"/>
    <w:rsid w:val="00392BB9"/>
    <w:rsid w:val="00392EA9"/>
    <w:rsid w:val="00392F43"/>
    <w:rsid w:val="003933AD"/>
    <w:rsid w:val="003934D0"/>
    <w:rsid w:val="003935B3"/>
    <w:rsid w:val="00393796"/>
    <w:rsid w:val="00393CC1"/>
    <w:rsid w:val="00394054"/>
    <w:rsid w:val="003943CC"/>
    <w:rsid w:val="00394455"/>
    <w:rsid w:val="003944E4"/>
    <w:rsid w:val="00394624"/>
    <w:rsid w:val="00394976"/>
    <w:rsid w:val="00394A32"/>
    <w:rsid w:val="00394A65"/>
    <w:rsid w:val="00394AE3"/>
    <w:rsid w:val="00394CFD"/>
    <w:rsid w:val="00394FD8"/>
    <w:rsid w:val="00395008"/>
    <w:rsid w:val="00395372"/>
    <w:rsid w:val="003954F9"/>
    <w:rsid w:val="00395755"/>
    <w:rsid w:val="00395909"/>
    <w:rsid w:val="00395A08"/>
    <w:rsid w:val="00395CCE"/>
    <w:rsid w:val="00395E23"/>
    <w:rsid w:val="00396269"/>
    <w:rsid w:val="00396427"/>
    <w:rsid w:val="0039663C"/>
    <w:rsid w:val="003967B6"/>
    <w:rsid w:val="00396848"/>
    <w:rsid w:val="00396991"/>
    <w:rsid w:val="00396A6A"/>
    <w:rsid w:val="00396B1B"/>
    <w:rsid w:val="00396B57"/>
    <w:rsid w:val="00396CAB"/>
    <w:rsid w:val="00396D74"/>
    <w:rsid w:val="00396F35"/>
    <w:rsid w:val="0039705D"/>
    <w:rsid w:val="00397225"/>
    <w:rsid w:val="003972BB"/>
    <w:rsid w:val="003978CD"/>
    <w:rsid w:val="0039791C"/>
    <w:rsid w:val="00397B05"/>
    <w:rsid w:val="00397B93"/>
    <w:rsid w:val="00397BFE"/>
    <w:rsid w:val="00397F2A"/>
    <w:rsid w:val="003A0294"/>
    <w:rsid w:val="003A03B0"/>
    <w:rsid w:val="003A03FB"/>
    <w:rsid w:val="003A067B"/>
    <w:rsid w:val="003A0862"/>
    <w:rsid w:val="003A0950"/>
    <w:rsid w:val="003A0B24"/>
    <w:rsid w:val="003A0C04"/>
    <w:rsid w:val="003A0FEA"/>
    <w:rsid w:val="003A1375"/>
    <w:rsid w:val="003A16DB"/>
    <w:rsid w:val="003A17A6"/>
    <w:rsid w:val="003A1B8C"/>
    <w:rsid w:val="003A20B5"/>
    <w:rsid w:val="003A23B5"/>
    <w:rsid w:val="003A251A"/>
    <w:rsid w:val="003A289D"/>
    <w:rsid w:val="003A2925"/>
    <w:rsid w:val="003A29F7"/>
    <w:rsid w:val="003A305B"/>
    <w:rsid w:val="003A3254"/>
    <w:rsid w:val="003A3302"/>
    <w:rsid w:val="003A3383"/>
    <w:rsid w:val="003A35EB"/>
    <w:rsid w:val="003A3884"/>
    <w:rsid w:val="003A3BF7"/>
    <w:rsid w:val="003A3D31"/>
    <w:rsid w:val="003A4603"/>
    <w:rsid w:val="003A4640"/>
    <w:rsid w:val="003A4891"/>
    <w:rsid w:val="003A4CDE"/>
    <w:rsid w:val="003A4E1E"/>
    <w:rsid w:val="003A4E96"/>
    <w:rsid w:val="003A5258"/>
    <w:rsid w:val="003A5449"/>
    <w:rsid w:val="003A5593"/>
    <w:rsid w:val="003A5A1A"/>
    <w:rsid w:val="003A5C5C"/>
    <w:rsid w:val="003A5CCE"/>
    <w:rsid w:val="003A5F81"/>
    <w:rsid w:val="003A6085"/>
    <w:rsid w:val="003A6883"/>
    <w:rsid w:val="003A699E"/>
    <w:rsid w:val="003A6EAF"/>
    <w:rsid w:val="003A6EDD"/>
    <w:rsid w:val="003A75E5"/>
    <w:rsid w:val="003A770E"/>
    <w:rsid w:val="003A7793"/>
    <w:rsid w:val="003A784C"/>
    <w:rsid w:val="003A7907"/>
    <w:rsid w:val="003A7987"/>
    <w:rsid w:val="003A7C82"/>
    <w:rsid w:val="003A7CB4"/>
    <w:rsid w:val="003A7D79"/>
    <w:rsid w:val="003B003B"/>
    <w:rsid w:val="003B010C"/>
    <w:rsid w:val="003B02EF"/>
    <w:rsid w:val="003B048A"/>
    <w:rsid w:val="003B0506"/>
    <w:rsid w:val="003B0627"/>
    <w:rsid w:val="003B06BC"/>
    <w:rsid w:val="003B0901"/>
    <w:rsid w:val="003B0AE9"/>
    <w:rsid w:val="003B0B11"/>
    <w:rsid w:val="003B0DF4"/>
    <w:rsid w:val="003B0E75"/>
    <w:rsid w:val="003B1121"/>
    <w:rsid w:val="003B1700"/>
    <w:rsid w:val="003B1737"/>
    <w:rsid w:val="003B17C7"/>
    <w:rsid w:val="003B1886"/>
    <w:rsid w:val="003B1982"/>
    <w:rsid w:val="003B1A68"/>
    <w:rsid w:val="003B1B87"/>
    <w:rsid w:val="003B1CC4"/>
    <w:rsid w:val="003B1F69"/>
    <w:rsid w:val="003B2345"/>
    <w:rsid w:val="003B2439"/>
    <w:rsid w:val="003B24A4"/>
    <w:rsid w:val="003B258B"/>
    <w:rsid w:val="003B26B4"/>
    <w:rsid w:val="003B26B9"/>
    <w:rsid w:val="003B2825"/>
    <w:rsid w:val="003B2977"/>
    <w:rsid w:val="003B2C3C"/>
    <w:rsid w:val="003B2D78"/>
    <w:rsid w:val="003B30CC"/>
    <w:rsid w:val="003B3453"/>
    <w:rsid w:val="003B36F7"/>
    <w:rsid w:val="003B394C"/>
    <w:rsid w:val="003B3E0A"/>
    <w:rsid w:val="003B40FF"/>
    <w:rsid w:val="003B41C4"/>
    <w:rsid w:val="003B48E8"/>
    <w:rsid w:val="003B4A0F"/>
    <w:rsid w:val="003B4A59"/>
    <w:rsid w:val="003B4BF2"/>
    <w:rsid w:val="003B4DEA"/>
    <w:rsid w:val="003B5217"/>
    <w:rsid w:val="003B547F"/>
    <w:rsid w:val="003B5621"/>
    <w:rsid w:val="003B5C29"/>
    <w:rsid w:val="003B5EE8"/>
    <w:rsid w:val="003B6033"/>
    <w:rsid w:val="003B627C"/>
    <w:rsid w:val="003B6384"/>
    <w:rsid w:val="003B64D1"/>
    <w:rsid w:val="003B655A"/>
    <w:rsid w:val="003B6962"/>
    <w:rsid w:val="003B6975"/>
    <w:rsid w:val="003B69EF"/>
    <w:rsid w:val="003B6A4F"/>
    <w:rsid w:val="003B6BEF"/>
    <w:rsid w:val="003B6DF2"/>
    <w:rsid w:val="003B7295"/>
    <w:rsid w:val="003B72E1"/>
    <w:rsid w:val="003B730D"/>
    <w:rsid w:val="003B731E"/>
    <w:rsid w:val="003B73B2"/>
    <w:rsid w:val="003B74EC"/>
    <w:rsid w:val="003B76D4"/>
    <w:rsid w:val="003B7B54"/>
    <w:rsid w:val="003B7C25"/>
    <w:rsid w:val="003B7C48"/>
    <w:rsid w:val="003B7F61"/>
    <w:rsid w:val="003C001B"/>
    <w:rsid w:val="003C01F0"/>
    <w:rsid w:val="003C055B"/>
    <w:rsid w:val="003C0B50"/>
    <w:rsid w:val="003C0BD9"/>
    <w:rsid w:val="003C10AE"/>
    <w:rsid w:val="003C146C"/>
    <w:rsid w:val="003C1676"/>
    <w:rsid w:val="003C16C1"/>
    <w:rsid w:val="003C1DC3"/>
    <w:rsid w:val="003C21EE"/>
    <w:rsid w:val="003C26C9"/>
    <w:rsid w:val="003C27C7"/>
    <w:rsid w:val="003C29FE"/>
    <w:rsid w:val="003C2A00"/>
    <w:rsid w:val="003C2A8D"/>
    <w:rsid w:val="003C2B5F"/>
    <w:rsid w:val="003C2DBE"/>
    <w:rsid w:val="003C2F16"/>
    <w:rsid w:val="003C307B"/>
    <w:rsid w:val="003C3341"/>
    <w:rsid w:val="003C335B"/>
    <w:rsid w:val="003C36DE"/>
    <w:rsid w:val="003C3DBE"/>
    <w:rsid w:val="003C3EDE"/>
    <w:rsid w:val="003C3EE4"/>
    <w:rsid w:val="003C4367"/>
    <w:rsid w:val="003C440E"/>
    <w:rsid w:val="003C4436"/>
    <w:rsid w:val="003C4582"/>
    <w:rsid w:val="003C47E3"/>
    <w:rsid w:val="003C49FA"/>
    <w:rsid w:val="003C4E18"/>
    <w:rsid w:val="003C5058"/>
    <w:rsid w:val="003C516B"/>
    <w:rsid w:val="003C53E0"/>
    <w:rsid w:val="003C5404"/>
    <w:rsid w:val="003C5CF0"/>
    <w:rsid w:val="003C5F1E"/>
    <w:rsid w:val="003C6492"/>
    <w:rsid w:val="003C67E5"/>
    <w:rsid w:val="003C6B21"/>
    <w:rsid w:val="003C724C"/>
    <w:rsid w:val="003C7AF7"/>
    <w:rsid w:val="003C7B0C"/>
    <w:rsid w:val="003D008B"/>
    <w:rsid w:val="003D00E7"/>
    <w:rsid w:val="003D0426"/>
    <w:rsid w:val="003D074F"/>
    <w:rsid w:val="003D0948"/>
    <w:rsid w:val="003D0AA3"/>
    <w:rsid w:val="003D0E98"/>
    <w:rsid w:val="003D1026"/>
    <w:rsid w:val="003D107A"/>
    <w:rsid w:val="003D1094"/>
    <w:rsid w:val="003D1238"/>
    <w:rsid w:val="003D1341"/>
    <w:rsid w:val="003D13C8"/>
    <w:rsid w:val="003D16A0"/>
    <w:rsid w:val="003D1C12"/>
    <w:rsid w:val="003D230A"/>
    <w:rsid w:val="003D25FD"/>
    <w:rsid w:val="003D2967"/>
    <w:rsid w:val="003D2F08"/>
    <w:rsid w:val="003D3085"/>
    <w:rsid w:val="003D3A0C"/>
    <w:rsid w:val="003D3D5B"/>
    <w:rsid w:val="003D3E88"/>
    <w:rsid w:val="003D3E94"/>
    <w:rsid w:val="003D3ED8"/>
    <w:rsid w:val="003D3FC2"/>
    <w:rsid w:val="003D408A"/>
    <w:rsid w:val="003D4991"/>
    <w:rsid w:val="003D4D48"/>
    <w:rsid w:val="003D511C"/>
    <w:rsid w:val="003D539C"/>
    <w:rsid w:val="003D53CE"/>
    <w:rsid w:val="003D5549"/>
    <w:rsid w:val="003D55AE"/>
    <w:rsid w:val="003D5BF8"/>
    <w:rsid w:val="003D5C16"/>
    <w:rsid w:val="003D60E3"/>
    <w:rsid w:val="003D6203"/>
    <w:rsid w:val="003D62B8"/>
    <w:rsid w:val="003D6878"/>
    <w:rsid w:val="003D6B47"/>
    <w:rsid w:val="003D6D95"/>
    <w:rsid w:val="003D703F"/>
    <w:rsid w:val="003D71BA"/>
    <w:rsid w:val="003D72D6"/>
    <w:rsid w:val="003D7640"/>
    <w:rsid w:val="003D77C7"/>
    <w:rsid w:val="003D79B5"/>
    <w:rsid w:val="003D7A2A"/>
    <w:rsid w:val="003D7B04"/>
    <w:rsid w:val="003D7CF3"/>
    <w:rsid w:val="003E048F"/>
    <w:rsid w:val="003E056A"/>
    <w:rsid w:val="003E0795"/>
    <w:rsid w:val="003E0AA8"/>
    <w:rsid w:val="003E0F04"/>
    <w:rsid w:val="003E19D5"/>
    <w:rsid w:val="003E1D71"/>
    <w:rsid w:val="003E1EB7"/>
    <w:rsid w:val="003E20CE"/>
    <w:rsid w:val="003E2130"/>
    <w:rsid w:val="003E2199"/>
    <w:rsid w:val="003E22C6"/>
    <w:rsid w:val="003E235C"/>
    <w:rsid w:val="003E23C6"/>
    <w:rsid w:val="003E282F"/>
    <w:rsid w:val="003E2C01"/>
    <w:rsid w:val="003E2E03"/>
    <w:rsid w:val="003E2E52"/>
    <w:rsid w:val="003E337D"/>
    <w:rsid w:val="003E33D9"/>
    <w:rsid w:val="003E3650"/>
    <w:rsid w:val="003E36C1"/>
    <w:rsid w:val="003E36F2"/>
    <w:rsid w:val="003E38C3"/>
    <w:rsid w:val="003E3951"/>
    <w:rsid w:val="003E3A18"/>
    <w:rsid w:val="003E3B24"/>
    <w:rsid w:val="003E3C61"/>
    <w:rsid w:val="003E405B"/>
    <w:rsid w:val="003E4317"/>
    <w:rsid w:val="003E43BF"/>
    <w:rsid w:val="003E456C"/>
    <w:rsid w:val="003E4A8A"/>
    <w:rsid w:val="003E4EE2"/>
    <w:rsid w:val="003E500C"/>
    <w:rsid w:val="003E505B"/>
    <w:rsid w:val="003E524D"/>
    <w:rsid w:val="003E5443"/>
    <w:rsid w:val="003E5463"/>
    <w:rsid w:val="003E5922"/>
    <w:rsid w:val="003E59E1"/>
    <w:rsid w:val="003E5B32"/>
    <w:rsid w:val="003E5B43"/>
    <w:rsid w:val="003E5C7A"/>
    <w:rsid w:val="003E5D2B"/>
    <w:rsid w:val="003E5E3E"/>
    <w:rsid w:val="003E5FFC"/>
    <w:rsid w:val="003E62E2"/>
    <w:rsid w:val="003E648B"/>
    <w:rsid w:val="003E6A5D"/>
    <w:rsid w:val="003E6C32"/>
    <w:rsid w:val="003E70F3"/>
    <w:rsid w:val="003E716C"/>
    <w:rsid w:val="003E7308"/>
    <w:rsid w:val="003E7348"/>
    <w:rsid w:val="003E77FB"/>
    <w:rsid w:val="003E78B1"/>
    <w:rsid w:val="003E795D"/>
    <w:rsid w:val="003E7A5B"/>
    <w:rsid w:val="003E7FF9"/>
    <w:rsid w:val="003F004C"/>
    <w:rsid w:val="003F02DE"/>
    <w:rsid w:val="003F0405"/>
    <w:rsid w:val="003F04C8"/>
    <w:rsid w:val="003F061C"/>
    <w:rsid w:val="003F0808"/>
    <w:rsid w:val="003F0A9E"/>
    <w:rsid w:val="003F0CF1"/>
    <w:rsid w:val="003F0F53"/>
    <w:rsid w:val="003F1151"/>
    <w:rsid w:val="003F153F"/>
    <w:rsid w:val="003F16FF"/>
    <w:rsid w:val="003F1AD1"/>
    <w:rsid w:val="003F1B82"/>
    <w:rsid w:val="003F1BD1"/>
    <w:rsid w:val="003F1C31"/>
    <w:rsid w:val="003F1DCB"/>
    <w:rsid w:val="003F1E06"/>
    <w:rsid w:val="003F1ECB"/>
    <w:rsid w:val="003F2226"/>
    <w:rsid w:val="003F2450"/>
    <w:rsid w:val="003F2BB5"/>
    <w:rsid w:val="003F2C5A"/>
    <w:rsid w:val="003F2F8E"/>
    <w:rsid w:val="003F320E"/>
    <w:rsid w:val="003F3523"/>
    <w:rsid w:val="003F36DE"/>
    <w:rsid w:val="003F3D52"/>
    <w:rsid w:val="003F3D5D"/>
    <w:rsid w:val="003F3EE9"/>
    <w:rsid w:val="003F3FEF"/>
    <w:rsid w:val="003F4064"/>
    <w:rsid w:val="003F406C"/>
    <w:rsid w:val="003F41E6"/>
    <w:rsid w:val="003F4372"/>
    <w:rsid w:val="003F4542"/>
    <w:rsid w:val="003F4577"/>
    <w:rsid w:val="003F46D5"/>
    <w:rsid w:val="003F478D"/>
    <w:rsid w:val="003F4795"/>
    <w:rsid w:val="003F48BD"/>
    <w:rsid w:val="003F49B0"/>
    <w:rsid w:val="003F4B8F"/>
    <w:rsid w:val="003F5183"/>
    <w:rsid w:val="003F521B"/>
    <w:rsid w:val="003F5460"/>
    <w:rsid w:val="003F5805"/>
    <w:rsid w:val="003F5A0E"/>
    <w:rsid w:val="003F5C70"/>
    <w:rsid w:val="003F5E7E"/>
    <w:rsid w:val="003F6798"/>
    <w:rsid w:val="003F6BE8"/>
    <w:rsid w:val="003F6C80"/>
    <w:rsid w:val="003F6DFB"/>
    <w:rsid w:val="003F7101"/>
    <w:rsid w:val="003F72AB"/>
    <w:rsid w:val="003F72B9"/>
    <w:rsid w:val="003F7443"/>
    <w:rsid w:val="003F74C4"/>
    <w:rsid w:val="003F76DF"/>
    <w:rsid w:val="003F79D8"/>
    <w:rsid w:val="003F7A94"/>
    <w:rsid w:val="003F7AFF"/>
    <w:rsid w:val="003F7B6B"/>
    <w:rsid w:val="003F7B9C"/>
    <w:rsid w:val="003F7C72"/>
    <w:rsid w:val="003F7E80"/>
    <w:rsid w:val="0040018A"/>
    <w:rsid w:val="00400553"/>
    <w:rsid w:val="00400ED0"/>
    <w:rsid w:val="00400F2A"/>
    <w:rsid w:val="00400F69"/>
    <w:rsid w:val="004010C1"/>
    <w:rsid w:val="00401181"/>
    <w:rsid w:val="004018AA"/>
    <w:rsid w:val="00401F16"/>
    <w:rsid w:val="00401F85"/>
    <w:rsid w:val="004021AF"/>
    <w:rsid w:val="004026CC"/>
    <w:rsid w:val="00402A75"/>
    <w:rsid w:val="00402BF2"/>
    <w:rsid w:val="00402BFA"/>
    <w:rsid w:val="00402C2B"/>
    <w:rsid w:val="00402C80"/>
    <w:rsid w:val="00402D74"/>
    <w:rsid w:val="00402E9E"/>
    <w:rsid w:val="00402F19"/>
    <w:rsid w:val="00403187"/>
    <w:rsid w:val="00403696"/>
    <w:rsid w:val="0040416F"/>
    <w:rsid w:val="00404676"/>
    <w:rsid w:val="004046E7"/>
    <w:rsid w:val="00404897"/>
    <w:rsid w:val="004048FE"/>
    <w:rsid w:val="00404A7D"/>
    <w:rsid w:val="00404CF4"/>
    <w:rsid w:val="00404DBA"/>
    <w:rsid w:val="004050E2"/>
    <w:rsid w:val="00405204"/>
    <w:rsid w:val="004052C5"/>
    <w:rsid w:val="004053D8"/>
    <w:rsid w:val="00405551"/>
    <w:rsid w:val="00405555"/>
    <w:rsid w:val="00405734"/>
    <w:rsid w:val="00405A28"/>
    <w:rsid w:val="00405A5A"/>
    <w:rsid w:val="00405C07"/>
    <w:rsid w:val="00406030"/>
    <w:rsid w:val="00406967"/>
    <w:rsid w:val="00406A3B"/>
    <w:rsid w:val="004070E8"/>
    <w:rsid w:val="00407149"/>
    <w:rsid w:val="004071C9"/>
    <w:rsid w:val="00407322"/>
    <w:rsid w:val="0040759A"/>
    <w:rsid w:val="0040790B"/>
    <w:rsid w:val="0040793F"/>
    <w:rsid w:val="004079B7"/>
    <w:rsid w:val="00407ABD"/>
    <w:rsid w:val="00407FAE"/>
    <w:rsid w:val="004103F7"/>
    <w:rsid w:val="00410537"/>
    <w:rsid w:val="0041081C"/>
    <w:rsid w:val="00410A79"/>
    <w:rsid w:val="00410AD3"/>
    <w:rsid w:val="00410B0D"/>
    <w:rsid w:val="00410CF4"/>
    <w:rsid w:val="00410E0B"/>
    <w:rsid w:val="00410E73"/>
    <w:rsid w:val="00410E7B"/>
    <w:rsid w:val="004112F5"/>
    <w:rsid w:val="004114E6"/>
    <w:rsid w:val="00411659"/>
    <w:rsid w:val="00411A0D"/>
    <w:rsid w:val="00411A59"/>
    <w:rsid w:val="00411FB2"/>
    <w:rsid w:val="004122E9"/>
    <w:rsid w:val="00412331"/>
    <w:rsid w:val="004126EC"/>
    <w:rsid w:val="00412750"/>
    <w:rsid w:val="00412826"/>
    <w:rsid w:val="00412864"/>
    <w:rsid w:val="004128C2"/>
    <w:rsid w:val="00412970"/>
    <w:rsid w:val="004129A8"/>
    <w:rsid w:val="00412ADE"/>
    <w:rsid w:val="00412B22"/>
    <w:rsid w:val="00412D25"/>
    <w:rsid w:val="00412F2A"/>
    <w:rsid w:val="0041302D"/>
    <w:rsid w:val="00413382"/>
    <w:rsid w:val="00413565"/>
    <w:rsid w:val="004136DC"/>
    <w:rsid w:val="00413BC9"/>
    <w:rsid w:val="00413C8A"/>
    <w:rsid w:val="00413DBB"/>
    <w:rsid w:val="00413EF0"/>
    <w:rsid w:val="00413FFB"/>
    <w:rsid w:val="0041403C"/>
    <w:rsid w:val="0041453C"/>
    <w:rsid w:val="0041463C"/>
    <w:rsid w:val="0041478B"/>
    <w:rsid w:val="004148DE"/>
    <w:rsid w:val="00414C55"/>
    <w:rsid w:val="00415133"/>
    <w:rsid w:val="00415740"/>
    <w:rsid w:val="0041577A"/>
    <w:rsid w:val="00415799"/>
    <w:rsid w:val="00415B51"/>
    <w:rsid w:val="00415CB3"/>
    <w:rsid w:val="00416298"/>
    <w:rsid w:val="00416541"/>
    <w:rsid w:val="00416676"/>
    <w:rsid w:val="00416900"/>
    <w:rsid w:val="00416B0F"/>
    <w:rsid w:val="00416CC2"/>
    <w:rsid w:val="00416CD0"/>
    <w:rsid w:val="00416F18"/>
    <w:rsid w:val="00417055"/>
    <w:rsid w:val="004175E2"/>
    <w:rsid w:val="00417800"/>
    <w:rsid w:val="00417A99"/>
    <w:rsid w:val="00417D47"/>
    <w:rsid w:val="00417E6D"/>
    <w:rsid w:val="00420147"/>
    <w:rsid w:val="0042046D"/>
    <w:rsid w:val="004204BA"/>
    <w:rsid w:val="00420513"/>
    <w:rsid w:val="0042080F"/>
    <w:rsid w:val="00420B73"/>
    <w:rsid w:val="00420D97"/>
    <w:rsid w:val="00420EE0"/>
    <w:rsid w:val="0042170A"/>
    <w:rsid w:val="00421A75"/>
    <w:rsid w:val="00421E4C"/>
    <w:rsid w:val="00422191"/>
    <w:rsid w:val="00422328"/>
    <w:rsid w:val="0042237F"/>
    <w:rsid w:val="004223FB"/>
    <w:rsid w:val="00422493"/>
    <w:rsid w:val="004225FA"/>
    <w:rsid w:val="004229D7"/>
    <w:rsid w:val="00422B46"/>
    <w:rsid w:val="00422C1F"/>
    <w:rsid w:val="00422CDA"/>
    <w:rsid w:val="00422ED8"/>
    <w:rsid w:val="00422FEF"/>
    <w:rsid w:val="004232D9"/>
    <w:rsid w:val="00423443"/>
    <w:rsid w:val="0042357F"/>
    <w:rsid w:val="0042381E"/>
    <w:rsid w:val="00423BFF"/>
    <w:rsid w:val="0042473F"/>
    <w:rsid w:val="004247E4"/>
    <w:rsid w:val="00424AA8"/>
    <w:rsid w:val="00424DC2"/>
    <w:rsid w:val="00424DD5"/>
    <w:rsid w:val="00425038"/>
    <w:rsid w:val="004250BB"/>
    <w:rsid w:val="00425242"/>
    <w:rsid w:val="00425255"/>
    <w:rsid w:val="00425352"/>
    <w:rsid w:val="0042535D"/>
    <w:rsid w:val="0042547A"/>
    <w:rsid w:val="0042569C"/>
    <w:rsid w:val="00425C55"/>
    <w:rsid w:val="00425ED4"/>
    <w:rsid w:val="00425F04"/>
    <w:rsid w:val="00425F25"/>
    <w:rsid w:val="0042614D"/>
    <w:rsid w:val="0042629C"/>
    <w:rsid w:val="004264B3"/>
    <w:rsid w:val="0042655E"/>
    <w:rsid w:val="00426820"/>
    <w:rsid w:val="00426901"/>
    <w:rsid w:val="004269FF"/>
    <w:rsid w:val="00426A10"/>
    <w:rsid w:val="00427262"/>
    <w:rsid w:val="00427454"/>
    <w:rsid w:val="004274CF"/>
    <w:rsid w:val="00427557"/>
    <w:rsid w:val="0042762E"/>
    <w:rsid w:val="0042771C"/>
    <w:rsid w:val="00427C3B"/>
    <w:rsid w:val="00427CB2"/>
    <w:rsid w:val="00430197"/>
    <w:rsid w:val="00430295"/>
    <w:rsid w:val="004304DC"/>
    <w:rsid w:val="00430574"/>
    <w:rsid w:val="0043063F"/>
    <w:rsid w:val="0043095E"/>
    <w:rsid w:val="00430DFB"/>
    <w:rsid w:val="00430E40"/>
    <w:rsid w:val="00431311"/>
    <w:rsid w:val="0043142C"/>
    <w:rsid w:val="00431719"/>
    <w:rsid w:val="00431878"/>
    <w:rsid w:val="00431A86"/>
    <w:rsid w:val="00431CD5"/>
    <w:rsid w:val="00431ED4"/>
    <w:rsid w:val="00431F83"/>
    <w:rsid w:val="004320F7"/>
    <w:rsid w:val="00432793"/>
    <w:rsid w:val="0043296B"/>
    <w:rsid w:val="00432D27"/>
    <w:rsid w:val="004333F8"/>
    <w:rsid w:val="00433709"/>
    <w:rsid w:val="00433845"/>
    <w:rsid w:val="00433929"/>
    <w:rsid w:val="00433A6C"/>
    <w:rsid w:val="00433C7E"/>
    <w:rsid w:val="00433CC8"/>
    <w:rsid w:val="00433F0B"/>
    <w:rsid w:val="00433F77"/>
    <w:rsid w:val="00434124"/>
    <w:rsid w:val="00434166"/>
    <w:rsid w:val="00434242"/>
    <w:rsid w:val="00434274"/>
    <w:rsid w:val="0043466D"/>
    <w:rsid w:val="004347F5"/>
    <w:rsid w:val="004350B2"/>
    <w:rsid w:val="00435100"/>
    <w:rsid w:val="004353BD"/>
    <w:rsid w:val="0043563E"/>
    <w:rsid w:val="004358DD"/>
    <w:rsid w:val="00435B27"/>
    <w:rsid w:val="00435B53"/>
    <w:rsid w:val="00435D6E"/>
    <w:rsid w:val="00435EEA"/>
    <w:rsid w:val="00436168"/>
    <w:rsid w:val="00436299"/>
    <w:rsid w:val="00436A0A"/>
    <w:rsid w:val="00436A8A"/>
    <w:rsid w:val="00436F42"/>
    <w:rsid w:val="00436FF8"/>
    <w:rsid w:val="0043714B"/>
    <w:rsid w:val="004376CA"/>
    <w:rsid w:val="004379AF"/>
    <w:rsid w:val="00437C5B"/>
    <w:rsid w:val="00437F14"/>
    <w:rsid w:val="00440045"/>
    <w:rsid w:val="00440297"/>
    <w:rsid w:val="004407EF"/>
    <w:rsid w:val="00440A74"/>
    <w:rsid w:val="00440C6D"/>
    <w:rsid w:val="00440DDD"/>
    <w:rsid w:val="00440F0B"/>
    <w:rsid w:val="00441110"/>
    <w:rsid w:val="00441749"/>
    <w:rsid w:val="00441908"/>
    <w:rsid w:val="00441C89"/>
    <w:rsid w:val="00441E91"/>
    <w:rsid w:val="00441F68"/>
    <w:rsid w:val="004423A3"/>
    <w:rsid w:val="004425E6"/>
    <w:rsid w:val="004426C6"/>
    <w:rsid w:val="00442840"/>
    <w:rsid w:val="00442A26"/>
    <w:rsid w:val="00442A89"/>
    <w:rsid w:val="00442AD8"/>
    <w:rsid w:val="00442AE0"/>
    <w:rsid w:val="00442BD2"/>
    <w:rsid w:val="00442DE7"/>
    <w:rsid w:val="0044316E"/>
    <w:rsid w:val="00443352"/>
    <w:rsid w:val="00443F4D"/>
    <w:rsid w:val="00444D7B"/>
    <w:rsid w:val="00444E4E"/>
    <w:rsid w:val="00444FD8"/>
    <w:rsid w:val="004452CF"/>
    <w:rsid w:val="004455A5"/>
    <w:rsid w:val="0044573F"/>
    <w:rsid w:val="00445A89"/>
    <w:rsid w:val="00445A9A"/>
    <w:rsid w:val="00445D5C"/>
    <w:rsid w:val="00445D9B"/>
    <w:rsid w:val="00445E1F"/>
    <w:rsid w:val="0044608B"/>
    <w:rsid w:val="0044613F"/>
    <w:rsid w:val="00446147"/>
    <w:rsid w:val="004462B2"/>
    <w:rsid w:val="00446547"/>
    <w:rsid w:val="004466CD"/>
    <w:rsid w:val="00446811"/>
    <w:rsid w:val="0044682B"/>
    <w:rsid w:val="00446A43"/>
    <w:rsid w:val="00446C19"/>
    <w:rsid w:val="00446D74"/>
    <w:rsid w:val="00446F67"/>
    <w:rsid w:val="00447679"/>
    <w:rsid w:val="004478BD"/>
    <w:rsid w:val="00447C10"/>
    <w:rsid w:val="00450122"/>
    <w:rsid w:val="0045020B"/>
    <w:rsid w:val="00450212"/>
    <w:rsid w:val="00450220"/>
    <w:rsid w:val="0045075F"/>
    <w:rsid w:val="00450BCA"/>
    <w:rsid w:val="0045158E"/>
    <w:rsid w:val="004517B4"/>
    <w:rsid w:val="004518D0"/>
    <w:rsid w:val="00451B52"/>
    <w:rsid w:val="00451EF7"/>
    <w:rsid w:val="00452284"/>
    <w:rsid w:val="0045265C"/>
    <w:rsid w:val="00452871"/>
    <w:rsid w:val="00452911"/>
    <w:rsid w:val="00452A87"/>
    <w:rsid w:val="0045311C"/>
    <w:rsid w:val="004534B0"/>
    <w:rsid w:val="00453871"/>
    <w:rsid w:val="004538E7"/>
    <w:rsid w:val="00453B91"/>
    <w:rsid w:val="00453E09"/>
    <w:rsid w:val="00453E7C"/>
    <w:rsid w:val="00454095"/>
    <w:rsid w:val="00454179"/>
    <w:rsid w:val="00454226"/>
    <w:rsid w:val="00454333"/>
    <w:rsid w:val="00454388"/>
    <w:rsid w:val="00454464"/>
    <w:rsid w:val="004545B0"/>
    <w:rsid w:val="00454666"/>
    <w:rsid w:val="00454787"/>
    <w:rsid w:val="00454845"/>
    <w:rsid w:val="00454D4F"/>
    <w:rsid w:val="00454D69"/>
    <w:rsid w:val="0045515E"/>
    <w:rsid w:val="00455250"/>
    <w:rsid w:val="00455433"/>
    <w:rsid w:val="004554C2"/>
    <w:rsid w:val="00455580"/>
    <w:rsid w:val="00455781"/>
    <w:rsid w:val="00455B57"/>
    <w:rsid w:val="00455C07"/>
    <w:rsid w:val="004560C0"/>
    <w:rsid w:val="004561CC"/>
    <w:rsid w:val="0045691E"/>
    <w:rsid w:val="00456A3C"/>
    <w:rsid w:val="00456A59"/>
    <w:rsid w:val="00456AD3"/>
    <w:rsid w:val="00456CAC"/>
    <w:rsid w:val="00456F1E"/>
    <w:rsid w:val="004570D1"/>
    <w:rsid w:val="00457A79"/>
    <w:rsid w:val="00457A81"/>
    <w:rsid w:val="00457C56"/>
    <w:rsid w:val="00457D21"/>
    <w:rsid w:val="00457FED"/>
    <w:rsid w:val="004600BD"/>
    <w:rsid w:val="00460459"/>
    <w:rsid w:val="00460493"/>
    <w:rsid w:val="004605DF"/>
    <w:rsid w:val="00460AB8"/>
    <w:rsid w:val="00460B88"/>
    <w:rsid w:val="00460C1C"/>
    <w:rsid w:val="00460CD3"/>
    <w:rsid w:val="00461418"/>
    <w:rsid w:val="0046158B"/>
    <w:rsid w:val="004616A7"/>
    <w:rsid w:val="004617AE"/>
    <w:rsid w:val="00461845"/>
    <w:rsid w:val="00461B5F"/>
    <w:rsid w:val="00461C3F"/>
    <w:rsid w:val="00461C91"/>
    <w:rsid w:val="00461E80"/>
    <w:rsid w:val="004625FA"/>
    <w:rsid w:val="00462761"/>
    <w:rsid w:val="004627EE"/>
    <w:rsid w:val="0046293C"/>
    <w:rsid w:val="00462AB5"/>
    <w:rsid w:val="00462AED"/>
    <w:rsid w:val="00462BB3"/>
    <w:rsid w:val="00462D17"/>
    <w:rsid w:val="00462DC1"/>
    <w:rsid w:val="00463445"/>
    <w:rsid w:val="0046355C"/>
    <w:rsid w:val="004636D5"/>
    <w:rsid w:val="0046382A"/>
    <w:rsid w:val="0046385C"/>
    <w:rsid w:val="00463A79"/>
    <w:rsid w:val="0046401D"/>
    <w:rsid w:val="00464385"/>
    <w:rsid w:val="00464579"/>
    <w:rsid w:val="004646B2"/>
    <w:rsid w:val="004647FA"/>
    <w:rsid w:val="004648AB"/>
    <w:rsid w:val="00464A2B"/>
    <w:rsid w:val="00464D03"/>
    <w:rsid w:val="00464E54"/>
    <w:rsid w:val="00464E68"/>
    <w:rsid w:val="00464E90"/>
    <w:rsid w:val="00464F1E"/>
    <w:rsid w:val="0046535B"/>
    <w:rsid w:val="0046565E"/>
    <w:rsid w:val="00465A20"/>
    <w:rsid w:val="00465ABB"/>
    <w:rsid w:val="00465BEB"/>
    <w:rsid w:val="00465C86"/>
    <w:rsid w:val="00465CA7"/>
    <w:rsid w:val="00465D37"/>
    <w:rsid w:val="00465ED4"/>
    <w:rsid w:val="00465FB3"/>
    <w:rsid w:val="00466230"/>
    <w:rsid w:val="00466431"/>
    <w:rsid w:val="00466756"/>
    <w:rsid w:val="00466A1A"/>
    <w:rsid w:val="00466A2C"/>
    <w:rsid w:val="00466B06"/>
    <w:rsid w:val="0046702B"/>
    <w:rsid w:val="004672FC"/>
    <w:rsid w:val="00467334"/>
    <w:rsid w:val="004675B7"/>
    <w:rsid w:val="0046776D"/>
    <w:rsid w:val="0046797D"/>
    <w:rsid w:val="00467FA8"/>
    <w:rsid w:val="00470012"/>
    <w:rsid w:val="0047080E"/>
    <w:rsid w:val="00470879"/>
    <w:rsid w:val="00470A22"/>
    <w:rsid w:val="00470D92"/>
    <w:rsid w:val="00470F45"/>
    <w:rsid w:val="004710D9"/>
    <w:rsid w:val="0047129E"/>
    <w:rsid w:val="004714BB"/>
    <w:rsid w:val="0047190C"/>
    <w:rsid w:val="00471A01"/>
    <w:rsid w:val="00471A18"/>
    <w:rsid w:val="00471B4C"/>
    <w:rsid w:val="00471B75"/>
    <w:rsid w:val="00471C51"/>
    <w:rsid w:val="00471FBF"/>
    <w:rsid w:val="004720BF"/>
    <w:rsid w:val="0047236F"/>
    <w:rsid w:val="0047261C"/>
    <w:rsid w:val="00472749"/>
    <w:rsid w:val="004728BA"/>
    <w:rsid w:val="004729BB"/>
    <w:rsid w:val="00472A50"/>
    <w:rsid w:val="00472A5E"/>
    <w:rsid w:val="00472C26"/>
    <w:rsid w:val="00472E56"/>
    <w:rsid w:val="00472ED6"/>
    <w:rsid w:val="00472F89"/>
    <w:rsid w:val="0047305E"/>
    <w:rsid w:val="0047351B"/>
    <w:rsid w:val="00473613"/>
    <w:rsid w:val="00473665"/>
    <w:rsid w:val="0047391E"/>
    <w:rsid w:val="004739CE"/>
    <w:rsid w:val="00473B37"/>
    <w:rsid w:val="00473D1E"/>
    <w:rsid w:val="00474449"/>
    <w:rsid w:val="0047448F"/>
    <w:rsid w:val="00474A79"/>
    <w:rsid w:val="00474B14"/>
    <w:rsid w:val="00474BB7"/>
    <w:rsid w:val="00474C09"/>
    <w:rsid w:val="00475002"/>
    <w:rsid w:val="00475C52"/>
    <w:rsid w:val="00475EF1"/>
    <w:rsid w:val="00475EFC"/>
    <w:rsid w:val="00475F7B"/>
    <w:rsid w:val="00476220"/>
    <w:rsid w:val="004763D2"/>
    <w:rsid w:val="004765E1"/>
    <w:rsid w:val="00476603"/>
    <w:rsid w:val="004769A7"/>
    <w:rsid w:val="00476AD6"/>
    <w:rsid w:val="00476B2C"/>
    <w:rsid w:val="00476C32"/>
    <w:rsid w:val="00476FC9"/>
    <w:rsid w:val="004775AC"/>
    <w:rsid w:val="00477A26"/>
    <w:rsid w:val="00477BAB"/>
    <w:rsid w:val="00477C2B"/>
    <w:rsid w:val="00477DD3"/>
    <w:rsid w:val="00477E0F"/>
    <w:rsid w:val="00477E3F"/>
    <w:rsid w:val="00477FDF"/>
    <w:rsid w:val="004800E8"/>
    <w:rsid w:val="0048010D"/>
    <w:rsid w:val="00480143"/>
    <w:rsid w:val="00480871"/>
    <w:rsid w:val="004808B8"/>
    <w:rsid w:val="004813EB"/>
    <w:rsid w:val="0048146B"/>
    <w:rsid w:val="00481481"/>
    <w:rsid w:val="004815AD"/>
    <w:rsid w:val="00481654"/>
    <w:rsid w:val="00481756"/>
    <w:rsid w:val="00481A30"/>
    <w:rsid w:val="00481AAF"/>
    <w:rsid w:val="00481F87"/>
    <w:rsid w:val="00481FF5"/>
    <w:rsid w:val="004821B5"/>
    <w:rsid w:val="00482473"/>
    <w:rsid w:val="00482653"/>
    <w:rsid w:val="00482741"/>
    <w:rsid w:val="0048292C"/>
    <w:rsid w:val="00482BB3"/>
    <w:rsid w:val="00482C69"/>
    <w:rsid w:val="00482CD3"/>
    <w:rsid w:val="00482D0E"/>
    <w:rsid w:val="00482D7E"/>
    <w:rsid w:val="00482DBD"/>
    <w:rsid w:val="00482FB3"/>
    <w:rsid w:val="00483196"/>
    <w:rsid w:val="004833CF"/>
    <w:rsid w:val="00483713"/>
    <w:rsid w:val="00483822"/>
    <w:rsid w:val="004838D1"/>
    <w:rsid w:val="00483951"/>
    <w:rsid w:val="004839C7"/>
    <w:rsid w:val="0048415A"/>
    <w:rsid w:val="00484175"/>
    <w:rsid w:val="004841BD"/>
    <w:rsid w:val="004845CC"/>
    <w:rsid w:val="00484816"/>
    <w:rsid w:val="00484A00"/>
    <w:rsid w:val="00484A17"/>
    <w:rsid w:val="00484B8C"/>
    <w:rsid w:val="00484CCB"/>
    <w:rsid w:val="0048528E"/>
    <w:rsid w:val="00485706"/>
    <w:rsid w:val="00485A51"/>
    <w:rsid w:val="00485D54"/>
    <w:rsid w:val="00485ED2"/>
    <w:rsid w:val="00486290"/>
    <w:rsid w:val="004868E8"/>
    <w:rsid w:val="004869E1"/>
    <w:rsid w:val="00486B44"/>
    <w:rsid w:val="00486D36"/>
    <w:rsid w:val="00486F71"/>
    <w:rsid w:val="00486F7F"/>
    <w:rsid w:val="00487C47"/>
    <w:rsid w:val="00487EDA"/>
    <w:rsid w:val="0049015A"/>
    <w:rsid w:val="004903A7"/>
    <w:rsid w:val="0049054E"/>
    <w:rsid w:val="00490730"/>
    <w:rsid w:val="00490A55"/>
    <w:rsid w:val="00490AC5"/>
    <w:rsid w:val="00490BAC"/>
    <w:rsid w:val="00490BDE"/>
    <w:rsid w:val="00490D77"/>
    <w:rsid w:val="00490F50"/>
    <w:rsid w:val="00491120"/>
    <w:rsid w:val="00491572"/>
    <w:rsid w:val="004917DE"/>
    <w:rsid w:val="00491901"/>
    <w:rsid w:val="00491BA1"/>
    <w:rsid w:val="00491BDB"/>
    <w:rsid w:val="00491CD9"/>
    <w:rsid w:val="004922AE"/>
    <w:rsid w:val="004924FA"/>
    <w:rsid w:val="004925B9"/>
    <w:rsid w:val="0049262D"/>
    <w:rsid w:val="00492698"/>
    <w:rsid w:val="004927F7"/>
    <w:rsid w:val="004928DE"/>
    <w:rsid w:val="00492A50"/>
    <w:rsid w:val="00492EDB"/>
    <w:rsid w:val="0049301D"/>
    <w:rsid w:val="0049326E"/>
    <w:rsid w:val="004935B3"/>
    <w:rsid w:val="004937C4"/>
    <w:rsid w:val="00493894"/>
    <w:rsid w:val="00493A42"/>
    <w:rsid w:val="00493CCE"/>
    <w:rsid w:val="00493EE6"/>
    <w:rsid w:val="004941FC"/>
    <w:rsid w:val="00494200"/>
    <w:rsid w:val="00494477"/>
    <w:rsid w:val="00494FE7"/>
    <w:rsid w:val="00495163"/>
    <w:rsid w:val="004951F1"/>
    <w:rsid w:val="00495387"/>
    <w:rsid w:val="00495504"/>
    <w:rsid w:val="0049564E"/>
    <w:rsid w:val="00495A61"/>
    <w:rsid w:val="00495E4E"/>
    <w:rsid w:val="00495F9D"/>
    <w:rsid w:val="00495FDF"/>
    <w:rsid w:val="004963BF"/>
    <w:rsid w:val="00496628"/>
    <w:rsid w:val="0049677A"/>
    <w:rsid w:val="00496851"/>
    <w:rsid w:val="004968A6"/>
    <w:rsid w:val="00496910"/>
    <w:rsid w:val="00496C47"/>
    <w:rsid w:val="00496C60"/>
    <w:rsid w:val="00496E64"/>
    <w:rsid w:val="00496EA1"/>
    <w:rsid w:val="00497338"/>
    <w:rsid w:val="0049749A"/>
    <w:rsid w:val="00497749"/>
    <w:rsid w:val="004A0552"/>
    <w:rsid w:val="004A06B2"/>
    <w:rsid w:val="004A0B7B"/>
    <w:rsid w:val="004A0C3C"/>
    <w:rsid w:val="004A0CA9"/>
    <w:rsid w:val="004A177D"/>
    <w:rsid w:val="004A1938"/>
    <w:rsid w:val="004A1C1E"/>
    <w:rsid w:val="004A1DB5"/>
    <w:rsid w:val="004A2280"/>
    <w:rsid w:val="004A2A82"/>
    <w:rsid w:val="004A2DA1"/>
    <w:rsid w:val="004A3005"/>
    <w:rsid w:val="004A3168"/>
    <w:rsid w:val="004A31F0"/>
    <w:rsid w:val="004A3737"/>
    <w:rsid w:val="004A39F7"/>
    <w:rsid w:val="004A3E4E"/>
    <w:rsid w:val="004A4041"/>
    <w:rsid w:val="004A43A9"/>
    <w:rsid w:val="004A4440"/>
    <w:rsid w:val="004A4E15"/>
    <w:rsid w:val="004A4FBD"/>
    <w:rsid w:val="004A5017"/>
    <w:rsid w:val="004A5380"/>
    <w:rsid w:val="004A54C7"/>
    <w:rsid w:val="004A5516"/>
    <w:rsid w:val="004A55C1"/>
    <w:rsid w:val="004A56B0"/>
    <w:rsid w:val="004A5795"/>
    <w:rsid w:val="004A57A3"/>
    <w:rsid w:val="004A591F"/>
    <w:rsid w:val="004A5ACA"/>
    <w:rsid w:val="004A5AD5"/>
    <w:rsid w:val="004A5BF5"/>
    <w:rsid w:val="004A5DE6"/>
    <w:rsid w:val="004A61E8"/>
    <w:rsid w:val="004A629A"/>
    <w:rsid w:val="004A7334"/>
    <w:rsid w:val="004A7407"/>
    <w:rsid w:val="004A764A"/>
    <w:rsid w:val="004A77ED"/>
    <w:rsid w:val="004A7C89"/>
    <w:rsid w:val="004B0827"/>
    <w:rsid w:val="004B0A47"/>
    <w:rsid w:val="004B0C6D"/>
    <w:rsid w:val="004B11D4"/>
    <w:rsid w:val="004B1401"/>
    <w:rsid w:val="004B1407"/>
    <w:rsid w:val="004B14B3"/>
    <w:rsid w:val="004B1B24"/>
    <w:rsid w:val="004B1DCB"/>
    <w:rsid w:val="004B1DFC"/>
    <w:rsid w:val="004B1F56"/>
    <w:rsid w:val="004B206B"/>
    <w:rsid w:val="004B20CE"/>
    <w:rsid w:val="004B2407"/>
    <w:rsid w:val="004B24D5"/>
    <w:rsid w:val="004B27A0"/>
    <w:rsid w:val="004B27D0"/>
    <w:rsid w:val="004B29D8"/>
    <w:rsid w:val="004B2B93"/>
    <w:rsid w:val="004B2C19"/>
    <w:rsid w:val="004B2D4A"/>
    <w:rsid w:val="004B328B"/>
    <w:rsid w:val="004B3572"/>
    <w:rsid w:val="004B35AF"/>
    <w:rsid w:val="004B381F"/>
    <w:rsid w:val="004B39E9"/>
    <w:rsid w:val="004B3B38"/>
    <w:rsid w:val="004B3DCF"/>
    <w:rsid w:val="004B4352"/>
    <w:rsid w:val="004B4521"/>
    <w:rsid w:val="004B4D0D"/>
    <w:rsid w:val="004B4EAC"/>
    <w:rsid w:val="004B4F38"/>
    <w:rsid w:val="004B5367"/>
    <w:rsid w:val="004B54CC"/>
    <w:rsid w:val="004B5CF5"/>
    <w:rsid w:val="004B5D01"/>
    <w:rsid w:val="004B6090"/>
    <w:rsid w:val="004B648F"/>
    <w:rsid w:val="004B69AF"/>
    <w:rsid w:val="004B6A5D"/>
    <w:rsid w:val="004B6D24"/>
    <w:rsid w:val="004B707A"/>
    <w:rsid w:val="004B70D4"/>
    <w:rsid w:val="004B72F4"/>
    <w:rsid w:val="004B7504"/>
    <w:rsid w:val="004B7611"/>
    <w:rsid w:val="004B792D"/>
    <w:rsid w:val="004B7AD4"/>
    <w:rsid w:val="004B7BA4"/>
    <w:rsid w:val="004B7D2A"/>
    <w:rsid w:val="004B7F0C"/>
    <w:rsid w:val="004C02E7"/>
    <w:rsid w:val="004C05B2"/>
    <w:rsid w:val="004C060F"/>
    <w:rsid w:val="004C077A"/>
    <w:rsid w:val="004C07A4"/>
    <w:rsid w:val="004C0A15"/>
    <w:rsid w:val="004C0A1D"/>
    <w:rsid w:val="004C0B1B"/>
    <w:rsid w:val="004C10DF"/>
    <w:rsid w:val="004C15F6"/>
    <w:rsid w:val="004C175E"/>
    <w:rsid w:val="004C18A1"/>
    <w:rsid w:val="004C1F9F"/>
    <w:rsid w:val="004C209C"/>
    <w:rsid w:val="004C20DE"/>
    <w:rsid w:val="004C213D"/>
    <w:rsid w:val="004C22CB"/>
    <w:rsid w:val="004C243D"/>
    <w:rsid w:val="004C24CE"/>
    <w:rsid w:val="004C269D"/>
    <w:rsid w:val="004C2762"/>
    <w:rsid w:val="004C2A69"/>
    <w:rsid w:val="004C2A82"/>
    <w:rsid w:val="004C2B9F"/>
    <w:rsid w:val="004C2CB7"/>
    <w:rsid w:val="004C2D2A"/>
    <w:rsid w:val="004C2D36"/>
    <w:rsid w:val="004C2FD5"/>
    <w:rsid w:val="004C2FF6"/>
    <w:rsid w:val="004C3105"/>
    <w:rsid w:val="004C35C5"/>
    <w:rsid w:val="004C3756"/>
    <w:rsid w:val="004C3763"/>
    <w:rsid w:val="004C3BFE"/>
    <w:rsid w:val="004C42EE"/>
    <w:rsid w:val="004C434C"/>
    <w:rsid w:val="004C4420"/>
    <w:rsid w:val="004C44A5"/>
    <w:rsid w:val="004C4847"/>
    <w:rsid w:val="004C499F"/>
    <w:rsid w:val="004C4F39"/>
    <w:rsid w:val="004C4FC3"/>
    <w:rsid w:val="004C513C"/>
    <w:rsid w:val="004C5209"/>
    <w:rsid w:val="004C59E7"/>
    <w:rsid w:val="004C5B09"/>
    <w:rsid w:val="004C5BCB"/>
    <w:rsid w:val="004C5DD0"/>
    <w:rsid w:val="004C610D"/>
    <w:rsid w:val="004C6437"/>
    <w:rsid w:val="004C66AB"/>
    <w:rsid w:val="004C69F0"/>
    <w:rsid w:val="004C6B6F"/>
    <w:rsid w:val="004C6BA2"/>
    <w:rsid w:val="004C6D12"/>
    <w:rsid w:val="004C752B"/>
    <w:rsid w:val="004C764F"/>
    <w:rsid w:val="004C7758"/>
    <w:rsid w:val="004C7D17"/>
    <w:rsid w:val="004C7DE5"/>
    <w:rsid w:val="004C7E9D"/>
    <w:rsid w:val="004C7FB1"/>
    <w:rsid w:val="004D0083"/>
    <w:rsid w:val="004D03FC"/>
    <w:rsid w:val="004D0417"/>
    <w:rsid w:val="004D08D4"/>
    <w:rsid w:val="004D0CAA"/>
    <w:rsid w:val="004D11F3"/>
    <w:rsid w:val="004D18C1"/>
    <w:rsid w:val="004D1971"/>
    <w:rsid w:val="004D1980"/>
    <w:rsid w:val="004D1BF9"/>
    <w:rsid w:val="004D1F46"/>
    <w:rsid w:val="004D2007"/>
    <w:rsid w:val="004D217A"/>
    <w:rsid w:val="004D23F0"/>
    <w:rsid w:val="004D25AD"/>
    <w:rsid w:val="004D2C17"/>
    <w:rsid w:val="004D30C6"/>
    <w:rsid w:val="004D31C5"/>
    <w:rsid w:val="004D333C"/>
    <w:rsid w:val="004D37E1"/>
    <w:rsid w:val="004D3940"/>
    <w:rsid w:val="004D3E4D"/>
    <w:rsid w:val="004D403A"/>
    <w:rsid w:val="004D43BE"/>
    <w:rsid w:val="004D453C"/>
    <w:rsid w:val="004D475D"/>
    <w:rsid w:val="004D48EC"/>
    <w:rsid w:val="004D492C"/>
    <w:rsid w:val="004D4A22"/>
    <w:rsid w:val="004D4C4F"/>
    <w:rsid w:val="004D4D97"/>
    <w:rsid w:val="004D4E58"/>
    <w:rsid w:val="004D4F55"/>
    <w:rsid w:val="004D5488"/>
    <w:rsid w:val="004D5A8E"/>
    <w:rsid w:val="004D5D05"/>
    <w:rsid w:val="004D5E02"/>
    <w:rsid w:val="004D60F9"/>
    <w:rsid w:val="004D618E"/>
    <w:rsid w:val="004D6287"/>
    <w:rsid w:val="004D6583"/>
    <w:rsid w:val="004D69D7"/>
    <w:rsid w:val="004D7191"/>
    <w:rsid w:val="004D772C"/>
    <w:rsid w:val="004D7940"/>
    <w:rsid w:val="004D7C99"/>
    <w:rsid w:val="004E066A"/>
    <w:rsid w:val="004E0673"/>
    <w:rsid w:val="004E067C"/>
    <w:rsid w:val="004E06CD"/>
    <w:rsid w:val="004E0865"/>
    <w:rsid w:val="004E0A35"/>
    <w:rsid w:val="004E12ED"/>
    <w:rsid w:val="004E1387"/>
    <w:rsid w:val="004E14A2"/>
    <w:rsid w:val="004E1816"/>
    <w:rsid w:val="004E1825"/>
    <w:rsid w:val="004E1C3C"/>
    <w:rsid w:val="004E1CEA"/>
    <w:rsid w:val="004E1E44"/>
    <w:rsid w:val="004E1FCC"/>
    <w:rsid w:val="004E214B"/>
    <w:rsid w:val="004E215C"/>
    <w:rsid w:val="004E251B"/>
    <w:rsid w:val="004E25B9"/>
    <w:rsid w:val="004E26A9"/>
    <w:rsid w:val="004E2EC9"/>
    <w:rsid w:val="004E2F78"/>
    <w:rsid w:val="004E2FE1"/>
    <w:rsid w:val="004E3085"/>
    <w:rsid w:val="004E3388"/>
    <w:rsid w:val="004E358B"/>
    <w:rsid w:val="004E3A5C"/>
    <w:rsid w:val="004E3DAD"/>
    <w:rsid w:val="004E3F22"/>
    <w:rsid w:val="004E3FAD"/>
    <w:rsid w:val="004E468C"/>
    <w:rsid w:val="004E4B3B"/>
    <w:rsid w:val="004E4BB3"/>
    <w:rsid w:val="004E4CD3"/>
    <w:rsid w:val="004E4E75"/>
    <w:rsid w:val="004E515D"/>
    <w:rsid w:val="004E51CF"/>
    <w:rsid w:val="004E53E3"/>
    <w:rsid w:val="004E5440"/>
    <w:rsid w:val="004E5C7C"/>
    <w:rsid w:val="004E5D8B"/>
    <w:rsid w:val="004E5DCF"/>
    <w:rsid w:val="004E5DDD"/>
    <w:rsid w:val="004E5EA8"/>
    <w:rsid w:val="004E62F3"/>
    <w:rsid w:val="004E6485"/>
    <w:rsid w:val="004E681B"/>
    <w:rsid w:val="004E6B0E"/>
    <w:rsid w:val="004E6CD7"/>
    <w:rsid w:val="004E6D49"/>
    <w:rsid w:val="004E7373"/>
    <w:rsid w:val="004E73D2"/>
    <w:rsid w:val="004E7589"/>
    <w:rsid w:val="004E76CC"/>
    <w:rsid w:val="004E79ED"/>
    <w:rsid w:val="004E7FAB"/>
    <w:rsid w:val="004F0155"/>
    <w:rsid w:val="004F036B"/>
    <w:rsid w:val="004F0383"/>
    <w:rsid w:val="004F0602"/>
    <w:rsid w:val="004F06F3"/>
    <w:rsid w:val="004F0772"/>
    <w:rsid w:val="004F07FC"/>
    <w:rsid w:val="004F0E2B"/>
    <w:rsid w:val="004F10B6"/>
    <w:rsid w:val="004F1173"/>
    <w:rsid w:val="004F14A8"/>
    <w:rsid w:val="004F152A"/>
    <w:rsid w:val="004F1818"/>
    <w:rsid w:val="004F1A19"/>
    <w:rsid w:val="004F1CA6"/>
    <w:rsid w:val="004F1E9B"/>
    <w:rsid w:val="004F1F5C"/>
    <w:rsid w:val="004F1FCE"/>
    <w:rsid w:val="004F1FE6"/>
    <w:rsid w:val="004F2035"/>
    <w:rsid w:val="004F21A9"/>
    <w:rsid w:val="004F2304"/>
    <w:rsid w:val="004F2862"/>
    <w:rsid w:val="004F29FC"/>
    <w:rsid w:val="004F3035"/>
    <w:rsid w:val="004F30EB"/>
    <w:rsid w:val="004F3366"/>
    <w:rsid w:val="004F352F"/>
    <w:rsid w:val="004F3CD7"/>
    <w:rsid w:val="004F3F78"/>
    <w:rsid w:val="004F4854"/>
    <w:rsid w:val="004F4FFE"/>
    <w:rsid w:val="004F5333"/>
    <w:rsid w:val="004F56C9"/>
    <w:rsid w:val="004F5700"/>
    <w:rsid w:val="004F5AF5"/>
    <w:rsid w:val="004F5B13"/>
    <w:rsid w:val="004F5CD3"/>
    <w:rsid w:val="004F5CDF"/>
    <w:rsid w:val="004F60A2"/>
    <w:rsid w:val="004F630C"/>
    <w:rsid w:val="004F638A"/>
    <w:rsid w:val="004F6609"/>
    <w:rsid w:val="004F668E"/>
    <w:rsid w:val="004F6870"/>
    <w:rsid w:val="004F69D7"/>
    <w:rsid w:val="004F6A3B"/>
    <w:rsid w:val="004F6A82"/>
    <w:rsid w:val="004F6AEE"/>
    <w:rsid w:val="004F6B7C"/>
    <w:rsid w:val="004F6BC6"/>
    <w:rsid w:val="004F6C93"/>
    <w:rsid w:val="004F6D82"/>
    <w:rsid w:val="004F6FFE"/>
    <w:rsid w:val="004F700D"/>
    <w:rsid w:val="004F724A"/>
    <w:rsid w:val="004F744F"/>
    <w:rsid w:val="004F7497"/>
    <w:rsid w:val="004F74F6"/>
    <w:rsid w:val="004F761B"/>
    <w:rsid w:val="004F76E7"/>
    <w:rsid w:val="004F79A2"/>
    <w:rsid w:val="004F7A18"/>
    <w:rsid w:val="004F7C0B"/>
    <w:rsid w:val="004F7E75"/>
    <w:rsid w:val="00500040"/>
    <w:rsid w:val="00500195"/>
    <w:rsid w:val="00500485"/>
    <w:rsid w:val="00500AE3"/>
    <w:rsid w:val="00500AFB"/>
    <w:rsid w:val="00500D93"/>
    <w:rsid w:val="00500F9A"/>
    <w:rsid w:val="00501096"/>
    <w:rsid w:val="0050157A"/>
    <w:rsid w:val="00501A34"/>
    <w:rsid w:val="00501AB0"/>
    <w:rsid w:val="00502203"/>
    <w:rsid w:val="00502535"/>
    <w:rsid w:val="0050293F"/>
    <w:rsid w:val="0050299D"/>
    <w:rsid w:val="005031D6"/>
    <w:rsid w:val="00503280"/>
    <w:rsid w:val="005035F5"/>
    <w:rsid w:val="005039AC"/>
    <w:rsid w:val="00503A35"/>
    <w:rsid w:val="00503A4F"/>
    <w:rsid w:val="00503AB0"/>
    <w:rsid w:val="00503CB8"/>
    <w:rsid w:val="00503CCA"/>
    <w:rsid w:val="00503F3B"/>
    <w:rsid w:val="00503F45"/>
    <w:rsid w:val="005045B3"/>
    <w:rsid w:val="0050462E"/>
    <w:rsid w:val="00504863"/>
    <w:rsid w:val="00504ABF"/>
    <w:rsid w:val="00504C0F"/>
    <w:rsid w:val="00504E3E"/>
    <w:rsid w:val="00504FBC"/>
    <w:rsid w:val="005051D3"/>
    <w:rsid w:val="005053C7"/>
    <w:rsid w:val="005055AC"/>
    <w:rsid w:val="00505678"/>
    <w:rsid w:val="00505888"/>
    <w:rsid w:val="00505B68"/>
    <w:rsid w:val="00505C58"/>
    <w:rsid w:val="00505E35"/>
    <w:rsid w:val="00505EEA"/>
    <w:rsid w:val="0050607C"/>
    <w:rsid w:val="005060B8"/>
    <w:rsid w:val="005061C5"/>
    <w:rsid w:val="005063A1"/>
    <w:rsid w:val="0050645E"/>
    <w:rsid w:val="005064F8"/>
    <w:rsid w:val="005067BC"/>
    <w:rsid w:val="00506857"/>
    <w:rsid w:val="00506A27"/>
    <w:rsid w:val="00506A31"/>
    <w:rsid w:val="00506A56"/>
    <w:rsid w:val="00506B59"/>
    <w:rsid w:val="00506FE8"/>
    <w:rsid w:val="005072CD"/>
    <w:rsid w:val="005075F2"/>
    <w:rsid w:val="0050779B"/>
    <w:rsid w:val="00507B72"/>
    <w:rsid w:val="00507C2E"/>
    <w:rsid w:val="00507DB7"/>
    <w:rsid w:val="00507FA4"/>
    <w:rsid w:val="00510018"/>
    <w:rsid w:val="005101C9"/>
    <w:rsid w:val="005109AB"/>
    <w:rsid w:val="005109C3"/>
    <w:rsid w:val="00510C2A"/>
    <w:rsid w:val="00510CFA"/>
    <w:rsid w:val="00511286"/>
    <w:rsid w:val="00511A16"/>
    <w:rsid w:val="00511E61"/>
    <w:rsid w:val="00511ED9"/>
    <w:rsid w:val="00511F40"/>
    <w:rsid w:val="00512194"/>
    <w:rsid w:val="005121DA"/>
    <w:rsid w:val="00512564"/>
    <w:rsid w:val="00512638"/>
    <w:rsid w:val="00512823"/>
    <w:rsid w:val="00512BBA"/>
    <w:rsid w:val="00513268"/>
    <w:rsid w:val="005133DF"/>
    <w:rsid w:val="00513561"/>
    <w:rsid w:val="005139A1"/>
    <w:rsid w:val="00513EAC"/>
    <w:rsid w:val="00513EB6"/>
    <w:rsid w:val="0051439A"/>
    <w:rsid w:val="005146BA"/>
    <w:rsid w:val="0051470E"/>
    <w:rsid w:val="005147EC"/>
    <w:rsid w:val="00514C7B"/>
    <w:rsid w:val="00514EBD"/>
    <w:rsid w:val="00514F4D"/>
    <w:rsid w:val="00514F9E"/>
    <w:rsid w:val="00514FD2"/>
    <w:rsid w:val="005151AA"/>
    <w:rsid w:val="00515383"/>
    <w:rsid w:val="005155E2"/>
    <w:rsid w:val="005158DE"/>
    <w:rsid w:val="00515914"/>
    <w:rsid w:val="00515D6D"/>
    <w:rsid w:val="00515F32"/>
    <w:rsid w:val="0051611F"/>
    <w:rsid w:val="005164D4"/>
    <w:rsid w:val="005164E1"/>
    <w:rsid w:val="00516BB1"/>
    <w:rsid w:val="00516C07"/>
    <w:rsid w:val="00516DAB"/>
    <w:rsid w:val="00516E1D"/>
    <w:rsid w:val="00516F09"/>
    <w:rsid w:val="0051700A"/>
    <w:rsid w:val="005171F0"/>
    <w:rsid w:val="0051732F"/>
    <w:rsid w:val="00517606"/>
    <w:rsid w:val="00517858"/>
    <w:rsid w:val="00517A8D"/>
    <w:rsid w:val="00517BE9"/>
    <w:rsid w:val="00517E00"/>
    <w:rsid w:val="00517E0E"/>
    <w:rsid w:val="00517E48"/>
    <w:rsid w:val="00517F10"/>
    <w:rsid w:val="00517F27"/>
    <w:rsid w:val="0052011C"/>
    <w:rsid w:val="005205D7"/>
    <w:rsid w:val="00520901"/>
    <w:rsid w:val="005209A0"/>
    <w:rsid w:val="00520F64"/>
    <w:rsid w:val="005210FF"/>
    <w:rsid w:val="00521202"/>
    <w:rsid w:val="00521499"/>
    <w:rsid w:val="0052157C"/>
    <w:rsid w:val="005216CF"/>
    <w:rsid w:val="005216DE"/>
    <w:rsid w:val="005218DC"/>
    <w:rsid w:val="00521C1D"/>
    <w:rsid w:val="00521C67"/>
    <w:rsid w:val="00521C8F"/>
    <w:rsid w:val="00521D49"/>
    <w:rsid w:val="00521D66"/>
    <w:rsid w:val="005223B2"/>
    <w:rsid w:val="0052259F"/>
    <w:rsid w:val="005226A2"/>
    <w:rsid w:val="00522757"/>
    <w:rsid w:val="005227B3"/>
    <w:rsid w:val="005227F9"/>
    <w:rsid w:val="00522A80"/>
    <w:rsid w:val="00522AE5"/>
    <w:rsid w:val="00522B8B"/>
    <w:rsid w:val="00522CDB"/>
    <w:rsid w:val="00522DDF"/>
    <w:rsid w:val="005231E1"/>
    <w:rsid w:val="005231EE"/>
    <w:rsid w:val="005235B4"/>
    <w:rsid w:val="005235EF"/>
    <w:rsid w:val="00523629"/>
    <w:rsid w:val="00523649"/>
    <w:rsid w:val="00523945"/>
    <w:rsid w:val="00523A89"/>
    <w:rsid w:val="00523C5D"/>
    <w:rsid w:val="00523C74"/>
    <w:rsid w:val="00523CF7"/>
    <w:rsid w:val="00524015"/>
    <w:rsid w:val="0052403D"/>
    <w:rsid w:val="005240CF"/>
    <w:rsid w:val="00524393"/>
    <w:rsid w:val="0052453E"/>
    <w:rsid w:val="005246DE"/>
    <w:rsid w:val="005249C0"/>
    <w:rsid w:val="005249C3"/>
    <w:rsid w:val="00524FAE"/>
    <w:rsid w:val="00525249"/>
    <w:rsid w:val="00525768"/>
    <w:rsid w:val="005258F3"/>
    <w:rsid w:val="00525C49"/>
    <w:rsid w:val="00525D1B"/>
    <w:rsid w:val="00525E6F"/>
    <w:rsid w:val="00525F21"/>
    <w:rsid w:val="00525F2B"/>
    <w:rsid w:val="0052625E"/>
    <w:rsid w:val="0052653E"/>
    <w:rsid w:val="00526AD6"/>
    <w:rsid w:val="00526CED"/>
    <w:rsid w:val="00526EF6"/>
    <w:rsid w:val="005270B5"/>
    <w:rsid w:val="005271CE"/>
    <w:rsid w:val="00527248"/>
    <w:rsid w:val="00527384"/>
    <w:rsid w:val="005273C7"/>
    <w:rsid w:val="00527502"/>
    <w:rsid w:val="005275BB"/>
    <w:rsid w:val="00527770"/>
    <w:rsid w:val="00527F01"/>
    <w:rsid w:val="00530243"/>
    <w:rsid w:val="00530323"/>
    <w:rsid w:val="005303F6"/>
    <w:rsid w:val="00530637"/>
    <w:rsid w:val="00530655"/>
    <w:rsid w:val="005306D5"/>
    <w:rsid w:val="00530746"/>
    <w:rsid w:val="00530A78"/>
    <w:rsid w:val="00530A82"/>
    <w:rsid w:val="00530C0B"/>
    <w:rsid w:val="00530C1E"/>
    <w:rsid w:val="00530F2A"/>
    <w:rsid w:val="00531086"/>
    <w:rsid w:val="005310B3"/>
    <w:rsid w:val="00531638"/>
    <w:rsid w:val="005316FF"/>
    <w:rsid w:val="00531A84"/>
    <w:rsid w:val="00531AE4"/>
    <w:rsid w:val="00531C07"/>
    <w:rsid w:val="00531E63"/>
    <w:rsid w:val="00531E68"/>
    <w:rsid w:val="00531EB6"/>
    <w:rsid w:val="0053240F"/>
    <w:rsid w:val="00532683"/>
    <w:rsid w:val="0053271F"/>
    <w:rsid w:val="00532969"/>
    <w:rsid w:val="00532AFE"/>
    <w:rsid w:val="005331F3"/>
    <w:rsid w:val="0053383F"/>
    <w:rsid w:val="00533869"/>
    <w:rsid w:val="0053399F"/>
    <w:rsid w:val="00533B4A"/>
    <w:rsid w:val="00533C03"/>
    <w:rsid w:val="00533DE0"/>
    <w:rsid w:val="00533F8B"/>
    <w:rsid w:val="005349B8"/>
    <w:rsid w:val="00534C52"/>
    <w:rsid w:val="00534D9A"/>
    <w:rsid w:val="00534DBC"/>
    <w:rsid w:val="00534E4F"/>
    <w:rsid w:val="00534F32"/>
    <w:rsid w:val="00534FAA"/>
    <w:rsid w:val="00534FAD"/>
    <w:rsid w:val="0053510E"/>
    <w:rsid w:val="005351B4"/>
    <w:rsid w:val="005354F0"/>
    <w:rsid w:val="005356A8"/>
    <w:rsid w:val="00535728"/>
    <w:rsid w:val="005357C3"/>
    <w:rsid w:val="005358FD"/>
    <w:rsid w:val="00535927"/>
    <w:rsid w:val="00535E00"/>
    <w:rsid w:val="0053600B"/>
    <w:rsid w:val="005360E0"/>
    <w:rsid w:val="00536152"/>
    <w:rsid w:val="00536202"/>
    <w:rsid w:val="00536214"/>
    <w:rsid w:val="005365CC"/>
    <w:rsid w:val="00536788"/>
    <w:rsid w:val="00536B19"/>
    <w:rsid w:val="00536C44"/>
    <w:rsid w:val="00536D3A"/>
    <w:rsid w:val="00536F33"/>
    <w:rsid w:val="005370E9"/>
    <w:rsid w:val="0053749B"/>
    <w:rsid w:val="005375BB"/>
    <w:rsid w:val="005378EF"/>
    <w:rsid w:val="00537AB4"/>
    <w:rsid w:val="00537AC6"/>
    <w:rsid w:val="00537C8C"/>
    <w:rsid w:val="00537E61"/>
    <w:rsid w:val="00537FCC"/>
    <w:rsid w:val="00540004"/>
    <w:rsid w:val="0054006A"/>
    <w:rsid w:val="00540137"/>
    <w:rsid w:val="0054044B"/>
    <w:rsid w:val="005404EC"/>
    <w:rsid w:val="00540699"/>
    <w:rsid w:val="0054099F"/>
    <w:rsid w:val="00540B8A"/>
    <w:rsid w:val="00540DBA"/>
    <w:rsid w:val="00540F6F"/>
    <w:rsid w:val="00541016"/>
    <w:rsid w:val="0054164F"/>
    <w:rsid w:val="00541E2F"/>
    <w:rsid w:val="0054222D"/>
    <w:rsid w:val="005423A6"/>
    <w:rsid w:val="0054262C"/>
    <w:rsid w:val="005428DC"/>
    <w:rsid w:val="00542960"/>
    <w:rsid w:val="00542EAE"/>
    <w:rsid w:val="005432EB"/>
    <w:rsid w:val="00543307"/>
    <w:rsid w:val="00544390"/>
    <w:rsid w:val="005449F6"/>
    <w:rsid w:val="00544A75"/>
    <w:rsid w:val="00544B06"/>
    <w:rsid w:val="00544F30"/>
    <w:rsid w:val="00544FF1"/>
    <w:rsid w:val="00545076"/>
    <w:rsid w:val="0054586F"/>
    <w:rsid w:val="00545960"/>
    <w:rsid w:val="005459CA"/>
    <w:rsid w:val="00545D7B"/>
    <w:rsid w:val="0054607F"/>
    <w:rsid w:val="005460A5"/>
    <w:rsid w:val="005461FE"/>
    <w:rsid w:val="00546248"/>
    <w:rsid w:val="005463A9"/>
    <w:rsid w:val="005466C4"/>
    <w:rsid w:val="00546C2E"/>
    <w:rsid w:val="00546D8E"/>
    <w:rsid w:val="00547191"/>
    <w:rsid w:val="005471AB"/>
    <w:rsid w:val="00547215"/>
    <w:rsid w:val="005472C9"/>
    <w:rsid w:val="00547844"/>
    <w:rsid w:val="00547D4F"/>
    <w:rsid w:val="00547EA0"/>
    <w:rsid w:val="00547ED9"/>
    <w:rsid w:val="00547F30"/>
    <w:rsid w:val="00547FAD"/>
    <w:rsid w:val="0055043C"/>
    <w:rsid w:val="005508B6"/>
    <w:rsid w:val="005509BD"/>
    <w:rsid w:val="00550A76"/>
    <w:rsid w:val="00550F57"/>
    <w:rsid w:val="005512CC"/>
    <w:rsid w:val="005512ED"/>
    <w:rsid w:val="005513EB"/>
    <w:rsid w:val="005518C5"/>
    <w:rsid w:val="00551C66"/>
    <w:rsid w:val="00551FE8"/>
    <w:rsid w:val="00552116"/>
    <w:rsid w:val="005522A4"/>
    <w:rsid w:val="00552470"/>
    <w:rsid w:val="00552715"/>
    <w:rsid w:val="005527E4"/>
    <w:rsid w:val="005528EB"/>
    <w:rsid w:val="00552956"/>
    <w:rsid w:val="0055299D"/>
    <w:rsid w:val="00552A54"/>
    <w:rsid w:val="00552DA1"/>
    <w:rsid w:val="00552DEC"/>
    <w:rsid w:val="00552F65"/>
    <w:rsid w:val="005530D0"/>
    <w:rsid w:val="00553589"/>
    <w:rsid w:val="00553667"/>
    <w:rsid w:val="00553714"/>
    <w:rsid w:val="00553742"/>
    <w:rsid w:val="0055386A"/>
    <w:rsid w:val="00553D09"/>
    <w:rsid w:val="0055448C"/>
    <w:rsid w:val="00554CB3"/>
    <w:rsid w:val="00554F6D"/>
    <w:rsid w:val="005550F0"/>
    <w:rsid w:val="0055525B"/>
    <w:rsid w:val="00555269"/>
    <w:rsid w:val="0055544D"/>
    <w:rsid w:val="005554C2"/>
    <w:rsid w:val="0055555A"/>
    <w:rsid w:val="00555783"/>
    <w:rsid w:val="00555A1D"/>
    <w:rsid w:val="00555AAE"/>
    <w:rsid w:val="00555F65"/>
    <w:rsid w:val="0055605A"/>
    <w:rsid w:val="005560A2"/>
    <w:rsid w:val="00556147"/>
    <w:rsid w:val="0055643C"/>
    <w:rsid w:val="005568C1"/>
    <w:rsid w:val="00556AEF"/>
    <w:rsid w:val="0055707A"/>
    <w:rsid w:val="0055712C"/>
    <w:rsid w:val="00557249"/>
    <w:rsid w:val="00557250"/>
    <w:rsid w:val="0055748D"/>
    <w:rsid w:val="00557586"/>
    <w:rsid w:val="005575EA"/>
    <w:rsid w:val="00557637"/>
    <w:rsid w:val="00557738"/>
    <w:rsid w:val="00557821"/>
    <w:rsid w:val="005578FD"/>
    <w:rsid w:val="00557939"/>
    <w:rsid w:val="00557ADE"/>
    <w:rsid w:val="00560437"/>
    <w:rsid w:val="005604AC"/>
    <w:rsid w:val="005604F6"/>
    <w:rsid w:val="00560B84"/>
    <w:rsid w:val="00561090"/>
    <w:rsid w:val="00561330"/>
    <w:rsid w:val="00561565"/>
    <w:rsid w:val="0056163A"/>
    <w:rsid w:val="005619A3"/>
    <w:rsid w:val="00561BBF"/>
    <w:rsid w:val="00561C0D"/>
    <w:rsid w:val="005622AF"/>
    <w:rsid w:val="005626A4"/>
    <w:rsid w:val="0056271F"/>
    <w:rsid w:val="00562A1F"/>
    <w:rsid w:val="00562D59"/>
    <w:rsid w:val="00562F3D"/>
    <w:rsid w:val="00562F49"/>
    <w:rsid w:val="005630B5"/>
    <w:rsid w:val="005636D4"/>
    <w:rsid w:val="00563890"/>
    <w:rsid w:val="00563897"/>
    <w:rsid w:val="00563EB4"/>
    <w:rsid w:val="00563ED3"/>
    <w:rsid w:val="00563EF0"/>
    <w:rsid w:val="00564779"/>
    <w:rsid w:val="00564A85"/>
    <w:rsid w:val="00564A8E"/>
    <w:rsid w:val="00564BA0"/>
    <w:rsid w:val="00564CAE"/>
    <w:rsid w:val="00564EF5"/>
    <w:rsid w:val="00564F53"/>
    <w:rsid w:val="00564FD7"/>
    <w:rsid w:val="005651F2"/>
    <w:rsid w:val="00565316"/>
    <w:rsid w:val="005654E4"/>
    <w:rsid w:val="0056584E"/>
    <w:rsid w:val="00565A42"/>
    <w:rsid w:val="00565BA3"/>
    <w:rsid w:val="00566134"/>
    <w:rsid w:val="0056630F"/>
    <w:rsid w:val="00566693"/>
    <w:rsid w:val="0056677B"/>
    <w:rsid w:val="00566861"/>
    <w:rsid w:val="0056696A"/>
    <w:rsid w:val="00566A2C"/>
    <w:rsid w:val="00566A5B"/>
    <w:rsid w:val="00566AAE"/>
    <w:rsid w:val="00566AEF"/>
    <w:rsid w:val="00566D27"/>
    <w:rsid w:val="00566E69"/>
    <w:rsid w:val="00566EE8"/>
    <w:rsid w:val="00567195"/>
    <w:rsid w:val="005671A1"/>
    <w:rsid w:val="00567351"/>
    <w:rsid w:val="00567360"/>
    <w:rsid w:val="005674CA"/>
    <w:rsid w:val="005675DF"/>
    <w:rsid w:val="00567849"/>
    <w:rsid w:val="00567856"/>
    <w:rsid w:val="0056787B"/>
    <w:rsid w:val="00567B16"/>
    <w:rsid w:val="005700A4"/>
    <w:rsid w:val="005705DC"/>
    <w:rsid w:val="00570A42"/>
    <w:rsid w:val="00570BDE"/>
    <w:rsid w:val="005710E4"/>
    <w:rsid w:val="005712F2"/>
    <w:rsid w:val="005713C9"/>
    <w:rsid w:val="005714AA"/>
    <w:rsid w:val="00572031"/>
    <w:rsid w:val="0057206F"/>
    <w:rsid w:val="0057218D"/>
    <w:rsid w:val="0057265A"/>
    <w:rsid w:val="005726A4"/>
    <w:rsid w:val="00572829"/>
    <w:rsid w:val="0057298F"/>
    <w:rsid w:val="00572AC1"/>
    <w:rsid w:val="00572EE4"/>
    <w:rsid w:val="005731CF"/>
    <w:rsid w:val="005737E4"/>
    <w:rsid w:val="00573985"/>
    <w:rsid w:val="005739E6"/>
    <w:rsid w:val="00573EB9"/>
    <w:rsid w:val="005741A3"/>
    <w:rsid w:val="005742A2"/>
    <w:rsid w:val="00574345"/>
    <w:rsid w:val="0057442D"/>
    <w:rsid w:val="005744F1"/>
    <w:rsid w:val="0057479A"/>
    <w:rsid w:val="00574A6C"/>
    <w:rsid w:val="00574BB4"/>
    <w:rsid w:val="00574C51"/>
    <w:rsid w:val="00574EEC"/>
    <w:rsid w:val="00574F38"/>
    <w:rsid w:val="0057500D"/>
    <w:rsid w:val="005750EA"/>
    <w:rsid w:val="00575137"/>
    <w:rsid w:val="005751C5"/>
    <w:rsid w:val="0057541F"/>
    <w:rsid w:val="00575816"/>
    <w:rsid w:val="00575999"/>
    <w:rsid w:val="00575DEE"/>
    <w:rsid w:val="00575DF8"/>
    <w:rsid w:val="0057608D"/>
    <w:rsid w:val="005760D4"/>
    <w:rsid w:val="005760F2"/>
    <w:rsid w:val="005760F6"/>
    <w:rsid w:val="0057657E"/>
    <w:rsid w:val="0057699C"/>
    <w:rsid w:val="00576CA2"/>
    <w:rsid w:val="00576E6B"/>
    <w:rsid w:val="005774A8"/>
    <w:rsid w:val="00577831"/>
    <w:rsid w:val="00577908"/>
    <w:rsid w:val="00577968"/>
    <w:rsid w:val="00577AAD"/>
    <w:rsid w:val="00577E28"/>
    <w:rsid w:val="00577EBB"/>
    <w:rsid w:val="00580001"/>
    <w:rsid w:val="005802BE"/>
    <w:rsid w:val="00580534"/>
    <w:rsid w:val="005806BF"/>
    <w:rsid w:val="00580A2A"/>
    <w:rsid w:val="00580A5B"/>
    <w:rsid w:val="00580B87"/>
    <w:rsid w:val="00580CFD"/>
    <w:rsid w:val="00580DC6"/>
    <w:rsid w:val="00580E70"/>
    <w:rsid w:val="005810F0"/>
    <w:rsid w:val="005812E0"/>
    <w:rsid w:val="0058136A"/>
    <w:rsid w:val="005814D8"/>
    <w:rsid w:val="00581757"/>
    <w:rsid w:val="00581880"/>
    <w:rsid w:val="00581A8D"/>
    <w:rsid w:val="00581ACD"/>
    <w:rsid w:val="00581B53"/>
    <w:rsid w:val="00581BC9"/>
    <w:rsid w:val="0058216B"/>
    <w:rsid w:val="005822C6"/>
    <w:rsid w:val="0058264B"/>
    <w:rsid w:val="0058272B"/>
    <w:rsid w:val="0058281A"/>
    <w:rsid w:val="00582A37"/>
    <w:rsid w:val="00582B57"/>
    <w:rsid w:val="00582BE5"/>
    <w:rsid w:val="00582ECA"/>
    <w:rsid w:val="00582FE1"/>
    <w:rsid w:val="005836A2"/>
    <w:rsid w:val="005839A0"/>
    <w:rsid w:val="00583A49"/>
    <w:rsid w:val="00583C07"/>
    <w:rsid w:val="00583D5D"/>
    <w:rsid w:val="00584086"/>
    <w:rsid w:val="00584230"/>
    <w:rsid w:val="00584232"/>
    <w:rsid w:val="005844A1"/>
    <w:rsid w:val="0058457E"/>
    <w:rsid w:val="005845B8"/>
    <w:rsid w:val="005847AD"/>
    <w:rsid w:val="0058489C"/>
    <w:rsid w:val="005848A4"/>
    <w:rsid w:val="00584A08"/>
    <w:rsid w:val="00584C80"/>
    <w:rsid w:val="00584FD6"/>
    <w:rsid w:val="005852CA"/>
    <w:rsid w:val="00585A08"/>
    <w:rsid w:val="00585A57"/>
    <w:rsid w:val="00585BD2"/>
    <w:rsid w:val="00585E8C"/>
    <w:rsid w:val="00585F00"/>
    <w:rsid w:val="00586030"/>
    <w:rsid w:val="0058612B"/>
    <w:rsid w:val="00586216"/>
    <w:rsid w:val="00586302"/>
    <w:rsid w:val="0058631C"/>
    <w:rsid w:val="0058636F"/>
    <w:rsid w:val="00586669"/>
    <w:rsid w:val="0058680F"/>
    <w:rsid w:val="00587018"/>
    <w:rsid w:val="0058756A"/>
    <w:rsid w:val="0058773E"/>
    <w:rsid w:val="0058777D"/>
    <w:rsid w:val="0058789E"/>
    <w:rsid w:val="00587A72"/>
    <w:rsid w:val="00587DC6"/>
    <w:rsid w:val="00587EA7"/>
    <w:rsid w:val="00590143"/>
    <w:rsid w:val="00590527"/>
    <w:rsid w:val="0059054D"/>
    <w:rsid w:val="00590580"/>
    <w:rsid w:val="005905FD"/>
    <w:rsid w:val="00590689"/>
    <w:rsid w:val="005907A2"/>
    <w:rsid w:val="00590A01"/>
    <w:rsid w:val="00590DD0"/>
    <w:rsid w:val="0059132B"/>
    <w:rsid w:val="00591A96"/>
    <w:rsid w:val="00591B22"/>
    <w:rsid w:val="00591E33"/>
    <w:rsid w:val="0059215A"/>
    <w:rsid w:val="00592442"/>
    <w:rsid w:val="00592447"/>
    <w:rsid w:val="005926C1"/>
    <w:rsid w:val="00592863"/>
    <w:rsid w:val="00593768"/>
    <w:rsid w:val="00593E81"/>
    <w:rsid w:val="00593FE0"/>
    <w:rsid w:val="005943C9"/>
    <w:rsid w:val="00594438"/>
    <w:rsid w:val="00594558"/>
    <w:rsid w:val="00594707"/>
    <w:rsid w:val="00594711"/>
    <w:rsid w:val="00594729"/>
    <w:rsid w:val="00594D2D"/>
    <w:rsid w:val="00595501"/>
    <w:rsid w:val="0059590E"/>
    <w:rsid w:val="00595C60"/>
    <w:rsid w:val="00595CF9"/>
    <w:rsid w:val="00595DE1"/>
    <w:rsid w:val="00595EED"/>
    <w:rsid w:val="00596074"/>
    <w:rsid w:val="00596452"/>
    <w:rsid w:val="00596AD7"/>
    <w:rsid w:val="00596B32"/>
    <w:rsid w:val="00596B57"/>
    <w:rsid w:val="00596BB1"/>
    <w:rsid w:val="005973EC"/>
    <w:rsid w:val="005975C3"/>
    <w:rsid w:val="005978C5"/>
    <w:rsid w:val="00597949"/>
    <w:rsid w:val="005979CE"/>
    <w:rsid w:val="00597B95"/>
    <w:rsid w:val="00597E78"/>
    <w:rsid w:val="00597FA4"/>
    <w:rsid w:val="005A0064"/>
    <w:rsid w:val="005A00FE"/>
    <w:rsid w:val="005A0225"/>
    <w:rsid w:val="005A0347"/>
    <w:rsid w:val="005A03DA"/>
    <w:rsid w:val="005A0819"/>
    <w:rsid w:val="005A0896"/>
    <w:rsid w:val="005A0A78"/>
    <w:rsid w:val="005A131D"/>
    <w:rsid w:val="005A152A"/>
    <w:rsid w:val="005A1668"/>
    <w:rsid w:val="005A2298"/>
    <w:rsid w:val="005A256B"/>
    <w:rsid w:val="005A26E0"/>
    <w:rsid w:val="005A2805"/>
    <w:rsid w:val="005A28FF"/>
    <w:rsid w:val="005A2948"/>
    <w:rsid w:val="005A3273"/>
    <w:rsid w:val="005A3285"/>
    <w:rsid w:val="005A332C"/>
    <w:rsid w:val="005A344A"/>
    <w:rsid w:val="005A35E4"/>
    <w:rsid w:val="005A36ED"/>
    <w:rsid w:val="005A3D27"/>
    <w:rsid w:val="005A3DD4"/>
    <w:rsid w:val="005A41D8"/>
    <w:rsid w:val="005A41E1"/>
    <w:rsid w:val="005A4482"/>
    <w:rsid w:val="005A46AA"/>
    <w:rsid w:val="005A47BA"/>
    <w:rsid w:val="005A48F3"/>
    <w:rsid w:val="005A4911"/>
    <w:rsid w:val="005A4DD2"/>
    <w:rsid w:val="005A50FD"/>
    <w:rsid w:val="005A513F"/>
    <w:rsid w:val="005A5569"/>
    <w:rsid w:val="005A572A"/>
    <w:rsid w:val="005A585F"/>
    <w:rsid w:val="005A5A3F"/>
    <w:rsid w:val="005A5B57"/>
    <w:rsid w:val="005A5C84"/>
    <w:rsid w:val="005A5DD8"/>
    <w:rsid w:val="005A5DE0"/>
    <w:rsid w:val="005A5E49"/>
    <w:rsid w:val="005A6371"/>
    <w:rsid w:val="005A638C"/>
    <w:rsid w:val="005A66D2"/>
    <w:rsid w:val="005A698C"/>
    <w:rsid w:val="005A6D2D"/>
    <w:rsid w:val="005A767E"/>
    <w:rsid w:val="005A7762"/>
    <w:rsid w:val="005A7E1A"/>
    <w:rsid w:val="005B00BE"/>
    <w:rsid w:val="005B0406"/>
    <w:rsid w:val="005B08E3"/>
    <w:rsid w:val="005B0C11"/>
    <w:rsid w:val="005B0CE6"/>
    <w:rsid w:val="005B0D4E"/>
    <w:rsid w:val="005B0FCB"/>
    <w:rsid w:val="005B1298"/>
    <w:rsid w:val="005B1343"/>
    <w:rsid w:val="005B140A"/>
    <w:rsid w:val="005B1538"/>
    <w:rsid w:val="005B1547"/>
    <w:rsid w:val="005B1701"/>
    <w:rsid w:val="005B1A59"/>
    <w:rsid w:val="005B1B0D"/>
    <w:rsid w:val="005B1CA7"/>
    <w:rsid w:val="005B1FBD"/>
    <w:rsid w:val="005B2099"/>
    <w:rsid w:val="005B2A81"/>
    <w:rsid w:val="005B2C75"/>
    <w:rsid w:val="005B2FCC"/>
    <w:rsid w:val="005B302A"/>
    <w:rsid w:val="005B322A"/>
    <w:rsid w:val="005B3269"/>
    <w:rsid w:val="005B332E"/>
    <w:rsid w:val="005B3422"/>
    <w:rsid w:val="005B34D9"/>
    <w:rsid w:val="005B3B2F"/>
    <w:rsid w:val="005B3C48"/>
    <w:rsid w:val="005B3C4E"/>
    <w:rsid w:val="005B3E08"/>
    <w:rsid w:val="005B40B3"/>
    <w:rsid w:val="005B4140"/>
    <w:rsid w:val="005B4294"/>
    <w:rsid w:val="005B42A4"/>
    <w:rsid w:val="005B43B9"/>
    <w:rsid w:val="005B43BF"/>
    <w:rsid w:val="005B48F6"/>
    <w:rsid w:val="005B4917"/>
    <w:rsid w:val="005B4B24"/>
    <w:rsid w:val="005B4D37"/>
    <w:rsid w:val="005B4F06"/>
    <w:rsid w:val="005B515C"/>
    <w:rsid w:val="005B5184"/>
    <w:rsid w:val="005B57A0"/>
    <w:rsid w:val="005B57FF"/>
    <w:rsid w:val="005B58F2"/>
    <w:rsid w:val="005B5972"/>
    <w:rsid w:val="005B5B65"/>
    <w:rsid w:val="005B5C2E"/>
    <w:rsid w:val="005B5C69"/>
    <w:rsid w:val="005B5C6C"/>
    <w:rsid w:val="005B5DB7"/>
    <w:rsid w:val="005B5EC5"/>
    <w:rsid w:val="005B6242"/>
    <w:rsid w:val="005B6389"/>
    <w:rsid w:val="005B650A"/>
    <w:rsid w:val="005B656B"/>
    <w:rsid w:val="005B70DF"/>
    <w:rsid w:val="005B7166"/>
    <w:rsid w:val="005B71F9"/>
    <w:rsid w:val="005B73E8"/>
    <w:rsid w:val="005B7560"/>
    <w:rsid w:val="005B76D6"/>
    <w:rsid w:val="005B7730"/>
    <w:rsid w:val="005B77A5"/>
    <w:rsid w:val="005B7A02"/>
    <w:rsid w:val="005B7B45"/>
    <w:rsid w:val="005B7C6D"/>
    <w:rsid w:val="005B7F6D"/>
    <w:rsid w:val="005C008F"/>
    <w:rsid w:val="005C00B1"/>
    <w:rsid w:val="005C0418"/>
    <w:rsid w:val="005C043C"/>
    <w:rsid w:val="005C04DB"/>
    <w:rsid w:val="005C0563"/>
    <w:rsid w:val="005C078E"/>
    <w:rsid w:val="005C0A28"/>
    <w:rsid w:val="005C0A42"/>
    <w:rsid w:val="005C0CF4"/>
    <w:rsid w:val="005C14B0"/>
    <w:rsid w:val="005C15AD"/>
    <w:rsid w:val="005C162E"/>
    <w:rsid w:val="005C1A4C"/>
    <w:rsid w:val="005C1D45"/>
    <w:rsid w:val="005C1D73"/>
    <w:rsid w:val="005C2008"/>
    <w:rsid w:val="005C208C"/>
    <w:rsid w:val="005C20E9"/>
    <w:rsid w:val="005C2254"/>
    <w:rsid w:val="005C252F"/>
    <w:rsid w:val="005C2612"/>
    <w:rsid w:val="005C26D2"/>
    <w:rsid w:val="005C274A"/>
    <w:rsid w:val="005C2A37"/>
    <w:rsid w:val="005C2CB7"/>
    <w:rsid w:val="005C2D83"/>
    <w:rsid w:val="005C3002"/>
    <w:rsid w:val="005C314F"/>
    <w:rsid w:val="005C341F"/>
    <w:rsid w:val="005C3636"/>
    <w:rsid w:val="005C36A6"/>
    <w:rsid w:val="005C3C06"/>
    <w:rsid w:val="005C3C5B"/>
    <w:rsid w:val="005C3CDF"/>
    <w:rsid w:val="005C3E07"/>
    <w:rsid w:val="005C3E45"/>
    <w:rsid w:val="005C3E4F"/>
    <w:rsid w:val="005C3F2A"/>
    <w:rsid w:val="005C432B"/>
    <w:rsid w:val="005C4740"/>
    <w:rsid w:val="005C48DB"/>
    <w:rsid w:val="005C4969"/>
    <w:rsid w:val="005C4AC3"/>
    <w:rsid w:val="005C4C38"/>
    <w:rsid w:val="005C4CB4"/>
    <w:rsid w:val="005C4D45"/>
    <w:rsid w:val="005C4E09"/>
    <w:rsid w:val="005C4ED5"/>
    <w:rsid w:val="005C4EFF"/>
    <w:rsid w:val="005C500B"/>
    <w:rsid w:val="005C5098"/>
    <w:rsid w:val="005C512F"/>
    <w:rsid w:val="005C53CE"/>
    <w:rsid w:val="005C56A4"/>
    <w:rsid w:val="005C5C98"/>
    <w:rsid w:val="005C5D38"/>
    <w:rsid w:val="005C5E83"/>
    <w:rsid w:val="005C5EC3"/>
    <w:rsid w:val="005C5F53"/>
    <w:rsid w:val="005C612D"/>
    <w:rsid w:val="005C6141"/>
    <w:rsid w:val="005C6419"/>
    <w:rsid w:val="005C696F"/>
    <w:rsid w:val="005C69A0"/>
    <w:rsid w:val="005C7F75"/>
    <w:rsid w:val="005D0207"/>
    <w:rsid w:val="005D032D"/>
    <w:rsid w:val="005D1118"/>
    <w:rsid w:val="005D128E"/>
    <w:rsid w:val="005D12A6"/>
    <w:rsid w:val="005D1618"/>
    <w:rsid w:val="005D167C"/>
    <w:rsid w:val="005D16B1"/>
    <w:rsid w:val="005D1706"/>
    <w:rsid w:val="005D189E"/>
    <w:rsid w:val="005D19F8"/>
    <w:rsid w:val="005D1A38"/>
    <w:rsid w:val="005D1F62"/>
    <w:rsid w:val="005D1F81"/>
    <w:rsid w:val="005D1FD2"/>
    <w:rsid w:val="005D20D9"/>
    <w:rsid w:val="005D23B5"/>
    <w:rsid w:val="005D26C8"/>
    <w:rsid w:val="005D2CA4"/>
    <w:rsid w:val="005D2D87"/>
    <w:rsid w:val="005D2F1F"/>
    <w:rsid w:val="005D3234"/>
    <w:rsid w:val="005D3348"/>
    <w:rsid w:val="005D3403"/>
    <w:rsid w:val="005D3877"/>
    <w:rsid w:val="005D3A81"/>
    <w:rsid w:val="005D3B43"/>
    <w:rsid w:val="005D3BAB"/>
    <w:rsid w:val="005D3CE7"/>
    <w:rsid w:val="005D3E46"/>
    <w:rsid w:val="005D3FE1"/>
    <w:rsid w:val="005D4031"/>
    <w:rsid w:val="005D40E5"/>
    <w:rsid w:val="005D4310"/>
    <w:rsid w:val="005D44CA"/>
    <w:rsid w:val="005D45F4"/>
    <w:rsid w:val="005D4677"/>
    <w:rsid w:val="005D46C7"/>
    <w:rsid w:val="005D4885"/>
    <w:rsid w:val="005D4913"/>
    <w:rsid w:val="005D4AAC"/>
    <w:rsid w:val="005D4ADD"/>
    <w:rsid w:val="005D4C31"/>
    <w:rsid w:val="005D4EF7"/>
    <w:rsid w:val="005D5090"/>
    <w:rsid w:val="005D52DF"/>
    <w:rsid w:val="005D54F9"/>
    <w:rsid w:val="005D5571"/>
    <w:rsid w:val="005D55B8"/>
    <w:rsid w:val="005D55C9"/>
    <w:rsid w:val="005D56B8"/>
    <w:rsid w:val="005D5E23"/>
    <w:rsid w:val="005D5E77"/>
    <w:rsid w:val="005D617E"/>
    <w:rsid w:val="005D6362"/>
    <w:rsid w:val="005D671E"/>
    <w:rsid w:val="005D677A"/>
    <w:rsid w:val="005D6AA7"/>
    <w:rsid w:val="005D7470"/>
    <w:rsid w:val="005D774C"/>
    <w:rsid w:val="005D77E2"/>
    <w:rsid w:val="005D7E3B"/>
    <w:rsid w:val="005D7F24"/>
    <w:rsid w:val="005E0187"/>
    <w:rsid w:val="005E024F"/>
    <w:rsid w:val="005E0647"/>
    <w:rsid w:val="005E06F3"/>
    <w:rsid w:val="005E0846"/>
    <w:rsid w:val="005E096A"/>
    <w:rsid w:val="005E0C85"/>
    <w:rsid w:val="005E0D8A"/>
    <w:rsid w:val="005E0DA5"/>
    <w:rsid w:val="005E115F"/>
    <w:rsid w:val="005E125D"/>
    <w:rsid w:val="005E1540"/>
    <w:rsid w:val="005E17AD"/>
    <w:rsid w:val="005E21A8"/>
    <w:rsid w:val="005E27B0"/>
    <w:rsid w:val="005E2869"/>
    <w:rsid w:val="005E2C9D"/>
    <w:rsid w:val="005E3086"/>
    <w:rsid w:val="005E3252"/>
    <w:rsid w:val="005E343E"/>
    <w:rsid w:val="005E3A21"/>
    <w:rsid w:val="005E3D09"/>
    <w:rsid w:val="005E3D6B"/>
    <w:rsid w:val="005E3E16"/>
    <w:rsid w:val="005E4359"/>
    <w:rsid w:val="005E4392"/>
    <w:rsid w:val="005E4830"/>
    <w:rsid w:val="005E4850"/>
    <w:rsid w:val="005E499E"/>
    <w:rsid w:val="005E4A78"/>
    <w:rsid w:val="005E4FE5"/>
    <w:rsid w:val="005E50CD"/>
    <w:rsid w:val="005E51F1"/>
    <w:rsid w:val="005E54E0"/>
    <w:rsid w:val="005E551E"/>
    <w:rsid w:val="005E5899"/>
    <w:rsid w:val="005E58DF"/>
    <w:rsid w:val="005E58EC"/>
    <w:rsid w:val="005E59E0"/>
    <w:rsid w:val="005E5B04"/>
    <w:rsid w:val="005E5D21"/>
    <w:rsid w:val="005E5D4E"/>
    <w:rsid w:val="005E5F37"/>
    <w:rsid w:val="005E5F3B"/>
    <w:rsid w:val="005E5F41"/>
    <w:rsid w:val="005E60FF"/>
    <w:rsid w:val="005E6645"/>
    <w:rsid w:val="005E6752"/>
    <w:rsid w:val="005E6BB2"/>
    <w:rsid w:val="005E6BF7"/>
    <w:rsid w:val="005E6C43"/>
    <w:rsid w:val="005E70DC"/>
    <w:rsid w:val="005E717D"/>
    <w:rsid w:val="005E73AB"/>
    <w:rsid w:val="005E75CD"/>
    <w:rsid w:val="005E7687"/>
    <w:rsid w:val="005E7CD8"/>
    <w:rsid w:val="005E7DA4"/>
    <w:rsid w:val="005E7DA8"/>
    <w:rsid w:val="005E7F52"/>
    <w:rsid w:val="005E7F81"/>
    <w:rsid w:val="005E7F9D"/>
    <w:rsid w:val="005F03D0"/>
    <w:rsid w:val="005F0701"/>
    <w:rsid w:val="005F0E2D"/>
    <w:rsid w:val="005F0F14"/>
    <w:rsid w:val="005F0FCF"/>
    <w:rsid w:val="005F133B"/>
    <w:rsid w:val="005F1480"/>
    <w:rsid w:val="005F15E7"/>
    <w:rsid w:val="005F1D4F"/>
    <w:rsid w:val="005F227F"/>
    <w:rsid w:val="005F22DB"/>
    <w:rsid w:val="005F262E"/>
    <w:rsid w:val="005F27EC"/>
    <w:rsid w:val="005F2B65"/>
    <w:rsid w:val="005F2D8D"/>
    <w:rsid w:val="005F2E67"/>
    <w:rsid w:val="005F2F9E"/>
    <w:rsid w:val="005F3070"/>
    <w:rsid w:val="005F316D"/>
    <w:rsid w:val="005F33AA"/>
    <w:rsid w:val="005F343E"/>
    <w:rsid w:val="005F34B7"/>
    <w:rsid w:val="005F39E4"/>
    <w:rsid w:val="005F3A95"/>
    <w:rsid w:val="005F3C51"/>
    <w:rsid w:val="005F3D6C"/>
    <w:rsid w:val="005F4077"/>
    <w:rsid w:val="005F44BF"/>
    <w:rsid w:val="005F461C"/>
    <w:rsid w:val="005F4862"/>
    <w:rsid w:val="005F4A66"/>
    <w:rsid w:val="005F4F30"/>
    <w:rsid w:val="005F4FE3"/>
    <w:rsid w:val="005F52BF"/>
    <w:rsid w:val="005F52E4"/>
    <w:rsid w:val="005F533A"/>
    <w:rsid w:val="005F5767"/>
    <w:rsid w:val="005F57B5"/>
    <w:rsid w:val="005F5899"/>
    <w:rsid w:val="005F5992"/>
    <w:rsid w:val="005F5B47"/>
    <w:rsid w:val="005F5BF6"/>
    <w:rsid w:val="005F5E86"/>
    <w:rsid w:val="005F5EED"/>
    <w:rsid w:val="005F60B4"/>
    <w:rsid w:val="005F6654"/>
    <w:rsid w:val="005F687E"/>
    <w:rsid w:val="005F69D5"/>
    <w:rsid w:val="005F6D96"/>
    <w:rsid w:val="005F7057"/>
    <w:rsid w:val="005F708B"/>
    <w:rsid w:val="005F71E5"/>
    <w:rsid w:val="005F72AB"/>
    <w:rsid w:val="005F72B5"/>
    <w:rsid w:val="005F731C"/>
    <w:rsid w:val="005F740D"/>
    <w:rsid w:val="005F742F"/>
    <w:rsid w:val="005F7437"/>
    <w:rsid w:val="005F7F3A"/>
    <w:rsid w:val="005F7F60"/>
    <w:rsid w:val="006000EC"/>
    <w:rsid w:val="006003CE"/>
    <w:rsid w:val="00600644"/>
    <w:rsid w:val="0060066B"/>
    <w:rsid w:val="00600706"/>
    <w:rsid w:val="006007BB"/>
    <w:rsid w:val="00600D49"/>
    <w:rsid w:val="00600F67"/>
    <w:rsid w:val="00601952"/>
    <w:rsid w:val="00601CEC"/>
    <w:rsid w:val="00602222"/>
    <w:rsid w:val="00602562"/>
    <w:rsid w:val="006026F9"/>
    <w:rsid w:val="00602ECF"/>
    <w:rsid w:val="006032CF"/>
    <w:rsid w:val="00603704"/>
    <w:rsid w:val="00603C8B"/>
    <w:rsid w:val="00603CD5"/>
    <w:rsid w:val="00603D1E"/>
    <w:rsid w:val="00603D25"/>
    <w:rsid w:val="00603D2E"/>
    <w:rsid w:val="00603F94"/>
    <w:rsid w:val="0060400A"/>
    <w:rsid w:val="00604021"/>
    <w:rsid w:val="006040B8"/>
    <w:rsid w:val="00604263"/>
    <w:rsid w:val="00604801"/>
    <w:rsid w:val="0060496E"/>
    <w:rsid w:val="00604A3E"/>
    <w:rsid w:val="00604AA4"/>
    <w:rsid w:val="00604AF0"/>
    <w:rsid w:val="00604B65"/>
    <w:rsid w:val="00604FED"/>
    <w:rsid w:val="00605183"/>
    <w:rsid w:val="00605186"/>
    <w:rsid w:val="006053BE"/>
    <w:rsid w:val="00605422"/>
    <w:rsid w:val="00605738"/>
    <w:rsid w:val="00605948"/>
    <w:rsid w:val="00605992"/>
    <w:rsid w:val="006059BC"/>
    <w:rsid w:val="00606061"/>
    <w:rsid w:val="006060D0"/>
    <w:rsid w:val="006060D6"/>
    <w:rsid w:val="00606275"/>
    <w:rsid w:val="006068D7"/>
    <w:rsid w:val="006069E7"/>
    <w:rsid w:val="00606F55"/>
    <w:rsid w:val="00606FBD"/>
    <w:rsid w:val="00607263"/>
    <w:rsid w:val="0060753C"/>
    <w:rsid w:val="00607ADB"/>
    <w:rsid w:val="00607BD6"/>
    <w:rsid w:val="00607C5B"/>
    <w:rsid w:val="00607CB8"/>
    <w:rsid w:val="00607E33"/>
    <w:rsid w:val="006102C0"/>
    <w:rsid w:val="00610400"/>
    <w:rsid w:val="00610C13"/>
    <w:rsid w:val="00611412"/>
    <w:rsid w:val="00611638"/>
    <w:rsid w:val="00611823"/>
    <w:rsid w:val="00611A25"/>
    <w:rsid w:val="00611B50"/>
    <w:rsid w:val="00611E6B"/>
    <w:rsid w:val="00612006"/>
    <w:rsid w:val="006120FB"/>
    <w:rsid w:val="006126DE"/>
    <w:rsid w:val="00612B7E"/>
    <w:rsid w:val="00612E1A"/>
    <w:rsid w:val="00612FCD"/>
    <w:rsid w:val="00613034"/>
    <w:rsid w:val="006133AD"/>
    <w:rsid w:val="0061384F"/>
    <w:rsid w:val="00613994"/>
    <w:rsid w:val="006139D9"/>
    <w:rsid w:val="00613DAD"/>
    <w:rsid w:val="0061414E"/>
    <w:rsid w:val="00614188"/>
    <w:rsid w:val="006143F5"/>
    <w:rsid w:val="006143F7"/>
    <w:rsid w:val="0061483B"/>
    <w:rsid w:val="00614B67"/>
    <w:rsid w:val="00614BC7"/>
    <w:rsid w:val="00614D16"/>
    <w:rsid w:val="006150D0"/>
    <w:rsid w:val="00615186"/>
    <w:rsid w:val="00615295"/>
    <w:rsid w:val="006154A0"/>
    <w:rsid w:val="00615889"/>
    <w:rsid w:val="00615A97"/>
    <w:rsid w:val="00615DAA"/>
    <w:rsid w:val="00615FC5"/>
    <w:rsid w:val="00615FDE"/>
    <w:rsid w:val="00616344"/>
    <w:rsid w:val="0061636C"/>
    <w:rsid w:val="00616490"/>
    <w:rsid w:val="00616DC7"/>
    <w:rsid w:val="006170EF"/>
    <w:rsid w:val="0061732A"/>
    <w:rsid w:val="00617419"/>
    <w:rsid w:val="006176CB"/>
    <w:rsid w:val="00617B9D"/>
    <w:rsid w:val="00617C22"/>
    <w:rsid w:val="00617DE4"/>
    <w:rsid w:val="006205C6"/>
    <w:rsid w:val="006207C1"/>
    <w:rsid w:val="0062085E"/>
    <w:rsid w:val="006208D0"/>
    <w:rsid w:val="00620CCA"/>
    <w:rsid w:val="00620D25"/>
    <w:rsid w:val="00620D49"/>
    <w:rsid w:val="00620EA1"/>
    <w:rsid w:val="00621053"/>
    <w:rsid w:val="006212FD"/>
    <w:rsid w:val="006213AA"/>
    <w:rsid w:val="00621468"/>
    <w:rsid w:val="0062178A"/>
    <w:rsid w:val="00621884"/>
    <w:rsid w:val="0062199E"/>
    <w:rsid w:val="00621E86"/>
    <w:rsid w:val="00621F17"/>
    <w:rsid w:val="00622320"/>
    <w:rsid w:val="0062253B"/>
    <w:rsid w:val="0062265F"/>
    <w:rsid w:val="0062277E"/>
    <w:rsid w:val="00622932"/>
    <w:rsid w:val="006229A9"/>
    <w:rsid w:val="00622BB2"/>
    <w:rsid w:val="0062347D"/>
    <w:rsid w:val="00623B69"/>
    <w:rsid w:val="00623EF2"/>
    <w:rsid w:val="00624171"/>
    <w:rsid w:val="0062434A"/>
    <w:rsid w:val="0062447A"/>
    <w:rsid w:val="00624AC1"/>
    <w:rsid w:val="00624BDA"/>
    <w:rsid w:val="00624C61"/>
    <w:rsid w:val="00624CCD"/>
    <w:rsid w:val="00624CE7"/>
    <w:rsid w:val="00624D25"/>
    <w:rsid w:val="00624D96"/>
    <w:rsid w:val="00625215"/>
    <w:rsid w:val="006254B9"/>
    <w:rsid w:val="006255B0"/>
    <w:rsid w:val="006256FD"/>
    <w:rsid w:val="00625926"/>
    <w:rsid w:val="00625A9B"/>
    <w:rsid w:val="00625D15"/>
    <w:rsid w:val="00625E97"/>
    <w:rsid w:val="00625FFA"/>
    <w:rsid w:val="00626362"/>
    <w:rsid w:val="00626654"/>
    <w:rsid w:val="006267C6"/>
    <w:rsid w:val="00626B21"/>
    <w:rsid w:val="00626D42"/>
    <w:rsid w:val="00626E20"/>
    <w:rsid w:val="00626F4B"/>
    <w:rsid w:val="00626FAC"/>
    <w:rsid w:val="00627116"/>
    <w:rsid w:val="00627179"/>
    <w:rsid w:val="006272F5"/>
    <w:rsid w:val="00627486"/>
    <w:rsid w:val="00627558"/>
    <w:rsid w:val="0062765D"/>
    <w:rsid w:val="006277CD"/>
    <w:rsid w:val="00627937"/>
    <w:rsid w:val="00627D6A"/>
    <w:rsid w:val="00627F37"/>
    <w:rsid w:val="00627F38"/>
    <w:rsid w:val="00627F7A"/>
    <w:rsid w:val="00630506"/>
    <w:rsid w:val="00630727"/>
    <w:rsid w:val="00630A1F"/>
    <w:rsid w:val="00630B0A"/>
    <w:rsid w:val="00630B2B"/>
    <w:rsid w:val="00630CA8"/>
    <w:rsid w:val="00630E38"/>
    <w:rsid w:val="006310E4"/>
    <w:rsid w:val="0063115D"/>
    <w:rsid w:val="00631807"/>
    <w:rsid w:val="00631981"/>
    <w:rsid w:val="00631A8A"/>
    <w:rsid w:val="00631AE4"/>
    <w:rsid w:val="00631EB6"/>
    <w:rsid w:val="00631FFE"/>
    <w:rsid w:val="006325BA"/>
    <w:rsid w:val="0063267B"/>
    <w:rsid w:val="0063293B"/>
    <w:rsid w:val="00632AAD"/>
    <w:rsid w:val="00632C49"/>
    <w:rsid w:val="00632C8B"/>
    <w:rsid w:val="00632D0E"/>
    <w:rsid w:val="00632DCB"/>
    <w:rsid w:val="00632DCF"/>
    <w:rsid w:val="00633241"/>
    <w:rsid w:val="00633621"/>
    <w:rsid w:val="0063368B"/>
    <w:rsid w:val="00633881"/>
    <w:rsid w:val="00633D32"/>
    <w:rsid w:val="00633DD3"/>
    <w:rsid w:val="00633FE7"/>
    <w:rsid w:val="00634374"/>
    <w:rsid w:val="00634536"/>
    <w:rsid w:val="00634557"/>
    <w:rsid w:val="00634593"/>
    <w:rsid w:val="0063477C"/>
    <w:rsid w:val="00634A7C"/>
    <w:rsid w:val="00634A82"/>
    <w:rsid w:val="00634B33"/>
    <w:rsid w:val="00634CC8"/>
    <w:rsid w:val="00634E51"/>
    <w:rsid w:val="00634EB3"/>
    <w:rsid w:val="00635274"/>
    <w:rsid w:val="006353FF"/>
    <w:rsid w:val="006359A5"/>
    <w:rsid w:val="00635D26"/>
    <w:rsid w:val="00635E5A"/>
    <w:rsid w:val="00635F0C"/>
    <w:rsid w:val="006360A8"/>
    <w:rsid w:val="00636293"/>
    <w:rsid w:val="00636379"/>
    <w:rsid w:val="00636967"/>
    <w:rsid w:val="00636A38"/>
    <w:rsid w:val="00636B14"/>
    <w:rsid w:val="00636B5D"/>
    <w:rsid w:val="00636C99"/>
    <w:rsid w:val="00636D06"/>
    <w:rsid w:val="00636D70"/>
    <w:rsid w:val="00637593"/>
    <w:rsid w:val="00637624"/>
    <w:rsid w:val="00637B1C"/>
    <w:rsid w:val="00637D16"/>
    <w:rsid w:val="00637F19"/>
    <w:rsid w:val="0064009E"/>
    <w:rsid w:val="0064030B"/>
    <w:rsid w:val="0064038C"/>
    <w:rsid w:val="006404A0"/>
    <w:rsid w:val="00640815"/>
    <w:rsid w:val="00640906"/>
    <w:rsid w:val="00640971"/>
    <w:rsid w:val="00640AAF"/>
    <w:rsid w:val="00640F8A"/>
    <w:rsid w:val="00640FEA"/>
    <w:rsid w:val="00641158"/>
    <w:rsid w:val="0064144C"/>
    <w:rsid w:val="0064157E"/>
    <w:rsid w:val="006415C7"/>
    <w:rsid w:val="0064179D"/>
    <w:rsid w:val="00641B93"/>
    <w:rsid w:val="00641C55"/>
    <w:rsid w:val="00641E14"/>
    <w:rsid w:val="00641E35"/>
    <w:rsid w:val="00642381"/>
    <w:rsid w:val="00642750"/>
    <w:rsid w:val="00642BCC"/>
    <w:rsid w:val="00642E84"/>
    <w:rsid w:val="00642F83"/>
    <w:rsid w:val="00643056"/>
    <w:rsid w:val="00643109"/>
    <w:rsid w:val="0064330D"/>
    <w:rsid w:val="00643331"/>
    <w:rsid w:val="0064353F"/>
    <w:rsid w:val="00643762"/>
    <w:rsid w:val="00643A62"/>
    <w:rsid w:val="00643B52"/>
    <w:rsid w:val="00644292"/>
    <w:rsid w:val="006444E8"/>
    <w:rsid w:val="00644584"/>
    <w:rsid w:val="006448A5"/>
    <w:rsid w:val="00644927"/>
    <w:rsid w:val="00644F9A"/>
    <w:rsid w:val="0064562A"/>
    <w:rsid w:val="0064565E"/>
    <w:rsid w:val="00645699"/>
    <w:rsid w:val="0064598A"/>
    <w:rsid w:val="00645A69"/>
    <w:rsid w:val="00645B5E"/>
    <w:rsid w:val="00646209"/>
    <w:rsid w:val="00646B07"/>
    <w:rsid w:val="00646C87"/>
    <w:rsid w:val="0064710F"/>
    <w:rsid w:val="006475DA"/>
    <w:rsid w:val="006475E0"/>
    <w:rsid w:val="00647BD0"/>
    <w:rsid w:val="00647E3B"/>
    <w:rsid w:val="00647F1B"/>
    <w:rsid w:val="0065014D"/>
    <w:rsid w:val="0065025B"/>
    <w:rsid w:val="006508BD"/>
    <w:rsid w:val="00650912"/>
    <w:rsid w:val="00650C19"/>
    <w:rsid w:val="00650C38"/>
    <w:rsid w:val="00650C79"/>
    <w:rsid w:val="00650E45"/>
    <w:rsid w:val="0065100D"/>
    <w:rsid w:val="0065114A"/>
    <w:rsid w:val="00651353"/>
    <w:rsid w:val="006516DD"/>
    <w:rsid w:val="006516E8"/>
    <w:rsid w:val="006517C5"/>
    <w:rsid w:val="0065187C"/>
    <w:rsid w:val="00651C0E"/>
    <w:rsid w:val="00651DB4"/>
    <w:rsid w:val="00651E76"/>
    <w:rsid w:val="00651EB8"/>
    <w:rsid w:val="00651F3A"/>
    <w:rsid w:val="00651F3B"/>
    <w:rsid w:val="00651F8D"/>
    <w:rsid w:val="00652025"/>
    <w:rsid w:val="0065202C"/>
    <w:rsid w:val="006522FB"/>
    <w:rsid w:val="0065270F"/>
    <w:rsid w:val="00652793"/>
    <w:rsid w:val="00652A89"/>
    <w:rsid w:val="00652AD5"/>
    <w:rsid w:val="00652C72"/>
    <w:rsid w:val="00652CB9"/>
    <w:rsid w:val="00653180"/>
    <w:rsid w:val="006533E7"/>
    <w:rsid w:val="0065345D"/>
    <w:rsid w:val="006535B7"/>
    <w:rsid w:val="006535C7"/>
    <w:rsid w:val="00653BD7"/>
    <w:rsid w:val="00653C19"/>
    <w:rsid w:val="00653F85"/>
    <w:rsid w:val="00654046"/>
    <w:rsid w:val="0065421B"/>
    <w:rsid w:val="00654298"/>
    <w:rsid w:val="0065464B"/>
    <w:rsid w:val="00654992"/>
    <w:rsid w:val="00654ABF"/>
    <w:rsid w:val="00654AFA"/>
    <w:rsid w:val="00655064"/>
    <w:rsid w:val="006552C6"/>
    <w:rsid w:val="00655578"/>
    <w:rsid w:val="006555CD"/>
    <w:rsid w:val="00655A8D"/>
    <w:rsid w:val="00655AEC"/>
    <w:rsid w:val="00655CAA"/>
    <w:rsid w:val="00655EA1"/>
    <w:rsid w:val="00655FCE"/>
    <w:rsid w:val="0065608D"/>
    <w:rsid w:val="0065683E"/>
    <w:rsid w:val="006568E5"/>
    <w:rsid w:val="00656A07"/>
    <w:rsid w:val="00656AD1"/>
    <w:rsid w:val="00656BF5"/>
    <w:rsid w:val="00656D67"/>
    <w:rsid w:val="00656FDB"/>
    <w:rsid w:val="00657117"/>
    <w:rsid w:val="0065714F"/>
    <w:rsid w:val="00657759"/>
    <w:rsid w:val="00657A02"/>
    <w:rsid w:val="00657B50"/>
    <w:rsid w:val="00657C81"/>
    <w:rsid w:val="00660054"/>
    <w:rsid w:val="00660309"/>
    <w:rsid w:val="00660465"/>
    <w:rsid w:val="0066047E"/>
    <w:rsid w:val="006605A1"/>
    <w:rsid w:val="006607E0"/>
    <w:rsid w:val="00660C67"/>
    <w:rsid w:val="00660CFE"/>
    <w:rsid w:val="00660E01"/>
    <w:rsid w:val="00660FF9"/>
    <w:rsid w:val="00661013"/>
    <w:rsid w:val="00661110"/>
    <w:rsid w:val="006612ED"/>
    <w:rsid w:val="00661B95"/>
    <w:rsid w:val="00661F33"/>
    <w:rsid w:val="006622F7"/>
    <w:rsid w:val="00662A41"/>
    <w:rsid w:val="00662A98"/>
    <w:rsid w:val="00662C39"/>
    <w:rsid w:val="00662FEB"/>
    <w:rsid w:val="0066319A"/>
    <w:rsid w:val="00663421"/>
    <w:rsid w:val="00663576"/>
    <w:rsid w:val="006636C5"/>
    <w:rsid w:val="00664075"/>
    <w:rsid w:val="006640AE"/>
    <w:rsid w:val="0066451F"/>
    <w:rsid w:val="006646D1"/>
    <w:rsid w:val="0066481F"/>
    <w:rsid w:val="00664860"/>
    <w:rsid w:val="006649E4"/>
    <w:rsid w:val="00664A77"/>
    <w:rsid w:val="00664C49"/>
    <w:rsid w:val="00664EFB"/>
    <w:rsid w:val="00664F5B"/>
    <w:rsid w:val="006651E7"/>
    <w:rsid w:val="00665501"/>
    <w:rsid w:val="006659C7"/>
    <w:rsid w:val="00665B89"/>
    <w:rsid w:val="00666271"/>
    <w:rsid w:val="006668B0"/>
    <w:rsid w:val="006669D1"/>
    <w:rsid w:val="0066726A"/>
    <w:rsid w:val="0066735A"/>
    <w:rsid w:val="00667C6B"/>
    <w:rsid w:val="00667CED"/>
    <w:rsid w:val="00667DFA"/>
    <w:rsid w:val="0067000C"/>
    <w:rsid w:val="006700E3"/>
    <w:rsid w:val="00670623"/>
    <w:rsid w:val="006707DC"/>
    <w:rsid w:val="00670B58"/>
    <w:rsid w:val="00670E2E"/>
    <w:rsid w:val="00670FF4"/>
    <w:rsid w:val="006710E5"/>
    <w:rsid w:val="00671206"/>
    <w:rsid w:val="006714E3"/>
    <w:rsid w:val="00671502"/>
    <w:rsid w:val="00671565"/>
    <w:rsid w:val="006719A1"/>
    <w:rsid w:val="00671DF3"/>
    <w:rsid w:val="00672009"/>
    <w:rsid w:val="00672211"/>
    <w:rsid w:val="006727C2"/>
    <w:rsid w:val="00672B02"/>
    <w:rsid w:val="00672F9C"/>
    <w:rsid w:val="0067318A"/>
    <w:rsid w:val="00673391"/>
    <w:rsid w:val="00673495"/>
    <w:rsid w:val="00673833"/>
    <w:rsid w:val="006739CC"/>
    <w:rsid w:val="00673BF1"/>
    <w:rsid w:val="00673E26"/>
    <w:rsid w:val="006741DF"/>
    <w:rsid w:val="0067422F"/>
    <w:rsid w:val="00674454"/>
    <w:rsid w:val="0067491C"/>
    <w:rsid w:val="00674EFE"/>
    <w:rsid w:val="00674F83"/>
    <w:rsid w:val="0067508B"/>
    <w:rsid w:val="006750A4"/>
    <w:rsid w:val="006750B9"/>
    <w:rsid w:val="00675100"/>
    <w:rsid w:val="006753BD"/>
    <w:rsid w:val="00675886"/>
    <w:rsid w:val="00675A26"/>
    <w:rsid w:val="00675A7D"/>
    <w:rsid w:val="00675C3C"/>
    <w:rsid w:val="00675CC8"/>
    <w:rsid w:val="00675F1E"/>
    <w:rsid w:val="006760FE"/>
    <w:rsid w:val="0067634B"/>
    <w:rsid w:val="006763B7"/>
    <w:rsid w:val="006768A1"/>
    <w:rsid w:val="00676A5F"/>
    <w:rsid w:val="00676C0D"/>
    <w:rsid w:val="006771EC"/>
    <w:rsid w:val="00677396"/>
    <w:rsid w:val="0067745A"/>
    <w:rsid w:val="00677517"/>
    <w:rsid w:val="0067766E"/>
    <w:rsid w:val="006776F9"/>
    <w:rsid w:val="00677754"/>
    <w:rsid w:val="00677935"/>
    <w:rsid w:val="00677964"/>
    <w:rsid w:val="00677A7C"/>
    <w:rsid w:val="00677DB3"/>
    <w:rsid w:val="00677E26"/>
    <w:rsid w:val="006802D7"/>
    <w:rsid w:val="0068049B"/>
    <w:rsid w:val="00680806"/>
    <w:rsid w:val="00680975"/>
    <w:rsid w:val="006809E1"/>
    <w:rsid w:val="00680E1C"/>
    <w:rsid w:val="00680FCF"/>
    <w:rsid w:val="0068144C"/>
    <w:rsid w:val="00681464"/>
    <w:rsid w:val="006819CD"/>
    <w:rsid w:val="006819D0"/>
    <w:rsid w:val="006820C4"/>
    <w:rsid w:val="006826A5"/>
    <w:rsid w:val="00682898"/>
    <w:rsid w:val="006828DE"/>
    <w:rsid w:val="00682A7C"/>
    <w:rsid w:val="00682B29"/>
    <w:rsid w:val="00682DA3"/>
    <w:rsid w:val="00683133"/>
    <w:rsid w:val="0068315A"/>
    <w:rsid w:val="0068330E"/>
    <w:rsid w:val="006833CA"/>
    <w:rsid w:val="00683915"/>
    <w:rsid w:val="00683B8A"/>
    <w:rsid w:val="00683B95"/>
    <w:rsid w:val="00683CF6"/>
    <w:rsid w:val="00683F65"/>
    <w:rsid w:val="00684056"/>
    <w:rsid w:val="006841F3"/>
    <w:rsid w:val="006842C1"/>
    <w:rsid w:val="006843EF"/>
    <w:rsid w:val="0068466F"/>
    <w:rsid w:val="0068469D"/>
    <w:rsid w:val="00684966"/>
    <w:rsid w:val="00684B29"/>
    <w:rsid w:val="00684C38"/>
    <w:rsid w:val="00684DD8"/>
    <w:rsid w:val="00685159"/>
    <w:rsid w:val="0068529E"/>
    <w:rsid w:val="0068539F"/>
    <w:rsid w:val="00685403"/>
    <w:rsid w:val="00685664"/>
    <w:rsid w:val="006856CD"/>
    <w:rsid w:val="00685706"/>
    <w:rsid w:val="00685713"/>
    <w:rsid w:val="0068572D"/>
    <w:rsid w:val="00685767"/>
    <w:rsid w:val="00685897"/>
    <w:rsid w:val="0068590F"/>
    <w:rsid w:val="006859C0"/>
    <w:rsid w:val="00685B05"/>
    <w:rsid w:val="00685C1D"/>
    <w:rsid w:val="00685CC1"/>
    <w:rsid w:val="00686032"/>
    <w:rsid w:val="006863BC"/>
    <w:rsid w:val="006864D5"/>
    <w:rsid w:val="00686631"/>
    <w:rsid w:val="00686725"/>
    <w:rsid w:val="00686980"/>
    <w:rsid w:val="00686A46"/>
    <w:rsid w:val="00686B47"/>
    <w:rsid w:val="00686C41"/>
    <w:rsid w:val="00686DC4"/>
    <w:rsid w:val="00686E81"/>
    <w:rsid w:val="00686EC7"/>
    <w:rsid w:val="00686F43"/>
    <w:rsid w:val="00686F6F"/>
    <w:rsid w:val="006871DA"/>
    <w:rsid w:val="006874C0"/>
    <w:rsid w:val="00687AFD"/>
    <w:rsid w:val="00687B28"/>
    <w:rsid w:val="00687D08"/>
    <w:rsid w:val="00687D61"/>
    <w:rsid w:val="00687E82"/>
    <w:rsid w:val="006900A9"/>
    <w:rsid w:val="00690281"/>
    <w:rsid w:val="00690642"/>
    <w:rsid w:val="006908BA"/>
    <w:rsid w:val="00690D48"/>
    <w:rsid w:val="00691075"/>
    <w:rsid w:val="006910E3"/>
    <w:rsid w:val="006911BE"/>
    <w:rsid w:val="0069138B"/>
    <w:rsid w:val="00691551"/>
    <w:rsid w:val="0069162E"/>
    <w:rsid w:val="00691A1A"/>
    <w:rsid w:val="00691BF8"/>
    <w:rsid w:val="006922EC"/>
    <w:rsid w:val="006924EA"/>
    <w:rsid w:val="00692610"/>
    <w:rsid w:val="006926FD"/>
    <w:rsid w:val="00692710"/>
    <w:rsid w:val="00692A10"/>
    <w:rsid w:val="00692F55"/>
    <w:rsid w:val="00693326"/>
    <w:rsid w:val="006933BB"/>
    <w:rsid w:val="00693522"/>
    <w:rsid w:val="0069381D"/>
    <w:rsid w:val="006939DB"/>
    <w:rsid w:val="00693E85"/>
    <w:rsid w:val="00693F59"/>
    <w:rsid w:val="0069400D"/>
    <w:rsid w:val="0069410B"/>
    <w:rsid w:val="0069415F"/>
    <w:rsid w:val="0069439D"/>
    <w:rsid w:val="00694ABD"/>
    <w:rsid w:val="00694BA1"/>
    <w:rsid w:val="00694BAC"/>
    <w:rsid w:val="00694D38"/>
    <w:rsid w:val="006952B6"/>
    <w:rsid w:val="006954C5"/>
    <w:rsid w:val="00695571"/>
    <w:rsid w:val="0069581A"/>
    <w:rsid w:val="0069584B"/>
    <w:rsid w:val="00695D4D"/>
    <w:rsid w:val="00695D64"/>
    <w:rsid w:val="00695E76"/>
    <w:rsid w:val="00696283"/>
    <w:rsid w:val="00696BF1"/>
    <w:rsid w:val="00696BFA"/>
    <w:rsid w:val="00696E6B"/>
    <w:rsid w:val="006972AD"/>
    <w:rsid w:val="00697395"/>
    <w:rsid w:val="0069767A"/>
    <w:rsid w:val="00697840"/>
    <w:rsid w:val="00697918"/>
    <w:rsid w:val="006979C7"/>
    <w:rsid w:val="006A0217"/>
    <w:rsid w:val="006A0344"/>
    <w:rsid w:val="006A0426"/>
    <w:rsid w:val="006A0974"/>
    <w:rsid w:val="006A0BEA"/>
    <w:rsid w:val="006A0D01"/>
    <w:rsid w:val="006A0D13"/>
    <w:rsid w:val="006A0F1D"/>
    <w:rsid w:val="006A124A"/>
    <w:rsid w:val="006A12CE"/>
    <w:rsid w:val="006A1596"/>
    <w:rsid w:val="006A166B"/>
    <w:rsid w:val="006A1784"/>
    <w:rsid w:val="006A1801"/>
    <w:rsid w:val="006A1A16"/>
    <w:rsid w:val="006A1E41"/>
    <w:rsid w:val="006A214D"/>
    <w:rsid w:val="006A24B8"/>
    <w:rsid w:val="006A335F"/>
    <w:rsid w:val="006A3457"/>
    <w:rsid w:val="006A3497"/>
    <w:rsid w:val="006A3528"/>
    <w:rsid w:val="006A380D"/>
    <w:rsid w:val="006A3973"/>
    <w:rsid w:val="006A39DF"/>
    <w:rsid w:val="006A3C21"/>
    <w:rsid w:val="006A3F4C"/>
    <w:rsid w:val="006A4275"/>
    <w:rsid w:val="006A4475"/>
    <w:rsid w:val="006A475E"/>
    <w:rsid w:val="006A48C4"/>
    <w:rsid w:val="006A498A"/>
    <w:rsid w:val="006A49B2"/>
    <w:rsid w:val="006A4FC9"/>
    <w:rsid w:val="006A51DA"/>
    <w:rsid w:val="006A53E1"/>
    <w:rsid w:val="006A5740"/>
    <w:rsid w:val="006A57A0"/>
    <w:rsid w:val="006A57F7"/>
    <w:rsid w:val="006A642B"/>
    <w:rsid w:val="006A6480"/>
    <w:rsid w:val="006A6680"/>
    <w:rsid w:val="006A6868"/>
    <w:rsid w:val="006A6AA8"/>
    <w:rsid w:val="006A6BCC"/>
    <w:rsid w:val="006A70AB"/>
    <w:rsid w:val="006A70F1"/>
    <w:rsid w:val="006A724C"/>
    <w:rsid w:val="006A730F"/>
    <w:rsid w:val="006A775D"/>
    <w:rsid w:val="006A77C9"/>
    <w:rsid w:val="006A783B"/>
    <w:rsid w:val="006A78CA"/>
    <w:rsid w:val="006A79A4"/>
    <w:rsid w:val="006A7BA8"/>
    <w:rsid w:val="006A7BBC"/>
    <w:rsid w:val="006A7DC8"/>
    <w:rsid w:val="006A7F53"/>
    <w:rsid w:val="006B0222"/>
    <w:rsid w:val="006B0228"/>
    <w:rsid w:val="006B03F3"/>
    <w:rsid w:val="006B0ACC"/>
    <w:rsid w:val="006B118C"/>
    <w:rsid w:val="006B130A"/>
    <w:rsid w:val="006B163B"/>
    <w:rsid w:val="006B16BF"/>
    <w:rsid w:val="006B1AC4"/>
    <w:rsid w:val="006B1B8D"/>
    <w:rsid w:val="006B1CC2"/>
    <w:rsid w:val="006B1F5C"/>
    <w:rsid w:val="006B201A"/>
    <w:rsid w:val="006B2375"/>
    <w:rsid w:val="006B24E7"/>
    <w:rsid w:val="006B25D3"/>
    <w:rsid w:val="006B2751"/>
    <w:rsid w:val="006B287C"/>
    <w:rsid w:val="006B2BA6"/>
    <w:rsid w:val="006B2F64"/>
    <w:rsid w:val="006B2F6E"/>
    <w:rsid w:val="006B3177"/>
    <w:rsid w:val="006B32DB"/>
    <w:rsid w:val="006B34FE"/>
    <w:rsid w:val="006B36D4"/>
    <w:rsid w:val="006B37A2"/>
    <w:rsid w:val="006B3833"/>
    <w:rsid w:val="006B388D"/>
    <w:rsid w:val="006B3AFA"/>
    <w:rsid w:val="006B4150"/>
    <w:rsid w:val="006B4544"/>
    <w:rsid w:val="006B47CE"/>
    <w:rsid w:val="006B4869"/>
    <w:rsid w:val="006B496C"/>
    <w:rsid w:val="006B49CD"/>
    <w:rsid w:val="006B522C"/>
    <w:rsid w:val="006B5543"/>
    <w:rsid w:val="006B56A6"/>
    <w:rsid w:val="006B5A20"/>
    <w:rsid w:val="006B5A81"/>
    <w:rsid w:val="006B5AA7"/>
    <w:rsid w:val="006B5ABD"/>
    <w:rsid w:val="006B5BF9"/>
    <w:rsid w:val="006B5DE5"/>
    <w:rsid w:val="006B5EF7"/>
    <w:rsid w:val="006B63BC"/>
    <w:rsid w:val="006B682D"/>
    <w:rsid w:val="006B6973"/>
    <w:rsid w:val="006B6AEF"/>
    <w:rsid w:val="006B6BF7"/>
    <w:rsid w:val="006B6F04"/>
    <w:rsid w:val="006B6FFB"/>
    <w:rsid w:val="006B7119"/>
    <w:rsid w:val="006B724D"/>
    <w:rsid w:val="006B75DA"/>
    <w:rsid w:val="006B78AF"/>
    <w:rsid w:val="006B7A89"/>
    <w:rsid w:val="006B7C42"/>
    <w:rsid w:val="006B7CF9"/>
    <w:rsid w:val="006B7E8F"/>
    <w:rsid w:val="006B7F98"/>
    <w:rsid w:val="006C01A0"/>
    <w:rsid w:val="006C0470"/>
    <w:rsid w:val="006C0545"/>
    <w:rsid w:val="006C0601"/>
    <w:rsid w:val="006C0A9C"/>
    <w:rsid w:val="006C0BE3"/>
    <w:rsid w:val="006C0EC0"/>
    <w:rsid w:val="006C0F3A"/>
    <w:rsid w:val="006C10F5"/>
    <w:rsid w:val="006C1395"/>
    <w:rsid w:val="006C1483"/>
    <w:rsid w:val="006C17D1"/>
    <w:rsid w:val="006C1A30"/>
    <w:rsid w:val="006C20CE"/>
    <w:rsid w:val="006C20FB"/>
    <w:rsid w:val="006C2456"/>
    <w:rsid w:val="006C25FC"/>
    <w:rsid w:val="006C284F"/>
    <w:rsid w:val="006C28ED"/>
    <w:rsid w:val="006C2CC4"/>
    <w:rsid w:val="006C3015"/>
    <w:rsid w:val="006C326E"/>
    <w:rsid w:val="006C348D"/>
    <w:rsid w:val="006C34F8"/>
    <w:rsid w:val="006C3618"/>
    <w:rsid w:val="006C36DD"/>
    <w:rsid w:val="006C3743"/>
    <w:rsid w:val="006C3D53"/>
    <w:rsid w:val="006C3F7F"/>
    <w:rsid w:val="006C4265"/>
    <w:rsid w:val="006C4756"/>
    <w:rsid w:val="006C493B"/>
    <w:rsid w:val="006C4BD9"/>
    <w:rsid w:val="006C541C"/>
    <w:rsid w:val="006C5429"/>
    <w:rsid w:val="006C5728"/>
    <w:rsid w:val="006C5B9B"/>
    <w:rsid w:val="006C5F7F"/>
    <w:rsid w:val="006C6240"/>
    <w:rsid w:val="006C6601"/>
    <w:rsid w:val="006C671E"/>
    <w:rsid w:val="006C686D"/>
    <w:rsid w:val="006C6872"/>
    <w:rsid w:val="006C688A"/>
    <w:rsid w:val="006C6894"/>
    <w:rsid w:val="006C76A7"/>
    <w:rsid w:val="006C79AC"/>
    <w:rsid w:val="006C7FB6"/>
    <w:rsid w:val="006D0082"/>
    <w:rsid w:val="006D057A"/>
    <w:rsid w:val="006D0680"/>
    <w:rsid w:val="006D0FB3"/>
    <w:rsid w:val="006D13B9"/>
    <w:rsid w:val="006D15D6"/>
    <w:rsid w:val="006D1862"/>
    <w:rsid w:val="006D1907"/>
    <w:rsid w:val="006D2505"/>
    <w:rsid w:val="006D29EF"/>
    <w:rsid w:val="006D2B79"/>
    <w:rsid w:val="006D2D20"/>
    <w:rsid w:val="006D2D7B"/>
    <w:rsid w:val="006D2E3B"/>
    <w:rsid w:val="006D2F05"/>
    <w:rsid w:val="006D2F24"/>
    <w:rsid w:val="006D31D9"/>
    <w:rsid w:val="006D31E2"/>
    <w:rsid w:val="006D3271"/>
    <w:rsid w:val="006D337C"/>
    <w:rsid w:val="006D34AB"/>
    <w:rsid w:val="006D34DE"/>
    <w:rsid w:val="006D36A2"/>
    <w:rsid w:val="006D36B5"/>
    <w:rsid w:val="006D3711"/>
    <w:rsid w:val="006D3ADE"/>
    <w:rsid w:val="006D3B07"/>
    <w:rsid w:val="006D3E94"/>
    <w:rsid w:val="006D3FDF"/>
    <w:rsid w:val="006D4364"/>
    <w:rsid w:val="006D46CA"/>
    <w:rsid w:val="006D4780"/>
    <w:rsid w:val="006D4BA1"/>
    <w:rsid w:val="006D4E35"/>
    <w:rsid w:val="006D4E83"/>
    <w:rsid w:val="006D4F32"/>
    <w:rsid w:val="006D52F7"/>
    <w:rsid w:val="006D554B"/>
    <w:rsid w:val="006D5632"/>
    <w:rsid w:val="006D5B6A"/>
    <w:rsid w:val="006D5BA2"/>
    <w:rsid w:val="006D5BC4"/>
    <w:rsid w:val="006D5E23"/>
    <w:rsid w:val="006D5F7A"/>
    <w:rsid w:val="006D6074"/>
    <w:rsid w:val="006D60E5"/>
    <w:rsid w:val="006D617E"/>
    <w:rsid w:val="006D6273"/>
    <w:rsid w:val="006D62D4"/>
    <w:rsid w:val="006D6322"/>
    <w:rsid w:val="006D637D"/>
    <w:rsid w:val="006D65E6"/>
    <w:rsid w:val="006D6651"/>
    <w:rsid w:val="006D6A59"/>
    <w:rsid w:val="006D6D04"/>
    <w:rsid w:val="006D6D3F"/>
    <w:rsid w:val="006D762A"/>
    <w:rsid w:val="006D7A78"/>
    <w:rsid w:val="006D7BB7"/>
    <w:rsid w:val="006D7BEB"/>
    <w:rsid w:val="006D7C9D"/>
    <w:rsid w:val="006D7F47"/>
    <w:rsid w:val="006E0420"/>
    <w:rsid w:val="006E05D2"/>
    <w:rsid w:val="006E0ACB"/>
    <w:rsid w:val="006E0E2D"/>
    <w:rsid w:val="006E0ECC"/>
    <w:rsid w:val="006E0F80"/>
    <w:rsid w:val="006E105E"/>
    <w:rsid w:val="006E12D7"/>
    <w:rsid w:val="006E1594"/>
    <w:rsid w:val="006E16BA"/>
    <w:rsid w:val="006E1806"/>
    <w:rsid w:val="006E1883"/>
    <w:rsid w:val="006E18F7"/>
    <w:rsid w:val="006E1A61"/>
    <w:rsid w:val="006E1AE1"/>
    <w:rsid w:val="006E1B5B"/>
    <w:rsid w:val="006E1C5B"/>
    <w:rsid w:val="006E1CF3"/>
    <w:rsid w:val="006E1DBD"/>
    <w:rsid w:val="006E1F37"/>
    <w:rsid w:val="006E2317"/>
    <w:rsid w:val="006E252E"/>
    <w:rsid w:val="006E3216"/>
    <w:rsid w:val="006E3280"/>
    <w:rsid w:val="006E3408"/>
    <w:rsid w:val="006E3472"/>
    <w:rsid w:val="006E34DB"/>
    <w:rsid w:val="006E3680"/>
    <w:rsid w:val="006E3A74"/>
    <w:rsid w:val="006E3DA6"/>
    <w:rsid w:val="006E3EDA"/>
    <w:rsid w:val="006E4191"/>
    <w:rsid w:val="006E41BC"/>
    <w:rsid w:val="006E461B"/>
    <w:rsid w:val="006E4792"/>
    <w:rsid w:val="006E4944"/>
    <w:rsid w:val="006E49CB"/>
    <w:rsid w:val="006E4A45"/>
    <w:rsid w:val="006E4B19"/>
    <w:rsid w:val="006E4C26"/>
    <w:rsid w:val="006E4C9F"/>
    <w:rsid w:val="006E51C0"/>
    <w:rsid w:val="006E564F"/>
    <w:rsid w:val="006E5825"/>
    <w:rsid w:val="006E5C20"/>
    <w:rsid w:val="006E5C8A"/>
    <w:rsid w:val="006E5D42"/>
    <w:rsid w:val="006E5D53"/>
    <w:rsid w:val="006E61F8"/>
    <w:rsid w:val="006E63B8"/>
    <w:rsid w:val="006E6568"/>
    <w:rsid w:val="006E6606"/>
    <w:rsid w:val="006E68AF"/>
    <w:rsid w:val="006E6969"/>
    <w:rsid w:val="006E69B1"/>
    <w:rsid w:val="006E6A63"/>
    <w:rsid w:val="006E6C66"/>
    <w:rsid w:val="006E6CAF"/>
    <w:rsid w:val="006E6E17"/>
    <w:rsid w:val="006E6E68"/>
    <w:rsid w:val="006E7C3F"/>
    <w:rsid w:val="006E7E6D"/>
    <w:rsid w:val="006E7E87"/>
    <w:rsid w:val="006F004A"/>
    <w:rsid w:val="006F0447"/>
    <w:rsid w:val="006F04C6"/>
    <w:rsid w:val="006F0AF4"/>
    <w:rsid w:val="006F0B34"/>
    <w:rsid w:val="006F0B6F"/>
    <w:rsid w:val="006F0CE3"/>
    <w:rsid w:val="006F0FD4"/>
    <w:rsid w:val="006F1229"/>
    <w:rsid w:val="006F1234"/>
    <w:rsid w:val="006F1321"/>
    <w:rsid w:val="006F1818"/>
    <w:rsid w:val="006F1B3C"/>
    <w:rsid w:val="006F1E04"/>
    <w:rsid w:val="006F1F8F"/>
    <w:rsid w:val="006F2132"/>
    <w:rsid w:val="006F24EC"/>
    <w:rsid w:val="006F26BA"/>
    <w:rsid w:val="006F2C12"/>
    <w:rsid w:val="006F2C93"/>
    <w:rsid w:val="006F2CBB"/>
    <w:rsid w:val="006F2D31"/>
    <w:rsid w:val="006F2EA5"/>
    <w:rsid w:val="006F30BE"/>
    <w:rsid w:val="006F317D"/>
    <w:rsid w:val="006F3510"/>
    <w:rsid w:val="006F356A"/>
    <w:rsid w:val="006F3573"/>
    <w:rsid w:val="006F3878"/>
    <w:rsid w:val="006F38A5"/>
    <w:rsid w:val="006F415B"/>
    <w:rsid w:val="006F4844"/>
    <w:rsid w:val="006F4888"/>
    <w:rsid w:val="006F4AAD"/>
    <w:rsid w:val="006F504B"/>
    <w:rsid w:val="006F5353"/>
    <w:rsid w:val="006F5399"/>
    <w:rsid w:val="006F54EC"/>
    <w:rsid w:val="006F56FF"/>
    <w:rsid w:val="006F5F89"/>
    <w:rsid w:val="006F6105"/>
    <w:rsid w:val="006F6121"/>
    <w:rsid w:val="006F6375"/>
    <w:rsid w:val="006F6393"/>
    <w:rsid w:val="006F6526"/>
    <w:rsid w:val="006F672F"/>
    <w:rsid w:val="006F67A8"/>
    <w:rsid w:val="006F687F"/>
    <w:rsid w:val="006F68AE"/>
    <w:rsid w:val="006F6A18"/>
    <w:rsid w:val="006F6A1E"/>
    <w:rsid w:val="006F6D52"/>
    <w:rsid w:val="006F6EE2"/>
    <w:rsid w:val="006F6FF0"/>
    <w:rsid w:val="006F71C0"/>
    <w:rsid w:val="006F7246"/>
    <w:rsid w:val="0070007B"/>
    <w:rsid w:val="00700231"/>
    <w:rsid w:val="007002BF"/>
    <w:rsid w:val="0070034E"/>
    <w:rsid w:val="007004AB"/>
    <w:rsid w:val="00700650"/>
    <w:rsid w:val="007008C9"/>
    <w:rsid w:val="0070097B"/>
    <w:rsid w:val="007009F1"/>
    <w:rsid w:val="00700F39"/>
    <w:rsid w:val="007010F8"/>
    <w:rsid w:val="00701290"/>
    <w:rsid w:val="007014AF"/>
    <w:rsid w:val="00701888"/>
    <w:rsid w:val="00701B54"/>
    <w:rsid w:val="00701CEF"/>
    <w:rsid w:val="00701DCF"/>
    <w:rsid w:val="00701DF7"/>
    <w:rsid w:val="0070206E"/>
    <w:rsid w:val="007020DC"/>
    <w:rsid w:val="0070241F"/>
    <w:rsid w:val="0070249B"/>
    <w:rsid w:val="0070288A"/>
    <w:rsid w:val="00702998"/>
    <w:rsid w:val="007030A3"/>
    <w:rsid w:val="007030E3"/>
    <w:rsid w:val="007031A1"/>
    <w:rsid w:val="00703521"/>
    <w:rsid w:val="007035D2"/>
    <w:rsid w:val="007037C3"/>
    <w:rsid w:val="007038E0"/>
    <w:rsid w:val="00704038"/>
    <w:rsid w:val="007042AA"/>
    <w:rsid w:val="0070455F"/>
    <w:rsid w:val="0070465F"/>
    <w:rsid w:val="007046E8"/>
    <w:rsid w:val="00704747"/>
    <w:rsid w:val="007047BC"/>
    <w:rsid w:val="007048D1"/>
    <w:rsid w:val="00704BF2"/>
    <w:rsid w:val="00705534"/>
    <w:rsid w:val="007055DC"/>
    <w:rsid w:val="00705A99"/>
    <w:rsid w:val="00705B76"/>
    <w:rsid w:val="00705DD6"/>
    <w:rsid w:val="00705E27"/>
    <w:rsid w:val="00705E99"/>
    <w:rsid w:val="00706393"/>
    <w:rsid w:val="007063E7"/>
    <w:rsid w:val="00706559"/>
    <w:rsid w:val="00706A28"/>
    <w:rsid w:val="00706A43"/>
    <w:rsid w:val="00706FA5"/>
    <w:rsid w:val="007076DE"/>
    <w:rsid w:val="007076E3"/>
    <w:rsid w:val="0070780E"/>
    <w:rsid w:val="00707A3C"/>
    <w:rsid w:val="00707BD5"/>
    <w:rsid w:val="00707C36"/>
    <w:rsid w:val="00707CAB"/>
    <w:rsid w:val="00707F3A"/>
    <w:rsid w:val="0071024D"/>
    <w:rsid w:val="00710321"/>
    <w:rsid w:val="00710427"/>
    <w:rsid w:val="00710483"/>
    <w:rsid w:val="007104F9"/>
    <w:rsid w:val="00710563"/>
    <w:rsid w:val="00710705"/>
    <w:rsid w:val="00710791"/>
    <w:rsid w:val="007108EC"/>
    <w:rsid w:val="00710994"/>
    <w:rsid w:val="00710B75"/>
    <w:rsid w:val="00711465"/>
    <w:rsid w:val="0071177D"/>
    <w:rsid w:val="00711904"/>
    <w:rsid w:val="0071199D"/>
    <w:rsid w:val="00711E03"/>
    <w:rsid w:val="00711ED0"/>
    <w:rsid w:val="0071216B"/>
    <w:rsid w:val="00712219"/>
    <w:rsid w:val="00712964"/>
    <w:rsid w:val="00712AA6"/>
    <w:rsid w:val="00712BDF"/>
    <w:rsid w:val="00713892"/>
    <w:rsid w:val="00713A48"/>
    <w:rsid w:val="00713AE4"/>
    <w:rsid w:val="00713B83"/>
    <w:rsid w:val="00713DA4"/>
    <w:rsid w:val="00713EA1"/>
    <w:rsid w:val="007141FE"/>
    <w:rsid w:val="007143A7"/>
    <w:rsid w:val="00714579"/>
    <w:rsid w:val="0071459A"/>
    <w:rsid w:val="007146BA"/>
    <w:rsid w:val="007146C2"/>
    <w:rsid w:val="00714A58"/>
    <w:rsid w:val="00714B70"/>
    <w:rsid w:val="00714F39"/>
    <w:rsid w:val="00715116"/>
    <w:rsid w:val="0071528B"/>
    <w:rsid w:val="00715362"/>
    <w:rsid w:val="00715559"/>
    <w:rsid w:val="0071576B"/>
    <w:rsid w:val="007157CD"/>
    <w:rsid w:val="0071592B"/>
    <w:rsid w:val="00715C16"/>
    <w:rsid w:val="00715F16"/>
    <w:rsid w:val="0071614F"/>
    <w:rsid w:val="00716655"/>
    <w:rsid w:val="007167A0"/>
    <w:rsid w:val="007168C2"/>
    <w:rsid w:val="00716C24"/>
    <w:rsid w:val="00716CCD"/>
    <w:rsid w:val="00716F8B"/>
    <w:rsid w:val="00717014"/>
    <w:rsid w:val="00717314"/>
    <w:rsid w:val="0071761B"/>
    <w:rsid w:val="00717BB4"/>
    <w:rsid w:val="00717C17"/>
    <w:rsid w:val="00717E0E"/>
    <w:rsid w:val="00717FEB"/>
    <w:rsid w:val="0072038A"/>
    <w:rsid w:val="007206B3"/>
    <w:rsid w:val="007208C6"/>
    <w:rsid w:val="00720F89"/>
    <w:rsid w:val="007211A2"/>
    <w:rsid w:val="007212A9"/>
    <w:rsid w:val="007216BB"/>
    <w:rsid w:val="00721822"/>
    <w:rsid w:val="00721845"/>
    <w:rsid w:val="00721E25"/>
    <w:rsid w:val="0072241A"/>
    <w:rsid w:val="00722525"/>
    <w:rsid w:val="0072278E"/>
    <w:rsid w:val="00722B42"/>
    <w:rsid w:val="00722B55"/>
    <w:rsid w:val="00722FFC"/>
    <w:rsid w:val="00723083"/>
    <w:rsid w:val="0072323A"/>
    <w:rsid w:val="007233EF"/>
    <w:rsid w:val="0072354C"/>
    <w:rsid w:val="00723660"/>
    <w:rsid w:val="007236EB"/>
    <w:rsid w:val="00723885"/>
    <w:rsid w:val="00723B2A"/>
    <w:rsid w:val="00723D81"/>
    <w:rsid w:val="0072429E"/>
    <w:rsid w:val="00724304"/>
    <w:rsid w:val="0072431B"/>
    <w:rsid w:val="0072434E"/>
    <w:rsid w:val="007248AC"/>
    <w:rsid w:val="00724A24"/>
    <w:rsid w:val="00724B53"/>
    <w:rsid w:val="00724FCF"/>
    <w:rsid w:val="007251FD"/>
    <w:rsid w:val="00725300"/>
    <w:rsid w:val="007255B0"/>
    <w:rsid w:val="00725612"/>
    <w:rsid w:val="00725687"/>
    <w:rsid w:val="007257C0"/>
    <w:rsid w:val="00725807"/>
    <w:rsid w:val="00725A12"/>
    <w:rsid w:val="00725C09"/>
    <w:rsid w:val="00726248"/>
    <w:rsid w:val="007262F4"/>
    <w:rsid w:val="00726313"/>
    <w:rsid w:val="007264D1"/>
    <w:rsid w:val="007265E2"/>
    <w:rsid w:val="00726673"/>
    <w:rsid w:val="00726C44"/>
    <w:rsid w:val="0072704F"/>
    <w:rsid w:val="00727073"/>
    <w:rsid w:val="007270F0"/>
    <w:rsid w:val="00727647"/>
    <w:rsid w:val="007277D2"/>
    <w:rsid w:val="00727828"/>
    <w:rsid w:val="007278EE"/>
    <w:rsid w:val="00727EB7"/>
    <w:rsid w:val="00727F52"/>
    <w:rsid w:val="00727FDE"/>
    <w:rsid w:val="007305DC"/>
    <w:rsid w:val="00730651"/>
    <w:rsid w:val="00730728"/>
    <w:rsid w:val="00730C21"/>
    <w:rsid w:val="00730D7F"/>
    <w:rsid w:val="00730E72"/>
    <w:rsid w:val="00730F15"/>
    <w:rsid w:val="0073103A"/>
    <w:rsid w:val="007311A6"/>
    <w:rsid w:val="007311FB"/>
    <w:rsid w:val="0073127B"/>
    <w:rsid w:val="007314F7"/>
    <w:rsid w:val="00731506"/>
    <w:rsid w:val="00731701"/>
    <w:rsid w:val="0073184E"/>
    <w:rsid w:val="00731A2E"/>
    <w:rsid w:val="00731BEA"/>
    <w:rsid w:val="007325E5"/>
    <w:rsid w:val="007329C6"/>
    <w:rsid w:val="00732B80"/>
    <w:rsid w:val="00732C10"/>
    <w:rsid w:val="00732D8E"/>
    <w:rsid w:val="00732F0A"/>
    <w:rsid w:val="00732F2A"/>
    <w:rsid w:val="00732F73"/>
    <w:rsid w:val="00733078"/>
    <w:rsid w:val="007330D2"/>
    <w:rsid w:val="0073321C"/>
    <w:rsid w:val="007332D8"/>
    <w:rsid w:val="0073338E"/>
    <w:rsid w:val="00734338"/>
    <w:rsid w:val="00734527"/>
    <w:rsid w:val="00734671"/>
    <w:rsid w:val="00734A6F"/>
    <w:rsid w:val="0073510A"/>
    <w:rsid w:val="007354CE"/>
    <w:rsid w:val="007355CD"/>
    <w:rsid w:val="007355E7"/>
    <w:rsid w:val="00735C3D"/>
    <w:rsid w:val="00735EF9"/>
    <w:rsid w:val="00735F63"/>
    <w:rsid w:val="0073605C"/>
    <w:rsid w:val="007360FE"/>
    <w:rsid w:val="00736145"/>
    <w:rsid w:val="00736274"/>
    <w:rsid w:val="0073649F"/>
    <w:rsid w:val="007364CF"/>
    <w:rsid w:val="0073658F"/>
    <w:rsid w:val="00736AED"/>
    <w:rsid w:val="00736FD7"/>
    <w:rsid w:val="007372A7"/>
    <w:rsid w:val="00737486"/>
    <w:rsid w:val="00737A52"/>
    <w:rsid w:val="0074019D"/>
    <w:rsid w:val="00740427"/>
    <w:rsid w:val="00740660"/>
    <w:rsid w:val="00740780"/>
    <w:rsid w:val="0074082A"/>
    <w:rsid w:val="00740AC5"/>
    <w:rsid w:val="00740D4B"/>
    <w:rsid w:val="00740F2A"/>
    <w:rsid w:val="00741E87"/>
    <w:rsid w:val="00741E91"/>
    <w:rsid w:val="00742517"/>
    <w:rsid w:val="007425D6"/>
    <w:rsid w:val="00742BDF"/>
    <w:rsid w:val="00742CAA"/>
    <w:rsid w:val="00742D47"/>
    <w:rsid w:val="00742DDF"/>
    <w:rsid w:val="007430A4"/>
    <w:rsid w:val="007433AA"/>
    <w:rsid w:val="00743555"/>
    <w:rsid w:val="0074376B"/>
    <w:rsid w:val="0074390F"/>
    <w:rsid w:val="00743A09"/>
    <w:rsid w:val="00743B85"/>
    <w:rsid w:val="00743DD0"/>
    <w:rsid w:val="007446E3"/>
    <w:rsid w:val="00744C52"/>
    <w:rsid w:val="00744C7F"/>
    <w:rsid w:val="00744DDC"/>
    <w:rsid w:val="007451D0"/>
    <w:rsid w:val="0074529A"/>
    <w:rsid w:val="00745446"/>
    <w:rsid w:val="00745489"/>
    <w:rsid w:val="0074556B"/>
    <w:rsid w:val="00745AC6"/>
    <w:rsid w:val="00745CBA"/>
    <w:rsid w:val="00745DEA"/>
    <w:rsid w:val="00745E28"/>
    <w:rsid w:val="00745FED"/>
    <w:rsid w:val="00746142"/>
    <w:rsid w:val="00746677"/>
    <w:rsid w:val="00746DA5"/>
    <w:rsid w:val="00747036"/>
    <w:rsid w:val="00747066"/>
    <w:rsid w:val="00747088"/>
    <w:rsid w:val="007474F6"/>
    <w:rsid w:val="007475D1"/>
    <w:rsid w:val="007476AE"/>
    <w:rsid w:val="00747749"/>
    <w:rsid w:val="007477B9"/>
    <w:rsid w:val="00747A8F"/>
    <w:rsid w:val="00747D3E"/>
    <w:rsid w:val="007500C4"/>
    <w:rsid w:val="0075033D"/>
    <w:rsid w:val="00750376"/>
    <w:rsid w:val="007508A6"/>
    <w:rsid w:val="00750A81"/>
    <w:rsid w:val="00750BF9"/>
    <w:rsid w:val="00750D14"/>
    <w:rsid w:val="00750EF7"/>
    <w:rsid w:val="00750EFE"/>
    <w:rsid w:val="00751142"/>
    <w:rsid w:val="007511EB"/>
    <w:rsid w:val="00751A55"/>
    <w:rsid w:val="00751ABC"/>
    <w:rsid w:val="00751C6F"/>
    <w:rsid w:val="00751D8B"/>
    <w:rsid w:val="0075212F"/>
    <w:rsid w:val="007522BB"/>
    <w:rsid w:val="00752408"/>
    <w:rsid w:val="007525EC"/>
    <w:rsid w:val="007527B4"/>
    <w:rsid w:val="0075288C"/>
    <w:rsid w:val="007528DF"/>
    <w:rsid w:val="00752BC3"/>
    <w:rsid w:val="00752F29"/>
    <w:rsid w:val="00752FD7"/>
    <w:rsid w:val="0075314A"/>
    <w:rsid w:val="007531E8"/>
    <w:rsid w:val="0075341C"/>
    <w:rsid w:val="00753693"/>
    <w:rsid w:val="00753798"/>
    <w:rsid w:val="007537EB"/>
    <w:rsid w:val="00753952"/>
    <w:rsid w:val="00753B70"/>
    <w:rsid w:val="007541B0"/>
    <w:rsid w:val="00754230"/>
    <w:rsid w:val="00754242"/>
    <w:rsid w:val="007542FF"/>
    <w:rsid w:val="0075445B"/>
    <w:rsid w:val="007545A2"/>
    <w:rsid w:val="007547CC"/>
    <w:rsid w:val="00754A2C"/>
    <w:rsid w:val="00754F10"/>
    <w:rsid w:val="00755118"/>
    <w:rsid w:val="007552CE"/>
    <w:rsid w:val="007554F9"/>
    <w:rsid w:val="007554FC"/>
    <w:rsid w:val="0075563D"/>
    <w:rsid w:val="0075581C"/>
    <w:rsid w:val="00755874"/>
    <w:rsid w:val="00755A28"/>
    <w:rsid w:val="00755BEA"/>
    <w:rsid w:val="00755C9E"/>
    <w:rsid w:val="00756710"/>
    <w:rsid w:val="007567E5"/>
    <w:rsid w:val="00756AB6"/>
    <w:rsid w:val="00756C4B"/>
    <w:rsid w:val="00756C9F"/>
    <w:rsid w:val="00756FB3"/>
    <w:rsid w:val="0075702D"/>
    <w:rsid w:val="007571AC"/>
    <w:rsid w:val="00757441"/>
    <w:rsid w:val="0075746E"/>
    <w:rsid w:val="007574D3"/>
    <w:rsid w:val="007574DB"/>
    <w:rsid w:val="007574E8"/>
    <w:rsid w:val="007575D1"/>
    <w:rsid w:val="0075760C"/>
    <w:rsid w:val="00757DDB"/>
    <w:rsid w:val="00760027"/>
    <w:rsid w:val="00760082"/>
    <w:rsid w:val="00760506"/>
    <w:rsid w:val="0076070C"/>
    <w:rsid w:val="00760862"/>
    <w:rsid w:val="007609E3"/>
    <w:rsid w:val="00760E62"/>
    <w:rsid w:val="00761399"/>
    <w:rsid w:val="007614BD"/>
    <w:rsid w:val="0076196C"/>
    <w:rsid w:val="00761A2B"/>
    <w:rsid w:val="00761C01"/>
    <w:rsid w:val="00762163"/>
    <w:rsid w:val="007627BD"/>
    <w:rsid w:val="00762850"/>
    <w:rsid w:val="007628AD"/>
    <w:rsid w:val="007628FC"/>
    <w:rsid w:val="007629AD"/>
    <w:rsid w:val="007629EF"/>
    <w:rsid w:val="00762B10"/>
    <w:rsid w:val="00762B41"/>
    <w:rsid w:val="00762B43"/>
    <w:rsid w:val="00762FFC"/>
    <w:rsid w:val="007630AB"/>
    <w:rsid w:val="00763348"/>
    <w:rsid w:val="00763456"/>
    <w:rsid w:val="0076366E"/>
    <w:rsid w:val="0076398D"/>
    <w:rsid w:val="00763B0E"/>
    <w:rsid w:val="00763C94"/>
    <w:rsid w:val="00763E6E"/>
    <w:rsid w:val="00764124"/>
    <w:rsid w:val="00764157"/>
    <w:rsid w:val="007641D1"/>
    <w:rsid w:val="0076449A"/>
    <w:rsid w:val="0076457B"/>
    <w:rsid w:val="007647B8"/>
    <w:rsid w:val="007647C9"/>
    <w:rsid w:val="00764C52"/>
    <w:rsid w:val="00764F4C"/>
    <w:rsid w:val="00765268"/>
    <w:rsid w:val="00765429"/>
    <w:rsid w:val="0076555F"/>
    <w:rsid w:val="00765A58"/>
    <w:rsid w:val="00765AA2"/>
    <w:rsid w:val="00765AE9"/>
    <w:rsid w:val="00765F80"/>
    <w:rsid w:val="007660BC"/>
    <w:rsid w:val="00766315"/>
    <w:rsid w:val="0076637A"/>
    <w:rsid w:val="00766390"/>
    <w:rsid w:val="00766742"/>
    <w:rsid w:val="00766B31"/>
    <w:rsid w:val="00766F56"/>
    <w:rsid w:val="007671D6"/>
    <w:rsid w:val="007672D0"/>
    <w:rsid w:val="00767EA3"/>
    <w:rsid w:val="00767F69"/>
    <w:rsid w:val="00770452"/>
    <w:rsid w:val="0077063C"/>
    <w:rsid w:val="007708AA"/>
    <w:rsid w:val="00770923"/>
    <w:rsid w:val="00770A8E"/>
    <w:rsid w:val="00770B51"/>
    <w:rsid w:val="00770CBF"/>
    <w:rsid w:val="00770D62"/>
    <w:rsid w:val="00770F54"/>
    <w:rsid w:val="007711A9"/>
    <w:rsid w:val="00771280"/>
    <w:rsid w:val="0077149E"/>
    <w:rsid w:val="0077175E"/>
    <w:rsid w:val="0077176E"/>
    <w:rsid w:val="00771808"/>
    <w:rsid w:val="00771BF7"/>
    <w:rsid w:val="00771CE9"/>
    <w:rsid w:val="00771DFE"/>
    <w:rsid w:val="00771FEB"/>
    <w:rsid w:val="007720E9"/>
    <w:rsid w:val="007723B5"/>
    <w:rsid w:val="007724DF"/>
    <w:rsid w:val="0077256F"/>
    <w:rsid w:val="00772A52"/>
    <w:rsid w:val="00772E1D"/>
    <w:rsid w:val="00772ED2"/>
    <w:rsid w:val="00772EFD"/>
    <w:rsid w:val="00772F21"/>
    <w:rsid w:val="00772F4A"/>
    <w:rsid w:val="0077358C"/>
    <w:rsid w:val="0077378B"/>
    <w:rsid w:val="007738F2"/>
    <w:rsid w:val="00773B0A"/>
    <w:rsid w:val="00774118"/>
    <w:rsid w:val="007741AC"/>
    <w:rsid w:val="007748B5"/>
    <w:rsid w:val="00774A36"/>
    <w:rsid w:val="00774B59"/>
    <w:rsid w:val="00775389"/>
    <w:rsid w:val="00775667"/>
    <w:rsid w:val="007756D0"/>
    <w:rsid w:val="007757CD"/>
    <w:rsid w:val="00775A99"/>
    <w:rsid w:val="00775B34"/>
    <w:rsid w:val="00775E5C"/>
    <w:rsid w:val="0077603A"/>
    <w:rsid w:val="007769C9"/>
    <w:rsid w:val="00776AB3"/>
    <w:rsid w:val="0077781E"/>
    <w:rsid w:val="00777DEF"/>
    <w:rsid w:val="00777E6C"/>
    <w:rsid w:val="00780053"/>
    <w:rsid w:val="007802AD"/>
    <w:rsid w:val="007809C4"/>
    <w:rsid w:val="00780EFE"/>
    <w:rsid w:val="00780F5B"/>
    <w:rsid w:val="00780F6F"/>
    <w:rsid w:val="0078133E"/>
    <w:rsid w:val="00781456"/>
    <w:rsid w:val="0078150B"/>
    <w:rsid w:val="00781668"/>
    <w:rsid w:val="007816CC"/>
    <w:rsid w:val="00781B4C"/>
    <w:rsid w:val="00781CA8"/>
    <w:rsid w:val="0078245B"/>
    <w:rsid w:val="0078275A"/>
    <w:rsid w:val="0078285C"/>
    <w:rsid w:val="00782A0C"/>
    <w:rsid w:val="00782B23"/>
    <w:rsid w:val="00782B93"/>
    <w:rsid w:val="00782B9C"/>
    <w:rsid w:val="00782D02"/>
    <w:rsid w:val="00782DAE"/>
    <w:rsid w:val="00782DD4"/>
    <w:rsid w:val="00782E3F"/>
    <w:rsid w:val="0078314F"/>
    <w:rsid w:val="0078318A"/>
    <w:rsid w:val="007833D3"/>
    <w:rsid w:val="00783451"/>
    <w:rsid w:val="007835DE"/>
    <w:rsid w:val="00783773"/>
    <w:rsid w:val="007839A4"/>
    <w:rsid w:val="00783A52"/>
    <w:rsid w:val="00783C8A"/>
    <w:rsid w:val="007841CB"/>
    <w:rsid w:val="007843B4"/>
    <w:rsid w:val="007846E7"/>
    <w:rsid w:val="0078486E"/>
    <w:rsid w:val="007849A3"/>
    <w:rsid w:val="00784DAD"/>
    <w:rsid w:val="00785200"/>
    <w:rsid w:val="00785C25"/>
    <w:rsid w:val="00785C6E"/>
    <w:rsid w:val="00785E2E"/>
    <w:rsid w:val="00785FCB"/>
    <w:rsid w:val="0078646A"/>
    <w:rsid w:val="007864BC"/>
    <w:rsid w:val="0078661D"/>
    <w:rsid w:val="007866FF"/>
    <w:rsid w:val="007868B4"/>
    <w:rsid w:val="00786D1D"/>
    <w:rsid w:val="00786D90"/>
    <w:rsid w:val="00786DE0"/>
    <w:rsid w:val="007872B9"/>
    <w:rsid w:val="00787350"/>
    <w:rsid w:val="0078757D"/>
    <w:rsid w:val="0078778C"/>
    <w:rsid w:val="00787F44"/>
    <w:rsid w:val="00787FE1"/>
    <w:rsid w:val="00790388"/>
    <w:rsid w:val="00790719"/>
    <w:rsid w:val="007908FF"/>
    <w:rsid w:val="0079093D"/>
    <w:rsid w:val="007909CC"/>
    <w:rsid w:val="00790A52"/>
    <w:rsid w:val="00790CFB"/>
    <w:rsid w:val="0079117D"/>
    <w:rsid w:val="007913AF"/>
    <w:rsid w:val="007916BD"/>
    <w:rsid w:val="00791C4B"/>
    <w:rsid w:val="00791CA5"/>
    <w:rsid w:val="0079224B"/>
    <w:rsid w:val="007927CF"/>
    <w:rsid w:val="007927D8"/>
    <w:rsid w:val="00792857"/>
    <w:rsid w:val="007928DA"/>
    <w:rsid w:val="00792AB5"/>
    <w:rsid w:val="00792EC6"/>
    <w:rsid w:val="00792F53"/>
    <w:rsid w:val="00793006"/>
    <w:rsid w:val="00793036"/>
    <w:rsid w:val="00793038"/>
    <w:rsid w:val="00793454"/>
    <w:rsid w:val="00793512"/>
    <w:rsid w:val="0079359B"/>
    <w:rsid w:val="007937EF"/>
    <w:rsid w:val="00793BB8"/>
    <w:rsid w:val="00793DB8"/>
    <w:rsid w:val="0079420C"/>
    <w:rsid w:val="007942C5"/>
    <w:rsid w:val="00794546"/>
    <w:rsid w:val="007947A4"/>
    <w:rsid w:val="007947AB"/>
    <w:rsid w:val="00794833"/>
    <w:rsid w:val="0079485B"/>
    <w:rsid w:val="00794DA8"/>
    <w:rsid w:val="00794E2F"/>
    <w:rsid w:val="00794FED"/>
    <w:rsid w:val="00795037"/>
    <w:rsid w:val="007951F9"/>
    <w:rsid w:val="007952A8"/>
    <w:rsid w:val="0079541F"/>
    <w:rsid w:val="007954B1"/>
    <w:rsid w:val="00795664"/>
    <w:rsid w:val="00795877"/>
    <w:rsid w:val="007958D2"/>
    <w:rsid w:val="00795A41"/>
    <w:rsid w:val="00795AE9"/>
    <w:rsid w:val="00795D25"/>
    <w:rsid w:val="00795E59"/>
    <w:rsid w:val="0079602C"/>
    <w:rsid w:val="00796626"/>
    <w:rsid w:val="00796817"/>
    <w:rsid w:val="00796869"/>
    <w:rsid w:val="007969B1"/>
    <w:rsid w:val="00796EF0"/>
    <w:rsid w:val="00796F3E"/>
    <w:rsid w:val="00797002"/>
    <w:rsid w:val="0079706F"/>
    <w:rsid w:val="00797191"/>
    <w:rsid w:val="007972DE"/>
    <w:rsid w:val="00797353"/>
    <w:rsid w:val="0079747D"/>
    <w:rsid w:val="007975A7"/>
    <w:rsid w:val="00797958"/>
    <w:rsid w:val="00797A49"/>
    <w:rsid w:val="007A037F"/>
    <w:rsid w:val="007A04EC"/>
    <w:rsid w:val="007A0551"/>
    <w:rsid w:val="007A0686"/>
    <w:rsid w:val="007A0D9A"/>
    <w:rsid w:val="007A1115"/>
    <w:rsid w:val="007A116C"/>
    <w:rsid w:val="007A1186"/>
    <w:rsid w:val="007A1A05"/>
    <w:rsid w:val="007A1A8F"/>
    <w:rsid w:val="007A1E4C"/>
    <w:rsid w:val="007A236F"/>
    <w:rsid w:val="007A25D3"/>
    <w:rsid w:val="007A296D"/>
    <w:rsid w:val="007A2AD4"/>
    <w:rsid w:val="007A2D76"/>
    <w:rsid w:val="007A305E"/>
    <w:rsid w:val="007A31F6"/>
    <w:rsid w:val="007A35F4"/>
    <w:rsid w:val="007A36B7"/>
    <w:rsid w:val="007A37DF"/>
    <w:rsid w:val="007A3C0F"/>
    <w:rsid w:val="007A3D81"/>
    <w:rsid w:val="007A3EDA"/>
    <w:rsid w:val="007A43FD"/>
    <w:rsid w:val="007A47AA"/>
    <w:rsid w:val="007A49A9"/>
    <w:rsid w:val="007A4AC3"/>
    <w:rsid w:val="007A4DF9"/>
    <w:rsid w:val="007A4E2D"/>
    <w:rsid w:val="007A5140"/>
    <w:rsid w:val="007A56BD"/>
    <w:rsid w:val="007A5916"/>
    <w:rsid w:val="007A5960"/>
    <w:rsid w:val="007A5AE4"/>
    <w:rsid w:val="007A5D4C"/>
    <w:rsid w:val="007A625F"/>
    <w:rsid w:val="007A62F1"/>
    <w:rsid w:val="007A65D4"/>
    <w:rsid w:val="007A661B"/>
    <w:rsid w:val="007A6714"/>
    <w:rsid w:val="007A6B2D"/>
    <w:rsid w:val="007A701E"/>
    <w:rsid w:val="007A745D"/>
    <w:rsid w:val="007A795D"/>
    <w:rsid w:val="007A7F1F"/>
    <w:rsid w:val="007A7F76"/>
    <w:rsid w:val="007B00E7"/>
    <w:rsid w:val="007B01CE"/>
    <w:rsid w:val="007B032A"/>
    <w:rsid w:val="007B039E"/>
    <w:rsid w:val="007B0458"/>
    <w:rsid w:val="007B05F0"/>
    <w:rsid w:val="007B07D4"/>
    <w:rsid w:val="007B0A6A"/>
    <w:rsid w:val="007B0C6C"/>
    <w:rsid w:val="007B0D50"/>
    <w:rsid w:val="007B0EE9"/>
    <w:rsid w:val="007B0FFB"/>
    <w:rsid w:val="007B101A"/>
    <w:rsid w:val="007B1040"/>
    <w:rsid w:val="007B1047"/>
    <w:rsid w:val="007B1166"/>
    <w:rsid w:val="007B1271"/>
    <w:rsid w:val="007B16F5"/>
    <w:rsid w:val="007B1841"/>
    <w:rsid w:val="007B1934"/>
    <w:rsid w:val="007B1A4B"/>
    <w:rsid w:val="007B1B45"/>
    <w:rsid w:val="007B1CB6"/>
    <w:rsid w:val="007B2346"/>
    <w:rsid w:val="007B25B7"/>
    <w:rsid w:val="007B2652"/>
    <w:rsid w:val="007B2748"/>
    <w:rsid w:val="007B275B"/>
    <w:rsid w:val="007B27C7"/>
    <w:rsid w:val="007B2AC5"/>
    <w:rsid w:val="007B2B5D"/>
    <w:rsid w:val="007B2B79"/>
    <w:rsid w:val="007B2BE3"/>
    <w:rsid w:val="007B2E72"/>
    <w:rsid w:val="007B30A1"/>
    <w:rsid w:val="007B3118"/>
    <w:rsid w:val="007B3471"/>
    <w:rsid w:val="007B351F"/>
    <w:rsid w:val="007B35EF"/>
    <w:rsid w:val="007B361B"/>
    <w:rsid w:val="007B3855"/>
    <w:rsid w:val="007B3A86"/>
    <w:rsid w:val="007B3A9E"/>
    <w:rsid w:val="007B3ACE"/>
    <w:rsid w:val="007B4054"/>
    <w:rsid w:val="007B45A1"/>
    <w:rsid w:val="007B45D3"/>
    <w:rsid w:val="007B4705"/>
    <w:rsid w:val="007B471A"/>
    <w:rsid w:val="007B48D0"/>
    <w:rsid w:val="007B4C3C"/>
    <w:rsid w:val="007B4CC2"/>
    <w:rsid w:val="007B5496"/>
    <w:rsid w:val="007B58B8"/>
    <w:rsid w:val="007B59FE"/>
    <w:rsid w:val="007B5BD9"/>
    <w:rsid w:val="007B5C0F"/>
    <w:rsid w:val="007B5CCB"/>
    <w:rsid w:val="007B5E5F"/>
    <w:rsid w:val="007B60D7"/>
    <w:rsid w:val="007B6E00"/>
    <w:rsid w:val="007B6FD1"/>
    <w:rsid w:val="007B71C5"/>
    <w:rsid w:val="007B73DB"/>
    <w:rsid w:val="007B7561"/>
    <w:rsid w:val="007B792F"/>
    <w:rsid w:val="007B7EBF"/>
    <w:rsid w:val="007C007F"/>
    <w:rsid w:val="007C07E5"/>
    <w:rsid w:val="007C0889"/>
    <w:rsid w:val="007C0D4B"/>
    <w:rsid w:val="007C0E29"/>
    <w:rsid w:val="007C0F18"/>
    <w:rsid w:val="007C11F4"/>
    <w:rsid w:val="007C144E"/>
    <w:rsid w:val="007C1513"/>
    <w:rsid w:val="007C1710"/>
    <w:rsid w:val="007C1A4E"/>
    <w:rsid w:val="007C1B95"/>
    <w:rsid w:val="007C1CE9"/>
    <w:rsid w:val="007C2266"/>
    <w:rsid w:val="007C22F0"/>
    <w:rsid w:val="007C2915"/>
    <w:rsid w:val="007C2A97"/>
    <w:rsid w:val="007C2A9F"/>
    <w:rsid w:val="007C2C19"/>
    <w:rsid w:val="007C2CA5"/>
    <w:rsid w:val="007C2FD7"/>
    <w:rsid w:val="007C311B"/>
    <w:rsid w:val="007C348B"/>
    <w:rsid w:val="007C35DC"/>
    <w:rsid w:val="007C380B"/>
    <w:rsid w:val="007C3901"/>
    <w:rsid w:val="007C3A76"/>
    <w:rsid w:val="007C3AFB"/>
    <w:rsid w:val="007C3C03"/>
    <w:rsid w:val="007C3FCC"/>
    <w:rsid w:val="007C405C"/>
    <w:rsid w:val="007C4069"/>
    <w:rsid w:val="007C4323"/>
    <w:rsid w:val="007C434A"/>
    <w:rsid w:val="007C438D"/>
    <w:rsid w:val="007C43EF"/>
    <w:rsid w:val="007C45B7"/>
    <w:rsid w:val="007C45E5"/>
    <w:rsid w:val="007C4896"/>
    <w:rsid w:val="007C49CE"/>
    <w:rsid w:val="007C4EA3"/>
    <w:rsid w:val="007C4EAA"/>
    <w:rsid w:val="007C5072"/>
    <w:rsid w:val="007C50A0"/>
    <w:rsid w:val="007C525D"/>
    <w:rsid w:val="007C55CD"/>
    <w:rsid w:val="007C5652"/>
    <w:rsid w:val="007C57CE"/>
    <w:rsid w:val="007C5AC4"/>
    <w:rsid w:val="007C5F00"/>
    <w:rsid w:val="007C6143"/>
    <w:rsid w:val="007C63F4"/>
    <w:rsid w:val="007C668D"/>
    <w:rsid w:val="007C6719"/>
    <w:rsid w:val="007C6892"/>
    <w:rsid w:val="007C6977"/>
    <w:rsid w:val="007C6D04"/>
    <w:rsid w:val="007C72A9"/>
    <w:rsid w:val="007C7378"/>
    <w:rsid w:val="007C7A56"/>
    <w:rsid w:val="007C7AD6"/>
    <w:rsid w:val="007D0738"/>
    <w:rsid w:val="007D0B96"/>
    <w:rsid w:val="007D0BFD"/>
    <w:rsid w:val="007D0CE1"/>
    <w:rsid w:val="007D1042"/>
    <w:rsid w:val="007D1329"/>
    <w:rsid w:val="007D13FE"/>
    <w:rsid w:val="007D1482"/>
    <w:rsid w:val="007D15B7"/>
    <w:rsid w:val="007D15BE"/>
    <w:rsid w:val="007D18B0"/>
    <w:rsid w:val="007D1988"/>
    <w:rsid w:val="007D1B96"/>
    <w:rsid w:val="007D1F1B"/>
    <w:rsid w:val="007D21A8"/>
    <w:rsid w:val="007D2225"/>
    <w:rsid w:val="007D2432"/>
    <w:rsid w:val="007D27B6"/>
    <w:rsid w:val="007D28F3"/>
    <w:rsid w:val="007D2AA2"/>
    <w:rsid w:val="007D2D0E"/>
    <w:rsid w:val="007D2ED9"/>
    <w:rsid w:val="007D2EFC"/>
    <w:rsid w:val="007D324C"/>
    <w:rsid w:val="007D3276"/>
    <w:rsid w:val="007D334D"/>
    <w:rsid w:val="007D3603"/>
    <w:rsid w:val="007D3810"/>
    <w:rsid w:val="007D3821"/>
    <w:rsid w:val="007D39ED"/>
    <w:rsid w:val="007D41BC"/>
    <w:rsid w:val="007D42F9"/>
    <w:rsid w:val="007D4415"/>
    <w:rsid w:val="007D44E5"/>
    <w:rsid w:val="007D48F9"/>
    <w:rsid w:val="007D4A47"/>
    <w:rsid w:val="007D50D1"/>
    <w:rsid w:val="007D593C"/>
    <w:rsid w:val="007D599A"/>
    <w:rsid w:val="007D614D"/>
    <w:rsid w:val="007D6347"/>
    <w:rsid w:val="007D63D2"/>
    <w:rsid w:val="007D6441"/>
    <w:rsid w:val="007D6745"/>
    <w:rsid w:val="007D67BC"/>
    <w:rsid w:val="007D6B5D"/>
    <w:rsid w:val="007D6C3D"/>
    <w:rsid w:val="007D6CEE"/>
    <w:rsid w:val="007D6F31"/>
    <w:rsid w:val="007D6FF3"/>
    <w:rsid w:val="007D727C"/>
    <w:rsid w:val="007D72F1"/>
    <w:rsid w:val="007D73CF"/>
    <w:rsid w:val="007D781B"/>
    <w:rsid w:val="007D7BB0"/>
    <w:rsid w:val="007D7BDB"/>
    <w:rsid w:val="007D7BFF"/>
    <w:rsid w:val="007D7C51"/>
    <w:rsid w:val="007D7E09"/>
    <w:rsid w:val="007D7E75"/>
    <w:rsid w:val="007E006F"/>
    <w:rsid w:val="007E0292"/>
    <w:rsid w:val="007E029A"/>
    <w:rsid w:val="007E0413"/>
    <w:rsid w:val="007E062E"/>
    <w:rsid w:val="007E06A4"/>
    <w:rsid w:val="007E09CB"/>
    <w:rsid w:val="007E0A29"/>
    <w:rsid w:val="007E0ACB"/>
    <w:rsid w:val="007E0B9B"/>
    <w:rsid w:val="007E0C3A"/>
    <w:rsid w:val="007E165A"/>
    <w:rsid w:val="007E18AD"/>
    <w:rsid w:val="007E18C8"/>
    <w:rsid w:val="007E19C1"/>
    <w:rsid w:val="007E19D1"/>
    <w:rsid w:val="007E1BD4"/>
    <w:rsid w:val="007E1E4A"/>
    <w:rsid w:val="007E276D"/>
    <w:rsid w:val="007E2CD4"/>
    <w:rsid w:val="007E2F88"/>
    <w:rsid w:val="007E327D"/>
    <w:rsid w:val="007E3633"/>
    <w:rsid w:val="007E3AC2"/>
    <w:rsid w:val="007E3F9E"/>
    <w:rsid w:val="007E4108"/>
    <w:rsid w:val="007E431F"/>
    <w:rsid w:val="007E44C7"/>
    <w:rsid w:val="007E45FB"/>
    <w:rsid w:val="007E489E"/>
    <w:rsid w:val="007E48EE"/>
    <w:rsid w:val="007E4933"/>
    <w:rsid w:val="007E4A65"/>
    <w:rsid w:val="007E4B94"/>
    <w:rsid w:val="007E4C34"/>
    <w:rsid w:val="007E4CF7"/>
    <w:rsid w:val="007E4E2F"/>
    <w:rsid w:val="007E4E55"/>
    <w:rsid w:val="007E50FA"/>
    <w:rsid w:val="007E51D2"/>
    <w:rsid w:val="007E575F"/>
    <w:rsid w:val="007E590B"/>
    <w:rsid w:val="007E5BAA"/>
    <w:rsid w:val="007E5CAC"/>
    <w:rsid w:val="007E5F33"/>
    <w:rsid w:val="007E60CD"/>
    <w:rsid w:val="007E62BE"/>
    <w:rsid w:val="007E661B"/>
    <w:rsid w:val="007E6740"/>
    <w:rsid w:val="007E6B0B"/>
    <w:rsid w:val="007E74C6"/>
    <w:rsid w:val="007E7549"/>
    <w:rsid w:val="007E75F2"/>
    <w:rsid w:val="007E79EE"/>
    <w:rsid w:val="007E7EFD"/>
    <w:rsid w:val="007E7FA5"/>
    <w:rsid w:val="007E7FCE"/>
    <w:rsid w:val="007F00A2"/>
    <w:rsid w:val="007F0529"/>
    <w:rsid w:val="007F0880"/>
    <w:rsid w:val="007F0A04"/>
    <w:rsid w:val="007F0F93"/>
    <w:rsid w:val="007F0FA4"/>
    <w:rsid w:val="007F1B75"/>
    <w:rsid w:val="007F1BCB"/>
    <w:rsid w:val="007F1C79"/>
    <w:rsid w:val="007F1F73"/>
    <w:rsid w:val="007F21D4"/>
    <w:rsid w:val="007F230F"/>
    <w:rsid w:val="007F2320"/>
    <w:rsid w:val="007F2340"/>
    <w:rsid w:val="007F2548"/>
    <w:rsid w:val="007F280B"/>
    <w:rsid w:val="007F281A"/>
    <w:rsid w:val="007F28C7"/>
    <w:rsid w:val="007F2D0A"/>
    <w:rsid w:val="007F2D2A"/>
    <w:rsid w:val="007F2D85"/>
    <w:rsid w:val="007F3086"/>
    <w:rsid w:val="007F36F3"/>
    <w:rsid w:val="007F37A0"/>
    <w:rsid w:val="007F3836"/>
    <w:rsid w:val="007F3C2E"/>
    <w:rsid w:val="007F3CD8"/>
    <w:rsid w:val="007F3E1C"/>
    <w:rsid w:val="007F3FB6"/>
    <w:rsid w:val="007F41B3"/>
    <w:rsid w:val="007F4393"/>
    <w:rsid w:val="007F4462"/>
    <w:rsid w:val="007F484E"/>
    <w:rsid w:val="007F4BB6"/>
    <w:rsid w:val="007F4D20"/>
    <w:rsid w:val="007F4E5D"/>
    <w:rsid w:val="007F4F97"/>
    <w:rsid w:val="007F5050"/>
    <w:rsid w:val="007F53E7"/>
    <w:rsid w:val="007F5450"/>
    <w:rsid w:val="007F550D"/>
    <w:rsid w:val="007F5652"/>
    <w:rsid w:val="007F575F"/>
    <w:rsid w:val="007F5858"/>
    <w:rsid w:val="007F5A0F"/>
    <w:rsid w:val="007F5FE6"/>
    <w:rsid w:val="007F6457"/>
    <w:rsid w:val="007F6496"/>
    <w:rsid w:val="007F65EB"/>
    <w:rsid w:val="007F69F7"/>
    <w:rsid w:val="007F7176"/>
    <w:rsid w:val="007F75E5"/>
    <w:rsid w:val="007F789C"/>
    <w:rsid w:val="007F79F1"/>
    <w:rsid w:val="007F7E3A"/>
    <w:rsid w:val="00800123"/>
    <w:rsid w:val="0080053B"/>
    <w:rsid w:val="0080066D"/>
    <w:rsid w:val="008006DE"/>
    <w:rsid w:val="00801023"/>
    <w:rsid w:val="008012BC"/>
    <w:rsid w:val="0080177D"/>
    <w:rsid w:val="00801944"/>
    <w:rsid w:val="008019D4"/>
    <w:rsid w:val="008020C4"/>
    <w:rsid w:val="0080219B"/>
    <w:rsid w:val="0080231B"/>
    <w:rsid w:val="008025D5"/>
    <w:rsid w:val="00802792"/>
    <w:rsid w:val="00802AA7"/>
    <w:rsid w:val="00802E16"/>
    <w:rsid w:val="00803246"/>
    <w:rsid w:val="00803460"/>
    <w:rsid w:val="0080354C"/>
    <w:rsid w:val="00803AD7"/>
    <w:rsid w:val="00803B91"/>
    <w:rsid w:val="00803F4F"/>
    <w:rsid w:val="0080400E"/>
    <w:rsid w:val="00804045"/>
    <w:rsid w:val="0080411E"/>
    <w:rsid w:val="0080419B"/>
    <w:rsid w:val="008042B1"/>
    <w:rsid w:val="00804422"/>
    <w:rsid w:val="0080473B"/>
    <w:rsid w:val="00804753"/>
    <w:rsid w:val="00804767"/>
    <w:rsid w:val="008048B1"/>
    <w:rsid w:val="00804925"/>
    <w:rsid w:val="00804B36"/>
    <w:rsid w:val="00804C08"/>
    <w:rsid w:val="00804CF1"/>
    <w:rsid w:val="00804DF3"/>
    <w:rsid w:val="00805599"/>
    <w:rsid w:val="008056B3"/>
    <w:rsid w:val="008056FB"/>
    <w:rsid w:val="00805910"/>
    <w:rsid w:val="00805A47"/>
    <w:rsid w:val="00805AA6"/>
    <w:rsid w:val="00805C21"/>
    <w:rsid w:val="008065D8"/>
    <w:rsid w:val="00806731"/>
    <w:rsid w:val="008067F7"/>
    <w:rsid w:val="008068F9"/>
    <w:rsid w:val="00806AC3"/>
    <w:rsid w:val="00806B1B"/>
    <w:rsid w:val="00806BFF"/>
    <w:rsid w:val="00806CB1"/>
    <w:rsid w:val="00806E89"/>
    <w:rsid w:val="0080718E"/>
    <w:rsid w:val="008071CC"/>
    <w:rsid w:val="008073B2"/>
    <w:rsid w:val="0080768B"/>
    <w:rsid w:val="008077E0"/>
    <w:rsid w:val="00807828"/>
    <w:rsid w:val="008079D8"/>
    <w:rsid w:val="00807BAC"/>
    <w:rsid w:val="00807C1A"/>
    <w:rsid w:val="00807E1B"/>
    <w:rsid w:val="00807E7C"/>
    <w:rsid w:val="00807F23"/>
    <w:rsid w:val="0081012C"/>
    <w:rsid w:val="008107E4"/>
    <w:rsid w:val="0081085A"/>
    <w:rsid w:val="00810A05"/>
    <w:rsid w:val="00810AEA"/>
    <w:rsid w:val="00810B97"/>
    <w:rsid w:val="00810E7E"/>
    <w:rsid w:val="00810EFD"/>
    <w:rsid w:val="00810F1D"/>
    <w:rsid w:val="00810FB8"/>
    <w:rsid w:val="00810FD2"/>
    <w:rsid w:val="00811027"/>
    <w:rsid w:val="00811125"/>
    <w:rsid w:val="00811522"/>
    <w:rsid w:val="0081166C"/>
    <w:rsid w:val="008117F6"/>
    <w:rsid w:val="00811D12"/>
    <w:rsid w:val="0081228D"/>
    <w:rsid w:val="00812906"/>
    <w:rsid w:val="00812BCF"/>
    <w:rsid w:val="00812CF0"/>
    <w:rsid w:val="00812F8E"/>
    <w:rsid w:val="008131C5"/>
    <w:rsid w:val="008133BF"/>
    <w:rsid w:val="00813426"/>
    <w:rsid w:val="00813429"/>
    <w:rsid w:val="008136E2"/>
    <w:rsid w:val="00813846"/>
    <w:rsid w:val="008139B1"/>
    <w:rsid w:val="008139BA"/>
    <w:rsid w:val="00813F5D"/>
    <w:rsid w:val="00813F9F"/>
    <w:rsid w:val="00814108"/>
    <w:rsid w:val="00814179"/>
    <w:rsid w:val="0081424A"/>
    <w:rsid w:val="00814535"/>
    <w:rsid w:val="00814618"/>
    <w:rsid w:val="00814717"/>
    <w:rsid w:val="008149A3"/>
    <w:rsid w:val="00814EE4"/>
    <w:rsid w:val="008156CE"/>
    <w:rsid w:val="00815E95"/>
    <w:rsid w:val="00815F14"/>
    <w:rsid w:val="00816238"/>
    <w:rsid w:val="0081628F"/>
    <w:rsid w:val="008164CF"/>
    <w:rsid w:val="00816ADC"/>
    <w:rsid w:val="00816E43"/>
    <w:rsid w:val="00816FA4"/>
    <w:rsid w:val="00817178"/>
    <w:rsid w:val="00817700"/>
    <w:rsid w:val="008179FC"/>
    <w:rsid w:val="008200A6"/>
    <w:rsid w:val="00820429"/>
    <w:rsid w:val="008206D3"/>
    <w:rsid w:val="00820A40"/>
    <w:rsid w:val="00820CB6"/>
    <w:rsid w:val="00820D10"/>
    <w:rsid w:val="00821104"/>
    <w:rsid w:val="0082124A"/>
    <w:rsid w:val="0082130C"/>
    <w:rsid w:val="00821770"/>
    <w:rsid w:val="008217B9"/>
    <w:rsid w:val="00821C4D"/>
    <w:rsid w:val="00821CDB"/>
    <w:rsid w:val="00821E3C"/>
    <w:rsid w:val="00821F03"/>
    <w:rsid w:val="00822090"/>
    <w:rsid w:val="008220F1"/>
    <w:rsid w:val="00822217"/>
    <w:rsid w:val="008224B4"/>
    <w:rsid w:val="008224CB"/>
    <w:rsid w:val="00822502"/>
    <w:rsid w:val="00822A2F"/>
    <w:rsid w:val="00822B7D"/>
    <w:rsid w:val="00822E58"/>
    <w:rsid w:val="008230C5"/>
    <w:rsid w:val="008231D7"/>
    <w:rsid w:val="00823365"/>
    <w:rsid w:val="00823382"/>
    <w:rsid w:val="0082347E"/>
    <w:rsid w:val="00823523"/>
    <w:rsid w:val="008236CE"/>
    <w:rsid w:val="008236F8"/>
    <w:rsid w:val="008237A2"/>
    <w:rsid w:val="008238D8"/>
    <w:rsid w:val="0082392D"/>
    <w:rsid w:val="00823D5D"/>
    <w:rsid w:val="00823DB6"/>
    <w:rsid w:val="008242B8"/>
    <w:rsid w:val="00824529"/>
    <w:rsid w:val="008246A3"/>
    <w:rsid w:val="00824746"/>
    <w:rsid w:val="00824BE5"/>
    <w:rsid w:val="00824E93"/>
    <w:rsid w:val="008252CB"/>
    <w:rsid w:val="00825568"/>
    <w:rsid w:val="00825D63"/>
    <w:rsid w:val="00825D88"/>
    <w:rsid w:val="00825EF6"/>
    <w:rsid w:val="0082613E"/>
    <w:rsid w:val="00826599"/>
    <w:rsid w:val="00826691"/>
    <w:rsid w:val="008268CA"/>
    <w:rsid w:val="00826C6B"/>
    <w:rsid w:val="00827414"/>
    <w:rsid w:val="00827475"/>
    <w:rsid w:val="00827578"/>
    <w:rsid w:val="00827713"/>
    <w:rsid w:val="00827738"/>
    <w:rsid w:val="00827909"/>
    <w:rsid w:val="0082798D"/>
    <w:rsid w:val="00827B79"/>
    <w:rsid w:val="00827C31"/>
    <w:rsid w:val="00827D7B"/>
    <w:rsid w:val="0083076E"/>
    <w:rsid w:val="00830EE9"/>
    <w:rsid w:val="00831155"/>
    <w:rsid w:val="008313FA"/>
    <w:rsid w:val="00831658"/>
    <w:rsid w:val="008319D2"/>
    <w:rsid w:val="00831BA9"/>
    <w:rsid w:val="00831F35"/>
    <w:rsid w:val="00831FB9"/>
    <w:rsid w:val="008320EB"/>
    <w:rsid w:val="008320EE"/>
    <w:rsid w:val="0083212F"/>
    <w:rsid w:val="00832404"/>
    <w:rsid w:val="008324F2"/>
    <w:rsid w:val="008325DD"/>
    <w:rsid w:val="00832701"/>
    <w:rsid w:val="00832B01"/>
    <w:rsid w:val="00832B54"/>
    <w:rsid w:val="00832B57"/>
    <w:rsid w:val="00832C44"/>
    <w:rsid w:val="00832F81"/>
    <w:rsid w:val="0083308C"/>
    <w:rsid w:val="0083314E"/>
    <w:rsid w:val="008331A7"/>
    <w:rsid w:val="008331FF"/>
    <w:rsid w:val="00833947"/>
    <w:rsid w:val="008339D3"/>
    <w:rsid w:val="008339FB"/>
    <w:rsid w:val="008339FF"/>
    <w:rsid w:val="00833DA9"/>
    <w:rsid w:val="00833E99"/>
    <w:rsid w:val="00834037"/>
    <w:rsid w:val="00834074"/>
    <w:rsid w:val="0083408A"/>
    <w:rsid w:val="008341DA"/>
    <w:rsid w:val="008342B5"/>
    <w:rsid w:val="008343D8"/>
    <w:rsid w:val="00834501"/>
    <w:rsid w:val="00834698"/>
    <w:rsid w:val="00834B8E"/>
    <w:rsid w:val="00834E8E"/>
    <w:rsid w:val="00834FF9"/>
    <w:rsid w:val="008351BE"/>
    <w:rsid w:val="00835303"/>
    <w:rsid w:val="0083553A"/>
    <w:rsid w:val="00835633"/>
    <w:rsid w:val="00835756"/>
    <w:rsid w:val="00835D18"/>
    <w:rsid w:val="008365D2"/>
    <w:rsid w:val="008367BA"/>
    <w:rsid w:val="00836C1A"/>
    <w:rsid w:val="00836F05"/>
    <w:rsid w:val="00836F28"/>
    <w:rsid w:val="00837300"/>
    <w:rsid w:val="008376C8"/>
    <w:rsid w:val="00837A93"/>
    <w:rsid w:val="00837B27"/>
    <w:rsid w:val="00840163"/>
    <w:rsid w:val="008401FE"/>
    <w:rsid w:val="00840544"/>
    <w:rsid w:val="00840B72"/>
    <w:rsid w:val="00840CA1"/>
    <w:rsid w:val="00840ED3"/>
    <w:rsid w:val="00841490"/>
    <w:rsid w:val="00841532"/>
    <w:rsid w:val="00841629"/>
    <w:rsid w:val="00841684"/>
    <w:rsid w:val="00841841"/>
    <w:rsid w:val="00841A7E"/>
    <w:rsid w:val="00842234"/>
    <w:rsid w:val="0084265A"/>
    <w:rsid w:val="00842739"/>
    <w:rsid w:val="00842818"/>
    <w:rsid w:val="008428B8"/>
    <w:rsid w:val="00842C7A"/>
    <w:rsid w:val="00842E68"/>
    <w:rsid w:val="0084331D"/>
    <w:rsid w:val="0084334C"/>
    <w:rsid w:val="00843366"/>
    <w:rsid w:val="00843453"/>
    <w:rsid w:val="00843514"/>
    <w:rsid w:val="00843588"/>
    <w:rsid w:val="008435C6"/>
    <w:rsid w:val="008438F0"/>
    <w:rsid w:val="00843918"/>
    <w:rsid w:val="0084391B"/>
    <w:rsid w:val="00843AA3"/>
    <w:rsid w:val="00843AA6"/>
    <w:rsid w:val="00843C6C"/>
    <w:rsid w:val="0084403F"/>
    <w:rsid w:val="008440CC"/>
    <w:rsid w:val="008440E1"/>
    <w:rsid w:val="0084437F"/>
    <w:rsid w:val="00844468"/>
    <w:rsid w:val="00844513"/>
    <w:rsid w:val="008445DF"/>
    <w:rsid w:val="0084486B"/>
    <w:rsid w:val="008448B0"/>
    <w:rsid w:val="0084493F"/>
    <w:rsid w:val="00844A89"/>
    <w:rsid w:val="00844CA7"/>
    <w:rsid w:val="00844EF4"/>
    <w:rsid w:val="00844F50"/>
    <w:rsid w:val="00844FC8"/>
    <w:rsid w:val="008452B5"/>
    <w:rsid w:val="00845694"/>
    <w:rsid w:val="008457BA"/>
    <w:rsid w:val="008458BF"/>
    <w:rsid w:val="00846248"/>
    <w:rsid w:val="008463E9"/>
    <w:rsid w:val="00846B53"/>
    <w:rsid w:val="00846BB1"/>
    <w:rsid w:val="00846BE0"/>
    <w:rsid w:val="00846C00"/>
    <w:rsid w:val="00846C67"/>
    <w:rsid w:val="00846D2C"/>
    <w:rsid w:val="00846DE4"/>
    <w:rsid w:val="00846E19"/>
    <w:rsid w:val="00847219"/>
    <w:rsid w:val="0084746B"/>
    <w:rsid w:val="008479F6"/>
    <w:rsid w:val="00847A2B"/>
    <w:rsid w:val="00847B47"/>
    <w:rsid w:val="00847CCB"/>
    <w:rsid w:val="00847FD2"/>
    <w:rsid w:val="008501A3"/>
    <w:rsid w:val="008502C7"/>
    <w:rsid w:val="00850316"/>
    <w:rsid w:val="0085061B"/>
    <w:rsid w:val="008506C1"/>
    <w:rsid w:val="008509F7"/>
    <w:rsid w:val="00850BC3"/>
    <w:rsid w:val="00850E58"/>
    <w:rsid w:val="00851103"/>
    <w:rsid w:val="00851183"/>
    <w:rsid w:val="00851215"/>
    <w:rsid w:val="0085123E"/>
    <w:rsid w:val="0085132B"/>
    <w:rsid w:val="00851564"/>
    <w:rsid w:val="008517DC"/>
    <w:rsid w:val="00851863"/>
    <w:rsid w:val="0085189E"/>
    <w:rsid w:val="00851ABA"/>
    <w:rsid w:val="00851C2C"/>
    <w:rsid w:val="00851FAF"/>
    <w:rsid w:val="00852145"/>
    <w:rsid w:val="008521B8"/>
    <w:rsid w:val="008521ED"/>
    <w:rsid w:val="0085233C"/>
    <w:rsid w:val="0085265B"/>
    <w:rsid w:val="008528FB"/>
    <w:rsid w:val="00852944"/>
    <w:rsid w:val="00852BCB"/>
    <w:rsid w:val="00852DCA"/>
    <w:rsid w:val="0085322F"/>
    <w:rsid w:val="0085324A"/>
    <w:rsid w:val="00853399"/>
    <w:rsid w:val="0085397E"/>
    <w:rsid w:val="00853A4C"/>
    <w:rsid w:val="00853F0F"/>
    <w:rsid w:val="008546F5"/>
    <w:rsid w:val="0085497B"/>
    <w:rsid w:val="00854DEA"/>
    <w:rsid w:val="00854E5B"/>
    <w:rsid w:val="00855228"/>
    <w:rsid w:val="00855473"/>
    <w:rsid w:val="008554F0"/>
    <w:rsid w:val="00855620"/>
    <w:rsid w:val="0085570A"/>
    <w:rsid w:val="008559A9"/>
    <w:rsid w:val="00855EA4"/>
    <w:rsid w:val="00855F5F"/>
    <w:rsid w:val="0085629B"/>
    <w:rsid w:val="00856A10"/>
    <w:rsid w:val="00856B06"/>
    <w:rsid w:val="00857349"/>
    <w:rsid w:val="008575A4"/>
    <w:rsid w:val="008575BC"/>
    <w:rsid w:val="00857AD2"/>
    <w:rsid w:val="00857B73"/>
    <w:rsid w:val="0086047B"/>
    <w:rsid w:val="00860526"/>
    <w:rsid w:val="00861065"/>
    <w:rsid w:val="00861139"/>
    <w:rsid w:val="00861150"/>
    <w:rsid w:val="008613F6"/>
    <w:rsid w:val="00861416"/>
    <w:rsid w:val="0086169F"/>
    <w:rsid w:val="008616DF"/>
    <w:rsid w:val="00861B28"/>
    <w:rsid w:val="00862172"/>
    <w:rsid w:val="008621B6"/>
    <w:rsid w:val="00862348"/>
    <w:rsid w:val="0086279D"/>
    <w:rsid w:val="00862E83"/>
    <w:rsid w:val="00862F9F"/>
    <w:rsid w:val="0086300A"/>
    <w:rsid w:val="008630EE"/>
    <w:rsid w:val="00863205"/>
    <w:rsid w:val="008632D5"/>
    <w:rsid w:val="0086340D"/>
    <w:rsid w:val="0086348E"/>
    <w:rsid w:val="0086394B"/>
    <w:rsid w:val="008639EE"/>
    <w:rsid w:val="00863C10"/>
    <w:rsid w:val="00863F0C"/>
    <w:rsid w:val="00864A71"/>
    <w:rsid w:val="00864CC2"/>
    <w:rsid w:val="00864DC4"/>
    <w:rsid w:val="0086513E"/>
    <w:rsid w:val="008654C9"/>
    <w:rsid w:val="008654E4"/>
    <w:rsid w:val="0086558E"/>
    <w:rsid w:val="00865706"/>
    <w:rsid w:val="00865729"/>
    <w:rsid w:val="008657BF"/>
    <w:rsid w:val="00865B3E"/>
    <w:rsid w:val="00865B80"/>
    <w:rsid w:val="00865B86"/>
    <w:rsid w:val="00865BE2"/>
    <w:rsid w:val="00865C5A"/>
    <w:rsid w:val="008660AA"/>
    <w:rsid w:val="008663EC"/>
    <w:rsid w:val="00866A04"/>
    <w:rsid w:val="00866AB5"/>
    <w:rsid w:val="00866C40"/>
    <w:rsid w:val="00866D7A"/>
    <w:rsid w:val="0086760A"/>
    <w:rsid w:val="00867858"/>
    <w:rsid w:val="00867A01"/>
    <w:rsid w:val="00867A5A"/>
    <w:rsid w:val="00867A9F"/>
    <w:rsid w:val="00867ACF"/>
    <w:rsid w:val="00867C2E"/>
    <w:rsid w:val="00867C67"/>
    <w:rsid w:val="008700BF"/>
    <w:rsid w:val="0087027C"/>
    <w:rsid w:val="00870431"/>
    <w:rsid w:val="008704F0"/>
    <w:rsid w:val="008708A8"/>
    <w:rsid w:val="00870B23"/>
    <w:rsid w:val="00870BBF"/>
    <w:rsid w:val="00870C6E"/>
    <w:rsid w:val="00870C74"/>
    <w:rsid w:val="00870DFD"/>
    <w:rsid w:val="00871150"/>
    <w:rsid w:val="008713FC"/>
    <w:rsid w:val="00871466"/>
    <w:rsid w:val="00871682"/>
    <w:rsid w:val="0087180A"/>
    <w:rsid w:val="00871842"/>
    <w:rsid w:val="00871B4F"/>
    <w:rsid w:val="00871F32"/>
    <w:rsid w:val="008723D7"/>
    <w:rsid w:val="008726EA"/>
    <w:rsid w:val="00872A51"/>
    <w:rsid w:val="00872A7E"/>
    <w:rsid w:val="00872B0E"/>
    <w:rsid w:val="00872C15"/>
    <w:rsid w:val="00872E5D"/>
    <w:rsid w:val="008730D7"/>
    <w:rsid w:val="008730FA"/>
    <w:rsid w:val="0087392F"/>
    <w:rsid w:val="00873A2F"/>
    <w:rsid w:val="0087401F"/>
    <w:rsid w:val="008740A7"/>
    <w:rsid w:val="008740A9"/>
    <w:rsid w:val="00874135"/>
    <w:rsid w:val="008741BE"/>
    <w:rsid w:val="0087434B"/>
    <w:rsid w:val="00874501"/>
    <w:rsid w:val="00874531"/>
    <w:rsid w:val="00874568"/>
    <w:rsid w:val="00874933"/>
    <w:rsid w:val="008749E3"/>
    <w:rsid w:val="00874F19"/>
    <w:rsid w:val="008750FD"/>
    <w:rsid w:val="008751E9"/>
    <w:rsid w:val="0087523F"/>
    <w:rsid w:val="0087576F"/>
    <w:rsid w:val="00875872"/>
    <w:rsid w:val="008758D7"/>
    <w:rsid w:val="00875987"/>
    <w:rsid w:val="00875A4D"/>
    <w:rsid w:val="00875A85"/>
    <w:rsid w:val="00875B6B"/>
    <w:rsid w:val="00875B87"/>
    <w:rsid w:val="008760D2"/>
    <w:rsid w:val="008761E8"/>
    <w:rsid w:val="008762E7"/>
    <w:rsid w:val="00876A07"/>
    <w:rsid w:val="00876FF2"/>
    <w:rsid w:val="008770C7"/>
    <w:rsid w:val="008779E3"/>
    <w:rsid w:val="00877A17"/>
    <w:rsid w:val="00877AA1"/>
    <w:rsid w:val="00877B28"/>
    <w:rsid w:val="00877C69"/>
    <w:rsid w:val="00880247"/>
    <w:rsid w:val="008802DC"/>
    <w:rsid w:val="0088047D"/>
    <w:rsid w:val="0088052E"/>
    <w:rsid w:val="00880648"/>
    <w:rsid w:val="008806E2"/>
    <w:rsid w:val="00880715"/>
    <w:rsid w:val="0088082D"/>
    <w:rsid w:val="00880856"/>
    <w:rsid w:val="00880AC0"/>
    <w:rsid w:val="008811D8"/>
    <w:rsid w:val="008814C3"/>
    <w:rsid w:val="00881782"/>
    <w:rsid w:val="008817A2"/>
    <w:rsid w:val="008817B2"/>
    <w:rsid w:val="00881B43"/>
    <w:rsid w:val="00881EDF"/>
    <w:rsid w:val="00881FC1"/>
    <w:rsid w:val="00882105"/>
    <w:rsid w:val="0088215F"/>
    <w:rsid w:val="008822BC"/>
    <w:rsid w:val="008827A2"/>
    <w:rsid w:val="00882A8F"/>
    <w:rsid w:val="00882B7F"/>
    <w:rsid w:val="00882D36"/>
    <w:rsid w:val="00883257"/>
    <w:rsid w:val="008834A5"/>
    <w:rsid w:val="0088359C"/>
    <w:rsid w:val="008835B5"/>
    <w:rsid w:val="00883620"/>
    <w:rsid w:val="008837E6"/>
    <w:rsid w:val="008839CC"/>
    <w:rsid w:val="00883A7C"/>
    <w:rsid w:val="00883B09"/>
    <w:rsid w:val="00883BE1"/>
    <w:rsid w:val="00883E17"/>
    <w:rsid w:val="00883EE2"/>
    <w:rsid w:val="00883F92"/>
    <w:rsid w:val="00884361"/>
    <w:rsid w:val="00884936"/>
    <w:rsid w:val="00884BDB"/>
    <w:rsid w:val="00884E4A"/>
    <w:rsid w:val="00884F94"/>
    <w:rsid w:val="0088503B"/>
    <w:rsid w:val="00885687"/>
    <w:rsid w:val="0088571F"/>
    <w:rsid w:val="0088599A"/>
    <w:rsid w:val="00885AD3"/>
    <w:rsid w:val="00885BC7"/>
    <w:rsid w:val="00885F57"/>
    <w:rsid w:val="00886293"/>
    <w:rsid w:val="00886533"/>
    <w:rsid w:val="00886718"/>
    <w:rsid w:val="00886CDE"/>
    <w:rsid w:val="00886E23"/>
    <w:rsid w:val="00886F7D"/>
    <w:rsid w:val="00887076"/>
    <w:rsid w:val="00887103"/>
    <w:rsid w:val="008871DD"/>
    <w:rsid w:val="00887706"/>
    <w:rsid w:val="0088783D"/>
    <w:rsid w:val="00887C64"/>
    <w:rsid w:val="00887CAE"/>
    <w:rsid w:val="00887D5C"/>
    <w:rsid w:val="00890702"/>
    <w:rsid w:val="0089083F"/>
    <w:rsid w:val="008909EA"/>
    <w:rsid w:val="00890F78"/>
    <w:rsid w:val="008910BB"/>
    <w:rsid w:val="008911C6"/>
    <w:rsid w:val="0089127B"/>
    <w:rsid w:val="00891396"/>
    <w:rsid w:val="008913AA"/>
    <w:rsid w:val="008914E6"/>
    <w:rsid w:val="008916CF"/>
    <w:rsid w:val="008916F9"/>
    <w:rsid w:val="00891849"/>
    <w:rsid w:val="00891B76"/>
    <w:rsid w:val="00891D53"/>
    <w:rsid w:val="0089226C"/>
    <w:rsid w:val="00892403"/>
    <w:rsid w:val="0089242F"/>
    <w:rsid w:val="008926ED"/>
    <w:rsid w:val="00892723"/>
    <w:rsid w:val="00892837"/>
    <w:rsid w:val="0089289E"/>
    <w:rsid w:val="008928D6"/>
    <w:rsid w:val="00892A5C"/>
    <w:rsid w:val="00892CC6"/>
    <w:rsid w:val="00893032"/>
    <w:rsid w:val="0089309A"/>
    <w:rsid w:val="0089319E"/>
    <w:rsid w:val="008931A3"/>
    <w:rsid w:val="0089331C"/>
    <w:rsid w:val="008934ED"/>
    <w:rsid w:val="008937F5"/>
    <w:rsid w:val="00893A33"/>
    <w:rsid w:val="00893CBA"/>
    <w:rsid w:val="00893D2E"/>
    <w:rsid w:val="008940C2"/>
    <w:rsid w:val="008943ED"/>
    <w:rsid w:val="0089447C"/>
    <w:rsid w:val="0089454A"/>
    <w:rsid w:val="008947A9"/>
    <w:rsid w:val="008948ED"/>
    <w:rsid w:val="00894A13"/>
    <w:rsid w:val="0089508F"/>
    <w:rsid w:val="008951FD"/>
    <w:rsid w:val="00895210"/>
    <w:rsid w:val="00895355"/>
    <w:rsid w:val="008953C2"/>
    <w:rsid w:val="008955B9"/>
    <w:rsid w:val="008956F8"/>
    <w:rsid w:val="00895896"/>
    <w:rsid w:val="00895982"/>
    <w:rsid w:val="00895B82"/>
    <w:rsid w:val="00895D72"/>
    <w:rsid w:val="00895E35"/>
    <w:rsid w:val="00896031"/>
    <w:rsid w:val="00896179"/>
    <w:rsid w:val="00896338"/>
    <w:rsid w:val="00896803"/>
    <w:rsid w:val="0089698A"/>
    <w:rsid w:val="00896B9E"/>
    <w:rsid w:val="00896C47"/>
    <w:rsid w:val="00896E03"/>
    <w:rsid w:val="00896E42"/>
    <w:rsid w:val="00896EC0"/>
    <w:rsid w:val="00896EFA"/>
    <w:rsid w:val="0089709C"/>
    <w:rsid w:val="0089720E"/>
    <w:rsid w:val="00897286"/>
    <w:rsid w:val="008972B0"/>
    <w:rsid w:val="008973D2"/>
    <w:rsid w:val="008974CF"/>
    <w:rsid w:val="008974D6"/>
    <w:rsid w:val="00897708"/>
    <w:rsid w:val="0089777A"/>
    <w:rsid w:val="00897826"/>
    <w:rsid w:val="00897A3F"/>
    <w:rsid w:val="00897C52"/>
    <w:rsid w:val="00897D26"/>
    <w:rsid w:val="00897D52"/>
    <w:rsid w:val="00897EDC"/>
    <w:rsid w:val="008A01F5"/>
    <w:rsid w:val="008A03FA"/>
    <w:rsid w:val="008A0499"/>
    <w:rsid w:val="008A0796"/>
    <w:rsid w:val="008A0E23"/>
    <w:rsid w:val="008A112C"/>
    <w:rsid w:val="008A1348"/>
    <w:rsid w:val="008A1567"/>
    <w:rsid w:val="008A1837"/>
    <w:rsid w:val="008A18FF"/>
    <w:rsid w:val="008A19A0"/>
    <w:rsid w:val="008A19E4"/>
    <w:rsid w:val="008A1E43"/>
    <w:rsid w:val="008A1E81"/>
    <w:rsid w:val="008A1F43"/>
    <w:rsid w:val="008A216A"/>
    <w:rsid w:val="008A2AFF"/>
    <w:rsid w:val="008A2E98"/>
    <w:rsid w:val="008A3318"/>
    <w:rsid w:val="008A3789"/>
    <w:rsid w:val="008A3B72"/>
    <w:rsid w:val="008A3DAC"/>
    <w:rsid w:val="008A3EDD"/>
    <w:rsid w:val="008A3F0A"/>
    <w:rsid w:val="008A40A2"/>
    <w:rsid w:val="008A4137"/>
    <w:rsid w:val="008A450D"/>
    <w:rsid w:val="008A452E"/>
    <w:rsid w:val="008A4AA0"/>
    <w:rsid w:val="008A5076"/>
    <w:rsid w:val="008A5381"/>
    <w:rsid w:val="008A53D5"/>
    <w:rsid w:val="008A5715"/>
    <w:rsid w:val="008A57A1"/>
    <w:rsid w:val="008A5BE5"/>
    <w:rsid w:val="008A5EE2"/>
    <w:rsid w:val="008A5FD4"/>
    <w:rsid w:val="008A603E"/>
    <w:rsid w:val="008A64C5"/>
    <w:rsid w:val="008A6897"/>
    <w:rsid w:val="008A68E9"/>
    <w:rsid w:val="008A727B"/>
    <w:rsid w:val="008A7321"/>
    <w:rsid w:val="008A750B"/>
    <w:rsid w:val="008A768F"/>
    <w:rsid w:val="008A7FAF"/>
    <w:rsid w:val="008B0239"/>
    <w:rsid w:val="008B03ED"/>
    <w:rsid w:val="008B0465"/>
    <w:rsid w:val="008B0805"/>
    <w:rsid w:val="008B086F"/>
    <w:rsid w:val="008B0DF7"/>
    <w:rsid w:val="008B10D5"/>
    <w:rsid w:val="008B1290"/>
    <w:rsid w:val="008B1358"/>
    <w:rsid w:val="008B14EC"/>
    <w:rsid w:val="008B1803"/>
    <w:rsid w:val="008B1987"/>
    <w:rsid w:val="008B198F"/>
    <w:rsid w:val="008B1E07"/>
    <w:rsid w:val="008B20DC"/>
    <w:rsid w:val="008B20EF"/>
    <w:rsid w:val="008B2798"/>
    <w:rsid w:val="008B2974"/>
    <w:rsid w:val="008B2B1C"/>
    <w:rsid w:val="008B2B79"/>
    <w:rsid w:val="008B2B86"/>
    <w:rsid w:val="008B2D5A"/>
    <w:rsid w:val="008B300E"/>
    <w:rsid w:val="008B33F3"/>
    <w:rsid w:val="008B37DB"/>
    <w:rsid w:val="008B383B"/>
    <w:rsid w:val="008B3D9C"/>
    <w:rsid w:val="008B3EE7"/>
    <w:rsid w:val="008B3FD0"/>
    <w:rsid w:val="008B3FE9"/>
    <w:rsid w:val="008B42FF"/>
    <w:rsid w:val="008B4461"/>
    <w:rsid w:val="008B45A0"/>
    <w:rsid w:val="008B4637"/>
    <w:rsid w:val="008B46D5"/>
    <w:rsid w:val="008B478B"/>
    <w:rsid w:val="008B487F"/>
    <w:rsid w:val="008B48C8"/>
    <w:rsid w:val="008B4913"/>
    <w:rsid w:val="008B498D"/>
    <w:rsid w:val="008B4E25"/>
    <w:rsid w:val="008B5051"/>
    <w:rsid w:val="008B50D7"/>
    <w:rsid w:val="008B512C"/>
    <w:rsid w:val="008B5244"/>
    <w:rsid w:val="008B524A"/>
    <w:rsid w:val="008B5336"/>
    <w:rsid w:val="008B545F"/>
    <w:rsid w:val="008B5537"/>
    <w:rsid w:val="008B560D"/>
    <w:rsid w:val="008B57AD"/>
    <w:rsid w:val="008B5936"/>
    <w:rsid w:val="008B5A06"/>
    <w:rsid w:val="008B5AE4"/>
    <w:rsid w:val="008B5AED"/>
    <w:rsid w:val="008B5CB8"/>
    <w:rsid w:val="008B5D7E"/>
    <w:rsid w:val="008B5E35"/>
    <w:rsid w:val="008B5E36"/>
    <w:rsid w:val="008B5FA6"/>
    <w:rsid w:val="008B61D9"/>
    <w:rsid w:val="008B62A9"/>
    <w:rsid w:val="008B62F9"/>
    <w:rsid w:val="008B634F"/>
    <w:rsid w:val="008B63C9"/>
    <w:rsid w:val="008B6604"/>
    <w:rsid w:val="008B6620"/>
    <w:rsid w:val="008B6A6B"/>
    <w:rsid w:val="008B6E86"/>
    <w:rsid w:val="008B6F49"/>
    <w:rsid w:val="008B72B2"/>
    <w:rsid w:val="008B735A"/>
    <w:rsid w:val="008B7689"/>
    <w:rsid w:val="008B77D8"/>
    <w:rsid w:val="008B7A02"/>
    <w:rsid w:val="008B7A99"/>
    <w:rsid w:val="008B7B39"/>
    <w:rsid w:val="008B7DB9"/>
    <w:rsid w:val="008B7F5E"/>
    <w:rsid w:val="008B7F7D"/>
    <w:rsid w:val="008B7FDF"/>
    <w:rsid w:val="008C016A"/>
    <w:rsid w:val="008C01E4"/>
    <w:rsid w:val="008C05D5"/>
    <w:rsid w:val="008C09A9"/>
    <w:rsid w:val="008C09E5"/>
    <w:rsid w:val="008C0B3F"/>
    <w:rsid w:val="008C1181"/>
    <w:rsid w:val="008C1317"/>
    <w:rsid w:val="008C13EA"/>
    <w:rsid w:val="008C1454"/>
    <w:rsid w:val="008C1537"/>
    <w:rsid w:val="008C18DE"/>
    <w:rsid w:val="008C1AF7"/>
    <w:rsid w:val="008C2267"/>
    <w:rsid w:val="008C273F"/>
    <w:rsid w:val="008C2A4C"/>
    <w:rsid w:val="008C2C5D"/>
    <w:rsid w:val="008C30FA"/>
    <w:rsid w:val="008C310A"/>
    <w:rsid w:val="008C3115"/>
    <w:rsid w:val="008C3357"/>
    <w:rsid w:val="008C358F"/>
    <w:rsid w:val="008C3653"/>
    <w:rsid w:val="008C36D5"/>
    <w:rsid w:val="008C379A"/>
    <w:rsid w:val="008C3A62"/>
    <w:rsid w:val="008C3DD8"/>
    <w:rsid w:val="008C3EF8"/>
    <w:rsid w:val="008C3F37"/>
    <w:rsid w:val="008C40E3"/>
    <w:rsid w:val="008C42AD"/>
    <w:rsid w:val="008C43DA"/>
    <w:rsid w:val="008C47F1"/>
    <w:rsid w:val="008C4878"/>
    <w:rsid w:val="008C4950"/>
    <w:rsid w:val="008C49BE"/>
    <w:rsid w:val="008C4AC4"/>
    <w:rsid w:val="008C4B8F"/>
    <w:rsid w:val="008C4BF8"/>
    <w:rsid w:val="008C4FE8"/>
    <w:rsid w:val="008C5049"/>
    <w:rsid w:val="008C5135"/>
    <w:rsid w:val="008C513A"/>
    <w:rsid w:val="008C54A7"/>
    <w:rsid w:val="008C5682"/>
    <w:rsid w:val="008C5758"/>
    <w:rsid w:val="008C596D"/>
    <w:rsid w:val="008C5B7B"/>
    <w:rsid w:val="008C6786"/>
    <w:rsid w:val="008C6CF4"/>
    <w:rsid w:val="008C6DC0"/>
    <w:rsid w:val="008C7495"/>
    <w:rsid w:val="008C751B"/>
    <w:rsid w:val="008C756C"/>
    <w:rsid w:val="008C79AB"/>
    <w:rsid w:val="008C7A91"/>
    <w:rsid w:val="008C7C72"/>
    <w:rsid w:val="008C7DE4"/>
    <w:rsid w:val="008D00BD"/>
    <w:rsid w:val="008D01E5"/>
    <w:rsid w:val="008D0209"/>
    <w:rsid w:val="008D02B5"/>
    <w:rsid w:val="008D0593"/>
    <w:rsid w:val="008D059A"/>
    <w:rsid w:val="008D0FD1"/>
    <w:rsid w:val="008D16C4"/>
    <w:rsid w:val="008D1E0E"/>
    <w:rsid w:val="008D204D"/>
    <w:rsid w:val="008D2270"/>
    <w:rsid w:val="008D22F7"/>
    <w:rsid w:val="008D2353"/>
    <w:rsid w:val="008D25D6"/>
    <w:rsid w:val="008D26A3"/>
    <w:rsid w:val="008D29E9"/>
    <w:rsid w:val="008D2B6F"/>
    <w:rsid w:val="008D2D8B"/>
    <w:rsid w:val="008D2E9E"/>
    <w:rsid w:val="008D31A2"/>
    <w:rsid w:val="008D32CD"/>
    <w:rsid w:val="008D32F2"/>
    <w:rsid w:val="008D3331"/>
    <w:rsid w:val="008D3890"/>
    <w:rsid w:val="008D3901"/>
    <w:rsid w:val="008D3915"/>
    <w:rsid w:val="008D3CB0"/>
    <w:rsid w:val="008D3F71"/>
    <w:rsid w:val="008D4087"/>
    <w:rsid w:val="008D4088"/>
    <w:rsid w:val="008D42D8"/>
    <w:rsid w:val="008D4346"/>
    <w:rsid w:val="008D45E9"/>
    <w:rsid w:val="008D48EB"/>
    <w:rsid w:val="008D4A67"/>
    <w:rsid w:val="008D4C96"/>
    <w:rsid w:val="008D4CC0"/>
    <w:rsid w:val="008D5378"/>
    <w:rsid w:val="008D540D"/>
    <w:rsid w:val="008D5AD7"/>
    <w:rsid w:val="008D5C60"/>
    <w:rsid w:val="008D5DC2"/>
    <w:rsid w:val="008D6365"/>
    <w:rsid w:val="008D65E2"/>
    <w:rsid w:val="008D67D1"/>
    <w:rsid w:val="008D6887"/>
    <w:rsid w:val="008D6B1B"/>
    <w:rsid w:val="008D6E5A"/>
    <w:rsid w:val="008D6E79"/>
    <w:rsid w:val="008D706F"/>
    <w:rsid w:val="008D743D"/>
    <w:rsid w:val="008D7541"/>
    <w:rsid w:val="008D7594"/>
    <w:rsid w:val="008D7B8D"/>
    <w:rsid w:val="008D7C67"/>
    <w:rsid w:val="008D7D1E"/>
    <w:rsid w:val="008D7F57"/>
    <w:rsid w:val="008E01B2"/>
    <w:rsid w:val="008E055F"/>
    <w:rsid w:val="008E0606"/>
    <w:rsid w:val="008E0AF3"/>
    <w:rsid w:val="008E0E80"/>
    <w:rsid w:val="008E0F1C"/>
    <w:rsid w:val="008E18A2"/>
    <w:rsid w:val="008E18F2"/>
    <w:rsid w:val="008E19B6"/>
    <w:rsid w:val="008E1B13"/>
    <w:rsid w:val="008E1BB5"/>
    <w:rsid w:val="008E1BDB"/>
    <w:rsid w:val="008E1C1B"/>
    <w:rsid w:val="008E1E27"/>
    <w:rsid w:val="008E1F39"/>
    <w:rsid w:val="008E1FA5"/>
    <w:rsid w:val="008E23E3"/>
    <w:rsid w:val="008E2461"/>
    <w:rsid w:val="008E24A0"/>
    <w:rsid w:val="008E26A6"/>
    <w:rsid w:val="008E2755"/>
    <w:rsid w:val="008E3257"/>
    <w:rsid w:val="008E33BF"/>
    <w:rsid w:val="008E35CA"/>
    <w:rsid w:val="008E3670"/>
    <w:rsid w:val="008E3699"/>
    <w:rsid w:val="008E3793"/>
    <w:rsid w:val="008E3A01"/>
    <w:rsid w:val="008E3DB1"/>
    <w:rsid w:val="008E3E0A"/>
    <w:rsid w:val="008E40E1"/>
    <w:rsid w:val="008E4241"/>
    <w:rsid w:val="008E434D"/>
    <w:rsid w:val="008E436E"/>
    <w:rsid w:val="008E4380"/>
    <w:rsid w:val="008E44DA"/>
    <w:rsid w:val="008E48F7"/>
    <w:rsid w:val="008E4AF2"/>
    <w:rsid w:val="008E4F8F"/>
    <w:rsid w:val="008E50CF"/>
    <w:rsid w:val="008E5180"/>
    <w:rsid w:val="008E54E6"/>
    <w:rsid w:val="008E59FE"/>
    <w:rsid w:val="008E5B54"/>
    <w:rsid w:val="008E5BD5"/>
    <w:rsid w:val="008E5EBB"/>
    <w:rsid w:val="008E60DB"/>
    <w:rsid w:val="008E68EF"/>
    <w:rsid w:val="008E6A02"/>
    <w:rsid w:val="008E6CC9"/>
    <w:rsid w:val="008E6D03"/>
    <w:rsid w:val="008E6E03"/>
    <w:rsid w:val="008E6F49"/>
    <w:rsid w:val="008E6FBC"/>
    <w:rsid w:val="008E7329"/>
    <w:rsid w:val="008E76F6"/>
    <w:rsid w:val="008E789A"/>
    <w:rsid w:val="008E79EB"/>
    <w:rsid w:val="008E7B34"/>
    <w:rsid w:val="008E7D23"/>
    <w:rsid w:val="008E7F32"/>
    <w:rsid w:val="008F0094"/>
    <w:rsid w:val="008F0146"/>
    <w:rsid w:val="008F018F"/>
    <w:rsid w:val="008F01B7"/>
    <w:rsid w:val="008F03F2"/>
    <w:rsid w:val="008F0490"/>
    <w:rsid w:val="008F0631"/>
    <w:rsid w:val="008F08AC"/>
    <w:rsid w:val="008F0B0F"/>
    <w:rsid w:val="008F0B80"/>
    <w:rsid w:val="008F0FA6"/>
    <w:rsid w:val="008F14F7"/>
    <w:rsid w:val="008F178E"/>
    <w:rsid w:val="008F1881"/>
    <w:rsid w:val="008F18FD"/>
    <w:rsid w:val="008F1934"/>
    <w:rsid w:val="008F1B29"/>
    <w:rsid w:val="008F1D84"/>
    <w:rsid w:val="008F2469"/>
    <w:rsid w:val="008F2545"/>
    <w:rsid w:val="008F2A1A"/>
    <w:rsid w:val="008F32C1"/>
    <w:rsid w:val="008F34ED"/>
    <w:rsid w:val="008F35E4"/>
    <w:rsid w:val="008F37FB"/>
    <w:rsid w:val="008F39A8"/>
    <w:rsid w:val="008F3C48"/>
    <w:rsid w:val="008F3D0E"/>
    <w:rsid w:val="008F3F0D"/>
    <w:rsid w:val="008F3FEE"/>
    <w:rsid w:val="008F40AC"/>
    <w:rsid w:val="008F4202"/>
    <w:rsid w:val="008F4702"/>
    <w:rsid w:val="008F4839"/>
    <w:rsid w:val="008F4B8E"/>
    <w:rsid w:val="008F4BF5"/>
    <w:rsid w:val="008F4F20"/>
    <w:rsid w:val="008F4F97"/>
    <w:rsid w:val="008F4FE3"/>
    <w:rsid w:val="008F5452"/>
    <w:rsid w:val="008F5906"/>
    <w:rsid w:val="008F5988"/>
    <w:rsid w:val="008F59BF"/>
    <w:rsid w:val="008F5C92"/>
    <w:rsid w:val="008F5CF8"/>
    <w:rsid w:val="008F5EA4"/>
    <w:rsid w:val="008F5F67"/>
    <w:rsid w:val="008F5F79"/>
    <w:rsid w:val="008F60F5"/>
    <w:rsid w:val="008F6475"/>
    <w:rsid w:val="008F6E69"/>
    <w:rsid w:val="008F6EA4"/>
    <w:rsid w:val="008F702F"/>
    <w:rsid w:val="008F73D6"/>
    <w:rsid w:val="008F74CB"/>
    <w:rsid w:val="008F7B7A"/>
    <w:rsid w:val="008F7BD6"/>
    <w:rsid w:val="009001D4"/>
    <w:rsid w:val="009001F9"/>
    <w:rsid w:val="009003F9"/>
    <w:rsid w:val="0090059D"/>
    <w:rsid w:val="00900744"/>
    <w:rsid w:val="0090092C"/>
    <w:rsid w:val="00900CDC"/>
    <w:rsid w:val="009012C6"/>
    <w:rsid w:val="0090134C"/>
    <w:rsid w:val="00901745"/>
    <w:rsid w:val="00901891"/>
    <w:rsid w:val="00901C1F"/>
    <w:rsid w:val="00901C4C"/>
    <w:rsid w:val="00901E21"/>
    <w:rsid w:val="00901F00"/>
    <w:rsid w:val="00902336"/>
    <w:rsid w:val="009024B7"/>
    <w:rsid w:val="009024CD"/>
    <w:rsid w:val="00902AFB"/>
    <w:rsid w:val="00902F43"/>
    <w:rsid w:val="009030FE"/>
    <w:rsid w:val="009034DA"/>
    <w:rsid w:val="009036EC"/>
    <w:rsid w:val="00903798"/>
    <w:rsid w:val="0090387C"/>
    <w:rsid w:val="00903A8C"/>
    <w:rsid w:val="00903AD5"/>
    <w:rsid w:val="00903B50"/>
    <w:rsid w:val="00903C60"/>
    <w:rsid w:val="00903C83"/>
    <w:rsid w:val="00903CCF"/>
    <w:rsid w:val="00903DF0"/>
    <w:rsid w:val="00903E76"/>
    <w:rsid w:val="009040E1"/>
    <w:rsid w:val="00904195"/>
    <w:rsid w:val="009043DC"/>
    <w:rsid w:val="00904978"/>
    <w:rsid w:val="00904E7B"/>
    <w:rsid w:val="00904F7D"/>
    <w:rsid w:val="0090517A"/>
    <w:rsid w:val="00905432"/>
    <w:rsid w:val="00905518"/>
    <w:rsid w:val="00905598"/>
    <w:rsid w:val="009057D7"/>
    <w:rsid w:val="009058A1"/>
    <w:rsid w:val="0090599B"/>
    <w:rsid w:val="00905C29"/>
    <w:rsid w:val="00905FD6"/>
    <w:rsid w:val="00906017"/>
    <w:rsid w:val="0090632A"/>
    <w:rsid w:val="0090641B"/>
    <w:rsid w:val="009069FF"/>
    <w:rsid w:val="00906CC0"/>
    <w:rsid w:val="00906D0A"/>
    <w:rsid w:val="00906E70"/>
    <w:rsid w:val="00906F05"/>
    <w:rsid w:val="00906FCB"/>
    <w:rsid w:val="00906FD4"/>
    <w:rsid w:val="009073C0"/>
    <w:rsid w:val="00907583"/>
    <w:rsid w:val="009076FF"/>
    <w:rsid w:val="0090776B"/>
    <w:rsid w:val="00907C97"/>
    <w:rsid w:val="00907CB5"/>
    <w:rsid w:val="00907D87"/>
    <w:rsid w:val="00907E73"/>
    <w:rsid w:val="0091023B"/>
    <w:rsid w:val="009104D3"/>
    <w:rsid w:val="009104EF"/>
    <w:rsid w:val="00910577"/>
    <w:rsid w:val="009107B7"/>
    <w:rsid w:val="0091080A"/>
    <w:rsid w:val="00910C85"/>
    <w:rsid w:val="00910CEA"/>
    <w:rsid w:val="00910D82"/>
    <w:rsid w:val="00910EE4"/>
    <w:rsid w:val="00911228"/>
    <w:rsid w:val="009112EB"/>
    <w:rsid w:val="00911428"/>
    <w:rsid w:val="0091142E"/>
    <w:rsid w:val="00911A9F"/>
    <w:rsid w:val="00911AE8"/>
    <w:rsid w:val="00911B3C"/>
    <w:rsid w:val="00911BF0"/>
    <w:rsid w:val="00911C28"/>
    <w:rsid w:val="00911D91"/>
    <w:rsid w:val="00911FD0"/>
    <w:rsid w:val="00912028"/>
    <w:rsid w:val="00912179"/>
    <w:rsid w:val="009126C1"/>
    <w:rsid w:val="00912921"/>
    <w:rsid w:val="00912A96"/>
    <w:rsid w:val="00912B75"/>
    <w:rsid w:val="00912BAA"/>
    <w:rsid w:val="00912C90"/>
    <w:rsid w:val="00912D3A"/>
    <w:rsid w:val="00912FE6"/>
    <w:rsid w:val="0091312C"/>
    <w:rsid w:val="00913544"/>
    <w:rsid w:val="009138AE"/>
    <w:rsid w:val="00913A89"/>
    <w:rsid w:val="00913CF5"/>
    <w:rsid w:val="00913FDF"/>
    <w:rsid w:val="00914263"/>
    <w:rsid w:val="00914289"/>
    <w:rsid w:val="00914524"/>
    <w:rsid w:val="0091452C"/>
    <w:rsid w:val="00914669"/>
    <w:rsid w:val="00914B74"/>
    <w:rsid w:val="00914D9D"/>
    <w:rsid w:val="00914E8D"/>
    <w:rsid w:val="0091510A"/>
    <w:rsid w:val="00915174"/>
    <w:rsid w:val="009151EB"/>
    <w:rsid w:val="00915250"/>
    <w:rsid w:val="00915383"/>
    <w:rsid w:val="0091538E"/>
    <w:rsid w:val="00915484"/>
    <w:rsid w:val="00915531"/>
    <w:rsid w:val="009157E3"/>
    <w:rsid w:val="00915EB0"/>
    <w:rsid w:val="00915F60"/>
    <w:rsid w:val="009160E5"/>
    <w:rsid w:val="00916330"/>
    <w:rsid w:val="0091657C"/>
    <w:rsid w:val="0091675D"/>
    <w:rsid w:val="0091696D"/>
    <w:rsid w:val="00916A37"/>
    <w:rsid w:val="00916D54"/>
    <w:rsid w:val="009172AD"/>
    <w:rsid w:val="0091777F"/>
    <w:rsid w:val="0091788E"/>
    <w:rsid w:val="00917CA3"/>
    <w:rsid w:val="00917FB0"/>
    <w:rsid w:val="0092010F"/>
    <w:rsid w:val="009203D9"/>
    <w:rsid w:val="009204C6"/>
    <w:rsid w:val="00920505"/>
    <w:rsid w:val="009206CA"/>
    <w:rsid w:val="009207CD"/>
    <w:rsid w:val="00920845"/>
    <w:rsid w:val="0092084C"/>
    <w:rsid w:val="0092085C"/>
    <w:rsid w:val="00920898"/>
    <w:rsid w:val="00920DC7"/>
    <w:rsid w:val="00921255"/>
    <w:rsid w:val="00921292"/>
    <w:rsid w:val="009213C1"/>
    <w:rsid w:val="0092158A"/>
    <w:rsid w:val="00921C16"/>
    <w:rsid w:val="00921CB8"/>
    <w:rsid w:val="00921CC8"/>
    <w:rsid w:val="00921FB4"/>
    <w:rsid w:val="00922133"/>
    <w:rsid w:val="00922313"/>
    <w:rsid w:val="0092243D"/>
    <w:rsid w:val="0092243F"/>
    <w:rsid w:val="00922526"/>
    <w:rsid w:val="009225B2"/>
    <w:rsid w:val="009226F2"/>
    <w:rsid w:val="00922A22"/>
    <w:rsid w:val="00922BDA"/>
    <w:rsid w:val="00922CE7"/>
    <w:rsid w:val="00922FF9"/>
    <w:rsid w:val="00923053"/>
    <w:rsid w:val="009231E8"/>
    <w:rsid w:val="00923227"/>
    <w:rsid w:val="009238D6"/>
    <w:rsid w:val="00923E57"/>
    <w:rsid w:val="00923F4D"/>
    <w:rsid w:val="0092408D"/>
    <w:rsid w:val="00924102"/>
    <w:rsid w:val="009241A0"/>
    <w:rsid w:val="009249EE"/>
    <w:rsid w:val="00924D02"/>
    <w:rsid w:val="00924D10"/>
    <w:rsid w:val="00924DCE"/>
    <w:rsid w:val="00924F6E"/>
    <w:rsid w:val="00924FA5"/>
    <w:rsid w:val="0092514A"/>
    <w:rsid w:val="009252C4"/>
    <w:rsid w:val="00925544"/>
    <w:rsid w:val="009255B3"/>
    <w:rsid w:val="00925D2A"/>
    <w:rsid w:val="00925DE1"/>
    <w:rsid w:val="00925E34"/>
    <w:rsid w:val="00925E5D"/>
    <w:rsid w:val="0092606D"/>
    <w:rsid w:val="009263B8"/>
    <w:rsid w:val="009264D0"/>
    <w:rsid w:val="00926841"/>
    <w:rsid w:val="009268A2"/>
    <w:rsid w:val="00926A88"/>
    <w:rsid w:val="00926E48"/>
    <w:rsid w:val="00926F38"/>
    <w:rsid w:val="00926F6A"/>
    <w:rsid w:val="009272A2"/>
    <w:rsid w:val="009274EB"/>
    <w:rsid w:val="009275CB"/>
    <w:rsid w:val="009275EF"/>
    <w:rsid w:val="0092788A"/>
    <w:rsid w:val="009278F2"/>
    <w:rsid w:val="00927A4D"/>
    <w:rsid w:val="00927BEC"/>
    <w:rsid w:val="00927C6D"/>
    <w:rsid w:val="00927E90"/>
    <w:rsid w:val="00927F41"/>
    <w:rsid w:val="00930165"/>
    <w:rsid w:val="00930282"/>
    <w:rsid w:val="00930417"/>
    <w:rsid w:val="009305BC"/>
    <w:rsid w:val="009306F4"/>
    <w:rsid w:val="00930773"/>
    <w:rsid w:val="009307B2"/>
    <w:rsid w:val="00930AAC"/>
    <w:rsid w:val="00930CE8"/>
    <w:rsid w:val="00930D18"/>
    <w:rsid w:val="00930D59"/>
    <w:rsid w:val="00930E47"/>
    <w:rsid w:val="00930E85"/>
    <w:rsid w:val="009310F3"/>
    <w:rsid w:val="00931195"/>
    <w:rsid w:val="009311EF"/>
    <w:rsid w:val="00931517"/>
    <w:rsid w:val="00931547"/>
    <w:rsid w:val="00931D41"/>
    <w:rsid w:val="00931FE1"/>
    <w:rsid w:val="00932398"/>
    <w:rsid w:val="009323E9"/>
    <w:rsid w:val="0093257B"/>
    <w:rsid w:val="0093275E"/>
    <w:rsid w:val="00932D67"/>
    <w:rsid w:val="0093311A"/>
    <w:rsid w:val="00933307"/>
    <w:rsid w:val="009333B7"/>
    <w:rsid w:val="00933568"/>
    <w:rsid w:val="009335A2"/>
    <w:rsid w:val="0093385A"/>
    <w:rsid w:val="0093388F"/>
    <w:rsid w:val="009338A3"/>
    <w:rsid w:val="00933951"/>
    <w:rsid w:val="00933AD6"/>
    <w:rsid w:val="00933D4E"/>
    <w:rsid w:val="0093420D"/>
    <w:rsid w:val="00934314"/>
    <w:rsid w:val="00934335"/>
    <w:rsid w:val="00934428"/>
    <w:rsid w:val="0093443A"/>
    <w:rsid w:val="009344C7"/>
    <w:rsid w:val="009344DC"/>
    <w:rsid w:val="009346BE"/>
    <w:rsid w:val="0093492C"/>
    <w:rsid w:val="00934DCB"/>
    <w:rsid w:val="00934EE1"/>
    <w:rsid w:val="00934F0E"/>
    <w:rsid w:val="00934F20"/>
    <w:rsid w:val="00935467"/>
    <w:rsid w:val="0093550A"/>
    <w:rsid w:val="00935633"/>
    <w:rsid w:val="0093566F"/>
    <w:rsid w:val="0093596D"/>
    <w:rsid w:val="00935C51"/>
    <w:rsid w:val="00935CD5"/>
    <w:rsid w:val="00935DA9"/>
    <w:rsid w:val="00935E00"/>
    <w:rsid w:val="00936295"/>
    <w:rsid w:val="00936694"/>
    <w:rsid w:val="00936B19"/>
    <w:rsid w:val="00936E3D"/>
    <w:rsid w:val="00936F1B"/>
    <w:rsid w:val="00936F65"/>
    <w:rsid w:val="0093725E"/>
    <w:rsid w:val="00937409"/>
    <w:rsid w:val="00937852"/>
    <w:rsid w:val="00937A82"/>
    <w:rsid w:val="00937AF9"/>
    <w:rsid w:val="00937C51"/>
    <w:rsid w:val="00937C5F"/>
    <w:rsid w:val="0094000F"/>
    <w:rsid w:val="00940048"/>
    <w:rsid w:val="00940058"/>
    <w:rsid w:val="0094008B"/>
    <w:rsid w:val="00940489"/>
    <w:rsid w:val="009407AE"/>
    <w:rsid w:val="00940FB9"/>
    <w:rsid w:val="0094104A"/>
    <w:rsid w:val="009415E0"/>
    <w:rsid w:val="00941690"/>
    <w:rsid w:val="00941E76"/>
    <w:rsid w:val="00941FF3"/>
    <w:rsid w:val="00942271"/>
    <w:rsid w:val="009423A3"/>
    <w:rsid w:val="00942534"/>
    <w:rsid w:val="009426BE"/>
    <w:rsid w:val="00942727"/>
    <w:rsid w:val="00942800"/>
    <w:rsid w:val="00942818"/>
    <w:rsid w:val="00942833"/>
    <w:rsid w:val="00942B40"/>
    <w:rsid w:val="00942DC5"/>
    <w:rsid w:val="00943598"/>
    <w:rsid w:val="0094374B"/>
    <w:rsid w:val="0094384F"/>
    <w:rsid w:val="00943883"/>
    <w:rsid w:val="009439B1"/>
    <w:rsid w:val="00943C4F"/>
    <w:rsid w:val="00943C9F"/>
    <w:rsid w:val="00943E66"/>
    <w:rsid w:val="00943F20"/>
    <w:rsid w:val="00944191"/>
    <w:rsid w:val="0094458B"/>
    <w:rsid w:val="009445A8"/>
    <w:rsid w:val="009448F0"/>
    <w:rsid w:val="00944A58"/>
    <w:rsid w:val="00944AE2"/>
    <w:rsid w:val="00944B5C"/>
    <w:rsid w:val="00944F74"/>
    <w:rsid w:val="00945392"/>
    <w:rsid w:val="009454CD"/>
    <w:rsid w:val="00945954"/>
    <w:rsid w:val="00945AF8"/>
    <w:rsid w:val="00945E36"/>
    <w:rsid w:val="0094625C"/>
    <w:rsid w:val="009465CC"/>
    <w:rsid w:val="00946A0C"/>
    <w:rsid w:val="00946B04"/>
    <w:rsid w:val="00946B8A"/>
    <w:rsid w:val="00946FAD"/>
    <w:rsid w:val="00947CFE"/>
    <w:rsid w:val="00947F9F"/>
    <w:rsid w:val="0095022A"/>
    <w:rsid w:val="00950272"/>
    <w:rsid w:val="009504FE"/>
    <w:rsid w:val="00950779"/>
    <w:rsid w:val="0095079F"/>
    <w:rsid w:val="00950839"/>
    <w:rsid w:val="0095098D"/>
    <w:rsid w:val="00950B92"/>
    <w:rsid w:val="00950FAF"/>
    <w:rsid w:val="0095100B"/>
    <w:rsid w:val="009510EF"/>
    <w:rsid w:val="0095113E"/>
    <w:rsid w:val="0095122E"/>
    <w:rsid w:val="009512CE"/>
    <w:rsid w:val="009512D3"/>
    <w:rsid w:val="00951982"/>
    <w:rsid w:val="00951AD6"/>
    <w:rsid w:val="00951C84"/>
    <w:rsid w:val="00951E73"/>
    <w:rsid w:val="009528B1"/>
    <w:rsid w:val="00952980"/>
    <w:rsid w:val="00952BEC"/>
    <w:rsid w:val="009537FE"/>
    <w:rsid w:val="00953D9B"/>
    <w:rsid w:val="00953E16"/>
    <w:rsid w:val="009543BA"/>
    <w:rsid w:val="009547C1"/>
    <w:rsid w:val="00954870"/>
    <w:rsid w:val="00954B2B"/>
    <w:rsid w:val="00954D13"/>
    <w:rsid w:val="00955092"/>
    <w:rsid w:val="009551AC"/>
    <w:rsid w:val="009551DE"/>
    <w:rsid w:val="0095529C"/>
    <w:rsid w:val="009555FD"/>
    <w:rsid w:val="00955838"/>
    <w:rsid w:val="00955AD8"/>
    <w:rsid w:val="00955BF7"/>
    <w:rsid w:val="00955C51"/>
    <w:rsid w:val="00955ED5"/>
    <w:rsid w:val="00955F17"/>
    <w:rsid w:val="009563A8"/>
    <w:rsid w:val="0095655E"/>
    <w:rsid w:val="00956612"/>
    <w:rsid w:val="009566DA"/>
    <w:rsid w:val="00956941"/>
    <w:rsid w:val="00956ADE"/>
    <w:rsid w:val="00956C3E"/>
    <w:rsid w:val="00956C85"/>
    <w:rsid w:val="00956CA6"/>
    <w:rsid w:val="00956E94"/>
    <w:rsid w:val="00956EC0"/>
    <w:rsid w:val="00957026"/>
    <w:rsid w:val="0095706E"/>
    <w:rsid w:val="00957165"/>
    <w:rsid w:val="00957318"/>
    <w:rsid w:val="00957834"/>
    <w:rsid w:val="00957D53"/>
    <w:rsid w:val="00957DE6"/>
    <w:rsid w:val="00957EB2"/>
    <w:rsid w:val="00960060"/>
    <w:rsid w:val="009608E2"/>
    <w:rsid w:val="009608F3"/>
    <w:rsid w:val="00960986"/>
    <w:rsid w:val="009609AB"/>
    <w:rsid w:val="00960AF1"/>
    <w:rsid w:val="00960D92"/>
    <w:rsid w:val="0096104A"/>
    <w:rsid w:val="009611BA"/>
    <w:rsid w:val="0096136C"/>
    <w:rsid w:val="009614E9"/>
    <w:rsid w:val="009614F2"/>
    <w:rsid w:val="009617A2"/>
    <w:rsid w:val="009617D1"/>
    <w:rsid w:val="009617D6"/>
    <w:rsid w:val="00961841"/>
    <w:rsid w:val="00961B71"/>
    <w:rsid w:val="00961BF1"/>
    <w:rsid w:val="00961C46"/>
    <w:rsid w:val="00961EBD"/>
    <w:rsid w:val="009620A3"/>
    <w:rsid w:val="00962105"/>
    <w:rsid w:val="0096229C"/>
    <w:rsid w:val="00962576"/>
    <w:rsid w:val="009628FF"/>
    <w:rsid w:val="00962A18"/>
    <w:rsid w:val="009632B4"/>
    <w:rsid w:val="00963357"/>
    <w:rsid w:val="009635B0"/>
    <w:rsid w:val="00963635"/>
    <w:rsid w:val="00963759"/>
    <w:rsid w:val="00963F00"/>
    <w:rsid w:val="009642B3"/>
    <w:rsid w:val="009642F0"/>
    <w:rsid w:val="00964367"/>
    <w:rsid w:val="0096464F"/>
    <w:rsid w:val="009646FC"/>
    <w:rsid w:val="00964736"/>
    <w:rsid w:val="0096489A"/>
    <w:rsid w:val="00964970"/>
    <w:rsid w:val="00965097"/>
    <w:rsid w:val="00965291"/>
    <w:rsid w:val="0096534C"/>
    <w:rsid w:val="009653E6"/>
    <w:rsid w:val="009654B0"/>
    <w:rsid w:val="00965ACF"/>
    <w:rsid w:val="00965D91"/>
    <w:rsid w:val="00965DBE"/>
    <w:rsid w:val="0096607E"/>
    <w:rsid w:val="009660E8"/>
    <w:rsid w:val="0096614E"/>
    <w:rsid w:val="009661C5"/>
    <w:rsid w:val="009664F0"/>
    <w:rsid w:val="00966811"/>
    <w:rsid w:val="0096681E"/>
    <w:rsid w:val="00966E08"/>
    <w:rsid w:val="009670D2"/>
    <w:rsid w:val="009671B2"/>
    <w:rsid w:val="00967238"/>
    <w:rsid w:val="009675E5"/>
    <w:rsid w:val="009676C0"/>
    <w:rsid w:val="00967A46"/>
    <w:rsid w:val="0097027F"/>
    <w:rsid w:val="009702FE"/>
    <w:rsid w:val="009704BE"/>
    <w:rsid w:val="009708F5"/>
    <w:rsid w:val="00970B16"/>
    <w:rsid w:val="00970C68"/>
    <w:rsid w:val="00970D2B"/>
    <w:rsid w:val="00971023"/>
    <w:rsid w:val="0097110D"/>
    <w:rsid w:val="009712E2"/>
    <w:rsid w:val="0097147E"/>
    <w:rsid w:val="00971725"/>
    <w:rsid w:val="0097187D"/>
    <w:rsid w:val="009718B9"/>
    <w:rsid w:val="0097191B"/>
    <w:rsid w:val="0097199E"/>
    <w:rsid w:val="00971B8B"/>
    <w:rsid w:val="00971B9A"/>
    <w:rsid w:val="00971C5E"/>
    <w:rsid w:val="009723CC"/>
    <w:rsid w:val="00972526"/>
    <w:rsid w:val="00972600"/>
    <w:rsid w:val="00972B3D"/>
    <w:rsid w:val="00972B87"/>
    <w:rsid w:val="00972D57"/>
    <w:rsid w:val="00972D6D"/>
    <w:rsid w:val="00972DC8"/>
    <w:rsid w:val="00973048"/>
    <w:rsid w:val="009730AD"/>
    <w:rsid w:val="009732CD"/>
    <w:rsid w:val="00973474"/>
    <w:rsid w:val="009734CF"/>
    <w:rsid w:val="00973990"/>
    <w:rsid w:val="00973A27"/>
    <w:rsid w:val="00974250"/>
    <w:rsid w:val="00974601"/>
    <w:rsid w:val="009747D0"/>
    <w:rsid w:val="0097511D"/>
    <w:rsid w:val="00975201"/>
    <w:rsid w:val="0097527C"/>
    <w:rsid w:val="009753D4"/>
    <w:rsid w:val="00975564"/>
    <w:rsid w:val="00975567"/>
    <w:rsid w:val="00975748"/>
    <w:rsid w:val="0097582A"/>
    <w:rsid w:val="00975A08"/>
    <w:rsid w:val="00975C4F"/>
    <w:rsid w:val="00976329"/>
    <w:rsid w:val="009766B9"/>
    <w:rsid w:val="00976836"/>
    <w:rsid w:val="0097687B"/>
    <w:rsid w:val="00976BB5"/>
    <w:rsid w:val="00976D01"/>
    <w:rsid w:val="00976EBB"/>
    <w:rsid w:val="009774CC"/>
    <w:rsid w:val="00977562"/>
    <w:rsid w:val="009775D9"/>
    <w:rsid w:val="009776FB"/>
    <w:rsid w:val="00977722"/>
    <w:rsid w:val="00977850"/>
    <w:rsid w:val="00977E8A"/>
    <w:rsid w:val="00977F03"/>
    <w:rsid w:val="0098015B"/>
    <w:rsid w:val="00980596"/>
    <w:rsid w:val="00980642"/>
    <w:rsid w:val="00980C45"/>
    <w:rsid w:val="00980CDA"/>
    <w:rsid w:val="00980CE5"/>
    <w:rsid w:val="009812AC"/>
    <w:rsid w:val="009815E0"/>
    <w:rsid w:val="009819CE"/>
    <w:rsid w:val="00981AED"/>
    <w:rsid w:val="00981E65"/>
    <w:rsid w:val="009821D8"/>
    <w:rsid w:val="009822F9"/>
    <w:rsid w:val="009824F7"/>
    <w:rsid w:val="0098261D"/>
    <w:rsid w:val="009827F3"/>
    <w:rsid w:val="00982A36"/>
    <w:rsid w:val="00982A66"/>
    <w:rsid w:val="00982DA3"/>
    <w:rsid w:val="00983315"/>
    <w:rsid w:val="0098340F"/>
    <w:rsid w:val="00983A11"/>
    <w:rsid w:val="00983B39"/>
    <w:rsid w:val="0098419F"/>
    <w:rsid w:val="00984275"/>
    <w:rsid w:val="009844B2"/>
    <w:rsid w:val="009844BB"/>
    <w:rsid w:val="009846AE"/>
    <w:rsid w:val="009849A6"/>
    <w:rsid w:val="00984ACF"/>
    <w:rsid w:val="00984BBE"/>
    <w:rsid w:val="00984D02"/>
    <w:rsid w:val="00984FDF"/>
    <w:rsid w:val="00985042"/>
    <w:rsid w:val="0098510A"/>
    <w:rsid w:val="00985229"/>
    <w:rsid w:val="00985571"/>
    <w:rsid w:val="009858D3"/>
    <w:rsid w:val="009859BB"/>
    <w:rsid w:val="00985A01"/>
    <w:rsid w:val="00985A8C"/>
    <w:rsid w:val="00985AF1"/>
    <w:rsid w:val="00985C5F"/>
    <w:rsid w:val="00985F3F"/>
    <w:rsid w:val="0098604B"/>
    <w:rsid w:val="00986196"/>
    <w:rsid w:val="009867C7"/>
    <w:rsid w:val="00986DB3"/>
    <w:rsid w:val="00986E03"/>
    <w:rsid w:val="00986EBA"/>
    <w:rsid w:val="00986FFC"/>
    <w:rsid w:val="009870BD"/>
    <w:rsid w:val="009874B3"/>
    <w:rsid w:val="0098766E"/>
    <w:rsid w:val="009878E3"/>
    <w:rsid w:val="0098798A"/>
    <w:rsid w:val="00987D07"/>
    <w:rsid w:val="00990BF5"/>
    <w:rsid w:val="00990E69"/>
    <w:rsid w:val="00990F3E"/>
    <w:rsid w:val="009911F2"/>
    <w:rsid w:val="009916C7"/>
    <w:rsid w:val="0099197E"/>
    <w:rsid w:val="00991B3A"/>
    <w:rsid w:val="00991B8A"/>
    <w:rsid w:val="00991E27"/>
    <w:rsid w:val="0099221D"/>
    <w:rsid w:val="0099235F"/>
    <w:rsid w:val="0099256C"/>
    <w:rsid w:val="009925AB"/>
    <w:rsid w:val="0099260F"/>
    <w:rsid w:val="009926AE"/>
    <w:rsid w:val="009929CD"/>
    <w:rsid w:val="00992A81"/>
    <w:rsid w:val="00992CDC"/>
    <w:rsid w:val="00992D58"/>
    <w:rsid w:val="00992D7D"/>
    <w:rsid w:val="00992FBE"/>
    <w:rsid w:val="009931D5"/>
    <w:rsid w:val="00993370"/>
    <w:rsid w:val="00993394"/>
    <w:rsid w:val="00993538"/>
    <w:rsid w:val="0099392C"/>
    <w:rsid w:val="00993A24"/>
    <w:rsid w:val="00993B9E"/>
    <w:rsid w:val="00993F87"/>
    <w:rsid w:val="00994044"/>
    <w:rsid w:val="0099407A"/>
    <w:rsid w:val="00994422"/>
    <w:rsid w:val="009946E5"/>
    <w:rsid w:val="009948DC"/>
    <w:rsid w:val="00994AC8"/>
    <w:rsid w:val="00994C40"/>
    <w:rsid w:val="0099530B"/>
    <w:rsid w:val="009956BC"/>
    <w:rsid w:val="009957BE"/>
    <w:rsid w:val="009958C8"/>
    <w:rsid w:val="00996278"/>
    <w:rsid w:val="009962D8"/>
    <w:rsid w:val="0099637B"/>
    <w:rsid w:val="00996384"/>
    <w:rsid w:val="00996641"/>
    <w:rsid w:val="00996753"/>
    <w:rsid w:val="00996824"/>
    <w:rsid w:val="009968EA"/>
    <w:rsid w:val="009968FA"/>
    <w:rsid w:val="0099693C"/>
    <w:rsid w:val="009969B9"/>
    <w:rsid w:val="00996B88"/>
    <w:rsid w:val="00996D14"/>
    <w:rsid w:val="00997549"/>
    <w:rsid w:val="0099768C"/>
    <w:rsid w:val="00997876"/>
    <w:rsid w:val="00997985"/>
    <w:rsid w:val="00997A51"/>
    <w:rsid w:val="00997B52"/>
    <w:rsid w:val="00997BB7"/>
    <w:rsid w:val="00997D18"/>
    <w:rsid w:val="00997ED7"/>
    <w:rsid w:val="009A0104"/>
    <w:rsid w:val="009A063C"/>
    <w:rsid w:val="009A085D"/>
    <w:rsid w:val="009A0980"/>
    <w:rsid w:val="009A09BD"/>
    <w:rsid w:val="009A0B2D"/>
    <w:rsid w:val="009A0C23"/>
    <w:rsid w:val="009A0EE8"/>
    <w:rsid w:val="009A17D9"/>
    <w:rsid w:val="009A1B3E"/>
    <w:rsid w:val="009A1CED"/>
    <w:rsid w:val="009A1DD3"/>
    <w:rsid w:val="009A1E69"/>
    <w:rsid w:val="009A23C7"/>
    <w:rsid w:val="009A2786"/>
    <w:rsid w:val="009A2CE0"/>
    <w:rsid w:val="009A2EBD"/>
    <w:rsid w:val="009A2F7F"/>
    <w:rsid w:val="009A3000"/>
    <w:rsid w:val="009A3170"/>
    <w:rsid w:val="009A332F"/>
    <w:rsid w:val="009A333D"/>
    <w:rsid w:val="009A34C2"/>
    <w:rsid w:val="009A3522"/>
    <w:rsid w:val="009A3C9D"/>
    <w:rsid w:val="009A3E67"/>
    <w:rsid w:val="009A4124"/>
    <w:rsid w:val="009A44BB"/>
    <w:rsid w:val="009A4754"/>
    <w:rsid w:val="009A48E8"/>
    <w:rsid w:val="009A4906"/>
    <w:rsid w:val="009A4926"/>
    <w:rsid w:val="009A49D6"/>
    <w:rsid w:val="009A4B14"/>
    <w:rsid w:val="009A4C03"/>
    <w:rsid w:val="009A4DB0"/>
    <w:rsid w:val="009A5147"/>
    <w:rsid w:val="009A515D"/>
    <w:rsid w:val="009A5167"/>
    <w:rsid w:val="009A5593"/>
    <w:rsid w:val="009A596F"/>
    <w:rsid w:val="009A5BD7"/>
    <w:rsid w:val="009A5D6E"/>
    <w:rsid w:val="009A5DA4"/>
    <w:rsid w:val="009A5E0A"/>
    <w:rsid w:val="009A5F53"/>
    <w:rsid w:val="009A618C"/>
    <w:rsid w:val="009A63C5"/>
    <w:rsid w:val="009A6441"/>
    <w:rsid w:val="009A65C3"/>
    <w:rsid w:val="009A6903"/>
    <w:rsid w:val="009A6910"/>
    <w:rsid w:val="009A6935"/>
    <w:rsid w:val="009A69D4"/>
    <w:rsid w:val="009A6B6B"/>
    <w:rsid w:val="009A6CC0"/>
    <w:rsid w:val="009A6E35"/>
    <w:rsid w:val="009A7064"/>
    <w:rsid w:val="009A7288"/>
    <w:rsid w:val="009A72ED"/>
    <w:rsid w:val="009A73F7"/>
    <w:rsid w:val="009A74FF"/>
    <w:rsid w:val="009A7642"/>
    <w:rsid w:val="009A76E3"/>
    <w:rsid w:val="009A7B7C"/>
    <w:rsid w:val="009A7BBD"/>
    <w:rsid w:val="009A7DB1"/>
    <w:rsid w:val="009A7DC7"/>
    <w:rsid w:val="009A7E8B"/>
    <w:rsid w:val="009A7EDA"/>
    <w:rsid w:val="009A7F52"/>
    <w:rsid w:val="009B009C"/>
    <w:rsid w:val="009B08B1"/>
    <w:rsid w:val="009B08B2"/>
    <w:rsid w:val="009B0903"/>
    <w:rsid w:val="009B0ACA"/>
    <w:rsid w:val="009B0AE1"/>
    <w:rsid w:val="009B0BC4"/>
    <w:rsid w:val="009B0C13"/>
    <w:rsid w:val="009B0C82"/>
    <w:rsid w:val="009B0D0D"/>
    <w:rsid w:val="009B0EFA"/>
    <w:rsid w:val="009B1282"/>
    <w:rsid w:val="009B12DC"/>
    <w:rsid w:val="009B12E4"/>
    <w:rsid w:val="009B14A4"/>
    <w:rsid w:val="009B1EF6"/>
    <w:rsid w:val="009B2187"/>
    <w:rsid w:val="009B21E1"/>
    <w:rsid w:val="009B229F"/>
    <w:rsid w:val="009B23C2"/>
    <w:rsid w:val="009B2CC4"/>
    <w:rsid w:val="009B2EFE"/>
    <w:rsid w:val="009B3003"/>
    <w:rsid w:val="009B3076"/>
    <w:rsid w:val="009B31B8"/>
    <w:rsid w:val="009B3281"/>
    <w:rsid w:val="009B342F"/>
    <w:rsid w:val="009B36C6"/>
    <w:rsid w:val="009B3790"/>
    <w:rsid w:val="009B39C8"/>
    <w:rsid w:val="009B3DCC"/>
    <w:rsid w:val="009B3F97"/>
    <w:rsid w:val="009B4172"/>
    <w:rsid w:val="009B4375"/>
    <w:rsid w:val="009B43A9"/>
    <w:rsid w:val="009B44AB"/>
    <w:rsid w:val="009B4577"/>
    <w:rsid w:val="009B496A"/>
    <w:rsid w:val="009B49D9"/>
    <w:rsid w:val="009B4F57"/>
    <w:rsid w:val="009B50E7"/>
    <w:rsid w:val="009B52D5"/>
    <w:rsid w:val="009B53BC"/>
    <w:rsid w:val="009B5A02"/>
    <w:rsid w:val="009B5A3B"/>
    <w:rsid w:val="009B5BBB"/>
    <w:rsid w:val="009B5BFF"/>
    <w:rsid w:val="009B5C70"/>
    <w:rsid w:val="009B5D38"/>
    <w:rsid w:val="009B61DF"/>
    <w:rsid w:val="009B62F6"/>
    <w:rsid w:val="009B6FB9"/>
    <w:rsid w:val="009B7396"/>
    <w:rsid w:val="009B7679"/>
    <w:rsid w:val="009B77B7"/>
    <w:rsid w:val="009B78AC"/>
    <w:rsid w:val="009B7CE2"/>
    <w:rsid w:val="009B7D58"/>
    <w:rsid w:val="009C020C"/>
    <w:rsid w:val="009C051D"/>
    <w:rsid w:val="009C055F"/>
    <w:rsid w:val="009C070D"/>
    <w:rsid w:val="009C080A"/>
    <w:rsid w:val="009C0815"/>
    <w:rsid w:val="009C08E9"/>
    <w:rsid w:val="009C0CC0"/>
    <w:rsid w:val="009C0EE7"/>
    <w:rsid w:val="009C116B"/>
    <w:rsid w:val="009C133B"/>
    <w:rsid w:val="009C15E0"/>
    <w:rsid w:val="009C1644"/>
    <w:rsid w:val="009C2045"/>
    <w:rsid w:val="009C2104"/>
    <w:rsid w:val="009C23BB"/>
    <w:rsid w:val="009C2A8A"/>
    <w:rsid w:val="009C2C06"/>
    <w:rsid w:val="009C2CAE"/>
    <w:rsid w:val="009C2DC6"/>
    <w:rsid w:val="009C3650"/>
    <w:rsid w:val="009C3A2C"/>
    <w:rsid w:val="009C3A83"/>
    <w:rsid w:val="009C3BFC"/>
    <w:rsid w:val="009C3F5D"/>
    <w:rsid w:val="009C3F69"/>
    <w:rsid w:val="009C3FCB"/>
    <w:rsid w:val="009C416A"/>
    <w:rsid w:val="009C42D3"/>
    <w:rsid w:val="009C474E"/>
    <w:rsid w:val="009C4A50"/>
    <w:rsid w:val="009C4BE8"/>
    <w:rsid w:val="009C5177"/>
    <w:rsid w:val="009C5224"/>
    <w:rsid w:val="009C555B"/>
    <w:rsid w:val="009C5B01"/>
    <w:rsid w:val="009C5C39"/>
    <w:rsid w:val="009C5E5A"/>
    <w:rsid w:val="009C5EA8"/>
    <w:rsid w:val="009C5F2A"/>
    <w:rsid w:val="009C5F2F"/>
    <w:rsid w:val="009C6134"/>
    <w:rsid w:val="009C6212"/>
    <w:rsid w:val="009C62BE"/>
    <w:rsid w:val="009C62C9"/>
    <w:rsid w:val="009C64B5"/>
    <w:rsid w:val="009C6AC2"/>
    <w:rsid w:val="009C6AC9"/>
    <w:rsid w:val="009C6B58"/>
    <w:rsid w:val="009C6D9F"/>
    <w:rsid w:val="009C6EA6"/>
    <w:rsid w:val="009C7127"/>
    <w:rsid w:val="009C7327"/>
    <w:rsid w:val="009C734A"/>
    <w:rsid w:val="009C73F6"/>
    <w:rsid w:val="009C76D9"/>
    <w:rsid w:val="009C76F4"/>
    <w:rsid w:val="009C7CCF"/>
    <w:rsid w:val="009C7FAE"/>
    <w:rsid w:val="009D0AC4"/>
    <w:rsid w:val="009D0BA1"/>
    <w:rsid w:val="009D0BBD"/>
    <w:rsid w:val="009D0E5F"/>
    <w:rsid w:val="009D1083"/>
    <w:rsid w:val="009D14C7"/>
    <w:rsid w:val="009D1572"/>
    <w:rsid w:val="009D1625"/>
    <w:rsid w:val="009D1767"/>
    <w:rsid w:val="009D1D1F"/>
    <w:rsid w:val="009D1F48"/>
    <w:rsid w:val="009D20A7"/>
    <w:rsid w:val="009D20C6"/>
    <w:rsid w:val="009D2510"/>
    <w:rsid w:val="009D29EA"/>
    <w:rsid w:val="009D2D82"/>
    <w:rsid w:val="009D308D"/>
    <w:rsid w:val="009D3137"/>
    <w:rsid w:val="009D3AAA"/>
    <w:rsid w:val="009D3DCA"/>
    <w:rsid w:val="009D401B"/>
    <w:rsid w:val="009D418B"/>
    <w:rsid w:val="009D41C0"/>
    <w:rsid w:val="009D4962"/>
    <w:rsid w:val="009D4E5A"/>
    <w:rsid w:val="009D50BC"/>
    <w:rsid w:val="009D513B"/>
    <w:rsid w:val="009D51B2"/>
    <w:rsid w:val="009D5334"/>
    <w:rsid w:val="009D540A"/>
    <w:rsid w:val="009D5668"/>
    <w:rsid w:val="009D596E"/>
    <w:rsid w:val="009D5B06"/>
    <w:rsid w:val="009D6585"/>
    <w:rsid w:val="009D659C"/>
    <w:rsid w:val="009D6910"/>
    <w:rsid w:val="009D69C6"/>
    <w:rsid w:val="009D6DC6"/>
    <w:rsid w:val="009D6E78"/>
    <w:rsid w:val="009D704A"/>
    <w:rsid w:val="009D7107"/>
    <w:rsid w:val="009D75C7"/>
    <w:rsid w:val="009D78D2"/>
    <w:rsid w:val="009D7A20"/>
    <w:rsid w:val="009D7A64"/>
    <w:rsid w:val="009D7B05"/>
    <w:rsid w:val="009D7C14"/>
    <w:rsid w:val="009D7C52"/>
    <w:rsid w:val="009D7C76"/>
    <w:rsid w:val="009D7D8B"/>
    <w:rsid w:val="009E01A3"/>
    <w:rsid w:val="009E0371"/>
    <w:rsid w:val="009E03E5"/>
    <w:rsid w:val="009E055F"/>
    <w:rsid w:val="009E07ED"/>
    <w:rsid w:val="009E0A14"/>
    <w:rsid w:val="009E0AAD"/>
    <w:rsid w:val="009E0BD3"/>
    <w:rsid w:val="009E0E0C"/>
    <w:rsid w:val="009E103F"/>
    <w:rsid w:val="009E11F1"/>
    <w:rsid w:val="009E132E"/>
    <w:rsid w:val="009E1418"/>
    <w:rsid w:val="009E16BD"/>
    <w:rsid w:val="009E1886"/>
    <w:rsid w:val="009E18E0"/>
    <w:rsid w:val="009E196D"/>
    <w:rsid w:val="009E1ABC"/>
    <w:rsid w:val="009E1E35"/>
    <w:rsid w:val="009E1F75"/>
    <w:rsid w:val="009E1FBF"/>
    <w:rsid w:val="009E21D6"/>
    <w:rsid w:val="009E233B"/>
    <w:rsid w:val="009E238A"/>
    <w:rsid w:val="009E2396"/>
    <w:rsid w:val="009E2469"/>
    <w:rsid w:val="009E27F8"/>
    <w:rsid w:val="009E282E"/>
    <w:rsid w:val="009E2A4A"/>
    <w:rsid w:val="009E3242"/>
    <w:rsid w:val="009E3288"/>
    <w:rsid w:val="009E33E4"/>
    <w:rsid w:val="009E3841"/>
    <w:rsid w:val="009E3D0C"/>
    <w:rsid w:val="009E3F26"/>
    <w:rsid w:val="009E46F0"/>
    <w:rsid w:val="009E47C7"/>
    <w:rsid w:val="009E4AA7"/>
    <w:rsid w:val="009E4E1D"/>
    <w:rsid w:val="009E4F49"/>
    <w:rsid w:val="009E51D9"/>
    <w:rsid w:val="009E5256"/>
    <w:rsid w:val="009E549E"/>
    <w:rsid w:val="009E54E6"/>
    <w:rsid w:val="009E557D"/>
    <w:rsid w:val="009E5985"/>
    <w:rsid w:val="009E5CCE"/>
    <w:rsid w:val="009E5D28"/>
    <w:rsid w:val="009E5DA6"/>
    <w:rsid w:val="009E5DE9"/>
    <w:rsid w:val="009E60FF"/>
    <w:rsid w:val="009E62DB"/>
    <w:rsid w:val="009E6857"/>
    <w:rsid w:val="009E69D4"/>
    <w:rsid w:val="009E7005"/>
    <w:rsid w:val="009E70F6"/>
    <w:rsid w:val="009E71B4"/>
    <w:rsid w:val="009E71ED"/>
    <w:rsid w:val="009E7304"/>
    <w:rsid w:val="009E73DD"/>
    <w:rsid w:val="009E7601"/>
    <w:rsid w:val="009E788B"/>
    <w:rsid w:val="009E7A23"/>
    <w:rsid w:val="009E7B8E"/>
    <w:rsid w:val="009E7D49"/>
    <w:rsid w:val="009F0A72"/>
    <w:rsid w:val="009F10D6"/>
    <w:rsid w:val="009F11D4"/>
    <w:rsid w:val="009F1201"/>
    <w:rsid w:val="009F1FE4"/>
    <w:rsid w:val="009F2273"/>
    <w:rsid w:val="009F22D8"/>
    <w:rsid w:val="009F235D"/>
    <w:rsid w:val="009F260D"/>
    <w:rsid w:val="009F26BE"/>
    <w:rsid w:val="009F26F3"/>
    <w:rsid w:val="009F2804"/>
    <w:rsid w:val="009F2865"/>
    <w:rsid w:val="009F3308"/>
    <w:rsid w:val="009F389B"/>
    <w:rsid w:val="009F38CB"/>
    <w:rsid w:val="009F3ADB"/>
    <w:rsid w:val="009F3D88"/>
    <w:rsid w:val="009F4254"/>
    <w:rsid w:val="009F47D1"/>
    <w:rsid w:val="009F486F"/>
    <w:rsid w:val="009F4B54"/>
    <w:rsid w:val="009F4E5D"/>
    <w:rsid w:val="009F5FE3"/>
    <w:rsid w:val="009F6156"/>
    <w:rsid w:val="009F6228"/>
    <w:rsid w:val="009F63B4"/>
    <w:rsid w:val="009F688F"/>
    <w:rsid w:val="009F6C2F"/>
    <w:rsid w:val="009F6C67"/>
    <w:rsid w:val="009F6EA7"/>
    <w:rsid w:val="009F7007"/>
    <w:rsid w:val="009F715C"/>
    <w:rsid w:val="009F72EF"/>
    <w:rsid w:val="009F7644"/>
    <w:rsid w:val="009F7710"/>
    <w:rsid w:val="009F78CC"/>
    <w:rsid w:val="009F7A96"/>
    <w:rsid w:val="009F7E3C"/>
    <w:rsid w:val="009F7E71"/>
    <w:rsid w:val="00A00319"/>
    <w:rsid w:val="00A00645"/>
    <w:rsid w:val="00A00724"/>
    <w:rsid w:val="00A00772"/>
    <w:rsid w:val="00A00A44"/>
    <w:rsid w:val="00A00AA6"/>
    <w:rsid w:val="00A00C41"/>
    <w:rsid w:val="00A00C51"/>
    <w:rsid w:val="00A00F5C"/>
    <w:rsid w:val="00A00FAC"/>
    <w:rsid w:val="00A0111F"/>
    <w:rsid w:val="00A012CE"/>
    <w:rsid w:val="00A01724"/>
    <w:rsid w:val="00A01786"/>
    <w:rsid w:val="00A01880"/>
    <w:rsid w:val="00A01930"/>
    <w:rsid w:val="00A0199E"/>
    <w:rsid w:val="00A01C4A"/>
    <w:rsid w:val="00A01C7E"/>
    <w:rsid w:val="00A01DA0"/>
    <w:rsid w:val="00A01E54"/>
    <w:rsid w:val="00A01FF2"/>
    <w:rsid w:val="00A0223C"/>
    <w:rsid w:val="00A022B7"/>
    <w:rsid w:val="00A024C3"/>
    <w:rsid w:val="00A025C1"/>
    <w:rsid w:val="00A0261B"/>
    <w:rsid w:val="00A027EC"/>
    <w:rsid w:val="00A0285B"/>
    <w:rsid w:val="00A02896"/>
    <w:rsid w:val="00A02BEA"/>
    <w:rsid w:val="00A03548"/>
    <w:rsid w:val="00A03C73"/>
    <w:rsid w:val="00A03CAD"/>
    <w:rsid w:val="00A03CED"/>
    <w:rsid w:val="00A03D45"/>
    <w:rsid w:val="00A03ED3"/>
    <w:rsid w:val="00A03F78"/>
    <w:rsid w:val="00A043B8"/>
    <w:rsid w:val="00A04B9F"/>
    <w:rsid w:val="00A04C5A"/>
    <w:rsid w:val="00A05056"/>
    <w:rsid w:val="00A05546"/>
    <w:rsid w:val="00A055C9"/>
    <w:rsid w:val="00A05D08"/>
    <w:rsid w:val="00A05EBE"/>
    <w:rsid w:val="00A05ED0"/>
    <w:rsid w:val="00A05F59"/>
    <w:rsid w:val="00A064AE"/>
    <w:rsid w:val="00A06716"/>
    <w:rsid w:val="00A068C5"/>
    <w:rsid w:val="00A06A62"/>
    <w:rsid w:val="00A06A90"/>
    <w:rsid w:val="00A06C4D"/>
    <w:rsid w:val="00A06CDC"/>
    <w:rsid w:val="00A07289"/>
    <w:rsid w:val="00A072DA"/>
    <w:rsid w:val="00A07399"/>
    <w:rsid w:val="00A07413"/>
    <w:rsid w:val="00A07508"/>
    <w:rsid w:val="00A07872"/>
    <w:rsid w:val="00A07C00"/>
    <w:rsid w:val="00A102A2"/>
    <w:rsid w:val="00A1098C"/>
    <w:rsid w:val="00A10C7C"/>
    <w:rsid w:val="00A10D50"/>
    <w:rsid w:val="00A110EC"/>
    <w:rsid w:val="00A110FD"/>
    <w:rsid w:val="00A11373"/>
    <w:rsid w:val="00A11CBE"/>
    <w:rsid w:val="00A11D3C"/>
    <w:rsid w:val="00A11D8E"/>
    <w:rsid w:val="00A11EEF"/>
    <w:rsid w:val="00A11F69"/>
    <w:rsid w:val="00A1242B"/>
    <w:rsid w:val="00A126FB"/>
    <w:rsid w:val="00A1270B"/>
    <w:rsid w:val="00A12753"/>
    <w:rsid w:val="00A12AB2"/>
    <w:rsid w:val="00A13038"/>
    <w:rsid w:val="00A13095"/>
    <w:rsid w:val="00A130EA"/>
    <w:rsid w:val="00A130F0"/>
    <w:rsid w:val="00A131DF"/>
    <w:rsid w:val="00A13357"/>
    <w:rsid w:val="00A134B7"/>
    <w:rsid w:val="00A13600"/>
    <w:rsid w:val="00A13B04"/>
    <w:rsid w:val="00A13DEF"/>
    <w:rsid w:val="00A14737"/>
    <w:rsid w:val="00A14859"/>
    <w:rsid w:val="00A14A9A"/>
    <w:rsid w:val="00A14AD1"/>
    <w:rsid w:val="00A14BF7"/>
    <w:rsid w:val="00A15E0A"/>
    <w:rsid w:val="00A15EFA"/>
    <w:rsid w:val="00A15F3C"/>
    <w:rsid w:val="00A15F9A"/>
    <w:rsid w:val="00A162DF"/>
    <w:rsid w:val="00A16CFD"/>
    <w:rsid w:val="00A16D05"/>
    <w:rsid w:val="00A1714C"/>
    <w:rsid w:val="00A17335"/>
    <w:rsid w:val="00A17342"/>
    <w:rsid w:val="00A173A6"/>
    <w:rsid w:val="00A17514"/>
    <w:rsid w:val="00A175FC"/>
    <w:rsid w:val="00A1766D"/>
    <w:rsid w:val="00A17941"/>
    <w:rsid w:val="00A17A3A"/>
    <w:rsid w:val="00A17DFC"/>
    <w:rsid w:val="00A17E57"/>
    <w:rsid w:val="00A17EEA"/>
    <w:rsid w:val="00A2006D"/>
    <w:rsid w:val="00A200D9"/>
    <w:rsid w:val="00A201D7"/>
    <w:rsid w:val="00A201DB"/>
    <w:rsid w:val="00A20299"/>
    <w:rsid w:val="00A202E5"/>
    <w:rsid w:val="00A208C8"/>
    <w:rsid w:val="00A2091D"/>
    <w:rsid w:val="00A20D51"/>
    <w:rsid w:val="00A20D71"/>
    <w:rsid w:val="00A20E57"/>
    <w:rsid w:val="00A20E8C"/>
    <w:rsid w:val="00A20EF6"/>
    <w:rsid w:val="00A2147B"/>
    <w:rsid w:val="00A21554"/>
    <w:rsid w:val="00A21911"/>
    <w:rsid w:val="00A21ACE"/>
    <w:rsid w:val="00A21BAE"/>
    <w:rsid w:val="00A21C02"/>
    <w:rsid w:val="00A21E8B"/>
    <w:rsid w:val="00A21FBC"/>
    <w:rsid w:val="00A220EF"/>
    <w:rsid w:val="00A2217D"/>
    <w:rsid w:val="00A22468"/>
    <w:rsid w:val="00A228CC"/>
    <w:rsid w:val="00A22C0A"/>
    <w:rsid w:val="00A22CDC"/>
    <w:rsid w:val="00A22E0C"/>
    <w:rsid w:val="00A22FB9"/>
    <w:rsid w:val="00A22FCE"/>
    <w:rsid w:val="00A23075"/>
    <w:rsid w:val="00A231AE"/>
    <w:rsid w:val="00A23434"/>
    <w:rsid w:val="00A2375E"/>
    <w:rsid w:val="00A23A5E"/>
    <w:rsid w:val="00A23EC7"/>
    <w:rsid w:val="00A23F5C"/>
    <w:rsid w:val="00A24025"/>
    <w:rsid w:val="00A246D4"/>
    <w:rsid w:val="00A248B9"/>
    <w:rsid w:val="00A24A90"/>
    <w:rsid w:val="00A24CC2"/>
    <w:rsid w:val="00A24F63"/>
    <w:rsid w:val="00A25003"/>
    <w:rsid w:val="00A250E9"/>
    <w:rsid w:val="00A252B5"/>
    <w:rsid w:val="00A252F4"/>
    <w:rsid w:val="00A25662"/>
    <w:rsid w:val="00A257E6"/>
    <w:rsid w:val="00A2631A"/>
    <w:rsid w:val="00A2638E"/>
    <w:rsid w:val="00A269F6"/>
    <w:rsid w:val="00A26D02"/>
    <w:rsid w:val="00A26D2C"/>
    <w:rsid w:val="00A2744F"/>
    <w:rsid w:val="00A274A6"/>
    <w:rsid w:val="00A27984"/>
    <w:rsid w:val="00A27B45"/>
    <w:rsid w:val="00A3000E"/>
    <w:rsid w:val="00A301B3"/>
    <w:rsid w:val="00A303C8"/>
    <w:rsid w:val="00A30481"/>
    <w:rsid w:val="00A304BB"/>
    <w:rsid w:val="00A304E0"/>
    <w:rsid w:val="00A30790"/>
    <w:rsid w:val="00A308C0"/>
    <w:rsid w:val="00A309D3"/>
    <w:rsid w:val="00A30C3A"/>
    <w:rsid w:val="00A30DF8"/>
    <w:rsid w:val="00A30EEA"/>
    <w:rsid w:val="00A31183"/>
    <w:rsid w:val="00A312BF"/>
    <w:rsid w:val="00A312DC"/>
    <w:rsid w:val="00A3157D"/>
    <w:rsid w:val="00A31684"/>
    <w:rsid w:val="00A316B3"/>
    <w:rsid w:val="00A319B4"/>
    <w:rsid w:val="00A31E81"/>
    <w:rsid w:val="00A32468"/>
    <w:rsid w:val="00A32517"/>
    <w:rsid w:val="00A3256D"/>
    <w:rsid w:val="00A326B0"/>
    <w:rsid w:val="00A32DB6"/>
    <w:rsid w:val="00A33487"/>
    <w:rsid w:val="00A33704"/>
    <w:rsid w:val="00A33AE7"/>
    <w:rsid w:val="00A33E02"/>
    <w:rsid w:val="00A341DB"/>
    <w:rsid w:val="00A34968"/>
    <w:rsid w:val="00A349CB"/>
    <w:rsid w:val="00A34A5E"/>
    <w:rsid w:val="00A34D53"/>
    <w:rsid w:val="00A34F26"/>
    <w:rsid w:val="00A34F3D"/>
    <w:rsid w:val="00A3516F"/>
    <w:rsid w:val="00A3527B"/>
    <w:rsid w:val="00A352CD"/>
    <w:rsid w:val="00A35315"/>
    <w:rsid w:val="00A3537C"/>
    <w:rsid w:val="00A3539C"/>
    <w:rsid w:val="00A353BE"/>
    <w:rsid w:val="00A35491"/>
    <w:rsid w:val="00A35654"/>
    <w:rsid w:val="00A3570E"/>
    <w:rsid w:val="00A3596F"/>
    <w:rsid w:val="00A3650C"/>
    <w:rsid w:val="00A365D3"/>
    <w:rsid w:val="00A36720"/>
    <w:rsid w:val="00A36A24"/>
    <w:rsid w:val="00A36C0A"/>
    <w:rsid w:val="00A37141"/>
    <w:rsid w:val="00A37167"/>
    <w:rsid w:val="00A373E4"/>
    <w:rsid w:val="00A373FD"/>
    <w:rsid w:val="00A37594"/>
    <w:rsid w:val="00A37606"/>
    <w:rsid w:val="00A37790"/>
    <w:rsid w:val="00A377A8"/>
    <w:rsid w:val="00A3780F"/>
    <w:rsid w:val="00A37908"/>
    <w:rsid w:val="00A37A8C"/>
    <w:rsid w:val="00A37C52"/>
    <w:rsid w:val="00A4003B"/>
    <w:rsid w:val="00A40459"/>
    <w:rsid w:val="00A40659"/>
    <w:rsid w:val="00A408A4"/>
    <w:rsid w:val="00A40A35"/>
    <w:rsid w:val="00A40A4B"/>
    <w:rsid w:val="00A40EDD"/>
    <w:rsid w:val="00A40EFB"/>
    <w:rsid w:val="00A41022"/>
    <w:rsid w:val="00A412FB"/>
    <w:rsid w:val="00A41461"/>
    <w:rsid w:val="00A4154A"/>
    <w:rsid w:val="00A41586"/>
    <w:rsid w:val="00A41BB1"/>
    <w:rsid w:val="00A41E4A"/>
    <w:rsid w:val="00A42145"/>
    <w:rsid w:val="00A42350"/>
    <w:rsid w:val="00A42923"/>
    <w:rsid w:val="00A42A7A"/>
    <w:rsid w:val="00A42B74"/>
    <w:rsid w:val="00A42D61"/>
    <w:rsid w:val="00A42E0F"/>
    <w:rsid w:val="00A4305F"/>
    <w:rsid w:val="00A43498"/>
    <w:rsid w:val="00A43647"/>
    <w:rsid w:val="00A43ABA"/>
    <w:rsid w:val="00A43E5A"/>
    <w:rsid w:val="00A442B6"/>
    <w:rsid w:val="00A442D0"/>
    <w:rsid w:val="00A44417"/>
    <w:rsid w:val="00A44466"/>
    <w:rsid w:val="00A44637"/>
    <w:rsid w:val="00A44642"/>
    <w:rsid w:val="00A44AC9"/>
    <w:rsid w:val="00A44C08"/>
    <w:rsid w:val="00A44D0C"/>
    <w:rsid w:val="00A44EC4"/>
    <w:rsid w:val="00A44ED5"/>
    <w:rsid w:val="00A4515D"/>
    <w:rsid w:val="00A451E5"/>
    <w:rsid w:val="00A45393"/>
    <w:rsid w:val="00A456DE"/>
    <w:rsid w:val="00A45753"/>
    <w:rsid w:val="00A45818"/>
    <w:rsid w:val="00A45AD6"/>
    <w:rsid w:val="00A45BFD"/>
    <w:rsid w:val="00A45D58"/>
    <w:rsid w:val="00A45DBB"/>
    <w:rsid w:val="00A45F90"/>
    <w:rsid w:val="00A4603D"/>
    <w:rsid w:val="00A460B5"/>
    <w:rsid w:val="00A46122"/>
    <w:rsid w:val="00A46694"/>
    <w:rsid w:val="00A46DDA"/>
    <w:rsid w:val="00A46DDD"/>
    <w:rsid w:val="00A46F88"/>
    <w:rsid w:val="00A47050"/>
    <w:rsid w:val="00A470BC"/>
    <w:rsid w:val="00A47112"/>
    <w:rsid w:val="00A4763A"/>
    <w:rsid w:val="00A47C05"/>
    <w:rsid w:val="00A47DF8"/>
    <w:rsid w:val="00A500EF"/>
    <w:rsid w:val="00A500F1"/>
    <w:rsid w:val="00A50A25"/>
    <w:rsid w:val="00A50E1F"/>
    <w:rsid w:val="00A5132D"/>
    <w:rsid w:val="00A5147C"/>
    <w:rsid w:val="00A5159A"/>
    <w:rsid w:val="00A517EC"/>
    <w:rsid w:val="00A518F2"/>
    <w:rsid w:val="00A519D1"/>
    <w:rsid w:val="00A51B0F"/>
    <w:rsid w:val="00A51B65"/>
    <w:rsid w:val="00A51CEB"/>
    <w:rsid w:val="00A51D53"/>
    <w:rsid w:val="00A5220A"/>
    <w:rsid w:val="00A522AC"/>
    <w:rsid w:val="00A5232B"/>
    <w:rsid w:val="00A52365"/>
    <w:rsid w:val="00A524A3"/>
    <w:rsid w:val="00A526F6"/>
    <w:rsid w:val="00A529F1"/>
    <w:rsid w:val="00A52D4A"/>
    <w:rsid w:val="00A534A8"/>
    <w:rsid w:val="00A535E4"/>
    <w:rsid w:val="00A53AA9"/>
    <w:rsid w:val="00A53B39"/>
    <w:rsid w:val="00A53EBE"/>
    <w:rsid w:val="00A53ECC"/>
    <w:rsid w:val="00A53FD6"/>
    <w:rsid w:val="00A5404D"/>
    <w:rsid w:val="00A54316"/>
    <w:rsid w:val="00A54710"/>
    <w:rsid w:val="00A54761"/>
    <w:rsid w:val="00A54855"/>
    <w:rsid w:val="00A54D78"/>
    <w:rsid w:val="00A55017"/>
    <w:rsid w:val="00A55469"/>
    <w:rsid w:val="00A554E5"/>
    <w:rsid w:val="00A555AD"/>
    <w:rsid w:val="00A55623"/>
    <w:rsid w:val="00A55689"/>
    <w:rsid w:val="00A55AF2"/>
    <w:rsid w:val="00A55C13"/>
    <w:rsid w:val="00A563DE"/>
    <w:rsid w:val="00A563F5"/>
    <w:rsid w:val="00A56A3F"/>
    <w:rsid w:val="00A56C4E"/>
    <w:rsid w:val="00A56CCB"/>
    <w:rsid w:val="00A56DE3"/>
    <w:rsid w:val="00A56F10"/>
    <w:rsid w:val="00A57208"/>
    <w:rsid w:val="00A5748A"/>
    <w:rsid w:val="00A5796B"/>
    <w:rsid w:val="00A57A6A"/>
    <w:rsid w:val="00A57BEA"/>
    <w:rsid w:val="00A57CCB"/>
    <w:rsid w:val="00A57CD9"/>
    <w:rsid w:val="00A57EB8"/>
    <w:rsid w:val="00A6002C"/>
    <w:rsid w:val="00A600D1"/>
    <w:rsid w:val="00A6037B"/>
    <w:rsid w:val="00A6040C"/>
    <w:rsid w:val="00A6050C"/>
    <w:rsid w:val="00A6062C"/>
    <w:rsid w:val="00A6079A"/>
    <w:rsid w:val="00A6084C"/>
    <w:rsid w:val="00A608A9"/>
    <w:rsid w:val="00A60A00"/>
    <w:rsid w:val="00A60BDE"/>
    <w:rsid w:val="00A60C95"/>
    <w:rsid w:val="00A60FF6"/>
    <w:rsid w:val="00A612BF"/>
    <w:rsid w:val="00A61427"/>
    <w:rsid w:val="00A61595"/>
    <w:rsid w:val="00A61679"/>
    <w:rsid w:val="00A619FF"/>
    <w:rsid w:val="00A61BA9"/>
    <w:rsid w:val="00A61BCC"/>
    <w:rsid w:val="00A6230A"/>
    <w:rsid w:val="00A62390"/>
    <w:rsid w:val="00A6249A"/>
    <w:rsid w:val="00A62804"/>
    <w:rsid w:val="00A629C5"/>
    <w:rsid w:val="00A62C22"/>
    <w:rsid w:val="00A6304E"/>
    <w:rsid w:val="00A63589"/>
    <w:rsid w:val="00A63613"/>
    <w:rsid w:val="00A636E3"/>
    <w:rsid w:val="00A639DD"/>
    <w:rsid w:val="00A63D1E"/>
    <w:rsid w:val="00A63D85"/>
    <w:rsid w:val="00A64377"/>
    <w:rsid w:val="00A643D9"/>
    <w:rsid w:val="00A645F2"/>
    <w:rsid w:val="00A64A5A"/>
    <w:rsid w:val="00A64C29"/>
    <w:rsid w:val="00A64D60"/>
    <w:rsid w:val="00A64E7A"/>
    <w:rsid w:val="00A650D1"/>
    <w:rsid w:val="00A651AF"/>
    <w:rsid w:val="00A652C0"/>
    <w:rsid w:val="00A654E6"/>
    <w:rsid w:val="00A65761"/>
    <w:rsid w:val="00A65ABF"/>
    <w:rsid w:val="00A65B64"/>
    <w:rsid w:val="00A662D9"/>
    <w:rsid w:val="00A66C5E"/>
    <w:rsid w:val="00A66EDD"/>
    <w:rsid w:val="00A67558"/>
    <w:rsid w:val="00A67F03"/>
    <w:rsid w:val="00A7013A"/>
    <w:rsid w:val="00A7037A"/>
    <w:rsid w:val="00A711BD"/>
    <w:rsid w:val="00A714AC"/>
    <w:rsid w:val="00A71A6F"/>
    <w:rsid w:val="00A71B31"/>
    <w:rsid w:val="00A71C3F"/>
    <w:rsid w:val="00A71D7A"/>
    <w:rsid w:val="00A71FAD"/>
    <w:rsid w:val="00A71FF0"/>
    <w:rsid w:val="00A7235C"/>
    <w:rsid w:val="00A724A5"/>
    <w:rsid w:val="00A72821"/>
    <w:rsid w:val="00A72969"/>
    <w:rsid w:val="00A72B59"/>
    <w:rsid w:val="00A72C5E"/>
    <w:rsid w:val="00A72E4B"/>
    <w:rsid w:val="00A73085"/>
    <w:rsid w:val="00A732BF"/>
    <w:rsid w:val="00A733F4"/>
    <w:rsid w:val="00A735DC"/>
    <w:rsid w:val="00A73631"/>
    <w:rsid w:val="00A73882"/>
    <w:rsid w:val="00A73990"/>
    <w:rsid w:val="00A73DAE"/>
    <w:rsid w:val="00A73F7E"/>
    <w:rsid w:val="00A73FA2"/>
    <w:rsid w:val="00A73FF0"/>
    <w:rsid w:val="00A74315"/>
    <w:rsid w:val="00A74A2D"/>
    <w:rsid w:val="00A74C13"/>
    <w:rsid w:val="00A74E10"/>
    <w:rsid w:val="00A74F15"/>
    <w:rsid w:val="00A74FE9"/>
    <w:rsid w:val="00A750B1"/>
    <w:rsid w:val="00A751C4"/>
    <w:rsid w:val="00A752D3"/>
    <w:rsid w:val="00A754DE"/>
    <w:rsid w:val="00A756DF"/>
    <w:rsid w:val="00A7577B"/>
    <w:rsid w:val="00A75B74"/>
    <w:rsid w:val="00A75C2C"/>
    <w:rsid w:val="00A76000"/>
    <w:rsid w:val="00A76016"/>
    <w:rsid w:val="00A76071"/>
    <w:rsid w:val="00A7622A"/>
    <w:rsid w:val="00A762AC"/>
    <w:rsid w:val="00A76450"/>
    <w:rsid w:val="00A764FA"/>
    <w:rsid w:val="00A76725"/>
    <w:rsid w:val="00A7690B"/>
    <w:rsid w:val="00A771D7"/>
    <w:rsid w:val="00A77895"/>
    <w:rsid w:val="00A77FD8"/>
    <w:rsid w:val="00A802CB"/>
    <w:rsid w:val="00A80543"/>
    <w:rsid w:val="00A805CD"/>
    <w:rsid w:val="00A80692"/>
    <w:rsid w:val="00A80A17"/>
    <w:rsid w:val="00A80AE5"/>
    <w:rsid w:val="00A80B4C"/>
    <w:rsid w:val="00A80D66"/>
    <w:rsid w:val="00A80E01"/>
    <w:rsid w:val="00A80FB7"/>
    <w:rsid w:val="00A814F7"/>
    <w:rsid w:val="00A814FE"/>
    <w:rsid w:val="00A81745"/>
    <w:rsid w:val="00A81919"/>
    <w:rsid w:val="00A81B5E"/>
    <w:rsid w:val="00A81DB9"/>
    <w:rsid w:val="00A8223D"/>
    <w:rsid w:val="00A823DC"/>
    <w:rsid w:val="00A829DD"/>
    <w:rsid w:val="00A82B14"/>
    <w:rsid w:val="00A82C46"/>
    <w:rsid w:val="00A82CBB"/>
    <w:rsid w:val="00A82CD1"/>
    <w:rsid w:val="00A82D8B"/>
    <w:rsid w:val="00A82FC3"/>
    <w:rsid w:val="00A83065"/>
    <w:rsid w:val="00A83403"/>
    <w:rsid w:val="00A837AF"/>
    <w:rsid w:val="00A837B3"/>
    <w:rsid w:val="00A83AEC"/>
    <w:rsid w:val="00A83B87"/>
    <w:rsid w:val="00A83C87"/>
    <w:rsid w:val="00A83D69"/>
    <w:rsid w:val="00A83EAA"/>
    <w:rsid w:val="00A83F07"/>
    <w:rsid w:val="00A83F4B"/>
    <w:rsid w:val="00A8431D"/>
    <w:rsid w:val="00A84345"/>
    <w:rsid w:val="00A84450"/>
    <w:rsid w:val="00A84505"/>
    <w:rsid w:val="00A846B1"/>
    <w:rsid w:val="00A848FE"/>
    <w:rsid w:val="00A84CB2"/>
    <w:rsid w:val="00A84E4C"/>
    <w:rsid w:val="00A854F6"/>
    <w:rsid w:val="00A8558D"/>
    <w:rsid w:val="00A85665"/>
    <w:rsid w:val="00A85701"/>
    <w:rsid w:val="00A8587B"/>
    <w:rsid w:val="00A859F7"/>
    <w:rsid w:val="00A85B3D"/>
    <w:rsid w:val="00A85B4A"/>
    <w:rsid w:val="00A85BEB"/>
    <w:rsid w:val="00A85C24"/>
    <w:rsid w:val="00A85D62"/>
    <w:rsid w:val="00A85ECB"/>
    <w:rsid w:val="00A85F66"/>
    <w:rsid w:val="00A86123"/>
    <w:rsid w:val="00A861A7"/>
    <w:rsid w:val="00A861CF"/>
    <w:rsid w:val="00A862F3"/>
    <w:rsid w:val="00A863A4"/>
    <w:rsid w:val="00A8651D"/>
    <w:rsid w:val="00A86586"/>
    <w:rsid w:val="00A865AD"/>
    <w:rsid w:val="00A86673"/>
    <w:rsid w:val="00A867BF"/>
    <w:rsid w:val="00A86869"/>
    <w:rsid w:val="00A8704C"/>
    <w:rsid w:val="00A872B1"/>
    <w:rsid w:val="00A8769E"/>
    <w:rsid w:val="00A877CF"/>
    <w:rsid w:val="00A877D5"/>
    <w:rsid w:val="00A87830"/>
    <w:rsid w:val="00A878F8"/>
    <w:rsid w:val="00A87BA6"/>
    <w:rsid w:val="00A9010C"/>
    <w:rsid w:val="00A906D0"/>
    <w:rsid w:val="00A90A8B"/>
    <w:rsid w:val="00A90CA4"/>
    <w:rsid w:val="00A91055"/>
    <w:rsid w:val="00A91196"/>
    <w:rsid w:val="00A91493"/>
    <w:rsid w:val="00A915A4"/>
    <w:rsid w:val="00A91839"/>
    <w:rsid w:val="00A91889"/>
    <w:rsid w:val="00A91D29"/>
    <w:rsid w:val="00A91D4E"/>
    <w:rsid w:val="00A91E45"/>
    <w:rsid w:val="00A91F5F"/>
    <w:rsid w:val="00A922C9"/>
    <w:rsid w:val="00A922E3"/>
    <w:rsid w:val="00A9280B"/>
    <w:rsid w:val="00A92936"/>
    <w:rsid w:val="00A92963"/>
    <w:rsid w:val="00A92ACE"/>
    <w:rsid w:val="00A92B4E"/>
    <w:rsid w:val="00A92BE5"/>
    <w:rsid w:val="00A92C8E"/>
    <w:rsid w:val="00A92D6C"/>
    <w:rsid w:val="00A92EA9"/>
    <w:rsid w:val="00A93059"/>
    <w:rsid w:val="00A93193"/>
    <w:rsid w:val="00A93908"/>
    <w:rsid w:val="00A93998"/>
    <w:rsid w:val="00A94131"/>
    <w:rsid w:val="00A94166"/>
    <w:rsid w:val="00A94556"/>
    <w:rsid w:val="00A94A71"/>
    <w:rsid w:val="00A94D13"/>
    <w:rsid w:val="00A94F10"/>
    <w:rsid w:val="00A94F3F"/>
    <w:rsid w:val="00A94FB4"/>
    <w:rsid w:val="00A95087"/>
    <w:rsid w:val="00A954B9"/>
    <w:rsid w:val="00A958F9"/>
    <w:rsid w:val="00A9596B"/>
    <w:rsid w:val="00A95CEB"/>
    <w:rsid w:val="00A9609E"/>
    <w:rsid w:val="00A96125"/>
    <w:rsid w:val="00A96198"/>
    <w:rsid w:val="00A96207"/>
    <w:rsid w:val="00A96331"/>
    <w:rsid w:val="00A964FF"/>
    <w:rsid w:val="00A96666"/>
    <w:rsid w:val="00A96F37"/>
    <w:rsid w:val="00A96F42"/>
    <w:rsid w:val="00A9729F"/>
    <w:rsid w:val="00A972E4"/>
    <w:rsid w:val="00A9737B"/>
    <w:rsid w:val="00A9753D"/>
    <w:rsid w:val="00A975A6"/>
    <w:rsid w:val="00A975F3"/>
    <w:rsid w:val="00A977B4"/>
    <w:rsid w:val="00A97A74"/>
    <w:rsid w:val="00A97D86"/>
    <w:rsid w:val="00A97F3A"/>
    <w:rsid w:val="00A97F85"/>
    <w:rsid w:val="00AA0012"/>
    <w:rsid w:val="00AA0014"/>
    <w:rsid w:val="00AA032E"/>
    <w:rsid w:val="00AA04C3"/>
    <w:rsid w:val="00AA088B"/>
    <w:rsid w:val="00AA08EA"/>
    <w:rsid w:val="00AA0C2D"/>
    <w:rsid w:val="00AA1125"/>
    <w:rsid w:val="00AA1229"/>
    <w:rsid w:val="00AA150B"/>
    <w:rsid w:val="00AA1827"/>
    <w:rsid w:val="00AA18FA"/>
    <w:rsid w:val="00AA1D5E"/>
    <w:rsid w:val="00AA2057"/>
    <w:rsid w:val="00AA2128"/>
    <w:rsid w:val="00AA218E"/>
    <w:rsid w:val="00AA2228"/>
    <w:rsid w:val="00AA223A"/>
    <w:rsid w:val="00AA23EE"/>
    <w:rsid w:val="00AA24CB"/>
    <w:rsid w:val="00AA25B1"/>
    <w:rsid w:val="00AA25BA"/>
    <w:rsid w:val="00AA2735"/>
    <w:rsid w:val="00AA2763"/>
    <w:rsid w:val="00AA29C0"/>
    <w:rsid w:val="00AA305B"/>
    <w:rsid w:val="00AA30FF"/>
    <w:rsid w:val="00AA32B0"/>
    <w:rsid w:val="00AA3337"/>
    <w:rsid w:val="00AA34C0"/>
    <w:rsid w:val="00AA34C4"/>
    <w:rsid w:val="00AA35AE"/>
    <w:rsid w:val="00AA35CA"/>
    <w:rsid w:val="00AA384D"/>
    <w:rsid w:val="00AA3AF9"/>
    <w:rsid w:val="00AA3B4A"/>
    <w:rsid w:val="00AA3C1A"/>
    <w:rsid w:val="00AA3C32"/>
    <w:rsid w:val="00AA3CB2"/>
    <w:rsid w:val="00AA3CF2"/>
    <w:rsid w:val="00AA3EA0"/>
    <w:rsid w:val="00AA3EB9"/>
    <w:rsid w:val="00AA3EF2"/>
    <w:rsid w:val="00AA3F42"/>
    <w:rsid w:val="00AA3F46"/>
    <w:rsid w:val="00AA3FB1"/>
    <w:rsid w:val="00AA44A9"/>
    <w:rsid w:val="00AA4571"/>
    <w:rsid w:val="00AA467E"/>
    <w:rsid w:val="00AA48B9"/>
    <w:rsid w:val="00AA49CE"/>
    <w:rsid w:val="00AA49FC"/>
    <w:rsid w:val="00AA5118"/>
    <w:rsid w:val="00AA537C"/>
    <w:rsid w:val="00AA5428"/>
    <w:rsid w:val="00AA5494"/>
    <w:rsid w:val="00AA5579"/>
    <w:rsid w:val="00AA575B"/>
    <w:rsid w:val="00AA6212"/>
    <w:rsid w:val="00AA6235"/>
    <w:rsid w:val="00AA628B"/>
    <w:rsid w:val="00AA65A6"/>
    <w:rsid w:val="00AA6881"/>
    <w:rsid w:val="00AA691E"/>
    <w:rsid w:val="00AA6A11"/>
    <w:rsid w:val="00AA6A8B"/>
    <w:rsid w:val="00AA6DE5"/>
    <w:rsid w:val="00AA6F58"/>
    <w:rsid w:val="00AA6FA0"/>
    <w:rsid w:val="00AA707A"/>
    <w:rsid w:val="00AA7214"/>
    <w:rsid w:val="00AA74A7"/>
    <w:rsid w:val="00AA780A"/>
    <w:rsid w:val="00AA7817"/>
    <w:rsid w:val="00AA793F"/>
    <w:rsid w:val="00AA7AE9"/>
    <w:rsid w:val="00AA7F50"/>
    <w:rsid w:val="00AB0115"/>
    <w:rsid w:val="00AB02C8"/>
    <w:rsid w:val="00AB0367"/>
    <w:rsid w:val="00AB0983"/>
    <w:rsid w:val="00AB0989"/>
    <w:rsid w:val="00AB0F01"/>
    <w:rsid w:val="00AB0FAC"/>
    <w:rsid w:val="00AB104A"/>
    <w:rsid w:val="00AB104B"/>
    <w:rsid w:val="00AB10AD"/>
    <w:rsid w:val="00AB11C8"/>
    <w:rsid w:val="00AB15D8"/>
    <w:rsid w:val="00AB1A36"/>
    <w:rsid w:val="00AB1D03"/>
    <w:rsid w:val="00AB1FAE"/>
    <w:rsid w:val="00AB1FDF"/>
    <w:rsid w:val="00AB2064"/>
    <w:rsid w:val="00AB2194"/>
    <w:rsid w:val="00AB260D"/>
    <w:rsid w:val="00AB2697"/>
    <w:rsid w:val="00AB2825"/>
    <w:rsid w:val="00AB28CE"/>
    <w:rsid w:val="00AB2940"/>
    <w:rsid w:val="00AB29C8"/>
    <w:rsid w:val="00AB2D97"/>
    <w:rsid w:val="00AB2DC7"/>
    <w:rsid w:val="00AB2F11"/>
    <w:rsid w:val="00AB3035"/>
    <w:rsid w:val="00AB30EA"/>
    <w:rsid w:val="00AB30FF"/>
    <w:rsid w:val="00AB3466"/>
    <w:rsid w:val="00AB3B9D"/>
    <w:rsid w:val="00AB3BD6"/>
    <w:rsid w:val="00AB3E72"/>
    <w:rsid w:val="00AB3E73"/>
    <w:rsid w:val="00AB4583"/>
    <w:rsid w:val="00AB4A8B"/>
    <w:rsid w:val="00AB4DDF"/>
    <w:rsid w:val="00AB4E90"/>
    <w:rsid w:val="00AB4F4B"/>
    <w:rsid w:val="00AB4F7F"/>
    <w:rsid w:val="00AB4F89"/>
    <w:rsid w:val="00AB4FBA"/>
    <w:rsid w:val="00AB52A9"/>
    <w:rsid w:val="00AB5363"/>
    <w:rsid w:val="00AB5793"/>
    <w:rsid w:val="00AB5C7B"/>
    <w:rsid w:val="00AB610B"/>
    <w:rsid w:val="00AB63ED"/>
    <w:rsid w:val="00AB68AE"/>
    <w:rsid w:val="00AB6A01"/>
    <w:rsid w:val="00AB6B4A"/>
    <w:rsid w:val="00AB6C73"/>
    <w:rsid w:val="00AB7524"/>
    <w:rsid w:val="00AB7910"/>
    <w:rsid w:val="00AB798E"/>
    <w:rsid w:val="00AB7FF2"/>
    <w:rsid w:val="00AC02A9"/>
    <w:rsid w:val="00AC046C"/>
    <w:rsid w:val="00AC0540"/>
    <w:rsid w:val="00AC069F"/>
    <w:rsid w:val="00AC06AD"/>
    <w:rsid w:val="00AC0A15"/>
    <w:rsid w:val="00AC0EDF"/>
    <w:rsid w:val="00AC0F21"/>
    <w:rsid w:val="00AC12F7"/>
    <w:rsid w:val="00AC1403"/>
    <w:rsid w:val="00AC1557"/>
    <w:rsid w:val="00AC16B8"/>
    <w:rsid w:val="00AC1894"/>
    <w:rsid w:val="00AC19C6"/>
    <w:rsid w:val="00AC2153"/>
    <w:rsid w:val="00AC233F"/>
    <w:rsid w:val="00AC23F1"/>
    <w:rsid w:val="00AC2510"/>
    <w:rsid w:val="00AC2A54"/>
    <w:rsid w:val="00AC2DAD"/>
    <w:rsid w:val="00AC2DF6"/>
    <w:rsid w:val="00AC2E5D"/>
    <w:rsid w:val="00AC3173"/>
    <w:rsid w:val="00AC32D5"/>
    <w:rsid w:val="00AC3912"/>
    <w:rsid w:val="00AC399C"/>
    <w:rsid w:val="00AC3B3C"/>
    <w:rsid w:val="00AC3E7D"/>
    <w:rsid w:val="00AC4034"/>
    <w:rsid w:val="00AC403A"/>
    <w:rsid w:val="00AC4046"/>
    <w:rsid w:val="00AC451F"/>
    <w:rsid w:val="00AC496C"/>
    <w:rsid w:val="00AC4AD6"/>
    <w:rsid w:val="00AC4CDE"/>
    <w:rsid w:val="00AC5175"/>
    <w:rsid w:val="00AC548F"/>
    <w:rsid w:val="00AC555A"/>
    <w:rsid w:val="00AC556C"/>
    <w:rsid w:val="00AC56EC"/>
    <w:rsid w:val="00AC58AB"/>
    <w:rsid w:val="00AC5B65"/>
    <w:rsid w:val="00AC6384"/>
    <w:rsid w:val="00AC6752"/>
    <w:rsid w:val="00AC6A06"/>
    <w:rsid w:val="00AC6BF5"/>
    <w:rsid w:val="00AC6DDE"/>
    <w:rsid w:val="00AC7312"/>
    <w:rsid w:val="00AC79AA"/>
    <w:rsid w:val="00AC7A69"/>
    <w:rsid w:val="00AC7C74"/>
    <w:rsid w:val="00AC7E54"/>
    <w:rsid w:val="00AD0AA5"/>
    <w:rsid w:val="00AD0BDD"/>
    <w:rsid w:val="00AD0BE4"/>
    <w:rsid w:val="00AD14DE"/>
    <w:rsid w:val="00AD17A9"/>
    <w:rsid w:val="00AD18AF"/>
    <w:rsid w:val="00AD19E0"/>
    <w:rsid w:val="00AD1A63"/>
    <w:rsid w:val="00AD1C21"/>
    <w:rsid w:val="00AD2260"/>
    <w:rsid w:val="00AD241F"/>
    <w:rsid w:val="00AD2629"/>
    <w:rsid w:val="00AD2A02"/>
    <w:rsid w:val="00AD2DCD"/>
    <w:rsid w:val="00AD2EFD"/>
    <w:rsid w:val="00AD3016"/>
    <w:rsid w:val="00AD3188"/>
    <w:rsid w:val="00AD3258"/>
    <w:rsid w:val="00AD35E4"/>
    <w:rsid w:val="00AD3774"/>
    <w:rsid w:val="00AD39BD"/>
    <w:rsid w:val="00AD3E5B"/>
    <w:rsid w:val="00AD3F04"/>
    <w:rsid w:val="00AD432D"/>
    <w:rsid w:val="00AD4447"/>
    <w:rsid w:val="00AD46F8"/>
    <w:rsid w:val="00AD4834"/>
    <w:rsid w:val="00AD48F3"/>
    <w:rsid w:val="00AD4A3C"/>
    <w:rsid w:val="00AD4B9B"/>
    <w:rsid w:val="00AD4CB0"/>
    <w:rsid w:val="00AD4CC1"/>
    <w:rsid w:val="00AD4CF4"/>
    <w:rsid w:val="00AD4D16"/>
    <w:rsid w:val="00AD51FA"/>
    <w:rsid w:val="00AD561C"/>
    <w:rsid w:val="00AD59D8"/>
    <w:rsid w:val="00AD59EF"/>
    <w:rsid w:val="00AD5DD9"/>
    <w:rsid w:val="00AD5E29"/>
    <w:rsid w:val="00AD63B4"/>
    <w:rsid w:val="00AD6731"/>
    <w:rsid w:val="00AD6AEC"/>
    <w:rsid w:val="00AD6CCC"/>
    <w:rsid w:val="00AD7053"/>
    <w:rsid w:val="00AD70BA"/>
    <w:rsid w:val="00AD7184"/>
    <w:rsid w:val="00AD71F6"/>
    <w:rsid w:val="00AD72E2"/>
    <w:rsid w:val="00AD731A"/>
    <w:rsid w:val="00AD758F"/>
    <w:rsid w:val="00AD7758"/>
    <w:rsid w:val="00AD7833"/>
    <w:rsid w:val="00AD7A63"/>
    <w:rsid w:val="00AD7A7B"/>
    <w:rsid w:val="00AD7E59"/>
    <w:rsid w:val="00AD7E8B"/>
    <w:rsid w:val="00AD7FF6"/>
    <w:rsid w:val="00AE01D2"/>
    <w:rsid w:val="00AE02FC"/>
    <w:rsid w:val="00AE06A6"/>
    <w:rsid w:val="00AE06A7"/>
    <w:rsid w:val="00AE07BD"/>
    <w:rsid w:val="00AE09E1"/>
    <w:rsid w:val="00AE0B19"/>
    <w:rsid w:val="00AE0FBF"/>
    <w:rsid w:val="00AE10C3"/>
    <w:rsid w:val="00AE1241"/>
    <w:rsid w:val="00AE1799"/>
    <w:rsid w:val="00AE189F"/>
    <w:rsid w:val="00AE18E1"/>
    <w:rsid w:val="00AE1A72"/>
    <w:rsid w:val="00AE1C2B"/>
    <w:rsid w:val="00AE1D92"/>
    <w:rsid w:val="00AE21B3"/>
    <w:rsid w:val="00AE22DE"/>
    <w:rsid w:val="00AE23BA"/>
    <w:rsid w:val="00AE27B3"/>
    <w:rsid w:val="00AE292E"/>
    <w:rsid w:val="00AE2968"/>
    <w:rsid w:val="00AE2B43"/>
    <w:rsid w:val="00AE2E16"/>
    <w:rsid w:val="00AE2FA7"/>
    <w:rsid w:val="00AE3191"/>
    <w:rsid w:val="00AE32D3"/>
    <w:rsid w:val="00AE367F"/>
    <w:rsid w:val="00AE36E9"/>
    <w:rsid w:val="00AE397D"/>
    <w:rsid w:val="00AE3CB2"/>
    <w:rsid w:val="00AE3F4B"/>
    <w:rsid w:val="00AE3F93"/>
    <w:rsid w:val="00AE42C2"/>
    <w:rsid w:val="00AE43EF"/>
    <w:rsid w:val="00AE4424"/>
    <w:rsid w:val="00AE46F2"/>
    <w:rsid w:val="00AE47C5"/>
    <w:rsid w:val="00AE4987"/>
    <w:rsid w:val="00AE49FE"/>
    <w:rsid w:val="00AE4A69"/>
    <w:rsid w:val="00AE4B3C"/>
    <w:rsid w:val="00AE4B89"/>
    <w:rsid w:val="00AE4E38"/>
    <w:rsid w:val="00AE4EDC"/>
    <w:rsid w:val="00AE56D1"/>
    <w:rsid w:val="00AE6689"/>
    <w:rsid w:val="00AE69D6"/>
    <w:rsid w:val="00AE6DC4"/>
    <w:rsid w:val="00AE70FB"/>
    <w:rsid w:val="00AE7C18"/>
    <w:rsid w:val="00AE7D5F"/>
    <w:rsid w:val="00AE7E40"/>
    <w:rsid w:val="00AE7F23"/>
    <w:rsid w:val="00AF0052"/>
    <w:rsid w:val="00AF012E"/>
    <w:rsid w:val="00AF01DF"/>
    <w:rsid w:val="00AF0238"/>
    <w:rsid w:val="00AF0661"/>
    <w:rsid w:val="00AF081A"/>
    <w:rsid w:val="00AF0A5A"/>
    <w:rsid w:val="00AF0BD4"/>
    <w:rsid w:val="00AF0C7A"/>
    <w:rsid w:val="00AF10AC"/>
    <w:rsid w:val="00AF1278"/>
    <w:rsid w:val="00AF13C4"/>
    <w:rsid w:val="00AF18FF"/>
    <w:rsid w:val="00AF1F88"/>
    <w:rsid w:val="00AF20D6"/>
    <w:rsid w:val="00AF21CE"/>
    <w:rsid w:val="00AF21D8"/>
    <w:rsid w:val="00AF2387"/>
    <w:rsid w:val="00AF282A"/>
    <w:rsid w:val="00AF29BB"/>
    <w:rsid w:val="00AF2C7B"/>
    <w:rsid w:val="00AF2D28"/>
    <w:rsid w:val="00AF32E4"/>
    <w:rsid w:val="00AF39CF"/>
    <w:rsid w:val="00AF3CF3"/>
    <w:rsid w:val="00AF3D8C"/>
    <w:rsid w:val="00AF407E"/>
    <w:rsid w:val="00AF41CC"/>
    <w:rsid w:val="00AF41E3"/>
    <w:rsid w:val="00AF43F2"/>
    <w:rsid w:val="00AF44AD"/>
    <w:rsid w:val="00AF460F"/>
    <w:rsid w:val="00AF4624"/>
    <w:rsid w:val="00AF48BB"/>
    <w:rsid w:val="00AF49E5"/>
    <w:rsid w:val="00AF4A50"/>
    <w:rsid w:val="00AF4B02"/>
    <w:rsid w:val="00AF4B85"/>
    <w:rsid w:val="00AF4C07"/>
    <w:rsid w:val="00AF4E45"/>
    <w:rsid w:val="00AF5056"/>
    <w:rsid w:val="00AF505F"/>
    <w:rsid w:val="00AF50AE"/>
    <w:rsid w:val="00AF50E0"/>
    <w:rsid w:val="00AF57D7"/>
    <w:rsid w:val="00AF5890"/>
    <w:rsid w:val="00AF5AB9"/>
    <w:rsid w:val="00AF5DC0"/>
    <w:rsid w:val="00AF5E26"/>
    <w:rsid w:val="00AF5E4E"/>
    <w:rsid w:val="00AF6269"/>
    <w:rsid w:val="00AF6830"/>
    <w:rsid w:val="00AF6994"/>
    <w:rsid w:val="00AF6B94"/>
    <w:rsid w:val="00AF6CC0"/>
    <w:rsid w:val="00AF6E25"/>
    <w:rsid w:val="00AF6E7A"/>
    <w:rsid w:val="00AF704E"/>
    <w:rsid w:val="00AF70D3"/>
    <w:rsid w:val="00AF71F6"/>
    <w:rsid w:val="00AF7726"/>
    <w:rsid w:val="00AF7819"/>
    <w:rsid w:val="00AF7835"/>
    <w:rsid w:val="00AF7865"/>
    <w:rsid w:val="00AF7B36"/>
    <w:rsid w:val="00AF7ED3"/>
    <w:rsid w:val="00B0005D"/>
    <w:rsid w:val="00B00176"/>
    <w:rsid w:val="00B00244"/>
    <w:rsid w:val="00B003CD"/>
    <w:rsid w:val="00B004BA"/>
    <w:rsid w:val="00B00547"/>
    <w:rsid w:val="00B00667"/>
    <w:rsid w:val="00B007D5"/>
    <w:rsid w:val="00B00830"/>
    <w:rsid w:val="00B00A6F"/>
    <w:rsid w:val="00B00BF4"/>
    <w:rsid w:val="00B00D42"/>
    <w:rsid w:val="00B01477"/>
    <w:rsid w:val="00B014C0"/>
    <w:rsid w:val="00B01616"/>
    <w:rsid w:val="00B018F2"/>
    <w:rsid w:val="00B01BB9"/>
    <w:rsid w:val="00B01FA3"/>
    <w:rsid w:val="00B023C2"/>
    <w:rsid w:val="00B0261E"/>
    <w:rsid w:val="00B026E9"/>
    <w:rsid w:val="00B0285F"/>
    <w:rsid w:val="00B029B0"/>
    <w:rsid w:val="00B02B86"/>
    <w:rsid w:val="00B02D16"/>
    <w:rsid w:val="00B03120"/>
    <w:rsid w:val="00B036C6"/>
    <w:rsid w:val="00B037DF"/>
    <w:rsid w:val="00B039B1"/>
    <w:rsid w:val="00B03B7A"/>
    <w:rsid w:val="00B03BE6"/>
    <w:rsid w:val="00B03C31"/>
    <w:rsid w:val="00B03C8E"/>
    <w:rsid w:val="00B0400E"/>
    <w:rsid w:val="00B04352"/>
    <w:rsid w:val="00B04438"/>
    <w:rsid w:val="00B048FB"/>
    <w:rsid w:val="00B04A9B"/>
    <w:rsid w:val="00B04DF5"/>
    <w:rsid w:val="00B0507C"/>
    <w:rsid w:val="00B05296"/>
    <w:rsid w:val="00B05323"/>
    <w:rsid w:val="00B05446"/>
    <w:rsid w:val="00B05776"/>
    <w:rsid w:val="00B057C4"/>
    <w:rsid w:val="00B05822"/>
    <w:rsid w:val="00B05B22"/>
    <w:rsid w:val="00B060FC"/>
    <w:rsid w:val="00B06153"/>
    <w:rsid w:val="00B064A0"/>
    <w:rsid w:val="00B067A2"/>
    <w:rsid w:val="00B06A3D"/>
    <w:rsid w:val="00B06B07"/>
    <w:rsid w:val="00B06CE6"/>
    <w:rsid w:val="00B06D81"/>
    <w:rsid w:val="00B06D86"/>
    <w:rsid w:val="00B06EE8"/>
    <w:rsid w:val="00B0700F"/>
    <w:rsid w:val="00B070C3"/>
    <w:rsid w:val="00B07225"/>
    <w:rsid w:val="00B07397"/>
    <w:rsid w:val="00B07481"/>
    <w:rsid w:val="00B07557"/>
    <w:rsid w:val="00B0793C"/>
    <w:rsid w:val="00B079AB"/>
    <w:rsid w:val="00B07B1F"/>
    <w:rsid w:val="00B07D11"/>
    <w:rsid w:val="00B07FCA"/>
    <w:rsid w:val="00B10062"/>
    <w:rsid w:val="00B102BA"/>
    <w:rsid w:val="00B1037C"/>
    <w:rsid w:val="00B10465"/>
    <w:rsid w:val="00B10481"/>
    <w:rsid w:val="00B10527"/>
    <w:rsid w:val="00B1068D"/>
    <w:rsid w:val="00B1089E"/>
    <w:rsid w:val="00B11040"/>
    <w:rsid w:val="00B111AF"/>
    <w:rsid w:val="00B11267"/>
    <w:rsid w:val="00B1158C"/>
    <w:rsid w:val="00B11669"/>
    <w:rsid w:val="00B118E2"/>
    <w:rsid w:val="00B11AB6"/>
    <w:rsid w:val="00B11B56"/>
    <w:rsid w:val="00B11BA4"/>
    <w:rsid w:val="00B11D6E"/>
    <w:rsid w:val="00B11E7C"/>
    <w:rsid w:val="00B1218E"/>
    <w:rsid w:val="00B12249"/>
    <w:rsid w:val="00B12363"/>
    <w:rsid w:val="00B128A4"/>
    <w:rsid w:val="00B129EA"/>
    <w:rsid w:val="00B12A43"/>
    <w:rsid w:val="00B13385"/>
    <w:rsid w:val="00B133BA"/>
    <w:rsid w:val="00B13BFE"/>
    <w:rsid w:val="00B13D1A"/>
    <w:rsid w:val="00B13D1E"/>
    <w:rsid w:val="00B1430D"/>
    <w:rsid w:val="00B14340"/>
    <w:rsid w:val="00B143D5"/>
    <w:rsid w:val="00B1463B"/>
    <w:rsid w:val="00B1475A"/>
    <w:rsid w:val="00B1479D"/>
    <w:rsid w:val="00B14AE0"/>
    <w:rsid w:val="00B14AE4"/>
    <w:rsid w:val="00B14C0C"/>
    <w:rsid w:val="00B15075"/>
    <w:rsid w:val="00B15293"/>
    <w:rsid w:val="00B15294"/>
    <w:rsid w:val="00B1552A"/>
    <w:rsid w:val="00B158F5"/>
    <w:rsid w:val="00B15A9F"/>
    <w:rsid w:val="00B15B85"/>
    <w:rsid w:val="00B15C32"/>
    <w:rsid w:val="00B15F98"/>
    <w:rsid w:val="00B1623F"/>
    <w:rsid w:val="00B1625A"/>
    <w:rsid w:val="00B162BF"/>
    <w:rsid w:val="00B16859"/>
    <w:rsid w:val="00B16D08"/>
    <w:rsid w:val="00B16DD9"/>
    <w:rsid w:val="00B1705F"/>
    <w:rsid w:val="00B172A9"/>
    <w:rsid w:val="00B173B7"/>
    <w:rsid w:val="00B17541"/>
    <w:rsid w:val="00B17716"/>
    <w:rsid w:val="00B17A5A"/>
    <w:rsid w:val="00B17D9C"/>
    <w:rsid w:val="00B17EF7"/>
    <w:rsid w:val="00B201EF"/>
    <w:rsid w:val="00B203C8"/>
    <w:rsid w:val="00B20642"/>
    <w:rsid w:val="00B206C8"/>
    <w:rsid w:val="00B20C0F"/>
    <w:rsid w:val="00B20F7B"/>
    <w:rsid w:val="00B2101E"/>
    <w:rsid w:val="00B21747"/>
    <w:rsid w:val="00B21873"/>
    <w:rsid w:val="00B219E4"/>
    <w:rsid w:val="00B219F8"/>
    <w:rsid w:val="00B21DAA"/>
    <w:rsid w:val="00B21E31"/>
    <w:rsid w:val="00B22219"/>
    <w:rsid w:val="00B22292"/>
    <w:rsid w:val="00B2229E"/>
    <w:rsid w:val="00B222B3"/>
    <w:rsid w:val="00B2263F"/>
    <w:rsid w:val="00B228E3"/>
    <w:rsid w:val="00B22A58"/>
    <w:rsid w:val="00B22AB5"/>
    <w:rsid w:val="00B23604"/>
    <w:rsid w:val="00B23624"/>
    <w:rsid w:val="00B23690"/>
    <w:rsid w:val="00B23858"/>
    <w:rsid w:val="00B24091"/>
    <w:rsid w:val="00B24237"/>
    <w:rsid w:val="00B24505"/>
    <w:rsid w:val="00B2471B"/>
    <w:rsid w:val="00B2482F"/>
    <w:rsid w:val="00B24ACC"/>
    <w:rsid w:val="00B24BB8"/>
    <w:rsid w:val="00B24C0E"/>
    <w:rsid w:val="00B24FF1"/>
    <w:rsid w:val="00B2507E"/>
    <w:rsid w:val="00B25089"/>
    <w:rsid w:val="00B250E5"/>
    <w:rsid w:val="00B25133"/>
    <w:rsid w:val="00B25467"/>
    <w:rsid w:val="00B25473"/>
    <w:rsid w:val="00B254CE"/>
    <w:rsid w:val="00B25934"/>
    <w:rsid w:val="00B25AF5"/>
    <w:rsid w:val="00B25C3A"/>
    <w:rsid w:val="00B25ECA"/>
    <w:rsid w:val="00B26291"/>
    <w:rsid w:val="00B262D5"/>
    <w:rsid w:val="00B26455"/>
    <w:rsid w:val="00B26477"/>
    <w:rsid w:val="00B26612"/>
    <w:rsid w:val="00B26BAD"/>
    <w:rsid w:val="00B27014"/>
    <w:rsid w:val="00B27088"/>
    <w:rsid w:val="00B27301"/>
    <w:rsid w:val="00B27361"/>
    <w:rsid w:val="00B274C5"/>
    <w:rsid w:val="00B2768D"/>
    <w:rsid w:val="00B27760"/>
    <w:rsid w:val="00B27AE0"/>
    <w:rsid w:val="00B27B0F"/>
    <w:rsid w:val="00B27E73"/>
    <w:rsid w:val="00B30095"/>
    <w:rsid w:val="00B3028F"/>
    <w:rsid w:val="00B30299"/>
    <w:rsid w:val="00B304A0"/>
    <w:rsid w:val="00B30586"/>
    <w:rsid w:val="00B3084E"/>
    <w:rsid w:val="00B3090F"/>
    <w:rsid w:val="00B31552"/>
    <w:rsid w:val="00B31810"/>
    <w:rsid w:val="00B318C5"/>
    <w:rsid w:val="00B31D20"/>
    <w:rsid w:val="00B31DF8"/>
    <w:rsid w:val="00B322D4"/>
    <w:rsid w:val="00B325AE"/>
    <w:rsid w:val="00B32793"/>
    <w:rsid w:val="00B329A8"/>
    <w:rsid w:val="00B32BB3"/>
    <w:rsid w:val="00B32E35"/>
    <w:rsid w:val="00B3306C"/>
    <w:rsid w:val="00B33088"/>
    <w:rsid w:val="00B33309"/>
    <w:rsid w:val="00B333DC"/>
    <w:rsid w:val="00B3397F"/>
    <w:rsid w:val="00B33C9F"/>
    <w:rsid w:val="00B33EA9"/>
    <w:rsid w:val="00B342BB"/>
    <w:rsid w:val="00B343CD"/>
    <w:rsid w:val="00B345F7"/>
    <w:rsid w:val="00B34D8F"/>
    <w:rsid w:val="00B34F54"/>
    <w:rsid w:val="00B34FDF"/>
    <w:rsid w:val="00B352A2"/>
    <w:rsid w:val="00B3590C"/>
    <w:rsid w:val="00B35BD7"/>
    <w:rsid w:val="00B3653F"/>
    <w:rsid w:val="00B365AD"/>
    <w:rsid w:val="00B367A3"/>
    <w:rsid w:val="00B36A3C"/>
    <w:rsid w:val="00B36D6A"/>
    <w:rsid w:val="00B37513"/>
    <w:rsid w:val="00B3751B"/>
    <w:rsid w:val="00B375C9"/>
    <w:rsid w:val="00B37668"/>
    <w:rsid w:val="00B3787C"/>
    <w:rsid w:val="00B37EAF"/>
    <w:rsid w:val="00B37EE9"/>
    <w:rsid w:val="00B37F01"/>
    <w:rsid w:val="00B40017"/>
    <w:rsid w:val="00B4007B"/>
    <w:rsid w:val="00B404FA"/>
    <w:rsid w:val="00B40543"/>
    <w:rsid w:val="00B40917"/>
    <w:rsid w:val="00B40992"/>
    <w:rsid w:val="00B4111F"/>
    <w:rsid w:val="00B41123"/>
    <w:rsid w:val="00B41200"/>
    <w:rsid w:val="00B41207"/>
    <w:rsid w:val="00B415EA"/>
    <w:rsid w:val="00B415FF"/>
    <w:rsid w:val="00B41683"/>
    <w:rsid w:val="00B416C1"/>
    <w:rsid w:val="00B4184E"/>
    <w:rsid w:val="00B41AAB"/>
    <w:rsid w:val="00B41C61"/>
    <w:rsid w:val="00B41FDB"/>
    <w:rsid w:val="00B42490"/>
    <w:rsid w:val="00B425DA"/>
    <w:rsid w:val="00B42745"/>
    <w:rsid w:val="00B428EE"/>
    <w:rsid w:val="00B42B8B"/>
    <w:rsid w:val="00B4343A"/>
    <w:rsid w:val="00B434F3"/>
    <w:rsid w:val="00B43613"/>
    <w:rsid w:val="00B4385A"/>
    <w:rsid w:val="00B43875"/>
    <w:rsid w:val="00B43B6B"/>
    <w:rsid w:val="00B43C13"/>
    <w:rsid w:val="00B43CD7"/>
    <w:rsid w:val="00B44073"/>
    <w:rsid w:val="00B44345"/>
    <w:rsid w:val="00B445B9"/>
    <w:rsid w:val="00B4466E"/>
    <w:rsid w:val="00B44C2B"/>
    <w:rsid w:val="00B4548A"/>
    <w:rsid w:val="00B45969"/>
    <w:rsid w:val="00B4598B"/>
    <w:rsid w:val="00B45A1A"/>
    <w:rsid w:val="00B45DE9"/>
    <w:rsid w:val="00B45F49"/>
    <w:rsid w:val="00B460B6"/>
    <w:rsid w:val="00B462F3"/>
    <w:rsid w:val="00B4650A"/>
    <w:rsid w:val="00B465C8"/>
    <w:rsid w:val="00B46659"/>
    <w:rsid w:val="00B46B1D"/>
    <w:rsid w:val="00B46B89"/>
    <w:rsid w:val="00B46C12"/>
    <w:rsid w:val="00B46D0C"/>
    <w:rsid w:val="00B46FCF"/>
    <w:rsid w:val="00B47122"/>
    <w:rsid w:val="00B472E8"/>
    <w:rsid w:val="00B47372"/>
    <w:rsid w:val="00B475DB"/>
    <w:rsid w:val="00B47647"/>
    <w:rsid w:val="00B478A3"/>
    <w:rsid w:val="00B47B1A"/>
    <w:rsid w:val="00B47BC2"/>
    <w:rsid w:val="00B47C24"/>
    <w:rsid w:val="00B47C3C"/>
    <w:rsid w:val="00B47C96"/>
    <w:rsid w:val="00B47D09"/>
    <w:rsid w:val="00B500F2"/>
    <w:rsid w:val="00B505B3"/>
    <w:rsid w:val="00B5070A"/>
    <w:rsid w:val="00B50CFF"/>
    <w:rsid w:val="00B50D92"/>
    <w:rsid w:val="00B50FE1"/>
    <w:rsid w:val="00B510CF"/>
    <w:rsid w:val="00B51157"/>
    <w:rsid w:val="00B51346"/>
    <w:rsid w:val="00B5142D"/>
    <w:rsid w:val="00B514BB"/>
    <w:rsid w:val="00B51919"/>
    <w:rsid w:val="00B51973"/>
    <w:rsid w:val="00B52C4D"/>
    <w:rsid w:val="00B52E9A"/>
    <w:rsid w:val="00B530E6"/>
    <w:rsid w:val="00B532B3"/>
    <w:rsid w:val="00B53681"/>
    <w:rsid w:val="00B53C60"/>
    <w:rsid w:val="00B53E21"/>
    <w:rsid w:val="00B53F02"/>
    <w:rsid w:val="00B53F75"/>
    <w:rsid w:val="00B54560"/>
    <w:rsid w:val="00B546F6"/>
    <w:rsid w:val="00B547D0"/>
    <w:rsid w:val="00B54927"/>
    <w:rsid w:val="00B5495E"/>
    <w:rsid w:val="00B54D5A"/>
    <w:rsid w:val="00B55114"/>
    <w:rsid w:val="00B55128"/>
    <w:rsid w:val="00B551EA"/>
    <w:rsid w:val="00B55269"/>
    <w:rsid w:val="00B55873"/>
    <w:rsid w:val="00B55BD3"/>
    <w:rsid w:val="00B56598"/>
    <w:rsid w:val="00B56658"/>
    <w:rsid w:val="00B568DD"/>
    <w:rsid w:val="00B56C2D"/>
    <w:rsid w:val="00B56F7E"/>
    <w:rsid w:val="00B57218"/>
    <w:rsid w:val="00B5733D"/>
    <w:rsid w:val="00B57369"/>
    <w:rsid w:val="00B57496"/>
    <w:rsid w:val="00B579C9"/>
    <w:rsid w:val="00B57A09"/>
    <w:rsid w:val="00B57A85"/>
    <w:rsid w:val="00B57B7A"/>
    <w:rsid w:val="00B57B9C"/>
    <w:rsid w:val="00B57C3F"/>
    <w:rsid w:val="00B60033"/>
    <w:rsid w:val="00B60113"/>
    <w:rsid w:val="00B60491"/>
    <w:rsid w:val="00B604D6"/>
    <w:rsid w:val="00B605A0"/>
    <w:rsid w:val="00B60960"/>
    <w:rsid w:val="00B60B04"/>
    <w:rsid w:val="00B60B17"/>
    <w:rsid w:val="00B60DE7"/>
    <w:rsid w:val="00B60ED5"/>
    <w:rsid w:val="00B61008"/>
    <w:rsid w:val="00B61020"/>
    <w:rsid w:val="00B61139"/>
    <w:rsid w:val="00B6190E"/>
    <w:rsid w:val="00B61A78"/>
    <w:rsid w:val="00B61B85"/>
    <w:rsid w:val="00B61D16"/>
    <w:rsid w:val="00B6225E"/>
    <w:rsid w:val="00B62289"/>
    <w:rsid w:val="00B6249C"/>
    <w:rsid w:val="00B625D2"/>
    <w:rsid w:val="00B62837"/>
    <w:rsid w:val="00B62892"/>
    <w:rsid w:val="00B629DD"/>
    <w:rsid w:val="00B62AFC"/>
    <w:rsid w:val="00B62EF1"/>
    <w:rsid w:val="00B62FF2"/>
    <w:rsid w:val="00B63091"/>
    <w:rsid w:val="00B63475"/>
    <w:rsid w:val="00B63558"/>
    <w:rsid w:val="00B63D21"/>
    <w:rsid w:val="00B63D6D"/>
    <w:rsid w:val="00B64181"/>
    <w:rsid w:val="00B643C5"/>
    <w:rsid w:val="00B64BC8"/>
    <w:rsid w:val="00B64D59"/>
    <w:rsid w:val="00B64EFA"/>
    <w:rsid w:val="00B6516E"/>
    <w:rsid w:val="00B6517B"/>
    <w:rsid w:val="00B6531B"/>
    <w:rsid w:val="00B6566D"/>
    <w:rsid w:val="00B658FE"/>
    <w:rsid w:val="00B659A8"/>
    <w:rsid w:val="00B65C4D"/>
    <w:rsid w:val="00B65D2B"/>
    <w:rsid w:val="00B65E22"/>
    <w:rsid w:val="00B6640F"/>
    <w:rsid w:val="00B666CB"/>
    <w:rsid w:val="00B66700"/>
    <w:rsid w:val="00B66817"/>
    <w:rsid w:val="00B66A82"/>
    <w:rsid w:val="00B66A97"/>
    <w:rsid w:val="00B66B99"/>
    <w:rsid w:val="00B66BB6"/>
    <w:rsid w:val="00B66CD3"/>
    <w:rsid w:val="00B66ECD"/>
    <w:rsid w:val="00B67039"/>
    <w:rsid w:val="00B67275"/>
    <w:rsid w:val="00B675D1"/>
    <w:rsid w:val="00B677C3"/>
    <w:rsid w:val="00B67A82"/>
    <w:rsid w:val="00B67F9A"/>
    <w:rsid w:val="00B701D2"/>
    <w:rsid w:val="00B70402"/>
    <w:rsid w:val="00B7044D"/>
    <w:rsid w:val="00B70505"/>
    <w:rsid w:val="00B70522"/>
    <w:rsid w:val="00B70620"/>
    <w:rsid w:val="00B70767"/>
    <w:rsid w:val="00B70967"/>
    <w:rsid w:val="00B70B84"/>
    <w:rsid w:val="00B70C59"/>
    <w:rsid w:val="00B70E64"/>
    <w:rsid w:val="00B70E87"/>
    <w:rsid w:val="00B712A4"/>
    <w:rsid w:val="00B71603"/>
    <w:rsid w:val="00B71687"/>
    <w:rsid w:val="00B718D8"/>
    <w:rsid w:val="00B71B3B"/>
    <w:rsid w:val="00B71B69"/>
    <w:rsid w:val="00B71D51"/>
    <w:rsid w:val="00B71E01"/>
    <w:rsid w:val="00B71E13"/>
    <w:rsid w:val="00B71F14"/>
    <w:rsid w:val="00B720D2"/>
    <w:rsid w:val="00B72139"/>
    <w:rsid w:val="00B7248F"/>
    <w:rsid w:val="00B7255F"/>
    <w:rsid w:val="00B725EA"/>
    <w:rsid w:val="00B72A8B"/>
    <w:rsid w:val="00B72B65"/>
    <w:rsid w:val="00B72BEF"/>
    <w:rsid w:val="00B72CB3"/>
    <w:rsid w:val="00B72DB9"/>
    <w:rsid w:val="00B7319E"/>
    <w:rsid w:val="00B731FE"/>
    <w:rsid w:val="00B73282"/>
    <w:rsid w:val="00B73A07"/>
    <w:rsid w:val="00B73AC1"/>
    <w:rsid w:val="00B73C6A"/>
    <w:rsid w:val="00B73DDE"/>
    <w:rsid w:val="00B73F4E"/>
    <w:rsid w:val="00B740A8"/>
    <w:rsid w:val="00B7437E"/>
    <w:rsid w:val="00B74390"/>
    <w:rsid w:val="00B74402"/>
    <w:rsid w:val="00B7464C"/>
    <w:rsid w:val="00B748C9"/>
    <w:rsid w:val="00B74B04"/>
    <w:rsid w:val="00B74C4F"/>
    <w:rsid w:val="00B74C7A"/>
    <w:rsid w:val="00B74DC1"/>
    <w:rsid w:val="00B74FD5"/>
    <w:rsid w:val="00B75294"/>
    <w:rsid w:val="00B753EF"/>
    <w:rsid w:val="00B7543B"/>
    <w:rsid w:val="00B7576F"/>
    <w:rsid w:val="00B75798"/>
    <w:rsid w:val="00B758C9"/>
    <w:rsid w:val="00B759CB"/>
    <w:rsid w:val="00B75AC7"/>
    <w:rsid w:val="00B75B70"/>
    <w:rsid w:val="00B75C97"/>
    <w:rsid w:val="00B75DB1"/>
    <w:rsid w:val="00B764EF"/>
    <w:rsid w:val="00B765A5"/>
    <w:rsid w:val="00B76767"/>
    <w:rsid w:val="00B76B98"/>
    <w:rsid w:val="00B77155"/>
    <w:rsid w:val="00B773D7"/>
    <w:rsid w:val="00B776CF"/>
    <w:rsid w:val="00B779CC"/>
    <w:rsid w:val="00B77BB8"/>
    <w:rsid w:val="00B80114"/>
    <w:rsid w:val="00B8018E"/>
    <w:rsid w:val="00B8042E"/>
    <w:rsid w:val="00B80794"/>
    <w:rsid w:val="00B80A8E"/>
    <w:rsid w:val="00B80CA9"/>
    <w:rsid w:val="00B80DE2"/>
    <w:rsid w:val="00B80EBE"/>
    <w:rsid w:val="00B8138B"/>
    <w:rsid w:val="00B817AF"/>
    <w:rsid w:val="00B81BEB"/>
    <w:rsid w:val="00B81BF4"/>
    <w:rsid w:val="00B81F1C"/>
    <w:rsid w:val="00B820E0"/>
    <w:rsid w:val="00B82615"/>
    <w:rsid w:val="00B82687"/>
    <w:rsid w:val="00B82A03"/>
    <w:rsid w:val="00B82B7F"/>
    <w:rsid w:val="00B82BD7"/>
    <w:rsid w:val="00B82D11"/>
    <w:rsid w:val="00B82D67"/>
    <w:rsid w:val="00B831BF"/>
    <w:rsid w:val="00B83749"/>
    <w:rsid w:val="00B83768"/>
    <w:rsid w:val="00B838FF"/>
    <w:rsid w:val="00B8403D"/>
    <w:rsid w:val="00B841FF"/>
    <w:rsid w:val="00B8442D"/>
    <w:rsid w:val="00B8465D"/>
    <w:rsid w:val="00B8475C"/>
    <w:rsid w:val="00B848F9"/>
    <w:rsid w:val="00B84A8D"/>
    <w:rsid w:val="00B84C23"/>
    <w:rsid w:val="00B84D41"/>
    <w:rsid w:val="00B85096"/>
    <w:rsid w:val="00B851CB"/>
    <w:rsid w:val="00B851D9"/>
    <w:rsid w:val="00B8533D"/>
    <w:rsid w:val="00B853AB"/>
    <w:rsid w:val="00B854A7"/>
    <w:rsid w:val="00B856BC"/>
    <w:rsid w:val="00B85868"/>
    <w:rsid w:val="00B85AC6"/>
    <w:rsid w:val="00B85C12"/>
    <w:rsid w:val="00B862C6"/>
    <w:rsid w:val="00B864FD"/>
    <w:rsid w:val="00B865F2"/>
    <w:rsid w:val="00B865F9"/>
    <w:rsid w:val="00B86759"/>
    <w:rsid w:val="00B8684C"/>
    <w:rsid w:val="00B868EC"/>
    <w:rsid w:val="00B86C60"/>
    <w:rsid w:val="00B86F9B"/>
    <w:rsid w:val="00B87028"/>
    <w:rsid w:val="00B8723D"/>
    <w:rsid w:val="00B873A6"/>
    <w:rsid w:val="00B873D9"/>
    <w:rsid w:val="00B876A2"/>
    <w:rsid w:val="00B87933"/>
    <w:rsid w:val="00B87A37"/>
    <w:rsid w:val="00B87D58"/>
    <w:rsid w:val="00B87EBF"/>
    <w:rsid w:val="00B87F94"/>
    <w:rsid w:val="00B9000E"/>
    <w:rsid w:val="00B90361"/>
    <w:rsid w:val="00B9057D"/>
    <w:rsid w:val="00B905CC"/>
    <w:rsid w:val="00B9091B"/>
    <w:rsid w:val="00B90C0F"/>
    <w:rsid w:val="00B90D58"/>
    <w:rsid w:val="00B911C2"/>
    <w:rsid w:val="00B9151A"/>
    <w:rsid w:val="00B91923"/>
    <w:rsid w:val="00B91ACB"/>
    <w:rsid w:val="00B91C97"/>
    <w:rsid w:val="00B91D26"/>
    <w:rsid w:val="00B91DD5"/>
    <w:rsid w:val="00B923B3"/>
    <w:rsid w:val="00B92A11"/>
    <w:rsid w:val="00B93357"/>
    <w:rsid w:val="00B933A7"/>
    <w:rsid w:val="00B93897"/>
    <w:rsid w:val="00B93990"/>
    <w:rsid w:val="00B93F13"/>
    <w:rsid w:val="00B940E5"/>
    <w:rsid w:val="00B945A1"/>
    <w:rsid w:val="00B94736"/>
    <w:rsid w:val="00B949B6"/>
    <w:rsid w:val="00B949D4"/>
    <w:rsid w:val="00B94ADF"/>
    <w:rsid w:val="00B94E1F"/>
    <w:rsid w:val="00B95086"/>
    <w:rsid w:val="00B951AD"/>
    <w:rsid w:val="00B956DE"/>
    <w:rsid w:val="00B95D57"/>
    <w:rsid w:val="00B95E4E"/>
    <w:rsid w:val="00B96258"/>
    <w:rsid w:val="00B96336"/>
    <w:rsid w:val="00B96435"/>
    <w:rsid w:val="00B96473"/>
    <w:rsid w:val="00B96560"/>
    <w:rsid w:val="00B96561"/>
    <w:rsid w:val="00B96669"/>
    <w:rsid w:val="00B967FC"/>
    <w:rsid w:val="00B96929"/>
    <w:rsid w:val="00B96978"/>
    <w:rsid w:val="00B96B4D"/>
    <w:rsid w:val="00B96D47"/>
    <w:rsid w:val="00B96DAF"/>
    <w:rsid w:val="00B971C2"/>
    <w:rsid w:val="00B97456"/>
    <w:rsid w:val="00B97A33"/>
    <w:rsid w:val="00B97A87"/>
    <w:rsid w:val="00BA02C3"/>
    <w:rsid w:val="00BA04FA"/>
    <w:rsid w:val="00BA05BF"/>
    <w:rsid w:val="00BA07EF"/>
    <w:rsid w:val="00BA0870"/>
    <w:rsid w:val="00BA0C73"/>
    <w:rsid w:val="00BA10C6"/>
    <w:rsid w:val="00BA12A6"/>
    <w:rsid w:val="00BA175C"/>
    <w:rsid w:val="00BA17BD"/>
    <w:rsid w:val="00BA198C"/>
    <w:rsid w:val="00BA1B09"/>
    <w:rsid w:val="00BA1B4C"/>
    <w:rsid w:val="00BA1C9A"/>
    <w:rsid w:val="00BA1D3A"/>
    <w:rsid w:val="00BA1EAD"/>
    <w:rsid w:val="00BA204E"/>
    <w:rsid w:val="00BA20A4"/>
    <w:rsid w:val="00BA26DB"/>
    <w:rsid w:val="00BA2733"/>
    <w:rsid w:val="00BA2796"/>
    <w:rsid w:val="00BA2DE2"/>
    <w:rsid w:val="00BA2E02"/>
    <w:rsid w:val="00BA2F0F"/>
    <w:rsid w:val="00BA316B"/>
    <w:rsid w:val="00BA31D2"/>
    <w:rsid w:val="00BA3342"/>
    <w:rsid w:val="00BA3475"/>
    <w:rsid w:val="00BA348C"/>
    <w:rsid w:val="00BA349B"/>
    <w:rsid w:val="00BA3523"/>
    <w:rsid w:val="00BA358C"/>
    <w:rsid w:val="00BA37B1"/>
    <w:rsid w:val="00BA3A31"/>
    <w:rsid w:val="00BA3D33"/>
    <w:rsid w:val="00BA446E"/>
    <w:rsid w:val="00BA4515"/>
    <w:rsid w:val="00BA45BB"/>
    <w:rsid w:val="00BA465D"/>
    <w:rsid w:val="00BA4A81"/>
    <w:rsid w:val="00BA4BC8"/>
    <w:rsid w:val="00BA4C9D"/>
    <w:rsid w:val="00BA4D66"/>
    <w:rsid w:val="00BA503A"/>
    <w:rsid w:val="00BA5157"/>
    <w:rsid w:val="00BA5301"/>
    <w:rsid w:val="00BA530E"/>
    <w:rsid w:val="00BA55E4"/>
    <w:rsid w:val="00BA59E6"/>
    <w:rsid w:val="00BA5AFB"/>
    <w:rsid w:val="00BA5C02"/>
    <w:rsid w:val="00BA5FAE"/>
    <w:rsid w:val="00BA6144"/>
    <w:rsid w:val="00BA624F"/>
    <w:rsid w:val="00BA6393"/>
    <w:rsid w:val="00BA644E"/>
    <w:rsid w:val="00BA6523"/>
    <w:rsid w:val="00BA6585"/>
    <w:rsid w:val="00BA6756"/>
    <w:rsid w:val="00BA67D4"/>
    <w:rsid w:val="00BA71A4"/>
    <w:rsid w:val="00BA71AA"/>
    <w:rsid w:val="00BA7484"/>
    <w:rsid w:val="00BA74B4"/>
    <w:rsid w:val="00BA74D9"/>
    <w:rsid w:val="00BA75BC"/>
    <w:rsid w:val="00BA79A7"/>
    <w:rsid w:val="00BA7A03"/>
    <w:rsid w:val="00BA7A87"/>
    <w:rsid w:val="00BA7B1E"/>
    <w:rsid w:val="00BA7CC7"/>
    <w:rsid w:val="00BA7CFD"/>
    <w:rsid w:val="00BA7E45"/>
    <w:rsid w:val="00BB0329"/>
    <w:rsid w:val="00BB0668"/>
    <w:rsid w:val="00BB0905"/>
    <w:rsid w:val="00BB0B1A"/>
    <w:rsid w:val="00BB0EAF"/>
    <w:rsid w:val="00BB0F6F"/>
    <w:rsid w:val="00BB194C"/>
    <w:rsid w:val="00BB1A68"/>
    <w:rsid w:val="00BB1C9E"/>
    <w:rsid w:val="00BB20DA"/>
    <w:rsid w:val="00BB218B"/>
    <w:rsid w:val="00BB22B2"/>
    <w:rsid w:val="00BB23A6"/>
    <w:rsid w:val="00BB24AD"/>
    <w:rsid w:val="00BB2619"/>
    <w:rsid w:val="00BB262C"/>
    <w:rsid w:val="00BB27B1"/>
    <w:rsid w:val="00BB28C5"/>
    <w:rsid w:val="00BB2C31"/>
    <w:rsid w:val="00BB2E47"/>
    <w:rsid w:val="00BB2EA1"/>
    <w:rsid w:val="00BB320A"/>
    <w:rsid w:val="00BB32BF"/>
    <w:rsid w:val="00BB33B5"/>
    <w:rsid w:val="00BB33BB"/>
    <w:rsid w:val="00BB36A3"/>
    <w:rsid w:val="00BB370B"/>
    <w:rsid w:val="00BB370F"/>
    <w:rsid w:val="00BB388D"/>
    <w:rsid w:val="00BB3954"/>
    <w:rsid w:val="00BB3C77"/>
    <w:rsid w:val="00BB3CB4"/>
    <w:rsid w:val="00BB4008"/>
    <w:rsid w:val="00BB4320"/>
    <w:rsid w:val="00BB4351"/>
    <w:rsid w:val="00BB43DA"/>
    <w:rsid w:val="00BB4DB6"/>
    <w:rsid w:val="00BB4E47"/>
    <w:rsid w:val="00BB4F00"/>
    <w:rsid w:val="00BB4F42"/>
    <w:rsid w:val="00BB5344"/>
    <w:rsid w:val="00BB56A9"/>
    <w:rsid w:val="00BB58C8"/>
    <w:rsid w:val="00BB5C4E"/>
    <w:rsid w:val="00BB5DAC"/>
    <w:rsid w:val="00BB5F2A"/>
    <w:rsid w:val="00BB62EB"/>
    <w:rsid w:val="00BB63DF"/>
    <w:rsid w:val="00BB67E8"/>
    <w:rsid w:val="00BB68B7"/>
    <w:rsid w:val="00BB6ACD"/>
    <w:rsid w:val="00BB6EDB"/>
    <w:rsid w:val="00BB7036"/>
    <w:rsid w:val="00BB7158"/>
    <w:rsid w:val="00BB73C0"/>
    <w:rsid w:val="00BB7428"/>
    <w:rsid w:val="00BB755D"/>
    <w:rsid w:val="00BB7576"/>
    <w:rsid w:val="00BB764C"/>
    <w:rsid w:val="00BB7657"/>
    <w:rsid w:val="00BB769A"/>
    <w:rsid w:val="00BB76B2"/>
    <w:rsid w:val="00BB7750"/>
    <w:rsid w:val="00BB7A30"/>
    <w:rsid w:val="00BB7BBD"/>
    <w:rsid w:val="00BB7D0A"/>
    <w:rsid w:val="00BB7D4B"/>
    <w:rsid w:val="00BB7E10"/>
    <w:rsid w:val="00BB7F90"/>
    <w:rsid w:val="00BC0736"/>
    <w:rsid w:val="00BC0844"/>
    <w:rsid w:val="00BC08E7"/>
    <w:rsid w:val="00BC0BFE"/>
    <w:rsid w:val="00BC10FA"/>
    <w:rsid w:val="00BC1176"/>
    <w:rsid w:val="00BC124F"/>
    <w:rsid w:val="00BC12DA"/>
    <w:rsid w:val="00BC1658"/>
    <w:rsid w:val="00BC170E"/>
    <w:rsid w:val="00BC1756"/>
    <w:rsid w:val="00BC1B18"/>
    <w:rsid w:val="00BC1F26"/>
    <w:rsid w:val="00BC2068"/>
    <w:rsid w:val="00BC21BF"/>
    <w:rsid w:val="00BC26F0"/>
    <w:rsid w:val="00BC276F"/>
    <w:rsid w:val="00BC2913"/>
    <w:rsid w:val="00BC2E3F"/>
    <w:rsid w:val="00BC2F59"/>
    <w:rsid w:val="00BC2FEB"/>
    <w:rsid w:val="00BC3134"/>
    <w:rsid w:val="00BC3A36"/>
    <w:rsid w:val="00BC3AC0"/>
    <w:rsid w:val="00BC3AC9"/>
    <w:rsid w:val="00BC3ADE"/>
    <w:rsid w:val="00BC3B09"/>
    <w:rsid w:val="00BC3C7D"/>
    <w:rsid w:val="00BC3EDF"/>
    <w:rsid w:val="00BC41B2"/>
    <w:rsid w:val="00BC4412"/>
    <w:rsid w:val="00BC459B"/>
    <w:rsid w:val="00BC462F"/>
    <w:rsid w:val="00BC4643"/>
    <w:rsid w:val="00BC49CF"/>
    <w:rsid w:val="00BC49E4"/>
    <w:rsid w:val="00BC4A53"/>
    <w:rsid w:val="00BC4CAA"/>
    <w:rsid w:val="00BC4ECD"/>
    <w:rsid w:val="00BC4F8E"/>
    <w:rsid w:val="00BC4FA9"/>
    <w:rsid w:val="00BC526D"/>
    <w:rsid w:val="00BC544F"/>
    <w:rsid w:val="00BC5825"/>
    <w:rsid w:val="00BC595C"/>
    <w:rsid w:val="00BC5A6E"/>
    <w:rsid w:val="00BC5B50"/>
    <w:rsid w:val="00BC5EE0"/>
    <w:rsid w:val="00BC5F73"/>
    <w:rsid w:val="00BC5FA4"/>
    <w:rsid w:val="00BC6173"/>
    <w:rsid w:val="00BC617D"/>
    <w:rsid w:val="00BC6246"/>
    <w:rsid w:val="00BC659F"/>
    <w:rsid w:val="00BC684D"/>
    <w:rsid w:val="00BC6B8D"/>
    <w:rsid w:val="00BC6C98"/>
    <w:rsid w:val="00BC6DB3"/>
    <w:rsid w:val="00BC71E9"/>
    <w:rsid w:val="00BC7283"/>
    <w:rsid w:val="00BC7525"/>
    <w:rsid w:val="00BC7D53"/>
    <w:rsid w:val="00BC7FA7"/>
    <w:rsid w:val="00BD03B4"/>
    <w:rsid w:val="00BD0527"/>
    <w:rsid w:val="00BD0A9E"/>
    <w:rsid w:val="00BD0C00"/>
    <w:rsid w:val="00BD0EC0"/>
    <w:rsid w:val="00BD13A8"/>
    <w:rsid w:val="00BD143C"/>
    <w:rsid w:val="00BD1727"/>
    <w:rsid w:val="00BD18BF"/>
    <w:rsid w:val="00BD1929"/>
    <w:rsid w:val="00BD1BE4"/>
    <w:rsid w:val="00BD1E61"/>
    <w:rsid w:val="00BD1F5F"/>
    <w:rsid w:val="00BD220E"/>
    <w:rsid w:val="00BD2318"/>
    <w:rsid w:val="00BD241D"/>
    <w:rsid w:val="00BD2673"/>
    <w:rsid w:val="00BD2758"/>
    <w:rsid w:val="00BD2825"/>
    <w:rsid w:val="00BD29EE"/>
    <w:rsid w:val="00BD2A02"/>
    <w:rsid w:val="00BD2D65"/>
    <w:rsid w:val="00BD2E0D"/>
    <w:rsid w:val="00BD3008"/>
    <w:rsid w:val="00BD347F"/>
    <w:rsid w:val="00BD3743"/>
    <w:rsid w:val="00BD37EE"/>
    <w:rsid w:val="00BD388C"/>
    <w:rsid w:val="00BD3BDB"/>
    <w:rsid w:val="00BD4066"/>
    <w:rsid w:val="00BD40FA"/>
    <w:rsid w:val="00BD40FD"/>
    <w:rsid w:val="00BD4198"/>
    <w:rsid w:val="00BD4333"/>
    <w:rsid w:val="00BD4379"/>
    <w:rsid w:val="00BD450A"/>
    <w:rsid w:val="00BD470F"/>
    <w:rsid w:val="00BD4720"/>
    <w:rsid w:val="00BD4836"/>
    <w:rsid w:val="00BD4ABD"/>
    <w:rsid w:val="00BD4E3F"/>
    <w:rsid w:val="00BD4FA2"/>
    <w:rsid w:val="00BD5116"/>
    <w:rsid w:val="00BD51F6"/>
    <w:rsid w:val="00BD528C"/>
    <w:rsid w:val="00BD5321"/>
    <w:rsid w:val="00BD5431"/>
    <w:rsid w:val="00BD5C31"/>
    <w:rsid w:val="00BD5C5C"/>
    <w:rsid w:val="00BD5F79"/>
    <w:rsid w:val="00BD6001"/>
    <w:rsid w:val="00BD6133"/>
    <w:rsid w:val="00BD621F"/>
    <w:rsid w:val="00BD65C0"/>
    <w:rsid w:val="00BD65CB"/>
    <w:rsid w:val="00BD6CE5"/>
    <w:rsid w:val="00BD714A"/>
    <w:rsid w:val="00BD725E"/>
    <w:rsid w:val="00BD73D4"/>
    <w:rsid w:val="00BD741A"/>
    <w:rsid w:val="00BD7522"/>
    <w:rsid w:val="00BD79DF"/>
    <w:rsid w:val="00BD7BD9"/>
    <w:rsid w:val="00BD7E66"/>
    <w:rsid w:val="00BD7ED8"/>
    <w:rsid w:val="00BD7F2D"/>
    <w:rsid w:val="00BE0030"/>
    <w:rsid w:val="00BE00CC"/>
    <w:rsid w:val="00BE0383"/>
    <w:rsid w:val="00BE065F"/>
    <w:rsid w:val="00BE06F4"/>
    <w:rsid w:val="00BE0AA0"/>
    <w:rsid w:val="00BE10FC"/>
    <w:rsid w:val="00BE126A"/>
    <w:rsid w:val="00BE18B1"/>
    <w:rsid w:val="00BE1A2E"/>
    <w:rsid w:val="00BE1B86"/>
    <w:rsid w:val="00BE1C6D"/>
    <w:rsid w:val="00BE1F7E"/>
    <w:rsid w:val="00BE1FF6"/>
    <w:rsid w:val="00BE2016"/>
    <w:rsid w:val="00BE222C"/>
    <w:rsid w:val="00BE252C"/>
    <w:rsid w:val="00BE258C"/>
    <w:rsid w:val="00BE27AF"/>
    <w:rsid w:val="00BE2A02"/>
    <w:rsid w:val="00BE2A35"/>
    <w:rsid w:val="00BE2B9C"/>
    <w:rsid w:val="00BE2C64"/>
    <w:rsid w:val="00BE2F04"/>
    <w:rsid w:val="00BE2F65"/>
    <w:rsid w:val="00BE3040"/>
    <w:rsid w:val="00BE351E"/>
    <w:rsid w:val="00BE363F"/>
    <w:rsid w:val="00BE3949"/>
    <w:rsid w:val="00BE3A60"/>
    <w:rsid w:val="00BE3BAF"/>
    <w:rsid w:val="00BE3BF2"/>
    <w:rsid w:val="00BE3D8D"/>
    <w:rsid w:val="00BE3DB1"/>
    <w:rsid w:val="00BE426E"/>
    <w:rsid w:val="00BE461A"/>
    <w:rsid w:val="00BE4639"/>
    <w:rsid w:val="00BE467A"/>
    <w:rsid w:val="00BE46F7"/>
    <w:rsid w:val="00BE4820"/>
    <w:rsid w:val="00BE4D6E"/>
    <w:rsid w:val="00BE4EFB"/>
    <w:rsid w:val="00BE511E"/>
    <w:rsid w:val="00BE587C"/>
    <w:rsid w:val="00BE58BE"/>
    <w:rsid w:val="00BE5CB1"/>
    <w:rsid w:val="00BE5DDB"/>
    <w:rsid w:val="00BE5EE4"/>
    <w:rsid w:val="00BE5EFD"/>
    <w:rsid w:val="00BE60A2"/>
    <w:rsid w:val="00BE60B6"/>
    <w:rsid w:val="00BE6180"/>
    <w:rsid w:val="00BE64DC"/>
    <w:rsid w:val="00BE6D81"/>
    <w:rsid w:val="00BE70A3"/>
    <w:rsid w:val="00BE7734"/>
    <w:rsid w:val="00BE789A"/>
    <w:rsid w:val="00BE7B90"/>
    <w:rsid w:val="00BE7BD9"/>
    <w:rsid w:val="00BE7C5F"/>
    <w:rsid w:val="00BF0828"/>
    <w:rsid w:val="00BF0961"/>
    <w:rsid w:val="00BF0A8C"/>
    <w:rsid w:val="00BF0D68"/>
    <w:rsid w:val="00BF10BB"/>
    <w:rsid w:val="00BF10E0"/>
    <w:rsid w:val="00BF19B3"/>
    <w:rsid w:val="00BF1A9B"/>
    <w:rsid w:val="00BF1AA8"/>
    <w:rsid w:val="00BF1B0C"/>
    <w:rsid w:val="00BF1D7B"/>
    <w:rsid w:val="00BF1E45"/>
    <w:rsid w:val="00BF2030"/>
    <w:rsid w:val="00BF25BD"/>
    <w:rsid w:val="00BF25E7"/>
    <w:rsid w:val="00BF263C"/>
    <w:rsid w:val="00BF2676"/>
    <w:rsid w:val="00BF2BF2"/>
    <w:rsid w:val="00BF2EE8"/>
    <w:rsid w:val="00BF3003"/>
    <w:rsid w:val="00BF3082"/>
    <w:rsid w:val="00BF3175"/>
    <w:rsid w:val="00BF31C0"/>
    <w:rsid w:val="00BF3567"/>
    <w:rsid w:val="00BF37F5"/>
    <w:rsid w:val="00BF3861"/>
    <w:rsid w:val="00BF3B97"/>
    <w:rsid w:val="00BF3DFD"/>
    <w:rsid w:val="00BF3E2A"/>
    <w:rsid w:val="00BF43EE"/>
    <w:rsid w:val="00BF4432"/>
    <w:rsid w:val="00BF443B"/>
    <w:rsid w:val="00BF44AF"/>
    <w:rsid w:val="00BF4918"/>
    <w:rsid w:val="00BF4A6C"/>
    <w:rsid w:val="00BF4B5B"/>
    <w:rsid w:val="00BF4B81"/>
    <w:rsid w:val="00BF4CA5"/>
    <w:rsid w:val="00BF51BB"/>
    <w:rsid w:val="00BF567F"/>
    <w:rsid w:val="00BF57FB"/>
    <w:rsid w:val="00BF58BC"/>
    <w:rsid w:val="00BF59F1"/>
    <w:rsid w:val="00BF5BA9"/>
    <w:rsid w:val="00BF5CB0"/>
    <w:rsid w:val="00BF5E53"/>
    <w:rsid w:val="00BF6599"/>
    <w:rsid w:val="00BF6A85"/>
    <w:rsid w:val="00BF6AF9"/>
    <w:rsid w:val="00BF6BF2"/>
    <w:rsid w:val="00BF7087"/>
    <w:rsid w:val="00BF75DB"/>
    <w:rsid w:val="00BF79D1"/>
    <w:rsid w:val="00BF7AD5"/>
    <w:rsid w:val="00BF7CE5"/>
    <w:rsid w:val="00BF7E54"/>
    <w:rsid w:val="00BF7EE5"/>
    <w:rsid w:val="00C00187"/>
    <w:rsid w:val="00C003E3"/>
    <w:rsid w:val="00C0060E"/>
    <w:rsid w:val="00C00777"/>
    <w:rsid w:val="00C0094E"/>
    <w:rsid w:val="00C00974"/>
    <w:rsid w:val="00C00AC8"/>
    <w:rsid w:val="00C01564"/>
    <w:rsid w:val="00C019DA"/>
    <w:rsid w:val="00C01A1F"/>
    <w:rsid w:val="00C01B78"/>
    <w:rsid w:val="00C01C45"/>
    <w:rsid w:val="00C01D61"/>
    <w:rsid w:val="00C02073"/>
    <w:rsid w:val="00C02111"/>
    <w:rsid w:val="00C0226D"/>
    <w:rsid w:val="00C02841"/>
    <w:rsid w:val="00C0285A"/>
    <w:rsid w:val="00C02B7E"/>
    <w:rsid w:val="00C02F71"/>
    <w:rsid w:val="00C030CC"/>
    <w:rsid w:val="00C03270"/>
    <w:rsid w:val="00C033E2"/>
    <w:rsid w:val="00C034B6"/>
    <w:rsid w:val="00C03586"/>
    <w:rsid w:val="00C03927"/>
    <w:rsid w:val="00C03930"/>
    <w:rsid w:val="00C039CB"/>
    <w:rsid w:val="00C039E1"/>
    <w:rsid w:val="00C03B5C"/>
    <w:rsid w:val="00C03E18"/>
    <w:rsid w:val="00C03EB6"/>
    <w:rsid w:val="00C04367"/>
    <w:rsid w:val="00C048AB"/>
    <w:rsid w:val="00C04AE0"/>
    <w:rsid w:val="00C04AF9"/>
    <w:rsid w:val="00C04E12"/>
    <w:rsid w:val="00C05033"/>
    <w:rsid w:val="00C051E2"/>
    <w:rsid w:val="00C0539F"/>
    <w:rsid w:val="00C05504"/>
    <w:rsid w:val="00C056CB"/>
    <w:rsid w:val="00C056E4"/>
    <w:rsid w:val="00C05724"/>
    <w:rsid w:val="00C05792"/>
    <w:rsid w:val="00C057A0"/>
    <w:rsid w:val="00C05C40"/>
    <w:rsid w:val="00C060BB"/>
    <w:rsid w:val="00C06217"/>
    <w:rsid w:val="00C06629"/>
    <w:rsid w:val="00C06AEF"/>
    <w:rsid w:val="00C06D6B"/>
    <w:rsid w:val="00C06E1B"/>
    <w:rsid w:val="00C07003"/>
    <w:rsid w:val="00C07026"/>
    <w:rsid w:val="00C07352"/>
    <w:rsid w:val="00C073CF"/>
    <w:rsid w:val="00C07901"/>
    <w:rsid w:val="00C07A5C"/>
    <w:rsid w:val="00C07ACD"/>
    <w:rsid w:val="00C07AF4"/>
    <w:rsid w:val="00C100DE"/>
    <w:rsid w:val="00C1014E"/>
    <w:rsid w:val="00C10325"/>
    <w:rsid w:val="00C10433"/>
    <w:rsid w:val="00C10571"/>
    <w:rsid w:val="00C10728"/>
    <w:rsid w:val="00C10982"/>
    <w:rsid w:val="00C1098C"/>
    <w:rsid w:val="00C10A51"/>
    <w:rsid w:val="00C10B21"/>
    <w:rsid w:val="00C10B47"/>
    <w:rsid w:val="00C10EEA"/>
    <w:rsid w:val="00C11424"/>
    <w:rsid w:val="00C11726"/>
    <w:rsid w:val="00C11730"/>
    <w:rsid w:val="00C118A6"/>
    <w:rsid w:val="00C1216C"/>
    <w:rsid w:val="00C12223"/>
    <w:rsid w:val="00C12366"/>
    <w:rsid w:val="00C12414"/>
    <w:rsid w:val="00C125A9"/>
    <w:rsid w:val="00C12715"/>
    <w:rsid w:val="00C129C8"/>
    <w:rsid w:val="00C129CB"/>
    <w:rsid w:val="00C129FD"/>
    <w:rsid w:val="00C12AA6"/>
    <w:rsid w:val="00C12ACC"/>
    <w:rsid w:val="00C12B53"/>
    <w:rsid w:val="00C12CBB"/>
    <w:rsid w:val="00C12CDF"/>
    <w:rsid w:val="00C12CE5"/>
    <w:rsid w:val="00C12DFC"/>
    <w:rsid w:val="00C12E37"/>
    <w:rsid w:val="00C12F7E"/>
    <w:rsid w:val="00C1333F"/>
    <w:rsid w:val="00C13367"/>
    <w:rsid w:val="00C13475"/>
    <w:rsid w:val="00C1352D"/>
    <w:rsid w:val="00C13696"/>
    <w:rsid w:val="00C137F4"/>
    <w:rsid w:val="00C1392D"/>
    <w:rsid w:val="00C13BBF"/>
    <w:rsid w:val="00C14202"/>
    <w:rsid w:val="00C143CC"/>
    <w:rsid w:val="00C1458B"/>
    <w:rsid w:val="00C1458F"/>
    <w:rsid w:val="00C14637"/>
    <w:rsid w:val="00C14749"/>
    <w:rsid w:val="00C147F8"/>
    <w:rsid w:val="00C148A2"/>
    <w:rsid w:val="00C14B01"/>
    <w:rsid w:val="00C14C59"/>
    <w:rsid w:val="00C14D6C"/>
    <w:rsid w:val="00C15171"/>
    <w:rsid w:val="00C15294"/>
    <w:rsid w:val="00C1540C"/>
    <w:rsid w:val="00C15A7D"/>
    <w:rsid w:val="00C15CCB"/>
    <w:rsid w:val="00C165F4"/>
    <w:rsid w:val="00C16FA0"/>
    <w:rsid w:val="00C177F6"/>
    <w:rsid w:val="00C179B6"/>
    <w:rsid w:val="00C17A19"/>
    <w:rsid w:val="00C17B32"/>
    <w:rsid w:val="00C17C39"/>
    <w:rsid w:val="00C17EA0"/>
    <w:rsid w:val="00C17F51"/>
    <w:rsid w:val="00C203EC"/>
    <w:rsid w:val="00C20772"/>
    <w:rsid w:val="00C210DE"/>
    <w:rsid w:val="00C216DC"/>
    <w:rsid w:val="00C2174F"/>
    <w:rsid w:val="00C21C94"/>
    <w:rsid w:val="00C21D28"/>
    <w:rsid w:val="00C21F43"/>
    <w:rsid w:val="00C223BD"/>
    <w:rsid w:val="00C224F0"/>
    <w:rsid w:val="00C227EC"/>
    <w:rsid w:val="00C22933"/>
    <w:rsid w:val="00C22B44"/>
    <w:rsid w:val="00C23191"/>
    <w:rsid w:val="00C2319D"/>
    <w:rsid w:val="00C23368"/>
    <w:rsid w:val="00C235B5"/>
    <w:rsid w:val="00C237B4"/>
    <w:rsid w:val="00C237DB"/>
    <w:rsid w:val="00C23948"/>
    <w:rsid w:val="00C2405C"/>
    <w:rsid w:val="00C2425C"/>
    <w:rsid w:val="00C24763"/>
    <w:rsid w:val="00C24F24"/>
    <w:rsid w:val="00C24FCE"/>
    <w:rsid w:val="00C25049"/>
    <w:rsid w:val="00C252F5"/>
    <w:rsid w:val="00C25397"/>
    <w:rsid w:val="00C25533"/>
    <w:rsid w:val="00C25729"/>
    <w:rsid w:val="00C257AE"/>
    <w:rsid w:val="00C261F9"/>
    <w:rsid w:val="00C2651A"/>
    <w:rsid w:val="00C267C3"/>
    <w:rsid w:val="00C2695B"/>
    <w:rsid w:val="00C26A1B"/>
    <w:rsid w:val="00C26C19"/>
    <w:rsid w:val="00C26C37"/>
    <w:rsid w:val="00C26D74"/>
    <w:rsid w:val="00C26D7B"/>
    <w:rsid w:val="00C26D83"/>
    <w:rsid w:val="00C26DCC"/>
    <w:rsid w:val="00C26FD7"/>
    <w:rsid w:val="00C2712D"/>
    <w:rsid w:val="00C27344"/>
    <w:rsid w:val="00C2742E"/>
    <w:rsid w:val="00C2780D"/>
    <w:rsid w:val="00C27935"/>
    <w:rsid w:val="00C27A35"/>
    <w:rsid w:val="00C27BC2"/>
    <w:rsid w:val="00C27D08"/>
    <w:rsid w:val="00C27DB2"/>
    <w:rsid w:val="00C27DB8"/>
    <w:rsid w:val="00C27F9A"/>
    <w:rsid w:val="00C300F7"/>
    <w:rsid w:val="00C30192"/>
    <w:rsid w:val="00C30262"/>
    <w:rsid w:val="00C302B5"/>
    <w:rsid w:val="00C3034E"/>
    <w:rsid w:val="00C3066F"/>
    <w:rsid w:val="00C307FB"/>
    <w:rsid w:val="00C308E2"/>
    <w:rsid w:val="00C308F7"/>
    <w:rsid w:val="00C3097D"/>
    <w:rsid w:val="00C30A70"/>
    <w:rsid w:val="00C30E66"/>
    <w:rsid w:val="00C30FD4"/>
    <w:rsid w:val="00C31412"/>
    <w:rsid w:val="00C31550"/>
    <w:rsid w:val="00C31649"/>
    <w:rsid w:val="00C31ABD"/>
    <w:rsid w:val="00C31B60"/>
    <w:rsid w:val="00C320D5"/>
    <w:rsid w:val="00C3218F"/>
    <w:rsid w:val="00C32450"/>
    <w:rsid w:val="00C32534"/>
    <w:rsid w:val="00C32B57"/>
    <w:rsid w:val="00C32B99"/>
    <w:rsid w:val="00C32C1B"/>
    <w:rsid w:val="00C3308A"/>
    <w:rsid w:val="00C330F6"/>
    <w:rsid w:val="00C3317D"/>
    <w:rsid w:val="00C33495"/>
    <w:rsid w:val="00C337A0"/>
    <w:rsid w:val="00C33A3F"/>
    <w:rsid w:val="00C33BE0"/>
    <w:rsid w:val="00C33EF9"/>
    <w:rsid w:val="00C33F23"/>
    <w:rsid w:val="00C33F85"/>
    <w:rsid w:val="00C34066"/>
    <w:rsid w:val="00C34140"/>
    <w:rsid w:val="00C34248"/>
    <w:rsid w:val="00C34357"/>
    <w:rsid w:val="00C34393"/>
    <w:rsid w:val="00C345AD"/>
    <w:rsid w:val="00C346C4"/>
    <w:rsid w:val="00C34A32"/>
    <w:rsid w:val="00C34E90"/>
    <w:rsid w:val="00C34FB3"/>
    <w:rsid w:val="00C35015"/>
    <w:rsid w:val="00C35676"/>
    <w:rsid w:val="00C357A2"/>
    <w:rsid w:val="00C358BE"/>
    <w:rsid w:val="00C359A7"/>
    <w:rsid w:val="00C35E36"/>
    <w:rsid w:val="00C35E78"/>
    <w:rsid w:val="00C35ECC"/>
    <w:rsid w:val="00C35EF5"/>
    <w:rsid w:val="00C36277"/>
    <w:rsid w:val="00C36483"/>
    <w:rsid w:val="00C365D8"/>
    <w:rsid w:val="00C3665F"/>
    <w:rsid w:val="00C36CFB"/>
    <w:rsid w:val="00C375F4"/>
    <w:rsid w:val="00C376AE"/>
    <w:rsid w:val="00C376CF"/>
    <w:rsid w:val="00C405F4"/>
    <w:rsid w:val="00C407AC"/>
    <w:rsid w:val="00C40876"/>
    <w:rsid w:val="00C40A97"/>
    <w:rsid w:val="00C41125"/>
    <w:rsid w:val="00C41415"/>
    <w:rsid w:val="00C41586"/>
    <w:rsid w:val="00C415A5"/>
    <w:rsid w:val="00C41907"/>
    <w:rsid w:val="00C41AC7"/>
    <w:rsid w:val="00C41ADF"/>
    <w:rsid w:val="00C41B05"/>
    <w:rsid w:val="00C4262B"/>
    <w:rsid w:val="00C4265D"/>
    <w:rsid w:val="00C4270F"/>
    <w:rsid w:val="00C42824"/>
    <w:rsid w:val="00C42C3E"/>
    <w:rsid w:val="00C42CCC"/>
    <w:rsid w:val="00C42E7C"/>
    <w:rsid w:val="00C42EB3"/>
    <w:rsid w:val="00C4311A"/>
    <w:rsid w:val="00C432CE"/>
    <w:rsid w:val="00C43394"/>
    <w:rsid w:val="00C437C4"/>
    <w:rsid w:val="00C439B6"/>
    <w:rsid w:val="00C43A2C"/>
    <w:rsid w:val="00C444CC"/>
    <w:rsid w:val="00C446CF"/>
    <w:rsid w:val="00C44852"/>
    <w:rsid w:val="00C448B7"/>
    <w:rsid w:val="00C44F59"/>
    <w:rsid w:val="00C4515E"/>
    <w:rsid w:val="00C45288"/>
    <w:rsid w:val="00C4539F"/>
    <w:rsid w:val="00C4562E"/>
    <w:rsid w:val="00C45782"/>
    <w:rsid w:val="00C45807"/>
    <w:rsid w:val="00C459C8"/>
    <w:rsid w:val="00C45D6B"/>
    <w:rsid w:val="00C45D80"/>
    <w:rsid w:val="00C45EB6"/>
    <w:rsid w:val="00C460F1"/>
    <w:rsid w:val="00C4627A"/>
    <w:rsid w:val="00C46302"/>
    <w:rsid w:val="00C46880"/>
    <w:rsid w:val="00C46B5B"/>
    <w:rsid w:val="00C46D8E"/>
    <w:rsid w:val="00C46E3C"/>
    <w:rsid w:val="00C4705F"/>
    <w:rsid w:val="00C470DE"/>
    <w:rsid w:val="00C4712F"/>
    <w:rsid w:val="00C47158"/>
    <w:rsid w:val="00C47174"/>
    <w:rsid w:val="00C47325"/>
    <w:rsid w:val="00C475D6"/>
    <w:rsid w:val="00C4767A"/>
    <w:rsid w:val="00C477FC"/>
    <w:rsid w:val="00C47868"/>
    <w:rsid w:val="00C47AAA"/>
    <w:rsid w:val="00C47B25"/>
    <w:rsid w:val="00C47D13"/>
    <w:rsid w:val="00C47D93"/>
    <w:rsid w:val="00C47E0F"/>
    <w:rsid w:val="00C47ED7"/>
    <w:rsid w:val="00C47F00"/>
    <w:rsid w:val="00C50292"/>
    <w:rsid w:val="00C502DA"/>
    <w:rsid w:val="00C5054C"/>
    <w:rsid w:val="00C505C1"/>
    <w:rsid w:val="00C508EB"/>
    <w:rsid w:val="00C50A9C"/>
    <w:rsid w:val="00C50CED"/>
    <w:rsid w:val="00C50EB2"/>
    <w:rsid w:val="00C50ECF"/>
    <w:rsid w:val="00C50F40"/>
    <w:rsid w:val="00C51070"/>
    <w:rsid w:val="00C51099"/>
    <w:rsid w:val="00C510F2"/>
    <w:rsid w:val="00C5127F"/>
    <w:rsid w:val="00C51449"/>
    <w:rsid w:val="00C515E8"/>
    <w:rsid w:val="00C5193C"/>
    <w:rsid w:val="00C519BA"/>
    <w:rsid w:val="00C51AEE"/>
    <w:rsid w:val="00C51B83"/>
    <w:rsid w:val="00C51FBB"/>
    <w:rsid w:val="00C520E3"/>
    <w:rsid w:val="00C5225D"/>
    <w:rsid w:val="00C52267"/>
    <w:rsid w:val="00C526D6"/>
    <w:rsid w:val="00C52725"/>
    <w:rsid w:val="00C528CA"/>
    <w:rsid w:val="00C52972"/>
    <w:rsid w:val="00C5301B"/>
    <w:rsid w:val="00C53104"/>
    <w:rsid w:val="00C534B2"/>
    <w:rsid w:val="00C53853"/>
    <w:rsid w:val="00C53868"/>
    <w:rsid w:val="00C53D45"/>
    <w:rsid w:val="00C541C2"/>
    <w:rsid w:val="00C542E0"/>
    <w:rsid w:val="00C54344"/>
    <w:rsid w:val="00C54443"/>
    <w:rsid w:val="00C54864"/>
    <w:rsid w:val="00C54D34"/>
    <w:rsid w:val="00C54EEB"/>
    <w:rsid w:val="00C55302"/>
    <w:rsid w:val="00C559E2"/>
    <w:rsid w:val="00C55A11"/>
    <w:rsid w:val="00C55D24"/>
    <w:rsid w:val="00C55D78"/>
    <w:rsid w:val="00C55DBA"/>
    <w:rsid w:val="00C56188"/>
    <w:rsid w:val="00C563AD"/>
    <w:rsid w:val="00C5644C"/>
    <w:rsid w:val="00C5648A"/>
    <w:rsid w:val="00C56D45"/>
    <w:rsid w:val="00C570DF"/>
    <w:rsid w:val="00C57113"/>
    <w:rsid w:val="00C5737B"/>
    <w:rsid w:val="00C575AF"/>
    <w:rsid w:val="00C57671"/>
    <w:rsid w:val="00C576C4"/>
    <w:rsid w:val="00C57847"/>
    <w:rsid w:val="00C57BF4"/>
    <w:rsid w:val="00C57C52"/>
    <w:rsid w:val="00C57D2A"/>
    <w:rsid w:val="00C57D40"/>
    <w:rsid w:val="00C57E4E"/>
    <w:rsid w:val="00C57EB7"/>
    <w:rsid w:val="00C60983"/>
    <w:rsid w:val="00C60A4A"/>
    <w:rsid w:val="00C60D02"/>
    <w:rsid w:val="00C60F45"/>
    <w:rsid w:val="00C61379"/>
    <w:rsid w:val="00C61733"/>
    <w:rsid w:val="00C61E94"/>
    <w:rsid w:val="00C61F85"/>
    <w:rsid w:val="00C61FE8"/>
    <w:rsid w:val="00C6242E"/>
    <w:rsid w:val="00C62474"/>
    <w:rsid w:val="00C624A0"/>
    <w:rsid w:val="00C62557"/>
    <w:rsid w:val="00C62569"/>
    <w:rsid w:val="00C629E1"/>
    <w:rsid w:val="00C62C82"/>
    <w:rsid w:val="00C62DB2"/>
    <w:rsid w:val="00C62E60"/>
    <w:rsid w:val="00C630DC"/>
    <w:rsid w:val="00C632A4"/>
    <w:rsid w:val="00C6330C"/>
    <w:rsid w:val="00C636CC"/>
    <w:rsid w:val="00C639DA"/>
    <w:rsid w:val="00C63FF3"/>
    <w:rsid w:val="00C64504"/>
    <w:rsid w:val="00C647E2"/>
    <w:rsid w:val="00C64C52"/>
    <w:rsid w:val="00C64D62"/>
    <w:rsid w:val="00C64D7B"/>
    <w:rsid w:val="00C65259"/>
    <w:rsid w:val="00C65476"/>
    <w:rsid w:val="00C655A0"/>
    <w:rsid w:val="00C655FD"/>
    <w:rsid w:val="00C658AC"/>
    <w:rsid w:val="00C658DF"/>
    <w:rsid w:val="00C65A6F"/>
    <w:rsid w:val="00C65D4E"/>
    <w:rsid w:val="00C65EFA"/>
    <w:rsid w:val="00C6611B"/>
    <w:rsid w:val="00C66151"/>
    <w:rsid w:val="00C66455"/>
    <w:rsid w:val="00C6693A"/>
    <w:rsid w:val="00C66EBD"/>
    <w:rsid w:val="00C66F3D"/>
    <w:rsid w:val="00C67200"/>
    <w:rsid w:val="00C675B7"/>
    <w:rsid w:val="00C6764E"/>
    <w:rsid w:val="00C6784F"/>
    <w:rsid w:val="00C6798F"/>
    <w:rsid w:val="00C67EF5"/>
    <w:rsid w:val="00C7000F"/>
    <w:rsid w:val="00C70253"/>
    <w:rsid w:val="00C705EF"/>
    <w:rsid w:val="00C707B2"/>
    <w:rsid w:val="00C7086B"/>
    <w:rsid w:val="00C70918"/>
    <w:rsid w:val="00C70988"/>
    <w:rsid w:val="00C71867"/>
    <w:rsid w:val="00C71B1E"/>
    <w:rsid w:val="00C71B91"/>
    <w:rsid w:val="00C71D63"/>
    <w:rsid w:val="00C71FE7"/>
    <w:rsid w:val="00C72311"/>
    <w:rsid w:val="00C723BC"/>
    <w:rsid w:val="00C72E0F"/>
    <w:rsid w:val="00C731A2"/>
    <w:rsid w:val="00C73214"/>
    <w:rsid w:val="00C73413"/>
    <w:rsid w:val="00C7344B"/>
    <w:rsid w:val="00C73604"/>
    <w:rsid w:val="00C73A87"/>
    <w:rsid w:val="00C73A88"/>
    <w:rsid w:val="00C73BE3"/>
    <w:rsid w:val="00C73E30"/>
    <w:rsid w:val="00C74249"/>
    <w:rsid w:val="00C74C07"/>
    <w:rsid w:val="00C753E1"/>
    <w:rsid w:val="00C754AA"/>
    <w:rsid w:val="00C759AA"/>
    <w:rsid w:val="00C75A41"/>
    <w:rsid w:val="00C75B54"/>
    <w:rsid w:val="00C75B6E"/>
    <w:rsid w:val="00C75CD9"/>
    <w:rsid w:val="00C75E84"/>
    <w:rsid w:val="00C75F99"/>
    <w:rsid w:val="00C76053"/>
    <w:rsid w:val="00C760FB"/>
    <w:rsid w:val="00C76120"/>
    <w:rsid w:val="00C7624D"/>
    <w:rsid w:val="00C763F4"/>
    <w:rsid w:val="00C764F0"/>
    <w:rsid w:val="00C76560"/>
    <w:rsid w:val="00C7670A"/>
    <w:rsid w:val="00C7679B"/>
    <w:rsid w:val="00C76810"/>
    <w:rsid w:val="00C76974"/>
    <w:rsid w:val="00C76C89"/>
    <w:rsid w:val="00C76DA7"/>
    <w:rsid w:val="00C77399"/>
    <w:rsid w:val="00C77507"/>
    <w:rsid w:val="00C775CA"/>
    <w:rsid w:val="00C775FC"/>
    <w:rsid w:val="00C7787C"/>
    <w:rsid w:val="00C77C17"/>
    <w:rsid w:val="00C77D6E"/>
    <w:rsid w:val="00C77EB8"/>
    <w:rsid w:val="00C77EC6"/>
    <w:rsid w:val="00C80249"/>
    <w:rsid w:val="00C803C0"/>
    <w:rsid w:val="00C80640"/>
    <w:rsid w:val="00C8096A"/>
    <w:rsid w:val="00C80C0D"/>
    <w:rsid w:val="00C80EA6"/>
    <w:rsid w:val="00C8117C"/>
    <w:rsid w:val="00C813C5"/>
    <w:rsid w:val="00C81417"/>
    <w:rsid w:val="00C816A1"/>
    <w:rsid w:val="00C81855"/>
    <w:rsid w:val="00C818CE"/>
    <w:rsid w:val="00C81BE4"/>
    <w:rsid w:val="00C81BEB"/>
    <w:rsid w:val="00C81F40"/>
    <w:rsid w:val="00C8213B"/>
    <w:rsid w:val="00C82298"/>
    <w:rsid w:val="00C822EE"/>
    <w:rsid w:val="00C82398"/>
    <w:rsid w:val="00C8267D"/>
    <w:rsid w:val="00C82741"/>
    <w:rsid w:val="00C82A9B"/>
    <w:rsid w:val="00C82D9E"/>
    <w:rsid w:val="00C8314D"/>
    <w:rsid w:val="00C834B6"/>
    <w:rsid w:val="00C8397E"/>
    <w:rsid w:val="00C83D34"/>
    <w:rsid w:val="00C83EA1"/>
    <w:rsid w:val="00C84663"/>
    <w:rsid w:val="00C846E7"/>
    <w:rsid w:val="00C84797"/>
    <w:rsid w:val="00C84811"/>
    <w:rsid w:val="00C84884"/>
    <w:rsid w:val="00C8493D"/>
    <w:rsid w:val="00C84B41"/>
    <w:rsid w:val="00C84D97"/>
    <w:rsid w:val="00C84F9D"/>
    <w:rsid w:val="00C8503D"/>
    <w:rsid w:val="00C85544"/>
    <w:rsid w:val="00C857D4"/>
    <w:rsid w:val="00C85859"/>
    <w:rsid w:val="00C8597A"/>
    <w:rsid w:val="00C85A1E"/>
    <w:rsid w:val="00C85F58"/>
    <w:rsid w:val="00C86017"/>
    <w:rsid w:val="00C86224"/>
    <w:rsid w:val="00C86396"/>
    <w:rsid w:val="00C865C6"/>
    <w:rsid w:val="00C86AEC"/>
    <w:rsid w:val="00C86B7E"/>
    <w:rsid w:val="00C86C22"/>
    <w:rsid w:val="00C870B0"/>
    <w:rsid w:val="00C871B6"/>
    <w:rsid w:val="00C87397"/>
    <w:rsid w:val="00C874FC"/>
    <w:rsid w:val="00C878B6"/>
    <w:rsid w:val="00C87938"/>
    <w:rsid w:val="00C87ADD"/>
    <w:rsid w:val="00C87DEC"/>
    <w:rsid w:val="00C87E36"/>
    <w:rsid w:val="00C9014B"/>
    <w:rsid w:val="00C9037E"/>
    <w:rsid w:val="00C9052C"/>
    <w:rsid w:val="00C9062A"/>
    <w:rsid w:val="00C907B7"/>
    <w:rsid w:val="00C908AF"/>
    <w:rsid w:val="00C90B9A"/>
    <w:rsid w:val="00C90C37"/>
    <w:rsid w:val="00C90D8E"/>
    <w:rsid w:val="00C90D97"/>
    <w:rsid w:val="00C90DB4"/>
    <w:rsid w:val="00C90DBF"/>
    <w:rsid w:val="00C90FE0"/>
    <w:rsid w:val="00C9125B"/>
    <w:rsid w:val="00C91328"/>
    <w:rsid w:val="00C91B77"/>
    <w:rsid w:val="00C91FA8"/>
    <w:rsid w:val="00C92B72"/>
    <w:rsid w:val="00C92C25"/>
    <w:rsid w:val="00C92C27"/>
    <w:rsid w:val="00C92D89"/>
    <w:rsid w:val="00C92EB9"/>
    <w:rsid w:val="00C931D8"/>
    <w:rsid w:val="00C93517"/>
    <w:rsid w:val="00C93722"/>
    <w:rsid w:val="00C939BE"/>
    <w:rsid w:val="00C93A76"/>
    <w:rsid w:val="00C940EE"/>
    <w:rsid w:val="00C94606"/>
    <w:rsid w:val="00C9478F"/>
    <w:rsid w:val="00C9486F"/>
    <w:rsid w:val="00C94937"/>
    <w:rsid w:val="00C94A8E"/>
    <w:rsid w:val="00C94BE7"/>
    <w:rsid w:val="00C94C38"/>
    <w:rsid w:val="00C94F4B"/>
    <w:rsid w:val="00C95832"/>
    <w:rsid w:val="00C95DAA"/>
    <w:rsid w:val="00C9661D"/>
    <w:rsid w:val="00C96A91"/>
    <w:rsid w:val="00C96DA7"/>
    <w:rsid w:val="00C96ED2"/>
    <w:rsid w:val="00C96EDA"/>
    <w:rsid w:val="00C96FCD"/>
    <w:rsid w:val="00C97070"/>
    <w:rsid w:val="00C9740B"/>
    <w:rsid w:val="00C97784"/>
    <w:rsid w:val="00C97A32"/>
    <w:rsid w:val="00C97E1F"/>
    <w:rsid w:val="00C97F4E"/>
    <w:rsid w:val="00C97FE4"/>
    <w:rsid w:val="00CA0091"/>
    <w:rsid w:val="00CA0623"/>
    <w:rsid w:val="00CA07D8"/>
    <w:rsid w:val="00CA0849"/>
    <w:rsid w:val="00CA097E"/>
    <w:rsid w:val="00CA0A4F"/>
    <w:rsid w:val="00CA0FFA"/>
    <w:rsid w:val="00CA10A8"/>
    <w:rsid w:val="00CA11A2"/>
    <w:rsid w:val="00CA140D"/>
    <w:rsid w:val="00CA1563"/>
    <w:rsid w:val="00CA1688"/>
    <w:rsid w:val="00CA19B6"/>
    <w:rsid w:val="00CA1ABA"/>
    <w:rsid w:val="00CA1B44"/>
    <w:rsid w:val="00CA1E8D"/>
    <w:rsid w:val="00CA205D"/>
    <w:rsid w:val="00CA2110"/>
    <w:rsid w:val="00CA22E7"/>
    <w:rsid w:val="00CA2479"/>
    <w:rsid w:val="00CA259F"/>
    <w:rsid w:val="00CA27A7"/>
    <w:rsid w:val="00CA2892"/>
    <w:rsid w:val="00CA2AD5"/>
    <w:rsid w:val="00CA30A5"/>
    <w:rsid w:val="00CA30A8"/>
    <w:rsid w:val="00CA30B4"/>
    <w:rsid w:val="00CA34E2"/>
    <w:rsid w:val="00CA3701"/>
    <w:rsid w:val="00CA41A5"/>
    <w:rsid w:val="00CA4310"/>
    <w:rsid w:val="00CA43E2"/>
    <w:rsid w:val="00CA44DB"/>
    <w:rsid w:val="00CA45AB"/>
    <w:rsid w:val="00CA491F"/>
    <w:rsid w:val="00CA4ABA"/>
    <w:rsid w:val="00CA515C"/>
    <w:rsid w:val="00CA543C"/>
    <w:rsid w:val="00CA55C7"/>
    <w:rsid w:val="00CA563B"/>
    <w:rsid w:val="00CA59AD"/>
    <w:rsid w:val="00CA59DF"/>
    <w:rsid w:val="00CA5B47"/>
    <w:rsid w:val="00CA5D2E"/>
    <w:rsid w:val="00CA65A4"/>
    <w:rsid w:val="00CA6645"/>
    <w:rsid w:val="00CA66A7"/>
    <w:rsid w:val="00CA6DDD"/>
    <w:rsid w:val="00CA70AA"/>
    <w:rsid w:val="00CA772E"/>
    <w:rsid w:val="00CA78FA"/>
    <w:rsid w:val="00CA798E"/>
    <w:rsid w:val="00CA7C43"/>
    <w:rsid w:val="00CA7CFF"/>
    <w:rsid w:val="00CA7D8F"/>
    <w:rsid w:val="00CA7E0B"/>
    <w:rsid w:val="00CA7E8A"/>
    <w:rsid w:val="00CA7E90"/>
    <w:rsid w:val="00CB01F9"/>
    <w:rsid w:val="00CB029E"/>
    <w:rsid w:val="00CB032D"/>
    <w:rsid w:val="00CB0511"/>
    <w:rsid w:val="00CB0966"/>
    <w:rsid w:val="00CB0AF9"/>
    <w:rsid w:val="00CB0BF2"/>
    <w:rsid w:val="00CB0C06"/>
    <w:rsid w:val="00CB0D52"/>
    <w:rsid w:val="00CB0FD2"/>
    <w:rsid w:val="00CB10BC"/>
    <w:rsid w:val="00CB113C"/>
    <w:rsid w:val="00CB129F"/>
    <w:rsid w:val="00CB153D"/>
    <w:rsid w:val="00CB1576"/>
    <w:rsid w:val="00CB15E0"/>
    <w:rsid w:val="00CB16F3"/>
    <w:rsid w:val="00CB1B63"/>
    <w:rsid w:val="00CB1BA5"/>
    <w:rsid w:val="00CB1D3A"/>
    <w:rsid w:val="00CB215F"/>
    <w:rsid w:val="00CB22FE"/>
    <w:rsid w:val="00CB236C"/>
    <w:rsid w:val="00CB239F"/>
    <w:rsid w:val="00CB2640"/>
    <w:rsid w:val="00CB2D8D"/>
    <w:rsid w:val="00CB2DDD"/>
    <w:rsid w:val="00CB2E6E"/>
    <w:rsid w:val="00CB2F1F"/>
    <w:rsid w:val="00CB305C"/>
    <w:rsid w:val="00CB3087"/>
    <w:rsid w:val="00CB30A2"/>
    <w:rsid w:val="00CB3268"/>
    <w:rsid w:val="00CB333B"/>
    <w:rsid w:val="00CB37EC"/>
    <w:rsid w:val="00CB3A35"/>
    <w:rsid w:val="00CB3B8B"/>
    <w:rsid w:val="00CB4016"/>
    <w:rsid w:val="00CB40A0"/>
    <w:rsid w:val="00CB41DC"/>
    <w:rsid w:val="00CB43C9"/>
    <w:rsid w:val="00CB4523"/>
    <w:rsid w:val="00CB478D"/>
    <w:rsid w:val="00CB4793"/>
    <w:rsid w:val="00CB48C3"/>
    <w:rsid w:val="00CB4C8B"/>
    <w:rsid w:val="00CB4CA0"/>
    <w:rsid w:val="00CB4DC9"/>
    <w:rsid w:val="00CB52EA"/>
    <w:rsid w:val="00CB5944"/>
    <w:rsid w:val="00CB5AB2"/>
    <w:rsid w:val="00CB5B23"/>
    <w:rsid w:val="00CB5D0D"/>
    <w:rsid w:val="00CB5D85"/>
    <w:rsid w:val="00CB5F97"/>
    <w:rsid w:val="00CB62B9"/>
    <w:rsid w:val="00CB6428"/>
    <w:rsid w:val="00CB6720"/>
    <w:rsid w:val="00CB6B27"/>
    <w:rsid w:val="00CB6EC0"/>
    <w:rsid w:val="00CB7058"/>
    <w:rsid w:val="00CB72E5"/>
    <w:rsid w:val="00CB7399"/>
    <w:rsid w:val="00CB77A3"/>
    <w:rsid w:val="00CB7B91"/>
    <w:rsid w:val="00CB7BFC"/>
    <w:rsid w:val="00CB7E66"/>
    <w:rsid w:val="00CC0381"/>
    <w:rsid w:val="00CC04C2"/>
    <w:rsid w:val="00CC0696"/>
    <w:rsid w:val="00CC0D1C"/>
    <w:rsid w:val="00CC0E9F"/>
    <w:rsid w:val="00CC0EA5"/>
    <w:rsid w:val="00CC127C"/>
    <w:rsid w:val="00CC12ED"/>
    <w:rsid w:val="00CC13C0"/>
    <w:rsid w:val="00CC15B5"/>
    <w:rsid w:val="00CC1C64"/>
    <w:rsid w:val="00CC20BD"/>
    <w:rsid w:val="00CC223E"/>
    <w:rsid w:val="00CC2496"/>
    <w:rsid w:val="00CC25A7"/>
    <w:rsid w:val="00CC268D"/>
    <w:rsid w:val="00CC2703"/>
    <w:rsid w:val="00CC2918"/>
    <w:rsid w:val="00CC2D94"/>
    <w:rsid w:val="00CC2FA7"/>
    <w:rsid w:val="00CC31E4"/>
    <w:rsid w:val="00CC34D0"/>
    <w:rsid w:val="00CC36EF"/>
    <w:rsid w:val="00CC39FD"/>
    <w:rsid w:val="00CC3A07"/>
    <w:rsid w:val="00CC3CCD"/>
    <w:rsid w:val="00CC3E43"/>
    <w:rsid w:val="00CC40C8"/>
    <w:rsid w:val="00CC41E4"/>
    <w:rsid w:val="00CC4383"/>
    <w:rsid w:val="00CC4416"/>
    <w:rsid w:val="00CC4424"/>
    <w:rsid w:val="00CC44B0"/>
    <w:rsid w:val="00CC463F"/>
    <w:rsid w:val="00CC4675"/>
    <w:rsid w:val="00CC4966"/>
    <w:rsid w:val="00CC4A15"/>
    <w:rsid w:val="00CC4F37"/>
    <w:rsid w:val="00CC55BB"/>
    <w:rsid w:val="00CC5634"/>
    <w:rsid w:val="00CC5861"/>
    <w:rsid w:val="00CC5869"/>
    <w:rsid w:val="00CC58D1"/>
    <w:rsid w:val="00CC5EB8"/>
    <w:rsid w:val="00CC5FCE"/>
    <w:rsid w:val="00CC602F"/>
    <w:rsid w:val="00CC612E"/>
    <w:rsid w:val="00CC620B"/>
    <w:rsid w:val="00CC62BB"/>
    <w:rsid w:val="00CC62E6"/>
    <w:rsid w:val="00CC6899"/>
    <w:rsid w:val="00CC68A4"/>
    <w:rsid w:val="00CC690A"/>
    <w:rsid w:val="00CC6CC0"/>
    <w:rsid w:val="00CC6EBD"/>
    <w:rsid w:val="00CC7201"/>
    <w:rsid w:val="00CC7320"/>
    <w:rsid w:val="00CC73B7"/>
    <w:rsid w:val="00CC7482"/>
    <w:rsid w:val="00CC78F3"/>
    <w:rsid w:val="00CC7963"/>
    <w:rsid w:val="00CC79F2"/>
    <w:rsid w:val="00CD026C"/>
    <w:rsid w:val="00CD029F"/>
    <w:rsid w:val="00CD02EA"/>
    <w:rsid w:val="00CD037C"/>
    <w:rsid w:val="00CD0600"/>
    <w:rsid w:val="00CD06A8"/>
    <w:rsid w:val="00CD06E1"/>
    <w:rsid w:val="00CD09E1"/>
    <w:rsid w:val="00CD0C09"/>
    <w:rsid w:val="00CD0C48"/>
    <w:rsid w:val="00CD116C"/>
    <w:rsid w:val="00CD145F"/>
    <w:rsid w:val="00CD1571"/>
    <w:rsid w:val="00CD1632"/>
    <w:rsid w:val="00CD16D9"/>
    <w:rsid w:val="00CD1A03"/>
    <w:rsid w:val="00CD1BAB"/>
    <w:rsid w:val="00CD1C75"/>
    <w:rsid w:val="00CD1DD6"/>
    <w:rsid w:val="00CD1F19"/>
    <w:rsid w:val="00CD1F53"/>
    <w:rsid w:val="00CD1F9D"/>
    <w:rsid w:val="00CD2173"/>
    <w:rsid w:val="00CD218C"/>
    <w:rsid w:val="00CD2220"/>
    <w:rsid w:val="00CD228E"/>
    <w:rsid w:val="00CD2364"/>
    <w:rsid w:val="00CD2BD6"/>
    <w:rsid w:val="00CD2C07"/>
    <w:rsid w:val="00CD2D63"/>
    <w:rsid w:val="00CD2FF2"/>
    <w:rsid w:val="00CD358F"/>
    <w:rsid w:val="00CD3D87"/>
    <w:rsid w:val="00CD3DAB"/>
    <w:rsid w:val="00CD3EA8"/>
    <w:rsid w:val="00CD4038"/>
    <w:rsid w:val="00CD4191"/>
    <w:rsid w:val="00CD426A"/>
    <w:rsid w:val="00CD4998"/>
    <w:rsid w:val="00CD4ABB"/>
    <w:rsid w:val="00CD4D73"/>
    <w:rsid w:val="00CD4E60"/>
    <w:rsid w:val="00CD5559"/>
    <w:rsid w:val="00CD5574"/>
    <w:rsid w:val="00CD55F6"/>
    <w:rsid w:val="00CD56A8"/>
    <w:rsid w:val="00CD5C8A"/>
    <w:rsid w:val="00CD5D53"/>
    <w:rsid w:val="00CD5FAC"/>
    <w:rsid w:val="00CD657E"/>
    <w:rsid w:val="00CD6900"/>
    <w:rsid w:val="00CD6FF8"/>
    <w:rsid w:val="00CD7155"/>
    <w:rsid w:val="00CD7238"/>
    <w:rsid w:val="00CD744E"/>
    <w:rsid w:val="00CD7487"/>
    <w:rsid w:val="00CD7507"/>
    <w:rsid w:val="00CD7785"/>
    <w:rsid w:val="00CD79B0"/>
    <w:rsid w:val="00CD7C64"/>
    <w:rsid w:val="00CD7E18"/>
    <w:rsid w:val="00CE0079"/>
    <w:rsid w:val="00CE0A77"/>
    <w:rsid w:val="00CE0C2E"/>
    <w:rsid w:val="00CE13F6"/>
    <w:rsid w:val="00CE14F5"/>
    <w:rsid w:val="00CE1544"/>
    <w:rsid w:val="00CE1786"/>
    <w:rsid w:val="00CE19D6"/>
    <w:rsid w:val="00CE1AC3"/>
    <w:rsid w:val="00CE1C46"/>
    <w:rsid w:val="00CE1F81"/>
    <w:rsid w:val="00CE1FD8"/>
    <w:rsid w:val="00CE2282"/>
    <w:rsid w:val="00CE25BA"/>
    <w:rsid w:val="00CE27BE"/>
    <w:rsid w:val="00CE2F06"/>
    <w:rsid w:val="00CE3012"/>
    <w:rsid w:val="00CE3065"/>
    <w:rsid w:val="00CE3199"/>
    <w:rsid w:val="00CE31DC"/>
    <w:rsid w:val="00CE341A"/>
    <w:rsid w:val="00CE345D"/>
    <w:rsid w:val="00CE34CD"/>
    <w:rsid w:val="00CE3B3A"/>
    <w:rsid w:val="00CE4156"/>
    <w:rsid w:val="00CE4236"/>
    <w:rsid w:val="00CE435E"/>
    <w:rsid w:val="00CE435F"/>
    <w:rsid w:val="00CE4E2D"/>
    <w:rsid w:val="00CE50CC"/>
    <w:rsid w:val="00CE50F0"/>
    <w:rsid w:val="00CE526E"/>
    <w:rsid w:val="00CE53F5"/>
    <w:rsid w:val="00CE5614"/>
    <w:rsid w:val="00CE5727"/>
    <w:rsid w:val="00CE57B7"/>
    <w:rsid w:val="00CE592F"/>
    <w:rsid w:val="00CE595E"/>
    <w:rsid w:val="00CE5C3D"/>
    <w:rsid w:val="00CE60CC"/>
    <w:rsid w:val="00CE642C"/>
    <w:rsid w:val="00CE65B8"/>
    <w:rsid w:val="00CE6A30"/>
    <w:rsid w:val="00CE6C04"/>
    <w:rsid w:val="00CE6D0A"/>
    <w:rsid w:val="00CE6D50"/>
    <w:rsid w:val="00CE7021"/>
    <w:rsid w:val="00CE727C"/>
    <w:rsid w:val="00CE72E0"/>
    <w:rsid w:val="00CE73A0"/>
    <w:rsid w:val="00CE7805"/>
    <w:rsid w:val="00CE7930"/>
    <w:rsid w:val="00CE7A1F"/>
    <w:rsid w:val="00CE7C3C"/>
    <w:rsid w:val="00CE7C94"/>
    <w:rsid w:val="00CF027E"/>
    <w:rsid w:val="00CF0A71"/>
    <w:rsid w:val="00CF0AA8"/>
    <w:rsid w:val="00CF103F"/>
    <w:rsid w:val="00CF10EB"/>
    <w:rsid w:val="00CF14C6"/>
    <w:rsid w:val="00CF1619"/>
    <w:rsid w:val="00CF166F"/>
    <w:rsid w:val="00CF1B79"/>
    <w:rsid w:val="00CF1D23"/>
    <w:rsid w:val="00CF20F3"/>
    <w:rsid w:val="00CF21B8"/>
    <w:rsid w:val="00CF21D0"/>
    <w:rsid w:val="00CF2210"/>
    <w:rsid w:val="00CF2725"/>
    <w:rsid w:val="00CF2D4A"/>
    <w:rsid w:val="00CF2ED4"/>
    <w:rsid w:val="00CF2EE3"/>
    <w:rsid w:val="00CF2FFA"/>
    <w:rsid w:val="00CF3066"/>
    <w:rsid w:val="00CF3338"/>
    <w:rsid w:val="00CF3643"/>
    <w:rsid w:val="00CF3745"/>
    <w:rsid w:val="00CF37E1"/>
    <w:rsid w:val="00CF3A70"/>
    <w:rsid w:val="00CF4621"/>
    <w:rsid w:val="00CF4ADD"/>
    <w:rsid w:val="00CF4D42"/>
    <w:rsid w:val="00CF5494"/>
    <w:rsid w:val="00CF54DE"/>
    <w:rsid w:val="00CF55D3"/>
    <w:rsid w:val="00CF586D"/>
    <w:rsid w:val="00CF58EE"/>
    <w:rsid w:val="00CF59C9"/>
    <w:rsid w:val="00CF5E3F"/>
    <w:rsid w:val="00CF62B5"/>
    <w:rsid w:val="00CF6424"/>
    <w:rsid w:val="00CF6583"/>
    <w:rsid w:val="00CF6584"/>
    <w:rsid w:val="00CF667E"/>
    <w:rsid w:val="00CF6798"/>
    <w:rsid w:val="00CF682F"/>
    <w:rsid w:val="00CF68BC"/>
    <w:rsid w:val="00CF6902"/>
    <w:rsid w:val="00CF696B"/>
    <w:rsid w:val="00CF6FD2"/>
    <w:rsid w:val="00CF70E0"/>
    <w:rsid w:val="00CF7230"/>
    <w:rsid w:val="00CF7288"/>
    <w:rsid w:val="00CF7328"/>
    <w:rsid w:val="00CF73C8"/>
    <w:rsid w:val="00CF73D0"/>
    <w:rsid w:val="00CF7406"/>
    <w:rsid w:val="00CF7464"/>
    <w:rsid w:val="00CF7572"/>
    <w:rsid w:val="00CF763E"/>
    <w:rsid w:val="00CF7698"/>
    <w:rsid w:val="00CF76D0"/>
    <w:rsid w:val="00CF798C"/>
    <w:rsid w:val="00CF7B80"/>
    <w:rsid w:val="00CF7D2B"/>
    <w:rsid w:val="00D00547"/>
    <w:rsid w:val="00D00906"/>
    <w:rsid w:val="00D00964"/>
    <w:rsid w:val="00D009B9"/>
    <w:rsid w:val="00D0100C"/>
    <w:rsid w:val="00D01406"/>
    <w:rsid w:val="00D01443"/>
    <w:rsid w:val="00D015A7"/>
    <w:rsid w:val="00D01AFD"/>
    <w:rsid w:val="00D01B23"/>
    <w:rsid w:val="00D01F7D"/>
    <w:rsid w:val="00D02204"/>
    <w:rsid w:val="00D0225F"/>
    <w:rsid w:val="00D023E0"/>
    <w:rsid w:val="00D027F6"/>
    <w:rsid w:val="00D02981"/>
    <w:rsid w:val="00D02A41"/>
    <w:rsid w:val="00D02A8A"/>
    <w:rsid w:val="00D02C06"/>
    <w:rsid w:val="00D02DBF"/>
    <w:rsid w:val="00D02E3E"/>
    <w:rsid w:val="00D03083"/>
    <w:rsid w:val="00D030DC"/>
    <w:rsid w:val="00D0321E"/>
    <w:rsid w:val="00D0330C"/>
    <w:rsid w:val="00D034D4"/>
    <w:rsid w:val="00D03683"/>
    <w:rsid w:val="00D03711"/>
    <w:rsid w:val="00D03D9C"/>
    <w:rsid w:val="00D0412C"/>
    <w:rsid w:val="00D042E3"/>
    <w:rsid w:val="00D0483B"/>
    <w:rsid w:val="00D048AC"/>
    <w:rsid w:val="00D04912"/>
    <w:rsid w:val="00D049E5"/>
    <w:rsid w:val="00D04B60"/>
    <w:rsid w:val="00D04D8A"/>
    <w:rsid w:val="00D05381"/>
    <w:rsid w:val="00D0550A"/>
    <w:rsid w:val="00D055DA"/>
    <w:rsid w:val="00D055EC"/>
    <w:rsid w:val="00D056B6"/>
    <w:rsid w:val="00D057BD"/>
    <w:rsid w:val="00D05889"/>
    <w:rsid w:val="00D05C4B"/>
    <w:rsid w:val="00D05DA9"/>
    <w:rsid w:val="00D05EFB"/>
    <w:rsid w:val="00D0604C"/>
    <w:rsid w:val="00D066C2"/>
    <w:rsid w:val="00D067C7"/>
    <w:rsid w:val="00D068D0"/>
    <w:rsid w:val="00D06D62"/>
    <w:rsid w:val="00D06DAB"/>
    <w:rsid w:val="00D074CF"/>
    <w:rsid w:val="00D076F7"/>
    <w:rsid w:val="00D079A9"/>
    <w:rsid w:val="00D07ED9"/>
    <w:rsid w:val="00D07FE4"/>
    <w:rsid w:val="00D10436"/>
    <w:rsid w:val="00D108A9"/>
    <w:rsid w:val="00D1092A"/>
    <w:rsid w:val="00D10ADD"/>
    <w:rsid w:val="00D10BB7"/>
    <w:rsid w:val="00D10DFC"/>
    <w:rsid w:val="00D10FC8"/>
    <w:rsid w:val="00D111C3"/>
    <w:rsid w:val="00D112C5"/>
    <w:rsid w:val="00D113B2"/>
    <w:rsid w:val="00D115E4"/>
    <w:rsid w:val="00D1182E"/>
    <w:rsid w:val="00D119AC"/>
    <w:rsid w:val="00D11BA0"/>
    <w:rsid w:val="00D11E41"/>
    <w:rsid w:val="00D1288A"/>
    <w:rsid w:val="00D135E5"/>
    <w:rsid w:val="00D13616"/>
    <w:rsid w:val="00D1374F"/>
    <w:rsid w:val="00D13AF4"/>
    <w:rsid w:val="00D13C58"/>
    <w:rsid w:val="00D13DD3"/>
    <w:rsid w:val="00D13E6A"/>
    <w:rsid w:val="00D14055"/>
    <w:rsid w:val="00D14617"/>
    <w:rsid w:val="00D14B03"/>
    <w:rsid w:val="00D14C4F"/>
    <w:rsid w:val="00D14EA5"/>
    <w:rsid w:val="00D14EFE"/>
    <w:rsid w:val="00D14F2C"/>
    <w:rsid w:val="00D15005"/>
    <w:rsid w:val="00D15020"/>
    <w:rsid w:val="00D156D8"/>
    <w:rsid w:val="00D15717"/>
    <w:rsid w:val="00D15B7D"/>
    <w:rsid w:val="00D15DE9"/>
    <w:rsid w:val="00D1638E"/>
    <w:rsid w:val="00D163D5"/>
    <w:rsid w:val="00D16922"/>
    <w:rsid w:val="00D16A27"/>
    <w:rsid w:val="00D16B10"/>
    <w:rsid w:val="00D16BB3"/>
    <w:rsid w:val="00D16BCA"/>
    <w:rsid w:val="00D17284"/>
    <w:rsid w:val="00D1761B"/>
    <w:rsid w:val="00D17662"/>
    <w:rsid w:val="00D176E9"/>
    <w:rsid w:val="00D17841"/>
    <w:rsid w:val="00D17AD3"/>
    <w:rsid w:val="00D17E44"/>
    <w:rsid w:val="00D17E97"/>
    <w:rsid w:val="00D2007E"/>
    <w:rsid w:val="00D201ED"/>
    <w:rsid w:val="00D202CA"/>
    <w:rsid w:val="00D202D7"/>
    <w:rsid w:val="00D20564"/>
    <w:rsid w:val="00D20843"/>
    <w:rsid w:val="00D20C0D"/>
    <w:rsid w:val="00D20C36"/>
    <w:rsid w:val="00D20DB2"/>
    <w:rsid w:val="00D211CA"/>
    <w:rsid w:val="00D213C2"/>
    <w:rsid w:val="00D21488"/>
    <w:rsid w:val="00D216C8"/>
    <w:rsid w:val="00D217D6"/>
    <w:rsid w:val="00D21914"/>
    <w:rsid w:val="00D219AD"/>
    <w:rsid w:val="00D21ABF"/>
    <w:rsid w:val="00D2201E"/>
    <w:rsid w:val="00D2213D"/>
    <w:rsid w:val="00D223A9"/>
    <w:rsid w:val="00D22855"/>
    <w:rsid w:val="00D22A73"/>
    <w:rsid w:val="00D22E8F"/>
    <w:rsid w:val="00D22EC8"/>
    <w:rsid w:val="00D23304"/>
    <w:rsid w:val="00D2332A"/>
    <w:rsid w:val="00D234F7"/>
    <w:rsid w:val="00D2388B"/>
    <w:rsid w:val="00D23AC1"/>
    <w:rsid w:val="00D23CF6"/>
    <w:rsid w:val="00D23E5F"/>
    <w:rsid w:val="00D23F2A"/>
    <w:rsid w:val="00D24019"/>
    <w:rsid w:val="00D244E6"/>
    <w:rsid w:val="00D24682"/>
    <w:rsid w:val="00D24769"/>
    <w:rsid w:val="00D2489B"/>
    <w:rsid w:val="00D24D0E"/>
    <w:rsid w:val="00D24F6F"/>
    <w:rsid w:val="00D25304"/>
    <w:rsid w:val="00D25431"/>
    <w:rsid w:val="00D2545B"/>
    <w:rsid w:val="00D2562C"/>
    <w:rsid w:val="00D257A3"/>
    <w:rsid w:val="00D258C0"/>
    <w:rsid w:val="00D25B5E"/>
    <w:rsid w:val="00D25D67"/>
    <w:rsid w:val="00D25DAF"/>
    <w:rsid w:val="00D261B6"/>
    <w:rsid w:val="00D2631B"/>
    <w:rsid w:val="00D2642D"/>
    <w:rsid w:val="00D26432"/>
    <w:rsid w:val="00D265D3"/>
    <w:rsid w:val="00D26613"/>
    <w:rsid w:val="00D26A95"/>
    <w:rsid w:val="00D26AED"/>
    <w:rsid w:val="00D26B76"/>
    <w:rsid w:val="00D277E1"/>
    <w:rsid w:val="00D27B0F"/>
    <w:rsid w:val="00D27C3F"/>
    <w:rsid w:val="00D27C94"/>
    <w:rsid w:val="00D27D63"/>
    <w:rsid w:val="00D30064"/>
    <w:rsid w:val="00D303E2"/>
    <w:rsid w:val="00D3044E"/>
    <w:rsid w:val="00D30474"/>
    <w:rsid w:val="00D3050B"/>
    <w:rsid w:val="00D30BC2"/>
    <w:rsid w:val="00D30DD8"/>
    <w:rsid w:val="00D30F4D"/>
    <w:rsid w:val="00D31045"/>
    <w:rsid w:val="00D31079"/>
    <w:rsid w:val="00D312F9"/>
    <w:rsid w:val="00D315D8"/>
    <w:rsid w:val="00D319C1"/>
    <w:rsid w:val="00D319E0"/>
    <w:rsid w:val="00D31BC5"/>
    <w:rsid w:val="00D31BC6"/>
    <w:rsid w:val="00D31BE0"/>
    <w:rsid w:val="00D31D07"/>
    <w:rsid w:val="00D32200"/>
    <w:rsid w:val="00D32430"/>
    <w:rsid w:val="00D327BA"/>
    <w:rsid w:val="00D329C0"/>
    <w:rsid w:val="00D32CF5"/>
    <w:rsid w:val="00D32FB0"/>
    <w:rsid w:val="00D33007"/>
    <w:rsid w:val="00D331B3"/>
    <w:rsid w:val="00D33353"/>
    <w:rsid w:val="00D3335E"/>
    <w:rsid w:val="00D33C21"/>
    <w:rsid w:val="00D33D60"/>
    <w:rsid w:val="00D34049"/>
    <w:rsid w:val="00D34121"/>
    <w:rsid w:val="00D34238"/>
    <w:rsid w:val="00D34561"/>
    <w:rsid w:val="00D347F5"/>
    <w:rsid w:val="00D34839"/>
    <w:rsid w:val="00D348B7"/>
    <w:rsid w:val="00D34ACE"/>
    <w:rsid w:val="00D34B6F"/>
    <w:rsid w:val="00D34B7F"/>
    <w:rsid w:val="00D34CB0"/>
    <w:rsid w:val="00D34EF8"/>
    <w:rsid w:val="00D34F05"/>
    <w:rsid w:val="00D3524E"/>
    <w:rsid w:val="00D352F5"/>
    <w:rsid w:val="00D353E5"/>
    <w:rsid w:val="00D3542B"/>
    <w:rsid w:val="00D35688"/>
    <w:rsid w:val="00D356CA"/>
    <w:rsid w:val="00D35848"/>
    <w:rsid w:val="00D35887"/>
    <w:rsid w:val="00D35AD4"/>
    <w:rsid w:val="00D35DFC"/>
    <w:rsid w:val="00D35F7A"/>
    <w:rsid w:val="00D36113"/>
    <w:rsid w:val="00D3616B"/>
    <w:rsid w:val="00D361A6"/>
    <w:rsid w:val="00D3637C"/>
    <w:rsid w:val="00D363DF"/>
    <w:rsid w:val="00D3689D"/>
    <w:rsid w:val="00D36A8F"/>
    <w:rsid w:val="00D36DB3"/>
    <w:rsid w:val="00D36F9A"/>
    <w:rsid w:val="00D371BC"/>
    <w:rsid w:val="00D37722"/>
    <w:rsid w:val="00D3774A"/>
    <w:rsid w:val="00D37A6E"/>
    <w:rsid w:val="00D37C06"/>
    <w:rsid w:val="00D37E78"/>
    <w:rsid w:val="00D40005"/>
    <w:rsid w:val="00D40237"/>
    <w:rsid w:val="00D404F8"/>
    <w:rsid w:val="00D405C3"/>
    <w:rsid w:val="00D40FE4"/>
    <w:rsid w:val="00D41126"/>
    <w:rsid w:val="00D41419"/>
    <w:rsid w:val="00D418F9"/>
    <w:rsid w:val="00D41FF9"/>
    <w:rsid w:val="00D42042"/>
    <w:rsid w:val="00D423C2"/>
    <w:rsid w:val="00D423D7"/>
    <w:rsid w:val="00D42517"/>
    <w:rsid w:val="00D4299C"/>
    <w:rsid w:val="00D42CD5"/>
    <w:rsid w:val="00D42CE1"/>
    <w:rsid w:val="00D42E03"/>
    <w:rsid w:val="00D42E1A"/>
    <w:rsid w:val="00D42F9F"/>
    <w:rsid w:val="00D432A2"/>
    <w:rsid w:val="00D432E2"/>
    <w:rsid w:val="00D4354F"/>
    <w:rsid w:val="00D43596"/>
    <w:rsid w:val="00D4361A"/>
    <w:rsid w:val="00D4370C"/>
    <w:rsid w:val="00D4387D"/>
    <w:rsid w:val="00D43CA1"/>
    <w:rsid w:val="00D43E33"/>
    <w:rsid w:val="00D4413C"/>
    <w:rsid w:val="00D4421D"/>
    <w:rsid w:val="00D4436B"/>
    <w:rsid w:val="00D44414"/>
    <w:rsid w:val="00D447A0"/>
    <w:rsid w:val="00D44810"/>
    <w:rsid w:val="00D449FD"/>
    <w:rsid w:val="00D44A7D"/>
    <w:rsid w:val="00D44C3B"/>
    <w:rsid w:val="00D44C3C"/>
    <w:rsid w:val="00D44EEB"/>
    <w:rsid w:val="00D45196"/>
    <w:rsid w:val="00D45CC4"/>
    <w:rsid w:val="00D45FF5"/>
    <w:rsid w:val="00D4611E"/>
    <w:rsid w:val="00D46865"/>
    <w:rsid w:val="00D46A68"/>
    <w:rsid w:val="00D46FF3"/>
    <w:rsid w:val="00D47203"/>
    <w:rsid w:val="00D47762"/>
    <w:rsid w:val="00D4795A"/>
    <w:rsid w:val="00D4797F"/>
    <w:rsid w:val="00D479B1"/>
    <w:rsid w:val="00D479C5"/>
    <w:rsid w:val="00D47FF0"/>
    <w:rsid w:val="00D505C2"/>
    <w:rsid w:val="00D5069D"/>
    <w:rsid w:val="00D50872"/>
    <w:rsid w:val="00D50BF7"/>
    <w:rsid w:val="00D50D02"/>
    <w:rsid w:val="00D50D59"/>
    <w:rsid w:val="00D50DFD"/>
    <w:rsid w:val="00D50FCA"/>
    <w:rsid w:val="00D5104E"/>
    <w:rsid w:val="00D51149"/>
    <w:rsid w:val="00D5116B"/>
    <w:rsid w:val="00D51497"/>
    <w:rsid w:val="00D51623"/>
    <w:rsid w:val="00D51AD3"/>
    <w:rsid w:val="00D51C37"/>
    <w:rsid w:val="00D51E1D"/>
    <w:rsid w:val="00D51F3E"/>
    <w:rsid w:val="00D51F65"/>
    <w:rsid w:val="00D522D2"/>
    <w:rsid w:val="00D529A0"/>
    <w:rsid w:val="00D52E7B"/>
    <w:rsid w:val="00D52F15"/>
    <w:rsid w:val="00D5316A"/>
    <w:rsid w:val="00D53280"/>
    <w:rsid w:val="00D5353C"/>
    <w:rsid w:val="00D536EB"/>
    <w:rsid w:val="00D53A6F"/>
    <w:rsid w:val="00D53E54"/>
    <w:rsid w:val="00D54252"/>
    <w:rsid w:val="00D54327"/>
    <w:rsid w:val="00D5436F"/>
    <w:rsid w:val="00D544D6"/>
    <w:rsid w:val="00D54783"/>
    <w:rsid w:val="00D54801"/>
    <w:rsid w:val="00D54B2C"/>
    <w:rsid w:val="00D54BEC"/>
    <w:rsid w:val="00D54FBB"/>
    <w:rsid w:val="00D54FED"/>
    <w:rsid w:val="00D55275"/>
    <w:rsid w:val="00D55314"/>
    <w:rsid w:val="00D55562"/>
    <w:rsid w:val="00D5557E"/>
    <w:rsid w:val="00D55623"/>
    <w:rsid w:val="00D55A12"/>
    <w:rsid w:val="00D55D07"/>
    <w:rsid w:val="00D55E11"/>
    <w:rsid w:val="00D562B0"/>
    <w:rsid w:val="00D56694"/>
    <w:rsid w:val="00D568A5"/>
    <w:rsid w:val="00D568D0"/>
    <w:rsid w:val="00D56933"/>
    <w:rsid w:val="00D569FE"/>
    <w:rsid w:val="00D56EEC"/>
    <w:rsid w:val="00D56F67"/>
    <w:rsid w:val="00D5724D"/>
    <w:rsid w:val="00D57507"/>
    <w:rsid w:val="00D5757F"/>
    <w:rsid w:val="00D5764E"/>
    <w:rsid w:val="00D5776C"/>
    <w:rsid w:val="00D5778D"/>
    <w:rsid w:val="00D57B2A"/>
    <w:rsid w:val="00D57CBC"/>
    <w:rsid w:val="00D57E5D"/>
    <w:rsid w:val="00D57F6A"/>
    <w:rsid w:val="00D6034E"/>
    <w:rsid w:val="00D6035C"/>
    <w:rsid w:val="00D60442"/>
    <w:rsid w:val="00D6084D"/>
    <w:rsid w:val="00D60C23"/>
    <w:rsid w:val="00D60E4B"/>
    <w:rsid w:val="00D61411"/>
    <w:rsid w:val="00D61586"/>
    <w:rsid w:val="00D61796"/>
    <w:rsid w:val="00D61A75"/>
    <w:rsid w:val="00D61CA5"/>
    <w:rsid w:val="00D61FB9"/>
    <w:rsid w:val="00D62403"/>
    <w:rsid w:val="00D624BD"/>
    <w:rsid w:val="00D624D2"/>
    <w:rsid w:val="00D628C2"/>
    <w:rsid w:val="00D62B11"/>
    <w:rsid w:val="00D63340"/>
    <w:rsid w:val="00D635CB"/>
    <w:rsid w:val="00D637FE"/>
    <w:rsid w:val="00D638A5"/>
    <w:rsid w:val="00D63A07"/>
    <w:rsid w:val="00D63A6C"/>
    <w:rsid w:val="00D63B16"/>
    <w:rsid w:val="00D63F5A"/>
    <w:rsid w:val="00D640F7"/>
    <w:rsid w:val="00D6469B"/>
    <w:rsid w:val="00D6481A"/>
    <w:rsid w:val="00D648E7"/>
    <w:rsid w:val="00D650D8"/>
    <w:rsid w:val="00D657F1"/>
    <w:rsid w:val="00D6582E"/>
    <w:rsid w:val="00D65C2F"/>
    <w:rsid w:val="00D65C98"/>
    <w:rsid w:val="00D66320"/>
    <w:rsid w:val="00D6673F"/>
    <w:rsid w:val="00D66877"/>
    <w:rsid w:val="00D668A4"/>
    <w:rsid w:val="00D66993"/>
    <w:rsid w:val="00D669D4"/>
    <w:rsid w:val="00D66E5F"/>
    <w:rsid w:val="00D67342"/>
    <w:rsid w:val="00D67467"/>
    <w:rsid w:val="00D67E7F"/>
    <w:rsid w:val="00D67F85"/>
    <w:rsid w:val="00D70365"/>
    <w:rsid w:val="00D70472"/>
    <w:rsid w:val="00D70A03"/>
    <w:rsid w:val="00D70C3B"/>
    <w:rsid w:val="00D71594"/>
    <w:rsid w:val="00D71690"/>
    <w:rsid w:val="00D719CB"/>
    <w:rsid w:val="00D71A45"/>
    <w:rsid w:val="00D71B8B"/>
    <w:rsid w:val="00D71BFA"/>
    <w:rsid w:val="00D71CE9"/>
    <w:rsid w:val="00D71E22"/>
    <w:rsid w:val="00D71F0A"/>
    <w:rsid w:val="00D71F73"/>
    <w:rsid w:val="00D7244D"/>
    <w:rsid w:val="00D72953"/>
    <w:rsid w:val="00D72DE2"/>
    <w:rsid w:val="00D72FAB"/>
    <w:rsid w:val="00D732C5"/>
    <w:rsid w:val="00D73563"/>
    <w:rsid w:val="00D73A86"/>
    <w:rsid w:val="00D73BCD"/>
    <w:rsid w:val="00D73DB4"/>
    <w:rsid w:val="00D73DBE"/>
    <w:rsid w:val="00D73E1F"/>
    <w:rsid w:val="00D73F39"/>
    <w:rsid w:val="00D73F97"/>
    <w:rsid w:val="00D740D3"/>
    <w:rsid w:val="00D740DB"/>
    <w:rsid w:val="00D740E7"/>
    <w:rsid w:val="00D747E9"/>
    <w:rsid w:val="00D74D39"/>
    <w:rsid w:val="00D74D97"/>
    <w:rsid w:val="00D74F43"/>
    <w:rsid w:val="00D750C1"/>
    <w:rsid w:val="00D750D8"/>
    <w:rsid w:val="00D75120"/>
    <w:rsid w:val="00D75315"/>
    <w:rsid w:val="00D755CB"/>
    <w:rsid w:val="00D755D9"/>
    <w:rsid w:val="00D756D7"/>
    <w:rsid w:val="00D7599D"/>
    <w:rsid w:val="00D75DD5"/>
    <w:rsid w:val="00D75E06"/>
    <w:rsid w:val="00D75EED"/>
    <w:rsid w:val="00D761C0"/>
    <w:rsid w:val="00D7645E"/>
    <w:rsid w:val="00D765AD"/>
    <w:rsid w:val="00D765B7"/>
    <w:rsid w:val="00D765FF"/>
    <w:rsid w:val="00D7671B"/>
    <w:rsid w:val="00D76D4C"/>
    <w:rsid w:val="00D76FC2"/>
    <w:rsid w:val="00D7701C"/>
    <w:rsid w:val="00D7708C"/>
    <w:rsid w:val="00D770B8"/>
    <w:rsid w:val="00D771FE"/>
    <w:rsid w:val="00D772FA"/>
    <w:rsid w:val="00D7733E"/>
    <w:rsid w:val="00D77626"/>
    <w:rsid w:val="00D77779"/>
    <w:rsid w:val="00D77AA4"/>
    <w:rsid w:val="00D77DCD"/>
    <w:rsid w:val="00D77F9C"/>
    <w:rsid w:val="00D80041"/>
    <w:rsid w:val="00D802FB"/>
    <w:rsid w:val="00D803E6"/>
    <w:rsid w:val="00D80460"/>
    <w:rsid w:val="00D804FF"/>
    <w:rsid w:val="00D80581"/>
    <w:rsid w:val="00D80657"/>
    <w:rsid w:val="00D8067C"/>
    <w:rsid w:val="00D806A8"/>
    <w:rsid w:val="00D806B9"/>
    <w:rsid w:val="00D80C35"/>
    <w:rsid w:val="00D80DBD"/>
    <w:rsid w:val="00D80EE9"/>
    <w:rsid w:val="00D81391"/>
    <w:rsid w:val="00D8154B"/>
    <w:rsid w:val="00D81CD0"/>
    <w:rsid w:val="00D81EAC"/>
    <w:rsid w:val="00D81F25"/>
    <w:rsid w:val="00D81F50"/>
    <w:rsid w:val="00D81F54"/>
    <w:rsid w:val="00D81F7F"/>
    <w:rsid w:val="00D82219"/>
    <w:rsid w:val="00D8285A"/>
    <w:rsid w:val="00D82950"/>
    <w:rsid w:val="00D82AE7"/>
    <w:rsid w:val="00D82B9F"/>
    <w:rsid w:val="00D82CB7"/>
    <w:rsid w:val="00D8352F"/>
    <w:rsid w:val="00D83BFD"/>
    <w:rsid w:val="00D83C27"/>
    <w:rsid w:val="00D84741"/>
    <w:rsid w:val="00D84929"/>
    <w:rsid w:val="00D84C1F"/>
    <w:rsid w:val="00D84F82"/>
    <w:rsid w:val="00D84FBE"/>
    <w:rsid w:val="00D85006"/>
    <w:rsid w:val="00D8513C"/>
    <w:rsid w:val="00D853B7"/>
    <w:rsid w:val="00D855E2"/>
    <w:rsid w:val="00D85812"/>
    <w:rsid w:val="00D85850"/>
    <w:rsid w:val="00D8592F"/>
    <w:rsid w:val="00D8635A"/>
    <w:rsid w:val="00D866C5"/>
    <w:rsid w:val="00D86A16"/>
    <w:rsid w:val="00D87143"/>
    <w:rsid w:val="00D871FF"/>
    <w:rsid w:val="00D8727E"/>
    <w:rsid w:val="00D8754B"/>
    <w:rsid w:val="00D875C8"/>
    <w:rsid w:val="00D8760A"/>
    <w:rsid w:val="00D901C8"/>
    <w:rsid w:val="00D9038C"/>
    <w:rsid w:val="00D90390"/>
    <w:rsid w:val="00D903E8"/>
    <w:rsid w:val="00D904AA"/>
    <w:rsid w:val="00D90570"/>
    <w:rsid w:val="00D908A7"/>
    <w:rsid w:val="00D908D2"/>
    <w:rsid w:val="00D909EF"/>
    <w:rsid w:val="00D90AA4"/>
    <w:rsid w:val="00D90CA6"/>
    <w:rsid w:val="00D90D88"/>
    <w:rsid w:val="00D90E57"/>
    <w:rsid w:val="00D90EDD"/>
    <w:rsid w:val="00D90F60"/>
    <w:rsid w:val="00D910DB"/>
    <w:rsid w:val="00D912CE"/>
    <w:rsid w:val="00D91805"/>
    <w:rsid w:val="00D91866"/>
    <w:rsid w:val="00D91926"/>
    <w:rsid w:val="00D921A0"/>
    <w:rsid w:val="00D9234D"/>
    <w:rsid w:val="00D9289B"/>
    <w:rsid w:val="00D92925"/>
    <w:rsid w:val="00D92ADE"/>
    <w:rsid w:val="00D92B10"/>
    <w:rsid w:val="00D92C37"/>
    <w:rsid w:val="00D92CDE"/>
    <w:rsid w:val="00D92D33"/>
    <w:rsid w:val="00D92E70"/>
    <w:rsid w:val="00D92F27"/>
    <w:rsid w:val="00D9305E"/>
    <w:rsid w:val="00D93342"/>
    <w:rsid w:val="00D93423"/>
    <w:rsid w:val="00D939A5"/>
    <w:rsid w:val="00D93CEB"/>
    <w:rsid w:val="00D93D16"/>
    <w:rsid w:val="00D93F47"/>
    <w:rsid w:val="00D93FF4"/>
    <w:rsid w:val="00D94036"/>
    <w:rsid w:val="00D94307"/>
    <w:rsid w:val="00D9490B"/>
    <w:rsid w:val="00D94D4B"/>
    <w:rsid w:val="00D94E82"/>
    <w:rsid w:val="00D94EAD"/>
    <w:rsid w:val="00D94EF1"/>
    <w:rsid w:val="00D94F7A"/>
    <w:rsid w:val="00D9553A"/>
    <w:rsid w:val="00D960CD"/>
    <w:rsid w:val="00D96223"/>
    <w:rsid w:val="00D96B3A"/>
    <w:rsid w:val="00D96B9D"/>
    <w:rsid w:val="00D96D26"/>
    <w:rsid w:val="00D96E4F"/>
    <w:rsid w:val="00D96ED3"/>
    <w:rsid w:val="00D96F01"/>
    <w:rsid w:val="00D96FC2"/>
    <w:rsid w:val="00D970F8"/>
    <w:rsid w:val="00D97365"/>
    <w:rsid w:val="00D973C0"/>
    <w:rsid w:val="00D976FB"/>
    <w:rsid w:val="00D97A20"/>
    <w:rsid w:val="00D97B59"/>
    <w:rsid w:val="00DA00CD"/>
    <w:rsid w:val="00DA02A5"/>
    <w:rsid w:val="00DA03B9"/>
    <w:rsid w:val="00DA0686"/>
    <w:rsid w:val="00DA0CCC"/>
    <w:rsid w:val="00DA0D62"/>
    <w:rsid w:val="00DA1284"/>
    <w:rsid w:val="00DA1347"/>
    <w:rsid w:val="00DA159B"/>
    <w:rsid w:val="00DA162E"/>
    <w:rsid w:val="00DA17D7"/>
    <w:rsid w:val="00DA1BE4"/>
    <w:rsid w:val="00DA1CA4"/>
    <w:rsid w:val="00DA1D26"/>
    <w:rsid w:val="00DA1E94"/>
    <w:rsid w:val="00DA2018"/>
    <w:rsid w:val="00DA20FF"/>
    <w:rsid w:val="00DA217F"/>
    <w:rsid w:val="00DA2265"/>
    <w:rsid w:val="00DA2272"/>
    <w:rsid w:val="00DA22C4"/>
    <w:rsid w:val="00DA24B4"/>
    <w:rsid w:val="00DA26C7"/>
    <w:rsid w:val="00DA27AA"/>
    <w:rsid w:val="00DA283E"/>
    <w:rsid w:val="00DA293F"/>
    <w:rsid w:val="00DA2B0E"/>
    <w:rsid w:val="00DA2E1D"/>
    <w:rsid w:val="00DA2E77"/>
    <w:rsid w:val="00DA2F07"/>
    <w:rsid w:val="00DA3032"/>
    <w:rsid w:val="00DA356F"/>
    <w:rsid w:val="00DA35DA"/>
    <w:rsid w:val="00DA3635"/>
    <w:rsid w:val="00DA387D"/>
    <w:rsid w:val="00DA3936"/>
    <w:rsid w:val="00DA39BC"/>
    <w:rsid w:val="00DA3A4D"/>
    <w:rsid w:val="00DA3A93"/>
    <w:rsid w:val="00DA3C5F"/>
    <w:rsid w:val="00DA3C73"/>
    <w:rsid w:val="00DA3D1B"/>
    <w:rsid w:val="00DA3D33"/>
    <w:rsid w:val="00DA3DE2"/>
    <w:rsid w:val="00DA40CD"/>
    <w:rsid w:val="00DA4557"/>
    <w:rsid w:val="00DA4876"/>
    <w:rsid w:val="00DA4C20"/>
    <w:rsid w:val="00DA4CD1"/>
    <w:rsid w:val="00DA4F0F"/>
    <w:rsid w:val="00DA53D3"/>
    <w:rsid w:val="00DA55C9"/>
    <w:rsid w:val="00DA57FA"/>
    <w:rsid w:val="00DA5936"/>
    <w:rsid w:val="00DA5C90"/>
    <w:rsid w:val="00DA5D55"/>
    <w:rsid w:val="00DA5D67"/>
    <w:rsid w:val="00DA5F47"/>
    <w:rsid w:val="00DA61F0"/>
    <w:rsid w:val="00DA648F"/>
    <w:rsid w:val="00DA6B18"/>
    <w:rsid w:val="00DA6BB3"/>
    <w:rsid w:val="00DA6DDD"/>
    <w:rsid w:val="00DA7006"/>
    <w:rsid w:val="00DA7041"/>
    <w:rsid w:val="00DA70E9"/>
    <w:rsid w:val="00DA7112"/>
    <w:rsid w:val="00DA74DA"/>
    <w:rsid w:val="00DA7678"/>
    <w:rsid w:val="00DA76A8"/>
    <w:rsid w:val="00DA77EB"/>
    <w:rsid w:val="00DA78E4"/>
    <w:rsid w:val="00DA7BF0"/>
    <w:rsid w:val="00DA7C7E"/>
    <w:rsid w:val="00DA7F04"/>
    <w:rsid w:val="00DA7FEA"/>
    <w:rsid w:val="00DB04E6"/>
    <w:rsid w:val="00DB0600"/>
    <w:rsid w:val="00DB065D"/>
    <w:rsid w:val="00DB0D40"/>
    <w:rsid w:val="00DB0DD5"/>
    <w:rsid w:val="00DB0DE3"/>
    <w:rsid w:val="00DB1048"/>
    <w:rsid w:val="00DB11E3"/>
    <w:rsid w:val="00DB12EE"/>
    <w:rsid w:val="00DB13FF"/>
    <w:rsid w:val="00DB15D3"/>
    <w:rsid w:val="00DB1638"/>
    <w:rsid w:val="00DB165A"/>
    <w:rsid w:val="00DB19D5"/>
    <w:rsid w:val="00DB1CA5"/>
    <w:rsid w:val="00DB1DB2"/>
    <w:rsid w:val="00DB1EC5"/>
    <w:rsid w:val="00DB28A0"/>
    <w:rsid w:val="00DB2A1D"/>
    <w:rsid w:val="00DB2E29"/>
    <w:rsid w:val="00DB3046"/>
    <w:rsid w:val="00DB321E"/>
    <w:rsid w:val="00DB34CE"/>
    <w:rsid w:val="00DB351B"/>
    <w:rsid w:val="00DB3E34"/>
    <w:rsid w:val="00DB3F27"/>
    <w:rsid w:val="00DB424C"/>
    <w:rsid w:val="00DB42DC"/>
    <w:rsid w:val="00DB44C2"/>
    <w:rsid w:val="00DB4769"/>
    <w:rsid w:val="00DB47C1"/>
    <w:rsid w:val="00DB484C"/>
    <w:rsid w:val="00DB4ADD"/>
    <w:rsid w:val="00DB4CF9"/>
    <w:rsid w:val="00DB55E9"/>
    <w:rsid w:val="00DB5739"/>
    <w:rsid w:val="00DB5901"/>
    <w:rsid w:val="00DB5A73"/>
    <w:rsid w:val="00DB5D85"/>
    <w:rsid w:val="00DB603C"/>
    <w:rsid w:val="00DB615B"/>
    <w:rsid w:val="00DB65A5"/>
    <w:rsid w:val="00DB68F8"/>
    <w:rsid w:val="00DB6B30"/>
    <w:rsid w:val="00DB6EF7"/>
    <w:rsid w:val="00DB6F6C"/>
    <w:rsid w:val="00DB723F"/>
    <w:rsid w:val="00DB7242"/>
    <w:rsid w:val="00DB72CE"/>
    <w:rsid w:val="00DB738B"/>
    <w:rsid w:val="00DB7448"/>
    <w:rsid w:val="00DB768A"/>
    <w:rsid w:val="00DB7A32"/>
    <w:rsid w:val="00DB7D90"/>
    <w:rsid w:val="00DC049A"/>
    <w:rsid w:val="00DC054B"/>
    <w:rsid w:val="00DC06C8"/>
    <w:rsid w:val="00DC0947"/>
    <w:rsid w:val="00DC1119"/>
    <w:rsid w:val="00DC111B"/>
    <w:rsid w:val="00DC16CC"/>
    <w:rsid w:val="00DC1A23"/>
    <w:rsid w:val="00DC1B6B"/>
    <w:rsid w:val="00DC1F5C"/>
    <w:rsid w:val="00DC2005"/>
    <w:rsid w:val="00DC2423"/>
    <w:rsid w:val="00DC253D"/>
    <w:rsid w:val="00DC2E30"/>
    <w:rsid w:val="00DC3203"/>
    <w:rsid w:val="00DC3382"/>
    <w:rsid w:val="00DC354C"/>
    <w:rsid w:val="00DC3B7E"/>
    <w:rsid w:val="00DC42C0"/>
    <w:rsid w:val="00DC44A6"/>
    <w:rsid w:val="00DC48F3"/>
    <w:rsid w:val="00DC4993"/>
    <w:rsid w:val="00DC4AF6"/>
    <w:rsid w:val="00DC4C63"/>
    <w:rsid w:val="00DC4CC8"/>
    <w:rsid w:val="00DC4D19"/>
    <w:rsid w:val="00DC502F"/>
    <w:rsid w:val="00DC53EE"/>
    <w:rsid w:val="00DC5649"/>
    <w:rsid w:val="00DC57F9"/>
    <w:rsid w:val="00DC58B8"/>
    <w:rsid w:val="00DC6030"/>
    <w:rsid w:val="00DC69A2"/>
    <w:rsid w:val="00DC7169"/>
    <w:rsid w:val="00DC7222"/>
    <w:rsid w:val="00DC753A"/>
    <w:rsid w:val="00DC7546"/>
    <w:rsid w:val="00DC78F1"/>
    <w:rsid w:val="00DC79CF"/>
    <w:rsid w:val="00DC7B52"/>
    <w:rsid w:val="00DC7C3A"/>
    <w:rsid w:val="00DD0126"/>
    <w:rsid w:val="00DD018C"/>
    <w:rsid w:val="00DD048F"/>
    <w:rsid w:val="00DD0676"/>
    <w:rsid w:val="00DD0966"/>
    <w:rsid w:val="00DD0B96"/>
    <w:rsid w:val="00DD0D76"/>
    <w:rsid w:val="00DD0DCA"/>
    <w:rsid w:val="00DD0EEE"/>
    <w:rsid w:val="00DD1678"/>
    <w:rsid w:val="00DD17D7"/>
    <w:rsid w:val="00DD1BE8"/>
    <w:rsid w:val="00DD1CA5"/>
    <w:rsid w:val="00DD1CD1"/>
    <w:rsid w:val="00DD1FFB"/>
    <w:rsid w:val="00DD209E"/>
    <w:rsid w:val="00DD210F"/>
    <w:rsid w:val="00DD22C1"/>
    <w:rsid w:val="00DD24C8"/>
    <w:rsid w:val="00DD2500"/>
    <w:rsid w:val="00DD252B"/>
    <w:rsid w:val="00DD253B"/>
    <w:rsid w:val="00DD25A4"/>
    <w:rsid w:val="00DD2874"/>
    <w:rsid w:val="00DD287E"/>
    <w:rsid w:val="00DD2A05"/>
    <w:rsid w:val="00DD2AE9"/>
    <w:rsid w:val="00DD2BE6"/>
    <w:rsid w:val="00DD2CD4"/>
    <w:rsid w:val="00DD2E43"/>
    <w:rsid w:val="00DD3091"/>
    <w:rsid w:val="00DD33A0"/>
    <w:rsid w:val="00DD3A07"/>
    <w:rsid w:val="00DD3CA1"/>
    <w:rsid w:val="00DD3EBD"/>
    <w:rsid w:val="00DD4205"/>
    <w:rsid w:val="00DD4403"/>
    <w:rsid w:val="00DD4512"/>
    <w:rsid w:val="00DD4535"/>
    <w:rsid w:val="00DD46BB"/>
    <w:rsid w:val="00DD4CAB"/>
    <w:rsid w:val="00DD4D09"/>
    <w:rsid w:val="00DD4D0C"/>
    <w:rsid w:val="00DD4E3F"/>
    <w:rsid w:val="00DD525C"/>
    <w:rsid w:val="00DD53A6"/>
    <w:rsid w:val="00DD54FE"/>
    <w:rsid w:val="00DD5619"/>
    <w:rsid w:val="00DD5A6E"/>
    <w:rsid w:val="00DD5AA5"/>
    <w:rsid w:val="00DD5C7A"/>
    <w:rsid w:val="00DD6251"/>
    <w:rsid w:val="00DD62B4"/>
    <w:rsid w:val="00DD62DF"/>
    <w:rsid w:val="00DD650F"/>
    <w:rsid w:val="00DD65F3"/>
    <w:rsid w:val="00DD6685"/>
    <w:rsid w:val="00DD669F"/>
    <w:rsid w:val="00DD676F"/>
    <w:rsid w:val="00DD6D75"/>
    <w:rsid w:val="00DD740B"/>
    <w:rsid w:val="00DD7564"/>
    <w:rsid w:val="00DD7574"/>
    <w:rsid w:val="00DD76C2"/>
    <w:rsid w:val="00DD792F"/>
    <w:rsid w:val="00DD7CB6"/>
    <w:rsid w:val="00DD7CE9"/>
    <w:rsid w:val="00DD7D23"/>
    <w:rsid w:val="00DE05CC"/>
    <w:rsid w:val="00DE061F"/>
    <w:rsid w:val="00DE0647"/>
    <w:rsid w:val="00DE0649"/>
    <w:rsid w:val="00DE06CC"/>
    <w:rsid w:val="00DE071B"/>
    <w:rsid w:val="00DE09A7"/>
    <w:rsid w:val="00DE09E8"/>
    <w:rsid w:val="00DE0DFA"/>
    <w:rsid w:val="00DE0E34"/>
    <w:rsid w:val="00DE11AB"/>
    <w:rsid w:val="00DE122B"/>
    <w:rsid w:val="00DE1308"/>
    <w:rsid w:val="00DE1C01"/>
    <w:rsid w:val="00DE1C2F"/>
    <w:rsid w:val="00DE1EAD"/>
    <w:rsid w:val="00DE1EF9"/>
    <w:rsid w:val="00DE2172"/>
    <w:rsid w:val="00DE224C"/>
    <w:rsid w:val="00DE25CD"/>
    <w:rsid w:val="00DE26A3"/>
    <w:rsid w:val="00DE2C75"/>
    <w:rsid w:val="00DE2E17"/>
    <w:rsid w:val="00DE2EF6"/>
    <w:rsid w:val="00DE317E"/>
    <w:rsid w:val="00DE31C7"/>
    <w:rsid w:val="00DE35D3"/>
    <w:rsid w:val="00DE36A2"/>
    <w:rsid w:val="00DE3908"/>
    <w:rsid w:val="00DE3E6A"/>
    <w:rsid w:val="00DE3E73"/>
    <w:rsid w:val="00DE3EEC"/>
    <w:rsid w:val="00DE3F0E"/>
    <w:rsid w:val="00DE4749"/>
    <w:rsid w:val="00DE4A08"/>
    <w:rsid w:val="00DE4AF8"/>
    <w:rsid w:val="00DE4B47"/>
    <w:rsid w:val="00DE4DE9"/>
    <w:rsid w:val="00DE4F43"/>
    <w:rsid w:val="00DE5005"/>
    <w:rsid w:val="00DE506D"/>
    <w:rsid w:val="00DE50C9"/>
    <w:rsid w:val="00DE519A"/>
    <w:rsid w:val="00DE5259"/>
    <w:rsid w:val="00DE57CC"/>
    <w:rsid w:val="00DE5CF3"/>
    <w:rsid w:val="00DE6064"/>
    <w:rsid w:val="00DE6087"/>
    <w:rsid w:val="00DE6211"/>
    <w:rsid w:val="00DE642E"/>
    <w:rsid w:val="00DE6507"/>
    <w:rsid w:val="00DE652F"/>
    <w:rsid w:val="00DE66C3"/>
    <w:rsid w:val="00DE6A27"/>
    <w:rsid w:val="00DE6D05"/>
    <w:rsid w:val="00DE6E0D"/>
    <w:rsid w:val="00DE6FD8"/>
    <w:rsid w:val="00DE7143"/>
    <w:rsid w:val="00DE717B"/>
    <w:rsid w:val="00DE719F"/>
    <w:rsid w:val="00DE74AC"/>
    <w:rsid w:val="00DE770B"/>
    <w:rsid w:val="00DE7B08"/>
    <w:rsid w:val="00DE7B93"/>
    <w:rsid w:val="00DE7E43"/>
    <w:rsid w:val="00DE7E9D"/>
    <w:rsid w:val="00DE7FF7"/>
    <w:rsid w:val="00DF000F"/>
    <w:rsid w:val="00DF0276"/>
    <w:rsid w:val="00DF095D"/>
    <w:rsid w:val="00DF098B"/>
    <w:rsid w:val="00DF117E"/>
    <w:rsid w:val="00DF128B"/>
    <w:rsid w:val="00DF14BB"/>
    <w:rsid w:val="00DF15D3"/>
    <w:rsid w:val="00DF1691"/>
    <w:rsid w:val="00DF1710"/>
    <w:rsid w:val="00DF17BB"/>
    <w:rsid w:val="00DF17C9"/>
    <w:rsid w:val="00DF18B7"/>
    <w:rsid w:val="00DF191D"/>
    <w:rsid w:val="00DF1B5B"/>
    <w:rsid w:val="00DF1BC7"/>
    <w:rsid w:val="00DF1BE4"/>
    <w:rsid w:val="00DF1C29"/>
    <w:rsid w:val="00DF1C95"/>
    <w:rsid w:val="00DF1C9F"/>
    <w:rsid w:val="00DF1CE8"/>
    <w:rsid w:val="00DF1D91"/>
    <w:rsid w:val="00DF1EA5"/>
    <w:rsid w:val="00DF2059"/>
    <w:rsid w:val="00DF208F"/>
    <w:rsid w:val="00DF2458"/>
    <w:rsid w:val="00DF24EE"/>
    <w:rsid w:val="00DF256F"/>
    <w:rsid w:val="00DF26CA"/>
    <w:rsid w:val="00DF283F"/>
    <w:rsid w:val="00DF2EDE"/>
    <w:rsid w:val="00DF312C"/>
    <w:rsid w:val="00DF3386"/>
    <w:rsid w:val="00DF3788"/>
    <w:rsid w:val="00DF39B5"/>
    <w:rsid w:val="00DF3B8A"/>
    <w:rsid w:val="00DF3D69"/>
    <w:rsid w:val="00DF3D6C"/>
    <w:rsid w:val="00DF4131"/>
    <w:rsid w:val="00DF424B"/>
    <w:rsid w:val="00DF4319"/>
    <w:rsid w:val="00DF43C8"/>
    <w:rsid w:val="00DF459C"/>
    <w:rsid w:val="00DF476A"/>
    <w:rsid w:val="00DF48A4"/>
    <w:rsid w:val="00DF4A20"/>
    <w:rsid w:val="00DF4D1C"/>
    <w:rsid w:val="00DF5169"/>
    <w:rsid w:val="00DF52FA"/>
    <w:rsid w:val="00DF5443"/>
    <w:rsid w:val="00DF599E"/>
    <w:rsid w:val="00DF5B40"/>
    <w:rsid w:val="00DF5B6E"/>
    <w:rsid w:val="00DF5B89"/>
    <w:rsid w:val="00DF5C7B"/>
    <w:rsid w:val="00DF5CF5"/>
    <w:rsid w:val="00DF5F4F"/>
    <w:rsid w:val="00DF5FDA"/>
    <w:rsid w:val="00DF6169"/>
    <w:rsid w:val="00DF6302"/>
    <w:rsid w:val="00DF6684"/>
    <w:rsid w:val="00DF6692"/>
    <w:rsid w:val="00DF692E"/>
    <w:rsid w:val="00DF6C20"/>
    <w:rsid w:val="00DF6D11"/>
    <w:rsid w:val="00DF6DEC"/>
    <w:rsid w:val="00DF700F"/>
    <w:rsid w:val="00DF7012"/>
    <w:rsid w:val="00DF7568"/>
    <w:rsid w:val="00DF7C4D"/>
    <w:rsid w:val="00DF7E6A"/>
    <w:rsid w:val="00DF7EBD"/>
    <w:rsid w:val="00E000CE"/>
    <w:rsid w:val="00E00115"/>
    <w:rsid w:val="00E00162"/>
    <w:rsid w:val="00E0028C"/>
    <w:rsid w:val="00E00304"/>
    <w:rsid w:val="00E00718"/>
    <w:rsid w:val="00E014E7"/>
    <w:rsid w:val="00E01926"/>
    <w:rsid w:val="00E01CD3"/>
    <w:rsid w:val="00E01D98"/>
    <w:rsid w:val="00E01DD1"/>
    <w:rsid w:val="00E01DFE"/>
    <w:rsid w:val="00E01E7D"/>
    <w:rsid w:val="00E02111"/>
    <w:rsid w:val="00E02551"/>
    <w:rsid w:val="00E02628"/>
    <w:rsid w:val="00E027D0"/>
    <w:rsid w:val="00E02B13"/>
    <w:rsid w:val="00E03334"/>
    <w:rsid w:val="00E033B7"/>
    <w:rsid w:val="00E0388B"/>
    <w:rsid w:val="00E038C7"/>
    <w:rsid w:val="00E03D12"/>
    <w:rsid w:val="00E03E10"/>
    <w:rsid w:val="00E040D9"/>
    <w:rsid w:val="00E04577"/>
    <w:rsid w:val="00E047A5"/>
    <w:rsid w:val="00E0498D"/>
    <w:rsid w:val="00E04A8F"/>
    <w:rsid w:val="00E04C65"/>
    <w:rsid w:val="00E04DB3"/>
    <w:rsid w:val="00E04DC2"/>
    <w:rsid w:val="00E053DB"/>
    <w:rsid w:val="00E05694"/>
    <w:rsid w:val="00E059AC"/>
    <w:rsid w:val="00E05AA2"/>
    <w:rsid w:val="00E05BF0"/>
    <w:rsid w:val="00E05E76"/>
    <w:rsid w:val="00E05EE6"/>
    <w:rsid w:val="00E06182"/>
    <w:rsid w:val="00E063C1"/>
    <w:rsid w:val="00E06633"/>
    <w:rsid w:val="00E06848"/>
    <w:rsid w:val="00E068A5"/>
    <w:rsid w:val="00E069F2"/>
    <w:rsid w:val="00E06AEC"/>
    <w:rsid w:val="00E06B12"/>
    <w:rsid w:val="00E06B2C"/>
    <w:rsid w:val="00E06DD5"/>
    <w:rsid w:val="00E06DF9"/>
    <w:rsid w:val="00E06E48"/>
    <w:rsid w:val="00E06E65"/>
    <w:rsid w:val="00E07435"/>
    <w:rsid w:val="00E0758B"/>
    <w:rsid w:val="00E077A4"/>
    <w:rsid w:val="00E077A5"/>
    <w:rsid w:val="00E077DB"/>
    <w:rsid w:val="00E07F5D"/>
    <w:rsid w:val="00E101E2"/>
    <w:rsid w:val="00E101E8"/>
    <w:rsid w:val="00E102CE"/>
    <w:rsid w:val="00E106D2"/>
    <w:rsid w:val="00E109B1"/>
    <w:rsid w:val="00E10ACF"/>
    <w:rsid w:val="00E10DA7"/>
    <w:rsid w:val="00E1117A"/>
    <w:rsid w:val="00E11247"/>
    <w:rsid w:val="00E112C7"/>
    <w:rsid w:val="00E1149D"/>
    <w:rsid w:val="00E117D0"/>
    <w:rsid w:val="00E11B60"/>
    <w:rsid w:val="00E11E6B"/>
    <w:rsid w:val="00E120A0"/>
    <w:rsid w:val="00E120E1"/>
    <w:rsid w:val="00E12139"/>
    <w:rsid w:val="00E12220"/>
    <w:rsid w:val="00E122F2"/>
    <w:rsid w:val="00E12800"/>
    <w:rsid w:val="00E12BF5"/>
    <w:rsid w:val="00E12D28"/>
    <w:rsid w:val="00E12E04"/>
    <w:rsid w:val="00E131F5"/>
    <w:rsid w:val="00E13260"/>
    <w:rsid w:val="00E13338"/>
    <w:rsid w:val="00E1370D"/>
    <w:rsid w:val="00E1389D"/>
    <w:rsid w:val="00E13EDF"/>
    <w:rsid w:val="00E1409F"/>
    <w:rsid w:val="00E143D9"/>
    <w:rsid w:val="00E14B41"/>
    <w:rsid w:val="00E14BCF"/>
    <w:rsid w:val="00E15254"/>
    <w:rsid w:val="00E15ACF"/>
    <w:rsid w:val="00E15AEF"/>
    <w:rsid w:val="00E15E01"/>
    <w:rsid w:val="00E15FB6"/>
    <w:rsid w:val="00E16186"/>
    <w:rsid w:val="00E16297"/>
    <w:rsid w:val="00E162B5"/>
    <w:rsid w:val="00E16351"/>
    <w:rsid w:val="00E164D4"/>
    <w:rsid w:val="00E165F4"/>
    <w:rsid w:val="00E167F8"/>
    <w:rsid w:val="00E16993"/>
    <w:rsid w:val="00E16A04"/>
    <w:rsid w:val="00E16C8D"/>
    <w:rsid w:val="00E16DC4"/>
    <w:rsid w:val="00E16EA3"/>
    <w:rsid w:val="00E16F92"/>
    <w:rsid w:val="00E16FA0"/>
    <w:rsid w:val="00E16FD2"/>
    <w:rsid w:val="00E178C7"/>
    <w:rsid w:val="00E17E83"/>
    <w:rsid w:val="00E202A3"/>
    <w:rsid w:val="00E2065E"/>
    <w:rsid w:val="00E2088C"/>
    <w:rsid w:val="00E20B87"/>
    <w:rsid w:val="00E20C0E"/>
    <w:rsid w:val="00E21384"/>
    <w:rsid w:val="00E21439"/>
    <w:rsid w:val="00E215B9"/>
    <w:rsid w:val="00E215D0"/>
    <w:rsid w:val="00E2190E"/>
    <w:rsid w:val="00E21C4C"/>
    <w:rsid w:val="00E21EB4"/>
    <w:rsid w:val="00E220DB"/>
    <w:rsid w:val="00E225C4"/>
    <w:rsid w:val="00E22677"/>
    <w:rsid w:val="00E2289D"/>
    <w:rsid w:val="00E22BD0"/>
    <w:rsid w:val="00E22CFE"/>
    <w:rsid w:val="00E22D3A"/>
    <w:rsid w:val="00E22E1A"/>
    <w:rsid w:val="00E22E23"/>
    <w:rsid w:val="00E23190"/>
    <w:rsid w:val="00E233C5"/>
    <w:rsid w:val="00E235BE"/>
    <w:rsid w:val="00E23603"/>
    <w:rsid w:val="00E237D9"/>
    <w:rsid w:val="00E23887"/>
    <w:rsid w:val="00E23A30"/>
    <w:rsid w:val="00E23B53"/>
    <w:rsid w:val="00E23B78"/>
    <w:rsid w:val="00E23D5C"/>
    <w:rsid w:val="00E23DCA"/>
    <w:rsid w:val="00E23EA9"/>
    <w:rsid w:val="00E23FA4"/>
    <w:rsid w:val="00E2424D"/>
    <w:rsid w:val="00E247FA"/>
    <w:rsid w:val="00E249FB"/>
    <w:rsid w:val="00E24B88"/>
    <w:rsid w:val="00E24C20"/>
    <w:rsid w:val="00E24CDB"/>
    <w:rsid w:val="00E24F0C"/>
    <w:rsid w:val="00E250C4"/>
    <w:rsid w:val="00E25205"/>
    <w:rsid w:val="00E25353"/>
    <w:rsid w:val="00E253B7"/>
    <w:rsid w:val="00E254D6"/>
    <w:rsid w:val="00E25766"/>
    <w:rsid w:val="00E257F0"/>
    <w:rsid w:val="00E25CA5"/>
    <w:rsid w:val="00E25F2C"/>
    <w:rsid w:val="00E26431"/>
    <w:rsid w:val="00E26591"/>
    <w:rsid w:val="00E26E13"/>
    <w:rsid w:val="00E27464"/>
    <w:rsid w:val="00E2756F"/>
    <w:rsid w:val="00E27693"/>
    <w:rsid w:val="00E278FB"/>
    <w:rsid w:val="00E27916"/>
    <w:rsid w:val="00E2795D"/>
    <w:rsid w:val="00E27BD1"/>
    <w:rsid w:val="00E27C05"/>
    <w:rsid w:val="00E27DE2"/>
    <w:rsid w:val="00E300E4"/>
    <w:rsid w:val="00E30204"/>
    <w:rsid w:val="00E303D2"/>
    <w:rsid w:val="00E30423"/>
    <w:rsid w:val="00E3081A"/>
    <w:rsid w:val="00E30CA9"/>
    <w:rsid w:val="00E31044"/>
    <w:rsid w:val="00E310FD"/>
    <w:rsid w:val="00E3132C"/>
    <w:rsid w:val="00E313E0"/>
    <w:rsid w:val="00E31ABF"/>
    <w:rsid w:val="00E31D50"/>
    <w:rsid w:val="00E31DF4"/>
    <w:rsid w:val="00E31E0E"/>
    <w:rsid w:val="00E322A5"/>
    <w:rsid w:val="00E3232A"/>
    <w:rsid w:val="00E3257B"/>
    <w:rsid w:val="00E3288E"/>
    <w:rsid w:val="00E3291B"/>
    <w:rsid w:val="00E32B85"/>
    <w:rsid w:val="00E32C21"/>
    <w:rsid w:val="00E32E0E"/>
    <w:rsid w:val="00E32E4B"/>
    <w:rsid w:val="00E333EA"/>
    <w:rsid w:val="00E33465"/>
    <w:rsid w:val="00E335BE"/>
    <w:rsid w:val="00E335C9"/>
    <w:rsid w:val="00E3365F"/>
    <w:rsid w:val="00E340C0"/>
    <w:rsid w:val="00E34317"/>
    <w:rsid w:val="00E34600"/>
    <w:rsid w:val="00E34653"/>
    <w:rsid w:val="00E34992"/>
    <w:rsid w:val="00E34BD7"/>
    <w:rsid w:val="00E34CDA"/>
    <w:rsid w:val="00E34DB0"/>
    <w:rsid w:val="00E34E50"/>
    <w:rsid w:val="00E35078"/>
    <w:rsid w:val="00E351A8"/>
    <w:rsid w:val="00E351BD"/>
    <w:rsid w:val="00E35551"/>
    <w:rsid w:val="00E35619"/>
    <w:rsid w:val="00E35711"/>
    <w:rsid w:val="00E3588F"/>
    <w:rsid w:val="00E359E7"/>
    <w:rsid w:val="00E35B5D"/>
    <w:rsid w:val="00E35C25"/>
    <w:rsid w:val="00E35C29"/>
    <w:rsid w:val="00E35F18"/>
    <w:rsid w:val="00E36013"/>
    <w:rsid w:val="00E3622B"/>
    <w:rsid w:val="00E3633A"/>
    <w:rsid w:val="00E3644E"/>
    <w:rsid w:val="00E3660A"/>
    <w:rsid w:val="00E367AB"/>
    <w:rsid w:val="00E367C3"/>
    <w:rsid w:val="00E369B8"/>
    <w:rsid w:val="00E36A78"/>
    <w:rsid w:val="00E36C03"/>
    <w:rsid w:val="00E36C12"/>
    <w:rsid w:val="00E36EA9"/>
    <w:rsid w:val="00E36EE9"/>
    <w:rsid w:val="00E36FB1"/>
    <w:rsid w:val="00E37142"/>
    <w:rsid w:val="00E371B7"/>
    <w:rsid w:val="00E373C3"/>
    <w:rsid w:val="00E37BB6"/>
    <w:rsid w:val="00E37C52"/>
    <w:rsid w:val="00E37F2D"/>
    <w:rsid w:val="00E37F61"/>
    <w:rsid w:val="00E37F86"/>
    <w:rsid w:val="00E401A6"/>
    <w:rsid w:val="00E4035D"/>
    <w:rsid w:val="00E40826"/>
    <w:rsid w:val="00E408FF"/>
    <w:rsid w:val="00E40C54"/>
    <w:rsid w:val="00E40C99"/>
    <w:rsid w:val="00E40D5F"/>
    <w:rsid w:val="00E40DA2"/>
    <w:rsid w:val="00E41034"/>
    <w:rsid w:val="00E4106F"/>
    <w:rsid w:val="00E413C1"/>
    <w:rsid w:val="00E4142D"/>
    <w:rsid w:val="00E41710"/>
    <w:rsid w:val="00E4194C"/>
    <w:rsid w:val="00E4202B"/>
    <w:rsid w:val="00E425F6"/>
    <w:rsid w:val="00E42672"/>
    <w:rsid w:val="00E42A31"/>
    <w:rsid w:val="00E42B9F"/>
    <w:rsid w:val="00E42C94"/>
    <w:rsid w:val="00E42DE6"/>
    <w:rsid w:val="00E43025"/>
    <w:rsid w:val="00E4307B"/>
    <w:rsid w:val="00E43311"/>
    <w:rsid w:val="00E433F9"/>
    <w:rsid w:val="00E4351D"/>
    <w:rsid w:val="00E436D8"/>
    <w:rsid w:val="00E43A06"/>
    <w:rsid w:val="00E43B90"/>
    <w:rsid w:val="00E4473C"/>
    <w:rsid w:val="00E44793"/>
    <w:rsid w:val="00E44DBC"/>
    <w:rsid w:val="00E45284"/>
    <w:rsid w:val="00E45342"/>
    <w:rsid w:val="00E45506"/>
    <w:rsid w:val="00E45BD6"/>
    <w:rsid w:val="00E45D1E"/>
    <w:rsid w:val="00E45E0A"/>
    <w:rsid w:val="00E45F09"/>
    <w:rsid w:val="00E45F53"/>
    <w:rsid w:val="00E4627E"/>
    <w:rsid w:val="00E463EF"/>
    <w:rsid w:val="00E463F1"/>
    <w:rsid w:val="00E4649D"/>
    <w:rsid w:val="00E4657C"/>
    <w:rsid w:val="00E4670E"/>
    <w:rsid w:val="00E4691E"/>
    <w:rsid w:val="00E469CA"/>
    <w:rsid w:val="00E46E5F"/>
    <w:rsid w:val="00E4721B"/>
    <w:rsid w:val="00E47273"/>
    <w:rsid w:val="00E472C7"/>
    <w:rsid w:val="00E47525"/>
    <w:rsid w:val="00E4772D"/>
    <w:rsid w:val="00E47785"/>
    <w:rsid w:val="00E47BB2"/>
    <w:rsid w:val="00E47D46"/>
    <w:rsid w:val="00E50386"/>
    <w:rsid w:val="00E5055D"/>
    <w:rsid w:val="00E50687"/>
    <w:rsid w:val="00E50729"/>
    <w:rsid w:val="00E50FBA"/>
    <w:rsid w:val="00E51505"/>
    <w:rsid w:val="00E51862"/>
    <w:rsid w:val="00E51B22"/>
    <w:rsid w:val="00E51BE1"/>
    <w:rsid w:val="00E51D54"/>
    <w:rsid w:val="00E521EA"/>
    <w:rsid w:val="00E52447"/>
    <w:rsid w:val="00E529CE"/>
    <w:rsid w:val="00E52A70"/>
    <w:rsid w:val="00E52B47"/>
    <w:rsid w:val="00E52D5F"/>
    <w:rsid w:val="00E530C2"/>
    <w:rsid w:val="00E5323C"/>
    <w:rsid w:val="00E532FD"/>
    <w:rsid w:val="00E534A3"/>
    <w:rsid w:val="00E53588"/>
    <w:rsid w:val="00E537C1"/>
    <w:rsid w:val="00E53C44"/>
    <w:rsid w:val="00E54191"/>
    <w:rsid w:val="00E54495"/>
    <w:rsid w:val="00E547F9"/>
    <w:rsid w:val="00E548D7"/>
    <w:rsid w:val="00E54A15"/>
    <w:rsid w:val="00E5532A"/>
    <w:rsid w:val="00E55566"/>
    <w:rsid w:val="00E55680"/>
    <w:rsid w:val="00E55788"/>
    <w:rsid w:val="00E55851"/>
    <w:rsid w:val="00E558BF"/>
    <w:rsid w:val="00E55C22"/>
    <w:rsid w:val="00E55C3F"/>
    <w:rsid w:val="00E565AC"/>
    <w:rsid w:val="00E5665C"/>
    <w:rsid w:val="00E56A8B"/>
    <w:rsid w:val="00E56C1C"/>
    <w:rsid w:val="00E56C2A"/>
    <w:rsid w:val="00E56FCA"/>
    <w:rsid w:val="00E571B0"/>
    <w:rsid w:val="00E57666"/>
    <w:rsid w:val="00E57A95"/>
    <w:rsid w:val="00E57B19"/>
    <w:rsid w:val="00E57B24"/>
    <w:rsid w:val="00E57B27"/>
    <w:rsid w:val="00E57D73"/>
    <w:rsid w:val="00E57E1E"/>
    <w:rsid w:val="00E57F8E"/>
    <w:rsid w:val="00E603D8"/>
    <w:rsid w:val="00E6064F"/>
    <w:rsid w:val="00E60D6A"/>
    <w:rsid w:val="00E610DA"/>
    <w:rsid w:val="00E6121E"/>
    <w:rsid w:val="00E6143D"/>
    <w:rsid w:val="00E614A3"/>
    <w:rsid w:val="00E615AB"/>
    <w:rsid w:val="00E61633"/>
    <w:rsid w:val="00E616B8"/>
    <w:rsid w:val="00E616C7"/>
    <w:rsid w:val="00E616CE"/>
    <w:rsid w:val="00E61924"/>
    <w:rsid w:val="00E619B7"/>
    <w:rsid w:val="00E61DEA"/>
    <w:rsid w:val="00E6210F"/>
    <w:rsid w:val="00E62A2C"/>
    <w:rsid w:val="00E62F55"/>
    <w:rsid w:val="00E62FFE"/>
    <w:rsid w:val="00E6308B"/>
    <w:rsid w:val="00E638FF"/>
    <w:rsid w:val="00E6393F"/>
    <w:rsid w:val="00E63CAC"/>
    <w:rsid w:val="00E63CD6"/>
    <w:rsid w:val="00E63F70"/>
    <w:rsid w:val="00E64022"/>
    <w:rsid w:val="00E645F2"/>
    <w:rsid w:val="00E646AD"/>
    <w:rsid w:val="00E64D22"/>
    <w:rsid w:val="00E65640"/>
    <w:rsid w:val="00E657A0"/>
    <w:rsid w:val="00E65928"/>
    <w:rsid w:val="00E65971"/>
    <w:rsid w:val="00E65B69"/>
    <w:rsid w:val="00E662F9"/>
    <w:rsid w:val="00E664BE"/>
    <w:rsid w:val="00E6683D"/>
    <w:rsid w:val="00E66870"/>
    <w:rsid w:val="00E66940"/>
    <w:rsid w:val="00E67172"/>
    <w:rsid w:val="00E67351"/>
    <w:rsid w:val="00E67831"/>
    <w:rsid w:val="00E67886"/>
    <w:rsid w:val="00E67A93"/>
    <w:rsid w:val="00E67B63"/>
    <w:rsid w:val="00E67C0A"/>
    <w:rsid w:val="00E67D55"/>
    <w:rsid w:val="00E67E2C"/>
    <w:rsid w:val="00E67ECA"/>
    <w:rsid w:val="00E67F58"/>
    <w:rsid w:val="00E67FE3"/>
    <w:rsid w:val="00E70016"/>
    <w:rsid w:val="00E7008D"/>
    <w:rsid w:val="00E70109"/>
    <w:rsid w:val="00E70238"/>
    <w:rsid w:val="00E70243"/>
    <w:rsid w:val="00E70252"/>
    <w:rsid w:val="00E703C3"/>
    <w:rsid w:val="00E706BA"/>
    <w:rsid w:val="00E7099E"/>
    <w:rsid w:val="00E70B7C"/>
    <w:rsid w:val="00E70E65"/>
    <w:rsid w:val="00E71265"/>
    <w:rsid w:val="00E712CA"/>
    <w:rsid w:val="00E71497"/>
    <w:rsid w:val="00E716B7"/>
    <w:rsid w:val="00E71B22"/>
    <w:rsid w:val="00E71C01"/>
    <w:rsid w:val="00E71D68"/>
    <w:rsid w:val="00E71DCC"/>
    <w:rsid w:val="00E7212C"/>
    <w:rsid w:val="00E72215"/>
    <w:rsid w:val="00E7226E"/>
    <w:rsid w:val="00E7235A"/>
    <w:rsid w:val="00E7290A"/>
    <w:rsid w:val="00E72BC2"/>
    <w:rsid w:val="00E72BF0"/>
    <w:rsid w:val="00E72C7F"/>
    <w:rsid w:val="00E72E1F"/>
    <w:rsid w:val="00E7345D"/>
    <w:rsid w:val="00E734CE"/>
    <w:rsid w:val="00E7351E"/>
    <w:rsid w:val="00E73A88"/>
    <w:rsid w:val="00E73B2E"/>
    <w:rsid w:val="00E73D5F"/>
    <w:rsid w:val="00E73E0A"/>
    <w:rsid w:val="00E73F0D"/>
    <w:rsid w:val="00E740F9"/>
    <w:rsid w:val="00E74461"/>
    <w:rsid w:val="00E7449F"/>
    <w:rsid w:val="00E74857"/>
    <w:rsid w:val="00E74966"/>
    <w:rsid w:val="00E74A4F"/>
    <w:rsid w:val="00E74C6C"/>
    <w:rsid w:val="00E7510B"/>
    <w:rsid w:val="00E7531F"/>
    <w:rsid w:val="00E75493"/>
    <w:rsid w:val="00E754B2"/>
    <w:rsid w:val="00E756E9"/>
    <w:rsid w:val="00E75722"/>
    <w:rsid w:val="00E75BEE"/>
    <w:rsid w:val="00E75D27"/>
    <w:rsid w:val="00E75F31"/>
    <w:rsid w:val="00E75FE9"/>
    <w:rsid w:val="00E761DA"/>
    <w:rsid w:val="00E76337"/>
    <w:rsid w:val="00E763F1"/>
    <w:rsid w:val="00E76448"/>
    <w:rsid w:val="00E7655F"/>
    <w:rsid w:val="00E768ED"/>
    <w:rsid w:val="00E7737B"/>
    <w:rsid w:val="00E77592"/>
    <w:rsid w:val="00E7771D"/>
    <w:rsid w:val="00E77B20"/>
    <w:rsid w:val="00E77FA2"/>
    <w:rsid w:val="00E809F5"/>
    <w:rsid w:val="00E80C2E"/>
    <w:rsid w:val="00E80C2F"/>
    <w:rsid w:val="00E80F37"/>
    <w:rsid w:val="00E81112"/>
    <w:rsid w:val="00E81130"/>
    <w:rsid w:val="00E8119F"/>
    <w:rsid w:val="00E811D5"/>
    <w:rsid w:val="00E81289"/>
    <w:rsid w:val="00E81293"/>
    <w:rsid w:val="00E81509"/>
    <w:rsid w:val="00E81538"/>
    <w:rsid w:val="00E8155C"/>
    <w:rsid w:val="00E8156C"/>
    <w:rsid w:val="00E8165A"/>
    <w:rsid w:val="00E81716"/>
    <w:rsid w:val="00E817D7"/>
    <w:rsid w:val="00E81A41"/>
    <w:rsid w:val="00E81EBF"/>
    <w:rsid w:val="00E81F6F"/>
    <w:rsid w:val="00E8221B"/>
    <w:rsid w:val="00E826A1"/>
    <w:rsid w:val="00E82728"/>
    <w:rsid w:val="00E8298A"/>
    <w:rsid w:val="00E82B34"/>
    <w:rsid w:val="00E82B74"/>
    <w:rsid w:val="00E82F5A"/>
    <w:rsid w:val="00E831B7"/>
    <w:rsid w:val="00E834A7"/>
    <w:rsid w:val="00E83504"/>
    <w:rsid w:val="00E83807"/>
    <w:rsid w:val="00E8381D"/>
    <w:rsid w:val="00E839A9"/>
    <w:rsid w:val="00E83A1D"/>
    <w:rsid w:val="00E8404A"/>
    <w:rsid w:val="00E84165"/>
    <w:rsid w:val="00E84356"/>
    <w:rsid w:val="00E84374"/>
    <w:rsid w:val="00E844EB"/>
    <w:rsid w:val="00E84815"/>
    <w:rsid w:val="00E84C18"/>
    <w:rsid w:val="00E85B73"/>
    <w:rsid w:val="00E85C46"/>
    <w:rsid w:val="00E8610C"/>
    <w:rsid w:val="00E86144"/>
    <w:rsid w:val="00E861E0"/>
    <w:rsid w:val="00E86390"/>
    <w:rsid w:val="00E8687A"/>
    <w:rsid w:val="00E86B9B"/>
    <w:rsid w:val="00E86C70"/>
    <w:rsid w:val="00E86D3C"/>
    <w:rsid w:val="00E86D89"/>
    <w:rsid w:val="00E86E41"/>
    <w:rsid w:val="00E86E59"/>
    <w:rsid w:val="00E87445"/>
    <w:rsid w:val="00E8744B"/>
    <w:rsid w:val="00E87505"/>
    <w:rsid w:val="00E877A2"/>
    <w:rsid w:val="00E877A4"/>
    <w:rsid w:val="00E877B9"/>
    <w:rsid w:val="00E87C0D"/>
    <w:rsid w:val="00E87C23"/>
    <w:rsid w:val="00E87CA0"/>
    <w:rsid w:val="00E87F53"/>
    <w:rsid w:val="00E90070"/>
    <w:rsid w:val="00E90626"/>
    <w:rsid w:val="00E9070F"/>
    <w:rsid w:val="00E90980"/>
    <w:rsid w:val="00E90BD6"/>
    <w:rsid w:val="00E90DC8"/>
    <w:rsid w:val="00E90DF5"/>
    <w:rsid w:val="00E91359"/>
    <w:rsid w:val="00E91405"/>
    <w:rsid w:val="00E91427"/>
    <w:rsid w:val="00E91518"/>
    <w:rsid w:val="00E91606"/>
    <w:rsid w:val="00E91642"/>
    <w:rsid w:val="00E917B6"/>
    <w:rsid w:val="00E91845"/>
    <w:rsid w:val="00E91AE5"/>
    <w:rsid w:val="00E91C97"/>
    <w:rsid w:val="00E91D40"/>
    <w:rsid w:val="00E920A1"/>
    <w:rsid w:val="00E92241"/>
    <w:rsid w:val="00E923D6"/>
    <w:rsid w:val="00E9247F"/>
    <w:rsid w:val="00E92636"/>
    <w:rsid w:val="00E926E9"/>
    <w:rsid w:val="00E92717"/>
    <w:rsid w:val="00E92A97"/>
    <w:rsid w:val="00E931AD"/>
    <w:rsid w:val="00E932EF"/>
    <w:rsid w:val="00E93593"/>
    <w:rsid w:val="00E9361E"/>
    <w:rsid w:val="00E93626"/>
    <w:rsid w:val="00E93852"/>
    <w:rsid w:val="00E938B1"/>
    <w:rsid w:val="00E938FF"/>
    <w:rsid w:val="00E93A05"/>
    <w:rsid w:val="00E93A8D"/>
    <w:rsid w:val="00E93D85"/>
    <w:rsid w:val="00E93F6F"/>
    <w:rsid w:val="00E94063"/>
    <w:rsid w:val="00E9431E"/>
    <w:rsid w:val="00E944CA"/>
    <w:rsid w:val="00E9451E"/>
    <w:rsid w:val="00E947E7"/>
    <w:rsid w:val="00E94B7B"/>
    <w:rsid w:val="00E94FBF"/>
    <w:rsid w:val="00E94FD7"/>
    <w:rsid w:val="00E9578C"/>
    <w:rsid w:val="00E959FA"/>
    <w:rsid w:val="00E95AFC"/>
    <w:rsid w:val="00E96217"/>
    <w:rsid w:val="00E9622B"/>
    <w:rsid w:val="00E96351"/>
    <w:rsid w:val="00E9639A"/>
    <w:rsid w:val="00E96837"/>
    <w:rsid w:val="00E96CB3"/>
    <w:rsid w:val="00E975A0"/>
    <w:rsid w:val="00E978C4"/>
    <w:rsid w:val="00E97963"/>
    <w:rsid w:val="00E97B0B"/>
    <w:rsid w:val="00E97F72"/>
    <w:rsid w:val="00EA0384"/>
    <w:rsid w:val="00EA039E"/>
    <w:rsid w:val="00EA04AA"/>
    <w:rsid w:val="00EA05D0"/>
    <w:rsid w:val="00EA1359"/>
    <w:rsid w:val="00EA153D"/>
    <w:rsid w:val="00EA1ABE"/>
    <w:rsid w:val="00EA1BD7"/>
    <w:rsid w:val="00EA1FAC"/>
    <w:rsid w:val="00EA2618"/>
    <w:rsid w:val="00EA26CB"/>
    <w:rsid w:val="00EA2872"/>
    <w:rsid w:val="00EA298C"/>
    <w:rsid w:val="00EA2ACE"/>
    <w:rsid w:val="00EA2D47"/>
    <w:rsid w:val="00EA2FB1"/>
    <w:rsid w:val="00EA2FDD"/>
    <w:rsid w:val="00EA3050"/>
    <w:rsid w:val="00EA371A"/>
    <w:rsid w:val="00EA396B"/>
    <w:rsid w:val="00EA3A5C"/>
    <w:rsid w:val="00EA3E42"/>
    <w:rsid w:val="00EA41D2"/>
    <w:rsid w:val="00EA4297"/>
    <w:rsid w:val="00EA42EC"/>
    <w:rsid w:val="00EA44DB"/>
    <w:rsid w:val="00EA45F5"/>
    <w:rsid w:val="00EA4818"/>
    <w:rsid w:val="00EA4881"/>
    <w:rsid w:val="00EA4888"/>
    <w:rsid w:val="00EA48E8"/>
    <w:rsid w:val="00EA50C9"/>
    <w:rsid w:val="00EA5274"/>
    <w:rsid w:val="00EA58E8"/>
    <w:rsid w:val="00EA5F34"/>
    <w:rsid w:val="00EA5FA7"/>
    <w:rsid w:val="00EA6178"/>
    <w:rsid w:val="00EA6377"/>
    <w:rsid w:val="00EA63F5"/>
    <w:rsid w:val="00EA6414"/>
    <w:rsid w:val="00EA6697"/>
    <w:rsid w:val="00EA6852"/>
    <w:rsid w:val="00EA6BB5"/>
    <w:rsid w:val="00EA71DF"/>
    <w:rsid w:val="00EA7327"/>
    <w:rsid w:val="00EA7406"/>
    <w:rsid w:val="00EA762C"/>
    <w:rsid w:val="00EA770B"/>
    <w:rsid w:val="00EA780D"/>
    <w:rsid w:val="00EA7890"/>
    <w:rsid w:val="00EB00C1"/>
    <w:rsid w:val="00EB03D8"/>
    <w:rsid w:val="00EB04AB"/>
    <w:rsid w:val="00EB0583"/>
    <w:rsid w:val="00EB0AB4"/>
    <w:rsid w:val="00EB0B4C"/>
    <w:rsid w:val="00EB113E"/>
    <w:rsid w:val="00EB1151"/>
    <w:rsid w:val="00EB12FF"/>
    <w:rsid w:val="00EB1418"/>
    <w:rsid w:val="00EB1479"/>
    <w:rsid w:val="00EB16FE"/>
    <w:rsid w:val="00EB173A"/>
    <w:rsid w:val="00EB1761"/>
    <w:rsid w:val="00EB1A65"/>
    <w:rsid w:val="00EB1CED"/>
    <w:rsid w:val="00EB1FCB"/>
    <w:rsid w:val="00EB2142"/>
    <w:rsid w:val="00EB248E"/>
    <w:rsid w:val="00EB27A0"/>
    <w:rsid w:val="00EB28D4"/>
    <w:rsid w:val="00EB2ADC"/>
    <w:rsid w:val="00EB2E83"/>
    <w:rsid w:val="00EB3121"/>
    <w:rsid w:val="00EB33D4"/>
    <w:rsid w:val="00EB3643"/>
    <w:rsid w:val="00EB39E7"/>
    <w:rsid w:val="00EB3B5A"/>
    <w:rsid w:val="00EB3CEE"/>
    <w:rsid w:val="00EB44DD"/>
    <w:rsid w:val="00EB4676"/>
    <w:rsid w:val="00EB46C3"/>
    <w:rsid w:val="00EB4746"/>
    <w:rsid w:val="00EB4888"/>
    <w:rsid w:val="00EB48C1"/>
    <w:rsid w:val="00EB4B23"/>
    <w:rsid w:val="00EB4C6F"/>
    <w:rsid w:val="00EB4D22"/>
    <w:rsid w:val="00EB4F61"/>
    <w:rsid w:val="00EB502D"/>
    <w:rsid w:val="00EB50AE"/>
    <w:rsid w:val="00EB5338"/>
    <w:rsid w:val="00EB5AFB"/>
    <w:rsid w:val="00EB6178"/>
    <w:rsid w:val="00EB61DB"/>
    <w:rsid w:val="00EB6293"/>
    <w:rsid w:val="00EB6305"/>
    <w:rsid w:val="00EB6436"/>
    <w:rsid w:val="00EB6876"/>
    <w:rsid w:val="00EB6AA3"/>
    <w:rsid w:val="00EB6B22"/>
    <w:rsid w:val="00EB6C0C"/>
    <w:rsid w:val="00EB6D96"/>
    <w:rsid w:val="00EB771A"/>
    <w:rsid w:val="00EB79C3"/>
    <w:rsid w:val="00EB7AE5"/>
    <w:rsid w:val="00EC01AB"/>
    <w:rsid w:val="00EC05DB"/>
    <w:rsid w:val="00EC0863"/>
    <w:rsid w:val="00EC0D19"/>
    <w:rsid w:val="00EC0D52"/>
    <w:rsid w:val="00EC0E3B"/>
    <w:rsid w:val="00EC0EE1"/>
    <w:rsid w:val="00EC15C4"/>
    <w:rsid w:val="00EC16AC"/>
    <w:rsid w:val="00EC18A2"/>
    <w:rsid w:val="00EC1AFC"/>
    <w:rsid w:val="00EC1CB6"/>
    <w:rsid w:val="00EC1D2F"/>
    <w:rsid w:val="00EC2360"/>
    <w:rsid w:val="00EC25F5"/>
    <w:rsid w:val="00EC25FE"/>
    <w:rsid w:val="00EC29A4"/>
    <w:rsid w:val="00EC2A17"/>
    <w:rsid w:val="00EC2A80"/>
    <w:rsid w:val="00EC2C20"/>
    <w:rsid w:val="00EC30F0"/>
    <w:rsid w:val="00EC3293"/>
    <w:rsid w:val="00EC37C6"/>
    <w:rsid w:val="00EC38C0"/>
    <w:rsid w:val="00EC396D"/>
    <w:rsid w:val="00EC3B15"/>
    <w:rsid w:val="00EC3D1B"/>
    <w:rsid w:val="00EC3F6B"/>
    <w:rsid w:val="00EC4060"/>
    <w:rsid w:val="00EC40B9"/>
    <w:rsid w:val="00EC49A3"/>
    <w:rsid w:val="00EC4C90"/>
    <w:rsid w:val="00EC5119"/>
    <w:rsid w:val="00EC52B3"/>
    <w:rsid w:val="00EC52D3"/>
    <w:rsid w:val="00EC5312"/>
    <w:rsid w:val="00EC562C"/>
    <w:rsid w:val="00EC5ADF"/>
    <w:rsid w:val="00EC6000"/>
    <w:rsid w:val="00EC610F"/>
    <w:rsid w:val="00EC611D"/>
    <w:rsid w:val="00EC63A3"/>
    <w:rsid w:val="00EC65D5"/>
    <w:rsid w:val="00EC66BF"/>
    <w:rsid w:val="00EC678E"/>
    <w:rsid w:val="00EC6B5C"/>
    <w:rsid w:val="00EC6B9C"/>
    <w:rsid w:val="00EC6BDB"/>
    <w:rsid w:val="00EC6C42"/>
    <w:rsid w:val="00EC6F23"/>
    <w:rsid w:val="00EC731B"/>
    <w:rsid w:val="00EC7527"/>
    <w:rsid w:val="00EC7608"/>
    <w:rsid w:val="00EC7978"/>
    <w:rsid w:val="00EC7B0C"/>
    <w:rsid w:val="00ED01E3"/>
    <w:rsid w:val="00ED01F8"/>
    <w:rsid w:val="00ED0237"/>
    <w:rsid w:val="00ED04F8"/>
    <w:rsid w:val="00ED05D7"/>
    <w:rsid w:val="00ED0C34"/>
    <w:rsid w:val="00ED1159"/>
    <w:rsid w:val="00ED118D"/>
    <w:rsid w:val="00ED138C"/>
    <w:rsid w:val="00ED1807"/>
    <w:rsid w:val="00ED1878"/>
    <w:rsid w:val="00ED1975"/>
    <w:rsid w:val="00ED19E7"/>
    <w:rsid w:val="00ED1A2B"/>
    <w:rsid w:val="00ED1F0D"/>
    <w:rsid w:val="00ED21C1"/>
    <w:rsid w:val="00ED29A4"/>
    <w:rsid w:val="00ED2C4D"/>
    <w:rsid w:val="00ED2F39"/>
    <w:rsid w:val="00ED3143"/>
    <w:rsid w:val="00ED3167"/>
    <w:rsid w:val="00ED3203"/>
    <w:rsid w:val="00ED3546"/>
    <w:rsid w:val="00ED36D7"/>
    <w:rsid w:val="00ED36DA"/>
    <w:rsid w:val="00ED38E3"/>
    <w:rsid w:val="00ED39DD"/>
    <w:rsid w:val="00ED3A28"/>
    <w:rsid w:val="00ED3A94"/>
    <w:rsid w:val="00ED3B5B"/>
    <w:rsid w:val="00ED3C38"/>
    <w:rsid w:val="00ED3E36"/>
    <w:rsid w:val="00ED3EC1"/>
    <w:rsid w:val="00ED3EEA"/>
    <w:rsid w:val="00ED4124"/>
    <w:rsid w:val="00ED4172"/>
    <w:rsid w:val="00ED435E"/>
    <w:rsid w:val="00ED465E"/>
    <w:rsid w:val="00ED4835"/>
    <w:rsid w:val="00ED495F"/>
    <w:rsid w:val="00ED49E9"/>
    <w:rsid w:val="00ED4C1D"/>
    <w:rsid w:val="00ED4D0A"/>
    <w:rsid w:val="00ED4F87"/>
    <w:rsid w:val="00ED529B"/>
    <w:rsid w:val="00ED553E"/>
    <w:rsid w:val="00ED5929"/>
    <w:rsid w:val="00ED5942"/>
    <w:rsid w:val="00ED5EB2"/>
    <w:rsid w:val="00ED6068"/>
    <w:rsid w:val="00ED657C"/>
    <w:rsid w:val="00ED6632"/>
    <w:rsid w:val="00ED66BE"/>
    <w:rsid w:val="00ED6E4A"/>
    <w:rsid w:val="00ED6ECF"/>
    <w:rsid w:val="00ED6F11"/>
    <w:rsid w:val="00ED6FC1"/>
    <w:rsid w:val="00ED7274"/>
    <w:rsid w:val="00ED72C1"/>
    <w:rsid w:val="00ED74DA"/>
    <w:rsid w:val="00ED787D"/>
    <w:rsid w:val="00ED7952"/>
    <w:rsid w:val="00ED7BEA"/>
    <w:rsid w:val="00ED7C06"/>
    <w:rsid w:val="00ED7C95"/>
    <w:rsid w:val="00ED7E03"/>
    <w:rsid w:val="00EE038C"/>
    <w:rsid w:val="00EE06A9"/>
    <w:rsid w:val="00EE073F"/>
    <w:rsid w:val="00EE0BFD"/>
    <w:rsid w:val="00EE0DD8"/>
    <w:rsid w:val="00EE0F62"/>
    <w:rsid w:val="00EE0FF2"/>
    <w:rsid w:val="00EE1516"/>
    <w:rsid w:val="00EE1586"/>
    <w:rsid w:val="00EE16D5"/>
    <w:rsid w:val="00EE18D7"/>
    <w:rsid w:val="00EE1F37"/>
    <w:rsid w:val="00EE1F8F"/>
    <w:rsid w:val="00EE2408"/>
    <w:rsid w:val="00EE2416"/>
    <w:rsid w:val="00EE2433"/>
    <w:rsid w:val="00EE25A1"/>
    <w:rsid w:val="00EE29FD"/>
    <w:rsid w:val="00EE2D03"/>
    <w:rsid w:val="00EE2DE0"/>
    <w:rsid w:val="00EE2E0D"/>
    <w:rsid w:val="00EE2F2E"/>
    <w:rsid w:val="00EE3145"/>
    <w:rsid w:val="00EE3273"/>
    <w:rsid w:val="00EE3298"/>
    <w:rsid w:val="00EE3472"/>
    <w:rsid w:val="00EE383E"/>
    <w:rsid w:val="00EE38BC"/>
    <w:rsid w:val="00EE3BA6"/>
    <w:rsid w:val="00EE3C68"/>
    <w:rsid w:val="00EE3FCA"/>
    <w:rsid w:val="00EE4029"/>
    <w:rsid w:val="00EE4126"/>
    <w:rsid w:val="00EE41E4"/>
    <w:rsid w:val="00EE435C"/>
    <w:rsid w:val="00EE43FD"/>
    <w:rsid w:val="00EE4990"/>
    <w:rsid w:val="00EE4B9C"/>
    <w:rsid w:val="00EE4D15"/>
    <w:rsid w:val="00EE4DC5"/>
    <w:rsid w:val="00EE4F5C"/>
    <w:rsid w:val="00EE5893"/>
    <w:rsid w:val="00EE5DF6"/>
    <w:rsid w:val="00EE5FC9"/>
    <w:rsid w:val="00EE66CF"/>
    <w:rsid w:val="00EE6FAB"/>
    <w:rsid w:val="00EE741C"/>
    <w:rsid w:val="00EE743B"/>
    <w:rsid w:val="00EE764F"/>
    <w:rsid w:val="00EE76F4"/>
    <w:rsid w:val="00EE7AF3"/>
    <w:rsid w:val="00EE7C33"/>
    <w:rsid w:val="00EE7D73"/>
    <w:rsid w:val="00EF0030"/>
    <w:rsid w:val="00EF05F0"/>
    <w:rsid w:val="00EF0B74"/>
    <w:rsid w:val="00EF0BA1"/>
    <w:rsid w:val="00EF0BC3"/>
    <w:rsid w:val="00EF0C8C"/>
    <w:rsid w:val="00EF0CC2"/>
    <w:rsid w:val="00EF0CD4"/>
    <w:rsid w:val="00EF0D2D"/>
    <w:rsid w:val="00EF0D32"/>
    <w:rsid w:val="00EF0D9F"/>
    <w:rsid w:val="00EF0F98"/>
    <w:rsid w:val="00EF10B1"/>
    <w:rsid w:val="00EF10E5"/>
    <w:rsid w:val="00EF11BC"/>
    <w:rsid w:val="00EF1614"/>
    <w:rsid w:val="00EF1B30"/>
    <w:rsid w:val="00EF1B8C"/>
    <w:rsid w:val="00EF1D0A"/>
    <w:rsid w:val="00EF1E98"/>
    <w:rsid w:val="00EF20F1"/>
    <w:rsid w:val="00EF21F3"/>
    <w:rsid w:val="00EF2210"/>
    <w:rsid w:val="00EF24B8"/>
    <w:rsid w:val="00EF2524"/>
    <w:rsid w:val="00EF2B16"/>
    <w:rsid w:val="00EF2D0E"/>
    <w:rsid w:val="00EF2D63"/>
    <w:rsid w:val="00EF2F38"/>
    <w:rsid w:val="00EF30B8"/>
    <w:rsid w:val="00EF30CD"/>
    <w:rsid w:val="00EF30F7"/>
    <w:rsid w:val="00EF3269"/>
    <w:rsid w:val="00EF32C8"/>
    <w:rsid w:val="00EF35D0"/>
    <w:rsid w:val="00EF3653"/>
    <w:rsid w:val="00EF39D1"/>
    <w:rsid w:val="00EF3EF7"/>
    <w:rsid w:val="00EF3FE0"/>
    <w:rsid w:val="00EF414E"/>
    <w:rsid w:val="00EF4322"/>
    <w:rsid w:val="00EF43D7"/>
    <w:rsid w:val="00EF442C"/>
    <w:rsid w:val="00EF449E"/>
    <w:rsid w:val="00EF451A"/>
    <w:rsid w:val="00EF465F"/>
    <w:rsid w:val="00EF4CCF"/>
    <w:rsid w:val="00EF4E39"/>
    <w:rsid w:val="00EF4F9F"/>
    <w:rsid w:val="00EF5063"/>
    <w:rsid w:val="00EF56CE"/>
    <w:rsid w:val="00EF5B5E"/>
    <w:rsid w:val="00EF5B9B"/>
    <w:rsid w:val="00EF5EAF"/>
    <w:rsid w:val="00EF667F"/>
    <w:rsid w:val="00EF6DA1"/>
    <w:rsid w:val="00EF6E40"/>
    <w:rsid w:val="00EF7062"/>
    <w:rsid w:val="00EF7459"/>
    <w:rsid w:val="00EF7535"/>
    <w:rsid w:val="00EF75FC"/>
    <w:rsid w:val="00EF7839"/>
    <w:rsid w:val="00EF7952"/>
    <w:rsid w:val="00EF7AC6"/>
    <w:rsid w:val="00EF7D0A"/>
    <w:rsid w:val="00EF7DA5"/>
    <w:rsid w:val="00EF7F9E"/>
    <w:rsid w:val="00F001CC"/>
    <w:rsid w:val="00F003B8"/>
    <w:rsid w:val="00F0059C"/>
    <w:rsid w:val="00F0062A"/>
    <w:rsid w:val="00F00797"/>
    <w:rsid w:val="00F00A91"/>
    <w:rsid w:val="00F00EB2"/>
    <w:rsid w:val="00F00F3C"/>
    <w:rsid w:val="00F010E5"/>
    <w:rsid w:val="00F013F1"/>
    <w:rsid w:val="00F0174F"/>
    <w:rsid w:val="00F0177E"/>
    <w:rsid w:val="00F019F5"/>
    <w:rsid w:val="00F01CEC"/>
    <w:rsid w:val="00F01D05"/>
    <w:rsid w:val="00F01D48"/>
    <w:rsid w:val="00F01E41"/>
    <w:rsid w:val="00F025F3"/>
    <w:rsid w:val="00F02A17"/>
    <w:rsid w:val="00F02A4A"/>
    <w:rsid w:val="00F02AC1"/>
    <w:rsid w:val="00F02BAB"/>
    <w:rsid w:val="00F02DA0"/>
    <w:rsid w:val="00F03172"/>
    <w:rsid w:val="00F03302"/>
    <w:rsid w:val="00F03672"/>
    <w:rsid w:val="00F03822"/>
    <w:rsid w:val="00F03AC1"/>
    <w:rsid w:val="00F03CF4"/>
    <w:rsid w:val="00F03F14"/>
    <w:rsid w:val="00F04022"/>
    <w:rsid w:val="00F04130"/>
    <w:rsid w:val="00F046CA"/>
    <w:rsid w:val="00F049E8"/>
    <w:rsid w:val="00F04A18"/>
    <w:rsid w:val="00F04A26"/>
    <w:rsid w:val="00F04BA0"/>
    <w:rsid w:val="00F04BAB"/>
    <w:rsid w:val="00F0532D"/>
    <w:rsid w:val="00F0545C"/>
    <w:rsid w:val="00F0565E"/>
    <w:rsid w:val="00F05887"/>
    <w:rsid w:val="00F05FD8"/>
    <w:rsid w:val="00F05FDD"/>
    <w:rsid w:val="00F066D2"/>
    <w:rsid w:val="00F06925"/>
    <w:rsid w:val="00F06A00"/>
    <w:rsid w:val="00F06B3B"/>
    <w:rsid w:val="00F06D0B"/>
    <w:rsid w:val="00F07407"/>
    <w:rsid w:val="00F07554"/>
    <w:rsid w:val="00F07A5E"/>
    <w:rsid w:val="00F07DDB"/>
    <w:rsid w:val="00F07F4D"/>
    <w:rsid w:val="00F07FA1"/>
    <w:rsid w:val="00F10223"/>
    <w:rsid w:val="00F10391"/>
    <w:rsid w:val="00F1046D"/>
    <w:rsid w:val="00F10697"/>
    <w:rsid w:val="00F108BE"/>
    <w:rsid w:val="00F10BC6"/>
    <w:rsid w:val="00F10D33"/>
    <w:rsid w:val="00F10D3C"/>
    <w:rsid w:val="00F10DE6"/>
    <w:rsid w:val="00F11022"/>
    <w:rsid w:val="00F11591"/>
    <w:rsid w:val="00F11748"/>
    <w:rsid w:val="00F11893"/>
    <w:rsid w:val="00F1197C"/>
    <w:rsid w:val="00F11DC1"/>
    <w:rsid w:val="00F11F0B"/>
    <w:rsid w:val="00F11F5E"/>
    <w:rsid w:val="00F1209B"/>
    <w:rsid w:val="00F125B1"/>
    <w:rsid w:val="00F12680"/>
    <w:rsid w:val="00F1273E"/>
    <w:rsid w:val="00F12CDF"/>
    <w:rsid w:val="00F12D3D"/>
    <w:rsid w:val="00F133BE"/>
    <w:rsid w:val="00F135FA"/>
    <w:rsid w:val="00F139BA"/>
    <w:rsid w:val="00F13A8B"/>
    <w:rsid w:val="00F13C8D"/>
    <w:rsid w:val="00F13D48"/>
    <w:rsid w:val="00F13E87"/>
    <w:rsid w:val="00F13EAF"/>
    <w:rsid w:val="00F14435"/>
    <w:rsid w:val="00F1450E"/>
    <w:rsid w:val="00F147E0"/>
    <w:rsid w:val="00F1498D"/>
    <w:rsid w:val="00F14A55"/>
    <w:rsid w:val="00F14B15"/>
    <w:rsid w:val="00F14F3F"/>
    <w:rsid w:val="00F15024"/>
    <w:rsid w:val="00F151F0"/>
    <w:rsid w:val="00F154AC"/>
    <w:rsid w:val="00F155BC"/>
    <w:rsid w:val="00F155C0"/>
    <w:rsid w:val="00F1579A"/>
    <w:rsid w:val="00F15A69"/>
    <w:rsid w:val="00F15A76"/>
    <w:rsid w:val="00F15CC0"/>
    <w:rsid w:val="00F15D58"/>
    <w:rsid w:val="00F15DAA"/>
    <w:rsid w:val="00F15EE0"/>
    <w:rsid w:val="00F15FDE"/>
    <w:rsid w:val="00F16075"/>
    <w:rsid w:val="00F162DE"/>
    <w:rsid w:val="00F16B01"/>
    <w:rsid w:val="00F16CE6"/>
    <w:rsid w:val="00F16D30"/>
    <w:rsid w:val="00F16DBF"/>
    <w:rsid w:val="00F171F9"/>
    <w:rsid w:val="00F17269"/>
    <w:rsid w:val="00F174D4"/>
    <w:rsid w:val="00F17780"/>
    <w:rsid w:val="00F1797A"/>
    <w:rsid w:val="00F17A41"/>
    <w:rsid w:val="00F17F5C"/>
    <w:rsid w:val="00F20070"/>
    <w:rsid w:val="00F2049D"/>
    <w:rsid w:val="00F20E57"/>
    <w:rsid w:val="00F20F0A"/>
    <w:rsid w:val="00F213B7"/>
    <w:rsid w:val="00F2166C"/>
    <w:rsid w:val="00F216CB"/>
    <w:rsid w:val="00F21954"/>
    <w:rsid w:val="00F21A42"/>
    <w:rsid w:val="00F21A7E"/>
    <w:rsid w:val="00F21E25"/>
    <w:rsid w:val="00F21E4B"/>
    <w:rsid w:val="00F21E9E"/>
    <w:rsid w:val="00F221B9"/>
    <w:rsid w:val="00F2229F"/>
    <w:rsid w:val="00F222C2"/>
    <w:rsid w:val="00F22326"/>
    <w:rsid w:val="00F22338"/>
    <w:rsid w:val="00F22353"/>
    <w:rsid w:val="00F229F4"/>
    <w:rsid w:val="00F22BBD"/>
    <w:rsid w:val="00F23510"/>
    <w:rsid w:val="00F236E9"/>
    <w:rsid w:val="00F2376C"/>
    <w:rsid w:val="00F23E32"/>
    <w:rsid w:val="00F23FC5"/>
    <w:rsid w:val="00F2414D"/>
    <w:rsid w:val="00F241FD"/>
    <w:rsid w:val="00F2459C"/>
    <w:rsid w:val="00F24620"/>
    <w:rsid w:val="00F247A8"/>
    <w:rsid w:val="00F248D8"/>
    <w:rsid w:val="00F249D0"/>
    <w:rsid w:val="00F25142"/>
    <w:rsid w:val="00F2526C"/>
    <w:rsid w:val="00F2530A"/>
    <w:rsid w:val="00F253B6"/>
    <w:rsid w:val="00F25702"/>
    <w:rsid w:val="00F2592B"/>
    <w:rsid w:val="00F2599F"/>
    <w:rsid w:val="00F25B8B"/>
    <w:rsid w:val="00F25CA3"/>
    <w:rsid w:val="00F26134"/>
    <w:rsid w:val="00F2614D"/>
    <w:rsid w:val="00F266C7"/>
    <w:rsid w:val="00F26736"/>
    <w:rsid w:val="00F269DD"/>
    <w:rsid w:val="00F26DC3"/>
    <w:rsid w:val="00F26DEE"/>
    <w:rsid w:val="00F26EF0"/>
    <w:rsid w:val="00F26FA8"/>
    <w:rsid w:val="00F27098"/>
    <w:rsid w:val="00F27275"/>
    <w:rsid w:val="00F27758"/>
    <w:rsid w:val="00F27876"/>
    <w:rsid w:val="00F278CC"/>
    <w:rsid w:val="00F27976"/>
    <w:rsid w:val="00F27B31"/>
    <w:rsid w:val="00F3032D"/>
    <w:rsid w:val="00F303B6"/>
    <w:rsid w:val="00F303EC"/>
    <w:rsid w:val="00F30414"/>
    <w:rsid w:val="00F30493"/>
    <w:rsid w:val="00F3050E"/>
    <w:rsid w:val="00F30785"/>
    <w:rsid w:val="00F30877"/>
    <w:rsid w:val="00F3095A"/>
    <w:rsid w:val="00F30999"/>
    <w:rsid w:val="00F30CBE"/>
    <w:rsid w:val="00F30CDA"/>
    <w:rsid w:val="00F3100D"/>
    <w:rsid w:val="00F31158"/>
    <w:rsid w:val="00F311CB"/>
    <w:rsid w:val="00F312A3"/>
    <w:rsid w:val="00F313FF"/>
    <w:rsid w:val="00F31483"/>
    <w:rsid w:val="00F315CB"/>
    <w:rsid w:val="00F316DF"/>
    <w:rsid w:val="00F318D6"/>
    <w:rsid w:val="00F31C5B"/>
    <w:rsid w:val="00F31D1E"/>
    <w:rsid w:val="00F31F86"/>
    <w:rsid w:val="00F32068"/>
    <w:rsid w:val="00F3225D"/>
    <w:rsid w:val="00F32265"/>
    <w:rsid w:val="00F32326"/>
    <w:rsid w:val="00F324E6"/>
    <w:rsid w:val="00F32A9F"/>
    <w:rsid w:val="00F32D4B"/>
    <w:rsid w:val="00F32F1C"/>
    <w:rsid w:val="00F33138"/>
    <w:rsid w:val="00F33444"/>
    <w:rsid w:val="00F33A6D"/>
    <w:rsid w:val="00F33C8D"/>
    <w:rsid w:val="00F33EA1"/>
    <w:rsid w:val="00F3429F"/>
    <w:rsid w:val="00F3463E"/>
    <w:rsid w:val="00F346A0"/>
    <w:rsid w:val="00F34732"/>
    <w:rsid w:val="00F34A1D"/>
    <w:rsid w:val="00F34F00"/>
    <w:rsid w:val="00F34F3F"/>
    <w:rsid w:val="00F350C5"/>
    <w:rsid w:val="00F3523F"/>
    <w:rsid w:val="00F35311"/>
    <w:rsid w:val="00F35487"/>
    <w:rsid w:val="00F35675"/>
    <w:rsid w:val="00F357E7"/>
    <w:rsid w:val="00F35CA2"/>
    <w:rsid w:val="00F35CBD"/>
    <w:rsid w:val="00F35F78"/>
    <w:rsid w:val="00F362D9"/>
    <w:rsid w:val="00F36519"/>
    <w:rsid w:val="00F3688C"/>
    <w:rsid w:val="00F36B24"/>
    <w:rsid w:val="00F36B42"/>
    <w:rsid w:val="00F36C57"/>
    <w:rsid w:val="00F36D89"/>
    <w:rsid w:val="00F37328"/>
    <w:rsid w:val="00F375A2"/>
    <w:rsid w:val="00F376D8"/>
    <w:rsid w:val="00F3795A"/>
    <w:rsid w:val="00F37EDE"/>
    <w:rsid w:val="00F37F23"/>
    <w:rsid w:val="00F40108"/>
    <w:rsid w:val="00F40272"/>
    <w:rsid w:val="00F403F9"/>
    <w:rsid w:val="00F40485"/>
    <w:rsid w:val="00F406F8"/>
    <w:rsid w:val="00F4077A"/>
    <w:rsid w:val="00F407DD"/>
    <w:rsid w:val="00F40BD1"/>
    <w:rsid w:val="00F40E9C"/>
    <w:rsid w:val="00F40F2B"/>
    <w:rsid w:val="00F4117B"/>
    <w:rsid w:val="00F414D3"/>
    <w:rsid w:val="00F415EE"/>
    <w:rsid w:val="00F4198D"/>
    <w:rsid w:val="00F4247C"/>
    <w:rsid w:val="00F424AF"/>
    <w:rsid w:val="00F424BD"/>
    <w:rsid w:val="00F426C7"/>
    <w:rsid w:val="00F429D9"/>
    <w:rsid w:val="00F42A39"/>
    <w:rsid w:val="00F42D2E"/>
    <w:rsid w:val="00F42EF7"/>
    <w:rsid w:val="00F42FB0"/>
    <w:rsid w:val="00F430A4"/>
    <w:rsid w:val="00F431E5"/>
    <w:rsid w:val="00F43279"/>
    <w:rsid w:val="00F432B6"/>
    <w:rsid w:val="00F433F3"/>
    <w:rsid w:val="00F43496"/>
    <w:rsid w:val="00F4357F"/>
    <w:rsid w:val="00F438B4"/>
    <w:rsid w:val="00F43B34"/>
    <w:rsid w:val="00F43D68"/>
    <w:rsid w:val="00F44209"/>
    <w:rsid w:val="00F444E5"/>
    <w:rsid w:val="00F446A7"/>
    <w:rsid w:val="00F44731"/>
    <w:rsid w:val="00F4481F"/>
    <w:rsid w:val="00F4493E"/>
    <w:rsid w:val="00F44A45"/>
    <w:rsid w:val="00F44AE8"/>
    <w:rsid w:val="00F44AF1"/>
    <w:rsid w:val="00F44CBD"/>
    <w:rsid w:val="00F44FE6"/>
    <w:rsid w:val="00F44FF1"/>
    <w:rsid w:val="00F452C4"/>
    <w:rsid w:val="00F4556E"/>
    <w:rsid w:val="00F457A5"/>
    <w:rsid w:val="00F45948"/>
    <w:rsid w:val="00F459B3"/>
    <w:rsid w:val="00F459EB"/>
    <w:rsid w:val="00F460CD"/>
    <w:rsid w:val="00F46148"/>
    <w:rsid w:val="00F4648B"/>
    <w:rsid w:val="00F46A11"/>
    <w:rsid w:val="00F46C01"/>
    <w:rsid w:val="00F470A0"/>
    <w:rsid w:val="00F475F9"/>
    <w:rsid w:val="00F47646"/>
    <w:rsid w:val="00F4765A"/>
    <w:rsid w:val="00F47883"/>
    <w:rsid w:val="00F47DFE"/>
    <w:rsid w:val="00F47F09"/>
    <w:rsid w:val="00F503D7"/>
    <w:rsid w:val="00F5057C"/>
    <w:rsid w:val="00F50605"/>
    <w:rsid w:val="00F506FF"/>
    <w:rsid w:val="00F507F2"/>
    <w:rsid w:val="00F50E95"/>
    <w:rsid w:val="00F50F3D"/>
    <w:rsid w:val="00F5100F"/>
    <w:rsid w:val="00F513C7"/>
    <w:rsid w:val="00F51428"/>
    <w:rsid w:val="00F51452"/>
    <w:rsid w:val="00F51541"/>
    <w:rsid w:val="00F515D7"/>
    <w:rsid w:val="00F517E2"/>
    <w:rsid w:val="00F519E2"/>
    <w:rsid w:val="00F51A5C"/>
    <w:rsid w:val="00F51BBF"/>
    <w:rsid w:val="00F51CEA"/>
    <w:rsid w:val="00F51D8B"/>
    <w:rsid w:val="00F51E69"/>
    <w:rsid w:val="00F522A0"/>
    <w:rsid w:val="00F5276C"/>
    <w:rsid w:val="00F527F7"/>
    <w:rsid w:val="00F5293D"/>
    <w:rsid w:val="00F52A78"/>
    <w:rsid w:val="00F52F08"/>
    <w:rsid w:val="00F52F5D"/>
    <w:rsid w:val="00F5307D"/>
    <w:rsid w:val="00F53316"/>
    <w:rsid w:val="00F536A1"/>
    <w:rsid w:val="00F538F7"/>
    <w:rsid w:val="00F53B25"/>
    <w:rsid w:val="00F53CD5"/>
    <w:rsid w:val="00F53D2F"/>
    <w:rsid w:val="00F53EDD"/>
    <w:rsid w:val="00F549F2"/>
    <w:rsid w:val="00F54C1F"/>
    <w:rsid w:val="00F5515D"/>
    <w:rsid w:val="00F551C4"/>
    <w:rsid w:val="00F551CB"/>
    <w:rsid w:val="00F5523B"/>
    <w:rsid w:val="00F554E9"/>
    <w:rsid w:val="00F55597"/>
    <w:rsid w:val="00F5564F"/>
    <w:rsid w:val="00F55ABD"/>
    <w:rsid w:val="00F55C0E"/>
    <w:rsid w:val="00F55CB1"/>
    <w:rsid w:val="00F55DC0"/>
    <w:rsid w:val="00F55E03"/>
    <w:rsid w:val="00F56182"/>
    <w:rsid w:val="00F56183"/>
    <w:rsid w:val="00F563E4"/>
    <w:rsid w:val="00F566DD"/>
    <w:rsid w:val="00F5699E"/>
    <w:rsid w:val="00F569AC"/>
    <w:rsid w:val="00F569AD"/>
    <w:rsid w:val="00F56A10"/>
    <w:rsid w:val="00F56C3F"/>
    <w:rsid w:val="00F56E4C"/>
    <w:rsid w:val="00F56E76"/>
    <w:rsid w:val="00F571BC"/>
    <w:rsid w:val="00F57242"/>
    <w:rsid w:val="00F573C9"/>
    <w:rsid w:val="00F5792A"/>
    <w:rsid w:val="00F5797B"/>
    <w:rsid w:val="00F57C7A"/>
    <w:rsid w:val="00F57D95"/>
    <w:rsid w:val="00F57EE0"/>
    <w:rsid w:val="00F60014"/>
    <w:rsid w:val="00F6089E"/>
    <w:rsid w:val="00F6091A"/>
    <w:rsid w:val="00F610A4"/>
    <w:rsid w:val="00F61287"/>
    <w:rsid w:val="00F61369"/>
    <w:rsid w:val="00F61451"/>
    <w:rsid w:val="00F6148A"/>
    <w:rsid w:val="00F61582"/>
    <w:rsid w:val="00F61A2D"/>
    <w:rsid w:val="00F61BBF"/>
    <w:rsid w:val="00F61C33"/>
    <w:rsid w:val="00F61CC1"/>
    <w:rsid w:val="00F61E9C"/>
    <w:rsid w:val="00F61FD0"/>
    <w:rsid w:val="00F62497"/>
    <w:rsid w:val="00F626F4"/>
    <w:rsid w:val="00F62A24"/>
    <w:rsid w:val="00F62C9D"/>
    <w:rsid w:val="00F62F58"/>
    <w:rsid w:val="00F631BD"/>
    <w:rsid w:val="00F6344E"/>
    <w:rsid w:val="00F6346D"/>
    <w:rsid w:val="00F634CB"/>
    <w:rsid w:val="00F6353C"/>
    <w:rsid w:val="00F63945"/>
    <w:rsid w:val="00F63B14"/>
    <w:rsid w:val="00F63FC1"/>
    <w:rsid w:val="00F63FD0"/>
    <w:rsid w:val="00F644EA"/>
    <w:rsid w:val="00F64733"/>
    <w:rsid w:val="00F64D6B"/>
    <w:rsid w:val="00F64F4B"/>
    <w:rsid w:val="00F655B7"/>
    <w:rsid w:val="00F655B8"/>
    <w:rsid w:val="00F6565D"/>
    <w:rsid w:val="00F65757"/>
    <w:rsid w:val="00F65907"/>
    <w:rsid w:val="00F65D49"/>
    <w:rsid w:val="00F65DEC"/>
    <w:rsid w:val="00F66045"/>
    <w:rsid w:val="00F6613F"/>
    <w:rsid w:val="00F661EE"/>
    <w:rsid w:val="00F6622D"/>
    <w:rsid w:val="00F66409"/>
    <w:rsid w:val="00F666D2"/>
    <w:rsid w:val="00F66948"/>
    <w:rsid w:val="00F66A23"/>
    <w:rsid w:val="00F66D1D"/>
    <w:rsid w:val="00F66D46"/>
    <w:rsid w:val="00F66DF2"/>
    <w:rsid w:val="00F66E39"/>
    <w:rsid w:val="00F66E69"/>
    <w:rsid w:val="00F66FE8"/>
    <w:rsid w:val="00F670CF"/>
    <w:rsid w:val="00F67234"/>
    <w:rsid w:val="00F67400"/>
    <w:rsid w:val="00F67873"/>
    <w:rsid w:val="00F679E2"/>
    <w:rsid w:val="00F67A64"/>
    <w:rsid w:val="00F67C9E"/>
    <w:rsid w:val="00F67D3E"/>
    <w:rsid w:val="00F67E50"/>
    <w:rsid w:val="00F67EC3"/>
    <w:rsid w:val="00F67F43"/>
    <w:rsid w:val="00F67F78"/>
    <w:rsid w:val="00F70077"/>
    <w:rsid w:val="00F700CE"/>
    <w:rsid w:val="00F70125"/>
    <w:rsid w:val="00F70294"/>
    <w:rsid w:val="00F7034A"/>
    <w:rsid w:val="00F70353"/>
    <w:rsid w:val="00F704EF"/>
    <w:rsid w:val="00F70631"/>
    <w:rsid w:val="00F709A9"/>
    <w:rsid w:val="00F70B3C"/>
    <w:rsid w:val="00F70C70"/>
    <w:rsid w:val="00F70C7F"/>
    <w:rsid w:val="00F70CB5"/>
    <w:rsid w:val="00F71094"/>
    <w:rsid w:val="00F7129B"/>
    <w:rsid w:val="00F71426"/>
    <w:rsid w:val="00F715B1"/>
    <w:rsid w:val="00F717FF"/>
    <w:rsid w:val="00F719C7"/>
    <w:rsid w:val="00F71A14"/>
    <w:rsid w:val="00F71B35"/>
    <w:rsid w:val="00F71C55"/>
    <w:rsid w:val="00F72244"/>
    <w:rsid w:val="00F723F1"/>
    <w:rsid w:val="00F7244E"/>
    <w:rsid w:val="00F724AA"/>
    <w:rsid w:val="00F7256E"/>
    <w:rsid w:val="00F7257A"/>
    <w:rsid w:val="00F72ADB"/>
    <w:rsid w:val="00F72B4C"/>
    <w:rsid w:val="00F72C10"/>
    <w:rsid w:val="00F72C7E"/>
    <w:rsid w:val="00F738AE"/>
    <w:rsid w:val="00F73C1D"/>
    <w:rsid w:val="00F74276"/>
    <w:rsid w:val="00F7442C"/>
    <w:rsid w:val="00F7444F"/>
    <w:rsid w:val="00F74B17"/>
    <w:rsid w:val="00F74CB5"/>
    <w:rsid w:val="00F74D79"/>
    <w:rsid w:val="00F75127"/>
    <w:rsid w:val="00F75571"/>
    <w:rsid w:val="00F75C00"/>
    <w:rsid w:val="00F75C5B"/>
    <w:rsid w:val="00F75FDE"/>
    <w:rsid w:val="00F76043"/>
    <w:rsid w:val="00F76B34"/>
    <w:rsid w:val="00F76C48"/>
    <w:rsid w:val="00F7709B"/>
    <w:rsid w:val="00F771EF"/>
    <w:rsid w:val="00F77281"/>
    <w:rsid w:val="00F774C8"/>
    <w:rsid w:val="00F7756F"/>
    <w:rsid w:val="00F77685"/>
    <w:rsid w:val="00F7790E"/>
    <w:rsid w:val="00F77E61"/>
    <w:rsid w:val="00F800F0"/>
    <w:rsid w:val="00F80189"/>
    <w:rsid w:val="00F802B8"/>
    <w:rsid w:val="00F802CF"/>
    <w:rsid w:val="00F8082B"/>
    <w:rsid w:val="00F809CC"/>
    <w:rsid w:val="00F80B57"/>
    <w:rsid w:val="00F80C4B"/>
    <w:rsid w:val="00F80DFD"/>
    <w:rsid w:val="00F810FA"/>
    <w:rsid w:val="00F81223"/>
    <w:rsid w:val="00F81472"/>
    <w:rsid w:val="00F81491"/>
    <w:rsid w:val="00F81767"/>
    <w:rsid w:val="00F81A30"/>
    <w:rsid w:val="00F81EAB"/>
    <w:rsid w:val="00F81FAE"/>
    <w:rsid w:val="00F81FEE"/>
    <w:rsid w:val="00F822C2"/>
    <w:rsid w:val="00F822D9"/>
    <w:rsid w:val="00F82468"/>
    <w:rsid w:val="00F824A3"/>
    <w:rsid w:val="00F82663"/>
    <w:rsid w:val="00F82759"/>
    <w:rsid w:val="00F8275E"/>
    <w:rsid w:val="00F82866"/>
    <w:rsid w:val="00F82A9B"/>
    <w:rsid w:val="00F82D64"/>
    <w:rsid w:val="00F82E4E"/>
    <w:rsid w:val="00F82EDD"/>
    <w:rsid w:val="00F830AB"/>
    <w:rsid w:val="00F83163"/>
    <w:rsid w:val="00F8356D"/>
    <w:rsid w:val="00F837A5"/>
    <w:rsid w:val="00F83926"/>
    <w:rsid w:val="00F83ADD"/>
    <w:rsid w:val="00F83AE9"/>
    <w:rsid w:val="00F8410D"/>
    <w:rsid w:val="00F84490"/>
    <w:rsid w:val="00F84699"/>
    <w:rsid w:val="00F8486A"/>
    <w:rsid w:val="00F84C38"/>
    <w:rsid w:val="00F84FAE"/>
    <w:rsid w:val="00F8529A"/>
    <w:rsid w:val="00F85399"/>
    <w:rsid w:val="00F8548B"/>
    <w:rsid w:val="00F854F4"/>
    <w:rsid w:val="00F858D0"/>
    <w:rsid w:val="00F85C7B"/>
    <w:rsid w:val="00F85E80"/>
    <w:rsid w:val="00F86034"/>
    <w:rsid w:val="00F8644B"/>
    <w:rsid w:val="00F864E8"/>
    <w:rsid w:val="00F866AA"/>
    <w:rsid w:val="00F86885"/>
    <w:rsid w:val="00F8694F"/>
    <w:rsid w:val="00F86F83"/>
    <w:rsid w:val="00F871F4"/>
    <w:rsid w:val="00F873FE"/>
    <w:rsid w:val="00F87F1C"/>
    <w:rsid w:val="00F87FD8"/>
    <w:rsid w:val="00F905C0"/>
    <w:rsid w:val="00F90CF9"/>
    <w:rsid w:val="00F90E1E"/>
    <w:rsid w:val="00F90F81"/>
    <w:rsid w:val="00F91086"/>
    <w:rsid w:val="00F915CA"/>
    <w:rsid w:val="00F91659"/>
    <w:rsid w:val="00F91BCA"/>
    <w:rsid w:val="00F91E76"/>
    <w:rsid w:val="00F925C0"/>
    <w:rsid w:val="00F9265B"/>
    <w:rsid w:val="00F9279F"/>
    <w:rsid w:val="00F9287A"/>
    <w:rsid w:val="00F92931"/>
    <w:rsid w:val="00F92CE3"/>
    <w:rsid w:val="00F92E12"/>
    <w:rsid w:val="00F92F03"/>
    <w:rsid w:val="00F9349D"/>
    <w:rsid w:val="00F934F1"/>
    <w:rsid w:val="00F93881"/>
    <w:rsid w:val="00F93911"/>
    <w:rsid w:val="00F93C22"/>
    <w:rsid w:val="00F93DAE"/>
    <w:rsid w:val="00F93E29"/>
    <w:rsid w:val="00F942A8"/>
    <w:rsid w:val="00F9442E"/>
    <w:rsid w:val="00F94456"/>
    <w:rsid w:val="00F944AB"/>
    <w:rsid w:val="00F945E6"/>
    <w:rsid w:val="00F946FC"/>
    <w:rsid w:val="00F94889"/>
    <w:rsid w:val="00F94A13"/>
    <w:rsid w:val="00F94A40"/>
    <w:rsid w:val="00F94BA7"/>
    <w:rsid w:val="00F94BEB"/>
    <w:rsid w:val="00F94C0E"/>
    <w:rsid w:val="00F950CB"/>
    <w:rsid w:val="00F9518A"/>
    <w:rsid w:val="00F951FA"/>
    <w:rsid w:val="00F957A9"/>
    <w:rsid w:val="00F957CF"/>
    <w:rsid w:val="00F958BE"/>
    <w:rsid w:val="00F958D0"/>
    <w:rsid w:val="00F958F0"/>
    <w:rsid w:val="00F95994"/>
    <w:rsid w:val="00F959A2"/>
    <w:rsid w:val="00F95AAD"/>
    <w:rsid w:val="00F95D9E"/>
    <w:rsid w:val="00F95ECF"/>
    <w:rsid w:val="00F960EB"/>
    <w:rsid w:val="00F9610B"/>
    <w:rsid w:val="00F96231"/>
    <w:rsid w:val="00F96391"/>
    <w:rsid w:val="00F96405"/>
    <w:rsid w:val="00F964A6"/>
    <w:rsid w:val="00F964B9"/>
    <w:rsid w:val="00F964E9"/>
    <w:rsid w:val="00F96667"/>
    <w:rsid w:val="00F96790"/>
    <w:rsid w:val="00F96831"/>
    <w:rsid w:val="00F96BC7"/>
    <w:rsid w:val="00F96DAB"/>
    <w:rsid w:val="00F96E44"/>
    <w:rsid w:val="00F9700F"/>
    <w:rsid w:val="00F970AF"/>
    <w:rsid w:val="00F97123"/>
    <w:rsid w:val="00F9740F"/>
    <w:rsid w:val="00F97411"/>
    <w:rsid w:val="00F9756C"/>
    <w:rsid w:val="00F975C8"/>
    <w:rsid w:val="00F977CF"/>
    <w:rsid w:val="00F9788C"/>
    <w:rsid w:val="00F979CC"/>
    <w:rsid w:val="00F97A35"/>
    <w:rsid w:val="00F97C76"/>
    <w:rsid w:val="00FA0165"/>
    <w:rsid w:val="00FA054E"/>
    <w:rsid w:val="00FA0615"/>
    <w:rsid w:val="00FA066D"/>
    <w:rsid w:val="00FA087E"/>
    <w:rsid w:val="00FA0956"/>
    <w:rsid w:val="00FA0C0F"/>
    <w:rsid w:val="00FA0CDB"/>
    <w:rsid w:val="00FA137A"/>
    <w:rsid w:val="00FA158E"/>
    <w:rsid w:val="00FA18E8"/>
    <w:rsid w:val="00FA1C73"/>
    <w:rsid w:val="00FA1CFC"/>
    <w:rsid w:val="00FA1ED1"/>
    <w:rsid w:val="00FA2066"/>
    <w:rsid w:val="00FA2149"/>
    <w:rsid w:val="00FA2242"/>
    <w:rsid w:val="00FA23A2"/>
    <w:rsid w:val="00FA27C2"/>
    <w:rsid w:val="00FA2E0D"/>
    <w:rsid w:val="00FA2F41"/>
    <w:rsid w:val="00FA2FE5"/>
    <w:rsid w:val="00FA31F4"/>
    <w:rsid w:val="00FA3DDA"/>
    <w:rsid w:val="00FA3EE4"/>
    <w:rsid w:val="00FA3FF9"/>
    <w:rsid w:val="00FA41BC"/>
    <w:rsid w:val="00FA4311"/>
    <w:rsid w:val="00FA4326"/>
    <w:rsid w:val="00FA47FB"/>
    <w:rsid w:val="00FA4B88"/>
    <w:rsid w:val="00FA4BFB"/>
    <w:rsid w:val="00FA4DA1"/>
    <w:rsid w:val="00FA4DEF"/>
    <w:rsid w:val="00FA4EB5"/>
    <w:rsid w:val="00FA4F9F"/>
    <w:rsid w:val="00FA5189"/>
    <w:rsid w:val="00FA518B"/>
    <w:rsid w:val="00FA51EA"/>
    <w:rsid w:val="00FA5326"/>
    <w:rsid w:val="00FA54BB"/>
    <w:rsid w:val="00FA55B0"/>
    <w:rsid w:val="00FA5601"/>
    <w:rsid w:val="00FA5A04"/>
    <w:rsid w:val="00FA5B97"/>
    <w:rsid w:val="00FA5CF7"/>
    <w:rsid w:val="00FA5EE4"/>
    <w:rsid w:val="00FA6545"/>
    <w:rsid w:val="00FA696C"/>
    <w:rsid w:val="00FA70A2"/>
    <w:rsid w:val="00FA75AC"/>
    <w:rsid w:val="00FA7727"/>
    <w:rsid w:val="00FA7810"/>
    <w:rsid w:val="00FA78AA"/>
    <w:rsid w:val="00FA7A80"/>
    <w:rsid w:val="00FA7ABD"/>
    <w:rsid w:val="00FB034F"/>
    <w:rsid w:val="00FB0517"/>
    <w:rsid w:val="00FB079F"/>
    <w:rsid w:val="00FB07F8"/>
    <w:rsid w:val="00FB0870"/>
    <w:rsid w:val="00FB0B0F"/>
    <w:rsid w:val="00FB1498"/>
    <w:rsid w:val="00FB18E1"/>
    <w:rsid w:val="00FB1AB9"/>
    <w:rsid w:val="00FB1ABE"/>
    <w:rsid w:val="00FB1AF6"/>
    <w:rsid w:val="00FB2060"/>
    <w:rsid w:val="00FB27A9"/>
    <w:rsid w:val="00FB29F0"/>
    <w:rsid w:val="00FB2C78"/>
    <w:rsid w:val="00FB2F59"/>
    <w:rsid w:val="00FB2F5A"/>
    <w:rsid w:val="00FB3082"/>
    <w:rsid w:val="00FB30EF"/>
    <w:rsid w:val="00FB333F"/>
    <w:rsid w:val="00FB3379"/>
    <w:rsid w:val="00FB33B8"/>
    <w:rsid w:val="00FB3759"/>
    <w:rsid w:val="00FB3817"/>
    <w:rsid w:val="00FB3855"/>
    <w:rsid w:val="00FB3A40"/>
    <w:rsid w:val="00FB3E0D"/>
    <w:rsid w:val="00FB4005"/>
    <w:rsid w:val="00FB40F6"/>
    <w:rsid w:val="00FB42D4"/>
    <w:rsid w:val="00FB4305"/>
    <w:rsid w:val="00FB4405"/>
    <w:rsid w:val="00FB44C3"/>
    <w:rsid w:val="00FB458C"/>
    <w:rsid w:val="00FB48BB"/>
    <w:rsid w:val="00FB4A29"/>
    <w:rsid w:val="00FB4BC1"/>
    <w:rsid w:val="00FB50A3"/>
    <w:rsid w:val="00FB50B7"/>
    <w:rsid w:val="00FB525F"/>
    <w:rsid w:val="00FB52E2"/>
    <w:rsid w:val="00FB55D8"/>
    <w:rsid w:val="00FB5904"/>
    <w:rsid w:val="00FB5C4D"/>
    <w:rsid w:val="00FB5C5D"/>
    <w:rsid w:val="00FB5CE7"/>
    <w:rsid w:val="00FB5FEC"/>
    <w:rsid w:val="00FB6080"/>
    <w:rsid w:val="00FB60EB"/>
    <w:rsid w:val="00FB6100"/>
    <w:rsid w:val="00FB6178"/>
    <w:rsid w:val="00FB62CF"/>
    <w:rsid w:val="00FB6E8A"/>
    <w:rsid w:val="00FB6EB2"/>
    <w:rsid w:val="00FB702B"/>
    <w:rsid w:val="00FB71B3"/>
    <w:rsid w:val="00FB73DB"/>
    <w:rsid w:val="00FB7426"/>
    <w:rsid w:val="00FB766A"/>
    <w:rsid w:val="00FB78E6"/>
    <w:rsid w:val="00FB7B5E"/>
    <w:rsid w:val="00FB7B68"/>
    <w:rsid w:val="00FB7C10"/>
    <w:rsid w:val="00FB7DDE"/>
    <w:rsid w:val="00FC0177"/>
    <w:rsid w:val="00FC027B"/>
    <w:rsid w:val="00FC02F2"/>
    <w:rsid w:val="00FC03FC"/>
    <w:rsid w:val="00FC04EC"/>
    <w:rsid w:val="00FC0738"/>
    <w:rsid w:val="00FC08FC"/>
    <w:rsid w:val="00FC0A7C"/>
    <w:rsid w:val="00FC0B6D"/>
    <w:rsid w:val="00FC0EED"/>
    <w:rsid w:val="00FC1518"/>
    <w:rsid w:val="00FC18BD"/>
    <w:rsid w:val="00FC1AA4"/>
    <w:rsid w:val="00FC1C6A"/>
    <w:rsid w:val="00FC1E23"/>
    <w:rsid w:val="00FC20CA"/>
    <w:rsid w:val="00FC216E"/>
    <w:rsid w:val="00FC22E3"/>
    <w:rsid w:val="00FC23F4"/>
    <w:rsid w:val="00FC2400"/>
    <w:rsid w:val="00FC248D"/>
    <w:rsid w:val="00FC2663"/>
    <w:rsid w:val="00FC26A8"/>
    <w:rsid w:val="00FC2827"/>
    <w:rsid w:val="00FC28EF"/>
    <w:rsid w:val="00FC2BF4"/>
    <w:rsid w:val="00FC2F2D"/>
    <w:rsid w:val="00FC2F75"/>
    <w:rsid w:val="00FC3013"/>
    <w:rsid w:val="00FC3195"/>
    <w:rsid w:val="00FC31E5"/>
    <w:rsid w:val="00FC3353"/>
    <w:rsid w:val="00FC340B"/>
    <w:rsid w:val="00FC35BF"/>
    <w:rsid w:val="00FC3A11"/>
    <w:rsid w:val="00FC3BB5"/>
    <w:rsid w:val="00FC3FDB"/>
    <w:rsid w:val="00FC4249"/>
    <w:rsid w:val="00FC4289"/>
    <w:rsid w:val="00FC438F"/>
    <w:rsid w:val="00FC4477"/>
    <w:rsid w:val="00FC4479"/>
    <w:rsid w:val="00FC455D"/>
    <w:rsid w:val="00FC4595"/>
    <w:rsid w:val="00FC48B6"/>
    <w:rsid w:val="00FC48E2"/>
    <w:rsid w:val="00FC4B9E"/>
    <w:rsid w:val="00FC4C1E"/>
    <w:rsid w:val="00FC4EB0"/>
    <w:rsid w:val="00FC4FB6"/>
    <w:rsid w:val="00FC5332"/>
    <w:rsid w:val="00FC54C4"/>
    <w:rsid w:val="00FC553E"/>
    <w:rsid w:val="00FC5566"/>
    <w:rsid w:val="00FC587F"/>
    <w:rsid w:val="00FC5B15"/>
    <w:rsid w:val="00FC5BD9"/>
    <w:rsid w:val="00FC5C4E"/>
    <w:rsid w:val="00FC5E37"/>
    <w:rsid w:val="00FC5E90"/>
    <w:rsid w:val="00FC63E7"/>
    <w:rsid w:val="00FC6863"/>
    <w:rsid w:val="00FC692C"/>
    <w:rsid w:val="00FC6B59"/>
    <w:rsid w:val="00FC6C84"/>
    <w:rsid w:val="00FC6D4A"/>
    <w:rsid w:val="00FC6F08"/>
    <w:rsid w:val="00FC718E"/>
    <w:rsid w:val="00FC7288"/>
    <w:rsid w:val="00FC7367"/>
    <w:rsid w:val="00FC73D1"/>
    <w:rsid w:val="00FC7471"/>
    <w:rsid w:val="00FC7703"/>
    <w:rsid w:val="00FC7A13"/>
    <w:rsid w:val="00FC7DD0"/>
    <w:rsid w:val="00FD0053"/>
    <w:rsid w:val="00FD005F"/>
    <w:rsid w:val="00FD0422"/>
    <w:rsid w:val="00FD046B"/>
    <w:rsid w:val="00FD0546"/>
    <w:rsid w:val="00FD0572"/>
    <w:rsid w:val="00FD071F"/>
    <w:rsid w:val="00FD08BB"/>
    <w:rsid w:val="00FD0E08"/>
    <w:rsid w:val="00FD10E6"/>
    <w:rsid w:val="00FD1446"/>
    <w:rsid w:val="00FD1522"/>
    <w:rsid w:val="00FD157B"/>
    <w:rsid w:val="00FD160C"/>
    <w:rsid w:val="00FD18EC"/>
    <w:rsid w:val="00FD19F1"/>
    <w:rsid w:val="00FD1A61"/>
    <w:rsid w:val="00FD1B05"/>
    <w:rsid w:val="00FD1DBB"/>
    <w:rsid w:val="00FD1E59"/>
    <w:rsid w:val="00FD1F24"/>
    <w:rsid w:val="00FD2023"/>
    <w:rsid w:val="00FD2312"/>
    <w:rsid w:val="00FD2393"/>
    <w:rsid w:val="00FD23F7"/>
    <w:rsid w:val="00FD241A"/>
    <w:rsid w:val="00FD288D"/>
    <w:rsid w:val="00FD2ABE"/>
    <w:rsid w:val="00FD2B77"/>
    <w:rsid w:val="00FD2BF8"/>
    <w:rsid w:val="00FD2CDE"/>
    <w:rsid w:val="00FD2F4E"/>
    <w:rsid w:val="00FD2FD7"/>
    <w:rsid w:val="00FD3089"/>
    <w:rsid w:val="00FD319E"/>
    <w:rsid w:val="00FD31DF"/>
    <w:rsid w:val="00FD3969"/>
    <w:rsid w:val="00FD3999"/>
    <w:rsid w:val="00FD3AF5"/>
    <w:rsid w:val="00FD3C3F"/>
    <w:rsid w:val="00FD3C6F"/>
    <w:rsid w:val="00FD3EEF"/>
    <w:rsid w:val="00FD3F10"/>
    <w:rsid w:val="00FD3FFB"/>
    <w:rsid w:val="00FD419C"/>
    <w:rsid w:val="00FD41BA"/>
    <w:rsid w:val="00FD4460"/>
    <w:rsid w:val="00FD4E54"/>
    <w:rsid w:val="00FD51A2"/>
    <w:rsid w:val="00FD52CB"/>
    <w:rsid w:val="00FD56DD"/>
    <w:rsid w:val="00FD5722"/>
    <w:rsid w:val="00FD6075"/>
    <w:rsid w:val="00FD6184"/>
    <w:rsid w:val="00FD62A8"/>
    <w:rsid w:val="00FD6662"/>
    <w:rsid w:val="00FD68E2"/>
    <w:rsid w:val="00FD697B"/>
    <w:rsid w:val="00FD6B83"/>
    <w:rsid w:val="00FD6BA4"/>
    <w:rsid w:val="00FD6F5A"/>
    <w:rsid w:val="00FD70DA"/>
    <w:rsid w:val="00FD71A1"/>
    <w:rsid w:val="00FD7332"/>
    <w:rsid w:val="00FD761F"/>
    <w:rsid w:val="00FD77E8"/>
    <w:rsid w:val="00FD7B99"/>
    <w:rsid w:val="00FD7BBD"/>
    <w:rsid w:val="00FD7C6D"/>
    <w:rsid w:val="00FD7D56"/>
    <w:rsid w:val="00FD7F3F"/>
    <w:rsid w:val="00FD7F85"/>
    <w:rsid w:val="00FE0175"/>
    <w:rsid w:val="00FE036D"/>
    <w:rsid w:val="00FE04BF"/>
    <w:rsid w:val="00FE0752"/>
    <w:rsid w:val="00FE07BF"/>
    <w:rsid w:val="00FE0830"/>
    <w:rsid w:val="00FE0A71"/>
    <w:rsid w:val="00FE1345"/>
    <w:rsid w:val="00FE1361"/>
    <w:rsid w:val="00FE1663"/>
    <w:rsid w:val="00FE16C5"/>
    <w:rsid w:val="00FE179F"/>
    <w:rsid w:val="00FE1A50"/>
    <w:rsid w:val="00FE20BF"/>
    <w:rsid w:val="00FE2660"/>
    <w:rsid w:val="00FE29AE"/>
    <w:rsid w:val="00FE2B33"/>
    <w:rsid w:val="00FE2FAA"/>
    <w:rsid w:val="00FE3006"/>
    <w:rsid w:val="00FE31A8"/>
    <w:rsid w:val="00FE344E"/>
    <w:rsid w:val="00FE3483"/>
    <w:rsid w:val="00FE37C5"/>
    <w:rsid w:val="00FE3895"/>
    <w:rsid w:val="00FE394C"/>
    <w:rsid w:val="00FE3994"/>
    <w:rsid w:val="00FE3AA6"/>
    <w:rsid w:val="00FE3BB0"/>
    <w:rsid w:val="00FE3E8C"/>
    <w:rsid w:val="00FE3EA9"/>
    <w:rsid w:val="00FE3FC1"/>
    <w:rsid w:val="00FE41F5"/>
    <w:rsid w:val="00FE4478"/>
    <w:rsid w:val="00FE4698"/>
    <w:rsid w:val="00FE47BD"/>
    <w:rsid w:val="00FE4BC7"/>
    <w:rsid w:val="00FE4DC9"/>
    <w:rsid w:val="00FE4DEA"/>
    <w:rsid w:val="00FE4E40"/>
    <w:rsid w:val="00FE4E48"/>
    <w:rsid w:val="00FE5231"/>
    <w:rsid w:val="00FE532D"/>
    <w:rsid w:val="00FE56D6"/>
    <w:rsid w:val="00FE602C"/>
    <w:rsid w:val="00FE603E"/>
    <w:rsid w:val="00FE633D"/>
    <w:rsid w:val="00FE6AD2"/>
    <w:rsid w:val="00FE6C50"/>
    <w:rsid w:val="00FE6C9E"/>
    <w:rsid w:val="00FE70FA"/>
    <w:rsid w:val="00FE72FF"/>
    <w:rsid w:val="00FE73D7"/>
    <w:rsid w:val="00FE74FE"/>
    <w:rsid w:val="00FE7642"/>
    <w:rsid w:val="00FE77EC"/>
    <w:rsid w:val="00FE7A89"/>
    <w:rsid w:val="00FE7CA2"/>
    <w:rsid w:val="00FE7E17"/>
    <w:rsid w:val="00FE7F57"/>
    <w:rsid w:val="00FF0400"/>
    <w:rsid w:val="00FF04D0"/>
    <w:rsid w:val="00FF0642"/>
    <w:rsid w:val="00FF0820"/>
    <w:rsid w:val="00FF0A35"/>
    <w:rsid w:val="00FF0ADF"/>
    <w:rsid w:val="00FF1182"/>
    <w:rsid w:val="00FF1243"/>
    <w:rsid w:val="00FF1563"/>
    <w:rsid w:val="00FF1CE4"/>
    <w:rsid w:val="00FF214C"/>
    <w:rsid w:val="00FF29E6"/>
    <w:rsid w:val="00FF29EB"/>
    <w:rsid w:val="00FF2C46"/>
    <w:rsid w:val="00FF2F66"/>
    <w:rsid w:val="00FF30AE"/>
    <w:rsid w:val="00FF3184"/>
    <w:rsid w:val="00FF31D2"/>
    <w:rsid w:val="00FF33D4"/>
    <w:rsid w:val="00FF3448"/>
    <w:rsid w:val="00FF375E"/>
    <w:rsid w:val="00FF3791"/>
    <w:rsid w:val="00FF37FA"/>
    <w:rsid w:val="00FF3B6E"/>
    <w:rsid w:val="00FF415E"/>
    <w:rsid w:val="00FF41E5"/>
    <w:rsid w:val="00FF4AC7"/>
    <w:rsid w:val="00FF4BD3"/>
    <w:rsid w:val="00FF4C24"/>
    <w:rsid w:val="00FF511C"/>
    <w:rsid w:val="00FF563C"/>
    <w:rsid w:val="00FF5A78"/>
    <w:rsid w:val="00FF601A"/>
    <w:rsid w:val="00FF629A"/>
    <w:rsid w:val="00FF653D"/>
    <w:rsid w:val="00FF6621"/>
    <w:rsid w:val="00FF66F0"/>
    <w:rsid w:val="00FF6847"/>
    <w:rsid w:val="00FF6B9D"/>
    <w:rsid w:val="00FF6E53"/>
    <w:rsid w:val="00FF70D6"/>
    <w:rsid w:val="00FF7231"/>
    <w:rsid w:val="00FF73A6"/>
    <w:rsid w:val="00FF742F"/>
    <w:rsid w:val="00FF75B8"/>
    <w:rsid w:val="00FF77BA"/>
    <w:rsid w:val="00FF77D2"/>
    <w:rsid w:val="00FF79E9"/>
    <w:rsid w:val="00FF7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3138" fill="f" fillcolor="white">
      <v:fill color="white" on="f"/>
      <o:colormru v:ext="edit" colors="#c0f,#36f,blue,white,#93f,#f06,black"/>
    </o:shapedefaults>
    <o:shapelayout v:ext="edit">
      <o:idmap v:ext="edit" data="1,3,4,5,6,7,8,9,10,11,12"/>
    </o:shapelayout>
  </w:shapeDefaults>
  <w:decimalSymbol w:val="."/>
  <w:listSeparator w:val=","/>
  <w14:docId w14:val="14A57B0E"/>
  <w15:docId w15:val="{DF2C8F4C-9E91-4DF4-B050-23FF418F7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5BF5"/>
    <w:pPr>
      <w:widowControl w:val="0"/>
      <w:jc w:val="both"/>
    </w:pPr>
    <w:rPr>
      <w:color w:val="000000"/>
      <w:kern w:val="2"/>
      <w:sz w:val="21"/>
      <w:szCs w:val="24"/>
    </w:rPr>
  </w:style>
  <w:style w:type="paragraph" w:styleId="1">
    <w:name w:val="heading 1"/>
    <w:aliases w:val="章节标题,章标题 1,-*+,h1,1st level,Section Head,l1,b1,本标题不使用,篇标题,第一章,主标题,H1,章标题,篇,Header1,H11,H12,H13,H14,H15,H16,H17,Heading 0,DocAccpt,天天,Heading 11,level 1,Level 1 Head,Head1,Heading apps,List level 1,(章名),Head 1,Head 11,Head 12,Head 111,Head 13,g"/>
    <w:basedOn w:val="a0"/>
    <w:next w:val="a0"/>
    <w:link w:val="10"/>
    <w:uiPriority w:val="9"/>
    <w:qFormat/>
    <w:rsid w:val="00811125"/>
    <w:pPr>
      <w:keepNext/>
      <w:keepLines/>
      <w:spacing w:before="340" w:after="330" w:line="576" w:lineRule="auto"/>
      <w:outlineLvl w:val="0"/>
    </w:pPr>
    <w:rPr>
      <w:b/>
      <w:bCs/>
      <w:kern w:val="44"/>
      <w:sz w:val="44"/>
      <w:szCs w:val="44"/>
    </w:rPr>
  </w:style>
  <w:style w:type="paragraph" w:styleId="2">
    <w:name w:val="heading 2"/>
    <w:aliases w:val="节,标题 2 Char1,标题 2 Char Char"/>
    <w:basedOn w:val="a0"/>
    <w:next w:val="a1"/>
    <w:link w:val="20"/>
    <w:qFormat/>
    <w:rsid w:val="00112C2C"/>
    <w:pPr>
      <w:keepNext/>
      <w:keepLines/>
      <w:spacing w:before="240" w:after="120"/>
      <w:outlineLvl w:val="1"/>
    </w:pPr>
    <w:rPr>
      <w:rFonts w:ascii="Arial" w:eastAsia="黑体" w:hAnsi="Arial"/>
      <w:b/>
      <w:sz w:val="28"/>
    </w:rPr>
  </w:style>
  <w:style w:type="paragraph" w:styleId="3">
    <w:name w:val="heading 3"/>
    <w:aliases w:val="标题 13,Re,Head 3 WSA,h3,B Head,H3,..,标题 3 Char Char,标题 3 Char1 Char Char Char,标题 3 Char1 Char Char,标题 31,第 章,头,标题 3 Char1 Char Char Char Char Char,My title 3,小节标题,条标题1.1.1,level_3,PIM 3,Level 3 Head,Heading 3 - old,sect1.2.3,sect1.2.31,3,l3,第二层条,一,小"/>
    <w:basedOn w:val="a0"/>
    <w:next w:val="a0"/>
    <w:link w:val="30"/>
    <w:qFormat/>
    <w:rsid w:val="00096D71"/>
    <w:pPr>
      <w:keepNext/>
      <w:keepLines/>
      <w:spacing w:line="520" w:lineRule="exact"/>
      <w:outlineLvl w:val="2"/>
    </w:pPr>
    <w:rPr>
      <w:b/>
      <w:bCs/>
      <w:sz w:val="28"/>
      <w:szCs w:val="32"/>
    </w:rPr>
  </w:style>
  <w:style w:type="paragraph" w:styleId="4">
    <w:name w:val="heading 4"/>
    <w:basedOn w:val="a0"/>
    <w:next w:val="a0"/>
    <w:link w:val="40"/>
    <w:qFormat/>
    <w:rsid w:val="00112C2C"/>
    <w:pPr>
      <w:keepNext/>
      <w:keepLines/>
      <w:spacing w:before="280" w:after="290" w:line="376" w:lineRule="auto"/>
      <w:outlineLvl w:val="3"/>
    </w:pPr>
    <w:rPr>
      <w:rFonts w:ascii="Arial" w:eastAsia="黑体" w:hAnsi="Arial"/>
      <w:b/>
      <w:bCs/>
      <w:sz w:val="24"/>
      <w:szCs w:val="28"/>
    </w:rPr>
  </w:style>
  <w:style w:type="paragraph" w:styleId="5">
    <w:name w:val="heading 5"/>
    <w:basedOn w:val="a0"/>
    <w:next w:val="a0"/>
    <w:link w:val="50"/>
    <w:qFormat/>
    <w:rsid w:val="00112C2C"/>
    <w:pPr>
      <w:keepNext/>
      <w:keepLines/>
      <w:spacing w:before="280" w:after="290" w:line="376" w:lineRule="auto"/>
      <w:outlineLvl w:val="4"/>
    </w:pPr>
    <w:rPr>
      <w:b/>
      <w:bCs/>
      <w:sz w:val="24"/>
      <w:szCs w:val="28"/>
    </w:rPr>
  </w:style>
  <w:style w:type="paragraph" w:styleId="6">
    <w:name w:val="heading 6"/>
    <w:basedOn w:val="a0"/>
    <w:next w:val="a0"/>
    <w:link w:val="60"/>
    <w:qFormat/>
    <w:rsid w:val="00112C2C"/>
    <w:pPr>
      <w:keepNext/>
      <w:keepLines/>
      <w:spacing w:before="240" w:after="64" w:line="320" w:lineRule="auto"/>
      <w:outlineLvl w:val="5"/>
    </w:pPr>
    <w:rPr>
      <w:rFonts w:ascii="Arial" w:eastAsia="黑体" w:hAnsi="Arial"/>
      <w:b/>
      <w:bCs/>
      <w:sz w:val="24"/>
    </w:rPr>
  </w:style>
  <w:style w:type="paragraph" w:styleId="7">
    <w:name w:val="heading 7"/>
    <w:basedOn w:val="a0"/>
    <w:next w:val="a0"/>
    <w:link w:val="70"/>
    <w:qFormat/>
    <w:rsid w:val="00112C2C"/>
    <w:pPr>
      <w:keepNext/>
      <w:keepLines/>
      <w:spacing w:before="240" w:after="64" w:line="320" w:lineRule="auto"/>
      <w:outlineLvl w:val="6"/>
    </w:pPr>
    <w:rPr>
      <w:b/>
      <w:bCs/>
      <w:sz w:val="24"/>
    </w:rPr>
  </w:style>
  <w:style w:type="paragraph" w:styleId="8">
    <w:name w:val="heading 8"/>
    <w:basedOn w:val="a0"/>
    <w:next w:val="a0"/>
    <w:link w:val="80"/>
    <w:qFormat/>
    <w:rsid w:val="00112C2C"/>
    <w:pPr>
      <w:keepNext/>
      <w:keepLines/>
      <w:spacing w:before="240" w:after="64" w:line="320" w:lineRule="auto"/>
      <w:outlineLvl w:val="7"/>
    </w:pPr>
    <w:rPr>
      <w:rFonts w:ascii="Arial" w:eastAsia="黑体" w:hAnsi="Arial"/>
      <w:sz w:val="24"/>
    </w:rPr>
  </w:style>
  <w:style w:type="paragraph" w:styleId="9">
    <w:name w:val="heading 9"/>
    <w:basedOn w:val="a0"/>
    <w:next w:val="a0"/>
    <w:link w:val="90"/>
    <w:qFormat/>
    <w:rsid w:val="00112C2C"/>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页脚 字符"/>
    <w:basedOn w:val="a2"/>
    <w:link w:val="a6"/>
    <w:uiPriority w:val="99"/>
    <w:qFormat/>
    <w:rsid w:val="00811125"/>
    <w:rPr>
      <w:rFonts w:eastAsia="宋体"/>
      <w:kern w:val="2"/>
      <w:sz w:val="18"/>
      <w:szCs w:val="18"/>
      <w:lang w:val="en-US" w:eastAsia="zh-CN" w:bidi="ar-SA"/>
    </w:rPr>
  </w:style>
  <w:style w:type="character" w:customStyle="1" w:styleId="a7">
    <w:name w:val="页眉 字符"/>
    <w:basedOn w:val="a2"/>
    <w:link w:val="a8"/>
    <w:uiPriority w:val="99"/>
    <w:qFormat/>
    <w:rsid w:val="00811125"/>
    <w:rPr>
      <w:rFonts w:eastAsia="宋体"/>
      <w:kern w:val="2"/>
      <w:sz w:val="18"/>
      <w:szCs w:val="18"/>
      <w:lang w:val="en-US" w:eastAsia="zh-CN" w:bidi="ar-SA"/>
    </w:rPr>
  </w:style>
  <w:style w:type="character" w:customStyle="1" w:styleId="00Char">
    <w:name w:val="00 Char"/>
    <w:basedOn w:val="a2"/>
    <w:link w:val="00"/>
    <w:qFormat/>
    <w:rsid w:val="00811125"/>
    <w:rPr>
      <w:rFonts w:eastAsia="宋体" w:hAnsi="宋体"/>
      <w:kern w:val="2"/>
      <w:sz w:val="24"/>
      <w:szCs w:val="24"/>
      <w:lang w:val="en-US" w:eastAsia="zh-CN" w:bidi="ar-SA"/>
    </w:rPr>
  </w:style>
  <w:style w:type="character" w:customStyle="1" w:styleId="a9">
    <w:name w:val="纯文本 字符"/>
    <w:aliases w:val=" Char Char Char 字符, Char Char 字符,孙普文字 字符,文字缩进 字符,普通文字 字符,普通文字 Char Char Char 字符,普通文字 Char Char 字符,普通文字 Char Char Char Char Char Char Char Char Char 字符,纯文本1 字符,普通文字1 字符, Char1 字符,Char1 字符,表内文字 字符,纯文本 Char1 Char 字符,纯文本 Cha 字符"/>
    <w:basedOn w:val="a2"/>
    <w:link w:val="aa"/>
    <w:qFormat/>
    <w:rsid w:val="00811125"/>
    <w:rPr>
      <w:rFonts w:ascii="宋体" w:eastAsia="宋体" w:hAnsi="Courier New"/>
      <w:kern w:val="2"/>
      <w:sz w:val="21"/>
      <w:lang w:val="en-US" w:eastAsia="zh-CN" w:bidi="ar-SA"/>
    </w:rPr>
  </w:style>
  <w:style w:type="character" w:customStyle="1" w:styleId="10">
    <w:name w:val="标题 1 字符"/>
    <w:aliases w:val="章节标题 字符,章标题 1 字符,-*+ 字符,h1 字符,1st level 字符,Section Head 字符,l1 字符,b1 字符,本标题不使用 字符,篇标题 字符,第一章 字符,主标题 字符,H1 字符,章标题 字符,篇 字符,Header1 字符,H11 字符,H12 字符,H13 字符,H14 字符,H15 字符,H16 字符,H17 字符,Heading 0 字符,DocAccpt 字符,天天 字符,Heading 11 字符,level 1 字符,Head1 字符"/>
    <w:basedOn w:val="a2"/>
    <w:link w:val="1"/>
    <w:uiPriority w:val="9"/>
    <w:qFormat/>
    <w:rsid w:val="00811125"/>
    <w:rPr>
      <w:rFonts w:eastAsia="宋体"/>
      <w:b/>
      <w:bCs/>
      <w:kern w:val="44"/>
      <w:sz w:val="44"/>
      <w:szCs w:val="44"/>
      <w:lang w:val="en-US" w:eastAsia="zh-CN" w:bidi="ar-SA"/>
    </w:rPr>
  </w:style>
  <w:style w:type="character" w:styleId="ab">
    <w:name w:val="page number"/>
    <w:basedOn w:val="a2"/>
    <w:qFormat/>
    <w:rsid w:val="00811125"/>
  </w:style>
  <w:style w:type="paragraph" w:customStyle="1" w:styleId="ac">
    <w:name w:val="表内格式"/>
    <w:basedOn w:val="a0"/>
    <w:qFormat/>
    <w:rsid w:val="00811125"/>
    <w:pPr>
      <w:jc w:val="center"/>
    </w:pPr>
    <w:rPr>
      <w:sz w:val="18"/>
      <w:szCs w:val="20"/>
    </w:rPr>
  </w:style>
  <w:style w:type="paragraph" w:styleId="a8">
    <w:name w:val="header"/>
    <w:basedOn w:val="a0"/>
    <w:link w:val="a7"/>
    <w:uiPriority w:val="99"/>
    <w:qFormat/>
    <w:rsid w:val="00811125"/>
    <w:pPr>
      <w:pBdr>
        <w:bottom w:val="single" w:sz="6" w:space="1" w:color="auto"/>
      </w:pBdr>
      <w:tabs>
        <w:tab w:val="center" w:pos="4153"/>
        <w:tab w:val="right" w:pos="8306"/>
      </w:tabs>
      <w:snapToGrid w:val="0"/>
      <w:jc w:val="center"/>
    </w:pPr>
    <w:rPr>
      <w:sz w:val="18"/>
      <w:szCs w:val="18"/>
    </w:rPr>
  </w:style>
  <w:style w:type="paragraph" w:styleId="a6">
    <w:name w:val="footer"/>
    <w:basedOn w:val="a0"/>
    <w:link w:val="a5"/>
    <w:uiPriority w:val="99"/>
    <w:qFormat/>
    <w:rsid w:val="00811125"/>
    <w:pPr>
      <w:tabs>
        <w:tab w:val="center" w:pos="4153"/>
        <w:tab w:val="right" w:pos="8306"/>
      </w:tabs>
      <w:snapToGrid w:val="0"/>
      <w:jc w:val="left"/>
    </w:pPr>
    <w:rPr>
      <w:sz w:val="18"/>
      <w:szCs w:val="18"/>
    </w:rPr>
  </w:style>
  <w:style w:type="paragraph" w:styleId="aa">
    <w:name w:val="Plain Text"/>
    <w:aliases w:val=" Char Char Char, Char Char,孙普文字,文字缩进,普通文字,普通文字 Char Char Char,普通文字 Char Char,普通文字 Char Char Char Char Char Char Char Char Char,纯文本1,普通文字1, Char1,普通文字 Char Char Char Char Char Char Char Char Char Char Char Char Char1,Char1,表内文字,纯文本 Char1 Char,纯文本 Cha"/>
    <w:basedOn w:val="a0"/>
    <w:link w:val="a9"/>
    <w:qFormat/>
    <w:rsid w:val="00811125"/>
    <w:rPr>
      <w:rFonts w:ascii="宋体" w:hAnsi="Courier New"/>
    </w:rPr>
  </w:style>
  <w:style w:type="paragraph" w:customStyle="1" w:styleId="Char">
    <w:name w:val="Char"/>
    <w:basedOn w:val="a0"/>
    <w:qFormat/>
    <w:rsid w:val="00811125"/>
    <w:rPr>
      <w:szCs w:val="20"/>
    </w:rPr>
  </w:style>
  <w:style w:type="paragraph" w:customStyle="1" w:styleId="00">
    <w:name w:val="00"/>
    <w:basedOn w:val="a0"/>
    <w:link w:val="00Char"/>
    <w:qFormat/>
    <w:rsid w:val="00811125"/>
    <w:pPr>
      <w:spacing w:line="520" w:lineRule="exact"/>
      <w:ind w:firstLine="480"/>
    </w:pPr>
    <w:rPr>
      <w:rFonts w:hAnsi="宋体"/>
      <w:sz w:val="24"/>
    </w:rPr>
  </w:style>
  <w:style w:type="paragraph" w:customStyle="1" w:styleId="ad">
    <w:name w:val="书"/>
    <w:basedOn w:val="00"/>
    <w:link w:val="Char0"/>
    <w:qFormat/>
    <w:rsid w:val="00811125"/>
    <w:pPr>
      <w:ind w:firstLine="0"/>
    </w:pPr>
    <w:rPr>
      <w:rFonts w:ascii="楷体_GB2312" w:eastAsia="楷体_GB2312"/>
      <w:b/>
      <w:sz w:val="28"/>
    </w:rPr>
  </w:style>
  <w:style w:type="paragraph" w:customStyle="1" w:styleId="ParaChar">
    <w:name w:val="默认段落字体 Para Char"/>
    <w:basedOn w:val="a0"/>
    <w:qFormat/>
    <w:rsid w:val="00811125"/>
    <w:rPr>
      <w:sz w:val="24"/>
    </w:rPr>
  </w:style>
  <w:style w:type="paragraph" w:styleId="ae">
    <w:name w:val="Balloon Text"/>
    <w:basedOn w:val="a0"/>
    <w:link w:val="af"/>
    <w:uiPriority w:val="99"/>
    <w:unhideWhenUsed/>
    <w:qFormat/>
    <w:rsid w:val="000666C9"/>
    <w:rPr>
      <w:sz w:val="18"/>
      <w:szCs w:val="18"/>
    </w:rPr>
  </w:style>
  <w:style w:type="character" w:customStyle="1" w:styleId="af">
    <w:name w:val="批注框文本 字符"/>
    <w:basedOn w:val="a2"/>
    <w:link w:val="ae"/>
    <w:uiPriority w:val="99"/>
    <w:qFormat/>
    <w:rsid w:val="000666C9"/>
    <w:rPr>
      <w:kern w:val="2"/>
      <w:sz w:val="18"/>
      <w:szCs w:val="18"/>
    </w:rPr>
  </w:style>
  <w:style w:type="paragraph" w:customStyle="1" w:styleId="af0">
    <w:name w:val="报告"/>
    <w:basedOn w:val="a0"/>
    <w:link w:val="Char1"/>
    <w:qFormat/>
    <w:rsid w:val="00C227EC"/>
    <w:pPr>
      <w:overflowPunct w:val="0"/>
      <w:autoSpaceDE w:val="0"/>
      <w:autoSpaceDN w:val="0"/>
      <w:adjustRightInd w:val="0"/>
      <w:spacing w:beforeLines="30" w:afterLines="30" w:line="400" w:lineRule="atLeast"/>
      <w:ind w:leftChars="400" w:left="400"/>
      <w:textAlignment w:val="baseline"/>
    </w:pPr>
    <w:rPr>
      <w:kern w:val="0"/>
      <w:sz w:val="24"/>
      <w:szCs w:val="20"/>
    </w:rPr>
  </w:style>
  <w:style w:type="character" w:customStyle="1" w:styleId="Char1">
    <w:name w:val="报告 Char1"/>
    <w:basedOn w:val="a2"/>
    <w:link w:val="af0"/>
    <w:qFormat/>
    <w:rsid w:val="00C227EC"/>
    <w:rPr>
      <w:sz w:val="24"/>
    </w:rPr>
  </w:style>
  <w:style w:type="paragraph" w:styleId="af1">
    <w:name w:val="Normal (Web)"/>
    <w:aliases w:val="普通 (Web),普通(Web)"/>
    <w:basedOn w:val="a0"/>
    <w:link w:val="af2"/>
    <w:uiPriority w:val="99"/>
    <w:unhideWhenUsed/>
    <w:qFormat/>
    <w:rsid w:val="00241343"/>
    <w:pPr>
      <w:widowControl/>
      <w:jc w:val="left"/>
    </w:pPr>
    <w:rPr>
      <w:rFonts w:ascii="宋体" w:hAnsi="宋体" w:cs="Times New Roman"/>
      <w:kern w:val="0"/>
      <w:sz w:val="24"/>
    </w:rPr>
  </w:style>
  <w:style w:type="paragraph" w:customStyle="1" w:styleId="af3">
    <w:name w:val="表格文字"/>
    <w:basedOn w:val="a0"/>
    <w:link w:val="Char2"/>
    <w:autoRedefine/>
    <w:qFormat/>
    <w:rsid w:val="00BE1C6D"/>
    <w:pPr>
      <w:jc w:val="center"/>
    </w:pPr>
    <w:rPr>
      <w:rFonts w:ascii="Calibri" w:hAnsi="Calibri" w:cs="Times New Roman"/>
      <w:szCs w:val="21"/>
    </w:rPr>
  </w:style>
  <w:style w:type="character" w:customStyle="1" w:styleId="Char2">
    <w:name w:val="表格文字 Char"/>
    <w:aliases w:val="纯文本 Char Char Char Char Char Char Char Char Char Char Char Char Char Char Char Char Char Char Char Char Char Char Char Char Char Char Char Char Char Char"/>
    <w:link w:val="af3"/>
    <w:qFormat/>
    <w:rsid w:val="00BE1C6D"/>
    <w:rPr>
      <w:rFonts w:ascii="Calibri" w:hAnsi="Calibri" w:cs="Times New Roman"/>
      <w:color w:val="000000"/>
      <w:kern w:val="2"/>
      <w:sz w:val="21"/>
      <w:szCs w:val="21"/>
    </w:rPr>
  </w:style>
  <w:style w:type="table" w:styleId="af4">
    <w:name w:val="Table Theme"/>
    <w:basedOn w:val="a3"/>
    <w:qFormat/>
    <w:rsid w:val="0067634B"/>
    <w:pPr>
      <w:widowControl w:val="0"/>
      <w:jc w:val="both"/>
    </w:pPr>
    <w:rPr>
      <w:sz w:val="21"/>
    </w:rPr>
    <w:tblPr>
      <w:tblBorders>
        <w:top w:val="single" w:sz="4" w:space="0" w:color="auto"/>
        <w:bottom w:val="single" w:sz="4" w:space="0" w:color="auto"/>
        <w:insideH w:val="single" w:sz="4" w:space="0" w:color="auto"/>
        <w:insideV w:val="single" w:sz="4" w:space="0" w:color="auto"/>
      </w:tblBorders>
    </w:tblPr>
  </w:style>
  <w:style w:type="character" w:customStyle="1" w:styleId="af5">
    <w:name w:val="样式 黑色"/>
    <w:qFormat/>
    <w:rsid w:val="00E15ACF"/>
    <w:rPr>
      <w:rFonts w:ascii="tim" w:hAnsi="tim"/>
      <w:color w:val="000000"/>
    </w:rPr>
  </w:style>
  <w:style w:type="paragraph" w:customStyle="1" w:styleId="af6">
    <w:name w:val="表格内容"/>
    <w:aliases w:val="列出段落1,Quote"/>
    <w:basedOn w:val="a0"/>
    <w:next w:val="a0"/>
    <w:link w:val="Char3"/>
    <w:qFormat/>
    <w:rsid w:val="00F44209"/>
    <w:pPr>
      <w:jc w:val="center"/>
    </w:pPr>
  </w:style>
  <w:style w:type="paragraph" w:customStyle="1" w:styleId="p15">
    <w:name w:val="p15"/>
    <w:basedOn w:val="a0"/>
    <w:qFormat/>
    <w:rsid w:val="00BD1727"/>
    <w:pPr>
      <w:widowControl/>
    </w:pPr>
    <w:rPr>
      <w:kern w:val="0"/>
      <w:szCs w:val="21"/>
    </w:rPr>
  </w:style>
  <w:style w:type="paragraph" w:customStyle="1" w:styleId="p0">
    <w:name w:val="p0"/>
    <w:basedOn w:val="a0"/>
    <w:qFormat/>
    <w:rsid w:val="00C508EB"/>
    <w:pPr>
      <w:widowControl/>
    </w:pPr>
    <w:rPr>
      <w:kern w:val="0"/>
      <w:szCs w:val="21"/>
    </w:rPr>
  </w:style>
  <w:style w:type="paragraph" w:styleId="a1">
    <w:name w:val="Normal Indent"/>
    <w:aliases w:val="正文1,正文（首行缩进两字）,正文（首行缩进两字） Char Char Char Char Char Char Char,首行缩进两字,正文（首行缩进两字） Char,特点,正文（首行缩进两字） Char Char Char,正文（首行缩进两字） Char Char Char Char,表正文,正文非缩进,正文不缩进,段1,ALT+Z,标题4,四号,Char3,Char Char Char,Char Char,s4,表格标题,正文缩进1,正文缩进 Char,正文2,表格,s4 Char,缩进"/>
    <w:basedOn w:val="a0"/>
    <w:link w:val="11"/>
    <w:qFormat/>
    <w:rsid w:val="000A1D5C"/>
    <w:pPr>
      <w:ind w:firstLine="420"/>
    </w:pPr>
    <w:rPr>
      <w:szCs w:val="20"/>
    </w:rPr>
  </w:style>
  <w:style w:type="character" w:customStyle="1" w:styleId="30">
    <w:name w:val="标题 3 字符"/>
    <w:aliases w:val="标题 13 字符,Re 字符,Head 3 WSA 字符,h3 字符,B Head 字符,H3 字符,.. 字符,标题 3 Char Char 字符,标题 3 Char1 Char Char Char 字符,标题 3 Char1 Char Char 字符,标题 31 字符,第 章 字符,头 字符,标题 3 Char1 Char Char Char Char Char 字符,My title 3 字符,小节标题 字符,条标题1.1.1 字符,level_3 字符,PIM 3 字符"/>
    <w:basedOn w:val="a2"/>
    <w:link w:val="3"/>
    <w:qFormat/>
    <w:rsid w:val="00096D71"/>
    <w:rPr>
      <w:b/>
      <w:bCs/>
      <w:kern w:val="2"/>
      <w:sz w:val="28"/>
      <w:szCs w:val="32"/>
    </w:rPr>
  </w:style>
  <w:style w:type="character" w:customStyle="1" w:styleId="Char4">
    <w:name w:val="正文格式 Char"/>
    <w:basedOn w:val="a2"/>
    <w:link w:val="af7"/>
    <w:qFormat/>
    <w:rsid w:val="00096D71"/>
    <w:rPr>
      <w:rFonts w:cs="宋体"/>
      <w:kern w:val="2"/>
      <w:sz w:val="21"/>
      <w:szCs w:val="24"/>
    </w:rPr>
  </w:style>
  <w:style w:type="paragraph" w:customStyle="1" w:styleId="af7">
    <w:name w:val="正文格式"/>
    <w:basedOn w:val="a0"/>
    <w:link w:val="Char4"/>
    <w:qFormat/>
    <w:rsid w:val="00096D71"/>
    <w:pPr>
      <w:jc w:val="center"/>
    </w:pPr>
    <w:rPr>
      <w:rFonts w:cs="宋体"/>
    </w:rPr>
  </w:style>
  <w:style w:type="paragraph" w:styleId="af8">
    <w:name w:val="Document Map"/>
    <w:basedOn w:val="a0"/>
    <w:link w:val="af9"/>
    <w:qFormat/>
    <w:rsid w:val="00096D71"/>
    <w:pPr>
      <w:shd w:val="clear" w:color="auto" w:fill="000080"/>
      <w:spacing w:line="520" w:lineRule="exact"/>
      <w:ind w:firstLineChars="200" w:firstLine="200"/>
    </w:pPr>
    <w:rPr>
      <w:sz w:val="24"/>
    </w:rPr>
  </w:style>
  <w:style w:type="character" w:customStyle="1" w:styleId="af9">
    <w:name w:val="文档结构图 字符"/>
    <w:basedOn w:val="a2"/>
    <w:link w:val="af8"/>
    <w:qFormat/>
    <w:rsid w:val="00096D71"/>
    <w:rPr>
      <w:kern w:val="2"/>
      <w:sz w:val="24"/>
      <w:szCs w:val="24"/>
      <w:shd w:val="clear" w:color="auto" w:fill="000080"/>
    </w:rPr>
  </w:style>
  <w:style w:type="character" w:customStyle="1" w:styleId="21">
    <w:name w:val="正文首行缩进 2 字符"/>
    <w:basedOn w:val="a2"/>
    <w:link w:val="22"/>
    <w:qFormat/>
    <w:rsid w:val="00195EED"/>
    <w:rPr>
      <w:rFonts w:ascii="宋体" w:hAnsi="宋体"/>
      <w:kern w:val="2"/>
      <w:sz w:val="28"/>
      <w:szCs w:val="24"/>
    </w:rPr>
  </w:style>
  <w:style w:type="paragraph" w:styleId="afa">
    <w:name w:val="Body Text Indent"/>
    <w:aliases w:val="正文文字缩进"/>
    <w:basedOn w:val="a0"/>
    <w:link w:val="afb"/>
    <w:unhideWhenUsed/>
    <w:qFormat/>
    <w:rsid w:val="00195EED"/>
    <w:pPr>
      <w:spacing w:after="120"/>
      <w:ind w:leftChars="200" w:left="420"/>
    </w:pPr>
  </w:style>
  <w:style w:type="character" w:customStyle="1" w:styleId="afb">
    <w:name w:val="正文文本缩进 字符"/>
    <w:aliases w:val="正文文字缩进 字符"/>
    <w:basedOn w:val="a2"/>
    <w:link w:val="afa"/>
    <w:qFormat/>
    <w:rsid w:val="00195EED"/>
    <w:rPr>
      <w:kern w:val="2"/>
      <w:sz w:val="21"/>
      <w:szCs w:val="24"/>
    </w:rPr>
  </w:style>
  <w:style w:type="paragraph" w:styleId="22">
    <w:name w:val="Body Text First Indent 2"/>
    <w:basedOn w:val="afa"/>
    <w:link w:val="21"/>
    <w:qFormat/>
    <w:rsid w:val="00195EED"/>
    <w:pPr>
      <w:adjustRightInd w:val="0"/>
      <w:snapToGrid w:val="0"/>
      <w:spacing w:line="480" w:lineRule="exact"/>
      <w:ind w:firstLineChars="200" w:firstLine="420"/>
    </w:pPr>
    <w:rPr>
      <w:rFonts w:ascii="宋体" w:hAnsi="宋体"/>
      <w:sz w:val="28"/>
    </w:rPr>
  </w:style>
  <w:style w:type="character" w:customStyle="1" w:styleId="2Char1">
    <w:name w:val="正文首行缩进 2 Char1"/>
    <w:basedOn w:val="afb"/>
    <w:qFormat/>
    <w:rsid w:val="00195EED"/>
    <w:rPr>
      <w:kern w:val="2"/>
      <w:sz w:val="21"/>
      <w:szCs w:val="24"/>
    </w:rPr>
  </w:style>
  <w:style w:type="character" w:customStyle="1" w:styleId="Char5">
    <w:name w:val="表格居中 Char"/>
    <w:basedOn w:val="a2"/>
    <w:link w:val="afc"/>
    <w:qFormat/>
    <w:rsid w:val="001600C1"/>
    <w:rPr>
      <w:kern w:val="2"/>
      <w:sz w:val="21"/>
      <w:szCs w:val="21"/>
    </w:rPr>
  </w:style>
  <w:style w:type="paragraph" w:customStyle="1" w:styleId="afc">
    <w:name w:val="表格顶端对齐"/>
    <w:basedOn w:val="af6"/>
    <w:link w:val="Char5"/>
    <w:qFormat/>
    <w:rsid w:val="001600C1"/>
    <w:pPr>
      <w:ind w:left="-74" w:right="-104"/>
      <w:jc w:val="left"/>
    </w:pPr>
    <w:rPr>
      <w:szCs w:val="21"/>
    </w:rPr>
  </w:style>
  <w:style w:type="character" w:customStyle="1" w:styleId="Char3">
    <w:name w:val="表格内容 Char"/>
    <w:aliases w:val="Plain Text Char,纯文本 Char Char,四号 Char,缩进 Char,ALT+Z Char,文字缩进 Char,正文文本 Char Char,普通文字 Char Char2,纯文本 Char2 Char,纯文本 Char Char1 Char,普通文字 Char Char1 Char,纯文本 Char Char Char Char,纯文本 Char1 Char Char,普通文字 Char Char Char Char,列出段落1 Char1"/>
    <w:basedOn w:val="a2"/>
    <w:link w:val="af6"/>
    <w:qFormat/>
    <w:rsid w:val="00BB7657"/>
    <w:rPr>
      <w:kern w:val="2"/>
      <w:sz w:val="21"/>
      <w:szCs w:val="24"/>
    </w:rPr>
  </w:style>
  <w:style w:type="paragraph" w:customStyle="1" w:styleId="afd">
    <w:name w:val="表中正文"/>
    <w:basedOn w:val="a0"/>
    <w:qFormat/>
    <w:rsid w:val="00AA467E"/>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character" w:customStyle="1" w:styleId="00CharChar">
    <w:name w:val="00 Char Char"/>
    <w:qFormat/>
    <w:rsid w:val="0089709C"/>
    <w:rPr>
      <w:rFonts w:ascii="宋体" w:eastAsia="宋体" w:hAnsi="宋体" w:cs="宋体"/>
      <w:kern w:val="2"/>
      <w:sz w:val="24"/>
      <w:lang w:val="en-US" w:eastAsia="zh-CN" w:bidi="ar-SA"/>
    </w:rPr>
  </w:style>
  <w:style w:type="paragraph" w:customStyle="1" w:styleId="000">
    <w:name w:val="000"/>
    <w:basedOn w:val="00"/>
    <w:link w:val="000Char"/>
    <w:qFormat/>
    <w:rsid w:val="00AE2B43"/>
    <w:rPr>
      <w:rFonts w:ascii="Calibri" w:hAnsi="Calibri" w:cs="Times New Roman"/>
      <w:color w:val="auto"/>
    </w:rPr>
  </w:style>
  <w:style w:type="character" w:customStyle="1" w:styleId="000Char">
    <w:name w:val="000 Char"/>
    <w:link w:val="000"/>
    <w:qFormat/>
    <w:rsid w:val="00AE2B43"/>
    <w:rPr>
      <w:rFonts w:ascii="Calibri" w:hAnsi="Calibri"/>
      <w:kern w:val="2"/>
      <w:sz w:val="24"/>
      <w:szCs w:val="24"/>
    </w:rPr>
  </w:style>
  <w:style w:type="character" w:customStyle="1" w:styleId="11">
    <w:name w:val="正文缩进 字符1"/>
    <w:aliases w:val="正文1 字符,正文（首行缩进两字） 字符,正文（首行缩进两字） Char Char Char Char Char Char Char 字符,首行缩进两字 字符,正文（首行缩进两字） Char 字符,特点 字符,正文（首行缩进两字） Char Char Char 字符,正文（首行缩进两字） Char Char Char Char 字符,表正文 字符,正文非缩进 字符,正文不缩进 字符,段1 字符,ALT+Z 字符,标题4 字符,四号 字符,Char3 字符,Char Char 字符"/>
    <w:basedOn w:val="a2"/>
    <w:link w:val="a1"/>
    <w:qFormat/>
    <w:rsid w:val="00AE2B43"/>
    <w:rPr>
      <w:kern w:val="2"/>
      <w:sz w:val="21"/>
    </w:rPr>
  </w:style>
  <w:style w:type="paragraph" w:customStyle="1" w:styleId="41">
    <w:name w:val="样式4"/>
    <w:basedOn w:val="a0"/>
    <w:link w:val="4Char"/>
    <w:qFormat/>
    <w:rsid w:val="003F5805"/>
    <w:pPr>
      <w:spacing w:line="360" w:lineRule="auto"/>
    </w:pPr>
    <w:rPr>
      <w:rFonts w:ascii="楷体_GB2312" w:eastAsia="楷体_GB2312" w:hAnsi="楷体"/>
      <w:b/>
      <w:sz w:val="28"/>
      <w:szCs w:val="28"/>
    </w:rPr>
  </w:style>
  <w:style w:type="paragraph" w:customStyle="1" w:styleId="220">
    <w:name w:val="样式 正文首行缩进:  2 字符 + 首行缩进:  2 字符"/>
    <w:basedOn w:val="a0"/>
    <w:qFormat/>
    <w:rsid w:val="00972DC8"/>
    <w:pPr>
      <w:spacing w:line="360" w:lineRule="auto"/>
      <w:ind w:firstLineChars="200" w:firstLine="480"/>
    </w:pPr>
    <w:rPr>
      <w:rFonts w:cs="宋体"/>
      <w:sz w:val="24"/>
      <w:szCs w:val="20"/>
    </w:rPr>
  </w:style>
  <w:style w:type="table" w:styleId="afe">
    <w:name w:val="Table Grid"/>
    <w:aliases w:val="专业网格,灰度表格,统一表格,网格型模版,网格型刘,网格型c,网格型（pxg）,网格型1"/>
    <w:basedOn w:val="a3"/>
    <w:uiPriority w:val="59"/>
    <w:qFormat/>
    <w:rsid w:val="008238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0"/>
    <w:unhideWhenUsed/>
    <w:qFormat/>
    <w:rsid w:val="00174C18"/>
    <w:pPr>
      <w:numPr>
        <w:numId w:val="1"/>
      </w:numPr>
      <w:contextualSpacing/>
    </w:pPr>
  </w:style>
  <w:style w:type="character" w:customStyle="1" w:styleId="Char6">
    <w:name w:val="表格正文 Char"/>
    <w:basedOn w:val="a2"/>
    <w:link w:val="aff"/>
    <w:qFormat/>
    <w:locked/>
    <w:rsid w:val="00277E25"/>
    <w:rPr>
      <w:rFonts w:ascii="仿宋_GB2312" w:eastAsia="仿宋_GB2312"/>
      <w:kern w:val="2"/>
      <w:sz w:val="21"/>
      <w:szCs w:val="24"/>
    </w:rPr>
  </w:style>
  <w:style w:type="paragraph" w:customStyle="1" w:styleId="aff">
    <w:name w:val="表格正文"/>
    <w:basedOn w:val="a0"/>
    <w:link w:val="Char6"/>
    <w:qFormat/>
    <w:rsid w:val="00277E25"/>
    <w:pPr>
      <w:jc w:val="center"/>
    </w:pPr>
    <w:rPr>
      <w:rFonts w:ascii="仿宋_GB2312" w:eastAsia="仿宋_GB2312"/>
    </w:rPr>
  </w:style>
  <w:style w:type="character" w:styleId="aff0">
    <w:name w:val="Hyperlink"/>
    <w:uiPriority w:val="99"/>
    <w:qFormat/>
    <w:rsid w:val="00E359E7"/>
    <w:rPr>
      <w:color w:val="3366CC"/>
      <w:u w:val="single"/>
    </w:rPr>
  </w:style>
  <w:style w:type="paragraph" w:customStyle="1" w:styleId="1Char">
    <w:name w:val="1 Char"/>
    <w:basedOn w:val="a0"/>
    <w:qFormat/>
    <w:rsid w:val="00E56A8B"/>
    <w:pPr>
      <w:adjustRightInd w:val="0"/>
      <w:spacing w:line="360" w:lineRule="atLeast"/>
      <w:textAlignment w:val="baseline"/>
    </w:pPr>
  </w:style>
  <w:style w:type="paragraph" w:styleId="aff1">
    <w:name w:val="List Paragraph"/>
    <w:basedOn w:val="a0"/>
    <w:uiPriority w:val="34"/>
    <w:qFormat/>
    <w:rsid w:val="005F5992"/>
    <w:pPr>
      <w:ind w:firstLineChars="200" w:firstLine="420"/>
    </w:pPr>
    <w:rPr>
      <w:rFonts w:ascii="Calibri" w:hAnsi="Calibri"/>
      <w:szCs w:val="22"/>
    </w:rPr>
  </w:style>
  <w:style w:type="paragraph" w:customStyle="1" w:styleId="CharCharCharCharCharChar">
    <w:name w:val="Char Char Char Char Char Char"/>
    <w:basedOn w:val="a0"/>
    <w:qFormat/>
    <w:rsid w:val="00802792"/>
    <w:rPr>
      <w:sz w:val="24"/>
    </w:rPr>
  </w:style>
  <w:style w:type="paragraph" w:customStyle="1" w:styleId="1CharCharCharCharCharCharChar">
    <w:name w:val="1 Char Char Char Char Char Char Char"/>
    <w:basedOn w:val="a0"/>
    <w:qFormat/>
    <w:rsid w:val="00DA7F04"/>
    <w:rPr>
      <w:rFonts w:ascii="黑体" w:eastAsia="华文中宋" w:hAnsi="Arial" w:cs="宋体"/>
      <w:sz w:val="44"/>
      <w:szCs w:val="44"/>
    </w:rPr>
  </w:style>
  <w:style w:type="paragraph" w:customStyle="1" w:styleId="aff2">
    <w:name w:val="第三层标题"/>
    <w:basedOn w:val="a0"/>
    <w:next w:val="a0"/>
    <w:qFormat/>
    <w:rsid w:val="000D7D5C"/>
    <w:pPr>
      <w:ind w:firstLineChars="200" w:firstLine="200"/>
    </w:pPr>
    <w:rPr>
      <w:rFonts w:ascii="宋体" w:hAnsi="宋体" w:cs="宋体"/>
      <w:sz w:val="24"/>
    </w:rPr>
  </w:style>
  <w:style w:type="paragraph" w:customStyle="1" w:styleId="aff3">
    <w:name w:val="表头"/>
    <w:link w:val="CharChar"/>
    <w:qFormat/>
    <w:rsid w:val="00125FF3"/>
    <w:pPr>
      <w:spacing w:line="360" w:lineRule="auto"/>
    </w:pPr>
    <w:rPr>
      <w:rFonts w:cs="宋体"/>
      <w:b/>
      <w:color w:val="000000"/>
      <w:kern w:val="2"/>
      <w:sz w:val="24"/>
      <w:szCs w:val="24"/>
    </w:rPr>
  </w:style>
  <w:style w:type="character" w:customStyle="1" w:styleId="CharChar">
    <w:name w:val="表头 Char Char"/>
    <w:basedOn w:val="a2"/>
    <w:link w:val="aff3"/>
    <w:qFormat/>
    <w:rsid w:val="00125FF3"/>
    <w:rPr>
      <w:rFonts w:cs="宋体"/>
      <w:b/>
      <w:color w:val="000000"/>
      <w:kern w:val="2"/>
      <w:sz w:val="24"/>
      <w:szCs w:val="24"/>
      <w:lang w:val="en-US" w:eastAsia="zh-CN" w:bidi="ar-SA"/>
    </w:rPr>
  </w:style>
  <w:style w:type="character" w:customStyle="1" w:styleId="4Char">
    <w:name w:val="样式4 Char"/>
    <w:basedOn w:val="a2"/>
    <w:link w:val="41"/>
    <w:qFormat/>
    <w:rsid w:val="001568E1"/>
    <w:rPr>
      <w:rFonts w:ascii="楷体_GB2312" w:eastAsia="楷体_GB2312" w:hAnsi="楷体"/>
      <w:b/>
      <w:kern w:val="2"/>
      <w:sz w:val="28"/>
      <w:szCs w:val="28"/>
    </w:rPr>
  </w:style>
  <w:style w:type="paragraph" w:customStyle="1" w:styleId="1111">
    <w:name w:val="1111正文"/>
    <w:basedOn w:val="a0"/>
    <w:link w:val="1111Char"/>
    <w:qFormat/>
    <w:rsid w:val="008B0805"/>
    <w:pPr>
      <w:spacing w:line="480" w:lineRule="exact"/>
      <w:ind w:firstLineChars="200" w:firstLine="480"/>
    </w:pPr>
    <w:rPr>
      <w:rFonts w:cs="Times New Roman"/>
      <w:color w:val="auto"/>
      <w:sz w:val="24"/>
    </w:rPr>
  </w:style>
  <w:style w:type="character" w:customStyle="1" w:styleId="1111Char">
    <w:name w:val="1111正文 Char"/>
    <w:link w:val="1111"/>
    <w:qFormat/>
    <w:rsid w:val="008B0805"/>
    <w:rPr>
      <w:kern w:val="2"/>
      <w:sz w:val="24"/>
      <w:szCs w:val="24"/>
    </w:rPr>
  </w:style>
  <w:style w:type="paragraph" w:customStyle="1" w:styleId="aff4">
    <w:name w:val="报告书表格"/>
    <w:basedOn w:val="a0"/>
    <w:qFormat/>
    <w:rsid w:val="009675E5"/>
    <w:pPr>
      <w:adjustRightInd w:val="0"/>
      <w:spacing w:before="60" w:after="60" w:line="240" w:lineRule="atLeast"/>
      <w:jc w:val="center"/>
      <w:textAlignment w:val="baseline"/>
    </w:pPr>
    <w:rPr>
      <w:kern w:val="0"/>
      <w:szCs w:val="20"/>
    </w:rPr>
  </w:style>
  <w:style w:type="paragraph" w:customStyle="1" w:styleId="aff5">
    <w:name w:val="报告表格"/>
    <w:basedOn w:val="a0"/>
    <w:qFormat/>
    <w:rsid w:val="00827738"/>
    <w:pPr>
      <w:autoSpaceDE w:val="0"/>
      <w:autoSpaceDN w:val="0"/>
      <w:adjustRightInd w:val="0"/>
      <w:spacing w:before="40" w:after="40"/>
      <w:jc w:val="center"/>
      <w:textAlignment w:val="bottom"/>
    </w:pPr>
    <w:rPr>
      <w:kern w:val="0"/>
      <w:szCs w:val="20"/>
    </w:rPr>
  </w:style>
  <w:style w:type="character" w:customStyle="1" w:styleId="20">
    <w:name w:val="标题 2 字符"/>
    <w:aliases w:val="节 字符,标题 2 Char1 字符,标题 2 Char Char 字符"/>
    <w:basedOn w:val="a2"/>
    <w:link w:val="2"/>
    <w:qFormat/>
    <w:rsid w:val="00112C2C"/>
    <w:rPr>
      <w:rFonts w:ascii="Arial" w:eastAsia="黑体" w:hAnsi="Arial"/>
      <w:b/>
      <w:kern w:val="2"/>
      <w:sz w:val="28"/>
      <w:szCs w:val="24"/>
    </w:rPr>
  </w:style>
  <w:style w:type="character" w:customStyle="1" w:styleId="40">
    <w:name w:val="标题 4 字符"/>
    <w:basedOn w:val="a2"/>
    <w:link w:val="4"/>
    <w:qFormat/>
    <w:rsid w:val="00112C2C"/>
    <w:rPr>
      <w:rFonts w:ascii="Arial" w:eastAsia="黑体" w:hAnsi="Arial"/>
      <w:b/>
      <w:bCs/>
      <w:kern w:val="2"/>
      <w:sz w:val="24"/>
      <w:szCs w:val="28"/>
    </w:rPr>
  </w:style>
  <w:style w:type="character" w:customStyle="1" w:styleId="50">
    <w:name w:val="标题 5 字符"/>
    <w:basedOn w:val="a2"/>
    <w:link w:val="5"/>
    <w:qFormat/>
    <w:rsid w:val="00112C2C"/>
    <w:rPr>
      <w:b/>
      <w:bCs/>
      <w:kern w:val="2"/>
      <w:sz w:val="24"/>
      <w:szCs w:val="28"/>
    </w:rPr>
  </w:style>
  <w:style w:type="character" w:customStyle="1" w:styleId="60">
    <w:name w:val="标题 6 字符"/>
    <w:basedOn w:val="a2"/>
    <w:link w:val="6"/>
    <w:qFormat/>
    <w:rsid w:val="00112C2C"/>
    <w:rPr>
      <w:rFonts w:ascii="Arial" w:eastAsia="黑体" w:hAnsi="Arial"/>
      <w:b/>
      <w:bCs/>
      <w:kern w:val="2"/>
      <w:sz w:val="24"/>
      <w:szCs w:val="24"/>
    </w:rPr>
  </w:style>
  <w:style w:type="character" w:customStyle="1" w:styleId="70">
    <w:name w:val="标题 7 字符"/>
    <w:basedOn w:val="a2"/>
    <w:link w:val="7"/>
    <w:qFormat/>
    <w:rsid w:val="00112C2C"/>
    <w:rPr>
      <w:b/>
      <w:bCs/>
      <w:kern w:val="2"/>
      <w:sz w:val="24"/>
      <w:szCs w:val="24"/>
    </w:rPr>
  </w:style>
  <w:style w:type="character" w:customStyle="1" w:styleId="80">
    <w:name w:val="标题 8 字符"/>
    <w:basedOn w:val="a2"/>
    <w:link w:val="8"/>
    <w:qFormat/>
    <w:rsid w:val="00112C2C"/>
    <w:rPr>
      <w:rFonts w:ascii="Arial" w:eastAsia="黑体" w:hAnsi="Arial"/>
      <w:kern w:val="2"/>
      <w:sz w:val="24"/>
      <w:szCs w:val="24"/>
    </w:rPr>
  </w:style>
  <w:style w:type="character" w:customStyle="1" w:styleId="90">
    <w:name w:val="标题 9 字符"/>
    <w:basedOn w:val="a2"/>
    <w:link w:val="9"/>
    <w:qFormat/>
    <w:rsid w:val="00112C2C"/>
    <w:rPr>
      <w:rFonts w:ascii="Arial" w:eastAsia="黑体" w:hAnsi="Arial"/>
      <w:kern w:val="2"/>
      <w:sz w:val="21"/>
      <w:szCs w:val="21"/>
    </w:rPr>
  </w:style>
  <w:style w:type="paragraph" w:styleId="aff6">
    <w:name w:val="Body Text"/>
    <w:aliases w:val="正文文字 Char Char Char Char Char Char Char Char Char Char Char Char Char Char Char Char Char Char Char,正文文字"/>
    <w:basedOn w:val="a0"/>
    <w:link w:val="aff7"/>
    <w:qFormat/>
    <w:rsid w:val="00112C2C"/>
    <w:pPr>
      <w:spacing w:line="320" w:lineRule="exact"/>
    </w:pPr>
    <w:rPr>
      <w:sz w:val="24"/>
    </w:rPr>
  </w:style>
  <w:style w:type="character" w:customStyle="1" w:styleId="aff7">
    <w:name w:val="正文文本 字符"/>
    <w:aliases w:val="正文文字 Char Char Char Char Char Char Char Char Char Char Char Char Char Char Char Char Char Char Char 字符,正文文字 字符"/>
    <w:basedOn w:val="a2"/>
    <w:link w:val="aff6"/>
    <w:qFormat/>
    <w:rsid w:val="00112C2C"/>
    <w:rPr>
      <w:kern w:val="2"/>
      <w:sz w:val="24"/>
      <w:szCs w:val="24"/>
    </w:rPr>
  </w:style>
  <w:style w:type="paragraph" w:styleId="31">
    <w:name w:val="Body Text 3"/>
    <w:basedOn w:val="a0"/>
    <w:link w:val="32"/>
    <w:qFormat/>
    <w:rsid w:val="00112C2C"/>
    <w:pPr>
      <w:spacing w:line="280" w:lineRule="exact"/>
      <w:jc w:val="center"/>
    </w:pPr>
    <w:rPr>
      <w:sz w:val="24"/>
    </w:rPr>
  </w:style>
  <w:style w:type="character" w:customStyle="1" w:styleId="32">
    <w:name w:val="正文文本 3 字符"/>
    <w:basedOn w:val="a2"/>
    <w:link w:val="31"/>
    <w:qFormat/>
    <w:rsid w:val="00112C2C"/>
    <w:rPr>
      <w:kern w:val="2"/>
      <w:sz w:val="24"/>
      <w:szCs w:val="24"/>
    </w:rPr>
  </w:style>
  <w:style w:type="paragraph" w:styleId="23">
    <w:name w:val="Body Text Indent 2"/>
    <w:basedOn w:val="a0"/>
    <w:link w:val="24"/>
    <w:qFormat/>
    <w:rsid w:val="00112C2C"/>
    <w:pPr>
      <w:ind w:firstLineChars="200" w:firstLine="576"/>
    </w:pPr>
    <w:rPr>
      <w:spacing w:val="4"/>
      <w:sz w:val="24"/>
    </w:rPr>
  </w:style>
  <w:style w:type="character" w:customStyle="1" w:styleId="24">
    <w:name w:val="正文文本缩进 2 字符"/>
    <w:basedOn w:val="a2"/>
    <w:link w:val="23"/>
    <w:qFormat/>
    <w:rsid w:val="00112C2C"/>
    <w:rPr>
      <w:spacing w:val="4"/>
      <w:kern w:val="2"/>
      <w:sz w:val="24"/>
      <w:szCs w:val="24"/>
    </w:rPr>
  </w:style>
  <w:style w:type="paragraph" w:styleId="33">
    <w:name w:val="Body Text Indent 3"/>
    <w:aliases w:val="正文文字缩进 3"/>
    <w:basedOn w:val="a0"/>
    <w:link w:val="34"/>
    <w:qFormat/>
    <w:rsid w:val="00112C2C"/>
    <w:pPr>
      <w:ind w:firstLine="570"/>
    </w:pPr>
    <w:rPr>
      <w:spacing w:val="-4"/>
      <w:sz w:val="24"/>
    </w:rPr>
  </w:style>
  <w:style w:type="character" w:customStyle="1" w:styleId="34">
    <w:name w:val="正文文本缩进 3 字符"/>
    <w:aliases w:val="正文文字缩进 3 字符"/>
    <w:basedOn w:val="a2"/>
    <w:link w:val="33"/>
    <w:qFormat/>
    <w:rsid w:val="00112C2C"/>
    <w:rPr>
      <w:spacing w:val="-4"/>
      <w:kern w:val="2"/>
      <w:sz w:val="24"/>
      <w:szCs w:val="24"/>
    </w:rPr>
  </w:style>
  <w:style w:type="character" w:styleId="aff8">
    <w:name w:val="annotation reference"/>
    <w:basedOn w:val="a2"/>
    <w:qFormat/>
    <w:rsid w:val="00112C2C"/>
    <w:rPr>
      <w:rFonts w:ascii="宋体" w:eastAsia="楷体_GB2312" w:hAnsi="宋体" w:cs="宋体"/>
      <w:b/>
      <w:bCs/>
      <w:kern w:val="2"/>
      <w:sz w:val="21"/>
      <w:szCs w:val="21"/>
      <w:lang w:val="en-US" w:eastAsia="zh-CN" w:bidi="ar-SA"/>
    </w:rPr>
  </w:style>
  <w:style w:type="paragraph" w:styleId="aff9">
    <w:name w:val="annotation text"/>
    <w:basedOn w:val="a0"/>
    <w:link w:val="12"/>
    <w:qFormat/>
    <w:rsid w:val="00112C2C"/>
    <w:pPr>
      <w:jc w:val="left"/>
    </w:pPr>
    <w:rPr>
      <w:rFonts w:eastAsia="华文中宋"/>
      <w:sz w:val="24"/>
    </w:rPr>
  </w:style>
  <w:style w:type="character" w:customStyle="1" w:styleId="12">
    <w:name w:val="批注文字 字符1"/>
    <w:basedOn w:val="a2"/>
    <w:link w:val="aff9"/>
    <w:qFormat/>
    <w:rsid w:val="00112C2C"/>
    <w:rPr>
      <w:rFonts w:eastAsia="华文中宋"/>
      <w:kern w:val="2"/>
      <w:sz w:val="24"/>
      <w:szCs w:val="24"/>
    </w:rPr>
  </w:style>
  <w:style w:type="character" w:customStyle="1" w:styleId="textbig">
    <w:name w:val="textbig"/>
    <w:basedOn w:val="a2"/>
    <w:qFormat/>
    <w:rsid w:val="00112C2C"/>
    <w:rPr>
      <w:rFonts w:ascii="宋体" w:eastAsia="楷体_GB2312" w:hAnsi="宋体" w:cs="宋体"/>
      <w:b/>
      <w:bCs/>
      <w:kern w:val="2"/>
      <w:sz w:val="24"/>
      <w:szCs w:val="24"/>
      <w:lang w:val="en-US" w:eastAsia="zh-CN" w:bidi="ar-SA"/>
    </w:rPr>
  </w:style>
  <w:style w:type="paragraph" w:styleId="13">
    <w:name w:val="toc 1"/>
    <w:basedOn w:val="a0"/>
    <w:next w:val="a0"/>
    <w:autoRedefine/>
    <w:uiPriority w:val="39"/>
    <w:qFormat/>
    <w:rsid w:val="00332ADB"/>
    <w:pPr>
      <w:tabs>
        <w:tab w:val="right" w:leader="dot" w:pos="8302"/>
      </w:tabs>
      <w:spacing w:line="440" w:lineRule="exact"/>
    </w:pPr>
    <w:rPr>
      <w:rFonts w:ascii="Calibri" w:hAnsi="Calibri"/>
      <w:b/>
      <w:noProof/>
      <w:sz w:val="24"/>
    </w:rPr>
  </w:style>
  <w:style w:type="paragraph" w:styleId="25">
    <w:name w:val="toc 2"/>
    <w:basedOn w:val="a0"/>
    <w:next w:val="a0"/>
    <w:autoRedefine/>
    <w:uiPriority w:val="39"/>
    <w:qFormat/>
    <w:rsid w:val="00332ADB"/>
    <w:pPr>
      <w:tabs>
        <w:tab w:val="right" w:leader="dot" w:pos="8302"/>
      </w:tabs>
      <w:spacing w:line="420" w:lineRule="exact"/>
      <w:ind w:leftChars="200" w:left="420"/>
    </w:pPr>
    <w:rPr>
      <w:sz w:val="24"/>
    </w:rPr>
  </w:style>
  <w:style w:type="paragraph" w:styleId="35">
    <w:name w:val="toc 3"/>
    <w:basedOn w:val="a0"/>
    <w:next w:val="a0"/>
    <w:autoRedefine/>
    <w:uiPriority w:val="39"/>
    <w:qFormat/>
    <w:rsid w:val="00112C2C"/>
    <w:pPr>
      <w:ind w:leftChars="400" w:left="840"/>
    </w:pPr>
    <w:rPr>
      <w:sz w:val="24"/>
    </w:rPr>
  </w:style>
  <w:style w:type="paragraph" w:styleId="42">
    <w:name w:val="toc 4"/>
    <w:basedOn w:val="a0"/>
    <w:next w:val="a0"/>
    <w:autoRedefine/>
    <w:uiPriority w:val="39"/>
    <w:qFormat/>
    <w:rsid w:val="00112C2C"/>
    <w:pPr>
      <w:ind w:leftChars="600" w:left="1260"/>
    </w:pPr>
    <w:rPr>
      <w:sz w:val="24"/>
    </w:rPr>
  </w:style>
  <w:style w:type="paragraph" w:styleId="51">
    <w:name w:val="toc 5"/>
    <w:basedOn w:val="a0"/>
    <w:next w:val="a0"/>
    <w:autoRedefine/>
    <w:uiPriority w:val="39"/>
    <w:qFormat/>
    <w:rsid w:val="00112C2C"/>
    <w:pPr>
      <w:ind w:leftChars="800" w:left="1680"/>
    </w:pPr>
    <w:rPr>
      <w:sz w:val="24"/>
    </w:rPr>
  </w:style>
  <w:style w:type="paragraph" w:styleId="61">
    <w:name w:val="toc 6"/>
    <w:basedOn w:val="a0"/>
    <w:next w:val="a0"/>
    <w:autoRedefine/>
    <w:uiPriority w:val="39"/>
    <w:qFormat/>
    <w:rsid w:val="00112C2C"/>
    <w:pPr>
      <w:ind w:leftChars="1000" w:left="2100"/>
    </w:pPr>
    <w:rPr>
      <w:sz w:val="24"/>
    </w:rPr>
  </w:style>
  <w:style w:type="paragraph" w:styleId="71">
    <w:name w:val="toc 7"/>
    <w:basedOn w:val="a0"/>
    <w:next w:val="a0"/>
    <w:autoRedefine/>
    <w:uiPriority w:val="39"/>
    <w:qFormat/>
    <w:rsid w:val="00112C2C"/>
    <w:pPr>
      <w:ind w:leftChars="1200" w:left="2520"/>
    </w:pPr>
    <w:rPr>
      <w:sz w:val="24"/>
    </w:rPr>
  </w:style>
  <w:style w:type="paragraph" w:styleId="81">
    <w:name w:val="toc 8"/>
    <w:basedOn w:val="a0"/>
    <w:next w:val="a0"/>
    <w:autoRedefine/>
    <w:uiPriority w:val="39"/>
    <w:qFormat/>
    <w:rsid w:val="00112C2C"/>
    <w:pPr>
      <w:ind w:leftChars="1400" w:left="2940"/>
    </w:pPr>
    <w:rPr>
      <w:sz w:val="24"/>
    </w:rPr>
  </w:style>
  <w:style w:type="paragraph" w:styleId="91">
    <w:name w:val="toc 9"/>
    <w:basedOn w:val="a0"/>
    <w:next w:val="a0"/>
    <w:autoRedefine/>
    <w:uiPriority w:val="39"/>
    <w:qFormat/>
    <w:rsid w:val="00112C2C"/>
    <w:pPr>
      <w:ind w:leftChars="1600" w:left="3360"/>
    </w:pPr>
    <w:rPr>
      <w:sz w:val="24"/>
    </w:rPr>
  </w:style>
  <w:style w:type="paragraph" w:styleId="affa">
    <w:name w:val="annotation subject"/>
    <w:basedOn w:val="aff9"/>
    <w:next w:val="aff9"/>
    <w:link w:val="affb"/>
    <w:qFormat/>
    <w:rsid w:val="00112C2C"/>
    <w:rPr>
      <w:rFonts w:eastAsia="宋体"/>
      <w:b/>
      <w:bCs/>
    </w:rPr>
  </w:style>
  <w:style w:type="character" w:customStyle="1" w:styleId="affb">
    <w:name w:val="批注主题 字符"/>
    <w:basedOn w:val="12"/>
    <w:link w:val="affa"/>
    <w:qFormat/>
    <w:rsid w:val="00112C2C"/>
    <w:rPr>
      <w:rFonts w:eastAsia="华文中宋"/>
      <w:b/>
      <w:bCs/>
      <w:kern w:val="2"/>
      <w:sz w:val="24"/>
      <w:szCs w:val="24"/>
    </w:rPr>
  </w:style>
  <w:style w:type="paragraph" w:styleId="affc">
    <w:name w:val="Date"/>
    <w:basedOn w:val="a0"/>
    <w:next w:val="a0"/>
    <w:link w:val="affd"/>
    <w:qFormat/>
    <w:rsid w:val="00112C2C"/>
    <w:pPr>
      <w:ind w:leftChars="2500" w:left="100"/>
    </w:pPr>
    <w:rPr>
      <w:sz w:val="24"/>
    </w:rPr>
  </w:style>
  <w:style w:type="character" w:customStyle="1" w:styleId="affd">
    <w:name w:val="日期 字符"/>
    <w:basedOn w:val="a2"/>
    <w:link w:val="affc"/>
    <w:qFormat/>
    <w:rsid w:val="00112C2C"/>
    <w:rPr>
      <w:kern w:val="2"/>
      <w:sz w:val="24"/>
      <w:szCs w:val="24"/>
    </w:rPr>
  </w:style>
  <w:style w:type="paragraph" w:customStyle="1" w:styleId="14">
    <w:name w:val="表格1"/>
    <w:basedOn w:val="a0"/>
    <w:qFormat/>
    <w:rsid w:val="00112C2C"/>
    <w:pPr>
      <w:snapToGrid w:val="0"/>
      <w:spacing w:beforeLines="10" w:afterLines="10"/>
      <w:jc w:val="center"/>
    </w:pPr>
    <w:rPr>
      <w:sz w:val="18"/>
    </w:rPr>
  </w:style>
  <w:style w:type="paragraph" w:customStyle="1" w:styleId="pvc11">
    <w:name w:val="pvc1.1"/>
    <w:basedOn w:val="2"/>
    <w:next w:val="2"/>
    <w:semiHidden/>
    <w:qFormat/>
    <w:rsid w:val="00112C2C"/>
    <w:pPr>
      <w:numPr>
        <w:ilvl w:val="1"/>
      </w:numPr>
      <w:tabs>
        <w:tab w:val="num" w:pos="576"/>
        <w:tab w:val="left" w:pos="768"/>
      </w:tabs>
      <w:adjustRightInd w:val="0"/>
      <w:spacing w:beforeLines="100" w:afterLines="100" w:line="324" w:lineRule="auto"/>
      <w:ind w:left="576" w:hanging="576"/>
    </w:pPr>
    <w:rPr>
      <w:rFonts w:ascii="黑体" w:eastAsia="华文中宋" w:cs="宋体"/>
      <w:b w:val="0"/>
      <w:sz w:val="44"/>
      <w:szCs w:val="44"/>
    </w:rPr>
  </w:style>
  <w:style w:type="character" w:customStyle="1" w:styleId="apple-style-span">
    <w:name w:val="apple-style-span"/>
    <w:basedOn w:val="a2"/>
    <w:qFormat/>
    <w:rsid w:val="00112C2C"/>
    <w:rPr>
      <w:rFonts w:ascii="宋体" w:eastAsia="楷体_GB2312" w:hAnsi="宋体" w:cs="宋体"/>
      <w:b/>
      <w:bCs/>
      <w:kern w:val="2"/>
      <w:sz w:val="24"/>
      <w:szCs w:val="24"/>
      <w:lang w:val="en-US" w:eastAsia="zh-CN" w:bidi="ar-SA"/>
    </w:rPr>
  </w:style>
  <w:style w:type="character" w:customStyle="1" w:styleId="36614Char">
    <w:name w:val="样式 标题 3 + 华文中宋 小三 段前: 6 磅 段后: 6 磅 行距: 多倍行距 1.4 字行 Char"/>
    <w:basedOn w:val="a2"/>
    <w:qFormat/>
    <w:rsid w:val="00112C2C"/>
    <w:rPr>
      <w:rFonts w:ascii="华文中宋" w:eastAsia="华文中宋" w:hAnsi="华文中宋" w:cs="宋体"/>
      <w:b/>
      <w:bCs/>
      <w:color w:val="000000"/>
      <w:kern w:val="2"/>
      <w:sz w:val="30"/>
      <w:szCs w:val="30"/>
      <w:lang w:val="en-US" w:eastAsia="zh-CN" w:bidi="ar-SA"/>
    </w:rPr>
  </w:style>
  <w:style w:type="paragraph" w:customStyle="1" w:styleId="CharCharChar1CharCharCharCharCharCharCharCharCharCharCharCharCharCharCharChar">
    <w:name w:val="Char Char Char1 Char Char Char Char Char Char Char Char Char Char Char Char Char Char Char Char"/>
    <w:basedOn w:val="a0"/>
    <w:qFormat/>
    <w:rsid w:val="00112C2C"/>
    <w:rPr>
      <w:rFonts w:ascii="黑体" w:eastAsia="华文中宋" w:hAnsi="Arial" w:cs="宋体"/>
      <w:sz w:val="44"/>
      <w:szCs w:val="44"/>
    </w:rPr>
  </w:style>
  <w:style w:type="paragraph" w:customStyle="1" w:styleId="CharCharCharCharCharCharCharCharCharChar">
    <w:name w:val="Char Char Char Char Char Char Char Char Char Char"/>
    <w:basedOn w:val="a0"/>
    <w:qFormat/>
    <w:rsid w:val="00112C2C"/>
    <w:pPr>
      <w:snapToGrid w:val="0"/>
      <w:spacing w:line="360" w:lineRule="auto"/>
      <w:ind w:firstLineChars="200" w:firstLine="200"/>
    </w:pPr>
    <w:rPr>
      <w:rFonts w:eastAsia="仿宋_GB2312"/>
      <w:sz w:val="24"/>
    </w:rPr>
  </w:style>
  <w:style w:type="paragraph" w:customStyle="1" w:styleId="affe">
    <w:name w:val="一级条标题"/>
    <w:basedOn w:val="a0"/>
    <w:next w:val="a0"/>
    <w:qFormat/>
    <w:rsid w:val="00112C2C"/>
    <w:pPr>
      <w:widowControl/>
      <w:tabs>
        <w:tab w:val="num" w:pos="1740"/>
      </w:tabs>
      <w:ind w:left="1740" w:hanging="420"/>
      <w:outlineLvl w:val="2"/>
    </w:pPr>
    <w:rPr>
      <w:rFonts w:ascii="黑体" w:eastAsia="黑体" w:cs="黑体"/>
      <w:kern w:val="0"/>
      <w:szCs w:val="21"/>
    </w:rPr>
  </w:style>
  <w:style w:type="paragraph" w:customStyle="1" w:styleId="font5">
    <w:name w:val="font5"/>
    <w:basedOn w:val="a0"/>
    <w:qFormat/>
    <w:rsid w:val="00112C2C"/>
    <w:pPr>
      <w:widowControl/>
      <w:spacing w:before="100" w:beforeAutospacing="1" w:after="100" w:afterAutospacing="1"/>
      <w:jc w:val="left"/>
    </w:pPr>
    <w:rPr>
      <w:rFonts w:ascii="宋体" w:hAnsi="宋体" w:hint="eastAsia"/>
      <w:kern w:val="0"/>
      <w:sz w:val="24"/>
    </w:rPr>
  </w:style>
  <w:style w:type="character" w:customStyle="1" w:styleId="font201">
    <w:name w:val="font201"/>
    <w:basedOn w:val="a2"/>
    <w:qFormat/>
    <w:rsid w:val="00112C2C"/>
    <w:rPr>
      <w:rFonts w:ascii="宋体" w:eastAsia="楷体_GB2312" w:hAnsi="宋体" w:cs="宋体"/>
      <w:b/>
      <w:bCs/>
      <w:i w:val="0"/>
      <w:iCs w:val="0"/>
      <w:kern w:val="2"/>
      <w:sz w:val="24"/>
      <w:szCs w:val="24"/>
      <w:lang w:val="en-US" w:eastAsia="zh-CN" w:bidi="ar-SA"/>
    </w:rPr>
  </w:style>
  <w:style w:type="paragraph" w:customStyle="1" w:styleId="puce">
    <w:name w:val="puce"/>
    <w:basedOn w:val="a0"/>
    <w:qFormat/>
    <w:rsid w:val="00112C2C"/>
    <w:pPr>
      <w:widowControl/>
      <w:tabs>
        <w:tab w:val="left" w:pos="1040"/>
      </w:tabs>
      <w:adjustRightInd w:val="0"/>
      <w:snapToGrid w:val="0"/>
      <w:spacing w:before="120" w:after="120"/>
      <w:ind w:left="1020" w:hanging="340"/>
    </w:pPr>
    <w:rPr>
      <w:rFonts w:ascii="Arial" w:hAnsi="Arial"/>
      <w:kern w:val="0"/>
      <w:sz w:val="24"/>
      <w:szCs w:val="20"/>
    </w:rPr>
  </w:style>
  <w:style w:type="character" w:styleId="afff">
    <w:name w:val="FollowedHyperlink"/>
    <w:aliases w:val="已访问的超链接"/>
    <w:basedOn w:val="a2"/>
    <w:uiPriority w:val="99"/>
    <w:qFormat/>
    <w:rsid w:val="00112C2C"/>
    <w:rPr>
      <w:rFonts w:ascii="宋体" w:eastAsia="楷体_GB2312" w:hAnsi="宋体" w:cs="宋体"/>
      <w:b/>
      <w:bCs/>
      <w:color w:val="800080"/>
      <w:kern w:val="2"/>
      <w:sz w:val="24"/>
      <w:szCs w:val="24"/>
      <w:u w:val="single"/>
      <w:lang w:val="en-US" w:eastAsia="zh-CN" w:bidi="ar-SA"/>
    </w:rPr>
  </w:style>
  <w:style w:type="character" w:customStyle="1" w:styleId="ttag">
    <w:name w:val="t_tag"/>
    <w:basedOn w:val="a2"/>
    <w:qFormat/>
    <w:rsid w:val="00112C2C"/>
    <w:rPr>
      <w:rFonts w:ascii="宋体" w:eastAsia="楷体_GB2312" w:hAnsi="宋体" w:cs="宋体"/>
      <w:b/>
      <w:bCs/>
      <w:kern w:val="2"/>
      <w:sz w:val="24"/>
      <w:szCs w:val="24"/>
      <w:lang w:val="en-US" w:eastAsia="zh-CN" w:bidi="ar-SA"/>
    </w:rPr>
  </w:style>
  <w:style w:type="paragraph" w:styleId="afff0">
    <w:name w:val="Body Text First Indent"/>
    <w:aliases w:val=" Char3"/>
    <w:basedOn w:val="aff6"/>
    <w:link w:val="afff1"/>
    <w:qFormat/>
    <w:rsid w:val="00112C2C"/>
    <w:pPr>
      <w:spacing w:after="120" w:line="240" w:lineRule="auto"/>
      <w:ind w:firstLineChars="100" w:firstLine="420"/>
    </w:pPr>
    <w:rPr>
      <w:sz w:val="21"/>
    </w:rPr>
  </w:style>
  <w:style w:type="character" w:customStyle="1" w:styleId="afff1">
    <w:name w:val="正文首行缩进 字符"/>
    <w:aliases w:val=" Char3 字符"/>
    <w:basedOn w:val="aff7"/>
    <w:link w:val="afff0"/>
    <w:qFormat/>
    <w:rsid w:val="00112C2C"/>
    <w:rPr>
      <w:kern w:val="2"/>
      <w:sz w:val="21"/>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0"/>
    <w:qFormat/>
    <w:rsid w:val="00DA4C20"/>
    <w:pPr>
      <w:spacing w:line="360" w:lineRule="auto"/>
      <w:ind w:firstLineChars="200" w:firstLine="200"/>
    </w:pPr>
    <w:rPr>
      <w:rFonts w:ascii="宋体" w:hAnsi="宋体" w:cs="宋体"/>
      <w:sz w:val="20"/>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0"/>
    <w:qFormat/>
    <w:rsid w:val="00FC3353"/>
    <w:pPr>
      <w:spacing w:line="360" w:lineRule="auto"/>
      <w:ind w:firstLineChars="200" w:firstLine="200"/>
    </w:pPr>
    <w:rPr>
      <w:rFonts w:ascii="宋体" w:hAnsi="宋体" w:cs="宋体"/>
      <w:sz w:val="20"/>
    </w:rPr>
  </w:style>
  <w:style w:type="paragraph" w:customStyle="1" w:styleId="15">
    <w:name w:val="样式1"/>
    <w:basedOn w:val="a0"/>
    <w:qFormat/>
    <w:rsid w:val="008B560D"/>
    <w:pPr>
      <w:snapToGrid w:val="0"/>
      <w:jc w:val="center"/>
    </w:pPr>
    <w:rPr>
      <w:rFonts w:ascii="宋体"/>
      <w:szCs w:val="20"/>
    </w:rPr>
  </w:style>
  <w:style w:type="paragraph" w:customStyle="1" w:styleId="afff2">
    <w:name w:val="样式 居中"/>
    <w:basedOn w:val="a0"/>
    <w:qFormat/>
    <w:rsid w:val="00E94FD7"/>
    <w:pPr>
      <w:jc w:val="center"/>
    </w:pPr>
    <w:rPr>
      <w:rFonts w:cs="宋体"/>
      <w:szCs w:val="20"/>
    </w:rPr>
  </w:style>
  <w:style w:type="character" w:customStyle="1" w:styleId="CharCharCharChar1">
    <w:name w:val="Char Char Char Char1"/>
    <w:qFormat/>
    <w:rsid w:val="003B6384"/>
    <w:rPr>
      <w:rFonts w:ascii="宋体" w:hAnsi="宋体"/>
      <w:kern w:val="2"/>
      <w:sz w:val="24"/>
      <w:szCs w:val="24"/>
    </w:rPr>
  </w:style>
  <w:style w:type="character" w:customStyle="1" w:styleId="Char7">
    <w:name w:val="节 Char"/>
    <w:aliases w:val="标题 2 Char2,标题 2 Char1 Char1,标题 2 Char Char Char1,标题 1 Char2,标题2 Char1 Char1"/>
    <w:basedOn w:val="a2"/>
    <w:qFormat/>
    <w:rsid w:val="00DB4CF9"/>
    <w:rPr>
      <w:rFonts w:eastAsia="黑体" w:hAnsi="Arial"/>
      <w:kern w:val="2"/>
      <w:sz w:val="32"/>
      <w:lang w:val="en-US" w:eastAsia="zh-CN" w:bidi="ar-SA"/>
    </w:rPr>
  </w:style>
  <w:style w:type="paragraph" w:customStyle="1" w:styleId="26">
    <w:name w:val="纯文本2"/>
    <w:basedOn w:val="a0"/>
    <w:qFormat/>
    <w:rsid w:val="00DB4CF9"/>
    <w:pPr>
      <w:adjustRightInd w:val="0"/>
      <w:textAlignment w:val="baseline"/>
    </w:pPr>
    <w:rPr>
      <w:rFonts w:ascii="宋体" w:hAnsi="Courier New"/>
      <w:szCs w:val="20"/>
    </w:rPr>
  </w:style>
  <w:style w:type="paragraph" w:customStyle="1" w:styleId="Date1">
    <w:name w:val="Date1"/>
    <w:basedOn w:val="a0"/>
    <w:next w:val="a0"/>
    <w:qFormat/>
    <w:rsid w:val="00DB4CF9"/>
    <w:pPr>
      <w:adjustRightInd w:val="0"/>
      <w:textAlignment w:val="baseline"/>
    </w:pPr>
    <w:rPr>
      <w:szCs w:val="20"/>
    </w:rPr>
  </w:style>
  <w:style w:type="paragraph" w:styleId="27">
    <w:name w:val="Body Text 2"/>
    <w:aliases w:val="正文文字 2"/>
    <w:basedOn w:val="a0"/>
    <w:link w:val="28"/>
    <w:qFormat/>
    <w:rsid w:val="00DB4CF9"/>
    <w:pPr>
      <w:spacing w:after="120" w:line="480" w:lineRule="auto"/>
    </w:pPr>
  </w:style>
  <w:style w:type="character" w:customStyle="1" w:styleId="28">
    <w:name w:val="正文文本 2 字符"/>
    <w:aliases w:val="正文文字 2 字符"/>
    <w:basedOn w:val="a2"/>
    <w:link w:val="27"/>
    <w:qFormat/>
    <w:rsid w:val="00DB4CF9"/>
    <w:rPr>
      <w:kern w:val="2"/>
      <w:sz w:val="21"/>
      <w:szCs w:val="24"/>
    </w:rPr>
  </w:style>
  <w:style w:type="paragraph" w:styleId="afff3">
    <w:name w:val="Subtitle"/>
    <w:basedOn w:val="a0"/>
    <w:link w:val="afff4"/>
    <w:qFormat/>
    <w:rsid w:val="00DB4CF9"/>
    <w:pPr>
      <w:snapToGrid w:val="0"/>
      <w:spacing w:before="40" w:after="40" w:line="420" w:lineRule="exact"/>
    </w:pPr>
    <w:rPr>
      <w:b/>
      <w:kern w:val="0"/>
      <w:sz w:val="24"/>
    </w:rPr>
  </w:style>
  <w:style w:type="character" w:customStyle="1" w:styleId="afff4">
    <w:name w:val="副标题 字符"/>
    <w:basedOn w:val="a2"/>
    <w:link w:val="afff3"/>
    <w:qFormat/>
    <w:rsid w:val="00DB4CF9"/>
    <w:rPr>
      <w:b/>
      <w:sz w:val="24"/>
      <w:szCs w:val="24"/>
    </w:rPr>
  </w:style>
  <w:style w:type="paragraph" w:customStyle="1" w:styleId="afff5">
    <w:name w:val="项目编号"/>
    <w:basedOn w:val="a0"/>
    <w:next w:val="a0"/>
    <w:qFormat/>
    <w:rsid w:val="00DB4CF9"/>
    <w:pPr>
      <w:spacing w:before="120" w:after="120" w:line="360" w:lineRule="auto"/>
    </w:pPr>
    <w:rPr>
      <w:sz w:val="24"/>
      <w:szCs w:val="20"/>
    </w:rPr>
  </w:style>
  <w:style w:type="paragraph" w:customStyle="1" w:styleId="16">
    <w:name w:val="日期1"/>
    <w:basedOn w:val="a0"/>
    <w:next w:val="a0"/>
    <w:qFormat/>
    <w:rsid w:val="00DB4CF9"/>
    <w:pPr>
      <w:adjustRightInd w:val="0"/>
      <w:textAlignment w:val="baseline"/>
    </w:pPr>
    <w:rPr>
      <w:szCs w:val="20"/>
    </w:rPr>
  </w:style>
  <w:style w:type="paragraph" w:styleId="afff6">
    <w:name w:val="List"/>
    <w:basedOn w:val="a0"/>
    <w:qFormat/>
    <w:rsid w:val="00DB4CF9"/>
    <w:pPr>
      <w:spacing w:line="320" w:lineRule="exact"/>
      <w:jc w:val="center"/>
    </w:pPr>
    <w:rPr>
      <w:rFonts w:ascii="楷体_GB2312" w:eastAsia="楷体_GB2312"/>
      <w:sz w:val="24"/>
      <w:szCs w:val="20"/>
    </w:rPr>
  </w:style>
  <w:style w:type="paragraph" w:customStyle="1" w:styleId="afff7">
    <w:name w:val="表格内文字"/>
    <w:basedOn w:val="a0"/>
    <w:qFormat/>
    <w:rsid w:val="00DB4CF9"/>
    <w:pPr>
      <w:spacing w:before="100" w:after="100" w:line="320" w:lineRule="exact"/>
      <w:jc w:val="center"/>
    </w:pPr>
    <w:rPr>
      <w:spacing w:val="10"/>
      <w:sz w:val="24"/>
      <w:szCs w:val="20"/>
    </w:rPr>
  </w:style>
  <w:style w:type="paragraph" w:customStyle="1" w:styleId="xl22">
    <w:name w:val="xl22"/>
    <w:basedOn w:val="a0"/>
    <w:qFormat/>
    <w:rsid w:val="00DB4CF9"/>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PlainText1">
    <w:name w:val="Plain Text1"/>
    <w:basedOn w:val="a0"/>
    <w:qFormat/>
    <w:rsid w:val="00DB4CF9"/>
    <w:pPr>
      <w:autoSpaceDE w:val="0"/>
      <w:autoSpaceDN w:val="0"/>
      <w:adjustRightInd w:val="0"/>
      <w:textAlignment w:val="baseline"/>
    </w:pPr>
    <w:rPr>
      <w:rFonts w:ascii="宋体" w:hAnsi="Tms Rmn"/>
      <w:kern w:val="0"/>
      <w:szCs w:val="20"/>
    </w:rPr>
  </w:style>
  <w:style w:type="paragraph" w:customStyle="1" w:styleId="afff8">
    <w:name w:val="图文框"/>
    <w:basedOn w:val="a0"/>
    <w:autoRedefine/>
    <w:qFormat/>
    <w:rsid w:val="00DB4CF9"/>
    <w:pPr>
      <w:numPr>
        <w:ilvl w:val="12"/>
      </w:numPr>
      <w:autoSpaceDE w:val="0"/>
      <w:autoSpaceDN w:val="0"/>
      <w:adjustRightInd w:val="0"/>
      <w:snapToGrid w:val="0"/>
      <w:spacing w:line="320" w:lineRule="exact"/>
      <w:jc w:val="center"/>
      <w:textAlignment w:val="baseline"/>
    </w:pPr>
    <w:rPr>
      <w:rFonts w:eastAsia="仿宋_GB2312"/>
      <w:kern w:val="0"/>
      <w:szCs w:val="20"/>
    </w:rPr>
  </w:style>
  <w:style w:type="paragraph" w:customStyle="1" w:styleId="210">
    <w:name w:val="正文文本 21"/>
    <w:basedOn w:val="a0"/>
    <w:qFormat/>
    <w:rsid w:val="00DB4CF9"/>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BodyText21">
    <w:name w:val="Body Text 21"/>
    <w:basedOn w:val="a0"/>
    <w:qFormat/>
    <w:rsid w:val="00DB4CF9"/>
    <w:pPr>
      <w:autoSpaceDE w:val="0"/>
      <w:autoSpaceDN w:val="0"/>
      <w:adjustRightInd w:val="0"/>
      <w:spacing w:line="480" w:lineRule="exact"/>
      <w:ind w:firstLine="540"/>
      <w:textAlignment w:val="baseline"/>
    </w:pPr>
    <w:rPr>
      <w:rFonts w:ascii="宋体" w:hAnsi="Tms Rmn"/>
      <w:kern w:val="0"/>
      <w:sz w:val="24"/>
      <w:szCs w:val="20"/>
    </w:rPr>
  </w:style>
  <w:style w:type="character" w:customStyle="1" w:styleId="text1">
    <w:name w:val="text1"/>
    <w:basedOn w:val="a2"/>
    <w:qFormat/>
    <w:rsid w:val="00DB4CF9"/>
  </w:style>
  <w:style w:type="paragraph" w:customStyle="1" w:styleId="afff9">
    <w:name w:val="表居中（中文）"/>
    <w:basedOn w:val="a0"/>
    <w:qFormat/>
    <w:rsid w:val="00DB4CF9"/>
    <w:pPr>
      <w:adjustRightInd w:val="0"/>
      <w:spacing w:line="380" w:lineRule="atLeast"/>
      <w:jc w:val="center"/>
      <w:textAlignment w:val="baseline"/>
    </w:pPr>
    <w:rPr>
      <w:rFonts w:eastAsia="楷体_GB2312"/>
      <w:kern w:val="0"/>
      <w:szCs w:val="20"/>
    </w:rPr>
  </w:style>
  <w:style w:type="paragraph" w:customStyle="1" w:styleId="xl28">
    <w:name w:val="xl28"/>
    <w:basedOn w:val="a0"/>
    <w:qFormat/>
    <w:rsid w:val="00DB4CF9"/>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xl24">
    <w:name w:val="xl24"/>
    <w:basedOn w:val="a0"/>
    <w:qFormat/>
    <w:rsid w:val="00DB4CF9"/>
    <w:pPr>
      <w:widowControl/>
      <w:pBdr>
        <w:bottom w:val="single" w:sz="4" w:space="0" w:color="auto"/>
      </w:pBdr>
      <w:spacing w:before="100" w:beforeAutospacing="1" w:after="100" w:afterAutospacing="1"/>
      <w:jc w:val="center"/>
    </w:pPr>
    <w:rPr>
      <w:rFonts w:ascii="黑体" w:eastAsia="黑体" w:hAnsi="宋体" w:hint="eastAsia"/>
      <w:kern w:val="0"/>
      <w:szCs w:val="21"/>
    </w:rPr>
  </w:style>
  <w:style w:type="paragraph" w:customStyle="1" w:styleId="Default">
    <w:name w:val="Default"/>
    <w:qFormat/>
    <w:rsid w:val="00DB4CF9"/>
    <w:pPr>
      <w:widowControl w:val="0"/>
      <w:autoSpaceDE w:val="0"/>
      <w:autoSpaceDN w:val="0"/>
      <w:adjustRightInd w:val="0"/>
    </w:pPr>
    <w:rPr>
      <w:rFonts w:ascii="宋体" w:cs="宋体"/>
      <w:color w:val="000000"/>
      <w:kern w:val="2"/>
      <w:sz w:val="24"/>
      <w:szCs w:val="24"/>
    </w:rPr>
  </w:style>
  <w:style w:type="character" w:customStyle="1" w:styleId="17">
    <w:name w:val="标题1"/>
    <w:basedOn w:val="a2"/>
    <w:qFormat/>
    <w:rsid w:val="00DB4CF9"/>
  </w:style>
  <w:style w:type="character" w:customStyle="1" w:styleId="01CharChar">
    <w:name w:val="正文01 Char Char"/>
    <w:basedOn w:val="a2"/>
    <w:link w:val="01"/>
    <w:qFormat/>
    <w:rsid w:val="00DB4CF9"/>
    <w:rPr>
      <w:kern w:val="2"/>
      <w:sz w:val="24"/>
    </w:rPr>
  </w:style>
  <w:style w:type="paragraph" w:customStyle="1" w:styleId="01">
    <w:name w:val="正文01"/>
    <w:basedOn w:val="a0"/>
    <w:link w:val="01CharChar"/>
    <w:qFormat/>
    <w:rsid w:val="00DB4CF9"/>
    <w:pPr>
      <w:adjustRightInd w:val="0"/>
      <w:snapToGrid w:val="0"/>
      <w:spacing w:before="60" w:line="460" w:lineRule="exact"/>
      <w:ind w:firstLineChars="200" w:firstLine="200"/>
    </w:pPr>
    <w:rPr>
      <w:sz w:val="24"/>
      <w:szCs w:val="20"/>
    </w:rPr>
  </w:style>
  <w:style w:type="character" w:customStyle="1" w:styleId="3CharChar">
    <w:name w:val="3级标题 Char Char"/>
    <w:basedOn w:val="a2"/>
    <w:link w:val="36"/>
    <w:qFormat/>
    <w:rsid w:val="00DB4CF9"/>
    <w:rPr>
      <w:b/>
      <w:sz w:val="24"/>
    </w:rPr>
  </w:style>
  <w:style w:type="paragraph" w:customStyle="1" w:styleId="36">
    <w:name w:val="3级标题"/>
    <w:basedOn w:val="a0"/>
    <w:link w:val="3CharChar"/>
    <w:qFormat/>
    <w:rsid w:val="00DB4CF9"/>
    <w:pPr>
      <w:spacing w:before="260" w:line="460" w:lineRule="exact"/>
      <w:outlineLvl w:val="2"/>
    </w:pPr>
    <w:rPr>
      <w:b/>
      <w:kern w:val="0"/>
      <w:sz w:val="24"/>
      <w:szCs w:val="20"/>
    </w:rPr>
  </w:style>
  <w:style w:type="character" w:customStyle="1" w:styleId="apple-converted-space">
    <w:name w:val="apple-converted-space"/>
    <w:basedOn w:val="a2"/>
    <w:qFormat/>
    <w:rsid w:val="00DB4CF9"/>
  </w:style>
  <w:style w:type="paragraph" w:customStyle="1" w:styleId="Char2CharCharChar">
    <w:name w:val="Char2 Char Char Char"/>
    <w:basedOn w:val="a0"/>
    <w:link w:val="Char2CharCharCharChar"/>
    <w:qFormat/>
    <w:rsid w:val="00DB4CF9"/>
    <w:pPr>
      <w:autoSpaceDE w:val="0"/>
      <w:autoSpaceDN w:val="0"/>
      <w:adjustRightInd w:val="0"/>
      <w:snapToGrid w:val="0"/>
      <w:spacing w:before="50" w:after="50" w:line="360" w:lineRule="auto"/>
      <w:ind w:firstLineChars="200" w:firstLine="560"/>
    </w:pPr>
    <w:rPr>
      <w:rFonts w:ascii="宋体" w:eastAsia="仿宋_GB2312" w:hAnsi="宋体" w:cs="Times New Roman"/>
      <w:sz w:val="24"/>
    </w:rPr>
  </w:style>
  <w:style w:type="paragraph" w:customStyle="1" w:styleId="afffa">
    <w:name w:val="正文内容"/>
    <w:basedOn w:val="a0"/>
    <w:link w:val="CharChar0"/>
    <w:qFormat/>
    <w:rsid w:val="00DB4CF9"/>
    <w:pPr>
      <w:spacing w:line="360" w:lineRule="auto"/>
      <w:ind w:firstLine="624"/>
    </w:pPr>
    <w:rPr>
      <w:rFonts w:ascii="宋体" w:cs="Times New Roman"/>
      <w:sz w:val="24"/>
    </w:rPr>
  </w:style>
  <w:style w:type="paragraph" w:customStyle="1" w:styleId="152">
    <w:name w:val="样式 样式 行距: 1.5 倍行距 + 首行缩进:  2 字符"/>
    <w:basedOn w:val="a0"/>
    <w:qFormat/>
    <w:rsid w:val="00DB4CF9"/>
    <w:pPr>
      <w:spacing w:line="360" w:lineRule="auto"/>
      <w:ind w:firstLineChars="200" w:firstLine="480"/>
    </w:pPr>
    <w:rPr>
      <w:rFonts w:cs="宋体"/>
      <w:sz w:val="24"/>
      <w:szCs w:val="20"/>
    </w:rPr>
  </w:style>
  <w:style w:type="character" w:styleId="afffb">
    <w:name w:val="Strong"/>
    <w:qFormat/>
    <w:rsid w:val="00DB4CF9"/>
    <w:rPr>
      <w:b/>
      <w:bCs/>
    </w:rPr>
  </w:style>
  <w:style w:type="character" w:customStyle="1" w:styleId="Char2CharCharCharChar">
    <w:name w:val="Char2 Char Char Char Char"/>
    <w:link w:val="Char2CharCharChar"/>
    <w:qFormat/>
    <w:rsid w:val="00DB4CF9"/>
    <w:rPr>
      <w:rFonts w:ascii="宋体" w:eastAsia="仿宋_GB2312" w:hAnsi="宋体"/>
      <w:color w:val="000000"/>
      <w:kern w:val="2"/>
      <w:sz w:val="24"/>
      <w:szCs w:val="24"/>
    </w:rPr>
  </w:style>
  <w:style w:type="paragraph" w:customStyle="1" w:styleId="afffc">
    <w:name w:val="列表+"/>
    <w:basedOn w:val="a0"/>
    <w:next w:val="afff6"/>
    <w:qFormat/>
    <w:rsid w:val="00DB4CF9"/>
    <w:pPr>
      <w:autoSpaceDE w:val="0"/>
      <w:autoSpaceDN w:val="0"/>
      <w:spacing w:beforeLines="50" w:line="400" w:lineRule="exact"/>
      <w:jc w:val="left"/>
    </w:pPr>
    <w:rPr>
      <w:szCs w:val="20"/>
    </w:rPr>
  </w:style>
  <w:style w:type="paragraph" w:customStyle="1" w:styleId="Char20">
    <w:name w:val="Char2"/>
    <w:basedOn w:val="a0"/>
    <w:qFormat/>
    <w:rsid w:val="00DB4CF9"/>
    <w:pPr>
      <w:spacing w:line="360" w:lineRule="auto"/>
      <w:ind w:firstLineChars="200" w:firstLine="200"/>
    </w:pPr>
    <w:rPr>
      <w:rFonts w:ascii="宋体" w:hAnsi="宋体" w:cs="宋体"/>
      <w:sz w:val="24"/>
    </w:rPr>
  </w:style>
  <w:style w:type="paragraph" w:customStyle="1" w:styleId="29">
    <w:name w:val="表格文字2"/>
    <w:basedOn w:val="a0"/>
    <w:link w:val="2Char"/>
    <w:qFormat/>
    <w:rsid w:val="00DB4CF9"/>
    <w:pPr>
      <w:adjustRightInd w:val="0"/>
      <w:spacing w:before="60"/>
      <w:jc w:val="center"/>
      <w:textAlignment w:val="baseline"/>
    </w:pPr>
    <w:rPr>
      <w:rFonts w:ascii="宋体" w:cs="Times New Roman"/>
      <w:kern w:val="0"/>
      <w:sz w:val="24"/>
      <w:szCs w:val="20"/>
    </w:rPr>
  </w:style>
  <w:style w:type="paragraph" w:customStyle="1" w:styleId="afffd">
    <w:name w:val="文"/>
    <w:basedOn w:val="a0"/>
    <w:qFormat/>
    <w:rsid w:val="00DB4CF9"/>
    <w:pPr>
      <w:spacing w:line="360" w:lineRule="auto"/>
      <w:ind w:firstLineChars="200" w:firstLine="480"/>
    </w:pPr>
    <w:rPr>
      <w:sz w:val="24"/>
    </w:rPr>
  </w:style>
  <w:style w:type="paragraph" w:customStyle="1" w:styleId="afffe">
    <w:name w:val="表内"/>
    <w:basedOn w:val="afffd"/>
    <w:qFormat/>
    <w:rsid w:val="00DB4CF9"/>
    <w:pPr>
      <w:spacing w:line="240" w:lineRule="auto"/>
      <w:ind w:firstLineChars="0" w:firstLine="0"/>
      <w:jc w:val="center"/>
    </w:pPr>
    <w:rPr>
      <w:sz w:val="21"/>
    </w:rPr>
  </w:style>
  <w:style w:type="paragraph" w:customStyle="1" w:styleId="111">
    <w:name w:val="1.1.1"/>
    <w:basedOn w:val="a0"/>
    <w:next w:val="a0"/>
    <w:qFormat/>
    <w:rsid w:val="00DB4CF9"/>
    <w:pPr>
      <w:widowControl/>
    </w:pPr>
    <w:rPr>
      <w:rFonts w:ascii="黑体" w:hAnsi="黑体"/>
      <w:sz w:val="24"/>
      <w:szCs w:val="20"/>
    </w:rPr>
  </w:style>
  <w:style w:type="paragraph" w:customStyle="1" w:styleId="18">
    <w:name w:val="表格样式1"/>
    <w:basedOn w:val="a0"/>
    <w:qFormat/>
    <w:rsid w:val="00DB4CF9"/>
    <w:pPr>
      <w:spacing w:line="360" w:lineRule="exact"/>
      <w:jc w:val="center"/>
    </w:pPr>
    <w:rPr>
      <w:rFonts w:eastAsia="仿宋_GB2312"/>
      <w:color w:val="000080"/>
    </w:rPr>
  </w:style>
  <w:style w:type="paragraph" w:customStyle="1" w:styleId="CharChar1Char">
    <w:name w:val="Char Char1 Char"/>
    <w:basedOn w:val="a0"/>
    <w:qFormat/>
    <w:rsid w:val="00DB4CF9"/>
    <w:pPr>
      <w:spacing w:line="360" w:lineRule="auto"/>
      <w:ind w:firstLineChars="200" w:firstLine="200"/>
    </w:pPr>
    <w:rPr>
      <w:rFonts w:ascii="宋体" w:hAnsi="宋体" w:cs="宋体"/>
      <w:sz w:val="24"/>
    </w:rPr>
  </w:style>
  <w:style w:type="paragraph" w:customStyle="1" w:styleId="xl40">
    <w:name w:val="xl40"/>
    <w:basedOn w:val="a0"/>
    <w:qFormat/>
    <w:rsid w:val="00DB4CF9"/>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brdrw15brsp20tqctx4153t">
    <w:name w:val="brdrw15brsp20 tqctx4153t"/>
    <w:qFormat/>
    <w:rsid w:val="00DB4CF9"/>
    <w:pPr>
      <w:widowControl w:val="0"/>
      <w:pBdr>
        <w:bottom w:val="single" w:sz="6" w:space="0" w:color="auto"/>
      </w:pBdr>
      <w:adjustRightInd w:val="0"/>
      <w:spacing w:line="312" w:lineRule="atLeast"/>
      <w:jc w:val="center"/>
      <w:textAlignment w:val="baseline"/>
    </w:pPr>
    <w:rPr>
      <w:color w:val="000000"/>
      <w:kern w:val="2"/>
      <w:sz w:val="21"/>
      <w:szCs w:val="24"/>
    </w:rPr>
  </w:style>
  <w:style w:type="paragraph" w:customStyle="1" w:styleId="CharCharCharCharCharCharChar">
    <w:name w:val="Char Char Char Char Char Char Char"/>
    <w:basedOn w:val="a0"/>
    <w:qFormat/>
    <w:rsid w:val="00DB4CF9"/>
  </w:style>
  <w:style w:type="paragraph" w:customStyle="1" w:styleId="2a">
    <w:name w:val="样式 首行缩进:  2 字符"/>
    <w:basedOn w:val="a0"/>
    <w:link w:val="2Char0"/>
    <w:qFormat/>
    <w:rsid w:val="00DB4CF9"/>
    <w:pPr>
      <w:spacing w:line="360" w:lineRule="auto"/>
      <w:ind w:firstLineChars="200" w:firstLine="200"/>
    </w:pPr>
    <w:rPr>
      <w:rFonts w:cs="Times New Roman"/>
      <w:color w:val="auto"/>
      <w:sz w:val="28"/>
      <w:szCs w:val="20"/>
    </w:rPr>
  </w:style>
  <w:style w:type="character" w:customStyle="1" w:styleId="CharCharCharChar13">
    <w:name w:val="Char Char Char Char13"/>
    <w:qFormat/>
    <w:rsid w:val="00DB4CF9"/>
    <w:rPr>
      <w:rFonts w:ascii="宋体" w:hAnsi="宋体"/>
      <w:kern w:val="2"/>
      <w:sz w:val="24"/>
      <w:szCs w:val="24"/>
    </w:rPr>
  </w:style>
  <w:style w:type="paragraph" w:styleId="affff">
    <w:name w:val="Block Text"/>
    <w:basedOn w:val="a0"/>
    <w:qFormat/>
    <w:rsid w:val="00DB4CF9"/>
    <w:pPr>
      <w:snapToGrid w:val="0"/>
      <w:spacing w:line="408" w:lineRule="auto"/>
      <w:ind w:left="-113" w:right="-510" w:firstLine="510"/>
    </w:pPr>
    <w:rPr>
      <w:sz w:val="24"/>
      <w:szCs w:val="20"/>
    </w:rPr>
  </w:style>
  <w:style w:type="paragraph" w:customStyle="1" w:styleId="affff0">
    <w:name w:val="说明书正文"/>
    <w:basedOn w:val="a0"/>
    <w:link w:val="Char8"/>
    <w:qFormat/>
    <w:rsid w:val="00DB4CF9"/>
    <w:pPr>
      <w:spacing w:line="480" w:lineRule="exact"/>
      <w:ind w:firstLineChars="200" w:firstLine="600"/>
    </w:pPr>
    <w:rPr>
      <w:rFonts w:eastAsia="仿宋_GB2312" w:cs="Times New Roman"/>
      <w:sz w:val="30"/>
      <w:szCs w:val="22"/>
    </w:rPr>
  </w:style>
  <w:style w:type="character" w:customStyle="1" w:styleId="Char9">
    <w:name w:val="表头 Char"/>
    <w:qFormat/>
    <w:rsid w:val="00DB4CF9"/>
    <w:rPr>
      <w:rFonts w:ascii="宋体" w:hAnsi="宋体"/>
      <w:b/>
      <w:snapToGrid w:val="0"/>
      <w:color w:val="000000"/>
      <w:sz w:val="24"/>
      <w:szCs w:val="24"/>
    </w:rPr>
  </w:style>
  <w:style w:type="paragraph" w:customStyle="1" w:styleId="p16">
    <w:name w:val="p16"/>
    <w:basedOn w:val="a0"/>
    <w:qFormat/>
    <w:rsid w:val="00DB4CF9"/>
    <w:pPr>
      <w:widowControl/>
      <w:ind w:firstLine="630"/>
    </w:pPr>
    <w:rPr>
      <w:kern w:val="0"/>
      <w:sz w:val="28"/>
      <w:szCs w:val="28"/>
    </w:rPr>
  </w:style>
  <w:style w:type="paragraph" w:customStyle="1" w:styleId="19">
    <w:name w:val="表1"/>
    <w:next w:val="a0"/>
    <w:link w:val="1Char0"/>
    <w:qFormat/>
    <w:rsid w:val="00DB4CF9"/>
    <w:pPr>
      <w:adjustRightInd w:val="0"/>
      <w:snapToGrid w:val="0"/>
      <w:jc w:val="center"/>
    </w:pPr>
    <w:rPr>
      <w:rFonts w:ascii="宋体"/>
      <w:color w:val="000000"/>
      <w:kern w:val="2"/>
      <w:sz w:val="21"/>
      <w:szCs w:val="24"/>
    </w:rPr>
  </w:style>
  <w:style w:type="paragraph" w:customStyle="1" w:styleId="37">
    <w:name w:val="正文3"/>
    <w:link w:val="NormalChar"/>
    <w:qFormat/>
    <w:rsid w:val="00DB4CF9"/>
    <w:pPr>
      <w:widowControl w:val="0"/>
      <w:adjustRightInd w:val="0"/>
      <w:spacing w:line="360" w:lineRule="atLeast"/>
      <w:textAlignment w:val="baseline"/>
    </w:pPr>
    <w:rPr>
      <w:rFonts w:ascii="宋体"/>
      <w:sz w:val="24"/>
      <w:szCs w:val="24"/>
    </w:rPr>
  </w:style>
  <w:style w:type="character" w:customStyle="1" w:styleId="NormalChar">
    <w:name w:val="Normal Char"/>
    <w:link w:val="37"/>
    <w:qFormat/>
    <w:rsid w:val="00DB4CF9"/>
    <w:rPr>
      <w:rFonts w:ascii="宋体"/>
      <w:sz w:val="24"/>
      <w:szCs w:val="24"/>
      <w:lang w:bidi="ar-SA"/>
    </w:rPr>
  </w:style>
  <w:style w:type="character" w:customStyle="1" w:styleId="2Char0">
    <w:name w:val="样式 首行缩进:  2 字符 Char"/>
    <w:link w:val="2a"/>
    <w:qFormat/>
    <w:rsid w:val="00DB4CF9"/>
    <w:rPr>
      <w:kern w:val="2"/>
      <w:sz w:val="28"/>
    </w:rPr>
  </w:style>
  <w:style w:type="paragraph" w:customStyle="1" w:styleId="affff1">
    <w:name w:val="表文字"/>
    <w:qFormat/>
    <w:rsid w:val="00DB4CF9"/>
    <w:pPr>
      <w:adjustRightInd w:val="0"/>
      <w:spacing w:line="300" w:lineRule="exact"/>
      <w:jc w:val="center"/>
    </w:pPr>
    <w:rPr>
      <w:snapToGrid w:val="0"/>
      <w:color w:val="000000"/>
      <w:kern w:val="2"/>
      <w:sz w:val="21"/>
      <w:szCs w:val="21"/>
    </w:rPr>
  </w:style>
  <w:style w:type="paragraph" w:customStyle="1" w:styleId="affff2">
    <w:name w:val="正文样式"/>
    <w:basedOn w:val="a0"/>
    <w:qFormat/>
    <w:rsid w:val="00DB4CF9"/>
    <w:pPr>
      <w:spacing w:line="360" w:lineRule="auto"/>
      <w:ind w:firstLineChars="200" w:firstLine="480"/>
    </w:pPr>
    <w:rPr>
      <w:rFonts w:ascii="宋体" w:hAnsi="宋体"/>
      <w:sz w:val="24"/>
    </w:rPr>
  </w:style>
  <w:style w:type="paragraph" w:customStyle="1" w:styleId="affff3">
    <w:name w:val="表号"/>
    <w:qFormat/>
    <w:rsid w:val="00DB4CF9"/>
    <w:pPr>
      <w:adjustRightInd w:val="0"/>
      <w:snapToGrid w:val="0"/>
      <w:spacing w:line="240" w:lineRule="exact"/>
      <w:jc w:val="both"/>
      <w:outlineLvl w:val="4"/>
    </w:pPr>
    <w:rPr>
      <w:rFonts w:cs="宋体"/>
      <w:color w:val="000000"/>
      <w:kern w:val="2"/>
      <w:sz w:val="24"/>
      <w:szCs w:val="24"/>
    </w:rPr>
  </w:style>
  <w:style w:type="character" w:customStyle="1" w:styleId="headline-content2">
    <w:name w:val="headline-content2"/>
    <w:basedOn w:val="a2"/>
    <w:qFormat/>
    <w:rsid w:val="00DB4CF9"/>
  </w:style>
  <w:style w:type="character" w:customStyle="1" w:styleId="2Char2">
    <w:name w:val="标题2 Char"/>
    <w:aliases w:val="表内文字 Char1,0921 Char,小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普通 Char,Head 1wsa Char,h1 Char Char,h1 Char1,标题 1 Char Char,Part Char"/>
    <w:qFormat/>
    <w:rsid w:val="00DB4CF9"/>
    <w:rPr>
      <w:rFonts w:ascii="宋体" w:eastAsia="宋体" w:hAnsi="Courier New" w:cs="Times New Roman"/>
      <w:szCs w:val="24"/>
    </w:rPr>
  </w:style>
  <w:style w:type="paragraph" w:styleId="affff4">
    <w:name w:val="caption"/>
    <w:aliases w:val="题注 Char,实德题注"/>
    <w:basedOn w:val="a0"/>
    <w:next w:val="a0"/>
    <w:qFormat/>
    <w:rsid w:val="00DB4CF9"/>
    <w:rPr>
      <w:rFonts w:ascii="Cambria" w:eastAsia="黑体" w:hAnsi="Cambria"/>
      <w:sz w:val="20"/>
      <w:szCs w:val="20"/>
    </w:rPr>
  </w:style>
  <w:style w:type="paragraph" w:customStyle="1" w:styleId="affff5">
    <w:name w:val="报告书正文格式"/>
    <w:basedOn w:val="a0"/>
    <w:link w:val="Chara"/>
    <w:qFormat/>
    <w:rsid w:val="00DB4CF9"/>
    <w:pPr>
      <w:wordWrap w:val="0"/>
      <w:spacing w:line="460" w:lineRule="exact"/>
      <w:ind w:firstLineChars="225" w:firstLine="549"/>
    </w:pPr>
    <w:rPr>
      <w:rFonts w:cs="Times New Roman"/>
      <w:spacing w:val="2"/>
      <w:kern w:val="0"/>
      <w:sz w:val="24"/>
    </w:rPr>
  </w:style>
  <w:style w:type="character" w:customStyle="1" w:styleId="Chara">
    <w:name w:val="报告书正文格式 Char"/>
    <w:link w:val="affff5"/>
    <w:qFormat/>
    <w:rsid w:val="00DB4CF9"/>
    <w:rPr>
      <w:color w:val="000000"/>
      <w:spacing w:val="2"/>
      <w:sz w:val="24"/>
      <w:szCs w:val="24"/>
    </w:rPr>
  </w:style>
  <w:style w:type="paragraph" w:customStyle="1" w:styleId="affff6">
    <w:name w:val="表格标题格式"/>
    <w:basedOn w:val="a0"/>
    <w:link w:val="Charb"/>
    <w:qFormat/>
    <w:rsid w:val="00DB4CF9"/>
    <w:pPr>
      <w:tabs>
        <w:tab w:val="center" w:pos="4438"/>
      </w:tabs>
      <w:autoSpaceDE w:val="0"/>
      <w:autoSpaceDN w:val="0"/>
      <w:adjustRightInd w:val="0"/>
      <w:spacing w:beforeLines="50" w:line="520" w:lineRule="exact"/>
      <w:jc w:val="center"/>
    </w:pPr>
    <w:rPr>
      <w:rFonts w:eastAsia="黑体" w:cs="Times New Roman"/>
      <w:noProof/>
      <w:color w:val="auto"/>
      <w:kern w:val="0"/>
      <w:sz w:val="28"/>
      <w:szCs w:val="21"/>
      <w:lang w:val="zh-CN"/>
    </w:rPr>
  </w:style>
  <w:style w:type="character" w:customStyle="1" w:styleId="Charb">
    <w:name w:val="表格标题格式 Char"/>
    <w:link w:val="affff6"/>
    <w:qFormat/>
    <w:rsid w:val="00DB4CF9"/>
    <w:rPr>
      <w:rFonts w:eastAsia="黑体"/>
      <w:noProof/>
      <w:sz w:val="28"/>
      <w:szCs w:val="21"/>
      <w:lang w:val="zh-CN"/>
    </w:rPr>
  </w:style>
  <w:style w:type="paragraph" w:customStyle="1" w:styleId="2b">
    <w:name w:val="样式2"/>
    <w:basedOn w:val="a0"/>
    <w:link w:val="2Char3"/>
    <w:autoRedefine/>
    <w:qFormat/>
    <w:rsid w:val="00DB4CF9"/>
    <w:pPr>
      <w:spacing w:line="400" w:lineRule="exact"/>
      <w:ind w:firstLineChars="200" w:firstLine="200"/>
    </w:pPr>
    <w:rPr>
      <w:rFonts w:cs="Times New Roman"/>
      <w:color w:val="auto"/>
      <w:sz w:val="22"/>
      <w:szCs w:val="22"/>
    </w:rPr>
  </w:style>
  <w:style w:type="character" w:customStyle="1" w:styleId="2Char3">
    <w:name w:val="样式2 Char"/>
    <w:link w:val="2b"/>
    <w:qFormat/>
    <w:rsid w:val="00DB4CF9"/>
    <w:rPr>
      <w:kern w:val="2"/>
      <w:sz w:val="22"/>
      <w:szCs w:val="22"/>
    </w:rPr>
  </w:style>
  <w:style w:type="character" w:customStyle="1" w:styleId="3Char">
    <w:name w:val="3级标题 Char"/>
    <w:qFormat/>
    <w:rsid w:val="00DB4CF9"/>
    <w:rPr>
      <w:rFonts w:eastAsia="黑体"/>
      <w:kern w:val="2"/>
      <w:sz w:val="28"/>
      <w:szCs w:val="28"/>
    </w:rPr>
  </w:style>
  <w:style w:type="paragraph" w:customStyle="1" w:styleId="43">
    <w:name w:val="4级标题"/>
    <w:basedOn w:val="a0"/>
    <w:link w:val="4Char0"/>
    <w:qFormat/>
    <w:rsid w:val="00DB4CF9"/>
    <w:pPr>
      <w:spacing w:before="120" w:after="120" w:line="660" w:lineRule="exact"/>
      <w:outlineLvl w:val="3"/>
    </w:pPr>
    <w:rPr>
      <w:rFonts w:eastAsia="黑体" w:cs="Times New Roman"/>
      <w:color w:val="auto"/>
      <w:sz w:val="28"/>
      <w:szCs w:val="28"/>
    </w:rPr>
  </w:style>
  <w:style w:type="character" w:customStyle="1" w:styleId="4Char0">
    <w:name w:val="4级标题 Char"/>
    <w:link w:val="43"/>
    <w:qFormat/>
    <w:rsid w:val="00DB4CF9"/>
    <w:rPr>
      <w:rFonts w:eastAsia="黑体"/>
      <w:kern w:val="2"/>
      <w:sz w:val="28"/>
      <w:szCs w:val="28"/>
    </w:rPr>
  </w:style>
  <w:style w:type="paragraph" w:customStyle="1" w:styleId="ParaCharCharCharCharCharCharChar">
    <w:name w:val="默认段落字体 Para Char Char Char Char Char Char Char"/>
    <w:basedOn w:val="a0"/>
    <w:qFormat/>
    <w:rsid w:val="00DB4CF9"/>
    <w:pPr>
      <w:adjustRightInd w:val="0"/>
      <w:spacing w:line="360" w:lineRule="auto"/>
    </w:pPr>
  </w:style>
  <w:style w:type="character" w:customStyle="1" w:styleId="CharCharCharChar11">
    <w:name w:val="Char Char Char Char11"/>
    <w:link w:val="CharCharChar1"/>
    <w:qFormat/>
    <w:rsid w:val="00DB4CF9"/>
    <w:rPr>
      <w:rFonts w:ascii="宋体" w:hAnsi="宋体"/>
      <w:sz w:val="24"/>
      <w:szCs w:val="24"/>
    </w:rPr>
  </w:style>
  <w:style w:type="paragraph" w:customStyle="1" w:styleId="CharCharChar1">
    <w:name w:val="Char Char Char1"/>
    <w:basedOn w:val="a0"/>
    <w:link w:val="CharCharCharChar11"/>
    <w:qFormat/>
    <w:rsid w:val="00DB4CF9"/>
    <w:pPr>
      <w:widowControl/>
      <w:spacing w:line="360" w:lineRule="auto"/>
      <w:ind w:firstLineChars="200" w:firstLine="200"/>
      <w:jc w:val="left"/>
    </w:pPr>
    <w:rPr>
      <w:rFonts w:ascii="宋体" w:hAnsi="宋体" w:cs="Times New Roman"/>
      <w:color w:val="auto"/>
      <w:kern w:val="0"/>
      <w:sz w:val="24"/>
    </w:rPr>
  </w:style>
  <w:style w:type="character" w:customStyle="1" w:styleId="Char2CharCharCharChar2">
    <w:name w:val="Char2 Char Char Char Char2"/>
    <w:link w:val="Char2CharCharChar2"/>
    <w:qFormat/>
    <w:rsid w:val="00DB4CF9"/>
    <w:rPr>
      <w:rFonts w:ascii="宋体" w:eastAsia="仿宋_GB2312" w:hAnsi="宋体"/>
      <w:color w:val="000000"/>
      <w:sz w:val="24"/>
      <w:szCs w:val="24"/>
    </w:rPr>
  </w:style>
  <w:style w:type="paragraph" w:customStyle="1" w:styleId="Char2CharCharChar2">
    <w:name w:val="Char2 Char Char Char2"/>
    <w:basedOn w:val="a0"/>
    <w:link w:val="Char2CharCharCharChar2"/>
    <w:qFormat/>
    <w:rsid w:val="00DB4CF9"/>
    <w:pPr>
      <w:widowControl/>
      <w:autoSpaceDE w:val="0"/>
      <w:autoSpaceDN w:val="0"/>
      <w:adjustRightInd w:val="0"/>
      <w:snapToGrid w:val="0"/>
      <w:spacing w:before="50" w:after="50" w:line="360" w:lineRule="auto"/>
      <w:ind w:firstLineChars="200" w:firstLine="560"/>
      <w:jc w:val="left"/>
    </w:pPr>
    <w:rPr>
      <w:rFonts w:ascii="宋体" w:eastAsia="仿宋_GB2312" w:hAnsi="宋体" w:cs="Times New Roman"/>
      <w:kern w:val="0"/>
      <w:sz w:val="24"/>
    </w:rPr>
  </w:style>
  <w:style w:type="paragraph" w:customStyle="1" w:styleId="affff7">
    <w:name w:val="图文"/>
    <w:basedOn w:val="a0"/>
    <w:qFormat/>
    <w:rsid w:val="00DB4CF9"/>
    <w:pPr>
      <w:widowControl/>
      <w:jc w:val="center"/>
    </w:pPr>
    <w:rPr>
      <w:rFonts w:ascii="宋体" w:hAnsi="宋体" w:cs="宋体"/>
      <w:kern w:val="0"/>
      <w:sz w:val="24"/>
    </w:rPr>
  </w:style>
  <w:style w:type="paragraph" w:customStyle="1" w:styleId="affff8">
    <w:name w:val="表格样式"/>
    <w:basedOn w:val="a0"/>
    <w:next w:val="a0"/>
    <w:link w:val="Charc"/>
    <w:qFormat/>
    <w:rsid w:val="00DB4CF9"/>
    <w:pPr>
      <w:widowControl/>
      <w:jc w:val="center"/>
    </w:pPr>
    <w:rPr>
      <w:rFonts w:eastAsia="黑体" w:cs="Times New Roman"/>
      <w:color w:val="auto"/>
      <w:kern w:val="0"/>
      <w:sz w:val="22"/>
    </w:rPr>
  </w:style>
  <w:style w:type="paragraph" w:customStyle="1" w:styleId="affff9">
    <w:name w:val="表格内容样式"/>
    <w:basedOn w:val="a0"/>
    <w:link w:val="Chard"/>
    <w:qFormat/>
    <w:rsid w:val="00DB4CF9"/>
    <w:pPr>
      <w:jc w:val="center"/>
    </w:pPr>
    <w:rPr>
      <w:rFonts w:cs="Times New Roman"/>
      <w:color w:val="auto"/>
      <w:sz w:val="20"/>
      <w:szCs w:val="20"/>
    </w:rPr>
  </w:style>
  <w:style w:type="character" w:customStyle="1" w:styleId="Charc">
    <w:name w:val="表格样式 Char"/>
    <w:link w:val="affff8"/>
    <w:qFormat/>
    <w:rsid w:val="00DB4CF9"/>
    <w:rPr>
      <w:rFonts w:eastAsia="黑体"/>
      <w:sz w:val="22"/>
      <w:szCs w:val="24"/>
    </w:rPr>
  </w:style>
  <w:style w:type="character" w:customStyle="1" w:styleId="Chard">
    <w:name w:val="表格内容样式 Char"/>
    <w:link w:val="affff9"/>
    <w:qFormat/>
    <w:rsid w:val="00DB4CF9"/>
    <w:rPr>
      <w:kern w:val="2"/>
    </w:rPr>
  </w:style>
  <w:style w:type="paragraph" w:customStyle="1" w:styleId="0">
    <w:name w:val="0"/>
    <w:basedOn w:val="a0"/>
    <w:qFormat/>
    <w:rsid w:val="00DB4CF9"/>
    <w:pPr>
      <w:widowControl/>
      <w:adjustRightInd w:val="0"/>
      <w:snapToGrid w:val="0"/>
      <w:spacing w:line="360" w:lineRule="auto"/>
      <w:ind w:firstLineChars="200" w:firstLine="200"/>
      <w:jc w:val="left"/>
    </w:pPr>
    <w:rPr>
      <w:kern w:val="0"/>
      <w:sz w:val="20"/>
      <w:szCs w:val="20"/>
    </w:rPr>
  </w:style>
  <w:style w:type="paragraph" w:styleId="2c">
    <w:name w:val="List 2"/>
    <w:basedOn w:val="a0"/>
    <w:qFormat/>
    <w:rsid w:val="00DB4CF9"/>
    <w:pPr>
      <w:widowControl/>
      <w:ind w:left="840" w:hanging="420"/>
      <w:jc w:val="left"/>
    </w:pPr>
    <w:rPr>
      <w:rFonts w:ascii="宋体" w:hAnsi="宋体" w:cs="宋体"/>
      <w:kern w:val="0"/>
      <w:sz w:val="24"/>
      <w:szCs w:val="20"/>
    </w:rPr>
  </w:style>
  <w:style w:type="paragraph" w:styleId="affffa">
    <w:name w:val="No Spacing"/>
    <w:link w:val="affffb"/>
    <w:uiPriority w:val="1"/>
    <w:qFormat/>
    <w:rsid w:val="00DB4CF9"/>
    <w:pPr>
      <w:widowControl w:val="0"/>
      <w:adjustRightInd w:val="0"/>
      <w:snapToGrid w:val="0"/>
      <w:spacing w:line="0" w:lineRule="atLeast"/>
      <w:jc w:val="center"/>
    </w:pPr>
    <w:rPr>
      <w:rFonts w:ascii="宋体" w:eastAsia="仿宋" w:hAnsi="宋体" w:cs="宋体"/>
      <w:color w:val="000000"/>
      <w:kern w:val="2"/>
      <w:sz w:val="21"/>
      <w:szCs w:val="21"/>
    </w:rPr>
  </w:style>
  <w:style w:type="character" w:customStyle="1" w:styleId="333CharChar">
    <w:name w:val="标题333 Char Char"/>
    <w:qFormat/>
    <w:rsid w:val="00DB4CF9"/>
    <w:rPr>
      <w:rFonts w:eastAsia="仿宋"/>
      <w:b/>
      <w:bCs/>
      <w:kern w:val="2"/>
      <w:sz w:val="28"/>
      <w:szCs w:val="32"/>
    </w:rPr>
  </w:style>
  <w:style w:type="paragraph" w:customStyle="1" w:styleId="affffc">
    <w:name w:val="表体"/>
    <w:basedOn w:val="a0"/>
    <w:qFormat/>
    <w:rsid w:val="00DB4CF9"/>
    <w:pPr>
      <w:adjustRightInd w:val="0"/>
      <w:snapToGrid w:val="0"/>
      <w:spacing w:line="240" w:lineRule="atLeast"/>
      <w:jc w:val="center"/>
    </w:pPr>
    <w:rPr>
      <w:rFonts w:ascii="仿宋_GB2312" w:eastAsia="仿宋_GB2312"/>
      <w:sz w:val="24"/>
      <w:szCs w:val="20"/>
    </w:rPr>
  </w:style>
  <w:style w:type="character" w:customStyle="1" w:styleId="Chare">
    <w:name w:val="正文(首行缩进) Char"/>
    <w:link w:val="affffd"/>
    <w:qFormat/>
    <w:rsid w:val="00DB4CF9"/>
    <w:rPr>
      <w:snapToGrid w:val="0"/>
      <w:sz w:val="24"/>
    </w:rPr>
  </w:style>
  <w:style w:type="paragraph" w:customStyle="1" w:styleId="affffd">
    <w:name w:val="正文(首行缩进)"/>
    <w:basedOn w:val="a0"/>
    <w:link w:val="Chare"/>
    <w:qFormat/>
    <w:rsid w:val="00DB4CF9"/>
    <w:pPr>
      <w:widowControl/>
      <w:adjustRightInd w:val="0"/>
      <w:snapToGrid w:val="0"/>
      <w:spacing w:line="360" w:lineRule="auto"/>
      <w:ind w:firstLineChars="200" w:firstLine="200"/>
      <w:jc w:val="left"/>
    </w:pPr>
    <w:rPr>
      <w:rFonts w:cs="Times New Roman"/>
      <w:snapToGrid w:val="0"/>
      <w:color w:val="auto"/>
      <w:kern w:val="0"/>
      <w:sz w:val="24"/>
      <w:szCs w:val="20"/>
    </w:rPr>
  </w:style>
  <w:style w:type="character" w:customStyle="1" w:styleId="Charf">
    <w:name w:val="规划正文 Char"/>
    <w:link w:val="affffe"/>
    <w:qFormat/>
    <w:rsid w:val="00DB4CF9"/>
    <w:rPr>
      <w:sz w:val="28"/>
      <w:szCs w:val="28"/>
      <w:lang w:val="zh-CN"/>
    </w:rPr>
  </w:style>
  <w:style w:type="character" w:customStyle="1" w:styleId="21Char">
    <w:name w:val="样式 首行缩进:  2 字符1 Char"/>
    <w:link w:val="211"/>
    <w:qFormat/>
    <w:rsid w:val="00DB4CF9"/>
    <w:rPr>
      <w:rFonts w:cs="宋体"/>
      <w:sz w:val="28"/>
      <w:lang w:val="zh-CN"/>
    </w:rPr>
  </w:style>
  <w:style w:type="paragraph" w:customStyle="1" w:styleId="affffe">
    <w:name w:val="规划正文"/>
    <w:basedOn w:val="a0"/>
    <w:link w:val="Charf"/>
    <w:qFormat/>
    <w:rsid w:val="00DB4CF9"/>
    <w:pPr>
      <w:widowControl/>
      <w:spacing w:line="360" w:lineRule="auto"/>
      <w:ind w:firstLineChars="200" w:firstLine="560"/>
      <w:jc w:val="left"/>
    </w:pPr>
    <w:rPr>
      <w:rFonts w:cs="Times New Roman"/>
      <w:color w:val="auto"/>
      <w:kern w:val="0"/>
      <w:sz w:val="28"/>
      <w:szCs w:val="28"/>
      <w:lang w:val="zh-CN"/>
    </w:rPr>
  </w:style>
  <w:style w:type="paragraph" w:customStyle="1" w:styleId="211">
    <w:name w:val="样式 首行缩进:  2 字符1"/>
    <w:basedOn w:val="a0"/>
    <w:link w:val="21Char"/>
    <w:qFormat/>
    <w:rsid w:val="00DB4CF9"/>
    <w:pPr>
      <w:widowControl/>
      <w:spacing w:line="360" w:lineRule="auto"/>
      <w:ind w:firstLineChars="200" w:firstLine="200"/>
      <w:jc w:val="left"/>
    </w:pPr>
    <w:rPr>
      <w:rFonts w:cs="Times New Roman"/>
      <w:color w:val="auto"/>
      <w:kern w:val="0"/>
      <w:sz w:val="28"/>
      <w:szCs w:val="20"/>
      <w:lang w:val="zh-CN"/>
    </w:rPr>
  </w:style>
  <w:style w:type="paragraph" w:customStyle="1" w:styleId="afffff">
    <w:name w:val="表内字"/>
    <w:link w:val="Charf0"/>
    <w:qFormat/>
    <w:rsid w:val="00DB4CF9"/>
    <w:pPr>
      <w:spacing w:line="320" w:lineRule="exact"/>
      <w:jc w:val="center"/>
    </w:pPr>
    <w:rPr>
      <w:bCs/>
      <w:kern w:val="2"/>
      <w:sz w:val="21"/>
      <w:szCs w:val="21"/>
    </w:rPr>
  </w:style>
  <w:style w:type="character" w:customStyle="1" w:styleId="Charf0">
    <w:name w:val="表内字 Char"/>
    <w:link w:val="afffff"/>
    <w:qFormat/>
    <w:rsid w:val="00DB4CF9"/>
    <w:rPr>
      <w:bCs/>
      <w:kern w:val="2"/>
      <w:sz w:val="21"/>
      <w:szCs w:val="21"/>
      <w:lang w:bidi="ar-SA"/>
    </w:rPr>
  </w:style>
  <w:style w:type="paragraph" w:customStyle="1" w:styleId="44Char11111Char41111Char4CharChar1">
    <w:name w:val="样式 标题 4标题 4 Char11.1.1.1 Char标题 4.1.1.1.1 Char标题 4 Char Char...1"/>
    <w:basedOn w:val="4"/>
    <w:qFormat/>
    <w:rsid w:val="00DB4CF9"/>
    <w:pPr>
      <w:tabs>
        <w:tab w:val="num" w:pos="851"/>
      </w:tabs>
      <w:spacing w:before="0" w:after="0" w:line="300" w:lineRule="auto"/>
      <w:ind w:left="851" w:hanging="851"/>
    </w:pPr>
    <w:rPr>
      <w:rFonts w:ascii="Times New Roman" w:eastAsia="宋体" w:hAnsi="Times New Roman" w:cs="宋体"/>
      <w:sz w:val="28"/>
      <w:szCs w:val="20"/>
    </w:rPr>
  </w:style>
  <w:style w:type="paragraph" w:customStyle="1" w:styleId="52">
    <w:name w:val="表内5"/>
    <w:basedOn w:val="a0"/>
    <w:autoRedefine/>
    <w:qFormat/>
    <w:rsid w:val="00DB4CF9"/>
    <w:pPr>
      <w:shd w:val="clear" w:color="auto" w:fill="FFFFFF"/>
      <w:tabs>
        <w:tab w:val="left" w:pos="4305"/>
      </w:tabs>
      <w:adjustRightInd w:val="0"/>
      <w:snapToGrid w:val="0"/>
      <w:jc w:val="center"/>
    </w:pPr>
    <w:rPr>
      <w:rFonts w:ascii="宋体"/>
      <w:b/>
      <w:noProof/>
      <w:sz w:val="24"/>
      <w:szCs w:val="21"/>
    </w:rPr>
  </w:style>
  <w:style w:type="paragraph" w:customStyle="1" w:styleId="0852">
    <w:name w:val="样式 样式 首行缩进:  0.85 厘米 + 首行缩进:  2 字符"/>
    <w:basedOn w:val="a0"/>
    <w:qFormat/>
    <w:rsid w:val="00DB4CF9"/>
    <w:pPr>
      <w:widowControl/>
      <w:spacing w:line="360" w:lineRule="auto"/>
      <w:ind w:firstLineChars="200" w:firstLine="200"/>
      <w:jc w:val="left"/>
    </w:pPr>
    <w:rPr>
      <w:rFonts w:ascii="Courier New" w:eastAsia="仿宋_GB2312" w:hAnsi="Courier New" w:cs="仿宋_GB2312"/>
      <w:kern w:val="0"/>
      <w:sz w:val="24"/>
      <w:szCs w:val="20"/>
    </w:rPr>
  </w:style>
  <w:style w:type="paragraph" w:customStyle="1" w:styleId="GB23122">
    <w:name w:val="样式 规划正文 + 仿宋_GB2312 三号 首行缩进:  2 字符 行距: 单倍行距"/>
    <w:basedOn w:val="a0"/>
    <w:qFormat/>
    <w:rsid w:val="00DB4CF9"/>
    <w:pPr>
      <w:spacing w:line="360" w:lineRule="auto"/>
      <w:ind w:firstLineChars="200" w:firstLine="560"/>
    </w:pPr>
    <w:rPr>
      <w:rFonts w:ascii="新宋体" w:eastAsia="新宋体" w:hAnsi="Courier New" w:cs="仿宋_GB2312"/>
      <w:noProof/>
      <w:sz w:val="28"/>
      <w:szCs w:val="28"/>
    </w:rPr>
  </w:style>
  <w:style w:type="character" w:customStyle="1" w:styleId="Char8">
    <w:name w:val="说明书正文 Char"/>
    <w:link w:val="affff0"/>
    <w:qFormat/>
    <w:rsid w:val="00DB4CF9"/>
    <w:rPr>
      <w:rFonts w:eastAsia="仿宋_GB2312"/>
      <w:color w:val="000000"/>
      <w:kern w:val="2"/>
      <w:sz w:val="30"/>
      <w:szCs w:val="22"/>
    </w:rPr>
  </w:style>
  <w:style w:type="paragraph" w:customStyle="1" w:styleId="272">
    <w:name w:val="样式 样式 宋体 四号 行距: 固定值 27 磅 + 首行缩进:  2 字符"/>
    <w:basedOn w:val="a0"/>
    <w:qFormat/>
    <w:rsid w:val="00DB4CF9"/>
    <w:pPr>
      <w:widowControl/>
      <w:spacing w:line="360" w:lineRule="auto"/>
      <w:ind w:firstLineChars="200" w:firstLine="560"/>
      <w:jc w:val="left"/>
    </w:pPr>
    <w:rPr>
      <w:rFonts w:ascii="仿宋_GB2312" w:eastAsia="仿宋_GB2312" w:hAnsi="仿宋_GB2312" w:cs="仿宋_GB2312"/>
      <w:kern w:val="0"/>
      <w:sz w:val="24"/>
      <w:szCs w:val="20"/>
    </w:rPr>
  </w:style>
  <w:style w:type="numbering" w:customStyle="1" w:styleId="1a">
    <w:name w:val="无列表1"/>
    <w:next w:val="a4"/>
    <w:semiHidden/>
    <w:unhideWhenUsed/>
    <w:rsid w:val="00DB4CF9"/>
  </w:style>
  <w:style w:type="table" w:customStyle="1" w:styleId="110">
    <w:name w:val="网格型11"/>
    <w:basedOn w:val="a3"/>
    <w:next w:val="afe"/>
    <w:qFormat/>
    <w:rsid w:val="00DB4CF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4"/>
    <w:semiHidden/>
    <w:unhideWhenUsed/>
    <w:rsid w:val="00DB4CF9"/>
  </w:style>
  <w:style w:type="table" w:customStyle="1" w:styleId="120">
    <w:name w:val="网格型12"/>
    <w:basedOn w:val="a3"/>
    <w:next w:val="afe"/>
    <w:qFormat/>
    <w:rsid w:val="00DB4CF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访问过的超链接1"/>
    <w:uiPriority w:val="99"/>
    <w:unhideWhenUsed/>
    <w:qFormat/>
    <w:rsid w:val="00DB4CF9"/>
    <w:pPr>
      <w:widowControl w:val="0"/>
      <w:jc w:val="both"/>
    </w:pPr>
    <w:rPr>
      <w:color w:val="000000"/>
      <w:kern w:val="2"/>
      <w:sz w:val="21"/>
      <w:szCs w:val="24"/>
    </w:rPr>
  </w:style>
  <w:style w:type="numbering" w:customStyle="1" w:styleId="38">
    <w:name w:val="无列表3"/>
    <w:next w:val="a4"/>
    <w:semiHidden/>
    <w:unhideWhenUsed/>
    <w:rsid w:val="00DB4CF9"/>
  </w:style>
  <w:style w:type="table" w:customStyle="1" w:styleId="130">
    <w:name w:val="网格型13"/>
    <w:basedOn w:val="a3"/>
    <w:next w:val="afe"/>
    <w:qFormat/>
    <w:rsid w:val="00DB4CF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无列表4"/>
    <w:next w:val="a4"/>
    <w:semiHidden/>
    <w:unhideWhenUsed/>
    <w:rsid w:val="00DB4CF9"/>
  </w:style>
  <w:style w:type="table" w:customStyle="1" w:styleId="140">
    <w:name w:val="网格型14"/>
    <w:basedOn w:val="a3"/>
    <w:next w:val="afe"/>
    <w:qFormat/>
    <w:rsid w:val="00DB4CF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内容"/>
    <w:basedOn w:val="a0"/>
    <w:link w:val="Charf1"/>
    <w:qFormat/>
    <w:rsid w:val="00DB4CF9"/>
    <w:pPr>
      <w:ind w:firstLineChars="200" w:firstLine="200"/>
      <w:jc w:val="left"/>
    </w:pPr>
    <w:rPr>
      <w:rFonts w:cs="Times New Roman"/>
      <w:color w:val="auto"/>
      <w:sz w:val="28"/>
    </w:rPr>
  </w:style>
  <w:style w:type="character" w:customStyle="1" w:styleId="Charf1">
    <w:name w:val="内容 Char"/>
    <w:link w:val="afffff0"/>
    <w:qFormat/>
    <w:locked/>
    <w:rsid w:val="00DB4CF9"/>
    <w:rPr>
      <w:kern w:val="2"/>
      <w:sz w:val="28"/>
      <w:szCs w:val="24"/>
    </w:rPr>
  </w:style>
  <w:style w:type="paragraph" w:styleId="afffff1">
    <w:name w:val="Revision"/>
    <w:hidden/>
    <w:uiPriority w:val="99"/>
    <w:semiHidden/>
    <w:rsid w:val="00DB4CF9"/>
    <w:rPr>
      <w:color w:val="000000"/>
      <w:kern w:val="2"/>
      <w:sz w:val="21"/>
      <w:szCs w:val="24"/>
    </w:rPr>
  </w:style>
  <w:style w:type="character" w:customStyle="1" w:styleId="Char10">
    <w:name w:val="纯文本 Char1"/>
    <w:aliases w:val="普通文字 Char Char Char Char Char Char Char Char1,普通文字 Char Char1,纯文本 Char Char Char1,纯文本 Char Char Char Char Char,纯文本 Char Char Char Char1,普通文字 + 行距: 1.5 倍行距 Char,首行缩进:  1.96 字符 Char,普通文字 Char1,Char Char Char2,孙普文字 Char1,普通文字 Char Char Char2"/>
    <w:qFormat/>
    <w:rsid w:val="00DB4CF9"/>
    <w:rPr>
      <w:rFonts w:ascii="宋体" w:eastAsia="楷体_GB2312" w:hAnsi="宋体"/>
      <w:kern w:val="2"/>
      <w:sz w:val="21"/>
    </w:rPr>
  </w:style>
  <w:style w:type="paragraph" w:customStyle="1" w:styleId="3Char3Char1511134151">
    <w:name w:val="样式 标题 3Char小标题标题 3 Char四号宋体左齐行距1.5倍1.1.1标题 34号宋体左齐行距1.5倍条...1"/>
    <w:basedOn w:val="3"/>
    <w:qFormat/>
    <w:rsid w:val="00DB4CF9"/>
    <w:pPr>
      <w:numPr>
        <w:ilvl w:val="2"/>
      </w:numPr>
      <w:tabs>
        <w:tab w:val="num" w:pos="720"/>
      </w:tabs>
      <w:spacing w:before="100" w:after="100" w:line="300" w:lineRule="auto"/>
      <w:ind w:left="720" w:hanging="720"/>
    </w:pPr>
    <w:rPr>
      <w:rFonts w:ascii="Courier New" w:eastAsia="仿宋_GB2312" w:hAnsi="仿宋_GB2312" w:cs="仿宋_GB2312"/>
      <w:bCs w:val="0"/>
      <w:szCs w:val="20"/>
    </w:rPr>
  </w:style>
  <w:style w:type="paragraph" w:customStyle="1" w:styleId="afffff2">
    <w:name w:val="黏贴"/>
    <w:qFormat/>
    <w:rsid w:val="00DB4CF9"/>
    <w:rPr>
      <w:color w:val="000000"/>
      <w:kern w:val="2"/>
      <w:sz w:val="18"/>
      <w:szCs w:val="24"/>
    </w:rPr>
  </w:style>
  <w:style w:type="paragraph" w:customStyle="1" w:styleId="A15">
    <w:name w:val="A样式 小四 行距: 1.5 倍行距"/>
    <w:basedOn w:val="a0"/>
    <w:qFormat/>
    <w:rsid w:val="00DB4CF9"/>
    <w:pPr>
      <w:spacing w:line="360" w:lineRule="auto"/>
      <w:ind w:firstLineChars="200" w:firstLine="480"/>
    </w:pPr>
    <w:rPr>
      <w:rFonts w:cs="宋体"/>
      <w:sz w:val="24"/>
      <w:szCs w:val="20"/>
    </w:rPr>
  </w:style>
  <w:style w:type="paragraph" w:customStyle="1" w:styleId="afffff3">
    <w:name w:val="中文报告书样式"/>
    <w:basedOn w:val="a0"/>
    <w:qFormat/>
    <w:rsid w:val="00DB4CF9"/>
    <w:pPr>
      <w:adjustRightInd w:val="0"/>
      <w:spacing w:line="480" w:lineRule="atLeast"/>
      <w:ind w:firstLine="482"/>
      <w:textAlignment w:val="baseline"/>
    </w:pPr>
    <w:rPr>
      <w:kern w:val="24"/>
      <w:sz w:val="24"/>
      <w:szCs w:val="20"/>
    </w:rPr>
  </w:style>
  <w:style w:type="character" w:customStyle="1" w:styleId="Charf2">
    <w:name w:val="正文 Char"/>
    <w:qFormat/>
    <w:rsid w:val="00DB4CF9"/>
    <w:rPr>
      <w:rFonts w:hAnsi="宋体"/>
      <w:color w:val="000000"/>
      <w:spacing w:val="2"/>
      <w:kern w:val="2"/>
      <w:sz w:val="24"/>
      <w:szCs w:val="24"/>
    </w:rPr>
  </w:style>
  <w:style w:type="paragraph" w:customStyle="1" w:styleId="afffff4">
    <w:name w:val="表格内容格式"/>
    <w:basedOn w:val="a0"/>
    <w:link w:val="Charf3"/>
    <w:qFormat/>
    <w:rsid w:val="00DB4CF9"/>
    <w:pPr>
      <w:adjustRightInd w:val="0"/>
      <w:snapToGrid w:val="0"/>
      <w:ind w:firstLineChars="50" w:firstLine="50"/>
      <w:jc w:val="center"/>
      <w:textAlignment w:val="center"/>
    </w:pPr>
    <w:rPr>
      <w:rFonts w:cs="Times New Roman"/>
      <w:color w:val="auto"/>
      <w:kern w:val="0"/>
      <w:szCs w:val="18"/>
    </w:rPr>
  </w:style>
  <w:style w:type="character" w:customStyle="1" w:styleId="Charf3">
    <w:name w:val="表格内容格式 Char"/>
    <w:link w:val="afffff4"/>
    <w:qFormat/>
    <w:rsid w:val="00DB4CF9"/>
    <w:rPr>
      <w:sz w:val="21"/>
      <w:szCs w:val="18"/>
    </w:rPr>
  </w:style>
  <w:style w:type="character" w:customStyle="1" w:styleId="2Char4">
    <w:name w:val="样式 标题 2 + 宋体 Char"/>
    <w:qFormat/>
    <w:rsid w:val="00DB4CF9"/>
    <w:rPr>
      <w:rFonts w:ascii="宋体" w:eastAsia="宋体" w:hAnsi="宋体"/>
      <w:b/>
      <w:bCs/>
      <w:kern w:val="2"/>
      <w:sz w:val="28"/>
      <w:szCs w:val="32"/>
      <w:lang w:val="en-US" w:eastAsia="zh-CN" w:bidi="ar-SA"/>
    </w:rPr>
  </w:style>
  <w:style w:type="paragraph" w:customStyle="1" w:styleId="2e">
    <w:name w:val="2级标题"/>
    <w:basedOn w:val="a0"/>
    <w:link w:val="2Char5"/>
    <w:qFormat/>
    <w:rsid w:val="00DB4CF9"/>
    <w:pPr>
      <w:keepNext/>
      <w:keepLines/>
      <w:spacing w:before="120" w:after="120" w:line="660" w:lineRule="exact"/>
      <w:outlineLvl w:val="1"/>
    </w:pPr>
    <w:rPr>
      <w:rFonts w:eastAsia="黑体" w:cs="Times New Roman"/>
      <w:bCs/>
      <w:color w:val="auto"/>
      <w:sz w:val="28"/>
      <w:szCs w:val="28"/>
    </w:rPr>
  </w:style>
  <w:style w:type="character" w:customStyle="1" w:styleId="2Char5">
    <w:name w:val="2级标题 Char"/>
    <w:link w:val="2e"/>
    <w:qFormat/>
    <w:rsid w:val="00DB4CF9"/>
    <w:rPr>
      <w:rFonts w:eastAsia="黑体"/>
      <w:bCs/>
      <w:kern w:val="2"/>
      <w:sz w:val="28"/>
      <w:szCs w:val="28"/>
    </w:rPr>
  </w:style>
  <w:style w:type="table" w:customStyle="1" w:styleId="1c">
    <w:name w:val="我的表格样式1"/>
    <w:basedOn w:val="afe"/>
    <w:qFormat/>
    <w:rsid w:val="00DB4CF9"/>
    <w:pPr>
      <w:widowControl w:val="0"/>
      <w:jc w:val="center"/>
    </w:pPr>
    <w:rPr>
      <w:sz w:val="21"/>
      <w:szCs w:val="18"/>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tblHeader/>
      <w:jc w:val="center"/>
    </w:trPr>
    <w:tcPr>
      <w:vAlign w:val="center"/>
    </w:tcPr>
  </w:style>
  <w:style w:type="paragraph" w:styleId="TOC">
    <w:name w:val="TOC Heading"/>
    <w:basedOn w:val="1"/>
    <w:next w:val="a0"/>
    <w:uiPriority w:val="39"/>
    <w:unhideWhenUsed/>
    <w:qFormat/>
    <w:rsid w:val="00DB4CF9"/>
    <w:pPr>
      <w:widowControl/>
      <w:spacing w:before="480" w:after="0" w:line="276" w:lineRule="auto"/>
      <w:jc w:val="left"/>
      <w:outlineLvl w:val="9"/>
    </w:pPr>
    <w:rPr>
      <w:rFonts w:ascii="Cambria" w:hAnsi="Cambria"/>
      <w:color w:val="365F91"/>
      <w:kern w:val="0"/>
      <w:sz w:val="28"/>
      <w:szCs w:val="28"/>
    </w:rPr>
  </w:style>
  <w:style w:type="paragraph" w:customStyle="1" w:styleId="p18">
    <w:name w:val="p18"/>
    <w:basedOn w:val="a0"/>
    <w:qFormat/>
    <w:rsid w:val="00DB4CF9"/>
    <w:pPr>
      <w:widowControl/>
    </w:pPr>
    <w:rPr>
      <w:kern w:val="0"/>
      <w:szCs w:val="21"/>
    </w:rPr>
  </w:style>
  <w:style w:type="paragraph" w:customStyle="1" w:styleId="p19">
    <w:name w:val="p19"/>
    <w:basedOn w:val="a0"/>
    <w:qFormat/>
    <w:rsid w:val="00DB4CF9"/>
    <w:pPr>
      <w:widowControl/>
    </w:pPr>
    <w:rPr>
      <w:kern w:val="0"/>
      <w:szCs w:val="21"/>
    </w:rPr>
  </w:style>
  <w:style w:type="paragraph" w:customStyle="1" w:styleId="p20">
    <w:name w:val="p20"/>
    <w:basedOn w:val="a0"/>
    <w:qFormat/>
    <w:rsid w:val="00DB4CF9"/>
    <w:pPr>
      <w:widowControl/>
    </w:pPr>
    <w:rPr>
      <w:kern w:val="0"/>
      <w:szCs w:val="21"/>
    </w:rPr>
  </w:style>
  <w:style w:type="paragraph" w:customStyle="1" w:styleId="1d">
    <w:name w:val="1级标题"/>
    <w:basedOn w:val="1"/>
    <w:link w:val="1Char1"/>
    <w:qFormat/>
    <w:rsid w:val="00DB4CF9"/>
    <w:pPr>
      <w:spacing w:before="120" w:after="120" w:line="600" w:lineRule="exact"/>
      <w:jc w:val="left"/>
    </w:pPr>
    <w:rPr>
      <w:rFonts w:eastAsia="黑体" w:cs="Times New Roman"/>
      <w:b w:val="0"/>
      <w:color w:val="auto"/>
      <w:sz w:val="32"/>
    </w:rPr>
  </w:style>
  <w:style w:type="character" w:customStyle="1" w:styleId="1Char1">
    <w:name w:val="1级标题 Char"/>
    <w:link w:val="1d"/>
    <w:qFormat/>
    <w:rsid w:val="00DB4CF9"/>
    <w:rPr>
      <w:rFonts w:eastAsia="黑体"/>
      <w:bCs/>
      <w:kern w:val="44"/>
      <w:sz w:val="32"/>
      <w:szCs w:val="44"/>
    </w:rPr>
  </w:style>
  <w:style w:type="paragraph" w:customStyle="1" w:styleId="afffff5">
    <w:name w:val="表格内容居中"/>
    <w:basedOn w:val="a0"/>
    <w:link w:val="Charf4"/>
    <w:qFormat/>
    <w:rsid w:val="00DB4CF9"/>
    <w:pPr>
      <w:adjustRightInd w:val="0"/>
      <w:snapToGrid w:val="0"/>
      <w:spacing w:line="240" w:lineRule="exact"/>
      <w:ind w:firstLineChars="50" w:firstLine="90"/>
      <w:jc w:val="center"/>
      <w:textAlignment w:val="center"/>
    </w:pPr>
    <w:rPr>
      <w:rFonts w:cs="Times New Roman"/>
      <w:color w:val="auto"/>
      <w:kern w:val="0"/>
      <w:szCs w:val="18"/>
    </w:rPr>
  </w:style>
  <w:style w:type="character" w:customStyle="1" w:styleId="Charf4">
    <w:name w:val="表格内容居中 Char"/>
    <w:link w:val="afffff5"/>
    <w:qFormat/>
    <w:rsid w:val="00DB4CF9"/>
    <w:rPr>
      <w:sz w:val="21"/>
      <w:szCs w:val="18"/>
    </w:rPr>
  </w:style>
  <w:style w:type="paragraph" w:customStyle="1" w:styleId="240">
    <w:name w:val="样式 小四 行距: 固定值 24 磅"/>
    <w:basedOn w:val="a0"/>
    <w:qFormat/>
    <w:rsid w:val="00DB4CF9"/>
    <w:pPr>
      <w:adjustRightInd w:val="0"/>
      <w:snapToGrid w:val="0"/>
      <w:spacing w:line="360" w:lineRule="auto"/>
      <w:ind w:firstLineChars="200" w:firstLine="200"/>
    </w:pPr>
    <w:rPr>
      <w:rFonts w:cs="宋体"/>
      <w:sz w:val="24"/>
      <w:szCs w:val="20"/>
    </w:rPr>
  </w:style>
  <w:style w:type="paragraph" w:customStyle="1" w:styleId="ParaCharCharCharChar">
    <w:name w:val="默认段落字体 Para Char Char Char Char"/>
    <w:basedOn w:val="a0"/>
    <w:qFormat/>
    <w:rsid w:val="00DB4CF9"/>
    <w:pPr>
      <w:spacing w:beforeLines="100" w:afterLines="50" w:line="600" w:lineRule="exact"/>
      <w:ind w:firstLineChars="200" w:firstLine="200"/>
    </w:pPr>
    <w:rPr>
      <w:rFonts w:eastAsia="黑体"/>
      <w:sz w:val="28"/>
    </w:rPr>
  </w:style>
  <w:style w:type="paragraph" w:customStyle="1" w:styleId="afffff6">
    <w:name w:val="图标题"/>
    <w:basedOn w:val="a0"/>
    <w:next w:val="a0"/>
    <w:qFormat/>
    <w:rsid w:val="00DB4CF9"/>
    <w:pPr>
      <w:keepNext/>
      <w:widowControl/>
      <w:autoSpaceDE w:val="0"/>
      <w:autoSpaceDN w:val="0"/>
      <w:adjustRightInd w:val="0"/>
      <w:spacing w:before="60" w:after="120" w:line="400" w:lineRule="atLeast"/>
      <w:jc w:val="center"/>
    </w:pPr>
    <w:rPr>
      <w:b/>
      <w:spacing w:val="2"/>
      <w:kern w:val="0"/>
      <w:sz w:val="24"/>
      <w:szCs w:val="20"/>
    </w:rPr>
  </w:style>
  <w:style w:type="paragraph" w:customStyle="1" w:styleId="font1">
    <w:name w:val="font1"/>
    <w:basedOn w:val="a0"/>
    <w:qFormat/>
    <w:rsid w:val="00DB4CF9"/>
    <w:pPr>
      <w:widowControl/>
      <w:spacing w:before="100" w:beforeAutospacing="1" w:after="100" w:afterAutospacing="1" w:line="345" w:lineRule="atLeast"/>
      <w:jc w:val="left"/>
    </w:pPr>
    <w:rPr>
      <w:rFonts w:ascii="宋体" w:hAnsi="宋体" w:hint="eastAsia"/>
      <w:color w:val="333333"/>
      <w:kern w:val="0"/>
      <w:sz w:val="18"/>
      <w:szCs w:val="18"/>
    </w:rPr>
  </w:style>
  <w:style w:type="character" w:customStyle="1" w:styleId="tcss01">
    <w:name w:val="tcss01"/>
    <w:basedOn w:val="a2"/>
    <w:qFormat/>
    <w:rsid w:val="005E3D09"/>
  </w:style>
  <w:style w:type="paragraph" w:styleId="afffff7">
    <w:name w:val="Title"/>
    <w:basedOn w:val="a0"/>
    <w:next w:val="a0"/>
    <w:link w:val="afffff8"/>
    <w:qFormat/>
    <w:rsid w:val="004F3CD7"/>
    <w:pPr>
      <w:spacing w:before="240" w:after="60"/>
      <w:jc w:val="center"/>
      <w:outlineLvl w:val="0"/>
    </w:pPr>
    <w:rPr>
      <w:rFonts w:ascii="Cambria" w:hAnsi="Cambria"/>
      <w:b/>
      <w:bCs/>
      <w:sz w:val="32"/>
      <w:szCs w:val="32"/>
    </w:rPr>
  </w:style>
  <w:style w:type="character" w:customStyle="1" w:styleId="afffff8">
    <w:name w:val="标题 字符"/>
    <w:basedOn w:val="a2"/>
    <w:link w:val="afffff7"/>
    <w:qFormat/>
    <w:rsid w:val="004F3CD7"/>
    <w:rPr>
      <w:rFonts w:ascii="Cambria" w:hAnsi="Cambria"/>
      <w:b/>
      <w:bCs/>
      <w:kern w:val="2"/>
      <w:sz w:val="32"/>
      <w:szCs w:val="32"/>
    </w:rPr>
  </w:style>
  <w:style w:type="paragraph" w:customStyle="1" w:styleId="53">
    <w:name w:val="样式5"/>
    <w:basedOn w:val="41"/>
    <w:uiPriority w:val="99"/>
    <w:qFormat/>
    <w:rsid w:val="004F3CD7"/>
    <w:rPr>
      <w:rFonts w:eastAsia="黑体"/>
    </w:rPr>
  </w:style>
  <w:style w:type="character" w:customStyle="1" w:styleId="font11">
    <w:name w:val="font11"/>
    <w:basedOn w:val="a2"/>
    <w:qFormat/>
    <w:rsid w:val="00990F3E"/>
  </w:style>
  <w:style w:type="paragraph" w:customStyle="1" w:styleId="CharCharCharChar">
    <w:name w:val="Char Char Char Char"/>
    <w:basedOn w:val="a0"/>
    <w:qFormat/>
    <w:rsid w:val="00990F3E"/>
    <w:pPr>
      <w:spacing w:line="360" w:lineRule="auto"/>
      <w:ind w:firstLineChars="200" w:firstLine="200"/>
    </w:pPr>
    <w:rPr>
      <w:rFonts w:ascii="宋体" w:hAnsi="宋体" w:cs="宋体"/>
      <w:sz w:val="24"/>
    </w:rPr>
  </w:style>
  <w:style w:type="paragraph" w:customStyle="1" w:styleId="CharCharCharCharCharCharCharChar1Char">
    <w:name w:val="Char Char Char Char Char Char Char Char1 Char"/>
    <w:basedOn w:val="a0"/>
    <w:qFormat/>
    <w:rsid w:val="00990F3E"/>
    <w:pPr>
      <w:autoSpaceDE w:val="0"/>
      <w:autoSpaceDN w:val="0"/>
      <w:spacing w:beforeLines="100" w:afterLines="50" w:line="600" w:lineRule="exact"/>
      <w:ind w:firstLineChars="200" w:firstLine="200"/>
      <w:jc w:val="left"/>
    </w:pPr>
    <w:rPr>
      <w:rFonts w:eastAsia="黑体"/>
      <w:sz w:val="28"/>
      <w:szCs w:val="2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qFormat/>
    <w:rsid w:val="00990F3E"/>
    <w:pPr>
      <w:spacing w:line="360" w:lineRule="auto"/>
      <w:ind w:firstLineChars="200" w:firstLine="200"/>
    </w:pPr>
    <w:rPr>
      <w:rFonts w:ascii="宋体" w:hAnsi="宋体" w:cs="宋体"/>
      <w:sz w:val="24"/>
    </w:rPr>
  </w:style>
  <w:style w:type="paragraph" w:customStyle="1" w:styleId="2f">
    <w:name w:val="2"/>
    <w:basedOn w:val="a0"/>
    <w:next w:val="aa"/>
    <w:qFormat/>
    <w:rsid w:val="00990F3E"/>
    <w:rPr>
      <w:rFonts w:ascii="宋体" w:hAnsi="Lucida Console"/>
    </w:rPr>
  </w:style>
  <w:style w:type="paragraph" w:customStyle="1" w:styleId="39">
    <w:name w:val="样式3"/>
    <w:basedOn w:val="2b"/>
    <w:link w:val="3Char0"/>
    <w:qFormat/>
    <w:rsid w:val="00990F3E"/>
    <w:pPr>
      <w:pBdr>
        <w:bottom w:val="thinThickSmallGap" w:sz="12" w:space="1" w:color="auto"/>
      </w:pBdr>
      <w:tabs>
        <w:tab w:val="center" w:pos="4153"/>
        <w:tab w:val="right" w:pos="8306"/>
      </w:tabs>
      <w:snapToGrid w:val="0"/>
      <w:spacing w:line="240" w:lineRule="auto"/>
      <w:ind w:firstLineChars="0" w:firstLine="0"/>
      <w:jc w:val="center"/>
    </w:pPr>
    <w:rPr>
      <w:sz w:val="18"/>
      <w:szCs w:val="18"/>
    </w:rPr>
  </w:style>
  <w:style w:type="paragraph" w:customStyle="1" w:styleId="320">
    <w:name w:val="表格 32"/>
    <w:basedOn w:val="a0"/>
    <w:qFormat/>
    <w:rsid w:val="00990F3E"/>
    <w:pPr>
      <w:autoSpaceDE w:val="0"/>
      <w:autoSpaceDN w:val="0"/>
      <w:adjustRightInd w:val="0"/>
      <w:jc w:val="center"/>
      <w:textAlignment w:val="baseline"/>
    </w:pPr>
    <w:rPr>
      <w:rFonts w:eastAsia="楷体_GB2312"/>
      <w:kern w:val="0"/>
      <w:sz w:val="24"/>
      <w:szCs w:val="20"/>
    </w:rPr>
  </w:style>
  <w:style w:type="character" w:customStyle="1" w:styleId="style21">
    <w:name w:val="style21"/>
    <w:qFormat/>
    <w:rsid w:val="00990F3E"/>
    <w:rPr>
      <w:sz w:val="18"/>
      <w:szCs w:val="18"/>
    </w:rPr>
  </w:style>
  <w:style w:type="character" w:customStyle="1" w:styleId="fontcn14">
    <w:name w:val="font_cn_14"/>
    <w:basedOn w:val="a2"/>
    <w:qFormat/>
    <w:rsid w:val="00990F3E"/>
  </w:style>
  <w:style w:type="paragraph" w:customStyle="1" w:styleId="afffff9">
    <w:name w:val="环表头"/>
    <w:basedOn w:val="a0"/>
    <w:next w:val="a0"/>
    <w:autoRedefine/>
    <w:qFormat/>
    <w:rsid w:val="00990F3E"/>
    <w:pPr>
      <w:widowControl/>
      <w:suppressAutoHyphens/>
      <w:adjustRightInd w:val="0"/>
      <w:spacing w:before="60" w:after="60" w:line="312" w:lineRule="atLeast"/>
      <w:ind w:right="28"/>
      <w:jc w:val="center"/>
      <w:textAlignment w:val="baseline"/>
    </w:pPr>
    <w:rPr>
      <w:rFonts w:ascii="黑体" w:eastAsia="黑体" w:hAnsi="宋体"/>
      <w:kern w:val="0"/>
      <w:sz w:val="24"/>
      <w:szCs w:val="20"/>
    </w:rPr>
  </w:style>
  <w:style w:type="paragraph" w:customStyle="1" w:styleId="afffffa">
    <w:name w:val="环正文"/>
    <w:basedOn w:val="a0"/>
    <w:autoRedefine/>
    <w:qFormat/>
    <w:rsid w:val="00990F3E"/>
    <w:pPr>
      <w:widowControl/>
      <w:suppressAutoHyphens/>
      <w:adjustRightInd w:val="0"/>
      <w:spacing w:line="312" w:lineRule="atLeast"/>
      <w:ind w:firstLineChars="200" w:firstLine="549"/>
      <w:textAlignment w:val="baseline"/>
    </w:pPr>
    <w:rPr>
      <w:rFonts w:ascii="宋体" w:hAnsi="宋体"/>
      <w:kern w:val="0"/>
      <w:sz w:val="24"/>
      <w:szCs w:val="20"/>
    </w:rPr>
  </w:style>
  <w:style w:type="character" w:customStyle="1" w:styleId="postbody1">
    <w:name w:val="postbody1"/>
    <w:qFormat/>
    <w:rsid w:val="00990F3E"/>
    <w:rPr>
      <w:sz w:val="28"/>
      <w:szCs w:val="28"/>
    </w:rPr>
  </w:style>
  <w:style w:type="character" w:customStyle="1" w:styleId="textcontents">
    <w:name w:val="textcontents"/>
    <w:basedOn w:val="a2"/>
    <w:qFormat/>
    <w:rsid w:val="00990F3E"/>
  </w:style>
  <w:style w:type="paragraph" w:customStyle="1" w:styleId="112">
    <w:name w:val="11"/>
    <w:basedOn w:val="a0"/>
    <w:link w:val="11Char"/>
    <w:autoRedefine/>
    <w:qFormat/>
    <w:rsid w:val="00990F3E"/>
    <w:pPr>
      <w:spacing w:line="520" w:lineRule="exact"/>
      <w:ind w:firstLineChars="200" w:firstLine="560"/>
    </w:pPr>
    <w:rPr>
      <w:rFonts w:ascii="宋体" w:hAnsi="宋体" w:cs="Times New Roman"/>
      <w:color w:val="auto"/>
      <w:kern w:val="0"/>
      <w:sz w:val="28"/>
    </w:rPr>
  </w:style>
  <w:style w:type="character" w:customStyle="1" w:styleId="11Char">
    <w:name w:val="11 Char"/>
    <w:link w:val="112"/>
    <w:qFormat/>
    <w:rsid w:val="00990F3E"/>
    <w:rPr>
      <w:rFonts w:ascii="宋体" w:hAnsi="宋体"/>
      <w:sz w:val="28"/>
      <w:szCs w:val="24"/>
    </w:rPr>
  </w:style>
  <w:style w:type="character" w:customStyle="1" w:styleId="3Char0">
    <w:name w:val="样式3 Char"/>
    <w:link w:val="39"/>
    <w:qFormat/>
    <w:rsid w:val="00990F3E"/>
    <w:rPr>
      <w:kern w:val="2"/>
      <w:sz w:val="18"/>
      <w:szCs w:val="18"/>
    </w:rPr>
  </w:style>
  <w:style w:type="paragraph" w:customStyle="1" w:styleId="1e">
    <w:name w:val="我的标题1"/>
    <w:basedOn w:val="1"/>
    <w:link w:val="1Char2"/>
    <w:qFormat/>
    <w:rsid w:val="00EE4D15"/>
    <w:pPr>
      <w:spacing w:line="240" w:lineRule="auto"/>
      <w:jc w:val="center"/>
    </w:pPr>
    <w:rPr>
      <w:rFonts w:ascii="Calibri" w:hAnsi="Calibri"/>
    </w:rPr>
  </w:style>
  <w:style w:type="paragraph" w:customStyle="1" w:styleId="2f0">
    <w:name w:val="我的标题2"/>
    <w:basedOn w:val="2"/>
    <w:link w:val="2Char6"/>
    <w:qFormat/>
    <w:rsid w:val="00EE4D15"/>
    <w:pPr>
      <w:spacing w:before="200" w:after="100"/>
    </w:pPr>
    <w:rPr>
      <w:rFonts w:ascii="Calibri" w:hAnsi="Calibri"/>
      <w:bCs/>
      <w:szCs w:val="28"/>
    </w:rPr>
  </w:style>
  <w:style w:type="character" w:customStyle="1" w:styleId="1Char2">
    <w:name w:val="我的标题1 Char"/>
    <w:basedOn w:val="10"/>
    <w:link w:val="1e"/>
    <w:qFormat/>
    <w:rsid w:val="00EE4D15"/>
    <w:rPr>
      <w:rFonts w:ascii="Calibri" w:eastAsia="宋体" w:hAnsi="Calibri"/>
      <w:b/>
      <w:bCs/>
      <w:color w:val="000000"/>
      <w:kern w:val="44"/>
      <w:sz w:val="44"/>
      <w:szCs w:val="44"/>
      <w:lang w:val="en-US" w:eastAsia="zh-CN" w:bidi="ar-SA"/>
    </w:rPr>
  </w:style>
  <w:style w:type="character" w:customStyle="1" w:styleId="3Char1">
    <w:name w:val="标题3 Char"/>
    <w:basedOn w:val="a2"/>
    <w:link w:val="3a"/>
    <w:qFormat/>
    <w:rsid w:val="00EF667F"/>
    <w:rPr>
      <w:rFonts w:ascii="Calibri" w:eastAsia="楷体_GB2312" w:hAnsi="Calibri"/>
      <w:b/>
      <w:kern w:val="2"/>
      <w:sz w:val="28"/>
      <w:szCs w:val="21"/>
    </w:rPr>
  </w:style>
  <w:style w:type="character" w:customStyle="1" w:styleId="2Char6">
    <w:name w:val="我的标题2 Char"/>
    <w:basedOn w:val="20"/>
    <w:link w:val="2f0"/>
    <w:qFormat/>
    <w:rsid w:val="00EE4D15"/>
    <w:rPr>
      <w:rFonts w:ascii="Calibri" w:eastAsia="黑体" w:hAnsi="Calibri"/>
      <w:b/>
      <w:bCs/>
      <w:color w:val="000000"/>
      <w:kern w:val="2"/>
      <w:sz w:val="28"/>
      <w:szCs w:val="28"/>
    </w:rPr>
  </w:style>
  <w:style w:type="paragraph" w:customStyle="1" w:styleId="3a">
    <w:name w:val="标题3"/>
    <w:basedOn w:val="af6"/>
    <w:link w:val="3Char1"/>
    <w:autoRedefine/>
    <w:qFormat/>
    <w:rsid w:val="00EF667F"/>
    <w:pPr>
      <w:spacing w:before="120" w:after="120" w:line="500" w:lineRule="exact"/>
      <w:ind w:right="-102"/>
      <w:jc w:val="left"/>
    </w:pPr>
    <w:rPr>
      <w:rFonts w:ascii="Calibri" w:eastAsia="楷体_GB2312" w:hAnsi="Calibri"/>
      <w:b/>
      <w:color w:val="auto"/>
      <w:sz w:val="28"/>
      <w:szCs w:val="21"/>
    </w:rPr>
  </w:style>
  <w:style w:type="character" w:customStyle="1" w:styleId="ChaChar">
    <w:name w:val="Cha Char"/>
    <w:aliases w:val="正文（首行缩进两字） Char2,正文（首行缩进两字） Char1 Char,正文缩进 Char2,正文2 Char,正文（首行缩进两字） Char Char1,表格 Char,正文缩进 Char Char,表格标题 Char,正文不缩进 Char1,s4 Char1,表正文 Char1,正文非缩进 Char1,特点 Char1,s4 Char Char,正文（首行缩进两字） Char Char Char Char Char Char Char1,正文1 Char1,段1 Char1"/>
    <w:qFormat/>
    <w:rsid w:val="006213AA"/>
    <w:rPr>
      <w:kern w:val="2"/>
      <w:sz w:val="28"/>
    </w:rPr>
  </w:style>
  <w:style w:type="paragraph" w:customStyle="1" w:styleId="TableStyle105">
    <w:name w:val="TableStyle10.5"/>
    <w:basedOn w:val="a0"/>
    <w:qFormat/>
    <w:rsid w:val="00220572"/>
    <w:pPr>
      <w:jc w:val="center"/>
    </w:pPr>
    <w:rPr>
      <w:rFonts w:cs="Times New Roman"/>
      <w:color w:val="auto"/>
      <w:kern w:val="0"/>
      <w:szCs w:val="22"/>
    </w:rPr>
  </w:style>
  <w:style w:type="paragraph" w:styleId="afffffb">
    <w:name w:val="Quote"/>
    <w:aliases w:val="List Paragraph"/>
    <w:basedOn w:val="a0"/>
    <w:next w:val="a0"/>
    <w:link w:val="afffffc"/>
    <w:qFormat/>
    <w:rsid w:val="00DC7169"/>
    <w:pPr>
      <w:spacing w:line="360" w:lineRule="exact"/>
      <w:jc w:val="center"/>
    </w:pPr>
    <w:rPr>
      <w:rFonts w:cs="Times New Roman"/>
      <w:iCs/>
      <w:szCs w:val="22"/>
    </w:rPr>
  </w:style>
  <w:style w:type="character" w:customStyle="1" w:styleId="afffffc">
    <w:name w:val="引用 字符"/>
    <w:aliases w:val="List Paragraph 字符"/>
    <w:basedOn w:val="a2"/>
    <w:link w:val="afffffb"/>
    <w:qFormat/>
    <w:rsid w:val="00DC7169"/>
    <w:rPr>
      <w:rFonts w:cs="Times New Roman"/>
      <w:iCs/>
      <w:color w:val="000000"/>
      <w:kern w:val="2"/>
      <w:sz w:val="21"/>
      <w:szCs w:val="22"/>
    </w:rPr>
  </w:style>
  <w:style w:type="character" w:customStyle="1" w:styleId="000CharChar">
    <w:name w:val="000 Char Char"/>
    <w:qFormat/>
    <w:rsid w:val="00DC7169"/>
    <w:rPr>
      <w:rFonts w:ascii="宋体" w:hAnsi="宋体" w:cs="宋体"/>
      <w:kern w:val="2"/>
      <w:sz w:val="24"/>
      <w:szCs w:val="24"/>
    </w:rPr>
  </w:style>
  <w:style w:type="paragraph" w:customStyle="1" w:styleId="TableStyle12">
    <w:name w:val="TableStyle12"/>
    <w:basedOn w:val="a0"/>
    <w:qFormat/>
    <w:rsid w:val="00DC7169"/>
    <w:pPr>
      <w:jc w:val="center"/>
    </w:pPr>
    <w:rPr>
      <w:rFonts w:cs="Times New Roman"/>
      <w:color w:val="auto"/>
      <w:kern w:val="0"/>
      <w:sz w:val="24"/>
      <w:szCs w:val="22"/>
    </w:rPr>
  </w:style>
  <w:style w:type="character" w:customStyle="1" w:styleId="28Char">
    <w:name w:val="王正文28磅 Char"/>
    <w:link w:val="280"/>
    <w:qFormat/>
    <w:rsid w:val="00DC7169"/>
    <w:rPr>
      <w:kern w:val="44"/>
      <w:sz w:val="24"/>
    </w:rPr>
  </w:style>
  <w:style w:type="paragraph" w:customStyle="1" w:styleId="280">
    <w:name w:val="王正文28磅"/>
    <w:basedOn w:val="a0"/>
    <w:link w:val="28Char"/>
    <w:qFormat/>
    <w:rsid w:val="00DC7169"/>
    <w:pPr>
      <w:widowControl/>
      <w:adjustRightInd w:val="0"/>
      <w:snapToGrid w:val="0"/>
      <w:spacing w:line="560" w:lineRule="exact"/>
      <w:ind w:firstLineChars="200" w:firstLine="480"/>
      <w:jc w:val="left"/>
    </w:pPr>
    <w:rPr>
      <w:rFonts w:cs="Times New Roman"/>
      <w:color w:val="auto"/>
      <w:kern w:val="44"/>
      <w:sz w:val="24"/>
      <w:szCs w:val="20"/>
    </w:rPr>
  </w:style>
  <w:style w:type="character" w:customStyle="1" w:styleId="textindent1">
    <w:name w:val="textindent1"/>
    <w:basedOn w:val="a2"/>
    <w:qFormat/>
    <w:rsid w:val="00DC7169"/>
  </w:style>
  <w:style w:type="character" w:customStyle="1" w:styleId="Char11">
    <w:name w:val="页眉 Char1"/>
    <w:basedOn w:val="a2"/>
    <w:qFormat/>
    <w:rsid w:val="008F4839"/>
  </w:style>
  <w:style w:type="character" w:customStyle="1" w:styleId="Char12">
    <w:name w:val="页脚 Char1"/>
    <w:basedOn w:val="a2"/>
    <w:qFormat/>
    <w:rsid w:val="008F4839"/>
  </w:style>
  <w:style w:type="paragraph" w:customStyle="1" w:styleId="CharCharCharCharCharChar2">
    <w:name w:val="Char Char Char Char Char Char2"/>
    <w:basedOn w:val="a0"/>
    <w:qFormat/>
    <w:rsid w:val="004554C2"/>
    <w:rPr>
      <w:sz w:val="24"/>
    </w:rPr>
  </w:style>
  <w:style w:type="paragraph" w:customStyle="1" w:styleId="CharCharChar1CharCharCharCharCharCharCharCharCharCharCharCharCharCharCharChar1">
    <w:name w:val="Char Char Char1 Char Char Char Char Char Char Char Char Char Char Char Char Char Char Char Char1"/>
    <w:basedOn w:val="a0"/>
    <w:qFormat/>
    <w:rsid w:val="004554C2"/>
    <w:rPr>
      <w:rFonts w:ascii="黑体" w:eastAsia="华文中宋" w:hAnsi="Arial" w:cs="宋体"/>
      <w:sz w:val="44"/>
      <w:szCs w:val="44"/>
    </w:rPr>
  </w:style>
  <w:style w:type="paragraph" w:customStyle="1" w:styleId="CharCharCharCharCharCharCharCharCharChar2">
    <w:name w:val="Char Char Char Char Char Char Char Char Char Char2"/>
    <w:basedOn w:val="a0"/>
    <w:qFormat/>
    <w:rsid w:val="004554C2"/>
    <w:pPr>
      <w:snapToGrid w:val="0"/>
      <w:spacing w:line="360" w:lineRule="auto"/>
      <w:ind w:firstLineChars="200" w:firstLine="200"/>
    </w:pPr>
    <w:rPr>
      <w:rFonts w:eastAsia="仿宋_GB2312"/>
      <w:sz w:val="24"/>
    </w:rPr>
  </w:style>
  <w:style w:type="paragraph" w:customStyle="1" w:styleId="212">
    <w:name w:val="纯文本21"/>
    <w:basedOn w:val="a0"/>
    <w:qFormat/>
    <w:rsid w:val="004554C2"/>
    <w:pPr>
      <w:adjustRightInd w:val="0"/>
      <w:textAlignment w:val="baseline"/>
    </w:pPr>
    <w:rPr>
      <w:rFonts w:ascii="宋体" w:hAnsi="Courier New"/>
      <w:szCs w:val="20"/>
    </w:rPr>
  </w:style>
  <w:style w:type="paragraph" w:customStyle="1" w:styleId="113">
    <w:name w:val="日期11"/>
    <w:basedOn w:val="a0"/>
    <w:next w:val="a0"/>
    <w:qFormat/>
    <w:rsid w:val="004554C2"/>
    <w:pPr>
      <w:adjustRightInd w:val="0"/>
      <w:textAlignment w:val="baseline"/>
    </w:pPr>
    <w:rPr>
      <w:szCs w:val="20"/>
    </w:rPr>
  </w:style>
  <w:style w:type="paragraph" w:customStyle="1" w:styleId="2110">
    <w:name w:val="正文文本 211"/>
    <w:basedOn w:val="a0"/>
    <w:qFormat/>
    <w:rsid w:val="004554C2"/>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Char22">
    <w:name w:val="Char22"/>
    <w:basedOn w:val="a0"/>
    <w:qFormat/>
    <w:rsid w:val="004554C2"/>
    <w:pPr>
      <w:spacing w:line="360" w:lineRule="auto"/>
      <w:ind w:firstLineChars="200" w:firstLine="200"/>
    </w:pPr>
    <w:rPr>
      <w:rFonts w:ascii="宋体" w:hAnsi="宋体" w:cs="宋体"/>
      <w:sz w:val="24"/>
    </w:rPr>
  </w:style>
  <w:style w:type="paragraph" w:customStyle="1" w:styleId="CharChar1Char1">
    <w:name w:val="Char Char1 Char1"/>
    <w:basedOn w:val="a0"/>
    <w:qFormat/>
    <w:rsid w:val="004554C2"/>
    <w:pPr>
      <w:spacing w:line="360" w:lineRule="auto"/>
      <w:ind w:firstLineChars="200" w:firstLine="200"/>
    </w:pPr>
    <w:rPr>
      <w:rFonts w:ascii="宋体" w:hAnsi="宋体" w:cs="宋体"/>
      <w:sz w:val="24"/>
    </w:rPr>
  </w:style>
  <w:style w:type="paragraph" w:customStyle="1" w:styleId="CharCharCharCharCharCharChar2">
    <w:name w:val="Char Char Char Char Char Char Char2"/>
    <w:basedOn w:val="a0"/>
    <w:qFormat/>
    <w:rsid w:val="004554C2"/>
  </w:style>
  <w:style w:type="paragraph" w:customStyle="1" w:styleId="310">
    <w:name w:val="正文31"/>
    <w:qFormat/>
    <w:rsid w:val="004554C2"/>
    <w:pPr>
      <w:widowControl w:val="0"/>
      <w:adjustRightInd w:val="0"/>
      <w:spacing w:line="360" w:lineRule="atLeast"/>
      <w:textAlignment w:val="baseline"/>
    </w:pPr>
    <w:rPr>
      <w:rFonts w:ascii="宋体"/>
      <w:sz w:val="24"/>
      <w:szCs w:val="24"/>
    </w:rPr>
  </w:style>
  <w:style w:type="paragraph" w:styleId="afffffd">
    <w:name w:val="Note Heading"/>
    <w:basedOn w:val="a0"/>
    <w:next w:val="a0"/>
    <w:link w:val="afffffe"/>
    <w:qFormat/>
    <w:rsid w:val="004A3168"/>
    <w:pPr>
      <w:jc w:val="center"/>
    </w:pPr>
    <w:rPr>
      <w:rFonts w:cs="Times New Roman"/>
      <w:color w:val="auto"/>
      <w:szCs w:val="20"/>
    </w:rPr>
  </w:style>
  <w:style w:type="character" w:customStyle="1" w:styleId="afffffe">
    <w:name w:val="注释标题 字符"/>
    <w:basedOn w:val="a2"/>
    <w:link w:val="afffffd"/>
    <w:qFormat/>
    <w:rsid w:val="004A3168"/>
    <w:rPr>
      <w:rFonts w:cs="Times New Roman"/>
      <w:kern w:val="2"/>
      <w:sz w:val="21"/>
    </w:rPr>
  </w:style>
  <w:style w:type="paragraph" w:styleId="HTML">
    <w:name w:val="HTML Preformatted"/>
    <w:basedOn w:val="a0"/>
    <w:link w:val="HTML0"/>
    <w:uiPriority w:val="99"/>
    <w:qFormat/>
    <w:rsid w:val="004A31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color w:val="auto"/>
      <w:kern w:val="0"/>
      <w:sz w:val="24"/>
    </w:rPr>
  </w:style>
  <w:style w:type="character" w:customStyle="1" w:styleId="HTML0">
    <w:name w:val="HTML 预设格式 字符"/>
    <w:basedOn w:val="a2"/>
    <w:link w:val="HTML"/>
    <w:uiPriority w:val="99"/>
    <w:qFormat/>
    <w:rsid w:val="004A3168"/>
    <w:rPr>
      <w:rFonts w:ascii="Arial" w:hAnsi="Arial" w:cs="Arial"/>
      <w:sz w:val="24"/>
      <w:szCs w:val="24"/>
    </w:rPr>
  </w:style>
  <w:style w:type="character" w:styleId="affffff">
    <w:name w:val="Emphasis"/>
    <w:basedOn w:val="a2"/>
    <w:uiPriority w:val="20"/>
    <w:qFormat/>
    <w:rsid w:val="004A3168"/>
    <w:rPr>
      <w:color w:val="CC0000"/>
    </w:rPr>
  </w:style>
  <w:style w:type="character" w:styleId="affffff0">
    <w:name w:val="footnote reference"/>
    <w:semiHidden/>
    <w:qFormat/>
    <w:rsid w:val="004A3168"/>
    <w:rPr>
      <w:vertAlign w:val="superscript"/>
    </w:rPr>
  </w:style>
  <w:style w:type="character" w:customStyle="1" w:styleId="font01">
    <w:name w:val="font01"/>
    <w:basedOn w:val="a2"/>
    <w:qFormat/>
    <w:rsid w:val="004A3168"/>
    <w:rPr>
      <w:rFonts w:ascii="宋体" w:eastAsia="宋体" w:hAnsi="宋体" w:cs="宋体" w:hint="eastAsia"/>
      <w:color w:val="000000"/>
      <w:sz w:val="20"/>
      <w:szCs w:val="20"/>
      <w:u w:val="none"/>
    </w:rPr>
  </w:style>
  <w:style w:type="character" w:customStyle="1" w:styleId="affffff1">
    <w:name w:val="正文缩进 字符"/>
    <w:qFormat/>
    <w:rsid w:val="004A3168"/>
    <w:rPr>
      <w:kern w:val="2"/>
      <w:sz w:val="21"/>
    </w:rPr>
  </w:style>
  <w:style w:type="character" w:customStyle="1" w:styleId="style44">
    <w:name w:val="style44"/>
    <w:basedOn w:val="a2"/>
    <w:qFormat/>
    <w:rsid w:val="004A3168"/>
  </w:style>
  <w:style w:type="character" w:customStyle="1" w:styleId="Char13">
    <w:name w:val="批注主题 Char1"/>
    <w:basedOn w:val="12"/>
    <w:semiHidden/>
    <w:qFormat/>
    <w:rsid w:val="004A3168"/>
    <w:rPr>
      <w:rFonts w:ascii="Tahoma" w:eastAsia="华文中宋" w:hAnsi="Tahoma" w:cs="Calibri"/>
      <w:b/>
      <w:bCs/>
      <w:color w:val="000000"/>
      <w:kern w:val="2"/>
      <w:sz w:val="24"/>
      <w:szCs w:val="24"/>
    </w:rPr>
  </w:style>
  <w:style w:type="character" w:customStyle="1" w:styleId="CharChar1">
    <w:name w:val="报告书正文 Char Char"/>
    <w:link w:val="affffff2"/>
    <w:qFormat/>
    <w:rsid w:val="004A3168"/>
    <w:rPr>
      <w:kern w:val="2"/>
      <w:sz w:val="28"/>
      <w:szCs w:val="28"/>
    </w:rPr>
  </w:style>
  <w:style w:type="paragraph" w:customStyle="1" w:styleId="affffff2">
    <w:name w:val="报告书正文"/>
    <w:basedOn w:val="a0"/>
    <w:link w:val="CharChar1"/>
    <w:qFormat/>
    <w:rsid w:val="004A3168"/>
    <w:pPr>
      <w:autoSpaceDE w:val="0"/>
      <w:autoSpaceDN w:val="0"/>
      <w:spacing w:line="520" w:lineRule="exact"/>
      <w:ind w:firstLineChars="200" w:firstLine="200"/>
    </w:pPr>
    <w:rPr>
      <w:rFonts w:cs="Times New Roman"/>
      <w:color w:val="auto"/>
      <w:sz w:val="28"/>
      <w:szCs w:val="28"/>
    </w:rPr>
  </w:style>
  <w:style w:type="character" w:customStyle="1" w:styleId="Charf5">
    <w:name w:val="表格字体 Char"/>
    <w:link w:val="affffff3"/>
    <w:qFormat/>
    <w:locked/>
    <w:rsid w:val="004A3168"/>
    <w:rPr>
      <w:rFonts w:cs="Times New Roman"/>
      <w:color w:val="000000"/>
      <w:kern w:val="2"/>
      <w:sz w:val="21"/>
    </w:rPr>
  </w:style>
  <w:style w:type="paragraph" w:customStyle="1" w:styleId="affffff3">
    <w:name w:val="表格字体"/>
    <w:basedOn w:val="a0"/>
    <w:link w:val="Charf5"/>
    <w:qFormat/>
    <w:rsid w:val="004A3168"/>
    <w:pPr>
      <w:adjustRightInd w:val="0"/>
      <w:spacing w:line="320" w:lineRule="exact"/>
      <w:jc w:val="center"/>
    </w:pPr>
    <w:rPr>
      <w:rFonts w:cs="Times New Roman"/>
      <w:szCs w:val="20"/>
    </w:rPr>
  </w:style>
  <w:style w:type="character" w:customStyle="1" w:styleId="00000Char">
    <w:name w:val="00000 Char"/>
    <w:basedOn w:val="a2"/>
    <w:link w:val="00000"/>
    <w:qFormat/>
    <w:rsid w:val="004A3168"/>
    <w:rPr>
      <w:rFonts w:ascii="宋体" w:hAnsi="宋体" w:cs="Times New Roman"/>
      <w:kern w:val="2"/>
      <w:sz w:val="24"/>
      <w:szCs w:val="24"/>
    </w:rPr>
  </w:style>
  <w:style w:type="paragraph" w:customStyle="1" w:styleId="00000">
    <w:name w:val="00000"/>
    <w:basedOn w:val="a0"/>
    <w:link w:val="00000Char"/>
    <w:qFormat/>
    <w:rsid w:val="004A3168"/>
    <w:pPr>
      <w:spacing w:line="520" w:lineRule="exact"/>
      <w:ind w:firstLineChars="200" w:firstLine="200"/>
    </w:pPr>
    <w:rPr>
      <w:rFonts w:ascii="宋体" w:hAnsi="宋体" w:cs="Times New Roman"/>
      <w:color w:val="auto"/>
      <w:sz w:val="24"/>
    </w:rPr>
  </w:style>
  <w:style w:type="character" w:customStyle="1" w:styleId="2Char">
    <w:name w:val="表格文字2 Char"/>
    <w:link w:val="29"/>
    <w:qFormat/>
    <w:rsid w:val="004A3168"/>
    <w:rPr>
      <w:rFonts w:ascii="宋体"/>
      <w:color w:val="000000"/>
      <w:sz w:val="24"/>
    </w:rPr>
  </w:style>
  <w:style w:type="character" w:customStyle="1" w:styleId="font41">
    <w:name w:val="font41"/>
    <w:basedOn w:val="a2"/>
    <w:qFormat/>
    <w:rsid w:val="004A3168"/>
    <w:rPr>
      <w:rFonts w:ascii="宋体" w:eastAsia="宋体" w:hAnsi="宋体" w:cs="宋体" w:hint="eastAsia"/>
      <w:b/>
      <w:color w:val="000000"/>
      <w:sz w:val="22"/>
      <w:szCs w:val="22"/>
      <w:u w:val="none"/>
    </w:rPr>
  </w:style>
  <w:style w:type="character" w:customStyle="1" w:styleId="00000CharChar">
    <w:name w:val="00000 Char Char"/>
    <w:qFormat/>
    <w:rsid w:val="004A3168"/>
    <w:rPr>
      <w:rFonts w:ascii="宋体" w:hAnsi="宋体"/>
      <w:kern w:val="2"/>
      <w:sz w:val="24"/>
      <w:szCs w:val="24"/>
    </w:rPr>
  </w:style>
  <w:style w:type="character" w:customStyle="1" w:styleId="Charf6">
    <w:name w:val="段落 Char"/>
    <w:basedOn w:val="a2"/>
    <w:link w:val="affffff4"/>
    <w:qFormat/>
    <w:rsid w:val="004A3168"/>
    <w:rPr>
      <w:color w:val="000000"/>
      <w:kern w:val="24"/>
      <w:sz w:val="24"/>
      <w:szCs w:val="24"/>
    </w:rPr>
  </w:style>
  <w:style w:type="paragraph" w:customStyle="1" w:styleId="affffff4">
    <w:name w:val="段落"/>
    <w:basedOn w:val="a0"/>
    <w:link w:val="Charf6"/>
    <w:qFormat/>
    <w:rsid w:val="004A3168"/>
    <w:pPr>
      <w:tabs>
        <w:tab w:val="left" w:pos="1021"/>
        <w:tab w:val="left" w:pos="1320"/>
      </w:tabs>
      <w:spacing w:line="360" w:lineRule="auto"/>
      <w:ind w:firstLineChars="200" w:firstLine="480"/>
    </w:pPr>
    <w:rPr>
      <w:kern w:val="24"/>
      <w:sz w:val="24"/>
    </w:rPr>
  </w:style>
  <w:style w:type="character" w:customStyle="1" w:styleId="CharChar2">
    <w:name w:val="论文正文 Char Char"/>
    <w:basedOn w:val="a2"/>
    <w:link w:val="affffff5"/>
    <w:qFormat/>
    <w:rsid w:val="004A3168"/>
    <w:rPr>
      <w:sz w:val="24"/>
    </w:rPr>
  </w:style>
  <w:style w:type="paragraph" w:customStyle="1" w:styleId="affffff5">
    <w:name w:val="论文正文"/>
    <w:basedOn w:val="a0"/>
    <w:link w:val="CharChar2"/>
    <w:qFormat/>
    <w:rsid w:val="004A3168"/>
    <w:pPr>
      <w:spacing w:line="300" w:lineRule="auto"/>
      <w:ind w:firstLineChars="200" w:firstLine="200"/>
      <w:jc w:val="left"/>
    </w:pPr>
    <w:rPr>
      <w:color w:val="auto"/>
      <w:kern w:val="0"/>
      <w:sz w:val="24"/>
      <w:szCs w:val="20"/>
    </w:rPr>
  </w:style>
  <w:style w:type="character" w:customStyle="1" w:styleId="CharChar0">
    <w:name w:val="正文内容 Char Char"/>
    <w:link w:val="afffa"/>
    <w:qFormat/>
    <w:rsid w:val="004A3168"/>
    <w:rPr>
      <w:rFonts w:ascii="宋体"/>
      <w:color w:val="000000"/>
      <w:kern w:val="2"/>
      <w:sz w:val="24"/>
      <w:szCs w:val="24"/>
    </w:rPr>
  </w:style>
  <w:style w:type="character" w:customStyle="1" w:styleId="150">
    <w:name w:val="15"/>
    <w:qFormat/>
    <w:rsid w:val="004A3168"/>
    <w:rPr>
      <w:rFonts w:ascii="宋体" w:eastAsia="宋体" w:hAnsi="宋体" w:hint="eastAsia"/>
      <w:sz w:val="24"/>
    </w:rPr>
  </w:style>
  <w:style w:type="character" w:customStyle="1" w:styleId="description">
    <w:name w:val="description"/>
    <w:basedOn w:val="a2"/>
    <w:qFormat/>
    <w:rsid w:val="004A3168"/>
  </w:style>
  <w:style w:type="character" w:customStyle="1" w:styleId="fontstyle11">
    <w:name w:val="fontstyle11"/>
    <w:basedOn w:val="a2"/>
    <w:qFormat/>
    <w:rsid w:val="004A3168"/>
    <w:rPr>
      <w:rFonts w:ascii="TimesNewRoman" w:hAnsi="TimesNewRoman" w:hint="default"/>
      <w:color w:val="000000"/>
      <w:sz w:val="24"/>
      <w:szCs w:val="24"/>
    </w:rPr>
  </w:style>
  <w:style w:type="character" w:customStyle="1" w:styleId="fontstyle01">
    <w:name w:val="fontstyle01"/>
    <w:qFormat/>
    <w:rsid w:val="004A3168"/>
    <w:rPr>
      <w:rFonts w:ascii="TT54AB0ED3tCID" w:hAnsi="TT54AB0ED3tCID" w:hint="default"/>
      <w:color w:val="000000"/>
      <w:sz w:val="20"/>
      <w:szCs w:val="20"/>
    </w:rPr>
  </w:style>
  <w:style w:type="character" w:customStyle="1" w:styleId="Char2CharCharCharChar1">
    <w:name w:val="Char2 Char Char Char Char1"/>
    <w:link w:val="Char2CharCharChar1"/>
    <w:qFormat/>
    <w:rsid w:val="004A3168"/>
    <w:rPr>
      <w:rFonts w:ascii="宋体" w:eastAsia="仿宋_GB2312" w:hAnsi="宋体"/>
      <w:color w:val="000000"/>
      <w:sz w:val="24"/>
      <w:szCs w:val="24"/>
    </w:rPr>
  </w:style>
  <w:style w:type="paragraph" w:customStyle="1" w:styleId="Char2CharCharChar1">
    <w:name w:val="Char2 Char Char Char1"/>
    <w:basedOn w:val="a0"/>
    <w:link w:val="Char2CharCharCharChar1"/>
    <w:qFormat/>
    <w:rsid w:val="004A3168"/>
    <w:pPr>
      <w:widowControl/>
      <w:autoSpaceDE w:val="0"/>
      <w:autoSpaceDN w:val="0"/>
      <w:adjustRightInd w:val="0"/>
      <w:snapToGrid w:val="0"/>
      <w:spacing w:before="50" w:after="50" w:line="360" w:lineRule="auto"/>
      <w:ind w:firstLineChars="200" w:firstLine="560"/>
      <w:jc w:val="left"/>
    </w:pPr>
    <w:rPr>
      <w:rFonts w:ascii="宋体" w:eastAsia="仿宋_GB2312" w:hAnsi="宋体" w:cs="Times New Roman"/>
      <w:kern w:val="0"/>
      <w:sz w:val="24"/>
    </w:rPr>
  </w:style>
  <w:style w:type="character" w:customStyle="1" w:styleId="CharChar4">
    <w:name w:val="Char Char4"/>
    <w:qFormat/>
    <w:rsid w:val="004A3168"/>
    <w:rPr>
      <w:rFonts w:eastAsia="宋体"/>
      <w:kern w:val="2"/>
      <w:sz w:val="24"/>
      <w:lang w:val="en-US" w:eastAsia="zh-CN" w:bidi="ar-SA"/>
    </w:rPr>
  </w:style>
  <w:style w:type="character" w:customStyle="1" w:styleId="Char21">
    <w:name w:val="页眉 Char2"/>
    <w:basedOn w:val="a2"/>
    <w:qFormat/>
    <w:rsid w:val="004A3168"/>
    <w:rPr>
      <w:rFonts w:ascii="Calibri" w:hAnsi="Calibri" w:cs="Calibri" w:hint="default"/>
    </w:rPr>
  </w:style>
  <w:style w:type="character" w:customStyle="1" w:styleId="Char23">
    <w:name w:val="纯文本 Char2"/>
    <w:basedOn w:val="a2"/>
    <w:uiPriority w:val="99"/>
    <w:semiHidden/>
    <w:qFormat/>
    <w:rsid w:val="004A3168"/>
    <w:rPr>
      <w:rFonts w:ascii="宋体" w:eastAsia="宋体" w:hAnsi="Courier New" w:cs="Courier New"/>
      <w:szCs w:val="21"/>
    </w:rPr>
  </w:style>
  <w:style w:type="character" w:customStyle="1" w:styleId="612Char">
    <w:name w:val="612表头 Char"/>
    <w:link w:val="612"/>
    <w:qFormat/>
    <w:rsid w:val="004A3168"/>
    <w:rPr>
      <w:rFonts w:hAnsi="宋体"/>
      <w:b/>
      <w:kern w:val="2"/>
      <w:sz w:val="24"/>
      <w:szCs w:val="24"/>
    </w:rPr>
  </w:style>
  <w:style w:type="paragraph" w:customStyle="1" w:styleId="612">
    <w:name w:val="612表头"/>
    <w:basedOn w:val="a0"/>
    <w:link w:val="612Char"/>
    <w:qFormat/>
    <w:rsid w:val="004A3168"/>
    <w:pPr>
      <w:tabs>
        <w:tab w:val="left" w:pos="4320"/>
        <w:tab w:val="left" w:pos="4980"/>
        <w:tab w:val="center" w:pos="6980"/>
      </w:tabs>
      <w:adjustRightInd w:val="0"/>
      <w:snapToGrid w:val="0"/>
      <w:spacing w:line="360" w:lineRule="auto"/>
      <w:jc w:val="center"/>
    </w:pPr>
    <w:rPr>
      <w:rFonts w:hAnsi="宋体" w:cs="Times New Roman"/>
      <w:b/>
      <w:color w:val="auto"/>
      <w:sz w:val="24"/>
    </w:rPr>
  </w:style>
  <w:style w:type="character" w:customStyle="1" w:styleId="CharChar3">
    <w:name w:val="Char Char3"/>
    <w:basedOn w:val="a2"/>
    <w:qFormat/>
    <w:rsid w:val="004A3168"/>
    <w:rPr>
      <w:rFonts w:ascii="宋体" w:eastAsia="宋体" w:hAnsi="宋体"/>
      <w:kern w:val="2"/>
      <w:sz w:val="18"/>
      <w:szCs w:val="18"/>
      <w:lang w:val="en-US" w:eastAsia="zh-CN" w:bidi="ar-SA"/>
    </w:rPr>
  </w:style>
  <w:style w:type="character" w:customStyle="1" w:styleId="affffb">
    <w:name w:val="无间隔 字符"/>
    <w:basedOn w:val="a2"/>
    <w:link w:val="affffa"/>
    <w:uiPriority w:val="1"/>
    <w:qFormat/>
    <w:locked/>
    <w:rsid w:val="004A3168"/>
    <w:rPr>
      <w:rFonts w:ascii="宋体" w:eastAsia="仿宋" w:hAnsi="宋体" w:cs="宋体"/>
      <w:color w:val="000000"/>
      <w:kern w:val="2"/>
      <w:sz w:val="21"/>
      <w:szCs w:val="21"/>
      <w:lang w:val="en-US" w:eastAsia="zh-CN" w:bidi="ar-SA"/>
    </w:rPr>
  </w:style>
  <w:style w:type="character" w:customStyle="1" w:styleId="Charf7">
    <w:name w:val="首行缩进（文字） Char"/>
    <w:link w:val="affffff6"/>
    <w:qFormat/>
    <w:rsid w:val="004A3168"/>
    <w:rPr>
      <w:rFonts w:hAnsi="Cambria"/>
      <w:color w:val="FF0000"/>
      <w:spacing w:val="-6"/>
      <w:sz w:val="28"/>
      <w:szCs w:val="21"/>
      <w:lang w:val="zh-CN" w:bidi="en-US"/>
    </w:rPr>
  </w:style>
  <w:style w:type="paragraph" w:customStyle="1" w:styleId="affffff6">
    <w:name w:val="首行缩进（文字）"/>
    <w:basedOn w:val="a0"/>
    <w:link w:val="Charf7"/>
    <w:qFormat/>
    <w:rsid w:val="004A3168"/>
    <w:pPr>
      <w:widowControl/>
      <w:spacing w:line="520" w:lineRule="exact"/>
      <w:ind w:firstLineChars="200" w:firstLine="536"/>
      <w:jc w:val="left"/>
    </w:pPr>
    <w:rPr>
      <w:rFonts w:hAnsi="Cambria"/>
      <w:color w:val="FF0000"/>
      <w:spacing w:val="-6"/>
      <w:kern w:val="0"/>
      <w:sz w:val="28"/>
      <w:szCs w:val="21"/>
      <w:lang w:val="zh-CN" w:bidi="en-US"/>
    </w:rPr>
  </w:style>
  <w:style w:type="character" w:customStyle="1" w:styleId="ChaChar1">
    <w:name w:val="Cha Char1"/>
    <w:aliases w:val="表正文 Char2,段1 Char2"/>
    <w:qFormat/>
    <w:rsid w:val="004A3168"/>
    <w:rPr>
      <w:kern w:val="2"/>
      <w:sz w:val="28"/>
    </w:rPr>
  </w:style>
  <w:style w:type="character" w:customStyle="1" w:styleId="-Char">
    <w:name w:val="表格内容-居中 Char"/>
    <w:link w:val="-"/>
    <w:qFormat/>
    <w:locked/>
    <w:rsid w:val="004A3168"/>
    <w:rPr>
      <w:rFonts w:cs="宋体"/>
      <w:kern w:val="2"/>
      <w:sz w:val="21"/>
      <w:szCs w:val="21"/>
    </w:rPr>
  </w:style>
  <w:style w:type="paragraph" w:customStyle="1" w:styleId="-">
    <w:name w:val="表格内容-居中"/>
    <w:basedOn w:val="a0"/>
    <w:link w:val="-Char"/>
    <w:qFormat/>
    <w:rsid w:val="004A3168"/>
    <w:pPr>
      <w:jc w:val="center"/>
    </w:pPr>
    <w:rPr>
      <w:rFonts w:cs="Times New Roman"/>
      <w:color w:val="auto"/>
      <w:szCs w:val="21"/>
    </w:rPr>
  </w:style>
  <w:style w:type="character" w:customStyle="1" w:styleId="CharCharCharChar12">
    <w:name w:val="Char Char Char Char12"/>
    <w:qFormat/>
    <w:rsid w:val="004A3168"/>
    <w:rPr>
      <w:rFonts w:ascii="宋体" w:hAnsi="宋体"/>
      <w:kern w:val="2"/>
      <w:sz w:val="24"/>
      <w:szCs w:val="24"/>
    </w:rPr>
  </w:style>
  <w:style w:type="character" w:customStyle="1" w:styleId="Charf8">
    <w:name w:val="表格字 Char"/>
    <w:basedOn w:val="a2"/>
    <w:link w:val="affffff7"/>
    <w:qFormat/>
    <w:rsid w:val="004A3168"/>
    <w:rPr>
      <w:rFonts w:ascii="宋体" w:cs="Times New Roman"/>
      <w:color w:val="000000"/>
      <w:kern w:val="2"/>
      <w:sz w:val="21"/>
    </w:rPr>
  </w:style>
  <w:style w:type="paragraph" w:customStyle="1" w:styleId="affffff7">
    <w:name w:val="表格字"/>
    <w:basedOn w:val="a0"/>
    <w:link w:val="Charf8"/>
    <w:qFormat/>
    <w:rsid w:val="004A3168"/>
    <w:pPr>
      <w:spacing w:line="280" w:lineRule="exact"/>
      <w:jc w:val="center"/>
    </w:pPr>
    <w:rPr>
      <w:rFonts w:ascii="宋体" w:cs="Times New Roman"/>
      <w:szCs w:val="20"/>
    </w:rPr>
  </w:style>
  <w:style w:type="character" w:customStyle="1" w:styleId="affffff8">
    <w:name w:val="批注文字 字符"/>
    <w:qFormat/>
    <w:rsid w:val="004A3168"/>
    <w:rPr>
      <w:rFonts w:ascii="宋体" w:hAnsi="宋体" w:cs="Calibri"/>
      <w:color w:val="000000"/>
      <w:kern w:val="2"/>
      <w:sz w:val="24"/>
      <w:szCs w:val="24"/>
    </w:rPr>
  </w:style>
  <w:style w:type="character" w:customStyle="1" w:styleId="CharChar31">
    <w:name w:val="Char Char31"/>
    <w:basedOn w:val="a2"/>
    <w:qFormat/>
    <w:rsid w:val="004A3168"/>
    <w:rPr>
      <w:kern w:val="2"/>
      <w:sz w:val="18"/>
      <w:szCs w:val="18"/>
    </w:rPr>
  </w:style>
  <w:style w:type="paragraph" w:customStyle="1" w:styleId="1CharCharCharCharCharCharCharChar">
    <w:name w:val="1 Char Char Char Char Char Char Char Char"/>
    <w:basedOn w:val="a0"/>
    <w:qFormat/>
    <w:rsid w:val="004A3168"/>
    <w:rPr>
      <w:rFonts w:cs="Times New Roman"/>
      <w:color w:val="auto"/>
      <w:szCs w:val="20"/>
    </w:rPr>
  </w:style>
  <w:style w:type="paragraph" w:customStyle="1" w:styleId="affffff9">
    <w:name w:val="正文五"/>
    <w:basedOn w:val="a0"/>
    <w:qFormat/>
    <w:rsid w:val="004A3168"/>
    <w:pPr>
      <w:snapToGrid w:val="0"/>
      <w:jc w:val="center"/>
    </w:pPr>
    <w:rPr>
      <w:rFonts w:cs="Times New Roman"/>
      <w:color w:val="auto"/>
      <w:sz w:val="24"/>
      <w:szCs w:val="28"/>
    </w:rPr>
  </w:style>
  <w:style w:type="paragraph" w:customStyle="1" w:styleId="reader-word-layer">
    <w:name w:val="reader-word-layer"/>
    <w:basedOn w:val="a0"/>
    <w:qFormat/>
    <w:rsid w:val="004A3168"/>
    <w:pPr>
      <w:widowControl/>
      <w:spacing w:before="100" w:beforeAutospacing="1" w:after="100" w:afterAutospacing="1"/>
      <w:jc w:val="left"/>
    </w:pPr>
    <w:rPr>
      <w:rFonts w:ascii="宋体" w:hAnsi="宋体" w:cs="宋体"/>
      <w:color w:val="auto"/>
      <w:kern w:val="0"/>
      <w:sz w:val="24"/>
    </w:rPr>
  </w:style>
  <w:style w:type="paragraph" w:customStyle="1" w:styleId="1f">
    <w:name w:val="无间隔1"/>
    <w:aliases w:val="图标标题"/>
    <w:next w:val="a0"/>
    <w:uiPriority w:val="1"/>
    <w:qFormat/>
    <w:rsid w:val="004A3168"/>
    <w:pPr>
      <w:widowControl w:val="0"/>
      <w:spacing w:line="520" w:lineRule="exact"/>
      <w:ind w:firstLineChars="200" w:firstLine="200"/>
      <w:jc w:val="both"/>
    </w:pPr>
    <w:rPr>
      <w:rFonts w:eastAsia="黑体" w:cs="Times New Roman"/>
      <w:kern w:val="2"/>
      <w:sz w:val="24"/>
      <w:szCs w:val="24"/>
    </w:rPr>
  </w:style>
  <w:style w:type="paragraph" w:customStyle="1" w:styleId="affffffa">
    <w:name w:val="表格文字样式"/>
    <w:basedOn w:val="a0"/>
    <w:qFormat/>
    <w:rsid w:val="004A3168"/>
    <w:pPr>
      <w:tabs>
        <w:tab w:val="left" w:pos="567"/>
      </w:tabs>
      <w:jc w:val="center"/>
    </w:pPr>
    <w:rPr>
      <w:rFonts w:cs="Times New Roman"/>
      <w:color w:val="auto"/>
      <w:spacing w:val="20"/>
      <w:sz w:val="24"/>
    </w:rPr>
  </w:style>
  <w:style w:type="paragraph" w:customStyle="1" w:styleId="affffffb">
    <w:name w:val="标准"/>
    <w:basedOn w:val="a0"/>
    <w:qFormat/>
    <w:rsid w:val="004A3168"/>
    <w:pPr>
      <w:adjustRightInd w:val="0"/>
      <w:spacing w:line="312" w:lineRule="atLeast"/>
      <w:jc w:val="center"/>
      <w:textAlignment w:val="baseline"/>
    </w:pPr>
    <w:rPr>
      <w:rFonts w:cs="Times New Roman"/>
      <w:color w:val="auto"/>
      <w:kern w:val="0"/>
      <w:szCs w:val="21"/>
    </w:rPr>
  </w:style>
  <w:style w:type="paragraph" w:customStyle="1" w:styleId="xn">
    <w:name w:val="xn"/>
    <w:basedOn w:val="a0"/>
    <w:qFormat/>
    <w:rsid w:val="004A3168"/>
    <w:pPr>
      <w:tabs>
        <w:tab w:val="left" w:pos="4584"/>
      </w:tabs>
      <w:adjustRightInd w:val="0"/>
      <w:snapToGrid w:val="0"/>
      <w:jc w:val="center"/>
    </w:pPr>
    <w:rPr>
      <w:rFonts w:cs="Times New Roman"/>
      <w:snapToGrid w:val="0"/>
      <w:color w:val="auto"/>
      <w:kern w:val="0"/>
      <w:szCs w:val="21"/>
    </w:rPr>
  </w:style>
  <w:style w:type="paragraph" w:customStyle="1" w:styleId="1f0">
    <w:name w:val="1正文段落"/>
    <w:basedOn w:val="a0"/>
    <w:qFormat/>
    <w:rsid w:val="004A3168"/>
    <w:pPr>
      <w:spacing w:line="360" w:lineRule="auto"/>
      <w:ind w:firstLineChars="200" w:firstLine="480"/>
      <w:jc w:val="left"/>
    </w:pPr>
    <w:rPr>
      <w:rFonts w:cs="Times New Roman"/>
      <w:snapToGrid w:val="0"/>
      <w:color w:val="auto"/>
      <w:kern w:val="0"/>
      <w:sz w:val="24"/>
    </w:rPr>
  </w:style>
  <w:style w:type="paragraph" w:customStyle="1" w:styleId="xl64">
    <w:name w:val="xl64"/>
    <w:basedOn w:val="a0"/>
    <w:qFormat/>
    <w:rsid w:val="004A3168"/>
    <w:pPr>
      <w:widowControl/>
      <w:shd w:val="clear" w:color="000000" w:fill="D8E4F8"/>
      <w:spacing w:before="100" w:beforeAutospacing="1" w:after="100" w:afterAutospacing="1"/>
      <w:jc w:val="left"/>
      <w:textAlignment w:val="center"/>
    </w:pPr>
    <w:rPr>
      <w:rFonts w:ascii="宋体" w:hAnsi="宋体" w:cs="宋体"/>
      <w:color w:val="auto"/>
      <w:kern w:val="0"/>
      <w:sz w:val="24"/>
    </w:rPr>
  </w:style>
  <w:style w:type="paragraph" w:customStyle="1" w:styleId="321">
    <w:name w:val="标题 32"/>
    <w:basedOn w:val="a0"/>
    <w:uiPriority w:val="1"/>
    <w:qFormat/>
    <w:rsid w:val="004A3168"/>
    <w:pPr>
      <w:autoSpaceDE w:val="0"/>
      <w:autoSpaceDN w:val="0"/>
      <w:spacing w:before="26"/>
      <w:ind w:left="108"/>
      <w:jc w:val="left"/>
      <w:outlineLvl w:val="3"/>
    </w:pPr>
    <w:rPr>
      <w:rFonts w:ascii="宋体" w:hAnsi="宋体" w:cs="宋体"/>
      <w:b/>
      <w:bCs/>
      <w:color w:val="auto"/>
      <w:kern w:val="0"/>
      <w:sz w:val="24"/>
      <w:lang w:eastAsia="en-US"/>
    </w:rPr>
  </w:style>
  <w:style w:type="paragraph" w:customStyle="1" w:styleId="2TimesNewRoman">
    <w:name w:val="正文首行缩进 2 + Times New Roman"/>
    <w:basedOn w:val="a0"/>
    <w:qFormat/>
    <w:rsid w:val="004A3168"/>
    <w:pPr>
      <w:tabs>
        <w:tab w:val="left" w:pos="0"/>
        <w:tab w:val="left" w:pos="870"/>
        <w:tab w:val="left" w:pos="1080"/>
        <w:tab w:val="left" w:pos="3150"/>
      </w:tabs>
      <w:autoSpaceDE w:val="0"/>
      <w:autoSpaceDN w:val="0"/>
      <w:spacing w:line="520" w:lineRule="exact"/>
      <w:ind w:firstLineChars="200" w:firstLine="482"/>
      <w:jc w:val="left"/>
    </w:pPr>
    <w:rPr>
      <w:rFonts w:ascii="宋体" w:hAnsi="宋体" w:cs="宋体"/>
      <w:b/>
      <w:color w:val="auto"/>
      <w:kern w:val="0"/>
      <w:sz w:val="24"/>
    </w:rPr>
  </w:style>
  <w:style w:type="paragraph" w:customStyle="1" w:styleId="Char1CharChar1Char">
    <w:name w:val="Char1 Char Char1 Char"/>
    <w:basedOn w:val="a0"/>
    <w:qFormat/>
    <w:rsid w:val="004A3168"/>
    <w:pPr>
      <w:adjustRightInd w:val="0"/>
      <w:spacing w:line="360" w:lineRule="atLeast"/>
      <w:textAlignment w:val="baseline"/>
    </w:pPr>
    <w:rPr>
      <w:rFonts w:cs="Times New Roman"/>
      <w:color w:val="auto"/>
    </w:rPr>
  </w:style>
  <w:style w:type="paragraph" w:customStyle="1" w:styleId="affffffc">
    <w:name w:val="报告正文"/>
    <w:basedOn w:val="a0"/>
    <w:qFormat/>
    <w:rsid w:val="004A3168"/>
    <w:pPr>
      <w:adjustRightInd w:val="0"/>
      <w:spacing w:beforeLines="25" w:line="360" w:lineRule="auto"/>
      <w:ind w:firstLine="482"/>
      <w:textAlignment w:val="baseline"/>
    </w:pPr>
    <w:rPr>
      <w:rFonts w:cs="Times New Roman"/>
      <w:snapToGrid w:val="0"/>
      <w:color w:val="auto"/>
      <w:kern w:val="24"/>
      <w:sz w:val="24"/>
      <w:szCs w:val="21"/>
    </w:rPr>
  </w:style>
  <w:style w:type="paragraph" w:customStyle="1" w:styleId="11110">
    <w:name w:val="1111"/>
    <w:basedOn w:val="000"/>
    <w:qFormat/>
    <w:rsid w:val="004A3168"/>
    <w:pPr>
      <w:ind w:firstLineChars="200" w:firstLine="200"/>
    </w:pPr>
    <w:rPr>
      <w:rFonts w:ascii="宋体" w:hAnsi="宋体" w:cs="宋体"/>
    </w:rPr>
  </w:style>
  <w:style w:type="paragraph" w:customStyle="1" w:styleId="affffffd">
    <w:name w:val="标准正文"/>
    <w:basedOn w:val="a0"/>
    <w:qFormat/>
    <w:rsid w:val="004A3168"/>
    <w:pPr>
      <w:spacing w:line="360" w:lineRule="auto"/>
      <w:ind w:firstLineChars="200" w:firstLine="560"/>
    </w:pPr>
    <w:rPr>
      <w:rFonts w:cs="Times New Roman"/>
      <w:color w:val="auto"/>
      <w:sz w:val="28"/>
      <w:szCs w:val="28"/>
    </w:rPr>
  </w:style>
  <w:style w:type="paragraph" w:customStyle="1" w:styleId="affffffe">
    <w:name w:val="表格体"/>
    <w:basedOn w:val="a0"/>
    <w:qFormat/>
    <w:rsid w:val="004A3168"/>
    <w:pPr>
      <w:adjustRightInd w:val="0"/>
      <w:snapToGrid w:val="0"/>
      <w:jc w:val="center"/>
    </w:pPr>
    <w:rPr>
      <w:rFonts w:cs="Times New Roman"/>
      <w:bCs/>
      <w:color w:val="auto"/>
    </w:rPr>
  </w:style>
  <w:style w:type="paragraph" w:customStyle="1" w:styleId="141">
    <w:name w:val="14"/>
    <w:basedOn w:val="a0"/>
    <w:qFormat/>
    <w:rsid w:val="004A3168"/>
    <w:pPr>
      <w:spacing w:line="300" w:lineRule="exact"/>
      <w:ind w:firstLineChars="200" w:firstLine="200"/>
    </w:pPr>
    <w:rPr>
      <w:rFonts w:cs="Times New Roman"/>
      <w:color w:val="auto"/>
    </w:rPr>
  </w:style>
  <w:style w:type="paragraph" w:customStyle="1" w:styleId="221">
    <w:name w:val="样式 正文 首行缩进:  2 字符 + 首行缩进:  2 字符"/>
    <w:basedOn w:val="a0"/>
    <w:qFormat/>
    <w:rsid w:val="004A3168"/>
    <w:pPr>
      <w:spacing w:before="100" w:line="520" w:lineRule="exact"/>
    </w:pPr>
    <w:rPr>
      <w:rFonts w:ascii="Calibri" w:hAnsi="宋体" w:cs="Times New Roman"/>
      <w:b/>
      <w:sz w:val="28"/>
      <w:szCs w:val="28"/>
    </w:rPr>
  </w:style>
  <w:style w:type="paragraph" w:customStyle="1" w:styleId="TimesNewRoman180">
    <w:name w:val="样式 (西文) Times New Roman (符号) 宋体 左 行距: 多倍行距 1.8 字行 左  0 字符 首..."/>
    <w:basedOn w:val="a0"/>
    <w:qFormat/>
    <w:rsid w:val="004A3168"/>
    <w:pPr>
      <w:spacing w:line="432" w:lineRule="auto"/>
      <w:ind w:firstLineChars="250" w:firstLine="600"/>
      <w:jc w:val="left"/>
    </w:pPr>
    <w:rPr>
      <w:rFonts w:hAnsi="宋体" w:cs="宋体"/>
      <w:color w:val="auto"/>
      <w:kern w:val="0"/>
      <w:sz w:val="24"/>
      <w:szCs w:val="20"/>
    </w:rPr>
  </w:style>
  <w:style w:type="paragraph" w:customStyle="1" w:styleId="afffffff">
    <w:name w:val="居中正文"/>
    <w:basedOn w:val="a0"/>
    <w:next w:val="a0"/>
    <w:qFormat/>
    <w:rsid w:val="004A3168"/>
    <w:pPr>
      <w:adjustRightInd w:val="0"/>
      <w:spacing w:before="120" w:line="360" w:lineRule="auto"/>
      <w:jc w:val="center"/>
      <w:textAlignment w:val="baseline"/>
    </w:pPr>
    <w:rPr>
      <w:rFonts w:ascii="宋体" w:cs="Times New Roman"/>
      <w:color w:val="auto"/>
      <w:kern w:val="28"/>
      <w:sz w:val="24"/>
      <w:szCs w:val="20"/>
    </w:rPr>
  </w:style>
  <w:style w:type="paragraph" w:customStyle="1" w:styleId="xl63">
    <w:name w:val="xl63"/>
    <w:basedOn w:val="a0"/>
    <w:qFormat/>
    <w:rsid w:val="004A3168"/>
    <w:pPr>
      <w:widowControl/>
      <w:shd w:val="clear" w:color="000000" w:fill="F0F0F0"/>
      <w:spacing w:before="100" w:beforeAutospacing="1" w:after="100" w:afterAutospacing="1"/>
      <w:jc w:val="left"/>
      <w:textAlignment w:val="center"/>
    </w:pPr>
    <w:rPr>
      <w:rFonts w:ascii="宋体" w:hAnsi="宋体" w:cs="宋体"/>
      <w:color w:val="auto"/>
      <w:kern w:val="0"/>
      <w:sz w:val="24"/>
    </w:rPr>
  </w:style>
  <w:style w:type="paragraph" w:customStyle="1" w:styleId="CharCharCharCharCharCharChar1">
    <w:name w:val="Char Char Char Char Char Char Char1"/>
    <w:basedOn w:val="a0"/>
    <w:qFormat/>
    <w:rsid w:val="004A3168"/>
  </w:style>
  <w:style w:type="paragraph" w:customStyle="1" w:styleId="afffffff0">
    <w:name w:val="表格内字"/>
    <w:basedOn w:val="a0"/>
    <w:uiPriority w:val="99"/>
    <w:qFormat/>
    <w:rsid w:val="004A3168"/>
    <w:pPr>
      <w:jc w:val="center"/>
    </w:pPr>
    <w:rPr>
      <w:rFonts w:cs="宋体"/>
      <w:color w:val="auto"/>
      <w:szCs w:val="20"/>
    </w:rPr>
  </w:style>
  <w:style w:type="paragraph" w:customStyle="1" w:styleId="afffffff1">
    <w:name w:val="表格（小）"/>
    <w:basedOn w:val="a0"/>
    <w:qFormat/>
    <w:rsid w:val="004A3168"/>
    <w:pPr>
      <w:adjustRightInd w:val="0"/>
      <w:snapToGrid w:val="0"/>
    </w:pPr>
    <w:rPr>
      <w:rFonts w:cs="Times New Roman"/>
      <w:snapToGrid w:val="0"/>
      <w:color w:val="auto"/>
      <w:kern w:val="0"/>
      <w:szCs w:val="20"/>
    </w:rPr>
  </w:style>
  <w:style w:type="paragraph" w:customStyle="1" w:styleId="xl65">
    <w:name w:val="xl65"/>
    <w:basedOn w:val="a0"/>
    <w:qFormat/>
    <w:rsid w:val="004A3168"/>
    <w:pPr>
      <w:widowControl/>
      <w:spacing w:before="100" w:beforeAutospacing="1" w:after="100" w:afterAutospacing="1"/>
      <w:jc w:val="left"/>
      <w:textAlignment w:val="center"/>
    </w:pPr>
    <w:rPr>
      <w:rFonts w:ascii="宋体" w:hAnsi="宋体" w:cs="宋体"/>
      <w:color w:val="auto"/>
      <w:kern w:val="0"/>
      <w:sz w:val="24"/>
    </w:rPr>
  </w:style>
  <w:style w:type="paragraph" w:customStyle="1" w:styleId="CharCharCharCharCharCharCharCharCharChar1">
    <w:name w:val="Char Char Char Char Char Char Char Char Char Char1"/>
    <w:basedOn w:val="a0"/>
    <w:qFormat/>
    <w:rsid w:val="004A3168"/>
    <w:pPr>
      <w:snapToGrid w:val="0"/>
      <w:spacing w:line="360" w:lineRule="auto"/>
      <w:ind w:firstLineChars="200" w:firstLine="529"/>
    </w:pPr>
    <w:rPr>
      <w:rFonts w:ascii="宋体" w:hAnsi="宋体" w:cs="Times New Roman"/>
      <w:b/>
      <w:color w:val="auto"/>
    </w:rPr>
  </w:style>
  <w:style w:type="paragraph" w:customStyle="1" w:styleId="Style1">
    <w:name w:val="_Style 1"/>
    <w:basedOn w:val="a0"/>
    <w:qFormat/>
    <w:rsid w:val="004A3168"/>
    <w:pPr>
      <w:spacing w:line="481" w:lineRule="atLeast"/>
      <w:ind w:firstLine="623"/>
      <w:textAlignment w:val="baseline"/>
    </w:pPr>
    <w:rPr>
      <w:rFonts w:ascii="宋体" w:eastAsia="仿宋_GB2312" w:cs="Times New Roman"/>
      <w:kern w:val="0"/>
      <w:sz w:val="31"/>
    </w:rPr>
  </w:style>
  <w:style w:type="paragraph" w:customStyle="1" w:styleId="62">
    <w:name w:val="6表格"/>
    <w:basedOn w:val="a0"/>
    <w:qFormat/>
    <w:rsid w:val="004A3168"/>
    <w:pPr>
      <w:spacing w:before="120" w:after="120"/>
      <w:jc w:val="left"/>
    </w:pPr>
    <w:rPr>
      <w:rFonts w:ascii="??" w:hAnsi="??" w:cs="Times New Roman"/>
      <w:color w:val="auto"/>
      <w:kern w:val="0"/>
      <w:szCs w:val="21"/>
    </w:rPr>
  </w:style>
  <w:style w:type="paragraph" w:customStyle="1" w:styleId="p17">
    <w:name w:val="p17"/>
    <w:basedOn w:val="a0"/>
    <w:qFormat/>
    <w:rsid w:val="004A3168"/>
    <w:pPr>
      <w:widowControl/>
      <w:spacing w:line="520" w:lineRule="atLeast"/>
      <w:ind w:firstLine="420"/>
    </w:pPr>
    <w:rPr>
      <w:rFonts w:ascii="宋体" w:hAnsi="宋体" w:cs="宋体"/>
      <w:color w:val="auto"/>
      <w:kern w:val="0"/>
      <w:sz w:val="24"/>
    </w:rPr>
  </w:style>
  <w:style w:type="paragraph" w:customStyle="1" w:styleId="TOC1">
    <w:name w:val="TOC 标题1"/>
    <w:basedOn w:val="1"/>
    <w:next w:val="a0"/>
    <w:uiPriority w:val="39"/>
    <w:qFormat/>
    <w:rsid w:val="004A3168"/>
    <w:pPr>
      <w:widowControl/>
      <w:spacing w:before="480" w:after="0" w:line="276" w:lineRule="auto"/>
      <w:jc w:val="left"/>
      <w:outlineLvl w:val="9"/>
    </w:pPr>
    <w:rPr>
      <w:rFonts w:ascii="Cambria" w:hAnsi="Cambria"/>
      <w:color w:val="365F91"/>
      <w:kern w:val="0"/>
      <w:sz w:val="28"/>
      <w:szCs w:val="28"/>
    </w:rPr>
  </w:style>
  <w:style w:type="paragraph" w:customStyle="1" w:styleId="afffffff2">
    <w:name w:val="表名"/>
    <w:basedOn w:val="a0"/>
    <w:next w:val="a0"/>
    <w:qFormat/>
    <w:rsid w:val="004A3168"/>
    <w:pPr>
      <w:keepNext/>
      <w:spacing w:before="120"/>
      <w:jc w:val="center"/>
    </w:pPr>
    <w:rPr>
      <w:rFonts w:cs="Times New Roman"/>
      <w:b/>
      <w:color w:val="auto"/>
    </w:rPr>
  </w:style>
  <w:style w:type="paragraph" w:customStyle="1" w:styleId="1f1">
    <w:name w:val="普通(网站)1"/>
    <w:basedOn w:val="a0"/>
    <w:qFormat/>
    <w:rsid w:val="004A3168"/>
    <w:pPr>
      <w:spacing w:before="100" w:beforeAutospacing="1" w:after="100" w:afterAutospacing="1"/>
      <w:jc w:val="left"/>
    </w:pPr>
    <w:rPr>
      <w:rFonts w:ascii="宋体" w:cs="Times New Roman"/>
      <w:color w:val="auto"/>
      <w:kern w:val="0"/>
      <w:sz w:val="24"/>
    </w:rPr>
  </w:style>
  <w:style w:type="paragraph" w:customStyle="1" w:styleId="afffffff3">
    <w:name w:val="正文附件"/>
    <w:basedOn w:val="a0"/>
    <w:qFormat/>
    <w:rsid w:val="004A3168"/>
    <w:pPr>
      <w:tabs>
        <w:tab w:val="left" w:pos="960"/>
        <w:tab w:val="right" w:pos="4800"/>
      </w:tabs>
      <w:jc w:val="center"/>
    </w:pPr>
    <w:rPr>
      <w:rFonts w:cs="宋体"/>
      <w:b/>
      <w:color w:val="auto"/>
      <w:sz w:val="24"/>
      <w:szCs w:val="20"/>
    </w:rPr>
  </w:style>
  <w:style w:type="paragraph" w:customStyle="1" w:styleId="afffffff4">
    <w:name w:val="报告表正文"/>
    <w:basedOn w:val="a0"/>
    <w:qFormat/>
    <w:rsid w:val="004A3168"/>
    <w:pPr>
      <w:adjustRightInd w:val="0"/>
      <w:spacing w:line="312" w:lineRule="auto"/>
      <w:ind w:left="113" w:right="113" w:firstLine="482"/>
      <w:jc w:val="left"/>
      <w:textAlignment w:val="baseline"/>
    </w:pPr>
    <w:rPr>
      <w:rFonts w:cs="Times New Roman"/>
      <w:color w:val="auto"/>
      <w:kern w:val="0"/>
      <w:sz w:val="24"/>
      <w:szCs w:val="20"/>
    </w:rPr>
  </w:style>
  <w:style w:type="paragraph" w:customStyle="1" w:styleId="2f1">
    <w:name w:val="表格2"/>
    <w:basedOn w:val="a1"/>
    <w:qFormat/>
    <w:rsid w:val="004A3168"/>
    <w:pPr>
      <w:spacing w:line="320" w:lineRule="exact"/>
      <w:ind w:firstLine="0"/>
      <w:jc w:val="center"/>
    </w:pPr>
    <w:rPr>
      <w:rFonts w:cs="Times New Roman"/>
      <w:color w:val="auto"/>
      <w:sz w:val="24"/>
      <w:szCs w:val="28"/>
    </w:rPr>
  </w:style>
  <w:style w:type="paragraph" w:customStyle="1" w:styleId="CharCharCharCharCharChar1">
    <w:name w:val="Char Char Char Char Char Char1"/>
    <w:basedOn w:val="a0"/>
    <w:qFormat/>
    <w:rsid w:val="004A3168"/>
    <w:pPr>
      <w:autoSpaceDE w:val="0"/>
      <w:autoSpaceDN w:val="0"/>
      <w:adjustRightInd w:val="0"/>
      <w:snapToGrid w:val="0"/>
      <w:spacing w:line="360" w:lineRule="auto"/>
      <w:ind w:firstLineChars="200" w:firstLine="600"/>
    </w:pPr>
    <w:rPr>
      <w:rFonts w:cs="Times New Roman"/>
      <w:color w:val="auto"/>
      <w:sz w:val="28"/>
      <w:szCs w:val="22"/>
    </w:rPr>
  </w:style>
  <w:style w:type="paragraph" w:customStyle="1" w:styleId="TOCHeading1">
    <w:name w:val="TOC Heading1"/>
    <w:basedOn w:val="1"/>
    <w:next w:val="a0"/>
    <w:uiPriority w:val="39"/>
    <w:unhideWhenUsed/>
    <w:qFormat/>
    <w:rsid w:val="004A3168"/>
    <w:pPr>
      <w:widowControl/>
      <w:spacing w:before="480" w:after="0" w:line="276" w:lineRule="auto"/>
      <w:jc w:val="left"/>
      <w:outlineLvl w:val="9"/>
    </w:pPr>
    <w:rPr>
      <w:rFonts w:ascii="Cambria" w:hAnsi="Cambria" w:cs="Times New Roman"/>
      <w:color w:val="365F90"/>
      <w:kern w:val="0"/>
      <w:sz w:val="28"/>
      <w:szCs w:val="28"/>
    </w:rPr>
  </w:style>
  <w:style w:type="paragraph" w:customStyle="1" w:styleId="1f2">
    <w:name w:val="1"/>
    <w:basedOn w:val="a0"/>
    <w:next w:val="a0"/>
    <w:qFormat/>
    <w:rsid w:val="004A3168"/>
    <w:pPr>
      <w:widowControl/>
      <w:snapToGrid w:val="0"/>
      <w:spacing w:line="300" w:lineRule="auto"/>
      <w:jc w:val="left"/>
    </w:pPr>
    <w:rPr>
      <w:rFonts w:cs="Times New Roman"/>
      <w:color w:val="auto"/>
      <w:szCs w:val="20"/>
    </w:rPr>
  </w:style>
  <w:style w:type="paragraph" w:customStyle="1" w:styleId="TableParagraph">
    <w:name w:val="Table Paragraph"/>
    <w:basedOn w:val="a0"/>
    <w:qFormat/>
    <w:rsid w:val="004A3168"/>
    <w:pPr>
      <w:autoSpaceDE w:val="0"/>
      <w:autoSpaceDN w:val="0"/>
      <w:jc w:val="center"/>
    </w:pPr>
    <w:rPr>
      <w:rFonts w:cs="Times New Roman"/>
      <w:color w:val="auto"/>
      <w:kern w:val="0"/>
      <w:sz w:val="22"/>
      <w:szCs w:val="22"/>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0"/>
    <w:qFormat/>
    <w:rsid w:val="004A3168"/>
    <w:pPr>
      <w:spacing w:line="360" w:lineRule="auto"/>
      <w:ind w:firstLineChars="200" w:firstLine="200"/>
    </w:pPr>
    <w:rPr>
      <w:rFonts w:ascii="宋体" w:hAnsi="宋体" w:cs="宋体"/>
      <w:sz w:val="20"/>
    </w:rPr>
  </w:style>
  <w:style w:type="paragraph" w:customStyle="1" w:styleId="afffffff5">
    <w:name w:val="表头字"/>
    <w:basedOn w:val="a0"/>
    <w:qFormat/>
    <w:rsid w:val="004A3168"/>
    <w:pPr>
      <w:spacing w:line="520" w:lineRule="exact"/>
    </w:pPr>
    <w:rPr>
      <w:rFonts w:cs="宋体"/>
      <w:b/>
      <w:bCs/>
      <w:color w:val="auto"/>
      <w:sz w:val="24"/>
      <w:szCs w:val="20"/>
    </w:rPr>
  </w:style>
  <w:style w:type="paragraph" w:customStyle="1" w:styleId="2006">
    <w:name w:val="样式 正文缩进 + 宋体 黑色 首行缩进:  2 字符 右侧:  0.06 厘米"/>
    <w:basedOn w:val="a1"/>
    <w:qFormat/>
    <w:rsid w:val="004A3168"/>
    <w:pPr>
      <w:spacing w:line="360" w:lineRule="auto"/>
      <w:ind w:right="32" w:firstLineChars="200" w:firstLine="480"/>
      <w:jc w:val="left"/>
    </w:pPr>
    <w:rPr>
      <w:rFonts w:ascii="宋体" w:hAnsi="宋体" w:cs="宋体"/>
      <w:sz w:val="24"/>
    </w:rPr>
  </w:style>
  <w:style w:type="paragraph" w:customStyle="1" w:styleId="1f3">
    <w:name w:val="修订1"/>
    <w:uiPriority w:val="99"/>
    <w:semiHidden/>
    <w:qFormat/>
    <w:rsid w:val="004A3168"/>
    <w:rPr>
      <w:color w:val="000000"/>
      <w:kern w:val="2"/>
      <w:sz w:val="21"/>
      <w:szCs w:val="24"/>
    </w:rPr>
  </w:style>
  <w:style w:type="paragraph" w:customStyle="1" w:styleId="Char210">
    <w:name w:val="Char21"/>
    <w:basedOn w:val="a0"/>
    <w:qFormat/>
    <w:rsid w:val="004A3168"/>
    <w:pPr>
      <w:spacing w:line="360" w:lineRule="auto"/>
      <w:ind w:firstLineChars="200" w:firstLine="200"/>
    </w:pPr>
    <w:rPr>
      <w:rFonts w:ascii="宋体" w:hAnsi="宋体" w:cs="宋体"/>
      <w:sz w:val="24"/>
    </w:rPr>
  </w:style>
  <w:style w:type="paragraph" w:customStyle="1" w:styleId="3-">
    <w:name w:val="标题3-小四"/>
    <w:basedOn w:val="a0"/>
    <w:next w:val="a0"/>
    <w:qFormat/>
    <w:rsid w:val="004A3168"/>
    <w:pPr>
      <w:spacing w:line="360" w:lineRule="auto"/>
      <w:outlineLvl w:val="2"/>
    </w:pPr>
    <w:rPr>
      <w:rFonts w:ascii="黑体" w:eastAsia="黑体" w:cs="Times New Roman"/>
      <w:b/>
      <w:color w:val="auto"/>
      <w:sz w:val="24"/>
    </w:rPr>
  </w:style>
  <w:style w:type="paragraph" w:customStyle="1" w:styleId="afffffff6">
    <w:name w:val="中文报告书"/>
    <w:basedOn w:val="a0"/>
    <w:qFormat/>
    <w:rsid w:val="004A3168"/>
    <w:pPr>
      <w:adjustRightInd w:val="0"/>
      <w:spacing w:after="80" w:line="420" w:lineRule="atLeast"/>
      <w:jc w:val="left"/>
      <w:textAlignment w:val="baseline"/>
    </w:pPr>
    <w:rPr>
      <w:rFonts w:cs="Times New Roman"/>
      <w:color w:val="auto"/>
      <w:kern w:val="0"/>
      <w:sz w:val="24"/>
      <w:szCs w:val="20"/>
    </w:rPr>
  </w:style>
  <w:style w:type="paragraph" w:customStyle="1" w:styleId="CharCharCharCharChar2Char">
    <w:name w:val="Char Char Char Char Char2 Char"/>
    <w:basedOn w:val="a0"/>
    <w:qFormat/>
    <w:rsid w:val="004A3168"/>
    <w:pPr>
      <w:widowControl/>
      <w:adjustRightInd w:val="0"/>
      <w:snapToGrid w:val="0"/>
      <w:spacing w:line="360" w:lineRule="auto"/>
      <w:ind w:firstLineChars="200" w:firstLine="200"/>
      <w:jc w:val="left"/>
    </w:pPr>
    <w:rPr>
      <w:rFonts w:ascii="宋体" w:hAnsi="宋体" w:cs="宋体"/>
      <w:color w:val="auto"/>
      <w:kern w:val="0"/>
      <w:sz w:val="24"/>
      <w:szCs w:val="26"/>
    </w:rPr>
  </w:style>
  <w:style w:type="character" w:customStyle="1" w:styleId="114">
    <w:name w:val="标题11"/>
    <w:basedOn w:val="a2"/>
    <w:qFormat/>
    <w:rsid w:val="00F93E29"/>
  </w:style>
  <w:style w:type="paragraph" w:customStyle="1" w:styleId="3210">
    <w:name w:val="标题 321"/>
    <w:basedOn w:val="a0"/>
    <w:uiPriority w:val="1"/>
    <w:qFormat/>
    <w:rsid w:val="00F93E29"/>
    <w:pPr>
      <w:autoSpaceDE w:val="0"/>
      <w:autoSpaceDN w:val="0"/>
      <w:spacing w:before="26"/>
      <w:ind w:left="108"/>
      <w:jc w:val="left"/>
      <w:outlineLvl w:val="3"/>
    </w:pPr>
    <w:rPr>
      <w:rFonts w:ascii="宋体" w:hAnsi="宋体" w:cs="宋体"/>
      <w:b/>
      <w:bCs/>
      <w:color w:val="auto"/>
      <w:kern w:val="0"/>
      <w:sz w:val="24"/>
      <w:lang w:eastAsia="en-US"/>
    </w:rPr>
  </w:style>
  <w:style w:type="paragraph" w:customStyle="1" w:styleId="afffffff7">
    <w:name w:val="表内 定"/>
    <w:basedOn w:val="a0"/>
    <w:link w:val="Charf9"/>
    <w:qFormat/>
    <w:rsid w:val="00B96258"/>
    <w:pPr>
      <w:jc w:val="left"/>
    </w:pPr>
    <w:rPr>
      <w:rFonts w:eastAsia="仿宋" w:cs="Times New Roman"/>
      <w:snapToGrid w:val="0"/>
      <w:kern w:val="0"/>
      <w:sz w:val="20"/>
      <w:szCs w:val="22"/>
    </w:rPr>
  </w:style>
  <w:style w:type="character" w:customStyle="1" w:styleId="Charf9">
    <w:name w:val="表内 定 Char"/>
    <w:basedOn w:val="a2"/>
    <w:link w:val="afffffff7"/>
    <w:qFormat/>
    <w:rsid w:val="00B96258"/>
    <w:rPr>
      <w:rFonts w:eastAsia="仿宋" w:cs="Times New Roman"/>
      <w:snapToGrid w:val="0"/>
      <w:color w:val="000000"/>
      <w:szCs w:val="22"/>
    </w:rPr>
  </w:style>
  <w:style w:type="character" w:styleId="afffffff8">
    <w:name w:val="Placeholder Text"/>
    <w:basedOn w:val="a2"/>
    <w:uiPriority w:val="99"/>
    <w:qFormat/>
    <w:rsid w:val="00E50687"/>
    <w:rPr>
      <w:color w:val="808080"/>
    </w:rPr>
  </w:style>
  <w:style w:type="character" w:customStyle="1" w:styleId="3Char10">
    <w:name w:val="标题 3 Char1"/>
    <w:aliases w:val="标题 13 Char1,Re Char1,Head 3 WSA Char1,h3 Char1,B Head Char1,H3 Char1,.. Char1,标题 3 Char Char Char1,标题 3 Char1 Char Char Char Char1,标题 3 Char1 Char Char Char2,标题 31 Char1,第 章 Char1,头 Char1,标题 3 Char1 Char Char Char Char Char Char1,小节标题 Char1"/>
    <w:basedOn w:val="a2"/>
    <w:semiHidden/>
    <w:qFormat/>
    <w:rsid w:val="00194C67"/>
    <w:rPr>
      <w:rFonts w:eastAsia="宋体" w:cs="Calibri"/>
      <w:b/>
      <w:bCs/>
      <w:color w:val="000000"/>
      <w:kern w:val="2"/>
      <w:sz w:val="32"/>
      <w:szCs w:val="32"/>
    </w:rPr>
  </w:style>
  <w:style w:type="character" w:customStyle="1" w:styleId="Char14">
    <w:name w:val="正文文本 Char1"/>
    <w:aliases w:val="正文文字 Char Char Char Char Char Char Char Char Char Char Char Char Char Char Char Char Char Char Char Char1,正文文字 Char1"/>
    <w:basedOn w:val="a2"/>
    <w:semiHidden/>
    <w:qFormat/>
    <w:rsid w:val="00194C67"/>
    <w:rPr>
      <w:color w:val="000000"/>
      <w:kern w:val="2"/>
      <w:sz w:val="21"/>
      <w:szCs w:val="24"/>
    </w:rPr>
  </w:style>
  <w:style w:type="character" w:customStyle="1" w:styleId="Char15">
    <w:name w:val="正文文本缩进 Char1"/>
    <w:aliases w:val="正文文字缩进 Char1"/>
    <w:basedOn w:val="a2"/>
    <w:semiHidden/>
    <w:qFormat/>
    <w:rsid w:val="00194C67"/>
    <w:rPr>
      <w:color w:val="000000"/>
      <w:kern w:val="2"/>
      <w:sz w:val="21"/>
      <w:szCs w:val="24"/>
    </w:rPr>
  </w:style>
  <w:style w:type="character" w:customStyle="1" w:styleId="2Char10">
    <w:name w:val="正文文本 2 Char1"/>
    <w:aliases w:val="正文文字 2 Char1"/>
    <w:basedOn w:val="a2"/>
    <w:semiHidden/>
    <w:qFormat/>
    <w:rsid w:val="00194C67"/>
    <w:rPr>
      <w:color w:val="000000"/>
      <w:kern w:val="2"/>
      <w:sz w:val="21"/>
      <w:szCs w:val="24"/>
    </w:rPr>
  </w:style>
  <w:style w:type="character" w:customStyle="1" w:styleId="3Char11">
    <w:name w:val="正文文本缩进 3 Char1"/>
    <w:aliases w:val="正文文字缩进 3 Char1"/>
    <w:basedOn w:val="a2"/>
    <w:semiHidden/>
    <w:qFormat/>
    <w:rsid w:val="00194C67"/>
    <w:rPr>
      <w:color w:val="000000"/>
      <w:kern w:val="2"/>
      <w:sz w:val="16"/>
      <w:szCs w:val="16"/>
    </w:rPr>
  </w:style>
  <w:style w:type="character" w:customStyle="1" w:styleId="Char16">
    <w:name w:val="引用 Char1"/>
    <w:aliases w:val="List Paragraph Char1"/>
    <w:basedOn w:val="a2"/>
    <w:qFormat/>
    <w:rsid w:val="00194C67"/>
    <w:rPr>
      <w:i/>
      <w:iCs/>
      <w:color w:val="000000"/>
      <w:kern w:val="2"/>
      <w:sz w:val="21"/>
      <w:szCs w:val="24"/>
    </w:rPr>
  </w:style>
  <w:style w:type="paragraph" w:customStyle="1" w:styleId="CharCharChar11">
    <w:name w:val="Char Char Char11"/>
    <w:basedOn w:val="a0"/>
    <w:qFormat/>
    <w:rsid w:val="00194C67"/>
    <w:pPr>
      <w:widowControl/>
      <w:spacing w:line="360" w:lineRule="auto"/>
      <w:ind w:firstLineChars="200" w:firstLine="200"/>
      <w:jc w:val="left"/>
    </w:pPr>
    <w:rPr>
      <w:rFonts w:ascii="宋体" w:hAnsi="宋体" w:hint="eastAsia"/>
      <w:color w:val="auto"/>
      <w:kern w:val="0"/>
      <w:sz w:val="24"/>
    </w:rPr>
  </w:style>
  <w:style w:type="character" w:customStyle="1" w:styleId="HTMLChar1">
    <w:name w:val="HTML 预设格式 Char1"/>
    <w:basedOn w:val="a2"/>
    <w:uiPriority w:val="99"/>
    <w:semiHidden/>
    <w:qFormat/>
    <w:locked/>
    <w:rsid w:val="00194C67"/>
    <w:rPr>
      <w:rFonts w:ascii="Arial" w:hAnsi="Arial" w:cs="Arial"/>
      <w:sz w:val="24"/>
      <w:szCs w:val="24"/>
    </w:rPr>
  </w:style>
  <w:style w:type="character" w:customStyle="1" w:styleId="Char17">
    <w:name w:val="批注文字 Char1"/>
    <w:basedOn w:val="a2"/>
    <w:semiHidden/>
    <w:qFormat/>
    <w:locked/>
    <w:rsid w:val="00194C67"/>
    <w:rPr>
      <w:rFonts w:eastAsia="华文中宋"/>
      <w:color w:val="000000"/>
      <w:kern w:val="2"/>
      <w:sz w:val="24"/>
      <w:szCs w:val="24"/>
    </w:rPr>
  </w:style>
  <w:style w:type="character" w:customStyle="1" w:styleId="Char18">
    <w:name w:val="日期 Char1"/>
    <w:basedOn w:val="a2"/>
    <w:semiHidden/>
    <w:qFormat/>
    <w:locked/>
    <w:rsid w:val="00194C67"/>
    <w:rPr>
      <w:color w:val="000000"/>
      <w:kern w:val="2"/>
      <w:sz w:val="24"/>
      <w:szCs w:val="24"/>
    </w:rPr>
  </w:style>
  <w:style w:type="character" w:customStyle="1" w:styleId="Char19">
    <w:name w:val="注释标题 Char1"/>
    <w:basedOn w:val="a2"/>
    <w:semiHidden/>
    <w:qFormat/>
    <w:locked/>
    <w:rsid w:val="00194C67"/>
    <w:rPr>
      <w:rFonts w:cs="Times New Roman"/>
      <w:kern w:val="2"/>
      <w:sz w:val="21"/>
    </w:rPr>
  </w:style>
  <w:style w:type="character" w:customStyle="1" w:styleId="3Char12">
    <w:name w:val="正文文本 3 Char1"/>
    <w:basedOn w:val="a2"/>
    <w:semiHidden/>
    <w:qFormat/>
    <w:locked/>
    <w:rsid w:val="00194C67"/>
    <w:rPr>
      <w:color w:val="000000"/>
      <w:kern w:val="2"/>
      <w:sz w:val="24"/>
      <w:szCs w:val="24"/>
    </w:rPr>
  </w:style>
  <w:style w:type="character" w:customStyle="1" w:styleId="2Char11">
    <w:name w:val="正文文本缩进 2 Char1"/>
    <w:basedOn w:val="a2"/>
    <w:semiHidden/>
    <w:qFormat/>
    <w:locked/>
    <w:rsid w:val="00194C67"/>
    <w:rPr>
      <w:color w:val="000000"/>
      <w:spacing w:val="4"/>
      <w:kern w:val="2"/>
      <w:sz w:val="24"/>
      <w:szCs w:val="24"/>
    </w:rPr>
  </w:style>
  <w:style w:type="character" w:customStyle="1" w:styleId="Char1a">
    <w:name w:val="文档结构图 Char1"/>
    <w:basedOn w:val="a2"/>
    <w:semiHidden/>
    <w:qFormat/>
    <w:locked/>
    <w:rsid w:val="00194C67"/>
    <w:rPr>
      <w:color w:val="000000"/>
      <w:kern w:val="2"/>
      <w:sz w:val="24"/>
      <w:szCs w:val="24"/>
      <w:shd w:val="clear" w:color="auto" w:fill="000080"/>
    </w:rPr>
  </w:style>
  <w:style w:type="character" w:customStyle="1" w:styleId="font31">
    <w:name w:val="font31"/>
    <w:basedOn w:val="a2"/>
    <w:qFormat/>
    <w:rsid w:val="00194C67"/>
    <w:rPr>
      <w:rFonts w:ascii="宋体" w:eastAsia="宋体" w:hAnsi="宋体" w:cs="宋体" w:hint="eastAsia"/>
      <w:color w:val="000000"/>
      <w:sz w:val="22"/>
      <w:szCs w:val="22"/>
      <w:u w:val="none"/>
    </w:rPr>
  </w:style>
  <w:style w:type="character" w:customStyle="1" w:styleId="NormalCharacter">
    <w:name w:val="NormalCharacter"/>
    <w:qFormat/>
    <w:rsid w:val="00194C67"/>
  </w:style>
  <w:style w:type="character" w:customStyle="1" w:styleId="af2">
    <w:name w:val="普通(网站) 字符"/>
    <w:aliases w:val="普通 (Web) 字符,普通(Web) 字符"/>
    <w:link w:val="af1"/>
    <w:uiPriority w:val="99"/>
    <w:qFormat/>
    <w:locked/>
    <w:rsid w:val="00586669"/>
    <w:rPr>
      <w:rFonts w:ascii="宋体" w:hAnsi="宋体" w:cs="宋体"/>
      <w:color w:val="000000"/>
      <w:sz w:val="24"/>
      <w:szCs w:val="24"/>
    </w:rPr>
  </w:style>
  <w:style w:type="paragraph" w:customStyle="1" w:styleId="CharChar1Char2">
    <w:name w:val="Char Char1 Char2"/>
    <w:basedOn w:val="a0"/>
    <w:qFormat/>
    <w:rsid w:val="00BA204E"/>
    <w:pPr>
      <w:widowControl/>
      <w:spacing w:line="360" w:lineRule="auto"/>
      <w:ind w:firstLineChars="200" w:firstLine="200"/>
      <w:jc w:val="left"/>
    </w:pPr>
    <w:rPr>
      <w:rFonts w:ascii="宋体" w:hAnsi="宋体" w:cs="宋体"/>
      <w:kern w:val="0"/>
      <w:sz w:val="20"/>
    </w:rPr>
  </w:style>
  <w:style w:type="character" w:customStyle="1" w:styleId="afffffff9">
    <w:name w:val="脚注文本 字符"/>
    <w:basedOn w:val="a2"/>
    <w:link w:val="afffffffa"/>
    <w:rsid w:val="00442A89"/>
    <w:rPr>
      <w:rFonts w:ascii="仿宋_GB2312"/>
      <w:color w:val="000000"/>
      <w:kern w:val="2"/>
      <w:sz w:val="18"/>
      <w:szCs w:val="18"/>
    </w:rPr>
  </w:style>
  <w:style w:type="paragraph" w:styleId="afffffffa">
    <w:name w:val="footnote text"/>
    <w:basedOn w:val="a0"/>
    <w:link w:val="afffffff9"/>
    <w:qFormat/>
    <w:rsid w:val="00442A89"/>
    <w:pPr>
      <w:snapToGrid w:val="0"/>
      <w:jc w:val="left"/>
    </w:pPr>
    <w:rPr>
      <w:rFonts w:ascii="仿宋_GB2312"/>
      <w:sz w:val="18"/>
      <w:szCs w:val="18"/>
    </w:rPr>
  </w:style>
  <w:style w:type="character" w:customStyle="1" w:styleId="Char1b">
    <w:name w:val="脚注文本 Char1"/>
    <w:basedOn w:val="a2"/>
    <w:uiPriority w:val="99"/>
    <w:semiHidden/>
    <w:rsid w:val="00442A89"/>
    <w:rPr>
      <w:color w:val="000000"/>
      <w:kern w:val="2"/>
      <w:sz w:val="18"/>
      <w:szCs w:val="18"/>
    </w:rPr>
  </w:style>
  <w:style w:type="table" w:customStyle="1" w:styleId="54">
    <w:name w:val="网格型5"/>
    <w:basedOn w:val="a3"/>
    <w:qFormat/>
    <w:rsid w:val="003A305B"/>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adio-btn">
    <w:name w:val="radio-btn"/>
    <w:basedOn w:val="a2"/>
    <w:qFormat/>
    <w:rsid w:val="003A305B"/>
    <w:rPr>
      <w:sz w:val="21"/>
      <w:szCs w:val="21"/>
    </w:rPr>
  </w:style>
  <w:style w:type="character" w:customStyle="1" w:styleId="radio-btn1">
    <w:name w:val="radio-btn1"/>
    <w:basedOn w:val="a2"/>
    <w:qFormat/>
    <w:rsid w:val="003A305B"/>
    <w:rPr>
      <w:sz w:val="24"/>
      <w:szCs w:val="24"/>
    </w:rPr>
  </w:style>
  <w:style w:type="character" w:customStyle="1" w:styleId="radio-btn2">
    <w:name w:val="radio-btn2"/>
    <w:basedOn w:val="a2"/>
    <w:qFormat/>
    <w:rsid w:val="003A305B"/>
    <w:rPr>
      <w:sz w:val="24"/>
      <w:szCs w:val="24"/>
    </w:rPr>
  </w:style>
  <w:style w:type="character" w:customStyle="1" w:styleId="lishishuju">
    <w:name w:val="lishishuju"/>
    <w:basedOn w:val="a2"/>
    <w:qFormat/>
    <w:rsid w:val="003A305B"/>
    <w:rPr>
      <w:b/>
      <w:color w:val="000052"/>
      <w:sz w:val="24"/>
      <w:szCs w:val="24"/>
      <w:bdr w:val="single" w:sz="6" w:space="0" w:color="E3E3E3"/>
    </w:rPr>
  </w:style>
  <w:style w:type="character" w:customStyle="1" w:styleId="cur1">
    <w:name w:val="cur1"/>
    <w:basedOn w:val="a2"/>
    <w:qFormat/>
    <w:rsid w:val="003A305B"/>
    <w:rPr>
      <w:color w:val="FFFFFF"/>
      <w:shd w:val="clear" w:color="auto" w:fill="2F6B98"/>
    </w:rPr>
  </w:style>
  <w:style w:type="character" w:customStyle="1" w:styleId="lable">
    <w:name w:val="lable"/>
    <w:basedOn w:val="a2"/>
    <w:qFormat/>
    <w:rsid w:val="003A305B"/>
    <w:rPr>
      <w:sz w:val="24"/>
      <w:szCs w:val="24"/>
    </w:rPr>
  </w:style>
  <w:style w:type="character" w:customStyle="1" w:styleId="znspantitle">
    <w:name w:val="znspantitle"/>
    <w:basedOn w:val="a2"/>
    <w:qFormat/>
    <w:rsid w:val="003A305B"/>
    <w:rPr>
      <w:b/>
      <w:color w:val="333333"/>
    </w:rPr>
  </w:style>
  <w:style w:type="paragraph" w:customStyle="1" w:styleId="Default1">
    <w:name w:val="Default1"/>
    <w:qFormat/>
    <w:rsid w:val="00E66940"/>
    <w:pPr>
      <w:widowControl w:val="0"/>
      <w:autoSpaceDE w:val="0"/>
      <w:autoSpaceDN w:val="0"/>
      <w:adjustRightInd w:val="0"/>
    </w:pPr>
    <w:rPr>
      <w:rFonts w:ascii="宋体" w:cs="宋体"/>
      <w:snapToGrid w:val="0"/>
      <w:color w:val="000000"/>
      <w:sz w:val="24"/>
      <w:szCs w:val="24"/>
    </w:rPr>
  </w:style>
  <w:style w:type="character" w:customStyle="1" w:styleId="ref">
    <w:name w:val="ref"/>
    <w:basedOn w:val="a2"/>
    <w:rsid w:val="00DE5005"/>
  </w:style>
  <w:style w:type="paragraph" w:customStyle="1" w:styleId="Char40">
    <w:name w:val="Char4"/>
    <w:basedOn w:val="a0"/>
    <w:rsid w:val="004F1FCE"/>
    <w:rPr>
      <w:rFonts w:ascii="Calibri" w:hAnsi="Calibri" w:cs="Times New Roman"/>
      <w:color w:val="auto"/>
      <w:sz w:val="32"/>
      <w:szCs w:val="32"/>
    </w:rPr>
  </w:style>
  <w:style w:type="paragraph" w:customStyle="1" w:styleId="2f2">
    <w:name w:val="样式 正文文本 + 首行缩进:  2 字符"/>
    <w:uiPriority w:val="99"/>
    <w:qFormat/>
    <w:rsid w:val="00567856"/>
    <w:pPr>
      <w:spacing w:after="200" w:line="480" w:lineRule="exact"/>
      <w:ind w:firstLineChars="200" w:firstLine="480"/>
    </w:pPr>
    <w:rPr>
      <w:rFonts w:eastAsia="微软雅黑" w:cs="Times New Roman"/>
      <w:sz w:val="24"/>
      <w:szCs w:val="22"/>
    </w:rPr>
  </w:style>
  <w:style w:type="paragraph" w:styleId="55">
    <w:name w:val="List Bullet 5"/>
    <w:basedOn w:val="a0"/>
    <w:rsid w:val="00567856"/>
    <w:pPr>
      <w:widowControl/>
      <w:tabs>
        <w:tab w:val="num" w:pos="360"/>
        <w:tab w:val="left" w:pos="2040"/>
      </w:tabs>
      <w:ind w:left="360" w:hangingChars="200" w:hanging="360"/>
      <w:jc w:val="left"/>
    </w:pPr>
    <w:rPr>
      <w:rFonts w:cs="Times New Roman"/>
      <w:color w:val="auto"/>
      <w:kern w:val="0"/>
      <w:sz w:val="20"/>
      <w:szCs w:val="20"/>
    </w:rPr>
  </w:style>
  <w:style w:type="character" w:customStyle="1" w:styleId="font61">
    <w:name w:val="font61"/>
    <w:rsid w:val="00567856"/>
    <w:rPr>
      <w:rFonts w:ascii="宋体" w:eastAsia="宋体" w:hAnsi="宋体" w:cs="宋体" w:hint="eastAsia"/>
      <w:color w:val="000000"/>
      <w:sz w:val="21"/>
      <w:szCs w:val="21"/>
      <w:u w:val="none"/>
    </w:rPr>
  </w:style>
  <w:style w:type="character" w:customStyle="1" w:styleId="font21">
    <w:name w:val="font21"/>
    <w:basedOn w:val="a2"/>
    <w:qFormat/>
    <w:rsid w:val="00567856"/>
    <w:rPr>
      <w:rFonts w:ascii="宋体" w:eastAsia="宋体" w:hAnsi="宋体" w:cs="宋体" w:hint="eastAsia"/>
      <w:color w:val="000000"/>
      <w:sz w:val="21"/>
      <w:szCs w:val="21"/>
      <w:u w:val="none"/>
    </w:rPr>
  </w:style>
  <w:style w:type="table" w:customStyle="1" w:styleId="TableNormal">
    <w:name w:val="Table Normal"/>
    <w:unhideWhenUsed/>
    <w:qFormat/>
    <w:rsid w:val="00567856"/>
    <w:rPr>
      <w:rFonts w:cs="Times New Roman"/>
    </w:rPr>
    <w:tblPr>
      <w:tblCellMar>
        <w:top w:w="0" w:type="dxa"/>
        <w:left w:w="0" w:type="dxa"/>
        <w:bottom w:w="0" w:type="dxa"/>
        <w:right w:w="0" w:type="dxa"/>
      </w:tblCellMar>
    </w:tblPr>
  </w:style>
  <w:style w:type="character" w:customStyle="1" w:styleId="1Char0">
    <w:name w:val="表1 Char"/>
    <w:link w:val="19"/>
    <w:rsid w:val="003C3DBE"/>
    <w:rPr>
      <w:rFonts w:ascii="宋体"/>
      <w:color w:val="000000"/>
      <w:kern w:val="2"/>
      <w:sz w:val="21"/>
      <w:szCs w:val="24"/>
    </w:rPr>
  </w:style>
  <w:style w:type="character" w:customStyle="1" w:styleId="180">
    <w:name w:val="18"/>
    <w:basedOn w:val="a2"/>
    <w:qFormat/>
    <w:rsid w:val="003C3DBE"/>
    <w:rPr>
      <w:rFonts w:ascii="宋体" w:eastAsia="宋体" w:hAnsi="宋体" w:cs="宋体" w:hint="eastAsia"/>
      <w:color w:val="000000"/>
      <w:sz w:val="20"/>
      <w:szCs w:val="20"/>
    </w:rPr>
  </w:style>
  <w:style w:type="character" w:customStyle="1" w:styleId="5CharChar">
    <w:name w:val="5正文 Char Char"/>
    <w:link w:val="56"/>
    <w:locked/>
    <w:rsid w:val="003C3DBE"/>
    <w:rPr>
      <w:rFonts w:ascii="宋体" w:hAnsi="宋体"/>
      <w:kern w:val="2"/>
      <w:sz w:val="24"/>
    </w:rPr>
  </w:style>
  <w:style w:type="paragraph" w:customStyle="1" w:styleId="56">
    <w:name w:val="5正文"/>
    <w:link w:val="5CharChar"/>
    <w:rsid w:val="003C3DBE"/>
    <w:pPr>
      <w:widowControl w:val="0"/>
      <w:spacing w:line="520" w:lineRule="exact"/>
      <w:ind w:firstLineChars="200" w:firstLine="200"/>
      <w:jc w:val="both"/>
    </w:pPr>
    <w:rPr>
      <w:rFonts w:ascii="宋体" w:hAnsi="宋体"/>
      <w:kern w:val="2"/>
      <w:sz w:val="24"/>
    </w:rPr>
  </w:style>
  <w:style w:type="character" w:customStyle="1" w:styleId="1111Char0">
    <w:name w:val="1.1.1.1 Char"/>
    <w:link w:val="11111"/>
    <w:locked/>
    <w:rsid w:val="003C3DBE"/>
    <w:rPr>
      <w:rFonts w:ascii="宋体" w:hAnsi="宋体"/>
      <w:b/>
      <w:bCs/>
      <w:color w:val="000000"/>
      <w:sz w:val="24"/>
      <w:szCs w:val="28"/>
    </w:rPr>
  </w:style>
  <w:style w:type="paragraph" w:customStyle="1" w:styleId="11111">
    <w:name w:val="1.1.1.1"/>
    <w:basedOn w:val="4"/>
    <w:next w:val="a0"/>
    <w:link w:val="1111Char0"/>
    <w:rsid w:val="003C3DBE"/>
    <w:pPr>
      <w:spacing w:before="0" w:after="0" w:line="520" w:lineRule="exact"/>
    </w:pPr>
    <w:rPr>
      <w:rFonts w:ascii="宋体" w:eastAsia="宋体" w:hAnsi="宋体"/>
      <w:kern w:val="0"/>
    </w:rPr>
  </w:style>
  <w:style w:type="character" w:customStyle="1" w:styleId="Char0">
    <w:name w:val="书 Char"/>
    <w:link w:val="ad"/>
    <w:qFormat/>
    <w:rsid w:val="003C3DBE"/>
    <w:rPr>
      <w:rFonts w:ascii="楷体_GB2312" w:eastAsia="楷体_GB2312" w:hAnsi="宋体"/>
      <w:b/>
      <w:color w:val="000000"/>
      <w:kern w:val="2"/>
      <w:sz w:val="28"/>
      <w:szCs w:val="24"/>
    </w:rPr>
  </w:style>
  <w:style w:type="character" w:customStyle="1" w:styleId="Char1c">
    <w:name w:val="正文缩进 Char1"/>
    <w:aliases w:val="正文1 Char,正文（首行缩进两字） Char1,正文（首行缩进两字） Char Char Char Char Char Char Char Char,首行缩进两字 Char,正文（首行缩进两字） Char Char,特点 Char,正文（首行缩进两字） Char Char Char Char1,正文（首行缩进两字） Char Char Char Char Char,表正文 Char,正文非缩进 Char,正文不缩进 Char,段1 Char,ALT+Z Char1,表格 Ch"/>
    <w:basedOn w:val="a2"/>
    <w:qFormat/>
    <w:rsid w:val="003C3DBE"/>
    <w:rPr>
      <w:kern w:val="2"/>
      <w:sz w:val="21"/>
    </w:rPr>
  </w:style>
  <w:style w:type="paragraph" w:customStyle="1" w:styleId="08505">
    <w:name w:val="样式 样式 首行缩进:  0.85 厘米 + 段前: 0.5 行"/>
    <w:basedOn w:val="a0"/>
    <w:link w:val="08505Char1"/>
    <w:qFormat/>
    <w:rsid w:val="00A3539C"/>
    <w:pPr>
      <w:spacing w:before="50" w:line="360" w:lineRule="auto"/>
      <w:ind w:firstLine="482"/>
    </w:pPr>
    <w:rPr>
      <w:rFonts w:cs="Times New Roman"/>
      <w:color w:val="auto"/>
      <w:sz w:val="24"/>
      <w:szCs w:val="20"/>
    </w:rPr>
  </w:style>
  <w:style w:type="character" w:customStyle="1" w:styleId="08505Char1">
    <w:name w:val="样式 样式 首行缩进:  0.85 厘米 + 段前: 0.5 行 Char1"/>
    <w:link w:val="08505"/>
    <w:rsid w:val="00A3539C"/>
    <w:rPr>
      <w:rFonts w:cs="Times New Roman"/>
      <w:kern w:val="2"/>
      <w:sz w:val="24"/>
    </w:rPr>
  </w:style>
  <w:style w:type="character" w:customStyle="1" w:styleId="Charfa">
    <w:name w:val="页眉 Char"/>
    <w:uiPriority w:val="99"/>
    <w:qFormat/>
    <w:rsid w:val="006D1907"/>
    <w:rPr>
      <w:rFonts w:eastAsia="宋体"/>
      <w:kern w:val="2"/>
      <w:sz w:val="18"/>
      <w:szCs w:val="18"/>
      <w:lang w:val="en-US" w:eastAsia="zh-CN" w:bidi="ar-SA"/>
    </w:rPr>
  </w:style>
  <w:style w:type="character" w:customStyle="1" w:styleId="2Char7">
    <w:name w:val="正文首行缩进 2 Char"/>
    <w:basedOn w:val="a2"/>
    <w:qFormat/>
    <w:rsid w:val="006D1907"/>
    <w:rPr>
      <w:rFonts w:ascii="宋体" w:hAnsi="宋体"/>
      <w:kern w:val="2"/>
      <w:sz w:val="28"/>
      <w:szCs w:val="24"/>
    </w:rPr>
  </w:style>
  <w:style w:type="paragraph" w:customStyle="1" w:styleId="CharCharChar1CharCharCharCharCharCharCharCharCharCharCharCharCharCharCharCharCharCharChar11">
    <w:name w:val="Char Char Char1 Char Char Char Char Char Char Char Char Char Char Char Char Char Char Char Char Char Char Char11"/>
    <w:basedOn w:val="a0"/>
    <w:qFormat/>
    <w:rsid w:val="006D1907"/>
    <w:pPr>
      <w:spacing w:line="360" w:lineRule="auto"/>
      <w:ind w:firstLineChars="200" w:firstLine="200"/>
    </w:pPr>
    <w:rPr>
      <w:rFonts w:ascii="宋体" w:hAnsi="宋体" w:cs="宋体"/>
      <w:sz w:val="20"/>
    </w:rPr>
  </w:style>
  <w:style w:type="character" w:customStyle="1" w:styleId="CharCharCharChar111">
    <w:name w:val="Char Char Char Char111"/>
    <w:qFormat/>
    <w:rsid w:val="006D1907"/>
    <w:rPr>
      <w:rFonts w:ascii="宋体" w:hAnsi="宋体"/>
      <w:kern w:val="2"/>
      <w:sz w:val="24"/>
      <w:szCs w:val="24"/>
    </w:rPr>
  </w:style>
  <w:style w:type="character" w:customStyle="1" w:styleId="Char2CharCharCharChar11">
    <w:name w:val="Char2 Char Char Char Char11"/>
    <w:link w:val="Char2CharCharChar11"/>
    <w:qFormat/>
    <w:rsid w:val="006D1907"/>
    <w:rPr>
      <w:rFonts w:ascii="宋体" w:eastAsia="仿宋_GB2312" w:hAnsi="宋体"/>
      <w:color w:val="000000"/>
      <w:sz w:val="24"/>
      <w:szCs w:val="24"/>
    </w:rPr>
  </w:style>
  <w:style w:type="paragraph" w:customStyle="1" w:styleId="Char2CharCharChar11">
    <w:name w:val="Char2 Char Char Char11"/>
    <w:basedOn w:val="a0"/>
    <w:link w:val="Char2CharCharCharChar11"/>
    <w:qFormat/>
    <w:rsid w:val="006D1907"/>
    <w:pPr>
      <w:widowControl/>
      <w:autoSpaceDE w:val="0"/>
      <w:autoSpaceDN w:val="0"/>
      <w:adjustRightInd w:val="0"/>
      <w:snapToGrid w:val="0"/>
      <w:spacing w:before="50" w:after="50" w:line="360" w:lineRule="auto"/>
      <w:ind w:firstLineChars="200" w:firstLine="560"/>
      <w:jc w:val="left"/>
    </w:pPr>
    <w:rPr>
      <w:rFonts w:ascii="宋体" w:eastAsia="仿宋_GB2312" w:hAnsi="宋体"/>
      <w:kern w:val="0"/>
      <w:sz w:val="24"/>
    </w:rPr>
  </w:style>
  <w:style w:type="paragraph" w:customStyle="1" w:styleId="CharCharCharCharCharChar11">
    <w:name w:val="Char Char Char Char Char Char11"/>
    <w:basedOn w:val="a0"/>
    <w:qFormat/>
    <w:rsid w:val="006D1907"/>
    <w:rPr>
      <w:sz w:val="24"/>
    </w:rPr>
  </w:style>
  <w:style w:type="paragraph" w:customStyle="1" w:styleId="CharCharCharCharCharCharCharCharCharChar11">
    <w:name w:val="Char Char Char Char Char Char Char Char Char Char11"/>
    <w:basedOn w:val="a0"/>
    <w:qFormat/>
    <w:rsid w:val="006D1907"/>
    <w:pPr>
      <w:snapToGrid w:val="0"/>
      <w:spacing w:line="360" w:lineRule="auto"/>
      <w:ind w:firstLineChars="200" w:firstLine="200"/>
    </w:pPr>
    <w:rPr>
      <w:rFonts w:eastAsia="仿宋_GB2312"/>
      <w:sz w:val="24"/>
    </w:rPr>
  </w:style>
  <w:style w:type="paragraph" w:customStyle="1" w:styleId="Char211">
    <w:name w:val="Char211"/>
    <w:basedOn w:val="a0"/>
    <w:qFormat/>
    <w:rsid w:val="006D1907"/>
    <w:pPr>
      <w:spacing w:line="360" w:lineRule="auto"/>
      <w:ind w:firstLineChars="200" w:firstLine="200"/>
    </w:pPr>
    <w:rPr>
      <w:rFonts w:ascii="宋体" w:hAnsi="宋体" w:cs="宋体"/>
      <w:sz w:val="24"/>
    </w:rPr>
  </w:style>
  <w:style w:type="paragraph" w:customStyle="1" w:styleId="CharCharCharCharCharCharChar11">
    <w:name w:val="Char Char Char Char Char Char Char11"/>
    <w:basedOn w:val="a0"/>
    <w:qFormat/>
    <w:rsid w:val="006D1907"/>
  </w:style>
  <w:style w:type="paragraph" w:customStyle="1" w:styleId="TOC11">
    <w:name w:val="TOC 标题11"/>
    <w:basedOn w:val="1"/>
    <w:next w:val="a0"/>
    <w:uiPriority w:val="39"/>
    <w:qFormat/>
    <w:rsid w:val="006D1907"/>
    <w:pPr>
      <w:widowControl/>
      <w:spacing w:before="480" w:after="0" w:line="276" w:lineRule="auto"/>
      <w:jc w:val="left"/>
      <w:outlineLvl w:val="9"/>
    </w:pPr>
    <w:rPr>
      <w:rFonts w:ascii="Cambria" w:hAnsi="Cambria"/>
      <w:color w:val="365F91"/>
      <w:kern w:val="0"/>
      <w:sz w:val="28"/>
      <w:szCs w:val="28"/>
    </w:rPr>
  </w:style>
  <w:style w:type="paragraph" w:customStyle="1" w:styleId="115">
    <w:name w:val="修订11"/>
    <w:uiPriority w:val="99"/>
    <w:semiHidden/>
    <w:qFormat/>
    <w:rsid w:val="006D1907"/>
    <w:rPr>
      <w:color w:val="000000"/>
      <w:kern w:val="2"/>
      <w:sz w:val="21"/>
      <w:szCs w:val="24"/>
    </w:rPr>
  </w:style>
  <w:style w:type="character" w:customStyle="1" w:styleId="000000Char">
    <w:name w:val="正文000000 Char"/>
    <w:link w:val="000000"/>
    <w:qFormat/>
    <w:rsid w:val="006D1907"/>
    <w:rPr>
      <w:rFonts w:ascii="宋体" w:hAnsi="宋体" w:cs="宋体"/>
      <w:sz w:val="24"/>
      <w:szCs w:val="24"/>
    </w:rPr>
  </w:style>
  <w:style w:type="paragraph" w:customStyle="1" w:styleId="000000">
    <w:name w:val="正文000000"/>
    <w:basedOn w:val="a0"/>
    <w:next w:val="a0"/>
    <w:link w:val="000000Char"/>
    <w:qFormat/>
    <w:rsid w:val="006D1907"/>
    <w:pPr>
      <w:adjustRightInd w:val="0"/>
      <w:snapToGrid w:val="0"/>
      <w:spacing w:line="360" w:lineRule="auto"/>
      <w:ind w:firstLineChars="200" w:firstLine="200"/>
    </w:pPr>
    <w:rPr>
      <w:rFonts w:ascii="宋体" w:hAnsi="宋体" w:cs="宋体"/>
      <w:color w:val="auto"/>
      <w:kern w:val="0"/>
      <w:sz w:val="24"/>
    </w:rPr>
  </w:style>
  <w:style w:type="paragraph" w:customStyle="1" w:styleId="300">
    <w:name w:val="正文_30"/>
    <w:qFormat/>
    <w:rsid w:val="006D1907"/>
    <w:pPr>
      <w:widowControl w:val="0"/>
      <w:jc w:val="both"/>
    </w:pPr>
    <w:rPr>
      <w:rFonts w:cs="Times New Roman"/>
      <w:kern w:val="2"/>
      <w:sz w:val="21"/>
    </w:rPr>
  </w:style>
  <w:style w:type="character" w:customStyle="1" w:styleId="Charfb">
    <w:name w:val="纯文本 Char"/>
    <w:aliases w:val=" Char Char Char Char, Char Char Char1,孙普文字 Char,文字缩进 Char1,普通文字 Char,普通文字 Char Char Char Char1,普通文字 Char Char Char1,普通文字 Char Char Char Char Char Char Char Char Char Char,纯文本1 Char,普通文字1 Char, Char1 Char,Char1 Char,表内文字 Char,纯文本 Cha Char"/>
    <w:qFormat/>
    <w:rsid w:val="003550C9"/>
    <w:rPr>
      <w:rFonts w:ascii="宋体" w:eastAsia="宋体" w:hAnsi="Courier New"/>
      <w:kern w:val="2"/>
      <w:sz w:val="21"/>
      <w:lang w:val="en-US" w:eastAsia="zh-CN" w:bidi="ar-SA"/>
    </w:rPr>
  </w:style>
  <w:style w:type="character" w:customStyle="1" w:styleId="Charfc">
    <w:name w:val="页脚 Char"/>
    <w:uiPriority w:val="99"/>
    <w:qFormat/>
    <w:rsid w:val="007D6441"/>
    <w:rPr>
      <w:rFonts w:eastAsia="宋体"/>
      <w:kern w:val="2"/>
      <w:sz w:val="18"/>
      <w:szCs w:val="18"/>
      <w:lang w:val="en-US" w:eastAsia="zh-CN" w:bidi="ar-SA"/>
    </w:rPr>
  </w:style>
  <w:style w:type="character" w:customStyle="1" w:styleId="1Char3">
    <w:name w:val="标题 1 Char"/>
    <w:aliases w:val="章节标题 Char,章标题 1 Char,-*+ Char,h1 Char,1st level Char,Section Head Char,l1 Char,b1 Char,本标题不使用 Char,篇标题 Char,第一章 Char,主标题 Char,H1 Char,章标题 Char,篇 Char,Header1 Char,H11 Char,H12 Char,H13 Char,H14 Char,H15 Char,H16 Char,H17 Char,Heading 0 Char"/>
    <w:qFormat/>
    <w:rsid w:val="007D6441"/>
    <w:rPr>
      <w:rFonts w:eastAsia="宋体"/>
      <w:b/>
      <w:bCs/>
      <w:kern w:val="44"/>
      <w:sz w:val="44"/>
      <w:szCs w:val="44"/>
      <w:lang w:val="en-US" w:eastAsia="zh-CN" w:bidi="ar-SA"/>
    </w:rPr>
  </w:style>
  <w:style w:type="character" w:customStyle="1" w:styleId="Charfd">
    <w:name w:val="批注框文本 Char"/>
    <w:qFormat/>
    <w:rsid w:val="007D6441"/>
    <w:rPr>
      <w:kern w:val="2"/>
      <w:sz w:val="18"/>
      <w:szCs w:val="18"/>
    </w:rPr>
  </w:style>
  <w:style w:type="character" w:customStyle="1" w:styleId="3Char2">
    <w:name w:val="标题 3 Char"/>
    <w:aliases w:val="标题 13 Char,Re Char,Head 3 WSA Char,h3 Char,B Head Char,H3 Char,.. Char,标题 3 Char Char Char,标题 3 Char1 Char Char Char Char,标题 3 Char1 Char Char Char1,标题 31 Char,第 章 Char,头 Char,标题 3 Char1 Char Char Char Char Char Char,My title 3 Char,小节标题 Char"/>
    <w:qFormat/>
    <w:rsid w:val="007D6441"/>
    <w:rPr>
      <w:b/>
      <w:bCs/>
      <w:kern w:val="2"/>
      <w:sz w:val="28"/>
      <w:szCs w:val="32"/>
    </w:rPr>
  </w:style>
  <w:style w:type="character" w:customStyle="1" w:styleId="Charfe">
    <w:name w:val="文档结构图 Char"/>
    <w:qFormat/>
    <w:rsid w:val="007D6441"/>
    <w:rPr>
      <w:kern w:val="2"/>
      <w:sz w:val="24"/>
      <w:szCs w:val="24"/>
      <w:shd w:val="clear" w:color="auto" w:fill="000080"/>
    </w:rPr>
  </w:style>
  <w:style w:type="character" w:customStyle="1" w:styleId="Charff">
    <w:name w:val="正文文本缩进 Char"/>
    <w:aliases w:val="正文文字缩进 Char"/>
    <w:qFormat/>
    <w:rsid w:val="007D6441"/>
    <w:rPr>
      <w:kern w:val="2"/>
      <w:sz w:val="21"/>
      <w:szCs w:val="24"/>
    </w:rPr>
  </w:style>
  <w:style w:type="character" w:customStyle="1" w:styleId="2Char8">
    <w:name w:val="标题 2 Char"/>
    <w:aliases w:val="节 Char1,标题 2 Char1 Char,标题 2 Char Char Char"/>
    <w:qFormat/>
    <w:rsid w:val="007D6441"/>
    <w:rPr>
      <w:rFonts w:ascii="Arial" w:eastAsia="黑体" w:hAnsi="Arial"/>
      <w:b/>
      <w:kern w:val="2"/>
      <w:sz w:val="28"/>
      <w:szCs w:val="24"/>
    </w:rPr>
  </w:style>
  <w:style w:type="character" w:customStyle="1" w:styleId="4Char1">
    <w:name w:val="标题 4 Char"/>
    <w:qFormat/>
    <w:rsid w:val="007D6441"/>
    <w:rPr>
      <w:rFonts w:ascii="Arial" w:eastAsia="黑体" w:hAnsi="Arial"/>
      <w:b/>
      <w:bCs/>
      <w:kern w:val="2"/>
      <w:sz w:val="24"/>
      <w:szCs w:val="28"/>
    </w:rPr>
  </w:style>
  <w:style w:type="character" w:customStyle="1" w:styleId="5Char">
    <w:name w:val="标题 5 Char"/>
    <w:qFormat/>
    <w:rsid w:val="007D6441"/>
    <w:rPr>
      <w:b/>
      <w:bCs/>
      <w:kern w:val="2"/>
      <w:sz w:val="24"/>
      <w:szCs w:val="28"/>
    </w:rPr>
  </w:style>
  <w:style w:type="character" w:customStyle="1" w:styleId="6Char">
    <w:name w:val="标题 6 Char"/>
    <w:qFormat/>
    <w:rsid w:val="007D6441"/>
    <w:rPr>
      <w:rFonts w:ascii="Arial" w:eastAsia="黑体" w:hAnsi="Arial"/>
      <w:b/>
      <w:bCs/>
      <w:kern w:val="2"/>
      <w:sz w:val="24"/>
      <w:szCs w:val="24"/>
    </w:rPr>
  </w:style>
  <w:style w:type="character" w:customStyle="1" w:styleId="7Char">
    <w:name w:val="标题 7 Char"/>
    <w:qFormat/>
    <w:rsid w:val="007D6441"/>
    <w:rPr>
      <w:b/>
      <w:bCs/>
      <w:kern w:val="2"/>
      <w:sz w:val="24"/>
      <w:szCs w:val="24"/>
    </w:rPr>
  </w:style>
  <w:style w:type="character" w:customStyle="1" w:styleId="8Char">
    <w:name w:val="标题 8 Char"/>
    <w:qFormat/>
    <w:rsid w:val="007D6441"/>
    <w:rPr>
      <w:rFonts w:ascii="Arial" w:eastAsia="黑体" w:hAnsi="Arial"/>
      <w:kern w:val="2"/>
      <w:sz w:val="24"/>
      <w:szCs w:val="24"/>
    </w:rPr>
  </w:style>
  <w:style w:type="character" w:customStyle="1" w:styleId="9Char">
    <w:name w:val="标题 9 Char"/>
    <w:qFormat/>
    <w:rsid w:val="007D6441"/>
    <w:rPr>
      <w:rFonts w:ascii="Arial" w:eastAsia="黑体" w:hAnsi="Arial"/>
      <w:kern w:val="2"/>
      <w:sz w:val="21"/>
      <w:szCs w:val="21"/>
    </w:rPr>
  </w:style>
  <w:style w:type="character" w:customStyle="1" w:styleId="Charff0">
    <w:name w:val="正文文本 Char"/>
    <w:aliases w:val="正文文字 Char Char Char Char Char Char Char Char Char Char Char Char Char Char Char Char Char Char Char Char,正文文字 Char"/>
    <w:qFormat/>
    <w:rsid w:val="007D6441"/>
    <w:rPr>
      <w:kern w:val="2"/>
      <w:sz w:val="24"/>
      <w:szCs w:val="24"/>
    </w:rPr>
  </w:style>
  <w:style w:type="character" w:customStyle="1" w:styleId="3Char3">
    <w:name w:val="正文文本 3 Char"/>
    <w:qFormat/>
    <w:rsid w:val="007D6441"/>
    <w:rPr>
      <w:kern w:val="2"/>
      <w:sz w:val="24"/>
      <w:szCs w:val="24"/>
    </w:rPr>
  </w:style>
  <w:style w:type="character" w:customStyle="1" w:styleId="2Char9">
    <w:name w:val="正文文本缩进 2 Char"/>
    <w:qFormat/>
    <w:rsid w:val="007D6441"/>
    <w:rPr>
      <w:spacing w:val="4"/>
      <w:kern w:val="2"/>
      <w:sz w:val="24"/>
      <w:szCs w:val="24"/>
    </w:rPr>
  </w:style>
  <w:style w:type="character" w:customStyle="1" w:styleId="3Char4">
    <w:name w:val="正文文本缩进 3 Char"/>
    <w:aliases w:val="正文文字缩进 3 Char"/>
    <w:qFormat/>
    <w:rsid w:val="007D6441"/>
    <w:rPr>
      <w:spacing w:val="-4"/>
      <w:kern w:val="2"/>
      <w:sz w:val="24"/>
      <w:szCs w:val="24"/>
    </w:rPr>
  </w:style>
  <w:style w:type="character" w:customStyle="1" w:styleId="Charff1">
    <w:name w:val="批注文字 Char"/>
    <w:qFormat/>
    <w:rsid w:val="007D6441"/>
    <w:rPr>
      <w:rFonts w:eastAsia="华文中宋"/>
      <w:kern w:val="2"/>
      <w:sz w:val="24"/>
      <w:szCs w:val="24"/>
    </w:rPr>
  </w:style>
  <w:style w:type="character" w:customStyle="1" w:styleId="Charff2">
    <w:name w:val="批注主题 Char"/>
    <w:qFormat/>
    <w:rsid w:val="007D6441"/>
    <w:rPr>
      <w:rFonts w:eastAsia="华文中宋"/>
      <w:b/>
      <w:bCs/>
      <w:kern w:val="2"/>
      <w:sz w:val="24"/>
      <w:szCs w:val="24"/>
    </w:rPr>
  </w:style>
  <w:style w:type="character" w:customStyle="1" w:styleId="Charff3">
    <w:name w:val="日期 Char"/>
    <w:qFormat/>
    <w:rsid w:val="007D6441"/>
    <w:rPr>
      <w:kern w:val="2"/>
      <w:sz w:val="24"/>
      <w:szCs w:val="24"/>
    </w:rPr>
  </w:style>
  <w:style w:type="character" w:customStyle="1" w:styleId="Charff4">
    <w:name w:val="正文首行缩进 Char"/>
    <w:aliases w:val=" Char3 Char"/>
    <w:qFormat/>
    <w:rsid w:val="007D6441"/>
    <w:rPr>
      <w:kern w:val="2"/>
      <w:sz w:val="21"/>
      <w:szCs w:val="24"/>
    </w:rPr>
  </w:style>
  <w:style w:type="character" w:customStyle="1" w:styleId="2Chara">
    <w:name w:val="正文文本 2 Char"/>
    <w:aliases w:val="正文文字 2 Char"/>
    <w:qFormat/>
    <w:rsid w:val="007D6441"/>
    <w:rPr>
      <w:kern w:val="2"/>
      <w:sz w:val="21"/>
      <w:szCs w:val="24"/>
    </w:rPr>
  </w:style>
  <w:style w:type="character" w:customStyle="1" w:styleId="Charff5">
    <w:name w:val="副标题 Char"/>
    <w:qFormat/>
    <w:rsid w:val="007D6441"/>
    <w:rPr>
      <w:b/>
      <w:sz w:val="24"/>
      <w:szCs w:val="24"/>
    </w:rPr>
  </w:style>
  <w:style w:type="character" w:customStyle="1" w:styleId="2f3">
    <w:name w:val="标题2"/>
    <w:basedOn w:val="a2"/>
    <w:qFormat/>
    <w:rsid w:val="007D6441"/>
  </w:style>
  <w:style w:type="character" w:customStyle="1" w:styleId="Charff6">
    <w:name w:val="标题 Char"/>
    <w:qFormat/>
    <w:rsid w:val="007D6441"/>
    <w:rPr>
      <w:rFonts w:ascii="Cambria" w:hAnsi="Cambria"/>
      <w:b/>
      <w:bCs/>
      <w:kern w:val="2"/>
      <w:sz w:val="32"/>
      <w:szCs w:val="32"/>
    </w:rPr>
  </w:style>
  <w:style w:type="character" w:customStyle="1" w:styleId="Charff7">
    <w:name w:val="引用 Char"/>
    <w:aliases w:val="List Paragraph Char"/>
    <w:qFormat/>
    <w:rsid w:val="007D6441"/>
    <w:rPr>
      <w:rFonts w:cs="Times New Roman"/>
      <w:iCs/>
      <w:color w:val="000000"/>
      <w:kern w:val="2"/>
      <w:sz w:val="21"/>
      <w:szCs w:val="22"/>
    </w:rPr>
  </w:style>
  <w:style w:type="character" w:customStyle="1" w:styleId="Charff8">
    <w:name w:val="注释标题 Char"/>
    <w:qFormat/>
    <w:rsid w:val="007D6441"/>
    <w:rPr>
      <w:rFonts w:cs="Times New Roman"/>
      <w:kern w:val="2"/>
      <w:sz w:val="21"/>
    </w:rPr>
  </w:style>
  <w:style w:type="character" w:customStyle="1" w:styleId="HTMLChar">
    <w:name w:val="HTML 预设格式 Char"/>
    <w:uiPriority w:val="99"/>
    <w:qFormat/>
    <w:rsid w:val="007D6441"/>
    <w:rPr>
      <w:rFonts w:ascii="Arial" w:hAnsi="Arial" w:cs="Arial"/>
      <w:sz w:val="24"/>
      <w:szCs w:val="24"/>
    </w:rPr>
  </w:style>
  <w:style w:type="character" w:customStyle="1" w:styleId="Charff9">
    <w:name w:val="无间隔 Char"/>
    <w:qFormat/>
    <w:locked/>
    <w:rsid w:val="007D6441"/>
    <w:rPr>
      <w:rFonts w:ascii="宋体" w:eastAsia="仿宋" w:hAnsi="宋体" w:cs="宋体"/>
      <w:color w:val="000000"/>
      <w:kern w:val="2"/>
      <w:sz w:val="21"/>
      <w:szCs w:val="21"/>
      <w:lang w:val="en-US" w:eastAsia="zh-CN" w:bidi="ar-SA"/>
    </w:rPr>
  </w:style>
  <w:style w:type="paragraph" w:customStyle="1" w:styleId="330">
    <w:name w:val="标题 33"/>
    <w:basedOn w:val="a0"/>
    <w:uiPriority w:val="1"/>
    <w:qFormat/>
    <w:rsid w:val="007D6441"/>
    <w:pPr>
      <w:autoSpaceDE w:val="0"/>
      <w:autoSpaceDN w:val="0"/>
      <w:spacing w:before="26"/>
      <w:ind w:left="108"/>
      <w:jc w:val="left"/>
      <w:outlineLvl w:val="3"/>
    </w:pPr>
    <w:rPr>
      <w:rFonts w:ascii="宋体" w:hAnsi="宋体" w:cs="宋体"/>
      <w:b/>
      <w:bCs/>
      <w:color w:val="auto"/>
      <w:kern w:val="0"/>
      <w:sz w:val="24"/>
      <w:lang w:eastAsia="en-US"/>
    </w:rPr>
  </w:style>
  <w:style w:type="character" w:customStyle="1" w:styleId="Charffa">
    <w:name w:val="普通(网站) Char"/>
    <w:locked/>
    <w:rsid w:val="007D6441"/>
    <w:rPr>
      <w:rFonts w:ascii="宋体" w:hAnsi="宋体" w:cs="宋体"/>
      <w:color w:val="000000"/>
      <w:sz w:val="24"/>
      <w:szCs w:val="24"/>
    </w:rPr>
  </w:style>
  <w:style w:type="paragraph" w:customStyle="1" w:styleId="CharChar1Char3">
    <w:name w:val="Char Char1 Char3"/>
    <w:basedOn w:val="a0"/>
    <w:qFormat/>
    <w:rsid w:val="007D6441"/>
    <w:pPr>
      <w:widowControl/>
      <w:spacing w:line="360" w:lineRule="auto"/>
      <w:ind w:firstLineChars="200" w:firstLine="200"/>
      <w:jc w:val="left"/>
    </w:pPr>
    <w:rPr>
      <w:rFonts w:ascii="宋体" w:hAnsi="宋体" w:cs="宋体"/>
      <w:kern w:val="0"/>
      <w:sz w:val="20"/>
    </w:rPr>
  </w:style>
  <w:style w:type="character" w:customStyle="1" w:styleId="08505Char">
    <w:name w:val="样式 样式 样式 首行缩进:  0.85 厘米 + 段前: 0.5 行 + 宋体 Char"/>
    <w:link w:val="085050"/>
    <w:rsid w:val="00DD4CAB"/>
    <w:rPr>
      <w:rFonts w:ascii="宋体" w:hAnsi="宋体"/>
      <w:kern w:val="2"/>
      <w:sz w:val="24"/>
    </w:rPr>
  </w:style>
  <w:style w:type="paragraph" w:customStyle="1" w:styleId="085050">
    <w:name w:val="样式 样式 样式 首行缩进:  0.85 厘米 + 段前: 0.5 行 + 宋体"/>
    <w:basedOn w:val="08505"/>
    <w:link w:val="08505Char"/>
    <w:rsid w:val="00DD4CAB"/>
    <w:rPr>
      <w:rFonts w:ascii="宋体" w:hAnsi="宋体" w:cs="Calibri"/>
    </w:rPr>
  </w:style>
  <w:style w:type="paragraph" w:customStyle="1" w:styleId="CharCharCharChar0">
    <w:name w:val="首行缩进两字 Char Char Char Char"/>
    <w:basedOn w:val="a0"/>
    <w:rsid w:val="00852DCA"/>
    <w:pPr>
      <w:ind w:firstLineChars="200" w:firstLine="549"/>
      <w:jc w:val="left"/>
    </w:pPr>
    <w:rPr>
      <w:rFonts w:ascii="宋体" w:hAnsi="宋体" w:cs="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497">
      <w:bodyDiv w:val="1"/>
      <w:marLeft w:val="0"/>
      <w:marRight w:val="0"/>
      <w:marTop w:val="0"/>
      <w:marBottom w:val="0"/>
      <w:divBdr>
        <w:top w:val="none" w:sz="0" w:space="0" w:color="auto"/>
        <w:left w:val="none" w:sz="0" w:space="0" w:color="auto"/>
        <w:bottom w:val="none" w:sz="0" w:space="0" w:color="auto"/>
        <w:right w:val="none" w:sz="0" w:space="0" w:color="auto"/>
      </w:divBdr>
    </w:div>
    <w:div w:id="11223589">
      <w:bodyDiv w:val="1"/>
      <w:marLeft w:val="0"/>
      <w:marRight w:val="0"/>
      <w:marTop w:val="0"/>
      <w:marBottom w:val="0"/>
      <w:divBdr>
        <w:top w:val="none" w:sz="0" w:space="0" w:color="auto"/>
        <w:left w:val="none" w:sz="0" w:space="0" w:color="auto"/>
        <w:bottom w:val="none" w:sz="0" w:space="0" w:color="auto"/>
        <w:right w:val="none" w:sz="0" w:space="0" w:color="auto"/>
      </w:divBdr>
      <w:divsChild>
        <w:div w:id="1389838220">
          <w:marLeft w:val="0"/>
          <w:marRight w:val="0"/>
          <w:marTop w:val="0"/>
          <w:marBottom w:val="180"/>
          <w:divBdr>
            <w:top w:val="none" w:sz="0" w:space="0" w:color="auto"/>
            <w:left w:val="none" w:sz="0" w:space="0" w:color="auto"/>
            <w:bottom w:val="none" w:sz="0" w:space="0" w:color="auto"/>
            <w:right w:val="none" w:sz="0" w:space="0" w:color="auto"/>
          </w:divBdr>
        </w:div>
        <w:div w:id="1837719792">
          <w:marLeft w:val="0"/>
          <w:marRight w:val="0"/>
          <w:marTop w:val="0"/>
          <w:marBottom w:val="180"/>
          <w:divBdr>
            <w:top w:val="none" w:sz="0" w:space="0" w:color="auto"/>
            <w:left w:val="none" w:sz="0" w:space="0" w:color="auto"/>
            <w:bottom w:val="none" w:sz="0" w:space="0" w:color="auto"/>
            <w:right w:val="none" w:sz="0" w:space="0" w:color="auto"/>
          </w:divBdr>
        </w:div>
        <w:div w:id="1990598704">
          <w:marLeft w:val="0"/>
          <w:marRight w:val="0"/>
          <w:marTop w:val="0"/>
          <w:marBottom w:val="180"/>
          <w:divBdr>
            <w:top w:val="none" w:sz="0" w:space="0" w:color="auto"/>
            <w:left w:val="none" w:sz="0" w:space="0" w:color="auto"/>
            <w:bottom w:val="none" w:sz="0" w:space="0" w:color="auto"/>
            <w:right w:val="none" w:sz="0" w:space="0" w:color="auto"/>
          </w:divBdr>
        </w:div>
      </w:divsChild>
    </w:div>
    <w:div w:id="26033832">
      <w:bodyDiv w:val="1"/>
      <w:marLeft w:val="0"/>
      <w:marRight w:val="0"/>
      <w:marTop w:val="0"/>
      <w:marBottom w:val="0"/>
      <w:divBdr>
        <w:top w:val="none" w:sz="0" w:space="0" w:color="auto"/>
        <w:left w:val="none" w:sz="0" w:space="0" w:color="auto"/>
        <w:bottom w:val="none" w:sz="0" w:space="0" w:color="auto"/>
        <w:right w:val="none" w:sz="0" w:space="0" w:color="auto"/>
      </w:divBdr>
    </w:div>
    <w:div w:id="42949110">
      <w:bodyDiv w:val="1"/>
      <w:marLeft w:val="0"/>
      <w:marRight w:val="0"/>
      <w:marTop w:val="0"/>
      <w:marBottom w:val="0"/>
      <w:divBdr>
        <w:top w:val="none" w:sz="0" w:space="0" w:color="auto"/>
        <w:left w:val="none" w:sz="0" w:space="0" w:color="auto"/>
        <w:bottom w:val="none" w:sz="0" w:space="0" w:color="auto"/>
        <w:right w:val="none" w:sz="0" w:space="0" w:color="auto"/>
      </w:divBdr>
      <w:divsChild>
        <w:div w:id="1478838506">
          <w:marLeft w:val="0"/>
          <w:marRight w:val="0"/>
          <w:marTop w:val="0"/>
          <w:marBottom w:val="225"/>
          <w:divBdr>
            <w:top w:val="none" w:sz="0" w:space="0" w:color="auto"/>
            <w:left w:val="none" w:sz="0" w:space="0" w:color="auto"/>
            <w:bottom w:val="none" w:sz="0" w:space="0" w:color="auto"/>
            <w:right w:val="none" w:sz="0" w:space="0" w:color="auto"/>
          </w:divBdr>
        </w:div>
        <w:div w:id="1724982078">
          <w:marLeft w:val="0"/>
          <w:marRight w:val="0"/>
          <w:marTop w:val="0"/>
          <w:marBottom w:val="225"/>
          <w:divBdr>
            <w:top w:val="none" w:sz="0" w:space="0" w:color="auto"/>
            <w:left w:val="none" w:sz="0" w:space="0" w:color="auto"/>
            <w:bottom w:val="none" w:sz="0" w:space="0" w:color="auto"/>
            <w:right w:val="none" w:sz="0" w:space="0" w:color="auto"/>
          </w:divBdr>
        </w:div>
      </w:divsChild>
    </w:div>
    <w:div w:id="46993053">
      <w:bodyDiv w:val="1"/>
      <w:marLeft w:val="0"/>
      <w:marRight w:val="0"/>
      <w:marTop w:val="0"/>
      <w:marBottom w:val="0"/>
      <w:divBdr>
        <w:top w:val="none" w:sz="0" w:space="0" w:color="auto"/>
        <w:left w:val="none" w:sz="0" w:space="0" w:color="auto"/>
        <w:bottom w:val="none" w:sz="0" w:space="0" w:color="auto"/>
        <w:right w:val="none" w:sz="0" w:space="0" w:color="auto"/>
      </w:divBdr>
    </w:div>
    <w:div w:id="48649780">
      <w:bodyDiv w:val="1"/>
      <w:marLeft w:val="0"/>
      <w:marRight w:val="0"/>
      <w:marTop w:val="0"/>
      <w:marBottom w:val="0"/>
      <w:divBdr>
        <w:top w:val="none" w:sz="0" w:space="0" w:color="auto"/>
        <w:left w:val="none" w:sz="0" w:space="0" w:color="auto"/>
        <w:bottom w:val="none" w:sz="0" w:space="0" w:color="auto"/>
        <w:right w:val="none" w:sz="0" w:space="0" w:color="auto"/>
      </w:divBdr>
      <w:divsChild>
        <w:div w:id="689719464">
          <w:marLeft w:val="0"/>
          <w:marRight w:val="0"/>
          <w:marTop w:val="0"/>
          <w:marBottom w:val="0"/>
          <w:divBdr>
            <w:top w:val="none" w:sz="0" w:space="0" w:color="auto"/>
            <w:left w:val="none" w:sz="0" w:space="0" w:color="auto"/>
            <w:bottom w:val="none" w:sz="0" w:space="0" w:color="auto"/>
            <w:right w:val="none" w:sz="0" w:space="0" w:color="auto"/>
          </w:divBdr>
          <w:divsChild>
            <w:div w:id="1540165284">
              <w:marLeft w:val="0"/>
              <w:marRight w:val="0"/>
              <w:marTop w:val="0"/>
              <w:marBottom w:val="0"/>
              <w:divBdr>
                <w:top w:val="none" w:sz="0" w:space="0" w:color="auto"/>
                <w:left w:val="none" w:sz="0" w:space="0" w:color="auto"/>
                <w:bottom w:val="none" w:sz="0" w:space="0" w:color="auto"/>
                <w:right w:val="none" w:sz="0" w:space="0" w:color="auto"/>
              </w:divBdr>
              <w:divsChild>
                <w:div w:id="801967147">
                  <w:marLeft w:val="0"/>
                  <w:marRight w:val="0"/>
                  <w:marTop w:val="0"/>
                  <w:marBottom w:val="0"/>
                  <w:divBdr>
                    <w:top w:val="none" w:sz="0" w:space="0" w:color="auto"/>
                    <w:left w:val="none" w:sz="0" w:space="0" w:color="auto"/>
                    <w:bottom w:val="none" w:sz="0" w:space="0" w:color="auto"/>
                    <w:right w:val="none" w:sz="0" w:space="0" w:color="auto"/>
                  </w:divBdr>
                  <w:divsChild>
                    <w:div w:id="1570000205">
                      <w:marLeft w:val="0"/>
                      <w:marRight w:val="0"/>
                      <w:marTop w:val="0"/>
                      <w:marBottom w:val="0"/>
                      <w:divBdr>
                        <w:top w:val="none" w:sz="0" w:space="0" w:color="auto"/>
                        <w:left w:val="none" w:sz="0" w:space="0" w:color="auto"/>
                        <w:bottom w:val="none" w:sz="0" w:space="0" w:color="auto"/>
                        <w:right w:val="none" w:sz="0" w:space="0" w:color="auto"/>
                      </w:divBdr>
                      <w:divsChild>
                        <w:div w:id="715542052">
                          <w:marLeft w:val="0"/>
                          <w:marRight w:val="0"/>
                          <w:marTop w:val="0"/>
                          <w:marBottom w:val="0"/>
                          <w:divBdr>
                            <w:top w:val="none" w:sz="0" w:space="0" w:color="auto"/>
                            <w:left w:val="none" w:sz="0" w:space="0" w:color="auto"/>
                            <w:bottom w:val="none" w:sz="0" w:space="0" w:color="auto"/>
                            <w:right w:val="none" w:sz="0" w:space="0" w:color="auto"/>
                          </w:divBdr>
                          <w:divsChild>
                            <w:div w:id="12345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94999">
      <w:bodyDiv w:val="1"/>
      <w:marLeft w:val="0"/>
      <w:marRight w:val="0"/>
      <w:marTop w:val="0"/>
      <w:marBottom w:val="0"/>
      <w:divBdr>
        <w:top w:val="none" w:sz="0" w:space="0" w:color="auto"/>
        <w:left w:val="none" w:sz="0" w:space="0" w:color="auto"/>
        <w:bottom w:val="none" w:sz="0" w:space="0" w:color="auto"/>
        <w:right w:val="none" w:sz="0" w:space="0" w:color="auto"/>
      </w:divBdr>
    </w:div>
    <w:div w:id="48699801">
      <w:bodyDiv w:val="1"/>
      <w:marLeft w:val="0"/>
      <w:marRight w:val="0"/>
      <w:marTop w:val="0"/>
      <w:marBottom w:val="0"/>
      <w:divBdr>
        <w:top w:val="none" w:sz="0" w:space="0" w:color="auto"/>
        <w:left w:val="none" w:sz="0" w:space="0" w:color="auto"/>
        <w:bottom w:val="none" w:sz="0" w:space="0" w:color="auto"/>
        <w:right w:val="none" w:sz="0" w:space="0" w:color="auto"/>
      </w:divBdr>
    </w:div>
    <w:div w:id="60255469">
      <w:bodyDiv w:val="1"/>
      <w:marLeft w:val="0"/>
      <w:marRight w:val="0"/>
      <w:marTop w:val="0"/>
      <w:marBottom w:val="0"/>
      <w:divBdr>
        <w:top w:val="none" w:sz="0" w:space="0" w:color="auto"/>
        <w:left w:val="none" w:sz="0" w:space="0" w:color="auto"/>
        <w:bottom w:val="none" w:sz="0" w:space="0" w:color="auto"/>
        <w:right w:val="none" w:sz="0" w:space="0" w:color="auto"/>
      </w:divBdr>
      <w:divsChild>
        <w:div w:id="1857770258">
          <w:marLeft w:val="0"/>
          <w:marRight w:val="0"/>
          <w:marTop w:val="0"/>
          <w:marBottom w:val="0"/>
          <w:divBdr>
            <w:top w:val="none" w:sz="0" w:space="0" w:color="auto"/>
            <w:left w:val="none" w:sz="0" w:space="0" w:color="auto"/>
            <w:bottom w:val="none" w:sz="0" w:space="0" w:color="auto"/>
            <w:right w:val="none" w:sz="0" w:space="0" w:color="auto"/>
          </w:divBdr>
        </w:div>
        <w:div w:id="2076274775">
          <w:marLeft w:val="0"/>
          <w:marRight w:val="0"/>
          <w:marTop w:val="0"/>
          <w:marBottom w:val="0"/>
          <w:divBdr>
            <w:top w:val="none" w:sz="0" w:space="0" w:color="auto"/>
            <w:left w:val="none" w:sz="0" w:space="0" w:color="auto"/>
            <w:bottom w:val="none" w:sz="0" w:space="0" w:color="auto"/>
            <w:right w:val="none" w:sz="0" w:space="0" w:color="auto"/>
          </w:divBdr>
        </w:div>
      </w:divsChild>
    </w:div>
    <w:div w:id="65493369">
      <w:bodyDiv w:val="1"/>
      <w:marLeft w:val="0"/>
      <w:marRight w:val="0"/>
      <w:marTop w:val="0"/>
      <w:marBottom w:val="0"/>
      <w:divBdr>
        <w:top w:val="none" w:sz="0" w:space="0" w:color="auto"/>
        <w:left w:val="none" w:sz="0" w:space="0" w:color="auto"/>
        <w:bottom w:val="none" w:sz="0" w:space="0" w:color="auto"/>
        <w:right w:val="none" w:sz="0" w:space="0" w:color="auto"/>
      </w:divBdr>
    </w:div>
    <w:div w:id="80682031">
      <w:bodyDiv w:val="1"/>
      <w:marLeft w:val="0"/>
      <w:marRight w:val="0"/>
      <w:marTop w:val="0"/>
      <w:marBottom w:val="0"/>
      <w:divBdr>
        <w:top w:val="none" w:sz="0" w:space="0" w:color="auto"/>
        <w:left w:val="none" w:sz="0" w:space="0" w:color="auto"/>
        <w:bottom w:val="none" w:sz="0" w:space="0" w:color="auto"/>
        <w:right w:val="none" w:sz="0" w:space="0" w:color="auto"/>
      </w:divBdr>
    </w:div>
    <w:div w:id="81609509">
      <w:bodyDiv w:val="1"/>
      <w:marLeft w:val="0"/>
      <w:marRight w:val="0"/>
      <w:marTop w:val="0"/>
      <w:marBottom w:val="0"/>
      <w:divBdr>
        <w:top w:val="none" w:sz="0" w:space="0" w:color="auto"/>
        <w:left w:val="none" w:sz="0" w:space="0" w:color="auto"/>
        <w:bottom w:val="none" w:sz="0" w:space="0" w:color="auto"/>
        <w:right w:val="none" w:sz="0" w:space="0" w:color="auto"/>
      </w:divBdr>
    </w:div>
    <w:div w:id="82073305">
      <w:bodyDiv w:val="1"/>
      <w:marLeft w:val="0"/>
      <w:marRight w:val="0"/>
      <w:marTop w:val="0"/>
      <w:marBottom w:val="0"/>
      <w:divBdr>
        <w:top w:val="none" w:sz="0" w:space="0" w:color="auto"/>
        <w:left w:val="none" w:sz="0" w:space="0" w:color="auto"/>
        <w:bottom w:val="none" w:sz="0" w:space="0" w:color="auto"/>
        <w:right w:val="none" w:sz="0" w:space="0" w:color="auto"/>
      </w:divBdr>
    </w:div>
    <w:div w:id="85229421">
      <w:bodyDiv w:val="1"/>
      <w:marLeft w:val="0"/>
      <w:marRight w:val="0"/>
      <w:marTop w:val="0"/>
      <w:marBottom w:val="0"/>
      <w:divBdr>
        <w:top w:val="none" w:sz="0" w:space="0" w:color="auto"/>
        <w:left w:val="none" w:sz="0" w:space="0" w:color="auto"/>
        <w:bottom w:val="none" w:sz="0" w:space="0" w:color="auto"/>
        <w:right w:val="none" w:sz="0" w:space="0" w:color="auto"/>
      </w:divBdr>
    </w:div>
    <w:div w:id="87313319">
      <w:bodyDiv w:val="1"/>
      <w:marLeft w:val="0"/>
      <w:marRight w:val="0"/>
      <w:marTop w:val="0"/>
      <w:marBottom w:val="0"/>
      <w:divBdr>
        <w:top w:val="none" w:sz="0" w:space="0" w:color="auto"/>
        <w:left w:val="none" w:sz="0" w:space="0" w:color="auto"/>
        <w:bottom w:val="none" w:sz="0" w:space="0" w:color="auto"/>
        <w:right w:val="none" w:sz="0" w:space="0" w:color="auto"/>
      </w:divBdr>
    </w:div>
    <w:div w:id="96290410">
      <w:bodyDiv w:val="1"/>
      <w:marLeft w:val="0"/>
      <w:marRight w:val="0"/>
      <w:marTop w:val="0"/>
      <w:marBottom w:val="0"/>
      <w:divBdr>
        <w:top w:val="none" w:sz="0" w:space="0" w:color="auto"/>
        <w:left w:val="none" w:sz="0" w:space="0" w:color="auto"/>
        <w:bottom w:val="none" w:sz="0" w:space="0" w:color="auto"/>
        <w:right w:val="none" w:sz="0" w:space="0" w:color="auto"/>
      </w:divBdr>
    </w:div>
    <w:div w:id="96483674">
      <w:bodyDiv w:val="1"/>
      <w:marLeft w:val="0"/>
      <w:marRight w:val="0"/>
      <w:marTop w:val="0"/>
      <w:marBottom w:val="0"/>
      <w:divBdr>
        <w:top w:val="none" w:sz="0" w:space="0" w:color="auto"/>
        <w:left w:val="none" w:sz="0" w:space="0" w:color="auto"/>
        <w:bottom w:val="none" w:sz="0" w:space="0" w:color="auto"/>
        <w:right w:val="none" w:sz="0" w:space="0" w:color="auto"/>
      </w:divBdr>
    </w:div>
    <w:div w:id="98452515">
      <w:bodyDiv w:val="1"/>
      <w:marLeft w:val="0"/>
      <w:marRight w:val="0"/>
      <w:marTop w:val="0"/>
      <w:marBottom w:val="0"/>
      <w:divBdr>
        <w:top w:val="none" w:sz="0" w:space="0" w:color="auto"/>
        <w:left w:val="none" w:sz="0" w:space="0" w:color="auto"/>
        <w:bottom w:val="none" w:sz="0" w:space="0" w:color="auto"/>
        <w:right w:val="none" w:sz="0" w:space="0" w:color="auto"/>
      </w:divBdr>
    </w:div>
    <w:div w:id="101191309">
      <w:bodyDiv w:val="1"/>
      <w:marLeft w:val="0"/>
      <w:marRight w:val="0"/>
      <w:marTop w:val="0"/>
      <w:marBottom w:val="0"/>
      <w:divBdr>
        <w:top w:val="none" w:sz="0" w:space="0" w:color="auto"/>
        <w:left w:val="none" w:sz="0" w:space="0" w:color="auto"/>
        <w:bottom w:val="none" w:sz="0" w:space="0" w:color="auto"/>
        <w:right w:val="none" w:sz="0" w:space="0" w:color="auto"/>
      </w:divBdr>
    </w:div>
    <w:div w:id="111634521">
      <w:bodyDiv w:val="1"/>
      <w:marLeft w:val="0"/>
      <w:marRight w:val="0"/>
      <w:marTop w:val="0"/>
      <w:marBottom w:val="0"/>
      <w:divBdr>
        <w:top w:val="none" w:sz="0" w:space="0" w:color="auto"/>
        <w:left w:val="none" w:sz="0" w:space="0" w:color="auto"/>
        <w:bottom w:val="none" w:sz="0" w:space="0" w:color="auto"/>
        <w:right w:val="none" w:sz="0" w:space="0" w:color="auto"/>
      </w:divBdr>
      <w:divsChild>
        <w:div w:id="1021904196">
          <w:marLeft w:val="0"/>
          <w:marRight w:val="0"/>
          <w:marTop w:val="0"/>
          <w:marBottom w:val="0"/>
          <w:divBdr>
            <w:top w:val="none" w:sz="0" w:space="0" w:color="auto"/>
            <w:left w:val="none" w:sz="0" w:space="0" w:color="auto"/>
            <w:bottom w:val="none" w:sz="0" w:space="0" w:color="auto"/>
            <w:right w:val="none" w:sz="0" w:space="0" w:color="auto"/>
          </w:divBdr>
          <w:divsChild>
            <w:div w:id="1132597000">
              <w:marLeft w:val="0"/>
              <w:marRight w:val="0"/>
              <w:marTop w:val="0"/>
              <w:marBottom w:val="0"/>
              <w:divBdr>
                <w:top w:val="none" w:sz="0" w:space="0" w:color="auto"/>
                <w:left w:val="none" w:sz="0" w:space="0" w:color="auto"/>
                <w:bottom w:val="none" w:sz="0" w:space="0" w:color="auto"/>
                <w:right w:val="none" w:sz="0" w:space="0" w:color="auto"/>
              </w:divBdr>
              <w:divsChild>
                <w:div w:id="2095200195">
                  <w:marLeft w:val="0"/>
                  <w:marRight w:val="0"/>
                  <w:marTop w:val="0"/>
                  <w:marBottom w:val="0"/>
                  <w:divBdr>
                    <w:top w:val="none" w:sz="0" w:space="0" w:color="auto"/>
                    <w:left w:val="none" w:sz="0" w:space="0" w:color="auto"/>
                    <w:bottom w:val="none" w:sz="0" w:space="0" w:color="auto"/>
                    <w:right w:val="none" w:sz="0" w:space="0" w:color="auto"/>
                  </w:divBdr>
                  <w:divsChild>
                    <w:div w:id="1785732124">
                      <w:marLeft w:val="0"/>
                      <w:marRight w:val="0"/>
                      <w:marTop w:val="0"/>
                      <w:marBottom w:val="0"/>
                      <w:divBdr>
                        <w:top w:val="none" w:sz="0" w:space="0" w:color="auto"/>
                        <w:left w:val="none" w:sz="0" w:space="0" w:color="auto"/>
                        <w:bottom w:val="none" w:sz="0" w:space="0" w:color="auto"/>
                        <w:right w:val="none" w:sz="0" w:space="0" w:color="auto"/>
                      </w:divBdr>
                      <w:divsChild>
                        <w:div w:id="708991048">
                          <w:marLeft w:val="0"/>
                          <w:marRight w:val="0"/>
                          <w:marTop w:val="0"/>
                          <w:marBottom w:val="0"/>
                          <w:divBdr>
                            <w:top w:val="none" w:sz="0" w:space="0" w:color="auto"/>
                            <w:left w:val="none" w:sz="0" w:space="0" w:color="auto"/>
                            <w:bottom w:val="none" w:sz="0" w:space="0" w:color="auto"/>
                            <w:right w:val="none" w:sz="0" w:space="0" w:color="auto"/>
                          </w:divBdr>
                          <w:divsChild>
                            <w:div w:id="12666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97027">
      <w:bodyDiv w:val="1"/>
      <w:marLeft w:val="0"/>
      <w:marRight w:val="0"/>
      <w:marTop w:val="0"/>
      <w:marBottom w:val="0"/>
      <w:divBdr>
        <w:top w:val="none" w:sz="0" w:space="0" w:color="auto"/>
        <w:left w:val="none" w:sz="0" w:space="0" w:color="auto"/>
        <w:bottom w:val="none" w:sz="0" w:space="0" w:color="auto"/>
        <w:right w:val="none" w:sz="0" w:space="0" w:color="auto"/>
      </w:divBdr>
    </w:div>
    <w:div w:id="130560330">
      <w:bodyDiv w:val="1"/>
      <w:marLeft w:val="0"/>
      <w:marRight w:val="0"/>
      <w:marTop w:val="0"/>
      <w:marBottom w:val="0"/>
      <w:divBdr>
        <w:top w:val="none" w:sz="0" w:space="0" w:color="auto"/>
        <w:left w:val="none" w:sz="0" w:space="0" w:color="auto"/>
        <w:bottom w:val="none" w:sz="0" w:space="0" w:color="auto"/>
        <w:right w:val="none" w:sz="0" w:space="0" w:color="auto"/>
      </w:divBdr>
      <w:divsChild>
        <w:div w:id="1747537165">
          <w:marLeft w:val="0"/>
          <w:marRight w:val="0"/>
          <w:marTop w:val="0"/>
          <w:marBottom w:val="36"/>
          <w:divBdr>
            <w:top w:val="single" w:sz="4" w:space="0" w:color="E0E0E0"/>
            <w:left w:val="single" w:sz="4" w:space="0" w:color="E0E0E0"/>
            <w:bottom w:val="single" w:sz="4" w:space="0" w:color="E0E0E0"/>
            <w:right w:val="single" w:sz="4" w:space="0" w:color="E0E0E0"/>
          </w:divBdr>
        </w:div>
      </w:divsChild>
    </w:div>
    <w:div w:id="144323155">
      <w:bodyDiv w:val="1"/>
      <w:marLeft w:val="0"/>
      <w:marRight w:val="0"/>
      <w:marTop w:val="0"/>
      <w:marBottom w:val="0"/>
      <w:divBdr>
        <w:top w:val="none" w:sz="0" w:space="0" w:color="auto"/>
        <w:left w:val="none" w:sz="0" w:space="0" w:color="auto"/>
        <w:bottom w:val="none" w:sz="0" w:space="0" w:color="auto"/>
        <w:right w:val="none" w:sz="0" w:space="0" w:color="auto"/>
      </w:divBdr>
    </w:div>
    <w:div w:id="150875435">
      <w:bodyDiv w:val="1"/>
      <w:marLeft w:val="0"/>
      <w:marRight w:val="0"/>
      <w:marTop w:val="0"/>
      <w:marBottom w:val="0"/>
      <w:divBdr>
        <w:top w:val="none" w:sz="0" w:space="0" w:color="auto"/>
        <w:left w:val="none" w:sz="0" w:space="0" w:color="auto"/>
        <w:bottom w:val="none" w:sz="0" w:space="0" w:color="auto"/>
        <w:right w:val="none" w:sz="0" w:space="0" w:color="auto"/>
      </w:divBdr>
    </w:div>
    <w:div w:id="158890268">
      <w:bodyDiv w:val="1"/>
      <w:marLeft w:val="0"/>
      <w:marRight w:val="0"/>
      <w:marTop w:val="0"/>
      <w:marBottom w:val="0"/>
      <w:divBdr>
        <w:top w:val="none" w:sz="0" w:space="0" w:color="auto"/>
        <w:left w:val="none" w:sz="0" w:space="0" w:color="auto"/>
        <w:bottom w:val="none" w:sz="0" w:space="0" w:color="auto"/>
        <w:right w:val="none" w:sz="0" w:space="0" w:color="auto"/>
      </w:divBdr>
      <w:divsChild>
        <w:div w:id="610360060">
          <w:marLeft w:val="0"/>
          <w:marRight w:val="0"/>
          <w:marTop w:val="0"/>
          <w:marBottom w:val="0"/>
          <w:divBdr>
            <w:top w:val="none" w:sz="0" w:space="0" w:color="auto"/>
            <w:left w:val="none" w:sz="0" w:space="0" w:color="auto"/>
            <w:bottom w:val="none" w:sz="0" w:space="0" w:color="auto"/>
            <w:right w:val="none" w:sz="0" w:space="0" w:color="auto"/>
          </w:divBdr>
        </w:div>
      </w:divsChild>
    </w:div>
    <w:div w:id="162165439">
      <w:bodyDiv w:val="1"/>
      <w:marLeft w:val="0"/>
      <w:marRight w:val="0"/>
      <w:marTop w:val="0"/>
      <w:marBottom w:val="0"/>
      <w:divBdr>
        <w:top w:val="none" w:sz="0" w:space="0" w:color="auto"/>
        <w:left w:val="none" w:sz="0" w:space="0" w:color="auto"/>
        <w:bottom w:val="none" w:sz="0" w:space="0" w:color="auto"/>
        <w:right w:val="none" w:sz="0" w:space="0" w:color="auto"/>
      </w:divBdr>
    </w:div>
    <w:div w:id="179315178">
      <w:bodyDiv w:val="1"/>
      <w:marLeft w:val="0"/>
      <w:marRight w:val="0"/>
      <w:marTop w:val="0"/>
      <w:marBottom w:val="0"/>
      <w:divBdr>
        <w:top w:val="none" w:sz="0" w:space="0" w:color="auto"/>
        <w:left w:val="none" w:sz="0" w:space="0" w:color="auto"/>
        <w:bottom w:val="none" w:sz="0" w:space="0" w:color="auto"/>
        <w:right w:val="none" w:sz="0" w:space="0" w:color="auto"/>
      </w:divBdr>
      <w:divsChild>
        <w:div w:id="1019114698">
          <w:marLeft w:val="0"/>
          <w:marRight w:val="0"/>
          <w:marTop w:val="0"/>
          <w:marBottom w:val="0"/>
          <w:divBdr>
            <w:top w:val="none" w:sz="0" w:space="0" w:color="auto"/>
            <w:left w:val="none" w:sz="0" w:space="0" w:color="auto"/>
            <w:bottom w:val="none" w:sz="0" w:space="0" w:color="auto"/>
            <w:right w:val="none" w:sz="0" w:space="0" w:color="auto"/>
          </w:divBdr>
        </w:div>
      </w:divsChild>
    </w:div>
    <w:div w:id="186793175">
      <w:bodyDiv w:val="1"/>
      <w:marLeft w:val="0"/>
      <w:marRight w:val="0"/>
      <w:marTop w:val="0"/>
      <w:marBottom w:val="0"/>
      <w:divBdr>
        <w:top w:val="none" w:sz="0" w:space="0" w:color="auto"/>
        <w:left w:val="none" w:sz="0" w:space="0" w:color="auto"/>
        <w:bottom w:val="none" w:sz="0" w:space="0" w:color="auto"/>
        <w:right w:val="none" w:sz="0" w:space="0" w:color="auto"/>
      </w:divBdr>
    </w:div>
    <w:div w:id="188880544">
      <w:bodyDiv w:val="1"/>
      <w:marLeft w:val="0"/>
      <w:marRight w:val="0"/>
      <w:marTop w:val="0"/>
      <w:marBottom w:val="0"/>
      <w:divBdr>
        <w:top w:val="none" w:sz="0" w:space="0" w:color="auto"/>
        <w:left w:val="none" w:sz="0" w:space="0" w:color="auto"/>
        <w:bottom w:val="none" w:sz="0" w:space="0" w:color="auto"/>
        <w:right w:val="none" w:sz="0" w:space="0" w:color="auto"/>
      </w:divBdr>
    </w:div>
    <w:div w:id="192116053">
      <w:bodyDiv w:val="1"/>
      <w:marLeft w:val="0"/>
      <w:marRight w:val="0"/>
      <w:marTop w:val="0"/>
      <w:marBottom w:val="0"/>
      <w:divBdr>
        <w:top w:val="none" w:sz="0" w:space="0" w:color="auto"/>
        <w:left w:val="none" w:sz="0" w:space="0" w:color="auto"/>
        <w:bottom w:val="none" w:sz="0" w:space="0" w:color="auto"/>
        <w:right w:val="none" w:sz="0" w:space="0" w:color="auto"/>
      </w:divBdr>
    </w:div>
    <w:div w:id="206333420">
      <w:bodyDiv w:val="1"/>
      <w:marLeft w:val="0"/>
      <w:marRight w:val="0"/>
      <w:marTop w:val="0"/>
      <w:marBottom w:val="0"/>
      <w:divBdr>
        <w:top w:val="none" w:sz="0" w:space="0" w:color="auto"/>
        <w:left w:val="none" w:sz="0" w:space="0" w:color="auto"/>
        <w:bottom w:val="none" w:sz="0" w:space="0" w:color="auto"/>
        <w:right w:val="none" w:sz="0" w:space="0" w:color="auto"/>
      </w:divBdr>
    </w:div>
    <w:div w:id="212620632">
      <w:bodyDiv w:val="1"/>
      <w:marLeft w:val="0"/>
      <w:marRight w:val="0"/>
      <w:marTop w:val="0"/>
      <w:marBottom w:val="0"/>
      <w:divBdr>
        <w:top w:val="none" w:sz="0" w:space="0" w:color="auto"/>
        <w:left w:val="none" w:sz="0" w:space="0" w:color="auto"/>
        <w:bottom w:val="none" w:sz="0" w:space="0" w:color="auto"/>
        <w:right w:val="none" w:sz="0" w:space="0" w:color="auto"/>
      </w:divBdr>
    </w:div>
    <w:div w:id="213851983">
      <w:bodyDiv w:val="1"/>
      <w:marLeft w:val="0"/>
      <w:marRight w:val="0"/>
      <w:marTop w:val="0"/>
      <w:marBottom w:val="0"/>
      <w:divBdr>
        <w:top w:val="none" w:sz="0" w:space="0" w:color="auto"/>
        <w:left w:val="none" w:sz="0" w:space="0" w:color="auto"/>
        <w:bottom w:val="none" w:sz="0" w:space="0" w:color="auto"/>
        <w:right w:val="none" w:sz="0" w:space="0" w:color="auto"/>
      </w:divBdr>
    </w:div>
    <w:div w:id="220139414">
      <w:bodyDiv w:val="1"/>
      <w:marLeft w:val="0"/>
      <w:marRight w:val="0"/>
      <w:marTop w:val="0"/>
      <w:marBottom w:val="0"/>
      <w:divBdr>
        <w:top w:val="none" w:sz="0" w:space="0" w:color="auto"/>
        <w:left w:val="none" w:sz="0" w:space="0" w:color="auto"/>
        <w:bottom w:val="none" w:sz="0" w:space="0" w:color="auto"/>
        <w:right w:val="none" w:sz="0" w:space="0" w:color="auto"/>
      </w:divBdr>
    </w:div>
    <w:div w:id="228350084">
      <w:bodyDiv w:val="1"/>
      <w:marLeft w:val="0"/>
      <w:marRight w:val="0"/>
      <w:marTop w:val="0"/>
      <w:marBottom w:val="0"/>
      <w:divBdr>
        <w:top w:val="none" w:sz="0" w:space="0" w:color="auto"/>
        <w:left w:val="none" w:sz="0" w:space="0" w:color="auto"/>
        <w:bottom w:val="none" w:sz="0" w:space="0" w:color="auto"/>
        <w:right w:val="none" w:sz="0" w:space="0" w:color="auto"/>
      </w:divBdr>
    </w:div>
    <w:div w:id="233635916">
      <w:bodyDiv w:val="1"/>
      <w:marLeft w:val="0"/>
      <w:marRight w:val="0"/>
      <w:marTop w:val="0"/>
      <w:marBottom w:val="0"/>
      <w:divBdr>
        <w:top w:val="none" w:sz="0" w:space="0" w:color="auto"/>
        <w:left w:val="none" w:sz="0" w:space="0" w:color="auto"/>
        <w:bottom w:val="none" w:sz="0" w:space="0" w:color="auto"/>
        <w:right w:val="none" w:sz="0" w:space="0" w:color="auto"/>
      </w:divBdr>
    </w:div>
    <w:div w:id="240599863">
      <w:bodyDiv w:val="1"/>
      <w:marLeft w:val="0"/>
      <w:marRight w:val="0"/>
      <w:marTop w:val="0"/>
      <w:marBottom w:val="0"/>
      <w:divBdr>
        <w:top w:val="none" w:sz="0" w:space="0" w:color="auto"/>
        <w:left w:val="none" w:sz="0" w:space="0" w:color="auto"/>
        <w:bottom w:val="none" w:sz="0" w:space="0" w:color="auto"/>
        <w:right w:val="none" w:sz="0" w:space="0" w:color="auto"/>
      </w:divBdr>
    </w:div>
    <w:div w:id="244070363">
      <w:bodyDiv w:val="1"/>
      <w:marLeft w:val="0"/>
      <w:marRight w:val="0"/>
      <w:marTop w:val="0"/>
      <w:marBottom w:val="0"/>
      <w:divBdr>
        <w:top w:val="none" w:sz="0" w:space="0" w:color="auto"/>
        <w:left w:val="none" w:sz="0" w:space="0" w:color="auto"/>
        <w:bottom w:val="none" w:sz="0" w:space="0" w:color="auto"/>
        <w:right w:val="none" w:sz="0" w:space="0" w:color="auto"/>
      </w:divBdr>
    </w:div>
    <w:div w:id="247035186">
      <w:bodyDiv w:val="1"/>
      <w:marLeft w:val="0"/>
      <w:marRight w:val="0"/>
      <w:marTop w:val="0"/>
      <w:marBottom w:val="0"/>
      <w:divBdr>
        <w:top w:val="none" w:sz="0" w:space="0" w:color="auto"/>
        <w:left w:val="none" w:sz="0" w:space="0" w:color="auto"/>
        <w:bottom w:val="none" w:sz="0" w:space="0" w:color="auto"/>
        <w:right w:val="none" w:sz="0" w:space="0" w:color="auto"/>
      </w:divBdr>
    </w:div>
    <w:div w:id="248734201">
      <w:bodyDiv w:val="1"/>
      <w:marLeft w:val="0"/>
      <w:marRight w:val="0"/>
      <w:marTop w:val="0"/>
      <w:marBottom w:val="0"/>
      <w:divBdr>
        <w:top w:val="none" w:sz="0" w:space="0" w:color="auto"/>
        <w:left w:val="none" w:sz="0" w:space="0" w:color="auto"/>
        <w:bottom w:val="none" w:sz="0" w:space="0" w:color="auto"/>
        <w:right w:val="none" w:sz="0" w:space="0" w:color="auto"/>
      </w:divBdr>
      <w:divsChild>
        <w:div w:id="732899054">
          <w:marLeft w:val="0"/>
          <w:marRight w:val="0"/>
          <w:marTop w:val="0"/>
          <w:marBottom w:val="0"/>
          <w:divBdr>
            <w:top w:val="none" w:sz="0" w:space="0" w:color="auto"/>
            <w:left w:val="none" w:sz="0" w:space="0" w:color="auto"/>
            <w:bottom w:val="none" w:sz="0" w:space="0" w:color="auto"/>
            <w:right w:val="none" w:sz="0" w:space="0" w:color="auto"/>
          </w:divBdr>
          <w:divsChild>
            <w:div w:id="650518928">
              <w:marLeft w:val="0"/>
              <w:marRight w:val="0"/>
              <w:marTop w:val="0"/>
              <w:marBottom w:val="0"/>
              <w:divBdr>
                <w:top w:val="none" w:sz="0" w:space="0" w:color="auto"/>
                <w:left w:val="none" w:sz="0" w:space="0" w:color="auto"/>
                <w:bottom w:val="none" w:sz="0" w:space="0" w:color="auto"/>
                <w:right w:val="none" w:sz="0" w:space="0" w:color="auto"/>
              </w:divBdr>
              <w:divsChild>
                <w:div w:id="2086561560">
                  <w:marLeft w:val="0"/>
                  <w:marRight w:val="0"/>
                  <w:marTop w:val="0"/>
                  <w:marBottom w:val="0"/>
                  <w:divBdr>
                    <w:top w:val="none" w:sz="0" w:space="0" w:color="auto"/>
                    <w:left w:val="none" w:sz="0" w:space="0" w:color="auto"/>
                    <w:bottom w:val="none" w:sz="0" w:space="0" w:color="auto"/>
                    <w:right w:val="none" w:sz="0" w:space="0" w:color="auto"/>
                  </w:divBdr>
                  <w:divsChild>
                    <w:div w:id="1130975791">
                      <w:marLeft w:val="0"/>
                      <w:marRight w:val="0"/>
                      <w:marTop w:val="0"/>
                      <w:marBottom w:val="0"/>
                      <w:divBdr>
                        <w:top w:val="none" w:sz="0" w:space="0" w:color="auto"/>
                        <w:left w:val="none" w:sz="0" w:space="0" w:color="auto"/>
                        <w:bottom w:val="none" w:sz="0" w:space="0" w:color="auto"/>
                        <w:right w:val="none" w:sz="0" w:space="0" w:color="auto"/>
                      </w:divBdr>
                      <w:divsChild>
                        <w:div w:id="1984188363">
                          <w:marLeft w:val="0"/>
                          <w:marRight w:val="0"/>
                          <w:marTop w:val="0"/>
                          <w:marBottom w:val="0"/>
                          <w:divBdr>
                            <w:top w:val="none" w:sz="0" w:space="0" w:color="auto"/>
                            <w:left w:val="none" w:sz="0" w:space="0" w:color="auto"/>
                            <w:bottom w:val="none" w:sz="0" w:space="0" w:color="auto"/>
                            <w:right w:val="none" w:sz="0" w:space="0" w:color="auto"/>
                          </w:divBdr>
                          <w:divsChild>
                            <w:div w:id="11235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966576">
      <w:bodyDiv w:val="1"/>
      <w:marLeft w:val="0"/>
      <w:marRight w:val="0"/>
      <w:marTop w:val="0"/>
      <w:marBottom w:val="0"/>
      <w:divBdr>
        <w:top w:val="none" w:sz="0" w:space="0" w:color="auto"/>
        <w:left w:val="none" w:sz="0" w:space="0" w:color="auto"/>
        <w:bottom w:val="none" w:sz="0" w:space="0" w:color="auto"/>
        <w:right w:val="none" w:sz="0" w:space="0" w:color="auto"/>
      </w:divBdr>
      <w:divsChild>
        <w:div w:id="1735271530">
          <w:marLeft w:val="0"/>
          <w:marRight w:val="0"/>
          <w:marTop w:val="0"/>
          <w:marBottom w:val="0"/>
          <w:divBdr>
            <w:top w:val="none" w:sz="0" w:space="0" w:color="auto"/>
            <w:left w:val="none" w:sz="0" w:space="0" w:color="auto"/>
            <w:bottom w:val="none" w:sz="0" w:space="0" w:color="auto"/>
            <w:right w:val="none" w:sz="0" w:space="0" w:color="auto"/>
          </w:divBdr>
        </w:div>
      </w:divsChild>
    </w:div>
    <w:div w:id="265578958">
      <w:bodyDiv w:val="1"/>
      <w:marLeft w:val="0"/>
      <w:marRight w:val="0"/>
      <w:marTop w:val="0"/>
      <w:marBottom w:val="0"/>
      <w:divBdr>
        <w:top w:val="none" w:sz="0" w:space="0" w:color="auto"/>
        <w:left w:val="none" w:sz="0" w:space="0" w:color="auto"/>
        <w:bottom w:val="none" w:sz="0" w:space="0" w:color="auto"/>
        <w:right w:val="none" w:sz="0" w:space="0" w:color="auto"/>
      </w:divBdr>
    </w:div>
    <w:div w:id="277757621">
      <w:bodyDiv w:val="1"/>
      <w:marLeft w:val="0"/>
      <w:marRight w:val="0"/>
      <w:marTop w:val="0"/>
      <w:marBottom w:val="0"/>
      <w:divBdr>
        <w:top w:val="none" w:sz="0" w:space="0" w:color="auto"/>
        <w:left w:val="none" w:sz="0" w:space="0" w:color="auto"/>
        <w:bottom w:val="none" w:sz="0" w:space="0" w:color="auto"/>
        <w:right w:val="none" w:sz="0" w:space="0" w:color="auto"/>
      </w:divBdr>
    </w:div>
    <w:div w:id="278415578">
      <w:bodyDiv w:val="1"/>
      <w:marLeft w:val="0"/>
      <w:marRight w:val="0"/>
      <w:marTop w:val="0"/>
      <w:marBottom w:val="0"/>
      <w:divBdr>
        <w:top w:val="none" w:sz="0" w:space="0" w:color="auto"/>
        <w:left w:val="none" w:sz="0" w:space="0" w:color="auto"/>
        <w:bottom w:val="none" w:sz="0" w:space="0" w:color="auto"/>
        <w:right w:val="none" w:sz="0" w:space="0" w:color="auto"/>
      </w:divBdr>
    </w:div>
    <w:div w:id="292636976">
      <w:bodyDiv w:val="1"/>
      <w:marLeft w:val="0"/>
      <w:marRight w:val="0"/>
      <w:marTop w:val="0"/>
      <w:marBottom w:val="0"/>
      <w:divBdr>
        <w:top w:val="none" w:sz="0" w:space="0" w:color="auto"/>
        <w:left w:val="none" w:sz="0" w:space="0" w:color="auto"/>
        <w:bottom w:val="none" w:sz="0" w:space="0" w:color="auto"/>
        <w:right w:val="none" w:sz="0" w:space="0" w:color="auto"/>
      </w:divBdr>
    </w:div>
    <w:div w:id="310446559">
      <w:bodyDiv w:val="1"/>
      <w:marLeft w:val="0"/>
      <w:marRight w:val="0"/>
      <w:marTop w:val="0"/>
      <w:marBottom w:val="0"/>
      <w:divBdr>
        <w:top w:val="none" w:sz="0" w:space="0" w:color="auto"/>
        <w:left w:val="none" w:sz="0" w:space="0" w:color="auto"/>
        <w:bottom w:val="none" w:sz="0" w:space="0" w:color="auto"/>
        <w:right w:val="none" w:sz="0" w:space="0" w:color="auto"/>
      </w:divBdr>
    </w:div>
    <w:div w:id="312370727">
      <w:bodyDiv w:val="1"/>
      <w:marLeft w:val="0"/>
      <w:marRight w:val="0"/>
      <w:marTop w:val="0"/>
      <w:marBottom w:val="0"/>
      <w:divBdr>
        <w:top w:val="none" w:sz="0" w:space="0" w:color="auto"/>
        <w:left w:val="none" w:sz="0" w:space="0" w:color="auto"/>
        <w:bottom w:val="none" w:sz="0" w:space="0" w:color="auto"/>
        <w:right w:val="none" w:sz="0" w:space="0" w:color="auto"/>
      </w:divBdr>
    </w:div>
    <w:div w:id="327753349">
      <w:bodyDiv w:val="1"/>
      <w:marLeft w:val="0"/>
      <w:marRight w:val="0"/>
      <w:marTop w:val="0"/>
      <w:marBottom w:val="0"/>
      <w:divBdr>
        <w:top w:val="none" w:sz="0" w:space="0" w:color="auto"/>
        <w:left w:val="none" w:sz="0" w:space="0" w:color="auto"/>
        <w:bottom w:val="none" w:sz="0" w:space="0" w:color="auto"/>
        <w:right w:val="none" w:sz="0" w:space="0" w:color="auto"/>
      </w:divBdr>
    </w:div>
    <w:div w:id="328825128">
      <w:bodyDiv w:val="1"/>
      <w:marLeft w:val="0"/>
      <w:marRight w:val="0"/>
      <w:marTop w:val="0"/>
      <w:marBottom w:val="0"/>
      <w:divBdr>
        <w:top w:val="none" w:sz="0" w:space="0" w:color="auto"/>
        <w:left w:val="none" w:sz="0" w:space="0" w:color="auto"/>
        <w:bottom w:val="none" w:sz="0" w:space="0" w:color="auto"/>
        <w:right w:val="none" w:sz="0" w:space="0" w:color="auto"/>
      </w:divBdr>
    </w:div>
    <w:div w:id="347171860">
      <w:bodyDiv w:val="1"/>
      <w:marLeft w:val="0"/>
      <w:marRight w:val="0"/>
      <w:marTop w:val="0"/>
      <w:marBottom w:val="0"/>
      <w:divBdr>
        <w:top w:val="none" w:sz="0" w:space="0" w:color="auto"/>
        <w:left w:val="none" w:sz="0" w:space="0" w:color="auto"/>
        <w:bottom w:val="none" w:sz="0" w:space="0" w:color="auto"/>
        <w:right w:val="none" w:sz="0" w:space="0" w:color="auto"/>
      </w:divBdr>
    </w:div>
    <w:div w:id="349794908">
      <w:bodyDiv w:val="1"/>
      <w:marLeft w:val="0"/>
      <w:marRight w:val="0"/>
      <w:marTop w:val="0"/>
      <w:marBottom w:val="0"/>
      <w:divBdr>
        <w:top w:val="none" w:sz="0" w:space="0" w:color="auto"/>
        <w:left w:val="none" w:sz="0" w:space="0" w:color="auto"/>
        <w:bottom w:val="none" w:sz="0" w:space="0" w:color="auto"/>
        <w:right w:val="none" w:sz="0" w:space="0" w:color="auto"/>
      </w:divBdr>
      <w:divsChild>
        <w:div w:id="644352955">
          <w:marLeft w:val="0"/>
          <w:marRight w:val="0"/>
          <w:marTop w:val="0"/>
          <w:marBottom w:val="0"/>
          <w:divBdr>
            <w:top w:val="none" w:sz="0" w:space="0" w:color="auto"/>
            <w:left w:val="none" w:sz="0" w:space="0" w:color="auto"/>
            <w:bottom w:val="none" w:sz="0" w:space="0" w:color="auto"/>
            <w:right w:val="none" w:sz="0" w:space="0" w:color="auto"/>
          </w:divBdr>
          <w:divsChild>
            <w:div w:id="1754428151">
              <w:marLeft w:val="0"/>
              <w:marRight w:val="0"/>
              <w:marTop w:val="0"/>
              <w:marBottom w:val="0"/>
              <w:divBdr>
                <w:top w:val="none" w:sz="0" w:space="0" w:color="auto"/>
                <w:left w:val="none" w:sz="0" w:space="0" w:color="auto"/>
                <w:bottom w:val="none" w:sz="0" w:space="0" w:color="auto"/>
                <w:right w:val="none" w:sz="0" w:space="0" w:color="auto"/>
              </w:divBdr>
              <w:divsChild>
                <w:div w:id="1915973422">
                  <w:marLeft w:val="0"/>
                  <w:marRight w:val="0"/>
                  <w:marTop w:val="0"/>
                  <w:marBottom w:val="0"/>
                  <w:divBdr>
                    <w:top w:val="none" w:sz="0" w:space="0" w:color="auto"/>
                    <w:left w:val="none" w:sz="0" w:space="0" w:color="auto"/>
                    <w:bottom w:val="none" w:sz="0" w:space="0" w:color="auto"/>
                    <w:right w:val="none" w:sz="0" w:space="0" w:color="auto"/>
                  </w:divBdr>
                  <w:divsChild>
                    <w:div w:id="244531204">
                      <w:marLeft w:val="0"/>
                      <w:marRight w:val="0"/>
                      <w:marTop w:val="0"/>
                      <w:marBottom w:val="0"/>
                      <w:divBdr>
                        <w:top w:val="none" w:sz="0" w:space="0" w:color="auto"/>
                        <w:left w:val="none" w:sz="0" w:space="0" w:color="auto"/>
                        <w:bottom w:val="none" w:sz="0" w:space="0" w:color="auto"/>
                        <w:right w:val="none" w:sz="0" w:space="0" w:color="auto"/>
                      </w:divBdr>
                      <w:divsChild>
                        <w:div w:id="199167020">
                          <w:marLeft w:val="0"/>
                          <w:marRight w:val="0"/>
                          <w:marTop w:val="0"/>
                          <w:marBottom w:val="0"/>
                          <w:divBdr>
                            <w:top w:val="none" w:sz="0" w:space="0" w:color="auto"/>
                            <w:left w:val="none" w:sz="0" w:space="0" w:color="auto"/>
                            <w:bottom w:val="none" w:sz="0" w:space="0" w:color="auto"/>
                            <w:right w:val="none" w:sz="0" w:space="0" w:color="auto"/>
                          </w:divBdr>
                          <w:divsChild>
                            <w:div w:id="15164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107894">
      <w:bodyDiv w:val="1"/>
      <w:marLeft w:val="0"/>
      <w:marRight w:val="0"/>
      <w:marTop w:val="0"/>
      <w:marBottom w:val="0"/>
      <w:divBdr>
        <w:top w:val="none" w:sz="0" w:space="0" w:color="auto"/>
        <w:left w:val="none" w:sz="0" w:space="0" w:color="auto"/>
        <w:bottom w:val="none" w:sz="0" w:space="0" w:color="auto"/>
        <w:right w:val="none" w:sz="0" w:space="0" w:color="auto"/>
      </w:divBdr>
      <w:divsChild>
        <w:div w:id="471871020">
          <w:marLeft w:val="0"/>
          <w:marRight w:val="0"/>
          <w:marTop w:val="0"/>
          <w:marBottom w:val="180"/>
          <w:divBdr>
            <w:top w:val="none" w:sz="0" w:space="0" w:color="auto"/>
            <w:left w:val="none" w:sz="0" w:space="0" w:color="auto"/>
            <w:bottom w:val="none" w:sz="0" w:space="0" w:color="auto"/>
            <w:right w:val="none" w:sz="0" w:space="0" w:color="auto"/>
          </w:divBdr>
        </w:div>
        <w:div w:id="1106392055">
          <w:marLeft w:val="0"/>
          <w:marRight w:val="0"/>
          <w:marTop w:val="0"/>
          <w:marBottom w:val="180"/>
          <w:divBdr>
            <w:top w:val="none" w:sz="0" w:space="0" w:color="auto"/>
            <w:left w:val="none" w:sz="0" w:space="0" w:color="auto"/>
            <w:bottom w:val="none" w:sz="0" w:space="0" w:color="auto"/>
            <w:right w:val="none" w:sz="0" w:space="0" w:color="auto"/>
          </w:divBdr>
        </w:div>
        <w:div w:id="1944804170">
          <w:marLeft w:val="0"/>
          <w:marRight w:val="0"/>
          <w:marTop w:val="0"/>
          <w:marBottom w:val="180"/>
          <w:divBdr>
            <w:top w:val="none" w:sz="0" w:space="0" w:color="auto"/>
            <w:left w:val="none" w:sz="0" w:space="0" w:color="auto"/>
            <w:bottom w:val="none" w:sz="0" w:space="0" w:color="auto"/>
            <w:right w:val="none" w:sz="0" w:space="0" w:color="auto"/>
          </w:divBdr>
        </w:div>
      </w:divsChild>
    </w:div>
    <w:div w:id="352348221">
      <w:bodyDiv w:val="1"/>
      <w:marLeft w:val="0"/>
      <w:marRight w:val="0"/>
      <w:marTop w:val="0"/>
      <w:marBottom w:val="0"/>
      <w:divBdr>
        <w:top w:val="none" w:sz="0" w:space="0" w:color="auto"/>
        <w:left w:val="none" w:sz="0" w:space="0" w:color="auto"/>
        <w:bottom w:val="none" w:sz="0" w:space="0" w:color="auto"/>
        <w:right w:val="none" w:sz="0" w:space="0" w:color="auto"/>
      </w:divBdr>
      <w:divsChild>
        <w:div w:id="270860869">
          <w:marLeft w:val="0"/>
          <w:marRight w:val="0"/>
          <w:marTop w:val="0"/>
          <w:marBottom w:val="0"/>
          <w:divBdr>
            <w:top w:val="none" w:sz="0" w:space="0" w:color="auto"/>
            <w:left w:val="none" w:sz="0" w:space="0" w:color="auto"/>
            <w:bottom w:val="none" w:sz="0" w:space="0" w:color="auto"/>
            <w:right w:val="none" w:sz="0" w:space="0" w:color="auto"/>
          </w:divBdr>
          <w:divsChild>
            <w:div w:id="38556855">
              <w:marLeft w:val="0"/>
              <w:marRight w:val="0"/>
              <w:marTop w:val="0"/>
              <w:marBottom w:val="0"/>
              <w:divBdr>
                <w:top w:val="none" w:sz="0" w:space="0" w:color="auto"/>
                <w:left w:val="none" w:sz="0" w:space="0" w:color="auto"/>
                <w:bottom w:val="none" w:sz="0" w:space="0" w:color="auto"/>
                <w:right w:val="none" w:sz="0" w:space="0" w:color="auto"/>
              </w:divBdr>
              <w:divsChild>
                <w:div w:id="1712461916">
                  <w:marLeft w:val="0"/>
                  <w:marRight w:val="0"/>
                  <w:marTop w:val="0"/>
                  <w:marBottom w:val="0"/>
                  <w:divBdr>
                    <w:top w:val="none" w:sz="0" w:space="0" w:color="auto"/>
                    <w:left w:val="none" w:sz="0" w:space="0" w:color="auto"/>
                    <w:bottom w:val="none" w:sz="0" w:space="0" w:color="auto"/>
                    <w:right w:val="none" w:sz="0" w:space="0" w:color="auto"/>
                  </w:divBdr>
                  <w:divsChild>
                    <w:div w:id="770517588">
                      <w:marLeft w:val="0"/>
                      <w:marRight w:val="0"/>
                      <w:marTop w:val="0"/>
                      <w:marBottom w:val="0"/>
                      <w:divBdr>
                        <w:top w:val="none" w:sz="0" w:space="0" w:color="auto"/>
                        <w:left w:val="none" w:sz="0" w:space="0" w:color="auto"/>
                        <w:bottom w:val="none" w:sz="0" w:space="0" w:color="auto"/>
                        <w:right w:val="none" w:sz="0" w:space="0" w:color="auto"/>
                      </w:divBdr>
                      <w:divsChild>
                        <w:div w:id="210728693">
                          <w:marLeft w:val="0"/>
                          <w:marRight w:val="0"/>
                          <w:marTop w:val="0"/>
                          <w:marBottom w:val="0"/>
                          <w:divBdr>
                            <w:top w:val="none" w:sz="0" w:space="0" w:color="auto"/>
                            <w:left w:val="none" w:sz="0" w:space="0" w:color="auto"/>
                            <w:bottom w:val="none" w:sz="0" w:space="0" w:color="auto"/>
                            <w:right w:val="none" w:sz="0" w:space="0" w:color="auto"/>
                          </w:divBdr>
                          <w:divsChild>
                            <w:div w:id="1202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98243">
      <w:bodyDiv w:val="1"/>
      <w:marLeft w:val="0"/>
      <w:marRight w:val="0"/>
      <w:marTop w:val="0"/>
      <w:marBottom w:val="0"/>
      <w:divBdr>
        <w:top w:val="none" w:sz="0" w:space="0" w:color="auto"/>
        <w:left w:val="none" w:sz="0" w:space="0" w:color="auto"/>
        <w:bottom w:val="none" w:sz="0" w:space="0" w:color="auto"/>
        <w:right w:val="none" w:sz="0" w:space="0" w:color="auto"/>
      </w:divBdr>
    </w:div>
    <w:div w:id="357707965">
      <w:bodyDiv w:val="1"/>
      <w:marLeft w:val="0"/>
      <w:marRight w:val="0"/>
      <w:marTop w:val="0"/>
      <w:marBottom w:val="0"/>
      <w:divBdr>
        <w:top w:val="none" w:sz="0" w:space="0" w:color="auto"/>
        <w:left w:val="none" w:sz="0" w:space="0" w:color="auto"/>
        <w:bottom w:val="none" w:sz="0" w:space="0" w:color="auto"/>
        <w:right w:val="none" w:sz="0" w:space="0" w:color="auto"/>
      </w:divBdr>
    </w:div>
    <w:div w:id="359161454">
      <w:bodyDiv w:val="1"/>
      <w:marLeft w:val="0"/>
      <w:marRight w:val="0"/>
      <w:marTop w:val="0"/>
      <w:marBottom w:val="0"/>
      <w:divBdr>
        <w:top w:val="none" w:sz="0" w:space="0" w:color="auto"/>
        <w:left w:val="none" w:sz="0" w:space="0" w:color="auto"/>
        <w:bottom w:val="none" w:sz="0" w:space="0" w:color="auto"/>
        <w:right w:val="none" w:sz="0" w:space="0" w:color="auto"/>
      </w:divBdr>
      <w:divsChild>
        <w:div w:id="1220246841">
          <w:marLeft w:val="0"/>
          <w:marRight w:val="0"/>
          <w:marTop w:val="0"/>
          <w:marBottom w:val="0"/>
          <w:divBdr>
            <w:top w:val="none" w:sz="0" w:space="0" w:color="auto"/>
            <w:left w:val="none" w:sz="0" w:space="0" w:color="auto"/>
            <w:bottom w:val="none" w:sz="0" w:space="0" w:color="auto"/>
            <w:right w:val="none" w:sz="0" w:space="0" w:color="auto"/>
          </w:divBdr>
          <w:divsChild>
            <w:div w:id="1836022694">
              <w:marLeft w:val="0"/>
              <w:marRight w:val="0"/>
              <w:marTop w:val="0"/>
              <w:marBottom w:val="0"/>
              <w:divBdr>
                <w:top w:val="none" w:sz="0" w:space="0" w:color="auto"/>
                <w:left w:val="none" w:sz="0" w:space="0" w:color="auto"/>
                <w:bottom w:val="none" w:sz="0" w:space="0" w:color="auto"/>
                <w:right w:val="none" w:sz="0" w:space="0" w:color="auto"/>
              </w:divBdr>
              <w:divsChild>
                <w:div w:id="10034151">
                  <w:marLeft w:val="0"/>
                  <w:marRight w:val="0"/>
                  <w:marTop w:val="0"/>
                  <w:marBottom w:val="0"/>
                  <w:divBdr>
                    <w:top w:val="none" w:sz="0" w:space="0" w:color="auto"/>
                    <w:left w:val="none" w:sz="0" w:space="0" w:color="auto"/>
                    <w:bottom w:val="none" w:sz="0" w:space="0" w:color="auto"/>
                    <w:right w:val="none" w:sz="0" w:space="0" w:color="auto"/>
                  </w:divBdr>
                  <w:divsChild>
                    <w:div w:id="435055744">
                      <w:marLeft w:val="0"/>
                      <w:marRight w:val="0"/>
                      <w:marTop w:val="0"/>
                      <w:marBottom w:val="0"/>
                      <w:divBdr>
                        <w:top w:val="none" w:sz="0" w:space="0" w:color="auto"/>
                        <w:left w:val="none" w:sz="0" w:space="0" w:color="auto"/>
                        <w:bottom w:val="none" w:sz="0" w:space="0" w:color="auto"/>
                        <w:right w:val="none" w:sz="0" w:space="0" w:color="auto"/>
                      </w:divBdr>
                      <w:divsChild>
                        <w:div w:id="1502040757">
                          <w:marLeft w:val="0"/>
                          <w:marRight w:val="0"/>
                          <w:marTop w:val="0"/>
                          <w:marBottom w:val="0"/>
                          <w:divBdr>
                            <w:top w:val="none" w:sz="0" w:space="0" w:color="auto"/>
                            <w:left w:val="none" w:sz="0" w:space="0" w:color="auto"/>
                            <w:bottom w:val="none" w:sz="0" w:space="0" w:color="auto"/>
                            <w:right w:val="none" w:sz="0" w:space="0" w:color="auto"/>
                          </w:divBdr>
                          <w:divsChild>
                            <w:div w:id="4275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73719">
      <w:bodyDiv w:val="1"/>
      <w:marLeft w:val="0"/>
      <w:marRight w:val="0"/>
      <w:marTop w:val="0"/>
      <w:marBottom w:val="0"/>
      <w:divBdr>
        <w:top w:val="none" w:sz="0" w:space="0" w:color="auto"/>
        <w:left w:val="none" w:sz="0" w:space="0" w:color="auto"/>
        <w:bottom w:val="none" w:sz="0" w:space="0" w:color="auto"/>
        <w:right w:val="none" w:sz="0" w:space="0" w:color="auto"/>
      </w:divBdr>
    </w:div>
    <w:div w:id="372386697">
      <w:bodyDiv w:val="1"/>
      <w:marLeft w:val="0"/>
      <w:marRight w:val="0"/>
      <w:marTop w:val="0"/>
      <w:marBottom w:val="0"/>
      <w:divBdr>
        <w:top w:val="none" w:sz="0" w:space="0" w:color="auto"/>
        <w:left w:val="none" w:sz="0" w:space="0" w:color="auto"/>
        <w:bottom w:val="none" w:sz="0" w:space="0" w:color="auto"/>
        <w:right w:val="none" w:sz="0" w:space="0" w:color="auto"/>
      </w:divBdr>
      <w:divsChild>
        <w:div w:id="1742168949">
          <w:marLeft w:val="0"/>
          <w:marRight w:val="0"/>
          <w:marTop w:val="0"/>
          <w:marBottom w:val="0"/>
          <w:divBdr>
            <w:top w:val="none" w:sz="0" w:space="0" w:color="auto"/>
            <w:left w:val="none" w:sz="0" w:space="0" w:color="auto"/>
            <w:bottom w:val="none" w:sz="0" w:space="0" w:color="auto"/>
            <w:right w:val="none" w:sz="0" w:space="0" w:color="auto"/>
          </w:divBdr>
          <w:divsChild>
            <w:div w:id="416826876">
              <w:marLeft w:val="0"/>
              <w:marRight w:val="0"/>
              <w:marTop w:val="0"/>
              <w:marBottom w:val="0"/>
              <w:divBdr>
                <w:top w:val="none" w:sz="0" w:space="0" w:color="auto"/>
                <w:left w:val="none" w:sz="0" w:space="0" w:color="auto"/>
                <w:bottom w:val="none" w:sz="0" w:space="0" w:color="auto"/>
                <w:right w:val="none" w:sz="0" w:space="0" w:color="auto"/>
              </w:divBdr>
              <w:divsChild>
                <w:div w:id="1773739161">
                  <w:marLeft w:val="0"/>
                  <w:marRight w:val="0"/>
                  <w:marTop w:val="0"/>
                  <w:marBottom w:val="0"/>
                  <w:divBdr>
                    <w:top w:val="none" w:sz="0" w:space="0" w:color="auto"/>
                    <w:left w:val="none" w:sz="0" w:space="0" w:color="auto"/>
                    <w:bottom w:val="none" w:sz="0" w:space="0" w:color="auto"/>
                    <w:right w:val="none" w:sz="0" w:space="0" w:color="auto"/>
                  </w:divBdr>
                  <w:divsChild>
                    <w:div w:id="1758398631">
                      <w:marLeft w:val="0"/>
                      <w:marRight w:val="0"/>
                      <w:marTop w:val="0"/>
                      <w:marBottom w:val="0"/>
                      <w:divBdr>
                        <w:top w:val="none" w:sz="0" w:space="0" w:color="auto"/>
                        <w:left w:val="none" w:sz="0" w:space="0" w:color="auto"/>
                        <w:bottom w:val="none" w:sz="0" w:space="0" w:color="auto"/>
                        <w:right w:val="none" w:sz="0" w:space="0" w:color="auto"/>
                      </w:divBdr>
                      <w:divsChild>
                        <w:div w:id="801927325">
                          <w:marLeft w:val="0"/>
                          <w:marRight w:val="0"/>
                          <w:marTop w:val="0"/>
                          <w:marBottom w:val="0"/>
                          <w:divBdr>
                            <w:top w:val="none" w:sz="0" w:space="0" w:color="auto"/>
                            <w:left w:val="none" w:sz="0" w:space="0" w:color="auto"/>
                            <w:bottom w:val="none" w:sz="0" w:space="0" w:color="auto"/>
                            <w:right w:val="none" w:sz="0" w:space="0" w:color="auto"/>
                          </w:divBdr>
                          <w:divsChild>
                            <w:div w:id="5349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962577">
      <w:bodyDiv w:val="1"/>
      <w:marLeft w:val="0"/>
      <w:marRight w:val="0"/>
      <w:marTop w:val="0"/>
      <w:marBottom w:val="0"/>
      <w:divBdr>
        <w:top w:val="none" w:sz="0" w:space="0" w:color="auto"/>
        <w:left w:val="none" w:sz="0" w:space="0" w:color="auto"/>
        <w:bottom w:val="none" w:sz="0" w:space="0" w:color="auto"/>
        <w:right w:val="none" w:sz="0" w:space="0" w:color="auto"/>
      </w:divBdr>
    </w:div>
    <w:div w:id="392314662">
      <w:bodyDiv w:val="1"/>
      <w:marLeft w:val="0"/>
      <w:marRight w:val="0"/>
      <w:marTop w:val="0"/>
      <w:marBottom w:val="0"/>
      <w:divBdr>
        <w:top w:val="none" w:sz="0" w:space="0" w:color="auto"/>
        <w:left w:val="none" w:sz="0" w:space="0" w:color="auto"/>
        <w:bottom w:val="none" w:sz="0" w:space="0" w:color="auto"/>
        <w:right w:val="none" w:sz="0" w:space="0" w:color="auto"/>
      </w:divBdr>
    </w:div>
    <w:div w:id="414515341">
      <w:bodyDiv w:val="1"/>
      <w:marLeft w:val="0"/>
      <w:marRight w:val="0"/>
      <w:marTop w:val="0"/>
      <w:marBottom w:val="0"/>
      <w:divBdr>
        <w:top w:val="none" w:sz="0" w:space="0" w:color="auto"/>
        <w:left w:val="none" w:sz="0" w:space="0" w:color="auto"/>
        <w:bottom w:val="none" w:sz="0" w:space="0" w:color="auto"/>
        <w:right w:val="none" w:sz="0" w:space="0" w:color="auto"/>
      </w:divBdr>
    </w:div>
    <w:div w:id="422344128">
      <w:bodyDiv w:val="1"/>
      <w:marLeft w:val="0"/>
      <w:marRight w:val="0"/>
      <w:marTop w:val="0"/>
      <w:marBottom w:val="0"/>
      <w:divBdr>
        <w:top w:val="none" w:sz="0" w:space="0" w:color="auto"/>
        <w:left w:val="none" w:sz="0" w:space="0" w:color="auto"/>
        <w:bottom w:val="none" w:sz="0" w:space="0" w:color="auto"/>
        <w:right w:val="none" w:sz="0" w:space="0" w:color="auto"/>
      </w:divBdr>
      <w:divsChild>
        <w:div w:id="253052964">
          <w:marLeft w:val="0"/>
          <w:marRight w:val="0"/>
          <w:marTop w:val="0"/>
          <w:marBottom w:val="0"/>
          <w:divBdr>
            <w:top w:val="none" w:sz="0" w:space="0" w:color="auto"/>
            <w:left w:val="none" w:sz="0" w:space="0" w:color="auto"/>
            <w:bottom w:val="none" w:sz="0" w:space="0" w:color="auto"/>
            <w:right w:val="none" w:sz="0" w:space="0" w:color="auto"/>
          </w:divBdr>
        </w:div>
        <w:div w:id="745346099">
          <w:marLeft w:val="0"/>
          <w:marRight w:val="0"/>
          <w:marTop w:val="0"/>
          <w:marBottom w:val="0"/>
          <w:divBdr>
            <w:top w:val="none" w:sz="0" w:space="0" w:color="auto"/>
            <w:left w:val="none" w:sz="0" w:space="0" w:color="auto"/>
            <w:bottom w:val="none" w:sz="0" w:space="0" w:color="auto"/>
            <w:right w:val="none" w:sz="0" w:space="0" w:color="auto"/>
          </w:divBdr>
        </w:div>
        <w:div w:id="898828817">
          <w:marLeft w:val="0"/>
          <w:marRight w:val="0"/>
          <w:marTop w:val="0"/>
          <w:marBottom w:val="0"/>
          <w:divBdr>
            <w:top w:val="none" w:sz="0" w:space="0" w:color="auto"/>
            <w:left w:val="none" w:sz="0" w:space="0" w:color="auto"/>
            <w:bottom w:val="none" w:sz="0" w:space="0" w:color="auto"/>
            <w:right w:val="none" w:sz="0" w:space="0" w:color="auto"/>
          </w:divBdr>
        </w:div>
        <w:div w:id="1264147728">
          <w:marLeft w:val="0"/>
          <w:marRight w:val="0"/>
          <w:marTop w:val="0"/>
          <w:marBottom w:val="0"/>
          <w:divBdr>
            <w:top w:val="none" w:sz="0" w:space="0" w:color="auto"/>
            <w:left w:val="none" w:sz="0" w:space="0" w:color="auto"/>
            <w:bottom w:val="none" w:sz="0" w:space="0" w:color="auto"/>
            <w:right w:val="none" w:sz="0" w:space="0" w:color="auto"/>
          </w:divBdr>
        </w:div>
        <w:div w:id="1365907741">
          <w:marLeft w:val="0"/>
          <w:marRight w:val="0"/>
          <w:marTop w:val="0"/>
          <w:marBottom w:val="0"/>
          <w:divBdr>
            <w:top w:val="none" w:sz="0" w:space="0" w:color="auto"/>
            <w:left w:val="none" w:sz="0" w:space="0" w:color="auto"/>
            <w:bottom w:val="none" w:sz="0" w:space="0" w:color="auto"/>
            <w:right w:val="none" w:sz="0" w:space="0" w:color="auto"/>
          </w:divBdr>
        </w:div>
        <w:div w:id="2039235567">
          <w:marLeft w:val="0"/>
          <w:marRight w:val="0"/>
          <w:marTop w:val="0"/>
          <w:marBottom w:val="0"/>
          <w:divBdr>
            <w:top w:val="none" w:sz="0" w:space="0" w:color="auto"/>
            <w:left w:val="none" w:sz="0" w:space="0" w:color="auto"/>
            <w:bottom w:val="none" w:sz="0" w:space="0" w:color="auto"/>
            <w:right w:val="none" w:sz="0" w:space="0" w:color="auto"/>
          </w:divBdr>
        </w:div>
      </w:divsChild>
    </w:div>
    <w:div w:id="428745438">
      <w:bodyDiv w:val="1"/>
      <w:marLeft w:val="0"/>
      <w:marRight w:val="0"/>
      <w:marTop w:val="0"/>
      <w:marBottom w:val="0"/>
      <w:divBdr>
        <w:top w:val="none" w:sz="0" w:space="0" w:color="auto"/>
        <w:left w:val="none" w:sz="0" w:space="0" w:color="auto"/>
        <w:bottom w:val="none" w:sz="0" w:space="0" w:color="auto"/>
        <w:right w:val="none" w:sz="0" w:space="0" w:color="auto"/>
      </w:divBdr>
      <w:divsChild>
        <w:div w:id="202524190">
          <w:marLeft w:val="0"/>
          <w:marRight w:val="0"/>
          <w:marTop w:val="0"/>
          <w:marBottom w:val="0"/>
          <w:divBdr>
            <w:top w:val="none" w:sz="0" w:space="0" w:color="auto"/>
            <w:left w:val="none" w:sz="0" w:space="0" w:color="auto"/>
            <w:bottom w:val="none" w:sz="0" w:space="0" w:color="auto"/>
            <w:right w:val="none" w:sz="0" w:space="0" w:color="auto"/>
          </w:divBdr>
        </w:div>
      </w:divsChild>
    </w:div>
    <w:div w:id="430199805">
      <w:bodyDiv w:val="1"/>
      <w:marLeft w:val="0"/>
      <w:marRight w:val="0"/>
      <w:marTop w:val="0"/>
      <w:marBottom w:val="0"/>
      <w:divBdr>
        <w:top w:val="none" w:sz="0" w:space="0" w:color="auto"/>
        <w:left w:val="none" w:sz="0" w:space="0" w:color="auto"/>
        <w:bottom w:val="none" w:sz="0" w:space="0" w:color="auto"/>
        <w:right w:val="none" w:sz="0" w:space="0" w:color="auto"/>
      </w:divBdr>
    </w:div>
    <w:div w:id="433475669">
      <w:bodyDiv w:val="1"/>
      <w:marLeft w:val="0"/>
      <w:marRight w:val="0"/>
      <w:marTop w:val="0"/>
      <w:marBottom w:val="0"/>
      <w:divBdr>
        <w:top w:val="none" w:sz="0" w:space="0" w:color="auto"/>
        <w:left w:val="none" w:sz="0" w:space="0" w:color="auto"/>
        <w:bottom w:val="none" w:sz="0" w:space="0" w:color="auto"/>
        <w:right w:val="none" w:sz="0" w:space="0" w:color="auto"/>
      </w:divBdr>
    </w:div>
    <w:div w:id="437455504">
      <w:bodyDiv w:val="1"/>
      <w:marLeft w:val="0"/>
      <w:marRight w:val="0"/>
      <w:marTop w:val="0"/>
      <w:marBottom w:val="0"/>
      <w:divBdr>
        <w:top w:val="none" w:sz="0" w:space="0" w:color="auto"/>
        <w:left w:val="none" w:sz="0" w:space="0" w:color="auto"/>
        <w:bottom w:val="none" w:sz="0" w:space="0" w:color="auto"/>
        <w:right w:val="none" w:sz="0" w:space="0" w:color="auto"/>
      </w:divBdr>
    </w:div>
    <w:div w:id="438523784">
      <w:bodyDiv w:val="1"/>
      <w:marLeft w:val="0"/>
      <w:marRight w:val="0"/>
      <w:marTop w:val="0"/>
      <w:marBottom w:val="0"/>
      <w:divBdr>
        <w:top w:val="none" w:sz="0" w:space="0" w:color="auto"/>
        <w:left w:val="none" w:sz="0" w:space="0" w:color="auto"/>
        <w:bottom w:val="none" w:sz="0" w:space="0" w:color="auto"/>
        <w:right w:val="none" w:sz="0" w:space="0" w:color="auto"/>
      </w:divBdr>
    </w:div>
    <w:div w:id="442310762">
      <w:bodyDiv w:val="1"/>
      <w:marLeft w:val="0"/>
      <w:marRight w:val="0"/>
      <w:marTop w:val="0"/>
      <w:marBottom w:val="0"/>
      <w:divBdr>
        <w:top w:val="none" w:sz="0" w:space="0" w:color="auto"/>
        <w:left w:val="none" w:sz="0" w:space="0" w:color="auto"/>
        <w:bottom w:val="none" w:sz="0" w:space="0" w:color="auto"/>
        <w:right w:val="none" w:sz="0" w:space="0" w:color="auto"/>
      </w:divBdr>
    </w:div>
    <w:div w:id="450168087">
      <w:bodyDiv w:val="1"/>
      <w:marLeft w:val="0"/>
      <w:marRight w:val="0"/>
      <w:marTop w:val="0"/>
      <w:marBottom w:val="0"/>
      <w:divBdr>
        <w:top w:val="none" w:sz="0" w:space="0" w:color="auto"/>
        <w:left w:val="none" w:sz="0" w:space="0" w:color="auto"/>
        <w:bottom w:val="none" w:sz="0" w:space="0" w:color="auto"/>
        <w:right w:val="none" w:sz="0" w:space="0" w:color="auto"/>
      </w:divBdr>
    </w:div>
    <w:div w:id="459614646">
      <w:bodyDiv w:val="1"/>
      <w:marLeft w:val="0"/>
      <w:marRight w:val="0"/>
      <w:marTop w:val="0"/>
      <w:marBottom w:val="0"/>
      <w:divBdr>
        <w:top w:val="none" w:sz="0" w:space="0" w:color="auto"/>
        <w:left w:val="none" w:sz="0" w:space="0" w:color="auto"/>
        <w:bottom w:val="none" w:sz="0" w:space="0" w:color="auto"/>
        <w:right w:val="none" w:sz="0" w:space="0" w:color="auto"/>
      </w:divBdr>
    </w:div>
    <w:div w:id="461077051">
      <w:bodyDiv w:val="1"/>
      <w:marLeft w:val="0"/>
      <w:marRight w:val="0"/>
      <w:marTop w:val="0"/>
      <w:marBottom w:val="0"/>
      <w:divBdr>
        <w:top w:val="none" w:sz="0" w:space="0" w:color="auto"/>
        <w:left w:val="none" w:sz="0" w:space="0" w:color="auto"/>
        <w:bottom w:val="none" w:sz="0" w:space="0" w:color="auto"/>
        <w:right w:val="none" w:sz="0" w:space="0" w:color="auto"/>
      </w:divBdr>
    </w:div>
    <w:div w:id="461655831">
      <w:bodyDiv w:val="1"/>
      <w:marLeft w:val="0"/>
      <w:marRight w:val="0"/>
      <w:marTop w:val="0"/>
      <w:marBottom w:val="0"/>
      <w:divBdr>
        <w:top w:val="none" w:sz="0" w:space="0" w:color="auto"/>
        <w:left w:val="none" w:sz="0" w:space="0" w:color="auto"/>
        <w:bottom w:val="none" w:sz="0" w:space="0" w:color="auto"/>
        <w:right w:val="none" w:sz="0" w:space="0" w:color="auto"/>
      </w:divBdr>
    </w:div>
    <w:div w:id="464859755">
      <w:bodyDiv w:val="1"/>
      <w:marLeft w:val="0"/>
      <w:marRight w:val="0"/>
      <w:marTop w:val="0"/>
      <w:marBottom w:val="0"/>
      <w:divBdr>
        <w:top w:val="none" w:sz="0" w:space="0" w:color="auto"/>
        <w:left w:val="none" w:sz="0" w:space="0" w:color="auto"/>
        <w:bottom w:val="none" w:sz="0" w:space="0" w:color="auto"/>
        <w:right w:val="none" w:sz="0" w:space="0" w:color="auto"/>
      </w:divBdr>
    </w:div>
    <w:div w:id="464978378">
      <w:bodyDiv w:val="1"/>
      <w:marLeft w:val="0"/>
      <w:marRight w:val="0"/>
      <w:marTop w:val="0"/>
      <w:marBottom w:val="0"/>
      <w:divBdr>
        <w:top w:val="none" w:sz="0" w:space="0" w:color="auto"/>
        <w:left w:val="none" w:sz="0" w:space="0" w:color="auto"/>
        <w:bottom w:val="none" w:sz="0" w:space="0" w:color="auto"/>
        <w:right w:val="none" w:sz="0" w:space="0" w:color="auto"/>
      </w:divBdr>
    </w:div>
    <w:div w:id="467935537">
      <w:bodyDiv w:val="1"/>
      <w:marLeft w:val="0"/>
      <w:marRight w:val="0"/>
      <w:marTop w:val="0"/>
      <w:marBottom w:val="0"/>
      <w:divBdr>
        <w:top w:val="none" w:sz="0" w:space="0" w:color="auto"/>
        <w:left w:val="none" w:sz="0" w:space="0" w:color="auto"/>
        <w:bottom w:val="none" w:sz="0" w:space="0" w:color="auto"/>
        <w:right w:val="none" w:sz="0" w:space="0" w:color="auto"/>
      </w:divBdr>
    </w:div>
    <w:div w:id="478497733">
      <w:bodyDiv w:val="1"/>
      <w:marLeft w:val="0"/>
      <w:marRight w:val="0"/>
      <w:marTop w:val="0"/>
      <w:marBottom w:val="0"/>
      <w:divBdr>
        <w:top w:val="none" w:sz="0" w:space="0" w:color="auto"/>
        <w:left w:val="none" w:sz="0" w:space="0" w:color="auto"/>
        <w:bottom w:val="none" w:sz="0" w:space="0" w:color="auto"/>
        <w:right w:val="none" w:sz="0" w:space="0" w:color="auto"/>
      </w:divBdr>
    </w:div>
    <w:div w:id="480267722">
      <w:bodyDiv w:val="1"/>
      <w:marLeft w:val="0"/>
      <w:marRight w:val="0"/>
      <w:marTop w:val="0"/>
      <w:marBottom w:val="0"/>
      <w:divBdr>
        <w:top w:val="none" w:sz="0" w:space="0" w:color="auto"/>
        <w:left w:val="none" w:sz="0" w:space="0" w:color="auto"/>
        <w:bottom w:val="none" w:sz="0" w:space="0" w:color="auto"/>
        <w:right w:val="none" w:sz="0" w:space="0" w:color="auto"/>
      </w:divBdr>
    </w:div>
    <w:div w:id="488982506">
      <w:bodyDiv w:val="1"/>
      <w:marLeft w:val="0"/>
      <w:marRight w:val="0"/>
      <w:marTop w:val="0"/>
      <w:marBottom w:val="0"/>
      <w:divBdr>
        <w:top w:val="none" w:sz="0" w:space="0" w:color="auto"/>
        <w:left w:val="none" w:sz="0" w:space="0" w:color="auto"/>
        <w:bottom w:val="none" w:sz="0" w:space="0" w:color="auto"/>
        <w:right w:val="none" w:sz="0" w:space="0" w:color="auto"/>
      </w:divBdr>
      <w:divsChild>
        <w:div w:id="605700275">
          <w:marLeft w:val="0"/>
          <w:marRight w:val="0"/>
          <w:marTop w:val="0"/>
          <w:marBottom w:val="225"/>
          <w:divBdr>
            <w:top w:val="none" w:sz="0" w:space="0" w:color="auto"/>
            <w:left w:val="none" w:sz="0" w:space="0" w:color="auto"/>
            <w:bottom w:val="none" w:sz="0" w:space="0" w:color="auto"/>
            <w:right w:val="none" w:sz="0" w:space="0" w:color="auto"/>
          </w:divBdr>
        </w:div>
        <w:div w:id="1609971051">
          <w:marLeft w:val="0"/>
          <w:marRight w:val="0"/>
          <w:marTop w:val="0"/>
          <w:marBottom w:val="225"/>
          <w:divBdr>
            <w:top w:val="none" w:sz="0" w:space="0" w:color="auto"/>
            <w:left w:val="none" w:sz="0" w:space="0" w:color="auto"/>
            <w:bottom w:val="none" w:sz="0" w:space="0" w:color="auto"/>
            <w:right w:val="none" w:sz="0" w:space="0" w:color="auto"/>
          </w:divBdr>
        </w:div>
        <w:div w:id="1907642324">
          <w:marLeft w:val="0"/>
          <w:marRight w:val="0"/>
          <w:marTop w:val="0"/>
          <w:marBottom w:val="225"/>
          <w:divBdr>
            <w:top w:val="none" w:sz="0" w:space="0" w:color="auto"/>
            <w:left w:val="none" w:sz="0" w:space="0" w:color="auto"/>
            <w:bottom w:val="none" w:sz="0" w:space="0" w:color="auto"/>
            <w:right w:val="none" w:sz="0" w:space="0" w:color="auto"/>
          </w:divBdr>
        </w:div>
      </w:divsChild>
    </w:div>
    <w:div w:id="496651911">
      <w:bodyDiv w:val="1"/>
      <w:marLeft w:val="0"/>
      <w:marRight w:val="0"/>
      <w:marTop w:val="0"/>
      <w:marBottom w:val="0"/>
      <w:divBdr>
        <w:top w:val="none" w:sz="0" w:space="0" w:color="auto"/>
        <w:left w:val="none" w:sz="0" w:space="0" w:color="auto"/>
        <w:bottom w:val="none" w:sz="0" w:space="0" w:color="auto"/>
        <w:right w:val="none" w:sz="0" w:space="0" w:color="auto"/>
      </w:divBdr>
    </w:div>
    <w:div w:id="505632635">
      <w:bodyDiv w:val="1"/>
      <w:marLeft w:val="0"/>
      <w:marRight w:val="0"/>
      <w:marTop w:val="0"/>
      <w:marBottom w:val="0"/>
      <w:divBdr>
        <w:top w:val="none" w:sz="0" w:space="0" w:color="auto"/>
        <w:left w:val="none" w:sz="0" w:space="0" w:color="auto"/>
        <w:bottom w:val="none" w:sz="0" w:space="0" w:color="auto"/>
        <w:right w:val="none" w:sz="0" w:space="0" w:color="auto"/>
      </w:divBdr>
    </w:div>
    <w:div w:id="512842325">
      <w:bodyDiv w:val="1"/>
      <w:marLeft w:val="0"/>
      <w:marRight w:val="0"/>
      <w:marTop w:val="0"/>
      <w:marBottom w:val="0"/>
      <w:divBdr>
        <w:top w:val="none" w:sz="0" w:space="0" w:color="auto"/>
        <w:left w:val="none" w:sz="0" w:space="0" w:color="auto"/>
        <w:bottom w:val="none" w:sz="0" w:space="0" w:color="auto"/>
        <w:right w:val="none" w:sz="0" w:space="0" w:color="auto"/>
      </w:divBdr>
    </w:div>
    <w:div w:id="514228043">
      <w:bodyDiv w:val="1"/>
      <w:marLeft w:val="0"/>
      <w:marRight w:val="0"/>
      <w:marTop w:val="0"/>
      <w:marBottom w:val="0"/>
      <w:divBdr>
        <w:top w:val="none" w:sz="0" w:space="0" w:color="auto"/>
        <w:left w:val="none" w:sz="0" w:space="0" w:color="auto"/>
        <w:bottom w:val="none" w:sz="0" w:space="0" w:color="auto"/>
        <w:right w:val="none" w:sz="0" w:space="0" w:color="auto"/>
      </w:divBdr>
    </w:div>
    <w:div w:id="517737135">
      <w:bodyDiv w:val="1"/>
      <w:marLeft w:val="0"/>
      <w:marRight w:val="0"/>
      <w:marTop w:val="0"/>
      <w:marBottom w:val="0"/>
      <w:divBdr>
        <w:top w:val="none" w:sz="0" w:space="0" w:color="auto"/>
        <w:left w:val="none" w:sz="0" w:space="0" w:color="auto"/>
        <w:bottom w:val="none" w:sz="0" w:space="0" w:color="auto"/>
        <w:right w:val="none" w:sz="0" w:space="0" w:color="auto"/>
      </w:divBdr>
    </w:div>
    <w:div w:id="536939579">
      <w:bodyDiv w:val="1"/>
      <w:marLeft w:val="0"/>
      <w:marRight w:val="0"/>
      <w:marTop w:val="0"/>
      <w:marBottom w:val="0"/>
      <w:divBdr>
        <w:top w:val="none" w:sz="0" w:space="0" w:color="auto"/>
        <w:left w:val="none" w:sz="0" w:space="0" w:color="auto"/>
        <w:bottom w:val="none" w:sz="0" w:space="0" w:color="auto"/>
        <w:right w:val="none" w:sz="0" w:space="0" w:color="auto"/>
      </w:divBdr>
    </w:div>
    <w:div w:id="539439719">
      <w:bodyDiv w:val="1"/>
      <w:marLeft w:val="0"/>
      <w:marRight w:val="0"/>
      <w:marTop w:val="0"/>
      <w:marBottom w:val="0"/>
      <w:divBdr>
        <w:top w:val="none" w:sz="0" w:space="0" w:color="auto"/>
        <w:left w:val="none" w:sz="0" w:space="0" w:color="auto"/>
        <w:bottom w:val="none" w:sz="0" w:space="0" w:color="auto"/>
        <w:right w:val="none" w:sz="0" w:space="0" w:color="auto"/>
      </w:divBdr>
      <w:divsChild>
        <w:div w:id="105780950">
          <w:marLeft w:val="0"/>
          <w:marRight w:val="0"/>
          <w:marTop w:val="0"/>
          <w:marBottom w:val="0"/>
          <w:divBdr>
            <w:top w:val="none" w:sz="0" w:space="0" w:color="auto"/>
            <w:left w:val="none" w:sz="0" w:space="0" w:color="auto"/>
            <w:bottom w:val="none" w:sz="0" w:space="0" w:color="auto"/>
            <w:right w:val="none" w:sz="0" w:space="0" w:color="auto"/>
          </w:divBdr>
        </w:div>
      </w:divsChild>
    </w:div>
    <w:div w:id="547566610">
      <w:bodyDiv w:val="1"/>
      <w:marLeft w:val="0"/>
      <w:marRight w:val="0"/>
      <w:marTop w:val="0"/>
      <w:marBottom w:val="0"/>
      <w:divBdr>
        <w:top w:val="none" w:sz="0" w:space="0" w:color="auto"/>
        <w:left w:val="none" w:sz="0" w:space="0" w:color="auto"/>
        <w:bottom w:val="none" w:sz="0" w:space="0" w:color="auto"/>
        <w:right w:val="none" w:sz="0" w:space="0" w:color="auto"/>
      </w:divBdr>
    </w:div>
    <w:div w:id="547952883">
      <w:bodyDiv w:val="1"/>
      <w:marLeft w:val="0"/>
      <w:marRight w:val="0"/>
      <w:marTop w:val="0"/>
      <w:marBottom w:val="0"/>
      <w:divBdr>
        <w:top w:val="none" w:sz="0" w:space="0" w:color="auto"/>
        <w:left w:val="none" w:sz="0" w:space="0" w:color="auto"/>
        <w:bottom w:val="none" w:sz="0" w:space="0" w:color="auto"/>
        <w:right w:val="none" w:sz="0" w:space="0" w:color="auto"/>
      </w:divBdr>
    </w:div>
    <w:div w:id="550967995">
      <w:bodyDiv w:val="1"/>
      <w:marLeft w:val="0"/>
      <w:marRight w:val="0"/>
      <w:marTop w:val="0"/>
      <w:marBottom w:val="0"/>
      <w:divBdr>
        <w:top w:val="none" w:sz="0" w:space="0" w:color="auto"/>
        <w:left w:val="none" w:sz="0" w:space="0" w:color="auto"/>
        <w:bottom w:val="none" w:sz="0" w:space="0" w:color="auto"/>
        <w:right w:val="none" w:sz="0" w:space="0" w:color="auto"/>
      </w:divBdr>
    </w:div>
    <w:div w:id="552274715">
      <w:bodyDiv w:val="1"/>
      <w:marLeft w:val="0"/>
      <w:marRight w:val="0"/>
      <w:marTop w:val="0"/>
      <w:marBottom w:val="0"/>
      <w:divBdr>
        <w:top w:val="none" w:sz="0" w:space="0" w:color="auto"/>
        <w:left w:val="none" w:sz="0" w:space="0" w:color="auto"/>
        <w:bottom w:val="none" w:sz="0" w:space="0" w:color="auto"/>
        <w:right w:val="none" w:sz="0" w:space="0" w:color="auto"/>
      </w:divBdr>
    </w:div>
    <w:div w:id="553277120">
      <w:bodyDiv w:val="1"/>
      <w:marLeft w:val="0"/>
      <w:marRight w:val="0"/>
      <w:marTop w:val="0"/>
      <w:marBottom w:val="0"/>
      <w:divBdr>
        <w:top w:val="none" w:sz="0" w:space="0" w:color="auto"/>
        <w:left w:val="none" w:sz="0" w:space="0" w:color="auto"/>
        <w:bottom w:val="none" w:sz="0" w:space="0" w:color="auto"/>
        <w:right w:val="none" w:sz="0" w:space="0" w:color="auto"/>
      </w:divBdr>
    </w:div>
    <w:div w:id="554197397">
      <w:bodyDiv w:val="1"/>
      <w:marLeft w:val="0"/>
      <w:marRight w:val="0"/>
      <w:marTop w:val="0"/>
      <w:marBottom w:val="0"/>
      <w:divBdr>
        <w:top w:val="none" w:sz="0" w:space="0" w:color="auto"/>
        <w:left w:val="none" w:sz="0" w:space="0" w:color="auto"/>
        <w:bottom w:val="none" w:sz="0" w:space="0" w:color="auto"/>
        <w:right w:val="none" w:sz="0" w:space="0" w:color="auto"/>
      </w:divBdr>
    </w:div>
    <w:div w:id="557472423">
      <w:bodyDiv w:val="1"/>
      <w:marLeft w:val="0"/>
      <w:marRight w:val="0"/>
      <w:marTop w:val="0"/>
      <w:marBottom w:val="0"/>
      <w:divBdr>
        <w:top w:val="none" w:sz="0" w:space="0" w:color="auto"/>
        <w:left w:val="none" w:sz="0" w:space="0" w:color="auto"/>
        <w:bottom w:val="none" w:sz="0" w:space="0" w:color="auto"/>
        <w:right w:val="none" w:sz="0" w:space="0" w:color="auto"/>
      </w:divBdr>
      <w:divsChild>
        <w:div w:id="928584131">
          <w:marLeft w:val="0"/>
          <w:marRight w:val="0"/>
          <w:marTop w:val="0"/>
          <w:marBottom w:val="225"/>
          <w:divBdr>
            <w:top w:val="none" w:sz="0" w:space="0" w:color="auto"/>
            <w:left w:val="none" w:sz="0" w:space="0" w:color="auto"/>
            <w:bottom w:val="none" w:sz="0" w:space="0" w:color="auto"/>
            <w:right w:val="none" w:sz="0" w:space="0" w:color="auto"/>
          </w:divBdr>
        </w:div>
        <w:div w:id="1845825701">
          <w:marLeft w:val="0"/>
          <w:marRight w:val="0"/>
          <w:marTop w:val="0"/>
          <w:marBottom w:val="225"/>
          <w:divBdr>
            <w:top w:val="none" w:sz="0" w:space="0" w:color="auto"/>
            <w:left w:val="none" w:sz="0" w:space="0" w:color="auto"/>
            <w:bottom w:val="none" w:sz="0" w:space="0" w:color="auto"/>
            <w:right w:val="none" w:sz="0" w:space="0" w:color="auto"/>
          </w:divBdr>
        </w:div>
      </w:divsChild>
    </w:div>
    <w:div w:id="560793796">
      <w:bodyDiv w:val="1"/>
      <w:marLeft w:val="0"/>
      <w:marRight w:val="0"/>
      <w:marTop w:val="0"/>
      <w:marBottom w:val="0"/>
      <w:divBdr>
        <w:top w:val="none" w:sz="0" w:space="0" w:color="auto"/>
        <w:left w:val="none" w:sz="0" w:space="0" w:color="auto"/>
        <w:bottom w:val="none" w:sz="0" w:space="0" w:color="auto"/>
        <w:right w:val="none" w:sz="0" w:space="0" w:color="auto"/>
      </w:divBdr>
    </w:div>
    <w:div w:id="560797459">
      <w:bodyDiv w:val="1"/>
      <w:marLeft w:val="0"/>
      <w:marRight w:val="0"/>
      <w:marTop w:val="0"/>
      <w:marBottom w:val="0"/>
      <w:divBdr>
        <w:top w:val="none" w:sz="0" w:space="0" w:color="auto"/>
        <w:left w:val="none" w:sz="0" w:space="0" w:color="auto"/>
        <w:bottom w:val="none" w:sz="0" w:space="0" w:color="auto"/>
        <w:right w:val="none" w:sz="0" w:space="0" w:color="auto"/>
      </w:divBdr>
    </w:div>
    <w:div w:id="560942873">
      <w:bodyDiv w:val="1"/>
      <w:marLeft w:val="0"/>
      <w:marRight w:val="0"/>
      <w:marTop w:val="0"/>
      <w:marBottom w:val="0"/>
      <w:divBdr>
        <w:top w:val="none" w:sz="0" w:space="0" w:color="auto"/>
        <w:left w:val="none" w:sz="0" w:space="0" w:color="auto"/>
        <w:bottom w:val="none" w:sz="0" w:space="0" w:color="auto"/>
        <w:right w:val="none" w:sz="0" w:space="0" w:color="auto"/>
      </w:divBdr>
    </w:div>
    <w:div w:id="561255252">
      <w:bodyDiv w:val="1"/>
      <w:marLeft w:val="0"/>
      <w:marRight w:val="0"/>
      <w:marTop w:val="0"/>
      <w:marBottom w:val="0"/>
      <w:divBdr>
        <w:top w:val="none" w:sz="0" w:space="0" w:color="auto"/>
        <w:left w:val="none" w:sz="0" w:space="0" w:color="auto"/>
        <w:bottom w:val="none" w:sz="0" w:space="0" w:color="auto"/>
        <w:right w:val="none" w:sz="0" w:space="0" w:color="auto"/>
      </w:divBdr>
    </w:div>
    <w:div w:id="563103422">
      <w:bodyDiv w:val="1"/>
      <w:marLeft w:val="0"/>
      <w:marRight w:val="0"/>
      <w:marTop w:val="0"/>
      <w:marBottom w:val="0"/>
      <w:divBdr>
        <w:top w:val="none" w:sz="0" w:space="0" w:color="auto"/>
        <w:left w:val="none" w:sz="0" w:space="0" w:color="auto"/>
        <w:bottom w:val="none" w:sz="0" w:space="0" w:color="auto"/>
        <w:right w:val="none" w:sz="0" w:space="0" w:color="auto"/>
      </w:divBdr>
    </w:div>
    <w:div w:id="571817679">
      <w:bodyDiv w:val="1"/>
      <w:marLeft w:val="0"/>
      <w:marRight w:val="0"/>
      <w:marTop w:val="0"/>
      <w:marBottom w:val="0"/>
      <w:divBdr>
        <w:top w:val="none" w:sz="0" w:space="0" w:color="auto"/>
        <w:left w:val="none" w:sz="0" w:space="0" w:color="auto"/>
        <w:bottom w:val="none" w:sz="0" w:space="0" w:color="auto"/>
        <w:right w:val="none" w:sz="0" w:space="0" w:color="auto"/>
      </w:divBdr>
    </w:div>
    <w:div w:id="576092290">
      <w:bodyDiv w:val="1"/>
      <w:marLeft w:val="0"/>
      <w:marRight w:val="0"/>
      <w:marTop w:val="0"/>
      <w:marBottom w:val="0"/>
      <w:divBdr>
        <w:top w:val="none" w:sz="0" w:space="0" w:color="auto"/>
        <w:left w:val="none" w:sz="0" w:space="0" w:color="auto"/>
        <w:bottom w:val="none" w:sz="0" w:space="0" w:color="auto"/>
        <w:right w:val="none" w:sz="0" w:space="0" w:color="auto"/>
      </w:divBdr>
    </w:div>
    <w:div w:id="583996038">
      <w:bodyDiv w:val="1"/>
      <w:marLeft w:val="0"/>
      <w:marRight w:val="0"/>
      <w:marTop w:val="0"/>
      <w:marBottom w:val="0"/>
      <w:divBdr>
        <w:top w:val="none" w:sz="0" w:space="0" w:color="auto"/>
        <w:left w:val="none" w:sz="0" w:space="0" w:color="auto"/>
        <w:bottom w:val="none" w:sz="0" w:space="0" w:color="auto"/>
        <w:right w:val="none" w:sz="0" w:space="0" w:color="auto"/>
      </w:divBdr>
      <w:divsChild>
        <w:div w:id="2146384177">
          <w:marLeft w:val="0"/>
          <w:marRight w:val="0"/>
          <w:marTop w:val="0"/>
          <w:marBottom w:val="0"/>
          <w:divBdr>
            <w:top w:val="none" w:sz="0" w:space="0" w:color="auto"/>
            <w:left w:val="none" w:sz="0" w:space="0" w:color="auto"/>
            <w:bottom w:val="none" w:sz="0" w:space="0" w:color="auto"/>
            <w:right w:val="none" w:sz="0" w:space="0" w:color="auto"/>
          </w:divBdr>
          <w:divsChild>
            <w:div w:id="135345322">
              <w:marLeft w:val="0"/>
              <w:marRight w:val="0"/>
              <w:marTop w:val="0"/>
              <w:marBottom w:val="0"/>
              <w:divBdr>
                <w:top w:val="none" w:sz="0" w:space="0" w:color="auto"/>
                <w:left w:val="none" w:sz="0" w:space="0" w:color="auto"/>
                <w:bottom w:val="none" w:sz="0" w:space="0" w:color="auto"/>
                <w:right w:val="none" w:sz="0" w:space="0" w:color="auto"/>
              </w:divBdr>
              <w:divsChild>
                <w:div w:id="543830620">
                  <w:marLeft w:val="0"/>
                  <w:marRight w:val="0"/>
                  <w:marTop w:val="0"/>
                  <w:marBottom w:val="0"/>
                  <w:divBdr>
                    <w:top w:val="none" w:sz="0" w:space="0" w:color="auto"/>
                    <w:left w:val="none" w:sz="0" w:space="0" w:color="auto"/>
                    <w:bottom w:val="none" w:sz="0" w:space="0" w:color="auto"/>
                    <w:right w:val="none" w:sz="0" w:space="0" w:color="auto"/>
                  </w:divBdr>
                  <w:divsChild>
                    <w:div w:id="997078934">
                      <w:marLeft w:val="0"/>
                      <w:marRight w:val="0"/>
                      <w:marTop w:val="0"/>
                      <w:marBottom w:val="0"/>
                      <w:divBdr>
                        <w:top w:val="none" w:sz="0" w:space="0" w:color="auto"/>
                        <w:left w:val="none" w:sz="0" w:space="0" w:color="auto"/>
                        <w:bottom w:val="none" w:sz="0" w:space="0" w:color="auto"/>
                        <w:right w:val="none" w:sz="0" w:space="0" w:color="auto"/>
                      </w:divBdr>
                      <w:divsChild>
                        <w:div w:id="1095712727">
                          <w:marLeft w:val="0"/>
                          <w:marRight w:val="0"/>
                          <w:marTop w:val="0"/>
                          <w:marBottom w:val="0"/>
                          <w:divBdr>
                            <w:top w:val="none" w:sz="0" w:space="0" w:color="auto"/>
                            <w:left w:val="none" w:sz="0" w:space="0" w:color="auto"/>
                            <w:bottom w:val="none" w:sz="0" w:space="0" w:color="auto"/>
                            <w:right w:val="none" w:sz="0" w:space="0" w:color="auto"/>
                          </w:divBdr>
                          <w:divsChild>
                            <w:div w:id="1105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39508">
      <w:bodyDiv w:val="1"/>
      <w:marLeft w:val="0"/>
      <w:marRight w:val="0"/>
      <w:marTop w:val="0"/>
      <w:marBottom w:val="0"/>
      <w:divBdr>
        <w:top w:val="none" w:sz="0" w:space="0" w:color="auto"/>
        <w:left w:val="none" w:sz="0" w:space="0" w:color="auto"/>
        <w:bottom w:val="none" w:sz="0" w:space="0" w:color="auto"/>
        <w:right w:val="none" w:sz="0" w:space="0" w:color="auto"/>
      </w:divBdr>
    </w:div>
    <w:div w:id="596868034">
      <w:bodyDiv w:val="1"/>
      <w:marLeft w:val="0"/>
      <w:marRight w:val="0"/>
      <w:marTop w:val="0"/>
      <w:marBottom w:val="0"/>
      <w:divBdr>
        <w:top w:val="none" w:sz="0" w:space="0" w:color="auto"/>
        <w:left w:val="none" w:sz="0" w:space="0" w:color="auto"/>
        <w:bottom w:val="none" w:sz="0" w:space="0" w:color="auto"/>
        <w:right w:val="none" w:sz="0" w:space="0" w:color="auto"/>
      </w:divBdr>
    </w:div>
    <w:div w:id="598607862">
      <w:bodyDiv w:val="1"/>
      <w:marLeft w:val="0"/>
      <w:marRight w:val="0"/>
      <w:marTop w:val="0"/>
      <w:marBottom w:val="0"/>
      <w:divBdr>
        <w:top w:val="none" w:sz="0" w:space="0" w:color="auto"/>
        <w:left w:val="none" w:sz="0" w:space="0" w:color="auto"/>
        <w:bottom w:val="none" w:sz="0" w:space="0" w:color="auto"/>
        <w:right w:val="none" w:sz="0" w:space="0" w:color="auto"/>
      </w:divBdr>
    </w:div>
    <w:div w:id="605044288">
      <w:bodyDiv w:val="1"/>
      <w:marLeft w:val="0"/>
      <w:marRight w:val="0"/>
      <w:marTop w:val="0"/>
      <w:marBottom w:val="0"/>
      <w:divBdr>
        <w:top w:val="none" w:sz="0" w:space="0" w:color="auto"/>
        <w:left w:val="none" w:sz="0" w:space="0" w:color="auto"/>
        <w:bottom w:val="none" w:sz="0" w:space="0" w:color="auto"/>
        <w:right w:val="none" w:sz="0" w:space="0" w:color="auto"/>
      </w:divBdr>
      <w:divsChild>
        <w:div w:id="1701475130">
          <w:marLeft w:val="0"/>
          <w:marRight w:val="0"/>
          <w:marTop w:val="0"/>
          <w:marBottom w:val="0"/>
          <w:divBdr>
            <w:top w:val="none" w:sz="0" w:space="0" w:color="auto"/>
            <w:left w:val="none" w:sz="0" w:space="0" w:color="auto"/>
            <w:bottom w:val="none" w:sz="0" w:space="0" w:color="auto"/>
            <w:right w:val="none" w:sz="0" w:space="0" w:color="auto"/>
          </w:divBdr>
          <w:divsChild>
            <w:div w:id="1315915840">
              <w:marLeft w:val="0"/>
              <w:marRight w:val="0"/>
              <w:marTop w:val="0"/>
              <w:marBottom w:val="0"/>
              <w:divBdr>
                <w:top w:val="none" w:sz="0" w:space="0" w:color="auto"/>
                <w:left w:val="none" w:sz="0" w:space="0" w:color="auto"/>
                <w:bottom w:val="none" w:sz="0" w:space="0" w:color="auto"/>
                <w:right w:val="none" w:sz="0" w:space="0" w:color="auto"/>
              </w:divBdr>
              <w:divsChild>
                <w:div w:id="797182118">
                  <w:marLeft w:val="0"/>
                  <w:marRight w:val="0"/>
                  <w:marTop w:val="0"/>
                  <w:marBottom w:val="0"/>
                  <w:divBdr>
                    <w:top w:val="none" w:sz="0" w:space="0" w:color="auto"/>
                    <w:left w:val="none" w:sz="0" w:space="0" w:color="auto"/>
                    <w:bottom w:val="none" w:sz="0" w:space="0" w:color="auto"/>
                    <w:right w:val="none" w:sz="0" w:space="0" w:color="auto"/>
                  </w:divBdr>
                  <w:divsChild>
                    <w:div w:id="1069157224">
                      <w:marLeft w:val="0"/>
                      <w:marRight w:val="0"/>
                      <w:marTop w:val="0"/>
                      <w:marBottom w:val="0"/>
                      <w:divBdr>
                        <w:top w:val="none" w:sz="0" w:space="0" w:color="auto"/>
                        <w:left w:val="none" w:sz="0" w:space="0" w:color="auto"/>
                        <w:bottom w:val="none" w:sz="0" w:space="0" w:color="auto"/>
                        <w:right w:val="none" w:sz="0" w:space="0" w:color="auto"/>
                      </w:divBdr>
                      <w:divsChild>
                        <w:div w:id="631403316">
                          <w:marLeft w:val="0"/>
                          <w:marRight w:val="0"/>
                          <w:marTop w:val="0"/>
                          <w:marBottom w:val="0"/>
                          <w:divBdr>
                            <w:top w:val="none" w:sz="0" w:space="0" w:color="auto"/>
                            <w:left w:val="none" w:sz="0" w:space="0" w:color="auto"/>
                            <w:bottom w:val="none" w:sz="0" w:space="0" w:color="auto"/>
                            <w:right w:val="none" w:sz="0" w:space="0" w:color="auto"/>
                          </w:divBdr>
                          <w:divsChild>
                            <w:div w:id="20012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408855">
      <w:bodyDiv w:val="1"/>
      <w:marLeft w:val="0"/>
      <w:marRight w:val="0"/>
      <w:marTop w:val="0"/>
      <w:marBottom w:val="0"/>
      <w:divBdr>
        <w:top w:val="none" w:sz="0" w:space="0" w:color="auto"/>
        <w:left w:val="none" w:sz="0" w:space="0" w:color="auto"/>
        <w:bottom w:val="none" w:sz="0" w:space="0" w:color="auto"/>
        <w:right w:val="none" w:sz="0" w:space="0" w:color="auto"/>
      </w:divBdr>
    </w:div>
    <w:div w:id="635376542">
      <w:bodyDiv w:val="1"/>
      <w:marLeft w:val="0"/>
      <w:marRight w:val="0"/>
      <w:marTop w:val="0"/>
      <w:marBottom w:val="0"/>
      <w:divBdr>
        <w:top w:val="none" w:sz="0" w:space="0" w:color="auto"/>
        <w:left w:val="none" w:sz="0" w:space="0" w:color="auto"/>
        <w:bottom w:val="none" w:sz="0" w:space="0" w:color="auto"/>
        <w:right w:val="none" w:sz="0" w:space="0" w:color="auto"/>
      </w:divBdr>
    </w:div>
    <w:div w:id="650407626">
      <w:bodyDiv w:val="1"/>
      <w:marLeft w:val="0"/>
      <w:marRight w:val="0"/>
      <w:marTop w:val="0"/>
      <w:marBottom w:val="0"/>
      <w:divBdr>
        <w:top w:val="none" w:sz="0" w:space="0" w:color="auto"/>
        <w:left w:val="none" w:sz="0" w:space="0" w:color="auto"/>
        <w:bottom w:val="none" w:sz="0" w:space="0" w:color="auto"/>
        <w:right w:val="none" w:sz="0" w:space="0" w:color="auto"/>
      </w:divBdr>
    </w:div>
    <w:div w:id="653335012">
      <w:bodyDiv w:val="1"/>
      <w:marLeft w:val="0"/>
      <w:marRight w:val="0"/>
      <w:marTop w:val="0"/>
      <w:marBottom w:val="0"/>
      <w:divBdr>
        <w:top w:val="none" w:sz="0" w:space="0" w:color="auto"/>
        <w:left w:val="none" w:sz="0" w:space="0" w:color="auto"/>
        <w:bottom w:val="none" w:sz="0" w:space="0" w:color="auto"/>
        <w:right w:val="none" w:sz="0" w:space="0" w:color="auto"/>
      </w:divBdr>
    </w:div>
    <w:div w:id="653531883">
      <w:bodyDiv w:val="1"/>
      <w:marLeft w:val="0"/>
      <w:marRight w:val="0"/>
      <w:marTop w:val="0"/>
      <w:marBottom w:val="0"/>
      <w:divBdr>
        <w:top w:val="none" w:sz="0" w:space="0" w:color="auto"/>
        <w:left w:val="none" w:sz="0" w:space="0" w:color="auto"/>
        <w:bottom w:val="none" w:sz="0" w:space="0" w:color="auto"/>
        <w:right w:val="none" w:sz="0" w:space="0" w:color="auto"/>
      </w:divBdr>
    </w:div>
    <w:div w:id="658535384">
      <w:bodyDiv w:val="1"/>
      <w:marLeft w:val="0"/>
      <w:marRight w:val="0"/>
      <w:marTop w:val="0"/>
      <w:marBottom w:val="0"/>
      <w:divBdr>
        <w:top w:val="none" w:sz="0" w:space="0" w:color="auto"/>
        <w:left w:val="none" w:sz="0" w:space="0" w:color="auto"/>
        <w:bottom w:val="none" w:sz="0" w:space="0" w:color="auto"/>
        <w:right w:val="none" w:sz="0" w:space="0" w:color="auto"/>
      </w:divBdr>
      <w:divsChild>
        <w:div w:id="597296863">
          <w:marLeft w:val="0"/>
          <w:marRight w:val="0"/>
          <w:marTop w:val="0"/>
          <w:marBottom w:val="0"/>
          <w:divBdr>
            <w:top w:val="none" w:sz="0" w:space="0" w:color="auto"/>
            <w:left w:val="none" w:sz="0" w:space="0" w:color="auto"/>
            <w:bottom w:val="none" w:sz="0" w:space="0" w:color="auto"/>
            <w:right w:val="none" w:sz="0" w:space="0" w:color="auto"/>
          </w:divBdr>
          <w:divsChild>
            <w:div w:id="471411436">
              <w:marLeft w:val="0"/>
              <w:marRight w:val="0"/>
              <w:marTop w:val="0"/>
              <w:marBottom w:val="0"/>
              <w:divBdr>
                <w:top w:val="none" w:sz="0" w:space="0" w:color="auto"/>
                <w:left w:val="none" w:sz="0" w:space="0" w:color="auto"/>
                <w:bottom w:val="none" w:sz="0" w:space="0" w:color="auto"/>
                <w:right w:val="none" w:sz="0" w:space="0" w:color="auto"/>
              </w:divBdr>
              <w:divsChild>
                <w:div w:id="1820801072">
                  <w:marLeft w:val="0"/>
                  <w:marRight w:val="0"/>
                  <w:marTop w:val="0"/>
                  <w:marBottom w:val="0"/>
                  <w:divBdr>
                    <w:top w:val="none" w:sz="0" w:space="0" w:color="auto"/>
                    <w:left w:val="none" w:sz="0" w:space="0" w:color="auto"/>
                    <w:bottom w:val="none" w:sz="0" w:space="0" w:color="auto"/>
                    <w:right w:val="none" w:sz="0" w:space="0" w:color="auto"/>
                  </w:divBdr>
                  <w:divsChild>
                    <w:div w:id="2061518332">
                      <w:marLeft w:val="0"/>
                      <w:marRight w:val="0"/>
                      <w:marTop w:val="0"/>
                      <w:marBottom w:val="0"/>
                      <w:divBdr>
                        <w:top w:val="none" w:sz="0" w:space="0" w:color="auto"/>
                        <w:left w:val="none" w:sz="0" w:space="0" w:color="auto"/>
                        <w:bottom w:val="none" w:sz="0" w:space="0" w:color="auto"/>
                        <w:right w:val="none" w:sz="0" w:space="0" w:color="auto"/>
                      </w:divBdr>
                      <w:divsChild>
                        <w:div w:id="779371925">
                          <w:marLeft w:val="0"/>
                          <w:marRight w:val="0"/>
                          <w:marTop w:val="0"/>
                          <w:marBottom w:val="0"/>
                          <w:divBdr>
                            <w:top w:val="none" w:sz="0" w:space="0" w:color="auto"/>
                            <w:left w:val="none" w:sz="0" w:space="0" w:color="auto"/>
                            <w:bottom w:val="none" w:sz="0" w:space="0" w:color="auto"/>
                            <w:right w:val="none" w:sz="0" w:space="0" w:color="auto"/>
                          </w:divBdr>
                          <w:divsChild>
                            <w:div w:id="11176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45603">
      <w:bodyDiv w:val="1"/>
      <w:marLeft w:val="0"/>
      <w:marRight w:val="0"/>
      <w:marTop w:val="0"/>
      <w:marBottom w:val="0"/>
      <w:divBdr>
        <w:top w:val="none" w:sz="0" w:space="0" w:color="auto"/>
        <w:left w:val="none" w:sz="0" w:space="0" w:color="auto"/>
        <w:bottom w:val="none" w:sz="0" w:space="0" w:color="auto"/>
        <w:right w:val="none" w:sz="0" w:space="0" w:color="auto"/>
      </w:divBdr>
    </w:div>
    <w:div w:id="661738285">
      <w:bodyDiv w:val="1"/>
      <w:marLeft w:val="0"/>
      <w:marRight w:val="0"/>
      <w:marTop w:val="0"/>
      <w:marBottom w:val="0"/>
      <w:divBdr>
        <w:top w:val="none" w:sz="0" w:space="0" w:color="auto"/>
        <w:left w:val="none" w:sz="0" w:space="0" w:color="auto"/>
        <w:bottom w:val="none" w:sz="0" w:space="0" w:color="auto"/>
        <w:right w:val="none" w:sz="0" w:space="0" w:color="auto"/>
      </w:divBdr>
      <w:divsChild>
        <w:div w:id="632323921">
          <w:marLeft w:val="0"/>
          <w:marRight w:val="0"/>
          <w:marTop w:val="0"/>
          <w:marBottom w:val="225"/>
          <w:divBdr>
            <w:top w:val="none" w:sz="0" w:space="0" w:color="auto"/>
            <w:left w:val="none" w:sz="0" w:space="0" w:color="auto"/>
            <w:bottom w:val="none" w:sz="0" w:space="0" w:color="auto"/>
            <w:right w:val="none" w:sz="0" w:space="0" w:color="auto"/>
          </w:divBdr>
        </w:div>
        <w:div w:id="877812727">
          <w:marLeft w:val="0"/>
          <w:marRight w:val="0"/>
          <w:marTop w:val="0"/>
          <w:marBottom w:val="225"/>
          <w:divBdr>
            <w:top w:val="none" w:sz="0" w:space="0" w:color="auto"/>
            <w:left w:val="none" w:sz="0" w:space="0" w:color="auto"/>
            <w:bottom w:val="none" w:sz="0" w:space="0" w:color="auto"/>
            <w:right w:val="none" w:sz="0" w:space="0" w:color="auto"/>
          </w:divBdr>
        </w:div>
        <w:div w:id="1099987277">
          <w:marLeft w:val="0"/>
          <w:marRight w:val="0"/>
          <w:marTop w:val="0"/>
          <w:marBottom w:val="225"/>
          <w:divBdr>
            <w:top w:val="none" w:sz="0" w:space="0" w:color="auto"/>
            <w:left w:val="none" w:sz="0" w:space="0" w:color="auto"/>
            <w:bottom w:val="none" w:sz="0" w:space="0" w:color="auto"/>
            <w:right w:val="none" w:sz="0" w:space="0" w:color="auto"/>
          </w:divBdr>
        </w:div>
        <w:div w:id="2041121721">
          <w:marLeft w:val="0"/>
          <w:marRight w:val="0"/>
          <w:marTop w:val="0"/>
          <w:marBottom w:val="225"/>
          <w:divBdr>
            <w:top w:val="none" w:sz="0" w:space="0" w:color="auto"/>
            <w:left w:val="none" w:sz="0" w:space="0" w:color="auto"/>
            <w:bottom w:val="none" w:sz="0" w:space="0" w:color="auto"/>
            <w:right w:val="none" w:sz="0" w:space="0" w:color="auto"/>
          </w:divBdr>
        </w:div>
      </w:divsChild>
    </w:div>
    <w:div w:id="672223767">
      <w:bodyDiv w:val="1"/>
      <w:marLeft w:val="0"/>
      <w:marRight w:val="0"/>
      <w:marTop w:val="0"/>
      <w:marBottom w:val="0"/>
      <w:divBdr>
        <w:top w:val="none" w:sz="0" w:space="0" w:color="auto"/>
        <w:left w:val="none" w:sz="0" w:space="0" w:color="auto"/>
        <w:bottom w:val="none" w:sz="0" w:space="0" w:color="auto"/>
        <w:right w:val="none" w:sz="0" w:space="0" w:color="auto"/>
      </w:divBdr>
    </w:div>
    <w:div w:id="675886201">
      <w:bodyDiv w:val="1"/>
      <w:marLeft w:val="0"/>
      <w:marRight w:val="0"/>
      <w:marTop w:val="0"/>
      <w:marBottom w:val="0"/>
      <w:divBdr>
        <w:top w:val="none" w:sz="0" w:space="0" w:color="auto"/>
        <w:left w:val="none" w:sz="0" w:space="0" w:color="auto"/>
        <w:bottom w:val="none" w:sz="0" w:space="0" w:color="auto"/>
        <w:right w:val="none" w:sz="0" w:space="0" w:color="auto"/>
      </w:divBdr>
    </w:div>
    <w:div w:id="696810641">
      <w:bodyDiv w:val="1"/>
      <w:marLeft w:val="0"/>
      <w:marRight w:val="0"/>
      <w:marTop w:val="0"/>
      <w:marBottom w:val="0"/>
      <w:divBdr>
        <w:top w:val="none" w:sz="0" w:space="0" w:color="auto"/>
        <w:left w:val="none" w:sz="0" w:space="0" w:color="auto"/>
        <w:bottom w:val="none" w:sz="0" w:space="0" w:color="auto"/>
        <w:right w:val="none" w:sz="0" w:space="0" w:color="auto"/>
      </w:divBdr>
      <w:divsChild>
        <w:div w:id="940649980">
          <w:marLeft w:val="0"/>
          <w:marRight w:val="0"/>
          <w:marTop w:val="0"/>
          <w:marBottom w:val="0"/>
          <w:divBdr>
            <w:top w:val="none" w:sz="0" w:space="0" w:color="auto"/>
            <w:left w:val="none" w:sz="0" w:space="0" w:color="auto"/>
            <w:bottom w:val="none" w:sz="0" w:space="0" w:color="auto"/>
            <w:right w:val="none" w:sz="0" w:space="0" w:color="auto"/>
          </w:divBdr>
        </w:div>
      </w:divsChild>
    </w:div>
    <w:div w:id="698314543">
      <w:bodyDiv w:val="1"/>
      <w:marLeft w:val="0"/>
      <w:marRight w:val="0"/>
      <w:marTop w:val="0"/>
      <w:marBottom w:val="0"/>
      <w:divBdr>
        <w:top w:val="none" w:sz="0" w:space="0" w:color="auto"/>
        <w:left w:val="none" w:sz="0" w:space="0" w:color="auto"/>
        <w:bottom w:val="none" w:sz="0" w:space="0" w:color="auto"/>
        <w:right w:val="none" w:sz="0" w:space="0" w:color="auto"/>
      </w:divBdr>
      <w:divsChild>
        <w:div w:id="1529639758">
          <w:marLeft w:val="0"/>
          <w:marRight w:val="0"/>
          <w:marTop w:val="0"/>
          <w:marBottom w:val="0"/>
          <w:divBdr>
            <w:top w:val="none" w:sz="0" w:space="0" w:color="auto"/>
            <w:left w:val="none" w:sz="0" w:space="0" w:color="auto"/>
            <w:bottom w:val="none" w:sz="0" w:space="0" w:color="auto"/>
            <w:right w:val="none" w:sz="0" w:space="0" w:color="auto"/>
          </w:divBdr>
          <w:divsChild>
            <w:div w:id="794712212">
              <w:marLeft w:val="0"/>
              <w:marRight w:val="0"/>
              <w:marTop w:val="0"/>
              <w:marBottom w:val="0"/>
              <w:divBdr>
                <w:top w:val="none" w:sz="0" w:space="0" w:color="auto"/>
                <w:left w:val="none" w:sz="0" w:space="0" w:color="auto"/>
                <w:bottom w:val="none" w:sz="0" w:space="0" w:color="auto"/>
                <w:right w:val="none" w:sz="0" w:space="0" w:color="auto"/>
              </w:divBdr>
              <w:divsChild>
                <w:div w:id="2069304086">
                  <w:marLeft w:val="0"/>
                  <w:marRight w:val="0"/>
                  <w:marTop w:val="0"/>
                  <w:marBottom w:val="0"/>
                  <w:divBdr>
                    <w:top w:val="none" w:sz="0" w:space="0" w:color="auto"/>
                    <w:left w:val="none" w:sz="0" w:space="0" w:color="auto"/>
                    <w:bottom w:val="none" w:sz="0" w:space="0" w:color="auto"/>
                    <w:right w:val="none" w:sz="0" w:space="0" w:color="auto"/>
                  </w:divBdr>
                  <w:divsChild>
                    <w:div w:id="508836558">
                      <w:marLeft w:val="0"/>
                      <w:marRight w:val="0"/>
                      <w:marTop w:val="0"/>
                      <w:marBottom w:val="0"/>
                      <w:divBdr>
                        <w:top w:val="none" w:sz="0" w:space="0" w:color="auto"/>
                        <w:left w:val="none" w:sz="0" w:space="0" w:color="auto"/>
                        <w:bottom w:val="none" w:sz="0" w:space="0" w:color="auto"/>
                        <w:right w:val="none" w:sz="0" w:space="0" w:color="auto"/>
                      </w:divBdr>
                      <w:divsChild>
                        <w:div w:id="788166802">
                          <w:marLeft w:val="0"/>
                          <w:marRight w:val="0"/>
                          <w:marTop w:val="0"/>
                          <w:marBottom w:val="0"/>
                          <w:divBdr>
                            <w:top w:val="none" w:sz="0" w:space="0" w:color="auto"/>
                            <w:left w:val="none" w:sz="0" w:space="0" w:color="auto"/>
                            <w:bottom w:val="none" w:sz="0" w:space="0" w:color="auto"/>
                            <w:right w:val="none" w:sz="0" w:space="0" w:color="auto"/>
                          </w:divBdr>
                          <w:divsChild>
                            <w:div w:id="16791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629169">
      <w:bodyDiv w:val="1"/>
      <w:marLeft w:val="0"/>
      <w:marRight w:val="0"/>
      <w:marTop w:val="0"/>
      <w:marBottom w:val="0"/>
      <w:divBdr>
        <w:top w:val="none" w:sz="0" w:space="0" w:color="auto"/>
        <w:left w:val="none" w:sz="0" w:space="0" w:color="auto"/>
        <w:bottom w:val="none" w:sz="0" w:space="0" w:color="auto"/>
        <w:right w:val="none" w:sz="0" w:space="0" w:color="auto"/>
      </w:divBdr>
    </w:div>
    <w:div w:id="708342208">
      <w:bodyDiv w:val="1"/>
      <w:marLeft w:val="0"/>
      <w:marRight w:val="0"/>
      <w:marTop w:val="0"/>
      <w:marBottom w:val="0"/>
      <w:divBdr>
        <w:top w:val="none" w:sz="0" w:space="0" w:color="auto"/>
        <w:left w:val="none" w:sz="0" w:space="0" w:color="auto"/>
        <w:bottom w:val="none" w:sz="0" w:space="0" w:color="auto"/>
        <w:right w:val="none" w:sz="0" w:space="0" w:color="auto"/>
      </w:divBdr>
      <w:divsChild>
        <w:div w:id="1452745348">
          <w:marLeft w:val="0"/>
          <w:marRight w:val="0"/>
          <w:marTop w:val="0"/>
          <w:marBottom w:val="0"/>
          <w:divBdr>
            <w:top w:val="none" w:sz="0" w:space="0" w:color="auto"/>
            <w:left w:val="none" w:sz="0" w:space="0" w:color="auto"/>
            <w:bottom w:val="none" w:sz="0" w:space="0" w:color="auto"/>
            <w:right w:val="none" w:sz="0" w:space="0" w:color="auto"/>
          </w:divBdr>
        </w:div>
      </w:divsChild>
    </w:div>
    <w:div w:id="708651288">
      <w:bodyDiv w:val="1"/>
      <w:marLeft w:val="0"/>
      <w:marRight w:val="0"/>
      <w:marTop w:val="0"/>
      <w:marBottom w:val="0"/>
      <w:divBdr>
        <w:top w:val="none" w:sz="0" w:space="0" w:color="auto"/>
        <w:left w:val="none" w:sz="0" w:space="0" w:color="auto"/>
        <w:bottom w:val="none" w:sz="0" w:space="0" w:color="auto"/>
        <w:right w:val="none" w:sz="0" w:space="0" w:color="auto"/>
      </w:divBdr>
      <w:divsChild>
        <w:div w:id="1269044884">
          <w:marLeft w:val="0"/>
          <w:marRight w:val="0"/>
          <w:marTop w:val="0"/>
          <w:marBottom w:val="0"/>
          <w:divBdr>
            <w:top w:val="none" w:sz="0" w:space="0" w:color="auto"/>
            <w:left w:val="none" w:sz="0" w:space="0" w:color="auto"/>
            <w:bottom w:val="none" w:sz="0" w:space="0" w:color="auto"/>
            <w:right w:val="none" w:sz="0" w:space="0" w:color="auto"/>
          </w:divBdr>
          <w:divsChild>
            <w:div w:id="902525098">
              <w:marLeft w:val="0"/>
              <w:marRight w:val="0"/>
              <w:marTop w:val="0"/>
              <w:marBottom w:val="0"/>
              <w:divBdr>
                <w:top w:val="none" w:sz="0" w:space="0" w:color="auto"/>
                <w:left w:val="none" w:sz="0" w:space="0" w:color="auto"/>
                <w:bottom w:val="none" w:sz="0" w:space="0" w:color="auto"/>
                <w:right w:val="none" w:sz="0" w:space="0" w:color="auto"/>
              </w:divBdr>
              <w:divsChild>
                <w:div w:id="1939093262">
                  <w:marLeft w:val="0"/>
                  <w:marRight w:val="0"/>
                  <w:marTop w:val="0"/>
                  <w:marBottom w:val="0"/>
                  <w:divBdr>
                    <w:top w:val="none" w:sz="0" w:space="0" w:color="auto"/>
                    <w:left w:val="none" w:sz="0" w:space="0" w:color="auto"/>
                    <w:bottom w:val="none" w:sz="0" w:space="0" w:color="auto"/>
                    <w:right w:val="none" w:sz="0" w:space="0" w:color="auto"/>
                  </w:divBdr>
                  <w:divsChild>
                    <w:div w:id="55979234">
                      <w:marLeft w:val="0"/>
                      <w:marRight w:val="0"/>
                      <w:marTop w:val="0"/>
                      <w:marBottom w:val="0"/>
                      <w:divBdr>
                        <w:top w:val="none" w:sz="0" w:space="0" w:color="auto"/>
                        <w:left w:val="none" w:sz="0" w:space="0" w:color="auto"/>
                        <w:bottom w:val="none" w:sz="0" w:space="0" w:color="auto"/>
                        <w:right w:val="none" w:sz="0" w:space="0" w:color="auto"/>
                      </w:divBdr>
                      <w:divsChild>
                        <w:div w:id="1678726357">
                          <w:marLeft w:val="0"/>
                          <w:marRight w:val="0"/>
                          <w:marTop w:val="0"/>
                          <w:marBottom w:val="0"/>
                          <w:divBdr>
                            <w:top w:val="none" w:sz="0" w:space="0" w:color="auto"/>
                            <w:left w:val="none" w:sz="0" w:space="0" w:color="auto"/>
                            <w:bottom w:val="none" w:sz="0" w:space="0" w:color="auto"/>
                            <w:right w:val="none" w:sz="0" w:space="0" w:color="auto"/>
                          </w:divBdr>
                          <w:divsChild>
                            <w:div w:id="10926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39886">
      <w:bodyDiv w:val="1"/>
      <w:marLeft w:val="0"/>
      <w:marRight w:val="0"/>
      <w:marTop w:val="0"/>
      <w:marBottom w:val="0"/>
      <w:divBdr>
        <w:top w:val="none" w:sz="0" w:space="0" w:color="auto"/>
        <w:left w:val="none" w:sz="0" w:space="0" w:color="auto"/>
        <w:bottom w:val="none" w:sz="0" w:space="0" w:color="auto"/>
        <w:right w:val="none" w:sz="0" w:space="0" w:color="auto"/>
      </w:divBdr>
    </w:div>
    <w:div w:id="725182280">
      <w:bodyDiv w:val="1"/>
      <w:marLeft w:val="0"/>
      <w:marRight w:val="0"/>
      <w:marTop w:val="0"/>
      <w:marBottom w:val="0"/>
      <w:divBdr>
        <w:top w:val="none" w:sz="0" w:space="0" w:color="auto"/>
        <w:left w:val="none" w:sz="0" w:space="0" w:color="auto"/>
        <w:bottom w:val="none" w:sz="0" w:space="0" w:color="auto"/>
        <w:right w:val="none" w:sz="0" w:space="0" w:color="auto"/>
      </w:divBdr>
    </w:div>
    <w:div w:id="726949424">
      <w:bodyDiv w:val="1"/>
      <w:marLeft w:val="0"/>
      <w:marRight w:val="0"/>
      <w:marTop w:val="0"/>
      <w:marBottom w:val="0"/>
      <w:divBdr>
        <w:top w:val="none" w:sz="0" w:space="0" w:color="auto"/>
        <w:left w:val="none" w:sz="0" w:space="0" w:color="auto"/>
        <w:bottom w:val="none" w:sz="0" w:space="0" w:color="auto"/>
        <w:right w:val="none" w:sz="0" w:space="0" w:color="auto"/>
      </w:divBdr>
      <w:divsChild>
        <w:div w:id="778718485">
          <w:marLeft w:val="0"/>
          <w:marRight w:val="0"/>
          <w:marTop w:val="0"/>
          <w:marBottom w:val="180"/>
          <w:divBdr>
            <w:top w:val="none" w:sz="0" w:space="0" w:color="auto"/>
            <w:left w:val="none" w:sz="0" w:space="0" w:color="auto"/>
            <w:bottom w:val="none" w:sz="0" w:space="0" w:color="auto"/>
            <w:right w:val="none" w:sz="0" w:space="0" w:color="auto"/>
          </w:divBdr>
        </w:div>
        <w:div w:id="1730766387">
          <w:marLeft w:val="0"/>
          <w:marRight w:val="0"/>
          <w:marTop w:val="0"/>
          <w:marBottom w:val="180"/>
          <w:divBdr>
            <w:top w:val="none" w:sz="0" w:space="0" w:color="auto"/>
            <w:left w:val="none" w:sz="0" w:space="0" w:color="auto"/>
            <w:bottom w:val="none" w:sz="0" w:space="0" w:color="auto"/>
            <w:right w:val="none" w:sz="0" w:space="0" w:color="auto"/>
          </w:divBdr>
        </w:div>
        <w:div w:id="1775856131">
          <w:marLeft w:val="0"/>
          <w:marRight w:val="0"/>
          <w:marTop w:val="0"/>
          <w:marBottom w:val="180"/>
          <w:divBdr>
            <w:top w:val="none" w:sz="0" w:space="0" w:color="auto"/>
            <w:left w:val="none" w:sz="0" w:space="0" w:color="auto"/>
            <w:bottom w:val="none" w:sz="0" w:space="0" w:color="auto"/>
            <w:right w:val="none" w:sz="0" w:space="0" w:color="auto"/>
          </w:divBdr>
        </w:div>
      </w:divsChild>
    </w:div>
    <w:div w:id="728114867">
      <w:bodyDiv w:val="1"/>
      <w:marLeft w:val="0"/>
      <w:marRight w:val="0"/>
      <w:marTop w:val="0"/>
      <w:marBottom w:val="0"/>
      <w:divBdr>
        <w:top w:val="none" w:sz="0" w:space="0" w:color="auto"/>
        <w:left w:val="none" w:sz="0" w:space="0" w:color="auto"/>
        <w:bottom w:val="none" w:sz="0" w:space="0" w:color="auto"/>
        <w:right w:val="none" w:sz="0" w:space="0" w:color="auto"/>
      </w:divBdr>
    </w:div>
    <w:div w:id="739207635">
      <w:bodyDiv w:val="1"/>
      <w:marLeft w:val="0"/>
      <w:marRight w:val="0"/>
      <w:marTop w:val="0"/>
      <w:marBottom w:val="0"/>
      <w:divBdr>
        <w:top w:val="none" w:sz="0" w:space="0" w:color="auto"/>
        <w:left w:val="none" w:sz="0" w:space="0" w:color="auto"/>
        <w:bottom w:val="none" w:sz="0" w:space="0" w:color="auto"/>
        <w:right w:val="none" w:sz="0" w:space="0" w:color="auto"/>
      </w:divBdr>
    </w:div>
    <w:div w:id="739711968">
      <w:bodyDiv w:val="1"/>
      <w:marLeft w:val="0"/>
      <w:marRight w:val="0"/>
      <w:marTop w:val="0"/>
      <w:marBottom w:val="0"/>
      <w:divBdr>
        <w:top w:val="none" w:sz="0" w:space="0" w:color="auto"/>
        <w:left w:val="none" w:sz="0" w:space="0" w:color="auto"/>
        <w:bottom w:val="none" w:sz="0" w:space="0" w:color="auto"/>
        <w:right w:val="none" w:sz="0" w:space="0" w:color="auto"/>
      </w:divBdr>
      <w:divsChild>
        <w:div w:id="1418403010">
          <w:marLeft w:val="0"/>
          <w:marRight w:val="0"/>
          <w:marTop w:val="0"/>
          <w:marBottom w:val="225"/>
          <w:divBdr>
            <w:top w:val="none" w:sz="0" w:space="0" w:color="auto"/>
            <w:left w:val="none" w:sz="0" w:space="0" w:color="auto"/>
            <w:bottom w:val="none" w:sz="0" w:space="0" w:color="auto"/>
            <w:right w:val="none" w:sz="0" w:space="0" w:color="auto"/>
          </w:divBdr>
        </w:div>
        <w:div w:id="1494956654">
          <w:marLeft w:val="0"/>
          <w:marRight w:val="0"/>
          <w:marTop w:val="0"/>
          <w:marBottom w:val="225"/>
          <w:divBdr>
            <w:top w:val="none" w:sz="0" w:space="0" w:color="auto"/>
            <w:left w:val="none" w:sz="0" w:space="0" w:color="auto"/>
            <w:bottom w:val="none" w:sz="0" w:space="0" w:color="auto"/>
            <w:right w:val="none" w:sz="0" w:space="0" w:color="auto"/>
          </w:divBdr>
        </w:div>
      </w:divsChild>
    </w:div>
    <w:div w:id="739717456">
      <w:bodyDiv w:val="1"/>
      <w:marLeft w:val="0"/>
      <w:marRight w:val="0"/>
      <w:marTop w:val="0"/>
      <w:marBottom w:val="0"/>
      <w:divBdr>
        <w:top w:val="none" w:sz="0" w:space="0" w:color="auto"/>
        <w:left w:val="none" w:sz="0" w:space="0" w:color="auto"/>
        <w:bottom w:val="none" w:sz="0" w:space="0" w:color="auto"/>
        <w:right w:val="none" w:sz="0" w:space="0" w:color="auto"/>
      </w:divBdr>
      <w:divsChild>
        <w:div w:id="24410430">
          <w:marLeft w:val="0"/>
          <w:marRight w:val="0"/>
          <w:marTop w:val="0"/>
          <w:marBottom w:val="0"/>
          <w:divBdr>
            <w:top w:val="none" w:sz="0" w:space="0" w:color="auto"/>
            <w:left w:val="none" w:sz="0" w:space="0" w:color="auto"/>
            <w:bottom w:val="none" w:sz="0" w:space="0" w:color="auto"/>
            <w:right w:val="none" w:sz="0" w:space="0" w:color="auto"/>
          </w:divBdr>
        </w:div>
        <w:div w:id="128788114">
          <w:marLeft w:val="0"/>
          <w:marRight w:val="0"/>
          <w:marTop w:val="0"/>
          <w:marBottom w:val="0"/>
          <w:divBdr>
            <w:top w:val="none" w:sz="0" w:space="0" w:color="auto"/>
            <w:left w:val="none" w:sz="0" w:space="0" w:color="auto"/>
            <w:bottom w:val="none" w:sz="0" w:space="0" w:color="auto"/>
            <w:right w:val="none" w:sz="0" w:space="0" w:color="auto"/>
          </w:divBdr>
        </w:div>
        <w:div w:id="280962566">
          <w:marLeft w:val="0"/>
          <w:marRight w:val="0"/>
          <w:marTop w:val="0"/>
          <w:marBottom w:val="0"/>
          <w:divBdr>
            <w:top w:val="none" w:sz="0" w:space="0" w:color="auto"/>
            <w:left w:val="none" w:sz="0" w:space="0" w:color="auto"/>
            <w:bottom w:val="none" w:sz="0" w:space="0" w:color="auto"/>
            <w:right w:val="none" w:sz="0" w:space="0" w:color="auto"/>
          </w:divBdr>
        </w:div>
        <w:div w:id="303046919">
          <w:marLeft w:val="0"/>
          <w:marRight w:val="0"/>
          <w:marTop w:val="0"/>
          <w:marBottom w:val="0"/>
          <w:divBdr>
            <w:top w:val="none" w:sz="0" w:space="0" w:color="auto"/>
            <w:left w:val="none" w:sz="0" w:space="0" w:color="auto"/>
            <w:bottom w:val="none" w:sz="0" w:space="0" w:color="auto"/>
            <w:right w:val="none" w:sz="0" w:space="0" w:color="auto"/>
          </w:divBdr>
        </w:div>
        <w:div w:id="545600773">
          <w:marLeft w:val="0"/>
          <w:marRight w:val="0"/>
          <w:marTop w:val="0"/>
          <w:marBottom w:val="0"/>
          <w:divBdr>
            <w:top w:val="none" w:sz="0" w:space="0" w:color="auto"/>
            <w:left w:val="none" w:sz="0" w:space="0" w:color="auto"/>
            <w:bottom w:val="none" w:sz="0" w:space="0" w:color="auto"/>
            <w:right w:val="none" w:sz="0" w:space="0" w:color="auto"/>
          </w:divBdr>
        </w:div>
        <w:div w:id="561215624">
          <w:marLeft w:val="0"/>
          <w:marRight w:val="0"/>
          <w:marTop w:val="0"/>
          <w:marBottom w:val="0"/>
          <w:divBdr>
            <w:top w:val="none" w:sz="0" w:space="0" w:color="auto"/>
            <w:left w:val="none" w:sz="0" w:space="0" w:color="auto"/>
            <w:bottom w:val="none" w:sz="0" w:space="0" w:color="auto"/>
            <w:right w:val="none" w:sz="0" w:space="0" w:color="auto"/>
          </w:divBdr>
        </w:div>
        <w:div w:id="673186523">
          <w:marLeft w:val="0"/>
          <w:marRight w:val="0"/>
          <w:marTop w:val="0"/>
          <w:marBottom w:val="0"/>
          <w:divBdr>
            <w:top w:val="none" w:sz="0" w:space="0" w:color="auto"/>
            <w:left w:val="none" w:sz="0" w:space="0" w:color="auto"/>
            <w:bottom w:val="none" w:sz="0" w:space="0" w:color="auto"/>
            <w:right w:val="none" w:sz="0" w:space="0" w:color="auto"/>
          </w:divBdr>
        </w:div>
        <w:div w:id="856970890">
          <w:marLeft w:val="0"/>
          <w:marRight w:val="0"/>
          <w:marTop w:val="0"/>
          <w:marBottom w:val="0"/>
          <w:divBdr>
            <w:top w:val="none" w:sz="0" w:space="0" w:color="auto"/>
            <w:left w:val="none" w:sz="0" w:space="0" w:color="auto"/>
            <w:bottom w:val="none" w:sz="0" w:space="0" w:color="auto"/>
            <w:right w:val="none" w:sz="0" w:space="0" w:color="auto"/>
          </w:divBdr>
        </w:div>
        <w:div w:id="927468984">
          <w:marLeft w:val="0"/>
          <w:marRight w:val="0"/>
          <w:marTop w:val="0"/>
          <w:marBottom w:val="0"/>
          <w:divBdr>
            <w:top w:val="none" w:sz="0" w:space="0" w:color="auto"/>
            <w:left w:val="none" w:sz="0" w:space="0" w:color="auto"/>
            <w:bottom w:val="none" w:sz="0" w:space="0" w:color="auto"/>
            <w:right w:val="none" w:sz="0" w:space="0" w:color="auto"/>
          </w:divBdr>
        </w:div>
        <w:div w:id="1520195067">
          <w:marLeft w:val="0"/>
          <w:marRight w:val="0"/>
          <w:marTop w:val="0"/>
          <w:marBottom w:val="0"/>
          <w:divBdr>
            <w:top w:val="none" w:sz="0" w:space="0" w:color="auto"/>
            <w:left w:val="none" w:sz="0" w:space="0" w:color="auto"/>
            <w:bottom w:val="none" w:sz="0" w:space="0" w:color="auto"/>
            <w:right w:val="none" w:sz="0" w:space="0" w:color="auto"/>
          </w:divBdr>
        </w:div>
        <w:div w:id="1644768737">
          <w:marLeft w:val="0"/>
          <w:marRight w:val="0"/>
          <w:marTop w:val="0"/>
          <w:marBottom w:val="0"/>
          <w:divBdr>
            <w:top w:val="none" w:sz="0" w:space="0" w:color="auto"/>
            <w:left w:val="none" w:sz="0" w:space="0" w:color="auto"/>
            <w:bottom w:val="none" w:sz="0" w:space="0" w:color="auto"/>
            <w:right w:val="none" w:sz="0" w:space="0" w:color="auto"/>
          </w:divBdr>
        </w:div>
      </w:divsChild>
    </w:div>
    <w:div w:id="743383362">
      <w:bodyDiv w:val="1"/>
      <w:marLeft w:val="0"/>
      <w:marRight w:val="0"/>
      <w:marTop w:val="0"/>
      <w:marBottom w:val="0"/>
      <w:divBdr>
        <w:top w:val="none" w:sz="0" w:space="0" w:color="auto"/>
        <w:left w:val="none" w:sz="0" w:space="0" w:color="auto"/>
        <w:bottom w:val="none" w:sz="0" w:space="0" w:color="auto"/>
        <w:right w:val="none" w:sz="0" w:space="0" w:color="auto"/>
      </w:divBdr>
      <w:divsChild>
        <w:div w:id="313989503">
          <w:marLeft w:val="0"/>
          <w:marRight w:val="0"/>
          <w:marTop w:val="0"/>
          <w:marBottom w:val="0"/>
          <w:divBdr>
            <w:top w:val="none" w:sz="0" w:space="0" w:color="auto"/>
            <w:left w:val="none" w:sz="0" w:space="0" w:color="auto"/>
            <w:bottom w:val="none" w:sz="0" w:space="0" w:color="auto"/>
            <w:right w:val="none" w:sz="0" w:space="0" w:color="auto"/>
          </w:divBdr>
        </w:div>
      </w:divsChild>
    </w:div>
    <w:div w:id="751706586">
      <w:bodyDiv w:val="1"/>
      <w:marLeft w:val="0"/>
      <w:marRight w:val="0"/>
      <w:marTop w:val="0"/>
      <w:marBottom w:val="0"/>
      <w:divBdr>
        <w:top w:val="none" w:sz="0" w:space="0" w:color="auto"/>
        <w:left w:val="none" w:sz="0" w:space="0" w:color="auto"/>
        <w:bottom w:val="none" w:sz="0" w:space="0" w:color="auto"/>
        <w:right w:val="none" w:sz="0" w:space="0" w:color="auto"/>
      </w:divBdr>
      <w:divsChild>
        <w:div w:id="357038">
          <w:marLeft w:val="0"/>
          <w:marRight w:val="0"/>
          <w:marTop w:val="0"/>
          <w:marBottom w:val="180"/>
          <w:divBdr>
            <w:top w:val="none" w:sz="0" w:space="0" w:color="auto"/>
            <w:left w:val="none" w:sz="0" w:space="0" w:color="auto"/>
            <w:bottom w:val="none" w:sz="0" w:space="0" w:color="auto"/>
            <w:right w:val="none" w:sz="0" w:space="0" w:color="auto"/>
          </w:divBdr>
        </w:div>
        <w:div w:id="422142926">
          <w:marLeft w:val="0"/>
          <w:marRight w:val="0"/>
          <w:marTop w:val="0"/>
          <w:marBottom w:val="180"/>
          <w:divBdr>
            <w:top w:val="none" w:sz="0" w:space="0" w:color="auto"/>
            <w:left w:val="none" w:sz="0" w:space="0" w:color="auto"/>
            <w:bottom w:val="none" w:sz="0" w:space="0" w:color="auto"/>
            <w:right w:val="none" w:sz="0" w:space="0" w:color="auto"/>
          </w:divBdr>
        </w:div>
        <w:div w:id="1221594644">
          <w:marLeft w:val="0"/>
          <w:marRight w:val="0"/>
          <w:marTop w:val="0"/>
          <w:marBottom w:val="180"/>
          <w:divBdr>
            <w:top w:val="none" w:sz="0" w:space="0" w:color="auto"/>
            <w:left w:val="none" w:sz="0" w:space="0" w:color="auto"/>
            <w:bottom w:val="none" w:sz="0" w:space="0" w:color="auto"/>
            <w:right w:val="none" w:sz="0" w:space="0" w:color="auto"/>
          </w:divBdr>
        </w:div>
      </w:divsChild>
    </w:div>
    <w:div w:id="761754567">
      <w:bodyDiv w:val="1"/>
      <w:marLeft w:val="0"/>
      <w:marRight w:val="0"/>
      <w:marTop w:val="0"/>
      <w:marBottom w:val="0"/>
      <w:divBdr>
        <w:top w:val="none" w:sz="0" w:space="0" w:color="auto"/>
        <w:left w:val="none" w:sz="0" w:space="0" w:color="auto"/>
        <w:bottom w:val="none" w:sz="0" w:space="0" w:color="auto"/>
        <w:right w:val="none" w:sz="0" w:space="0" w:color="auto"/>
      </w:divBdr>
    </w:div>
    <w:div w:id="763692596">
      <w:bodyDiv w:val="1"/>
      <w:marLeft w:val="0"/>
      <w:marRight w:val="0"/>
      <w:marTop w:val="0"/>
      <w:marBottom w:val="0"/>
      <w:divBdr>
        <w:top w:val="none" w:sz="0" w:space="0" w:color="auto"/>
        <w:left w:val="none" w:sz="0" w:space="0" w:color="auto"/>
        <w:bottom w:val="none" w:sz="0" w:space="0" w:color="auto"/>
        <w:right w:val="none" w:sz="0" w:space="0" w:color="auto"/>
      </w:divBdr>
    </w:div>
    <w:div w:id="764376646">
      <w:bodyDiv w:val="1"/>
      <w:marLeft w:val="0"/>
      <w:marRight w:val="0"/>
      <w:marTop w:val="0"/>
      <w:marBottom w:val="0"/>
      <w:divBdr>
        <w:top w:val="none" w:sz="0" w:space="0" w:color="auto"/>
        <w:left w:val="none" w:sz="0" w:space="0" w:color="auto"/>
        <w:bottom w:val="none" w:sz="0" w:space="0" w:color="auto"/>
        <w:right w:val="none" w:sz="0" w:space="0" w:color="auto"/>
      </w:divBdr>
    </w:div>
    <w:div w:id="764807750">
      <w:bodyDiv w:val="1"/>
      <w:marLeft w:val="0"/>
      <w:marRight w:val="0"/>
      <w:marTop w:val="0"/>
      <w:marBottom w:val="0"/>
      <w:divBdr>
        <w:top w:val="none" w:sz="0" w:space="0" w:color="auto"/>
        <w:left w:val="none" w:sz="0" w:space="0" w:color="auto"/>
        <w:bottom w:val="none" w:sz="0" w:space="0" w:color="auto"/>
        <w:right w:val="none" w:sz="0" w:space="0" w:color="auto"/>
      </w:divBdr>
    </w:div>
    <w:div w:id="767625408">
      <w:bodyDiv w:val="1"/>
      <w:marLeft w:val="0"/>
      <w:marRight w:val="0"/>
      <w:marTop w:val="0"/>
      <w:marBottom w:val="0"/>
      <w:divBdr>
        <w:top w:val="none" w:sz="0" w:space="0" w:color="auto"/>
        <w:left w:val="none" w:sz="0" w:space="0" w:color="auto"/>
        <w:bottom w:val="none" w:sz="0" w:space="0" w:color="auto"/>
        <w:right w:val="none" w:sz="0" w:space="0" w:color="auto"/>
      </w:divBdr>
      <w:divsChild>
        <w:div w:id="260838876">
          <w:marLeft w:val="0"/>
          <w:marRight w:val="0"/>
          <w:marTop w:val="0"/>
          <w:marBottom w:val="0"/>
          <w:divBdr>
            <w:top w:val="none" w:sz="0" w:space="0" w:color="auto"/>
            <w:left w:val="none" w:sz="0" w:space="0" w:color="auto"/>
            <w:bottom w:val="none" w:sz="0" w:space="0" w:color="auto"/>
            <w:right w:val="none" w:sz="0" w:space="0" w:color="auto"/>
          </w:divBdr>
          <w:divsChild>
            <w:div w:id="772866892">
              <w:marLeft w:val="0"/>
              <w:marRight w:val="0"/>
              <w:marTop w:val="0"/>
              <w:marBottom w:val="0"/>
              <w:divBdr>
                <w:top w:val="none" w:sz="0" w:space="0" w:color="auto"/>
                <w:left w:val="none" w:sz="0" w:space="0" w:color="auto"/>
                <w:bottom w:val="none" w:sz="0" w:space="0" w:color="auto"/>
                <w:right w:val="none" w:sz="0" w:space="0" w:color="auto"/>
              </w:divBdr>
              <w:divsChild>
                <w:div w:id="591014079">
                  <w:marLeft w:val="0"/>
                  <w:marRight w:val="0"/>
                  <w:marTop w:val="0"/>
                  <w:marBottom w:val="0"/>
                  <w:divBdr>
                    <w:top w:val="none" w:sz="0" w:space="0" w:color="auto"/>
                    <w:left w:val="none" w:sz="0" w:space="0" w:color="auto"/>
                    <w:bottom w:val="none" w:sz="0" w:space="0" w:color="auto"/>
                    <w:right w:val="none" w:sz="0" w:space="0" w:color="auto"/>
                  </w:divBdr>
                  <w:divsChild>
                    <w:div w:id="1227103341">
                      <w:marLeft w:val="0"/>
                      <w:marRight w:val="0"/>
                      <w:marTop w:val="0"/>
                      <w:marBottom w:val="0"/>
                      <w:divBdr>
                        <w:top w:val="none" w:sz="0" w:space="0" w:color="auto"/>
                        <w:left w:val="none" w:sz="0" w:space="0" w:color="auto"/>
                        <w:bottom w:val="none" w:sz="0" w:space="0" w:color="auto"/>
                        <w:right w:val="none" w:sz="0" w:space="0" w:color="auto"/>
                      </w:divBdr>
                      <w:divsChild>
                        <w:div w:id="1021588899">
                          <w:marLeft w:val="0"/>
                          <w:marRight w:val="0"/>
                          <w:marTop w:val="0"/>
                          <w:marBottom w:val="0"/>
                          <w:divBdr>
                            <w:top w:val="none" w:sz="0" w:space="0" w:color="auto"/>
                            <w:left w:val="none" w:sz="0" w:space="0" w:color="auto"/>
                            <w:bottom w:val="none" w:sz="0" w:space="0" w:color="auto"/>
                            <w:right w:val="none" w:sz="0" w:space="0" w:color="auto"/>
                          </w:divBdr>
                          <w:divsChild>
                            <w:div w:id="7806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524110">
      <w:bodyDiv w:val="1"/>
      <w:marLeft w:val="0"/>
      <w:marRight w:val="0"/>
      <w:marTop w:val="0"/>
      <w:marBottom w:val="0"/>
      <w:divBdr>
        <w:top w:val="none" w:sz="0" w:space="0" w:color="auto"/>
        <w:left w:val="none" w:sz="0" w:space="0" w:color="auto"/>
        <w:bottom w:val="none" w:sz="0" w:space="0" w:color="auto"/>
        <w:right w:val="none" w:sz="0" w:space="0" w:color="auto"/>
      </w:divBdr>
    </w:div>
    <w:div w:id="778259267">
      <w:bodyDiv w:val="1"/>
      <w:marLeft w:val="0"/>
      <w:marRight w:val="0"/>
      <w:marTop w:val="0"/>
      <w:marBottom w:val="0"/>
      <w:divBdr>
        <w:top w:val="none" w:sz="0" w:space="0" w:color="auto"/>
        <w:left w:val="none" w:sz="0" w:space="0" w:color="auto"/>
        <w:bottom w:val="none" w:sz="0" w:space="0" w:color="auto"/>
        <w:right w:val="none" w:sz="0" w:space="0" w:color="auto"/>
      </w:divBdr>
    </w:div>
    <w:div w:id="780758189">
      <w:bodyDiv w:val="1"/>
      <w:marLeft w:val="0"/>
      <w:marRight w:val="0"/>
      <w:marTop w:val="0"/>
      <w:marBottom w:val="0"/>
      <w:divBdr>
        <w:top w:val="none" w:sz="0" w:space="0" w:color="auto"/>
        <w:left w:val="none" w:sz="0" w:space="0" w:color="auto"/>
        <w:bottom w:val="none" w:sz="0" w:space="0" w:color="auto"/>
        <w:right w:val="none" w:sz="0" w:space="0" w:color="auto"/>
      </w:divBdr>
      <w:divsChild>
        <w:div w:id="120002009">
          <w:marLeft w:val="0"/>
          <w:marRight w:val="0"/>
          <w:marTop w:val="200"/>
          <w:marBottom w:val="67"/>
          <w:divBdr>
            <w:top w:val="none" w:sz="0" w:space="0" w:color="auto"/>
            <w:left w:val="none" w:sz="0" w:space="0" w:color="auto"/>
            <w:bottom w:val="none" w:sz="0" w:space="0" w:color="auto"/>
            <w:right w:val="none" w:sz="0" w:space="0" w:color="auto"/>
          </w:divBdr>
        </w:div>
        <w:div w:id="2134782359">
          <w:marLeft w:val="0"/>
          <w:marRight w:val="0"/>
          <w:marTop w:val="200"/>
          <w:marBottom w:val="67"/>
          <w:divBdr>
            <w:top w:val="none" w:sz="0" w:space="0" w:color="auto"/>
            <w:left w:val="none" w:sz="0" w:space="0" w:color="auto"/>
            <w:bottom w:val="none" w:sz="0" w:space="0" w:color="auto"/>
            <w:right w:val="none" w:sz="0" w:space="0" w:color="auto"/>
          </w:divBdr>
        </w:div>
      </w:divsChild>
    </w:div>
    <w:div w:id="783040001">
      <w:bodyDiv w:val="1"/>
      <w:marLeft w:val="0"/>
      <w:marRight w:val="0"/>
      <w:marTop w:val="0"/>
      <w:marBottom w:val="0"/>
      <w:divBdr>
        <w:top w:val="none" w:sz="0" w:space="0" w:color="auto"/>
        <w:left w:val="none" w:sz="0" w:space="0" w:color="auto"/>
        <w:bottom w:val="none" w:sz="0" w:space="0" w:color="auto"/>
        <w:right w:val="none" w:sz="0" w:space="0" w:color="auto"/>
      </w:divBdr>
    </w:div>
    <w:div w:id="788939091">
      <w:bodyDiv w:val="1"/>
      <w:marLeft w:val="0"/>
      <w:marRight w:val="0"/>
      <w:marTop w:val="0"/>
      <w:marBottom w:val="0"/>
      <w:divBdr>
        <w:top w:val="none" w:sz="0" w:space="0" w:color="auto"/>
        <w:left w:val="none" w:sz="0" w:space="0" w:color="auto"/>
        <w:bottom w:val="none" w:sz="0" w:space="0" w:color="auto"/>
        <w:right w:val="none" w:sz="0" w:space="0" w:color="auto"/>
      </w:divBdr>
    </w:div>
    <w:div w:id="796794401">
      <w:bodyDiv w:val="1"/>
      <w:marLeft w:val="0"/>
      <w:marRight w:val="0"/>
      <w:marTop w:val="0"/>
      <w:marBottom w:val="0"/>
      <w:divBdr>
        <w:top w:val="none" w:sz="0" w:space="0" w:color="auto"/>
        <w:left w:val="none" w:sz="0" w:space="0" w:color="auto"/>
        <w:bottom w:val="none" w:sz="0" w:space="0" w:color="auto"/>
        <w:right w:val="none" w:sz="0" w:space="0" w:color="auto"/>
      </w:divBdr>
    </w:div>
    <w:div w:id="805394159">
      <w:bodyDiv w:val="1"/>
      <w:marLeft w:val="0"/>
      <w:marRight w:val="0"/>
      <w:marTop w:val="0"/>
      <w:marBottom w:val="0"/>
      <w:divBdr>
        <w:top w:val="none" w:sz="0" w:space="0" w:color="auto"/>
        <w:left w:val="none" w:sz="0" w:space="0" w:color="auto"/>
        <w:bottom w:val="none" w:sz="0" w:space="0" w:color="auto"/>
        <w:right w:val="none" w:sz="0" w:space="0" w:color="auto"/>
      </w:divBdr>
    </w:div>
    <w:div w:id="809439024">
      <w:bodyDiv w:val="1"/>
      <w:marLeft w:val="0"/>
      <w:marRight w:val="0"/>
      <w:marTop w:val="0"/>
      <w:marBottom w:val="0"/>
      <w:divBdr>
        <w:top w:val="none" w:sz="0" w:space="0" w:color="auto"/>
        <w:left w:val="none" w:sz="0" w:space="0" w:color="auto"/>
        <w:bottom w:val="none" w:sz="0" w:space="0" w:color="auto"/>
        <w:right w:val="none" w:sz="0" w:space="0" w:color="auto"/>
      </w:divBdr>
    </w:div>
    <w:div w:id="822769846">
      <w:bodyDiv w:val="1"/>
      <w:marLeft w:val="0"/>
      <w:marRight w:val="0"/>
      <w:marTop w:val="0"/>
      <w:marBottom w:val="0"/>
      <w:divBdr>
        <w:top w:val="none" w:sz="0" w:space="0" w:color="auto"/>
        <w:left w:val="none" w:sz="0" w:space="0" w:color="auto"/>
        <w:bottom w:val="none" w:sz="0" w:space="0" w:color="auto"/>
        <w:right w:val="none" w:sz="0" w:space="0" w:color="auto"/>
      </w:divBdr>
      <w:divsChild>
        <w:div w:id="546840082">
          <w:marLeft w:val="0"/>
          <w:marRight w:val="0"/>
          <w:marTop w:val="0"/>
          <w:marBottom w:val="225"/>
          <w:divBdr>
            <w:top w:val="none" w:sz="0" w:space="0" w:color="auto"/>
            <w:left w:val="none" w:sz="0" w:space="0" w:color="auto"/>
            <w:bottom w:val="none" w:sz="0" w:space="0" w:color="auto"/>
            <w:right w:val="none" w:sz="0" w:space="0" w:color="auto"/>
          </w:divBdr>
        </w:div>
        <w:div w:id="1047073737">
          <w:marLeft w:val="0"/>
          <w:marRight w:val="0"/>
          <w:marTop w:val="0"/>
          <w:marBottom w:val="225"/>
          <w:divBdr>
            <w:top w:val="none" w:sz="0" w:space="0" w:color="auto"/>
            <w:left w:val="none" w:sz="0" w:space="0" w:color="auto"/>
            <w:bottom w:val="none" w:sz="0" w:space="0" w:color="auto"/>
            <w:right w:val="none" w:sz="0" w:space="0" w:color="auto"/>
          </w:divBdr>
        </w:div>
      </w:divsChild>
    </w:div>
    <w:div w:id="823425644">
      <w:bodyDiv w:val="1"/>
      <w:marLeft w:val="0"/>
      <w:marRight w:val="0"/>
      <w:marTop w:val="0"/>
      <w:marBottom w:val="0"/>
      <w:divBdr>
        <w:top w:val="none" w:sz="0" w:space="0" w:color="auto"/>
        <w:left w:val="none" w:sz="0" w:space="0" w:color="auto"/>
        <w:bottom w:val="none" w:sz="0" w:space="0" w:color="auto"/>
        <w:right w:val="none" w:sz="0" w:space="0" w:color="auto"/>
      </w:divBdr>
      <w:divsChild>
        <w:div w:id="359355472">
          <w:marLeft w:val="0"/>
          <w:marRight w:val="0"/>
          <w:marTop w:val="0"/>
          <w:marBottom w:val="0"/>
          <w:divBdr>
            <w:top w:val="none" w:sz="0" w:space="0" w:color="auto"/>
            <w:left w:val="none" w:sz="0" w:space="0" w:color="auto"/>
            <w:bottom w:val="none" w:sz="0" w:space="0" w:color="auto"/>
            <w:right w:val="none" w:sz="0" w:space="0" w:color="auto"/>
          </w:divBdr>
        </w:div>
      </w:divsChild>
    </w:div>
    <w:div w:id="824315811">
      <w:bodyDiv w:val="1"/>
      <w:marLeft w:val="0"/>
      <w:marRight w:val="0"/>
      <w:marTop w:val="0"/>
      <w:marBottom w:val="0"/>
      <w:divBdr>
        <w:top w:val="none" w:sz="0" w:space="0" w:color="auto"/>
        <w:left w:val="none" w:sz="0" w:space="0" w:color="auto"/>
        <w:bottom w:val="none" w:sz="0" w:space="0" w:color="auto"/>
        <w:right w:val="none" w:sz="0" w:space="0" w:color="auto"/>
      </w:divBdr>
    </w:div>
    <w:div w:id="836270871">
      <w:bodyDiv w:val="1"/>
      <w:marLeft w:val="0"/>
      <w:marRight w:val="0"/>
      <w:marTop w:val="0"/>
      <w:marBottom w:val="0"/>
      <w:divBdr>
        <w:top w:val="none" w:sz="0" w:space="0" w:color="auto"/>
        <w:left w:val="none" w:sz="0" w:space="0" w:color="auto"/>
        <w:bottom w:val="none" w:sz="0" w:space="0" w:color="auto"/>
        <w:right w:val="none" w:sz="0" w:space="0" w:color="auto"/>
      </w:divBdr>
    </w:div>
    <w:div w:id="836992625">
      <w:bodyDiv w:val="1"/>
      <w:marLeft w:val="0"/>
      <w:marRight w:val="0"/>
      <w:marTop w:val="0"/>
      <w:marBottom w:val="0"/>
      <w:divBdr>
        <w:top w:val="none" w:sz="0" w:space="0" w:color="auto"/>
        <w:left w:val="none" w:sz="0" w:space="0" w:color="auto"/>
        <w:bottom w:val="none" w:sz="0" w:space="0" w:color="auto"/>
        <w:right w:val="none" w:sz="0" w:space="0" w:color="auto"/>
      </w:divBdr>
    </w:div>
    <w:div w:id="838234487">
      <w:bodyDiv w:val="1"/>
      <w:marLeft w:val="0"/>
      <w:marRight w:val="0"/>
      <w:marTop w:val="0"/>
      <w:marBottom w:val="0"/>
      <w:divBdr>
        <w:top w:val="none" w:sz="0" w:space="0" w:color="auto"/>
        <w:left w:val="none" w:sz="0" w:space="0" w:color="auto"/>
        <w:bottom w:val="none" w:sz="0" w:space="0" w:color="auto"/>
        <w:right w:val="none" w:sz="0" w:space="0" w:color="auto"/>
      </w:divBdr>
    </w:div>
    <w:div w:id="849028289">
      <w:bodyDiv w:val="1"/>
      <w:marLeft w:val="0"/>
      <w:marRight w:val="0"/>
      <w:marTop w:val="0"/>
      <w:marBottom w:val="0"/>
      <w:divBdr>
        <w:top w:val="none" w:sz="0" w:space="0" w:color="auto"/>
        <w:left w:val="none" w:sz="0" w:space="0" w:color="auto"/>
        <w:bottom w:val="none" w:sz="0" w:space="0" w:color="auto"/>
        <w:right w:val="none" w:sz="0" w:space="0" w:color="auto"/>
      </w:divBdr>
    </w:div>
    <w:div w:id="858351346">
      <w:bodyDiv w:val="1"/>
      <w:marLeft w:val="0"/>
      <w:marRight w:val="0"/>
      <w:marTop w:val="0"/>
      <w:marBottom w:val="0"/>
      <w:divBdr>
        <w:top w:val="none" w:sz="0" w:space="0" w:color="auto"/>
        <w:left w:val="none" w:sz="0" w:space="0" w:color="auto"/>
        <w:bottom w:val="none" w:sz="0" w:space="0" w:color="auto"/>
        <w:right w:val="none" w:sz="0" w:space="0" w:color="auto"/>
      </w:divBdr>
    </w:div>
    <w:div w:id="863398084">
      <w:bodyDiv w:val="1"/>
      <w:marLeft w:val="0"/>
      <w:marRight w:val="0"/>
      <w:marTop w:val="0"/>
      <w:marBottom w:val="0"/>
      <w:divBdr>
        <w:top w:val="none" w:sz="0" w:space="0" w:color="auto"/>
        <w:left w:val="none" w:sz="0" w:space="0" w:color="auto"/>
        <w:bottom w:val="none" w:sz="0" w:space="0" w:color="auto"/>
        <w:right w:val="none" w:sz="0" w:space="0" w:color="auto"/>
      </w:divBdr>
    </w:div>
    <w:div w:id="867335601">
      <w:bodyDiv w:val="1"/>
      <w:marLeft w:val="0"/>
      <w:marRight w:val="0"/>
      <w:marTop w:val="0"/>
      <w:marBottom w:val="0"/>
      <w:divBdr>
        <w:top w:val="none" w:sz="0" w:space="0" w:color="auto"/>
        <w:left w:val="none" w:sz="0" w:space="0" w:color="auto"/>
        <w:bottom w:val="none" w:sz="0" w:space="0" w:color="auto"/>
        <w:right w:val="none" w:sz="0" w:space="0" w:color="auto"/>
      </w:divBdr>
      <w:divsChild>
        <w:div w:id="236090317">
          <w:marLeft w:val="0"/>
          <w:marRight w:val="0"/>
          <w:marTop w:val="0"/>
          <w:marBottom w:val="0"/>
          <w:divBdr>
            <w:top w:val="none" w:sz="0" w:space="0" w:color="auto"/>
            <w:left w:val="none" w:sz="0" w:space="0" w:color="auto"/>
            <w:bottom w:val="none" w:sz="0" w:space="0" w:color="auto"/>
            <w:right w:val="none" w:sz="0" w:space="0" w:color="auto"/>
          </w:divBdr>
          <w:divsChild>
            <w:div w:id="2033724483">
              <w:marLeft w:val="0"/>
              <w:marRight w:val="0"/>
              <w:marTop w:val="0"/>
              <w:marBottom w:val="0"/>
              <w:divBdr>
                <w:top w:val="none" w:sz="0" w:space="0" w:color="auto"/>
                <w:left w:val="none" w:sz="0" w:space="0" w:color="auto"/>
                <w:bottom w:val="none" w:sz="0" w:space="0" w:color="auto"/>
                <w:right w:val="none" w:sz="0" w:space="0" w:color="auto"/>
              </w:divBdr>
              <w:divsChild>
                <w:div w:id="389960649">
                  <w:marLeft w:val="0"/>
                  <w:marRight w:val="0"/>
                  <w:marTop w:val="0"/>
                  <w:marBottom w:val="0"/>
                  <w:divBdr>
                    <w:top w:val="none" w:sz="0" w:space="0" w:color="auto"/>
                    <w:left w:val="none" w:sz="0" w:space="0" w:color="auto"/>
                    <w:bottom w:val="none" w:sz="0" w:space="0" w:color="auto"/>
                    <w:right w:val="none" w:sz="0" w:space="0" w:color="auto"/>
                  </w:divBdr>
                  <w:divsChild>
                    <w:div w:id="471873243">
                      <w:marLeft w:val="0"/>
                      <w:marRight w:val="0"/>
                      <w:marTop w:val="0"/>
                      <w:marBottom w:val="0"/>
                      <w:divBdr>
                        <w:top w:val="none" w:sz="0" w:space="0" w:color="auto"/>
                        <w:left w:val="none" w:sz="0" w:space="0" w:color="auto"/>
                        <w:bottom w:val="none" w:sz="0" w:space="0" w:color="auto"/>
                        <w:right w:val="none" w:sz="0" w:space="0" w:color="auto"/>
                      </w:divBdr>
                      <w:divsChild>
                        <w:div w:id="1487283040">
                          <w:marLeft w:val="0"/>
                          <w:marRight w:val="0"/>
                          <w:marTop w:val="0"/>
                          <w:marBottom w:val="0"/>
                          <w:divBdr>
                            <w:top w:val="none" w:sz="0" w:space="0" w:color="auto"/>
                            <w:left w:val="none" w:sz="0" w:space="0" w:color="auto"/>
                            <w:bottom w:val="none" w:sz="0" w:space="0" w:color="auto"/>
                            <w:right w:val="none" w:sz="0" w:space="0" w:color="auto"/>
                          </w:divBdr>
                          <w:divsChild>
                            <w:div w:id="4397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461186">
      <w:bodyDiv w:val="1"/>
      <w:marLeft w:val="0"/>
      <w:marRight w:val="0"/>
      <w:marTop w:val="0"/>
      <w:marBottom w:val="0"/>
      <w:divBdr>
        <w:top w:val="none" w:sz="0" w:space="0" w:color="auto"/>
        <w:left w:val="none" w:sz="0" w:space="0" w:color="auto"/>
        <w:bottom w:val="none" w:sz="0" w:space="0" w:color="auto"/>
        <w:right w:val="none" w:sz="0" w:space="0" w:color="auto"/>
      </w:divBdr>
    </w:div>
    <w:div w:id="894464820">
      <w:bodyDiv w:val="1"/>
      <w:marLeft w:val="0"/>
      <w:marRight w:val="0"/>
      <w:marTop w:val="0"/>
      <w:marBottom w:val="0"/>
      <w:divBdr>
        <w:top w:val="none" w:sz="0" w:space="0" w:color="auto"/>
        <w:left w:val="none" w:sz="0" w:space="0" w:color="auto"/>
        <w:bottom w:val="none" w:sz="0" w:space="0" w:color="auto"/>
        <w:right w:val="none" w:sz="0" w:space="0" w:color="auto"/>
      </w:divBdr>
    </w:div>
    <w:div w:id="898705226">
      <w:bodyDiv w:val="1"/>
      <w:marLeft w:val="0"/>
      <w:marRight w:val="0"/>
      <w:marTop w:val="0"/>
      <w:marBottom w:val="0"/>
      <w:divBdr>
        <w:top w:val="none" w:sz="0" w:space="0" w:color="auto"/>
        <w:left w:val="none" w:sz="0" w:space="0" w:color="auto"/>
        <w:bottom w:val="none" w:sz="0" w:space="0" w:color="auto"/>
        <w:right w:val="none" w:sz="0" w:space="0" w:color="auto"/>
      </w:divBdr>
    </w:div>
    <w:div w:id="900016397">
      <w:bodyDiv w:val="1"/>
      <w:marLeft w:val="0"/>
      <w:marRight w:val="0"/>
      <w:marTop w:val="0"/>
      <w:marBottom w:val="0"/>
      <w:divBdr>
        <w:top w:val="none" w:sz="0" w:space="0" w:color="auto"/>
        <w:left w:val="none" w:sz="0" w:space="0" w:color="auto"/>
        <w:bottom w:val="none" w:sz="0" w:space="0" w:color="auto"/>
        <w:right w:val="none" w:sz="0" w:space="0" w:color="auto"/>
      </w:divBdr>
    </w:div>
    <w:div w:id="900680658">
      <w:bodyDiv w:val="1"/>
      <w:marLeft w:val="0"/>
      <w:marRight w:val="0"/>
      <w:marTop w:val="0"/>
      <w:marBottom w:val="0"/>
      <w:divBdr>
        <w:top w:val="none" w:sz="0" w:space="0" w:color="auto"/>
        <w:left w:val="none" w:sz="0" w:space="0" w:color="auto"/>
        <w:bottom w:val="none" w:sz="0" w:space="0" w:color="auto"/>
        <w:right w:val="none" w:sz="0" w:space="0" w:color="auto"/>
      </w:divBdr>
    </w:div>
    <w:div w:id="903416419">
      <w:bodyDiv w:val="1"/>
      <w:marLeft w:val="0"/>
      <w:marRight w:val="0"/>
      <w:marTop w:val="0"/>
      <w:marBottom w:val="0"/>
      <w:divBdr>
        <w:top w:val="none" w:sz="0" w:space="0" w:color="auto"/>
        <w:left w:val="none" w:sz="0" w:space="0" w:color="auto"/>
        <w:bottom w:val="none" w:sz="0" w:space="0" w:color="auto"/>
        <w:right w:val="none" w:sz="0" w:space="0" w:color="auto"/>
      </w:divBdr>
    </w:div>
    <w:div w:id="934561090">
      <w:bodyDiv w:val="1"/>
      <w:marLeft w:val="0"/>
      <w:marRight w:val="0"/>
      <w:marTop w:val="0"/>
      <w:marBottom w:val="0"/>
      <w:divBdr>
        <w:top w:val="none" w:sz="0" w:space="0" w:color="auto"/>
        <w:left w:val="none" w:sz="0" w:space="0" w:color="auto"/>
        <w:bottom w:val="none" w:sz="0" w:space="0" w:color="auto"/>
        <w:right w:val="none" w:sz="0" w:space="0" w:color="auto"/>
      </w:divBdr>
    </w:div>
    <w:div w:id="937373048">
      <w:bodyDiv w:val="1"/>
      <w:marLeft w:val="0"/>
      <w:marRight w:val="0"/>
      <w:marTop w:val="0"/>
      <w:marBottom w:val="0"/>
      <w:divBdr>
        <w:top w:val="none" w:sz="0" w:space="0" w:color="auto"/>
        <w:left w:val="none" w:sz="0" w:space="0" w:color="auto"/>
        <w:bottom w:val="none" w:sz="0" w:space="0" w:color="auto"/>
        <w:right w:val="none" w:sz="0" w:space="0" w:color="auto"/>
      </w:divBdr>
      <w:divsChild>
        <w:div w:id="454057185">
          <w:marLeft w:val="0"/>
          <w:marRight w:val="0"/>
          <w:marTop w:val="0"/>
          <w:marBottom w:val="0"/>
          <w:divBdr>
            <w:top w:val="none" w:sz="0" w:space="0" w:color="auto"/>
            <w:left w:val="none" w:sz="0" w:space="0" w:color="auto"/>
            <w:bottom w:val="none" w:sz="0" w:space="0" w:color="auto"/>
            <w:right w:val="none" w:sz="0" w:space="0" w:color="auto"/>
          </w:divBdr>
        </w:div>
      </w:divsChild>
    </w:div>
    <w:div w:id="944775573">
      <w:bodyDiv w:val="1"/>
      <w:marLeft w:val="0"/>
      <w:marRight w:val="0"/>
      <w:marTop w:val="0"/>
      <w:marBottom w:val="0"/>
      <w:divBdr>
        <w:top w:val="none" w:sz="0" w:space="0" w:color="auto"/>
        <w:left w:val="none" w:sz="0" w:space="0" w:color="auto"/>
        <w:bottom w:val="none" w:sz="0" w:space="0" w:color="auto"/>
        <w:right w:val="none" w:sz="0" w:space="0" w:color="auto"/>
      </w:divBdr>
    </w:div>
    <w:div w:id="947929829">
      <w:bodyDiv w:val="1"/>
      <w:marLeft w:val="0"/>
      <w:marRight w:val="0"/>
      <w:marTop w:val="0"/>
      <w:marBottom w:val="0"/>
      <w:divBdr>
        <w:top w:val="none" w:sz="0" w:space="0" w:color="auto"/>
        <w:left w:val="none" w:sz="0" w:space="0" w:color="auto"/>
        <w:bottom w:val="none" w:sz="0" w:space="0" w:color="auto"/>
        <w:right w:val="none" w:sz="0" w:space="0" w:color="auto"/>
      </w:divBdr>
      <w:divsChild>
        <w:div w:id="2123262154">
          <w:marLeft w:val="0"/>
          <w:marRight w:val="0"/>
          <w:marTop w:val="0"/>
          <w:marBottom w:val="0"/>
          <w:divBdr>
            <w:top w:val="none" w:sz="0" w:space="0" w:color="auto"/>
            <w:left w:val="none" w:sz="0" w:space="0" w:color="auto"/>
            <w:bottom w:val="none" w:sz="0" w:space="0" w:color="auto"/>
            <w:right w:val="none" w:sz="0" w:space="0" w:color="auto"/>
          </w:divBdr>
          <w:divsChild>
            <w:div w:id="1078399824">
              <w:marLeft w:val="0"/>
              <w:marRight w:val="0"/>
              <w:marTop w:val="0"/>
              <w:marBottom w:val="0"/>
              <w:divBdr>
                <w:top w:val="none" w:sz="0" w:space="0" w:color="auto"/>
                <w:left w:val="none" w:sz="0" w:space="0" w:color="auto"/>
                <w:bottom w:val="none" w:sz="0" w:space="0" w:color="auto"/>
                <w:right w:val="none" w:sz="0" w:space="0" w:color="auto"/>
              </w:divBdr>
              <w:divsChild>
                <w:div w:id="1658613886">
                  <w:marLeft w:val="0"/>
                  <w:marRight w:val="0"/>
                  <w:marTop w:val="0"/>
                  <w:marBottom w:val="0"/>
                  <w:divBdr>
                    <w:top w:val="none" w:sz="0" w:space="0" w:color="auto"/>
                    <w:left w:val="none" w:sz="0" w:space="0" w:color="auto"/>
                    <w:bottom w:val="none" w:sz="0" w:space="0" w:color="auto"/>
                    <w:right w:val="none" w:sz="0" w:space="0" w:color="auto"/>
                  </w:divBdr>
                  <w:divsChild>
                    <w:div w:id="18237247">
                      <w:marLeft w:val="0"/>
                      <w:marRight w:val="0"/>
                      <w:marTop w:val="0"/>
                      <w:marBottom w:val="0"/>
                      <w:divBdr>
                        <w:top w:val="none" w:sz="0" w:space="0" w:color="auto"/>
                        <w:left w:val="none" w:sz="0" w:space="0" w:color="auto"/>
                        <w:bottom w:val="none" w:sz="0" w:space="0" w:color="auto"/>
                        <w:right w:val="none" w:sz="0" w:space="0" w:color="auto"/>
                      </w:divBdr>
                      <w:divsChild>
                        <w:div w:id="1836416092">
                          <w:marLeft w:val="0"/>
                          <w:marRight w:val="0"/>
                          <w:marTop w:val="0"/>
                          <w:marBottom w:val="0"/>
                          <w:divBdr>
                            <w:top w:val="none" w:sz="0" w:space="0" w:color="auto"/>
                            <w:left w:val="none" w:sz="0" w:space="0" w:color="auto"/>
                            <w:bottom w:val="none" w:sz="0" w:space="0" w:color="auto"/>
                            <w:right w:val="none" w:sz="0" w:space="0" w:color="auto"/>
                          </w:divBdr>
                          <w:divsChild>
                            <w:div w:id="18508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4905">
      <w:bodyDiv w:val="1"/>
      <w:marLeft w:val="0"/>
      <w:marRight w:val="0"/>
      <w:marTop w:val="0"/>
      <w:marBottom w:val="0"/>
      <w:divBdr>
        <w:top w:val="none" w:sz="0" w:space="0" w:color="auto"/>
        <w:left w:val="none" w:sz="0" w:space="0" w:color="auto"/>
        <w:bottom w:val="none" w:sz="0" w:space="0" w:color="auto"/>
        <w:right w:val="none" w:sz="0" w:space="0" w:color="auto"/>
      </w:divBdr>
    </w:div>
    <w:div w:id="955872135">
      <w:bodyDiv w:val="1"/>
      <w:marLeft w:val="0"/>
      <w:marRight w:val="0"/>
      <w:marTop w:val="0"/>
      <w:marBottom w:val="0"/>
      <w:divBdr>
        <w:top w:val="none" w:sz="0" w:space="0" w:color="auto"/>
        <w:left w:val="none" w:sz="0" w:space="0" w:color="auto"/>
        <w:bottom w:val="none" w:sz="0" w:space="0" w:color="auto"/>
        <w:right w:val="none" w:sz="0" w:space="0" w:color="auto"/>
      </w:divBdr>
    </w:div>
    <w:div w:id="964458550">
      <w:bodyDiv w:val="1"/>
      <w:marLeft w:val="0"/>
      <w:marRight w:val="0"/>
      <w:marTop w:val="0"/>
      <w:marBottom w:val="0"/>
      <w:divBdr>
        <w:top w:val="none" w:sz="0" w:space="0" w:color="auto"/>
        <w:left w:val="none" w:sz="0" w:space="0" w:color="auto"/>
        <w:bottom w:val="none" w:sz="0" w:space="0" w:color="auto"/>
        <w:right w:val="none" w:sz="0" w:space="0" w:color="auto"/>
      </w:divBdr>
    </w:div>
    <w:div w:id="969747229">
      <w:bodyDiv w:val="1"/>
      <w:marLeft w:val="0"/>
      <w:marRight w:val="0"/>
      <w:marTop w:val="0"/>
      <w:marBottom w:val="0"/>
      <w:divBdr>
        <w:top w:val="none" w:sz="0" w:space="0" w:color="auto"/>
        <w:left w:val="none" w:sz="0" w:space="0" w:color="auto"/>
        <w:bottom w:val="none" w:sz="0" w:space="0" w:color="auto"/>
        <w:right w:val="none" w:sz="0" w:space="0" w:color="auto"/>
      </w:divBdr>
    </w:div>
    <w:div w:id="990594345">
      <w:bodyDiv w:val="1"/>
      <w:marLeft w:val="0"/>
      <w:marRight w:val="0"/>
      <w:marTop w:val="0"/>
      <w:marBottom w:val="0"/>
      <w:divBdr>
        <w:top w:val="none" w:sz="0" w:space="0" w:color="auto"/>
        <w:left w:val="none" w:sz="0" w:space="0" w:color="auto"/>
        <w:bottom w:val="none" w:sz="0" w:space="0" w:color="auto"/>
        <w:right w:val="none" w:sz="0" w:space="0" w:color="auto"/>
      </w:divBdr>
    </w:div>
    <w:div w:id="1009333277">
      <w:bodyDiv w:val="1"/>
      <w:marLeft w:val="0"/>
      <w:marRight w:val="0"/>
      <w:marTop w:val="0"/>
      <w:marBottom w:val="0"/>
      <w:divBdr>
        <w:top w:val="none" w:sz="0" w:space="0" w:color="auto"/>
        <w:left w:val="none" w:sz="0" w:space="0" w:color="auto"/>
        <w:bottom w:val="none" w:sz="0" w:space="0" w:color="auto"/>
        <w:right w:val="none" w:sz="0" w:space="0" w:color="auto"/>
      </w:divBdr>
    </w:div>
    <w:div w:id="1015494256">
      <w:bodyDiv w:val="1"/>
      <w:marLeft w:val="0"/>
      <w:marRight w:val="0"/>
      <w:marTop w:val="0"/>
      <w:marBottom w:val="0"/>
      <w:divBdr>
        <w:top w:val="none" w:sz="0" w:space="0" w:color="auto"/>
        <w:left w:val="none" w:sz="0" w:space="0" w:color="auto"/>
        <w:bottom w:val="none" w:sz="0" w:space="0" w:color="auto"/>
        <w:right w:val="none" w:sz="0" w:space="0" w:color="auto"/>
      </w:divBdr>
    </w:div>
    <w:div w:id="1016543212">
      <w:bodyDiv w:val="1"/>
      <w:marLeft w:val="0"/>
      <w:marRight w:val="0"/>
      <w:marTop w:val="0"/>
      <w:marBottom w:val="0"/>
      <w:divBdr>
        <w:top w:val="none" w:sz="0" w:space="0" w:color="auto"/>
        <w:left w:val="none" w:sz="0" w:space="0" w:color="auto"/>
        <w:bottom w:val="none" w:sz="0" w:space="0" w:color="auto"/>
        <w:right w:val="none" w:sz="0" w:space="0" w:color="auto"/>
      </w:divBdr>
    </w:div>
    <w:div w:id="1016611451">
      <w:bodyDiv w:val="1"/>
      <w:marLeft w:val="0"/>
      <w:marRight w:val="0"/>
      <w:marTop w:val="0"/>
      <w:marBottom w:val="0"/>
      <w:divBdr>
        <w:top w:val="none" w:sz="0" w:space="0" w:color="auto"/>
        <w:left w:val="none" w:sz="0" w:space="0" w:color="auto"/>
        <w:bottom w:val="none" w:sz="0" w:space="0" w:color="auto"/>
        <w:right w:val="none" w:sz="0" w:space="0" w:color="auto"/>
      </w:divBdr>
    </w:div>
    <w:div w:id="1035155088">
      <w:bodyDiv w:val="1"/>
      <w:marLeft w:val="0"/>
      <w:marRight w:val="0"/>
      <w:marTop w:val="0"/>
      <w:marBottom w:val="0"/>
      <w:divBdr>
        <w:top w:val="none" w:sz="0" w:space="0" w:color="auto"/>
        <w:left w:val="none" w:sz="0" w:space="0" w:color="auto"/>
        <w:bottom w:val="none" w:sz="0" w:space="0" w:color="auto"/>
        <w:right w:val="none" w:sz="0" w:space="0" w:color="auto"/>
      </w:divBdr>
    </w:div>
    <w:div w:id="1041512210">
      <w:bodyDiv w:val="1"/>
      <w:marLeft w:val="0"/>
      <w:marRight w:val="0"/>
      <w:marTop w:val="0"/>
      <w:marBottom w:val="0"/>
      <w:divBdr>
        <w:top w:val="none" w:sz="0" w:space="0" w:color="auto"/>
        <w:left w:val="none" w:sz="0" w:space="0" w:color="auto"/>
        <w:bottom w:val="none" w:sz="0" w:space="0" w:color="auto"/>
        <w:right w:val="none" w:sz="0" w:space="0" w:color="auto"/>
      </w:divBdr>
    </w:div>
    <w:div w:id="1043747047">
      <w:bodyDiv w:val="1"/>
      <w:marLeft w:val="0"/>
      <w:marRight w:val="0"/>
      <w:marTop w:val="0"/>
      <w:marBottom w:val="0"/>
      <w:divBdr>
        <w:top w:val="none" w:sz="0" w:space="0" w:color="auto"/>
        <w:left w:val="none" w:sz="0" w:space="0" w:color="auto"/>
        <w:bottom w:val="none" w:sz="0" w:space="0" w:color="auto"/>
        <w:right w:val="none" w:sz="0" w:space="0" w:color="auto"/>
      </w:divBdr>
      <w:divsChild>
        <w:div w:id="1545290645">
          <w:marLeft w:val="0"/>
          <w:marRight w:val="0"/>
          <w:marTop w:val="0"/>
          <w:marBottom w:val="0"/>
          <w:divBdr>
            <w:top w:val="none" w:sz="0" w:space="0" w:color="auto"/>
            <w:left w:val="none" w:sz="0" w:space="0" w:color="auto"/>
            <w:bottom w:val="none" w:sz="0" w:space="0" w:color="auto"/>
            <w:right w:val="none" w:sz="0" w:space="0" w:color="auto"/>
          </w:divBdr>
          <w:divsChild>
            <w:div w:id="978149108">
              <w:marLeft w:val="0"/>
              <w:marRight w:val="0"/>
              <w:marTop w:val="0"/>
              <w:marBottom w:val="0"/>
              <w:divBdr>
                <w:top w:val="none" w:sz="0" w:space="0" w:color="auto"/>
                <w:left w:val="none" w:sz="0" w:space="0" w:color="auto"/>
                <w:bottom w:val="none" w:sz="0" w:space="0" w:color="auto"/>
                <w:right w:val="none" w:sz="0" w:space="0" w:color="auto"/>
              </w:divBdr>
              <w:divsChild>
                <w:div w:id="2086566772">
                  <w:marLeft w:val="0"/>
                  <w:marRight w:val="0"/>
                  <w:marTop w:val="0"/>
                  <w:marBottom w:val="0"/>
                  <w:divBdr>
                    <w:top w:val="none" w:sz="0" w:space="0" w:color="auto"/>
                    <w:left w:val="none" w:sz="0" w:space="0" w:color="auto"/>
                    <w:bottom w:val="none" w:sz="0" w:space="0" w:color="auto"/>
                    <w:right w:val="none" w:sz="0" w:space="0" w:color="auto"/>
                  </w:divBdr>
                  <w:divsChild>
                    <w:div w:id="765616658">
                      <w:marLeft w:val="0"/>
                      <w:marRight w:val="0"/>
                      <w:marTop w:val="0"/>
                      <w:marBottom w:val="0"/>
                      <w:divBdr>
                        <w:top w:val="none" w:sz="0" w:space="0" w:color="auto"/>
                        <w:left w:val="none" w:sz="0" w:space="0" w:color="auto"/>
                        <w:bottom w:val="none" w:sz="0" w:space="0" w:color="auto"/>
                        <w:right w:val="none" w:sz="0" w:space="0" w:color="auto"/>
                      </w:divBdr>
                      <w:divsChild>
                        <w:div w:id="1100493271">
                          <w:marLeft w:val="0"/>
                          <w:marRight w:val="0"/>
                          <w:marTop w:val="0"/>
                          <w:marBottom w:val="0"/>
                          <w:divBdr>
                            <w:top w:val="none" w:sz="0" w:space="0" w:color="auto"/>
                            <w:left w:val="none" w:sz="0" w:space="0" w:color="auto"/>
                            <w:bottom w:val="none" w:sz="0" w:space="0" w:color="auto"/>
                            <w:right w:val="none" w:sz="0" w:space="0" w:color="auto"/>
                          </w:divBdr>
                          <w:divsChild>
                            <w:div w:id="1790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193064">
      <w:bodyDiv w:val="1"/>
      <w:marLeft w:val="0"/>
      <w:marRight w:val="0"/>
      <w:marTop w:val="0"/>
      <w:marBottom w:val="0"/>
      <w:divBdr>
        <w:top w:val="none" w:sz="0" w:space="0" w:color="auto"/>
        <w:left w:val="none" w:sz="0" w:space="0" w:color="auto"/>
        <w:bottom w:val="none" w:sz="0" w:space="0" w:color="auto"/>
        <w:right w:val="none" w:sz="0" w:space="0" w:color="auto"/>
      </w:divBdr>
    </w:div>
    <w:div w:id="1058675805">
      <w:bodyDiv w:val="1"/>
      <w:marLeft w:val="0"/>
      <w:marRight w:val="0"/>
      <w:marTop w:val="0"/>
      <w:marBottom w:val="0"/>
      <w:divBdr>
        <w:top w:val="none" w:sz="0" w:space="0" w:color="auto"/>
        <w:left w:val="none" w:sz="0" w:space="0" w:color="auto"/>
        <w:bottom w:val="none" w:sz="0" w:space="0" w:color="auto"/>
        <w:right w:val="none" w:sz="0" w:space="0" w:color="auto"/>
      </w:divBdr>
    </w:div>
    <w:div w:id="1067340182">
      <w:bodyDiv w:val="1"/>
      <w:marLeft w:val="0"/>
      <w:marRight w:val="0"/>
      <w:marTop w:val="0"/>
      <w:marBottom w:val="0"/>
      <w:divBdr>
        <w:top w:val="none" w:sz="0" w:space="0" w:color="auto"/>
        <w:left w:val="none" w:sz="0" w:space="0" w:color="auto"/>
        <w:bottom w:val="none" w:sz="0" w:space="0" w:color="auto"/>
        <w:right w:val="none" w:sz="0" w:space="0" w:color="auto"/>
      </w:divBdr>
    </w:div>
    <w:div w:id="1067606466">
      <w:bodyDiv w:val="1"/>
      <w:marLeft w:val="0"/>
      <w:marRight w:val="0"/>
      <w:marTop w:val="0"/>
      <w:marBottom w:val="0"/>
      <w:divBdr>
        <w:top w:val="none" w:sz="0" w:space="0" w:color="auto"/>
        <w:left w:val="none" w:sz="0" w:space="0" w:color="auto"/>
        <w:bottom w:val="none" w:sz="0" w:space="0" w:color="auto"/>
        <w:right w:val="none" w:sz="0" w:space="0" w:color="auto"/>
      </w:divBdr>
    </w:div>
    <w:div w:id="1068379953">
      <w:bodyDiv w:val="1"/>
      <w:marLeft w:val="0"/>
      <w:marRight w:val="0"/>
      <w:marTop w:val="0"/>
      <w:marBottom w:val="0"/>
      <w:divBdr>
        <w:top w:val="none" w:sz="0" w:space="0" w:color="auto"/>
        <w:left w:val="none" w:sz="0" w:space="0" w:color="auto"/>
        <w:bottom w:val="none" w:sz="0" w:space="0" w:color="auto"/>
        <w:right w:val="none" w:sz="0" w:space="0" w:color="auto"/>
      </w:divBdr>
    </w:div>
    <w:div w:id="1068768661">
      <w:bodyDiv w:val="1"/>
      <w:marLeft w:val="0"/>
      <w:marRight w:val="0"/>
      <w:marTop w:val="0"/>
      <w:marBottom w:val="0"/>
      <w:divBdr>
        <w:top w:val="none" w:sz="0" w:space="0" w:color="auto"/>
        <w:left w:val="none" w:sz="0" w:space="0" w:color="auto"/>
        <w:bottom w:val="none" w:sz="0" w:space="0" w:color="auto"/>
        <w:right w:val="none" w:sz="0" w:space="0" w:color="auto"/>
      </w:divBdr>
    </w:div>
    <w:div w:id="1069886213">
      <w:bodyDiv w:val="1"/>
      <w:marLeft w:val="0"/>
      <w:marRight w:val="0"/>
      <w:marTop w:val="0"/>
      <w:marBottom w:val="0"/>
      <w:divBdr>
        <w:top w:val="none" w:sz="0" w:space="0" w:color="auto"/>
        <w:left w:val="none" w:sz="0" w:space="0" w:color="auto"/>
        <w:bottom w:val="none" w:sz="0" w:space="0" w:color="auto"/>
        <w:right w:val="none" w:sz="0" w:space="0" w:color="auto"/>
      </w:divBdr>
    </w:div>
    <w:div w:id="1083526938">
      <w:bodyDiv w:val="1"/>
      <w:marLeft w:val="0"/>
      <w:marRight w:val="0"/>
      <w:marTop w:val="0"/>
      <w:marBottom w:val="0"/>
      <w:divBdr>
        <w:top w:val="none" w:sz="0" w:space="0" w:color="auto"/>
        <w:left w:val="none" w:sz="0" w:space="0" w:color="auto"/>
        <w:bottom w:val="none" w:sz="0" w:space="0" w:color="auto"/>
        <w:right w:val="none" w:sz="0" w:space="0" w:color="auto"/>
      </w:divBdr>
    </w:div>
    <w:div w:id="1087194708">
      <w:bodyDiv w:val="1"/>
      <w:marLeft w:val="0"/>
      <w:marRight w:val="0"/>
      <w:marTop w:val="0"/>
      <w:marBottom w:val="0"/>
      <w:divBdr>
        <w:top w:val="none" w:sz="0" w:space="0" w:color="auto"/>
        <w:left w:val="none" w:sz="0" w:space="0" w:color="auto"/>
        <w:bottom w:val="none" w:sz="0" w:space="0" w:color="auto"/>
        <w:right w:val="none" w:sz="0" w:space="0" w:color="auto"/>
      </w:divBdr>
    </w:div>
    <w:div w:id="1094128486">
      <w:bodyDiv w:val="1"/>
      <w:marLeft w:val="0"/>
      <w:marRight w:val="0"/>
      <w:marTop w:val="0"/>
      <w:marBottom w:val="0"/>
      <w:divBdr>
        <w:top w:val="none" w:sz="0" w:space="0" w:color="auto"/>
        <w:left w:val="none" w:sz="0" w:space="0" w:color="auto"/>
        <w:bottom w:val="none" w:sz="0" w:space="0" w:color="auto"/>
        <w:right w:val="none" w:sz="0" w:space="0" w:color="auto"/>
      </w:divBdr>
    </w:div>
    <w:div w:id="1127627899">
      <w:bodyDiv w:val="1"/>
      <w:marLeft w:val="0"/>
      <w:marRight w:val="0"/>
      <w:marTop w:val="0"/>
      <w:marBottom w:val="0"/>
      <w:divBdr>
        <w:top w:val="none" w:sz="0" w:space="0" w:color="auto"/>
        <w:left w:val="none" w:sz="0" w:space="0" w:color="auto"/>
        <w:bottom w:val="none" w:sz="0" w:space="0" w:color="auto"/>
        <w:right w:val="none" w:sz="0" w:space="0" w:color="auto"/>
      </w:divBdr>
    </w:div>
    <w:div w:id="1133984169">
      <w:bodyDiv w:val="1"/>
      <w:marLeft w:val="0"/>
      <w:marRight w:val="0"/>
      <w:marTop w:val="0"/>
      <w:marBottom w:val="0"/>
      <w:divBdr>
        <w:top w:val="none" w:sz="0" w:space="0" w:color="auto"/>
        <w:left w:val="none" w:sz="0" w:space="0" w:color="auto"/>
        <w:bottom w:val="none" w:sz="0" w:space="0" w:color="auto"/>
        <w:right w:val="none" w:sz="0" w:space="0" w:color="auto"/>
      </w:divBdr>
    </w:div>
    <w:div w:id="1150369975">
      <w:bodyDiv w:val="1"/>
      <w:marLeft w:val="0"/>
      <w:marRight w:val="0"/>
      <w:marTop w:val="0"/>
      <w:marBottom w:val="0"/>
      <w:divBdr>
        <w:top w:val="none" w:sz="0" w:space="0" w:color="auto"/>
        <w:left w:val="none" w:sz="0" w:space="0" w:color="auto"/>
        <w:bottom w:val="none" w:sz="0" w:space="0" w:color="auto"/>
        <w:right w:val="none" w:sz="0" w:space="0" w:color="auto"/>
      </w:divBdr>
      <w:divsChild>
        <w:div w:id="78261349">
          <w:marLeft w:val="0"/>
          <w:marRight w:val="0"/>
          <w:marTop w:val="0"/>
          <w:marBottom w:val="0"/>
          <w:divBdr>
            <w:top w:val="none" w:sz="0" w:space="0" w:color="auto"/>
            <w:left w:val="none" w:sz="0" w:space="0" w:color="auto"/>
            <w:bottom w:val="none" w:sz="0" w:space="0" w:color="auto"/>
            <w:right w:val="none" w:sz="0" w:space="0" w:color="auto"/>
          </w:divBdr>
          <w:divsChild>
            <w:div w:id="978921735">
              <w:marLeft w:val="0"/>
              <w:marRight w:val="0"/>
              <w:marTop w:val="0"/>
              <w:marBottom w:val="0"/>
              <w:divBdr>
                <w:top w:val="none" w:sz="0" w:space="0" w:color="auto"/>
                <w:left w:val="none" w:sz="0" w:space="0" w:color="auto"/>
                <w:bottom w:val="none" w:sz="0" w:space="0" w:color="auto"/>
                <w:right w:val="none" w:sz="0" w:space="0" w:color="auto"/>
              </w:divBdr>
              <w:divsChild>
                <w:div w:id="1423716704">
                  <w:marLeft w:val="0"/>
                  <w:marRight w:val="0"/>
                  <w:marTop w:val="0"/>
                  <w:marBottom w:val="0"/>
                  <w:divBdr>
                    <w:top w:val="none" w:sz="0" w:space="0" w:color="auto"/>
                    <w:left w:val="none" w:sz="0" w:space="0" w:color="auto"/>
                    <w:bottom w:val="none" w:sz="0" w:space="0" w:color="auto"/>
                    <w:right w:val="none" w:sz="0" w:space="0" w:color="auto"/>
                  </w:divBdr>
                  <w:divsChild>
                    <w:div w:id="2018533768">
                      <w:marLeft w:val="0"/>
                      <w:marRight w:val="0"/>
                      <w:marTop w:val="0"/>
                      <w:marBottom w:val="0"/>
                      <w:divBdr>
                        <w:top w:val="none" w:sz="0" w:space="0" w:color="auto"/>
                        <w:left w:val="none" w:sz="0" w:space="0" w:color="auto"/>
                        <w:bottom w:val="none" w:sz="0" w:space="0" w:color="auto"/>
                        <w:right w:val="none" w:sz="0" w:space="0" w:color="auto"/>
                      </w:divBdr>
                      <w:divsChild>
                        <w:div w:id="1576743262">
                          <w:marLeft w:val="0"/>
                          <w:marRight w:val="0"/>
                          <w:marTop w:val="0"/>
                          <w:marBottom w:val="0"/>
                          <w:divBdr>
                            <w:top w:val="none" w:sz="0" w:space="0" w:color="auto"/>
                            <w:left w:val="none" w:sz="0" w:space="0" w:color="auto"/>
                            <w:bottom w:val="none" w:sz="0" w:space="0" w:color="auto"/>
                            <w:right w:val="none" w:sz="0" w:space="0" w:color="auto"/>
                          </w:divBdr>
                          <w:divsChild>
                            <w:div w:id="15601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597198">
      <w:bodyDiv w:val="1"/>
      <w:marLeft w:val="0"/>
      <w:marRight w:val="0"/>
      <w:marTop w:val="0"/>
      <w:marBottom w:val="0"/>
      <w:divBdr>
        <w:top w:val="none" w:sz="0" w:space="0" w:color="auto"/>
        <w:left w:val="none" w:sz="0" w:space="0" w:color="auto"/>
        <w:bottom w:val="none" w:sz="0" w:space="0" w:color="auto"/>
        <w:right w:val="none" w:sz="0" w:space="0" w:color="auto"/>
      </w:divBdr>
      <w:divsChild>
        <w:div w:id="993795009">
          <w:marLeft w:val="0"/>
          <w:marRight w:val="0"/>
          <w:marTop w:val="0"/>
          <w:marBottom w:val="173"/>
          <w:divBdr>
            <w:top w:val="none" w:sz="0" w:space="0" w:color="auto"/>
            <w:left w:val="none" w:sz="0" w:space="0" w:color="auto"/>
            <w:bottom w:val="none" w:sz="0" w:space="0" w:color="auto"/>
            <w:right w:val="none" w:sz="0" w:space="0" w:color="auto"/>
          </w:divBdr>
        </w:div>
        <w:div w:id="1202398849">
          <w:marLeft w:val="0"/>
          <w:marRight w:val="0"/>
          <w:marTop w:val="0"/>
          <w:marBottom w:val="173"/>
          <w:divBdr>
            <w:top w:val="none" w:sz="0" w:space="0" w:color="auto"/>
            <w:left w:val="none" w:sz="0" w:space="0" w:color="auto"/>
            <w:bottom w:val="none" w:sz="0" w:space="0" w:color="auto"/>
            <w:right w:val="none" w:sz="0" w:space="0" w:color="auto"/>
          </w:divBdr>
        </w:div>
      </w:divsChild>
    </w:div>
    <w:div w:id="1176306007">
      <w:bodyDiv w:val="1"/>
      <w:marLeft w:val="0"/>
      <w:marRight w:val="0"/>
      <w:marTop w:val="0"/>
      <w:marBottom w:val="0"/>
      <w:divBdr>
        <w:top w:val="none" w:sz="0" w:space="0" w:color="auto"/>
        <w:left w:val="none" w:sz="0" w:space="0" w:color="auto"/>
        <w:bottom w:val="none" w:sz="0" w:space="0" w:color="auto"/>
        <w:right w:val="none" w:sz="0" w:space="0" w:color="auto"/>
      </w:divBdr>
    </w:div>
    <w:div w:id="1181241820">
      <w:bodyDiv w:val="1"/>
      <w:marLeft w:val="0"/>
      <w:marRight w:val="0"/>
      <w:marTop w:val="0"/>
      <w:marBottom w:val="0"/>
      <w:divBdr>
        <w:top w:val="none" w:sz="0" w:space="0" w:color="auto"/>
        <w:left w:val="none" w:sz="0" w:space="0" w:color="auto"/>
        <w:bottom w:val="none" w:sz="0" w:space="0" w:color="auto"/>
        <w:right w:val="none" w:sz="0" w:space="0" w:color="auto"/>
      </w:divBdr>
    </w:div>
    <w:div w:id="1193762307">
      <w:bodyDiv w:val="1"/>
      <w:marLeft w:val="0"/>
      <w:marRight w:val="0"/>
      <w:marTop w:val="0"/>
      <w:marBottom w:val="0"/>
      <w:divBdr>
        <w:top w:val="none" w:sz="0" w:space="0" w:color="auto"/>
        <w:left w:val="none" w:sz="0" w:space="0" w:color="auto"/>
        <w:bottom w:val="none" w:sz="0" w:space="0" w:color="auto"/>
        <w:right w:val="none" w:sz="0" w:space="0" w:color="auto"/>
      </w:divBdr>
    </w:div>
    <w:div w:id="1204751377">
      <w:bodyDiv w:val="1"/>
      <w:marLeft w:val="0"/>
      <w:marRight w:val="0"/>
      <w:marTop w:val="0"/>
      <w:marBottom w:val="0"/>
      <w:divBdr>
        <w:top w:val="none" w:sz="0" w:space="0" w:color="auto"/>
        <w:left w:val="none" w:sz="0" w:space="0" w:color="auto"/>
        <w:bottom w:val="none" w:sz="0" w:space="0" w:color="auto"/>
        <w:right w:val="none" w:sz="0" w:space="0" w:color="auto"/>
      </w:divBdr>
    </w:div>
    <w:div w:id="1206917245">
      <w:bodyDiv w:val="1"/>
      <w:marLeft w:val="0"/>
      <w:marRight w:val="0"/>
      <w:marTop w:val="0"/>
      <w:marBottom w:val="0"/>
      <w:divBdr>
        <w:top w:val="none" w:sz="0" w:space="0" w:color="auto"/>
        <w:left w:val="none" w:sz="0" w:space="0" w:color="auto"/>
        <w:bottom w:val="none" w:sz="0" w:space="0" w:color="auto"/>
        <w:right w:val="none" w:sz="0" w:space="0" w:color="auto"/>
      </w:divBdr>
    </w:div>
    <w:div w:id="1213082715">
      <w:bodyDiv w:val="1"/>
      <w:marLeft w:val="0"/>
      <w:marRight w:val="0"/>
      <w:marTop w:val="0"/>
      <w:marBottom w:val="0"/>
      <w:divBdr>
        <w:top w:val="none" w:sz="0" w:space="0" w:color="auto"/>
        <w:left w:val="none" w:sz="0" w:space="0" w:color="auto"/>
        <w:bottom w:val="none" w:sz="0" w:space="0" w:color="auto"/>
        <w:right w:val="none" w:sz="0" w:space="0" w:color="auto"/>
      </w:divBdr>
    </w:div>
    <w:div w:id="1221215131">
      <w:bodyDiv w:val="1"/>
      <w:marLeft w:val="0"/>
      <w:marRight w:val="0"/>
      <w:marTop w:val="0"/>
      <w:marBottom w:val="0"/>
      <w:divBdr>
        <w:top w:val="none" w:sz="0" w:space="0" w:color="auto"/>
        <w:left w:val="none" w:sz="0" w:space="0" w:color="auto"/>
        <w:bottom w:val="none" w:sz="0" w:space="0" w:color="auto"/>
        <w:right w:val="none" w:sz="0" w:space="0" w:color="auto"/>
      </w:divBdr>
    </w:div>
    <w:div w:id="1227373124">
      <w:bodyDiv w:val="1"/>
      <w:marLeft w:val="0"/>
      <w:marRight w:val="0"/>
      <w:marTop w:val="0"/>
      <w:marBottom w:val="0"/>
      <w:divBdr>
        <w:top w:val="none" w:sz="0" w:space="0" w:color="auto"/>
        <w:left w:val="none" w:sz="0" w:space="0" w:color="auto"/>
        <w:bottom w:val="none" w:sz="0" w:space="0" w:color="auto"/>
        <w:right w:val="none" w:sz="0" w:space="0" w:color="auto"/>
      </w:divBdr>
    </w:div>
    <w:div w:id="1231237510">
      <w:bodyDiv w:val="1"/>
      <w:marLeft w:val="0"/>
      <w:marRight w:val="0"/>
      <w:marTop w:val="0"/>
      <w:marBottom w:val="0"/>
      <w:divBdr>
        <w:top w:val="none" w:sz="0" w:space="0" w:color="auto"/>
        <w:left w:val="none" w:sz="0" w:space="0" w:color="auto"/>
        <w:bottom w:val="none" w:sz="0" w:space="0" w:color="auto"/>
        <w:right w:val="none" w:sz="0" w:space="0" w:color="auto"/>
      </w:divBdr>
    </w:div>
    <w:div w:id="1234002554">
      <w:bodyDiv w:val="1"/>
      <w:marLeft w:val="0"/>
      <w:marRight w:val="0"/>
      <w:marTop w:val="0"/>
      <w:marBottom w:val="0"/>
      <w:divBdr>
        <w:top w:val="none" w:sz="0" w:space="0" w:color="auto"/>
        <w:left w:val="none" w:sz="0" w:space="0" w:color="auto"/>
        <w:bottom w:val="none" w:sz="0" w:space="0" w:color="auto"/>
        <w:right w:val="none" w:sz="0" w:space="0" w:color="auto"/>
      </w:divBdr>
    </w:div>
    <w:div w:id="1234242939">
      <w:bodyDiv w:val="1"/>
      <w:marLeft w:val="0"/>
      <w:marRight w:val="0"/>
      <w:marTop w:val="0"/>
      <w:marBottom w:val="0"/>
      <w:divBdr>
        <w:top w:val="none" w:sz="0" w:space="0" w:color="auto"/>
        <w:left w:val="none" w:sz="0" w:space="0" w:color="auto"/>
        <w:bottom w:val="none" w:sz="0" w:space="0" w:color="auto"/>
        <w:right w:val="none" w:sz="0" w:space="0" w:color="auto"/>
      </w:divBdr>
      <w:divsChild>
        <w:div w:id="658773079">
          <w:marLeft w:val="0"/>
          <w:marRight w:val="0"/>
          <w:marTop w:val="0"/>
          <w:marBottom w:val="0"/>
          <w:divBdr>
            <w:top w:val="none" w:sz="0" w:space="0" w:color="auto"/>
            <w:left w:val="none" w:sz="0" w:space="0" w:color="auto"/>
            <w:bottom w:val="none" w:sz="0" w:space="0" w:color="auto"/>
            <w:right w:val="none" w:sz="0" w:space="0" w:color="auto"/>
          </w:divBdr>
          <w:divsChild>
            <w:div w:id="622880519">
              <w:marLeft w:val="0"/>
              <w:marRight w:val="0"/>
              <w:marTop w:val="0"/>
              <w:marBottom w:val="0"/>
              <w:divBdr>
                <w:top w:val="none" w:sz="0" w:space="0" w:color="auto"/>
                <w:left w:val="none" w:sz="0" w:space="0" w:color="auto"/>
                <w:bottom w:val="none" w:sz="0" w:space="0" w:color="auto"/>
                <w:right w:val="none" w:sz="0" w:space="0" w:color="auto"/>
              </w:divBdr>
              <w:divsChild>
                <w:div w:id="752240859">
                  <w:marLeft w:val="0"/>
                  <w:marRight w:val="0"/>
                  <w:marTop w:val="0"/>
                  <w:marBottom w:val="0"/>
                  <w:divBdr>
                    <w:top w:val="none" w:sz="0" w:space="0" w:color="auto"/>
                    <w:left w:val="none" w:sz="0" w:space="0" w:color="auto"/>
                    <w:bottom w:val="none" w:sz="0" w:space="0" w:color="auto"/>
                    <w:right w:val="none" w:sz="0" w:space="0" w:color="auto"/>
                  </w:divBdr>
                  <w:divsChild>
                    <w:div w:id="866020304">
                      <w:marLeft w:val="0"/>
                      <w:marRight w:val="0"/>
                      <w:marTop w:val="0"/>
                      <w:marBottom w:val="0"/>
                      <w:divBdr>
                        <w:top w:val="none" w:sz="0" w:space="0" w:color="auto"/>
                        <w:left w:val="none" w:sz="0" w:space="0" w:color="auto"/>
                        <w:bottom w:val="none" w:sz="0" w:space="0" w:color="auto"/>
                        <w:right w:val="none" w:sz="0" w:space="0" w:color="auto"/>
                      </w:divBdr>
                      <w:divsChild>
                        <w:div w:id="716322874">
                          <w:marLeft w:val="0"/>
                          <w:marRight w:val="0"/>
                          <w:marTop w:val="0"/>
                          <w:marBottom w:val="0"/>
                          <w:divBdr>
                            <w:top w:val="none" w:sz="0" w:space="0" w:color="auto"/>
                            <w:left w:val="none" w:sz="0" w:space="0" w:color="auto"/>
                            <w:bottom w:val="none" w:sz="0" w:space="0" w:color="auto"/>
                            <w:right w:val="none" w:sz="0" w:space="0" w:color="auto"/>
                          </w:divBdr>
                          <w:divsChild>
                            <w:div w:id="11925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701232">
      <w:bodyDiv w:val="1"/>
      <w:marLeft w:val="0"/>
      <w:marRight w:val="0"/>
      <w:marTop w:val="0"/>
      <w:marBottom w:val="0"/>
      <w:divBdr>
        <w:top w:val="none" w:sz="0" w:space="0" w:color="auto"/>
        <w:left w:val="none" w:sz="0" w:space="0" w:color="auto"/>
        <w:bottom w:val="none" w:sz="0" w:space="0" w:color="auto"/>
        <w:right w:val="none" w:sz="0" w:space="0" w:color="auto"/>
      </w:divBdr>
      <w:divsChild>
        <w:div w:id="1033844972">
          <w:marLeft w:val="0"/>
          <w:marRight w:val="0"/>
          <w:marTop w:val="0"/>
          <w:marBottom w:val="188"/>
          <w:divBdr>
            <w:top w:val="none" w:sz="0" w:space="0" w:color="auto"/>
            <w:left w:val="none" w:sz="0" w:space="0" w:color="auto"/>
            <w:bottom w:val="none" w:sz="0" w:space="0" w:color="auto"/>
            <w:right w:val="none" w:sz="0" w:space="0" w:color="auto"/>
          </w:divBdr>
        </w:div>
        <w:div w:id="2139447458">
          <w:marLeft w:val="0"/>
          <w:marRight w:val="0"/>
          <w:marTop w:val="0"/>
          <w:marBottom w:val="188"/>
          <w:divBdr>
            <w:top w:val="none" w:sz="0" w:space="0" w:color="auto"/>
            <w:left w:val="none" w:sz="0" w:space="0" w:color="auto"/>
            <w:bottom w:val="none" w:sz="0" w:space="0" w:color="auto"/>
            <w:right w:val="none" w:sz="0" w:space="0" w:color="auto"/>
          </w:divBdr>
        </w:div>
      </w:divsChild>
    </w:div>
    <w:div w:id="1236283627">
      <w:bodyDiv w:val="1"/>
      <w:marLeft w:val="0"/>
      <w:marRight w:val="0"/>
      <w:marTop w:val="0"/>
      <w:marBottom w:val="0"/>
      <w:divBdr>
        <w:top w:val="none" w:sz="0" w:space="0" w:color="auto"/>
        <w:left w:val="none" w:sz="0" w:space="0" w:color="auto"/>
        <w:bottom w:val="none" w:sz="0" w:space="0" w:color="auto"/>
        <w:right w:val="none" w:sz="0" w:space="0" w:color="auto"/>
      </w:divBdr>
      <w:divsChild>
        <w:div w:id="608203139">
          <w:marLeft w:val="0"/>
          <w:marRight w:val="0"/>
          <w:marTop w:val="0"/>
          <w:marBottom w:val="225"/>
          <w:divBdr>
            <w:top w:val="none" w:sz="0" w:space="0" w:color="auto"/>
            <w:left w:val="none" w:sz="0" w:space="0" w:color="auto"/>
            <w:bottom w:val="none" w:sz="0" w:space="0" w:color="auto"/>
            <w:right w:val="none" w:sz="0" w:space="0" w:color="auto"/>
          </w:divBdr>
        </w:div>
        <w:div w:id="1921866075">
          <w:marLeft w:val="0"/>
          <w:marRight w:val="0"/>
          <w:marTop w:val="0"/>
          <w:marBottom w:val="225"/>
          <w:divBdr>
            <w:top w:val="none" w:sz="0" w:space="0" w:color="auto"/>
            <w:left w:val="none" w:sz="0" w:space="0" w:color="auto"/>
            <w:bottom w:val="none" w:sz="0" w:space="0" w:color="auto"/>
            <w:right w:val="none" w:sz="0" w:space="0" w:color="auto"/>
          </w:divBdr>
        </w:div>
      </w:divsChild>
    </w:div>
    <w:div w:id="1240214088">
      <w:bodyDiv w:val="1"/>
      <w:marLeft w:val="0"/>
      <w:marRight w:val="0"/>
      <w:marTop w:val="0"/>
      <w:marBottom w:val="0"/>
      <w:divBdr>
        <w:top w:val="none" w:sz="0" w:space="0" w:color="auto"/>
        <w:left w:val="none" w:sz="0" w:space="0" w:color="auto"/>
        <w:bottom w:val="none" w:sz="0" w:space="0" w:color="auto"/>
        <w:right w:val="none" w:sz="0" w:space="0" w:color="auto"/>
      </w:divBdr>
    </w:div>
    <w:div w:id="1244729607">
      <w:bodyDiv w:val="1"/>
      <w:marLeft w:val="0"/>
      <w:marRight w:val="0"/>
      <w:marTop w:val="0"/>
      <w:marBottom w:val="0"/>
      <w:divBdr>
        <w:top w:val="none" w:sz="0" w:space="0" w:color="auto"/>
        <w:left w:val="none" w:sz="0" w:space="0" w:color="auto"/>
        <w:bottom w:val="none" w:sz="0" w:space="0" w:color="auto"/>
        <w:right w:val="none" w:sz="0" w:space="0" w:color="auto"/>
      </w:divBdr>
    </w:div>
    <w:div w:id="1248491237">
      <w:bodyDiv w:val="1"/>
      <w:marLeft w:val="0"/>
      <w:marRight w:val="0"/>
      <w:marTop w:val="0"/>
      <w:marBottom w:val="0"/>
      <w:divBdr>
        <w:top w:val="none" w:sz="0" w:space="0" w:color="auto"/>
        <w:left w:val="none" w:sz="0" w:space="0" w:color="auto"/>
        <w:bottom w:val="none" w:sz="0" w:space="0" w:color="auto"/>
        <w:right w:val="none" w:sz="0" w:space="0" w:color="auto"/>
      </w:divBdr>
    </w:div>
    <w:div w:id="1250196449">
      <w:bodyDiv w:val="1"/>
      <w:marLeft w:val="0"/>
      <w:marRight w:val="0"/>
      <w:marTop w:val="0"/>
      <w:marBottom w:val="0"/>
      <w:divBdr>
        <w:top w:val="none" w:sz="0" w:space="0" w:color="auto"/>
        <w:left w:val="none" w:sz="0" w:space="0" w:color="auto"/>
        <w:bottom w:val="none" w:sz="0" w:space="0" w:color="auto"/>
        <w:right w:val="none" w:sz="0" w:space="0" w:color="auto"/>
      </w:divBdr>
    </w:div>
    <w:div w:id="1250774069">
      <w:bodyDiv w:val="1"/>
      <w:marLeft w:val="0"/>
      <w:marRight w:val="0"/>
      <w:marTop w:val="0"/>
      <w:marBottom w:val="0"/>
      <w:divBdr>
        <w:top w:val="none" w:sz="0" w:space="0" w:color="auto"/>
        <w:left w:val="none" w:sz="0" w:space="0" w:color="auto"/>
        <w:bottom w:val="none" w:sz="0" w:space="0" w:color="auto"/>
        <w:right w:val="none" w:sz="0" w:space="0" w:color="auto"/>
      </w:divBdr>
    </w:div>
    <w:div w:id="1269507928">
      <w:bodyDiv w:val="1"/>
      <w:marLeft w:val="0"/>
      <w:marRight w:val="0"/>
      <w:marTop w:val="0"/>
      <w:marBottom w:val="0"/>
      <w:divBdr>
        <w:top w:val="none" w:sz="0" w:space="0" w:color="auto"/>
        <w:left w:val="none" w:sz="0" w:space="0" w:color="auto"/>
        <w:bottom w:val="none" w:sz="0" w:space="0" w:color="auto"/>
        <w:right w:val="none" w:sz="0" w:space="0" w:color="auto"/>
      </w:divBdr>
    </w:div>
    <w:div w:id="1275595937">
      <w:bodyDiv w:val="1"/>
      <w:marLeft w:val="0"/>
      <w:marRight w:val="0"/>
      <w:marTop w:val="0"/>
      <w:marBottom w:val="0"/>
      <w:divBdr>
        <w:top w:val="none" w:sz="0" w:space="0" w:color="auto"/>
        <w:left w:val="none" w:sz="0" w:space="0" w:color="auto"/>
        <w:bottom w:val="none" w:sz="0" w:space="0" w:color="auto"/>
        <w:right w:val="none" w:sz="0" w:space="0" w:color="auto"/>
      </w:divBdr>
    </w:div>
    <w:div w:id="1305161572">
      <w:bodyDiv w:val="1"/>
      <w:marLeft w:val="0"/>
      <w:marRight w:val="0"/>
      <w:marTop w:val="0"/>
      <w:marBottom w:val="0"/>
      <w:divBdr>
        <w:top w:val="none" w:sz="0" w:space="0" w:color="auto"/>
        <w:left w:val="none" w:sz="0" w:space="0" w:color="auto"/>
        <w:bottom w:val="none" w:sz="0" w:space="0" w:color="auto"/>
        <w:right w:val="none" w:sz="0" w:space="0" w:color="auto"/>
      </w:divBdr>
      <w:divsChild>
        <w:div w:id="304048454">
          <w:marLeft w:val="0"/>
          <w:marRight w:val="0"/>
          <w:marTop w:val="0"/>
          <w:marBottom w:val="225"/>
          <w:divBdr>
            <w:top w:val="none" w:sz="0" w:space="0" w:color="auto"/>
            <w:left w:val="none" w:sz="0" w:space="0" w:color="auto"/>
            <w:bottom w:val="none" w:sz="0" w:space="0" w:color="auto"/>
            <w:right w:val="none" w:sz="0" w:space="0" w:color="auto"/>
          </w:divBdr>
        </w:div>
        <w:div w:id="949968421">
          <w:marLeft w:val="0"/>
          <w:marRight w:val="0"/>
          <w:marTop w:val="0"/>
          <w:marBottom w:val="225"/>
          <w:divBdr>
            <w:top w:val="none" w:sz="0" w:space="0" w:color="auto"/>
            <w:left w:val="none" w:sz="0" w:space="0" w:color="auto"/>
            <w:bottom w:val="none" w:sz="0" w:space="0" w:color="auto"/>
            <w:right w:val="none" w:sz="0" w:space="0" w:color="auto"/>
          </w:divBdr>
        </w:div>
        <w:div w:id="1035235778">
          <w:marLeft w:val="0"/>
          <w:marRight w:val="0"/>
          <w:marTop w:val="0"/>
          <w:marBottom w:val="225"/>
          <w:divBdr>
            <w:top w:val="none" w:sz="0" w:space="0" w:color="auto"/>
            <w:left w:val="none" w:sz="0" w:space="0" w:color="auto"/>
            <w:bottom w:val="none" w:sz="0" w:space="0" w:color="auto"/>
            <w:right w:val="none" w:sz="0" w:space="0" w:color="auto"/>
          </w:divBdr>
        </w:div>
        <w:div w:id="1414619388">
          <w:marLeft w:val="0"/>
          <w:marRight w:val="0"/>
          <w:marTop w:val="0"/>
          <w:marBottom w:val="225"/>
          <w:divBdr>
            <w:top w:val="none" w:sz="0" w:space="0" w:color="auto"/>
            <w:left w:val="none" w:sz="0" w:space="0" w:color="auto"/>
            <w:bottom w:val="none" w:sz="0" w:space="0" w:color="auto"/>
            <w:right w:val="none" w:sz="0" w:space="0" w:color="auto"/>
          </w:divBdr>
        </w:div>
        <w:div w:id="1740788399">
          <w:marLeft w:val="0"/>
          <w:marRight w:val="0"/>
          <w:marTop w:val="0"/>
          <w:marBottom w:val="225"/>
          <w:divBdr>
            <w:top w:val="none" w:sz="0" w:space="0" w:color="auto"/>
            <w:left w:val="none" w:sz="0" w:space="0" w:color="auto"/>
            <w:bottom w:val="none" w:sz="0" w:space="0" w:color="auto"/>
            <w:right w:val="none" w:sz="0" w:space="0" w:color="auto"/>
          </w:divBdr>
        </w:div>
      </w:divsChild>
    </w:div>
    <w:div w:id="1312520163">
      <w:bodyDiv w:val="1"/>
      <w:marLeft w:val="0"/>
      <w:marRight w:val="0"/>
      <w:marTop w:val="0"/>
      <w:marBottom w:val="0"/>
      <w:divBdr>
        <w:top w:val="none" w:sz="0" w:space="0" w:color="auto"/>
        <w:left w:val="none" w:sz="0" w:space="0" w:color="auto"/>
        <w:bottom w:val="none" w:sz="0" w:space="0" w:color="auto"/>
        <w:right w:val="none" w:sz="0" w:space="0" w:color="auto"/>
      </w:divBdr>
    </w:div>
    <w:div w:id="1314020103">
      <w:bodyDiv w:val="1"/>
      <w:marLeft w:val="0"/>
      <w:marRight w:val="0"/>
      <w:marTop w:val="0"/>
      <w:marBottom w:val="0"/>
      <w:divBdr>
        <w:top w:val="none" w:sz="0" w:space="0" w:color="auto"/>
        <w:left w:val="none" w:sz="0" w:space="0" w:color="auto"/>
        <w:bottom w:val="none" w:sz="0" w:space="0" w:color="auto"/>
        <w:right w:val="none" w:sz="0" w:space="0" w:color="auto"/>
      </w:divBdr>
    </w:div>
    <w:div w:id="1333606007">
      <w:bodyDiv w:val="1"/>
      <w:marLeft w:val="0"/>
      <w:marRight w:val="0"/>
      <w:marTop w:val="0"/>
      <w:marBottom w:val="0"/>
      <w:divBdr>
        <w:top w:val="none" w:sz="0" w:space="0" w:color="auto"/>
        <w:left w:val="none" w:sz="0" w:space="0" w:color="auto"/>
        <w:bottom w:val="none" w:sz="0" w:space="0" w:color="auto"/>
        <w:right w:val="none" w:sz="0" w:space="0" w:color="auto"/>
      </w:divBdr>
    </w:div>
    <w:div w:id="1336762739">
      <w:bodyDiv w:val="1"/>
      <w:marLeft w:val="0"/>
      <w:marRight w:val="0"/>
      <w:marTop w:val="0"/>
      <w:marBottom w:val="0"/>
      <w:divBdr>
        <w:top w:val="none" w:sz="0" w:space="0" w:color="auto"/>
        <w:left w:val="none" w:sz="0" w:space="0" w:color="auto"/>
        <w:bottom w:val="none" w:sz="0" w:space="0" w:color="auto"/>
        <w:right w:val="none" w:sz="0" w:space="0" w:color="auto"/>
      </w:divBdr>
    </w:div>
    <w:div w:id="1340279139">
      <w:bodyDiv w:val="1"/>
      <w:marLeft w:val="0"/>
      <w:marRight w:val="0"/>
      <w:marTop w:val="0"/>
      <w:marBottom w:val="0"/>
      <w:divBdr>
        <w:top w:val="none" w:sz="0" w:space="0" w:color="auto"/>
        <w:left w:val="none" w:sz="0" w:space="0" w:color="auto"/>
        <w:bottom w:val="none" w:sz="0" w:space="0" w:color="auto"/>
        <w:right w:val="none" w:sz="0" w:space="0" w:color="auto"/>
      </w:divBdr>
    </w:div>
    <w:div w:id="1354260974">
      <w:bodyDiv w:val="1"/>
      <w:marLeft w:val="0"/>
      <w:marRight w:val="0"/>
      <w:marTop w:val="0"/>
      <w:marBottom w:val="0"/>
      <w:divBdr>
        <w:top w:val="none" w:sz="0" w:space="0" w:color="auto"/>
        <w:left w:val="none" w:sz="0" w:space="0" w:color="auto"/>
        <w:bottom w:val="none" w:sz="0" w:space="0" w:color="auto"/>
        <w:right w:val="none" w:sz="0" w:space="0" w:color="auto"/>
      </w:divBdr>
    </w:div>
    <w:div w:id="1356078712">
      <w:bodyDiv w:val="1"/>
      <w:marLeft w:val="0"/>
      <w:marRight w:val="0"/>
      <w:marTop w:val="0"/>
      <w:marBottom w:val="0"/>
      <w:divBdr>
        <w:top w:val="none" w:sz="0" w:space="0" w:color="auto"/>
        <w:left w:val="none" w:sz="0" w:space="0" w:color="auto"/>
        <w:bottom w:val="none" w:sz="0" w:space="0" w:color="auto"/>
        <w:right w:val="none" w:sz="0" w:space="0" w:color="auto"/>
      </w:divBdr>
    </w:div>
    <w:div w:id="1373840740">
      <w:bodyDiv w:val="1"/>
      <w:marLeft w:val="0"/>
      <w:marRight w:val="0"/>
      <w:marTop w:val="0"/>
      <w:marBottom w:val="0"/>
      <w:divBdr>
        <w:top w:val="none" w:sz="0" w:space="0" w:color="auto"/>
        <w:left w:val="none" w:sz="0" w:space="0" w:color="auto"/>
        <w:bottom w:val="none" w:sz="0" w:space="0" w:color="auto"/>
        <w:right w:val="none" w:sz="0" w:space="0" w:color="auto"/>
      </w:divBdr>
    </w:div>
    <w:div w:id="1392924304">
      <w:bodyDiv w:val="1"/>
      <w:marLeft w:val="0"/>
      <w:marRight w:val="0"/>
      <w:marTop w:val="0"/>
      <w:marBottom w:val="0"/>
      <w:divBdr>
        <w:top w:val="none" w:sz="0" w:space="0" w:color="auto"/>
        <w:left w:val="none" w:sz="0" w:space="0" w:color="auto"/>
        <w:bottom w:val="none" w:sz="0" w:space="0" w:color="auto"/>
        <w:right w:val="none" w:sz="0" w:space="0" w:color="auto"/>
      </w:divBdr>
    </w:div>
    <w:div w:id="1401636303">
      <w:bodyDiv w:val="1"/>
      <w:marLeft w:val="0"/>
      <w:marRight w:val="0"/>
      <w:marTop w:val="0"/>
      <w:marBottom w:val="0"/>
      <w:divBdr>
        <w:top w:val="none" w:sz="0" w:space="0" w:color="auto"/>
        <w:left w:val="none" w:sz="0" w:space="0" w:color="auto"/>
        <w:bottom w:val="none" w:sz="0" w:space="0" w:color="auto"/>
        <w:right w:val="none" w:sz="0" w:space="0" w:color="auto"/>
      </w:divBdr>
      <w:divsChild>
        <w:div w:id="1516731773">
          <w:marLeft w:val="0"/>
          <w:marRight w:val="0"/>
          <w:marTop w:val="0"/>
          <w:marBottom w:val="0"/>
          <w:divBdr>
            <w:top w:val="none" w:sz="0" w:space="0" w:color="auto"/>
            <w:left w:val="none" w:sz="0" w:space="0" w:color="auto"/>
            <w:bottom w:val="none" w:sz="0" w:space="0" w:color="auto"/>
            <w:right w:val="none" w:sz="0" w:space="0" w:color="auto"/>
          </w:divBdr>
          <w:divsChild>
            <w:div w:id="1990591287">
              <w:marLeft w:val="0"/>
              <w:marRight w:val="0"/>
              <w:marTop w:val="0"/>
              <w:marBottom w:val="0"/>
              <w:divBdr>
                <w:top w:val="none" w:sz="0" w:space="0" w:color="auto"/>
                <w:left w:val="none" w:sz="0" w:space="0" w:color="auto"/>
                <w:bottom w:val="none" w:sz="0" w:space="0" w:color="auto"/>
                <w:right w:val="none" w:sz="0" w:space="0" w:color="auto"/>
              </w:divBdr>
              <w:divsChild>
                <w:div w:id="396123916">
                  <w:marLeft w:val="0"/>
                  <w:marRight w:val="0"/>
                  <w:marTop w:val="0"/>
                  <w:marBottom w:val="0"/>
                  <w:divBdr>
                    <w:top w:val="none" w:sz="0" w:space="0" w:color="auto"/>
                    <w:left w:val="none" w:sz="0" w:space="0" w:color="auto"/>
                    <w:bottom w:val="none" w:sz="0" w:space="0" w:color="auto"/>
                    <w:right w:val="none" w:sz="0" w:space="0" w:color="auto"/>
                  </w:divBdr>
                  <w:divsChild>
                    <w:div w:id="2060668490">
                      <w:marLeft w:val="0"/>
                      <w:marRight w:val="0"/>
                      <w:marTop w:val="0"/>
                      <w:marBottom w:val="0"/>
                      <w:divBdr>
                        <w:top w:val="none" w:sz="0" w:space="0" w:color="auto"/>
                        <w:left w:val="none" w:sz="0" w:space="0" w:color="auto"/>
                        <w:bottom w:val="none" w:sz="0" w:space="0" w:color="auto"/>
                        <w:right w:val="none" w:sz="0" w:space="0" w:color="auto"/>
                      </w:divBdr>
                      <w:divsChild>
                        <w:div w:id="1894388273">
                          <w:marLeft w:val="0"/>
                          <w:marRight w:val="0"/>
                          <w:marTop w:val="0"/>
                          <w:marBottom w:val="0"/>
                          <w:divBdr>
                            <w:top w:val="none" w:sz="0" w:space="0" w:color="auto"/>
                            <w:left w:val="none" w:sz="0" w:space="0" w:color="auto"/>
                            <w:bottom w:val="none" w:sz="0" w:space="0" w:color="auto"/>
                            <w:right w:val="none" w:sz="0" w:space="0" w:color="auto"/>
                          </w:divBdr>
                          <w:divsChild>
                            <w:div w:id="7728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067946">
      <w:bodyDiv w:val="1"/>
      <w:marLeft w:val="0"/>
      <w:marRight w:val="0"/>
      <w:marTop w:val="0"/>
      <w:marBottom w:val="0"/>
      <w:divBdr>
        <w:top w:val="none" w:sz="0" w:space="0" w:color="auto"/>
        <w:left w:val="none" w:sz="0" w:space="0" w:color="auto"/>
        <w:bottom w:val="none" w:sz="0" w:space="0" w:color="auto"/>
        <w:right w:val="none" w:sz="0" w:space="0" w:color="auto"/>
      </w:divBdr>
      <w:divsChild>
        <w:div w:id="1097597427">
          <w:marLeft w:val="0"/>
          <w:marRight w:val="0"/>
          <w:marTop w:val="0"/>
          <w:marBottom w:val="0"/>
          <w:divBdr>
            <w:top w:val="none" w:sz="0" w:space="0" w:color="auto"/>
            <w:left w:val="none" w:sz="0" w:space="0" w:color="auto"/>
            <w:bottom w:val="none" w:sz="0" w:space="0" w:color="auto"/>
            <w:right w:val="none" w:sz="0" w:space="0" w:color="auto"/>
          </w:divBdr>
        </w:div>
      </w:divsChild>
    </w:div>
    <w:div w:id="1407848937">
      <w:bodyDiv w:val="1"/>
      <w:marLeft w:val="0"/>
      <w:marRight w:val="0"/>
      <w:marTop w:val="0"/>
      <w:marBottom w:val="0"/>
      <w:divBdr>
        <w:top w:val="none" w:sz="0" w:space="0" w:color="auto"/>
        <w:left w:val="none" w:sz="0" w:space="0" w:color="auto"/>
        <w:bottom w:val="none" w:sz="0" w:space="0" w:color="auto"/>
        <w:right w:val="none" w:sz="0" w:space="0" w:color="auto"/>
      </w:divBdr>
    </w:div>
    <w:div w:id="1410736313">
      <w:bodyDiv w:val="1"/>
      <w:marLeft w:val="0"/>
      <w:marRight w:val="0"/>
      <w:marTop w:val="0"/>
      <w:marBottom w:val="0"/>
      <w:divBdr>
        <w:top w:val="none" w:sz="0" w:space="0" w:color="auto"/>
        <w:left w:val="none" w:sz="0" w:space="0" w:color="auto"/>
        <w:bottom w:val="none" w:sz="0" w:space="0" w:color="auto"/>
        <w:right w:val="none" w:sz="0" w:space="0" w:color="auto"/>
      </w:divBdr>
    </w:div>
    <w:div w:id="1415862921">
      <w:bodyDiv w:val="1"/>
      <w:marLeft w:val="0"/>
      <w:marRight w:val="0"/>
      <w:marTop w:val="0"/>
      <w:marBottom w:val="0"/>
      <w:divBdr>
        <w:top w:val="none" w:sz="0" w:space="0" w:color="auto"/>
        <w:left w:val="none" w:sz="0" w:space="0" w:color="auto"/>
        <w:bottom w:val="none" w:sz="0" w:space="0" w:color="auto"/>
        <w:right w:val="none" w:sz="0" w:space="0" w:color="auto"/>
      </w:divBdr>
    </w:div>
    <w:div w:id="1434743975">
      <w:bodyDiv w:val="1"/>
      <w:marLeft w:val="0"/>
      <w:marRight w:val="0"/>
      <w:marTop w:val="0"/>
      <w:marBottom w:val="0"/>
      <w:divBdr>
        <w:top w:val="none" w:sz="0" w:space="0" w:color="auto"/>
        <w:left w:val="none" w:sz="0" w:space="0" w:color="auto"/>
        <w:bottom w:val="none" w:sz="0" w:space="0" w:color="auto"/>
        <w:right w:val="none" w:sz="0" w:space="0" w:color="auto"/>
      </w:divBdr>
    </w:div>
    <w:div w:id="1434856740">
      <w:bodyDiv w:val="1"/>
      <w:marLeft w:val="0"/>
      <w:marRight w:val="0"/>
      <w:marTop w:val="0"/>
      <w:marBottom w:val="0"/>
      <w:divBdr>
        <w:top w:val="none" w:sz="0" w:space="0" w:color="auto"/>
        <w:left w:val="none" w:sz="0" w:space="0" w:color="auto"/>
        <w:bottom w:val="none" w:sz="0" w:space="0" w:color="auto"/>
        <w:right w:val="none" w:sz="0" w:space="0" w:color="auto"/>
      </w:divBdr>
    </w:div>
    <w:div w:id="1437402578">
      <w:bodyDiv w:val="1"/>
      <w:marLeft w:val="0"/>
      <w:marRight w:val="0"/>
      <w:marTop w:val="0"/>
      <w:marBottom w:val="0"/>
      <w:divBdr>
        <w:top w:val="none" w:sz="0" w:space="0" w:color="auto"/>
        <w:left w:val="none" w:sz="0" w:space="0" w:color="auto"/>
        <w:bottom w:val="none" w:sz="0" w:space="0" w:color="auto"/>
        <w:right w:val="none" w:sz="0" w:space="0" w:color="auto"/>
      </w:divBdr>
      <w:divsChild>
        <w:div w:id="36008193">
          <w:marLeft w:val="0"/>
          <w:marRight w:val="0"/>
          <w:marTop w:val="0"/>
          <w:marBottom w:val="0"/>
          <w:divBdr>
            <w:top w:val="none" w:sz="0" w:space="0" w:color="auto"/>
            <w:left w:val="none" w:sz="0" w:space="0" w:color="auto"/>
            <w:bottom w:val="none" w:sz="0" w:space="0" w:color="auto"/>
            <w:right w:val="none" w:sz="0" w:space="0" w:color="auto"/>
          </w:divBdr>
          <w:divsChild>
            <w:div w:id="1565794787">
              <w:marLeft w:val="0"/>
              <w:marRight w:val="0"/>
              <w:marTop w:val="0"/>
              <w:marBottom w:val="0"/>
              <w:divBdr>
                <w:top w:val="none" w:sz="0" w:space="0" w:color="auto"/>
                <w:left w:val="none" w:sz="0" w:space="0" w:color="auto"/>
                <w:bottom w:val="none" w:sz="0" w:space="0" w:color="auto"/>
                <w:right w:val="none" w:sz="0" w:space="0" w:color="auto"/>
              </w:divBdr>
              <w:divsChild>
                <w:div w:id="747724662">
                  <w:marLeft w:val="0"/>
                  <w:marRight w:val="0"/>
                  <w:marTop w:val="0"/>
                  <w:marBottom w:val="0"/>
                  <w:divBdr>
                    <w:top w:val="none" w:sz="0" w:space="0" w:color="auto"/>
                    <w:left w:val="none" w:sz="0" w:space="0" w:color="auto"/>
                    <w:bottom w:val="none" w:sz="0" w:space="0" w:color="auto"/>
                    <w:right w:val="none" w:sz="0" w:space="0" w:color="auto"/>
                  </w:divBdr>
                  <w:divsChild>
                    <w:div w:id="1097871901">
                      <w:marLeft w:val="0"/>
                      <w:marRight w:val="0"/>
                      <w:marTop w:val="0"/>
                      <w:marBottom w:val="0"/>
                      <w:divBdr>
                        <w:top w:val="none" w:sz="0" w:space="0" w:color="auto"/>
                        <w:left w:val="none" w:sz="0" w:space="0" w:color="auto"/>
                        <w:bottom w:val="none" w:sz="0" w:space="0" w:color="auto"/>
                        <w:right w:val="none" w:sz="0" w:space="0" w:color="auto"/>
                      </w:divBdr>
                      <w:divsChild>
                        <w:div w:id="282462073">
                          <w:marLeft w:val="0"/>
                          <w:marRight w:val="0"/>
                          <w:marTop w:val="0"/>
                          <w:marBottom w:val="0"/>
                          <w:divBdr>
                            <w:top w:val="none" w:sz="0" w:space="0" w:color="auto"/>
                            <w:left w:val="none" w:sz="0" w:space="0" w:color="auto"/>
                            <w:bottom w:val="none" w:sz="0" w:space="0" w:color="auto"/>
                            <w:right w:val="none" w:sz="0" w:space="0" w:color="auto"/>
                          </w:divBdr>
                          <w:divsChild>
                            <w:div w:id="856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64363">
      <w:bodyDiv w:val="1"/>
      <w:marLeft w:val="0"/>
      <w:marRight w:val="0"/>
      <w:marTop w:val="0"/>
      <w:marBottom w:val="0"/>
      <w:divBdr>
        <w:top w:val="none" w:sz="0" w:space="0" w:color="auto"/>
        <w:left w:val="none" w:sz="0" w:space="0" w:color="auto"/>
        <w:bottom w:val="none" w:sz="0" w:space="0" w:color="auto"/>
        <w:right w:val="none" w:sz="0" w:space="0" w:color="auto"/>
      </w:divBdr>
    </w:div>
    <w:div w:id="1458569310">
      <w:bodyDiv w:val="1"/>
      <w:marLeft w:val="0"/>
      <w:marRight w:val="0"/>
      <w:marTop w:val="0"/>
      <w:marBottom w:val="0"/>
      <w:divBdr>
        <w:top w:val="none" w:sz="0" w:space="0" w:color="auto"/>
        <w:left w:val="none" w:sz="0" w:space="0" w:color="auto"/>
        <w:bottom w:val="none" w:sz="0" w:space="0" w:color="auto"/>
        <w:right w:val="none" w:sz="0" w:space="0" w:color="auto"/>
      </w:divBdr>
    </w:div>
    <w:div w:id="1463575489">
      <w:bodyDiv w:val="1"/>
      <w:marLeft w:val="0"/>
      <w:marRight w:val="0"/>
      <w:marTop w:val="0"/>
      <w:marBottom w:val="0"/>
      <w:divBdr>
        <w:top w:val="none" w:sz="0" w:space="0" w:color="auto"/>
        <w:left w:val="none" w:sz="0" w:space="0" w:color="auto"/>
        <w:bottom w:val="none" w:sz="0" w:space="0" w:color="auto"/>
        <w:right w:val="none" w:sz="0" w:space="0" w:color="auto"/>
      </w:divBdr>
    </w:div>
    <w:div w:id="1483496924">
      <w:bodyDiv w:val="1"/>
      <w:marLeft w:val="0"/>
      <w:marRight w:val="0"/>
      <w:marTop w:val="0"/>
      <w:marBottom w:val="0"/>
      <w:divBdr>
        <w:top w:val="none" w:sz="0" w:space="0" w:color="auto"/>
        <w:left w:val="none" w:sz="0" w:space="0" w:color="auto"/>
        <w:bottom w:val="none" w:sz="0" w:space="0" w:color="auto"/>
        <w:right w:val="none" w:sz="0" w:space="0" w:color="auto"/>
      </w:divBdr>
    </w:div>
    <w:div w:id="1489250390">
      <w:bodyDiv w:val="1"/>
      <w:marLeft w:val="0"/>
      <w:marRight w:val="0"/>
      <w:marTop w:val="0"/>
      <w:marBottom w:val="0"/>
      <w:divBdr>
        <w:top w:val="none" w:sz="0" w:space="0" w:color="auto"/>
        <w:left w:val="none" w:sz="0" w:space="0" w:color="auto"/>
        <w:bottom w:val="none" w:sz="0" w:space="0" w:color="auto"/>
        <w:right w:val="none" w:sz="0" w:space="0" w:color="auto"/>
      </w:divBdr>
      <w:divsChild>
        <w:div w:id="1177188716">
          <w:marLeft w:val="0"/>
          <w:marRight w:val="0"/>
          <w:marTop w:val="0"/>
          <w:marBottom w:val="0"/>
          <w:divBdr>
            <w:top w:val="none" w:sz="0" w:space="0" w:color="auto"/>
            <w:left w:val="none" w:sz="0" w:space="0" w:color="auto"/>
            <w:bottom w:val="none" w:sz="0" w:space="0" w:color="auto"/>
            <w:right w:val="none" w:sz="0" w:space="0" w:color="auto"/>
          </w:divBdr>
        </w:div>
      </w:divsChild>
    </w:div>
    <w:div w:id="1493838353">
      <w:bodyDiv w:val="1"/>
      <w:marLeft w:val="0"/>
      <w:marRight w:val="0"/>
      <w:marTop w:val="0"/>
      <w:marBottom w:val="0"/>
      <w:divBdr>
        <w:top w:val="none" w:sz="0" w:space="0" w:color="auto"/>
        <w:left w:val="none" w:sz="0" w:space="0" w:color="auto"/>
        <w:bottom w:val="none" w:sz="0" w:space="0" w:color="auto"/>
        <w:right w:val="none" w:sz="0" w:space="0" w:color="auto"/>
      </w:divBdr>
    </w:div>
    <w:div w:id="1504708542">
      <w:bodyDiv w:val="1"/>
      <w:marLeft w:val="0"/>
      <w:marRight w:val="0"/>
      <w:marTop w:val="0"/>
      <w:marBottom w:val="0"/>
      <w:divBdr>
        <w:top w:val="none" w:sz="0" w:space="0" w:color="auto"/>
        <w:left w:val="none" w:sz="0" w:space="0" w:color="auto"/>
        <w:bottom w:val="none" w:sz="0" w:space="0" w:color="auto"/>
        <w:right w:val="none" w:sz="0" w:space="0" w:color="auto"/>
      </w:divBdr>
    </w:div>
    <w:div w:id="1512601745">
      <w:bodyDiv w:val="1"/>
      <w:marLeft w:val="0"/>
      <w:marRight w:val="0"/>
      <w:marTop w:val="0"/>
      <w:marBottom w:val="0"/>
      <w:divBdr>
        <w:top w:val="none" w:sz="0" w:space="0" w:color="auto"/>
        <w:left w:val="none" w:sz="0" w:space="0" w:color="auto"/>
        <w:bottom w:val="none" w:sz="0" w:space="0" w:color="auto"/>
        <w:right w:val="none" w:sz="0" w:space="0" w:color="auto"/>
      </w:divBdr>
    </w:div>
    <w:div w:id="1521510547">
      <w:bodyDiv w:val="1"/>
      <w:marLeft w:val="0"/>
      <w:marRight w:val="0"/>
      <w:marTop w:val="0"/>
      <w:marBottom w:val="0"/>
      <w:divBdr>
        <w:top w:val="none" w:sz="0" w:space="0" w:color="auto"/>
        <w:left w:val="none" w:sz="0" w:space="0" w:color="auto"/>
        <w:bottom w:val="none" w:sz="0" w:space="0" w:color="auto"/>
        <w:right w:val="none" w:sz="0" w:space="0" w:color="auto"/>
      </w:divBdr>
    </w:div>
    <w:div w:id="1530101296">
      <w:bodyDiv w:val="1"/>
      <w:marLeft w:val="0"/>
      <w:marRight w:val="0"/>
      <w:marTop w:val="0"/>
      <w:marBottom w:val="0"/>
      <w:divBdr>
        <w:top w:val="none" w:sz="0" w:space="0" w:color="auto"/>
        <w:left w:val="none" w:sz="0" w:space="0" w:color="auto"/>
        <w:bottom w:val="none" w:sz="0" w:space="0" w:color="auto"/>
        <w:right w:val="none" w:sz="0" w:space="0" w:color="auto"/>
      </w:divBdr>
    </w:div>
    <w:div w:id="1532500203">
      <w:bodyDiv w:val="1"/>
      <w:marLeft w:val="0"/>
      <w:marRight w:val="0"/>
      <w:marTop w:val="0"/>
      <w:marBottom w:val="0"/>
      <w:divBdr>
        <w:top w:val="none" w:sz="0" w:space="0" w:color="auto"/>
        <w:left w:val="none" w:sz="0" w:space="0" w:color="auto"/>
        <w:bottom w:val="none" w:sz="0" w:space="0" w:color="auto"/>
        <w:right w:val="none" w:sz="0" w:space="0" w:color="auto"/>
      </w:divBdr>
    </w:div>
    <w:div w:id="1537618177">
      <w:bodyDiv w:val="1"/>
      <w:marLeft w:val="0"/>
      <w:marRight w:val="0"/>
      <w:marTop w:val="0"/>
      <w:marBottom w:val="0"/>
      <w:divBdr>
        <w:top w:val="none" w:sz="0" w:space="0" w:color="auto"/>
        <w:left w:val="none" w:sz="0" w:space="0" w:color="auto"/>
        <w:bottom w:val="none" w:sz="0" w:space="0" w:color="auto"/>
        <w:right w:val="none" w:sz="0" w:space="0" w:color="auto"/>
      </w:divBdr>
      <w:divsChild>
        <w:div w:id="782849729">
          <w:marLeft w:val="0"/>
          <w:marRight w:val="0"/>
          <w:marTop w:val="0"/>
          <w:marBottom w:val="0"/>
          <w:divBdr>
            <w:top w:val="none" w:sz="0" w:space="0" w:color="auto"/>
            <w:left w:val="none" w:sz="0" w:space="0" w:color="auto"/>
            <w:bottom w:val="none" w:sz="0" w:space="0" w:color="auto"/>
            <w:right w:val="none" w:sz="0" w:space="0" w:color="auto"/>
          </w:divBdr>
          <w:divsChild>
            <w:div w:id="155927021">
              <w:marLeft w:val="0"/>
              <w:marRight w:val="0"/>
              <w:marTop w:val="0"/>
              <w:marBottom w:val="0"/>
              <w:divBdr>
                <w:top w:val="none" w:sz="0" w:space="0" w:color="auto"/>
                <w:left w:val="none" w:sz="0" w:space="0" w:color="auto"/>
                <w:bottom w:val="none" w:sz="0" w:space="0" w:color="auto"/>
                <w:right w:val="none" w:sz="0" w:space="0" w:color="auto"/>
              </w:divBdr>
              <w:divsChild>
                <w:div w:id="248854465">
                  <w:marLeft w:val="0"/>
                  <w:marRight w:val="0"/>
                  <w:marTop w:val="0"/>
                  <w:marBottom w:val="0"/>
                  <w:divBdr>
                    <w:top w:val="none" w:sz="0" w:space="0" w:color="auto"/>
                    <w:left w:val="none" w:sz="0" w:space="0" w:color="auto"/>
                    <w:bottom w:val="none" w:sz="0" w:space="0" w:color="auto"/>
                    <w:right w:val="none" w:sz="0" w:space="0" w:color="auto"/>
                  </w:divBdr>
                  <w:divsChild>
                    <w:div w:id="1931506867">
                      <w:marLeft w:val="0"/>
                      <w:marRight w:val="0"/>
                      <w:marTop w:val="0"/>
                      <w:marBottom w:val="150"/>
                      <w:divBdr>
                        <w:top w:val="none" w:sz="0" w:space="0" w:color="auto"/>
                        <w:left w:val="none" w:sz="0" w:space="0" w:color="auto"/>
                        <w:bottom w:val="none" w:sz="0" w:space="0" w:color="auto"/>
                        <w:right w:val="none" w:sz="0" w:space="0" w:color="auto"/>
                      </w:divBdr>
                      <w:divsChild>
                        <w:div w:id="119692397">
                          <w:marLeft w:val="0"/>
                          <w:marRight w:val="0"/>
                          <w:marTop w:val="0"/>
                          <w:marBottom w:val="0"/>
                          <w:divBdr>
                            <w:top w:val="none" w:sz="0" w:space="0" w:color="auto"/>
                            <w:left w:val="none" w:sz="0" w:space="0" w:color="auto"/>
                            <w:bottom w:val="none" w:sz="0" w:space="0" w:color="auto"/>
                            <w:right w:val="none" w:sz="0" w:space="0" w:color="auto"/>
                          </w:divBdr>
                          <w:divsChild>
                            <w:div w:id="868757544">
                              <w:marLeft w:val="0"/>
                              <w:marRight w:val="0"/>
                              <w:marTop w:val="0"/>
                              <w:marBottom w:val="0"/>
                              <w:divBdr>
                                <w:top w:val="none" w:sz="0" w:space="0" w:color="auto"/>
                                <w:left w:val="none" w:sz="0" w:space="0" w:color="auto"/>
                                <w:bottom w:val="none" w:sz="0" w:space="0" w:color="auto"/>
                                <w:right w:val="none" w:sz="0" w:space="0" w:color="auto"/>
                              </w:divBdr>
                              <w:divsChild>
                                <w:div w:id="17019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168388">
      <w:bodyDiv w:val="1"/>
      <w:marLeft w:val="0"/>
      <w:marRight w:val="0"/>
      <w:marTop w:val="0"/>
      <w:marBottom w:val="0"/>
      <w:divBdr>
        <w:top w:val="none" w:sz="0" w:space="0" w:color="auto"/>
        <w:left w:val="none" w:sz="0" w:space="0" w:color="auto"/>
        <w:bottom w:val="none" w:sz="0" w:space="0" w:color="auto"/>
        <w:right w:val="none" w:sz="0" w:space="0" w:color="auto"/>
      </w:divBdr>
    </w:div>
    <w:div w:id="1541822851">
      <w:bodyDiv w:val="1"/>
      <w:marLeft w:val="0"/>
      <w:marRight w:val="0"/>
      <w:marTop w:val="0"/>
      <w:marBottom w:val="0"/>
      <w:divBdr>
        <w:top w:val="none" w:sz="0" w:space="0" w:color="auto"/>
        <w:left w:val="none" w:sz="0" w:space="0" w:color="auto"/>
        <w:bottom w:val="none" w:sz="0" w:space="0" w:color="auto"/>
        <w:right w:val="none" w:sz="0" w:space="0" w:color="auto"/>
      </w:divBdr>
    </w:div>
    <w:div w:id="1541866928">
      <w:bodyDiv w:val="1"/>
      <w:marLeft w:val="0"/>
      <w:marRight w:val="0"/>
      <w:marTop w:val="0"/>
      <w:marBottom w:val="0"/>
      <w:divBdr>
        <w:top w:val="none" w:sz="0" w:space="0" w:color="auto"/>
        <w:left w:val="none" w:sz="0" w:space="0" w:color="auto"/>
        <w:bottom w:val="none" w:sz="0" w:space="0" w:color="auto"/>
        <w:right w:val="none" w:sz="0" w:space="0" w:color="auto"/>
      </w:divBdr>
    </w:div>
    <w:div w:id="1542864127">
      <w:bodyDiv w:val="1"/>
      <w:marLeft w:val="0"/>
      <w:marRight w:val="0"/>
      <w:marTop w:val="0"/>
      <w:marBottom w:val="0"/>
      <w:divBdr>
        <w:top w:val="none" w:sz="0" w:space="0" w:color="auto"/>
        <w:left w:val="none" w:sz="0" w:space="0" w:color="auto"/>
        <w:bottom w:val="none" w:sz="0" w:space="0" w:color="auto"/>
        <w:right w:val="none" w:sz="0" w:space="0" w:color="auto"/>
      </w:divBdr>
    </w:div>
    <w:div w:id="1544099176">
      <w:bodyDiv w:val="1"/>
      <w:marLeft w:val="0"/>
      <w:marRight w:val="0"/>
      <w:marTop w:val="0"/>
      <w:marBottom w:val="0"/>
      <w:divBdr>
        <w:top w:val="none" w:sz="0" w:space="0" w:color="auto"/>
        <w:left w:val="none" w:sz="0" w:space="0" w:color="auto"/>
        <w:bottom w:val="none" w:sz="0" w:space="0" w:color="auto"/>
        <w:right w:val="none" w:sz="0" w:space="0" w:color="auto"/>
      </w:divBdr>
      <w:divsChild>
        <w:div w:id="386224977">
          <w:marLeft w:val="0"/>
          <w:marRight w:val="0"/>
          <w:marTop w:val="0"/>
          <w:marBottom w:val="0"/>
          <w:divBdr>
            <w:top w:val="none" w:sz="0" w:space="0" w:color="auto"/>
            <w:left w:val="none" w:sz="0" w:space="0" w:color="auto"/>
            <w:bottom w:val="none" w:sz="0" w:space="0" w:color="auto"/>
            <w:right w:val="none" w:sz="0" w:space="0" w:color="auto"/>
          </w:divBdr>
          <w:divsChild>
            <w:div w:id="851725655">
              <w:marLeft w:val="0"/>
              <w:marRight w:val="0"/>
              <w:marTop w:val="0"/>
              <w:marBottom w:val="0"/>
              <w:divBdr>
                <w:top w:val="none" w:sz="0" w:space="0" w:color="auto"/>
                <w:left w:val="none" w:sz="0" w:space="0" w:color="auto"/>
                <w:bottom w:val="none" w:sz="0" w:space="0" w:color="auto"/>
                <w:right w:val="none" w:sz="0" w:space="0" w:color="auto"/>
              </w:divBdr>
              <w:divsChild>
                <w:div w:id="310528473">
                  <w:marLeft w:val="0"/>
                  <w:marRight w:val="0"/>
                  <w:marTop w:val="0"/>
                  <w:marBottom w:val="0"/>
                  <w:divBdr>
                    <w:top w:val="none" w:sz="0" w:space="0" w:color="auto"/>
                    <w:left w:val="none" w:sz="0" w:space="0" w:color="auto"/>
                    <w:bottom w:val="none" w:sz="0" w:space="0" w:color="auto"/>
                    <w:right w:val="none" w:sz="0" w:space="0" w:color="auto"/>
                  </w:divBdr>
                  <w:divsChild>
                    <w:div w:id="2113742634">
                      <w:marLeft w:val="0"/>
                      <w:marRight w:val="0"/>
                      <w:marTop w:val="0"/>
                      <w:marBottom w:val="0"/>
                      <w:divBdr>
                        <w:top w:val="none" w:sz="0" w:space="0" w:color="auto"/>
                        <w:left w:val="none" w:sz="0" w:space="0" w:color="auto"/>
                        <w:bottom w:val="none" w:sz="0" w:space="0" w:color="auto"/>
                        <w:right w:val="none" w:sz="0" w:space="0" w:color="auto"/>
                      </w:divBdr>
                      <w:divsChild>
                        <w:div w:id="1298337392">
                          <w:marLeft w:val="0"/>
                          <w:marRight w:val="0"/>
                          <w:marTop w:val="0"/>
                          <w:marBottom w:val="0"/>
                          <w:divBdr>
                            <w:top w:val="none" w:sz="0" w:space="0" w:color="auto"/>
                            <w:left w:val="none" w:sz="0" w:space="0" w:color="auto"/>
                            <w:bottom w:val="none" w:sz="0" w:space="0" w:color="auto"/>
                            <w:right w:val="none" w:sz="0" w:space="0" w:color="auto"/>
                          </w:divBdr>
                          <w:divsChild>
                            <w:div w:id="3138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254">
      <w:bodyDiv w:val="1"/>
      <w:marLeft w:val="0"/>
      <w:marRight w:val="0"/>
      <w:marTop w:val="0"/>
      <w:marBottom w:val="0"/>
      <w:divBdr>
        <w:top w:val="none" w:sz="0" w:space="0" w:color="auto"/>
        <w:left w:val="none" w:sz="0" w:space="0" w:color="auto"/>
        <w:bottom w:val="none" w:sz="0" w:space="0" w:color="auto"/>
        <w:right w:val="none" w:sz="0" w:space="0" w:color="auto"/>
      </w:divBdr>
    </w:div>
    <w:div w:id="1557542356">
      <w:bodyDiv w:val="1"/>
      <w:marLeft w:val="0"/>
      <w:marRight w:val="0"/>
      <w:marTop w:val="0"/>
      <w:marBottom w:val="0"/>
      <w:divBdr>
        <w:top w:val="none" w:sz="0" w:space="0" w:color="auto"/>
        <w:left w:val="none" w:sz="0" w:space="0" w:color="auto"/>
        <w:bottom w:val="none" w:sz="0" w:space="0" w:color="auto"/>
        <w:right w:val="none" w:sz="0" w:space="0" w:color="auto"/>
      </w:divBdr>
    </w:div>
    <w:div w:id="1586845319">
      <w:bodyDiv w:val="1"/>
      <w:marLeft w:val="0"/>
      <w:marRight w:val="0"/>
      <w:marTop w:val="0"/>
      <w:marBottom w:val="0"/>
      <w:divBdr>
        <w:top w:val="none" w:sz="0" w:space="0" w:color="auto"/>
        <w:left w:val="none" w:sz="0" w:space="0" w:color="auto"/>
        <w:bottom w:val="none" w:sz="0" w:space="0" w:color="auto"/>
        <w:right w:val="none" w:sz="0" w:space="0" w:color="auto"/>
      </w:divBdr>
    </w:div>
    <w:div w:id="1587152762">
      <w:bodyDiv w:val="1"/>
      <w:marLeft w:val="0"/>
      <w:marRight w:val="0"/>
      <w:marTop w:val="0"/>
      <w:marBottom w:val="0"/>
      <w:divBdr>
        <w:top w:val="none" w:sz="0" w:space="0" w:color="auto"/>
        <w:left w:val="none" w:sz="0" w:space="0" w:color="auto"/>
        <w:bottom w:val="none" w:sz="0" w:space="0" w:color="auto"/>
        <w:right w:val="none" w:sz="0" w:space="0" w:color="auto"/>
      </w:divBdr>
    </w:div>
    <w:div w:id="1587229353">
      <w:bodyDiv w:val="1"/>
      <w:marLeft w:val="0"/>
      <w:marRight w:val="0"/>
      <w:marTop w:val="0"/>
      <w:marBottom w:val="0"/>
      <w:divBdr>
        <w:top w:val="none" w:sz="0" w:space="0" w:color="auto"/>
        <w:left w:val="none" w:sz="0" w:space="0" w:color="auto"/>
        <w:bottom w:val="none" w:sz="0" w:space="0" w:color="auto"/>
        <w:right w:val="none" w:sz="0" w:space="0" w:color="auto"/>
      </w:divBdr>
    </w:div>
    <w:div w:id="1593391846">
      <w:bodyDiv w:val="1"/>
      <w:marLeft w:val="0"/>
      <w:marRight w:val="0"/>
      <w:marTop w:val="0"/>
      <w:marBottom w:val="0"/>
      <w:divBdr>
        <w:top w:val="none" w:sz="0" w:space="0" w:color="auto"/>
        <w:left w:val="none" w:sz="0" w:space="0" w:color="auto"/>
        <w:bottom w:val="none" w:sz="0" w:space="0" w:color="auto"/>
        <w:right w:val="none" w:sz="0" w:space="0" w:color="auto"/>
      </w:divBdr>
    </w:div>
    <w:div w:id="1598056696">
      <w:bodyDiv w:val="1"/>
      <w:marLeft w:val="0"/>
      <w:marRight w:val="0"/>
      <w:marTop w:val="0"/>
      <w:marBottom w:val="0"/>
      <w:divBdr>
        <w:top w:val="none" w:sz="0" w:space="0" w:color="auto"/>
        <w:left w:val="none" w:sz="0" w:space="0" w:color="auto"/>
        <w:bottom w:val="none" w:sz="0" w:space="0" w:color="auto"/>
        <w:right w:val="none" w:sz="0" w:space="0" w:color="auto"/>
      </w:divBdr>
    </w:div>
    <w:div w:id="1606884385">
      <w:bodyDiv w:val="1"/>
      <w:marLeft w:val="0"/>
      <w:marRight w:val="0"/>
      <w:marTop w:val="0"/>
      <w:marBottom w:val="0"/>
      <w:divBdr>
        <w:top w:val="none" w:sz="0" w:space="0" w:color="auto"/>
        <w:left w:val="none" w:sz="0" w:space="0" w:color="auto"/>
        <w:bottom w:val="none" w:sz="0" w:space="0" w:color="auto"/>
        <w:right w:val="none" w:sz="0" w:space="0" w:color="auto"/>
      </w:divBdr>
      <w:divsChild>
        <w:div w:id="182476542">
          <w:marLeft w:val="0"/>
          <w:marRight w:val="0"/>
          <w:marTop w:val="0"/>
          <w:marBottom w:val="0"/>
          <w:divBdr>
            <w:top w:val="none" w:sz="0" w:space="0" w:color="auto"/>
            <w:left w:val="none" w:sz="0" w:space="0" w:color="auto"/>
            <w:bottom w:val="none" w:sz="0" w:space="0" w:color="auto"/>
            <w:right w:val="none" w:sz="0" w:space="0" w:color="auto"/>
          </w:divBdr>
          <w:divsChild>
            <w:div w:id="1539513423">
              <w:marLeft w:val="0"/>
              <w:marRight w:val="0"/>
              <w:marTop w:val="0"/>
              <w:marBottom w:val="0"/>
              <w:divBdr>
                <w:top w:val="none" w:sz="0" w:space="0" w:color="auto"/>
                <w:left w:val="none" w:sz="0" w:space="0" w:color="auto"/>
                <w:bottom w:val="none" w:sz="0" w:space="0" w:color="auto"/>
                <w:right w:val="none" w:sz="0" w:space="0" w:color="auto"/>
              </w:divBdr>
              <w:divsChild>
                <w:div w:id="465706822">
                  <w:marLeft w:val="0"/>
                  <w:marRight w:val="0"/>
                  <w:marTop w:val="0"/>
                  <w:marBottom w:val="0"/>
                  <w:divBdr>
                    <w:top w:val="none" w:sz="0" w:space="0" w:color="auto"/>
                    <w:left w:val="none" w:sz="0" w:space="0" w:color="auto"/>
                    <w:bottom w:val="none" w:sz="0" w:space="0" w:color="auto"/>
                    <w:right w:val="none" w:sz="0" w:space="0" w:color="auto"/>
                  </w:divBdr>
                  <w:divsChild>
                    <w:div w:id="2066483918">
                      <w:marLeft w:val="0"/>
                      <w:marRight w:val="0"/>
                      <w:marTop w:val="0"/>
                      <w:marBottom w:val="0"/>
                      <w:divBdr>
                        <w:top w:val="none" w:sz="0" w:space="0" w:color="auto"/>
                        <w:left w:val="none" w:sz="0" w:space="0" w:color="auto"/>
                        <w:bottom w:val="none" w:sz="0" w:space="0" w:color="auto"/>
                        <w:right w:val="none" w:sz="0" w:space="0" w:color="auto"/>
                      </w:divBdr>
                      <w:divsChild>
                        <w:div w:id="828256653">
                          <w:marLeft w:val="0"/>
                          <w:marRight w:val="0"/>
                          <w:marTop w:val="0"/>
                          <w:marBottom w:val="0"/>
                          <w:divBdr>
                            <w:top w:val="none" w:sz="0" w:space="0" w:color="auto"/>
                            <w:left w:val="none" w:sz="0" w:space="0" w:color="auto"/>
                            <w:bottom w:val="none" w:sz="0" w:space="0" w:color="auto"/>
                            <w:right w:val="none" w:sz="0" w:space="0" w:color="auto"/>
                          </w:divBdr>
                          <w:divsChild>
                            <w:div w:id="7348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477207">
      <w:bodyDiv w:val="1"/>
      <w:marLeft w:val="0"/>
      <w:marRight w:val="0"/>
      <w:marTop w:val="0"/>
      <w:marBottom w:val="0"/>
      <w:divBdr>
        <w:top w:val="none" w:sz="0" w:space="0" w:color="auto"/>
        <w:left w:val="none" w:sz="0" w:space="0" w:color="auto"/>
        <w:bottom w:val="none" w:sz="0" w:space="0" w:color="auto"/>
        <w:right w:val="none" w:sz="0" w:space="0" w:color="auto"/>
      </w:divBdr>
    </w:div>
    <w:div w:id="1631476394">
      <w:bodyDiv w:val="1"/>
      <w:marLeft w:val="0"/>
      <w:marRight w:val="0"/>
      <w:marTop w:val="0"/>
      <w:marBottom w:val="0"/>
      <w:divBdr>
        <w:top w:val="none" w:sz="0" w:space="0" w:color="auto"/>
        <w:left w:val="none" w:sz="0" w:space="0" w:color="auto"/>
        <w:bottom w:val="none" w:sz="0" w:space="0" w:color="auto"/>
        <w:right w:val="none" w:sz="0" w:space="0" w:color="auto"/>
      </w:divBdr>
    </w:div>
    <w:div w:id="1632907752">
      <w:bodyDiv w:val="1"/>
      <w:marLeft w:val="0"/>
      <w:marRight w:val="0"/>
      <w:marTop w:val="0"/>
      <w:marBottom w:val="0"/>
      <w:divBdr>
        <w:top w:val="none" w:sz="0" w:space="0" w:color="auto"/>
        <w:left w:val="none" w:sz="0" w:space="0" w:color="auto"/>
        <w:bottom w:val="none" w:sz="0" w:space="0" w:color="auto"/>
        <w:right w:val="none" w:sz="0" w:space="0" w:color="auto"/>
      </w:divBdr>
      <w:divsChild>
        <w:div w:id="74013257">
          <w:marLeft w:val="0"/>
          <w:marRight w:val="0"/>
          <w:marTop w:val="0"/>
          <w:marBottom w:val="180"/>
          <w:divBdr>
            <w:top w:val="none" w:sz="0" w:space="0" w:color="auto"/>
            <w:left w:val="none" w:sz="0" w:space="0" w:color="auto"/>
            <w:bottom w:val="none" w:sz="0" w:space="0" w:color="auto"/>
            <w:right w:val="none" w:sz="0" w:space="0" w:color="auto"/>
          </w:divBdr>
        </w:div>
        <w:div w:id="421881368">
          <w:marLeft w:val="0"/>
          <w:marRight w:val="0"/>
          <w:marTop w:val="0"/>
          <w:marBottom w:val="180"/>
          <w:divBdr>
            <w:top w:val="none" w:sz="0" w:space="0" w:color="auto"/>
            <w:left w:val="none" w:sz="0" w:space="0" w:color="auto"/>
            <w:bottom w:val="none" w:sz="0" w:space="0" w:color="auto"/>
            <w:right w:val="none" w:sz="0" w:space="0" w:color="auto"/>
          </w:divBdr>
        </w:div>
        <w:div w:id="1110469603">
          <w:marLeft w:val="0"/>
          <w:marRight w:val="0"/>
          <w:marTop w:val="0"/>
          <w:marBottom w:val="180"/>
          <w:divBdr>
            <w:top w:val="none" w:sz="0" w:space="0" w:color="auto"/>
            <w:left w:val="none" w:sz="0" w:space="0" w:color="auto"/>
            <w:bottom w:val="none" w:sz="0" w:space="0" w:color="auto"/>
            <w:right w:val="none" w:sz="0" w:space="0" w:color="auto"/>
          </w:divBdr>
        </w:div>
        <w:div w:id="1159032522">
          <w:marLeft w:val="0"/>
          <w:marRight w:val="0"/>
          <w:marTop w:val="0"/>
          <w:marBottom w:val="180"/>
          <w:divBdr>
            <w:top w:val="none" w:sz="0" w:space="0" w:color="auto"/>
            <w:left w:val="none" w:sz="0" w:space="0" w:color="auto"/>
            <w:bottom w:val="none" w:sz="0" w:space="0" w:color="auto"/>
            <w:right w:val="none" w:sz="0" w:space="0" w:color="auto"/>
          </w:divBdr>
        </w:div>
      </w:divsChild>
    </w:div>
    <w:div w:id="1635407707">
      <w:bodyDiv w:val="1"/>
      <w:marLeft w:val="0"/>
      <w:marRight w:val="0"/>
      <w:marTop w:val="0"/>
      <w:marBottom w:val="0"/>
      <w:divBdr>
        <w:top w:val="none" w:sz="0" w:space="0" w:color="auto"/>
        <w:left w:val="none" w:sz="0" w:space="0" w:color="auto"/>
        <w:bottom w:val="none" w:sz="0" w:space="0" w:color="auto"/>
        <w:right w:val="none" w:sz="0" w:space="0" w:color="auto"/>
      </w:divBdr>
      <w:divsChild>
        <w:div w:id="898394592">
          <w:marLeft w:val="0"/>
          <w:marRight w:val="0"/>
          <w:marTop w:val="0"/>
          <w:marBottom w:val="225"/>
          <w:divBdr>
            <w:top w:val="none" w:sz="0" w:space="0" w:color="auto"/>
            <w:left w:val="none" w:sz="0" w:space="0" w:color="auto"/>
            <w:bottom w:val="none" w:sz="0" w:space="0" w:color="auto"/>
            <w:right w:val="none" w:sz="0" w:space="0" w:color="auto"/>
          </w:divBdr>
        </w:div>
        <w:div w:id="1582570002">
          <w:marLeft w:val="0"/>
          <w:marRight w:val="0"/>
          <w:marTop w:val="0"/>
          <w:marBottom w:val="225"/>
          <w:divBdr>
            <w:top w:val="none" w:sz="0" w:space="0" w:color="auto"/>
            <w:left w:val="none" w:sz="0" w:space="0" w:color="auto"/>
            <w:bottom w:val="none" w:sz="0" w:space="0" w:color="auto"/>
            <w:right w:val="none" w:sz="0" w:space="0" w:color="auto"/>
          </w:divBdr>
        </w:div>
      </w:divsChild>
    </w:div>
    <w:div w:id="1641112775">
      <w:bodyDiv w:val="1"/>
      <w:marLeft w:val="0"/>
      <w:marRight w:val="0"/>
      <w:marTop w:val="0"/>
      <w:marBottom w:val="0"/>
      <w:divBdr>
        <w:top w:val="none" w:sz="0" w:space="0" w:color="auto"/>
        <w:left w:val="none" w:sz="0" w:space="0" w:color="auto"/>
        <w:bottom w:val="none" w:sz="0" w:space="0" w:color="auto"/>
        <w:right w:val="none" w:sz="0" w:space="0" w:color="auto"/>
      </w:divBdr>
    </w:div>
    <w:div w:id="1650788650">
      <w:bodyDiv w:val="1"/>
      <w:marLeft w:val="0"/>
      <w:marRight w:val="0"/>
      <w:marTop w:val="0"/>
      <w:marBottom w:val="0"/>
      <w:divBdr>
        <w:top w:val="none" w:sz="0" w:space="0" w:color="auto"/>
        <w:left w:val="none" w:sz="0" w:space="0" w:color="auto"/>
        <w:bottom w:val="none" w:sz="0" w:space="0" w:color="auto"/>
        <w:right w:val="none" w:sz="0" w:space="0" w:color="auto"/>
      </w:divBdr>
    </w:div>
    <w:div w:id="1673027126">
      <w:bodyDiv w:val="1"/>
      <w:marLeft w:val="0"/>
      <w:marRight w:val="0"/>
      <w:marTop w:val="0"/>
      <w:marBottom w:val="0"/>
      <w:divBdr>
        <w:top w:val="none" w:sz="0" w:space="0" w:color="auto"/>
        <w:left w:val="none" w:sz="0" w:space="0" w:color="auto"/>
        <w:bottom w:val="none" w:sz="0" w:space="0" w:color="auto"/>
        <w:right w:val="none" w:sz="0" w:space="0" w:color="auto"/>
      </w:divBdr>
      <w:divsChild>
        <w:div w:id="796333443">
          <w:marLeft w:val="0"/>
          <w:marRight w:val="0"/>
          <w:marTop w:val="0"/>
          <w:marBottom w:val="180"/>
          <w:divBdr>
            <w:top w:val="none" w:sz="0" w:space="0" w:color="auto"/>
            <w:left w:val="none" w:sz="0" w:space="0" w:color="auto"/>
            <w:bottom w:val="none" w:sz="0" w:space="0" w:color="auto"/>
            <w:right w:val="none" w:sz="0" w:space="0" w:color="auto"/>
          </w:divBdr>
        </w:div>
        <w:div w:id="956909918">
          <w:marLeft w:val="0"/>
          <w:marRight w:val="0"/>
          <w:marTop w:val="0"/>
          <w:marBottom w:val="180"/>
          <w:divBdr>
            <w:top w:val="none" w:sz="0" w:space="0" w:color="auto"/>
            <w:left w:val="none" w:sz="0" w:space="0" w:color="auto"/>
            <w:bottom w:val="none" w:sz="0" w:space="0" w:color="auto"/>
            <w:right w:val="none" w:sz="0" w:space="0" w:color="auto"/>
          </w:divBdr>
        </w:div>
      </w:divsChild>
    </w:div>
    <w:div w:id="1675917742">
      <w:bodyDiv w:val="1"/>
      <w:marLeft w:val="0"/>
      <w:marRight w:val="0"/>
      <w:marTop w:val="0"/>
      <w:marBottom w:val="0"/>
      <w:divBdr>
        <w:top w:val="none" w:sz="0" w:space="0" w:color="auto"/>
        <w:left w:val="none" w:sz="0" w:space="0" w:color="auto"/>
        <w:bottom w:val="none" w:sz="0" w:space="0" w:color="auto"/>
        <w:right w:val="none" w:sz="0" w:space="0" w:color="auto"/>
      </w:divBdr>
    </w:div>
    <w:div w:id="1686637284">
      <w:bodyDiv w:val="1"/>
      <w:marLeft w:val="0"/>
      <w:marRight w:val="0"/>
      <w:marTop w:val="0"/>
      <w:marBottom w:val="0"/>
      <w:divBdr>
        <w:top w:val="none" w:sz="0" w:space="0" w:color="auto"/>
        <w:left w:val="none" w:sz="0" w:space="0" w:color="auto"/>
        <w:bottom w:val="none" w:sz="0" w:space="0" w:color="auto"/>
        <w:right w:val="none" w:sz="0" w:space="0" w:color="auto"/>
      </w:divBdr>
    </w:div>
    <w:div w:id="1693847426">
      <w:bodyDiv w:val="1"/>
      <w:marLeft w:val="0"/>
      <w:marRight w:val="0"/>
      <w:marTop w:val="0"/>
      <w:marBottom w:val="0"/>
      <w:divBdr>
        <w:top w:val="none" w:sz="0" w:space="0" w:color="auto"/>
        <w:left w:val="none" w:sz="0" w:space="0" w:color="auto"/>
        <w:bottom w:val="none" w:sz="0" w:space="0" w:color="auto"/>
        <w:right w:val="none" w:sz="0" w:space="0" w:color="auto"/>
      </w:divBdr>
      <w:divsChild>
        <w:div w:id="1831364104">
          <w:marLeft w:val="0"/>
          <w:marRight w:val="0"/>
          <w:marTop w:val="0"/>
          <w:marBottom w:val="0"/>
          <w:divBdr>
            <w:top w:val="none" w:sz="0" w:space="0" w:color="auto"/>
            <w:left w:val="none" w:sz="0" w:space="0" w:color="auto"/>
            <w:bottom w:val="none" w:sz="0" w:space="0" w:color="auto"/>
            <w:right w:val="none" w:sz="0" w:space="0" w:color="auto"/>
          </w:divBdr>
        </w:div>
      </w:divsChild>
    </w:div>
    <w:div w:id="1700428311">
      <w:bodyDiv w:val="1"/>
      <w:marLeft w:val="0"/>
      <w:marRight w:val="0"/>
      <w:marTop w:val="0"/>
      <w:marBottom w:val="0"/>
      <w:divBdr>
        <w:top w:val="none" w:sz="0" w:space="0" w:color="auto"/>
        <w:left w:val="none" w:sz="0" w:space="0" w:color="auto"/>
        <w:bottom w:val="none" w:sz="0" w:space="0" w:color="auto"/>
        <w:right w:val="none" w:sz="0" w:space="0" w:color="auto"/>
      </w:divBdr>
    </w:div>
    <w:div w:id="1706715759">
      <w:bodyDiv w:val="1"/>
      <w:marLeft w:val="0"/>
      <w:marRight w:val="0"/>
      <w:marTop w:val="0"/>
      <w:marBottom w:val="0"/>
      <w:divBdr>
        <w:top w:val="none" w:sz="0" w:space="0" w:color="auto"/>
        <w:left w:val="none" w:sz="0" w:space="0" w:color="auto"/>
        <w:bottom w:val="none" w:sz="0" w:space="0" w:color="auto"/>
        <w:right w:val="none" w:sz="0" w:space="0" w:color="auto"/>
      </w:divBdr>
      <w:divsChild>
        <w:div w:id="132210854">
          <w:marLeft w:val="0"/>
          <w:marRight w:val="0"/>
          <w:marTop w:val="0"/>
          <w:marBottom w:val="225"/>
          <w:divBdr>
            <w:top w:val="none" w:sz="0" w:space="0" w:color="auto"/>
            <w:left w:val="none" w:sz="0" w:space="0" w:color="auto"/>
            <w:bottom w:val="none" w:sz="0" w:space="0" w:color="auto"/>
            <w:right w:val="none" w:sz="0" w:space="0" w:color="auto"/>
          </w:divBdr>
        </w:div>
        <w:div w:id="1345978655">
          <w:marLeft w:val="0"/>
          <w:marRight w:val="0"/>
          <w:marTop w:val="0"/>
          <w:marBottom w:val="225"/>
          <w:divBdr>
            <w:top w:val="none" w:sz="0" w:space="0" w:color="auto"/>
            <w:left w:val="none" w:sz="0" w:space="0" w:color="auto"/>
            <w:bottom w:val="none" w:sz="0" w:space="0" w:color="auto"/>
            <w:right w:val="none" w:sz="0" w:space="0" w:color="auto"/>
          </w:divBdr>
        </w:div>
      </w:divsChild>
    </w:div>
    <w:div w:id="1709334121">
      <w:bodyDiv w:val="1"/>
      <w:marLeft w:val="0"/>
      <w:marRight w:val="0"/>
      <w:marTop w:val="0"/>
      <w:marBottom w:val="0"/>
      <w:divBdr>
        <w:top w:val="none" w:sz="0" w:space="0" w:color="auto"/>
        <w:left w:val="none" w:sz="0" w:space="0" w:color="auto"/>
        <w:bottom w:val="none" w:sz="0" w:space="0" w:color="auto"/>
        <w:right w:val="none" w:sz="0" w:space="0" w:color="auto"/>
      </w:divBdr>
    </w:div>
    <w:div w:id="1712997419">
      <w:bodyDiv w:val="1"/>
      <w:marLeft w:val="0"/>
      <w:marRight w:val="0"/>
      <w:marTop w:val="0"/>
      <w:marBottom w:val="0"/>
      <w:divBdr>
        <w:top w:val="none" w:sz="0" w:space="0" w:color="auto"/>
        <w:left w:val="none" w:sz="0" w:space="0" w:color="auto"/>
        <w:bottom w:val="none" w:sz="0" w:space="0" w:color="auto"/>
        <w:right w:val="none" w:sz="0" w:space="0" w:color="auto"/>
      </w:divBdr>
    </w:div>
    <w:div w:id="1713192042">
      <w:bodyDiv w:val="1"/>
      <w:marLeft w:val="0"/>
      <w:marRight w:val="0"/>
      <w:marTop w:val="0"/>
      <w:marBottom w:val="0"/>
      <w:divBdr>
        <w:top w:val="none" w:sz="0" w:space="0" w:color="auto"/>
        <w:left w:val="none" w:sz="0" w:space="0" w:color="auto"/>
        <w:bottom w:val="none" w:sz="0" w:space="0" w:color="auto"/>
        <w:right w:val="none" w:sz="0" w:space="0" w:color="auto"/>
      </w:divBdr>
    </w:div>
    <w:div w:id="1722561639">
      <w:bodyDiv w:val="1"/>
      <w:marLeft w:val="0"/>
      <w:marRight w:val="0"/>
      <w:marTop w:val="0"/>
      <w:marBottom w:val="0"/>
      <w:divBdr>
        <w:top w:val="none" w:sz="0" w:space="0" w:color="auto"/>
        <w:left w:val="none" w:sz="0" w:space="0" w:color="auto"/>
        <w:bottom w:val="none" w:sz="0" w:space="0" w:color="auto"/>
        <w:right w:val="none" w:sz="0" w:space="0" w:color="auto"/>
      </w:divBdr>
      <w:divsChild>
        <w:div w:id="57482735">
          <w:marLeft w:val="0"/>
          <w:marRight w:val="0"/>
          <w:marTop w:val="0"/>
          <w:marBottom w:val="225"/>
          <w:divBdr>
            <w:top w:val="none" w:sz="0" w:space="0" w:color="auto"/>
            <w:left w:val="none" w:sz="0" w:space="0" w:color="auto"/>
            <w:bottom w:val="none" w:sz="0" w:space="0" w:color="auto"/>
            <w:right w:val="none" w:sz="0" w:space="0" w:color="auto"/>
          </w:divBdr>
        </w:div>
        <w:div w:id="2087265585">
          <w:marLeft w:val="0"/>
          <w:marRight w:val="0"/>
          <w:marTop w:val="0"/>
          <w:marBottom w:val="225"/>
          <w:divBdr>
            <w:top w:val="none" w:sz="0" w:space="0" w:color="auto"/>
            <w:left w:val="none" w:sz="0" w:space="0" w:color="auto"/>
            <w:bottom w:val="none" w:sz="0" w:space="0" w:color="auto"/>
            <w:right w:val="none" w:sz="0" w:space="0" w:color="auto"/>
          </w:divBdr>
        </w:div>
      </w:divsChild>
    </w:div>
    <w:div w:id="1725525633">
      <w:bodyDiv w:val="1"/>
      <w:marLeft w:val="0"/>
      <w:marRight w:val="0"/>
      <w:marTop w:val="0"/>
      <w:marBottom w:val="0"/>
      <w:divBdr>
        <w:top w:val="none" w:sz="0" w:space="0" w:color="auto"/>
        <w:left w:val="none" w:sz="0" w:space="0" w:color="auto"/>
        <w:bottom w:val="none" w:sz="0" w:space="0" w:color="auto"/>
        <w:right w:val="none" w:sz="0" w:space="0" w:color="auto"/>
      </w:divBdr>
    </w:div>
    <w:div w:id="1730491627">
      <w:bodyDiv w:val="1"/>
      <w:marLeft w:val="0"/>
      <w:marRight w:val="0"/>
      <w:marTop w:val="0"/>
      <w:marBottom w:val="0"/>
      <w:divBdr>
        <w:top w:val="none" w:sz="0" w:space="0" w:color="auto"/>
        <w:left w:val="none" w:sz="0" w:space="0" w:color="auto"/>
        <w:bottom w:val="none" w:sz="0" w:space="0" w:color="auto"/>
        <w:right w:val="none" w:sz="0" w:space="0" w:color="auto"/>
      </w:divBdr>
    </w:div>
    <w:div w:id="1732728296">
      <w:bodyDiv w:val="1"/>
      <w:marLeft w:val="0"/>
      <w:marRight w:val="0"/>
      <w:marTop w:val="0"/>
      <w:marBottom w:val="0"/>
      <w:divBdr>
        <w:top w:val="none" w:sz="0" w:space="0" w:color="auto"/>
        <w:left w:val="none" w:sz="0" w:space="0" w:color="auto"/>
        <w:bottom w:val="none" w:sz="0" w:space="0" w:color="auto"/>
        <w:right w:val="none" w:sz="0" w:space="0" w:color="auto"/>
      </w:divBdr>
    </w:div>
    <w:div w:id="1742172125">
      <w:bodyDiv w:val="1"/>
      <w:marLeft w:val="0"/>
      <w:marRight w:val="0"/>
      <w:marTop w:val="0"/>
      <w:marBottom w:val="0"/>
      <w:divBdr>
        <w:top w:val="none" w:sz="0" w:space="0" w:color="auto"/>
        <w:left w:val="none" w:sz="0" w:space="0" w:color="auto"/>
        <w:bottom w:val="none" w:sz="0" w:space="0" w:color="auto"/>
        <w:right w:val="none" w:sz="0" w:space="0" w:color="auto"/>
      </w:divBdr>
    </w:div>
    <w:div w:id="1742560516">
      <w:bodyDiv w:val="1"/>
      <w:marLeft w:val="0"/>
      <w:marRight w:val="0"/>
      <w:marTop w:val="0"/>
      <w:marBottom w:val="0"/>
      <w:divBdr>
        <w:top w:val="none" w:sz="0" w:space="0" w:color="auto"/>
        <w:left w:val="none" w:sz="0" w:space="0" w:color="auto"/>
        <w:bottom w:val="none" w:sz="0" w:space="0" w:color="auto"/>
        <w:right w:val="none" w:sz="0" w:space="0" w:color="auto"/>
      </w:divBdr>
    </w:div>
    <w:div w:id="1753508466">
      <w:bodyDiv w:val="1"/>
      <w:marLeft w:val="0"/>
      <w:marRight w:val="0"/>
      <w:marTop w:val="0"/>
      <w:marBottom w:val="0"/>
      <w:divBdr>
        <w:top w:val="none" w:sz="0" w:space="0" w:color="auto"/>
        <w:left w:val="none" w:sz="0" w:space="0" w:color="auto"/>
        <w:bottom w:val="none" w:sz="0" w:space="0" w:color="auto"/>
        <w:right w:val="none" w:sz="0" w:space="0" w:color="auto"/>
      </w:divBdr>
    </w:div>
    <w:div w:id="1775444554">
      <w:bodyDiv w:val="1"/>
      <w:marLeft w:val="0"/>
      <w:marRight w:val="0"/>
      <w:marTop w:val="0"/>
      <w:marBottom w:val="0"/>
      <w:divBdr>
        <w:top w:val="none" w:sz="0" w:space="0" w:color="auto"/>
        <w:left w:val="none" w:sz="0" w:space="0" w:color="auto"/>
        <w:bottom w:val="none" w:sz="0" w:space="0" w:color="auto"/>
        <w:right w:val="none" w:sz="0" w:space="0" w:color="auto"/>
      </w:divBdr>
    </w:div>
    <w:div w:id="1777019458">
      <w:bodyDiv w:val="1"/>
      <w:marLeft w:val="0"/>
      <w:marRight w:val="0"/>
      <w:marTop w:val="0"/>
      <w:marBottom w:val="0"/>
      <w:divBdr>
        <w:top w:val="none" w:sz="0" w:space="0" w:color="auto"/>
        <w:left w:val="none" w:sz="0" w:space="0" w:color="auto"/>
        <w:bottom w:val="none" w:sz="0" w:space="0" w:color="auto"/>
        <w:right w:val="none" w:sz="0" w:space="0" w:color="auto"/>
      </w:divBdr>
      <w:divsChild>
        <w:div w:id="723068923">
          <w:marLeft w:val="0"/>
          <w:marRight w:val="0"/>
          <w:marTop w:val="0"/>
          <w:marBottom w:val="0"/>
          <w:divBdr>
            <w:top w:val="none" w:sz="0" w:space="0" w:color="auto"/>
            <w:left w:val="none" w:sz="0" w:space="0" w:color="auto"/>
            <w:bottom w:val="none" w:sz="0" w:space="0" w:color="auto"/>
            <w:right w:val="none" w:sz="0" w:space="0" w:color="auto"/>
          </w:divBdr>
          <w:divsChild>
            <w:div w:id="1502156446">
              <w:marLeft w:val="0"/>
              <w:marRight w:val="0"/>
              <w:marTop w:val="0"/>
              <w:marBottom w:val="0"/>
              <w:divBdr>
                <w:top w:val="none" w:sz="0" w:space="0" w:color="auto"/>
                <w:left w:val="none" w:sz="0" w:space="0" w:color="auto"/>
                <w:bottom w:val="none" w:sz="0" w:space="0" w:color="auto"/>
                <w:right w:val="none" w:sz="0" w:space="0" w:color="auto"/>
              </w:divBdr>
              <w:divsChild>
                <w:div w:id="1877230148">
                  <w:marLeft w:val="0"/>
                  <w:marRight w:val="0"/>
                  <w:marTop w:val="0"/>
                  <w:marBottom w:val="0"/>
                  <w:divBdr>
                    <w:top w:val="none" w:sz="0" w:space="0" w:color="auto"/>
                    <w:left w:val="none" w:sz="0" w:space="0" w:color="auto"/>
                    <w:bottom w:val="none" w:sz="0" w:space="0" w:color="auto"/>
                    <w:right w:val="none" w:sz="0" w:space="0" w:color="auto"/>
                  </w:divBdr>
                  <w:divsChild>
                    <w:div w:id="1387801786">
                      <w:marLeft w:val="0"/>
                      <w:marRight w:val="0"/>
                      <w:marTop w:val="0"/>
                      <w:marBottom w:val="0"/>
                      <w:divBdr>
                        <w:top w:val="none" w:sz="0" w:space="0" w:color="auto"/>
                        <w:left w:val="none" w:sz="0" w:space="0" w:color="auto"/>
                        <w:bottom w:val="none" w:sz="0" w:space="0" w:color="auto"/>
                        <w:right w:val="none" w:sz="0" w:space="0" w:color="auto"/>
                      </w:divBdr>
                      <w:divsChild>
                        <w:div w:id="552274396">
                          <w:marLeft w:val="0"/>
                          <w:marRight w:val="0"/>
                          <w:marTop w:val="0"/>
                          <w:marBottom w:val="0"/>
                          <w:divBdr>
                            <w:top w:val="none" w:sz="0" w:space="0" w:color="auto"/>
                            <w:left w:val="none" w:sz="0" w:space="0" w:color="auto"/>
                            <w:bottom w:val="none" w:sz="0" w:space="0" w:color="auto"/>
                            <w:right w:val="none" w:sz="0" w:space="0" w:color="auto"/>
                          </w:divBdr>
                          <w:divsChild>
                            <w:div w:id="18731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313756">
      <w:bodyDiv w:val="1"/>
      <w:marLeft w:val="0"/>
      <w:marRight w:val="0"/>
      <w:marTop w:val="0"/>
      <w:marBottom w:val="0"/>
      <w:divBdr>
        <w:top w:val="none" w:sz="0" w:space="0" w:color="auto"/>
        <w:left w:val="none" w:sz="0" w:space="0" w:color="auto"/>
        <w:bottom w:val="none" w:sz="0" w:space="0" w:color="auto"/>
        <w:right w:val="none" w:sz="0" w:space="0" w:color="auto"/>
      </w:divBdr>
    </w:div>
    <w:div w:id="1813332704">
      <w:bodyDiv w:val="1"/>
      <w:marLeft w:val="0"/>
      <w:marRight w:val="0"/>
      <w:marTop w:val="0"/>
      <w:marBottom w:val="0"/>
      <w:divBdr>
        <w:top w:val="none" w:sz="0" w:space="0" w:color="auto"/>
        <w:left w:val="none" w:sz="0" w:space="0" w:color="auto"/>
        <w:bottom w:val="none" w:sz="0" w:space="0" w:color="auto"/>
        <w:right w:val="none" w:sz="0" w:space="0" w:color="auto"/>
      </w:divBdr>
    </w:div>
    <w:div w:id="1814448678">
      <w:bodyDiv w:val="1"/>
      <w:marLeft w:val="0"/>
      <w:marRight w:val="0"/>
      <w:marTop w:val="0"/>
      <w:marBottom w:val="0"/>
      <w:divBdr>
        <w:top w:val="none" w:sz="0" w:space="0" w:color="auto"/>
        <w:left w:val="none" w:sz="0" w:space="0" w:color="auto"/>
        <w:bottom w:val="none" w:sz="0" w:space="0" w:color="auto"/>
        <w:right w:val="none" w:sz="0" w:space="0" w:color="auto"/>
      </w:divBdr>
    </w:div>
    <w:div w:id="1819030958">
      <w:bodyDiv w:val="1"/>
      <w:marLeft w:val="0"/>
      <w:marRight w:val="0"/>
      <w:marTop w:val="0"/>
      <w:marBottom w:val="0"/>
      <w:divBdr>
        <w:top w:val="none" w:sz="0" w:space="0" w:color="auto"/>
        <w:left w:val="none" w:sz="0" w:space="0" w:color="auto"/>
        <w:bottom w:val="none" w:sz="0" w:space="0" w:color="auto"/>
        <w:right w:val="none" w:sz="0" w:space="0" w:color="auto"/>
      </w:divBdr>
      <w:divsChild>
        <w:div w:id="1663583433">
          <w:marLeft w:val="0"/>
          <w:marRight w:val="0"/>
          <w:marTop w:val="0"/>
          <w:marBottom w:val="36"/>
          <w:divBdr>
            <w:top w:val="single" w:sz="4" w:space="0" w:color="E0E0E0"/>
            <w:left w:val="single" w:sz="4" w:space="0" w:color="E0E0E0"/>
            <w:bottom w:val="single" w:sz="4" w:space="0" w:color="E0E0E0"/>
            <w:right w:val="single" w:sz="4" w:space="0" w:color="E0E0E0"/>
          </w:divBdr>
        </w:div>
      </w:divsChild>
    </w:div>
    <w:div w:id="1823497687">
      <w:bodyDiv w:val="1"/>
      <w:marLeft w:val="0"/>
      <w:marRight w:val="0"/>
      <w:marTop w:val="0"/>
      <w:marBottom w:val="0"/>
      <w:divBdr>
        <w:top w:val="none" w:sz="0" w:space="0" w:color="auto"/>
        <w:left w:val="none" w:sz="0" w:space="0" w:color="auto"/>
        <w:bottom w:val="none" w:sz="0" w:space="0" w:color="auto"/>
        <w:right w:val="none" w:sz="0" w:space="0" w:color="auto"/>
      </w:divBdr>
    </w:div>
    <w:div w:id="1829900990">
      <w:bodyDiv w:val="1"/>
      <w:marLeft w:val="0"/>
      <w:marRight w:val="0"/>
      <w:marTop w:val="0"/>
      <w:marBottom w:val="0"/>
      <w:divBdr>
        <w:top w:val="none" w:sz="0" w:space="0" w:color="auto"/>
        <w:left w:val="none" w:sz="0" w:space="0" w:color="auto"/>
        <w:bottom w:val="none" w:sz="0" w:space="0" w:color="auto"/>
        <w:right w:val="none" w:sz="0" w:space="0" w:color="auto"/>
      </w:divBdr>
    </w:div>
    <w:div w:id="1833988897">
      <w:bodyDiv w:val="1"/>
      <w:marLeft w:val="0"/>
      <w:marRight w:val="0"/>
      <w:marTop w:val="0"/>
      <w:marBottom w:val="0"/>
      <w:divBdr>
        <w:top w:val="none" w:sz="0" w:space="0" w:color="auto"/>
        <w:left w:val="none" w:sz="0" w:space="0" w:color="auto"/>
        <w:bottom w:val="none" w:sz="0" w:space="0" w:color="auto"/>
        <w:right w:val="none" w:sz="0" w:space="0" w:color="auto"/>
      </w:divBdr>
    </w:div>
    <w:div w:id="1837454925">
      <w:bodyDiv w:val="1"/>
      <w:marLeft w:val="0"/>
      <w:marRight w:val="0"/>
      <w:marTop w:val="0"/>
      <w:marBottom w:val="0"/>
      <w:divBdr>
        <w:top w:val="none" w:sz="0" w:space="0" w:color="auto"/>
        <w:left w:val="none" w:sz="0" w:space="0" w:color="auto"/>
        <w:bottom w:val="none" w:sz="0" w:space="0" w:color="auto"/>
        <w:right w:val="none" w:sz="0" w:space="0" w:color="auto"/>
      </w:divBdr>
    </w:div>
    <w:div w:id="1852140450">
      <w:bodyDiv w:val="1"/>
      <w:marLeft w:val="0"/>
      <w:marRight w:val="0"/>
      <w:marTop w:val="0"/>
      <w:marBottom w:val="0"/>
      <w:divBdr>
        <w:top w:val="none" w:sz="0" w:space="0" w:color="auto"/>
        <w:left w:val="none" w:sz="0" w:space="0" w:color="auto"/>
        <w:bottom w:val="none" w:sz="0" w:space="0" w:color="auto"/>
        <w:right w:val="none" w:sz="0" w:space="0" w:color="auto"/>
      </w:divBdr>
    </w:div>
    <w:div w:id="1853296414">
      <w:bodyDiv w:val="1"/>
      <w:marLeft w:val="0"/>
      <w:marRight w:val="0"/>
      <w:marTop w:val="0"/>
      <w:marBottom w:val="0"/>
      <w:divBdr>
        <w:top w:val="none" w:sz="0" w:space="0" w:color="auto"/>
        <w:left w:val="none" w:sz="0" w:space="0" w:color="auto"/>
        <w:bottom w:val="none" w:sz="0" w:space="0" w:color="auto"/>
        <w:right w:val="none" w:sz="0" w:space="0" w:color="auto"/>
      </w:divBdr>
    </w:div>
    <w:div w:id="1853716812">
      <w:bodyDiv w:val="1"/>
      <w:marLeft w:val="0"/>
      <w:marRight w:val="0"/>
      <w:marTop w:val="0"/>
      <w:marBottom w:val="0"/>
      <w:divBdr>
        <w:top w:val="none" w:sz="0" w:space="0" w:color="auto"/>
        <w:left w:val="none" w:sz="0" w:space="0" w:color="auto"/>
        <w:bottom w:val="none" w:sz="0" w:space="0" w:color="auto"/>
        <w:right w:val="none" w:sz="0" w:space="0" w:color="auto"/>
      </w:divBdr>
    </w:div>
    <w:div w:id="1860660066">
      <w:bodyDiv w:val="1"/>
      <w:marLeft w:val="0"/>
      <w:marRight w:val="0"/>
      <w:marTop w:val="0"/>
      <w:marBottom w:val="0"/>
      <w:divBdr>
        <w:top w:val="none" w:sz="0" w:space="0" w:color="auto"/>
        <w:left w:val="none" w:sz="0" w:space="0" w:color="auto"/>
        <w:bottom w:val="none" w:sz="0" w:space="0" w:color="auto"/>
        <w:right w:val="none" w:sz="0" w:space="0" w:color="auto"/>
      </w:divBdr>
    </w:div>
    <w:div w:id="1865509635">
      <w:bodyDiv w:val="1"/>
      <w:marLeft w:val="0"/>
      <w:marRight w:val="0"/>
      <w:marTop w:val="0"/>
      <w:marBottom w:val="0"/>
      <w:divBdr>
        <w:top w:val="none" w:sz="0" w:space="0" w:color="auto"/>
        <w:left w:val="none" w:sz="0" w:space="0" w:color="auto"/>
        <w:bottom w:val="none" w:sz="0" w:space="0" w:color="auto"/>
        <w:right w:val="none" w:sz="0" w:space="0" w:color="auto"/>
      </w:divBdr>
    </w:div>
    <w:div w:id="1880897165">
      <w:bodyDiv w:val="1"/>
      <w:marLeft w:val="0"/>
      <w:marRight w:val="0"/>
      <w:marTop w:val="0"/>
      <w:marBottom w:val="0"/>
      <w:divBdr>
        <w:top w:val="none" w:sz="0" w:space="0" w:color="auto"/>
        <w:left w:val="none" w:sz="0" w:space="0" w:color="auto"/>
        <w:bottom w:val="none" w:sz="0" w:space="0" w:color="auto"/>
        <w:right w:val="none" w:sz="0" w:space="0" w:color="auto"/>
      </w:divBdr>
    </w:div>
    <w:div w:id="1887571313">
      <w:bodyDiv w:val="1"/>
      <w:marLeft w:val="0"/>
      <w:marRight w:val="0"/>
      <w:marTop w:val="0"/>
      <w:marBottom w:val="0"/>
      <w:divBdr>
        <w:top w:val="none" w:sz="0" w:space="0" w:color="auto"/>
        <w:left w:val="none" w:sz="0" w:space="0" w:color="auto"/>
        <w:bottom w:val="none" w:sz="0" w:space="0" w:color="auto"/>
        <w:right w:val="none" w:sz="0" w:space="0" w:color="auto"/>
      </w:divBdr>
    </w:div>
    <w:div w:id="1888564404">
      <w:bodyDiv w:val="1"/>
      <w:marLeft w:val="0"/>
      <w:marRight w:val="0"/>
      <w:marTop w:val="0"/>
      <w:marBottom w:val="0"/>
      <w:divBdr>
        <w:top w:val="none" w:sz="0" w:space="0" w:color="auto"/>
        <w:left w:val="none" w:sz="0" w:space="0" w:color="auto"/>
        <w:bottom w:val="none" w:sz="0" w:space="0" w:color="auto"/>
        <w:right w:val="none" w:sz="0" w:space="0" w:color="auto"/>
      </w:divBdr>
    </w:div>
    <w:div w:id="1893688005">
      <w:bodyDiv w:val="1"/>
      <w:marLeft w:val="0"/>
      <w:marRight w:val="0"/>
      <w:marTop w:val="0"/>
      <w:marBottom w:val="0"/>
      <w:divBdr>
        <w:top w:val="none" w:sz="0" w:space="0" w:color="auto"/>
        <w:left w:val="none" w:sz="0" w:space="0" w:color="auto"/>
        <w:bottom w:val="none" w:sz="0" w:space="0" w:color="auto"/>
        <w:right w:val="none" w:sz="0" w:space="0" w:color="auto"/>
      </w:divBdr>
    </w:div>
    <w:div w:id="1907642086">
      <w:bodyDiv w:val="1"/>
      <w:marLeft w:val="0"/>
      <w:marRight w:val="0"/>
      <w:marTop w:val="0"/>
      <w:marBottom w:val="0"/>
      <w:divBdr>
        <w:top w:val="none" w:sz="0" w:space="0" w:color="auto"/>
        <w:left w:val="none" w:sz="0" w:space="0" w:color="auto"/>
        <w:bottom w:val="none" w:sz="0" w:space="0" w:color="auto"/>
        <w:right w:val="none" w:sz="0" w:space="0" w:color="auto"/>
      </w:divBdr>
      <w:divsChild>
        <w:div w:id="1491870922">
          <w:marLeft w:val="0"/>
          <w:marRight w:val="0"/>
          <w:marTop w:val="600"/>
          <w:marBottom w:val="0"/>
          <w:divBdr>
            <w:top w:val="none" w:sz="0" w:space="0" w:color="auto"/>
            <w:left w:val="none" w:sz="0" w:space="0" w:color="auto"/>
            <w:bottom w:val="none" w:sz="0" w:space="0" w:color="auto"/>
            <w:right w:val="none" w:sz="0" w:space="0" w:color="auto"/>
          </w:divBdr>
          <w:divsChild>
            <w:div w:id="1952857058">
              <w:marLeft w:val="0"/>
              <w:marRight w:val="0"/>
              <w:marTop w:val="0"/>
              <w:marBottom w:val="0"/>
              <w:divBdr>
                <w:top w:val="none" w:sz="0" w:space="0" w:color="auto"/>
                <w:left w:val="none" w:sz="0" w:space="0" w:color="auto"/>
                <w:bottom w:val="none" w:sz="0" w:space="0" w:color="auto"/>
                <w:right w:val="none" w:sz="0" w:space="0" w:color="auto"/>
              </w:divBdr>
              <w:divsChild>
                <w:div w:id="1501236668">
                  <w:marLeft w:val="0"/>
                  <w:marRight w:val="0"/>
                  <w:marTop w:val="0"/>
                  <w:marBottom w:val="0"/>
                  <w:divBdr>
                    <w:top w:val="none" w:sz="0" w:space="0" w:color="auto"/>
                    <w:left w:val="none" w:sz="0" w:space="0" w:color="auto"/>
                    <w:bottom w:val="none" w:sz="0" w:space="0" w:color="auto"/>
                    <w:right w:val="none" w:sz="0" w:space="0" w:color="auto"/>
                  </w:divBdr>
                  <w:divsChild>
                    <w:div w:id="16347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44578">
      <w:bodyDiv w:val="1"/>
      <w:marLeft w:val="0"/>
      <w:marRight w:val="0"/>
      <w:marTop w:val="0"/>
      <w:marBottom w:val="0"/>
      <w:divBdr>
        <w:top w:val="none" w:sz="0" w:space="0" w:color="auto"/>
        <w:left w:val="none" w:sz="0" w:space="0" w:color="auto"/>
        <w:bottom w:val="none" w:sz="0" w:space="0" w:color="auto"/>
        <w:right w:val="none" w:sz="0" w:space="0" w:color="auto"/>
      </w:divBdr>
    </w:div>
    <w:div w:id="1912542789">
      <w:bodyDiv w:val="1"/>
      <w:marLeft w:val="0"/>
      <w:marRight w:val="0"/>
      <w:marTop w:val="0"/>
      <w:marBottom w:val="0"/>
      <w:divBdr>
        <w:top w:val="none" w:sz="0" w:space="0" w:color="auto"/>
        <w:left w:val="none" w:sz="0" w:space="0" w:color="auto"/>
        <w:bottom w:val="none" w:sz="0" w:space="0" w:color="auto"/>
        <w:right w:val="none" w:sz="0" w:space="0" w:color="auto"/>
      </w:divBdr>
    </w:div>
    <w:div w:id="1952934261">
      <w:bodyDiv w:val="1"/>
      <w:marLeft w:val="0"/>
      <w:marRight w:val="0"/>
      <w:marTop w:val="0"/>
      <w:marBottom w:val="0"/>
      <w:divBdr>
        <w:top w:val="none" w:sz="0" w:space="0" w:color="auto"/>
        <w:left w:val="none" w:sz="0" w:space="0" w:color="auto"/>
        <w:bottom w:val="none" w:sz="0" w:space="0" w:color="auto"/>
        <w:right w:val="none" w:sz="0" w:space="0" w:color="auto"/>
      </w:divBdr>
    </w:div>
    <w:div w:id="1954895947">
      <w:bodyDiv w:val="1"/>
      <w:marLeft w:val="0"/>
      <w:marRight w:val="0"/>
      <w:marTop w:val="0"/>
      <w:marBottom w:val="0"/>
      <w:divBdr>
        <w:top w:val="none" w:sz="0" w:space="0" w:color="auto"/>
        <w:left w:val="none" w:sz="0" w:space="0" w:color="auto"/>
        <w:bottom w:val="none" w:sz="0" w:space="0" w:color="auto"/>
        <w:right w:val="none" w:sz="0" w:space="0" w:color="auto"/>
      </w:divBdr>
    </w:div>
    <w:div w:id="1980258736">
      <w:bodyDiv w:val="1"/>
      <w:marLeft w:val="0"/>
      <w:marRight w:val="0"/>
      <w:marTop w:val="0"/>
      <w:marBottom w:val="0"/>
      <w:divBdr>
        <w:top w:val="none" w:sz="0" w:space="0" w:color="auto"/>
        <w:left w:val="none" w:sz="0" w:space="0" w:color="auto"/>
        <w:bottom w:val="none" w:sz="0" w:space="0" w:color="auto"/>
        <w:right w:val="none" w:sz="0" w:space="0" w:color="auto"/>
      </w:divBdr>
      <w:divsChild>
        <w:div w:id="1681813862">
          <w:marLeft w:val="0"/>
          <w:marRight w:val="0"/>
          <w:marTop w:val="0"/>
          <w:marBottom w:val="0"/>
          <w:divBdr>
            <w:top w:val="none" w:sz="0" w:space="0" w:color="auto"/>
            <w:left w:val="none" w:sz="0" w:space="0" w:color="auto"/>
            <w:bottom w:val="none" w:sz="0" w:space="0" w:color="auto"/>
            <w:right w:val="none" w:sz="0" w:space="0" w:color="auto"/>
          </w:divBdr>
        </w:div>
      </w:divsChild>
    </w:div>
    <w:div w:id="1982926344">
      <w:bodyDiv w:val="1"/>
      <w:marLeft w:val="0"/>
      <w:marRight w:val="0"/>
      <w:marTop w:val="0"/>
      <w:marBottom w:val="0"/>
      <w:divBdr>
        <w:top w:val="none" w:sz="0" w:space="0" w:color="auto"/>
        <w:left w:val="none" w:sz="0" w:space="0" w:color="auto"/>
        <w:bottom w:val="none" w:sz="0" w:space="0" w:color="auto"/>
        <w:right w:val="none" w:sz="0" w:space="0" w:color="auto"/>
      </w:divBdr>
    </w:div>
    <w:div w:id="1989627043">
      <w:bodyDiv w:val="1"/>
      <w:marLeft w:val="0"/>
      <w:marRight w:val="0"/>
      <w:marTop w:val="0"/>
      <w:marBottom w:val="0"/>
      <w:divBdr>
        <w:top w:val="none" w:sz="0" w:space="0" w:color="auto"/>
        <w:left w:val="none" w:sz="0" w:space="0" w:color="auto"/>
        <w:bottom w:val="none" w:sz="0" w:space="0" w:color="auto"/>
        <w:right w:val="none" w:sz="0" w:space="0" w:color="auto"/>
      </w:divBdr>
    </w:div>
    <w:div w:id="1991250723">
      <w:bodyDiv w:val="1"/>
      <w:marLeft w:val="0"/>
      <w:marRight w:val="0"/>
      <w:marTop w:val="0"/>
      <w:marBottom w:val="0"/>
      <w:divBdr>
        <w:top w:val="none" w:sz="0" w:space="0" w:color="auto"/>
        <w:left w:val="none" w:sz="0" w:space="0" w:color="auto"/>
        <w:bottom w:val="none" w:sz="0" w:space="0" w:color="auto"/>
        <w:right w:val="none" w:sz="0" w:space="0" w:color="auto"/>
      </w:divBdr>
    </w:div>
    <w:div w:id="1995181462">
      <w:bodyDiv w:val="1"/>
      <w:marLeft w:val="0"/>
      <w:marRight w:val="0"/>
      <w:marTop w:val="0"/>
      <w:marBottom w:val="0"/>
      <w:divBdr>
        <w:top w:val="none" w:sz="0" w:space="0" w:color="auto"/>
        <w:left w:val="none" w:sz="0" w:space="0" w:color="auto"/>
        <w:bottom w:val="none" w:sz="0" w:space="0" w:color="auto"/>
        <w:right w:val="none" w:sz="0" w:space="0" w:color="auto"/>
      </w:divBdr>
    </w:div>
    <w:div w:id="1996175954">
      <w:bodyDiv w:val="1"/>
      <w:marLeft w:val="0"/>
      <w:marRight w:val="0"/>
      <w:marTop w:val="0"/>
      <w:marBottom w:val="0"/>
      <w:divBdr>
        <w:top w:val="none" w:sz="0" w:space="0" w:color="auto"/>
        <w:left w:val="none" w:sz="0" w:space="0" w:color="auto"/>
        <w:bottom w:val="none" w:sz="0" w:space="0" w:color="auto"/>
        <w:right w:val="none" w:sz="0" w:space="0" w:color="auto"/>
      </w:divBdr>
    </w:div>
    <w:div w:id="1999920397">
      <w:bodyDiv w:val="1"/>
      <w:marLeft w:val="0"/>
      <w:marRight w:val="0"/>
      <w:marTop w:val="0"/>
      <w:marBottom w:val="0"/>
      <w:divBdr>
        <w:top w:val="none" w:sz="0" w:space="0" w:color="auto"/>
        <w:left w:val="none" w:sz="0" w:space="0" w:color="auto"/>
        <w:bottom w:val="none" w:sz="0" w:space="0" w:color="auto"/>
        <w:right w:val="none" w:sz="0" w:space="0" w:color="auto"/>
      </w:divBdr>
      <w:divsChild>
        <w:div w:id="356086298">
          <w:marLeft w:val="0"/>
          <w:marRight w:val="0"/>
          <w:marTop w:val="0"/>
          <w:marBottom w:val="0"/>
          <w:divBdr>
            <w:top w:val="none" w:sz="0" w:space="0" w:color="auto"/>
            <w:left w:val="none" w:sz="0" w:space="0" w:color="auto"/>
            <w:bottom w:val="none" w:sz="0" w:space="0" w:color="auto"/>
            <w:right w:val="none" w:sz="0" w:space="0" w:color="auto"/>
          </w:divBdr>
          <w:divsChild>
            <w:div w:id="1992556778">
              <w:marLeft w:val="0"/>
              <w:marRight w:val="0"/>
              <w:marTop w:val="0"/>
              <w:marBottom w:val="0"/>
              <w:divBdr>
                <w:top w:val="none" w:sz="0" w:space="0" w:color="auto"/>
                <w:left w:val="none" w:sz="0" w:space="0" w:color="auto"/>
                <w:bottom w:val="none" w:sz="0" w:space="0" w:color="auto"/>
                <w:right w:val="none" w:sz="0" w:space="0" w:color="auto"/>
              </w:divBdr>
              <w:divsChild>
                <w:div w:id="804587700">
                  <w:marLeft w:val="0"/>
                  <w:marRight w:val="0"/>
                  <w:marTop w:val="0"/>
                  <w:marBottom w:val="0"/>
                  <w:divBdr>
                    <w:top w:val="none" w:sz="0" w:space="0" w:color="auto"/>
                    <w:left w:val="none" w:sz="0" w:space="0" w:color="auto"/>
                    <w:bottom w:val="none" w:sz="0" w:space="0" w:color="auto"/>
                    <w:right w:val="none" w:sz="0" w:space="0" w:color="auto"/>
                  </w:divBdr>
                  <w:divsChild>
                    <w:div w:id="1132676619">
                      <w:marLeft w:val="0"/>
                      <w:marRight w:val="0"/>
                      <w:marTop w:val="0"/>
                      <w:marBottom w:val="0"/>
                      <w:divBdr>
                        <w:top w:val="none" w:sz="0" w:space="0" w:color="auto"/>
                        <w:left w:val="none" w:sz="0" w:space="0" w:color="auto"/>
                        <w:bottom w:val="none" w:sz="0" w:space="0" w:color="auto"/>
                        <w:right w:val="none" w:sz="0" w:space="0" w:color="auto"/>
                      </w:divBdr>
                      <w:divsChild>
                        <w:div w:id="947203784">
                          <w:marLeft w:val="0"/>
                          <w:marRight w:val="0"/>
                          <w:marTop w:val="0"/>
                          <w:marBottom w:val="0"/>
                          <w:divBdr>
                            <w:top w:val="none" w:sz="0" w:space="0" w:color="auto"/>
                            <w:left w:val="none" w:sz="0" w:space="0" w:color="auto"/>
                            <w:bottom w:val="none" w:sz="0" w:space="0" w:color="auto"/>
                            <w:right w:val="none" w:sz="0" w:space="0" w:color="auto"/>
                          </w:divBdr>
                          <w:divsChild>
                            <w:div w:id="1255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853034">
      <w:bodyDiv w:val="1"/>
      <w:marLeft w:val="0"/>
      <w:marRight w:val="0"/>
      <w:marTop w:val="0"/>
      <w:marBottom w:val="0"/>
      <w:divBdr>
        <w:top w:val="none" w:sz="0" w:space="0" w:color="auto"/>
        <w:left w:val="none" w:sz="0" w:space="0" w:color="auto"/>
        <w:bottom w:val="none" w:sz="0" w:space="0" w:color="auto"/>
        <w:right w:val="none" w:sz="0" w:space="0" w:color="auto"/>
      </w:divBdr>
    </w:div>
    <w:div w:id="2004967633">
      <w:bodyDiv w:val="1"/>
      <w:marLeft w:val="0"/>
      <w:marRight w:val="0"/>
      <w:marTop w:val="0"/>
      <w:marBottom w:val="0"/>
      <w:divBdr>
        <w:top w:val="none" w:sz="0" w:space="0" w:color="auto"/>
        <w:left w:val="none" w:sz="0" w:space="0" w:color="auto"/>
        <w:bottom w:val="none" w:sz="0" w:space="0" w:color="auto"/>
        <w:right w:val="none" w:sz="0" w:space="0" w:color="auto"/>
      </w:divBdr>
    </w:div>
    <w:div w:id="2010054945">
      <w:bodyDiv w:val="1"/>
      <w:marLeft w:val="0"/>
      <w:marRight w:val="0"/>
      <w:marTop w:val="0"/>
      <w:marBottom w:val="0"/>
      <w:divBdr>
        <w:top w:val="none" w:sz="0" w:space="0" w:color="auto"/>
        <w:left w:val="none" w:sz="0" w:space="0" w:color="auto"/>
        <w:bottom w:val="none" w:sz="0" w:space="0" w:color="auto"/>
        <w:right w:val="none" w:sz="0" w:space="0" w:color="auto"/>
      </w:divBdr>
      <w:divsChild>
        <w:div w:id="1005211984">
          <w:marLeft w:val="0"/>
          <w:marRight w:val="0"/>
          <w:marTop w:val="0"/>
          <w:marBottom w:val="0"/>
          <w:divBdr>
            <w:top w:val="none" w:sz="0" w:space="0" w:color="auto"/>
            <w:left w:val="none" w:sz="0" w:space="0" w:color="auto"/>
            <w:bottom w:val="none" w:sz="0" w:space="0" w:color="auto"/>
            <w:right w:val="none" w:sz="0" w:space="0" w:color="auto"/>
          </w:divBdr>
        </w:div>
      </w:divsChild>
    </w:div>
    <w:div w:id="2018652872">
      <w:bodyDiv w:val="1"/>
      <w:marLeft w:val="0"/>
      <w:marRight w:val="0"/>
      <w:marTop w:val="0"/>
      <w:marBottom w:val="0"/>
      <w:divBdr>
        <w:top w:val="none" w:sz="0" w:space="0" w:color="auto"/>
        <w:left w:val="none" w:sz="0" w:space="0" w:color="auto"/>
        <w:bottom w:val="none" w:sz="0" w:space="0" w:color="auto"/>
        <w:right w:val="none" w:sz="0" w:space="0" w:color="auto"/>
      </w:divBdr>
    </w:div>
    <w:div w:id="2019698085">
      <w:bodyDiv w:val="1"/>
      <w:marLeft w:val="0"/>
      <w:marRight w:val="0"/>
      <w:marTop w:val="0"/>
      <w:marBottom w:val="0"/>
      <w:divBdr>
        <w:top w:val="none" w:sz="0" w:space="0" w:color="auto"/>
        <w:left w:val="none" w:sz="0" w:space="0" w:color="auto"/>
        <w:bottom w:val="none" w:sz="0" w:space="0" w:color="auto"/>
        <w:right w:val="none" w:sz="0" w:space="0" w:color="auto"/>
      </w:divBdr>
    </w:div>
    <w:div w:id="2030329542">
      <w:bodyDiv w:val="1"/>
      <w:marLeft w:val="0"/>
      <w:marRight w:val="0"/>
      <w:marTop w:val="0"/>
      <w:marBottom w:val="0"/>
      <w:divBdr>
        <w:top w:val="none" w:sz="0" w:space="0" w:color="auto"/>
        <w:left w:val="none" w:sz="0" w:space="0" w:color="auto"/>
        <w:bottom w:val="none" w:sz="0" w:space="0" w:color="auto"/>
        <w:right w:val="none" w:sz="0" w:space="0" w:color="auto"/>
      </w:divBdr>
    </w:div>
    <w:div w:id="2041319702">
      <w:bodyDiv w:val="1"/>
      <w:marLeft w:val="0"/>
      <w:marRight w:val="0"/>
      <w:marTop w:val="0"/>
      <w:marBottom w:val="0"/>
      <w:divBdr>
        <w:top w:val="none" w:sz="0" w:space="0" w:color="auto"/>
        <w:left w:val="none" w:sz="0" w:space="0" w:color="auto"/>
        <w:bottom w:val="none" w:sz="0" w:space="0" w:color="auto"/>
        <w:right w:val="none" w:sz="0" w:space="0" w:color="auto"/>
      </w:divBdr>
    </w:div>
    <w:div w:id="2051374956">
      <w:bodyDiv w:val="1"/>
      <w:marLeft w:val="0"/>
      <w:marRight w:val="0"/>
      <w:marTop w:val="0"/>
      <w:marBottom w:val="0"/>
      <w:divBdr>
        <w:top w:val="none" w:sz="0" w:space="0" w:color="auto"/>
        <w:left w:val="none" w:sz="0" w:space="0" w:color="auto"/>
        <w:bottom w:val="none" w:sz="0" w:space="0" w:color="auto"/>
        <w:right w:val="none" w:sz="0" w:space="0" w:color="auto"/>
      </w:divBdr>
    </w:div>
    <w:div w:id="2052068517">
      <w:bodyDiv w:val="1"/>
      <w:marLeft w:val="0"/>
      <w:marRight w:val="0"/>
      <w:marTop w:val="0"/>
      <w:marBottom w:val="0"/>
      <w:divBdr>
        <w:top w:val="none" w:sz="0" w:space="0" w:color="auto"/>
        <w:left w:val="none" w:sz="0" w:space="0" w:color="auto"/>
        <w:bottom w:val="none" w:sz="0" w:space="0" w:color="auto"/>
        <w:right w:val="none" w:sz="0" w:space="0" w:color="auto"/>
      </w:divBdr>
    </w:div>
    <w:div w:id="2052268594">
      <w:bodyDiv w:val="1"/>
      <w:marLeft w:val="0"/>
      <w:marRight w:val="0"/>
      <w:marTop w:val="0"/>
      <w:marBottom w:val="0"/>
      <w:divBdr>
        <w:top w:val="none" w:sz="0" w:space="0" w:color="auto"/>
        <w:left w:val="none" w:sz="0" w:space="0" w:color="auto"/>
        <w:bottom w:val="none" w:sz="0" w:space="0" w:color="auto"/>
        <w:right w:val="none" w:sz="0" w:space="0" w:color="auto"/>
      </w:divBdr>
    </w:div>
    <w:div w:id="2064130874">
      <w:bodyDiv w:val="1"/>
      <w:marLeft w:val="0"/>
      <w:marRight w:val="0"/>
      <w:marTop w:val="0"/>
      <w:marBottom w:val="0"/>
      <w:divBdr>
        <w:top w:val="none" w:sz="0" w:space="0" w:color="auto"/>
        <w:left w:val="none" w:sz="0" w:space="0" w:color="auto"/>
        <w:bottom w:val="none" w:sz="0" w:space="0" w:color="auto"/>
        <w:right w:val="none" w:sz="0" w:space="0" w:color="auto"/>
      </w:divBdr>
      <w:divsChild>
        <w:div w:id="634798321">
          <w:marLeft w:val="0"/>
          <w:marRight w:val="0"/>
          <w:marTop w:val="0"/>
          <w:marBottom w:val="0"/>
          <w:divBdr>
            <w:top w:val="none" w:sz="0" w:space="0" w:color="auto"/>
            <w:left w:val="none" w:sz="0" w:space="0" w:color="auto"/>
            <w:bottom w:val="none" w:sz="0" w:space="0" w:color="auto"/>
            <w:right w:val="none" w:sz="0" w:space="0" w:color="auto"/>
          </w:divBdr>
          <w:divsChild>
            <w:div w:id="226260327">
              <w:marLeft w:val="0"/>
              <w:marRight w:val="0"/>
              <w:marTop w:val="0"/>
              <w:marBottom w:val="0"/>
              <w:divBdr>
                <w:top w:val="none" w:sz="0" w:space="0" w:color="auto"/>
                <w:left w:val="none" w:sz="0" w:space="0" w:color="auto"/>
                <w:bottom w:val="none" w:sz="0" w:space="0" w:color="auto"/>
                <w:right w:val="none" w:sz="0" w:space="0" w:color="auto"/>
              </w:divBdr>
              <w:divsChild>
                <w:div w:id="196894617">
                  <w:marLeft w:val="0"/>
                  <w:marRight w:val="0"/>
                  <w:marTop w:val="0"/>
                  <w:marBottom w:val="0"/>
                  <w:divBdr>
                    <w:top w:val="none" w:sz="0" w:space="0" w:color="auto"/>
                    <w:left w:val="none" w:sz="0" w:space="0" w:color="auto"/>
                    <w:bottom w:val="none" w:sz="0" w:space="0" w:color="auto"/>
                    <w:right w:val="none" w:sz="0" w:space="0" w:color="auto"/>
                  </w:divBdr>
                  <w:divsChild>
                    <w:div w:id="1511406686">
                      <w:marLeft w:val="0"/>
                      <w:marRight w:val="0"/>
                      <w:marTop w:val="0"/>
                      <w:marBottom w:val="0"/>
                      <w:divBdr>
                        <w:top w:val="none" w:sz="0" w:space="0" w:color="auto"/>
                        <w:left w:val="none" w:sz="0" w:space="0" w:color="auto"/>
                        <w:bottom w:val="none" w:sz="0" w:space="0" w:color="auto"/>
                        <w:right w:val="none" w:sz="0" w:space="0" w:color="auto"/>
                      </w:divBdr>
                      <w:divsChild>
                        <w:div w:id="1611426355">
                          <w:marLeft w:val="0"/>
                          <w:marRight w:val="0"/>
                          <w:marTop w:val="0"/>
                          <w:marBottom w:val="0"/>
                          <w:divBdr>
                            <w:top w:val="none" w:sz="0" w:space="0" w:color="auto"/>
                            <w:left w:val="none" w:sz="0" w:space="0" w:color="auto"/>
                            <w:bottom w:val="none" w:sz="0" w:space="0" w:color="auto"/>
                            <w:right w:val="none" w:sz="0" w:space="0" w:color="auto"/>
                          </w:divBdr>
                          <w:divsChild>
                            <w:div w:id="20154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12046">
      <w:bodyDiv w:val="1"/>
      <w:marLeft w:val="0"/>
      <w:marRight w:val="0"/>
      <w:marTop w:val="0"/>
      <w:marBottom w:val="0"/>
      <w:divBdr>
        <w:top w:val="none" w:sz="0" w:space="0" w:color="auto"/>
        <w:left w:val="none" w:sz="0" w:space="0" w:color="auto"/>
        <w:bottom w:val="none" w:sz="0" w:space="0" w:color="auto"/>
        <w:right w:val="none" w:sz="0" w:space="0" w:color="auto"/>
      </w:divBdr>
    </w:div>
    <w:div w:id="2076783586">
      <w:bodyDiv w:val="1"/>
      <w:marLeft w:val="0"/>
      <w:marRight w:val="0"/>
      <w:marTop w:val="0"/>
      <w:marBottom w:val="0"/>
      <w:divBdr>
        <w:top w:val="none" w:sz="0" w:space="0" w:color="auto"/>
        <w:left w:val="none" w:sz="0" w:space="0" w:color="auto"/>
        <w:bottom w:val="none" w:sz="0" w:space="0" w:color="auto"/>
        <w:right w:val="none" w:sz="0" w:space="0" w:color="auto"/>
      </w:divBdr>
    </w:div>
    <w:div w:id="2077510873">
      <w:bodyDiv w:val="1"/>
      <w:marLeft w:val="0"/>
      <w:marRight w:val="0"/>
      <w:marTop w:val="0"/>
      <w:marBottom w:val="0"/>
      <w:divBdr>
        <w:top w:val="none" w:sz="0" w:space="0" w:color="auto"/>
        <w:left w:val="none" w:sz="0" w:space="0" w:color="auto"/>
        <w:bottom w:val="none" w:sz="0" w:space="0" w:color="auto"/>
        <w:right w:val="none" w:sz="0" w:space="0" w:color="auto"/>
      </w:divBdr>
    </w:div>
    <w:div w:id="2099599295">
      <w:bodyDiv w:val="1"/>
      <w:marLeft w:val="0"/>
      <w:marRight w:val="0"/>
      <w:marTop w:val="0"/>
      <w:marBottom w:val="0"/>
      <w:divBdr>
        <w:top w:val="none" w:sz="0" w:space="0" w:color="auto"/>
        <w:left w:val="none" w:sz="0" w:space="0" w:color="auto"/>
        <w:bottom w:val="none" w:sz="0" w:space="0" w:color="auto"/>
        <w:right w:val="none" w:sz="0" w:space="0" w:color="auto"/>
      </w:divBdr>
    </w:div>
    <w:div w:id="2101413893">
      <w:bodyDiv w:val="1"/>
      <w:marLeft w:val="0"/>
      <w:marRight w:val="0"/>
      <w:marTop w:val="0"/>
      <w:marBottom w:val="0"/>
      <w:divBdr>
        <w:top w:val="none" w:sz="0" w:space="0" w:color="auto"/>
        <w:left w:val="none" w:sz="0" w:space="0" w:color="auto"/>
        <w:bottom w:val="none" w:sz="0" w:space="0" w:color="auto"/>
        <w:right w:val="none" w:sz="0" w:space="0" w:color="auto"/>
      </w:divBdr>
    </w:div>
    <w:div w:id="2106728125">
      <w:bodyDiv w:val="1"/>
      <w:marLeft w:val="0"/>
      <w:marRight w:val="0"/>
      <w:marTop w:val="0"/>
      <w:marBottom w:val="0"/>
      <w:divBdr>
        <w:top w:val="none" w:sz="0" w:space="0" w:color="auto"/>
        <w:left w:val="none" w:sz="0" w:space="0" w:color="auto"/>
        <w:bottom w:val="none" w:sz="0" w:space="0" w:color="auto"/>
        <w:right w:val="none" w:sz="0" w:space="0" w:color="auto"/>
      </w:divBdr>
    </w:div>
    <w:div w:id="2128111596">
      <w:bodyDiv w:val="1"/>
      <w:marLeft w:val="0"/>
      <w:marRight w:val="0"/>
      <w:marTop w:val="0"/>
      <w:marBottom w:val="0"/>
      <w:divBdr>
        <w:top w:val="none" w:sz="0" w:space="0" w:color="auto"/>
        <w:left w:val="none" w:sz="0" w:space="0" w:color="auto"/>
        <w:bottom w:val="none" w:sz="0" w:space="0" w:color="auto"/>
        <w:right w:val="none" w:sz="0" w:space="0" w:color="auto"/>
      </w:divBdr>
      <w:divsChild>
        <w:div w:id="1505828015">
          <w:marLeft w:val="0"/>
          <w:marRight w:val="0"/>
          <w:marTop w:val="0"/>
          <w:marBottom w:val="0"/>
          <w:divBdr>
            <w:top w:val="none" w:sz="0" w:space="0" w:color="auto"/>
            <w:left w:val="none" w:sz="0" w:space="0" w:color="auto"/>
            <w:bottom w:val="none" w:sz="0" w:space="0" w:color="auto"/>
            <w:right w:val="none" w:sz="0" w:space="0" w:color="auto"/>
          </w:divBdr>
        </w:div>
      </w:divsChild>
    </w:div>
    <w:div w:id="2129200777">
      <w:bodyDiv w:val="1"/>
      <w:marLeft w:val="0"/>
      <w:marRight w:val="0"/>
      <w:marTop w:val="0"/>
      <w:marBottom w:val="0"/>
      <w:divBdr>
        <w:top w:val="none" w:sz="0" w:space="0" w:color="auto"/>
        <w:left w:val="none" w:sz="0" w:space="0" w:color="auto"/>
        <w:bottom w:val="none" w:sz="0" w:space="0" w:color="auto"/>
        <w:right w:val="none" w:sz="0" w:space="0" w:color="auto"/>
      </w:divBdr>
    </w:div>
    <w:div w:id="2134715691">
      <w:bodyDiv w:val="1"/>
      <w:marLeft w:val="0"/>
      <w:marRight w:val="0"/>
      <w:marTop w:val="0"/>
      <w:marBottom w:val="0"/>
      <w:divBdr>
        <w:top w:val="none" w:sz="0" w:space="0" w:color="auto"/>
        <w:left w:val="none" w:sz="0" w:space="0" w:color="auto"/>
        <w:bottom w:val="none" w:sz="0" w:space="0" w:color="auto"/>
        <w:right w:val="none" w:sz="0" w:space="0" w:color="auto"/>
      </w:divBdr>
    </w:div>
    <w:div w:id="2137529125">
      <w:bodyDiv w:val="1"/>
      <w:marLeft w:val="0"/>
      <w:marRight w:val="0"/>
      <w:marTop w:val="0"/>
      <w:marBottom w:val="0"/>
      <w:divBdr>
        <w:top w:val="none" w:sz="0" w:space="0" w:color="auto"/>
        <w:left w:val="none" w:sz="0" w:space="0" w:color="auto"/>
        <w:bottom w:val="none" w:sz="0" w:space="0" w:color="auto"/>
        <w:right w:val="none" w:sz="0" w:space="0" w:color="auto"/>
      </w:divBdr>
    </w:div>
    <w:div w:id="2140414825">
      <w:bodyDiv w:val="1"/>
      <w:marLeft w:val="0"/>
      <w:marRight w:val="0"/>
      <w:marTop w:val="0"/>
      <w:marBottom w:val="0"/>
      <w:divBdr>
        <w:top w:val="none" w:sz="0" w:space="0" w:color="auto"/>
        <w:left w:val="none" w:sz="0" w:space="0" w:color="auto"/>
        <w:bottom w:val="none" w:sz="0" w:space="0" w:color="auto"/>
        <w:right w:val="none" w:sz="0" w:space="0" w:color="auto"/>
      </w:divBdr>
    </w:div>
    <w:div w:id="2142456127">
      <w:bodyDiv w:val="1"/>
      <w:marLeft w:val="0"/>
      <w:marRight w:val="0"/>
      <w:marTop w:val="0"/>
      <w:marBottom w:val="0"/>
      <w:divBdr>
        <w:top w:val="none" w:sz="0" w:space="0" w:color="auto"/>
        <w:left w:val="none" w:sz="0" w:space="0" w:color="auto"/>
        <w:bottom w:val="none" w:sz="0" w:space="0" w:color="auto"/>
        <w:right w:val="none" w:sz="0" w:space="0" w:color="auto"/>
      </w:divBdr>
      <w:divsChild>
        <w:div w:id="1905867460">
          <w:marLeft w:val="0"/>
          <w:marRight w:val="0"/>
          <w:marTop w:val="0"/>
          <w:marBottom w:val="225"/>
          <w:divBdr>
            <w:top w:val="none" w:sz="0" w:space="0" w:color="auto"/>
            <w:left w:val="none" w:sz="0" w:space="0" w:color="auto"/>
            <w:bottom w:val="none" w:sz="0" w:space="0" w:color="auto"/>
            <w:right w:val="none" w:sz="0" w:space="0" w:color="auto"/>
          </w:divBdr>
        </w:div>
        <w:div w:id="2120710336">
          <w:marLeft w:val="0"/>
          <w:marRight w:val="0"/>
          <w:marTop w:val="0"/>
          <w:marBottom w:val="225"/>
          <w:divBdr>
            <w:top w:val="none" w:sz="0" w:space="0" w:color="auto"/>
            <w:left w:val="none" w:sz="0" w:space="0" w:color="auto"/>
            <w:bottom w:val="none" w:sz="0" w:space="0" w:color="auto"/>
            <w:right w:val="none" w:sz="0" w:space="0" w:color="auto"/>
          </w:divBdr>
        </w:div>
      </w:divsChild>
    </w:div>
    <w:div w:id="2144155116">
      <w:bodyDiv w:val="1"/>
      <w:marLeft w:val="0"/>
      <w:marRight w:val="0"/>
      <w:marTop w:val="0"/>
      <w:marBottom w:val="0"/>
      <w:divBdr>
        <w:top w:val="none" w:sz="0" w:space="0" w:color="auto"/>
        <w:left w:val="none" w:sz="0" w:space="0" w:color="auto"/>
        <w:bottom w:val="none" w:sz="0" w:space="0" w:color="auto"/>
        <w:right w:val="none" w:sz="0" w:space="0" w:color="auto"/>
      </w:divBdr>
    </w:div>
    <w:div w:id="214646579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4.wmf"/><Relationship Id="rId42" Type="http://schemas.openxmlformats.org/officeDocument/2006/relationships/oleObject" Target="embeddings/oleObject10.bin"/><Relationship Id="rId47" Type="http://schemas.openxmlformats.org/officeDocument/2006/relationships/image" Target="media/image17.wmf"/><Relationship Id="rId63" Type="http://schemas.openxmlformats.org/officeDocument/2006/relationships/image" Target="media/image20.wmf"/><Relationship Id="rId68" Type="http://schemas.openxmlformats.org/officeDocument/2006/relationships/image" Target="media/image23.png"/><Relationship Id="rId84" Type="http://schemas.openxmlformats.org/officeDocument/2006/relationships/image" Target="media/image35.png"/><Relationship Id="rId89"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12.wmf"/><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oleObject" Target="embeddings/oleObject17.bin"/><Relationship Id="rId58" Type="http://schemas.openxmlformats.org/officeDocument/2006/relationships/oleObject" Target="embeddings/oleObject22.bin"/><Relationship Id="rId66" Type="http://schemas.openxmlformats.org/officeDocument/2006/relationships/oleObject" Target="embeddings/oleObject27.bin"/><Relationship Id="rId74" Type="http://schemas.openxmlformats.org/officeDocument/2006/relationships/header" Target="header6.xml"/><Relationship Id="rId79" Type="http://schemas.openxmlformats.org/officeDocument/2006/relationships/image" Target="media/image30.png"/><Relationship Id="rId87" Type="http://schemas.openxmlformats.org/officeDocument/2006/relationships/image" Target="media/image37.wmf"/><Relationship Id="rId102"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19.wmf"/><Relationship Id="rId82" Type="http://schemas.openxmlformats.org/officeDocument/2006/relationships/image" Target="media/image33.png"/><Relationship Id="rId90" Type="http://schemas.openxmlformats.org/officeDocument/2006/relationships/image" Target="media/image39.wmf"/><Relationship Id="rId95" Type="http://schemas.openxmlformats.org/officeDocument/2006/relationships/image" Target="media/image43.png"/><Relationship Id="rId19" Type="http://schemas.openxmlformats.org/officeDocument/2006/relationships/image" Target="media/image2.png"/><Relationship Id="rId14" Type="http://schemas.openxmlformats.org/officeDocument/2006/relationships/hyperlink" Target="https://baike.baidu.com/item/%E8%80%90%E5%8C%96%E5%AD%A6%E6%80%A7/10889316"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hyperlink" Target="http://kjs.mep.gov.cn/hjbhbz/bzwb/jcffbz/201712/t20171220_428271.shtml" TargetMode="Externa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20.bin"/><Relationship Id="rId64" Type="http://schemas.openxmlformats.org/officeDocument/2006/relationships/oleObject" Target="embeddings/oleObject26.bin"/><Relationship Id="rId69" Type="http://schemas.openxmlformats.org/officeDocument/2006/relationships/image" Target="media/image24.png"/><Relationship Id="rId77" Type="http://schemas.openxmlformats.org/officeDocument/2006/relationships/image" Target="media/image28.png"/><Relationship Id="rId100" Type="http://schemas.openxmlformats.org/officeDocument/2006/relationships/image" Target="media/image48.jpeg"/><Relationship Id="rId105" Type="http://schemas.openxmlformats.org/officeDocument/2006/relationships/image" Target="media/image53.jpeg"/><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27.png"/><Relationship Id="rId80" Type="http://schemas.openxmlformats.org/officeDocument/2006/relationships/image" Target="media/image31.png"/><Relationship Id="rId85" Type="http://schemas.openxmlformats.org/officeDocument/2006/relationships/image" Target="media/image36.wmf"/><Relationship Id="rId93" Type="http://schemas.openxmlformats.org/officeDocument/2006/relationships/image" Target="media/image41.png"/><Relationship Id="rId98"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hyperlink" Target="https://baike.baidu.com/item/%E4%BA%8C%E6%B0%A7%E5%8C%96%E7%A2%B3/349143" TargetMode="External"/><Relationship Id="rId17" Type="http://schemas.openxmlformats.org/officeDocument/2006/relationships/footer" Target="footer3.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23.bin"/><Relationship Id="rId67" Type="http://schemas.openxmlformats.org/officeDocument/2006/relationships/image" Target="media/image22.png"/><Relationship Id="rId103" Type="http://schemas.openxmlformats.org/officeDocument/2006/relationships/image" Target="media/image51.jpeg"/><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5.bin"/><Relationship Id="rId70" Type="http://schemas.openxmlformats.org/officeDocument/2006/relationships/image" Target="media/image25.png"/><Relationship Id="rId75" Type="http://schemas.openxmlformats.org/officeDocument/2006/relationships/footer" Target="footer5.xml"/><Relationship Id="rId83" Type="http://schemas.openxmlformats.org/officeDocument/2006/relationships/image" Target="media/image34.png"/><Relationship Id="rId88" Type="http://schemas.openxmlformats.org/officeDocument/2006/relationships/oleObject" Target="embeddings/oleObject29.bin"/><Relationship Id="rId91" Type="http://schemas.openxmlformats.org/officeDocument/2006/relationships/oleObject" Target="embeddings/oleObject30.bin"/><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54.png"/><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oleObject" Target="embeddings/oleObject11.bin"/><Relationship Id="rId52"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1.wmf"/><Relationship Id="rId73" Type="http://schemas.openxmlformats.org/officeDocument/2006/relationships/header" Target="header5.xm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oleObject" Target="embeddings/oleObject28.bin"/><Relationship Id="rId94" Type="http://schemas.openxmlformats.org/officeDocument/2006/relationships/image" Target="media/image42.png"/><Relationship Id="rId99" Type="http://schemas.openxmlformats.org/officeDocument/2006/relationships/image" Target="media/image47.jpeg"/><Relationship Id="rId101"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baike.baidu.com/item/%E7%B2%BE%E5%AF%86%E4%BB%AA%E5%99%A8/8655248" TargetMode="External"/><Relationship Id="rId18" Type="http://schemas.openxmlformats.org/officeDocument/2006/relationships/footer" Target="footer4.xml"/><Relationship Id="rId39" Type="http://schemas.openxmlformats.org/officeDocument/2006/relationships/image" Target="media/image13.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oleObject" Target="embeddings/oleObject19.bin"/><Relationship Id="rId76" Type="http://schemas.openxmlformats.org/officeDocument/2006/relationships/footer" Target="footer6.xml"/><Relationship Id="rId97" Type="http://schemas.openxmlformats.org/officeDocument/2006/relationships/image" Target="media/image45.png"/><Relationship Id="rId104"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30707;&#40857;&#21306;&#27745;&#27700;&#22788;&#29702;&#21378;\&#36865;&#23457;&#29256;%20-&#20462;&#25913;&#29256;\&#24179;&#39030;&#23665;&#24066;&#30707;&#40857;&#21306;&#27745;&#27700;&#22788;&#29702;&#21378;&#24037;&#31243;%20&#20462;&#25913;&#29256;%20(&#20462;&#22797;&#3034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EA9A9-CF19-49AD-9A8F-7AA4317A9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平顶山市石龙区污水处理厂工程 修改版 (修复的).dot</Template>
  <TotalTime>961</TotalTime>
  <Pages>342</Pages>
  <Words>39912</Words>
  <Characters>227499</Characters>
  <Application>Microsoft Office Word</Application>
  <DocSecurity>0</DocSecurity>
  <PresentationFormat/>
  <Lines>1895</Lines>
  <Paragraphs>533</Paragraphs>
  <Slides>0</Slides>
  <Notes>0</Notes>
  <HiddenSlides>0</HiddenSlides>
  <MMClips>0</MMClips>
  <ScaleCrop>false</ScaleCrop>
  <Company>CHINA</Company>
  <LinksUpToDate>false</LinksUpToDate>
  <CharactersWithSpaces>266878</CharactersWithSpaces>
  <SharedDoc>false</SharedDoc>
  <HLinks>
    <vt:vector size="510" baseType="variant">
      <vt:variant>
        <vt:i4>2621498</vt:i4>
      </vt:variant>
      <vt:variant>
        <vt:i4>553</vt:i4>
      </vt:variant>
      <vt:variant>
        <vt:i4>0</vt:i4>
      </vt:variant>
      <vt:variant>
        <vt:i4>5</vt:i4>
      </vt:variant>
      <vt:variant>
        <vt:lpwstr>https://baike.baidu.com/item/%E6%B6%88%E9%98%B2%E9%98%B2%E6%8A%A4%E6%9C%8D</vt:lpwstr>
      </vt:variant>
      <vt:variant>
        <vt:lpwstr/>
      </vt:variant>
      <vt:variant>
        <vt:i4>3145789</vt:i4>
      </vt:variant>
      <vt:variant>
        <vt:i4>550</vt:i4>
      </vt:variant>
      <vt:variant>
        <vt:i4>0</vt:i4>
      </vt:variant>
      <vt:variant>
        <vt:i4>5</vt:i4>
      </vt:variant>
      <vt:variant>
        <vt:lpwstr>https://baike.baidu.com/item/%E6%AD%A3%E5%8E%8B%E5%BC%8F%E5%91%BC%E5%90%B8%E5%99%A8</vt:lpwstr>
      </vt:variant>
      <vt:variant>
        <vt:lpwstr/>
      </vt:variant>
      <vt:variant>
        <vt:i4>65561</vt:i4>
      </vt:variant>
      <vt:variant>
        <vt:i4>547</vt:i4>
      </vt:variant>
      <vt:variant>
        <vt:i4>0</vt:i4>
      </vt:variant>
      <vt:variant>
        <vt:i4>5</vt:i4>
      </vt:variant>
      <vt:variant>
        <vt:lpwstr>https://baike.baidu.com/item/%E9%98%B2%E6%AF%92%E6%9C%8D</vt:lpwstr>
      </vt:variant>
      <vt:variant>
        <vt:lpwstr/>
      </vt:variant>
      <vt:variant>
        <vt:i4>5636195</vt:i4>
      </vt:variant>
      <vt:variant>
        <vt:i4>450</vt:i4>
      </vt:variant>
      <vt:variant>
        <vt:i4>0</vt:i4>
      </vt:variant>
      <vt:variant>
        <vt:i4>5</vt:i4>
      </vt:variant>
      <vt:variant>
        <vt:lpwstr>http://kjs.mep.gov.cn/hjbhbz/bzwb/jcffbz/201712/t20171220_428271.shtml</vt:lpwstr>
      </vt:variant>
      <vt:variant>
        <vt:lpwstr/>
      </vt:variant>
      <vt:variant>
        <vt:i4>35</vt:i4>
      </vt:variant>
      <vt:variant>
        <vt:i4>417</vt:i4>
      </vt:variant>
      <vt:variant>
        <vt:i4>0</vt:i4>
      </vt:variant>
      <vt:variant>
        <vt:i4>5</vt:i4>
      </vt:variant>
      <vt:variant>
        <vt:lpwstr>https://www.chemsrc.com/en/cas/3441-01-8_900439.html</vt:lpwstr>
      </vt:variant>
      <vt:variant>
        <vt:lpwstr/>
      </vt:variant>
      <vt:variant>
        <vt:i4>1245254</vt:i4>
      </vt:variant>
      <vt:variant>
        <vt:i4>414</vt:i4>
      </vt:variant>
      <vt:variant>
        <vt:i4>0</vt:i4>
      </vt:variant>
      <vt:variant>
        <vt:i4>5</vt:i4>
      </vt:variant>
      <vt:variant>
        <vt:lpwstr>https://baike.baidu.com/item/%E6%9C%89%E6%9C%BA%E6%BA%B6%E5%89%82</vt:lpwstr>
      </vt:variant>
      <vt:variant>
        <vt:lpwstr/>
      </vt:variant>
      <vt:variant>
        <vt:i4>655387</vt:i4>
      </vt:variant>
      <vt:variant>
        <vt:i4>411</vt:i4>
      </vt:variant>
      <vt:variant>
        <vt:i4>0</vt:i4>
      </vt:variant>
      <vt:variant>
        <vt:i4>5</vt:i4>
      </vt:variant>
      <vt:variant>
        <vt:lpwstr>https://baike.baidu.com/item/%E7%9F%B3%E6%B2%B9%E9%86%9A</vt:lpwstr>
      </vt:variant>
      <vt:variant>
        <vt:lpwstr/>
      </vt:variant>
      <vt:variant>
        <vt:i4>3473466</vt:i4>
      </vt:variant>
      <vt:variant>
        <vt:i4>408</vt:i4>
      </vt:variant>
      <vt:variant>
        <vt:i4>0</vt:i4>
      </vt:variant>
      <vt:variant>
        <vt:i4>5</vt:i4>
      </vt:variant>
      <vt:variant>
        <vt:lpwstr>https://baike.baidu.com/item/%E6%B0%AF%E4%BB%BF</vt:lpwstr>
      </vt:variant>
      <vt:variant>
        <vt:lpwstr/>
      </vt:variant>
      <vt:variant>
        <vt:i4>2162750</vt:i4>
      </vt:variant>
      <vt:variant>
        <vt:i4>405</vt:i4>
      </vt:variant>
      <vt:variant>
        <vt:i4>0</vt:i4>
      </vt:variant>
      <vt:variant>
        <vt:i4>5</vt:i4>
      </vt:variant>
      <vt:variant>
        <vt:lpwstr>https://baike.baidu.com/item/%E8%8B%AF</vt:lpwstr>
      </vt:variant>
      <vt:variant>
        <vt:lpwstr/>
      </vt:variant>
      <vt:variant>
        <vt:i4>6160458</vt:i4>
      </vt:variant>
      <vt:variant>
        <vt:i4>402</vt:i4>
      </vt:variant>
      <vt:variant>
        <vt:i4>0</vt:i4>
      </vt:variant>
      <vt:variant>
        <vt:i4>5</vt:i4>
      </vt:variant>
      <vt:variant>
        <vt:lpwstr>https://baike.baidu.com/item/%E9%87%8D%E9%87%91%E5%B1%9E</vt:lpwstr>
      </vt:variant>
      <vt:variant>
        <vt:lpwstr/>
      </vt:variant>
      <vt:variant>
        <vt:i4>8126515</vt:i4>
      </vt:variant>
      <vt:variant>
        <vt:i4>399</vt:i4>
      </vt:variant>
      <vt:variant>
        <vt:i4>0</vt:i4>
      </vt:variant>
      <vt:variant>
        <vt:i4>5</vt:i4>
      </vt:variant>
      <vt:variant>
        <vt:lpwstr>https://baike.baidu.com/item/%E6%97%A0%E6%9C%BA%E5%8C%96%E5%90%88%E7%89%A9</vt:lpwstr>
      </vt:variant>
      <vt:variant>
        <vt:lpwstr/>
      </vt:variant>
      <vt:variant>
        <vt:i4>7209023</vt:i4>
      </vt:variant>
      <vt:variant>
        <vt:i4>396</vt:i4>
      </vt:variant>
      <vt:variant>
        <vt:i4>0</vt:i4>
      </vt:variant>
      <vt:variant>
        <vt:i4>5</vt:i4>
      </vt:variant>
      <vt:variant>
        <vt:lpwstr>https://baike.baidu.com/item/%E7%88%86%E7%82%B8%E6%80%A7%E6%B7%B7%E5%90%88%E7%89%A9</vt:lpwstr>
      </vt:variant>
      <vt:variant>
        <vt:lpwstr/>
      </vt:variant>
      <vt:variant>
        <vt:i4>5701649</vt:i4>
      </vt:variant>
      <vt:variant>
        <vt:i4>393</vt:i4>
      </vt:variant>
      <vt:variant>
        <vt:i4>0</vt:i4>
      </vt:variant>
      <vt:variant>
        <vt:i4>5</vt:i4>
      </vt:variant>
      <vt:variant>
        <vt:lpwstr>https://baike.baidu.com/item/%E8%85%90%E8%9A%80%E6%80%A7</vt:lpwstr>
      </vt:variant>
      <vt:variant>
        <vt:lpwstr/>
      </vt:variant>
      <vt:variant>
        <vt:i4>2621498</vt:i4>
      </vt:variant>
      <vt:variant>
        <vt:i4>390</vt:i4>
      </vt:variant>
      <vt:variant>
        <vt:i4>0</vt:i4>
      </vt:variant>
      <vt:variant>
        <vt:i4>5</vt:i4>
      </vt:variant>
      <vt:variant>
        <vt:lpwstr>https://baike.baidu.com/item/%E6%B6%88%E9%98%B2%E9%98%B2%E6%8A%A4%E6%9C%8D</vt:lpwstr>
      </vt:variant>
      <vt:variant>
        <vt:lpwstr/>
      </vt:variant>
      <vt:variant>
        <vt:i4>3145789</vt:i4>
      </vt:variant>
      <vt:variant>
        <vt:i4>387</vt:i4>
      </vt:variant>
      <vt:variant>
        <vt:i4>0</vt:i4>
      </vt:variant>
      <vt:variant>
        <vt:i4>5</vt:i4>
      </vt:variant>
      <vt:variant>
        <vt:lpwstr>https://baike.baidu.com/item/%E6%AD%A3%E5%8E%8B%E5%BC%8F%E5%91%BC%E5%90%B8%E5%99%A8</vt:lpwstr>
      </vt:variant>
      <vt:variant>
        <vt:lpwstr/>
      </vt:variant>
      <vt:variant>
        <vt:i4>65561</vt:i4>
      </vt:variant>
      <vt:variant>
        <vt:i4>384</vt:i4>
      </vt:variant>
      <vt:variant>
        <vt:i4>0</vt:i4>
      </vt:variant>
      <vt:variant>
        <vt:i4>5</vt:i4>
      </vt:variant>
      <vt:variant>
        <vt:lpwstr>https://baike.baidu.com/item/%E9%98%B2%E6%AF%92%E6%9C%8D</vt:lpwstr>
      </vt:variant>
      <vt:variant>
        <vt:lpwstr/>
      </vt:variant>
      <vt:variant>
        <vt:i4>196686</vt:i4>
      </vt:variant>
      <vt:variant>
        <vt:i4>381</vt:i4>
      </vt:variant>
      <vt:variant>
        <vt:i4>0</vt:i4>
      </vt:variant>
      <vt:variant>
        <vt:i4>5</vt:i4>
      </vt:variant>
      <vt:variant>
        <vt:lpwstr>https://baike.baidu.com/item/%E7%8E%AF%E5%B7%B1%E7%83%B7</vt:lpwstr>
      </vt:variant>
      <vt:variant>
        <vt:lpwstr/>
      </vt:variant>
      <vt:variant>
        <vt:i4>917583</vt:i4>
      </vt:variant>
      <vt:variant>
        <vt:i4>378</vt:i4>
      </vt:variant>
      <vt:variant>
        <vt:i4>0</vt:i4>
      </vt:variant>
      <vt:variant>
        <vt:i4>5</vt:i4>
      </vt:variant>
      <vt:variant>
        <vt:lpwstr>https://baike.baidu.com/item/%E6%AD%A3%E5%B7%B1%E7%83%B7</vt:lpwstr>
      </vt:variant>
      <vt:variant>
        <vt:lpwstr/>
      </vt:variant>
      <vt:variant>
        <vt:i4>655387</vt:i4>
      </vt:variant>
      <vt:variant>
        <vt:i4>375</vt:i4>
      </vt:variant>
      <vt:variant>
        <vt:i4>0</vt:i4>
      </vt:variant>
      <vt:variant>
        <vt:i4>5</vt:i4>
      </vt:variant>
      <vt:variant>
        <vt:lpwstr>https://baike.baidu.com/item/%E7%9F%B3%E6%B2%B9%E9%86%9A</vt:lpwstr>
      </vt:variant>
      <vt:variant>
        <vt:lpwstr/>
      </vt:variant>
      <vt:variant>
        <vt:i4>4718667</vt:i4>
      </vt:variant>
      <vt:variant>
        <vt:i4>372</vt:i4>
      </vt:variant>
      <vt:variant>
        <vt:i4>0</vt:i4>
      </vt:variant>
      <vt:variant>
        <vt:i4>5</vt:i4>
      </vt:variant>
      <vt:variant>
        <vt:lpwstr>https://baike.baidu.com/item/%E9%86%8B%E9%85%B8%E4%B9%99%E9%85%AF</vt:lpwstr>
      </vt:variant>
      <vt:variant>
        <vt:lpwstr/>
      </vt:variant>
      <vt:variant>
        <vt:i4>7143520</vt:i4>
      </vt:variant>
      <vt:variant>
        <vt:i4>369</vt:i4>
      </vt:variant>
      <vt:variant>
        <vt:i4>0</vt:i4>
      </vt:variant>
      <vt:variant>
        <vt:i4>5</vt:i4>
      </vt:variant>
      <vt:variant>
        <vt:lpwstr>https://baike.baidu.com/item/%E5%90%A1%E5%95%B6</vt:lpwstr>
      </vt:variant>
      <vt:variant>
        <vt:lpwstr/>
      </vt:variant>
      <vt:variant>
        <vt:i4>3670123</vt:i4>
      </vt:variant>
      <vt:variant>
        <vt:i4>366</vt:i4>
      </vt:variant>
      <vt:variant>
        <vt:i4>0</vt:i4>
      </vt:variant>
      <vt:variant>
        <vt:i4>5</vt:i4>
      </vt:variant>
      <vt:variant>
        <vt:lpwstr>https://baike.baidu.com/item/%E7%94%B2%E8%8B%AF</vt:lpwstr>
      </vt:variant>
      <vt:variant>
        <vt:lpwstr/>
      </vt:variant>
      <vt:variant>
        <vt:i4>3473466</vt:i4>
      </vt:variant>
      <vt:variant>
        <vt:i4>363</vt:i4>
      </vt:variant>
      <vt:variant>
        <vt:i4>0</vt:i4>
      </vt:variant>
      <vt:variant>
        <vt:i4>5</vt:i4>
      </vt:variant>
      <vt:variant>
        <vt:lpwstr>https://baike.baidu.com/item/%E6%B0%AF%E4%BB%BF</vt:lpwstr>
      </vt:variant>
      <vt:variant>
        <vt:lpwstr/>
      </vt:variant>
      <vt:variant>
        <vt:i4>3407932</vt:i4>
      </vt:variant>
      <vt:variant>
        <vt:i4>360</vt:i4>
      </vt:variant>
      <vt:variant>
        <vt:i4>0</vt:i4>
      </vt:variant>
      <vt:variant>
        <vt:i4>5</vt:i4>
      </vt:variant>
      <vt:variant>
        <vt:lpwstr>https://baike.baidu.com/item/%E4%B8%81%E9%85%AE</vt:lpwstr>
      </vt:variant>
      <vt:variant>
        <vt:lpwstr/>
      </vt:variant>
      <vt:variant>
        <vt:i4>3932221</vt:i4>
      </vt:variant>
      <vt:variant>
        <vt:i4>357</vt:i4>
      </vt:variant>
      <vt:variant>
        <vt:i4>0</vt:i4>
      </vt:variant>
      <vt:variant>
        <vt:i4>5</vt:i4>
      </vt:variant>
      <vt:variant>
        <vt:lpwstr>https://baike.baidu.com/item/%E4%B8%99%E9%85%AE</vt:lpwstr>
      </vt:variant>
      <vt:variant>
        <vt:lpwstr/>
      </vt:variant>
      <vt:variant>
        <vt:i4>6684732</vt:i4>
      </vt:variant>
      <vt:variant>
        <vt:i4>354</vt:i4>
      </vt:variant>
      <vt:variant>
        <vt:i4>0</vt:i4>
      </vt:variant>
      <vt:variant>
        <vt:i4>5</vt:i4>
      </vt:variant>
      <vt:variant>
        <vt:lpwstr>https://baike.baidu.com/item/%E4%B9%99%E9%86%87</vt:lpwstr>
      </vt:variant>
      <vt:variant>
        <vt:lpwstr/>
      </vt:variant>
      <vt:variant>
        <vt:i4>3473514</vt:i4>
      </vt:variant>
      <vt:variant>
        <vt:i4>351</vt:i4>
      </vt:variant>
      <vt:variant>
        <vt:i4>0</vt:i4>
      </vt:variant>
      <vt:variant>
        <vt:i4>5</vt:i4>
      </vt:variant>
      <vt:variant>
        <vt:lpwstr>https://baike.baidu.com/item/%E7%94%B2%E9%86%87</vt:lpwstr>
      </vt:variant>
      <vt:variant>
        <vt:lpwstr/>
      </vt:variant>
      <vt:variant>
        <vt:i4>1769522</vt:i4>
      </vt:variant>
      <vt:variant>
        <vt:i4>344</vt:i4>
      </vt:variant>
      <vt:variant>
        <vt:i4>0</vt:i4>
      </vt:variant>
      <vt:variant>
        <vt:i4>5</vt:i4>
      </vt:variant>
      <vt:variant>
        <vt:lpwstr/>
      </vt:variant>
      <vt:variant>
        <vt:lpwstr>_Toc83940932</vt:lpwstr>
      </vt:variant>
      <vt:variant>
        <vt:i4>1572914</vt:i4>
      </vt:variant>
      <vt:variant>
        <vt:i4>338</vt:i4>
      </vt:variant>
      <vt:variant>
        <vt:i4>0</vt:i4>
      </vt:variant>
      <vt:variant>
        <vt:i4>5</vt:i4>
      </vt:variant>
      <vt:variant>
        <vt:lpwstr/>
      </vt:variant>
      <vt:variant>
        <vt:lpwstr>_Toc83940931</vt:lpwstr>
      </vt:variant>
      <vt:variant>
        <vt:i4>1638450</vt:i4>
      </vt:variant>
      <vt:variant>
        <vt:i4>332</vt:i4>
      </vt:variant>
      <vt:variant>
        <vt:i4>0</vt:i4>
      </vt:variant>
      <vt:variant>
        <vt:i4>5</vt:i4>
      </vt:variant>
      <vt:variant>
        <vt:lpwstr/>
      </vt:variant>
      <vt:variant>
        <vt:lpwstr>_Toc83940930</vt:lpwstr>
      </vt:variant>
      <vt:variant>
        <vt:i4>1048627</vt:i4>
      </vt:variant>
      <vt:variant>
        <vt:i4>326</vt:i4>
      </vt:variant>
      <vt:variant>
        <vt:i4>0</vt:i4>
      </vt:variant>
      <vt:variant>
        <vt:i4>5</vt:i4>
      </vt:variant>
      <vt:variant>
        <vt:lpwstr/>
      </vt:variant>
      <vt:variant>
        <vt:lpwstr>_Toc83940929</vt:lpwstr>
      </vt:variant>
      <vt:variant>
        <vt:i4>1114163</vt:i4>
      </vt:variant>
      <vt:variant>
        <vt:i4>320</vt:i4>
      </vt:variant>
      <vt:variant>
        <vt:i4>0</vt:i4>
      </vt:variant>
      <vt:variant>
        <vt:i4>5</vt:i4>
      </vt:variant>
      <vt:variant>
        <vt:lpwstr/>
      </vt:variant>
      <vt:variant>
        <vt:lpwstr>_Toc83940928</vt:lpwstr>
      </vt:variant>
      <vt:variant>
        <vt:i4>1966131</vt:i4>
      </vt:variant>
      <vt:variant>
        <vt:i4>314</vt:i4>
      </vt:variant>
      <vt:variant>
        <vt:i4>0</vt:i4>
      </vt:variant>
      <vt:variant>
        <vt:i4>5</vt:i4>
      </vt:variant>
      <vt:variant>
        <vt:lpwstr/>
      </vt:variant>
      <vt:variant>
        <vt:lpwstr>_Toc83940927</vt:lpwstr>
      </vt:variant>
      <vt:variant>
        <vt:i4>2031667</vt:i4>
      </vt:variant>
      <vt:variant>
        <vt:i4>308</vt:i4>
      </vt:variant>
      <vt:variant>
        <vt:i4>0</vt:i4>
      </vt:variant>
      <vt:variant>
        <vt:i4>5</vt:i4>
      </vt:variant>
      <vt:variant>
        <vt:lpwstr/>
      </vt:variant>
      <vt:variant>
        <vt:lpwstr>_Toc83940926</vt:lpwstr>
      </vt:variant>
      <vt:variant>
        <vt:i4>1835059</vt:i4>
      </vt:variant>
      <vt:variant>
        <vt:i4>302</vt:i4>
      </vt:variant>
      <vt:variant>
        <vt:i4>0</vt:i4>
      </vt:variant>
      <vt:variant>
        <vt:i4>5</vt:i4>
      </vt:variant>
      <vt:variant>
        <vt:lpwstr/>
      </vt:variant>
      <vt:variant>
        <vt:lpwstr>_Toc83940925</vt:lpwstr>
      </vt:variant>
      <vt:variant>
        <vt:i4>1900595</vt:i4>
      </vt:variant>
      <vt:variant>
        <vt:i4>296</vt:i4>
      </vt:variant>
      <vt:variant>
        <vt:i4>0</vt:i4>
      </vt:variant>
      <vt:variant>
        <vt:i4>5</vt:i4>
      </vt:variant>
      <vt:variant>
        <vt:lpwstr/>
      </vt:variant>
      <vt:variant>
        <vt:lpwstr>_Toc83940924</vt:lpwstr>
      </vt:variant>
      <vt:variant>
        <vt:i4>1703987</vt:i4>
      </vt:variant>
      <vt:variant>
        <vt:i4>290</vt:i4>
      </vt:variant>
      <vt:variant>
        <vt:i4>0</vt:i4>
      </vt:variant>
      <vt:variant>
        <vt:i4>5</vt:i4>
      </vt:variant>
      <vt:variant>
        <vt:lpwstr/>
      </vt:variant>
      <vt:variant>
        <vt:lpwstr>_Toc83940923</vt:lpwstr>
      </vt:variant>
      <vt:variant>
        <vt:i4>1769523</vt:i4>
      </vt:variant>
      <vt:variant>
        <vt:i4>284</vt:i4>
      </vt:variant>
      <vt:variant>
        <vt:i4>0</vt:i4>
      </vt:variant>
      <vt:variant>
        <vt:i4>5</vt:i4>
      </vt:variant>
      <vt:variant>
        <vt:lpwstr/>
      </vt:variant>
      <vt:variant>
        <vt:lpwstr>_Toc83940922</vt:lpwstr>
      </vt:variant>
      <vt:variant>
        <vt:i4>1572915</vt:i4>
      </vt:variant>
      <vt:variant>
        <vt:i4>278</vt:i4>
      </vt:variant>
      <vt:variant>
        <vt:i4>0</vt:i4>
      </vt:variant>
      <vt:variant>
        <vt:i4>5</vt:i4>
      </vt:variant>
      <vt:variant>
        <vt:lpwstr/>
      </vt:variant>
      <vt:variant>
        <vt:lpwstr>_Toc83940921</vt:lpwstr>
      </vt:variant>
      <vt:variant>
        <vt:i4>1638451</vt:i4>
      </vt:variant>
      <vt:variant>
        <vt:i4>272</vt:i4>
      </vt:variant>
      <vt:variant>
        <vt:i4>0</vt:i4>
      </vt:variant>
      <vt:variant>
        <vt:i4>5</vt:i4>
      </vt:variant>
      <vt:variant>
        <vt:lpwstr/>
      </vt:variant>
      <vt:variant>
        <vt:lpwstr>_Toc83940920</vt:lpwstr>
      </vt:variant>
      <vt:variant>
        <vt:i4>1048624</vt:i4>
      </vt:variant>
      <vt:variant>
        <vt:i4>266</vt:i4>
      </vt:variant>
      <vt:variant>
        <vt:i4>0</vt:i4>
      </vt:variant>
      <vt:variant>
        <vt:i4>5</vt:i4>
      </vt:variant>
      <vt:variant>
        <vt:lpwstr/>
      </vt:variant>
      <vt:variant>
        <vt:lpwstr>_Toc83940919</vt:lpwstr>
      </vt:variant>
      <vt:variant>
        <vt:i4>1114160</vt:i4>
      </vt:variant>
      <vt:variant>
        <vt:i4>260</vt:i4>
      </vt:variant>
      <vt:variant>
        <vt:i4>0</vt:i4>
      </vt:variant>
      <vt:variant>
        <vt:i4>5</vt:i4>
      </vt:variant>
      <vt:variant>
        <vt:lpwstr/>
      </vt:variant>
      <vt:variant>
        <vt:lpwstr>_Toc83940918</vt:lpwstr>
      </vt:variant>
      <vt:variant>
        <vt:i4>1966128</vt:i4>
      </vt:variant>
      <vt:variant>
        <vt:i4>254</vt:i4>
      </vt:variant>
      <vt:variant>
        <vt:i4>0</vt:i4>
      </vt:variant>
      <vt:variant>
        <vt:i4>5</vt:i4>
      </vt:variant>
      <vt:variant>
        <vt:lpwstr/>
      </vt:variant>
      <vt:variant>
        <vt:lpwstr>_Toc83940917</vt:lpwstr>
      </vt:variant>
      <vt:variant>
        <vt:i4>2031664</vt:i4>
      </vt:variant>
      <vt:variant>
        <vt:i4>248</vt:i4>
      </vt:variant>
      <vt:variant>
        <vt:i4>0</vt:i4>
      </vt:variant>
      <vt:variant>
        <vt:i4>5</vt:i4>
      </vt:variant>
      <vt:variant>
        <vt:lpwstr/>
      </vt:variant>
      <vt:variant>
        <vt:lpwstr>_Toc83940916</vt:lpwstr>
      </vt:variant>
      <vt:variant>
        <vt:i4>1835056</vt:i4>
      </vt:variant>
      <vt:variant>
        <vt:i4>242</vt:i4>
      </vt:variant>
      <vt:variant>
        <vt:i4>0</vt:i4>
      </vt:variant>
      <vt:variant>
        <vt:i4>5</vt:i4>
      </vt:variant>
      <vt:variant>
        <vt:lpwstr/>
      </vt:variant>
      <vt:variant>
        <vt:lpwstr>_Toc83940915</vt:lpwstr>
      </vt:variant>
      <vt:variant>
        <vt:i4>1900592</vt:i4>
      </vt:variant>
      <vt:variant>
        <vt:i4>236</vt:i4>
      </vt:variant>
      <vt:variant>
        <vt:i4>0</vt:i4>
      </vt:variant>
      <vt:variant>
        <vt:i4>5</vt:i4>
      </vt:variant>
      <vt:variant>
        <vt:lpwstr/>
      </vt:variant>
      <vt:variant>
        <vt:lpwstr>_Toc83940914</vt:lpwstr>
      </vt:variant>
      <vt:variant>
        <vt:i4>1703984</vt:i4>
      </vt:variant>
      <vt:variant>
        <vt:i4>230</vt:i4>
      </vt:variant>
      <vt:variant>
        <vt:i4>0</vt:i4>
      </vt:variant>
      <vt:variant>
        <vt:i4>5</vt:i4>
      </vt:variant>
      <vt:variant>
        <vt:lpwstr/>
      </vt:variant>
      <vt:variant>
        <vt:lpwstr>_Toc83940913</vt:lpwstr>
      </vt:variant>
      <vt:variant>
        <vt:i4>1769520</vt:i4>
      </vt:variant>
      <vt:variant>
        <vt:i4>224</vt:i4>
      </vt:variant>
      <vt:variant>
        <vt:i4>0</vt:i4>
      </vt:variant>
      <vt:variant>
        <vt:i4>5</vt:i4>
      </vt:variant>
      <vt:variant>
        <vt:lpwstr/>
      </vt:variant>
      <vt:variant>
        <vt:lpwstr>_Toc83940912</vt:lpwstr>
      </vt:variant>
      <vt:variant>
        <vt:i4>1572912</vt:i4>
      </vt:variant>
      <vt:variant>
        <vt:i4>218</vt:i4>
      </vt:variant>
      <vt:variant>
        <vt:i4>0</vt:i4>
      </vt:variant>
      <vt:variant>
        <vt:i4>5</vt:i4>
      </vt:variant>
      <vt:variant>
        <vt:lpwstr/>
      </vt:variant>
      <vt:variant>
        <vt:lpwstr>_Toc83940911</vt:lpwstr>
      </vt:variant>
      <vt:variant>
        <vt:i4>1638448</vt:i4>
      </vt:variant>
      <vt:variant>
        <vt:i4>212</vt:i4>
      </vt:variant>
      <vt:variant>
        <vt:i4>0</vt:i4>
      </vt:variant>
      <vt:variant>
        <vt:i4>5</vt:i4>
      </vt:variant>
      <vt:variant>
        <vt:lpwstr/>
      </vt:variant>
      <vt:variant>
        <vt:lpwstr>_Toc83940910</vt:lpwstr>
      </vt:variant>
      <vt:variant>
        <vt:i4>1048625</vt:i4>
      </vt:variant>
      <vt:variant>
        <vt:i4>206</vt:i4>
      </vt:variant>
      <vt:variant>
        <vt:i4>0</vt:i4>
      </vt:variant>
      <vt:variant>
        <vt:i4>5</vt:i4>
      </vt:variant>
      <vt:variant>
        <vt:lpwstr/>
      </vt:variant>
      <vt:variant>
        <vt:lpwstr>_Toc83940909</vt:lpwstr>
      </vt:variant>
      <vt:variant>
        <vt:i4>1114161</vt:i4>
      </vt:variant>
      <vt:variant>
        <vt:i4>200</vt:i4>
      </vt:variant>
      <vt:variant>
        <vt:i4>0</vt:i4>
      </vt:variant>
      <vt:variant>
        <vt:i4>5</vt:i4>
      </vt:variant>
      <vt:variant>
        <vt:lpwstr/>
      </vt:variant>
      <vt:variant>
        <vt:lpwstr>_Toc83940908</vt:lpwstr>
      </vt:variant>
      <vt:variant>
        <vt:i4>1966129</vt:i4>
      </vt:variant>
      <vt:variant>
        <vt:i4>194</vt:i4>
      </vt:variant>
      <vt:variant>
        <vt:i4>0</vt:i4>
      </vt:variant>
      <vt:variant>
        <vt:i4>5</vt:i4>
      </vt:variant>
      <vt:variant>
        <vt:lpwstr/>
      </vt:variant>
      <vt:variant>
        <vt:lpwstr>_Toc83940907</vt:lpwstr>
      </vt:variant>
      <vt:variant>
        <vt:i4>2031665</vt:i4>
      </vt:variant>
      <vt:variant>
        <vt:i4>188</vt:i4>
      </vt:variant>
      <vt:variant>
        <vt:i4>0</vt:i4>
      </vt:variant>
      <vt:variant>
        <vt:i4>5</vt:i4>
      </vt:variant>
      <vt:variant>
        <vt:lpwstr/>
      </vt:variant>
      <vt:variant>
        <vt:lpwstr>_Toc83940906</vt:lpwstr>
      </vt:variant>
      <vt:variant>
        <vt:i4>1835057</vt:i4>
      </vt:variant>
      <vt:variant>
        <vt:i4>182</vt:i4>
      </vt:variant>
      <vt:variant>
        <vt:i4>0</vt:i4>
      </vt:variant>
      <vt:variant>
        <vt:i4>5</vt:i4>
      </vt:variant>
      <vt:variant>
        <vt:lpwstr/>
      </vt:variant>
      <vt:variant>
        <vt:lpwstr>_Toc83940905</vt:lpwstr>
      </vt:variant>
      <vt:variant>
        <vt:i4>1900593</vt:i4>
      </vt:variant>
      <vt:variant>
        <vt:i4>176</vt:i4>
      </vt:variant>
      <vt:variant>
        <vt:i4>0</vt:i4>
      </vt:variant>
      <vt:variant>
        <vt:i4>5</vt:i4>
      </vt:variant>
      <vt:variant>
        <vt:lpwstr/>
      </vt:variant>
      <vt:variant>
        <vt:lpwstr>_Toc83940904</vt:lpwstr>
      </vt:variant>
      <vt:variant>
        <vt:i4>1703985</vt:i4>
      </vt:variant>
      <vt:variant>
        <vt:i4>170</vt:i4>
      </vt:variant>
      <vt:variant>
        <vt:i4>0</vt:i4>
      </vt:variant>
      <vt:variant>
        <vt:i4>5</vt:i4>
      </vt:variant>
      <vt:variant>
        <vt:lpwstr/>
      </vt:variant>
      <vt:variant>
        <vt:lpwstr>_Toc83940903</vt:lpwstr>
      </vt:variant>
      <vt:variant>
        <vt:i4>1769521</vt:i4>
      </vt:variant>
      <vt:variant>
        <vt:i4>164</vt:i4>
      </vt:variant>
      <vt:variant>
        <vt:i4>0</vt:i4>
      </vt:variant>
      <vt:variant>
        <vt:i4>5</vt:i4>
      </vt:variant>
      <vt:variant>
        <vt:lpwstr/>
      </vt:variant>
      <vt:variant>
        <vt:lpwstr>_Toc83940902</vt:lpwstr>
      </vt:variant>
      <vt:variant>
        <vt:i4>1572913</vt:i4>
      </vt:variant>
      <vt:variant>
        <vt:i4>158</vt:i4>
      </vt:variant>
      <vt:variant>
        <vt:i4>0</vt:i4>
      </vt:variant>
      <vt:variant>
        <vt:i4>5</vt:i4>
      </vt:variant>
      <vt:variant>
        <vt:lpwstr/>
      </vt:variant>
      <vt:variant>
        <vt:lpwstr>_Toc83940901</vt:lpwstr>
      </vt:variant>
      <vt:variant>
        <vt:i4>1638449</vt:i4>
      </vt:variant>
      <vt:variant>
        <vt:i4>152</vt:i4>
      </vt:variant>
      <vt:variant>
        <vt:i4>0</vt:i4>
      </vt:variant>
      <vt:variant>
        <vt:i4>5</vt:i4>
      </vt:variant>
      <vt:variant>
        <vt:lpwstr/>
      </vt:variant>
      <vt:variant>
        <vt:lpwstr>_Toc83940900</vt:lpwstr>
      </vt:variant>
      <vt:variant>
        <vt:i4>1114168</vt:i4>
      </vt:variant>
      <vt:variant>
        <vt:i4>146</vt:i4>
      </vt:variant>
      <vt:variant>
        <vt:i4>0</vt:i4>
      </vt:variant>
      <vt:variant>
        <vt:i4>5</vt:i4>
      </vt:variant>
      <vt:variant>
        <vt:lpwstr/>
      </vt:variant>
      <vt:variant>
        <vt:lpwstr>_Toc83940899</vt:lpwstr>
      </vt:variant>
      <vt:variant>
        <vt:i4>1048632</vt:i4>
      </vt:variant>
      <vt:variant>
        <vt:i4>140</vt:i4>
      </vt:variant>
      <vt:variant>
        <vt:i4>0</vt:i4>
      </vt:variant>
      <vt:variant>
        <vt:i4>5</vt:i4>
      </vt:variant>
      <vt:variant>
        <vt:lpwstr/>
      </vt:variant>
      <vt:variant>
        <vt:lpwstr>_Toc83940898</vt:lpwstr>
      </vt:variant>
      <vt:variant>
        <vt:i4>2031672</vt:i4>
      </vt:variant>
      <vt:variant>
        <vt:i4>134</vt:i4>
      </vt:variant>
      <vt:variant>
        <vt:i4>0</vt:i4>
      </vt:variant>
      <vt:variant>
        <vt:i4>5</vt:i4>
      </vt:variant>
      <vt:variant>
        <vt:lpwstr/>
      </vt:variant>
      <vt:variant>
        <vt:lpwstr>_Toc83940897</vt:lpwstr>
      </vt:variant>
      <vt:variant>
        <vt:i4>1966136</vt:i4>
      </vt:variant>
      <vt:variant>
        <vt:i4>128</vt:i4>
      </vt:variant>
      <vt:variant>
        <vt:i4>0</vt:i4>
      </vt:variant>
      <vt:variant>
        <vt:i4>5</vt:i4>
      </vt:variant>
      <vt:variant>
        <vt:lpwstr/>
      </vt:variant>
      <vt:variant>
        <vt:lpwstr>_Toc83940896</vt:lpwstr>
      </vt:variant>
      <vt:variant>
        <vt:i4>1900600</vt:i4>
      </vt:variant>
      <vt:variant>
        <vt:i4>122</vt:i4>
      </vt:variant>
      <vt:variant>
        <vt:i4>0</vt:i4>
      </vt:variant>
      <vt:variant>
        <vt:i4>5</vt:i4>
      </vt:variant>
      <vt:variant>
        <vt:lpwstr/>
      </vt:variant>
      <vt:variant>
        <vt:lpwstr>_Toc83940895</vt:lpwstr>
      </vt:variant>
      <vt:variant>
        <vt:i4>1835064</vt:i4>
      </vt:variant>
      <vt:variant>
        <vt:i4>116</vt:i4>
      </vt:variant>
      <vt:variant>
        <vt:i4>0</vt:i4>
      </vt:variant>
      <vt:variant>
        <vt:i4>5</vt:i4>
      </vt:variant>
      <vt:variant>
        <vt:lpwstr/>
      </vt:variant>
      <vt:variant>
        <vt:lpwstr>_Toc83940894</vt:lpwstr>
      </vt:variant>
      <vt:variant>
        <vt:i4>1769528</vt:i4>
      </vt:variant>
      <vt:variant>
        <vt:i4>110</vt:i4>
      </vt:variant>
      <vt:variant>
        <vt:i4>0</vt:i4>
      </vt:variant>
      <vt:variant>
        <vt:i4>5</vt:i4>
      </vt:variant>
      <vt:variant>
        <vt:lpwstr/>
      </vt:variant>
      <vt:variant>
        <vt:lpwstr>_Toc83940893</vt:lpwstr>
      </vt:variant>
      <vt:variant>
        <vt:i4>1703992</vt:i4>
      </vt:variant>
      <vt:variant>
        <vt:i4>104</vt:i4>
      </vt:variant>
      <vt:variant>
        <vt:i4>0</vt:i4>
      </vt:variant>
      <vt:variant>
        <vt:i4>5</vt:i4>
      </vt:variant>
      <vt:variant>
        <vt:lpwstr/>
      </vt:variant>
      <vt:variant>
        <vt:lpwstr>_Toc83940892</vt:lpwstr>
      </vt:variant>
      <vt:variant>
        <vt:i4>1638456</vt:i4>
      </vt:variant>
      <vt:variant>
        <vt:i4>98</vt:i4>
      </vt:variant>
      <vt:variant>
        <vt:i4>0</vt:i4>
      </vt:variant>
      <vt:variant>
        <vt:i4>5</vt:i4>
      </vt:variant>
      <vt:variant>
        <vt:lpwstr/>
      </vt:variant>
      <vt:variant>
        <vt:lpwstr>_Toc83940891</vt:lpwstr>
      </vt:variant>
      <vt:variant>
        <vt:i4>1572920</vt:i4>
      </vt:variant>
      <vt:variant>
        <vt:i4>92</vt:i4>
      </vt:variant>
      <vt:variant>
        <vt:i4>0</vt:i4>
      </vt:variant>
      <vt:variant>
        <vt:i4>5</vt:i4>
      </vt:variant>
      <vt:variant>
        <vt:lpwstr/>
      </vt:variant>
      <vt:variant>
        <vt:lpwstr>_Toc83940890</vt:lpwstr>
      </vt:variant>
      <vt:variant>
        <vt:i4>1114169</vt:i4>
      </vt:variant>
      <vt:variant>
        <vt:i4>86</vt:i4>
      </vt:variant>
      <vt:variant>
        <vt:i4>0</vt:i4>
      </vt:variant>
      <vt:variant>
        <vt:i4>5</vt:i4>
      </vt:variant>
      <vt:variant>
        <vt:lpwstr/>
      </vt:variant>
      <vt:variant>
        <vt:lpwstr>_Toc83940889</vt:lpwstr>
      </vt:variant>
      <vt:variant>
        <vt:i4>1048633</vt:i4>
      </vt:variant>
      <vt:variant>
        <vt:i4>80</vt:i4>
      </vt:variant>
      <vt:variant>
        <vt:i4>0</vt:i4>
      </vt:variant>
      <vt:variant>
        <vt:i4>5</vt:i4>
      </vt:variant>
      <vt:variant>
        <vt:lpwstr/>
      </vt:variant>
      <vt:variant>
        <vt:lpwstr>_Toc83940888</vt:lpwstr>
      </vt:variant>
      <vt:variant>
        <vt:i4>2031673</vt:i4>
      </vt:variant>
      <vt:variant>
        <vt:i4>74</vt:i4>
      </vt:variant>
      <vt:variant>
        <vt:i4>0</vt:i4>
      </vt:variant>
      <vt:variant>
        <vt:i4>5</vt:i4>
      </vt:variant>
      <vt:variant>
        <vt:lpwstr/>
      </vt:variant>
      <vt:variant>
        <vt:lpwstr>_Toc83940887</vt:lpwstr>
      </vt:variant>
      <vt:variant>
        <vt:i4>1966137</vt:i4>
      </vt:variant>
      <vt:variant>
        <vt:i4>68</vt:i4>
      </vt:variant>
      <vt:variant>
        <vt:i4>0</vt:i4>
      </vt:variant>
      <vt:variant>
        <vt:i4>5</vt:i4>
      </vt:variant>
      <vt:variant>
        <vt:lpwstr/>
      </vt:variant>
      <vt:variant>
        <vt:lpwstr>_Toc83940886</vt:lpwstr>
      </vt:variant>
      <vt:variant>
        <vt:i4>1900601</vt:i4>
      </vt:variant>
      <vt:variant>
        <vt:i4>62</vt:i4>
      </vt:variant>
      <vt:variant>
        <vt:i4>0</vt:i4>
      </vt:variant>
      <vt:variant>
        <vt:i4>5</vt:i4>
      </vt:variant>
      <vt:variant>
        <vt:lpwstr/>
      </vt:variant>
      <vt:variant>
        <vt:lpwstr>_Toc83940885</vt:lpwstr>
      </vt:variant>
      <vt:variant>
        <vt:i4>1835065</vt:i4>
      </vt:variant>
      <vt:variant>
        <vt:i4>56</vt:i4>
      </vt:variant>
      <vt:variant>
        <vt:i4>0</vt:i4>
      </vt:variant>
      <vt:variant>
        <vt:i4>5</vt:i4>
      </vt:variant>
      <vt:variant>
        <vt:lpwstr/>
      </vt:variant>
      <vt:variant>
        <vt:lpwstr>_Toc83940884</vt:lpwstr>
      </vt:variant>
      <vt:variant>
        <vt:i4>1769529</vt:i4>
      </vt:variant>
      <vt:variant>
        <vt:i4>50</vt:i4>
      </vt:variant>
      <vt:variant>
        <vt:i4>0</vt:i4>
      </vt:variant>
      <vt:variant>
        <vt:i4>5</vt:i4>
      </vt:variant>
      <vt:variant>
        <vt:lpwstr/>
      </vt:variant>
      <vt:variant>
        <vt:lpwstr>_Toc83940883</vt:lpwstr>
      </vt:variant>
      <vt:variant>
        <vt:i4>1703993</vt:i4>
      </vt:variant>
      <vt:variant>
        <vt:i4>44</vt:i4>
      </vt:variant>
      <vt:variant>
        <vt:i4>0</vt:i4>
      </vt:variant>
      <vt:variant>
        <vt:i4>5</vt:i4>
      </vt:variant>
      <vt:variant>
        <vt:lpwstr/>
      </vt:variant>
      <vt:variant>
        <vt:lpwstr>_Toc83940882</vt:lpwstr>
      </vt:variant>
      <vt:variant>
        <vt:i4>1638457</vt:i4>
      </vt:variant>
      <vt:variant>
        <vt:i4>38</vt:i4>
      </vt:variant>
      <vt:variant>
        <vt:i4>0</vt:i4>
      </vt:variant>
      <vt:variant>
        <vt:i4>5</vt:i4>
      </vt:variant>
      <vt:variant>
        <vt:lpwstr/>
      </vt:variant>
      <vt:variant>
        <vt:lpwstr>_Toc83940881</vt:lpwstr>
      </vt:variant>
      <vt:variant>
        <vt:i4>1572921</vt:i4>
      </vt:variant>
      <vt:variant>
        <vt:i4>32</vt:i4>
      </vt:variant>
      <vt:variant>
        <vt:i4>0</vt:i4>
      </vt:variant>
      <vt:variant>
        <vt:i4>5</vt:i4>
      </vt:variant>
      <vt:variant>
        <vt:lpwstr/>
      </vt:variant>
      <vt:variant>
        <vt:lpwstr>_Toc83940880</vt:lpwstr>
      </vt:variant>
      <vt:variant>
        <vt:i4>1114166</vt:i4>
      </vt:variant>
      <vt:variant>
        <vt:i4>26</vt:i4>
      </vt:variant>
      <vt:variant>
        <vt:i4>0</vt:i4>
      </vt:variant>
      <vt:variant>
        <vt:i4>5</vt:i4>
      </vt:variant>
      <vt:variant>
        <vt:lpwstr/>
      </vt:variant>
      <vt:variant>
        <vt:lpwstr>_Toc83940879</vt:lpwstr>
      </vt:variant>
      <vt:variant>
        <vt:i4>1048630</vt:i4>
      </vt:variant>
      <vt:variant>
        <vt:i4>20</vt:i4>
      </vt:variant>
      <vt:variant>
        <vt:i4>0</vt:i4>
      </vt:variant>
      <vt:variant>
        <vt:i4>5</vt:i4>
      </vt:variant>
      <vt:variant>
        <vt:lpwstr/>
      </vt:variant>
      <vt:variant>
        <vt:lpwstr>_Toc83940878</vt:lpwstr>
      </vt:variant>
      <vt:variant>
        <vt:i4>2031670</vt:i4>
      </vt:variant>
      <vt:variant>
        <vt:i4>14</vt:i4>
      </vt:variant>
      <vt:variant>
        <vt:i4>0</vt:i4>
      </vt:variant>
      <vt:variant>
        <vt:i4>5</vt:i4>
      </vt:variant>
      <vt:variant>
        <vt:lpwstr/>
      </vt:variant>
      <vt:variant>
        <vt:lpwstr>_Toc83940877</vt:lpwstr>
      </vt:variant>
      <vt:variant>
        <vt:i4>1966134</vt:i4>
      </vt:variant>
      <vt:variant>
        <vt:i4>8</vt:i4>
      </vt:variant>
      <vt:variant>
        <vt:i4>0</vt:i4>
      </vt:variant>
      <vt:variant>
        <vt:i4>5</vt:i4>
      </vt:variant>
      <vt:variant>
        <vt:lpwstr/>
      </vt:variant>
      <vt:variant>
        <vt:lpwstr>_Toc83940876</vt:lpwstr>
      </vt:variant>
      <vt:variant>
        <vt:i4>1900598</vt:i4>
      </vt:variant>
      <vt:variant>
        <vt:i4>2</vt:i4>
      </vt:variant>
      <vt:variant>
        <vt:i4>0</vt:i4>
      </vt:variant>
      <vt:variant>
        <vt:i4>5</vt:i4>
      </vt:variant>
      <vt:variant>
        <vt:lpwstr/>
      </vt:variant>
      <vt:variant>
        <vt:lpwstr>_Toc83940875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总论</dc:title>
  <dc:subject/>
  <dc:creator>USER</dc:creator>
  <cp:keywords/>
  <dc:description/>
  <cp:lastModifiedBy>Admin</cp:lastModifiedBy>
  <cp:revision>22</cp:revision>
  <cp:lastPrinted>2022-02-21T08:55:00Z</cp:lastPrinted>
  <dcterms:created xsi:type="dcterms:W3CDTF">2022-09-19T13:45:00Z</dcterms:created>
  <dcterms:modified xsi:type="dcterms:W3CDTF">2022-09-29T02:12:00Z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2052-6.6.0.2805</vt:lpwstr>
  </property>
</Properties>
</file>